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footer4.xml" ContentType="application/vnd.openxmlformats-officedocument.wordprocessingml.footer+xml"/>
  <Override PartName="/word/header8.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2CED457" w14:textId="77777777" w:rsidR="00AD1F54" w:rsidRPr="00264D5D" w:rsidRDefault="00941227">
      <w:pPr>
        <w:pStyle w:val="OTRTITULNAME"/>
        <w:spacing w:before="0" w:after="0"/>
        <w:jc w:val="both"/>
        <w:rPr>
          <w:b w:val="0"/>
          <w:sz w:val="28"/>
        </w:rPr>
      </w:pPr>
      <w:bookmarkStart w:id="0" w:name="_Toc308097623"/>
      <w:bookmarkStart w:id="1" w:name="_Toc308097622"/>
      <w:bookmarkStart w:id="2" w:name="_Toc393987858"/>
      <w:r w:rsidRPr="00264D5D">
        <w:rPr>
          <w:b w:val="0"/>
          <w:sz w:val="28"/>
        </w:rPr>
        <w:t xml:space="preserve">Утвержден </w:t>
      </w:r>
    </w:p>
    <w:p w14:paraId="13B4EB45" w14:textId="7FF5AE9C" w:rsidR="00AD1F54" w:rsidRPr="00264D5D" w:rsidRDefault="00941227">
      <w:pPr>
        <w:pStyle w:val="OTRTITULNAME"/>
        <w:spacing w:before="0" w:after="0"/>
        <w:jc w:val="both"/>
        <w:rPr>
          <w:b w:val="0"/>
          <w:sz w:val="28"/>
        </w:rPr>
      </w:pPr>
      <w:r w:rsidRPr="00264D5D">
        <w:rPr>
          <w:b w:val="0"/>
          <w:sz w:val="28"/>
        </w:rPr>
        <w:fldChar w:fldCharType="begin"/>
      </w:r>
      <w:r w:rsidRPr="00264D5D">
        <w:rPr>
          <w:b w:val="0"/>
          <w:sz w:val="28"/>
        </w:rPr>
        <w:instrText xml:space="preserve"> DOCPROPERTY  DocCode  \* MERGEFORMAT </w:instrText>
      </w:r>
      <w:r w:rsidRPr="00264D5D">
        <w:rPr>
          <w:b w:val="0"/>
          <w:sz w:val="28"/>
        </w:rPr>
        <w:fldChar w:fldCharType="separate"/>
      </w:r>
      <w:r w:rsidR="008D797C">
        <w:rPr>
          <w:b w:val="0"/>
          <w:sz w:val="28"/>
        </w:rPr>
        <w:t>54819512.09.01,00(02,00).ТФ.017-37.00 1(2,5)</w:t>
      </w:r>
      <w:r w:rsidRPr="00264D5D">
        <w:rPr>
          <w:b w:val="0"/>
          <w:sz w:val="28"/>
        </w:rPr>
        <w:fldChar w:fldCharType="end"/>
      </w:r>
      <w:r w:rsidRPr="00264D5D">
        <w:rPr>
          <w:b w:val="0"/>
          <w:sz w:val="28"/>
        </w:rPr>
        <w:t>-ЛУ</w:t>
      </w:r>
    </w:p>
    <w:p w14:paraId="1EB26B7E" w14:textId="77777777" w:rsidR="00116D45" w:rsidRPr="00264D5D" w:rsidRDefault="00116D45">
      <w:pPr>
        <w:pStyle w:val="OTRTITULNAME"/>
        <w:spacing w:before="0" w:after="0"/>
        <w:jc w:val="both"/>
        <w:rPr>
          <w:b w:val="0"/>
          <w:sz w:val="28"/>
        </w:rPr>
      </w:pPr>
    </w:p>
    <w:p w14:paraId="3DD287CE" w14:textId="77777777" w:rsidR="00116D45" w:rsidRPr="00264D5D" w:rsidRDefault="00116D45">
      <w:pPr>
        <w:pStyle w:val="OTRTITULNAME"/>
        <w:spacing w:before="0" w:after="0"/>
        <w:jc w:val="both"/>
      </w:pPr>
    </w:p>
    <w:p w14:paraId="50B0CB2B" w14:textId="77777777" w:rsidR="00AD1F54" w:rsidRPr="00264D5D" w:rsidRDefault="00941227">
      <w:pPr>
        <w:widowControl w:val="0"/>
        <w:contextualSpacing/>
        <w:jc w:val="center"/>
        <w:rPr>
          <w:rFonts w:eastAsia="Calibri"/>
          <w:sz w:val="32"/>
          <w:szCs w:val="28"/>
        </w:rPr>
      </w:pPr>
      <w:r w:rsidRPr="00264D5D">
        <w:rPr>
          <w:rFonts w:eastAsia="Calibri"/>
          <w:sz w:val="32"/>
          <w:szCs w:val="28"/>
        </w:rPr>
        <w:t>Автоматизированная система Федерального казначейства,</w:t>
      </w:r>
    </w:p>
    <w:p w14:paraId="296F0897" w14:textId="77777777" w:rsidR="00AD1F54" w:rsidRPr="00264D5D" w:rsidRDefault="00116D45">
      <w:pPr>
        <w:pStyle w:val="ASFKNormal"/>
        <w:jc w:val="center"/>
        <w:rPr>
          <w:sz w:val="32"/>
          <w:szCs w:val="32"/>
        </w:rPr>
      </w:pPr>
      <w:r w:rsidRPr="00264D5D">
        <w:rPr>
          <w:sz w:val="32"/>
          <w:szCs w:val="32"/>
        </w:rPr>
        <w:t>Государственная интегрированная информационная система управления общественными финансами «Электронный бюджет»</w:t>
      </w:r>
    </w:p>
    <w:p w14:paraId="23A945C6" w14:textId="77777777" w:rsidR="00116D45" w:rsidRPr="00264D5D" w:rsidRDefault="00116D45">
      <w:pPr>
        <w:pStyle w:val="ASFKNormal"/>
        <w:jc w:val="center"/>
        <w:rPr>
          <w:sz w:val="32"/>
          <w:szCs w:val="32"/>
        </w:rPr>
      </w:pPr>
    </w:p>
    <w:p w14:paraId="2FE68A42" w14:textId="77777777" w:rsidR="00116D45" w:rsidRPr="00264D5D" w:rsidRDefault="00116D45">
      <w:pPr>
        <w:pStyle w:val="ASFKNormal"/>
        <w:jc w:val="center"/>
        <w:rPr>
          <w:sz w:val="32"/>
          <w:szCs w:val="32"/>
        </w:rPr>
      </w:pPr>
    </w:p>
    <w:p w14:paraId="3A52CAD6" w14:textId="77777777" w:rsidR="00944418" w:rsidRPr="00264D5D" w:rsidRDefault="00944418">
      <w:pPr>
        <w:pStyle w:val="ASFKNormal"/>
        <w:jc w:val="center"/>
        <w:rPr>
          <w:sz w:val="32"/>
          <w:szCs w:val="32"/>
        </w:rPr>
      </w:pPr>
    </w:p>
    <w:p w14:paraId="153C4AD0" w14:textId="77777777" w:rsidR="00944418" w:rsidRPr="00264D5D" w:rsidRDefault="00944418">
      <w:pPr>
        <w:pStyle w:val="ASFKNormal"/>
        <w:jc w:val="center"/>
        <w:rPr>
          <w:sz w:val="32"/>
          <w:szCs w:val="32"/>
        </w:rPr>
      </w:pPr>
    </w:p>
    <w:p w14:paraId="450EC396" w14:textId="77777777" w:rsidR="00944418" w:rsidRPr="00264D5D" w:rsidRDefault="00944418">
      <w:pPr>
        <w:pStyle w:val="ASFKNormal"/>
        <w:jc w:val="center"/>
        <w:rPr>
          <w:sz w:val="32"/>
          <w:szCs w:val="32"/>
        </w:rPr>
      </w:pPr>
    </w:p>
    <w:p w14:paraId="627229E8" w14:textId="77777777" w:rsidR="00944418" w:rsidRPr="00264D5D" w:rsidRDefault="00944418">
      <w:pPr>
        <w:pStyle w:val="ASFKNormal"/>
        <w:jc w:val="center"/>
        <w:rPr>
          <w:sz w:val="32"/>
          <w:szCs w:val="32"/>
        </w:rPr>
      </w:pPr>
    </w:p>
    <w:p w14:paraId="50BE9002" w14:textId="77777777" w:rsidR="00944418" w:rsidRPr="00264D5D" w:rsidRDefault="00944418">
      <w:pPr>
        <w:pStyle w:val="ASFKNormal"/>
        <w:jc w:val="center"/>
        <w:rPr>
          <w:sz w:val="32"/>
          <w:szCs w:val="32"/>
        </w:rPr>
      </w:pPr>
    </w:p>
    <w:p w14:paraId="39A777B1" w14:textId="77777777" w:rsidR="00944418" w:rsidRPr="00264D5D" w:rsidRDefault="00944418">
      <w:pPr>
        <w:pStyle w:val="ASFKNormal"/>
        <w:jc w:val="center"/>
        <w:rPr>
          <w:sz w:val="32"/>
          <w:szCs w:val="32"/>
        </w:rPr>
      </w:pPr>
    </w:p>
    <w:p w14:paraId="68A78868" w14:textId="77777777" w:rsidR="00116D45" w:rsidRPr="00264D5D" w:rsidRDefault="00116D45">
      <w:pPr>
        <w:pStyle w:val="ASFKNormal"/>
        <w:jc w:val="center"/>
        <w:rPr>
          <w:sz w:val="32"/>
          <w:szCs w:val="32"/>
        </w:rPr>
      </w:pPr>
    </w:p>
    <w:p w14:paraId="7E28E614" w14:textId="77777777" w:rsidR="00AD1F54" w:rsidRPr="00264D5D" w:rsidRDefault="00941227">
      <w:pPr>
        <w:pStyle w:val="ASFKNormal"/>
        <w:jc w:val="center"/>
        <w:rPr>
          <w:b/>
          <w:sz w:val="32"/>
          <w:szCs w:val="32"/>
        </w:rPr>
      </w:pPr>
      <w:bookmarkStart w:id="3" w:name="_Toc411519858"/>
      <w:bookmarkStart w:id="4" w:name="_Toc411520039"/>
      <w:r w:rsidRPr="00264D5D">
        <w:rPr>
          <w:b/>
          <w:sz w:val="32"/>
          <w:szCs w:val="32"/>
        </w:rPr>
        <w:t>ТРЕБОВАНИЯ</w:t>
      </w:r>
      <w:bookmarkEnd w:id="3"/>
      <w:bookmarkEnd w:id="4"/>
    </w:p>
    <w:p w14:paraId="020F877A" w14:textId="77777777" w:rsidR="00AD1F54" w:rsidRPr="00264D5D" w:rsidRDefault="00941227">
      <w:pPr>
        <w:pStyle w:val="ASFKNormal"/>
        <w:jc w:val="center"/>
        <w:rPr>
          <w:b/>
          <w:sz w:val="32"/>
          <w:szCs w:val="32"/>
        </w:rPr>
      </w:pPr>
      <w:r w:rsidRPr="00264D5D">
        <w:rPr>
          <w:b/>
          <w:sz w:val="32"/>
          <w:szCs w:val="32"/>
        </w:rPr>
        <w:t>к форматам обмена, используемым при информационном взаимодействии между территориальными органами Федерального казначейства и участниками бюджетного процесса, неучастниками бюджетного процесса, бюджетными учреждениями, автономными учреждениями, Счетной палатой</w:t>
      </w:r>
    </w:p>
    <w:p w14:paraId="28CD10B0" w14:textId="77777777" w:rsidR="00AD1F54" w:rsidRPr="00264D5D" w:rsidRDefault="00941227">
      <w:pPr>
        <w:jc w:val="center"/>
        <w:rPr>
          <w:b/>
          <w:sz w:val="32"/>
          <w:szCs w:val="32"/>
        </w:rPr>
      </w:pPr>
      <w:bookmarkStart w:id="5" w:name="_Toc411519859"/>
      <w:bookmarkStart w:id="6" w:name="_Toc411520040"/>
      <w:r w:rsidRPr="00264D5D">
        <w:rPr>
          <w:b/>
          <w:sz w:val="32"/>
          <w:szCs w:val="32"/>
        </w:rPr>
        <w:t xml:space="preserve">Том </w:t>
      </w:r>
      <w:bookmarkEnd w:id="5"/>
      <w:bookmarkEnd w:id="6"/>
      <w:r w:rsidRPr="00264D5D">
        <w:rPr>
          <w:b/>
          <w:sz w:val="32"/>
          <w:szCs w:val="32"/>
        </w:rPr>
        <w:t>7</w:t>
      </w:r>
    </w:p>
    <w:p w14:paraId="5E0600B6" w14:textId="77777777" w:rsidR="00AD1F54" w:rsidRPr="00264D5D" w:rsidRDefault="00941227">
      <w:pPr>
        <w:jc w:val="center"/>
        <w:rPr>
          <w:b/>
          <w:sz w:val="32"/>
          <w:szCs w:val="32"/>
        </w:rPr>
      </w:pPr>
      <w:r w:rsidRPr="00264D5D">
        <w:rPr>
          <w:b/>
          <w:sz w:val="32"/>
          <w:szCs w:val="32"/>
        </w:rPr>
        <w:t xml:space="preserve">Требования к форматам </w:t>
      </w:r>
      <w:r w:rsidR="00A744F0" w:rsidRPr="00264D5D">
        <w:rPr>
          <w:b/>
          <w:sz w:val="32"/>
          <w:szCs w:val="32"/>
          <w:lang w:val="en-US"/>
        </w:rPr>
        <w:t>xml</w:t>
      </w:r>
      <w:r w:rsidRPr="00264D5D">
        <w:rPr>
          <w:b/>
          <w:sz w:val="32"/>
          <w:szCs w:val="32"/>
        </w:rPr>
        <w:t>-сообщений, передаваемых</w:t>
      </w:r>
    </w:p>
    <w:p w14:paraId="27562F9E" w14:textId="77777777" w:rsidR="00AD1F54" w:rsidRPr="00264D5D" w:rsidRDefault="00941227">
      <w:pPr>
        <w:jc w:val="center"/>
        <w:rPr>
          <w:b/>
          <w:sz w:val="32"/>
          <w:szCs w:val="32"/>
        </w:rPr>
      </w:pPr>
      <w:r w:rsidRPr="00264D5D">
        <w:rPr>
          <w:b/>
          <w:sz w:val="32"/>
          <w:szCs w:val="32"/>
        </w:rPr>
        <w:t>подсистемами государственной интегрированной информационной системы управления общественными финансами «Электронный бюджет», внешними получателями в территориальные органы Федерального казначейства</w:t>
      </w:r>
    </w:p>
    <w:p w14:paraId="306D90A6" w14:textId="77777777" w:rsidR="00AD1F54" w:rsidRPr="00264D5D" w:rsidRDefault="00941227">
      <w:pPr>
        <w:spacing w:before="240" w:after="240"/>
        <w:jc w:val="center"/>
        <w:rPr>
          <w:b/>
          <w:sz w:val="32"/>
          <w:szCs w:val="32"/>
        </w:rPr>
      </w:pPr>
      <w:r w:rsidRPr="00264D5D">
        <w:rPr>
          <w:sz w:val="28"/>
          <w:szCs w:val="28"/>
        </w:rPr>
        <w:t>Версия</w:t>
      </w:r>
      <w:r w:rsidRPr="00264D5D">
        <w:rPr>
          <w:szCs w:val="28"/>
        </w:rPr>
        <w:t xml:space="preserve"> </w:t>
      </w:r>
      <w:r w:rsidRPr="00264D5D">
        <w:rPr>
          <w:sz w:val="28"/>
          <w:szCs w:val="28"/>
        </w:rPr>
        <w:t>3</w:t>
      </w:r>
      <w:r w:rsidR="00AA3181">
        <w:rPr>
          <w:sz w:val="28"/>
          <w:szCs w:val="28"/>
        </w:rPr>
        <w:t>7</w:t>
      </w:r>
      <w:r w:rsidRPr="00264D5D">
        <w:rPr>
          <w:sz w:val="28"/>
          <w:szCs w:val="28"/>
        </w:rPr>
        <w:t>.0</w:t>
      </w:r>
    </w:p>
    <w:p w14:paraId="7652F862" w14:textId="06603F63" w:rsidR="00AD1F54" w:rsidRPr="00264D5D" w:rsidRDefault="00941227">
      <w:pPr>
        <w:spacing w:before="240" w:after="240"/>
        <w:jc w:val="center"/>
        <w:rPr>
          <w:sz w:val="28"/>
          <w:szCs w:val="28"/>
        </w:rPr>
      </w:pPr>
      <w:r w:rsidRPr="00264D5D">
        <w:rPr>
          <w:sz w:val="28"/>
          <w:szCs w:val="28"/>
        </w:rPr>
        <w:t xml:space="preserve">Код документа: </w:t>
      </w:r>
      <w:r w:rsidRPr="00264D5D">
        <w:rPr>
          <w:sz w:val="28"/>
          <w:szCs w:val="28"/>
        </w:rPr>
        <w:fldChar w:fldCharType="begin"/>
      </w:r>
      <w:r w:rsidRPr="00264D5D">
        <w:rPr>
          <w:sz w:val="28"/>
          <w:szCs w:val="28"/>
        </w:rPr>
        <w:instrText xml:space="preserve"> DOCPROPERTY  DocCode  \* MERGEFORMAT </w:instrText>
      </w:r>
      <w:r w:rsidRPr="00264D5D">
        <w:rPr>
          <w:sz w:val="28"/>
          <w:szCs w:val="28"/>
        </w:rPr>
        <w:fldChar w:fldCharType="separate"/>
      </w:r>
      <w:r w:rsidR="008D797C">
        <w:rPr>
          <w:sz w:val="28"/>
          <w:szCs w:val="28"/>
        </w:rPr>
        <w:t>54819512.09.01,00(02,00).ТФ.017-37.00 1(2,5)</w:t>
      </w:r>
      <w:r w:rsidRPr="00264D5D">
        <w:rPr>
          <w:sz w:val="28"/>
          <w:szCs w:val="28"/>
        </w:rPr>
        <w:fldChar w:fldCharType="end"/>
      </w:r>
    </w:p>
    <w:p w14:paraId="680FBDC3" w14:textId="1D4C486C" w:rsidR="00AD1F54" w:rsidRPr="00264D5D" w:rsidRDefault="00941227">
      <w:pPr>
        <w:spacing w:before="400" w:after="400" w:line="360" w:lineRule="auto"/>
        <w:jc w:val="center"/>
        <w:rPr>
          <w:sz w:val="28"/>
          <w:szCs w:val="28"/>
        </w:rPr>
      </w:pPr>
      <w:r w:rsidRPr="00264D5D">
        <w:rPr>
          <w:sz w:val="28"/>
          <w:szCs w:val="28"/>
        </w:rPr>
        <w:t xml:space="preserve">Листов: </w:t>
      </w:r>
      <w:r w:rsidRPr="00264D5D">
        <w:rPr>
          <w:sz w:val="28"/>
          <w:szCs w:val="28"/>
        </w:rPr>
        <w:fldChar w:fldCharType="begin"/>
      </w:r>
      <w:r w:rsidRPr="00264D5D">
        <w:rPr>
          <w:sz w:val="28"/>
          <w:szCs w:val="28"/>
        </w:rPr>
        <w:instrText xml:space="preserve"> NUMPAGES   \* MERGEFORMAT </w:instrText>
      </w:r>
      <w:r w:rsidRPr="00264D5D">
        <w:rPr>
          <w:sz w:val="28"/>
          <w:szCs w:val="28"/>
        </w:rPr>
        <w:fldChar w:fldCharType="separate"/>
      </w:r>
      <w:r w:rsidR="008D797C">
        <w:rPr>
          <w:noProof/>
          <w:sz w:val="28"/>
          <w:szCs w:val="28"/>
        </w:rPr>
        <w:t>591</w:t>
      </w:r>
      <w:r w:rsidRPr="00264D5D">
        <w:rPr>
          <w:sz w:val="28"/>
          <w:szCs w:val="28"/>
        </w:rPr>
        <w:fldChar w:fldCharType="end"/>
      </w:r>
    </w:p>
    <w:p w14:paraId="3EEFCCEA" w14:textId="77777777" w:rsidR="00AD1F54" w:rsidRPr="00264D5D" w:rsidRDefault="00AD1F54">
      <w:pPr>
        <w:pStyle w:val="OTRTitulnamedoc"/>
        <w:spacing w:before="400" w:line="360" w:lineRule="auto"/>
        <w:rPr>
          <w:b w:val="0"/>
          <w:sz w:val="28"/>
        </w:rPr>
        <w:sectPr w:rsidR="00AD1F54" w:rsidRPr="00264D5D">
          <w:headerReference w:type="default" r:id="rId8"/>
          <w:headerReference w:type="first" r:id="rId9"/>
          <w:footerReference w:type="first" r:id="rId10"/>
          <w:pgSz w:w="11906" w:h="16838"/>
          <w:pgMar w:top="1134" w:right="567" w:bottom="851" w:left="1701" w:header="567" w:footer="284" w:gutter="0"/>
          <w:cols w:space="708"/>
          <w:titlePg/>
          <w:docGrid w:linePitch="360"/>
        </w:sectPr>
      </w:pPr>
    </w:p>
    <w:p w14:paraId="1094F624" w14:textId="77777777" w:rsidR="00AD1F54" w:rsidRPr="00264D5D" w:rsidRDefault="00941227">
      <w:pPr>
        <w:pStyle w:val="ASFKNormal"/>
        <w:spacing w:before="0" w:after="240"/>
        <w:ind w:firstLine="0"/>
        <w:contextualSpacing w:val="0"/>
        <w:jc w:val="center"/>
        <w:rPr>
          <w:b/>
          <w:sz w:val="32"/>
        </w:rPr>
      </w:pPr>
      <w:r w:rsidRPr="00264D5D">
        <w:rPr>
          <w:b/>
          <w:sz w:val="32"/>
        </w:rPr>
        <w:lastRenderedPageBreak/>
        <w:t>Аннотация</w:t>
      </w:r>
    </w:p>
    <w:p w14:paraId="3DB38158" w14:textId="77777777" w:rsidR="00AD1F54" w:rsidRPr="00264D5D" w:rsidRDefault="00941227">
      <w:pPr>
        <w:spacing w:before="60" w:after="120"/>
        <w:ind w:firstLine="567"/>
        <w:contextualSpacing/>
        <w:rPr>
          <w:sz w:val="22"/>
          <w:szCs w:val="22"/>
        </w:rPr>
      </w:pPr>
      <w:r w:rsidRPr="00264D5D">
        <w:rPr>
          <w:szCs w:val="22"/>
        </w:rPr>
        <w:t xml:space="preserve">Документ «Требования к форматам обмена, используемым при информационном взаимодействии между </w:t>
      </w:r>
      <w:r w:rsidRPr="00264D5D">
        <w:t xml:space="preserve">территориальными </w:t>
      </w:r>
      <w:r w:rsidRPr="00264D5D">
        <w:rPr>
          <w:szCs w:val="22"/>
        </w:rPr>
        <w:t>органами Федерального казначейства и участниками бюджетного процесса, неучастниками бюджетного процесса, бюджетными учреждениями, автономными учреждениями, Счетной палатой. Том 7.</w:t>
      </w:r>
      <w:r w:rsidRPr="00264D5D">
        <w:rPr>
          <w:sz w:val="22"/>
          <w:szCs w:val="22"/>
        </w:rPr>
        <w:t xml:space="preserve"> </w:t>
      </w:r>
      <w:r w:rsidRPr="00264D5D">
        <w:rPr>
          <w:szCs w:val="22"/>
        </w:rPr>
        <w:t xml:space="preserve">Требования к форматам </w:t>
      </w:r>
      <w:r w:rsidR="00A744F0" w:rsidRPr="00264D5D">
        <w:rPr>
          <w:szCs w:val="22"/>
          <w:lang w:val="en-US"/>
        </w:rPr>
        <w:t>xml</w:t>
      </w:r>
      <w:r w:rsidRPr="00264D5D">
        <w:rPr>
          <w:szCs w:val="22"/>
        </w:rPr>
        <w:t xml:space="preserve">-сообщений, передаваемых подсистемами государственной интегрированной информационной системы управления общественными финансами «Электронный бюджет», внешними получателями в </w:t>
      </w:r>
      <w:r w:rsidRPr="00264D5D">
        <w:t xml:space="preserve">территориальные </w:t>
      </w:r>
      <w:r w:rsidRPr="00264D5D">
        <w:rPr>
          <w:szCs w:val="22"/>
        </w:rPr>
        <w:t>органы Федерального казначейства» создан для:</w:t>
      </w:r>
    </w:p>
    <w:p w14:paraId="2A75E4A3" w14:textId="77777777" w:rsidR="00AD1F54" w:rsidRPr="00264D5D" w:rsidRDefault="00941227">
      <w:pPr>
        <w:numPr>
          <w:ilvl w:val="0"/>
          <w:numId w:val="1"/>
        </w:numPr>
      </w:pPr>
      <w:r w:rsidRPr="00264D5D">
        <w:t>прикладного программного обеспечения «Автоматизированная система Федерального казначейства (Oracle E-</w:t>
      </w:r>
      <w:r w:rsidRPr="00264D5D">
        <w:rPr>
          <w:lang w:val="en-US"/>
        </w:rPr>
        <w:t>Business</w:t>
      </w:r>
      <w:r w:rsidRPr="00264D5D">
        <w:t xml:space="preserve"> </w:t>
      </w:r>
      <w:r w:rsidRPr="00264D5D">
        <w:rPr>
          <w:lang w:val="en-US"/>
        </w:rPr>
        <w:t>Suite</w:t>
      </w:r>
      <w:r w:rsidRPr="00264D5D">
        <w:t xml:space="preserve">)» (ППО OEBS АСФК), обеспечивающего реализацию учетных функций автоматизированной системы Федерального казначейства и формирование отчетности; </w:t>
      </w:r>
    </w:p>
    <w:p w14:paraId="07D108A0" w14:textId="77777777" w:rsidR="00AD1F54" w:rsidRPr="00264D5D" w:rsidRDefault="00941227">
      <w:pPr>
        <w:numPr>
          <w:ilvl w:val="0"/>
          <w:numId w:val="1"/>
        </w:numPr>
      </w:pPr>
      <w:r w:rsidRPr="00264D5D">
        <w:t>прикладного программного обеспечения «Система удаленного финансового документооборота» (ППО СУФД АСФК), обеспечивающего реализацию юридически значимого информационного обмена между подсистемами автоматизированной системы Федерального казначейства;</w:t>
      </w:r>
    </w:p>
    <w:p w14:paraId="79449992" w14:textId="77777777" w:rsidR="00AD1F54" w:rsidRPr="00264D5D" w:rsidRDefault="00941227">
      <w:pPr>
        <w:numPr>
          <w:ilvl w:val="0"/>
          <w:numId w:val="1"/>
        </w:numPr>
      </w:pPr>
      <w:r w:rsidRPr="00264D5D">
        <w:t>прикладного программного обеспечение модуля «Система электронного документооборота», обеспечивающего гарантированную доставку электронных документов (ППО «СЭД»);</w:t>
      </w:r>
    </w:p>
    <w:p w14:paraId="57C45FC3" w14:textId="77777777" w:rsidR="00AD1F54" w:rsidRPr="00264D5D" w:rsidRDefault="00941227">
      <w:pPr>
        <w:pStyle w:val="GOSTListmark1"/>
        <w:numPr>
          <w:ilvl w:val="0"/>
          <w:numId w:val="1"/>
        </w:numPr>
        <w:jc w:val="both"/>
      </w:pPr>
      <w:r w:rsidRPr="00264D5D">
        <w:t>компонента казначейского сопровождения модуля ведения операций по исполнению обязательств участников бюджетного процесса и операций со средствами юридических лиц, не являющихся участниками бюджетного процесса, подсистемы управления расходами государственной интегрированной информационной системы управления общественными финансами «Электронный бюджет»;</w:t>
      </w:r>
    </w:p>
    <w:p w14:paraId="239AA112" w14:textId="77777777" w:rsidR="00AD1F54" w:rsidRPr="00264D5D" w:rsidRDefault="00941227">
      <w:pPr>
        <w:pStyle w:val="GOSTListmark1"/>
        <w:numPr>
          <w:ilvl w:val="0"/>
          <w:numId w:val="1"/>
        </w:numPr>
        <w:jc w:val="both"/>
      </w:pPr>
      <w:r w:rsidRPr="00264D5D">
        <w:t>подсистемы управления расходами, государственной интегрированной информационной системы управления общественными финансами «Электронный бюджет»;</w:t>
      </w:r>
    </w:p>
    <w:p w14:paraId="7E21F239" w14:textId="77777777" w:rsidR="00AD1F54" w:rsidRPr="00264D5D" w:rsidRDefault="00941227">
      <w:pPr>
        <w:pStyle w:val="GOSTListmark1"/>
        <w:numPr>
          <w:ilvl w:val="0"/>
          <w:numId w:val="1"/>
        </w:numPr>
        <w:jc w:val="both"/>
      </w:pPr>
      <w:r w:rsidRPr="00264D5D">
        <w:t>подсистемы управления доходами, государственной интегрированной информационной системы управления общественными финансами «Электронный бюджет».</w:t>
      </w:r>
    </w:p>
    <w:p w14:paraId="775667DE" w14:textId="77777777" w:rsidR="00AD1F54" w:rsidRPr="00264D5D" w:rsidRDefault="00941227">
      <w:pPr>
        <w:spacing w:before="60" w:after="120"/>
        <w:ind w:firstLine="567"/>
        <w:contextualSpacing/>
        <w:rPr>
          <w:szCs w:val="22"/>
        </w:rPr>
      </w:pPr>
      <w:r w:rsidRPr="00264D5D">
        <w:rPr>
          <w:szCs w:val="22"/>
        </w:rPr>
        <w:t>Документ соответствует 32.1</w:t>
      </w:r>
      <w:r w:rsidR="00AA3181">
        <w:rPr>
          <w:szCs w:val="22"/>
        </w:rPr>
        <w:t>6</w:t>
      </w:r>
      <w:r w:rsidRPr="00264D5D">
        <w:rPr>
          <w:szCs w:val="22"/>
        </w:rPr>
        <w:t>.0 версии программного обеспечения.</w:t>
      </w:r>
    </w:p>
    <w:p w14:paraId="48DBB6E5" w14:textId="77777777" w:rsidR="00AD1F54" w:rsidRPr="00264D5D" w:rsidRDefault="00941227">
      <w:pPr>
        <w:spacing w:before="60" w:after="120"/>
        <w:ind w:firstLine="567"/>
        <w:contextualSpacing/>
        <w:rPr>
          <w:szCs w:val="22"/>
        </w:rPr>
        <w:sectPr w:rsidR="00AD1F54" w:rsidRPr="00264D5D">
          <w:headerReference w:type="even" r:id="rId11"/>
          <w:headerReference w:type="default" r:id="rId12"/>
          <w:headerReference w:type="first" r:id="rId13"/>
          <w:footerReference w:type="first" r:id="rId14"/>
          <w:pgSz w:w="11906" w:h="16838"/>
          <w:pgMar w:top="1134" w:right="567" w:bottom="851" w:left="1701" w:header="567" w:footer="284" w:gutter="0"/>
          <w:pgNumType w:start="2"/>
          <w:cols w:space="60"/>
          <w:docGrid w:linePitch="360"/>
        </w:sectPr>
      </w:pPr>
      <w:r w:rsidRPr="00264D5D">
        <w:t>Документ относится к Автоматизированной системе Федерального казначейства (подсистемы «СУФД» (01,00), «OEBS» (02,00))</w:t>
      </w:r>
      <w:r w:rsidRPr="00264D5D">
        <w:rPr>
          <w:szCs w:val="22"/>
        </w:rPr>
        <w:t xml:space="preserve">. Также касается </w:t>
      </w:r>
      <w:r w:rsidRPr="00264D5D">
        <w:t xml:space="preserve">подсистема управления доходами государственной интегрированной информационной системы управления общественными финансами «Электронный бюджет» (02,00), </w:t>
      </w:r>
      <w:r w:rsidRPr="00264D5D">
        <w:rPr>
          <w:szCs w:val="22"/>
        </w:rPr>
        <w:t>подсистемы управления расходами государственной интегрированной информационной системы управления общественными финансами «Электронный бюджет» (05,00), компонента казначейского сопровождения модуля ведения операций по исполнению обязательств участников бюджетного процесса и операций со средствами юридических лиц, не являющихся участниками бюджетного процесса, подсистемы управления расходами государственной интегрированной информационной системы управления общественными финансами «Электронный бюджет» (05,09).</w:t>
      </w:r>
    </w:p>
    <w:p w14:paraId="300443C9" w14:textId="77777777" w:rsidR="00AD1F54" w:rsidRPr="00264D5D" w:rsidRDefault="00941227">
      <w:pPr>
        <w:pStyle w:val="GOSTSign"/>
      </w:pPr>
      <w:r w:rsidRPr="00264D5D">
        <w:lastRenderedPageBreak/>
        <w:t>Содержание</w:t>
      </w:r>
      <w:bookmarkEnd w:id="0"/>
      <w:bookmarkEnd w:id="1"/>
    </w:p>
    <w:bookmarkStart w:id="7" w:name="_Ref106791029"/>
    <w:bookmarkStart w:id="8" w:name="_Toc107037949"/>
    <w:p w14:paraId="2FA8E93F" w14:textId="77777777" w:rsidR="008D797C" w:rsidRDefault="00941227">
      <w:pPr>
        <w:pStyle w:val="16"/>
        <w:rPr>
          <w:rFonts w:asciiTheme="minorHAnsi" w:eastAsiaTheme="minorEastAsia" w:hAnsiTheme="minorHAnsi" w:cstheme="minorBidi"/>
          <w:b w:val="0"/>
          <w:caps w:val="0"/>
          <w:noProof/>
          <w:sz w:val="22"/>
          <w:szCs w:val="22"/>
        </w:rPr>
      </w:pPr>
      <w:r w:rsidRPr="00264D5D">
        <w:rPr>
          <w:sz w:val="22"/>
          <w:szCs w:val="22"/>
        </w:rPr>
        <w:fldChar w:fldCharType="begin"/>
      </w:r>
      <w:r w:rsidRPr="00264D5D">
        <w:rPr>
          <w:sz w:val="22"/>
          <w:szCs w:val="22"/>
        </w:rPr>
        <w:instrText xml:space="preserve"> TOC \o "1-3" \h \z \u </w:instrText>
      </w:r>
      <w:r w:rsidRPr="00264D5D">
        <w:rPr>
          <w:sz w:val="22"/>
          <w:szCs w:val="22"/>
        </w:rPr>
        <w:fldChar w:fldCharType="separate"/>
      </w:r>
      <w:hyperlink w:anchor="_Toc219309429" w:history="1">
        <w:r w:rsidR="008D797C" w:rsidRPr="00087766">
          <w:rPr>
            <w:rStyle w:val="af7"/>
            <w:noProof/>
          </w:rPr>
          <w:t>Перечень таблиц</w:t>
        </w:r>
        <w:r w:rsidR="008D797C">
          <w:rPr>
            <w:noProof/>
            <w:webHidden/>
          </w:rPr>
          <w:tab/>
        </w:r>
        <w:r w:rsidR="008D797C">
          <w:rPr>
            <w:noProof/>
            <w:webHidden/>
          </w:rPr>
          <w:fldChar w:fldCharType="begin"/>
        </w:r>
        <w:r w:rsidR="008D797C">
          <w:rPr>
            <w:noProof/>
            <w:webHidden/>
          </w:rPr>
          <w:instrText xml:space="preserve"> PAGEREF _Toc219309429 \h </w:instrText>
        </w:r>
        <w:r w:rsidR="008D797C">
          <w:rPr>
            <w:noProof/>
            <w:webHidden/>
          </w:rPr>
        </w:r>
        <w:r w:rsidR="008D797C">
          <w:rPr>
            <w:noProof/>
            <w:webHidden/>
          </w:rPr>
          <w:fldChar w:fldCharType="separate"/>
        </w:r>
        <w:r w:rsidR="008D797C">
          <w:rPr>
            <w:noProof/>
            <w:webHidden/>
          </w:rPr>
          <w:t>14</w:t>
        </w:r>
        <w:r w:rsidR="008D797C">
          <w:rPr>
            <w:noProof/>
            <w:webHidden/>
          </w:rPr>
          <w:fldChar w:fldCharType="end"/>
        </w:r>
      </w:hyperlink>
    </w:p>
    <w:p w14:paraId="7E08ECBA" w14:textId="77777777" w:rsidR="008D797C" w:rsidRDefault="008D797C">
      <w:pPr>
        <w:pStyle w:val="16"/>
        <w:rPr>
          <w:rFonts w:asciiTheme="minorHAnsi" w:eastAsiaTheme="minorEastAsia" w:hAnsiTheme="minorHAnsi" w:cstheme="minorBidi"/>
          <w:b w:val="0"/>
          <w:caps w:val="0"/>
          <w:noProof/>
          <w:sz w:val="22"/>
          <w:szCs w:val="22"/>
        </w:rPr>
      </w:pPr>
      <w:hyperlink w:anchor="_Toc219309430" w:history="1">
        <w:r w:rsidRPr="00087766">
          <w:rPr>
            <w:rStyle w:val="af7"/>
            <w:noProof/>
          </w:rPr>
          <w:t>1.</w:t>
        </w:r>
        <w:r>
          <w:rPr>
            <w:rFonts w:asciiTheme="minorHAnsi" w:eastAsiaTheme="minorEastAsia" w:hAnsiTheme="minorHAnsi" w:cstheme="minorBidi"/>
            <w:b w:val="0"/>
            <w:caps w:val="0"/>
            <w:noProof/>
            <w:sz w:val="22"/>
            <w:szCs w:val="22"/>
          </w:rPr>
          <w:tab/>
        </w:r>
        <w:r w:rsidRPr="00087766">
          <w:rPr>
            <w:rStyle w:val="af7"/>
            <w:noProof/>
          </w:rPr>
          <w:t>Введение</w:t>
        </w:r>
        <w:r>
          <w:rPr>
            <w:noProof/>
            <w:webHidden/>
          </w:rPr>
          <w:tab/>
        </w:r>
        <w:r>
          <w:rPr>
            <w:noProof/>
            <w:webHidden/>
          </w:rPr>
          <w:fldChar w:fldCharType="begin"/>
        </w:r>
        <w:r>
          <w:rPr>
            <w:noProof/>
            <w:webHidden/>
          </w:rPr>
          <w:instrText xml:space="preserve"> PAGEREF _Toc219309430 \h </w:instrText>
        </w:r>
        <w:r>
          <w:rPr>
            <w:noProof/>
            <w:webHidden/>
          </w:rPr>
        </w:r>
        <w:r>
          <w:rPr>
            <w:noProof/>
            <w:webHidden/>
          </w:rPr>
          <w:fldChar w:fldCharType="separate"/>
        </w:r>
        <w:r>
          <w:rPr>
            <w:noProof/>
            <w:webHidden/>
          </w:rPr>
          <w:t>24</w:t>
        </w:r>
        <w:r>
          <w:rPr>
            <w:noProof/>
            <w:webHidden/>
          </w:rPr>
          <w:fldChar w:fldCharType="end"/>
        </w:r>
      </w:hyperlink>
    </w:p>
    <w:p w14:paraId="376E896B" w14:textId="77777777" w:rsidR="008D797C" w:rsidRDefault="008D797C">
      <w:pPr>
        <w:pStyle w:val="16"/>
        <w:rPr>
          <w:rFonts w:asciiTheme="minorHAnsi" w:eastAsiaTheme="minorEastAsia" w:hAnsiTheme="minorHAnsi" w:cstheme="minorBidi"/>
          <w:b w:val="0"/>
          <w:caps w:val="0"/>
          <w:noProof/>
          <w:sz w:val="22"/>
          <w:szCs w:val="22"/>
        </w:rPr>
      </w:pPr>
      <w:hyperlink w:anchor="_Toc219309431" w:history="1">
        <w:r w:rsidRPr="00087766">
          <w:rPr>
            <w:rStyle w:val="af7"/>
            <w:noProof/>
            <w:highlight w:val="green"/>
          </w:rPr>
          <w:t>2.</w:t>
        </w:r>
        <w:r>
          <w:rPr>
            <w:rFonts w:asciiTheme="minorHAnsi" w:eastAsiaTheme="minorEastAsia" w:hAnsiTheme="minorHAnsi" w:cstheme="minorBidi"/>
            <w:b w:val="0"/>
            <w:caps w:val="0"/>
            <w:noProof/>
            <w:sz w:val="22"/>
            <w:szCs w:val="22"/>
          </w:rPr>
          <w:tab/>
        </w:r>
        <w:r w:rsidRPr="00087766">
          <w:rPr>
            <w:rStyle w:val="af7"/>
            <w:noProof/>
            <w:highlight w:val="green"/>
          </w:rPr>
          <w:t>Сокращения и определения</w:t>
        </w:r>
        <w:r>
          <w:rPr>
            <w:noProof/>
            <w:webHidden/>
          </w:rPr>
          <w:tab/>
        </w:r>
        <w:r>
          <w:rPr>
            <w:noProof/>
            <w:webHidden/>
          </w:rPr>
          <w:fldChar w:fldCharType="begin"/>
        </w:r>
        <w:r>
          <w:rPr>
            <w:noProof/>
            <w:webHidden/>
          </w:rPr>
          <w:instrText xml:space="preserve"> PAGEREF _Toc219309431 \h </w:instrText>
        </w:r>
        <w:r>
          <w:rPr>
            <w:noProof/>
            <w:webHidden/>
          </w:rPr>
        </w:r>
        <w:r>
          <w:rPr>
            <w:noProof/>
            <w:webHidden/>
          </w:rPr>
          <w:fldChar w:fldCharType="separate"/>
        </w:r>
        <w:r>
          <w:rPr>
            <w:noProof/>
            <w:webHidden/>
          </w:rPr>
          <w:t>25</w:t>
        </w:r>
        <w:r>
          <w:rPr>
            <w:noProof/>
            <w:webHidden/>
          </w:rPr>
          <w:fldChar w:fldCharType="end"/>
        </w:r>
      </w:hyperlink>
    </w:p>
    <w:p w14:paraId="269A8C70" w14:textId="77777777" w:rsidR="008D797C" w:rsidRDefault="008D797C">
      <w:pPr>
        <w:pStyle w:val="16"/>
        <w:rPr>
          <w:rFonts w:asciiTheme="minorHAnsi" w:eastAsiaTheme="minorEastAsia" w:hAnsiTheme="minorHAnsi" w:cstheme="minorBidi"/>
          <w:b w:val="0"/>
          <w:caps w:val="0"/>
          <w:noProof/>
          <w:sz w:val="22"/>
          <w:szCs w:val="22"/>
        </w:rPr>
      </w:pPr>
      <w:hyperlink w:anchor="_Toc219309432" w:history="1">
        <w:r w:rsidRPr="00087766">
          <w:rPr>
            <w:rStyle w:val="af7"/>
            <w:noProof/>
            <w:highlight w:val="green"/>
          </w:rPr>
          <w:t>3.</w:t>
        </w:r>
        <w:r>
          <w:rPr>
            <w:rFonts w:asciiTheme="minorHAnsi" w:eastAsiaTheme="minorEastAsia" w:hAnsiTheme="minorHAnsi" w:cstheme="minorBidi"/>
            <w:b w:val="0"/>
            <w:caps w:val="0"/>
            <w:noProof/>
            <w:sz w:val="22"/>
            <w:szCs w:val="22"/>
          </w:rPr>
          <w:tab/>
        </w:r>
        <w:r w:rsidRPr="00087766">
          <w:rPr>
            <w:rStyle w:val="af7"/>
            <w:noProof/>
            <w:highlight w:val="green"/>
          </w:rPr>
          <w:t>Общие требования к формату сообщений документов и справочников</w:t>
        </w:r>
        <w:r>
          <w:rPr>
            <w:noProof/>
            <w:webHidden/>
          </w:rPr>
          <w:tab/>
        </w:r>
        <w:r>
          <w:rPr>
            <w:noProof/>
            <w:webHidden/>
          </w:rPr>
          <w:fldChar w:fldCharType="begin"/>
        </w:r>
        <w:r>
          <w:rPr>
            <w:noProof/>
            <w:webHidden/>
          </w:rPr>
          <w:instrText xml:space="preserve"> PAGEREF _Toc219309432 \h </w:instrText>
        </w:r>
        <w:r>
          <w:rPr>
            <w:noProof/>
            <w:webHidden/>
          </w:rPr>
        </w:r>
        <w:r>
          <w:rPr>
            <w:noProof/>
            <w:webHidden/>
          </w:rPr>
          <w:fldChar w:fldCharType="separate"/>
        </w:r>
        <w:r>
          <w:rPr>
            <w:noProof/>
            <w:webHidden/>
          </w:rPr>
          <w:t>34</w:t>
        </w:r>
        <w:r>
          <w:rPr>
            <w:noProof/>
            <w:webHidden/>
          </w:rPr>
          <w:fldChar w:fldCharType="end"/>
        </w:r>
      </w:hyperlink>
    </w:p>
    <w:p w14:paraId="120A71DE" w14:textId="77777777" w:rsidR="008D797C" w:rsidRDefault="008D797C">
      <w:pPr>
        <w:pStyle w:val="16"/>
        <w:rPr>
          <w:rFonts w:asciiTheme="minorHAnsi" w:eastAsiaTheme="minorEastAsia" w:hAnsiTheme="minorHAnsi" w:cstheme="minorBidi"/>
          <w:b w:val="0"/>
          <w:caps w:val="0"/>
          <w:noProof/>
          <w:sz w:val="22"/>
          <w:szCs w:val="22"/>
        </w:rPr>
      </w:pPr>
      <w:hyperlink w:anchor="_Toc219309433" w:history="1">
        <w:r w:rsidRPr="00087766">
          <w:rPr>
            <w:rStyle w:val="af7"/>
            <w:noProof/>
          </w:rPr>
          <w:t>4.</w:t>
        </w:r>
        <w:r>
          <w:rPr>
            <w:rFonts w:asciiTheme="minorHAnsi" w:eastAsiaTheme="minorEastAsia" w:hAnsiTheme="minorHAnsi" w:cstheme="minorBidi"/>
            <w:b w:val="0"/>
            <w:caps w:val="0"/>
            <w:noProof/>
            <w:sz w:val="22"/>
            <w:szCs w:val="22"/>
          </w:rPr>
          <w:tab/>
        </w:r>
        <w:r w:rsidRPr="00087766">
          <w:rPr>
            <w:rStyle w:val="af7"/>
            <w:noProof/>
          </w:rPr>
          <w:t>Описание информационного взаимодействия</w:t>
        </w:r>
        <w:r>
          <w:rPr>
            <w:noProof/>
            <w:webHidden/>
          </w:rPr>
          <w:tab/>
        </w:r>
        <w:r>
          <w:rPr>
            <w:noProof/>
            <w:webHidden/>
          </w:rPr>
          <w:fldChar w:fldCharType="begin"/>
        </w:r>
        <w:r>
          <w:rPr>
            <w:noProof/>
            <w:webHidden/>
          </w:rPr>
          <w:instrText xml:space="preserve"> PAGEREF _Toc219309433 \h </w:instrText>
        </w:r>
        <w:r>
          <w:rPr>
            <w:noProof/>
            <w:webHidden/>
          </w:rPr>
        </w:r>
        <w:r>
          <w:rPr>
            <w:noProof/>
            <w:webHidden/>
          </w:rPr>
          <w:fldChar w:fldCharType="separate"/>
        </w:r>
        <w:r>
          <w:rPr>
            <w:noProof/>
            <w:webHidden/>
          </w:rPr>
          <w:t>48</w:t>
        </w:r>
        <w:r>
          <w:rPr>
            <w:noProof/>
            <w:webHidden/>
          </w:rPr>
          <w:fldChar w:fldCharType="end"/>
        </w:r>
      </w:hyperlink>
    </w:p>
    <w:p w14:paraId="35BF0892" w14:textId="77777777" w:rsidR="008D797C" w:rsidRDefault="008D797C">
      <w:pPr>
        <w:pStyle w:val="2a"/>
        <w:tabs>
          <w:tab w:val="left" w:pos="960"/>
          <w:tab w:val="right" w:leader="dot" w:pos="9628"/>
        </w:tabs>
        <w:rPr>
          <w:rFonts w:asciiTheme="minorHAnsi" w:eastAsiaTheme="minorEastAsia" w:hAnsiTheme="minorHAnsi" w:cstheme="minorBidi"/>
          <w:noProof/>
          <w:sz w:val="22"/>
          <w:szCs w:val="22"/>
        </w:rPr>
      </w:pPr>
      <w:hyperlink w:anchor="_Toc219309434" w:history="1">
        <w:r w:rsidRPr="00087766">
          <w:rPr>
            <w:rStyle w:val="af7"/>
            <w:noProof/>
          </w:rPr>
          <w:t>4.1.</w:t>
        </w:r>
        <w:r>
          <w:rPr>
            <w:rFonts w:asciiTheme="minorHAnsi" w:eastAsiaTheme="minorEastAsia" w:hAnsiTheme="minorHAnsi" w:cstheme="minorBidi"/>
            <w:noProof/>
            <w:sz w:val="22"/>
            <w:szCs w:val="22"/>
          </w:rPr>
          <w:tab/>
        </w:r>
        <w:r w:rsidRPr="00087766">
          <w:rPr>
            <w:rStyle w:val="af7"/>
            <w:noProof/>
          </w:rPr>
          <w:t>Версионность сообщений</w:t>
        </w:r>
        <w:r>
          <w:rPr>
            <w:noProof/>
            <w:webHidden/>
          </w:rPr>
          <w:tab/>
        </w:r>
        <w:r>
          <w:rPr>
            <w:noProof/>
            <w:webHidden/>
          </w:rPr>
          <w:fldChar w:fldCharType="begin"/>
        </w:r>
        <w:r>
          <w:rPr>
            <w:noProof/>
            <w:webHidden/>
          </w:rPr>
          <w:instrText xml:space="preserve"> PAGEREF _Toc219309434 \h </w:instrText>
        </w:r>
        <w:r>
          <w:rPr>
            <w:noProof/>
            <w:webHidden/>
          </w:rPr>
        </w:r>
        <w:r>
          <w:rPr>
            <w:noProof/>
            <w:webHidden/>
          </w:rPr>
          <w:fldChar w:fldCharType="separate"/>
        </w:r>
        <w:r>
          <w:rPr>
            <w:noProof/>
            <w:webHidden/>
          </w:rPr>
          <w:t>48</w:t>
        </w:r>
        <w:r>
          <w:rPr>
            <w:noProof/>
            <w:webHidden/>
          </w:rPr>
          <w:fldChar w:fldCharType="end"/>
        </w:r>
      </w:hyperlink>
    </w:p>
    <w:p w14:paraId="7CB8A858" w14:textId="77777777" w:rsidR="008D797C" w:rsidRDefault="008D797C">
      <w:pPr>
        <w:pStyle w:val="2a"/>
        <w:tabs>
          <w:tab w:val="left" w:pos="960"/>
          <w:tab w:val="right" w:leader="dot" w:pos="9628"/>
        </w:tabs>
        <w:rPr>
          <w:rFonts w:asciiTheme="minorHAnsi" w:eastAsiaTheme="minorEastAsia" w:hAnsiTheme="minorHAnsi" w:cstheme="minorBidi"/>
          <w:noProof/>
          <w:sz w:val="22"/>
          <w:szCs w:val="22"/>
        </w:rPr>
      </w:pPr>
      <w:hyperlink w:anchor="_Toc219309435" w:history="1">
        <w:r w:rsidRPr="00087766">
          <w:rPr>
            <w:rStyle w:val="af7"/>
            <w:noProof/>
          </w:rPr>
          <w:t>4.2.</w:t>
        </w:r>
        <w:r>
          <w:rPr>
            <w:rFonts w:asciiTheme="minorHAnsi" w:eastAsiaTheme="minorEastAsia" w:hAnsiTheme="minorHAnsi" w:cstheme="minorBidi"/>
            <w:noProof/>
            <w:sz w:val="22"/>
            <w:szCs w:val="22"/>
          </w:rPr>
          <w:tab/>
        </w:r>
        <w:r w:rsidRPr="00087766">
          <w:rPr>
            <w:rStyle w:val="af7"/>
            <w:noProof/>
          </w:rPr>
          <w:t>Кодировка сообщений</w:t>
        </w:r>
        <w:r>
          <w:rPr>
            <w:noProof/>
            <w:webHidden/>
          </w:rPr>
          <w:tab/>
        </w:r>
        <w:r>
          <w:rPr>
            <w:noProof/>
            <w:webHidden/>
          </w:rPr>
          <w:fldChar w:fldCharType="begin"/>
        </w:r>
        <w:r>
          <w:rPr>
            <w:noProof/>
            <w:webHidden/>
          </w:rPr>
          <w:instrText xml:space="preserve"> PAGEREF _Toc219309435 \h </w:instrText>
        </w:r>
        <w:r>
          <w:rPr>
            <w:noProof/>
            <w:webHidden/>
          </w:rPr>
        </w:r>
        <w:r>
          <w:rPr>
            <w:noProof/>
            <w:webHidden/>
          </w:rPr>
          <w:fldChar w:fldCharType="separate"/>
        </w:r>
        <w:r>
          <w:rPr>
            <w:noProof/>
            <w:webHidden/>
          </w:rPr>
          <w:t>48</w:t>
        </w:r>
        <w:r>
          <w:rPr>
            <w:noProof/>
            <w:webHidden/>
          </w:rPr>
          <w:fldChar w:fldCharType="end"/>
        </w:r>
      </w:hyperlink>
    </w:p>
    <w:p w14:paraId="531F39F8" w14:textId="77777777" w:rsidR="008D797C" w:rsidRDefault="008D797C">
      <w:pPr>
        <w:pStyle w:val="2a"/>
        <w:tabs>
          <w:tab w:val="left" w:pos="960"/>
          <w:tab w:val="right" w:leader="dot" w:pos="9628"/>
        </w:tabs>
        <w:rPr>
          <w:rFonts w:asciiTheme="minorHAnsi" w:eastAsiaTheme="minorEastAsia" w:hAnsiTheme="minorHAnsi" w:cstheme="minorBidi"/>
          <w:noProof/>
          <w:sz w:val="22"/>
          <w:szCs w:val="22"/>
        </w:rPr>
      </w:pPr>
      <w:hyperlink w:anchor="_Toc219309436" w:history="1">
        <w:r w:rsidRPr="00087766">
          <w:rPr>
            <w:rStyle w:val="af7"/>
            <w:noProof/>
          </w:rPr>
          <w:t>4.3.</w:t>
        </w:r>
        <w:r>
          <w:rPr>
            <w:rFonts w:asciiTheme="minorHAnsi" w:eastAsiaTheme="minorEastAsia" w:hAnsiTheme="minorHAnsi" w:cstheme="minorBidi"/>
            <w:noProof/>
            <w:sz w:val="22"/>
            <w:szCs w:val="22"/>
          </w:rPr>
          <w:tab/>
        </w:r>
        <w:r w:rsidRPr="00087766">
          <w:rPr>
            <w:rStyle w:val="af7"/>
            <w:noProof/>
          </w:rPr>
          <w:t>Описание сообщения обмена</w:t>
        </w:r>
        <w:r>
          <w:rPr>
            <w:noProof/>
            <w:webHidden/>
          </w:rPr>
          <w:tab/>
        </w:r>
        <w:r>
          <w:rPr>
            <w:noProof/>
            <w:webHidden/>
          </w:rPr>
          <w:fldChar w:fldCharType="begin"/>
        </w:r>
        <w:r>
          <w:rPr>
            <w:noProof/>
            <w:webHidden/>
          </w:rPr>
          <w:instrText xml:space="preserve"> PAGEREF _Toc219309436 \h </w:instrText>
        </w:r>
        <w:r>
          <w:rPr>
            <w:noProof/>
            <w:webHidden/>
          </w:rPr>
        </w:r>
        <w:r>
          <w:rPr>
            <w:noProof/>
            <w:webHidden/>
          </w:rPr>
          <w:fldChar w:fldCharType="separate"/>
        </w:r>
        <w:r>
          <w:rPr>
            <w:noProof/>
            <w:webHidden/>
          </w:rPr>
          <w:t>48</w:t>
        </w:r>
        <w:r>
          <w:rPr>
            <w:noProof/>
            <w:webHidden/>
          </w:rPr>
          <w:fldChar w:fldCharType="end"/>
        </w:r>
      </w:hyperlink>
    </w:p>
    <w:p w14:paraId="6FFFBEA0" w14:textId="77777777" w:rsidR="008D797C" w:rsidRDefault="008D797C">
      <w:pPr>
        <w:pStyle w:val="16"/>
        <w:rPr>
          <w:rFonts w:asciiTheme="minorHAnsi" w:eastAsiaTheme="minorEastAsia" w:hAnsiTheme="minorHAnsi" w:cstheme="minorBidi"/>
          <w:b w:val="0"/>
          <w:caps w:val="0"/>
          <w:noProof/>
          <w:sz w:val="22"/>
          <w:szCs w:val="22"/>
        </w:rPr>
      </w:pPr>
      <w:hyperlink w:anchor="_Toc219309437" w:history="1">
        <w:r w:rsidRPr="00087766">
          <w:rPr>
            <w:rStyle w:val="af7"/>
            <w:noProof/>
            <w:highlight w:val="green"/>
          </w:rPr>
          <w:t>5.</w:t>
        </w:r>
        <w:r>
          <w:rPr>
            <w:rFonts w:asciiTheme="minorHAnsi" w:eastAsiaTheme="minorEastAsia" w:hAnsiTheme="minorHAnsi" w:cstheme="minorBidi"/>
            <w:b w:val="0"/>
            <w:caps w:val="0"/>
            <w:noProof/>
            <w:sz w:val="22"/>
            <w:szCs w:val="22"/>
          </w:rPr>
          <w:tab/>
        </w:r>
        <w:r w:rsidRPr="00087766">
          <w:rPr>
            <w:rStyle w:val="af7"/>
            <w:noProof/>
            <w:highlight w:val="green"/>
          </w:rPr>
          <w:t>Описание структуры XML</w:t>
        </w:r>
        <w:r>
          <w:rPr>
            <w:noProof/>
            <w:webHidden/>
          </w:rPr>
          <w:tab/>
        </w:r>
        <w:r>
          <w:rPr>
            <w:noProof/>
            <w:webHidden/>
          </w:rPr>
          <w:fldChar w:fldCharType="begin"/>
        </w:r>
        <w:r>
          <w:rPr>
            <w:noProof/>
            <w:webHidden/>
          </w:rPr>
          <w:instrText xml:space="preserve"> PAGEREF _Toc219309437 \h </w:instrText>
        </w:r>
        <w:r>
          <w:rPr>
            <w:noProof/>
            <w:webHidden/>
          </w:rPr>
        </w:r>
        <w:r>
          <w:rPr>
            <w:noProof/>
            <w:webHidden/>
          </w:rPr>
          <w:fldChar w:fldCharType="separate"/>
        </w:r>
        <w:r>
          <w:rPr>
            <w:noProof/>
            <w:webHidden/>
          </w:rPr>
          <w:t>50</w:t>
        </w:r>
        <w:r>
          <w:rPr>
            <w:noProof/>
            <w:webHidden/>
          </w:rPr>
          <w:fldChar w:fldCharType="end"/>
        </w:r>
      </w:hyperlink>
    </w:p>
    <w:p w14:paraId="4140F0AB" w14:textId="77777777" w:rsidR="008D797C" w:rsidRDefault="008D797C">
      <w:pPr>
        <w:pStyle w:val="2a"/>
        <w:tabs>
          <w:tab w:val="left" w:pos="960"/>
          <w:tab w:val="right" w:leader="dot" w:pos="9628"/>
        </w:tabs>
        <w:rPr>
          <w:rFonts w:asciiTheme="minorHAnsi" w:eastAsiaTheme="minorEastAsia" w:hAnsiTheme="minorHAnsi" w:cstheme="minorBidi"/>
          <w:noProof/>
          <w:sz w:val="22"/>
          <w:szCs w:val="22"/>
        </w:rPr>
      </w:pPr>
      <w:hyperlink w:anchor="_Toc219309438" w:history="1">
        <w:r w:rsidRPr="00087766">
          <w:rPr>
            <w:rStyle w:val="af7"/>
            <w:noProof/>
          </w:rPr>
          <w:t>5.1.</w:t>
        </w:r>
        <w:r>
          <w:rPr>
            <w:rFonts w:asciiTheme="minorHAnsi" w:eastAsiaTheme="minorEastAsia" w:hAnsiTheme="minorHAnsi" w:cstheme="minorBidi"/>
            <w:noProof/>
            <w:sz w:val="22"/>
            <w:szCs w:val="22"/>
          </w:rPr>
          <w:tab/>
        </w:r>
        <w:r w:rsidRPr="00087766">
          <w:rPr>
            <w:rStyle w:val="af7"/>
            <w:noProof/>
          </w:rPr>
          <w:t>Типы данных</w:t>
        </w:r>
        <w:r>
          <w:rPr>
            <w:noProof/>
            <w:webHidden/>
          </w:rPr>
          <w:tab/>
        </w:r>
        <w:r>
          <w:rPr>
            <w:noProof/>
            <w:webHidden/>
          </w:rPr>
          <w:fldChar w:fldCharType="begin"/>
        </w:r>
        <w:r>
          <w:rPr>
            <w:noProof/>
            <w:webHidden/>
          </w:rPr>
          <w:instrText xml:space="preserve"> PAGEREF _Toc219309438 \h </w:instrText>
        </w:r>
        <w:r>
          <w:rPr>
            <w:noProof/>
            <w:webHidden/>
          </w:rPr>
        </w:r>
        <w:r>
          <w:rPr>
            <w:noProof/>
            <w:webHidden/>
          </w:rPr>
          <w:fldChar w:fldCharType="separate"/>
        </w:r>
        <w:r>
          <w:rPr>
            <w:noProof/>
            <w:webHidden/>
          </w:rPr>
          <w:t>50</w:t>
        </w:r>
        <w:r>
          <w:rPr>
            <w:noProof/>
            <w:webHidden/>
          </w:rPr>
          <w:fldChar w:fldCharType="end"/>
        </w:r>
      </w:hyperlink>
    </w:p>
    <w:p w14:paraId="735DA35D" w14:textId="77777777" w:rsidR="008D797C" w:rsidRDefault="008D797C">
      <w:pPr>
        <w:pStyle w:val="2a"/>
        <w:tabs>
          <w:tab w:val="left" w:pos="960"/>
          <w:tab w:val="right" w:leader="dot" w:pos="9628"/>
        </w:tabs>
        <w:rPr>
          <w:rFonts w:asciiTheme="minorHAnsi" w:eastAsiaTheme="minorEastAsia" w:hAnsiTheme="minorHAnsi" w:cstheme="minorBidi"/>
          <w:noProof/>
          <w:sz w:val="22"/>
          <w:szCs w:val="22"/>
        </w:rPr>
      </w:pPr>
      <w:hyperlink w:anchor="_Toc219309439" w:history="1">
        <w:r w:rsidRPr="00087766">
          <w:rPr>
            <w:rStyle w:val="af7"/>
            <w:noProof/>
            <w:highlight w:val="green"/>
          </w:rPr>
          <w:t>5.2.</w:t>
        </w:r>
        <w:r>
          <w:rPr>
            <w:rFonts w:asciiTheme="minorHAnsi" w:eastAsiaTheme="minorEastAsia" w:hAnsiTheme="minorHAnsi" w:cstheme="minorBidi"/>
            <w:noProof/>
            <w:sz w:val="22"/>
            <w:szCs w:val="22"/>
          </w:rPr>
          <w:tab/>
        </w:r>
        <w:r w:rsidRPr="00087766">
          <w:rPr>
            <w:rStyle w:val="af7"/>
            <w:noProof/>
            <w:highlight w:val="green"/>
          </w:rPr>
          <w:t>Общее описание структуры XML</w:t>
        </w:r>
        <w:r>
          <w:rPr>
            <w:noProof/>
            <w:webHidden/>
          </w:rPr>
          <w:tab/>
        </w:r>
        <w:r>
          <w:rPr>
            <w:noProof/>
            <w:webHidden/>
          </w:rPr>
          <w:fldChar w:fldCharType="begin"/>
        </w:r>
        <w:r>
          <w:rPr>
            <w:noProof/>
            <w:webHidden/>
          </w:rPr>
          <w:instrText xml:space="preserve"> PAGEREF _Toc219309439 \h </w:instrText>
        </w:r>
        <w:r>
          <w:rPr>
            <w:noProof/>
            <w:webHidden/>
          </w:rPr>
        </w:r>
        <w:r>
          <w:rPr>
            <w:noProof/>
            <w:webHidden/>
          </w:rPr>
          <w:fldChar w:fldCharType="separate"/>
        </w:r>
        <w:r>
          <w:rPr>
            <w:noProof/>
            <w:webHidden/>
          </w:rPr>
          <w:t>51</w:t>
        </w:r>
        <w:r>
          <w:rPr>
            <w:noProof/>
            <w:webHidden/>
          </w:rPr>
          <w:fldChar w:fldCharType="end"/>
        </w:r>
      </w:hyperlink>
    </w:p>
    <w:p w14:paraId="6A511F6B"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440" w:history="1">
        <w:r w:rsidRPr="00087766">
          <w:rPr>
            <w:rStyle w:val="af7"/>
            <w:noProof/>
          </w:rPr>
          <w:t>5.2.1.</w:t>
        </w:r>
        <w:r>
          <w:rPr>
            <w:rFonts w:asciiTheme="minorHAnsi" w:eastAsiaTheme="minorEastAsia" w:hAnsiTheme="minorHAnsi" w:cstheme="minorBidi"/>
            <w:iCs w:val="0"/>
            <w:noProof/>
            <w:sz w:val="22"/>
            <w:szCs w:val="22"/>
          </w:rPr>
          <w:tab/>
        </w:r>
        <w:r w:rsidRPr="00087766">
          <w:rPr>
            <w:rStyle w:val="af7"/>
            <w:noProof/>
          </w:rPr>
          <w:t>Файловое взаимодействие по формату формуляра</w:t>
        </w:r>
        <w:r>
          <w:rPr>
            <w:noProof/>
            <w:webHidden/>
          </w:rPr>
          <w:tab/>
        </w:r>
        <w:r>
          <w:rPr>
            <w:noProof/>
            <w:webHidden/>
          </w:rPr>
          <w:fldChar w:fldCharType="begin"/>
        </w:r>
        <w:r>
          <w:rPr>
            <w:noProof/>
            <w:webHidden/>
          </w:rPr>
          <w:instrText xml:space="preserve"> PAGEREF _Toc219309440 \h </w:instrText>
        </w:r>
        <w:r>
          <w:rPr>
            <w:noProof/>
            <w:webHidden/>
          </w:rPr>
        </w:r>
        <w:r>
          <w:rPr>
            <w:noProof/>
            <w:webHidden/>
          </w:rPr>
          <w:fldChar w:fldCharType="separate"/>
        </w:r>
        <w:r>
          <w:rPr>
            <w:noProof/>
            <w:webHidden/>
          </w:rPr>
          <w:t>51</w:t>
        </w:r>
        <w:r>
          <w:rPr>
            <w:noProof/>
            <w:webHidden/>
          </w:rPr>
          <w:fldChar w:fldCharType="end"/>
        </w:r>
      </w:hyperlink>
    </w:p>
    <w:p w14:paraId="452F36CB"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441" w:history="1">
        <w:r w:rsidRPr="00087766">
          <w:rPr>
            <w:rStyle w:val="af7"/>
            <w:noProof/>
            <w:highlight w:val="green"/>
          </w:rPr>
          <w:t>5.2.2.</w:t>
        </w:r>
        <w:r>
          <w:rPr>
            <w:rFonts w:asciiTheme="minorHAnsi" w:eastAsiaTheme="minorEastAsia" w:hAnsiTheme="minorHAnsi" w:cstheme="minorBidi"/>
            <w:iCs w:val="0"/>
            <w:noProof/>
            <w:sz w:val="22"/>
            <w:szCs w:val="22"/>
          </w:rPr>
          <w:tab/>
        </w:r>
        <w:r w:rsidRPr="00087766">
          <w:rPr>
            <w:rStyle w:val="af7"/>
            <w:noProof/>
            <w:highlight w:val="green"/>
          </w:rPr>
          <w:t>Сервисное взаимодействие по формату формуляра</w:t>
        </w:r>
        <w:r>
          <w:rPr>
            <w:noProof/>
            <w:webHidden/>
          </w:rPr>
          <w:tab/>
        </w:r>
        <w:r>
          <w:rPr>
            <w:noProof/>
            <w:webHidden/>
          </w:rPr>
          <w:fldChar w:fldCharType="begin"/>
        </w:r>
        <w:r>
          <w:rPr>
            <w:noProof/>
            <w:webHidden/>
          </w:rPr>
          <w:instrText xml:space="preserve"> PAGEREF _Toc219309441 \h </w:instrText>
        </w:r>
        <w:r>
          <w:rPr>
            <w:noProof/>
            <w:webHidden/>
          </w:rPr>
        </w:r>
        <w:r>
          <w:rPr>
            <w:noProof/>
            <w:webHidden/>
          </w:rPr>
          <w:fldChar w:fldCharType="separate"/>
        </w:r>
        <w:r>
          <w:rPr>
            <w:noProof/>
            <w:webHidden/>
          </w:rPr>
          <w:t>52</w:t>
        </w:r>
        <w:r>
          <w:rPr>
            <w:noProof/>
            <w:webHidden/>
          </w:rPr>
          <w:fldChar w:fldCharType="end"/>
        </w:r>
      </w:hyperlink>
    </w:p>
    <w:p w14:paraId="3F55EB4E"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442" w:history="1">
        <w:r w:rsidRPr="00087766">
          <w:rPr>
            <w:rStyle w:val="af7"/>
            <w:noProof/>
          </w:rPr>
          <w:t>5.2.3.</w:t>
        </w:r>
        <w:r>
          <w:rPr>
            <w:rFonts w:asciiTheme="minorHAnsi" w:eastAsiaTheme="minorEastAsia" w:hAnsiTheme="minorHAnsi" w:cstheme="minorBidi"/>
            <w:iCs w:val="0"/>
            <w:noProof/>
            <w:sz w:val="22"/>
            <w:szCs w:val="22"/>
          </w:rPr>
          <w:tab/>
        </w:r>
        <w:r w:rsidRPr="00087766">
          <w:rPr>
            <w:rStyle w:val="af7"/>
            <w:noProof/>
          </w:rPr>
          <w:t>Импорт/экспорт по формату формуляра</w:t>
        </w:r>
        <w:r>
          <w:rPr>
            <w:noProof/>
            <w:webHidden/>
          </w:rPr>
          <w:tab/>
        </w:r>
        <w:r>
          <w:rPr>
            <w:noProof/>
            <w:webHidden/>
          </w:rPr>
          <w:fldChar w:fldCharType="begin"/>
        </w:r>
        <w:r>
          <w:rPr>
            <w:noProof/>
            <w:webHidden/>
          </w:rPr>
          <w:instrText xml:space="preserve"> PAGEREF _Toc219309442 \h </w:instrText>
        </w:r>
        <w:r>
          <w:rPr>
            <w:noProof/>
            <w:webHidden/>
          </w:rPr>
        </w:r>
        <w:r>
          <w:rPr>
            <w:noProof/>
            <w:webHidden/>
          </w:rPr>
          <w:fldChar w:fldCharType="separate"/>
        </w:r>
        <w:r>
          <w:rPr>
            <w:noProof/>
            <w:webHidden/>
          </w:rPr>
          <w:t>57</w:t>
        </w:r>
        <w:r>
          <w:rPr>
            <w:noProof/>
            <w:webHidden/>
          </w:rPr>
          <w:fldChar w:fldCharType="end"/>
        </w:r>
      </w:hyperlink>
    </w:p>
    <w:p w14:paraId="5E30D5D8"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443" w:history="1">
        <w:r w:rsidRPr="00087766">
          <w:rPr>
            <w:rStyle w:val="af7"/>
            <w:noProof/>
          </w:rPr>
          <w:t>5.2.4.</w:t>
        </w:r>
        <w:r>
          <w:rPr>
            <w:rFonts w:asciiTheme="minorHAnsi" w:eastAsiaTheme="minorEastAsia" w:hAnsiTheme="minorHAnsi" w:cstheme="minorBidi"/>
            <w:iCs w:val="0"/>
            <w:noProof/>
            <w:sz w:val="22"/>
            <w:szCs w:val="22"/>
          </w:rPr>
          <w:tab/>
        </w:r>
        <w:r w:rsidRPr="00087766">
          <w:rPr>
            <w:rStyle w:val="af7"/>
            <w:noProof/>
          </w:rPr>
          <w:t>Файловое взаимодействие по формату OAGIS</w:t>
        </w:r>
        <w:r>
          <w:rPr>
            <w:noProof/>
            <w:webHidden/>
          </w:rPr>
          <w:tab/>
        </w:r>
        <w:r>
          <w:rPr>
            <w:noProof/>
            <w:webHidden/>
          </w:rPr>
          <w:fldChar w:fldCharType="begin"/>
        </w:r>
        <w:r>
          <w:rPr>
            <w:noProof/>
            <w:webHidden/>
          </w:rPr>
          <w:instrText xml:space="preserve"> PAGEREF _Toc219309443 \h </w:instrText>
        </w:r>
        <w:r>
          <w:rPr>
            <w:noProof/>
            <w:webHidden/>
          </w:rPr>
        </w:r>
        <w:r>
          <w:rPr>
            <w:noProof/>
            <w:webHidden/>
          </w:rPr>
          <w:fldChar w:fldCharType="separate"/>
        </w:r>
        <w:r>
          <w:rPr>
            <w:noProof/>
            <w:webHidden/>
          </w:rPr>
          <w:t>57</w:t>
        </w:r>
        <w:r>
          <w:rPr>
            <w:noProof/>
            <w:webHidden/>
          </w:rPr>
          <w:fldChar w:fldCharType="end"/>
        </w:r>
      </w:hyperlink>
    </w:p>
    <w:p w14:paraId="12889663" w14:textId="77777777" w:rsidR="008D797C" w:rsidRDefault="008D797C">
      <w:pPr>
        <w:pStyle w:val="2a"/>
        <w:tabs>
          <w:tab w:val="left" w:pos="960"/>
          <w:tab w:val="right" w:leader="dot" w:pos="9628"/>
        </w:tabs>
        <w:rPr>
          <w:rFonts w:asciiTheme="minorHAnsi" w:eastAsiaTheme="minorEastAsia" w:hAnsiTheme="minorHAnsi" w:cstheme="minorBidi"/>
          <w:noProof/>
          <w:sz w:val="22"/>
          <w:szCs w:val="22"/>
        </w:rPr>
      </w:pPr>
      <w:hyperlink w:anchor="_Toc219309444" w:history="1">
        <w:r w:rsidRPr="00087766">
          <w:rPr>
            <w:rStyle w:val="af7"/>
            <w:noProof/>
          </w:rPr>
          <w:t>5.3.</w:t>
        </w:r>
        <w:r>
          <w:rPr>
            <w:rFonts w:asciiTheme="minorHAnsi" w:eastAsiaTheme="minorEastAsia" w:hAnsiTheme="minorHAnsi" w:cstheme="minorBidi"/>
            <w:noProof/>
            <w:sz w:val="22"/>
            <w:szCs w:val="22"/>
          </w:rPr>
          <w:tab/>
        </w:r>
        <w:r w:rsidRPr="00087766">
          <w:rPr>
            <w:rStyle w:val="af7"/>
            <w:noProof/>
          </w:rPr>
          <w:t>Описание корневого элемента пакета «exchangePacket»</w:t>
        </w:r>
        <w:r>
          <w:rPr>
            <w:noProof/>
            <w:webHidden/>
          </w:rPr>
          <w:tab/>
        </w:r>
        <w:r>
          <w:rPr>
            <w:noProof/>
            <w:webHidden/>
          </w:rPr>
          <w:fldChar w:fldCharType="begin"/>
        </w:r>
        <w:r>
          <w:rPr>
            <w:noProof/>
            <w:webHidden/>
          </w:rPr>
          <w:instrText xml:space="preserve"> PAGEREF _Toc219309444 \h </w:instrText>
        </w:r>
        <w:r>
          <w:rPr>
            <w:noProof/>
            <w:webHidden/>
          </w:rPr>
        </w:r>
        <w:r>
          <w:rPr>
            <w:noProof/>
            <w:webHidden/>
          </w:rPr>
          <w:fldChar w:fldCharType="separate"/>
        </w:r>
        <w:r>
          <w:rPr>
            <w:noProof/>
            <w:webHidden/>
          </w:rPr>
          <w:t>58</w:t>
        </w:r>
        <w:r>
          <w:rPr>
            <w:noProof/>
            <w:webHidden/>
          </w:rPr>
          <w:fldChar w:fldCharType="end"/>
        </w:r>
      </w:hyperlink>
    </w:p>
    <w:p w14:paraId="1CFE226B" w14:textId="77777777" w:rsidR="008D797C" w:rsidRDefault="008D797C">
      <w:pPr>
        <w:pStyle w:val="2a"/>
        <w:tabs>
          <w:tab w:val="left" w:pos="960"/>
          <w:tab w:val="right" w:leader="dot" w:pos="9628"/>
        </w:tabs>
        <w:rPr>
          <w:rFonts w:asciiTheme="minorHAnsi" w:eastAsiaTheme="minorEastAsia" w:hAnsiTheme="minorHAnsi" w:cstheme="minorBidi"/>
          <w:noProof/>
          <w:sz w:val="22"/>
          <w:szCs w:val="22"/>
        </w:rPr>
      </w:pPr>
      <w:hyperlink w:anchor="_Toc219309445" w:history="1">
        <w:r w:rsidRPr="00087766">
          <w:rPr>
            <w:rStyle w:val="af7"/>
            <w:noProof/>
          </w:rPr>
          <w:t>5.4.</w:t>
        </w:r>
        <w:r>
          <w:rPr>
            <w:rFonts w:asciiTheme="minorHAnsi" w:eastAsiaTheme="minorEastAsia" w:hAnsiTheme="minorHAnsi" w:cstheme="minorBidi"/>
            <w:noProof/>
            <w:sz w:val="22"/>
            <w:szCs w:val="22"/>
          </w:rPr>
          <w:tab/>
        </w:r>
        <w:r w:rsidRPr="00087766">
          <w:rPr>
            <w:rStyle w:val="af7"/>
            <w:noProof/>
          </w:rPr>
          <w:t>Описание заголовка пакета «packetHeader»</w:t>
        </w:r>
        <w:r>
          <w:rPr>
            <w:noProof/>
            <w:webHidden/>
          </w:rPr>
          <w:tab/>
        </w:r>
        <w:r>
          <w:rPr>
            <w:noProof/>
            <w:webHidden/>
          </w:rPr>
          <w:fldChar w:fldCharType="begin"/>
        </w:r>
        <w:r>
          <w:rPr>
            <w:noProof/>
            <w:webHidden/>
          </w:rPr>
          <w:instrText xml:space="preserve"> PAGEREF _Toc219309445 \h </w:instrText>
        </w:r>
        <w:r>
          <w:rPr>
            <w:noProof/>
            <w:webHidden/>
          </w:rPr>
        </w:r>
        <w:r>
          <w:rPr>
            <w:noProof/>
            <w:webHidden/>
          </w:rPr>
          <w:fldChar w:fldCharType="separate"/>
        </w:r>
        <w:r>
          <w:rPr>
            <w:noProof/>
            <w:webHidden/>
          </w:rPr>
          <w:t>58</w:t>
        </w:r>
        <w:r>
          <w:rPr>
            <w:noProof/>
            <w:webHidden/>
          </w:rPr>
          <w:fldChar w:fldCharType="end"/>
        </w:r>
      </w:hyperlink>
    </w:p>
    <w:p w14:paraId="5C7B1D2A"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446" w:history="1">
        <w:r w:rsidRPr="00087766">
          <w:rPr>
            <w:rStyle w:val="af7"/>
            <w:noProof/>
          </w:rPr>
          <w:t>5.4.1.</w:t>
        </w:r>
        <w:r>
          <w:rPr>
            <w:rFonts w:asciiTheme="minorHAnsi" w:eastAsiaTheme="minorEastAsia" w:hAnsiTheme="minorHAnsi" w:cstheme="minorBidi"/>
            <w:iCs w:val="0"/>
            <w:noProof/>
            <w:sz w:val="22"/>
            <w:szCs w:val="22"/>
          </w:rPr>
          <w:tab/>
        </w:r>
        <w:r w:rsidRPr="00087766">
          <w:rPr>
            <w:rStyle w:val="af7"/>
            <w:noProof/>
          </w:rPr>
          <w:t>Описание комплексного типа «tPacketHeader»</w:t>
        </w:r>
        <w:r>
          <w:rPr>
            <w:noProof/>
            <w:webHidden/>
          </w:rPr>
          <w:tab/>
        </w:r>
        <w:r>
          <w:rPr>
            <w:noProof/>
            <w:webHidden/>
          </w:rPr>
          <w:fldChar w:fldCharType="begin"/>
        </w:r>
        <w:r>
          <w:rPr>
            <w:noProof/>
            <w:webHidden/>
          </w:rPr>
          <w:instrText xml:space="preserve"> PAGEREF _Toc219309446 \h </w:instrText>
        </w:r>
        <w:r>
          <w:rPr>
            <w:noProof/>
            <w:webHidden/>
          </w:rPr>
        </w:r>
        <w:r>
          <w:rPr>
            <w:noProof/>
            <w:webHidden/>
          </w:rPr>
          <w:fldChar w:fldCharType="separate"/>
        </w:r>
        <w:r>
          <w:rPr>
            <w:noProof/>
            <w:webHidden/>
          </w:rPr>
          <w:t>58</w:t>
        </w:r>
        <w:r>
          <w:rPr>
            <w:noProof/>
            <w:webHidden/>
          </w:rPr>
          <w:fldChar w:fldCharType="end"/>
        </w:r>
      </w:hyperlink>
    </w:p>
    <w:p w14:paraId="7A1ABA3B"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447" w:history="1">
        <w:r w:rsidRPr="00087766">
          <w:rPr>
            <w:rStyle w:val="af7"/>
            <w:noProof/>
          </w:rPr>
          <w:t>5.4.2.</w:t>
        </w:r>
        <w:r>
          <w:rPr>
            <w:rFonts w:asciiTheme="minorHAnsi" w:eastAsiaTheme="minorEastAsia" w:hAnsiTheme="minorHAnsi" w:cstheme="minorBidi"/>
            <w:iCs w:val="0"/>
            <w:noProof/>
            <w:sz w:val="22"/>
            <w:szCs w:val="22"/>
          </w:rPr>
          <w:tab/>
        </w:r>
        <w:r w:rsidRPr="00087766">
          <w:rPr>
            <w:rStyle w:val="af7"/>
            <w:noProof/>
          </w:rPr>
          <w:t>Описание комплексного типа «tServiceInfo»</w:t>
        </w:r>
        <w:r>
          <w:rPr>
            <w:noProof/>
            <w:webHidden/>
          </w:rPr>
          <w:tab/>
        </w:r>
        <w:r>
          <w:rPr>
            <w:noProof/>
            <w:webHidden/>
          </w:rPr>
          <w:fldChar w:fldCharType="begin"/>
        </w:r>
        <w:r>
          <w:rPr>
            <w:noProof/>
            <w:webHidden/>
          </w:rPr>
          <w:instrText xml:space="preserve"> PAGEREF _Toc219309447 \h </w:instrText>
        </w:r>
        <w:r>
          <w:rPr>
            <w:noProof/>
            <w:webHidden/>
          </w:rPr>
        </w:r>
        <w:r>
          <w:rPr>
            <w:noProof/>
            <w:webHidden/>
          </w:rPr>
          <w:fldChar w:fldCharType="separate"/>
        </w:r>
        <w:r>
          <w:rPr>
            <w:noProof/>
            <w:webHidden/>
          </w:rPr>
          <w:t>59</w:t>
        </w:r>
        <w:r>
          <w:rPr>
            <w:noProof/>
            <w:webHidden/>
          </w:rPr>
          <w:fldChar w:fldCharType="end"/>
        </w:r>
      </w:hyperlink>
    </w:p>
    <w:p w14:paraId="6E6771CD"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448" w:history="1">
        <w:r w:rsidRPr="00087766">
          <w:rPr>
            <w:rStyle w:val="af7"/>
            <w:noProof/>
          </w:rPr>
          <w:t>5.4.3.</w:t>
        </w:r>
        <w:r>
          <w:rPr>
            <w:rFonts w:asciiTheme="minorHAnsi" w:eastAsiaTheme="minorEastAsia" w:hAnsiTheme="minorHAnsi" w:cstheme="minorBidi"/>
            <w:iCs w:val="0"/>
            <w:noProof/>
            <w:sz w:val="22"/>
            <w:szCs w:val="22"/>
          </w:rPr>
          <w:tab/>
        </w:r>
        <w:r w:rsidRPr="00087766">
          <w:rPr>
            <w:rStyle w:val="af7"/>
            <w:noProof/>
          </w:rPr>
          <w:t>Описание комплексного типа «tPartyIdentifier»</w:t>
        </w:r>
        <w:r>
          <w:rPr>
            <w:noProof/>
            <w:webHidden/>
          </w:rPr>
          <w:tab/>
        </w:r>
        <w:r>
          <w:rPr>
            <w:noProof/>
            <w:webHidden/>
          </w:rPr>
          <w:fldChar w:fldCharType="begin"/>
        </w:r>
        <w:r>
          <w:rPr>
            <w:noProof/>
            <w:webHidden/>
          </w:rPr>
          <w:instrText xml:space="preserve"> PAGEREF _Toc219309448 \h </w:instrText>
        </w:r>
        <w:r>
          <w:rPr>
            <w:noProof/>
            <w:webHidden/>
          </w:rPr>
        </w:r>
        <w:r>
          <w:rPr>
            <w:noProof/>
            <w:webHidden/>
          </w:rPr>
          <w:fldChar w:fldCharType="separate"/>
        </w:r>
        <w:r>
          <w:rPr>
            <w:noProof/>
            <w:webHidden/>
          </w:rPr>
          <w:t>59</w:t>
        </w:r>
        <w:r>
          <w:rPr>
            <w:noProof/>
            <w:webHidden/>
          </w:rPr>
          <w:fldChar w:fldCharType="end"/>
        </w:r>
      </w:hyperlink>
    </w:p>
    <w:p w14:paraId="1185B5CB"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449" w:history="1">
        <w:r w:rsidRPr="00087766">
          <w:rPr>
            <w:rStyle w:val="af7"/>
            <w:noProof/>
          </w:rPr>
          <w:t>5.4.4.</w:t>
        </w:r>
        <w:r>
          <w:rPr>
            <w:rFonts w:asciiTheme="minorHAnsi" w:eastAsiaTheme="minorEastAsia" w:hAnsiTheme="minorHAnsi" w:cstheme="minorBidi"/>
            <w:iCs w:val="0"/>
            <w:noProof/>
            <w:sz w:val="22"/>
            <w:szCs w:val="22"/>
          </w:rPr>
          <w:tab/>
        </w:r>
        <w:r w:rsidRPr="00087766">
          <w:rPr>
            <w:rStyle w:val="af7"/>
            <w:noProof/>
          </w:rPr>
          <w:t>Описание комплексного типа «tOrganization»</w:t>
        </w:r>
        <w:r>
          <w:rPr>
            <w:noProof/>
            <w:webHidden/>
          </w:rPr>
          <w:tab/>
        </w:r>
        <w:r>
          <w:rPr>
            <w:noProof/>
            <w:webHidden/>
          </w:rPr>
          <w:fldChar w:fldCharType="begin"/>
        </w:r>
        <w:r>
          <w:rPr>
            <w:noProof/>
            <w:webHidden/>
          </w:rPr>
          <w:instrText xml:space="preserve"> PAGEREF _Toc219309449 \h </w:instrText>
        </w:r>
        <w:r>
          <w:rPr>
            <w:noProof/>
            <w:webHidden/>
          </w:rPr>
        </w:r>
        <w:r>
          <w:rPr>
            <w:noProof/>
            <w:webHidden/>
          </w:rPr>
          <w:fldChar w:fldCharType="separate"/>
        </w:r>
        <w:r>
          <w:rPr>
            <w:noProof/>
            <w:webHidden/>
          </w:rPr>
          <w:t>60</w:t>
        </w:r>
        <w:r>
          <w:rPr>
            <w:noProof/>
            <w:webHidden/>
          </w:rPr>
          <w:fldChar w:fldCharType="end"/>
        </w:r>
      </w:hyperlink>
    </w:p>
    <w:p w14:paraId="519BEB03"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450" w:history="1">
        <w:r w:rsidRPr="00087766">
          <w:rPr>
            <w:rStyle w:val="af7"/>
            <w:noProof/>
          </w:rPr>
          <w:t>5.4.5.</w:t>
        </w:r>
        <w:r>
          <w:rPr>
            <w:rFonts w:asciiTheme="minorHAnsi" w:eastAsiaTheme="minorEastAsia" w:hAnsiTheme="minorHAnsi" w:cstheme="minorBidi"/>
            <w:iCs w:val="0"/>
            <w:noProof/>
            <w:sz w:val="22"/>
            <w:szCs w:val="22"/>
          </w:rPr>
          <w:tab/>
        </w:r>
        <w:r w:rsidRPr="00087766">
          <w:rPr>
            <w:rStyle w:val="af7"/>
            <w:noProof/>
          </w:rPr>
          <w:t>Описание комплексного типа «tTOFK»</w:t>
        </w:r>
        <w:r>
          <w:rPr>
            <w:noProof/>
            <w:webHidden/>
          </w:rPr>
          <w:tab/>
        </w:r>
        <w:r>
          <w:rPr>
            <w:noProof/>
            <w:webHidden/>
          </w:rPr>
          <w:fldChar w:fldCharType="begin"/>
        </w:r>
        <w:r>
          <w:rPr>
            <w:noProof/>
            <w:webHidden/>
          </w:rPr>
          <w:instrText xml:space="preserve"> PAGEREF _Toc219309450 \h </w:instrText>
        </w:r>
        <w:r>
          <w:rPr>
            <w:noProof/>
            <w:webHidden/>
          </w:rPr>
        </w:r>
        <w:r>
          <w:rPr>
            <w:noProof/>
            <w:webHidden/>
          </w:rPr>
          <w:fldChar w:fldCharType="separate"/>
        </w:r>
        <w:r>
          <w:rPr>
            <w:noProof/>
            <w:webHidden/>
          </w:rPr>
          <w:t>60</w:t>
        </w:r>
        <w:r>
          <w:rPr>
            <w:noProof/>
            <w:webHidden/>
          </w:rPr>
          <w:fldChar w:fldCharType="end"/>
        </w:r>
      </w:hyperlink>
    </w:p>
    <w:p w14:paraId="6593A9C1"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451" w:history="1">
        <w:r w:rsidRPr="00087766">
          <w:rPr>
            <w:rStyle w:val="af7"/>
            <w:noProof/>
          </w:rPr>
          <w:t>5.4.6.</w:t>
        </w:r>
        <w:r>
          <w:rPr>
            <w:rFonts w:asciiTheme="minorHAnsi" w:eastAsiaTheme="minorEastAsia" w:hAnsiTheme="minorHAnsi" w:cstheme="minorBidi"/>
            <w:iCs w:val="0"/>
            <w:noProof/>
            <w:sz w:val="22"/>
            <w:szCs w:val="22"/>
          </w:rPr>
          <w:tab/>
        </w:r>
        <w:r w:rsidRPr="00087766">
          <w:rPr>
            <w:rStyle w:val="af7"/>
            <w:noProof/>
          </w:rPr>
          <w:t>Описание комплексного типа «tSysIdentifier»</w:t>
        </w:r>
        <w:r>
          <w:rPr>
            <w:noProof/>
            <w:webHidden/>
          </w:rPr>
          <w:tab/>
        </w:r>
        <w:r>
          <w:rPr>
            <w:noProof/>
            <w:webHidden/>
          </w:rPr>
          <w:fldChar w:fldCharType="begin"/>
        </w:r>
        <w:r>
          <w:rPr>
            <w:noProof/>
            <w:webHidden/>
          </w:rPr>
          <w:instrText xml:space="preserve"> PAGEREF _Toc219309451 \h </w:instrText>
        </w:r>
        <w:r>
          <w:rPr>
            <w:noProof/>
            <w:webHidden/>
          </w:rPr>
        </w:r>
        <w:r>
          <w:rPr>
            <w:noProof/>
            <w:webHidden/>
          </w:rPr>
          <w:fldChar w:fldCharType="separate"/>
        </w:r>
        <w:r>
          <w:rPr>
            <w:noProof/>
            <w:webHidden/>
          </w:rPr>
          <w:t>61</w:t>
        </w:r>
        <w:r>
          <w:rPr>
            <w:noProof/>
            <w:webHidden/>
          </w:rPr>
          <w:fldChar w:fldCharType="end"/>
        </w:r>
      </w:hyperlink>
    </w:p>
    <w:p w14:paraId="6CE43EE1" w14:textId="77777777" w:rsidR="008D797C" w:rsidRDefault="008D797C">
      <w:pPr>
        <w:pStyle w:val="2a"/>
        <w:tabs>
          <w:tab w:val="left" w:pos="960"/>
          <w:tab w:val="right" w:leader="dot" w:pos="9628"/>
        </w:tabs>
        <w:rPr>
          <w:rFonts w:asciiTheme="minorHAnsi" w:eastAsiaTheme="minorEastAsia" w:hAnsiTheme="minorHAnsi" w:cstheme="minorBidi"/>
          <w:noProof/>
          <w:sz w:val="22"/>
          <w:szCs w:val="22"/>
        </w:rPr>
      </w:pPr>
      <w:hyperlink w:anchor="_Toc219309452" w:history="1">
        <w:r w:rsidRPr="00087766">
          <w:rPr>
            <w:rStyle w:val="af7"/>
            <w:noProof/>
          </w:rPr>
          <w:t>5.5.</w:t>
        </w:r>
        <w:r>
          <w:rPr>
            <w:rFonts w:asciiTheme="minorHAnsi" w:eastAsiaTheme="minorEastAsia" w:hAnsiTheme="minorHAnsi" w:cstheme="minorBidi"/>
            <w:noProof/>
            <w:sz w:val="22"/>
            <w:szCs w:val="22"/>
          </w:rPr>
          <w:tab/>
        </w:r>
        <w:r w:rsidRPr="00087766">
          <w:rPr>
            <w:rStyle w:val="af7"/>
            <w:noProof/>
          </w:rPr>
          <w:t>Описание комплексного типа «tFormularCollection»</w:t>
        </w:r>
        <w:r>
          <w:rPr>
            <w:noProof/>
            <w:webHidden/>
          </w:rPr>
          <w:tab/>
        </w:r>
        <w:r>
          <w:rPr>
            <w:noProof/>
            <w:webHidden/>
          </w:rPr>
          <w:fldChar w:fldCharType="begin"/>
        </w:r>
        <w:r>
          <w:rPr>
            <w:noProof/>
            <w:webHidden/>
          </w:rPr>
          <w:instrText xml:space="preserve"> PAGEREF _Toc219309452 \h </w:instrText>
        </w:r>
        <w:r>
          <w:rPr>
            <w:noProof/>
            <w:webHidden/>
          </w:rPr>
        </w:r>
        <w:r>
          <w:rPr>
            <w:noProof/>
            <w:webHidden/>
          </w:rPr>
          <w:fldChar w:fldCharType="separate"/>
        </w:r>
        <w:r>
          <w:rPr>
            <w:noProof/>
            <w:webHidden/>
          </w:rPr>
          <w:t>61</w:t>
        </w:r>
        <w:r>
          <w:rPr>
            <w:noProof/>
            <w:webHidden/>
          </w:rPr>
          <w:fldChar w:fldCharType="end"/>
        </w:r>
      </w:hyperlink>
    </w:p>
    <w:p w14:paraId="0B4D41EA" w14:textId="77777777" w:rsidR="008D797C" w:rsidRDefault="008D797C">
      <w:pPr>
        <w:pStyle w:val="2a"/>
        <w:tabs>
          <w:tab w:val="left" w:pos="960"/>
          <w:tab w:val="right" w:leader="dot" w:pos="9628"/>
        </w:tabs>
        <w:rPr>
          <w:rFonts w:asciiTheme="minorHAnsi" w:eastAsiaTheme="minorEastAsia" w:hAnsiTheme="minorHAnsi" w:cstheme="minorBidi"/>
          <w:noProof/>
          <w:sz w:val="22"/>
          <w:szCs w:val="22"/>
        </w:rPr>
      </w:pPr>
      <w:hyperlink w:anchor="_Toc219309453" w:history="1">
        <w:r w:rsidRPr="00087766">
          <w:rPr>
            <w:rStyle w:val="af7"/>
            <w:noProof/>
          </w:rPr>
          <w:t>5.6.</w:t>
        </w:r>
        <w:r>
          <w:rPr>
            <w:rFonts w:asciiTheme="minorHAnsi" w:eastAsiaTheme="minorEastAsia" w:hAnsiTheme="minorHAnsi" w:cstheme="minorBidi"/>
            <w:noProof/>
            <w:sz w:val="22"/>
            <w:szCs w:val="22"/>
          </w:rPr>
          <w:tab/>
        </w:r>
        <w:r w:rsidRPr="00087766">
          <w:rPr>
            <w:rStyle w:val="af7"/>
            <w:noProof/>
          </w:rPr>
          <w:t>Описание комплексного типа «tFormular»</w:t>
        </w:r>
        <w:r>
          <w:rPr>
            <w:noProof/>
            <w:webHidden/>
          </w:rPr>
          <w:tab/>
        </w:r>
        <w:r>
          <w:rPr>
            <w:noProof/>
            <w:webHidden/>
          </w:rPr>
          <w:fldChar w:fldCharType="begin"/>
        </w:r>
        <w:r>
          <w:rPr>
            <w:noProof/>
            <w:webHidden/>
          </w:rPr>
          <w:instrText xml:space="preserve"> PAGEREF _Toc219309453 \h </w:instrText>
        </w:r>
        <w:r>
          <w:rPr>
            <w:noProof/>
            <w:webHidden/>
          </w:rPr>
        </w:r>
        <w:r>
          <w:rPr>
            <w:noProof/>
            <w:webHidden/>
          </w:rPr>
          <w:fldChar w:fldCharType="separate"/>
        </w:r>
        <w:r>
          <w:rPr>
            <w:noProof/>
            <w:webHidden/>
          </w:rPr>
          <w:t>61</w:t>
        </w:r>
        <w:r>
          <w:rPr>
            <w:noProof/>
            <w:webHidden/>
          </w:rPr>
          <w:fldChar w:fldCharType="end"/>
        </w:r>
      </w:hyperlink>
    </w:p>
    <w:p w14:paraId="2DE6715F" w14:textId="77777777" w:rsidR="008D797C" w:rsidRDefault="008D797C">
      <w:pPr>
        <w:pStyle w:val="2a"/>
        <w:tabs>
          <w:tab w:val="left" w:pos="960"/>
          <w:tab w:val="right" w:leader="dot" w:pos="9628"/>
        </w:tabs>
        <w:rPr>
          <w:rFonts w:asciiTheme="minorHAnsi" w:eastAsiaTheme="minorEastAsia" w:hAnsiTheme="minorHAnsi" w:cstheme="minorBidi"/>
          <w:noProof/>
          <w:sz w:val="22"/>
          <w:szCs w:val="22"/>
        </w:rPr>
      </w:pPr>
      <w:hyperlink w:anchor="_Toc219309454" w:history="1">
        <w:r w:rsidRPr="00087766">
          <w:rPr>
            <w:rStyle w:val="af7"/>
            <w:noProof/>
          </w:rPr>
          <w:t>5.7.</w:t>
        </w:r>
        <w:r>
          <w:rPr>
            <w:rFonts w:asciiTheme="minorHAnsi" w:eastAsiaTheme="minorEastAsia" w:hAnsiTheme="minorHAnsi" w:cstheme="minorBidi"/>
            <w:noProof/>
            <w:sz w:val="22"/>
            <w:szCs w:val="22"/>
          </w:rPr>
          <w:tab/>
        </w:r>
        <w:r w:rsidRPr="00087766">
          <w:rPr>
            <w:rStyle w:val="af7"/>
            <w:noProof/>
          </w:rPr>
          <w:t>Описание корневого элемента пакета «BOD»</w:t>
        </w:r>
        <w:r>
          <w:rPr>
            <w:noProof/>
            <w:webHidden/>
          </w:rPr>
          <w:tab/>
        </w:r>
        <w:r>
          <w:rPr>
            <w:noProof/>
            <w:webHidden/>
          </w:rPr>
          <w:fldChar w:fldCharType="begin"/>
        </w:r>
        <w:r>
          <w:rPr>
            <w:noProof/>
            <w:webHidden/>
          </w:rPr>
          <w:instrText xml:space="preserve"> PAGEREF _Toc219309454 \h </w:instrText>
        </w:r>
        <w:r>
          <w:rPr>
            <w:noProof/>
            <w:webHidden/>
          </w:rPr>
        </w:r>
        <w:r>
          <w:rPr>
            <w:noProof/>
            <w:webHidden/>
          </w:rPr>
          <w:fldChar w:fldCharType="separate"/>
        </w:r>
        <w:r>
          <w:rPr>
            <w:noProof/>
            <w:webHidden/>
          </w:rPr>
          <w:t>62</w:t>
        </w:r>
        <w:r>
          <w:rPr>
            <w:noProof/>
            <w:webHidden/>
          </w:rPr>
          <w:fldChar w:fldCharType="end"/>
        </w:r>
      </w:hyperlink>
    </w:p>
    <w:p w14:paraId="7C98084C" w14:textId="77777777" w:rsidR="008D797C" w:rsidRDefault="008D797C">
      <w:pPr>
        <w:pStyle w:val="2a"/>
        <w:tabs>
          <w:tab w:val="left" w:pos="960"/>
          <w:tab w:val="right" w:leader="dot" w:pos="9628"/>
        </w:tabs>
        <w:rPr>
          <w:rFonts w:asciiTheme="minorHAnsi" w:eastAsiaTheme="minorEastAsia" w:hAnsiTheme="minorHAnsi" w:cstheme="minorBidi"/>
          <w:noProof/>
          <w:sz w:val="22"/>
          <w:szCs w:val="22"/>
        </w:rPr>
      </w:pPr>
      <w:hyperlink w:anchor="_Toc219309455" w:history="1">
        <w:r w:rsidRPr="00087766">
          <w:rPr>
            <w:rStyle w:val="af7"/>
            <w:noProof/>
          </w:rPr>
          <w:t>5.8.</w:t>
        </w:r>
        <w:r>
          <w:rPr>
            <w:rFonts w:asciiTheme="minorHAnsi" w:eastAsiaTheme="minorEastAsia" w:hAnsiTheme="minorHAnsi" w:cstheme="minorBidi"/>
            <w:noProof/>
            <w:sz w:val="22"/>
            <w:szCs w:val="22"/>
          </w:rPr>
          <w:tab/>
        </w:r>
        <w:r w:rsidRPr="00087766">
          <w:rPr>
            <w:rStyle w:val="af7"/>
            <w:noProof/>
          </w:rPr>
          <w:t>Описание заголовка пакета «ApplicationArea»</w:t>
        </w:r>
        <w:r>
          <w:rPr>
            <w:noProof/>
            <w:webHidden/>
          </w:rPr>
          <w:tab/>
        </w:r>
        <w:r>
          <w:rPr>
            <w:noProof/>
            <w:webHidden/>
          </w:rPr>
          <w:fldChar w:fldCharType="begin"/>
        </w:r>
        <w:r>
          <w:rPr>
            <w:noProof/>
            <w:webHidden/>
          </w:rPr>
          <w:instrText xml:space="preserve"> PAGEREF _Toc219309455 \h </w:instrText>
        </w:r>
        <w:r>
          <w:rPr>
            <w:noProof/>
            <w:webHidden/>
          </w:rPr>
        </w:r>
        <w:r>
          <w:rPr>
            <w:noProof/>
            <w:webHidden/>
          </w:rPr>
          <w:fldChar w:fldCharType="separate"/>
        </w:r>
        <w:r>
          <w:rPr>
            <w:noProof/>
            <w:webHidden/>
          </w:rPr>
          <w:t>62</w:t>
        </w:r>
        <w:r>
          <w:rPr>
            <w:noProof/>
            <w:webHidden/>
          </w:rPr>
          <w:fldChar w:fldCharType="end"/>
        </w:r>
      </w:hyperlink>
    </w:p>
    <w:p w14:paraId="6F83540D"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456" w:history="1">
        <w:r w:rsidRPr="00087766">
          <w:rPr>
            <w:rStyle w:val="af7"/>
            <w:noProof/>
          </w:rPr>
          <w:t>5.8.1.</w:t>
        </w:r>
        <w:r>
          <w:rPr>
            <w:rFonts w:asciiTheme="minorHAnsi" w:eastAsiaTheme="minorEastAsia" w:hAnsiTheme="minorHAnsi" w:cstheme="minorBidi"/>
            <w:iCs w:val="0"/>
            <w:noProof/>
            <w:sz w:val="22"/>
            <w:szCs w:val="22"/>
          </w:rPr>
          <w:tab/>
        </w:r>
        <w:r w:rsidRPr="00087766">
          <w:rPr>
            <w:rStyle w:val="af7"/>
            <w:noProof/>
          </w:rPr>
          <w:t>Описание комплексного типа «ApplicationAreaContent»</w:t>
        </w:r>
        <w:r>
          <w:rPr>
            <w:noProof/>
            <w:webHidden/>
          </w:rPr>
          <w:tab/>
        </w:r>
        <w:r>
          <w:rPr>
            <w:noProof/>
            <w:webHidden/>
          </w:rPr>
          <w:fldChar w:fldCharType="begin"/>
        </w:r>
        <w:r>
          <w:rPr>
            <w:noProof/>
            <w:webHidden/>
          </w:rPr>
          <w:instrText xml:space="preserve"> PAGEREF _Toc219309456 \h </w:instrText>
        </w:r>
        <w:r>
          <w:rPr>
            <w:noProof/>
            <w:webHidden/>
          </w:rPr>
        </w:r>
        <w:r>
          <w:rPr>
            <w:noProof/>
            <w:webHidden/>
          </w:rPr>
          <w:fldChar w:fldCharType="separate"/>
        </w:r>
        <w:r>
          <w:rPr>
            <w:noProof/>
            <w:webHidden/>
          </w:rPr>
          <w:t>62</w:t>
        </w:r>
        <w:r>
          <w:rPr>
            <w:noProof/>
            <w:webHidden/>
          </w:rPr>
          <w:fldChar w:fldCharType="end"/>
        </w:r>
      </w:hyperlink>
    </w:p>
    <w:p w14:paraId="1C3C6E16" w14:textId="77777777" w:rsidR="008D797C" w:rsidRDefault="008D797C">
      <w:pPr>
        <w:pStyle w:val="2a"/>
        <w:tabs>
          <w:tab w:val="left" w:pos="960"/>
          <w:tab w:val="right" w:leader="dot" w:pos="9628"/>
        </w:tabs>
        <w:rPr>
          <w:rFonts w:asciiTheme="minorHAnsi" w:eastAsiaTheme="minorEastAsia" w:hAnsiTheme="minorHAnsi" w:cstheme="minorBidi"/>
          <w:noProof/>
          <w:sz w:val="22"/>
          <w:szCs w:val="22"/>
        </w:rPr>
      </w:pPr>
      <w:hyperlink w:anchor="_Toc219309457" w:history="1">
        <w:r w:rsidRPr="00087766">
          <w:rPr>
            <w:rStyle w:val="af7"/>
            <w:noProof/>
          </w:rPr>
          <w:t>5.9.</w:t>
        </w:r>
        <w:r>
          <w:rPr>
            <w:rFonts w:asciiTheme="minorHAnsi" w:eastAsiaTheme="minorEastAsia" w:hAnsiTheme="minorHAnsi" w:cstheme="minorBidi"/>
            <w:noProof/>
            <w:sz w:val="22"/>
            <w:szCs w:val="22"/>
          </w:rPr>
          <w:tab/>
        </w:r>
        <w:r w:rsidRPr="00087766">
          <w:rPr>
            <w:rStyle w:val="af7"/>
            <w:noProof/>
          </w:rPr>
          <w:t>Описание бизнес данных пакета «DataArea»</w:t>
        </w:r>
        <w:r>
          <w:rPr>
            <w:noProof/>
            <w:webHidden/>
          </w:rPr>
          <w:tab/>
        </w:r>
        <w:r>
          <w:rPr>
            <w:noProof/>
            <w:webHidden/>
          </w:rPr>
          <w:fldChar w:fldCharType="begin"/>
        </w:r>
        <w:r>
          <w:rPr>
            <w:noProof/>
            <w:webHidden/>
          </w:rPr>
          <w:instrText xml:space="preserve"> PAGEREF _Toc219309457 \h </w:instrText>
        </w:r>
        <w:r>
          <w:rPr>
            <w:noProof/>
            <w:webHidden/>
          </w:rPr>
        </w:r>
        <w:r>
          <w:rPr>
            <w:noProof/>
            <w:webHidden/>
          </w:rPr>
          <w:fldChar w:fldCharType="separate"/>
        </w:r>
        <w:r>
          <w:rPr>
            <w:noProof/>
            <w:webHidden/>
          </w:rPr>
          <w:t>66</w:t>
        </w:r>
        <w:r>
          <w:rPr>
            <w:noProof/>
            <w:webHidden/>
          </w:rPr>
          <w:fldChar w:fldCharType="end"/>
        </w:r>
      </w:hyperlink>
    </w:p>
    <w:p w14:paraId="5558031B" w14:textId="77777777" w:rsidR="008D797C" w:rsidRDefault="008D797C">
      <w:pPr>
        <w:pStyle w:val="16"/>
        <w:rPr>
          <w:rFonts w:asciiTheme="minorHAnsi" w:eastAsiaTheme="minorEastAsia" w:hAnsiTheme="minorHAnsi" w:cstheme="minorBidi"/>
          <w:b w:val="0"/>
          <w:caps w:val="0"/>
          <w:noProof/>
          <w:sz w:val="22"/>
          <w:szCs w:val="22"/>
        </w:rPr>
      </w:pPr>
      <w:hyperlink w:anchor="_Toc219309458" w:history="1">
        <w:r w:rsidRPr="00087766">
          <w:rPr>
            <w:rStyle w:val="af7"/>
            <w:noProof/>
          </w:rPr>
          <w:t>6.</w:t>
        </w:r>
        <w:r>
          <w:rPr>
            <w:rFonts w:asciiTheme="minorHAnsi" w:eastAsiaTheme="minorEastAsia" w:hAnsiTheme="minorHAnsi" w:cstheme="minorBidi"/>
            <w:b w:val="0"/>
            <w:caps w:val="0"/>
            <w:noProof/>
            <w:sz w:val="22"/>
            <w:szCs w:val="22"/>
          </w:rPr>
          <w:tab/>
        </w:r>
        <w:r w:rsidRPr="00087766">
          <w:rPr>
            <w:rStyle w:val="af7"/>
            <w:noProof/>
          </w:rPr>
          <w:t>Требования к составу информации при информационном взаимодействии между ТЕРРИТОРИАЛЬНЫМИ ОРГАНАМИ Федерального казначейства и получателями бюджетных средств, а также требования к составу информации при информационном взаимодействии по учету операций со средствами, поступающими во временное распоряжение учреждения</w:t>
        </w:r>
        <w:r>
          <w:rPr>
            <w:noProof/>
            <w:webHidden/>
          </w:rPr>
          <w:tab/>
        </w:r>
        <w:r>
          <w:rPr>
            <w:noProof/>
            <w:webHidden/>
          </w:rPr>
          <w:fldChar w:fldCharType="begin"/>
        </w:r>
        <w:r>
          <w:rPr>
            <w:noProof/>
            <w:webHidden/>
          </w:rPr>
          <w:instrText xml:space="preserve"> PAGEREF _Toc219309458 \h </w:instrText>
        </w:r>
        <w:r>
          <w:rPr>
            <w:noProof/>
            <w:webHidden/>
          </w:rPr>
        </w:r>
        <w:r>
          <w:rPr>
            <w:noProof/>
            <w:webHidden/>
          </w:rPr>
          <w:fldChar w:fldCharType="separate"/>
        </w:r>
        <w:r>
          <w:rPr>
            <w:noProof/>
            <w:webHidden/>
          </w:rPr>
          <w:t>68</w:t>
        </w:r>
        <w:r>
          <w:rPr>
            <w:noProof/>
            <w:webHidden/>
          </w:rPr>
          <w:fldChar w:fldCharType="end"/>
        </w:r>
      </w:hyperlink>
    </w:p>
    <w:p w14:paraId="2C7BF6BB" w14:textId="77777777" w:rsidR="008D797C" w:rsidRDefault="008D797C">
      <w:pPr>
        <w:pStyle w:val="2a"/>
        <w:tabs>
          <w:tab w:val="left" w:pos="960"/>
          <w:tab w:val="right" w:leader="dot" w:pos="9628"/>
        </w:tabs>
        <w:rPr>
          <w:rFonts w:asciiTheme="minorHAnsi" w:eastAsiaTheme="minorEastAsia" w:hAnsiTheme="minorHAnsi" w:cstheme="minorBidi"/>
          <w:noProof/>
          <w:sz w:val="22"/>
          <w:szCs w:val="22"/>
        </w:rPr>
      </w:pPr>
      <w:hyperlink w:anchor="_Toc219309459" w:history="1">
        <w:r w:rsidRPr="00087766">
          <w:rPr>
            <w:rStyle w:val="af7"/>
            <w:noProof/>
            <w:highlight w:val="green"/>
          </w:rPr>
          <w:t>6.1.</w:t>
        </w:r>
        <w:r>
          <w:rPr>
            <w:rFonts w:asciiTheme="minorHAnsi" w:eastAsiaTheme="minorEastAsia" w:hAnsiTheme="minorHAnsi" w:cstheme="minorBidi"/>
            <w:noProof/>
            <w:sz w:val="22"/>
            <w:szCs w:val="22"/>
          </w:rPr>
          <w:tab/>
        </w:r>
        <w:r w:rsidRPr="00087766">
          <w:rPr>
            <w:rStyle w:val="af7"/>
            <w:noProof/>
            <w:highlight w:val="green"/>
          </w:rPr>
          <w:t>Описание документа «Расходное расписание»</w:t>
        </w:r>
        <w:r>
          <w:rPr>
            <w:noProof/>
            <w:webHidden/>
          </w:rPr>
          <w:tab/>
        </w:r>
        <w:r>
          <w:rPr>
            <w:noProof/>
            <w:webHidden/>
          </w:rPr>
          <w:fldChar w:fldCharType="begin"/>
        </w:r>
        <w:r>
          <w:rPr>
            <w:noProof/>
            <w:webHidden/>
          </w:rPr>
          <w:instrText xml:space="preserve"> PAGEREF _Toc219309459 \h </w:instrText>
        </w:r>
        <w:r>
          <w:rPr>
            <w:noProof/>
            <w:webHidden/>
          </w:rPr>
        </w:r>
        <w:r>
          <w:rPr>
            <w:noProof/>
            <w:webHidden/>
          </w:rPr>
          <w:fldChar w:fldCharType="separate"/>
        </w:r>
        <w:r>
          <w:rPr>
            <w:noProof/>
            <w:webHidden/>
          </w:rPr>
          <w:t>71</w:t>
        </w:r>
        <w:r>
          <w:rPr>
            <w:noProof/>
            <w:webHidden/>
          </w:rPr>
          <w:fldChar w:fldCharType="end"/>
        </w:r>
      </w:hyperlink>
    </w:p>
    <w:p w14:paraId="2AB52832"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460" w:history="1">
        <w:r w:rsidRPr="00087766">
          <w:rPr>
            <w:rStyle w:val="af7"/>
            <w:noProof/>
          </w:rPr>
          <w:t>6.1.1.</w:t>
        </w:r>
        <w:r>
          <w:rPr>
            <w:rFonts w:asciiTheme="minorHAnsi" w:eastAsiaTheme="minorEastAsia" w:hAnsiTheme="minorHAnsi" w:cstheme="minorBidi"/>
            <w:iCs w:val="0"/>
            <w:noProof/>
            <w:sz w:val="22"/>
            <w:szCs w:val="22"/>
          </w:rPr>
          <w:tab/>
        </w:r>
        <w:r w:rsidRPr="00087766">
          <w:rPr>
            <w:rStyle w:val="af7"/>
            <w:noProof/>
          </w:rPr>
          <w:t>Назначение и маршрут документа</w:t>
        </w:r>
        <w:r>
          <w:rPr>
            <w:noProof/>
            <w:webHidden/>
          </w:rPr>
          <w:tab/>
        </w:r>
        <w:r>
          <w:rPr>
            <w:noProof/>
            <w:webHidden/>
          </w:rPr>
          <w:fldChar w:fldCharType="begin"/>
        </w:r>
        <w:r>
          <w:rPr>
            <w:noProof/>
            <w:webHidden/>
          </w:rPr>
          <w:instrText xml:space="preserve"> PAGEREF _Toc219309460 \h </w:instrText>
        </w:r>
        <w:r>
          <w:rPr>
            <w:noProof/>
            <w:webHidden/>
          </w:rPr>
        </w:r>
        <w:r>
          <w:rPr>
            <w:noProof/>
            <w:webHidden/>
          </w:rPr>
          <w:fldChar w:fldCharType="separate"/>
        </w:r>
        <w:r>
          <w:rPr>
            <w:noProof/>
            <w:webHidden/>
          </w:rPr>
          <w:t>71</w:t>
        </w:r>
        <w:r>
          <w:rPr>
            <w:noProof/>
            <w:webHidden/>
          </w:rPr>
          <w:fldChar w:fldCharType="end"/>
        </w:r>
      </w:hyperlink>
    </w:p>
    <w:p w14:paraId="02D3CBDA"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461" w:history="1">
        <w:r w:rsidRPr="00087766">
          <w:rPr>
            <w:rStyle w:val="af7"/>
            <w:noProof/>
            <w:highlight w:val="green"/>
          </w:rPr>
          <w:t>6.1.2.</w:t>
        </w:r>
        <w:r>
          <w:rPr>
            <w:rFonts w:asciiTheme="minorHAnsi" w:eastAsiaTheme="minorEastAsia" w:hAnsiTheme="minorHAnsi" w:cstheme="minorBidi"/>
            <w:iCs w:val="0"/>
            <w:noProof/>
            <w:sz w:val="22"/>
            <w:szCs w:val="22"/>
          </w:rPr>
          <w:tab/>
        </w:r>
        <w:r w:rsidRPr="00087766">
          <w:rPr>
            <w:rStyle w:val="af7"/>
            <w:noProof/>
            <w:highlight w:val="green"/>
          </w:rPr>
          <w:t>Описание комплексного типа «tMSC_ExpndblSchdl»</w:t>
        </w:r>
        <w:r>
          <w:rPr>
            <w:noProof/>
            <w:webHidden/>
          </w:rPr>
          <w:tab/>
        </w:r>
        <w:r>
          <w:rPr>
            <w:noProof/>
            <w:webHidden/>
          </w:rPr>
          <w:fldChar w:fldCharType="begin"/>
        </w:r>
        <w:r>
          <w:rPr>
            <w:noProof/>
            <w:webHidden/>
          </w:rPr>
          <w:instrText xml:space="preserve"> PAGEREF _Toc219309461 \h </w:instrText>
        </w:r>
        <w:r>
          <w:rPr>
            <w:noProof/>
            <w:webHidden/>
          </w:rPr>
        </w:r>
        <w:r>
          <w:rPr>
            <w:noProof/>
            <w:webHidden/>
          </w:rPr>
          <w:fldChar w:fldCharType="separate"/>
        </w:r>
        <w:r>
          <w:rPr>
            <w:noProof/>
            <w:webHidden/>
          </w:rPr>
          <w:t>71</w:t>
        </w:r>
        <w:r>
          <w:rPr>
            <w:noProof/>
            <w:webHidden/>
          </w:rPr>
          <w:fldChar w:fldCharType="end"/>
        </w:r>
      </w:hyperlink>
    </w:p>
    <w:p w14:paraId="12401AD4"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462" w:history="1">
        <w:r w:rsidRPr="00087766">
          <w:rPr>
            <w:rStyle w:val="af7"/>
            <w:noProof/>
          </w:rPr>
          <w:t>6.1.3.</w:t>
        </w:r>
        <w:r>
          <w:rPr>
            <w:rFonts w:asciiTheme="minorHAnsi" w:eastAsiaTheme="minorEastAsia" w:hAnsiTheme="minorHAnsi" w:cstheme="minorBidi"/>
            <w:iCs w:val="0"/>
            <w:noProof/>
            <w:sz w:val="22"/>
            <w:szCs w:val="22"/>
          </w:rPr>
          <w:tab/>
        </w:r>
        <w:r w:rsidRPr="00087766">
          <w:rPr>
            <w:rStyle w:val="af7"/>
            <w:noProof/>
          </w:rPr>
          <w:t>Описание комплексного типа «tAPREORG»</w:t>
        </w:r>
        <w:r>
          <w:rPr>
            <w:noProof/>
            <w:webHidden/>
          </w:rPr>
          <w:tab/>
        </w:r>
        <w:r>
          <w:rPr>
            <w:noProof/>
            <w:webHidden/>
          </w:rPr>
          <w:fldChar w:fldCharType="begin"/>
        </w:r>
        <w:r>
          <w:rPr>
            <w:noProof/>
            <w:webHidden/>
          </w:rPr>
          <w:instrText xml:space="preserve"> PAGEREF _Toc219309462 \h </w:instrText>
        </w:r>
        <w:r>
          <w:rPr>
            <w:noProof/>
            <w:webHidden/>
          </w:rPr>
        </w:r>
        <w:r>
          <w:rPr>
            <w:noProof/>
            <w:webHidden/>
          </w:rPr>
          <w:fldChar w:fldCharType="separate"/>
        </w:r>
        <w:r>
          <w:rPr>
            <w:noProof/>
            <w:webHidden/>
          </w:rPr>
          <w:t>76</w:t>
        </w:r>
        <w:r>
          <w:rPr>
            <w:noProof/>
            <w:webHidden/>
          </w:rPr>
          <w:fldChar w:fldCharType="end"/>
        </w:r>
      </w:hyperlink>
    </w:p>
    <w:p w14:paraId="4051E613"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463" w:history="1">
        <w:r w:rsidRPr="00087766">
          <w:rPr>
            <w:rStyle w:val="af7"/>
            <w:noProof/>
          </w:rPr>
          <w:t>6.1.4.</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«tMSC_PBS_UBP1»</w:t>
        </w:r>
        <w:r>
          <w:rPr>
            <w:noProof/>
            <w:webHidden/>
          </w:rPr>
          <w:tab/>
        </w:r>
        <w:r>
          <w:rPr>
            <w:noProof/>
            <w:webHidden/>
          </w:rPr>
          <w:fldChar w:fldCharType="begin"/>
        </w:r>
        <w:r>
          <w:rPr>
            <w:noProof/>
            <w:webHidden/>
          </w:rPr>
          <w:instrText xml:space="preserve"> PAGEREF _Toc219309463 \h </w:instrText>
        </w:r>
        <w:r>
          <w:rPr>
            <w:noProof/>
            <w:webHidden/>
          </w:rPr>
        </w:r>
        <w:r>
          <w:rPr>
            <w:noProof/>
            <w:webHidden/>
          </w:rPr>
          <w:fldChar w:fldCharType="separate"/>
        </w:r>
        <w:r>
          <w:rPr>
            <w:noProof/>
            <w:webHidden/>
          </w:rPr>
          <w:t>77</w:t>
        </w:r>
        <w:r>
          <w:rPr>
            <w:noProof/>
            <w:webHidden/>
          </w:rPr>
          <w:fldChar w:fldCharType="end"/>
        </w:r>
      </w:hyperlink>
    </w:p>
    <w:p w14:paraId="20F43415"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464" w:history="1">
        <w:r w:rsidRPr="00087766">
          <w:rPr>
            <w:rStyle w:val="af7"/>
            <w:noProof/>
          </w:rPr>
          <w:t>6.1.5.</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«tMSC_GRBS4»</w:t>
        </w:r>
        <w:r>
          <w:rPr>
            <w:noProof/>
            <w:webHidden/>
          </w:rPr>
          <w:tab/>
        </w:r>
        <w:r>
          <w:rPr>
            <w:noProof/>
            <w:webHidden/>
          </w:rPr>
          <w:fldChar w:fldCharType="begin"/>
        </w:r>
        <w:r>
          <w:rPr>
            <w:noProof/>
            <w:webHidden/>
          </w:rPr>
          <w:instrText xml:space="preserve"> PAGEREF _Toc219309464 \h </w:instrText>
        </w:r>
        <w:r>
          <w:rPr>
            <w:noProof/>
            <w:webHidden/>
          </w:rPr>
        </w:r>
        <w:r>
          <w:rPr>
            <w:noProof/>
            <w:webHidden/>
          </w:rPr>
          <w:fldChar w:fldCharType="separate"/>
        </w:r>
        <w:r>
          <w:rPr>
            <w:noProof/>
            <w:webHidden/>
          </w:rPr>
          <w:t>77</w:t>
        </w:r>
        <w:r>
          <w:rPr>
            <w:noProof/>
            <w:webHidden/>
          </w:rPr>
          <w:fldChar w:fldCharType="end"/>
        </w:r>
      </w:hyperlink>
    </w:p>
    <w:p w14:paraId="537EC08D"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465" w:history="1">
        <w:r w:rsidRPr="00087766">
          <w:rPr>
            <w:rStyle w:val="af7"/>
            <w:noProof/>
          </w:rPr>
          <w:t>6.1.6.</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«tMSC_OrFK»</w:t>
        </w:r>
        <w:r>
          <w:rPr>
            <w:noProof/>
            <w:webHidden/>
          </w:rPr>
          <w:tab/>
        </w:r>
        <w:r>
          <w:rPr>
            <w:noProof/>
            <w:webHidden/>
          </w:rPr>
          <w:fldChar w:fldCharType="begin"/>
        </w:r>
        <w:r>
          <w:rPr>
            <w:noProof/>
            <w:webHidden/>
          </w:rPr>
          <w:instrText xml:space="preserve"> PAGEREF _Toc219309465 \h </w:instrText>
        </w:r>
        <w:r>
          <w:rPr>
            <w:noProof/>
            <w:webHidden/>
          </w:rPr>
        </w:r>
        <w:r>
          <w:rPr>
            <w:noProof/>
            <w:webHidden/>
          </w:rPr>
          <w:fldChar w:fldCharType="separate"/>
        </w:r>
        <w:r>
          <w:rPr>
            <w:noProof/>
            <w:webHidden/>
          </w:rPr>
          <w:t>78</w:t>
        </w:r>
        <w:r>
          <w:rPr>
            <w:noProof/>
            <w:webHidden/>
          </w:rPr>
          <w:fldChar w:fldCharType="end"/>
        </w:r>
      </w:hyperlink>
    </w:p>
    <w:p w14:paraId="40ADC088"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466" w:history="1">
        <w:r w:rsidRPr="00087766">
          <w:rPr>
            <w:rStyle w:val="af7"/>
            <w:noProof/>
          </w:rPr>
          <w:t>6.1.7.</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«tMSC_FnclInst2»</w:t>
        </w:r>
        <w:r>
          <w:rPr>
            <w:noProof/>
            <w:webHidden/>
          </w:rPr>
          <w:tab/>
        </w:r>
        <w:r>
          <w:rPr>
            <w:noProof/>
            <w:webHidden/>
          </w:rPr>
          <w:fldChar w:fldCharType="begin"/>
        </w:r>
        <w:r>
          <w:rPr>
            <w:noProof/>
            <w:webHidden/>
          </w:rPr>
          <w:instrText xml:space="preserve"> PAGEREF _Toc219309466 \h </w:instrText>
        </w:r>
        <w:r>
          <w:rPr>
            <w:noProof/>
            <w:webHidden/>
          </w:rPr>
        </w:r>
        <w:r>
          <w:rPr>
            <w:noProof/>
            <w:webHidden/>
          </w:rPr>
          <w:fldChar w:fldCharType="separate"/>
        </w:r>
        <w:r>
          <w:rPr>
            <w:noProof/>
            <w:webHidden/>
          </w:rPr>
          <w:t>78</w:t>
        </w:r>
        <w:r>
          <w:rPr>
            <w:noProof/>
            <w:webHidden/>
          </w:rPr>
          <w:fldChar w:fldCharType="end"/>
        </w:r>
      </w:hyperlink>
    </w:p>
    <w:p w14:paraId="64BFFD0B"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467" w:history="1">
        <w:r w:rsidRPr="00087766">
          <w:rPr>
            <w:rStyle w:val="af7"/>
            <w:noProof/>
          </w:rPr>
          <w:t>6.1.8.</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«tMSC_Hd»</w:t>
        </w:r>
        <w:r>
          <w:rPr>
            <w:noProof/>
            <w:webHidden/>
          </w:rPr>
          <w:tab/>
        </w:r>
        <w:r>
          <w:rPr>
            <w:noProof/>
            <w:webHidden/>
          </w:rPr>
          <w:fldChar w:fldCharType="begin"/>
        </w:r>
        <w:r>
          <w:rPr>
            <w:noProof/>
            <w:webHidden/>
          </w:rPr>
          <w:instrText xml:space="preserve"> PAGEREF _Toc219309467 \h </w:instrText>
        </w:r>
        <w:r>
          <w:rPr>
            <w:noProof/>
            <w:webHidden/>
          </w:rPr>
        </w:r>
        <w:r>
          <w:rPr>
            <w:noProof/>
            <w:webHidden/>
          </w:rPr>
          <w:fldChar w:fldCharType="separate"/>
        </w:r>
        <w:r>
          <w:rPr>
            <w:noProof/>
            <w:webHidden/>
          </w:rPr>
          <w:t>78</w:t>
        </w:r>
        <w:r>
          <w:rPr>
            <w:noProof/>
            <w:webHidden/>
          </w:rPr>
          <w:fldChar w:fldCharType="end"/>
        </w:r>
      </w:hyperlink>
    </w:p>
    <w:p w14:paraId="345B6E75"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468" w:history="1">
        <w:r w:rsidRPr="00087766">
          <w:rPr>
            <w:rStyle w:val="af7"/>
            <w:noProof/>
          </w:rPr>
          <w:t>6.1.9.</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«tMSC_RspnExctr»</w:t>
        </w:r>
        <w:r>
          <w:rPr>
            <w:noProof/>
            <w:webHidden/>
          </w:rPr>
          <w:tab/>
        </w:r>
        <w:r>
          <w:rPr>
            <w:noProof/>
            <w:webHidden/>
          </w:rPr>
          <w:fldChar w:fldCharType="begin"/>
        </w:r>
        <w:r>
          <w:rPr>
            <w:noProof/>
            <w:webHidden/>
          </w:rPr>
          <w:instrText xml:space="preserve"> PAGEREF _Toc219309468 \h </w:instrText>
        </w:r>
        <w:r>
          <w:rPr>
            <w:noProof/>
            <w:webHidden/>
          </w:rPr>
        </w:r>
        <w:r>
          <w:rPr>
            <w:noProof/>
            <w:webHidden/>
          </w:rPr>
          <w:fldChar w:fldCharType="separate"/>
        </w:r>
        <w:r>
          <w:rPr>
            <w:noProof/>
            <w:webHidden/>
          </w:rPr>
          <w:t>79</w:t>
        </w:r>
        <w:r>
          <w:rPr>
            <w:noProof/>
            <w:webHidden/>
          </w:rPr>
          <w:fldChar w:fldCharType="end"/>
        </w:r>
      </w:hyperlink>
    </w:p>
    <w:p w14:paraId="32A941B7"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469" w:history="1">
        <w:r w:rsidRPr="00087766">
          <w:rPr>
            <w:rStyle w:val="af7"/>
            <w:noProof/>
          </w:rPr>
          <w:t>6.1.10.</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«tMSC_Infrmtn3»</w:t>
        </w:r>
        <w:r>
          <w:rPr>
            <w:noProof/>
            <w:webHidden/>
          </w:rPr>
          <w:tab/>
        </w:r>
        <w:r>
          <w:rPr>
            <w:noProof/>
            <w:webHidden/>
          </w:rPr>
          <w:fldChar w:fldCharType="begin"/>
        </w:r>
        <w:r>
          <w:rPr>
            <w:noProof/>
            <w:webHidden/>
          </w:rPr>
          <w:instrText xml:space="preserve"> PAGEREF _Toc219309469 \h </w:instrText>
        </w:r>
        <w:r>
          <w:rPr>
            <w:noProof/>
            <w:webHidden/>
          </w:rPr>
        </w:r>
        <w:r>
          <w:rPr>
            <w:noProof/>
            <w:webHidden/>
          </w:rPr>
          <w:fldChar w:fldCharType="separate"/>
        </w:r>
        <w:r>
          <w:rPr>
            <w:noProof/>
            <w:webHidden/>
          </w:rPr>
          <w:t>79</w:t>
        </w:r>
        <w:r>
          <w:rPr>
            <w:noProof/>
            <w:webHidden/>
          </w:rPr>
          <w:fldChar w:fldCharType="end"/>
        </w:r>
      </w:hyperlink>
    </w:p>
    <w:p w14:paraId="224AE0B3"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470" w:history="1">
        <w:r w:rsidRPr="00087766">
          <w:rPr>
            <w:rStyle w:val="af7"/>
            <w:noProof/>
          </w:rPr>
          <w:t>6.1.11.</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«tMSC_SpclInst»</w:t>
        </w:r>
        <w:r>
          <w:rPr>
            <w:noProof/>
            <w:webHidden/>
          </w:rPr>
          <w:tab/>
        </w:r>
        <w:r>
          <w:rPr>
            <w:noProof/>
            <w:webHidden/>
          </w:rPr>
          <w:fldChar w:fldCharType="begin"/>
        </w:r>
        <w:r>
          <w:rPr>
            <w:noProof/>
            <w:webHidden/>
          </w:rPr>
          <w:instrText xml:space="preserve"> PAGEREF _Toc219309470 \h </w:instrText>
        </w:r>
        <w:r>
          <w:rPr>
            <w:noProof/>
            <w:webHidden/>
          </w:rPr>
        </w:r>
        <w:r>
          <w:rPr>
            <w:noProof/>
            <w:webHidden/>
          </w:rPr>
          <w:fldChar w:fldCharType="separate"/>
        </w:r>
        <w:r>
          <w:rPr>
            <w:noProof/>
            <w:webHidden/>
          </w:rPr>
          <w:t>79</w:t>
        </w:r>
        <w:r>
          <w:rPr>
            <w:noProof/>
            <w:webHidden/>
          </w:rPr>
          <w:fldChar w:fldCharType="end"/>
        </w:r>
      </w:hyperlink>
    </w:p>
    <w:p w14:paraId="2D9AF6FD"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471" w:history="1">
        <w:r w:rsidRPr="00087766">
          <w:rPr>
            <w:rStyle w:val="af7"/>
            <w:noProof/>
          </w:rPr>
          <w:t>6.1.12.</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«tMSC_Amount»</w:t>
        </w:r>
        <w:r>
          <w:rPr>
            <w:noProof/>
            <w:webHidden/>
          </w:rPr>
          <w:tab/>
        </w:r>
        <w:r>
          <w:rPr>
            <w:noProof/>
            <w:webHidden/>
          </w:rPr>
          <w:fldChar w:fldCharType="begin"/>
        </w:r>
        <w:r>
          <w:rPr>
            <w:noProof/>
            <w:webHidden/>
          </w:rPr>
          <w:instrText xml:space="preserve"> PAGEREF _Toc219309471 \h </w:instrText>
        </w:r>
        <w:r>
          <w:rPr>
            <w:noProof/>
            <w:webHidden/>
          </w:rPr>
        </w:r>
        <w:r>
          <w:rPr>
            <w:noProof/>
            <w:webHidden/>
          </w:rPr>
          <w:fldChar w:fldCharType="separate"/>
        </w:r>
        <w:r>
          <w:rPr>
            <w:noProof/>
            <w:webHidden/>
          </w:rPr>
          <w:t>80</w:t>
        </w:r>
        <w:r>
          <w:rPr>
            <w:noProof/>
            <w:webHidden/>
          </w:rPr>
          <w:fldChar w:fldCharType="end"/>
        </w:r>
      </w:hyperlink>
    </w:p>
    <w:p w14:paraId="2D021816"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472" w:history="1">
        <w:r w:rsidRPr="00087766">
          <w:rPr>
            <w:rStyle w:val="af7"/>
            <w:noProof/>
          </w:rPr>
          <w:t>6.1.13.</w:t>
        </w:r>
        <w:r>
          <w:rPr>
            <w:rFonts w:asciiTheme="minorHAnsi" w:eastAsiaTheme="minorEastAsia" w:hAnsiTheme="minorHAnsi" w:cstheme="minorBidi"/>
            <w:iCs w:val="0"/>
            <w:noProof/>
            <w:sz w:val="22"/>
            <w:szCs w:val="22"/>
          </w:rPr>
          <w:tab/>
        </w:r>
        <w:r w:rsidRPr="00087766">
          <w:rPr>
            <w:rStyle w:val="af7"/>
            <w:noProof/>
          </w:rPr>
          <w:t>Описание комплексного типа «tAPBASTR»</w:t>
        </w:r>
        <w:r>
          <w:rPr>
            <w:noProof/>
            <w:webHidden/>
          </w:rPr>
          <w:tab/>
        </w:r>
        <w:r>
          <w:rPr>
            <w:noProof/>
            <w:webHidden/>
          </w:rPr>
          <w:fldChar w:fldCharType="begin"/>
        </w:r>
        <w:r>
          <w:rPr>
            <w:noProof/>
            <w:webHidden/>
          </w:rPr>
          <w:instrText xml:space="preserve"> PAGEREF _Toc219309472 \h </w:instrText>
        </w:r>
        <w:r>
          <w:rPr>
            <w:noProof/>
            <w:webHidden/>
          </w:rPr>
        </w:r>
        <w:r>
          <w:rPr>
            <w:noProof/>
            <w:webHidden/>
          </w:rPr>
          <w:fldChar w:fldCharType="separate"/>
        </w:r>
        <w:r>
          <w:rPr>
            <w:noProof/>
            <w:webHidden/>
          </w:rPr>
          <w:t>80</w:t>
        </w:r>
        <w:r>
          <w:rPr>
            <w:noProof/>
            <w:webHidden/>
          </w:rPr>
          <w:fldChar w:fldCharType="end"/>
        </w:r>
      </w:hyperlink>
    </w:p>
    <w:p w14:paraId="4462C51B"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473" w:history="1">
        <w:r w:rsidRPr="00087766">
          <w:rPr>
            <w:rStyle w:val="af7"/>
            <w:noProof/>
          </w:rPr>
          <w:t>6.1.14.</w:t>
        </w:r>
        <w:r>
          <w:rPr>
            <w:rFonts w:asciiTheme="minorHAnsi" w:eastAsiaTheme="minorEastAsia" w:hAnsiTheme="minorHAnsi" w:cstheme="minorBidi"/>
            <w:iCs w:val="0"/>
            <w:noProof/>
            <w:sz w:val="22"/>
            <w:szCs w:val="22"/>
          </w:rPr>
          <w:tab/>
        </w:r>
        <w:r w:rsidRPr="00087766">
          <w:rPr>
            <w:rStyle w:val="af7"/>
            <w:noProof/>
          </w:rPr>
          <w:t>Описание комплексного типа «tAPBASTR_ITEM»</w:t>
        </w:r>
        <w:r>
          <w:rPr>
            <w:noProof/>
            <w:webHidden/>
          </w:rPr>
          <w:tab/>
        </w:r>
        <w:r>
          <w:rPr>
            <w:noProof/>
            <w:webHidden/>
          </w:rPr>
          <w:fldChar w:fldCharType="begin"/>
        </w:r>
        <w:r>
          <w:rPr>
            <w:noProof/>
            <w:webHidden/>
          </w:rPr>
          <w:instrText xml:space="preserve"> PAGEREF _Toc219309473 \h </w:instrText>
        </w:r>
        <w:r>
          <w:rPr>
            <w:noProof/>
            <w:webHidden/>
          </w:rPr>
        </w:r>
        <w:r>
          <w:rPr>
            <w:noProof/>
            <w:webHidden/>
          </w:rPr>
          <w:fldChar w:fldCharType="separate"/>
        </w:r>
        <w:r>
          <w:rPr>
            <w:noProof/>
            <w:webHidden/>
          </w:rPr>
          <w:t>81</w:t>
        </w:r>
        <w:r>
          <w:rPr>
            <w:noProof/>
            <w:webHidden/>
          </w:rPr>
          <w:fldChar w:fldCharType="end"/>
        </w:r>
      </w:hyperlink>
    </w:p>
    <w:p w14:paraId="1C3070BB"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474" w:history="1">
        <w:r w:rsidRPr="00087766">
          <w:rPr>
            <w:rStyle w:val="af7"/>
            <w:noProof/>
          </w:rPr>
          <w:t>6.1.15.</w:t>
        </w:r>
        <w:r>
          <w:rPr>
            <w:rFonts w:asciiTheme="minorHAnsi" w:eastAsiaTheme="minorEastAsia" w:hAnsiTheme="minorHAnsi" w:cstheme="minorBidi"/>
            <w:iCs w:val="0"/>
            <w:noProof/>
            <w:sz w:val="22"/>
            <w:szCs w:val="22"/>
          </w:rPr>
          <w:tab/>
        </w:r>
        <w:r w:rsidRPr="00087766">
          <w:rPr>
            <w:rStyle w:val="af7"/>
            <w:noProof/>
          </w:rPr>
          <w:t>Описание комплексного типа «tAPLBOSTR»</w:t>
        </w:r>
        <w:r>
          <w:rPr>
            <w:noProof/>
            <w:webHidden/>
          </w:rPr>
          <w:tab/>
        </w:r>
        <w:r>
          <w:rPr>
            <w:noProof/>
            <w:webHidden/>
          </w:rPr>
          <w:fldChar w:fldCharType="begin"/>
        </w:r>
        <w:r>
          <w:rPr>
            <w:noProof/>
            <w:webHidden/>
          </w:rPr>
          <w:instrText xml:space="preserve"> PAGEREF _Toc219309474 \h </w:instrText>
        </w:r>
        <w:r>
          <w:rPr>
            <w:noProof/>
            <w:webHidden/>
          </w:rPr>
        </w:r>
        <w:r>
          <w:rPr>
            <w:noProof/>
            <w:webHidden/>
          </w:rPr>
          <w:fldChar w:fldCharType="separate"/>
        </w:r>
        <w:r>
          <w:rPr>
            <w:noProof/>
            <w:webHidden/>
          </w:rPr>
          <w:t>81</w:t>
        </w:r>
        <w:r>
          <w:rPr>
            <w:noProof/>
            <w:webHidden/>
          </w:rPr>
          <w:fldChar w:fldCharType="end"/>
        </w:r>
      </w:hyperlink>
    </w:p>
    <w:p w14:paraId="09617A32"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475" w:history="1">
        <w:r w:rsidRPr="00087766">
          <w:rPr>
            <w:rStyle w:val="af7"/>
            <w:noProof/>
          </w:rPr>
          <w:t>6.1.16.</w:t>
        </w:r>
        <w:r>
          <w:rPr>
            <w:rFonts w:asciiTheme="minorHAnsi" w:eastAsiaTheme="minorEastAsia" w:hAnsiTheme="minorHAnsi" w:cstheme="minorBidi"/>
            <w:iCs w:val="0"/>
            <w:noProof/>
            <w:sz w:val="22"/>
            <w:szCs w:val="22"/>
          </w:rPr>
          <w:tab/>
        </w:r>
        <w:r w:rsidRPr="00087766">
          <w:rPr>
            <w:rStyle w:val="af7"/>
            <w:noProof/>
          </w:rPr>
          <w:t>Описание комплексного типа «tAPLBOSTR_ITEM»</w:t>
        </w:r>
        <w:r>
          <w:rPr>
            <w:noProof/>
            <w:webHidden/>
          </w:rPr>
          <w:tab/>
        </w:r>
        <w:r>
          <w:rPr>
            <w:noProof/>
            <w:webHidden/>
          </w:rPr>
          <w:fldChar w:fldCharType="begin"/>
        </w:r>
        <w:r>
          <w:rPr>
            <w:noProof/>
            <w:webHidden/>
          </w:rPr>
          <w:instrText xml:space="preserve"> PAGEREF _Toc219309475 \h </w:instrText>
        </w:r>
        <w:r>
          <w:rPr>
            <w:noProof/>
            <w:webHidden/>
          </w:rPr>
        </w:r>
        <w:r>
          <w:rPr>
            <w:noProof/>
            <w:webHidden/>
          </w:rPr>
          <w:fldChar w:fldCharType="separate"/>
        </w:r>
        <w:r>
          <w:rPr>
            <w:noProof/>
            <w:webHidden/>
          </w:rPr>
          <w:t>81</w:t>
        </w:r>
        <w:r>
          <w:rPr>
            <w:noProof/>
            <w:webHidden/>
          </w:rPr>
          <w:fldChar w:fldCharType="end"/>
        </w:r>
      </w:hyperlink>
    </w:p>
    <w:p w14:paraId="7B9995D8"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476" w:history="1">
        <w:r w:rsidRPr="00087766">
          <w:rPr>
            <w:rStyle w:val="af7"/>
            <w:noProof/>
          </w:rPr>
          <w:t>6.1.17.</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«tMSC_KBKAmount»</w:t>
        </w:r>
        <w:r>
          <w:rPr>
            <w:noProof/>
            <w:webHidden/>
          </w:rPr>
          <w:tab/>
        </w:r>
        <w:r>
          <w:rPr>
            <w:noProof/>
            <w:webHidden/>
          </w:rPr>
          <w:fldChar w:fldCharType="begin"/>
        </w:r>
        <w:r>
          <w:rPr>
            <w:noProof/>
            <w:webHidden/>
          </w:rPr>
          <w:instrText xml:space="preserve"> PAGEREF _Toc219309476 \h </w:instrText>
        </w:r>
        <w:r>
          <w:rPr>
            <w:noProof/>
            <w:webHidden/>
          </w:rPr>
        </w:r>
        <w:r>
          <w:rPr>
            <w:noProof/>
            <w:webHidden/>
          </w:rPr>
          <w:fldChar w:fldCharType="separate"/>
        </w:r>
        <w:r>
          <w:rPr>
            <w:noProof/>
            <w:webHidden/>
          </w:rPr>
          <w:t>82</w:t>
        </w:r>
        <w:r>
          <w:rPr>
            <w:noProof/>
            <w:webHidden/>
          </w:rPr>
          <w:fldChar w:fldCharType="end"/>
        </w:r>
      </w:hyperlink>
    </w:p>
    <w:p w14:paraId="4E167CD3"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477" w:history="1">
        <w:r w:rsidRPr="00087766">
          <w:rPr>
            <w:rStyle w:val="af7"/>
            <w:noProof/>
          </w:rPr>
          <w:t>6.1.18.</w:t>
        </w:r>
        <w:r>
          <w:rPr>
            <w:rFonts w:asciiTheme="minorHAnsi" w:eastAsiaTheme="minorEastAsia" w:hAnsiTheme="minorHAnsi" w:cstheme="minorBidi"/>
            <w:iCs w:val="0"/>
            <w:noProof/>
            <w:sz w:val="22"/>
            <w:szCs w:val="22"/>
          </w:rPr>
          <w:tab/>
        </w:r>
        <w:r w:rsidRPr="00087766">
          <w:rPr>
            <w:rStyle w:val="af7"/>
            <w:noProof/>
          </w:rPr>
          <w:t>Описание комплексного типа «tAPPOFSTR»</w:t>
        </w:r>
        <w:r>
          <w:rPr>
            <w:noProof/>
            <w:webHidden/>
          </w:rPr>
          <w:tab/>
        </w:r>
        <w:r>
          <w:rPr>
            <w:noProof/>
            <w:webHidden/>
          </w:rPr>
          <w:fldChar w:fldCharType="begin"/>
        </w:r>
        <w:r>
          <w:rPr>
            <w:noProof/>
            <w:webHidden/>
          </w:rPr>
          <w:instrText xml:space="preserve"> PAGEREF _Toc219309477 \h </w:instrText>
        </w:r>
        <w:r>
          <w:rPr>
            <w:noProof/>
            <w:webHidden/>
          </w:rPr>
        </w:r>
        <w:r>
          <w:rPr>
            <w:noProof/>
            <w:webHidden/>
          </w:rPr>
          <w:fldChar w:fldCharType="separate"/>
        </w:r>
        <w:r>
          <w:rPr>
            <w:noProof/>
            <w:webHidden/>
          </w:rPr>
          <w:t>82</w:t>
        </w:r>
        <w:r>
          <w:rPr>
            <w:noProof/>
            <w:webHidden/>
          </w:rPr>
          <w:fldChar w:fldCharType="end"/>
        </w:r>
      </w:hyperlink>
    </w:p>
    <w:p w14:paraId="4FBF8025"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478" w:history="1">
        <w:r w:rsidRPr="00087766">
          <w:rPr>
            <w:rStyle w:val="af7"/>
            <w:noProof/>
          </w:rPr>
          <w:t>6.1.19.</w:t>
        </w:r>
        <w:r>
          <w:rPr>
            <w:rFonts w:asciiTheme="minorHAnsi" w:eastAsiaTheme="minorEastAsia" w:hAnsiTheme="minorHAnsi" w:cstheme="minorBidi"/>
            <w:iCs w:val="0"/>
            <w:noProof/>
            <w:sz w:val="22"/>
            <w:szCs w:val="22"/>
          </w:rPr>
          <w:tab/>
        </w:r>
        <w:r w:rsidRPr="00087766">
          <w:rPr>
            <w:rStyle w:val="af7"/>
            <w:noProof/>
          </w:rPr>
          <w:t>Описание комплексного типа «tAPPOFSTR_ITEM»</w:t>
        </w:r>
        <w:r>
          <w:rPr>
            <w:noProof/>
            <w:webHidden/>
          </w:rPr>
          <w:tab/>
        </w:r>
        <w:r>
          <w:rPr>
            <w:noProof/>
            <w:webHidden/>
          </w:rPr>
          <w:fldChar w:fldCharType="begin"/>
        </w:r>
        <w:r>
          <w:rPr>
            <w:noProof/>
            <w:webHidden/>
          </w:rPr>
          <w:instrText xml:space="preserve"> PAGEREF _Toc219309478 \h </w:instrText>
        </w:r>
        <w:r>
          <w:rPr>
            <w:noProof/>
            <w:webHidden/>
          </w:rPr>
        </w:r>
        <w:r>
          <w:rPr>
            <w:noProof/>
            <w:webHidden/>
          </w:rPr>
          <w:fldChar w:fldCharType="separate"/>
        </w:r>
        <w:r>
          <w:rPr>
            <w:noProof/>
            <w:webHidden/>
          </w:rPr>
          <w:t>82</w:t>
        </w:r>
        <w:r>
          <w:rPr>
            <w:noProof/>
            <w:webHidden/>
          </w:rPr>
          <w:fldChar w:fldCharType="end"/>
        </w:r>
      </w:hyperlink>
    </w:p>
    <w:p w14:paraId="00A3EEF3"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479" w:history="1">
        <w:r w:rsidRPr="00087766">
          <w:rPr>
            <w:rStyle w:val="af7"/>
            <w:noProof/>
          </w:rPr>
          <w:t>6.1.20.</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«tMSC_KBK»</w:t>
        </w:r>
        <w:r>
          <w:rPr>
            <w:noProof/>
            <w:webHidden/>
          </w:rPr>
          <w:tab/>
        </w:r>
        <w:r>
          <w:rPr>
            <w:noProof/>
            <w:webHidden/>
          </w:rPr>
          <w:fldChar w:fldCharType="begin"/>
        </w:r>
        <w:r>
          <w:rPr>
            <w:noProof/>
            <w:webHidden/>
          </w:rPr>
          <w:instrText xml:space="preserve"> PAGEREF _Toc219309479 \h </w:instrText>
        </w:r>
        <w:r>
          <w:rPr>
            <w:noProof/>
            <w:webHidden/>
          </w:rPr>
        </w:r>
        <w:r>
          <w:rPr>
            <w:noProof/>
            <w:webHidden/>
          </w:rPr>
          <w:fldChar w:fldCharType="separate"/>
        </w:r>
        <w:r>
          <w:rPr>
            <w:noProof/>
            <w:webHidden/>
          </w:rPr>
          <w:t>83</w:t>
        </w:r>
        <w:r>
          <w:rPr>
            <w:noProof/>
            <w:webHidden/>
          </w:rPr>
          <w:fldChar w:fldCharType="end"/>
        </w:r>
      </w:hyperlink>
    </w:p>
    <w:p w14:paraId="2C129C26"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480" w:history="1">
        <w:r w:rsidRPr="00087766">
          <w:rPr>
            <w:rStyle w:val="af7"/>
            <w:noProof/>
            <w:highlight w:val="green"/>
          </w:rPr>
          <w:t>6.1.21.</w:t>
        </w:r>
        <w:r>
          <w:rPr>
            <w:rFonts w:asciiTheme="minorHAnsi" w:eastAsiaTheme="minorEastAsia" w:hAnsiTheme="minorHAnsi" w:cstheme="minorBidi"/>
            <w:iCs w:val="0"/>
            <w:noProof/>
            <w:sz w:val="22"/>
            <w:szCs w:val="22"/>
          </w:rPr>
          <w:tab/>
        </w:r>
        <w:r w:rsidRPr="00087766">
          <w:rPr>
            <w:rStyle w:val="af7"/>
            <w:noProof/>
            <w:highlight w:val="green"/>
          </w:rPr>
          <w:t>Описание комплексного типа «tMSC_ScrcSgnComplex2»</w:t>
        </w:r>
        <w:r>
          <w:rPr>
            <w:noProof/>
            <w:webHidden/>
          </w:rPr>
          <w:tab/>
        </w:r>
        <w:r>
          <w:rPr>
            <w:noProof/>
            <w:webHidden/>
          </w:rPr>
          <w:fldChar w:fldCharType="begin"/>
        </w:r>
        <w:r>
          <w:rPr>
            <w:noProof/>
            <w:webHidden/>
          </w:rPr>
          <w:instrText xml:space="preserve"> PAGEREF _Toc219309480 \h </w:instrText>
        </w:r>
        <w:r>
          <w:rPr>
            <w:noProof/>
            <w:webHidden/>
          </w:rPr>
        </w:r>
        <w:r>
          <w:rPr>
            <w:noProof/>
            <w:webHidden/>
          </w:rPr>
          <w:fldChar w:fldCharType="separate"/>
        </w:r>
        <w:r>
          <w:rPr>
            <w:noProof/>
            <w:webHidden/>
          </w:rPr>
          <w:t>83</w:t>
        </w:r>
        <w:r>
          <w:rPr>
            <w:noProof/>
            <w:webHidden/>
          </w:rPr>
          <w:fldChar w:fldCharType="end"/>
        </w:r>
      </w:hyperlink>
    </w:p>
    <w:p w14:paraId="60FD164D"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481" w:history="1">
        <w:r w:rsidRPr="00087766">
          <w:rPr>
            <w:rStyle w:val="af7"/>
            <w:noProof/>
          </w:rPr>
          <w:t>6.1.22.</w:t>
        </w:r>
        <w:r>
          <w:rPr>
            <w:rFonts w:asciiTheme="minorHAnsi" w:eastAsiaTheme="minorEastAsia" w:hAnsiTheme="minorHAnsi" w:cstheme="minorBidi"/>
            <w:iCs w:val="0"/>
            <w:noProof/>
            <w:sz w:val="22"/>
            <w:szCs w:val="22"/>
          </w:rPr>
          <w:tab/>
        </w:r>
        <w:r w:rsidRPr="00087766">
          <w:rPr>
            <w:rStyle w:val="af7"/>
            <w:noProof/>
          </w:rPr>
          <w:t>Описание комплексного типа «tDocSrcComplex1»</w:t>
        </w:r>
        <w:r>
          <w:rPr>
            <w:noProof/>
            <w:webHidden/>
          </w:rPr>
          <w:tab/>
        </w:r>
        <w:r>
          <w:rPr>
            <w:noProof/>
            <w:webHidden/>
          </w:rPr>
          <w:fldChar w:fldCharType="begin"/>
        </w:r>
        <w:r>
          <w:rPr>
            <w:noProof/>
            <w:webHidden/>
          </w:rPr>
          <w:instrText xml:space="preserve"> PAGEREF _Toc219309481 \h </w:instrText>
        </w:r>
        <w:r>
          <w:rPr>
            <w:noProof/>
            <w:webHidden/>
          </w:rPr>
        </w:r>
        <w:r>
          <w:rPr>
            <w:noProof/>
            <w:webHidden/>
          </w:rPr>
          <w:fldChar w:fldCharType="separate"/>
        </w:r>
        <w:r>
          <w:rPr>
            <w:noProof/>
            <w:webHidden/>
          </w:rPr>
          <w:t>84</w:t>
        </w:r>
        <w:r>
          <w:rPr>
            <w:noProof/>
            <w:webHidden/>
          </w:rPr>
          <w:fldChar w:fldCharType="end"/>
        </w:r>
      </w:hyperlink>
    </w:p>
    <w:p w14:paraId="684D6BAA"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482" w:history="1">
        <w:r w:rsidRPr="00087766">
          <w:rPr>
            <w:rStyle w:val="af7"/>
            <w:noProof/>
          </w:rPr>
          <w:t>6.1.23.</w:t>
        </w:r>
        <w:r>
          <w:rPr>
            <w:rFonts w:asciiTheme="minorHAnsi" w:eastAsiaTheme="minorEastAsia" w:hAnsiTheme="minorHAnsi" w:cstheme="minorBidi"/>
            <w:iCs w:val="0"/>
            <w:noProof/>
            <w:sz w:val="22"/>
            <w:szCs w:val="22"/>
          </w:rPr>
          <w:tab/>
        </w:r>
        <w:r w:rsidRPr="00087766">
          <w:rPr>
            <w:rStyle w:val="af7"/>
            <w:noProof/>
          </w:rPr>
          <w:t>Описание комплексного типа «tExtrAttrbDt»</w:t>
        </w:r>
        <w:r>
          <w:rPr>
            <w:noProof/>
            <w:webHidden/>
          </w:rPr>
          <w:tab/>
        </w:r>
        <w:r>
          <w:rPr>
            <w:noProof/>
            <w:webHidden/>
          </w:rPr>
          <w:fldChar w:fldCharType="begin"/>
        </w:r>
        <w:r>
          <w:rPr>
            <w:noProof/>
            <w:webHidden/>
          </w:rPr>
          <w:instrText xml:space="preserve"> PAGEREF _Toc219309482 \h </w:instrText>
        </w:r>
        <w:r>
          <w:rPr>
            <w:noProof/>
            <w:webHidden/>
          </w:rPr>
        </w:r>
        <w:r>
          <w:rPr>
            <w:noProof/>
            <w:webHidden/>
          </w:rPr>
          <w:fldChar w:fldCharType="separate"/>
        </w:r>
        <w:r>
          <w:rPr>
            <w:noProof/>
            <w:webHidden/>
          </w:rPr>
          <w:t>84</w:t>
        </w:r>
        <w:r>
          <w:rPr>
            <w:noProof/>
            <w:webHidden/>
          </w:rPr>
          <w:fldChar w:fldCharType="end"/>
        </w:r>
      </w:hyperlink>
    </w:p>
    <w:p w14:paraId="7D283943"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483" w:history="1">
        <w:r w:rsidRPr="00087766">
          <w:rPr>
            <w:rStyle w:val="af7"/>
            <w:noProof/>
          </w:rPr>
          <w:t>6.1.24.</w:t>
        </w:r>
        <w:r>
          <w:rPr>
            <w:rFonts w:asciiTheme="minorHAnsi" w:eastAsiaTheme="minorEastAsia" w:hAnsiTheme="minorHAnsi" w:cstheme="minorBidi"/>
            <w:iCs w:val="0"/>
            <w:noProof/>
            <w:sz w:val="22"/>
            <w:szCs w:val="22"/>
          </w:rPr>
          <w:tab/>
        </w:r>
        <w:r w:rsidRPr="00087766">
          <w:rPr>
            <w:rStyle w:val="af7"/>
            <w:noProof/>
          </w:rPr>
          <w:t>Пример XML</w:t>
        </w:r>
        <w:r>
          <w:rPr>
            <w:noProof/>
            <w:webHidden/>
          </w:rPr>
          <w:tab/>
        </w:r>
        <w:r>
          <w:rPr>
            <w:noProof/>
            <w:webHidden/>
          </w:rPr>
          <w:fldChar w:fldCharType="begin"/>
        </w:r>
        <w:r>
          <w:rPr>
            <w:noProof/>
            <w:webHidden/>
          </w:rPr>
          <w:instrText xml:space="preserve"> PAGEREF _Toc219309483 \h </w:instrText>
        </w:r>
        <w:r>
          <w:rPr>
            <w:noProof/>
            <w:webHidden/>
          </w:rPr>
        </w:r>
        <w:r>
          <w:rPr>
            <w:noProof/>
            <w:webHidden/>
          </w:rPr>
          <w:fldChar w:fldCharType="separate"/>
        </w:r>
        <w:r>
          <w:rPr>
            <w:noProof/>
            <w:webHidden/>
          </w:rPr>
          <w:t>85</w:t>
        </w:r>
        <w:r>
          <w:rPr>
            <w:noProof/>
            <w:webHidden/>
          </w:rPr>
          <w:fldChar w:fldCharType="end"/>
        </w:r>
      </w:hyperlink>
    </w:p>
    <w:p w14:paraId="0B29BDBF" w14:textId="77777777" w:rsidR="008D797C" w:rsidRDefault="008D797C">
      <w:pPr>
        <w:pStyle w:val="2a"/>
        <w:tabs>
          <w:tab w:val="left" w:pos="960"/>
          <w:tab w:val="right" w:leader="dot" w:pos="9628"/>
        </w:tabs>
        <w:rPr>
          <w:rFonts w:asciiTheme="minorHAnsi" w:eastAsiaTheme="minorEastAsia" w:hAnsiTheme="minorHAnsi" w:cstheme="minorBidi"/>
          <w:noProof/>
          <w:sz w:val="22"/>
          <w:szCs w:val="22"/>
        </w:rPr>
      </w:pPr>
      <w:hyperlink w:anchor="_Toc219309484" w:history="1">
        <w:r w:rsidRPr="00087766">
          <w:rPr>
            <w:rStyle w:val="af7"/>
            <w:noProof/>
            <w:highlight w:val="green"/>
          </w:rPr>
          <w:t>6.2.</w:t>
        </w:r>
        <w:r>
          <w:rPr>
            <w:rFonts w:asciiTheme="minorHAnsi" w:eastAsiaTheme="minorEastAsia" w:hAnsiTheme="minorHAnsi" w:cstheme="minorBidi"/>
            <w:noProof/>
            <w:sz w:val="22"/>
            <w:szCs w:val="22"/>
          </w:rPr>
          <w:tab/>
        </w:r>
        <w:r w:rsidRPr="00087766">
          <w:rPr>
            <w:rStyle w:val="af7"/>
            <w:noProof/>
            <w:highlight w:val="green"/>
          </w:rPr>
          <w:t>Описание документа «Заявка на кассовый расход» (ф. 0531801)</w:t>
        </w:r>
        <w:r>
          <w:rPr>
            <w:noProof/>
            <w:webHidden/>
          </w:rPr>
          <w:tab/>
        </w:r>
        <w:r>
          <w:rPr>
            <w:noProof/>
            <w:webHidden/>
          </w:rPr>
          <w:fldChar w:fldCharType="begin"/>
        </w:r>
        <w:r>
          <w:rPr>
            <w:noProof/>
            <w:webHidden/>
          </w:rPr>
          <w:instrText xml:space="preserve"> PAGEREF _Toc219309484 \h </w:instrText>
        </w:r>
        <w:r>
          <w:rPr>
            <w:noProof/>
            <w:webHidden/>
          </w:rPr>
        </w:r>
        <w:r>
          <w:rPr>
            <w:noProof/>
            <w:webHidden/>
          </w:rPr>
          <w:fldChar w:fldCharType="separate"/>
        </w:r>
        <w:r>
          <w:rPr>
            <w:noProof/>
            <w:webHidden/>
          </w:rPr>
          <w:t>92</w:t>
        </w:r>
        <w:r>
          <w:rPr>
            <w:noProof/>
            <w:webHidden/>
          </w:rPr>
          <w:fldChar w:fldCharType="end"/>
        </w:r>
      </w:hyperlink>
    </w:p>
    <w:p w14:paraId="5B610C58"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485" w:history="1">
        <w:r w:rsidRPr="00087766">
          <w:rPr>
            <w:rStyle w:val="af7"/>
            <w:noProof/>
            <w:highlight w:val="green"/>
          </w:rPr>
          <w:t>6.2.1.</w:t>
        </w:r>
        <w:r>
          <w:rPr>
            <w:rFonts w:asciiTheme="minorHAnsi" w:eastAsiaTheme="minorEastAsia" w:hAnsiTheme="minorHAnsi" w:cstheme="minorBidi"/>
            <w:iCs w:val="0"/>
            <w:noProof/>
            <w:sz w:val="22"/>
            <w:szCs w:val="22"/>
          </w:rPr>
          <w:tab/>
        </w:r>
        <w:r w:rsidRPr="00087766">
          <w:rPr>
            <w:rStyle w:val="af7"/>
            <w:noProof/>
            <w:highlight w:val="green"/>
          </w:rPr>
          <w:t>Назначение и маршрут документа</w:t>
        </w:r>
        <w:r>
          <w:rPr>
            <w:noProof/>
            <w:webHidden/>
          </w:rPr>
          <w:tab/>
        </w:r>
        <w:r>
          <w:rPr>
            <w:noProof/>
            <w:webHidden/>
          </w:rPr>
          <w:fldChar w:fldCharType="begin"/>
        </w:r>
        <w:r>
          <w:rPr>
            <w:noProof/>
            <w:webHidden/>
          </w:rPr>
          <w:instrText xml:space="preserve"> PAGEREF _Toc219309485 \h </w:instrText>
        </w:r>
        <w:r>
          <w:rPr>
            <w:noProof/>
            <w:webHidden/>
          </w:rPr>
        </w:r>
        <w:r>
          <w:rPr>
            <w:noProof/>
            <w:webHidden/>
          </w:rPr>
          <w:fldChar w:fldCharType="separate"/>
        </w:r>
        <w:r>
          <w:rPr>
            <w:noProof/>
            <w:webHidden/>
          </w:rPr>
          <w:t>92</w:t>
        </w:r>
        <w:r>
          <w:rPr>
            <w:noProof/>
            <w:webHidden/>
          </w:rPr>
          <w:fldChar w:fldCharType="end"/>
        </w:r>
      </w:hyperlink>
    </w:p>
    <w:p w14:paraId="35238282"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486" w:history="1">
        <w:r w:rsidRPr="00087766">
          <w:rPr>
            <w:rStyle w:val="af7"/>
            <w:noProof/>
          </w:rPr>
          <w:t>6.2.2.</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«tMSC_ApplCashFlow»</w:t>
        </w:r>
        <w:r>
          <w:rPr>
            <w:noProof/>
            <w:webHidden/>
          </w:rPr>
          <w:tab/>
        </w:r>
        <w:r>
          <w:rPr>
            <w:noProof/>
            <w:webHidden/>
          </w:rPr>
          <w:fldChar w:fldCharType="begin"/>
        </w:r>
        <w:r>
          <w:rPr>
            <w:noProof/>
            <w:webHidden/>
          </w:rPr>
          <w:instrText xml:space="preserve"> PAGEREF _Toc219309486 \h </w:instrText>
        </w:r>
        <w:r>
          <w:rPr>
            <w:noProof/>
            <w:webHidden/>
          </w:rPr>
        </w:r>
        <w:r>
          <w:rPr>
            <w:noProof/>
            <w:webHidden/>
          </w:rPr>
          <w:fldChar w:fldCharType="separate"/>
        </w:r>
        <w:r>
          <w:rPr>
            <w:noProof/>
            <w:webHidden/>
          </w:rPr>
          <w:t>93</w:t>
        </w:r>
        <w:r>
          <w:rPr>
            <w:noProof/>
            <w:webHidden/>
          </w:rPr>
          <w:fldChar w:fldCharType="end"/>
        </w:r>
      </w:hyperlink>
    </w:p>
    <w:p w14:paraId="2E527657"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487" w:history="1">
        <w:r w:rsidRPr="00087766">
          <w:rPr>
            <w:rStyle w:val="af7"/>
            <w:noProof/>
          </w:rPr>
          <w:t>6.2.3.</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«tMSC_Cstmr5»</w:t>
        </w:r>
        <w:r>
          <w:rPr>
            <w:noProof/>
            <w:webHidden/>
          </w:rPr>
          <w:tab/>
        </w:r>
        <w:r>
          <w:rPr>
            <w:noProof/>
            <w:webHidden/>
          </w:rPr>
          <w:fldChar w:fldCharType="begin"/>
        </w:r>
        <w:r>
          <w:rPr>
            <w:noProof/>
            <w:webHidden/>
          </w:rPr>
          <w:instrText xml:space="preserve"> PAGEREF _Toc219309487 \h </w:instrText>
        </w:r>
        <w:r>
          <w:rPr>
            <w:noProof/>
            <w:webHidden/>
          </w:rPr>
        </w:r>
        <w:r>
          <w:rPr>
            <w:noProof/>
            <w:webHidden/>
          </w:rPr>
          <w:fldChar w:fldCharType="separate"/>
        </w:r>
        <w:r>
          <w:rPr>
            <w:noProof/>
            <w:webHidden/>
          </w:rPr>
          <w:t>100</w:t>
        </w:r>
        <w:r>
          <w:rPr>
            <w:noProof/>
            <w:webHidden/>
          </w:rPr>
          <w:fldChar w:fldCharType="end"/>
        </w:r>
      </w:hyperlink>
    </w:p>
    <w:p w14:paraId="2C92BB87"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488" w:history="1">
        <w:r w:rsidRPr="00087766">
          <w:rPr>
            <w:rStyle w:val="af7"/>
            <w:noProof/>
          </w:rPr>
          <w:t>6.2.4.</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«tMSC_GRBS»</w:t>
        </w:r>
        <w:r>
          <w:rPr>
            <w:noProof/>
            <w:webHidden/>
          </w:rPr>
          <w:tab/>
        </w:r>
        <w:r>
          <w:rPr>
            <w:noProof/>
            <w:webHidden/>
          </w:rPr>
          <w:fldChar w:fldCharType="begin"/>
        </w:r>
        <w:r>
          <w:rPr>
            <w:noProof/>
            <w:webHidden/>
          </w:rPr>
          <w:instrText xml:space="preserve"> PAGEREF _Toc219309488 \h </w:instrText>
        </w:r>
        <w:r>
          <w:rPr>
            <w:noProof/>
            <w:webHidden/>
          </w:rPr>
        </w:r>
        <w:r>
          <w:rPr>
            <w:noProof/>
            <w:webHidden/>
          </w:rPr>
          <w:fldChar w:fldCharType="separate"/>
        </w:r>
        <w:r>
          <w:rPr>
            <w:noProof/>
            <w:webHidden/>
          </w:rPr>
          <w:t>100</w:t>
        </w:r>
        <w:r>
          <w:rPr>
            <w:noProof/>
            <w:webHidden/>
          </w:rPr>
          <w:fldChar w:fldCharType="end"/>
        </w:r>
      </w:hyperlink>
    </w:p>
    <w:p w14:paraId="1430EE4E"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489" w:history="1">
        <w:r w:rsidRPr="00087766">
          <w:rPr>
            <w:rStyle w:val="af7"/>
            <w:noProof/>
          </w:rPr>
          <w:t>6.2.5.</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«tMSC_Orgnztn»</w:t>
        </w:r>
        <w:r>
          <w:rPr>
            <w:noProof/>
            <w:webHidden/>
          </w:rPr>
          <w:tab/>
        </w:r>
        <w:r>
          <w:rPr>
            <w:noProof/>
            <w:webHidden/>
          </w:rPr>
          <w:fldChar w:fldCharType="begin"/>
        </w:r>
        <w:r>
          <w:rPr>
            <w:noProof/>
            <w:webHidden/>
          </w:rPr>
          <w:instrText xml:space="preserve"> PAGEREF _Toc219309489 \h </w:instrText>
        </w:r>
        <w:r>
          <w:rPr>
            <w:noProof/>
            <w:webHidden/>
          </w:rPr>
        </w:r>
        <w:r>
          <w:rPr>
            <w:noProof/>
            <w:webHidden/>
          </w:rPr>
          <w:fldChar w:fldCharType="separate"/>
        </w:r>
        <w:r>
          <w:rPr>
            <w:noProof/>
            <w:webHidden/>
          </w:rPr>
          <w:t>101</w:t>
        </w:r>
        <w:r>
          <w:rPr>
            <w:noProof/>
            <w:webHidden/>
          </w:rPr>
          <w:fldChar w:fldCharType="end"/>
        </w:r>
      </w:hyperlink>
    </w:p>
    <w:p w14:paraId="3432EC05"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490" w:history="1">
        <w:r w:rsidRPr="00087766">
          <w:rPr>
            <w:rStyle w:val="af7"/>
            <w:noProof/>
          </w:rPr>
          <w:t>6.2.6.</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«tMSC_FnclInst»</w:t>
        </w:r>
        <w:r>
          <w:rPr>
            <w:noProof/>
            <w:webHidden/>
          </w:rPr>
          <w:tab/>
        </w:r>
        <w:r>
          <w:rPr>
            <w:noProof/>
            <w:webHidden/>
          </w:rPr>
          <w:fldChar w:fldCharType="begin"/>
        </w:r>
        <w:r>
          <w:rPr>
            <w:noProof/>
            <w:webHidden/>
          </w:rPr>
          <w:instrText xml:space="preserve"> PAGEREF _Toc219309490 \h </w:instrText>
        </w:r>
        <w:r>
          <w:rPr>
            <w:noProof/>
            <w:webHidden/>
          </w:rPr>
        </w:r>
        <w:r>
          <w:rPr>
            <w:noProof/>
            <w:webHidden/>
          </w:rPr>
          <w:fldChar w:fldCharType="separate"/>
        </w:r>
        <w:r>
          <w:rPr>
            <w:noProof/>
            <w:webHidden/>
          </w:rPr>
          <w:t>101</w:t>
        </w:r>
        <w:r>
          <w:rPr>
            <w:noProof/>
            <w:webHidden/>
          </w:rPr>
          <w:fldChar w:fldCharType="end"/>
        </w:r>
      </w:hyperlink>
    </w:p>
    <w:p w14:paraId="209552CF"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491" w:history="1">
        <w:r w:rsidRPr="00087766">
          <w:rPr>
            <w:rStyle w:val="af7"/>
            <w:noProof/>
          </w:rPr>
          <w:t>6.2.7.</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«tMSC_TOFK»</w:t>
        </w:r>
        <w:r>
          <w:rPr>
            <w:noProof/>
            <w:webHidden/>
          </w:rPr>
          <w:tab/>
        </w:r>
        <w:r>
          <w:rPr>
            <w:noProof/>
            <w:webHidden/>
          </w:rPr>
          <w:fldChar w:fldCharType="begin"/>
        </w:r>
        <w:r>
          <w:rPr>
            <w:noProof/>
            <w:webHidden/>
          </w:rPr>
          <w:instrText xml:space="preserve"> PAGEREF _Toc219309491 \h </w:instrText>
        </w:r>
        <w:r>
          <w:rPr>
            <w:noProof/>
            <w:webHidden/>
          </w:rPr>
        </w:r>
        <w:r>
          <w:rPr>
            <w:noProof/>
            <w:webHidden/>
          </w:rPr>
          <w:fldChar w:fldCharType="separate"/>
        </w:r>
        <w:r>
          <w:rPr>
            <w:noProof/>
            <w:webHidden/>
          </w:rPr>
          <w:t>102</w:t>
        </w:r>
        <w:r>
          <w:rPr>
            <w:noProof/>
            <w:webHidden/>
          </w:rPr>
          <w:fldChar w:fldCharType="end"/>
        </w:r>
      </w:hyperlink>
    </w:p>
    <w:p w14:paraId="1B96A49F"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492" w:history="1">
        <w:r w:rsidRPr="00087766">
          <w:rPr>
            <w:rStyle w:val="af7"/>
            <w:noProof/>
          </w:rPr>
          <w:t>6.2.8.</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«tMSC_PrtExctn»</w:t>
        </w:r>
        <w:r>
          <w:rPr>
            <w:noProof/>
            <w:webHidden/>
          </w:rPr>
          <w:tab/>
        </w:r>
        <w:r>
          <w:rPr>
            <w:noProof/>
            <w:webHidden/>
          </w:rPr>
          <w:fldChar w:fldCharType="begin"/>
        </w:r>
        <w:r>
          <w:rPr>
            <w:noProof/>
            <w:webHidden/>
          </w:rPr>
          <w:instrText xml:space="preserve"> PAGEREF _Toc219309492 \h </w:instrText>
        </w:r>
        <w:r>
          <w:rPr>
            <w:noProof/>
            <w:webHidden/>
          </w:rPr>
        </w:r>
        <w:r>
          <w:rPr>
            <w:noProof/>
            <w:webHidden/>
          </w:rPr>
          <w:fldChar w:fldCharType="separate"/>
        </w:r>
        <w:r>
          <w:rPr>
            <w:noProof/>
            <w:webHidden/>
          </w:rPr>
          <w:t>102</w:t>
        </w:r>
        <w:r>
          <w:rPr>
            <w:noProof/>
            <w:webHidden/>
          </w:rPr>
          <w:fldChar w:fldCharType="end"/>
        </w:r>
      </w:hyperlink>
    </w:p>
    <w:p w14:paraId="7D361DEE"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493" w:history="1">
        <w:r w:rsidRPr="00087766">
          <w:rPr>
            <w:rStyle w:val="af7"/>
            <w:noProof/>
          </w:rPr>
          <w:t>6.2.9.</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«tMSC_Pmnt1»</w:t>
        </w:r>
        <w:r>
          <w:rPr>
            <w:noProof/>
            <w:webHidden/>
          </w:rPr>
          <w:tab/>
        </w:r>
        <w:r>
          <w:rPr>
            <w:noProof/>
            <w:webHidden/>
          </w:rPr>
          <w:fldChar w:fldCharType="begin"/>
        </w:r>
        <w:r>
          <w:rPr>
            <w:noProof/>
            <w:webHidden/>
          </w:rPr>
          <w:instrText xml:space="preserve"> PAGEREF _Toc219309493 \h </w:instrText>
        </w:r>
        <w:r>
          <w:rPr>
            <w:noProof/>
            <w:webHidden/>
          </w:rPr>
        </w:r>
        <w:r>
          <w:rPr>
            <w:noProof/>
            <w:webHidden/>
          </w:rPr>
          <w:fldChar w:fldCharType="separate"/>
        </w:r>
        <w:r>
          <w:rPr>
            <w:noProof/>
            <w:webHidden/>
          </w:rPr>
          <w:t>102</w:t>
        </w:r>
        <w:r>
          <w:rPr>
            <w:noProof/>
            <w:webHidden/>
          </w:rPr>
          <w:fldChar w:fldCharType="end"/>
        </w:r>
      </w:hyperlink>
    </w:p>
    <w:p w14:paraId="2027402E"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494" w:history="1">
        <w:r w:rsidRPr="00087766">
          <w:rPr>
            <w:rStyle w:val="af7"/>
            <w:noProof/>
          </w:rPr>
          <w:t>6.2.10.</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«tMSC_AdvnPySgnComplex»</w:t>
        </w:r>
        <w:r>
          <w:rPr>
            <w:noProof/>
            <w:webHidden/>
          </w:rPr>
          <w:tab/>
        </w:r>
        <w:r>
          <w:rPr>
            <w:noProof/>
            <w:webHidden/>
          </w:rPr>
          <w:fldChar w:fldCharType="begin"/>
        </w:r>
        <w:r>
          <w:rPr>
            <w:noProof/>
            <w:webHidden/>
          </w:rPr>
          <w:instrText xml:space="preserve"> PAGEREF _Toc219309494 \h </w:instrText>
        </w:r>
        <w:r>
          <w:rPr>
            <w:noProof/>
            <w:webHidden/>
          </w:rPr>
        </w:r>
        <w:r>
          <w:rPr>
            <w:noProof/>
            <w:webHidden/>
          </w:rPr>
          <w:fldChar w:fldCharType="separate"/>
        </w:r>
        <w:r>
          <w:rPr>
            <w:noProof/>
            <w:webHidden/>
          </w:rPr>
          <w:t>103</w:t>
        </w:r>
        <w:r>
          <w:rPr>
            <w:noProof/>
            <w:webHidden/>
          </w:rPr>
          <w:fldChar w:fldCharType="end"/>
        </w:r>
      </w:hyperlink>
    </w:p>
    <w:p w14:paraId="1CD5DCFC"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495" w:history="1">
        <w:r w:rsidRPr="00087766">
          <w:rPr>
            <w:rStyle w:val="af7"/>
            <w:noProof/>
          </w:rPr>
          <w:t>6.2.11.</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«tMSC_ShrtPyKndComplex»</w:t>
        </w:r>
        <w:r>
          <w:rPr>
            <w:noProof/>
            <w:webHidden/>
          </w:rPr>
          <w:tab/>
        </w:r>
        <w:r>
          <w:rPr>
            <w:noProof/>
            <w:webHidden/>
          </w:rPr>
          <w:fldChar w:fldCharType="begin"/>
        </w:r>
        <w:r>
          <w:rPr>
            <w:noProof/>
            <w:webHidden/>
          </w:rPr>
          <w:instrText xml:space="preserve"> PAGEREF _Toc219309495 \h </w:instrText>
        </w:r>
        <w:r>
          <w:rPr>
            <w:noProof/>
            <w:webHidden/>
          </w:rPr>
        </w:r>
        <w:r>
          <w:rPr>
            <w:noProof/>
            <w:webHidden/>
          </w:rPr>
          <w:fldChar w:fldCharType="separate"/>
        </w:r>
        <w:r>
          <w:rPr>
            <w:noProof/>
            <w:webHidden/>
          </w:rPr>
          <w:t>104</w:t>
        </w:r>
        <w:r>
          <w:rPr>
            <w:noProof/>
            <w:webHidden/>
          </w:rPr>
          <w:fldChar w:fldCharType="end"/>
        </w:r>
      </w:hyperlink>
    </w:p>
    <w:p w14:paraId="538B72D5"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496" w:history="1">
        <w:r w:rsidRPr="00087766">
          <w:rPr>
            <w:rStyle w:val="af7"/>
            <w:noProof/>
          </w:rPr>
          <w:t>6.2.12.</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«tMSC_Cntrctr»</w:t>
        </w:r>
        <w:r>
          <w:rPr>
            <w:noProof/>
            <w:webHidden/>
          </w:rPr>
          <w:tab/>
        </w:r>
        <w:r>
          <w:rPr>
            <w:noProof/>
            <w:webHidden/>
          </w:rPr>
          <w:fldChar w:fldCharType="begin"/>
        </w:r>
        <w:r>
          <w:rPr>
            <w:noProof/>
            <w:webHidden/>
          </w:rPr>
          <w:instrText xml:space="preserve"> PAGEREF _Toc219309496 \h </w:instrText>
        </w:r>
        <w:r>
          <w:rPr>
            <w:noProof/>
            <w:webHidden/>
          </w:rPr>
        </w:r>
        <w:r>
          <w:rPr>
            <w:noProof/>
            <w:webHidden/>
          </w:rPr>
          <w:fldChar w:fldCharType="separate"/>
        </w:r>
        <w:r>
          <w:rPr>
            <w:noProof/>
            <w:webHidden/>
          </w:rPr>
          <w:t>104</w:t>
        </w:r>
        <w:r>
          <w:rPr>
            <w:noProof/>
            <w:webHidden/>
          </w:rPr>
          <w:fldChar w:fldCharType="end"/>
        </w:r>
      </w:hyperlink>
    </w:p>
    <w:p w14:paraId="27C13391"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497" w:history="1">
        <w:r w:rsidRPr="00087766">
          <w:rPr>
            <w:rStyle w:val="af7"/>
            <w:noProof/>
          </w:rPr>
          <w:t>6.2.13.</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«tMSC_Bnk»</w:t>
        </w:r>
        <w:r>
          <w:rPr>
            <w:noProof/>
            <w:webHidden/>
          </w:rPr>
          <w:tab/>
        </w:r>
        <w:r>
          <w:rPr>
            <w:noProof/>
            <w:webHidden/>
          </w:rPr>
          <w:fldChar w:fldCharType="begin"/>
        </w:r>
        <w:r>
          <w:rPr>
            <w:noProof/>
            <w:webHidden/>
          </w:rPr>
          <w:instrText xml:space="preserve"> PAGEREF _Toc219309497 \h </w:instrText>
        </w:r>
        <w:r>
          <w:rPr>
            <w:noProof/>
            <w:webHidden/>
          </w:rPr>
        </w:r>
        <w:r>
          <w:rPr>
            <w:noProof/>
            <w:webHidden/>
          </w:rPr>
          <w:fldChar w:fldCharType="separate"/>
        </w:r>
        <w:r>
          <w:rPr>
            <w:noProof/>
            <w:webHidden/>
          </w:rPr>
          <w:t>106</w:t>
        </w:r>
        <w:r>
          <w:rPr>
            <w:noProof/>
            <w:webHidden/>
          </w:rPr>
          <w:fldChar w:fldCharType="end"/>
        </w:r>
      </w:hyperlink>
    </w:p>
    <w:p w14:paraId="39E40184"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498" w:history="1">
        <w:r w:rsidRPr="00087766">
          <w:rPr>
            <w:rStyle w:val="af7"/>
            <w:noProof/>
          </w:rPr>
          <w:t>6.2.14.</w:t>
        </w:r>
        <w:r>
          <w:rPr>
            <w:rFonts w:asciiTheme="minorHAnsi" w:eastAsiaTheme="minorEastAsia" w:hAnsiTheme="minorHAnsi" w:cstheme="minorBidi"/>
            <w:iCs w:val="0"/>
            <w:noProof/>
            <w:sz w:val="22"/>
            <w:szCs w:val="22"/>
          </w:rPr>
          <w:tab/>
        </w:r>
        <w:r w:rsidRPr="00087766">
          <w:rPr>
            <w:rStyle w:val="af7"/>
            <w:noProof/>
          </w:rPr>
          <w:t>Описание комплексного типа «tSGNNmPs»</w:t>
        </w:r>
        <w:r>
          <w:rPr>
            <w:noProof/>
            <w:webHidden/>
          </w:rPr>
          <w:tab/>
        </w:r>
        <w:r>
          <w:rPr>
            <w:noProof/>
            <w:webHidden/>
          </w:rPr>
          <w:fldChar w:fldCharType="begin"/>
        </w:r>
        <w:r>
          <w:rPr>
            <w:noProof/>
            <w:webHidden/>
          </w:rPr>
          <w:instrText xml:space="preserve"> PAGEREF _Toc219309498 \h </w:instrText>
        </w:r>
        <w:r>
          <w:rPr>
            <w:noProof/>
            <w:webHidden/>
          </w:rPr>
        </w:r>
        <w:r>
          <w:rPr>
            <w:noProof/>
            <w:webHidden/>
          </w:rPr>
          <w:fldChar w:fldCharType="separate"/>
        </w:r>
        <w:r>
          <w:rPr>
            <w:noProof/>
            <w:webHidden/>
          </w:rPr>
          <w:t>107</w:t>
        </w:r>
        <w:r>
          <w:rPr>
            <w:noProof/>
            <w:webHidden/>
          </w:rPr>
          <w:fldChar w:fldCharType="end"/>
        </w:r>
      </w:hyperlink>
    </w:p>
    <w:p w14:paraId="7B1AF57F"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499" w:history="1">
        <w:r w:rsidRPr="00087766">
          <w:rPr>
            <w:rStyle w:val="af7"/>
            <w:noProof/>
          </w:rPr>
          <w:t>6.2.15.</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«tMSC_MrkOrFK»</w:t>
        </w:r>
        <w:r>
          <w:rPr>
            <w:noProof/>
            <w:webHidden/>
          </w:rPr>
          <w:tab/>
        </w:r>
        <w:r>
          <w:rPr>
            <w:noProof/>
            <w:webHidden/>
          </w:rPr>
          <w:fldChar w:fldCharType="begin"/>
        </w:r>
        <w:r>
          <w:rPr>
            <w:noProof/>
            <w:webHidden/>
          </w:rPr>
          <w:instrText xml:space="preserve"> PAGEREF _Toc219309499 \h </w:instrText>
        </w:r>
        <w:r>
          <w:rPr>
            <w:noProof/>
            <w:webHidden/>
          </w:rPr>
        </w:r>
        <w:r>
          <w:rPr>
            <w:noProof/>
            <w:webHidden/>
          </w:rPr>
          <w:fldChar w:fldCharType="separate"/>
        </w:r>
        <w:r>
          <w:rPr>
            <w:noProof/>
            <w:webHidden/>
          </w:rPr>
          <w:t>107</w:t>
        </w:r>
        <w:r>
          <w:rPr>
            <w:noProof/>
            <w:webHidden/>
          </w:rPr>
          <w:fldChar w:fldCharType="end"/>
        </w:r>
      </w:hyperlink>
    </w:p>
    <w:p w14:paraId="54491374"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00" w:history="1">
        <w:r w:rsidRPr="00087766">
          <w:rPr>
            <w:rStyle w:val="af7"/>
            <w:noProof/>
          </w:rPr>
          <w:t>6.2.16.</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«tMSC_InfrmtnZKR»</w:t>
        </w:r>
        <w:r>
          <w:rPr>
            <w:noProof/>
            <w:webHidden/>
          </w:rPr>
          <w:tab/>
        </w:r>
        <w:r>
          <w:rPr>
            <w:noProof/>
            <w:webHidden/>
          </w:rPr>
          <w:fldChar w:fldCharType="begin"/>
        </w:r>
        <w:r>
          <w:rPr>
            <w:noProof/>
            <w:webHidden/>
          </w:rPr>
          <w:instrText xml:space="preserve"> PAGEREF _Toc219309500 \h </w:instrText>
        </w:r>
        <w:r>
          <w:rPr>
            <w:noProof/>
            <w:webHidden/>
          </w:rPr>
        </w:r>
        <w:r>
          <w:rPr>
            <w:noProof/>
            <w:webHidden/>
          </w:rPr>
          <w:fldChar w:fldCharType="separate"/>
        </w:r>
        <w:r>
          <w:rPr>
            <w:noProof/>
            <w:webHidden/>
          </w:rPr>
          <w:t>108</w:t>
        </w:r>
        <w:r>
          <w:rPr>
            <w:noProof/>
            <w:webHidden/>
          </w:rPr>
          <w:fldChar w:fldCharType="end"/>
        </w:r>
      </w:hyperlink>
    </w:p>
    <w:p w14:paraId="127C2EF9"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01" w:history="1">
        <w:r w:rsidRPr="00087766">
          <w:rPr>
            <w:rStyle w:val="af7"/>
            <w:noProof/>
          </w:rPr>
          <w:t>6.2.17.</w:t>
        </w:r>
        <w:r>
          <w:rPr>
            <w:rFonts w:asciiTheme="minorHAnsi" w:eastAsiaTheme="minorEastAsia" w:hAnsiTheme="minorHAnsi" w:cstheme="minorBidi"/>
            <w:iCs w:val="0"/>
            <w:noProof/>
            <w:sz w:val="22"/>
            <w:szCs w:val="22"/>
          </w:rPr>
          <w:tab/>
        </w:r>
        <w:r w:rsidRPr="00087766">
          <w:rPr>
            <w:rStyle w:val="af7"/>
            <w:noProof/>
          </w:rPr>
          <w:t>Описание комплексного типа «tZROSN»</w:t>
        </w:r>
        <w:r>
          <w:rPr>
            <w:noProof/>
            <w:webHidden/>
          </w:rPr>
          <w:tab/>
        </w:r>
        <w:r>
          <w:rPr>
            <w:noProof/>
            <w:webHidden/>
          </w:rPr>
          <w:fldChar w:fldCharType="begin"/>
        </w:r>
        <w:r>
          <w:rPr>
            <w:noProof/>
            <w:webHidden/>
          </w:rPr>
          <w:instrText xml:space="preserve"> PAGEREF _Toc219309501 \h </w:instrText>
        </w:r>
        <w:r>
          <w:rPr>
            <w:noProof/>
            <w:webHidden/>
          </w:rPr>
        </w:r>
        <w:r>
          <w:rPr>
            <w:noProof/>
            <w:webHidden/>
          </w:rPr>
          <w:fldChar w:fldCharType="separate"/>
        </w:r>
        <w:r>
          <w:rPr>
            <w:noProof/>
            <w:webHidden/>
          </w:rPr>
          <w:t>109</w:t>
        </w:r>
        <w:r>
          <w:rPr>
            <w:noProof/>
            <w:webHidden/>
          </w:rPr>
          <w:fldChar w:fldCharType="end"/>
        </w:r>
      </w:hyperlink>
    </w:p>
    <w:p w14:paraId="4122B42A"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02" w:history="1">
        <w:r w:rsidRPr="00087766">
          <w:rPr>
            <w:rStyle w:val="af7"/>
            <w:noProof/>
          </w:rPr>
          <w:t>6.2.18.</w:t>
        </w:r>
        <w:r>
          <w:rPr>
            <w:rFonts w:asciiTheme="minorHAnsi" w:eastAsiaTheme="minorEastAsia" w:hAnsiTheme="minorHAnsi" w:cstheme="minorBidi"/>
            <w:iCs w:val="0"/>
            <w:noProof/>
            <w:sz w:val="22"/>
            <w:szCs w:val="22"/>
          </w:rPr>
          <w:tab/>
        </w:r>
        <w:r w:rsidRPr="00087766">
          <w:rPr>
            <w:rStyle w:val="af7"/>
            <w:noProof/>
          </w:rPr>
          <w:t>Описание комплексного типа «tZROSN_ITEM»</w:t>
        </w:r>
        <w:r>
          <w:rPr>
            <w:noProof/>
            <w:webHidden/>
          </w:rPr>
          <w:tab/>
        </w:r>
        <w:r>
          <w:rPr>
            <w:noProof/>
            <w:webHidden/>
          </w:rPr>
          <w:fldChar w:fldCharType="begin"/>
        </w:r>
        <w:r>
          <w:rPr>
            <w:noProof/>
            <w:webHidden/>
          </w:rPr>
          <w:instrText xml:space="preserve"> PAGEREF _Toc219309502 \h </w:instrText>
        </w:r>
        <w:r>
          <w:rPr>
            <w:noProof/>
            <w:webHidden/>
          </w:rPr>
        </w:r>
        <w:r>
          <w:rPr>
            <w:noProof/>
            <w:webHidden/>
          </w:rPr>
          <w:fldChar w:fldCharType="separate"/>
        </w:r>
        <w:r>
          <w:rPr>
            <w:noProof/>
            <w:webHidden/>
          </w:rPr>
          <w:t>109</w:t>
        </w:r>
        <w:r>
          <w:rPr>
            <w:noProof/>
            <w:webHidden/>
          </w:rPr>
          <w:fldChar w:fldCharType="end"/>
        </w:r>
      </w:hyperlink>
    </w:p>
    <w:p w14:paraId="6B668174"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03" w:history="1">
        <w:r w:rsidRPr="00087766">
          <w:rPr>
            <w:rStyle w:val="af7"/>
            <w:noProof/>
          </w:rPr>
          <w:t>6.2.19.</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«tMSC_DcBs»</w:t>
        </w:r>
        <w:r>
          <w:rPr>
            <w:noProof/>
            <w:webHidden/>
          </w:rPr>
          <w:tab/>
        </w:r>
        <w:r>
          <w:rPr>
            <w:noProof/>
            <w:webHidden/>
          </w:rPr>
          <w:fldChar w:fldCharType="begin"/>
        </w:r>
        <w:r>
          <w:rPr>
            <w:noProof/>
            <w:webHidden/>
          </w:rPr>
          <w:instrText xml:space="preserve"> PAGEREF _Toc219309503 \h </w:instrText>
        </w:r>
        <w:r>
          <w:rPr>
            <w:noProof/>
            <w:webHidden/>
          </w:rPr>
        </w:r>
        <w:r>
          <w:rPr>
            <w:noProof/>
            <w:webHidden/>
          </w:rPr>
          <w:fldChar w:fldCharType="separate"/>
        </w:r>
        <w:r>
          <w:rPr>
            <w:noProof/>
            <w:webHidden/>
          </w:rPr>
          <w:t>109</w:t>
        </w:r>
        <w:r>
          <w:rPr>
            <w:noProof/>
            <w:webHidden/>
          </w:rPr>
          <w:fldChar w:fldCharType="end"/>
        </w:r>
      </w:hyperlink>
    </w:p>
    <w:p w14:paraId="568122F2"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04" w:history="1">
        <w:r w:rsidRPr="00087766">
          <w:rPr>
            <w:rStyle w:val="af7"/>
            <w:noProof/>
          </w:rPr>
          <w:t>6.2.20.</w:t>
        </w:r>
        <w:r>
          <w:rPr>
            <w:rFonts w:asciiTheme="minorHAnsi" w:eastAsiaTheme="minorEastAsia" w:hAnsiTheme="minorHAnsi" w:cstheme="minorBidi"/>
            <w:iCs w:val="0"/>
            <w:noProof/>
            <w:sz w:val="22"/>
            <w:szCs w:val="22"/>
          </w:rPr>
          <w:tab/>
        </w:r>
        <w:r w:rsidRPr="00087766">
          <w:rPr>
            <w:rStyle w:val="af7"/>
            <w:noProof/>
          </w:rPr>
          <w:t>Описание комплексного типа «tZRST»</w:t>
        </w:r>
        <w:r>
          <w:rPr>
            <w:noProof/>
            <w:webHidden/>
          </w:rPr>
          <w:tab/>
        </w:r>
        <w:r>
          <w:rPr>
            <w:noProof/>
            <w:webHidden/>
          </w:rPr>
          <w:fldChar w:fldCharType="begin"/>
        </w:r>
        <w:r>
          <w:rPr>
            <w:noProof/>
            <w:webHidden/>
          </w:rPr>
          <w:instrText xml:space="preserve"> PAGEREF _Toc219309504 \h </w:instrText>
        </w:r>
        <w:r>
          <w:rPr>
            <w:noProof/>
            <w:webHidden/>
          </w:rPr>
        </w:r>
        <w:r>
          <w:rPr>
            <w:noProof/>
            <w:webHidden/>
          </w:rPr>
          <w:fldChar w:fldCharType="separate"/>
        </w:r>
        <w:r>
          <w:rPr>
            <w:noProof/>
            <w:webHidden/>
          </w:rPr>
          <w:t>111</w:t>
        </w:r>
        <w:r>
          <w:rPr>
            <w:noProof/>
            <w:webHidden/>
          </w:rPr>
          <w:fldChar w:fldCharType="end"/>
        </w:r>
      </w:hyperlink>
    </w:p>
    <w:p w14:paraId="332675A8"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05" w:history="1">
        <w:r w:rsidRPr="00087766">
          <w:rPr>
            <w:rStyle w:val="af7"/>
            <w:noProof/>
          </w:rPr>
          <w:t>6.2.21.</w:t>
        </w:r>
        <w:r>
          <w:rPr>
            <w:rFonts w:asciiTheme="minorHAnsi" w:eastAsiaTheme="minorEastAsia" w:hAnsiTheme="minorHAnsi" w:cstheme="minorBidi"/>
            <w:iCs w:val="0"/>
            <w:noProof/>
            <w:sz w:val="22"/>
            <w:szCs w:val="22"/>
          </w:rPr>
          <w:tab/>
        </w:r>
        <w:r w:rsidRPr="00087766">
          <w:rPr>
            <w:rStyle w:val="af7"/>
            <w:noProof/>
          </w:rPr>
          <w:t>Описание комплексного типа «tZRST_ITEM»</w:t>
        </w:r>
        <w:r>
          <w:rPr>
            <w:noProof/>
            <w:webHidden/>
          </w:rPr>
          <w:tab/>
        </w:r>
        <w:r>
          <w:rPr>
            <w:noProof/>
            <w:webHidden/>
          </w:rPr>
          <w:fldChar w:fldCharType="begin"/>
        </w:r>
        <w:r>
          <w:rPr>
            <w:noProof/>
            <w:webHidden/>
          </w:rPr>
          <w:instrText xml:space="preserve"> PAGEREF _Toc219309505 \h </w:instrText>
        </w:r>
        <w:r>
          <w:rPr>
            <w:noProof/>
            <w:webHidden/>
          </w:rPr>
        </w:r>
        <w:r>
          <w:rPr>
            <w:noProof/>
            <w:webHidden/>
          </w:rPr>
          <w:fldChar w:fldCharType="separate"/>
        </w:r>
        <w:r>
          <w:rPr>
            <w:noProof/>
            <w:webHidden/>
          </w:rPr>
          <w:t>112</w:t>
        </w:r>
        <w:r>
          <w:rPr>
            <w:noProof/>
            <w:webHidden/>
          </w:rPr>
          <w:fldChar w:fldCharType="end"/>
        </w:r>
      </w:hyperlink>
    </w:p>
    <w:p w14:paraId="657C7C67"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06" w:history="1">
        <w:r w:rsidRPr="00087766">
          <w:rPr>
            <w:rStyle w:val="af7"/>
            <w:noProof/>
          </w:rPr>
          <w:t>6.2.22.</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«tMSC_SrcTypeComplex6»</w:t>
        </w:r>
        <w:r>
          <w:rPr>
            <w:noProof/>
            <w:webHidden/>
          </w:rPr>
          <w:tab/>
        </w:r>
        <w:r>
          <w:rPr>
            <w:noProof/>
            <w:webHidden/>
          </w:rPr>
          <w:fldChar w:fldCharType="begin"/>
        </w:r>
        <w:r>
          <w:rPr>
            <w:noProof/>
            <w:webHidden/>
          </w:rPr>
          <w:instrText xml:space="preserve"> PAGEREF _Toc219309506 \h </w:instrText>
        </w:r>
        <w:r>
          <w:rPr>
            <w:noProof/>
            <w:webHidden/>
          </w:rPr>
        </w:r>
        <w:r>
          <w:rPr>
            <w:noProof/>
            <w:webHidden/>
          </w:rPr>
          <w:fldChar w:fldCharType="separate"/>
        </w:r>
        <w:r>
          <w:rPr>
            <w:noProof/>
            <w:webHidden/>
          </w:rPr>
          <w:t>113</w:t>
        </w:r>
        <w:r>
          <w:rPr>
            <w:noProof/>
            <w:webHidden/>
          </w:rPr>
          <w:fldChar w:fldCharType="end"/>
        </w:r>
      </w:hyperlink>
    </w:p>
    <w:p w14:paraId="73BD7B78"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07" w:history="1">
        <w:r w:rsidRPr="00087766">
          <w:rPr>
            <w:rStyle w:val="af7"/>
            <w:noProof/>
          </w:rPr>
          <w:t>6.2.23.</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«tMSC_KBK10_20_31_32»</w:t>
        </w:r>
        <w:r>
          <w:rPr>
            <w:noProof/>
            <w:webHidden/>
          </w:rPr>
          <w:tab/>
        </w:r>
        <w:r>
          <w:rPr>
            <w:noProof/>
            <w:webHidden/>
          </w:rPr>
          <w:fldChar w:fldCharType="begin"/>
        </w:r>
        <w:r>
          <w:rPr>
            <w:noProof/>
            <w:webHidden/>
          </w:rPr>
          <w:instrText xml:space="preserve"> PAGEREF _Toc219309507 \h </w:instrText>
        </w:r>
        <w:r>
          <w:rPr>
            <w:noProof/>
            <w:webHidden/>
          </w:rPr>
        </w:r>
        <w:r>
          <w:rPr>
            <w:noProof/>
            <w:webHidden/>
          </w:rPr>
          <w:fldChar w:fldCharType="separate"/>
        </w:r>
        <w:r>
          <w:rPr>
            <w:noProof/>
            <w:webHidden/>
          </w:rPr>
          <w:t>113</w:t>
        </w:r>
        <w:r>
          <w:rPr>
            <w:noProof/>
            <w:webHidden/>
          </w:rPr>
          <w:fldChar w:fldCharType="end"/>
        </w:r>
      </w:hyperlink>
    </w:p>
    <w:p w14:paraId="473694B1"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08" w:history="1">
        <w:r w:rsidRPr="00087766">
          <w:rPr>
            <w:rStyle w:val="af7"/>
            <w:noProof/>
          </w:rPr>
          <w:t>6.2.24.</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«tMSC_KBK10_20_31_32_1»</w:t>
        </w:r>
        <w:r>
          <w:rPr>
            <w:noProof/>
            <w:webHidden/>
          </w:rPr>
          <w:tab/>
        </w:r>
        <w:r>
          <w:rPr>
            <w:noProof/>
            <w:webHidden/>
          </w:rPr>
          <w:fldChar w:fldCharType="begin"/>
        </w:r>
        <w:r>
          <w:rPr>
            <w:noProof/>
            <w:webHidden/>
          </w:rPr>
          <w:instrText xml:space="preserve"> PAGEREF _Toc219309508 \h </w:instrText>
        </w:r>
        <w:r>
          <w:rPr>
            <w:noProof/>
            <w:webHidden/>
          </w:rPr>
        </w:r>
        <w:r>
          <w:rPr>
            <w:noProof/>
            <w:webHidden/>
          </w:rPr>
          <w:fldChar w:fldCharType="separate"/>
        </w:r>
        <w:r>
          <w:rPr>
            <w:noProof/>
            <w:webHidden/>
          </w:rPr>
          <w:t>114</w:t>
        </w:r>
        <w:r>
          <w:rPr>
            <w:noProof/>
            <w:webHidden/>
          </w:rPr>
          <w:fldChar w:fldCharType="end"/>
        </w:r>
      </w:hyperlink>
    </w:p>
    <w:p w14:paraId="13F32BEF"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09" w:history="1">
        <w:r w:rsidRPr="00087766">
          <w:rPr>
            <w:rStyle w:val="af7"/>
            <w:noProof/>
          </w:rPr>
          <w:t>6.2.25.</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«tMSC_BKTp10_20_31_32Complex»</w:t>
        </w:r>
        <w:r>
          <w:rPr>
            <w:noProof/>
            <w:webHidden/>
          </w:rPr>
          <w:tab/>
        </w:r>
        <w:r>
          <w:rPr>
            <w:noProof/>
            <w:webHidden/>
          </w:rPr>
          <w:fldChar w:fldCharType="begin"/>
        </w:r>
        <w:r>
          <w:rPr>
            <w:noProof/>
            <w:webHidden/>
          </w:rPr>
          <w:instrText xml:space="preserve"> PAGEREF _Toc219309509 \h </w:instrText>
        </w:r>
        <w:r>
          <w:rPr>
            <w:noProof/>
            <w:webHidden/>
          </w:rPr>
        </w:r>
        <w:r>
          <w:rPr>
            <w:noProof/>
            <w:webHidden/>
          </w:rPr>
          <w:fldChar w:fldCharType="separate"/>
        </w:r>
        <w:r>
          <w:rPr>
            <w:noProof/>
            <w:webHidden/>
          </w:rPr>
          <w:t>116</w:t>
        </w:r>
        <w:r>
          <w:rPr>
            <w:noProof/>
            <w:webHidden/>
          </w:rPr>
          <w:fldChar w:fldCharType="end"/>
        </w:r>
      </w:hyperlink>
    </w:p>
    <w:p w14:paraId="72E93D4C"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10" w:history="1">
        <w:r w:rsidRPr="00087766">
          <w:rPr>
            <w:rStyle w:val="af7"/>
            <w:noProof/>
          </w:rPr>
          <w:t>6.2.26.</w:t>
        </w:r>
        <w:r>
          <w:rPr>
            <w:rFonts w:asciiTheme="minorHAnsi" w:eastAsiaTheme="minorEastAsia" w:hAnsiTheme="minorHAnsi" w:cstheme="minorBidi"/>
            <w:iCs w:val="0"/>
            <w:noProof/>
            <w:sz w:val="22"/>
            <w:szCs w:val="22"/>
          </w:rPr>
          <w:tab/>
        </w:r>
        <w:r w:rsidRPr="00087766">
          <w:rPr>
            <w:rStyle w:val="af7"/>
            <w:noProof/>
          </w:rPr>
          <w:t>Описание комплексного типа «tCntrlNf»</w:t>
        </w:r>
        <w:r>
          <w:rPr>
            <w:noProof/>
            <w:webHidden/>
          </w:rPr>
          <w:tab/>
        </w:r>
        <w:r>
          <w:rPr>
            <w:noProof/>
            <w:webHidden/>
          </w:rPr>
          <w:fldChar w:fldCharType="begin"/>
        </w:r>
        <w:r>
          <w:rPr>
            <w:noProof/>
            <w:webHidden/>
          </w:rPr>
          <w:instrText xml:space="preserve"> PAGEREF _Toc219309510 \h </w:instrText>
        </w:r>
        <w:r>
          <w:rPr>
            <w:noProof/>
            <w:webHidden/>
          </w:rPr>
        </w:r>
        <w:r>
          <w:rPr>
            <w:noProof/>
            <w:webHidden/>
          </w:rPr>
          <w:fldChar w:fldCharType="separate"/>
        </w:r>
        <w:r>
          <w:rPr>
            <w:noProof/>
            <w:webHidden/>
          </w:rPr>
          <w:t>116</w:t>
        </w:r>
        <w:r>
          <w:rPr>
            <w:noProof/>
            <w:webHidden/>
          </w:rPr>
          <w:fldChar w:fldCharType="end"/>
        </w:r>
      </w:hyperlink>
    </w:p>
    <w:p w14:paraId="78E185C4"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11" w:history="1">
        <w:r w:rsidRPr="00087766">
          <w:rPr>
            <w:rStyle w:val="af7"/>
            <w:noProof/>
          </w:rPr>
          <w:t>6.2.27.</w:t>
        </w:r>
        <w:r>
          <w:rPr>
            <w:rFonts w:asciiTheme="minorHAnsi" w:eastAsiaTheme="minorEastAsia" w:hAnsiTheme="minorHAnsi" w:cstheme="minorBidi"/>
            <w:iCs w:val="0"/>
            <w:noProof/>
            <w:sz w:val="22"/>
            <w:szCs w:val="22"/>
          </w:rPr>
          <w:tab/>
        </w:r>
        <w:r w:rsidRPr="00087766">
          <w:rPr>
            <w:rStyle w:val="af7"/>
            <w:noProof/>
          </w:rPr>
          <w:t>Описание комплексного типа «tCntrRslts»</w:t>
        </w:r>
        <w:r>
          <w:rPr>
            <w:noProof/>
            <w:webHidden/>
          </w:rPr>
          <w:tab/>
        </w:r>
        <w:r>
          <w:rPr>
            <w:noProof/>
            <w:webHidden/>
          </w:rPr>
          <w:fldChar w:fldCharType="begin"/>
        </w:r>
        <w:r>
          <w:rPr>
            <w:noProof/>
            <w:webHidden/>
          </w:rPr>
          <w:instrText xml:space="preserve"> PAGEREF _Toc219309511 \h </w:instrText>
        </w:r>
        <w:r>
          <w:rPr>
            <w:noProof/>
            <w:webHidden/>
          </w:rPr>
        </w:r>
        <w:r>
          <w:rPr>
            <w:noProof/>
            <w:webHidden/>
          </w:rPr>
          <w:fldChar w:fldCharType="separate"/>
        </w:r>
        <w:r>
          <w:rPr>
            <w:noProof/>
            <w:webHidden/>
          </w:rPr>
          <w:t>117</w:t>
        </w:r>
        <w:r>
          <w:rPr>
            <w:noProof/>
            <w:webHidden/>
          </w:rPr>
          <w:fldChar w:fldCharType="end"/>
        </w:r>
      </w:hyperlink>
    </w:p>
    <w:p w14:paraId="7ED5A576"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12" w:history="1">
        <w:r w:rsidRPr="00087766">
          <w:rPr>
            <w:rStyle w:val="af7"/>
            <w:noProof/>
          </w:rPr>
          <w:t>6.2.28.</w:t>
        </w:r>
        <w:r>
          <w:rPr>
            <w:rFonts w:asciiTheme="minorHAnsi" w:eastAsiaTheme="minorEastAsia" w:hAnsiTheme="minorHAnsi" w:cstheme="minorBidi"/>
            <w:iCs w:val="0"/>
            <w:noProof/>
            <w:sz w:val="22"/>
            <w:szCs w:val="22"/>
          </w:rPr>
          <w:tab/>
        </w:r>
        <w:r w:rsidRPr="00087766">
          <w:rPr>
            <w:rStyle w:val="af7"/>
            <w:noProof/>
          </w:rPr>
          <w:t>Описание комплексного типа «tCntrRslts_ITEM»</w:t>
        </w:r>
        <w:r>
          <w:rPr>
            <w:noProof/>
            <w:webHidden/>
          </w:rPr>
          <w:tab/>
        </w:r>
        <w:r>
          <w:rPr>
            <w:noProof/>
            <w:webHidden/>
          </w:rPr>
          <w:fldChar w:fldCharType="begin"/>
        </w:r>
        <w:r>
          <w:rPr>
            <w:noProof/>
            <w:webHidden/>
          </w:rPr>
          <w:instrText xml:space="preserve"> PAGEREF _Toc219309512 \h </w:instrText>
        </w:r>
        <w:r>
          <w:rPr>
            <w:noProof/>
            <w:webHidden/>
          </w:rPr>
        </w:r>
        <w:r>
          <w:rPr>
            <w:noProof/>
            <w:webHidden/>
          </w:rPr>
          <w:fldChar w:fldCharType="separate"/>
        </w:r>
        <w:r>
          <w:rPr>
            <w:noProof/>
            <w:webHidden/>
          </w:rPr>
          <w:t>117</w:t>
        </w:r>
        <w:r>
          <w:rPr>
            <w:noProof/>
            <w:webHidden/>
          </w:rPr>
          <w:fldChar w:fldCharType="end"/>
        </w:r>
      </w:hyperlink>
    </w:p>
    <w:p w14:paraId="6539AA68"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13" w:history="1">
        <w:r w:rsidRPr="00087766">
          <w:rPr>
            <w:rStyle w:val="af7"/>
            <w:noProof/>
          </w:rPr>
          <w:t>6.2.29.</w:t>
        </w:r>
        <w:r>
          <w:rPr>
            <w:rFonts w:asciiTheme="minorHAnsi" w:eastAsiaTheme="minorEastAsia" w:hAnsiTheme="minorHAnsi" w:cstheme="minorBidi"/>
            <w:iCs w:val="0"/>
            <w:noProof/>
            <w:sz w:val="22"/>
            <w:szCs w:val="22"/>
          </w:rPr>
          <w:tab/>
        </w:r>
        <w:r w:rsidRPr="00087766">
          <w:rPr>
            <w:rStyle w:val="af7"/>
            <w:noProof/>
          </w:rPr>
          <w:t>Описание комплексного типа «tRskNfs»</w:t>
        </w:r>
        <w:r>
          <w:rPr>
            <w:noProof/>
            <w:webHidden/>
          </w:rPr>
          <w:tab/>
        </w:r>
        <w:r>
          <w:rPr>
            <w:noProof/>
            <w:webHidden/>
          </w:rPr>
          <w:fldChar w:fldCharType="begin"/>
        </w:r>
        <w:r>
          <w:rPr>
            <w:noProof/>
            <w:webHidden/>
          </w:rPr>
          <w:instrText xml:space="preserve"> PAGEREF _Toc219309513 \h </w:instrText>
        </w:r>
        <w:r>
          <w:rPr>
            <w:noProof/>
            <w:webHidden/>
          </w:rPr>
        </w:r>
        <w:r>
          <w:rPr>
            <w:noProof/>
            <w:webHidden/>
          </w:rPr>
          <w:fldChar w:fldCharType="separate"/>
        </w:r>
        <w:r>
          <w:rPr>
            <w:noProof/>
            <w:webHidden/>
          </w:rPr>
          <w:t>118</w:t>
        </w:r>
        <w:r>
          <w:rPr>
            <w:noProof/>
            <w:webHidden/>
          </w:rPr>
          <w:fldChar w:fldCharType="end"/>
        </w:r>
      </w:hyperlink>
    </w:p>
    <w:p w14:paraId="704B5270"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14" w:history="1">
        <w:r w:rsidRPr="00087766">
          <w:rPr>
            <w:rStyle w:val="af7"/>
            <w:noProof/>
          </w:rPr>
          <w:t>6.2.30.</w:t>
        </w:r>
        <w:r>
          <w:rPr>
            <w:rFonts w:asciiTheme="minorHAnsi" w:eastAsiaTheme="minorEastAsia" w:hAnsiTheme="minorHAnsi" w:cstheme="minorBidi"/>
            <w:iCs w:val="0"/>
            <w:noProof/>
            <w:sz w:val="22"/>
            <w:szCs w:val="22"/>
          </w:rPr>
          <w:tab/>
        </w:r>
        <w:r w:rsidRPr="00087766">
          <w:rPr>
            <w:rStyle w:val="af7"/>
            <w:noProof/>
          </w:rPr>
          <w:t>Описание комплексного типа «tRsk_crt»</w:t>
        </w:r>
        <w:r>
          <w:rPr>
            <w:noProof/>
            <w:webHidden/>
          </w:rPr>
          <w:tab/>
        </w:r>
        <w:r>
          <w:rPr>
            <w:noProof/>
            <w:webHidden/>
          </w:rPr>
          <w:fldChar w:fldCharType="begin"/>
        </w:r>
        <w:r>
          <w:rPr>
            <w:noProof/>
            <w:webHidden/>
          </w:rPr>
          <w:instrText xml:space="preserve"> PAGEREF _Toc219309514 \h </w:instrText>
        </w:r>
        <w:r>
          <w:rPr>
            <w:noProof/>
            <w:webHidden/>
          </w:rPr>
        </w:r>
        <w:r>
          <w:rPr>
            <w:noProof/>
            <w:webHidden/>
          </w:rPr>
          <w:fldChar w:fldCharType="separate"/>
        </w:r>
        <w:r>
          <w:rPr>
            <w:noProof/>
            <w:webHidden/>
          </w:rPr>
          <w:t>118</w:t>
        </w:r>
        <w:r>
          <w:rPr>
            <w:noProof/>
            <w:webHidden/>
          </w:rPr>
          <w:fldChar w:fldCharType="end"/>
        </w:r>
      </w:hyperlink>
    </w:p>
    <w:p w14:paraId="14A679CB"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15" w:history="1">
        <w:r w:rsidRPr="00087766">
          <w:rPr>
            <w:rStyle w:val="af7"/>
            <w:noProof/>
          </w:rPr>
          <w:t>6.2.31.</w:t>
        </w:r>
        <w:r>
          <w:rPr>
            <w:rFonts w:asciiTheme="minorHAnsi" w:eastAsiaTheme="minorEastAsia" w:hAnsiTheme="minorHAnsi" w:cstheme="minorBidi"/>
            <w:iCs w:val="0"/>
            <w:noProof/>
            <w:sz w:val="22"/>
            <w:szCs w:val="22"/>
          </w:rPr>
          <w:tab/>
        </w:r>
        <w:r w:rsidRPr="00087766">
          <w:rPr>
            <w:rStyle w:val="af7"/>
            <w:noProof/>
          </w:rPr>
          <w:t>Описание комплексного типа «tRsk_crt_ITEM»</w:t>
        </w:r>
        <w:r>
          <w:rPr>
            <w:noProof/>
            <w:webHidden/>
          </w:rPr>
          <w:tab/>
        </w:r>
        <w:r>
          <w:rPr>
            <w:noProof/>
            <w:webHidden/>
          </w:rPr>
          <w:fldChar w:fldCharType="begin"/>
        </w:r>
        <w:r>
          <w:rPr>
            <w:noProof/>
            <w:webHidden/>
          </w:rPr>
          <w:instrText xml:space="preserve"> PAGEREF _Toc219309515 \h </w:instrText>
        </w:r>
        <w:r>
          <w:rPr>
            <w:noProof/>
            <w:webHidden/>
          </w:rPr>
        </w:r>
        <w:r>
          <w:rPr>
            <w:noProof/>
            <w:webHidden/>
          </w:rPr>
          <w:fldChar w:fldCharType="separate"/>
        </w:r>
        <w:r>
          <w:rPr>
            <w:noProof/>
            <w:webHidden/>
          </w:rPr>
          <w:t>119</w:t>
        </w:r>
        <w:r>
          <w:rPr>
            <w:noProof/>
            <w:webHidden/>
          </w:rPr>
          <w:fldChar w:fldCharType="end"/>
        </w:r>
      </w:hyperlink>
    </w:p>
    <w:p w14:paraId="519B11D3"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16" w:history="1">
        <w:r w:rsidRPr="00087766">
          <w:rPr>
            <w:rStyle w:val="af7"/>
            <w:noProof/>
          </w:rPr>
          <w:t>6.2.32.</w:t>
        </w:r>
        <w:r>
          <w:rPr>
            <w:rFonts w:asciiTheme="minorHAnsi" w:eastAsiaTheme="minorEastAsia" w:hAnsiTheme="minorHAnsi" w:cstheme="minorBidi"/>
            <w:iCs w:val="0"/>
            <w:noProof/>
            <w:sz w:val="22"/>
            <w:szCs w:val="22"/>
          </w:rPr>
          <w:tab/>
        </w:r>
        <w:r w:rsidRPr="00087766">
          <w:rPr>
            <w:rStyle w:val="af7"/>
            <w:noProof/>
          </w:rPr>
          <w:t>Пример XML</w:t>
        </w:r>
        <w:r>
          <w:rPr>
            <w:noProof/>
            <w:webHidden/>
          </w:rPr>
          <w:tab/>
        </w:r>
        <w:r>
          <w:rPr>
            <w:noProof/>
            <w:webHidden/>
          </w:rPr>
          <w:fldChar w:fldCharType="begin"/>
        </w:r>
        <w:r>
          <w:rPr>
            <w:noProof/>
            <w:webHidden/>
          </w:rPr>
          <w:instrText xml:space="preserve"> PAGEREF _Toc219309516 \h </w:instrText>
        </w:r>
        <w:r>
          <w:rPr>
            <w:noProof/>
            <w:webHidden/>
          </w:rPr>
        </w:r>
        <w:r>
          <w:rPr>
            <w:noProof/>
            <w:webHidden/>
          </w:rPr>
          <w:fldChar w:fldCharType="separate"/>
        </w:r>
        <w:r>
          <w:rPr>
            <w:noProof/>
            <w:webHidden/>
          </w:rPr>
          <w:t>119</w:t>
        </w:r>
        <w:r>
          <w:rPr>
            <w:noProof/>
            <w:webHidden/>
          </w:rPr>
          <w:fldChar w:fldCharType="end"/>
        </w:r>
      </w:hyperlink>
    </w:p>
    <w:p w14:paraId="4507A484" w14:textId="77777777" w:rsidR="008D797C" w:rsidRDefault="008D797C">
      <w:pPr>
        <w:pStyle w:val="2a"/>
        <w:tabs>
          <w:tab w:val="left" w:pos="960"/>
          <w:tab w:val="right" w:leader="dot" w:pos="9628"/>
        </w:tabs>
        <w:rPr>
          <w:rFonts w:asciiTheme="minorHAnsi" w:eastAsiaTheme="minorEastAsia" w:hAnsiTheme="minorHAnsi" w:cstheme="minorBidi"/>
          <w:noProof/>
          <w:sz w:val="22"/>
          <w:szCs w:val="22"/>
        </w:rPr>
      </w:pPr>
      <w:hyperlink w:anchor="_Toc219309517" w:history="1">
        <w:r w:rsidRPr="00087766">
          <w:rPr>
            <w:rStyle w:val="af7"/>
            <w:noProof/>
            <w:highlight w:val="green"/>
          </w:rPr>
          <w:t>6.3.</w:t>
        </w:r>
        <w:r>
          <w:rPr>
            <w:rFonts w:asciiTheme="minorHAnsi" w:eastAsiaTheme="minorEastAsia" w:hAnsiTheme="minorHAnsi" w:cstheme="minorBidi"/>
            <w:noProof/>
            <w:sz w:val="22"/>
            <w:szCs w:val="22"/>
          </w:rPr>
          <w:tab/>
        </w:r>
        <w:r w:rsidRPr="00087766">
          <w:rPr>
            <w:rStyle w:val="af7"/>
            <w:noProof/>
            <w:highlight w:val="green"/>
          </w:rPr>
          <w:t>Описание документа «Заявка на кассовый расход (сокращенная)» (ф. 0531851)</w:t>
        </w:r>
        <w:r>
          <w:rPr>
            <w:noProof/>
            <w:webHidden/>
          </w:rPr>
          <w:tab/>
        </w:r>
        <w:r>
          <w:rPr>
            <w:noProof/>
            <w:webHidden/>
          </w:rPr>
          <w:fldChar w:fldCharType="begin"/>
        </w:r>
        <w:r>
          <w:rPr>
            <w:noProof/>
            <w:webHidden/>
          </w:rPr>
          <w:instrText xml:space="preserve"> PAGEREF _Toc219309517 \h </w:instrText>
        </w:r>
        <w:r>
          <w:rPr>
            <w:noProof/>
            <w:webHidden/>
          </w:rPr>
        </w:r>
        <w:r>
          <w:rPr>
            <w:noProof/>
            <w:webHidden/>
          </w:rPr>
          <w:fldChar w:fldCharType="separate"/>
        </w:r>
        <w:r>
          <w:rPr>
            <w:noProof/>
            <w:webHidden/>
          </w:rPr>
          <w:t>125</w:t>
        </w:r>
        <w:r>
          <w:rPr>
            <w:noProof/>
            <w:webHidden/>
          </w:rPr>
          <w:fldChar w:fldCharType="end"/>
        </w:r>
      </w:hyperlink>
    </w:p>
    <w:p w14:paraId="513F4620"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18" w:history="1">
        <w:r w:rsidRPr="00087766">
          <w:rPr>
            <w:rStyle w:val="af7"/>
            <w:noProof/>
            <w:highlight w:val="green"/>
          </w:rPr>
          <w:t>6.3.1.</w:t>
        </w:r>
        <w:r>
          <w:rPr>
            <w:rFonts w:asciiTheme="minorHAnsi" w:eastAsiaTheme="minorEastAsia" w:hAnsiTheme="minorHAnsi" w:cstheme="minorBidi"/>
            <w:iCs w:val="0"/>
            <w:noProof/>
            <w:sz w:val="22"/>
            <w:szCs w:val="22"/>
          </w:rPr>
          <w:tab/>
        </w:r>
        <w:r w:rsidRPr="00087766">
          <w:rPr>
            <w:rStyle w:val="af7"/>
            <w:noProof/>
            <w:highlight w:val="green"/>
          </w:rPr>
          <w:t>Назначение и маршрут документа</w:t>
        </w:r>
        <w:r>
          <w:rPr>
            <w:noProof/>
            <w:webHidden/>
          </w:rPr>
          <w:tab/>
        </w:r>
        <w:r>
          <w:rPr>
            <w:noProof/>
            <w:webHidden/>
          </w:rPr>
          <w:fldChar w:fldCharType="begin"/>
        </w:r>
        <w:r>
          <w:rPr>
            <w:noProof/>
            <w:webHidden/>
          </w:rPr>
          <w:instrText xml:space="preserve"> PAGEREF _Toc219309518 \h </w:instrText>
        </w:r>
        <w:r>
          <w:rPr>
            <w:noProof/>
            <w:webHidden/>
          </w:rPr>
        </w:r>
        <w:r>
          <w:rPr>
            <w:noProof/>
            <w:webHidden/>
          </w:rPr>
          <w:fldChar w:fldCharType="separate"/>
        </w:r>
        <w:r>
          <w:rPr>
            <w:noProof/>
            <w:webHidden/>
          </w:rPr>
          <w:t>125</w:t>
        </w:r>
        <w:r>
          <w:rPr>
            <w:noProof/>
            <w:webHidden/>
          </w:rPr>
          <w:fldChar w:fldCharType="end"/>
        </w:r>
      </w:hyperlink>
    </w:p>
    <w:p w14:paraId="0372223B"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19" w:history="1">
        <w:r w:rsidRPr="00087766">
          <w:rPr>
            <w:rStyle w:val="af7"/>
            <w:noProof/>
          </w:rPr>
          <w:t>6.3.2.</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«tMSC_ApplCashFlowShrt»</w:t>
        </w:r>
        <w:r>
          <w:rPr>
            <w:noProof/>
            <w:webHidden/>
          </w:rPr>
          <w:tab/>
        </w:r>
        <w:r>
          <w:rPr>
            <w:noProof/>
            <w:webHidden/>
          </w:rPr>
          <w:fldChar w:fldCharType="begin"/>
        </w:r>
        <w:r>
          <w:rPr>
            <w:noProof/>
            <w:webHidden/>
          </w:rPr>
          <w:instrText xml:space="preserve"> PAGEREF _Toc219309519 \h </w:instrText>
        </w:r>
        <w:r>
          <w:rPr>
            <w:noProof/>
            <w:webHidden/>
          </w:rPr>
        </w:r>
        <w:r>
          <w:rPr>
            <w:noProof/>
            <w:webHidden/>
          </w:rPr>
          <w:fldChar w:fldCharType="separate"/>
        </w:r>
        <w:r>
          <w:rPr>
            <w:noProof/>
            <w:webHidden/>
          </w:rPr>
          <w:t>125</w:t>
        </w:r>
        <w:r>
          <w:rPr>
            <w:noProof/>
            <w:webHidden/>
          </w:rPr>
          <w:fldChar w:fldCharType="end"/>
        </w:r>
      </w:hyperlink>
    </w:p>
    <w:p w14:paraId="4C97D46D"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20" w:history="1">
        <w:r w:rsidRPr="00087766">
          <w:rPr>
            <w:rStyle w:val="af7"/>
            <w:noProof/>
          </w:rPr>
          <w:t>6.3.3.</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«tMSC_Cstmr4»</w:t>
        </w:r>
        <w:r>
          <w:rPr>
            <w:noProof/>
            <w:webHidden/>
          </w:rPr>
          <w:tab/>
        </w:r>
        <w:r>
          <w:rPr>
            <w:noProof/>
            <w:webHidden/>
          </w:rPr>
          <w:fldChar w:fldCharType="begin"/>
        </w:r>
        <w:r>
          <w:rPr>
            <w:noProof/>
            <w:webHidden/>
          </w:rPr>
          <w:instrText xml:space="preserve"> PAGEREF _Toc219309520 \h </w:instrText>
        </w:r>
        <w:r>
          <w:rPr>
            <w:noProof/>
            <w:webHidden/>
          </w:rPr>
        </w:r>
        <w:r>
          <w:rPr>
            <w:noProof/>
            <w:webHidden/>
          </w:rPr>
          <w:fldChar w:fldCharType="separate"/>
        </w:r>
        <w:r>
          <w:rPr>
            <w:noProof/>
            <w:webHidden/>
          </w:rPr>
          <w:t>132</w:t>
        </w:r>
        <w:r>
          <w:rPr>
            <w:noProof/>
            <w:webHidden/>
          </w:rPr>
          <w:fldChar w:fldCharType="end"/>
        </w:r>
      </w:hyperlink>
    </w:p>
    <w:p w14:paraId="77BD2CC4"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21" w:history="1">
        <w:r w:rsidRPr="00087766">
          <w:rPr>
            <w:rStyle w:val="af7"/>
            <w:noProof/>
          </w:rPr>
          <w:t>6.3.4.</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«tMSC_Orgnztn5»</w:t>
        </w:r>
        <w:r>
          <w:rPr>
            <w:noProof/>
            <w:webHidden/>
          </w:rPr>
          <w:tab/>
        </w:r>
        <w:r>
          <w:rPr>
            <w:noProof/>
            <w:webHidden/>
          </w:rPr>
          <w:fldChar w:fldCharType="begin"/>
        </w:r>
        <w:r>
          <w:rPr>
            <w:noProof/>
            <w:webHidden/>
          </w:rPr>
          <w:instrText xml:space="preserve"> PAGEREF _Toc219309521 \h </w:instrText>
        </w:r>
        <w:r>
          <w:rPr>
            <w:noProof/>
            <w:webHidden/>
          </w:rPr>
        </w:r>
        <w:r>
          <w:rPr>
            <w:noProof/>
            <w:webHidden/>
          </w:rPr>
          <w:fldChar w:fldCharType="separate"/>
        </w:r>
        <w:r>
          <w:rPr>
            <w:noProof/>
            <w:webHidden/>
          </w:rPr>
          <w:t>133</w:t>
        </w:r>
        <w:r>
          <w:rPr>
            <w:noProof/>
            <w:webHidden/>
          </w:rPr>
          <w:fldChar w:fldCharType="end"/>
        </w:r>
      </w:hyperlink>
    </w:p>
    <w:p w14:paraId="2F6B4CDF"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22" w:history="1">
        <w:r w:rsidRPr="00087766">
          <w:rPr>
            <w:rStyle w:val="af7"/>
            <w:noProof/>
          </w:rPr>
          <w:t>6.3.5.</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«tMSC_Cntrctr1»</w:t>
        </w:r>
        <w:r>
          <w:rPr>
            <w:noProof/>
            <w:webHidden/>
          </w:rPr>
          <w:tab/>
        </w:r>
        <w:r>
          <w:rPr>
            <w:noProof/>
            <w:webHidden/>
          </w:rPr>
          <w:fldChar w:fldCharType="begin"/>
        </w:r>
        <w:r>
          <w:rPr>
            <w:noProof/>
            <w:webHidden/>
          </w:rPr>
          <w:instrText xml:space="preserve"> PAGEREF _Toc219309522 \h </w:instrText>
        </w:r>
        <w:r>
          <w:rPr>
            <w:noProof/>
            <w:webHidden/>
          </w:rPr>
        </w:r>
        <w:r>
          <w:rPr>
            <w:noProof/>
            <w:webHidden/>
          </w:rPr>
          <w:fldChar w:fldCharType="separate"/>
        </w:r>
        <w:r>
          <w:rPr>
            <w:noProof/>
            <w:webHidden/>
          </w:rPr>
          <w:t>133</w:t>
        </w:r>
        <w:r>
          <w:rPr>
            <w:noProof/>
            <w:webHidden/>
          </w:rPr>
          <w:fldChar w:fldCharType="end"/>
        </w:r>
      </w:hyperlink>
    </w:p>
    <w:p w14:paraId="4270CF9E"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23" w:history="1">
        <w:r w:rsidRPr="00087766">
          <w:rPr>
            <w:rStyle w:val="af7"/>
            <w:noProof/>
          </w:rPr>
          <w:t>6.3.6.</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«tMSC_Pmnt1»</w:t>
        </w:r>
        <w:r>
          <w:rPr>
            <w:noProof/>
            <w:webHidden/>
          </w:rPr>
          <w:tab/>
        </w:r>
        <w:r>
          <w:rPr>
            <w:noProof/>
            <w:webHidden/>
          </w:rPr>
          <w:fldChar w:fldCharType="begin"/>
        </w:r>
        <w:r>
          <w:rPr>
            <w:noProof/>
            <w:webHidden/>
          </w:rPr>
          <w:instrText xml:space="preserve"> PAGEREF _Toc219309523 \h </w:instrText>
        </w:r>
        <w:r>
          <w:rPr>
            <w:noProof/>
            <w:webHidden/>
          </w:rPr>
        </w:r>
        <w:r>
          <w:rPr>
            <w:noProof/>
            <w:webHidden/>
          </w:rPr>
          <w:fldChar w:fldCharType="separate"/>
        </w:r>
        <w:r>
          <w:rPr>
            <w:noProof/>
            <w:webHidden/>
          </w:rPr>
          <w:t>135</w:t>
        </w:r>
        <w:r>
          <w:rPr>
            <w:noProof/>
            <w:webHidden/>
          </w:rPr>
          <w:fldChar w:fldCharType="end"/>
        </w:r>
      </w:hyperlink>
    </w:p>
    <w:p w14:paraId="7CD9BA9C"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24" w:history="1">
        <w:r w:rsidRPr="00087766">
          <w:rPr>
            <w:rStyle w:val="af7"/>
            <w:noProof/>
          </w:rPr>
          <w:t>6.3.7.</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«tMSC_AdvnPySgnComplex»</w:t>
        </w:r>
        <w:r>
          <w:rPr>
            <w:noProof/>
            <w:webHidden/>
          </w:rPr>
          <w:tab/>
        </w:r>
        <w:r>
          <w:rPr>
            <w:noProof/>
            <w:webHidden/>
          </w:rPr>
          <w:fldChar w:fldCharType="begin"/>
        </w:r>
        <w:r>
          <w:rPr>
            <w:noProof/>
            <w:webHidden/>
          </w:rPr>
          <w:instrText xml:space="preserve"> PAGEREF _Toc219309524 \h </w:instrText>
        </w:r>
        <w:r>
          <w:rPr>
            <w:noProof/>
            <w:webHidden/>
          </w:rPr>
        </w:r>
        <w:r>
          <w:rPr>
            <w:noProof/>
            <w:webHidden/>
          </w:rPr>
          <w:fldChar w:fldCharType="separate"/>
        </w:r>
        <w:r>
          <w:rPr>
            <w:noProof/>
            <w:webHidden/>
          </w:rPr>
          <w:t>136</w:t>
        </w:r>
        <w:r>
          <w:rPr>
            <w:noProof/>
            <w:webHidden/>
          </w:rPr>
          <w:fldChar w:fldCharType="end"/>
        </w:r>
      </w:hyperlink>
    </w:p>
    <w:p w14:paraId="47D8E72F"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25" w:history="1">
        <w:r w:rsidRPr="00087766">
          <w:rPr>
            <w:rStyle w:val="af7"/>
            <w:noProof/>
          </w:rPr>
          <w:t>6.3.8.</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«tMSC_ShrtPyKndComplex»</w:t>
        </w:r>
        <w:r>
          <w:rPr>
            <w:noProof/>
            <w:webHidden/>
          </w:rPr>
          <w:tab/>
        </w:r>
        <w:r>
          <w:rPr>
            <w:noProof/>
            <w:webHidden/>
          </w:rPr>
          <w:fldChar w:fldCharType="begin"/>
        </w:r>
        <w:r>
          <w:rPr>
            <w:noProof/>
            <w:webHidden/>
          </w:rPr>
          <w:instrText xml:space="preserve"> PAGEREF _Toc219309525 \h </w:instrText>
        </w:r>
        <w:r>
          <w:rPr>
            <w:noProof/>
            <w:webHidden/>
          </w:rPr>
        </w:r>
        <w:r>
          <w:rPr>
            <w:noProof/>
            <w:webHidden/>
          </w:rPr>
          <w:fldChar w:fldCharType="separate"/>
        </w:r>
        <w:r>
          <w:rPr>
            <w:noProof/>
            <w:webHidden/>
          </w:rPr>
          <w:t>136</w:t>
        </w:r>
        <w:r>
          <w:rPr>
            <w:noProof/>
            <w:webHidden/>
          </w:rPr>
          <w:fldChar w:fldCharType="end"/>
        </w:r>
      </w:hyperlink>
    </w:p>
    <w:p w14:paraId="6729E14B"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26" w:history="1">
        <w:r w:rsidRPr="00087766">
          <w:rPr>
            <w:rStyle w:val="af7"/>
            <w:noProof/>
          </w:rPr>
          <w:t>6.3.9.</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«tMSC_Bnk»</w:t>
        </w:r>
        <w:r>
          <w:rPr>
            <w:noProof/>
            <w:webHidden/>
          </w:rPr>
          <w:tab/>
        </w:r>
        <w:r>
          <w:rPr>
            <w:noProof/>
            <w:webHidden/>
          </w:rPr>
          <w:fldChar w:fldCharType="begin"/>
        </w:r>
        <w:r>
          <w:rPr>
            <w:noProof/>
            <w:webHidden/>
          </w:rPr>
          <w:instrText xml:space="preserve"> PAGEREF _Toc219309526 \h </w:instrText>
        </w:r>
        <w:r>
          <w:rPr>
            <w:noProof/>
            <w:webHidden/>
          </w:rPr>
        </w:r>
        <w:r>
          <w:rPr>
            <w:noProof/>
            <w:webHidden/>
          </w:rPr>
          <w:fldChar w:fldCharType="separate"/>
        </w:r>
        <w:r>
          <w:rPr>
            <w:noProof/>
            <w:webHidden/>
          </w:rPr>
          <w:t>136</w:t>
        </w:r>
        <w:r>
          <w:rPr>
            <w:noProof/>
            <w:webHidden/>
          </w:rPr>
          <w:fldChar w:fldCharType="end"/>
        </w:r>
      </w:hyperlink>
    </w:p>
    <w:p w14:paraId="4CB4F7AD"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27" w:history="1">
        <w:r w:rsidRPr="00087766">
          <w:rPr>
            <w:rStyle w:val="af7"/>
            <w:noProof/>
          </w:rPr>
          <w:t>6.3.10.</w:t>
        </w:r>
        <w:r>
          <w:rPr>
            <w:rFonts w:asciiTheme="minorHAnsi" w:eastAsiaTheme="minorEastAsia" w:hAnsiTheme="minorHAnsi" w:cstheme="minorBidi"/>
            <w:iCs w:val="0"/>
            <w:noProof/>
            <w:sz w:val="22"/>
            <w:szCs w:val="22"/>
          </w:rPr>
          <w:tab/>
        </w:r>
        <w:r w:rsidRPr="00087766">
          <w:rPr>
            <w:rStyle w:val="af7"/>
            <w:noProof/>
          </w:rPr>
          <w:t>Описание комплексного типа «tZROSN»</w:t>
        </w:r>
        <w:r>
          <w:rPr>
            <w:noProof/>
            <w:webHidden/>
          </w:rPr>
          <w:tab/>
        </w:r>
        <w:r>
          <w:rPr>
            <w:noProof/>
            <w:webHidden/>
          </w:rPr>
          <w:fldChar w:fldCharType="begin"/>
        </w:r>
        <w:r>
          <w:rPr>
            <w:noProof/>
            <w:webHidden/>
          </w:rPr>
          <w:instrText xml:space="preserve"> PAGEREF _Toc219309527 \h </w:instrText>
        </w:r>
        <w:r>
          <w:rPr>
            <w:noProof/>
            <w:webHidden/>
          </w:rPr>
        </w:r>
        <w:r>
          <w:rPr>
            <w:noProof/>
            <w:webHidden/>
          </w:rPr>
          <w:fldChar w:fldCharType="separate"/>
        </w:r>
        <w:r>
          <w:rPr>
            <w:noProof/>
            <w:webHidden/>
          </w:rPr>
          <w:t>137</w:t>
        </w:r>
        <w:r>
          <w:rPr>
            <w:noProof/>
            <w:webHidden/>
          </w:rPr>
          <w:fldChar w:fldCharType="end"/>
        </w:r>
      </w:hyperlink>
    </w:p>
    <w:p w14:paraId="558E843C"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28" w:history="1">
        <w:r w:rsidRPr="00087766">
          <w:rPr>
            <w:rStyle w:val="af7"/>
            <w:noProof/>
          </w:rPr>
          <w:t>6.3.11.</w:t>
        </w:r>
        <w:r>
          <w:rPr>
            <w:rFonts w:asciiTheme="minorHAnsi" w:eastAsiaTheme="minorEastAsia" w:hAnsiTheme="minorHAnsi" w:cstheme="minorBidi"/>
            <w:iCs w:val="0"/>
            <w:noProof/>
            <w:sz w:val="22"/>
            <w:szCs w:val="22"/>
          </w:rPr>
          <w:tab/>
        </w:r>
        <w:r w:rsidRPr="00087766">
          <w:rPr>
            <w:rStyle w:val="af7"/>
            <w:noProof/>
          </w:rPr>
          <w:t>Описание комплексного типа «tZROSN_ITEM»</w:t>
        </w:r>
        <w:r>
          <w:rPr>
            <w:noProof/>
            <w:webHidden/>
          </w:rPr>
          <w:tab/>
        </w:r>
        <w:r>
          <w:rPr>
            <w:noProof/>
            <w:webHidden/>
          </w:rPr>
          <w:fldChar w:fldCharType="begin"/>
        </w:r>
        <w:r>
          <w:rPr>
            <w:noProof/>
            <w:webHidden/>
          </w:rPr>
          <w:instrText xml:space="preserve"> PAGEREF _Toc219309528 \h </w:instrText>
        </w:r>
        <w:r>
          <w:rPr>
            <w:noProof/>
            <w:webHidden/>
          </w:rPr>
        </w:r>
        <w:r>
          <w:rPr>
            <w:noProof/>
            <w:webHidden/>
          </w:rPr>
          <w:fldChar w:fldCharType="separate"/>
        </w:r>
        <w:r>
          <w:rPr>
            <w:noProof/>
            <w:webHidden/>
          </w:rPr>
          <w:t>138</w:t>
        </w:r>
        <w:r>
          <w:rPr>
            <w:noProof/>
            <w:webHidden/>
          </w:rPr>
          <w:fldChar w:fldCharType="end"/>
        </w:r>
      </w:hyperlink>
    </w:p>
    <w:p w14:paraId="5773CA36"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29" w:history="1">
        <w:r w:rsidRPr="00087766">
          <w:rPr>
            <w:rStyle w:val="af7"/>
            <w:noProof/>
          </w:rPr>
          <w:t>6.3.12.</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«tMSC_DcBs1»</w:t>
        </w:r>
        <w:r>
          <w:rPr>
            <w:noProof/>
            <w:webHidden/>
          </w:rPr>
          <w:tab/>
        </w:r>
        <w:r>
          <w:rPr>
            <w:noProof/>
            <w:webHidden/>
          </w:rPr>
          <w:fldChar w:fldCharType="begin"/>
        </w:r>
        <w:r>
          <w:rPr>
            <w:noProof/>
            <w:webHidden/>
          </w:rPr>
          <w:instrText xml:space="preserve"> PAGEREF _Toc219309529 \h </w:instrText>
        </w:r>
        <w:r>
          <w:rPr>
            <w:noProof/>
            <w:webHidden/>
          </w:rPr>
        </w:r>
        <w:r>
          <w:rPr>
            <w:noProof/>
            <w:webHidden/>
          </w:rPr>
          <w:fldChar w:fldCharType="separate"/>
        </w:r>
        <w:r>
          <w:rPr>
            <w:noProof/>
            <w:webHidden/>
          </w:rPr>
          <w:t>138</w:t>
        </w:r>
        <w:r>
          <w:rPr>
            <w:noProof/>
            <w:webHidden/>
          </w:rPr>
          <w:fldChar w:fldCharType="end"/>
        </w:r>
      </w:hyperlink>
    </w:p>
    <w:p w14:paraId="10216059"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30" w:history="1">
        <w:r w:rsidRPr="00087766">
          <w:rPr>
            <w:rStyle w:val="af7"/>
            <w:noProof/>
          </w:rPr>
          <w:t>6.3.13.</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«tMSC_BsPySgnComplex»</w:t>
        </w:r>
        <w:r>
          <w:rPr>
            <w:noProof/>
            <w:webHidden/>
          </w:rPr>
          <w:tab/>
        </w:r>
        <w:r>
          <w:rPr>
            <w:noProof/>
            <w:webHidden/>
          </w:rPr>
          <w:fldChar w:fldCharType="begin"/>
        </w:r>
        <w:r>
          <w:rPr>
            <w:noProof/>
            <w:webHidden/>
          </w:rPr>
          <w:instrText xml:space="preserve"> PAGEREF _Toc219309530 \h </w:instrText>
        </w:r>
        <w:r>
          <w:rPr>
            <w:noProof/>
            <w:webHidden/>
          </w:rPr>
        </w:r>
        <w:r>
          <w:rPr>
            <w:noProof/>
            <w:webHidden/>
          </w:rPr>
          <w:fldChar w:fldCharType="separate"/>
        </w:r>
        <w:r>
          <w:rPr>
            <w:noProof/>
            <w:webHidden/>
          </w:rPr>
          <w:t>140</w:t>
        </w:r>
        <w:r>
          <w:rPr>
            <w:noProof/>
            <w:webHidden/>
          </w:rPr>
          <w:fldChar w:fldCharType="end"/>
        </w:r>
      </w:hyperlink>
    </w:p>
    <w:p w14:paraId="6B79EAEE"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31" w:history="1">
        <w:r w:rsidRPr="00087766">
          <w:rPr>
            <w:rStyle w:val="af7"/>
            <w:noProof/>
          </w:rPr>
          <w:t>6.3.14.</w:t>
        </w:r>
        <w:r>
          <w:rPr>
            <w:rFonts w:asciiTheme="minorHAnsi" w:eastAsiaTheme="minorEastAsia" w:hAnsiTheme="minorHAnsi" w:cstheme="minorBidi"/>
            <w:iCs w:val="0"/>
            <w:noProof/>
            <w:sz w:val="22"/>
            <w:szCs w:val="22"/>
          </w:rPr>
          <w:tab/>
        </w:r>
        <w:r w:rsidRPr="00087766">
          <w:rPr>
            <w:rStyle w:val="af7"/>
            <w:noProof/>
          </w:rPr>
          <w:t>Описание комплексного типа «tZRST»</w:t>
        </w:r>
        <w:r>
          <w:rPr>
            <w:noProof/>
            <w:webHidden/>
          </w:rPr>
          <w:tab/>
        </w:r>
        <w:r>
          <w:rPr>
            <w:noProof/>
            <w:webHidden/>
          </w:rPr>
          <w:fldChar w:fldCharType="begin"/>
        </w:r>
        <w:r>
          <w:rPr>
            <w:noProof/>
            <w:webHidden/>
          </w:rPr>
          <w:instrText xml:space="preserve"> PAGEREF _Toc219309531 \h </w:instrText>
        </w:r>
        <w:r>
          <w:rPr>
            <w:noProof/>
            <w:webHidden/>
          </w:rPr>
        </w:r>
        <w:r>
          <w:rPr>
            <w:noProof/>
            <w:webHidden/>
          </w:rPr>
          <w:fldChar w:fldCharType="separate"/>
        </w:r>
        <w:r>
          <w:rPr>
            <w:noProof/>
            <w:webHidden/>
          </w:rPr>
          <w:t>140</w:t>
        </w:r>
        <w:r>
          <w:rPr>
            <w:noProof/>
            <w:webHidden/>
          </w:rPr>
          <w:fldChar w:fldCharType="end"/>
        </w:r>
      </w:hyperlink>
    </w:p>
    <w:p w14:paraId="3F3699EE"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32" w:history="1">
        <w:r w:rsidRPr="00087766">
          <w:rPr>
            <w:rStyle w:val="af7"/>
            <w:noProof/>
          </w:rPr>
          <w:t>6.3.15.</w:t>
        </w:r>
        <w:r>
          <w:rPr>
            <w:rFonts w:asciiTheme="minorHAnsi" w:eastAsiaTheme="minorEastAsia" w:hAnsiTheme="minorHAnsi" w:cstheme="minorBidi"/>
            <w:iCs w:val="0"/>
            <w:noProof/>
            <w:sz w:val="22"/>
            <w:szCs w:val="22"/>
          </w:rPr>
          <w:tab/>
        </w:r>
        <w:r w:rsidRPr="00087766">
          <w:rPr>
            <w:rStyle w:val="af7"/>
            <w:noProof/>
          </w:rPr>
          <w:t>Описание комплексного типа «tZRST_ITEM»</w:t>
        </w:r>
        <w:r>
          <w:rPr>
            <w:noProof/>
            <w:webHidden/>
          </w:rPr>
          <w:tab/>
        </w:r>
        <w:r>
          <w:rPr>
            <w:noProof/>
            <w:webHidden/>
          </w:rPr>
          <w:fldChar w:fldCharType="begin"/>
        </w:r>
        <w:r>
          <w:rPr>
            <w:noProof/>
            <w:webHidden/>
          </w:rPr>
          <w:instrText xml:space="preserve"> PAGEREF _Toc219309532 \h </w:instrText>
        </w:r>
        <w:r>
          <w:rPr>
            <w:noProof/>
            <w:webHidden/>
          </w:rPr>
        </w:r>
        <w:r>
          <w:rPr>
            <w:noProof/>
            <w:webHidden/>
          </w:rPr>
          <w:fldChar w:fldCharType="separate"/>
        </w:r>
        <w:r>
          <w:rPr>
            <w:noProof/>
            <w:webHidden/>
          </w:rPr>
          <w:t>140</w:t>
        </w:r>
        <w:r>
          <w:rPr>
            <w:noProof/>
            <w:webHidden/>
          </w:rPr>
          <w:fldChar w:fldCharType="end"/>
        </w:r>
      </w:hyperlink>
    </w:p>
    <w:p w14:paraId="2CBC27D6"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33" w:history="1">
        <w:r w:rsidRPr="00087766">
          <w:rPr>
            <w:rStyle w:val="af7"/>
            <w:noProof/>
          </w:rPr>
          <w:t>6.3.16.</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«tMSC_KBK10_20_31_32»</w:t>
        </w:r>
        <w:r>
          <w:rPr>
            <w:noProof/>
            <w:webHidden/>
          </w:rPr>
          <w:tab/>
        </w:r>
        <w:r>
          <w:rPr>
            <w:noProof/>
            <w:webHidden/>
          </w:rPr>
          <w:fldChar w:fldCharType="begin"/>
        </w:r>
        <w:r>
          <w:rPr>
            <w:noProof/>
            <w:webHidden/>
          </w:rPr>
          <w:instrText xml:space="preserve"> PAGEREF _Toc219309533 \h </w:instrText>
        </w:r>
        <w:r>
          <w:rPr>
            <w:noProof/>
            <w:webHidden/>
          </w:rPr>
        </w:r>
        <w:r>
          <w:rPr>
            <w:noProof/>
            <w:webHidden/>
          </w:rPr>
          <w:fldChar w:fldCharType="separate"/>
        </w:r>
        <w:r>
          <w:rPr>
            <w:noProof/>
            <w:webHidden/>
          </w:rPr>
          <w:t>141</w:t>
        </w:r>
        <w:r>
          <w:rPr>
            <w:noProof/>
            <w:webHidden/>
          </w:rPr>
          <w:fldChar w:fldCharType="end"/>
        </w:r>
      </w:hyperlink>
    </w:p>
    <w:p w14:paraId="4951178E"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34" w:history="1">
        <w:r w:rsidRPr="00087766">
          <w:rPr>
            <w:rStyle w:val="af7"/>
            <w:noProof/>
          </w:rPr>
          <w:t>6.3.17.</w:t>
        </w:r>
        <w:r>
          <w:rPr>
            <w:rFonts w:asciiTheme="minorHAnsi" w:eastAsiaTheme="minorEastAsia" w:hAnsiTheme="minorHAnsi" w:cstheme="minorBidi"/>
            <w:iCs w:val="0"/>
            <w:noProof/>
            <w:sz w:val="22"/>
            <w:szCs w:val="22"/>
          </w:rPr>
          <w:tab/>
        </w:r>
        <w:r w:rsidRPr="00087766">
          <w:rPr>
            <w:rStyle w:val="af7"/>
            <w:noProof/>
          </w:rPr>
          <w:t>Описание комплексного типа «tSGN»</w:t>
        </w:r>
        <w:r>
          <w:rPr>
            <w:noProof/>
            <w:webHidden/>
          </w:rPr>
          <w:tab/>
        </w:r>
        <w:r>
          <w:rPr>
            <w:noProof/>
            <w:webHidden/>
          </w:rPr>
          <w:fldChar w:fldCharType="begin"/>
        </w:r>
        <w:r>
          <w:rPr>
            <w:noProof/>
            <w:webHidden/>
          </w:rPr>
          <w:instrText xml:space="preserve"> PAGEREF _Toc219309534 \h </w:instrText>
        </w:r>
        <w:r>
          <w:rPr>
            <w:noProof/>
            <w:webHidden/>
          </w:rPr>
        </w:r>
        <w:r>
          <w:rPr>
            <w:noProof/>
            <w:webHidden/>
          </w:rPr>
          <w:fldChar w:fldCharType="separate"/>
        </w:r>
        <w:r>
          <w:rPr>
            <w:noProof/>
            <w:webHidden/>
          </w:rPr>
          <w:t>142</w:t>
        </w:r>
        <w:r>
          <w:rPr>
            <w:noProof/>
            <w:webHidden/>
          </w:rPr>
          <w:fldChar w:fldCharType="end"/>
        </w:r>
      </w:hyperlink>
    </w:p>
    <w:p w14:paraId="4701821F"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35" w:history="1">
        <w:r w:rsidRPr="00087766">
          <w:rPr>
            <w:rStyle w:val="af7"/>
            <w:noProof/>
          </w:rPr>
          <w:t>6.3.18.</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«tMSC_Infrmtn»</w:t>
        </w:r>
        <w:r>
          <w:rPr>
            <w:noProof/>
            <w:webHidden/>
          </w:rPr>
          <w:tab/>
        </w:r>
        <w:r>
          <w:rPr>
            <w:noProof/>
            <w:webHidden/>
          </w:rPr>
          <w:fldChar w:fldCharType="begin"/>
        </w:r>
        <w:r>
          <w:rPr>
            <w:noProof/>
            <w:webHidden/>
          </w:rPr>
          <w:instrText xml:space="preserve"> PAGEREF _Toc219309535 \h </w:instrText>
        </w:r>
        <w:r>
          <w:rPr>
            <w:noProof/>
            <w:webHidden/>
          </w:rPr>
        </w:r>
        <w:r>
          <w:rPr>
            <w:noProof/>
            <w:webHidden/>
          </w:rPr>
          <w:fldChar w:fldCharType="separate"/>
        </w:r>
        <w:r>
          <w:rPr>
            <w:noProof/>
            <w:webHidden/>
          </w:rPr>
          <w:t>143</w:t>
        </w:r>
        <w:r>
          <w:rPr>
            <w:noProof/>
            <w:webHidden/>
          </w:rPr>
          <w:fldChar w:fldCharType="end"/>
        </w:r>
      </w:hyperlink>
    </w:p>
    <w:p w14:paraId="1FE9A971"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36" w:history="1">
        <w:r w:rsidRPr="00087766">
          <w:rPr>
            <w:rStyle w:val="af7"/>
            <w:noProof/>
          </w:rPr>
          <w:t>6.3.19.</w:t>
        </w:r>
        <w:r>
          <w:rPr>
            <w:rFonts w:asciiTheme="minorHAnsi" w:eastAsiaTheme="minorEastAsia" w:hAnsiTheme="minorHAnsi" w:cstheme="minorBidi"/>
            <w:iCs w:val="0"/>
            <w:noProof/>
            <w:sz w:val="22"/>
            <w:szCs w:val="22"/>
          </w:rPr>
          <w:tab/>
        </w:r>
        <w:r w:rsidRPr="00087766">
          <w:rPr>
            <w:rStyle w:val="af7"/>
            <w:noProof/>
          </w:rPr>
          <w:t>Пример XML</w:t>
        </w:r>
        <w:r>
          <w:rPr>
            <w:noProof/>
            <w:webHidden/>
          </w:rPr>
          <w:tab/>
        </w:r>
        <w:r>
          <w:rPr>
            <w:noProof/>
            <w:webHidden/>
          </w:rPr>
          <w:fldChar w:fldCharType="begin"/>
        </w:r>
        <w:r>
          <w:rPr>
            <w:noProof/>
            <w:webHidden/>
          </w:rPr>
          <w:instrText xml:space="preserve"> PAGEREF _Toc219309536 \h </w:instrText>
        </w:r>
        <w:r>
          <w:rPr>
            <w:noProof/>
            <w:webHidden/>
          </w:rPr>
        </w:r>
        <w:r>
          <w:rPr>
            <w:noProof/>
            <w:webHidden/>
          </w:rPr>
          <w:fldChar w:fldCharType="separate"/>
        </w:r>
        <w:r>
          <w:rPr>
            <w:noProof/>
            <w:webHidden/>
          </w:rPr>
          <w:t>143</w:t>
        </w:r>
        <w:r>
          <w:rPr>
            <w:noProof/>
            <w:webHidden/>
          </w:rPr>
          <w:fldChar w:fldCharType="end"/>
        </w:r>
      </w:hyperlink>
    </w:p>
    <w:p w14:paraId="62162725" w14:textId="77777777" w:rsidR="008D797C" w:rsidRDefault="008D797C">
      <w:pPr>
        <w:pStyle w:val="2a"/>
        <w:tabs>
          <w:tab w:val="left" w:pos="960"/>
          <w:tab w:val="right" w:leader="dot" w:pos="9628"/>
        </w:tabs>
        <w:rPr>
          <w:rFonts w:asciiTheme="minorHAnsi" w:eastAsiaTheme="minorEastAsia" w:hAnsiTheme="minorHAnsi" w:cstheme="minorBidi"/>
          <w:noProof/>
          <w:sz w:val="22"/>
          <w:szCs w:val="22"/>
        </w:rPr>
      </w:pPr>
      <w:hyperlink w:anchor="_Toc219309537" w:history="1">
        <w:r w:rsidRPr="00087766">
          <w:rPr>
            <w:rStyle w:val="af7"/>
            <w:noProof/>
            <w:highlight w:val="green"/>
          </w:rPr>
          <w:t>6.4.</w:t>
        </w:r>
        <w:r>
          <w:rPr>
            <w:rFonts w:asciiTheme="minorHAnsi" w:eastAsiaTheme="minorEastAsia" w:hAnsiTheme="minorHAnsi" w:cstheme="minorBidi"/>
            <w:noProof/>
            <w:sz w:val="22"/>
            <w:szCs w:val="22"/>
          </w:rPr>
          <w:tab/>
        </w:r>
        <w:r w:rsidRPr="00087766">
          <w:rPr>
            <w:rStyle w:val="af7"/>
            <w:noProof/>
            <w:highlight w:val="green"/>
          </w:rPr>
          <w:t>Описание документа «Сводная заявка на кассовый расход» (ф. 0531860)</w:t>
        </w:r>
        <w:r>
          <w:rPr>
            <w:noProof/>
            <w:webHidden/>
          </w:rPr>
          <w:tab/>
        </w:r>
        <w:r>
          <w:rPr>
            <w:noProof/>
            <w:webHidden/>
          </w:rPr>
          <w:fldChar w:fldCharType="begin"/>
        </w:r>
        <w:r>
          <w:rPr>
            <w:noProof/>
            <w:webHidden/>
          </w:rPr>
          <w:instrText xml:space="preserve"> PAGEREF _Toc219309537 \h </w:instrText>
        </w:r>
        <w:r>
          <w:rPr>
            <w:noProof/>
            <w:webHidden/>
          </w:rPr>
        </w:r>
        <w:r>
          <w:rPr>
            <w:noProof/>
            <w:webHidden/>
          </w:rPr>
          <w:fldChar w:fldCharType="separate"/>
        </w:r>
        <w:r>
          <w:rPr>
            <w:noProof/>
            <w:webHidden/>
          </w:rPr>
          <w:t>148</w:t>
        </w:r>
        <w:r>
          <w:rPr>
            <w:noProof/>
            <w:webHidden/>
          </w:rPr>
          <w:fldChar w:fldCharType="end"/>
        </w:r>
      </w:hyperlink>
    </w:p>
    <w:p w14:paraId="06E8A125"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38" w:history="1">
        <w:r w:rsidRPr="00087766">
          <w:rPr>
            <w:rStyle w:val="af7"/>
            <w:noProof/>
            <w:highlight w:val="green"/>
          </w:rPr>
          <w:t>6.4.1.</w:t>
        </w:r>
        <w:r>
          <w:rPr>
            <w:rFonts w:asciiTheme="minorHAnsi" w:eastAsiaTheme="minorEastAsia" w:hAnsiTheme="minorHAnsi" w:cstheme="minorBidi"/>
            <w:iCs w:val="0"/>
            <w:noProof/>
            <w:sz w:val="22"/>
            <w:szCs w:val="22"/>
          </w:rPr>
          <w:tab/>
        </w:r>
        <w:r w:rsidRPr="00087766">
          <w:rPr>
            <w:rStyle w:val="af7"/>
            <w:noProof/>
            <w:highlight w:val="green"/>
          </w:rPr>
          <w:t>Назначение и маршрут документа</w:t>
        </w:r>
        <w:r>
          <w:rPr>
            <w:noProof/>
            <w:webHidden/>
          </w:rPr>
          <w:tab/>
        </w:r>
        <w:r>
          <w:rPr>
            <w:noProof/>
            <w:webHidden/>
          </w:rPr>
          <w:fldChar w:fldCharType="begin"/>
        </w:r>
        <w:r>
          <w:rPr>
            <w:noProof/>
            <w:webHidden/>
          </w:rPr>
          <w:instrText xml:space="preserve"> PAGEREF _Toc219309538 \h </w:instrText>
        </w:r>
        <w:r>
          <w:rPr>
            <w:noProof/>
            <w:webHidden/>
          </w:rPr>
        </w:r>
        <w:r>
          <w:rPr>
            <w:noProof/>
            <w:webHidden/>
          </w:rPr>
          <w:fldChar w:fldCharType="separate"/>
        </w:r>
        <w:r>
          <w:rPr>
            <w:noProof/>
            <w:webHidden/>
          </w:rPr>
          <w:t>148</w:t>
        </w:r>
        <w:r>
          <w:rPr>
            <w:noProof/>
            <w:webHidden/>
          </w:rPr>
          <w:fldChar w:fldCharType="end"/>
        </w:r>
      </w:hyperlink>
    </w:p>
    <w:p w14:paraId="257AAEBB"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39" w:history="1">
        <w:r w:rsidRPr="00087766">
          <w:rPr>
            <w:rStyle w:val="af7"/>
            <w:noProof/>
          </w:rPr>
          <w:t>6.4.2.</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«tMSC_SmApplCshFlwTx»</w:t>
        </w:r>
        <w:r>
          <w:rPr>
            <w:noProof/>
            <w:webHidden/>
          </w:rPr>
          <w:tab/>
        </w:r>
        <w:r>
          <w:rPr>
            <w:noProof/>
            <w:webHidden/>
          </w:rPr>
          <w:fldChar w:fldCharType="begin"/>
        </w:r>
        <w:r>
          <w:rPr>
            <w:noProof/>
            <w:webHidden/>
          </w:rPr>
          <w:instrText xml:space="preserve"> PAGEREF _Toc219309539 \h </w:instrText>
        </w:r>
        <w:r>
          <w:rPr>
            <w:noProof/>
            <w:webHidden/>
          </w:rPr>
        </w:r>
        <w:r>
          <w:rPr>
            <w:noProof/>
            <w:webHidden/>
          </w:rPr>
          <w:fldChar w:fldCharType="separate"/>
        </w:r>
        <w:r>
          <w:rPr>
            <w:noProof/>
            <w:webHidden/>
          </w:rPr>
          <w:t>148</w:t>
        </w:r>
        <w:r>
          <w:rPr>
            <w:noProof/>
            <w:webHidden/>
          </w:rPr>
          <w:fldChar w:fldCharType="end"/>
        </w:r>
      </w:hyperlink>
    </w:p>
    <w:p w14:paraId="6E8E0ECD"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40" w:history="1">
        <w:r w:rsidRPr="00087766">
          <w:rPr>
            <w:rStyle w:val="af7"/>
            <w:noProof/>
          </w:rPr>
          <w:t>6.4.3.</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«tMSC_GRBS»</w:t>
        </w:r>
        <w:r>
          <w:rPr>
            <w:noProof/>
            <w:webHidden/>
          </w:rPr>
          <w:tab/>
        </w:r>
        <w:r>
          <w:rPr>
            <w:noProof/>
            <w:webHidden/>
          </w:rPr>
          <w:fldChar w:fldCharType="begin"/>
        </w:r>
        <w:r>
          <w:rPr>
            <w:noProof/>
            <w:webHidden/>
          </w:rPr>
          <w:instrText xml:space="preserve"> PAGEREF _Toc219309540 \h </w:instrText>
        </w:r>
        <w:r>
          <w:rPr>
            <w:noProof/>
            <w:webHidden/>
          </w:rPr>
        </w:r>
        <w:r>
          <w:rPr>
            <w:noProof/>
            <w:webHidden/>
          </w:rPr>
          <w:fldChar w:fldCharType="separate"/>
        </w:r>
        <w:r>
          <w:rPr>
            <w:noProof/>
            <w:webHidden/>
          </w:rPr>
          <w:t>152</w:t>
        </w:r>
        <w:r>
          <w:rPr>
            <w:noProof/>
            <w:webHidden/>
          </w:rPr>
          <w:fldChar w:fldCharType="end"/>
        </w:r>
      </w:hyperlink>
    </w:p>
    <w:p w14:paraId="5ADACAA1"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41" w:history="1">
        <w:r w:rsidRPr="00087766">
          <w:rPr>
            <w:rStyle w:val="af7"/>
            <w:noProof/>
          </w:rPr>
          <w:t>6.4.4.</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«tMSC_Orgnztn»</w:t>
        </w:r>
        <w:r>
          <w:rPr>
            <w:noProof/>
            <w:webHidden/>
          </w:rPr>
          <w:tab/>
        </w:r>
        <w:r>
          <w:rPr>
            <w:noProof/>
            <w:webHidden/>
          </w:rPr>
          <w:fldChar w:fldCharType="begin"/>
        </w:r>
        <w:r>
          <w:rPr>
            <w:noProof/>
            <w:webHidden/>
          </w:rPr>
          <w:instrText xml:space="preserve"> PAGEREF _Toc219309541 \h </w:instrText>
        </w:r>
        <w:r>
          <w:rPr>
            <w:noProof/>
            <w:webHidden/>
          </w:rPr>
        </w:r>
        <w:r>
          <w:rPr>
            <w:noProof/>
            <w:webHidden/>
          </w:rPr>
          <w:fldChar w:fldCharType="separate"/>
        </w:r>
        <w:r>
          <w:rPr>
            <w:noProof/>
            <w:webHidden/>
          </w:rPr>
          <w:t>152</w:t>
        </w:r>
        <w:r>
          <w:rPr>
            <w:noProof/>
            <w:webHidden/>
          </w:rPr>
          <w:fldChar w:fldCharType="end"/>
        </w:r>
      </w:hyperlink>
    </w:p>
    <w:p w14:paraId="169C5B95"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42" w:history="1">
        <w:r w:rsidRPr="00087766">
          <w:rPr>
            <w:rStyle w:val="af7"/>
            <w:noProof/>
          </w:rPr>
          <w:t>6.4.5.</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«tMSC_Pmnt»</w:t>
        </w:r>
        <w:r>
          <w:rPr>
            <w:noProof/>
            <w:webHidden/>
          </w:rPr>
          <w:tab/>
        </w:r>
        <w:r>
          <w:rPr>
            <w:noProof/>
            <w:webHidden/>
          </w:rPr>
          <w:fldChar w:fldCharType="begin"/>
        </w:r>
        <w:r>
          <w:rPr>
            <w:noProof/>
            <w:webHidden/>
          </w:rPr>
          <w:instrText xml:space="preserve"> PAGEREF _Toc219309542 \h </w:instrText>
        </w:r>
        <w:r>
          <w:rPr>
            <w:noProof/>
            <w:webHidden/>
          </w:rPr>
        </w:r>
        <w:r>
          <w:rPr>
            <w:noProof/>
            <w:webHidden/>
          </w:rPr>
          <w:fldChar w:fldCharType="separate"/>
        </w:r>
        <w:r>
          <w:rPr>
            <w:noProof/>
            <w:webHidden/>
          </w:rPr>
          <w:t>153</w:t>
        </w:r>
        <w:r>
          <w:rPr>
            <w:noProof/>
            <w:webHidden/>
          </w:rPr>
          <w:fldChar w:fldCharType="end"/>
        </w:r>
      </w:hyperlink>
    </w:p>
    <w:p w14:paraId="0772157C"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43" w:history="1">
        <w:r w:rsidRPr="00087766">
          <w:rPr>
            <w:rStyle w:val="af7"/>
            <w:noProof/>
          </w:rPr>
          <w:t>6.4.6.</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«tMSC_ShrtPyKndComplex»</w:t>
        </w:r>
        <w:r>
          <w:rPr>
            <w:noProof/>
            <w:webHidden/>
          </w:rPr>
          <w:tab/>
        </w:r>
        <w:r>
          <w:rPr>
            <w:noProof/>
            <w:webHidden/>
          </w:rPr>
          <w:fldChar w:fldCharType="begin"/>
        </w:r>
        <w:r>
          <w:rPr>
            <w:noProof/>
            <w:webHidden/>
          </w:rPr>
          <w:instrText xml:space="preserve"> PAGEREF _Toc219309543 \h </w:instrText>
        </w:r>
        <w:r>
          <w:rPr>
            <w:noProof/>
            <w:webHidden/>
          </w:rPr>
        </w:r>
        <w:r>
          <w:rPr>
            <w:noProof/>
            <w:webHidden/>
          </w:rPr>
          <w:fldChar w:fldCharType="separate"/>
        </w:r>
        <w:r>
          <w:rPr>
            <w:noProof/>
            <w:webHidden/>
          </w:rPr>
          <w:t>153</w:t>
        </w:r>
        <w:r>
          <w:rPr>
            <w:noProof/>
            <w:webHidden/>
          </w:rPr>
          <w:fldChar w:fldCharType="end"/>
        </w:r>
      </w:hyperlink>
    </w:p>
    <w:p w14:paraId="3EAEEBEC"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44" w:history="1">
        <w:r w:rsidRPr="00087766">
          <w:rPr>
            <w:rStyle w:val="af7"/>
            <w:noProof/>
          </w:rPr>
          <w:t>6.4.7.</w:t>
        </w:r>
        <w:r>
          <w:rPr>
            <w:rFonts w:asciiTheme="minorHAnsi" w:eastAsiaTheme="minorEastAsia" w:hAnsiTheme="minorHAnsi" w:cstheme="minorBidi"/>
            <w:iCs w:val="0"/>
            <w:noProof/>
            <w:sz w:val="22"/>
            <w:szCs w:val="22"/>
          </w:rPr>
          <w:tab/>
        </w:r>
        <w:r w:rsidRPr="00087766">
          <w:rPr>
            <w:rStyle w:val="af7"/>
            <w:noProof/>
          </w:rPr>
          <w:t>Описание комплексного типа «tZK2»</w:t>
        </w:r>
        <w:r>
          <w:rPr>
            <w:noProof/>
            <w:webHidden/>
          </w:rPr>
          <w:tab/>
        </w:r>
        <w:r>
          <w:rPr>
            <w:noProof/>
            <w:webHidden/>
          </w:rPr>
          <w:fldChar w:fldCharType="begin"/>
        </w:r>
        <w:r>
          <w:rPr>
            <w:noProof/>
            <w:webHidden/>
          </w:rPr>
          <w:instrText xml:space="preserve"> PAGEREF _Toc219309544 \h </w:instrText>
        </w:r>
        <w:r>
          <w:rPr>
            <w:noProof/>
            <w:webHidden/>
          </w:rPr>
        </w:r>
        <w:r>
          <w:rPr>
            <w:noProof/>
            <w:webHidden/>
          </w:rPr>
          <w:fldChar w:fldCharType="separate"/>
        </w:r>
        <w:r>
          <w:rPr>
            <w:noProof/>
            <w:webHidden/>
          </w:rPr>
          <w:t>154</w:t>
        </w:r>
        <w:r>
          <w:rPr>
            <w:noProof/>
            <w:webHidden/>
          </w:rPr>
          <w:fldChar w:fldCharType="end"/>
        </w:r>
      </w:hyperlink>
    </w:p>
    <w:p w14:paraId="579D8736"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45" w:history="1">
        <w:r w:rsidRPr="00087766">
          <w:rPr>
            <w:rStyle w:val="af7"/>
            <w:noProof/>
          </w:rPr>
          <w:t>6.4.8.</w:t>
        </w:r>
        <w:r>
          <w:rPr>
            <w:rFonts w:asciiTheme="minorHAnsi" w:eastAsiaTheme="minorEastAsia" w:hAnsiTheme="minorHAnsi" w:cstheme="minorBidi"/>
            <w:iCs w:val="0"/>
            <w:noProof/>
            <w:sz w:val="22"/>
            <w:szCs w:val="22"/>
          </w:rPr>
          <w:tab/>
        </w:r>
        <w:r w:rsidRPr="00087766">
          <w:rPr>
            <w:rStyle w:val="af7"/>
            <w:noProof/>
          </w:rPr>
          <w:t>Описание комплексного типа «tZK2_ITEM»</w:t>
        </w:r>
        <w:r>
          <w:rPr>
            <w:noProof/>
            <w:webHidden/>
          </w:rPr>
          <w:tab/>
        </w:r>
        <w:r>
          <w:rPr>
            <w:noProof/>
            <w:webHidden/>
          </w:rPr>
          <w:fldChar w:fldCharType="begin"/>
        </w:r>
        <w:r>
          <w:rPr>
            <w:noProof/>
            <w:webHidden/>
          </w:rPr>
          <w:instrText xml:space="preserve"> PAGEREF _Toc219309545 \h </w:instrText>
        </w:r>
        <w:r>
          <w:rPr>
            <w:noProof/>
            <w:webHidden/>
          </w:rPr>
        </w:r>
        <w:r>
          <w:rPr>
            <w:noProof/>
            <w:webHidden/>
          </w:rPr>
          <w:fldChar w:fldCharType="separate"/>
        </w:r>
        <w:r>
          <w:rPr>
            <w:noProof/>
            <w:webHidden/>
          </w:rPr>
          <w:t>154</w:t>
        </w:r>
        <w:r>
          <w:rPr>
            <w:noProof/>
            <w:webHidden/>
          </w:rPr>
          <w:fldChar w:fldCharType="end"/>
        </w:r>
      </w:hyperlink>
    </w:p>
    <w:p w14:paraId="51591196"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46" w:history="1">
        <w:r w:rsidRPr="00087766">
          <w:rPr>
            <w:rStyle w:val="af7"/>
            <w:noProof/>
          </w:rPr>
          <w:t>6.4.9.</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«tMSC_IncmAdmn1»</w:t>
        </w:r>
        <w:r>
          <w:rPr>
            <w:noProof/>
            <w:webHidden/>
          </w:rPr>
          <w:tab/>
        </w:r>
        <w:r>
          <w:rPr>
            <w:noProof/>
            <w:webHidden/>
          </w:rPr>
          <w:fldChar w:fldCharType="begin"/>
        </w:r>
        <w:r>
          <w:rPr>
            <w:noProof/>
            <w:webHidden/>
          </w:rPr>
          <w:instrText xml:space="preserve"> PAGEREF _Toc219309546 \h </w:instrText>
        </w:r>
        <w:r>
          <w:rPr>
            <w:noProof/>
            <w:webHidden/>
          </w:rPr>
        </w:r>
        <w:r>
          <w:rPr>
            <w:noProof/>
            <w:webHidden/>
          </w:rPr>
          <w:fldChar w:fldCharType="separate"/>
        </w:r>
        <w:r>
          <w:rPr>
            <w:noProof/>
            <w:webHidden/>
          </w:rPr>
          <w:t>158</w:t>
        </w:r>
        <w:r>
          <w:rPr>
            <w:noProof/>
            <w:webHidden/>
          </w:rPr>
          <w:fldChar w:fldCharType="end"/>
        </w:r>
      </w:hyperlink>
    </w:p>
    <w:p w14:paraId="610481B4"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47" w:history="1">
        <w:r w:rsidRPr="00087766">
          <w:rPr>
            <w:rStyle w:val="af7"/>
            <w:noProof/>
          </w:rPr>
          <w:t>6.4.10.</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«tMSC_Bnk1»</w:t>
        </w:r>
        <w:r>
          <w:rPr>
            <w:noProof/>
            <w:webHidden/>
          </w:rPr>
          <w:tab/>
        </w:r>
        <w:r>
          <w:rPr>
            <w:noProof/>
            <w:webHidden/>
          </w:rPr>
          <w:fldChar w:fldCharType="begin"/>
        </w:r>
        <w:r>
          <w:rPr>
            <w:noProof/>
            <w:webHidden/>
          </w:rPr>
          <w:instrText xml:space="preserve"> PAGEREF _Toc219309547 \h </w:instrText>
        </w:r>
        <w:r>
          <w:rPr>
            <w:noProof/>
            <w:webHidden/>
          </w:rPr>
        </w:r>
        <w:r>
          <w:rPr>
            <w:noProof/>
            <w:webHidden/>
          </w:rPr>
          <w:fldChar w:fldCharType="separate"/>
        </w:r>
        <w:r>
          <w:rPr>
            <w:noProof/>
            <w:webHidden/>
          </w:rPr>
          <w:t>160</w:t>
        </w:r>
        <w:r>
          <w:rPr>
            <w:noProof/>
            <w:webHidden/>
          </w:rPr>
          <w:fldChar w:fldCharType="end"/>
        </w:r>
      </w:hyperlink>
    </w:p>
    <w:p w14:paraId="04F0CAE8"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48" w:history="1">
        <w:r w:rsidRPr="00087766">
          <w:rPr>
            <w:rStyle w:val="af7"/>
            <w:noProof/>
          </w:rPr>
          <w:t>6.4.11.</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«tMSC_DcBs4»</w:t>
        </w:r>
        <w:r>
          <w:rPr>
            <w:noProof/>
            <w:webHidden/>
          </w:rPr>
          <w:tab/>
        </w:r>
        <w:r>
          <w:rPr>
            <w:noProof/>
            <w:webHidden/>
          </w:rPr>
          <w:fldChar w:fldCharType="begin"/>
        </w:r>
        <w:r>
          <w:rPr>
            <w:noProof/>
            <w:webHidden/>
          </w:rPr>
          <w:instrText xml:space="preserve"> PAGEREF _Toc219309548 \h </w:instrText>
        </w:r>
        <w:r>
          <w:rPr>
            <w:noProof/>
            <w:webHidden/>
          </w:rPr>
        </w:r>
        <w:r>
          <w:rPr>
            <w:noProof/>
            <w:webHidden/>
          </w:rPr>
          <w:fldChar w:fldCharType="separate"/>
        </w:r>
        <w:r>
          <w:rPr>
            <w:noProof/>
            <w:webHidden/>
          </w:rPr>
          <w:t>161</w:t>
        </w:r>
        <w:r>
          <w:rPr>
            <w:noProof/>
            <w:webHidden/>
          </w:rPr>
          <w:fldChar w:fldCharType="end"/>
        </w:r>
      </w:hyperlink>
    </w:p>
    <w:p w14:paraId="24A4EB11"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49" w:history="1">
        <w:r w:rsidRPr="00087766">
          <w:rPr>
            <w:rStyle w:val="af7"/>
            <w:noProof/>
          </w:rPr>
          <w:t>6.4.12.</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«tMSC_Pmnt2»</w:t>
        </w:r>
        <w:r>
          <w:rPr>
            <w:noProof/>
            <w:webHidden/>
          </w:rPr>
          <w:tab/>
        </w:r>
        <w:r>
          <w:rPr>
            <w:noProof/>
            <w:webHidden/>
          </w:rPr>
          <w:fldChar w:fldCharType="begin"/>
        </w:r>
        <w:r>
          <w:rPr>
            <w:noProof/>
            <w:webHidden/>
          </w:rPr>
          <w:instrText xml:space="preserve"> PAGEREF _Toc219309549 \h </w:instrText>
        </w:r>
        <w:r>
          <w:rPr>
            <w:noProof/>
            <w:webHidden/>
          </w:rPr>
        </w:r>
        <w:r>
          <w:rPr>
            <w:noProof/>
            <w:webHidden/>
          </w:rPr>
          <w:fldChar w:fldCharType="separate"/>
        </w:r>
        <w:r>
          <w:rPr>
            <w:noProof/>
            <w:webHidden/>
          </w:rPr>
          <w:t>162</w:t>
        </w:r>
        <w:r>
          <w:rPr>
            <w:noProof/>
            <w:webHidden/>
          </w:rPr>
          <w:fldChar w:fldCharType="end"/>
        </w:r>
      </w:hyperlink>
    </w:p>
    <w:p w14:paraId="65DABB46"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50" w:history="1">
        <w:r w:rsidRPr="00087766">
          <w:rPr>
            <w:rStyle w:val="af7"/>
            <w:noProof/>
          </w:rPr>
          <w:t>6.4.13.</w:t>
        </w:r>
        <w:r>
          <w:rPr>
            <w:rFonts w:asciiTheme="minorHAnsi" w:eastAsiaTheme="minorEastAsia" w:hAnsiTheme="minorHAnsi" w:cstheme="minorBidi"/>
            <w:iCs w:val="0"/>
            <w:noProof/>
            <w:sz w:val="22"/>
            <w:szCs w:val="22"/>
          </w:rPr>
          <w:tab/>
        </w:r>
        <w:r w:rsidRPr="00087766">
          <w:rPr>
            <w:rStyle w:val="af7"/>
            <w:noProof/>
          </w:rPr>
          <w:t>Описание комплексного типа «tSGNNmPs1»</w:t>
        </w:r>
        <w:r>
          <w:rPr>
            <w:noProof/>
            <w:webHidden/>
          </w:rPr>
          <w:tab/>
        </w:r>
        <w:r>
          <w:rPr>
            <w:noProof/>
            <w:webHidden/>
          </w:rPr>
          <w:fldChar w:fldCharType="begin"/>
        </w:r>
        <w:r>
          <w:rPr>
            <w:noProof/>
            <w:webHidden/>
          </w:rPr>
          <w:instrText xml:space="preserve"> PAGEREF _Toc219309550 \h </w:instrText>
        </w:r>
        <w:r>
          <w:rPr>
            <w:noProof/>
            <w:webHidden/>
          </w:rPr>
        </w:r>
        <w:r>
          <w:rPr>
            <w:noProof/>
            <w:webHidden/>
          </w:rPr>
          <w:fldChar w:fldCharType="separate"/>
        </w:r>
        <w:r>
          <w:rPr>
            <w:noProof/>
            <w:webHidden/>
          </w:rPr>
          <w:t>162</w:t>
        </w:r>
        <w:r>
          <w:rPr>
            <w:noProof/>
            <w:webHidden/>
          </w:rPr>
          <w:fldChar w:fldCharType="end"/>
        </w:r>
      </w:hyperlink>
    </w:p>
    <w:p w14:paraId="134F4CF1"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51" w:history="1">
        <w:r w:rsidRPr="00087766">
          <w:rPr>
            <w:rStyle w:val="af7"/>
            <w:noProof/>
          </w:rPr>
          <w:t>6.4.14.</w:t>
        </w:r>
        <w:r>
          <w:rPr>
            <w:rFonts w:asciiTheme="minorHAnsi" w:eastAsiaTheme="minorEastAsia" w:hAnsiTheme="minorHAnsi" w:cstheme="minorBidi"/>
            <w:iCs w:val="0"/>
            <w:noProof/>
            <w:sz w:val="22"/>
            <w:szCs w:val="22"/>
          </w:rPr>
          <w:tab/>
        </w:r>
        <w:r w:rsidRPr="00087766">
          <w:rPr>
            <w:rStyle w:val="af7"/>
            <w:noProof/>
          </w:rPr>
          <w:t>Пример XML</w:t>
        </w:r>
        <w:r>
          <w:rPr>
            <w:noProof/>
            <w:webHidden/>
          </w:rPr>
          <w:tab/>
        </w:r>
        <w:r>
          <w:rPr>
            <w:noProof/>
            <w:webHidden/>
          </w:rPr>
          <w:fldChar w:fldCharType="begin"/>
        </w:r>
        <w:r>
          <w:rPr>
            <w:noProof/>
            <w:webHidden/>
          </w:rPr>
          <w:instrText xml:space="preserve"> PAGEREF _Toc219309551 \h </w:instrText>
        </w:r>
        <w:r>
          <w:rPr>
            <w:noProof/>
            <w:webHidden/>
          </w:rPr>
        </w:r>
        <w:r>
          <w:rPr>
            <w:noProof/>
            <w:webHidden/>
          </w:rPr>
          <w:fldChar w:fldCharType="separate"/>
        </w:r>
        <w:r>
          <w:rPr>
            <w:noProof/>
            <w:webHidden/>
          </w:rPr>
          <w:t>163</w:t>
        </w:r>
        <w:r>
          <w:rPr>
            <w:noProof/>
            <w:webHidden/>
          </w:rPr>
          <w:fldChar w:fldCharType="end"/>
        </w:r>
      </w:hyperlink>
    </w:p>
    <w:p w14:paraId="64476B3A" w14:textId="77777777" w:rsidR="008D797C" w:rsidRDefault="008D797C">
      <w:pPr>
        <w:pStyle w:val="2a"/>
        <w:tabs>
          <w:tab w:val="left" w:pos="960"/>
          <w:tab w:val="right" w:leader="dot" w:pos="9628"/>
        </w:tabs>
        <w:rPr>
          <w:rFonts w:asciiTheme="minorHAnsi" w:eastAsiaTheme="minorEastAsia" w:hAnsiTheme="minorHAnsi" w:cstheme="minorBidi"/>
          <w:noProof/>
          <w:sz w:val="22"/>
          <w:szCs w:val="22"/>
        </w:rPr>
      </w:pPr>
      <w:hyperlink w:anchor="_Toc219309552" w:history="1">
        <w:r w:rsidRPr="00087766">
          <w:rPr>
            <w:rStyle w:val="af7"/>
            <w:noProof/>
            <w:highlight w:val="green"/>
          </w:rPr>
          <w:t>6.5.</w:t>
        </w:r>
        <w:r>
          <w:rPr>
            <w:rFonts w:asciiTheme="minorHAnsi" w:eastAsiaTheme="minorEastAsia" w:hAnsiTheme="minorHAnsi" w:cstheme="minorBidi"/>
            <w:noProof/>
            <w:sz w:val="22"/>
            <w:szCs w:val="22"/>
          </w:rPr>
          <w:tab/>
        </w:r>
        <w:r w:rsidRPr="00087766">
          <w:rPr>
            <w:rStyle w:val="af7"/>
            <w:noProof/>
            <w:highlight w:val="green"/>
          </w:rPr>
          <w:t>Описание документа «Запрос на отзыв распоряжения (запрос на аннулирование)»</w:t>
        </w:r>
        <w:r>
          <w:rPr>
            <w:noProof/>
            <w:webHidden/>
          </w:rPr>
          <w:tab/>
        </w:r>
        <w:r>
          <w:rPr>
            <w:noProof/>
            <w:webHidden/>
          </w:rPr>
          <w:fldChar w:fldCharType="begin"/>
        </w:r>
        <w:r>
          <w:rPr>
            <w:noProof/>
            <w:webHidden/>
          </w:rPr>
          <w:instrText xml:space="preserve"> PAGEREF _Toc219309552 \h </w:instrText>
        </w:r>
        <w:r>
          <w:rPr>
            <w:noProof/>
            <w:webHidden/>
          </w:rPr>
        </w:r>
        <w:r>
          <w:rPr>
            <w:noProof/>
            <w:webHidden/>
          </w:rPr>
          <w:fldChar w:fldCharType="separate"/>
        </w:r>
        <w:r>
          <w:rPr>
            <w:noProof/>
            <w:webHidden/>
          </w:rPr>
          <w:t>168</w:t>
        </w:r>
        <w:r>
          <w:rPr>
            <w:noProof/>
            <w:webHidden/>
          </w:rPr>
          <w:fldChar w:fldCharType="end"/>
        </w:r>
      </w:hyperlink>
    </w:p>
    <w:p w14:paraId="22E97A52"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53" w:history="1">
        <w:r w:rsidRPr="00087766">
          <w:rPr>
            <w:rStyle w:val="af7"/>
            <w:noProof/>
            <w:highlight w:val="green"/>
          </w:rPr>
          <w:t>6.5.1.</w:t>
        </w:r>
        <w:r>
          <w:rPr>
            <w:rFonts w:asciiTheme="minorHAnsi" w:eastAsiaTheme="minorEastAsia" w:hAnsiTheme="minorHAnsi" w:cstheme="minorBidi"/>
            <w:iCs w:val="0"/>
            <w:noProof/>
            <w:sz w:val="22"/>
            <w:szCs w:val="22"/>
          </w:rPr>
          <w:tab/>
        </w:r>
        <w:r w:rsidRPr="00087766">
          <w:rPr>
            <w:rStyle w:val="af7"/>
            <w:noProof/>
            <w:highlight w:val="green"/>
          </w:rPr>
          <w:t>Назначение и маршрут документа</w:t>
        </w:r>
        <w:r>
          <w:rPr>
            <w:noProof/>
            <w:webHidden/>
          </w:rPr>
          <w:tab/>
        </w:r>
        <w:r>
          <w:rPr>
            <w:noProof/>
            <w:webHidden/>
          </w:rPr>
          <w:fldChar w:fldCharType="begin"/>
        </w:r>
        <w:r>
          <w:rPr>
            <w:noProof/>
            <w:webHidden/>
          </w:rPr>
          <w:instrText xml:space="preserve"> PAGEREF _Toc219309553 \h </w:instrText>
        </w:r>
        <w:r>
          <w:rPr>
            <w:noProof/>
            <w:webHidden/>
          </w:rPr>
        </w:r>
        <w:r>
          <w:rPr>
            <w:noProof/>
            <w:webHidden/>
          </w:rPr>
          <w:fldChar w:fldCharType="separate"/>
        </w:r>
        <w:r>
          <w:rPr>
            <w:noProof/>
            <w:webHidden/>
          </w:rPr>
          <w:t>168</w:t>
        </w:r>
        <w:r>
          <w:rPr>
            <w:noProof/>
            <w:webHidden/>
          </w:rPr>
          <w:fldChar w:fldCharType="end"/>
        </w:r>
      </w:hyperlink>
    </w:p>
    <w:p w14:paraId="720664FE"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54" w:history="1">
        <w:r w:rsidRPr="00087766">
          <w:rPr>
            <w:rStyle w:val="af7"/>
            <w:noProof/>
            <w:highlight w:val="green"/>
          </w:rPr>
          <w:t>6.5.2.</w:t>
        </w:r>
        <w:r>
          <w:rPr>
            <w:rFonts w:asciiTheme="minorHAnsi" w:eastAsiaTheme="minorEastAsia" w:hAnsiTheme="minorHAnsi" w:cstheme="minorBidi"/>
            <w:iCs w:val="0"/>
            <w:noProof/>
            <w:sz w:val="22"/>
            <w:szCs w:val="22"/>
          </w:rPr>
          <w:tab/>
        </w:r>
        <w:r w:rsidRPr="00087766">
          <w:rPr>
            <w:rStyle w:val="af7"/>
            <w:noProof/>
            <w:highlight w:val="green"/>
          </w:rPr>
          <w:t>Описание комплексного типа «tMSC_CANCDOC_REQ»</w:t>
        </w:r>
        <w:r>
          <w:rPr>
            <w:noProof/>
            <w:webHidden/>
          </w:rPr>
          <w:tab/>
        </w:r>
        <w:r>
          <w:rPr>
            <w:noProof/>
            <w:webHidden/>
          </w:rPr>
          <w:fldChar w:fldCharType="begin"/>
        </w:r>
        <w:r>
          <w:rPr>
            <w:noProof/>
            <w:webHidden/>
          </w:rPr>
          <w:instrText xml:space="preserve"> PAGEREF _Toc219309554 \h </w:instrText>
        </w:r>
        <w:r>
          <w:rPr>
            <w:noProof/>
            <w:webHidden/>
          </w:rPr>
        </w:r>
        <w:r>
          <w:rPr>
            <w:noProof/>
            <w:webHidden/>
          </w:rPr>
          <w:fldChar w:fldCharType="separate"/>
        </w:r>
        <w:r>
          <w:rPr>
            <w:noProof/>
            <w:webHidden/>
          </w:rPr>
          <w:t>169</w:t>
        </w:r>
        <w:r>
          <w:rPr>
            <w:noProof/>
            <w:webHidden/>
          </w:rPr>
          <w:fldChar w:fldCharType="end"/>
        </w:r>
      </w:hyperlink>
    </w:p>
    <w:p w14:paraId="7A5D4FDE"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55" w:history="1">
        <w:r w:rsidRPr="00087766">
          <w:rPr>
            <w:rStyle w:val="af7"/>
            <w:noProof/>
          </w:rPr>
          <w:t>6.5.3.</w:t>
        </w:r>
        <w:r>
          <w:rPr>
            <w:rFonts w:asciiTheme="minorHAnsi" w:eastAsiaTheme="minorEastAsia" w:hAnsiTheme="minorHAnsi" w:cstheme="minorBidi"/>
            <w:iCs w:val="0"/>
            <w:noProof/>
            <w:sz w:val="22"/>
            <w:szCs w:val="22"/>
          </w:rPr>
          <w:tab/>
        </w:r>
        <w:r w:rsidRPr="00087766">
          <w:rPr>
            <w:rStyle w:val="af7"/>
            <w:noProof/>
            <w:highlight w:val="green"/>
          </w:rPr>
          <w:t>Описание комплексного типа «tMSC_PBS_UBP</w:t>
        </w:r>
        <w:r w:rsidRPr="00087766">
          <w:rPr>
            <w:rStyle w:val="af7"/>
            <w:noProof/>
          </w:rPr>
          <w:t>»</w:t>
        </w:r>
        <w:r>
          <w:rPr>
            <w:noProof/>
            <w:webHidden/>
          </w:rPr>
          <w:tab/>
        </w:r>
        <w:r>
          <w:rPr>
            <w:noProof/>
            <w:webHidden/>
          </w:rPr>
          <w:fldChar w:fldCharType="begin"/>
        </w:r>
        <w:r>
          <w:rPr>
            <w:noProof/>
            <w:webHidden/>
          </w:rPr>
          <w:instrText xml:space="preserve"> PAGEREF _Toc219309555 \h </w:instrText>
        </w:r>
        <w:r>
          <w:rPr>
            <w:noProof/>
            <w:webHidden/>
          </w:rPr>
        </w:r>
        <w:r>
          <w:rPr>
            <w:noProof/>
            <w:webHidden/>
          </w:rPr>
          <w:fldChar w:fldCharType="separate"/>
        </w:r>
        <w:r>
          <w:rPr>
            <w:noProof/>
            <w:webHidden/>
          </w:rPr>
          <w:t>172</w:t>
        </w:r>
        <w:r>
          <w:rPr>
            <w:noProof/>
            <w:webHidden/>
          </w:rPr>
          <w:fldChar w:fldCharType="end"/>
        </w:r>
      </w:hyperlink>
    </w:p>
    <w:p w14:paraId="68CDF18E"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56" w:history="1">
        <w:r w:rsidRPr="00087766">
          <w:rPr>
            <w:rStyle w:val="af7"/>
            <w:noProof/>
          </w:rPr>
          <w:t>6.5.4.</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«tMSC_TOFK»</w:t>
        </w:r>
        <w:r>
          <w:rPr>
            <w:noProof/>
            <w:webHidden/>
          </w:rPr>
          <w:tab/>
        </w:r>
        <w:r>
          <w:rPr>
            <w:noProof/>
            <w:webHidden/>
          </w:rPr>
          <w:fldChar w:fldCharType="begin"/>
        </w:r>
        <w:r>
          <w:rPr>
            <w:noProof/>
            <w:webHidden/>
          </w:rPr>
          <w:instrText xml:space="preserve"> PAGEREF _Toc219309556 \h </w:instrText>
        </w:r>
        <w:r>
          <w:rPr>
            <w:noProof/>
            <w:webHidden/>
          </w:rPr>
        </w:r>
        <w:r>
          <w:rPr>
            <w:noProof/>
            <w:webHidden/>
          </w:rPr>
          <w:fldChar w:fldCharType="separate"/>
        </w:r>
        <w:r>
          <w:rPr>
            <w:noProof/>
            <w:webHidden/>
          </w:rPr>
          <w:t>173</w:t>
        </w:r>
        <w:r>
          <w:rPr>
            <w:noProof/>
            <w:webHidden/>
          </w:rPr>
          <w:fldChar w:fldCharType="end"/>
        </w:r>
      </w:hyperlink>
    </w:p>
    <w:p w14:paraId="3FB8C2CE"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57" w:history="1">
        <w:r w:rsidRPr="00087766">
          <w:rPr>
            <w:rStyle w:val="af7"/>
            <w:noProof/>
          </w:rPr>
          <w:t>6.5.5.</w:t>
        </w:r>
        <w:r>
          <w:rPr>
            <w:rFonts w:asciiTheme="minorHAnsi" w:eastAsiaTheme="minorEastAsia" w:hAnsiTheme="minorHAnsi" w:cstheme="minorBidi"/>
            <w:iCs w:val="0"/>
            <w:noProof/>
            <w:sz w:val="22"/>
            <w:szCs w:val="22"/>
          </w:rPr>
          <w:tab/>
        </w:r>
        <w:r w:rsidRPr="00087766">
          <w:rPr>
            <w:rStyle w:val="af7"/>
            <w:noProof/>
          </w:rPr>
          <w:t>Описание комплексного типа «tTF»</w:t>
        </w:r>
        <w:r>
          <w:rPr>
            <w:noProof/>
            <w:webHidden/>
          </w:rPr>
          <w:tab/>
        </w:r>
        <w:r>
          <w:rPr>
            <w:noProof/>
            <w:webHidden/>
          </w:rPr>
          <w:fldChar w:fldCharType="begin"/>
        </w:r>
        <w:r>
          <w:rPr>
            <w:noProof/>
            <w:webHidden/>
          </w:rPr>
          <w:instrText xml:space="preserve"> PAGEREF _Toc219309557 \h </w:instrText>
        </w:r>
        <w:r>
          <w:rPr>
            <w:noProof/>
            <w:webHidden/>
          </w:rPr>
        </w:r>
        <w:r>
          <w:rPr>
            <w:noProof/>
            <w:webHidden/>
          </w:rPr>
          <w:fldChar w:fldCharType="separate"/>
        </w:r>
        <w:r>
          <w:rPr>
            <w:noProof/>
            <w:webHidden/>
          </w:rPr>
          <w:t>173</w:t>
        </w:r>
        <w:r>
          <w:rPr>
            <w:noProof/>
            <w:webHidden/>
          </w:rPr>
          <w:fldChar w:fldCharType="end"/>
        </w:r>
      </w:hyperlink>
    </w:p>
    <w:p w14:paraId="2E163A18"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58" w:history="1">
        <w:r w:rsidRPr="00087766">
          <w:rPr>
            <w:rStyle w:val="af7"/>
            <w:noProof/>
            <w:highlight w:val="green"/>
          </w:rPr>
          <w:t>6.5.6.</w:t>
        </w:r>
        <w:r>
          <w:rPr>
            <w:rFonts w:asciiTheme="minorHAnsi" w:eastAsiaTheme="minorEastAsia" w:hAnsiTheme="minorHAnsi" w:cstheme="minorBidi"/>
            <w:iCs w:val="0"/>
            <w:noProof/>
            <w:sz w:val="22"/>
            <w:szCs w:val="22"/>
          </w:rPr>
          <w:tab/>
        </w:r>
        <w:r w:rsidRPr="00087766">
          <w:rPr>
            <w:rStyle w:val="af7"/>
            <w:noProof/>
            <w:highlight w:val="green"/>
          </w:rPr>
          <w:t>Описание комплексного типа «tDocTypeDBDComplex1»</w:t>
        </w:r>
        <w:r>
          <w:rPr>
            <w:noProof/>
            <w:webHidden/>
          </w:rPr>
          <w:tab/>
        </w:r>
        <w:r>
          <w:rPr>
            <w:noProof/>
            <w:webHidden/>
          </w:rPr>
          <w:fldChar w:fldCharType="begin"/>
        </w:r>
        <w:r>
          <w:rPr>
            <w:noProof/>
            <w:webHidden/>
          </w:rPr>
          <w:instrText xml:space="preserve"> PAGEREF _Toc219309558 \h </w:instrText>
        </w:r>
        <w:r>
          <w:rPr>
            <w:noProof/>
            <w:webHidden/>
          </w:rPr>
        </w:r>
        <w:r>
          <w:rPr>
            <w:noProof/>
            <w:webHidden/>
          </w:rPr>
          <w:fldChar w:fldCharType="separate"/>
        </w:r>
        <w:r>
          <w:rPr>
            <w:noProof/>
            <w:webHidden/>
          </w:rPr>
          <w:t>174</w:t>
        </w:r>
        <w:r>
          <w:rPr>
            <w:noProof/>
            <w:webHidden/>
          </w:rPr>
          <w:fldChar w:fldCharType="end"/>
        </w:r>
      </w:hyperlink>
    </w:p>
    <w:p w14:paraId="25BF7BB8"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59" w:history="1">
        <w:r w:rsidRPr="00087766">
          <w:rPr>
            <w:rStyle w:val="af7"/>
            <w:noProof/>
          </w:rPr>
          <w:t>6.5.7.</w:t>
        </w:r>
        <w:r>
          <w:rPr>
            <w:rFonts w:asciiTheme="minorHAnsi" w:eastAsiaTheme="minorEastAsia" w:hAnsiTheme="minorHAnsi" w:cstheme="minorBidi"/>
            <w:iCs w:val="0"/>
            <w:noProof/>
            <w:sz w:val="22"/>
            <w:szCs w:val="22"/>
          </w:rPr>
          <w:tab/>
        </w:r>
        <w:r w:rsidRPr="00087766">
          <w:rPr>
            <w:rStyle w:val="af7"/>
            <w:noProof/>
          </w:rPr>
          <w:t>Описание комплексного типа «tSGNNmPs»</w:t>
        </w:r>
        <w:r>
          <w:rPr>
            <w:noProof/>
            <w:webHidden/>
          </w:rPr>
          <w:tab/>
        </w:r>
        <w:r>
          <w:rPr>
            <w:noProof/>
            <w:webHidden/>
          </w:rPr>
          <w:fldChar w:fldCharType="begin"/>
        </w:r>
        <w:r>
          <w:rPr>
            <w:noProof/>
            <w:webHidden/>
          </w:rPr>
          <w:instrText xml:space="preserve"> PAGEREF _Toc219309559 \h </w:instrText>
        </w:r>
        <w:r>
          <w:rPr>
            <w:noProof/>
            <w:webHidden/>
          </w:rPr>
        </w:r>
        <w:r>
          <w:rPr>
            <w:noProof/>
            <w:webHidden/>
          </w:rPr>
          <w:fldChar w:fldCharType="separate"/>
        </w:r>
        <w:r>
          <w:rPr>
            <w:noProof/>
            <w:webHidden/>
          </w:rPr>
          <w:t>177</w:t>
        </w:r>
        <w:r>
          <w:rPr>
            <w:noProof/>
            <w:webHidden/>
          </w:rPr>
          <w:fldChar w:fldCharType="end"/>
        </w:r>
      </w:hyperlink>
    </w:p>
    <w:p w14:paraId="3DFA02E2"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60" w:history="1">
        <w:r w:rsidRPr="00087766">
          <w:rPr>
            <w:rStyle w:val="af7"/>
            <w:noProof/>
          </w:rPr>
          <w:t>6.5.8.</w:t>
        </w:r>
        <w:r>
          <w:rPr>
            <w:rFonts w:asciiTheme="minorHAnsi" w:eastAsiaTheme="minorEastAsia" w:hAnsiTheme="minorHAnsi" w:cstheme="minorBidi"/>
            <w:iCs w:val="0"/>
            <w:noProof/>
            <w:sz w:val="22"/>
            <w:szCs w:val="22"/>
          </w:rPr>
          <w:tab/>
        </w:r>
        <w:r w:rsidRPr="00087766">
          <w:rPr>
            <w:rStyle w:val="af7"/>
            <w:noProof/>
          </w:rPr>
          <w:t>Описание комплексного типа «tSGN»</w:t>
        </w:r>
        <w:r>
          <w:rPr>
            <w:noProof/>
            <w:webHidden/>
          </w:rPr>
          <w:tab/>
        </w:r>
        <w:r>
          <w:rPr>
            <w:noProof/>
            <w:webHidden/>
          </w:rPr>
          <w:fldChar w:fldCharType="begin"/>
        </w:r>
        <w:r>
          <w:rPr>
            <w:noProof/>
            <w:webHidden/>
          </w:rPr>
          <w:instrText xml:space="preserve"> PAGEREF _Toc219309560 \h </w:instrText>
        </w:r>
        <w:r>
          <w:rPr>
            <w:noProof/>
            <w:webHidden/>
          </w:rPr>
        </w:r>
        <w:r>
          <w:rPr>
            <w:noProof/>
            <w:webHidden/>
          </w:rPr>
          <w:fldChar w:fldCharType="separate"/>
        </w:r>
        <w:r>
          <w:rPr>
            <w:noProof/>
            <w:webHidden/>
          </w:rPr>
          <w:t>177</w:t>
        </w:r>
        <w:r>
          <w:rPr>
            <w:noProof/>
            <w:webHidden/>
          </w:rPr>
          <w:fldChar w:fldCharType="end"/>
        </w:r>
      </w:hyperlink>
    </w:p>
    <w:p w14:paraId="3B4D650E"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61" w:history="1">
        <w:r w:rsidRPr="00087766">
          <w:rPr>
            <w:rStyle w:val="af7"/>
            <w:noProof/>
          </w:rPr>
          <w:t>6.5.9.</w:t>
        </w:r>
        <w:r>
          <w:rPr>
            <w:rFonts w:asciiTheme="minorHAnsi" w:eastAsiaTheme="minorEastAsia" w:hAnsiTheme="minorHAnsi" w:cstheme="minorBidi"/>
            <w:iCs w:val="0"/>
            <w:noProof/>
            <w:sz w:val="22"/>
            <w:szCs w:val="22"/>
          </w:rPr>
          <w:tab/>
        </w:r>
        <w:r w:rsidRPr="00087766">
          <w:rPr>
            <w:rStyle w:val="af7"/>
            <w:noProof/>
          </w:rPr>
          <w:t>Пример XML</w:t>
        </w:r>
        <w:r>
          <w:rPr>
            <w:noProof/>
            <w:webHidden/>
          </w:rPr>
          <w:tab/>
        </w:r>
        <w:r>
          <w:rPr>
            <w:noProof/>
            <w:webHidden/>
          </w:rPr>
          <w:fldChar w:fldCharType="begin"/>
        </w:r>
        <w:r>
          <w:rPr>
            <w:noProof/>
            <w:webHidden/>
          </w:rPr>
          <w:instrText xml:space="preserve"> PAGEREF _Toc219309561 \h </w:instrText>
        </w:r>
        <w:r>
          <w:rPr>
            <w:noProof/>
            <w:webHidden/>
          </w:rPr>
        </w:r>
        <w:r>
          <w:rPr>
            <w:noProof/>
            <w:webHidden/>
          </w:rPr>
          <w:fldChar w:fldCharType="separate"/>
        </w:r>
        <w:r>
          <w:rPr>
            <w:noProof/>
            <w:webHidden/>
          </w:rPr>
          <w:t>177</w:t>
        </w:r>
        <w:r>
          <w:rPr>
            <w:noProof/>
            <w:webHidden/>
          </w:rPr>
          <w:fldChar w:fldCharType="end"/>
        </w:r>
      </w:hyperlink>
    </w:p>
    <w:p w14:paraId="232A9278"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62" w:history="1">
        <w:r w:rsidRPr="00087766">
          <w:rPr>
            <w:rStyle w:val="af7"/>
            <w:noProof/>
          </w:rPr>
          <w:t>6.5.10.</w:t>
        </w:r>
        <w:r>
          <w:rPr>
            <w:rFonts w:asciiTheme="minorHAnsi" w:eastAsiaTheme="minorEastAsia" w:hAnsiTheme="minorHAnsi" w:cstheme="minorBidi"/>
            <w:iCs w:val="0"/>
            <w:noProof/>
            <w:sz w:val="22"/>
            <w:szCs w:val="22"/>
          </w:rPr>
          <w:tab/>
        </w:r>
        <w:r w:rsidRPr="00087766">
          <w:rPr>
            <w:rStyle w:val="af7"/>
            <w:noProof/>
          </w:rPr>
          <w:t>Пример XML (ЕСМВ)</w:t>
        </w:r>
        <w:r>
          <w:rPr>
            <w:noProof/>
            <w:webHidden/>
          </w:rPr>
          <w:tab/>
        </w:r>
        <w:r>
          <w:rPr>
            <w:noProof/>
            <w:webHidden/>
          </w:rPr>
          <w:fldChar w:fldCharType="begin"/>
        </w:r>
        <w:r>
          <w:rPr>
            <w:noProof/>
            <w:webHidden/>
          </w:rPr>
          <w:instrText xml:space="preserve"> PAGEREF _Toc219309562 \h </w:instrText>
        </w:r>
        <w:r>
          <w:rPr>
            <w:noProof/>
            <w:webHidden/>
          </w:rPr>
        </w:r>
        <w:r>
          <w:rPr>
            <w:noProof/>
            <w:webHidden/>
          </w:rPr>
          <w:fldChar w:fldCharType="separate"/>
        </w:r>
        <w:r>
          <w:rPr>
            <w:noProof/>
            <w:webHidden/>
          </w:rPr>
          <w:t>178</w:t>
        </w:r>
        <w:r>
          <w:rPr>
            <w:noProof/>
            <w:webHidden/>
          </w:rPr>
          <w:fldChar w:fldCharType="end"/>
        </w:r>
      </w:hyperlink>
    </w:p>
    <w:p w14:paraId="3341CAE7" w14:textId="77777777" w:rsidR="008D797C" w:rsidRDefault="008D797C">
      <w:pPr>
        <w:pStyle w:val="2a"/>
        <w:tabs>
          <w:tab w:val="left" w:pos="960"/>
          <w:tab w:val="right" w:leader="dot" w:pos="9628"/>
        </w:tabs>
        <w:rPr>
          <w:rFonts w:asciiTheme="minorHAnsi" w:eastAsiaTheme="minorEastAsia" w:hAnsiTheme="minorHAnsi" w:cstheme="minorBidi"/>
          <w:noProof/>
          <w:sz w:val="22"/>
          <w:szCs w:val="22"/>
        </w:rPr>
      </w:pPr>
      <w:hyperlink w:anchor="_Toc219309563" w:history="1">
        <w:r w:rsidRPr="00087766">
          <w:rPr>
            <w:rStyle w:val="af7"/>
            <w:noProof/>
            <w:highlight w:val="green"/>
          </w:rPr>
          <w:t>6.6.</w:t>
        </w:r>
        <w:r>
          <w:rPr>
            <w:rFonts w:asciiTheme="minorHAnsi" w:eastAsiaTheme="minorEastAsia" w:hAnsiTheme="minorHAnsi" w:cstheme="minorBidi"/>
            <w:noProof/>
            <w:sz w:val="22"/>
            <w:szCs w:val="22"/>
          </w:rPr>
          <w:tab/>
        </w:r>
        <w:r w:rsidRPr="00087766">
          <w:rPr>
            <w:rStyle w:val="af7"/>
            <w:noProof/>
            <w:highlight w:val="green"/>
          </w:rPr>
          <w:t>Описание документа «Заявка на возврат» (ф. 0531803)</w:t>
        </w:r>
        <w:r>
          <w:rPr>
            <w:noProof/>
            <w:webHidden/>
          </w:rPr>
          <w:tab/>
        </w:r>
        <w:r>
          <w:rPr>
            <w:noProof/>
            <w:webHidden/>
          </w:rPr>
          <w:fldChar w:fldCharType="begin"/>
        </w:r>
        <w:r>
          <w:rPr>
            <w:noProof/>
            <w:webHidden/>
          </w:rPr>
          <w:instrText xml:space="preserve"> PAGEREF _Toc219309563 \h </w:instrText>
        </w:r>
        <w:r>
          <w:rPr>
            <w:noProof/>
            <w:webHidden/>
          </w:rPr>
        </w:r>
        <w:r>
          <w:rPr>
            <w:noProof/>
            <w:webHidden/>
          </w:rPr>
          <w:fldChar w:fldCharType="separate"/>
        </w:r>
        <w:r>
          <w:rPr>
            <w:noProof/>
            <w:webHidden/>
          </w:rPr>
          <w:t>183</w:t>
        </w:r>
        <w:r>
          <w:rPr>
            <w:noProof/>
            <w:webHidden/>
          </w:rPr>
          <w:fldChar w:fldCharType="end"/>
        </w:r>
      </w:hyperlink>
    </w:p>
    <w:p w14:paraId="7E11DA6E"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64" w:history="1">
        <w:r w:rsidRPr="00087766">
          <w:rPr>
            <w:rStyle w:val="af7"/>
            <w:noProof/>
            <w:highlight w:val="green"/>
          </w:rPr>
          <w:t>6.6.1.</w:t>
        </w:r>
        <w:r>
          <w:rPr>
            <w:rFonts w:asciiTheme="minorHAnsi" w:eastAsiaTheme="minorEastAsia" w:hAnsiTheme="minorHAnsi" w:cstheme="minorBidi"/>
            <w:iCs w:val="0"/>
            <w:noProof/>
            <w:sz w:val="22"/>
            <w:szCs w:val="22"/>
          </w:rPr>
          <w:tab/>
        </w:r>
        <w:r w:rsidRPr="00087766">
          <w:rPr>
            <w:rStyle w:val="af7"/>
            <w:noProof/>
            <w:highlight w:val="green"/>
          </w:rPr>
          <w:t>Назначение и маршрут документа</w:t>
        </w:r>
        <w:r>
          <w:rPr>
            <w:noProof/>
            <w:webHidden/>
          </w:rPr>
          <w:tab/>
        </w:r>
        <w:r>
          <w:rPr>
            <w:noProof/>
            <w:webHidden/>
          </w:rPr>
          <w:fldChar w:fldCharType="begin"/>
        </w:r>
        <w:r>
          <w:rPr>
            <w:noProof/>
            <w:webHidden/>
          </w:rPr>
          <w:instrText xml:space="preserve"> PAGEREF _Toc219309564 \h </w:instrText>
        </w:r>
        <w:r>
          <w:rPr>
            <w:noProof/>
            <w:webHidden/>
          </w:rPr>
        </w:r>
        <w:r>
          <w:rPr>
            <w:noProof/>
            <w:webHidden/>
          </w:rPr>
          <w:fldChar w:fldCharType="separate"/>
        </w:r>
        <w:r>
          <w:rPr>
            <w:noProof/>
            <w:webHidden/>
          </w:rPr>
          <w:t>183</w:t>
        </w:r>
        <w:r>
          <w:rPr>
            <w:noProof/>
            <w:webHidden/>
          </w:rPr>
          <w:fldChar w:fldCharType="end"/>
        </w:r>
      </w:hyperlink>
    </w:p>
    <w:p w14:paraId="0DF597FD"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65" w:history="1">
        <w:r w:rsidRPr="00087766">
          <w:rPr>
            <w:rStyle w:val="af7"/>
            <w:noProof/>
          </w:rPr>
          <w:t>6.6.2.</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«tMSC_ApplRfnd»</w:t>
        </w:r>
        <w:r>
          <w:rPr>
            <w:noProof/>
            <w:webHidden/>
          </w:rPr>
          <w:tab/>
        </w:r>
        <w:r>
          <w:rPr>
            <w:noProof/>
            <w:webHidden/>
          </w:rPr>
          <w:fldChar w:fldCharType="begin"/>
        </w:r>
        <w:r>
          <w:rPr>
            <w:noProof/>
            <w:webHidden/>
          </w:rPr>
          <w:instrText xml:space="preserve"> PAGEREF _Toc219309565 \h </w:instrText>
        </w:r>
        <w:r>
          <w:rPr>
            <w:noProof/>
            <w:webHidden/>
          </w:rPr>
        </w:r>
        <w:r>
          <w:rPr>
            <w:noProof/>
            <w:webHidden/>
          </w:rPr>
          <w:fldChar w:fldCharType="separate"/>
        </w:r>
        <w:r>
          <w:rPr>
            <w:noProof/>
            <w:webHidden/>
          </w:rPr>
          <w:t>183</w:t>
        </w:r>
        <w:r>
          <w:rPr>
            <w:noProof/>
            <w:webHidden/>
          </w:rPr>
          <w:fldChar w:fldCharType="end"/>
        </w:r>
      </w:hyperlink>
    </w:p>
    <w:p w14:paraId="21D4794A"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66" w:history="1">
        <w:r w:rsidRPr="00087766">
          <w:rPr>
            <w:rStyle w:val="af7"/>
            <w:noProof/>
          </w:rPr>
          <w:t>6.6.3.</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«tMSC_Cstmr6»</w:t>
        </w:r>
        <w:r>
          <w:rPr>
            <w:noProof/>
            <w:webHidden/>
          </w:rPr>
          <w:tab/>
        </w:r>
        <w:r>
          <w:rPr>
            <w:noProof/>
            <w:webHidden/>
          </w:rPr>
          <w:fldChar w:fldCharType="begin"/>
        </w:r>
        <w:r>
          <w:rPr>
            <w:noProof/>
            <w:webHidden/>
          </w:rPr>
          <w:instrText xml:space="preserve"> PAGEREF _Toc219309566 \h </w:instrText>
        </w:r>
        <w:r>
          <w:rPr>
            <w:noProof/>
            <w:webHidden/>
          </w:rPr>
        </w:r>
        <w:r>
          <w:rPr>
            <w:noProof/>
            <w:webHidden/>
          </w:rPr>
          <w:fldChar w:fldCharType="separate"/>
        </w:r>
        <w:r>
          <w:rPr>
            <w:noProof/>
            <w:webHidden/>
          </w:rPr>
          <w:t>186</w:t>
        </w:r>
        <w:r>
          <w:rPr>
            <w:noProof/>
            <w:webHidden/>
          </w:rPr>
          <w:fldChar w:fldCharType="end"/>
        </w:r>
      </w:hyperlink>
    </w:p>
    <w:p w14:paraId="6F3DBE15"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67" w:history="1">
        <w:r w:rsidRPr="00087766">
          <w:rPr>
            <w:rStyle w:val="af7"/>
            <w:noProof/>
          </w:rPr>
          <w:t>6.6.4.</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«tMSC_Orgnztn»</w:t>
        </w:r>
        <w:r>
          <w:rPr>
            <w:noProof/>
            <w:webHidden/>
          </w:rPr>
          <w:tab/>
        </w:r>
        <w:r>
          <w:rPr>
            <w:noProof/>
            <w:webHidden/>
          </w:rPr>
          <w:fldChar w:fldCharType="begin"/>
        </w:r>
        <w:r>
          <w:rPr>
            <w:noProof/>
            <w:webHidden/>
          </w:rPr>
          <w:instrText xml:space="preserve"> PAGEREF _Toc219309567 \h </w:instrText>
        </w:r>
        <w:r>
          <w:rPr>
            <w:noProof/>
            <w:webHidden/>
          </w:rPr>
        </w:r>
        <w:r>
          <w:rPr>
            <w:noProof/>
            <w:webHidden/>
          </w:rPr>
          <w:fldChar w:fldCharType="separate"/>
        </w:r>
        <w:r>
          <w:rPr>
            <w:noProof/>
            <w:webHidden/>
          </w:rPr>
          <w:t>187</w:t>
        </w:r>
        <w:r>
          <w:rPr>
            <w:noProof/>
            <w:webHidden/>
          </w:rPr>
          <w:fldChar w:fldCharType="end"/>
        </w:r>
      </w:hyperlink>
    </w:p>
    <w:p w14:paraId="2EB2204B"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68" w:history="1">
        <w:r w:rsidRPr="00087766">
          <w:rPr>
            <w:rStyle w:val="af7"/>
            <w:noProof/>
          </w:rPr>
          <w:t>6.6.5.</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«tMSC_TOFK»</w:t>
        </w:r>
        <w:r>
          <w:rPr>
            <w:noProof/>
            <w:webHidden/>
          </w:rPr>
          <w:tab/>
        </w:r>
        <w:r>
          <w:rPr>
            <w:noProof/>
            <w:webHidden/>
          </w:rPr>
          <w:fldChar w:fldCharType="begin"/>
        </w:r>
        <w:r>
          <w:rPr>
            <w:noProof/>
            <w:webHidden/>
          </w:rPr>
          <w:instrText xml:space="preserve"> PAGEREF _Toc219309568 \h </w:instrText>
        </w:r>
        <w:r>
          <w:rPr>
            <w:noProof/>
            <w:webHidden/>
          </w:rPr>
        </w:r>
        <w:r>
          <w:rPr>
            <w:noProof/>
            <w:webHidden/>
          </w:rPr>
          <w:fldChar w:fldCharType="separate"/>
        </w:r>
        <w:r>
          <w:rPr>
            <w:noProof/>
            <w:webHidden/>
          </w:rPr>
          <w:t>187</w:t>
        </w:r>
        <w:r>
          <w:rPr>
            <w:noProof/>
            <w:webHidden/>
          </w:rPr>
          <w:fldChar w:fldCharType="end"/>
        </w:r>
      </w:hyperlink>
    </w:p>
    <w:p w14:paraId="028DB00C"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69" w:history="1">
        <w:r w:rsidRPr="00087766">
          <w:rPr>
            <w:rStyle w:val="af7"/>
            <w:noProof/>
          </w:rPr>
          <w:t>6.6.6.</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«tMSC_FnclInst»</w:t>
        </w:r>
        <w:r>
          <w:rPr>
            <w:noProof/>
            <w:webHidden/>
          </w:rPr>
          <w:tab/>
        </w:r>
        <w:r>
          <w:rPr>
            <w:noProof/>
            <w:webHidden/>
          </w:rPr>
          <w:fldChar w:fldCharType="begin"/>
        </w:r>
        <w:r>
          <w:rPr>
            <w:noProof/>
            <w:webHidden/>
          </w:rPr>
          <w:instrText xml:space="preserve"> PAGEREF _Toc219309569 \h </w:instrText>
        </w:r>
        <w:r>
          <w:rPr>
            <w:noProof/>
            <w:webHidden/>
          </w:rPr>
        </w:r>
        <w:r>
          <w:rPr>
            <w:noProof/>
            <w:webHidden/>
          </w:rPr>
          <w:fldChar w:fldCharType="separate"/>
        </w:r>
        <w:r>
          <w:rPr>
            <w:noProof/>
            <w:webHidden/>
          </w:rPr>
          <w:t>188</w:t>
        </w:r>
        <w:r>
          <w:rPr>
            <w:noProof/>
            <w:webHidden/>
          </w:rPr>
          <w:fldChar w:fldCharType="end"/>
        </w:r>
      </w:hyperlink>
    </w:p>
    <w:p w14:paraId="10A764D3"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70" w:history="1">
        <w:r w:rsidRPr="00087766">
          <w:rPr>
            <w:rStyle w:val="af7"/>
            <w:noProof/>
          </w:rPr>
          <w:t>6.6.7.</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«tMSC_GRBS»</w:t>
        </w:r>
        <w:r>
          <w:rPr>
            <w:noProof/>
            <w:webHidden/>
          </w:rPr>
          <w:tab/>
        </w:r>
        <w:r>
          <w:rPr>
            <w:noProof/>
            <w:webHidden/>
          </w:rPr>
          <w:fldChar w:fldCharType="begin"/>
        </w:r>
        <w:r>
          <w:rPr>
            <w:noProof/>
            <w:webHidden/>
          </w:rPr>
          <w:instrText xml:space="preserve"> PAGEREF _Toc219309570 \h </w:instrText>
        </w:r>
        <w:r>
          <w:rPr>
            <w:noProof/>
            <w:webHidden/>
          </w:rPr>
        </w:r>
        <w:r>
          <w:rPr>
            <w:noProof/>
            <w:webHidden/>
          </w:rPr>
          <w:fldChar w:fldCharType="separate"/>
        </w:r>
        <w:r>
          <w:rPr>
            <w:noProof/>
            <w:webHidden/>
          </w:rPr>
          <w:t>188</w:t>
        </w:r>
        <w:r>
          <w:rPr>
            <w:noProof/>
            <w:webHidden/>
          </w:rPr>
          <w:fldChar w:fldCharType="end"/>
        </w:r>
      </w:hyperlink>
    </w:p>
    <w:p w14:paraId="00D3A96E"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71" w:history="1">
        <w:r w:rsidRPr="00087766">
          <w:rPr>
            <w:rStyle w:val="af7"/>
            <w:noProof/>
          </w:rPr>
          <w:t>6.6.8.</w:t>
        </w:r>
        <w:r>
          <w:rPr>
            <w:rFonts w:asciiTheme="minorHAnsi" w:eastAsiaTheme="minorEastAsia" w:hAnsiTheme="minorHAnsi" w:cstheme="minorBidi"/>
            <w:iCs w:val="0"/>
            <w:noProof/>
            <w:sz w:val="22"/>
            <w:szCs w:val="22"/>
          </w:rPr>
          <w:tab/>
        </w:r>
        <w:r w:rsidRPr="00087766">
          <w:rPr>
            <w:rStyle w:val="af7"/>
            <w:noProof/>
          </w:rPr>
          <w:t>Описание комплексного типа «tSGNNmPs1»</w:t>
        </w:r>
        <w:r>
          <w:rPr>
            <w:noProof/>
            <w:webHidden/>
          </w:rPr>
          <w:tab/>
        </w:r>
        <w:r>
          <w:rPr>
            <w:noProof/>
            <w:webHidden/>
          </w:rPr>
          <w:fldChar w:fldCharType="begin"/>
        </w:r>
        <w:r>
          <w:rPr>
            <w:noProof/>
            <w:webHidden/>
          </w:rPr>
          <w:instrText xml:space="preserve"> PAGEREF _Toc219309571 \h </w:instrText>
        </w:r>
        <w:r>
          <w:rPr>
            <w:noProof/>
            <w:webHidden/>
          </w:rPr>
        </w:r>
        <w:r>
          <w:rPr>
            <w:noProof/>
            <w:webHidden/>
          </w:rPr>
          <w:fldChar w:fldCharType="separate"/>
        </w:r>
        <w:r>
          <w:rPr>
            <w:noProof/>
            <w:webHidden/>
          </w:rPr>
          <w:t>188</w:t>
        </w:r>
        <w:r>
          <w:rPr>
            <w:noProof/>
            <w:webHidden/>
          </w:rPr>
          <w:fldChar w:fldCharType="end"/>
        </w:r>
      </w:hyperlink>
    </w:p>
    <w:p w14:paraId="5317A2F9"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72" w:history="1">
        <w:r w:rsidRPr="00087766">
          <w:rPr>
            <w:rStyle w:val="af7"/>
            <w:noProof/>
          </w:rPr>
          <w:t>6.6.9.</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«tMSC_MrkOrFK»</w:t>
        </w:r>
        <w:r>
          <w:rPr>
            <w:noProof/>
            <w:webHidden/>
          </w:rPr>
          <w:tab/>
        </w:r>
        <w:r>
          <w:rPr>
            <w:noProof/>
            <w:webHidden/>
          </w:rPr>
          <w:fldChar w:fldCharType="begin"/>
        </w:r>
        <w:r>
          <w:rPr>
            <w:noProof/>
            <w:webHidden/>
          </w:rPr>
          <w:instrText xml:space="preserve"> PAGEREF _Toc219309572 \h </w:instrText>
        </w:r>
        <w:r>
          <w:rPr>
            <w:noProof/>
            <w:webHidden/>
          </w:rPr>
        </w:r>
        <w:r>
          <w:rPr>
            <w:noProof/>
            <w:webHidden/>
          </w:rPr>
          <w:fldChar w:fldCharType="separate"/>
        </w:r>
        <w:r>
          <w:rPr>
            <w:noProof/>
            <w:webHidden/>
          </w:rPr>
          <w:t>189</w:t>
        </w:r>
        <w:r>
          <w:rPr>
            <w:noProof/>
            <w:webHidden/>
          </w:rPr>
          <w:fldChar w:fldCharType="end"/>
        </w:r>
      </w:hyperlink>
    </w:p>
    <w:p w14:paraId="4CD40545"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73" w:history="1">
        <w:r w:rsidRPr="00087766">
          <w:rPr>
            <w:rStyle w:val="af7"/>
            <w:noProof/>
          </w:rPr>
          <w:t>6.6.10.</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«tMSC_KBK31_32»</w:t>
        </w:r>
        <w:r>
          <w:rPr>
            <w:noProof/>
            <w:webHidden/>
          </w:rPr>
          <w:tab/>
        </w:r>
        <w:r>
          <w:rPr>
            <w:noProof/>
            <w:webHidden/>
          </w:rPr>
          <w:fldChar w:fldCharType="begin"/>
        </w:r>
        <w:r>
          <w:rPr>
            <w:noProof/>
            <w:webHidden/>
          </w:rPr>
          <w:instrText xml:space="preserve"> PAGEREF _Toc219309573 \h </w:instrText>
        </w:r>
        <w:r>
          <w:rPr>
            <w:noProof/>
            <w:webHidden/>
          </w:rPr>
        </w:r>
        <w:r>
          <w:rPr>
            <w:noProof/>
            <w:webHidden/>
          </w:rPr>
          <w:fldChar w:fldCharType="separate"/>
        </w:r>
        <w:r>
          <w:rPr>
            <w:noProof/>
            <w:webHidden/>
          </w:rPr>
          <w:t>189</w:t>
        </w:r>
        <w:r>
          <w:rPr>
            <w:noProof/>
            <w:webHidden/>
          </w:rPr>
          <w:fldChar w:fldCharType="end"/>
        </w:r>
      </w:hyperlink>
    </w:p>
    <w:p w14:paraId="7CDB1310"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74" w:history="1">
        <w:r w:rsidRPr="00087766">
          <w:rPr>
            <w:rStyle w:val="af7"/>
            <w:noProof/>
          </w:rPr>
          <w:t>6.6.11.</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«tMSC_BKTpComplex»</w:t>
        </w:r>
        <w:r>
          <w:rPr>
            <w:noProof/>
            <w:webHidden/>
          </w:rPr>
          <w:tab/>
        </w:r>
        <w:r>
          <w:rPr>
            <w:noProof/>
            <w:webHidden/>
          </w:rPr>
          <w:fldChar w:fldCharType="begin"/>
        </w:r>
        <w:r>
          <w:rPr>
            <w:noProof/>
            <w:webHidden/>
          </w:rPr>
          <w:instrText xml:space="preserve"> PAGEREF _Toc219309574 \h </w:instrText>
        </w:r>
        <w:r>
          <w:rPr>
            <w:noProof/>
            <w:webHidden/>
          </w:rPr>
        </w:r>
        <w:r>
          <w:rPr>
            <w:noProof/>
            <w:webHidden/>
          </w:rPr>
          <w:fldChar w:fldCharType="separate"/>
        </w:r>
        <w:r>
          <w:rPr>
            <w:noProof/>
            <w:webHidden/>
          </w:rPr>
          <w:t>190</w:t>
        </w:r>
        <w:r>
          <w:rPr>
            <w:noProof/>
            <w:webHidden/>
          </w:rPr>
          <w:fldChar w:fldCharType="end"/>
        </w:r>
      </w:hyperlink>
    </w:p>
    <w:p w14:paraId="7B773556"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75" w:history="1">
        <w:r w:rsidRPr="00087766">
          <w:rPr>
            <w:rStyle w:val="af7"/>
            <w:noProof/>
          </w:rPr>
          <w:t>6.6.12.</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«tMSC_SrcTypeComplex2»</w:t>
        </w:r>
        <w:r>
          <w:rPr>
            <w:noProof/>
            <w:webHidden/>
          </w:rPr>
          <w:tab/>
        </w:r>
        <w:r>
          <w:rPr>
            <w:noProof/>
            <w:webHidden/>
          </w:rPr>
          <w:fldChar w:fldCharType="begin"/>
        </w:r>
        <w:r>
          <w:rPr>
            <w:noProof/>
            <w:webHidden/>
          </w:rPr>
          <w:instrText xml:space="preserve"> PAGEREF _Toc219309575 \h </w:instrText>
        </w:r>
        <w:r>
          <w:rPr>
            <w:noProof/>
            <w:webHidden/>
          </w:rPr>
        </w:r>
        <w:r>
          <w:rPr>
            <w:noProof/>
            <w:webHidden/>
          </w:rPr>
          <w:fldChar w:fldCharType="separate"/>
        </w:r>
        <w:r>
          <w:rPr>
            <w:noProof/>
            <w:webHidden/>
          </w:rPr>
          <w:t>190</w:t>
        </w:r>
        <w:r>
          <w:rPr>
            <w:noProof/>
            <w:webHidden/>
          </w:rPr>
          <w:fldChar w:fldCharType="end"/>
        </w:r>
      </w:hyperlink>
    </w:p>
    <w:p w14:paraId="27460D12"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76" w:history="1">
        <w:r w:rsidRPr="00087766">
          <w:rPr>
            <w:rStyle w:val="af7"/>
            <w:noProof/>
          </w:rPr>
          <w:t>6.6.13.</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«tMSC_Pmnt»</w:t>
        </w:r>
        <w:r>
          <w:rPr>
            <w:noProof/>
            <w:webHidden/>
          </w:rPr>
          <w:tab/>
        </w:r>
        <w:r>
          <w:rPr>
            <w:noProof/>
            <w:webHidden/>
          </w:rPr>
          <w:fldChar w:fldCharType="begin"/>
        </w:r>
        <w:r>
          <w:rPr>
            <w:noProof/>
            <w:webHidden/>
          </w:rPr>
          <w:instrText xml:space="preserve"> PAGEREF _Toc219309576 \h </w:instrText>
        </w:r>
        <w:r>
          <w:rPr>
            <w:noProof/>
            <w:webHidden/>
          </w:rPr>
        </w:r>
        <w:r>
          <w:rPr>
            <w:noProof/>
            <w:webHidden/>
          </w:rPr>
          <w:fldChar w:fldCharType="separate"/>
        </w:r>
        <w:r>
          <w:rPr>
            <w:noProof/>
            <w:webHidden/>
          </w:rPr>
          <w:t>191</w:t>
        </w:r>
        <w:r>
          <w:rPr>
            <w:noProof/>
            <w:webHidden/>
          </w:rPr>
          <w:fldChar w:fldCharType="end"/>
        </w:r>
      </w:hyperlink>
    </w:p>
    <w:p w14:paraId="45702383"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77" w:history="1">
        <w:r w:rsidRPr="00087766">
          <w:rPr>
            <w:rStyle w:val="af7"/>
            <w:noProof/>
          </w:rPr>
          <w:t>6.6.14.</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«tMSC_ShrtDcBs»</w:t>
        </w:r>
        <w:r>
          <w:rPr>
            <w:noProof/>
            <w:webHidden/>
          </w:rPr>
          <w:tab/>
        </w:r>
        <w:r>
          <w:rPr>
            <w:noProof/>
            <w:webHidden/>
          </w:rPr>
          <w:fldChar w:fldCharType="begin"/>
        </w:r>
        <w:r>
          <w:rPr>
            <w:noProof/>
            <w:webHidden/>
          </w:rPr>
          <w:instrText xml:space="preserve"> PAGEREF _Toc219309577 \h </w:instrText>
        </w:r>
        <w:r>
          <w:rPr>
            <w:noProof/>
            <w:webHidden/>
          </w:rPr>
        </w:r>
        <w:r>
          <w:rPr>
            <w:noProof/>
            <w:webHidden/>
          </w:rPr>
          <w:fldChar w:fldCharType="separate"/>
        </w:r>
        <w:r>
          <w:rPr>
            <w:noProof/>
            <w:webHidden/>
          </w:rPr>
          <w:t>192</w:t>
        </w:r>
        <w:r>
          <w:rPr>
            <w:noProof/>
            <w:webHidden/>
          </w:rPr>
          <w:fldChar w:fldCharType="end"/>
        </w:r>
      </w:hyperlink>
    </w:p>
    <w:p w14:paraId="7A0F265D"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78" w:history="1">
        <w:r w:rsidRPr="00087766">
          <w:rPr>
            <w:rStyle w:val="af7"/>
            <w:noProof/>
          </w:rPr>
          <w:t>6.6.15.</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«tMSC_ShrtDcBs_ITEM»</w:t>
        </w:r>
        <w:r>
          <w:rPr>
            <w:noProof/>
            <w:webHidden/>
          </w:rPr>
          <w:tab/>
        </w:r>
        <w:r>
          <w:rPr>
            <w:noProof/>
            <w:webHidden/>
          </w:rPr>
          <w:fldChar w:fldCharType="begin"/>
        </w:r>
        <w:r>
          <w:rPr>
            <w:noProof/>
            <w:webHidden/>
          </w:rPr>
          <w:instrText xml:space="preserve"> PAGEREF _Toc219309578 \h </w:instrText>
        </w:r>
        <w:r>
          <w:rPr>
            <w:noProof/>
            <w:webHidden/>
          </w:rPr>
        </w:r>
        <w:r>
          <w:rPr>
            <w:noProof/>
            <w:webHidden/>
          </w:rPr>
          <w:fldChar w:fldCharType="separate"/>
        </w:r>
        <w:r>
          <w:rPr>
            <w:noProof/>
            <w:webHidden/>
          </w:rPr>
          <w:t>192</w:t>
        </w:r>
        <w:r>
          <w:rPr>
            <w:noProof/>
            <w:webHidden/>
          </w:rPr>
          <w:fldChar w:fldCharType="end"/>
        </w:r>
      </w:hyperlink>
    </w:p>
    <w:p w14:paraId="323FAC75"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79" w:history="1">
        <w:r w:rsidRPr="00087766">
          <w:rPr>
            <w:rStyle w:val="af7"/>
            <w:noProof/>
          </w:rPr>
          <w:t>6.6.16.</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«tMSC_Cntrctr»</w:t>
        </w:r>
        <w:r>
          <w:rPr>
            <w:noProof/>
            <w:webHidden/>
          </w:rPr>
          <w:tab/>
        </w:r>
        <w:r>
          <w:rPr>
            <w:noProof/>
            <w:webHidden/>
          </w:rPr>
          <w:fldChar w:fldCharType="begin"/>
        </w:r>
        <w:r>
          <w:rPr>
            <w:noProof/>
            <w:webHidden/>
          </w:rPr>
          <w:instrText xml:space="preserve"> PAGEREF _Toc219309579 \h </w:instrText>
        </w:r>
        <w:r>
          <w:rPr>
            <w:noProof/>
            <w:webHidden/>
          </w:rPr>
        </w:r>
        <w:r>
          <w:rPr>
            <w:noProof/>
            <w:webHidden/>
          </w:rPr>
          <w:fldChar w:fldCharType="separate"/>
        </w:r>
        <w:r>
          <w:rPr>
            <w:noProof/>
            <w:webHidden/>
          </w:rPr>
          <w:t>194</w:t>
        </w:r>
        <w:r>
          <w:rPr>
            <w:noProof/>
            <w:webHidden/>
          </w:rPr>
          <w:fldChar w:fldCharType="end"/>
        </w:r>
      </w:hyperlink>
    </w:p>
    <w:p w14:paraId="4FC7C2EB"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80" w:history="1">
        <w:r w:rsidRPr="00087766">
          <w:rPr>
            <w:rStyle w:val="af7"/>
            <w:noProof/>
          </w:rPr>
          <w:t>6.6.17.</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«tMSC_ShrtPyKndComplex»</w:t>
        </w:r>
        <w:r>
          <w:rPr>
            <w:noProof/>
            <w:webHidden/>
          </w:rPr>
          <w:tab/>
        </w:r>
        <w:r>
          <w:rPr>
            <w:noProof/>
            <w:webHidden/>
          </w:rPr>
          <w:fldChar w:fldCharType="begin"/>
        </w:r>
        <w:r>
          <w:rPr>
            <w:noProof/>
            <w:webHidden/>
          </w:rPr>
          <w:instrText xml:space="preserve"> PAGEREF _Toc219309580 \h </w:instrText>
        </w:r>
        <w:r>
          <w:rPr>
            <w:noProof/>
            <w:webHidden/>
          </w:rPr>
        </w:r>
        <w:r>
          <w:rPr>
            <w:noProof/>
            <w:webHidden/>
          </w:rPr>
          <w:fldChar w:fldCharType="separate"/>
        </w:r>
        <w:r>
          <w:rPr>
            <w:noProof/>
            <w:webHidden/>
          </w:rPr>
          <w:t>195</w:t>
        </w:r>
        <w:r>
          <w:rPr>
            <w:noProof/>
            <w:webHidden/>
          </w:rPr>
          <w:fldChar w:fldCharType="end"/>
        </w:r>
      </w:hyperlink>
    </w:p>
    <w:p w14:paraId="3D8D96F9"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81" w:history="1">
        <w:r w:rsidRPr="00087766">
          <w:rPr>
            <w:rStyle w:val="af7"/>
            <w:noProof/>
          </w:rPr>
          <w:t>6.6.18.</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«tMSC_Bnk»</w:t>
        </w:r>
        <w:r>
          <w:rPr>
            <w:noProof/>
            <w:webHidden/>
          </w:rPr>
          <w:tab/>
        </w:r>
        <w:r>
          <w:rPr>
            <w:noProof/>
            <w:webHidden/>
          </w:rPr>
          <w:fldChar w:fldCharType="begin"/>
        </w:r>
        <w:r>
          <w:rPr>
            <w:noProof/>
            <w:webHidden/>
          </w:rPr>
          <w:instrText xml:space="preserve"> PAGEREF _Toc219309581 \h </w:instrText>
        </w:r>
        <w:r>
          <w:rPr>
            <w:noProof/>
            <w:webHidden/>
          </w:rPr>
        </w:r>
        <w:r>
          <w:rPr>
            <w:noProof/>
            <w:webHidden/>
          </w:rPr>
          <w:fldChar w:fldCharType="separate"/>
        </w:r>
        <w:r>
          <w:rPr>
            <w:noProof/>
            <w:webHidden/>
          </w:rPr>
          <w:t>196</w:t>
        </w:r>
        <w:r>
          <w:rPr>
            <w:noProof/>
            <w:webHidden/>
          </w:rPr>
          <w:fldChar w:fldCharType="end"/>
        </w:r>
      </w:hyperlink>
    </w:p>
    <w:p w14:paraId="7BE5B3FB"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82" w:history="1">
        <w:r w:rsidRPr="00087766">
          <w:rPr>
            <w:rStyle w:val="af7"/>
            <w:noProof/>
          </w:rPr>
          <w:t>6.6.19.</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«tMSC_Infrmtn»</w:t>
        </w:r>
        <w:r>
          <w:rPr>
            <w:noProof/>
            <w:webHidden/>
          </w:rPr>
          <w:tab/>
        </w:r>
        <w:r>
          <w:rPr>
            <w:noProof/>
            <w:webHidden/>
          </w:rPr>
          <w:fldChar w:fldCharType="begin"/>
        </w:r>
        <w:r>
          <w:rPr>
            <w:noProof/>
            <w:webHidden/>
          </w:rPr>
          <w:instrText xml:space="preserve"> PAGEREF _Toc219309582 \h </w:instrText>
        </w:r>
        <w:r>
          <w:rPr>
            <w:noProof/>
            <w:webHidden/>
          </w:rPr>
        </w:r>
        <w:r>
          <w:rPr>
            <w:noProof/>
            <w:webHidden/>
          </w:rPr>
          <w:fldChar w:fldCharType="separate"/>
        </w:r>
        <w:r>
          <w:rPr>
            <w:noProof/>
            <w:webHidden/>
          </w:rPr>
          <w:t>197</w:t>
        </w:r>
        <w:r>
          <w:rPr>
            <w:noProof/>
            <w:webHidden/>
          </w:rPr>
          <w:fldChar w:fldCharType="end"/>
        </w:r>
      </w:hyperlink>
    </w:p>
    <w:p w14:paraId="3636A91B"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83" w:history="1">
        <w:r w:rsidRPr="00087766">
          <w:rPr>
            <w:rStyle w:val="af7"/>
            <w:noProof/>
          </w:rPr>
          <w:t>6.6.20.</w:t>
        </w:r>
        <w:r>
          <w:rPr>
            <w:rFonts w:asciiTheme="minorHAnsi" w:eastAsiaTheme="minorEastAsia" w:hAnsiTheme="minorHAnsi" w:cstheme="minorBidi"/>
            <w:iCs w:val="0"/>
            <w:noProof/>
            <w:sz w:val="22"/>
            <w:szCs w:val="22"/>
          </w:rPr>
          <w:tab/>
        </w:r>
        <w:r w:rsidRPr="00087766">
          <w:rPr>
            <w:rStyle w:val="af7"/>
            <w:noProof/>
          </w:rPr>
          <w:t>Пример XML</w:t>
        </w:r>
        <w:r>
          <w:rPr>
            <w:noProof/>
            <w:webHidden/>
          </w:rPr>
          <w:tab/>
        </w:r>
        <w:r>
          <w:rPr>
            <w:noProof/>
            <w:webHidden/>
          </w:rPr>
          <w:fldChar w:fldCharType="begin"/>
        </w:r>
        <w:r>
          <w:rPr>
            <w:noProof/>
            <w:webHidden/>
          </w:rPr>
          <w:instrText xml:space="preserve"> PAGEREF _Toc219309583 \h </w:instrText>
        </w:r>
        <w:r>
          <w:rPr>
            <w:noProof/>
            <w:webHidden/>
          </w:rPr>
        </w:r>
        <w:r>
          <w:rPr>
            <w:noProof/>
            <w:webHidden/>
          </w:rPr>
          <w:fldChar w:fldCharType="separate"/>
        </w:r>
        <w:r>
          <w:rPr>
            <w:noProof/>
            <w:webHidden/>
          </w:rPr>
          <w:t>197</w:t>
        </w:r>
        <w:r>
          <w:rPr>
            <w:noProof/>
            <w:webHidden/>
          </w:rPr>
          <w:fldChar w:fldCharType="end"/>
        </w:r>
      </w:hyperlink>
    </w:p>
    <w:p w14:paraId="6A0253A3"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84" w:history="1">
        <w:r w:rsidRPr="00087766">
          <w:rPr>
            <w:rStyle w:val="af7"/>
            <w:noProof/>
          </w:rPr>
          <w:t>6.6.21.</w:t>
        </w:r>
        <w:r>
          <w:rPr>
            <w:rFonts w:asciiTheme="minorHAnsi" w:eastAsiaTheme="minorEastAsia" w:hAnsiTheme="minorHAnsi" w:cstheme="minorBidi"/>
            <w:iCs w:val="0"/>
            <w:noProof/>
            <w:sz w:val="22"/>
            <w:szCs w:val="22"/>
          </w:rPr>
          <w:tab/>
        </w:r>
        <w:r w:rsidRPr="00087766">
          <w:rPr>
            <w:rStyle w:val="af7"/>
            <w:noProof/>
          </w:rPr>
          <w:t>Пример XML (ЕСМВ)</w:t>
        </w:r>
        <w:r>
          <w:rPr>
            <w:noProof/>
            <w:webHidden/>
          </w:rPr>
          <w:tab/>
        </w:r>
        <w:r>
          <w:rPr>
            <w:noProof/>
            <w:webHidden/>
          </w:rPr>
          <w:fldChar w:fldCharType="begin"/>
        </w:r>
        <w:r>
          <w:rPr>
            <w:noProof/>
            <w:webHidden/>
          </w:rPr>
          <w:instrText xml:space="preserve"> PAGEREF _Toc219309584 \h </w:instrText>
        </w:r>
        <w:r>
          <w:rPr>
            <w:noProof/>
            <w:webHidden/>
          </w:rPr>
        </w:r>
        <w:r>
          <w:rPr>
            <w:noProof/>
            <w:webHidden/>
          </w:rPr>
          <w:fldChar w:fldCharType="separate"/>
        </w:r>
        <w:r>
          <w:rPr>
            <w:noProof/>
            <w:webHidden/>
          </w:rPr>
          <w:t>199</w:t>
        </w:r>
        <w:r>
          <w:rPr>
            <w:noProof/>
            <w:webHidden/>
          </w:rPr>
          <w:fldChar w:fldCharType="end"/>
        </w:r>
      </w:hyperlink>
    </w:p>
    <w:p w14:paraId="764F8474" w14:textId="77777777" w:rsidR="008D797C" w:rsidRDefault="008D797C">
      <w:pPr>
        <w:pStyle w:val="2a"/>
        <w:tabs>
          <w:tab w:val="left" w:pos="960"/>
          <w:tab w:val="right" w:leader="dot" w:pos="9628"/>
        </w:tabs>
        <w:rPr>
          <w:rFonts w:asciiTheme="minorHAnsi" w:eastAsiaTheme="minorEastAsia" w:hAnsiTheme="minorHAnsi" w:cstheme="minorBidi"/>
          <w:noProof/>
          <w:sz w:val="22"/>
          <w:szCs w:val="22"/>
        </w:rPr>
      </w:pPr>
      <w:hyperlink w:anchor="_Toc219309585" w:history="1">
        <w:r w:rsidRPr="00087766">
          <w:rPr>
            <w:rStyle w:val="af7"/>
            <w:noProof/>
            <w:highlight w:val="green"/>
          </w:rPr>
          <w:t>6.7.</w:t>
        </w:r>
        <w:r>
          <w:rPr>
            <w:rFonts w:asciiTheme="minorHAnsi" w:eastAsiaTheme="minorEastAsia" w:hAnsiTheme="minorHAnsi" w:cstheme="minorBidi"/>
            <w:noProof/>
            <w:sz w:val="22"/>
            <w:szCs w:val="22"/>
          </w:rPr>
          <w:tab/>
        </w:r>
        <w:r w:rsidRPr="00087766">
          <w:rPr>
            <w:rStyle w:val="af7"/>
            <w:noProof/>
            <w:highlight w:val="green"/>
          </w:rPr>
          <w:t>Описание документа «Сведения о бюджетном обязательстве»</w:t>
        </w:r>
        <w:r>
          <w:rPr>
            <w:noProof/>
            <w:webHidden/>
          </w:rPr>
          <w:tab/>
        </w:r>
        <w:r>
          <w:rPr>
            <w:noProof/>
            <w:webHidden/>
          </w:rPr>
          <w:fldChar w:fldCharType="begin"/>
        </w:r>
        <w:r>
          <w:rPr>
            <w:noProof/>
            <w:webHidden/>
          </w:rPr>
          <w:instrText xml:space="preserve"> PAGEREF _Toc219309585 \h </w:instrText>
        </w:r>
        <w:r>
          <w:rPr>
            <w:noProof/>
            <w:webHidden/>
          </w:rPr>
        </w:r>
        <w:r>
          <w:rPr>
            <w:noProof/>
            <w:webHidden/>
          </w:rPr>
          <w:fldChar w:fldCharType="separate"/>
        </w:r>
        <w:r>
          <w:rPr>
            <w:noProof/>
            <w:webHidden/>
          </w:rPr>
          <w:t>204</w:t>
        </w:r>
        <w:r>
          <w:rPr>
            <w:noProof/>
            <w:webHidden/>
          </w:rPr>
          <w:fldChar w:fldCharType="end"/>
        </w:r>
      </w:hyperlink>
    </w:p>
    <w:p w14:paraId="63995A16"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86" w:history="1">
        <w:r w:rsidRPr="00087766">
          <w:rPr>
            <w:rStyle w:val="af7"/>
            <w:noProof/>
            <w:highlight w:val="green"/>
          </w:rPr>
          <w:t>6.7.1.</w:t>
        </w:r>
        <w:r>
          <w:rPr>
            <w:rFonts w:asciiTheme="minorHAnsi" w:eastAsiaTheme="minorEastAsia" w:hAnsiTheme="minorHAnsi" w:cstheme="minorBidi"/>
            <w:iCs w:val="0"/>
            <w:noProof/>
            <w:sz w:val="22"/>
            <w:szCs w:val="22"/>
          </w:rPr>
          <w:tab/>
        </w:r>
        <w:r w:rsidRPr="00087766">
          <w:rPr>
            <w:rStyle w:val="af7"/>
            <w:noProof/>
            <w:highlight w:val="green"/>
          </w:rPr>
          <w:t>Назначение и маршрут документа</w:t>
        </w:r>
        <w:r>
          <w:rPr>
            <w:noProof/>
            <w:webHidden/>
          </w:rPr>
          <w:tab/>
        </w:r>
        <w:r>
          <w:rPr>
            <w:noProof/>
            <w:webHidden/>
          </w:rPr>
          <w:fldChar w:fldCharType="begin"/>
        </w:r>
        <w:r>
          <w:rPr>
            <w:noProof/>
            <w:webHidden/>
          </w:rPr>
          <w:instrText xml:space="preserve"> PAGEREF _Toc219309586 \h </w:instrText>
        </w:r>
        <w:r>
          <w:rPr>
            <w:noProof/>
            <w:webHidden/>
          </w:rPr>
        </w:r>
        <w:r>
          <w:rPr>
            <w:noProof/>
            <w:webHidden/>
          </w:rPr>
          <w:fldChar w:fldCharType="separate"/>
        </w:r>
        <w:r>
          <w:rPr>
            <w:noProof/>
            <w:webHidden/>
          </w:rPr>
          <w:t>204</w:t>
        </w:r>
        <w:r>
          <w:rPr>
            <w:noProof/>
            <w:webHidden/>
          </w:rPr>
          <w:fldChar w:fldCharType="end"/>
        </w:r>
      </w:hyperlink>
    </w:p>
    <w:p w14:paraId="0D21F941"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87" w:history="1">
        <w:r w:rsidRPr="00087766">
          <w:rPr>
            <w:rStyle w:val="af7"/>
            <w:noProof/>
            <w:highlight w:val="green"/>
          </w:rPr>
          <w:t>6.7.2.</w:t>
        </w:r>
        <w:r>
          <w:rPr>
            <w:rFonts w:asciiTheme="minorHAnsi" w:eastAsiaTheme="minorEastAsia" w:hAnsiTheme="minorHAnsi" w:cstheme="minorBidi"/>
            <w:iCs w:val="0"/>
            <w:noProof/>
            <w:sz w:val="22"/>
            <w:szCs w:val="22"/>
          </w:rPr>
          <w:tab/>
        </w:r>
        <w:r w:rsidRPr="00087766">
          <w:rPr>
            <w:rStyle w:val="af7"/>
            <w:noProof/>
            <w:highlight w:val="green"/>
          </w:rPr>
          <w:t>Описание комплексного типа «tInfrmtnBdgtOblgtns»</w:t>
        </w:r>
        <w:r>
          <w:rPr>
            <w:noProof/>
            <w:webHidden/>
          </w:rPr>
          <w:tab/>
        </w:r>
        <w:r>
          <w:rPr>
            <w:noProof/>
            <w:webHidden/>
          </w:rPr>
          <w:fldChar w:fldCharType="begin"/>
        </w:r>
        <w:r>
          <w:rPr>
            <w:noProof/>
            <w:webHidden/>
          </w:rPr>
          <w:instrText xml:space="preserve"> PAGEREF _Toc219309587 \h </w:instrText>
        </w:r>
        <w:r>
          <w:rPr>
            <w:noProof/>
            <w:webHidden/>
          </w:rPr>
        </w:r>
        <w:r>
          <w:rPr>
            <w:noProof/>
            <w:webHidden/>
          </w:rPr>
          <w:fldChar w:fldCharType="separate"/>
        </w:r>
        <w:r>
          <w:rPr>
            <w:noProof/>
            <w:webHidden/>
          </w:rPr>
          <w:t>205</w:t>
        </w:r>
        <w:r>
          <w:rPr>
            <w:noProof/>
            <w:webHidden/>
          </w:rPr>
          <w:fldChar w:fldCharType="end"/>
        </w:r>
      </w:hyperlink>
    </w:p>
    <w:p w14:paraId="6B63DE5E"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88" w:history="1">
        <w:r w:rsidRPr="00087766">
          <w:rPr>
            <w:rStyle w:val="af7"/>
            <w:noProof/>
          </w:rPr>
          <w:t>6.7.3.</w:t>
        </w:r>
        <w:r>
          <w:rPr>
            <w:rFonts w:asciiTheme="minorHAnsi" w:eastAsiaTheme="minorEastAsia" w:hAnsiTheme="minorHAnsi" w:cstheme="minorBidi"/>
            <w:iCs w:val="0"/>
            <w:noProof/>
            <w:sz w:val="22"/>
            <w:szCs w:val="22"/>
          </w:rPr>
          <w:tab/>
        </w:r>
        <w:r w:rsidRPr="00087766">
          <w:rPr>
            <w:rStyle w:val="af7"/>
            <w:noProof/>
          </w:rPr>
          <w:t>Описание комплексного типа «tCntrlNf»</w:t>
        </w:r>
        <w:r>
          <w:rPr>
            <w:noProof/>
            <w:webHidden/>
          </w:rPr>
          <w:tab/>
        </w:r>
        <w:r>
          <w:rPr>
            <w:noProof/>
            <w:webHidden/>
          </w:rPr>
          <w:fldChar w:fldCharType="begin"/>
        </w:r>
        <w:r>
          <w:rPr>
            <w:noProof/>
            <w:webHidden/>
          </w:rPr>
          <w:instrText xml:space="preserve"> PAGEREF _Toc219309588 \h </w:instrText>
        </w:r>
        <w:r>
          <w:rPr>
            <w:noProof/>
            <w:webHidden/>
          </w:rPr>
        </w:r>
        <w:r>
          <w:rPr>
            <w:noProof/>
            <w:webHidden/>
          </w:rPr>
          <w:fldChar w:fldCharType="separate"/>
        </w:r>
        <w:r>
          <w:rPr>
            <w:noProof/>
            <w:webHidden/>
          </w:rPr>
          <w:t>218</w:t>
        </w:r>
        <w:r>
          <w:rPr>
            <w:noProof/>
            <w:webHidden/>
          </w:rPr>
          <w:fldChar w:fldCharType="end"/>
        </w:r>
      </w:hyperlink>
    </w:p>
    <w:p w14:paraId="7156BF58"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89" w:history="1">
        <w:r w:rsidRPr="00087766">
          <w:rPr>
            <w:rStyle w:val="af7"/>
            <w:noProof/>
          </w:rPr>
          <w:t>6.7.4.</w:t>
        </w:r>
        <w:r>
          <w:rPr>
            <w:rFonts w:asciiTheme="minorHAnsi" w:eastAsiaTheme="minorEastAsia" w:hAnsiTheme="minorHAnsi" w:cstheme="minorBidi"/>
            <w:iCs w:val="0"/>
            <w:noProof/>
            <w:sz w:val="22"/>
            <w:szCs w:val="22"/>
          </w:rPr>
          <w:tab/>
        </w:r>
        <w:r w:rsidRPr="00087766">
          <w:rPr>
            <w:rStyle w:val="af7"/>
            <w:noProof/>
          </w:rPr>
          <w:t>Описание комплексного типа «tCntrRslts»</w:t>
        </w:r>
        <w:r>
          <w:rPr>
            <w:noProof/>
            <w:webHidden/>
          </w:rPr>
          <w:tab/>
        </w:r>
        <w:r>
          <w:rPr>
            <w:noProof/>
            <w:webHidden/>
          </w:rPr>
          <w:fldChar w:fldCharType="begin"/>
        </w:r>
        <w:r>
          <w:rPr>
            <w:noProof/>
            <w:webHidden/>
          </w:rPr>
          <w:instrText xml:space="preserve"> PAGEREF _Toc219309589 \h </w:instrText>
        </w:r>
        <w:r>
          <w:rPr>
            <w:noProof/>
            <w:webHidden/>
          </w:rPr>
        </w:r>
        <w:r>
          <w:rPr>
            <w:noProof/>
            <w:webHidden/>
          </w:rPr>
          <w:fldChar w:fldCharType="separate"/>
        </w:r>
        <w:r>
          <w:rPr>
            <w:noProof/>
            <w:webHidden/>
          </w:rPr>
          <w:t>219</w:t>
        </w:r>
        <w:r>
          <w:rPr>
            <w:noProof/>
            <w:webHidden/>
          </w:rPr>
          <w:fldChar w:fldCharType="end"/>
        </w:r>
      </w:hyperlink>
    </w:p>
    <w:p w14:paraId="27F79545"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90" w:history="1">
        <w:r w:rsidRPr="00087766">
          <w:rPr>
            <w:rStyle w:val="af7"/>
            <w:noProof/>
          </w:rPr>
          <w:t>6.7.5.</w:t>
        </w:r>
        <w:r>
          <w:rPr>
            <w:rFonts w:asciiTheme="minorHAnsi" w:eastAsiaTheme="minorEastAsia" w:hAnsiTheme="minorHAnsi" w:cstheme="minorBidi"/>
            <w:iCs w:val="0"/>
            <w:noProof/>
            <w:sz w:val="22"/>
            <w:szCs w:val="22"/>
          </w:rPr>
          <w:tab/>
        </w:r>
        <w:r w:rsidRPr="00087766">
          <w:rPr>
            <w:rStyle w:val="af7"/>
            <w:noProof/>
          </w:rPr>
          <w:t>Описание комплексного типа «tCntrRslts_ITEM»</w:t>
        </w:r>
        <w:r>
          <w:rPr>
            <w:noProof/>
            <w:webHidden/>
          </w:rPr>
          <w:tab/>
        </w:r>
        <w:r>
          <w:rPr>
            <w:noProof/>
            <w:webHidden/>
          </w:rPr>
          <w:fldChar w:fldCharType="begin"/>
        </w:r>
        <w:r>
          <w:rPr>
            <w:noProof/>
            <w:webHidden/>
          </w:rPr>
          <w:instrText xml:space="preserve"> PAGEREF _Toc219309590 \h </w:instrText>
        </w:r>
        <w:r>
          <w:rPr>
            <w:noProof/>
            <w:webHidden/>
          </w:rPr>
        </w:r>
        <w:r>
          <w:rPr>
            <w:noProof/>
            <w:webHidden/>
          </w:rPr>
          <w:fldChar w:fldCharType="separate"/>
        </w:r>
        <w:r>
          <w:rPr>
            <w:noProof/>
            <w:webHidden/>
          </w:rPr>
          <w:t>219</w:t>
        </w:r>
        <w:r>
          <w:rPr>
            <w:noProof/>
            <w:webHidden/>
          </w:rPr>
          <w:fldChar w:fldCharType="end"/>
        </w:r>
      </w:hyperlink>
    </w:p>
    <w:p w14:paraId="60264D1C"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91" w:history="1">
        <w:r w:rsidRPr="00087766">
          <w:rPr>
            <w:rStyle w:val="af7"/>
            <w:noProof/>
          </w:rPr>
          <w:t>6.7.6.</w:t>
        </w:r>
        <w:r>
          <w:rPr>
            <w:rFonts w:asciiTheme="minorHAnsi" w:eastAsiaTheme="minorEastAsia" w:hAnsiTheme="minorHAnsi" w:cstheme="minorBidi"/>
            <w:iCs w:val="0"/>
            <w:noProof/>
            <w:sz w:val="22"/>
            <w:szCs w:val="22"/>
          </w:rPr>
          <w:tab/>
        </w:r>
        <w:r w:rsidRPr="00087766">
          <w:rPr>
            <w:rStyle w:val="af7"/>
            <w:noProof/>
          </w:rPr>
          <w:t>Описание комплексного типа «tRskNfs»</w:t>
        </w:r>
        <w:r>
          <w:rPr>
            <w:noProof/>
            <w:webHidden/>
          </w:rPr>
          <w:tab/>
        </w:r>
        <w:r>
          <w:rPr>
            <w:noProof/>
            <w:webHidden/>
          </w:rPr>
          <w:fldChar w:fldCharType="begin"/>
        </w:r>
        <w:r>
          <w:rPr>
            <w:noProof/>
            <w:webHidden/>
          </w:rPr>
          <w:instrText xml:space="preserve"> PAGEREF _Toc219309591 \h </w:instrText>
        </w:r>
        <w:r>
          <w:rPr>
            <w:noProof/>
            <w:webHidden/>
          </w:rPr>
        </w:r>
        <w:r>
          <w:rPr>
            <w:noProof/>
            <w:webHidden/>
          </w:rPr>
          <w:fldChar w:fldCharType="separate"/>
        </w:r>
        <w:r>
          <w:rPr>
            <w:noProof/>
            <w:webHidden/>
          </w:rPr>
          <w:t>219</w:t>
        </w:r>
        <w:r>
          <w:rPr>
            <w:noProof/>
            <w:webHidden/>
          </w:rPr>
          <w:fldChar w:fldCharType="end"/>
        </w:r>
      </w:hyperlink>
    </w:p>
    <w:p w14:paraId="38690B3B"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92" w:history="1">
        <w:r w:rsidRPr="00087766">
          <w:rPr>
            <w:rStyle w:val="af7"/>
            <w:noProof/>
          </w:rPr>
          <w:t>6.7.7.</w:t>
        </w:r>
        <w:r>
          <w:rPr>
            <w:rFonts w:asciiTheme="minorHAnsi" w:eastAsiaTheme="minorEastAsia" w:hAnsiTheme="minorHAnsi" w:cstheme="minorBidi"/>
            <w:iCs w:val="0"/>
            <w:noProof/>
            <w:sz w:val="22"/>
            <w:szCs w:val="22"/>
          </w:rPr>
          <w:tab/>
        </w:r>
        <w:r w:rsidRPr="00087766">
          <w:rPr>
            <w:rStyle w:val="af7"/>
            <w:noProof/>
          </w:rPr>
          <w:t>Описание комплексного типа «tRsk_crt»</w:t>
        </w:r>
        <w:r>
          <w:rPr>
            <w:noProof/>
            <w:webHidden/>
          </w:rPr>
          <w:tab/>
        </w:r>
        <w:r>
          <w:rPr>
            <w:noProof/>
            <w:webHidden/>
          </w:rPr>
          <w:fldChar w:fldCharType="begin"/>
        </w:r>
        <w:r>
          <w:rPr>
            <w:noProof/>
            <w:webHidden/>
          </w:rPr>
          <w:instrText xml:space="preserve"> PAGEREF _Toc219309592 \h </w:instrText>
        </w:r>
        <w:r>
          <w:rPr>
            <w:noProof/>
            <w:webHidden/>
          </w:rPr>
        </w:r>
        <w:r>
          <w:rPr>
            <w:noProof/>
            <w:webHidden/>
          </w:rPr>
          <w:fldChar w:fldCharType="separate"/>
        </w:r>
        <w:r>
          <w:rPr>
            <w:noProof/>
            <w:webHidden/>
          </w:rPr>
          <w:t>220</w:t>
        </w:r>
        <w:r>
          <w:rPr>
            <w:noProof/>
            <w:webHidden/>
          </w:rPr>
          <w:fldChar w:fldCharType="end"/>
        </w:r>
      </w:hyperlink>
    </w:p>
    <w:p w14:paraId="30E0AB07"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93" w:history="1">
        <w:r w:rsidRPr="00087766">
          <w:rPr>
            <w:rStyle w:val="af7"/>
            <w:noProof/>
          </w:rPr>
          <w:t>6.7.8.</w:t>
        </w:r>
        <w:r>
          <w:rPr>
            <w:rFonts w:asciiTheme="minorHAnsi" w:eastAsiaTheme="minorEastAsia" w:hAnsiTheme="minorHAnsi" w:cstheme="minorBidi"/>
            <w:iCs w:val="0"/>
            <w:noProof/>
            <w:sz w:val="22"/>
            <w:szCs w:val="22"/>
          </w:rPr>
          <w:tab/>
        </w:r>
        <w:r w:rsidRPr="00087766">
          <w:rPr>
            <w:rStyle w:val="af7"/>
            <w:noProof/>
          </w:rPr>
          <w:t>Описание комплексного типа «tRsk_crt_ITEM»</w:t>
        </w:r>
        <w:r>
          <w:rPr>
            <w:noProof/>
            <w:webHidden/>
          </w:rPr>
          <w:tab/>
        </w:r>
        <w:r>
          <w:rPr>
            <w:noProof/>
            <w:webHidden/>
          </w:rPr>
          <w:fldChar w:fldCharType="begin"/>
        </w:r>
        <w:r>
          <w:rPr>
            <w:noProof/>
            <w:webHidden/>
          </w:rPr>
          <w:instrText xml:space="preserve"> PAGEREF _Toc219309593 \h </w:instrText>
        </w:r>
        <w:r>
          <w:rPr>
            <w:noProof/>
            <w:webHidden/>
          </w:rPr>
        </w:r>
        <w:r>
          <w:rPr>
            <w:noProof/>
            <w:webHidden/>
          </w:rPr>
          <w:fldChar w:fldCharType="separate"/>
        </w:r>
        <w:r>
          <w:rPr>
            <w:noProof/>
            <w:webHidden/>
          </w:rPr>
          <w:t>220</w:t>
        </w:r>
        <w:r>
          <w:rPr>
            <w:noProof/>
            <w:webHidden/>
          </w:rPr>
          <w:fldChar w:fldCharType="end"/>
        </w:r>
      </w:hyperlink>
    </w:p>
    <w:p w14:paraId="360E0828"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94" w:history="1">
        <w:r w:rsidRPr="00087766">
          <w:rPr>
            <w:rStyle w:val="af7"/>
            <w:noProof/>
          </w:rPr>
          <w:t>6.7.9.</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«tMSC_Infrmtn»</w:t>
        </w:r>
        <w:r>
          <w:rPr>
            <w:noProof/>
            <w:webHidden/>
          </w:rPr>
          <w:tab/>
        </w:r>
        <w:r>
          <w:rPr>
            <w:noProof/>
            <w:webHidden/>
          </w:rPr>
          <w:fldChar w:fldCharType="begin"/>
        </w:r>
        <w:r>
          <w:rPr>
            <w:noProof/>
            <w:webHidden/>
          </w:rPr>
          <w:instrText xml:space="preserve"> PAGEREF _Toc219309594 \h </w:instrText>
        </w:r>
        <w:r>
          <w:rPr>
            <w:noProof/>
            <w:webHidden/>
          </w:rPr>
        </w:r>
        <w:r>
          <w:rPr>
            <w:noProof/>
            <w:webHidden/>
          </w:rPr>
          <w:fldChar w:fldCharType="separate"/>
        </w:r>
        <w:r>
          <w:rPr>
            <w:noProof/>
            <w:webHidden/>
          </w:rPr>
          <w:t>220</w:t>
        </w:r>
        <w:r>
          <w:rPr>
            <w:noProof/>
            <w:webHidden/>
          </w:rPr>
          <w:fldChar w:fldCharType="end"/>
        </w:r>
      </w:hyperlink>
    </w:p>
    <w:p w14:paraId="535BAD7D"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95" w:history="1">
        <w:r w:rsidRPr="00087766">
          <w:rPr>
            <w:rStyle w:val="af7"/>
            <w:noProof/>
          </w:rPr>
          <w:t>6.7.10.</w:t>
        </w:r>
        <w:r>
          <w:rPr>
            <w:rFonts w:asciiTheme="minorHAnsi" w:eastAsiaTheme="minorEastAsia" w:hAnsiTheme="minorHAnsi" w:cstheme="minorBidi"/>
            <w:iCs w:val="0"/>
            <w:noProof/>
            <w:sz w:val="22"/>
            <w:szCs w:val="22"/>
          </w:rPr>
          <w:tab/>
        </w:r>
        <w:r w:rsidRPr="00087766">
          <w:rPr>
            <w:rStyle w:val="af7"/>
            <w:noProof/>
          </w:rPr>
          <w:t>Описание комплексного типа «tRqsts_TblSbsd»</w:t>
        </w:r>
        <w:r>
          <w:rPr>
            <w:noProof/>
            <w:webHidden/>
          </w:rPr>
          <w:tab/>
        </w:r>
        <w:r>
          <w:rPr>
            <w:noProof/>
            <w:webHidden/>
          </w:rPr>
          <w:fldChar w:fldCharType="begin"/>
        </w:r>
        <w:r>
          <w:rPr>
            <w:noProof/>
            <w:webHidden/>
          </w:rPr>
          <w:instrText xml:space="preserve"> PAGEREF _Toc219309595 \h </w:instrText>
        </w:r>
        <w:r>
          <w:rPr>
            <w:noProof/>
            <w:webHidden/>
          </w:rPr>
        </w:r>
        <w:r>
          <w:rPr>
            <w:noProof/>
            <w:webHidden/>
          </w:rPr>
          <w:fldChar w:fldCharType="separate"/>
        </w:r>
        <w:r>
          <w:rPr>
            <w:noProof/>
            <w:webHidden/>
          </w:rPr>
          <w:t>221</w:t>
        </w:r>
        <w:r>
          <w:rPr>
            <w:noProof/>
            <w:webHidden/>
          </w:rPr>
          <w:fldChar w:fldCharType="end"/>
        </w:r>
      </w:hyperlink>
    </w:p>
    <w:p w14:paraId="7F1B6EC5"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96" w:history="1">
        <w:r w:rsidRPr="00087766">
          <w:rPr>
            <w:rStyle w:val="af7"/>
            <w:noProof/>
          </w:rPr>
          <w:t>6.7.11.</w:t>
        </w:r>
        <w:r>
          <w:rPr>
            <w:rFonts w:asciiTheme="minorHAnsi" w:eastAsiaTheme="minorEastAsia" w:hAnsiTheme="minorHAnsi" w:cstheme="minorBidi"/>
            <w:iCs w:val="0"/>
            <w:noProof/>
            <w:sz w:val="22"/>
            <w:szCs w:val="22"/>
          </w:rPr>
          <w:tab/>
        </w:r>
        <w:r w:rsidRPr="00087766">
          <w:rPr>
            <w:rStyle w:val="af7"/>
            <w:noProof/>
          </w:rPr>
          <w:t>Описание комплексного типа «tRqsts_TblSbsd_ITEM»</w:t>
        </w:r>
        <w:r>
          <w:rPr>
            <w:noProof/>
            <w:webHidden/>
          </w:rPr>
          <w:tab/>
        </w:r>
        <w:r>
          <w:rPr>
            <w:noProof/>
            <w:webHidden/>
          </w:rPr>
          <w:fldChar w:fldCharType="begin"/>
        </w:r>
        <w:r>
          <w:rPr>
            <w:noProof/>
            <w:webHidden/>
          </w:rPr>
          <w:instrText xml:space="preserve"> PAGEREF _Toc219309596 \h </w:instrText>
        </w:r>
        <w:r>
          <w:rPr>
            <w:noProof/>
            <w:webHidden/>
          </w:rPr>
        </w:r>
        <w:r>
          <w:rPr>
            <w:noProof/>
            <w:webHidden/>
          </w:rPr>
          <w:fldChar w:fldCharType="separate"/>
        </w:r>
        <w:r>
          <w:rPr>
            <w:noProof/>
            <w:webHidden/>
          </w:rPr>
          <w:t>221</w:t>
        </w:r>
        <w:r>
          <w:rPr>
            <w:noProof/>
            <w:webHidden/>
          </w:rPr>
          <w:fldChar w:fldCharType="end"/>
        </w:r>
      </w:hyperlink>
    </w:p>
    <w:p w14:paraId="5A757E04"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97" w:history="1">
        <w:r w:rsidRPr="00087766">
          <w:rPr>
            <w:rStyle w:val="af7"/>
            <w:noProof/>
          </w:rPr>
          <w:t>6.7.12.</w:t>
        </w:r>
        <w:r>
          <w:rPr>
            <w:rFonts w:asciiTheme="minorHAnsi" w:eastAsiaTheme="minorEastAsia" w:hAnsiTheme="minorHAnsi" w:cstheme="minorBidi"/>
            <w:iCs w:val="0"/>
            <w:noProof/>
            <w:sz w:val="22"/>
            <w:szCs w:val="22"/>
          </w:rPr>
          <w:tab/>
        </w:r>
        <w:r w:rsidRPr="00087766">
          <w:rPr>
            <w:rStyle w:val="af7"/>
            <w:noProof/>
          </w:rPr>
          <w:t>Описание комплексного типа «tOblgtns_Pmnts»</w:t>
        </w:r>
        <w:r>
          <w:rPr>
            <w:noProof/>
            <w:webHidden/>
          </w:rPr>
          <w:tab/>
        </w:r>
        <w:r>
          <w:rPr>
            <w:noProof/>
            <w:webHidden/>
          </w:rPr>
          <w:fldChar w:fldCharType="begin"/>
        </w:r>
        <w:r>
          <w:rPr>
            <w:noProof/>
            <w:webHidden/>
          </w:rPr>
          <w:instrText xml:space="preserve"> PAGEREF _Toc219309597 \h </w:instrText>
        </w:r>
        <w:r>
          <w:rPr>
            <w:noProof/>
            <w:webHidden/>
          </w:rPr>
        </w:r>
        <w:r>
          <w:rPr>
            <w:noProof/>
            <w:webHidden/>
          </w:rPr>
          <w:fldChar w:fldCharType="separate"/>
        </w:r>
        <w:r>
          <w:rPr>
            <w:noProof/>
            <w:webHidden/>
          </w:rPr>
          <w:t>223</w:t>
        </w:r>
        <w:r>
          <w:rPr>
            <w:noProof/>
            <w:webHidden/>
          </w:rPr>
          <w:fldChar w:fldCharType="end"/>
        </w:r>
      </w:hyperlink>
    </w:p>
    <w:p w14:paraId="6870426E"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98" w:history="1">
        <w:r w:rsidRPr="00087766">
          <w:rPr>
            <w:rStyle w:val="af7"/>
            <w:noProof/>
          </w:rPr>
          <w:t>6.7.13.</w:t>
        </w:r>
        <w:r>
          <w:rPr>
            <w:rFonts w:asciiTheme="minorHAnsi" w:eastAsiaTheme="minorEastAsia" w:hAnsiTheme="minorHAnsi" w:cstheme="minorBidi"/>
            <w:iCs w:val="0"/>
            <w:noProof/>
            <w:sz w:val="22"/>
            <w:szCs w:val="22"/>
          </w:rPr>
          <w:tab/>
        </w:r>
        <w:r w:rsidRPr="00087766">
          <w:rPr>
            <w:rStyle w:val="af7"/>
            <w:noProof/>
          </w:rPr>
          <w:t>Описание комплексного типа «tOblgtns_Pmnts_ITEM»</w:t>
        </w:r>
        <w:r>
          <w:rPr>
            <w:noProof/>
            <w:webHidden/>
          </w:rPr>
          <w:tab/>
        </w:r>
        <w:r>
          <w:rPr>
            <w:noProof/>
            <w:webHidden/>
          </w:rPr>
          <w:fldChar w:fldCharType="begin"/>
        </w:r>
        <w:r>
          <w:rPr>
            <w:noProof/>
            <w:webHidden/>
          </w:rPr>
          <w:instrText xml:space="preserve"> PAGEREF _Toc219309598 \h </w:instrText>
        </w:r>
        <w:r>
          <w:rPr>
            <w:noProof/>
            <w:webHidden/>
          </w:rPr>
        </w:r>
        <w:r>
          <w:rPr>
            <w:noProof/>
            <w:webHidden/>
          </w:rPr>
          <w:fldChar w:fldCharType="separate"/>
        </w:r>
        <w:r>
          <w:rPr>
            <w:noProof/>
            <w:webHidden/>
          </w:rPr>
          <w:t>223</w:t>
        </w:r>
        <w:r>
          <w:rPr>
            <w:noProof/>
            <w:webHidden/>
          </w:rPr>
          <w:fldChar w:fldCharType="end"/>
        </w:r>
      </w:hyperlink>
    </w:p>
    <w:p w14:paraId="35B17424"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599" w:history="1">
        <w:r w:rsidRPr="00087766">
          <w:rPr>
            <w:rStyle w:val="af7"/>
            <w:noProof/>
          </w:rPr>
          <w:t>6.7.14.</w:t>
        </w:r>
        <w:r>
          <w:rPr>
            <w:rFonts w:asciiTheme="minorHAnsi" w:eastAsiaTheme="minorEastAsia" w:hAnsiTheme="minorHAnsi" w:cstheme="minorBidi"/>
            <w:iCs w:val="0"/>
            <w:noProof/>
            <w:sz w:val="22"/>
            <w:szCs w:val="22"/>
          </w:rPr>
          <w:tab/>
        </w:r>
        <w:r w:rsidRPr="00087766">
          <w:rPr>
            <w:rStyle w:val="af7"/>
            <w:noProof/>
          </w:rPr>
          <w:t>Описание комплексного типа «tOblgtns_Rslts»</w:t>
        </w:r>
        <w:r>
          <w:rPr>
            <w:noProof/>
            <w:webHidden/>
          </w:rPr>
          <w:tab/>
        </w:r>
        <w:r>
          <w:rPr>
            <w:noProof/>
            <w:webHidden/>
          </w:rPr>
          <w:fldChar w:fldCharType="begin"/>
        </w:r>
        <w:r>
          <w:rPr>
            <w:noProof/>
            <w:webHidden/>
          </w:rPr>
          <w:instrText xml:space="preserve"> PAGEREF _Toc219309599 \h </w:instrText>
        </w:r>
        <w:r>
          <w:rPr>
            <w:noProof/>
            <w:webHidden/>
          </w:rPr>
        </w:r>
        <w:r>
          <w:rPr>
            <w:noProof/>
            <w:webHidden/>
          </w:rPr>
          <w:fldChar w:fldCharType="separate"/>
        </w:r>
        <w:r>
          <w:rPr>
            <w:noProof/>
            <w:webHidden/>
          </w:rPr>
          <w:t>228</w:t>
        </w:r>
        <w:r>
          <w:rPr>
            <w:noProof/>
            <w:webHidden/>
          </w:rPr>
          <w:fldChar w:fldCharType="end"/>
        </w:r>
      </w:hyperlink>
    </w:p>
    <w:p w14:paraId="73C15E6B"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00" w:history="1">
        <w:r w:rsidRPr="00087766">
          <w:rPr>
            <w:rStyle w:val="af7"/>
            <w:noProof/>
          </w:rPr>
          <w:t>6.7.15.</w:t>
        </w:r>
        <w:r>
          <w:rPr>
            <w:rFonts w:asciiTheme="minorHAnsi" w:eastAsiaTheme="minorEastAsia" w:hAnsiTheme="minorHAnsi" w:cstheme="minorBidi"/>
            <w:iCs w:val="0"/>
            <w:noProof/>
            <w:sz w:val="22"/>
            <w:szCs w:val="22"/>
          </w:rPr>
          <w:tab/>
        </w:r>
        <w:r w:rsidRPr="00087766">
          <w:rPr>
            <w:rStyle w:val="af7"/>
            <w:noProof/>
          </w:rPr>
          <w:t>Описание комплексного типа «tOblgtns_Rslts_ITEM»</w:t>
        </w:r>
        <w:r>
          <w:rPr>
            <w:noProof/>
            <w:webHidden/>
          </w:rPr>
          <w:tab/>
        </w:r>
        <w:r>
          <w:rPr>
            <w:noProof/>
            <w:webHidden/>
          </w:rPr>
          <w:fldChar w:fldCharType="begin"/>
        </w:r>
        <w:r>
          <w:rPr>
            <w:noProof/>
            <w:webHidden/>
          </w:rPr>
          <w:instrText xml:space="preserve"> PAGEREF _Toc219309600 \h </w:instrText>
        </w:r>
        <w:r>
          <w:rPr>
            <w:noProof/>
            <w:webHidden/>
          </w:rPr>
        </w:r>
        <w:r>
          <w:rPr>
            <w:noProof/>
            <w:webHidden/>
          </w:rPr>
          <w:fldChar w:fldCharType="separate"/>
        </w:r>
        <w:r>
          <w:rPr>
            <w:noProof/>
            <w:webHidden/>
          </w:rPr>
          <w:t>228</w:t>
        </w:r>
        <w:r>
          <w:rPr>
            <w:noProof/>
            <w:webHidden/>
          </w:rPr>
          <w:fldChar w:fldCharType="end"/>
        </w:r>
      </w:hyperlink>
    </w:p>
    <w:p w14:paraId="5C502ACD"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01" w:history="1">
        <w:r w:rsidRPr="00087766">
          <w:rPr>
            <w:rStyle w:val="af7"/>
            <w:noProof/>
          </w:rPr>
          <w:t>6.7.16.</w:t>
        </w:r>
        <w:r>
          <w:rPr>
            <w:rFonts w:asciiTheme="minorHAnsi" w:eastAsiaTheme="minorEastAsia" w:hAnsiTheme="minorHAnsi" w:cstheme="minorBidi"/>
            <w:iCs w:val="0"/>
            <w:noProof/>
            <w:sz w:val="22"/>
            <w:szCs w:val="22"/>
          </w:rPr>
          <w:tab/>
        </w:r>
        <w:r w:rsidRPr="00087766">
          <w:rPr>
            <w:rStyle w:val="af7"/>
            <w:noProof/>
          </w:rPr>
          <w:t>Пример XML (файловое взаимодействие)</w:t>
        </w:r>
        <w:r>
          <w:rPr>
            <w:noProof/>
            <w:webHidden/>
          </w:rPr>
          <w:tab/>
        </w:r>
        <w:r>
          <w:rPr>
            <w:noProof/>
            <w:webHidden/>
          </w:rPr>
          <w:fldChar w:fldCharType="begin"/>
        </w:r>
        <w:r>
          <w:rPr>
            <w:noProof/>
            <w:webHidden/>
          </w:rPr>
          <w:instrText xml:space="preserve"> PAGEREF _Toc219309601 \h </w:instrText>
        </w:r>
        <w:r>
          <w:rPr>
            <w:noProof/>
            <w:webHidden/>
          </w:rPr>
        </w:r>
        <w:r>
          <w:rPr>
            <w:noProof/>
            <w:webHidden/>
          </w:rPr>
          <w:fldChar w:fldCharType="separate"/>
        </w:r>
        <w:r>
          <w:rPr>
            <w:noProof/>
            <w:webHidden/>
          </w:rPr>
          <w:t>230</w:t>
        </w:r>
        <w:r>
          <w:rPr>
            <w:noProof/>
            <w:webHidden/>
          </w:rPr>
          <w:fldChar w:fldCharType="end"/>
        </w:r>
      </w:hyperlink>
    </w:p>
    <w:p w14:paraId="0A86E519"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02" w:history="1">
        <w:r w:rsidRPr="00087766">
          <w:rPr>
            <w:rStyle w:val="af7"/>
            <w:noProof/>
          </w:rPr>
          <w:t>6.7.17.</w:t>
        </w:r>
        <w:r>
          <w:rPr>
            <w:rFonts w:asciiTheme="minorHAnsi" w:eastAsiaTheme="minorEastAsia" w:hAnsiTheme="minorHAnsi" w:cstheme="minorBidi"/>
            <w:iCs w:val="0"/>
            <w:noProof/>
            <w:sz w:val="22"/>
            <w:szCs w:val="22"/>
          </w:rPr>
          <w:tab/>
        </w:r>
        <w:r w:rsidRPr="00087766">
          <w:rPr>
            <w:rStyle w:val="af7"/>
            <w:noProof/>
          </w:rPr>
          <w:t>Пример XML (сервисное взаимодействие)</w:t>
        </w:r>
        <w:r>
          <w:rPr>
            <w:noProof/>
            <w:webHidden/>
          </w:rPr>
          <w:tab/>
        </w:r>
        <w:r>
          <w:rPr>
            <w:noProof/>
            <w:webHidden/>
          </w:rPr>
          <w:fldChar w:fldCharType="begin"/>
        </w:r>
        <w:r>
          <w:rPr>
            <w:noProof/>
            <w:webHidden/>
          </w:rPr>
          <w:instrText xml:space="preserve"> PAGEREF _Toc219309602 \h </w:instrText>
        </w:r>
        <w:r>
          <w:rPr>
            <w:noProof/>
            <w:webHidden/>
          </w:rPr>
        </w:r>
        <w:r>
          <w:rPr>
            <w:noProof/>
            <w:webHidden/>
          </w:rPr>
          <w:fldChar w:fldCharType="separate"/>
        </w:r>
        <w:r>
          <w:rPr>
            <w:noProof/>
            <w:webHidden/>
          </w:rPr>
          <w:t>232</w:t>
        </w:r>
        <w:r>
          <w:rPr>
            <w:noProof/>
            <w:webHidden/>
          </w:rPr>
          <w:fldChar w:fldCharType="end"/>
        </w:r>
      </w:hyperlink>
    </w:p>
    <w:p w14:paraId="740FB5C3" w14:textId="77777777" w:rsidR="008D797C" w:rsidRDefault="008D797C">
      <w:pPr>
        <w:pStyle w:val="2a"/>
        <w:tabs>
          <w:tab w:val="left" w:pos="960"/>
          <w:tab w:val="right" w:leader="dot" w:pos="9628"/>
        </w:tabs>
        <w:rPr>
          <w:rFonts w:asciiTheme="minorHAnsi" w:eastAsiaTheme="minorEastAsia" w:hAnsiTheme="minorHAnsi" w:cstheme="minorBidi"/>
          <w:noProof/>
          <w:sz w:val="22"/>
          <w:szCs w:val="22"/>
        </w:rPr>
      </w:pPr>
      <w:hyperlink w:anchor="_Toc219309603" w:history="1">
        <w:r w:rsidRPr="00087766">
          <w:rPr>
            <w:rStyle w:val="af7"/>
            <w:noProof/>
            <w:highlight w:val="green"/>
          </w:rPr>
          <w:t>6.8.</w:t>
        </w:r>
        <w:r>
          <w:rPr>
            <w:rFonts w:asciiTheme="minorHAnsi" w:eastAsiaTheme="minorEastAsia" w:hAnsiTheme="minorHAnsi" w:cstheme="minorBidi"/>
            <w:noProof/>
            <w:sz w:val="22"/>
            <w:szCs w:val="22"/>
          </w:rPr>
          <w:tab/>
        </w:r>
        <w:r w:rsidRPr="00087766">
          <w:rPr>
            <w:rStyle w:val="af7"/>
            <w:noProof/>
            <w:highlight w:val="green"/>
          </w:rPr>
          <w:t>Описание документа «Сведения о денежном обязательстве»</w:t>
        </w:r>
        <w:r>
          <w:rPr>
            <w:noProof/>
            <w:webHidden/>
          </w:rPr>
          <w:tab/>
        </w:r>
        <w:r>
          <w:rPr>
            <w:noProof/>
            <w:webHidden/>
          </w:rPr>
          <w:fldChar w:fldCharType="begin"/>
        </w:r>
        <w:r>
          <w:rPr>
            <w:noProof/>
            <w:webHidden/>
          </w:rPr>
          <w:instrText xml:space="preserve"> PAGEREF _Toc219309603 \h </w:instrText>
        </w:r>
        <w:r>
          <w:rPr>
            <w:noProof/>
            <w:webHidden/>
          </w:rPr>
        </w:r>
        <w:r>
          <w:rPr>
            <w:noProof/>
            <w:webHidden/>
          </w:rPr>
          <w:fldChar w:fldCharType="separate"/>
        </w:r>
        <w:r>
          <w:rPr>
            <w:noProof/>
            <w:webHidden/>
          </w:rPr>
          <w:t>236</w:t>
        </w:r>
        <w:r>
          <w:rPr>
            <w:noProof/>
            <w:webHidden/>
          </w:rPr>
          <w:fldChar w:fldCharType="end"/>
        </w:r>
      </w:hyperlink>
    </w:p>
    <w:p w14:paraId="19BCF733"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04" w:history="1">
        <w:r w:rsidRPr="00087766">
          <w:rPr>
            <w:rStyle w:val="af7"/>
            <w:noProof/>
          </w:rPr>
          <w:t>6.8.1.</w:t>
        </w:r>
        <w:r>
          <w:rPr>
            <w:rFonts w:asciiTheme="minorHAnsi" w:eastAsiaTheme="minorEastAsia" w:hAnsiTheme="minorHAnsi" w:cstheme="minorBidi"/>
            <w:iCs w:val="0"/>
            <w:noProof/>
            <w:sz w:val="22"/>
            <w:szCs w:val="22"/>
          </w:rPr>
          <w:tab/>
        </w:r>
        <w:r w:rsidRPr="00087766">
          <w:rPr>
            <w:rStyle w:val="af7"/>
            <w:noProof/>
          </w:rPr>
          <w:t>Назначение и маршрут документа</w:t>
        </w:r>
        <w:r>
          <w:rPr>
            <w:noProof/>
            <w:webHidden/>
          </w:rPr>
          <w:tab/>
        </w:r>
        <w:r>
          <w:rPr>
            <w:noProof/>
            <w:webHidden/>
          </w:rPr>
          <w:fldChar w:fldCharType="begin"/>
        </w:r>
        <w:r>
          <w:rPr>
            <w:noProof/>
            <w:webHidden/>
          </w:rPr>
          <w:instrText xml:space="preserve"> PAGEREF _Toc219309604 \h </w:instrText>
        </w:r>
        <w:r>
          <w:rPr>
            <w:noProof/>
            <w:webHidden/>
          </w:rPr>
        </w:r>
        <w:r>
          <w:rPr>
            <w:noProof/>
            <w:webHidden/>
          </w:rPr>
          <w:fldChar w:fldCharType="separate"/>
        </w:r>
        <w:r>
          <w:rPr>
            <w:noProof/>
            <w:webHidden/>
          </w:rPr>
          <w:t>236</w:t>
        </w:r>
        <w:r>
          <w:rPr>
            <w:noProof/>
            <w:webHidden/>
          </w:rPr>
          <w:fldChar w:fldCharType="end"/>
        </w:r>
      </w:hyperlink>
    </w:p>
    <w:p w14:paraId="01640EA9"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05" w:history="1">
        <w:r w:rsidRPr="00087766">
          <w:rPr>
            <w:rStyle w:val="af7"/>
            <w:noProof/>
            <w:highlight w:val="green"/>
          </w:rPr>
          <w:t>6.8.2.</w:t>
        </w:r>
        <w:r>
          <w:rPr>
            <w:rFonts w:asciiTheme="minorHAnsi" w:eastAsiaTheme="minorEastAsia" w:hAnsiTheme="minorHAnsi" w:cstheme="minorBidi"/>
            <w:iCs w:val="0"/>
            <w:noProof/>
            <w:sz w:val="22"/>
            <w:szCs w:val="22"/>
          </w:rPr>
          <w:tab/>
        </w:r>
        <w:r w:rsidRPr="00087766">
          <w:rPr>
            <w:rStyle w:val="af7"/>
            <w:noProof/>
            <w:highlight w:val="green"/>
          </w:rPr>
          <w:t>Описание комплексного типа «tEXP_SDO»</w:t>
        </w:r>
        <w:r>
          <w:rPr>
            <w:noProof/>
            <w:webHidden/>
          </w:rPr>
          <w:tab/>
        </w:r>
        <w:r>
          <w:rPr>
            <w:noProof/>
            <w:webHidden/>
          </w:rPr>
          <w:fldChar w:fldCharType="begin"/>
        </w:r>
        <w:r>
          <w:rPr>
            <w:noProof/>
            <w:webHidden/>
          </w:rPr>
          <w:instrText xml:space="preserve"> PAGEREF _Toc219309605 \h </w:instrText>
        </w:r>
        <w:r>
          <w:rPr>
            <w:noProof/>
            <w:webHidden/>
          </w:rPr>
        </w:r>
        <w:r>
          <w:rPr>
            <w:noProof/>
            <w:webHidden/>
          </w:rPr>
          <w:fldChar w:fldCharType="separate"/>
        </w:r>
        <w:r>
          <w:rPr>
            <w:noProof/>
            <w:webHidden/>
          </w:rPr>
          <w:t>236</w:t>
        </w:r>
        <w:r>
          <w:rPr>
            <w:noProof/>
            <w:webHidden/>
          </w:rPr>
          <w:fldChar w:fldCharType="end"/>
        </w:r>
      </w:hyperlink>
    </w:p>
    <w:p w14:paraId="76932688"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06" w:history="1">
        <w:r w:rsidRPr="00087766">
          <w:rPr>
            <w:rStyle w:val="af7"/>
            <w:noProof/>
          </w:rPr>
          <w:t>6.8.3.</w:t>
        </w:r>
        <w:r>
          <w:rPr>
            <w:rFonts w:asciiTheme="minorHAnsi" w:eastAsiaTheme="minorEastAsia" w:hAnsiTheme="minorHAnsi" w:cstheme="minorBidi"/>
            <w:iCs w:val="0"/>
            <w:noProof/>
            <w:sz w:val="22"/>
            <w:szCs w:val="22"/>
          </w:rPr>
          <w:tab/>
        </w:r>
        <w:r w:rsidRPr="00087766">
          <w:rPr>
            <w:rStyle w:val="af7"/>
            <w:noProof/>
          </w:rPr>
          <w:t>Описание комплексного типа «tPmn»</w:t>
        </w:r>
        <w:r>
          <w:rPr>
            <w:noProof/>
            <w:webHidden/>
          </w:rPr>
          <w:tab/>
        </w:r>
        <w:r>
          <w:rPr>
            <w:noProof/>
            <w:webHidden/>
          </w:rPr>
          <w:fldChar w:fldCharType="begin"/>
        </w:r>
        <w:r>
          <w:rPr>
            <w:noProof/>
            <w:webHidden/>
          </w:rPr>
          <w:instrText xml:space="preserve"> PAGEREF _Toc219309606 \h </w:instrText>
        </w:r>
        <w:r>
          <w:rPr>
            <w:noProof/>
            <w:webHidden/>
          </w:rPr>
        </w:r>
        <w:r>
          <w:rPr>
            <w:noProof/>
            <w:webHidden/>
          </w:rPr>
          <w:fldChar w:fldCharType="separate"/>
        </w:r>
        <w:r>
          <w:rPr>
            <w:noProof/>
            <w:webHidden/>
          </w:rPr>
          <w:t>243</w:t>
        </w:r>
        <w:r>
          <w:rPr>
            <w:noProof/>
            <w:webHidden/>
          </w:rPr>
          <w:fldChar w:fldCharType="end"/>
        </w:r>
      </w:hyperlink>
    </w:p>
    <w:p w14:paraId="063A3801"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07" w:history="1">
        <w:r w:rsidRPr="00087766">
          <w:rPr>
            <w:rStyle w:val="af7"/>
            <w:noProof/>
            <w:highlight w:val="green"/>
          </w:rPr>
          <w:t>6.8.4.</w:t>
        </w:r>
        <w:r>
          <w:rPr>
            <w:rFonts w:asciiTheme="minorHAnsi" w:eastAsiaTheme="minorEastAsia" w:hAnsiTheme="minorHAnsi" w:cstheme="minorBidi"/>
            <w:iCs w:val="0"/>
            <w:noProof/>
            <w:sz w:val="22"/>
            <w:szCs w:val="22"/>
          </w:rPr>
          <w:tab/>
        </w:r>
        <w:r w:rsidRPr="00087766">
          <w:rPr>
            <w:rStyle w:val="af7"/>
            <w:noProof/>
            <w:highlight w:val="green"/>
          </w:rPr>
          <w:t>Описание комплексного типа «tPmn_ITEM»</w:t>
        </w:r>
        <w:r>
          <w:rPr>
            <w:noProof/>
            <w:webHidden/>
          </w:rPr>
          <w:tab/>
        </w:r>
        <w:r>
          <w:rPr>
            <w:noProof/>
            <w:webHidden/>
          </w:rPr>
          <w:fldChar w:fldCharType="begin"/>
        </w:r>
        <w:r>
          <w:rPr>
            <w:noProof/>
            <w:webHidden/>
          </w:rPr>
          <w:instrText xml:space="preserve"> PAGEREF _Toc219309607 \h </w:instrText>
        </w:r>
        <w:r>
          <w:rPr>
            <w:noProof/>
            <w:webHidden/>
          </w:rPr>
        </w:r>
        <w:r>
          <w:rPr>
            <w:noProof/>
            <w:webHidden/>
          </w:rPr>
          <w:fldChar w:fldCharType="separate"/>
        </w:r>
        <w:r>
          <w:rPr>
            <w:noProof/>
            <w:webHidden/>
          </w:rPr>
          <w:t>244</w:t>
        </w:r>
        <w:r>
          <w:rPr>
            <w:noProof/>
            <w:webHidden/>
          </w:rPr>
          <w:fldChar w:fldCharType="end"/>
        </w:r>
      </w:hyperlink>
    </w:p>
    <w:p w14:paraId="0283427A"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08" w:history="1">
        <w:r w:rsidRPr="00087766">
          <w:rPr>
            <w:rStyle w:val="af7"/>
            <w:noProof/>
            <w:highlight w:val="green"/>
          </w:rPr>
          <w:t>6.8.5.</w:t>
        </w:r>
        <w:r>
          <w:rPr>
            <w:rFonts w:asciiTheme="minorHAnsi" w:eastAsiaTheme="minorEastAsia" w:hAnsiTheme="minorHAnsi" w:cstheme="minorBidi"/>
            <w:iCs w:val="0"/>
            <w:noProof/>
            <w:sz w:val="22"/>
            <w:szCs w:val="22"/>
          </w:rPr>
          <w:tab/>
        </w:r>
        <w:r w:rsidRPr="00087766">
          <w:rPr>
            <w:rStyle w:val="af7"/>
            <w:noProof/>
            <w:highlight w:val="green"/>
          </w:rPr>
          <w:t>Описание комплексного типа «tUPD»</w:t>
        </w:r>
        <w:r>
          <w:rPr>
            <w:noProof/>
            <w:webHidden/>
          </w:rPr>
          <w:tab/>
        </w:r>
        <w:r>
          <w:rPr>
            <w:noProof/>
            <w:webHidden/>
          </w:rPr>
          <w:fldChar w:fldCharType="begin"/>
        </w:r>
        <w:r>
          <w:rPr>
            <w:noProof/>
            <w:webHidden/>
          </w:rPr>
          <w:instrText xml:space="preserve"> PAGEREF _Toc219309608 \h </w:instrText>
        </w:r>
        <w:r>
          <w:rPr>
            <w:noProof/>
            <w:webHidden/>
          </w:rPr>
        </w:r>
        <w:r>
          <w:rPr>
            <w:noProof/>
            <w:webHidden/>
          </w:rPr>
          <w:fldChar w:fldCharType="separate"/>
        </w:r>
        <w:r>
          <w:rPr>
            <w:noProof/>
            <w:webHidden/>
          </w:rPr>
          <w:t>246</w:t>
        </w:r>
        <w:r>
          <w:rPr>
            <w:noProof/>
            <w:webHidden/>
          </w:rPr>
          <w:fldChar w:fldCharType="end"/>
        </w:r>
      </w:hyperlink>
    </w:p>
    <w:p w14:paraId="0099FA12"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09" w:history="1">
        <w:r w:rsidRPr="00087766">
          <w:rPr>
            <w:rStyle w:val="af7"/>
            <w:noProof/>
          </w:rPr>
          <w:t>6.8.6.</w:t>
        </w:r>
        <w:r>
          <w:rPr>
            <w:rFonts w:asciiTheme="minorHAnsi" w:eastAsiaTheme="minorEastAsia" w:hAnsiTheme="minorHAnsi" w:cstheme="minorBidi"/>
            <w:iCs w:val="0"/>
            <w:noProof/>
            <w:sz w:val="22"/>
            <w:szCs w:val="22"/>
          </w:rPr>
          <w:tab/>
        </w:r>
        <w:r w:rsidRPr="00087766">
          <w:rPr>
            <w:rStyle w:val="af7"/>
            <w:noProof/>
          </w:rPr>
          <w:t>Описание комплексного типа «tPjs»</w:t>
        </w:r>
        <w:r>
          <w:rPr>
            <w:noProof/>
            <w:webHidden/>
          </w:rPr>
          <w:tab/>
        </w:r>
        <w:r>
          <w:rPr>
            <w:noProof/>
            <w:webHidden/>
          </w:rPr>
          <w:fldChar w:fldCharType="begin"/>
        </w:r>
        <w:r>
          <w:rPr>
            <w:noProof/>
            <w:webHidden/>
          </w:rPr>
          <w:instrText xml:space="preserve"> PAGEREF _Toc219309609 \h </w:instrText>
        </w:r>
        <w:r>
          <w:rPr>
            <w:noProof/>
            <w:webHidden/>
          </w:rPr>
        </w:r>
        <w:r>
          <w:rPr>
            <w:noProof/>
            <w:webHidden/>
          </w:rPr>
          <w:fldChar w:fldCharType="separate"/>
        </w:r>
        <w:r>
          <w:rPr>
            <w:noProof/>
            <w:webHidden/>
          </w:rPr>
          <w:t>249</w:t>
        </w:r>
        <w:r>
          <w:rPr>
            <w:noProof/>
            <w:webHidden/>
          </w:rPr>
          <w:fldChar w:fldCharType="end"/>
        </w:r>
      </w:hyperlink>
    </w:p>
    <w:p w14:paraId="2E1B3D6A"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10" w:history="1">
        <w:r w:rsidRPr="00087766">
          <w:rPr>
            <w:rStyle w:val="af7"/>
            <w:noProof/>
            <w:highlight w:val="green"/>
          </w:rPr>
          <w:t>6.8.7.</w:t>
        </w:r>
        <w:r>
          <w:rPr>
            <w:rFonts w:asciiTheme="minorHAnsi" w:eastAsiaTheme="minorEastAsia" w:hAnsiTheme="minorHAnsi" w:cstheme="minorBidi"/>
            <w:iCs w:val="0"/>
            <w:noProof/>
            <w:sz w:val="22"/>
            <w:szCs w:val="22"/>
          </w:rPr>
          <w:tab/>
        </w:r>
        <w:r w:rsidRPr="00087766">
          <w:rPr>
            <w:rStyle w:val="af7"/>
            <w:noProof/>
            <w:highlight w:val="green"/>
          </w:rPr>
          <w:t>Описание комплексного типа «tPjs_ITEM»</w:t>
        </w:r>
        <w:r>
          <w:rPr>
            <w:noProof/>
            <w:webHidden/>
          </w:rPr>
          <w:tab/>
        </w:r>
        <w:r>
          <w:rPr>
            <w:noProof/>
            <w:webHidden/>
          </w:rPr>
          <w:fldChar w:fldCharType="begin"/>
        </w:r>
        <w:r>
          <w:rPr>
            <w:noProof/>
            <w:webHidden/>
          </w:rPr>
          <w:instrText xml:space="preserve"> PAGEREF _Toc219309610 \h </w:instrText>
        </w:r>
        <w:r>
          <w:rPr>
            <w:noProof/>
            <w:webHidden/>
          </w:rPr>
        </w:r>
        <w:r>
          <w:rPr>
            <w:noProof/>
            <w:webHidden/>
          </w:rPr>
          <w:fldChar w:fldCharType="separate"/>
        </w:r>
        <w:r>
          <w:rPr>
            <w:noProof/>
            <w:webHidden/>
          </w:rPr>
          <w:t>249</w:t>
        </w:r>
        <w:r>
          <w:rPr>
            <w:noProof/>
            <w:webHidden/>
          </w:rPr>
          <w:fldChar w:fldCharType="end"/>
        </w:r>
      </w:hyperlink>
    </w:p>
    <w:p w14:paraId="660FD0CF"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11" w:history="1">
        <w:r w:rsidRPr="00087766">
          <w:rPr>
            <w:rStyle w:val="af7"/>
            <w:noProof/>
          </w:rPr>
          <w:t>6.8.8.</w:t>
        </w:r>
        <w:r>
          <w:rPr>
            <w:rFonts w:asciiTheme="minorHAnsi" w:eastAsiaTheme="minorEastAsia" w:hAnsiTheme="minorHAnsi" w:cstheme="minorBidi"/>
            <w:iCs w:val="0"/>
            <w:noProof/>
            <w:sz w:val="22"/>
            <w:szCs w:val="22"/>
          </w:rPr>
          <w:tab/>
        </w:r>
        <w:r w:rsidRPr="00087766">
          <w:rPr>
            <w:rStyle w:val="af7"/>
            <w:noProof/>
          </w:rPr>
          <w:t>Описание комплексного типа «tCntrlNf»</w:t>
        </w:r>
        <w:r>
          <w:rPr>
            <w:noProof/>
            <w:webHidden/>
          </w:rPr>
          <w:tab/>
        </w:r>
        <w:r>
          <w:rPr>
            <w:noProof/>
            <w:webHidden/>
          </w:rPr>
          <w:fldChar w:fldCharType="begin"/>
        </w:r>
        <w:r>
          <w:rPr>
            <w:noProof/>
            <w:webHidden/>
          </w:rPr>
          <w:instrText xml:space="preserve"> PAGEREF _Toc219309611 \h </w:instrText>
        </w:r>
        <w:r>
          <w:rPr>
            <w:noProof/>
            <w:webHidden/>
          </w:rPr>
        </w:r>
        <w:r>
          <w:rPr>
            <w:noProof/>
            <w:webHidden/>
          </w:rPr>
          <w:fldChar w:fldCharType="separate"/>
        </w:r>
        <w:r>
          <w:rPr>
            <w:noProof/>
            <w:webHidden/>
          </w:rPr>
          <w:t>251</w:t>
        </w:r>
        <w:r>
          <w:rPr>
            <w:noProof/>
            <w:webHidden/>
          </w:rPr>
          <w:fldChar w:fldCharType="end"/>
        </w:r>
      </w:hyperlink>
    </w:p>
    <w:p w14:paraId="07CA82EF"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12" w:history="1">
        <w:r w:rsidRPr="00087766">
          <w:rPr>
            <w:rStyle w:val="af7"/>
            <w:noProof/>
          </w:rPr>
          <w:t>6.8.9.</w:t>
        </w:r>
        <w:r>
          <w:rPr>
            <w:rFonts w:asciiTheme="minorHAnsi" w:eastAsiaTheme="minorEastAsia" w:hAnsiTheme="minorHAnsi" w:cstheme="minorBidi"/>
            <w:iCs w:val="0"/>
            <w:noProof/>
            <w:sz w:val="22"/>
            <w:szCs w:val="22"/>
          </w:rPr>
          <w:tab/>
        </w:r>
        <w:r w:rsidRPr="00087766">
          <w:rPr>
            <w:rStyle w:val="af7"/>
            <w:noProof/>
          </w:rPr>
          <w:t>Описание комплексного типа «tCntrRslts»</w:t>
        </w:r>
        <w:r>
          <w:rPr>
            <w:noProof/>
            <w:webHidden/>
          </w:rPr>
          <w:tab/>
        </w:r>
        <w:r>
          <w:rPr>
            <w:noProof/>
            <w:webHidden/>
          </w:rPr>
          <w:fldChar w:fldCharType="begin"/>
        </w:r>
        <w:r>
          <w:rPr>
            <w:noProof/>
            <w:webHidden/>
          </w:rPr>
          <w:instrText xml:space="preserve"> PAGEREF _Toc219309612 \h </w:instrText>
        </w:r>
        <w:r>
          <w:rPr>
            <w:noProof/>
            <w:webHidden/>
          </w:rPr>
        </w:r>
        <w:r>
          <w:rPr>
            <w:noProof/>
            <w:webHidden/>
          </w:rPr>
          <w:fldChar w:fldCharType="separate"/>
        </w:r>
        <w:r>
          <w:rPr>
            <w:noProof/>
            <w:webHidden/>
          </w:rPr>
          <w:t>252</w:t>
        </w:r>
        <w:r>
          <w:rPr>
            <w:noProof/>
            <w:webHidden/>
          </w:rPr>
          <w:fldChar w:fldCharType="end"/>
        </w:r>
      </w:hyperlink>
    </w:p>
    <w:p w14:paraId="7F0DD201"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13" w:history="1">
        <w:r w:rsidRPr="00087766">
          <w:rPr>
            <w:rStyle w:val="af7"/>
            <w:noProof/>
          </w:rPr>
          <w:t>6.8.10.</w:t>
        </w:r>
        <w:r>
          <w:rPr>
            <w:rFonts w:asciiTheme="minorHAnsi" w:eastAsiaTheme="minorEastAsia" w:hAnsiTheme="minorHAnsi" w:cstheme="minorBidi"/>
            <w:iCs w:val="0"/>
            <w:noProof/>
            <w:sz w:val="22"/>
            <w:szCs w:val="22"/>
          </w:rPr>
          <w:tab/>
        </w:r>
        <w:r w:rsidRPr="00087766">
          <w:rPr>
            <w:rStyle w:val="af7"/>
            <w:noProof/>
          </w:rPr>
          <w:t>Описание комплексного типа «tCntrRslts_ITEM»</w:t>
        </w:r>
        <w:r>
          <w:rPr>
            <w:noProof/>
            <w:webHidden/>
          </w:rPr>
          <w:tab/>
        </w:r>
        <w:r>
          <w:rPr>
            <w:noProof/>
            <w:webHidden/>
          </w:rPr>
          <w:fldChar w:fldCharType="begin"/>
        </w:r>
        <w:r>
          <w:rPr>
            <w:noProof/>
            <w:webHidden/>
          </w:rPr>
          <w:instrText xml:space="preserve"> PAGEREF _Toc219309613 \h </w:instrText>
        </w:r>
        <w:r>
          <w:rPr>
            <w:noProof/>
            <w:webHidden/>
          </w:rPr>
        </w:r>
        <w:r>
          <w:rPr>
            <w:noProof/>
            <w:webHidden/>
          </w:rPr>
          <w:fldChar w:fldCharType="separate"/>
        </w:r>
        <w:r>
          <w:rPr>
            <w:noProof/>
            <w:webHidden/>
          </w:rPr>
          <w:t>252</w:t>
        </w:r>
        <w:r>
          <w:rPr>
            <w:noProof/>
            <w:webHidden/>
          </w:rPr>
          <w:fldChar w:fldCharType="end"/>
        </w:r>
      </w:hyperlink>
    </w:p>
    <w:p w14:paraId="503E5FA2"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14" w:history="1">
        <w:r w:rsidRPr="00087766">
          <w:rPr>
            <w:rStyle w:val="af7"/>
            <w:noProof/>
          </w:rPr>
          <w:t>6.8.11.</w:t>
        </w:r>
        <w:r>
          <w:rPr>
            <w:rFonts w:asciiTheme="minorHAnsi" w:eastAsiaTheme="minorEastAsia" w:hAnsiTheme="minorHAnsi" w:cstheme="minorBidi"/>
            <w:iCs w:val="0"/>
            <w:noProof/>
            <w:sz w:val="22"/>
            <w:szCs w:val="22"/>
          </w:rPr>
          <w:tab/>
        </w:r>
        <w:r w:rsidRPr="00087766">
          <w:rPr>
            <w:rStyle w:val="af7"/>
            <w:noProof/>
          </w:rPr>
          <w:t>Описание комплексного типа «tRskNfs»</w:t>
        </w:r>
        <w:r>
          <w:rPr>
            <w:noProof/>
            <w:webHidden/>
          </w:rPr>
          <w:tab/>
        </w:r>
        <w:r>
          <w:rPr>
            <w:noProof/>
            <w:webHidden/>
          </w:rPr>
          <w:fldChar w:fldCharType="begin"/>
        </w:r>
        <w:r>
          <w:rPr>
            <w:noProof/>
            <w:webHidden/>
          </w:rPr>
          <w:instrText xml:space="preserve"> PAGEREF _Toc219309614 \h </w:instrText>
        </w:r>
        <w:r>
          <w:rPr>
            <w:noProof/>
            <w:webHidden/>
          </w:rPr>
        </w:r>
        <w:r>
          <w:rPr>
            <w:noProof/>
            <w:webHidden/>
          </w:rPr>
          <w:fldChar w:fldCharType="separate"/>
        </w:r>
        <w:r>
          <w:rPr>
            <w:noProof/>
            <w:webHidden/>
          </w:rPr>
          <w:t>252</w:t>
        </w:r>
        <w:r>
          <w:rPr>
            <w:noProof/>
            <w:webHidden/>
          </w:rPr>
          <w:fldChar w:fldCharType="end"/>
        </w:r>
      </w:hyperlink>
    </w:p>
    <w:p w14:paraId="03E799A7"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15" w:history="1">
        <w:r w:rsidRPr="00087766">
          <w:rPr>
            <w:rStyle w:val="af7"/>
            <w:noProof/>
          </w:rPr>
          <w:t>6.8.12.</w:t>
        </w:r>
        <w:r>
          <w:rPr>
            <w:rFonts w:asciiTheme="minorHAnsi" w:eastAsiaTheme="minorEastAsia" w:hAnsiTheme="minorHAnsi" w:cstheme="minorBidi"/>
            <w:iCs w:val="0"/>
            <w:noProof/>
            <w:sz w:val="22"/>
            <w:szCs w:val="22"/>
          </w:rPr>
          <w:tab/>
        </w:r>
        <w:r w:rsidRPr="00087766">
          <w:rPr>
            <w:rStyle w:val="af7"/>
            <w:noProof/>
          </w:rPr>
          <w:t>Описание комплексного типа «tRsk_crt»</w:t>
        </w:r>
        <w:r>
          <w:rPr>
            <w:noProof/>
            <w:webHidden/>
          </w:rPr>
          <w:tab/>
        </w:r>
        <w:r>
          <w:rPr>
            <w:noProof/>
            <w:webHidden/>
          </w:rPr>
          <w:fldChar w:fldCharType="begin"/>
        </w:r>
        <w:r>
          <w:rPr>
            <w:noProof/>
            <w:webHidden/>
          </w:rPr>
          <w:instrText xml:space="preserve"> PAGEREF _Toc219309615 \h </w:instrText>
        </w:r>
        <w:r>
          <w:rPr>
            <w:noProof/>
            <w:webHidden/>
          </w:rPr>
        </w:r>
        <w:r>
          <w:rPr>
            <w:noProof/>
            <w:webHidden/>
          </w:rPr>
          <w:fldChar w:fldCharType="separate"/>
        </w:r>
        <w:r>
          <w:rPr>
            <w:noProof/>
            <w:webHidden/>
          </w:rPr>
          <w:t>253</w:t>
        </w:r>
        <w:r>
          <w:rPr>
            <w:noProof/>
            <w:webHidden/>
          </w:rPr>
          <w:fldChar w:fldCharType="end"/>
        </w:r>
      </w:hyperlink>
    </w:p>
    <w:p w14:paraId="66FE604D"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16" w:history="1">
        <w:r w:rsidRPr="00087766">
          <w:rPr>
            <w:rStyle w:val="af7"/>
            <w:noProof/>
          </w:rPr>
          <w:t>6.8.13.</w:t>
        </w:r>
        <w:r>
          <w:rPr>
            <w:rFonts w:asciiTheme="minorHAnsi" w:eastAsiaTheme="minorEastAsia" w:hAnsiTheme="minorHAnsi" w:cstheme="minorBidi"/>
            <w:iCs w:val="0"/>
            <w:noProof/>
            <w:sz w:val="22"/>
            <w:szCs w:val="22"/>
          </w:rPr>
          <w:tab/>
        </w:r>
        <w:r w:rsidRPr="00087766">
          <w:rPr>
            <w:rStyle w:val="af7"/>
            <w:noProof/>
          </w:rPr>
          <w:t>Описание комплексного типа «tRsk_crt_ITEM»</w:t>
        </w:r>
        <w:r>
          <w:rPr>
            <w:noProof/>
            <w:webHidden/>
          </w:rPr>
          <w:tab/>
        </w:r>
        <w:r>
          <w:rPr>
            <w:noProof/>
            <w:webHidden/>
          </w:rPr>
          <w:fldChar w:fldCharType="begin"/>
        </w:r>
        <w:r>
          <w:rPr>
            <w:noProof/>
            <w:webHidden/>
          </w:rPr>
          <w:instrText xml:space="preserve"> PAGEREF _Toc219309616 \h </w:instrText>
        </w:r>
        <w:r>
          <w:rPr>
            <w:noProof/>
            <w:webHidden/>
          </w:rPr>
        </w:r>
        <w:r>
          <w:rPr>
            <w:noProof/>
            <w:webHidden/>
          </w:rPr>
          <w:fldChar w:fldCharType="separate"/>
        </w:r>
        <w:r>
          <w:rPr>
            <w:noProof/>
            <w:webHidden/>
          </w:rPr>
          <w:t>253</w:t>
        </w:r>
        <w:r>
          <w:rPr>
            <w:noProof/>
            <w:webHidden/>
          </w:rPr>
          <w:fldChar w:fldCharType="end"/>
        </w:r>
      </w:hyperlink>
    </w:p>
    <w:p w14:paraId="47C1527F"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17" w:history="1">
        <w:r w:rsidRPr="00087766">
          <w:rPr>
            <w:rStyle w:val="af7"/>
            <w:noProof/>
          </w:rPr>
          <w:t>6.8.14.</w:t>
        </w:r>
        <w:r>
          <w:rPr>
            <w:rFonts w:asciiTheme="minorHAnsi" w:eastAsiaTheme="minorEastAsia" w:hAnsiTheme="minorHAnsi" w:cstheme="minorBidi"/>
            <w:iCs w:val="0"/>
            <w:noProof/>
            <w:sz w:val="22"/>
            <w:szCs w:val="22"/>
          </w:rPr>
          <w:tab/>
        </w:r>
        <w:r w:rsidRPr="00087766">
          <w:rPr>
            <w:rStyle w:val="af7"/>
            <w:noProof/>
          </w:rPr>
          <w:t>Пример XML (файловое взаимодействие)</w:t>
        </w:r>
        <w:r>
          <w:rPr>
            <w:noProof/>
            <w:webHidden/>
          </w:rPr>
          <w:tab/>
        </w:r>
        <w:r>
          <w:rPr>
            <w:noProof/>
            <w:webHidden/>
          </w:rPr>
          <w:fldChar w:fldCharType="begin"/>
        </w:r>
        <w:r>
          <w:rPr>
            <w:noProof/>
            <w:webHidden/>
          </w:rPr>
          <w:instrText xml:space="preserve"> PAGEREF _Toc219309617 \h </w:instrText>
        </w:r>
        <w:r>
          <w:rPr>
            <w:noProof/>
            <w:webHidden/>
          </w:rPr>
        </w:r>
        <w:r>
          <w:rPr>
            <w:noProof/>
            <w:webHidden/>
          </w:rPr>
          <w:fldChar w:fldCharType="separate"/>
        </w:r>
        <w:r>
          <w:rPr>
            <w:noProof/>
            <w:webHidden/>
          </w:rPr>
          <w:t>253</w:t>
        </w:r>
        <w:r>
          <w:rPr>
            <w:noProof/>
            <w:webHidden/>
          </w:rPr>
          <w:fldChar w:fldCharType="end"/>
        </w:r>
      </w:hyperlink>
    </w:p>
    <w:p w14:paraId="5E86BAE3"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18" w:history="1">
        <w:r w:rsidRPr="00087766">
          <w:rPr>
            <w:rStyle w:val="af7"/>
            <w:noProof/>
          </w:rPr>
          <w:t>6.8.15.</w:t>
        </w:r>
        <w:r>
          <w:rPr>
            <w:rFonts w:asciiTheme="minorHAnsi" w:eastAsiaTheme="minorEastAsia" w:hAnsiTheme="minorHAnsi" w:cstheme="minorBidi"/>
            <w:iCs w:val="0"/>
            <w:noProof/>
            <w:sz w:val="22"/>
            <w:szCs w:val="22"/>
          </w:rPr>
          <w:tab/>
        </w:r>
        <w:r w:rsidRPr="00087766">
          <w:rPr>
            <w:rStyle w:val="af7"/>
            <w:noProof/>
          </w:rPr>
          <w:t>Пример XML (сервисное взаимодействие)</w:t>
        </w:r>
        <w:r>
          <w:rPr>
            <w:noProof/>
            <w:webHidden/>
          </w:rPr>
          <w:tab/>
        </w:r>
        <w:r>
          <w:rPr>
            <w:noProof/>
            <w:webHidden/>
          </w:rPr>
          <w:fldChar w:fldCharType="begin"/>
        </w:r>
        <w:r>
          <w:rPr>
            <w:noProof/>
            <w:webHidden/>
          </w:rPr>
          <w:instrText xml:space="preserve"> PAGEREF _Toc219309618 \h </w:instrText>
        </w:r>
        <w:r>
          <w:rPr>
            <w:noProof/>
            <w:webHidden/>
          </w:rPr>
        </w:r>
        <w:r>
          <w:rPr>
            <w:noProof/>
            <w:webHidden/>
          </w:rPr>
          <w:fldChar w:fldCharType="separate"/>
        </w:r>
        <w:r>
          <w:rPr>
            <w:noProof/>
            <w:webHidden/>
          </w:rPr>
          <w:t>2</w:t>
        </w:r>
        <w:r>
          <w:rPr>
            <w:noProof/>
            <w:webHidden/>
          </w:rPr>
          <w:t>5</w:t>
        </w:r>
        <w:r>
          <w:rPr>
            <w:noProof/>
            <w:webHidden/>
          </w:rPr>
          <w:t>5</w:t>
        </w:r>
        <w:r>
          <w:rPr>
            <w:noProof/>
            <w:webHidden/>
          </w:rPr>
          <w:fldChar w:fldCharType="end"/>
        </w:r>
      </w:hyperlink>
    </w:p>
    <w:p w14:paraId="71BC6DC1" w14:textId="77777777" w:rsidR="008D797C" w:rsidRDefault="008D797C">
      <w:pPr>
        <w:pStyle w:val="2a"/>
        <w:tabs>
          <w:tab w:val="left" w:pos="960"/>
          <w:tab w:val="right" w:leader="dot" w:pos="9628"/>
        </w:tabs>
        <w:rPr>
          <w:rFonts w:asciiTheme="minorHAnsi" w:eastAsiaTheme="minorEastAsia" w:hAnsiTheme="minorHAnsi" w:cstheme="minorBidi"/>
          <w:noProof/>
          <w:sz w:val="22"/>
          <w:szCs w:val="22"/>
        </w:rPr>
      </w:pPr>
      <w:hyperlink w:anchor="_Toc219309619" w:history="1">
        <w:r w:rsidRPr="00087766">
          <w:rPr>
            <w:rStyle w:val="af7"/>
            <w:noProof/>
            <w:highlight w:val="green"/>
          </w:rPr>
          <w:t>6.9.</w:t>
        </w:r>
        <w:r>
          <w:rPr>
            <w:rFonts w:asciiTheme="minorHAnsi" w:eastAsiaTheme="minorEastAsia" w:hAnsiTheme="minorHAnsi" w:cstheme="minorBidi"/>
            <w:noProof/>
            <w:sz w:val="22"/>
            <w:szCs w:val="22"/>
          </w:rPr>
          <w:tab/>
        </w:r>
        <w:r w:rsidRPr="00087766">
          <w:rPr>
            <w:rStyle w:val="af7"/>
            <w:noProof/>
            <w:highlight w:val="green"/>
          </w:rPr>
          <w:t>Описание документа «Уведомление об уточнении вида и принадлежности платежа» (ф. 0531809)</w:t>
        </w:r>
        <w:r>
          <w:rPr>
            <w:noProof/>
            <w:webHidden/>
          </w:rPr>
          <w:tab/>
        </w:r>
        <w:r>
          <w:rPr>
            <w:noProof/>
            <w:webHidden/>
          </w:rPr>
          <w:fldChar w:fldCharType="begin"/>
        </w:r>
        <w:r>
          <w:rPr>
            <w:noProof/>
            <w:webHidden/>
          </w:rPr>
          <w:instrText xml:space="preserve"> PAGEREF _Toc219309619 \h </w:instrText>
        </w:r>
        <w:r>
          <w:rPr>
            <w:noProof/>
            <w:webHidden/>
          </w:rPr>
        </w:r>
        <w:r>
          <w:rPr>
            <w:noProof/>
            <w:webHidden/>
          </w:rPr>
          <w:fldChar w:fldCharType="separate"/>
        </w:r>
        <w:r>
          <w:rPr>
            <w:noProof/>
            <w:webHidden/>
          </w:rPr>
          <w:t>258</w:t>
        </w:r>
        <w:r>
          <w:rPr>
            <w:noProof/>
            <w:webHidden/>
          </w:rPr>
          <w:fldChar w:fldCharType="end"/>
        </w:r>
      </w:hyperlink>
    </w:p>
    <w:p w14:paraId="64CB7667"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20" w:history="1">
        <w:r w:rsidRPr="00087766">
          <w:rPr>
            <w:rStyle w:val="af7"/>
            <w:noProof/>
          </w:rPr>
          <w:t>6.9.1.</w:t>
        </w:r>
        <w:r>
          <w:rPr>
            <w:rFonts w:asciiTheme="minorHAnsi" w:eastAsiaTheme="minorEastAsia" w:hAnsiTheme="minorHAnsi" w:cstheme="minorBidi"/>
            <w:iCs w:val="0"/>
            <w:noProof/>
            <w:sz w:val="22"/>
            <w:szCs w:val="22"/>
          </w:rPr>
          <w:tab/>
        </w:r>
        <w:r w:rsidRPr="00087766">
          <w:rPr>
            <w:rStyle w:val="af7"/>
            <w:noProof/>
          </w:rPr>
          <w:t>Назначение и маршрут документа</w:t>
        </w:r>
        <w:r>
          <w:rPr>
            <w:noProof/>
            <w:webHidden/>
          </w:rPr>
          <w:tab/>
        </w:r>
        <w:r>
          <w:rPr>
            <w:noProof/>
            <w:webHidden/>
          </w:rPr>
          <w:fldChar w:fldCharType="begin"/>
        </w:r>
        <w:r>
          <w:rPr>
            <w:noProof/>
            <w:webHidden/>
          </w:rPr>
          <w:instrText xml:space="preserve"> PAGEREF _Toc219309620 \h </w:instrText>
        </w:r>
        <w:r>
          <w:rPr>
            <w:noProof/>
            <w:webHidden/>
          </w:rPr>
        </w:r>
        <w:r>
          <w:rPr>
            <w:noProof/>
            <w:webHidden/>
          </w:rPr>
          <w:fldChar w:fldCharType="separate"/>
        </w:r>
        <w:r>
          <w:rPr>
            <w:noProof/>
            <w:webHidden/>
          </w:rPr>
          <w:t>258</w:t>
        </w:r>
        <w:r>
          <w:rPr>
            <w:noProof/>
            <w:webHidden/>
          </w:rPr>
          <w:fldChar w:fldCharType="end"/>
        </w:r>
      </w:hyperlink>
    </w:p>
    <w:p w14:paraId="6C8A3FD5"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21" w:history="1">
        <w:r w:rsidRPr="00087766">
          <w:rPr>
            <w:rStyle w:val="af7"/>
            <w:noProof/>
          </w:rPr>
          <w:t>6.9.2.</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«tMSC_NtcClrTpPy»</w:t>
        </w:r>
        <w:r>
          <w:rPr>
            <w:noProof/>
            <w:webHidden/>
          </w:rPr>
          <w:tab/>
        </w:r>
        <w:r>
          <w:rPr>
            <w:noProof/>
            <w:webHidden/>
          </w:rPr>
          <w:fldChar w:fldCharType="begin"/>
        </w:r>
        <w:r>
          <w:rPr>
            <w:noProof/>
            <w:webHidden/>
          </w:rPr>
          <w:instrText xml:space="preserve"> PAGEREF _Toc219309621 \h </w:instrText>
        </w:r>
        <w:r>
          <w:rPr>
            <w:noProof/>
            <w:webHidden/>
          </w:rPr>
        </w:r>
        <w:r>
          <w:rPr>
            <w:noProof/>
            <w:webHidden/>
          </w:rPr>
          <w:fldChar w:fldCharType="separate"/>
        </w:r>
        <w:r>
          <w:rPr>
            <w:noProof/>
            <w:webHidden/>
          </w:rPr>
          <w:t>259</w:t>
        </w:r>
        <w:r>
          <w:rPr>
            <w:noProof/>
            <w:webHidden/>
          </w:rPr>
          <w:fldChar w:fldCharType="end"/>
        </w:r>
      </w:hyperlink>
    </w:p>
    <w:p w14:paraId="0EBFB63C"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22" w:history="1">
        <w:r w:rsidRPr="00087766">
          <w:rPr>
            <w:rStyle w:val="af7"/>
            <w:noProof/>
          </w:rPr>
          <w:t>6.9.3.</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«tMSC_PBS1»</w:t>
        </w:r>
        <w:r>
          <w:rPr>
            <w:noProof/>
            <w:webHidden/>
          </w:rPr>
          <w:tab/>
        </w:r>
        <w:r>
          <w:rPr>
            <w:noProof/>
            <w:webHidden/>
          </w:rPr>
          <w:fldChar w:fldCharType="begin"/>
        </w:r>
        <w:r>
          <w:rPr>
            <w:noProof/>
            <w:webHidden/>
          </w:rPr>
          <w:instrText xml:space="preserve"> PAGEREF _Toc219309622 \h </w:instrText>
        </w:r>
        <w:r>
          <w:rPr>
            <w:noProof/>
            <w:webHidden/>
          </w:rPr>
        </w:r>
        <w:r>
          <w:rPr>
            <w:noProof/>
            <w:webHidden/>
          </w:rPr>
          <w:fldChar w:fldCharType="separate"/>
        </w:r>
        <w:r>
          <w:rPr>
            <w:noProof/>
            <w:webHidden/>
          </w:rPr>
          <w:t>262</w:t>
        </w:r>
        <w:r>
          <w:rPr>
            <w:noProof/>
            <w:webHidden/>
          </w:rPr>
          <w:fldChar w:fldCharType="end"/>
        </w:r>
      </w:hyperlink>
    </w:p>
    <w:p w14:paraId="6BBEC5FB"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23" w:history="1">
        <w:r w:rsidRPr="00087766">
          <w:rPr>
            <w:rStyle w:val="af7"/>
            <w:noProof/>
          </w:rPr>
          <w:t>6.9.4.</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«tMSC_PBS_UBP1»</w:t>
        </w:r>
        <w:r>
          <w:rPr>
            <w:noProof/>
            <w:webHidden/>
          </w:rPr>
          <w:tab/>
        </w:r>
        <w:r>
          <w:rPr>
            <w:noProof/>
            <w:webHidden/>
          </w:rPr>
          <w:fldChar w:fldCharType="begin"/>
        </w:r>
        <w:r>
          <w:rPr>
            <w:noProof/>
            <w:webHidden/>
          </w:rPr>
          <w:instrText xml:space="preserve"> PAGEREF _Toc219309623 \h </w:instrText>
        </w:r>
        <w:r>
          <w:rPr>
            <w:noProof/>
            <w:webHidden/>
          </w:rPr>
        </w:r>
        <w:r>
          <w:rPr>
            <w:noProof/>
            <w:webHidden/>
          </w:rPr>
          <w:fldChar w:fldCharType="separate"/>
        </w:r>
        <w:r>
          <w:rPr>
            <w:noProof/>
            <w:webHidden/>
          </w:rPr>
          <w:t>262</w:t>
        </w:r>
        <w:r>
          <w:rPr>
            <w:noProof/>
            <w:webHidden/>
          </w:rPr>
          <w:fldChar w:fldCharType="end"/>
        </w:r>
      </w:hyperlink>
    </w:p>
    <w:p w14:paraId="10BE1224"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24" w:history="1">
        <w:r w:rsidRPr="00087766">
          <w:rPr>
            <w:rStyle w:val="af7"/>
            <w:noProof/>
          </w:rPr>
          <w:t>6.9.5.</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«tMSC_GRBS»</w:t>
        </w:r>
        <w:r>
          <w:rPr>
            <w:noProof/>
            <w:webHidden/>
          </w:rPr>
          <w:tab/>
        </w:r>
        <w:r>
          <w:rPr>
            <w:noProof/>
            <w:webHidden/>
          </w:rPr>
          <w:fldChar w:fldCharType="begin"/>
        </w:r>
        <w:r>
          <w:rPr>
            <w:noProof/>
            <w:webHidden/>
          </w:rPr>
          <w:instrText xml:space="preserve"> PAGEREF _Toc219309624 \h </w:instrText>
        </w:r>
        <w:r>
          <w:rPr>
            <w:noProof/>
            <w:webHidden/>
          </w:rPr>
        </w:r>
        <w:r>
          <w:rPr>
            <w:noProof/>
            <w:webHidden/>
          </w:rPr>
          <w:fldChar w:fldCharType="separate"/>
        </w:r>
        <w:r>
          <w:rPr>
            <w:noProof/>
            <w:webHidden/>
          </w:rPr>
          <w:t>263</w:t>
        </w:r>
        <w:r>
          <w:rPr>
            <w:noProof/>
            <w:webHidden/>
          </w:rPr>
          <w:fldChar w:fldCharType="end"/>
        </w:r>
      </w:hyperlink>
    </w:p>
    <w:p w14:paraId="66CAAE8A"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25" w:history="1">
        <w:r w:rsidRPr="00087766">
          <w:rPr>
            <w:rStyle w:val="af7"/>
            <w:noProof/>
          </w:rPr>
          <w:t>6.9.6.</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«tMSC_Orgnztn3»</w:t>
        </w:r>
        <w:r>
          <w:rPr>
            <w:noProof/>
            <w:webHidden/>
          </w:rPr>
          <w:tab/>
        </w:r>
        <w:r>
          <w:rPr>
            <w:noProof/>
            <w:webHidden/>
          </w:rPr>
          <w:fldChar w:fldCharType="begin"/>
        </w:r>
        <w:r>
          <w:rPr>
            <w:noProof/>
            <w:webHidden/>
          </w:rPr>
          <w:instrText xml:space="preserve"> PAGEREF _Toc219309625 \h </w:instrText>
        </w:r>
        <w:r>
          <w:rPr>
            <w:noProof/>
            <w:webHidden/>
          </w:rPr>
        </w:r>
        <w:r>
          <w:rPr>
            <w:noProof/>
            <w:webHidden/>
          </w:rPr>
          <w:fldChar w:fldCharType="separate"/>
        </w:r>
        <w:r>
          <w:rPr>
            <w:noProof/>
            <w:webHidden/>
          </w:rPr>
          <w:t>263</w:t>
        </w:r>
        <w:r>
          <w:rPr>
            <w:noProof/>
            <w:webHidden/>
          </w:rPr>
          <w:fldChar w:fldCharType="end"/>
        </w:r>
      </w:hyperlink>
    </w:p>
    <w:p w14:paraId="0896DE92"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26" w:history="1">
        <w:r w:rsidRPr="00087766">
          <w:rPr>
            <w:rStyle w:val="af7"/>
            <w:noProof/>
          </w:rPr>
          <w:t>6.9.7.</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«tMSC_TOFK»</w:t>
        </w:r>
        <w:r>
          <w:rPr>
            <w:noProof/>
            <w:webHidden/>
          </w:rPr>
          <w:tab/>
        </w:r>
        <w:r>
          <w:rPr>
            <w:noProof/>
            <w:webHidden/>
          </w:rPr>
          <w:fldChar w:fldCharType="begin"/>
        </w:r>
        <w:r>
          <w:rPr>
            <w:noProof/>
            <w:webHidden/>
          </w:rPr>
          <w:instrText xml:space="preserve"> PAGEREF _Toc219309626 \h </w:instrText>
        </w:r>
        <w:r>
          <w:rPr>
            <w:noProof/>
            <w:webHidden/>
          </w:rPr>
        </w:r>
        <w:r>
          <w:rPr>
            <w:noProof/>
            <w:webHidden/>
          </w:rPr>
          <w:fldChar w:fldCharType="separate"/>
        </w:r>
        <w:r>
          <w:rPr>
            <w:noProof/>
            <w:webHidden/>
          </w:rPr>
          <w:t>263</w:t>
        </w:r>
        <w:r>
          <w:rPr>
            <w:noProof/>
            <w:webHidden/>
          </w:rPr>
          <w:fldChar w:fldCharType="end"/>
        </w:r>
      </w:hyperlink>
    </w:p>
    <w:p w14:paraId="1EE532E0"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27" w:history="1">
        <w:r w:rsidRPr="00087766">
          <w:rPr>
            <w:rStyle w:val="af7"/>
            <w:noProof/>
          </w:rPr>
          <w:t>6.9.8.</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«tMSC_FnclInst»</w:t>
        </w:r>
        <w:r>
          <w:rPr>
            <w:noProof/>
            <w:webHidden/>
          </w:rPr>
          <w:tab/>
        </w:r>
        <w:r>
          <w:rPr>
            <w:noProof/>
            <w:webHidden/>
          </w:rPr>
          <w:fldChar w:fldCharType="begin"/>
        </w:r>
        <w:r>
          <w:rPr>
            <w:noProof/>
            <w:webHidden/>
          </w:rPr>
          <w:instrText xml:space="preserve"> PAGEREF _Toc219309627 \h </w:instrText>
        </w:r>
        <w:r>
          <w:rPr>
            <w:noProof/>
            <w:webHidden/>
          </w:rPr>
        </w:r>
        <w:r>
          <w:rPr>
            <w:noProof/>
            <w:webHidden/>
          </w:rPr>
          <w:fldChar w:fldCharType="separate"/>
        </w:r>
        <w:r>
          <w:rPr>
            <w:noProof/>
            <w:webHidden/>
          </w:rPr>
          <w:t>264</w:t>
        </w:r>
        <w:r>
          <w:rPr>
            <w:noProof/>
            <w:webHidden/>
          </w:rPr>
          <w:fldChar w:fldCharType="end"/>
        </w:r>
      </w:hyperlink>
    </w:p>
    <w:p w14:paraId="59DD78D1"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28" w:history="1">
        <w:r w:rsidRPr="00087766">
          <w:rPr>
            <w:rStyle w:val="af7"/>
            <w:noProof/>
          </w:rPr>
          <w:t>6.9.9.</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«tMSC_SrcTypeComplex5»</w:t>
        </w:r>
        <w:r>
          <w:rPr>
            <w:noProof/>
            <w:webHidden/>
          </w:rPr>
          <w:tab/>
        </w:r>
        <w:r>
          <w:rPr>
            <w:noProof/>
            <w:webHidden/>
          </w:rPr>
          <w:fldChar w:fldCharType="begin"/>
        </w:r>
        <w:r>
          <w:rPr>
            <w:noProof/>
            <w:webHidden/>
          </w:rPr>
          <w:instrText xml:space="preserve"> PAGEREF _Toc219309628 \h </w:instrText>
        </w:r>
        <w:r>
          <w:rPr>
            <w:noProof/>
            <w:webHidden/>
          </w:rPr>
        </w:r>
        <w:r>
          <w:rPr>
            <w:noProof/>
            <w:webHidden/>
          </w:rPr>
          <w:fldChar w:fldCharType="separate"/>
        </w:r>
        <w:r>
          <w:rPr>
            <w:noProof/>
            <w:webHidden/>
          </w:rPr>
          <w:t>264</w:t>
        </w:r>
        <w:r>
          <w:rPr>
            <w:noProof/>
            <w:webHidden/>
          </w:rPr>
          <w:fldChar w:fldCharType="end"/>
        </w:r>
      </w:hyperlink>
    </w:p>
    <w:p w14:paraId="2070C1AB"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29" w:history="1">
        <w:r w:rsidRPr="00087766">
          <w:rPr>
            <w:rStyle w:val="af7"/>
            <w:noProof/>
          </w:rPr>
          <w:t>6.9.10.</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«tMSC_Pyr»</w:t>
        </w:r>
        <w:r>
          <w:rPr>
            <w:noProof/>
            <w:webHidden/>
          </w:rPr>
          <w:tab/>
        </w:r>
        <w:r>
          <w:rPr>
            <w:noProof/>
            <w:webHidden/>
          </w:rPr>
          <w:fldChar w:fldCharType="begin"/>
        </w:r>
        <w:r>
          <w:rPr>
            <w:noProof/>
            <w:webHidden/>
          </w:rPr>
          <w:instrText xml:space="preserve"> PAGEREF _Toc219309629 \h </w:instrText>
        </w:r>
        <w:r>
          <w:rPr>
            <w:noProof/>
            <w:webHidden/>
          </w:rPr>
        </w:r>
        <w:r>
          <w:rPr>
            <w:noProof/>
            <w:webHidden/>
          </w:rPr>
          <w:fldChar w:fldCharType="separate"/>
        </w:r>
        <w:r>
          <w:rPr>
            <w:noProof/>
            <w:webHidden/>
          </w:rPr>
          <w:t>265</w:t>
        </w:r>
        <w:r>
          <w:rPr>
            <w:noProof/>
            <w:webHidden/>
          </w:rPr>
          <w:fldChar w:fldCharType="end"/>
        </w:r>
      </w:hyperlink>
    </w:p>
    <w:p w14:paraId="20C28B80"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30" w:history="1">
        <w:r w:rsidRPr="00087766">
          <w:rPr>
            <w:rStyle w:val="af7"/>
            <w:noProof/>
          </w:rPr>
          <w:t>6.9.11.</w:t>
        </w:r>
        <w:r>
          <w:rPr>
            <w:rFonts w:asciiTheme="minorHAnsi" w:eastAsiaTheme="minorEastAsia" w:hAnsiTheme="minorHAnsi" w:cstheme="minorBidi"/>
            <w:iCs w:val="0"/>
            <w:noProof/>
            <w:sz w:val="22"/>
            <w:szCs w:val="22"/>
          </w:rPr>
          <w:tab/>
        </w:r>
        <w:r w:rsidRPr="00087766">
          <w:rPr>
            <w:rStyle w:val="af7"/>
            <w:noProof/>
          </w:rPr>
          <w:t>Описание комплексного типа «tSGNNmPsPh»</w:t>
        </w:r>
        <w:r>
          <w:rPr>
            <w:noProof/>
            <w:webHidden/>
          </w:rPr>
          <w:tab/>
        </w:r>
        <w:r>
          <w:rPr>
            <w:noProof/>
            <w:webHidden/>
          </w:rPr>
          <w:fldChar w:fldCharType="begin"/>
        </w:r>
        <w:r>
          <w:rPr>
            <w:noProof/>
            <w:webHidden/>
          </w:rPr>
          <w:instrText xml:space="preserve"> PAGEREF _Toc219309630 \h </w:instrText>
        </w:r>
        <w:r>
          <w:rPr>
            <w:noProof/>
            <w:webHidden/>
          </w:rPr>
        </w:r>
        <w:r>
          <w:rPr>
            <w:noProof/>
            <w:webHidden/>
          </w:rPr>
          <w:fldChar w:fldCharType="separate"/>
        </w:r>
        <w:r>
          <w:rPr>
            <w:noProof/>
            <w:webHidden/>
          </w:rPr>
          <w:t>266</w:t>
        </w:r>
        <w:r>
          <w:rPr>
            <w:noProof/>
            <w:webHidden/>
          </w:rPr>
          <w:fldChar w:fldCharType="end"/>
        </w:r>
      </w:hyperlink>
    </w:p>
    <w:p w14:paraId="626E60D3"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31" w:history="1">
        <w:r w:rsidRPr="00087766">
          <w:rPr>
            <w:rStyle w:val="af7"/>
            <w:noProof/>
          </w:rPr>
          <w:t>6.9.12.</w:t>
        </w:r>
        <w:r>
          <w:rPr>
            <w:rFonts w:asciiTheme="minorHAnsi" w:eastAsiaTheme="minorEastAsia" w:hAnsiTheme="minorHAnsi" w:cstheme="minorBidi"/>
            <w:iCs w:val="0"/>
            <w:noProof/>
            <w:sz w:val="22"/>
            <w:szCs w:val="22"/>
          </w:rPr>
          <w:tab/>
        </w:r>
        <w:r w:rsidRPr="00087766">
          <w:rPr>
            <w:rStyle w:val="af7"/>
            <w:noProof/>
          </w:rPr>
          <w:t>Описание комплексного типа «tSGNNmPsPh2»</w:t>
        </w:r>
        <w:r>
          <w:rPr>
            <w:noProof/>
            <w:webHidden/>
          </w:rPr>
          <w:tab/>
        </w:r>
        <w:r>
          <w:rPr>
            <w:noProof/>
            <w:webHidden/>
          </w:rPr>
          <w:fldChar w:fldCharType="begin"/>
        </w:r>
        <w:r>
          <w:rPr>
            <w:noProof/>
            <w:webHidden/>
          </w:rPr>
          <w:instrText xml:space="preserve"> PAGEREF _Toc219309631 \h </w:instrText>
        </w:r>
        <w:r>
          <w:rPr>
            <w:noProof/>
            <w:webHidden/>
          </w:rPr>
        </w:r>
        <w:r>
          <w:rPr>
            <w:noProof/>
            <w:webHidden/>
          </w:rPr>
          <w:fldChar w:fldCharType="separate"/>
        </w:r>
        <w:r>
          <w:rPr>
            <w:noProof/>
            <w:webHidden/>
          </w:rPr>
          <w:t>267</w:t>
        </w:r>
        <w:r>
          <w:rPr>
            <w:noProof/>
            <w:webHidden/>
          </w:rPr>
          <w:fldChar w:fldCharType="end"/>
        </w:r>
      </w:hyperlink>
    </w:p>
    <w:p w14:paraId="3F8568C0"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32" w:history="1">
        <w:r w:rsidRPr="00087766">
          <w:rPr>
            <w:rStyle w:val="af7"/>
            <w:noProof/>
          </w:rPr>
          <w:t>6.9.13.</w:t>
        </w:r>
        <w:r>
          <w:rPr>
            <w:rFonts w:asciiTheme="minorHAnsi" w:eastAsiaTheme="minorEastAsia" w:hAnsiTheme="minorHAnsi" w:cstheme="minorBidi"/>
            <w:iCs w:val="0"/>
            <w:noProof/>
            <w:sz w:val="22"/>
            <w:szCs w:val="22"/>
          </w:rPr>
          <w:tab/>
        </w:r>
        <w:r w:rsidRPr="00087766">
          <w:rPr>
            <w:rStyle w:val="af7"/>
            <w:noProof/>
          </w:rPr>
          <w:t>Описание комплексного типа «tUFPP»</w:t>
        </w:r>
        <w:r>
          <w:rPr>
            <w:noProof/>
            <w:webHidden/>
          </w:rPr>
          <w:tab/>
        </w:r>
        <w:r>
          <w:rPr>
            <w:noProof/>
            <w:webHidden/>
          </w:rPr>
          <w:fldChar w:fldCharType="begin"/>
        </w:r>
        <w:r>
          <w:rPr>
            <w:noProof/>
            <w:webHidden/>
          </w:rPr>
          <w:instrText xml:space="preserve"> PAGEREF _Toc219309632 \h </w:instrText>
        </w:r>
        <w:r>
          <w:rPr>
            <w:noProof/>
            <w:webHidden/>
          </w:rPr>
        </w:r>
        <w:r>
          <w:rPr>
            <w:noProof/>
            <w:webHidden/>
          </w:rPr>
          <w:fldChar w:fldCharType="separate"/>
        </w:r>
        <w:r>
          <w:rPr>
            <w:noProof/>
            <w:webHidden/>
          </w:rPr>
          <w:t>267</w:t>
        </w:r>
        <w:r>
          <w:rPr>
            <w:noProof/>
            <w:webHidden/>
          </w:rPr>
          <w:fldChar w:fldCharType="end"/>
        </w:r>
      </w:hyperlink>
    </w:p>
    <w:p w14:paraId="7C106F61"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33" w:history="1">
        <w:r w:rsidRPr="00087766">
          <w:rPr>
            <w:rStyle w:val="af7"/>
            <w:noProof/>
            <w:highlight w:val="green"/>
          </w:rPr>
          <w:t>6.9.14.</w:t>
        </w:r>
        <w:r>
          <w:rPr>
            <w:rFonts w:asciiTheme="minorHAnsi" w:eastAsiaTheme="minorEastAsia" w:hAnsiTheme="minorHAnsi" w:cstheme="minorBidi"/>
            <w:iCs w:val="0"/>
            <w:noProof/>
            <w:sz w:val="22"/>
            <w:szCs w:val="22"/>
          </w:rPr>
          <w:tab/>
        </w:r>
        <w:r w:rsidRPr="00087766">
          <w:rPr>
            <w:rStyle w:val="af7"/>
            <w:noProof/>
            <w:highlight w:val="green"/>
          </w:rPr>
          <w:t>Описание комплексного типа «tUFPP_ITEM»</w:t>
        </w:r>
        <w:r>
          <w:rPr>
            <w:noProof/>
            <w:webHidden/>
          </w:rPr>
          <w:tab/>
        </w:r>
        <w:r>
          <w:rPr>
            <w:noProof/>
            <w:webHidden/>
          </w:rPr>
          <w:fldChar w:fldCharType="begin"/>
        </w:r>
        <w:r>
          <w:rPr>
            <w:noProof/>
            <w:webHidden/>
          </w:rPr>
          <w:instrText xml:space="preserve"> PAGEREF _Toc219309633 \h </w:instrText>
        </w:r>
        <w:r>
          <w:rPr>
            <w:noProof/>
            <w:webHidden/>
          </w:rPr>
        </w:r>
        <w:r>
          <w:rPr>
            <w:noProof/>
            <w:webHidden/>
          </w:rPr>
          <w:fldChar w:fldCharType="separate"/>
        </w:r>
        <w:r>
          <w:rPr>
            <w:noProof/>
            <w:webHidden/>
          </w:rPr>
          <w:t>268</w:t>
        </w:r>
        <w:r>
          <w:rPr>
            <w:noProof/>
            <w:webHidden/>
          </w:rPr>
          <w:fldChar w:fldCharType="end"/>
        </w:r>
      </w:hyperlink>
    </w:p>
    <w:p w14:paraId="1D8DD014"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34" w:history="1">
        <w:r w:rsidRPr="00087766">
          <w:rPr>
            <w:rStyle w:val="af7"/>
            <w:noProof/>
          </w:rPr>
          <w:t>6.9.15.</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«tMSC_PymntOrdr»</w:t>
        </w:r>
        <w:r>
          <w:rPr>
            <w:noProof/>
            <w:webHidden/>
          </w:rPr>
          <w:tab/>
        </w:r>
        <w:r>
          <w:rPr>
            <w:noProof/>
            <w:webHidden/>
          </w:rPr>
          <w:fldChar w:fldCharType="begin"/>
        </w:r>
        <w:r>
          <w:rPr>
            <w:noProof/>
            <w:webHidden/>
          </w:rPr>
          <w:instrText xml:space="preserve"> PAGEREF _Toc219309634 \h </w:instrText>
        </w:r>
        <w:r>
          <w:rPr>
            <w:noProof/>
            <w:webHidden/>
          </w:rPr>
        </w:r>
        <w:r>
          <w:rPr>
            <w:noProof/>
            <w:webHidden/>
          </w:rPr>
          <w:fldChar w:fldCharType="separate"/>
        </w:r>
        <w:r>
          <w:rPr>
            <w:noProof/>
            <w:webHidden/>
          </w:rPr>
          <w:t>270</w:t>
        </w:r>
        <w:r>
          <w:rPr>
            <w:noProof/>
            <w:webHidden/>
          </w:rPr>
          <w:fldChar w:fldCharType="end"/>
        </w:r>
      </w:hyperlink>
    </w:p>
    <w:p w14:paraId="64746236"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35" w:history="1">
        <w:r w:rsidRPr="00087766">
          <w:rPr>
            <w:rStyle w:val="af7"/>
            <w:noProof/>
          </w:rPr>
          <w:t>6.9.16.</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«tMSC_IncmAdmn»</w:t>
        </w:r>
        <w:r>
          <w:rPr>
            <w:noProof/>
            <w:webHidden/>
          </w:rPr>
          <w:tab/>
        </w:r>
        <w:r>
          <w:rPr>
            <w:noProof/>
            <w:webHidden/>
          </w:rPr>
          <w:fldChar w:fldCharType="begin"/>
        </w:r>
        <w:r>
          <w:rPr>
            <w:noProof/>
            <w:webHidden/>
          </w:rPr>
          <w:instrText xml:space="preserve"> PAGEREF _Toc219309635 \h </w:instrText>
        </w:r>
        <w:r>
          <w:rPr>
            <w:noProof/>
            <w:webHidden/>
          </w:rPr>
        </w:r>
        <w:r>
          <w:rPr>
            <w:noProof/>
            <w:webHidden/>
          </w:rPr>
          <w:fldChar w:fldCharType="separate"/>
        </w:r>
        <w:r>
          <w:rPr>
            <w:noProof/>
            <w:webHidden/>
          </w:rPr>
          <w:t>272</w:t>
        </w:r>
        <w:r>
          <w:rPr>
            <w:noProof/>
            <w:webHidden/>
          </w:rPr>
          <w:fldChar w:fldCharType="end"/>
        </w:r>
      </w:hyperlink>
    </w:p>
    <w:p w14:paraId="5FE88E60"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36" w:history="1">
        <w:r w:rsidRPr="00087766">
          <w:rPr>
            <w:rStyle w:val="af7"/>
            <w:noProof/>
          </w:rPr>
          <w:t>6.9.17.</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«tMSC_KBK10_20_31_32»</w:t>
        </w:r>
        <w:r>
          <w:rPr>
            <w:noProof/>
            <w:webHidden/>
          </w:rPr>
          <w:tab/>
        </w:r>
        <w:r>
          <w:rPr>
            <w:noProof/>
            <w:webHidden/>
          </w:rPr>
          <w:fldChar w:fldCharType="begin"/>
        </w:r>
        <w:r>
          <w:rPr>
            <w:noProof/>
            <w:webHidden/>
          </w:rPr>
          <w:instrText xml:space="preserve"> PAGEREF _Toc219309636 \h </w:instrText>
        </w:r>
        <w:r>
          <w:rPr>
            <w:noProof/>
            <w:webHidden/>
          </w:rPr>
        </w:r>
        <w:r>
          <w:rPr>
            <w:noProof/>
            <w:webHidden/>
          </w:rPr>
          <w:fldChar w:fldCharType="separate"/>
        </w:r>
        <w:r>
          <w:rPr>
            <w:noProof/>
            <w:webHidden/>
          </w:rPr>
          <w:t>274</w:t>
        </w:r>
        <w:r>
          <w:rPr>
            <w:noProof/>
            <w:webHidden/>
          </w:rPr>
          <w:fldChar w:fldCharType="end"/>
        </w:r>
      </w:hyperlink>
    </w:p>
    <w:p w14:paraId="77AAF421"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37" w:history="1">
        <w:r w:rsidRPr="00087766">
          <w:rPr>
            <w:rStyle w:val="af7"/>
            <w:noProof/>
          </w:rPr>
          <w:t>6.9.18.</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«tMSC_BKTp10_20_31_32Complex»</w:t>
        </w:r>
        <w:r>
          <w:rPr>
            <w:noProof/>
            <w:webHidden/>
          </w:rPr>
          <w:tab/>
        </w:r>
        <w:r>
          <w:rPr>
            <w:noProof/>
            <w:webHidden/>
          </w:rPr>
          <w:fldChar w:fldCharType="begin"/>
        </w:r>
        <w:r>
          <w:rPr>
            <w:noProof/>
            <w:webHidden/>
          </w:rPr>
          <w:instrText xml:space="preserve"> PAGEREF _Toc219309637 \h </w:instrText>
        </w:r>
        <w:r>
          <w:rPr>
            <w:noProof/>
            <w:webHidden/>
          </w:rPr>
        </w:r>
        <w:r>
          <w:rPr>
            <w:noProof/>
            <w:webHidden/>
          </w:rPr>
          <w:fldChar w:fldCharType="separate"/>
        </w:r>
        <w:r>
          <w:rPr>
            <w:noProof/>
            <w:webHidden/>
          </w:rPr>
          <w:t>276</w:t>
        </w:r>
        <w:r>
          <w:rPr>
            <w:noProof/>
            <w:webHidden/>
          </w:rPr>
          <w:fldChar w:fldCharType="end"/>
        </w:r>
      </w:hyperlink>
    </w:p>
    <w:p w14:paraId="74648E78"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38" w:history="1">
        <w:r w:rsidRPr="00087766">
          <w:rPr>
            <w:rStyle w:val="af7"/>
            <w:noProof/>
          </w:rPr>
          <w:t>6.9.19.</w:t>
        </w:r>
        <w:r>
          <w:rPr>
            <w:rFonts w:asciiTheme="minorHAnsi" w:eastAsiaTheme="minorEastAsia" w:hAnsiTheme="minorHAnsi" w:cstheme="minorBidi"/>
            <w:iCs w:val="0"/>
            <w:noProof/>
            <w:sz w:val="22"/>
            <w:szCs w:val="22"/>
          </w:rPr>
          <w:tab/>
        </w:r>
        <w:r w:rsidRPr="00087766">
          <w:rPr>
            <w:rStyle w:val="af7"/>
            <w:noProof/>
          </w:rPr>
          <w:t>Описание комплексного типа «tUFPP_N»</w:t>
        </w:r>
        <w:r>
          <w:rPr>
            <w:noProof/>
            <w:webHidden/>
          </w:rPr>
          <w:tab/>
        </w:r>
        <w:r>
          <w:rPr>
            <w:noProof/>
            <w:webHidden/>
          </w:rPr>
          <w:fldChar w:fldCharType="begin"/>
        </w:r>
        <w:r>
          <w:rPr>
            <w:noProof/>
            <w:webHidden/>
          </w:rPr>
          <w:instrText xml:space="preserve"> PAGEREF _Toc219309638 \h </w:instrText>
        </w:r>
        <w:r>
          <w:rPr>
            <w:noProof/>
            <w:webHidden/>
          </w:rPr>
        </w:r>
        <w:r>
          <w:rPr>
            <w:noProof/>
            <w:webHidden/>
          </w:rPr>
          <w:fldChar w:fldCharType="separate"/>
        </w:r>
        <w:r>
          <w:rPr>
            <w:noProof/>
            <w:webHidden/>
          </w:rPr>
          <w:t>276</w:t>
        </w:r>
        <w:r>
          <w:rPr>
            <w:noProof/>
            <w:webHidden/>
          </w:rPr>
          <w:fldChar w:fldCharType="end"/>
        </w:r>
      </w:hyperlink>
    </w:p>
    <w:p w14:paraId="50BA94CB"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39" w:history="1">
        <w:r w:rsidRPr="00087766">
          <w:rPr>
            <w:rStyle w:val="af7"/>
            <w:noProof/>
            <w:highlight w:val="green"/>
          </w:rPr>
          <w:t>6.9.20.</w:t>
        </w:r>
        <w:r>
          <w:rPr>
            <w:rFonts w:asciiTheme="minorHAnsi" w:eastAsiaTheme="minorEastAsia" w:hAnsiTheme="minorHAnsi" w:cstheme="minorBidi"/>
            <w:iCs w:val="0"/>
            <w:noProof/>
            <w:sz w:val="22"/>
            <w:szCs w:val="22"/>
          </w:rPr>
          <w:tab/>
        </w:r>
        <w:r w:rsidRPr="00087766">
          <w:rPr>
            <w:rStyle w:val="af7"/>
            <w:noProof/>
            <w:highlight w:val="green"/>
          </w:rPr>
          <w:t>Описание комплексного типа «tUFPP_N_ITEM»</w:t>
        </w:r>
        <w:r>
          <w:rPr>
            <w:noProof/>
            <w:webHidden/>
          </w:rPr>
          <w:tab/>
        </w:r>
        <w:r>
          <w:rPr>
            <w:noProof/>
            <w:webHidden/>
          </w:rPr>
          <w:fldChar w:fldCharType="begin"/>
        </w:r>
        <w:r>
          <w:rPr>
            <w:noProof/>
            <w:webHidden/>
          </w:rPr>
          <w:instrText xml:space="preserve"> PAGEREF _Toc219309639 \h </w:instrText>
        </w:r>
        <w:r>
          <w:rPr>
            <w:noProof/>
            <w:webHidden/>
          </w:rPr>
        </w:r>
        <w:r>
          <w:rPr>
            <w:noProof/>
            <w:webHidden/>
          </w:rPr>
          <w:fldChar w:fldCharType="separate"/>
        </w:r>
        <w:r>
          <w:rPr>
            <w:noProof/>
            <w:webHidden/>
          </w:rPr>
          <w:t>277</w:t>
        </w:r>
        <w:r>
          <w:rPr>
            <w:noProof/>
            <w:webHidden/>
          </w:rPr>
          <w:fldChar w:fldCharType="end"/>
        </w:r>
      </w:hyperlink>
    </w:p>
    <w:p w14:paraId="20EB0BAF"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40" w:history="1">
        <w:r w:rsidRPr="00087766">
          <w:rPr>
            <w:rStyle w:val="af7"/>
            <w:noProof/>
          </w:rPr>
          <w:t>6.9.21.</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«tMSC_Rcpnt»</w:t>
        </w:r>
        <w:r>
          <w:rPr>
            <w:noProof/>
            <w:webHidden/>
          </w:rPr>
          <w:tab/>
        </w:r>
        <w:r>
          <w:rPr>
            <w:noProof/>
            <w:webHidden/>
          </w:rPr>
          <w:fldChar w:fldCharType="begin"/>
        </w:r>
        <w:r>
          <w:rPr>
            <w:noProof/>
            <w:webHidden/>
          </w:rPr>
          <w:instrText xml:space="preserve"> PAGEREF _Toc219309640 \h </w:instrText>
        </w:r>
        <w:r>
          <w:rPr>
            <w:noProof/>
            <w:webHidden/>
          </w:rPr>
        </w:r>
        <w:r>
          <w:rPr>
            <w:noProof/>
            <w:webHidden/>
          </w:rPr>
          <w:fldChar w:fldCharType="separate"/>
        </w:r>
        <w:r>
          <w:rPr>
            <w:noProof/>
            <w:webHidden/>
          </w:rPr>
          <w:t>278</w:t>
        </w:r>
        <w:r>
          <w:rPr>
            <w:noProof/>
            <w:webHidden/>
          </w:rPr>
          <w:fldChar w:fldCharType="end"/>
        </w:r>
      </w:hyperlink>
    </w:p>
    <w:p w14:paraId="742C0D8A"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41" w:history="1">
        <w:r w:rsidRPr="00087766">
          <w:rPr>
            <w:rStyle w:val="af7"/>
            <w:noProof/>
          </w:rPr>
          <w:t>6.9.22.</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«tMSC_Infrmtn»</w:t>
        </w:r>
        <w:r>
          <w:rPr>
            <w:noProof/>
            <w:webHidden/>
          </w:rPr>
          <w:tab/>
        </w:r>
        <w:r>
          <w:rPr>
            <w:noProof/>
            <w:webHidden/>
          </w:rPr>
          <w:fldChar w:fldCharType="begin"/>
        </w:r>
        <w:r>
          <w:rPr>
            <w:noProof/>
            <w:webHidden/>
          </w:rPr>
          <w:instrText xml:space="preserve"> PAGEREF _Toc219309641 \h </w:instrText>
        </w:r>
        <w:r>
          <w:rPr>
            <w:noProof/>
            <w:webHidden/>
          </w:rPr>
        </w:r>
        <w:r>
          <w:rPr>
            <w:noProof/>
            <w:webHidden/>
          </w:rPr>
          <w:fldChar w:fldCharType="separate"/>
        </w:r>
        <w:r>
          <w:rPr>
            <w:noProof/>
            <w:webHidden/>
          </w:rPr>
          <w:t>279</w:t>
        </w:r>
        <w:r>
          <w:rPr>
            <w:noProof/>
            <w:webHidden/>
          </w:rPr>
          <w:fldChar w:fldCharType="end"/>
        </w:r>
      </w:hyperlink>
    </w:p>
    <w:p w14:paraId="59106696"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42" w:history="1">
        <w:r w:rsidRPr="00087766">
          <w:rPr>
            <w:rStyle w:val="af7"/>
            <w:noProof/>
          </w:rPr>
          <w:t>6.9.23.</w:t>
        </w:r>
        <w:r>
          <w:rPr>
            <w:rFonts w:asciiTheme="minorHAnsi" w:eastAsiaTheme="minorEastAsia" w:hAnsiTheme="minorHAnsi" w:cstheme="minorBidi"/>
            <w:iCs w:val="0"/>
            <w:noProof/>
            <w:sz w:val="22"/>
            <w:szCs w:val="22"/>
          </w:rPr>
          <w:tab/>
        </w:r>
        <w:r w:rsidRPr="00087766">
          <w:rPr>
            <w:rStyle w:val="af7"/>
            <w:noProof/>
          </w:rPr>
          <w:t>Пример XML</w:t>
        </w:r>
        <w:r>
          <w:rPr>
            <w:noProof/>
            <w:webHidden/>
          </w:rPr>
          <w:tab/>
        </w:r>
        <w:r>
          <w:rPr>
            <w:noProof/>
            <w:webHidden/>
          </w:rPr>
          <w:fldChar w:fldCharType="begin"/>
        </w:r>
        <w:r>
          <w:rPr>
            <w:noProof/>
            <w:webHidden/>
          </w:rPr>
          <w:instrText xml:space="preserve"> PAGEREF _Toc219309642 \h </w:instrText>
        </w:r>
        <w:r>
          <w:rPr>
            <w:noProof/>
            <w:webHidden/>
          </w:rPr>
        </w:r>
        <w:r>
          <w:rPr>
            <w:noProof/>
            <w:webHidden/>
          </w:rPr>
          <w:fldChar w:fldCharType="separate"/>
        </w:r>
        <w:r>
          <w:rPr>
            <w:noProof/>
            <w:webHidden/>
          </w:rPr>
          <w:t>280</w:t>
        </w:r>
        <w:r>
          <w:rPr>
            <w:noProof/>
            <w:webHidden/>
          </w:rPr>
          <w:fldChar w:fldCharType="end"/>
        </w:r>
      </w:hyperlink>
    </w:p>
    <w:p w14:paraId="653C6148" w14:textId="77777777" w:rsidR="008D797C" w:rsidRDefault="008D797C">
      <w:pPr>
        <w:pStyle w:val="2a"/>
        <w:tabs>
          <w:tab w:val="left" w:pos="960"/>
          <w:tab w:val="right" w:leader="dot" w:pos="9628"/>
        </w:tabs>
        <w:rPr>
          <w:rFonts w:asciiTheme="minorHAnsi" w:eastAsiaTheme="minorEastAsia" w:hAnsiTheme="minorHAnsi" w:cstheme="minorBidi"/>
          <w:noProof/>
          <w:sz w:val="22"/>
          <w:szCs w:val="22"/>
        </w:rPr>
      </w:pPr>
      <w:hyperlink w:anchor="_Toc219309643" w:history="1">
        <w:r w:rsidRPr="00087766">
          <w:rPr>
            <w:rStyle w:val="af7"/>
            <w:noProof/>
            <w:highlight w:val="green"/>
          </w:rPr>
          <w:t>6.10.</w:t>
        </w:r>
        <w:r>
          <w:rPr>
            <w:rFonts w:asciiTheme="minorHAnsi" w:eastAsiaTheme="minorEastAsia" w:hAnsiTheme="minorHAnsi" w:cstheme="minorBidi"/>
            <w:noProof/>
            <w:sz w:val="22"/>
            <w:szCs w:val="22"/>
          </w:rPr>
          <w:tab/>
        </w:r>
        <w:r w:rsidRPr="00087766">
          <w:rPr>
            <w:rStyle w:val="af7"/>
            <w:noProof/>
            <w:highlight w:val="green"/>
          </w:rPr>
          <w:t>Описание документа «Распоряжение о перечислении денежных средств на банковские карты «Мир» физических лиц»</w:t>
        </w:r>
        <w:r>
          <w:rPr>
            <w:noProof/>
            <w:webHidden/>
          </w:rPr>
          <w:tab/>
        </w:r>
        <w:r>
          <w:rPr>
            <w:noProof/>
            <w:webHidden/>
          </w:rPr>
          <w:fldChar w:fldCharType="begin"/>
        </w:r>
        <w:r>
          <w:rPr>
            <w:noProof/>
            <w:webHidden/>
          </w:rPr>
          <w:instrText xml:space="preserve"> PAGEREF _Toc219309643 \h </w:instrText>
        </w:r>
        <w:r>
          <w:rPr>
            <w:noProof/>
            <w:webHidden/>
          </w:rPr>
        </w:r>
        <w:r>
          <w:rPr>
            <w:noProof/>
            <w:webHidden/>
          </w:rPr>
          <w:fldChar w:fldCharType="separate"/>
        </w:r>
        <w:r>
          <w:rPr>
            <w:noProof/>
            <w:webHidden/>
          </w:rPr>
          <w:t>285</w:t>
        </w:r>
        <w:r>
          <w:rPr>
            <w:noProof/>
            <w:webHidden/>
          </w:rPr>
          <w:fldChar w:fldCharType="end"/>
        </w:r>
      </w:hyperlink>
    </w:p>
    <w:p w14:paraId="586CEA5C"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44" w:history="1">
        <w:r w:rsidRPr="00087766">
          <w:rPr>
            <w:rStyle w:val="af7"/>
            <w:noProof/>
            <w:highlight w:val="green"/>
          </w:rPr>
          <w:t>6.10.1.</w:t>
        </w:r>
        <w:r>
          <w:rPr>
            <w:rFonts w:asciiTheme="minorHAnsi" w:eastAsiaTheme="minorEastAsia" w:hAnsiTheme="minorHAnsi" w:cstheme="minorBidi"/>
            <w:iCs w:val="0"/>
            <w:noProof/>
            <w:sz w:val="22"/>
            <w:szCs w:val="22"/>
          </w:rPr>
          <w:tab/>
        </w:r>
        <w:r w:rsidRPr="00087766">
          <w:rPr>
            <w:rStyle w:val="af7"/>
            <w:noProof/>
            <w:highlight w:val="green"/>
          </w:rPr>
          <w:t>Назначение и маршрут документа</w:t>
        </w:r>
        <w:r>
          <w:rPr>
            <w:noProof/>
            <w:webHidden/>
          </w:rPr>
          <w:tab/>
        </w:r>
        <w:r>
          <w:rPr>
            <w:noProof/>
            <w:webHidden/>
          </w:rPr>
          <w:fldChar w:fldCharType="begin"/>
        </w:r>
        <w:r>
          <w:rPr>
            <w:noProof/>
            <w:webHidden/>
          </w:rPr>
          <w:instrText xml:space="preserve"> PAGEREF _Toc219309644 \h </w:instrText>
        </w:r>
        <w:r>
          <w:rPr>
            <w:noProof/>
            <w:webHidden/>
          </w:rPr>
        </w:r>
        <w:r>
          <w:rPr>
            <w:noProof/>
            <w:webHidden/>
          </w:rPr>
          <w:fldChar w:fldCharType="separate"/>
        </w:r>
        <w:r>
          <w:rPr>
            <w:noProof/>
            <w:webHidden/>
          </w:rPr>
          <w:t>285</w:t>
        </w:r>
        <w:r>
          <w:rPr>
            <w:noProof/>
            <w:webHidden/>
          </w:rPr>
          <w:fldChar w:fldCharType="end"/>
        </w:r>
      </w:hyperlink>
    </w:p>
    <w:p w14:paraId="6567B824"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45" w:history="1">
        <w:r w:rsidRPr="00087766">
          <w:rPr>
            <w:rStyle w:val="af7"/>
            <w:noProof/>
            <w:highlight w:val="green"/>
          </w:rPr>
          <w:t>6.10.2.</w:t>
        </w:r>
        <w:r>
          <w:rPr>
            <w:rFonts w:asciiTheme="minorHAnsi" w:eastAsiaTheme="minorEastAsia" w:hAnsiTheme="minorHAnsi" w:cstheme="minorBidi"/>
            <w:iCs w:val="0"/>
            <w:noProof/>
            <w:sz w:val="22"/>
            <w:szCs w:val="22"/>
          </w:rPr>
          <w:tab/>
        </w:r>
        <w:r w:rsidRPr="00087766">
          <w:rPr>
            <w:rStyle w:val="af7"/>
            <w:noProof/>
            <w:highlight w:val="green"/>
          </w:rPr>
          <w:t>Описание комплексного типа «tOrder_Mir»</w:t>
        </w:r>
        <w:r>
          <w:rPr>
            <w:noProof/>
            <w:webHidden/>
          </w:rPr>
          <w:tab/>
        </w:r>
        <w:r>
          <w:rPr>
            <w:noProof/>
            <w:webHidden/>
          </w:rPr>
          <w:fldChar w:fldCharType="begin"/>
        </w:r>
        <w:r>
          <w:rPr>
            <w:noProof/>
            <w:webHidden/>
          </w:rPr>
          <w:instrText xml:space="preserve"> PAGEREF _Toc219309645 \h </w:instrText>
        </w:r>
        <w:r>
          <w:rPr>
            <w:noProof/>
            <w:webHidden/>
          </w:rPr>
        </w:r>
        <w:r>
          <w:rPr>
            <w:noProof/>
            <w:webHidden/>
          </w:rPr>
          <w:fldChar w:fldCharType="separate"/>
        </w:r>
        <w:r>
          <w:rPr>
            <w:noProof/>
            <w:webHidden/>
          </w:rPr>
          <w:t>286</w:t>
        </w:r>
        <w:r>
          <w:rPr>
            <w:noProof/>
            <w:webHidden/>
          </w:rPr>
          <w:fldChar w:fldCharType="end"/>
        </w:r>
      </w:hyperlink>
    </w:p>
    <w:p w14:paraId="57102C6C"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46" w:history="1">
        <w:r w:rsidRPr="00087766">
          <w:rPr>
            <w:rStyle w:val="af7"/>
            <w:noProof/>
          </w:rPr>
          <w:t>6.10.3.</w:t>
        </w:r>
        <w:r>
          <w:rPr>
            <w:rFonts w:asciiTheme="minorHAnsi" w:eastAsiaTheme="minorEastAsia" w:hAnsiTheme="minorHAnsi" w:cstheme="minorBidi"/>
            <w:iCs w:val="0"/>
            <w:noProof/>
            <w:sz w:val="22"/>
            <w:szCs w:val="22"/>
          </w:rPr>
          <w:tab/>
        </w:r>
        <w:r w:rsidRPr="00087766">
          <w:rPr>
            <w:rStyle w:val="af7"/>
            <w:noProof/>
          </w:rPr>
          <w:t>Описание комплексного типа «tInf_Pmnts»</w:t>
        </w:r>
        <w:r>
          <w:rPr>
            <w:noProof/>
            <w:webHidden/>
          </w:rPr>
          <w:tab/>
        </w:r>
        <w:r>
          <w:rPr>
            <w:noProof/>
            <w:webHidden/>
          </w:rPr>
          <w:fldChar w:fldCharType="begin"/>
        </w:r>
        <w:r>
          <w:rPr>
            <w:noProof/>
            <w:webHidden/>
          </w:rPr>
          <w:instrText xml:space="preserve"> PAGEREF _Toc219309646 \h </w:instrText>
        </w:r>
        <w:r>
          <w:rPr>
            <w:noProof/>
            <w:webHidden/>
          </w:rPr>
        </w:r>
        <w:r>
          <w:rPr>
            <w:noProof/>
            <w:webHidden/>
          </w:rPr>
          <w:fldChar w:fldCharType="separate"/>
        </w:r>
        <w:r>
          <w:rPr>
            <w:noProof/>
            <w:webHidden/>
          </w:rPr>
          <w:t>291</w:t>
        </w:r>
        <w:r>
          <w:rPr>
            <w:noProof/>
            <w:webHidden/>
          </w:rPr>
          <w:fldChar w:fldCharType="end"/>
        </w:r>
      </w:hyperlink>
    </w:p>
    <w:p w14:paraId="228501EE"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47" w:history="1">
        <w:r w:rsidRPr="00087766">
          <w:rPr>
            <w:rStyle w:val="af7"/>
            <w:noProof/>
          </w:rPr>
          <w:t>6.10.4.</w:t>
        </w:r>
        <w:r>
          <w:rPr>
            <w:rFonts w:asciiTheme="minorHAnsi" w:eastAsiaTheme="minorEastAsia" w:hAnsiTheme="minorHAnsi" w:cstheme="minorBidi"/>
            <w:iCs w:val="0"/>
            <w:noProof/>
            <w:sz w:val="22"/>
            <w:szCs w:val="22"/>
          </w:rPr>
          <w:tab/>
        </w:r>
        <w:r w:rsidRPr="00087766">
          <w:rPr>
            <w:rStyle w:val="af7"/>
            <w:noProof/>
          </w:rPr>
          <w:t>Описание комплексного типа «tInf_Pmnts_ITEM»</w:t>
        </w:r>
        <w:r>
          <w:rPr>
            <w:noProof/>
            <w:webHidden/>
          </w:rPr>
          <w:tab/>
        </w:r>
        <w:r>
          <w:rPr>
            <w:noProof/>
            <w:webHidden/>
          </w:rPr>
          <w:fldChar w:fldCharType="begin"/>
        </w:r>
        <w:r>
          <w:rPr>
            <w:noProof/>
            <w:webHidden/>
          </w:rPr>
          <w:instrText xml:space="preserve"> PAGEREF _Toc219309647 \h </w:instrText>
        </w:r>
        <w:r>
          <w:rPr>
            <w:noProof/>
            <w:webHidden/>
          </w:rPr>
        </w:r>
        <w:r>
          <w:rPr>
            <w:noProof/>
            <w:webHidden/>
          </w:rPr>
          <w:fldChar w:fldCharType="separate"/>
        </w:r>
        <w:r>
          <w:rPr>
            <w:noProof/>
            <w:webHidden/>
          </w:rPr>
          <w:t>291</w:t>
        </w:r>
        <w:r>
          <w:rPr>
            <w:noProof/>
            <w:webHidden/>
          </w:rPr>
          <w:fldChar w:fldCharType="end"/>
        </w:r>
      </w:hyperlink>
    </w:p>
    <w:p w14:paraId="63A7C101"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48" w:history="1">
        <w:r w:rsidRPr="00087766">
          <w:rPr>
            <w:rStyle w:val="af7"/>
            <w:noProof/>
          </w:rPr>
          <w:t>6.10.5.</w:t>
        </w:r>
        <w:r>
          <w:rPr>
            <w:rFonts w:asciiTheme="minorHAnsi" w:eastAsiaTheme="minorEastAsia" w:hAnsiTheme="minorHAnsi" w:cstheme="minorBidi"/>
            <w:iCs w:val="0"/>
            <w:noProof/>
            <w:sz w:val="22"/>
            <w:szCs w:val="22"/>
          </w:rPr>
          <w:tab/>
        </w:r>
        <w:r w:rsidRPr="00087766">
          <w:rPr>
            <w:rStyle w:val="af7"/>
            <w:noProof/>
          </w:rPr>
          <w:t>Описание комплексного типа «tAmntKBK»</w:t>
        </w:r>
        <w:r>
          <w:rPr>
            <w:noProof/>
            <w:webHidden/>
          </w:rPr>
          <w:tab/>
        </w:r>
        <w:r>
          <w:rPr>
            <w:noProof/>
            <w:webHidden/>
          </w:rPr>
          <w:fldChar w:fldCharType="begin"/>
        </w:r>
        <w:r>
          <w:rPr>
            <w:noProof/>
            <w:webHidden/>
          </w:rPr>
          <w:instrText xml:space="preserve"> PAGEREF _Toc219309648 \h </w:instrText>
        </w:r>
        <w:r>
          <w:rPr>
            <w:noProof/>
            <w:webHidden/>
          </w:rPr>
        </w:r>
        <w:r>
          <w:rPr>
            <w:noProof/>
            <w:webHidden/>
          </w:rPr>
          <w:fldChar w:fldCharType="separate"/>
        </w:r>
        <w:r>
          <w:rPr>
            <w:noProof/>
            <w:webHidden/>
          </w:rPr>
          <w:t>294</w:t>
        </w:r>
        <w:r>
          <w:rPr>
            <w:noProof/>
            <w:webHidden/>
          </w:rPr>
          <w:fldChar w:fldCharType="end"/>
        </w:r>
      </w:hyperlink>
    </w:p>
    <w:p w14:paraId="35A43063"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49" w:history="1">
        <w:r w:rsidRPr="00087766">
          <w:rPr>
            <w:rStyle w:val="af7"/>
            <w:noProof/>
          </w:rPr>
          <w:t>6.10.6.</w:t>
        </w:r>
        <w:r>
          <w:rPr>
            <w:rFonts w:asciiTheme="minorHAnsi" w:eastAsiaTheme="minorEastAsia" w:hAnsiTheme="minorHAnsi" w:cstheme="minorBidi"/>
            <w:iCs w:val="0"/>
            <w:noProof/>
            <w:sz w:val="22"/>
            <w:szCs w:val="22"/>
          </w:rPr>
          <w:tab/>
        </w:r>
        <w:r w:rsidRPr="00087766">
          <w:rPr>
            <w:rStyle w:val="af7"/>
            <w:noProof/>
          </w:rPr>
          <w:t>Описание комплексного типа «tAmntKBK_ITEM»</w:t>
        </w:r>
        <w:r>
          <w:rPr>
            <w:noProof/>
            <w:webHidden/>
          </w:rPr>
          <w:tab/>
        </w:r>
        <w:r>
          <w:rPr>
            <w:noProof/>
            <w:webHidden/>
          </w:rPr>
          <w:fldChar w:fldCharType="begin"/>
        </w:r>
        <w:r>
          <w:rPr>
            <w:noProof/>
            <w:webHidden/>
          </w:rPr>
          <w:instrText xml:space="preserve"> PAGEREF _Toc219309649 \h </w:instrText>
        </w:r>
        <w:r>
          <w:rPr>
            <w:noProof/>
            <w:webHidden/>
          </w:rPr>
        </w:r>
        <w:r>
          <w:rPr>
            <w:noProof/>
            <w:webHidden/>
          </w:rPr>
          <w:fldChar w:fldCharType="separate"/>
        </w:r>
        <w:r>
          <w:rPr>
            <w:noProof/>
            <w:webHidden/>
          </w:rPr>
          <w:t>294</w:t>
        </w:r>
        <w:r>
          <w:rPr>
            <w:noProof/>
            <w:webHidden/>
          </w:rPr>
          <w:fldChar w:fldCharType="end"/>
        </w:r>
      </w:hyperlink>
    </w:p>
    <w:p w14:paraId="76E10474"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50" w:history="1">
        <w:r w:rsidRPr="00087766">
          <w:rPr>
            <w:rStyle w:val="af7"/>
            <w:noProof/>
          </w:rPr>
          <w:t>6.10.7.</w:t>
        </w:r>
        <w:r>
          <w:rPr>
            <w:rFonts w:asciiTheme="minorHAnsi" w:eastAsiaTheme="minorEastAsia" w:hAnsiTheme="minorHAnsi" w:cstheme="minorBidi"/>
            <w:iCs w:val="0"/>
            <w:noProof/>
            <w:sz w:val="22"/>
            <w:szCs w:val="22"/>
          </w:rPr>
          <w:tab/>
        </w:r>
        <w:r w:rsidRPr="00087766">
          <w:rPr>
            <w:rStyle w:val="af7"/>
            <w:noProof/>
          </w:rPr>
          <w:t>Описание комплексного типа «tSGN»</w:t>
        </w:r>
        <w:r>
          <w:rPr>
            <w:noProof/>
            <w:webHidden/>
          </w:rPr>
          <w:tab/>
        </w:r>
        <w:r>
          <w:rPr>
            <w:noProof/>
            <w:webHidden/>
          </w:rPr>
          <w:fldChar w:fldCharType="begin"/>
        </w:r>
        <w:r>
          <w:rPr>
            <w:noProof/>
            <w:webHidden/>
          </w:rPr>
          <w:instrText xml:space="preserve"> PAGEREF _Toc219309650 \h </w:instrText>
        </w:r>
        <w:r>
          <w:rPr>
            <w:noProof/>
            <w:webHidden/>
          </w:rPr>
        </w:r>
        <w:r>
          <w:rPr>
            <w:noProof/>
            <w:webHidden/>
          </w:rPr>
          <w:fldChar w:fldCharType="separate"/>
        </w:r>
        <w:r>
          <w:rPr>
            <w:noProof/>
            <w:webHidden/>
          </w:rPr>
          <w:t>294</w:t>
        </w:r>
        <w:r>
          <w:rPr>
            <w:noProof/>
            <w:webHidden/>
          </w:rPr>
          <w:fldChar w:fldCharType="end"/>
        </w:r>
      </w:hyperlink>
    </w:p>
    <w:p w14:paraId="3174C2B7"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51" w:history="1">
        <w:r w:rsidRPr="00087766">
          <w:rPr>
            <w:rStyle w:val="af7"/>
            <w:noProof/>
          </w:rPr>
          <w:t>6.10.8.</w:t>
        </w:r>
        <w:r>
          <w:rPr>
            <w:rFonts w:asciiTheme="minorHAnsi" w:eastAsiaTheme="minorEastAsia" w:hAnsiTheme="minorHAnsi" w:cstheme="minorBidi"/>
            <w:iCs w:val="0"/>
            <w:noProof/>
            <w:sz w:val="22"/>
            <w:szCs w:val="22"/>
          </w:rPr>
          <w:tab/>
        </w:r>
        <w:r w:rsidRPr="00087766">
          <w:rPr>
            <w:rStyle w:val="af7"/>
            <w:noProof/>
          </w:rPr>
          <w:t>Пример XML (файловое взаимодействие)</w:t>
        </w:r>
        <w:r>
          <w:rPr>
            <w:noProof/>
            <w:webHidden/>
          </w:rPr>
          <w:tab/>
        </w:r>
        <w:r>
          <w:rPr>
            <w:noProof/>
            <w:webHidden/>
          </w:rPr>
          <w:fldChar w:fldCharType="begin"/>
        </w:r>
        <w:r>
          <w:rPr>
            <w:noProof/>
            <w:webHidden/>
          </w:rPr>
          <w:instrText xml:space="preserve"> PAGEREF _Toc219309651 \h </w:instrText>
        </w:r>
        <w:r>
          <w:rPr>
            <w:noProof/>
            <w:webHidden/>
          </w:rPr>
        </w:r>
        <w:r>
          <w:rPr>
            <w:noProof/>
            <w:webHidden/>
          </w:rPr>
          <w:fldChar w:fldCharType="separate"/>
        </w:r>
        <w:r>
          <w:rPr>
            <w:noProof/>
            <w:webHidden/>
          </w:rPr>
          <w:t>295</w:t>
        </w:r>
        <w:r>
          <w:rPr>
            <w:noProof/>
            <w:webHidden/>
          </w:rPr>
          <w:fldChar w:fldCharType="end"/>
        </w:r>
      </w:hyperlink>
    </w:p>
    <w:p w14:paraId="675EA199"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52" w:history="1">
        <w:r w:rsidRPr="00087766">
          <w:rPr>
            <w:rStyle w:val="af7"/>
            <w:noProof/>
          </w:rPr>
          <w:t>6.10.9.</w:t>
        </w:r>
        <w:r>
          <w:rPr>
            <w:rFonts w:asciiTheme="minorHAnsi" w:eastAsiaTheme="minorEastAsia" w:hAnsiTheme="minorHAnsi" w:cstheme="minorBidi"/>
            <w:iCs w:val="0"/>
            <w:noProof/>
            <w:sz w:val="22"/>
            <w:szCs w:val="22"/>
          </w:rPr>
          <w:tab/>
        </w:r>
        <w:r w:rsidRPr="00087766">
          <w:rPr>
            <w:rStyle w:val="af7"/>
            <w:noProof/>
          </w:rPr>
          <w:t>Пример XML (сервисное взаимодействие)</w:t>
        </w:r>
        <w:r>
          <w:rPr>
            <w:noProof/>
            <w:webHidden/>
          </w:rPr>
          <w:tab/>
        </w:r>
        <w:r>
          <w:rPr>
            <w:noProof/>
            <w:webHidden/>
          </w:rPr>
          <w:fldChar w:fldCharType="begin"/>
        </w:r>
        <w:r>
          <w:rPr>
            <w:noProof/>
            <w:webHidden/>
          </w:rPr>
          <w:instrText xml:space="preserve"> PAGEREF _Toc219309652 \h </w:instrText>
        </w:r>
        <w:r>
          <w:rPr>
            <w:noProof/>
            <w:webHidden/>
          </w:rPr>
        </w:r>
        <w:r>
          <w:rPr>
            <w:noProof/>
            <w:webHidden/>
          </w:rPr>
          <w:fldChar w:fldCharType="separate"/>
        </w:r>
        <w:r>
          <w:rPr>
            <w:noProof/>
            <w:webHidden/>
          </w:rPr>
          <w:t>296</w:t>
        </w:r>
        <w:r>
          <w:rPr>
            <w:noProof/>
            <w:webHidden/>
          </w:rPr>
          <w:fldChar w:fldCharType="end"/>
        </w:r>
      </w:hyperlink>
    </w:p>
    <w:p w14:paraId="346A507C"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653" w:history="1">
        <w:r w:rsidRPr="00087766">
          <w:rPr>
            <w:rStyle w:val="af7"/>
            <w:noProof/>
          </w:rPr>
          <w:t>6.10.10.</w:t>
        </w:r>
        <w:r>
          <w:rPr>
            <w:rFonts w:asciiTheme="minorHAnsi" w:eastAsiaTheme="minorEastAsia" w:hAnsiTheme="minorHAnsi" w:cstheme="minorBidi"/>
            <w:iCs w:val="0"/>
            <w:noProof/>
            <w:sz w:val="22"/>
            <w:szCs w:val="22"/>
          </w:rPr>
          <w:tab/>
        </w:r>
        <w:r w:rsidRPr="00087766">
          <w:rPr>
            <w:rStyle w:val="af7"/>
            <w:noProof/>
          </w:rPr>
          <w:t>Пример XML (ЕСМВ)</w:t>
        </w:r>
        <w:r>
          <w:rPr>
            <w:noProof/>
            <w:webHidden/>
          </w:rPr>
          <w:tab/>
        </w:r>
        <w:r>
          <w:rPr>
            <w:noProof/>
            <w:webHidden/>
          </w:rPr>
          <w:fldChar w:fldCharType="begin"/>
        </w:r>
        <w:r>
          <w:rPr>
            <w:noProof/>
            <w:webHidden/>
          </w:rPr>
          <w:instrText xml:space="preserve"> PAGEREF _Toc219309653 \h </w:instrText>
        </w:r>
        <w:r>
          <w:rPr>
            <w:noProof/>
            <w:webHidden/>
          </w:rPr>
        </w:r>
        <w:r>
          <w:rPr>
            <w:noProof/>
            <w:webHidden/>
          </w:rPr>
          <w:fldChar w:fldCharType="separate"/>
        </w:r>
        <w:r>
          <w:rPr>
            <w:noProof/>
            <w:webHidden/>
          </w:rPr>
          <w:t>297</w:t>
        </w:r>
        <w:r>
          <w:rPr>
            <w:noProof/>
            <w:webHidden/>
          </w:rPr>
          <w:fldChar w:fldCharType="end"/>
        </w:r>
      </w:hyperlink>
    </w:p>
    <w:p w14:paraId="6D9E8015" w14:textId="77777777" w:rsidR="008D797C" w:rsidRDefault="008D797C">
      <w:pPr>
        <w:pStyle w:val="2a"/>
        <w:tabs>
          <w:tab w:val="left" w:pos="960"/>
          <w:tab w:val="right" w:leader="dot" w:pos="9628"/>
        </w:tabs>
        <w:rPr>
          <w:rFonts w:asciiTheme="minorHAnsi" w:eastAsiaTheme="minorEastAsia" w:hAnsiTheme="minorHAnsi" w:cstheme="minorBidi"/>
          <w:noProof/>
          <w:sz w:val="22"/>
          <w:szCs w:val="22"/>
        </w:rPr>
      </w:pPr>
      <w:hyperlink w:anchor="_Toc219309654" w:history="1">
        <w:r w:rsidRPr="00087766">
          <w:rPr>
            <w:rStyle w:val="af7"/>
            <w:noProof/>
          </w:rPr>
          <w:t>6.11.</w:t>
        </w:r>
        <w:r>
          <w:rPr>
            <w:rFonts w:asciiTheme="minorHAnsi" w:eastAsiaTheme="minorEastAsia" w:hAnsiTheme="minorHAnsi" w:cstheme="minorBidi"/>
            <w:noProof/>
            <w:sz w:val="22"/>
            <w:szCs w:val="22"/>
          </w:rPr>
          <w:tab/>
        </w:r>
        <w:r w:rsidRPr="00087766">
          <w:rPr>
            <w:rStyle w:val="af7"/>
            <w:noProof/>
          </w:rPr>
          <w:t>Описание документа «Сведения о соглашении/об изменении соглашения»</w:t>
        </w:r>
        <w:r>
          <w:rPr>
            <w:noProof/>
            <w:webHidden/>
          </w:rPr>
          <w:tab/>
        </w:r>
        <w:r>
          <w:rPr>
            <w:noProof/>
            <w:webHidden/>
          </w:rPr>
          <w:fldChar w:fldCharType="begin"/>
        </w:r>
        <w:r>
          <w:rPr>
            <w:noProof/>
            <w:webHidden/>
          </w:rPr>
          <w:instrText xml:space="preserve"> PAGEREF _Toc219309654 \h </w:instrText>
        </w:r>
        <w:r>
          <w:rPr>
            <w:noProof/>
            <w:webHidden/>
          </w:rPr>
        </w:r>
        <w:r>
          <w:rPr>
            <w:noProof/>
            <w:webHidden/>
          </w:rPr>
          <w:fldChar w:fldCharType="separate"/>
        </w:r>
        <w:r>
          <w:rPr>
            <w:noProof/>
            <w:webHidden/>
          </w:rPr>
          <w:t>300</w:t>
        </w:r>
        <w:r>
          <w:rPr>
            <w:noProof/>
            <w:webHidden/>
          </w:rPr>
          <w:fldChar w:fldCharType="end"/>
        </w:r>
      </w:hyperlink>
    </w:p>
    <w:p w14:paraId="74A49A11"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55" w:history="1">
        <w:r w:rsidRPr="00087766">
          <w:rPr>
            <w:rStyle w:val="af7"/>
            <w:noProof/>
            <w:lang w:val="en-US"/>
          </w:rPr>
          <w:t>6.11.1.</w:t>
        </w:r>
        <w:r>
          <w:rPr>
            <w:rFonts w:asciiTheme="minorHAnsi" w:eastAsiaTheme="minorEastAsia" w:hAnsiTheme="minorHAnsi" w:cstheme="minorBidi"/>
            <w:iCs w:val="0"/>
            <w:noProof/>
            <w:sz w:val="22"/>
            <w:szCs w:val="22"/>
          </w:rPr>
          <w:tab/>
        </w:r>
        <w:r w:rsidRPr="00087766">
          <w:rPr>
            <w:rStyle w:val="af7"/>
            <w:noProof/>
          </w:rPr>
          <w:t>Назначение</w:t>
        </w:r>
        <w:r w:rsidRPr="00087766">
          <w:rPr>
            <w:rStyle w:val="af7"/>
            <w:noProof/>
            <w:lang w:val="en-US"/>
          </w:rPr>
          <w:t xml:space="preserve"> </w:t>
        </w:r>
        <w:r w:rsidRPr="00087766">
          <w:rPr>
            <w:rStyle w:val="af7"/>
            <w:noProof/>
          </w:rPr>
          <w:t>и</w:t>
        </w:r>
        <w:r w:rsidRPr="00087766">
          <w:rPr>
            <w:rStyle w:val="af7"/>
            <w:noProof/>
            <w:lang w:val="en-US"/>
          </w:rPr>
          <w:t xml:space="preserve"> </w:t>
        </w:r>
        <w:r w:rsidRPr="00087766">
          <w:rPr>
            <w:rStyle w:val="af7"/>
            <w:noProof/>
          </w:rPr>
          <w:t>маршрут</w:t>
        </w:r>
        <w:r w:rsidRPr="00087766">
          <w:rPr>
            <w:rStyle w:val="af7"/>
            <w:noProof/>
            <w:lang w:val="en-US"/>
          </w:rPr>
          <w:t xml:space="preserve"> </w:t>
        </w:r>
        <w:r w:rsidRPr="00087766">
          <w:rPr>
            <w:rStyle w:val="af7"/>
            <w:noProof/>
          </w:rPr>
          <w:t>документа</w:t>
        </w:r>
        <w:r>
          <w:rPr>
            <w:noProof/>
            <w:webHidden/>
          </w:rPr>
          <w:tab/>
        </w:r>
        <w:r>
          <w:rPr>
            <w:noProof/>
            <w:webHidden/>
          </w:rPr>
          <w:fldChar w:fldCharType="begin"/>
        </w:r>
        <w:r>
          <w:rPr>
            <w:noProof/>
            <w:webHidden/>
          </w:rPr>
          <w:instrText xml:space="preserve"> PAGEREF _Toc219309655 \h </w:instrText>
        </w:r>
        <w:r>
          <w:rPr>
            <w:noProof/>
            <w:webHidden/>
          </w:rPr>
        </w:r>
        <w:r>
          <w:rPr>
            <w:noProof/>
            <w:webHidden/>
          </w:rPr>
          <w:fldChar w:fldCharType="separate"/>
        </w:r>
        <w:r>
          <w:rPr>
            <w:noProof/>
            <w:webHidden/>
          </w:rPr>
          <w:t>300</w:t>
        </w:r>
        <w:r>
          <w:rPr>
            <w:noProof/>
            <w:webHidden/>
          </w:rPr>
          <w:fldChar w:fldCharType="end"/>
        </w:r>
      </w:hyperlink>
    </w:p>
    <w:p w14:paraId="69B76281"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56" w:history="1">
        <w:r w:rsidRPr="00087766">
          <w:rPr>
            <w:rStyle w:val="af7"/>
            <w:noProof/>
            <w:lang w:val="en-US"/>
          </w:rPr>
          <w:t>6.11.2.</w:t>
        </w:r>
        <w:r>
          <w:rPr>
            <w:rFonts w:asciiTheme="minorHAnsi" w:eastAsiaTheme="minorEastAsia" w:hAnsiTheme="minorHAnsi" w:cstheme="minorBidi"/>
            <w:iCs w:val="0"/>
            <w:noProof/>
            <w:sz w:val="22"/>
            <w:szCs w:val="22"/>
          </w:rPr>
          <w:tab/>
        </w:r>
        <w:r w:rsidRPr="00087766">
          <w:rPr>
            <w:rStyle w:val="af7"/>
            <w:noProof/>
          </w:rPr>
          <w:t>Описание</w:t>
        </w:r>
        <w:r w:rsidRPr="00087766">
          <w:rPr>
            <w:rStyle w:val="af7"/>
            <w:noProof/>
            <w:lang w:val="en-US"/>
          </w:rPr>
          <w:t xml:space="preserve"> </w:t>
        </w:r>
        <w:r w:rsidRPr="00087766">
          <w:rPr>
            <w:rStyle w:val="af7"/>
            <w:noProof/>
          </w:rPr>
          <w:t>комплексного</w:t>
        </w:r>
        <w:r w:rsidRPr="00087766">
          <w:rPr>
            <w:rStyle w:val="af7"/>
            <w:noProof/>
            <w:lang w:val="en-US"/>
          </w:rPr>
          <w:t xml:space="preserve"> </w:t>
        </w:r>
        <w:r w:rsidRPr="00087766">
          <w:rPr>
            <w:rStyle w:val="af7"/>
            <w:noProof/>
          </w:rPr>
          <w:t>типа</w:t>
        </w:r>
        <w:r w:rsidRPr="00087766">
          <w:rPr>
            <w:rStyle w:val="af7"/>
            <w:noProof/>
            <w:lang w:val="en-US"/>
          </w:rPr>
          <w:t xml:space="preserve"> «tImpAgr»</w:t>
        </w:r>
        <w:r>
          <w:rPr>
            <w:noProof/>
            <w:webHidden/>
          </w:rPr>
          <w:tab/>
        </w:r>
        <w:r>
          <w:rPr>
            <w:noProof/>
            <w:webHidden/>
          </w:rPr>
          <w:fldChar w:fldCharType="begin"/>
        </w:r>
        <w:r>
          <w:rPr>
            <w:noProof/>
            <w:webHidden/>
          </w:rPr>
          <w:instrText xml:space="preserve"> PAGEREF _Toc219309656 \h </w:instrText>
        </w:r>
        <w:r>
          <w:rPr>
            <w:noProof/>
            <w:webHidden/>
          </w:rPr>
        </w:r>
        <w:r>
          <w:rPr>
            <w:noProof/>
            <w:webHidden/>
          </w:rPr>
          <w:fldChar w:fldCharType="separate"/>
        </w:r>
        <w:r>
          <w:rPr>
            <w:noProof/>
            <w:webHidden/>
          </w:rPr>
          <w:t>301</w:t>
        </w:r>
        <w:r>
          <w:rPr>
            <w:noProof/>
            <w:webHidden/>
          </w:rPr>
          <w:fldChar w:fldCharType="end"/>
        </w:r>
      </w:hyperlink>
    </w:p>
    <w:p w14:paraId="3B4AD118"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57" w:history="1">
        <w:r w:rsidRPr="00087766">
          <w:rPr>
            <w:rStyle w:val="af7"/>
            <w:noProof/>
          </w:rPr>
          <w:t>6.11.3.</w:t>
        </w:r>
        <w:r>
          <w:rPr>
            <w:rFonts w:asciiTheme="minorHAnsi" w:eastAsiaTheme="minorEastAsia" w:hAnsiTheme="minorHAnsi" w:cstheme="minorBidi"/>
            <w:iCs w:val="0"/>
            <w:noProof/>
            <w:sz w:val="22"/>
            <w:szCs w:val="22"/>
          </w:rPr>
          <w:tab/>
        </w:r>
        <w:r w:rsidRPr="00087766">
          <w:rPr>
            <w:rStyle w:val="af7"/>
            <w:noProof/>
          </w:rPr>
          <w:t>Описание комплексного типа «tCalendar»</w:t>
        </w:r>
        <w:r>
          <w:rPr>
            <w:noProof/>
            <w:webHidden/>
          </w:rPr>
          <w:tab/>
        </w:r>
        <w:r>
          <w:rPr>
            <w:noProof/>
            <w:webHidden/>
          </w:rPr>
          <w:fldChar w:fldCharType="begin"/>
        </w:r>
        <w:r>
          <w:rPr>
            <w:noProof/>
            <w:webHidden/>
          </w:rPr>
          <w:instrText xml:space="preserve"> PAGEREF _Toc219309657 \h </w:instrText>
        </w:r>
        <w:r>
          <w:rPr>
            <w:noProof/>
            <w:webHidden/>
          </w:rPr>
        </w:r>
        <w:r>
          <w:rPr>
            <w:noProof/>
            <w:webHidden/>
          </w:rPr>
          <w:fldChar w:fldCharType="separate"/>
        </w:r>
        <w:r>
          <w:rPr>
            <w:noProof/>
            <w:webHidden/>
          </w:rPr>
          <w:t>308</w:t>
        </w:r>
        <w:r>
          <w:rPr>
            <w:noProof/>
            <w:webHidden/>
          </w:rPr>
          <w:fldChar w:fldCharType="end"/>
        </w:r>
      </w:hyperlink>
    </w:p>
    <w:p w14:paraId="40446494"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58" w:history="1">
        <w:r w:rsidRPr="00087766">
          <w:rPr>
            <w:rStyle w:val="af7"/>
            <w:noProof/>
          </w:rPr>
          <w:t>6.11.4.</w:t>
        </w:r>
        <w:r>
          <w:rPr>
            <w:rFonts w:asciiTheme="minorHAnsi" w:eastAsiaTheme="minorEastAsia" w:hAnsiTheme="minorHAnsi" w:cstheme="minorBidi"/>
            <w:iCs w:val="0"/>
            <w:noProof/>
            <w:sz w:val="22"/>
            <w:szCs w:val="22"/>
          </w:rPr>
          <w:tab/>
        </w:r>
        <w:r w:rsidRPr="00087766">
          <w:rPr>
            <w:rStyle w:val="af7"/>
            <w:noProof/>
          </w:rPr>
          <w:t>Описание комплексного типа «tCalendarDate»</w:t>
        </w:r>
        <w:r>
          <w:rPr>
            <w:noProof/>
            <w:webHidden/>
          </w:rPr>
          <w:tab/>
        </w:r>
        <w:r>
          <w:rPr>
            <w:noProof/>
            <w:webHidden/>
          </w:rPr>
          <w:fldChar w:fldCharType="begin"/>
        </w:r>
        <w:r>
          <w:rPr>
            <w:noProof/>
            <w:webHidden/>
          </w:rPr>
          <w:instrText xml:space="preserve"> PAGEREF _Toc219309658 \h </w:instrText>
        </w:r>
        <w:r>
          <w:rPr>
            <w:noProof/>
            <w:webHidden/>
          </w:rPr>
        </w:r>
        <w:r>
          <w:rPr>
            <w:noProof/>
            <w:webHidden/>
          </w:rPr>
          <w:fldChar w:fldCharType="separate"/>
        </w:r>
        <w:r>
          <w:rPr>
            <w:noProof/>
            <w:webHidden/>
          </w:rPr>
          <w:t>309</w:t>
        </w:r>
        <w:r>
          <w:rPr>
            <w:noProof/>
            <w:webHidden/>
          </w:rPr>
          <w:fldChar w:fldCharType="end"/>
        </w:r>
      </w:hyperlink>
    </w:p>
    <w:p w14:paraId="1AD359F5"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59" w:history="1">
        <w:r w:rsidRPr="00087766">
          <w:rPr>
            <w:rStyle w:val="af7"/>
            <w:noProof/>
          </w:rPr>
          <w:t>6.11.5.</w:t>
        </w:r>
        <w:r>
          <w:rPr>
            <w:rFonts w:asciiTheme="minorHAnsi" w:eastAsiaTheme="minorEastAsia" w:hAnsiTheme="minorHAnsi" w:cstheme="minorBidi"/>
            <w:iCs w:val="0"/>
            <w:noProof/>
            <w:sz w:val="22"/>
            <w:szCs w:val="22"/>
          </w:rPr>
          <w:tab/>
        </w:r>
        <w:r w:rsidRPr="00087766">
          <w:rPr>
            <w:rStyle w:val="af7"/>
            <w:noProof/>
          </w:rPr>
          <w:t>Описание комплексного типа «tRequisites»</w:t>
        </w:r>
        <w:r>
          <w:rPr>
            <w:noProof/>
            <w:webHidden/>
          </w:rPr>
          <w:tab/>
        </w:r>
        <w:r>
          <w:rPr>
            <w:noProof/>
            <w:webHidden/>
          </w:rPr>
          <w:fldChar w:fldCharType="begin"/>
        </w:r>
        <w:r>
          <w:rPr>
            <w:noProof/>
            <w:webHidden/>
          </w:rPr>
          <w:instrText xml:space="preserve"> PAGEREF _Toc219309659 \h </w:instrText>
        </w:r>
        <w:r>
          <w:rPr>
            <w:noProof/>
            <w:webHidden/>
          </w:rPr>
        </w:r>
        <w:r>
          <w:rPr>
            <w:noProof/>
            <w:webHidden/>
          </w:rPr>
          <w:fldChar w:fldCharType="separate"/>
        </w:r>
        <w:r>
          <w:rPr>
            <w:noProof/>
            <w:webHidden/>
          </w:rPr>
          <w:t>309</w:t>
        </w:r>
        <w:r>
          <w:rPr>
            <w:noProof/>
            <w:webHidden/>
          </w:rPr>
          <w:fldChar w:fldCharType="end"/>
        </w:r>
      </w:hyperlink>
    </w:p>
    <w:p w14:paraId="392EDDD4"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60" w:history="1">
        <w:r w:rsidRPr="00087766">
          <w:rPr>
            <w:rStyle w:val="af7"/>
            <w:noProof/>
          </w:rPr>
          <w:t>6.11.6.</w:t>
        </w:r>
        <w:r>
          <w:rPr>
            <w:rFonts w:asciiTheme="minorHAnsi" w:eastAsiaTheme="minorEastAsia" w:hAnsiTheme="minorHAnsi" w:cstheme="minorBidi"/>
            <w:iCs w:val="0"/>
            <w:noProof/>
            <w:sz w:val="22"/>
            <w:szCs w:val="22"/>
          </w:rPr>
          <w:tab/>
        </w:r>
        <w:r w:rsidRPr="00087766">
          <w:rPr>
            <w:rStyle w:val="af7"/>
            <w:noProof/>
          </w:rPr>
          <w:t>Описание комплексного типа «tLctn»</w:t>
        </w:r>
        <w:r>
          <w:rPr>
            <w:noProof/>
            <w:webHidden/>
          </w:rPr>
          <w:tab/>
        </w:r>
        <w:r>
          <w:rPr>
            <w:noProof/>
            <w:webHidden/>
          </w:rPr>
          <w:fldChar w:fldCharType="begin"/>
        </w:r>
        <w:r>
          <w:rPr>
            <w:noProof/>
            <w:webHidden/>
          </w:rPr>
          <w:instrText xml:space="preserve"> PAGEREF _Toc219309660 \h </w:instrText>
        </w:r>
        <w:r>
          <w:rPr>
            <w:noProof/>
            <w:webHidden/>
          </w:rPr>
        </w:r>
        <w:r>
          <w:rPr>
            <w:noProof/>
            <w:webHidden/>
          </w:rPr>
          <w:fldChar w:fldCharType="separate"/>
        </w:r>
        <w:r>
          <w:rPr>
            <w:noProof/>
            <w:webHidden/>
          </w:rPr>
          <w:t>314</w:t>
        </w:r>
        <w:r>
          <w:rPr>
            <w:noProof/>
            <w:webHidden/>
          </w:rPr>
          <w:fldChar w:fldCharType="end"/>
        </w:r>
      </w:hyperlink>
    </w:p>
    <w:p w14:paraId="5600CEFA"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61" w:history="1">
        <w:r w:rsidRPr="00087766">
          <w:rPr>
            <w:rStyle w:val="af7"/>
            <w:noProof/>
          </w:rPr>
          <w:t>6.11.7.</w:t>
        </w:r>
        <w:r>
          <w:rPr>
            <w:rFonts w:asciiTheme="minorHAnsi" w:eastAsiaTheme="minorEastAsia" w:hAnsiTheme="minorHAnsi" w:cstheme="minorBidi"/>
            <w:iCs w:val="0"/>
            <w:noProof/>
            <w:sz w:val="22"/>
            <w:szCs w:val="22"/>
          </w:rPr>
          <w:tab/>
        </w:r>
        <w:r w:rsidRPr="00087766">
          <w:rPr>
            <w:rStyle w:val="af7"/>
            <w:noProof/>
          </w:rPr>
          <w:t>Описание комплексного типа «tFrgnLctn»</w:t>
        </w:r>
        <w:r>
          <w:rPr>
            <w:noProof/>
            <w:webHidden/>
          </w:rPr>
          <w:tab/>
        </w:r>
        <w:r>
          <w:rPr>
            <w:noProof/>
            <w:webHidden/>
          </w:rPr>
          <w:fldChar w:fldCharType="begin"/>
        </w:r>
        <w:r>
          <w:rPr>
            <w:noProof/>
            <w:webHidden/>
          </w:rPr>
          <w:instrText xml:space="preserve"> PAGEREF _Toc219309661 \h </w:instrText>
        </w:r>
        <w:r>
          <w:rPr>
            <w:noProof/>
            <w:webHidden/>
          </w:rPr>
        </w:r>
        <w:r>
          <w:rPr>
            <w:noProof/>
            <w:webHidden/>
          </w:rPr>
          <w:fldChar w:fldCharType="separate"/>
        </w:r>
        <w:r>
          <w:rPr>
            <w:noProof/>
            <w:webHidden/>
          </w:rPr>
          <w:t>316</w:t>
        </w:r>
        <w:r>
          <w:rPr>
            <w:noProof/>
            <w:webHidden/>
          </w:rPr>
          <w:fldChar w:fldCharType="end"/>
        </w:r>
      </w:hyperlink>
    </w:p>
    <w:p w14:paraId="7811392A"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62" w:history="1">
        <w:r w:rsidRPr="00087766">
          <w:rPr>
            <w:rStyle w:val="af7"/>
            <w:noProof/>
          </w:rPr>
          <w:t>6.11.8.</w:t>
        </w:r>
        <w:r>
          <w:rPr>
            <w:rFonts w:asciiTheme="minorHAnsi" w:eastAsiaTheme="minorEastAsia" w:hAnsiTheme="minorHAnsi" w:cstheme="minorBidi"/>
            <w:iCs w:val="0"/>
            <w:noProof/>
            <w:sz w:val="22"/>
            <w:szCs w:val="22"/>
          </w:rPr>
          <w:tab/>
        </w:r>
        <w:r w:rsidRPr="00087766">
          <w:rPr>
            <w:rStyle w:val="af7"/>
            <w:noProof/>
          </w:rPr>
          <w:t>Описание комплексного типа «tFrgnRes»</w:t>
        </w:r>
        <w:r>
          <w:rPr>
            <w:noProof/>
            <w:webHidden/>
          </w:rPr>
          <w:tab/>
        </w:r>
        <w:r>
          <w:rPr>
            <w:noProof/>
            <w:webHidden/>
          </w:rPr>
          <w:fldChar w:fldCharType="begin"/>
        </w:r>
        <w:r>
          <w:rPr>
            <w:noProof/>
            <w:webHidden/>
          </w:rPr>
          <w:instrText xml:space="preserve"> PAGEREF _Toc219309662 \h </w:instrText>
        </w:r>
        <w:r>
          <w:rPr>
            <w:noProof/>
            <w:webHidden/>
          </w:rPr>
        </w:r>
        <w:r>
          <w:rPr>
            <w:noProof/>
            <w:webHidden/>
          </w:rPr>
          <w:fldChar w:fldCharType="separate"/>
        </w:r>
        <w:r>
          <w:rPr>
            <w:noProof/>
            <w:webHidden/>
          </w:rPr>
          <w:t>317</w:t>
        </w:r>
        <w:r>
          <w:rPr>
            <w:noProof/>
            <w:webHidden/>
          </w:rPr>
          <w:fldChar w:fldCharType="end"/>
        </w:r>
      </w:hyperlink>
    </w:p>
    <w:p w14:paraId="47CAF31F"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63" w:history="1">
        <w:r w:rsidRPr="00087766">
          <w:rPr>
            <w:rStyle w:val="af7"/>
            <w:noProof/>
          </w:rPr>
          <w:t>6.11.9.</w:t>
        </w:r>
        <w:r>
          <w:rPr>
            <w:rFonts w:asciiTheme="minorHAnsi" w:eastAsiaTheme="minorEastAsia" w:hAnsiTheme="minorHAnsi" w:cstheme="minorBidi"/>
            <w:iCs w:val="0"/>
            <w:noProof/>
            <w:sz w:val="22"/>
            <w:szCs w:val="22"/>
          </w:rPr>
          <w:tab/>
        </w:r>
        <w:r w:rsidRPr="00087766">
          <w:rPr>
            <w:rStyle w:val="af7"/>
            <w:noProof/>
          </w:rPr>
          <w:t>Описание комплексного типа «tGRBSLS»</w:t>
        </w:r>
        <w:r>
          <w:rPr>
            <w:noProof/>
            <w:webHidden/>
          </w:rPr>
          <w:tab/>
        </w:r>
        <w:r>
          <w:rPr>
            <w:noProof/>
            <w:webHidden/>
          </w:rPr>
          <w:fldChar w:fldCharType="begin"/>
        </w:r>
        <w:r>
          <w:rPr>
            <w:noProof/>
            <w:webHidden/>
          </w:rPr>
          <w:instrText xml:space="preserve"> PAGEREF _Toc219309663 \h </w:instrText>
        </w:r>
        <w:r>
          <w:rPr>
            <w:noProof/>
            <w:webHidden/>
          </w:rPr>
        </w:r>
        <w:r>
          <w:rPr>
            <w:noProof/>
            <w:webHidden/>
          </w:rPr>
          <w:fldChar w:fldCharType="separate"/>
        </w:r>
        <w:r>
          <w:rPr>
            <w:noProof/>
            <w:webHidden/>
          </w:rPr>
          <w:t>318</w:t>
        </w:r>
        <w:r>
          <w:rPr>
            <w:noProof/>
            <w:webHidden/>
          </w:rPr>
          <w:fldChar w:fldCharType="end"/>
        </w:r>
      </w:hyperlink>
    </w:p>
    <w:p w14:paraId="4FDDD7A2"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664" w:history="1">
        <w:r w:rsidRPr="00087766">
          <w:rPr>
            <w:rStyle w:val="af7"/>
            <w:noProof/>
          </w:rPr>
          <w:t>6.11.10.</w:t>
        </w:r>
        <w:r>
          <w:rPr>
            <w:rFonts w:asciiTheme="minorHAnsi" w:eastAsiaTheme="minorEastAsia" w:hAnsiTheme="minorHAnsi" w:cstheme="minorBidi"/>
            <w:iCs w:val="0"/>
            <w:noProof/>
            <w:sz w:val="22"/>
            <w:szCs w:val="22"/>
          </w:rPr>
          <w:tab/>
        </w:r>
        <w:r w:rsidRPr="00087766">
          <w:rPr>
            <w:rStyle w:val="af7"/>
            <w:noProof/>
          </w:rPr>
          <w:t>Описание комплексного типа «tBdgName»</w:t>
        </w:r>
        <w:r>
          <w:rPr>
            <w:noProof/>
            <w:webHidden/>
          </w:rPr>
          <w:tab/>
        </w:r>
        <w:r>
          <w:rPr>
            <w:noProof/>
            <w:webHidden/>
          </w:rPr>
          <w:fldChar w:fldCharType="begin"/>
        </w:r>
        <w:r>
          <w:rPr>
            <w:noProof/>
            <w:webHidden/>
          </w:rPr>
          <w:instrText xml:space="preserve"> PAGEREF _Toc219309664 \h </w:instrText>
        </w:r>
        <w:r>
          <w:rPr>
            <w:noProof/>
            <w:webHidden/>
          </w:rPr>
        </w:r>
        <w:r>
          <w:rPr>
            <w:noProof/>
            <w:webHidden/>
          </w:rPr>
          <w:fldChar w:fldCharType="separate"/>
        </w:r>
        <w:r>
          <w:rPr>
            <w:noProof/>
            <w:webHidden/>
          </w:rPr>
          <w:t>319</w:t>
        </w:r>
        <w:r>
          <w:rPr>
            <w:noProof/>
            <w:webHidden/>
          </w:rPr>
          <w:fldChar w:fldCharType="end"/>
        </w:r>
      </w:hyperlink>
    </w:p>
    <w:p w14:paraId="0CA646DC"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665" w:history="1">
        <w:r w:rsidRPr="00087766">
          <w:rPr>
            <w:rStyle w:val="af7"/>
            <w:noProof/>
          </w:rPr>
          <w:t>6.11.11.</w:t>
        </w:r>
        <w:r>
          <w:rPr>
            <w:rFonts w:asciiTheme="minorHAnsi" w:eastAsiaTheme="minorEastAsia" w:hAnsiTheme="minorHAnsi" w:cstheme="minorBidi"/>
            <w:iCs w:val="0"/>
            <w:noProof/>
            <w:sz w:val="22"/>
            <w:szCs w:val="22"/>
          </w:rPr>
          <w:tab/>
        </w:r>
        <w:r w:rsidRPr="00087766">
          <w:rPr>
            <w:rStyle w:val="af7"/>
            <w:noProof/>
          </w:rPr>
          <w:t>Описание комплексного типа «tSumm»</w:t>
        </w:r>
        <w:r>
          <w:rPr>
            <w:noProof/>
            <w:webHidden/>
          </w:rPr>
          <w:tab/>
        </w:r>
        <w:r>
          <w:rPr>
            <w:noProof/>
            <w:webHidden/>
          </w:rPr>
          <w:fldChar w:fldCharType="begin"/>
        </w:r>
        <w:r>
          <w:rPr>
            <w:noProof/>
            <w:webHidden/>
          </w:rPr>
          <w:instrText xml:space="preserve"> PAGEREF _Toc219309665 \h </w:instrText>
        </w:r>
        <w:r>
          <w:rPr>
            <w:noProof/>
            <w:webHidden/>
          </w:rPr>
        </w:r>
        <w:r>
          <w:rPr>
            <w:noProof/>
            <w:webHidden/>
          </w:rPr>
          <w:fldChar w:fldCharType="separate"/>
        </w:r>
        <w:r>
          <w:rPr>
            <w:noProof/>
            <w:webHidden/>
          </w:rPr>
          <w:t>319</w:t>
        </w:r>
        <w:r>
          <w:rPr>
            <w:noProof/>
            <w:webHidden/>
          </w:rPr>
          <w:fldChar w:fldCharType="end"/>
        </w:r>
      </w:hyperlink>
    </w:p>
    <w:p w14:paraId="61F913B4"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666" w:history="1">
        <w:r w:rsidRPr="00087766">
          <w:rPr>
            <w:rStyle w:val="af7"/>
            <w:noProof/>
          </w:rPr>
          <w:t>6.11.12.</w:t>
        </w:r>
        <w:r>
          <w:rPr>
            <w:rFonts w:asciiTheme="minorHAnsi" w:eastAsiaTheme="minorEastAsia" w:hAnsiTheme="minorHAnsi" w:cstheme="minorBidi"/>
            <w:iCs w:val="0"/>
            <w:noProof/>
            <w:sz w:val="22"/>
            <w:szCs w:val="22"/>
          </w:rPr>
          <w:tab/>
        </w:r>
        <w:r w:rsidRPr="00087766">
          <w:rPr>
            <w:rStyle w:val="af7"/>
            <w:noProof/>
          </w:rPr>
          <w:t>Описание комплексного типа «tAgrSumKbk»</w:t>
        </w:r>
        <w:r>
          <w:rPr>
            <w:noProof/>
            <w:webHidden/>
          </w:rPr>
          <w:tab/>
        </w:r>
        <w:r>
          <w:rPr>
            <w:noProof/>
            <w:webHidden/>
          </w:rPr>
          <w:fldChar w:fldCharType="begin"/>
        </w:r>
        <w:r>
          <w:rPr>
            <w:noProof/>
            <w:webHidden/>
          </w:rPr>
          <w:instrText xml:space="preserve"> PAGEREF _Toc219309666 \h </w:instrText>
        </w:r>
        <w:r>
          <w:rPr>
            <w:noProof/>
            <w:webHidden/>
          </w:rPr>
        </w:r>
        <w:r>
          <w:rPr>
            <w:noProof/>
            <w:webHidden/>
          </w:rPr>
          <w:fldChar w:fldCharType="separate"/>
        </w:r>
        <w:r>
          <w:rPr>
            <w:noProof/>
            <w:webHidden/>
          </w:rPr>
          <w:t>321</w:t>
        </w:r>
        <w:r>
          <w:rPr>
            <w:noProof/>
            <w:webHidden/>
          </w:rPr>
          <w:fldChar w:fldCharType="end"/>
        </w:r>
      </w:hyperlink>
    </w:p>
    <w:p w14:paraId="2B75B98F"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667" w:history="1">
        <w:r w:rsidRPr="00087766">
          <w:rPr>
            <w:rStyle w:val="af7"/>
            <w:noProof/>
          </w:rPr>
          <w:t>6.11.13.</w:t>
        </w:r>
        <w:r>
          <w:rPr>
            <w:rFonts w:asciiTheme="minorHAnsi" w:eastAsiaTheme="minorEastAsia" w:hAnsiTheme="minorHAnsi" w:cstheme="minorBidi"/>
            <w:iCs w:val="0"/>
            <w:noProof/>
            <w:sz w:val="22"/>
            <w:szCs w:val="22"/>
          </w:rPr>
          <w:tab/>
        </w:r>
        <w:r w:rsidRPr="00087766">
          <w:rPr>
            <w:rStyle w:val="af7"/>
            <w:noProof/>
          </w:rPr>
          <w:t>Описание комплексного типа «tVolSub»</w:t>
        </w:r>
        <w:r>
          <w:rPr>
            <w:noProof/>
            <w:webHidden/>
          </w:rPr>
          <w:tab/>
        </w:r>
        <w:r>
          <w:rPr>
            <w:noProof/>
            <w:webHidden/>
          </w:rPr>
          <w:fldChar w:fldCharType="begin"/>
        </w:r>
        <w:r>
          <w:rPr>
            <w:noProof/>
            <w:webHidden/>
          </w:rPr>
          <w:instrText xml:space="preserve"> PAGEREF _Toc219309667 \h </w:instrText>
        </w:r>
        <w:r>
          <w:rPr>
            <w:noProof/>
            <w:webHidden/>
          </w:rPr>
        </w:r>
        <w:r>
          <w:rPr>
            <w:noProof/>
            <w:webHidden/>
          </w:rPr>
          <w:fldChar w:fldCharType="separate"/>
        </w:r>
        <w:r>
          <w:rPr>
            <w:noProof/>
            <w:webHidden/>
          </w:rPr>
          <w:t>322</w:t>
        </w:r>
        <w:r>
          <w:rPr>
            <w:noProof/>
            <w:webHidden/>
          </w:rPr>
          <w:fldChar w:fldCharType="end"/>
        </w:r>
      </w:hyperlink>
    </w:p>
    <w:p w14:paraId="5E5C5C45"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668" w:history="1">
        <w:r w:rsidRPr="00087766">
          <w:rPr>
            <w:rStyle w:val="af7"/>
            <w:noProof/>
          </w:rPr>
          <w:t>6.11.14.</w:t>
        </w:r>
        <w:r>
          <w:rPr>
            <w:rFonts w:asciiTheme="minorHAnsi" w:eastAsiaTheme="minorEastAsia" w:hAnsiTheme="minorHAnsi" w:cstheme="minorBidi"/>
            <w:iCs w:val="0"/>
            <w:noProof/>
            <w:sz w:val="22"/>
            <w:szCs w:val="22"/>
          </w:rPr>
          <w:tab/>
        </w:r>
        <w:r w:rsidRPr="00087766">
          <w:rPr>
            <w:rStyle w:val="af7"/>
            <w:noProof/>
          </w:rPr>
          <w:t>Описание комплексного типа «tPrfrmnsInd»</w:t>
        </w:r>
        <w:r>
          <w:rPr>
            <w:noProof/>
            <w:webHidden/>
          </w:rPr>
          <w:tab/>
        </w:r>
        <w:r>
          <w:rPr>
            <w:noProof/>
            <w:webHidden/>
          </w:rPr>
          <w:fldChar w:fldCharType="begin"/>
        </w:r>
        <w:r>
          <w:rPr>
            <w:noProof/>
            <w:webHidden/>
          </w:rPr>
          <w:instrText xml:space="preserve"> PAGEREF _Toc219309668 \h </w:instrText>
        </w:r>
        <w:r>
          <w:rPr>
            <w:noProof/>
            <w:webHidden/>
          </w:rPr>
        </w:r>
        <w:r>
          <w:rPr>
            <w:noProof/>
            <w:webHidden/>
          </w:rPr>
          <w:fldChar w:fldCharType="separate"/>
        </w:r>
        <w:r>
          <w:rPr>
            <w:noProof/>
            <w:webHidden/>
          </w:rPr>
          <w:t>323</w:t>
        </w:r>
        <w:r>
          <w:rPr>
            <w:noProof/>
            <w:webHidden/>
          </w:rPr>
          <w:fldChar w:fldCharType="end"/>
        </w:r>
      </w:hyperlink>
    </w:p>
    <w:p w14:paraId="184C9B2F"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669" w:history="1">
        <w:r w:rsidRPr="00087766">
          <w:rPr>
            <w:rStyle w:val="af7"/>
            <w:noProof/>
          </w:rPr>
          <w:t>6.11.15.</w:t>
        </w:r>
        <w:r>
          <w:rPr>
            <w:rFonts w:asciiTheme="minorHAnsi" w:eastAsiaTheme="minorEastAsia" w:hAnsiTheme="minorHAnsi" w:cstheme="minorBidi"/>
            <w:iCs w:val="0"/>
            <w:noProof/>
            <w:sz w:val="22"/>
            <w:szCs w:val="22"/>
          </w:rPr>
          <w:tab/>
        </w:r>
        <w:r w:rsidRPr="00087766">
          <w:rPr>
            <w:rStyle w:val="af7"/>
            <w:noProof/>
          </w:rPr>
          <w:t>Описание комплексного типа «tAgrInf»</w:t>
        </w:r>
        <w:r>
          <w:rPr>
            <w:noProof/>
            <w:webHidden/>
          </w:rPr>
          <w:tab/>
        </w:r>
        <w:r>
          <w:rPr>
            <w:noProof/>
            <w:webHidden/>
          </w:rPr>
          <w:fldChar w:fldCharType="begin"/>
        </w:r>
        <w:r>
          <w:rPr>
            <w:noProof/>
            <w:webHidden/>
          </w:rPr>
          <w:instrText xml:space="preserve"> PAGEREF _Toc219309669 \h </w:instrText>
        </w:r>
        <w:r>
          <w:rPr>
            <w:noProof/>
            <w:webHidden/>
          </w:rPr>
        </w:r>
        <w:r>
          <w:rPr>
            <w:noProof/>
            <w:webHidden/>
          </w:rPr>
          <w:fldChar w:fldCharType="separate"/>
        </w:r>
        <w:r>
          <w:rPr>
            <w:noProof/>
            <w:webHidden/>
          </w:rPr>
          <w:t>324</w:t>
        </w:r>
        <w:r>
          <w:rPr>
            <w:noProof/>
            <w:webHidden/>
          </w:rPr>
          <w:fldChar w:fldCharType="end"/>
        </w:r>
      </w:hyperlink>
    </w:p>
    <w:p w14:paraId="4DEA24ED"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670" w:history="1">
        <w:r w:rsidRPr="00087766">
          <w:rPr>
            <w:rStyle w:val="af7"/>
            <w:noProof/>
          </w:rPr>
          <w:t>6.11.16.</w:t>
        </w:r>
        <w:r>
          <w:rPr>
            <w:rFonts w:asciiTheme="minorHAnsi" w:eastAsiaTheme="minorEastAsia" w:hAnsiTheme="minorHAnsi" w:cstheme="minorBidi"/>
            <w:iCs w:val="0"/>
            <w:noProof/>
            <w:sz w:val="22"/>
            <w:szCs w:val="22"/>
          </w:rPr>
          <w:tab/>
        </w:r>
        <w:r w:rsidRPr="00087766">
          <w:rPr>
            <w:rStyle w:val="af7"/>
            <w:noProof/>
          </w:rPr>
          <w:t>Описание комплексного типа «tNPA»</w:t>
        </w:r>
        <w:r>
          <w:rPr>
            <w:noProof/>
            <w:webHidden/>
          </w:rPr>
          <w:tab/>
        </w:r>
        <w:r>
          <w:rPr>
            <w:noProof/>
            <w:webHidden/>
          </w:rPr>
          <w:fldChar w:fldCharType="begin"/>
        </w:r>
        <w:r>
          <w:rPr>
            <w:noProof/>
            <w:webHidden/>
          </w:rPr>
          <w:instrText xml:space="preserve"> PAGEREF _Toc219309670 \h </w:instrText>
        </w:r>
        <w:r>
          <w:rPr>
            <w:noProof/>
            <w:webHidden/>
          </w:rPr>
        </w:r>
        <w:r>
          <w:rPr>
            <w:noProof/>
            <w:webHidden/>
          </w:rPr>
          <w:fldChar w:fldCharType="separate"/>
        </w:r>
        <w:r>
          <w:rPr>
            <w:noProof/>
            <w:webHidden/>
          </w:rPr>
          <w:t>326</w:t>
        </w:r>
        <w:r>
          <w:rPr>
            <w:noProof/>
            <w:webHidden/>
          </w:rPr>
          <w:fldChar w:fldCharType="end"/>
        </w:r>
      </w:hyperlink>
    </w:p>
    <w:p w14:paraId="2A97838C"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671" w:history="1">
        <w:r w:rsidRPr="00087766">
          <w:rPr>
            <w:rStyle w:val="af7"/>
            <w:noProof/>
          </w:rPr>
          <w:t>6.11.17.</w:t>
        </w:r>
        <w:r>
          <w:rPr>
            <w:rFonts w:asciiTheme="minorHAnsi" w:eastAsiaTheme="minorEastAsia" w:hAnsiTheme="minorHAnsi" w:cstheme="minorBidi"/>
            <w:iCs w:val="0"/>
            <w:noProof/>
            <w:sz w:val="22"/>
            <w:szCs w:val="22"/>
          </w:rPr>
          <w:tab/>
        </w:r>
        <w:r w:rsidRPr="00087766">
          <w:rPr>
            <w:rStyle w:val="af7"/>
            <w:noProof/>
          </w:rPr>
          <w:t>Описание комплексного типа «tCptlConstrctnLst»</w:t>
        </w:r>
        <w:r>
          <w:rPr>
            <w:noProof/>
            <w:webHidden/>
          </w:rPr>
          <w:tab/>
        </w:r>
        <w:r>
          <w:rPr>
            <w:noProof/>
            <w:webHidden/>
          </w:rPr>
          <w:fldChar w:fldCharType="begin"/>
        </w:r>
        <w:r>
          <w:rPr>
            <w:noProof/>
            <w:webHidden/>
          </w:rPr>
          <w:instrText xml:space="preserve"> PAGEREF _Toc219309671 \h </w:instrText>
        </w:r>
        <w:r>
          <w:rPr>
            <w:noProof/>
            <w:webHidden/>
          </w:rPr>
        </w:r>
        <w:r>
          <w:rPr>
            <w:noProof/>
            <w:webHidden/>
          </w:rPr>
          <w:fldChar w:fldCharType="separate"/>
        </w:r>
        <w:r>
          <w:rPr>
            <w:noProof/>
            <w:webHidden/>
          </w:rPr>
          <w:t>327</w:t>
        </w:r>
        <w:r>
          <w:rPr>
            <w:noProof/>
            <w:webHidden/>
          </w:rPr>
          <w:fldChar w:fldCharType="end"/>
        </w:r>
      </w:hyperlink>
    </w:p>
    <w:p w14:paraId="119E5779"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672" w:history="1">
        <w:r w:rsidRPr="00087766">
          <w:rPr>
            <w:rStyle w:val="af7"/>
            <w:noProof/>
          </w:rPr>
          <w:t>6.11.18.</w:t>
        </w:r>
        <w:r>
          <w:rPr>
            <w:rFonts w:asciiTheme="minorHAnsi" w:eastAsiaTheme="minorEastAsia" w:hAnsiTheme="minorHAnsi" w:cstheme="minorBidi"/>
            <w:iCs w:val="0"/>
            <w:noProof/>
            <w:sz w:val="22"/>
            <w:szCs w:val="22"/>
          </w:rPr>
          <w:tab/>
        </w:r>
        <w:r w:rsidRPr="00087766">
          <w:rPr>
            <w:rStyle w:val="af7"/>
            <w:noProof/>
          </w:rPr>
          <w:t>Описание комплексного типа «tShedule»</w:t>
        </w:r>
        <w:r>
          <w:rPr>
            <w:noProof/>
            <w:webHidden/>
          </w:rPr>
          <w:tab/>
        </w:r>
        <w:r>
          <w:rPr>
            <w:noProof/>
            <w:webHidden/>
          </w:rPr>
          <w:fldChar w:fldCharType="begin"/>
        </w:r>
        <w:r>
          <w:rPr>
            <w:noProof/>
            <w:webHidden/>
          </w:rPr>
          <w:instrText xml:space="preserve"> PAGEREF _Toc219309672 \h </w:instrText>
        </w:r>
        <w:r>
          <w:rPr>
            <w:noProof/>
            <w:webHidden/>
          </w:rPr>
        </w:r>
        <w:r>
          <w:rPr>
            <w:noProof/>
            <w:webHidden/>
          </w:rPr>
          <w:fldChar w:fldCharType="separate"/>
        </w:r>
        <w:r>
          <w:rPr>
            <w:noProof/>
            <w:webHidden/>
          </w:rPr>
          <w:t>328</w:t>
        </w:r>
        <w:r>
          <w:rPr>
            <w:noProof/>
            <w:webHidden/>
          </w:rPr>
          <w:fldChar w:fldCharType="end"/>
        </w:r>
      </w:hyperlink>
    </w:p>
    <w:p w14:paraId="028E669F"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673" w:history="1">
        <w:r w:rsidRPr="00087766">
          <w:rPr>
            <w:rStyle w:val="af7"/>
            <w:noProof/>
          </w:rPr>
          <w:t>6.11.19.</w:t>
        </w:r>
        <w:r>
          <w:rPr>
            <w:rFonts w:asciiTheme="minorHAnsi" w:eastAsiaTheme="minorEastAsia" w:hAnsiTheme="minorHAnsi" w:cstheme="minorBidi"/>
            <w:iCs w:val="0"/>
            <w:noProof/>
            <w:sz w:val="22"/>
            <w:szCs w:val="22"/>
          </w:rPr>
          <w:tab/>
        </w:r>
        <w:r w:rsidRPr="00087766">
          <w:rPr>
            <w:rStyle w:val="af7"/>
            <w:noProof/>
          </w:rPr>
          <w:t>Описание комплексного типа «tSheduleKbkInfs»</w:t>
        </w:r>
        <w:r>
          <w:rPr>
            <w:noProof/>
            <w:webHidden/>
          </w:rPr>
          <w:tab/>
        </w:r>
        <w:r>
          <w:rPr>
            <w:noProof/>
            <w:webHidden/>
          </w:rPr>
          <w:fldChar w:fldCharType="begin"/>
        </w:r>
        <w:r>
          <w:rPr>
            <w:noProof/>
            <w:webHidden/>
          </w:rPr>
          <w:instrText xml:space="preserve"> PAGEREF _Toc219309673 \h </w:instrText>
        </w:r>
        <w:r>
          <w:rPr>
            <w:noProof/>
            <w:webHidden/>
          </w:rPr>
        </w:r>
        <w:r>
          <w:rPr>
            <w:noProof/>
            <w:webHidden/>
          </w:rPr>
          <w:fldChar w:fldCharType="separate"/>
        </w:r>
        <w:r>
          <w:rPr>
            <w:noProof/>
            <w:webHidden/>
          </w:rPr>
          <w:t>329</w:t>
        </w:r>
        <w:r>
          <w:rPr>
            <w:noProof/>
            <w:webHidden/>
          </w:rPr>
          <w:fldChar w:fldCharType="end"/>
        </w:r>
      </w:hyperlink>
    </w:p>
    <w:p w14:paraId="2C0394F0"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674" w:history="1">
        <w:r w:rsidRPr="00087766">
          <w:rPr>
            <w:rStyle w:val="af7"/>
            <w:noProof/>
          </w:rPr>
          <w:t>6.11.20.</w:t>
        </w:r>
        <w:r>
          <w:rPr>
            <w:rFonts w:asciiTheme="minorHAnsi" w:eastAsiaTheme="minorEastAsia" w:hAnsiTheme="minorHAnsi" w:cstheme="minorBidi"/>
            <w:iCs w:val="0"/>
            <w:noProof/>
            <w:sz w:val="22"/>
            <w:szCs w:val="22"/>
          </w:rPr>
          <w:tab/>
        </w:r>
        <w:r w:rsidRPr="00087766">
          <w:rPr>
            <w:rStyle w:val="af7"/>
            <w:noProof/>
          </w:rPr>
          <w:t>Описание комплексного типа «tTotalsSumInfs»</w:t>
        </w:r>
        <w:r>
          <w:rPr>
            <w:noProof/>
            <w:webHidden/>
          </w:rPr>
          <w:tab/>
        </w:r>
        <w:r>
          <w:rPr>
            <w:noProof/>
            <w:webHidden/>
          </w:rPr>
          <w:fldChar w:fldCharType="begin"/>
        </w:r>
        <w:r>
          <w:rPr>
            <w:noProof/>
            <w:webHidden/>
          </w:rPr>
          <w:instrText xml:space="preserve"> PAGEREF _Toc219309674 \h </w:instrText>
        </w:r>
        <w:r>
          <w:rPr>
            <w:noProof/>
            <w:webHidden/>
          </w:rPr>
        </w:r>
        <w:r>
          <w:rPr>
            <w:noProof/>
            <w:webHidden/>
          </w:rPr>
          <w:fldChar w:fldCharType="separate"/>
        </w:r>
        <w:r>
          <w:rPr>
            <w:noProof/>
            <w:webHidden/>
          </w:rPr>
          <w:t>330</w:t>
        </w:r>
        <w:r>
          <w:rPr>
            <w:noProof/>
            <w:webHidden/>
          </w:rPr>
          <w:fldChar w:fldCharType="end"/>
        </w:r>
      </w:hyperlink>
    </w:p>
    <w:p w14:paraId="2075975B"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675" w:history="1">
        <w:r w:rsidRPr="00087766">
          <w:rPr>
            <w:rStyle w:val="af7"/>
            <w:noProof/>
          </w:rPr>
          <w:t>6.11.21.</w:t>
        </w:r>
        <w:r>
          <w:rPr>
            <w:rFonts w:asciiTheme="minorHAnsi" w:eastAsiaTheme="minorEastAsia" w:hAnsiTheme="minorHAnsi" w:cstheme="minorBidi"/>
            <w:iCs w:val="0"/>
            <w:noProof/>
            <w:sz w:val="22"/>
            <w:szCs w:val="22"/>
          </w:rPr>
          <w:tab/>
        </w:r>
        <w:r w:rsidRPr="00087766">
          <w:rPr>
            <w:rStyle w:val="af7"/>
            <w:noProof/>
          </w:rPr>
          <w:t>Описание комплексного типа «tDetalsSumInf»</w:t>
        </w:r>
        <w:r>
          <w:rPr>
            <w:noProof/>
            <w:webHidden/>
          </w:rPr>
          <w:tab/>
        </w:r>
        <w:r>
          <w:rPr>
            <w:noProof/>
            <w:webHidden/>
          </w:rPr>
          <w:fldChar w:fldCharType="begin"/>
        </w:r>
        <w:r>
          <w:rPr>
            <w:noProof/>
            <w:webHidden/>
          </w:rPr>
          <w:instrText xml:space="preserve"> PAGEREF _Toc219309675 \h </w:instrText>
        </w:r>
        <w:r>
          <w:rPr>
            <w:noProof/>
            <w:webHidden/>
          </w:rPr>
        </w:r>
        <w:r>
          <w:rPr>
            <w:noProof/>
            <w:webHidden/>
          </w:rPr>
          <w:fldChar w:fldCharType="separate"/>
        </w:r>
        <w:r>
          <w:rPr>
            <w:noProof/>
            <w:webHidden/>
          </w:rPr>
          <w:t>331</w:t>
        </w:r>
        <w:r>
          <w:rPr>
            <w:noProof/>
            <w:webHidden/>
          </w:rPr>
          <w:fldChar w:fldCharType="end"/>
        </w:r>
      </w:hyperlink>
    </w:p>
    <w:p w14:paraId="5A3C3235"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676" w:history="1">
        <w:r w:rsidRPr="00087766">
          <w:rPr>
            <w:rStyle w:val="af7"/>
            <w:noProof/>
          </w:rPr>
          <w:t>6.11.22.</w:t>
        </w:r>
        <w:r>
          <w:rPr>
            <w:rFonts w:asciiTheme="minorHAnsi" w:eastAsiaTheme="minorEastAsia" w:hAnsiTheme="minorHAnsi" w:cstheme="minorBidi"/>
            <w:iCs w:val="0"/>
            <w:noProof/>
            <w:sz w:val="22"/>
            <w:szCs w:val="22"/>
          </w:rPr>
          <w:tab/>
        </w:r>
        <w:r w:rsidRPr="00087766">
          <w:rPr>
            <w:rStyle w:val="af7"/>
            <w:noProof/>
          </w:rPr>
          <w:t>Описание комплексного типа «tSumThisYear»</w:t>
        </w:r>
        <w:r>
          <w:rPr>
            <w:noProof/>
            <w:webHidden/>
          </w:rPr>
          <w:tab/>
        </w:r>
        <w:r>
          <w:rPr>
            <w:noProof/>
            <w:webHidden/>
          </w:rPr>
          <w:fldChar w:fldCharType="begin"/>
        </w:r>
        <w:r>
          <w:rPr>
            <w:noProof/>
            <w:webHidden/>
          </w:rPr>
          <w:instrText xml:space="preserve"> PAGEREF _Toc219309676 \h </w:instrText>
        </w:r>
        <w:r>
          <w:rPr>
            <w:noProof/>
            <w:webHidden/>
          </w:rPr>
        </w:r>
        <w:r>
          <w:rPr>
            <w:noProof/>
            <w:webHidden/>
          </w:rPr>
          <w:fldChar w:fldCharType="separate"/>
        </w:r>
        <w:r>
          <w:rPr>
            <w:noProof/>
            <w:webHidden/>
          </w:rPr>
          <w:t>331</w:t>
        </w:r>
        <w:r>
          <w:rPr>
            <w:noProof/>
            <w:webHidden/>
          </w:rPr>
          <w:fldChar w:fldCharType="end"/>
        </w:r>
      </w:hyperlink>
    </w:p>
    <w:p w14:paraId="525F0547"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677" w:history="1">
        <w:r w:rsidRPr="00087766">
          <w:rPr>
            <w:rStyle w:val="af7"/>
            <w:noProof/>
          </w:rPr>
          <w:t>6.11.23.</w:t>
        </w:r>
        <w:r>
          <w:rPr>
            <w:rFonts w:asciiTheme="minorHAnsi" w:eastAsiaTheme="minorEastAsia" w:hAnsiTheme="minorHAnsi" w:cstheme="minorBidi"/>
            <w:iCs w:val="0"/>
            <w:noProof/>
            <w:sz w:val="22"/>
            <w:szCs w:val="22"/>
          </w:rPr>
          <w:tab/>
        </w:r>
        <w:r w:rsidRPr="00087766">
          <w:rPr>
            <w:rStyle w:val="af7"/>
            <w:noProof/>
          </w:rPr>
          <w:t>Описание комплексного типа «</w:t>
        </w:r>
        <w:r w:rsidRPr="00087766">
          <w:rPr>
            <w:rStyle w:val="af7"/>
            <w:rFonts w:eastAsia="Calibri"/>
            <w:noProof/>
          </w:rPr>
          <w:t>tSumPlanPeriod</w:t>
        </w:r>
        <w:r w:rsidRPr="00087766">
          <w:rPr>
            <w:rStyle w:val="af7"/>
            <w:noProof/>
          </w:rPr>
          <w:t>»</w:t>
        </w:r>
        <w:r>
          <w:rPr>
            <w:noProof/>
            <w:webHidden/>
          </w:rPr>
          <w:tab/>
        </w:r>
        <w:r>
          <w:rPr>
            <w:noProof/>
            <w:webHidden/>
          </w:rPr>
          <w:fldChar w:fldCharType="begin"/>
        </w:r>
        <w:r>
          <w:rPr>
            <w:noProof/>
            <w:webHidden/>
          </w:rPr>
          <w:instrText xml:space="preserve"> PAGEREF _Toc219309677 \h </w:instrText>
        </w:r>
        <w:r>
          <w:rPr>
            <w:noProof/>
            <w:webHidden/>
          </w:rPr>
        </w:r>
        <w:r>
          <w:rPr>
            <w:noProof/>
            <w:webHidden/>
          </w:rPr>
          <w:fldChar w:fldCharType="separate"/>
        </w:r>
        <w:r>
          <w:rPr>
            <w:noProof/>
            <w:webHidden/>
          </w:rPr>
          <w:t>333</w:t>
        </w:r>
        <w:r>
          <w:rPr>
            <w:noProof/>
            <w:webHidden/>
          </w:rPr>
          <w:fldChar w:fldCharType="end"/>
        </w:r>
      </w:hyperlink>
    </w:p>
    <w:p w14:paraId="225A4F75"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678" w:history="1">
        <w:r w:rsidRPr="00087766">
          <w:rPr>
            <w:rStyle w:val="af7"/>
            <w:noProof/>
          </w:rPr>
          <w:t>6.11.24.</w:t>
        </w:r>
        <w:r>
          <w:rPr>
            <w:rFonts w:asciiTheme="minorHAnsi" w:eastAsiaTheme="minorEastAsia" w:hAnsiTheme="minorHAnsi" w:cstheme="minorBidi"/>
            <w:iCs w:val="0"/>
            <w:noProof/>
            <w:sz w:val="22"/>
            <w:szCs w:val="22"/>
          </w:rPr>
          <w:tab/>
        </w:r>
        <w:r w:rsidRPr="00087766">
          <w:rPr>
            <w:rStyle w:val="af7"/>
            <w:noProof/>
          </w:rPr>
          <w:t>Описание комплексного типа «tTotalFaips»</w:t>
        </w:r>
        <w:r>
          <w:rPr>
            <w:noProof/>
            <w:webHidden/>
          </w:rPr>
          <w:tab/>
        </w:r>
        <w:r>
          <w:rPr>
            <w:noProof/>
            <w:webHidden/>
          </w:rPr>
          <w:fldChar w:fldCharType="begin"/>
        </w:r>
        <w:r>
          <w:rPr>
            <w:noProof/>
            <w:webHidden/>
          </w:rPr>
          <w:instrText xml:space="preserve"> PAGEREF _Toc219309678 \h </w:instrText>
        </w:r>
        <w:r>
          <w:rPr>
            <w:noProof/>
            <w:webHidden/>
          </w:rPr>
        </w:r>
        <w:r>
          <w:rPr>
            <w:noProof/>
            <w:webHidden/>
          </w:rPr>
          <w:fldChar w:fldCharType="separate"/>
        </w:r>
        <w:r>
          <w:rPr>
            <w:noProof/>
            <w:webHidden/>
          </w:rPr>
          <w:t>334</w:t>
        </w:r>
        <w:r>
          <w:rPr>
            <w:noProof/>
            <w:webHidden/>
          </w:rPr>
          <w:fldChar w:fldCharType="end"/>
        </w:r>
      </w:hyperlink>
    </w:p>
    <w:p w14:paraId="7DA70D19"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679" w:history="1">
        <w:r w:rsidRPr="00087766">
          <w:rPr>
            <w:rStyle w:val="af7"/>
            <w:noProof/>
          </w:rPr>
          <w:t>6.11.25.</w:t>
        </w:r>
        <w:r>
          <w:rPr>
            <w:rFonts w:asciiTheme="minorHAnsi" w:eastAsiaTheme="minorEastAsia" w:hAnsiTheme="minorHAnsi" w:cstheme="minorBidi"/>
            <w:iCs w:val="0"/>
            <w:noProof/>
            <w:sz w:val="22"/>
            <w:szCs w:val="22"/>
          </w:rPr>
          <w:tab/>
        </w:r>
        <w:r w:rsidRPr="00087766">
          <w:rPr>
            <w:rStyle w:val="af7"/>
            <w:noProof/>
          </w:rPr>
          <w:t>Описание комплексного типа «tTotalFaip»</w:t>
        </w:r>
        <w:r>
          <w:rPr>
            <w:noProof/>
            <w:webHidden/>
          </w:rPr>
          <w:tab/>
        </w:r>
        <w:r>
          <w:rPr>
            <w:noProof/>
            <w:webHidden/>
          </w:rPr>
          <w:fldChar w:fldCharType="begin"/>
        </w:r>
        <w:r>
          <w:rPr>
            <w:noProof/>
            <w:webHidden/>
          </w:rPr>
          <w:instrText xml:space="preserve"> PAGEREF _Toc219309679 \h </w:instrText>
        </w:r>
        <w:r>
          <w:rPr>
            <w:noProof/>
            <w:webHidden/>
          </w:rPr>
        </w:r>
        <w:r>
          <w:rPr>
            <w:noProof/>
            <w:webHidden/>
          </w:rPr>
          <w:fldChar w:fldCharType="separate"/>
        </w:r>
        <w:r>
          <w:rPr>
            <w:noProof/>
            <w:webHidden/>
          </w:rPr>
          <w:t>335</w:t>
        </w:r>
        <w:r>
          <w:rPr>
            <w:noProof/>
            <w:webHidden/>
          </w:rPr>
          <w:fldChar w:fldCharType="end"/>
        </w:r>
      </w:hyperlink>
    </w:p>
    <w:p w14:paraId="0CAE70DF"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680" w:history="1">
        <w:r w:rsidRPr="00087766">
          <w:rPr>
            <w:rStyle w:val="af7"/>
            <w:noProof/>
          </w:rPr>
          <w:t>6.11.26.</w:t>
        </w:r>
        <w:r>
          <w:rPr>
            <w:rFonts w:asciiTheme="minorHAnsi" w:eastAsiaTheme="minorEastAsia" w:hAnsiTheme="minorHAnsi" w:cstheme="minorBidi"/>
            <w:iCs w:val="0"/>
            <w:noProof/>
            <w:sz w:val="22"/>
            <w:szCs w:val="22"/>
          </w:rPr>
          <w:tab/>
        </w:r>
        <w:r w:rsidRPr="00087766">
          <w:rPr>
            <w:rStyle w:val="af7"/>
            <w:noProof/>
          </w:rPr>
          <w:t>Описание комплексного типа «tSheduleKbkInf»</w:t>
        </w:r>
        <w:r>
          <w:rPr>
            <w:noProof/>
            <w:webHidden/>
          </w:rPr>
          <w:tab/>
        </w:r>
        <w:r>
          <w:rPr>
            <w:noProof/>
            <w:webHidden/>
          </w:rPr>
          <w:fldChar w:fldCharType="begin"/>
        </w:r>
        <w:r>
          <w:rPr>
            <w:noProof/>
            <w:webHidden/>
          </w:rPr>
          <w:instrText xml:space="preserve"> PAGEREF _Toc219309680 \h </w:instrText>
        </w:r>
        <w:r>
          <w:rPr>
            <w:noProof/>
            <w:webHidden/>
          </w:rPr>
        </w:r>
        <w:r>
          <w:rPr>
            <w:noProof/>
            <w:webHidden/>
          </w:rPr>
          <w:fldChar w:fldCharType="separate"/>
        </w:r>
        <w:r>
          <w:rPr>
            <w:noProof/>
            <w:webHidden/>
          </w:rPr>
          <w:t>336</w:t>
        </w:r>
        <w:r>
          <w:rPr>
            <w:noProof/>
            <w:webHidden/>
          </w:rPr>
          <w:fldChar w:fldCharType="end"/>
        </w:r>
      </w:hyperlink>
    </w:p>
    <w:p w14:paraId="1B2CC6FF"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681" w:history="1">
        <w:r w:rsidRPr="00087766">
          <w:rPr>
            <w:rStyle w:val="af7"/>
            <w:noProof/>
          </w:rPr>
          <w:t>6.11.27.</w:t>
        </w:r>
        <w:r>
          <w:rPr>
            <w:rFonts w:asciiTheme="minorHAnsi" w:eastAsiaTheme="minorEastAsia" w:hAnsiTheme="minorHAnsi" w:cstheme="minorBidi"/>
            <w:iCs w:val="0"/>
            <w:noProof/>
            <w:sz w:val="22"/>
            <w:szCs w:val="22"/>
          </w:rPr>
          <w:tab/>
        </w:r>
        <w:r w:rsidRPr="00087766">
          <w:rPr>
            <w:rStyle w:val="af7"/>
            <w:noProof/>
          </w:rPr>
          <w:t>Описание комплексного типа «tSheduleSumInf»</w:t>
        </w:r>
        <w:r>
          <w:rPr>
            <w:noProof/>
            <w:webHidden/>
          </w:rPr>
          <w:tab/>
        </w:r>
        <w:r>
          <w:rPr>
            <w:noProof/>
            <w:webHidden/>
          </w:rPr>
          <w:fldChar w:fldCharType="begin"/>
        </w:r>
        <w:r>
          <w:rPr>
            <w:noProof/>
            <w:webHidden/>
          </w:rPr>
          <w:instrText xml:space="preserve"> PAGEREF _Toc219309681 \h </w:instrText>
        </w:r>
        <w:r>
          <w:rPr>
            <w:noProof/>
            <w:webHidden/>
          </w:rPr>
        </w:r>
        <w:r>
          <w:rPr>
            <w:noProof/>
            <w:webHidden/>
          </w:rPr>
          <w:fldChar w:fldCharType="separate"/>
        </w:r>
        <w:r>
          <w:rPr>
            <w:noProof/>
            <w:webHidden/>
          </w:rPr>
          <w:t>338</w:t>
        </w:r>
        <w:r>
          <w:rPr>
            <w:noProof/>
            <w:webHidden/>
          </w:rPr>
          <w:fldChar w:fldCharType="end"/>
        </w:r>
      </w:hyperlink>
    </w:p>
    <w:p w14:paraId="1FDAF004"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682" w:history="1">
        <w:r w:rsidRPr="00087766">
          <w:rPr>
            <w:rStyle w:val="af7"/>
            <w:noProof/>
          </w:rPr>
          <w:t>6.11.28.</w:t>
        </w:r>
        <w:r>
          <w:rPr>
            <w:rFonts w:asciiTheme="minorHAnsi" w:eastAsiaTheme="minorEastAsia" w:hAnsiTheme="minorHAnsi" w:cstheme="minorBidi"/>
            <w:iCs w:val="0"/>
            <w:noProof/>
            <w:sz w:val="22"/>
            <w:szCs w:val="22"/>
          </w:rPr>
          <w:tab/>
        </w:r>
        <w:r w:rsidRPr="00087766">
          <w:rPr>
            <w:rStyle w:val="af7"/>
            <w:noProof/>
          </w:rPr>
          <w:t>Описание комплексного типа «tSgnGRBS_PBS»</w:t>
        </w:r>
        <w:r>
          <w:rPr>
            <w:noProof/>
            <w:webHidden/>
          </w:rPr>
          <w:tab/>
        </w:r>
        <w:r>
          <w:rPr>
            <w:noProof/>
            <w:webHidden/>
          </w:rPr>
          <w:fldChar w:fldCharType="begin"/>
        </w:r>
        <w:r>
          <w:rPr>
            <w:noProof/>
            <w:webHidden/>
          </w:rPr>
          <w:instrText xml:space="preserve"> PAGEREF _Toc219309682 \h </w:instrText>
        </w:r>
        <w:r>
          <w:rPr>
            <w:noProof/>
            <w:webHidden/>
          </w:rPr>
        </w:r>
        <w:r>
          <w:rPr>
            <w:noProof/>
            <w:webHidden/>
          </w:rPr>
          <w:fldChar w:fldCharType="separate"/>
        </w:r>
        <w:r>
          <w:rPr>
            <w:noProof/>
            <w:webHidden/>
          </w:rPr>
          <w:t>339</w:t>
        </w:r>
        <w:r>
          <w:rPr>
            <w:noProof/>
            <w:webHidden/>
          </w:rPr>
          <w:fldChar w:fldCharType="end"/>
        </w:r>
      </w:hyperlink>
    </w:p>
    <w:p w14:paraId="2D3698F4"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683" w:history="1">
        <w:r w:rsidRPr="00087766">
          <w:rPr>
            <w:rStyle w:val="af7"/>
            <w:noProof/>
          </w:rPr>
          <w:t>6.11.29.</w:t>
        </w:r>
        <w:r>
          <w:rPr>
            <w:rFonts w:asciiTheme="minorHAnsi" w:eastAsiaTheme="minorEastAsia" w:hAnsiTheme="minorHAnsi" w:cstheme="minorBidi"/>
            <w:iCs w:val="0"/>
            <w:noProof/>
            <w:sz w:val="22"/>
            <w:szCs w:val="22"/>
          </w:rPr>
          <w:tab/>
        </w:r>
        <w:r w:rsidRPr="00087766">
          <w:rPr>
            <w:rStyle w:val="af7"/>
            <w:noProof/>
          </w:rPr>
          <w:t>Пример XML (файловое взаимодействие)</w:t>
        </w:r>
        <w:r>
          <w:rPr>
            <w:noProof/>
            <w:webHidden/>
          </w:rPr>
          <w:tab/>
        </w:r>
        <w:r>
          <w:rPr>
            <w:noProof/>
            <w:webHidden/>
          </w:rPr>
          <w:fldChar w:fldCharType="begin"/>
        </w:r>
        <w:r>
          <w:rPr>
            <w:noProof/>
            <w:webHidden/>
          </w:rPr>
          <w:instrText xml:space="preserve"> PAGEREF _Toc219309683 \h </w:instrText>
        </w:r>
        <w:r>
          <w:rPr>
            <w:noProof/>
            <w:webHidden/>
          </w:rPr>
        </w:r>
        <w:r>
          <w:rPr>
            <w:noProof/>
            <w:webHidden/>
          </w:rPr>
          <w:fldChar w:fldCharType="separate"/>
        </w:r>
        <w:r>
          <w:rPr>
            <w:noProof/>
            <w:webHidden/>
          </w:rPr>
          <w:t>339</w:t>
        </w:r>
        <w:r>
          <w:rPr>
            <w:noProof/>
            <w:webHidden/>
          </w:rPr>
          <w:fldChar w:fldCharType="end"/>
        </w:r>
      </w:hyperlink>
    </w:p>
    <w:p w14:paraId="229697C4"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684" w:history="1">
        <w:r w:rsidRPr="00087766">
          <w:rPr>
            <w:rStyle w:val="af7"/>
            <w:noProof/>
          </w:rPr>
          <w:t>6.11.30.</w:t>
        </w:r>
        <w:r>
          <w:rPr>
            <w:rFonts w:asciiTheme="minorHAnsi" w:eastAsiaTheme="minorEastAsia" w:hAnsiTheme="minorHAnsi" w:cstheme="minorBidi"/>
            <w:iCs w:val="0"/>
            <w:noProof/>
            <w:sz w:val="22"/>
            <w:szCs w:val="22"/>
          </w:rPr>
          <w:tab/>
        </w:r>
        <w:r w:rsidRPr="00087766">
          <w:rPr>
            <w:rStyle w:val="af7"/>
            <w:noProof/>
          </w:rPr>
          <w:t>Пример XML (сервисное взаимодействие)</w:t>
        </w:r>
        <w:r>
          <w:rPr>
            <w:noProof/>
            <w:webHidden/>
          </w:rPr>
          <w:tab/>
        </w:r>
        <w:r>
          <w:rPr>
            <w:noProof/>
            <w:webHidden/>
          </w:rPr>
          <w:fldChar w:fldCharType="begin"/>
        </w:r>
        <w:r>
          <w:rPr>
            <w:noProof/>
            <w:webHidden/>
          </w:rPr>
          <w:instrText xml:space="preserve"> PAGEREF _Toc219309684 \h </w:instrText>
        </w:r>
        <w:r>
          <w:rPr>
            <w:noProof/>
            <w:webHidden/>
          </w:rPr>
        </w:r>
        <w:r>
          <w:rPr>
            <w:noProof/>
            <w:webHidden/>
          </w:rPr>
          <w:fldChar w:fldCharType="separate"/>
        </w:r>
        <w:r>
          <w:rPr>
            <w:noProof/>
            <w:webHidden/>
          </w:rPr>
          <w:t>343</w:t>
        </w:r>
        <w:r>
          <w:rPr>
            <w:noProof/>
            <w:webHidden/>
          </w:rPr>
          <w:fldChar w:fldCharType="end"/>
        </w:r>
      </w:hyperlink>
    </w:p>
    <w:p w14:paraId="06490CDA" w14:textId="77777777" w:rsidR="008D797C" w:rsidRDefault="008D797C">
      <w:pPr>
        <w:pStyle w:val="2a"/>
        <w:tabs>
          <w:tab w:val="left" w:pos="960"/>
          <w:tab w:val="right" w:leader="dot" w:pos="9628"/>
        </w:tabs>
        <w:rPr>
          <w:rFonts w:asciiTheme="minorHAnsi" w:eastAsiaTheme="minorEastAsia" w:hAnsiTheme="minorHAnsi" w:cstheme="minorBidi"/>
          <w:noProof/>
          <w:sz w:val="22"/>
          <w:szCs w:val="22"/>
        </w:rPr>
      </w:pPr>
      <w:hyperlink w:anchor="_Toc219309685" w:history="1">
        <w:r w:rsidRPr="00087766">
          <w:rPr>
            <w:rStyle w:val="af7"/>
            <w:noProof/>
          </w:rPr>
          <w:t>6.12.</w:t>
        </w:r>
        <w:r>
          <w:rPr>
            <w:rFonts w:asciiTheme="minorHAnsi" w:eastAsiaTheme="minorEastAsia" w:hAnsiTheme="minorHAnsi" w:cstheme="minorBidi"/>
            <w:noProof/>
            <w:sz w:val="22"/>
            <w:szCs w:val="22"/>
          </w:rPr>
          <w:tab/>
        </w:r>
        <w:r w:rsidRPr="00087766">
          <w:rPr>
            <w:rStyle w:val="af7"/>
            <w:noProof/>
          </w:rPr>
          <w:t>Описание документа «Информация об отчетности»</w:t>
        </w:r>
        <w:r>
          <w:rPr>
            <w:noProof/>
            <w:webHidden/>
          </w:rPr>
          <w:tab/>
        </w:r>
        <w:r>
          <w:rPr>
            <w:noProof/>
            <w:webHidden/>
          </w:rPr>
          <w:fldChar w:fldCharType="begin"/>
        </w:r>
        <w:r>
          <w:rPr>
            <w:noProof/>
            <w:webHidden/>
          </w:rPr>
          <w:instrText xml:space="preserve"> PAGEREF _Toc219309685 \h </w:instrText>
        </w:r>
        <w:r>
          <w:rPr>
            <w:noProof/>
            <w:webHidden/>
          </w:rPr>
        </w:r>
        <w:r>
          <w:rPr>
            <w:noProof/>
            <w:webHidden/>
          </w:rPr>
          <w:fldChar w:fldCharType="separate"/>
        </w:r>
        <w:r>
          <w:rPr>
            <w:noProof/>
            <w:webHidden/>
          </w:rPr>
          <w:t>347</w:t>
        </w:r>
        <w:r>
          <w:rPr>
            <w:noProof/>
            <w:webHidden/>
          </w:rPr>
          <w:fldChar w:fldCharType="end"/>
        </w:r>
      </w:hyperlink>
    </w:p>
    <w:p w14:paraId="3B7EC815"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86" w:history="1">
        <w:r w:rsidRPr="00087766">
          <w:rPr>
            <w:rStyle w:val="af7"/>
            <w:noProof/>
          </w:rPr>
          <w:t>6.12.1.</w:t>
        </w:r>
        <w:r>
          <w:rPr>
            <w:rFonts w:asciiTheme="minorHAnsi" w:eastAsiaTheme="minorEastAsia" w:hAnsiTheme="minorHAnsi" w:cstheme="minorBidi"/>
            <w:iCs w:val="0"/>
            <w:noProof/>
            <w:sz w:val="22"/>
            <w:szCs w:val="22"/>
          </w:rPr>
          <w:tab/>
        </w:r>
        <w:r w:rsidRPr="00087766">
          <w:rPr>
            <w:rStyle w:val="af7"/>
            <w:noProof/>
          </w:rPr>
          <w:t>Назначение и маршрут документа</w:t>
        </w:r>
        <w:r>
          <w:rPr>
            <w:noProof/>
            <w:webHidden/>
          </w:rPr>
          <w:tab/>
        </w:r>
        <w:r>
          <w:rPr>
            <w:noProof/>
            <w:webHidden/>
          </w:rPr>
          <w:fldChar w:fldCharType="begin"/>
        </w:r>
        <w:r>
          <w:rPr>
            <w:noProof/>
            <w:webHidden/>
          </w:rPr>
          <w:instrText xml:space="preserve"> PAGEREF _Toc219309686 \h </w:instrText>
        </w:r>
        <w:r>
          <w:rPr>
            <w:noProof/>
            <w:webHidden/>
          </w:rPr>
        </w:r>
        <w:r>
          <w:rPr>
            <w:noProof/>
            <w:webHidden/>
          </w:rPr>
          <w:fldChar w:fldCharType="separate"/>
        </w:r>
        <w:r>
          <w:rPr>
            <w:noProof/>
            <w:webHidden/>
          </w:rPr>
          <w:t>347</w:t>
        </w:r>
        <w:r>
          <w:rPr>
            <w:noProof/>
            <w:webHidden/>
          </w:rPr>
          <w:fldChar w:fldCharType="end"/>
        </w:r>
      </w:hyperlink>
    </w:p>
    <w:p w14:paraId="09CEB303"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87" w:history="1">
        <w:r w:rsidRPr="00087766">
          <w:rPr>
            <w:rStyle w:val="af7"/>
            <w:noProof/>
          </w:rPr>
          <w:t>6.12.2.</w:t>
        </w:r>
        <w:r>
          <w:rPr>
            <w:rFonts w:asciiTheme="minorHAnsi" w:eastAsiaTheme="minorEastAsia" w:hAnsiTheme="minorHAnsi" w:cstheme="minorBidi"/>
            <w:iCs w:val="0"/>
            <w:noProof/>
            <w:sz w:val="22"/>
            <w:szCs w:val="22"/>
          </w:rPr>
          <w:tab/>
        </w:r>
        <w:r w:rsidRPr="00087766">
          <w:rPr>
            <w:rStyle w:val="af7"/>
            <w:noProof/>
          </w:rPr>
          <w:t>Описание комплексного типа «tEXP_InformatReport»</w:t>
        </w:r>
        <w:r>
          <w:rPr>
            <w:noProof/>
            <w:webHidden/>
          </w:rPr>
          <w:tab/>
        </w:r>
        <w:r>
          <w:rPr>
            <w:noProof/>
            <w:webHidden/>
          </w:rPr>
          <w:fldChar w:fldCharType="begin"/>
        </w:r>
        <w:r>
          <w:rPr>
            <w:noProof/>
            <w:webHidden/>
          </w:rPr>
          <w:instrText xml:space="preserve"> PAGEREF _Toc219309687 \h </w:instrText>
        </w:r>
        <w:r>
          <w:rPr>
            <w:noProof/>
            <w:webHidden/>
          </w:rPr>
        </w:r>
        <w:r>
          <w:rPr>
            <w:noProof/>
            <w:webHidden/>
          </w:rPr>
          <w:fldChar w:fldCharType="separate"/>
        </w:r>
        <w:r>
          <w:rPr>
            <w:noProof/>
            <w:webHidden/>
          </w:rPr>
          <w:t>347</w:t>
        </w:r>
        <w:r>
          <w:rPr>
            <w:noProof/>
            <w:webHidden/>
          </w:rPr>
          <w:fldChar w:fldCharType="end"/>
        </w:r>
      </w:hyperlink>
    </w:p>
    <w:p w14:paraId="59B62459"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88" w:history="1">
        <w:r w:rsidRPr="00087766">
          <w:rPr>
            <w:rStyle w:val="af7"/>
            <w:noProof/>
          </w:rPr>
          <w:t>6.12.3.</w:t>
        </w:r>
        <w:r>
          <w:rPr>
            <w:rFonts w:asciiTheme="minorHAnsi" w:eastAsiaTheme="minorEastAsia" w:hAnsiTheme="minorHAnsi" w:cstheme="minorBidi"/>
            <w:iCs w:val="0"/>
            <w:noProof/>
            <w:sz w:val="22"/>
            <w:szCs w:val="22"/>
          </w:rPr>
          <w:tab/>
        </w:r>
        <w:r w:rsidRPr="00087766">
          <w:rPr>
            <w:rStyle w:val="af7"/>
            <w:noProof/>
          </w:rPr>
          <w:t>Описание комплексного типа «tInformationCosts»</w:t>
        </w:r>
        <w:r>
          <w:rPr>
            <w:noProof/>
            <w:webHidden/>
          </w:rPr>
          <w:tab/>
        </w:r>
        <w:r>
          <w:rPr>
            <w:noProof/>
            <w:webHidden/>
          </w:rPr>
          <w:fldChar w:fldCharType="begin"/>
        </w:r>
        <w:r>
          <w:rPr>
            <w:noProof/>
            <w:webHidden/>
          </w:rPr>
          <w:instrText xml:space="preserve"> PAGEREF _Toc219309688 \h </w:instrText>
        </w:r>
        <w:r>
          <w:rPr>
            <w:noProof/>
            <w:webHidden/>
          </w:rPr>
        </w:r>
        <w:r>
          <w:rPr>
            <w:noProof/>
            <w:webHidden/>
          </w:rPr>
          <w:fldChar w:fldCharType="separate"/>
        </w:r>
        <w:r>
          <w:rPr>
            <w:noProof/>
            <w:webHidden/>
          </w:rPr>
          <w:t>351</w:t>
        </w:r>
        <w:r>
          <w:rPr>
            <w:noProof/>
            <w:webHidden/>
          </w:rPr>
          <w:fldChar w:fldCharType="end"/>
        </w:r>
      </w:hyperlink>
    </w:p>
    <w:p w14:paraId="3B9D5541"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89" w:history="1">
        <w:r w:rsidRPr="00087766">
          <w:rPr>
            <w:rStyle w:val="af7"/>
            <w:noProof/>
          </w:rPr>
          <w:t>6.12.4.</w:t>
        </w:r>
        <w:r>
          <w:rPr>
            <w:rFonts w:asciiTheme="minorHAnsi" w:eastAsiaTheme="minorEastAsia" w:hAnsiTheme="minorHAnsi" w:cstheme="minorBidi"/>
            <w:iCs w:val="0"/>
            <w:noProof/>
            <w:sz w:val="22"/>
            <w:szCs w:val="22"/>
          </w:rPr>
          <w:tab/>
        </w:r>
        <w:r w:rsidRPr="00087766">
          <w:rPr>
            <w:rStyle w:val="af7"/>
            <w:noProof/>
          </w:rPr>
          <w:t>Описание комплексного типа «tCostsCommited»</w:t>
        </w:r>
        <w:r>
          <w:rPr>
            <w:noProof/>
            <w:webHidden/>
          </w:rPr>
          <w:tab/>
        </w:r>
        <w:r>
          <w:rPr>
            <w:noProof/>
            <w:webHidden/>
          </w:rPr>
          <w:fldChar w:fldCharType="begin"/>
        </w:r>
        <w:r>
          <w:rPr>
            <w:noProof/>
            <w:webHidden/>
          </w:rPr>
          <w:instrText xml:space="preserve"> PAGEREF _Toc219309689 \h </w:instrText>
        </w:r>
        <w:r>
          <w:rPr>
            <w:noProof/>
            <w:webHidden/>
          </w:rPr>
        </w:r>
        <w:r>
          <w:rPr>
            <w:noProof/>
            <w:webHidden/>
          </w:rPr>
          <w:fldChar w:fldCharType="separate"/>
        </w:r>
        <w:r>
          <w:rPr>
            <w:noProof/>
            <w:webHidden/>
          </w:rPr>
          <w:t>352</w:t>
        </w:r>
        <w:r>
          <w:rPr>
            <w:noProof/>
            <w:webHidden/>
          </w:rPr>
          <w:fldChar w:fldCharType="end"/>
        </w:r>
      </w:hyperlink>
    </w:p>
    <w:p w14:paraId="1DDC802C"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90" w:history="1">
        <w:r w:rsidRPr="00087766">
          <w:rPr>
            <w:rStyle w:val="af7"/>
            <w:noProof/>
          </w:rPr>
          <w:t>6.12.5.</w:t>
        </w:r>
        <w:r>
          <w:rPr>
            <w:rFonts w:asciiTheme="minorHAnsi" w:eastAsiaTheme="minorEastAsia" w:hAnsiTheme="minorHAnsi" w:cstheme="minorBidi"/>
            <w:iCs w:val="0"/>
            <w:noProof/>
            <w:sz w:val="22"/>
            <w:szCs w:val="22"/>
          </w:rPr>
          <w:tab/>
        </w:r>
        <w:r w:rsidRPr="00087766">
          <w:rPr>
            <w:rStyle w:val="af7"/>
            <w:noProof/>
          </w:rPr>
          <w:t>Описание комплексного типа «tAmountBalance»</w:t>
        </w:r>
        <w:r>
          <w:rPr>
            <w:noProof/>
            <w:webHidden/>
          </w:rPr>
          <w:tab/>
        </w:r>
        <w:r>
          <w:rPr>
            <w:noProof/>
            <w:webHidden/>
          </w:rPr>
          <w:fldChar w:fldCharType="begin"/>
        </w:r>
        <w:r>
          <w:rPr>
            <w:noProof/>
            <w:webHidden/>
          </w:rPr>
          <w:instrText xml:space="preserve"> PAGEREF _Toc219309690 \h </w:instrText>
        </w:r>
        <w:r>
          <w:rPr>
            <w:noProof/>
            <w:webHidden/>
          </w:rPr>
        </w:r>
        <w:r>
          <w:rPr>
            <w:noProof/>
            <w:webHidden/>
          </w:rPr>
          <w:fldChar w:fldCharType="separate"/>
        </w:r>
        <w:r>
          <w:rPr>
            <w:noProof/>
            <w:webHidden/>
          </w:rPr>
          <w:t>353</w:t>
        </w:r>
        <w:r>
          <w:rPr>
            <w:noProof/>
            <w:webHidden/>
          </w:rPr>
          <w:fldChar w:fldCharType="end"/>
        </w:r>
      </w:hyperlink>
    </w:p>
    <w:p w14:paraId="2F2DDE7E"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91" w:history="1">
        <w:r w:rsidRPr="00087766">
          <w:rPr>
            <w:rStyle w:val="af7"/>
            <w:noProof/>
          </w:rPr>
          <w:t>6.12.6.</w:t>
        </w:r>
        <w:r>
          <w:rPr>
            <w:rFonts w:asciiTheme="minorHAnsi" w:eastAsiaTheme="minorEastAsia" w:hAnsiTheme="minorHAnsi" w:cstheme="minorBidi"/>
            <w:iCs w:val="0"/>
            <w:noProof/>
            <w:sz w:val="22"/>
            <w:szCs w:val="22"/>
          </w:rPr>
          <w:tab/>
        </w:r>
        <w:r w:rsidRPr="00087766">
          <w:rPr>
            <w:rStyle w:val="af7"/>
            <w:noProof/>
          </w:rPr>
          <w:t>Описание комплексного типа «tAchievedInds»</w:t>
        </w:r>
        <w:r>
          <w:rPr>
            <w:noProof/>
            <w:webHidden/>
          </w:rPr>
          <w:tab/>
        </w:r>
        <w:r>
          <w:rPr>
            <w:noProof/>
            <w:webHidden/>
          </w:rPr>
          <w:fldChar w:fldCharType="begin"/>
        </w:r>
        <w:r>
          <w:rPr>
            <w:noProof/>
            <w:webHidden/>
          </w:rPr>
          <w:instrText xml:space="preserve"> PAGEREF _Toc219309691 \h </w:instrText>
        </w:r>
        <w:r>
          <w:rPr>
            <w:noProof/>
            <w:webHidden/>
          </w:rPr>
        </w:r>
        <w:r>
          <w:rPr>
            <w:noProof/>
            <w:webHidden/>
          </w:rPr>
          <w:fldChar w:fldCharType="separate"/>
        </w:r>
        <w:r>
          <w:rPr>
            <w:noProof/>
            <w:webHidden/>
          </w:rPr>
          <w:t>353</w:t>
        </w:r>
        <w:r>
          <w:rPr>
            <w:noProof/>
            <w:webHidden/>
          </w:rPr>
          <w:fldChar w:fldCharType="end"/>
        </w:r>
      </w:hyperlink>
    </w:p>
    <w:p w14:paraId="0DBD5EB2"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92" w:history="1">
        <w:r w:rsidRPr="00087766">
          <w:rPr>
            <w:rStyle w:val="af7"/>
            <w:noProof/>
          </w:rPr>
          <w:t>6.12.7.</w:t>
        </w:r>
        <w:r>
          <w:rPr>
            <w:rFonts w:asciiTheme="minorHAnsi" w:eastAsiaTheme="minorEastAsia" w:hAnsiTheme="minorHAnsi" w:cstheme="minorBidi"/>
            <w:iCs w:val="0"/>
            <w:noProof/>
            <w:sz w:val="22"/>
            <w:szCs w:val="22"/>
          </w:rPr>
          <w:tab/>
        </w:r>
        <w:r w:rsidRPr="00087766">
          <w:rPr>
            <w:rStyle w:val="af7"/>
            <w:noProof/>
          </w:rPr>
          <w:t>Описание комплексного типа «tAchievedInd»</w:t>
        </w:r>
        <w:r>
          <w:rPr>
            <w:noProof/>
            <w:webHidden/>
          </w:rPr>
          <w:tab/>
        </w:r>
        <w:r>
          <w:rPr>
            <w:noProof/>
            <w:webHidden/>
          </w:rPr>
          <w:fldChar w:fldCharType="begin"/>
        </w:r>
        <w:r>
          <w:rPr>
            <w:noProof/>
            <w:webHidden/>
          </w:rPr>
          <w:instrText xml:space="preserve"> PAGEREF _Toc219309692 \h </w:instrText>
        </w:r>
        <w:r>
          <w:rPr>
            <w:noProof/>
            <w:webHidden/>
          </w:rPr>
        </w:r>
        <w:r>
          <w:rPr>
            <w:noProof/>
            <w:webHidden/>
          </w:rPr>
          <w:fldChar w:fldCharType="separate"/>
        </w:r>
        <w:r>
          <w:rPr>
            <w:noProof/>
            <w:webHidden/>
          </w:rPr>
          <w:t>354</w:t>
        </w:r>
        <w:r>
          <w:rPr>
            <w:noProof/>
            <w:webHidden/>
          </w:rPr>
          <w:fldChar w:fldCharType="end"/>
        </w:r>
      </w:hyperlink>
    </w:p>
    <w:p w14:paraId="34E67AC0"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93" w:history="1">
        <w:r w:rsidRPr="00087766">
          <w:rPr>
            <w:rStyle w:val="af7"/>
            <w:noProof/>
          </w:rPr>
          <w:t>6.12.8.</w:t>
        </w:r>
        <w:r>
          <w:rPr>
            <w:rFonts w:asciiTheme="minorHAnsi" w:eastAsiaTheme="minorEastAsia" w:hAnsiTheme="minorHAnsi" w:cstheme="minorBidi"/>
            <w:iCs w:val="0"/>
            <w:noProof/>
            <w:sz w:val="22"/>
            <w:szCs w:val="22"/>
          </w:rPr>
          <w:tab/>
        </w:r>
        <w:r w:rsidRPr="00087766">
          <w:rPr>
            <w:rStyle w:val="af7"/>
            <w:noProof/>
          </w:rPr>
          <w:t>Пример XML (файловое взаимодействие)</w:t>
        </w:r>
        <w:r>
          <w:rPr>
            <w:noProof/>
            <w:webHidden/>
          </w:rPr>
          <w:tab/>
        </w:r>
        <w:r>
          <w:rPr>
            <w:noProof/>
            <w:webHidden/>
          </w:rPr>
          <w:fldChar w:fldCharType="begin"/>
        </w:r>
        <w:r>
          <w:rPr>
            <w:noProof/>
            <w:webHidden/>
          </w:rPr>
          <w:instrText xml:space="preserve"> PAGEREF _Toc219309693 \h </w:instrText>
        </w:r>
        <w:r>
          <w:rPr>
            <w:noProof/>
            <w:webHidden/>
          </w:rPr>
        </w:r>
        <w:r>
          <w:rPr>
            <w:noProof/>
            <w:webHidden/>
          </w:rPr>
          <w:fldChar w:fldCharType="separate"/>
        </w:r>
        <w:r>
          <w:rPr>
            <w:noProof/>
            <w:webHidden/>
          </w:rPr>
          <w:t>355</w:t>
        </w:r>
        <w:r>
          <w:rPr>
            <w:noProof/>
            <w:webHidden/>
          </w:rPr>
          <w:fldChar w:fldCharType="end"/>
        </w:r>
      </w:hyperlink>
    </w:p>
    <w:p w14:paraId="08FFF869" w14:textId="77777777" w:rsidR="008D797C" w:rsidRDefault="008D797C">
      <w:pPr>
        <w:pStyle w:val="2a"/>
        <w:tabs>
          <w:tab w:val="left" w:pos="960"/>
          <w:tab w:val="right" w:leader="dot" w:pos="9628"/>
        </w:tabs>
        <w:rPr>
          <w:rFonts w:asciiTheme="minorHAnsi" w:eastAsiaTheme="minorEastAsia" w:hAnsiTheme="minorHAnsi" w:cstheme="minorBidi"/>
          <w:noProof/>
          <w:sz w:val="22"/>
          <w:szCs w:val="22"/>
        </w:rPr>
      </w:pPr>
      <w:hyperlink w:anchor="_Toc219309694" w:history="1">
        <w:r w:rsidRPr="00087766">
          <w:rPr>
            <w:rStyle w:val="af7"/>
            <w:noProof/>
            <w:highlight w:val="green"/>
          </w:rPr>
          <w:t>6.13.</w:t>
        </w:r>
        <w:r>
          <w:rPr>
            <w:rFonts w:asciiTheme="minorHAnsi" w:eastAsiaTheme="minorEastAsia" w:hAnsiTheme="minorHAnsi" w:cstheme="minorBidi"/>
            <w:noProof/>
            <w:sz w:val="22"/>
            <w:szCs w:val="22"/>
          </w:rPr>
          <w:tab/>
        </w:r>
        <w:r w:rsidRPr="00087766">
          <w:rPr>
            <w:rStyle w:val="af7"/>
            <w:noProof/>
            <w:highlight w:val="green"/>
          </w:rPr>
          <w:t>Описание документа «Заявление на выдачу (перевод, отзыв) Казначейского обеспечения обязательств» (ф. 0506108)</w:t>
        </w:r>
        <w:r>
          <w:rPr>
            <w:noProof/>
            <w:webHidden/>
          </w:rPr>
          <w:tab/>
        </w:r>
        <w:r>
          <w:rPr>
            <w:noProof/>
            <w:webHidden/>
          </w:rPr>
          <w:fldChar w:fldCharType="begin"/>
        </w:r>
        <w:r>
          <w:rPr>
            <w:noProof/>
            <w:webHidden/>
          </w:rPr>
          <w:instrText xml:space="preserve"> PAGEREF _Toc219309694 \h </w:instrText>
        </w:r>
        <w:r>
          <w:rPr>
            <w:noProof/>
            <w:webHidden/>
          </w:rPr>
        </w:r>
        <w:r>
          <w:rPr>
            <w:noProof/>
            <w:webHidden/>
          </w:rPr>
          <w:fldChar w:fldCharType="separate"/>
        </w:r>
        <w:r>
          <w:rPr>
            <w:noProof/>
            <w:webHidden/>
          </w:rPr>
          <w:t>356</w:t>
        </w:r>
        <w:r>
          <w:rPr>
            <w:noProof/>
            <w:webHidden/>
          </w:rPr>
          <w:fldChar w:fldCharType="end"/>
        </w:r>
      </w:hyperlink>
    </w:p>
    <w:p w14:paraId="5EE993C2"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95" w:history="1">
        <w:r w:rsidRPr="00087766">
          <w:rPr>
            <w:rStyle w:val="af7"/>
            <w:noProof/>
            <w:highlight w:val="green"/>
          </w:rPr>
          <w:t>6.13.1.</w:t>
        </w:r>
        <w:r>
          <w:rPr>
            <w:rFonts w:asciiTheme="minorHAnsi" w:eastAsiaTheme="minorEastAsia" w:hAnsiTheme="minorHAnsi" w:cstheme="minorBidi"/>
            <w:iCs w:val="0"/>
            <w:noProof/>
            <w:sz w:val="22"/>
            <w:szCs w:val="22"/>
          </w:rPr>
          <w:tab/>
        </w:r>
        <w:r w:rsidRPr="00087766">
          <w:rPr>
            <w:rStyle w:val="af7"/>
            <w:noProof/>
            <w:highlight w:val="green"/>
          </w:rPr>
          <w:t>Назначение и маршрут документа</w:t>
        </w:r>
        <w:r>
          <w:rPr>
            <w:noProof/>
            <w:webHidden/>
          </w:rPr>
          <w:tab/>
        </w:r>
        <w:r>
          <w:rPr>
            <w:noProof/>
            <w:webHidden/>
          </w:rPr>
          <w:fldChar w:fldCharType="begin"/>
        </w:r>
        <w:r>
          <w:rPr>
            <w:noProof/>
            <w:webHidden/>
          </w:rPr>
          <w:instrText xml:space="preserve"> PAGEREF _Toc219309695 \h </w:instrText>
        </w:r>
        <w:r>
          <w:rPr>
            <w:noProof/>
            <w:webHidden/>
          </w:rPr>
        </w:r>
        <w:r>
          <w:rPr>
            <w:noProof/>
            <w:webHidden/>
          </w:rPr>
          <w:fldChar w:fldCharType="separate"/>
        </w:r>
        <w:r>
          <w:rPr>
            <w:noProof/>
            <w:webHidden/>
          </w:rPr>
          <w:t>356</w:t>
        </w:r>
        <w:r>
          <w:rPr>
            <w:noProof/>
            <w:webHidden/>
          </w:rPr>
          <w:fldChar w:fldCharType="end"/>
        </w:r>
      </w:hyperlink>
    </w:p>
    <w:p w14:paraId="41D65B7C"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96" w:history="1">
        <w:r w:rsidRPr="00087766">
          <w:rPr>
            <w:rStyle w:val="af7"/>
            <w:noProof/>
          </w:rPr>
          <w:t>6.13.2.</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«tMSC_LETTEROFCREDITAPP»</w:t>
        </w:r>
        <w:r>
          <w:rPr>
            <w:noProof/>
            <w:webHidden/>
          </w:rPr>
          <w:tab/>
        </w:r>
        <w:r>
          <w:rPr>
            <w:noProof/>
            <w:webHidden/>
          </w:rPr>
          <w:fldChar w:fldCharType="begin"/>
        </w:r>
        <w:r>
          <w:rPr>
            <w:noProof/>
            <w:webHidden/>
          </w:rPr>
          <w:instrText xml:space="preserve"> PAGEREF _Toc219309696 \h </w:instrText>
        </w:r>
        <w:r>
          <w:rPr>
            <w:noProof/>
            <w:webHidden/>
          </w:rPr>
        </w:r>
        <w:r>
          <w:rPr>
            <w:noProof/>
            <w:webHidden/>
          </w:rPr>
          <w:fldChar w:fldCharType="separate"/>
        </w:r>
        <w:r>
          <w:rPr>
            <w:noProof/>
            <w:webHidden/>
          </w:rPr>
          <w:t>357</w:t>
        </w:r>
        <w:r>
          <w:rPr>
            <w:noProof/>
            <w:webHidden/>
          </w:rPr>
          <w:fldChar w:fldCharType="end"/>
        </w:r>
      </w:hyperlink>
    </w:p>
    <w:p w14:paraId="57806E00"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97" w:history="1">
        <w:r w:rsidRPr="00087766">
          <w:rPr>
            <w:rStyle w:val="af7"/>
            <w:noProof/>
          </w:rPr>
          <w:t>6.13.3.</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«tMSC_TOFK»</w:t>
        </w:r>
        <w:r>
          <w:rPr>
            <w:noProof/>
            <w:webHidden/>
          </w:rPr>
          <w:tab/>
        </w:r>
        <w:r>
          <w:rPr>
            <w:noProof/>
            <w:webHidden/>
          </w:rPr>
          <w:fldChar w:fldCharType="begin"/>
        </w:r>
        <w:r>
          <w:rPr>
            <w:noProof/>
            <w:webHidden/>
          </w:rPr>
          <w:instrText xml:space="preserve"> PAGEREF _Toc219309697 \h </w:instrText>
        </w:r>
        <w:r>
          <w:rPr>
            <w:noProof/>
            <w:webHidden/>
          </w:rPr>
        </w:r>
        <w:r>
          <w:rPr>
            <w:noProof/>
            <w:webHidden/>
          </w:rPr>
          <w:fldChar w:fldCharType="separate"/>
        </w:r>
        <w:r>
          <w:rPr>
            <w:noProof/>
            <w:webHidden/>
          </w:rPr>
          <w:t>363</w:t>
        </w:r>
        <w:r>
          <w:rPr>
            <w:noProof/>
            <w:webHidden/>
          </w:rPr>
          <w:fldChar w:fldCharType="end"/>
        </w:r>
      </w:hyperlink>
    </w:p>
    <w:p w14:paraId="7508DA8D"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98" w:history="1">
        <w:r w:rsidRPr="00087766">
          <w:rPr>
            <w:rStyle w:val="af7"/>
            <w:noProof/>
          </w:rPr>
          <w:t>6.13.4.</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«tMSC_PBS_UBP»</w:t>
        </w:r>
        <w:r>
          <w:rPr>
            <w:noProof/>
            <w:webHidden/>
          </w:rPr>
          <w:tab/>
        </w:r>
        <w:r>
          <w:rPr>
            <w:noProof/>
            <w:webHidden/>
          </w:rPr>
          <w:fldChar w:fldCharType="begin"/>
        </w:r>
        <w:r>
          <w:rPr>
            <w:noProof/>
            <w:webHidden/>
          </w:rPr>
          <w:instrText xml:space="preserve"> PAGEREF _Toc219309698 \h </w:instrText>
        </w:r>
        <w:r>
          <w:rPr>
            <w:noProof/>
            <w:webHidden/>
          </w:rPr>
        </w:r>
        <w:r>
          <w:rPr>
            <w:noProof/>
            <w:webHidden/>
          </w:rPr>
          <w:fldChar w:fldCharType="separate"/>
        </w:r>
        <w:r>
          <w:rPr>
            <w:noProof/>
            <w:webHidden/>
          </w:rPr>
          <w:t>363</w:t>
        </w:r>
        <w:r>
          <w:rPr>
            <w:noProof/>
            <w:webHidden/>
          </w:rPr>
          <w:fldChar w:fldCharType="end"/>
        </w:r>
      </w:hyperlink>
    </w:p>
    <w:p w14:paraId="6FB54A48"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699" w:history="1">
        <w:r w:rsidRPr="00087766">
          <w:rPr>
            <w:rStyle w:val="af7"/>
            <w:noProof/>
          </w:rPr>
          <w:t>6.13.5.</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«tMSC_PBS_UBP2»</w:t>
        </w:r>
        <w:r>
          <w:rPr>
            <w:noProof/>
            <w:webHidden/>
          </w:rPr>
          <w:tab/>
        </w:r>
        <w:r>
          <w:rPr>
            <w:noProof/>
            <w:webHidden/>
          </w:rPr>
          <w:fldChar w:fldCharType="begin"/>
        </w:r>
        <w:r>
          <w:rPr>
            <w:noProof/>
            <w:webHidden/>
          </w:rPr>
          <w:instrText xml:space="preserve"> PAGEREF _Toc219309699 \h </w:instrText>
        </w:r>
        <w:r>
          <w:rPr>
            <w:noProof/>
            <w:webHidden/>
          </w:rPr>
        </w:r>
        <w:r>
          <w:rPr>
            <w:noProof/>
            <w:webHidden/>
          </w:rPr>
          <w:fldChar w:fldCharType="separate"/>
        </w:r>
        <w:r>
          <w:rPr>
            <w:noProof/>
            <w:webHidden/>
          </w:rPr>
          <w:t>363</w:t>
        </w:r>
        <w:r>
          <w:rPr>
            <w:noProof/>
            <w:webHidden/>
          </w:rPr>
          <w:fldChar w:fldCharType="end"/>
        </w:r>
      </w:hyperlink>
    </w:p>
    <w:p w14:paraId="18EF9E20"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00" w:history="1">
        <w:r w:rsidRPr="00087766">
          <w:rPr>
            <w:rStyle w:val="af7"/>
            <w:noProof/>
          </w:rPr>
          <w:t>6.13.6.</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«tMSC_GRBS1»</w:t>
        </w:r>
        <w:r>
          <w:rPr>
            <w:noProof/>
            <w:webHidden/>
          </w:rPr>
          <w:tab/>
        </w:r>
        <w:r>
          <w:rPr>
            <w:noProof/>
            <w:webHidden/>
          </w:rPr>
          <w:fldChar w:fldCharType="begin"/>
        </w:r>
        <w:r>
          <w:rPr>
            <w:noProof/>
            <w:webHidden/>
          </w:rPr>
          <w:instrText xml:space="preserve"> PAGEREF _Toc219309700 \h </w:instrText>
        </w:r>
        <w:r>
          <w:rPr>
            <w:noProof/>
            <w:webHidden/>
          </w:rPr>
        </w:r>
        <w:r>
          <w:rPr>
            <w:noProof/>
            <w:webHidden/>
          </w:rPr>
          <w:fldChar w:fldCharType="separate"/>
        </w:r>
        <w:r>
          <w:rPr>
            <w:noProof/>
            <w:webHidden/>
          </w:rPr>
          <w:t>364</w:t>
        </w:r>
        <w:r>
          <w:rPr>
            <w:noProof/>
            <w:webHidden/>
          </w:rPr>
          <w:fldChar w:fldCharType="end"/>
        </w:r>
      </w:hyperlink>
    </w:p>
    <w:p w14:paraId="3B91EFBE"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01" w:history="1">
        <w:r w:rsidRPr="00087766">
          <w:rPr>
            <w:rStyle w:val="af7"/>
            <w:noProof/>
          </w:rPr>
          <w:t>6.13.7.</w:t>
        </w:r>
        <w:r>
          <w:rPr>
            <w:rFonts w:asciiTheme="minorHAnsi" w:eastAsiaTheme="minorEastAsia" w:hAnsiTheme="minorHAnsi" w:cstheme="minorBidi"/>
            <w:iCs w:val="0"/>
            <w:noProof/>
            <w:sz w:val="22"/>
            <w:szCs w:val="22"/>
          </w:rPr>
          <w:tab/>
        </w:r>
        <w:r w:rsidRPr="00087766">
          <w:rPr>
            <w:rStyle w:val="af7"/>
            <w:noProof/>
          </w:rPr>
          <w:t>Описание комплексного типа «tUnt»</w:t>
        </w:r>
        <w:r>
          <w:rPr>
            <w:noProof/>
            <w:webHidden/>
          </w:rPr>
          <w:tab/>
        </w:r>
        <w:r>
          <w:rPr>
            <w:noProof/>
            <w:webHidden/>
          </w:rPr>
          <w:fldChar w:fldCharType="begin"/>
        </w:r>
        <w:r>
          <w:rPr>
            <w:noProof/>
            <w:webHidden/>
          </w:rPr>
          <w:instrText xml:space="preserve"> PAGEREF _Toc219309701 \h </w:instrText>
        </w:r>
        <w:r>
          <w:rPr>
            <w:noProof/>
            <w:webHidden/>
          </w:rPr>
        </w:r>
        <w:r>
          <w:rPr>
            <w:noProof/>
            <w:webHidden/>
          </w:rPr>
          <w:fldChar w:fldCharType="separate"/>
        </w:r>
        <w:r>
          <w:rPr>
            <w:noProof/>
            <w:webHidden/>
          </w:rPr>
          <w:t>364</w:t>
        </w:r>
        <w:r>
          <w:rPr>
            <w:noProof/>
            <w:webHidden/>
          </w:rPr>
          <w:fldChar w:fldCharType="end"/>
        </w:r>
      </w:hyperlink>
    </w:p>
    <w:p w14:paraId="68A715C0"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02" w:history="1">
        <w:r w:rsidRPr="00087766">
          <w:rPr>
            <w:rStyle w:val="af7"/>
            <w:noProof/>
          </w:rPr>
          <w:t>6.13.8.</w:t>
        </w:r>
        <w:r>
          <w:rPr>
            <w:rFonts w:asciiTheme="minorHAnsi" w:eastAsiaTheme="minorEastAsia" w:hAnsiTheme="minorHAnsi" w:cstheme="minorBidi"/>
            <w:iCs w:val="0"/>
            <w:noProof/>
            <w:sz w:val="22"/>
            <w:szCs w:val="22"/>
          </w:rPr>
          <w:tab/>
        </w:r>
        <w:r w:rsidRPr="00087766">
          <w:rPr>
            <w:rStyle w:val="af7"/>
            <w:noProof/>
          </w:rPr>
          <w:t>Описание комплексного типа «tSGNNmPs»</w:t>
        </w:r>
        <w:r>
          <w:rPr>
            <w:noProof/>
            <w:webHidden/>
          </w:rPr>
          <w:tab/>
        </w:r>
        <w:r>
          <w:rPr>
            <w:noProof/>
            <w:webHidden/>
          </w:rPr>
          <w:fldChar w:fldCharType="begin"/>
        </w:r>
        <w:r>
          <w:rPr>
            <w:noProof/>
            <w:webHidden/>
          </w:rPr>
          <w:instrText xml:space="preserve"> PAGEREF _Toc219309702 \h </w:instrText>
        </w:r>
        <w:r>
          <w:rPr>
            <w:noProof/>
            <w:webHidden/>
          </w:rPr>
        </w:r>
        <w:r>
          <w:rPr>
            <w:noProof/>
            <w:webHidden/>
          </w:rPr>
          <w:fldChar w:fldCharType="separate"/>
        </w:r>
        <w:r>
          <w:rPr>
            <w:noProof/>
            <w:webHidden/>
          </w:rPr>
          <w:t>364</w:t>
        </w:r>
        <w:r>
          <w:rPr>
            <w:noProof/>
            <w:webHidden/>
          </w:rPr>
          <w:fldChar w:fldCharType="end"/>
        </w:r>
      </w:hyperlink>
    </w:p>
    <w:p w14:paraId="6CFA5CC2"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03" w:history="1">
        <w:r w:rsidRPr="00087766">
          <w:rPr>
            <w:rStyle w:val="af7"/>
            <w:noProof/>
          </w:rPr>
          <w:t>6.13.9.</w:t>
        </w:r>
        <w:r>
          <w:rPr>
            <w:rFonts w:asciiTheme="minorHAnsi" w:eastAsiaTheme="minorEastAsia" w:hAnsiTheme="minorHAnsi" w:cstheme="minorBidi"/>
            <w:iCs w:val="0"/>
            <w:noProof/>
            <w:sz w:val="22"/>
            <w:szCs w:val="22"/>
          </w:rPr>
          <w:tab/>
        </w:r>
        <w:r w:rsidRPr="00087766">
          <w:rPr>
            <w:rStyle w:val="af7"/>
            <w:noProof/>
          </w:rPr>
          <w:t>Описание комплексного типа «tSGNNmPsPhDt2»</w:t>
        </w:r>
        <w:r>
          <w:rPr>
            <w:noProof/>
            <w:webHidden/>
          </w:rPr>
          <w:tab/>
        </w:r>
        <w:r>
          <w:rPr>
            <w:noProof/>
            <w:webHidden/>
          </w:rPr>
          <w:fldChar w:fldCharType="begin"/>
        </w:r>
        <w:r>
          <w:rPr>
            <w:noProof/>
            <w:webHidden/>
          </w:rPr>
          <w:instrText xml:space="preserve"> PAGEREF _Toc219309703 \h </w:instrText>
        </w:r>
        <w:r>
          <w:rPr>
            <w:noProof/>
            <w:webHidden/>
          </w:rPr>
        </w:r>
        <w:r>
          <w:rPr>
            <w:noProof/>
            <w:webHidden/>
          </w:rPr>
          <w:fldChar w:fldCharType="separate"/>
        </w:r>
        <w:r>
          <w:rPr>
            <w:noProof/>
            <w:webHidden/>
          </w:rPr>
          <w:t>365</w:t>
        </w:r>
        <w:r>
          <w:rPr>
            <w:noProof/>
            <w:webHidden/>
          </w:rPr>
          <w:fldChar w:fldCharType="end"/>
        </w:r>
      </w:hyperlink>
    </w:p>
    <w:p w14:paraId="5BC581E6"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704" w:history="1">
        <w:r w:rsidRPr="00087766">
          <w:rPr>
            <w:rStyle w:val="af7"/>
            <w:noProof/>
          </w:rPr>
          <w:t>6.13.10.</w:t>
        </w:r>
        <w:r>
          <w:rPr>
            <w:rFonts w:asciiTheme="minorHAnsi" w:eastAsiaTheme="minorEastAsia" w:hAnsiTheme="minorHAnsi" w:cstheme="minorBidi"/>
            <w:iCs w:val="0"/>
            <w:noProof/>
            <w:sz w:val="22"/>
            <w:szCs w:val="22"/>
          </w:rPr>
          <w:tab/>
        </w:r>
        <w:r w:rsidRPr="00087766">
          <w:rPr>
            <w:rStyle w:val="af7"/>
            <w:noProof/>
          </w:rPr>
          <w:t>Описание комплексного типа «tBaseDoc_TAB_BASEDOC_D031»</w:t>
        </w:r>
        <w:r>
          <w:rPr>
            <w:noProof/>
            <w:webHidden/>
          </w:rPr>
          <w:tab/>
        </w:r>
        <w:r>
          <w:rPr>
            <w:noProof/>
            <w:webHidden/>
          </w:rPr>
          <w:fldChar w:fldCharType="begin"/>
        </w:r>
        <w:r>
          <w:rPr>
            <w:noProof/>
            <w:webHidden/>
          </w:rPr>
          <w:instrText xml:space="preserve"> PAGEREF _Toc219309704 \h </w:instrText>
        </w:r>
        <w:r>
          <w:rPr>
            <w:noProof/>
            <w:webHidden/>
          </w:rPr>
        </w:r>
        <w:r>
          <w:rPr>
            <w:noProof/>
            <w:webHidden/>
          </w:rPr>
          <w:fldChar w:fldCharType="separate"/>
        </w:r>
        <w:r>
          <w:rPr>
            <w:noProof/>
            <w:webHidden/>
          </w:rPr>
          <w:t>365</w:t>
        </w:r>
        <w:r>
          <w:rPr>
            <w:noProof/>
            <w:webHidden/>
          </w:rPr>
          <w:fldChar w:fldCharType="end"/>
        </w:r>
      </w:hyperlink>
    </w:p>
    <w:p w14:paraId="43154579"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705" w:history="1">
        <w:r w:rsidRPr="00087766">
          <w:rPr>
            <w:rStyle w:val="af7"/>
            <w:noProof/>
          </w:rPr>
          <w:t>6.13.11.</w:t>
        </w:r>
        <w:r>
          <w:rPr>
            <w:rFonts w:asciiTheme="minorHAnsi" w:eastAsiaTheme="minorEastAsia" w:hAnsiTheme="minorHAnsi" w:cstheme="minorBidi"/>
            <w:iCs w:val="0"/>
            <w:noProof/>
            <w:sz w:val="22"/>
            <w:szCs w:val="22"/>
          </w:rPr>
          <w:tab/>
        </w:r>
        <w:r w:rsidRPr="00087766">
          <w:rPr>
            <w:rStyle w:val="af7"/>
            <w:noProof/>
          </w:rPr>
          <w:t>Описание комплексного типа «tTAB_BASEDOC_D031_ITEM»</w:t>
        </w:r>
        <w:r>
          <w:rPr>
            <w:noProof/>
            <w:webHidden/>
          </w:rPr>
          <w:tab/>
        </w:r>
        <w:r>
          <w:rPr>
            <w:noProof/>
            <w:webHidden/>
          </w:rPr>
          <w:fldChar w:fldCharType="begin"/>
        </w:r>
        <w:r>
          <w:rPr>
            <w:noProof/>
            <w:webHidden/>
          </w:rPr>
          <w:instrText xml:space="preserve"> PAGEREF _Toc219309705 \h </w:instrText>
        </w:r>
        <w:r>
          <w:rPr>
            <w:noProof/>
            <w:webHidden/>
          </w:rPr>
        </w:r>
        <w:r>
          <w:rPr>
            <w:noProof/>
            <w:webHidden/>
          </w:rPr>
          <w:fldChar w:fldCharType="separate"/>
        </w:r>
        <w:r>
          <w:rPr>
            <w:noProof/>
            <w:webHidden/>
          </w:rPr>
          <w:t>366</w:t>
        </w:r>
        <w:r>
          <w:rPr>
            <w:noProof/>
            <w:webHidden/>
          </w:rPr>
          <w:fldChar w:fldCharType="end"/>
        </w:r>
      </w:hyperlink>
    </w:p>
    <w:p w14:paraId="22170288"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706" w:history="1">
        <w:r w:rsidRPr="00087766">
          <w:rPr>
            <w:rStyle w:val="af7"/>
            <w:noProof/>
          </w:rPr>
          <w:t>6.13.12.</w:t>
        </w:r>
        <w:r>
          <w:rPr>
            <w:rFonts w:asciiTheme="minorHAnsi" w:eastAsiaTheme="minorEastAsia" w:hAnsiTheme="minorHAnsi" w:cstheme="minorBidi"/>
            <w:iCs w:val="0"/>
            <w:noProof/>
            <w:sz w:val="22"/>
            <w:szCs w:val="22"/>
          </w:rPr>
          <w:tab/>
        </w:r>
        <w:r w:rsidRPr="00087766">
          <w:rPr>
            <w:rStyle w:val="af7"/>
            <w:noProof/>
          </w:rPr>
          <w:t>Описание комплексного типа «tCalculationTypeComplex»</w:t>
        </w:r>
        <w:r>
          <w:rPr>
            <w:noProof/>
            <w:webHidden/>
          </w:rPr>
          <w:tab/>
        </w:r>
        <w:r>
          <w:rPr>
            <w:noProof/>
            <w:webHidden/>
          </w:rPr>
          <w:fldChar w:fldCharType="begin"/>
        </w:r>
        <w:r>
          <w:rPr>
            <w:noProof/>
            <w:webHidden/>
          </w:rPr>
          <w:instrText xml:space="preserve"> PAGEREF _Toc219309706 \h </w:instrText>
        </w:r>
        <w:r>
          <w:rPr>
            <w:noProof/>
            <w:webHidden/>
          </w:rPr>
        </w:r>
        <w:r>
          <w:rPr>
            <w:noProof/>
            <w:webHidden/>
          </w:rPr>
          <w:fldChar w:fldCharType="separate"/>
        </w:r>
        <w:r>
          <w:rPr>
            <w:noProof/>
            <w:webHidden/>
          </w:rPr>
          <w:t>366</w:t>
        </w:r>
        <w:r>
          <w:rPr>
            <w:noProof/>
            <w:webHidden/>
          </w:rPr>
          <w:fldChar w:fldCharType="end"/>
        </w:r>
      </w:hyperlink>
    </w:p>
    <w:p w14:paraId="67C8F17F"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707" w:history="1">
        <w:r w:rsidRPr="00087766">
          <w:rPr>
            <w:rStyle w:val="af7"/>
            <w:noProof/>
          </w:rPr>
          <w:t>6.13.13.</w:t>
        </w:r>
        <w:r>
          <w:rPr>
            <w:rFonts w:asciiTheme="minorHAnsi" w:eastAsiaTheme="minorEastAsia" w:hAnsiTheme="minorHAnsi" w:cstheme="minorBidi"/>
            <w:iCs w:val="0"/>
            <w:noProof/>
            <w:sz w:val="22"/>
            <w:szCs w:val="22"/>
          </w:rPr>
          <w:tab/>
        </w:r>
        <w:r w:rsidRPr="00087766">
          <w:rPr>
            <w:rStyle w:val="af7"/>
            <w:noProof/>
          </w:rPr>
          <w:t>Пример XML</w:t>
        </w:r>
        <w:r>
          <w:rPr>
            <w:noProof/>
            <w:webHidden/>
          </w:rPr>
          <w:tab/>
        </w:r>
        <w:r>
          <w:rPr>
            <w:noProof/>
            <w:webHidden/>
          </w:rPr>
          <w:fldChar w:fldCharType="begin"/>
        </w:r>
        <w:r>
          <w:rPr>
            <w:noProof/>
            <w:webHidden/>
          </w:rPr>
          <w:instrText xml:space="preserve"> PAGEREF _Toc219309707 \h </w:instrText>
        </w:r>
        <w:r>
          <w:rPr>
            <w:noProof/>
            <w:webHidden/>
          </w:rPr>
        </w:r>
        <w:r>
          <w:rPr>
            <w:noProof/>
            <w:webHidden/>
          </w:rPr>
          <w:fldChar w:fldCharType="separate"/>
        </w:r>
        <w:r>
          <w:rPr>
            <w:noProof/>
            <w:webHidden/>
          </w:rPr>
          <w:t>367</w:t>
        </w:r>
        <w:r>
          <w:rPr>
            <w:noProof/>
            <w:webHidden/>
          </w:rPr>
          <w:fldChar w:fldCharType="end"/>
        </w:r>
      </w:hyperlink>
    </w:p>
    <w:p w14:paraId="22E58A07" w14:textId="77777777" w:rsidR="008D797C" w:rsidRDefault="008D797C">
      <w:pPr>
        <w:pStyle w:val="2a"/>
        <w:tabs>
          <w:tab w:val="left" w:pos="960"/>
          <w:tab w:val="right" w:leader="dot" w:pos="9628"/>
        </w:tabs>
        <w:rPr>
          <w:rFonts w:asciiTheme="minorHAnsi" w:eastAsiaTheme="minorEastAsia" w:hAnsiTheme="minorHAnsi" w:cstheme="minorBidi"/>
          <w:noProof/>
          <w:sz w:val="22"/>
          <w:szCs w:val="22"/>
        </w:rPr>
      </w:pPr>
      <w:hyperlink w:anchor="_Toc219309708" w:history="1">
        <w:r w:rsidRPr="00087766">
          <w:rPr>
            <w:rStyle w:val="af7"/>
            <w:noProof/>
          </w:rPr>
          <w:t>6.14.</w:t>
        </w:r>
        <w:r>
          <w:rPr>
            <w:rFonts w:asciiTheme="minorHAnsi" w:eastAsiaTheme="minorEastAsia" w:hAnsiTheme="minorHAnsi" w:cstheme="minorBidi"/>
            <w:noProof/>
            <w:sz w:val="22"/>
            <w:szCs w:val="22"/>
          </w:rPr>
          <w:tab/>
        </w:r>
        <w:r w:rsidRPr="00087766">
          <w:rPr>
            <w:rStyle w:val="af7"/>
            <w:noProof/>
          </w:rPr>
          <w:t>Описание документа «Заявление на выдачу (перевод, исполнение) Казначейского обеспечения обязательств (банковское)»</w:t>
        </w:r>
        <w:r>
          <w:rPr>
            <w:noProof/>
            <w:webHidden/>
          </w:rPr>
          <w:tab/>
        </w:r>
        <w:r>
          <w:rPr>
            <w:noProof/>
            <w:webHidden/>
          </w:rPr>
          <w:fldChar w:fldCharType="begin"/>
        </w:r>
        <w:r>
          <w:rPr>
            <w:noProof/>
            <w:webHidden/>
          </w:rPr>
          <w:instrText xml:space="preserve"> PAGEREF _Toc219309708 \h </w:instrText>
        </w:r>
        <w:r>
          <w:rPr>
            <w:noProof/>
            <w:webHidden/>
          </w:rPr>
        </w:r>
        <w:r>
          <w:rPr>
            <w:noProof/>
            <w:webHidden/>
          </w:rPr>
          <w:fldChar w:fldCharType="separate"/>
        </w:r>
        <w:r>
          <w:rPr>
            <w:noProof/>
            <w:webHidden/>
          </w:rPr>
          <w:t>371</w:t>
        </w:r>
        <w:r>
          <w:rPr>
            <w:noProof/>
            <w:webHidden/>
          </w:rPr>
          <w:fldChar w:fldCharType="end"/>
        </w:r>
      </w:hyperlink>
    </w:p>
    <w:p w14:paraId="5AECEFCE"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09" w:history="1">
        <w:r w:rsidRPr="00087766">
          <w:rPr>
            <w:rStyle w:val="af7"/>
            <w:noProof/>
          </w:rPr>
          <w:t>6.14.1.</w:t>
        </w:r>
        <w:r>
          <w:rPr>
            <w:rFonts w:asciiTheme="minorHAnsi" w:eastAsiaTheme="minorEastAsia" w:hAnsiTheme="minorHAnsi" w:cstheme="minorBidi"/>
            <w:iCs w:val="0"/>
            <w:noProof/>
            <w:sz w:val="22"/>
            <w:szCs w:val="22"/>
          </w:rPr>
          <w:tab/>
        </w:r>
        <w:r w:rsidRPr="00087766">
          <w:rPr>
            <w:rStyle w:val="af7"/>
            <w:noProof/>
          </w:rPr>
          <w:t>Назначение и маршрут документа</w:t>
        </w:r>
        <w:r>
          <w:rPr>
            <w:noProof/>
            <w:webHidden/>
          </w:rPr>
          <w:tab/>
        </w:r>
        <w:r>
          <w:rPr>
            <w:noProof/>
            <w:webHidden/>
          </w:rPr>
          <w:fldChar w:fldCharType="begin"/>
        </w:r>
        <w:r>
          <w:rPr>
            <w:noProof/>
            <w:webHidden/>
          </w:rPr>
          <w:instrText xml:space="preserve"> PAGEREF _Toc219309709 \h </w:instrText>
        </w:r>
        <w:r>
          <w:rPr>
            <w:noProof/>
            <w:webHidden/>
          </w:rPr>
        </w:r>
        <w:r>
          <w:rPr>
            <w:noProof/>
            <w:webHidden/>
          </w:rPr>
          <w:fldChar w:fldCharType="separate"/>
        </w:r>
        <w:r>
          <w:rPr>
            <w:noProof/>
            <w:webHidden/>
          </w:rPr>
          <w:t>371</w:t>
        </w:r>
        <w:r>
          <w:rPr>
            <w:noProof/>
            <w:webHidden/>
          </w:rPr>
          <w:fldChar w:fldCharType="end"/>
        </w:r>
      </w:hyperlink>
    </w:p>
    <w:p w14:paraId="4EB893B1"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10" w:history="1">
        <w:r w:rsidRPr="00087766">
          <w:rPr>
            <w:rStyle w:val="af7"/>
            <w:noProof/>
          </w:rPr>
          <w:t>6.14.2.</w:t>
        </w:r>
        <w:r>
          <w:rPr>
            <w:rFonts w:asciiTheme="minorHAnsi" w:eastAsiaTheme="minorEastAsia" w:hAnsiTheme="minorHAnsi" w:cstheme="minorBidi"/>
            <w:iCs w:val="0"/>
            <w:noProof/>
            <w:sz w:val="22"/>
            <w:szCs w:val="22"/>
          </w:rPr>
          <w:tab/>
        </w:r>
        <w:r w:rsidRPr="00087766">
          <w:rPr>
            <w:rStyle w:val="af7"/>
            <w:noProof/>
          </w:rPr>
          <w:t>Описание комплексного типа «tApp_Extradition»</w:t>
        </w:r>
        <w:r>
          <w:rPr>
            <w:noProof/>
            <w:webHidden/>
          </w:rPr>
          <w:tab/>
        </w:r>
        <w:r>
          <w:rPr>
            <w:noProof/>
            <w:webHidden/>
          </w:rPr>
          <w:fldChar w:fldCharType="begin"/>
        </w:r>
        <w:r>
          <w:rPr>
            <w:noProof/>
            <w:webHidden/>
          </w:rPr>
          <w:instrText xml:space="preserve"> PAGEREF _Toc219309710 \h </w:instrText>
        </w:r>
        <w:r>
          <w:rPr>
            <w:noProof/>
            <w:webHidden/>
          </w:rPr>
        </w:r>
        <w:r>
          <w:rPr>
            <w:noProof/>
            <w:webHidden/>
          </w:rPr>
          <w:fldChar w:fldCharType="separate"/>
        </w:r>
        <w:r>
          <w:rPr>
            <w:noProof/>
            <w:webHidden/>
          </w:rPr>
          <w:t>371</w:t>
        </w:r>
        <w:r>
          <w:rPr>
            <w:noProof/>
            <w:webHidden/>
          </w:rPr>
          <w:fldChar w:fldCharType="end"/>
        </w:r>
      </w:hyperlink>
    </w:p>
    <w:p w14:paraId="1A06CFAF"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11" w:history="1">
        <w:r w:rsidRPr="00087766">
          <w:rPr>
            <w:rStyle w:val="af7"/>
            <w:noProof/>
          </w:rPr>
          <w:t>6.14.3.</w:t>
        </w:r>
        <w:r>
          <w:rPr>
            <w:rFonts w:asciiTheme="minorHAnsi" w:eastAsiaTheme="minorEastAsia" w:hAnsiTheme="minorHAnsi" w:cstheme="minorBidi"/>
            <w:iCs w:val="0"/>
            <w:noProof/>
            <w:sz w:val="22"/>
            <w:szCs w:val="22"/>
          </w:rPr>
          <w:tab/>
        </w:r>
        <w:r w:rsidRPr="00087766">
          <w:rPr>
            <w:rStyle w:val="af7"/>
            <w:noProof/>
          </w:rPr>
          <w:t>Описание комплексного типа «tGovСontract»</w:t>
        </w:r>
        <w:r>
          <w:rPr>
            <w:noProof/>
            <w:webHidden/>
          </w:rPr>
          <w:tab/>
        </w:r>
        <w:r>
          <w:rPr>
            <w:noProof/>
            <w:webHidden/>
          </w:rPr>
          <w:fldChar w:fldCharType="begin"/>
        </w:r>
        <w:r>
          <w:rPr>
            <w:noProof/>
            <w:webHidden/>
          </w:rPr>
          <w:instrText xml:space="preserve"> PAGEREF _Toc219309711 \h </w:instrText>
        </w:r>
        <w:r>
          <w:rPr>
            <w:noProof/>
            <w:webHidden/>
          </w:rPr>
        </w:r>
        <w:r>
          <w:rPr>
            <w:noProof/>
            <w:webHidden/>
          </w:rPr>
          <w:fldChar w:fldCharType="separate"/>
        </w:r>
        <w:r>
          <w:rPr>
            <w:noProof/>
            <w:webHidden/>
          </w:rPr>
          <w:t>372</w:t>
        </w:r>
        <w:r>
          <w:rPr>
            <w:noProof/>
            <w:webHidden/>
          </w:rPr>
          <w:fldChar w:fldCharType="end"/>
        </w:r>
      </w:hyperlink>
    </w:p>
    <w:p w14:paraId="125A3303"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12" w:history="1">
        <w:r w:rsidRPr="00087766">
          <w:rPr>
            <w:rStyle w:val="af7"/>
            <w:noProof/>
          </w:rPr>
          <w:t>6.14.4.</w:t>
        </w:r>
        <w:r>
          <w:rPr>
            <w:rFonts w:asciiTheme="minorHAnsi" w:eastAsiaTheme="minorEastAsia" w:hAnsiTheme="minorHAnsi" w:cstheme="minorBidi"/>
            <w:iCs w:val="0"/>
            <w:noProof/>
            <w:sz w:val="22"/>
            <w:szCs w:val="22"/>
          </w:rPr>
          <w:tab/>
        </w:r>
        <w:r w:rsidRPr="00087766">
          <w:rPr>
            <w:rStyle w:val="af7"/>
            <w:noProof/>
          </w:rPr>
          <w:t>Описание комплексного типа «tLinkDoc»</w:t>
        </w:r>
        <w:r>
          <w:rPr>
            <w:noProof/>
            <w:webHidden/>
          </w:rPr>
          <w:tab/>
        </w:r>
        <w:r>
          <w:rPr>
            <w:noProof/>
            <w:webHidden/>
          </w:rPr>
          <w:fldChar w:fldCharType="begin"/>
        </w:r>
        <w:r>
          <w:rPr>
            <w:noProof/>
            <w:webHidden/>
          </w:rPr>
          <w:instrText xml:space="preserve"> PAGEREF _Toc219309712 \h </w:instrText>
        </w:r>
        <w:r>
          <w:rPr>
            <w:noProof/>
            <w:webHidden/>
          </w:rPr>
        </w:r>
        <w:r>
          <w:rPr>
            <w:noProof/>
            <w:webHidden/>
          </w:rPr>
          <w:fldChar w:fldCharType="separate"/>
        </w:r>
        <w:r>
          <w:rPr>
            <w:noProof/>
            <w:webHidden/>
          </w:rPr>
          <w:t>373</w:t>
        </w:r>
        <w:r>
          <w:rPr>
            <w:noProof/>
            <w:webHidden/>
          </w:rPr>
          <w:fldChar w:fldCharType="end"/>
        </w:r>
      </w:hyperlink>
    </w:p>
    <w:p w14:paraId="2963A3AD"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13" w:history="1">
        <w:r w:rsidRPr="00087766">
          <w:rPr>
            <w:rStyle w:val="af7"/>
            <w:noProof/>
          </w:rPr>
          <w:t>6.14.5.</w:t>
        </w:r>
        <w:r>
          <w:rPr>
            <w:rFonts w:asciiTheme="minorHAnsi" w:eastAsiaTheme="minorEastAsia" w:hAnsiTheme="minorHAnsi" w:cstheme="minorBidi"/>
            <w:iCs w:val="0"/>
            <w:noProof/>
            <w:sz w:val="22"/>
            <w:szCs w:val="22"/>
          </w:rPr>
          <w:tab/>
        </w:r>
        <w:r w:rsidRPr="00087766">
          <w:rPr>
            <w:rStyle w:val="af7"/>
            <w:noProof/>
          </w:rPr>
          <w:t>Описание комплексного типа «tApplicant»</w:t>
        </w:r>
        <w:r>
          <w:rPr>
            <w:noProof/>
            <w:webHidden/>
          </w:rPr>
          <w:tab/>
        </w:r>
        <w:r>
          <w:rPr>
            <w:noProof/>
            <w:webHidden/>
          </w:rPr>
          <w:fldChar w:fldCharType="begin"/>
        </w:r>
        <w:r>
          <w:rPr>
            <w:noProof/>
            <w:webHidden/>
          </w:rPr>
          <w:instrText xml:space="preserve"> PAGEREF _Toc219309713 \h </w:instrText>
        </w:r>
        <w:r>
          <w:rPr>
            <w:noProof/>
            <w:webHidden/>
          </w:rPr>
        </w:r>
        <w:r>
          <w:rPr>
            <w:noProof/>
            <w:webHidden/>
          </w:rPr>
          <w:fldChar w:fldCharType="separate"/>
        </w:r>
        <w:r>
          <w:rPr>
            <w:noProof/>
            <w:webHidden/>
          </w:rPr>
          <w:t>374</w:t>
        </w:r>
        <w:r>
          <w:rPr>
            <w:noProof/>
            <w:webHidden/>
          </w:rPr>
          <w:fldChar w:fldCharType="end"/>
        </w:r>
      </w:hyperlink>
    </w:p>
    <w:p w14:paraId="6E8AF66B"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14" w:history="1">
        <w:r w:rsidRPr="00087766">
          <w:rPr>
            <w:rStyle w:val="af7"/>
            <w:noProof/>
          </w:rPr>
          <w:t>6.14.6.</w:t>
        </w:r>
        <w:r>
          <w:rPr>
            <w:rFonts w:asciiTheme="minorHAnsi" w:eastAsiaTheme="minorEastAsia" w:hAnsiTheme="minorHAnsi" w:cstheme="minorBidi"/>
            <w:iCs w:val="0"/>
            <w:noProof/>
            <w:sz w:val="22"/>
            <w:szCs w:val="22"/>
          </w:rPr>
          <w:tab/>
        </w:r>
        <w:r w:rsidRPr="00087766">
          <w:rPr>
            <w:rStyle w:val="af7"/>
            <w:noProof/>
          </w:rPr>
          <w:t>Описание комплексного типа «tRecipient»</w:t>
        </w:r>
        <w:r>
          <w:rPr>
            <w:noProof/>
            <w:webHidden/>
          </w:rPr>
          <w:tab/>
        </w:r>
        <w:r>
          <w:rPr>
            <w:noProof/>
            <w:webHidden/>
          </w:rPr>
          <w:fldChar w:fldCharType="begin"/>
        </w:r>
        <w:r>
          <w:rPr>
            <w:noProof/>
            <w:webHidden/>
          </w:rPr>
          <w:instrText xml:space="preserve"> PAGEREF _Toc219309714 \h </w:instrText>
        </w:r>
        <w:r>
          <w:rPr>
            <w:noProof/>
            <w:webHidden/>
          </w:rPr>
        </w:r>
        <w:r>
          <w:rPr>
            <w:noProof/>
            <w:webHidden/>
          </w:rPr>
          <w:fldChar w:fldCharType="separate"/>
        </w:r>
        <w:r>
          <w:rPr>
            <w:noProof/>
            <w:webHidden/>
          </w:rPr>
          <w:t>374</w:t>
        </w:r>
        <w:r>
          <w:rPr>
            <w:noProof/>
            <w:webHidden/>
          </w:rPr>
          <w:fldChar w:fldCharType="end"/>
        </w:r>
      </w:hyperlink>
    </w:p>
    <w:p w14:paraId="641C4727"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15" w:history="1">
        <w:r w:rsidRPr="00087766">
          <w:rPr>
            <w:rStyle w:val="af7"/>
            <w:noProof/>
          </w:rPr>
          <w:t>6.14.7.</w:t>
        </w:r>
        <w:r>
          <w:rPr>
            <w:rFonts w:asciiTheme="minorHAnsi" w:eastAsiaTheme="minorEastAsia" w:hAnsiTheme="minorHAnsi" w:cstheme="minorBidi"/>
            <w:iCs w:val="0"/>
            <w:noProof/>
            <w:sz w:val="22"/>
            <w:szCs w:val="22"/>
          </w:rPr>
          <w:tab/>
        </w:r>
        <w:r w:rsidRPr="00087766">
          <w:rPr>
            <w:rStyle w:val="af7"/>
            <w:noProof/>
          </w:rPr>
          <w:t>Описание комплексного типа «tBankRecip»</w:t>
        </w:r>
        <w:r>
          <w:rPr>
            <w:noProof/>
            <w:webHidden/>
          </w:rPr>
          <w:tab/>
        </w:r>
        <w:r>
          <w:rPr>
            <w:noProof/>
            <w:webHidden/>
          </w:rPr>
          <w:fldChar w:fldCharType="begin"/>
        </w:r>
        <w:r>
          <w:rPr>
            <w:noProof/>
            <w:webHidden/>
          </w:rPr>
          <w:instrText xml:space="preserve"> PAGEREF _Toc219309715 \h </w:instrText>
        </w:r>
        <w:r>
          <w:rPr>
            <w:noProof/>
            <w:webHidden/>
          </w:rPr>
        </w:r>
        <w:r>
          <w:rPr>
            <w:noProof/>
            <w:webHidden/>
          </w:rPr>
          <w:fldChar w:fldCharType="separate"/>
        </w:r>
        <w:r>
          <w:rPr>
            <w:noProof/>
            <w:webHidden/>
          </w:rPr>
          <w:t>375</w:t>
        </w:r>
        <w:r>
          <w:rPr>
            <w:noProof/>
            <w:webHidden/>
          </w:rPr>
          <w:fldChar w:fldCharType="end"/>
        </w:r>
      </w:hyperlink>
    </w:p>
    <w:p w14:paraId="2BE28CBE"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16" w:history="1">
        <w:r w:rsidRPr="00087766">
          <w:rPr>
            <w:rStyle w:val="af7"/>
            <w:noProof/>
          </w:rPr>
          <w:t>6.14.8.</w:t>
        </w:r>
        <w:r>
          <w:rPr>
            <w:rFonts w:asciiTheme="minorHAnsi" w:eastAsiaTheme="minorEastAsia" w:hAnsiTheme="minorHAnsi" w:cstheme="minorBidi"/>
            <w:iCs w:val="0"/>
            <w:noProof/>
            <w:sz w:val="22"/>
            <w:szCs w:val="22"/>
          </w:rPr>
          <w:tab/>
        </w:r>
        <w:r w:rsidRPr="00087766">
          <w:rPr>
            <w:rStyle w:val="af7"/>
            <w:noProof/>
          </w:rPr>
          <w:t>Описание комплексного типа «tSuppDocs»</w:t>
        </w:r>
        <w:r>
          <w:rPr>
            <w:noProof/>
            <w:webHidden/>
          </w:rPr>
          <w:tab/>
        </w:r>
        <w:r>
          <w:rPr>
            <w:noProof/>
            <w:webHidden/>
          </w:rPr>
          <w:fldChar w:fldCharType="begin"/>
        </w:r>
        <w:r>
          <w:rPr>
            <w:noProof/>
            <w:webHidden/>
          </w:rPr>
          <w:instrText xml:space="preserve"> PAGEREF _Toc219309716 \h </w:instrText>
        </w:r>
        <w:r>
          <w:rPr>
            <w:noProof/>
            <w:webHidden/>
          </w:rPr>
        </w:r>
        <w:r>
          <w:rPr>
            <w:noProof/>
            <w:webHidden/>
          </w:rPr>
          <w:fldChar w:fldCharType="separate"/>
        </w:r>
        <w:r>
          <w:rPr>
            <w:noProof/>
            <w:webHidden/>
          </w:rPr>
          <w:t>375</w:t>
        </w:r>
        <w:r>
          <w:rPr>
            <w:noProof/>
            <w:webHidden/>
          </w:rPr>
          <w:fldChar w:fldCharType="end"/>
        </w:r>
      </w:hyperlink>
    </w:p>
    <w:p w14:paraId="2D3E2C3E"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17" w:history="1">
        <w:r w:rsidRPr="00087766">
          <w:rPr>
            <w:rStyle w:val="af7"/>
            <w:noProof/>
          </w:rPr>
          <w:t>6.14.9.</w:t>
        </w:r>
        <w:r>
          <w:rPr>
            <w:rFonts w:asciiTheme="minorHAnsi" w:eastAsiaTheme="minorEastAsia" w:hAnsiTheme="minorHAnsi" w:cstheme="minorBidi"/>
            <w:iCs w:val="0"/>
            <w:noProof/>
            <w:sz w:val="22"/>
            <w:szCs w:val="22"/>
          </w:rPr>
          <w:tab/>
        </w:r>
        <w:r w:rsidRPr="00087766">
          <w:rPr>
            <w:rStyle w:val="af7"/>
            <w:noProof/>
          </w:rPr>
          <w:t>Описание комплексного типа «tSuppDocsItem»</w:t>
        </w:r>
        <w:r>
          <w:rPr>
            <w:noProof/>
            <w:webHidden/>
          </w:rPr>
          <w:tab/>
        </w:r>
        <w:r>
          <w:rPr>
            <w:noProof/>
            <w:webHidden/>
          </w:rPr>
          <w:fldChar w:fldCharType="begin"/>
        </w:r>
        <w:r>
          <w:rPr>
            <w:noProof/>
            <w:webHidden/>
          </w:rPr>
          <w:instrText xml:space="preserve"> PAGEREF _Toc219309717 \h </w:instrText>
        </w:r>
        <w:r>
          <w:rPr>
            <w:noProof/>
            <w:webHidden/>
          </w:rPr>
        </w:r>
        <w:r>
          <w:rPr>
            <w:noProof/>
            <w:webHidden/>
          </w:rPr>
          <w:fldChar w:fldCharType="separate"/>
        </w:r>
        <w:r>
          <w:rPr>
            <w:noProof/>
            <w:webHidden/>
          </w:rPr>
          <w:t>375</w:t>
        </w:r>
        <w:r>
          <w:rPr>
            <w:noProof/>
            <w:webHidden/>
          </w:rPr>
          <w:fldChar w:fldCharType="end"/>
        </w:r>
      </w:hyperlink>
    </w:p>
    <w:p w14:paraId="45340A7C"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718" w:history="1">
        <w:r w:rsidRPr="00087766">
          <w:rPr>
            <w:rStyle w:val="af7"/>
            <w:noProof/>
          </w:rPr>
          <w:t>6.14.10.</w:t>
        </w:r>
        <w:r>
          <w:rPr>
            <w:rFonts w:asciiTheme="minorHAnsi" w:eastAsiaTheme="minorEastAsia" w:hAnsiTheme="minorHAnsi" w:cstheme="minorBidi"/>
            <w:iCs w:val="0"/>
            <w:noProof/>
            <w:sz w:val="22"/>
            <w:szCs w:val="22"/>
          </w:rPr>
          <w:tab/>
        </w:r>
        <w:r w:rsidRPr="00087766">
          <w:rPr>
            <w:rStyle w:val="af7"/>
            <w:noProof/>
          </w:rPr>
          <w:t>Описание комплексного типа «tSignature»</w:t>
        </w:r>
        <w:r>
          <w:rPr>
            <w:noProof/>
            <w:webHidden/>
          </w:rPr>
          <w:tab/>
        </w:r>
        <w:r>
          <w:rPr>
            <w:noProof/>
            <w:webHidden/>
          </w:rPr>
          <w:fldChar w:fldCharType="begin"/>
        </w:r>
        <w:r>
          <w:rPr>
            <w:noProof/>
            <w:webHidden/>
          </w:rPr>
          <w:instrText xml:space="preserve"> PAGEREF _Toc219309718 \h </w:instrText>
        </w:r>
        <w:r>
          <w:rPr>
            <w:noProof/>
            <w:webHidden/>
          </w:rPr>
        </w:r>
        <w:r>
          <w:rPr>
            <w:noProof/>
            <w:webHidden/>
          </w:rPr>
          <w:fldChar w:fldCharType="separate"/>
        </w:r>
        <w:r>
          <w:rPr>
            <w:noProof/>
            <w:webHidden/>
          </w:rPr>
          <w:t>376</w:t>
        </w:r>
        <w:r>
          <w:rPr>
            <w:noProof/>
            <w:webHidden/>
          </w:rPr>
          <w:fldChar w:fldCharType="end"/>
        </w:r>
      </w:hyperlink>
    </w:p>
    <w:p w14:paraId="78830738"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719" w:history="1">
        <w:r w:rsidRPr="00087766">
          <w:rPr>
            <w:rStyle w:val="af7"/>
            <w:noProof/>
          </w:rPr>
          <w:t>6.14.11.</w:t>
        </w:r>
        <w:r>
          <w:rPr>
            <w:rFonts w:asciiTheme="minorHAnsi" w:eastAsiaTheme="minorEastAsia" w:hAnsiTheme="minorHAnsi" w:cstheme="minorBidi"/>
            <w:iCs w:val="0"/>
            <w:noProof/>
            <w:sz w:val="22"/>
            <w:szCs w:val="22"/>
          </w:rPr>
          <w:tab/>
        </w:r>
        <w:r w:rsidRPr="00087766">
          <w:rPr>
            <w:rStyle w:val="af7"/>
            <w:noProof/>
          </w:rPr>
          <w:t>Описание комплексного типа «tMarksFK»</w:t>
        </w:r>
        <w:r>
          <w:rPr>
            <w:noProof/>
            <w:webHidden/>
          </w:rPr>
          <w:tab/>
        </w:r>
        <w:r>
          <w:rPr>
            <w:noProof/>
            <w:webHidden/>
          </w:rPr>
          <w:fldChar w:fldCharType="begin"/>
        </w:r>
        <w:r>
          <w:rPr>
            <w:noProof/>
            <w:webHidden/>
          </w:rPr>
          <w:instrText xml:space="preserve"> PAGEREF _Toc219309719 \h </w:instrText>
        </w:r>
        <w:r>
          <w:rPr>
            <w:noProof/>
            <w:webHidden/>
          </w:rPr>
        </w:r>
        <w:r>
          <w:rPr>
            <w:noProof/>
            <w:webHidden/>
          </w:rPr>
          <w:fldChar w:fldCharType="separate"/>
        </w:r>
        <w:r>
          <w:rPr>
            <w:noProof/>
            <w:webHidden/>
          </w:rPr>
          <w:t>377</w:t>
        </w:r>
        <w:r>
          <w:rPr>
            <w:noProof/>
            <w:webHidden/>
          </w:rPr>
          <w:fldChar w:fldCharType="end"/>
        </w:r>
      </w:hyperlink>
    </w:p>
    <w:p w14:paraId="55B8D6D2"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720" w:history="1">
        <w:r w:rsidRPr="00087766">
          <w:rPr>
            <w:rStyle w:val="af7"/>
            <w:noProof/>
          </w:rPr>
          <w:t>6.14.12.</w:t>
        </w:r>
        <w:r>
          <w:rPr>
            <w:rFonts w:asciiTheme="minorHAnsi" w:eastAsiaTheme="minorEastAsia" w:hAnsiTheme="minorHAnsi" w:cstheme="minorBidi"/>
            <w:iCs w:val="0"/>
            <w:noProof/>
            <w:sz w:val="22"/>
            <w:szCs w:val="22"/>
          </w:rPr>
          <w:tab/>
        </w:r>
        <w:r w:rsidRPr="00087766">
          <w:rPr>
            <w:rStyle w:val="af7"/>
            <w:noProof/>
          </w:rPr>
          <w:t>Пример XML (файловое взаимодействие)</w:t>
        </w:r>
        <w:r>
          <w:rPr>
            <w:noProof/>
            <w:webHidden/>
          </w:rPr>
          <w:tab/>
        </w:r>
        <w:r>
          <w:rPr>
            <w:noProof/>
            <w:webHidden/>
          </w:rPr>
          <w:fldChar w:fldCharType="begin"/>
        </w:r>
        <w:r>
          <w:rPr>
            <w:noProof/>
            <w:webHidden/>
          </w:rPr>
          <w:instrText xml:space="preserve"> PAGEREF _Toc219309720 \h </w:instrText>
        </w:r>
        <w:r>
          <w:rPr>
            <w:noProof/>
            <w:webHidden/>
          </w:rPr>
        </w:r>
        <w:r>
          <w:rPr>
            <w:noProof/>
            <w:webHidden/>
          </w:rPr>
          <w:fldChar w:fldCharType="separate"/>
        </w:r>
        <w:r>
          <w:rPr>
            <w:noProof/>
            <w:webHidden/>
          </w:rPr>
          <w:t>377</w:t>
        </w:r>
        <w:r>
          <w:rPr>
            <w:noProof/>
            <w:webHidden/>
          </w:rPr>
          <w:fldChar w:fldCharType="end"/>
        </w:r>
      </w:hyperlink>
    </w:p>
    <w:p w14:paraId="2F160A49"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721" w:history="1">
        <w:r w:rsidRPr="00087766">
          <w:rPr>
            <w:rStyle w:val="af7"/>
            <w:noProof/>
          </w:rPr>
          <w:t>6.14.13.</w:t>
        </w:r>
        <w:r>
          <w:rPr>
            <w:rFonts w:asciiTheme="minorHAnsi" w:eastAsiaTheme="minorEastAsia" w:hAnsiTheme="minorHAnsi" w:cstheme="minorBidi"/>
            <w:iCs w:val="0"/>
            <w:noProof/>
            <w:sz w:val="22"/>
            <w:szCs w:val="22"/>
          </w:rPr>
          <w:tab/>
        </w:r>
        <w:r w:rsidRPr="00087766">
          <w:rPr>
            <w:rStyle w:val="af7"/>
            <w:noProof/>
          </w:rPr>
          <w:t>Пример XML (сервисное взаимодействие)</w:t>
        </w:r>
        <w:r>
          <w:rPr>
            <w:noProof/>
            <w:webHidden/>
          </w:rPr>
          <w:tab/>
        </w:r>
        <w:r>
          <w:rPr>
            <w:noProof/>
            <w:webHidden/>
          </w:rPr>
          <w:fldChar w:fldCharType="begin"/>
        </w:r>
        <w:r>
          <w:rPr>
            <w:noProof/>
            <w:webHidden/>
          </w:rPr>
          <w:instrText xml:space="preserve"> PAGEREF _Toc219309721 \h </w:instrText>
        </w:r>
        <w:r>
          <w:rPr>
            <w:noProof/>
            <w:webHidden/>
          </w:rPr>
        </w:r>
        <w:r>
          <w:rPr>
            <w:noProof/>
            <w:webHidden/>
          </w:rPr>
          <w:fldChar w:fldCharType="separate"/>
        </w:r>
        <w:r>
          <w:rPr>
            <w:noProof/>
            <w:webHidden/>
          </w:rPr>
          <w:t>379</w:t>
        </w:r>
        <w:r>
          <w:rPr>
            <w:noProof/>
            <w:webHidden/>
          </w:rPr>
          <w:fldChar w:fldCharType="end"/>
        </w:r>
      </w:hyperlink>
    </w:p>
    <w:p w14:paraId="7B955DBF" w14:textId="77777777" w:rsidR="008D797C" w:rsidRDefault="008D797C">
      <w:pPr>
        <w:pStyle w:val="2a"/>
        <w:tabs>
          <w:tab w:val="left" w:pos="960"/>
          <w:tab w:val="right" w:leader="dot" w:pos="9628"/>
        </w:tabs>
        <w:rPr>
          <w:rFonts w:asciiTheme="minorHAnsi" w:eastAsiaTheme="minorEastAsia" w:hAnsiTheme="minorHAnsi" w:cstheme="minorBidi"/>
          <w:noProof/>
          <w:sz w:val="22"/>
          <w:szCs w:val="22"/>
        </w:rPr>
      </w:pPr>
      <w:hyperlink w:anchor="_Toc219309722" w:history="1">
        <w:r w:rsidRPr="00087766">
          <w:rPr>
            <w:rStyle w:val="af7"/>
            <w:noProof/>
            <w:highlight w:val="green"/>
          </w:rPr>
          <w:t>6.15.</w:t>
        </w:r>
        <w:r>
          <w:rPr>
            <w:rFonts w:asciiTheme="minorHAnsi" w:eastAsiaTheme="minorEastAsia" w:hAnsiTheme="minorHAnsi" w:cstheme="minorBidi"/>
            <w:noProof/>
            <w:sz w:val="22"/>
            <w:szCs w:val="22"/>
          </w:rPr>
          <w:tab/>
        </w:r>
        <w:r w:rsidRPr="00087766">
          <w:rPr>
            <w:rStyle w:val="af7"/>
            <w:noProof/>
            <w:highlight w:val="green"/>
          </w:rPr>
          <w:t>Описание документа «Заявка на получение денежных средств, перечисляемых на карту» (ф. 0531243)</w:t>
        </w:r>
        <w:r>
          <w:rPr>
            <w:noProof/>
            <w:webHidden/>
          </w:rPr>
          <w:tab/>
        </w:r>
        <w:r>
          <w:rPr>
            <w:noProof/>
            <w:webHidden/>
          </w:rPr>
          <w:fldChar w:fldCharType="begin"/>
        </w:r>
        <w:r>
          <w:rPr>
            <w:noProof/>
            <w:webHidden/>
          </w:rPr>
          <w:instrText xml:space="preserve"> PAGEREF _Toc219309722 \h </w:instrText>
        </w:r>
        <w:r>
          <w:rPr>
            <w:noProof/>
            <w:webHidden/>
          </w:rPr>
        </w:r>
        <w:r>
          <w:rPr>
            <w:noProof/>
            <w:webHidden/>
          </w:rPr>
          <w:fldChar w:fldCharType="separate"/>
        </w:r>
        <w:r>
          <w:rPr>
            <w:noProof/>
            <w:webHidden/>
          </w:rPr>
          <w:t>380</w:t>
        </w:r>
        <w:r>
          <w:rPr>
            <w:noProof/>
            <w:webHidden/>
          </w:rPr>
          <w:fldChar w:fldCharType="end"/>
        </w:r>
      </w:hyperlink>
    </w:p>
    <w:p w14:paraId="2C3A5050"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23" w:history="1">
        <w:r w:rsidRPr="00087766">
          <w:rPr>
            <w:rStyle w:val="af7"/>
            <w:noProof/>
            <w:highlight w:val="green"/>
          </w:rPr>
          <w:t>6.15.1.</w:t>
        </w:r>
        <w:r>
          <w:rPr>
            <w:rFonts w:asciiTheme="minorHAnsi" w:eastAsiaTheme="minorEastAsia" w:hAnsiTheme="minorHAnsi" w:cstheme="minorBidi"/>
            <w:iCs w:val="0"/>
            <w:noProof/>
            <w:sz w:val="22"/>
            <w:szCs w:val="22"/>
          </w:rPr>
          <w:tab/>
        </w:r>
        <w:r w:rsidRPr="00087766">
          <w:rPr>
            <w:rStyle w:val="af7"/>
            <w:noProof/>
            <w:highlight w:val="green"/>
          </w:rPr>
          <w:t>Назначение и маршрут документа</w:t>
        </w:r>
        <w:r>
          <w:rPr>
            <w:noProof/>
            <w:webHidden/>
          </w:rPr>
          <w:tab/>
        </w:r>
        <w:r>
          <w:rPr>
            <w:noProof/>
            <w:webHidden/>
          </w:rPr>
          <w:fldChar w:fldCharType="begin"/>
        </w:r>
        <w:r>
          <w:rPr>
            <w:noProof/>
            <w:webHidden/>
          </w:rPr>
          <w:instrText xml:space="preserve"> PAGEREF _Toc219309723 \h </w:instrText>
        </w:r>
        <w:r>
          <w:rPr>
            <w:noProof/>
            <w:webHidden/>
          </w:rPr>
        </w:r>
        <w:r>
          <w:rPr>
            <w:noProof/>
            <w:webHidden/>
          </w:rPr>
          <w:fldChar w:fldCharType="separate"/>
        </w:r>
        <w:r>
          <w:rPr>
            <w:noProof/>
            <w:webHidden/>
          </w:rPr>
          <w:t>380</w:t>
        </w:r>
        <w:r>
          <w:rPr>
            <w:noProof/>
            <w:webHidden/>
          </w:rPr>
          <w:fldChar w:fldCharType="end"/>
        </w:r>
      </w:hyperlink>
    </w:p>
    <w:p w14:paraId="5427E481"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24" w:history="1">
        <w:r w:rsidRPr="00087766">
          <w:rPr>
            <w:rStyle w:val="af7"/>
            <w:noProof/>
          </w:rPr>
          <w:t>6.15.2.</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«tMSC_AplFndsCrd»</w:t>
        </w:r>
        <w:r>
          <w:rPr>
            <w:noProof/>
            <w:webHidden/>
          </w:rPr>
          <w:tab/>
        </w:r>
        <w:r>
          <w:rPr>
            <w:noProof/>
            <w:webHidden/>
          </w:rPr>
          <w:fldChar w:fldCharType="begin"/>
        </w:r>
        <w:r>
          <w:rPr>
            <w:noProof/>
            <w:webHidden/>
          </w:rPr>
          <w:instrText xml:space="preserve"> PAGEREF _Toc219309724 \h </w:instrText>
        </w:r>
        <w:r>
          <w:rPr>
            <w:noProof/>
            <w:webHidden/>
          </w:rPr>
        </w:r>
        <w:r>
          <w:rPr>
            <w:noProof/>
            <w:webHidden/>
          </w:rPr>
          <w:fldChar w:fldCharType="separate"/>
        </w:r>
        <w:r>
          <w:rPr>
            <w:noProof/>
            <w:webHidden/>
          </w:rPr>
          <w:t>380</w:t>
        </w:r>
        <w:r>
          <w:rPr>
            <w:noProof/>
            <w:webHidden/>
          </w:rPr>
          <w:fldChar w:fldCharType="end"/>
        </w:r>
      </w:hyperlink>
    </w:p>
    <w:p w14:paraId="197601BB"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25" w:history="1">
        <w:r w:rsidRPr="00087766">
          <w:rPr>
            <w:rStyle w:val="af7"/>
            <w:noProof/>
          </w:rPr>
          <w:t>6.15.3.</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«tMSC_Cstmr1»</w:t>
        </w:r>
        <w:r>
          <w:rPr>
            <w:noProof/>
            <w:webHidden/>
          </w:rPr>
          <w:tab/>
        </w:r>
        <w:r>
          <w:rPr>
            <w:noProof/>
            <w:webHidden/>
          </w:rPr>
          <w:fldChar w:fldCharType="begin"/>
        </w:r>
        <w:r>
          <w:rPr>
            <w:noProof/>
            <w:webHidden/>
          </w:rPr>
          <w:instrText xml:space="preserve"> PAGEREF _Toc219309725 \h </w:instrText>
        </w:r>
        <w:r>
          <w:rPr>
            <w:noProof/>
            <w:webHidden/>
          </w:rPr>
        </w:r>
        <w:r>
          <w:rPr>
            <w:noProof/>
            <w:webHidden/>
          </w:rPr>
          <w:fldChar w:fldCharType="separate"/>
        </w:r>
        <w:r>
          <w:rPr>
            <w:noProof/>
            <w:webHidden/>
          </w:rPr>
          <w:t>383</w:t>
        </w:r>
        <w:r>
          <w:rPr>
            <w:noProof/>
            <w:webHidden/>
          </w:rPr>
          <w:fldChar w:fldCharType="end"/>
        </w:r>
      </w:hyperlink>
    </w:p>
    <w:p w14:paraId="5F2D26BE"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26" w:history="1">
        <w:r w:rsidRPr="00087766">
          <w:rPr>
            <w:rStyle w:val="af7"/>
            <w:noProof/>
          </w:rPr>
          <w:t>6.15.4.</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«tMSC_SrcTypeComplex6»</w:t>
        </w:r>
        <w:r>
          <w:rPr>
            <w:noProof/>
            <w:webHidden/>
          </w:rPr>
          <w:tab/>
        </w:r>
        <w:r>
          <w:rPr>
            <w:noProof/>
            <w:webHidden/>
          </w:rPr>
          <w:fldChar w:fldCharType="begin"/>
        </w:r>
        <w:r>
          <w:rPr>
            <w:noProof/>
            <w:webHidden/>
          </w:rPr>
          <w:instrText xml:space="preserve"> PAGEREF _Toc219309726 \h </w:instrText>
        </w:r>
        <w:r>
          <w:rPr>
            <w:noProof/>
            <w:webHidden/>
          </w:rPr>
        </w:r>
        <w:r>
          <w:rPr>
            <w:noProof/>
            <w:webHidden/>
          </w:rPr>
          <w:fldChar w:fldCharType="separate"/>
        </w:r>
        <w:r>
          <w:rPr>
            <w:noProof/>
            <w:webHidden/>
          </w:rPr>
          <w:t>383</w:t>
        </w:r>
        <w:r>
          <w:rPr>
            <w:noProof/>
            <w:webHidden/>
          </w:rPr>
          <w:fldChar w:fldCharType="end"/>
        </w:r>
      </w:hyperlink>
    </w:p>
    <w:p w14:paraId="62342F9F"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27" w:history="1">
        <w:r w:rsidRPr="00087766">
          <w:rPr>
            <w:rStyle w:val="af7"/>
            <w:noProof/>
          </w:rPr>
          <w:t>6.15.5.</w:t>
        </w:r>
        <w:r>
          <w:rPr>
            <w:rFonts w:asciiTheme="minorHAnsi" w:eastAsiaTheme="minorEastAsia" w:hAnsiTheme="minorHAnsi" w:cstheme="minorBidi"/>
            <w:iCs w:val="0"/>
            <w:noProof/>
            <w:sz w:val="22"/>
            <w:szCs w:val="22"/>
          </w:rPr>
          <w:tab/>
        </w:r>
        <w:r w:rsidRPr="00087766">
          <w:rPr>
            <w:rStyle w:val="af7"/>
            <w:noProof/>
          </w:rPr>
          <w:t>Описание комплексного типа «tSGNNmPs100»</w:t>
        </w:r>
        <w:r>
          <w:rPr>
            <w:noProof/>
            <w:webHidden/>
          </w:rPr>
          <w:tab/>
        </w:r>
        <w:r>
          <w:rPr>
            <w:noProof/>
            <w:webHidden/>
          </w:rPr>
          <w:fldChar w:fldCharType="begin"/>
        </w:r>
        <w:r>
          <w:rPr>
            <w:noProof/>
            <w:webHidden/>
          </w:rPr>
          <w:instrText xml:space="preserve"> PAGEREF _Toc219309727 \h </w:instrText>
        </w:r>
        <w:r>
          <w:rPr>
            <w:noProof/>
            <w:webHidden/>
          </w:rPr>
        </w:r>
        <w:r>
          <w:rPr>
            <w:noProof/>
            <w:webHidden/>
          </w:rPr>
          <w:fldChar w:fldCharType="separate"/>
        </w:r>
        <w:r>
          <w:rPr>
            <w:noProof/>
            <w:webHidden/>
          </w:rPr>
          <w:t>384</w:t>
        </w:r>
        <w:r>
          <w:rPr>
            <w:noProof/>
            <w:webHidden/>
          </w:rPr>
          <w:fldChar w:fldCharType="end"/>
        </w:r>
      </w:hyperlink>
    </w:p>
    <w:p w14:paraId="0713D67C"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28" w:history="1">
        <w:r w:rsidRPr="00087766">
          <w:rPr>
            <w:rStyle w:val="af7"/>
            <w:noProof/>
          </w:rPr>
          <w:t>6.15.6.</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«tMSC_FlNm»</w:t>
        </w:r>
        <w:r>
          <w:rPr>
            <w:noProof/>
            <w:webHidden/>
          </w:rPr>
          <w:tab/>
        </w:r>
        <w:r>
          <w:rPr>
            <w:noProof/>
            <w:webHidden/>
          </w:rPr>
          <w:fldChar w:fldCharType="begin"/>
        </w:r>
        <w:r>
          <w:rPr>
            <w:noProof/>
            <w:webHidden/>
          </w:rPr>
          <w:instrText xml:space="preserve"> PAGEREF _Toc219309728 \h </w:instrText>
        </w:r>
        <w:r>
          <w:rPr>
            <w:noProof/>
            <w:webHidden/>
          </w:rPr>
        </w:r>
        <w:r>
          <w:rPr>
            <w:noProof/>
            <w:webHidden/>
          </w:rPr>
          <w:fldChar w:fldCharType="separate"/>
        </w:r>
        <w:r>
          <w:rPr>
            <w:noProof/>
            <w:webHidden/>
          </w:rPr>
          <w:t>384</w:t>
        </w:r>
        <w:r>
          <w:rPr>
            <w:noProof/>
            <w:webHidden/>
          </w:rPr>
          <w:fldChar w:fldCharType="end"/>
        </w:r>
      </w:hyperlink>
    </w:p>
    <w:p w14:paraId="1F17FFDB"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29" w:history="1">
        <w:r w:rsidRPr="00087766">
          <w:rPr>
            <w:rStyle w:val="af7"/>
            <w:noProof/>
          </w:rPr>
          <w:t>6.15.7.</w:t>
        </w:r>
        <w:r>
          <w:rPr>
            <w:rFonts w:asciiTheme="minorHAnsi" w:eastAsiaTheme="minorEastAsia" w:hAnsiTheme="minorHAnsi" w:cstheme="minorBidi"/>
            <w:iCs w:val="0"/>
            <w:noProof/>
            <w:sz w:val="22"/>
            <w:szCs w:val="22"/>
          </w:rPr>
          <w:tab/>
        </w:r>
        <w:r w:rsidRPr="00087766">
          <w:rPr>
            <w:rStyle w:val="af7"/>
            <w:noProof/>
          </w:rPr>
          <w:t>Описание комплексного типа «tZNKBK»</w:t>
        </w:r>
        <w:r>
          <w:rPr>
            <w:noProof/>
            <w:webHidden/>
          </w:rPr>
          <w:tab/>
        </w:r>
        <w:r>
          <w:rPr>
            <w:noProof/>
            <w:webHidden/>
          </w:rPr>
          <w:fldChar w:fldCharType="begin"/>
        </w:r>
        <w:r>
          <w:rPr>
            <w:noProof/>
            <w:webHidden/>
          </w:rPr>
          <w:instrText xml:space="preserve"> PAGEREF _Toc219309729 \h </w:instrText>
        </w:r>
        <w:r>
          <w:rPr>
            <w:noProof/>
            <w:webHidden/>
          </w:rPr>
        </w:r>
        <w:r>
          <w:rPr>
            <w:noProof/>
            <w:webHidden/>
          </w:rPr>
          <w:fldChar w:fldCharType="separate"/>
        </w:r>
        <w:r>
          <w:rPr>
            <w:noProof/>
            <w:webHidden/>
          </w:rPr>
          <w:t>385</w:t>
        </w:r>
        <w:r>
          <w:rPr>
            <w:noProof/>
            <w:webHidden/>
          </w:rPr>
          <w:fldChar w:fldCharType="end"/>
        </w:r>
      </w:hyperlink>
    </w:p>
    <w:p w14:paraId="76BF3FDC"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30" w:history="1">
        <w:r w:rsidRPr="00087766">
          <w:rPr>
            <w:rStyle w:val="af7"/>
            <w:noProof/>
          </w:rPr>
          <w:t>6.15.8.</w:t>
        </w:r>
        <w:r>
          <w:rPr>
            <w:rFonts w:asciiTheme="minorHAnsi" w:eastAsiaTheme="minorEastAsia" w:hAnsiTheme="minorHAnsi" w:cstheme="minorBidi"/>
            <w:iCs w:val="0"/>
            <w:noProof/>
            <w:sz w:val="22"/>
            <w:szCs w:val="22"/>
          </w:rPr>
          <w:tab/>
        </w:r>
        <w:r w:rsidRPr="00087766">
          <w:rPr>
            <w:rStyle w:val="af7"/>
            <w:noProof/>
          </w:rPr>
          <w:t>Описание комплексного типа «tZNKBK_ITEM»</w:t>
        </w:r>
        <w:r>
          <w:rPr>
            <w:noProof/>
            <w:webHidden/>
          </w:rPr>
          <w:tab/>
        </w:r>
        <w:r>
          <w:rPr>
            <w:noProof/>
            <w:webHidden/>
          </w:rPr>
          <w:fldChar w:fldCharType="begin"/>
        </w:r>
        <w:r>
          <w:rPr>
            <w:noProof/>
            <w:webHidden/>
          </w:rPr>
          <w:instrText xml:space="preserve"> PAGEREF _Toc219309730 \h </w:instrText>
        </w:r>
        <w:r>
          <w:rPr>
            <w:noProof/>
            <w:webHidden/>
          </w:rPr>
        </w:r>
        <w:r>
          <w:rPr>
            <w:noProof/>
            <w:webHidden/>
          </w:rPr>
          <w:fldChar w:fldCharType="separate"/>
        </w:r>
        <w:r>
          <w:rPr>
            <w:noProof/>
            <w:webHidden/>
          </w:rPr>
          <w:t>385</w:t>
        </w:r>
        <w:r>
          <w:rPr>
            <w:noProof/>
            <w:webHidden/>
          </w:rPr>
          <w:fldChar w:fldCharType="end"/>
        </w:r>
      </w:hyperlink>
    </w:p>
    <w:p w14:paraId="2201C9D1"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31" w:history="1">
        <w:r w:rsidRPr="00087766">
          <w:rPr>
            <w:rStyle w:val="af7"/>
            <w:noProof/>
          </w:rPr>
          <w:t>6.15.9.</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«tMSC_KBK10_20_KS»</w:t>
        </w:r>
        <w:r>
          <w:rPr>
            <w:noProof/>
            <w:webHidden/>
          </w:rPr>
          <w:tab/>
        </w:r>
        <w:r>
          <w:rPr>
            <w:noProof/>
            <w:webHidden/>
          </w:rPr>
          <w:fldChar w:fldCharType="begin"/>
        </w:r>
        <w:r>
          <w:rPr>
            <w:noProof/>
            <w:webHidden/>
          </w:rPr>
          <w:instrText xml:space="preserve"> PAGEREF _Toc219309731 \h </w:instrText>
        </w:r>
        <w:r>
          <w:rPr>
            <w:noProof/>
            <w:webHidden/>
          </w:rPr>
        </w:r>
        <w:r>
          <w:rPr>
            <w:noProof/>
            <w:webHidden/>
          </w:rPr>
          <w:fldChar w:fldCharType="separate"/>
        </w:r>
        <w:r>
          <w:rPr>
            <w:noProof/>
            <w:webHidden/>
          </w:rPr>
          <w:t>385</w:t>
        </w:r>
        <w:r>
          <w:rPr>
            <w:noProof/>
            <w:webHidden/>
          </w:rPr>
          <w:fldChar w:fldCharType="end"/>
        </w:r>
      </w:hyperlink>
    </w:p>
    <w:p w14:paraId="39A82A2C"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732" w:history="1">
        <w:r w:rsidRPr="00087766">
          <w:rPr>
            <w:rStyle w:val="af7"/>
            <w:noProof/>
          </w:rPr>
          <w:t>6.15.10.</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«tMSC_BKTp10_20Complex»</w:t>
        </w:r>
        <w:r>
          <w:rPr>
            <w:noProof/>
            <w:webHidden/>
          </w:rPr>
          <w:tab/>
        </w:r>
        <w:r>
          <w:rPr>
            <w:noProof/>
            <w:webHidden/>
          </w:rPr>
          <w:fldChar w:fldCharType="begin"/>
        </w:r>
        <w:r>
          <w:rPr>
            <w:noProof/>
            <w:webHidden/>
          </w:rPr>
          <w:instrText xml:space="preserve"> PAGEREF _Toc219309732 \h </w:instrText>
        </w:r>
        <w:r>
          <w:rPr>
            <w:noProof/>
            <w:webHidden/>
          </w:rPr>
        </w:r>
        <w:r>
          <w:rPr>
            <w:noProof/>
            <w:webHidden/>
          </w:rPr>
          <w:fldChar w:fldCharType="separate"/>
        </w:r>
        <w:r>
          <w:rPr>
            <w:noProof/>
            <w:webHidden/>
          </w:rPr>
          <w:t>386</w:t>
        </w:r>
        <w:r>
          <w:rPr>
            <w:noProof/>
            <w:webHidden/>
          </w:rPr>
          <w:fldChar w:fldCharType="end"/>
        </w:r>
      </w:hyperlink>
    </w:p>
    <w:p w14:paraId="0366AC42"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733" w:history="1">
        <w:r w:rsidRPr="00087766">
          <w:rPr>
            <w:rStyle w:val="af7"/>
            <w:noProof/>
          </w:rPr>
          <w:t>6.15.11.</w:t>
        </w:r>
        <w:r>
          <w:rPr>
            <w:rFonts w:asciiTheme="minorHAnsi" w:eastAsiaTheme="minorEastAsia" w:hAnsiTheme="minorHAnsi" w:cstheme="minorBidi"/>
            <w:iCs w:val="0"/>
            <w:noProof/>
            <w:sz w:val="22"/>
            <w:szCs w:val="22"/>
          </w:rPr>
          <w:tab/>
        </w:r>
        <w:r w:rsidRPr="00087766">
          <w:rPr>
            <w:rStyle w:val="af7"/>
            <w:noProof/>
          </w:rPr>
          <w:t>Пример XML</w:t>
        </w:r>
        <w:r>
          <w:rPr>
            <w:noProof/>
            <w:webHidden/>
          </w:rPr>
          <w:tab/>
        </w:r>
        <w:r>
          <w:rPr>
            <w:noProof/>
            <w:webHidden/>
          </w:rPr>
          <w:fldChar w:fldCharType="begin"/>
        </w:r>
        <w:r>
          <w:rPr>
            <w:noProof/>
            <w:webHidden/>
          </w:rPr>
          <w:instrText xml:space="preserve"> PAGEREF _Toc219309733 \h </w:instrText>
        </w:r>
        <w:r>
          <w:rPr>
            <w:noProof/>
            <w:webHidden/>
          </w:rPr>
        </w:r>
        <w:r>
          <w:rPr>
            <w:noProof/>
            <w:webHidden/>
          </w:rPr>
          <w:fldChar w:fldCharType="separate"/>
        </w:r>
        <w:r>
          <w:rPr>
            <w:noProof/>
            <w:webHidden/>
          </w:rPr>
          <w:t>387</w:t>
        </w:r>
        <w:r>
          <w:rPr>
            <w:noProof/>
            <w:webHidden/>
          </w:rPr>
          <w:fldChar w:fldCharType="end"/>
        </w:r>
      </w:hyperlink>
    </w:p>
    <w:p w14:paraId="14EB2464" w14:textId="77777777" w:rsidR="008D797C" w:rsidRDefault="008D797C">
      <w:pPr>
        <w:pStyle w:val="2a"/>
        <w:tabs>
          <w:tab w:val="left" w:pos="960"/>
          <w:tab w:val="right" w:leader="dot" w:pos="9628"/>
        </w:tabs>
        <w:rPr>
          <w:rFonts w:asciiTheme="minorHAnsi" w:eastAsiaTheme="minorEastAsia" w:hAnsiTheme="minorHAnsi" w:cstheme="minorBidi"/>
          <w:noProof/>
          <w:sz w:val="22"/>
          <w:szCs w:val="22"/>
        </w:rPr>
      </w:pPr>
      <w:hyperlink w:anchor="_Toc219309734" w:history="1">
        <w:r w:rsidRPr="00087766">
          <w:rPr>
            <w:rStyle w:val="af7"/>
            <w:noProof/>
            <w:highlight w:val="green"/>
          </w:rPr>
          <w:t>6.16.</w:t>
        </w:r>
        <w:r>
          <w:rPr>
            <w:rFonts w:asciiTheme="minorHAnsi" w:eastAsiaTheme="minorEastAsia" w:hAnsiTheme="minorHAnsi" w:cstheme="minorBidi"/>
            <w:noProof/>
            <w:sz w:val="22"/>
            <w:szCs w:val="22"/>
          </w:rPr>
          <w:tab/>
        </w:r>
        <w:r w:rsidRPr="00087766">
          <w:rPr>
            <w:rStyle w:val="af7"/>
            <w:noProof/>
            <w:highlight w:val="green"/>
          </w:rPr>
          <w:t>Описание документа «Расшифровка сумм неиспользованных средств (ф.0531251), Заявка о внесении наличных денежных средств»</w:t>
        </w:r>
        <w:r>
          <w:rPr>
            <w:noProof/>
            <w:webHidden/>
          </w:rPr>
          <w:tab/>
        </w:r>
        <w:r>
          <w:rPr>
            <w:noProof/>
            <w:webHidden/>
          </w:rPr>
          <w:fldChar w:fldCharType="begin"/>
        </w:r>
        <w:r>
          <w:rPr>
            <w:noProof/>
            <w:webHidden/>
          </w:rPr>
          <w:instrText xml:space="preserve"> PAGEREF _Toc219309734 \h </w:instrText>
        </w:r>
        <w:r>
          <w:rPr>
            <w:noProof/>
            <w:webHidden/>
          </w:rPr>
        </w:r>
        <w:r>
          <w:rPr>
            <w:noProof/>
            <w:webHidden/>
          </w:rPr>
          <w:fldChar w:fldCharType="separate"/>
        </w:r>
        <w:r>
          <w:rPr>
            <w:noProof/>
            <w:webHidden/>
          </w:rPr>
          <w:t>391</w:t>
        </w:r>
        <w:r>
          <w:rPr>
            <w:noProof/>
            <w:webHidden/>
          </w:rPr>
          <w:fldChar w:fldCharType="end"/>
        </w:r>
      </w:hyperlink>
    </w:p>
    <w:p w14:paraId="1BDFBD96"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35" w:history="1">
        <w:r w:rsidRPr="00087766">
          <w:rPr>
            <w:rStyle w:val="af7"/>
            <w:noProof/>
            <w:highlight w:val="green"/>
          </w:rPr>
          <w:t>6.16.1.</w:t>
        </w:r>
        <w:r>
          <w:rPr>
            <w:rFonts w:asciiTheme="minorHAnsi" w:eastAsiaTheme="minorEastAsia" w:hAnsiTheme="minorHAnsi" w:cstheme="minorBidi"/>
            <w:iCs w:val="0"/>
            <w:noProof/>
            <w:sz w:val="22"/>
            <w:szCs w:val="22"/>
          </w:rPr>
          <w:tab/>
        </w:r>
        <w:r w:rsidRPr="00087766">
          <w:rPr>
            <w:rStyle w:val="af7"/>
            <w:noProof/>
            <w:highlight w:val="green"/>
          </w:rPr>
          <w:t>Назначение и маршрут документа</w:t>
        </w:r>
        <w:r>
          <w:rPr>
            <w:noProof/>
            <w:webHidden/>
          </w:rPr>
          <w:tab/>
        </w:r>
        <w:r>
          <w:rPr>
            <w:noProof/>
            <w:webHidden/>
          </w:rPr>
          <w:fldChar w:fldCharType="begin"/>
        </w:r>
        <w:r>
          <w:rPr>
            <w:noProof/>
            <w:webHidden/>
          </w:rPr>
          <w:instrText xml:space="preserve"> PAGEREF _Toc219309735 \h </w:instrText>
        </w:r>
        <w:r>
          <w:rPr>
            <w:noProof/>
            <w:webHidden/>
          </w:rPr>
        </w:r>
        <w:r>
          <w:rPr>
            <w:noProof/>
            <w:webHidden/>
          </w:rPr>
          <w:fldChar w:fldCharType="separate"/>
        </w:r>
        <w:r>
          <w:rPr>
            <w:noProof/>
            <w:webHidden/>
          </w:rPr>
          <w:t>391</w:t>
        </w:r>
        <w:r>
          <w:rPr>
            <w:noProof/>
            <w:webHidden/>
          </w:rPr>
          <w:fldChar w:fldCharType="end"/>
        </w:r>
      </w:hyperlink>
    </w:p>
    <w:p w14:paraId="7178F23D"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36" w:history="1">
        <w:r w:rsidRPr="00087766">
          <w:rPr>
            <w:rStyle w:val="af7"/>
            <w:noProof/>
            <w:highlight w:val="green"/>
          </w:rPr>
          <w:t>6.16.2.</w:t>
        </w:r>
        <w:r>
          <w:rPr>
            <w:rFonts w:asciiTheme="minorHAnsi" w:eastAsiaTheme="minorEastAsia" w:hAnsiTheme="minorHAnsi" w:cstheme="minorBidi"/>
            <w:iCs w:val="0"/>
            <w:noProof/>
            <w:sz w:val="22"/>
            <w:szCs w:val="22"/>
          </w:rPr>
          <w:tab/>
        </w:r>
        <w:r w:rsidRPr="00087766">
          <w:rPr>
            <w:rStyle w:val="af7"/>
            <w:noProof/>
            <w:highlight w:val="green"/>
          </w:rPr>
          <w:t>Описание комплексного типа «tMSC_RKG_0531251»</w:t>
        </w:r>
        <w:r>
          <w:rPr>
            <w:noProof/>
            <w:webHidden/>
          </w:rPr>
          <w:tab/>
        </w:r>
        <w:r>
          <w:rPr>
            <w:noProof/>
            <w:webHidden/>
          </w:rPr>
          <w:fldChar w:fldCharType="begin"/>
        </w:r>
        <w:r>
          <w:rPr>
            <w:noProof/>
            <w:webHidden/>
          </w:rPr>
          <w:instrText xml:space="preserve"> PAGEREF _Toc219309736 \h </w:instrText>
        </w:r>
        <w:r>
          <w:rPr>
            <w:noProof/>
            <w:webHidden/>
          </w:rPr>
        </w:r>
        <w:r>
          <w:rPr>
            <w:noProof/>
            <w:webHidden/>
          </w:rPr>
          <w:fldChar w:fldCharType="separate"/>
        </w:r>
        <w:r>
          <w:rPr>
            <w:noProof/>
            <w:webHidden/>
          </w:rPr>
          <w:t>392</w:t>
        </w:r>
        <w:r>
          <w:rPr>
            <w:noProof/>
            <w:webHidden/>
          </w:rPr>
          <w:fldChar w:fldCharType="end"/>
        </w:r>
      </w:hyperlink>
    </w:p>
    <w:p w14:paraId="47F20AB1"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37" w:history="1">
        <w:r w:rsidRPr="00087766">
          <w:rPr>
            <w:rStyle w:val="af7"/>
            <w:noProof/>
          </w:rPr>
          <w:t>6.16.3.</w:t>
        </w:r>
        <w:r>
          <w:rPr>
            <w:rFonts w:asciiTheme="minorHAnsi" w:eastAsiaTheme="minorEastAsia" w:hAnsiTheme="minorHAnsi" w:cstheme="minorBidi"/>
            <w:iCs w:val="0"/>
            <w:noProof/>
            <w:sz w:val="22"/>
            <w:szCs w:val="22"/>
          </w:rPr>
          <w:tab/>
        </w:r>
        <w:r w:rsidRPr="00087766">
          <w:rPr>
            <w:rStyle w:val="af7"/>
            <w:noProof/>
          </w:rPr>
          <w:t>Описание комплексного типа «</w:t>
        </w:r>
        <w:r w:rsidRPr="00087766">
          <w:rPr>
            <w:rStyle w:val="af7"/>
            <w:rFonts w:eastAsiaTheme="minorHAnsi"/>
            <w:noProof/>
          </w:rPr>
          <w:t>tTtlPrt_DocKindCodeComplex</w:t>
        </w:r>
        <w:r w:rsidRPr="00087766">
          <w:rPr>
            <w:rStyle w:val="af7"/>
            <w:noProof/>
          </w:rPr>
          <w:t>»</w:t>
        </w:r>
        <w:r>
          <w:rPr>
            <w:noProof/>
            <w:webHidden/>
          </w:rPr>
          <w:tab/>
        </w:r>
        <w:r>
          <w:rPr>
            <w:noProof/>
            <w:webHidden/>
          </w:rPr>
          <w:fldChar w:fldCharType="begin"/>
        </w:r>
        <w:r>
          <w:rPr>
            <w:noProof/>
            <w:webHidden/>
          </w:rPr>
          <w:instrText xml:space="preserve"> PAGEREF _Toc219309737 \h </w:instrText>
        </w:r>
        <w:r>
          <w:rPr>
            <w:noProof/>
            <w:webHidden/>
          </w:rPr>
        </w:r>
        <w:r>
          <w:rPr>
            <w:noProof/>
            <w:webHidden/>
          </w:rPr>
          <w:fldChar w:fldCharType="separate"/>
        </w:r>
        <w:r>
          <w:rPr>
            <w:noProof/>
            <w:webHidden/>
          </w:rPr>
          <w:t>399</w:t>
        </w:r>
        <w:r>
          <w:rPr>
            <w:noProof/>
            <w:webHidden/>
          </w:rPr>
          <w:fldChar w:fldCharType="end"/>
        </w:r>
      </w:hyperlink>
    </w:p>
    <w:p w14:paraId="2B90FDF2"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38" w:history="1">
        <w:r w:rsidRPr="00087766">
          <w:rPr>
            <w:rStyle w:val="af7"/>
            <w:noProof/>
          </w:rPr>
          <w:t>6.16.4.</w:t>
        </w:r>
        <w:r>
          <w:rPr>
            <w:rFonts w:asciiTheme="minorHAnsi" w:eastAsiaTheme="minorEastAsia" w:hAnsiTheme="minorHAnsi" w:cstheme="minorBidi"/>
            <w:iCs w:val="0"/>
            <w:noProof/>
            <w:sz w:val="22"/>
            <w:szCs w:val="22"/>
          </w:rPr>
          <w:tab/>
        </w:r>
        <w:r w:rsidRPr="00087766">
          <w:rPr>
            <w:rStyle w:val="af7"/>
            <w:noProof/>
          </w:rPr>
          <w:t>Описание комплексного типа «tOprTpComplex»</w:t>
        </w:r>
        <w:r>
          <w:rPr>
            <w:noProof/>
            <w:webHidden/>
          </w:rPr>
          <w:tab/>
        </w:r>
        <w:r>
          <w:rPr>
            <w:noProof/>
            <w:webHidden/>
          </w:rPr>
          <w:fldChar w:fldCharType="begin"/>
        </w:r>
        <w:r>
          <w:rPr>
            <w:noProof/>
            <w:webHidden/>
          </w:rPr>
          <w:instrText xml:space="preserve"> PAGEREF _Toc219309738 \h </w:instrText>
        </w:r>
        <w:r>
          <w:rPr>
            <w:noProof/>
            <w:webHidden/>
          </w:rPr>
        </w:r>
        <w:r>
          <w:rPr>
            <w:noProof/>
            <w:webHidden/>
          </w:rPr>
          <w:fldChar w:fldCharType="separate"/>
        </w:r>
        <w:r>
          <w:rPr>
            <w:noProof/>
            <w:webHidden/>
          </w:rPr>
          <w:t>400</w:t>
        </w:r>
        <w:r>
          <w:rPr>
            <w:noProof/>
            <w:webHidden/>
          </w:rPr>
          <w:fldChar w:fldCharType="end"/>
        </w:r>
      </w:hyperlink>
    </w:p>
    <w:p w14:paraId="746AF7FD"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39" w:history="1">
        <w:r w:rsidRPr="00087766">
          <w:rPr>
            <w:rStyle w:val="af7"/>
            <w:noProof/>
          </w:rPr>
          <w:t>6.16.5.</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«tMSC_PBS_UB</w:t>
        </w:r>
        <w:r w:rsidRPr="00087766">
          <w:rPr>
            <w:rStyle w:val="af7"/>
            <w:noProof/>
            <w:highlight w:val="green"/>
          </w:rPr>
          <w:t>P</w:t>
        </w:r>
        <w:r w:rsidRPr="00087766">
          <w:rPr>
            <w:rStyle w:val="af7"/>
            <w:noProof/>
          </w:rPr>
          <w:t>»</w:t>
        </w:r>
        <w:r>
          <w:rPr>
            <w:noProof/>
            <w:webHidden/>
          </w:rPr>
          <w:tab/>
        </w:r>
        <w:r>
          <w:rPr>
            <w:noProof/>
            <w:webHidden/>
          </w:rPr>
          <w:fldChar w:fldCharType="begin"/>
        </w:r>
        <w:r>
          <w:rPr>
            <w:noProof/>
            <w:webHidden/>
          </w:rPr>
          <w:instrText xml:space="preserve"> PAGEREF _Toc219309739 \h </w:instrText>
        </w:r>
        <w:r>
          <w:rPr>
            <w:noProof/>
            <w:webHidden/>
          </w:rPr>
        </w:r>
        <w:r>
          <w:rPr>
            <w:noProof/>
            <w:webHidden/>
          </w:rPr>
          <w:fldChar w:fldCharType="separate"/>
        </w:r>
        <w:r>
          <w:rPr>
            <w:noProof/>
            <w:webHidden/>
          </w:rPr>
          <w:t>400</w:t>
        </w:r>
        <w:r>
          <w:rPr>
            <w:noProof/>
            <w:webHidden/>
          </w:rPr>
          <w:fldChar w:fldCharType="end"/>
        </w:r>
      </w:hyperlink>
    </w:p>
    <w:p w14:paraId="46B8A543"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40" w:history="1">
        <w:r w:rsidRPr="00087766">
          <w:rPr>
            <w:rStyle w:val="af7"/>
            <w:noProof/>
          </w:rPr>
          <w:t>6.16.6.</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«tMSC_TOFK»</w:t>
        </w:r>
        <w:r>
          <w:rPr>
            <w:noProof/>
            <w:webHidden/>
          </w:rPr>
          <w:tab/>
        </w:r>
        <w:r>
          <w:rPr>
            <w:noProof/>
            <w:webHidden/>
          </w:rPr>
          <w:fldChar w:fldCharType="begin"/>
        </w:r>
        <w:r>
          <w:rPr>
            <w:noProof/>
            <w:webHidden/>
          </w:rPr>
          <w:instrText xml:space="preserve"> PAGEREF _Toc219309740 \h </w:instrText>
        </w:r>
        <w:r>
          <w:rPr>
            <w:noProof/>
            <w:webHidden/>
          </w:rPr>
        </w:r>
        <w:r>
          <w:rPr>
            <w:noProof/>
            <w:webHidden/>
          </w:rPr>
          <w:fldChar w:fldCharType="separate"/>
        </w:r>
        <w:r>
          <w:rPr>
            <w:noProof/>
            <w:webHidden/>
          </w:rPr>
          <w:t>401</w:t>
        </w:r>
        <w:r>
          <w:rPr>
            <w:noProof/>
            <w:webHidden/>
          </w:rPr>
          <w:fldChar w:fldCharType="end"/>
        </w:r>
      </w:hyperlink>
    </w:p>
    <w:p w14:paraId="34A8DB06"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41" w:history="1">
        <w:r w:rsidRPr="00087766">
          <w:rPr>
            <w:rStyle w:val="af7"/>
            <w:noProof/>
          </w:rPr>
          <w:t>6.16.7.</w:t>
        </w:r>
        <w:r>
          <w:rPr>
            <w:rFonts w:asciiTheme="minorHAnsi" w:eastAsiaTheme="minorEastAsia" w:hAnsiTheme="minorHAnsi" w:cstheme="minorBidi"/>
            <w:iCs w:val="0"/>
            <w:noProof/>
            <w:sz w:val="22"/>
            <w:szCs w:val="22"/>
          </w:rPr>
          <w:tab/>
        </w:r>
        <w:r w:rsidRPr="00087766">
          <w:rPr>
            <w:rStyle w:val="af7"/>
            <w:noProof/>
          </w:rPr>
          <w:t>Описание комплексного типа «</w:t>
        </w:r>
        <w:r w:rsidRPr="00087766">
          <w:rPr>
            <w:rStyle w:val="af7"/>
            <w:rFonts w:eastAsiaTheme="minorHAnsi"/>
            <w:noProof/>
          </w:rPr>
          <w:t>tNominalInfo</w:t>
        </w:r>
        <w:r w:rsidRPr="00087766">
          <w:rPr>
            <w:rStyle w:val="af7"/>
            <w:noProof/>
          </w:rPr>
          <w:t>»</w:t>
        </w:r>
        <w:r>
          <w:rPr>
            <w:noProof/>
            <w:webHidden/>
          </w:rPr>
          <w:tab/>
        </w:r>
        <w:r>
          <w:rPr>
            <w:noProof/>
            <w:webHidden/>
          </w:rPr>
          <w:fldChar w:fldCharType="begin"/>
        </w:r>
        <w:r>
          <w:rPr>
            <w:noProof/>
            <w:webHidden/>
          </w:rPr>
          <w:instrText xml:space="preserve"> PAGEREF _Toc219309741 \h </w:instrText>
        </w:r>
        <w:r>
          <w:rPr>
            <w:noProof/>
            <w:webHidden/>
          </w:rPr>
        </w:r>
        <w:r>
          <w:rPr>
            <w:noProof/>
            <w:webHidden/>
          </w:rPr>
          <w:fldChar w:fldCharType="separate"/>
        </w:r>
        <w:r>
          <w:rPr>
            <w:noProof/>
            <w:webHidden/>
          </w:rPr>
          <w:t>401</w:t>
        </w:r>
        <w:r>
          <w:rPr>
            <w:noProof/>
            <w:webHidden/>
          </w:rPr>
          <w:fldChar w:fldCharType="end"/>
        </w:r>
      </w:hyperlink>
    </w:p>
    <w:p w14:paraId="4CE74D4B"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42" w:history="1">
        <w:r w:rsidRPr="00087766">
          <w:rPr>
            <w:rStyle w:val="af7"/>
            <w:noProof/>
          </w:rPr>
          <w:t>6.16.8.</w:t>
        </w:r>
        <w:r>
          <w:rPr>
            <w:rFonts w:asciiTheme="minorHAnsi" w:eastAsiaTheme="minorEastAsia" w:hAnsiTheme="minorHAnsi" w:cstheme="minorBidi"/>
            <w:iCs w:val="0"/>
            <w:noProof/>
            <w:sz w:val="22"/>
            <w:szCs w:val="22"/>
          </w:rPr>
          <w:tab/>
        </w:r>
        <w:r w:rsidRPr="00087766">
          <w:rPr>
            <w:rStyle w:val="af7"/>
            <w:noProof/>
          </w:rPr>
          <w:t>Описание комплексного типа «</w:t>
        </w:r>
        <w:r w:rsidRPr="00087766">
          <w:rPr>
            <w:rStyle w:val="af7"/>
            <w:rFonts w:eastAsiaTheme="minorHAnsi"/>
            <w:noProof/>
          </w:rPr>
          <w:t>tNominalInfo_ITEM</w:t>
        </w:r>
        <w:r w:rsidRPr="00087766">
          <w:rPr>
            <w:rStyle w:val="af7"/>
            <w:noProof/>
          </w:rPr>
          <w:t>»</w:t>
        </w:r>
        <w:r>
          <w:rPr>
            <w:noProof/>
            <w:webHidden/>
          </w:rPr>
          <w:tab/>
        </w:r>
        <w:r>
          <w:rPr>
            <w:noProof/>
            <w:webHidden/>
          </w:rPr>
          <w:fldChar w:fldCharType="begin"/>
        </w:r>
        <w:r>
          <w:rPr>
            <w:noProof/>
            <w:webHidden/>
          </w:rPr>
          <w:instrText xml:space="preserve"> PAGEREF _Toc219309742 \h </w:instrText>
        </w:r>
        <w:r>
          <w:rPr>
            <w:noProof/>
            <w:webHidden/>
          </w:rPr>
        </w:r>
        <w:r>
          <w:rPr>
            <w:noProof/>
            <w:webHidden/>
          </w:rPr>
          <w:fldChar w:fldCharType="separate"/>
        </w:r>
        <w:r>
          <w:rPr>
            <w:noProof/>
            <w:webHidden/>
          </w:rPr>
          <w:t>401</w:t>
        </w:r>
        <w:r>
          <w:rPr>
            <w:noProof/>
            <w:webHidden/>
          </w:rPr>
          <w:fldChar w:fldCharType="end"/>
        </w:r>
      </w:hyperlink>
    </w:p>
    <w:p w14:paraId="608D2776"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43" w:history="1">
        <w:r w:rsidRPr="00087766">
          <w:rPr>
            <w:rStyle w:val="af7"/>
            <w:noProof/>
          </w:rPr>
          <w:t>6.16.9.</w:t>
        </w:r>
        <w:r>
          <w:rPr>
            <w:rFonts w:asciiTheme="minorHAnsi" w:eastAsiaTheme="minorEastAsia" w:hAnsiTheme="minorHAnsi" w:cstheme="minorBidi"/>
            <w:iCs w:val="0"/>
            <w:noProof/>
            <w:sz w:val="22"/>
            <w:szCs w:val="22"/>
          </w:rPr>
          <w:tab/>
        </w:r>
        <w:r w:rsidRPr="00087766">
          <w:rPr>
            <w:rStyle w:val="af7"/>
            <w:noProof/>
          </w:rPr>
          <w:t>Описание комплексного типа «</w:t>
        </w:r>
        <w:r w:rsidRPr="00087766">
          <w:rPr>
            <w:rStyle w:val="af7"/>
            <w:rFonts w:eastAsiaTheme="minorHAnsi"/>
            <w:noProof/>
          </w:rPr>
          <w:t>tNominalInfo_CashKindComplex</w:t>
        </w:r>
        <w:r w:rsidRPr="00087766">
          <w:rPr>
            <w:rStyle w:val="af7"/>
            <w:noProof/>
          </w:rPr>
          <w:t>»</w:t>
        </w:r>
        <w:r>
          <w:rPr>
            <w:noProof/>
            <w:webHidden/>
          </w:rPr>
          <w:tab/>
        </w:r>
        <w:r>
          <w:rPr>
            <w:noProof/>
            <w:webHidden/>
          </w:rPr>
          <w:fldChar w:fldCharType="begin"/>
        </w:r>
        <w:r>
          <w:rPr>
            <w:noProof/>
            <w:webHidden/>
          </w:rPr>
          <w:instrText xml:space="preserve"> PAGEREF _Toc219309743 \h </w:instrText>
        </w:r>
        <w:r>
          <w:rPr>
            <w:noProof/>
            <w:webHidden/>
          </w:rPr>
        </w:r>
        <w:r>
          <w:rPr>
            <w:noProof/>
            <w:webHidden/>
          </w:rPr>
          <w:fldChar w:fldCharType="separate"/>
        </w:r>
        <w:r>
          <w:rPr>
            <w:noProof/>
            <w:webHidden/>
          </w:rPr>
          <w:t>402</w:t>
        </w:r>
        <w:r>
          <w:rPr>
            <w:noProof/>
            <w:webHidden/>
          </w:rPr>
          <w:fldChar w:fldCharType="end"/>
        </w:r>
      </w:hyperlink>
    </w:p>
    <w:p w14:paraId="222FC551"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744" w:history="1">
        <w:r w:rsidRPr="00087766">
          <w:rPr>
            <w:rStyle w:val="af7"/>
            <w:noProof/>
          </w:rPr>
          <w:t>6.16.10.</w:t>
        </w:r>
        <w:r>
          <w:rPr>
            <w:rFonts w:asciiTheme="minorHAnsi" w:eastAsiaTheme="minorEastAsia" w:hAnsiTheme="minorHAnsi" w:cstheme="minorBidi"/>
            <w:iCs w:val="0"/>
            <w:noProof/>
            <w:sz w:val="22"/>
            <w:szCs w:val="22"/>
          </w:rPr>
          <w:tab/>
        </w:r>
        <w:r w:rsidRPr="00087766">
          <w:rPr>
            <w:rStyle w:val="af7"/>
            <w:noProof/>
          </w:rPr>
          <w:t>Описание комплексного типа «tSGNNmPs100»</w:t>
        </w:r>
        <w:r>
          <w:rPr>
            <w:noProof/>
            <w:webHidden/>
          </w:rPr>
          <w:tab/>
        </w:r>
        <w:r>
          <w:rPr>
            <w:noProof/>
            <w:webHidden/>
          </w:rPr>
          <w:fldChar w:fldCharType="begin"/>
        </w:r>
        <w:r>
          <w:rPr>
            <w:noProof/>
            <w:webHidden/>
          </w:rPr>
          <w:instrText xml:space="preserve"> PAGEREF _Toc219309744 \h </w:instrText>
        </w:r>
        <w:r>
          <w:rPr>
            <w:noProof/>
            <w:webHidden/>
          </w:rPr>
        </w:r>
        <w:r>
          <w:rPr>
            <w:noProof/>
            <w:webHidden/>
          </w:rPr>
          <w:fldChar w:fldCharType="separate"/>
        </w:r>
        <w:r>
          <w:rPr>
            <w:noProof/>
            <w:webHidden/>
          </w:rPr>
          <w:t>402</w:t>
        </w:r>
        <w:r>
          <w:rPr>
            <w:noProof/>
            <w:webHidden/>
          </w:rPr>
          <w:fldChar w:fldCharType="end"/>
        </w:r>
      </w:hyperlink>
    </w:p>
    <w:p w14:paraId="1DB17A09"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745" w:history="1">
        <w:r w:rsidRPr="00087766">
          <w:rPr>
            <w:rStyle w:val="af7"/>
            <w:noProof/>
          </w:rPr>
          <w:t>6.16.11.</w:t>
        </w:r>
        <w:r>
          <w:rPr>
            <w:rFonts w:asciiTheme="minorHAnsi" w:eastAsiaTheme="minorEastAsia" w:hAnsiTheme="minorHAnsi" w:cstheme="minorBidi"/>
            <w:iCs w:val="0"/>
            <w:noProof/>
            <w:sz w:val="22"/>
            <w:szCs w:val="22"/>
          </w:rPr>
          <w:tab/>
        </w:r>
        <w:r w:rsidRPr="00087766">
          <w:rPr>
            <w:rStyle w:val="af7"/>
            <w:noProof/>
          </w:rPr>
          <w:t>Описание комплексного типа «tRKG_RKG251»</w:t>
        </w:r>
        <w:r>
          <w:rPr>
            <w:noProof/>
            <w:webHidden/>
          </w:rPr>
          <w:tab/>
        </w:r>
        <w:r>
          <w:rPr>
            <w:noProof/>
            <w:webHidden/>
          </w:rPr>
          <w:fldChar w:fldCharType="begin"/>
        </w:r>
        <w:r>
          <w:rPr>
            <w:noProof/>
            <w:webHidden/>
          </w:rPr>
          <w:instrText xml:space="preserve"> PAGEREF _Toc219309745 \h </w:instrText>
        </w:r>
        <w:r>
          <w:rPr>
            <w:noProof/>
            <w:webHidden/>
          </w:rPr>
        </w:r>
        <w:r>
          <w:rPr>
            <w:noProof/>
            <w:webHidden/>
          </w:rPr>
          <w:fldChar w:fldCharType="separate"/>
        </w:r>
        <w:r>
          <w:rPr>
            <w:noProof/>
            <w:webHidden/>
          </w:rPr>
          <w:t>403</w:t>
        </w:r>
        <w:r>
          <w:rPr>
            <w:noProof/>
            <w:webHidden/>
          </w:rPr>
          <w:fldChar w:fldCharType="end"/>
        </w:r>
      </w:hyperlink>
    </w:p>
    <w:p w14:paraId="3CA37B4B"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746" w:history="1">
        <w:r w:rsidRPr="00087766">
          <w:rPr>
            <w:rStyle w:val="af7"/>
            <w:noProof/>
            <w:highlight w:val="green"/>
          </w:rPr>
          <w:t>6.16.12.</w:t>
        </w:r>
        <w:r>
          <w:rPr>
            <w:rFonts w:asciiTheme="minorHAnsi" w:eastAsiaTheme="minorEastAsia" w:hAnsiTheme="minorHAnsi" w:cstheme="minorBidi"/>
            <w:iCs w:val="0"/>
            <w:noProof/>
            <w:sz w:val="22"/>
            <w:szCs w:val="22"/>
          </w:rPr>
          <w:tab/>
        </w:r>
        <w:r w:rsidRPr="00087766">
          <w:rPr>
            <w:rStyle w:val="af7"/>
            <w:noProof/>
            <w:highlight w:val="green"/>
          </w:rPr>
          <w:t>Описание комплексного типа «tRKG_RKG251_ITEM»</w:t>
        </w:r>
        <w:r>
          <w:rPr>
            <w:noProof/>
            <w:webHidden/>
          </w:rPr>
          <w:tab/>
        </w:r>
        <w:r>
          <w:rPr>
            <w:noProof/>
            <w:webHidden/>
          </w:rPr>
          <w:fldChar w:fldCharType="begin"/>
        </w:r>
        <w:r>
          <w:rPr>
            <w:noProof/>
            <w:webHidden/>
          </w:rPr>
          <w:instrText xml:space="preserve"> PAGEREF _Toc219309746 \h </w:instrText>
        </w:r>
        <w:r>
          <w:rPr>
            <w:noProof/>
            <w:webHidden/>
          </w:rPr>
        </w:r>
        <w:r>
          <w:rPr>
            <w:noProof/>
            <w:webHidden/>
          </w:rPr>
          <w:fldChar w:fldCharType="separate"/>
        </w:r>
        <w:r>
          <w:rPr>
            <w:noProof/>
            <w:webHidden/>
          </w:rPr>
          <w:t>403</w:t>
        </w:r>
        <w:r>
          <w:rPr>
            <w:noProof/>
            <w:webHidden/>
          </w:rPr>
          <w:fldChar w:fldCharType="end"/>
        </w:r>
      </w:hyperlink>
    </w:p>
    <w:p w14:paraId="66BDC5C9"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747" w:history="1">
        <w:r w:rsidRPr="00087766">
          <w:rPr>
            <w:rStyle w:val="af7"/>
            <w:noProof/>
          </w:rPr>
          <w:t>6.16.13.</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«tMSC_KBK10_20_KS»</w:t>
        </w:r>
        <w:r>
          <w:rPr>
            <w:noProof/>
            <w:webHidden/>
          </w:rPr>
          <w:tab/>
        </w:r>
        <w:r>
          <w:rPr>
            <w:noProof/>
            <w:webHidden/>
          </w:rPr>
          <w:fldChar w:fldCharType="begin"/>
        </w:r>
        <w:r>
          <w:rPr>
            <w:noProof/>
            <w:webHidden/>
          </w:rPr>
          <w:instrText xml:space="preserve"> PAGEREF _Toc219309747 \h </w:instrText>
        </w:r>
        <w:r>
          <w:rPr>
            <w:noProof/>
            <w:webHidden/>
          </w:rPr>
        </w:r>
        <w:r>
          <w:rPr>
            <w:noProof/>
            <w:webHidden/>
          </w:rPr>
          <w:fldChar w:fldCharType="separate"/>
        </w:r>
        <w:r>
          <w:rPr>
            <w:noProof/>
            <w:webHidden/>
          </w:rPr>
          <w:t>405</w:t>
        </w:r>
        <w:r>
          <w:rPr>
            <w:noProof/>
            <w:webHidden/>
          </w:rPr>
          <w:fldChar w:fldCharType="end"/>
        </w:r>
      </w:hyperlink>
    </w:p>
    <w:p w14:paraId="19598C2F"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748" w:history="1">
        <w:r w:rsidRPr="00087766">
          <w:rPr>
            <w:rStyle w:val="af7"/>
            <w:noProof/>
          </w:rPr>
          <w:t>6.16.14.</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«tMSC_BKTp10_20Complex»</w:t>
        </w:r>
        <w:r>
          <w:rPr>
            <w:noProof/>
            <w:webHidden/>
          </w:rPr>
          <w:tab/>
        </w:r>
        <w:r>
          <w:rPr>
            <w:noProof/>
            <w:webHidden/>
          </w:rPr>
          <w:fldChar w:fldCharType="begin"/>
        </w:r>
        <w:r>
          <w:rPr>
            <w:noProof/>
            <w:webHidden/>
          </w:rPr>
          <w:instrText xml:space="preserve"> PAGEREF _Toc219309748 \h </w:instrText>
        </w:r>
        <w:r>
          <w:rPr>
            <w:noProof/>
            <w:webHidden/>
          </w:rPr>
        </w:r>
        <w:r>
          <w:rPr>
            <w:noProof/>
            <w:webHidden/>
          </w:rPr>
          <w:fldChar w:fldCharType="separate"/>
        </w:r>
        <w:r>
          <w:rPr>
            <w:noProof/>
            <w:webHidden/>
          </w:rPr>
          <w:t>406</w:t>
        </w:r>
        <w:r>
          <w:rPr>
            <w:noProof/>
            <w:webHidden/>
          </w:rPr>
          <w:fldChar w:fldCharType="end"/>
        </w:r>
      </w:hyperlink>
    </w:p>
    <w:p w14:paraId="1B63AA96"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749" w:history="1">
        <w:r w:rsidRPr="00087766">
          <w:rPr>
            <w:rStyle w:val="af7"/>
            <w:noProof/>
          </w:rPr>
          <w:t>6.16.15.</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«tMSC_SrcTypeComplex»</w:t>
        </w:r>
        <w:r>
          <w:rPr>
            <w:noProof/>
            <w:webHidden/>
          </w:rPr>
          <w:tab/>
        </w:r>
        <w:r>
          <w:rPr>
            <w:noProof/>
            <w:webHidden/>
          </w:rPr>
          <w:fldChar w:fldCharType="begin"/>
        </w:r>
        <w:r>
          <w:rPr>
            <w:noProof/>
            <w:webHidden/>
          </w:rPr>
          <w:instrText xml:space="preserve"> PAGEREF _Toc219309749 \h </w:instrText>
        </w:r>
        <w:r>
          <w:rPr>
            <w:noProof/>
            <w:webHidden/>
          </w:rPr>
        </w:r>
        <w:r>
          <w:rPr>
            <w:noProof/>
            <w:webHidden/>
          </w:rPr>
          <w:fldChar w:fldCharType="separate"/>
        </w:r>
        <w:r>
          <w:rPr>
            <w:noProof/>
            <w:webHidden/>
          </w:rPr>
          <w:t>406</w:t>
        </w:r>
        <w:r>
          <w:rPr>
            <w:noProof/>
            <w:webHidden/>
          </w:rPr>
          <w:fldChar w:fldCharType="end"/>
        </w:r>
      </w:hyperlink>
    </w:p>
    <w:p w14:paraId="59940938"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750" w:history="1">
        <w:r w:rsidRPr="00087766">
          <w:rPr>
            <w:rStyle w:val="af7"/>
            <w:noProof/>
          </w:rPr>
          <w:t>6.16.16.</w:t>
        </w:r>
        <w:r>
          <w:rPr>
            <w:rFonts w:asciiTheme="minorHAnsi" w:eastAsiaTheme="minorEastAsia" w:hAnsiTheme="minorHAnsi" w:cstheme="minorBidi"/>
            <w:iCs w:val="0"/>
            <w:noProof/>
            <w:sz w:val="22"/>
            <w:szCs w:val="22"/>
          </w:rPr>
          <w:tab/>
        </w:r>
        <w:r w:rsidRPr="00087766">
          <w:rPr>
            <w:rStyle w:val="af7"/>
            <w:noProof/>
          </w:rPr>
          <w:t>Описание комплексного типа «</w:t>
        </w:r>
        <w:r w:rsidRPr="00087766">
          <w:rPr>
            <w:rStyle w:val="af7"/>
            <w:rFonts w:eastAsiaTheme="minorHAnsi"/>
            <w:noProof/>
          </w:rPr>
          <w:t>tRKG251_OprContentComplex</w:t>
        </w:r>
        <w:r w:rsidRPr="00087766">
          <w:rPr>
            <w:rStyle w:val="af7"/>
            <w:noProof/>
          </w:rPr>
          <w:t>»</w:t>
        </w:r>
        <w:r>
          <w:rPr>
            <w:noProof/>
            <w:webHidden/>
          </w:rPr>
          <w:tab/>
        </w:r>
        <w:r>
          <w:rPr>
            <w:noProof/>
            <w:webHidden/>
          </w:rPr>
          <w:fldChar w:fldCharType="begin"/>
        </w:r>
        <w:r>
          <w:rPr>
            <w:noProof/>
            <w:webHidden/>
          </w:rPr>
          <w:instrText xml:space="preserve"> PAGEREF _Toc219309750 \h </w:instrText>
        </w:r>
        <w:r>
          <w:rPr>
            <w:noProof/>
            <w:webHidden/>
          </w:rPr>
        </w:r>
        <w:r>
          <w:rPr>
            <w:noProof/>
            <w:webHidden/>
          </w:rPr>
          <w:fldChar w:fldCharType="separate"/>
        </w:r>
        <w:r>
          <w:rPr>
            <w:noProof/>
            <w:webHidden/>
          </w:rPr>
          <w:t>407</w:t>
        </w:r>
        <w:r>
          <w:rPr>
            <w:noProof/>
            <w:webHidden/>
          </w:rPr>
          <w:fldChar w:fldCharType="end"/>
        </w:r>
      </w:hyperlink>
    </w:p>
    <w:p w14:paraId="1F32832F"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751" w:history="1">
        <w:r w:rsidRPr="00087766">
          <w:rPr>
            <w:rStyle w:val="af7"/>
            <w:noProof/>
          </w:rPr>
          <w:t>6.16.17.</w:t>
        </w:r>
        <w:r>
          <w:rPr>
            <w:rFonts w:asciiTheme="minorHAnsi" w:eastAsiaTheme="minorEastAsia" w:hAnsiTheme="minorHAnsi" w:cstheme="minorBidi"/>
            <w:iCs w:val="0"/>
            <w:noProof/>
            <w:sz w:val="22"/>
            <w:szCs w:val="22"/>
          </w:rPr>
          <w:tab/>
        </w:r>
        <w:r w:rsidRPr="00087766">
          <w:rPr>
            <w:rStyle w:val="af7"/>
            <w:noProof/>
          </w:rPr>
          <w:t>Описание комплексного типа «tTF»</w:t>
        </w:r>
        <w:r>
          <w:rPr>
            <w:noProof/>
            <w:webHidden/>
          </w:rPr>
          <w:tab/>
        </w:r>
        <w:r>
          <w:rPr>
            <w:noProof/>
            <w:webHidden/>
          </w:rPr>
          <w:fldChar w:fldCharType="begin"/>
        </w:r>
        <w:r>
          <w:rPr>
            <w:noProof/>
            <w:webHidden/>
          </w:rPr>
          <w:instrText xml:space="preserve"> PAGEREF _Toc219309751 \h </w:instrText>
        </w:r>
        <w:r>
          <w:rPr>
            <w:noProof/>
            <w:webHidden/>
          </w:rPr>
        </w:r>
        <w:r>
          <w:rPr>
            <w:noProof/>
            <w:webHidden/>
          </w:rPr>
          <w:fldChar w:fldCharType="separate"/>
        </w:r>
        <w:r>
          <w:rPr>
            <w:noProof/>
            <w:webHidden/>
          </w:rPr>
          <w:t>408</w:t>
        </w:r>
        <w:r>
          <w:rPr>
            <w:noProof/>
            <w:webHidden/>
          </w:rPr>
          <w:fldChar w:fldCharType="end"/>
        </w:r>
      </w:hyperlink>
    </w:p>
    <w:p w14:paraId="6FDF73BE"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752" w:history="1">
        <w:r w:rsidRPr="00087766">
          <w:rPr>
            <w:rStyle w:val="af7"/>
            <w:noProof/>
          </w:rPr>
          <w:t>6.16.18.</w:t>
        </w:r>
        <w:r>
          <w:rPr>
            <w:rFonts w:asciiTheme="minorHAnsi" w:eastAsiaTheme="minorEastAsia" w:hAnsiTheme="minorHAnsi" w:cstheme="minorBidi"/>
            <w:iCs w:val="0"/>
            <w:noProof/>
            <w:sz w:val="22"/>
            <w:szCs w:val="22"/>
          </w:rPr>
          <w:tab/>
        </w:r>
        <w:r w:rsidRPr="00087766">
          <w:rPr>
            <w:rStyle w:val="af7"/>
            <w:noProof/>
          </w:rPr>
          <w:t>Пример XML</w:t>
        </w:r>
        <w:r>
          <w:rPr>
            <w:noProof/>
            <w:webHidden/>
          </w:rPr>
          <w:tab/>
        </w:r>
        <w:r>
          <w:rPr>
            <w:noProof/>
            <w:webHidden/>
          </w:rPr>
          <w:fldChar w:fldCharType="begin"/>
        </w:r>
        <w:r>
          <w:rPr>
            <w:noProof/>
            <w:webHidden/>
          </w:rPr>
          <w:instrText xml:space="preserve"> PAGEREF _Toc219309752 \h </w:instrText>
        </w:r>
        <w:r>
          <w:rPr>
            <w:noProof/>
            <w:webHidden/>
          </w:rPr>
        </w:r>
        <w:r>
          <w:rPr>
            <w:noProof/>
            <w:webHidden/>
          </w:rPr>
          <w:fldChar w:fldCharType="separate"/>
        </w:r>
        <w:r>
          <w:rPr>
            <w:noProof/>
            <w:webHidden/>
          </w:rPr>
          <w:t>408</w:t>
        </w:r>
        <w:r>
          <w:rPr>
            <w:noProof/>
            <w:webHidden/>
          </w:rPr>
          <w:fldChar w:fldCharType="end"/>
        </w:r>
      </w:hyperlink>
    </w:p>
    <w:p w14:paraId="6A683FC6" w14:textId="77777777" w:rsidR="008D797C" w:rsidRDefault="008D797C">
      <w:pPr>
        <w:pStyle w:val="2a"/>
        <w:tabs>
          <w:tab w:val="left" w:pos="960"/>
          <w:tab w:val="right" w:leader="dot" w:pos="9628"/>
        </w:tabs>
        <w:rPr>
          <w:rFonts w:asciiTheme="minorHAnsi" w:eastAsiaTheme="minorEastAsia" w:hAnsiTheme="minorHAnsi" w:cstheme="minorBidi"/>
          <w:noProof/>
          <w:sz w:val="22"/>
          <w:szCs w:val="22"/>
        </w:rPr>
      </w:pPr>
      <w:hyperlink w:anchor="_Toc219309753" w:history="1">
        <w:r w:rsidRPr="00087766">
          <w:rPr>
            <w:rStyle w:val="af7"/>
            <w:noProof/>
            <w:highlight w:val="green"/>
          </w:rPr>
          <w:t>6.17.</w:t>
        </w:r>
        <w:r>
          <w:rPr>
            <w:rFonts w:asciiTheme="minorHAnsi" w:eastAsiaTheme="minorEastAsia" w:hAnsiTheme="minorHAnsi" w:cstheme="minorBidi"/>
            <w:noProof/>
            <w:sz w:val="22"/>
            <w:szCs w:val="22"/>
          </w:rPr>
          <w:tab/>
        </w:r>
        <w:r w:rsidRPr="00087766">
          <w:rPr>
            <w:rStyle w:val="af7"/>
            <w:noProof/>
            <w:highlight w:val="green"/>
          </w:rPr>
          <w:t>Описание документа «Заявка на получение наличных денег (ф. 0531802), Заявка для обеспечения наличными денежными средствами в электронном виде»</w:t>
        </w:r>
        <w:r>
          <w:rPr>
            <w:noProof/>
            <w:webHidden/>
          </w:rPr>
          <w:tab/>
        </w:r>
        <w:r>
          <w:rPr>
            <w:noProof/>
            <w:webHidden/>
          </w:rPr>
          <w:fldChar w:fldCharType="begin"/>
        </w:r>
        <w:r>
          <w:rPr>
            <w:noProof/>
            <w:webHidden/>
          </w:rPr>
          <w:instrText xml:space="preserve"> PAGEREF _Toc219309753 \h </w:instrText>
        </w:r>
        <w:r>
          <w:rPr>
            <w:noProof/>
            <w:webHidden/>
          </w:rPr>
        </w:r>
        <w:r>
          <w:rPr>
            <w:noProof/>
            <w:webHidden/>
          </w:rPr>
          <w:fldChar w:fldCharType="separate"/>
        </w:r>
        <w:r>
          <w:rPr>
            <w:noProof/>
            <w:webHidden/>
          </w:rPr>
          <w:t>413</w:t>
        </w:r>
        <w:r>
          <w:rPr>
            <w:noProof/>
            <w:webHidden/>
          </w:rPr>
          <w:fldChar w:fldCharType="end"/>
        </w:r>
      </w:hyperlink>
    </w:p>
    <w:p w14:paraId="3C638398"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54" w:history="1">
        <w:r w:rsidRPr="00087766">
          <w:rPr>
            <w:rStyle w:val="af7"/>
            <w:noProof/>
            <w:highlight w:val="green"/>
          </w:rPr>
          <w:t>6.17.1.</w:t>
        </w:r>
        <w:r>
          <w:rPr>
            <w:rFonts w:asciiTheme="minorHAnsi" w:eastAsiaTheme="minorEastAsia" w:hAnsiTheme="minorHAnsi" w:cstheme="minorBidi"/>
            <w:iCs w:val="0"/>
            <w:noProof/>
            <w:sz w:val="22"/>
            <w:szCs w:val="22"/>
          </w:rPr>
          <w:tab/>
        </w:r>
        <w:r w:rsidRPr="00087766">
          <w:rPr>
            <w:rStyle w:val="af7"/>
            <w:noProof/>
            <w:highlight w:val="green"/>
          </w:rPr>
          <w:t>Назначение и маршрут документа</w:t>
        </w:r>
        <w:r>
          <w:rPr>
            <w:noProof/>
            <w:webHidden/>
          </w:rPr>
          <w:tab/>
        </w:r>
        <w:r>
          <w:rPr>
            <w:noProof/>
            <w:webHidden/>
          </w:rPr>
          <w:fldChar w:fldCharType="begin"/>
        </w:r>
        <w:r>
          <w:rPr>
            <w:noProof/>
            <w:webHidden/>
          </w:rPr>
          <w:instrText xml:space="preserve"> PAGEREF _Toc219309754 \h </w:instrText>
        </w:r>
        <w:r>
          <w:rPr>
            <w:noProof/>
            <w:webHidden/>
          </w:rPr>
        </w:r>
        <w:r>
          <w:rPr>
            <w:noProof/>
            <w:webHidden/>
          </w:rPr>
          <w:fldChar w:fldCharType="separate"/>
        </w:r>
        <w:r>
          <w:rPr>
            <w:noProof/>
            <w:webHidden/>
          </w:rPr>
          <w:t>413</w:t>
        </w:r>
        <w:r>
          <w:rPr>
            <w:noProof/>
            <w:webHidden/>
          </w:rPr>
          <w:fldChar w:fldCharType="end"/>
        </w:r>
      </w:hyperlink>
    </w:p>
    <w:p w14:paraId="50BC30F0"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55" w:history="1">
        <w:r w:rsidRPr="00087766">
          <w:rPr>
            <w:rStyle w:val="af7"/>
            <w:noProof/>
          </w:rPr>
          <w:t>6.17.2.</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«tMSC_AplCsh»</w:t>
        </w:r>
        <w:r>
          <w:rPr>
            <w:noProof/>
            <w:webHidden/>
          </w:rPr>
          <w:tab/>
        </w:r>
        <w:r>
          <w:rPr>
            <w:noProof/>
            <w:webHidden/>
          </w:rPr>
          <w:fldChar w:fldCharType="begin"/>
        </w:r>
        <w:r>
          <w:rPr>
            <w:noProof/>
            <w:webHidden/>
          </w:rPr>
          <w:instrText xml:space="preserve"> PAGEREF _Toc219309755 \h </w:instrText>
        </w:r>
        <w:r>
          <w:rPr>
            <w:noProof/>
            <w:webHidden/>
          </w:rPr>
        </w:r>
        <w:r>
          <w:rPr>
            <w:noProof/>
            <w:webHidden/>
          </w:rPr>
          <w:fldChar w:fldCharType="separate"/>
        </w:r>
        <w:r>
          <w:rPr>
            <w:noProof/>
            <w:webHidden/>
          </w:rPr>
          <w:t>413</w:t>
        </w:r>
        <w:r>
          <w:rPr>
            <w:noProof/>
            <w:webHidden/>
          </w:rPr>
          <w:fldChar w:fldCharType="end"/>
        </w:r>
      </w:hyperlink>
    </w:p>
    <w:p w14:paraId="5EAE5568"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56" w:history="1">
        <w:r w:rsidRPr="00087766">
          <w:rPr>
            <w:rStyle w:val="af7"/>
            <w:noProof/>
          </w:rPr>
          <w:t>6.17.3.</w:t>
        </w:r>
        <w:r>
          <w:rPr>
            <w:rFonts w:asciiTheme="minorHAnsi" w:eastAsiaTheme="minorEastAsia" w:hAnsiTheme="minorHAnsi" w:cstheme="minorBidi"/>
            <w:iCs w:val="0"/>
            <w:noProof/>
            <w:sz w:val="22"/>
            <w:szCs w:val="22"/>
          </w:rPr>
          <w:tab/>
        </w:r>
        <w:r w:rsidRPr="00087766">
          <w:rPr>
            <w:rStyle w:val="af7"/>
            <w:noProof/>
          </w:rPr>
          <w:t>Описание комплексного типа «</w:t>
        </w:r>
        <w:r w:rsidRPr="00087766">
          <w:rPr>
            <w:rStyle w:val="af7"/>
            <w:rFonts w:eastAsiaTheme="minorHAnsi"/>
            <w:noProof/>
          </w:rPr>
          <w:t>tZS_DocKindCodeComplex</w:t>
        </w:r>
        <w:r w:rsidRPr="00087766">
          <w:rPr>
            <w:rStyle w:val="af7"/>
            <w:noProof/>
          </w:rPr>
          <w:t>»</w:t>
        </w:r>
        <w:r>
          <w:rPr>
            <w:noProof/>
            <w:webHidden/>
          </w:rPr>
          <w:tab/>
        </w:r>
        <w:r>
          <w:rPr>
            <w:noProof/>
            <w:webHidden/>
          </w:rPr>
          <w:fldChar w:fldCharType="begin"/>
        </w:r>
        <w:r>
          <w:rPr>
            <w:noProof/>
            <w:webHidden/>
          </w:rPr>
          <w:instrText xml:space="preserve"> PAGEREF _Toc219309756 \h </w:instrText>
        </w:r>
        <w:r>
          <w:rPr>
            <w:noProof/>
            <w:webHidden/>
          </w:rPr>
        </w:r>
        <w:r>
          <w:rPr>
            <w:noProof/>
            <w:webHidden/>
          </w:rPr>
          <w:fldChar w:fldCharType="separate"/>
        </w:r>
        <w:r>
          <w:rPr>
            <w:noProof/>
            <w:webHidden/>
          </w:rPr>
          <w:t>419</w:t>
        </w:r>
        <w:r>
          <w:rPr>
            <w:noProof/>
            <w:webHidden/>
          </w:rPr>
          <w:fldChar w:fldCharType="end"/>
        </w:r>
      </w:hyperlink>
    </w:p>
    <w:p w14:paraId="610F5809"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57" w:history="1">
        <w:r w:rsidRPr="00087766">
          <w:rPr>
            <w:rStyle w:val="af7"/>
            <w:noProof/>
          </w:rPr>
          <w:t>6.17.4.</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«tMSC_FnclInst»</w:t>
        </w:r>
        <w:r>
          <w:rPr>
            <w:noProof/>
            <w:webHidden/>
          </w:rPr>
          <w:tab/>
        </w:r>
        <w:r>
          <w:rPr>
            <w:noProof/>
            <w:webHidden/>
          </w:rPr>
          <w:fldChar w:fldCharType="begin"/>
        </w:r>
        <w:r>
          <w:rPr>
            <w:noProof/>
            <w:webHidden/>
          </w:rPr>
          <w:instrText xml:space="preserve"> PAGEREF _Toc219309757 \h </w:instrText>
        </w:r>
        <w:r>
          <w:rPr>
            <w:noProof/>
            <w:webHidden/>
          </w:rPr>
        </w:r>
        <w:r>
          <w:rPr>
            <w:noProof/>
            <w:webHidden/>
          </w:rPr>
          <w:fldChar w:fldCharType="separate"/>
        </w:r>
        <w:r>
          <w:rPr>
            <w:noProof/>
            <w:webHidden/>
          </w:rPr>
          <w:t>420</w:t>
        </w:r>
        <w:r>
          <w:rPr>
            <w:noProof/>
            <w:webHidden/>
          </w:rPr>
          <w:fldChar w:fldCharType="end"/>
        </w:r>
      </w:hyperlink>
    </w:p>
    <w:p w14:paraId="24B148A2"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58" w:history="1">
        <w:r w:rsidRPr="00087766">
          <w:rPr>
            <w:rStyle w:val="af7"/>
            <w:noProof/>
          </w:rPr>
          <w:t>6.17.5.</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«tMSC_GRBS3»</w:t>
        </w:r>
        <w:r>
          <w:rPr>
            <w:noProof/>
            <w:webHidden/>
          </w:rPr>
          <w:tab/>
        </w:r>
        <w:r>
          <w:rPr>
            <w:noProof/>
            <w:webHidden/>
          </w:rPr>
          <w:fldChar w:fldCharType="begin"/>
        </w:r>
        <w:r>
          <w:rPr>
            <w:noProof/>
            <w:webHidden/>
          </w:rPr>
          <w:instrText xml:space="preserve"> PAGEREF _Toc219309758 \h </w:instrText>
        </w:r>
        <w:r>
          <w:rPr>
            <w:noProof/>
            <w:webHidden/>
          </w:rPr>
        </w:r>
        <w:r>
          <w:rPr>
            <w:noProof/>
            <w:webHidden/>
          </w:rPr>
          <w:fldChar w:fldCharType="separate"/>
        </w:r>
        <w:r>
          <w:rPr>
            <w:noProof/>
            <w:webHidden/>
          </w:rPr>
          <w:t>420</w:t>
        </w:r>
        <w:r>
          <w:rPr>
            <w:noProof/>
            <w:webHidden/>
          </w:rPr>
          <w:fldChar w:fldCharType="end"/>
        </w:r>
      </w:hyperlink>
    </w:p>
    <w:p w14:paraId="403C2FE4"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59" w:history="1">
        <w:r w:rsidRPr="00087766">
          <w:rPr>
            <w:rStyle w:val="af7"/>
            <w:noProof/>
          </w:rPr>
          <w:t>6.17.6.</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«tMSC_Cstmr7»</w:t>
        </w:r>
        <w:r>
          <w:rPr>
            <w:noProof/>
            <w:webHidden/>
          </w:rPr>
          <w:tab/>
        </w:r>
        <w:r>
          <w:rPr>
            <w:noProof/>
            <w:webHidden/>
          </w:rPr>
          <w:fldChar w:fldCharType="begin"/>
        </w:r>
        <w:r>
          <w:rPr>
            <w:noProof/>
            <w:webHidden/>
          </w:rPr>
          <w:instrText xml:space="preserve"> PAGEREF _Toc219309759 \h </w:instrText>
        </w:r>
        <w:r>
          <w:rPr>
            <w:noProof/>
            <w:webHidden/>
          </w:rPr>
        </w:r>
        <w:r>
          <w:rPr>
            <w:noProof/>
            <w:webHidden/>
          </w:rPr>
          <w:fldChar w:fldCharType="separate"/>
        </w:r>
        <w:r>
          <w:rPr>
            <w:noProof/>
            <w:webHidden/>
          </w:rPr>
          <w:t>421</w:t>
        </w:r>
        <w:r>
          <w:rPr>
            <w:noProof/>
            <w:webHidden/>
          </w:rPr>
          <w:fldChar w:fldCharType="end"/>
        </w:r>
      </w:hyperlink>
    </w:p>
    <w:p w14:paraId="60060AC7"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60" w:history="1">
        <w:r w:rsidRPr="00087766">
          <w:rPr>
            <w:rStyle w:val="af7"/>
            <w:noProof/>
          </w:rPr>
          <w:t>6.17.7.</w:t>
        </w:r>
        <w:r>
          <w:rPr>
            <w:rFonts w:asciiTheme="minorHAnsi" w:eastAsiaTheme="minorEastAsia" w:hAnsiTheme="minorHAnsi" w:cstheme="minorBidi"/>
            <w:iCs w:val="0"/>
            <w:noProof/>
            <w:sz w:val="22"/>
            <w:szCs w:val="22"/>
          </w:rPr>
          <w:tab/>
        </w:r>
        <w:r w:rsidRPr="00087766">
          <w:rPr>
            <w:rStyle w:val="af7"/>
            <w:noProof/>
          </w:rPr>
          <w:t>Описание комплексного типа «</w:t>
        </w:r>
        <w:r w:rsidRPr="00087766">
          <w:rPr>
            <w:rStyle w:val="af7"/>
            <w:rFonts w:eastAsiaTheme="minorHAnsi"/>
            <w:noProof/>
          </w:rPr>
          <w:t>tMSC_Cntrctr2</w:t>
        </w:r>
        <w:r w:rsidRPr="00087766">
          <w:rPr>
            <w:rStyle w:val="af7"/>
            <w:noProof/>
          </w:rPr>
          <w:t>»</w:t>
        </w:r>
        <w:r>
          <w:rPr>
            <w:noProof/>
            <w:webHidden/>
          </w:rPr>
          <w:tab/>
        </w:r>
        <w:r>
          <w:rPr>
            <w:noProof/>
            <w:webHidden/>
          </w:rPr>
          <w:fldChar w:fldCharType="begin"/>
        </w:r>
        <w:r>
          <w:rPr>
            <w:noProof/>
            <w:webHidden/>
          </w:rPr>
          <w:instrText xml:space="preserve"> PAGEREF _Toc219309760 \h </w:instrText>
        </w:r>
        <w:r>
          <w:rPr>
            <w:noProof/>
            <w:webHidden/>
          </w:rPr>
        </w:r>
        <w:r>
          <w:rPr>
            <w:noProof/>
            <w:webHidden/>
          </w:rPr>
          <w:fldChar w:fldCharType="separate"/>
        </w:r>
        <w:r>
          <w:rPr>
            <w:noProof/>
            <w:webHidden/>
          </w:rPr>
          <w:t>422</w:t>
        </w:r>
        <w:r>
          <w:rPr>
            <w:noProof/>
            <w:webHidden/>
          </w:rPr>
          <w:fldChar w:fldCharType="end"/>
        </w:r>
      </w:hyperlink>
    </w:p>
    <w:p w14:paraId="62D86309"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61" w:history="1">
        <w:r w:rsidRPr="00087766">
          <w:rPr>
            <w:rStyle w:val="af7"/>
            <w:noProof/>
          </w:rPr>
          <w:t>6.17.8.</w:t>
        </w:r>
        <w:r>
          <w:rPr>
            <w:rFonts w:asciiTheme="minorHAnsi" w:eastAsiaTheme="minorEastAsia" w:hAnsiTheme="minorHAnsi" w:cstheme="minorBidi"/>
            <w:iCs w:val="0"/>
            <w:noProof/>
            <w:sz w:val="22"/>
            <w:szCs w:val="22"/>
          </w:rPr>
          <w:tab/>
        </w:r>
        <w:r w:rsidRPr="00087766">
          <w:rPr>
            <w:rStyle w:val="af7"/>
            <w:noProof/>
          </w:rPr>
          <w:t>Описание комплексного типа «</w:t>
        </w:r>
        <w:r w:rsidRPr="00087766">
          <w:rPr>
            <w:rStyle w:val="af7"/>
            <w:rFonts w:eastAsiaTheme="minorHAnsi"/>
            <w:noProof/>
          </w:rPr>
          <w:t>tMSC_Bnk2</w:t>
        </w:r>
        <w:r w:rsidRPr="00087766">
          <w:rPr>
            <w:rStyle w:val="af7"/>
            <w:noProof/>
          </w:rPr>
          <w:t>»</w:t>
        </w:r>
        <w:r>
          <w:rPr>
            <w:noProof/>
            <w:webHidden/>
          </w:rPr>
          <w:tab/>
        </w:r>
        <w:r>
          <w:rPr>
            <w:noProof/>
            <w:webHidden/>
          </w:rPr>
          <w:fldChar w:fldCharType="begin"/>
        </w:r>
        <w:r>
          <w:rPr>
            <w:noProof/>
            <w:webHidden/>
          </w:rPr>
          <w:instrText xml:space="preserve"> PAGEREF _Toc219309761 \h </w:instrText>
        </w:r>
        <w:r>
          <w:rPr>
            <w:noProof/>
            <w:webHidden/>
          </w:rPr>
        </w:r>
        <w:r>
          <w:rPr>
            <w:noProof/>
            <w:webHidden/>
          </w:rPr>
          <w:fldChar w:fldCharType="separate"/>
        </w:r>
        <w:r>
          <w:rPr>
            <w:noProof/>
            <w:webHidden/>
          </w:rPr>
          <w:t>422</w:t>
        </w:r>
        <w:r>
          <w:rPr>
            <w:noProof/>
            <w:webHidden/>
          </w:rPr>
          <w:fldChar w:fldCharType="end"/>
        </w:r>
      </w:hyperlink>
    </w:p>
    <w:p w14:paraId="225C3BF2"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62" w:history="1">
        <w:r w:rsidRPr="00087766">
          <w:rPr>
            <w:rStyle w:val="af7"/>
            <w:noProof/>
          </w:rPr>
          <w:t>6.17.9.</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«tMSC_TOFK»</w:t>
        </w:r>
        <w:r>
          <w:rPr>
            <w:noProof/>
            <w:webHidden/>
          </w:rPr>
          <w:tab/>
        </w:r>
        <w:r>
          <w:rPr>
            <w:noProof/>
            <w:webHidden/>
          </w:rPr>
          <w:fldChar w:fldCharType="begin"/>
        </w:r>
        <w:r>
          <w:rPr>
            <w:noProof/>
            <w:webHidden/>
          </w:rPr>
          <w:instrText xml:space="preserve"> PAGEREF _Toc219309762 \h </w:instrText>
        </w:r>
        <w:r>
          <w:rPr>
            <w:noProof/>
            <w:webHidden/>
          </w:rPr>
        </w:r>
        <w:r>
          <w:rPr>
            <w:noProof/>
            <w:webHidden/>
          </w:rPr>
          <w:fldChar w:fldCharType="separate"/>
        </w:r>
        <w:r>
          <w:rPr>
            <w:noProof/>
            <w:webHidden/>
          </w:rPr>
          <w:t>422</w:t>
        </w:r>
        <w:r>
          <w:rPr>
            <w:noProof/>
            <w:webHidden/>
          </w:rPr>
          <w:fldChar w:fldCharType="end"/>
        </w:r>
      </w:hyperlink>
    </w:p>
    <w:p w14:paraId="47746710"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763" w:history="1">
        <w:r w:rsidRPr="00087766">
          <w:rPr>
            <w:rStyle w:val="af7"/>
            <w:noProof/>
          </w:rPr>
          <w:t>6.17.10.</w:t>
        </w:r>
        <w:r>
          <w:rPr>
            <w:rFonts w:asciiTheme="minorHAnsi" w:eastAsiaTheme="minorEastAsia" w:hAnsiTheme="minorHAnsi" w:cstheme="minorBidi"/>
            <w:iCs w:val="0"/>
            <w:noProof/>
            <w:sz w:val="22"/>
            <w:szCs w:val="22"/>
          </w:rPr>
          <w:tab/>
        </w:r>
        <w:r w:rsidRPr="00087766">
          <w:rPr>
            <w:rStyle w:val="af7"/>
            <w:noProof/>
          </w:rPr>
          <w:t>Описание комплексного типа «tSGNNmPs1»</w:t>
        </w:r>
        <w:r>
          <w:rPr>
            <w:noProof/>
            <w:webHidden/>
          </w:rPr>
          <w:tab/>
        </w:r>
        <w:r>
          <w:rPr>
            <w:noProof/>
            <w:webHidden/>
          </w:rPr>
          <w:fldChar w:fldCharType="begin"/>
        </w:r>
        <w:r>
          <w:rPr>
            <w:noProof/>
            <w:webHidden/>
          </w:rPr>
          <w:instrText xml:space="preserve"> PAGEREF _Toc219309763 \h </w:instrText>
        </w:r>
        <w:r>
          <w:rPr>
            <w:noProof/>
            <w:webHidden/>
          </w:rPr>
        </w:r>
        <w:r>
          <w:rPr>
            <w:noProof/>
            <w:webHidden/>
          </w:rPr>
          <w:fldChar w:fldCharType="separate"/>
        </w:r>
        <w:r>
          <w:rPr>
            <w:noProof/>
            <w:webHidden/>
          </w:rPr>
          <w:t>423</w:t>
        </w:r>
        <w:r>
          <w:rPr>
            <w:noProof/>
            <w:webHidden/>
          </w:rPr>
          <w:fldChar w:fldCharType="end"/>
        </w:r>
      </w:hyperlink>
    </w:p>
    <w:p w14:paraId="57A2BAD6"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764" w:history="1">
        <w:r w:rsidRPr="00087766">
          <w:rPr>
            <w:rStyle w:val="af7"/>
            <w:noProof/>
          </w:rPr>
          <w:t>6.17.11.</w:t>
        </w:r>
        <w:r>
          <w:rPr>
            <w:rFonts w:asciiTheme="minorHAnsi" w:eastAsiaTheme="minorEastAsia" w:hAnsiTheme="minorHAnsi" w:cstheme="minorBidi"/>
            <w:iCs w:val="0"/>
            <w:noProof/>
            <w:sz w:val="22"/>
            <w:szCs w:val="22"/>
          </w:rPr>
          <w:tab/>
        </w:r>
        <w:r w:rsidRPr="00087766">
          <w:rPr>
            <w:rStyle w:val="af7"/>
            <w:noProof/>
          </w:rPr>
          <w:t>Описание комплексного типа «tSGNNmPs2»</w:t>
        </w:r>
        <w:r>
          <w:rPr>
            <w:noProof/>
            <w:webHidden/>
          </w:rPr>
          <w:tab/>
        </w:r>
        <w:r>
          <w:rPr>
            <w:noProof/>
            <w:webHidden/>
          </w:rPr>
          <w:fldChar w:fldCharType="begin"/>
        </w:r>
        <w:r>
          <w:rPr>
            <w:noProof/>
            <w:webHidden/>
          </w:rPr>
          <w:instrText xml:space="preserve"> PAGEREF _Toc219309764 \h </w:instrText>
        </w:r>
        <w:r>
          <w:rPr>
            <w:noProof/>
            <w:webHidden/>
          </w:rPr>
        </w:r>
        <w:r>
          <w:rPr>
            <w:noProof/>
            <w:webHidden/>
          </w:rPr>
          <w:fldChar w:fldCharType="separate"/>
        </w:r>
        <w:r>
          <w:rPr>
            <w:noProof/>
            <w:webHidden/>
          </w:rPr>
          <w:t>423</w:t>
        </w:r>
        <w:r>
          <w:rPr>
            <w:noProof/>
            <w:webHidden/>
          </w:rPr>
          <w:fldChar w:fldCharType="end"/>
        </w:r>
      </w:hyperlink>
    </w:p>
    <w:p w14:paraId="18E67E68"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765" w:history="1">
        <w:r w:rsidRPr="00087766">
          <w:rPr>
            <w:rStyle w:val="af7"/>
            <w:noProof/>
          </w:rPr>
          <w:t>6.17.12.</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«tMSC_Psprt»</w:t>
        </w:r>
        <w:r>
          <w:rPr>
            <w:noProof/>
            <w:webHidden/>
          </w:rPr>
          <w:tab/>
        </w:r>
        <w:r>
          <w:rPr>
            <w:noProof/>
            <w:webHidden/>
          </w:rPr>
          <w:fldChar w:fldCharType="begin"/>
        </w:r>
        <w:r>
          <w:rPr>
            <w:noProof/>
            <w:webHidden/>
          </w:rPr>
          <w:instrText xml:space="preserve"> PAGEREF _Toc219309765 \h </w:instrText>
        </w:r>
        <w:r>
          <w:rPr>
            <w:noProof/>
            <w:webHidden/>
          </w:rPr>
        </w:r>
        <w:r>
          <w:rPr>
            <w:noProof/>
            <w:webHidden/>
          </w:rPr>
          <w:fldChar w:fldCharType="separate"/>
        </w:r>
        <w:r>
          <w:rPr>
            <w:noProof/>
            <w:webHidden/>
          </w:rPr>
          <w:t>423</w:t>
        </w:r>
        <w:r>
          <w:rPr>
            <w:noProof/>
            <w:webHidden/>
          </w:rPr>
          <w:fldChar w:fldCharType="end"/>
        </w:r>
      </w:hyperlink>
    </w:p>
    <w:p w14:paraId="5D8C2D60"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766" w:history="1">
        <w:r w:rsidRPr="00087766">
          <w:rPr>
            <w:rStyle w:val="af7"/>
            <w:noProof/>
          </w:rPr>
          <w:t>6.17.13.</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«tMSC_MrkOrFK1»</w:t>
        </w:r>
        <w:r>
          <w:rPr>
            <w:noProof/>
            <w:webHidden/>
          </w:rPr>
          <w:tab/>
        </w:r>
        <w:r>
          <w:rPr>
            <w:noProof/>
            <w:webHidden/>
          </w:rPr>
          <w:fldChar w:fldCharType="begin"/>
        </w:r>
        <w:r>
          <w:rPr>
            <w:noProof/>
            <w:webHidden/>
          </w:rPr>
          <w:instrText xml:space="preserve"> PAGEREF _Toc219309766 \h </w:instrText>
        </w:r>
        <w:r>
          <w:rPr>
            <w:noProof/>
            <w:webHidden/>
          </w:rPr>
        </w:r>
        <w:r>
          <w:rPr>
            <w:noProof/>
            <w:webHidden/>
          </w:rPr>
          <w:fldChar w:fldCharType="separate"/>
        </w:r>
        <w:r>
          <w:rPr>
            <w:noProof/>
            <w:webHidden/>
          </w:rPr>
          <w:t>424</w:t>
        </w:r>
        <w:r>
          <w:rPr>
            <w:noProof/>
            <w:webHidden/>
          </w:rPr>
          <w:fldChar w:fldCharType="end"/>
        </w:r>
      </w:hyperlink>
    </w:p>
    <w:p w14:paraId="65B5B4A8"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767" w:history="1">
        <w:r w:rsidRPr="00087766">
          <w:rPr>
            <w:rStyle w:val="af7"/>
            <w:noProof/>
          </w:rPr>
          <w:t>6.17.14.</w:t>
        </w:r>
        <w:r>
          <w:rPr>
            <w:rFonts w:asciiTheme="minorHAnsi" w:eastAsiaTheme="minorEastAsia" w:hAnsiTheme="minorHAnsi" w:cstheme="minorBidi"/>
            <w:iCs w:val="0"/>
            <w:noProof/>
            <w:sz w:val="22"/>
            <w:szCs w:val="22"/>
          </w:rPr>
          <w:tab/>
        </w:r>
        <w:r w:rsidRPr="00087766">
          <w:rPr>
            <w:rStyle w:val="af7"/>
            <w:noProof/>
          </w:rPr>
          <w:t>Описание комплексного типа «tZSCH1»</w:t>
        </w:r>
        <w:r>
          <w:rPr>
            <w:noProof/>
            <w:webHidden/>
          </w:rPr>
          <w:tab/>
        </w:r>
        <w:r>
          <w:rPr>
            <w:noProof/>
            <w:webHidden/>
          </w:rPr>
          <w:fldChar w:fldCharType="begin"/>
        </w:r>
        <w:r>
          <w:rPr>
            <w:noProof/>
            <w:webHidden/>
          </w:rPr>
          <w:instrText xml:space="preserve"> PAGEREF _Toc219309767 \h </w:instrText>
        </w:r>
        <w:r>
          <w:rPr>
            <w:noProof/>
            <w:webHidden/>
          </w:rPr>
        </w:r>
        <w:r>
          <w:rPr>
            <w:noProof/>
            <w:webHidden/>
          </w:rPr>
          <w:fldChar w:fldCharType="separate"/>
        </w:r>
        <w:r>
          <w:rPr>
            <w:noProof/>
            <w:webHidden/>
          </w:rPr>
          <w:t>425</w:t>
        </w:r>
        <w:r>
          <w:rPr>
            <w:noProof/>
            <w:webHidden/>
          </w:rPr>
          <w:fldChar w:fldCharType="end"/>
        </w:r>
      </w:hyperlink>
    </w:p>
    <w:p w14:paraId="06E089BF"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768" w:history="1">
        <w:r w:rsidRPr="00087766">
          <w:rPr>
            <w:rStyle w:val="af7"/>
            <w:noProof/>
          </w:rPr>
          <w:t>6.17.15.</w:t>
        </w:r>
        <w:r>
          <w:rPr>
            <w:rFonts w:asciiTheme="minorHAnsi" w:eastAsiaTheme="minorEastAsia" w:hAnsiTheme="minorHAnsi" w:cstheme="minorBidi"/>
            <w:iCs w:val="0"/>
            <w:noProof/>
            <w:sz w:val="22"/>
            <w:szCs w:val="22"/>
          </w:rPr>
          <w:tab/>
        </w:r>
        <w:r w:rsidRPr="00087766">
          <w:rPr>
            <w:rStyle w:val="af7"/>
            <w:noProof/>
          </w:rPr>
          <w:t>Описание комплексного типа «tZSCH1_ITEM»</w:t>
        </w:r>
        <w:r>
          <w:rPr>
            <w:noProof/>
            <w:webHidden/>
          </w:rPr>
          <w:tab/>
        </w:r>
        <w:r>
          <w:rPr>
            <w:noProof/>
            <w:webHidden/>
          </w:rPr>
          <w:fldChar w:fldCharType="begin"/>
        </w:r>
        <w:r>
          <w:rPr>
            <w:noProof/>
            <w:webHidden/>
          </w:rPr>
          <w:instrText xml:space="preserve"> PAGEREF _Toc219309768 \h </w:instrText>
        </w:r>
        <w:r>
          <w:rPr>
            <w:noProof/>
            <w:webHidden/>
          </w:rPr>
        </w:r>
        <w:r>
          <w:rPr>
            <w:noProof/>
            <w:webHidden/>
          </w:rPr>
          <w:fldChar w:fldCharType="separate"/>
        </w:r>
        <w:r>
          <w:rPr>
            <w:noProof/>
            <w:webHidden/>
          </w:rPr>
          <w:t>425</w:t>
        </w:r>
        <w:r>
          <w:rPr>
            <w:noProof/>
            <w:webHidden/>
          </w:rPr>
          <w:fldChar w:fldCharType="end"/>
        </w:r>
      </w:hyperlink>
    </w:p>
    <w:p w14:paraId="6F110966"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769" w:history="1">
        <w:r w:rsidRPr="00087766">
          <w:rPr>
            <w:rStyle w:val="af7"/>
            <w:noProof/>
          </w:rPr>
          <w:t>6.17.16.</w:t>
        </w:r>
        <w:r>
          <w:rPr>
            <w:rFonts w:asciiTheme="minorHAnsi" w:eastAsiaTheme="minorEastAsia" w:hAnsiTheme="minorHAnsi" w:cstheme="minorBidi"/>
            <w:iCs w:val="0"/>
            <w:noProof/>
            <w:sz w:val="22"/>
            <w:szCs w:val="22"/>
          </w:rPr>
          <w:tab/>
        </w:r>
        <w:r w:rsidRPr="00087766">
          <w:rPr>
            <w:rStyle w:val="af7"/>
            <w:noProof/>
          </w:rPr>
          <w:t>Описание комплексного типа «tZSCH2»</w:t>
        </w:r>
        <w:r>
          <w:rPr>
            <w:noProof/>
            <w:webHidden/>
          </w:rPr>
          <w:tab/>
        </w:r>
        <w:r>
          <w:rPr>
            <w:noProof/>
            <w:webHidden/>
          </w:rPr>
          <w:fldChar w:fldCharType="begin"/>
        </w:r>
        <w:r>
          <w:rPr>
            <w:noProof/>
            <w:webHidden/>
          </w:rPr>
          <w:instrText xml:space="preserve"> PAGEREF _Toc219309769 \h </w:instrText>
        </w:r>
        <w:r>
          <w:rPr>
            <w:noProof/>
            <w:webHidden/>
          </w:rPr>
        </w:r>
        <w:r>
          <w:rPr>
            <w:noProof/>
            <w:webHidden/>
          </w:rPr>
          <w:fldChar w:fldCharType="separate"/>
        </w:r>
        <w:r>
          <w:rPr>
            <w:noProof/>
            <w:webHidden/>
          </w:rPr>
          <w:t>425</w:t>
        </w:r>
        <w:r>
          <w:rPr>
            <w:noProof/>
            <w:webHidden/>
          </w:rPr>
          <w:fldChar w:fldCharType="end"/>
        </w:r>
      </w:hyperlink>
    </w:p>
    <w:p w14:paraId="7BA283EA"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770" w:history="1">
        <w:r w:rsidRPr="00087766">
          <w:rPr>
            <w:rStyle w:val="af7"/>
            <w:noProof/>
          </w:rPr>
          <w:t>6.17.17.</w:t>
        </w:r>
        <w:r>
          <w:rPr>
            <w:rFonts w:asciiTheme="minorHAnsi" w:eastAsiaTheme="minorEastAsia" w:hAnsiTheme="minorHAnsi" w:cstheme="minorBidi"/>
            <w:iCs w:val="0"/>
            <w:noProof/>
            <w:sz w:val="22"/>
            <w:szCs w:val="22"/>
          </w:rPr>
          <w:tab/>
        </w:r>
        <w:r w:rsidRPr="00087766">
          <w:rPr>
            <w:rStyle w:val="af7"/>
            <w:noProof/>
          </w:rPr>
          <w:t>Описание комплексного типа «tZSCH2_ITEM»</w:t>
        </w:r>
        <w:r>
          <w:rPr>
            <w:noProof/>
            <w:webHidden/>
          </w:rPr>
          <w:tab/>
        </w:r>
        <w:r>
          <w:rPr>
            <w:noProof/>
            <w:webHidden/>
          </w:rPr>
          <w:fldChar w:fldCharType="begin"/>
        </w:r>
        <w:r>
          <w:rPr>
            <w:noProof/>
            <w:webHidden/>
          </w:rPr>
          <w:instrText xml:space="preserve"> PAGEREF _Toc219309770 \h </w:instrText>
        </w:r>
        <w:r>
          <w:rPr>
            <w:noProof/>
            <w:webHidden/>
          </w:rPr>
        </w:r>
        <w:r>
          <w:rPr>
            <w:noProof/>
            <w:webHidden/>
          </w:rPr>
          <w:fldChar w:fldCharType="separate"/>
        </w:r>
        <w:r>
          <w:rPr>
            <w:noProof/>
            <w:webHidden/>
          </w:rPr>
          <w:t>426</w:t>
        </w:r>
        <w:r>
          <w:rPr>
            <w:noProof/>
            <w:webHidden/>
          </w:rPr>
          <w:fldChar w:fldCharType="end"/>
        </w:r>
      </w:hyperlink>
    </w:p>
    <w:p w14:paraId="24AB9D93"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771" w:history="1">
        <w:r w:rsidRPr="00087766">
          <w:rPr>
            <w:rStyle w:val="af7"/>
            <w:noProof/>
          </w:rPr>
          <w:t>6.17.18.</w:t>
        </w:r>
        <w:r>
          <w:rPr>
            <w:rFonts w:asciiTheme="minorHAnsi" w:eastAsiaTheme="minorEastAsia" w:hAnsiTheme="minorHAnsi" w:cstheme="minorBidi"/>
            <w:iCs w:val="0"/>
            <w:noProof/>
            <w:sz w:val="22"/>
            <w:szCs w:val="22"/>
          </w:rPr>
          <w:tab/>
        </w:r>
        <w:r w:rsidRPr="00087766">
          <w:rPr>
            <w:rStyle w:val="af7"/>
            <w:noProof/>
          </w:rPr>
          <w:t>Описание комплексного типа «</w:t>
        </w:r>
        <w:r w:rsidRPr="00087766">
          <w:rPr>
            <w:rStyle w:val="af7"/>
            <w:rFonts w:eastAsiaTheme="minorHAnsi"/>
            <w:noProof/>
          </w:rPr>
          <w:t>tNominalInfo</w:t>
        </w:r>
        <w:r w:rsidRPr="00087766">
          <w:rPr>
            <w:rStyle w:val="af7"/>
            <w:noProof/>
          </w:rPr>
          <w:t>»</w:t>
        </w:r>
        <w:r>
          <w:rPr>
            <w:noProof/>
            <w:webHidden/>
          </w:rPr>
          <w:tab/>
        </w:r>
        <w:r>
          <w:rPr>
            <w:noProof/>
            <w:webHidden/>
          </w:rPr>
          <w:fldChar w:fldCharType="begin"/>
        </w:r>
        <w:r>
          <w:rPr>
            <w:noProof/>
            <w:webHidden/>
          </w:rPr>
          <w:instrText xml:space="preserve"> PAGEREF _Toc219309771 \h </w:instrText>
        </w:r>
        <w:r>
          <w:rPr>
            <w:noProof/>
            <w:webHidden/>
          </w:rPr>
        </w:r>
        <w:r>
          <w:rPr>
            <w:noProof/>
            <w:webHidden/>
          </w:rPr>
          <w:fldChar w:fldCharType="separate"/>
        </w:r>
        <w:r>
          <w:rPr>
            <w:noProof/>
            <w:webHidden/>
          </w:rPr>
          <w:t>427</w:t>
        </w:r>
        <w:r>
          <w:rPr>
            <w:noProof/>
            <w:webHidden/>
          </w:rPr>
          <w:fldChar w:fldCharType="end"/>
        </w:r>
      </w:hyperlink>
    </w:p>
    <w:p w14:paraId="66C8C3BA"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772" w:history="1">
        <w:r w:rsidRPr="00087766">
          <w:rPr>
            <w:rStyle w:val="af7"/>
            <w:noProof/>
          </w:rPr>
          <w:t>6.17.19.</w:t>
        </w:r>
        <w:r>
          <w:rPr>
            <w:rFonts w:asciiTheme="minorHAnsi" w:eastAsiaTheme="minorEastAsia" w:hAnsiTheme="minorHAnsi" w:cstheme="minorBidi"/>
            <w:iCs w:val="0"/>
            <w:noProof/>
            <w:sz w:val="22"/>
            <w:szCs w:val="22"/>
          </w:rPr>
          <w:tab/>
        </w:r>
        <w:r w:rsidRPr="00087766">
          <w:rPr>
            <w:rStyle w:val="af7"/>
            <w:noProof/>
          </w:rPr>
          <w:t>Описание комплексного типа «</w:t>
        </w:r>
        <w:r w:rsidRPr="00087766">
          <w:rPr>
            <w:rStyle w:val="af7"/>
            <w:rFonts w:eastAsiaTheme="minorHAnsi"/>
            <w:noProof/>
          </w:rPr>
          <w:t>tNominalInfo</w:t>
        </w:r>
        <w:r w:rsidRPr="00087766">
          <w:rPr>
            <w:rStyle w:val="af7"/>
            <w:noProof/>
          </w:rPr>
          <w:t>_ITEM»</w:t>
        </w:r>
        <w:r>
          <w:rPr>
            <w:noProof/>
            <w:webHidden/>
          </w:rPr>
          <w:tab/>
        </w:r>
        <w:r>
          <w:rPr>
            <w:noProof/>
            <w:webHidden/>
          </w:rPr>
          <w:fldChar w:fldCharType="begin"/>
        </w:r>
        <w:r>
          <w:rPr>
            <w:noProof/>
            <w:webHidden/>
          </w:rPr>
          <w:instrText xml:space="preserve"> PAGEREF _Toc219309772 \h </w:instrText>
        </w:r>
        <w:r>
          <w:rPr>
            <w:noProof/>
            <w:webHidden/>
          </w:rPr>
        </w:r>
        <w:r>
          <w:rPr>
            <w:noProof/>
            <w:webHidden/>
          </w:rPr>
          <w:fldChar w:fldCharType="separate"/>
        </w:r>
        <w:r>
          <w:rPr>
            <w:noProof/>
            <w:webHidden/>
          </w:rPr>
          <w:t>427</w:t>
        </w:r>
        <w:r>
          <w:rPr>
            <w:noProof/>
            <w:webHidden/>
          </w:rPr>
          <w:fldChar w:fldCharType="end"/>
        </w:r>
      </w:hyperlink>
    </w:p>
    <w:p w14:paraId="3F09A0AB"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773" w:history="1">
        <w:r w:rsidRPr="00087766">
          <w:rPr>
            <w:rStyle w:val="af7"/>
            <w:noProof/>
          </w:rPr>
          <w:t>6.17.20.</w:t>
        </w:r>
        <w:r>
          <w:rPr>
            <w:rFonts w:asciiTheme="minorHAnsi" w:eastAsiaTheme="minorEastAsia" w:hAnsiTheme="minorHAnsi" w:cstheme="minorBidi"/>
            <w:iCs w:val="0"/>
            <w:noProof/>
            <w:sz w:val="22"/>
            <w:szCs w:val="22"/>
          </w:rPr>
          <w:tab/>
        </w:r>
        <w:r w:rsidRPr="00087766">
          <w:rPr>
            <w:rStyle w:val="af7"/>
            <w:noProof/>
          </w:rPr>
          <w:t>Описание комплексного типа «</w:t>
        </w:r>
        <w:r w:rsidRPr="00087766">
          <w:rPr>
            <w:rStyle w:val="af7"/>
            <w:rFonts w:eastAsiaTheme="minorHAnsi"/>
            <w:noProof/>
          </w:rPr>
          <w:t>tNominalInfo_CashKindComplex</w:t>
        </w:r>
        <w:r w:rsidRPr="00087766">
          <w:rPr>
            <w:rStyle w:val="af7"/>
            <w:noProof/>
          </w:rPr>
          <w:t>»</w:t>
        </w:r>
        <w:r>
          <w:rPr>
            <w:noProof/>
            <w:webHidden/>
          </w:rPr>
          <w:tab/>
        </w:r>
        <w:r>
          <w:rPr>
            <w:noProof/>
            <w:webHidden/>
          </w:rPr>
          <w:fldChar w:fldCharType="begin"/>
        </w:r>
        <w:r>
          <w:rPr>
            <w:noProof/>
            <w:webHidden/>
          </w:rPr>
          <w:instrText xml:space="preserve"> PAGEREF _Toc219309773 \h </w:instrText>
        </w:r>
        <w:r>
          <w:rPr>
            <w:noProof/>
            <w:webHidden/>
          </w:rPr>
        </w:r>
        <w:r>
          <w:rPr>
            <w:noProof/>
            <w:webHidden/>
          </w:rPr>
          <w:fldChar w:fldCharType="separate"/>
        </w:r>
        <w:r>
          <w:rPr>
            <w:noProof/>
            <w:webHidden/>
          </w:rPr>
          <w:t>428</w:t>
        </w:r>
        <w:r>
          <w:rPr>
            <w:noProof/>
            <w:webHidden/>
          </w:rPr>
          <w:fldChar w:fldCharType="end"/>
        </w:r>
      </w:hyperlink>
    </w:p>
    <w:p w14:paraId="6F65A1C0"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774" w:history="1">
        <w:r w:rsidRPr="00087766">
          <w:rPr>
            <w:rStyle w:val="af7"/>
            <w:noProof/>
          </w:rPr>
          <w:t>6.17.21.</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«tMSC_SrcTypeComplex6»</w:t>
        </w:r>
        <w:r>
          <w:rPr>
            <w:noProof/>
            <w:webHidden/>
          </w:rPr>
          <w:tab/>
        </w:r>
        <w:r>
          <w:rPr>
            <w:noProof/>
            <w:webHidden/>
          </w:rPr>
          <w:fldChar w:fldCharType="begin"/>
        </w:r>
        <w:r>
          <w:rPr>
            <w:noProof/>
            <w:webHidden/>
          </w:rPr>
          <w:instrText xml:space="preserve"> PAGEREF _Toc219309774 \h </w:instrText>
        </w:r>
        <w:r>
          <w:rPr>
            <w:noProof/>
            <w:webHidden/>
          </w:rPr>
        </w:r>
        <w:r>
          <w:rPr>
            <w:noProof/>
            <w:webHidden/>
          </w:rPr>
          <w:fldChar w:fldCharType="separate"/>
        </w:r>
        <w:r>
          <w:rPr>
            <w:noProof/>
            <w:webHidden/>
          </w:rPr>
          <w:t>428</w:t>
        </w:r>
        <w:r>
          <w:rPr>
            <w:noProof/>
            <w:webHidden/>
          </w:rPr>
          <w:fldChar w:fldCharType="end"/>
        </w:r>
      </w:hyperlink>
    </w:p>
    <w:p w14:paraId="28FB3697"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775" w:history="1">
        <w:r w:rsidRPr="00087766">
          <w:rPr>
            <w:rStyle w:val="af7"/>
            <w:noProof/>
          </w:rPr>
          <w:t>6.17.22.</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«tMSC_KBK10_20_KS»</w:t>
        </w:r>
        <w:r>
          <w:rPr>
            <w:noProof/>
            <w:webHidden/>
          </w:rPr>
          <w:tab/>
        </w:r>
        <w:r>
          <w:rPr>
            <w:noProof/>
            <w:webHidden/>
          </w:rPr>
          <w:fldChar w:fldCharType="begin"/>
        </w:r>
        <w:r>
          <w:rPr>
            <w:noProof/>
            <w:webHidden/>
          </w:rPr>
          <w:instrText xml:space="preserve"> PAGEREF _Toc219309775 \h </w:instrText>
        </w:r>
        <w:r>
          <w:rPr>
            <w:noProof/>
            <w:webHidden/>
          </w:rPr>
        </w:r>
        <w:r>
          <w:rPr>
            <w:noProof/>
            <w:webHidden/>
          </w:rPr>
          <w:fldChar w:fldCharType="separate"/>
        </w:r>
        <w:r>
          <w:rPr>
            <w:noProof/>
            <w:webHidden/>
          </w:rPr>
          <w:t>429</w:t>
        </w:r>
        <w:r>
          <w:rPr>
            <w:noProof/>
            <w:webHidden/>
          </w:rPr>
          <w:fldChar w:fldCharType="end"/>
        </w:r>
      </w:hyperlink>
    </w:p>
    <w:p w14:paraId="486A11CD"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776" w:history="1">
        <w:r w:rsidRPr="00087766">
          <w:rPr>
            <w:rStyle w:val="af7"/>
            <w:noProof/>
          </w:rPr>
          <w:t>6.17.23.</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«tMSC_BKTp10_20Complex»</w:t>
        </w:r>
        <w:r>
          <w:rPr>
            <w:noProof/>
            <w:webHidden/>
          </w:rPr>
          <w:tab/>
        </w:r>
        <w:r>
          <w:rPr>
            <w:noProof/>
            <w:webHidden/>
          </w:rPr>
          <w:fldChar w:fldCharType="begin"/>
        </w:r>
        <w:r>
          <w:rPr>
            <w:noProof/>
            <w:webHidden/>
          </w:rPr>
          <w:instrText xml:space="preserve"> PAGEREF _Toc219309776 \h </w:instrText>
        </w:r>
        <w:r>
          <w:rPr>
            <w:noProof/>
            <w:webHidden/>
          </w:rPr>
        </w:r>
        <w:r>
          <w:rPr>
            <w:noProof/>
            <w:webHidden/>
          </w:rPr>
          <w:fldChar w:fldCharType="separate"/>
        </w:r>
        <w:r>
          <w:rPr>
            <w:noProof/>
            <w:webHidden/>
          </w:rPr>
          <w:t>431</w:t>
        </w:r>
        <w:r>
          <w:rPr>
            <w:noProof/>
            <w:webHidden/>
          </w:rPr>
          <w:fldChar w:fldCharType="end"/>
        </w:r>
      </w:hyperlink>
    </w:p>
    <w:p w14:paraId="2839C23C"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777" w:history="1">
        <w:r w:rsidRPr="00087766">
          <w:rPr>
            <w:rStyle w:val="af7"/>
            <w:noProof/>
          </w:rPr>
          <w:t>6.17.24.</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«tMSC_Infrmtn»</w:t>
        </w:r>
        <w:r>
          <w:rPr>
            <w:noProof/>
            <w:webHidden/>
          </w:rPr>
          <w:tab/>
        </w:r>
        <w:r>
          <w:rPr>
            <w:noProof/>
            <w:webHidden/>
          </w:rPr>
          <w:fldChar w:fldCharType="begin"/>
        </w:r>
        <w:r>
          <w:rPr>
            <w:noProof/>
            <w:webHidden/>
          </w:rPr>
          <w:instrText xml:space="preserve"> PAGEREF _Toc219309777 \h </w:instrText>
        </w:r>
        <w:r>
          <w:rPr>
            <w:noProof/>
            <w:webHidden/>
          </w:rPr>
        </w:r>
        <w:r>
          <w:rPr>
            <w:noProof/>
            <w:webHidden/>
          </w:rPr>
          <w:fldChar w:fldCharType="separate"/>
        </w:r>
        <w:r>
          <w:rPr>
            <w:noProof/>
            <w:webHidden/>
          </w:rPr>
          <w:t>432</w:t>
        </w:r>
        <w:r>
          <w:rPr>
            <w:noProof/>
            <w:webHidden/>
          </w:rPr>
          <w:fldChar w:fldCharType="end"/>
        </w:r>
      </w:hyperlink>
    </w:p>
    <w:p w14:paraId="4ADD4CB1"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778" w:history="1">
        <w:r w:rsidRPr="00087766">
          <w:rPr>
            <w:rStyle w:val="af7"/>
            <w:noProof/>
          </w:rPr>
          <w:t>6.17.25.</w:t>
        </w:r>
        <w:r>
          <w:rPr>
            <w:rFonts w:asciiTheme="minorHAnsi" w:eastAsiaTheme="minorEastAsia" w:hAnsiTheme="minorHAnsi" w:cstheme="minorBidi"/>
            <w:iCs w:val="0"/>
            <w:noProof/>
            <w:sz w:val="22"/>
            <w:szCs w:val="22"/>
          </w:rPr>
          <w:tab/>
        </w:r>
        <w:r w:rsidRPr="00087766">
          <w:rPr>
            <w:rStyle w:val="af7"/>
            <w:noProof/>
          </w:rPr>
          <w:t>Пример XML</w:t>
        </w:r>
        <w:r>
          <w:rPr>
            <w:noProof/>
            <w:webHidden/>
          </w:rPr>
          <w:tab/>
        </w:r>
        <w:r>
          <w:rPr>
            <w:noProof/>
            <w:webHidden/>
          </w:rPr>
          <w:fldChar w:fldCharType="begin"/>
        </w:r>
        <w:r>
          <w:rPr>
            <w:noProof/>
            <w:webHidden/>
          </w:rPr>
          <w:instrText xml:space="preserve"> PAGEREF _Toc219309778 \h </w:instrText>
        </w:r>
        <w:r>
          <w:rPr>
            <w:noProof/>
            <w:webHidden/>
          </w:rPr>
        </w:r>
        <w:r>
          <w:rPr>
            <w:noProof/>
            <w:webHidden/>
          </w:rPr>
          <w:fldChar w:fldCharType="separate"/>
        </w:r>
        <w:r>
          <w:rPr>
            <w:noProof/>
            <w:webHidden/>
          </w:rPr>
          <w:t>432</w:t>
        </w:r>
        <w:r>
          <w:rPr>
            <w:noProof/>
            <w:webHidden/>
          </w:rPr>
          <w:fldChar w:fldCharType="end"/>
        </w:r>
      </w:hyperlink>
    </w:p>
    <w:p w14:paraId="26D3F46D" w14:textId="77777777" w:rsidR="008D797C" w:rsidRDefault="008D797C">
      <w:pPr>
        <w:pStyle w:val="2a"/>
        <w:tabs>
          <w:tab w:val="left" w:pos="960"/>
          <w:tab w:val="right" w:leader="dot" w:pos="9628"/>
        </w:tabs>
        <w:rPr>
          <w:rFonts w:asciiTheme="minorHAnsi" w:eastAsiaTheme="minorEastAsia" w:hAnsiTheme="minorHAnsi" w:cstheme="minorBidi"/>
          <w:noProof/>
          <w:sz w:val="22"/>
          <w:szCs w:val="22"/>
        </w:rPr>
      </w:pPr>
      <w:hyperlink w:anchor="_Toc219309779" w:history="1">
        <w:r w:rsidRPr="00087766">
          <w:rPr>
            <w:rStyle w:val="af7"/>
            <w:noProof/>
          </w:rPr>
          <w:t>6.18.</w:t>
        </w:r>
        <w:r>
          <w:rPr>
            <w:rFonts w:asciiTheme="minorHAnsi" w:eastAsiaTheme="minorEastAsia" w:hAnsiTheme="minorHAnsi" w:cstheme="minorBidi"/>
            <w:noProof/>
            <w:sz w:val="22"/>
            <w:szCs w:val="22"/>
          </w:rPr>
          <w:tab/>
        </w:r>
        <w:r w:rsidRPr="00087766">
          <w:rPr>
            <w:rStyle w:val="af7"/>
            <w:noProof/>
          </w:rPr>
          <w:t>Описание документа «</w:t>
        </w:r>
        <w:r w:rsidRPr="00087766">
          <w:rPr>
            <w:rStyle w:val="af7"/>
            <w:rFonts w:eastAsia="Calibri"/>
            <w:noProof/>
            <w:lang w:eastAsia="en-US"/>
          </w:rPr>
          <w:t>Сообщение для передачи акта</w:t>
        </w:r>
        <w:r w:rsidRPr="00087766">
          <w:rPr>
            <w:rStyle w:val="af7"/>
            <w:noProof/>
          </w:rPr>
          <w:t>»</w:t>
        </w:r>
        <w:r>
          <w:rPr>
            <w:noProof/>
            <w:webHidden/>
          </w:rPr>
          <w:tab/>
        </w:r>
        <w:r>
          <w:rPr>
            <w:noProof/>
            <w:webHidden/>
          </w:rPr>
          <w:fldChar w:fldCharType="begin"/>
        </w:r>
        <w:r>
          <w:rPr>
            <w:noProof/>
            <w:webHidden/>
          </w:rPr>
          <w:instrText xml:space="preserve"> PAGEREF _Toc219309779 \h </w:instrText>
        </w:r>
        <w:r>
          <w:rPr>
            <w:noProof/>
            <w:webHidden/>
          </w:rPr>
        </w:r>
        <w:r>
          <w:rPr>
            <w:noProof/>
            <w:webHidden/>
          </w:rPr>
          <w:fldChar w:fldCharType="separate"/>
        </w:r>
        <w:r>
          <w:rPr>
            <w:noProof/>
            <w:webHidden/>
          </w:rPr>
          <w:t>437</w:t>
        </w:r>
        <w:r>
          <w:rPr>
            <w:noProof/>
            <w:webHidden/>
          </w:rPr>
          <w:fldChar w:fldCharType="end"/>
        </w:r>
      </w:hyperlink>
    </w:p>
    <w:p w14:paraId="2C54B012"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80" w:history="1">
        <w:r w:rsidRPr="00087766">
          <w:rPr>
            <w:rStyle w:val="af7"/>
            <w:noProof/>
          </w:rPr>
          <w:t>6.18.1.</w:t>
        </w:r>
        <w:r>
          <w:rPr>
            <w:rFonts w:asciiTheme="minorHAnsi" w:eastAsiaTheme="minorEastAsia" w:hAnsiTheme="minorHAnsi" w:cstheme="minorBidi"/>
            <w:iCs w:val="0"/>
            <w:noProof/>
            <w:sz w:val="22"/>
            <w:szCs w:val="22"/>
          </w:rPr>
          <w:tab/>
        </w:r>
        <w:r w:rsidRPr="00087766">
          <w:rPr>
            <w:rStyle w:val="af7"/>
            <w:noProof/>
          </w:rPr>
          <w:t>Назначение документа</w:t>
        </w:r>
        <w:r>
          <w:rPr>
            <w:noProof/>
            <w:webHidden/>
          </w:rPr>
          <w:tab/>
        </w:r>
        <w:r>
          <w:rPr>
            <w:noProof/>
            <w:webHidden/>
          </w:rPr>
          <w:fldChar w:fldCharType="begin"/>
        </w:r>
        <w:r>
          <w:rPr>
            <w:noProof/>
            <w:webHidden/>
          </w:rPr>
          <w:instrText xml:space="preserve"> PAGEREF _Toc219309780 \h </w:instrText>
        </w:r>
        <w:r>
          <w:rPr>
            <w:noProof/>
            <w:webHidden/>
          </w:rPr>
        </w:r>
        <w:r>
          <w:rPr>
            <w:noProof/>
            <w:webHidden/>
          </w:rPr>
          <w:fldChar w:fldCharType="separate"/>
        </w:r>
        <w:r>
          <w:rPr>
            <w:noProof/>
            <w:webHidden/>
          </w:rPr>
          <w:t>437</w:t>
        </w:r>
        <w:r>
          <w:rPr>
            <w:noProof/>
            <w:webHidden/>
          </w:rPr>
          <w:fldChar w:fldCharType="end"/>
        </w:r>
      </w:hyperlink>
    </w:p>
    <w:p w14:paraId="47F37E67"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81" w:history="1">
        <w:r w:rsidRPr="00087766">
          <w:rPr>
            <w:rStyle w:val="af7"/>
            <w:noProof/>
          </w:rPr>
          <w:t>6.18.2.</w:t>
        </w:r>
        <w:r>
          <w:rPr>
            <w:rFonts w:asciiTheme="minorHAnsi" w:eastAsiaTheme="minorEastAsia" w:hAnsiTheme="minorHAnsi" w:cstheme="minorBidi"/>
            <w:iCs w:val="0"/>
            <w:noProof/>
            <w:sz w:val="22"/>
            <w:szCs w:val="22"/>
          </w:rPr>
          <w:tab/>
        </w:r>
        <w:r w:rsidRPr="00087766">
          <w:rPr>
            <w:rStyle w:val="af7"/>
            <w:noProof/>
          </w:rPr>
          <w:t>Описание блока «PeriodicReport»</w:t>
        </w:r>
        <w:r>
          <w:rPr>
            <w:noProof/>
            <w:webHidden/>
          </w:rPr>
          <w:tab/>
        </w:r>
        <w:r>
          <w:rPr>
            <w:noProof/>
            <w:webHidden/>
          </w:rPr>
          <w:fldChar w:fldCharType="begin"/>
        </w:r>
        <w:r>
          <w:rPr>
            <w:noProof/>
            <w:webHidden/>
          </w:rPr>
          <w:instrText xml:space="preserve"> PAGEREF _Toc219309781 \h </w:instrText>
        </w:r>
        <w:r>
          <w:rPr>
            <w:noProof/>
            <w:webHidden/>
          </w:rPr>
        </w:r>
        <w:r>
          <w:rPr>
            <w:noProof/>
            <w:webHidden/>
          </w:rPr>
          <w:fldChar w:fldCharType="separate"/>
        </w:r>
        <w:r>
          <w:rPr>
            <w:noProof/>
            <w:webHidden/>
          </w:rPr>
          <w:t>437</w:t>
        </w:r>
        <w:r>
          <w:rPr>
            <w:noProof/>
            <w:webHidden/>
          </w:rPr>
          <w:fldChar w:fldCharType="end"/>
        </w:r>
      </w:hyperlink>
    </w:p>
    <w:p w14:paraId="6345036B"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82" w:history="1">
        <w:r w:rsidRPr="00087766">
          <w:rPr>
            <w:rStyle w:val="af7"/>
            <w:noProof/>
          </w:rPr>
          <w:t>6.18.3.</w:t>
        </w:r>
        <w:r>
          <w:rPr>
            <w:rFonts w:asciiTheme="minorHAnsi" w:eastAsiaTheme="minorEastAsia" w:hAnsiTheme="minorHAnsi" w:cstheme="minorBidi"/>
            <w:iCs w:val="0"/>
            <w:noProof/>
            <w:sz w:val="22"/>
            <w:szCs w:val="22"/>
          </w:rPr>
          <w:tab/>
        </w:r>
        <w:r w:rsidRPr="00087766">
          <w:rPr>
            <w:rStyle w:val="af7"/>
            <w:noProof/>
          </w:rPr>
          <w:t>Описание блока «Header»</w:t>
        </w:r>
        <w:r>
          <w:rPr>
            <w:noProof/>
            <w:webHidden/>
          </w:rPr>
          <w:tab/>
        </w:r>
        <w:r>
          <w:rPr>
            <w:noProof/>
            <w:webHidden/>
          </w:rPr>
          <w:fldChar w:fldCharType="begin"/>
        </w:r>
        <w:r>
          <w:rPr>
            <w:noProof/>
            <w:webHidden/>
          </w:rPr>
          <w:instrText xml:space="preserve"> PAGEREF _Toc219309782 \h </w:instrText>
        </w:r>
        <w:r>
          <w:rPr>
            <w:noProof/>
            <w:webHidden/>
          </w:rPr>
        </w:r>
        <w:r>
          <w:rPr>
            <w:noProof/>
            <w:webHidden/>
          </w:rPr>
          <w:fldChar w:fldCharType="separate"/>
        </w:r>
        <w:r>
          <w:rPr>
            <w:noProof/>
            <w:webHidden/>
          </w:rPr>
          <w:t>438</w:t>
        </w:r>
        <w:r>
          <w:rPr>
            <w:noProof/>
            <w:webHidden/>
          </w:rPr>
          <w:fldChar w:fldCharType="end"/>
        </w:r>
      </w:hyperlink>
    </w:p>
    <w:p w14:paraId="69A0FD14"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83" w:history="1">
        <w:r w:rsidRPr="00087766">
          <w:rPr>
            <w:rStyle w:val="af7"/>
            <w:noProof/>
          </w:rPr>
          <w:t>6.18.4.</w:t>
        </w:r>
        <w:r>
          <w:rPr>
            <w:rFonts w:asciiTheme="minorHAnsi" w:eastAsiaTheme="minorEastAsia" w:hAnsiTheme="minorHAnsi" w:cstheme="minorBidi"/>
            <w:iCs w:val="0"/>
            <w:noProof/>
            <w:sz w:val="22"/>
            <w:szCs w:val="22"/>
          </w:rPr>
          <w:tab/>
        </w:r>
        <w:r w:rsidRPr="00087766">
          <w:rPr>
            <w:rStyle w:val="af7"/>
            <w:noProof/>
          </w:rPr>
          <w:t>Описание блока «commonAttrs»</w:t>
        </w:r>
        <w:r>
          <w:rPr>
            <w:noProof/>
            <w:webHidden/>
          </w:rPr>
          <w:tab/>
        </w:r>
        <w:r>
          <w:rPr>
            <w:noProof/>
            <w:webHidden/>
          </w:rPr>
          <w:fldChar w:fldCharType="begin"/>
        </w:r>
        <w:r>
          <w:rPr>
            <w:noProof/>
            <w:webHidden/>
          </w:rPr>
          <w:instrText xml:space="preserve"> PAGEREF _Toc219309783 \h </w:instrText>
        </w:r>
        <w:r>
          <w:rPr>
            <w:noProof/>
            <w:webHidden/>
          </w:rPr>
        </w:r>
        <w:r>
          <w:rPr>
            <w:noProof/>
            <w:webHidden/>
          </w:rPr>
          <w:fldChar w:fldCharType="separate"/>
        </w:r>
        <w:r>
          <w:rPr>
            <w:noProof/>
            <w:webHidden/>
          </w:rPr>
          <w:t>441</w:t>
        </w:r>
        <w:r>
          <w:rPr>
            <w:noProof/>
            <w:webHidden/>
          </w:rPr>
          <w:fldChar w:fldCharType="end"/>
        </w:r>
      </w:hyperlink>
    </w:p>
    <w:p w14:paraId="6019E6F8"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84" w:history="1">
        <w:r w:rsidRPr="00087766">
          <w:rPr>
            <w:rStyle w:val="af7"/>
            <w:noProof/>
          </w:rPr>
          <w:t>6.18.5.</w:t>
        </w:r>
        <w:r>
          <w:rPr>
            <w:rFonts w:asciiTheme="minorHAnsi" w:eastAsiaTheme="minorEastAsia" w:hAnsiTheme="minorHAnsi" w:cstheme="minorBidi"/>
            <w:iCs w:val="0"/>
            <w:noProof/>
            <w:sz w:val="22"/>
            <w:szCs w:val="22"/>
          </w:rPr>
          <w:tab/>
        </w:r>
        <w:r w:rsidRPr="00087766">
          <w:rPr>
            <w:rStyle w:val="af7"/>
            <w:noProof/>
          </w:rPr>
          <w:t>Описание блока «Line»</w:t>
        </w:r>
        <w:r>
          <w:rPr>
            <w:noProof/>
            <w:webHidden/>
          </w:rPr>
          <w:tab/>
        </w:r>
        <w:r>
          <w:rPr>
            <w:noProof/>
            <w:webHidden/>
          </w:rPr>
          <w:fldChar w:fldCharType="begin"/>
        </w:r>
        <w:r>
          <w:rPr>
            <w:noProof/>
            <w:webHidden/>
          </w:rPr>
          <w:instrText xml:space="preserve"> PAGEREF _Toc219309784 \h </w:instrText>
        </w:r>
        <w:r>
          <w:rPr>
            <w:noProof/>
            <w:webHidden/>
          </w:rPr>
        </w:r>
        <w:r>
          <w:rPr>
            <w:noProof/>
            <w:webHidden/>
          </w:rPr>
          <w:fldChar w:fldCharType="separate"/>
        </w:r>
        <w:r>
          <w:rPr>
            <w:noProof/>
            <w:webHidden/>
          </w:rPr>
          <w:t>442</w:t>
        </w:r>
        <w:r>
          <w:rPr>
            <w:noProof/>
            <w:webHidden/>
          </w:rPr>
          <w:fldChar w:fldCharType="end"/>
        </w:r>
      </w:hyperlink>
    </w:p>
    <w:p w14:paraId="5CBE97DA"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85" w:history="1">
        <w:r w:rsidRPr="00087766">
          <w:rPr>
            <w:rStyle w:val="af7"/>
            <w:noProof/>
          </w:rPr>
          <w:t>6.18.6.</w:t>
        </w:r>
        <w:r>
          <w:rPr>
            <w:rFonts w:asciiTheme="minorHAnsi" w:eastAsiaTheme="minorEastAsia" w:hAnsiTheme="minorHAnsi" w:cstheme="minorBidi"/>
            <w:iCs w:val="0"/>
            <w:noProof/>
            <w:sz w:val="22"/>
            <w:szCs w:val="22"/>
          </w:rPr>
          <w:tab/>
        </w:r>
        <w:r w:rsidRPr="00087766">
          <w:rPr>
            <w:rStyle w:val="af7"/>
            <w:noProof/>
          </w:rPr>
          <w:t>Назначение и маршрут документа «</w:t>
        </w:r>
        <w:r w:rsidRPr="00087766">
          <w:rPr>
            <w:rStyle w:val="af7"/>
            <w:rFonts w:eastAsia="Calibri"/>
            <w:noProof/>
            <w:lang w:eastAsia="en-US"/>
          </w:rPr>
          <w:t>Акт приемки-передачи кассовых выплат, поступлений и обязательств при реорганизации участников бюджетного процесса» (ф. 0531728)</w:t>
        </w:r>
        <w:r>
          <w:rPr>
            <w:noProof/>
            <w:webHidden/>
          </w:rPr>
          <w:tab/>
        </w:r>
        <w:r>
          <w:rPr>
            <w:noProof/>
            <w:webHidden/>
          </w:rPr>
          <w:fldChar w:fldCharType="begin"/>
        </w:r>
        <w:r>
          <w:rPr>
            <w:noProof/>
            <w:webHidden/>
          </w:rPr>
          <w:instrText xml:space="preserve"> PAGEREF _Toc219309785 \h </w:instrText>
        </w:r>
        <w:r>
          <w:rPr>
            <w:noProof/>
            <w:webHidden/>
          </w:rPr>
        </w:r>
        <w:r>
          <w:rPr>
            <w:noProof/>
            <w:webHidden/>
          </w:rPr>
          <w:fldChar w:fldCharType="separate"/>
        </w:r>
        <w:r>
          <w:rPr>
            <w:noProof/>
            <w:webHidden/>
          </w:rPr>
          <w:t>444</w:t>
        </w:r>
        <w:r>
          <w:rPr>
            <w:noProof/>
            <w:webHidden/>
          </w:rPr>
          <w:fldChar w:fldCharType="end"/>
        </w:r>
      </w:hyperlink>
    </w:p>
    <w:p w14:paraId="16D46548"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86" w:history="1">
        <w:r w:rsidRPr="00087766">
          <w:rPr>
            <w:rStyle w:val="af7"/>
            <w:noProof/>
          </w:rPr>
          <w:t>6.18.7.</w:t>
        </w:r>
        <w:r>
          <w:rPr>
            <w:rFonts w:asciiTheme="minorHAnsi" w:eastAsiaTheme="minorEastAsia" w:hAnsiTheme="minorHAnsi" w:cstheme="minorBidi"/>
            <w:iCs w:val="0"/>
            <w:noProof/>
            <w:sz w:val="22"/>
            <w:szCs w:val="22"/>
          </w:rPr>
          <w:tab/>
        </w:r>
        <w:r w:rsidRPr="00087766">
          <w:rPr>
            <w:rStyle w:val="af7"/>
            <w:noProof/>
          </w:rPr>
          <w:t>Структура электронного документа «Акт приемки-передачи кассовых выплат, поступлений и обязательств при реорганизации участников бюджетного процесса» (ф. 0531728)</w:t>
        </w:r>
        <w:r>
          <w:rPr>
            <w:noProof/>
            <w:webHidden/>
          </w:rPr>
          <w:tab/>
        </w:r>
        <w:r>
          <w:rPr>
            <w:noProof/>
            <w:webHidden/>
          </w:rPr>
          <w:fldChar w:fldCharType="begin"/>
        </w:r>
        <w:r>
          <w:rPr>
            <w:noProof/>
            <w:webHidden/>
          </w:rPr>
          <w:instrText xml:space="preserve"> PAGEREF _Toc219309786 \h </w:instrText>
        </w:r>
        <w:r>
          <w:rPr>
            <w:noProof/>
            <w:webHidden/>
          </w:rPr>
        </w:r>
        <w:r>
          <w:rPr>
            <w:noProof/>
            <w:webHidden/>
          </w:rPr>
          <w:fldChar w:fldCharType="separate"/>
        </w:r>
        <w:r>
          <w:rPr>
            <w:noProof/>
            <w:webHidden/>
          </w:rPr>
          <w:t>444</w:t>
        </w:r>
        <w:r>
          <w:rPr>
            <w:noProof/>
            <w:webHidden/>
          </w:rPr>
          <w:fldChar w:fldCharType="end"/>
        </w:r>
      </w:hyperlink>
    </w:p>
    <w:p w14:paraId="6D3E41E3"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87" w:history="1">
        <w:r w:rsidRPr="00087766">
          <w:rPr>
            <w:rStyle w:val="af7"/>
            <w:noProof/>
          </w:rPr>
          <w:t>6.18.8.</w:t>
        </w:r>
        <w:r>
          <w:rPr>
            <w:rFonts w:asciiTheme="minorHAnsi" w:eastAsiaTheme="minorEastAsia" w:hAnsiTheme="minorHAnsi" w:cstheme="minorBidi"/>
            <w:iCs w:val="0"/>
            <w:noProof/>
            <w:sz w:val="22"/>
            <w:szCs w:val="22"/>
          </w:rPr>
          <w:tab/>
        </w:r>
        <w:r w:rsidRPr="00087766">
          <w:rPr>
            <w:rStyle w:val="af7"/>
            <w:noProof/>
          </w:rPr>
          <w:t>Пример XML</w:t>
        </w:r>
        <w:r>
          <w:rPr>
            <w:noProof/>
            <w:webHidden/>
          </w:rPr>
          <w:tab/>
        </w:r>
        <w:r>
          <w:rPr>
            <w:noProof/>
            <w:webHidden/>
          </w:rPr>
          <w:fldChar w:fldCharType="begin"/>
        </w:r>
        <w:r>
          <w:rPr>
            <w:noProof/>
            <w:webHidden/>
          </w:rPr>
          <w:instrText xml:space="preserve"> PAGEREF _Toc219309787 \h </w:instrText>
        </w:r>
        <w:r>
          <w:rPr>
            <w:noProof/>
            <w:webHidden/>
          </w:rPr>
        </w:r>
        <w:r>
          <w:rPr>
            <w:noProof/>
            <w:webHidden/>
          </w:rPr>
          <w:fldChar w:fldCharType="separate"/>
        </w:r>
        <w:r>
          <w:rPr>
            <w:noProof/>
            <w:webHidden/>
          </w:rPr>
          <w:t>459</w:t>
        </w:r>
        <w:r>
          <w:rPr>
            <w:noProof/>
            <w:webHidden/>
          </w:rPr>
          <w:fldChar w:fldCharType="end"/>
        </w:r>
      </w:hyperlink>
    </w:p>
    <w:p w14:paraId="08728D4A" w14:textId="77777777" w:rsidR="008D797C" w:rsidRDefault="008D797C">
      <w:pPr>
        <w:pStyle w:val="2a"/>
        <w:tabs>
          <w:tab w:val="left" w:pos="960"/>
          <w:tab w:val="right" w:leader="dot" w:pos="9628"/>
        </w:tabs>
        <w:rPr>
          <w:rFonts w:asciiTheme="minorHAnsi" w:eastAsiaTheme="minorEastAsia" w:hAnsiTheme="minorHAnsi" w:cstheme="minorBidi"/>
          <w:noProof/>
          <w:sz w:val="22"/>
          <w:szCs w:val="22"/>
        </w:rPr>
      </w:pPr>
      <w:hyperlink w:anchor="_Toc219309788" w:history="1">
        <w:r w:rsidRPr="00087766">
          <w:rPr>
            <w:rStyle w:val="af7"/>
            <w:noProof/>
          </w:rPr>
          <w:t>6.19.</w:t>
        </w:r>
        <w:r>
          <w:rPr>
            <w:rFonts w:asciiTheme="minorHAnsi" w:eastAsiaTheme="minorEastAsia" w:hAnsiTheme="minorHAnsi" w:cstheme="minorBidi"/>
            <w:noProof/>
            <w:sz w:val="22"/>
            <w:szCs w:val="22"/>
          </w:rPr>
          <w:tab/>
        </w:r>
        <w:r w:rsidRPr="00087766">
          <w:rPr>
            <w:rStyle w:val="af7"/>
            <w:noProof/>
          </w:rPr>
          <w:t>Описание документа «Пакет платежных поручений»</w:t>
        </w:r>
        <w:r>
          <w:rPr>
            <w:noProof/>
            <w:webHidden/>
          </w:rPr>
          <w:tab/>
        </w:r>
        <w:r>
          <w:rPr>
            <w:noProof/>
            <w:webHidden/>
          </w:rPr>
          <w:fldChar w:fldCharType="begin"/>
        </w:r>
        <w:r>
          <w:rPr>
            <w:noProof/>
            <w:webHidden/>
          </w:rPr>
          <w:instrText xml:space="preserve"> PAGEREF _Toc219309788 \h </w:instrText>
        </w:r>
        <w:r>
          <w:rPr>
            <w:noProof/>
            <w:webHidden/>
          </w:rPr>
        </w:r>
        <w:r>
          <w:rPr>
            <w:noProof/>
            <w:webHidden/>
          </w:rPr>
          <w:fldChar w:fldCharType="separate"/>
        </w:r>
        <w:r>
          <w:rPr>
            <w:noProof/>
            <w:webHidden/>
          </w:rPr>
          <w:t>467</w:t>
        </w:r>
        <w:r>
          <w:rPr>
            <w:noProof/>
            <w:webHidden/>
          </w:rPr>
          <w:fldChar w:fldCharType="end"/>
        </w:r>
      </w:hyperlink>
    </w:p>
    <w:p w14:paraId="2DA3120C"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89" w:history="1">
        <w:r w:rsidRPr="00087766">
          <w:rPr>
            <w:rStyle w:val="af7"/>
            <w:noProof/>
          </w:rPr>
          <w:t>6.19.1.</w:t>
        </w:r>
        <w:r>
          <w:rPr>
            <w:rFonts w:asciiTheme="minorHAnsi" w:eastAsiaTheme="minorEastAsia" w:hAnsiTheme="minorHAnsi" w:cstheme="minorBidi"/>
            <w:iCs w:val="0"/>
            <w:noProof/>
            <w:sz w:val="22"/>
            <w:szCs w:val="22"/>
          </w:rPr>
          <w:tab/>
        </w:r>
        <w:r w:rsidRPr="00087766">
          <w:rPr>
            <w:rStyle w:val="af7"/>
            <w:noProof/>
          </w:rPr>
          <w:t>Назначение и маршрут документа</w:t>
        </w:r>
        <w:r>
          <w:rPr>
            <w:noProof/>
            <w:webHidden/>
          </w:rPr>
          <w:tab/>
        </w:r>
        <w:r>
          <w:rPr>
            <w:noProof/>
            <w:webHidden/>
          </w:rPr>
          <w:fldChar w:fldCharType="begin"/>
        </w:r>
        <w:r>
          <w:rPr>
            <w:noProof/>
            <w:webHidden/>
          </w:rPr>
          <w:instrText xml:space="preserve"> PAGEREF _Toc219309789 \h </w:instrText>
        </w:r>
        <w:r>
          <w:rPr>
            <w:noProof/>
            <w:webHidden/>
          </w:rPr>
        </w:r>
        <w:r>
          <w:rPr>
            <w:noProof/>
            <w:webHidden/>
          </w:rPr>
          <w:fldChar w:fldCharType="separate"/>
        </w:r>
        <w:r>
          <w:rPr>
            <w:noProof/>
            <w:webHidden/>
          </w:rPr>
          <w:t>467</w:t>
        </w:r>
        <w:r>
          <w:rPr>
            <w:noProof/>
            <w:webHidden/>
          </w:rPr>
          <w:fldChar w:fldCharType="end"/>
        </w:r>
      </w:hyperlink>
    </w:p>
    <w:p w14:paraId="63F818BE"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90" w:history="1">
        <w:r w:rsidRPr="00087766">
          <w:rPr>
            <w:rStyle w:val="af7"/>
            <w:noProof/>
          </w:rPr>
          <w:t>6.19.2.</w:t>
        </w:r>
        <w:r>
          <w:rPr>
            <w:rFonts w:asciiTheme="minorHAnsi" w:eastAsiaTheme="minorEastAsia" w:hAnsiTheme="minorHAnsi" w:cstheme="minorBidi"/>
            <w:iCs w:val="0"/>
            <w:noProof/>
            <w:sz w:val="22"/>
            <w:szCs w:val="22"/>
          </w:rPr>
          <w:tab/>
        </w:r>
        <w:r w:rsidRPr="00087766">
          <w:rPr>
            <w:rStyle w:val="af7"/>
            <w:noProof/>
          </w:rPr>
          <w:t>Описание комплексного типа «tPaymOrder_PPP»</w:t>
        </w:r>
        <w:r>
          <w:rPr>
            <w:noProof/>
            <w:webHidden/>
          </w:rPr>
          <w:tab/>
        </w:r>
        <w:r>
          <w:rPr>
            <w:noProof/>
            <w:webHidden/>
          </w:rPr>
          <w:fldChar w:fldCharType="begin"/>
        </w:r>
        <w:r>
          <w:rPr>
            <w:noProof/>
            <w:webHidden/>
          </w:rPr>
          <w:instrText xml:space="preserve"> PAGEREF _Toc219309790 \h </w:instrText>
        </w:r>
        <w:r>
          <w:rPr>
            <w:noProof/>
            <w:webHidden/>
          </w:rPr>
        </w:r>
        <w:r>
          <w:rPr>
            <w:noProof/>
            <w:webHidden/>
          </w:rPr>
          <w:fldChar w:fldCharType="separate"/>
        </w:r>
        <w:r>
          <w:rPr>
            <w:noProof/>
            <w:webHidden/>
          </w:rPr>
          <w:t>468</w:t>
        </w:r>
        <w:r>
          <w:rPr>
            <w:noProof/>
            <w:webHidden/>
          </w:rPr>
          <w:fldChar w:fldCharType="end"/>
        </w:r>
      </w:hyperlink>
    </w:p>
    <w:p w14:paraId="3FDA2EAE"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91" w:history="1">
        <w:r w:rsidRPr="00087766">
          <w:rPr>
            <w:rStyle w:val="af7"/>
            <w:noProof/>
          </w:rPr>
          <w:t>6.19.3.</w:t>
        </w:r>
        <w:r>
          <w:rPr>
            <w:rFonts w:asciiTheme="minorHAnsi" w:eastAsiaTheme="minorEastAsia" w:hAnsiTheme="minorHAnsi" w:cstheme="minorBidi"/>
            <w:iCs w:val="0"/>
            <w:noProof/>
            <w:sz w:val="22"/>
            <w:szCs w:val="22"/>
          </w:rPr>
          <w:tab/>
        </w:r>
        <w:r w:rsidRPr="00087766">
          <w:rPr>
            <w:rStyle w:val="af7"/>
            <w:noProof/>
          </w:rPr>
          <w:t>Описание комплексного типа «tBudgetLevel»</w:t>
        </w:r>
        <w:r>
          <w:rPr>
            <w:noProof/>
            <w:webHidden/>
          </w:rPr>
          <w:tab/>
        </w:r>
        <w:r>
          <w:rPr>
            <w:noProof/>
            <w:webHidden/>
          </w:rPr>
          <w:fldChar w:fldCharType="begin"/>
        </w:r>
        <w:r>
          <w:rPr>
            <w:noProof/>
            <w:webHidden/>
          </w:rPr>
          <w:instrText xml:space="preserve"> PAGEREF _Toc219309791 \h </w:instrText>
        </w:r>
        <w:r>
          <w:rPr>
            <w:noProof/>
            <w:webHidden/>
          </w:rPr>
        </w:r>
        <w:r>
          <w:rPr>
            <w:noProof/>
            <w:webHidden/>
          </w:rPr>
          <w:fldChar w:fldCharType="separate"/>
        </w:r>
        <w:r>
          <w:rPr>
            <w:noProof/>
            <w:webHidden/>
          </w:rPr>
          <w:t>469</w:t>
        </w:r>
        <w:r>
          <w:rPr>
            <w:noProof/>
            <w:webHidden/>
          </w:rPr>
          <w:fldChar w:fldCharType="end"/>
        </w:r>
      </w:hyperlink>
    </w:p>
    <w:p w14:paraId="303D9424"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92" w:history="1">
        <w:r w:rsidRPr="00087766">
          <w:rPr>
            <w:rStyle w:val="af7"/>
            <w:noProof/>
          </w:rPr>
          <w:t>6.19.4.</w:t>
        </w:r>
        <w:r>
          <w:rPr>
            <w:rFonts w:asciiTheme="minorHAnsi" w:eastAsiaTheme="minorEastAsia" w:hAnsiTheme="minorHAnsi" w:cstheme="minorBidi"/>
            <w:iCs w:val="0"/>
            <w:noProof/>
            <w:sz w:val="22"/>
            <w:szCs w:val="22"/>
          </w:rPr>
          <w:tab/>
        </w:r>
        <w:r w:rsidRPr="00087766">
          <w:rPr>
            <w:rStyle w:val="af7"/>
            <w:noProof/>
          </w:rPr>
          <w:t>Описание комплексного типа «tSGN»</w:t>
        </w:r>
        <w:r>
          <w:rPr>
            <w:noProof/>
            <w:webHidden/>
          </w:rPr>
          <w:tab/>
        </w:r>
        <w:r>
          <w:rPr>
            <w:noProof/>
            <w:webHidden/>
          </w:rPr>
          <w:fldChar w:fldCharType="begin"/>
        </w:r>
        <w:r>
          <w:rPr>
            <w:noProof/>
            <w:webHidden/>
          </w:rPr>
          <w:instrText xml:space="preserve"> PAGEREF _Toc219309792 \h </w:instrText>
        </w:r>
        <w:r>
          <w:rPr>
            <w:noProof/>
            <w:webHidden/>
          </w:rPr>
        </w:r>
        <w:r>
          <w:rPr>
            <w:noProof/>
            <w:webHidden/>
          </w:rPr>
          <w:fldChar w:fldCharType="separate"/>
        </w:r>
        <w:r>
          <w:rPr>
            <w:noProof/>
            <w:webHidden/>
          </w:rPr>
          <w:t>469</w:t>
        </w:r>
        <w:r>
          <w:rPr>
            <w:noProof/>
            <w:webHidden/>
          </w:rPr>
          <w:fldChar w:fldCharType="end"/>
        </w:r>
      </w:hyperlink>
    </w:p>
    <w:p w14:paraId="4568F521"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93" w:history="1">
        <w:r w:rsidRPr="00087766">
          <w:rPr>
            <w:rStyle w:val="af7"/>
            <w:noProof/>
          </w:rPr>
          <w:t>6.19.5.</w:t>
        </w:r>
        <w:r>
          <w:rPr>
            <w:rFonts w:asciiTheme="minorHAnsi" w:eastAsiaTheme="minorEastAsia" w:hAnsiTheme="minorHAnsi" w:cstheme="minorBidi"/>
            <w:iCs w:val="0"/>
            <w:noProof/>
            <w:sz w:val="22"/>
            <w:szCs w:val="22"/>
          </w:rPr>
          <w:tab/>
        </w:r>
        <w:r w:rsidRPr="00087766">
          <w:rPr>
            <w:rStyle w:val="af7"/>
            <w:noProof/>
          </w:rPr>
          <w:t>Описание комплексного типа «tData_PPP»</w:t>
        </w:r>
        <w:r>
          <w:rPr>
            <w:noProof/>
            <w:webHidden/>
          </w:rPr>
          <w:tab/>
        </w:r>
        <w:r>
          <w:rPr>
            <w:noProof/>
            <w:webHidden/>
          </w:rPr>
          <w:fldChar w:fldCharType="begin"/>
        </w:r>
        <w:r>
          <w:rPr>
            <w:noProof/>
            <w:webHidden/>
          </w:rPr>
          <w:instrText xml:space="preserve"> PAGEREF _Toc219309793 \h </w:instrText>
        </w:r>
        <w:r>
          <w:rPr>
            <w:noProof/>
            <w:webHidden/>
          </w:rPr>
        </w:r>
        <w:r>
          <w:rPr>
            <w:noProof/>
            <w:webHidden/>
          </w:rPr>
          <w:fldChar w:fldCharType="separate"/>
        </w:r>
        <w:r>
          <w:rPr>
            <w:noProof/>
            <w:webHidden/>
          </w:rPr>
          <w:t>470</w:t>
        </w:r>
        <w:r>
          <w:rPr>
            <w:noProof/>
            <w:webHidden/>
          </w:rPr>
          <w:fldChar w:fldCharType="end"/>
        </w:r>
      </w:hyperlink>
    </w:p>
    <w:p w14:paraId="6690DAD6"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94" w:history="1">
        <w:r w:rsidRPr="00087766">
          <w:rPr>
            <w:rStyle w:val="af7"/>
            <w:noProof/>
          </w:rPr>
          <w:t>6.19.6.</w:t>
        </w:r>
        <w:r>
          <w:rPr>
            <w:rFonts w:asciiTheme="minorHAnsi" w:eastAsiaTheme="minorEastAsia" w:hAnsiTheme="minorHAnsi" w:cstheme="minorBidi"/>
            <w:iCs w:val="0"/>
            <w:noProof/>
            <w:sz w:val="22"/>
            <w:szCs w:val="22"/>
          </w:rPr>
          <w:tab/>
        </w:r>
        <w:r w:rsidRPr="00087766">
          <w:rPr>
            <w:rStyle w:val="af7"/>
            <w:noProof/>
          </w:rPr>
          <w:t>Описание комплексного типа «tData_PPP_ITEM»</w:t>
        </w:r>
        <w:r>
          <w:rPr>
            <w:noProof/>
            <w:webHidden/>
          </w:rPr>
          <w:tab/>
        </w:r>
        <w:r>
          <w:rPr>
            <w:noProof/>
            <w:webHidden/>
          </w:rPr>
          <w:fldChar w:fldCharType="begin"/>
        </w:r>
        <w:r>
          <w:rPr>
            <w:noProof/>
            <w:webHidden/>
          </w:rPr>
          <w:instrText xml:space="preserve"> PAGEREF _Toc219309794 \h </w:instrText>
        </w:r>
        <w:r>
          <w:rPr>
            <w:noProof/>
            <w:webHidden/>
          </w:rPr>
        </w:r>
        <w:r>
          <w:rPr>
            <w:noProof/>
            <w:webHidden/>
          </w:rPr>
          <w:fldChar w:fldCharType="separate"/>
        </w:r>
        <w:r>
          <w:rPr>
            <w:noProof/>
            <w:webHidden/>
          </w:rPr>
          <w:t>470</w:t>
        </w:r>
        <w:r>
          <w:rPr>
            <w:noProof/>
            <w:webHidden/>
          </w:rPr>
          <w:fldChar w:fldCharType="end"/>
        </w:r>
      </w:hyperlink>
    </w:p>
    <w:p w14:paraId="5E283A81"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95" w:history="1">
        <w:r w:rsidRPr="00087766">
          <w:rPr>
            <w:rStyle w:val="af7"/>
            <w:noProof/>
          </w:rPr>
          <w:t>6.19.7.</w:t>
        </w:r>
        <w:r>
          <w:rPr>
            <w:rFonts w:asciiTheme="minorHAnsi" w:eastAsiaTheme="minorEastAsia" w:hAnsiTheme="minorHAnsi" w:cstheme="minorBidi"/>
            <w:iCs w:val="0"/>
            <w:noProof/>
            <w:sz w:val="22"/>
            <w:szCs w:val="22"/>
          </w:rPr>
          <w:tab/>
        </w:r>
        <w:r w:rsidRPr="00087766">
          <w:rPr>
            <w:rStyle w:val="af7"/>
            <w:noProof/>
          </w:rPr>
          <w:t>Описание комплексного типа «tBasicRequisites_PayView»</w:t>
        </w:r>
        <w:r>
          <w:rPr>
            <w:noProof/>
            <w:webHidden/>
          </w:rPr>
          <w:tab/>
        </w:r>
        <w:r>
          <w:rPr>
            <w:noProof/>
            <w:webHidden/>
          </w:rPr>
          <w:fldChar w:fldCharType="begin"/>
        </w:r>
        <w:r>
          <w:rPr>
            <w:noProof/>
            <w:webHidden/>
          </w:rPr>
          <w:instrText xml:space="preserve"> PAGEREF _Toc219309795 \h </w:instrText>
        </w:r>
        <w:r>
          <w:rPr>
            <w:noProof/>
            <w:webHidden/>
          </w:rPr>
        </w:r>
        <w:r>
          <w:rPr>
            <w:noProof/>
            <w:webHidden/>
          </w:rPr>
          <w:fldChar w:fldCharType="separate"/>
        </w:r>
        <w:r>
          <w:rPr>
            <w:noProof/>
            <w:webHidden/>
          </w:rPr>
          <w:t>478</w:t>
        </w:r>
        <w:r>
          <w:rPr>
            <w:noProof/>
            <w:webHidden/>
          </w:rPr>
          <w:fldChar w:fldCharType="end"/>
        </w:r>
      </w:hyperlink>
    </w:p>
    <w:p w14:paraId="48593CE1"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96" w:history="1">
        <w:r w:rsidRPr="00087766">
          <w:rPr>
            <w:rStyle w:val="af7"/>
            <w:noProof/>
          </w:rPr>
          <w:t>6.19.8.</w:t>
        </w:r>
        <w:r>
          <w:rPr>
            <w:rFonts w:asciiTheme="minorHAnsi" w:eastAsiaTheme="minorEastAsia" w:hAnsiTheme="minorHAnsi" w:cstheme="minorBidi"/>
            <w:iCs w:val="0"/>
            <w:noProof/>
            <w:sz w:val="22"/>
            <w:szCs w:val="22"/>
          </w:rPr>
          <w:tab/>
        </w:r>
        <w:r w:rsidRPr="00087766">
          <w:rPr>
            <w:rStyle w:val="af7"/>
            <w:noProof/>
          </w:rPr>
          <w:t>Описание комплексного типа «tFAHTeh»</w:t>
        </w:r>
        <w:r>
          <w:rPr>
            <w:noProof/>
            <w:webHidden/>
          </w:rPr>
          <w:tab/>
        </w:r>
        <w:r>
          <w:rPr>
            <w:noProof/>
            <w:webHidden/>
          </w:rPr>
          <w:fldChar w:fldCharType="begin"/>
        </w:r>
        <w:r>
          <w:rPr>
            <w:noProof/>
            <w:webHidden/>
          </w:rPr>
          <w:instrText xml:space="preserve"> PAGEREF _Toc219309796 \h </w:instrText>
        </w:r>
        <w:r>
          <w:rPr>
            <w:noProof/>
            <w:webHidden/>
          </w:rPr>
        </w:r>
        <w:r>
          <w:rPr>
            <w:noProof/>
            <w:webHidden/>
          </w:rPr>
          <w:fldChar w:fldCharType="separate"/>
        </w:r>
        <w:r>
          <w:rPr>
            <w:noProof/>
            <w:webHidden/>
          </w:rPr>
          <w:t>479</w:t>
        </w:r>
        <w:r>
          <w:rPr>
            <w:noProof/>
            <w:webHidden/>
          </w:rPr>
          <w:fldChar w:fldCharType="end"/>
        </w:r>
      </w:hyperlink>
    </w:p>
    <w:p w14:paraId="228171A9"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797" w:history="1">
        <w:r w:rsidRPr="00087766">
          <w:rPr>
            <w:rStyle w:val="af7"/>
            <w:noProof/>
          </w:rPr>
          <w:t>6.19.9.</w:t>
        </w:r>
        <w:r>
          <w:rPr>
            <w:rFonts w:asciiTheme="minorHAnsi" w:eastAsiaTheme="minorEastAsia" w:hAnsiTheme="minorHAnsi" w:cstheme="minorBidi"/>
            <w:iCs w:val="0"/>
            <w:noProof/>
            <w:sz w:val="22"/>
            <w:szCs w:val="22"/>
          </w:rPr>
          <w:tab/>
        </w:r>
        <w:r w:rsidRPr="00087766">
          <w:rPr>
            <w:rStyle w:val="af7"/>
            <w:noProof/>
          </w:rPr>
          <w:t>Описание комплексного типа «tFAHTeh_ITEM»</w:t>
        </w:r>
        <w:r>
          <w:rPr>
            <w:noProof/>
            <w:webHidden/>
          </w:rPr>
          <w:tab/>
        </w:r>
        <w:r>
          <w:rPr>
            <w:noProof/>
            <w:webHidden/>
          </w:rPr>
          <w:fldChar w:fldCharType="begin"/>
        </w:r>
        <w:r>
          <w:rPr>
            <w:noProof/>
            <w:webHidden/>
          </w:rPr>
          <w:instrText xml:space="preserve"> PAGEREF _Toc219309797 \h </w:instrText>
        </w:r>
        <w:r>
          <w:rPr>
            <w:noProof/>
            <w:webHidden/>
          </w:rPr>
        </w:r>
        <w:r>
          <w:rPr>
            <w:noProof/>
            <w:webHidden/>
          </w:rPr>
          <w:fldChar w:fldCharType="separate"/>
        </w:r>
        <w:r>
          <w:rPr>
            <w:noProof/>
            <w:webHidden/>
          </w:rPr>
          <w:t>479</w:t>
        </w:r>
        <w:r>
          <w:rPr>
            <w:noProof/>
            <w:webHidden/>
          </w:rPr>
          <w:fldChar w:fldCharType="end"/>
        </w:r>
      </w:hyperlink>
    </w:p>
    <w:p w14:paraId="5AF225C7"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798" w:history="1">
        <w:r w:rsidRPr="00087766">
          <w:rPr>
            <w:rStyle w:val="af7"/>
            <w:noProof/>
          </w:rPr>
          <w:t>6.19.10.</w:t>
        </w:r>
        <w:r>
          <w:rPr>
            <w:rFonts w:asciiTheme="minorHAnsi" w:eastAsiaTheme="minorEastAsia" w:hAnsiTheme="minorHAnsi" w:cstheme="minorBidi"/>
            <w:iCs w:val="0"/>
            <w:noProof/>
            <w:sz w:val="22"/>
            <w:szCs w:val="22"/>
          </w:rPr>
          <w:tab/>
        </w:r>
        <w:r w:rsidRPr="00087766">
          <w:rPr>
            <w:rStyle w:val="af7"/>
            <w:noProof/>
          </w:rPr>
          <w:t>Пример XML</w:t>
        </w:r>
        <w:r>
          <w:rPr>
            <w:noProof/>
            <w:webHidden/>
          </w:rPr>
          <w:tab/>
        </w:r>
        <w:r>
          <w:rPr>
            <w:noProof/>
            <w:webHidden/>
          </w:rPr>
          <w:fldChar w:fldCharType="begin"/>
        </w:r>
        <w:r>
          <w:rPr>
            <w:noProof/>
            <w:webHidden/>
          </w:rPr>
          <w:instrText xml:space="preserve"> PAGEREF _Toc219309798 \h </w:instrText>
        </w:r>
        <w:r>
          <w:rPr>
            <w:noProof/>
            <w:webHidden/>
          </w:rPr>
        </w:r>
        <w:r>
          <w:rPr>
            <w:noProof/>
            <w:webHidden/>
          </w:rPr>
          <w:fldChar w:fldCharType="separate"/>
        </w:r>
        <w:r>
          <w:rPr>
            <w:noProof/>
            <w:webHidden/>
          </w:rPr>
          <w:t>479</w:t>
        </w:r>
        <w:r>
          <w:rPr>
            <w:noProof/>
            <w:webHidden/>
          </w:rPr>
          <w:fldChar w:fldCharType="end"/>
        </w:r>
      </w:hyperlink>
    </w:p>
    <w:p w14:paraId="16A024C7" w14:textId="77777777" w:rsidR="008D797C" w:rsidRDefault="008D797C">
      <w:pPr>
        <w:pStyle w:val="2a"/>
        <w:tabs>
          <w:tab w:val="left" w:pos="960"/>
          <w:tab w:val="right" w:leader="dot" w:pos="9628"/>
        </w:tabs>
        <w:rPr>
          <w:rFonts w:asciiTheme="minorHAnsi" w:eastAsiaTheme="minorEastAsia" w:hAnsiTheme="minorHAnsi" w:cstheme="minorBidi"/>
          <w:noProof/>
          <w:sz w:val="22"/>
          <w:szCs w:val="22"/>
        </w:rPr>
      </w:pPr>
      <w:hyperlink w:anchor="_Toc219309799" w:history="1">
        <w:r w:rsidRPr="00087766">
          <w:rPr>
            <w:rStyle w:val="af7"/>
            <w:noProof/>
          </w:rPr>
          <w:t>6.20.</w:t>
        </w:r>
        <w:r>
          <w:rPr>
            <w:rFonts w:asciiTheme="minorHAnsi" w:eastAsiaTheme="minorEastAsia" w:hAnsiTheme="minorHAnsi" w:cstheme="minorBidi"/>
            <w:noProof/>
            <w:sz w:val="22"/>
            <w:szCs w:val="22"/>
          </w:rPr>
          <w:tab/>
        </w:r>
        <w:r w:rsidRPr="00087766">
          <w:rPr>
            <w:rStyle w:val="af7"/>
            <w:noProof/>
          </w:rPr>
          <w:t>Описание документа «Сведения об осуществлении операций со средствами во временном распоряжении»</w:t>
        </w:r>
        <w:r>
          <w:rPr>
            <w:noProof/>
            <w:webHidden/>
          </w:rPr>
          <w:tab/>
        </w:r>
        <w:r>
          <w:rPr>
            <w:noProof/>
            <w:webHidden/>
          </w:rPr>
          <w:fldChar w:fldCharType="begin"/>
        </w:r>
        <w:r>
          <w:rPr>
            <w:noProof/>
            <w:webHidden/>
          </w:rPr>
          <w:instrText xml:space="preserve"> PAGEREF _Toc219309799 \h </w:instrText>
        </w:r>
        <w:r>
          <w:rPr>
            <w:noProof/>
            <w:webHidden/>
          </w:rPr>
        </w:r>
        <w:r>
          <w:rPr>
            <w:noProof/>
            <w:webHidden/>
          </w:rPr>
          <w:fldChar w:fldCharType="separate"/>
        </w:r>
        <w:r>
          <w:rPr>
            <w:noProof/>
            <w:webHidden/>
          </w:rPr>
          <w:t>482</w:t>
        </w:r>
        <w:r>
          <w:rPr>
            <w:noProof/>
            <w:webHidden/>
          </w:rPr>
          <w:fldChar w:fldCharType="end"/>
        </w:r>
      </w:hyperlink>
    </w:p>
    <w:p w14:paraId="18AFA5D6"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00" w:history="1">
        <w:r w:rsidRPr="00087766">
          <w:rPr>
            <w:rStyle w:val="af7"/>
            <w:noProof/>
          </w:rPr>
          <w:t>6.20.1.</w:t>
        </w:r>
        <w:r>
          <w:rPr>
            <w:rFonts w:asciiTheme="minorHAnsi" w:eastAsiaTheme="minorEastAsia" w:hAnsiTheme="minorHAnsi" w:cstheme="minorBidi"/>
            <w:iCs w:val="0"/>
            <w:noProof/>
            <w:sz w:val="22"/>
            <w:szCs w:val="22"/>
          </w:rPr>
          <w:tab/>
        </w:r>
        <w:r w:rsidRPr="00087766">
          <w:rPr>
            <w:rStyle w:val="af7"/>
            <w:noProof/>
          </w:rPr>
          <w:t>Назначение и маршрут документа</w:t>
        </w:r>
        <w:r>
          <w:rPr>
            <w:noProof/>
            <w:webHidden/>
          </w:rPr>
          <w:tab/>
        </w:r>
        <w:r>
          <w:rPr>
            <w:noProof/>
            <w:webHidden/>
          </w:rPr>
          <w:fldChar w:fldCharType="begin"/>
        </w:r>
        <w:r>
          <w:rPr>
            <w:noProof/>
            <w:webHidden/>
          </w:rPr>
          <w:instrText xml:space="preserve"> PAGEREF _Toc219309800 \h </w:instrText>
        </w:r>
        <w:r>
          <w:rPr>
            <w:noProof/>
            <w:webHidden/>
          </w:rPr>
        </w:r>
        <w:r>
          <w:rPr>
            <w:noProof/>
            <w:webHidden/>
          </w:rPr>
          <w:fldChar w:fldCharType="separate"/>
        </w:r>
        <w:r>
          <w:rPr>
            <w:noProof/>
            <w:webHidden/>
          </w:rPr>
          <w:t>482</w:t>
        </w:r>
        <w:r>
          <w:rPr>
            <w:noProof/>
            <w:webHidden/>
          </w:rPr>
          <w:fldChar w:fldCharType="end"/>
        </w:r>
      </w:hyperlink>
    </w:p>
    <w:p w14:paraId="2579B76B"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01" w:history="1">
        <w:r w:rsidRPr="00087766">
          <w:rPr>
            <w:rStyle w:val="af7"/>
            <w:noProof/>
          </w:rPr>
          <w:t>6.20.2.</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«tMSC_RecAndPaySVR»</w:t>
        </w:r>
        <w:r>
          <w:rPr>
            <w:noProof/>
            <w:webHidden/>
          </w:rPr>
          <w:tab/>
        </w:r>
        <w:r>
          <w:rPr>
            <w:noProof/>
            <w:webHidden/>
          </w:rPr>
          <w:fldChar w:fldCharType="begin"/>
        </w:r>
        <w:r>
          <w:rPr>
            <w:noProof/>
            <w:webHidden/>
          </w:rPr>
          <w:instrText xml:space="preserve"> PAGEREF _Toc219309801 \h </w:instrText>
        </w:r>
        <w:r>
          <w:rPr>
            <w:noProof/>
            <w:webHidden/>
          </w:rPr>
        </w:r>
        <w:r>
          <w:rPr>
            <w:noProof/>
            <w:webHidden/>
          </w:rPr>
          <w:fldChar w:fldCharType="separate"/>
        </w:r>
        <w:r>
          <w:rPr>
            <w:noProof/>
            <w:webHidden/>
          </w:rPr>
          <w:t>482</w:t>
        </w:r>
        <w:r>
          <w:rPr>
            <w:noProof/>
            <w:webHidden/>
          </w:rPr>
          <w:fldChar w:fldCharType="end"/>
        </w:r>
      </w:hyperlink>
    </w:p>
    <w:p w14:paraId="497E51F2"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02" w:history="1">
        <w:r w:rsidRPr="00087766">
          <w:rPr>
            <w:rStyle w:val="af7"/>
            <w:noProof/>
          </w:rPr>
          <w:t>6.20.3.</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«tMSC_PBS_UBP1»</w:t>
        </w:r>
        <w:r>
          <w:rPr>
            <w:noProof/>
            <w:webHidden/>
          </w:rPr>
          <w:tab/>
        </w:r>
        <w:r>
          <w:rPr>
            <w:noProof/>
            <w:webHidden/>
          </w:rPr>
          <w:fldChar w:fldCharType="begin"/>
        </w:r>
        <w:r>
          <w:rPr>
            <w:noProof/>
            <w:webHidden/>
          </w:rPr>
          <w:instrText xml:space="preserve"> PAGEREF _Toc219309802 \h </w:instrText>
        </w:r>
        <w:r>
          <w:rPr>
            <w:noProof/>
            <w:webHidden/>
          </w:rPr>
        </w:r>
        <w:r>
          <w:rPr>
            <w:noProof/>
            <w:webHidden/>
          </w:rPr>
          <w:fldChar w:fldCharType="separate"/>
        </w:r>
        <w:r>
          <w:rPr>
            <w:noProof/>
            <w:webHidden/>
          </w:rPr>
          <w:t>484</w:t>
        </w:r>
        <w:r>
          <w:rPr>
            <w:noProof/>
            <w:webHidden/>
          </w:rPr>
          <w:fldChar w:fldCharType="end"/>
        </w:r>
      </w:hyperlink>
    </w:p>
    <w:p w14:paraId="0E1A9519"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03" w:history="1">
        <w:r w:rsidRPr="00087766">
          <w:rPr>
            <w:rStyle w:val="af7"/>
            <w:noProof/>
          </w:rPr>
          <w:t>6.20.4.</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«tMSC_TOFK»</w:t>
        </w:r>
        <w:r>
          <w:rPr>
            <w:noProof/>
            <w:webHidden/>
          </w:rPr>
          <w:tab/>
        </w:r>
        <w:r>
          <w:rPr>
            <w:noProof/>
            <w:webHidden/>
          </w:rPr>
          <w:fldChar w:fldCharType="begin"/>
        </w:r>
        <w:r>
          <w:rPr>
            <w:noProof/>
            <w:webHidden/>
          </w:rPr>
          <w:instrText xml:space="preserve"> PAGEREF _Toc219309803 \h </w:instrText>
        </w:r>
        <w:r>
          <w:rPr>
            <w:noProof/>
            <w:webHidden/>
          </w:rPr>
        </w:r>
        <w:r>
          <w:rPr>
            <w:noProof/>
            <w:webHidden/>
          </w:rPr>
          <w:fldChar w:fldCharType="separate"/>
        </w:r>
        <w:r>
          <w:rPr>
            <w:noProof/>
            <w:webHidden/>
          </w:rPr>
          <w:t>484</w:t>
        </w:r>
        <w:r>
          <w:rPr>
            <w:noProof/>
            <w:webHidden/>
          </w:rPr>
          <w:fldChar w:fldCharType="end"/>
        </w:r>
      </w:hyperlink>
    </w:p>
    <w:p w14:paraId="2CD68DF1"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04" w:history="1">
        <w:r w:rsidRPr="00087766">
          <w:rPr>
            <w:rStyle w:val="af7"/>
            <w:noProof/>
          </w:rPr>
          <w:t>6.20.5.</w:t>
        </w:r>
        <w:r>
          <w:rPr>
            <w:rFonts w:asciiTheme="minorHAnsi" w:eastAsiaTheme="minorEastAsia" w:hAnsiTheme="minorHAnsi" w:cstheme="minorBidi"/>
            <w:iCs w:val="0"/>
            <w:noProof/>
            <w:sz w:val="22"/>
            <w:szCs w:val="22"/>
          </w:rPr>
          <w:tab/>
        </w:r>
        <w:r w:rsidRPr="00087766">
          <w:rPr>
            <w:rStyle w:val="af7"/>
            <w:noProof/>
          </w:rPr>
          <w:t>Описание комплексного типа «tSFDU_SVR»</w:t>
        </w:r>
        <w:r>
          <w:rPr>
            <w:noProof/>
            <w:webHidden/>
          </w:rPr>
          <w:tab/>
        </w:r>
        <w:r>
          <w:rPr>
            <w:noProof/>
            <w:webHidden/>
          </w:rPr>
          <w:fldChar w:fldCharType="begin"/>
        </w:r>
        <w:r>
          <w:rPr>
            <w:noProof/>
            <w:webHidden/>
          </w:rPr>
          <w:instrText xml:space="preserve"> PAGEREF _Toc219309804 \h </w:instrText>
        </w:r>
        <w:r>
          <w:rPr>
            <w:noProof/>
            <w:webHidden/>
          </w:rPr>
        </w:r>
        <w:r>
          <w:rPr>
            <w:noProof/>
            <w:webHidden/>
          </w:rPr>
          <w:fldChar w:fldCharType="separate"/>
        </w:r>
        <w:r>
          <w:rPr>
            <w:noProof/>
            <w:webHidden/>
          </w:rPr>
          <w:t>484</w:t>
        </w:r>
        <w:r>
          <w:rPr>
            <w:noProof/>
            <w:webHidden/>
          </w:rPr>
          <w:fldChar w:fldCharType="end"/>
        </w:r>
      </w:hyperlink>
    </w:p>
    <w:p w14:paraId="3E101052"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05" w:history="1">
        <w:r w:rsidRPr="00087766">
          <w:rPr>
            <w:rStyle w:val="af7"/>
            <w:noProof/>
          </w:rPr>
          <w:t>6.20.6.</w:t>
        </w:r>
        <w:r>
          <w:rPr>
            <w:rFonts w:asciiTheme="minorHAnsi" w:eastAsiaTheme="minorEastAsia" w:hAnsiTheme="minorHAnsi" w:cstheme="minorBidi"/>
            <w:iCs w:val="0"/>
            <w:noProof/>
            <w:sz w:val="22"/>
            <w:szCs w:val="22"/>
          </w:rPr>
          <w:tab/>
        </w:r>
        <w:r w:rsidRPr="00087766">
          <w:rPr>
            <w:rStyle w:val="af7"/>
            <w:noProof/>
          </w:rPr>
          <w:t>Описание комплексного типа «tSFDU_SVR_ITEM»</w:t>
        </w:r>
        <w:r>
          <w:rPr>
            <w:noProof/>
            <w:webHidden/>
          </w:rPr>
          <w:tab/>
        </w:r>
        <w:r>
          <w:rPr>
            <w:noProof/>
            <w:webHidden/>
          </w:rPr>
          <w:fldChar w:fldCharType="begin"/>
        </w:r>
        <w:r>
          <w:rPr>
            <w:noProof/>
            <w:webHidden/>
          </w:rPr>
          <w:instrText xml:space="preserve"> PAGEREF _Toc219309805 \h </w:instrText>
        </w:r>
        <w:r>
          <w:rPr>
            <w:noProof/>
            <w:webHidden/>
          </w:rPr>
        </w:r>
        <w:r>
          <w:rPr>
            <w:noProof/>
            <w:webHidden/>
          </w:rPr>
          <w:fldChar w:fldCharType="separate"/>
        </w:r>
        <w:r>
          <w:rPr>
            <w:noProof/>
            <w:webHidden/>
          </w:rPr>
          <w:t>485</w:t>
        </w:r>
        <w:r>
          <w:rPr>
            <w:noProof/>
            <w:webHidden/>
          </w:rPr>
          <w:fldChar w:fldCharType="end"/>
        </w:r>
      </w:hyperlink>
    </w:p>
    <w:p w14:paraId="094EF55B"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06" w:history="1">
        <w:r w:rsidRPr="00087766">
          <w:rPr>
            <w:rStyle w:val="af7"/>
            <w:noProof/>
          </w:rPr>
          <w:t>6.20.7.</w:t>
        </w:r>
        <w:r>
          <w:rPr>
            <w:rFonts w:asciiTheme="minorHAnsi" w:eastAsiaTheme="minorEastAsia" w:hAnsiTheme="minorHAnsi" w:cstheme="minorBidi"/>
            <w:iCs w:val="0"/>
            <w:noProof/>
            <w:sz w:val="22"/>
            <w:szCs w:val="22"/>
          </w:rPr>
          <w:tab/>
        </w:r>
        <w:r w:rsidRPr="00087766">
          <w:rPr>
            <w:rStyle w:val="af7"/>
            <w:noProof/>
          </w:rPr>
          <w:t>Описание комплексного типа «tSGNNmPsDt3»</w:t>
        </w:r>
        <w:r>
          <w:rPr>
            <w:noProof/>
            <w:webHidden/>
          </w:rPr>
          <w:tab/>
        </w:r>
        <w:r>
          <w:rPr>
            <w:noProof/>
            <w:webHidden/>
          </w:rPr>
          <w:fldChar w:fldCharType="begin"/>
        </w:r>
        <w:r>
          <w:rPr>
            <w:noProof/>
            <w:webHidden/>
          </w:rPr>
          <w:instrText xml:space="preserve"> PAGEREF _Toc219309806 \h </w:instrText>
        </w:r>
        <w:r>
          <w:rPr>
            <w:noProof/>
            <w:webHidden/>
          </w:rPr>
        </w:r>
        <w:r>
          <w:rPr>
            <w:noProof/>
            <w:webHidden/>
          </w:rPr>
          <w:fldChar w:fldCharType="separate"/>
        </w:r>
        <w:r>
          <w:rPr>
            <w:noProof/>
            <w:webHidden/>
          </w:rPr>
          <w:t>485</w:t>
        </w:r>
        <w:r>
          <w:rPr>
            <w:noProof/>
            <w:webHidden/>
          </w:rPr>
          <w:fldChar w:fldCharType="end"/>
        </w:r>
      </w:hyperlink>
    </w:p>
    <w:p w14:paraId="35275630"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07" w:history="1">
        <w:r w:rsidRPr="00087766">
          <w:rPr>
            <w:rStyle w:val="af7"/>
            <w:noProof/>
          </w:rPr>
          <w:t>6.20.8.</w:t>
        </w:r>
        <w:r>
          <w:rPr>
            <w:rFonts w:asciiTheme="minorHAnsi" w:eastAsiaTheme="minorEastAsia" w:hAnsiTheme="minorHAnsi" w:cstheme="minorBidi"/>
            <w:iCs w:val="0"/>
            <w:noProof/>
            <w:sz w:val="22"/>
            <w:szCs w:val="22"/>
          </w:rPr>
          <w:tab/>
        </w:r>
        <w:r w:rsidRPr="00087766">
          <w:rPr>
            <w:rStyle w:val="af7"/>
            <w:noProof/>
          </w:rPr>
          <w:t>Описание комплексного типа «tTF»</w:t>
        </w:r>
        <w:r>
          <w:rPr>
            <w:noProof/>
            <w:webHidden/>
          </w:rPr>
          <w:tab/>
        </w:r>
        <w:r>
          <w:rPr>
            <w:noProof/>
            <w:webHidden/>
          </w:rPr>
          <w:fldChar w:fldCharType="begin"/>
        </w:r>
        <w:r>
          <w:rPr>
            <w:noProof/>
            <w:webHidden/>
          </w:rPr>
          <w:instrText xml:space="preserve"> PAGEREF _Toc219309807 \h </w:instrText>
        </w:r>
        <w:r>
          <w:rPr>
            <w:noProof/>
            <w:webHidden/>
          </w:rPr>
        </w:r>
        <w:r>
          <w:rPr>
            <w:noProof/>
            <w:webHidden/>
          </w:rPr>
          <w:fldChar w:fldCharType="separate"/>
        </w:r>
        <w:r>
          <w:rPr>
            <w:noProof/>
            <w:webHidden/>
          </w:rPr>
          <w:t>486</w:t>
        </w:r>
        <w:r>
          <w:rPr>
            <w:noProof/>
            <w:webHidden/>
          </w:rPr>
          <w:fldChar w:fldCharType="end"/>
        </w:r>
      </w:hyperlink>
    </w:p>
    <w:p w14:paraId="412236C5"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08" w:history="1">
        <w:r w:rsidRPr="00087766">
          <w:rPr>
            <w:rStyle w:val="af7"/>
            <w:noProof/>
          </w:rPr>
          <w:t>6.20.9.</w:t>
        </w:r>
        <w:r>
          <w:rPr>
            <w:rFonts w:asciiTheme="minorHAnsi" w:eastAsiaTheme="minorEastAsia" w:hAnsiTheme="minorHAnsi" w:cstheme="minorBidi"/>
            <w:iCs w:val="0"/>
            <w:noProof/>
            <w:sz w:val="22"/>
            <w:szCs w:val="22"/>
          </w:rPr>
          <w:tab/>
        </w:r>
        <w:r w:rsidRPr="00087766">
          <w:rPr>
            <w:rStyle w:val="af7"/>
            <w:noProof/>
          </w:rPr>
          <w:t>Пример XML</w:t>
        </w:r>
        <w:r>
          <w:rPr>
            <w:noProof/>
            <w:webHidden/>
          </w:rPr>
          <w:tab/>
        </w:r>
        <w:r>
          <w:rPr>
            <w:noProof/>
            <w:webHidden/>
          </w:rPr>
          <w:fldChar w:fldCharType="begin"/>
        </w:r>
        <w:r>
          <w:rPr>
            <w:noProof/>
            <w:webHidden/>
          </w:rPr>
          <w:instrText xml:space="preserve"> PAGEREF _Toc219309808 \h </w:instrText>
        </w:r>
        <w:r>
          <w:rPr>
            <w:noProof/>
            <w:webHidden/>
          </w:rPr>
        </w:r>
        <w:r>
          <w:rPr>
            <w:noProof/>
            <w:webHidden/>
          </w:rPr>
          <w:fldChar w:fldCharType="separate"/>
        </w:r>
        <w:r>
          <w:rPr>
            <w:noProof/>
            <w:webHidden/>
          </w:rPr>
          <w:t>486</w:t>
        </w:r>
        <w:r>
          <w:rPr>
            <w:noProof/>
            <w:webHidden/>
          </w:rPr>
          <w:fldChar w:fldCharType="end"/>
        </w:r>
      </w:hyperlink>
    </w:p>
    <w:p w14:paraId="589BFA68" w14:textId="77777777" w:rsidR="008D797C" w:rsidRDefault="008D797C">
      <w:pPr>
        <w:pStyle w:val="2a"/>
        <w:tabs>
          <w:tab w:val="left" w:pos="960"/>
          <w:tab w:val="right" w:leader="dot" w:pos="9628"/>
        </w:tabs>
        <w:rPr>
          <w:rFonts w:asciiTheme="minorHAnsi" w:eastAsiaTheme="minorEastAsia" w:hAnsiTheme="minorHAnsi" w:cstheme="minorBidi"/>
          <w:noProof/>
          <w:sz w:val="22"/>
          <w:szCs w:val="22"/>
        </w:rPr>
      </w:pPr>
      <w:hyperlink w:anchor="_Toc219309809" w:history="1">
        <w:r w:rsidRPr="00087766">
          <w:rPr>
            <w:rStyle w:val="af7"/>
            <w:noProof/>
            <w:highlight w:val="green"/>
          </w:rPr>
          <w:t>6.21.</w:t>
        </w:r>
        <w:r>
          <w:rPr>
            <w:rFonts w:asciiTheme="minorHAnsi" w:eastAsiaTheme="minorEastAsia" w:hAnsiTheme="minorHAnsi" w:cstheme="minorBidi"/>
            <w:noProof/>
            <w:sz w:val="22"/>
            <w:szCs w:val="22"/>
          </w:rPr>
          <w:tab/>
        </w:r>
        <w:r w:rsidRPr="00087766">
          <w:rPr>
            <w:rStyle w:val="af7"/>
            <w:noProof/>
            <w:highlight w:val="green"/>
          </w:rPr>
          <w:t>Описание документа «Ответ на запрос (уведомление) по ЭПС участника»</w:t>
        </w:r>
        <w:r>
          <w:rPr>
            <w:noProof/>
            <w:webHidden/>
          </w:rPr>
          <w:tab/>
        </w:r>
        <w:r>
          <w:rPr>
            <w:noProof/>
            <w:webHidden/>
          </w:rPr>
          <w:fldChar w:fldCharType="begin"/>
        </w:r>
        <w:r>
          <w:rPr>
            <w:noProof/>
            <w:webHidden/>
          </w:rPr>
          <w:instrText xml:space="preserve"> PAGEREF _Toc219309809 \h </w:instrText>
        </w:r>
        <w:r>
          <w:rPr>
            <w:noProof/>
            <w:webHidden/>
          </w:rPr>
        </w:r>
        <w:r>
          <w:rPr>
            <w:noProof/>
            <w:webHidden/>
          </w:rPr>
          <w:fldChar w:fldCharType="separate"/>
        </w:r>
        <w:r>
          <w:rPr>
            <w:noProof/>
            <w:webHidden/>
          </w:rPr>
          <w:t>489</w:t>
        </w:r>
        <w:r>
          <w:rPr>
            <w:noProof/>
            <w:webHidden/>
          </w:rPr>
          <w:fldChar w:fldCharType="end"/>
        </w:r>
      </w:hyperlink>
    </w:p>
    <w:p w14:paraId="72E255A0"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10" w:history="1">
        <w:r w:rsidRPr="00087766">
          <w:rPr>
            <w:rStyle w:val="af7"/>
            <w:noProof/>
            <w:highlight w:val="green"/>
          </w:rPr>
          <w:t>6.21.1.</w:t>
        </w:r>
        <w:r>
          <w:rPr>
            <w:rFonts w:asciiTheme="minorHAnsi" w:eastAsiaTheme="minorEastAsia" w:hAnsiTheme="minorHAnsi" w:cstheme="minorBidi"/>
            <w:iCs w:val="0"/>
            <w:noProof/>
            <w:sz w:val="22"/>
            <w:szCs w:val="22"/>
          </w:rPr>
          <w:tab/>
        </w:r>
        <w:r w:rsidRPr="00087766">
          <w:rPr>
            <w:rStyle w:val="af7"/>
            <w:noProof/>
            <w:highlight w:val="green"/>
          </w:rPr>
          <w:t>Назначение и маршрут документа</w:t>
        </w:r>
        <w:r>
          <w:rPr>
            <w:noProof/>
            <w:webHidden/>
          </w:rPr>
          <w:tab/>
        </w:r>
        <w:r>
          <w:rPr>
            <w:noProof/>
            <w:webHidden/>
          </w:rPr>
          <w:fldChar w:fldCharType="begin"/>
        </w:r>
        <w:r>
          <w:rPr>
            <w:noProof/>
            <w:webHidden/>
          </w:rPr>
          <w:instrText xml:space="preserve"> PAGEREF _Toc219309810 \h </w:instrText>
        </w:r>
        <w:r>
          <w:rPr>
            <w:noProof/>
            <w:webHidden/>
          </w:rPr>
        </w:r>
        <w:r>
          <w:rPr>
            <w:noProof/>
            <w:webHidden/>
          </w:rPr>
          <w:fldChar w:fldCharType="separate"/>
        </w:r>
        <w:r>
          <w:rPr>
            <w:noProof/>
            <w:webHidden/>
          </w:rPr>
          <w:t>489</w:t>
        </w:r>
        <w:r>
          <w:rPr>
            <w:noProof/>
            <w:webHidden/>
          </w:rPr>
          <w:fldChar w:fldCharType="end"/>
        </w:r>
      </w:hyperlink>
    </w:p>
    <w:p w14:paraId="6FFBBFE7"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11" w:history="1">
        <w:r w:rsidRPr="00087766">
          <w:rPr>
            <w:rStyle w:val="af7"/>
            <w:noProof/>
            <w:highlight w:val="green"/>
          </w:rPr>
          <w:t>6.21.2.</w:t>
        </w:r>
        <w:r>
          <w:rPr>
            <w:rFonts w:asciiTheme="minorHAnsi" w:eastAsiaTheme="minorEastAsia" w:hAnsiTheme="minorHAnsi" w:cstheme="minorBidi"/>
            <w:iCs w:val="0"/>
            <w:noProof/>
            <w:sz w:val="22"/>
            <w:szCs w:val="22"/>
          </w:rPr>
          <w:tab/>
        </w:r>
        <w:r w:rsidRPr="00087766">
          <w:rPr>
            <w:rStyle w:val="af7"/>
            <w:noProof/>
            <w:highlight w:val="green"/>
          </w:rPr>
          <w:t>Описание комплексного типа «tMSC_RespInformEPS»</w:t>
        </w:r>
        <w:r>
          <w:rPr>
            <w:noProof/>
            <w:webHidden/>
          </w:rPr>
          <w:tab/>
        </w:r>
        <w:r>
          <w:rPr>
            <w:noProof/>
            <w:webHidden/>
          </w:rPr>
          <w:fldChar w:fldCharType="begin"/>
        </w:r>
        <w:r>
          <w:rPr>
            <w:noProof/>
            <w:webHidden/>
          </w:rPr>
          <w:instrText xml:space="preserve"> PAGEREF _Toc219309811 \h </w:instrText>
        </w:r>
        <w:r>
          <w:rPr>
            <w:noProof/>
            <w:webHidden/>
          </w:rPr>
        </w:r>
        <w:r>
          <w:rPr>
            <w:noProof/>
            <w:webHidden/>
          </w:rPr>
          <w:fldChar w:fldCharType="separate"/>
        </w:r>
        <w:r>
          <w:rPr>
            <w:noProof/>
            <w:webHidden/>
          </w:rPr>
          <w:t>489</w:t>
        </w:r>
        <w:r>
          <w:rPr>
            <w:noProof/>
            <w:webHidden/>
          </w:rPr>
          <w:fldChar w:fldCharType="end"/>
        </w:r>
      </w:hyperlink>
    </w:p>
    <w:p w14:paraId="27FDE699"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12" w:history="1">
        <w:r w:rsidRPr="00087766">
          <w:rPr>
            <w:rStyle w:val="af7"/>
            <w:noProof/>
          </w:rPr>
          <w:t>6.21.3.</w:t>
        </w:r>
        <w:r>
          <w:rPr>
            <w:rFonts w:asciiTheme="minorHAnsi" w:eastAsiaTheme="minorEastAsia" w:hAnsiTheme="minorHAnsi" w:cstheme="minorBidi"/>
            <w:iCs w:val="0"/>
            <w:noProof/>
            <w:sz w:val="22"/>
            <w:szCs w:val="22"/>
          </w:rPr>
          <w:tab/>
        </w:r>
        <w:r w:rsidRPr="00087766">
          <w:rPr>
            <w:rStyle w:val="af7"/>
            <w:noProof/>
          </w:rPr>
          <w:t>Описание комплексного типа «tEDRowRequest»</w:t>
        </w:r>
        <w:r>
          <w:rPr>
            <w:noProof/>
            <w:webHidden/>
          </w:rPr>
          <w:tab/>
        </w:r>
        <w:r>
          <w:rPr>
            <w:noProof/>
            <w:webHidden/>
          </w:rPr>
          <w:fldChar w:fldCharType="begin"/>
        </w:r>
        <w:r>
          <w:rPr>
            <w:noProof/>
            <w:webHidden/>
          </w:rPr>
          <w:instrText xml:space="preserve"> PAGEREF _Toc219309812 \h </w:instrText>
        </w:r>
        <w:r>
          <w:rPr>
            <w:noProof/>
            <w:webHidden/>
          </w:rPr>
        </w:r>
        <w:r>
          <w:rPr>
            <w:noProof/>
            <w:webHidden/>
          </w:rPr>
          <w:fldChar w:fldCharType="separate"/>
        </w:r>
        <w:r>
          <w:rPr>
            <w:noProof/>
            <w:webHidden/>
          </w:rPr>
          <w:t>493</w:t>
        </w:r>
        <w:r>
          <w:rPr>
            <w:noProof/>
            <w:webHidden/>
          </w:rPr>
          <w:fldChar w:fldCharType="end"/>
        </w:r>
      </w:hyperlink>
    </w:p>
    <w:p w14:paraId="528441CA"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13" w:history="1">
        <w:r w:rsidRPr="00087766">
          <w:rPr>
            <w:rStyle w:val="af7"/>
            <w:noProof/>
          </w:rPr>
          <w:t>6.21.4.</w:t>
        </w:r>
        <w:r>
          <w:rPr>
            <w:rFonts w:asciiTheme="minorHAnsi" w:eastAsiaTheme="minorEastAsia" w:hAnsiTheme="minorHAnsi" w:cstheme="minorBidi"/>
            <w:iCs w:val="0"/>
            <w:noProof/>
            <w:sz w:val="22"/>
            <w:szCs w:val="22"/>
          </w:rPr>
          <w:tab/>
        </w:r>
        <w:r w:rsidRPr="00087766">
          <w:rPr>
            <w:rStyle w:val="af7"/>
            <w:noProof/>
          </w:rPr>
          <w:t>Описание комплексного типа «tEDRowRequest_ITEM»</w:t>
        </w:r>
        <w:r>
          <w:rPr>
            <w:noProof/>
            <w:webHidden/>
          </w:rPr>
          <w:tab/>
        </w:r>
        <w:r>
          <w:rPr>
            <w:noProof/>
            <w:webHidden/>
          </w:rPr>
          <w:fldChar w:fldCharType="begin"/>
        </w:r>
        <w:r>
          <w:rPr>
            <w:noProof/>
            <w:webHidden/>
          </w:rPr>
          <w:instrText xml:space="preserve"> PAGEREF _Toc219309813 \h </w:instrText>
        </w:r>
        <w:r>
          <w:rPr>
            <w:noProof/>
            <w:webHidden/>
          </w:rPr>
        </w:r>
        <w:r>
          <w:rPr>
            <w:noProof/>
            <w:webHidden/>
          </w:rPr>
          <w:fldChar w:fldCharType="separate"/>
        </w:r>
        <w:r>
          <w:rPr>
            <w:noProof/>
            <w:webHidden/>
          </w:rPr>
          <w:t>493</w:t>
        </w:r>
        <w:r>
          <w:rPr>
            <w:noProof/>
            <w:webHidden/>
          </w:rPr>
          <w:fldChar w:fldCharType="end"/>
        </w:r>
      </w:hyperlink>
    </w:p>
    <w:p w14:paraId="36DCC3CA"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14" w:history="1">
        <w:r w:rsidRPr="00087766">
          <w:rPr>
            <w:rStyle w:val="af7"/>
            <w:noProof/>
          </w:rPr>
          <w:t>6.21.5.</w:t>
        </w:r>
        <w:r>
          <w:rPr>
            <w:rFonts w:asciiTheme="minorHAnsi" w:eastAsiaTheme="minorEastAsia" w:hAnsiTheme="minorHAnsi" w:cstheme="minorBidi"/>
            <w:iCs w:val="0"/>
            <w:noProof/>
            <w:sz w:val="22"/>
            <w:szCs w:val="22"/>
          </w:rPr>
          <w:tab/>
        </w:r>
        <w:r w:rsidRPr="00087766">
          <w:rPr>
            <w:rStyle w:val="af7"/>
            <w:noProof/>
          </w:rPr>
          <w:t>Описание комплексного типа «tSGNNmPsPhDt»</w:t>
        </w:r>
        <w:r>
          <w:rPr>
            <w:noProof/>
            <w:webHidden/>
          </w:rPr>
          <w:tab/>
        </w:r>
        <w:r>
          <w:rPr>
            <w:noProof/>
            <w:webHidden/>
          </w:rPr>
          <w:fldChar w:fldCharType="begin"/>
        </w:r>
        <w:r>
          <w:rPr>
            <w:noProof/>
            <w:webHidden/>
          </w:rPr>
          <w:instrText xml:space="preserve"> PAGEREF _Toc219309814 \h </w:instrText>
        </w:r>
        <w:r>
          <w:rPr>
            <w:noProof/>
            <w:webHidden/>
          </w:rPr>
        </w:r>
        <w:r>
          <w:rPr>
            <w:noProof/>
            <w:webHidden/>
          </w:rPr>
          <w:fldChar w:fldCharType="separate"/>
        </w:r>
        <w:r>
          <w:rPr>
            <w:noProof/>
            <w:webHidden/>
          </w:rPr>
          <w:t>493</w:t>
        </w:r>
        <w:r>
          <w:rPr>
            <w:noProof/>
            <w:webHidden/>
          </w:rPr>
          <w:fldChar w:fldCharType="end"/>
        </w:r>
      </w:hyperlink>
    </w:p>
    <w:p w14:paraId="4E4FFB51"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15" w:history="1">
        <w:r w:rsidRPr="00087766">
          <w:rPr>
            <w:rStyle w:val="af7"/>
            <w:noProof/>
          </w:rPr>
          <w:t>6.21.6.</w:t>
        </w:r>
        <w:r>
          <w:rPr>
            <w:rFonts w:asciiTheme="minorHAnsi" w:eastAsiaTheme="minorEastAsia" w:hAnsiTheme="minorHAnsi" w:cstheme="minorBidi"/>
            <w:iCs w:val="0"/>
            <w:noProof/>
            <w:sz w:val="22"/>
            <w:szCs w:val="22"/>
          </w:rPr>
          <w:tab/>
        </w:r>
        <w:r w:rsidRPr="00087766">
          <w:rPr>
            <w:rStyle w:val="af7"/>
            <w:noProof/>
          </w:rPr>
          <w:t>Описание комплексного типа «tSGNNmPsDt»</w:t>
        </w:r>
        <w:r>
          <w:rPr>
            <w:noProof/>
            <w:webHidden/>
          </w:rPr>
          <w:tab/>
        </w:r>
        <w:r>
          <w:rPr>
            <w:noProof/>
            <w:webHidden/>
          </w:rPr>
          <w:fldChar w:fldCharType="begin"/>
        </w:r>
        <w:r>
          <w:rPr>
            <w:noProof/>
            <w:webHidden/>
          </w:rPr>
          <w:instrText xml:space="preserve"> PAGEREF _Toc219309815 \h </w:instrText>
        </w:r>
        <w:r>
          <w:rPr>
            <w:noProof/>
            <w:webHidden/>
          </w:rPr>
        </w:r>
        <w:r>
          <w:rPr>
            <w:noProof/>
            <w:webHidden/>
          </w:rPr>
          <w:fldChar w:fldCharType="separate"/>
        </w:r>
        <w:r>
          <w:rPr>
            <w:noProof/>
            <w:webHidden/>
          </w:rPr>
          <w:t>494</w:t>
        </w:r>
        <w:r>
          <w:rPr>
            <w:noProof/>
            <w:webHidden/>
          </w:rPr>
          <w:fldChar w:fldCharType="end"/>
        </w:r>
      </w:hyperlink>
    </w:p>
    <w:p w14:paraId="6D693195"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16" w:history="1">
        <w:r w:rsidRPr="00087766">
          <w:rPr>
            <w:rStyle w:val="af7"/>
            <w:noProof/>
          </w:rPr>
          <w:t>6.21.7.</w:t>
        </w:r>
        <w:r>
          <w:rPr>
            <w:rFonts w:asciiTheme="minorHAnsi" w:eastAsiaTheme="minorEastAsia" w:hAnsiTheme="minorHAnsi" w:cstheme="minorBidi"/>
            <w:iCs w:val="0"/>
            <w:noProof/>
            <w:sz w:val="22"/>
            <w:szCs w:val="22"/>
          </w:rPr>
          <w:tab/>
        </w:r>
        <w:r w:rsidRPr="00087766">
          <w:rPr>
            <w:rStyle w:val="af7"/>
            <w:noProof/>
          </w:rPr>
          <w:t>Описание комплексного типа «tSGNNmPs1»</w:t>
        </w:r>
        <w:r>
          <w:rPr>
            <w:noProof/>
            <w:webHidden/>
          </w:rPr>
          <w:tab/>
        </w:r>
        <w:r>
          <w:rPr>
            <w:noProof/>
            <w:webHidden/>
          </w:rPr>
          <w:fldChar w:fldCharType="begin"/>
        </w:r>
        <w:r>
          <w:rPr>
            <w:noProof/>
            <w:webHidden/>
          </w:rPr>
          <w:instrText xml:space="preserve"> PAGEREF _Toc219309816 \h </w:instrText>
        </w:r>
        <w:r>
          <w:rPr>
            <w:noProof/>
            <w:webHidden/>
          </w:rPr>
        </w:r>
        <w:r>
          <w:rPr>
            <w:noProof/>
            <w:webHidden/>
          </w:rPr>
          <w:fldChar w:fldCharType="separate"/>
        </w:r>
        <w:r>
          <w:rPr>
            <w:noProof/>
            <w:webHidden/>
          </w:rPr>
          <w:t>494</w:t>
        </w:r>
        <w:r>
          <w:rPr>
            <w:noProof/>
            <w:webHidden/>
          </w:rPr>
          <w:fldChar w:fldCharType="end"/>
        </w:r>
      </w:hyperlink>
    </w:p>
    <w:p w14:paraId="77A01531"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17" w:history="1">
        <w:r w:rsidRPr="00087766">
          <w:rPr>
            <w:rStyle w:val="af7"/>
            <w:noProof/>
          </w:rPr>
          <w:t>6.21.8.</w:t>
        </w:r>
        <w:r>
          <w:rPr>
            <w:rFonts w:asciiTheme="minorHAnsi" w:eastAsiaTheme="minorEastAsia" w:hAnsiTheme="minorHAnsi" w:cstheme="minorBidi"/>
            <w:iCs w:val="0"/>
            <w:noProof/>
            <w:sz w:val="22"/>
            <w:szCs w:val="22"/>
          </w:rPr>
          <w:tab/>
        </w:r>
        <w:r w:rsidRPr="00087766">
          <w:rPr>
            <w:rStyle w:val="af7"/>
            <w:noProof/>
          </w:rPr>
          <w:t>Пример XML</w:t>
        </w:r>
        <w:r>
          <w:rPr>
            <w:noProof/>
            <w:webHidden/>
          </w:rPr>
          <w:tab/>
        </w:r>
        <w:r>
          <w:rPr>
            <w:noProof/>
            <w:webHidden/>
          </w:rPr>
          <w:fldChar w:fldCharType="begin"/>
        </w:r>
        <w:r>
          <w:rPr>
            <w:noProof/>
            <w:webHidden/>
          </w:rPr>
          <w:instrText xml:space="preserve"> PAGEREF _Toc219309817 \h </w:instrText>
        </w:r>
        <w:r>
          <w:rPr>
            <w:noProof/>
            <w:webHidden/>
          </w:rPr>
        </w:r>
        <w:r>
          <w:rPr>
            <w:noProof/>
            <w:webHidden/>
          </w:rPr>
          <w:fldChar w:fldCharType="separate"/>
        </w:r>
        <w:r>
          <w:rPr>
            <w:noProof/>
            <w:webHidden/>
          </w:rPr>
          <w:t>495</w:t>
        </w:r>
        <w:r>
          <w:rPr>
            <w:noProof/>
            <w:webHidden/>
          </w:rPr>
          <w:fldChar w:fldCharType="end"/>
        </w:r>
      </w:hyperlink>
    </w:p>
    <w:p w14:paraId="5359E093" w14:textId="77777777" w:rsidR="008D797C" w:rsidRDefault="008D797C">
      <w:pPr>
        <w:pStyle w:val="16"/>
        <w:rPr>
          <w:rFonts w:asciiTheme="minorHAnsi" w:eastAsiaTheme="minorEastAsia" w:hAnsiTheme="minorHAnsi" w:cstheme="minorBidi"/>
          <w:b w:val="0"/>
          <w:caps w:val="0"/>
          <w:noProof/>
          <w:sz w:val="22"/>
          <w:szCs w:val="22"/>
        </w:rPr>
      </w:pPr>
      <w:hyperlink w:anchor="_Toc219309818" w:history="1">
        <w:r w:rsidRPr="00087766">
          <w:rPr>
            <w:rStyle w:val="af7"/>
            <w:noProof/>
          </w:rPr>
          <w:t>7.</w:t>
        </w:r>
        <w:r>
          <w:rPr>
            <w:rFonts w:asciiTheme="minorHAnsi" w:eastAsiaTheme="minorEastAsia" w:hAnsiTheme="minorHAnsi" w:cstheme="minorBidi"/>
            <w:b w:val="0"/>
            <w:caps w:val="0"/>
            <w:noProof/>
            <w:sz w:val="22"/>
            <w:szCs w:val="22"/>
          </w:rPr>
          <w:tab/>
        </w:r>
        <w:r w:rsidRPr="00087766">
          <w:rPr>
            <w:rStyle w:val="af7"/>
            <w:noProof/>
          </w:rPr>
          <w:t xml:space="preserve">Требования к составу информации при информационном взаимодействии между получателями бюджетных средств или </w:t>
        </w:r>
        <w:r w:rsidRPr="00087766">
          <w:rPr>
            <w:rStyle w:val="af7"/>
            <w:noProof/>
          </w:rPr>
          <w:lastRenderedPageBreak/>
          <w:t>ЕИС и территориальными органами Федерального казначейства в сфере закупок</w:t>
        </w:r>
        <w:r>
          <w:rPr>
            <w:noProof/>
            <w:webHidden/>
          </w:rPr>
          <w:tab/>
        </w:r>
        <w:r>
          <w:rPr>
            <w:noProof/>
            <w:webHidden/>
          </w:rPr>
          <w:fldChar w:fldCharType="begin"/>
        </w:r>
        <w:r>
          <w:rPr>
            <w:noProof/>
            <w:webHidden/>
          </w:rPr>
          <w:instrText xml:space="preserve"> PAGEREF _Toc219309818 \h </w:instrText>
        </w:r>
        <w:r>
          <w:rPr>
            <w:noProof/>
            <w:webHidden/>
          </w:rPr>
        </w:r>
        <w:r>
          <w:rPr>
            <w:noProof/>
            <w:webHidden/>
          </w:rPr>
          <w:fldChar w:fldCharType="separate"/>
        </w:r>
        <w:r>
          <w:rPr>
            <w:noProof/>
            <w:webHidden/>
          </w:rPr>
          <w:t>500</w:t>
        </w:r>
        <w:r>
          <w:rPr>
            <w:noProof/>
            <w:webHidden/>
          </w:rPr>
          <w:fldChar w:fldCharType="end"/>
        </w:r>
      </w:hyperlink>
    </w:p>
    <w:p w14:paraId="3A095745" w14:textId="77777777" w:rsidR="008D797C" w:rsidRDefault="008D797C">
      <w:pPr>
        <w:pStyle w:val="2a"/>
        <w:tabs>
          <w:tab w:val="left" w:pos="960"/>
          <w:tab w:val="right" w:leader="dot" w:pos="9628"/>
        </w:tabs>
        <w:rPr>
          <w:rFonts w:asciiTheme="minorHAnsi" w:eastAsiaTheme="minorEastAsia" w:hAnsiTheme="minorHAnsi" w:cstheme="minorBidi"/>
          <w:noProof/>
          <w:sz w:val="22"/>
          <w:szCs w:val="22"/>
        </w:rPr>
      </w:pPr>
      <w:hyperlink w:anchor="_Toc219309819" w:history="1">
        <w:r w:rsidRPr="00087766">
          <w:rPr>
            <w:rStyle w:val="af7"/>
            <w:noProof/>
          </w:rPr>
          <w:t>7.1.</w:t>
        </w:r>
        <w:r>
          <w:rPr>
            <w:rFonts w:asciiTheme="minorHAnsi" w:eastAsiaTheme="minorEastAsia" w:hAnsiTheme="minorHAnsi" w:cstheme="minorBidi"/>
            <w:noProof/>
            <w:sz w:val="22"/>
            <w:szCs w:val="22"/>
          </w:rPr>
          <w:tab/>
        </w:r>
        <w:r w:rsidRPr="00087766">
          <w:rPr>
            <w:rStyle w:val="af7"/>
            <w:noProof/>
          </w:rPr>
          <w:t>Описание документа «Сведения из плана закупок/плана-графика закупок»</w:t>
        </w:r>
        <w:r>
          <w:rPr>
            <w:noProof/>
            <w:webHidden/>
          </w:rPr>
          <w:tab/>
        </w:r>
        <w:r>
          <w:rPr>
            <w:noProof/>
            <w:webHidden/>
          </w:rPr>
          <w:fldChar w:fldCharType="begin"/>
        </w:r>
        <w:r>
          <w:rPr>
            <w:noProof/>
            <w:webHidden/>
          </w:rPr>
          <w:instrText xml:space="preserve"> PAGEREF _Toc219309819 \h </w:instrText>
        </w:r>
        <w:r>
          <w:rPr>
            <w:noProof/>
            <w:webHidden/>
          </w:rPr>
        </w:r>
        <w:r>
          <w:rPr>
            <w:noProof/>
            <w:webHidden/>
          </w:rPr>
          <w:fldChar w:fldCharType="separate"/>
        </w:r>
        <w:r>
          <w:rPr>
            <w:noProof/>
            <w:webHidden/>
          </w:rPr>
          <w:t>501</w:t>
        </w:r>
        <w:r>
          <w:rPr>
            <w:noProof/>
            <w:webHidden/>
          </w:rPr>
          <w:fldChar w:fldCharType="end"/>
        </w:r>
      </w:hyperlink>
    </w:p>
    <w:p w14:paraId="1365D32D"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20" w:history="1">
        <w:r w:rsidRPr="00087766">
          <w:rPr>
            <w:rStyle w:val="af7"/>
            <w:noProof/>
          </w:rPr>
          <w:t>7.1.1.</w:t>
        </w:r>
        <w:r>
          <w:rPr>
            <w:rFonts w:asciiTheme="minorHAnsi" w:eastAsiaTheme="minorEastAsia" w:hAnsiTheme="minorHAnsi" w:cstheme="minorBidi"/>
            <w:iCs w:val="0"/>
            <w:noProof/>
            <w:sz w:val="22"/>
            <w:szCs w:val="22"/>
          </w:rPr>
          <w:tab/>
        </w:r>
        <w:r w:rsidRPr="00087766">
          <w:rPr>
            <w:rStyle w:val="af7"/>
            <w:noProof/>
          </w:rPr>
          <w:t>Назначение и маршрут документа</w:t>
        </w:r>
        <w:r>
          <w:rPr>
            <w:noProof/>
            <w:webHidden/>
          </w:rPr>
          <w:tab/>
        </w:r>
        <w:r>
          <w:rPr>
            <w:noProof/>
            <w:webHidden/>
          </w:rPr>
          <w:fldChar w:fldCharType="begin"/>
        </w:r>
        <w:r>
          <w:rPr>
            <w:noProof/>
            <w:webHidden/>
          </w:rPr>
          <w:instrText xml:space="preserve"> PAGEREF _Toc219309820 \h </w:instrText>
        </w:r>
        <w:r>
          <w:rPr>
            <w:noProof/>
            <w:webHidden/>
          </w:rPr>
        </w:r>
        <w:r>
          <w:rPr>
            <w:noProof/>
            <w:webHidden/>
          </w:rPr>
          <w:fldChar w:fldCharType="separate"/>
        </w:r>
        <w:r>
          <w:rPr>
            <w:noProof/>
            <w:webHidden/>
          </w:rPr>
          <w:t>501</w:t>
        </w:r>
        <w:r>
          <w:rPr>
            <w:noProof/>
            <w:webHidden/>
          </w:rPr>
          <w:fldChar w:fldCharType="end"/>
        </w:r>
      </w:hyperlink>
    </w:p>
    <w:p w14:paraId="44632869"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21" w:history="1">
        <w:r w:rsidRPr="00087766">
          <w:rPr>
            <w:rStyle w:val="af7"/>
            <w:noProof/>
          </w:rPr>
          <w:t>7.1.2.</w:t>
        </w:r>
        <w:r>
          <w:rPr>
            <w:rFonts w:asciiTheme="minorHAnsi" w:eastAsiaTheme="minorEastAsia" w:hAnsiTheme="minorHAnsi" w:cstheme="minorBidi"/>
            <w:iCs w:val="0"/>
            <w:noProof/>
            <w:sz w:val="22"/>
            <w:szCs w:val="22"/>
          </w:rPr>
          <w:tab/>
        </w:r>
        <w:r w:rsidRPr="00087766">
          <w:rPr>
            <w:rStyle w:val="af7"/>
            <w:noProof/>
          </w:rPr>
          <w:t>Описание комплексного типа «tPUR_InformPlan»</w:t>
        </w:r>
        <w:r>
          <w:rPr>
            <w:noProof/>
            <w:webHidden/>
          </w:rPr>
          <w:tab/>
        </w:r>
        <w:r>
          <w:rPr>
            <w:noProof/>
            <w:webHidden/>
          </w:rPr>
          <w:fldChar w:fldCharType="begin"/>
        </w:r>
        <w:r>
          <w:rPr>
            <w:noProof/>
            <w:webHidden/>
          </w:rPr>
          <w:instrText xml:space="preserve"> PAGEREF _Toc219309821 \h </w:instrText>
        </w:r>
        <w:r>
          <w:rPr>
            <w:noProof/>
            <w:webHidden/>
          </w:rPr>
        </w:r>
        <w:r>
          <w:rPr>
            <w:noProof/>
            <w:webHidden/>
          </w:rPr>
          <w:fldChar w:fldCharType="separate"/>
        </w:r>
        <w:r>
          <w:rPr>
            <w:noProof/>
            <w:webHidden/>
          </w:rPr>
          <w:t>501</w:t>
        </w:r>
        <w:r>
          <w:rPr>
            <w:noProof/>
            <w:webHidden/>
          </w:rPr>
          <w:fldChar w:fldCharType="end"/>
        </w:r>
      </w:hyperlink>
    </w:p>
    <w:p w14:paraId="2B120D6D"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22" w:history="1">
        <w:r w:rsidRPr="00087766">
          <w:rPr>
            <w:rStyle w:val="af7"/>
            <w:noProof/>
          </w:rPr>
          <w:t>7.1.3.</w:t>
        </w:r>
        <w:r>
          <w:rPr>
            <w:rFonts w:asciiTheme="minorHAnsi" w:eastAsiaTheme="minorEastAsia" w:hAnsiTheme="minorHAnsi" w:cstheme="minorBidi"/>
            <w:iCs w:val="0"/>
            <w:noProof/>
            <w:sz w:val="22"/>
            <w:szCs w:val="22"/>
          </w:rPr>
          <w:tab/>
        </w:r>
        <w:r w:rsidRPr="00087766">
          <w:rPr>
            <w:rStyle w:val="af7"/>
            <w:noProof/>
          </w:rPr>
          <w:t>Описание комплексного типа «tTypeComplex»</w:t>
        </w:r>
        <w:r>
          <w:rPr>
            <w:noProof/>
            <w:webHidden/>
          </w:rPr>
          <w:tab/>
        </w:r>
        <w:r>
          <w:rPr>
            <w:noProof/>
            <w:webHidden/>
          </w:rPr>
          <w:fldChar w:fldCharType="begin"/>
        </w:r>
        <w:r>
          <w:rPr>
            <w:noProof/>
            <w:webHidden/>
          </w:rPr>
          <w:instrText xml:space="preserve"> PAGEREF _Toc219309822 \h </w:instrText>
        </w:r>
        <w:r>
          <w:rPr>
            <w:noProof/>
            <w:webHidden/>
          </w:rPr>
        </w:r>
        <w:r>
          <w:rPr>
            <w:noProof/>
            <w:webHidden/>
          </w:rPr>
          <w:fldChar w:fldCharType="separate"/>
        </w:r>
        <w:r>
          <w:rPr>
            <w:noProof/>
            <w:webHidden/>
          </w:rPr>
          <w:t>504</w:t>
        </w:r>
        <w:r>
          <w:rPr>
            <w:noProof/>
            <w:webHidden/>
          </w:rPr>
          <w:fldChar w:fldCharType="end"/>
        </w:r>
      </w:hyperlink>
    </w:p>
    <w:p w14:paraId="6E99DACC"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23" w:history="1">
        <w:r w:rsidRPr="00087766">
          <w:rPr>
            <w:rStyle w:val="af7"/>
            <w:noProof/>
          </w:rPr>
          <w:t>7.1.4.</w:t>
        </w:r>
        <w:r>
          <w:rPr>
            <w:rFonts w:asciiTheme="minorHAnsi" w:eastAsiaTheme="minorEastAsia" w:hAnsiTheme="minorHAnsi" w:cstheme="minorBidi"/>
            <w:iCs w:val="0"/>
            <w:noProof/>
            <w:sz w:val="22"/>
            <w:szCs w:val="22"/>
          </w:rPr>
          <w:tab/>
        </w:r>
        <w:r w:rsidRPr="00087766">
          <w:rPr>
            <w:rStyle w:val="af7"/>
            <w:noProof/>
          </w:rPr>
          <w:t>Описание комплексного типа «tFinanceInfo»</w:t>
        </w:r>
        <w:r>
          <w:rPr>
            <w:noProof/>
            <w:webHidden/>
          </w:rPr>
          <w:tab/>
        </w:r>
        <w:r>
          <w:rPr>
            <w:noProof/>
            <w:webHidden/>
          </w:rPr>
          <w:fldChar w:fldCharType="begin"/>
        </w:r>
        <w:r>
          <w:rPr>
            <w:noProof/>
            <w:webHidden/>
          </w:rPr>
          <w:instrText xml:space="preserve"> PAGEREF _Toc219309823 \h </w:instrText>
        </w:r>
        <w:r>
          <w:rPr>
            <w:noProof/>
            <w:webHidden/>
          </w:rPr>
        </w:r>
        <w:r>
          <w:rPr>
            <w:noProof/>
            <w:webHidden/>
          </w:rPr>
          <w:fldChar w:fldCharType="separate"/>
        </w:r>
        <w:r>
          <w:rPr>
            <w:noProof/>
            <w:webHidden/>
          </w:rPr>
          <w:t>504</w:t>
        </w:r>
        <w:r>
          <w:rPr>
            <w:noProof/>
            <w:webHidden/>
          </w:rPr>
          <w:fldChar w:fldCharType="end"/>
        </w:r>
      </w:hyperlink>
    </w:p>
    <w:p w14:paraId="1F6BB9E6"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24" w:history="1">
        <w:r w:rsidRPr="00087766">
          <w:rPr>
            <w:rStyle w:val="af7"/>
            <w:noProof/>
          </w:rPr>
          <w:t>7.1.5.</w:t>
        </w:r>
        <w:r>
          <w:rPr>
            <w:rFonts w:asciiTheme="minorHAnsi" w:eastAsiaTheme="minorEastAsia" w:hAnsiTheme="minorHAnsi" w:cstheme="minorBidi"/>
            <w:iCs w:val="0"/>
            <w:noProof/>
            <w:sz w:val="22"/>
            <w:szCs w:val="22"/>
          </w:rPr>
          <w:tab/>
        </w:r>
        <w:r w:rsidRPr="00087766">
          <w:rPr>
            <w:rStyle w:val="af7"/>
            <w:noProof/>
          </w:rPr>
          <w:t>Описание комплексного типа «tFinanceInfoItem»</w:t>
        </w:r>
        <w:r>
          <w:rPr>
            <w:noProof/>
            <w:webHidden/>
          </w:rPr>
          <w:tab/>
        </w:r>
        <w:r>
          <w:rPr>
            <w:noProof/>
            <w:webHidden/>
          </w:rPr>
          <w:fldChar w:fldCharType="begin"/>
        </w:r>
        <w:r>
          <w:rPr>
            <w:noProof/>
            <w:webHidden/>
          </w:rPr>
          <w:instrText xml:space="preserve"> PAGEREF _Toc219309824 \h </w:instrText>
        </w:r>
        <w:r>
          <w:rPr>
            <w:noProof/>
            <w:webHidden/>
          </w:rPr>
        </w:r>
        <w:r>
          <w:rPr>
            <w:noProof/>
            <w:webHidden/>
          </w:rPr>
          <w:fldChar w:fldCharType="separate"/>
        </w:r>
        <w:r>
          <w:rPr>
            <w:noProof/>
            <w:webHidden/>
          </w:rPr>
          <w:t>504</w:t>
        </w:r>
        <w:r>
          <w:rPr>
            <w:noProof/>
            <w:webHidden/>
          </w:rPr>
          <w:fldChar w:fldCharType="end"/>
        </w:r>
      </w:hyperlink>
    </w:p>
    <w:p w14:paraId="02C774B7"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25" w:history="1">
        <w:r w:rsidRPr="00087766">
          <w:rPr>
            <w:rStyle w:val="af7"/>
            <w:noProof/>
          </w:rPr>
          <w:t>7.1.6.</w:t>
        </w:r>
        <w:r>
          <w:rPr>
            <w:rFonts w:asciiTheme="minorHAnsi" w:eastAsiaTheme="minorEastAsia" w:hAnsiTheme="minorHAnsi" w:cstheme="minorBidi"/>
            <w:iCs w:val="0"/>
            <w:noProof/>
            <w:sz w:val="22"/>
            <w:szCs w:val="22"/>
          </w:rPr>
          <w:tab/>
        </w:r>
        <w:r w:rsidRPr="00087766">
          <w:rPr>
            <w:rStyle w:val="af7"/>
            <w:noProof/>
          </w:rPr>
          <w:t>Описание комплексного типа «tfinanceInfoKBK»</w:t>
        </w:r>
        <w:r>
          <w:rPr>
            <w:noProof/>
            <w:webHidden/>
          </w:rPr>
          <w:tab/>
        </w:r>
        <w:r>
          <w:rPr>
            <w:noProof/>
            <w:webHidden/>
          </w:rPr>
          <w:fldChar w:fldCharType="begin"/>
        </w:r>
        <w:r>
          <w:rPr>
            <w:noProof/>
            <w:webHidden/>
          </w:rPr>
          <w:instrText xml:space="preserve"> PAGEREF _Toc219309825 \h </w:instrText>
        </w:r>
        <w:r>
          <w:rPr>
            <w:noProof/>
            <w:webHidden/>
          </w:rPr>
        </w:r>
        <w:r>
          <w:rPr>
            <w:noProof/>
            <w:webHidden/>
          </w:rPr>
          <w:fldChar w:fldCharType="separate"/>
        </w:r>
        <w:r>
          <w:rPr>
            <w:noProof/>
            <w:webHidden/>
          </w:rPr>
          <w:t>505</w:t>
        </w:r>
        <w:r>
          <w:rPr>
            <w:noProof/>
            <w:webHidden/>
          </w:rPr>
          <w:fldChar w:fldCharType="end"/>
        </w:r>
      </w:hyperlink>
    </w:p>
    <w:p w14:paraId="38D540E3"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26" w:history="1">
        <w:r w:rsidRPr="00087766">
          <w:rPr>
            <w:rStyle w:val="af7"/>
            <w:noProof/>
          </w:rPr>
          <w:t>7.1.7.</w:t>
        </w:r>
        <w:r>
          <w:rPr>
            <w:rFonts w:asciiTheme="minorHAnsi" w:eastAsiaTheme="minorEastAsia" w:hAnsiTheme="minorHAnsi" w:cstheme="minorBidi"/>
            <w:iCs w:val="0"/>
            <w:noProof/>
            <w:sz w:val="22"/>
            <w:szCs w:val="22"/>
          </w:rPr>
          <w:tab/>
        </w:r>
        <w:r w:rsidRPr="00087766">
          <w:rPr>
            <w:rStyle w:val="af7"/>
            <w:noProof/>
          </w:rPr>
          <w:t>Описание комплексного типа «tfinanceInfoKBKItem»</w:t>
        </w:r>
        <w:r>
          <w:rPr>
            <w:noProof/>
            <w:webHidden/>
          </w:rPr>
          <w:tab/>
        </w:r>
        <w:r>
          <w:rPr>
            <w:noProof/>
            <w:webHidden/>
          </w:rPr>
          <w:fldChar w:fldCharType="begin"/>
        </w:r>
        <w:r>
          <w:rPr>
            <w:noProof/>
            <w:webHidden/>
          </w:rPr>
          <w:instrText xml:space="preserve"> PAGEREF _Toc219309826 \h </w:instrText>
        </w:r>
        <w:r>
          <w:rPr>
            <w:noProof/>
            <w:webHidden/>
          </w:rPr>
        </w:r>
        <w:r>
          <w:rPr>
            <w:noProof/>
            <w:webHidden/>
          </w:rPr>
          <w:fldChar w:fldCharType="separate"/>
        </w:r>
        <w:r>
          <w:rPr>
            <w:noProof/>
            <w:webHidden/>
          </w:rPr>
          <w:t>506</w:t>
        </w:r>
        <w:r>
          <w:rPr>
            <w:noProof/>
            <w:webHidden/>
          </w:rPr>
          <w:fldChar w:fldCharType="end"/>
        </w:r>
      </w:hyperlink>
    </w:p>
    <w:p w14:paraId="682704FA"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27" w:history="1">
        <w:r w:rsidRPr="00087766">
          <w:rPr>
            <w:rStyle w:val="af7"/>
            <w:noProof/>
          </w:rPr>
          <w:t>7.1.8.</w:t>
        </w:r>
        <w:r>
          <w:rPr>
            <w:rFonts w:asciiTheme="minorHAnsi" w:eastAsiaTheme="minorEastAsia" w:hAnsiTheme="minorHAnsi" w:cstheme="minorBidi"/>
            <w:iCs w:val="0"/>
            <w:noProof/>
            <w:sz w:val="22"/>
            <w:szCs w:val="22"/>
          </w:rPr>
          <w:tab/>
        </w:r>
        <w:r w:rsidRPr="00087766">
          <w:rPr>
            <w:rStyle w:val="af7"/>
            <w:noProof/>
          </w:rPr>
          <w:t>Описание комплексного типа «tfinanceInfoKOKS»</w:t>
        </w:r>
        <w:r>
          <w:rPr>
            <w:noProof/>
            <w:webHidden/>
          </w:rPr>
          <w:tab/>
        </w:r>
        <w:r>
          <w:rPr>
            <w:noProof/>
            <w:webHidden/>
          </w:rPr>
          <w:fldChar w:fldCharType="begin"/>
        </w:r>
        <w:r>
          <w:rPr>
            <w:noProof/>
            <w:webHidden/>
          </w:rPr>
          <w:instrText xml:space="preserve"> PAGEREF _Toc219309827 \h </w:instrText>
        </w:r>
        <w:r>
          <w:rPr>
            <w:noProof/>
            <w:webHidden/>
          </w:rPr>
        </w:r>
        <w:r>
          <w:rPr>
            <w:noProof/>
            <w:webHidden/>
          </w:rPr>
          <w:fldChar w:fldCharType="separate"/>
        </w:r>
        <w:r>
          <w:rPr>
            <w:noProof/>
            <w:webHidden/>
          </w:rPr>
          <w:t>507</w:t>
        </w:r>
        <w:r>
          <w:rPr>
            <w:noProof/>
            <w:webHidden/>
          </w:rPr>
          <w:fldChar w:fldCharType="end"/>
        </w:r>
      </w:hyperlink>
    </w:p>
    <w:p w14:paraId="3BF6EAB9"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28" w:history="1">
        <w:r w:rsidRPr="00087766">
          <w:rPr>
            <w:rStyle w:val="af7"/>
            <w:noProof/>
          </w:rPr>
          <w:t>7.1.9.</w:t>
        </w:r>
        <w:r>
          <w:rPr>
            <w:rFonts w:asciiTheme="minorHAnsi" w:eastAsiaTheme="minorEastAsia" w:hAnsiTheme="minorHAnsi" w:cstheme="minorBidi"/>
            <w:iCs w:val="0"/>
            <w:noProof/>
            <w:sz w:val="22"/>
            <w:szCs w:val="22"/>
          </w:rPr>
          <w:tab/>
        </w:r>
        <w:r w:rsidRPr="00087766">
          <w:rPr>
            <w:rStyle w:val="af7"/>
            <w:noProof/>
          </w:rPr>
          <w:t>Описание комплексного типа «tfinanceInfoKOKSItem»</w:t>
        </w:r>
        <w:r>
          <w:rPr>
            <w:noProof/>
            <w:webHidden/>
          </w:rPr>
          <w:tab/>
        </w:r>
        <w:r>
          <w:rPr>
            <w:noProof/>
            <w:webHidden/>
          </w:rPr>
          <w:fldChar w:fldCharType="begin"/>
        </w:r>
        <w:r>
          <w:rPr>
            <w:noProof/>
            <w:webHidden/>
          </w:rPr>
          <w:instrText xml:space="preserve"> PAGEREF _Toc219309828 \h </w:instrText>
        </w:r>
        <w:r>
          <w:rPr>
            <w:noProof/>
            <w:webHidden/>
          </w:rPr>
        </w:r>
        <w:r>
          <w:rPr>
            <w:noProof/>
            <w:webHidden/>
          </w:rPr>
          <w:fldChar w:fldCharType="separate"/>
        </w:r>
        <w:r>
          <w:rPr>
            <w:noProof/>
            <w:webHidden/>
          </w:rPr>
          <w:t>507</w:t>
        </w:r>
        <w:r>
          <w:rPr>
            <w:noProof/>
            <w:webHidden/>
          </w:rPr>
          <w:fldChar w:fldCharType="end"/>
        </w:r>
      </w:hyperlink>
    </w:p>
    <w:p w14:paraId="0A97975F"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29" w:history="1">
        <w:r w:rsidRPr="00087766">
          <w:rPr>
            <w:rStyle w:val="af7"/>
            <w:noProof/>
          </w:rPr>
          <w:t>7.1.10.</w:t>
        </w:r>
        <w:r>
          <w:rPr>
            <w:rFonts w:asciiTheme="minorHAnsi" w:eastAsiaTheme="minorEastAsia" w:hAnsiTheme="minorHAnsi" w:cstheme="minorBidi"/>
            <w:iCs w:val="0"/>
            <w:noProof/>
            <w:sz w:val="22"/>
            <w:szCs w:val="22"/>
          </w:rPr>
          <w:tab/>
        </w:r>
        <w:r w:rsidRPr="00087766">
          <w:rPr>
            <w:rStyle w:val="af7"/>
            <w:noProof/>
          </w:rPr>
          <w:t>Пример XML</w:t>
        </w:r>
        <w:r>
          <w:rPr>
            <w:noProof/>
            <w:webHidden/>
          </w:rPr>
          <w:tab/>
        </w:r>
        <w:r>
          <w:rPr>
            <w:noProof/>
            <w:webHidden/>
          </w:rPr>
          <w:fldChar w:fldCharType="begin"/>
        </w:r>
        <w:r>
          <w:rPr>
            <w:noProof/>
            <w:webHidden/>
          </w:rPr>
          <w:instrText xml:space="preserve"> PAGEREF _Toc219309829 \h </w:instrText>
        </w:r>
        <w:r>
          <w:rPr>
            <w:noProof/>
            <w:webHidden/>
          </w:rPr>
        </w:r>
        <w:r>
          <w:rPr>
            <w:noProof/>
            <w:webHidden/>
          </w:rPr>
          <w:fldChar w:fldCharType="separate"/>
        </w:r>
        <w:r>
          <w:rPr>
            <w:noProof/>
            <w:webHidden/>
          </w:rPr>
          <w:t>508</w:t>
        </w:r>
        <w:r>
          <w:rPr>
            <w:noProof/>
            <w:webHidden/>
          </w:rPr>
          <w:fldChar w:fldCharType="end"/>
        </w:r>
      </w:hyperlink>
    </w:p>
    <w:p w14:paraId="7496DB05" w14:textId="77777777" w:rsidR="008D797C" w:rsidRDefault="008D797C">
      <w:pPr>
        <w:pStyle w:val="2a"/>
        <w:tabs>
          <w:tab w:val="left" w:pos="960"/>
          <w:tab w:val="right" w:leader="dot" w:pos="9628"/>
        </w:tabs>
        <w:rPr>
          <w:rFonts w:asciiTheme="minorHAnsi" w:eastAsiaTheme="minorEastAsia" w:hAnsiTheme="minorHAnsi" w:cstheme="minorBidi"/>
          <w:noProof/>
          <w:sz w:val="22"/>
          <w:szCs w:val="22"/>
        </w:rPr>
      </w:pPr>
      <w:hyperlink w:anchor="_Toc219309830" w:history="1">
        <w:r w:rsidRPr="00087766">
          <w:rPr>
            <w:rStyle w:val="af7"/>
            <w:noProof/>
          </w:rPr>
          <w:t>7.2.</w:t>
        </w:r>
        <w:r>
          <w:rPr>
            <w:rFonts w:asciiTheme="minorHAnsi" w:eastAsiaTheme="minorEastAsia" w:hAnsiTheme="minorHAnsi" w:cstheme="minorBidi"/>
            <w:noProof/>
            <w:sz w:val="22"/>
            <w:szCs w:val="22"/>
          </w:rPr>
          <w:tab/>
        </w:r>
        <w:r w:rsidRPr="00087766">
          <w:rPr>
            <w:rStyle w:val="af7"/>
            <w:noProof/>
          </w:rPr>
          <w:t>Описание документа «Сведения о приглашении принять участие в определении поставщика (подрядчика, исполнителя)»</w:t>
        </w:r>
        <w:r>
          <w:rPr>
            <w:noProof/>
            <w:webHidden/>
          </w:rPr>
          <w:tab/>
        </w:r>
        <w:r>
          <w:rPr>
            <w:noProof/>
            <w:webHidden/>
          </w:rPr>
          <w:fldChar w:fldCharType="begin"/>
        </w:r>
        <w:r>
          <w:rPr>
            <w:noProof/>
            <w:webHidden/>
          </w:rPr>
          <w:instrText xml:space="preserve"> PAGEREF _Toc219309830 \h </w:instrText>
        </w:r>
        <w:r>
          <w:rPr>
            <w:noProof/>
            <w:webHidden/>
          </w:rPr>
        </w:r>
        <w:r>
          <w:rPr>
            <w:noProof/>
            <w:webHidden/>
          </w:rPr>
          <w:fldChar w:fldCharType="separate"/>
        </w:r>
        <w:r>
          <w:rPr>
            <w:noProof/>
            <w:webHidden/>
          </w:rPr>
          <w:t>510</w:t>
        </w:r>
        <w:r>
          <w:rPr>
            <w:noProof/>
            <w:webHidden/>
          </w:rPr>
          <w:fldChar w:fldCharType="end"/>
        </w:r>
      </w:hyperlink>
    </w:p>
    <w:p w14:paraId="5A5D41E8"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31" w:history="1">
        <w:r w:rsidRPr="00087766">
          <w:rPr>
            <w:rStyle w:val="af7"/>
            <w:noProof/>
          </w:rPr>
          <w:t>7.2.1.</w:t>
        </w:r>
        <w:r>
          <w:rPr>
            <w:rFonts w:asciiTheme="minorHAnsi" w:eastAsiaTheme="minorEastAsia" w:hAnsiTheme="minorHAnsi" w:cstheme="minorBidi"/>
            <w:iCs w:val="0"/>
            <w:noProof/>
            <w:sz w:val="22"/>
            <w:szCs w:val="22"/>
          </w:rPr>
          <w:tab/>
        </w:r>
        <w:r w:rsidRPr="00087766">
          <w:rPr>
            <w:rStyle w:val="af7"/>
            <w:noProof/>
          </w:rPr>
          <w:t>Назначение и маршрут документа</w:t>
        </w:r>
        <w:r>
          <w:rPr>
            <w:noProof/>
            <w:webHidden/>
          </w:rPr>
          <w:tab/>
        </w:r>
        <w:r>
          <w:rPr>
            <w:noProof/>
            <w:webHidden/>
          </w:rPr>
          <w:fldChar w:fldCharType="begin"/>
        </w:r>
        <w:r>
          <w:rPr>
            <w:noProof/>
            <w:webHidden/>
          </w:rPr>
          <w:instrText xml:space="preserve"> PAGEREF _Toc219309831 \h </w:instrText>
        </w:r>
        <w:r>
          <w:rPr>
            <w:noProof/>
            <w:webHidden/>
          </w:rPr>
        </w:r>
        <w:r>
          <w:rPr>
            <w:noProof/>
            <w:webHidden/>
          </w:rPr>
          <w:fldChar w:fldCharType="separate"/>
        </w:r>
        <w:r>
          <w:rPr>
            <w:noProof/>
            <w:webHidden/>
          </w:rPr>
          <w:t>510</w:t>
        </w:r>
        <w:r>
          <w:rPr>
            <w:noProof/>
            <w:webHidden/>
          </w:rPr>
          <w:fldChar w:fldCharType="end"/>
        </w:r>
      </w:hyperlink>
    </w:p>
    <w:p w14:paraId="46B63B1F"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32" w:history="1">
        <w:r w:rsidRPr="00087766">
          <w:rPr>
            <w:rStyle w:val="af7"/>
            <w:noProof/>
          </w:rPr>
          <w:t>7.2.2.</w:t>
        </w:r>
        <w:r>
          <w:rPr>
            <w:rFonts w:asciiTheme="minorHAnsi" w:eastAsiaTheme="minorEastAsia" w:hAnsiTheme="minorHAnsi" w:cstheme="minorBidi"/>
            <w:iCs w:val="0"/>
            <w:noProof/>
            <w:sz w:val="22"/>
            <w:szCs w:val="22"/>
          </w:rPr>
          <w:tab/>
        </w:r>
        <w:r w:rsidRPr="00087766">
          <w:rPr>
            <w:rStyle w:val="af7"/>
            <w:noProof/>
          </w:rPr>
          <w:t>Описание комплексного типа «tPUR_INFORM_INVITE»</w:t>
        </w:r>
        <w:r>
          <w:rPr>
            <w:noProof/>
            <w:webHidden/>
          </w:rPr>
          <w:tab/>
        </w:r>
        <w:r>
          <w:rPr>
            <w:noProof/>
            <w:webHidden/>
          </w:rPr>
          <w:fldChar w:fldCharType="begin"/>
        </w:r>
        <w:r>
          <w:rPr>
            <w:noProof/>
            <w:webHidden/>
          </w:rPr>
          <w:instrText xml:space="preserve"> PAGEREF _Toc219309832 \h </w:instrText>
        </w:r>
        <w:r>
          <w:rPr>
            <w:noProof/>
            <w:webHidden/>
          </w:rPr>
        </w:r>
        <w:r>
          <w:rPr>
            <w:noProof/>
            <w:webHidden/>
          </w:rPr>
          <w:fldChar w:fldCharType="separate"/>
        </w:r>
        <w:r>
          <w:rPr>
            <w:noProof/>
            <w:webHidden/>
          </w:rPr>
          <w:t>510</w:t>
        </w:r>
        <w:r>
          <w:rPr>
            <w:noProof/>
            <w:webHidden/>
          </w:rPr>
          <w:fldChar w:fldCharType="end"/>
        </w:r>
      </w:hyperlink>
    </w:p>
    <w:p w14:paraId="5806E5EF"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33" w:history="1">
        <w:r w:rsidRPr="00087766">
          <w:rPr>
            <w:rStyle w:val="af7"/>
            <w:noProof/>
          </w:rPr>
          <w:t>7.2.3.</w:t>
        </w:r>
        <w:r>
          <w:rPr>
            <w:rFonts w:asciiTheme="minorHAnsi" w:eastAsiaTheme="minorEastAsia" w:hAnsiTheme="minorHAnsi" w:cstheme="minorBidi"/>
            <w:iCs w:val="0"/>
            <w:noProof/>
            <w:sz w:val="22"/>
            <w:szCs w:val="22"/>
          </w:rPr>
          <w:tab/>
        </w:r>
        <w:r w:rsidRPr="00087766">
          <w:rPr>
            <w:rStyle w:val="af7"/>
            <w:noProof/>
          </w:rPr>
          <w:t>Описание комплексного типа «tVidDocComplex»</w:t>
        </w:r>
        <w:r>
          <w:rPr>
            <w:noProof/>
            <w:webHidden/>
          </w:rPr>
          <w:tab/>
        </w:r>
        <w:r>
          <w:rPr>
            <w:noProof/>
            <w:webHidden/>
          </w:rPr>
          <w:fldChar w:fldCharType="begin"/>
        </w:r>
        <w:r>
          <w:rPr>
            <w:noProof/>
            <w:webHidden/>
          </w:rPr>
          <w:instrText xml:space="preserve"> PAGEREF _Toc219309833 \h </w:instrText>
        </w:r>
        <w:r>
          <w:rPr>
            <w:noProof/>
            <w:webHidden/>
          </w:rPr>
        </w:r>
        <w:r>
          <w:rPr>
            <w:noProof/>
            <w:webHidden/>
          </w:rPr>
          <w:fldChar w:fldCharType="separate"/>
        </w:r>
        <w:r>
          <w:rPr>
            <w:noProof/>
            <w:webHidden/>
          </w:rPr>
          <w:t>512</w:t>
        </w:r>
        <w:r>
          <w:rPr>
            <w:noProof/>
            <w:webHidden/>
          </w:rPr>
          <w:fldChar w:fldCharType="end"/>
        </w:r>
      </w:hyperlink>
    </w:p>
    <w:p w14:paraId="1BAFDB37"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34" w:history="1">
        <w:r w:rsidRPr="00087766">
          <w:rPr>
            <w:rStyle w:val="af7"/>
            <w:noProof/>
          </w:rPr>
          <w:t>7.2.4.</w:t>
        </w:r>
        <w:r>
          <w:rPr>
            <w:rFonts w:asciiTheme="minorHAnsi" w:eastAsiaTheme="minorEastAsia" w:hAnsiTheme="minorHAnsi" w:cstheme="minorBidi"/>
            <w:iCs w:val="0"/>
            <w:noProof/>
            <w:sz w:val="22"/>
            <w:szCs w:val="22"/>
          </w:rPr>
          <w:tab/>
        </w:r>
        <w:r w:rsidRPr="00087766">
          <w:rPr>
            <w:rStyle w:val="af7"/>
            <w:noProof/>
          </w:rPr>
          <w:t>Описание комплексного типа «tTablePart»</w:t>
        </w:r>
        <w:r>
          <w:rPr>
            <w:noProof/>
            <w:webHidden/>
          </w:rPr>
          <w:tab/>
        </w:r>
        <w:r>
          <w:rPr>
            <w:noProof/>
            <w:webHidden/>
          </w:rPr>
          <w:fldChar w:fldCharType="begin"/>
        </w:r>
        <w:r>
          <w:rPr>
            <w:noProof/>
            <w:webHidden/>
          </w:rPr>
          <w:instrText xml:space="preserve"> PAGEREF _Toc219309834 \h </w:instrText>
        </w:r>
        <w:r>
          <w:rPr>
            <w:noProof/>
            <w:webHidden/>
          </w:rPr>
        </w:r>
        <w:r>
          <w:rPr>
            <w:noProof/>
            <w:webHidden/>
          </w:rPr>
          <w:fldChar w:fldCharType="separate"/>
        </w:r>
        <w:r>
          <w:rPr>
            <w:noProof/>
            <w:webHidden/>
          </w:rPr>
          <w:t>512</w:t>
        </w:r>
        <w:r>
          <w:rPr>
            <w:noProof/>
            <w:webHidden/>
          </w:rPr>
          <w:fldChar w:fldCharType="end"/>
        </w:r>
      </w:hyperlink>
    </w:p>
    <w:p w14:paraId="44799B35"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35" w:history="1">
        <w:r w:rsidRPr="00087766">
          <w:rPr>
            <w:rStyle w:val="af7"/>
            <w:noProof/>
          </w:rPr>
          <w:t>7.2.5.</w:t>
        </w:r>
        <w:r>
          <w:rPr>
            <w:rFonts w:asciiTheme="minorHAnsi" w:eastAsiaTheme="minorEastAsia" w:hAnsiTheme="minorHAnsi" w:cstheme="minorBidi"/>
            <w:iCs w:val="0"/>
            <w:noProof/>
            <w:sz w:val="22"/>
            <w:szCs w:val="22"/>
          </w:rPr>
          <w:tab/>
        </w:r>
        <w:r w:rsidRPr="00087766">
          <w:rPr>
            <w:rStyle w:val="af7"/>
            <w:noProof/>
          </w:rPr>
          <w:t>Описание комплексного типа «tTablePartITEM»</w:t>
        </w:r>
        <w:r>
          <w:rPr>
            <w:noProof/>
            <w:webHidden/>
          </w:rPr>
          <w:tab/>
        </w:r>
        <w:r>
          <w:rPr>
            <w:noProof/>
            <w:webHidden/>
          </w:rPr>
          <w:fldChar w:fldCharType="begin"/>
        </w:r>
        <w:r>
          <w:rPr>
            <w:noProof/>
            <w:webHidden/>
          </w:rPr>
          <w:instrText xml:space="preserve"> PAGEREF _Toc219309835 \h </w:instrText>
        </w:r>
        <w:r>
          <w:rPr>
            <w:noProof/>
            <w:webHidden/>
          </w:rPr>
        </w:r>
        <w:r>
          <w:rPr>
            <w:noProof/>
            <w:webHidden/>
          </w:rPr>
          <w:fldChar w:fldCharType="separate"/>
        </w:r>
        <w:r>
          <w:rPr>
            <w:noProof/>
            <w:webHidden/>
          </w:rPr>
          <w:t>512</w:t>
        </w:r>
        <w:r>
          <w:rPr>
            <w:noProof/>
            <w:webHidden/>
          </w:rPr>
          <w:fldChar w:fldCharType="end"/>
        </w:r>
      </w:hyperlink>
    </w:p>
    <w:p w14:paraId="08440C03"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36" w:history="1">
        <w:r w:rsidRPr="00087766">
          <w:rPr>
            <w:rStyle w:val="af7"/>
            <w:noProof/>
          </w:rPr>
          <w:t>7.2.6.</w:t>
        </w:r>
        <w:r>
          <w:rPr>
            <w:rFonts w:asciiTheme="minorHAnsi" w:eastAsiaTheme="minorEastAsia" w:hAnsiTheme="minorHAnsi" w:cstheme="minorBidi"/>
            <w:iCs w:val="0"/>
            <w:noProof/>
            <w:sz w:val="22"/>
            <w:szCs w:val="22"/>
          </w:rPr>
          <w:tab/>
        </w:r>
        <w:r w:rsidRPr="00087766">
          <w:rPr>
            <w:rStyle w:val="af7"/>
            <w:noProof/>
          </w:rPr>
          <w:t>Описание комплексного типа «tMARK_ORFK»</w:t>
        </w:r>
        <w:r>
          <w:rPr>
            <w:noProof/>
            <w:webHidden/>
          </w:rPr>
          <w:tab/>
        </w:r>
        <w:r>
          <w:rPr>
            <w:noProof/>
            <w:webHidden/>
          </w:rPr>
          <w:fldChar w:fldCharType="begin"/>
        </w:r>
        <w:r>
          <w:rPr>
            <w:noProof/>
            <w:webHidden/>
          </w:rPr>
          <w:instrText xml:space="preserve"> PAGEREF _Toc219309836 \h </w:instrText>
        </w:r>
        <w:r>
          <w:rPr>
            <w:noProof/>
            <w:webHidden/>
          </w:rPr>
        </w:r>
        <w:r>
          <w:rPr>
            <w:noProof/>
            <w:webHidden/>
          </w:rPr>
          <w:fldChar w:fldCharType="separate"/>
        </w:r>
        <w:r>
          <w:rPr>
            <w:noProof/>
            <w:webHidden/>
          </w:rPr>
          <w:t>513</w:t>
        </w:r>
        <w:r>
          <w:rPr>
            <w:noProof/>
            <w:webHidden/>
          </w:rPr>
          <w:fldChar w:fldCharType="end"/>
        </w:r>
      </w:hyperlink>
    </w:p>
    <w:p w14:paraId="358D74B4"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37" w:history="1">
        <w:r w:rsidRPr="00087766">
          <w:rPr>
            <w:rStyle w:val="af7"/>
            <w:noProof/>
          </w:rPr>
          <w:t>7.2.7.</w:t>
        </w:r>
        <w:r>
          <w:rPr>
            <w:rFonts w:asciiTheme="minorHAnsi" w:eastAsiaTheme="minorEastAsia" w:hAnsiTheme="minorHAnsi" w:cstheme="minorBidi"/>
            <w:iCs w:val="0"/>
            <w:noProof/>
            <w:sz w:val="22"/>
            <w:szCs w:val="22"/>
          </w:rPr>
          <w:tab/>
        </w:r>
        <w:r w:rsidRPr="00087766">
          <w:rPr>
            <w:rStyle w:val="af7"/>
            <w:noProof/>
          </w:rPr>
          <w:t>Описание комплексного типа «tMARK_ORFK_ITEM»</w:t>
        </w:r>
        <w:r>
          <w:rPr>
            <w:noProof/>
            <w:webHidden/>
          </w:rPr>
          <w:tab/>
        </w:r>
        <w:r>
          <w:rPr>
            <w:noProof/>
            <w:webHidden/>
          </w:rPr>
          <w:fldChar w:fldCharType="begin"/>
        </w:r>
        <w:r>
          <w:rPr>
            <w:noProof/>
            <w:webHidden/>
          </w:rPr>
          <w:instrText xml:space="preserve"> PAGEREF _Toc219309837 \h </w:instrText>
        </w:r>
        <w:r>
          <w:rPr>
            <w:noProof/>
            <w:webHidden/>
          </w:rPr>
        </w:r>
        <w:r>
          <w:rPr>
            <w:noProof/>
            <w:webHidden/>
          </w:rPr>
          <w:fldChar w:fldCharType="separate"/>
        </w:r>
        <w:r>
          <w:rPr>
            <w:noProof/>
            <w:webHidden/>
          </w:rPr>
          <w:t>513</w:t>
        </w:r>
        <w:r>
          <w:rPr>
            <w:noProof/>
            <w:webHidden/>
          </w:rPr>
          <w:fldChar w:fldCharType="end"/>
        </w:r>
      </w:hyperlink>
    </w:p>
    <w:p w14:paraId="0EC2FE47"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38" w:history="1">
        <w:r w:rsidRPr="00087766">
          <w:rPr>
            <w:rStyle w:val="af7"/>
            <w:noProof/>
          </w:rPr>
          <w:t>7.2.8.</w:t>
        </w:r>
        <w:r>
          <w:rPr>
            <w:rFonts w:asciiTheme="minorHAnsi" w:eastAsiaTheme="minorEastAsia" w:hAnsiTheme="minorHAnsi" w:cstheme="minorBidi"/>
            <w:iCs w:val="0"/>
            <w:noProof/>
            <w:sz w:val="22"/>
            <w:szCs w:val="22"/>
          </w:rPr>
          <w:tab/>
        </w:r>
        <w:r w:rsidRPr="00087766">
          <w:rPr>
            <w:rStyle w:val="af7"/>
            <w:noProof/>
          </w:rPr>
          <w:t>Описание комплексного типа «tMediumComplex»</w:t>
        </w:r>
        <w:r>
          <w:rPr>
            <w:noProof/>
            <w:webHidden/>
          </w:rPr>
          <w:tab/>
        </w:r>
        <w:r>
          <w:rPr>
            <w:noProof/>
            <w:webHidden/>
          </w:rPr>
          <w:fldChar w:fldCharType="begin"/>
        </w:r>
        <w:r>
          <w:rPr>
            <w:noProof/>
            <w:webHidden/>
          </w:rPr>
          <w:instrText xml:space="preserve"> PAGEREF _Toc219309838 \h </w:instrText>
        </w:r>
        <w:r>
          <w:rPr>
            <w:noProof/>
            <w:webHidden/>
          </w:rPr>
        </w:r>
        <w:r>
          <w:rPr>
            <w:noProof/>
            <w:webHidden/>
          </w:rPr>
          <w:fldChar w:fldCharType="separate"/>
        </w:r>
        <w:r>
          <w:rPr>
            <w:noProof/>
            <w:webHidden/>
          </w:rPr>
          <w:t>514</w:t>
        </w:r>
        <w:r>
          <w:rPr>
            <w:noProof/>
            <w:webHidden/>
          </w:rPr>
          <w:fldChar w:fldCharType="end"/>
        </w:r>
      </w:hyperlink>
    </w:p>
    <w:p w14:paraId="69A197F2"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39" w:history="1">
        <w:r w:rsidRPr="00087766">
          <w:rPr>
            <w:rStyle w:val="af7"/>
            <w:noProof/>
          </w:rPr>
          <w:t>7.2.9.</w:t>
        </w:r>
        <w:r>
          <w:rPr>
            <w:rFonts w:asciiTheme="minorHAnsi" w:eastAsiaTheme="minorEastAsia" w:hAnsiTheme="minorHAnsi" w:cstheme="minorBidi"/>
            <w:iCs w:val="0"/>
            <w:noProof/>
            <w:sz w:val="22"/>
            <w:szCs w:val="22"/>
          </w:rPr>
          <w:tab/>
        </w:r>
        <w:r w:rsidRPr="00087766">
          <w:rPr>
            <w:rStyle w:val="af7"/>
            <w:noProof/>
          </w:rPr>
          <w:t>Описание комплексного типа «tContrInfoComplex»</w:t>
        </w:r>
        <w:r>
          <w:rPr>
            <w:noProof/>
            <w:webHidden/>
          </w:rPr>
          <w:tab/>
        </w:r>
        <w:r>
          <w:rPr>
            <w:noProof/>
            <w:webHidden/>
          </w:rPr>
          <w:fldChar w:fldCharType="begin"/>
        </w:r>
        <w:r>
          <w:rPr>
            <w:noProof/>
            <w:webHidden/>
          </w:rPr>
          <w:instrText xml:space="preserve"> PAGEREF _Toc219309839 \h </w:instrText>
        </w:r>
        <w:r>
          <w:rPr>
            <w:noProof/>
            <w:webHidden/>
          </w:rPr>
        </w:r>
        <w:r>
          <w:rPr>
            <w:noProof/>
            <w:webHidden/>
          </w:rPr>
          <w:fldChar w:fldCharType="separate"/>
        </w:r>
        <w:r>
          <w:rPr>
            <w:noProof/>
            <w:webHidden/>
          </w:rPr>
          <w:t>515</w:t>
        </w:r>
        <w:r>
          <w:rPr>
            <w:noProof/>
            <w:webHidden/>
          </w:rPr>
          <w:fldChar w:fldCharType="end"/>
        </w:r>
      </w:hyperlink>
    </w:p>
    <w:p w14:paraId="774F1AEB"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40" w:history="1">
        <w:r w:rsidRPr="00087766">
          <w:rPr>
            <w:rStyle w:val="af7"/>
            <w:noProof/>
          </w:rPr>
          <w:t>7.2.10.</w:t>
        </w:r>
        <w:r>
          <w:rPr>
            <w:rFonts w:asciiTheme="minorHAnsi" w:eastAsiaTheme="minorEastAsia" w:hAnsiTheme="minorHAnsi" w:cstheme="minorBidi"/>
            <w:iCs w:val="0"/>
            <w:noProof/>
            <w:sz w:val="22"/>
            <w:szCs w:val="22"/>
          </w:rPr>
          <w:tab/>
        </w:r>
        <w:r w:rsidRPr="00087766">
          <w:rPr>
            <w:rStyle w:val="af7"/>
            <w:noProof/>
          </w:rPr>
          <w:t>Пример XML</w:t>
        </w:r>
        <w:r>
          <w:rPr>
            <w:noProof/>
            <w:webHidden/>
          </w:rPr>
          <w:tab/>
        </w:r>
        <w:r>
          <w:rPr>
            <w:noProof/>
            <w:webHidden/>
          </w:rPr>
          <w:fldChar w:fldCharType="begin"/>
        </w:r>
        <w:r>
          <w:rPr>
            <w:noProof/>
            <w:webHidden/>
          </w:rPr>
          <w:instrText xml:space="preserve"> PAGEREF _Toc219309840 \h </w:instrText>
        </w:r>
        <w:r>
          <w:rPr>
            <w:noProof/>
            <w:webHidden/>
          </w:rPr>
        </w:r>
        <w:r>
          <w:rPr>
            <w:noProof/>
            <w:webHidden/>
          </w:rPr>
          <w:fldChar w:fldCharType="separate"/>
        </w:r>
        <w:r>
          <w:rPr>
            <w:noProof/>
            <w:webHidden/>
          </w:rPr>
          <w:t>515</w:t>
        </w:r>
        <w:r>
          <w:rPr>
            <w:noProof/>
            <w:webHidden/>
          </w:rPr>
          <w:fldChar w:fldCharType="end"/>
        </w:r>
      </w:hyperlink>
    </w:p>
    <w:p w14:paraId="30C89AD0" w14:textId="77777777" w:rsidR="008D797C" w:rsidRDefault="008D797C">
      <w:pPr>
        <w:pStyle w:val="2a"/>
        <w:tabs>
          <w:tab w:val="left" w:pos="960"/>
          <w:tab w:val="right" w:leader="dot" w:pos="9628"/>
        </w:tabs>
        <w:rPr>
          <w:rFonts w:asciiTheme="minorHAnsi" w:eastAsiaTheme="minorEastAsia" w:hAnsiTheme="minorHAnsi" w:cstheme="minorBidi"/>
          <w:noProof/>
          <w:sz w:val="22"/>
          <w:szCs w:val="22"/>
        </w:rPr>
      </w:pPr>
      <w:hyperlink w:anchor="_Toc219309841" w:history="1">
        <w:r w:rsidRPr="00087766">
          <w:rPr>
            <w:rStyle w:val="af7"/>
            <w:noProof/>
            <w:highlight w:val="green"/>
          </w:rPr>
          <w:t>7.3.</w:t>
        </w:r>
        <w:r>
          <w:rPr>
            <w:rFonts w:asciiTheme="minorHAnsi" w:eastAsiaTheme="minorEastAsia" w:hAnsiTheme="minorHAnsi" w:cstheme="minorBidi"/>
            <w:noProof/>
            <w:sz w:val="22"/>
            <w:szCs w:val="22"/>
          </w:rPr>
          <w:tab/>
        </w:r>
        <w:r w:rsidRPr="00087766">
          <w:rPr>
            <w:rStyle w:val="af7"/>
            <w:noProof/>
            <w:highlight w:val="green"/>
          </w:rPr>
          <w:t>Описание документа «Выписка из проекта контракта»</w:t>
        </w:r>
        <w:r>
          <w:rPr>
            <w:noProof/>
            <w:webHidden/>
          </w:rPr>
          <w:tab/>
        </w:r>
        <w:r>
          <w:rPr>
            <w:noProof/>
            <w:webHidden/>
          </w:rPr>
          <w:fldChar w:fldCharType="begin"/>
        </w:r>
        <w:r>
          <w:rPr>
            <w:noProof/>
            <w:webHidden/>
          </w:rPr>
          <w:instrText xml:space="preserve"> PAGEREF _Toc219309841 \h </w:instrText>
        </w:r>
        <w:r>
          <w:rPr>
            <w:noProof/>
            <w:webHidden/>
          </w:rPr>
        </w:r>
        <w:r>
          <w:rPr>
            <w:noProof/>
            <w:webHidden/>
          </w:rPr>
          <w:fldChar w:fldCharType="separate"/>
        </w:r>
        <w:r>
          <w:rPr>
            <w:noProof/>
            <w:webHidden/>
          </w:rPr>
          <w:t>516</w:t>
        </w:r>
        <w:r>
          <w:rPr>
            <w:noProof/>
            <w:webHidden/>
          </w:rPr>
          <w:fldChar w:fldCharType="end"/>
        </w:r>
      </w:hyperlink>
    </w:p>
    <w:p w14:paraId="1AE7F7B4"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42" w:history="1">
        <w:r w:rsidRPr="00087766">
          <w:rPr>
            <w:rStyle w:val="af7"/>
            <w:noProof/>
            <w:highlight w:val="green"/>
          </w:rPr>
          <w:t>7.3.1.</w:t>
        </w:r>
        <w:r>
          <w:rPr>
            <w:rFonts w:asciiTheme="minorHAnsi" w:eastAsiaTheme="minorEastAsia" w:hAnsiTheme="minorHAnsi" w:cstheme="minorBidi"/>
            <w:iCs w:val="0"/>
            <w:noProof/>
            <w:sz w:val="22"/>
            <w:szCs w:val="22"/>
          </w:rPr>
          <w:tab/>
        </w:r>
        <w:r w:rsidRPr="00087766">
          <w:rPr>
            <w:rStyle w:val="af7"/>
            <w:noProof/>
            <w:highlight w:val="green"/>
          </w:rPr>
          <w:t>Назначение и маршрут документа</w:t>
        </w:r>
        <w:r>
          <w:rPr>
            <w:noProof/>
            <w:webHidden/>
          </w:rPr>
          <w:tab/>
        </w:r>
        <w:r>
          <w:rPr>
            <w:noProof/>
            <w:webHidden/>
          </w:rPr>
          <w:fldChar w:fldCharType="begin"/>
        </w:r>
        <w:r>
          <w:rPr>
            <w:noProof/>
            <w:webHidden/>
          </w:rPr>
          <w:instrText xml:space="preserve"> PAGEREF _Toc219309842 \h </w:instrText>
        </w:r>
        <w:r>
          <w:rPr>
            <w:noProof/>
            <w:webHidden/>
          </w:rPr>
        </w:r>
        <w:r>
          <w:rPr>
            <w:noProof/>
            <w:webHidden/>
          </w:rPr>
          <w:fldChar w:fldCharType="separate"/>
        </w:r>
        <w:r>
          <w:rPr>
            <w:noProof/>
            <w:webHidden/>
          </w:rPr>
          <w:t>516</w:t>
        </w:r>
        <w:r>
          <w:rPr>
            <w:noProof/>
            <w:webHidden/>
          </w:rPr>
          <w:fldChar w:fldCharType="end"/>
        </w:r>
      </w:hyperlink>
    </w:p>
    <w:p w14:paraId="50167B92"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43" w:history="1">
        <w:r w:rsidRPr="00087766">
          <w:rPr>
            <w:rStyle w:val="af7"/>
            <w:noProof/>
            <w:highlight w:val="green"/>
          </w:rPr>
          <w:t>7.3.2.</w:t>
        </w:r>
        <w:r>
          <w:rPr>
            <w:rFonts w:asciiTheme="minorHAnsi" w:eastAsiaTheme="minorEastAsia" w:hAnsiTheme="minorHAnsi" w:cstheme="minorBidi"/>
            <w:iCs w:val="0"/>
            <w:noProof/>
            <w:sz w:val="22"/>
            <w:szCs w:val="22"/>
          </w:rPr>
          <w:tab/>
        </w:r>
        <w:r w:rsidRPr="00087766">
          <w:rPr>
            <w:rStyle w:val="af7"/>
            <w:noProof/>
            <w:highlight w:val="green"/>
          </w:rPr>
          <w:t>Описание комплексного типа «t</w:t>
        </w:r>
        <w:r w:rsidRPr="00087766">
          <w:rPr>
            <w:rStyle w:val="af7"/>
            <w:noProof/>
            <w:highlight w:val="green"/>
            <w:lang w:val="en-US"/>
          </w:rPr>
          <w:t>Inf</w:t>
        </w:r>
        <w:r w:rsidRPr="00087766">
          <w:rPr>
            <w:rStyle w:val="af7"/>
            <w:noProof/>
            <w:highlight w:val="green"/>
          </w:rPr>
          <w:t>_Draft_Contract»</w:t>
        </w:r>
        <w:r>
          <w:rPr>
            <w:noProof/>
            <w:webHidden/>
          </w:rPr>
          <w:tab/>
        </w:r>
        <w:r>
          <w:rPr>
            <w:noProof/>
            <w:webHidden/>
          </w:rPr>
          <w:fldChar w:fldCharType="begin"/>
        </w:r>
        <w:r>
          <w:rPr>
            <w:noProof/>
            <w:webHidden/>
          </w:rPr>
          <w:instrText xml:space="preserve"> PAGEREF _Toc219309843 \h </w:instrText>
        </w:r>
        <w:r>
          <w:rPr>
            <w:noProof/>
            <w:webHidden/>
          </w:rPr>
        </w:r>
        <w:r>
          <w:rPr>
            <w:noProof/>
            <w:webHidden/>
          </w:rPr>
          <w:fldChar w:fldCharType="separate"/>
        </w:r>
        <w:r>
          <w:rPr>
            <w:noProof/>
            <w:webHidden/>
          </w:rPr>
          <w:t>517</w:t>
        </w:r>
        <w:r>
          <w:rPr>
            <w:noProof/>
            <w:webHidden/>
          </w:rPr>
          <w:fldChar w:fldCharType="end"/>
        </w:r>
      </w:hyperlink>
    </w:p>
    <w:p w14:paraId="098F7F50"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44" w:history="1">
        <w:r w:rsidRPr="00087766">
          <w:rPr>
            <w:rStyle w:val="af7"/>
            <w:noProof/>
            <w:highlight w:val="green"/>
          </w:rPr>
          <w:t>7.3.3.</w:t>
        </w:r>
        <w:r>
          <w:rPr>
            <w:rFonts w:asciiTheme="minorHAnsi" w:eastAsiaTheme="minorEastAsia" w:hAnsiTheme="minorHAnsi" w:cstheme="minorBidi"/>
            <w:iCs w:val="0"/>
            <w:noProof/>
            <w:sz w:val="22"/>
            <w:szCs w:val="22"/>
          </w:rPr>
          <w:tab/>
        </w:r>
        <w:r w:rsidRPr="00087766">
          <w:rPr>
            <w:rStyle w:val="af7"/>
            <w:noProof/>
            <w:highlight w:val="green"/>
          </w:rPr>
          <w:t>Описание комплексного типа «tVidDocComplex»</w:t>
        </w:r>
        <w:r>
          <w:rPr>
            <w:noProof/>
            <w:webHidden/>
          </w:rPr>
          <w:tab/>
        </w:r>
        <w:r>
          <w:rPr>
            <w:noProof/>
            <w:webHidden/>
          </w:rPr>
          <w:fldChar w:fldCharType="begin"/>
        </w:r>
        <w:r>
          <w:rPr>
            <w:noProof/>
            <w:webHidden/>
          </w:rPr>
          <w:instrText xml:space="preserve"> PAGEREF _Toc219309844 \h </w:instrText>
        </w:r>
        <w:r>
          <w:rPr>
            <w:noProof/>
            <w:webHidden/>
          </w:rPr>
        </w:r>
        <w:r>
          <w:rPr>
            <w:noProof/>
            <w:webHidden/>
          </w:rPr>
          <w:fldChar w:fldCharType="separate"/>
        </w:r>
        <w:r>
          <w:rPr>
            <w:noProof/>
            <w:webHidden/>
          </w:rPr>
          <w:t>519</w:t>
        </w:r>
        <w:r>
          <w:rPr>
            <w:noProof/>
            <w:webHidden/>
          </w:rPr>
          <w:fldChar w:fldCharType="end"/>
        </w:r>
      </w:hyperlink>
    </w:p>
    <w:p w14:paraId="6113C96C"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45" w:history="1">
        <w:r w:rsidRPr="00087766">
          <w:rPr>
            <w:rStyle w:val="af7"/>
            <w:noProof/>
            <w:highlight w:val="green"/>
          </w:rPr>
          <w:t>7.3.4.</w:t>
        </w:r>
        <w:r>
          <w:rPr>
            <w:rFonts w:asciiTheme="minorHAnsi" w:eastAsiaTheme="minorEastAsia" w:hAnsiTheme="minorHAnsi" w:cstheme="minorBidi"/>
            <w:iCs w:val="0"/>
            <w:noProof/>
            <w:sz w:val="22"/>
            <w:szCs w:val="22"/>
          </w:rPr>
          <w:tab/>
        </w:r>
        <w:r w:rsidRPr="00087766">
          <w:rPr>
            <w:rStyle w:val="af7"/>
            <w:noProof/>
            <w:highlight w:val="green"/>
          </w:rPr>
          <w:t>Описание комплексного типа «tT</w:t>
        </w:r>
        <w:r w:rsidRPr="00087766">
          <w:rPr>
            <w:rStyle w:val="af7"/>
            <w:noProof/>
            <w:highlight w:val="green"/>
            <w:lang w:val="en-US"/>
          </w:rPr>
          <w:t>able</w:t>
        </w:r>
        <w:r w:rsidRPr="00087766">
          <w:rPr>
            <w:rStyle w:val="af7"/>
            <w:noProof/>
            <w:highlight w:val="green"/>
          </w:rPr>
          <w:t>Pl</w:t>
        </w:r>
        <w:r w:rsidRPr="00087766">
          <w:rPr>
            <w:rStyle w:val="af7"/>
            <w:noProof/>
            <w:highlight w:val="green"/>
            <w:lang w:val="en-US"/>
          </w:rPr>
          <w:t>anP</w:t>
        </w:r>
        <w:r w:rsidRPr="00087766">
          <w:rPr>
            <w:rStyle w:val="af7"/>
            <w:noProof/>
            <w:highlight w:val="green"/>
          </w:rPr>
          <w:t>ay»</w:t>
        </w:r>
        <w:r>
          <w:rPr>
            <w:noProof/>
            <w:webHidden/>
          </w:rPr>
          <w:tab/>
        </w:r>
        <w:r>
          <w:rPr>
            <w:noProof/>
            <w:webHidden/>
          </w:rPr>
          <w:fldChar w:fldCharType="begin"/>
        </w:r>
        <w:r>
          <w:rPr>
            <w:noProof/>
            <w:webHidden/>
          </w:rPr>
          <w:instrText xml:space="preserve"> PAGEREF _Toc219309845 \h </w:instrText>
        </w:r>
        <w:r>
          <w:rPr>
            <w:noProof/>
            <w:webHidden/>
          </w:rPr>
        </w:r>
        <w:r>
          <w:rPr>
            <w:noProof/>
            <w:webHidden/>
          </w:rPr>
          <w:fldChar w:fldCharType="separate"/>
        </w:r>
        <w:r>
          <w:rPr>
            <w:noProof/>
            <w:webHidden/>
          </w:rPr>
          <w:t>519</w:t>
        </w:r>
        <w:r>
          <w:rPr>
            <w:noProof/>
            <w:webHidden/>
          </w:rPr>
          <w:fldChar w:fldCharType="end"/>
        </w:r>
      </w:hyperlink>
    </w:p>
    <w:p w14:paraId="4F231843"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46" w:history="1">
        <w:r w:rsidRPr="00087766">
          <w:rPr>
            <w:rStyle w:val="af7"/>
            <w:noProof/>
            <w:highlight w:val="green"/>
          </w:rPr>
          <w:t>7.3.5.</w:t>
        </w:r>
        <w:r>
          <w:rPr>
            <w:rFonts w:asciiTheme="minorHAnsi" w:eastAsiaTheme="minorEastAsia" w:hAnsiTheme="minorHAnsi" w:cstheme="minorBidi"/>
            <w:iCs w:val="0"/>
            <w:noProof/>
            <w:sz w:val="22"/>
            <w:szCs w:val="22"/>
          </w:rPr>
          <w:tab/>
        </w:r>
        <w:r w:rsidRPr="00087766">
          <w:rPr>
            <w:rStyle w:val="af7"/>
            <w:noProof/>
            <w:highlight w:val="green"/>
          </w:rPr>
          <w:t>Описание комплексного типа «tTablePlanPay_ITEM»</w:t>
        </w:r>
        <w:r>
          <w:rPr>
            <w:noProof/>
            <w:webHidden/>
          </w:rPr>
          <w:tab/>
        </w:r>
        <w:r>
          <w:rPr>
            <w:noProof/>
            <w:webHidden/>
          </w:rPr>
          <w:fldChar w:fldCharType="begin"/>
        </w:r>
        <w:r>
          <w:rPr>
            <w:noProof/>
            <w:webHidden/>
          </w:rPr>
          <w:instrText xml:space="preserve"> PAGEREF _Toc219309846 \h </w:instrText>
        </w:r>
        <w:r>
          <w:rPr>
            <w:noProof/>
            <w:webHidden/>
          </w:rPr>
        </w:r>
        <w:r>
          <w:rPr>
            <w:noProof/>
            <w:webHidden/>
          </w:rPr>
          <w:fldChar w:fldCharType="separate"/>
        </w:r>
        <w:r>
          <w:rPr>
            <w:noProof/>
            <w:webHidden/>
          </w:rPr>
          <w:t>519</w:t>
        </w:r>
        <w:r>
          <w:rPr>
            <w:noProof/>
            <w:webHidden/>
          </w:rPr>
          <w:fldChar w:fldCharType="end"/>
        </w:r>
      </w:hyperlink>
    </w:p>
    <w:p w14:paraId="1066AEFD"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47" w:history="1">
        <w:r w:rsidRPr="00087766">
          <w:rPr>
            <w:rStyle w:val="af7"/>
            <w:noProof/>
            <w:highlight w:val="green"/>
          </w:rPr>
          <w:t>7.3.6.</w:t>
        </w:r>
        <w:r>
          <w:rPr>
            <w:rFonts w:asciiTheme="minorHAnsi" w:eastAsiaTheme="minorEastAsia" w:hAnsiTheme="minorHAnsi" w:cstheme="minorBidi"/>
            <w:iCs w:val="0"/>
            <w:noProof/>
            <w:sz w:val="22"/>
            <w:szCs w:val="22"/>
          </w:rPr>
          <w:tab/>
        </w:r>
        <w:r w:rsidRPr="00087766">
          <w:rPr>
            <w:rStyle w:val="af7"/>
            <w:noProof/>
            <w:highlight w:val="green"/>
          </w:rPr>
          <w:t>Описание комплексного типа «tT</w:t>
        </w:r>
        <w:r w:rsidRPr="00087766">
          <w:rPr>
            <w:rStyle w:val="af7"/>
            <w:noProof/>
            <w:highlight w:val="green"/>
            <w:lang w:val="en-US"/>
          </w:rPr>
          <w:t>ableT</w:t>
        </w:r>
        <w:r w:rsidRPr="00087766">
          <w:rPr>
            <w:rStyle w:val="af7"/>
            <w:noProof/>
            <w:highlight w:val="green"/>
          </w:rPr>
          <w:t>r</w:t>
        </w:r>
        <w:r w:rsidRPr="00087766">
          <w:rPr>
            <w:rStyle w:val="af7"/>
            <w:noProof/>
            <w:highlight w:val="green"/>
            <w:lang w:val="en-US"/>
          </w:rPr>
          <w:t>s</w:t>
        </w:r>
        <w:r w:rsidRPr="00087766">
          <w:rPr>
            <w:rStyle w:val="af7"/>
            <w:noProof/>
            <w:highlight w:val="green"/>
          </w:rPr>
          <w:t>cr»</w:t>
        </w:r>
        <w:r>
          <w:rPr>
            <w:noProof/>
            <w:webHidden/>
          </w:rPr>
          <w:tab/>
        </w:r>
        <w:r>
          <w:rPr>
            <w:noProof/>
            <w:webHidden/>
          </w:rPr>
          <w:fldChar w:fldCharType="begin"/>
        </w:r>
        <w:r>
          <w:rPr>
            <w:noProof/>
            <w:webHidden/>
          </w:rPr>
          <w:instrText xml:space="preserve"> PAGEREF _Toc219309847 \h </w:instrText>
        </w:r>
        <w:r>
          <w:rPr>
            <w:noProof/>
            <w:webHidden/>
          </w:rPr>
        </w:r>
        <w:r>
          <w:rPr>
            <w:noProof/>
            <w:webHidden/>
          </w:rPr>
          <w:fldChar w:fldCharType="separate"/>
        </w:r>
        <w:r>
          <w:rPr>
            <w:noProof/>
            <w:webHidden/>
          </w:rPr>
          <w:t>520</w:t>
        </w:r>
        <w:r>
          <w:rPr>
            <w:noProof/>
            <w:webHidden/>
          </w:rPr>
          <w:fldChar w:fldCharType="end"/>
        </w:r>
      </w:hyperlink>
    </w:p>
    <w:p w14:paraId="4E53E1EC"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48" w:history="1">
        <w:r w:rsidRPr="00087766">
          <w:rPr>
            <w:rStyle w:val="af7"/>
            <w:noProof/>
          </w:rPr>
          <w:t>7.3.7.</w:t>
        </w:r>
        <w:r>
          <w:rPr>
            <w:rFonts w:asciiTheme="minorHAnsi" w:eastAsiaTheme="minorEastAsia" w:hAnsiTheme="minorHAnsi" w:cstheme="minorBidi"/>
            <w:iCs w:val="0"/>
            <w:noProof/>
            <w:sz w:val="22"/>
            <w:szCs w:val="22"/>
          </w:rPr>
          <w:tab/>
        </w:r>
        <w:r w:rsidRPr="00087766">
          <w:rPr>
            <w:rStyle w:val="af7"/>
            <w:noProof/>
            <w:highlight w:val="green"/>
          </w:rPr>
          <w:t>Описание комплексного типа «tT</w:t>
        </w:r>
        <w:r w:rsidRPr="00087766">
          <w:rPr>
            <w:rStyle w:val="af7"/>
            <w:noProof/>
            <w:highlight w:val="green"/>
            <w:lang w:val="en-US"/>
          </w:rPr>
          <w:t>ableT</w:t>
        </w:r>
        <w:r w:rsidRPr="00087766">
          <w:rPr>
            <w:rStyle w:val="af7"/>
            <w:noProof/>
            <w:highlight w:val="green"/>
          </w:rPr>
          <w:t>r</w:t>
        </w:r>
        <w:r w:rsidRPr="00087766">
          <w:rPr>
            <w:rStyle w:val="af7"/>
            <w:noProof/>
            <w:highlight w:val="green"/>
            <w:lang w:val="en-US"/>
          </w:rPr>
          <w:t>s</w:t>
        </w:r>
        <w:r w:rsidRPr="00087766">
          <w:rPr>
            <w:rStyle w:val="af7"/>
            <w:noProof/>
            <w:highlight w:val="green"/>
          </w:rPr>
          <w:t>cr_ITEM»</w:t>
        </w:r>
        <w:r>
          <w:rPr>
            <w:noProof/>
            <w:webHidden/>
          </w:rPr>
          <w:tab/>
        </w:r>
        <w:r>
          <w:rPr>
            <w:noProof/>
            <w:webHidden/>
          </w:rPr>
          <w:fldChar w:fldCharType="begin"/>
        </w:r>
        <w:r>
          <w:rPr>
            <w:noProof/>
            <w:webHidden/>
          </w:rPr>
          <w:instrText xml:space="preserve"> PAGEREF _Toc219309848 \h </w:instrText>
        </w:r>
        <w:r>
          <w:rPr>
            <w:noProof/>
            <w:webHidden/>
          </w:rPr>
        </w:r>
        <w:r>
          <w:rPr>
            <w:noProof/>
            <w:webHidden/>
          </w:rPr>
          <w:fldChar w:fldCharType="separate"/>
        </w:r>
        <w:r>
          <w:rPr>
            <w:noProof/>
            <w:webHidden/>
          </w:rPr>
          <w:t>521</w:t>
        </w:r>
        <w:r>
          <w:rPr>
            <w:noProof/>
            <w:webHidden/>
          </w:rPr>
          <w:fldChar w:fldCharType="end"/>
        </w:r>
      </w:hyperlink>
    </w:p>
    <w:p w14:paraId="030EF58D"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49" w:history="1">
        <w:r w:rsidRPr="00087766">
          <w:rPr>
            <w:rStyle w:val="af7"/>
            <w:noProof/>
            <w:highlight w:val="green"/>
          </w:rPr>
          <w:t>7.3.8.</w:t>
        </w:r>
        <w:r>
          <w:rPr>
            <w:rFonts w:asciiTheme="minorHAnsi" w:eastAsiaTheme="minorEastAsia" w:hAnsiTheme="minorHAnsi" w:cstheme="minorBidi"/>
            <w:iCs w:val="0"/>
            <w:noProof/>
            <w:sz w:val="22"/>
            <w:szCs w:val="22"/>
          </w:rPr>
          <w:tab/>
        </w:r>
        <w:r w:rsidRPr="00087766">
          <w:rPr>
            <w:rStyle w:val="af7"/>
            <w:noProof/>
            <w:highlight w:val="green"/>
          </w:rPr>
          <w:t>Пример XML</w:t>
        </w:r>
        <w:r>
          <w:rPr>
            <w:noProof/>
            <w:webHidden/>
          </w:rPr>
          <w:tab/>
        </w:r>
        <w:r>
          <w:rPr>
            <w:noProof/>
            <w:webHidden/>
          </w:rPr>
          <w:fldChar w:fldCharType="begin"/>
        </w:r>
        <w:r>
          <w:rPr>
            <w:noProof/>
            <w:webHidden/>
          </w:rPr>
          <w:instrText xml:space="preserve"> PAGEREF _Toc219309849 \h </w:instrText>
        </w:r>
        <w:r>
          <w:rPr>
            <w:noProof/>
            <w:webHidden/>
          </w:rPr>
        </w:r>
        <w:r>
          <w:rPr>
            <w:noProof/>
            <w:webHidden/>
          </w:rPr>
          <w:fldChar w:fldCharType="separate"/>
        </w:r>
        <w:r>
          <w:rPr>
            <w:noProof/>
            <w:webHidden/>
          </w:rPr>
          <w:t>522</w:t>
        </w:r>
        <w:r>
          <w:rPr>
            <w:noProof/>
            <w:webHidden/>
          </w:rPr>
          <w:fldChar w:fldCharType="end"/>
        </w:r>
      </w:hyperlink>
    </w:p>
    <w:p w14:paraId="6FEEDB64" w14:textId="77777777" w:rsidR="008D797C" w:rsidRDefault="008D797C">
      <w:pPr>
        <w:pStyle w:val="2a"/>
        <w:tabs>
          <w:tab w:val="left" w:pos="960"/>
          <w:tab w:val="right" w:leader="dot" w:pos="9628"/>
        </w:tabs>
        <w:rPr>
          <w:rFonts w:asciiTheme="minorHAnsi" w:eastAsiaTheme="minorEastAsia" w:hAnsiTheme="minorHAnsi" w:cstheme="minorBidi"/>
          <w:noProof/>
          <w:sz w:val="22"/>
          <w:szCs w:val="22"/>
        </w:rPr>
      </w:pPr>
      <w:hyperlink w:anchor="_Toc219309850" w:history="1">
        <w:r w:rsidRPr="00087766">
          <w:rPr>
            <w:rStyle w:val="af7"/>
            <w:noProof/>
            <w:highlight w:val="green"/>
          </w:rPr>
          <w:t>7.4.</w:t>
        </w:r>
        <w:r>
          <w:rPr>
            <w:rFonts w:asciiTheme="minorHAnsi" w:eastAsiaTheme="minorEastAsia" w:hAnsiTheme="minorHAnsi" w:cstheme="minorBidi"/>
            <w:noProof/>
            <w:sz w:val="22"/>
            <w:szCs w:val="22"/>
          </w:rPr>
          <w:tab/>
        </w:r>
        <w:r w:rsidRPr="00087766">
          <w:rPr>
            <w:rStyle w:val="af7"/>
            <w:noProof/>
            <w:highlight w:val="green"/>
          </w:rPr>
          <w:t>Описание документа «Сведения об объемах средств, указанных в нормативных правовых актах, предусматривающих в соответствии с бюджетным законодательством Российской Федерации возможность заключения государственного (муниципального) контракта на срок, превышающий срок действия доведенных лимитов бюджетных обязательств»</w:t>
        </w:r>
        <w:r>
          <w:rPr>
            <w:noProof/>
            <w:webHidden/>
          </w:rPr>
          <w:tab/>
        </w:r>
        <w:r>
          <w:rPr>
            <w:noProof/>
            <w:webHidden/>
          </w:rPr>
          <w:fldChar w:fldCharType="begin"/>
        </w:r>
        <w:r>
          <w:rPr>
            <w:noProof/>
            <w:webHidden/>
          </w:rPr>
          <w:instrText xml:space="preserve"> PAGEREF _Toc219309850 \h </w:instrText>
        </w:r>
        <w:r>
          <w:rPr>
            <w:noProof/>
            <w:webHidden/>
          </w:rPr>
        </w:r>
        <w:r>
          <w:rPr>
            <w:noProof/>
            <w:webHidden/>
          </w:rPr>
          <w:fldChar w:fldCharType="separate"/>
        </w:r>
        <w:r>
          <w:rPr>
            <w:noProof/>
            <w:webHidden/>
          </w:rPr>
          <w:t>524</w:t>
        </w:r>
        <w:r>
          <w:rPr>
            <w:noProof/>
            <w:webHidden/>
          </w:rPr>
          <w:fldChar w:fldCharType="end"/>
        </w:r>
      </w:hyperlink>
    </w:p>
    <w:p w14:paraId="39637BE0"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51" w:history="1">
        <w:r w:rsidRPr="00087766">
          <w:rPr>
            <w:rStyle w:val="af7"/>
            <w:noProof/>
            <w:highlight w:val="green"/>
          </w:rPr>
          <w:t>7.4.1.</w:t>
        </w:r>
        <w:r>
          <w:rPr>
            <w:rFonts w:asciiTheme="minorHAnsi" w:eastAsiaTheme="minorEastAsia" w:hAnsiTheme="minorHAnsi" w:cstheme="minorBidi"/>
            <w:iCs w:val="0"/>
            <w:noProof/>
            <w:sz w:val="22"/>
            <w:szCs w:val="22"/>
          </w:rPr>
          <w:tab/>
        </w:r>
        <w:r w:rsidRPr="00087766">
          <w:rPr>
            <w:rStyle w:val="af7"/>
            <w:noProof/>
            <w:highlight w:val="green"/>
          </w:rPr>
          <w:t>Назначение и маршрут документа</w:t>
        </w:r>
        <w:r>
          <w:rPr>
            <w:noProof/>
            <w:webHidden/>
          </w:rPr>
          <w:tab/>
        </w:r>
        <w:r>
          <w:rPr>
            <w:noProof/>
            <w:webHidden/>
          </w:rPr>
          <w:fldChar w:fldCharType="begin"/>
        </w:r>
        <w:r>
          <w:rPr>
            <w:noProof/>
            <w:webHidden/>
          </w:rPr>
          <w:instrText xml:space="preserve"> PAGEREF _Toc219309851 \h </w:instrText>
        </w:r>
        <w:r>
          <w:rPr>
            <w:noProof/>
            <w:webHidden/>
          </w:rPr>
        </w:r>
        <w:r>
          <w:rPr>
            <w:noProof/>
            <w:webHidden/>
          </w:rPr>
          <w:fldChar w:fldCharType="separate"/>
        </w:r>
        <w:r>
          <w:rPr>
            <w:noProof/>
            <w:webHidden/>
          </w:rPr>
          <w:t>524</w:t>
        </w:r>
        <w:r>
          <w:rPr>
            <w:noProof/>
            <w:webHidden/>
          </w:rPr>
          <w:fldChar w:fldCharType="end"/>
        </w:r>
      </w:hyperlink>
    </w:p>
    <w:p w14:paraId="38940430"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52" w:history="1">
        <w:r w:rsidRPr="00087766">
          <w:rPr>
            <w:rStyle w:val="af7"/>
            <w:noProof/>
            <w:highlight w:val="green"/>
          </w:rPr>
          <w:t>7.4.2.</w:t>
        </w:r>
        <w:r>
          <w:rPr>
            <w:rFonts w:asciiTheme="minorHAnsi" w:eastAsiaTheme="minorEastAsia" w:hAnsiTheme="minorHAnsi" w:cstheme="minorBidi"/>
            <w:iCs w:val="0"/>
            <w:noProof/>
            <w:sz w:val="22"/>
            <w:szCs w:val="22"/>
          </w:rPr>
          <w:tab/>
        </w:r>
        <w:r w:rsidRPr="00087766">
          <w:rPr>
            <w:rStyle w:val="af7"/>
            <w:noProof/>
            <w:highlight w:val="green"/>
          </w:rPr>
          <w:t>Описание комплексного типа «tInf_AmnFnds_NPA»</w:t>
        </w:r>
        <w:r>
          <w:rPr>
            <w:noProof/>
            <w:webHidden/>
          </w:rPr>
          <w:tab/>
        </w:r>
        <w:r>
          <w:rPr>
            <w:noProof/>
            <w:webHidden/>
          </w:rPr>
          <w:fldChar w:fldCharType="begin"/>
        </w:r>
        <w:r>
          <w:rPr>
            <w:noProof/>
            <w:webHidden/>
          </w:rPr>
          <w:instrText xml:space="preserve"> PAGEREF _Toc219309852 \h </w:instrText>
        </w:r>
        <w:r>
          <w:rPr>
            <w:noProof/>
            <w:webHidden/>
          </w:rPr>
        </w:r>
        <w:r>
          <w:rPr>
            <w:noProof/>
            <w:webHidden/>
          </w:rPr>
          <w:fldChar w:fldCharType="separate"/>
        </w:r>
        <w:r>
          <w:rPr>
            <w:noProof/>
            <w:webHidden/>
          </w:rPr>
          <w:t>524</w:t>
        </w:r>
        <w:r>
          <w:rPr>
            <w:noProof/>
            <w:webHidden/>
          </w:rPr>
          <w:fldChar w:fldCharType="end"/>
        </w:r>
      </w:hyperlink>
    </w:p>
    <w:p w14:paraId="217167AD"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53" w:history="1">
        <w:r w:rsidRPr="00087766">
          <w:rPr>
            <w:rStyle w:val="af7"/>
            <w:noProof/>
            <w:highlight w:val="green"/>
          </w:rPr>
          <w:t>7.4.3.</w:t>
        </w:r>
        <w:r>
          <w:rPr>
            <w:rFonts w:asciiTheme="minorHAnsi" w:eastAsiaTheme="minorEastAsia" w:hAnsiTheme="minorHAnsi" w:cstheme="minorBidi"/>
            <w:iCs w:val="0"/>
            <w:noProof/>
            <w:sz w:val="22"/>
            <w:szCs w:val="22"/>
          </w:rPr>
          <w:tab/>
        </w:r>
        <w:r w:rsidRPr="00087766">
          <w:rPr>
            <w:rStyle w:val="af7"/>
            <w:noProof/>
            <w:highlight w:val="green"/>
          </w:rPr>
          <w:t>Описание комплексного типа «tVidDocComplex»</w:t>
        </w:r>
        <w:r>
          <w:rPr>
            <w:noProof/>
            <w:webHidden/>
          </w:rPr>
          <w:tab/>
        </w:r>
        <w:r>
          <w:rPr>
            <w:noProof/>
            <w:webHidden/>
          </w:rPr>
          <w:fldChar w:fldCharType="begin"/>
        </w:r>
        <w:r>
          <w:rPr>
            <w:noProof/>
            <w:webHidden/>
          </w:rPr>
          <w:instrText xml:space="preserve"> PAGEREF _Toc219309853 \h </w:instrText>
        </w:r>
        <w:r>
          <w:rPr>
            <w:noProof/>
            <w:webHidden/>
          </w:rPr>
        </w:r>
        <w:r>
          <w:rPr>
            <w:noProof/>
            <w:webHidden/>
          </w:rPr>
          <w:fldChar w:fldCharType="separate"/>
        </w:r>
        <w:r>
          <w:rPr>
            <w:noProof/>
            <w:webHidden/>
          </w:rPr>
          <w:t>527</w:t>
        </w:r>
        <w:r>
          <w:rPr>
            <w:noProof/>
            <w:webHidden/>
          </w:rPr>
          <w:fldChar w:fldCharType="end"/>
        </w:r>
      </w:hyperlink>
    </w:p>
    <w:p w14:paraId="16A32135"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54" w:history="1">
        <w:r w:rsidRPr="00087766">
          <w:rPr>
            <w:rStyle w:val="af7"/>
            <w:noProof/>
            <w:highlight w:val="green"/>
          </w:rPr>
          <w:t>7.4.4.</w:t>
        </w:r>
        <w:r>
          <w:rPr>
            <w:rFonts w:asciiTheme="minorHAnsi" w:eastAsiaTheme="minorEastAsia" w:hAnsiTheme="minorHAnsi" w:cstheme="minorBidi"/>
            <w:iCs w:val="0"/>
            <w:noProof/>
            <w:sz w:val="22"/>
            <w:szCs w:val="22"/>
          </w:rPr>
          <w:tab/>
        </w:r>
        <w:r w:rsidRPr="00087766">
          <w:rPr>
            <w:rStyle w:val="af7"/>
            <w:noProof/>
            <w:highlight w:val="green"/>
          </w:rPr>
          <w:t>Описание комплексного типа «tTBL_NPAAmnt»</w:t>
        </w:r>
        <w:r>
          <w:rPr>
            <w:noProof/>
            <w:webHidden/>
          </w:rPr>
          <w:tab/>
        </w:r>
        <w:r>
          <w:rPr>
            <w:noProof/>
            <w:webHidden/>
          </w:rPr>
          <w:fldChar w:fldCharType="begin"/>
        </w:r>
        <w:r>
          <w:rPr>
            <w:noProof/>
            <w:webHidden/>
          </w:rPr>
          <w:instrText xml:space="preserve"> PAGEREF _Toc219309854 \h </w:instrText>
        </w:r>
        <w:r>
          <w:rPr>
            <w:noProof/>
            <w:webHidden/>
          </w:rPr>
        </w:r>
        <w:r>
          <w:rPr>
            <w:noProof/>
            <w:webHidden/>
          </w:rPr>
          <w:fldChar w:fldCharType="separate"/>
        </w:r>
        <w:r>
          <w:rPr>
            <w:noProof/>
            <w:webHidden/>
          </w:rPr>
          <w:t>527</w:t>
        </w:r>
        <w:r>
          <w:rPr>
            <w:noProof/>
            <w:webHidden/>
          </w:rPr>
          <w:fldChar w:fldCharType="end"/>
        </w:r>
      </w:hyperlink>
    </w:p>
    <w:p w14:paraId="0B3D9B11"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55" w:history="1">
        <w:r w:rsidRPr="00087766">
          <w:rPr>
            <w:rStyle w:val="af7"/>
            <w:noProof/>
            <w:highlight w:val="green"/>
          </w:rPr>
          <w:t>7.4.5.</w:t>
        </w:r>
        <w:r>
          <w:rPr>
            <w:rFonts w:asciiTheme="minorHAnsi" w:eastAsiaTheme="minorEastAsia" w:hAnsiTheme="minorHAnsi" w:cstheme="minorBidi"/>
            <w:iCs w:val="0"/>
            <w:noProof/>
            <w:sz w:val="22"/>
            <w:szCs w:val="22"/>
          </w:rPr>
          <w:tab/>
        </w:r>
        <w:r w:rsidRPr="00087766">
          <w:rPr>
            <w:rStyle w:val="af7"/>
            <w:noProof/>
            <w:highlight w:val="green"/>
          </w:rPr>
          <w:t>Описание комплексного типа «tTBL_NPAAmnt_ITEM»</w:t>
        </w:r>
        <w:r>
          <w:rPr>
            <w:noProof/>
            <w:webHidden/>
          </w:rPr>
          <w:tab/>
        </w:r>
        <w:r>
          <w:rPr>
            <w:noProof/>
            <w:webHidden/>
          </w:rPr>
          <w:fldChar w:fldCharType="begin"/>
        </w:r>
        <w:r>
          <w:rPr>
            <w:noProof/>
            <w:webHidden/>
          </w:rPr>
          <w:instrText xml:space="preserve"> PAGEREF _Toc219309855 \h </w:instrText>
        </w:r>
        <w:r>
          <w:rPr>
            <w:noProof/>
            <w:webHidden/>
          </w:rPr>
        </w:r>
        <w:r>
          <w:rPr>
            <w:noProof/>
            <w:webHidden/>
          </w:rPr>
          <w:fldChar w:fldCharType="separate"/>
        </w:r>
        <w:r>
          <w:rPr>
            <w:noProof/>
            <w:webHidden/>
          </w:rPr>
          <w:t>528</w:t>
        </w:r>
        <w:r>
          <w:rPr>
            <w:noProof/>
            <w:webHidden/>
          </w:rPr>
          <w:fldChar w:fldCharType="end"/>
        </w:r>
      </w:hyperlink>
    </w:p>
    <w:p w14:paraId="5572801D"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56" w:history="1">
        <w:r w:rsidRPr="00087766">
          <w:rPr>
            <w:rStyle w:val="af7"/>
            <w:noProof/>
            <w:highlight w:val="green"/>
          </w:rPr>
          <w:t>7.4.6.</w:t>
        </w:r>
        <w:r>
          <w:rPr>
            <w:rFonts w:asciiTheme="minorHAnsi" w:eastAsiaTheme="minorEastAsia" w:hAnsiTheme="minorHAnsi" w:cstheme="minorBidi"/>
            <w:iCs w:val="0"/>
            <w:noProof/>
            <w:sz w:val="22"/>
            <w:szCs w:val="22"/>
          </w:rPr>
          <w:tab/>
        </w:r>
        <w:r w:rsidRPr="00087766">
          <w:rPr>
            <w:rStyle w:val="af7"/>
            <w:noProof/>
            <w:highlight w:val="green"/>
          </w:rPr>
          <w:t>Описание комплексного типа «tKVR_NPAAmnt»</w:t>
        </w:r>
        <w:r>
          <w:rPr>
            <w:noProof/>
            <w:webHidden/>
          </w:rPr>
          <w:tab/>
        </w:r>
        <w:r>
          <w:rPr>
            <w:noProof/>
            <w:webHidden/>
          </w:rPr>
          <w:fldChar w:fldCharType="begin"/>
        </w:r>
        <w:r>
          <w:rPr>
            <w:noProof/>
            <w:webHidden/>
          </w:rPr>
          <w:instrText xml:space="preserve"> PAGEREF _Toc219309856 \h </w:instrText>
        </w:r>
        <w:r>
          <w:rPr>
            <w:noProof/>
            <w:webHidden/>
          </w:rPr>
        </w:r>
        <w:r>
          <w:rPr>
            <w:noProof/>
            <w:webHidden/>
          </w:rPr>
          <w:fldChar w:fldCharType="separate"/>
        </w:r>
        <w:r>
          <w:rPr>
            <w:noProof/>
            <w:webHidden/>
          </w:rPr>
          <w:t>529</w:t>
        </w:r>
        <w:r>
          <w:rPr>
            <w:noProof/>
            <w:webHidden/>
          </w:rPr>
          <w:fldChar w:fldCharType="end"/>
        </w:r>
      </w:hyperlink>
    </w:p>
    <w:p w14:paraId="24A9C76E"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57" w:history="1">
        <w:r w:rsidRPr="00087766">
          <w:rPr>
            <w:rStyle w:val="af7"/>
            <w:noProof/>
            <w:highlight w:val="green"/>
          </w:rPr>
          <w:t>7.4.7.</w:t>
        </w:r>
        <w:r>
          <w:rPr>
            <w:rFonts w:asciiTheme="minorHAnsi" w:eastAsiaTheme="minorEastAsia" w:hAnsiTheme="minorHAnsi" w:cstheme="minorBidi"/>
            <w:iCs w:val="0"/>
            <w:noProof/>
            <w:sz w:val="22"/>
            <w:szCs w:val="22"/>
          </w:rPr>
          <w:tab/>
        </w:r>
        <w:r w:rsidRPr="00087766">
          <w:rPr>
            <w:rStyle w:val="af7"/>
            <w:noProof/>
            <w:highlight w:val="green"/>
          </w:rPr>
          <w:t>Описание комплексного типа «tKVR_NPAAmnt_ITEM»</w:t>
        </w:r>
        <w:r>
          <w:rPr>
            <w:noProof/>
            <w:webHidden/>
          </w:rPr>
          <w:tab/>
        </w:r>
        <w:r>
          <w:rPr>
            <w:noProof/>
            <w:webHidden/>
          </w:rPr>
          <w:fldChar w:fldCharType="begin"/>
        </w:r>
        <w:r>
          <w:rPr>
            <w:noProof/>
            <w:webHidden/>
          </w:rPr>
          <w:instrText xml:space="preserve"> PAGEREF _Toc219309857 \h </w:instrText>
        </w:r>
        <w:r>
          <w:rPr>
            <w:noProof/>
            <w:webHidden/>
          </w:rPr>
        </w:r>
        <w:r>
          <w:rPr>
            <w:noProof/>
            <w:webHidden/>
          </w:rPr>
          <w:fldChar w:fldCharType="separate"/>
        </w:r>
        <w:r>
          <w:rPr>
            <w:noProof/>
            <w:webHidden/>
          </w:rPr>
          <w:t>530</w:t>
        </w:r>
        <w:r>
          <w:rPr>
            <w:noProof/>
            <w:webHidden/>
          </w:rPr>
          <w:fldChar w:fldCharType="end"/>
        </w:r>
      </w:hyperlink>
    </w:p>
    <w:p w14:paraId="20549A35"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58" w:history="1">
        <w:r w:rsidRPr="00087766">
          <w:rPr>
            <w:rStyle w:val="af7"/>
            <w:noProof/>
            <w:highlight w:val="green"/>
          </w:rPr>
          <w:t>7.4.8.</w:t>
        </w:r>
        <w:r>
          <w:rPr>
            <w:rFonts w:asciiTheme="minorHAnsi" w:eastAsiaTheme="minorEastAsia" w:hAnsiTheme="minorHAnsi" w:cstheme="minorBidi"/>
            <w:iCs w:val="0"/>
            <w:noProof/>
            <w:sz w:val="22"/>
            <w:szCs w:val="22"/>
          </w:rPr>
          <w:tab/>
        </w:r>
        <w:r w:rsidRPr="00087766">
          <w:rPr>
            <w:rStyle w:val="af7"/>
            <w:noProof/>
            <w:highlight w:val="green"/>
          </w:rPr>
          <w:t>Пример XML</w:t>
        </w:r>
        <w:r>
          <w:rPr>
            <w:noProof/>
            <w:webHidden/>
          </w:rPr>
          <w:tab/>
        </w:r>
        <w:r>
          <w:rPr>
            <w:noProof/>
            <w:webHidden/>
          </w:rPr>
          <w:fldChar w:fldCharType="begin"/>
        </w:r>
        <w:r>
          <w:rPr>
            <w:noProof/>
            <w:webHidden/>
          </w:rPr>
          <w:instrText xml:space="preserve"> PAGEREF _Toc219309858 \h </w:instrText>
        </w:r>
        <w:r>
          <w:rPr>
            <w:noProof/>
            <w:webHidden/>
          </w:rPr>
        </w:r>
        <w:r>
          <w:rPr>
            <w:noProof/>
            <w:webHidden/>
          </w:rPr>
          <w:fldChar w:fldCharType="separate"/>
        </w:r>
        <w:r>
          <w:rPr>
            <w:noProof/>
            <w:webHidden/>
          </w:rPr>
          <w:t>531</w:t>
        </w:r>
        <w:r>
          <w:rPr>
            <w:noProof/>
            <w:webHidden/>
          </w:rPr>
          <w:fldChar w:fldCharType="end"/>
        </w:r>
      </w:hyperlink>
    </w:p>
    <w:p w14:paraId="68ACB586" w14:textId="77777777" w:rsidR="008D797C" w:rsidRDefault="008D797C">
      <w:pPr>
        <w:pStyle w:val="16"/>
        <w:rPr>
          <w:rFonts w:asciiTheme="minorHAnsi" w:eastAsiaTheme="minorEastAsia" w:hAnsiTheme="minorHAnsi" w:cstheme="minorBidi"/>
          <w:b w:val="0"/>
          <w:caps w:val="0"/>
          <w:noProof/>
          <w:sz w:val="22"/>
          <w:szCs w:val="22"/>
        </w:rPr>
      </w:pPr>
      <w:hyperlink w:anchor="_Toc219309859" w:history="1">
        <w:r w:rsidRPr="00087766">
          <w:rPr>
            <w:rStyle w:val="af7"/>
            <w:noProof/>
          </w:rPr>
          <w:t>8.</w:t>
        </w:r>
        <w:r>
          <w:rPr>
            <w:rFonts w:asciiTheme="minorHAnsi" w:eastAsiaTheme="minorEastAsia" w:hAnsiTheme="minorHAnsi" w:cstheme="minorBidi"/>
            <w:b w:val="0"/>
            <w:caps w:val="0"/>
            <w:noProof/>
            <w:sz w:val="22"/>
            <w:szCs w:val="22"/>
          </w:rPr>
          <w:tab/>
        </w:r>
        <w:r w:rsidRPr="00087766">
          <w:rPr>
            <w:rStyle w:val="af7"/>
            <w:noProof/>
          </w:rPr>
          <w:t>Требования к составу информации при информационном взаимодействии между территориальными органами Федерального казначейства и финансовыми органами</w:t>
        </w:r>
        <w:r>
          <w:rPr>
            <w:noProof/>
            <w:webHidden/>
          </w:rPr>
          <w:tab/>
        </w:r>
        <w:r>
          <w:rPr>
            <w:noProof/>
            <w:webHidden/>
          </w:rPr>
          <w:fldChar w:fldCharType="begin"/>
        </w:r>
        <w:r>
          <w:rPr>
            <w:noProof/>
            <w:webHidden/>
          </w:rPr>
          <w:instrText xml:space="preserve"> PAGEREF _Toc219309859 \h </w:instrText>
        </w:r>
        <w:r>
          <w:rPr>
            <w:noProof/>
            <w:webHidden/>
          </w:rPr>
        </w:r>
        <w:r>
          <w:rPr>
            <w:noProof/>
            <w:webHidden/>
          </w:rPr>
          <w:fldChar w:fldCharType="separate"/>
        </w:r>
        <w:r>
          <w:rPr>
            <w:noProof/>
            <w:webHidden/>
          </w:rPr>
          <w:t>534</w:t>
        </w:r>
        <w:r>
          <w:rPr>
            <w:noProof/>
            <w:webHidden/>
          </w:rPr>
          <w:fldChar w:fldCharType="end"/>
        </w:r>
      </w:hyperlink>
    </w:p>
    <w:p w14:paraId="44BCC074" w14:textId="77777777" w:rsidR="008D797C" w:rsidRDefault="008D797C">
      <w:pPr>
        <w:pStyle w:val="2a"/>
        <w:tabs>
          <w:tab w:val="left" w:pos="960"/>
          <w:tab w:val="right" w:leader="dot" w:pos="9628"/>
        </w:tabs>
        <w:rPr>
          <w:rFonts w:asciiTheme="minorHAnsi" w:eastAsiaTheme="minorEastAsia" w:hAnsiTheme="minorHAnsi" w:cstheme="minorBidi"/>
          <w:noProof/>
          <w:sz w:val="22"/>
          <w:szCs w:val="22"/>
        </w:rPr>
      </w:pPr>
      <w:hyperlink w:anchor="_Toc219309860" w:history="1">
        <w:r w:rsidRPr="00087766">
          <w:rPr>
            <w:rStyle w:val="af7"/>
            <w:noProof/>
          </w:rPr>
          <w:t>8.1.</w:t>
        </w:r>
        <w:r>
          <w:rPr>
            <w:rFonts w:asciiTheme="minorHAnsi" w:eastAsiaTheme="minorEastAsia" w:hAnsiTheme="minorHAnsi" w:cstheme="minorBidi"/>
            <w:noProof/>
            <w:sz w:val="22"/>
            <w:szCs w:val="22"/>
          </w:rPr>
          <w:tab/>
        </w:r>
        <w:r w:rsidRPr="00087766">
          <w:rPr>
            <w:rStyle w:val="af7"/>
            <w:noProof/>
          </w:rPr>
          <w:t>Описание документа «Запрос на предоставление выписки из казначейского счета»</w:t>
        </w:r>
        <w:r>
          <w:rPr>
            <w:noProof/>
            <w:webHidden/>
          </w:rPr>
          <w:tab/>
        </w:r>
        <w:r>
          <w:rPr>
            <w:noProof/>
            <w:webHidden/>
          </w:rPr>
          <w:fldChar w:fldCharType="begin"/>
        </w:r>
        <w:r>
          <w:rPr>
            <w:noProof/>
            <w:webHidden/>
          </w:rPr>
          <w:instrText xml:space="preserve"> PAGEREF _Toc219309860 \h </w:instrText>
        </w:r>
        <w:r>
          <w:rPr>
            <w:noProof/>
            <w:webHidden/>
          </w:rPr>
        </w:r>
        <w:r>
          <w:rPr>
            <w:noProof/>
            <w:webHidden/>
          </w:rPr>
          <w:fldChar w:fldCharType="separate"/>
        </w:r>
        <w:r>
          <w:rPr>
            <w:noProof/>
            <w:webHidden/>
          </w:rPr>
          <w:t>535</w:t>
        </w:r>
        <w:r>
          <w:rPr>
            <w:noProof/>
            <w:webHidden/>
          </w:rPr>
          <w:fldChar w:fldCharType="end"/>
        </w:r>
      </w:hyperlink>
    </w:p>
    <w:p w14:paraId="182FF5C3"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61" w:history="1">
        <w:r w:rsidRPr="00087766">
          <w:rPr>
            <w:rStyle w:val="af7"/>
            <w:noProof/>
          </w:rPr>
          <w:t>8.1.1.</w:t>
        </w:r>
        <w:r>
          <w:rPr>
            <w:rFonts w:asciiTheme="minorHAnsi" w:eastAsiaTheme="minorEastAsia" w:hAnsiTheme="minorHAnsi" w:cstheme="minorBidi"/>
            <w:iCs w:val="0"/>
            <w:noProof/>
            <w:sz w:val="22"/>
            <w:szCs w:val="22"/>
          </w:rPr>
          <w:tab/>
        </w:r>
        <w:r w:rsidRPr="00087766">
          <w:rPr>
            <w:rStyle w:val="af7"/>
            <w:noProof/>
          </w:rPr>
          <w:t>Назначение и маршрут документа</w:t>
        </w:r>
        <w:r>
          <w:rPr>
            <w:noProof/>
            <w:webHidden/>
          </w:rPr>
          <w:tab/>
        </w:r>
        <w:r>
          <w:rPr>
            <w:noProof/>
            <w:webHidden/>
          </w:rPr>
          <w:fldChar w:fldCharType="begin"/>
        </w:r>
        <w:r>
          <w:rPr>
            <w:noProof/>
            <w:webHidden/>
          </w:rPr>
          <w:instrText xml:space="preserve"> PAGEREF _Toc219309861 \h </w:instrText>
        </w:r>
        <w:r>
          <w:rPr>
            <w:noProof/>
            <w:webHidden/>
          </w:rPr>
        </w:r>
        <w:r>
          <w:rPr>
            <w:noProof/>
            <w:webHidden/>
          </w:rPr>
          <w:fldChar w:fldCharType="separate"/>
        </w:r>
        <w:r>
          <w:rPr>
            <w:noProof/>
            <w:webHidden/>
          </w:rPr>
          <w:t>535</w:t>
        </w:r>
        <w:r>
          <w:rPr>
            <w:noProof/>
            <w:webHidden/>
          </w:rPr>
          <w:fldChar w:fldCharType="end"/>
        </w:r>
      </w:hyperlink>
    </w:p>
    <w:p w14:paraId="02F40898"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62" w:history="1">
        <w:r w:rsidRPr="00087766">
          <w:rPr>
            <w:rStyle w:val="af7"/>
            <w:noProof/>
          </w:rPr>
          <w:t>8.1.2.</w:t>
        </w:r>
        <w:r>
          <w:rPr>
            <w:rFonts w:asciiTheme="minorHAnsi" w:eastAsiaTheme="minorEastAsia" w:hAnsiTheme="minorHAnsi" w:cstheme="minorBidi"/>
            <w:iCs w:val="0"/>
            <w:noProof/>
            <w:sz w:val="22"/>
            <w:szCs w:val="22"/>
          </w:rPr>
          <w:tab/>
        </w:r>
        <w:r w:rsidRPr="00087766">
          <w:rPr>
            <w:rStyle w:val="af7"/>
            <w:noProof/>
          </w:rPr>
          <w:t>Описание комплексного типа «tSKP_REQREP_KS»</w:t>
        </w:r>
        <w:r>
          <w:rPr>
            <w:noProof/>
            <w:webHidden/>
          </w:rPr>
          <w:tab/>
        </w:r>
        <w:r>
          <w:rPr>
            <w:noProof/>
            <w:webHidden/>
          </w:rPr>
          <w:fldChar w:fldCharType="begin"/>
        </w:r>
        <w:r>
          <w:rPr>
            <w:noProof/>
            <w:webHidden/>
          </w:rPr>
          <w:instrText xml:space="preserve"> PAGEREF _Toc219309862 \h </w:instrText>
        </w:r>
        <w:r>
          <w:rPr>
            <w:noProof/>
            <w:webHidden/>
          </w:rPr>
        </w:r>
        <w:r>
          <w:rPr>
            <w:noProof/>
            <w:webHidden/>
          </w:rPr>
          <w:fldChar w:fldCharType="separate"/>
        </w:r>
        <w:r>
          <w:rPr>
            <w:noProof/>
            <w:webHidden/>
          </w:rPr>
          <w:t>535</w:t>
        </w:r>
        <w:r>
          <w:rPr>
            <w:noProof/>
            <w:webHidden/>
          </w:rPr>
          <w:fldChar w:fldCharType="end"/>
        </w:r>
      </w:hyperlink>
    </w:p>
    <w:p w14:paraId="66FA5F05"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63" w:history="1">
        <w:r w:rsidRPr="00087766">
          <w:rPr>
            <w:rStyle w:val="af7"/>
            <w:noProof/>
          </w:rPr>
          <w:t>8.1.3.</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«tMSC_TOFK»</w:t>
        </w:r>
        <w:r>
          <w:rPr>
            <w:noProof/>
            <w:webHidden/>
          </w:rPr>
          <w:tab/>
        </w:r>
        <w:r>
          <w:rPr>
            <w:noProof/>
            <w:webHidden/>
          </w:rPr>
          <w:fldChar w:fldCharType="begin"/>
        </w:r>
        <w:r>
          <w:rPr>
            <w:noProof/>
            <w:webHidden/>
          </w:rPr>
          <w:instrText xml:space="preserve"> PAGEREF _Toc219309863 \h </w:instrText>
        </w:r>
        <w:r>
          <w:rPr>
            <w:noProof/>
            <w:webHidden/>
          </w:rPr>
        </w:r>
        <w:r>
          <w:rPr>
            <w:noProof/>
            <w:webHidden/>
          </w:rPr>
          <w:fldChar w:fldCharType="separate"/>
        </w:r>
        <w:r>
          <w:rPr>
            <w:noProof/>
            <w:webHidden/>
          </w:rPr>
          <w:t>536</w:t>
        </w:r>
        <w:r>
          <w:rPr>
            <w:noProof/>
            <w:webHidden/>
          </w:rPr>
          <w:fldChar w:fldCharType="end"/>
        </w:r>
      </w:hyperlink>
    </w:p>
    <w:p w14:paraId="2E1C3EAD"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64" w:history="1">
        <w:r w:rsidRPr="00087766">
          <w:rPr>
            <w:rStyle w:val="af7"/>
            <w:noProof/>
          </w:rPr>
          <w:t>8.1.4.</w:t>
        </w:r>
        <w:r>
          <w:rPr>
            <w:rFonts w:asciiTheme="minorHAnsi" w:eastAsiaTheme="minorEastAsia" w:hAnsiTheme="minorHAnsi" w:cstheme="minorBidi"/>
            <w:iCs w:val="0"/>
            <w:noProof/>
            <w:sz w:val="22"/>
            <w:szCs w:val="22"/>
          </w:rPr>
          <w:tab/>
        </w:r>
        <w:r w:rsidRPr="00087766">
          <w:rPr>
            <w:rStyle w:val="af7"/>
            <w:noProof/>
          </w:rPr>
          <w:t>Описание комплексного типа «</w:t>
        </w:r>
        <w:r w:rsidRPr="00087766">
          <w:rPr>
            <w:rStyle w:val="af7"/>
            <w:rFonts w:eastAsia="Calibri"/>
            <w:noProof/>
            <w:lang w:eastAsia="en-US"/>
          </w:rPr>
          <w:t>tMSC_Bdgt4</w:t>
        </w:r>
        <w:r w:rsidRPr="00087766">
          <w:rPr>
            <w:rStyle w:val="af7"/>
            <w:noProof/>
          </w:rPr>
          <w:t>»</w:t>
        </w:r>
        <w:r>
          <w:rPr>
            <w:noProof/>
            <w:webHidden/>
          </w:rPr>
          <w:tab/>
        </w:r>
        <w:r>
          <w:rPr>
            <w:noProof/>
            <w:webHidden/>
          </w:rPr>
          <w:fldChar w:fldCharType="begin"/>
        </w:r>
        <w:r>
          <w:rPr>
            <w:noProof/>
            <w:webHidden/>
          </w:rPr>
          <w:instrText xml:space="preserve"> PAGEREF _Toc219309864 \h </w:instrText>
        </w:r>
        <w:r>
          <w:rPr>
            <w:noProof/>
            <w:webHidden/>
          </w:rPr>
        </w:r>
        <w:r>
          <w:rPr>
            <w:noProof/>
            <w:webHidden/>
          </w:rPr>
          <w:fldChar w:fldCharType="separate"/>
        </w:r>
        <w:r>
          <w:rPr>
            <w:noProof/>
            <w:webHidden/>
          </w:rPr>
          <w:t>537</w:t>
        </w:r>
        <w:r>
          <w:rPr>
            <w:noProof/>
            <w:webHidden/>
          </w:rPr>
          <w:fldChar w:fldCharType="end"/>
        </w:r>
      </w:hyperlink>
    </w:p>
    <w:p w14:paraId="0C9D46FF"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65" w:history="1">
        <w:r w:rsidRPr="00087766">
          <w:rPr>
            <w:rStyle w:val="af7"/>
            <w:noProof/>
          </w:rPr>
          <w:t>8.1.5.</w:t>
        </w:r>
        <w:r>
          <w:rPr>
            <w:rFonts w:asciiTheme="minorHAnsi" w:eastAsiaTheme="minorEastAsia" w:hAnsiTheme="minorHAnsi" w:cstheme="minorBidi"/>
            <w:iCs w:val="0"/>
            <w:noProof/>
            <w:sz w:val="22"/>
            <w:szCs w:val="22"/>
          </w:rPr>
          <w:tab/>
        </w:r>
        <w:r w:rsidRPr="00087766">
          <w:rPr>
            <w:rStyle w:val="af7"/>
            <w:noProof/>
          </w:rPr>
          <w:t>Описание комплексного типа «tTF»</w:t>
        </w:r>
        <w:r>
          <w:rPr>
            <w:noProof/>
            <w:webHidden/>
          </w:rPr>
          <w:tab/>
        </w:r>
        <w:r>
          <w:rPr>
            <w:noProof/>
            <w:webHidden/>
          </w:rPr>
          <w:fldChar w:fldCharType="begin"/>
        </w:r>
        <w:r>
          <w:rPr>
            <w:noProof/>
            <w:webHidden/>
          </w:rPr>
          <w:instrText xml:space="preserve"> PAGEREF _Toc219309865 \h </w:instrText>
        </w:r>
        <w:r>
          <w:rPr>
            <w:noProof/>
            <w:webHidden/>
          </w:rPr>
        </w:r>
        <w:r>
          <w:rPr>
            <w:noProof/>
            <w:webHidden/>
          </w:rPr>
          <w:fldChar w:fldCharType="separate"/>
        </w:r>
        <w:r>
          <w:rPr>
            <w:noProof/>
            <w:webHidden/>
          </w:rPr>
          <w:t>537</w:t>
        </w:r>
        <w:r>
          <w:rPr>
            <w:noProof/>
            <w:webHidden/>
          </w:rPr>
          <w:fldChar w:fldCharType="end"/>
        </w:r>
      </w:hyperlink>
    </w:p>
    <w:p w14:paraId="08B95771"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66" w:history="1">
        <w:r w:rsidRPr="00087766">
          <w:rPr>
            <w:rStyle w:val="af7"/>
            <w:noProof/>
          </w:rPr>
          <w:t>8.1.6.</w:t>
        </w:r>
        <w:r>
          <w:rPr>
            <w:rFonts w:asciiTheme="minorHAnsi" w:eastAsiaTheme="minorEastAsia" w:hAnsiTheme="minorHAnsi" w:cstheme="minorBidi"/>
            <w:iCs w:val="0"/>
            <w:noProof/>
            <w:sz w:val="22"/>
            <w:szCs w:val="22"/>
          </w:rPr>
          <w:tab/>
        </w:r>
        <w:r w:rsidRPr="00087766">
          <w:rPr>
            <w:rStyle w:val="af7"/>
            <w:noProof/>
          </w:rPr>
          <w:t>Пример XML</w:t>
        </w:r>
        <w:r>
          <w:rPr>
            <w:noProof/>
            <w:webHidden/>
          </w:rPr>
          <w:tab/>
        </w:r>
        <w:r>
          <w:rPr>
            <w:noProof/>
            <w:webHidden/>
          </w:rPr>
          <w:fldChar w:fldCharType="begin"/>
        </w:r>
        <w:r>
          <w:rPr>
            <w:noProof/>
            <w:webHidden/>
          </w:rPr>
          <w:instrText xml:space="preserve"> PAGEREF _Toc219309866 \h </w:instrText>
        </w:r>
        <w:r>
          <w:rPr>
            <w:noProof/>
            <w:webHidden/>
          </w:rPr>
        </w:r>
        <w:r>
          <w:rPr>
            <w:noProof/>
            <w:webHidden/>
          </w:rPr>
          <w:fldChar w:fldCharType="separate"/>
        </w:r>
        <w:r>
          <w:rPr>
            <w:noProof/>
            <w:webHidden/>
          </w:rPr>
          <w:t>537</w:t>
        </w:r>
        <w:r>
          <w:rPr>
            <w:noProof/>
            <w:webHidden/>
          </w:rPr>
          <w:fldChar w:fldCharType="end"/>
        </w:r>
      </w:hyperlink>
    </w:p>
    <w:p w14:paraId="495C435F" w14:textId="77777777" w:rsidR="008D797C" w:rsidRDefault="008D797C">
      <w:pPr>
        <w:pStyle w:val="16"/>
        <w:rPr>
          <w:rFonts w:asciiTheme="minorHAnsi" w:eastAsiaTheme="minorEastAsia" w:hAnsiTheme="minorHAnsi" w:cstheme="minorBidi"/>
          <w:b w:val="0"/>
          <w:caps w:val="0"/>
          <w:noProof/>
          <w:sz w:val="22"/>
          <w:szCs w:val="22"/>
        </w:rPr>
      </w:pPr>
      <w:hyperlink w:anchor="_Toc219309867" w:history="1">
        <w:r w:rsidRPr="00087766">
          <w:rPr>
            <w:rStyle w:val="af7"/>
            <w:noProof/>
            <w:highlight w:val="green"/>
          </w:rPr>
          <w:t>9.</w:t>
        </w:r>
        <w:r>
          <w:rPr>
            <w:rFonts w:asciiTheme="minorHAnsi" w:eastAsiaTheme="minorEastAsia" w:hAnsiTheme="minorHAnsi" w:cstheme="minorBidi"/>
            <w:b w:val="0"/>
            <w:caps w:val="0"/>
            <w:noProof/>
            <w:sz w:val="22"/>
            <w:szCs w:val="22"/>
          </w:rPr>
          <w:tab/>
        </w:r>
        <w:r w:rsidRPr="00087766">
          <w:rPr>
            <w:rStyle w:val="af7"/>
            <w:noProof/>
            <w:highlight w:val="green"/>
          </w:rPr>
          <w:t>Требования к составу информации при информационном взаимодействии между администраторами доходов бюджета, администраторами источников финансирования дефицита бюджета и территориальными органами Федерального казначейства</w:t>
        </w:r>
        <w:r>
          <w:rPr>
            <w:noProof/>
            <w:webHidden/>
          </w:rPr>
          <w:tab/>
        </w:r>
        <w:r>
          <w:rPr>
            <w:noProof/>
            <w:webHidden/>
          </w:rPr>
          <w:fldChar w:fldCharType="begin"/>
        </w:r>
        <w:r>
          <w:rPr>
            <w:noProof/>
            <w:webHidden/>
          </w:rPr>
          <w:instrText xml:space="preserve"> PAGEREF _Toc219309867 \h </w:instrText>
        </w:r>
        <w:r>
          <w:rPr>
            <w:noProof/>
            <w:webHidden/>
          </w:rPr>
        </w:r>
        <w:r>
          <w:rPr>
            <w:noProof/>
            <w:webHidden/>
          </w:rPr>
          <w:fldChar w:fldCharType="separate"/>
        </w:r>
        <w:r>
          <w:rPr>
            <w:noProof/>
            <w:webHidden/>
          </w:rPr>
          <w:t>539</w:t>
        </w:r>
        <w:r>
          <w:rPr>
            <w:noProof/>
            <w:webHidden/>
          </w:rPr>
          <w:fldChar w:fldCharType="end"/>
        </w:r>
      </w:hyperlink>
    </w:p>
    <w:p w14:paraId="73916BA0" w14:textId="77777777" w:rsidR="008D797C" w:rsidRDefault="008D797C">
      <w:pPr>
        <w:pStyle w:val="2a"/>
        <w:tabs>
          <w:tab w:val="left" w:pos="960"/>
          <w:tab w:val="right" w:leader="dot" w:pos="9628"/>
        </w:tabs>
        <w:rPr>
          <w:rFonts w:asciiTheme="minorHAnsi" w:eastAsiaTheme="minorEastAsia" w:hAnsiTheme="minorHAnsi" w:cstheme="minorBidi"/>
          <w:noProof/>
          <w:sz w:val="22"/>
          <w:szCs w:val="22"/>
        </w:rPr>
      </w:pPr>
      <w:hyperlink w:anchor="_Toc219309868" w:history="1">
        <w:r w:rsidRPr="00087766">
          <w:rPr>
            <w:rStyle w:val="af7"/>
            <w:noProof/>
            <w:highlight w:val="green"/>
          </w:rPr>
          <w:t>9.1.</w:t>
        </w:r>
        <w:r>
          <w:rPr>
            <w:rFonts w:asciiTheme="minorHAnsi" w:eastAsiaTheme="minorEastAsia" w:hAnsiTheme="minorHAnsi" w:cstheme="minorBidi"/>
            <w:noProof/>
            <w:sz w:val="22"/>
            <w:szCs w:val="22"/>
          </w:rPr>
          <w:tab/>
        </w:r>
        <w:r w:rsidRPr="00087766">
          <w:rPr>
            <w:rStyle w:val="af7"/>
            <w:noProof/>
            <w:highlight w:val="green"/>
          </w:rPr>
          <w:t>Описание документа «Распоряжение о совершении казначейского платежа (возврат)»</w:t>
        </w:r>
        <w:r>
          <w:rPr>
            <w:noProof/>
            <w:webHidden/>
          </w:rPr>
          <w:tab/>
        </w:r>
        <w:r>
          <w:rPr>
            <w:noProof/>
            <w:webHidden/>
          </w:rPr>
          <w:fldChar w:fldCharType="begin"/>
        </w:r>
        <w:r>
          <w:rPr>
            <w:noProof/>
            <w:webHidden/>
          </w:rPr>
          <w:instrText xml:space="preserve"> PAGEREF _Toc219309868 \h </w:instrText>
        </w:r>
        <w:r>
          <w:rPr>
            <w:noProof/>
            <w:webHidden/>
          </w:rPr>
        </w:r>
        <w:r>
          <w:rPr>
            <w:noProof/>
            <w:webHidden/>
          </w:rPr>
          <w:fldChar w:fldCharType="separate"/>
        </w:r>
        <w:r>
          <w:rPr>
            <w:noProof/>
            <w:webHidden/>
          </w:rPr>
          <w:t>540</w:t>
        </w:r>
        <w:r>
          <w:rPr>
            <w:noProof/>
            <w:webHidden/>
          </w:rPr>
          <w:fldChar w:fldCharType="end"/>
        </w:r>
      </w:hyperlink>
    </w:p>
    <w:p w14:paraId="2CDACA58"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69" w:history="1">
        <w:r w:rsidRPr="00087766">
          <w:rPr>
            <w:rStyle w:val="af7"/>
            <w:noProof/>
            <w:highlight w:val="green"/>
          </w:rPr>
          <w:t>9.1.1.</w:t>
        </w:r>
        <w:r>
          <w:rPr>
            <w:rFonts w:asciiTheme="minorHAnsi" w:eastAsiaTheme="minorEastAsia" w:hAnsiTheme="minorHAnsi" w:cstheme="minorBidi"/>
            <w:iCs w:val="0"/>
            <w:noProof/>
            <w:sz w:val="22"/>
            <w:szCs w:val="22"/>
          </w:rPr>
          <w:tab/>
        </w:r>
        <w:r w:rsidRPr="00087766">
          <w:rPr>
            <w:rStyle w:val="af7"/>
            <w:noProof/>
            <w:highlight w:val="green"/>
          </w:rPr>
          <w:t>Назначение и маршрут документа</w:t>
        </w:r>
        <w:r>
          <w:rPr>
            <w:noProof/>
            <w:webHidden/>
          </w:rPr>
          <w:tab/>
        </w:r>
        <w:r>
          <w:rPr>
            <w:noProof/>
            <w:webHidden/>
          </w:rPr>
          <w:fldChar w:fldCharType="begin"/>
        </w:r>
        <w:r>
          <w:rPr>
            <w:noProof/>
            <w:webHidden/>
          </w:rPr>
          <w:instrText xml:space="preserve"> PAGEREF _Toc219309869 \h </w:instrText>
        </w:r>
        <w:r>
          <w:rPr>
            <w:noProof/>
            <w:webHidden/>
          </w:rPr>
        </w:r>
        <w:r>
          <w:rPr>
            <w:noProof/>
            <w:webHidden/>
          </w:rPr>
          <w:fldChar w:fldCharType="separate"/>
        </w:r>
        <w:r>
          <w:rPr>
            <w:noProof/>
            <w:webHidden/>
          </w:rPr>
          <w:t>540</w:t>
        </w:r>
        <w:r>
          <w:rPr>
            <w:noProof/>
            <w:webHidden/>
          </w:rPr>
          <w:fldChar w:fldCharType="end"/>
        </w:r>
      </w:hyperlink>
    </w:p>
    <w:p w14:paraId="60915720" w14:textId="77777777" w:rsidR="008D797C" w:rsidRDefault="008D797C">
      <w:pPr>
        <w:pStyle w:val="2a"/>
        <w:tabs>
          <w:tab w:val="left" w:pos="960"/>
          <w:tab w:val="right" w:leader="dot" w:pos="9628"/>
        </w:tabs>
        <w:rPr>
          <w:rFonts w:asciiTheme="minorHAnsi" w:eastAsiaTheme="minorEastAsia" w:hAnsiTheme="minorHAnsi" w:cstheme="minorBidi"/>
          <w:noProof/>
          <w:sz w:val="22"/>
          <w:szCs w:val="22"/>
        </w:rPr>
      </w:pPr>
      <w:hyperlink w:anchor="_Toc219309870" w:history="1">
        <w:r w:rsidRPr="00087766">
          <w:rPr>
            <w:rStyle w:val="af7"/>
            <w:noProof/>
            <w:highlight w:val="green"/>
          </w:rPr>
          <w:t>9.2.</w:t>
        </w:r>
        <w:r>
          <w:rPr>
            <w:rFonts w:asciiTheme="minorHAnsi" w:eastAsiaTheme="minorEastAsia" w:hAnsiTheme="minorHAnsi" w:cstheme="minorBidi"/>
            <w:noProof/>
            <w:sz w:val="22"/>
            <w:szCs w:val="22"/>
          </w:rPr>
          <w:tab/>
        </w:r>
        <w:r w:rsidRPr="00087766">
          <w:rPr>
            <w:rStyle w:val="af7"/>
            <w:noProof/>
            <w:highlight w:val="green"/>
          </w:rPr>
          <w:t>Описание документа «Распоряжение о совершении казначейского платежа (возврат) (многострочный)»</w:t>
        </w:r>
        <w:r>
          <w:rPr>
            <w:noProof/>
            <w:webHidden/>
          </w:rPr>
          <w:tab/>
        </w:r>
        <w:r>
          <w:rPr>
            <w:noProof/>
            <w:webHidden/>
          </w:rPr>
          <w:fldChar w:fldCharType="begin"/>
        </w:r>
        <w:r>
          <w:rPr>
            <w:noProof/>
            <w:webHidden/>
          </w:rPr>
          <w:instrText xml:space="preserve"> PAGEREF _Toc219309870 \h </w:instrText>
        </w:r>
        <w:r>
          <w:rPr>
            <w:noProof/>
            <w:webHidden/>
          </w:rPr>
        </w:r>
        <w:r>
          <w:rPr>
            <w:noProof/>
            <w:webHidden/>
          </w:rPr>
          <w:fldChar w:fldCharType="separate"/>
        </w:r>
        <w:r>
          <w:rPr>
            <w:noProof/>
            <w:webHidden/>
          </w:rPr>
          <w:t>540</w:t>
        </w:r>
        <w:r>
          <w:rPr>
            <w:noProof/>
            <w:webHidden/>
          </w:rPr>
          <w:fldChar w:fldCharType="end"/>
        </w:r>
      </w:hyperlink>
    </w:p>
    <w:p w14:paraId="42C85991"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71" w:history="1">
        <w:r w:rsidRPr="00087766">
          <w:rPr>
            <w:rStyle w:val="af7"/>
            <w:noProof/>
            <w:highlight w:val="green"/>
          </w:rPr>
          <w:t>9.2.1.</w:t>
        </w:r>
        <w:r>
          <w:rPr>
            <w:rFonts w:asciiTheme="minorHAnsi" w:eastAsiaTheme="minorEastAsia" w:hAnsiTheme="minorHAnsi" w:cstheme="minorBidi"/>
            <w:iCs w:val="0"/>
            <w:noProof/>
            <w:sz w:val="22"/>
            <w:szCs w:val="22"/>
          </w:rPr>
          <w:tab/>
        </w:r>
        <w:r w:rsidRPr="00087766">
          <w:rPr>
            <w:rStyle w:val="af7"/>
            <w:noProof/>
            <w:highlight w:val="green"/>
          </w:rPr>
          <w:t>Назначение и маршрут документа</w:t>
        </w:r>
        <w:r>
          <w:rPr>
            <w:noProof/>
            <w:webHidden/>
          </w:rPr>
          <w:tab/>
        </w:r>
        <w:r>
          <w:rPr>
            <w:noProof/>
            <w:webHidden/>
          </w:rPr>
          <w:fldChar w:fldCharType="begin"/>
        </w:r>
        <w:r>
          <w:rPr>
            <w:noProof/>
            <w:webHidden/>
          </w:rPr>
          <w:instrText xml:space="preserve"> PAGEREF _Toc219309871 \h </w:instrText>
        </w:r>
        <w:r>
          <w:rPr>
            <w:noProof/>
            <w:webHidden/>
          </w:rPr>
        </w:r>
        <w:r>
          <w:rPr>
            <w:noProof/>
            <w:webHidden/>
          </w:rPr>
          <w:fldChar w:fldCharType="separate"/>
        </w:r>
        <w:r>
          <w:rPr>
            <w:noProof/>
            <w:webHidden/>
          </w:rPr>
          <w:t>540</w:t>
        </w:r>
        <w:r>
          <w:rPr>
            <w:noProof/>
            <w:webHidden/>
          </w:rPr>
          <w:fldChar w:fldCharType="end"/>
        </w:r>
      </w:hyperlink>
    </w:p>
    <w:p w14:paraId="1B20DB95" w14:textId="77777777" w:rsidR="008D797C" w:rsidRDefault="008D797C">
      <w:pPr>
        <w:pStyle w:val="2a"/>
        <w:tabs>
          <w:tab w:val="left" w:pos="960"/>
          <w:tab w:val="right" w:leader="dot" w:pos="9628"/>
        </w:tabs>
        <w:rPr>
          <w:rFonts w:asciiTheme="minorHAnsi" w:eastAsiaTheme="minorEastAsia" w:hAnsiTheme="minorHAnsi" w:cstheme="minorBidi"/>
          <w:noProof/>
          <w:sz w:val="22"/>
          <w:szCs w:val="22"/>
        </w:rPr>
      </w:pPr>
      <w:hyperlink w:anchor="_Toc219309872" w:history="1">
        <w:r w:rsidRPr="00087766">
          <w:rPr>
            <w:rStyle w:val="af7"/>
            <w:noProof/>
            <w:highlight w:val="green"/>
          </w:rPr>
          <w:t>9.3.</w:t>
        </w:r>
        <w:r>
          <w:rPr>
            <w:rFonts w:asciiTheme="minorHAnsi" w:eastAsiaTheme="minorEastAsia" w:hAnsiTheme="minorHAnsi" w:cstheme="minorBidi"/>
            <w:noProof/>
            <w:sz w:val="22"/>
            <w:szCs w:val="22"/>
          </w:rPr>
          <w:tab/>
        </w:r>
        <w:r w:rsidRPr="00087766">
          <w:rPr>
            <w:rStyle w:val="af7"/>
            <w:noProof/>
            <w:highlight w:val="green"/>
          </w:rPr>
          <w:t>Описание документа «Распоряжение о совершении казначейского платежа (уточнение)»</w:t>
        </w:r>
        <w:r>
          <w:rPr>
            <w:noProof/>
            <w:webHidden/>
          </w:rPr>
          <w:tab/>
        </w:r>
        <w:r>
          <w:rPr>
            <w:noProof/>
            <w:webHidden/>
          </w:rPr>
          <w:fldChar w:fldCharType="begin"/>
        </w:r>
        <w:r>
          <w:rPr>
            <w:noProof/>
            <w:webHidden/>
          </w:rPr>
          <w:instrText xml:space="preserve"> PAGEREF _Toc219309872 \h </w:instrText>
        </w:r>
        <w:r>
          <w:rPr>
            <w:noProof/>
            <w:webHidden/>
          </w:rPr>
        </w:r>
        <w:r>
          <w:rPr>
            <w:noProof/>
            <w:webHidden/>
          </w:rPr>
          <w:fldChar w:fldCharType="separate"/>
        </w:r>
        <w:r>
          <w:rPr>
            <w:noProof/>
            <w:webHidden/>
          </w:rPr>
          <w:t>541</w:t>
        </w:r>
        <w:r>
          <w:rPr>
            <w:noProof/>
            <w:webHidden/>
          </w:rPr>
          <w:fldChar w:fldCharType="end"/>
        </w:r>
      </w:hyperlink>
    </w:p>
    <w:p w14:paraId="569496AE"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73" w:history="1">
        <w:r w:rsidRPr="00087766">
          <w:rPr>
            <w:rStyle w:val="af7"/>
            <w:noProof/>
            <w:highlight w:val="green"/>
          </w:rPr>
          <w:t>9.3.1.</w:t>
        </w:r>
        <w:r>
          <w:rPr>
            <w:rFonts w:asciiTheme="minorHAnsi" w:eastAsiaTheme="minorEastAsia" w:hAnsiTheme="minorHAnsi" w:cstheme="minorBidi"/>
            <w:iCs w:val="0"/>
            <w:noProof/>
            <w:sz w:val="22"/>
            <w:szCs w:val="22"/>
          </w:rPr>
          <w:tab/>
        </w:r>
        <w:r w:rsidRPr="00087766">
          <w:rPr>
            <w:rStyle w:val="af7"/>
            <w:noProof/>
            <w:highlight w:val="green"/>
          </w:rPr>
          <w:t>Назначение и маршрут документа</w:t>
        </w:r>
        <w:r>
          <w:rPr>
            <w:noProof/>
            <w:webHidden/>
          </w:rPr>
          <w:tab/>
        </w:r>
        <w:r>
          <w:rPr>
            <w:noProof/>
            <w:webHidden/>
          </w:rPr>
          <w:fldChar w:fldCharType="begin"/>
        </w:r>
        <w:r>
          <w:rPr>
            <w:noProof/>
            <w:webHidden/>
          </w:rPr>
          <w:instrText xml:space="preserve"> PAGEREF _Toc219309873 \h </w:instrText>
        </w:r>
        <w:r>
          <w:rPr>
            <w:noProof/>
            <w:webHidden/>
          </w:rPr>
        </w:r>
        <w:r>
          <w:rPr>
            <w:noProof/>
            <w:webHidden/>
          </w:rPr>
          <w:fldChar w:fldCharType="separate"/>
        </w:r>
        <w:r>
          <w:rPr>
            <w:noProof/>
            <w:webHidden/>
          </w:rPr>
          <w:t>541</w:t>
        </w:r>
        <w:r>
          <w:rPr>
            <w:noProof/>
            <w:webHidden/>
          </w:rPr>
          <w:fldChar w:fldCharType="end"/>
        </w:r>
      </w:hyperlink>
    </w:p>
    <w:p w14:paraId="1D6569DB" w14:textId="77777777" w:rsidR="008D797C" w:rsidRDefault="008D797C">
      <w:pPr>
        <w:pStyle w:val="2a"/>
        <w:tabs>
          <w:tab w:val="left" w:pos="960"/>
          <w:tab w:val="right" w:leader="dot" w:pos="9628"/>
        </w:tabs>
        <w:rPr>
          <w:rFonts w:asciiTheme="minorHAnsi" w:eastAsiaTheme="minorEastAsia" w:hAnsiTheme="minorHAnsi" w:cstheme="minorBidi"/>
          <w:noProof/>
          <w:sz w:val="22"/>
          <w:szCs w:val="22"/>
        </w:rPr>
      </w:pPr>
      <w:hyperlink w:anchor="_Toc219309874" w:history="1">
        <w:r w:rsidRPr="00087766">
          <w:rPr>
            <w:rStyle w:val="af7"/>
            <w:noProof/>
          </w:rPr>
          <w:t>9.4.</w:t>
        </w:r>
        <w:r>
          <w:rPr>
            <w:rFonts w:asciiTheme="minorHAnsi" w:eastAsiaTheme="minorEastAsia" w:hAnsiTheme="minorHAnsi" w:cstheme="minorBidi"/>
            <w:noProof/>
            <w:sz w:val="22"/>
            <w:szCs w:val="22"/>
          </w:rPr>
          <w:tab/>
        </w:r>
        <w:r w:rsidRPr="00087766">
          <w:rPr>
            <w:rStyle w:val="af7"/>
            <w:noProof/>
          </w:rPr>
          <w:t>Описание документа «Распоряжение налогового органа (зачет)»</w:t>
        </w:r>
        <w:r>
          <w:rPr>
            <w:noProof/>
            <w:webHidden/>
          </w:rPr>
          <w:tab/>
        </w:r>
        <w:r>
          <w:rPr>
            <w:noProof/>
            <w:webHidden/>
          </w:rPr>
          <w:fldChar w:fldCharType="begin"/>
        </w:r>
        <w:r>
          <w:rPr>
            <w:noProof/>
            <w:webHidden/>
          </w:rPr>
          <w:instrText xml:space="preserve"> PAGEREF _Toc219309874 \h </w:instrText>
        </w:r>
        <w:r>
          <w:rPr>
            <w:noProof/>
            <w:webHidden/>
          </w:rPr>
        </w:r>
        <w:r>
          <w:rPr>
            <w:noProof/>
            <w:webHidden/>
          </w:rPr>
          <w:fldChar w:fldCharType="separate"/>
        </w:r>
        <w:r>
          <w:rPr>
            <w:noProof/>
            <w:webHidden/>
          </w:rPr>
          <w:t>542</w:t>
        </w:r>
        <w:r>
          <w:rPr>
            <w:noProof/>
            <w:webHidden/>
          </w:rPr>
          <w:fldChar w:fldCharType="end"/>
        </w:r>
      </w:hyperlink>
    </w:p>
    <w:p w14:paraId="569AA576"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75" w:history="1">
        <w:r w:rsidRPr="00087766">
          <w:rPr>
            <w:rStyle w:val="af7"/>
            <w:noProof/>
          </w:rPr>
          <w:t>9.4.1.</w:t>
        </w:r>
        <w:r>
          <w:rPr>
            <w:rFonts w:asciiTheme="minorHAnsi" w:eastAsiaTheme="minorEastAsia" w:hAnsiTheme="minorHAnsi" w:cstheme="minorBidi"/>
            <w:iCs w:val="0"/>
            <w:noProof/>
            <w:sz w:val="22"/>
            <w:szCs w:val="22"/>
          </w:rPr>
          <w:tab/>
        </w:r>
        <w:r w:rsidRPr="00087766">
          <w:rPr>
            <w:rStyle w:val="af7"/>
            <w:noProof/>
          </w:rPr>
          <w:t>Назначение и маршрут документа</w:t>
        </w:r>
        <w:r>
          <w:rPr>
            <w:noProof/>
            <w:webHidden/>
          </w:rPr>
          <w:tab/>
        </w:r>
        <w:r>
          <w:rPr>
            <w:noProof/>
            <w:webHidden/>
          </w:rPr>
          <w:fldChar w:fldCharType="begin"/>
        </w:r>
        <w:r>
          <w:rPr>
            <w:noProof/>
            <w:webHidden/>
          </w:rPr>
          <w:instrText xml:space="preserve"> PAGEREF _Toc219309875 \h </w:instrText>
        </w:r>
        <w:r>
          <w:rPr>
            <w:noProof/>
            <w:webHidden/>
          </w:rPr>
        </w:r>
        <w:r>
          <w:rPr>
            <w:noProof/>
            <w:webHidden/>
          </w:rPr>
          <w:fldChar w:fldCharType="separate"/>
        </w:r>
        <w:r>
          <w:rPr>
            <w:noProof/>
            <w:webHidden/>
          </w:rPr>
          <w:t>542</w:t>
        </w:r>
        <w:r>
          <w:rPr>
            <w:noProof/>
            <w:webHidden/>
          </w:rPr>
          <w:fldChar w:fldCharType="end"/>
        </w:r>
      </w:hyperlink>
    </w:p>
    <w:p w14:paraId="05CA94D6"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76" w:history="1">
        <w:r w:rsidRPr="00087766">
          <w:rPr>
            <w:rStyle w:val="af7"/>
            <w:noProof/>
          </w:rPr>
          <w:t>9.4.2.</w:t>
        </w:r>
        <w:r>
          <w:rPr>
            <w:rFonts w:asciiTheme="minorHAnsi" w:eastAsiaTheme="minorEastAsia" w:hAnsiTheme="minorHAnsi" w:cstheme="minorBidi"/>
            <w:iCs w:val="0"/>
            <w:noProof/>
            <w:sz w:val="22"/>
            <w:szCs w:val="22"/>
          </w:rPr>
          <w:tab/>
        </w:r>
        <w:r w:rsidRPr="00087766">
          <w:rPr>
            <w:rStyle w:val="af7"/>
            <w:noProof/>
          </w:rPr>
          <w:t>Описание комплексного типа «</w:t>
        </w:r>
        <w:r w:rsidRPr="00087766">
          <w:rPr>
            <w:rStyle w:val="af7"/>
            <w:rFonts w:eastAsia="Calibri"/>
            <w:noProof/>
          </w:rPr>
          <w:t>t</w:t>
        </w:r>
        <w:r w:rsidRPr="00087766">
          <w:rPr>
            <w:rStyle w:val="af7"/>
            <w:noProof/>
            <w:lang w:val="en-US"/>
          </w:rPr>
          <w:t>B</w:t>
        </w:r>
        <w:r w:rsidRPr="00087766">
          <w:rPr>
            <w:rStyle w:val="af7"/>
            <w:rFonts w:eastAsia="Calibri"/>
            <w:noProof/>
          </w:rPr>
          <w:t>RA_DOC_D_006</w:t>
        </w:r>
        <w:r w:rsidRPr="00087766">
          <w:rPr>
            <w:rStyle w:val="af7"/>
            <w:noProof/>
          </w:rPr>
          <w:t>»</w:t>
        </w:r>
        <w:r>
          <w:rPr>
            <w:noProof/>
            <w:webHidden/>
          </w:rPr>
          <w:tab/>
        </w:r>
        <w:r>
          <w:rPr>
            <w:noProof/>
            <w:webHidden/>
          </w:rPr>
          <w:fldChar w:fldCharType="begin"/>
        </w:r>
        <w:r>
          <w:rPr>
            <w:noProof/>
            <w:webHidden/>
          </w:rPr>
          <w:instrText xml:space="preserve"> PAGEREF _Toc219309876 \h </w:instrText>
        </w:r>
        <w:r>
          <w:rPr>
            <w:noProof/>
            <w:webHidden/>
          </w:rPr>
        </w:r>
        <w:r>
          <w:rPr>
            <w:noProof/>
            <w:webHidden/>
          </w:rPr>
          <w:fldChar w:fldCharType="separate"/>
        </w:r>
        <w:r>
          <w:rPr>
            <w:noProof/>
            <w:webHidden/>
          </w:rPr>
          <w:t>542</w:t>
        </w:r>
        <w:r>
          <w:rPr>
            <w:noProof/>
            <w:webHidden/>
          </w:rPr>
          <w:fldChar w:fldCharType="end"/>
        </w:r>
      </w:hyperlink>
    </w:p>
    <w:p w14:paraId="47BC779C"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77" w:history="1">
        <w:r w:rsidRPr="00087766">
          <w:rPr>
            <w:rStyle w:val="af7"/>
            <w:noProof/>
          </w:rPr>
          <w:t>9.4.3.</w:t>
        </w:r>
        <w:r>
          <w:rPr>
            <w:rFonts w:asciiTheme="minorHAnsi" w:eastAsiaTheme="minorEastAsia" w:hAnsiTheme="minorHAnsi" w:cstheme="minorBidi"/>
            <w:iCs w:val="0"/>
            <w:noProof/>
            <w:sz w:val="22"/>
            <w:szCs w:val="22"/>
          </w:rPr>
          <w:tab/>
        </w:r>
        <w:r w:rsidRPr="00087766">
          <w:rPr>
            <w:rStyle w:val="af7"/>
            <w:noProof/>
          </w:rPr>
          <w:t>Описание комплексного типа «</w:t>
        </w:r>
        <w:r w:rsidRPr="00087766">
          <w:rPr>
            <w:rStyle w:val="af7"/>
            <w:noProof/>
            <w:lang w:val="en-US"/>
          </w:rPr>
          <w:t>tB</w:t>
        </w:r>
        <w:r w:rsidRPr="00087766">
          <w:rPr>
            <w:rStyle w:val="af7"/>
            <w:rFonts w:eastAsia="Calibri"/>
            <w:noProof/>
          </w:rPr>
          <w:t>RA_DOC_D_006</w:t>
        </w:r>
        <w:r w:rsidRPr="00087766">
          <w:rPr>
            <w:rStyle w:val="af7"/>
            <w:noProof/>
          </w:rPr>
          <w:t>_Tab»</w:t>
        </w:r>
        <w:r>
          <w:rPr>
            <w:noProof/>
            <w:webHidden/>
          </w:rPr>
          <w:tab/>
        </w:r>
        <w:r>
          <w:rPr>
            <w:noProof/>
            <w:webHidden/>
          </w:rPr>
          <w:fldChar w:fldCharType="begin"/>
        </w:r>
        <w:r>
          <w:rPr>
            <w:noProof/>
            <w:webHidden/>
          </w:rPr>
          <w:instrText xml:space="preserve"> PAGEREF _Toc219309877 \h </w:instrText>
        </w:r>
        <w:r>
          <w:rPr>
            <w:noProof/>
            <w:webHidden/>
          </w:rPr>
        </w:r>
        <w:r>
          <w:rPr>
            <w:noProof/>
            <w:webHidden/>
          </w:rPr>
          <w:fldChar w:fldCharType="separate"/>
        </w:r>
        <w:r>
          <w:rPr>
            <w:noProof/>
            <w:webHidden/>
          </w:rPr>
          <w:t>543</w:t>
        </w:r>
        <w:r>
          <w:rPr>
            <w:noProof/>
            <w:webHidden/>
          </w:rPr>
          <w:fldChar w:fldCharType="end"/>
        </w:r>
      </w:hyperlink>
    </w:p>
    <w:p w14:paraId="24457969"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78" w:history="1">
        <w:r w:rsidRPr="00087766">
          <w:rPr>
            <w:rStyle w:val="af7"/>
            <w:noProof/>
          </w:rPr>
          <w:t>9.4.4.</w:t>
        </w:r>
        <w:r>
          <w:rPr>
            <w:rFonts w:asciiTheme="minorHAnsi" w:eastAsiaTheme="minorEastAsia" w:hAnsiTheme="minorHAnsi" w:cstheme="minorBidi"/>
            <w:iCs w:val="0"/>
            <w:noProof/>
            <w:sz w:val="22"/>
            <w:szCs w:val="22"/>
          </w:rPr>
          <w:tab/>
        </w:r>
        <w:r w:rsidRPr="00087766">
          <w:rPr>
            <w:rStyle w:val="af7"/>
            <w:noProof/>
          </w:rPr>
          <w:t>Описание комплексного типа «t</w:t>
        </w:r>
        <w:r w:rsidRPr="00087766">
          <w:rPr>
            <w:rStyle w:val="af7"/>
            <w:noProof/>
            <w:lang w:val="en-US"/>
          </w:rPr>
          <w:t>B</w:t>
        </w:r>
        <w:r w:rsidRPr="00087766">
          <w:rPr>
            <w:rStyle w:val="af7"/>
            <w:rFonts w:eastAsia="Calibri"/>
            <w:noProof/>
          </w:rPr>
          <w:t>RA_DOC_D_006</w:t>
        </w:r>
        <w:r w:rsidRPr="00087766">
          <w:rPr>
            <w:rStyle w:val="af7"/>
            <w:noProof/>
          </w:rPr>
          <w:t>_Tab_ITEM»</w:t>
        </w:r>
        <w:r>
          <w:rPr>
            <w:noProof/>
            <w:webHidden/>
          </w:rPr>
          <w:tab/>
        </w:r>
        <w:r>
          <w:rPr>
            <w:noProof/>
            <w:webHidden/>
          </w:rPr>
          <w:fldChar w:fldCharType="begin"/>
        </w:r>
        <w:r>
          <w:rPr>
            <w:noProof/>
            <w:webHidden/>
          </w:rPr>
          <w:instrText xml:space="preserve"> PAGEREF _Toc219309878 \h </w:instrText>
        </w:r>
        <w:r>
          <w:rPr>
            <w:noProof/>
            <w:webHidden/>
          </w:rPr>
        </w:r>
        <w:r>
          <w:rPr>
            <w:noProof/>
            <w:webHidden/>
          </w:rPr>
          <w:fldChar w:fldCharType="separate"/>
        </w:r>
        <w:r>
          <w:rPr>
            <w:noProof/>
            <w:webHidden/>
          </w:rPr>
          <w:t>543</w:t>
        </w:r>
        <w:r>
          <w:rPr>
            <w:noProof/>
            <w:webHidden/>
          </w:rPr>
          <w:fldChar w:fldCharType="end"/>
        </w:r>
      </w:hyperlink>
    </w:p>
    <w:p w14:paraId="184F6D8A"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79" w:history="1">
        <w:r w:rsidRPr="00087766">
          <w:rPr>
            <w:rStyle w:val="af7"/>
            <w:noProof/>
          </w:rPr>
          <w:t>9.4.5.</w:t>
        </w:r>
        <w:r>
          <w:rPr>
            <w:rFonts w:asciiTheme="minorHAnsi" w:eastAsiaTheme="minorEastAsia" w:hAnsiTheme="minorHAnsi" w:cstheme="minorBidi"/>
            <w:iCs w:val="0"/>
            <w:noProof/>
            <w:sz w:val="22"/>
            <w:szCs w:val="22"/>
          </w:rPr>
          <w:tab/>
        </w:r>
        <w:r w:rsidRPr="00087766">
          <w:rPr>
            <w:rStyle w:val="af7"/>
            <w:noProof/>
          </w:rPr>
          <w:t>Описание комплексного типа «tSGNNmDt1»</w:t>
        </w:r>
        <w:r>
          <w:rPr>
            <w:noProof/>
            <w:webHidden/>
          </w:rPr>
          <w:tab/>
        </w:r>
        <w:r>
          <w:rPr>
            <w:noProof/>
            <w:webHidden/>
          </w:rPr>
          <w:fldChar w:fldCharType="begin"/>
        </w:r>
        <w:r>
          <w:rPr>
            <w:noProof/>
            <w:webHidden/>
          </w:rPr>
          <w:instrText xml:space="preserve"> PAGEREF _Toc219309879 \h </w:instrText>
        </w:r>
        <w:r>
          <w:rPr>
            <w:noProof/>
            <w:webHidden/>
          </w:rPr>
        </w:r>
        <w:r>
          <w:rPr>
            <w:noProof/>
            <w:webHidden/>
          </w:rPr>
          <w:fldChar w:fldCharType="separate"/>
        </w:r>
        <w:r>
          <w:rPr>
            <w:noProof/>
            <w:webHidden/>
          </w:rPr>
          <w:t>544</w:t>
        </w:r>
        <w:r>
          <w:rPr>
            <w:noProof/>
            <w:webHidden/>
          </w:rPr>
          <w:fldChar w:fldCharType="end"/>
        </w:r>
      </w:hyperlink>
    </w:p>
    <w:p w14:paraId="3A2A0A0B"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80" w:history="1">
        <w:r w:rsidRPr="00087766">
          <w:rPr>
            <w:rStyle w:val="af7"/>
            <w:noProof/>
          </w:rPr>
          <w:t>9.4.6.</w:t>
        </w:r>
        <w:r>
          <w:rPr>
            <w:rFonts w:asciiTheme="minorHAnsi" w:eastAsiaTheme="minorEastAsia" w:hAnsiTheme="minorHAnsi" w:cstheme="minorBidi"/>
            <w:iCs w:val="0"/>
            <w:noProof/>
            <w:sz w:val="22"/>
            <w:szCs w:val="22"/>
          </w:rPr>
          <w:tab/>
        </w:r>
        <w:r w:rsidRPr="00087766">
          <w:rPr>
            <w:rStyle w:val="af7"/>
            <w:noProof/>
          </w:rPr>
          <w:t xml:space="preserve">Пример </w:t>
        </w:r>
        <w:r w:rsidRPr="00087766">
          <w:rPr>
            <w:rStyle w:val="af7"/>
            <w:noProof/>
            <w:lang w:val="en-US"/>
          </w:rPr>
          <w:t>XML</w:t>
        </w:r>
        <w:r>
          <w:rPr>
            <w:noProof/>
            <w:webHidden/>
          </w:rPr>
          <w:tab/>
        </w:r>
        <w:r>
          <w:rPr>
            <w:noProof/>
            <w:webHidden/>
          </w:rPr>
          <w:fldChar w:fldCharType="begin"/>
        </w:r>
        <w:r>
          <w:rPr>
            <w:noProof/>
            <w:webHidden/>
          </w:rPr>
          <w:instrText xml:space="preserve"> PAGEREF _Toc219309880 \h </w:instrText>
        </w:r>
        <w:r>
          <w:rPr>
            <w:noProof/>
            <w:webHidden/>
          </w:rPr>
        </w:r>
        <w:r>
          <w:rPr>
            <w:noProof/>
            <w:webHidden/>
          </w:rPr>
          <w:fldChar w:fldCharType="separate"/>
        </w:r>
        <w:r>
          <w:rPr>
            <w:noProof/>
            <w:webHidden/>
          </w:rPr>
          <w:t>545</w:t>
        </w:r>
        <w:r>
          <w:rPr>
            <w:noProof/>
            <w:webHidden/>
          </w:rPr>
          <w:fldChar w:fldCharType="end"/>
        </w:r>
      </w:hyperlink>
    </w:p>
    <w:p w14:paraId="79D029B3" w14:textId="77777777" w:rsidR="008D797C" w:rsidRDefault="008D797C">
      <w:pPr>
        <w:pStyle w:val="2a"/>
        <w:tabs>
          <w:tab w:val="left" w:pos="960"/>
          <w:tab w:val="right" w:leader="dot" w:pos="9628"/>
        </w:tabs>
        <w:rPr>
          <w:rFonts w:asciiTheme="minorHAnsi" w:eastAsiaTheme="minorEastAsia" w:hAnsiTheme="minorHAnsi" w:cstheme="minorBidi"/>
          <w:noProof/>
          <w:sz w:val="22"/>
          <w:szCs w:val="22"/>
        </w:rPr>
      </w:pPr>
      <w:hyperlink w:anchor="_Toc219309881" w:history="1">
        <w:r w:rsidRPr="00087766">
          <w:rPr>
            <w:rStyle w:val="af7"/>
            <w:noProof/>
          </w:rPr>
          <w:t>9.5.</w:t>
        </w:r>
        <w:r>
          <w:rPr>
            <w:rFonts w:asciiTheme="minorHAnsi" w:eastAsiaTheme="minorEastAsia" w:hAnsiTheme="minorHAnsi" w:cstheme="minorBidi"/>
            <w:noProof/>
            <w:sz w:val="22"/>
            <w:szCs w:val="22"/>
          </w:rPr>
          <w:tab/>
        </w:r>
        <w:r w:rsidRPr="00087766">
          <w:rPr>
            <w:rStyle w:val="af7"/>
            <w:noProof/>
          </w:rPr>
          <w:t>Описание документа «Распоряжение налогового органа (уточнение)»</w:t>
        </w:r>
        <w:r>
          <w:rPr>
            <w:noProof/>
            <w:webHidden/>
          </w:rPr>
          <w:tab/>
        </w:r>
        <w:r>
          <w:rPr>
            <w:noProof/>
            <w:webHidden/>
          </w:rPr>
          <w:fldChar w:fldCharType="begin"/>
        </w:r>
        <w:r>
          <w:rPr>
            <w:noProof/>
            <w:webHidden/>
          </w:rPr>
          <w:instrText xml:space="preserve"> PAGEREF _Toc219309881 \h </w:instrText>
        </w:r>
        <w:r>
          <w:rPr>
            <w:noProof/>
            <w:webHidden/>
          </w:rPr>
        </w:r>
        <w:r>
          <w:rPr>
            <w:noProof/>
            <w:webHidden/>
          </w:rPr>
          <w:fldChar w:fldCharType="separate"/>
        </w:r>
        <w:r>
          <w:rPr>
            <w:noProof/>
            <w:webHidden/>
          </w:rPr>
          <w:t>549</w:t>
        </w:r>
        <w:r>
          <w:rPr>
            <w:noProof/>
            <w:webHidden/>
          </w:rPr>
          <w:fldChar w:fldCharType="end"/>
        </w:r>
      </w:hyperlink>
    </w:p>
    <w:p w14:paraId="41DCB2D6"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82" w:history="1">
        <w:r w:rsidRPr="00087766">
          <w:rPr>
            <w:rStyle w:val="af7"/>
            <w:noProof/>
          </w:rPr>
          <w:t>9.5.1.</w:t>
        </w:r>
        <w:r>
          <w:rPr>
            <w:rFonts w:asciiTheme="minorHAnsi" w:eastAsiaTheme="minorEastAsia" w:hAnsiTheme="minorHAnsi" w:cstheme="minorBidi"/>
            <w:iCs w:val="0"/>
            <w:noProof/>
            <w:sz w:val="22"/>
            <w:szCs w:val="22"/>
          </w:rPr>
          <w:tab/>
        </w:r>
        <w:r w:rsidRPr="00087766">
          <w:rPr>
            <w:rStyle w:val="af7"/>
            <w:noProof/>
          </w:rPr>
          <w:t>Назначение и маршрут документа</w:t>
        </w:r>
        <w:r>
          <w:rPr>
            <w:noProof/>
            <w:webHidden/>
          </w:rPr>
          <w:tab/>
        </w:r>
        <w:r>
          <w:rPr>
            <w:noProof/>
            <w:webHidden/>
          </w:rPr>
          <w:fldChar w:fldCharType="begin"/>
        </w:r>
        <w:r>
          <w:rPr>
            <w:noProof/>
            <w:webHidden/>
          </w:rPr>
          <w:instrText xml:space="preserve"> PAGEREF _Toc219309882 \h </w:instrText>
        </w:r>
        <w:r>
          <w:rPr>
            <w:noProof/>
            <w:webHidden/>
          </w:rPr>
        </w:r>
        <w:r>
          <w:rPr>
            <w:noProof/>
            <w:webHidden/>
          </w:rPr>
          <w:fldChar w:fldCharType="separate"/>
        </w:r>
        <w:r>
          <w:rPr>
            <w:noProof/>
            <w:webHidden/>
          </w:rPr>
          <w:t>549</w:t>
        </w:r>
        <w:r>
          <w:rPr>
            <w:noProof/>
            <w:webHidden/>
          </w:rPr>
          <w:fldChar w:fldCharType="end"/>
        </w:r>
      </w:hyperlink>
    </w:p>
    <w:p w14:paraId="4AC58A7E"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83" w:history="1">
        <w:r w:rsidRPr="00087766">
          <w:rPr>
            <w:rStyle w:val="af7"/>
            <w:noProof/>
          </w:rPr>
          <w:t>9.5.2.</w:t>
        </w:r>
        <w:r>
          <w:rPr>
            <w:rFonts w:asciiTheme="minorHAnsi" w:eastAsiaTheme="minorEastAsia" w:hAnsiTheme="minorHAnsi" w:cstheme="minorBidi"/>
            <w:iCs w:val="0"/>
            <w:noProof/>
            <w:sz w:val="22"/>
            <w:szCs w:val="22"/>
          </w:rPr>
          <w:tab/>
        </w:r>
        <w:r w:rsidRPr="00087766">
          <w:rPr>
            <w:rStyle w:val="af7"/>
            <w:noProof/>
          </w:rPr>
          <w:t>Описание комплексного типа «</w:t>
        </w:r>
        <w:r w:rsidRPr="00087766">
          <w:rPr>
            <w:rStyle w:val="af7"/>
            <w:rFonts w:eastAsia="Calibri"/>
            <w:noProof/>
          </w:rPr>
          <w:t>t</w:t>
        </w:r>
        <w:r w:rsidRPr="00087766">
          <w:rPr>
            <w:rStyle w:val="af7"/>
            <w:noProof/>
          </w:rPr>
          <w:t>B</w:t>
        </w:r>
        <w:r w:rsidRPr="00087766">
          <w:rPr>
            <w:rStyle w:val="af7"/>
            <w:rFonts w:eastAsia="Calibri"/>
            <w:noProof/>
          </w:rPr>
          <w:t>RA_DOC_D_005</w:t>
        </w:r>
        <w:r w:rsidRPr="00087766">
          <w:rPr>
            <w:rStyle w:val="af7"/>
            <w:noProof/>
          </w:rPr>
          <w:t>»</w:t>
        </w:r>
        <w:r>
          <w:rPr>
            <w:noProof/>
            <w:webHidden/>
          </w:rPr>
          <w:tab/>
        </w:r>
        <w:r>
          <w:rPr>
            <w:noProof/>
            <w:webHidden/>
          </w:rPr>
          <w:fldChar w:fldCharType="begin"/>
        </w:r>
        <w:r>
          <w:rPr>
            <w:noProof/>
            <w:webHidden/>
          </w:rPr>
          <w:instrText xml:space="preserve"> PAGEREF _Toc219309883 \h </w:instrText>
        </w:r>
        <w:r>
          <w:rPr>
            <w:noProof/>
            <w:webHidden/>
          </w:rPr>
        </w:r>
        <w:r>
          <w:rPr>
            <w:noProof/>
            <w:webHidden/>
          </w:rPr>
          <w:fldChar w:fldCharType="separate"/>
        </w:r>
        <w:r>
          <w:rPr>
            <w:noProof/>
            <w:webHidden/>
          </w:rPr>
          <w:t>549</w:t>
        </w:r>
        <w:r>
          <w:rPr>
            <w:noProof/>
            <w:webHidden/>
          </w:rPr>
          <w:fldChar w:fldCharType="end"/>
        </w:r>
      </w:hyperlink>
    </w:p>
    <w:p w14:paraId="175ED9F2"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84" w:history="1">
        <w:r w:rsidRPr="00087766">
          <w:rPr>
            <w:rStyle w:val="af7"/>
            <w:noProof/>
          </w:rPr>
          <w:t>9.5.3.</w:t>
        </w:r>
        <w:r>
          <w:rPr>
            <w:rFonts w:asciiTheme="minorHAnsi" w:eastAsiaTheme="minorEastAsia" w:hAnsiTheme="minorHAnsi" w:cstheme="minorBidi"/>
            <w:iCs w:val="0"/>
            <w:noProof/>
            <w:sz w:val="22"/>
            <w:szCs w:val="22"/>
          </w:rPr>
          <w:tab/>
        </w:r>
        <w:r w:rsidRPr="00087766">
          <w:rPr>
            <w:rStyle w:val="af7"/>
            <w:noProof/>
          </w:rPr>
          <w:t>Описание комплексного типа «</w:t>
        </w:r>
        <w:r w:rsidRPr="00087766">
          <w:rPr>
            <w:rStyle w:val="af7"/>
            <w:noProof/>
            <w:lang w:val="en-US"/>
          </w:rPr>
          <w:t>tB</w:t>
        </w:r>
        <w:r w:rsidRPr="00087766">
          <w:rPr>
            <w:rStyle w:val="af7"/>
            <w:rFonts w:eastAsia="Calibri"/>
            <w:noProof/>
          </w:rPr>
          <w:t>RA_DOC_D_005</w:t>
        </w:r>
        <w:r w:rsidRPr="00087766">
          <w:rPr>
            <w:rStyle w:val="af7"/>
            <w:noProof/>
          </w:rPr>
          <w:t>_Tab»</w:t>
        </w:r>
        <w:r>
          <w:rPr>
            <w:noProof/>
            <w:webHidden/>
          </w:rPr>
          <w:tab/>
        </w:r>
        <w:r>
          <w:rPr>
            <w:noProof/>
            <w:webHidden/>
          </w:rPr>
          <w:fldChar w:fldCharType="begin"/>
        </w:r>
        <w:r>
          <w:rPr>
            <w:noProof/>
            <w:webHidden/>
          </w:rPr>
          <w:instrText xml:space="preserve"> PAGEREF _Toc219309884 \h </w:instrText>
        </w:r>
        <w:r>
          <w:rPr>
            <w:noProof/>
            <w:webHidden/>
          </w:rPr>
        </w:r>
        <w:r>
          <w:rPr>
            <w:noProof/>
            <w:webHidden/>
          </w:rPr>
          <w:fldChar w:fldCharType="separate"/>
        </w:r>
        <w:r>
          <w:rPr>
            <w:noProof/>
            <w:webHidden/>
          </w:rPr>
          <w:t>551</w:t>
        </w:r>
        <w:r>
          <w:rPr>
            <w:noProof/>
            <w:webHidden/>
          </w:rPr>
          <w:fldChar w:fldCharType="end"/>
        </w:r>
      </w:hyperlink>
    </w:p>
    <w:p w14:paraId="2CDBC80C"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85" w:history="1">
        <w:r w:rsidRPr="00087766">
          <w:rPr>
            <w:rStyle w:val="af7"/>
            <w:noProof/>
          </w:rPr>
          <w:t>9.5.4.</w:t>
        </w:r>
        <w:r>
          <w:rPr>
            <w:rFonts w:asciiTheme="minorHAnsi" w:eastAsiaTheme="minorEastAsia" w:hAnsiTheme="minorHAnsi" w:cstheme="minorBidi"/>
            <w:iCs w:val="0"/>
            <w:noProof/>
            <w:sz w:val="22"/>
            <w:szCs w:val="22"/>
          </w:rPr>
          <w:tab/>
        </w:r>
        <w:r w:rsidRPr="00087766">
          <w:rPr>
            <w:rStyle w:val="af7"/>
            <w:noProof/>
          </w:rPr>
          <w:t>Описание комплексного типа «t</w:t>
        </w:r>
        <w:r w:rsidRPr="00087766">
          <w:rPr>
            <w:rStyle w:val="af7"/>
            <w:noProof/>
            <w:lang w:val="en-US"/>
          </w:rPr>
          <w:t>B</w:t>
        </w:r>
        <w:r w:rsidRPr="00087766">
          <w:rPr>
            <w:rStyle w:val="af7"/>
            <w:rFonts w:eastAsia="Calibri"/>
            <w:noProof/>
          </w:rPr>
          <w:t>RA_DOC_D_005</w:t>
        </w:r>
        <w:r w:rsidRPr="00087766">
          <w:rPr>
            <w:rStyle w:val="af7"/>
            <w:noProof/>
          </w:rPr>
          <w:t>_Tab_ITEM»</w:t>
        </w:r>
        <w:r>
          <w:rPr>
            <w:noProof/>
            <w:webHidden/>
          </w:rPr>
          <w:tab/>
        </w:r>
        <w:r>
          <w:rPr>
            <w:noProof/>
            <w:webHidden/>
          </w:rPr>
          <w:fldChar w:fldCharType="begin"/>
        </w:r>
        <w:r>
          <w:rPr>
            <w:noProof/>
            <w:webHidden/>
          </w:rPr>
          <w:instrText xml:space="preserve"> PAGEREF _Toc219309885 \h </w:instrText>
        </w:r>
        <w:r>
          <w:rPr>
            <w:noProof/>
            <w:webHidden/>
          </w:rPr>
        </w:r>
        <w:r>
          <w:rPr>
            <w:noProof/>
            <w:webHidden/>
          </w:rPr>
          <w:fldChar w:fldCharType="separate"/>
        </w:r>
        <w:r>
          <w:rPr>
            <w:noProof/>
            <w:webHidden/>
          </w:rPr>
          <w:t>551</w:t>
        </w:r>
        <w:r>
          <w:rPr>
            <w:noProof/>
            <w:webHidden/>
          </w:rPr>
          <w:fldChar w:fldCharType="end"/>
        </w:r>
      </w:hyperlink>
    </w:p>
    <w:p w14:paraId="06963181"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86" w:history="1">
        <w:r w:rsidRPr="00087766">
          <w:rPr>
            <w:rStyle w:val="af7"/>
            <w:noProof/>
          </w:rPr>
          <w:t>9.5.5.</w:t>
        </w:r>
        <w:r>
          <w:rPr>
            <w:rFonts w:asciiTheme="minorHAnsi" w:eastAsiaTheme="minorEastAsia" w:hAnsiTheme="minorHAnsi" w:cstheme="minorBidi"/>
            <w:iCs w:val="0"/>
            <w:noProof/>
            <w:sz w:val="22"/>
            <w:szCs w:val="22"/>
          </w:rPr>
          <w:tab/>
        </w:r>
        <w:r w:rsidRPr="00087766">
          <w:rPr>
            <w:rStyle w:val="af7"/>
            <w:noProof/>
          </w:rPr>
          <w:t>Описание комплексного типа «tSGNNmDt1»</w:t>
        </w:r>
        <w:r>
          <w:rPr>
            <w:noProof/>
            <w:webHidden/>
          </w:rPr>
          <w:tab/>
        </w:r>
        <w:r>
          <w:rPr>
            <w:noProof/>
            <w:webHidden/>
          </w:rPr>
          <w:fldChar w:fldCharType="begin"/>
        </w:r>
        <w:r>
          <w:rPr>
            <w:noProof/>
            <w:webHidden/>
          </w:rPr>
          <w:instrText xml:space="preserve"> PAGEREF _Toc219309886 \h </w:instrText>
        </w:r>
        <w:r>
          <w:rPr>
            <w:noProof/>
            <w:webHidden/>
          </w:rPr>
        </w:r>
        <w:r>
          <w:rPr>
            <w:noProof/>
            <w:webHidden/>
          </w:rPr>
          <w:fldChar w:fldCharType="separate"/>
        </w:r>
        <w:r>
          <w:rPr>
            <w:noProof/>
            <w:webHidden/>
          </w:rPr>
          <w:t>553</w:t>
        </w:r>
        <w:r>
          <w:rPr>
            <w:noProof/>
            <w:webHidden/>
          </w:rPr>
          <w:fldChar w:fldCharType="end"/>
        </w:r>
      </w:hyperlink>
    </w:p>
    <w:p w14:paraId="4AF5DDBB"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87" w:history="1">
        <w:r w:rsidRPr="00087766">
          <w:rPr>
            <w:rStyle w:val="af7"/>
            <w:noProof/>
          </w:rPr>
          <w:t>9.5.6.</w:t>
        </w:r>
        <w:r>
          <w:rPr>
            <w:rFonts w:asciiTheme="minorHAnsi" w:eastAsiaTheme="minorEastAsia" w:hAnsiTheme="minorHAnsi" w:cstheme="minorBidi"/>
            <w:iCs w:val="0"/>
            <w:noProof/>
            <w:sz w:val="22"/>
            <w:szCs w:val="22"/>
          </w:rPr>
          <w:tab/>
        </w:r>
        <w:r w:rsidRPr="00087766">
          <w:rPr>
            <w:rStyle w:val="af7"/>
            <w:noProof/>
          </w:rPr>
          <w:t xml:space="preserve">Пример </w:t>
        </w:r>
        <w:r w:rsidRPr="00087766">
          <w:rPr>
            <w:rStyle w:val="af7"/>
            <w:noProof/>
            <w:lang w:val="en-US"/>
          </w:rPr>
          <w:t>XML</w:t>
        </w:r>
        <w:r>
          <w:rPr>
            <w:noProof/>
            <w:webHidden/>
          </w:rPr>
          <w:tab/>
        </w:r>
        <w:r>
          <w:rPr>
            <w:noProof/>
            <w:webHidden/>
          </w:rPr>
          <w:fldChar w:fldCharType="begin"/>
        </w:r>
        <w:r>
          <w:rPr>
            <w:noProof/>
            <w:webHidden/>
          </w:rPr>
          <w:instrText xml:space="preserve"> PAGEREF _Toc219309887 \h </w:instrText>
        </w:r>
        <w:r>
          <w:rPr>
            <w:noProof/>
            <w:webHidden/>
          </w:rPr>
        </w:r>
        <w:r>
          <w:rPr>
            <w:noProof/>
            <w:webHidden/>
          </w:rPr>
          <w:fldChar w:fldCharType="separate"/>
        </w:r>
        <w:r>
          <w:rPr>
            <w:noProof/>
            <w:webHidden/>
          </w:rPr>
          <w:t>553</w:t>
        </w:r>
        <w:r>
          <w:rPr>
            <w:noProof/>
            <w:webHidden/>
          </w:rPr>
          <w:fldChar w:fldCharType="end"/>
        </w:r>
      </w:hyperlink>
    </w:p>
    <w:p w14:paraId="55482DCB" w14:textId="77777777" w:rsidR="008D797C" w:rsidRDefault="008D797C">
      <w:pPr>
        <w:pStyle w:val="16"/>
        <w:rPr>
          <w:rFonts w:asciiTheme="minorHAnsi" w:eastAsiaTheme="minorEastAsia" w:hAnsiTheme="minorHAnsi" w:cstheme="minorBidi"/>
          <w:b w:val="0"/>
          <w:caps w:val="0"/>
          <w:noProof/>
          <w:sz w:val="22"/>
          <w:szCs w:val="22"/>
        </w:rPr>
      </w:pPr>
      <w:hyperlink w:anchor="_Toc219309888" w:history="1">
        <w:r w:rsidRPr="00087766">
          <w:rPr>
            <w:rStyle w:val="af7"/>
            <w:noProof/>
          </w:rPr>
          <w:t>10.</w:t>
        </w:r>
        <w:r>
          <w:rPr>
            <w:rFonts w:asciiTheme="minorHAnsi" w:eastAsiaTheme="minorEastAsia" w:hAnsiTheme="minorHAnsi" w:cstheme="minorBidi"/>
            <w:b w:val="0"/>
            <w:caps w:val="0"/>
            <w:noProof/>
            <w:sz w:val="22"/>
            <w:szCs w:val="22"/>
          </w:rPr>
          <w:tab/>
        </w:r>
        <w:r w:rsidRPr="00087766">
          <w:rPr>
            <w:rStyle w:val="af7"/>
            <w:noProof/>
          </w:rPr>
          <w:t>Требования к составу информации при информационном взаимодействии между территориальными органами Федерального казначейства и клиентами для осуществления операций в иностранной валюте</w:t>
        </w:r>
        <w:r>
          <w:rPr>
            <w:noProof/>
            <w:webHidden/>
          </w:rPr>
          <w:tab/>
        </w:r>
        <w:r>
          <w:rPr>
            <w:noProof/>
            <w:webHidden/>
          </w:rPr>
          <w:fldChar w:fldCharType="begin"/>
        </w:r>
        <w:r>
          <w:rPr>
            <w:noProof/>
            <w:webHidden/>
          </w:rPr>
          <w:instrText xml:space="preserve"> PAGEREF _Toc219309888 \h </w:instrText>
        </w:r>
        <w:r>
          <w:rPr>
            <w:noProof/>
            <w:webHidden/>
          </w:rPr>
        </w:r>
        <w:r>
          <w:rPr>
            <w:noProof/>
            <w:webHidden/>
          </w:rPr>
          <w:fldChar w:fldCharType="separate"/>
        </w:r>
        <w:r>
          <w:rPr>
            <w:noProof/>
            <w:webHidden/>
          </w:rPr>
          <w:t>558</w:t>
        </w:r>
        <w:r>
          <w:rPr>
            <w:noProof/>
            <w:webHidden/>
          </w:rPr>
          <w:fldChar w:fldCharType="end"/>
        </w:r>
      </w:hyperlink>
    </w:p>
    <w:p w14:paraId="4D119CF0" w14:textId="77777777" w:rsidR="008D797C" w:rsidRDefault="008D797C">
      <w:pPr>
        <w:pStyle w:val="2a"/>
        <w:tabs>
          <w:tab w:val="left" w:pos="960"/>
          <w:tab w:val="right" w:leader="dot" w:pos="9628"/>
        </w:tabs>
        <w:rPr>
          <w:rFonts w:asciiTheme="minorHAnsi" w:eastAsiaTheme="minorEastAsia" w:hAnsiTheme="minorHAnsi" w:cstheme="minorBidi"/>
          <w:noProof/>
          <w:sz w:val="22"/>
          <w:szCs w:val="22"/>
        </w:rPr>
      </w:pPr>
      <w:hyperlink w:anchor="_Toc219309889" w:history="1">
        <w:r w:rsidRPr="00087766">
          <w:rPr>
            <w:rStyle w:val="af7"/>
            <w:noProof/>
            <w:highlight w:val="green"/>
          </w:rPr>
          <w:t>10.1.</w:t>
        </w:r>
        <w:r>
          <w:rPr>
            <w:rFonts w:asciiTheme="minorHAnsi" w:eastAsiaTheme="minorEastAsia" w:hAnsiTheme="minorHAnsi" w:cstheme="minorBidi"/>
            <w:noProof/>
            <w:sz w:val="22"/>
            <w:szCs w:val="22"/>
          </w:rPr>
          <w:tab/>
        </w:r>
        <w:r w:rsidRPr="00087766">
          <w:rPr>
            <w:rStyle w:val="af7"/>
            <w:noProof/>
            <w:highlight w:val="green"/>
          </w:rPr>
          <w:t>Описание документа «Заявление на проведение операций с иностранной валютой»</w:t>
        </w:r>
        <w:r>
          <w:rPr>
            <w:noProof/>
            <w:webHidden/>
          </w:rPr>
          <w:tab/>
        </w:r>
        <w:r>
          <w:rPr>
            <w:noProof/>
            <w:webHidden/>
          </w:rPr>
          <w:fldChar w:fldCharType="begin"/>
        </w:r>
        <w:r>
          <w:rPr>
            <w:noProof/>
            <w:webHidden/>
          </w:rPr>
          <w:instrText xml:space="preserve"> PAGEREF _Toc219309889 \h </w:instrText>
        </w:r>
        <w:r>
          <w:rPr>
            <w:noProof/>
            <w:webHidden/>
          </w:rPr>
        </w:r>
        <w:r>
          <w:rPr>
            <w:noProof/>
            <w:webHidden/>
          </w:rPr>
          <w:fldChar w:fldCharType="separate"/>
        </w:r>
        <w:r>
          <w:rPr>
            <w:noProof/>
            <w:webHidden/>
          </w:rPr>
          <w:t>559</w:t>
        </w:r>
        <w:r>
          <w:rPr>
            <w:noProof/>
            <w:webHidden/>
          </w:rPr>
          <w:fldChar w:fldCharType="end"/>
        </w:r>
      </w:hyperlink>
    </w:p>
    <w:p w14:paraId="37BE7503"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90" w:history="1">
        <w:r w:rsidRPr="00087766">
          <w:rPr>
            <w:rStyle w:val="af7"/>
            <w:noProof/>
            <w:highlight w:val="green"/>
          </w:rPr>
          <w:t>10.1.1.</w:t>
        </w:r>
        <w:r>
          <w:rPr>
            <w:rFonts w:asciiTheme="minorHAnsi" w:eastAsiaTheme="minorEastAsia" w:hAnsiTheme="minorHAnsi" w:cstheme="minorBidi"/>
            <w:iCs w:val="0"/>
            <w:noProof/>
            <w:sz w:val="22"/>
            <w:szCs w:val="22"/>
          </w:rPr>
          <w:tab/>
        </w:r>
        <w:r w:rsidRPr="00087766">
          <w:rPr>
            <w:rStyle w:val="af7"/>
            <w:noProof/>
            <w:highlight w:val="green"/>
          </w:rPr>
          <w:t>Назначение и маршрут документа</w:t>
        </w:r>
        <w:r>
          <w:rPr>
            <w:noProof/>
            <w:webHidden/>
          </w:rPr>
          <w:tab/>
        </w:r>
        <w:r>
          <w:rPr>
            <w:noProof/>
            <w:webHidden/>
          </w:rPr>
          <w:fldChar w:fldCharType="begin"/>
        </w:r>
        <w:r>
          <w:rPr>
            <w:noProof/>
            <w:webHidden/>
          </w:rPr>
          <w:instrText xml:space="preserve"> PAGEREF _Toc219309890 \h </w:instrText>
        </w:r>
        <w:r>
          <w:rPr>
            <w:noProof/>
            <w:webHidden/>
          </w:rPr>
        </w:r>
        <w:r>
          <w:rPr>
            <w:noProof/>
            <w:webHidden/>
          </w:rPr>
          <w:fldChar w:fldCharType="separate"/>
        </w:r>
        <w:r>
          <w:rPr>
            <w:noProof/>
            <w:webHidden/>
          </w:rPr>
          <w:t>559</w:t>
        </w:r>
        <w:r>
          <w:rPr>
            <w:noProof/>
            <w:webHidden/>
          </w:rPr>
          <w:fldChar w:fldCharType="end"/>
        </w:r>
      </w:hyperlink>
    </w:p>
    <w:p w14:paraId="209BB50E"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91" w:history="1">
        <w:r w:rsidRPr="00087766">
          <w:rPr>
            <w:rStyle w:val="af7"/>
            <w:noProof/>
            <w:highlight w:val="green"/>
          </w:rPr>
          <w:t>10.1.2.</w:t>
        </w:r>
        <w:r>
          <w:rPr>
            <w:rFonts w:asciiTheme="minorHAnsi" w:eastAsiaTheme="minorEastAsia" w:hAnsiTheme="minorHAnsi" w:cstheme="minorBidi"/>
            <w:iCs w:val="0"/>
            <w:noProof/>
            <w:sz w:val="22"/>
            <w:szCs w:val="22"/>
          </w:rPr>
          <w:tab/>
        </w:r>
        <w:r w:rsidRPr="00087766">
          <w:rPr>
            <w:rStyle w:val="af7"/>
            <w:noProof/>
            <w:highlight w:val="green"/>
          </w:rPr>
          <w:t>Описание комплексного типа «MSC_AppForeignCurr»</w:t>
        </w:r>
        <w:r>
          <w:rPr>
            <w:noProof/>
            <w:webHidden/>
          </w:rPr>
          <w:tab/>
        </w:r>
        <w:r>
          <w:rPr>
            <w:noProof/>
            <w:webHidden/>
          </w:rPr>
          <w:fldChar w:fldCharType="begin"/>
        </w:r>
        <w:r>
          <w:rPr>
            <w:noProof/>
            <w:webHidden/>
          </w:rPr>
          <w:instrText xml:space="preserve"> PAGEREF _Toc219309891 \h </w:instrText>
        </w:r>
        <w:r>
          <w:rPr>
            <w:noProof/>
            <w:webHidden/>
          </w:rPr>
        </w:r>
        <w:r>
          <w:rPr>
            <w:noProof/>
            <w:webHidden/>
          </w:rPr>
          <w:fldChar w:fldCharType="separate"/>
        </w:r>
        <w:r>
          <w:rPr>
            <w:noProof/>
            <w:webHidden/>
          </w:rPr>
          <w:t>560</w:t>
        </w:r>
        <w:r>
          <w:rPr>
            <w:noProof/>
            <w:webHidden/>
          </w:rPr>
          <w:fldChar w:fldCharType="end"/>
        </w:r>
      </w:hyperlink>
    </w:p>
    <w:p w14:paraId="107DA012"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92" w:history="1">
        <w:r w:rsidRPr="00087766">
          <w:rPr>
            <w:rStyle w:val="af7"/>
            <w:noProof/>
            <w:highlight w:val="green"/>
          </w:rPr>
          <w:t>10.1.3.</w:t>
        </w:r>
        <w:r>
          <w:rPr>
            <w:rFonts w:asciiTheme="minorHAnsi" w:eastAsiaTheme="minorEastAsia" w:hAnsiTheme="minorHAnsi" w:cstheme="minorBidi"/>
            <w:iCs w:val="0"/>
            <w:noProof/>
            <w:sz w:val="22"/>
            <w:szCs w:val="22"/>
          </w:rPr>
          <w:tab/>
        </w:r>
        <w:r w:rsidRPr="00087766">
          <w:rPr>
            <w:rStyle w:val="af7"/>
            <w:noProof/>
            <w:highlight w:val="green"/>
          </w:rPr>
          <w:t>Описание комплексного типа «tTF»</w:t>
        </w:r>
        <w:r>
          <w:rPr>
            <w:noProof/>
            <w:webHidden/>
          </w:rPr>
          <w:tab/>
        </w:r>
        <w:r>
          <w:rPr>
            <w:noProof/>
            <w:webHidden/>
          </w:rPr>
          <w:fldChar w:fldCharType="begin"/>
        </w:r>
        <w:r>
          <w:rPr>
            <w:noProof/>
            <w:webHidden/>
          </w:rPr>
          <w:instrText xml:space="preserve"> PAGEREF _Toc219309892 \h </w:instrText>
        </w:r>
        <w:r>
          <w:rPr>
            <w:noProof/>
            <w:webHidden/>
          </w:rPr>
        </w:r>
        <w:r>
          <w:rPr>
            <w:noProof/>
            <w:webHidden/>
          </w:rPr>
          <w:fldChar w:fldCharType="separate"/>
        </w:r>
        <w:r>
          <w:rPr>
            <w:noProof/>
            <w:webHidden/>
          </w:rPr>
          <w:t>568</w:t>
        </w:r>
        <w:r>
          <w:rPr>
            <w:noProof/>
            <w:webHidden/>
          </w:rPr>
          <w:fldChar w:fldCharType="end"/>
        </w:r>
      </w:hyperlink>
    </w:p>
    <w:p w14:paraId="3E729F0B"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93" w:history="1">
        <w:r w:rsidRPr="00087766">
          <w:rPr>
            <w:rStyle w:val="af7"/>
            <w:noProof/>
          </w:rPr>
          <w:t>10.1.4.</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«tMSC_OperTypeComplex»</w:t>
        </w:r>
        <w:r>
          <w:rPr>
            <w:noProof/>
            <w:webHidden/>
          </w:rPr>
          <w:tab/>
        </w:r>
        <w:r>
          <w:rPr>
            <w:noProof/>
            <w:webHidden/>
          </w:rPr>
          <w:fldChar w:fldCharType="begin"/>
        </w:r>
        <w:r>
          <w:rPr>
            <w:noProof/>
            <w:webHidden/>
          </w:rPr>
          <w:instrText xml:space="preserve"> PAGEREF _Toc219309893 \h </w:instrText>
        </w:r>
        <w:r>
          <w:rPr>
            <w:noProof/>
            <w:webHidden/>
          </w:rPr>
        </w:r>
        <w:r>
          <w:rPr>
            <w:noProof/>
            <w:webHidden/>
          </w:rPr>
          <w:fldChar w:fldCharType="separate"/>
        </w:r>
        <w:r>
          <w:rPr>
            <w:noProof/>
            <w:webHidden/>
          </w:rPr>
          <w:t>568</w:t>
        </w:r>
        <w:r>
          <w:rPr>
            <w:noProof/>
            <w:webHidden/>
          </w:rPr>
          <w:fldChar w:fldCharType="end"/>
        </w:r>
      </w:hyperlink>
    </w:p>
    <w:p w14:paraId="4E4C2DEE"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94" w:history="1">
        <w:r w:rsidRPr="00087766">
          <w:rPr>
            <w:rStyle w:val="af7"/>
            <w:noProof/>
          </w:rPr>
          <w:t>10.1.5.</w:t>
        </w:r>
        <w:r>
          <w:rPr>
            <w:rFonts w:asciiTheme="minorHAnsi" w:eastAsiaTheme="minorEastAsia" w:hAnsiTheme="minorHAnsi" w:cstheme="minorBidi"/>
            <w:iCs w:val="0"/>
            <w:noProof/>
            <w:sz w:val="22"/>
            <w:szCs w:val="22"/>
          </w:rPr>
          <w:tab/>
        </w:r>
        <w:r w:rsidRPr="00087766">
          <w:rPr>
            <w:rStyle w:val="af7"/>
            <w:noProof/>
          </w:rPr>
          <w:t>Описание комплексного типа «tMSC_ChargeDetailsComplex»</w:t>
        </w:r>
        <w:r>
          <w:rPr>
            <w:noProof/>
            <w:webHidden/>
          </w:rPr>
          <w:tab/>
        </w:r>
        <w:r>
          <w:rPr>
            <w:noProof/>
            <w:webHidden/>
          </w:rPr>
          <w:fldChar w:fldCharType="begin"/>
        </w:r>
        <w:r>
          <w:rPr>
            <w:noProof/>
            <w:webHidden/>
          </w:rPr>
          <w:instrText xml:space="preserve"> PAGEREF _Toc219309894 \h </w:instrText>
        </w:r>
        <w:r>
          <w:rPr>
            <w:noProof/>
            <w:webHidden/>
          </w:rPr>
        </w:r>
        <w:r>
          <w:rPr>
            <w:noProof/>
            <w:webHidden/>
          </w:rPr>
          <w:fldChar w:fldCharType="separate"/>
        </w:r>
        <w:r>
          <w:rPr>
            <w:noProof/>
            <w:webHidden/>
          </w:rPr>
          <w:t>569</w:t>
        </w:r>
        <w:r>
          <w:rPr>
            <w:noProof/>
            <w:webHidden/>
          </w:rPr>
          <w:fldChar w:fldCharType="end"/>
        </w:r>
      </w:hyperlink>
    </w:p>
    <w:p w14:paraId="5B8AE17F"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95" w:history="1">
        <w:r w:rsidRPr="00087766">
          <w:rPr>
            <w:rStyle w:val="af7"/>
            <w:noProof/>
          </w:rPr>
          <w:t>10.1.6.</w:t>
        </w:r>
        <w:r>
          <w:rPr>
            <w:rFonts w:asciiTheme="minorHAnsi" w:eastAsiaTheme="minorEastAsia" w:hAnsiTheme="minorHAnsi" w:cstheme="minorBidi"/>
            <w:iCs w:val="0"/>
            <w:noProof/>
            <w:sz w:val="22"/>
            <w:szCs w:val="22"/>
          </w:rPr>
          <w:tab/>
        </w:r>
        <w:r w:rsidRPr="00087766">
          <w:rPr>
            <w:rStyle w:val="af7"/>
            <w:noProof/>
          </w:rPr>
          <w:t>Описание комплексного типа «tCOWFCE»</w:t>
        </w:r>
        <w:r>
          <w:rPr>
            <w:noProof/>
            <w:webHidden/>
          </w:rPr>
          <w:tab/>
        </w:r>
        <w:r>
          <w:rPr>
            <w:noProof/>
            <w:webHidden/>
          </w:rPr>
          <w:fldChar w:fldCharType="begin"/>
        </w:r>
        <w:r>
          <w:rPr>
            <w:noProof/>
            <w:webHidden/>
          </w:rPr>
          <w:instrText xml:space="preserve"> PAGEREF _Toc219309895 \h </w:instrText>
        </w:r>
        <w:r>
          <w:rPr>
            <w:noProof/>
            <w:webHidden/>
          </w:rPr>
        </w:r>
        <w:r>
          <w:rPr>
            <w:noProof/>
            <w:webHidden/>
          </w:rPr>
          <w:fldChar w:fldCharType="separate"/>
        </w:r>
        <w:r>
          <w:rPr>
            <w:noProof/>
            <w:webHidden/>
          </w:rPr>
          <w:t>569</w:t>
        </w:r>
        <w:r>
          <w:rPr>
            <w:noProof/>
            <w:webHidden/>
          </w:rPr>
          <w:fldChar w:fldCharType="end"/>
        </w:r>
      </w:hyperlink>
    </w:p>
    <w:p w14:paraId="79F99D66"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96" w:history="1">
        <w:r w:rsidRPr="00087766">
          <w:rPr>
            <w:rStyle w:val="af7"/>
            <w:noProof/>
          </w:rPr>
          <w:t>10.1.7.</w:t>
        </w:r>
        <w:r>
          <w:rPr>
            <w:rFonts w:asciiTheme="minorHAnsi" w:eastAsiaTheme="minorEastAsia" w:hAnsiTheme="minorHAnsi" w:cstheme="minorBidi"/>
            <w:iCs w:val="0"/>
            <w:noProof/>
            <w:sz w:val="22"/>
            <w:szCs w:val="22"/>
          </w:rPr>
          <w:tab/>
        </w:r>
        <w:r w:rsidRPr="00087766">
          <w:rPr>
            <w:rStyle w:val="af7"/>
            <w:noProof/>
          </w:rPr>
          <w:t>Описание комплексного типа «tCOWFCE_ITEM»</w:t>
        </w:r>
        <w:r>
          <w:rPr>
            <w:noProof/>
            <w:webHidden/>
          </w:rPr>
          <w:tab/>
        </w:r>
        <w:r>
          <w:rPr>
            <w:noProof/>
            <w:webHidden/>
          </w:rPr>
          <w:fldChar w:fldCharType="begin"/>
        </w:r>
        <w:r>
          <w:rPr>
            <w:noProof/>
            <w:webHidden/>
          </w:rPr>
          <w:instrText xml:space="preserve"> PAGEREF _Toc219309896 \h </w:instrText>
        </w:r>
        <w:r>
          <w:rPr>
            <w:noProof/>
            <w:webHidden/>
          </w:rPr>
        </w:r>
        <w:r>
          <w:rPr>
            <w:noProof/>
            <w:webHidden/>
          </w:rPr>
          <w:fldChar w:fldCharType="separate"/>
        </w:r>
        <w:r>
          <w:rPr>
            <w:noProof/>
            <w:webHidden/>
          </w:rPr>
          <w:t>570</w:t>
        </w:r>
        <w:r>
          <w:rPr>
            <w:noProof/>
            <w:webHidden/>
          </w:rPr>
          <w:fldChar w:fldCharType="end"/>
        </w:r>
      </w:hyperlink>
    </w:p>
    <w:p w14:paraId="78185134"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97" w:history="1">
        <w:r w:rsidRPr="00087766">
          <w:rPr>
            <w:rStyle w:val="af7"/>
            <w:noProof/>
          </w:rPr>
          <w:t>10.1.8.</w:t>
        </w:r>
        <w:r>
          <w:rPr>
            <w:rFonts w:asciiTheme="minorHAnsi" w:eastAsiaTheme="minorEastAsia" w:hAnsiTheme="minorHAnsi" w:cstheme="minorBidi"/>
            <w:iCs w:val="0"/>
            <w:noProof/>
            <w:sz w:val="22"/>
            <w:szCs w:val="22"/>
          </w:rPr>
          <w:tab/>
        </w:r>
        <w:r w:rsidRPr="00087766">
          <w:rPr>
            <w:rStyle w:val="af7"/>
            <w:noProof/>
          </w:rPr>
          <w:t>Описание комплексного типа «tCOWFCS»</w:t>
        </w:r>
        <w:r>
          <w:rPr>
            <w:noProof/>
            <w:webHidden/>
          </w:rPr>
          <w:tab/>
        </w:r>
        <w:r>
          <w:rPr>
            <w:noProof/>
            <w:webHidden/>
          </w:rPr>
          <w:fldChar w:fldCharType="begin"/>
        </w:r>
        <w:r>
          <w:rPr>
            <w:noProof/>
            <w:webHidden/>
          </w:rPr>
          <w:instrText xml:space="preserve"> PAGEREF _Toc219309897 \h </w:instrText>
        </w:r>
        <w:r>
          <w:rPr>
            <w:noProof/>
            <w:webHidden/>
          </w:rPr>
        </w:r>
        <w:r>
          <w:rPr>
            <w:noProof/>
            <w:webHidden/>
          </w:rPr>
          <w:fldChar w:fldCharType="separate"/>
        </w:r>
        <w:r>
          <w:rPr>
            <w:noProof/>
            <w:webHidden/>
          </w:rPr>
          <w:t>570</w:t>
        </w:r>
        <w:r>
          <w:rPr>
            <w:noProof/>
            <w:webHidden/>
          </w:rPr>
          <w:fldChar w:fldCharType="end"/>
        </w:r>
      </w:hyperlink>
    </w:p>
    <w:p w14:paraId="57F04188" w14:textId="77777777" w:rsidR="008D797C" w:rsidRDefault="008D797C">
      <w:pPr>
        <w:pStyle w:val="34"/>
        <w:tabs>
          <w:tab w:val="left" w:pos="1440"/>
          <w:tab w:val="right" w:leader="dot" w:pos="9628"/>
        </w:tabs>
        <w:rPr>
          <w:rFonts w:asciiTheme="minorHAnsi" w:eastAsiaTheme="minorEastAsia" w:hAnsiTheme="minorHAnsi" w:cstheme="minorBidi"/>
          <w:iCs w:val="0"/>
          <w:noProof/>
          <w:sz w:val="22"/>
          <w:szCs w:val="22"/>
        </w:rPr>
      </w:pPr>
      <w:hyperlink w:anchor="_Toc219309898" w:history="1">
        <w:r w:rsidRPr="00087766">
          <w:rPr>
            <w:rStyle w:val="af7"/>
            <w:noProof/>
          </w:rPr>
          <w:t>10.1.9.</w:t>
        </w:r>
        <w:r>
          <w:rPr>
            <w:rFonts w:asciiTheme="minorHAnsi" w:eastAsiaTheme="minorEastAsia" w:hAnsiTheme="minorHAnsi" w:cstheme="minorBidi"/>
            <w:iCs w:val="0"/>
            <w:noProof/>
            <w:sz w:val="22"/>
            <w:szCs w:val="22"/>
          </w:rPr>
          <w:tab/>
        </w:r>
        <w:r w:rsidRPr="00087766">
          <w:rPr>
            <w:rStyle w:val="af7"/>
            <w:noProof/>
          </w:rPr>
          <w:t>Описание комплексного типа «tCOWFCS_ITEM»</w:t>
        </w:r>
        <w:r>
          <w:rPr>
            <w:noProof/>
            <w:webHidden/>
          </w:rPr>
          <w:tab/>
        </w:r>
        <w:r>
          <w:rPr>
            <w:noProof/>
            <w:webHidden/>
          </w:rPr>
          <w:fldChar w:fldCharType="begin"/>
        </w:r>
        <w:r>
          <w:rPr>
            <w:noProof/>
            <w:webHidden/>
          </w:rPr>
          <w:instrText xml:space="preserve"> PAGEREF _Toc219309898 \h </w:instrText>
        </w:r>
        <w:r>
          <w:rPr>
            <w:noProof/>
            <w:webHidden/>
          </w:rPr>
        </w:r>
        <w:r>
          <w:rPr>
            <w:noProof/>
            <w:webHidden/>
          </w:rPr>
          <w:fldChar w:fldCharType="separate"/>
        </w:r>
        <w:r>
          <w:rPr>
            <w:noProof/>
            <w:webHidden/>
          </w:rPr>
          <w:t>571</w:t>
        </w:r>
        <w:r>
          <w:rPr>
            <w:noProof/>
            <w:webHidden/>
          </w:rPr>
          <w:fldChar w:fldCharType="end"/>
        </w:r>
      </w:hyperlink>
    </w:p>
    <w:p w14:paraId="370EF22C"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899" w:history="1">
        <w:r w:rsidRPr="00087766">
          <w:rPr>
            <w:rStyle w:val="af7"/>
            <w:noProof/>
          </w:rPr>
          <w:t>10.1.10.</w:t>
        </w:r>
        <w:r>
          <w:rPr>
            <w:rFonts w:asciiTheme="minorHAnsi" w:eastAsiaTheme="minorEastAsia" w:hAnsiTheme="minorHAnsi" w:cstheme="minorBidi"/>
            <w:iCs w:val="0"/>
            <w:noProof/>
            <w:sz w:val="22"/>
            <w:szCs w:val="22"/>
          </w:rPr>
          <w:tab/>
        </w:r>
        <w:r w:rsidRPr="00087766">
          <w:rPr>
            <w:rStyle w:val="af7"/>
            <w:noProof/>
          </w:rPr>
          <w:t>Описание комплексного типа «tCOWFCR»</w:t>
        </w:r>
        <w:r>
          <w:rPr>
            <w:noProof/>
            <w:webHidden/>
          </w:rPr>
          <w:tab/>
        </w:r>
        <w:r>
          <w:rPr>
            <w:noProof/>
            <w:webHidden/>
          </w:rPr>
          <w:fldChar w:fldCharType="begin"/>
        </w:r>
        <w:r>
          <w:rPr>
            <w:noProof/>
            <w:webHidden/>
          </w:rPr>
          <w:instrText xml:space="preserve"> PAGEREF _Toc219309899 \h </w:instrText>
        </w:r>
        <w:r>
          <w:rPr>
            <w:noProof/>
            <w:webHidden/>
          </w:rPr>
        </w:r>
        <w:r>
          <w:rPr>
            <w:noProof/>
            <w:webHidden/>
          </w:rPr>
          <w:fldChar w:fldCharType="separate"/>
        </w:r>
        <w:r>
          <w:rPr>
            <w:noProof/>
            <w:webHidden/>
          </w:rPr>
          <w:t>571</w:t>
        </w:r>
        <w:r>
          <w:rPr>
            <w:noProof/>
            <w:webHidden/>
          </w:rPr>
          <w:fldChar w:fldCharType="end"/>
        </w:r>
      </w:hyperlink>
    </w:p>
    <w:p w14:paraId="536D4DD0"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900" w:history="1">
        <w:r w:rsidRPr="00087766">
          <w:rPr>
            <w:rStyle w:val="af7"/>
            <w:noProof/>
            <w:highlight w:val="green"/>
          </w:rPr>
          <w:t>10.1.11.</w:t>
        </w:r>
        <w:r>
          <w:rPr>
            <w:rFonts w:asciiTheme="minorHAnsi" w:eastAsiaTheme="minorEastAsia" w:hAnsiTheme="minorHAnsi" w:cstheme="minorBidi"/>
            <w:iCs w:val="0"/>
            <w:noProof/>
            <w:sz w:val="22"/>
            <w:szCs w:val="22"/>
          </w:rPr>
          <w:tab/>
        </w:r>
        <w:r w:rsidRPr="00087766">
          <w:rPr>
            <w:rStyle w:val="af7"/>
            <w:noProof/>
            <w:highlight w:val="green"/>
          </w:rPr>
          <w:t>Описание комплексного типа «tCOWFCR_ITEM»</w:t>
        </w:r>
        <w:r>
          <w:rPr>
            <w:noProof/>
            <w:webHidden/>
          </w:rPr>
          <w:tab/>
        </w:r>
        <w:r>
          <w:rPr>
            <w:noProof/>
            <w:webHidden/>
          </w:rPr>
          <w:fldChar w:fldCharType="begin"/>
        </w:r>
        <w:r>
          <w:rPr>
            <w:noProof/>
            <w:webHidden/>
          </w:rPr>
          <w:instrText xml:space="preserve"> PAGEREF _Toc219309900 \h </w:instrText>
        </w:r>
        <w:r>
          <w:rPr>
            <w:noProof/>
            <w:webHidden/>
          </w:rPr>
        </w:r>
        <w:r>
          <w:rPr>
            <w:noProof/>
            <w:webHidden/>
          </w:rPr>
          <w:fldChar w:fldCharType="separate"/>
        </w:r>
        <w:r>
          <w:rPr>
            <w:noProof/>
            <w:webHidden/>
          </w:rPr>
          <w:t>572</w:t>
        </w:r>
        <w:r>
          <w:rPr>
            <w:noProof/>
            <w:webHidden/>
          </w:rPr>
          <w:fldChar w:fldCharType="end"/>
        </w:r>
      </w:hyperlink>
    </w:p>
    <w:p w14:paraId="234EF783"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901" w:history="1">
        <w:r w:rsidRPr="00087766">
          <w:rPr>
            <w:rStyle w:val="af7"/>
            <w:noProof/>
          </w:rPr>
          <w:t>10.1.12.</w:t>
        </w:r>
        <w:r>
          <w:rPr>
            <w:rFonts w:asciiTheme="minorHAnsi" w:eastAsiaTheme="minorEastAsia" w:hAnsiTheme="minorHAnsi" w:cstheme="minorBidi"/>
            <w:iCs w:val="0"/>
            <w:noProof/>
            <w:sz w:val="22"/>
            <w:szCs w:val="22"/>
          </w:rPr>
          <w:tab/>
        </w:r>
        <w:r w:rsidRPr="00087766">
          <w:rPr>
            <w:rStyle w:val="af7"/>
            <w:noProof/>
          </w:rPr>
          <w:t>Описание комплексного типа «tCOW</w:t>
        </w:r>
        <w:r w:rsidRPr="00087766">
          <w:rPr>
            <w:rStyle w:val="af7"/>
            <w:noProof/>
            <w:lang w:val="en-US"/>
          </w:rPr>
          <w:t>SVR</w:t>
        </w:r>
        <w:r w:rsidRPr="00087766">
          <w:rPr>
            <w:rStyle w:val="af7"/>
            <w:noProof/>
          </w:rPr>
          <w:t>»</w:t>
        </w:r>
        <w:r>
          <w:rPr>
            <w:noProof/>
            <w:webHidden/>
          </w:rPr>
          <w:tab/>
        </w:r>
        <w:r>
          <w:rPr>
            <w:noProof/>
            <w:webHidden/>
          </w:rPr>
          <w:fldChar w:fldCharType="begin"/>
        </w:r>
        <w:r>
          <w:rPr>
            <w:noProof/>
            <w:webHidden/>
          </w:rPr>
          <w:instrText xml:space="preserve"> PAGEREF _Toc219309901 \h </w:instrText>
        </w:r>
        <w:r>
          <w:rPr>
            <w:noProof/>
            <w:webHidden/>
          </w:rPr>
        </w:r>
        <w:r>
          <w:rPr>
            <w:noProof/>
            <w:webHidden/>
          </w:rPr>
          <w:fldChar w:fldCharType="separate"/>
        </w:r>
        <w:r>
          <w:rPr>
            <w:noProof/>
            <w:webHidden/>
          </w:rPr>
          <w:t>572</w:t>
        </w:r>
        <w:r>
          <w:rPr>
            <w:noProof/>
            <w:webHidden/>
          </w:rPr>
          <w:fldChar w:fldCharType="end"/>
        </w:r>
      </w:hyperlink>
    </w:p>
    <w:p w14:paraId="277A12FD"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902" w:history="1">
        <w:r w:rsidRPr="00087766">
          <w:rPr>
            <w:rStyle w:val="af7"/>
            <w:noProof/>
          </w:rPr>
          <w:t>10.1.13.</w:t>
        </w:r>
        <w:r>
          <w:rPr>
            <w:rFonts w:asciiTheme="minorHAnsi" w:eastAsiaTheme="minorEastAsia" w:hAnsiTheme="minorHAnsi" w:cstheme="minorBidi"/>
            <w:iCs w:val="0"/>
            <w:noProof/>
            <w:sz w:val="22"/>
            <w:szCs w:val="22"/>
          </w:rPr>
          <w:tab/>
        </w:r>
        <w:r w:rsidRPr="00087766">
          <w:rPr>
            <w:rStyle w:val="af7"/>
            <w:noProof/>
          </w:rPr>
          <w:t>Описание комплексного типа «tCOW</w:t>
        </w:r>
        <w:r w:rsidRPr="00087766">
          <w:rPr>
            <w:rStyle w:val="af7"/>
            <w:noProof/>
            <w:lang w:val="en-US"/>
          </w:rPr>
          <w:t>SVR</w:t>
        </w:r>
        <w:r w:rsidRPr="00087766">
          <w:rPr>
            <w:rStyle w:val="af7"/>
            <w:noProof/>
          </w:rPr>
          <w:t>_ITEM»</w:t>
        </w:r>
        <w:r>
          <w:rPr>
            <w:noProof/>
            <w:webHidden/>
          </w:rPr>
          <w:tab/>
        </w:r>
        <w:r>
          <w:rPr>
            <w:noProof/>
            <w:webHidden/>
          </w:rPr>
          <w:fldChar w:fldCharType="begin"/>
        </w:r>
        <w:r>
          <w:rPr>
            <w:noProof/>
            <w:webHidden/>
          </w:rPr>
          <w:instrText xml:space="preserve"> PAGEREF _Toc219309902 \h </w:instrText>
        </w:r>
        <w:r>
          <w:rPr>
            <w:noProof/>
            <w:webHidden/>
          </w:rPr>
        </w:r>
        <w:r>
          <w:rPr>
            <w:noProof/>
            <w:webHidden/>
          </w:rPr>
          <w:fldChar w:fldCharType="separate"/>
        </w:r>
        <w:r>
          <w:rPr>
            <w:noProof/>
            <w:webHidden/>
          </w:rPr>
          <w:t>573</w:t>
        </w:r>
        <w:r>
          <w:rPr>
            <w:noProof/>
            <w:webHidden/>
          </w:rPr>
          <w:fldChar w:fldCharType="end"/>
        </w:r>
      </w:hyperlink>
    </w:p>
    <w:p w14:paraId="113748CF" w14:textId="77777777" w:rsidR="008D797C" w:rsidRDefault="008D797C">
      <w:pPr>
        <w:pStyle w:val="34"/>
        <w:tabs>
          <w:tab w:val="left" w:pos="1680"/>
          <w:tab w:val="right" w:leader="dot" w:pos="9628"/>
        </w:tabs>
        <w:rPr>
          <w:rFonts w:asciiTheme="minorHAnsi" w:eastAsiaTheme="minorEastAsia" w:hAnsiTheme="minorHAnsi" w:cstheme="minorBidi"/>
          <w:iCs w:val="0"/>
          <w:noProof/>
          <w:sz w:val="22"/>
          <w:szCs w:val="22"/>
        </w:rPr>
      </w:pPr>
      <w:hyperlink w:anchor="_Toc219309903" w:history="1">
        <w:r w:rsidRPr="00087766">
          <w:rPr>
            <w:rStyle w:val="af7"/>
            <w:noProof/>
            <w:highlight w:val="green"/>
          </w:rPr>
          <w:t>10.1.14.</w:t>
        </w:r>
        <w:r>
          <w:rPr>
            <w:rFonts w:asciiTheme="minorHAnsi" w:eastAsiaTheme="minorEastAsia" w:hAnsiTheme="minorHAnsi" w:cstheme="minorBidi"/>
            <w:iCs w:val="0"/>
            <w:noProof/>
            <w:sz w:val="22"/>
            <w:szCs w:val="22"/>
          </w:rPr>
          <w:tab/>
        </w:r>
        <w:r w:rsidRPr="00087766">
          <w:rPr>
            <w:rStyle w:val="af7"/>
            <w:noProof/>
            <w:highlight w:val="green"/>
          </w:rPr>
          <w:t>Пример XML</w:t>
        </w:r>
        <w:r>
          <w:rPr>
            <w:noProof/>
            <w:webHidden/>
          </w:rPr>
          <w:tab/>
        </w:r>
        <w:r>
          <w:rPr>
            <w:noProof/>
            <w:webHidden/>
          </w:rPr>
          <w:fldChar w:fldCharType="begin"/>
        </w:r>
        <w:r>
          <w:rPr>
            <w:noProof/>
            <w:webHidden/>
          </w:rPr>
          <w:instrText xml:space="preserve"> PAGEREF _Toc219309903 \h </w:instrText>
        </w:r>
        <w:r>
          <w:rPr>
            <w:noProof/>
            <w:webHidden/>
          </w:rPr>
        </w:r>
        <w:r>
          <w:rPr>
            <w:noProof/>
            <w:webHidden/>
          </w:rPr>
          <w:fldChar w:fldCharType="separate"/>
        </w:r>
        <w:r>
          <w:rPr>
            <w:noProof/>
            <w:webHidden/>
          </w:rPr>
          <w:t>573</w:t>
        </w:r>
        <w:r>
          <w:rPr>
            <w:noProof/>
            <w:webHidden/>
          </w:rPr>
          <w:fldChar w:fldCharType="end"/>
        </w:r>
      </w:hyperlink>
    </w:p>
    <w:p w14:paraId="10F0D8F6" w14:textId="77777777" w:rsidR="008D797C" w:rsidRDefault="008D797C">
      <w:pPr>
        <w:pStyle w:val="16"/>
        <w:rPr>
          <w:rFonts w:asciiTheme="minorHAnsi" w:eastAsiaTheme="minorEastAsia" w:hAnsiTheme="minorHAnsi" w:cstheme="minorBidi"/>
          <w:b w:val="0"/>
          <w:caps w:val="0"/>
          <w:noProof/>
          <w:sz w:val="22"/>
          <w:szCs w:val="22"/>
        </w:rPr>
      </w:pPr>
      <w:hyperlink w:anchor="_Toc219309904" w:history="1">
        <w:r w:rsidRPr="00087766">
          <w:rPr>
            <w:rStyle w:val="af7"/>
            <w:noProof/>
          </w:rPr>
          <w:t>СОГЛАСОВАНО</w:t>
        </w:r>
        <w:r>
          <w:rPr>
            <w:noProof/>
            <w:webHidden/>
          </w:rPr>
          <w:tab/>
        </w:r>
        <w:r>
          <w:rPr>
            <w:noProof/>
            <w:webHidden/>
          </w:rPr>
          <w:fldChar w:fldCharType="begin"/>
        </w:r>
        <w:r>
          <w:rPr>
            <w:noProof/>
            <w:webHidden/>
          </w:rPr>
          <w:instrText xml:space="preserve"> PAGEREF _Toc219309904 \h </w:instrText>
        </w:r>
        <w:r>
          <w:rPr>
            <w:noProof/>
            <w:webHidden/>
          </w:rPr>
        </w:r>
        <w:r>
          <w:rPr>
            <w:noProof/>
            <w:webHidden/>
          </w:rPr>
          <w:fldChar w:fldCharType="separate"/>
        </w:r>
        <w:r>
          <w:rPr>
            <w:noProof/>
            <w:webHidden/>
          </w:rPr>
          <w:t>579</w:t>
        </w:r>
        <w:r>
          <w:rPr>
            <w:noProof/>
            <w:webHidden/>
          </w:rPr>
          <w:fldChar w:fldCharType="end"/>
        </w:r>
      </w:hyperlink>
    </w:p>
    <w:p w14:paraId="02C00BD8" w14:textId="77777777" w:rsidR="008D797C" w:rsidRDefault="008D797C">
      <w:pPr>
        <w:pStyle w:val="16"/>
        <w:rPr>
          <w:rFonts w:asciiTheme="minorHAnsi" w:eastAsiaTheme="minorEastAsia" w:hAnsiTheme="minorHAnsi" w:cstheme="minorBidi"/>
          <w:b w:val="0"/>
          <w:caps w:val="0"/>
          <w:noProof/>
          <w:sz w:val="22"/>
          <w:szCs w:val="22"/>
        </w:rPr>
      </w:pPr>
      <w:hyperlink w:anchor="_Toc219309905" w:history="1">
        <w:r w:rsidRPr="00087766">
          <w:rPr>
            <w:rStyle w:val="af7"/>
            <w:noProof/>
          </w:rPr>
          <w:t>ЛИСТ РЕГИСТРАЦИИ ИЗМЕНЕНИЙ</w:t>
        </w:r>
        <w:r>
          <w:rPr>
            <w:noProof/>
            <w:webHidden/>
          </w:rPr>
          <w:tab/>
        </w:r>
        <w:r>
          <w:rPr>
            <w:noProof/>
            <w:webHidden/>
          </w:rPr>
          <w:fldChar w:fldCharType="begin"/>
        </w:r>
        <w:r>
          <w:rPr>
            <w:noProof/>
            <w:webHidden/>
          </w:rPr>
          <w:instrText xml:space="preserve"> PAGEREF _Toc219309905 \h </w:instrText>
        </w:r>
        <w:r>
          <w:rPr>
            <w:noProof/>
            <w:webHidden/>
          </w:rPr>
        </w:r>
        <w:r>
          <w:rPr>
            <w:noProof/>
            <w:webHidden/>
          </w:rPr>
          <w:fldChar w:fldCharType="separate"/>
        </w:r>
        <w:r>
          <w:rPr>
            <w:noProof/>
            <w:webHidden/>
          </w:rPr>
          <w:t>580</w:t>
        </w:r>
        <w:r>
          <w:rPr>
            <w:noProof/>
            <w:webHidden/>
          </w:rPr>
          <w:fldChar w:fldCharType="end"/>
        </w:r>
      </w:hyperlink>
    </w:p>
    <w:p w14:paraId="2CA717C2" w14:textId="5BED6DAF" w:rsidR="00AD1F54" w:rsidRPr="00264D5D" w:rsidRDefault="00941227">
      <w:pPr>
        <w:pStyle w:val="16"/>
      </w:pPr>
      <w:r w:rsidRPr="00264D5D">
        <w:rPr>
          <w:sz w:val="22"/>
          <w:szCs w:val="22"/>
        </w:rPr>
        <w:fldChar w:fldCharType="end"/>
      </w:r>
    </w:p>
    <w:p w14:paraId="214746F1" w14:textId="0F0A84EE" w:rsidR="00AD1F54" w:rsidRPr="00264D5D" w:rsidRDefault="00941227">
      <w:pPr>
        <w:pStyle w:val="GOSTReg"/>
      </w:pPr>
      <w:bookmarkStart w:id="9" w:name="_Toc474859344"/>
      <w:bookmarkStart w:id="10" w:name="_Toc516140026"/>
      <w:bookmarkStart w:id="11" w:name="_Toc27058513"/>
      <w:bookmarkStart w:id="12" w:name="_Toc30415177"/>
      <w:bookmarkStart w:id="13" w:name="_Toc219309429"/>
      <w:bookmarkEnd w:id="7"/>
      <w:bookmarkEnd w:id="8"/>
      <w:r w:rsidRPr="00264D5D">
        <w:lastRenderedPageBreak/>
        <w:t>Перечень таблиц</w:t>
      </w:r>
      <w:bookmarkEnd w:id="9"/>
      <w:bookmarkEnd w:id="10"/>
      <w:bookmarkEnd w:id="11"/>
      <w:bookmarkEnd w:id="12"/>
      <w:bookmarkEnd w:id="13"/>
    </w:p>
    <w:p w14:paraId="57DC0658" w14:textId="77777777" w:rsidR="008D797C" w:rsidRDefault="00941227">
      <w:pPr>
        <w:pStyle w:val="affffffe"/>
        <w:tabs>
          <w:tab w:val="left" w:pos="1200"/>
          <w:tab w:val="right" w:leader="dot" w:pos="9628"/>
        </w:tabs>
        <w:rPr>
          <w:rFonts w:asciiTheme="minorHAnsi" w:eastAsiaTheme="minorEastAsia" w:hAnsiTheme="minorHAnsi" w:cstheme="minorBidi"/>
          <w:noProof/>
          <w:sz w:val="22"/>
          <w:szCs w:val="22"/>
        </w:rPr>
      </w:pPr>
      <w:r w:rsidRPr="00264D5D">
        <w:fldChar w:fldCharType="begin"/>
      </w:r>
      <w:r w:rsidRPr="00264D5D">
        <w:instrText xml:space="preserve"> TOC \f T \h \z \t "_GOST_Name_Table" \c "Таблица" </w:instrText>
      </w:r>
      <w:r w:rsidRPr="00264D5D">
        <w:fldChar w:fldCharType="separate"/>
      </w:r>
      <w:hyperlink w:anchor="_Toc219309031" w:history="1">
        <w:r w:rsidR="008D797C" w:rsidRPr="005C56D9">
          <w:rPr>
            <w:rStyle w:val="af7"/>
            <w:rFonts w:eastAsia="Calibri"/>
            <w:noProof/>
            <w:highlight w:val="green"/>
          </w:rPr>
          <w:t>Таблица </w:t>
        </w:r>
        <w:r w:rsidR="008D797C">
          <w:rPr>
            <w:rFonts w:asciiTheme="minorHAnsi" w:eastAsiaTheme="minorEastAsia" w:hAnsiTheme="minorHAnsi" w:cstheme="minorBidi"/>
            <w:noProof/>
            <w:sz w:val="22"/>
            <w:szCs w:val="22"/>
          </w:rPr>
          <w:tab/>
        </w:r>
        <w:r w:rsidR="008D797C" w:rsidRPr="005C56D9">
          <w:rPr>
            <w:rStyle w:val="af7"/>
            <w:rFonts w:eastAsia="Calibri"/>
            <w:noProof/>
            <w:highlight w:val="green"/>
          </w:rPr>
          <w:t>1 – Перечень используемых сокращений и определений</w:t>
        </w:r>
        <w:r w:rsidR="008D797C">
          <w:rPr>
            <w:noProof/>
            <w:webHidden/>
          </w:rPr>
          <w:tab/>
        </w:r>
        <w:r w:rsidR="008D797C">
          <w:rPr>
            <w:noProof/>
            <w:webHidden/>
          </w:rPr>
          <w:fldChar w:fldCharType="begin"/>
        </w:r>
        <w:r w:rsidR="008D797C">
          <w:rPr>
            <w:noProof/>
            <w:webHidden/>
          </w:rPr>
          <w:instrText xml:space="preserve"> PAGEREF _Toc219309031 \h </w:instrText>
        </w:r>
        <w:r w:rsidR="008D797C">
          <w:rPr>
            <w:noProof/>
            <w:webHidden/>
          </w:rPr>
        </w:r>
        <w:r w:rsidR="008D797C">
          <w:rPr>
            <w:noProof/>
            <w:webHidden/>
          </w:rPr>
          <w:fldChar w:fldCharType="separate"/>
        </w:r>
        <w:r w:rsidR="008D797C">
          <w:rPr>
            <w:noProof/>
            <w:webHidden/>
          </w:rPr>
          <w:t>25</w:t>
        </w:r>
        <w:r w:rsidR="008D797C">
          <w:rPr>
            <w:noProof/>
            <w:webHidden/>
          </w:rPr>
          <w:fldChar w:fldCharType="end"/>
        </w:r>
      </w:hyperlink>
    </w:p>
    <w:p w14:paraId="2EEC2FB8"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32" w:history="1">
        <w:r w:rsidRPr="005C56D9">
          <w:rPr>
            <w:rStyle w:val="af7"/>
            <w:rFonts w:eastAsia="Calibri"/>
            <w:noProof/>
            <w:highlight w:val="green"/>
          </w:rPr>
          <w:t>Таблица </w:t>
        </w:r>
        <w:r>
          <w:rPr>
            <w:rFonts w:asciiTheme="minorHAnsi" w:eastAsiaTheme="minorEastAsia" w:hAnsiTheme="minorHAnsi" w:cstheme="minorBidi"/>
            <w:noProof/>
            <w:sz w:val="22"/>
            <w:szCs w:val="22"/>
          </w:rPr>
          <w:tab/>
        </w:r>
        <w:r w:rsidRPr="005C56D9">
          <w:rPr>
            <w:rStyle w:val="af7"/>
            <w:rFonts w:eastAsia="Calibri"/>
            <w:noProof/>
            <w:highlight w:val="green"/>
          </w:rPr>
          <w:t xml:space="preserve">2 – Перечень документов и справочников </w:t>
        </w:r>
        <w:r w:rsidRPr="005C56D9">
          <w:rPr>
            <w:rStyle w:val="af7"/>
            <w:noProof/>
            <w:highlight w:val="green"/>
          </w:rPr>
          <w:t>с указанием кодов и маркеров массивов информации</w:t>
        </w:r>
        <w:r>
          <w:rPr>
            <w:noProof/>
            <w:webHidden/>
          </w:rPr>
          <w:tab/>
        </w:r>
        <w:r>
          <w:rPr>
            <w:noProof/>
            <w:webHidden/>
          </w:rPr>
          <w:fldChar w:fldCharType="begin"/>
        </w:r>
        <w:r>
          <w:rPr>
            <w:noProof/>
            <w:webHidden/>
          </w:rPr>
          <w:instrText xml:space="preserve"> PAGEREF _Toc219309032 \h </w:instrText>
        </w:r>
        <w:r>
          <w:rPr>
            <w:noProof/>
            <w:webHidden/>
          </w:rPr>
        </w:r>
        <w:r>
          <w:rPr>
            <w:noProof/>
            <w:webHidden/>
          </w:rPr>
          <w:fldChar w:fldCharType="separate"/>
        </w:r>
        <w:r>
          <w:rPr>
            <w:noProof/>
            <w:webHidden/>
          </w:rPr>
          <w:t>34</w:t>
        </w:r>
        <w:r>
          <w:rPr>
            <w:noProof/>
            <w:webHidden/>
          </w:rPr>
          <w:fldChar w:fldCharType="end"/>
        </w:r>
      </w:hyperlink>
    </w:p>
    <w:p w14:paraId="35EF5FD7"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33"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3 – Типы данных</w:t>
        </w:r>
        <w:r>
          <w:rPr>
            <w:noProof/>
            <w:webHidden/>
          </w:rPr>
          <w:tab/>
        </w:r>
        <w:r>
          <w:rPr>
            <w:noProof/>
            <w:webHidden/>
          </w:rPr>
          <w:fldChar w:fldCharType="begin"/>
        </w:r>
        <w:r>
          <w:rPr>
            <w:noProof/>
            <w:webHidden/>
          </w:rPr>
          <w:instrText xml:space="preserve"> PAGEREF _Toc219309033 \h </w:instrText>
        </w:r>
        <w:r>
          <w:rPr>
            <w:noProof/>
            <w:webHidden/>
          </w:rPr>
        </w:r>
        <w:r>
          <w:rPr>
            <w:noProof/>
            <w:webHidden/>
          </w:rPr>
          <w:fldChar w:fldCharType="separate"/>
        </w:r>
        <w:r>
          <w:rPr>
            <w:noProof/>
            <w:webHidden/>
          </w:rPr>
          <w:t>50</w:t>
        </w:r>
        <w:r>
          <w:rPr>
            <w:noProof/>
            <w:webHidden/>
          </w:rPr>
          <w:fldChar w:fldCharType="end"/>
        </w:r>
      </w:hyperlink>
    </w:p>
    <w:p w14:paraId="3B3C8536"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34"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 xml:space="preserve">4 </w:t>
        </w:r>
        <w:r w:rsidRPr="005C56D9">
          <w:rPr>
            <w:rStyle w:val="af7"/>
            <w:rFonts w:eastAsia="Calibri"/>
            <w:noProof/>
          </w:rPr>
          <w:t xml:space="preserve">– </w:t>
        </w:r>
        <w:r w:rsidRPr="005C56D9">
          <w:rPr>
            <w:rStyle w:val="af7"/>
            <w:noProof/>
          </w:rPr>
          <w:t>Структура сообщения</w:t>
        </w:r>
        <w:r>
          <w:rPr>
            <w:noProof/>
            <w:webHidden/>
          </w:rPr>
          <w:tab/>
        </w:r>
        <w:r>
          <w:rPr>
            <w:noProof/>
            <w:webHidden/>
          </w:rPr>
          <w:fldChar w:fldCharType="begin"/>
        </w:r>
        <w:r>
          <w:rPr>
            <w:noProof/>
            <w:webHidden/>
          </w:rPr>
          <w:instrText xml:space="preserve"> PAGEREF _Toc219309034 \h </w:instrText>
        </w:r>
        <w:r>
          <w:rPr>
            <w:noProof/>
            <w:webHidden/>
          </w:rPr>
        </w:r>
        <w:r>
          <w:rPr>
            <w:noProof/>
            <w:webHidden/>
          </w:rPr>
          <w:fldChar w:fldCharType="separate"/>
        </w:r>
        <w:r>
          <w:rPr>
            <w:noProof/>
            <w:webHidden/>
          </w:rPr>
          <w:t>53</w:t>
        </w:r>
        <w:r>
          <w:rPr>
            <w:noProof/>
            <w:webHidden/>
          </w:rPr>
          <w:fldChar w:fldCharType="end"/>
        </w:r>
      </w:hyperlink>
    </w:p>
    <w:p w14:paraId="1BCF34BF"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35" w:history="1">
        <w:r w:rsidRPr="005C56D9">
          <w:rPr>
            <w:rStyle w:val="af7"/>
            <w:noProof/>
            <w:highlight w:val="green"/>
          </w:rPr>
          <w:t>Таблица </w:t>
        </w:r>
        <w:r>
          <w:rPr>
            <w:rFonts w:asciiTheme="minorHAnsi" w:eastAsiaTheme="minorEastAsia" w:hAnsiTheme="minorHAnsi" w:cstheme="minorBidi"/>
            <w:noProof/>
            <w:sz w:val="22"/>
            <w:szCs w:val="22"/>
          </w:rPr>
          <w:tab/>
        </w:r>
        <w:r w:rsidRPr="005C56D9">
          <w:rPr>
            <w:rStyle w:val="af7"/>
            <w:noProof/>
            <w:highlight w:val="green"/>
          </w:rPr>
          <w:t xml:space="preserve">5 </w:t>
        </w:r>
        <w:r w:rsidRPr="005C56D9">
          <w:rPr>
            <w:rStyle w:val="af7"/>
            <w:rFonts w:eastAsia="Calibri"/>
            <w:noProof/>
            <w:highlight w:val="green"/>
          </w:rPr>
          <w:t xml:space="preserve">– </w:t>
        </w:r>
        <w:r w:rsidRPr="005C56D9">
          <w:rPr>
            <w:rStyle w:val="af7"/>
            <w:noProof/>
            <w:highlight w:val="green"/>
          </w:rPr>
          <w:t>Дополнительные параметры Запроса</w:t>
        </w:r>
        <w:r>
          <w:rPr>
            <w:noProof/>
            <w:webHidden/>
          </w:rPr>
          <w:tab/>
        </w:r>
        <w:r>
          <w:rPr>
            <w:noProof/>
            <w:webHidden/>
          </w:rPr>
          <w:fldChar w:fldCharType="begin"/>
        </w:r>
        <w:r>
          <w:rPr>
            <w:noProof/>
            <w:webHidden/>
          </w:rPr>
          <w:instrText xml:space="preserve"> PAGEREF _Toc219309035 \h </w:instrText>
        </w:r>
        <w:r>
          <w:rPr>
            <w:noProof/>
            <w:webHidden/>
          </w:rPr>
        </w:r>
        <w:r>
          <w:rPr>
            <w:noProof/>
            <w:webHidden/>
          </w:rPr>
          <w:fldChar w:fldCharType="separate"/>
        </w:r>
        <w:r>
          <w:rPr>
            <w:noProof/>
            <w:webHidden/>
          </w:rPr>
          <w:t>55</w:t>
        </w:r>
        <w:r>
          <w:rPr>
            <w:noProof/>
            <w:webHidden/>
          </w:rPr>
          <w:fldChar w:fldCharType="end"/>
        </w:r>
      </w:hyperlink>
    </w:p>
    <w:p w14:paraId="77274BD7"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36" w:history="1">
        <w:r w:rsidRPr="005C56D9">
          <w:rPr>
            <w:rStyle w:val="af7"/>
            <w:noProof/>
            <w:highlight w:val="green"/>
          </w:rPr>
          <w:t>Таблица </w:t>
        </w:r>
        <w:r>
          <w:rPr>
            <w:rFonts w:asciiTheme="minorHAnsi" w:eastAsiaTheme="minorEastAsia" w:hAnsiTheme="minorHAnsi" w:cstheme="minorBidi"/>
            <w:noProof/>
            <w:sz w:val="22"/>
            <w:szCs w:val="22"/>
          </w:rPr>
          <w:tab/>
        </w:r>
        <w:r w:rsidRPr="005C56D9">
          <w:rPr>
            <w:rStyle w:val="af7"/>
            <w:noProof/>
            <w:highlight w:val="green"/>
          </w:rPr>
          <w:t xml:space="preserve">6 </w:t>
        </w:r>
        <w:r w:rsidRPr="005C56D9">
          <w:rPr>
            <w:rStyle w:val="af7"/>
            <w:rFonts w:eastAsia="Calibri"/>
            <w:noProof/>
            <w:highlight w:val="green"/>
          </w:rPr>
          <w:t xml:space="preserve">– </w:t>
        </w:r>
        <w:r w:rsidRPr="005C56D9">
          <w:rPr>
            <w:rStyle w:val="af7"/>
            <w:noProof/>
            <w:highlight w:val="green"/>
          </w:rPr>
          <w:t>Коды (идентификаторы) систем</w:t>
        </w:r>
        <w:r>
          <w:rPr>
            <w:noProof/>
            <w:webHidden/>
          </w:rPr>
          <w:tab/>
        </w:r>
        <w:r>
          <w:rPr>
            <w:noProof/>
            <w:webHidden/>
          </w:rPr>
          <w:fldChar w:fldCharType="begin"/>
        </w:r>
        <w:r>
          <w:rPr>
            <w:noProof/>
            <w:webHidden/>
          </w:rPr>
          <w:instrText xml:space="preserve"> PAGEREF _Toc219309036 \h </w:instrText>
        </w:r>
        <w:r>
          <w:rPr>
            <w:noProof/>
            <w:webHidden/>
          </w:rPr>
        </w:r>
        <w:r>
          <w:rPr>
            <w:noProof/>
            <w:webHidden/>
          </w:rPr>
          <w:fldChar w:fldCharType="separate"/>
        </w:r>
        <w:r>
          <w:rPr>
            <w:noProof/>
            <w:webHidden/>
          </w:rPr>
          <w:t>56</w:t>
        </w:r>
        <w:r>
          <w:rPr>
            <w:noProof/>
            <w:webHidden/>
          </w:rPr>
          <w:fldChar w:fldCharType="end"/>
        </w:r>
      </w:hyperlink>
    </w:p>
    <w:p w14:paraId="399569BF"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37"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7 – Реквизитный состав корневого элемента пакета «exchangePacket»</w:t>
        </w:r>
        <w:r>
          <w:rPr>
            <w:noProof/>
            <w:webHidden/>
          </w:rPr>
          <w:tab/>
        </w:r>
        <w:r>
          <w:rPr>
            <w:noProof/>
            <w:webHidden/>
          </w:rPr>
          <w:fldChar w:fldCharType="begin"/>
        </w:r>
        <w:r>
          <w:rPr>
            <w:noProof/>
            <w:webHidden/>
          </w:rPr>
          <w:instrText xml:space="preserve"> PAGEREF _Toc219309037 \h </w:instrText>
        </w:r>
        <w:r>
          <w:rPr>
            <w:noProof/>
            <w:webHidden/>
          </w:rPr>
        </w:r>
        <w:r>
          <w:rPr>
            <w:noProof/>
            <w:webHidden/>
          </w:rPr>
          <w:fldChar w:fldCharType="separate"/>
        </w:r>
        <w:r>
          <w:rPr>
            <w:noProof/>
            <w:webHidden/>
          </w:rPr>
          <w:t>58</w:t>
        </w:r>
        <w:r>
          <w:rPr>
            <w:noProof/>
            <w:webHidden/>
          </w:rPr>
          <w:fldChar w:fldCharType="end"/>
        </w:r>
      </w:hyperlink>
    </w:p>
    <w:p w14:paraId="34069AEE"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38"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8 – Описание комплексного типа «tPacketHeader» заголовка пакета «packetHeader»</w:t>
        </w:r>
        <w:r>
          <w:rPr>
            <w:noProof/>
            <w:webHidden/>
          </w:rPr>
          <w:tab/>
        </w:r>
        <w:r>
          <w:rPr>
            <w:noProof/>
            <w:webHidden/>
          </w:rPr>
          <w:fldChar w:fldCharType="begin"/>
        </w:r>
        <w:r>
          <w:rPr>
            <w:noProof/>
            <w:webHidden/>
          </w:rPr>
          <w:instrText xml:space="preserve"> PAGEREF _Toc219309038 \h </w:instrText>
        </w:r>
        <w:r>
          <w:rPr>
            <w:noProof/>
            <w:webHidden/>
          </w:rPr>
        </w:r>
        <w:r>
          <w:rPr>
            <w:noProof/>
            <w:webHidden/>
          </w:rPr>
          <w:fldChar w:fldCharType="separate"/>
        </w:r>
        <w:r>
          <w:rPr>
            <w:noProof/>
            <w:webHidden/>
          </w:rPr>
          <w:t>58</w:t>
        </w:r>
        <w:r>
          <w:rPr>
            <w:noProof/>
            <w:webHidden/>
          </w:rPr>
          <w:fldChar w:fldCharType="end"/>
        </w:r>
      </w:hyperlink>
    </w:p>
    <w:p w14:paraId="7C726E6E"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39"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9 – Описание комплексного типа «tServiceInfo» блока сервисной информации «ServiceInfo»</w:t>
        </w:r>
        <w:r>
          <w:rPr>
            <w:noProof/>
            <w:webHidden/>
          </w:rPr>
          <w:tab/>
        </w:r>
        <w:r>
          <w:rPr>
            <w:noProof/>
            <w:webHidden/>
          </w:rPr>
          <w:fldChar w:fldCharType="begin"/>
        </w:r>
        <w:r>
          <w:rPr>
            <w:noProof/>
            <w:webHidden/>
          </w:rPr>
          <w:instrText xml:space="preserve"> PAGEREF _Toc219309039 \h </w:instrText>
        </w:r>
        <w:r>
          <w:rPr>
            <w:noProof/>
            <w:webHidden/>
          </w:rPr>
        </w:r>
        <w:r>
          <w:rPr>
            <w:noProof/>
            <w:webHidden/>
          </w:rPr>
          <w:fldChar w:fldCharType="separate"/>
        </w:r>
        <w:r>
          <w:rPr>
            <w:noProof/>
            <w:webHidden/>
          </w:rPr>
          <w:t>59</w:t>
        </w:r>
        <w:r>
          <w:rPr>
            <w:noProof/>
            <w:webHidden/>
          </w:rPr>
          <w:fldChar w:fldCharType="end"/>
        </w:r>
      </w:hyperlink>
    </w:p>
    <w:p w14:paraId="4D036739"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40"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rFonts w:eastAsia="Calibri"/>
            <w:noProof/>
          </w:rPr>
          <w:t>10 – Описание комплексного типа «</w:t>
        </w:r>
        <w:r w:rsidRPr="005C56D9">
          <w:rPr>
            <w:rStyle w:val="af7"/>
            <w:noProof/>
          </w:rPr>
          <w:t>tPartyIdentifier</w:t>
        </w:r>
        <w:r w:rsidRPr="005C56D9">
          <w:rPr>
            <w:rStyle w:val="af7"/>
            <w:rFonts w:eastAsia="Calibri"/>
            <w:noProof/>
          </w:rPr>
          <w:t>» блоков информации об отправителе «</w:t>
        </w:r>
        <w:r w:rsidRPr="005C56D9">
          <w:rPr>
            <w:rStyle w:val="af7"/>
            <w:noProof/>
            <w:lang w:val="en-US"/>
          </w:rPr>
          <w:t>senderParty</w:t>
        </w:r>
        <w:r w:rsidRPr="005C56D9">
          <w:rPr>
            <w:rStyle w:val="af7"/>
            <w:noProof/>
          </w:rPr>
          <w:t>» и получателе «receiverParty»</w:t>
        </w:r>
        <w:r>
          <w:rPr>
            <w:noProof/>
            <w:webHidden/>
          </w:rPr>
          <w:tab/>
        </w:r>
        <w:r>
          <w:rPr>
            <w:noProof/>
            <w:webHidden/>
          </w:rPr>
          <w:fldChar w:fldCharType="begin"/>
        </w:r>
        <w:r>
          <w:rPr>
            <w:noProof/>
            <w:webHidden/>
          </w:rPr>
          <w:instrText xml:space="preserve"> PAGEREF _Toc219309040 \h </w:instrText>
        </w:r>
        <w:r>
          <w:rPr>
            <w:noProof/>
            <w:webHidden/>
          </w:rPr>
        </w:r>
        <w:r>
          <w:rPr>
            <w:noProof/>
            <w:webHidden/>
          </w:rPr>
          <w:fldChar w:fldCharType="separate"/>
        </w:r>
        <w:r>
          <w:rPr>
            <w:noProof/>
            <w:webHidden/>
          </w:rPr>
          <w:t>59</w:t>
        </w:r>
        <w:r>
          <w:rPr>
            <w:noProof/>
            <w:webHidden/>
          </w:rPr>
          <w:fldChar w:fldCharType="end"/>
        </w:r>
      </w:hyperlink>
    </w:p>
    <w:p w14:paraId="169BD9E4"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41"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lang w:val="en-US"/>
          </w:rPr>
          <w:t>11</w:t>
        </w:r>
        <w:r w:rsidRPr="005C56D9">
          <w:rPr>
            <w:rStyle w:val="af7"/>
            <w:rFonts w:eastAsia="Calibri"/>
            <w:noProof/>
          </w:rPr>
          <w:t xml:space="preserve"> – Описание комплексного типа «</w:t>
        </w:r>
        <w:r w:rsidRPr="005C56D9">
          <w:rPr>
            <w:rStyle w:val="af7"/>
            <w:rFonts w:eastAsia="Calibri"/>
            <w:noProof/>
            <w:lang w:val="en-US"/>
          </w:rPr>
          <w:t>tOrganization</w:t>
        </w:r>
        <w:r w:rsidRPr="005C56D9">
          <w:rPr>
            <w:rStyle w:val="af7"/>
            <w:rFonts w:eastAsia="Calibri"/>
            <w:noProof/>
          </w:rPr>
          <w:t>» блока «</w:t>
        </w:r>
        <w:r w:rsidRPr="005C56D9">
          <w:rPr>
            <w:rStyle w:val="af7"/>
            <w:noProof/>
            <w:lang w:val="en-US"/>
          </w:rPr>
          <w:t>tPartyIdentifier</w:t>
        </w:r>
        <w:r w:rsidRPr="005C56D9">
          <w:rPr>
            <w:rStyle w:val="af7"/>
            <w:rFonts w:eastAsia="Calibri"/>
            <w:noProof/>
          </w:rPr>
          <w:t>»</w:t>
        </w:r>
        <w:r>
          <w:rPr>
            <w:noProof/>
            <w:webHidden/>
          </w:rPr>
          <w:tab/>
        </w:r>
        <w:r>
          <w:rPr>
            <w:noProof/>
            <w:webHidden/>
          </w:rPr>
          <w:fldChar w:fldCharType="begin"/>
        </w:r>
        <w:r>
          <w:rPr>
            <w:noProof/>
            <w:webHidden/>
          </w:rPr>
          <w:instrText xml:space="preserve"> PAGEREF _Toc219309041 \h </w:instrText>
        </w:r>
        <w:r>
          <w:rPr>
            <w:noProof/>
            <w:webHidden/>
          </w:rPr>
        </w:r>
        <w:r>
          <w:rPr>
            <w:noProof/>
            <w:webHidden/>
          </w:rPr>
          <w:fldChar w:fldCharType="separate"/>
        </w:r>
        <w:r>
          <w:rPr>
            <w:noProof/>
            <w:webHidden/>
          </w:rPr>
          <w:t>60</w:t>
        </w:r>
        <w:r>
          <w:rPr>
            <w:noProof/>
            <w:webHidden/>
          </w:rPr>
          <w:fldChar w:fldCharType="end"/>
        </w:r>
      </w:hyperlink>
    </w:p>
    <w:p w14:paraId="7402ADAE"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42"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lang w:val="en-US"/>
          </w:rPr>
          <w:t>12</w:t>
        </w:r>
        <w:r w:rsidRPr="005C56D9">
          <w:rPr>
            <w:rStyle w:val="af7"/>
            <w:rFonts w:eastAsia="Calibri"/>
            <w:noProof/>
          </w:rPr>
          <w:t xml:space="preserve"> – Описание комплексного типа «</w:t>
        </w:r>
        <w:r w:rsidRPr="005C56D9">
          <w:rPr>
            <w:rStyle w:val="af7"/>
            <w:rFonts w:eastAsia="Calibri"/>
            <w:noProof/>
            <w:lang w:val="en-US"/>
          </w:rPr>
          <w:t>tTOFK</w:t>
        </w:r>
        <w:r w:rsidRPr="005C56D9">
          <w:rPr>
            <w:rStyle w:val="af7"/>
            <w:rFonts w:eastAsia="Calibri"/>
            <w:noProof/>
          </w:rPr>
          <w:t>» блока «</w:t>
        </w:r>
        <w:r w:rsidRPr="005C56D9">
          <w:rPr>
            <w:rStyle w:val="af7"/>
            <w:noProof/>
            <w:lang w:val="en-US"/>
          </w:rPr>
          <w:t>tPartyIdentifier</w:t>
        </w:r>
        <w:r w:rsidRPr="005C56D9">
          <w:rPr>
            <w:rStyle w:val="af7"/>
            <w:rFonts w:eastAsia="Calibri"/>
            <w:noProof/>
          </w:rPr>
          <w:t>»</w:t>
        </w:r>
        <w:r>
          <w:rPr>
            <w:noProof/>
            <w:webHidden/>
          </w:rPr>
          <w:tab/>
        </w:r>
        <w:r>
          <w:rPr>
            <w:noProof/>
            <w:webHidden/>
          </w:rPr>
          <w:fldChar w:fldCharType="begin"/>
        </w:r>
        <w:r>
          <w:rPr>
            <w:noProof/>
            <w:webHidden/>
          </w:rPr>
          <w:instrText xml:space="preserve"> PAGEREF _Toc219309042 \h </w:instrText>
        </w:r>
        <w:r>
          <w:rPr>
            <w:noProof/>
            <w:webHidden/>
          </w:rPr>
        </w:r>
        <w:r>
          <w:rPr>
            <w:noProof/>
            <w:webHidden/>
          </w:rPr>
          <w:fldChar w:fldCharType="separate"/>
        </w:r>
        <w:r>
          <w:rPr>
            <w:noProof/>
            <w:webHidden/>
          </w:rPr>
          <w:t>60</w:t>
        </w:r>
        <w:r>
          <w:rPr>
            <w:noProof/>
            <w:webHidden/>
          </w:rPr>
          <w:fldChar w:fldCharType="end"/>
        </w:r>
      </w:hyperlink>
    </w:p>
    <w:p w14:paraId="25CDF2B6"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43"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lang w:val="en-US"/>
          </w:rPr>
          <w:t>13</w:t>
        </w:r>
        <w:r w:rsidRPr="005C56D9">
          <w:rPr>
            <w:rStyle w:val="af7"/>
            <w:rFonts w:eastAsia="Calibri"/>
            <w:noProof/>
          </w:rPr>
          <w:t xml:space="preserve"> – Описание комплексного типа «</w:t>
        </w:r>
        <w:r w:rsidRPr="005C56D9">
          <w:rPr>
            <w:rStyle w:val="af7"/>
            <w:rFonts w:eastAsia="Calibri"/>
            <w:noProof/>
            <w:lang w:val="en-US"/>
          </w:rPr>
          <w:t>tSysIdentifier</w:t>
        </w:r>
        <w:r w:rsidRPr="005C56D9">
          <w:rPr>
            <w:rStyle w:val="af7"/>
            <w:rFonts w:eastAsia="Calibri"/>
            <w:noProof/>
          </w:rPr>
          <w:t>» блока «</w:t>
        </w:r>
        <w:r w:rsidRPr="005C56D9">
          <w:rPr>
            <w:rStyle w:val="af7"/>
            <w:noProof/>
            <w:lang w:val="en-US"/>
          </w:rPr>
          <w:t>tPartyIdentifier</w:t>
        </w:r>
        <w:r w:rsidRPr="005C56D9">
          <w:rPr>
            <w:rStyle w:val="af7"/>
            <w:rFonts w:eastAsia="Calibri"/>
            <w:noProof/>
          </w:rPr>
          <w:t>»</w:t>
        </w:r>
        <w:r>
          <w:rPr>
            <w:noProof/>
            <w:webHidden/>
          </w:rPr>
          <w:tab/>
        </w:r>
        <w:r>
          <w:rPr>
            <w:noProof/>
            <w:webHidden/>
          </w:rPr>
          <w:fldChar w:fldCharType="begin"/>
        </w:r>
        <w:r>
          <w:rPr>
            <w:noProof/>
            <w:webHidden/>
          </w:rPr>
          <w:instrText xml:space="preserve"> PAGEREF _Toc219309043 \h </w:instrText>
        </w:r>
        <w:r>
          <w:rPr>
            <w:noProof/>
            <w:webHidden/>
          </w:rPr>
        </w:r>
        <w:r>
          <w:rPr>
            <w:noProof/>
            <w:webHidden/>
          </w:rPr>
          <w:fldChar w:fldCharType="separate"/>
        </w:r>
        <w:r>
          <w:rPr>
            <w:noProof/>
            <w:webHidden/>
          </w:rPr>
          <w:t>61</w:t>
        </w:r>
        <w:r>
          <w:rPr>
            <w:noProof/>
            <w:webHidden/>
          </w:rPr>
          <w:fldChar w:fldCharType="end"/>
        </w:r>
      </w:hyperlink>
    </w:p>
    <w:p w14:paraId="68E4E564"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44"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rFonts w:eastAsia="Calibri"/>
            <w:noProof/>
          </w:rPr>
          <w:t>14</w:t>
        </w:r>
        <w:r w:rsidRPr="005C56D9">
          <w:rPr>
            <w:rStyle w:val="af7"/>
            <w:noProof/>
          </w:rPr>
          <w:t xml:space="preserve"> </w:t>
        </w:r>
        <w:r w:rsidRPr="005C56D9">
          <w:rPr>
            <w:rStyle w:val="af7"/>
            <w:rFonts w:eastAsia="Calibri"/>
            <w:noProof/>
          </w:rPr>
          <w:t>–</w:t>
        </w:r>
        <w:r w:rsidRPr="005C56D9">
          <w:rPr>
            <w:rStyle w:val="af7"/>
            <w:noProof/>
          </w:rPr>
          <w:t xml:space="preserve"> Описание комплексного типа «tFormularCollection»</w:t>
        </w:r>
        <w:r>
          <w:rPr>
            <w:noProof/>
            <w:webHidden/>
          </w:rPr>
          <w:tab/>
        </w:r>
        <w:r>
          <w:rPr>
            <w:noProof/>
            <w:webHidden/>
          </w:rPr>
          <w:fldChar w:fldCharType="begin"/>
        </w:r>
        <w:r>
          <w:rPr>
            <w:noProof/>
            <w:webHidden/>
          </w:rPr>
          <w:instrText xml:space="preserve"> PAGEREF _Toc219309044 \h </w:instrText>
        </w:r>
        <w:r>
          <w:rPr>
            <w:noProof/>
            <w:webHidden/>
          </w:rPr>
        </w:r>
        <w:r>
          <w:rPr>
            <w:noProof/>
            <w:webHidden/>
          </w:rPr>
          <w:fldChar w:fldCharType="separate"/>
        </w:r>
        <w:r>
          <w:rPr>
            <w:noProof/>
            <w:webHidden/>
          </w:rPr>
          <w:t>61</w:t>
        </w:r>
        <w:r>
          <w:rPr>
            <w:noProof/>
            <w:webHidden/>
          </w:rPr>
          <w:fldChar w:fldCharType="end"/>
        </w:r>
      </w:hyperlink>
    </w:p>
    <w:p w14:paraId="30410CCA"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45"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rFonts w:eastAsia="Calibri"/>
            <w:noProof/>
          </w:rPr>
          <w:t>15</w:t>
        </w:r>
        <w:r w:rsidRPr="005C56D9">
          <w:rPr>
            <w:rStyle w:val="af7"/>
            <w:noProof/>
          </w:rPr>
          <w:t xml:space="preserve"> </w:t>
        </w:r>
        <w:r w:rsidRPr="005C56D9">
          <w:rPr>
            <w:rStyle w:val="af7"/>
            <w:rFonts w:eastAsia="Calibri"/>
            <w:noProof/>
          </w:rPr>
          <w:t>–</w:t>
        </w:r>
        <w:r w:rsidRPr="005C56D9">
          <w:rPr>
            <w:rStyle w:val="af7"/>
            <w:noProof/>
          </w:rPr>
          <w:t xml:space="preserve"> Описание комплексного типа «tFormular»</w:t>
        </w:r>
        <w:r>
          <w:rPr>
            <w:noProof/>
            <w:webHidden/>
          </w:rPr>
          <w:tab/>
        </w:r>
        <w:r>
          <w:rPr>
            <w:noProof/>
            <w:webHidden/>
          </w:rPr>
          <w:fldChar w:fldCharType="begin"/>
        </w:r>
        <w:r>
          <w:rPr>
            <w:noProof/>
            <w:webHidden/>
          </w:rPr>
          <w:instrText xml:space="preserve"> PAGEREF _Toc219309045 \h </w:instrText>
        </w:r>
        <w:r>
          <w:rPr>
            <w:noProof/>
            <w:webHidden/>
          </w:rPr>
        </w:r>
        <w:r>
          <w:rPr>
            <w:noProof/>
            <w:webHidden/>
          </w:rPr>
          <w:fldChar w:fldCharType="separate"/>
        </w:r>
        <w:r>
          <w:rPr>
            <w:noProof/>
            <w:webHidden/>
          </w:rPr>
          <w:t>61</w:t>
        </w:r>
        <w:r>
          <w:rPr>
            <w:noProof/>
            <w:webHidden/>
          </w:rPr>
          <w:fldChar w:fldCharType="end"/>
        </w:r>
      </w:hyperlink>
    </w:p>
    <w:p w14:paraId="4A946498"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46"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16 – Реквизитный состав корневого элемента пакета «</w:t>
        </w:r>
        <w:r w:rsidRPr="005C56D9">
          <w:rPr>
            <w:rStyle w:val="af7"/>
            <w:rFonts w:eastAsia="Calibri"/>
            <w:noProof/>
            <w:lang w:val="en-US"/>
          </w:rPr>
          <w:t>BOD</w:t>
        </w:r>
        <w:r w:rsidRPr="005C56D9">
          <w:rPr>
            <w:rStyle w:val="af7"/>
            <w:rFonts w:eastAsia="Calibri"/>
            <w:noProof/>
          </w:rPr>
          <w:t>»</w:t>
        </w:r>
        <w:r>
          <w:rPr>
            <w:noProof/>
            <w:webHidden/>
          </w:rPr>
          <w:tab/>
        </w:r>
        <w:r>
          <w:rPr>
            <w:noProof/>
            <w:webHidden/>
          </w:rPr>
          <w:fldChar w:fldCharType="begin"/>
        </w:r>
        <w:r>
          <w:rPr>
            <w:noProof/>
            <w:webHidden/>
          </w:rPr>
          <w:instrText xml:space="preserve"> PAGEREF _Toc219309046 \h </w:instrText>
        </w:r>
        <w:r>
          <w:rPr>
            <w:noProof/>
            <w:webHidden/>
          </w:rPr>
        </w:r>
        <w:r>
          <w:rPr>
            <w:noProof/>
            <w:webHidden/>
          </w:rPr>
          <w:fldChar w:fldCharType="separate"/>
        </w:r>
        <w:r>
          <w:rPr>
            <w:noProof/>
            <w:webHidden/>
          </w:rPr>
          <w:t>62</w:t>
        </w:r>
        <w:r>
          <w:rPr>
            <w:noProof/>
            <w:webHidden/>
          </w:rPr>
          <w:fldChar w:fldCharType="end"/>
        </w:r>
      </w:hyperlink>
    </w:p>
    <w:p w14:paraId="39E3F270"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47"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17 – Описание комплексного типа «</w:t>
        </w:r>
        <w:r w:rsidRPr="005C56D9">
          <w:rPr>
            <w:rStyle w:val="af7"/>
            <w:noProof/>
            <w:lang w:val="en-US"/>
          </w:rPr>
          <w:t>ApplicationAreaContent</w:t>
        </w:r>
        <w:r w:rsidRPr="005C56D9">
          <w:rPr>
            <w:rStyle w:val="af7"/>
            <w:rFonts w:eastAsia="Calibri"/>
            <w:noProof/>
          </w:rPr>
          <w:t>» заголовка пакета «</w:t>
        </w:r>
        <w:r w:rsidRPr="005C56D9">
          <w:rPr>
            <w:rStyle w:val="af7"/>
            <w:noProof/>
            <w:lang w:val="en-US"/>
          </w:rPr>
          <w:t>ApplicationArea</w:t>
        </w:r>
        <w:r w:rsidRPr="005C56D9">
          <w:rPr>
            <w:rStyle w:val="af7"/>
            <w:rFonts w:eastAsia="Calibri"/>
            <w:noProof/>
          </w:rPr>
          <w:t>»</w:t>
        </w:r>
        <w:r>
          <w:rPr>
            <w:noProof/>
            <w:webHidden/>
          </w:rPr>
          <w:tab/>
        </w:r>
        <w:r>
          <w:rPr>
            <w:noProof/>
            <w:webHidden/>
          </w:rPr>
          <w:fldChar w:fldCharType="begin"/>
        </w:r>
        <w:r>
          <w:rPr>
            <w:noProof/>
            <w:webHidden/>
          </w:rPr>
          <w:instrText xml:space="preserve"> PAGEREF _Toc219309047 \h </w:instrText>
        </w:r>
        <w:r>
          <w:rPr>
            <w:noProof/>
            <w:webHidden/>
          </w:rPr>
        </w:r>
        <w:r>
          <w:rPr>
            <w:noProof/>
            <w:webHidden/>
          </w:rPr>
          <w:fldChar w:fldCharType="separate"/>
        </w:r>
        <w:r>
          <w:rPr>
            <w:noProof/>
            <w:webHidden/>
          </w:rPr>
          <w:t>63</w:t>
        </w:r>
        <w:r>
          <w:rPr>
            <w:noProof/>
            <w:webHidden/>
          </w:rPr>
          <w:fldChar w:fldCharType="end"/>
        </w:r>
      </w:hyperlink>
    </w:p>
    <w:p w14:paraId="78D876A5"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48"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18</w:t>
        </w:r>
        <w:r w:rsidRPr="005C56D9">
          <w:rPr>
            <w:rStyle w:val="af7"/>
            <w:rFonts w:eastAsia="Calibri"/>
            <w:noProof/>
          </w:rPr>
          <w:t xml:space="preserve"> – </w:t>
        </w:r>
        <w:r w:rsidRPr="005C56D9">
          <w:rPr>
            <w:rStyle w:val="af7"/>
            <w:noProof/>
          </w:rPr>
          <w:t>Описание составного элемента «</w:t>
        </w:r>
        <w:r w:rsidRPr="005C56D9">
          <w:rPr>
            <w:rStyle w:val="af7"/>
            <w:noProof/>
            <w:lang w:val="en-US"/>
          </w:rPr>
          <w:t>Sender</w:t>
        </w:r>
        <w:r w:rsidRPr="005C56D9">
          <w:rPr>
            <w:rStyle w:val="af7"/>
            <w:noProof/>
          </w:rPr>
          <w:t>»</w:t>
        </w:r>
        <w:r>
          <w:rPr>
            <w:noProof/>
            <w:webHidden/>
          </w:rPr>
          <w:tab/>
        </w:r>
        <w:r>
          <w:rPr>
            <w:noProof/>
            <w:webHidden/>
          </w:rPr>
          <w:fldChar w:fldCharType="begin"/>
        </w:r>
        <w:r>
          <w:rPr>
            <w:noProof/>
            <w:webHidden/>
          </w:rPr>
          <w:instrText xml:space="preserve"> PAGEREF _Toc219309048 \h </w:instrText>
        </w:r>
        <w:r>
          <w:rPr>
            <w:noProof/>
            <w:webHidden/>
          </w:rPr>
        </w:r>
        <w:r>
          <w:rPr>
            <w:noProof/>
            <w:webHidden/>
          </w:rPr>
          <w:fldChar w:fldCharType="separate"/>
        </w:r>
        <w:r>
          <w:rPr>
            <w:noProof/>
            <w:webHidden/>
          </w:rPr>
          <w:t>63</w:t>
        </w:r>
        <w:r>
          <w:rPr>
            <w:noProof/>
            <w:webHidden/>
          </w:rPr>
          <w:fldChar w:fldCharType="end"/>
        </w:r>
      </w:hyperlink>
    </w:p>
    <w:p w14:paraId="234C8E7B"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49"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19</w:t>
        </w:r>
        <w:r w:rsidRPr="005C56D9">
          <w:rPr>
            <w:rStyle w:val="af7"/>
            <w:rFonts w:eastAsia="Calibri"/>
            <w:noProof/>
          </w:rPr>
          <w:t xml:space="preserve"> – </w:t>
        </w:r>
        <w:r w:rsidRPr="005C56D9">
          <w:rPr>
            <w:rStyle w:val="af7"/>
            <w:noProof/>
          </w:rPr>
          <w:t>Описание составного элемента «UserArea»</w:t>
        </w:r>
        <w:r>
          <w:rPr>
            <w:noProof/>
            <w:webHidden/>
          </w:rPr>
          <w:tab/>
        </w:r>
        <w:r>
          <w:rPr>
            <w:noProof/>
            <w:webHidden/>
          </w:rPr>
          <w:fldChar w:fldCharType="begin"/>
        </w:r>
        <w:r>
          <w:rPr>
            <w:noProof/>
            <w:webHidden/>
          </w:rPr>
          <w:instrText xml:space="preserve"> PAGEREF _Toc219309049 \h </w:instrText>
        </w:r>
        <w:r>
          <w:rPr>
            <w:noProof/>
            <w:webHidden/>
          </w:rPr>
        </w:r>
        <w:r>
          <w:rPr>
            <w:noProof/>
            <w:webHidden/>
          </w:rPr>
          <w:fldChar w:fldCharType="separate"/>
        </w:r>
        <w:r>
          <w:rPr>
            <w:noProof/>
            <w:webHidden/>
          </w:rPr>
          <w:t>64</w:t>
        </w:r>
        <w:r>
          <w:rPr>
            <w:noProof/>
            <w:webHidden/>
          </w:rPr>
          <w:fldChar w:fldCharType="end"/>
        </w:r>
      </w:hyperlink>
    </w:p>
    <w:p w14:paraId="4B02C5F2"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50"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20</w:t>
        </w:r>
        <w:r w:rsidRPr="005C56D9">
          <w:rPr>
            <w:rStyle w:val="af7"/>
            <w:rFonts w:eastAsia="Calibri"/>
            <w:noProof/>
          </w:rPr>
          <w:t xml:space="preserve"> – </w:t>
        </w:r>
        <w:r w:rsidRPr="005C56D9">
          <w:rPr>
            <w:rStyle w:val="af7"/>
            <w:noProof/>
          </w:rPr>
          <w:t>Описание составного элемента</w:t>
        </w:r>
        <w:r w:rsidRPr="005C56D9">
          <w:rPr>
            <w:rStyle w:val="af7"/>
            <w:noProof/>
            <w:lang w:val="en-US"/>
          </w:rPr>
          <w:t xml:space="preserve"> </w:t>
        </w:r>
        <w:r w:rsidRPr="005C56D9">
          <w:rPr>
            <w:rStyle w:val="af7"/>
            <w:noProof/>
          </w:rPr>
          <w:t>«</w:t>
        </w:r>
        <w:r w:rsidRPr="005C56D9">
          <w:rPr>
            <w:rStyle w:val="af7"/>
            <w:noProof/>
            <w:lang w:val="en-US"/>
          </w:rPr>
          <w:t>Group</w:t>
        </w:r>
        <w:r w:rsidRPr="005C56D9">
          <w:rPr>
            <w:rStyle w:val="af7"/>
            <w:noProof/>
          </w:rPr>
          <w:t>»</w:t>
        </w:r>
        <w:r>
          <w:rPr>
            <w:noProof/>
            <w:webHidden/>
          </w:rPr>
          <w:tab/>
        </w:r>
        <w:r>
          <w:rPr>
            <w:noProof/>
            <w:webHidden/>
          </w:rPr>
          <w:fldChar w:fldCharType="begin"/>
        </w:r>
        <w:r>
          <w:rPr>
            <w:noProof/>
            <w:webHidden/>
          </w:rPr>
          <w:instrText xml:space="preserve"> PAGEREF _Toc219309050 \h </w:instrText>
        </w:r>
        <w:r>
          <w:rPr>
            <w:noProof/>
            <w:webHidden/>
          </w:rPr>
        </w:r>
        <w:r>
          <w:rPr>
            <w:noProof/>
            <w:webHidden/>
          </w:rPr>
          <w:fldChar w:fldCharType="separate"/>
        </w:r>
        <w:r>
          <w:rPr>
            <w:noProof/>
            <w:webHidden/>
          </w:rPr>
          <w:t>64</w:t>
        </w:r>
        <w:r>
          <w:rPr>
            <w:noProof/>
            <w:webHidden/>
          </w:rPr>
          <w:fldChar w:fldCharType="end"/>
        </w:r>
      </w:hyperlink>
    </w:p>
    <w:p w14:paraId="4470B6C5"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51"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21</w:t>
        </w:r>
        <w:r w:rsidRPr="005C56D9">
          <w:rPr>
            <w:rStyle w:val="af7"/>
            <w:rFonts w:eastAsia="Calibri"/>
            <w:noProof/>
          </w:rPr>
          <w:t xml:space="preserve"> – </w:t>
        </w:r>
        <w:r w:rsidRPr="005C56D9">
          <w:rPr>
            <w:rStyle w:val="af7"/>
            <w:noProof/>
          </w:rPr>
          <w:t>Описание составного элемента «</w:t>
        </w:r>
        <w:r w:rsidRPr="005C56D9">
          <w:rPr>
            <w:rStyle w:val="af7"/>
            <w:noProof/>
            <w:lang w:val="en-US"/>
          </w:rPr>
          <w:t>Property</w:t>
        </w:r>
        <w:r w:rsidRPr="005C56D9">
          <w:rPr>
            <w:rStyle w:val="af7"/>
            <w:noProof/>
          </w:rPr>
          <w:t>»</w:t>
        </w:r>
        <w:r>
          <w:rPr>
            <w:noProof/>
            <w:webHidden/>
          </w:rPr>
          <w:tab/>
        </w:r>
        <w:r>
          <w:rPr>
            <w:noProof/>
            <w:webHidden/>
          </w:rPr>
          <w:fldChar w:fldCharType="begin"/>
        </w:r>
        <w:r>
          <w:rPr>
            <w:noProof/>
            <w:webHidden/>
          </w:rPr>
          <w:instrText xml:space="preserve"> PAGEREF _Toc219309051 \h </w:instrText>
        </w:r>
        <w:r>
          <w:rPr>
            <w:noProof/>
            <w:webHidden/>
          </w:rPr>
        </w:r>
        <w:r>
          <w:rPr>
            <w:noProof/>
            <w:webHidden/>
          </w:rPr>
          <w:fldChar w:fldCharType="separate"/>
        </w:r>
        <w:r>
          <w:rPr>
            <w:noProof/>
            <w:webHidden/>
          </w:rPr>
          <w:t>64</w:t>
        </w:r>
        <w:r>
          <w:rPr>
            <w:noProof/>
            <w:webHidden/>
          </w:rPr>
          <w:fldChar w:fldCharType="end"/>
        </w:r>
      </w:hyperlink>
    </w:p>
    <w:p w14:paraId="332085F3"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52"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22</w:t>
        </w:r>
        <w:r w:rsidRPr="005C56D9">
          <w:rPr>
            <w:rStyle w:val="af7"/>
            <w:rFonts w:eastAsia="Calibri"/>
            <w:noProof/>
          </w:rPr>
          <w:t xml:space="preserve"> – </w:t>
        </w:r>
        <w:r w:rsidRPr="005C56D9">
          <w:rPr>
            <w:rStyle w:val="af7"/>
            <w:noProof/>
          </w:rPr>
          <w:t>Описание составного элемента «DataArea»</w:t>
        </w:r>
        <w:r>
          <w:rPr>
            <w:noProof/>
            <w:webHidden/>
          </w:rPr>
          <w:tab/>
        </w:r>
        <w:r>
          <w:rPr>
            <w:noProof/>
            <w:webHidden/>
          </w:rPr>
          <w:fldChar w:fldCharType="begin"/>
        </w:r>
        <w:r>
          <w:rPr>
            <w:noProof/>
            <w:webHidden/>
          </w:rPr>
          <w:instrText xml:space="preserve"> PAGEREF _Toc219309052 \h </w:instrText>
        </w:r>
        <w:r>
          <w:rPr>
            <w:noProof/>
            <w:webHidden/>
          </w:rPr>
        </w:r>
        <w:r>
          <w:rPr>
            <w:noProof/>
            <w:webHidden/>
          </w:rPr>
          <w:fldChar w:fldCharType="separate"/>
        </w:r>
        <w:r>
          <w:rPr>
            <w:noProof/>
            <w:webHidden/>
          </w:rPr>
          <w:t>66</w:t>
        </w:r>
        <w:r>
          <w:rPr>
            <w:noProof/>
            <w:webHidden/>
          </w:rPr>
          <w:fldChar w:fldCharType="end"/>
        </w:r>
      </w:hyperlink>
    </w:p>
    <w:p w14:paraId="01BF81B7"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53"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23</w:t>
        </w:r>
        <w:r w:rsidRPr="005C56D9">
          <w:rPr>
            <w:rStyle w:val="af7"/>
            <w:rFonts w:eastAsia="Calibri"/>
            <w:noProof/>
          </w:rPr>
          <w:t xml:space="preserve"> – </w:t>
        </w:r>
        <w:r w:rsidRPr="005C56D9">
          <w:rPr>
            <w:rStyle w:val="af7"/>
            <w:noProof/>
          </w:rPr>
          <w:t xml:space="preserve">Документы для обмена в </w:t>
        </w:r>
        <w:r w:rsidRPr="005C56D9">
          <w:rPr>
            <w:rStyle w:val="af7"/>
            <w:noProof/>
            <w:lang w:val="en-US"/>
          </w:rPr>
          <w:t>xml</w:t>
        </w:r>
        <w:r w:rsidRPr="005C56D9">
          <w:rPr>
            <w:rStyle w:val="af7"/>
            <w:noProof/>
          </w:rPr>
          <w:t>-формате</w:t>
        </w:r>
        <w:r>
          <w:rPr>
            <w:noProof/>
            <w:webHidden/>
          </w:rPr>
          <w:tab/>
        </w:r>
        <w:r>
          <w:rPr>
            <w:noProof/>
            <w:webHidden/>
          </w:rPr>
          <w:fldChar w:fldCharType="begin"/>
        </w:r>
        <w:r>
          <w:rPr>
            <w:noProof/>
            <w:webHidden/>
          </w:rPr>
          <w:instrText xml:space="preserve"> PAGEREF _Toc219309053 \h </w:instrText>
        </w:r>
        <w:r>
          <w:rPr>
            <w:noProof/>
            <w:webHidden/>
          </w:rPr>
        </w:r>
        <w:r>
          <w:rPr>
            <w:noProof/>
            <w:webHidden/>
          </w:rPr>
          <w:fldChar w:fldCharType="separate"/>
        </w:r>
        <w:r>
          <w:rPr>
            <w:noProof/>
            <w:webHidden/>
          </w:rPr>
          <w:t>68</w:t>
        </w:r>
        <w:r>
          <w:rPr>
            <w:noProof/>
            <w:webHidden/>
          </w:rPr>
          <w:fldChar w:fldCharType="end"/>
        </w:r>
      </w:hyperlink>
    </w:p>
    <w:p w14:paraId="2ADFF311"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54"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24</w:t>
        </w:r>
        <w:r w:rsidRPr="005C56D9">
          <w:rPr>
            <w:rStyle w:val="af7"/>
            <w:rFonts w:eastAsia="Calibri"/>
            <w:noProof/>
          </w:rPr>
          <w:t xml:space="preserve"> – </w:t>
        </w:r>
        <w:r w:rsidRPr="005C56D9">
          <w:rPr>
            <w:rStyle w:val="af7"/>
            <w:noProof/>
          </w:rPr>
          <w:t xml:space="preserve">Маршрут документа </w:t>
        </w:r>
        <w:r w:rsidRPr="005C56D9">
          <w:rPr>
            <w:rStyle w:val="af7"/>
            <w:rFonts w:eastAsia="Calibri"/>
            <w:noProof/>
          </w:rPr>
          <w:t>«Расходное расписание»</w:t>
        </w:r>
        <w:r>
          <w:rPr>
            <w:noProof/>
            <w:webHidden/>
          </w:rPr>
          <w:tab/>
        </w:r>
        <w:r>
          <w:rPr>
            <w:noProof/>
            <w:webHidden/>
          </w:rPr>
          <w:fldChar w:fldCharType="begin"/>
        </w:r>
        <w:r>
          <w:rPr>
            <w:noProof/>
            <w:webHidden/>
          </w:rPr>
          <w:instrText xml:space="preserve"> PAGEREF _Toc219309054 \h </w:instrText>
        </w:r>
        <w:r>
          <w:rPr>
            <w:noProof/>
            <w:webHidden/>
          </w:rPr>
        </w:r>
        <w:r>
          <w:rPr>
            <w:noProof/>
            <w:webHidden/>
          </w:rPr>
          <w:fldChar w:fldCharType="separate"/>
        </w:r>
        <w:r>
          <w:rPr>
            <w:noProof/>
            <w:webHidden/>
          </w:rPr>
          <w:t>71</w:t>
        </w:r>
        <w:r>
          <w:rPr>
            <w:noProof/>
            <w:webHidden/>
          </w:rPr>
          <w:fldChar w:fldCharType="end"/>
        </w:r>
      </w:hyperlink>
    </w:p>
    <w:p w14:paraId="6C7CA5BF"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55" w:history="1">
        <w:r w:rsidRPr="005C56D9">
          <w:rPr>
            <w:rStyle w:val="af7"/>
            <w:noProof/>
            <w:highlight w:val="green"/>
          </w:rPr>
          <w:t>Таблица </w:t>
        </w:r>
        <w:r>
          <w:rPr>
            <w:rFonts w:asciiTheme="minorHAnsi" w:eastAsiaTheme="minorEastAsia" w:hAnsiTheme="minorHAnsi" w:cstheme="minorBidi"/>
            <w:noProof/>
            <w:sz w:val="22"/>
            <w:szCs w:val="22"/>
          </w:rPr>
          <w:tab/>
        </w:r>
        <w:r w:rsidRPr="005C56D9">
          <w:rPr>
            <w:rStyle w:val="af7"/>
            <w:noProof/>
            <w:highlight w:val="green"/>
          </w:rPr>
          <w:t>25</w:t>
        </w:r>
        <w:r w:rsidRPr="005C56D9">
          <w:rPr>
            <w:rStyle w:val="af7"/>
            <w:rFonts w:eastAsia="Calibri"/>
            <w:noProof/>
            <w:highlight w:val="green"/>
          </w:rPr>
          <w:t xml:space="preserve"> – </w:t>
        </w:r>
        <w:r w:rsidRPr="005C56D9">
          <w:rPr>
            <w:rStyle w:val="af7"/>
            <w:noProof/>
            <w:highlight w:val="green"/>
          </w:rPr>
          <w:t>Описание комплексного типа «tMSC_ExpndblSchdl»</w:t>
        </w:r>
        <w:r>
          <w:rPr>
            <w:noProof/>
            <w:webHidden/>
          </w:rPr>
          <w:tab/>
        </w:r>
        <w:r>
          <w:rPr>
            <w:noProof/>
            <w:webHidden/>
          </w:rPr>
          <w:fldChar w:fldCharType="begin"/>
        </w:r>
        <w:r>
          <w:rPr>
            <w:noProof/>
            <w:webHidden/>
          </w:rPr>
          <w:instrText xml:space="preserve"> PAGEREF _Toc219309055 \h </w:instrText>
        </w:r>
        <w:r>
          <w:rPr>
            <w:noProof/>
            <w:webHidden/>
          </w:rPr>
        </w:r>
        <w:r>
          <w:rPr>
            <w:noProof/>
            <w:webHidden/>
          </w:rPr>
          <w:fldChar w:fldCharType="separate"/>
        </w:r>
        <w:r>
          <w:rPr>
            <w:noProof/>
            <w:webHidden/>
          </w:rPr>
          <w:t>71</w:t>
        </w:r>
        <w:r>
          <w:rPr>
            <w:noProof/>
            <w:webHidden/>
          </w:rPr>
          <w:fldChar w:fldCharType="end"/>
        </w:r>
      </w:hyperlink>
    </w:p>
    <w:p w14:paraId="04EF87AD"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56"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26</w:t>
        </w:r>
        <w:r w:rsidRPr="005C56D9">
          <w:rPr>
            <w:rStyle w:val="af7"/>
            <w:rFonts w:eastAsia="Calibri"/>
            <w:noProof/>
          </w:rPr>
          <w:t xml:space="preserve"> – </w:t>
        </w:r>
        <w:r w:rsidRPr="005C56D9">
          <w:rPr>
            <w:rStyle w:val="af7"/>
            <w:noProof/>
          </w:rPr>
          <w:t>Описание комплексного типа «tAPREORG»</w:t>
        </w:r>
        <w:r>
          <w:rPr>
            <w:noProof/>
            <w:webHidden/>
          </w:rPr>
          <w:tab/>
        </w:r>
        <w:r>
          <w:rPr>
            <w:noProof/>
            <w:webHidden/>
          </w:rPr>
          <w:fldChar w:fldCharType="begin"/>
        </w:r>
        <w:r>
          <w:rPr>
            <w:noProof/>
            <w:webHidden/>
          </w:rPr>
          <w:instrText xml:space="preserve"> PAGEREF _Toc219309056 \h </w:instrText>
        </w:r>
        <w:r>
          <w:rPr>
            <w:noProof/>
            <w:webHidden/>
          </w:rPr>
        </w:r>
        <w:r>
          <w:rPr>
            <w:noProof/>
            <w:webHidden/>
          </w:rPr>
          <w:fldChar w:fldCharType="separate"/>
        </w:r>
        <w:r>
          <w:rPr>
            <w:noProof/>
            <w:webHidden/>
          </w:rPr>
          <w:t>76</w:t>
        </w:r>
        <w:r>
          <w:rPr>
            <w:noProof/>
            <w:webHidden/>
          </w:rPr>
          <w:fldChar w:fldCharType="end"/>
        </w:r>
      </w:hyperlink>
    </w:p>
    <w:p w14:paraId="7434B1EA"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57"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27 – Описание комплексного типа «tMSC_PBS_UBP1»</w:t>
        </w:r>
        <w:r>
          <w:rPr>
            <w:noProof/>
            <w:webHidden/>
          </w:rPr>
          <w:tab/>
        </w:r>
        <w:r>
          <w:rPr>
            <w:noProof/>
            <w:webHidden/>
          </w:rPr>
          <w:fldChar w:fldCharType="begin"/>
        </w:r>
        <w:r>
          <w:rPr>
            <w:noProof/>
            <w:webHidden/>
          </w:rPr>
          <w:instrText xml:space="preserve"> PAGEREF _Toc219309057 \h </w:instrText>
        </w:r>
        <w:r>
          <w:rPr>
            <w:noProof/>
            <w:webHidden/>
          </w:rPr>
        </w:r>
        <w:r>
          <w:rPr>
            <w:noProof/>
            <w:webHidden/>
          </w:rPr>
          <w:fldChar w:fldCharType="separate"/>
        </w:r>
        <w:r>
          <w:rPr>
            <w:noProof/>
            <w:webHidden/>
          </w:rPr>
          <w:t>77</w:t>
        </w:r>
        <w:r>
          <w:rPr>
            <w:noProof/>
            <w:webHidden/>
          </w:rPr>
          <w:fldChar w:fldCharType="end"/>
        </w:r>
      </w:hyperlink>
    </w:p>
    <w:p w14:paraId="249A5572"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58"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28 – Описание комплексного типа «tMSC_GRBS4»</w:t>
        </w:r>
        <w:r>
          <w:rPr>
            <w:noProof/>
            <w:webHidden/>
          </w:rPr>
          <w:tab/>
        </w:r>
        <w:r>
          <w:rPr>
            <w:noProof/>
            <w:webHidden/>
          </w:rPr>
          <w:fldChar w:fldCharType="begin"/>
        </w:r>
        <w:r>
          <w:rPr>
            <w:noProof/>
            <w:webHidden/>
          </w:rPr>
          <w:instrText xml:space="preserve"> PAGEREF _Toc219309058 \h </w:instrText>
        </w:r>
        <w:r>
          <w:rPr>
            <w:noProof/>
            <w:webHidden/>
          </w:rPr>
        </w:r>
        <w:r>
          <w:rPr>
            <w:noProof/>
            <w:webHidden/>
          </w:rPr>
          <w:fldChar w:fldCharType="separate"/>
        </w:r>
        <w:r>
          <w:rPr>
            <w:noProof/>
            <w:webHidden/>
          </w:rPr>
          <w:t>77</w:t>
        </w:r>
        <w:r>
          <w:rPr>
            <w:noProof/>
            <w:webHidden/>
          </w:rPr>
          <w:fldChar w:fldCharType="end"/>
        </w:r>
      </w:hyperlink>
    </w:p>
    <w:p w14:paraId="4FCCBE92"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59"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29 – Описание комплексного типа «tMSC_OrFK»</w:t>
        </w:r>
        <w:r>
          <w:rPr>
            <w:noProof/>
            <w:webHidden/>
          </w:rPr>
          <w:tab/>
        </w:r>
        <w:r>
          <w:rPr>
            <w:noProof/>
            <w:webHidden/>
          </w:rPr>
          <w:fldChar w:fldCharType="begin"/>
        </w:r>
        <w:r>
          <w:rPr>
            <w:noProof/>
            <w:webHidden/>
          </w:rPr>
          <w:instrText xml:space="preserve"> PAGEREF _Toc219309059 \h </w:instrText>
        </w:r>
        <w:r>
          <w:rPr>
            <w:noProof/>
            <w:webHidden/>
          </w:rPr>
        </w:r>
        <w:r>
          <w:rPr>
            <w:noProof/>
            <w:webHidden/>
          </w:rPr>
          <w:fldChar w:fldCharType="separate"/>
        </w:r>
        <w:r>
          <w:rPr>
            <w:noProof/>
            <w:webHidden/>
          </w:rPr>
          <w:t>78</w:t>
        </w:r>
        <w:r>
          <w:rPr>
            <w:noProof/>
            <w:webHidden/>
          </w:rPr>
          <w:fldChar w:fldCharType="end"/>
        </w:r>
      </w:hyperlink>
    </w:p>
    <w:p w14:paraId="7CB7BDCD"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60"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30 – Описание комплексного типа «tMSC_FnclInst2»</w:t>
        </w:r>
        <w:r>
          <w:rPr>
            <w:noProof/>
            <w:webHidden/>
          </w:rPr>
          <w:tab/>
        </w:r>
        <w:r>
          <w:rPr>
            <w:noProof/>
            <w:webHidden/>
          </w:rPr>
          <w:fldChar w:fldCharType="begin"/>
        </w:r>
        <w:r>
          <w:rPr>
            <w:noProof/>
            <w:webHidden/>
          </w:rPr>
          <w:instrText xml:space="preserve"> PAGEREF _Toc219309060 \h </w:instrText>
        </w:r>
        <w:r>
          <w:rPr>
            <w:noProof/>
            <w:webHidden/>
          </w:rPr>
        </w:r>
        <w:r>
          <w:rPr>
            <w:noProof/>
            <w:webHidden/>
          </w:rPr>
          <w:fldChar w:fldCharType="separate"/>
        </w:r>
        <w:r>
          <w:rPr>
            <w:noProof/>
            <w:webHidden/>
          </w:rPr>
          <w:t>78</w:t>
        </w:r>
        <w:r>
          <w:rPr>
            <w:noProof/>
            <w:webHidden/>
          </w:rPr>
          <w:fldChar w:fldCharType="end"/>
        </w:r>
      </w:hyperlink>
    </w:p>
    <w:p w14:paraId="2FF96EB7"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61"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31 – Описание комплексного типа «tMSC_Hd»</w:t>
        </w:r>
        <w:r>
          <w:rPr>
            <w:noProof/>
            <w:webHidden/>
          </w:rPr>
          <w:tab/>
        </w:r>
        <w:r>
          <w:rPr>
            <w:noProof/>
            <w:webHidden/>
          </w:rPr>
          <w:fldChar w:fldCharType="begin"/>
        </w:r>
        <w:r>
          <w:rPr>
            <w:noProof/>
            <w:webHidden/>
          </w:rPr>
          <w:instrText xml:space="preserve"> PAGEREF _Toc219309061 \h </w:instrText>
        </w:r>
        <w:r>
          <w:rPr>
            <w:noProof/>
            <w:webHidden/>
          </w:rPr>
        </w:r>
        <w:r>
          <w:rPr>
            <w:noProof/>
            <w:webHidden/>
          </w:rPr>
          <w:fldChar w:fldCharType="separate"/>
        </w:r>
        <w:r>
          <w:rPr>
            <w:noProof/>
            <w:webHidden/>
          </w:rPr>
          <w:t>78</w:t>
        </w:r>
        <w:r>
          <w:rPr>
            <w:noProof/>
            <w:webHidden/>
          </w:rPr>
          <w:fldChar w:fldCharType="end"/>
        </w:r>
      </w:hyperlink>
    </w:p>
    <w:p w14:paraId="0F192518"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62"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32 – Описание комплексного типа «tMSC_RspnExctr»</w:t>
        </w:r>
        <w:r>
          <w:rPr>
            <w:noProof/>
            <w:webHidden/>
          </w:rPr>
          <w:tab/>
        </w:r>
        <w:r>
          <w:rPr>
            <w:noProof/>
            <w:webHidden/>
          </w:rPr>
          <w:fldChar w:fldCharType="begin"/>
        </w:r>
        <w:r>
          <w:rPr>
            <w:noProof/>
            <w:webHidden/>
          </w:rPr>
          <w:instrText xml:space="preserve"> PAGEREF _Toc219309062 \h </w:instrText>
        </w:r>
        <w:r>
          <w:rPr>
            <w:noProof/>
            <w:webHidden/>
          </w:rPr>
        </w:r>
        <w:r>
          <w:rPr>
            <w:noProof/>
            <w:webHidden/>
          </w:rPr>
          <w:fldChar w:fldCharType="separate"/>
        </w:r>
        <w:r>
          <w:rPr>
            <w:noProof/>
            <w:webHidden/>
          </w:rPr>
          <w:t>79</w:t>
        </w:r>
        <w:r>
          <w:rPr>
            <w:noProof/>
            <w:webHidden/>
          </w:rPr>
          <w:fldChar w:fldCharType="end"/>
        </w:r>
      </w:hyperlink>
    </w:p>
    <w:p w14:paraId="52B0CF8D"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63"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33 – Описание комплексного типа «tMSC_Infrmtn3»</w:t>
        </w:r>
        <w:r>
          <w:rPr>
            <w:noProof/>
            <w:webHidden/>
          </w:rPr>
          <w:tab/>
        </w:r>
        <w:r>
          <w:rPr>
            <w:noProof/>
            <w:webHidden/>
          </w:rPr>
          <w:fldChar w:fldCharType="begin"/>
        </w:r>
        <w:r>
          <w:rPr>
            <w:noProof/>
            <w:webHidden/>
          </w:rPr>
          <w:instrText xml:space="preserve"> PAGEREF _Toc219309063 \h </w:instrText>
        </w:r>
        <w:r>
          <w:rPr>
            <w:noProof/>
            <w:webHidden/>
          </w:rPr>
        </w:r>
        <w:r>
          <w:rPr>
            <w:noProof/>
            <w:webHidden/>
          </w:rPr>
          <w:fldChar w:fldCharType="separate"/>
        </w:r>
        <w:r>
          <w:rPr>
            <w:noProof/>
            <w:webHidden/>
          </w:rPr>
          <w:t>79</w:t>
        </w:r>
        <w:r>
          <w:rPr>
            <w:noProof/>
            <w:webHidden/>
          </w:rPr>
          <w:fldChar w:fldCharType="end"/>
        </w:r>
      </w:hyperlink>
    </w:p>
    <w:p w14:paraId="64173926"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64"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34 – Описание комплексного типа «tMSC_SpclInst»</w:t>
        </w:r>
        <w:r>
          <w:rPr>
            <w:noProof/>
            <w:webHidden/>
          </w:rPr>
          <w:tab/>
        </w:r>
        <w:r>
          <w:rPr>
            <w:noProof/>
            <w:webHidden/>
          </w:rPr>
          <w:fldChar w:fldCharType="begin"/>
        </w:r>
        <w:r>
          <w:rPr>
            <w:noProof/>
            <w:webHidden/>
          </w:rPr>
          <w:instrText xml:space="preserve"> PAGEREF _Toc219309064 \h </w:instrText>
        </w:r>
        <w:r>
          <w:rPr>
            <w:noProof/>
            <w:webHidden/>
          </w:rPr>
        </w:r>
        <w:r>
          <w:rPr>
            <w:noProof/>
            <w:webHidden/>
          </w:rPr>
          <w:fldChar w:fldCharType="separate"/>
        </w:r>
        <w:r>
          <w:rPr>
            <w:noProof/>
            <w:webHidden/>
          </w:rPr>
          <w:t>80</w:t>
        </w:r>
        <w:r>
          <w:rPr>
            <w:noProof/>
            <w:webHidden/>
          </w:rPr>
          <w:fldChar w:fldCharType="end"/>
        </w:r>
      </w:hyperlink>
    </w:p>
    <w:p w14:paraId="69F85A58"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65"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35 – Описание комплексного типа «tMSC_Amount»</w:t>
        </w:r>
        <w:r>
          <w:rPr>
            <w:noProof/>
            <w:webHidden/>
          </w:rPr>
          <w:tab/>
        </w:r>
        <w:r>
          <w:rPr>
            <w:noProof/>
            <w:webHidden/>
          </w:rPr>
          <w:fldChar w:fldCharType="begin"/>
        </w:r>
        <w:r>
          <w:rPr>
            <w:noProof/>
            <w:webHidden/>
          </w:rPr>
          <w:instrText xml:space="preserve"> PAGEREF _Toc219309065 \h </w:instrText>
        </w:r>
        <w:r>
          <w:rPr>
            <w:noProof/>
            <w:webHidden/>
          </w:rPr>
        </w:r>
        <w:r>
          <w:rPr>
            <w:noProof/>
            <w:webHidden/>
          </w:rPr>
          <w:fldChar w:fldCharType="separate"/>
        </w:r>
        <w:r>
          <w:rPr>
            <w:noProof/>
            <w:webHidden/>
          </w:rPr>
          <w:t>80</w:t>
        </w:r>
        <w:r>
          <w:rPr>
            <w:noProof/>
            <w:webHidden/>
          </w:rPr>
          <w:fldChar w:fldCharType="end"/>
        </w:r>
      </w:hyperlink>
    </w:p>
    <w:p w14:paraId="77AEBF40"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66"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36 – Описание комплексного типа «tAPBASTR»</w:t>
        </w:r>
        <w:r>
          <w:rPr>
            <w:noProof/>
            <w:webHidden/>
          </w:rPr>
          <w:tab/>
        </w:r>
        <w:r>
          <w:rPr>
            <w:noProof/>
            <w:webHidden/>
          </w:rPr>
          <w:fldChar w:fldCharType="begin"/>
        </w:r>
        <w:r>
          <w:rPr>
            <w:noProof/>
            <w:webHidden/>
          </w:rPr>
          <w:instrText xml:space="preserve"> PAGEREF _Toc219309066 \h </w:instrText>
        </w:r>
        <w:r>
          <w:rPr>
            <w:noProof/>
            <w:webHidden/>
          </w:rPr>
        </w:r>
        <w:r>
          <w:rPr>
            <w:noProof/>
            <w:webHidden/>
          </w:rPr>
          <w:fldChar w:fldCharType="separate"/>
        </w:r>
        <w:r>
          <w:rPr>
            <w:noProof/>
            <w:webHidden/>
          </w:rPr>
          <w:t>80</w:t>
        </w:r>
        <w:r>
          <w:rPr>
            <w:noProof/>
            <w:webHidden/>
          </w:rPr>
          <w:fldChar w:fldCharType="end"/>
        </w:r>
      </w:hyperlink>
    </w:p>
    <w:p w14:paraId="05EBFFED"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67"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37 – Описание комплексного типа «tAPBASTR_ITEM»</w:t>
        </w:r>
        <w:r>
          <w:rPr>
            <w:noProof/>
            <w:webHidden/>
          </w:rPr>
          <w:tab/>
        </w:r>
        <w:r>
          <w:rPr>
            <w:noProof/>
            <w:webHidden/>
          </w:rPr>
          <w:fldChar w:fldCharType="begin"/>
        </w:r>
        <w:r>
          <w:rPr>
            <w:noProof/>
            <w:webHidden/>
          </w:rPr>
          <w:instrText xml:space="preserve"> PAGEREF _Toc219309067 \h </w:instrText>
        </w:r>
        <w:r>
          <w:rPr>
            <w:noProof/>
            <w:webHidden/>
          </w:rPr>
        </w:r>
        <w:r>
          <w:rPr>
            <w:noProof/>
            <w:webHidden/>
          </w:rPr>
          <w:fldChar w:fldCharType="separate"/>
        </w:r>
        <w:r>
          <w:rPr>
            <w:noProof/>
            <w:webHidden/>
          </w:rPr>
          <w:t>81</w:t>
        </w:r>
        <w:r>
          <w:rPr>
            <w:noProof/>
            <w:webHidden/>
          </w:rPr>
          <w:fldChar w:fldCharType="end"/>
        </w:r>
      </w:hyperlink>
    </w:p>
    <w:p w14:paraId="49C5DC5F"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68"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38 – Описание комплексного типа «tAPLBOSTR»</w:t>
        </w:r>
        <w:r>
          <w:rPr>
            <w:noProof/>
            <w:webHidden/>
          </w:rPr>
          <w:tab/>
        </w:r>
        <w:r>
          <w:rPr>
            <w:noProof/>
            <w:webHidden/>
          </w:rPr>
          <w:fldChar w:fldCharType="begin"/>
        </w:r>
        <w:r>
          <w:rPr>
            <w:noProof/>
            <w:webHidden/>
          </w:rPr>
          <w:instrText xml:space="preserve"> PAGEREF _Toc219309068 \h </w:instrText>
        </w:r>
        <w:r>
          <w:rPr>
            <w:noProof/>
            <w:webHidden/>
          </w:rPr>
        </w:r>
        <w:r>
          <w:rPr>
            <w:noProof/>
            <w:webHidden/>
          </w:rPr>
          <w:fldChar w:fldCharType="separate"/>
        </w:r>
        <w:r>
          <w:rPr>
            <w:noProof/>
            <w:webHidden/>
          </w:rPr>
          <w:t>81</w:t>
        </w:r>
        <w:r>
          <w:rPr>
            <w:noProof/>
            <w:webHidden/>
          </w:rPr>
          <w:fldChar w:fldCharType="end"/>
        </w:r>
      </w:hyperlink>
    </w:p>
    <w:p w14:paraId="46A407F8"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69"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39 – Описание комплексного типа «tAPLBOSTR_ITEM»</w:t>
        </w:r>
        <w:r>
          <w:rPr>
            <w:noProof/>
            <w:webHidden/>
          </w:rPr>
          <w:tab/>
        </w:r>
        <w:r>
          <w:rPr>
            <w:noProof/>
            <w:webHidden/>
          </w:rPr>
          <w:fldChar w:fldCharType="begin"/>
        </w:r>
        <w:r>
          <w:rPr>
            <w:noProof/>
            <w:webHidden/>
          </w:rPr>
          <w:instrText xml:space="preserve"> PAGEREF _Toc219309069 \h </w:instrText>
        </w:r>
        <w:r>
          <w:rPr>
            <w:noProof/>
            <w:webHidden/>
          </w:rPr>
        </w:r>
        <w:r>
          <w:rPr>
            <w:noProof/>
            <w:webHidden/>
          </w:rPr>
          <w:fldChar w:fldCharType="separate"/>
        </w:r>
        <w:r>
          <w:rPr>
            <w:noProof/>
            <w:webHidden/>
          </w:rPr>
          <w:t>81</w:t>
        </w:r>
        <w:r>
          <w:rPr>
            <w:noProof/>
            <w:webHidden/>
          </w:rPr>
          <w:fldChar w:fldCharType="end"/>
        </w:r>
      </w:hyperlink>
    </w:p>
    <w:p w14:paraId="1DD29EAC"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70"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40 – Описание комплексного типа «tMSC_KBKAmount»</w:t>
        </w:r>
        <w:r>
          <w:rPr>
            <w:noProof/>
            <w:webHidden/>
          </w:rPr>
          <w:tab/>
        </w:r>
        <w:r>
          <w:rPr>
            <w:noProof/>
            <w:webHidden/>
          </w:rPr>
          <w:fldChar w:fldCharType="begin"/>
        </w:r>
        <w:r>
          <w:rPr>
            <w:noProof/>
            <w:webHidden/>
          </w:rPr>
          <w:instrText xml:space="preserve"> PAGEREF _Toc219309070 \h </w:instrText>
        </w:r>
        <w:r>
          <w:rPr>
            <w:noProof/>
            <w:webHidden/>
          </w:rPr>
        </w:r>
        <w:r>
          <w:rPr>
            <w:noProof/>
            <w:webHidden/>
          </w:rPr>
          <w:fldChar w:fldCharType="separate"/>
        </w:r>
        <w:r>
          <w:rPr>
            <w:noProof/>
            <w:webHidden/>
          </w:rPr>
          <w:t>82</w:t>
        </w:r>
        <w:r>
          <w:rPr>
            <w:noProof/>
            <w:webHidden/>
          </w:rPr>
          <w:fldChar w:fldCharType="end"/>
        </w:r>
      </w:hyperlink>
    </w:p>
    <w:p w14:paraId="341DDD57"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71"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41 – Описание комплексного типа «tAPPOFSTR»</w:t>
        </w:r>
        <w:r>
          <w:rPr>
            <w:noProof/>
            <w:webHidden/>
          </w:rPr>
          <w:tab/>
        </w:r>
        <w:r>
          <w:rPr>
            <w:noProof/>
            <w:webHidden/>
          </w:rPr>
          <w:fldChar w:fldCharType="begin"/>
        </w:r>
        <w:r>
          <w:rPr>
            <w:noProof/>
            <w:webHidden/>
          </w:rPr>
          <w:instrText xml:space="preserve"> PAGEREF _Toc219309071 \h </w:instrText>
        </w:r>
        <w:r>
          <w:rPr>
            <w:noProof/>
            <w:webHidden/>
          </w:rPr>
        </w:r>
        <w:r>
          <w:rPr>
            <w:noProof/>
            <w:webHidden/>
          </w:rPr>
          <w:fldChar w:fldCharType="separate"/>
        </w:r>
        <w:r>
          <w:rPr>
            <w:noProof/>
            <w:webHidden/>
          </w:rPr>
          <w:t>82</w:t>
        </w:r>
        <w:r>
          <w:rPr>
            <w:noProof/>
            <w:webHidden/>
          </w:rPr>
          <w:fldChar w:fldCharType="end"/>
        </w:r>
      </w:hyperlink>
    </w:p>
    <w:p w14:paraId="78C11690"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72"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42 – Описание комплексного типа «tAPPOFSTR_ITEM»</w:t>
        </w:r>
        <w:r>
          <w:rPr>
            <w:noProof/>
            <w:webHidden/>
          </w:rPr>
          <w:tab/>
        </w:r>
        <w:r>
          <w:rPr>
            <w:noProof/>
            <w:webHidden/>
          </w:rPr>
          <w:fldChar w:fldCharType="begin"/>
        </w:r>
        <w:r>
          <w:rPr>
            <w:noProof/>
            <w:webHidden/>
          </w:rPr>
          <w:instrText xml:space="preserve"> PAGEREF _Toc219309072 \h </w:instrText>
        </w:r>
        <w:r>
          <w:rPr>
            <w:noProof/>
            <w:webHidden/>
          </w:rPr>
        </w:r>
        <w:r>
          <w:rPr>
            <w:noProof/>
            <w:webHidden/>
          </w:rPr>
          <w:fldChar w:fldCharType="separate"/>
        </w:r>
        <w:r>
          <w:rPr>
            <w:noProof/>
            <w:webHidden/>
          </w:rPr>
          <w:t>83</w:t>
        </w:r>
        <w:r>
          <w:rPr>
            <w:noProof/>
            <w:webHidden/>
          </w:rPr>
          <w:fldChar w:fldCharType="end"/>
        </w:r>
      </w:hyperlink>
    </w:p>
    <w:p w14:paraId="228B88DA"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73"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43 – Описание комплексного типа «tMSC_KBK»</w:t>
        </w:r>
        <w:r>
          <w:rPr>
            <w:noProof/>
            <w:webHidden/>
          </w:rPr>
          <w:tab/>
        </w:r>
        <w:r>
          <w:rPr>
            <w:noProof/>
            <w:webHidden/>
          </w:rPr>
          <w:fldChar w:fldCharType="begin"/>
        </w:r>
        <w:r>
          <w:rPr>
            <w:noProof/>
            <w:webHidden/>
          </w:rPr>
          <w:instrText xml:space="preserve"> PAGEREF _Toc219309073 \h </w:instrText>
        </w:r>
        <w:r>
          <w:rPr>
            <w:noProof/>
            <w:webHidden/>
          </w:rPr>
        </w:r>
        <w:r>
          <w:rPr>
            <w:noProof/>
            <w:webHidden/>
          </w:rPr>
          <w:fldChar w:fldCharType="separate"/>
        </w:r>
        <w:r>
          <w:rPr>
            <w:noProof/>
            <w:webHidden/>
          </w:rPr>
          <w:t>83</w:t>
        </w:r>
        <w:r>
          <w:rPr>
            <w:noProof/>
            <w:webHidden/>
          </w:rPr>
          <w:fldChar w:fldCharType="end"/>
        </w:r>
      </w:hyperlink>
    </w:p>
    <w:p w14:paraId="5E0DD475"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74" w:history="1">
        <w:r w:rsidRPr="005C56D9">
          <w:rPr>
            <w:rStyle w:val="af7"/>
            <w:noProof/>
            <w:highlight w:val="green"/>
          </w:rPr>
          <w:t>Таблица </w:t>
        </w:r>
        <w:r>
          <w:rPr>
            <w:rFonts w:asciiTheme="minorHAnsi" w:eastAsiaTheme="minorEastAsia" w:hAnsiTheme="minorHAnsi" w:cstheme="minorBidi"/>
            <w:noProof/>
            <w:sz w:val="22"/>
            <w:szCs w:val="22"/>
          </w:rPr>
          <w:tab/>
        </w:r>
        <w:r w:rsidRPr="005C56D9">
          <w:rPr>
            <w:rStyle w:val="af7"/>
            <w:noProof/>
            <w:highlight w:val="green"/>
          </w:rPr>
          <w:t>44 – Описание комплексного типа «tMSC_ScrcSgnComplex2»</w:t>
        </w:r>
        <w:r>
          <w:rPr>
            <w:noProof/>
            <w:webHidden/>
          </w:rPr>
          <w:tab/>
        </w:r>
        <w:r>
          <w:rPr>
            <w:noProof/>
            <w:webHidden/>
          </w:rPr>
          <w:fldChar w:fldCharType="begin"/>
        </w:r>
        <w:r>
          <w:rPr>
            <w:noProof/>
            <w:webHidden/>
          </w:rPr>
          <w:instrText xml:space="preserve"> PAGEREF _Toc219309074 \h </w:instrText>
        </w:r>
        <w:r>
          <w:rPr>
            <w:noProof/>
            <w:webHidden/>
          </w:rPr>
        </w:r>
        <w:r>
          <w:rPr>
            <w:noProof/>
            <w:webHidden/>
          </w:rPr>
          <w:fldChar w:fldCharType="separate"/>
        </w:r>
        <w:r>
          <w:rPr>
            <w:noProof/>
            <w:webHidden/>
          </w:rPr>
          <w:t>83</w:t>
        </w:r>
        <w:r>
          <w:rPr>
            <w:noProof/>
            <w:webHidden/>
          </w:rPr>
          <w:fldChar w:fldCharType="end"/>
        </w:r>
      </w:hyperlink>
    </w:p>
    <w:p w14:paraId="539C6E5C"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75"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45 – Описание комплексного типа «tDocSrcComplex</w:t>
        </w:r>
        <w:r w:rsidRPr="005C56D9">
          <w:rPr>
            <w:rStyle w:val="af7"/>
            <w:noProof/>
            <w:lang w:val="en-US"/>
          </w:rPr>
          <w:t>1</w:t>
        </w:r>
        <w:r w:rsidRPr="005C56D9">
          <w:rPr>
            <w:rStyle w:val="af7"/>
            <w:noProof/>
          </w:rPr>
          <w:t>»</w:t>
        </w:r>
        <w:r>
          <w:rPr>
            <w:noProof/>
            <w:webHidden/>
          </w:rPr>
          <w:tab/>
        </w:r>
        <w:r>
          <w:rPr>
            <w:noProof/>
            <w:webHidden/>
          </w:rPr>
          <w:fldChar w:fldCharType="begin"/>
        </w:r>
        <w:r>
          <w:rPr>
            <w:noProof/>
            <w:webHidden/>
          </w:rPr>
          <w:instrText xml:space="preserve"> PAGEREF _Toc219309075 \h </w:instrText>
        </w:r>
        <w:r>
          <w:rPr>
            <w:noProof/>
            <w:webHidden/>
          </w:rPr>
        </w:r>
        <w:r>
          <w:rPr>
            <w:noProof/>
            <w:webHidden/>
          </w:rPr>
          <w:fldChar w:fldCharType="separate"/>
        </w:r>
        <w:r>
          <w:rPr>
            <w:noProof/>
            <w:webHidden/>
          </w:rPr>
          <w:t>84</w:t>
        </w:r>
        <w:r>
          <w:rPr>
            <w:noProof/>
            <w:webHidden/>
          </w:rPr>
          <w:fldChar w:fldCharType="end"/>
        </w:r>
      </w:hyperlink>
    </w:p>
    <w:p w14:paraId="3342A1CE"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76"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46 – Описание комплексного типа «tExtrAttrbDt»</w:t>
        </w:r>
        <w:r>
          <w:rPr>
            <w:noProof/>
            <w:webHidden/>
          </w:rPr>
          <w:tab/>
        </w:r>
        <w:r>
          <w:rPr>
            <w:noProof/>
            <w:webHidden/>
          </w:rPr>
          <w:fldChar w:fldCharType="begin"/>
        </w:r>
        <w:r>
          <w:rPr>
            <w:noProof/>
            <w:webHidden/>
          </w:rPr>
          <w:instrText xml:space="preserve"> PAGEREF _Toc219309076 \h </w:instrText>
        </w:r>
        <w:r>
          <w:rPr>
            <w:noProof/>
            <w:webHidden/>
          </w:rPr>
        </w:r>
        <w:r>
          <w:rPr>
            <w:noProof/>
            <w:webHidden/>
          </w:rPr>
          <w:fldChar w:fldCharType="separate"/>
        </w:r>
        <w:r>
          <w:rPr>
            <w:noProof/>
            <w:webHidden/>
          </w:rPr>
          <w:t>84</w:t>
        </w:r>
        <w:r>
          <w:rPr>
            <w:noProof/>
            <w:webHidden/>
          </w:rPr>
          <w:fldChar w:fldCharType="end"/>
        </w:r>
      </w:hyperlink>
    </w:p>
    <w:p w14:paraId="1E462245"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77" w:history="1">
        <w:r w:rsidRPr="005C56D9">
          <w:rPr>
            <w:rStyle w:val="af7"/>
            <w:noProof/>
            <w:highlight w:val="green"/>
          </w:rPr>
          <w:t>Таблица </w:t>
        </w:r>
        <w:r>
          <w:rPr>
            <w:rFonts w:asciiTheme="minorHAnsi" w:eastAsiaTheme="minorEastAsia" w:hAnsiTheme="minorHAnsi" w:cstheme="minorBidi"/>
            <w:noProof/>
            <w:sz w:val="22"/>
            <w:szCs w:val="22"/>
          </w:rPr>
          <w:tab/>
        </w:r>
        <w:r w:rsidRPr="005C56D9">
          <w:rPr>
            <w:rStyle w:val="af7"/>
            <w:noProof/>
            <w:highlight w:val="green"/>
          </w:rPr>
          <w:t>47</w:t>
        </w:r>
        <w:r w:rsidRPr="005C56D9">
          <w:rPr>
            <w:rStyle w:val="af7"/>
            <w:rFonts w:eastAsia="Calibri"/>
            <w:noProof/>
            <w:highlight w:val="green"/>
          </w:rPr>
          <w:t xml:space="preserve"> – </w:t>
        </w:r>
        <w:r w:rsidRPr="005C56D9">
          <w:rPr>
            <w:rStyle w:val="af7"/>
            <w:noProof/>
            <w:highlight w:val="green"/>
          </w:rPr>
          <w:t>Маршрут документа «Заявка на кассовый расход» (ф. 0531801)</w:t>
        </w:r>
        <w:r>
          <w:rPr>
            <w:noProof/>
            <w:webHidden/>
          </w:rPr>
          <w:tab/>
        </w:r>
        <w:r>
          <w:rPr>
            <w:noProof/>
            <w:webHidden/>
          </w:rPr>
          <w:fldChar w:fldCharType="begin"/>
        </w:r>
        <w:r>
          <w:rPr>
            <w:noProof/>
            <w:webHidden/>
          </w:rPr>
          <w:instrText xml:space="preserve"> PAGEREF _Toc219309077 \h </w:instrText>
        </w:r>
        <w:r>
          <w:rPr>
            <w:noProof/>
            <w:webHidden/>
          </w:rPr>
        </w:r>
        <w:r>
          <w:rPr>
            <w:noProof/>
            <w:webHidden/>
          </w:rPr>
          <w:fldChar w:fldCharType="separate"/>
        </w:r>
        <w:r>
          <w:rPr>
            <w:noProof/>
            <w:webHidden/>
          </w:rPr>
          <w:t>92</w:t>
        </w:r>
        <w:r>
          <w:rPr>
            <w:noProof/>
            <w:webHidden/>
          </w:rPr>
          <w:fldChar w:fldCharType="end"/>
        </w:r>
      </w:hyperlink>
    </w:p>
    <w:p w14:paraId="039D8105"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78"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48</w:t>
        </w:r>
        <w:r w:rsidRPr="005C56D9">
          <w:rPr>
            <w:rStyle w:val="af7"/>
            <w:rFonts w:eastAsia="Calibri"/>
            <w:noProof/>
          </w:rPr>
          <w:t xml:space="preserve"> – </w:t>
        </w:r>
        <w:r w:rsidRPr="005C56D9">
          <w:rPr>
            <w:rStyle w:val="af7"/>
            <w:noProof/>
          </w:rPr>
          <w:t>Описание комплексного типа «tMSC_ApplCashFlow»</w:t>
        </w:r>
        <w:r>
          <w:rPr>
            <w:noProof/>
            <w:webHidden/>
          </w:rPr>
          <w:tab/>
        </w:r>
        <w:r>
          <w:rPr>
            <w:noProof/>
            <w:webHidden/>
          </w:rPr>
          <w:fldChar w:fldCharType="begin"/>
        </w:r>
        <w:r>
          <w:rPr>
            <w:noProof/>
            <w:webHidden/>
          </w:rPr>
          <w:instrText xml:space="preserve"> PAGEREF _Toc219309078 \h </w:instrText>
        </w:r>
        <w:r>
          <w:rPr>
            <w:noProof/>
            <w:webHidden/>
          </w:rPr>
        </w:r>
        <w:r>
          <w:rPr>
            <w:noProof/>
            <w:webHidden/>
          </w:rPr>
          <w:fldChar w:fldCharType="separate"/>
        </w:r>
        <w:r>
          <w:rPr>
            <w:noProof/>
            <w:webHidden/>
          </w:rPr>
          <w:t>93</w:t>
        </w:r>
        <w:r>
          <w:rPr>
            <w:noProof/>
            <w:webHidden/>
          </w:rPr>
          <w:fldChar w:fldCharType="end"/>
        </w:r>
      </w:hyperlink>
    </w:p>
    <w:p w14:paraId="4C6B4906"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79"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49</w:t>
        </w:r>
        <w:r w:rsidRPr="005C56D9">
          <w:rPr>
            <w:rStyle w:val="af7"/>
            <w:rFonts w:eastAsia="Calibri"/>
            <w:noProof/>
          </w:rPr>
          <w:t xml:space="preserve"> –</w:t>
        </w:r>
        <w:r w:rsidRPr="005C56D9">
          <w:rPr>
            <w:rStyle w:val="af7"/>
            <w:noProof/>
          </w:rPr>
          <w:t xml:space="preserve"> Описание комплексного типа «tMSC_Cstmr5»</w:t>
        </w:r>
        <w:r>
          <w:rPr>
            <w:noProof/>
            <w:webHidden/>
          </w:rPr>
          <w:tab/>
        </w:r>
        <w:r>
          <w:rPr>
            <w:noProof/>
            <w:webHidden/>
          </w:rPr>
          <w:fldChar w:fldCharType="begin"/>
        </w:r>
        <w:r>
          <w:rPr>
            <w:noProof/>
            <w:webHidden/>
          </w:rPr>
          <w:instrText xml:space="preserve"> PAGEREF _Toc219309079 \h </w:instrText>
        </w:r>
        <w:r>
          <w:rPr>
            <w:noProof/>
            <w:webHidden/>
          </w:rPr>
        </w:r>
        <w:r>
          <w:rPr>
            <w:noProof/>
            <w:webHidden/>
          </w:rPr>
          <w:fldChar w:fldCharType="separate"/>
        </w:r>
        <w:r>
          <w:rPr>
            <w:noProof/>
            <w:webHidden/>
          </w:rPr>
          <w:t>100</w:t>
        </w:r>
        <w:r>
          <w:rPr>
            <w:noProof/>
            <w:webHidden/>
          </w:rPr>
          <w:fldChar w:fldCharType="end"/>
        </w:r>
      </w:hyperlink>
    </w:p>
    <w:p w14:paraId="4ADD4B76"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80"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50</w:t>
        </w:r>
        <w:r w:rsidRPr="005C56D9">
          <w:rPr>
            <w:rStyle w:val="af7"/>
            <w:rFonts w:eastAsia="Calibri"/>
            <w:noProof/>
          </w:rPr>
          <w:t xml:space="preserve"> –</w:t>
        </w:r>
        <w:r w:rsidRPr="005C56D9">
          <w:rPr>
            <w:rStyle w:val="af7"/>
            <w:noProof/>
          </w:rPr>
          <w:t xml:space="preserve"> Описание комплексного типа «tMSC_GRBS»</w:t>
        </w:r>
        <w:r>
          <w:rPr>
            <w:noProof/>
            <w:webHidden/>
          </w:rPr>
          <w:tab/>
        </w:r>
        <w:r>
          <w:rPr>
            <w:noProof/>
            <w:webHidden/>
          </w:rPr>
          <w:fldChar w:fldCharType="begin"/>
        </w:r>
        <w:r>
          <w:rPr>
            <w:noProof/>
            <w:webHidden/>
          </w:rPr>
          <w:instrText xml:space="preserve"> PAGEREF _Toc219309080 \h </w:instrText>
        </w:r>
        <w:r>
          <w:rPr>
            <w:noProof/>
            <w:webHidden/>
          </w:rPr>
        </w:r>
        <w:r>
          <w:rPr>
            <w:noProof/>
            <w:webHidden/>
          </w:rPr>
          <w:fldChar w:fldCharType="separate"/>
        </w:r>
        <w:r>
          <w:rPr>
            <w:noProof/>
            <w:webHidden/>
          </w:rPr>
          <w:t>100</w:t>
        </w:r>
        <w:r>
          <w:rPr>
            <w:noProof/>
            <w:webHidden/>
          </w:rPr>
          <w:fldChar w:fldCharType="end"/>
        </w:r>
      </w:hyperlink>
    </w:p>
    <w:p w14:paraId="26A4D75E"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81"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51</w:t>
        </w:r>
        <w:r w:rsidRPr="005C56D9">
          <w:rPr>
            <w:rStyle w:val="af7"/>
            <w:rFonts w:eastAsia="Calibri"/>
            <w:noProof/>
          </w:rPr>
          <w:t xml:space="preserve"> –</w:t>
        </w:r>
        <w:r w:rsidRPr="005C56D9">
          <w:rPr>
            <w:rStyle w:val="af7"/>
            <w:noProof/>
          </w:rPr>
          <w:t xml:space="preserve"> Описание комплексного типа «tMSC_Orgnztn»</w:t>
        </w:r>
        <w:r>
          <w:rPr>
            <w:noProof/>
            <w:webHidden/>
          </w:rPr>
          <w:tab/>
        </w:r>
        <w:r>
          <w:rPr>
            <w:noProof/>
            <w:webHidden/>
          </w:rPr>
          <w:fldChar w:fldCharType="begin"/>
        </w:r>
        <w:r>
          <w:rPr>
            <w:noProof/>
            <w:webHidden/>
          </w:rPr>
          <w:instrText xml:space="preserve"> PAGEREF _Toc219309081 \h </w:instrText>
        </w:r>
        <w:r>
          <w:rPr>
            <w:noProof/>
            <w:webHidden/>
          </w:rPr>
        </w:r>
        <w:r>
          <w:rPr>
            <w:noProof/>
            <w:webHidden/>
          </w:rPr>
          <w:fldChar w:fldCharType="separate"/>
        </w:r>
        <w:r>
          <w:rPr>
            <w:noProof/>
            <w:webHidden/>
          </w:rPr>
          <w:t>101</w:t>
        </w:r>
        <w:r>
          <w:rPr>
            <w:noProof/>
            <w:webHidden/>
          </w:rPr>
          <w:fldChar w:fldCharType="end"/>
        </w:r>
      </w:hyperlink>
    </w:p>
    <w:p w14:paraId="1CE70166"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82"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52</w:t>
        </w:r>
        <w:r w:rsidRPr="005C56D9">
          <w:rPr>
            <w:rStyle w:val="af7"/>
            <w:rFonts w:eastAsia="Calibri"/>
            <w:noProof/>
          </w:rPr>
          <w:t xml:space="preserve"> –</w:t>
        </w:r>
        <w:r w:rsidRPr="005C56D9">
          <w:rPr>
            <w:rStyle w:val="af7"/>
            <w:noProof/>
          </w:rPr>
          <w:t xml:space="preserve"> Описание комплексного типа «tMSC_FnclInst»</w:t>
        </w:r>
        <w:r>
          <w:rPr>
            <w:noProof/>
            <w:webHidden/>
          </w:rPr>
          <w:tab/>
        </w:r>
        <w:r>
          <w:rPr>
            <w:noProof/>
            <w:webHidden/>
          </w:rPr>
          <w:fldChar w:fldCharType="begin"/>
        </w:r>
        <w:r>
          <w:rPr>
            <w:noProof/>
            <w:webHidden/>
          </w:rPr>
          <w:instrText xml:space="preserve"> PAGEREF _Toc219309082 \h </w:instrText>
        </w:r>
        <w:r>
          <w:rPr>
            <w:noProof/>
            <w:webHidden/>
          </w:rPr>
        </w:r>
        <w:r>
          <w:rPr>
            <w:noProof/>
            <w:webHidden/>
          </w:rPr>
          <w:fldChar w:fldCharType="separate"/>
        </w:r>
        <w:r>
          <w:rPr>
            <w:noProof/>
            <w:webHidden/>
          </w:rPr>
          <w:t>101</w:t>
        </w:r>
        <w:r>
          <w:rPr>
            <w:noProof/>
            <w:webHidden/>
          </w:rPr>
          <w:fldChar w:fldCharType="end"/>
        </w:r>
      </w:hyperlink>
    </w:p>
    <w:p w14:paraId="652D6E22"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83"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53</w:t>
        </w:r>
        <w:r w:rsidRPr="005C56D9">
          <w:rPr>
            <w:rStyle w:val="af7"/>
            <w:rFonts w:eastAsia="Calibri"/>
            <w:noProof/>
          </w:rPr>
          <w:t xml:space="preserve"> –</w:t>
        </w:r>
        <w:r w:rsidRPr="005C56D9">
          <w:rPr>
            <w:rStyle w:val="af7"/>
            <w:noProof/>
          </w:rPr>
          <w:t xml:space="preserve"> Описание комплексного типа «tMSC_TOFK»</w:t>
        </w:r>
        <w:r>
          <w:rPr>
            <w:noProof/>
            <w:webHidden/>
          </w:rPr>
          <w:tab/>
        </w:r>
        <w:r>
          <w:rPr>
            <w:noProof/>
            <w:webHidden/>
          </w:rPr>
          <w:fldChar w:fldCharType="begin"/>
        </w:r>
        <w:r>
          <w:rPr>
            <w:noProof/>
            <w:webHidden/>
          </w:rPr>
          <w:instrText xml:space="preserve"> PAGEREF _Toc219309083 \h </w:instrText>
        </w:r>
        <w:r>
          <w:rPr>
            <w:noProof/>
            <w:webHidden/>
          </w:rPr>
        </w:r>
        <w:r>
          <w:rPr>
            <w:noProof/>
            <w:webHidden/>
          </w:rPr>
          <w:fldChar w:fldCharType="separate"/>
        </w:r>
        <w:r>
          <w:rPr>
            <w:noProof/>
            <w:webHidden/>
          </w:rPr>
          <w:t>102</w:t>
        </w:r>
        <w:r>
          <w:rPr>
            <w:noProof/>
            <w:webHidden/>
          </w:rPr>
          <w:fldChar w:fldCharType="end"/>
        </w:r>
      </w:hyperlink>
    </w:p>
    <w:p w14:paraId="1AE70484"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84"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54</w:t>
        </w:r>
        <w:r w:rsidRPr="005C56D9">
          <w:rPr>
            <w:rStyle w:val="af7"/>
            <w:rFonts w:eastAsia="Calibri"/>
            <w:noProof/>
          </w:rPr>
          <w:t xml:space="preserve"> –</w:t>
        </w:r>
        <w:r w:rsidRPr="005C56D9">
          <w:rPr>
            <w:rStyle w:val="af7"/>
            <w:noProof/>
          </w:rPr>
          <w:t xml:space="preserve"> Описание комплексного типа «tMSC_PrtExctn»</w:t>
        </w:r>
        <w:r>
          <w:rPr>
            <w:noProof/>
            <w:webHidden/>
          </w:rPr>
          <w:tab/>
        </w:r>
        <w:r>
          <w:rPr>
            <w:noProof/>
            <w:webHidden/>
          </w:rPr>
          <w:fldChar w:fldCharType="begin"/>
        </w:r>
        <w:r>
          <w:rPr>
            <w:noProof/>
            <w:webHidden/>
          </w:rPr>
          <w:instrText xml:space="preserve"> PAGEREF _Toc219309084 \h </w:instrText>
        </w:r>
        <w:r>
          <w:rPr>
            <w:noProof/>
            <w:webHidden/>
          </w:rPr>
        </w:r>
        <w:r>
          <w:rPr>
            <w:noProof/>
            <w:webHidden/>
          </w:rPr>
          <w:fldChar w:fldCharType="separate"/>
        </w:r>
        <w:r>
          <w:rPr>
            <w:noProof/>
            <w:webHidden/>
          </w:rPr>
          <w:t>102</w:t>
        </w:r>
        <w:r>
          <w:rPr>
            <w:noProof/>
            <w:webHidden/>
          </w:rPr>
          <w:fldChar w:fldCharType="end"/>
        </w:r>
      </w:hyperlink>
    </w:p>
    <w:p w14:paraId="2BA50097"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85"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55</w:t>
        </w:r>
        <w:r w:rsidRPr="005C56D9">
          <w:rPr>
            <w:rStyle w:val="af7"/>
            <w:rFonts w:eastAsia="Calibri"/>
            <w:noProof/>
          </w:rPr>
          <w:t xml:space="preserve"> –</w:t>
        </w:r>
        <w:r w:rsidRPr="005C56D9">
          <w:rPr>
            <w:rStyle w:val="af7"/>
            <w:noProof/>
          </w:rPr>
          <w:t xml:space="preserve"> Описание комплексного типа «tMSC_Pmnt1»</w:t>
        </w:r>
        <w:r>
          <w:rPr>
            <w:noProof/>
            <w:webHidden/>
          </w:rPr>
          <w:tab/>
        </w:r>
        <w:r>
          <w:rPr>
            <w:noProof/>
            <w:webHidden/>
          </w:rPr>
          <w:fldChar w:fldCharType="begin"/>
        </w:r>
        <w:r>
          <w:rPr>
            <w:noProof/>
            <w:webHidden/>
          </w:rPr>
          <w:instrText xml:space="preserve"> PAGEREF _Toc219309085 \h </w:instrText>
        </w:r>
        <w:r>
          <w:rPr>
            <w:noProof/>
            <w:webHidden/>
          </w:rPr>
        </w:r>
        <w:r>
          <w:rPr>
            <w:noProof/>
            <w:webHidden/>
          </w:rPr>
          <w:fldChar w:fldCharType="separate"/>
        </w:r>
        <w:r>
          <w:rPr>
            <w:noProof/>
            <w:webHidden/>
          </w:rPr>
          <w:t>102</w:t>
        </w:r>
        <w:r>
          <w:rPr>
            <w:noProof/>
            <w:webHidden/>
          </w:rPr>
          <w:fldChar w:fldCharType="end"/>
        </w:r>
      </w:hyperlink>
    </w:p>
    <w:p w14:paraId="74146304"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86"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56</w:t>
        </w:r>
        <w:r w:rsidRPr="005C56D9">
          <w:rPr>
            <w:rStyle w:val="af7"/>
            <w:rFonts w:eastAsia="Calibri"/>
            <w:noProof/>
          </w:rPr>
          <w:t xml:space="preserve"> –</w:t>
        </w:r>
        <w:r w:rsidRPr="005C56D9">
          <w:rPr>
            <w:rStyle w:val="af7"/>
            <w:noProof/>
          </w:rPr>
          <w:t xml:space="preserve"> Описание комплексного типа «tMSC_AdvnPySgnComplex»</w:t>
        </w:r>
        <w:r>
          <w:rPr>
            <w:noProof/>
            <w:webHidden/>
          </w:rPr>
          <w:tab/>
        </w:r>
        <w:r>
          <w:rPr>
            <w:noProof/>
            <w:webHidden/>
          </w:rPr>
          <w:fldChar w:fldCharType="begin"/>
        </w:r>
        <w:r>
          <w:rPr>
            <w:noProof/>
            <w:webHidden/>
          </w:rPr>
          <w:instrText xml:space="preserve"> PAGEREF _Toc219309086 \h </w:instrText>
        </w:r>
        <w:r>
          <w:rPr>
            <w:noProof/>
            <w:webHidden/>
          </w:rPr>
        </w:r>
        <w:r>
          <w:rPr>
            <w:noProof/>
            <w:webHidden/>
          </w:rPr>
          <w:fldChar w:fldCharType="separate"/>
        </w:r>
        <w:r>
          <w:rPr>
            <w:noProof/>
            <w:webHidden/>
          </w:rPr>
          <w:t>104</w:t>
        </w:r>
        <w:r>
          <w:rPr>
            <w:noProof/>
            <w:webHidden/>
          </w:rPr>
          <w:fldChar w:fldCharType="end"/>
        </w:r>
      </w:hyperlink>
    </w:p>
    <w:p w14:paraId="4D277934"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87"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57</w:t>
        </w:r>
        <w:r w:rsidRPr="005C56D9">
          <w:rPr>
            <w:rStyle w:val="af7"/>
            <w:rFonts w:eastAsia="Calibri"/>
            <w:noProof/>
          </w:rPr>
          <w:t xml:space="preserve"> –</w:t>
        </w:r>
        <w:r w:rsidRPr="005C56D9">
          <w:rPr>
            <w:rStyle w:val="af7"/>
            <w:noProof/>
          </w:rPr>
          <w:t xml:space="preserve"> Описание комплексного типа «tMSC_ShrtPyKndComplex»</w:t>
        </w:r>
        <w:r>
          <w:rPr>
            <w:noProof/>
            <w:webHidden/>
          </w:rPr>
          <w:tab/>
        </w:r>
        <w:r>
          <w:rPr>
            <w:noProof/>
            <w:webHidden/>
          </w:rPr>
          <w:fldChar w:fldCharType="begin"/>
        </w:r>
        <w:r>
          <w:rPr>
            <w:noProof/>
            <w:webHidden/>
          </w:rPr>
          <w:instrText xml:space="preserve"> PAGEREF _Toc219309087 \h </w:instrText>
        </w:r>
        <w:r>
          <w:rPr>
            <w:noProof/>
            <w:webHidden/>
          </w:rPr>
        </w:r>
        <w:r>
          <w:rPr>
            <w:noProof/>
            <w:webHidden/>
          </w:rPr>
          <w:fldChar w:fldCharType="separate"/>
        </w:r>
        <w:r>
          <w:rPr>
            <w:noProof/>
            <w:webHidden/>
          </w:rPr>
          <w:t>104</w:t>
        </w:r>
        <w:r>
          <w:rPr>
            <w:noProof/>
            <w:webHidden/>
          </w:rPr>
          <w:fldChar w:fldCharType="end"/>
        </w:r>
      </w:hyperlink>
    </w:p>
    <w:p w14:paraId="7E619754"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88"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58</w:t>
        </w:r>
        <w:r w:rsidRPr="005C56D9">
          <w:rPr>
            <w:rStyle w:val="af7"/>
            <w:rFonts w:eastAsia="Calibri"/>
            <w:noProof/>
          </w:rPr>
          <w:t xml:space="preserve"> –</w:t>
        </w:r>
        <w:r w:rsidRPr="005C56D9">
          <w:rPr>
            <w:rStyle w:val="af7"/>
            <w:noProof/>
          </w:rPr>
          <w:t xml:space="preserve"> Описание комплексного типа «tMSC_Cntrctr»</w:t>
        </w:r>
        <w:r>
          <w:rPr>
            <w:noProof/>
            <w:webHidden/>
          </w:rPr>
          <w:tab/>
        </w:r>
        <w:r>
          <w:rPr>
            <w:noProof/>
            <w:webHidden/>
          </w:rPr>
          <w:fldChar w:fldCharType="begin"/>
        </w:r>
        <w:r>
          <w:rPr>
            <w:noProof/>
            <w:webHidden/>
          </w:rPr>
          <w:instrText xml:space="preserve"> PAGEREF _Toc219309088 \h </w:instrText>
        </w:r>
        <w:r>
          <w:rPr>
            <w:noProof/>
            <w:webHidden/>
          </w:rPr>
        </w:r>
        <w:r>
          <w:rPr>
            <w:noProof/>
            <w:webHidden/>
          </w:rPr>
          <w:fldChar w:fldCharType="separate"/>
        </w:r>
        <w:r>
          <w:rPr>
            <w:noProof/>
            <w:webHidden/>
          </w:rPr>
          <w:t>104</w:t>
        </w:r>
        <w:r>
          <w:rPr>
            <w:noProof/>
            <w:webHidden/>
          </w:rPr>
          <w:fldChar w:fldCharType="end"/>
        </w:r>
      </w:hyperlink>
    </w:p>
    <w:p w14:paraId="00F770C0"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89"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59</w:t>
        </w:r>
        <w:r w:rsidRPr="005C56D9">
          <w:rPr>
            <w:rStyle w:val="af7"/>
            <w:rFonts w:eastAsia="Calibri"/>
            <w:noProof/>
          </w:rPr>
          <w:t xml:space="preserve"> –</w:t>
        </w:r>
        <w:r w:rsidRPr="005C56D9">
          <w:rPr>
            <w:rStyle w:val="af7"/>
            <w:noProof/>
          </w:rPr>
          <w:t xml:space="preserve"> Описание комплексного типа «tMSC_Bnk»</w:t>
        </w:r>
        <w:r>
          <w:rPr>
            <w:noProof/>
            <w:webHidden/>
          </w:rPr>
          <w:tab/>
        </w:r>
        <w:r>
          <w:rPr>
            <w:noProof/>
            <w:webHidden/>
          </w:rPr>
          <w:fldChar w:fldCharType="begin"/>
        </w:r>
        <w:r>
          <w:rPr>
            <w:noProof/>
            <w:webHidden/>
          </w:rPr>
          <w:instrText xml:space="preserve"> PAGEREF _Toc219309089 \h </w:instrText>
        </w:r>
        <w:r>
          <w:rPr>
            <w:noProof/>
            <w:webHidden/>
          </w:rPr>
        </w:r>
        <w:r>
          <w:rPr>
            <w:noProof/>
            <w:webHidden/>
          </w:rPr>
          <w:fldChar w:fldCharType="separate"/>
        </w:r>
        <w:r>
          <w:rPr>
            <w:noProof/>
            <w:webHidden/>
          </w:rPr>
          <w:t>106</w:t>
        </w:r>
        <w:r>
          <w:rPr>
            <w:noProof/>
            <w:webHidden/>
          </w:rPr>
          <w:fldChar w:fldCharType="end"/>
        </w:r>
      </w:hyperlink>
    </w:p>
    <w:p w14:paraId="2FAD1359"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90"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60</w:t>
        </w:r>
        <w:r w:rsidRPr="005C56D9">
          <w:rPr>
            <w:rStyle w:val="af7"/>
            <w:rFonts w:eastAsia="Calibri"/>
            <w:noProof/>
          </w:rPr>
          <w:t xml:space="preserve"> –</w:t>
        </w:r>
        <w:r w:rsidRPr="005C56D9">
          <w:rPr>
            <w:rStyle w:val="af7"/>
            <w:noProof/>
          </w:rPr>
          <w:t xml:space="preserve"> Описание комплексного типа «tSGNNmPs»</w:t>
        </w:r>
        <w:r>
          <w:rPr>
            <w:noProof/>
            <w:webHidden/>
          </w:rPr>
          <w:tab/>
        </w:r>
        <w:r>
          <w:rPr>
            <w:noProof/>
            <w:webHidden/>
          </w:rPr>
          <w:fldChar w:fldCharType="begin"/>
        </w:r>
        <w:r>
          <w:rPr>
            <w:noProof/>
            <w:webHidden/>
          </w:rPr>
          <w:instrText xml:space="preserve"> PAGEREF _Toc219309090 \h </w:instrText>
        </w:r>
        <w:r>
          <w:rPr>
            <w:noProof/>
            <w:webHidden/>
          </w:rPr>
        </w:r>
        <w:r>
          <w:rPr>
            <w:noProof/>
            <w:webHidden/>
          </w:rPr>
          <w:fldChar w:fldCharType="separate"/>
        </w:r>
        <w:r>
          <w:rPr>
            <w:noProof/>
            <w:webHidden/>
          </w:rPr>
          <w:t>107</w:t>
        </w:r>
        <w:r>
          <w:rPr>
            <w:noProof/>
            <w:webHidden/>
          </w:rPr>
          <w:fldChar w:fldCharType="end"/>
        </w:r>
      </w:hyperlink>
    </w:p>
    <w:p w14:paraId="1DCC0D82"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91"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61</w:t>
        </w:r>
        <w:r w:rsidRPr="005C56D9">
          <w:rPr>
            <w:rStyle w:val="af7"/>
            <w:rFonts w:eastAsia="Calibri"/>
            <w:noProof/>
          </w:rPr>
          <w:t xml:space="preserve"> –</w:t>
        </w:r>
        <w:r w:rsidRPr="005C56D9">
          <w:rPr>
            <w:rStyle w:val="af7"/>
            <w:noProof/>
          </w:rPr>
          <w:t xml:space="preserve"> Описание комплексного типа «tMSC_MrkOrFK»</w:t>
        </w:r>
        <w:r>
          <w:rPr>
            <w:noProof/>
            <w:webHidden/>
          </w:rPr>
          <w:tab/>
        </w:r>
        <w:r>
          <w:rPr>
            <w:noProof/>
            <w:webHidden/>
          </w:rPr>
          <w:fldChar w:fldCharType="begin"/>
        </w:r>
        <w:r>
          <w:rPr>
            <w:noProof/>
            <w:webHidden/>
          </w:rPr>
          <w:instrText xml:space="preserve"> PAGEREF _Toc219309091 \h </w:instrText>
        </w:r>
        <w:r>
          <w:rPr>
            <w:noProof/>
            <w:webHidden/>
          </w:rPr>
        </w:r>
        <w:r>
          <w:rPr>
            <w:noProof/>
            <w:webHidden/>
          </w:rPr>
          <w:fldChar w:fldCharType="separate"/>
        </w:r>
        <w:r>
          <w:rPr>
            <w:noProof/>
            <w:webHidden/>
          </w:rPr>
          <w:t>107</w:t>
        </w:r>
        <w:r>
          <w:rPr>
            <w:noProof/>
            <w:webHidden/>
          </w:rPr>
          <w:fldChar w:fldCharType="end"/>
        </w:r>
      </w:hyperlink>
    </w:p>
    <w:p w14:paraId="382F00D7"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92"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62</w:t>
        </w:r>
        <w:r w:rsidRPr="005C56D9">
          <w:rPr>
            <w:rStyle w:val="af7"/>
            <w:rFonts w:eastAsia="Calibri"/>
            <w:noProof/>
          </w:rPr>
          <w:t xml:space="preserve"> –</w:t>
        </w:r>
        <w:r w:rsidRPr="005C56D9">
          <w:rPr>
            <w:rStyle w:val="af7"/>
            <w:noProof/>
          </w:rPr>
          <w:t xml:space="preserve"> Описание комплексного типа «tMSC_Infrmtn</w:t>
        </w:r>
        <w:r w:rsidRPr="005C56D9">
          <w:rPr>
            <w:rStyle w:val="af7"/>
            <w:noProof/>
            <w:lang w:val="en-US"/>
          </w:rPr>
          <w:t>ZKR</w:t>
        </w:r>
        <w:r w:rsidRPr="005C56D9">
          <w:rPr>
            <w:rStyle w:val="af7"/>
            <w:noProof/>
          </w:rPr>
          <w:t>»</w:t>
        </w:r>
        <w:r>
          <w:rPr>
            <w:noProof/>
            <w:webHidden/>
          </w:rPr>
          <w:tab/>
        </w:r>
        <w:r>
          <w:rPr>
            <w:noProof/>
            <w:webHidden/>
          </w:rPr>
          <w:fldChar w:fldCharType="begin"/>
        </w:r>
        <w:r>
          <w:rPr>
            <w:noProof/>
            <w:webHidden/>
          </w:rPr>
          <w:instrText xml:space="preserve"> PAGEREF _Toc219309092 \h </w:instrText>
        </w:r>
        <w:r>
          <w:rPr>
            <w:noProof/>
            <w:webHidden/>
          </w:rPr>
        </w:r>
        <w:r>
          <w:rPr>
            <w:noProof/>
            <w:webHidden/>
          </w:rPr>
          <w:fldChar w:fldCharType="separate"/>
        </w:r>
        <w:r>
          <w:rPr>
            <w:noProof/>
            <w:webHidden/>
          </w:rPr>
          <w:t>108</w:t>
        </w:r>
        <w:r>
          <w:rPr>
            <w:noProof/>
            <w:webHidden/>
          </w:rPr>
          <w:fldChar w:fldCharType="end"/>
        </w:r>
      </w:hyperlink>
    </w:p>
    <w:p w14:paraId="7E401AAC"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93"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63</w:t>
        </w:r>
        <w:r w:rsidRPr="005C56D9">
          <w:rPr>
            <w:rStyle w:val="af7"/>
            <w:rFonts w:eastAsia="Calibri"/>
            <w:noProof/>
          </w:rPr>
          <w:t xml:space="preserve"> –</w:t>
        </w:r>
        <w:r w:rsidRPr="005C56D9">
          <w:rPr>
            <w:rStyle w:val="af7"/>
            <w:noProof/>
          </w:rPr>
          <w:t xml:space="preserve"> Описание комплексного типа «tZROSN»</w:t>
        </w:r>
        <w:r>
          <w:rPr>
            <w:noProof/>
            <w:webHidden/>
          </w:rPr>
          <w:tab/>
        </w:r>
        <w:r>
          <w:rPr>
            <w:noProof/>
            <w:webHidden/>
          </w:rPr>
          <w:fldChar w:fldCharType="begin"/>
        </w:r>
        <w:r>
          <w:rPr>
            <w:noProof/>
            <w:webHidden/>
          </w:rPr>
          <w:instrText xml:space="preserve"> PAGEREF _Toc219309093 \h </w:instrText>
        </w:r>
        <w:r>
          <w:rPr>
            <w:noProof/>
            <w:webHidden/>
          </w:rPr>
        </w:r>
        <w:r>
          <w:rPr>
            <w:noProof/>
            <w:webHidden/>
          </w:rPr>
          <w:fldChar w:fldCharType="separate"/>
        </w:r>
        <w:r>
          <w:rPr>
            <w:noProof/>
            <w:webHidden/>
          </w:rPr>
          <w:t>109</w:t>
        </w:r>
        <w:r>
          <w:rPr>
            <w:noProof/>
            <w:webHidden/>
          </w:rPr>
          <w:fldChar w:fldCharType="end"/>
        </w:r>
      </w:hyperlink>
    </w:p>
    <w:p w14:paraId="7C4C237B"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94"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64 – Описание комплексного типа «tZROSN_ITEM»</w:t>
        </w:r>
        <w:r>
          <w:rPr>
            <w:noProof/>
            <w:webHidden/>
          </w:rPr>
          <w:tab/>
        </w:r>
        <w:r>
          <w:rPr>
            <w:noProof/>
            <w:webHidden/>
          </w:rPr>
          <w:fldChar w:fldCharType="begin"/>
        </w:r>
        <w:r>
          <w:rPr>
            <w:noProof/>
            <w:webHidden/>
          </w:rPr>
          <w:instrText xml:space="preserve"> PAGEREF _Toc219309094 \h </w:instrText>
        </w:r>
        <w:r>
          <w:rPr>
            <w:noProof/>
            <w:webHidden/>
          </w:rPr>
        </w:r>
        <w:r>
          <w:rPr>
            <w:noProof/>
            <w:webHidden/>
          </w:rPr>
          <w:fldChar w:fldCharType="separate"/>
        </w:r>
        <w:r>
          <w:rPr>
            <w:noProof/>
            <w:webHidden/>
          </w:rPr>
          <w:t>109</w:t>
        </w:r>
        <w:r>
          <w:rPr>
            <w:noProof/>
            <w:webHidden/>
          </w:rPr>
          <w:fldChar w:fldCharType="end"/>
        </w:r>
      </w:hyperlink>
    </w:p>
    <w:p w14:paraId="0FFA0E36"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95"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65 – Описание комплексного типа «tMSC_DcBs»</w:t>
        </w:r>
        <w:r>
          <w:rPr>
            <w:noProof/>
            <w:webHidden/>
          </w:rPr>
          <w:tab/>
        </w:r>
        <w:r>
          <w:rPr>
            <w:noProof/>
            <w:webHidden/>
          </w:rPr>
          <w:fldChar w:fldCharType="begin"/>
        </w:r>
        <w:r>
          <w:rPr>
            <w:noProof/>
            <w:webHidden/>
          </w:rPr>
          <w:instrText xml:space="preserve"> PAGEREF _Toc219309095 \h </w:instrText>
        </w:r>
        <w:r>
          <w:rPr>
            <w:noProof/>
            <w:webHidden/>
          </w:rPr>
        </w:r>
        <w:r>
          <w:rPr>
            <w:noProof/>
            <w:webHidden/>
          </w:rPr>
          <w:fldChar w:fldCharType="separate"/>
        </w:r>
        <w:r>
          <w:rPr>
            <w:noProof/>
            <w:webHidden/>
          </w:rPr>
          <w:t>110</w:t>
        </w:r>
        <w:r>
          <w:rPr>
            <w:noProof/>
            <w:webHidden/>
          </w:rPr>
          <w:fldChar w:fldCharType="end"/>
        </w:r>
      </w:hyperlink>
    </w:p>
    <w:p w14:paraId="06FFF015"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96"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66 – Описание комплексного типа «tZRST»</w:t>
        </w:r>
        <w:r>
          <w:rPr>
            <w:noProof/>
            <w:webHidden/>
          </w:rPr>
          <w:tab/>
        </w:r>
        <w:r>
          <w:rPr>
            <w:noProof/>
            <w:webHidden/>
          </w:rPr>
          <w:fldChar w:fldCharType="begin"/>
        </w:r>
        <w:r>
          <w:rPr>
            <w:noProof/>
            <w:webHidden/>
          </w:rPr>
          <w:instrText xml:space="preserve"> PAGEREF _Toc219309096 \h </w:instrText>
        </w:r>
        <w:r>
          <w:rPr>
            <w:noProof/>
            <w:webHidden/>
          </w:rPr>
        </w:r>
        <w:r>
          <w:rPr>
            <w:noProof/>
            <w:webHidden/>
          </w:rPr>
          <w:fldChar w:fldCharType="separate"/>
        </w:r>
        <w:r>
          <w:rPr>
            <w:noProof/>
            <w:webHidden/>
          </w:rPr>
          <w:t>112</w:t>
        </w:r>
        <w:r>
          <w:rPr>
            <w:noProof/>
            <w:webHidden/>
          </w:rPr>
          <w:fldChar w:fldCharType="end"/>
        </w:r>
      </w:hyperlink>
    </w:p>
    <w:p w14:paraId="23AA0D87"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97"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67 – Описание комплексного типа «tZRST_ITEM»</w:t>
        </w:r>
        <w:r>
          <w:rPr>
            <w:noProof/>
            <w:webHidden/>
          </w:rPr>
          <w:tab/>
        </w:r>
        <w:r>
          <w:rPr>
            <w:noProof/>
            <w:webHidden/>
          </w:rPr>
          <w:fldChar w:fldCharType="begin"/>
        </w:r>
        <w:r>
          <w:rPr>
            <w:noProof/>
            <w:webHidden/>
          </w:rPr>
          <w:instrText xml:space="preserve"> PAGEREF _Toc219309097 \h </w:instrText>
        </w:r>
        <w:r>
          <w:rPr>
            <w:noProof/>
            <w:webHidden/>
          </w:rPr>
        </w:r>
        <w:r>
          <w:rPr>
            <w:noProof/>
            <w:webHidden/>
          </w:rPr>
          <w:fldChar w:fldCharType="separate"/>
        </w:r>
        <w:r>
          <w:rPr>
            <w:noProof/>
            <w:webHidden/>
          </w:rPr>
          <w:t>112</w:t>
        </w:r>
        <w:r>
          <w:rPr>
            <w:noProof/>
            <w:webHidden/>
          </w:rPr>
          <w:fldChar w:fldCharType="end"/>
        </w:r>
      </w:hyperlink>
    </w:p>
    <w:p w14:paraId="4DD5BADA"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98"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68 – Описание комплексного типа «tMSC_SrcTypeComplex6»</w:t>
        </w:r>
        <w:r>
          <w:rPr>
            <w:noProof/>
            <w:webHidden/>
          </w:rPr>
          <w:tab/>
        </w:r>
        <w:r>
          <w:rPr>
            <w:noProof/>
            <w:webHidden/>
          </w:rPr>
          <w:fldChar w:fldCharType="begin"/>
        </w:r>
        <w:r>
          <w:rPr>
            <w:noProof/>
            <w:webHidden/>
          </w:rPr>
          <w:instrText xml:space="preserve"> PAGEREF _Toc219309098 \h </w:instrText>
        </w:r>
        <w:r>
          <w:rPr>
            <w:noProof/>
            <w:webHidden/>
          </w:rPr>
        </w:r>
        <w:r>
          <w:rPr>
            <w:noProof/>
            <w:webHidden/>
          </w:rPr>
          <w:fldChar w:fldCharType="separate"/>
        </w:r>
        <w:r>
          <w:rPr>
            <w:noProof/>
            <w:webHidden/>
          </w:rPr>
          <w:t>113</w:t>
        </w:r>
        <w:r>
          <w:rPr>
            <w:noProof/>
            <w:webHidden/>
          </w:rPr>
          <w:fldChar w:fldCharType="end"/>
        </w:r>
      </w:hyperlink>
    </w:p>
    <w:p w14:paraId="1B6E09A0"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099"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69 – Описание комплексного типа «tMSC_KBK10_20_31_32»</w:t>
        </w:r>
        <w:r>
          <w:rPr>
            <w:noProof/>
            <w:webHidden/>
          </w:rPr>
          <w:tab/>
        </w:r>
        <w:r>
          <w:rPr>
            <w:noProof/>
            <w:webHidden/>
          </w:rPr>
          <w:fldChar w:fldCharType="begin"/>
        </w:r>
        <w:r>
          <w:rPr>
            <w:noProof/>
            <w:webHidden/>
          </w:rPr>
          <w:instrText xml:space="preserve"> PAGEREF _Toc219309099 \h </w:instrText>
        </w:r>
        <w:r>
          <w:rPr>
            <w:noProof/>
            <w:webHidden/>
          </w:rPr>
        </w:r>
        <w:r>
          <w:rPr>
            <w:noProof/>
            <w:webHidden/>
          </w:rPr>
          <w:fldChar w:fldCharType="separate"/>
        </w:r>
        <w:r>
          <w:rPr>
            <w:noProof/>
            <w:webHidden/>
          </w:rPr>
          <w:t>113</w:t>
        </w:r>
        <w:r>
          <w:rPr>
            <w:noProof/>
            <w:webHidden/>
          </w:rPr>
          <w:fldChar w:fldCharType="end"/>
        </w:r>
      </w:hyperlink>
    </w:p>
    <w:p w14:paraId="6773FD17"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00"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70 – Описание комплексного типа «tMSC_KBK10_20_31_32_1»</w:t>
        </w:r>
        <w:r>
          <w:rPr>
            <w:noProof/>
            <w:webHidden/>
          </w:rPr>
          <w:tab/>
        </w:r>
        <w:r>
          <w:rPr>
            <w:noProof/>
            <w:webHidden/>
          </w:rPr>
          <w:fldChar w:fldCharType="begin"/>
        </w:r>
        <w:r>
          <w:rPr>
            <w:noProof/>
            <w:webHidden/>
          </w:rPr>
          <w:instrText xml:space="preserve"> PAGEREF _Toc219309100 \h </w:instrText>
        </w:r>
        <w:r>
          <w:rPr>
            <w:noProof/>
            <w:webHidden/>
          </w:rPr>
        </w:r>
        <w:r>
          <w:rPr>
            <w:noProof/>
            <w:webHidden/>
          </w:rPr>
          <w:fldChar w:fldCharType="separate"/>
        </w:r>
        <w:r>
          <w:rPr>
            <w:noProof/>
            <w:webHidden/>
          </w:rPr>
          <w:t>114</w:t>
        </w:r>
        <w:r>
          <w:rPr>
            <w:noProof/>
            <w:webHidden/>
          </w:rPr>
          <w:fldChar w:fldCharType="end"/>
        </w:r>
      </w:hyperlink>
    </w:p>
    <w:p w14:paraId="67C13D82"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01"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71 – Описание комплексного типа «tMSC_BKTp10_20_31_32Complex»</w:t>
        </w:r>
        <w:r>
          <w:rPr>
            <w:noProof/>
            <w:webHidden/>
          </w:rPr>
          <w:tab/>
        </w:r>
        <w:r>
          <w:rPr>
            <w:noProof/>
            <w:webHidden/>
          </w:rPr>
          <w:fldChar w:fldCharType="begin"/>
        </w:r>
        <w:r>
          <w:rPr>
            <w:noProof/>
            <w:webHidden/>
          </w:rPr>
          <w:instrText xml:space="preserve"> PAGEREF _Toc219309101 \h </w:instrText>
        </w:r>
        <w:r>
          <w:rPr>
            <w:noProof/>
            <w:webHidden/>
          </w:rPr>
        </w:r>
        <w:r>
          <w:rPr>
            <w:noProof/>
            <w:webHidden/>
          </w:rPr>
          <w:fldChar w:fldCharType="separate"/>
        </w:r>
        <w:r>
          <w:rPr>
            <w:noProof/>
            <w:webHidden/>
          </w:rPr>
          <w:t>116</w:t>
        </w:r>
        <w:r>
          <w:rPr>
            <w:noProof/>
            <w:webHidden/>
          </w:rPr>
          <w:fldChar w:fldCharType="end"/>
        </w:r>
      </w:hyperlink>
    </w:p>
    <w:p w14:paraId="7B61A27A"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02"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72</w:t>
        </w:r>
        <w:r w:rsidRPr="005C56D9">
          <w:rPr>
            <w:rStyle w:val="af7"/>
            <w:rFonts w:eastAsia="Calibri"/>
            <w:noProof/>
          </w:rPr>
          <w:t xml:space="preserve"> – </w:t>
        </w:r>
        <w:r w:rsidRPr="005C56D9">
          <w:rPr>
            <w:rStyle w:val="af7"/>
            <w:noProof/>
          </w:rPr>
          <w:t>Описание комплексного типа «tCntrlNf»</w:t>
        </w:r>
        <w:r>
          <w:rPr>
            <w:noProof/>
            <w:webHidden/>
          </w:rPr>
          <w:tab/>
        </w:r>
        <w:r>
          <w:rPr>
            <w:noProof/>
            <w:webHidden/>
          </w:rPr>
          <w:fldChar w:fldCharType="begin"/>
        </w:r>
        <w:r>
          <w:rPr>
            <w:noProof/>
            <w:webHidden/>
          </w:rPr>
          <w:instrText xml:space="preserve"> PAGEREF _Toc219309102 \h </w:instrText>
        </w:r>
        <w:r>
          <w:rPr>
            <w:noProof/>
            <w:webHidden/>
          </w:rPr>
        </w:r>
        <w:r>
          <w:rPr>
            <w:noProof/>
            <w:webHidden/>
          </w:rPr>
          <w:fldChar w:fldCharType="separate"/>
        </w:r>
        <w:r>
          <w:rPr>
            <w:noProof/>
            <w:webHidden/>
          </w:rPr>
          <w:t>116</w:t>
        </w:r>
        <w:r>
          <w:rPr>
            <w:noProof/>
            <w:webHidden/>
          </w:rPr>
          <w:fldChar w:fldCharType="end"/>
        </w:r>
      </w:hyperlink>
    </w:p>
    <w:p w14:paraId="6BA324FE"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03"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73</w:t>
        </w:r>
        <w:r w:rsidRPr="005C56D9">
          <w:rPr>
            <w:rStyle w:val="af7"/>
            <w:rFonts w:eastAsia="Calibri"/>
            <w:noProof/>
          </w:rPr>
          <w:t xml:space="preserve"> – </w:t>
        </w:r>
        <w:r w:rsidRPr="005C56D9">
          <w:rPr>
            <w:rStyle w:val="af7"/>
            <w:noProof/>
          </w:rPr>
          <w:t>Описание комплексного типа «tCntrRslts»</w:t>
        </w:r>
        <w:r>
          <w:rPr>
            <w:noProof/>
            <w:webHidden/>
          </w:rPr>
          <w:tab/>
        </w:r>
        <w:r>
          <w:rPr>
            <w:noProof/>
            <w:webHidden/>
          </w:rPr>
          <w:fldChar w:fldCharType="begin"/>
        </w:r>
        <w:r>
          <w:rPr>
            <w:noProof/>
            <w:webHidden/>
          </w:rPr>
          <w:instrText xml:space="preserve"> PAGEREF _Toc219309103 \h </w:instrText>
        </w:r>
        <w:r>
          <w:rPr>
            <w:noProof/>
            <w:webHidden/>
          </w:rPr>
        </w:r>
        <w:r>
          <w:rPr>
            <w:noProof/>
            <w:webHidden/>
          </w:rPr>
          <w:fldChar w:fldCharType="separate"/>
        </w:r>
        <w:r>
          <w:rPr>
            <w:noProof/>
            <w:webHidden/>
          </w:rPr>
          <w:t>117</w:t>
        </w:r>
        <w:r>
          <w:rPr>
            <w:noProof/>
            <w:webHidden/>
          </w:rPr>
          <w:fldChar w:fldCharType="end"/>
        </w:r>
      </w:hyperlink>
    </w:p>
    <w:p w14:paraId="6CCF1C15"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04"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74</w:t>
        </w:r>
        <w:r w:rsidRPr="005C56D9">
          <w:rPr>
            <w:rStyle w:val="af7"/>
            <w:rFonts w:eastAsia="Calibri"/>
            <w:noProof/>
          </w:rPr>
          <w:t xml:space="preserve"> – </w:t>
        </w:r>
        <w:r w:rsidRPr="005C56D9">
          <w:rPr>
            <w:rStyle w:val="af7"/>
            <w:noProof/>
          </w:rPr>
          <w:t>Описание комплексного типа «tCntrRslts_ITEM»</w:t>
        </w:r>
        <w:r>
          <w:rPr>
            <w:noProof/>
            <w:webHidden/>
          </w:rPr>
          <w:tab/>
        </w:r>
        <w:r>
          <w:rPr>
            <w:noProof/>
            <w:webHidden/>
          </w:rPr>
          <w:fldChar w:fldCharType="begin"/>
        </w:r>
        <w:r>
          <w:rPr>
            <w:noProof/>
            <w:webHidden/>
          </w:rPr>
          <w:instrText xml:space="preserve"> PAGEREF _Toc219309104 \h </w:instrText>
        </w:r>
        <w:r>
          <w:rPr>
            <w:noProof/>
            <w:webHidden/>
          </w:rPr>
        </w:r>
        <w:r>
          <w:rPr>
            <w:noProof/>
            <w:webHidden/>
          </w:rPr>
          <w:fldChar w:fldCharType="separate"/>
        </w:r>
        <w:r>
          <w:rPr>
            <w:noProof/>
            <w:webHidden/>
          </w:rPr>
          <w:t>117</w:t>
        </w:r>
        <w:r>
          <w:rPr>
            <w:noProof/>
            <w:webHidden/>
          </w:rPr>
          <w:fldChar w:fldCharType="end"/>
        </w:r>
      </w:hyperlink>
    </w:p>
    <w:p w14:paraId="60753C8D"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05"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75</w:t>
        </w:r>
        <w:r w:rsidRPr="005C56D9">
          <w:rPr>
            <w:rStyle w:val="af7"/>
            <w:rFonts w:eastAsia="Calibri"/>
            <w:noProof/>
          </w:rPr>
          <w:t xml:space="preserve"> – </w:t>
        </w:r>
        <w:r w:rsidRPr="005C56D9">
          <w:rPr>
            <w:rStyle w:val="af7"/>
            <w:noProof/>
          </w:rPr>
          <w:t>Описание комплексного типа «tRskNfs»</w:t>
        </w:r>
        <w:r>
          <w:rPr>
            <w:noProof/>
            <w:webHidden/>
          </w:rPr>
          <w:tab/>
        </w:r>
        <w:r>
          <w:rPr>
            <w:noProof/>
            <w:webHidden/>
          </w:rPr>
          <w:fldChar w:fldCharType="begin"/>
        </w:r>
        <w:r>
          <w:rPr>
            <w:noProof/>
            <w:webHidden/>
          </w:rPr>
          <w:instrText xml:space="preserve"> PAGEREF _Toc219309105 \h </w:instrText>
        </w:r>
        <w:r>
          <w:rPr>
            <w:noProof/>
            <w:webHidden/>
          </w:rPr>
        </w:r>
        <w:r>
          <w:rPr>
            <w:noProof/>
            <w:webHidden/>
          </w:rPr>
          <w:fldChar w:fldCharType="separate"/>
        </w:r>
        <w:r>
          <w:rPr>
            <w:noProof/>
            <w:webHidden/>
          </w:rPr>
          <w:t>118</w:t>
        </w:r>
        <w:r>
          <w:rPr>
            <w:noProof/>
            <w:webHidden/>
          </w:rPr>
          <w:fldChar w:fldCharType="end"/>
        </w:r>
      </w:hyperlink>
    </w:p>
    <w:p w14:paraId="0CA0CEDC"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06"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76</w:t>
        </w:r>
        <w:r w:rsidRPr="005C56D9">
          <w:rPr>
            <w:rStyle w:val="af7"/>
            <w:rFonts w:eastAsia="Calibri"/>
            <w:noProof/>
          </w:rPr>
          <w:t xml:space="preserve"> – </w:t>
        </w:r>
        <w:r w:rsidRPr="005C56D9">
          <w:rPr>
            <w:rStyle w:val="af7"/>
            <w:noProof/>
          </w:rPr>
          <w:t>Описание комплексного типа «tRsk_crt»</w:t>
        </w:r>
        <w:r>
          <w:rPr>
            <w:noProof/>
            <w:webHidden/>
          </w:rPr>
          <w:tab/>
        </w:r>
        <w:r>
          <w:rPr>
            <w:noProof/>
            <w:webHidden/>
          </w:rPr>
          <w:fldChar w:fldCharType="begin"/>
        </w:r>
        <w:r>
          <w:rPr>
            <w:noProof/>
            <w:webHidden/>
          </w:rPr>
          <w:instrText xml:space="preserve"> PAGEREF _Toc219309106 \h </w:instrText>
        </w:r>
        <w:r>
          <w:rPr>
            <w:noProof/>
            <w:webHidden/>
          </w:rPr>
        </w:r>
        <w:r>
          <w:rPr>
            <w:noProof/>
            <w:webHidden/>
          </w:rPr>
          <w:fldChar w:fldCharType="separate"/>
        </w:r>
        <w:r>
          <w:rPr>
            <w:noProof/>
            <w:webHidden/>
          </w:rPr>
          <w:t>119</w:t>
        </w:r>
        <w:r>
          <w:rPr>
            <w:noProof/>
            <w:webHidden/>
          </w:rPr>
          <w:fldChar w:fldCharType="end"/>
        </w:r>
      </w:hyperlink>
    </w:p>
    <w:p w14:paraId="102C750A"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07"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77</w:t>
        </w:r>
        <w:r w:rsidRPr="005C56D9">
          <w:rPr>
            <w:rStyle w:val="af7"/>
            <w:rFonts w:eastAsia="Calibri"/>
            <w:noProof/>
          </w:rPr>
          <w:t xml:space="preserve"> – </w:t>
        </w:r>
        <w:r w:rsidRPr="005C56D9">
          <w:rPr>
            <w:rStyle w:val="af7"/>
            <w:noProof/>
          </w:rPr>
          <w:t>Описание комплексного типа «tRsk_crt_ITEM»</w:t>
        </w:r>
        <w:r>
          <w:rPr>
            <w:noProof/>
            <w:webHidden/>
          </w:rPr>
          <w:tab/>
        </w:r>
        <w:r>
          <w:rPr>
            <w:noProof/>
            <w:webHidden/>
          </w:rPr>
          <w:fldChar w:fldCharType="begin"/>
        </w:r>
        <w:r>
          <w:rPr>
            <w:noProof/>
            <w:webHidden/>
          </w:rPr>
          <w:instrText xml:space="preserve"> PAGEREF _Toc219309107 \h </w:instrText>
        </w:r>
        <w:r>
          <w:rPr>
            <w:noProof/>
            <w:webHidden/>
          </w:rPr>
        </w:r>
        <w:r>
          <w:rPr>
            <w:noProof/>
            <w:webHidden/>
          </w:rPr>
          <w:fldChar w:fldCharType="separate"/>
        </w:r>
        <w:r>
          <w:rPr>
            <w:noProof/>
            <w:webHidden/>
          </w:rPr>
          <w:t>119</w:t>
        </w:r>
        <w:r>
          <w:rPr>
            <w:noProof/>
            <w:webHidden/>
          </w:rPr>
          <w:fldChar w:fldCharType="end"/>
        </w:r>
      </w:hyperlink>
    </w:p>
    <w:p w14:paraId="1492AD11"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08" w:history="1">
        <w:r w:rsidRPr="005C56D9">
          <w:rPr>
            <w:rStyle w:val="af7"/>
            <w:noProof/>
            <w:highlight w:val="green"/>
          </w:rPr>
          <w:t>Таблица </w:t>
        </w:r>
        <w:r>
          <w:rPr>
            <w:rFonts w:asciiTheme="minorHAnsi" w:eastAsiaTheme="minorEastAsia" w:hAnsiTheme="minorHAnsi" w:cstheme="minorBidi"/>
            <w:noProof/>
            <w:sz w:val="22"/>
            <w:szCs w:val="22"/>
          </w:rPr>
          <w:tab/>
        </w:r>
        <w:r w:rsidRPr="005C56D9">
          <w:rPr>
            <w:rStyle w:val="af7"/>
            <w:noProof/>
            <w:highlight w:val="green"/>
          </w:rPr>
          <w:t>78</w:t>
        </w:r>
        <w:r w:rsidRPr="005C56D9">
          <w:rPr>
            <w:rStyle w:val="af7"/>
            <w:rFonts w:eastAsia="Calibri"/>
            <w:noProof/>
            <w:highlight w:val="green"/>
          </w:rPr>
          <w:t xml:space="preserve"> – </w:t>
        </w:r>
        <w:r w:rsidRPr="005C56D9">
          <w:rPr>
            <w:rStyle w:val="af7"/>
            <w:noProof/>
            <w:highlight w:val="green"/>
          </w:rPr>
          <w:t>Маршрут документа «</w:t>
        </w:r>
        <w:r w:rsidRPr="005C56D9">
          <w:rPr>
            <w:rStyle w:val="af7"/>
            <w:rFonts w:eastAsia="Calibri"/>
            <w:noProof/>
            <w:highlight w:val="green"/>
          </w:rPr>
          <w:t>Заявка на кассовый расход (сокращенная)» (ф. 0531851)</w:t>
        </w:r>
        <w:r>
          <w:rPr>
            <w:noProof/>
            <w:webHidden/>
          </w:rPr>
          <w:tab/>
        </w:r>
        <w:r>
          <w:rPr>
            <w:noProof/>
            <w:webHidden/>
          </w:rPr>
          <w:fldChar w:fldCharType="begin"/>
        </w:r>
        <w:r>
          <w:rPr>
            <w:noProof/>
            <w:webHidden/>
          </w:rPr>
          <w:instrText xml:space="preserve"> PAGEREF _Toc219309108 \h </w:instrText>
        </w:r>
        <w:r>
          <w:rPr>
            <w:noProof/>
            <w:webHidden/>
          </w:rPr>
        </w:r>
        <w:r>
          <w:rPr>
            <w:noProof/>
            <w:webHidden/>
          </w:rPr>
          <w:fldChar w:fldCharType="separate"/>
        </w:r>
        <w:r>
          <w:rPr>
            <w:noProof/>
            <w:webHidden/>
          </w:rPr>
          <w:t>125</w:t>
        </w:r>
        <w:r>
          <w:rPr>
            <w:noProof/>
            <w:webHidden/>
          </w:rPr>
          <w:fldChar w:fldCharType="end"/>
        </w:r>
      </w:hyperlink>
    </w:p>
    <w:p w14:paraId="5A063400"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09"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79</w:t>
        </w:r>
        <w:r w:rsidRPr="005C56D9">
          <w:rPr>
            <w:rStyle w:val="af7"/>
            <w:rFonts w:eastAsia="Calibri"/>
            <w:noProof/>
          </w:rPr>
          <w:t xml:space="preserve"> – </w:t>
        </w:r>
        <w:r w:rsidRPr="005C56D9">
          <w:rPr>
            <w:rStyle w:val="af7"/>
            <w:noProof/>
          </w:rPr>
          <w:t>Описание комплексного типа «</w:t>
        </w:r>
        <w:r w:rsidRPr="005C56D9">
          <w:rPr>
            <w:rStyle w:val="af7"/>
            <w:noProof/>
            <w:lang w:val="en-US"/>
          </w:rPr>
          <w:t>t</w:t>
        </w:r>
        <w:r w:rsidRPr="005C56D9">
          <w:rPr>
            <w:rStyle w:val="af7"/>
            <w:rFonts w:eastAsia="Calibri"/>
            <w:noProof/>
          </w:rPr>
          <w:t>MSC_ApplCashFlowShrt</w:t>
        </w:r>
        <w:r w:rsidRPr="005C56D9">
          <w:rPr>
            <w:rStyle w:val="af7"/>
            <w:noProof/>
          </w:rPr>
          <w:t>»</w:t>
        </w:r>
        <w:r>
          <w:rPr>
            <w:noProof/>
            <w:webHidden/>
          </w:rPr>
          <w:tab/>
        </w:r>
        <w:r>
          <w:rPr>
            <w:noProof/>
            <w:webHidden/>
          </w:rPr>
          <w:fldChar w:fldCharType="begin"/>
        </w:r>
        <w:r>
          <w:rPr>
            <w:noProof/>
            <w:webHidden/>
          </w:rPr>
          <w:instrText xml:space="preserve"> PAGEREF _Toc219309109 \h </w:instrText>
        </w:r>
        <w:r>
          <w:rPr>
            <w:noProof/>
            <w:webHidden/>
          </w:rPr>
        </w:r>
        <w:r>
          <w:rPr>
            <w:noProof/>
            <w:webHidden/>
          </w:rPr>
          <w:fldChar w:fldCharType="separate"/>
        </w:r>
        <w:r>
          <w:rPr>
            <w:noProof/>
            <w:webHidden/>
          </w:rPr>
          <w:t>125</w:t>
        </w:r>
        <w:r>
          <w:rPr>
            <w:noProof/>
            <w:webHidden/>
          </w:rPr>
          <w:fldChar w:fldCharType="end"/>
        </w:r>
      </w:hyperlink>
    </w:p>
    <w:p w14:paraId="3B05C123"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10"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80 – Описание комплексного типа «tMSC_Cstmr4»</w:t>
        </w:r>
        <w:r>
          <w:rPr>
            <w:noProof/>
            <w:webHidden/>
          </w:rPr>
          <w:tab/>
        </w:r>
        <w:r>
          <w:rPr>
            <w:noProof/>
            <w:webHidden/>
          </w:rPr>
          <w:fldChar w:fldCharType="begin"/>
        </w:r>
        <w:r>
          <w:rPr>
            <w:noProof/>
            <w:webHidden/>
          </w:rPr>
          <w:instrText xml:space="preserve"> PAGEREF _Toc219309110 \h </w:instrText>
        </w:r>
        <w:r>
          <w:rPr>
            <w:noProof/>
            <w:webHidden/>
          </w:rPr>
        </w:r>
        <w:r>
          <w:rPr>
            <w:noProof/>
            <w:webHidden/>
          </w:rPr>
          <w:fldChar w:fldCharType="separate"/>
        </w:r>
        <w:r>
          <w:rPr>
            <w:noProof/>
            <w:webHidden/>
          </w:rPr>
          <w:t>133</w:t>
        </w:r>
        <w:r>
          <w:rPr>
            <w:noProof/>
            <w:webHidden/>
          </w:rPr>
          <w:fldChar w:fldCharType="end"/>
        </w:r>
      </w:hyperlink>
    </w:p>
    <w:p w14:paraId="66CF2D16"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11"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81 – Описание комплексного типа «tMSC_Orgnztn5»</w:t>
        </w:r>
        <w:r>
          <w:rPr>
            <w:noProof/>
            <w:webHidden/>
          </w:rPr>
          <w:tab/>
        </w:r>
        <w:r>
          <w:rPr>
            <w:noProof/>
            <w:webHidden/>
          </w:rPr>
          <w:fldChar w:fldCharType="begin"/>
        </w:r>
        <w:r>
          <w:rPr>
            <w:noProof/>
            <w:webHidden/>
          </w:rPr>
          <w:instrText xml:space="preserve"> PAGEREF _Toc219309111 \h </w:instrText>
        </w:r>
        <w:r>
          <w:rPr>
            <w:noProof/>
            <w:webHidden/>
          </w:rPr>
        </w:r>
        <w:r>
          <w:rPr>
            <w:noProof/>
            <w:webHidden/>
          </w:rPr>
          <w:fldChar w:fldCharType="separate"/>
        </w:r>
        <w:r>
          <w:rPr>
            <w:noProof/>
            <w:webHidden/>
          </w:rPr>
          <w:t>133</w:t>
        </w:r>
        <w:r>
          <w:rPr>
            <w:noProof/>
            <w:webHidden/>
          </w:rPr>
          <w:fldChar w:fldCharType="end"/>
        </w:r>
      </w:hyperlink>
    </w:p>
    <w:p w14:paraId="350188DF"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12"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82 – Описание комплексного типа «tMSC_Cntrctr1»</w:t>
        </w:r>
        <w:r>
          <w:rPr>
            <w:noProof/>
            <w:webHidden/>
          </w:rPr>
          <w:tab/>
        </w:r>
        <w:r>
          <w:rPr>
            <w:noProof/>
            <w:webHidden/>
          </w:rPr>
          <w:fldChar w:fldCharType="begin"/>
        </w:r>
        <w:r>
          <w:rPr>
            <w:noProof/>
            <w:webHidden/>
          </w:rPr>
          <w:instrText xml:space="preserve"> PAGEREF _Toc219309112 \h </w:instrText>
        </w:r>
        <w:r>
          <w:rPr>
            <w:noProof/>
            <w:webHidden/>
          </w:rPr>
        </w:r>
        <w:r>
          <w:rPr>
            <w:noProof/>
            <w:webHidden/>
          </w:rPr>
          <w:fldChar w:fldCharType="separate"/>
        </w:r>
        <w:r>
          <w:rPr>
            <w:noProof/>
            <w:webHidden/>
          </w:rPr>
          <w:t>133</w:t>
        </w:r>
        <w:r>
          <w:rPr>
            <w:noProof/>
            <w:webHidden/>
          </w:rPr>
          <w:fldChar w:fldCharType="end"/>
        </w:r>
      </w:hyperlink>
    </w:p>
    <w:p w14:paraId="16ECB1B9"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13"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83</w:t>
        </w:r>
        <w:r w:rsidRPr="005C56D9">
          <w:rPr>
            <w:rStyle w:val="af7"/>
            <w:rFonts w:eastAsia="Calibri"/>
            <w:noProof/>
          </w:rPr>
          <w:t xml:space="preserve"> –</w:t>
        </w:r>
        <w:r w:rsidRPr="005C56D9">
          <w:rPr>
            <w:rStyle w:val="af7"/>
            <w:noProof/>
          </w:rPr>
          <w:t xml:space="preserve"> Описание комплексного типа «tMSC_Pmnt1»</w:t>
        </w:r>
        <w:r>
          <w:rPr>
            <w:noProof/>
            <w:webHidden/>
          </w:rPr>
          <w:tab/>
        </w:r>
        <w:r>
          <w:rPr>
            <w:noProof/>
            <w:webHidden/>
          </w:rPr>
          <w:fldChar w:fldCharType="begin"/>
        </w:r>
        <w:r>
          <w:rPr>
            <w:noProof/>
            <w:webHidden/>
          </w:rPr>
          <w:instrText xml:space="preserve"> PAGEREF _Toc219309113 \h </w:instrText>
        </w:r>
        <w:r>
          <w:rPr>
            <w:noProof/>
            <w:webHidden/>
          </w:rPr>
        </w:r>
        <w:r>
          <w:rPr>
            <w:noProof/>
            <w:webHidden/>
          </w:rPr>
          <w:fldChar w:fldCharType="separate"/>
        </w:r>
        <w:r>
          <w:rPr>
            <w:noProof/>
            <w:webHidden/>
          </w:rPr>
          <w:t>135</w:t>
        </w:r>
        <w:r>
          <w:rPr>
            <w:noProof/>
            <w:webHidden/>
          </w:rPr>
          <w:fldChar w:fldCharType="end"/>
        </w:r>
      </w:hyperlink>
    </w:p>
    <w:p w14:paraId="116AD077"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14"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84</w:t>
        </w:r>
        <w:r w:rsidRPr="005C56D9">
          <w:rPr>
            <w:rStyle w:val="af7"/>
            <w:rFonts w:eastAsia="Calibri"/>
            <w:noProof/>
          </w:rPr>
          <w:t xml:space="preserve"> –</w:t>
        </w:r>
        <w:r w:rsidRPr="005C56D9">
          <w:rPr>
            <w:rStyle w:val="af7"/>
            <w:noProof/>
          </w:rPr>
          <w:t xml:space="preserve"> Описание комплексного типа «tMSC_AdvnPySgnComplex»</w:t>
        </w:r>
        <w:r>
          <w:rPr>
            <w:noProof/>
            <w:webHidden/>
          </w:rPr>
          <w:tab/>
        </w:r>
        <w:r>
          <w:rPr>
            <w:noProof/>
            <w:webHidden/>
          </w:rPr>
          <w:fldChar w:fldCharType="begin"/>
        </w:r>
        <w:r>
          <w:rPr>
            <w:noProof/>
            <w:webHidden/>
          </w:rPr>
          <w:instrText xml:space="preserve"> PAGEREF _Toc219309114 \h </w:instrText>
        </w:r>
        <w:r>
          <w:rPr>
            <w:noProof/>
            <w:webHidden/>
          </w:rPr>
        </w:r>
        <w:r>
          <w:rPr>
            <w:noProof/>
            <w:webHidden/>
          </w:rPr>
          <w:fldChar w:fldCharType="separate"/>
        </w:r>
        <w:r>
          <w:rPr>
            <w:noProof/>
            <w:webHidden/>
          </w:rPr>
          <w:t>136</w:t>
        </w:r>
        <w:r>
          <w:rPr>
            <w:noProof/>
            <w:webHidden/>
          </w:rPr>
          <w:fldChar w:fldCharType="end"/>
        </w:r>
      </w:hyperlink>
    </w:p>
    <w:p w14:paraId="49CC18EE"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15"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85</w:t>
        </w:r>
        <w:r w:rsidRPr="005C56D9">
          <w:rPr>
            <w:rStyle w:val="af7"/>
            <w:rFonts w:eastAsia="Calibri"/>
            <w:noProof/>
          </w:rPr>
          <w:t xml:space="preserve"> –</w:t>
        </w:r>
        <w:r w:rsidRPr="005C56D9">
          <w:rPr>
            <w:rStyle w:val="af7"/>
            <w:noProof/>
          </w:rPr>
          <w:t xml:space="preserve"> Описание комплексного типа «tMSC_ShrtPyKndComplex»</w:t>
        </w:r>
        <w:r>
          <w:rPr>
            <w:noProof/>
            <w:webHidden/>
          </w:rPr>
          <w:tab/>
        </w:r>
        <w:r>
          <w:rPr>
            <w:noProof/>
            <w:webHidden/>
          </w:rPr>
          <w:fldChar w:fldCharType="begin"/>
        </w:r>
        <w:r>
          <w:rPr>
            <w:noProof/>
            <w:webHidden/>
          </w:rPr>
          <w:instrText xml:space="preserve"> PAGEREF _Toc219309115 \h </w:instrText>
        </w:r>
        <w:r>
          <w:rPr>
            <w:noProof/>
            <w:webHidden/>
          </w:rPr>
        </w:r>
        <w:r>
          <w:rPr>
            <w:noProof/>
            <w:webHidden/>
          </w:rPr>
          <w:fldChar w:fldCharType="separate"/>
        </w:r>
        <w:r>
          <w:rPr>
            <w:noProof/>
            <w:webHidden/>
          </w:rPr>
          <w:t>136</w:t>
        </w:r>
        <w:r>
          <w:rPr>
            <w:noProof/>
            <w:webHidden/>
          </w:rPr>
          <w:fldChar w:fldCharType="end"/>
        </w:r>
      </w:hyperlink>
    </w:p>
    <w:p w14:paraId="35E5490A"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16"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86 – Описание комплексного типа «tMSC_Bnk»</w:t>
        </w:r>
        <w:r>
          <w:rPr>
            <w:noProof/>
            <w:webHidden/>
          </w:rPr>
          <w:tab/>
        </w:r>
        <w:r>
          <w:rPr>
            <w:noProof/>
            <w:webHidden/>
          </w:rPr>
          <w:fldChar w:fldCharType="begin"/>
        </w:r>
        <w:r>
          <w:rPr>
            <w:noProof/>
            <w:webHidden/>
          </w:rPr>
          <w:instrText xml:space="preserve"> PAGEREF _Toc219309116 \h </w:instrText>
        </w:r>
        <w:r>
          <w:rPr>
            <w:noProof/>
            <w:webHidden/>
          </w:rPr>
        </w:r>
        <w:r>
          <w:rPr>
            <w:noProof/>
            <w:webHidden/>
          </w:rPr>
          <w:fldChar w:fldCharType="separate"/>
        </w:r>
        <w:r>
          <w:rPr>
            <w:noProof/>
            <w:webHidden/>
          </w:rPr>
          <w:t>136</w:t>
        </w:r>
        <w:r>
          <w:rPr>
            <w:noProof/>
            <w:webHidden/>
          </w:rPr>
          <w:fldChar w:fldCharType="end"/>
        </w:r>
      </w:hyperlink>
    </w:p>
    <w:p w14:paraId="382FD1A9"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17"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87 – Описание комплексного типа «tZROSN»</w:t>
        </w:r>
        <w:r>
          <w:rPr>
            <w:noProof/>
            <w:webHidden/>
          </w:rPr>
          <w:tab/>
        </w:r>
        <w:r>
          <w:rPr>
            <w:noProof/>
            <w:webHidden/>
          </w:rPr>
          <w:fldChar w:fldCharType="begin"/>
        </w:r>
        <w:r>
          <w:rPr>
            <w:noProof/>
            <w:webHidden/>
          </w:rPr>
          <w:instrText xml:space="preserve"> PAGEREF _Toc219309117 \h </w:instrText>
        </w:r>
        <w:r>
          <w:rPr>
            <w:noProof/>
            <w:webHidden/>
          </w:rPr>
        </w:r>
        <w:r>
          <w:rPr>
            <w:noProof/>
            <w:webHidden/>
          </w:rPr>
          <w:fldChar w:fldCharType="separate"/>
        </w:r>
        <w:r>
          <w:rPr>
            <w:noProof/>
            <w:webHidden/>
          </w:rPr>
          <w:t>138</w:t>
        </w:r>
        <w:r>
          <w:rPr>
            <w:noProof/>
            <w:webHidden/>
          </w:rPr>
          <w:fldChar w:fldCharType="end"/>
        </w:r>
      </w:hyperlink>
    </w:p>
    <w:p w14:paraId="1D8B0FBF"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18"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88 – Описание комплексного типа «tZROSN_ITEM»</w:t>
        </w:r>
        <w:r>
          <w:rPr>
            <w:noProof/>
            <w:webHidden/>
          </w:rPr>
          <w:tab/>
        </w:r>
        <w:r>
          <w:rPr>
            <w:noProof/>
            <w:webHidden/>
          </w:rPr>
          <w:fldChar w:fldCharType="begin"/>
        </w:r>
        <w:r>
          <w:rPr>
            <w:noProof/>
            <w:webHidden/>
          </w:rPr>
          <w:instrText xml:space="preserve"> PAGEREF _Toc219309118 \h </w:instrText>
        </w:r>
        <w:r>
          <w:rPr>
            <w:noProof/>
            <w:webHidden/>
          </w:rPr>
        </w:r>
        <w:r>
          <w:rPr>
            <w:noProof/>
            <w:webHidden/>
          </w:rPr>
          <w:fldChar w:fldCharType="separate"/>
        </w:r>
        <w:r>
          <w:rPr>
            <w:noProof/>
            <w:webHidden/>
          </w:rPr>
          <w:t>138</w:t>
        </w:r>
        <w:r>
          <w:rPr>
            <w:noProof/>
            <w:webHidden/>
          </w:rPr>
          <w:fldChar w:fldCharType="end"/>
        </w:r>
      </w:hyperlink>
    </w:p>
    <w:p w14:paraId="7AE7D392"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19"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89 – Описание комплексного типа «tMSC_DcBs1»</w:t>
        </w:r>
        <w:r>
          <w:rPr>
            <w:noProof/>
            <w:webHidden/>
          </w:rPr>
          <w:tab/>
        </w:r>
        <w:r>
          <w:rPr>
            <w:noProof/>
            <w:webHidden/>
          </w:rPr>
          <w:fldChar w:fldCharType="begin"/>
        </w:r>
        <w:r>
          <w:rPr>
            <w:noProof/>
            <w:webHidden/>
          </w:rPr>
          <w:instrText xml:space="preserve"> PAGEREF _Toc219309119 \h </w:instrText>
        </w:r>
        <w:r>
          <w:rPr>
            <w:noProof/>
            <w:webHidden/>
          </w:rPr>
        </w:r>
        <w:r>
          <w:rPr>
            <w:noProof/>
            <w:webHidden/>
          </w:rPr>
          <w:fldChar w:fldCharType="separate"/>
        </w:r>
        <w:r>
          <w:rPr>
            <w:noProof/>
            <w:webHidden/>
          </w:rPr>
          <w:t>138</w:t>
        </w:r>
        <w:r>
          <w:rPr>
            <w:noProof/>
            <w:webHidden/>
          </w:rPr>
          <w:fldChar w:fldCharType="end"/>
        </w:r>
      </w:hyperlink>
    </w:p>
    <w:p w14:paraId="2AAC894B"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20"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90 – Описание комплексного типа «tMSC_BsPySgnComplex»</w:t>
        </w:r>
        <w:r>
          <w:rPr>
            <w:noProof/>
            <w:webHidden/>
          </w:rPr>
          <w:tab/>
        </w:r>
        <w:r>
          <w:rPr>
            <w:noProof/>
            <w:webHidden/>
          </w:rPr>
          <w:fldChar w:fldCharType="begin"/>
        </w:r>
        <w:r>
          <w:rPr>
            <w:noProof/>
            <w:webHidden/>
          </w:rPr>
          <w:instrText xml:space="preserve"> PAGEREF _Toc219309120 \h </w:instrText>
        </w:r>
        <w:r>
          <w:rPr>
            <w:noProof/>
            <w:webHidden/>
          </w:rPr>
        </w:r>
        <w:r>
          <w:rPr>
            <w:noProof/>
            <w:webHidden/>
          </w:rPr>
          <w:fldChar w:fldCharType="separate"/>
        </w:r>
        <w:r>
          <w:rPr>
            <w:noProof/>
            <w:webHidden/>
          </w:rPr>
          <w:t>140</w:t>
        </w:r>
        <w:r>
          <w:rPr>
            <w:noProof/>
            <w:webHidden/>
          </w:rPr>
          <w:fldChar w:fldCharType="end"/>
        </w:r>
      </w:hyperlink>
    </w:p>
    <w:p w14:paraId="381BC276"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21"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91 – Описание комплексного типа «tZRST»</w:t>
        </w:r>
        <w:r>
          <w:rPr>
            <w:noProof/>
            <w:webHidden/>
          </w:rPr>
          <w:tab/>
        </w:r>
        <w:r>
          <w:rPr>
            <w:noProof/>
            <w:webHidden/>
          </w:rPr>
          <w:fldChar w:fldCharType="begin"/>
        </w:r>
        <w:r>
          <w:rPr>
            <w:noProof/>
            <w:webHidden/>
          </w:rPr>
          <w:instrText xml:space="preserve"> PAGEREF _Toc219309121 \h </w:instrText>
        </w:r>
        <w:r>
          <w:rPr>
            <w:noProof/>
            <w:webHidden/>
          </w:rPr>
        </w:r>
        <w:r>
          <w:rPr>
            <w:noProof/>
            <w:webHidden/>
          </w:rPr>
          <w:fldChar w:fldCharType="separate"/>
        </w:r>
        <w:r>
          <w:rPr>
            <w:noProof/>
            <w:webHidden/>
          </w:rPr>
          <w:t>140</w:t>
        </w:r>
        <w:r>
          <w:rPr>
            <w:noProof/>
            <w:webHidden/>
          </w:rPr>
          <w:fldChar w:fldCharType="end"/>
        </w:r>
      </w:hyperlink>
    </w:p>
    <w:p w14:paraId="1BFFF5E5"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22"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92 – Описание комплексного типа «tZRST_ITEM»</w:t>
        </w:r>
        <w:r>
          <w:rPr>
            <w:noProof/>
            <w:webHidden/>
          </w:rPr>
          <w:tab/>
        </w:r>
        <w:r>
          <w:rPr>
            <w:noProof/>
            <w:webHidden/>
          </w:rPr>
          <w:fldChar w:fldCharType="begin"/>
        </w:r>
        <w:r>
          <w:rPr>
            <w:noProof/>
            <w:webHidden/>
          </w:rPr>
          <w:instrText xml:space="preserve"> PAGEREF _Toc219309122 \h </w:instrText>
        </w:r>
        <w:r>
          <w:rPr>
            <w:noProof/>
            <w:webHidden/>
          </w:rPr>
        </w:r>
        <w:r>
          <w:rPr>
            <w:noProof/>
            <w:webHidden/>
          </w:rPr>
          <w:fldChar w:fldCharType="separate"/>
        </w:r>
        <w:r>
          <w:rPr>
            <w:noProof/>
            <w:webHidden/>
          </w:rPr>
          <w:t>141</w:t>
        </w:r>
        <w:r>
          <w:rPr>
            <w:noProof/>
            <w:webHidden/>
          </w:rPr>
          <w:fldChar w:fldCharType="end"/>
        </w:r>
      </w:hyperlink>
    </w:p>
    <w:p w14:paraId="4589218A"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23"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93 – Описание комплексного типа «tMSC_KBK10_20_31_32»</w:t>
        </w:r>
        <w:r>
          <w:rPr>
            <w:noProof/>
            <w:webHidden/>
          </w:rPr>
          <w:tab/>
        </w:r>
        <w:r>
          <w:rPr>
            <w:noProof/>
            <w:webHidden/>
          </w:rPr>
          <w:fldChar w:fldCharType="begin"/>
        </w:r>
        <w:r>
          <w:rPr>
            <w:noProof/>
            <w:webHidden/>
          </w:rPr>
          <w:instrText xml:space="preserve"> PAGEREF _Toc219309123 \h </w:instrText>
        </w:r>
        <w:r>
          <w:rPr>
            <w:noProof/>
            <w:webHidden/>
          </w:rPr>
        </w:r>
        <w:r>
          <w:rPr>
            <w:noProof/>
            <w:webHidden/>
          </w:rPr>
          <w:fldChar w:fldCharType="separate"/>
        </w:r>
        <w:r>
          <w:rPr>
            <w:noProof/>
            <w:webHidden/>
          </w:rPr>
          <w:t>141</w:t>
        </w:r>
        <w:r>
          <w:rPr>
            <w:noProof/>
            <w:webHidden/>
          </w:rPr>
          <w:fldChar w:fldCharType="end"/>
        </w:r>
      </w:hyperlink>
    </w:p>
    <w:p w14:paraId="38D892AF"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24"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94 – Описание комплексного типа «tSGN»</w:t>
        </w:r>
        <w:r>
          <w:rPr>
            <w:noProof/>
            <w:webHidden/>
          </w:rPr>
          <w:tab/>
        </w:r>
        <w:r>
          <w:rPr>
            <w:noProof/>
            <w:webHidden/>
          </w:rPr>
          <w:fldChar w:fldCharType="begin"/>
        </w:r>
        <w:r>
          <w:rPr>
            <w:noProof/>
            <w:webHidden/>
          </w:rPr>
          <w:instrText xml:space="preserve"> PAGEREF _Toc219309124 \h </w:instrText>
        </w:r>
        <w:r>
          <w:rPr>
            <w:noProof/>
            <w:webHidden/>
          </w:rPr>
        </w:r>
        <w:r>
          <w:rPr>
            <w:noProof/>
            <w:webHidden/>
          </w:rPr>
          <w:fldChar w:fldCharType="separate"/>
        </w:r>
        <w:r>
          <w:rPr>
            <w:noProof/>
            <w:webHidden/>
          </w:rPr>
          <w:t>142</w:t>
        </w:r>
        <w:r>
          <w:rPr>
            <w:noProof/>
            <w:webHidden/>
          </w:rPr>
          <w:fldChar w:fldCharType="end"/>
        </w:r>
      </w:hyperlink>
    </w:p>
    <w:p w14:paraId="67801E76"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25"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95</w:t>
        </w:r>
        <w:r w:rsidRPr="005C56D9">
          <w:rPr>
            <w:rStyle w:val="af7"/>
            <w:rFonts w:eastAsia="Calibri"/>
            <w:noProof/>
          </w:rPr>
          <w:t xml:space="preserve"> –</w:t>
        </w:r>
        <w:r w:rsidRPr="005C56D9">
          <w:rPr>
            <w:rStyle w:val="af7"/>
            <w:noProof/>
          </w:rPr>
          <w:t xml:space="preserve"> Описание комплексного типа «tMSC_Infrmtn»</w:t>
        </w:r>
        <w:r>
          <w:rPr>
            <w:noProof/>
            <w:webHidden/>
          </w:rPr>
          <w:tab/>
        </w:r>
        <w:r>
          <w:rPr>
            <w:noProof/>
            <w:webHidden/>
          </w:rPr>
          <w:fldChar w:fldCharType="begin"/>
        </w:r>
        <w:r>
          <w:rPr>
            <w:noProof/>
            <w:webHidden/>
          </w:rPr>
          <w:instrText xml:space="preserve"> PAGEREF _Toc219309125 \h </w:instrText>
        </w:r>
        <w:r>
          <w:rPr>
            <w:noProof/>
            <w:webHidden/>
          </w:rPr>
        </w:r>
        <w:r>
          <w:rPr>
            <w:noProof/>
            <w:webHidden/>
          </w:rPr>
          <w:fldChar w:fldCharType="separate"/>
        </w:r>
        <w:r>
          <w:rPr>
            <w:noProof/>
            <w:webHidden/>
          </w:rPr>
          <w:t>143</w:t>
        </w:r>
        <w:r>
          <w:rPr>
            <w:noProof/>
            <w:webHidden/>
          </w:rPr>
          <w:fldChar w:fldCharType="end"/>
        </w:r>
      </w:hyperlink>
    </w:p>
    <w:p w14:paraId="391D7B5F"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26" w:history="1">
        <w:r w:rsidRPr="005C56D9">
          <w:rPr>
            <w:rStyle w:val="af7"/>
            <w:noProof/>
            <w:highlight w:val="green"/>
          </w:rPr>
          <w:t>Таблица </w:t>
        </w:r>
        <w:r>
          <w:rPr>
            <w:rFonts w:asciiTheme="minorHAnsi" w:eastAsiaTheme="minorEastAsia" w:hAnsiTheme="minorHAnsi" w:cstheme="minorBidi"/>
            <w:noProof/>
            <w:sz w:val="22"/>
            <w:szCs w:val="22"/>
          </w:rPr>
          <w:tab/>
        </w:r>
        <w:r w:rsidRPr="005C56D9">
          <w:rPr>
            <w:rStyle w:val="af7"/>
            <w:noProof/>
            <w:highlight w:val="green"/>
          </w:rPr>
          <w:t>96</w:t>
        </w:r>
        <w:r w:rsidRPr="005C56D9">
          <w:rPr>
            <w:rStyle w:val="af7"/>
            <w:rFonts w:eastAsia="Calibri"/>
            <w:noProof/>
            <w:highlight w:val="green"/>
          </w:rPr>
          <w:t xml:space="preserve"> – </w:t>
        </w:r>
        <w:r w:rsidRPr="005C56D9">
          <w:rPr>
            <w:rStyle w:val="af7"/>
            <w:noProof/>
            <w:highlight w:val="green"/>
          </w:rPr>
          <w:t>Маршрут документа «</w:t>
        </w:r>
        <w:r w:rsidRPr="005C56D9">
          <w:rPr>
            <w:rStyle w:val="af7"/>
            <w:rFonts w:eastAsia="Calibri"/>
            <w:noProof/>
            <w:highlight w:val="green"/>
          </w:rPr>
          <w:t>Сводная заявка на кассовый расход» (ф. 0531860)</w:t>
        </w:r>
        <w:r>
          <w:rPr>
            <w:noProof/>
            <w:webHidden/>
          </w:rPr>
          <w:tab/>
        </w:r>
        <w:r>
          <w:rPr>
            <w:noProof/>
            <w:webHidden/>
          </w:rPr>
          <w:fldChar w:fldCharType="begin"/>
        </w:r>
        <w:r>
          <w:rPr>
            <w:noProof/>
            <w:webHidden/>
          </w:rPr>
          <w:instrText xml:space="preserve"> PAGEREF _Toc219309126 \h </w:instrText>
        </w:r>
        <w:r>
          <w:rPr>
            <w:noProof/>
            <w:webHidden/>
          </w:rPr>
        </w:r>
        <w:r>
          <w:rPr>
            <w:noProof/>
            <w:webHidden/>
          </w:rPr>
          <w:fldChar w:fldCharType="separate"/>
        </w:r>
        <w:r>
          <w:rPr>
            <w:noProof/>
            <w:webHidden/>
          </w:rPr>
          <w:t>148</w:t>
        </w:r>
        <w:r>
          <w:rPr>
            <w:noProof/>
            <w:webHidden/>
          </w:rPr>
          <w:fldChar w:fldCharType="end"/>
        </w:r>
      </w:hyperlink>
    </w:p>
    <w:p w14:paraId="3B12B192"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27"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97</w:t>
        </w:r>
        <w:r w:rsidRPr="005C56D9">
          <w:rPr>
            <w:rStyle w:val="af7"/>
            <w:rFonts w:eastAsia="Calibri"/>
            <w:noProof/>
          </w:rPr>
          <w:t xml:space="preserve"> – </w:t>
        </w:r>
        <w:r w:rsidRPr="005C56D9">
          <w:rPr>
            <w:rStyle w:val="af7"/>
            <w:noProof/>
          </w:rPr>
          <w:t>Описание комплексного типа «</w:t>
        </w:r>
        <w:r w:rsidRPr="005C56D9">
          <w:rPr>
            <w:rStyle w:val="af7"/>
            <w:noProof/>
            <w:lang w:val="en-US"/>
          </w:rPr>
          <w:t>t</w:t>
        </w:r>
        <w:r w:rsidRPr="005C56D9">
          <w:rPr>
            <w:rStyle w:val="af7"/>
            <w:noProof/>
          </w:rPr>
          <w:t>MSC_SmApplCshFlwTx»</w:t>
        </w:r>
        <w:r>
          <w:rPr>
            <w:noProof/>
            <w:webHidden/>
          </w:rPr>
          <w:tab/>
        </w:r>
        <w:r>
          <w:rPr>
            <w:noProof/>
            <w:webHidden/>
          </w:rPr>
          <w:fldChar w:fldCharType="begin"/>
        </w:r>
        <w:r>
          <w:rPr>
            <w:noProof/>
            <w:webHidden/>
          </w:rPr>
          <w:instrText xml:space="preserve"> PAGEREF _Toc219309127 \h </w:instrText>
        </w:r>
        <w:r>
          <w:rPr>
            <w:noProof/>
            <w:webHidden/>
          </w:rPr>
        </w:r>
        <w:r>
          <w:rPr>
            <w:noProof/>
            <w:webHidden/>
          </w:rPr>
          <w:fldChar w:fldCharType="separate"/>
        </w:r>
        <w:r>
          <w:rPr>
            <w:noProof/>
            <w:webHidden/>
          </w:rPr>
          <w:t>148</w:t>
        </w:r>
        <w:r>
          <w:rPr>
            <w:noProof/>
            <w:webHidden/>
          </w:rPr>
          <w:fldChar w:fldCharType="end"/>
        </w:r>
      </w:hyperlink>
    </w:p>
    <w:p w14:paraId="57330182"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28"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98 – Описание комплексного типа «tMSC_GRBS»</w:t>
        </w:r>
        <w:r>
          <w:rPr>
            <w:noProof/>
            <w:webHidden/>
          </w:rPr>
          <w:tab/>
        </w:r>
        <w:r>
          <w:rPr>
            <w:noProof/>
            <w:webHidden/>
          </w:rPr>
          <w:fldChar w:fldCharType="begin"/>
        </w:r>
        <w:r>
          <w:rPr>
            <w:noProof/>
            <w:webHidden/>
          </w:rPr>
          <w:instrText xml:space="preserve"> PAGEREF _Toc219309128 \h </w:instrText>
        </w:r>
        <w:r>
          <w:rPr>
            <w:noProof/>
            <w:webHidden/>
          </w:rPr>
        </w:r>
        <w:r>
          <w:rPr>
            <w:noProof/>
            <w:webHidden/>
          </w:rPr>
          <w:fldChar w:fldCharType="separate"/>
        </w:r>
        <w:r>
          <w:rPr>
            <w:noProof/>
            <w:webHidden/>
          </w:rPr>
          <w:t>152</w:t>
        </w:r>
        <w:r>
          <w:rPr>
            <w:noProof/>
            <w:webHidden/>
          </w:rPr>
          <w:fldChar w:fldCharType="end"/>
        </w:r>
      </w:hyperlink>
    </w:p>
    <w:p w14:paraId="5ACDBF67"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29"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99 – Описание комплексного типа «tMSC_Orgnztn»</w:t>
        </w:r>
        <w:r>
          <w:rPr>
            <w:noProof/>
            <w:webHidden/>
          </w:rPr>
          <w:tab/>
        </w:r>
        <w:r>
          <w:rPr>
            <w:noProof/>
            <w:webHidden/>
          </w:rPr>
          <w:fldChar w:fldCharType="begin"/>
        </w:r>
        <w:r>
          <w:rPr>
            <w:noProof/>
            <w:webHidden/>
          </w:rPr>
          <w:instrText xml:space="preserve"> PAGEREF _Toc219309129 \h </w:instrText>
        </w:r>
        <w:r>
          <w:rPr>
            <w:noProof/>
            <w:webHidden/>
          </w:rPr>
        </w:r>
        <w:r>
          <w:rPr>
            <w:noProof/>
            <w:webHidden/>
          </w:rPr>
          <w:fldChar w:fldCharType="separate"/>
        </w:r>
        <w:r>
          <w:rPr>
            <w:noProof/>
            <w:webHidden/>
          </w:rPr>
          <w:t>152</w:t>
        </w:r>
        <w:r>
          <w:rPr>
            <w:noProof/>
            <w:webHidden/>
          </w:rPr>
          <w:fldChar w:fldCharType="end"/>
        </w:r>
      </w:hyperlink>
    </w:p>
    <w:p w14:paraId="2234B0D4"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30"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100 – Описание комплексного типа «</w:t>
        </w:r>
        <w:r w:rsidRPr="005C56D9">
          <w:rPr>
            <w:rStyle w:val="af7"/>
            <w:noProof/>
          </w:rPr>
          <w:t>tMSC_Pmnt</w:t>
        </w:r>
        <w:r w:rsidRPr="005C56D9">
          <w:rPr>
            <w:rStyle w:val="af7"/>
            <w:rFonts w:eastAsia="Calibri"/>
            <w:noProof/>
          </w:rPr>
          <w:t>»</w:t>
        </w:r>
        <w:r>
          <w:rPr>
            <w:noProof/>
            <w:webHidden/>
          </w:rPr>
          <w:tab/>
        </w:r>
        <w:r>
          <w:rPr>
            <w:noProof/>
            <w:webHidden/>
          </w:rPr>
          <w:fldChar w:fldCharType="begin"/>
        </w:r>
        <w:r>
          <w:rPr>
            <w:noProof/>
            <w:webHidden/>
          </w:rPr>
          <w:instrText xml:space="preserve"> PAGEREF _Toc219309130 \h </w:instrText>
        </w:r>
        <w:r>
          <w:rPr>
            <w:noProof/>
            <w:webHidden/>
          </w:rPr>
        </w:r>
        <w:r>
          <w:rPr>
            <w:noProof/>
            <w:webHidden/>
          </w:rPr>
          <w:fldChar w:fldCharType="separate"/>
        </w:r>
        <w:r>
          <w:rPr>
            <w:noProof/>
            <w:webHidden/>
          </w:rPr>
          <w:t>153</w:t>
        </w:r>
        <w:r>
          <w:rPr>
            <w:noProof/>
            <w:webHidden/>
          </w:rPr>
          <w:fldChar w:fldCharType="end"/>
        </w:r>
      </w:hyperlink>
    </w:p>
    <w:p w14:paraId="5A7089C2"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31"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101 – Описание комплексного типа «tMSC_ShrtPyKndComplex»</w:t>
        </w:r>
        <w:r>
          <w:rPr>
            <w:noProof/>
            <w:webHidden/>
          </w:rPr>
          <w:tab/>
        </w:r>
        <w:r>
          <w:rPr>
            <w:noProof/>
            <w:webHidden/>
          </w:rPr>
          <w:fldChar w:fldCharType="begin"/>
        </w:r>
        <w:r>
          <w:rPr>
            <w:noProof/>
            <w:webHidden/>
          </w:rPr>
          <w:instrText xml:space="preserve"> PAGEREF _Toc219309131 \h </w:instrText>
        </w:r>
        <w:r>
          <w:rPr>
            <w:noProof/>
            <w:webHidden/>
          </w:rPr>
        </w:r>
        <w:r>
          <w:rPr>
            <w:noProof/>
            <w:webHidden/>
          </w:rPr>
          <w:fldChar w:fldCharType="separate"/>
        </w:r>
        <w:r>
          <w:rPr>
            <w:noProof/>
            <w:webHidden/>
          </w:rPr>
          <w:t>154</w:t>
        </w:r>
        <w:r>
          <w:rPr>
            <w:noProof/>
            <w:webHidden/>
          </w:rPr>
          <w:fldChar w:fldCharType="end"/>
        </w:r>
      </w:hyperlink>
    </w:p>
    <w:p w14:paraId="2A61C207"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32"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102 – Описание комплексного типа «tZK2»</w:t>
        </w:r>
        <w:r>
          <w:rPr>
            <w:noProof/>
            <w:webHidden/>
          </w:rPr>
          <w:tab/>
        </w:r>
        <w:r>
          <w:rPr>
            <w:noProof/>
            <w:webHidden/>
          </w:rPr>
          <w:fldChar w:fldCharType="begin"/>
        </w:r>
        <w:r>
          <w:rPr>
            <w:noProof/>
            <w:webHidden/>
          </w:rPr>
          <w:instrText xml:space="preserve"> PAGEREF _Toc219309132 \h </w:instrText>
        </w:r>
        <w:r>
          <w:rPr>
            <w:noProof/>
            <w:webHidden/>
          </w:rPr>
        </w:r>
        <w:r>
          <w:rPr>
            <w:noProof/>
            <w:webHidden/>
          </w:rPr>
          <w:fldChar w:fldCharType="separate"/>
        </w:r>
        <w:r>
          <w:rPr>
            <w:noProof/>
            <w:webHidden/>
          </w:rPr>
          <w:t>154</w:t>
        </w:r>
        <w:r>
          <w:rPr>
            <w:noProof/>
            <w:webHidden/>
          </w:rPr>
          <w:fldChar w:fldCharType="end"/>
        </w:r>
      </w:hyperlink>
    </w:p>
    <w:p w14:paraId="035D4543"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33"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103 – Описание комплексного типа «tZK2_ITEM»</w:t>
        </w:r>
        <w:r>
          <w:rPr>
            <w:noProof/>
            <w:webHidden/>
          </w:rPr>
          <w:tab/>
        </w:r>
        <w:r>
          <w:rPr>
            <w:noProof/>
            <w:webHidden/>
          </w:rPr>
          <w:fldChar w:fldCharType="begin"/>
        </w:r>
        <w:r>
          <w:rPr>
            <w:noProof/>
            <w:webHidden/>
          </w:rPr>
          <w:instrText xml:space="preserve"> PAGEREF _Toc219309133 \h </w:instrText>
        </w:r>
        <w:r>
          <w:rPr>
            <w:noProof/>
            <w:webHidden/>
          </w:rPr>
        </w:r>
        <w:r>
          <w:rPr>
            <w:noProof/>
            <w:webHidden/>
          </w:rPr>
          <w:fldChar w:fldCharType="separate"/>
        </w:r>
        <w:r>
          <w:rPr>
            <w:noProof/>
            <w:webHidden/>
          </w:rPr>
          <w:t>154</w:t>
        </w:r>
        <w:r>
          <w:rPr>
            <w:noProof/>
            <w:webHidden/>
          </w:rPr>
          <w:fldChar w:fldCharType="end"/>
        </w:r>
      </w:hyperlink>
    </w:p>
    <w:p w14:paraId="2C36D017"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34"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104 – Описание комплексного типа «tMSC_IncmAdmn1»</w:t>
        </w:r>
        <w:r>
          <w:rPr>
            <w:noProof/>
            <w:webHidden/>
          </w:rPr>
          <w:tab/>
        </w:r>
        <w:r>
          <w:rPr>
            <w:noProof/>
            <w:webHidden/>
          </w:rPr>
          <w:fldChar w:fldCharType="begin"/>
        </w:r>
        <w:r>
          <w:rPr>
            <w:noProof/>
            <w:webHidden/>
          </w:rPr>
          <w:instrText xml:space="preserve"> PAGEREF _Toc219309134 \h </w:instrText>
        </w:r>
        <w:r>
          <w:rPr>
            <w:noProof/>
            <w:webHidden/>
          </w:rPr>
        </w:r>
        <w:r>
          <w:rPr>
            <w:noProof/>
            <w:webHidden/>
          </w:rPr>
          <w:fldChar w:fldCharType="separate"/>
        </w:r>
        <w:r>
          <w:rPr>
            <w:noProof/>
            <w:webHidden/>
          </w:rPr>
          <w:t>159</w:t>
        </w:r>
        <w:r>
          <w:rPr>
            <w:noProof/>
            <w:webHidden/>
          </w:rPr>
          <w:fldChar w:fldCharType="end"/>
        </w:r>
      </w:hyperlink>
    </w:p>
    <w:p w14:paraId="4DD9D766"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35"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105 – Описание комплексного типа «tMSC_Bnk1»</w:t>
        </w:r>
        <w:r>
          <w:rPr>
            <w:noProof/>
            <w:webHidden/>
          </w:rPr>
          <w:tab/>
        </w:r>
        <w:r>
          <w:rPr>
            <w:noProof/>
            <w:webHidden/>
          </w:rPr>
          <w:fldChar w:fldCharType="begin"/>
        </w:r>
        <w:r>
          <w:rPr>
            <w:noProof/>
            <w:webHidden/>
          </w:rPr>
          <w:instrText xml:space="preserve"> PAGEREF _Toc219309135 \h </w:instrText>
        </w:r>
        <w:r>
          <w:rPr>
            <w:noProof/>
            <w:webHidden/>
          </w:rPr>
        </w:r>
        <w:r>
          <w:rPr>
            <w:noProof/>
            <w:webHidden/>
          </w:rPr>
          <w:fldChar w:fldCharType="separate"/>
        </w:r>
        <w:r>
          <w:rPr>
            <w:noProof/>
            <w:webHidden/>
          </w:rPr>
          <w:t>160</w:t>
        </w:r>
        <w:r>
          <w:rPr>
            <w:noProof/>
            <w:webHidden/>
          </w:rPr>
          <w:fldChar w:fldCharType="end"/>
        </w:r>
      </w:hyperlink>
    </w:p>
    <w:p w14:paraId="3929441D"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36"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106 – Описание комплексного типа «tMSC_DcBs4»</w:t>
        </w:r>
        <w:r>
          <w:rPr>
            <w:noProof/>
            <w:webHidden/>
          </w:rPr>
          <w:tab/>
        </w:r>
        <w:r>
          <w:rPr>
            <w:noProof/>
            <w:webHidden/>
          </w:rPr>
          <w:fldChar w:fldCharType="begin"/>
        </w:r>
        <w:r>
          <w:rPr>
            <w:noProof/>
            <w:webHidden/>
          </w:rPr>
          <w:instrText xml:space="preserve"> PAGEREF _Toc219309136 \h </w:instrText>
        </w:r>
        <w:r>
          <w:rPr>
            <w:noProof/>
            <w:webHidden/>
          </w:rPr>
        </w:r>
        <w:r>
          <w:rPr>
            <w:noProof/>
            <w:webHidden/>
          </w:rPr>
          <w:fldChar w:fldCharType="separate"/>
        </w:r>
        <w:r>
          <w:rPr>
            <w:noProof/>
            <w:webHidden/>
          </w:rPr>
          <w:t>161</w:t>
        </w:r>
        <w:r>
          <w:rPr>
            <w:noProof/>
            <w:webHidden/>
          </w:rPr>
          <w:fldChar w:fldCharType="end"/>
        </w:r>
      </w:hyperlink>
    </w:p>
    <w:p w14:paraId="7F26E120"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37"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107 – Описание комплексного типа «tMSC_Pmnt2»</w:t>
        </w:r>
        <w:r>
          <w:rPr>
            <w:noProof/>
            <w:webHidden/>
          </w:rPr>
          <w:tab/>
        </w:r>
        <w:r>
          <w:rPr>
            <w:noProof/>
            <w:webHidden/>
          </w:rPr>
          <w:fldChar w:fldCharType="begin"/>
        </w:r>
        <w:r>
          <w:rPr>
            <w:noProof/>
            <w:webHidden/>
          </w:rPr>
          <w:instrText xml:space="preserve"> PAGEREF _Toc219309137 \h </w:instrText>
        </w:r>
        <w:r>
          <w:rPr>
            <w:noProof/>
            <w:webHidden/>
          </w:rPr>
        </w:r>
        <w:r>
          <w:rPr>
            <w:noProof/>
            <w:webHidden/>
          </w:rPr>
          <w:fldChar w:fldCharType="separate"/>
        </w:r>
        <w:r>
          <w:rPr>
            <w:noProof/>
            <w:webHidden/>
          </w:rPr>
          <w:t>162</w:t>
        </w:r>
        <w:r>
          <w:rPr>
            <w:noProof/>
            <w:webHidden/>
          </w:rPr>
          <w:fldChar w:fldCharType="end"/>
        </w:r>
      </w:hyperlink>
    </w:p>
    <w:p w14:paraId="11978B9A"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38"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108</w:t>
        </w:r>
        <w:r w:rsidRPr="005C56D9">
          <w:rPr>
            <w:rStyle w:val="af7"/>
            <w:rFonts w:eastAsia="Calibri"/>
            <w:noProof/>
          </w:rPr>
          <w:t xml:space="preserve"> – </w:t>
        </w:r>
        <w:r w:rsidRPr="005C56D9">
          <w:rPr>
            <w:rStyle w:val="af7"/>
            <w:noProof/>
          </w:rPr>
          <w:t>Описание комплексного типа «tSGNNmPs1»</w:t>
        </w:r>
        <w:r>
          <w:rPr>
            <w:noProof/>
            <w:webHidden/>
          </w:rPr>
          <w:tab/>
        </w:r>
        <w:r>
          <w:rPr>
            <w:noProof/>
            <w:webHidden/>
          </w:rPr>
          <w:fldChar w:fldCharType="begin"/>
        </w:r>
        <w:r>
          <w:rPr>
            <w:noProof/>
            <w:webHidden/>
          </w:rPr>
          <w:instrText xml:space="preserve"> PAGEREF _Toc219309138 \h </w:instrText>
        </w:r>
        <w:r>
          <w:rPr>
            <w:noProof/>
            <w:webHidden/>
          </w:rPr>
        </w:r>
        <w:r>
          <w:rPr>
            <w:noProof/>
            <w:webHidden/>
          </w:rPr>
          <w:fldChar w:fldCharType="separate"/>
        </w:r>
        <w:r>
          <w:rPr>
            <w:noProof/>
            <w:webHidden/>
          </w:rPr>
          <w:t>162</w:t>
        </w:r>
        <w:r>
          <w:rPr>
            <w:noProof/>
            <w:webHidden/>
          </w:rPr>
          <w:fldChar w:fldCharType="end"/>
        </w:r>
      </w:hyperlink>
    </w:p>
    <w:p w14:paraId="7DD359E6"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39" w:history="1">
        <w:r w:rsidRPr="005C56D9">
          <w:rPr>
            <w:rStyle w:val="af7"/>
            <w:noProof/>
            <w:highlight w:val="green"/>
          </w:rPr>
          <w:t>Таблица </w:t>
        </w:r>
        <w:r>
          <w:rPr>
            <w:rFonts w:asciiTheme="minorHAnsi" w:eastAsiaTheme="minorEastAsia" w:hAnsiTheme="minorHAnsi" w:cstheme="minorBidi"/>
            <w:noProof/>
            <w:sz w:val="22"/>
            <w:szCs w:val="22"/>
          </w:rPr>
          <w:tab/>
        </w:r>
        <w:r w:rsidRPr="005C56D9">
          <w:rPr>
            <w:rStyle w:val="af7"/>
            <w:noProof/>
            <w:highlight w:val="green"/>
          </w:rPr>
          <w:t>109</w:t>
        </w:r>
        <w:r w:rsidRPr="005C56D9">
          <w:rPr>
            <w:rStyle w:val="af7"/>
            <w:rFonts w:eastAsia="Calibri"/>
            <w:noProof/>
            <w:highlight w:val="green"/>
          </w:rPr>
          <w:t xml:space="preserve"> – </w:t>
        </w:r>
        <w:r w:rsidRPr="005C56D9">
          <w:rPr>
            <w:rStyle w:val="af7"/>
            <w:noProof/>
            <w:highlight w:val="green"/>
          </w:rPr>
          <w:t>Маршрут документа «Запрос на отзыв распоряжения (запрос на аннулирование)»</w:t>
        </w:r>
        <w:r>
          <w:rPr>
            <w:noProof/>
            <w:webHidden/>
          </w:rPr>
          <w:tab/>
        </w:r>
        <w:r>
          <w:rPr>
            <w:noProof/>
            <w:webHidden/>
          </w:rPr>
          <w:fldChar w:fldCharType="begin"/>
        </w:r>
        <w:r>
          <w:rPr>
            <w:noProof/>
            <w:webHidden/>
          </w:rPr>
          <w:instrText xml:space="preserve"> PAGEREF _Toc219309139 \h </w:instrText>
        </w:r>
        <w:r>
          <w:rPr>
            <w:noProof/>
            <w:webHidden/>
          </w:rPr>
        </w:r>
        <w:r>
          <w:rPr>
            <w:noProof/>
            <w:webHidden/>
          </w:rPr>
          <w:fldChar w:fldCharType="separate"/>
        </w:r>
        <w:r>
          <w:rPr>
            <w:noProof/>
            <w:webHidden/>
          </w:rPr>
          <w:t>168</w:t>
        </w:r>
        <w:r>
          <w:rPr>
            <w:noProof/>
            <w:webHidden/>
          </w:rPr>
          <w:fldChar w:fldCharType="end"/>
        </w:r>
      </w:hyperlink>
    </w:p>
    <w:p w14:paraId="302CCD48"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40" w:history="1">
        <w:r w:rsidRPr="005C56D9">
          <w:rPr>
            <w:rStyle w:val="af7"/>
            <w:noProof/>
            <w:highlight w:val="green"/>
          </w:rPr>
          <w:t>Таблица </w:t>
        </w:r>
        <w:r>
          <w:rPr>
            <w:rFonts w:asciiTheme="minorHAnsi" w:eastAsiaTheme="minorEastAsia" w:hAnsiTheme="minorHAnsi" w:cstheme="minorBidi"/>
            <w:noProof/>
            <w:sz w:val="22"/>
            <w:szCs w:val="22"/>
          </w:rPr>
          <w:tab/>
        </w:r>
        <w:r w:rsidRPr="005C56D9">
          <w:rPr>
            <w:rStyle w:val="af7"/>
            <w:noProof/>
            <w:highlight w:val="green"/>
          </w:rPr>
          <w:t>110</w:t>
        </w:r>
        <w:r w:rsidRPr="005C56D9">
          <w:rPr>
            <w:rStyle w:val="af7"/>
            <w:rFonts w:eastAsia="Calibri"/>
            <w:noProof/>
            <w:highlight w:val="green"/>
          </w:rPr>
          <w:t xml:space="preserve"> – </w:t>
        </w:r>
        <w:r w:rsidRPr="005C56D9">
          <w:rPr>
            <w:rStyle w:val="af7"/>
            <w:noProof/>
            <w:highlight w:val="green"/>
          </w:rPr>
          <w:t>Описание комплексного типа «tMSC_CANCDOC_REQ»</w:t>
        </w:r>
        <w:r>
          <w:rPr>
            <w:noProof/>
            <w:webHidden/>
          </w:rPr>
          <w:tab/>
        </w:r>
        <w:r>
          <w:rPr>
            <w:noProof/>
            <w:webHidden/>
          </w:rPr>
          <w:fldChar w:fldCharType="begin"/>
        </w:r>
        <w:r>
          <w:rPr>
            <w:noProof/>
            <w:webHidden/>
          </w:rPr>
          <w:instrText xml:space="preserve"> PAGEREF _Toc219309140 \h </w:instrText>
        </w:r>
        <w:r>
          <w:rPr>
            <w:noProof/>
            <w:webHidden/>
          </w:rPr>
        </w:r>
        <w:r>
          <w:rPr>
            <w:noProof/>
            <w:webHidden/>
          </w:rPr>
          <w:fldChar w:fldCharType="separate"/>
        </w:r>
        <w:r>
          <w:rPr>
            <w:noProof/>
            <w:webHidden/>
          </w:rPr>
          <w:t>169</w:t>
        </w:r>
        <w:r>
          <w:rPr>
            <w:noProof/>
            <w:webHidden/>
          </w:rPr>
          <w:fldChar w:fldCharType="end"/>
        </w:r>
      </w:hyperlink>
    </w:p>
    <w:p w14:paraId="41CC1F65"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41" w:history="1">
        <w:r w:rsidRPr="005C56D9">
          <w:rPr>
            <w:rStyle w:val="af7"/>
            <w:noProof/>
            <w:highlight w:val="green"/>
          </w:rPr>
          <w:t>Таблица </w:t>
        </w:r>
        <w:r>
          <w:rPr>
            <w:rFonts w:asciiTheme="minorHAnsi" w:eastAsiaTheme="minorEastAsia" w:hAnsiTheme="minorHAnsi" w:cstheme="minorBidi"/>
            <w:noProof/>
            <w:sz w:val="22"/>
            <w:szCs w:val="22"/>
          </w:rPr>
          <w:tab/>
        </w:r>
        <w:r w:rsidRPr="005C56D9">
          <w:rPr>
            <w:rStyle w:val="af7"/>
            <w:noProof/>
            <w:highlight w:val="green"/>
          </w:rPr>
          <w:t>111</w:t>
        </w:r>
        <w:r w:rsidRPr="005C56D9">
          <w:rPr>
            <w:rStyle w:val="af7"/>
            <w:rFonts w:eastAsia="Calibri"/>
            <w:noProof/>
            <w:highlight w:val="green"/>
          </w:rPr>
          <w:t xml:space="preserve"> – </w:t>
        </w:r>
        <w:r w:rsidRPr="005C56D9">
          <w:rPr>
            <w:rStyle w:val="af7"/>
            <w:noProof/>
            <w:highlight w:val="green"/>
          </w:rPr>
          <w:t>Описание комплексного типа «tMSC_PBS_UBP»</w:t>
        </w:r>
        <w:r>
          <w:rPr>
            <w:noProof/>
            <w:webHidden/>
          </w:rPr>
          <w:tab/>
        </w:r>
        <w:r>
          <w:rPr>
            <w:noProof/>
            <w:webHidden/>
          </w:rPr>
          <w:fldChar w:fldCharType="begin"/>
        </w:r>
        <w:r>
          <w:rPr>
            <w:noProof/>
            <w:webHidden/>
          </w:rPr>
          <w:instrText xml:space="preserve"> PAGEREF _Toc219309141 \h </w:instrText>
        </w:r>
        <w:r>
          <w:rPr>
            <w:noProof/>
            <w:webHidden/>
          </w:rPr>
        </w:r>
        <w:r>
          <w:rPr>
            <w:noProof/>
            <w:webHidden/>
          </w:rPr>
          <w:fldChar w:fldCharType="separate"/>
        </w:r>
        <w:r>
          <w:rPr>
            <w:noProof/>
            <w:webHidden/>
          </w:rPr>
          <w:t>173</w:t>
        </w:r>
        <w:r>
          <w:rPr>
            <w:noProof/>
            <w:webHidden/>
          </w:rPr>
          <w:fldChar w:fldCharType="end"/>
        </w:r>
      </w:hyperlink>
    </w:p>
    <w:p w14:paraId="4EDD302B"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42"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112</w:t>
        </w:r>
        <w:r w:rsidRPr="005C56D9">
          <w:rPr>
            <w:rStyle w:val="af7"/>
            <w:rFonts w:eastAsia="Calibri"/>
            <w:noProof/>
          </w:rPr>
          <w:t xml:space="preserve"> – </w:t>
        </w:r>
        <w:r w:rsidRPr="005C56D9">
          <w:rPr>
            <w:rStyle w:val="af7"/>
            <w:noProof/>
          </w:rPr>
          <w:t>Описание комплексного типа «tMSC_TOFK»</w:t>
        </w:r>
        <w:r>
          <w:rPr>
            <w:noProof/>
            <w:webHidden/>
          </w:rPr>
          <w:tab/>
        </w:r>
        <w:r>
          <w:rPr>
            <w:noProof/>
            <w:webHidden/>
          </w:rPr>
          <w:fldChar w:fldCharType="begin"/>
        </w:r>
        <w:r>
          <w:rPr>
            <w:noProof/>
            <w:webHidden/>
          </w:rPr>
          <w:instrText xml:space="preserve"> PAGEREF _Toc219309142 \h </w:instrText>
        </w:r>
        <w:r>
          <w:rPr>
            <w:noProof/>
            <w:webHidden/>
          </w:rPr>
        </w:r>
        <w:r>
          <w:rPr>
            <w:noProof/>
            <w:webHidden/>
          </w:rPr>
          <w:fldChar w:fldCharType="separate"/>
        </w:r>
        <w:r>
          <w:rPr>
            <w:noProof/>
            <w:webHidden/>
          </w:rPr>
          <w:t>173</w:t>
        </w:r>
        <w:r>
          <w:rPr>
            <w:noProof/>
            <w:webHidden/>
          </w:rPr>
          <w:fldChar w:fldCharType="end"/>
        </w:r>
      </w:hyperlink>
    </w:p>
    <w:p w14:paraId="168DD098"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43"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113</w:t>
        </w:r>
        <w:r w:rsidRPr="005C56D9">
          <w:rPr>
            <w:rStyle w:val="af7"/>
            <w:rFonts w:eastAsia="Calibri"/>
            <w:noProof/>
          </w:rPr>
          <w:t xml:space="preserve"> – </w:t>
        </w:r>
        <w:r w:rsidRPr="005C56D9">
          <w:rPr>
            <w:rStyle w:val="af7"/>
            <w:noProof/>
          </w:rPr>
          <w:t>Описание комплексного типа «tTF»</w:t>
        </w:r>
        <w:r>
          <w:rPr>
            <w:noProof/>
            <w:webHidden/>
          </w:rPr>
          <w:tab/>
        </w:r>
        <w:r>
          <w:rPr>
            <w:noProof/>
            <w:webHidden/>
          </w:rPr>
          <w:fldChar w:fldCharType="begin"/>
        </w:r>
        <w:r>
          <w:rPr>
            <w:noProof/>
            <w:webHidden/>
          </w:rPr>
          <w:instrText xml:space="preserve"> PAGEREF _Toc219309143 \h </w:instrText>
        </w:r>
        <w:r>
          <w:rPr>
            <w:noProof/>
            <w:webHidden/>
          </w:rPr>
        </w:r>
        <w:r>
          <w:rPr>
            <w:noProof/>
            <w:webHidden/>
          </w:rPr>
          <w:fldChar w:fldCharType="separate"/>
        </w:r>
        <w:r>
          <w:rPr>
            <w:noProof/>
            <w:webHidden/>
          </w:rPr>
          <w:t>174</w:t>
        </w:r>
        <w:r>
          <w:rPr>
            <w:noProof/>
            <w:webHidden/>
          </w:rPr>
          <w:fldChar w:fldCharType="end"/>
        </w:r>
      </w:hyperlink>
    </w:p>
    <w:p w14:paraId="59880B11"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44" w:history="1">
        <w:r w:rsidRPr="005C56D9">
          <w:rPr>
            <w:rStyle w:val="af7"/>
            <w:noProof/>
            <w:highlight w:val="green"/>
          </w:rPr>
          <w:t>Таблица </w:t>
        </w:r>
        <w:r>
          <w:rPr>
            <w:rFonts w:asciiTheme="minorHAnsi" w:eastAsiaTheme="minorEastAsia" w:hAnsiTheme="minorHAnsi" w:cstheme="minorBidi"/>
            <w:noProof/>
            <w:sz w:val="22"/>
            <w:szCs w:val="22"/>
          </w:rPr>
          <w:tab/>
        </w:r>
        <w:r w:rsidRPr="005C56D9">
          <w:rPr>
            <w:rStyle w:val="af7"/>
            <w:noProof/>
            <w:highlight w:val="green"/>
          </w:rPr>
          <w:t>114</w:t>
        </w:r>
        <w:r w:rsidRPr="005C56D9">
          <w:rPr>
            <w:rStyle w:val="af7"/>
            <w:rFonts w:eastAsia="Calibri"/>
            <w:noProof/>
            <w:highlight w:val="green"/>
          </w:rPr>
          <w:t xml:space="preserve"> – </w:t>
        </w:r>
        <w:r w:rsidRPr="005C56D9">
          <w:rPr>
            <w:rStyle w:val="af7"/>
            <w:noProof/>
            <w:highlight w:val="green"/>
          </w:rPr>
          <w:t>Описание комплексного типа «tDocTypeDBDComplex1»</w:t>
        </w:r>
        <w:r>
          <w:rPr>
            <w:noProof/>
            <w:webHidden/>
          </w:rPr>
          <w:tab/>
        </w:r>
        <w:r>
          <w:rPr>
            <w:noProof/>
            <w:webHidden/>
          </w:rPr>
          <w:fldChar w:fldCharType="begin"/>
        </w:r>
        <w:r>
          <w:rPr>
            <w:noProof/>
            <w:webHidden/>
          </w:rPr>
          <w:instrText xml:space="preserve"> PAGEREF _Toc219309144 \h </w:instrText>
        </w:r>
        <w:r>
          <w:rPr>
            <w:noProof/>
            <w:webHidden/>
          </w:rPr>
        </w:r>
        <w:r>
          <w:rPr>
            <w:noProof/>
            <w:webHidden/>
          </w:rPr>
          <w:fldChar w:fldCharType="separate"/>
        </w:r>
        <w:r>
          <w:rPr>
            <w:noProof/>
            <w:webHidden/>
          </w:rPr>
          <w:t>174</w:t>
        </w:r>
        <w:r>
          <w:rPr>
            <w:noProof/>
            <w:webHidden/>
          </w:rPr>
          <w:fldChar w:fldCharType="end"/>
        </w:r>
      </w:hyperlink>
    </w:p>
    <w:p w14:paraId="531D7FB0"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45"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115</w:t>
        </w:r>
        <w:r w:rsidRPr="005C56D9">
          <w:rPr>
            <w:rStyle w:val="af7"/>
            <w:rFonts w:eastAsia="Calibri"/>
            <w:noProof/>
          </w:rPr>
          <w:t xml:space="preserve"> – </w:t>
        </w:r>
        <w:r w:rsidRPr="005C56D9">
          <w:rPr>
            <w:rStyle w:val="af7"/>
            <w:noProof/>
          </w:rPr>
          <w:t>Описание комплексного типа «tSGNNmPs»</w:t>
        </w:r>
        <w:r>
          <w:rPr>
            <w:noProof/>
            <w:webHidden/>
          </w:rPr>
          <w:tab/>
        </w:r>
        <w:r>
          <w:rPr>
            <w:noProof/>
            <w:webHidden/>
          </w:rPr>
          <w:fldChar w:fldCharType="begin"/>
        </w:r>
        <w:r>
          <w:rPr>
            <w:noProof/>
            <w:webHidden/>
          </w:rPr>
          <w:instrText xml:space="preserve"> PAGEREF _Toc219309145 \h </w:instrText>
        </w:r>
        <w:r>
          <w:rPr>
            <w:noProof/>
            <w:webHidden/>
          </w:rPr>
        </w:r>
        <w:r>
          <w:rPr>
            <w:noProof/>
            <w:webHidden/>
          </w:rPr>
          <w:fldChar w:fldCharType="separate"/>
        </w:r>
        <w:r>
          <w:rPr>
            <w:noProof/>
            <w:webHidden/>
          </w:rPr>
          <w:t>177</w:t>
        </w:r>
        <w:r>
          <w:rPr>
            <w:noProof/>
            <w:webHidden/>
          </w:rPr>
          <w:fldChar w:fldCharType="end"/>
        </w:r>
      </w:hyperlink>
    </w:p>
    <w:p w14:paraId="2DB86E16"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46"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116 – Описание комплексного типа «tSGN»</w:t>
        </w:r>
        <w:r>
          <w:rPr>
            <w:noProof/>
            <w:webHidden/>
          </w:rPr>
          <w:tab/>
        </w:r>
        <w:r>
          <w:rPr>
            <w:noProof/>
            <w:webHidden/>
          </w:rPr>
          <w:fldChar w:fldCharType="begin"/>
        </w:r>
        <w:r>
          <w:rPr>
            <w:noProof/>
            <w:webHidden/>
          </w:rPr>
          <w:instrText xml:space="preserve"> PAGEREF _Toc219309146 \h </w:instrText>
        </w:r>
        <w:r>
          <w:rPr>
            <w:noProof/>
            <w:webHidden/>
          </w:rPr>
        </w:r>
        <w:r>
          <w:rPr>
            <w:noProof/>
            <w:webHidden/>
          </w:rPr>
          <w:fldChar w:fldCharType="separate"/>
        </w:r>
        <w:r>
          <w:rPr>
            <w:noProof/>
            <w:webHidden/>
          </w:rPr>
          <w:t>177</w:t>
        </w:r>
        <w:r>
          <w:rPr>
            <w:noProof/>
            <w:webHidden/>
          </w:rPr>
          <w:fldChar w:fldCharType="end"/>
        </w:r>
      </w:hyperlink>
    </w:p>
    <w:p w14:paraId="17641218"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47" w:history="1">
        <w:r w:rsidRPr="005C56D9">
          <w:rPr>
            <w:rStyle w:val="af7"/>
            <w:noProof/>
            <w:highlight w:val="green"/>
          </w:rPr>
          <w:t>Таблица </w:t>
        </w:r>
        <w:r>
          <w:rPr>
            <w:rFonts w:asciiTheme="minorHAnsi" w:eastAsiaTheme="minorEastAsia" w:hAnsiTheme="minorHAnsi" w:cstheme="minorBidi"/>
            <w:noProof/>
            <w:sz w:val="22"/>
            <w:szCs w:val="22"/>
          </w:rPr>
          <w:tab/>
        </w:r>
        <w:r w:rsidRPr="005C56D9">
          <w:rPr>
            <w:rStyle w:val="af7"/>
            <w:noProof/>
            <w:highlight w:val="green"/>
          </w:rPr>
          <w:t>117</w:t>
        </w:r>
        <w:r w:rsidRPr="005C56D9">
          <w:rPr>
            <w:rStyle w:val="af7"/>
            <w:rFonts w:eastAsia="Calibri"/>
            <w:noProof/>
            <w:highlight w:val="green"/>
          </w:rPr>
          <w:t xml:space="preserve"> – </w:t>
        </w:r>
        <w:r w:rsidRPr="005C56D9">
          <w:rPr>
            <w:rStyle w:val="af7"/>
            <w:noProof/>
            <w:highlight w:val="green"/>
          </w:rPr>
          <w:t>Маршрут документа «Заявка на возврат» (ф. 0531803)</w:t>
        </w:r>
        <w:r>
          <w:rPr>
            <w:noProof/>
            <w:webHidden/>
          </w:rPr>
          <w:tab/>
        </w:r>
        <w:r>
          <w:rPr>
            <w:noProof/>
            <w:webHidden/>
          </w:rPr>
          <w:fldChar w:fldCharType="begin"/>
        </w:r>
        <w:r>
          <w:rPr>
            <w:noProof/>
            <w:webHidden/>
          </w:rPr>
          <w:instrText xml:space="preserve"> PAGEREF _Toc219309147 \h </w:instrText>
        </w:r>
        <w:r>
          <w:rPr>
            <w:noProof/>
            <w:webHidden/>
          </w:rPr>
        </w:r>
        <w:r>
          <w:rPr>
            <w:noProof/>
            <w:webHidden/>
          </w:rPr>
          <w:fldChar w:fldCharType="separate"/>
        </w:r>
        <w:r>
          <w:rPr>
            <w:noProof/>
            <w:webHidden/>
          </w:rPr>
          <w:t>183</w:t>
        </w:r>
        <w:r>
          <w:rPr>
            <w:noProof/>
            <w:webHidden/>
          </w:rPr>
          <w:fldChar w:fldCharType="end"/>
        </w:r>
      </w:hyperlink>
    </w:p>
    <w:p w14:paraId="7516DCDC"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48"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 xml:space="preserve">118 – </w:t>
        </w:r>
        <w:r w:rsidRPr="005C56D9">
          <w:rPr>
            <w:rStyle w:val="af7"/>
            <w:noProof/>
          </w:rPr>
          <w:t>Описание</w:t>
        </w:r>
        <w:r w:rsidRPr="005C56D9">
          <w:rPr>
            <w:rStyle w:val="af7"/>
            <w:rFonts w:eastAsia="Calibri"/>
            <w:noProof/>
          </w:rPr>
          <w:t xml:space="preserve"> комплексного типа «tMSC_ApplRfnd»</w:t>
        </w:r>
        <w:r>
          <w:rPr>
            <w:noProof/>
            <w:webHidden/>
          </w:rPr>
          <w:tab/>
        </w:r>
        <w:r>
          <w:rPr>
            <w:noProof/>
            <w:webHidden/>
          </w:rPr>
          <w:fldChar w:fldCharType="begin"/>
        </w:r>
        <w:r>
          <w:rPr>
            <w:noProof/>
            <w:webHidden/>
          </w:rPr>
          <w:instrText xml:space="preserve"> PAGEREF _Toc219309148 \h </w:instrText>
        </w:r>
        <w:r>
          <w:rPr>
            <w:noProof/>
            <w:webHidden/>
          </w:rPr>
        </w:r>
        <w:r>
          <w:rPr>
            <w:noProof/>
            <w:webHidden/>
          </w:rPr>
          <w:fldChar w:fldCharType="separate"/>
        </w:r>
        <w:r>
          <w:rPr>
            <w:noProof/>
            <w:webHidden/>
          </w:rPr>
          <w:t>183</w:t>
        </w:r>
        <w:r>
          <w:rPr>
            <w:noProof/>
            <w:webHidden/>
          </w:rPr>
          <w:fldChar w:fldCharType="end"/>
        </w:r>
      </w:hyperlink>
    </w:p>
    <w:p w14:paraId="0923E254"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49"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119 – Описание комплексного типа «</w:t>
        </w:r>
        <w:r w:rsidRPr="005C56D9">
          <w:rPr>
            <w:rStyle w:val="af7"/>
            <w:noProof/>
          </w:rPr>
          <w:t>tMSC_Cstmr6</w:t>
        </w:r>
        <w:r w:rsidRPr="005C56D9">
          <w:rPr>
            <w:rStyle w:val="af7"/>
            <w:rFonts w:eastAsia="Calibri"/>
            <w:noProof/>
          </w:rPr>
          <w:t>»</w:t>
        </w:r>
        <w:r>
          <w:rPr>
            <w:noProof/>
            <w:webHidden/>
          </w:rPr>
          <w:tab/>
        </w:r>
        <w:r>
          <w:rPr>
            <w:noProof/>
            <w:webHidden/>
          </w:rPr>
          <w:fldChar w:fldCharType="begin"/>
        </w:r>
        <w:r>
          <w:rPr>
            <w:noProof/>
            <w:webHidden/>
          </w:rPr>
          <w:instrText xml:space="preserve"> PAGEREF _Toc219309149 \h </w:instrText>
        </w:r>
        <w:r>
          <w:rPr>
            <w:noProof/>
            <w:webHidden/>
          </w:rPr>
        </w:r>
        <w:r>
          <w:rPr>
            <w:noProof/>
            <w:webHidden/>
          </w:rPr>
          <w:fldChar w:fldCharType="separate"/>
        </w:r>
        <w:r>
          <w:rPr>
            <w:noProof/>
            <w:webHidden/>
          </w:rPr>
          <w:t>186</w:t>
        </w:r>
        <w:r>
          <w:rPr>
            <w:noProof/>
            <w:webHidden/>
          </w:rPr>
          <w:fldChar w:fldCharType="end"/>
        </w:r>
      </w:hyperlink>
    </w:p>
    <w:p w14:paraId="40AE747A"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50"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120</w:t>
        </w:r>
        <w:r w:rsidRPr="005C56D9">
          <w:rPr>
            <w:rStyle w:val="af7"/>
            <w:rFonts w:eastAsia="Calibri"/>
            <w:noProof/>
          </w:rPr>
          <w:t xml:space="preserve"> – </w:t>
        </w:r>
        <w:r w:rsidRPr="005C56D9">
          <w:rPr>
            <w:rStyle w:val="af7"/>
            <w:noProof/>
          </w:rPr>
          <w:t>Описание комплексного типа «tMSC_Orgnztn»</w:t>
        </w:r>
        <w:r>
          <w:rPr>
            <w:noProof/>
            <w:webHidden/>
          </w:rPr>
          <w:tab/>
        </w:r>
        <w:r>
          <w:rPr>
            <w:noProof/>
            <w:webHidden/>
          </w:rPr>
          <w:fldChar w:fldCharType="begin"/>
        </w:r>
        <w:r>
          <w:rPr>
            <w:noProof/>
            <w:webHidden/>
          </w:rPr>
          <w:instrText xml:space="preserve"> PAGEREF _Toc219309150 \h </w:instrText>
        </w:r>
        <w:r>
          <w:rPr>
            <w:noProof/>
            <w:webHidden/>
          </w:rPr>
        </w:r>
        <w:r>
          <w:rPr>
            <w:noProof/>
            <w:webHidden/>
          </w:rPr>
          <w:fldChar w:fldCharType="separate"/>
        </w:r>
        <w:r>
          <w:rPr>
            <w:noProof/>
            <w:webHidden/>
          </w:rPr>
          <w:t>187</w:t>
        </w:r>
        <w:r>
          <w:rPr>
            <w:noProof/>
            <w:webHidden/>
          </w:rPr>
          <w:fldChar w:fldCharType="end"/>
        </w:r>
      </w:hyperlink>
    </w:p>
    <w:p w14:paraId="7FB73C7D"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51"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121</w:t>
        </w:r>
        <w:r w:rsidRPr="005C56D9">
          <w:rPr>
            <w:rStyle w:val="af7"/>
            <w:rFonts w:eastAsia="Calibri"/>
            <w:noProof/>
          </w:rPr>
          <w:t xml:space="preserve"> – </w:t>
        </w:r>
        <w:r w:rsidRPr="005C56D9">
          <w:rPr>
            <w:rStyle w:val="af7"/>
            <w:noProof/>
          </w:rPr>
          <w:t>Описание комплексного типа «tMSC_TOFK»</w:t>
        </w:r>
        <w:r>
          <w:rPr>
            <w:noProof/>
            <w:webHidden/>
          </w:rPr>
          <w:tab/>
        </w:r>
        <w:r>
          <w:rPr>
            <w:noProof/>
            <w:webHidden/>
          </w:rPr>
          <w:fldChar w:fldCharType="begin"/>
        </w:r>
        <w:r>
          <w:rPr>
            <w:noProof/>
            <w:webHidden/>
          </w:rPr>
          <w:instrText xml:space="preserve"> PAGEREF _Toc219309151 \h </w:instrText>
        </w:r>
        <w:r>
          <w:rPr>
            <w:noProof/>
            <w:webHidden/>
          </w:rPr>
        </w:r>
        <w:r>
          <w:rPr>
            <w:noProof/>
            <w:webHidden/>
          </w:rPr>
          <w:fldChar w:fldCharType="separate"/>
        </w:r>
        <w:r>
          <w:rPr>
            <w:noProof/>
            <w:webHidden/>
          </w:rPr>
          <w:t>187</w:t>
        </w:r>
        <w:r>
          <w:rPr>
            <w:noProof/>
            <w:webHidden/>
          </w:rPr>
          <w:fldChar w:fldCharType="end"/>
        </w:r>
      </w:hyperlink>
    </w:p>
    <w:p w14:paraId="33989540"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52"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122 – Описание комплексного типа «</w:t>
        </w:r>
        <w:r w:rsidRPr="005C56D9">
          <w:rPr>
            <w:rStyle w:val="af7"/>
            <w:noProof/>
            <w:lang w:val="en-US"/>
          </w:rPr>
          <w:t>tMSC</w:t>
        </w:r>
        <w:r w:rsidRPr="005C56D9">
          <w:rPr>
            <w:rStyle w:val="af7"/>
            <w:noProof/>
          </w:rPr>
          <w:t>_</w:t>
        </w:r>
        <w:r w:rsidRPr="005C56D9">
          <w:rPr>
            <w:rStyle w:val="af7"/>
            <w:noProof/>
            <w:lang w:val="en-US"/>
          </w:rPr>
          <w:t>FnclInst</w:t>
        </w:r>
        <w:r w:rsidRPr="005C56D9">
          <w:rPr>
            <w:rStyle w:val="af7"/>
            <w:rFonts w:eastAsia="Calibri"/>
            <w:noProof/>
          </w:rPr>
          <w:t>»</w:t>
        </w:r>
        <w:r>
          <w:rPr>
            <w:noProof/>
            <w:webHidden/>
          </w:rPr>
          <w:tab/>
        </w:r>
        <w:r>
          <w:rPr>
            <w:noProof/>
            <w:webHidden/>
          </w:rPr>
          <w:fldChar w:fldCharType="begin"/>
        </w:r>
        <w:r>
          <w:rPr>
            <w:noProof/>
            <w:webHidden/>
          </w:rPr>
          <w:instrText xml:space="preserve"> PAGEREF _Toc219309152 \h </w:instrText>
        </w:r>
        <w:r>
          <w:rPr>
            <w:noProof/>
            <w:webHidden/>
          </w:rPr>
        </w:r>
        <w:r>
          <w:rPr>
            <w:noProof/>
            <w:webHidden/>
          </w:rPr>
          <w:fldChar w:fldCharType="separate"/>
        </w:r>
        <w:r>
          <w:rPr>
            <w:noProof/>
            <w:webHidden/>
          </w:rPr>
          <w:t>188</w:t>
        </w:r>
        <w:r>
          <w:rPr>
            <w:noProof/>
            <w:webHidden/>
          </w:rPr>
          <w:fldChar w:fldCharType="end"/>
        </w:r>
      </w:hyperlink>
    </w:p>
    <w:p w14:paraId="7FA28C3E"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53"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123</w:t>
        </w:r>
        <w:r w:rsidRPr="005C56D9">
          <w:rPr>
            <w:rStyle w:val="af7"/>
            <w:rFonts w:eastAsia="Calibri"/>
            <w:noProof/>
          </w:rPr>
          <w:t xml:space="preserve"> – </w:t>
        </w:r>
        <w:r w:rsidRPr="005C56D9">
          <w:rPr>
            <w:rStyle w:val="af7"/>
            <w:noProof/>
          </w:rPr>
          <w:t>Описание комплексного типа «</w:t>
        </w:r>
        <w:r w:rsidRPr="005C56D9">
          <w:rPr>
            <w:rStyle w:val="af7"/>
            <w:noProof/>
            <w:lang w:val="en-US"/>
          </w:rPr>
          <w:t>tMSC</w:t>
        </w:r>
        <w:r w:rsidRPr="005C56D9">
          <w:rPr>
            <w:rStyle w:val="af7"/>
            <w:noProof/>
          </w:rPr>
          <w:t>_</w:t>
        </w:r>
        <w:r w:rsidRPr="005C56D9">
          <w:rPr>
            <w:rStyle w:val="af7"/>
            <w:noProof/>
            <w:lang w:val="en-US"/>
          </w:rPr>
          <w:t>GRBS</w:t>
        </w:r>
        <w:r w:rsidRPr="005C56D9">
          <w:rPr>
            <w:rStyle w:val="af7"/>
            <w:noProof/>
          </w:rPr>
          <w:t>»</w:t>
        </w:r>
        <w:r>
          <w:rPr>
            <w:noProof/>
            <w:webHidden/>
          </w:rPr>
          <w:tab/>
        </w:r>
        <w:r>
          <w:rPr>
            <w:noProof/>
            <w:webHidden/>
          </w:rPr>
          <w:fldChar w:fldCharType="begin"/>
        </w:r>
        <w:r>
          <w:rPr>
            <w:noProof/>
            <w:webHidden/>
          </w:rPr>
          <w:instrText xml:space="preserve"> PAGEREF _Toc219309153 \h </w:instrText>
        </w:r>
        <w:r>
          <w:rPr>
            <w:noProof/>
            <w:webHidden/>
          </w:rPr>
        </w:r>
        <w:r>
          <w:rPr>
            <w:noProof/>
            <w:webHidden/>
          </w:rPr>
          <w:fldChar w:fldCharType="separate"/>
        </w:r>
        <w:r>
          <w:rPr>
            <w:noProof/>
            <w:webHidden/>
          </w:rPr>
          <w:t>188</w:t>
        </w:r>
        <w:r>
          <w:rPr>
            <w:noProof/>
            <w:webHidden/>
          </w:rPr>
          <w:fldChar w:fldCharType="end"/>
        </w:r>
      </w:hyperlink>
    </w:p>
    <w:p w14:paraId="19EB181E"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54"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124</w:t>
        </w:r>
        <w:r w:rsidRPr="005C56D9">
          <w:rPr>
            <w:rStyle w:val="af7"/>
            <w:rFonts w:eastAsia="Calibri"/>
            <w:noProof/>
          </w:rPr>
          <w:t xml:space="preserve"> – </w:t>
        </w:r>
        <w:r w:rsidRPr="005C56D9">
          <w:rPr>
            <w:rStyle w:val="af7"/>
            <w:noProof/>
          </w:rPr>
          <w:t>Описание комплексного типа «tSGNNmPs1»</w:t>
        </w:r>
        <w:r>
          <w:rPr>
            <w:noProof/>
            <w:webHidden/>
          </w:rPr>
          <w:tab/>
        </w:r>
        <w:r>
          <w:rPr>
            <w:noProof/>
            <w:webHidden/>
          </w:rPr>
          <w:fldChar w:fldCharType="begin"/>
        </w:r>
        <w:r>
          <w:rPr>
            <w:noProof/>
            <w:webHidden/>
          </w:rPr>
          <w:instrText xml:space="preserve"> PAGEREF _Toc219309154 \h </w:instrText>
        </w:r>
        <w:r>
          <w:rPr>
            <w:noProof/>
            <w:webHidden/>
          </w:rPr>
        </w:r>
        <w:r>
          <w:rPr>
            <w:noProof/>
            <w:webHidden/>
          </w:rPr>
          <w:fldChar w:fldCharType="separate"/>
        </w:r>
        <w:r>
          <w:rPr>
            <w:noProof/>
            <w:webHidden/>
          </w:rPr>
          <w:t>189</w:t>
        </w:r>
        <w:r>
          <w:rPr>
            <w:noProof/>
            <w:webHidden/>
          </w:rPr>
          <w:fldChar w:fldCharType="end"/>
        </w:r>
      </w:hyperlink>
    </w:p>
    <w:p w14:paraId="6B08F875"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55"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125 – Описание комплексного типа «tMSC_MrkOrFK»</w:t>
        </w:r>
        <w:r>
          <w:rPr>
            <w:noProof/>
            <w:webHidden/>
          </w:rPr>
          <w:tab/>
        </w:r>
        <w:r>
          <w:rPr>
            <w:noProof/>
            <w:webHidden/>
          </w:rPr>
          <w:fldChar w:fldCharType="begin"/>
        </w:r>
        <w:r>
          <w:rPr>
            <w:noProof/>
            <w:webHidden/>
          </w:rPr>
          <w:instrText xml:space="preserve"> PAGEREF _Toc219309155 \h </w:instrText>
        </w:r>
        <w:r>
          <w:rPr>
            <w:noProof/>
            <w:webHidden/>
          </w:rPr>
        </w:r>
        <w:r>
          <w:rPr>
            <w:noProof/>
            <w:webHidden/>
          </w:rPr>
          <w:fldChar w:fldCharType="separate"/>
        </w:r>
        <w:r>
          <w:rPr>
            <w:noProof/>
            <w:webHidden/>
          </w:rPr>
          <w:t>189</w:t>
        </w:r>
        <w:r>
          <w:rPr>
            <w:noProof/>
            <w:webHidden/>
          </w:rPr>
          <w:fldChar w:fldCharType="end"/>
        </w:r>
      </w:hyperlink>
    </w:p>
    <w:p w14:paraId="52309E3C"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56"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126</w:t>
        </w:r>
        <w:r w:rsidRPr="005C56D9">
          <w:rPr>
            <w:rStyle w:val="af7"/>
            <w:rFonts w:eastAsia="Calibri"/>
            <w:noProof/>
          </w:rPr>
          <w:t xml:space="preserve"> – </w:t>
        </w:r>
        <w:r w:rsidRPr="005C56D9">
          <w:rPr>
            <w:rStyle w:val="af7"/>
            <w:noProof/>
          </w:rPr>
          <w:t>Описание комплексного типа «tMSC_KBK31_32»</w:t>
        </w:r>
        <w:r>
          <w:rPr>
            <w:noProof/>
            <w:webHidden/>
          </w:rPr>
          <w:tab/>
        </w:r>
        <w:r>
          <w:rPr>
            <w:noProof/>
            <w:webHidden/>
          </w:rPr>
          <w:fldChar w:fldCharType="begin"/>
        </w:r>
        <w:r>
          <w:rPr>
            <w:noProof/>
            <w:webHidden/>
          </w:rPr>
          <w:instrText xml:space="preserve"> PAGEREF _Toc219309156 \h </w:instrText>
        </w:r>
        <w:r>
          <w:rPr>
            <w:noProof/>
            <w:webHidden/>
          </w:rPr>
        </w:r>
        <w:r>
          <w:rPr>
            <w:noProof/>
            <w:webHidden/>
          </w:rPr>
          <w:fldChar w:fldCharType="separate"/>
        </w:r>
        <w:r>
          <w:rPr>
            <w:noProof/>
            <w:webHidden/>
          </w:rPr>
          <w:t>189</w:t>
        </w:r>
        <w:r>
          <w:rPr>
            <w:noProof/>
            <w:webHidden/>
          </w:rPr>
          <w:fldChar w:fldCharType="end"/>
        </w:r>
      </w:hyperlink>
    </w:p>
    <w:p w14:paraId="2E3335D8"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57"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127</w:t>
        </w:r>
        <w:r w:rsidRPr="005C56D9">
          <w:rPr>
            <w:rStyle w:val="af7"/>
            <w:rFonts w:eastAsia="Calibri"/>
            <w:noProof/>
          </w:rPr>
          <w:t xml:space="preserve"> – </w:t>
        </w:r>
        <w:r w:rsidRPr="005C56D9">
          <w:rPr>
            <w:rStyle w:val="af7"/>
            <w:noProof/>
          </w:rPr>
          <w:t>Описание комплексного типа «tMSC_BKTpComplex»</w:t>
        </w:r>
        <w:r>
          <w:rPr>
            <w:noProof/>
            <w:webHidden/>
          </w:rPr>
          <w:tab/>
        </w:r>
        <w:r>
          <w:rPr>
            <w:noProof/>
            <w:webHidden/>
          </w:rPr>
          <w:fldChar w:fldCharType="begin"/>
        </w:r>
        <w:r>
          <w:rPr>
            <w:noProof/>
            <w:webHidden/>
          </w:rPr>
          <w:instrText xml:space="preserve"> PAGEREF _Toc219309157 \h </w:instrText>
        </w:r>
        <w:r>
          <w:rPr>
            <w:noProof/>
            <w:webHidden/>
          </w:rPr>
        </w:r>
        <w:r>
          <w:rPr>
            <w:noProof/>
            <w:webHidden/>
          </w:rPr>
          <w:fldChar w:fldCharType="separate"/>
        </w:r>
        <w:r>
          <w:rPr>
            <w:noProof/>
            <w:webHidden/>
          </w:rPr>
          <w:t>190</w:t>
        </w:r>
        <w:r>
          <w:rPr>
            <w:noProof/>
            <w:webHidden/>
          </w:rPr>
          <w:fldChar w:fldCharType="end"/>
        </w:r>
      </w:hyperlink>
    </w:p>
    <w:p w14:paraId="7DA57555"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58"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128 – Описание комплексного типа «</w:t>
        </w:r>
        <w:r w:rsidRPr="005C56D9">
          <w:rPr>
            <w:rStyle w:val="af7"/>
            <w:noProof/>
          </w:rPr>
          <w:t>tMSC_SrcTypeComplex2</w:t>
        </w:r>
        <w:r w:rsidRPr="005C56D9">
          <w:rPr>
            <w:rStyle w:val="af7"/>
            <w:rFonts w:eastAsia="Calibri"/>
            <w:noProof/>
          </w:rPr>
          <w:t>»</w:t>
        </w:r>
        <w:r>
          <w:rPr>
            <w:noProof/>
            <w:webHidden/>
          </w:rPr>
          <w:tab/>
        </w:r>
        <w:r>
          <w:rPr>
            <w:noProof/>
            <w:webHidden/>
          </w:rPr>
          <w:fldChar w:fldCharType="begin"/>
        </w:r>
        <w:r>
          <w:rPr>
            <w:noProof/>
            <w:webHidden/>
          </w:rPr>
          <w:instrText xml:space="preserve"> PAGEREF _Toc219309158 \h </w:instrText>
        </w:r>
        <w:r>
          <w:rPr>
            <w:noProof/>
            <w:webHidden/>
          </w:rPr>
        </w:r>
        <w:r>
          <w:rPr>
            <w:noProof/>
            <w:webHidden/>
          </w:rPr>
          <w:fldChar w:fldCharType="separate"/>
        </w:r>
        <w:r>
          <w:rPr>
            <w:noProof/>
            <w:webHidden/>
          </w:rPr>
          <w:t>191</w:t>
        </w:r>
        <w:r>
          <w:rPr>
            <w:noProof/>
            <w:webHidden/>
          </w:rPr>
          <w:fldChar w:fldCharType="end"/>
        </w:r>
      </w:hyperlink>
    </w:p>
    <w:p w14:paraId="4F93443A"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59"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129 – Описание комплексного типа «</w:t>
        </w:r>
        <w:r w:rsidRPr="005C56D9">
          <w:rPr>
            <w:rStyle w:val="af7"/>
            <w:noProof/>
          </w:rPr>
          <w:t>tMSC_Pmnt</w:t>
        </w:r>
        <w:r w:rsidRPr="005C56D9">
          <w:rPr>
            <w:rStyle w:val="af7"/>
            <w:rFonts w:eastAsia="Calibri"/>
            <w:noProof/>
          </w:rPr>
          <w:t>»</w:t>
        </w:r>
        <w:r>
          <w:rPr>
            <w:noProof/>
            <w:webHidden/>
          </w:rPr>
          <w:tab/>
        </w:r>
        <w:r>
          <w:rPr>
            <w:noProof/>
            <w:webHidden/>
          </w:rPr>
          <w:fldChar w:fldCharType="begin"/>
        </w:r>
        <w:r>
          <w:rPr>
            <w:noProof/>
            <w:webHidden/>
          </w:rPr>
          <w:instrText xml:space="preserve"> PAGEREF _Toc219309159 \h </w:instrText>
        </w:r>
        <w:r>
          <w:rPr>
            <w:noProof/>
            <w:webHidden/>
          </w:rPr>
        </w:r>
        <w:r>
          <w:rPr>
            <w:noProof/>
            <w:webHidden/>
          </w:rPr>
          <w:fldChar w:fldCharType="separate"/>
        </w:r>
        <w:r>
          <w:rPr>
            <w:noProof/>
            <w:webHidden/>
          </w:rPr>
          <w:t>191</w:t>
        </w:r>
        <w:r>
          <w:rPr>
            <w:noProof/>
            <w:webHidden/>
          </w:rPr>
          <w:fldChar w:fldCharType="end"/>
        </w:r>
      </w:hyperlink>
    </w:p>
    <w:p w14:paraId="5FAD32C5"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60"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130</w:t>
        </w:r>
        <w:r w:rsidRPr="005C56D9">
          <w:rPr>
            <w:rStyle w:val="af7"/>
            <w:rFonts w:eastAsia="Calibri"/>
            <w:noProof/>
          </w:rPr>
          <w:t xml:space="preserve"> – </w:t>
        </w:r>
        <w:r w:rsidRPr="005C56D9">
          <w:rPr>
            <w:rStyle w:val="af7"/>
            <w:noProof/>
          </w:rPr>
          <w:t>Описание комплексного типа «tMSC_ShrtDcBs»</w:t>
        </w:r>
        <w:r>
          <w:rPr>
            <w:noProof/>
            <w:webHidden/>
          </w:rPr>
          <w:tab/>
        </w:r>
        <w:r>
          <w:rPr>
            <w:noProof/>
            <w:webHidden/>
          </w:rPr>
          <w:fldChar w:fldCharType="begin"/>
        </w:r>
        <w:r>
          <w:rPr>
            <w:noProof/>
            <w:webHidden/>
          </w:rPr>
          <w:instrText xml:space="preserve"> PAGEREF _Toc219309160 \h </w:instrText>
        </w:r>
        <w:r>
          <w:rPr>
            <w:noProof/>
            <w:webHidden/>
          </w:rPr>
        </w:r>
        <w:r>
          <w:rPr>
            <w:noProof/>
            <w:webHidden/>
          </w:rPr>
          <w:fldChar w:fldCharType="separate"/>
        </w:r>
        <w:r>
          <w:rPr>
            <w:noProof/>
            <w:webHidden/>
          </w:rPr>
          <w:t>192</w:t>
        </w:r>
        <w:r>
          <w:rPr>
            <w:noProof/>
            <w:webHidden/>
          </w:rPr>
          <w:fldChar w:fldCharType="end"/>
        </w:r>
      </w:hyperlink>
    </w:p>
    <w:p w14:paraId="12819745"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61"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131 – Описание комплексного типа «</w:t>
        </w:r>
        <w:r w:rsidRPr="005C56D9">
          <w:rPr>
            <w:rStyle w:val="af7"/>
            <w:noProof/>
          </w:rPr>
          <w:t>tMSC_ShrtDcBs_ITEM</w:t>
        </w:r>
        <w:r w:rsidRPr="005C56D9">
          <w:rPr>
            <w:rStyle w:val="af7"/>
            <w:rFonts w:eastAsia="Calibri"/>
            <w:noProof/>
          </w:rPr>
          <w:t>»</w:t>
        </w:r>
        <w:r>
          <w:rPr>
            <w:noProof/>
            <w:webHidden/>
          </w:rPr>
          <w:tab/>
        </w:r>
        <w:r>
          <w:rPr>
            <w:noProof/>
            <w:webHidden/>
          </w:rPr>
          <w:fldChar w:fldCharType="begin"/>
        </w:r>
        <w:r>
          <w:rPr>
            <w:noProof/>
            <w:webHidden/>
          </w:rPr>
          <w:instrText xml:space="preserve"> PAGEREF _Toc219309161 \h </w:instrText>
        </w:r>
        <w:r>
          <w:rPr>
            <w:noProof/>
            <w:webHidden/>
          </w:rPr>
        </w:r>
        <w:r>
          <w:rPr>
            <w:noProof/>
            <w:webHidden/>
          </w:rPr>
          <w:fldChar w:fldCharType="separate"/>
        </w:r>
        <w:r>
          <w:rPr>
            <w:noProof/>
            <w:webHidden/>
          </w:rPr>
          <w:t>192</w:t>
        </w:r>
        <w:r>
          <w:rPr>
            <w:noProof/>
            <w:webHidden/>
          </w:rPr>
          <w:fldChar w:fldCharType="end"/>
        </w:r>
      </w:hyperlink>
    </w:p>
    <w:p w14:paraId="1094F488"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62"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132 – Описание комплексного типа «tMSC_Cntrctr»</w:t>
        </w:r>
        <w:r>
          <w:rPr>
            <w:noProof/>
            <w:webHidden/>
          </w:rPr>
          <w:tab/>
        </w:r>
        <w:r>
          <w:rPr>
            <w:noProof/>
            <w:webHidden/>
          </w:rPr>
          <w:fldChar w:fldCharType="begin"/>
        </w:r>
        <w:r>
          <w:rPr>
            <w:noProof/>
            <w:webHidden/>
          </w:rPr>
          <w:instrText xml:space="preserve"> PAGEREF _Toc219309162 \h </w:instrText>
        </w:r>
        <w:r>
          <w:rPr>
            <w:noProof/>
            <w:webHidden/>
          </w:rPr>
        </w:r>
        <w:r>
          <w:rPr>
            <w:noProof/>
            <w:webHidden/>
          </w:rPr>
          <w:fldChar w:fldCharType="separate"/>
        </w:r>
        <w:r>
          <w:rPr>
            <w:noProof/>
            <w:webHidden/>
          </w:rPr>
          <w:t>194</w:t>
        </w:r>
        <w:r>
          <w:rPr>
            <w:noProof/>
            <w:webHidden/>
          </w:rPr>
          <w:fldChar w:fldCharType="end"/>
        </w:r>
      </w:hyperlink>
    </w:p>
    <w:p w14:paraId="3D75BD4E"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63"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133</w:t>
        </w:r>
        <w:r w:rsidRPr="005C56D9">
          <w:rPr>
            <w:rStyle w:val="af7"/>
            <w:rFonts w:eastAsia="Calibri"/>
            <w:noProof/>
          </w:rPr>
          <w:t xml:space="preserve"> – </w:t>
        </w:r>
        <w:r w:rsidRPr="005C56D9">
          <w:rPr>
            <w:rStyle w:val="af7"/>
            <w:noProof/>
          </w:rPr>
          <w:t>Описание комплексного типа «tMSC_ShrtPyKndComplex»</w:t>
        </w:r>
        <w:r>
          <w:rPr>
            <w:noProof/>
            <w:webHidden/>
          </w:rPr>
          <w:tab/>
        </w:r>
        <w:r>
          <w:rPr>
            <w:noProof/>
            <w:webHidden/>
          </w:rPr>
          <w:fldChar w:fldCharType="begin"/>
        </w:r>
        <w:r>
          <w:rPr>
            <w:noProof/>
            <w:webHidden/>
          </w:rPr>
          <w:instrText xml:space="preserve"> PAGEREF _Toc219309163 \h </w:instrText>
        </w:r>
        <w:r>
          <w:rPr>
            <w:noProof/>
            <w:webHidden/>
          </w:rPr>
        </w:r>
        <w:r>
          <w:rPr>
            <w:noProof/>
            <w:webHidden/>
          </w:rPr>
          <w:fldChar w:fldCharType="separate"/>
        </w:r>
        <w:r>
          <w:rPr>
            <w:noProof/>
            <w:webHidden/>
          </w:rPr>
          <w:t>195</w:t>
        </w:r>
        <w:r>
          <w:rPr>
            <w:noProof/>
            <w:webHidden/>
          </w:rPr>
          <w:fldChar w:fldCharType="end"/>
        </w:r>
      </w:hyperlink>
    </w:p>
    <w:p w14:paraId="68EC2024"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64"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134</w:t>
        </w:r>
        <w:r w:rsidRPr="005C56D9">
          <w:rPr>
            <w:rStyle w:val="af7"/>
            <w:rFonts w:eastAsia="Calibri"/>
            <w:noProof/>
          </w:rPr>
          <w:t xml:space="preserve"> – </w:t>
        </w:r>
        <w:r w:rsidRPr="005C56D9">
          <w:rPr>
            <w:rStyle w:val="af7"/>
            <w:noProof/>
          </w:rPr>
          <w:t>Описание комплексного типа «tMSC_</w:t>
        </w:r>
        <w:r w:rsidRPr="005C56D9">
          <w:rPr>
            <w:rStyle w:val="af7"/>
            <w:noProof/>
            <w:lang w:val="en-US"/>
          </w:rPr>
          <w:t>Bnk</w:t>
        </w:r>
        <w:r w:rsidRPr="005C56D9">
          <w:rPr>
            <w:rStyle w:val="af7"/>
            <w:noProof/>
          </w:rPr>
          <w:t>»</w:t>
        </w:r>
        <w:r>
          <w:rPr>
            <w:noProof/>
            <w:webHidden/>
          </w:rPr>
          <w:tab/>
        </w:r>
        <w:r>
          <w:rPr>
            <w:noProof/>
            <w:webHidden/>
          </w:rPr>
          <w:fldChar w:fldCharType="begin"/>
        </w:r>
        <w:r>
          <w:rPr>
            <w:noProof/>
            <w:webHidden/>
          </w:rPr>
          <w:instrText xml:space="preserve"> PAGEREF _Toc219309164 \h </w:instrText>
        </w:r>
        <w:r>
          <w:rPr>
            <w:noProof/>
            <w:webHidden/>
          </w:rPr>
        </w:r>
        <w:r>
          <w:rPr>
            <w:noProof/>
            <w:webHidden/>
          </w:rPr>
          <w:fldChar w:fldCharType="separate"/>
        </w:r>
        <w:r>
          <w:rPr>
            <w:noProof/>
            <w:webHidden/>
          </w:rPr>
          <w:t>196</w:t>
        </w:r>
        <w:r>
          <w:rPr>
            <w:noProof/>
            <w:webHidden/>
          </w:rPr>
          <w:fldChar w:fldCharType="end"/>
        </w:r>
      </w:hyperlink>
    </w:p>
    <w:p w14:paraId="4599F7DE"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65"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135 – Описание комплексного типа «</w:t>
        </w:r>
        <w:r w:rsidRPr="005C56D9">
          <w:rPr>
            <w:rStyle w:val="af7"/>
            <w:noProof/>
          </w:rPr>
          <w:t>tMSC_Infrmtn</w:t>
        </w:r>
        <w:r w:rsidRPr="005C56D9">
          <w:rPr>
            <w:rStyle w:val="af7"/>
            <w:rFonts w:eastAsia="Calibri"/>
            <w:noProof/>
          </w:rPr>
          <w:t>»</w:t>
        </w:r>
        <w:r>
          <w:rPr>
            <w:noProof/>
            <w:webHidden/>
          </w:rPr>
          <w:tab/>
        </w:r>
        <w:r>
          <w:rPr>
            <w:noProof/>
            <w:webHidden/>
          </w:rPr>
          <w:fldChar w:fldCharType="begin"/>
        </w:r>
        <w:r>
          <w:rPr>
            <w:noProof/>
            <w:webHidden/>
          </w:rPr>
          <w:instrText xml:space="preserve"> PAGEREF _Toc219309165 \h </w:instrText>
        </w:r>
        <w:r>
          <w:rPr>
            <w:noProof/>
            <w:webHidden/>
          </w:rPr>
        </w:r>
        <w:r>
          <w:rPr>
            <w:noProof/>
            <w:webHidden/>
          </w:rPr>
          <w:fldChar w:fldCharType="separate"/>
        </w:r>
        <w:r>
          <w:rPr>
            <w:noProof/>
            <w:webHidden/>
          </w:rPr>
          <w:t>197</w:t>
        </w:r>
        <w:r>
          <w:rPr>
            <w:noProof/>
            <w:webHidden/>
          </w:rPr>
          <w:fldChar w:fldCharType="end"/>
        </w:r>
      </w:hyperlink>
    </w:p>
    <w:p w14:paraId="3EC6E3FA"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66" w:history="1">
        <w:r w:rsidRPr="005C56D9">
          <w:rPr>
            <w:rStyle w:val="af7"/>
            <w:rFonts w:eastAsia="Calibri"/>
            <w:noProof/>
            <w:highlight w:val="green"/>
          </w:rPr>
          <w:t>Таблица </w:t>
        </w:r>
        <w:r>
          <w:rPr>
            <w:rFonts w:asciiTheme="minorHAnsi" w:eastAsiaTheme="minorEastAsia" w:hAnsiTheme="minorHAnsi" w:cstheme="minorBidi"/>
            <w:noProof/>
            <w:sz w:val="22"/>
            <w:szCs w:val="22"/>
          </w:rPr>
          <w:tab/>
        </w:r>
        <w:r w:rsidRPr="005C56D9">
          <w:rPr>
            <w:rStyle w:val="af7"/>
            <w:rFonts w:eastAsia="Calibri"/>
            <w:noProof/>
            <w:highlight w:val="green"/>
          </w:rPr>
          <w:t>136 – Маршрут документа «</w:t>
        </w:r>
        <w:r w:rsidRPr="005C56D9">
          <w:rPr>
            <w:rStyle w:val="af7"/>
            <w:noProof/>
            <w:highlight w:val="green"/>
          </w:rPr>
          <w:t>Сведения БО</w:t>
        </w:r>
        <w:r w:rsidRPr="005C56D9">
          <w:rPr>
            <w:rStyle w:val="af7"/>
            <w:rFonts w:eastAsia="Calibri"/>
            <w:noProof/>
            <w:highlight w:val="green"/>
          </w:rPr>
          <w:t>»</w:t>
        </w:r>
        <w:r>
          <w:rPr>
            <w:noProof/>
            <w:webHidden/>
          </w:rPr>
          <w:tab/>
        </w:r>
        <w:r>
          <w:rPr>
            <w:noProof/>
            <w:webHidden/>
          </w:rPr>
          <w:fldChar w:fldCharType="begin"/>
        </w:r>
        <w:r>
          <w:rPr>
            <w:noProof/>
            <w:webHidden/>
          </w:rPr>
          <w:instrText xml:space="preserve"> PAGEREF _Toc219309166 \h </w:instrText>
        </w:r>
        <w:r>
          <w:rPr>
            <w:noProof/>
            <w:webHidden/>
          </w:rPr>
        </w:r>
        <w:r>
          <w:rPr>
            <w:noProof/>
            <w:webHidden/>
          </w:rPr>
          <w:fldChar w:fldCharType="separate"/>
        </w:r>
        <w:r>
          <w:rPr>
            <w:noProof/>
            <w:webHidden/>
          </w:rPr>
          <w:t>205</w:t>
        </w:r>
        <w:r>
          <w:rPr>
            <w:noProof/>
            <w:webHidden/>
          </w:rPr>
          <w:fldChar w:fldCharType="end"/>
        </w:r>
      </w:hyperlink>
    </w:p>
    <w:p w14:paraId="6F24CFF9"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67" w:history="1">
        <w:r w:rsidRPr="005C56D9">
          <w:rPr>
            <w:rStyle w:val="af7"/>
            <w:rFonts w:eastAsia="Calibri"/>
            <w:noProof/>
            <w:highlight w:val="green"/>
          </w:rPr>
          <w:t>Таблица </w:t>
        </w:r>
        <w:r>
          <w:rPr>
            <w:rFonts w:asciiTheme="minorHAnsi" w:eastAsiaTheme="minorEastAsia" w:hAnsiTheme="minorHAnsi" w:cstheme="minorBidi"/>
            <w:noProof/>
            <w:sz w:val="22"/>
            <w:szCs w:val="22"/>
          </w:rPr>
          <w:tab/>
        </w:r>
        <w:r w:rsidRPr="005C56D9">
          <w:rPr>
            <w:rStyle w:val="af7"/>
            <w:rFonts w:eastAsia="Calibri"/>
            <w:noProof/>
            <w:highlight w:val="green"/>
          </w:rPr>
          <w:t>137 – Описание комплексного типа «</w:t>
        </w:r>
        <w:r w:rsidRPr="005C56D9">
          <w:rPr>
            <w:rStyle w:val="af7"/>
            <w:rFonts w:eastAsia="Calibri"/>
            <w:noProof/>
            <w:highlight w:val="green"/>
            <w:lang w:val="en-US"/>
          </w:rPr>
          <w:t>t</w:t>
        </w:r>
        <w:r w:rsidRPr="005C56D9">
          <w:rPr>
            <w:rStyle w:val="af7"/>
            <w:rFonts w:eastAsia="Calibri"/>
            <w:noProof/>
            <w:highlight w:val="green"/>
          </w:rPr>
          <w:t>InfrmtnBdgtOblgtns»</w:t>
        </w:r>
        <w:r>
          <w:rPr>
            <w:noProof/>
            <w:webHidden/>
          </w:rPr>
          <w:tab/>
        </w:r>
        <w:r>
          <w:rPr>
            <w:noProof/>
            <w:webHidden/>
          </w:rPr>
          <w:fldChar w:fldCharType="begin"/>
        </w:r>
        <w:r>
          <w:rPr>
            <w:noProof/>
            <w:webHidden/>
          </w:rPr>
          <w:instrText xml:space="preserve"> PAGEREF _Toc219309167 \h </w:instrText>
        </w:r>
        <w:r>
          <w:rPr>
            <w:noProof/>
            <w:webHidden/>
          </w:rPr>
        </w:r>
        <w:r>
          <w:rPr>
            <w:noProof/>
            <w:webHidden/>
          </w:rPr>
          <w:fldChar w:fldCharType="separate"/>
        </w:r>
        <w:r>
          <w:rPr>
            <w:noProof/>
            <w:webHidden/>
          </w:rPr>
          <w:t>205</w:t>
        </w:r>
        <w:r>
          <w:rPr>
            <w:noProof/>
            <w:webHidden/>
          </w:rPr>
          <w:fldChar w:fldCharType="end"/>
        </w:r>
      </w:hyperlink>
    </w:p>
    <w:p w14:paraId="724B81B5"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68"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138</w:t>
        </w:r>
        <w:r w:rsidRPr="005C56D9">
          <w:rPr>
            <w:rStyle w:val="af7"/>
            <w:rFonts w:eastAsia="Calibri"/>
            <w:noProof/>
          </w:rPr>
          <w:t xml:space="preserve"> – </w:t>
        </w:r>
        <w:r w:rsidRPr="005C56D9">
          <w:rPr>
            <w:rStyle w:val="af7"/>
            <w:noProof/>
          </w:rPr>
          <w:t>Описание комплексного типа «tCntrlNf»</w:t>
        </w:r>
        <w:r>
          <w:rPr>
            <w:noProof/>
            <w:webHidden/>
          </w:rPr>
          <w:tab/>
        </w:r>
        <w:r>
          <w:rPr>
            <w:noProof/>
            <w:webHidden/>
          </w:rPr>
          <w:fldChar w:fldCharType="begin"/>
        </w:r>
        <w:r>
          <w:rPr>
            <w:noProof/>
            <w:webHidden/>
          </w:rPr>
          <w:instrText xml:space="preserve"> PAGEREF _Toc219309168 \h </w:instrText>
        </w:r>
        <w:r>
          <w:rPr>
            <w:noProof/>
            <w:webHidden/>
          </w:rPr>
        </w:r>
        <w:r>
          <w:rPr>
            <w:noProof/>
            <w:webHidden/>
          </w:rPr>
          <w:fldChar w:fldCharType="separate"/>
        </w:r>
        <w:r>
          <w:rPr>
            <w:noProof/>
            <w:webHidden/>
          </w:rPr>
          <w:t>218</w:t>
        </w:r>
        <w:r>
          <w:rPr>
            <w:noProof/>
            <w:webHidden/>
          </w:rPr>
          <w:fldChar w:fldCharType="end"/>
        </w:r>
      </w:hyperlink>
    </w:p>
    <w:p w14:paraId="55BBFF81"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69"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139</w:t>
        </w:r>
        <w:r w:rsidRPr="005C56D9">
          <w:rPr>
            <w:rStyle w:val="af7"/>
            <w:rFonts w:eastAsia="Calibri"/>
            <w:noProof/>
          </w:rPr>
          <w:t xml:space="preserve"> – </w:t>
        </w:r>
        <w:r w:rsidRPr="005C56D9">
          <w:rPr>
            <w:rStyle w:val="af7"/>
            <w:noProof/>
          </w:rPr>
          <w:t>Описание комплексного типа «tCntrRslts»</w:t>
        </w:r>
        <w:r>
          <w:rPr>
            <w:noProof/>
            <w:webHidden/>
          </w:rPr>
          <w:tab/>
        </w:r>
        <w:r>
          <w:rPr>
            <w:noProof/>
            <w:webHidden/>
          </w:rPr>
          <w:fldChar w:fldCharType="begin"/>
        </w:r>
        <w:r>
          <w:rPr>
            <w:noProof/>
            <w:webHidden/>
          </w:rPr>
          <w:instrText xml:space="preserve"> PAGEREF _Toc219309169 \h </w:instrText>
        </w:r>
        <w:r>
          <w:rPr>
            <w:noProof/>
            <w:webHidden/>
          </w:rPr>
        </w:r>
        <w:r>
          <w:rPr>
            <w:noProof/>
            <w:webHidden/>
          </w:rPr>
          <w:fldChar w:fldCharType="separate"/>
        </w:r>
        <w:r>
          <w:rPr>
            <w:noProof/>
            <w:webHidden/>
          </w:rPr>
          <w:t>219</w:t>
        </w:r>
        <w:r>
          <w:rPr>
            <w:noProof/>
            <w:webHidden/>
          </w:rPr>
          <w:fldChar w:fldCharType="end"/>
        </w:r>
      </w:hyperlink>
    </w:p>
    <w:p w14:paraId="2845D05B"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70"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140</w:t>
        </w:r>
        <w:r w:rsidRPr="005C56D9">
          <w:rPr>
            <w:rStyle w:val="af7"/>
            <w:rFonts w:eastAsia="Calibri"/>
            <w:noProof/>
          </w:rPr>
          <w:t xml:space="preserve"> – </w:t>
        </w:r>
        <w:r w:rsidRPr="005C56D9">
          <w:rPr>
            <w:rStyle w:val="af7"/>
            <w:noProof/>
          </w:rPr>
          <w:t>Описание комплексного типа «tCntrRslts_ITEM»</w:t>
        </w:r>
        <w:r>
          <w:rPr>
            <w:noProof/>
            <w:webHidden/>
          </w:rPr>
          <w:tab/>
        </w:r>
        <w:r>
          <w:rPr>
            <w:noProof/>
            <w:webHidden/>
          </w:rPr>
          <w:fldChar w:fldCharType="begin"/>
        </w:r>
        <w:r>
          <w:rPr>
            <w:noProof/>
            <w:webHidden/>
          </w:rPr>
          <w:instrText xml:space="preserve"> PAGEREF _Toc219309170 \h </w:instrText>
        </w:r>
        <w:r>
          <w:rPr>
            <w:noProof/>
            <w:webHidden/>
          </w:rPr>
        </w:r>
        <w:r>
          <w:rPr>
            <w:noProof/>
            <w:webHidden/>
          </w:rPr>
          <w:fldChar w:fldCharType="separate"/>
        </w:r>
        <w:r>
          <w:rPr>
            <w:noProof/>
            <w:webHidden/>
          </w:rPr>
          <w:t>219</w:t>
        </w:r>
        <w:r>
          <w:rPr>
            <w:noProof/>
            <w:webHidden/>
          </w:rPr>
          <w:fldChar w:fldCharType="end"/>
        </w:r>
      </w:hyperlink>
    </w:p>
    <w:p w14:paraId="1956FA65"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71"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141</w:t>
        </w:r>
        <w:r w:rsidRPr="005C56D9">
          <w:rPr>
            <w:rStyle w:val="af7"/>
            <w:rFonts w:eastAsia="Calibri"/>
            <w:noProof/>
          </w:rPr>
          <w:t xml:space="preserve"> – </w:t>
        </w:r>
        <w:r w:rsidRPr="005C56D9">
          <w:rPr>
            <w:rStyle w:val="af7"/>
            <w:noProof/>
          </w:rPr>
          <w:t>Описание комплексного типа «tRskNfs»</w:t>
        </w:r>
        <w:r>
          <w:rPr>
            <w:noProof/>
            <w:webHidden/>
          </w:rPr>
          <w:tab/>
        </w:r>
        <w:r>
          <w:rPr>
            <w:noProof/>
            <w:webHidden/>
          </w:rPr>
          <w:fldChar w:fldCharType="begin"/>
        </w:r>
        <w:r>
          <w:rPr>
            <w:noProof/>
            <w:webHidden/>
          </w:rPr>
          <w:instrText xml:space="preserve"> PAGEREF _Toc219309171 \h </w:instrText>
        </w:r>
        <w:r>
          <w:rPr>
            <w:noProof/>
            <w:webHidden/>
          </w:rPr>
        </w:r>
        <w:r>
          <w:rPr>
            <w:noProof/>
            <w:webHidden/>
          </w:rPr>
          <w:fldChar w:fldCharType="separate"/>
        </w:r>
        <w:r>
          <w:rPr>
            <w:noProof/>
            <w:webHidden/>
          </w:rPr>
          <w:t>219</w:t>
        </w:r>
        <w:r>
          <w:rPr>
            <w:noProof/>
            <w:webHidden/>
          </w:rPr>
          <w:fldChar w:fldCharType="end"/>
        </w:r>
      </w:hyperlink>
    </w:p>
    <w:p w14:paraId="38D0A52C"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72"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142</w:t>
        </w:r>
        <w:r w:rsidRPr="005C56D9">
          <w:rPr>
            <w:rStyle w:val="af7"/>
            <w:rFonts w:eastAsia="Calibri"/>
            <w:noProof/>
          </w:rPr>
          <w:t xml:space="preserve"> – </w:t>
        </w:r>
        <w:r w:rsidRPr="005C56D9">
          <w:rPr>
            <w:rStyle w:val="af7"/>
            <w:noProof/>
          </w:rPr>
          <w:t>Описание комплексного типа «tRsk_crt»</w:t>
        </w:r>
        <w:r>
          <w:rPr>
            <w:noProof/>
            <w:webHidden/>
          </w:rPr>
          <w:tab/>
        </w:r>
        <w:r>
          <w:rPr>
            <w:noProof/>
            <w:webHidden/>
          </w:rPr>
          <w:fldChar w:fldCharType="begin"/>
        </w:r>
        <w:r>
          <w:rPr>
            <w:noProof/>
            <w:webHidden/>
          </w:rPr>
          <w:instrText xml:space="preserve"> PAGEREF _Toc219309172 \h </w:instrText>
        </w:r>
        <w:r>
          <w:rPr>
            <w:noProof/>
            <w:webHidden/>
          </w:rPr>
        </w:r>
        <w:r>
          <w:rPr>
            <w:noProof/>
            <w:webHidden/>
          </w:rPr>
          <w:fldChar w:fldCharType="separate"/>
        </w:r>
        <w:r>
          <w:rPr>
            <w:noProof/>
            <w:webHidden/>
          </w:rPr>
          <w:t>220</w:t>
        </w:r>
        <w:r>
          <w:rPr>
            <w:noProof/>
            <w:webHidden/>
          </w:rPr>
          <w:fldChar w:fldCharType="end"/>
        </w:r>
      </w:hyperlink>
    </w:p>
    <w:p w14:paraId="375D5078"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73"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143</w:t>
        </w:r>
        <w:r w:rsidRPr="005C56D9">
          <w:rPr>
            <w:rStyle w:val="af7"/>
            <w:rFonts w:eastAsia="Calibri"/>
            <w:noProof/>
          </w:rPr>
          <w:t xml:space="preserve"> – </w:t>
        </w:r>
        <w:r w:rsidRPr="005C56D9">
          <w:rPr>
            <w:rStyle w:val="af7"/>
            <w:noProof/>
          </w:rPr>
          <w:t>Описание комплексного типа «tRsk_crt_ITEM»</w:t>
        </w:r>
        <w:r>
          <w:rPr>
            <w:noProof/>
            <w:webHidden/>
          </w:rPr>
          <w:tab/>
        </w:r>
        <w:r>
          <w:rPr>
            <w:noProof/>
            <w:webHidden/>
          </w:rPr>
          <w:fldChar w:fldCharType="begin"/>
        </w:r>
        <w:r>
          <w:rPr>
            <w:noProof/>
            <w:webHidden/>
          </w:rPr>
          <w:instrText xml:space="preserve"> PAGEREF _Toc219309173 \h </w:instrText>
        </w:r>
        <w:r>
          <w:rPr>
            <w:noProof/>
            <w:webHidden/>
          </w:rPr>
        </w:r>
        <w:r>
          <w:rPr>
            <w:noProof/>
            <w:webHidden/>
          </w:rPr>
          <w:fldChar w:fldCharType="separate"/>
        </w:r>
        <w:r>
          <w:rPr>
            <w:noProof/>
            <w:webHidden/>
          </w:rPr>
          <w:t>220</w:t>
        </w:r>
        <w:r>
          <w:rPr>
            <w:noProof/>
            <w:webHidden/>
          </w:rPr>
          <w:fldChar w:fldCharType="end"/>
        </w:r>
      </w:hyperlink>
    </w:p>
    <w:p w14:paraId="11E4CA03"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74"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144 – Описание комплексного типа «tMSC_Infrmtn»</w:t>
        </w:r>
        <w:r>
          <w:rPr>
            <w:noProof/>
            <w:webHidden/>
          </w:rPr>
          <w:tab/>
        </w:r>
        <w:r>
          <w:rPr>
            <w:noProof/>
            <w:webHidden/>
          </w:rPr>
          <w:fldChar w:fldCharType="begin"/>
        </w:r>
        <w:r>
          <w:rPr>
            <w:noProof/>
            <w:webHidden/>
          </w:rPr>
          <w:instrText xml:space="preserve"> PAGEREF _Toc219309174 \h </w:instrText>
        </w:r>
        <w:r>
          <w:rPr>
            <w:noProof/>
            <w:webHidden/>
          </w:rPr>
        </w:r>
        <w:r>
          <w:rPr>
            <w:noProof/>
            <w:webHidden/>
          </w:rPr>
          <w:fldChar w:fldCharType="separate"/>
        </w:r>
        <w:r>
          <w:rPr>
            <w:noProof/>
            <w:webHidden/>
          </w:rPr>
          <w:t>220</w:t>
        </w:r>
        <w:r>
          <w:rPr>
            <w:noProof/>
            <w:webHidden/>
          </w:rPr>
          <w:fldChar w:fldCharType="end"/>
        </w:r>
      </w:hyperlink>
    </w:p>
    <w:p w14:paraId="11269455"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75"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145 – Описание комплексного типа «tRqsts_TblSbsd»</w:t>
        </w:r>
        <w:r>
          <w:rPr>
            <w:noProof/>
            <w:webHidden/>
          </w:rPr>
          <w:tab/>
        </w:r>
        <w:r>
          <w:rPr>
            <w:noProof/>
            <w:webHidden/>
          </w:rPr>
          <w:fldChar w:fldCharType="begin"/>
        </w:r>
        <w:r>
          <w:rPr>
            <w:noProof/>
            <w:webHidden/>
          </w:rPr>
          <w:instrText xml:space="preserve"> PAGEREF _Toc219309175 \h </w:instrText>
        </w:r>
        <w:r>
          <w:rPr>
            <w:noProof/>
            <w:webHidden/>
          </w:rPr>
        </w:r>
        <w:r>
          <w:rPr>
            <w:noProof/>
            <w:webHidden/>
          </w:rPr>
          <w:fldChar w:fldCharType="separate"/>
        </w:r>
        <w:r>
          <w:rPr>
            <w:noProof/>
            <w:webHidden/>
          </w:rPr>
          <w:t>221</w:t>
        </w:r>
        <w:r>
          <w:rPr>
            <w:noProof/>
            <w:webHidden/>
          </w:rPr>
          <w:fldChar w:fldCharType="end"/>
        </w:r>
      </w:hyperlink>
    </w:p>
    <w:p w14:paraId="1015400C"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76"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146 – Описание комплексного типа «tRqsts_TblSbsd_ITEM»</w:t>
        </w:r>
        <w:r>
          <w:rPr>
            <w:noProof/>
            <w:webHidden/>
          </w:rPr>
          <w:tab/>
        </w:r>
        <w:r>
          <w:rPr>
            <w:noProof/>
            <w:webHidden/>
          </w:rPr>
          <w:fldChar w:fldCharType="begin"/>
        </w:r>
        <w:r>
          <w:rPr>
            <w:noProof/>
            <w:webHidden/>
          </w:rPr>
          <w:instrText xml:space="preserve"> PAGEREF _Toc219309176 \h </w:instrText>
        </w:r>
        <w:r>
          <w:rPr>
            <w:noProof/>
            <w:webHidden/>
          </w:rPr>
        </w:r>
        <w:r>
          <w:rPr>
            <w:noProof/>
            <w:webHidden/>
          </w:rPr>
          <w:fldChar w:fldCharType="separate"/>
        </w:r>
        <w:r>
          <w:rPr>
            <w:noProof/>
            <w:webHidden/>
          </w:rPr>
          <w:t>221</w:t>
        </w:r>
        <w:r>
          <w:rPr>
            <w:noProof/>
            <w:webHidden/>
          </w:rPr>
          <w:fldChar w:fldCharType="end"/>
        </w:r>
      </w:hyperlink>
    </w:p>
    <w:p w14:paraId="1A46C48F"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77"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rFonts w:eastAsia="Calibri"/>
            <w:noProof/>
          </w:rPr>
          <w:t>147 – Описание комплексного типа «tOblgtns_Pmnts»</w:t>
        </w:r>
        <w:r>
          <w:rPr>
            <w:noProof/>
            <w:webHidden/>
          </w:rPr>
          <w:tab/>
        </w:r>
        <w:r>
          <w:rPr>
            <w:noProof/>
            <w:webHidden/>
          </w:rPr>
          <w:fldChar w:fldCharType="begin"/>
        </w:r>
        <w:r>
          <w:rPr>
            <w:noProof/>
            <w:webHidden/>
          </w:rPr>
          <w:instrText xml:space="preserve"> PAGEREF _Toc219309177 \h </w:instrText>
        </w:r>
        <w:r>
          <w:rPr>
            <w:noProof/>
            <w:webHidden/>
          </w:rPr>
        </w:r>
        <w:r>
          <w:rPr>
            <w:noProof/>
            <w:webHidden/>
          </w:rPr>
          <w:fldChar w:fldCharType="separate"/>
        </w:r>
        <w:r>
          <w:rPr>
            <w:noProof/>
            <w:webHidden/>
          </w:rPr>
          <w:t>223</w:t>
        </w:r>
        <w:r>
          <w:rPr>
            <w:noProof/>
            <w:webHidden/>
          </w:rPr>
          <w:fldChar w:fldCharType="end"/>
        </w:r>
      </w:hyperlink>
    </w:p>
    <w:p w14:paraId="27EF5E45"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78"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148 – Описание комплексного типа «tOblgtns_Pmnts_ITEM»</w:t>
        </w:r>
        <w:r>
          <w:rPr>
            <w:noProof/>
            <w:webHidden/>
          </w:rPr>
          <w:tab/>
        </w:r>
        <w:r>
          <w:rPr>
            <w:noProof/>
            <w:webHidden/>
          </w:rPr>
          <w:fldChar w:fldCharType="begin"/>
        </w:r>
        <w:r>
          <w:rPr>
            <w:noProof/>
            <w:webHidden/>
          </w:rPr>
          <w:instrText xml:space="preserve"> PAGEREF _Toc219309178 \h </w:instrText>
        </w:r>
        <w:r>
          <w:rPr>
            <w:noProof/>
            <w:webHidden/>
          </w:rPr>
        </w:r>
        <w:r>
          <w:rPr>
            <w:noProof/>
            <w:webHidden/>
          </w:rPr>
          <w:fldChar w:fldCharType="separate"/>
        </w:r>
        <w:r>
          <w:rPr>
            <w:noProof/>
            <w:webHidden/>
          </w:rPr>
          <w:t>223</w:t>
        </w:r>
        <w:r>
          <w:rPr>
            <w:noProof/>
            <w:webHidden/>
          </w:rPr>
          <w:fldChar w:fldCharType="end"/>
        </w:r>
      </w:hyperlink>
    </w:p>
    <w:p w14:paraId="25003903"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79"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149 – Описание комплексного типа «tOblgtns_Rslts»</w:t>
        </w:r>
        <w:r>
          <w:rPr>
            <w:noProof/>
            <w:webHidden/>
          </w:rPr>
          <w:tab/>
        </w:r>
        <w:r>
          <w:rPr>
            <w:noProof/>
            <w:webHidden/>
          </w:rPr>
          <w:fldChar w:fldCharType="begin"/>
        </w:r>
        <w:r>
          <w:rPr>
            <w:noProof/>
            <w:webHidden/>
          </w:rPr>
          <w:instrText xml:space="preserve"> PAGEREF _Toc219309179 \h </w:instrText>
        </w:r>
        <w:r>
          <w:rPr>
            <w:noProof/>
            <w:webHidden/>
          </w:rPr>
        </w:r>
        <w:r>
          <w:rPr>
            <w:noProof/>
            <w:webHidden/>
          </w:rPr>
          <w:fldChar w:fldCharType="separate"/>
        </w:r>
        <w:r>
          <w:rPr>
            <w:noProof/>
            <w:webHidden/>
          </w:rPr>
          <w:t>228</w:t>
        </w:r>
        <w:r>
          <w:rPr>
            <w:noProof/>
            <w:webHidden/>
          </w:rPr>
          <w:fldChar w:fldCharType="end"/>
        </w:r>
      </w:hyperlink>
    </w:p>
    <w:p w14:paraId="1497E78F"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80"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150 – Описание комплексного типа «tOblgtns_Rslts_ITEM»</w:t>
        </w:r>
        <w:r>
          <w:rPr>
            <w:noProof/>
            <w:webHidden/>
          </w:rPr>
          <w:tab/>
        </w:r>
        <w:r>
          <w:rPr>
            <w:noProof/>
            <w:webHidden/>
          </w:rPr>
          <w:fldChar w:fldCharType="begin"/>
        </w:r>
        <w:r>
          <w:rPr>
            <w:noProof/>
            <w:webHidden/>
          </w:rPr>
          <w:instrText xml:space="preserve"> PAGEREF _Toc219309180 \h </w:instrText>
        </w:r>
        <w:r>
          <w:rPr>
            <w:noProof/>
            <w:webHidden/>
          </w:rPr>
        </w:r>
        <w:r>
          <w:rPr>
            <w:noProof/>
            <w:webHidden/>
          </w:rPr>
          <w:fldChar w:fldCharType="separate"/>
        </w:r>
        <w:r>
          <w:rPr>
            <w:noProof/>
            <w:webHidden/>
          </w:rPr>
          <w:t>228</w:t>
        </w:r>
        <w:r>
          <w:rPr>
            <w:noProof/>
            <w:webHidden/>
          </w:rPr>
          <w:fldChar w:fldCharType="end"/>
        </w:r>
      </w:hyperlink>
    </w:p>
    <w:p w14:paraId="229B06A8"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81"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151 – Маршрут документа «</w:t>
        </w:r>
        <w:r w:rsidRPr="005C56D9">
          <w:rPr>
            <w:rStyle w:val="af7"/>
            <w:noProof/>
          </w:rPr>
          <w:t>Сведения ДО</w:t>
        </w:r>
        <w:r w:rsidRPr="005C56D9">
          <w:rPr>
            <w:rStyle w:val="af7"/>
            <w:rFonts w:eastAsia="Calibri"/>
            <w:noProof/>
          </w:rPr>
          <w:t>»</w:t>
        </w:r>
        <w:r>
          <w:rPr>
            <w:noProof/>
            <w:webHidden/>
          </w:rPr>
          <w:tab/>
        </w:r>
        <w:r>
          <w:rPr>
            <w:noProof/>
            <w:webHidden/>
          </w:rPr>
          <w:fldChar w:fldCharType="begin"/>
        </w:r>
        <w:r>
          <w:rPr>
            <w:noProof/>
            <w:webHidden/>
          </w:rPr>
          <w:instrText xml:space="preserve"> PAGEREF _Toc219309181 \h </w:instrText>
        </w:r>
        <w:r>
          <w:rPr>
            <w:noProof/>
            <w:webHidden/>
          </w:rPr>
        </w:r>
        <w:r>
          <w:rPr>
            <w:noProof/>
            <w:webHidden/>
          </w:rPr>
          <w:fldChar w:fldCharType="separate"/>
        </w:r>
        <w:r>
          <w:rPr>
            <w:noProof/>
            <w:webHidden/>
          </w:rPr>
          <w:t>236</w:t>
        </w:r>
        <w:r>
          <w:rPr>
            <w:noProof/>
            <w:webHidden/>
          </w:rPr>
          <w:fldChar w:fldCharType="end"/>
        </w:r>
      </w:hyperlink>
    </w:p>
    <w:p w14:paraId="305B2D3B"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82" w:history="1">
        <w:r w:rsidRPr="005C56D9">
          <w:rPr>
            <w:rStyle w:val="af7"/>
            <w:rFonts w:eastAsia="Calibri"/>
            <w:noProof/>
            <w:highlight w:val="green"/>
          </w:rPr>
          <w:t>Таблица </w:t>
        </w:r>
        <w:r>
          <w:rPr>
            <w:rFonts w:asciiTheme="minorHAnsi" w:eastAsiaTheme="minorEastAsia" w:hAnsiTheme="minorHAnsi" w:cstheme="minorBidi"/>
            <w:noProof/>
            <w:sz w:val="22"/>
            <w:szCs w:val="22"/>
          </w:rPr>
          <w:tab/>
        </w:r>
        <w:r w:rsidRPr="005C56D9">
          <w:rPr>
            <w:rStyle w:val="af7"/>
            <w:rFonts w:eastAsia="Calibri"/>
            <w:noProof/>
            <w:highlight w:val="green"/>
          </w:rPr>
          <w:t>152 – Описание комплексного типа «</w:t>
        </w:r>
        <w:r w:rsidRPr="005C56D9">
          <w:rPr>
            <w:rStyle w:val="af7"/>
            <w:noProof/>
            <w:highlight w:val="green"/>
          </w:rPr>
          <w:t>t</w:t>
        </w:r>
        <w:r w:rsidRPr="005C56D9">
          <w:rPr>
            <w:rStyle w:val="af7"/>
            <w:noProof/>
            <w:highlight w:val="green"/>
            <w:lang w:val="en-US"/>
          </w:rPr>
          <w:t>EXP</w:t>
        </w:r>
        <w:r w:rsidRPr="005C56D9">
          <w:rPr>
            <w:rStyle w:val="af7"/>
            <w:noProof/>
            <w:highlight w:val="green"/>
          </w:rPr>
          <w:t>_</w:t>
        </w:r>
        <w:r w:rsidRPr="005C56D9">
          <w:rPr>
            <w:rStyle w:val="af7"/>
            <w:noProof/>
            <w:highlight w:val="green"/>
            <w:lang w:val="en-US"/>
          </w:rPr>
          <w:t>SDO</w:t>
        </w:r>
        <w:r w:rsidRPr="005C56D9">
          <w:rPr>
            <w:rStyle w:val="af7"/>
            <w:rFonts w:eastAsia="Calibri"/>
            <w:noProof/>
            <w:highlight w:val="green"/>
          </w:rPr>
          <w:t>»</w:t>
        </w:r>
        <w:r>
          <w:rPr>
            <w:noProof/>
            <w:webHidden/>
          </w:rPr>
          <w:tab/>
        </w:r>
        <w:r>
          <w:rPr>
            <w:noProof/>
            <w:webHidden/>
          </w:rPr>
          <w:fldChar w:fldCharType="begin"/>
        </w:r>
        <w:r>
          <w:rPr>
            <w:noProof/>
            <w:webHidden/>
          </w:rPr>
          <w:instrText xml:space="preserve"> PAGEREF _Toc219309182 \h </w:instrText>
        </w:r>
        <w:r>
          <w:rPr>
            <w:noProof/>
            <w:webHidden/>
          </w:rPr>
        </w:r>
        <w:r>
          <w:rPr>
            <w:noProof/>
            <w:webHidden/>
          </w:rPr>
          <w:fldChar w:fldCharType="separate"/>
        </w:r>
        <w:r>
          <w:rPr>
            <w:noProof/>
            <w:webHidden/>
          </w:rPr>
          <w:t>236</w:t>
        </w:r>
        <w:r>
          <w:rPr>
            <w:noProof/>
            <w:webHidden/>
          </w:rPr>
          <w:fldChar w:fldCharType="end"/>
        </w:r>
      </w:hyperlink>
    </w:p>
    <w:p w14:paraId="34E2EDE0"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83"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153 – Описание комплексного типа «tPmn»</w:t>
        </w:r>
        <w:r>
          <w:rPr>
            <w:noProof/>
            <w:webHidden/>
          </w:rPr>
          <w:tab/>
        </w:r>
        <w:r>
          <w:rPr>
            <w:noProof/>
            <w:webHidden/>
          </w:rPr>
          <w:fldChar w:fldCharType="begin"/>
        </w:r>
        <w:r>
          <w:rPr>
            <w:noProof/>
            <w:webHidden/>
          </w:rPr>
          <w:instrText xml:space="preserve"> PAGEREF _Toc219309183 \h </w:instrText>
        </w:r>
        <w:r>
          <w:rPr>
            <w:noProof/>
            <w:webHidden/>
          </w:rPr>
        </w:r>
        <w:r>
          <w:rPr>
            <w:noProof/>
            <w:webHidden/>
          </w:rPr>
          <w:fldChar w:fldCharType="separate"/>
        </w:r>
        <w:r>
          <w:rPr>
            <w:noProof/>
            <w:webHidden/>
          </w:rPr>
          <w:t>244</w:t>
        </w:r>
        <w:r>
          <w:rPr>
            <w:noProof/>
            <w:webHidden/>
          </w:rPr>
          <w:fldChar w:fldCharType="end"/>
        </w:r>
      </w:hyperlink>
    </w:p>
    <w:p w14:paraId="00CC821F"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84" w:history="1">
        <w:r w:rsidRPr="005C56D9">
          <w:rPr>
            <w:rStyle w:val="af7"/>
            <w:rFonts w:eastAsia="Calibri"/>
            <w:noProof/>
            <w:highlight w:val="green"/>
          </w:rPr>
          <w:t>Таблица </w:t>
        </w:r>
        <w:r>
          <w:rPr>
            <w:rFonts w:asciiTheme="minorHAnsi" w:eastAsiaTheme="minorEastAsia" w:hAnsiTheme="minorHAnsi" w:cstheme="minorBidi"/>
            <w:noProof/>
            <w:sz w:val="22"/>
            <w:szCs w:val="22"/>
          </w:rPr>
          <w:tab/>
        </w:r>
        <w:r w:rsidRPr="005C56D9">
          <w:rPr>
            <w:rStyle w:val="af7"/>
            <w:rFonts w:eastAsia="Calibri"/>
            <w:noProof/>
            <w:highlight w:val="green"/>
          </w:rPr>
          <w:t>154 – Описание комплексного типа «tPmn_ITEM»</w:t>
        </w:r>
        <w:r>
          <w:rPr>
            <w:noProof/>
            <w:webHidden/>
          </w:rPr>
          <w:tab/>
        </w:r>
        <w:r>
          <w:rPr>
            <w:noProof/>
            <w:webHidden/>
          </w:rPr>
          <w:fldChar w:fldCharType="begin"/>
        </w:r>
        <w:r>
          <w:rPr>
            <w:noProof/>
            <w:webHidden/>
          </w:rPr>
          <w:instrText xml:space="preserve"> PAGEREF _Toc219309184 \h </w:instrText>
        </w:r>
        <w:r>
          <w:rPr>
            <w:noProof/>
            <w:webHidden/>
          </w:rPr>
        </w:r>
        <w:r>
          <w:rPr>
            <w:noProof/>
            <w:webHidden/>
          </w:rPr>
          <w:fldChar w:fldCharType="separate"/>
        </w:r>
        <w:r>
          <w:rPr>
            <w:noProof/>
            <w:webHidden/>
          </w:rPr>
          <w:t>244</w:t>
        </w:r>
        <w:r>
          <w:rPr>
            <w:noProof/>
            <w:webHidden/>
          </w:rPr>
          <w:fldChar w:fldCharType="end"/>
        </w:r>
      </w:hyperlink>
    </w:p>
    <w:p w14:paraId="40A88746"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85" w:history="1">
        <w:r w:rsidRPr="005C56D9">
          <w:rPr>
            <w:rStyle w:val="af7"/>
            <w:noProof/>
            <w:highlight w:val="green"/>
          </w:rPr>
          <w:t>Таблица </w:t>
        </w:r>
        <w:r>
          <w:rPr>
            <w:rFonts w:asciiTheme="minorHAnsi" w:eastAsiaTheme="minorEastAsia" w:hAnsiTheme="minorHAnsi" w:cstheme="minorBidi"/>
            <w:noProof/>
            <w:sz w:val="22"/>
            <w:szCs w:val="22"/>
          </w:rPr>
          <w:tab/>
        </w:r>
        <w:r w:rsidRPr="005C56D9">
          <w:rPr>
            <w:rStyle w:val="af7"/>
            <w:noProof/>
            <w:highlight w:val="green"/>
          </w:rPr>
          <w:t>155</w:t>
        </w:r>
        <w:r w:rsidRPr="005C56D9">
          <w:rPr>
            <w:rStyle w:val="af7"/>
            <w:rFonts w:eastAsia="Calibri"/>
            <w:noProof/>
            <w:highlight w:val="green"/>
          </w:rPr>
          <w:t xml:space="preserve"> – </w:t>
        </w:r>
        <w:r w:rsidRPr="005C56D9">
          <w:rPr>
            <w:rStyle w:val="af7"/>
            <w:noProof/>
            <w:highlight w:val="green"/>
          </w:rPr>
          <w:t>Описание комплексного типа «</w:t>
        </w:r>
        <w:r w:rsidRPr="005C56D9">
          <w:rPr>
            <w:rStyle w:val="af7"/>
            <w:noProof/>
            <w:highlight w:val="green"/>
            <w:lang w:val="en-US"/>
          </w:rPr>
          <w:t>tUPD</w:t>
        </w:r>
        <w:r w:rsidRPr="005C56D9">
          <w:rPr>
            <w:rStyle w:val="af7"/>
            <w:noProof/>
            <w:highlight w:val="green"/>
          </w:rPr>
          <w:t>»</w:t>
        </w:r>
        <w:r>
          <w:rPr>
            <w:noProof/>
            <w:webHidden/>
          </w:rPr>
          <w:tab/>
        </w:r>
        <w:r>
          <w:rPr>
            <w:noProof/>
            <w:webHidden/>
          </w:rPr>
          <w:fldChar w:fldCharType="begin"/>
        </w:r>
        <w:r>
          <w:rPr>
            <w:noProof/>
            <w:webHidden/>
          </w:rPr>
          <w:instrText xml:space="preserve"> PAGEREF _Toc219309185 \h </w:instrText>
        </w:r>
        <w:r>
          <w:rPr>
            <w:noProof/>
            <w:webHidden/>
          </w:rPr>
        </w:r>
        <w:r>
          <w:rPr>
            <w:noProof/>
            <w:webHidden/>
          </w:rPr>
          <w:fldChar w:fldCharType="separate"/>
        </w:r>
        <w:r>
          <w:rPr>
            <w:noProof/>
            <w:webHidden/>
          </w:rPr>
          <w:t>246</w:t>
        </w:r>
        <w:r>
          <w:rPr>
            <w:noProof/>
            <w:webHidden/>
          </w:rPr>
          <w:fldChar w:fldCharType="end"/>
        </w:r>
      </w:hyperlink>
    </w:p>
    <w:p w14:paraId="1C5A621F"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86"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156</w:t>
        </w:r>
        <w:r w:rsidRPr="005C56D9">
          <w:rPr>
            <w:rStyle w:val="af7"/>
            <w:rFonts w:eastAsia="Calibri"/>
            <w:noProof/>
          </w:rPr>
          <w:t xml:space="preserve"> – </w:t>
        </w:r>
        <w:r w:rsidRPr="005C56D9">
          <w:rPr>
            <w:rStyle w:val="af7"/>
            <w:noProof/>
          </w:rPr>
          <w:t>Описание комплексного типа «tP</w:t>
        </w:r>
        <w:r w:rsidRPr="005C56D9">
          <w:rPr>
            <w:rStyle w:val="af7"/>
            <w:noProof/>
            <w:lang w:val="en-US"/>
          </w:rPr>
          <w:t>js</w:t>
        </w:r>
        <w:r w:rsidRPr="005C56D9">
          <w:rPr>
            <w:rStyle w:val="af7"/>
            <w:noProof/>
          </w:rPr>
          <w:t>»</w:t>
        </w:r>
        <w:r>
          <w:rPr>
            <w:noProof/>
            <w:webHidden/>
          </w:rPr>
          <w:tab/>
        </w:r>
        <w:r>
          <w:rPr>
            <w:noProof/>
            <w:webHidden/>
          </w:rPr>
          <w:fldChar w:fldCharType="begin"/>
        </w:r>
        <w:r>
          <w:rPr>
            <w:noProof/>
            <w:webHidden/>
          </w:rPr>
          <w:instrText xml:space="preserve"> PAGEREF _Toc219309186 \h </w:instrText>
        </w:r>
        <w:r>
          <w:rPr>
            <w:noProof/>
            <w:webHidden/>
          </w:rPr>
        </w:r>
        <w:r>
          <w:rPr>
            <w:noProof/>
            <w:webHidden/>
          </w:rPr>
          <w:fldChar w:fldCharType="separate"/>
        </w:r>
        <w:r>
          <w:rPr>
            <w:noProof/>
            <w:webHidden/>
          </w:rPr>
          <w:t>249</w:t>
        </w:r>
        <w:r>
          <w:rPr>
            <w:noProof/>
            <w:webHidden/>
          </w:rPr>
          <w:fldChar w:fldCharType="end"/>
        </w:r>
      </w:hyperlink>
    </w:p>
    <w:p w14:paraId="52730E76"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87" w:history="1">
        <w:r w:rsidRPr="005C56D9">
          <w:rPr>
            <w:rStyle w:val="af7"/>
            <w:noProof/>
            <w:highlight w:val="green"/>
          </w:rPr>
          <w:t>Таблица </w:t>
        </w:r>
        <w:r>
          <w:rPr>
            <w:rFonts w:asciiTheme="minorHAnsi" w:eastAsiaTheme="minorEastAsia" w:hAnsiTheme="minorHAnsi" w:cstheme="minorBidi"/>
            <w:noProof/>
            <w:sz w:val="22"/>
            <w:szCs w:val="22"/>
          </w:rPr>
          <w:tab/>
        </w:r>
        <w:r w:rsidRPr="005C56D9">
          <w:rPr>
            <w:rStyle w:val="af7"/>
            <w:noProof/>
            <w:highlight w:val="green"/>
          </w:rPr>
          <w:t>157</w:t>
        </w:r>
        <w:r w:rsidRPr="005C56D9">
          <w:rPr>
            <w:rStyle w:val="af7"/>
            <w:rFonts w:eastAsia="Calibri"/>
            <w:noProof/>
            <w:highlight w:val="green"/>
          </w:rPr>
          <w:t xml:space="preserve"> – </w:t>
        </w:r>
        <w:r w:rsidRPr="005C56D9">
          <w:rPr>
            <w:rStyle w:val="af7"/>
            <w:noProof/>
            <w:highlight w:val="green"/>
          </w:rPr>
          <w:t>Описание комплексного типа «tP</w:t>
        </w:r>
        <w:r w:rsidRPr="005C56D9">
          <w:rPr>
            <w:rStyle w:val="af7"/>
            <w:noProof/>
            <w:highlight w:val="green"/>
            <w:lang w:val="en-US"/>
          </w:rPr>
          <w:t>js</w:t>
        </w:r>
        <w:r w:rsidRPr="005C56D9">
          <w:rPr>
            <w:rStyle w:val="af7"/>
            <w:noProof/>
            <w:highlight w:val="green"/>
          </w:rPr>
          <w:t>_ITEM»</w:t>
        </w:r>
        <w:r>
          <w:rPr>
            <w:noProof/>
            <w:webHidden/>
          </w:rPr>
          <w:tab/>
        </w:r>
        <w:r>
          <w:rPr>
            <w:noProof/>
            <w:webHidden/>
          </w:rPr>
          <w:fldChar w:fldCharType="begin"/>
        </w:r>
        <w:r>
          <w:rPr>
            <w:noProof/>
            <w:webHidden/>
          </w:rPr>
          <w:instrText xml:space="preserve"> PAGEREF _Toc219309187 \h </w:instrText>
        </w:r>
        <w:r>
          <w:rPr>
            <w:noProof/>
            <w:webHidden/>
          </w:rPr>
        </w:r>
        <w:r>
          <w:rPr>
            <w:noProof/>
            <w:webHidden/>
          </w:rPr>
          <w:fldChar w:fldCharType="separate"/>
        </w:r>
        <w:r>
          <w:rPr>
            <w:noProof/>
            <w:webHidden/>
          </w:rPr>
          <w:t>249</w:t>
        </w:r>
        <w:r>
          <w:rPr>
            <w:noProof/>
            <w:webHidden/>
          </w:rPr>
          <w:fldChar w:fldCharType="end"/>
        </w:r>
      </w:hyperlink>
    </w:p>
    <w:p w14:paraId="22FE9E7C"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88"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158</w:t>
        </w:r>
        <w:r w:rsidRPr="005C56D9">
          <w:rPr>
            <w:rStyle w:val="af7"/>
            <w:rFonts w:eastAsia="Calibri"/>
            <w:noProof/>
          </w:rPr>
          <w:t xml:space="preserve"> – </w:t>
        </w:r>
        <w:r w:rsidRPr="005C56D9">
          <w:rPr>
            <w:rStyle w:val="af7"/>
            <w:noProof/>
          </w:rPr>
          <w:t>Описание комплексного типа «tCntrlNf»</w:t>
        </w:r>
        <w:r>
          <w:rPr>
            <w:noProof/>
            <w:webHidden/>
          </w:rPr>
          <w:tab/>
        </w:r>
        <w:r>
          <w:rPr>
            <w:noProof/>
            <w:webHidden/>
          </w:rPr>
          <w:fldChar w:fldCharType="begin"/>
        </w:r>
        <w:r>
          <w:rPr>
            <w:noProof/>
            <w:webHidden/>
          </w:rPr>
          <w:instrText xml:space="preserve"> PAGEREF _Toc219309188 \h </w:instrText>
        </w:r>
        <w:r>
          <w:rPr>
            <w:noProof/>
            <w:webHidden/>
          </w:rPr>
        </w:r>
        <w:r>
          <w:rPr>
            <w:noProof/>
            <w:webHidden/>
          </w:rPr>
          <w:fldChar w:fldCharType="separate"/>
        </w:r>
        <w:r>
          <w:rPr>
            <w:noProof/>
            <w:webHidden/>
          </w:rPr>
          <w:t>251</w:t>
        </w:r>
        <w:r>
          <w:rPr>
            <w:noProof/>
            <w:webHidden/>
          </w:rPr>
          <w:fldChar w:fldCharType="end"/>
        </w:r>
      </w:hyperlink>
    </w:p>
    <w:p w14:paraId="1D12B7D1"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89"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159</w:t>
        </w:r>
        <w:r w:rsidRPr="005C56D9">
          <w:rPr>
            <w:rStyle w:val="af7"/>
            <w:rFonts w:eastAsia="Calibri"/>
            <w:noProof/>
          </w:rPr>
          <w:t xml:space="preserve"> – </w:t>
        </w:r>
        <w:r w:rsidRPr="005C56D9">
          <w:rPr>
            <w:rStyle w:val="af7"/>
            <w:noProof/>
          </w:rPr>
          <w:t>Описание комплексного типа «tCntrRslts»</w:t>
        </w:r>
        <w:r>
          <w:rPr>
            <w:noProof/>
            <w:webHidden/>
          </w:rPr>
          <w:tab/>
        </w:r>
        <w:r>
          <w:rPr>
            <w:noProof/>
            <w:webHidden/>
          </w:rPr>
          <w:fldChar w:fldCharType="begin"/>
        </w:r>
        <w:r>
          <w:rPr>
            <w:noProof/>
            <w:webHidden/>
          </w:rPr>
          <w:instrText xml:space="preserve"> PAGEREF _Toc219309189 \h </w:instrText>
        </w:r>
        <w:r>
          <w:rPr>
            <w:noProof/>
            <w:webHidden/>
          </w:rPr>
        </w:r>
        <w:r>
          <w:rPr>
            <w:noProof/>
            <w:webHidden/>
          </w:rPr>
          <w:fldChar w:fldCharType="separate"/>
        </w:r>
        <w:r>
          <w:rPr>
            <w:noProof/>
            <w:webHidden/>
          </w:rPr>
          <w:t>252</w:t>
        </w:r>
        <w:r>
          <w:rPr>
            <w:noProof/>
            <w:webHidden/>
          </w:rPr>
          <w:fldChar w:fldCharType="end"/>
        </w:r>
      </w:hyperlink>
    </w:p>
    <w:p w14:paraId="72228C50"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90"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160</w:t>
        </w:r>
        <w:r w:rsidRPr="005C56D9">
          <w:rPr>
            <w:rStyle w:val="af7"/>
            <w:rFonts w:eastAsia="Calibri"/>
            <w:noProof/>
          </w:rPr>
          <w:t xml:space="preserve"> – </w:t>
        </w:r>
        <w:r w:rsidRPr="005C56D9">
          <w:rPr>
            <w:rStyle w:val="af7"/>
            <w:noProof/>
          </w:rPr>
          <w:t>Описание комплексного типа «tCntrRslts_ITEM»</w:t>
        </w:r>
        <w:r>
          <w:rPr>
            <w:noProof/>
            <w:webHidden/>
          </w:rPr>
          <w:tab/>
        </w:r>
        <w:r>
          <w:rPr>
            <w:noProof/>
            <w:webHidden/>
          </w:rPr>
          <w:fldChar w:fldCharType="begin"/>
        </w:r>
        <w:r>
          <w:rPr>
            <w:noProof/>
            <w:webHidden/>
          </w:rPr>
          <w:instrText xml:space="preserve"> PAGEREF _Toc219309190 \h </w:instrText>
        </w:r>
        <w:r>
          <w:rPr>
            <w:noProof/>
            <w:webHidden/>
          </w:rPr>
        </w:r>
        <w:r>
          <w:rPr>
            <w:noProof/>
            <w:webHidden/>
          </w:rPr>
          <w:fldChar w:fldCharType="separate"/>
        </w:r>
        <w:r>
          <w:rPr>
            <w:noProof/>
            <w:webHidden/>
          </w:rPr>
          <w:t>252</w:t>
        </w:r>
        <w:r>
          <w:rPr>
            <w:noProof/>
            <w:webHidden/>
          </w:rPr>
          <w:fldChar w:fldCharType="end"/>
        </w:r>
      </w:hyperlink>
    </w:p>
    <w:p w14:paraId="326DCC87"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91"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161</w:t>
        </w:r>
        <w:r w:rsidRPr="005C56D9">
          <w:rPr>
            <w:rStyle w:val="af7"/>
            <w:rFonts w:eastAsia="Calibri"/>
            <w:noProof/>
          </w:rPr>
          <w:t xml:space="preserve"> – </w:t>
        </w:r>
        <w:r w:rsidRPr="005C56D9">
          <w:rPr>
            <w:rStyle w:val="af7"/>
            <w:noProof/>
          </w:rPr>
          <w:t>Описание комплексного типа «tRskNfs»</w:t>
        </w:r>
        <w:r>
          <w:rPr>
            <w:noProof/>
            <w:webHidden/>
          </w:rPr>
          <w:tab/>
        </w:r>
        <w:r>
          <w:rPr>
            <w:noProof/>
            <w:webHidden/>
          </w:rPr>
          <w:fldChar w:fldCharType="begin"/>
        </w:r>
        <w:r>
          <w:rPr>
            <w:noProof/>
            <w:webHidden/>
          </w:rPr>
          <w:instrText xml:space="preserve"> PAGEREF _Toc219309191 \h </w:instrText>
        </w:r>
        <w:r>
          <w:rPr>
            <w:noProof/>
            <w:webHidden/>
          </w:rPr>
        </w:r>
        <w:r>
          <w:rPr>
            <w:noProof/>
            <w:webHidden/>
          </w:rPr>
          <w:fldChar w:fldCharType="separate"/>
        </w:r>
        <w:r>
          <w:rPr>
            <w:noProof/>
            <w:webHidden/>
          </w:rPr>
          <w:t>252</w:t>
        </w:r>
        <w:r>
          <w:rPr>
            <w:noProof/>
            <w:webHidden/>
          </w:rPr>
          <w:fldChar w:fldCharType="end"/>
        </w:r>
      </w:hyperlink>
    </w:p>
    <w:p w14:paraId="394C2D70"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92"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162</w:t>
        </w:r>
        <w:r w:rsidRPr="005C56D9">
          <w:rPr>
            <w:rStyle w:val="af7"/>
            <w:rFonts w:eastAsia="Calibri"/>
            <w:noProof/>
          </w:rPr>
          <w:t xml:space="preserve"> – </w:t>
        </w:r>
        <w:r w:rsidRPr="005C56D9">
          <w:rPr>
            <w:rStyle w:val="af7"/>
            <w:noProof/>
          </w:rPr>
          <w:t>Описание комплексного типа «tRsk_crt»</w:t>
        </w:r>
        <w:r>
          <w:rPr>
            <w:noProof/>
            <w:webHidden/>
          </w:rPr>
          <w:tab/>
        </w:r>
        <w:r>
          <w:rPr>
            <w:noProof/>
            <w:webHidden/>
          </w:rPr>
          <w:fldChar w:fldCharType="begin"/>
        </w:r>
        <w:r>
          <w:rPr>
            <w:noProof/>
            <w:webHidden/>
          </w:rPr>
          <w:instrText xml:space="preserve"> PAGEREF _Toc219309192 \h </w:instrText>
        </w:r>
        <w:r>
          <w:rPr>
            <w:noProof/>
            <w:webHidden/>
          </w:rPr>
        </w:r>
        <w:r>
          <w:rPr>
            <w:noProof/>
            <w:webHidden/>
          </w:rPr>
          <w:fldChar w:fldCharType="separate"/>
        </w:r>
        <w:r>
          <w:rPr>
            <w:noProof/>
            <w:webHidden/>
          </w:rPr>
          <w:t>253</w:t>
        </w:r>
        <w:r>
          <w:rPr>
            <w:noProof/>
            <w:webHidden/>
          </w:rPr>
          <w:fldChar w:fldCharType="end"/>
        </w:r>
      </w:hyperlink>
    </w:p>
    <w:p w14:paraId="3A77E5B9"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93"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163</w:t>
        </w:r>
        <w:r w:rsidRPr="005C56D9">
          <w:rPr>
            <w:rStyle w:val="af7"/>
            <w:rFonts w:eastAsia="Calibri"/>
            <w:noProof/>
          </w:rPr>
          <w:t xml:space="preserve"> – </w:t>
        </w:r>
        <w:r w:rsidRPr="005C56D9">
          <w:rPr>
            <w:rStyle w:val="af7"/>
            <w:noProof/>
          </w:rPr>
          <w:t>Описание комплексного типа «tRsk_crt_ITEM»</w:t>
        </w:r>
        <w:r>
          <w:rPr>
            <w:noProof/>
            <w:webHidden/>
          </w:rPr>
          <w:tab/>
        </w:r>
        <w:r>
          <w:rPr>
            <w:noProof/>
            <w:webHidden/>
          </w:rPr>
          <w:fldChar w:fldCharType="begin"/>
        </w:r>
        <w:r>
          <w:rPr>
            <w:noProof/>
            <w:webHidden/>
          </w:rPr>
          <w:instrText xml:space="preserve"> PAGEREF _Toc219309193 \h </w:instrText>
        </w:r>
        <w:r>
          <w:rPr>
            <w:noProof/>
            <w:webHidden/>
          </w:rPr>
        </w:r>
        <w:r>
          <w:rPr>
            <w:noProof/>
            <w:webHidden/>
          </w:rPr>
          <w:fldChar w:fldCharType="separate"/>
        </w:r>
        <w:r>
          <w:rPr>
            <w:noProof/>
            <w:webHidden/>
          </w:rPr>
          <w:t>253</w:t>
        </w:r>
        <w:r>
          <w:rPr>
            <w:noProof/>
            <w:webHidden/>
          </w:rPr>
          <w:fldChar w:fldCharType="end"/>
        </w:r>
      </w:hyperlink>
    </w:p>
    <w:p w14:paraId="24B4C15A"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94" w:history="1">
        <w:r w:rsidRPr="005C56D9">
          <w:rPr>
            <w:rStyle w:val="af7"/>
            <w:noProof/>
            <w:highlight w:val="green"/>
          </w:rPr>
          <w:t>Таблица </w:t>
        </w:r>
        <w:r>
          <w:rPr>
            <w:rFonts w:asciiTheme="minorHAnsi" w:eastAsiaTheme="minorEastAsia" w:hAnsiTheme="minorHAnsi" w:cstheme="minorBidi"/>
            <w:noProof/>
            <w:sz w:val="22"/>
            <w:szCs w:val="22"/>
          </w:rPr>
          <w:tab/>
        </w:r>
        <w:r w:rsidRPr="005C56D9">
          <w:rPr>
            <w:rStyle w:val="af7"/>
            <w:noProof/>
            <w:highlight w:val="green"/>
          </w:rPr>
          <w:t>164</w:t>
        </w:r>
        <w:r w:rsidRPr="005C56D9">
          <w:rPr>
            <w:rStyle w:val="af7"/>
            <w:rFonts w:eastAsia="Calibri"/>
            <w:noProof/>
            <w:highlight w:val="green"/>
          </w:rPr>
          <w:t xml:space="preserve"> – </w:t>
        </w:r>
        <w:r w:rsidRPr="005C56D9">
          <w:rPr>
            <w:rStyle w:val="af7"/>
            <w:noProof/>
            <w:highlight w:val="green"/>
          </w:rPr>
          <w:t>Маршрут документа «</w:t>
        </w:r>
        <w:r w:rsidRPr="005C56D9">
          <w:rPr>
            <w:rStyle w:val="af7"/>
            <w:rFonts w:eastAsia="Calibri"/>
            <w:noProof/>
            <w:highlight w:val="green"/>
          </w:rPr>
          <w:t>Уведомление об уточнении вида и принадлежности платежа» (ф. 0531809)</w:t>
        </w:r>
        <w:r>
          <w:rPr>
            <w:noProof/>
            <w:webHidden/>
          </w:rPr>
          <w:tab/>
        </w:r>
        <w:r>
          <w:rPr>
            <w:noProof/>
            <w:webHidden/>
          </w:rPr>
          <w:fldChar w:fldCharType="begin"/>
        </w:r>
        <w:r>
          <w:rPr>
            <w:noProof/>
            <w:webHidden/>
          </w:rPr>
          <w:instrText xml:space="preserve"> PAGEREF _Toc219309194 \h </w:instrText>
        </w:r>
        <w:r>
          <w:rPr>
            <w:noProof/>
            <w:webHidden/>
          </w:rPr>
        </w:r>
        <w:r>
          <w:rPr>
            <w:noProof/>
            <w:webHidden/>
          </w:rPr>
          <w:fldChar w:fldCharType="separate"/>
        </w:r>
        <w:r>
          <w:rPr>
            <w:noProof/>
            <w:webHidden/>
          </w:rPr>
          <w:t>258</w:t>
        </w:r>
        <w:r>
          <w:rPr>
            <w:noProof/>
            <w:webHidden/>
          </w:rPr>
          <w:fldChar w:fldCharType="end"/>
        </w:r>
      </w:hyperlink>
    </w:p>
    <w:p w14:paraId="456A56B0"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95"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165</w:t>
        </w:r>
        <w:r w:rsidRPr="005C56D9">
          <w:rPr>
            <w:rStyle w:val="af7"/>
            <w:rFonts w:eastAsia="Calibri"/>
            <w:noProof/>
          </w:rPr>
          <w:t xml:space="preserve"> – </w:t>
        </w:r>
        <w:r w:rsidRPr="005C56D9">
          <w:rPr>
            <w:rStyle w:val="af7"/>
            <w:noProof/>
          </w:rPr>
          <w:t>Описание комплексного типа «</w:t>
        </w:r>
        <w:r w:rsidRPr="005C56D9">
          <w:rPr>
            <w:rStyle w:val="af7"/>
            <w:noProof/>
            <w:lang w:val="en-US"/>
          </w:rPr>
          <w:t>tMSC</w:t>
        </w:r>
        <w:r w:rsidRPr="005C56D9">
          <w:rPr>
            <w:rStyle w:val="af7"/>
            <w:noProof/>
          </w:rPr>
          <w:t>_</w:t>
        </w:r>
        <w:r w:rsidRPr="005C56D9">
          <w:rPr>
            <w:rStyle w:val="af7"/>
            <w:noProof/>
            <w:lang w:val="en-US"/>
          </w:rPr>
          <w:t>NtcClrTpPy</w:t>
        </w:r>
        <w:r w:rsidRPr="005C56D9">
          <w:rPr>
            <w:rStyle w:val="af7"/>
            <w:noProof/>
          </w:rPr>
          <w:t>»</w:t>
        </w:r>
        <w:r>
          <w:rPr>
            <w:noProof/>
            <w:webHidden/>
          </w:rPr>
          <w:tab/>
        </w:r>
        <w:r>
          <w:rPr>
            <w:noProof/>
            <w:webHidden/>
          </w:rPr>
          <w:fldChar w:fldCharType="begin"/>
        </w:r>
        <w:r>
          <w:rPr>
            <w:noProof/>
            <w:webHidden/>
          </w:rPr>
          <w:instrText xml:space="preserve"> PAGEREF _Toc219309195 \h </w:instrText>
        </w:r>
        <w:r>
          <w:rPr>
            <w:noProof/>
            <w:webHidden/>
          </w:rPr>
        </w:r>
        <w:r>
          <w:rPr>
            <w:noProof/>
            <w:webHidden/>
          </w:rPr>
          <w:fldChar w:fldCharType="separate"/>
        </w:r>
        <w:r>
          <w:rPr>
            <w:noProof/>
            <w:webHidden/>
          </w:rPr>
          <w:t>259</w:t>
        </w:r>
        <w:r>
          <w:rPr>
            <w:noProof/>
            <w:webHidden/>
          </w:rPr>
          <w:fldChar w:fldCharType="end"/>
        </w:r>
      </w:hyperlink>
    </w:p>
    <w:p w14:paraId="1B8C723C"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96"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166 – Описание комплексного типа «tMSC_PBS1»</w:t>
        </w:r>
        <w:r>
          <w:rPr>
            <w:noProof/>
            <w:webHidden/>
          </w:rPr>
          <w:tab/>
        </w:r>
        <w:r>
          <w:rPr>
            <w:noProof/>
            <w:webHidden/>
          </w:rPr>
          <w:fldChar w:fldCharType="begin"/>
        </w:r>
        <w:r>
          <w:rPr>
            <w:noProof/>
            <w:webHidden/>
          </w:rPr>
          <w:instrText xml:space="preserve"> PAGEREF _Toc219309196 \h </w:instrText>
        </w:r>
        <w:r>
          <w:rPr>
            <w:noProof/>
            <w:webHidden/>
          </w:rPr>
        </w:r>
        <w:r>
          <w:rPr>
            <w:noProof/>
            <w:webHidden/>
          </w:rPr>
          <w:fldChar w:fldCharType="separate"/>
        </w:r>
        <w:r>
          <w:rPr>
            <w:noProof/>
            <w:webHidden/>
          </w:rPr>
          <w:t>262</w:t>
        </w:r>
        <w:r>
          <w:rPr>
            <w:noProof/>
            <w:webHidden/>
          </w:rPr>
          <w:fldChar w:fldCharType="end"/>
        </w:r>
      </w:hyperlink>
    </w:p>
    <w:p w14:paraId="76072888"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97"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167 – Описание комплексного типа «tMSC_PBS_UBP1»</w:t>
        </w:r>
        <w:r>
          <w:rPr>
            <w:noProof/>
            <w:webHidden/>
          </w:rPr>
          <w:tab/>
        </w:r>
        <w:r>
          <w:rPr>
            <w:noProof/>
            <w:webHidden/>
          </w:rPr>
          <w:fldChar w:fldCharType="begin"/>
        </w:r>
        <w:r>
          <w:rPr>
            <w:noProof/>
            <w:webHidden/>
          </w:rPr>
          <w:instrText xml:space="preserve"> PAGEREF _Toc219309197 \h </w:instrText>
        </w:r>
        <w:r>
          <w:rPr>
            <w:noProof/>
            <w:webHidden/>
          </w:rPr>
        </w:r>
        <w:r>
          <w:rPr>
            <w:noProof/>
            <w:webHidden/>
          </w:rPr>
          <w:fldChar w:fldCharType="separate"/>
        </w:r>
        <w:r>
          <w:rPr>
            <w:noProof/>
            <w:webHidden/>
          </w:rPr>
          <w:t>262</w:t>
        </w:r>
        <w:r>
          <w:rPr>
            <w:noProof/>
            <w:webHidden/>
          </w:rPr>
          <w:fldChar w:fldCharType="end"/>
        </w:r>
      </w:hyperlink>
    </w:p>
    <w:p w14:paraId="0BAAE737"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98"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168 – Описание комплексного типа «tMSC_GRBS»</w:t>
        </w:r>
        <w:r>
          <w:rPr>
            <w:noProof/>
            <w:webHidden/>
          </w:rPr>
          <w:tab/>
        </w:r>
        <w:r>
          <w:rPr>
            <w:noProof/>
            <w:webHidden/>
          </w:rPr>
          <w:fldChar w:fldCharType="begin"/>
        </w:r>
        <w:r>
          <w:rPr>
            <w:noProof/>
            <w:webHidden/>
          </w:rPr>
          <w:instrText xml:space="preserve"> PAGEREF _Toc219309198 \h </w:instrText>
        </w:r>
        <w:r>
          <w:rPr>
            <w:noProof/>
            <w:webHidden/>
          </w:rPr>
        </w:r>
        <w:r>
          <w:rPr>
            <w:noProof/>
            <w:webHidden/>
          </w:rPr>
          <w:fldChar w:fldCharType="separate"/>
        </w:r>
        <w:r>
          <w:rPr>
            <w:noProof/>
            <w:webHidden/>
          </w:rPr>
          <w:t>263</w:t>
        </w:r>
        <w:r>
          <w:rPr>
            <w:noProof/>
            <w:webHidden/>
          </w:rPr>
          <w:fldChar w:fldCharType="end"/>
        </w:r>
      </w:hyperlink>
    </w:p>
    <w:p w14:paraId="3674DB8F"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199"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169 – Описание комплексного типа «tMSC_Orgnztn3»</w:t>
        </w:r>
        <w:r>
          <w:rPr>
            <w:noProof/>
            <w:webHidden/>
          </w:rPr>
          <w:tab/>
        </w:r>
        <w:r>
          <w:rPr>
            <w:noProof/>
            <w:webHidden/>
          </w:rPr>
          <w:fldChar w:fldCharType="begin"/>
        </w:r>
        <w:r>
          <w:rPr>
            <w:noProof/>
            <w:webHidden/>
          </w:rPr>
          <w:instrText xml:space="preserve"> PAGEREF _Toc219309199 \h </w:instrText>
        </w:r>
        <w:r>
          <w:rPr>
            <w:noProof/>
            <w:webHidden/>
          </w:rPr>
        </w:r>
        <w:r>
          <w:rPr>
            <w:noProof/>
            <w:webHidden/>
          </w:rPr>
          <w:fldChar w:fldCharType="separate"/>
        </w:r>
        <w:r>
          <w:rPr>
            <w:noProof/>
            <w:webHidden/>
          </w:rPr>
          <w:t>263</w:t>
        </w:r>
        <w:r>
          <w:rPr>
            <w:noProof/>
            <w:webHidden/>
          </w:rPr>
          <w:fldChar w:fldCharType="end"/>
        </w:r>
      </w:hyperlink>
    </w:p>
    <w:p w14:paraId="3C17C7BA"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00"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170</w:t>
        </w:r>
        <w:r w:rsidRPr="005C56D9">
          <w:rPr>
            <w:rStyle w:val="af7"/>
            <w:rFonts w:eastAsia="Calibri"/>
            <w:noProof/>
          </w:rPr>
          <w:t xml:space="preserve"> –</w:t>
        </w:r>
        <w:r w:rsidRPr="005C56D9">
          <w:rPr>
            <w:rStyle w:val="af7"/>
            <w:noProof/>
          </w:rPr>
          <w:t xml:space="preserve"> Описание комплексного типа «tMSC_TOFK»</w:t>
        </w:r>
        <w:r>
          <w:rPr>
            <w:noProof/>
            <w:webHidden/>
          </w:rPr>
          <w:tab/>
        </w:r>
        <w:r>
          <w:rPr>
            <w:noProof/>
            <w:webHidden/>
          </w:rPr>
          <w:fldChar w:fldCharType="begin"/>
        </w:r>
        <w:r>
          <w:rPr>
            <w:noProof/>
            <w:webHidden/>
          </w:rPr>
          <w:instrText xml:space="preserve"> PAGEREF _Toc219309200 \h </w:instrText>
        </w:r>
        <w:r>
          <w:rPr>
            <w:noProof/>
            <w:webHidden/>
          </w:rPr>
        </w:r>
        <w:r>
          <w:rPr>
            <w:noProof/>
            <w:webHidden/>
          </w:rPr>
          <w:fldChar w:fldCharType="separate"/>
        </w:r>
        <w:r>
          <w:rPr>
            <w:noProof/>
            <w:webHidden/>
          </w:rPr>
          <w:t>264</w:t>
        </w:r>
        <w:r>
          <w:rPr>
            <w:noProof/>
            <w:webHidden/>
          </w:rPr>
          <w:fldChar w:fldCharType="end"/>
        </w:r>
      </w:hyperlink>
    </w:p>
    <w:p w14:paraId="77560F0C"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01"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171 – Описание комплексного типа «tMSC_FnclInst»</w:t>
        </w:r>
        <w:r>
          <w:rPr>
            <w:noProof/>
            <w:webHidden/>
          </w:rPr>
          <w:tab/>
        </w:r>
        <w:r>
          <w:rPr>
            <w:noProof/>
            <w:webHidden/>
          </w:rPr>
          <w:fldChar w:fldCharType="begin"/>
        </w:r>
        <w:r>
          <w:rPr>
            <w:noProof/>
            <w:webHidden/>
          </w:rPr>
          <w:instrText xml:space="preserve"> PAGEREF _Toc219309201 \h </w:instrText>
        </w:r>
        <w:r>
          <w:rPr>
            <w:noProof/>
            <w:webHidden/>
          </w:rPr>
        </w:r>
        <w:r>
          <w:rPr>
            <w:noProof/>
            <w:webHidden/>
          </w:rPr>
          <w:fldChar w:fldCharType="separate"/>
        </w:r>
        <w:r>
          <w:rPr>
            <w:noProof/>
            <w:webHidden/>
          </w:rPr>
          <w:t>264</w:t>
        </w:r>
        <w:r>
          <w:rPr>
            <w:noProof/>
            <w:webHidden/>
          </w:rPr>
          <w:fldChar w:fldCharType="end"/>
        </w:r>
      </w:hyperlink>
    </w:p>
    <w:p w14:paraId="3B8C2F74"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02"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172 – Описание комплексного типа «tMSC_SrcTypeComplex5»</w:t>
        </w:r>
        <w:r>
          <w:rPr>
            <w:noProof/>
            <w:webHidden/>
          </w:rPr>
          <w:tab/>
        </w:r>
        <w:r>
          <w:rPr>
            <w:noProof/>
            <w:webHidden/>
          </w:rPr>
          <w:fldChar w:fldCharType="begin"/>
        </w:r>
        <w:r>
          <w:rPr>
            <w:noProof/>
            <w:webHidden/>
          </w:rPr>
          <w:instrText xml:space="preserve"> PAGEREF _Toc219309202 \h </w:instrText>
        </w:r>
        <w:r>
          <w:rPr>
            <w:noProof/>
            <w:webHidden/>
          </w:rPr>
        </w:r>
        <w:r>
          <w:rPr>
            <w:noProof/>
            <w:webHidden/>
          </w:rPr>
          <w:fldChar w:fldCharType="separate"/>
        </w:r>
        <w:r>
          <w:rPr>
            <w:noProof/>
            <w:webHidden/>
          </w:rPr>
          <w:t>264</w:t>
        </w:r>
        <w:r>
          <w:rPr>
            <w:noProof/>
            <w:webHidden/>
          </w:rPr>
          <w:fldChar w:fldCharType="end"/>
        </w:r>
      </w:hyperlink>
    </w:p>
    <w:p w14:paraId="0C0544CB"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03"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173 – Описание комплексного типа «tMSC_Pyr»</w:t>
        </w:r>
        <w:r>
          <w:rPr>
            <w:noProof/>
            <w:webHidden/>
          </w:rPr>
          <w:tab/>
        </w:r>
        <w:r>
          <w:rPr>
            <w:noProof/>
            <w:webHidden/>
          </w:rPr>
          <w:fldChar w:fldCharType="begin"/>
        </w:r>
        <w:r>
          <w:rPr>
            <w:noProof/>
            <w:webHidden/>
          </w:rPr>
          <w:instrText xml:space="preserve"> PAGEREF _Toc219309203 \h </w:instrText>
        </w:r>
        <w:r>
          <w:rPr>
            <w:noProof/>
            <w:webHidden/>
          </w:rPr>
        </w:r>
        <w:r>
          <w:rPr>
            <w:noProof/>
            <w:webHidden/>
          </w:rPr>
          <w:fldChar w:fldCharType="separate"/>
        </w:r>
        <w:r>
          <w:rPr>
            <w:noProof/>
            <w:webHidden/>
          </w:rPr>
          <w:t>265</w:t>
        </w:r>
        <w:r>
          <w:rPr>
            <w:noProof/>
            <w:webHidden/>
          </w:rPr>
          <w:fldChar w:fldCharType="end"/>
        </w:r>
      </w:hyperlink>
    </w:p>
    <w:p w14:paraId="412CD672"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04"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174 – Описание комплексного типа «tSGNNmPsPh»</w:t>
        </w:r>
        <w:r>
          <w:rPr>
            <w:noProof/>
            <w:webHidden/>
          </w:rPr>
          <w:tab/>
        </w:r>
        <w:r>
          <w:rPr>
            <w:noProof/>
            <w:webHidden/>
          </w:rPr>
          <w:fldChar w:fldCharType="begin"/>
        </w:r>
        <w:r>
          <w:rPr>
            <w:noProof/>
            <w:webHidden/>
          </w:rPr>
          <w:instrText xml:space="preserve"> PAGEREF _Toc219309204 \h </w:instrText>
        </w:r>
        <w:r>
          <w:rPr>
            <w:noProof/>
            <w:webHidden/>
          </w:rPr>
        </w:r>
        <w:r>
          <w:rPr>
            <w:noProof/>
            <w:webHidden/>
          </w:rPr>
          <w:fldChar w:fldCharType="separate"/>
        </w:r>
        <w:r>
          <w:rPr>
            <w:noProof/>
            <w:webHidden/>
          </w:rPr>
          <w:t>267</w:t>
        </w:r>
        <w:r>
          <w:rPr>
            <w:noProof/>
            <w:webHidden/>
          </w:rPr>
          <w:fldChar w:fldCharType="end"/>
        </w:r>
      </w:hyperlink>
    </w:p>
    <w:p w14:paraId="702B9DD1"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05"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175 – Описание комплексного типа «tSGNNmPsPh2»</w:t>
        </w:r>
        <w:r>
          <w:rPr>
            <w:noProof/>
            <w:webHidden/>
          </w:rPr>
          <w:tab/>
        </w:r>
        <w:r>
          <w:rPr>
            <w:noProof/>
            <w:webHidden/>
          </w:rPr>
          <w:fldChar w:fldCharType="begin"/>
        </w:r>
        <w:r>
          <w:rPr>
            <w:noProof/>
            <w:webHidden/>
          </w:rPr>
          <w:instrText xml:space="preserve"> PAGEREF _Toc219309205 \h </w:instrText>
        </w:r>
        <w:r>
          <w:rPr>
            <w:noProof/>
            <w:webHidden/>
          </w:rPr>
        </w:r>
        <w:r>
          <w:rPr>
            <w:noProof/>
            <w:webHidden/>
          </w:rPr>
          <w:fldChar w:fldCharType="separate"/>
        </w:r>
        <w:r>
          <w:rPr>
            <w:noProof/>
            <w:webHidden/>
          </w:rPr>
          <w:t>267</w:t>
        </w:r>
        <w:r>
          <w:rPr>
            <w:noProof/>
            <w:webHidden/>
          </w:rPr>
          <w:fldChar w:fldCharType="end"/>
        </w:r>
      </w:hyperlink>
    </w:p>
    <w:p w14:paraId="545242ED"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06"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176 – Описание комплексного типа «tUFPP»</w:t>
        </w:r>
        <w:r>
          <w:rPr>
            <w:noProof/>
            <w:webHidden/>
          </w:rPr>
          <w:tab/>
        </w:r>
        <w:r>
          <w:rPr>
            <w:noProof/>
            <w:webHidden/>
          </w:rPr>
          <w:fldChar w:fldCharType="begin"/>
        </w:r>
        <w:r>
          <w:rPr>
            <w:noProof/>
            <w:webHidden/>
          </w:rPr>
          <w:instrText xml:space="preserve"> PAGEREF _Toc219309206 \h </w:instrText>
        </w:r>
        <w:r>
          <w:rPr>
            <w:noProof/>
            <w:webHidden/>
          </w:rPr>
        </w:r>
        <w:r>
          <w:rPr>
            <w:noProof/>
            <w:webHidden/>
          </w:rPr>
          <w:fldChar w:fldCharType="separate"/>
        </w:r>
        <w:r>
          <w:rPr>
            <w:noProof/>
            <w:webHidden/>
          </w:rPr>
          <w:t>268</w:t>
        </w:r>
        <w:r>
          <w:rPr>
            <w:noProof/>
            <w:webHidden/>
          </w:rPr>
          <w:fldChar w:fldCharType="end"/>
        </w:r>
      </w:hyperlink>
    </w:p>
    <w:p w14:paraId="72DE5C6E"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07" w:history="1">
        <w:r w:rsidRPr="005C56D9">
          <w:rPr>
            <w:rStyle w:val="af7"/>
            <w:noProof/>
            <w:highlight w:val="green"/>
          </w:rPr>
          <w:t>Таблица </w:t>
        </w:r>
        <w:r>
          <w:rPr>
            <w:rFonts w:asciiTheme="minorHAnsi" w:eastAsiaTheme="minorEastAsia" w:hAnsiTheme="minorHAnsi" w:cstheme="minorBidi"/>
            <w:noProof/>
            <w:sz w:val="22"/>
            <w:szCs w:val="22"/>
          </w:rPr>
          <w:tab/>
        </w:r>
        <w:r w:rsidRPr="005C56D9">
          <w:rPr>
            <w:rStyle w:val="af7"/>
            <w:noProof/>
            <w:highlight w:val="green"/>
          </w:rPr>
          <w:t>177 – Описание комплексного типа «tUFPP_ITEM»</w:t>
        </w:r>
        <w:r>
          <w:rPr>
            <w:noProof/>
            <w:webHidden/>
          </w:rPr>
          <w:tab/>
        </w:r>
        <w:r>
          <w:rPr>
            <w:noProof/>
            <w:webHidden/>
          </w:rPr>
          <w:fldChar w:fldCharType="begin"/>
        </w:r>
        <w:r>
          <w:rPr>
            <w:noProof/>
            <w:webHidden/>
          </w:rPr>
          <w:instrText xml:space="preserve"> PAGEREF _Toc219309207 \h </w:instrText>
        </w:r>
        <w:r>
          <w:rPr>
            <w:noProof/>
            <w:webHidden/>
          </w:rPr>
        </w:r>
        <w:r>
          <w:rPr>
            <w:noProof/>
            <w:webHidden/>
          </w:rPr>
          <w:fldChar w:fldCharType="separate"/>
        </w:r>
        <w:r>
          <w:rPr>
            <w:noProof/>
            <w:webHidden/>
          </w:rPr>
          <w:t>268</w:t>
        </w:r>
        <w:r>
          <w:rPr>
            <w:noProof/>
            <w:webHidden/>
          </w:rPr>
          <w:fldChar w:fldCharType="end"/>
        </w:r>
      </w:hyperlink>
    </w:p>
    <w:p w14:paraId="578CDC19"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08"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178 – Описание комплексного типа «tMSC_PymntOrdr»</w:t>
        </w:r>
        <w:r>
          <w:rPr>
            <w:noProof/>
            <w:webHidden/>
          </w:rPr>
          <w:tab/>
        </w:r>
        <w:r>
          <w:rPr>
            <w:noProof/>
            <w:webHidden/>
          </w:rPr>
          <w:fldChar w:fldCharType="begin"/>
        </w:r>
        <w:r>
          <w:rPr>
            <w:noProof/>
            <w:webHidden/>
          </w:rPr>
          <w:instrText xml:space="preserve"> PAGEREF _Toc219309208 \h </w:instrText>
        </w:r>
        <w:r>
          <w:rPr>
            <w:noProof/>
            <w:webHidden/>
          </w:rPr>
        </w:r>
        <w:r>
          <w:rPr>
            <w:noProof/>
            <w:webHidden/>
          </w:rPr>
          <w:fldChar w:fldCharType="separate"/>
        </w:r>
        <w:r>
          <w:rPr>
            <w:noProof/>
            <w:webHidden/>
          </w:rPr>
          <w:t>270</w:t>
        </w:r>
        <w:r>
          <w:rPr>
            <w:noProof/>
            <w:webHidden/>
          </w:rPr>
          <w:fldChar w:fldCharType="end"/>
        </w:r>
      </w:hyperlink>
    </w:p>
    <w:p w14:paraId="51E499E6"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09"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179 – Описание комплексного типа «tMSC_IncmAdmn»</w:t>
        </w:r>
        <w:r>
          <w:rPr>
            <w:noProof/>
            <w:webHidden/>
          </w:rPr>
          <w:tab/>
        </w:r>
        <w:r>
          <w:rPr>
            <w:noProof/>
            <w:webHidden/>
          </w:rPr>
          <w:fldChar w:fldCharType="begin"/>
        </w:r>
        <w:r>
          <w:rPr>
            <w:noProof/>
            <w:webHidden/>
          </w:rPr>
          <w:instrText xml:space="preserve"> PAGEREF _Toc219309209 \h </w:instrText>
        </w:r>
        <w:r>
          <w:rPr>
            <w:noProof/>
            <w:webHidden/>
          </w:rPr>
        </w:r>
        <w:r>
          <w:rPr>
            <w:noProof/>
            <w:webHidden/>
          </w:rPr>
          <w:fldChar w:fldCharType="separate"/>
        </w:r>
        <w:r>
          <w:rPr>
            <w:noProof/>
            <w:webHidden/>
          </w:rPr>
          <w:t>273</w:t>
        </w:r>
        <w:r>
          <w:rPr>
            <w:noProof/>
            <w:webHidden/>
          </w:rPr>
          <w:fldChar w:fldCharType="end"/>
        </w:r>
      </w:hyperlink>
    </w:p>
    <w:p w14:paraId="49F0FF32"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10"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180 – Описание комплексного типа «tMSC_KBK10_20_31_32»</w:t>
        </w:r>
        <w:r>
          <w:rPr>
            <w:noProof/>
            <w:webHidden/>
          </w:rPr>
          <w:tab/>
        </w:r>
        <w:r>
          <w:rPr>
            <w:noProof/>
            <w:webHidden/>
          </w:rPr>
          <w:fldChar w:fldCharType="begin"/>
        </w:r>
        <w:r>
          <w:rPr>
            <w:noProof/>
            <w:webHidden/>
          </w:rPr>
          <w:instrText xml:space="preserve"> PAGEREF _Toc219309210 \h </w:instrText>
        </w:r>
        <w:r>
          <w:rPr>
            <w:noProof/>
            <w:webHidden/>
          </w:rPr>
        </w:r>
        <w:r>
          <w:rPr>
            <w:noProof/>
            <w:webHidden/>
          </w:rPr>
          <w:fldChar w:fldCharType="separate"/>
        </w:r>
        <w:r>
          <w:rPr>
            <w:noProof/>
            <w:webHidden/>
          </w:rPr>
          <w:t>274</w:t>
        </w:r>
        <w:r>
          <w:rPr>
            <w:noProof/>
            <w:webHidden/>
          </w:rPr>
          <w:fldChar w:fldCharType="end"/>
        </w:r>
      </w:hyperlink>
    </w:p>
    <w:p w14:paraId="3D7AF78F"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11"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181 – Описание комплексного типа «tMSC_BKTp10_20_31_32Complex»</w:t>
        </w:r>
        <w:r>
          <w:rPr>
            <w:noProof/>
            <w:webHidden/>
          </w:rPr>
          <w:tab/>
        </w:r>
        <w:r>
          <w:rPr>
            <w:noProof/>
            <w:webHidden/>
          </w:rPr>
          <w:fldChar w:fldCharType="begin"/>
        </w:r>
        <w:r>
          <w:rPr>
            <w:noProof/>
            <w:webHidden/>
          </w:rPr>
          <w:instrText xml:space="preserve"> PAGEREF _Toc219309211 \h </w:instrText>
        </w:r>
        <w:r>
          <w:rPr>
            <w:noProof/>
            <w:webHidden/>
          </w:rPr>
        </w:r>
        <w:r>
          <w:rPr>
            <w:noProof/>
            <w:webHidden/>
          </w:rPr>
          <w:fldChar w:fldCharType="separate"/>
        </w:r>
        <w:r>
          <w:rPr>
            <w:noProof/>
            <w:webHidden/>
          </w:rPr>
          <w:t>276</w:t>
        </w:r>
        <w:r>
          <w:rPr>
            <w:noProof/>
            <w:webHidden/>
          </w:rPr>
          <w:fldChar w:fldCharType="end"/>
        </w:r>
      </w:hyperlink>
    </w:p>
    <w:p w14:paraId="3177ECFC"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12"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182 – Описание комплексного типа «tUFPP_N»</w:t>
        </w:r>
        <w:r>
          <w:rPr>
            <w:noProof/>
            <w:webHidden/>
          </w:rPr>
          <w:tab/>
        </w:r>
        <w:r>
          <w:rPr>
            <w:noProof/>
            <w:webHidden/>
          </w:rPr>
          <w:fldChar w:fldCharType="begin"/>
        </w:r>
        <w:r>
          <w:rPr>
            <w:noProof/>
            <w:webHidden/>
          </w:rPr>
          <w:instrText xml:space="preserve"> PAGEREF _Toc219309212 \h </w:instrText>
        </w:r>
        <w:r>
          <w:rPr>
            <w:noProof/>
            <w:webHidden/>
          </w:rPr>
        </w:r>
        <w:r>
          <w:rPr>
            <w:noProof/>
            <w:webHidden/>
          </w:rPr>
          <w:fldChar w:fldCharType="separate"/>
        </w:r>
        <w:r>
          <w:rPr>
            <w:noProof/>
            <w:webHidden/>
          </w:rPr>
          <w:t>276</w:t>
        </w:r>
        <w:r>
          <w:rPr>
            <w:noProof/>
            <w:webHidden/>
          </w:rPr>
          <w:fldChar w:fldCharType="end"/>
        </w:r>
      </w:hyperlink>
    </w:p>
    <w:p w14:paraId="60CB56B0"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13" w:history="1">
        <w:r w:rsidRPr="005C56D9">
          <w:rPr>
            <w:rStyle w:val="af7"/>
            <w:noProof/>
            <w:highlight w:val="green"/>
          </w:rPr>
          <w:t>Таблица </w:t>
        </w:r>
        <w:r>
          <w:rPr>
            <w:rFonts w:asciiTheme="minorHAnsi" w:eastAsiaTheme="minorEastAsia" w:hAnsiTheme="minorHAnsi" w:cstheme="minorBidi"/>
            <w:noProof/>
            <w:sz w:val="22"/>
            <w:szCs w:val="22"/>
          </w:rPr>
          <w:tab/>
        </w:r>
        <w:r w:rsidRPr="005C56D9">
          <w:rPr>
            <w:rStyle w:val="af7"/>
            <w:noProof/>
            <w:highlight w:val="green"/>
          </w:rPr>
          <w:t>183 – Описание комплексного типа «tUFPP_N_ITEM»</w:t>
        </w:r>
        <w:r>
          <w:rPr>
            <w:noProof/>
            <w:webHidden/>
          </w:rPr>
          <w:tab/>
        </w:r>
        <w:r>
          <w:rPr>
            <w:noProof/>
            <w:webHidden/>
          </w:rPr>
          <w:fldChar w:fldCharType="begin"/>
        </w:r>
        <w:r>
          <w:rPr>
            <w:noProof/>
            <w:webHidden/>
          </w:rPr>
          <w:instrText xml:space="preserve"> PAGEREF _Toc219309213 \h </w:instrText>
        </w:r>
        <w:r>
          <w:rPr>
            <w:noProof/>
            <w:webHidden/>
          </w:rPr>
        </w:r>
        <w:r>
          <w:rPr>
            <w:noProof/>
            <w:webHidden/>
          </w:rPr>
          <w:fldChar w:fldCharType="separate"/>
        </w:r>
        <w:r>
          <w:rPr>
            <w:noProof/>
            <w:webHidden/>
          </w:rPr>
          <w:t>277</w:t>
        </w:r>
        <w:r>
          <w:rPr>
            <w:noProof/>
            <w:webHidden/>
          </w:rPr>
          <w:fldChar w:fldCharType="end"/>
        </w:r>
      </w:hyperlink>
    </w:p>
    <w:p w14:paraId="73C9814A"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14"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184 – Описание комплексного типа «tMSC_Rcpnt»</w:t>
        </w:r>
        <w:r>
          <w:rPr>
            <w:noProof/>
            <w:webHidden/>
          </w:rPr>
          <w:tab/>
        </w:r>
        <w:r>
          <w:rPr>
            <w:noProof/>
            <w:webHidden/>
          </w:rPr>
          <w:fldChar w:fldCharType="begin"/>
        </w:r>
        <w:r>
          <w:rPr>
            <w:noProof/>
            <w:webHidden/>
          </w:rPr>
          <w:instrText xml:space="preserve"> PAGEREF _Toc219309214 \h </w:instrText>
        </w:r>
        <w:r>
          <w:rPr>
            <w:noProof/>
            <w:webHidden/>
          </w:rPr>
        </w:r>
        <w:r>
          <w:rPr>
            <w:noProof/>
            <w:webHidden/>
          </w:rPr>
          <w:fldChar w:fldCharType="separate"/>
        </w:r>
        <w:r>
          <w:rPr>
            <w:noProof/>
            <w:webHidden/>
          </w:rPr>
          <w:t>278</w:t>
        </w:r>
        <w:r>
          <w:rPr>
            <w:noProof/>
            <w:webHidden/>
          </w:rPr>
          <w:fldChar w:fldCharType="end"/>
        </w:r>
      </w:hyperlink>
    </w:p>
    <w:p w14:paraId="1471EE8B"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15"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185 – Описание комплексного типа «</w:t>
        </w:r>
        <w:r w:rsidRPr="005C56D9">
          <w:rPr>
            <w:rStyle w:val="af7"/>
            <w:noProof/>
          </w:rPr>
          <w:t>tMSC_Infrmtn</w:t>
        </w:r>
        <w:r w:rsidRPr="005C56D9">
          <w:rPr>
            <w:rStyle w:val="af7"/>
            <w:rFonts w:eastAsia="Calibri"/>
            <w:noProof/>
          </w:rPr>
          <w:t>»</w:t>
        </w:r>
        <w:r>
          <w:rPr>
            <w:noProof/>
            <w:webHidden/>
          </w:rPr>
          <w:tab/>
        </w:r>
        <w:r>
          <w:rPr>
            <w:noProof/>
            <w:webHidden/>
          </w:rPr>
          <w:fldChar w:fldCharType="begin"/>
        </w:r>
        <w:r>
          <w:rPr>
            <w:noProof/>
            <w:webHidden/>
          </w:rPr>
          <w:instrText xml:space="preserve"> PAGEREF _Toc219309215 \h </w:instrText>
        </w:r>
        <w:r>
          <w:rPr>
            <w:noProof/>
            <w:webHidden/>
          </w:rPr>
        </w:r>
        <w:r>
          <w:rPr>
            <w:noProof/>
            <w:webHidden/>
          </w:rPr>
          <w:fldChar w:fldCharType="separate"/>
        </w:r>
        <w:r>
          <w:rPr>
            <w:noProof/>
            <w:webHidden/>
          </w:rPr>
          <w:t>279</w:t>
        </w:r>
        <w:r>
          <w:rPr>
            <w:noProof/>
            <w:webHidden/>
          </w:rPr>
          <w:fldChar w:fldCharType="end"/>
        </w:r>
      </w:hyperlink>
    </w:p>
    <w:p w14:paraId="71D90B4E"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16" w:history="1">
        <w:r w:rsidRPr="005C56D9">
          <w:rPr>
            <w:rStyle w:val="af7"/>
            <w:rFonts w:eastAsia="Calibri"/>
            <w:noProof/>
            <w:highlight w:val="green"/>
          </w:rPr>
          <w:t>Таблица </w:t>
        </w:r>
        <w:r>
          <w:rPr>
            <w:rFonts w:asciiTheme="minorHAnsi" w:eastAsiaTheme="minorEastAsia" w:hAnsiTheme="minorHAnsi" w:cstheme="minorBidi"/>
            <w:noProof/>
            <w:sz w:val="22"/>
            <w:szCs w:val="22"/>
          </w:rPr>
          <w:tab/>
        </w:r>
        <w:r w:rsidRPr="005C56D9">
          <w:rPr>
            <w:rStyle w:val="af7"/>
            <w:rFonts w:eastAsia="Calibri"/>
            <w:noProof/>
            <w:highlight w:val="green"/>
          </w:rPr>
          <w:t xml:space="preserve">186 – </w:t>
        </w:r>
        <w:r w:rsidRPr="005C56D9">
          <w:rPr>
            <w:rStyle w:val="af7"/>
            <w:noProof/>
            <w:highlight w:val="green"/>
          </w:rPr>
          <w:t>Маршрут документа «Распоряжение о перечислении денежных средств на банковские карты «Мир» физических лиц»</w:t>
        </w:r>
        <w:r>
          <w:rPr>
            <w:noProof/>
            <w:webHidden/>
          </w:rPr>
          <w:tab/>
        </w:r>
        <w:r>
          <w:rPr>
            <w:noProof/>
            <w:webHidden/>
          </w:rPr>
          <w:fldChar w:fldCharType="begin"/>
        </w:r>
        <w:r>
          <w:rPr>
            <w:noProof/>
            <w:webHidden/>
          </w:rPr>
          <w:instrText xml:space="preserve"> PAGEREF _Toc219309216 \h </w:instrText>
        </w:r>
        <w:r>
          <w:rPr>
            <w:noProof/>
            <w:webHidden/>
          </w:rPr>
        </w:r>
        <w:r>
          <w:rPr>
            <w:noProof/>
            <w:webHidden/>
          </w:rPr>
          <w:fldChar w:fldCharType="separate"/>
        </w:r>
        <w:r>
          <w:rPr>
            <w:noProof/>
            <w:webHidden/>
          </w:rPr>
          <w:t>285</w:t>
        </w:r>
        <w:r>
          <w:rPr>
            <w:noProof/>
            <w:webHidden/>
          </w:rPr>
          <w:fldChar w:fldCharType="end"/>
        </w:r>
      </w:hyperlink>
    </w:p>
    <w:p w14:paraId="2E93B41C"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17" w:history="1">
        <w:r w:rsidRPr="005C56D9">
          <w:rPr>
            <w:rStyle w:val="af7"/>
            <w:rFonts w:eastAsia="Calibri"/>
            <w:noProof/>
            <w:highlight w:val="green"/>
          </w:rPr>
          <w:t>Таблица </w:t>
        </w:r>
        <w:r>
          <w:rPr>
            <w:rFonts w:asciiTheme="minorHAnsi" w:eastAsiaTheme="minorEastAsia" w:hAnsiTheme="minorHAnsi" w:cstheme="minorBidi"/>
            <w:noProof/>
            <w:sz w:val="22"/>
            <w:szCs w:val="22"/>
          </w:rPr>
          <w:tab/>
        </w:r>
        <w:r w:rsidRPr="005C56D9">
          <w:rPr>
            <w:rStyle w:val="af7"/>
            <w:rFonts w:eastAsia="Calibri"/>
            <w:noProof/>
            <w:highlight w:val="green"/>
          </w:rPr>
          <w:t xml:space="preserve">187 – </w:t>
        </w:r>
        <w:r w:rsidRPr="005C56D9">
          <w:rPr>
            <w:rStyle w:val="af7"/>
            <w:noProof/>
            <w:highlight w:val="green"/>
          </w:rPr>
          <w:t>Описание комплексного типа «tOrder_Mir»</w:t>
        </w:r>
        <w:r>
          <w:rPr>
            <w:noProof/>
            <w:webHidden/>
          </w:rPr>
          <w:tab/>
        </w:r>
        <w:r>
          <w:rPr>
            <w:noProof/>
            <w:webHidden/>
          </w:rPr>
          <w:fldChar w:fldCharType="begin"/>
        </w:r>
        <w:r>
          <w:rPr>
            <w:noProof/>
            <w:webHidden/>
          </w:rPr>
          <w:instrText xml:space="preserve"> PAGEREF _Toc219309217 \h </w:instrText>
        </w:r>
        <w:r>
          <w:rPr>
            <w:noProof/>
            <w:webHidden/>
          </w:rPr>
        </w:r>
        <w:r>
          <w:rPr>
            <w:noProof/>
            <w:webHidden/>
          </w:rPr>
          <w:fldChar w:fldCharType="separate"/>
        </w:r>
        <w:r>
          <w:rPr>
            <w:noProof/>
            <w:webHidden/>
          </w:rPr>
          <w:t>286</w:t>
        </w:r>
        <w:r>
          <w:rPr>
            <w:noProof/>
            <w:webHidden/>
          </w:rPr>
          <w:fldChar w:fldCharType="end"/>
        </w:r>
      </w:hyperlink>
    </w:p>
    <w:p w14:paraId="73716AEA"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18"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 xml:space="preserve">188 – </w:t>
        </w:r>
        <w:r w:rsidRPr="005C56D9">
          <w:rPr>
            <w:rStyle w:val="af7"/>
            <w:noProof/>
          </w:rPr>
          <w:t>Описание комплексного типа «tInf_Pmnts»</w:t>
        </w:r>
        <w:r>
          <w:rPr>
            <w:noProof/>
            <w:webHidden/>
          </w:rPr>
          <w:tab/>
        </w:r>
        <w:r>
          <w:rPr>
            <w:noProof/>
            <w:webHidden/>
          </w:rPr>
          <w:fldChar w:fldCharType="begin"/>
        </w:r>
        <w:r>
          <w:rPr>
            <w:noProof/>
            <w:webHidden/>
          </w:rPr>
          <w:instrText xml:space="preserve"> PAGEREF _Toc219309218 \h </w:instrText>
        </w:r>
        <w:r>
          <w:rPr>
            <w:noProof/>
            <w:webHidden/>
          </w:rPr>
        </w:r>
        <w:r>
          <w:rPr>
            <w:noProof/>
            <w:webHidden/>
          </w:rPr>
          <w:fldChar w:fldCharType="separate"/>
        </w:r>
        <w:r>
          <w:rPr>
            <w:noProof/>
            <w:webHidden/>
          </w:rPr>
          <w:t>291</w:t>
        </w:r>
        <w:r>
          <w:rPr>
            <w:noProof/>
            <w:webHidden/>
          </w:rPr>
          <w:fldChar w:fldCharType="end"/>
        </w:r>
      </w:hyperlink>
    </w:p>
    <w:p w14:paraId="611F7D8E"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19"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 xml:space="preserve">189 – </w:t>
        </w:r>
        <w:r w:rsidRPr="005C56D9">
          <w:rPr>
            <w:rStyle w:val="af7"/>
            <w:noProof/>
          </w:rPr>
          <w:t>Описание комплексного типа «tInf_Pmnts_ITEM»</w:t>
        </w:r>
        <w:r>
          <w:rPr>
            <w:noProof/>
            <w:webHidden/>
          </w:rPr>
          <w:tab/>
        </w:r>
        <w:r>
          <w:rPr>
            <w:noProof/>
            <w:webHidden/>
          </w:rPr>
          <w:fldChar w:fldCharType="begin"/>
        </w:r>
        <w:r>
          <w:rPr>
            <w:noProof/>
            <w:webHidden/>
          </w:rPr>
          <w:instrText xml:space="preserve"> PAGEREF _Toc219309219 \h </w:instrText>
        </w:r>
        <w:r>
          <w:rPr>
            <w:noProof/>
            <w:webHidden/>
          </w:rPr>
        </w:r>
        <w:r>
          <w:rPr>
            <w:noProof/>
            <w:webHidden/>
          </w:rPr>
          <w:fldChar w:fldCharType="separate"/>
        </w:r>
        <w:r>
          <w:rPr>
            <w:noProof/>
            <w:webHidden/>
          </w:rPr>
          <w:t>291</w:t>
        </w:r>
        <w:r>
          <w:rPr>
            <w:noProof/>
            <w:webHidden/>
          </w:rPr>
          <w:fldChar w:fldCharType="end"/>
        </w:r>
      </w:hyperlink>
    </w:p>
    <w:p w14:paraId="102095D1"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20"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 xml:space="preserve">190 – </w:t>
        </w:r>
        <w:r w:rsidRPr="005C56D9">
          <w:rPr>
            <w:rStyle w:val="af7"/>
            <w:noProof/>
          </w:rPr>
          <w:t>Описание комплексного типа «tAmntKBK»</w:t>
        </w:r>
        <w:r>
          <w:rPr>
            <w:noProof/>
            <w:webHidden/>
          </w:rPr>
          <w:tab/>
        </w:r>
        <w:r>
          <w:rPr>
            <w:noProof/>
            <w:webHidden/>
          </w:rPr>
          <w:fldChar w:fldCharType="begin"/>
        </w:r>
        <w:r>
          <w:rPr>
            <w:noProof/>
            <w:webHidden/>
          </w:rPr>
          <w:instrText xml:space="preserve"> PAGEREF _Toc219309220 \h </w:instrText>
        </w:r>
        <w:r>
          <w:rPr>
            <w:noProof/>
            <w:webHidden/>
          </w:rPr>
        </w:r>
        <w:r>
          <w:rPr>
            <w:noProof/>
            <w:webHidden/>
          </w:rPr>
          <w:fldChar w:fldCharType="separate"/>
        </w:r>
        <w:r>
          <w:rPr>
            <w:noProof/>
            <w:webHidden/>
          </w:rPr>
          <w:t>294</w:t>
        </w:r>
        <w:r>
          <w:rPr>
            <w:noProof/>
            <w:webHidden/>
          </w:rPr>
          <w:fldChar w:fldCharType="end"/>
        </w:r>
      </w:hyperlink>
    </w:p>
    <w:p w14:paraId="4D20359D"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21"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 xml:space="preserve">191 – </w:t>
        </w:r>
        <w:r w:rsidRPr="005C56D9">
          <w:rPr>
            <w:rStyle w:val="af7"/>
            <w:noProof/>
          </w:rPr>
          <w:t>Описание комплексного типа «tAmntKBK_ITEM»</w:t>
        </w:r>
        <w:r>
          <w:rPr>
            <w:noProof/>
            <w:webHidden/>
          </w:rPr>
          <w:tab/>
        </w:r>
        <w:r>
          <w:rPr>
            <w:noProof/>
            <w:webHidden/>
          </w:rPr>
          <w:fldChar w:fldCharType="begin"/>
        </w:r>
        <w:r>
          <w:rPr>
            <w:noProof/>
            <w:webHidden/>
          </w:rPr>
          <w:instrText xml:space="preserve"> PAGEREF _Toc219309221 \h </w:instrText>
        </w:r>
        <w:r>
          <w:rPr>
            <w:noProof/>
            <w:webHidden/>
          </w:rPr>
        </w:r>
        <w:r>
          <w:rPr>
            <w:noProof/>
            <w:webHidden/>
          </w:rPr>
          <w:fldChar w:fldCharType="separate"/>
        </w:r>
        <w:r>
          <w:rPr>
            <w:noProof/>
            <w:webHidden/>
          </w:rPr>
          <w:t>294</w:t>
        </w:r>
        <w:r>
          <w:rPr>
            <w:noProof/>
            <w:webHidden/>
          </w:rPr>
          <w:fldChar w:fldCharType="end"/>
        </w:r>
      </w:hyperlink>
    </w:p>
    <w:p w14:paraId="67B594D6"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22"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192 – Описание комплексного типа «tSGN»</w:t>
        </w:r>
        <w:r>
          <w:rPr>
            <w:noProof/>
            <w:webHidden/>
          </w:rPr>
          <w:tab/>
        </w:r>
        <w:r>
          <w:rPr>
            <w:noProof/>
            <w:webHidden/>
          </w:rPr>
          <w:fldChar w:fldCharType="begin"/>
        </w:r>
        <w:r>
          <w:rPr>
            <w:noProof/>
            <w:webHidden/>
          </w:rPr>
          <w:instrText xml:space="preserve"> PAGEREF _Toc219309222 \h </w:instrText>
        </w:r>
        <w:r>
          <w:rPr>
            <w:noProof/>
            <w:webHidden/>
          </w:rPr>
        </w:r>
        <w:r>
          <w:rPr>
            <w:noProof/>
            <w:webHidden/>
          </w:rPr>
          <w:fldChar w:fldCharType="separate"/>
        </w:r>
        <w:r>
          <w:rPr>
            <w:noProof/>
            <w:webHidden/>
          </w:rPr>
          <w:t>295</w:t>
        </w:r>
        <w:r>
          <w:rPr>
            <w:noProof/>
            <w:webHidden/>
          </w:rPr>
          <w:fldChar w:fldCharType="end"/>
        </w:r>
      </w:hyperlink>
    </w:p>
    <w:p w14:paraId="3C1BB68D"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23"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lang w:val="en-US"/>
          </w:rPr>
          <w:t>193</w:t>
        </w:r>
        <w:r w:rsidRPr="005C56D9">
          <w:rPr>
            <w:rStyle w:val="af7"/>
            <w:rFonts w:eastAsia="Calibri"/>
            <w:noProof/>
          </w:rPr>
          <w:t xml:space="preserve"> – Маршрут документа «Сведения о соглашении/</w:t>
        </w:r>
        <w:r w:rsidRPr="005C56D9">
          <w:rPr>
            <w:rStyle w:val="af7"/>
            <w:rFonts w:eastAsia="Calibri"/>
            <w:noProof/>
            <w:lang w:eastAsia="en-US"/>
          </w:rPr>
          <w:t>об изменении соглашения</w:t>
        </w:r>
        <w:r w:rsidRPr="005C56D9">
          <w:rPr>
            <w:rStyle w:val="af7"/>
            <w:rFonts w:eastAsia="Calibri"/>
            <w:noProof/>
          </w:rPr>
          <w:t>»</w:t>
        </w:r>
        <w:r>
          <w:rPr>
            <w:noProof/>
            <w:webHidden/>
          </w:rPr>
          <w:tab/>
        </w:r>
        <w:r>
          <w:rPr>
            <w:noProof/>
            <w:webHidden/>
          </w:rPr>
          <w:fldChar w:fldCharType="begin"/>
        </w:r>
        <w:r>
          <w:rPr>
            <w:noProof/>
            <w:webHidden/>
          </w:rPr>
          <w:instrText xml:space="preserve"> PAGEREF _Toc219309223 \h </w:instrText>
        </w:r>
        <w:r>
          <w:rPr>
            <w:noProof/>
            <w:webHidden/>
          </w:rPr>
        </w:r>
        <w:r>
          <w:rPr>
            <w:noProof/>
            <w:webHidden/>
          </w:rPr>
          <w:fldChar w:fldCharType="separate"/>
        </w:r>
        <w:r>
          <w:rPr>
            <w:noProof/>
            <w:webHidden/>
          </w:rPr>
          <w:t>301</w:t>
        </w:r>
        <w:r>
          <w:rPr>
            <w:noProof/>
            <w:webHidden/>
          </w:rPr>
          <w:fldChar w:fldCharType="end"/>
        </w:r>
      </w:hyperlink>
    </w:p>
    <w:p w14:paraId="0E370CC7"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24" w:history="1">
        <w:r w:rsidRPr="005C56D9">
          <w:rPr>
            <w:rStyle w:val="af7"/>
            <w:rFonts w:eastAsia="Calibri"/>
            <w:noProof/>
            <w:lang w:val="en-US"/>
          </w:rPr>
          <w:t>Таблица </w:t>
        </w:r>
        <w:r>
          <w:rPr>
            <w:rFonts w:asciiTheme="minorHAnsi" w:eastAsiaTheme="minorEastAsia" w:hAnsiTheme="minorHAnsi" w:cstheme="minorBidi"/>
            <w:noProof/>
            <w:sz w:val="22"/>
            <w:szCs w:val="22"/>
          </w:rPr>
          <w:tab/>
        </w:r>
        <w:r w:rsidRPr="005C56D9">
          <w:rPr>
            <w:rStyle w:val="af7"/>
            <w:rFonts w:eastAsia="Calibri"/>
            <w:noProof/>
            <w:lang w:val="en-US"/>
          </w:rPr>
          <w:t xml:space="preserve">194 – </w:t>
        </w:r>
        <w:r w:rsidRPr="005C56D9">
          <w:rPr>
            <w:rStyle w:val="af7"/>
            <w:rFonts w:eastAsia="Calibri"/>
            <w:noProof/>
          </w:rPr>
          <w:t>Описание</w:t>
        </w:r>
        <w:r w:rsidRPr="005C56D9">
          <w:rPr>
            <w:rStyle w:val="af7"/>
            <w:rFonts w:eastAsia="Calibri"/>
            <w:noProof/>
            <w:lang w:val="en-US"/>
          </w:rPr>
          <w:t xml:space="preserve"> </w:t>
        </w:r>
        <w:r w:rsidRPr="005C56D9">
          <w:rPr>
            <w:rStyle w:val="af7"/>
            <w:rFonts w:eastAsia="Calibri"/>
            <w:noProof/>
          </w:rPr>
          <w:t>комплексного</w:t>
        </w:r>
        <w:r w:rsidRPr="005C56D9">
          <w:rPr>
            <w:rStyle w:val="af7"/>
            <w:rFonts w:eastAsia="Calibri"/>
            <w:noProof/>
            <w:lang w:val="en-US"/>
          </w:rPr>
          <w:t xml:space="preserve"> </w:t>
        </w:r>
        <w:r w:rsidRPr="005C56D9">
          <w:rPr>
            <w:rStyle w:val="af7"/>
            <w:rFonts w:eastAsia="Calibri"/>
            <w:noProof/>
          </w:rPr>
          <w:t>типа</w:t>
        </w:r>
        <w:r w:rsidRPr="005C56D9">
          <w:rPr>
            <w:rStyle w:val="af7"/>
            <w:rFonts w:eastAsia="Calibri"/>
            <w:noProof/>
            <w:lang w:val="en-US"/>
          </w:rPr>
          <w:t xml:space="preserve"> «tImpAgr»</w:t>
        </w:r>
        <w:r>
          <w:rPr>
            <w:noProof/>
            <w:webHidden/>
          </w:rPr>
          <w:tab/>
        </w:r>
        <w:r>
          <w:rPr>
            <w:noProof/>
            <w:webHidden/>
          </w:rPr>
          <w:fldChar w:fldCharType="begin"/>
        </w:r>
        <w:r>
          <w:rPr>
            <w:noProof/>
            <w:webHidden/>
          </w:rPr>
          <w:instrText xml:space="preserve"> PAGEREF _Toc219309224 \h </w:instrText>
        </w:r>
        <w:r>
          <w:rPr>
            <w:noProof/>
            <w:webHidden/>
          </w:rPr>
        </w:r>
        <w:r>
          <w:rPr>
            <w:noProof/>
            <w:webHidden/>
          </w:rPr>
          <w:fldChar w:fldCharType="separate"/>
        </w:r>
        <w:r>
          <w:rPr>
            <w:noProof/>
            <w:webHidden/>
          </w:rPr>
          <w:t>301</w:t>
        </w:r>
        <w:r>
          <w:rPr>
            <w:noProof/>
            <w:webHidden/>
          </w:rPr>
          <w:fldChar w:fldCharType="end"/>
        </w:r>
      </w:hyperlink>
    </w:p>
    <w:p w14:paraId="70F1E1B1"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25"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195 – Описание комплексного типа «</w:t>
        </w:r>
        <w:r w:rsidRPr="005C56D9">
          <w:rPr>
            <w:rStyle w:val="af7"/>
            <w:noProof/>
            <w:lang w:val="en-US"/>
          </w:rPr>
          <w:t>tCalendar</w:t>
        </w:r>
        <w:r w:rsidRPr="005C56D9">
          <w:rPr>
            <w:rStyle w:val="af7"/>
            <w:rFonts w:eastAsia="Calibri"/>
            <w:noProof/>
          </w:rPr>
          <w:t>»</w:t>
        </w:r>
        <w:r>
          <w:rPr>
            <w:noProof/>
            <w:webHidden/>
          </w:rPr>
          <w:tab/>
        </w:r>
        <w:r>
          <w:rPr>
            <w:noProof/>
            <w:webHidden/>
          </w:rPr>
          <w:fldChar w:fldCharType="begin"/>
        </w:r>
        <w:r>
          <w:rPr>
            <w:noProof/>
            <w:webHidden/>
          </w:rPr>
          <w:instrText xml:space="preserve"> PAGEREF _Toc219309225 \h </w:instrText>
        </w:r>
        <w:r>
          <w:rPr>
            <w:noProof/>
            <w:webHidden/>
          </w:rPr>
        </w:r>
        <w:r>
          <w:rPr>
            <w:noProof/>
            <w:webHidden/>
          </w:rPr>
          <w:fldChar w:fldCharType="separate"/>
        </w:r>
        <w:r>
          <w:rPr>
            <w:noProof/>
            <w:webHidden/>
          </w:rPr>
          <w:t>308</w:t>
        </w:r>
        <w:r>
          <w:rPr>
            <w:noProof/>
            <w:webHidden/>
          </w:rPr>
          <w:fldChar w:fldCharType="end"/>
        </w:r>
      </w:hyperlink>
    </w:p>
    <w:p w14:paraId="0A6C345F"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26"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196 – Описание комплексного типа «</w:t>
        </w:r>
        <w:r w:rsidRPr="005C56D9">
          <w:rPr>
            <w:rStyle w:val="af7"/>
            <w:noProof/>
          </w:rPr>
          <w:t>tCalendarDate</w:t>
        </w:r>
        <w:r w:rsidRPr="005C56D9">
          <w:rPr>
            <w:rStyle w:val="af7"/>
            <w:rFonts w:eastAsia="Calibri"/>
            <w:noProof/>
          </w:rPr>
          <w:t>»</w:t>
        </w:r>
        <w:r>
          <w:rPr>
            <w:noProof/>
            <w:webHidden/>
          </w:rPr>
          <w:tab/>
        </w:r>
        <w:r>
          <w:rPr>
            <w:noProof/>
            <w:webHidden/>
          </w:rPr>
          <w:fldChar w:fldCharType="begin"/>
        </w:r>
        <w:r>
          <w:rPr>
            <w:noProof/>
            <w:webHidden/>
          </w:rPr>
          <w:instrText xml:space="preserve"> PAGEREF _Toc219309226 \h </w:instrText>
        </w:r>
        <w:r>
          <w:rPr>
            <w:noProof/>
            <w:webHidden/>
          </w:rPr>
        </w:r>
        <w:r>
          <w:rPr>
            <w:noProof/>
            <w:webHidden/>
          </w:rPr>
          <w:fldChar w:fldCharType="separate"/>
        </w:r>
        <w:r>
          <w:rPr>
            <w:noProof/>
            <w:webHidden/>
          </w:rPr>
          <w:t>309</w:t>
        </w:r>
        <w:r>
          <w:rPr>
            <w:noProof/>
            <w:webHidden/>
          </w:rPr>
          <w:fldChar w:fldCharType="end"/>
        </w:r>
      </w:hyperlink>
    </w:p>
    <w:p w14:paraId="7421D7BB"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27"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197 – Описание комплексного типа «tRequisites»</w:t>
        </w:r>
        <w:r>
          <w:rPr>
            <w:noProof/>
            <w:webHidden/>
          </w:rPr>
          <w:tab/>
        </w:r>
        <w:r>
          <w:rPr>
            <w:noProof/>
            <w:webHidden/>
          </w:rPr>
          <w:fldChar w:fldCharType="begin"/>
        </w:r>
        <w:r>
          <w:rPr>
            <w:noProof/>
            <w:webHidden/>
          </w:rPr>
          <w:instrText xml:space="preserve"> PAGEREF _Toc219309227 \h </w:instrText>
        </w:r>
        <w:r>
          <w:rPr>
            <w:noProof/>
            <w:webHidden/>
          </w:rPr>
        </w:r>
        <w:r>
          <w:rPr>
            <w:noProof/>
            <w:webHidden/>
          </w:rPr>
          <w:fldChar w:fldCharType="separate"/>
        </w:r>
        <w:r>
          <w:rPr>
            <w:noProof/>
            <w:webHidden/>
          </w:rPr>
          <w:t>310</w:t>
        </w:r>
        <w:r>
          <w:rPr>
            <w:noProof/>
            <w:webHidden/>
          </w:rPr>
          <w:fldChar w:fldCharType="end"/>
        </w:r>
      </w:hyperlink>
    </w:p>
    <w:p w14:paraId="515E1C1D"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28"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198 – Описание комплексного типа «tLctn»</w:t>
        </w:r>
        <w:r>
          <w:rPr>
            <w:noProof/>
            <w:webHidden/>
          </w:rPr>
          <w:tab/>
        </w:r>
        <w:r>
          <w:rPr>
            <w:noProof/>
            <w:webHidden/>
          </w:rPr>
          <w:fldChar w:fldCharType="begin"/>
        </w:r>
        <w:r>
          <w:rPr>
            <w:noProof/>
            <w:webHidden/>
          </w:rPr>
          <w:instrText xml:space="preserve"> PAGEREF _Toc219309228 \h </w:instrText>
        </w:r>
        <w:r>
          <w:rPr>
            <w:noProof/>
            <w:webHidden/>
          </w:rPr>
        </w:r>
        <w:r>
          <w:rPr>
            <w:noProof/>
            <w:webHidden/>
          </w:rPr>
          <w:fldChar w:fldCharType="separate"/>
        </w:r>
        <w:r>
          <w:rPr>
            <w:noProof/>
            <w:webHidden/>
          </w:rPr>
          <w:t>314</w:t>
        </w:r>
        <w:r>
          <w:rPr>
            <w:noProof/>
            <w:webHidden/>
          </w:rPr>
          <w:fldChar w:fldCharType="end"/>
        </w:r>
      </w:hyperlink>
    </w:p>
    <w:p w14:paraId="2269760E"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29"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199 – Описание комплексного типа «tFrgnLctn»</w:t>
        </w:r>
        <w:r>
          <w:rPr>
            <w:noProof/>
            <w:webHidden/>
          </w:rPr>
          <w:tab/>
        </w:r>
        <w:r>
          <w:rPr>
            <w:noProof/>
            <w:webHidden/>
          </w:rPr>
          <w:fldChar w:fldCharType="begin"/>
        </w:r>
        <w:r>
          <w:rPr>
            <w:noProof/>
            <w:webHidden/>
          </w:rPr>
          <w:instrText xml:space="preserve"> PAGEREF _Toc219309229 \h </w:instrText>
        </w:r>
        <w:r>
          <w:rPr>
            <w:noProof/>
            <w:webHidden/>
          </w:rPr>
        </w:r>
        <w:r>
          <w:rPr>
            <w:noProof/>
            <w:webHidden/>
          </w:rPr>
          <w:fldChar w:fldCharType="separate"/>
        </w:r>
        <w:r>
          <w:rPr>
            <w:noProof/>
            <w:webHidden/>
          </w:rPr>
          <w:t>316</w:t>
        </w:r>
        <w:r>
          <w:rPr>
            <w:noProof/>
            <w:webHidden/>
          </w:rPr>
          <w:fldChar w:fldCharType="end"/>
        </w:r>
      </w:hyperlink>
    </w:p>
    <w:p w14:paraId="42E2B1AE"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30"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200 – Описание комплексного типа «tFrgnRes»</w:t>
        </w:r>
        <w:r>
          <w:rPr>
            <w:noProof/>
            <w:webHidden/>
          </w:rPr>
          <w:tab/>
        </w:r>
        <w:r>
          <w:rPr>
            <w:noProof/>
            <w:webHidden/>
          </w:rPr>
          <w:fldChar w:fldCharType="begin"/>
        </w:r>
        <w:r>
          <w:rPr>
            <w:noProof/>
            <w:webHidden/>
          </w:rPr>
          <w:instrText xml:space="preserve"> PAGEREF _Toc219309230 \h </w:instrText>
        </w:r>
        <w:r>
          <w:rPr>
            <w:noProof/>
            <w:webHidden/>
          </w:rPr>
        </w:r>
        <w:r>
          <w:rPr>
            <w:noProof/>
            <w:webHidden/>
          </w:rPr>
          <w:fldChar w:fldCharType="separate"/>
        </w:r>
        <w:r>
          <w:rPr>
            <w:noProof/>
            <w:webHidden/>
          </w:rPr>
          <w:t>317</w:t>
        </w:r>
        <w:r>
          <w:rPr>
            <w:noProof/>
            <w:webHidden/>
          </w:rPr>
          <w:fldChar w:fldCharType="end"/>
        </w:r>
      </w:hyperlink>
    </w:p>
    <w:p w14:paraId="0DC73BB4"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31"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201 – Описание комплексного типа «tGRBSLS»</w:t>
        </w:r>
        <w:r>
          <w:rPr>
            <w:noProof/>
            <w:webHidden/>
          </w:rPr>
          <w:tab/>
        </w:r>
        <w:r>
          <w:rPr>
            <w:noProof/>
            <w:webHidden/>
          </w:rPr>
          <w:fldChar w:fldCharType="begin"/>
        </w:r>
        <w:r>
          <w:rPr>
            <w:noProof/>
            <w:webHidden/>
          </w:rPr>
          <w:instrText xml:space="preserve"> PAGEREF _Toc219309231 \h </w:instrText>
        </w:r>
        <w:r>
          <w:rPr>
            <w:noProof/>
            <w:webHidden/>
          </w:rPr>
        </w:r>
        <w:r>
          <w:rPr>
            <w:noProof/>
            <w:webHidden/>
          </w:rPr>
          <w:fldChar w:fldCharType="separate"/>
        </w:r>
        <w:r>
          <w:rPr>
            <w:noProof/>
            <w:webHidden/>
          </w:rPr>
          <w:t>319</w:t>
        </w:r>
        <w:r>
          <w:rPr>
            <w:noProof/>
            <w:webHidden/>
          </w:rPr>
          <w:fldChar w:fldCharType="end"/>
        </w:r>
      </w:hyperlink>
    </w:p>
    <w:p w14:paraId="2F4A138D"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32"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202 – Описание комплексного типа «tBdgName»</w:t>
        </w:r>
        <w:r>
          <w:rPr>
            <w:noProof/>
            <w:webHidden/>
          </w:rPr>
          <w:tab/>
        </w:r>
        <w:r>
          <w:rPr>
            <w:noProof/>
            <w:webHidden/>
          </w:rPr>
          <w:fldChar w:fldCharType="begin"/>
        </w:r>
        <w:r>
          <w:rPr>
            <w:noProof/>
            <w:webHidden/>
          </w:rPr>
          <w:instrText xml:space="preserve"> PAGEREF _Toc219309232 \h </w:instrText>
        </w:r>
        <w:r>
          <w:rPr>
            <w:noProof/>
            <w:webHidden/>
          </w:rPr>
        </w:r>
        <w:r>
          <w:rPr>
            <w:noProof/>
            <w:webHidden/>
          </w:rPr>
          <w:fldChar w:fldCharType="separate"/>
        </w:r>
        <w:r>
          <w:rPr>
            <w:noProof/>
            <w:webHidden/>
          </w:rPr>
          <w:t>319</w:t>
        </w:r>
        <w:r>
          <w:rPr>
            <w:noProof/>
            <w:webHidden/>
          </w:rPr>
          <w:fldChar w:fldCharType="end"/>
        </w:r>
      </w:hyperlink>
    </w:p>
    <w:p w14:paraId="47DCD3AD"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33"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203 – Описание комплексного типа «tSumm»</w:t>
        </w:r>
        <w:r>
          <w:rPr>
            <w:noProof/>
            <w:webHidden/>
          </w:rPr>
          <w:tab/>
        </w:r>
        <w:r>
          <w:rPr>
            <w:noProof/>
            <w:webHidden/>
          </w:rPr>
          <w:fldChar w:fldCharType="begin"/>
        </w:r>
        <w:r>
          <w:rPr>
            <w:noProof/>
            <w:webHidden/>
          </w:rPr>
          <w:instrText xml:space="preserve"> PAGEREF _Toc219309233 \h </w:instrText>
        </w:r>
        <w:r>
          <w:rPr>
            <w:noProof/>
            <w:webHidden/>
          </w:rPr>
        </w:r>
        <w:r>
          <w:rPr>
            <w:noProof/>
            <w:webHidden/>
          </w:rPr>
          <w:fldChar w:fldCharType="separate"/>
        </w:r>
        <w:r>
          <w:rPr>
            <w:noProof/>
            <w:webHidden/>
          </w:rPr>
          <w:t>319</w:t>
        </w:r>
        <w:r>
          <w:rPr>
            <w:noProof/>
            <w:webHidden/>
          </w:rPr>
          <w:fldChar w:fldCharType="end"/>
        </w:r>
      </w:hyperlink>
    </w:p>
    <w:p w14:paraId="7DB16A50"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34"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204 – Описание комплексного типа «tAgrSumKbk»</w:t>
        </w:r>
        <w:r>
          <w:rPr>
            <w:noProof/>
            <w:webHidden/>
          </w:rPr>
          <w:tab/>
        </w:r>
        <w:r>
          <w:rPr>
            <w:noProof/>
            <w:webHidden/>
          </w:rPr>
          <w:fldChar w:fldCharType="begin"/>
        </w:r>
        <w:r>
          <w:rPr>
            <w:noProof/>
            <w:webHidden/>
          </w:rPr>
          <w:instrText xml:space="preserve"> PAGEREF _Toc219309234 \h </w:instrText>
        </w:r>
        <w:r>
          <w:rPr>
            <w:noProof/>
            <w:webHidden/>
          </w:rPr>
        </w:r>
        <w:r>
          <w:rPr>
            <w:noProof/>
            <w:webHidden/>
          </w:rPr>
          <w:fldChar w:fldCharType="separate"/>
        </w:r>
        <w:r>
          <w:rPr>
            <w:noProof/>
            <w:webHidden/>
          </w:rPr>
          <w:t>321</w:t>
        </w:r>
        <w:r>
          <w:rPr>
            <w:noProof/>
            <w:webHidden/>
          </w:rPr>
          <w:fldChar w:fldCharType="end"/>
        </w:r>
      </w:hyperlink>
    </w:p>
    <w:p w14:paraId="1A48706E"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35"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205 – Описание комплексного типа «</w:t>
        </w:r>
        <w:r w:rsidRPr="005C56D9">
          <w:rPr>
            <w:rStyle w:val="af7"/>
            <w:noProof/>
            <w:lang w:val="en-US"/>
          </w:rPr>
          <w:t>t</w:t>
        </w:r>
        <w:r w:rsidRPr="005C56D9">
          <w:rPr>
            <w:rStyle w:val="af7"/>
            <w:noProof/>
          </w:rPr>
          <w:t>Vol</w:t>
        </w:r>
        <w:r w:rsidRPr="005C56D9">
          <w:rPr>
            <w:rStyle w:val="af7"/>
            <w:noProof/>
            <w:lang w:val="en-US"/>
          </w:rPr>
          <w:t>Sub</w:t>
        </w:r>
        <w:r w:rsidRPr="005C56D9">
          <w:rPr>
            <w:rStyle w:val="af7"/>
            <w:rFonts w:eastAsia="Calibri"/>
            <w:noProof/>
          </w:rPr>
          <w:t>»</w:t>
        </w:r>
        <w:r>
          <w:rPr>
            <w:noProof/>
            <w:webHidden/>
          </w:rPr>
          <w:tab/>
        </w:r>
        <w:r>
          <w:rPr>
            <w:noProof/>
            <w:webHidden/>
          </w:rPr>
          <w:fldChar w:fldCharType="begin"/>
        </w:r>
        <w:r>
          <w:rPr>
            <w:noProof/>
            <w:webHidden/>
          </w:rPr>
          <w:instrText xml:space="preserve"> PAGEREF _Toc219309235 \h </w:instrText>
        </w:r>
        <w:r>
          <w:rPr>
            <w:noProof/>
            <w:webHidden/>
          </w:rPr>
        </w:r>
        <w:r>
          <w:rPr>
            <w:noProof/>
            <w:webHidden/>
          </w:rPr>
          <w:fldChar w:fldCharType="separate"/>
        </w:r>
        <w:r>
          <w:rPr>
            <w:noProof/>
            <w:webHidden/>
          </w:rPr>
          <w:t>322</w:t>
        </w:r>
        <w:r>
          <w:rPr>
            <w:noProof/>
            <w:webHidden/>
          </w:rPr>
          <w:fldChar w:fldCharType="end"/>
        </w:r>
      </w:hyperlink>
    </w:p>
    <w:p w14:paraId="680DFF0E"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36"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206 – Описание комплексного типа «tPrfrmnsInd»</w:t>
        </w:r>
        <w:r>
          <w:rPr>
            <w:noProof/>
            <w:webHidden/>
          </w:rPr>
          <w:tab/>
        </w:r>
        <w:r>
          <w:rPr>
            <w:noProof/>
            <w:webHidden/>
          </w:rPr>
          <w:fldChar w:fldCharType="begin"/>
        </w:r>
        <w:r>
          <w:rPr>
            <w:noProof/>
            <w:webHidden/>
          </w:rPr>
          <w:instrText xml:space="preserve"> PAGEREF _Toc219309236 \h </w:instrText>
        </w:r>
        <w:r>
          <w:rPr>
            <w:noProof/>
            <w:webHidden/>
          </w:rPr>
        </w:r>
        <w:r>
          <w:rPr>
            <w:noProof/>
            <w:webHidden/>
          </w:rPr>
          <w:fldChar w:fldCharType="separate"/>
        </w:r>
        <w:r>
          <w:rPr>
            <w:noProof/>
            <w:webHidden/>
          </w:rPr>
          <w:t>323</w:t>
        </w:r>
        <w:r>
          <w:rPr>
            <w:noProof/>
            <w:webHidden/>
          </w:rPr>
          <w:fldChar w:fldCharType="end"/>
        </w:r>
      </w:hyperlink>
    </w:p>
    <w:p w14:paraId="7BFEA6C8"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37"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207 – Описание комплексного типа «tAgrInf»</w:t>
        </w:r>
        <w:r>
          <w:rPr>
            <w:noProof/>
            <w:webHidden/>
          </w:rPr>
          <w:tab/>
        </w:r>
        <w:r>
          <w:rPr>
            <w:noProof/>
            <w:webHidden/>
          </w:rPr>
          <w:fldChar w:fldCharType="begin"/>
        </w:r>
        <w:r>
          <w:rPr>
            <w:noProof/>
            <w:webHidden/>
          </w:rPr>
          <w:instrText xml:space="preserve"> PAGEREF _Toc219309237 \h </w:instrText>
        </w:r>
        <w:r>
          <w:rPr>
            <w:noProof/>
            <w:webHidden/>
          </w:rPr>
        </w:r>
        <w:r>
          <w:rPr>
            <w:noProof/>
            <w:webHidden/>
          </w:rPr>
          <w:fldChar w:fldCharType="separate"/>
        </w:r>
        <w:r>
          <w:rPr>
            <w:noProof/>
            <w:webHidden/>
          </w:rPr>
          <w:t>324</w:t>
        </w:r>
        <w:r>
          <w:rPr>
            <w:noProof/>
            <w:webHidden/>
          </w:rPr>
          <w:fldChar w:fldCharType="end"/>
        </w:r>
      </w:hyperlink>
    </w:p>
    <w:p w14:paraId="735139AB"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38"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208 – Описание комплексного типа «tNPA»</w:t>
        </w:r>
        <w:r>
          <w:rPr>
            <w:noProof/>
            <w:webHidden/>
          </w:rPr>
          <w:tab/>
        </w:r>
        <w:r>
          <w:rPr>
            <w:noProof/>
            <w:webHidden/>
          </w:rPr>
          <w:fldChar w:fldCharType="begin"/>
        </w:r>
        <w:r>
          <w:rPr>
            <w:noProof/>
            <w:webHidden/>
          </w:rPr>
          <w:instrText xml:space="preserve"> PAGEREF _Toc219309238 \h </w:instrText>
        </w:r>
        <w:r>
          <w:rPr>
            <w:noProof/>
            <w:webHidden/>
          </w:rPr>
        </w:r>
        <w:r>
          <w:rPr>
            <w:noProof/>
            <w:webHidden/>
          </w:rPr>
          <w:fldChar w:fldCharType="separate"/>
        </w:r>
        <w:r>
          <w:rPr>
            <w:noProof/>
            <w:webHidden/>
          </w:rPr>
          <w:t>326</w:t>
        </w:r>
        <w:r>
          <w:rPr>
            <w:noProof/>
            <w:webHidden/>
          </w:rPr>
          <w:fldChar w:fldCharType="end"/>
        </w:r>
      </w:hyperlink>
    </w:p>
    <w:p w14:paraId="0E1E4E6F"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39"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209 – Описание комплексного типа «tCptlConstrctnLst»</w:t>
        </w:r>
        <w:r>
          <w:rPr>
            <w:noProof/>
            <w:webHidden/>
          </w:rPr>
          <w:tab/>
        </w:r>
        <w:r>
          <w:rPr>
            <w:noProof/>
            <w:webHidden/>
          </w:rPr>
          <w:fldChar w:fldCharType="begin"/>
        </w:r>
        <w:r>
          <w:rPr>
            <w:noProof/>
            <w:webHidden/>
          </w:rPr>
          <w:instrText xml:space="preserve"> PAGEREF _Toc219309239 \h </w:instrText>
        </w:r>
        <w:r>
          <w:rPr>
            <w:noProof/>
            <w:webHidden/>
          </w:rPr>
        </w:r>
        <w:r>
          <w:rPr>
            <w:noProof/>
            <w:webHidden/>
          </w:rPr>
          <w:fldChar w:fldCharType="separate"/>
        </w:r>
        <w:r>
          <w:rPr>
            <w:noProof/>
            <w:webHidden/>
          </w:rPr>
          <w:t>327</w:t>
        </w:r>
        <w:r>
          <w:rPr>
            <w:noProof/>
            <w:webHidden/>
          </w:rPr>
          <w:fldChar w:fldCharType="end"/>
        </w:r>
      </w:hyperlink>
    </w:p>
    <w:p w14:paraId="3BB3AECC"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40"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210 – Описание комплексного типа «tShedule»</w:t>
        </w:r>
        <w:r>
          <w:rPr>
            <w:noProof/>
            <w:webHidden/>
          </w:rPr>
          <w:tab/>
        </w:r>
        <w:r>
          <w:rPr>
            <w:noProof/>
            <w:webHidden/>
          </w:rPr>
          <w:fldChar w:fldCharType="begin"/>
        </w:r>
        <w:r>
          <w:rPr>
            <w:noProof/>
            <w:webHidden/>
          </w:rPr>
          <w:instrText xml:space="preserve"> PAGEREF _Toc219309240 \h </w:instrText>
        </w:r>
        <w:r>
          <w:rPr>
            <w:noProof/>
            <w:webHidden/>
          </w:rPr>
        </w:r>
        <w:r>
          <w:rPr>
            <w:noProof/>
            <w:webHidden/>
          </w:rPr>
          <w:fldChar w:fldCharType="separate"/>
        </w:r>
        <w:r>
          <w:rPr>
            <w:noProof/>
            <w:webHidden/>
          </w:rPr>
          <w:t>328</w:t>
        </w:r>
        <w:r>
          <w:rPr>
            <w:noProof/>
            <w:webHidden/>
          </w:rPr>
          <w:fldChar w:fldCharType="end"/>
        </w:r>
      </w:hyperlink>
    </w:p>
    <w:p w14:paraId="7745A3F8"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41"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211 – Описание комплексного типа «tSheduleKbkInfs»</w:t>
        </w:r>
        <w:r>
          <w:rPr>
            <w:noProof/>
            <w:webHidden/>
          </w:rPr>
          <w:tab/>
        </w:r>
        <w:r>
          <w:rPr>
            <w:noProof/>
            <w:webHidden/>
          </w:rPr>
          <w:fldChar w:fldCharType="begin"/>
        </w:r>
        <w:r>
          <w:rPr>
            <w:noProof/>
            <w:webHidden/>
          </w:rPr>
          <w:instrText xml:space="preserve"> PAGEREF _Toc219309241 \h </w:instrText>
        </w:r>
        <w:r>
          <w:rPr>
            <w:noProof/>
            <w:webHidden/>
          </w:rPr>
        </w:r>
        <w:r>
          <w:rPr>
            <w:noProof/>
            <w:webHidden/>
          </w:rPr>
          <w:fldChar w:fldCharType="separate"/>
        </w:r>
        <w:r>
          <w:rPr>
            <w:noProof/>
            <w:webHidden/>
          </w:rPr>
          <w:t>329</w:t>
        </w:r>
        <w:r>
          <w:rPr>
            <w:noProof/>
            <w:webHidden/>
          </w:rPr>
          <w:fldChar w:fldCharType="end"/>
        </w:r>
      </w:hyperlink>
    </w:p>
    <w:p w14:paraId="45B05575"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42"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212 – Описание комплексного типа «tTotalsSumInfs»</w:t>
        </w:r>
        <w:r>
          <w:rPr>
            <w:noProof/>
            <w:webHidden/>
          </w:rPr>
          <w:tab/>
        </w:r>
        <w:r>
          <w:rPr>
            <w:noProof/>
            <w:webHidden/>
          </w:rPr>
          <w:fldChar w:fldCharType="begin"/>
        </w:r>
        <w:r>
          <w:rPr>
            <w:noProof/>
            <w:webHidden/>
          </w:rPr>
          <w:instrText xml:space="preserve"> PAGEREF _Toc219309242 \h </w:instrText>
        </w:r>
        <w:r>
          <w:rPr>
            <w:noProof/>
            <w:webHidden/>
          </w:rPr>
        </w:r>
        <w:r>
          <w:rPr>
            <w:noProof/>
            <w:webHidden/>
          </w:rPr>
          <w:fldChar w:fldCharType="separate"/>
        </w:r>
        <w:r>
          <w:rPr>
            <w:noProof/>
            <w:webHidden/>
          </w:rPr>
          <w:t>330</w:t>
        </w:r>
        <w:r>
          <w:rPr>
            <w:noProof/>
            <w:webHidden/>
          </w:rPr>
          <w:fldChar w:fldCharType="end"/>
        </w:r>
      </w:hyperlink>
    </w:p>
    <w:p w14:paraId="18CB46CB"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43"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213 – Описание комплексного типа «tDetalsSumInf»</w:t>
        </w:r>
        <w:r>
          <w:rPr>
            <w:noProof/>
            <w:webHidden/>
          </w:rPr>
          <w:tab/>
        </w:r>
        <w:r>
          <w:rPr>
            <w:noProof/>
            <w:webHidden/>
          </w:rPr>
          <w:fldChar w:fldCharType="begin"/>
        </w:r>
        <w:r>
          <w:rPr>
            <w:noProof/>
            <w:webHidden/>
          </w:rPr>
          <w:instrText xml:space="preserve"> PAGEREF _Toc219309243 \h </w:instrText>
        </w:r>
        <w:r>
          <w:rPr>
            <w:noProof/>
            <w:webHidden/>
          </w:rPr>
        </w:r>
        <w:r>
          <w:rPr>
            <w:noProof/>
            <w:webHidden/>
          </w:rPr>
          <w:fldChar w:fldCharType="separate"/>
        </w:r>
        <w:r>
          <w:rPr>
            <w:noProof/>
            <w:webHidden/>
          </w:rPr>
          <w:t>331</w:t>
        </w:r>
        <w:r>
          <w:rPr>
            <w:noProof/>
            <w:webHidden/>
          </w:rPr>
          <w:fldChar w:fldCharType="end"/>
        </w:r>
      </w:hyperlink>
    </w:p>
    <w:p w14:paraId="496792B1"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44"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214 – Описание комплексного типа «tSumThisYear»</w:t>
        </w:r>
        <w:r>
          <w:rPr>
            <w:noProof/>
            <w:webHidden/>
          </w:rPr>
          <w:tab/>
        </w:r>
        <w:r>
          <w:rPr>
            <w:noProof/>
            <w:webHidden/>
          </w:rPr>
          <w:fldChar w:fldCharType="begin"/>
        </w:r>
        <w:r>
          <w:rPr>
            <w:noProof/>
            <w:webHidden/>
          </w:rPr>
          <w:instrText xml:space="preserve"> PAGEREF _Toc219309244 \h </w:instrText>
        </w:r>
        <w:r>
          <w:rPr>
            <w:noProof/>
            <w:webHidden/>
          </w:rPr>
        </w:r>
        <w:r>
          <w:rPr>
            <w:noProof/>
            <w:webHidden/>
          </w:rPr>
          <w:fldChar w:fldCharType="separate"/>
        </w:r>
        <w:r>
          <w:rPr>
            <w:noProof/>
            <w:webHidden/>
          </w:rPr>
          <w:t>331</w:t>
        </w:r>
        <w:r>
          <w:rPr>
            <w:noProof/>
            <w:webHidden/>
          </w:rPr>
          <w:fldChar w:fldCharType="end"/>
        </w:r>
      </w:hyperlink>
    </w:p>
    <w:p w14:paraId="25736BF1"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45"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215 – Описание комплексного типа «tSumPlanPeriod»</w:t>
        </w:r>
        <w:r>
          <w:rPr>
            <w:noProof/>
            <w:webHidden/>
          </w:rPr>
          <w:tab/>
        </w:r>
        <w:r>
          <w:rPr>
            <w:noProof/>
            <w:webHidden/>
          </w:rPr>
          <w:fldChar w:fldCharType="begin"/>
        </w:r>
        <w:r>
          <w:rPr>
            <w:noProof/>
            <w:webHidden/>
          </w:rPr>
          <w:instrText xml:space="preserve"> PAGEREF _Toc219309245 \h </w:instrText>
        </w:r>
        <w:r>
          <w:rPr>
            <w:noProof/>
            <w:webHidden/>
          </w:rPr>
        </w:r>
        <w:r>
          <w:rPr>
            <w:noProof/>
            <w:webHidden/>
          </w:rPr>
          <w:fldChar w:fldCharType="separate"/>
        </w:r>
        <w:r>
          <w:rPr>
            <w:noProof/>
            <w:webHidden/>
          </w:rPr>
          <w:t>333</w:t>
        </w:r>
        <w:r>
          <w:rPr>
            <w:noProof/>
            <w:webHidden/>
          </w:rPr>
          <w:fldChar w:fldCharType="end"/>
        </w:r>
      </w:hyperlink>
    </w:p>
    <w:p w14:paraId="5800B5A5"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46"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216 – Описание комплексного типа «tTotalFaips»</w:t>
        </w:r>
        <w:r>
          <w:rPr>
            <w:noProof/>
            <w:webHidden/>
          </w:rPr>
          <w:tab/>
        </w:r>
        <w:r>
          <w:rPr>
            <w:noProof/>
            <w:webHidden/>
          </w:rPr>
          <w:fldChar w:fldCharType="begin"/>
        </w:r>
        <w:r>
          <w:rPr>
            <w:noProof/>
            <w:webHidden/>
          </w:rPr>
          <w:instrText xml:space="preserve"> PAGEREF _Toc219309246 \h </w:instrText>
        </w:r>
        <w:r>
          <w:rPr>
            <w:noProof/>
            <w:webHidden/>
          </w:rPr>
        </w:r>
        <w:r>
          <w:rPr>
            <w:noProof/>
            <w:webHidden/>
          </w:rPr>
          <w:fldChar w:fldCharType="separate"/>
        </w:r>
        <w:r>
          <w:rPr>
            <w:noProof/>
            <w:webHidden/>
          </w:rPr>
          <w:t>334</w:t>
        </w:r>
        <w:r>
          <w:rPr>
            <w:noProof/>
            <w:webHidden/>
          </w:rPr>
          <w:fldChar w:fldCharType="end"/>
        </w:r>
      </w:hyperlink>
    </w:p>
    <w:p w14:paraId="2E456484"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47"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217 – Описание комплексного типа «tTotalFaip»</w:t>
        </w:r>
        <w:r>
          <w:rPr>
            <w:noProof/>
            <w:webHidden/>
          </w:rPr>
          <w:tab/>
        </w:r>
        <w:r>
          <w:rPr>
            <w:noProof/>
            <w:webHidden/>
          </w:rPr>
          <w:fldChar w:fldCharType="begin"/>
        </w:r>
        <w:r>
          <w:rPr>
            <w:noProof/>
            <w:webHidden/>
          </w:rPr>
          <w:instrText xml:space="preserve"> PAGEREF _Toc219309247 \h </w:instrText>
        </w:r>
        <w:r>
          <w:rPr>
            <w:noProof/>
            <w:webHidden/>
          </w:rPr>
        </w:r>
        <w:r>
          <w:rPr>
            <w:noProof/>
            <w:webHidden/>
          </w:rPr>
          <w:fldChar w:fldCharType="separate"/>
        </w:r>
        <w:r>
          <w:rPr>
            <w:noProof/>
            <w:webHidden/>
          </w:rPr>
          <w:t>335</w:t>
        </w:r>
        <w:r>
          <w:rPr>
            <w:noProof/>
            <w:webHidden/>
          </w:rPr>
          <w:fldChar w:fldCharType="end"/>
        </w:r>
      </w:hyperlink>
    </w:p>
    <w:p w14:paraId="372DF32C"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48"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218 – Описание комплексного типа «tSheduleKbkInf»</w:t>
        </w:r>
        <w:r>
          <w:rPr>
            <w:noProof/>
            <w:webHidden/>
          </w:rPr>
          <w:tab/>
        </w:r>
        <w:r>
          <w:rPr>
            <w:noProof/>
            <w:webHidden/>
          </w:rPr>
          <w:fldChar w:fldCharType="begin"/>
        </w:r>
        <w:r>
          <w:rPr>
            <w:noProof/>
            <w:webHidden/>
          </w:rPr>
          <w:instrText xml:space="preserve"> PAGEREF _Toc219309248 \h </w:instrText>
        </w:r>
        <w:r>
          <w:rPr>
            <w:noProof/>
            <w:webHidden/>
          </w:rPr>
        </w:r>
        <w:r>
          <w:rPr>
            <w:noProof/>
            <w:webHidden/>
          </w:rPr>
          <w:fldChar w:fldCharType="separate"/>
        </w:r>
        <w:r>
          <w:rPr>
            <w:noProof/>
            <w:webHidden/>
          </w:rPr>
          <w:t>337</w:t>
        </w:r>
        <w:r>
          <w:rPr>
            <w:noProof/>
            <w:webHidden/>
          </w:rPr>
          <w:fldChar w:fldCharType="end"/>
        </w:r>
      </w:hyperlink>
    </w:p>
    <w:p w14:paraId="78D6A2F1"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49"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219 – Описание комплексного типа «tSheduleSumInf»</w:t>
        </w:r>
        <w:r>
          <w:rPr>
            <w:noProof/>
            <w:webHidden/>
          </w:rPr>
          <w:tab/>
        </w:r>
        <w:r>
          <w:rPr>
            <w:noProof/>
            <w:webHidden/>
          </w:rPr>
          <w:fldChar w:fldCharType="begin"/>
        </w:r>
        <w:r>
          <w:rPr>
            <w:noProof/>
            <w:webHidden/>
          </w:rPr>
          <w:instrText xml:space="preserve"> PAGEREF _Toc219309249 \h </w:instrText>
        </w:r>
        <w:r>
          <w:rPr>
            <w:noProof/>
            <w:webHidden/>
          </w:rPr>
        </w:r>
        <w:r>
          <w:rPr>
            <w:noProof/>
            <w:webHidden/>
          </w:rPr>
          <w:fldChar w:fldCharType="separate"/>
        </w:r>
        <w:r>
          <w:rPr>
            <w:noProof/>
            <w:webHidden/>
          </w:rPr>
          <w:t>338</w:t>
        </w:r>
        <w:r>
          <w:rPr>
            <w:noProof/>
            <w:webHidden/>
          </w:rPr>
          <w:fldChar w:fldCharType="end"/>
        </w:r>
      </w:hyperlink>
    </w:p>
    <w:p w14:paraId="5D35EE16"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50"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220 – Описание комплексного типа «tSgnGRBS_PBS»</w:t>
        </w:r>
        <w:r>
          <w:rPr>
            <w:noProof/>
            <w:webHidden/>
          </w:rPr>
          <w:tab/>
        </w:r>
        <w:r>
          <w:rPr>
            <w:noProof/>
            <w:webHidden/>
          </w:rPr>
          <w:fldChar w:fldCharType="begin"/>
        </w:r>
        <w:r>
          <w:rPr>
            <w:noProof/>
            <w:webHidden/>
          </w:rPr>
          <w:instrText xml:space="preserve"> PAGEREF _Toc219309250 \h </w:instrText>
        </w:r>
        <w:r>
          <w:rPr>
            <w:noProof/>
            <w:webHidden/>
          </w:rPr>
        </w:r>
        <w:r>
          <w:rPr>
            <w:noProof/>
            <w:webHidden/>
          </w:rPr>
          <w:fldChar w:fldCharType="separate"/>
        </w:r>
        <w:r>
          <w:rPr>
            <w:noProof/>
            <w:webHidden/>
          </w:rPr>
          <w:t>339</w:t>
        </w:r>
        <w:r>
          <w:rPr>
            <w:noProof/>
            <w:webHidden/>
          </w:rPr>
          <w:fldChar w:fldCharType="end"/>
        </w:r>
      </w:hyperlink>
    </w:p>
    <w:p w14:paraId="78FBA99D"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51"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221 – Маршрут документа «Информация об отчетности»</w:t>
        </w:r>
        <w:r>
          <w:rPr>
            <w:noProof/>
            <w:webHidden/>
          </w:rPr>
          <w:tab/>
        </w:r>
        <w:r>
          <w:rPr>
            <w:noProof/>
            <w:webHidden/>
          </w:rPr>
          <w:fldChar w:fldCharType="begin"/>
        </w:r>
        <w:r>
          <w:rPr>
            <w:noProof/>
            <w:webHidden/>
          </w:rPr>
          <w:instrText xml:space="preserve"> PAGEREF _Toc219309251 \h </w:instrText>
        </w:r>
        <w:r>
          <w:rPr>
            <w:noProof/>
            <w:webHidden/>
          </w:rPr>
        </w:r>
        <w:r>
          <w:rPr>
            <w:noProof/>
            <w:webHidden/>
          </w:rPr>
          <w:fldChar w:fldCharType="separate"/>
        </w:r>
        <w:r>
          <w:rPr>
            <w:noProof/>
            <w:webHidden/>
          </w:rPr>
          <w:t>347</w:t>
        </w:r>
        <w:r>
          <w:rPr>
            <w:noProof/>
            <w:webHidden/>
          </w:rPr>
          <w:fldChar w:fldCharType="end"/>
        </w:r>
      </w:hyperlink>
    </w:p>
    <w:p w14:paraId="69A6F441"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52"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222 – Описание комплексного типа «tEXP_InformatReport»</w:t>
        </w:r>
        <w:r>
          <w:rPr>
            <w:noProof/>
            <w:webHidden/>
          </w:rPr>
          <w:tab/>
        </w:r>
        <w:r>
          <w:rPr>
            <w:noProof/>
            <w:webHidden/>
          </w:rPr>
          <w:fldChar w:fldCharType="begin"/>
        </w:r>
        <w:r>
          <w:rPr>
            <w:noProof/>
            <w:webHidden/>
          </w:rPr>
          <w:instrText xml:space="preserve"> PAGEREF _Toc219309252 \h </w:instrText>
        </w:r>
        <w:r>
          <w:rPr>
            <w:noProof/>
            <w:webHidden/>
          </w:rPr>
        </w:r>
        <w:r>
          <w:rPr>
            <w:noProof/>
            <w:webHidden/>
          </w:rPr>
          <w:fldChar w:fldCharType="separate"/>
        </w:r>
        <w:r>
          <w:rPr>
            <w:noProof/>
            <w:webHidden/>
          </w:rPr>
          <w:t>347</w:t>
        </w:r>
        <w:r>
          <w:rPr>
            <w:noProof/>
            <w:webHidden/>
          </w:rPr>
          <w:fldChar w:fldCharType="end"/>
        </w:r>
      </w:hyperlink>
    </w:p>
    <w:p w14:paraId="44F54425"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53"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223 – Описание комплексного типа «tInformationCosts»</w:t>
        </w:r>
        <w:r>
          <w:rPr>
            <w:noProof/>
            <w:webHidden/>
          </w:rPr>
          <w:tab/>
        </w:r>
        <w:r>
          <w:rPr>
            <w:noProof/>
            <w:webHidden/>
          </w:rPr>
          <w:fldChar w:fldCharType="begin"/>
        </w:r>
        <w:r>
          <w:rPr>
            <w:noProof/>
            <w:webHidden/>
          </w:rPr>
          <w:instrText xml:space="preserve"> PAGEREF _Toc219309253 \h </w:instrText>
        </w:r>
        <w:r>
          <w:rPr>
            <w:noProof/>
            <w:webHidden/>
          </w:rPr>
        </w:r>
        <w:r>
          <w:rPr>
            <w:noProof/>
            <w:webHidden/>
          </w:rPr>
          <w:fldChar w:fldCharType="separate"/>
        </w:r>
        <w:r>
          <w:rPr>
            <w:noProof/>
            <w:webHidden/>
          </w:rPr>
          <w:t>352</w:t>
        </w:r>
        <w:r>
          <w:rPr>
            <w:noProof/>
            <w:webHidden/>
          </w:rPr>
          <w:fldChar w:fldCharType="end"/>
        </w:r>
      </w:hyperlink>
    </w:p>
    <w:p w14:paraId="104413D0"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54"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224 – Описание комплексного типа «tCostsCommited»</w:t>
        </w:r>
        <w:r>
          <w:rPr>
            <w:noProof/>
            <w:webHidden/>
          </w:rPr>
          <w:tab/>
        </w:r>
        <w:r>
          <w:rPr>
            <w:noProof/>
            <w:webHidden/>
          </w:rPr>
          <w:fldChar w:fldCharType="begin"/>
        </w:r>
        <w:r>
          <w:rPr>
            <w:noProof/>
            <w:webHidden/>
          </w:rPr>
          <w:instrText xml:space="preserve"> PAGEREF _Toc219309254 \h </w:instrText>
        </w:r>
        <w:r>
          <w:rPr>
            <w:noProof/>
            <w:webHidden/>
          </w:rPr>
        </w:r>
        <w:r>
          <w:rPr>
            <w:noProof/>
            <w:webHidden/>
          </w:rPr>
          <w:fldChar w:fldCharType="separate"/>
        </w:r>
        <w:r>
          <w:rPr>
            <w:noProof/>
            <w:webHidden/>
          </w:rPr>
          <w:t>352</w:t>
        </w:r>
        <w:r>
          <w:rPr>
            <w:noProof/>
            <w:webHidden/>
          </w:rPr>
          <w:fldChar w:fldCharType="end"/>
        </w:r>
      </w:hyperlink>
    </w:p>
    <w:p w14:paraId="1EB8DA45"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55"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225 – Описание комплексного типа «tAmountBalance»</w:t>
        </w:r>
        <w:r>
          <w:rPr>
            <w:noProof/>
            <w:webHidden/>
          </w:rPr>
          <w:tab/>
        </w:r>
        <w:r>
          <w:rPr>
            <w:noProof/>
            <w:webHidden/>
          </w:rPr>
          <w:fldChar w:fldCharType="begin"/>
        </w:r>
        <w:r>
          <w:rPr>
            <w:noProof/>
            <w:webHidden/>
          </w:rPr>
          <w:instrText xml:space="preserve"> PAGEREF _Toc219309255 \h </w:instrText>
        </w:r>
        <w:r>
          <w:rPr>
            <w:noProof/>
            <w:webHidden/>
          </w:rPr>
        </w:r>
        <w:r>
          <w:rPr>
            <w:noProof/>
            <w:webHidden/>
          </w:rPr>
          <w:fldChar w:fldCharType="separate"/>
        </w:r>
        <w:r>
          <w:rPr>
            <w:noProof/>
            <w:webHidden/>
          </w:rPr>
          <w:t>353</w:t>
        </w:r>
        <w:r>
          <w:rPr>
            <w:noProof/>
            <w:webHidden/>
          </w:rPr>
          <w:fldChar w:fldCharType="end"/>
        </w:r>
      </w:hyperlink>
    </w:p>
    <w:p w14:paraId="349A5C63"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56"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226 – Описание комплексного типа «tAchievedInds»</w:t>
        </w:r>
        <w:r>
          <w:rPr>
            <w:noProof/>
            <w:webHidden/>
          </w:rPr>
          <w:tab/>
        </w:r>
        <w:r>
          <w:rPr>
            <w:noProof/>
            <w:webHidden/>
          </w:rPr>
          <w:fldChar w:fldCharType="begin"/>
        </w:r>
        <w:r>
          <w:rPr>
            <w:noProof/>
            <w:webHidden/>
          </w:rPr>
          <w:instrText xml:space="preserve"> PAGEREF _Toc219309256 \h </w:instrText>
        </w:r>
        <w:r>
          <w:rPr>
            <w:noProof/>
            <w:webHidden/>
          </w:rPr>
        </w:r>
        <w:r>
          <w:rPr>
            <w:noProof/>
            <w:webHidden/>
          </w:rPr>
          <w:fldChar w:fldCharType="separate"/>
        </w:r>
        <w:r>
          <w:rPr>
            <w:noProof/>
            <w:webHidden/>
          </w:rPr>
          <w:t>354</w:t>
        </w:r>
        <w:r>
          <w:rPr>
            <w:noProof/>
            <w:webHidden/>
          </w:rPr>
          <w:fldChar w:fldCharType="end"/>
        </w:r>
      </w:hyperlink>
    </w:p>
    <w:p w14:paraId="20D71B35"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57"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227 – Описание комплексного типа «tAchievedInd»</w:t>
        </w:r>
        <w:r>
          <w:rPr>
            <w:noProof/>
            <w:webHidden/>
          </w:rPr>
          <w:tab/>
        </w:r>
        <w:r>
          <w:rPr>
            <w:noProof/>
            <w:webHidden/>
          </w:rPr>
          <w:fldChar w:fldCharType="begin"/>
        </w:r>
        <w:r>
          <w:rPr>
            <w:noProof/>
            <w:webHidden/>
          </w:rPr>
          <w:instrText xml:space="preserve"> PAGEREF _Toc219309257 \h </w:instrText>
        </w:r>
        <w:r>
          <w:rPr>
            <w:noProof/>
            <w:webHidden/>
          </w:rPr>
        </w:r>
        <w:r>
          <w:rPr>
            <w:noProof/>
            <w:webHidden/>
          </w:rPr>
          <w:fldChar w:fldCharType="separate"/>
        </w:r>
        <w:r>
          <w:rPr>
            <w:noProof/>
            <w:webHidden/>
          </w:rPr>
          <w:t>354</w:t>
        </w:r>
        <w:r>
          <w:rPr>
            <w:noProof/>
            <w:webHidden/>
          </w:rPr>
          <w:fldChar w:fldCharType="end"/>
        </w:r>
      </w:hyperlink>
    </w:p>
    <w:p w14:paraId="773B808A"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58" w:history="1">
        <w:r w:rsidRPr="005C56D9">
          <w:rPr>
            <w:rStyle w:val="af7"/>
            <w:noProof/>
            <w:highlight w:val="green"/>
          </w:rPr>
          <w:t>Таблица </w:t>
        </w:r>
        <w:r>
          <w:rPr>
            <w:rFonts w:asciiTheme="minorHAnsi" w:eastAsiaTheme="minorEastAsia" w:hAnsiTheme="minorHAnsi" w:cstheme="minorBidi"/>
            <w:noProof/>
            <w:sz w:val="22"/>
            <w:szCs w:val="22"/>
          </w:rPr>
          <w:tab/>
        </w:r>
        <w:r w:rsidRPr="005C56D9">
          <w:rPr>
            <w:rStyle w:val="af7"/>
            <w:noProof/>
            <w:highlight w:val="green"/>
          </w:rPr>
          <w:t>228</w:t>
        </w:r>
        <w:r w:rsidRPr="005C56D9">
          <w:rPr>
            <w:rStyle w:val="af7"/>
            <w:rFonts w:eastAsia="Calibri"/>
            <w:noProof/>
            <w:highlight w:val="green"/>
          </w:rPr>
          <w:t xml:space="preserve"> – </w:t>
        </w:r>
        <w:r w:rsidRPr="005C56D9">
          <w:rPr>
            <w:rStyle w:val="af7"/>
            <w:noProof/>
            <w:highlight w:val="green"/>
          </w:rPr>
          <w:t>Маршрут документа «Заявление на выдачу (перевод, отзыв) Казначейского обеспечения обязательств» (ф. 0506108)</w:t>
        </w:r>
        <w:r>
          <w:rPr>
            <w:noProof/>
            <w:webHidden/>
          </w:rPr>
          <w:tab/>
        </w:r>
        <w:r>
          <w:rPr>
            <w:noProof/>
            <w:webHidden/>
          </w:rPr>
          <w:fldChar w:fldCharType="begin"/>
        </w:r>
        <w:r>
          <w:rPr>
            <w:noProof/>
            <w:webHidden/>
          </w:rPr>
          <w:instrText xml:space="preserve"> PAGEREF _Toc219309258 \h </w:instrText>
        </w:r>
        <w:r>
          <w:rPr>
            <w:noProof/>
            <w:webHidden/>
          </w:rPr>
        </w:r>
        <w:r>
          <w:rPr>
            <w:noProof/>
            <w:webHidden/>
          </w:rPr>
          <w:fldChar w:fldCharType="separate"/>
        </w:r>
        <w:r>
          <w:rPr>
            <w:noProof/>
            <w:webHidden/>
          </w:rPr>
          <w:t>356</w:t>
        </w:r>
        <w:r>
          <w:rPr>
            <w:noProof/>
            <w:webHidden/>
          </w:rPr>
          <w:fldChar w:fldCharType="end"/>
        </w:r>
      </w:hyperlink>
    </w:p>
    <w:p w14:paraId="40BF287E"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59"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229</w:t>
        </w:r>
        <w:r w:rsidRPr="005C56D9">
          <w:rPr>
            <w:rStyle w:val="af7"/>
            <w:rFonts w:eastAsia="Calibri"/>
            <w:noProof/>
          </w:rPr>
          <w:t xml:space="preserve"> – </w:t>
        </w:r>
        <w:r w:rsidRPr="005C56D9">
          <w:rPr>
            <w:rStyle w:val="af7"/>
            <w:noProof/>
          </w:rPr>
          <w:t>Описание комплексного типа «</w:t>
        </w:r>
        <w:r w:rsidRPr="005C56D9">
          <w:rPr>
            <w:rStyle w:val="af7"/>
            <w:noProof/>
            <w:lang w:val="en-US"/>
          </w:rPr>
          <w:t>tMSC</w:t>
        </w:r>
        <w:r w:rsidRPr="005C56D9">
          <w:rPr>
            <w:rStyle w:val="af7"/>
            <w:noProof/>
          </w:rPr>
          <w:t>_</w:t>
        </w:r>
        <w:r w:rsidRPr="005C56D9">
          <w:rPr>
            <w:rStyle w:val="af7"/>
            <w:noProof/>
            <w:lang w:val="en-US"/>
          </w:rPr>
          <w:t>LETTEROFCREDITAPP</w:t>
        </w:r>
        <w:r w:rsidRPr="005C56D9">
          <w:rPr>
            <w:rStyle w:val="af7"/>
            <w:noProof/>
          </w:rPr>
          <w:t>»</w:t>
        </w:r>
        <w:r>
          <w:rPr>
            <w:noProof/>
            <w:webHidden/>
          </w:rPr>
          <w:tab/>
        </w:r>
        <w:r>
          <w:rPr>
            <w:noProof/>
            <w:webHidden/>
          </w:rPr>
          <w:fldChar w:fldCharType="begin"/>
        </w:r>
        <w:r>
          <w:rPr>
            <w:noProof/>
            <w:webHidden/>
          </w:rPr>
          <w:instrText xml:space="preserve"> PAGEREF _Toc219309259 \h </w:instrText>
        </w:r>
        <w:r>
          <w:rPr>
            <w:noProof/>
            <w:webHidden/>
          </w:rPr>
        </w:r>
        <w:r>
          <w:rPr>
            <w:noProof/>
            <w:webHidden/>
          </w:rPr>
          <w:fldChar w:fldCharType="separate"/>
        </w:r>
        <w:r>
          <w:rPr>
            <w:noProof/>
            <w:webHidden/>
          </w:rPr>
          <w:t>357</w:t>
        </w:r>
        <w:r>
          <w:rPr>
            <w:noProof/>
            <w:webHidden/>
          </w:rPr>
          <w:fldChar w:fldCharType="end"/>
        </w:r>
      </w:hyperlink>
    </w:p>
    <w:p w14:paraId="00813515"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60"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230 – Описание комплексного типа «tMSC_TOFK»</w:t>
        </w:r>
        <w:r>
          <w:rPr>
            <w:noProof/>
            <w:webHidden/>
          </w:rPr>
          <w:tab/>
        </w:r>
        <w:r>
          <w:rPr>
            <w:noProof/>
            <w:webHidden/>
          </w:rPr>
          <w:fldChar w:fldCharType="begin"/>
        </w:r>
        <w:r>
          <w:rPr>
            <w:noProof/>
            <w:webHidden/>
          </w:rPr>
          <w:instrText xml:space="preserve"> PAGEREF _Toc219309260 \h </w:instrText>
        </w:r>
        <w:r>
          <w:rPr>
            <w:noProof/>
            <w:webHidden/>
          </w:rPr>
        </w:r>
        <w:r>
          <w:rPr>
            <w:noProof/>
            <w:webHidden/>
          </w:rPr>
          <w:fldChar w:fldCharType="separate"/>
        </w:r>
        <w:r>
          <w:rPr>
            <w:noProof/>
            <w:webHidden/>
          </w:rPr>
          <w:t>363</w:t>
        </w:r>
        <w:r>
          <w:rPr>
            <w:noProof/>
            <w:webHidden/>
          </w:rPr>
          <w:fldChar w:fldCharType="end"/>
        </w:r>
      </w:hyperlink>
    </w:p>
    <w:p w14:paraId="77DE08CB"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61"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231 – Описание комплексного типа «tMSC_PBS_UBP»</w:t>
        </w:r>
        <w:r>
          <w:rPr>
            <w:noProof/>
            <w:webHidden/>
          </w:rPr>
          <w:tab/>
        </w:r>
        <w:r>
          <w:rPr>
            <w:noProof/>
            <w:webHidden/>
          </w:rPr>
          <w:fldChar w:fldCharType="begin"/>
        </w:r>
        <w:r>
          <w:rPr>
            <w:noProof/>
            <w:webHidden/>
          </w:rPr>
          <w:instrText xml:space="preserve"> PAGEREF _Toc219309261 \h </w:instrText>
        </w:r>
        <w:r>
          <w:rPr>
            <w:noProof/>
            <w:webHidden/>
          </w:rPr>
        </w:r>
        <w:r>
          <w:rPr>
            <w:noProof/>
            <w:webHidden/>
          </w:rPr>
          <w:fldChar w:fldCharType="separate"/>
        </w:r>
        <w:r>
          <w:rPr>
            <w:noProof/>
            <w:webHidden/>
          </w:rPr>
          <w:t>363</w:t>
        </w:r>
        <w:r>
          <w:rPr>
            <w:noProof/>
            <w:webHidden/>
          </w:rPr>
          <w:fldChar w:fldCharType="end"/>
        </w:r>
      </w:hyperlink>
    </w:p>
    <w:p w14:paraId="1C044D5C"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62"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232 – Описание комплексного типа «tMSC_PBS_UBP2»</w:t>
        </w:r>
        <w:r>
          <w:rPr>
            <w:noProof/>
            <w:webHidden/>
          </w:rPr>
          <w:tab/>
        </w:r>
        <w:r>
          <w:rPr>
            <w:noProof/>
            <w:webHidden/>
          </w:rPr>
          <w:fldChar w:fldCharType="begin"/>
        </w:r>
        <w:r>
          <w:rPr>
            <w:noProof/>
            <w:webHidden/>
          </w:rPr>
          <w:instrText xml:space="preserve"> PAGEREF _Toc219309262 \h </w:instrText>
        </w:r>
        <w:r>
          <w:rPr>
            <w:noProof/>
            <w:webHidden/>
          </w:rPr>
        </w:r>
        <w:r>
          <w:rPr>
            <w:noProof/>
            <w:webHidden/>
          </w:rPr>
          <w:fldChar w:fldCharType="separate"/>
        </w:r>
        <w:r>
          <w:rPr>
            <w:noProof/>
            <w:webHidden/>
          </w:rPr>
          <w:t>364</w:t>
        </w:r>
        <w:r>
          <w:rPr>
            <w:noProof/>
            <w:webHidden/>
          </w:rPr>
          <w:fldChar w:fldCharType="end"/>
        </w:r>
      </w:hyperlink>
    </w:p>
    <w:p w14:paraId="6C1879F1"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63"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233 – Описание комплексного типа «tMSC_GRBS1»</w:t>
        </w:r>
        <w:r>
          <w:rPr>
            <w:noProof/>
            <w:webHidden/>
          </w:rPr>
          <w:tab/>
        </w:r>
        <w:r>
          <w:rPr>
            <w:noProof/>
            <w:webHidden/>
          </w:rPr>
          <w:fldChar w:fldCharType="begin"/>
        </w:r>
        <w:r>
          <w:rPr>
            <w:noProof/>
            <w:webHidden/>
          </w:rPr>
          <w:instrText xml:space="preserve"> PAGEREF _Toc219309263 \h </w:instrText>
        </w:r>
        <w:r>
          <w:rPr>
            <w:noProof/>
            <w:webHidden/>
          </w:rPr>
        </w:r>
        <w:r>
          <w:rPr>
            <w:noProof/>
            <w:webHidden/>
          </w:rPr>
          <w:fldChar w:fldCharType="separate"/>
        </w:r>
        <w:r>
          <w:rPr>
            <w:noProof/>
            <w:webHidden/>
          </w:rPr>
          <w:t>364</w:t>
        </w:r>
        <w:r>
          <w:rPr>
            <w:noProof/>
            <w:webHidden/>
          </w:rPr>
          <w:fldChar w:fldCharType="end"/>
        </w:r>
      </w:hyperlink>
    </w:p>
    <w:p w14:paraId="020B033F"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64"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234 – Описание комплексного типа «</w:t>
        </w:r>
        <w:r w:rsidRPr="005C56D9">
          <w:rPr>
            <w:rStyle w:val="af7"/>
            <w:noProof/>
            <w:lang w:val="en-US"/>
          </w:rPr>
          <w:t>tUnt</w:t>
        </w:r>
        <w:r w:rsidRPr="005C56D9">
          <w:rPr>
            <w:rStyle w:val="af7"/>
            <w:rFonts w:eastAsia="Calibri"/>
            <w:noProof/>
          </w:rPr>
          <w:t>»</w:t>
        </w:r>
        <w:r>
          <w:rPr>
            <w:noProof/>
            <w:webHidden/>
          </w:rPr>
          <w:tab/>
        </w:r>
        <w:r>
          <w:rPr>
            <w:noProof/>
            <w:webHidden/>
          </w:rPr>
          <w:fldChar w:fldCharType="begin"/>
        </w:r>
        <w:r>
          <w:rPr>
            <w:noProof/>
            <w:webHidden/>
          </w:rPr>
          <w:instrText xml:space="preserve"> PAGEREF _Toc219309264 \h </w:instrText>
        </w:r>
        <w:r>
          <w:rPr>
            <w:noProof/>
            <w:webHidden/>
          </w:rPr>
        </w:r>
        <w:r>
          <w:rPr>
            <w:noProof/>
            <w:webHidden/>
          </w:rPr>
          <w:fldChar w:fldCharType="separate"/>
        </w:r>
        <w:r>
          <w:rPr>
            <w:noProof/>
            <w:webHidden/>
          </w:rPr>
          <w:t>364</w:t>
        </w:r>
        <w:r>
          <w:rPr>
            <w:noProof/>
            <w:webHidden/>
          </w:rPr>
          <w:fldChar w:fldCharType="end"/>
        </w:r>
      </w:hyperlink>
    </w:p>
    <w:p w14:paraId="7B88428D"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65"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235 – Описание комплексного типа «tSGNNmPs»</w:t>
        </w:r>
        <w:r>
          <w:rPr>
            <w:noProof/>
            <w:webHidden/>
          </w:rPr>
          <w:tab/>
        </w:r>
        <w:r>
          <w:rPr>
            <w:noProof/>
            <w:webHidden/>
          </w:rPr>
          <w:fldChar w:fldCharType="begin"/>
        </w:r>
        <w:r>
          <w:rPr>
            <w:noProof/>
            <w:webHidden/>
          </w:rPr>
          <w:instrText xml:space="preserve"> PAGEREF _Toc219309265 \h </w:instrText>
        </w:r>
        <w:r>
          <w:rPr>
            <w:noProof/>
            <w:webHidden/>
          </w:rPr>
        </w:r>
        <w:r>
          <w:rPr>
            <w:noProof/>
            <w:webHidden/>
          </w:rPr>
          <w:fldChar w:fldCharType="separate"/>
        </w:r>
        <w:r>
          <w:rPr>
            <w:noProof/>
            <w:webHidden/>
          </w:rPr>
          <w:t>365</w:t>
        </w:r>
        <w:r>
          <w:rPr>
            <w:noProof/>
            <w:webHidden/>
          </w:rPr>
          <w:fldChar w:fldCharType="end"/>
        </w:r>
      </w:hyperlink>
    </w:p>
    <w:p w14:paraId="356E240C"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66"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236 – Описание комплексного типа «</w:t>
        </w:r>
        <w:r w:rsidRPr="005C56D9">
          <w:rPr>
            <w:rStyle w:val="af7"/>
            <w:noProof/>
            <w:lang w:val="en-US"/>
          </w:rPr>
          <w:t>tSGNNmPsPhDt2</w:t>
        </w:r>
        <w:r w:rsidRPr="005C56D9">
          <w:rPr>
            <w:rStyle w:val="af7"/>
            <w:noProof/>
          </w:rPr>
          <w:t>»</w:t>
        </w:r>
        <w:r>
          <w:rPr>
            <w:noProof/>
            <w:webHidden/>
          </w:rPr>
          <w:tab/>
        </w:r>
        <w:r>
          <w:rPr>
            <w:noProof/>
            <w:webHidden/>
          </w:rPr>
          <w:fldChar w:fldCharType="begin"/>
        </w:r>
        <w:r>
          <w:rPr>
            <w:noProof/>
            <w:webHidden/>
          </w:rPr>
          <w:instrText xml:space="preserve"> PAGEREF _Toc219309266 \h </w:instrText>
        </w:r>
        <w:r>
          <w:rPr>
            <w:noProof/>
            <w:webHidden/>
          </w:rPr>
        </w:r>
        <w:r>
          <w:rPr>
            <w:noProof/>
            <w:webHidden/>
          </w:rPr>
          <w:fldChar w:fldCharType="separate"/>
        </w:r>
        <w:r>
          <w:rPr>
            <w:noProof/>
            <w:webHidden/>
          </w:rPr>
          <w:t>365</w:t>
        </w:r>
        <w:r>
          <w:rPr>
            <w:noProof/>
            <w:webHidden/>
          </w:rPr>
          <w:fldChar w:fldCharType="end"/>
        </w:r>
      </w:hyperlink>
    </w:p>
    <w:p w14:paraId="5D699E79"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67"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237 – Описание комплексного типа «tBaseDoc_TAB_BASEDOC_D031»</w:t>
        </w:r>
        <w:r>
          <w:rPr>
            <w:noProof/>
            <w:webHidden/>
          </w:rPr>
          <w:tab/>
        </w:r>
        <w:r>
          <w:rPr>
            <w:noProof/>
            <w:webHidden/>
          </w:rPr>
          <w:fldChar w:fldCharType="begin"/>
        </w:r>
        <w:r>
          <w:rPr>
            <w:noProof/>
            <w:webHidden/>
          </w:rPr>
          <w:instrText xml:space="preserve"> PAGEREF _Toc219309267 \h </w:instrText>
        </w:r>
        <w:r>
          <w:rPr>
            <w:noProof/>
            <w:webHidden/>
          </w:rPr>
        </w:r>
        <w:r>
          <w:rPr>
            <w:noProof/>
            <w:webHidden/>
          </w:rPr>
          <w:fldChar w:fldCharType="separate"/>
        </w:r>
        <w:r>
          <w:rPr>
            <w:noProof/>
            <w:webHidden/>
          </w:rPr>
          <w:t>365</w:t>
        </w:r>
        <w:r>
          <w:rPr>
            <w:noProof/>
            <w:webHidden/>
          </w:rPr>
          <w:fldChar w:fldCharType="end"/>
        </w:r>
      </w:hyperlink>
    </w:p>
    <w:p w14:paraId="37F1780D"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68"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238 – Описание комплексного типа «tTAB_BASEDOC_D031_ITEM»</w:t>
        </w:r>
        <w:r>
          <w:rPr>
            <w:noProof/>
            <w:webHidden/>
          </w:rPr>
          <w:tab/>
        </w:r>
        <w:r>
          <w:rPr>
            <w:noProof/>
            <w:webHidden/>
          </w:rPr>
          <w:fldChar w:fldCharType="begin"/>
        </w:r>
        <w:r>
          <w:rPr>
            <w:noProof/>
            <w:webHidden/>
          </w:rPr>
          <w:instrText xml:space="preserve"> PAGEREF _Toc219309268 \h </w:instrText>
        </w:r>
        <w:r>
          <w:rPr>
            <w:noProof/>
            <w:webHidden/>
          </w:rPr>
        </w:r>
        <w:r>
          <w:rPr>
            <w:noProof/>
            <w:webHidden/>
          </w:rPr>
          <w:fldChar w:fldCharType="separate"/>
        </w:r>
        <w:r>
          <w:rPr>
            <w:noProof/>
            <w:webHidden/>
          </w:rPr>
          <w:t>366</w:t>
        </w:r>
        <w:r>
          <w:rPr>
            <w:noProof/>
            <w:webHidden/>
          </w:rPr>
          <w:fldChar w:fldCharType="end"/>
        </w:r>
      </w:hyperlink>
    </w:p>
    <w:p w14:paraId="45975A5F"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69"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239 – Описание комплексного типа «tCalculationTypeComplex»</w:t>
        </w:r>
        <w:r>
          <w:rPr>
            <w:noProof/>
            <w:webHidden/>
          </w:rPr>
          <w:tab/>
        </w:r>
        <w:r>
          <w:rPr>
            <w:noProof/>
            <w:webHidden/>
          </w:rPr>
          <w:fldChar w:fldCharType="begin"/>
        </w:r>
        <w:r>
          <w:rPr>
            <w:noProof/>
            <w:webHidden/>
          </w:rPr>
          <w:instrText xml:space="preserve"> PAGEREF _Toc219309269 \h </w:instrText>
        </w:r>
        <w:r>
          <w:rPr>
            <w:noProof/>
            <w:webHidden/>
          </w:rPr>
        </w:r>
        <w:r>
          <w:rPr>
            <w:noProof/>
            <w:webHidden/>
          </w:rPr>
          <w:fldChar w:fldCharType="separate"/>
        </w:r>
        <w:r>
          <w:rPr>
            <w:noProof/>
            <w:webHidden/>
          </w:rPr>
          <w:t>366</w:t>
        </w:r>
        <w:r>
          <w:rPr>
            <w:noProof/>
            <w:webHidden/>
          </w:rPr>
          <w:fldChar w:fldCharType="end"/>
        </w:r>
      </w:hyperlink>
    </w:p>
    <w:p w14:paraId="5A72CB92"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70"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240 – Маршрут документа «</w:t>
        </w:r>
        <w:r w:rsidRPr="005C56D9">
          <w:rPr>
            <w:rStyle w:val="af7"/>
            <w:noProof/>
          </w:rPr>
          <w:t>Заявление на выдачу (перевод, исполнение) Казначейского обеспечения обязательств (банковское)</w:t>
        </w:r>
        <w:r w:rsidRPr="005C56D9">
          <w:rPr>
            <w:rStyle w:val="af7"/>
            <w:rFonts w:eastAsia="Calibri"/>
            <w:noProof/>
          </w:rPr>
          <w:t>»</w:t>
        </w:r>
        <w:r>
          <w:rPr>
            <w:noProof/>
            <w:webHidden/>
          </w:rPr>
          <w:tab/>
        </w:r>
        <w:r>
          <w:rPr>
            <w:noProof/>
            <w:webHidden/>
          </w:rPr>
          <w:fldChar w:fldCharType="begin"/>
        </w:r>
        <w:r>
          <w:rPr>
            <w:noProof/>
            <w:webHidden/>
          </w:rPr>
          <w:instrText xml:space="preserve"> PAGEREF _Toc219309270 \h </w:instrText>
        </w:r>
        <w:r>
          <w:rPr>
            <w:noProof/>
            <w:webHidden/>
          </w:rPr>
        </w:r>
        <w:r>
          <w:rPr>
            <w:noProof/>
            <w:webHidden/>
          </w:rPr>
          <w:fldChar w:fldCharType="separate"/>
        </w:r>
        <w:r>
          <w:rPr>
            <w:noProof/>
            <w:webHidden/>
          </w:rPr>
          <w:t>371</w:t>
        </w:r>
        <w:r>
          <w:rPr>
            <w:noProof/>
            <w:webHidden/>
          </w:rPr>
          <w:fldChar w:fldCharType="end"/>
        </w:r>
      </w:hyperlink>
    </w:p>
    <w:p w14:paraId="00F890CF"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71"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241 – Описание комплексного типа «</w:t>
        </w:r>
        <w:r w:rsidRPr="005C56D9">
          <w:rPr>
            <w:rStyle w:val="af7"/>
            <w:noProof/>
          </w:rPr>
          <w:t>tApp_Extradition</w:t>
        </w:r>
        <w:r w:rsidRPr="005C56D9">
          <w:rPr>
            <w:rStyle w:val="af7"/>
            <w:rFonts w:eastAsia="Calibri"/>
            <w:noProof/>
          </w:rPr>
          <w:t>»</w:t>
        </w:r>
        <w:r>
          <w:rPr>
            <w:noProof/>
            <w:webHidden/>
          </w:rPr>
          <w:tab/>
        </w:r>
        <w:r>
          <w:rPr>
            <w:noProof/>
            <w:webHidden/>
          </w:rPr>
          <w:fldChar w:fldCharType="begin"/>
        </w:r>
        <w:r>
          <w:rPr>
            <w:noProof/>
            <w:webHidden/>
          </w:rPr>
          <w:instrText xml:space="preserve"> PAGEREF _Toc219309271 \h </w:instrText>
        </w:r>
        <w:r>
          <w:rPr>
            <w:noProof/>
            <w:webHidden/>
          </w:rPr>
        </w:r>
        <w:r>
          <w:rPr>
            <w:noProof/>
            <w:webHidden/>
          </w:rPr>
          <w:fldChar w:fldCharType="separate"/>
        </w:r>
        <w:r>
          <w:rPr>
            <w:noProof/>
            <w:webHidden/>
          </w:rPr>
          <w:t>371</w:t>
        </w:r>
        <w:r>
          <w:rPr>
            <w:noProof/>
            <w:webHidden/>
          </w:rPr>
          <w:fldChar w:fldCharType="end"/>
        </w:r>
      </w:hyperlink>
    </w:p>
    <w:p w14:paraId="5AD816D6"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72"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242 – Описание комплексного типа «tGovСontract»</w:t>
        </w:r>
        <w:r>
          <w:rPr>
            <w:noProof/>
            <w:webHidden/>
          </w:rPr>
          <w:tab/>
        </w:r>
        <w:r>
          <w:rPr>
            <w:noProof/>
            <w:webHidden/>
          </w:rPr>
          <w:fldChar w:fldCharType="begin"/>
        </w:r>
        <w:r>
          <w:rPr>
            <w:noProof/>
            <w:webHidden/>
          </w:rPr>
          <w:instrText xml:space="preserve"> PAGEREF _Toc219309272 \h </w:instrText>
        </w:r>
        <w:r>
          <w:rPr>
            <w:noProof/>
            <w:webHidden/>
          </w:rPr>
        </w:r>
        <w:r>
          <w:rPr>
            <w:noProof/>
            <w:webHidden/>
          </w:rPr>
          <w:fldChar w:fldCharType="separate"/>
        </w:r>
        <w:r>
          <w:rPr>
            <w:noProof/>
            <w:webHidden/>
          </w:rPr>
          <w:t>372</w:t>
        </w:r>
        <w:r>
          <w:rPr>
            <w:noProof/>
            <w:webHidden/>
          </w:rPr>
          <w:fldChar w:fldCharType="end"/>
        </w:r>
      </w:hyperlink>
    </w:p>
    <w:p w14:paraId="2EF0EE14"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73"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243 – Описание комплексного типа «tLinkDoc»</w:t>
        </w:r>
        <w:r>
          <w:rPr>
            <w:noProof/>
            <w:webHidden/>
          </w:rPr>
          <w:tab/>
        </w:r>
        <w:r>
          <w:rPr>
            <w:noProof/>
            <w:webHidden/>
          </w:rPr>
          <w:fldChar w:fldCharType="begin"/>
        </w:r>
        <w:r>
          <w:rPr>
            <w:noProof/>
            <w:webHidden/>
          </w:rPr>
          <w:instrText xml:space="preserve"> PAGEREF _Toc219309273 \h </w:instrText>
        </w:r>
        <w:r>
          <w:rPr>
            <w:noProof/>
            <w:webHidden/>
          </w:rPr>
        </w:r>
        <w:r>
          <w:rPr>
            <w:noProof/>
            <w:webHidden/>
          </w:rPr>
          <w:fldChar w:fldCharType="separate"/>
        </w:r>
        <w:r>
          <w:rPr>
            <w:noProof/>
            <w:webHidden/>
          </w:rPr>
          <w:t>373</w:t>
        </w:r>
        <w:r>
          <w:rPr>
            <w:noProof/>
            <w:webHidden/>
          </w:rPr>
          <w:fldChar w:fldCharType="end"/>
        </w:r>
      </w:hyperlink>
    </w:p>
    <w:p w14:paraId="6BEA4E81"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74"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244 – Описание комплексного типа «tApplicant»</w:t>
        </w:r>
        <w:r>
          <w:rPr>
            <w:noProof/>
            <w:webHidden/>
          </w:rPr>
          <w:tab/>
        </w:r>
        <w:r>
          <w:rPr>
            <w:noProof/>
            <w:webHidden/>
          </w:rPr>
          <w:fldChar w:fldCharType="begin"/>
        </w:r>
        <w:r>
          <w:rPr>
            <w:noProof/>
            <w:webHidden/>
          </w:rPr>
          <w:instrText xml:space="preserve"> PAGEREF _Toc219309274 \h </w:instrText>
        </w:r>
        <w:r>
          <w:rPr>
            <w:noProof/>
            <w:webHidden/>
          </w:rPr>
        </w:r>
        <w:r>
          <w:rPr>
            <w:noProof/>
            <w:webHidden/>
          </w:rPr>
          <w:fldChar w:fldCharType="separate"/>
        </w:r>
        <w:r>
          <w:rPr>
            <w:noProof/>
            <w:webHidden/>
          </w:rPr>
          <w:t>374</w:t>
        </w:r>
        <w:r>
          <w:rPr>
            <w:noProof/>
            <w:webHidden/>
          </w:rPr>
          <w:fldChar w:fldCharType="end"/>
        </w:r>
      </w:hyperlink>
    </w:p>
    <w:p w14:paraId="16D29185"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75"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245 – Описание комплексного типа «tRecipient»</w:t>
        </w:r>
        <w:r>
          <w:rPr>
            <w:noProof/>
            <w:webHidden/>
          </w:rPr>
          <w:tab/>
        </w:r>
        <w:r>
          <w:rPr>
            <w:noProof/>
            <w:webHidden/>
          </w:rPr>
          <w:fldChar w:fldCharType="begin"/>
        </w:r>
        <w:r>
          <w:rPr>
            <w:noProof/>
            <w:webHidden/>
          </w:rPr>
          <w:instrText xml:space="preserve"> PAGEREF _Toc219309275 \h </w:instrText>
        </w:r>
        <w:r>
          <w:rPr>
            <w:noProof/>
            <w:webHidden/>
          </w:rPr>
        </w:r>
        <w:r>
          <w:rPr>
            <w:noProof/>
            <w:webHidden/>
          </w:rPr>
          <w:fldChar w:fldCharType="separate"/>
        </w:r>
        <w:r>
          <w:rPr>
            <w:noProof/>
            <w:webHidden/>
          </w:rPr>
          <w:t>374</w:t>
        </w:r>
        <w:r>
          <w:rPr>
            <w:noProof/>
            <w:webHidden/>
          </w:rPr>
          <w:fldChar w:fldCharType="end"/>
        </w:r>
      </w:hyperlink>
    </w:p>
    <w:p w14:paraId="27254919"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76"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246 – Описание комплексного типа «</w:t>
        </w:r>
        <w:r w:rsidRPr="005C56D9">
          <w:rPr>
            <w:rStyle w:val="af7"/>
            <w:noProof/>
          </w:rPr>
          <w:t>tBankRecip</w:t>
        </w:r>
        <w:r w:rsidRPr="005C56D9">
          <w:rPr>
            <w:rStyle w:val="af7"/>
            <w:rFonts w:eastAsia="Calibri"/>
            <w:noProof/>
          </w:rPr>
          <w:t>»</w:t>
        </w:r>
        <w:r>
          <w:rPr>
            <w:noProof/>
            <w:webHidden/>
          </w:rPr>
          <w:tab/>
        </w:r>
        <w:r>
          <w:rPr>
            <w:noProof/>
            <w:webHidden/>
          </w:rPr>
          <w:fldChar w:fldCharType="begin"/>
        </w:r>
        <w:r>
          <w:rPr>
            <w:noProof/>
            <w:webHidden/>
          </w:rPr>
          <w:instrText xml:space="preserve"> PAGEREF _Toc219309276 \h </w:instrText>
        </w:r>
        <w:r>
          <w:rPr>
            <w:noProof/>
            <w:webHidden/>
          </w:rPr>
        </w:r>
        <w:r>
          <w:rPr>
            <w:noProof/>
            <w:webHidden/>
          </w:rPr>
          <w:fldChar w:fldCharType="separate"/>
        </w:r>
        <w:r>
          <w:rPr>
            <w:noProof/>
            <w:webHidden/>
          </w:rPr>
          <w:t>375</w:t>
        </w:r>
        <w:r>
          <w:rPr>
            <w:noProof/>
            <w:webHidden/>
          </w:rPr>
          <w:fldChar w:fldCharType="end"/>
        </w:r>
      </w:hyperlink>
    </w:p>
    <w:p w14:paraId="5C721D3F"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77"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247 – Описание комплексного типа «tSuppDocs»</w:t>
        </w:r>
        <w:r>
          <w:rPr>
            <w:noProof/>
            <w:webHidden/>
          </w:rPr>
          <w:tab/>
        </w:r>
        <w:r>
          <w:rPr>
            <w:noProof/>
            <w:webHidden/>
          </w:rPr>
          <w:fldChar w:fldCharType="begin"/>
        </w:r>
        <w:r>
          <w:rPr>
            <w:noProof/>
            <w:webHidden/>
          </w:rPr>
          <w:instrText xml:space="preserve"> PAGEREF _Toc219309277 \h </w:instrText>
        </w:r>
        <w:r>
          <w:rPr>
            <w:noProof/>
            <w:webHidden/>
          </w:rPr>
        </w:r>
        <w:r>
          <w:rPr>
            <w:noProof/>
            <w:webHidden/>
          </w:rPr>
          <w:fldChar w:fldCharType="separate"/>
        </w:r>
        <w:r>
          <w:rPr>
            <w:noProof/>
            <w:webHidden/>
          </w:rPr>
          <w:t>375</w:t>
        </w:r>
        <w:r>
          <w:rPr>
            <w:noProof/>
            <w:webHidden/>
          </w:rPr>
          <w:fldChar w:fldCharType="end"/>
        </w:r>
      </w:hyperlink>
    </w:p>
    <w:p w14:paraId="20D8D993"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78"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248 – Описание комплексного типа «tSuppDocsItem»</w:t>
        </w:r>
        <w:r>
          <w:rPr>
            <w:noProof/>
            <w:webHidden/>
          </w:rPr>
          <w:tab/>
        </w:r>
        <w:r>
          <w:rPr>
            <w:noProof/>
            <w:webHidden/>
          </w:rPr>
          <w:fldChar w:fldCharType="begin"/>
        </w:r>
        <w:r>
          <w:rPr>
            <w:noProof/>
            <w:webHidden/>
          </w:rPr>
          <w:instrText xml:space="preserve"> PAGEREF _Toc219309278 \h </w:instrText>
        </w:r>
        <w:r>
          <w:rPr>
            <w:noProof/>
            <w:webHidden/>
          </w:rPr>
        </w:r>
        <w:r>
          <w:rPr>
            <w:noProof/>
            <w:webHidden/>
          </w:rPr>
          <w:fldChar w:fldCharType="separate"/>
        </w:r>
        <w:r>
          <w:rPr>
            <w:noProof/>
            <w:webHidden/>
          </w:rPr>
          <w:t>376</w:t>
        </w:r>
        <w:r>
          <w:rPr>
            <w:noProof/>
            <w:webHidden/>
          </w:rPr>
          <w:fldChar w:fldCharType="end"/>
        </w:r>
      </w:hyperlink>
    </w:p>
    <w:p w14:paraId="3A1F8E28"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79"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249 – Описание комплексного типа «tSignature»</w:t>
        </w:r>
        <w:r>
          <w:rPr>
            <w:noProof/>
            <w:webHidden/>
          </w:rPr>
          <w:tab/>
        </w:r>
        <w:r>
          <w:rPr>
            <w:noProof/>
            <w:webHidden/>
          </w:rPr>
          <w:fldChar w:fldCharType="begin"/>
        </w:r>
        <w:r>
          <w:rPr>
            <w:noProof/>
            <w:webHidden/>
          </w:rPr>
          <w:instrText xml:space="preserve"> PAGEREF _Toc219309279 \h </w:instrText>
        </w:r>
        <w:r>
          <w:rPr>
            <w:noProof/>
            <w:webHidden/>
          </w:rPr>
        </w:r>
        <w:r>
          <w:rPr>
            <w:noProof/>
            <w:webHidden/>
          </w:rPr>
          <w:fldChar w:fldCharType="separate"/>
        </w:r>
        <w:r>
          <w:rPr>
            <w:noProof/>
            <w:webHidden/>
          </w:rPr>
          <w:t>376</w:t>
        </w:r>
        <w:r>
          <w:rPr>
            <w:noProof/>
            <w:webHidden/>
          </w:rPr>
          <w:fldChar w:fldCharType="end"/>
        </w:r>
      </w:hyperlink>
    </w:p>
    <w:p w14:paraId="679D5F62"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80"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250 – Описание комплексного типа «</w:t>
        </w:r>
        <w:r w:rsidRPr="005C56D9">
          <w:rPr>
            <w:rStyle w:val="af7"/>
            <w:noProof/>
            <w:lang w:val="en-US"/>
          </w:rPr>
          <w:t>tMarksFK</w:t>
        </w:r>
        <w:r w:rsidRPr="005C56D9">
          <w:rPr>
            <w:rStyle w:val="af7"/>
            <w:rFonts w:eastAsia="Calibri"/>
            <w:noProof/>
          </w:rPr>
          <w:t>»</w:t>
        </w:r>
        <w:r>
          <w:rPr>
            <w:noProof/>
            <w:webHidden/>
          </w:rPr>
          <w:tab/>
        </w:r>
        <w:r>
          <w:rPr>
            <w:noProof/>
            <w:webHidden/>
          </w:rPr>
          <w:fldChar w:fldCharType="begin"/>
        </w:r>
        <w:r>
          <w:rPr>
            <w:noProof/>
            <w:webHidden/>
          </w:rPr>
          <w:instrText xml:space="preserve"> PAGEREF _Toc219309280 \h </w:instrText>
        </w:r>
        <w:r>
          <w:rPr>
            <w:noProof/>
            <w:webHidden/>
          </w:rPr>
        </w:r>
        <w:r>
          <w:rPr>
            <w:noProof/>
            <w:webHidden/>
          </w:rPr>
          <w:fldChar w:fldCharType="separate"/>
        </w:r>
        <w:r>
          <w:rPr>
            <w:noProof/>
            <w:webHidden/>
          </w:rPr>
          <w:t>377</w:t>
        </w:r>
        <w:r>
          <w:rPr>
            <w:noProof/>
            <w:webHidden/>
          </w:rPr>
          <w:fldChar w:fldCharType="end"/>
        </w:r>
      </w:hyperlink>
    </w:p>
    <w:p w14:paraId="1B611E0D"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81" w:history="1">
        <w:r w:rsidRPr="005C56D9">
          <w:rPr>
            <w:rStyle w:val="af7"/>
            <w:noProof/>
            <w:highlight w:val="green"/>
          </w:rPr>
          <w:t>Таблица </w:t>
        </w:r>
        <w:r>
          <w:rPr>
            <w:rFonts w:asciiTheme="minorHAnsi" w:eastAsiaTheme="minorEastAsia" w:hAnsiTheme="minorHAnsi" w:cstheme="minorBidi"/>
            <w:noProof/>
            <w:sz w:val="22"/>
            <w:szCs w:val="22"/>
          </w:rPr>
          <w:tab/>
        </w:r>
        <w:r w:rsidRPr="005C56D9">
          <w:rPr>
            <w:rStyle w:val="af7"/>
            <w:noProof/>
            <w:highlight w:val="green"/>
          </w:rPr>
          <w:t xml:space="preserve">251 </w:t>
        </w:r>
        <w:r w:rsidRPr="005C56D9">
          <w:rPr>
            <w:rStyle w:val="af7"/>
            <w:rFonts w:eastAsia="Calibri"/>
            <w:noProof/>
            <w:highlight w:val="green"/>
          </w:rPr>
          <w:t xml:space="preserve">– </w:t>
        </w:r>
        <w:r w:rsidRPr="005C56D9">
          <w:rPr>
            <w:rStyle w:val="af7"/>
            <w:noProof/>
            <w:highlight w:val="green"/>
          </w:rPr>
          <w:t>Маршрут документа «Заявка на получение денежных средств, перечисляемых на карту» (ф. 0531243)</w:t>
        </w:r>
        <w:r>
          <w:rPr>
            <w:noProof/>
            <w:webHidden/>
          </w:rPr>
          <w:tab/>
        </w:r>
        <w:r>
          <w:rPr>
            <w:noProof/>
            <w:webHidden/>
          </w:rPr>
          <w:fldChar w:fldCharType="begin"/>
        </w:r>
        <w:r>
          <w:rPr>
            <w:noProof/>
            <w:webHidden/>
          </w:rPr>
          <w:instrText xml:space="preserve"> PAGEREF _Toc219309281 \h </w:instrText>
        </w:r>
        <w:r>
          <w:rPr>
            <w:noProof/>
            <w:webHidden/>
          </w:rPr>
        </w:r>
        <w:r>
          <w:rPr>
            <w:noProof/>
            <w:webHidden/>
          </w:rPr>
          <w:fldChar w:fldCharType="separate"/>
        </w:r>
        <w:r>
          <w:rPr>
            <w:noProof/>
            <w:webHidden/>
          </w:rPr>
          <w:t>380</w:t>
        </w:r>
        <w:r>
          <w:rPr>
            <w:noProof/>
            <w:webHidden/>
          </w:rPr>
          <w:fldChar w:fldCharType="end"/>
        </w:r>
      </w:hyperlink>
    </w:p>
    <w:p w14:paraId="77CA9E54"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82"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252</w:t>
        </w:r>
        <w:r w:rsidRPr="005C56D9">
          <w:rPr>
            <w:rStyle w:val="af7"/>
            <w:rFonts w:eastAsia="Calibri"/>
            <w:noProof/>
          </w:rPr>
          <w:t xml:space="preserve"> – </w:t>
        </w:r>
        <w:r w:rsidRPr="005C56D9">
          <w:rPr>
            <w:rStyle w:val="af7"/>
            <w:noProof/>
          </w:rPr>
          <w:t>Описание комплексного типа «</w:t>
        </w:r>
        <w:r w:rsidRPr="005C56D9">
          <w:rPr>
            <w:rStyle w:val="af7"/>
            <w:noProof/>
            <w:lang w:val="en-US"/>
          </w:rPr>
          <w:t>tMSC</w:t>
        </w:r>
        <w:r w:rsidRPr="005C56D9">
          <w:rPr>
            <w:rStyle w:val="af7"/>
            <w:noProof/>
          </w:rPr>
          <w:t>_</w:t>
        </w:r>
        <w:r w:rsidRPr="005C56D9">
          <w:rPr>
            <w:rStyle w:val="af7"/>
            <w:noProof/>
            <w:lang w:val="en-US"/>
          </w:rPr>
          <w:t>AplFndsCrd</w:t>
        </w:r>
        <w:r w:rsidRPr="005C56D9">
          <w:rPr>
            <w:rStyle w:val="af7"/>
            <w:noProof/>
          </w:rPr>
          <w:t>»</w:t>
        </w:r>
        <w:r>
          <w:rPr>
            <w:noProof/>
            <w:webHidden/>
          </w:rPr>
          <w:tab/>
        </w:r>
        <w:r>
          <w:rPr>
            <w:noProof/>
            <w:webHidden/>
          </w:rPr>
          <w:fldChar w:fldCharType="begin"/>
        </w:r>
        <w:r>
          <w:rPr>
            <w:noProof/>
            <w:webHidden/>
          </w:rPr>
          <w:instrText xml:space="preserve"> PAGEREF _Toc219309282 \h </w:instrText>
        </w:r>
        <w:r>
          <w:rPr>
            <w:noProof/>
            <w:webHidden/>
          </w:rPr>
        </w:r>
        <w:r>
          <w:rPr>
            <w:noProof/>
            <w:webHidden/>
          </w:rPr>
          <w:fldChar w:fldCharType="separate"/>
        </w:r>
        <w:r>
          <w:rPr>
            <w:noProof/>
            <w:webHidden/>
          </w:rPr>
          <w:t>380</w:t>
        </w:r>
        <w:r>
          <w:rPr>
            <w:noProof/>
            <w:webHidden/>
          </w:rPr>
          <w:fldChar w:fldCharType="end"/>
        </w:r>
      </w:hyperlink>
    </w:p>
    <w:p w14:paraId="3328F2E7"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83"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253 – Описание комплексного типа «tMSC_Cstmr1»</w:t>
        </w:r>
        <w:r>
          <w:rPr>
            <w:noProof/>
            <w:webHidden/>
          </w:rPr>
          <w:tab/>
        </w:r>
        <w:r>
          <w:rPr>
            <w:noProof/>
            <w:webHidden/>
          </w:rPr>
          <w:fldChar w:fldCharType="begin"/>
        </w:r>
        <w:r>
          <w:rPr>
            <w:noProof/>
            <w:webHidden/>
          </w:rPr>
          <w:instrText xml:space="preserve"> PAGEREF _Toc219309283 \h </w:instrText>
        </w:r>
        <w:r>
          <w:rPr>
            <w:noProof/>
            <w:webHidden/>
          </w:rPr>
        </w:r>
        <w:r>
          <w:rPr>
            <w:noProof/>
            <w:webHidden/>
          </w:rPr>
          <w:fldChar w:fldCharType="separate"/>
        </w:r>
        <w:r>
          <w:rPr>
            <w:noProof/>
            <w:webHidden/>
          </w:rPr>
          <w:t>383</w:t>
        </w:r>
        <w:r>
          <w:rPr>
            <w:noProof/>
            <w:webHidden/>
          </w:rPr>
          <w:fldChar w:fldCharType="end"/>
        </w:r>
      </w:hyperlink>
    </w:p>
    <w:p w14:paraId="44FB6175"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84"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254 – Описание комплексного типа «tMSC_SrcTypeComplex6»</w:t>
        </w:r>
        <w:r>
          <w:rPr>
            <w:noProof/>
            <w:webHidden/>
          </w:rPr>
          <w:tab/>
        </w:r>
        <w:r>
          <w:rPr>
            <w:noProof/>
            <w:webHidden/>
          </w:rPr>
          <w:fldChar w:fldCharType="begin"/>
        </w:r>
        <w:r>
          <w:rPr>
            <w:noProof/>
            <w:webHidden/>
          </w:rPr>
          <w:instrText xml:space="preserve"> PAGEREF _Toc219309284 \h </w:instrText>
        </w:r>
        <w:r>
          <w:rPr>
            <w:noProof/>
            <w:webHidden/>
          </w:rPr>
        </w:r>
        <w:r>
          <w:rPr>
            <w:noProof/>
            <w:webHidden/>
          </w:rPr>
          <w:fldChar w:fldCharType="separate"/>
        </w:r>
        <w:r>
          <w:rPr>
            <w:noProof/>
            <w:webHidden/>
          </w:rPr>
          <w:t>383</w:t>
        </w:r>
        <w:r>
          <w:rPr>
            <w:noProof/>
            <w:webHidden/>
          </w:rPr>
          <w:fldChar w:fldCharType="end"/>
        </w:r>
      </w:hyperlink>
    </w:p>
    <w:p w14:paraId="7AD6A1AA"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85"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255 – Описание комплексного типа «tSGNNmPs100»</w:t>
        </w:r>
        <w:r>
          <w:rPr>
            <w:noProof/>
            <w:webHidden/>
          </w:rPr>
          <w:tab/>
        </w:r>
        <w:r>
          <w:rPr>
            <w:noProof/>
            <w:webHidden/>
          </w:rPr>
          <w:fldChar w:fldCharType="begin"/>
        </w:r>
        <w:r>
          <w:rPr>
            <w:noProof/>
            <w:webHidden/>
          </w:rPr>
          <w:instrText xml:space="preserve"> PAGEREF _Toc219309285 \h </w:instrText>
        </w:r>
        <w:r>
          <w:rPr>
            <w:noProof/>
            <w:webHidden/>
          </w:rPr>
        </w:r>
        <w:r>
          <w:rPr>
            <w:noProof/>
            <w:webHidden/>
          </w:rPr>
          <w:fldChar w:fldCharType="separate"/>
        </w:r>
        <w:r>
          <w:rPr>
            <w:noProof/>
            <w:webHidden/>
          </w:rPr>
          <w:t>384</w:t>
        </w:r>
        <w:r>
          <w:rPr>
            <w:noProof/>
            <w:webHidden/>
          </w:rPr>
          <w:fldChar w:fldCharType="end"/>
        </w:r>
      </w:hyperlink>
    </w:p>
    <w:p w14:paraId="1704E0A2"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86"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256 – Описание комплексного типа «tMSC_FlNm»</w:t>
        </w:r>
        <w:r>
          <w:rPr>
            <w:noProof/>
            <w:webHidden/>
          </w:rPr>
          <w:tab/>
        </w:r>
        <w:r>
          <w:rPr>
            <w:noProof/>
            <w:webHidden/>
          </w:rPr>
          <w:fldChar w:fldCharType="begin"/>
        </w:r>
        <w:r>
          <w:rPr>
            <w:noProof/>
            <w:webHidden/>
          </w:rPr>
          <w:instrText xml:space="preserve"> PAGEREF _Toc219309286 \h </w:instrText>
        </w:r>
        <w:r>
          <w:rPr>
            <w:noProof/>
            <w:webHidden/>
          </w:rPr>
        </w:r>
        <w:r>
          <w:rPr>
            <w:noProof/>
            <w:webHidden/>
          </w:rPr>
          <w:fldChar w:fldCharType="separate"/>
        </w:r>
        <w:r>
          <w:rPr>
            <w:noProof/>
            <w:webHidden/>
          </w:rPr>
          <w:t>384</w:t>
        </w:r>
        <w:r>
          <w:rPr>
            <w:noProof/>
            <w:webHidden/>
          </w:rPr>
          <w:fldChar w:fldCharType="end"/>
        </w:r>
      </w:hyperlink>
    </w:p>
    <w:p w14:paraId="312A73A7"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87"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257 – Описание комплексного типа «tZNKBK»</w:t>
        </w:r>
        <w:r>
          <w:rPr>
            <w:noProof/>
            <w:webHidden/>
          </w:rPr>
          <w:tab/>
        </w:r>
        <w:r>
          <w:rPr>
            <w:noProof/>
            <w:webHidden/>
          </w:rPr>
          <w:fldChar w:fldCharType="begin"/>
        </w:r>
        <w:r>
          <w:rPr>
            <w:noProof/>
            <w:webHidden/>
          </w:rPr>
          <w:instrText xml:space="preserve"> PAGEREF _Toc219309287 \h </w:instrText>
        </w:r>
        <w:r>
          <w:rPr>
            <w:noProof/>
            <w:webHidden/>
          </w:rPr>
        </w:r>
        <w:r>
          <w:rPr>
            <w:noProof/>
            <w:webHidden/>
          </w:rPr>
          <w:fldChar w:fldCharType="separate"/>
        </w:r>
        <w:r>
          <w:rPr>
            <w:noProof/>
            <w:webHidden/>
          </w:rPr>
          <w:t>385</w:t>
        </w:r>
        <w:r>
          <w:rPr>
            <w:noProof/>
            <w:webHidden/>
          </w:rPr>
          <w:fldChar w:fldCharType="end"/>
        </w:r>
      </w:hyperlink>
    </w:p>
    <w:p w14:paraId="44A3AE7A"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88"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258 – Описание комплексного типа «tZNKBK_ITEM»</w:t>
        </w:r>
        <w:r>
          <w:rPr>
            <w:noProof/>
            <w:webHidden/>
          </w:rPr>
          <w:tab/>
        </w:r>
        <w:r>
          <w:rPr>
            <w:noProof/>
            <w:webHidden/>
          </w:rPr>
          <w:fldChar w:fldCharType="begin"/>
        </w:r>
        <w:r>
          <w:rPr>
            <w:noProof/>
            <w:webHidden/>
          </w:rPr>
          <w:instrText xml:space="preserve"> PAGEREF _Toc219309288 \h </w:instrText>
        </w:r>
        <w:r>
          <w:rPr>
            <w:noProof/>
            <w:webHidden/>
          </w:rPr>
        </w:r>
        <w:r>
          <w:rPr>
            <w:noProof/>
            <w:webHidden/>
          </w:rPr>
          <w:fldChar w:fldCharType="separate"/>
        </w:r>
        <w:r>
          <w:rPr>
            <w:noProof/>
            <w:webHidden/>
          </w:rPr>
          <w:t>385</w:t>
        </w:r>
        <w:r>
          <w:rPr>
            <w:noProof/>
            <w:webHidden/>
          </w:rPr>
          <w:fldChar w:fldCharType="end"/>
        </w:r>
      </w:hyperlink>
    </w:p>
    <w:p w14:paraId="56694BDF"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89"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259 – Описание комплексного типа «tMSC_KBK10_20_KS»</w:t>
        </w:r>
        <w:r>
          <w:rPr>
            <w:noProof/>
            <w:webHidden/>
          </w:rPr>
          <w:tab/>
        </w:r>
        <w:r>
          <w:rPr>
            <w:noProof/>
            <w:webHidden/>
          </w:rPr>
          <w:fldChar w:fldCharType="begin"/>
        </w:r>
        <w:r>
          <w:rPr>
            <w:noProof/>
            <w:webHidden/>
          </w:rPr>
          <w:instrText xml:space="preserve"> PAGEREF _Toc219309289 \h </w:instrText>
        </w:r>
        <w:r>
          <w:rPr>
            <w:noProof/>
            <w:webHidden/>
          </w:rPr>
        </w:r>
        <w:r>
          <w:rPr>
            <w:noProof/>
            <w:webHidden/>
          </w:rPr>
          <w:fldChar w:fldCharType="separate"/>
        </w:r>
        <w:r>
          <w:rPr>
            <w:noProof/>
            <w:webHidden/>
          </w:rPr>
          <w:t>386</w:t>
        </w:r>
        <w:r>
          <w:rPr>
            <w:noProof/>
            <w:webHidden/>
          </w:rPr>
          <w:fldChar w:fldCharType="end"/>
        </w:r>
      </w:hyperlink>
    </w:p>
    <w:p w14:paraId="209083C7"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90"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260 – Описание комплексного типа «tMSC_BKTp10_20Complex»</w:t>
        </w:r>
        <w:r>
          <w:rPr>
            <w:noProof/>
            <w:webHidden/>
          </w:rPr>
          <w:tab/>
        </w:r>
        <w:r>
          <w:rPr>
            <w:noProof/>
            <w:webHidden/>
          </w:rPr>
          <w:fldChar w:fldCharType="begin"/>
        </w:r>
        <w:r>
          <w:rPr>
            <w:noProof/>
            <w:webHidden/>
          </w:rPr>
          <w:instrText xml:space="preserve"> PAGEREF _Toc219309290 \h </w:instrText>
        </w:r>
        <w:r>
          <w:rPr>
            <w:noProof/>
            <w:webHidden/>
          </w:rPr>
        </w:r>
        <w:r>
          <w:rPr>
            <w:noProof/>
            <w:webHidden/>
          </w:rPr>
          <w:fldChar w:fldCharType="separate"/>
        </w:r>
        <w:r>
          <w:rPr>
            <w:noProof/>
            <w:webHidden/>
          </w:rPr>
          <w:t>386</w:t>
        </w:r>
        <w:r>
          <w:rPr>
            <w:noProof/>
            <w:webHidden/>
          </w:rPr>
          <w:fldChar w:fldCharType="end"/>
        </w:r>
      </w:hyperlink>
    </w:p>
    <w:p w14:paraId="631C33FF"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91" w:history="1">
        <w:r w:rsidRPr="005C56D9">
          <w:rPr>
            <w:rStyle w:val="af7"/>
            <w:noProof/>
            <w:highlight w:val="green"/>
          </w:rPr>
          <w:t>Таблица </w:t>
        </w:r>
        <w:r>
          <w:rPr>
            <w:rFonts w:asciiTheme="minorHAnsi" w:eastAsiaTheme="minorEastAsia" w:hAnsiTheme="minorHAnsi" w:cstheme="minorBidi"/>
            <w:noProof/>
            <w:sz w:val="22"/>
            <w:szCs w:val="22"/>
          </w:rPr>
          <w:tab/>
        </w:r>
        <w:r w:rsidRPr="005C56D9">
          <w:rPr>
            <w:rStyle w:val="af7"/>
            <w:noProof/>
            <w:highlight w:val="green"/>
          </w:rPr>
          <w:t>261</w:t>
        </w:r>
        <w:r w:rsidRPr="005C56D9">
          <w:rPr>
            <w:rStyle w:val="af7"/>
            <w:rFonts w:eastAsia="Calibri"/>
            <w:noProof/>
            <w:highlight w:val="green"/>
          </w:rPr>
          <w:t xml:space="preserve"> – </w:t>
        </w:r>
        <w:r w:rsidRPr="005C56D9">
          <w:rPr>
            <w:rStyle w:val="af7"/>
            <w:noProof/>
            <w:highlight w:val="green"/>
          </w:rPr>
          <w:t>Маршрут документа «Расшифровка сумм неиспользованных средств (ф.0531251), Заявка о внесении наличных денежных средств»</w:t>
        </w:r>
        <w:r>
          <w:rPr>
            <w:noProof/>
            <w:webHidden/>
          </w:rPr>
          <w:tab/>
        </w:r>
        <w:r>
          <w:rPr>
            <w:noProof/>
            <w:webHidden/>
          </w:rPr>
          <w:fldChar w:fldCharType="begin"/>
        </w:r>
        <w:r>
          <w:rPr>
            <w:noProof/>
            <w:webHidden/>
          </w:rPr>
          <w:instrText xml:space="preserve"> PAGEREF _Toc219309291 \h </w:instrText>
        </w:r>
        <w:r>
          <w:rPr>
            <w:noProof/>
            <w:webHidden/>
          </w:rPr>
        </w:r>
        <w:r>
          <w:rPr>
            <w:noProof/>
            <w:webHidden/>
          </w:rPr>
          <w:fldChar w:fldCharType="separate"/>
        </w:r>
        <w:r>
          <w:rPr>
            <w:noProof/>
            <w:webHidden/>
          </w:rPr>
          <w:t>391</w:t>
        </w:r>
        <w:r>
          <w:rPr>
            <w:noProof/>
            <w:webHidden/>
          </w:rPr>
          <w:fldChar w:fldCharType="end"/>
        </w:r>
      </w:hyperlink>
    </w:p>
    <w:p w14:paraId="4C039B26"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92" w:history="1">
        <w:r w:rsidRPr="005C56D9">
          <w:rPr>
            <w:rStyle w:val="af7"/>
            <w:noProof/>
            <w:highlight w:val="green"/>
          </w:rPr>
          <w:t>Таблица </w:t>
        </w:r>
        <w:r>
          <w:rPr>
            <w:rFonts w:asciiTheme="minorHAnsi" w:eastAsiaTheme="minorEastAsia" w:hAnsiTheme="minorHAnsi" w:cstheme="minorBidi"/>
            <w:noProof/>
            <w:sz w:val="22"/>
            <w:szCs w:val="22"/>
          </w:rPr>
          <w:tab/>
        </w:r>
        <w:r w:rsidRPr="005C56D9">
          <w:rPr>
            <w:rStyle w:val="af7"/>
            <w:noProof/>
            <w:highlight w:val="green"/>
          </w:rPr>
          <w:t>262</w:t>
        </w:r>
        <w:r w:rsidRPr="005C56D9">
          <w:rPr>
            <w:rStyle w:val="af7"/>
            <w:rFonts w:eastAsia="Calibri"/>
            <w:noProof/>
            <w:highlight w:val="green"/>
          </w:rPr>
          <w:t xml:space="preserve"> – </w:t>
        </w:r>
        <w:r w:rsidRPr="005C56D9">
          <w:rPr>
            <w:rStyle w:val="af7"/>
            <w:noProof/>
            <w:highlight w:val="green"/>
          </w:rPr>
          <w:t>Описание комплексного типа «</w:t>
        </w:r>
        <w:r w:rsidRPr="005C56D9">
          <w:rPr>
            <w:rStyle w:val="af7"/>
            <w:noProof/>
            <w:highlight w:val="green"/>
            <w:lang w:val="en-US"/>
          </w:rPr>
          <w:t>tMSC</w:t>
        </w:r>
        <w:r w:rsidRPr="005C56D9">
          <w:rPr>
            <w:rStyle w:val="af7"/>
            <w:noProof/>
            <w:highlight w:val="green"/>
          </w:rPr>
          <w:t>_</w:t>
        </w:r>
        <w:r w:rsidRPr="005C56D9">
          <w:rPr>
            <w:rStyle w:val="af7"/>
            <w:noProof/>
            <w:highlight w:val="green"/>
            <w:lang w:val="en-US"/>
          </w:rPr>
          <w:t>RKG</w:t>
        </w:r>
        <w:r w:rsidRPr="005C56D9">
          <w:rPr>
            <w:rStyle w:val="af7"/>
            <w:noProof/>
            <w:highlight w:val="green"/>
          </w:rPr>
          <w:t>_0531251»</w:t>
        </w:r>
        <w:r>
          <w:rPr>
            <w:noProof/>
            <w:webHidden/>
          </w:rPr>
          <w:tab/>
        </w:r>
        <w:r>
          <w:rPr>
            <w:noProof/>
            <w:webHidden/>
          </w:rPr>
          <w:fldChar w:fldCharType="begin"/>
        </w:r>
        <w:r>
          <w:rPr>
            <w:noProof/>
            <w:webHidden/>
          </w:rPr>
          <w:instrText xml:space="preserve"> PAGEREF _Toc219309292 \h </w:instrText>
        </w:r>
        <w:r>
          <w:rPr>
            <w:noProof/>
            <w:webHidden/>
          </w:rPr>
        </w:r>
        <w:r>
          <w:rPr>
            <w:noProof/>
            <w:webHidden/>
          </w:rPr>
          <w:fldChar w:fldCharType="separate"/>
        </w:r>
        <w:r>
          <w:rPr>
            <w:noProof/>
            <w:webHidden/>
          </w:rPr>
          <w:t>392</w:t>
        </w:r>
        <w:r>
          <w:rPr>
            <w:noProof/>
            <w:webHidden/>
          </w:rPr>
          <w:fldChar w:fldCharType="end"/>
        </w:r>
      </w:hyperlink>
    </w:p>
    <w:p w14:paraId="4163CEA8"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93"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263 – Описание комплексного типа «</w:t>
        </w:r>
        <w:r w:rsidRPr="005C56D9">
          <w:rPr>
            <w:rStyle w:val="af7"/>
            <w:rFonts w:eastAsiaTheme="minorHAnsi"/>
            <w:noProof/>
          </w:rPr>
          <w:t>tTtlPrt_DocKindCodeComplex</w:t>
        </w:r>
        <w:r w:rsidRPr="005C56D9">
          <w:rPr>
            <w:rStyle w:val="af7"/>
            <w:noProof/>
          </w:rPr>
          <w:t>»</w:t>
        </w:r>
        <w:r>
          <w:rPr>
            <w:noProof/>
            <w:webHidden/>
          </w:rPr>
          <w:tab/>
        </w:r>
        <w:r>
          <w:rPr>
            <w:noProof/>
            <w:webHidden/>
          </w:rPr>
          <w:fldChar w:fldCharType="begin"/>
        </w:r>
        <w:r>
          <w:rPr>
            <w:noProof/>
            <w:webHidden/>
          </w:rPr>
          <w:instrText xml:space="preserve"> PAGEREF _Toc219309293 \h </w:instrText>
        </w:r>
        <w:r>
          <w:rPr>
            <w:noProof/>
            <w:webHidden/>
          </w:rPr>
        </w:r>
        <w:r>
          <w:rPr>
            <w:noProof/>
            <w:webHidden/>
          </w:rPr>
          <w:fldChar w:fldCharType="separate"/>
        </w:r>
        <w:r>
          <w:rPr>
            <w:noProof/>
            <w:webHidden/>
          </w:rPr>
          <w:t>399</w:t>
        </w:r>
        <w:r>
          <w:rPr>
            <w:noProof/>
            <w:webHidden/>
          </w:rPr>
          <w:fldChar w:fldCharType="end"/>
        </w:r>
      </w:hyperlink>
    </w:p>
    <w:p w14:paraId="2CFBD24F"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94"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264 – Описание комплексного типа «tOprTpComplex»</w:t>
        </w:r>
        <w:r>
          <w:rPr>
            <w:noProof/>
            <w:webHidden/>
          </w:rPr>
          <w:tab/>
        </w:r>
        <w:r>
          <w:rPr>
            <w:noProof/>
            <w:webHidden/>
          </w:rPr>
          <w:fldChar w:fldCharType="begin"/>
        </w:r>
        <w:r>
          <w:rPr>
            <w:noProof/>
            <w:webHidden/>
          </w:rPr>
          <w:instrText xml:space="preserve"> PAGEREF _Toc219309294 \h </w:instrText>
        </w:r>
        <w:r>
          <w:rPr>
            <w:noProof/>
            <w:webHidden/>
          </w:rPr>
        </w:r>
        <w:r>
          <w:rPr>
            <w:noProof/>
            <w:webHidden/>
          </w:rPr>
          <w:fldChar w:fldCharType="separate"/>
        </w:r>
        <w:r>
          <w:rPr>
            <w:noProof/>
            <w:webHidden/>
          </w:rPr>
          <w:t>400</w:t>
        </w:r>
        <w:r>
          <w:rPr>
            <w:noProof/>
            <w:webHidden/>
          </w:rPr>
          <w:fldChar w:fldCharType="end"/>
        </w:r>
      </w:hyperlink>
    </w:p>
    <w:p w14:paraId="53BFDAEB"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95"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265 – Описание комплексного типа «tMSC_PBS_UB</w:t>
        </w:r>
        <w:r w:rsidRPr="005C56D9">
          <w:rPr>
            <w:rStyle w:val="af7"/>
            <w:noProof/>
            <w:highlight w:val="green"/>
          </w:rPr>
          <w:t>P</w:t>
        </w:r>
        <w:r w:rsidRPr="005C56D9">
          <w:rPr>
            <w:rStyle w:val="af7"/>
            <w:noProof/>
          </w:rPr>
          <w:t>»</w:t>
        </w:r>
        <w:r>
          <w:rPr>
            <w:noProof/>
            <w:webHidden/>
          </w:rPr>
          <w:tab/>
        </w:r>
        <w:r>
          <w:rPr>
            <w:noProof/>
            <w:webHidden/>
          </w:rPr>
          <w:fldChar w:fldCharType="begin"/>
        </w:r>
        <w:r>
          <w:rPr>
            <w:noProof/>
            <w:webHidden/>
          </w:rPr>
          <w:instrText xml:space="preserve"> PAGEREF _Toc219309295 \h </w:instrText>
        </w:r>
        <w:r>
          <w:rPr>
            <w:noProof/>
            <w:webHidden/>
          </w:rPr>
        </w:r>
        <w:r>
          <w:rPr>
            <w:noProof/>
            <w:webHidden/>
          </w:rPr>
          <w:fldChar w:fldCharType="separate"/>
        </w:r>
        <w:r>
          <w:rPr>
            <w:noProof/>
            <w:webHidden/>
          </w:rPr>
          <w:t>400</w:t>
        </w:r>
        <w:r>
          <w:rPr>
            <w:noProof/>
            <w:webHidden/>
          </w:rPr>
          <w:fldChar w:fldCharType="end"/>
        </w:r>
      </w:hyperlink>
    </w:p>
    <w:p w14:paraId="023E4862"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96"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266</w:t>
        </w:r>
        <w:r w:rsidRPr="005C56D9">
          <w:rPr>
            <w:rStyle w:val="af7"/>
            <w:rFonts w:eastAsia="Calibri"/>
            <w:noProof/>
          </w:rPr>
          <w:t xml:space="preserve"> – </w:t>
        </w:r>
        <w:r w:rsidRPr="005C56D9">
          <w:rPr>
            <w:rStyle w:val="af7"/>
            <w:noProof/>
          </w:rPr>
          <w:t>Описание комплексного типа «tMSC_TOFK»</w:t>
        </w:r>
        <w:r>
          <w:rPr>
            <w:noProof/>
            <w:webHidden/>
          </w:rPr>
          <w:tab/>
        </w:r>
        <w:r>
          <w:rPr>
            <w:noProof/>
            <w:webHidden/>
          </w:rPr>
          <w:fldChar w:fldCharType="begin"/>
        </w:r>
        <w:r>
          <w:rPr>
            <w:noProof/>
            <w:webHidden/>
          </w:rPr>
          <w:instrText xml:space="preserve"> PAGEREF _Toc219309296 \h </w:instrText>
        </w:r>
        <w:r>
          <w:rPr>
            <w:noProof/>
            <w:webHidden/>
          </w:rPr>
        </w:r>
        <w:r>
          <w:rPr>
            <w:noProof/>
            <w:webHidden/>
          </w:rPr>
          <w:fldChar w:fldCharType="separate"/>
        </w:r>
        <w:r>
          <w:rPr>
            <w:noProof/>
            <w:webHidden/>
          </w:rPr>
          <w:t>401</w:t>
        </w:r>
        <w:r>
          <w:rPr>
            <w:noProof/>
            <w:webHidden/>
          </w:rPr>
          <w:fldChar w:fldCharType="end"/>
        </w:r>
      </w:hyperlink>
    </w:p>
    <w:p w14:paraId="2A6B975E"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97"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267</w:t>
        </w:r>
        <w:r w:rsidRPr="005C56D9">
          <w:rPr>
            <w:rStyle w:val="af7"/>
            <w:rFonts w:eastAsia="Calibri"/>
            <w:noProof/>
          </w:rPr>
          <w:t xml:space="preserve"> – </w:t>
        </w:r>
        <w:r w:rsidRPr="005C56D9">
          <w:rPr>
            <w:rStyle w:val="af7"/>
            <w:noProof/>
          </w:rPr>
          <w:t>Описание комплексного типа «</w:t>
        </w:r>
        <w:r w:rsidRPr="005C56D9">
          <w:rPr>
            <w:rStyle w:val="af7"/>
            <w:rFonts w:eastAsiaTheme="minorHAnsi"/>
            <w:noProof/>
          </w:rPr>
          <w:t>tNominalInfo</w:t>
        </w:r>
        <w:r w:rsidRPr="005C56D9">
          <w:rPr>
            <w:rStyle w:val="af7"/>
            <w:noProof/>
          </w:rPr>
          <w:t>»</w:t>
        </w:r>
        <w:r>
          <w:rPr>
            <w:noProof/>
            <w:webHidden/>
          </w:rPr>
          <w:tab/>
        </w:r>
        <w:r>
          <w:rPr>
            <w:noProof/>
            <w:webHidden/>
          </w:rPr>
          <w:fldChar w:fldCharType="begin"/>
        </w:r>
        <w:r>
          <w:rPr>
            <w:noProof/>
            <w:webHidden/>
          </w:rPr>
          <w:instrText xml:space="preserve"> PAGEREF _Toc219309297 \h </w:instrText>
        </w:r>
        <w:r>
          <w:rPr>
            <w:noProof/>
            <w:webHidden/>
          </w:rPr>
        </w:r>
        <w:r>
          <w:rPr>
            <w:noProof/>
            <w:webHidden/>
          </w:rPr>
          <w:fldChar w:fldCharType="separate"/>
        </w:r>
        <w:r>
          <w:rPr>
            <w:noProof/>
            <w:webHidden/>
          </w:rPr>
          <w:t>401</w:t>
        </w:r>
        <w:r>
          <w:rPr>
            <w:noProof/>
            <w:webHidden/>
          </w:rPr>
          <w:fldChar w:fldCharType="end"/>
        </w:r>
      </w:hyperlink>
    </w:p>
    <w:p w14:paraId="7C9ABABA"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98"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268</w:t>
        </w:r>
        <w:r w:rsidRPr="005C56D9">
          <w:rPr>
            <w:rStyle w:val="af7"/>
            <w:rFonts w:eastAsia="Calibri"/>
            <w:noProof/>
          </w:rPr>
          <w:t xml:space="preserve"> –</w:t>
        </w:r>
        <w:r w:rsidRPr="005C56D9">
          <w:rPr>
            <w:rStyle w:val="af7"/>
            <w:noProof/>
          </w:rPr>
          <w:t xml:space="preserve"> Описание комплексного типа «</w:t>
        </w:r>
        <w:r w:rsidRPr="005C56D9">
          <w:rPr>
            <w:rStyle w:val="af7"/>
            <w:rFonts w:eastAsiaTheme="minorHAnsi"/>
            <w:noProof/>
          </w:rPr>
          <w:t>tNominalInfo_ITEM</w:t>
        </w:r>
        <w:r w:rsidRPr="005C56D9">
          <w:rPr>
            <w:rStyle w:val="af7"/>
            <w:noProof/>
          </w:rPr>
          <w:t>»</w:t>
        </w:r>
        <w:r>
          <w:rPr>
            <w:noProof/>
            <w:webHidden/>
          </w:rPr>
          <w:tab/>
        </w:r>
        <w:r>
          <w:rPr>
            <w:noProof/>
            <w:webHidden/>
          </w:rPr>
          <w:fldChar w:fldCharType="begin"/>
        </w:r>
        <w:r>
          <w:rPr>
            <w:noProof/>
            <w:webHidden/>
          </w:rPr>
          <w:instrText xml:space="preserve"> PAGEREF _Toc219309298 \h </w:instrText>
        </w:r>
        <w:r>
          <w:rPr>
            <w:noProof/>
            <w:webHidden/>
          </w:rPr>
        </w:r>
        <w:r>
          <w:rPr>
            <w:noProof/>
            <w:webHidden/>
          </w:rPr>
          <w:fldChar w:fldCharType="separate"/>
        </w:r>
        <w:r>
          <w:rPr>
            <w:noProof/>
            <w:webHidden/>
          </w:rPr>
          <w:t>402</w:t>
        </w:r>
        <w:r>
          <w:rPr>
            <w:noProof/>
            <w:webHidden/>
          </w:rPr>
          <w:fldChar w:fldCharType="end"/>
        </w:r>
      </w:hyperlink>
    </w:p>
    <w:p w14:paraId="56FA70A6"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299"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269</w:t>
        </w:r>
        <w:r w:rsidRPr="005C56D9">
          <w:rPr>
            <w:rStyle w:val="af7"/>
            <w:rFonts w:eastAsia="Calibri"/>
            <w:noProof/>
          </w:rPr>
          <w:t xml:space="preserve"> –</w:t>
        </w:r>
        <w:r w:rsidRPr="005C56D9">
          <w:rPr>
            <w:rStyle w:val="af7"/>
            <w:noProof/>
          </w:rPr>
          <w:t xml:space="preserve"> Описание комплексного типа «</w:t>
        </w:r>
        <w:r w:rsidRPr="005C56D9">
          <w:rPr>
            <w:rStyle w:val="af7"/>
            <w:rFonts w:eastAsiaTheme="minorHAnsi"/>
            <w:noProof/>
          </w:rPr>
          <w:t>tNominalInfo_CashKindComplex</w:t>
        </w:r>
        <w:r w:rsidRPr="005C56D9">
          <w:rPr>
            <w:rStyle w:val="af7"/>
            <w:noProof/>
          </w:rPr>
          <w:t>»</w:t>
        </w:r>
        <w:r>
          <w:rPr>
            <w:noProof/>
            <w:webHidden/>
          </w:rPr>
          <w:tab/>
        </w:r>
        <w:r>
          <w:rPr>
            <w:noProof/>
            <w:webHidden/>
          </w:rPr>
          <w:fldChar w:fldCharType="begin"/>
        </w:r>
        <w:r>
          <w:rPr>
            <w:noProof/>
            <w:webHidden/>
          </w:rPr>
          <w:instrText xml:space="preserve"> PAGEREF _Toc219309299 \h </w:instrText>
        </w:r>
        <w:r>
          <w:rPr>
            <w:noProof/>
            <w:webHidden/>
          </w:rPr>
        </w:r>
        <w:r>
          <w:rPr>
            <w:noProof/>
            <w:webHidden/>
          </w:rPr>
          <w:fldChar w:fldCharType="separate"/>
        </w:r>
        <w:r>
          <w:rPr>
            <w:noProof/>
            <w:webHidden/>
          </w:rPr>
          <w:t>402</w:t>
        </w:r>
        <w:r>
          <w:rPr>
            <w:noProof/>
            <w:webHidden/>
          </w:rPr>
          <w:fldChar w:fldCharType="end"/>
        </w:r>
      </w:hyperlink>
    </w:p>
    <w:p w14:paraId="60C06C8A"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00"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270 – Описание комплексного типа «tSGNNmPs100»</w:t>
        </w:r>
        <w:r>
          <w:rPr>
            <w:noProof/>
            <w:webHidden/>
          </w:rPr>
          <w:tab/>
        </w:r>
        <w:r>
          <w:rPr>
            <w:noProof/>
            <w:webHidden/>
          </w:rPr>
          <w:fldChar w:fldCharType="begin"/>
        </w:r>
        <w:r>
          <w:rPr>
            <w:noProof/>
            <w:webHidden/>
          </w:rPr>
          <w:instrText xml:space="preserve"> PAGEREF _Toc219309300 \h </w:instrText>
        </w:r>
        <w:r>
          <w:rPr>
            <w:noProof/>
            <w:webHidden/>
          </w:rPr>
        </w:r>
        <w:r>
          <w:rPr>
            <w:noProof/>
            <w:webHidden/>
          </w:rPr>
          <w:fldChar w:fldCharType="separate"/>
        </w:r>
        <w:r>
          <w:rPr>
            <w:noProof/>
            <w:webHidden/>
          </w:rPr>
          <w:t>403</w:t>
        </w:r>
        <w:r>
          <w:rPr>
            <w:noProof/>
            <w:webHidden/>
          </w:rPr>
          <w:fldChar w:fldCharType="end"/>
        </w:r>
      </w:hyperlink>
    </w:p>
    <w:p w14:paraId="5110DAF9"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01"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271 – Описание комплексного типа «tRKG_RKG251»</w:t>
        </w:r>
        <w:r>
          <w:rPr>
            <w:noProof/>
            <w:webHidden/>
          </w:rPr>
          <w:tab/>
        </w:r>
        <w:r>
          <w:rPr>
            <w:noProof/>
            <w:webHidden/>
          </w:rPr>
          <w:fldChar w:fldCharType="begin"/>
        </w:r>
        <w:r>
          <w:rPr>
            <w:noProof/>
            <w:webHidden/>
          </w:rPr>
          <w:instrText xml:space="preserve"> PAGEREF _Toc219309301 \h </w:instrText>
        </w:r>
        <w:r>
          <w:rPr>
            <w:noProof/>
            <w:webHidden/>
          </w:rPr>
        </w:r>
        <w:r>
          <w:rPr>
            <w:noProof/>
            <w:webHidden/>
          </w:rPr>
          <w:fldChar w:fldCharType="separate"/>
        </w:r>
        <w:r>
          <w:rPr>
            <w:noProof/>
            <w:webHidden/>
          </w:rPr>
          <w:t>403</w:t>
        </w:r>
        <w:r>
          <w:rPr>
            <w:noProof/>
            <w:webHidden/>
          </w:rPr>
          <w:fldChar w:fldCharType="end"/>
        </w:r>
      </w:hyperlink>
    </w:p>
    <w:p w14:paraId="0EAD716E"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02" w:history="1">
        <w:r w:rsidRPr="005C56D9">
          <w:rPr>
            <w:rStyle w:val="af7"/>
            <w:noProof/>
            <w:highlight w:val="green"/>
          </w:rPr>
          <w:t>Таблица </w:t>
        </w:r>
        <w:r>
          <w:rPr>
            <w:rFonts w:asciiTheme="minorHAnsi" w:eastAsiaTheme="minorEastAsia" w:hAnsiTheme="minorHAnsi" w:cstheme="minorBidi"/>
            <w:noProof/>
            <w:sz w:val="22"/>
            <w:szCs w:val="22"/>
          </w:rPr>
          <w:tab/>
        </w:r>
        <w:r w:rsidRPr="005C56D9">
          <w:rPr>
            <w:rStyle w:val="af7"/>
            <w:noProof/>
            <w:highlight w:val="green"/>
          </w:rPr>
          <w:t>272 – Описание комплексного типа «tRKG_RKG251_ITEM»</w:t>
        </w:r>
        <w:r>
          <w:rPr>
            <w:noProof/>
            <w:webHidden/>
          </w:rPr>
          <w:tab/>
        </w:r>
        <w:r>
          <w:rPr>
            <w:noProof/>
            <w:webHidden/>
          </w:rPr>
          <w:fldChar w:fldCharType="begin"/>
        </w:r>
        <w:r>
          <w:rPr>
            <w:noProof/>
            <w:webHidden/>
          </w:rPr>
          <w:instrText xml:space="preserve"> PAGEREF _Toc219309302 \h </w:instrText>
        </w:r>
        <w:r>
          <w:rPr>
            <w:noProof/>
            <w:webHidden/>
          </w:rPr>
        </w:r>
        <w:r>
          <w:rPr>
            <w:noProof/>
            <w:webHidden/>
          </w:rPr>
          <w:fldChar w:fldCharType="separate"/>
        </w:r>
        <w:r>
          <w:rPr>
            <w:noProof/>
            <w:webHidden/>
          </w:rPr>
          <w:t>403</w:t>
        </w:r>
        <w:r>
          <w:rPr>
            <w:noProof/>
            <w:webHidden/>
          </w:rPr>
          <w:fldChar w:fldCharType="end"/>
        </w:r>
      </w:hyperlink>
    </w:p>
    <w:p w14:paraId="2EE53CD0"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03"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273 – Описание комплексного типа «tMSC_KBK10_20_KS»</w:t>
        </w:r>
        <w:r>
          <w:rPr>
            <w:noProof/>
            <w:webHidden/>
          </w:rPr>
          <w:tab/>
        </w:r>
        <w:r>
          <w:rPr>
            <w:noProof/>
            <w:webHidden/>
          </w:rPr>
          <w:fldChar w:fldCharType="begin"/>
        </w:r>
        <w:r>
          <w:rPr>
            <w:noProof/>
            <w:webHidden/>
          </w:rPr>
          <w:instrText xml:space="preserve"> PAGEREF _Toc219309303 \h </w:instrText>
        </w:r>
        <w:r>
          <w:rPr>
            <w:noProof/>
            <w:webHidden/>
          </w:rPr>
        </w:r>
        <w:r>
          <w:rPr>
            <w:noProof/>
            <w:webHidden/>
          </w:rPr>
          <w:fldChar w:fldCharType="separate"/>
        </w:r>
        <w:r>
          <w:rPr>
            <w:noProof/>
            <w:webHidden/>
          </w:rPr>
          <w:t>405</w:t>
        </w:r>
        <w:r>
          <w:rPr>
            <w:noProof/>
            <w:webHidden/>
          </w:rPr>
          <w:fldChar w:fldCharType="end"/>
        </w:r>
      </w:hyperlink>
    </w:p>
    <w:p w14:paraId="2B5AC5B7"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04"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274 – Описание комплексного типа «tMSC_BKTp10_20Complex»</w:t>
        </w:r>
        <w:r>
          <w:rPr>
            <w:noProof/>
            <w:webHidden/>
          </w:rPr>
          <w:tab/>
        </w:r>
        <w:r>
          <w:rPr>
            <w:noProof/>
            <w:webHidden/>
          </w:rPr>
          <w:fldChar w:fldCharType="begin"/>
        </w:r>
        <w:r>
          <w:rPr>
            <w:noProof/>
            <w:webHidden/>
          </w:rPr>
          <w:instrText xml:space="preserve"> PAGEREF _Toc219309304 \h </w:instrText>
        </w:r>
        <w:r>
          <w:rPr>
            <w:noProof/>
            <w:webHidden/>
          </w:rPr>
        </w:r>
        <w:r>
          <w:rPr>
            <w:noProof/>
            <w:webHidden/>
          </w:rPr>
          <w:fldChar w:fldCharType="separate"/>
        </w:r>
        <w:r>
          <w:rPr>
            <w:noProof/>
            <w:webHidden/>
          </w:rPr>
          <w:t>406</w:t>
        </w:r>
        <w:r>
          <w:rPr>
            <w:noProof/>
            <w:webHidden/>
          </w:rPr>
          <w:fldChar w:fldCharType="end"/>
        </w:r>
      </w:hyperlink>
    </w:p>
    <w:p w14:paraId="545FC244"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05"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275 – Описание комплексного типа «tMSC_SrcTypeComplex»</w:t>
        </w:r>
        <w:r>
          <w:rPr>
            <w:noProof/>
            <w:webHidden/>
          </w:rPr>
          <w:tab/>
        </w:r>
        <w:r>
          <w:rPr>
            <w:noProof/>
            <w:webHidden/>
          </w:rPr>
          <w:fldChar w:fldCharType="begin"/>
        </w:r>
        <w:r>
          <w:rPr>
            <w:noProof/>
            <w:webHidden/>
          </w:rPr>
          <w:instrText xml:space="preserve"> PAGEREF _Toc219309305 \h </w:instrText>
        </w:r>
        <w:r>
          <w:rPr>
            <w:noProof/>
            <w:webHidden/>
          </w:rPr>
        </w:r>
        <w:r>
          <w:rPr>
            <w:noProof/>
            <w:webHidden/>
          </w:rPr>
          <w:fldChar w:fldCharType="separate"/>
        </w:r>
        <w:r>
          <w:rPr>
            <w:noProof/>
            <w:webHidden/>
          </w:rPr>
          <w:t>407</w:t>
        </w:r>
        <w:r>
          <w:rPr>
            <w:noProof/>
            <w:webHidden/>
          </w:rPr>
          <w:fldChar w:fldCharType="end"/>
        </w:r>
      </w:hyperlink>
    </w:p>
    <w:p w14:paraId="78AC7ACC"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06"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276 – Описание комплексного типа «</w:t>
        </w:r>
        <w:r w:rsidRPr="005C56D9">
          <w:rPr>
            <w:rStyle w:val="af7"/>
            <w:rFonts w:eastAsiaTheme="minorHAnsi"/>
            <w:noProof/>
          </w:rPr>
          <w:t>tRKG251_OprContentComplex</w:t>
        </w:r>
        <w:r w:rsidRPr="005C56D9">
          <w:rPr>
            <w:rStyle w:val="af7"/>
            <w:noProof/>
          </w:rPr>
          <w:t>»</w:t>
        </w:r>
        <w:r>
          <w:rPr>
            <w:noProof/>
            <w:webHidden/>
          </w:rPr>
          <w:tab/>
        </w:r>
        <w:r>
          <w:rPr>
            <w:noProof/>
            <w:webHidden/>
          </w:rPr>
          <w:fldChar w:fldCharType="begin"/>
        </w:r>
        <w:r>
          <w:rPr>
            <w:noProof/>
            <w:webHidden/>
          </w:rPr>
          <w:instrText xml:space="preserve"> PAGEREF _Toc219309306 \h </w:instrText>
        </w:r>
        <w:r>
          <w:rPr>
            <w:noProof/>
            <w:webHidden/>
          </w:rPr>
        </w:r>
        <w:r>
          <w:rPr>
            <w:noProof/>
            <w:webHidden/>
          </w:rPr>
          <w:fldChar w:fldCharType="separate"/>
        </w:r>
        <w:r>
          <w:rPr>
            <w:noProof/>
            <w:webHidden/>
          </w:rPr>
          <w:t>407</w:t>
        </w:r>
        <w:r>
          <w:rPr>
            <w:noProof/>
            <w:webHidden/>
          </w:rPr>
          <w:fldChar w:fldCharType="end"/>
        </w:r>
      </w:hyperlink>
    </w:p>
    <w:p w14:paraId="0BEFEAFC"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07"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277</w:t>
        </w:r>
        <w:r w:rsidRPr="005C56D9">
          <w:rPr>
            <w:rStyle w:val="af7"/>
            <w:rFonts w:eastAsia="Calibri"/>
            <w:noProof/>
          </w:rPr>
          <w:t xml:space="preserve"> – </w:t>
        </w:r>
        <w:r w:rsidRPr="005C56D9">
          <w:rPr>
            <w:rStyle w:val="af7"/>
            <w:noProof/>
          </w:rPr>
          <w:t>Описание комплексного типа «tTF»</w:t>
        </w:r>
        <w:r>
          <w:rPr>
            <w:noProof/>
            <w:webHidden/>
          </w:rPr>
          <w:tab/>
        </w:r>
        <w:r>
          <w:rPr>
            <w:noProof/>
            <w:webHidden/>
          </w:rPr>
          <w:fldChar w:fldCharType="begin"/>
        </w:r>
        <w:r>
          <w:rPr>
            <w:noProof/>
            <w:webHidden/>
          </w:rPr>
          <w:instrText xml:space="preserve"> PAGEREF _Toc219309307 \h </w:instrText>
        </w:r>
        <w:r>
          <w:rPr>
            <w:noProof/>
            <w:webHidden/>
          </w:rPr>
        </w:r>
        <w:r>
          <w:rPr>
            <w:noProof/>
            <w:webHidden/>
          </w:rPr>
          <w:fldChar w:fldCharType="separate"/>
        </w:r>
        <w:r>
          <w:rPr>
            <w:noProof/>
            <w:webHidden/>
          </w:rPr>
          <w:t>408</w:t>
        </w:r>
        <w:r>
          <w:rPr>
            <w:noProof/>
            <w:webHidden/>
          </w:rPr>
          <w:fldChar w:fldCharType="end"/>
        </w:r>
      </w:hyperlink>
    </w:p>
    <w:p w14:paraId="0E16773A"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08" w:history="1">
        <w:r w:rsidRPr="005C56D9">
          <w:rPr>
            <w:rStyle w:val="af7"/>
            <w:noProof/>
            <w:highlight w:val="green"/>
          </w:rPr>
          <w:t>Таблица </w:t>
        </w:r>
        <w:r>
          <w:rPr>
            <w:rFonts w:asciiTheme="minorHAnsi" w:eastAsiaTheme="minorEastAsia" w:hAnsiTheme="minorHAnsi" w:cstheme="minorBidi"/>
            <w:noProof/>
            <w:sz w:val="22"/>
            <w:szCs w:val="22"/>
          </w:rPr>
          <w:tab/>
        </w:r>
        <w:r w:rsidRPr="005C56D9">
          <w:rPr>
            <w:rStyle w:val="af7"/>
            <w:noProof/>
            <w:highlight w:val="green"/>
          </w:rPr>
          <w:t>278</w:t>
        </w:r>
        <w:r w:rsidRPr="005C56D9">
          <w:rPr>
            <w:rStyle w:val="af7"/>
            <w:rFonts w:eastAsia="Calibri"/>
            <w:noProof/>
            <w:highlight w:val="green"/>
          </w:rPr>
          <w:t xml:space="preserve"> – </w:t>
        </w:r>
        <w:r w:rsidRPr="005C56D9">
          <w:rPr>
            <w:rStyle w:val="af7"/>
            <w:noProof/>
            <w:highlight w:val="green"/>
          </w:rPr>
          <w:t>Маршрут документа «Заявка на получение наличных денег (ф. 0531802), Заявка для обеспечения наличными денежными средствами в электронном виде»</w:t>
        </w:r>
        <w:r>
          <w:rPr>
            <w:noProof/>
            <w:webHidden/>
          </w:rPr>
          <w:tab/>
        </w:r>
        <w:r>
          <w:rPr>
            <w:noProof/>
            <w:webHidden/>
          </w:rPr>
          <w:fldChar w:fldCharType="begin"/>
        </w:r>
        <w:r>
          <w:rPr>
            <w:noProof/>
            <w:webHidden/>
          </w:rPr>
          <w:instrText xml:space="preserve"> PAGEREF _Toc219309308 \h </w:instrText>
        </w:r>
        <w:r>
          <w:rPr>
            <w:noProof/>
            <w:webHidden/>
          </w:rPr>
        </w:r>
        <w:r>
          <w:rPr>
            <w:noProof/>
            <w:webHidden/>
          </w:rPr>
          <w:fldChar w:fldCharType="separate"/>
        </w:r>
        <w:r>
          <w:rPr>
            <w:noProof/>
            <w:webHidden/>
          </w:rPr>
          <w:t>413</w:t>
        </w:r>
        <w:r>
          <w:rPr>
            <w:noProof/>
            <w:webHidden/>
          </w:rPr>
          <w:fldChar w:fldCharType="end"/>
        </w:r>
      </w:hyperlink>
    </w:p>
    <w:p w14:paraId="0EE8AFF5"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09"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279</w:t>
        </w:r>
        <w:r w:rsidRPr="005C56D9">
          <w:rPr>
            <w:rStyle w:val="af7"/>
            <w:rFonts w:eastAsia="Calibri"/>
            <w:noProof/>
          </w:rPr>
          <w:t xml:space="preserve"> – </w:t>
        </w:r>
        <w:r w:rsidRPr="005C56D9">
          <w:rPr>
            <w:rStyle w:val="af7"/>
            <w:noProof/>
          </w:rPr>
          <w:t>Описание комплексного типа «</w:t>
        </w:r>
        <w:r w:rsidRPr="005C56D9">
          <w:rPr>
            <w:rStyle w:val="af7"/>
            <w:noProof/>
            <w:lang w:val="en-US"/>
          </w:rPr>
          <w:t>t</w:t>
        </w:r>
        <w:r w:rsidRPr="005C56D9">
          <w:rPr>
            <w:rStyle w:val="af7"/>
            <w:noProof/>
          </w:rPr>
          <w:t>MSC_AplCsh»</w:t>
        </w:r>
        <w:r>
          <w:rPr>
            <w:noProof/>
            <w:webHidden/>
          </w:rPr>
          <w:tab/>
        </w:r>
        <w:r>
          <w:rPr>
            <w:noProof/>
            <w:webHidden/>
          </w:rPr>
          <w:fldChar w:fldCharType="begin"/>
        </w:r>
        <w:r>
          <w:rPr>
            <w:noProof/>
            <w:webHidden/>
          </w:rPr>
          <w:instrText xml:space="preserve"> PAGEREF _Toc219309309 \h </w:instrText>
        </w:r>
        <w:r>
          <w:rPr>
            <w:noProof/>
            <w:webHidden/>
          </w:rPr>
        </w:r>
        <w:r>
          <w:rPr>
            <w:noProof/>
            <w:webHidden/>
          </w:rPr>
          <w:fldChar w:fldCharType="separate"/>
        </w:r>
        <w:r>
          <w:rPr>
            <w:noProof/>
            <w:webHidden/>
          </w:rPr>
          <w:t>413</w:t>
        </w:r>
        <w:r>
          <w:rPr>
            <w:noProof/>
            <w:webHidden/>
          </w:rPr>
          <w:fldChar w:fldCharType="end"/>
        </w:r>
      </w:hyperlink>
    </w:p>
    <w:p w14:paraId="0FB31336"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10"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280 – Описание комплексного типа «</w:t>
        </w:r>
        <w:r w:rsidRPr="005C56D9">
          <w:rPr>
            <w:rStyle w:val="af7"/>
            <w:rFonts w:eastAsiaTheme="minorHAnsi"/>
            <w:noProof/>
          </w:rPr>
          <w:t>tZS_DocKindCodeComplex</w:t>
        </w:r>
        <w:r w:rsidRPr="005C56D9">
          <w:rPr>
            <w:rStyle w:val="af7"/>
            <w:noProof/>
          </w:rPr>
          <w:t>»</w:t>
        </w:r>
        <w:r>
          <w:rPr>
            <w:noProof/>
            <w:webHidden/>
          </w:rPr>
          <w:tab/>
        </w:r>
        <w:r>
          <w:rPr>
            <w:noProof/>
            <w:webHidden/>
          </w:rPr>
          <w:fldChar w:fldCharType="begin"/>
        </w:r>
        <w:r>
          <w:rPr>
            <w:noProof/>
            <w:webHidden/>
          </w:rPr>
          <w:instrText xml:space="preserve"> PAGEREF _Toc219309310 \h </w:instrText>
        </w:r>
        <w:r>
          <w:rPr>
            <w:noProof/>
            <w:webHidden/>
          </w:rPr>
        </w:r>
        <w:r>
          <w:rPr>
            <w:noProof/>
            <w:webHidden/>
          </w:rPr>
          <w:fldChar w:fldCharType="separate"/>
        </w:r>
        <w:r>
          <w:rPr>
            <w:noProof/>
            <w:webHidden/>
          </w:rPr>
          <w:t>419</w:t>
        </w:r>
        <w:r>
          <w:rPr>
            <w:noProof/>
            <w:webHidden/>
          </w:rPr>
          <w:fldChar w:fldCharType="end"/>
        </w:r>
      </w:hyperlink>
    </w:p>
    <w:p w14:paraId="63F4C3D9"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11"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281</w:t>
        </w:r>
        <w:r w:rsidRPr="005C56D9">
          <w:rPr>
            <w:rStyle w:val="af7"/>
            <w:rFonts w:eastAsia="Calibri"/>
            <w:noProof/>
          </w:rPr>
          <w:t xml:space="preserve"> – </w:t>
        </w:r>
        <w:r w:rsidRPr="005C56D9">
          <w:rPr>
            <w:rStyle w:val="af7"/>
            <w:noProof/>
          </w:rPr>
          <w:t>Описание комплексного типа «tMSC_FnclInst»</w:t>
        </w:r>
        <w:r>
          <w:rPr>
            <w:noProof/>
            <w:webHidden/>
          </w:rPr>
          <w:tab/>
        </w:r>
        <w:r>
          <w:rPr>
            <w:noProof/>
            <w:webHidden/>
          </w:rPr>
          <w:fldChar w:fldCharType="begin"/>
        </w:r>
        <w:r>
          <w:rPr>
            <w:noProof/>
            <w:webHidden/>
          </w:rPr>
          <w:instrText xml:space="preserve"> PAGEREF _Toc219309311 \h </w:instrText>
        </w:r>
        <w:r>
          <w:rPr>
            <w:noProof/>
            <w:webHidden/>
          </w:rPr>
        </w:r>
        <w:r>
          <w:rPr>
            <w:noProof/>
            <w:webHidden/>
          </w:rPr>
          <w:fldChar w:fldCharType="separate"/>
        </w:r>
        <w:r>
          <w:rPr>
            <w:noProof/>
            <w:webHidden/>
          </w:rPr>
          <w:t>420</w:t>
        </w:r>
        <w:r>
          <w:rPr>
            <w:noProof/>
            <w:webHidden/>
          </w:rPr>
          <w:fldChar w:fldCharType="end"/>
        </w:r>
      </w:hyperlink>
    </w:p>
    <w:p w14:paraId="400A55BE"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12"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282</w:t>
        </w:r>
        <w:r w:rsidRPr="005C56D9">
          <w:rPr>
            <w:rStyle w:val="af7"/>
            <w:rFonts w:eastAsia="Calibri"/>
            <w:noProof/>
          </w:rPr>
          <w:t xml:space="preserve"> – </w:t>
        </w:r>
        <w:r w:rsidRPr="005C56D9">
          <w:rPr>
            <w:rStyle w:val="af7"/>
            <w:noProof/>
          </w:rPr>
          <w:t>Описание комплексного типа «tMSC_GRBS3»</w:t>
        </w:r>
        <w:r>
          <w:rPr>
            <w:noProof/>
            <w:webHidden/>
          </w:rPr>
          <w:tab/>
        </w:r>
        <w:r>
          <w:rPr>
            <w:noProof/>
            <w:webHidden/>
          </w:rPr>
          <w:fldChar w:fldCharType="begin"/>
        </w:r>
        <w:r>
          <w:rPr>
            <w:noProof/>
            <w:webHidden/>
          </w:rPr>
          <w:instrText xml:space="preserve"> PAGEREF _Toc219309312 \h </w:instrText>
        </w:r>
        <w:r>
          <w:rPr>
            <w:noProof/>
            <w:webHidden/>
          </w:rPr>
        </w:r>
        <w:r>
          <w:rPr>
            <w:noProof/>
            <w:webHidden/>
          </w:rPr>
          <w:fldChar w:fldCharType="separate"/>
        </w:r>
        <w:r>
          <w:rPr>
            <w:noProof/>
            <w:webHidden/>
          </w:rPr>
          <w:t>420</w:t>
        </w:r>
        <w:r>
          <w:rPr>
            <w:noProof/>
            <w:webHidden/>
          </w:rPr>
          <w:fldChar w:fldCharType="end"/>
        </w:r>
      </w:hyperlink>
    </w:p>
    <w:p w14:paraId="678821CD"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13"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283</w:t>
        </w:r>
        <w:r w:rsidRPr="005C56D9">
          <w:rPr>
            <w:rStyle w:val="af7"/>
            <w:rFonts w:eastAsia="Calibri"/>
            <w:noProof/>
          </w:rPr>
          <w:t xml:space="preserve"> – </w:t>
        </w:r>
        <w:r w:rsidRPr="005C56D9">
          <w:rPr>
            <w:rStyle w:val="af7"/>
            <w:noProof/>
          </w:rPr>
          <w:t>Описание комплексного типа «tMSC_Cstmr7»</w:t>
        </w:r>
        <w:r>
          <w:rPr>
            <w:noProof/>
            <w:webHidden/>
          </w:rPr>
          <w:tab/>
        </w:r>
        <w:r>
          <w:rPr>
            <w:noProof/>
            <w:webHidden/>
          </w:rPr>
          <w:fldChar w:fldCharType="begin"/>
        </w:r>
        <w:r>
          <w:rPr>
            <w:noProof/>
            <w:webHidden/>
          </w:rPr>
          <w:instrText xml:space="preserve"> PAGEREF _Toc219309313 \h </w:instrText>
        </w:r>
        <w:r>
          <w:rPr>
            <w:noProof/>
            <w:webHidden/>
          </w:rPr>
        </w:r>
        <w:r>
          <w:rPr>
            <w:noProof/>
            <w:webHidden/>
          </w:rPr>
          <w:fldChar w:fldCharType="separate"/>
        </w:r>
        <w:r>
          <w:rPr>
            <w:noProof/>
            <w:webHidden/>
          </w:rPr>
          <w:t>421</w:t>
        </w:r>
        <w:r>
          <w:rPr>
            <w:noProof/>
            <w:webHidden/>
          </w:rPr>
          <w:fldChar w:fldCharType="end"/>
        </w:r>
      </w:hyperlink>
    </w:p>
    <w:p w14:paraId="6C85B61F"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14"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284</w:t>
        </w:r>
        <w:r w:rsidRPr="005C56D9">
          <w:rPr>
            <w:rStyle w:val="af7"/>
            <w:rFonts w:eastAsia="Calibri"/>
            <w:noProof/>
          </w:rPr>
          <w:t xml:space="preserve"> – </w:t>
        </w:r>
        <w:r w:rsidRPr="005C56D9">
          <w:rPr>
            <w:rStyle w:val="af7"/>
            <w:noProof/>
          </w:rPr>
          <w:t>Описание комплексного типа «</w:t>
        </w:r>
        <w:r w:rsidRPr="005C56D9">
          <w:rPr>
            <w:rStyle w:val="af7"/>
            <w:rFonts w:eastAsiaTheme="minorHAnsi"/>
            <w:noProof/>
          </w:rPr>
          <w:t>tMSC_Cntrctr2</w:t>
        </w:r>
        <w:r w:rsidRPr="005C56D9">
          <w:rPr>
            <w:rStyle w:val="af7"/>
            <w:noProof/>
          </w:rPr>
          <w:t>»</w:t>
        </w:r>
        <w:r>
          <w:rPr>
            <w:noProof/>
            <w:webHidden/>
          </w:rPr>
          <w:tab/>
        </w:r>
        <w:r>
          <w:rPr>
            <w:noProof/>
            <w:webHidden/>
          </w:rPr>
          <w:fldChar w:fldCharType="begin"/>
        </w:r>
        <w:r>
          <w:rPr>
            <w:noProof/>
            <w:webHidden/>
          </w:rPr>
          <w:instrText xml:space="preserve"> PAGEREF _Toc219309314 \h </w:instrText>
        </w:r>
        <w:r>
          <w:rPr>
            <w:noProof/>
            <w:webHidden/>
          </w:rPr>
        </w:r>
        <w:r>
          <w:rPr>
            <w:noProof/>
            <w:webHidden/>
          </w:rPr>
          <w:fldChar w:fldCharType="separate"/>
        </w:r>
        <w:r>
          <w:rPr>
            <w:noProof/>
            <w:webHidden/>
          </w:rPr>
          <w:t>422</w:t>
        </w:r>
        <w:r>
          <w:rPr>
            <w:noProof/>
            <w:webHidden/>
          </w:rPr>
          <w:fldChar w:fldCharType="end"/>
        </w:r>
      </w:hyperlink>
    </w:p>
    <w:p w14:paraId="60A8BEBE"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15"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285</w:t>
        </w:r>
        <w:r w:rsidRPr="005C56D9">
          <w:rPr>
            <w:rStyle w:val="af7"/>
            <w:rFonts w:eastAsia="Calibri"/>
            <w:noProof/>
          </w:rPr>
          <w:t xml:space="preserve"> – </w:t>
        </w:r>
        <w:r w:rsidRPr="005C56D9">
          <w:rPr>
            <w:rStyle w:val="af7"/>
            <w:noProof/>
          </w:rPr>
          <w:t>Описание комплексного типа «</w:t>
        </w:r>
        <w:r w:rsidRPr="005C56D9">
          <w:rPr>
            <w:rStyle w:val="af7"/>
            <w:rFonts w:eastAsiaTheme="minorHAnsi"/>
            <w:noProof/>
          </w:rPr>
          <w:t>tMSC_Bnk2</w:t>
        </w:r>
        <w:r w:rsidRPr="005C56D9">
          <w:rPr>
            <w:rStyle w:val="af7"/>
            <w:noProof/>
          </w:rPr>
          <w:t>»</w:t>
        </w:r>
        <w:r>
          <w:rPr>
            <w:noProof/>
            <w:webHidden/>
          </w:rPr>
          <w:tab/>
        </w:r>
        <w:r>
          <w:rPr>
            <w:noProof/>
            <w:webHidden/>
          </w:rPr>
          <w:fldChar w:fldCharType="begin"/>
        </w:r>
        <w:r>
          <w:rPr>
            <w:noProof/>
            <w:webHidden/>
          </w:rPr>
          <w:instrText xml:space="preserve"> PAGEREF _Toc219309315 \h </w:instrText>
        </w:r>
        <w:r>
          <w:rPr>
            <w:noProof/>
            <w:webHidden/>
          </w:rPr>
        </w:r>
        <w:r>
          <w:rPr>
            <w:noProof/>
            <w:webHidden/>
          </w:rPr>
          <w:fldChar w:fldCharType="separate"/>
        </w:r>
        <w:r>
          <w:rPr>
            <w:noProof/>
            <w:webHidden/>
          </w:rPr>
          <w:t>422</w:t>
        </w:r>
        <w:r>
          <w:rPr>
            <w:noProof/>
            <w:webHidden/>
          </w:rPr>
          <w:fldChar w:fldCharType="end"/>
        </w:r>
      </w:hyperlink>
    </w:p>
    <w:p w14:paraId="44AA660D"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16"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286</w:t>
        </w:r>
        <w:r w:rsidRPr="005C56D9">
          <w:rPr>
            <w:rStyle w:val="af7"/>
            <w:rFonts w:eastAsia="Calibri"/>
            <w:noProof/>
          </w:rPr>
          <w:t xml:space="preserve"> – </w:t>
        </w:r>
        <w:r w:rsidRPr="005C56D9">
          <w:rPr>
            <w:rStyle w:val="af7"/>
            <w:noProof/>
          </w:rPr>
          <w:t>Описание комплексного типа «tMSC_TOFK»</w:t>
        </w:r>
        <w:r>
          <w:rPr>
            <w:noProof/>
            <w:webHidden/>
          </w:rPr>
          <w:tab/>
        </w:r>
        <w:r>
          <w:rPr>
            <w:noProof/>
            <w:webHidden/>
          </w:rPr>
          <w:fldChar w:fldCharType="begin"/>
        </w:r>
        <w:r>
          <w:rPr>
            <w:noProof/>
            <w:webHidden/>
          </w:rPr>
          <w:instrText xml:space="preserve"> PAGEREF _Toc219309316 \h </w:instrText>
        </w:r>
        <w:r>
          <w:rPr>
            <w:noProof/>
            <w:webHidden/>
          </w:rPr>
        </w:r>
        <w:r>
          <w:rPr>
            <w:noProof/>
            <w:webHidden/>
          </w:rPr>
          <w:fldChar w:fldCharType="separate"/>
        </w:r>
        <w:r>
          <w:rPr>
            <w:noProof/>
            <w:webHidden/>
          </w:rPr>
          <w:t>423</w:t>
        </w:r>
        <w:r>
          <w:rPr>
            <w:noProof/>
            <w:webHidden/>
          </w:rPr>
          <w:fldChar w:fldCharType="end"/>
        </w:r>
      </w:hyperlink>
    </w:p>
    <w:p w14:paraId="5819D132"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17"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 xml:space="preserve">287 </w:t>
        </w:r>
        <w:r w:rsidRPr="005C56D9">
          <w:rPr>
            <w:rStyle w:val="af7"/>
            <w:rFonts w:eastAsia="Calibri"/>
            <w:noProof/>
          </w:rPr>
          <w:t xml:space="preserve">– </w:t>
        </w:r>
        <w:r w:rsidRPr="005C56D9">
          <w:rPr>
            <w:rStyle w:val="af7"/>
            <w:noProof/>
          </w:rPr>
          <w:t>Описание комплексного типа «tSGNNmPs1»</w:t>
        </w:r>
        <w:r>
          <w:rPr>
            <w:noProof/>
            <w:webHidden/>
          </w:rPr>
          <w:tab/>
        </w:r>
        <w:r>
          <w:rPr>
            <w:noProof/>
            <w:webHidden/>
          </w:rPr>
          <w:fldChar w:fldCharType="begin"/>
        </w:r>
        <w:r>
          <w:rPr>
            <w:noProof/>
            <w:webHidden/>
          </w:rPr>
          <w:instrText xml:space="preserve"> PAGEREF _Toc219309317 \h </w:instrText>
        </w:r>
        <w:r>
          <w:rPr>
            <w:noProof/>
            <w:webHidden/>
          </w:rPr>
        </w:r>
        <w:r>
          <w:rPr>
            <w:noProof/>
            <w:webHidden/>
          </w:rPr>
          <w:fldChar w:fldCharType="separate"/>
        </w:r>
        <w:r>
          <w:rPr>
            <w:noProof/>
            <w:webHidden/>
          </w:rPr>
          <w:t>423</w:t>
        </w:r>
        <w:r>
          <w:rPr>
            <w:noProof/>
            <w:webHidden/>
          </w:rPr>
          <w:fldChar w:fldCharType="end"/>
        </w:r>
      </w:hyperlink>
    </w:p>
    <w:p w14:paraId="717B4826"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18"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288</w:t>
        </w:r>
        <w:r w:rsidRPr="005C56D9">
          <w:rPr>
            <w:rStyle w:val="af7"/>
            <w:rFonts w:eastAsia="Calibri"/>
            <w:noProof/>
          </w:rPr>
          <w:t xml:space="preserve"> – </w:t>
        </w:r>
        <w:r w:rsidRPr="005C56D9">
          <w:rPr>
            <w:rStyle w:val="af7"/>
            <w:noProof/>
          </w:rPr>
          <w:t>Описание комплексного типа «tSGNNmPs2»</w:t>
        </w:r>
        <w:r>
          <w:rPr>
            <w:noProof/>
            <w:webHidden/>
          </w:rPr>
          <w:tab/>
        </w:r>
        <w:r>
          <w:rPr>
            <w:noProof/>
            <w:webHidden/>
          </w:rPr>
          <w:fldChar w:fldCharType="begin"/>
        </w:r>
        <w:r>
          <w:rPr>
            <w:noProof/>
            <w:webHidden/>
          </w:rPr>
          <w:instrText xml:space="preserve"> PAGEREF _Toc219309318 \h </w:instrText>
        </w:r>
        <w:r>
          <w:rPr>
            <w:noProof/>
            <w:webHidden/>
          </w:rPr>
        </w:r>
        <w:r>
          <w:rPr>
            <w:noProof/>
            <w:webHidden/>
          </w:rPr>
          <w:fldChar w:fldCharType="separate"/>
        </w:r>
        <w:r>
          <w:rPr>
            <w:noProof/>
            <w:webHidden/>
          </w:rPr>
          <w:t>423</w:t>
        </w:r>
        <w:r>
          <w:rPr>
            <w:noProof/>
            <w:webHidden/>
          </w:rPr>
          <w:fldChar w:fldCharType="end"/>
        </w:r>
      </w:hyperlink>
    </w:p>
    <w:p w14:paraId="218BC39B"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19"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289</w:t>
        </w:r>
        <w:r w:rsidRPr="005C56D9">
          <w:rPr>
            <w:rStyle w:val="af7"/>
            <w:rFonts w:eastAsia="Calibri"/>
            <w:noProof/>
          </w:rPr>
          <w:t xml:space="preserve"> – </w:t>
        </w:r>
        <w:r w:rsidRPr="005C56D9">
          <w:rPr>
            <w:rStyle w:val="af7"/>
            <w:noProof/>
          </w:rPr>
          <w:t>Описание комплексного типа «tMSC_Psprt»</w:t>
        </w:r>
        <w:r>
          <w:rPr>
            <w:noProof/>
            <w:webHidden/>
          </w:rPr>
          <w:tab/>
        </w:r>
        <w:r>
          <w:rPr>
            <w:noProof/>
            <w:webHidden/>
          </w:rPr>
          <w:fldChar w:fldCharType="begin"/>
        </w:r>
        <w:r>
          <w:rPr>
            <w:noProof/>
            <w:webHidden/>
          </w:rPr>
          <w:instrText xml:space="preserve"> PAGEREF _Toc219309319 \h </w:instrText>
        </w:r>
        <w:r>
          <w:rPr>
            <w:noProof/>
            <w:webHidden/>
          </w:rPr>
        </w:r>
        <w:r>
          <w:rPr>
            <w:noProof/>
            <w:webHidden/>
          </w:rPr>
          <w:fldChar w:fldCharType="separate"/>
        </w:r>
        <w:r>
          <w:rPr>
            <w:noProof/>
            <w:webHidden/>
          </w:rPr>
          <w:t>424</w:t>
        </w:r>
        <w:r>
          <w:rPr>
            <w:noProof/>
            <w:webHidden/>
          </w:rPr>
          <w:fldChar w:fldCharType="end"/>
        </w:r>
      </w:hyperlink>
    </w:p>
    <w:p w14:paraId="09DBD712"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20"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290</w:t>
        </w:r>
        <w:r w:rsidRPr="005C56D9">
          <w:rPr>
            <w:rStyle w:val="af7"/>
            <w:rFonts w:eastAsia="Calibri"/>
            <w:noProof/>
          </w:rPr>
          <w:t xml:space="preserve"> – </w:t>
        </w:r>
        <w:r w:rsidRPr="005C56D9">
          <w:rPr>
            <w:rStyle w:val="af7"/>
            <w:noProof/>
          </w:rPr>
          <w:t>Описание комплексного типа «tMSC_MrkOrFK1»</w:t>
        </w:r>
        <w:r>
          <w:rPr>
            <w:noProof/>
            <w:webHidden/>
          </w:rPr>
          <w:tab/>
        </w:r>
        <w:r>
          <w:rPr>
            <w:noProof/>
            <w:webHidden/>
          </w:rPr>
          <w:fldChar w:fldCharType="begin"/>
        </w:r>
        <w:r>
          <w:rPr>
            <w:noProof/>
            <w:webHidden/>
          </w:rPr>
          <w:instrText xml:space="preserve"> PAGEREF _Toc219309320 \h </w:instrText>
        </w:r>
        <w:r>
          <w:rPr>
            <w:noProof/>
            <w:webHidden/>
          </w:rPr>
        </w:r>
        <w:r>
          <w:rPr>
            <w:noProof/>
            <w:webHidden/>
          </w:rPr>
          <w:fldChar w:fldCharType="separate"/>
        </w:r>
        <w:r>
          <w:rPr>
            <w:noProof/>
            <w:webHidden/>
          </w:rPr>
          <w:t>424</w:t>
        </w:r>
        <w:r>
          <w:rPr>
            <w:noProof/>
            <w:webHidden/>
          </w:rPr>
          <w:fldChar w:fldCharType="end"/>
        </w:r>
      </w:hyperlink>
    </w:p>
    <w:p w14:paraId="51D68523"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21"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291</w:t>
        </w:r>
        <w:r w:rsidRPr="005C56D9">
          <w:rPr>
            <w:rStyle w:val="af7"/>
            <w:rFonts w:eastAsia="Calibri"/>
            <w:noProof/>
          </w:rPr>
          <w:t xml:space="preserve"> – </w:t>
        </w:r>
        <w:r w:rsidRPr="005C56D9">
          <w:rPr>
            <w:rStyle w:val="af7"/>
            <w:noProof/>
          </w:rPr>
          <w:t>Описание комплексного типа «tZSCH1»</w:t>
        </w:r>
        <w:r>
          <w:rPr>
            <w:noProof/>
            <w:webHidden/>
          </w:rPr>
          <w:tab/>
        </w:r>
        <w:r>
          <w:rPr>
            <w:noProof/>
            <w:webHidden/>
          </w:rPr>
          <w:fldChar w:fldCharType="begin"/>
        </w:r>
        <w:r>
          <w:rPr>
            <w:noProof/>
            <w:webHidden/>
          </w:rPr>
          <w:instrText xml:space="preserve"> PAGEREF _Toc219309321 \h </w:instrText>
        </w:r>
        <w:r>
          <w:rPr>
            <w:noProof/>
            <w:webHidden/>
          </w:rPr>
        </w:r>
        <w:r>
          <w:rPr>
            <w:noProof/>
            <w:webHidden/>
          </w:rPr>
          <w:fldChar w:fldCharType="separate"/>
        </w:r>
        <w:r>
          <w:rPr>
            <w:noProof/>
            <w:webHidden/>
          </w:rPr>
          <w:t>425</w:t>
        </w:r>
        <w:r>
          <w:rPr>
            <w:noProof/>
            <w:webHidden/>
          </w:rPr>
          <w:fldChar w:fldCharType="end"/>
        </w:r>
      </w:hyperlink>
    </w:p>
    <w:p w14:paraId="2DBE6103"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22"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 xml:space="preserve">292 </w:t>
        </w:r>
        <w:r w:rsidRPr="005C56D9">
          <w:rPr>
            <w:rStyle w:val="af7"/>
            <w:rFonts w:eastAsia="Calibri"/>
            <w:noProof/>
          </w:rPr>
          <w:t xml:space="preserve">– </w:t>
        </w:r>
        <w:r w:rsidRPr="005C56D9">
          <w:rPr>
            <w:rStyle w:val="af7"/>
            <w:noProof/>
          </w:rPr>
          <w:t>Описание комплексного типа «tZSCH1_ITEM»</w:t>
        </w:r>
        <w:r>
          <w:rPr>
            <w:noProof/>
            <w:webHidden/>
          </w:rPr>
          <w:tab/>
        </w:r>
        <w:r>
          <w:rPr>
            <w:noProof/>
            <w:webHidden/>
          </w:rPr>
          <w:fldChar w:fldCharType="begin"/>
        </w:r>
        <w:r>
          <w:rPr>
            <w:noProof/>
            <w:webHidden/>
          </w:rPr>
          <w:instrText xml:space="preserve"> PAGEREF _Toc219309322 \h </w:instrText>
        </w:r>
        <w:r>
          <w:rPr>
            <w:noProof/>
            <w:webHidden/>
          </w:rPr>
        </w:r>
        <w:r>
          <w:rPr>
            <w:noProof/>
            <w:webHidden/>
          </w:rPr>
          <w:fldChar w:fldCharType="separate"/>
        </w:r>
        <w:r>
          <w:rPr>
            <w:noProof/>
            <w:webHidden/>
          </w:rPr>
          <w:t>425</w:t>
        </w:r>
        <w:r>
          <w:rPr>
            <w:noProof/>
            <w:webHidden/>
          </w:rPr>
          <w:fldChar w:fldCharType="end"/>
        </w:r>
      </w:hyperlink>
    </w:p>
    <w:p w14:paraId="7B9C8CFF"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23"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293</w:t>
        </w:r>
        <w:r w:rsidRPr="005C56D9">
          <w:rPr>
            <w:rStyle w:val="af7"/>
            <w:rFonts w:eastAsia="Calibri"/>
            <w:noProof/>
          </w:rPr>
          <w:t xml:space="preserve"> – </w:t>
        </w:r>
        <w:r w:rsidRPr="005C56D9">
          <w:rPr>
            <w:rStyle w:val="af7"/>
            <w:noProof/>
          </w:rPr>
          <w:t>Описание комплексного типа «tZSCH2»</w:t>
        </w:r>
        <w:r>
          <w:rPr>
            <w:noProof/>
            <w:webHidden/>
          </w:rPr>
          <w:tab/>
        </w:r>
        <w:r>
          <w:rPr>
            <w:noProof/>
            <w:webHidden/>
          </w:rPr>
          <w:fldChar w:fldCharType="begin"/>
        </w:r>
        <w:r>
          <w:rPr>
            <w:noProof/>
            <w:webHidden/>
          </w:rPr>
          <w:instrText xml:space="preserve"> PAGEREF _Toc219309323 \h </w:instrText>
        </w:r>
        <w:r>
          <w:rPr>
            <w:noProof/>
            <w:webHidden/>
          </w:rPr>
        </w:r>
        <w:r>
          <w:rPr>
            <w:noProof/>
            <w:webHidden/>
          </w:rPr>
          <w:fldChar w:fldCharType="separate"/>
        </w:r>
        <w:r>
          <w:rPr>
            <w:noProof/>
            <w:webHidden/>
          </w:rPr>
          <w:t>425</w:t>
        </w:r>
        <w:r>
          <w:rPr>
            <w:noProof/>
            <w:webHidden/>
          </w:rPr>
          <w:fldChar w:fldCharType="end"/>
        </w:r>
      </w:hyperlink>
    </w:p>
    <w:p w14:paraId="3FDA1BD5"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24"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294</w:t>
        </w:r>
        <w:r w:rsidRPr="005C56D9">
          <w:rPr>
            <w:rStyle w:val="af7"/>
            <w:rFonts w:eastAsia="Calibri"/>
            <w:noProof/>
          </w:rPr>
          <w:t xml:space="preserve"> –</w:t>
        </w:r>
        <w:r w:rsidRPr="005C56D9">
          <w:rPr>
            <w:rStyle w:val="af7"/>
            <w:noProof/>
          </w:rPr>
          <w:t xml:space="preserve"> Описание комплексного типа «tZSCH2_ITEM»</w:t>
        </w:r>
        <w:r>
          <w:rPr>
            <w:noProof/>
            <w:webHidden/>
          </w:rPr>
          <w:tab/>
        </w:r>
        <w:r>
          <w:rPr>
            <w:noProof/>
            <w:webHidden/>
          </w:rPr>
          <w:fldChar w:fldCharType="begin"/>
        </w:r>
        <w:r>
          <w:rPr>
            <w:noProof/>
            <w:webHidden/>
          </w:rPr>
          <w:instrText xml:space="preserve"> PAGEREF _Toc219309324 \h </w:instrText>
        </w:r>
        <w:r>
          <w:rPr>
            <w:noProof/>
            <w:webHidden/>
          </w:rPr>
        </w:r>
        <w:r>
          <w:rPr>
            <w:noProof/>
            <w:webHidden/>
          </w:rPr>
          <w:fldChar w:fldCharType="separate"/>
        </w:r>
        <w:r>
          <w:rPr>
            <w:noProof/>
            <w:webHidden/>
          </w:rPr>
          <w:t>426</w:t>
        </w:r>
        <w:r>
          <w:rPr>
            <w:noProof/>
            <w:webHidden/>
          </w:rPr>
          <w:fldChar w:fldCharType="end"/>
        </w:r>
      </w:hyperlink>
    </w:p>
    <w:p w14:paraId="2D6A8456"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25"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295</w:t>
        </w:r>
        <w:r w:rsidRPr="005C56D9">
          <w:rPr>
            <w:rStyle w:val="af7"/>
            <w:rFonts w:eastAsia="Calibri"/>
            <w:noProof/>
          </w:rPr>
          <w:t xml:space="preserve"> – </w:t>
        </w:r>
        <w:r w:rsidRPr="005C56D9">
          <w:rPr>
            <w:rStyle w:val="af7"/>
            <w:noProof/>
          </w:rPr>
          <w:t>Описание комплексного типа «</w:t>
        </w:r>
        <w:r w:rsidRPr="005C56D9">
          <w:rPr>
            <w:rStyle w:val="af7"/>
            <w:rFonts w:eastAsiaTheme="minorHAnsi"/>
            <w:noProof/>
          </w:rPr>
          <w:t>tNominalInfo</w:t>
        </w:r>
        <w:r w:rsidRPr="005C56D9">
          <w:rPr>
            <w:rStyle w:val="af7"/>
            <w:noProof/>
          </w:rPr>
          <w:t>»</w:t>
        </w:r>
        <w:r>
          <w:rPr>
            <w:noProof/>
            <w:webHidden/>
          </w:rPr>
          <w:tab/>
        </w:r>
        <w:r>
          <w:rPr>
            <w:noProof/>
            <w:webHidden/>
          </w:rPr>
          <w:fldChar w:fldCharType="begin"/>
        </w:r>
        <w:r>
          <w:rPr>
            <w:noProof/>
            <w:webHidden/>
          </w:rPr>
          <w:instrText xml:space="preserve"> PAGEREF _Toc219309325 \h </w:instrText>
        </w:r>
        <w:r>
          <w:rPr>
            <w:noProof/>
            <w:webHidden/>
          </w:rPr>
        </w:r>
        <w:r>
          <w:rPr>
            <w:noProof/>
            <w:webHidden/>
          </w:rPr>
          <w:fldChar w:fldCharType="separate"/>
        </w:r>
        <w:r>
          <w:rPr>
            <w:noProof/>
            <w:webHidden/>
          </w:rPr>
          <w:t>427</w:t>
        </w:r>
        <w:r>
          <w:rPr>
            <w:noProof/>
            <w:webHidden/>
          </w:rPr>
          <w:fldChar w:fldCharType="end"/>
        </w:r>
      </w:hyperlink>
    </w:p>
    <w:p w14:paraId="6A63956E"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26"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296</w:t>
        </w:r>
        <w:r w:rsidRPr="005C56D9">
          <w:rPr>
            <w:rStyle w:val="af7"/>
            <w:rFonts w:eastAsia="Calibri"/>
            <w:noProof/>
          </w:rPr>
          <w:t xml:space="preserve"> –</w:t>
        </w:r>
        <w:r w:rsidRPr="005C56D9">
          <w:rPr>
            <w:rStyle w:val="af7"/>
            <w:noProof/>
          </w:rPr>
          <w:t xml:space="preserve"> Описание комплексного типа «</w:t>
        </w:r>
        <w:r w:rsidRPr="005C56D9">
          <w:rPr>
            <w:rStyle w:val="af7"/>
            <w:rFonts w:eastAsiaTheme="minorHAnsi"/>
            <w:noProof/>
          </w:rPr>
          <w:t>tNominalInfo</w:t>
        </w:r>
        <w:r w:rsidRPr="005C56D9">
          <w:rPr>
            <w:rStyle w:val="af7"/>
            <w:noProof/>
          </w:rPr>
          <w:t>_ITEM»</w:t>
        </w:r>
        <w:r>
          <w:rPr>
            <w:noProof/>
            <w:webHidden/>
          </w:rPr>
          <w:tab/>
        </w:r>
        <w:r>
          <w:rPr>
            <w:noProof/>
            <w:webHidden/>
          </w:rPr>
          <w:fldChar w:fldCharType="begin"/>
        </w:r>
        <w:r>
          <w:rPr>
            <w:noProof/>
            <w:webHidden/>
          </w:rPr>
          <w:instrText xml:space="preserve"> PAGEREF _Toc219309326 \h </w:instrText>
        </w:r>
        <w:r>
          <w:rPr>
            <w:noProof/>
            <w:webHidden/>
          </w:rPr>
        </w:r>
        <w:r>
          <w:rPr>
            <w:noProof/>
            <w:webHidden/>
          </w:rPr>
          <w:fldChar w:fldCharType="separate"/>
        </w:r>
        <w:r>
          <w:rPr>
            <w:noProof/>
            <w:webHidden/>
          </w:rPr>
          <w:t>428</w:t>
        </w:r>
        <w:r>
          <w:rPr>
            <w:noProof/>
            <w:webHidden/>
          </w:rPr>
          <w:fldChar w:fldCharType="end"/>
        </w:r>
      </w:hyperlink>
    </w:p>
    <w:p w14:paraId="09689407"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27"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297</w:t>
        </w:r>
        <w:r w:rsidRPr="005C56D9">
          <w:rPr>
            <w:rStyle w:val="af7"/>
            <w:rFonts w:eastAsia="Calibri"/>
            <w:noProof/>
          </w:rPr>
          <w:t xml:space="preserve"> –</w:t>
        </w:r>
        <w:r w:rsidRPr="005C56D9">
          <w:rPr>
            <w:rStyle w:val="af7"/>
            <w:noProof/>
          </w:rPr>
          <w:t xml:space="preserve"> Описание комплексного типа «</w:t>
        </w:r>
        <w:r w:rsidRPr="005C56D9">
          <w:rPr>
            <w:rStyle w:val="af7"/>
            <w:rFonts w:eastAsiaTheme="minorHAnsi"/>
            <w:noProof/>
          </w:rPr>
          <w:t>tNominalInfo_CashKindComplex</w:t>
        </w:r>
        <w:r w:rsidRPr="005C56D9">
          <w:rPr>
            <w:rStyle w:val="af7"/>
            <w:noProof/>
          </w:rPr>
          <w:t>»</w:t>
        </w:r>
        <w:r>
          <w:rPr>
            <w:noProof/>
            <w:webHidden/>
          </w:rPr>
          <w:tab/>
        </w:r>
        <w:r>
          <w:rPr>
            <w:noProof/>
            <w:webHidden/>
          </w:rPr>
          <w:fldChar w:fldCharType="begin"/>
        </w:r>
        <w:r>
          <w:rPr>
            <w:noProof/>
            <w:webHidden/>
          </w:rPr>
          <w:instrText xml:space="preserve"> PAGEREF _Toc219309327 \h </w:instrText>
        </w:r>
        <w:r>
          <w:rPr>
            <w:noProof/>
            <w:webHidden/>
          </w:rPr>
        </w:r>
        <w:r>
          <w:rPr>
            <w:noProof/>
            <w:webHidden/>
          </w:rPr>
          <w:fldChar w:fldCharType="separate"/>
        </w:r>
        <w:r>
          <w:rPr>
            <w:noProof/>
            <w:webHidden/>
          </w:rPr>
          <w:t>428</w:t>
        </w:r>
        <w:r>
          <w:rPr>
            <w:noProof/>
            <w:webHidden/>
          </w:rPr>
          <w:fldChar w:fldCharType="end"/>
        </w:r>
      </w:hyperlink>
    </w:p>
    <w:p w14:paraId="0C0375B6"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28"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298</w:t>
        </w:r>
        <w:r w:rsidRPr="005C56D9">
          <w:rPr>
            <w:rStyle w:val="af7"/>
            <w:rFonts w:eastAsia="Calibri"/>
            <w:noProof/>
          </w:rPr>
          <w:t xml:space="preserve"> –</w:t>
        </w:r>
        <w:r w:rsidRPr="005C56D9">
          <w:rPr>
            <w:rStyle w:val="af7"/>
            <w:noProof/>
          </w:rPr>
          <w:t xml:space="preserve"> Описание комплексного типа «tMSC_SrcTypeComplex6»</w:t>
        </w:r>
        <w:r>
          <w:rPr>
            <w:noProof/>
            <w:webHidden/>
          </w:rPr>
          <w:tab/>
        </w:r>
        <w:r>
          <w:rPr>
            <w:noProof/>
            <w:webHidden/>
          </w:rPr>
          <w:fldChar w:fldCharType="begin"/>
        </w:r>
        <w:r>
          <w:rPr>
            <w:noProof/>
            <w:webHidden/>
          </w:rPr>
          <w:instrText xml:space="preserve"> PAGEREF _Toc219309328 \h </w:instrText>
        </w:r>
        <w:r>
          <w:rPr>
            <w:noProof/>
            <w:webHidden/>
          </w:rPr>
        </w:r>
        <w:r>
          <w:rPr>
            <w:noProof/>
            <w:webHidden/>
          </w:rPr>
          <w:fldChar w:fldCharType="separate"/>
        </w:r>
        <w:r>
          <w:rPr>
            <w:noProof/>
            <w:webHidden/>
          </w:rPr>
          <w:t>429</w:t>
        </w:r>
        <w:r>
          <w:rPr>
            <w:noProof/>
            <w:webHidden/>
          </w:rPr>
          <w:fldChar w:fldCharType="end"/>
        </w:r>
      </w:hyperlink>
    </w:p>
    <w:p w14:paraId="7BC77E30"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29"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299</w:t>
        </w:r>
        <w:r w:rsidRPr="005C56D9">
          <w:rPr>
            <w:rStyle w:val="af7"/>
            <w:rFonts w:eastAsia="Calibri"/>
            <w:noProof/>
          </w:rPr>
          <w:t xml:space="preserve"> –</w:t>
        </w:r>
        <w:r w:rsidRPr="005C56D9">
          <w:rPr>
            <w:rStyle w:val="af7"/>
            <w:noProof/>
          </w:rPr>
          <w:t xml:space="preserve"> Описание комплексного типа «tMSC_KBK10_20_KS»</w:t>
        </w:r>
        <w:r>
          <w:rPr>
            <w:noProof/>
            <w:webHidden/>
          </w:rPr>
          <w:tab/>
        </w:r>
        <w:r>
          <w:rPr>
            <w:noProof/>
            <w:webHidden/>
          </w:rPr>
          <w:fldChar w:fldCharType="begin"/>
        </w:r>
        <w:r>
          <w:rPr>
            <w:noProof/>
            <w:webHidden/>
          </w:rPr>
          <w:instrText xml:space="preserve"> PAGEREF _Toc219309329 \h </w:instrText>
        </w:r>
        <w:r>
          <w:rPr>
            <w:noProof/>
            <w:webHidden/>
          </w:rPr>
        </w:r>
        <w:r>
          <w:rPr>
            <w:noProof/>
            <w:webHidden/>
          </w:rPr>
          <w:fldChar w:fldCharType="separate"/>
        </w:r>
        <w:r>
          <w:rPr>
            <w:noProof/>
            <w:webHidden/>
          </w:rPr>
          <w:t>429</w:t>
        </w:r>
        <w:r>
          <w:rPr>
            <w:noProof/>
            <w:webHidden/>
          </w:rPr>
          <w:fldChar w:fldCharType="end"/>
        </w:r>
      </w:hyperlink>
    </w:p>
    <w:p w14:paraId="2F40E4AF"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30"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300</w:t>
        </w:r>
        <w:r w:rsidRPr="005C56D9">
          <w:rPr>
            <w:rStyle w:val="af7"/>
            <w:rFonts w:eastAsia="Calibri"/>
            <w:noProof/>
          </w:rPr>
          <w:t xml:space="preserve"> –</w:t>
        </w:r>
        <w:r w:rsidRPr="005C56D9">
          <w:rPr>
            <w:rStyle w:val="af7"/>
            <w:noProof/>
          </w:rPr>
          <w:t xml:space="preserve"> Описание комплексного типа «tMSC_BKTp10_20Complex»</w:t>
        </w:r>
        <w:r>
          <w:rPr>
            <w:noProof/>
            <w:webHidden/>
          </w:rPr>
          <w:tab/>
        </w:r>
        <w:r>
          <w:rPr>
            <w:noProof/>
            <w:webHidden/>
          </w:rPr>
          <w:fldChar w:fldCharType="begin"/>
        </w:r>
        <w:r>
          <w:rPr>
            <w:noProof/>
            <w:webHidden/>
          </w:rPr>
          <w:instrText xml:space="preserve"> PAGEREF _Toc219309330 \h </w:instrText>
        </w:r>
        <w:r>
          <w:rPr>
            <w:noProof/>
            <w:webHidden/>
          </w:rPr>
        </w:r>
        <w:r>
          <w:rPr>
            <w:noProof/>
            <w:webHidden/>
          </w:rPr>
          <w:fldChar w:fldCharType="separate"/>
        </w:r>
        <w:r>
          <w:rPr>
            <w:noProof/>
            <w:webHidden/>
          </w:rPr>
          <w:t>431</w:t>
        </w:r>
        <w:r>
          <w:rPr>
            <w:noProof/>
            <w:webHidden/>
          </w:rPr>
          <w:fldChar w:fldCharType="end"/>
        </w:r>
      </w:hyperlink>
    </w:p>
    <w:p w14:paraId="6791E11E"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31"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301</w:t>
        </w:r>
        <w:r w:rsidRPr="005C56D9">
          <w:rPr>
            <w:rStyle w:val="af7"/>
            <w:rFonts w:eastAsia="Calibri"/>
            <w:noProof/>
          </w:rPr>
          <w:t xml:space="preserve"> –</w:t>
        </w:r>
        <w:r w:rsidRPr="005C56D9">
          <w:rPr>
            <w:rStyle w:val="af7"/>
            <w:noProof/>
          </w:rPr>
          <w:t xml:space="preserve"> Описание комплексного типа «tMSC_Infrmtn»</w:t>
        </w:r>
        <w:r>
          <w:rPr>
            <w:noProof/>
            <w:webHidden/>
          </w:rPr>
          <w:tab/>
        </w:r>
        <w:r>
          <w:rPr>
            <w:noProof/>
            <w:webHidden/>
          </w:rPr>
          <w:fldChar w:fldCharType="begin"/>
        </w:r>
        <w:r>
          <w:rPr>
            <w:noProof/>
            <w:webHidden/>
          </w:rPr>
          <w:instrText xml:space="preserve"> PAGEREF _Toc219309331 \h </w:instrText>
        </w:r>
        <w:r>
          <w:rPr>
            <w:noProof/>
            <w:webHidden/>
          </w:rPr>
        </w:r>
        <w:r>
          <w:rPr>
            <w:noProof/>
            <w:webHidden/>
          </w:rPr>
          <w:fldChar w:fldCharType="separate"/>
        </w:r>
        <w:r>
          <w:rPr>
            <w:noProof/>
            <w:webHidden/>
          </w:rPr>
          <w:t>432</w:t>
        </w:r>
        <w:r>
          <w:rPr>
            <w:noProof/>
            <w:webHidden/>
          </w:rPr>
          <w:fldChar w:fldCharType="end"/>
        </w:r>
      </w:hyperlink>
    </w:p>
    <w:p w14:paraId="62762A0B"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32"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302</w:t>
        </w:r>
        <w:r w:rsidRPr="005C56D9">
          <w:rPr>
            <w:rStyle w:val="af7"/>
            <w:rFonts w:eastAsia="Calibri"/>
            <w:noProof/>
          </w:rPr>
          <w:t xml:space="preserve"> – </w:t>
        </w:r>
        <w:r w:rsidRPr="005C56D9">
          <w:rPr>
            <w:rStyle w:val="af7"/>
            <w:noProof/>
          </w:rPr>
          <w:t>Описание блока «PeriodicReport»</w:t>
        </w:r>
        <w:r>
          <w:rPr>
            <w:noProof/>
            <w:webHidden/>
          </w:rPr>
          <w:tab/>
        </w:r>
        <w:r>
          <w:rPr>
            <w:noProof/>
            <w:webHidden/>
          </w:rPr>
          <w:fldChar w:fldCharType="begin"/>
        </w:r>
        <w:r>
          <w:rPr>
            <w:noProof/>
            <w:webHidden/>
          </w:rPr>
          <w:instrText xml:space="preserve"> PAGEREF _Toc219309332 \h </w:instrText>
        </w:r>
        <w:r>
          <w:rPr>
            <w:noProof/>
            <w:webHidden/>
          </w:rPr>
        </w:r>
        <w:r>
          <w:rPr>
            <w:noProof/>
            <w:webHidden/>
          </w:rPr>
          <w:fldChar w:fldCharType="separate"/>
        </w:r>
        <w:r>
          <w:rPr>
            <w:noProof/>
            <w:webHidden/>
          </w:rPr>
          <w:t>438</w:t>
        </w:r>
        <w:r>
          <w:rPr>
            <w:noProof/>
            <w:webHidden/>
          </w:rPr>
          <w:fldChar w:fldCharType="end"/>
        </w:r>
      </w:hyperlink>
    </w:p>
    <w:p w14:paraId="6A37C248"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33"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303</w:t>
        </w:r>
        <w:r w:rsidRPr="005C56D9">
          <w:rPr>
            <w:rStyle w:val="af7"/>
            <w:rFonts w:eastAsia="Calibri"/>
            <w:noProof/>
          </w:rPr>
          <w:t xml:space="preserve"> – </w:t>
        </w:r>
        <w:r w:rsidRPr="005C56D9">
          <w:rPr>
            <w:rStyle w:val="af7"/>
            <w:noProof/>
          </w:rPr>
          <w:t>Описание блока «Header»</w:t>
        </w:r>
        <w:r>
          <w:rPr>
            <w:noProof/>
            <w:webHidden/>
          </w:rPr>
          <w:tab/>
        </w:r>
        <w:r>
          <w:rPr>
            <w:noProof/>
            <w:webHidden/>
          </w:rPr>
          <w:fldChar w:fldCharType="begin"/>
        </w:r>
        <w:r>
          <w:rPr>
            <w:noProof/>
            <w:webHidden/>
          </w:rPr>
          <w:instrText xml:space="preserve"> PAGEREF _Toc219309333 \h </w:instrText>
        </w:r>
        <w:r>
          <w:rPr>
            <w:noProof/>
            <w:webHidden/>
          </w:rPr>
        </w:r>
        <w:r>
          <w:rPr>
            <w:noProof/>
            <w:webHidden/>
          </w:rPr>
          <w:fldChar w:fldCharType="separate"/>
        </w:r>
        <w:r>
          <w:rPr>
            <w:noProof/>
            <w:webHidden/>
          </w:rPr>
          <w:t>438</w:t>
        </w:r>
        <w:r>
          <w:rPr>
            <w:noProof/>
            <w:webHidden/>
          </w:rPr>
          <w:fldChar w:fldCharType="end"/>
        </w:r>
      </w:hyperlink>
    </w:p>
    <w:p w14:paraId="78253FA3"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34"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304</w:t>
        </w:r>
        <w:r w:rsidRPr="005C56D9">
          <w:rPr>
            <w:rStyle w:val="af7"/>
            <w:rFonts w:eastAsia="Calibri"/>
            <w:noProof/>
          </w:rPr>
          <w:t xml:space="preserve"> – </w:t>
        </w:r>
        <w:r w:rsidRPr="005C56D9">
          <w:rPr>
            <w:rStyle w:val="af7"/>
            <w:noProof/>
          </w:rPr>
          <w:t>Описание блока «</w:t>
        </w:r>
        <w:r w:rsidRPr="005C56D9">
          <w:rPr>
            <w:rStyle w:val="af7"/>
            <w:noProof/>
            <w:lang w:val="en-US"/>
          </w:rPr>
          <w:t>commonAttrs</w:t>
        </w:r>
        <w:r w:rsidRPr="005C56D9">
          <w:rPr>
            <w:rStyle w:val="af7"/>
            <w:noProof/>
          </w:rPr>
          <w:t>»</w:t>
        </w:r>
        <w:r>
          <w:rPr>
            <w:noProof/>
            <w:webHidden/>
          </w:rPr>
          <w:tab/>
        </w:r>
        <w:r>
          <w:rPr>
            <w:noProof/>
            <w:webHidden/>
          </w:rPr>
          <w:fldChar w:fldCharType="begin"/>
        </w:r>
        <w:r>
          <w:rPr>
            <w:noProof/>
            <w:webHidden/>
          </w:rPr>
          <w:instrText xml:space="preserve"> PAGEREF _Toc219309334 \h </w:instrText>
        </w:r>
        <w:r>
          <w:rPr>
            <w:noProof/>
            <w:webHidden/>
          </w:rPr>
        </w:r>
        <w:r>
          <w:rPr>
            <w:noProof/>
            <w:webHidden/>
          </w:rPr>
          <w:fldChar w:fldCharType="separate"/>
        </w:r>
        <w:r>
          <w:rPr>
            <w:noProof/>
            <w:webHidden/>
          </w:rPr>
          <w:t>441</w:t>
        </w:r>
        <w:r>
          <w:rPr>
            <w:noProof/>
            <w:webHidden/>
          </w:rPr>
          <w:fldChar w:fldCharType="end"/>
        </w:r>
      </w:hyperlink>
    </w:p>
    <w:p w14:paraId="4807373E"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35"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305</w:t>
        </w:r>
        <w:r w:rsidRPr="005C56D9">
          <w:rPr>
            <w:rStyle w:val="af7"/>
            <w:rFonts w:eastAsia="Calibri"/>
            <w:noProof/>
          </w:rPr>
          <w:t xml:space="preserve"> – </w:t>
        </w:r>
        <w:r w:rsidRPr="005C56D9">
          <w:rPr>
            <w:rStyle w:val="af7"/>
            <w:noProof/>
          </w:rPr>
          <w:t>Описание блока «Line»</w:t>
        </w:r>
        <w:r>
          <w:rPr>
            <w:noProof/>
            <w:webHidden/>
          </w:rPr>
          <w:tab/>
        </w:r>
        <w:r>
          <w:rPr>
            <w:noProof/>
            <w:webHidden/>
          </w:rPr>
          <w:fldChar w:fldCharType="begin"/>
        </w:r>
        <w:r>
          <w:rPr>
            <w:noProof/>
            <w:webHidden/>
          </w:rPr>
          <w:instrText xml:space="preserve"> PAGEREF _Toc219309335 \h </w:instrText>
        </w:r>
        <w:r>
          <w:rPr>
            <w:noProof/>
            <w:webHidden/>
          </w:rPr>
        </w:r>
        <w:r>
          <w:rPr>
            <w:noProof/>
            <w:webHidden/>
          </w:rPr>
          <w:fldChar w:fldCharType="separate"/>
        </w:r>
        <w:r>
          <w:rPr>
            <w:noProof/>
            <w:webHidden/>
          </w:rPr>
          <w:t>442</w:t>
        </w:r>
        <w:r>
          <w:rPr>
            <w:noProof/>
            <w:webHidden/>
          </w:rPr>
          <w:fldChar w:fldCharType="end"/>
        </w:r>
      </w:hyperlink>
    </w:p>
    <w:p w14:paraId="57DF1612"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36"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306 – Маршрут документа «</w:t>
        </w:r>
        <w:r w:rsidRPr="005C56D9">
          <w:rPr>
            <w:rStyle w:val="af7"/>
            <w:rFonts w:eastAsia="Calibri"/>
            <w:noProof/>
            <w:lang w:eastAsia="en-US"/>
          </w:rPr>
          <w:t>Акт приемки-передачи кассовых выплат, поступлений и обязательств при реорганизации участников бюджетного процесса» (ф. 0531728)</w:t>
        </w:r>
        <w:r>
          <w:rPr>
            <w:noProof/>
            <w:webHidden/>
          </w:rPr>
          <w:tab/>
        </w:r>
        <w:r>
          <w:rPr>
            <w:noProof/>
            <w:webHidden/>
          </w:rPr>
          <w:fldChar w:fldCharType="begin"/>
        </w:r>
        <w:r>
          <w:rPr>
            <w:noProof/>
            <w:webHidden/>
          </w:rPr>
          <w:instrText xml:space="preserve"> PAGEREF _Toc219309336 \h </w:instrText>
        </w:r>
        <w:r>
          <w:rPr>
            <w:noProof/>
            <w:webHidden/>
          </w:rPr>
        </w:r>
        <w:r>
          <w:rPr>
            <w:noProof/>
            <w:webHidden/>
          </w:rPr>
          <w:fldChar w:fldCharType="separate"/>
        </w:r>
        <w:r>
          <w:rPr>
            <w:noProof/>
            <w:webHidden/>
          </w:rPr>
          <w:t>444</w:t>
        </w:r>
        <w:r>
          <w:rPr>
            <w:noProof/>
            <w:webHidden/>
          </w:rPr>
          <w:fldChar w:fldCharType="end"/>
        </w:r>
      </w:hyperlink>
    </w:p>
    <w:p w14:paraId="245E947F"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37"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307</w:t>
        </w:r>
        <w:r w:rsidRPr="005C56D9">
          <w:rPr>
            <w:rStyle w:val="af7"/>
            <w:rFonts w:eastAsia="Calibri"/>
            <w:noProof/>
          </w:rPr>
          <w:t xml:space="preserve"> – </w:t>
        </w:r>
        <w:r w:rsidRPr="005C56D9">
          <w:rPr>
            <w:rStyle w:val="af7"/>
            <w:bCs/>
            <w:noProof/>
          </w:rPr>
          <w:t>Правила заполнения тегов электронного документа «Акт приемки-передачи кассовых выплат, поступлений и обязательств при реорганизации участников бюджетного процесса» (ф. 0531728)</w:t>
        </w:r>
        <w:r>
          <w:rPr>
            <w:noProof/>
            <w:webHidden/>
          </w:rPr>
          <w:tab/>
        </w:r>
        <w:r>
          <w:rPr>
            <w:noProof/>
            <w:webHidden/>
          </w:rPr>
          <w:fldChar w:fldCharType="begin"/>
        </w:r>
        <w:r>
          <w:rPr>
            <w:noProof/>
            <w:webHidden/>
          </w:rPr>
          <w:instrText xml:space="preserve"> PAGEREF _Toc219309337 \h </w:instrText>
        </w:r>
        <w:r>
          <w:rPr>
            <w:noProof/>
            <w:webHidden/>
          </w:rPr>
        </w:r>
        <w:r>
          <w:rPr>
            <w:noProof/>
            <w:webHidden/>
          </w:rPr>
          <w:fldChar w:fldCharType="separate"/>
        </w:r>
        <w:r>
          <w:rPr>
            <w:noProof/>
            <w:webHidden/>
          </w:rPr>
          <w:t>445</w:t>
        </w:r>
        <w:r>
          <w:rPr>
            <w:noProof/>
            <w:webHidden/>
          </w:rPr>
          <w:fldChar w:fldCharType="end"/>
        </w:r>
      </w:hyperlink>
    </w:p>
    <w:p w14:paraId="5B738B73"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38"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308 – Маршрут документа «</w:t>
        </w:r>
        <w:r w:rsidRPr="005C56D9">
          <w:rPr>
            <w:rStyle w:val="af7"/>
            <w:noProof/>
          </w:rPr>
          <w:t>Пакет платежных поручений</w:t>
        </w:r>
        <w:r w:rsidRPr="005C56D9">
          <w:rPr>
            <w:rStyle w:val="af7"/>
            <w:rFonts w:eastAsia="Calibri"/>
            <w:noProof/>
          </w:rPr>
          <w:t>»</w:t>
        </w:r>
        <w:r>
          <w:rPr>
            <w:noProof/>
            <w:webHidden/>
          </w:rPr>
          <w:tab/>
        </w:r>
        <w:r>
          <w:rPr>
            <w:noProof/>
            <w:webHidden/>
          </w:rPr>
          <w:fldChar w:fldCharType="begin"/>
        </w:r>
        <w:r>
          <w:rPr>
            <w:noProof/>
            <w:webHidden/>
          </w:rPr>
          <w:instrText xml:space="preserve"> PAGEREF _Toc219309338 \h </w:instrText>
        </w:r>
        <w:r>
          <w:rPr>
            <w:noProof/>
            <w:webHidden/>
          </w:rPr>
        </w:r>
        <w:r>
          <w:rPr>
            <w:noProof/>
            <w:webHidden/>
          </w:rPr>
          <w:fldChar w:fldCharType="separate"/>
        </w:r>
        <w:r>
          <w:rPr>
            <w:noProof/>
            <w:webHidden/>
          </w:rPr>
          <w:t>468</w:t>
        </w:r>
        <w:r>
          <w:rPr>
            <w:noProof/>
            <w:webHidden/>
          </w:rPr>
          <w:fldChar w:fldCharType="end"/>
        </w:r>
      </w:hyperlink>
    </w:p>
    <w:p w14:paraId="7AB9A745"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39"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309 – Описание комплексного типа «t</w:t>
        </w:r>
        <w:r w:rsidRPr="005C56D9">
          <w:rPr>
            <w:rStyle w:val="af7"/>
            <w:noProof/>
            <w:lang w:val="en-US"/>
          </w:rPr>
          <w:t>PaymOrder</w:t>
        </w:r>
        <w:r w:rsidRPr="005C56D9">
          <w:rPr>
            <w:rStyle w:val="af7"/>
            <w:noProof/>
          </w:rPr>
          <w:t>_</w:t>
        </w:r>
        <w:r w:rsidRPr="005C56D9">
          <w:rPr>
            <w:rStyle w:val="af7"/>
            <w:noProof/>
            <w:lang w:val="en-US"/>
          </w:rPr>
          <w:t>PPP</w:t>
        </w:r>
        <w:r w:rsidRPr="005C56D9">
          <w:rPr>
            <w:rStyle w:val="af7"/>
            <w:noProof/>
          </w:rPr>
          <w:t>»</w:t>
        </w:r>
        <w:r>
          <w:rPr>
            <w:noProof/>
            <w:webHidden/>
          </w:rPr>
          <w:tab/>
        </w:r>
        <w:r>
          <w:rPr>
            <w:noProof/>
            <w:webHidden/>
          </w:rPr>
          <w:fldChar w:fldCharType="begin"/>
        </w:r>
        <w:r>
          <w:rPr>
            <w:noProof/>
            <w:webHidden/>
          </w:rPr>
          <w:instrText xml:space="preserve"> PAGEREF _Toc219309339 \h </w:instrText>
        </w:r>
        <w:r>
          <w:rPr>
            <w:noProof/>
            <w:webHidden/>
          </w:rPr>
        </w:r>
        <w:r>
          <w:rPr>
            <w:noProof/>
            <w:webHidden/>
          </w:rPr>
          <w:fldChar w:fldCharType="separate"/>
        </w:r>
        <w:r>
          <w:rPr>
            <w:noProof/>
            <w:webHidden/>
          </w:rPr>
          <w:t>468</w:t>
        </w:r>
        <w:r>
          <w:rPr>
            <w:noProof/>
            <w:webHidden/>
          </w:rPr>
          <w:fldChar w:fldCharType="end"/>
        </w:r>
      </w:hyperlink>
    </w:p>
    <w:p w14:paraId="3F5302DE"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40"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310</w:t>
        </w:r>
        <w:r w:rsidRPr="005C56D9">
          <w:rPr>
            <w:rStyle w:val="af7"/>
            <w:rFonts w:eastAsia="Calibri"/>
            <w:noProof/>
          </w:rPr>
          <w:t xml:space="preserve"> –</w:t>
        </w:r>
        <w:r w:rsidRPr="005C56D9">
          <w:rPr>
            <w:rStyle w:val="af7"/>
            <w:noProof/>
          </w:rPr>
          <w:t xml:space="preserve"> Описание комплексного типа «</w:t>
        </w:r>
        <w:r w:rsidRPr="005C56D9">
          <w:rPr>
            <w:rStyle w:val="af7"/>
            <w:noProof/>
            <w:lang w:val="en-US" w:eastAsia="en-US"/>
          </w:rPr>
          <w:t>tBudgetLevel</w:t>
        </w:r>
        <w:r w:rsidRPr="005C56D9">
          <w:rPr>
            <w:rStyle w:val="af7"/>
            <w:noProof/>
          </w:rPr>
          <w:t>»</w:t>
        </w:r>
        <w:r>
          <w:rPr>
            <w:noProof/>
            <w:webHidden/>
          </w:rPr>
          <w:tab/>
        </w:r>
        <w:r>
          <w:rPr>
            <w:noProof/>
            <w:webHidden/>
          </w:rPr>
          <w:fldChar w:fldCharType="begin"/>
        </w:r>
        <w:r>
          <w:rPr>
            <w:noProof/>
            <w:webHidden/>
          </w:rPr>
          <w:instrText xml:space="preserve"> PAGEREF _Toc219309340 \h </w:instrText>
        </w:r>
        <w:r>
          <w:rPr>
            <w:noProof/>
            <w:webHidden/>
          </w:rPr>
        </w:r>
        <w:r>
          <w:rPr>
            <w:noProof/>
            <w:webHidden/>
          </w:rPr>
          <w:fldChar w:fldCharType="separate"/>
        </w:r>
        <w:r>
          <w:rPr>
            <w:noProof/>
            <w:webHidden/>
          </w:rPr>
          <w:t>469</w:t>
        </w:r>
        <w:r>
          <w:rPr>
            <w:noProof/>
            <w:webHidden/>
          </w:rPr>
          <w:fldChar w:fldCharType="end"/>
        </w:r>
      </w:hyperlink>
    </w:p>
    <w:p w14:paraId="6EA1E1C7"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41"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311 – Описание комплексного типа «tSGN»</w:t>
        </w:r>
        <w:r>
          <w:rPr>
            <w:noProof/>
            <w:webHidden/>
          </w:rPr>
          <w:tab/>
        </w:r>
        <w:r>
          <w:rPr>
            <w:noProof/>
            <w:webHidden/>
          </w:rPr>
          <w:fldChar w:fldCharType="begin"/>
        </w:r>
        <w:r>
          <w:rPr>
            <w:noProof/>
            <w:webHidden/>
          </w:rPr>
          <w:instrText xml:space="preserve"> PAGEREF _Toc219309341 \h </w:instrText>
        </w:r>
        <w:r>
          <w:rPr>
            <w:noProof/>
            <w:webHidden/>
          </w:rPr>
        </w:r>
        <w:r>
          <w:rPr>
            <w:noProof/>
            <w:webHidden/>
          </w:rPr>
          <w:fldChar w:fldCharType="separate"/>
        </w:r>
        <w:r>
          <w:rPr>
            <w:noProof/>
            <w:webHidden/>
          </w:rPr>
          <w:t>469</w:t>
        </w:r>
        <w:r>
          <w:rPr>
            <w:noProof/>
            <w:webHidden/>
          </w:rPr>
          <w:fldChar w:fldCharType="end"/>
        </w:r>
      </w:hyperlink>
    </w:p>
    <w:p w14:paraId="535F750B"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42"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lang w:val="en-US"/>
          </w:rPr>
          <w:t>312</w:t>
        </w:r>
        <w:r w:rsidRPr="005C56D9">
          <w:rPr>
            <w:rStyle w:val="af7"/>
            <w:rFonts w:eastAsia="Calibri"/>
            <w:noProof/>
          </w:rPr>
          <w:t xml:space="preserve"> – Описание комплексного типа «</w:t>
        </w:r>
        <w:r w:rsidRPr="005C56D9">
          <w:rPr>
            <w:rStyle w:val="af7"/>
            <w:noProof/>
          </w:rPr>
          <w:t>tData_PPP</w:t>
        </w:r>
        <w:r w:rsidRPr="005C56D9">
          <w:rPr>
            <w:rStyle w:val="af7"/>
            <w:rFonts w:eastAsia="Calibri"/>
            <w:noProof/>
          </w:rPr>
          <w:t>»</w:t>
        </w:r>
        <w:r>
          <w:rPr>
            <w:noProof/>
            <w:webHidden/>
          </w:rPr>
          <w:tab/>
        </w:r>
        <w:r>
          <w:rPr>
            <w:noProof/>
            <w:webHidden/>
          </w:rPr>
          <w:fldChar w:fldCharType="begin"/>
        </w:r>
        <w:r>
          <w:rPr>
            <w:noProof/>
            <w:webHidden/>
          </w:rPr>
          <w:instrText xml:space="preserve"> PAGEREF _Toc219309342 \h </w:instrText>
        </w:r>
        <w:r>
          <w:rPr>
            <w:noProof/>
            <w:webHidden/>
          </w:rPr>
        </w:r>
        <w:r>
          <w:rPr>
            <w:noProof/>
            <w:webHidden/>
          </w:rPr>
          <w:fldChar w:fldCharType="separate"/>
        </w:r>
        <w:r>
          <w:rPr>
            <w:noProof/>
            <w:webHidden/>
          </w:rPr>
          <w:t>470</w:t>
        </w:r>
        <w:r>
          <w:rPr>
            <w:noProof/>
            <w:webHidden/>
          </w:rPr>
          <w:fldChar w:fldCharType="end"/>
        </w:r>
      </w:hyperlink>
    </w:p>
    <w:p w14:paraId="101A1A9D"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43"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lang w:val="en-US"/>
          </w:rPr>
          <w:t>313</w:t>
        </w:r>
        <w:r w:rsidRPr="005C56D9">
          <w:rPr>
            <w:rStyle w:val="af7"/>
            <w:rFonts w:eastAsia="Calibri"/>
            <w:noProof/>
          </w:rPr>
          <w:t xml:space="preserve"> – Описание комплексного типа «</w:t>
        </w:r>
        <w:r w:rsidRPr="005C56D9">
          <w:rPr>
            <w:rStyle w:val="af7"/>
            <w:noProof/>
            <w:lang w:val="en-US"/>
          </w:rPr>
          <w:t>tData</w:t>
        </w:r>
        <w:r w:rsidRPr="005C56D9">
          <w:rPr>
            <w:rStyle w:val="af7"/>
            <w:noProof/>
          </w:rPr>
          <w:t>_</w:t>
        </w:r>
        <w:r w:rsidRPr="005C56D9">
          <w:rPr>
            <w:rStyle w:val="af7"/>
            <w:noProof/>
            <w:lang w:val="en-US"/>
          </w:rPr>
          <w:t>PPP</w:t>
        </w:r>
        <w:r w:rsidRPr="005C56D9">
          <w:rPr>
            <w:rStyle w:val="af7"/>
            <w:noProof/>
          </w:rPr>
          <w:t>_</w:t>
        </w:r>
        <w:r w:rsidRPr="005C56D9">
          <w:rPr>
            <w:rStyle w:val="af7"/>
            <w:noProof/>
            <w:lang w:val="en-US"/>
          </w:rPr>
          <w:t>ITEM</w:t>
        </w:r>
        <w:r w:rsidRPr="005C56D9">
          <w:rPr>
            <w:rStyle w:val="af7"/>
            <w:rFonts w:eastAsia="Calibri"/>
            <w:noProof/>
          </w:rPr>
          <w:t>»</w:t>
        </w:r>
        <w:r>
          <w:rPr>
            <w:noProof/>
            <w:webHidden/>
          </w:rPr>
          <w:tab/>
        </w:r>
        <w:r>
          <w:rPr>
            <w:noProof/>
            <w:webHidden/>
          </w:rPr>
          <w:fldChar w:fldCharType="begin"/>
        </w:r>
        <w:r>
          <w:rPr>
            <w:noProof/>
            <w:webHidden/>
          </w:rPr>
          <w:instrText xml:space="preserve"> PAGEREF _Toc219309343 \h </w:instrText>
        </w:r>
        <w:r>
          <w:rPr>
            <w:noProof/>
            <w:webHidden/>
          </w:rPr>
        </w:r>
        <w:r>
          <w:rPr>
            <w:noProof/>
            <w:webHidden/>
          </w:rPr>
          <w:fldChar w:fldCharType="separate"/>
        </w:r>
        <w:r>
          <w:rPr>
            <w:noProof/>
            <w:webHidden/>
          </w:rPr>
          <w:t>470</w:t>
        </w:r>
        <w:r>
          <w:rPr>
            <w:noProof/>
            <w:webHidden/>
          </w:rPr>
          <w:fldChar w:fldCharType="end"/>
        </w:r>
      </w:hyperlink>
    </w:p>
    <w:p w14:paraId="547BB6ED"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44"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314</w:t>
        </w:r>
        <w:r w:rsidRPr="005C56D9">
          <w:rPr>
            <w:rStyle w:val="af7"/>
            <w:rFonts w:eastAsia="Calibri"/>
            <w:noProof/>
          </w:rPr>
          <w:t xml:space="preserve"> –</w:t>
        </w:r>
        <w:r w:rsidRPr="005C56D9">
          <w:rPr>
            <w:rStyle w:val="af7"/>
            <w:noProof/>
          </w:rPr>
          <w:t xml:space="preserve"> Описание комплексного типа «</w:t>
        </w:r>
        <w:r w:rsidRPr="005C56D9">
          <w:rPr>
            <w:rStyle w:val="af7"/>
            <w:noProof/>
            <w:lang w:val="en-US" w:eastAsia="en-US"/>
          </w:rPr>
          <w:t>tBasicRequisites</w:t>
        </w:r>
        <w:r w:rsidRPr="005C56D9">
          <w:rPr>
            <w:rStyle w:val="af7"/>
            <w:noProof/>
            <w:lang w:eastAsia="en-US"/>
          </w:rPr>
          <w:t>_</w:t>
        </w:r>
        <w:r w:rsidRPr="005C56D9">
          <w:rPr>
            <w:rStyle w:val="af7"/>
            <w:noProof/>
            <w:lang w:val="en-US" w:eastAsia="en-US"/>
          </w:rPr>
          <w:t>PayView</w:t>
        </w:r>
        <w:r w:rsidRPr="005C56D9">
          <w:rPr>
            <w:rStyle w:val="af7"/>
            <w:noProof/>
          </w:rPr>
          <w:t>»</w:t>
        </w:r>
        <w:r>
          <w:rPr>
            <w:noProof/>
            <w:webHidden/>
          </w:rPr>
          <w:tab/>
        </w:r>
        <w:r>
          <w:rPr>
            <w:noProof/>
            <w:webHidden/>
          </w:rPr>
          <w:fldChar w:fldCharType="begin"/>
        </w:r>
        <w:r>
          <w:rPr>
            <w:noProof/>
            <w:webHidden/>
          </w:rPr>
          <w:instrText xml:space="preserve"> PAGEREF _Toc219309344 \h </w:instrText>
        </w:r>
        <w:r>
          <w:rPr>
            <w:noProof/>
            <w:webHidden/>
          </w:rPr>
        </w:r>
        <w:r>
          <w:rPr>
            <w:noProof/>
            <w:webHidden/>
          </w:rPr>
          <w:fldChar w:fldCharType="separate"/>
        </w:r>
        <w:r>
          <w:rPr>
            <w:noProof/>
            <w:webHidden/>
          </w:rPr>
          <w:t>478</w:t>
        </w:r>
        <w:r>
          <w:rPr>
            <w:noProof/>
            <w:webHidden/>
          </w:rPr>
          <w:fldChar w:fldCharType="end"/>
        </w:r>
      </w:hyperlink>
    </w:p>
    <w:p w14:paraId="29257D49"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45"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lang w:val="en-US"/>
          </w:rPr>
          <w:t>315</w:t>
        </w:r>
        <w:r w:rsidRPr="005C56D9">
          <w:rPr>
            <w:rStyle w:val="af7"/>
            <w:rFonts w:eastAsia="Calibri"/>
            <w:noProof/>
          </w:rPr>
          <w:t xml:space="preserve"> – Описание комплексного типа «</w:t>
        </w:r>
        <w:r w:rsidRPr="005C56D9">
          <w:rPr>
            <w:rStyle w:val="af7"/>
            <w:noProof/>
          </w:rPr>
          <w:t>tFAHTeh</w:t>
        </w:r>
        <w:r w:rsidRPr="005C56D9">
          <w:rPr>
            <w:rStyle w:val="af7"/>
            <w:rFonts w:eastAsia="Calibri"/>
            <w:noProof/>
          </w:rPr>
          <w:t>»</w:t>
        </w:r>
        <w:r>
          <w:rPr>
            <w:noProof/>
            <w:webHidden/>
          </w:rPr>
          <w:tab/>
        </w:r>
        <w:r>
          <w:rPr>
            <w:noProof/>
            <w:webHidden/>
          </w:rPr>
          <w:fldChar w:fldCharType="begin"/>
        </w:r>
        <w:r>
          <w:rPr>
            <w:noProof/>
            <w:webHidden/>
          </w:rPr>
          <w:instrText xml:space="preserve"> PAGEREF _Toc219309345 \h </w:instrText>
        </w:r>
        <w:r>
          <w:rPr>
            <w:noProof/>
            <w:webHidden/>
          </w:rPr>
        </w:r>
        <w:r>
          <w:rPr>
            <w:noProof/>
            <w:webHidden/>
          </w:rPr>
          <w:fldChar w:fldCharType="separate"/>
        </w:r>
        <w:r>
          <w:rPr>
            <w:noProof/>
            <w:webHidden/>
          </w:rPr>
          <w:t>479</w:t>
        </w:r>
        <w:r>
          <w:rPr>
            <w:noProof/>
            <w:webHidden/>
          </w:rPr>
          <w:fldChar w:fldCharType="end"/>
        </w:r>
      </w:hyperlink>
    </w:p>
    <w:p w14:paraId="1E443589"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46"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lang w:val="en-US"/>
          </w:rPr>
          <w:t>316</w:t>
        </w:r>
        <w:r w:rsidRPr="005C56D9">
          <w:rPr>
            <w:rStyle w:val="af7"/>
            <w:rFonts w:eastAsia="Calibri"/>
            <w:noProof/>
          </w:rPr>
          <w:t xml:space="preserve"> – Описание комплексного типа «</w:t>
        </w:r>
        <w:r w:rsidRPr="005C56D9">
          <w:rPr>
            <w:rStyle w:val="af7"/>
            <w:noProof/>
            <w:lang w:val="en-US"/>
          </w:rPr>
          <w:t>tFAHTeh</w:t>
        </w:r>
        <w:r w:rsidRPr="005C56D9">
          <w:rPr>
            <w:rStyle w:val="af7"/>
            <w:noProof/>
          </w:rPr>
          <w:t>_</w:t>
        </w:r>
        <w:r w:rsidRPr="005C56D9">
          <w:rPr>
            <w:rStyle w:val="af7"/>
            <w:noProof/>
            <w:lang w:val="en-US"/>
          </w:rPr>
          <w:t>ITEM</w:t>
        </w:r>
        <w:r w:rsidRPr="005C56D9">
          <w:rPr>
            <w:rStyle w:val="af7"/>
            <w:rFonts w:eastAsia="Calibri"/>
            <w:noProof/>
          </w:rPr>
          <w:t>»</w:t>
        </w:r>
        <w:r>
          <w:rPr>
            <w:noProof/>
            <w:webHidden/>
          </w:rPr>
          <w:tab/>
        </w:r>
        <w:r>
          <w:rPr>
            <w:noProof/>
            <w:webHidden/>
          </w:rPr>
          <w:fldChar w:fldCharType="begin"/>
        </w:r>
        <w:r>
          <w:rPr>
            <w:noProof/>
            <w:webHidden/>
          </w:rPr>
          <w:instrText xml:space="preserve"> PAGEREF _Toc219309346 \h </w:instrText>
        </w:r>
        <w:r>
          <w:rPr>
            <w:noProof/>
            <w:webHidden/>
          </w:rPr>
        </w:r>
        <w:r>
          <w:rPr>
            <w:noProof/>
            <w:webHidden/>
          </w:rPr>
          <w:fldChar w:fldCharType="separate"/>
        </w:r>
        <w:r>
          <w:rPr>
            <w:noProof/>
            <w:webHidden/>
          </w:rPr>
          <w:t>479</w:t>
        </w:r>
        <w:r>
          <w:rPr>
            <w:noProof/>
            <w:webHidden/>
          </w:rPr>
          <w:fldChar w:fldCharType="end"/>
        </w:r>
      </w:hyperlink>
    </w:p>
    <w:p w14:paraId="39C67E58"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47"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317</w:t>
        </w:r>
        <w:r w:rsidRPr="005C56D9">
          <w:rPr>
            <w:rStyle w:val="af7"/>
            <w:rFonts w:eastAsia="Calibri"/>
            <w:noProof/>
          </w:rPr>
          <w:t xml:space="preserve"> – </w:t>
        </w:r>
        <w:r w:rsidRPr="005C56D9">
          <w:rPr>
            <w:rStyle w:val="af7"/>
            <w:noProof/>
          </w:rPr>
          <w:t>Маршрут документа «Сведения об осуществлении операций со средствами во временном распоряжении»</w:t>
        </w:r>
        <w:r>
          <w:rPr>
            <w:noProof/>
            <w:webHidden/>
          </w:rPr>
          <w:tab/>
        </w:r>
        <w:r>
          <w:rPr>
            <w:noProof/>
            <w:webHidden/>
          </w:rPr>
          <w:fldChar w:fldCharType="begin"/>
        </w:r>
        <w:r>
          <w:rPr>
            <w:noProof/>
            <w:webHidden/>
          </w:rPr>
          <w:instrText xml:space="preserve"> PAGEREF _Toc219309347 \h </w:instrText>
        </w:r>
        <w:r>
          <w:rPr>
            <w:noProof/>
            <w:webHidden/>
          </w:rPr>
        </w:r>
        <w:r>
          <w:rPr>
            <w:noProof/>
            <w:webHidden/>
          </w:rPr>
          <w:fldChar w:fldCharType="separate"/>
        </w:r>
        <w:r>
          <w:rPr>
            <w:noProof/>
            <w:webHidden/>
          </w:rPr>
          <w:t>482</w:t>
        </w:r>
        <w:r>
          <w:rPr>
            <w:noProof/>
            <w:webHidden/>
          </w:rPr>
          <w:fldChar w:fldCharType="end"/>
        </w:r>
      </w:hyperlink>
    </w:p>
    <w:p w14:paraId="0EE9CAF1"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48"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318</w:t>
        </w:r>
        <w:r w:rsidRPr="005C56D9">
          <w:rPr>
            <w:rStyle w:val="af7"/>
            <w:rFonts w:eastAsia="Calibri"/>
            <w:noProof/>
          </w:rPr>
          <w:t xml:space="preserve"> – </w:t>
        </w:r>
        <w:r w:rsidRPr="005C56D9">
          <w:rPr>
            <w:rStyle w:val="af7"/>
            <w:noProof/>
          </w:rPr>
          <w:t>Описание комплексного типа «</w:t>
        </w:r>
        <w:r w:rsidRPr="005C56D9">
          <w:rPr>
            <w:rStyle w:val="af7"/>
            <w:noProof/>
            <w:lang w:val="en-US"/>
          </w:rPr>
          <w:t>tMSC</w:t>
        </w:r>
        <w:r w:rsidRPr="005C56D9">
          <w:rPr>
            <w:rStyle w:val="af7"/>
            <w:noProof/>
          </w:rPr>
          <w:t>_</w:t>
        </w:r>
        <w:r w:rsidRPr="005C56D9">
          <w:rPr>
            <w:rStyle w:val="af7"/>
            <w:noProof/>
            <w:lang w:val="en-US"/>
          </w:rPr>
          <w:t>RecAndPaySVR</w:t>
        </w:r>
        <w:r w:rsidRPr="005C56D9">
          <w:rPr>
            <w:rStyle w:val="af7"/>
            <w:noProof/>
          </w:rPr>
          <w:t>»</w:t>
        </w:r>
        <w:r>
          <w:rPr>
            <w:noProof/>
            <w:webHidden/>
          </w:rPr>
          <w:tab/>
        </w:r>
        <w:r>
          <w:rPr>
            <w:noProof/>
            <w:webHidden/>
          </w:rPr>
          <w:fldChar w:fldCharType="begin"/>
        </w:r>
        <w:r>
          <w:rPr>
            <w:noProof/>
            <w:webHidden/>
          </w:rPr>
          <w:instrText xml:space="preserve"> PAGEREF _Toc219309348 \h </w:instrText>
        </w:r>
        <w:r>
          <w:rPr>
            <w:noProof/>
            <w:webHidden/>
          </w:rPr>
        </w:r>
        <w:r>
          <w:rPr>
            <w:noProof/>
            <w:webHidden/>
          </w:rPr>
          <w:fldChar w:fldCharType="separate"/>
        </w:r>
        <w:r>
          <w:rPr>
            <w:noProof/>
            <w:webHidden/>
          </w:rPr>
          <w:t>482</w:t>
        </w:r>
        <w:r>
          <w:rPr>
            <w:noProof/>
            <w:webHidden/>
          </w:rPr>
          <w:fldChar w:fldCharType="end"/>
        </w:r>
      </w:hyperlink>
    </w:p>
    <w:p w14:paraId="3A1B3247"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49"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319</w:t>
        </w:r>
        <w:r w:rsidRPr="005C56D9">
          <w:rPr>
            <w:rStyle w:val="af7"/>
            <w:rFonts w:eastAsia="Calibri"/>
            <w:noProof/>
          </w:rPr>
          <w:t xml:space="preserve"> – </w:t>
        </w:r>
        <w:r w:rsidRPr="005C56D9">
          <w:rPr>
            <w:rStyle w:val="af7"/>
            <w:noProof/>
          </w:rPr>
          <w:t>Описание комплексного типа «tMSC_PBS_UBP1»</w:t>
        </w:r>
        <w:r>
          <w:rPr>
            <w:noProof/>
            <w:webHidden/>
          </w:rPr>
          <w:tab/>
        </w:r>
        <w:r>
          <w:rPr>
            <w:noProof/>
            <w:webHidden/>
          </w:rPr>
          <w:fldChar w:fldCharType="begin"/>
        </w:r>
        <w:r>
          <w:rPr>
            <w:noProof/>
            <w:webHidden/>
          </w:rPr>
          <w:instrText xml:space="preserve"> PAGEREF _Toc219309349 \h </w:instrText>
        </w:r>
        <w:r>
          <w:rPr>
            <w:noProof/>
            <w:webHidden/>
          </w:rPr>
        </w:r>
        <w:r>
          <w:rPr>
            <w:noProof/>
            <w:webHidden/>
          </w:rPr>
          <w:fldChar w:fldCharType="separate"/>
        </w:r>
        <w:r>
          <w:rPr>
            <w:noProof/>
            <w:webHidden/>
          </w:rPr>
          <w:t>484</w:t>
        </w:r>
        <w:r>
          <w:rPr>
            <w:noProof/>
            <w:webHidden/>
          </w:rPr>
          <w:fldChar w:fldCharType="end"/>
        </w:r>
      </w:hyperlink>
    </w:p>
    <w:p w14:paraId="4064A682"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50"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320</w:t>
        </w:r>
        <w:r w:rsidRPr="005C56D9">
          <w:rPr>
            <w:rStyle w:val="af7"/>
            <w:rFonts w:eastAsia="Calibri"/>
            <w:noProof/>
          </w:rPr>
          <w:t xml:space="preserve"> – </w:t>
        </w:r>
        <w:r w:rsidRPr="005C56D9">
          <w:rPr>
            <w:rStyle w:val="af7"/>
            <w:noProof/>
          </w:rPr>
          <w:t>Описание комплексного типа «tMSC_TOFK»</w:t>
        </w:r>
        <w:r>
          <w:rPr>
            <w:noProof/>
            <w:webHidden/>
          </w:rPr>
          <w:tab/>
        </w:r>
        <w:r>
          <w:rPr>
            <w:noProof/>
            <w:webHidden/>
          </w:rPr>
          <w:fldChar w:fldCharType="begin"/>
        </w:r>
        <w:r>
          <w:rPr>
            <w:noProof/>
            <w:webHidden/>
          </w:rPr>
          <w:instrText xml:space="preserve"> PAGEREF _Toc219309350 \h </w:instrText>
        </w:r>
        <w:r>
          <w:rPr>
            <w:noProof/>
            <w:webHidden/>
          </w:rPr>
        </w:r>
        <w:r>
          <w:rPr>
            <w:noProof/>
            <w:webHidden/>
          </w:rPr>
          <w:fldChar w:fldCharType="separate"/>
        </w:r>
        <w:r>
          <w:rPr>
            <w:noProof/>
            <w:webHidden/>
          </w:rPr>
          <w:t>484</w:t>
        </w:r>
        <w:r>
          <w:rPr>
            <w:noProof/>
            <w:webHidden/>
          </w:rPr>
          <w:fldChar w:fldCharType="end"/>
        </w:r>
      </w:hyperlink>
    </w:p>
    <w:p w14:paraId="7054A576"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51"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321</w:t>
        </w:r>
        <w:r w:rsidRPr="005C56D9">
          <w:rPr>
            <w:rStyle w:val="af7"/>
            <w:rFonts w:eastAsia="Calibri"/>
            <w:noProof/>
          </w:rPr>
          <w:t xml:space="preserve"> – </w:t>
        </w:r>
        <w:r w:rsidRPr="005C56D9">
          <w:rPr>
            <w:rStyle w:val="af7"/>
            <w:noProof/>
          </w:rPr>
          <w:t>Описание комплексного типа «tSFDU_SVR»</w:t>
        </w:r>
        <w:r>
          <w:rPr>
            <w:noProof/>
            <w:webHidden/>
          </w:rPr>
          <w:tab/>
        </w:r>
        <w:r>
          <w:rPr>
            <w:noProof/>
            <w:webHidden/>
          </w:rPr>
          <w:fldChar w:fldCharType="begin"/>
        </w:r>
        <w:r>
          <w:rPr>
            <w:noProof/>
            <w:webHidden/>
          </w:rPr>
          <w:instrText xml:space="preserve"> PAGEREF _Toc219309351 \h </w:instrText>
        </w:r>
        <w:r>
          <w:rPr>
            <w:noProof/>
            <w:webHidden/>
          </w:rPr>
        </w:r>
        <w:r>
          <w:rPr>
            <w:noProof/>
            <w:webHidden/>
          </w:rPr>
          <w:fldChar w:fldCharType="separate"/>
        </w:r>
        <w:r>
          <w:rPr>
            <w:noProof/>
            <w:webHidden/>
          </w:rPr>
          <w:t>485</w:t>
        </w:r>
        <w:r>
          <w:rPr>
            <w:noProof/>
            <w:webHidden/>
          </w:rPr>
          <w:fldChar w:fldCharType="end"/>
        </w:r>
      </w:hyperlink>
    </w:p>
    <w:p w14:paraId="7A5C90B5"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52"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322</w:t>
        </w:r>
        <w:r w:rsidRPr="005C56D9">
          <w:rPr>
            <w:rStyle w:val="af7"/>
            <w:rFonts w:eastAsia="Calibri"/>
            <w:noProof/>
          </w:rPr>
          <w:t xml:space="preserve"> – </w:t>
        </w:r>
        <w:r w:rsidRPr="005C56D9">
          <w:rPr>
            <w:rStyle w:val="af7"/>
            <w:noProof/>
          </w:rPr>
          <w:t>Описание комплексного типа «tSFDU_SVR_ITEM»</w:t>
        </w:r>
        <w:r>
          <w:rPr>
            <w:noProof/>
            <w:webHidden/>
          </w:rPr>
          <w:tab/>
        </w:r>
        <w:r>
          <w:rPr>
            <w:noProof/>
            <w:webHidden/>
          </w:rPr>
          <w:fldChar w:fldCharType="begin"/>
        </w:r>
        <w:r>
          <w:rPr>
            <w:noProof/>
            <w:webHidden/>
          </w:rPr>
          <w:instrText xml:space="preserve"> PAGEREF _Toc219309352 \h </w:instrText>
        </w:r>
        <w:r>
          <w:rPr>
            <w:noProof/>
            <w:webHidden/>
          </w:rPr>
        </w:r>
        <w:r>
          <w:rPr>
            <w:noProof/>
            <w:webHidden/>
          </w:rPr>
          <w:fldChar w:fldCharType="separate"/>
        </w:r>
        <w:r>
          <w:rPr>
            <w:noProof/>
            <w:webHidden/>
          </w:rPr>
          <w:t>485</w:t>
        </w:r>
        <w:r>
          <w:rPr>
            <w:noProof/>
            <w:webHidden/>
          </w:rPr>
          <w:fldChar w:fldCharType="end"/>
        </w:r>
      </w:hyperlink>
    </w:p>
    <w:p w14:paraId="4C285EDF"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53"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323</w:t>
        </w:r>
        <w:r w:rsidRPr="005C56D9">
          <w:rPr>
            <w:rStyle w:val="af7"/>
            <w:rFonts w:eastAsia="Calibri"/>
            <w:noProof/>
          </w:rPr>
          <w:t xml:space="preserve"> – </w:t>
        </w:r>
        <w:r w:rsidRPr="005C56D9">
          <w:rPr>
            <w:rStyle w:val="af7"/>
            <w:noProof/>
          </w:rPr>
          <w:t>Описание комплексного типа «tSGNNmPsDt3»</w:t>
        </w:r>
        <w:r>
          <w:rPr>
            <w:noProof/>
            <w:webHidden/>
          </w:rPr>
          <w:tab/>
        </w:r>
        <w:r>
          <w:rPr>
            <w:noProof/>
            <w:webHidden/>
          </w:rPr>
          <w:fldChar w:fldCharType="begin"/>
        </w:r>
        <w:r>
          <w:rPr>
            <w:noProof/>
            <w:webHidden/>
          </w:rPr>
          <w:instrText xml:space="preserve"> PAGEREF _Toc219309353 \h </w:instrText>
        </w:r>
        <w:r>
          <w:rPr>
            <w:noProof/>
            <w:webHidden/>
          </w:rPr>
        </w:r>
        <w:r>
          <w:rPr>
            <w:noProof/>
            <w:webHidden/>
          </w:rPr>
          <w:fldChar w:fldCharType="separate"/>
        </w:r>
        <w:r>
          <w:rPr>
            <w:noProof/>
            <w:webHidden/>
          </w:rPr>
          <w:t>485</w:t>
        </w:r>
        <w:r>
          <w:rPr>
            <w:noProof/>
            <w:webHidden/>
          </w:rPr>
          <w:fldChar w:fldCharType="end"/>
        </w:r>
      </w:hyperlink>
    </w:p>
    <w:p w14:paraId="43CC793D"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54"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324</w:t>
        </w:r>
        <w:r w:rsidRPr="005C56D9">
          <w:rPr>
            <w:rStyle w:val="af7"/>
            <w:rFonts w:eastAsia="Calibri"/>
            <w:noProof/>
          </w:rPr>
          <w:t xml:space="preserve"> – </w:t>
        </w:r>
        <w:r w:rsidRPr="005C56D9">
          <w:rPr>
            <w:rStyle w:val="af7"/>
            <w:noProof/>
          </w:rPr>
          <w:t>Описание комплексного типа «tTF»</w:t>
        </w:r>
        <w:r>
          <w:rPr>
            <w:noProof/>
            <w:webHidden/>
          </w:rPr>
          <w:tab/>
        </w:r>
        <w:r>
          <w:rPr>
            <w:noProof/>
            <w:webHidden/>
          </w:rPr>
          <w:fldChar w:fldCharType="begin"/>
        </w:r>
        <w:r>
          <w:rPr>
            <w:noProof/>
            <w:webHidden/>
          </w:rPr>
          <w:instrText xml:space="preserve"> PAGEREF _Toc219309354 \h </w:instrText>
        </w:r>
        <w:r>
          <w:rPr>
            <w:noProof/>
            <w:webHidden/>
          </w:rPr>
        </w:r>
        <w:r>
          <w:rPr>
            <w:noProof/>
            <w:webHidden/>
          </w:rPr>
          <w:fldChar w:fldCharType="separate"/>
        </w:r>
        <w:r>
          <w:rPr>
            <w:noProof/>
            <w:webHidden/>
          </w:rPr>
          <w:t>486</w:t>
        </w:r>
        <w:r>
          <w:rPr>
            <w:noProof/>
            <w:webHidden/>
          </w:rPr>
          <w:fldChar w:fldCharType="end"/>
        </w:r>
      </w:hyperlink>
    </w:p>
    <w:p w14:paraId="1653E60A"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55" w:history="1">
        <w:r w:rsidRPr="005C56D9">
          <w:rPr>
            <w:rStyle w:val="af7"/>
            <w:noProof/>
            <w:highlight w:val="green"/>
          </w:rPr>
          <w:t>Таблица </w:t>
        </w:r>
        <w:r>
          <w:rPr>
            <w:rFonts w:asciiTheme="minorHAnsi" w:eastAsiaTheme="minorEastAsia" w:hAnsiTheme="minorHAnsi" w:cstheme="minorBidi"/>
            <w:noProof/>
            <w:sz w:val="22"/>
            <w:szCs w:val="22"/>
          </w:rPr>
          <w:tab/>
        </w:r>
        <w:r w:rsidRPr="005C56D9">
          <w:rPr>
            <w:rStyle w:val="af7"/>
            <w:noProof/>
            <w:highlight w:val="green"/>
          </w:rPr>
          <w:t xml:space="preserve">325 – Маршрут документа «Ответ на запрос </w:t>
        </w:r>
        <w:r w:rsidRPr="005C56D9">
          <w:rPr>
            <w:rStyle w:val="af7"/>
            <w:rFonts w:eastAsia="Calibri"/>
            <w:noProof/>
            <w:highlight w:val="green"/>
          </w:rPr>
          <w:t xml:space="preserve">(уведомление) </w:t>
        </w:r>
        <w:r w:rsidRPr="005C56D9">
          <w:rPr>
            <w:rStyle w:val="af7"/>
            <w:noProof/>
            <w:highlight w:val="green"/>
          </w:rPr>
          <w:t>по ЭПС участника»</w:t>
        </w:r>
        <w:r>
          <w:rPr>
            <w:noProof/>
            <w:webHidden/>
          </w:rPr>
          <w:tab/>
        </w:r>
        <w:r>
          <w:rPr>
            <w:noProof/>
            <w:webHidden/>
          </w:rPr>
          <w:fldChar w:fldCharType="begin"/>
        </w:r>
        <w:r>
          <w:rPr>
            <w:noProof/>
            <w:webHidden/>
          </w:rPr>
          <w:instrText xml:space="preserve"> PAGEREF _Toc219309355 \h </w:instrText>
        </w:r>
        <w:r>
          <w:rPr>
            <w:noProof/>
            <w:webHidden/>
          </w:rPr>
        </w:r>
        <w:r>
          <w:rPr>
            <w:noProof/>
            <w:webHidden/>
          </w:rPr>
          <w:fldChar w:fldCharType="separate"/>
        </w:r>
        <w:r>
          <w:rPr>
            <w:noProof/>
            <w:webHidden/>
          </w:rPr>
          <w:t>489</w:t>
        </w:r>
        <w:r>
          <w:rPr>
            <w:noProof/>
            <w:webHidden/>
          </w:rPr>
          <w:fldChar w:fldCharType="end"/>
        </w:r>
      </w:hyperlink>
    </w:p>
    <w:p w14:paraId="2BACCF0C"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56" w:history="1">
        <w:r w:rsidRPr="005C56D9">
          <w:rPr>
            <w:rStyle w:val="af7"/>
            <w:noProof/>
            <w:highlight w:val="green"/>
          </w:rPr>
          <w:t>Таблица </w:t>
        </w:r>
        <w:r>
          <w:rPr>
            <w:rFonts w:asciiTheme="minorHAnsi" w:eastAsiaTheme="minorEastAsia" w:hAnsiTheme="minorHAnsi" w:cstheme="minorBidi"/>
            <w:noProof/>
            <w:sz w:val="22"/>
            <w:szCs w:val="22"/>
          </w:rPr>
          <w:tab/>
        </w:r>
        <w:r w:rsidRPr="005C56D9">
          <w:rPr>
            <w:rStyle w:val="af7"/>
            <w:noProof/>
            <w:highlight w:val="green"/>
          </w:rPr>
          <w:t>326 – Описание комплексного типа «</w:t>
        </w:r>
        <w:r w:rsidRPr="005C56D9">
          <w:rPr>
            <w:rStyle w:val="af7"/>
            <w:noProof/>
            <w:highlight w:val="green"/>
            <w:lang w:val="en-US"/>
          </w:rPr>
          <w:t>t</w:t>
        </w:r>
        <w:r w:rsidRPr="005C56D9">
          <w:rPr>
            <w:rStyle w:val="af7"/>
            <w:noProof/>
            <w:highlight w:val="green"/>
          </w:rPr>
          <w:t>MSC_RespInformEPS»</w:t>
        </w:r>
        <w:r>
          <w:rPr>
            <w:noProof/>
            <w:webHidden/>
          </w:rPr>
          <w:tab/>
        </w:r>
        <w:r>
          <w:rPr>
            <w:noProof/>
            <w:webHidden/>
          </w:rPr>
          <w:fldChar w:fldCharType="begin"/>
        </w:r>
        <w:r>
          <w:rPr>
            <w:noProof/>
            <w:webHidden/>
          </w:rPr>
          <w:instrText xml:space="preserve"> PAGEREF _Toc219309356 \h </w:instrText>
        </w:r>
        <w:r>
          <w:rPr>
            <w:noProof/>
            <w:webHidden/>
          </w:rPr>
        </w:r>
        <w:r>
          <w:rPr>
            <w:noProof/>
            <w:webHidden/>
          </w:rPr>
          <w:fldChar w:fldCharType="separate"/>
        </w:r>
        <w:r>
          <w:rPr>
            <w:noProof/>
            <w:webHidden/>
          </w:rPr>
          <w:t>489</w:t>
        </w:r>
        <w:r>
          <w:rPr>
            <w:noProof/>
            <w:webHidden/>
          </w:rPr>
          <w:fldChar w:fldCharType="end"/>
        </w:r>
      </w:hyperlink>
    </w:p>
    <w:p w14:paraId="1F8FC8CB"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57"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327 – Описание комплексного типа «tEDRowRequest»</w:t>
        </w:r>
        <w:r>
          <w:rPr>
            <w:noProof/>
            <w:webHidden/>
          </w:rPr>
          <w:tab/>
        </w:r>
        <w:r>
          <w:rPr>
            <w:noProof/>
            <w:webHidden/>
          </w:rPr>
          <w:fldChar w:fldCharType="begin"/>
        </w:r>
        <w:r>
          <w:rPr>
            <w:noProof/>
            <w:webHidden/>
          </w:rPr>
          <w:instrText xml:space="preserve"> PAGEREF _Toc219309357 \h </w:instrText>
        </w:r>
        <w:r>
          <w:rPr>
            <w:noProof/>
            <w:webHidden/>
          </w:rPr>
        </w:r>
        <w:r>
          <w:rPr>
            <w:noProof/>
            <w:webHidden/>
          </w:rPr>
          <w:fldChar w:fldCharType="separate"/>
        </w:r>
        <w:r>
          <w:rPr>
            <w:noProof/>
            <w:webHidden/>
          </w:rPr>
          <w:t>493</w:t>
        </w:r>
        <w:r>
          <w:rPr>
            <w:noProof/>
            <w:webHidden/>
          </w:rPr>
          <w:fldChar w:fldCharType="end"/>
        </w:r>
      </w:hyperlink>
    </w:p>
    <w:p w14:paraId="6A16C785"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58"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328 – Описание комплексного типа «tEDRowRequest_ITEM»</w:t>
        </w:r>
        <w:r>
          <w:rPr>
            <w:noProof/>
            <w:webHidden/>
          </w:rPr>
          <w:tab/>
        </w:r>
        <w:r>
          <w:rPr>
            <w:noProof/>
            <w:webHidden/>
          </w:rPr>
          <w:fldChar w:fldCharType="begin"/>
        </w:r>
        <w:r>
          <w:rPr>
            <w:noProof/>
            <w:webHidden/>
          </w:rPr>
          <w:instrText xml:space="preserve"> PAGEREF _Toc219309358 \h </w:instrText>
        </w:r>
        <w:r>
          <w:rPr>
            <w:noProof/>
            <w:webHidden/>
          </w:rPr>
        </w:r>
        <w:r>
          <w:rPr>
            <w:noProof/>
            <w:webHidden/>
          </w:rPr>
          <w:fldChar w:fldCharType="separate"/>
        </w:r>
        <w:r>
          <w:rPr>
            <w:noProof/>
            <w:webHidden/>
          </w:rPr>
          <w:t>493</w:t>
        </w:r>
        <w:r>
          <w:rPr>
            <w:noProof/>
            <w:webHidden/>
          </w:rPr>
          <w:fldChar w:fldCharType="end"/>
        </w:r>
      </w:hyperlink>
    </w:p>
    <w:p w14:paraId="06F126DE"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59"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329 – Описание комплексного типа «tSGNNmPsPhDt»</w:t>
        </w:r>
        <w:r>
          <w:rPr>
            <w:noProof/>
            <w:webHidden/>
          </w:rPr>
          <w:tab/>
        </w:r>
        <w:r>
          <w:rPr>
            <w:noProof/>
            <w:webHidden/>
          </w:rPr>
          <w:fldChar w:fldCharType="begin"/>
        </w:r>
        <w:r>
          <w:rPr>
            <w:noProof/>
            <w:webHidden/>
          </w:rPr>
          <w:instrText xml:space="preserve"> PAGEREF _Toc219309359 \h </w:instrText>
        </w:r>
        <w:r>
          <w:rPr>
            <w:noProof/>
            <w:webHidden/>
          </w:rPr>
        </w:r>
        <w:r>
          <w:rPr>
            <w:noProof/>
            <w:webHidden/>
          </w:rPr>
          <w:fldChar w:fldCharType="separate"/>
        </w:r>
        <w:r>
          <w:rPr>
            <w:noProof/>
            <w:webHidden/>
          </w:rPr>
          <w:t>494</w:t>
        </w:r>
        <w:r>
          <w:rPr>
            <w:noProof/>
            <w:webHidden/>
          </w:rPr>
          <w:fldChar w:fldCharType="end"/>
        </w:r>
      </w:hyperlink>
    </w:p>
    <w:p w14:paraId="6C6CB530"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60"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330 – Описание комплексного типа «tSGNNmPsDt»</w:t>
        </w:r>
        <w:r>
          <w:rPr>
            <w:noProof/>
            <w:webHidden/>
          </w:rPr>
          <w:tab/>
        </w:r>
        <w:r>
          <w:rPr>
            <w:noProof/>
            <w:webHidden/>
          </w:rPr>
          <w:fldChar w:fldCharType="begin"/>
        </w:r>
        <w:r>
          <w:rPr>
            <w:noProof/>
            <w:webHidden/>
          </w:rPr>
          <w:instrText xml:space="preserve"> PAGEREF _Toc219309360 \h </w:instrText>
        </w:r>
        <w:r>
          <w:rPr>
            <w:noProof/>
            <w:webHidden/>
          </w:rPr>
        </w:r>
        <w:r>
          <w:rPr>
            <w:noProof/>
            <w:webHidden/>
          </w:rPr>
          <w:fldChar w:fldCharType="separate"/>
        </w:r>
        <w:r>
          <w:rPr>
            <w:noProof/>
            <w:webHidden/>
          </w:rPr>
          <w:t>494</w:t>
        </w:r>
        <w:r>
          <w:rPr>
            <w:noProof/>
            <w:webHidden/>
          </w:rPr>
          <w:fldChar w:fldCharType="end"/>
        </w:r>
      </w:hyperlink>
    </w:p>
    <w:p w14:paraId="216FE887"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61"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331 – Описание комплексного типа «tSGNNmPs</w:t>
        </w:r>
        <w:r w:rsidRPr="005C56D9">
          <w:rPr>
            <w:rStyle w:val="af7"/>
            <w:noProof/>
            <w:lang w:val="en-US"/>
          </w:rPr>
          <w:t>1</w:t>
        </w:r>
        <w:r w:rsidRPr="005C56D9">
          <w:rPr>
            <w:rStyle w:val="af7"/>
            <w:noProof/>
          </w:rPr>
          <w:t>»</w:t>
        </w:r>
        <w:r>
          <w:rPr>
            <w:noProof/>
            <w:webHidden/>
          </w:rPr>
          <w:tab/>
        </w:r>
        <w:r>
          <w:rPr>
            <w:noProof/>
            <w:webHidden/>
          </w:rPr>
          <w:fldChar w:fldCharType="begin"/>
        </w:r>
        <w:r>
          <w:rPr>
            <w:noProof/>
            <w:webHidden/>
          </w:rPr>
          <w:instrText xml:space="preserve"> PAGEREF _Toc219309361 \h </w:instrText>
        </w:r>
        <w:r>
          <w:rPr>
            <w:noProof/>
            <w:webHidden/>
          </w:rPr>
        </w:r>
        <w:r>
          <w:rPr>
            <w:noProof/>
            <w:webHidden/>
          </w:rPr>
          <w:fldChar w:fldCharType="separate"/>
        </w:r>
        <w:r>
          <w:rPr>
            <w:noProof/>
            <w:webHidden/>
          </w:rPr>
          <w:t>494</w:t>
        </w:r>
        <w:r>
          <w:rPr>
            <w:noProof/>
            <w:webHidden/>
          </w:rPr>
          <w:fldChar w:fldCharType="end"/>
        </w:r>
      </w:hyperlink>
    </w:p>
    <w:p w14:paraId="5D3840B5"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62" w:history="1">
        <w:r w:rsidRPr="005C56D9">
          <w:rPr>
            <w:rStyle w:val="af7"/>
            <w:rFonts w:eastAsia="Calibri"/>
            <w:noProof/>
            <w:highlight w:val="green"/>
          </w:rPr>
          <w:t>Таблица </w:t>
        </w:r>
        <w:r>
          <w:rPr>
            <w:rFonts w:asciiTheme="minorHAnsi" w:eastAsiaTheme="minorEastAsia" w:hAnsiTheme="minorHAnsi" w:cstheme="minorBidi"/>
            <w:noProof/>
            <w:sz w:val="22"/>
            <w:szCs w:val="22"/>
          </w:rPr>
          <w:tab/>
        </w:r>
        <w:r w:rsidRPr="005C56D9">
          <w:rPr>
            <w:rStyle w:val="af7"/>
            <w:rFonts w:eastAsia="Calibri"/>
            <w:noProof/>
            <w:highlight w:val="green"/>
          </w:rPr>
          <w:t xml:space="preserve">332 – </w:t>
        </w:r>
        <w:r w:rsidRPr="005C56D9">
          <w:rPr>
            <w:rStyle w:val="af7"/>
            <w:noProof/>
            <w:highlight w:val="green"/>
          </w:rPr>
          <w:t xml:space="preserve">Документы для обмена в </w:t>
        </w:r>
        <w:r w:rsidRPr="005C56D9">
          <w:rPr>
            <w:rStyle w:val="af7"/>
            <w:noProof/>
            <w:highlight w:val="green"/>
            <w:lang w:val="en-US"/>
          </w:rPr>
          <w:t>xml</w:t>
        </w:r>
        <w:r w:rsidRPr="005C56D9">
          <w:rPr>
            <w:rStyle w:val="af7"/>
            <w:noProof/>
            <w:highlight w:val="green"/>
          </w:rPr>
          <w:t>-формате</w:t>
        </w:r>
        <w:r>
          <w:rPr>
            <w:noProof/>
            <w:webHidden/>
          </w:rPr>
          <w:tab/>
        </w:r>
        <w:r>
          <w:rPr>
            <w:noProof/>
            <w:webHidden/>
          </w:rPr>
          <w:fldChar w:fldCharType="begin"/>
        </w:r>
        <w:r>
          <w:rPr>
            <w:noProof/>
            <w:webHidden/>
          </w:rPr>
          <w:instrText xml:space="preserve"> PAGEREF _Toc219309362 \h </w:instrText>
        </w:r>
        <w:r>
          <w:rPr>
            <w:noProof/>
            <w:webHidden/>
          </w:rPr>
        </w:r>
        <w:r>
          <w:rPr>
            <w:noProof/>
            <w:webHidden/>
          </w:rPr>
          <w:fldChar w:fldCharType="separate"/>
        </w:r>
        <w:r>
          <w:rPr>
            <w:noProof/>
            <w:webHidden/>
          </w:rPr>
          <w:t>500</w:t>
        </w:r>
        <w:r>
          <w:rPr>
            <w:noProof/>
            <w:webHidden/>
          </w:rPr>
          <w:fldChar w:fldCharType="end"/>
        </w:r>
      </w:hyperlink>
    </w:p>
    <w:p w14:paraId="52174C66"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63"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rFonts w:eastAsia="Calibri"/>
            <w:noProof/>
          </w:rPr>
          <w:t>333 – Маршрут документа «</w:t>
        </w:r>
        <w:r w:rsidRPr="005C56D9">
          <w:rPr>
            <w:rStyle w:val="af7"/>
            <w:noProof/>
          </w:rPr>
          <w:t>Сведения из плана закупок/плана-графика закупок»</w:t>
        </w:r>
        <w:r>
          <w:rPr>
            <w:noProof/>
            <w:webHidden/>
          </w:rPr>
          <w:tab/>
        </w:r>
        <w:r>
          <w:rPr>
            <w:noProof/>
            <w:webHidden/>
          </w:rPr>
          <w:fldChar w:fldCharType="begin"/>
        </w:r>
        <w:r>
          <w:rPr>
            <w:noProof/>
            <w:webHidden/>
          </w:rPr>
          <w:instrText xml:space="preserve"> PAGEREF _Toc219309363 \h </w:instrText>
        </w:r>
        <w:r>
          <w:rPr>
            <w:noProof/>
            <w:webHidden/>
          </w:rPr>
        </w:r>
        <w:r>
          <w:rPr>
            <w:noProof/>
            <w:webHidden/>
          </w:rPr>
          <w:fldChar w:fldCharType="separate"/>
        </w:r>
        <w:r>
          <w:rPr>
            <w:noProof/>
            <w:webHidden/>
          </w:rPr>
          <w:t>501</w:t>
        </w:r>
        <w:r>
          <w:rPr>
            <w:noProof/>
            <w:webHidden/>
          </w:rPr>
          <w:fldChar w:fldCharType="end"/>
        </w:r>
      </w:hyperlink>
    </w:p>
    <w:p w14:paraId="62DACD6E"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64"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334 – Описание комплексного типа «tPUR_InformPlan»</w:t>
        </w:r>
        <w:r>
          <w:rPr>
            <w:noProof/>
            <w:webHidden/>
          </w:rPr>
          <w:tab/>
        </w:r>
        <w:r>
          <w:rPr>
            <w:noProof/>
            <w:webHidden/>
          </w:rPr>
          <w:fldChar w:fldCharType="begin"/>
        </w:r>
        <w:r>
          <w:rPr>
            <w:noProof/>
            <w:webHidden/>
          </w:rPr>
          <w:instrText xml:space="preserve"> PAGEREF _Toc219309364 \h </w:instrText>
        </w:r>
        <w:r>
          <w:rPr>
            <w:noProof/>
            <w:webHidden/>
          </w:rPr>
        </w:r>
        <w:r>
          <w:rPr>
            <w:noProof/>
            <w:webHidden/>
          </w:rPr>
          <w:fldChar w:fldCharType="separate"/>
        </w:r>
        <w:r>
          <w:rPr>
            <w:noProof/>
            <w:webHidden/>
          </w:rPr>
          <w:t>501</w:t>
        </w:r>
        <w:r>
          <w:rPr>
            <w:noProof/>
            <w:webHidden/>
          </w:rPr>
          <w:fldChar w:fldCharType="end"/>
        </w:r>
      </w:hyperlink>
    </w:p>
    <w:p w14:paraId="7F07CFC5"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65"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335 – Описание комплексного типа «t</w:t>
        </w:r>
        <w:r w:rsidRPr="005C56D9">
          <w:rPr>
            <w:rStyle w:val="af7"/>
            <w:rFonts w:eastAsia="Calibri"/>
            <w:noProof/>
            <w:lang w:val="en-US"/>
          </w:rPr>
          <w:t>Type</w:t>
        </w:r>
        <w:r w:rsidRPr="005C56D9">
          <w:rPr>
            <w:rStyle w:val="af7"/>
            <w:rFonts w:eastAsia="Calibri"/>
            <w:noProof/>
          </w:rPr>
          <w:t>Complex»</w:t>
        </w:r>
        <w:r>
          <w:rPr>
            <w:noProof/>
            <w:webHidden/>
          </w:rPr>
          <w:tab/>
        </w:r>
        <w:r>
          <w:rPr>
            <w:noProof/>
            <w:webHidden/>
          </w:rPr>
          <w:fldChar w:fldCharType="begin"/>
        </w:r>
        <w:r>
          <w:rPr>
            <w:noProof/>
            <w:webHidden/>
          </w:rPr>
          <w:instrText xml:space="preserve"> PAGEREF _Toc219309365 \h </w:instrText>
        </w:r>
        <w:r>
          <w:rPr>
            <w:noProof/>
            <w:webHidden/>
          </w:rPr>
        </w:r>
        <w:r>
          <w:rPr>
            <w:noProof/>
            <w:webHidden/>
          </w:rPr>
          <w:fldChar w:fldCharType="separate"/>
        </w:r>
        <w:r>
          <w:rPr>
            <w:noProof/>
            <w:webHidden/>
          </w:rPr>
          <w:t>504</w:t>
        </w:r>
        <w:r>
          <w:rPr>
            <w:noProof/>
            <w:webHidden/>
          </w:rPr>
          <w:fldChar w:fldCharType="end"/>
        </w:r>
      </w:hyperlink>
    </w:p>
    <w:p w14:paraId="69BABE76"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66"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lang w:val="en-US"/>
          </w:rPr>
          <w:t>336</w:t>
        </w:r>
        <w:r w:rsidRPr="005C56D9">
          <w:rPr>
            <w:rStyle w:val="af7"/>
            <w:rFonts w:eastAsia="Calibri"/>
            <w:noProof/>
          </w:rPr>
          <w:t xml:space="preserve"> – Описание комплексного типа «</w:t>
        </w:r>
        <w:r w:rsidRPr="005C56D9">
          <w:rPr>
            <w:rStyle w:val="af7"/>
            <w:rFonts w:eastAsia="Calibri"/>
            <w:noProof/>
            <w:lang w:val="en-US"/>
          </w:rPr>
          <w:t>t</w:t>
        </w:r>
        <w:r w:rsidRPr="005C56D9">
          <w:rPr>
            <w:rStyle w:val="af7"/>
            <w:noProof/>
            <w:lang w:val="en-US"/>
          </w:rPr>
          <w:t>F</w:t>
        </w:r>
        <w:r w:rsidRPr="005C56D9">
          <w:rPr>
            <w:rStyle w:val="af7"/>
            <w:noProof/>
          </w:rPr>
          <w:t>inanceInfo</w:t>
        </w:r>
        <w:r w:rsidRPr="005C56D9">
          <w:rPr>
            <w:rStyle w:val="af7"/>
            <w:rFonts w:eastAsia="Calibri"/>
            <w:noProof/>
          </w:rPr>
          <w:t>»</w:t>
        </w:r>
        <w:r>
          <w:rPr>
            <w:noProof/>
            <w:webHidden/>
          </w:rPr>
          <w:tab/>
        </w:r>
        <w:r>
          <w:rPr>
            <w:noProof/>
            <w:webHidden/>
          </w:rPr>
          <w:fldChar w:fldCharType="begin"/>
        </w:r>
        <w:r>
          <w:rPr>
            <w:noProof/>
            <w:webHidden/>
          </w:rPr>
          <w:instrText xml:space="preserve"> PAGEREF _Toc219309366 \h </w:instrText>
        </w:r>
        <w:r>
          <w:rPr>
            <w:noProof/>
            <w:webHidden/>
          </w:rPr>
        </w:r>
        <w:r>
          <w:rPr>
            <w:noProof/>
            <w:webHidden/>
          </w:rPr>
          <w:fldChar w:fldCharType="separate"/>
        </w:r>
        <w:r>
          <w:rPr>
            <w:noProof/>
            <w:webHidden/>
          </w:rPr>
          <w:t>504</w:t>
        </w:r>
        <w:r>
          <w:rPr>
            <w:noProof/>
            <w:webHidden/>
          </w:rPr>
          <w:fldChar w:fldCharType="end"/>
        </w:r>
      </w:hyperlink>
    </w:p>
    <w:p w14:paraId="3C29A57C"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67"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lang w:val="en-US"/>
          </w:rPr>
          <w:t>337</w:t>
        </w:r>
        <w:r w:rsidRPr="005C56D9">
          <w:rPr>
            <w:rStyle w:val="af7"/>
            <w:rFonts w:eastAsia="Calibri"/>
            <w:noProof/>
          </w:rPr>
          <w:t xml:space="preserve"> – Описание комплексного типа «</w:t>
        </w:r>
        <w:r w:rsidRPr="005C56D9">
          <w:rPr>
            <w:rStyle w:val="af7"/>
            <w:rFonts w:eastAsia="Calibri"/>
            <w:noProof/>
            <w:lang w:val="en-US"/>
          </w:rPr>
          <w:t>tF</w:t>
        </w:r>
        <w:r w:rsidRPr="005C56D9">
          <w:rPr>
            <w:rStyle w:val="af7"/>
            <w:rFonts w:eastAsia="Calibri"/>
            <w:noProof/>
          </w:rPr>
          <w:t>inanceInfoItem»</w:t>
        </w:r>
        <w:r>
          <w:rPr>
            <w:noProof/>
            <w:webHidden/>
          </w:rPr>
          <w:tab/>
        </w:r>
        <w:r>
          <w:rPr>
            <w:noProof/>
            <w:webHidden/>
          </w:rPr>
          <w:fldChar w:fldCharType="begin"/>
        </w:r>
        <w:r>
          <w:rPr>
            <w:noProof/>
            <w:webHidden/>
          </w:rPr>
          <w:instrText xml:space="preserve"> PAGEREF _Toc219309367 \h </w:instrText>
        </w:r>
        <w:r>
          <w:rPr>
            <w:noProof/>
            <w:webHidden/>
          </w:rPr>
        </w:r>
        <w:r>
          <w:rPr>
            <w:noProof/>
            <w:webHidden/>
          </w:rPr>
          <w:fldChar w:fldCharType="separate"/>
        </w:r>
        <w:r>
          <w:rPr>
            <w:noProof/>
            <w:webHidden/>
          </w:rPr>
          <w:t>505</w:t>
        </w:r>
        <w:r>
          <w:rPr>
            <w:noProof/>
            <w:webHidden/>
          </w:rPr>
          <w:fldChar w:fldCharType="end"/>
        </w:r>
      </w:hyperlink>
    </w:p>
    <w:p w14:paraId="24BE601D"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68"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lang w:val="en-US"/>
          </w:rPr>
          <w:t>338</w:t>
        </w:r>
        <w:r w:rsidRPr="005C56D9">
          <w:rPr>
            <w:rStyle w:val="af7"/>
            <w:rFonts w:eastAsia="Calibri"/>
            <w:noProof/>
          </w:rPr>
          <w:t xml:space="preserve"> – Описание комплексного типа «</w:t>
        </w:r>
        <w:r w:rsidRPr="005C56D9">
          <w:rPr>
            <w:rStyle w:val="af7"/>
            <w:rFonts w:eastAsia="Calibri"/>
            <w:noProof/>
            <w:lang w:val="en-US"/>
          </w:rPr>
          <w:t>t</w:t>
        </w:r>
        <w:r w:rsidRPr="005C56D9">
          <w:rPr>
            <w:rStyle w:val="af7"/>
            <w:noProof/>
            <w:lang w:val="en-US"/>
          </w:rPr>
          <w:t>f</w:t>
        </w:r>
        <w:r w:rsidRPr="005C56D9">
          <w:rPr>
            <w:rStyle w:val="af7"/>
            <w:noProof/>
          </w:rPr>
          <w:t>inanceInfo</w:t>
        </w:r>
        <w:r w:rsidRPr="005C56D9">
          <w:rPr>
            <w:rStyle w:val="af7"/>
            <w:noProof/>
            <w:lang w:val="en-US"/>
          </w:rPr>
          <w:t>KBK</w:t>
        </w:r>
        <w:r w:rsidRPr="005C56D9">
          <w:rPr>
            <w:rStyle w:val="af7"/>
            <w:rFonts w:eastAsia="Calibri"/>
            <w:noProof/>
          </w:rPr>
          <w:t>»</w:t>
        </w:r>
        <w:r>
          <w:rPr>
            <w:noProof/>
            <w:webHidden/>
          </w:rPr>
          <w:tab/>
        </w:r>
        <w:r>
          <w:rPr>
            <w:noProof/>
            <w:webHidden/>
          </w:rPr>
          <w:fldChar w:fldCharType="begin"/>
        </w:r>
        <w:r>
          <w:rPr>
            <w:noProof/>
            <w:webHidden/>
          </w:rPr>
          <w:instrText xml:space="preserve"> PAGEREF _Toc219309368 \h </w:instrText>
        </w:r>
        <w:r>
          <w:rPr>
            <w:noProof/>
            <w:webHidden/>
          </w:rPr>
        </w:r>
        <w:r>
          <w:rPr>
            <w:noProof/>
            <w:webHidden/>
          </w:rPr>
          <w:fldChar w:fldCharType="separate"/>
        </w:r>
        <w:r>
          <w:rPr>
            <w:noProof/>
            <w:webHidden/>
          </w:rPr>
          <w:t>506</w:t>
        </w:r>
        <w:r>
          <w:rPr>
            <w:noProof/>
            <w:webHidden/>
          </w:rPr>
          <w:fldChar w:fldCharType="end"/>
        </w:r>
      </w:hyperlink>
    </w:p>
    <w:p w14:paraId="3679F8C0"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69"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lang w:val="en-US"/>
          </w:rPr>
          <w:t>339</w:t>
        </w:r>
        <w:r w:rsidRPr="005C56D9">
          <w:rPr>
            <w:rStyle w:val="af7"/>
            <w:rFonts w:eastAsia="Calibri"/>
            <w:noProof/>
          </w:rPr>
          <w:t xml:space="preserve"> – Описание комплексного типа «</w:t>
        </w:r>
        <w:r w:rsidRPr="005C56D9">
          <w:rPr>
            <w:rStyle w:val="af7"/>
            <w:rFonts w:eastAsia="Calibri"/>
            <w:noProof/>
            <w:lang w:val="en-US"/>
          </w:rPr>
          <w:t>tf</w:t>
        </w:r>
        <w:r w:rsidRPr="005C56D9">
          <w:rPr>
            <w:rStyle w:val="af7"/>
            <w:rFonts w:eastAsia="Calibri"/>
            <w:noProof/>
          </w:rPr>
          <w:t>inanceInfo</w:t>
        </w:r>
        <w:r w:rsidRPr="005C56D9">
          <w:rPr>
            <w:rStyle w:val="af7"/>
            <w:rFonts w:eastAsia="Calibri"/>
            <w:noProof/>
            <w:lang w:val="en-US"/>
          </w:rPr>
          <w:t>KBK</w:t>
        </w:r>
        <w:r w:rsidRPr="005C56D9">
          <w:rPr>
            <w:rStyle w:val="af7"/>
            <w:rFonts w:eastAsia="Calibri"/>
            <w:noProof/>
          </w:rPr>
          <w:t>Item»</w:t>
        </w:r>
        <w:r>
          <w:rPr>
            <w:noProof/>
            <w:webHidden/>
          </w:rPr>
          <w:tab/>
        </w:r>
        <w:r>
          <w:rPr>
            <w:noProof/>
            <w:webHidden/>
          </w:rPr>
          <w:fldChar w:fldCharType="begin"/>
        </w:r>
        <w:r>
          <w:rPr>
            <w:noProof/>
            <w:webHidden/>
          </w:rPr>
          <w:instrText xml:space="preserve"> PAGEREF _Toc219309369 \h </w:instrText>
        </w:r>
        <w:r>
          <w:rPr>
            <w:noProof/>
            <w:webHidden/>
          </w:rPr>
        </w:r>
        <w:r>
          <w:rPr>
            <w:noProof/>
            <w:webHidden/>
          </w:rPr>
          <w:fldChar w:fldCharType="separate"/>
        </w:r>
        <w:r>
          <w:rPr>
            <w:noProof/>
            <w:webHidden/>
          </w:rPr>
          <w:t>506</w:t>
        </w:r>
        <w:r>
          <w:rPr>
            <w:noProof/>
            <w:webHidden/>
          </w:rPr>
          <w:fldChar w:fldCharType="end"/>
        </w:r>
      </w:hyperlink>
    </w:p>
    <w:p w14:paraId="0048AAC8"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70"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lang w:val="en-US"/>
          </w:rPr>
          <w:t>340</w:t>
        </w:r>
        <w:r w:rsidRPr="005C56D9">
          <w:rPr>
            <w:rStyle w:val="af7"/>
            <w:rFonts w:eastAsia="Calibri"/>
            <w:noProof/>
          </w:rPr>
          <w:t xml:space="preserve"> – Описание комплексного типа «</w:t>
        </w:r>
        <w:r w:rsidRPr="005C56D9">
          <w:rPr>
            <w:rStyle w:val="af7"/>
            <w:rFonts w:eastAsia="Calibri"/>
            <w:noProof/>
            <w:lang w:val="en-US"/>
          </w:rPr>
          <w:t>t</w:t>
        </w:r>
        <w:r w:rsidRPr="005C56D9">
          <w:rPr>
            <w:rStyle w:val="af7"/>
            <w:noProof/>
            <w:lang w:val="en-US"/>
          </w:rPr>
          <w:t>f</w:t>
        </w:r>
        <w:r w:rsidRPr="005C56D9">
          <w:rPr>
            <w:rStyle w:val="af7"/>
            <w:noProof/>
          </w:rPr>
          <w:t>inanceInfo</w:t>
        </w:r>
        <w:r w:rsidRPr="005C56D9">
          <w:rPr>
            <w:rStyle w:val="af7"/>
            <w:noProof/>
            <w:lang w:val="en-US"/>
          </w:rPr>
          <w:t>KOKS</w:t>
        </w:r>
        <w:r w:rsidRPr="005C56D9">
          <w:rPr>
            <w:rStyle w:val="af7"/>
            <w:rFonts w:eastAsia="Calibri"/>
            <w:noProof/>
          </w:rPr>
          <w:t>»</w:t>
        </w:r>
        <w:r>
          <w:rPr>
            <w:noProof/>
            <w:webHidden/>
          </w:rPr>
          <w:tab/>
        </w:r>
        <w:r>
          <w:rPr>
            <w:noProof/>
            <w:webHidden/>
          </w:rPr>
          <w:fldChar w:fldCharType="begin"/>
        </w:r>
        <w:r>
          <w:rPr>
            <w:noProof/>
            <w:webHidden/>
          </w:rPr>
          <w:instrText xml:space="preserve"> PAGEREF _Toc219309370 \h </w:instrText>
        </w:r>
        <w:r>
          <w:rPr>
            <w:noProof/>
            <w:webHidden/>
          </w:rPr>
        </w:r>
        <w:r>
          <w:rPr>
            <w:noProof/>
            <w:webHidden/>
          </w:rPr>
          <w:fldChar w:fldCharType="separate"/>
        </w:r>
        <w:r>
          <w:rPr>
            <w:noProof/>
            <w:webHidden/>
          </w:rPr>
          <w:t>507</w:t>
        </w:r>
        <w:r>
          <w:rPr>
            <w:noProof/>
            <w:webHidden/>
          </w:rPr>
          <w:fldChar w:fldCharType="end"/>
        </w:r>
      </w:hyperlink>
    </w:p>
    <w:p w14:paraId="7ECC63A3"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71"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lang w:val="en-US"/>
          </w:rPr>
          <w:t>341</w:t>
        </w:r>
        <w:r w:rsidRPr="005C56D9">
          <w:rPr>
            <w:rStyle w:val="af7"/>
            <w:rFonts w:eastAsia="Calibri"/>
            <w:noProof/>
          </w:rPr>
          <w:t xml:space="preserve"> – Описание комплексного типа «</w:t>
        </w:r>
        <w:r w:rsidRPr="005C56D9">
          <w:rPr>
            <w:rStyle w:val="af7"/>
            <w:rFonts w:eastAsia="Calibri"/>
            <w:noProof/>
            <w:lang w:val="en-US"/>
          </w:rPr>
          <w:t>tf</w:t>
        </w:r>
        <w:r w:rsidRPr="005C56D9">
          <w:rPr>
            <w:rStyle w:val="af7"/>
            <w:rFonts w:eastAsia="Calibri"/>
            <w:noProof/>
          </w:rPr>
          <w:t>inanceInfo</w:t>
        </w:r>
        <w:r w:rsidRPr="005C56D9">
          <w:rPr>
            <w:rStyle w:val="af7"/>
            <w:rFonts w:eastAsia="Calibri"/>
            <w:noProof/>
            <w:lang w:val="en-US"/>
          </w:rPr>
          <w:t>KOKS</w:t>
        </w:r>
        <w:r w:rsidRPr="005C56D9">
          <w:rPr>
            <w:rStyle w:val="af7"/>
            <w:rFonts w:eastAsia="Calibri"/>
            <w:noProof/>
          </w:rPr>
          <w:t>Item»</w:t>
        </w:r>
        <w:r>
          <w:rPr>
            <w:noProof/>
            <w:webHidden/>
          </w:rPr>
          <w:tab/>
        </w:r>
        <w:r>
          <w:rPr>
            <w:noProof/>
            <w:webHidden/>
          </w:rPr>
          <w:fldChar w:fldCharType="begin"/>
        </w:r>
        <w:r>
          <w:rPr>
            <w:noProof/>
            <w:webHidden/>
          </w:rPr>
          <w:instrText xml:space="preserve"> PAGEREF _Toc219309371 \h </w:instrText>
        </w:r>
        <w:r>
          <w:rPr>
            <w:noProof/>
            <w:webHidden/>
          </w:rPr>
        </w:r>
        <w:r>
          <w:rPr>
            <w:noProof/>
            <w:webHidden/>
          </w:rPr>
          <w:fldChar w:fldCharType="separate"/>
        </w:r>
        <w:r>
          <w:rPr>
            <w:noProof/>
            <w:webHidden/>
          </w:rPr>
          <w:t>507</w:t>
        </w:r>
        <w:r>
          <w:rPr>
            <w:noProof/>
            <w:webHidden/>
          </w:rPr>
          <w:fldChar w:fldCharType="end"/>
        </w:r>
      </w:hyperlink>
    </w:p>
    <w:p w14:paraId="02177222"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72"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342 – Маршрут документа «</w:t>
        </w:r>
        <w:r w:rsidRPr="005C56D9">
          <w:rPr>
            <w:rStyle w:val="af7"/>
            <w:noProof/>
          </w:rPr>
          <w:t>Сведения о приглашении принять участие в определении поставщика (подрядчика, исполнителя)</w:t>
        </w:r>
        <w:r w:rsidRPr="005C56D9">
          <w:rPr>
            <w:rStyle w:val="af7"/>
            <w:rFonts w:eastAsia="Calibri"/>
            <w:noProof/>
          </w:rPr>
          <w:t>»</w:t>
        </w:r>
        <w:r>
          <w:rPr>
            <w:noProof/>
            <w:webHidden/>
          </w:rPr>
          <w:tab/>
        </w:r>
        <w:r>
          <w:rPr>
            <w:noProof/>
            <w:webHidden/>
          </w:rPr>
          <w:fldChar w:fldCharType="begin"/>
        </w:r>
        <w:r>
          <w:rPr>
            <w:noProof/>
            <w:webHidden/>
          </w:rPr>
          <w:instrText xml:space="preserve"> PAGEREF _Toc219309372 \h </w:instrText>
        </w:r>
        <w:r>
          <w:rPr>
            <w:noProof/>
            <w:webHidden/>
          </w:rPr>
        </w:r>
        <w:r>
          <w:rPr>
            <w:noProof/>
            <w:webHidden/>
          </w:rPr>
          <w:fldChar w:fldCharType="separate"/>
        </w:r>
        <w:r>
          <w:rPr>
            <w:noProof/>
            <w:webHidden/>
          </w:rPr>
          <w:t>510</w:t>
        </w:r>
        <w:r>
          <w:rPr>
            <w:noProof/>
            <w:webHidden/>
          </w:rPr>
          <w:fldChar w:fldCharType="end"/>
        </w:r>
      </w:hyperlink>
    </w:p>
    <w:p w14:paraId="58824543"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73"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343 – Описание комплексного типа «</w:t>
        </w:r>
        <w:r w:rsidRPr="005C56D9">
          <w:rPr>
            <w:rStyle w:val="af7"/>
            <w:noProof/>
          </w:rPr>
          <w:t>t</w:t>
        </w:r>
        <w:r w:rsidRPr="005C56D9">
          <w:rPr>
            <w:rStyle w:val="af7"/>
            <w:noProof/>
            <w:lang w:val="en-US"/>
          </w:rPr>
          <w:t>PUR</w:t>
        </w:r>
        <w:r w:rsidRPr="005C56D9">
          <w:rPr>
            <w:rStyle w:val="af7"/>
            <w:noProof/>
          </w:rPr>
          <w:t>_INFORM_INVITE</w:t>
        </w:r>
        <w:r w:rsidRPr="005C56D9">
          <w:rPr>
            <w:rStyle w:val="af7"/>
            <w:rFonts w:eastAsia="Calibri"/>
            <w:noProof/>
          </w:rPr>
          <w:t>»</w:t>
        </w:r>
        <w:r>
          <w:rPr>
            <w:noProof/>
            <w:webHidden/>
          </w:rPr>
          <w:tab/>
        </w:r>
        <w:r>
          <w:rPr>
            <w:noProof/>
            <w:webHidden/>
          </w:rPr>
          <w:fldChar w:fldCharType="begin"/>
        </w:r>
        <w:r>
          <w:rPr>
            <w:noProof/>
            <w:webHidden/>
          </w:rPr>
          <w:instrText xml:space="preserve"> PAGEREF _Toc219309373 \h </w:instrText>
        </w:r>
        <w:r>
          <w:rPr>
            <w:noProof/>
            <w:webHidden/>
          </w:rPr>
        </w:r>
        <w:r>
          <w:rPr>
            <w:noProof/>
            <w:webHidden/>
          </w:rPr>
          <w:fldChar w:fldCharType="separate"/>
        </w:r>
        <w:r>
          <w:rPr>
            <w:noProof/>
            <w:webHidden/>
          </w:rPr>
          <w:t>510</w:t>
        </w:r>
        <w:r>
          <w:rPr>
            <w:noProof/>
            <w:webHidden/>
          </w:rPr>
          <w:fldChar w:fldCharType="end"/>
        </w:r>
      </w:hyperlink>
    </w:p>
    <w:p w14:paraId="18A7FD0D"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74"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344 – Описание комплексного типа «tV</w:t>
        </w:r>
        <w:r w:rsidRPr="005C56D9">
          <w:rPr>
            <w:rStyle w:val="af7"/>
            <w:rFonts w:eastAsia="Calibri"/>
            <w:noProof/>
            <w:lang w:val="en-US"/>
          </w:rPr>
          <w:t>id</w:t>
        </w:r>
        <w:r w:rsidRPr="005C56D9">
          <w:rPr>
            <w:rStyle w:val="af7"/>
            <w:rFonts w:eastAsia="Calibri"/>
            <w:noProof/>
          </w:rPr>
          <w:t>D</w:t>
        </w:r>
        <w:r w:rsidRPr="005C56D9">
          <w:rPr>
            <w:rStyle w:val="af7"/>
            <w:rFonts w:eastAsia="Calibri"/>
            <w:noProof/>
            <w:lang w:val="en-US"/>
          </w:rPr>
          <w:t>oc</w:t>
        </w:r>
        <w:r w:rsidRPr="005C56D9">
          <w:rPr>
            <w:rStyle w:val="af7"/>
            <w:rFonts w:eastAsia="Calibri"/>
            <w:noProof/>
          </w:rPr>
          <w:t>Complex»</w:t>
        </w:r>
        <w:r>
          <w:rPr>
            <w:noProof/>
            <w:webHidden/>
          </w:rPr>
          <w:tab/>
        </w:r>
        <w:r>
          <w:rPr>
            <w:noProof/>
            <w:webHidden/>
          </w:rPr>
          <w:fldChar w:fldCharType="begin"/>
        </w:r>
        <w:r>
          <w:rPr>
            <w:noProof/>
            <w:webHidden/>
          </w:rPr>
          <w:instrText xml:space="preserve"> PAGEREF _Toc219309374 \h </w:instrText>
        </w:r>
        <w:r>
          <w:rPr>
            <w:noProof/>
            <w:webHidden/>
          </w:rPr>
        </w:r>
        <w:r>
          <w:rPr>
            <w:noProof/>
            <w:webHidden/>
          </w:rPr>
          <w:fldChar w:fldCharType="separate"/>
        </w:r>
        <w:r>
          <w:rPr>
            <w:noProof/>
            <w:webHidden/>
          </w:rPr>
          <w:t>512</w:t>
        </w:r>
        <w:r>
          <w:rPr>
            <w:noProof/>
            <w:webHidden/>
          </w:rPr>
          <w:fldChar w:fldCharType="end"/>
        </w:r>
      </w:hyperlink>
    </w:p>
    <w:p w14:paraId="7FA3A0CE"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75"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345 – Описание комплексного типа «tTablePart»</w:t>
        </w:r>
        <w:r>
          <w:rPr>
            <w:noProof/>
            <w:webHidden/>
          </w:rPr>
          <w:tab/>
        </w:r>
        <w:r>
          <w:rPr>
            <w:noProof/>
            <w:webHidden/>
          </w:rPr>
          <w:fldChar w:fldCharType="begin"/>
        </w:r>
        <w:r>
          <w:rPr>
            <w:noProof/>
            <w:webHidden/>
          </w:rPr>
          <w:instrText xml:space="preserve"> PAGEREF _Toc219309375 \h </w:instrText>
        </w:r>
        <w:r>
          <w:rPr>
            <w:noProof/>
            <w:webHidden/>
          </w:rPr>
        </w:r>
        <w:r>
          <w:rPr>
            <w:noProof/>
            <w:webHidden/>
          </w:rPr>
          <w:fldChar w:fldCharType="separate"/>
        </w:r>
        <w:r>
          <w:rPr>
            <w:noProof/>
            <w:webHidden/>
          </w:rPr>
          <w:t>512</w:t>
        </w:r>
        <w:r>
          <w:rPr>
            <w:noProof/>
            <w:webHidden/>
          </w:rPr>
          <w:fldChar w:fldCharType="end"/>
        </w:r>
      </w:hyperlink>
    </w:p>
    <w:p w14:paraId="435CEACF"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76"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346 – Описание комплексного типа «tTablePartITEM»</w:t>
        </w:r>
        <w:r>
          <w:rPr>
            <w:noProof/>
            <w:webHidden/>
          </w:rPr>
          <w:tab/>
        </w:r>
        <w:r>
          <w:rPr>
            <w:noProof/>
            <w:webHidden/>
          </w:rPr>
          <w:fldChar w:fldCharType="begin"/>
        </w:r>
        <w:r>
          <w:rPr>
            <w:noProof/>
            <w:webHidden/>
          </w:rPr>
          <w:instrText xml:space="preserve"> PAGEREF _Toc219309376 \h </w:instrText>
        </w:r>
        <w:r>
          <w:rPr>
            <w:noProof/>
            <w:webHidden/>
          </w:rPr>
        </w:r>
        <w:r>
          <w:rPr>
            <w:noProof/>
            <w:webHidden/>
          </w:rPr>
          <w:fldChar w:fldCharType="separate"/>
        </w:r>
        <w:r>
          <w:rPr>
            <w:noProof/>
            <w:webHidden/>
          </w:rPr>
          <w:t>512</w:t>
        </w:r>
        <w:r>
          <w:rPr>
            <w:noProof/>
            <w:webHidden/>
          </w:rPr>
          <w:fldChar w:fldCharType="end"/>
        </w:r>
      </w:hyperlink>
    </w:p>
    <w:p w14:paraId="5EA8D74C"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77"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347 – Описание комплексного типа «tM</w:t>
        </w:r>
        <w:r w:rsidRPr="005C56D9">
          <w:rPr>
            <w:rStyle w:val="af7"/>
            <w:rFonts w:eastAsia="Calibri"/>
            <w:noProof/>
            <w:lang w:val="en-US"/>
          </w:rPr>
          <w:t>ARK</w:t>
        </w:r>
        <w:r w:rsidRPr="005C56D9">
          <w:rPr>
            <w:rStyle w:val="af7"/>
            <w:rFonts w:eastAsia="Calibri"/>
            <w:noProof/>
          </w:rPr>
          <w:t>_ORFK»</w:t>
        </w:r>
        <w:r>
          <w:rPr>
            <w:noProof/>
            <w:webHidden/>
          </w:rPr>
          <w:tab/>
        </w:r>
        <w:r>
          <w:rPr>
            <w:noProof/>
            <w:webHidden/>
          </w:rPr>
          <w:fldChar w:fldCharType="begin"/>
        </w:r>
        <w:r>
          <w:rPr>
            <w:noProof/>
            <w:webHidden/>
          </w:rPr>
          <w:instrText xml:space="preserve"> PAGEREF _Toc219309377 \h </w:instrText>
        </w:r>
        <w:r>
          <w:rPr>
            <w:noProof/>
            <w:webHidden/>
          </w:rPr>
        </w:r>
        <w:r>
          <w:rPr>
            <w:noProof/>
            <w:webHidden/>
          </w:rPr>
          <w:fldChar w:fldCharType="separate"/>
        </w:r>
        <w:r>
          <w:rPr>
            <w:noProof/>
            <w:webHidden/>
          </w:rPr>
          <w:t>513</w:t>
        </w:r>
        <w:r>
          <w:rPr>
            <w:noProof/>
            <w:webHidden/>
          </w:rPr>
          <w:fldChar w:fldCharType="end"/>
        </w:r>
      </w:hyperlink>
    </w:p>
    <w:p w14:paraId="0E585F1F"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78"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348 – Описание комплексного типа «tMARK_ORFK_ITEM»</w:t>
        </w:r>
        <w:r>
          <w:rPr>
            <w:noProof/>
            <w:webHidden/>
          </w:rPr>
          <w:tab/>
        </w:r>
        <w:r>
          <w:rPr>
            <w:noProof/>
            <w:webHidden/>
          </w:rPr>
          <w:fldChar w:fldCharType="begin"/>
        </w:r>
        <w:r>
          <w:rPr>
            <w:noProof/>
            <w:webHidden/>
          </w:rPr>
          <w:instrText xml:space="preserve"> PAGEREF _Toc219309378 \h </w:instrText>
        </w:r>
        <w:r>
          <w:rPr>
            <w:noProof/>
            <w:webHidden/>
          </w:rPr>
        </w:r>
        <w:r>
          <w:rPr>
            <w:noProof/>
            <w:webHidden/>
          </w:rPr>
          <w:fldChar w:fldCharType="separate"/>
        </w:r>
        <w:r>
          <w:rPr>
            <w:noProof/>
            <w:webHidden/>
          </w:rPr>
          <w:t>513</w:t>
        </w:r>
        <w:r>
          <w:rPr>
            <w:noProof/>
            <w:webHidden/>
          </w:rPr>
          <w:fldChar w:fldCharType="end"/>
        </w:r>
      </w:hyperlink>
    </w:p>
    <w:p w14:paraId="6F45D9F0"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79"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349 – Описание комплексного типа «tM</w:t>
        </w:r>
        <w:r w:rsidRPr="005C56D9">
          <w:rPr>
            <w:rStyle w:val="af7"/>
            <w:rFonts w:eastAsia="Calibri"/>
            <w:noProof/>
            <w:lang w:val="en-US"/>
          </w:rPr>
          <w:t>edium</w:t>
        </w:r>
        <w:r w:rsidRPr="005C56D9">
          <w:rPr>
            <w:rStyle w:val="af7"/>
            <w:rFonts w:eastAsia="Calibri"/>
            <w:noProof/>
          </w:rPr>
          <w:t>Complex»</w:t>
        </w:r>
        <w:r>
          <w:rPr>
            <w:noProof/>
            <w:webHidden/>
          </w:rPr>
          <w:tab/>
        </w:r>
        <w:r>
          <w:rPr>
            <w:noProof/>
            <w:webHidden/>
          </w:rPr>
          <w:fldChar w:fldCharType="begin"/>
        </w:r>
        <w:r>
          <w:rPr>
            <w:noProof/>
            <w:webHidden/>
          </w:rPr>
          <w:instrText xml:space="preserve"> PAGEREF _Toc219309379 \h </w:instrText>
        </w:r>
        <w:r>
          <w:rPr>
            <w:noProof/>
            <w:webHidden/>
          </w:rPr>
        </w:r>
        <w:r>
          <w:rPr>
            <w:noProof/>
            <w:webHidden/>
          </w:rPr>
          <w:fldChar w:fldCharType="separate"/>
        </w:r>
        <w:r>
          <w:rPr>
            <w:noProof/>
            <w:webHidden/>
          </w:rPr>
          <w:t>515</w:t>
        </w:r>
        <w:r>
          <w:rPr>
            <w:noProof/>
            <w:webHidden/>
          </w:rPr>
          <w:fldChar w:fldCharType="end"/>
        </w:r>
      </w:hyperlink>
    </w:p>
    <w:p w14:paraId="65C6B66F"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80"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350 – Описание комплексного типа «tC</w:t>
        </w:r>
        <w:r w:rsidRPr="005C56D9">
          <w:rPr>
            <w:rStyle w:val="af7"/>
            <w:rFonts w:eastAsia="Calibri"/>
            <w:noProof/>
            <w:lang w:val="en-US"/>
          </w:rPr>
          <w:t>ontr</w:t>
        </w:r>
        <w:r w:rsidRPr="005C56D9">
          <w:rPr>
            <w:rStyle w:val="af7"/>
            <w:rFonts w:eastAsia="Calibri"/>
            <w:noProof/>
          </w:rPr>
          <w:t>I</w:t>
        </w:r>
        <w:r w:rsidRPr="005C56D9">
          <w:rPr>
            <w:rStyle w:val="af7"/>
            <w:rFonts w:eastAsia="Calibri"/>
            <w:noProof/>
            <w:lang w:val="en-US"/>
          </w:rPr>
          <w:t>nfo</w:t>
        </w:r>
        <w:r w:rsidRPr="005C56D9">
          <w:rPr>
            <w:rStyle w:val="af7"/>
            <w:rFonts w:eastAsia="Calibri"/>
            <w:noProof/>
          </w:rPr>
          <w:t>Complex»</w:t>
        </w:r>
        <w:r>
          <w:rPr>
            <w:noProof/>
            <w:webHidden/>
          </w:rPr>
          <w:tab/>
        </w:r>
        <w:r>
          <w:rPr>
            <w:noProof/>
            <w:webHidden/>
          </w:rPr>
          <w:fldChar w:fldCharType="begin"/>
        </w:r>
        <w:r>
          <w:rPr>
            <w:noProof/>
            <w:webHidden/>
          </w:rPr>
          <w:instrText xml:space="preserve"> PAGEREF _Toc219309380 \h </w:instrText>
        </w:r>
        <w:r>
          <w:rPr>
            <w:noProof/>
            <w:webHidden/>
          </w:rPr>
        </w:r>
        <w:r>
          <w:rPr>
            <w:noProof/>
            <w:webHidden/>
          </w:rPr>
          <w:fldChar w:fldCharType="separate"/>
        </w:r>
        <w:r>
          <w:rPr>
            <w:noProof/>
            <w:webHidden/>
          </w:rPr>
          <w:t>515</w:t>
        </w:r>
        <w:r>
          <w:rPr>
            <w:noProof/>
            <w:webHidden/>
          </w:rPr>
          <w:fldChar w:fldCharType="end"/>
        </w:r>
      </w:hyperlink>
    </w:p>
    <w:p w14:paraId="1351B00C"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81" w:history="1">
        <w:r w:rsidRPr="005C56D9">
          <w:rPr>
            <w:rStyle w:val="af7"/>
            <w:rFonts w:eastAsia="Calibri"/>
            <w:noProof/>
            <w:highlight w:val="green"/>
          </w:rPr>
          <w:t>Таблица </w:t>
        </w:r>
        <w:r>
          <w:rPr>
            <w:rFonts w:asciiTheme="minorHAnsi" w:eastAsiaTheme="minorEastAsia" w:hAnsiTheme="minorHAnsi" w:cstheme="minorBidi"/>
            <w:noProof/>
            <w:sz w:val="22"/>
            <w:szCs w:val="22"/>
          </w:rPr>
          <w:tab/>
        </w:r>
        <w:r w:rsidRPr="005C56D9">
          <w:rPr>
            <w:rStyle w:val="af7"/>
            <w:rFonts w:eastAsia="Calibri"/>
            <w:noProof/>
            <w:highlight w:val="green"/>
          </w:rPr>
          <w:t>351 – Маршрут документа «</w:t>
        </w:r>
        <w:r w:rsidRPr="005C56D9">
          <w:rPr>
            <w:rStyle w:val="af7"/>
            <w:noProof/>
            <w:highlight w:val="green"/>
          </w:rPr>
          <w:t>Выписка из проекта контракта</w:t>
        </w:r>
        <w:r w:rsidRPr="005C56D9">
          <w:rPr>
            <w:rStyle w:val="af7"/>
            <w:rFonts w:eastAsia="Calibri"/>
            <w:noProof/>
            <w:highlight w:val="green"/>
          </w:rPr>
          <w:t>»</w:t>
        </w:r>
        <w:r>
          <w:rPr>
            <w:noProof/>
            <w:webHidden/>
          </w:rPr>
          <w:tab/>
        </w:r>
        <w:r>
          <w:rPr>
            <w:noProof/>
            <w:webHidden/>
          </w:rPr>
          <w:fldChar w:fldCharType="begin"/>
        </w:r>
        <w:r>
          <w:rPr>
            <w:noProof/>
            <w:webHidden/>
          </w:rPr>
          <w:instrText xml:space="preserve"> PAGEREF _Toc219309381 \h </w:instrText>
        </w:r>
        <w:r>
          <w:rPr>
            <w:noProof/>
            <w:webHidden/>
          </w:rPr>
        </w:r>
        <w:r>
          <w:rPr>
            <w:noProof/>
            <w:webHidden/>
          </w:rPr>
          <w:fldChar w:fldCharType="separate"/>
        </w:r>
        <w:r>
          <w:rPr>
            <w:noProof/>
            <w:webHidden/>
          </w:rPr>
          <w:t>517</w:t>
        </w:r>
        <w:r>
          <w:rPr>
            <w:noProof/>
            <w:webHidden/>
          </w:rPr>
          <w:fldChar w:fldCharType="end"/>
        </w:r>
      </w:hyperlink>
    </w:p>
    <w:p w14:paraId="3FDB692B"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82" w:history="1">
        <w:r w:rsidRPr="005C56D9">
          <w:rPr>
            <w:rStyle w:val="af7"/>
            <w:rFonts w:eastAsia="Calibri"/>
            <w:noProof/>
            <w:highlight w:val="green"/>
          </w:rPr>
          <w:t>Таблица </w:t>
        </w:r>
        <w:r>
          <w:rPr>
            <w:rFonts w:asciiTheme="minorHAnsi" w:eastAsiaTheme="minorEastAsia" w:hAnsiTheme="minorHAnsi" w:cstheme="minorBidi"/>
            <w:noProof/>
            <w:sz w:val="22"/>
            <w:szCs w:val="22"/>
          </w:rPr>
          <w:tab/>
        </w:r>
        <w:r w:rsidRPr="005C56D9">
          <w:rPr>
            <w:rStyle w:val="af7"/>
            <w:rFonts w:eastAsia="Calibri"/>
            <w:noProof/>
            <w:highlight w:val="green"/>
          </w:rPr>
          <w:t>352 – Описание комплексного типа «</w:t>
        </w:r>
        <w:r w:rsidRPr="005C56D9">
          <w:rPr>
            <w:rStyle w:val="af7"/>
            <w:noProof/>
            <w:highlight w:val="green"/>
          </w:rPr>
          <w:t>t</w:t>
        </w:r>
        <w:r w:rsidRPr="005C56D9">
          <w:rPr>
            <w:rStyle w:val="af7"/>
            <w:noProof/>
            <w:highlight w:val="green"/>
            <w:lang w:val="en-US"/>
          </w:rPr>
          <w:t>Inf</w:t>
        </w:r>
        <w:r w:rsidRPr="005C56D9">
          <w:rPr>
            <w:rStyle w:val="af7"/>
            <w:noProof/>
            <w:highlight w:val="green"/>
          </w:rPr>
          <w:t>_Draft_Contract</w:t>
        </w:r>
        <w:r w:rsidRPr="005C56D9">
          <w:rPr>
            <w:rStyle w:val="af7"/>
            <w:rFonts w:eastAsia="Calibri"/>
            <w:noProof/>
            <w:highlight w:val="green"/>
          </w:rPr>
          <w:t>»</w:t>
        </w:r>
        <w:r>
          <w:rPr>
            <w:noProof/>
            <w:webHidden/>
          </w:rPr>
          <w:tab/>
        </w:r>
        <w:r>
          <w:rPr>
            <w:noProof/>
            <w:webHidden/>
          </w:rPr>
          <w:fldChar w:fldCharType="begin"/>
        </w:r>
        <w:r>
          <w:rPr>
            <w:noProof/>
            <w:webHidden/>
          </w:rPr>
          <w:instrText xml:space="preserve"> PAGEREF _Toc219309382 \h </w:instrText>
        </w:r>
        <w:r>
          <w:rPr>
            <w:noProof/>
            <w:webHidden/>
          </w:rPr>
        </w:r>
        <w:r>
          <w:rPr>
            <w:noProof/>
            <w:webHidden/>
          </w:rPr>
          <w:fldChar w:fldCharType="separate"/>
        </w:r>
        <w:r>
          <w:rPr>
            <w:noProof/>
            <w:webHidden/>
          </w:rPr>
          <w:t>517</w:t>
        </w:r>
        <w:r>
          <w:rPr>
            <w:noProof/>
            <w:webHidden/>
          </w:rPr>
          <w:fldChar w:fldCharType="end"/>
        </w:r>
      </w:hyperlink>
    </w:p>
    <w:p w14:paraId="5F5E61EC"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83" w:history="1">
        <w:r w:rsidRPr="005C56D9">
          <w:rPr>
            <w:rStyle w:val="af7"/>
            <w:rFonts w:eastAsia="Calibri"/>
            <w:noProof/>
            <w:highlight w:val="green"/>
          </w:rPr>
          <w:t>Таблица </w:t>
        </w:r>
        <w:r>
          <w:rPr>
            <w:rFonts w:asciiTheme="minorHAnsi" w:eastAsiaTheme="minorEastAsia" w:hAnsiTheme="minorHAnsi" w:cstheme="minorBidi"/>
            <w:noProof/>
            <w:sz w:val="22"/>
            <w:szCs w:val="22"/>
          </w:rPr>
          <w:tab/>
        </w:r>
        <w:r w:rsidRPr="005C56D9">
          <w:rPr>
            <w:rStyle w:val="af7"/>
            <w:rFonts w:eastAsia="Calibri"/>
            <w:noProof/>
            <w:highlight w:val="green"/>
          </w:rPr>
          <w:t>353 – Описание комплексного типа «tV</w:t>
        </w:r>
        <w:r w:rsidRPr="005C56D9">
          <w:rPr>
            <w:rStyle w:val="af7"/>
            <w:rFonts w:eastAsia="Calibri"/>
            <w:noProof/>
            <w:highlight w:val="green"/>
            <w:lang w:val="en-US"/>
          </w:rPr>
          <w:t>id</w:t>
        </w:r>
        <w:r w:rsidRPr="005C56D9">
          <w:rPr>
            <w:rStyle w:val="af7"/>
            <w:rFonts w:eastAsia="Calibri"/>
            <w:noProof/>
            <w:highlight w:val="green"/>
          </w:rPr>
          <w:t>D</w:t>
        </w:r>
        <w:r w:rsidRPr="005C56D9">
          <w:rPr>
            <w:rStyle w:val="af7"/>
            <w:rFonts w:eastAsia="Calibri"/>
            <w:noProof/>
            <w:highlight w:val="green"/>
            <w:lang w:val="en-US"/>
          </w:rPr>
          <w:t>oc</w:t>
        </w:r>
        <w:r w:rsidRPr="005C56D9">
          <w:rPr>
            <w:rStyle w:val="af7"/>
            <w:rFonts w:eastAsia="Calibri"/>
            <w:noProof/>
            <w:highlight w:val="green"/>
          </w:rPr>
          <w:t>Complex»</w:t>
        </w:r>
        <w:r>
          <w:rPr>
            <w:noProof/>
            <w:webHidden/>
          </w:rPr>
          <w:tab/>
        </w:r>
        <w:r>
          <w:rPr>
            <w:noProof/>
            <w:webHidden/>
          </w:rPr>
          <w:fldChar w:fldCharType="begin"/>
        </w:r>
        <w:r>
          <w:rPr>
            <w:noProof/>
            <w:webHidden/>
          </w:rPr>
          <w:instrText xml:space="preserve"> PAGEREF _Toc219309383 \h </w:instrText>
        </w:r>
        <w:r>
          <w:rPr>
            <w:noProof/>
            <w:webHidden/>
          </w:rPr>
        </w:r>
        <w:r>
          <w:rPr>
            <w:noProof/>
            <w:webHidden/>
          </w:rPr>
          <w:fldChar w:fldCharType="separate"/>
        </w:r>
        <w:r>
          <w:rPr>
            <w:noProof/>
            <w:webHidden/>
          </w:rPr>
          <w:t>519</w:t>
        </w:r>
        <w:r>
          <w:rPr>
            <w:noProof/>
            <w:webHidden/>
          </w:rPr>
          <w:fldChar w:fldCharType="end"/>
        </w:r>
      </w:hyperlink>
    </w:p>
    <w:p w14:paraId="42DF89A1"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84" w:history="1">
        <w:r w:rsidRPr="005C56D9">
          <w:rPr>
            <w:rStyle w:val="af7"/>
            <w:rFonts w:eastAsia="Calibri"/>
            <w:noProof/>
            <w:highlight w:val="green"/>
          </w:rPr>
          <w:t>Таблица </w:t>
        </w:r>
        <w:r>
          <w:rPr>
            <w:rFonts w:asciiTheme="minorHAnsi" w:eastAsiaTheme="minorEastAsia" w:hAnsiTheme="minorHAnsi" w:cstheme="minorBidi"/>
            <w:noProof/>
            <w:sz w:val="22"/>
            <w:szCs w:val="22"/>
          </w:rPr>
          <w:tab/>
        </w:r>
        <w:r w:rsidRPr="005C56D9">
          <w:rPr>
            <w:rStyle w:val="af7"/>
            <w:rFonts w:eastAsia="Calibri"/>
            <w:noProof/>
            <w:highlight w:val="green"/>
          </w:rPr>
          <w:t>354 – Описание комплексного типа «tTablePlanPay»</w:t>
        </w:r>
        <w:r>
          <w:rPr>
            <w:noProof/>
            <w:webHidden/>
          </w:rPr>
          <w:tab/>
        </w:r>
        <w:r>
          <w:rPr>
            <w:noProof/>
            <w:webHidden/>
          </w:rPr>
          <w:fldChar w:fldCharType="begin"/>
        </w:r>
        <w:r>
          <w:rPr>
            <w:noProof/>
            <w:webHidden/>
          </w:rPr>
          <w:instrText xml:space="preserve"> PAGEREF _Toc219309384 \h </w:instrText>
        </w:r>
        <w:r>
          <w:rPr>
            <w:noProof/>
            <w:webHidden/>
          </w:rPr>
        </w:r>
        <w:r>
          <w:rPr>
            <w:noProof/>
            <w:webHidden/>
          </w:rPr>
          <w:fldChar w:fldCharType="separate"/>
        </w:r>
        <w:r>
          <w:rPr>
            <w:noProof/>
            <w:webHidden/>
          </w:rPr>
          <w:t>519</w:t>
        </w:r>
        <w:r>
          <w:rPr>
            <w:noProof/>
            <w:webHidden/>
          </w:rPr>
          <w:fldChar w:fldCharType="end"/>
        </w:r>
      </w:hyperlink>
    </w:p>
    <w:p w14:paraId="14AFB8BD"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85" w:history="1">
        <w:r w:rsidRPr="005C56D9">
          <w:rPr>
            <w:rStyle w:val="af7"/>
            <w:rFonts w:eastAsia="Calibri"/>
            <w:noProof/>
            <w:highlight w:val="green"/>
          </w:rPr>
          <w:t>Таблица </w:t>
        </w:r>
        <w:r>
          <w:rPr>
            <w:rFonts w:asciiTheme="minorHAnsi" w:eastAsiaTheme="minorEastAsia" w:hAnsiTheme="minorHAnsi" w:cstheme="minorBidi"/>
            <w:noProof/>
            <w:sz w:val="22"/>
            <w:szCs w:val="22"/>
          </w:rPr>
          <w:tab/>
        </w:r>
        <w:r w:rsidRPr="005C56D9">
          <w:rPr>
            <w:rStyle w:val="af7"/>
            <w:rFonts w:eastAsia="Calibri"/>
            <w:noProof/>
            <w:highlight w:val="green"/>
          </w:rPr>
          <w:t>355 – Описание комплексного типа «tTablePlanPay_ITEM»</w:t>
        </w:r>
        <w:r>
          <w:rPr>
            <w:noProof/>
            <w:webHidden/>
          </w:rPr>
          <w:tab/>
        </w:r>
        <w:r>
          <w:rPr>
            <w:noProof/>
            <w:webHidden/>
          </w:rPr>
          <w:fldChar w:fldCharType="begin"/>
        </w:r>
        <w:r>
          <w:rPr>
            <w:noProof/>
            <w:webHidden/>
          </w:rPr>
          <w:instrText xml:space="preserve"> PAGEREF _Toc219309385 \h </w:instrText>
        </w:r>
        <w:r>
          <w:rPr>
            <w:noProof/>
            <w:webHidden/>
          </w:rPr>
        </w:r>
        <w:r>
          <w:rPr>
            <w:noProof/>
            <w:webHidden/>
          </w:rPr>
          <w:fldChar w:fldCharType="separate"/>
        </w:r>
        <w:r>
          <w:rPr>
            <w:noProof/>
            <w:webHidden/>
          </w:rPr>
          <w:t>520</w:t>
        </w:r>
        <w:r>
          <w:rPr>
            <w:noProof/>
            <w:webHidden/>
          </w:rPr>
          <w:fldChar w:fldCharType="end"/>
        </w:r>
      </w:hyperlink>
    </w:p>
    <w:p w14:paraId="344ED692"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86" w:history="1">
        <w:r w:rsidRPr="005C56D9">
          <w:rPr>
            <w:rStyle w:val="af7"/>
            <w:rFonts w:eastAsia="Calibri"/>
            <w:noProof/>
            <w:highlight w:val="green"/>
          </w:rPr>
          <w:t>Таблица </w:t>
        </w:r>
        <w:r>
          <w:rPr>
            <w:rFonts w:asciiTheme="minorHAnsi" w:eastAsiaTheme="minorEastAsia" w:hAnsiTheme="minorHAnsi" w:cstheme="minorBidi"/>
            <w:noProof/>
            <w:sz w:val="22"/>
            <w:szCs w:val="22"/>
          </w:rPr>
          <w:tab/>
        </w:r>
        <w:r w:rsidRPr="005C56D9">
          <w:rPr>
            <w:rStyle w:val="af7"/>
            <w:rFonts w:eastAsia="Calibri"/>
            <w:noProof/>
            <w:highlight w:val="green"/>
          </w:rPr>
          <w:t>356 – Описание комплексного типа «</w:t>
        </w:r>
        <w:r w:rsidRPr="005C56D9">
          <w:rPr>
            <w:rStyle w:val="af7"/>
            <w:noProof/>
            <w:highlight w:val="green"/>
          </w:rPr>
          <w:t>tT</w:t>
        </w:r>
        <w:r w:rsidRPr="005C56D9">
          <w:rPr>
            <w:rStyle w:val="af7"/>
            <w:noProof/>
            <w:highlight w:val="green"/>
            <w:lang w:val="en-US"/>
          </w:rPr>
          <w:t>ableT</w:t>
        </w:r>
        <w:r w:rsidRPr="005C56D9">
          <w:rPr>
            <w:rStyle w:val="af7"/>
            <w:noProof/>
            <w:highlight w:val="green"/>
          </w:rPr>
          <w:t>r</w:t>
        </w:r>
        <w:r w:rsidRPr="005C56D9">
          <w:rPr>
            <w:rStyle w:val="af7"/>
            <w:noProof/>
            <w:highlight w:val="green"/>
            <w:lang w:val="en-US"/>
          </w:rPr>
          <w:t>s</w:t>
        </w:r>
        <w:r w:rsidRPr="005C56D9">
          <w:rPr>
            <w:rStyle w:val="af7"/>
            <w:noProof/>
            <w:highlight w:val="green"/>
          </w:rPr>
          <w:t>cr</w:t>
        </w:r>
        <w:r w:rsidRPr="005C56D9">
          <w:rPr>
            <w:rStyle w:val="af7"/>
            <w:rFonts w:eastAsia="Calibri"/>
            <w:noProof/>
            <w:highlight w:val="green"/>
          </w:rPr>
          <w:t>»</w:t>
        </w:r>
        <w:r>
          <w:rPr>
            <w:noProof/>
            <w:webHidden/>
          </w:rPr>
          <w:tab/>
        </w:r>
        <w:r>
          <w:rPr>
            <w:noProof/>
            <w:webHidden/>
          </w:rPr>
          <w:fldChar w:fldCharType="begin"/>
        </w:r>
        <w:r>
          <w:rPr>
            <w:noProof/>
            <w:webHidden/>
          </w:rPr>
          <w:instrText xml:space="preserve"> PAGEREF _Toc219309386 \h </w:instrText>
        </w:r>
        <w:r>
          <w:rPr>
            <w:noProof/>
            <w:webHidden/>
          </w:rPr>
        </w:r>
        <w:r>
          <w:rPr>
            <w:noProof/>
            <w:webHidden/>
          </w:rPr>
          <w:fldChar w:fldCharType="separate"/>
        </w:r>
        <w:r>
          <w:rPr>
            <w:noProof/>
            <w:webHidden/>
          </w:rPr>
          <w:t>521</w:t>
        </w:r>
        <w:r>
          <w:rPr>
            <w:noProof/>
            <w:webHidden/>
          </w:rPr>
          <w:fldChar w:fldCharType="end"/>
        </w:r>
      </w:hyperlink>
    </w:p>
    <w:p w14:paraId="4F8A6373"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87" w:history="1">
        <w:r w:rsidRPr="005C56D9">
          <w:rPr>
            <w:rStyle w:val="af7"/>
            <w:rFonts w:eastAsia="Calibri"/>
            <w:noProof/>
            <w:highlight w:val="green"/>
          </w:rPr>
          <w:t>Таблица </w:t>
        </w:r>
        <w:r>
          <w:rPr>
            <w:rFonts w:asciiTheme="minorHAnsi" w:eastAsiaTheme="minorEastAsia" w:hAnsiTheme="minorHAnsi" w:cstheme="minorBidi"/>
            <w:noProof/>
            <w:sz w:val="22"/>
            <w:szCs w:val="22"/>
          </w:rPr>
          <w:tab/>
        </w:r>
        <w:r w:rsidRPr="005C56D9">
          <w:rPr>
            <w:rStyle w:val="af7"/>
            <w:rFonts w:eastAsia="Calibri"/>
            <w:noProof/>
            <w:highlight w:val="green"/>
          </w:rPr>
          <w:t>357 – Описание комплексного типа «tTableTr</w:t>
        </w:r>
        <w:r w:rsidRPr="005C56D9">
          <w:rPr>
            <w:rStyle w:val="af7"/>
            <w:rFonts w:eastAsia="Calibri"/>
            <w:noProof/>
            <w:highlight w:val="green"/>
            <w:lang w:val="en-US"/>
          </w:rPr>
          <w:t>s</w:t>
        </w:r>
        <w:r w:rsidRPr="005C56D9">
          <w:rPr>
            <w:rStyle w:val="af7"/>
            <w:rFonts w:eastAsia="Calibri"/>
            <w:noProof/>
            <w:highlight w:val="green"/>
          </w:rPr>
          <w:t>cr_ITEM»</w:t>
        </w:r>
        <w:r>
          <w:rPr>
            <w:noProof/>
            <w:webHidden/>
          </w:rPr>
          <w:tab/>
        </w:r>
        <w:r>
          <w:rPr>
            <w:noProof/>
            <w:webHidden/>
          </w:rPr>
          <w:fldChar w:fldCharType="begin"/>
        </w:r>
        <w:r>
          <w:rPr>
            <w:noProof/>
            <w:webHidden/>
          </w:rPr>
          <w:instrText xml:space="preserve"> PAGEREF _Toc219309387 \h </w:instrText>
        </w:r>
        <w:r>
          <w:rPr>
            <w:noProof/>
            <w:webHidden/>
          </w:rPr>
        </w:r>
        <w:r>
          <w:rPr>
            <w:noProof/>
            <w:webHidden/>
          </w:rPr>
          <w:fldChar w:fldCharType="separate"/>
        </w:r>
        <w:r>
          <w:rPr>
            <w:noProof/>
            <w:webHidden/>
          </w:rPr>
          <w:t>521</w:t>
        </w:r>
        <w:r>
          <w:rPr>
            <w:noProof/>
            <w:webHidden/>
          </w:rPr>
          <w:fldChar w:fldCharType="end"/>
        </w:r>
      </w:hyperlink>
    </w:p>
    <w:p w14:paraId="0B160667"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88" w:history="1">
        <w:r w:rsidRPr="005C56D9">
          <w:rPr>
            <w:rStyle w:val="af7"/>
            <w:rFonts w:eastAsia="Calibri"/>
            <w:noProof/>
            <w:highlight w:val="green"/>
          </w:rPr>
          <w:t>Таблица </w:t>
        </w:r>
        <w:r>
          <w:rPr>
            <w:rFonts w:asciiTheme="minorHAnsi" w:eastAsiaTheme="minorEastAsia" w:hAnsiTheme="minorHAnsi" w:cstheme="minorBidi"/>
            <w:noProof/>
            <w:sz w:val="22"/>
            <w:szCs w:val="22"/>
          </w:rPr>
          <w:tab/>
        </w:r>
        <w:r w:rsidRPr="005C56D9">
          <w:rPr>
            <w:rStyle w:val="af7"/>
            <w:rFonts w:eastAsia="Calibri"/>
            <w:noProof/>
            <w:highlight w:val="green"/>
          </w:rPr>
          <w:t>358 – Маршрут документа «</w:t>
        </w:r>
        <w:r w:rsidRPr="005C56D9">
          <w:rPr>
            <w:rStyle w:val="af7"/>
            <w:noProof/>
            <w:highlight w:val="green"/>
          </w:rPr>
          <w:t>Сведения об объемах средств, указанных в нормативных правовых актах, предусматривающих в соответствии с бюджетным законодательством Российской Федерации возможность заключения государственного (муниципального) контракта на срок, превышающий срок действия доведенных лимитов бюджетных обязательств</w:t>
        </w:r>
        <w:r w:rsidRPr="005C56D9">
          <w:rPr>
            <w:rStyle w:val="af7"/>
            <w:rFonts w:eastAsia="Calibri"/>
            <w:noProof/>
            <w:highlight w:val="green"/>
          </w:rPr>
          <w:t>»</w:t>
        </w:r>
        <w:r>
          <w:rPr>
            <w:noProof/>
            <w:webHidden/>
          </w:rPr>
          <w:tab/>
        </w:r>
        <w:r>
          <w:rPr>
            <w:noProof/>
            <w:webHidden/>
          </w:rPr>
          <w:fldChar w:fldCharType="begin"/>
        </w:r>
        <w:r>
          <w:rPr>
            <w:noProof/>
            <w:webHidden/>
          </w:rPr>
          <w:instrText xml:space="preserve"> PAGEREF _Toc219309388 \h </w:instrText>
        </w:r>
        <w:r>
          <w:rPr>
            <w:noProof/>
            <w:webHidden/>
          </w:rPr>
        </w:r>
        <w:r>
          <w:rPr>
            <w:noProof/>
            <w:webHidden/>
          </w:rPr>
          <w:fldChar w:fldCharType="separate"/>
        </w:r>
        <w:r>
          <w:rPr>
            <w:noProof/>
            <w:webHidden/>
          </w:rPr>
          <w:t>524</w:t>
        </w:r>
        <w:r>
          <w:rPr>
            <w:noProof/>
            <w:webHidden/>
          </w:rPr>
          <w:fldChar w:fldCharType="end"/>
        </w:r>
      </w:hyperlink>
    </w:p>
    <w:p w14:paraId="670045CD"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89" w:history="1">
        <w:r w:rsidRPr="005C56D9">
          <w:rPr>
            <w:rStyle w:val="af7"/>
            <w:rFonts w:eastAsia="Calibri"/>
            <w:noProof/>
            <w:highlight w:val="green"/>
          </w:rPr>
          <w:t>Таблица </w:t>
        </w:r>
        <w:r>
          <w:rPr>
            <w:rFonts w:asciiTheme="minorHAnsi" w:eastAsiaTheme="minorEastAsia" w:hAnsiTheme="minorHAnsi" w:cstheme="minorBidi"/>
            <w:noProof/>
            <w:sz w:val="22"/>
            <w:szCs w:val="22"/>
          </w:rPr>
          <w:tab/>
        </w:r>
        <w:r w:rsidRPr="005C56D9">
          <w:rPr>
            <w:rStyle w:val="af7"/>
            <w:rFonts w:eastAsia="Calibri"/>
            <w:noProof/>
            <w:highlight w:val="green"/>
          </w:rPr>
          <w:t>359 – Описание комплексного типа «</w:t>
        </w:r>
        <w:r w:rsidRPr="005C56D9">
          <w:rPr>
            <w:rStyle w:val="af7"/>
            <w:noProof/>
            <w:highlight w:val="green"/>
          </w:rPr>
          <w:t>t</w:t>
        </w:r>
        <w:r w:rsidRPr="005C56D9">
          <w:rPr>
            <w:rStyle w:val="af7"/>
            <w:noProof/>
            <w:highlight w:val="green"/>
            <w:lang w:val="en-US"/>
          </w:rPr>
          <w:t>Inf</w:t>
        </w:r>
        <w:r w:rsidRPr="005C56D9">
          <w:rPr>
            <w:rStyle w:val="af7"/>
            <w:noProof/>
            <w:highlight w:val="green"/>
          </w:rPr>
          <w:t>_</w:t>
        </w:r>
        <w:r w:rsidRPr="005C56D9">
          <w:rPr>
            <w:rStyle w:val="af7"/>
            <w:noProof/>
            <w:highlight w:val="green"/>
            <w:lang w:val="en-US"/>
          </w:rPr>
          <w:t>AmnFnds</w:t>
        </w:r>
        <w:r w:rsidRPr="005C56D9">
          <w:rPr>
            <w:rStyle w:val="af7"/>
            <w:noProof/>
            <w:highlight w:val="green"/>
          </w:rPr>
          <w:t>_</w:t>
        </w:r>
        <w:r w:rsidRPr="005C56D9">
          <w:rPr>
            <w:rStyle w:val="af7"/>
            <w:noProof/>
            <w:highlight w:val="green"/>
            <w:lang w:val="en-US"/>
          </w:rPr>
          <w:t>NPA</w:t>
        </w:r>
        <w:r w:rsidRPr="005C56D9">
          <w:rPr>
            <w:rStyle w:val="af7"/>
            <w:rFonts w:eastAsia="Calibri"/>
            <w:noProof/>
            <w:highlight w:val="green"/>
          </w:rPr>
          <w:t>»</w:t>
        </w:r>
        <w:r>
          <w:rPr>
            <w:noProof/>
            <w:webHidden/>
          </w:rPr>
          <w:tab/>
        </w:r>
        <w:r>
          <w:rPr>
            <w:noProof/>
            <w:webHidden/>
          </w:rPr>
          <w:fldChar w:fldCharType="begin"/>
        </w:r>
        <w:r>
          <w:rPr>
            <w:noProof/>
            <w:webHidden/>
          </w:rPr>
          <w:instrText xml:space="preserve"> PAGEREF _Toc219309389 \h </w:instrText>
        </w:r>
        <w:r>
          <w:rPr>
            <w:noProof/>
            <w:webHidden/>
          </w:rPr>
        </w:r>
        <w:r>
          <w:rPr>
            <w:noProof/>
            <w:webHidden/>
          </w:rPr>
          <w:fldChar w:fldCharType="separate"/>
        </w:r>
        <w:r>
          <w:rPr>
            <w:noProof/>
            <w:webHidden/>
          </w:rPr>
          <w:t>524</w:t>
        </w:r>
        <w:r>
          <w:rPr>
            <w:noProof/>
            <w:webHidden/>
          </w:rPr>
          <w:fldChar w:fldCharType="end"/>
        </w:r>
      </w:hyperlink>
    </w:p>
    <w:p w14:paraId="1082C602"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90" w:history="1">
        <w:r w:rsidRPr="005C56D9">
          <w:rPr>
            <w:rStyle w:val="af7"/>
            <w:rFonts w:eastAsia="Calibri"/>
            <w:noProof/>
            <w:highlight w:val="green"/>
          </w:rPr>
          <w:t>Таблица </w:t>
        </w:r>
        <w:r>
          <w:rPr>
            <w:rFonts w:asciiTheme="minorHAnsi" w:eastAsiaTheme="minorEastAsia" w:hAnsiTheme="minorHAnsi" w:cstheme="minorBidi"/>
            <w:noProof/>
            <w:sz w:val="22"/>
            <w:szCs w:val="22"/>
          </w:rPr>
          <w:tab/>
        </w:r>
        <w:r w:rsidRPr="005C56D9">
          <w:rPr>
            <w:rStyle w:val="af7"/>
            <w:rFonts w:eastAsia="Calibri"/>
            <w:noProof/>
            <w:highlight w:val="green"/>
          </w:rPr>
          <w:t>360 – Описание комплексного типа «tV</w:t>
        </w:r>
        <w:r w:rsidRPr="005C56D9">
          <w:rPr>
            <w:rStyle w:val="af7"/>
            <w:rFonts w:eastAsia="Calibri"/>
            <w:noProof/>
            <w:highlight w:val="green"/>
            <w:lang w:val="en-US"/>
          </w:rPr>
          <w:t>id</w:t>
        </w:r>
        <w:r w:rsidRPr="005C56D9">
          <w:rPr>
            <w:rStyle w:val="af7"/>
            <w:rFonts w:eastAsia="Calibri"/>
            <w:noProof/>
            <w:highlight w:val="green"/>
          </w:rPr>
          <w:t>D</w:t>
        </w:r>
        <w:r w:rsidRPr="005C56D9">
          <w:rPr>
            <w:rStyle w:val="af7"/>
            <w:rFonts w:eastAsia="Calibri"/>
            <w:noProof/>
            <w:highlight w:val="green"/>
            <w:lang w:val="en-US"/>
          </w:rPr>
          <w:t>oc</w:t>
        </w:r>
        <w:r w:rsidRPr="005C56D9">
          <w:rPr>
            <w:rStyle w:val="af7"/>
            <w:rFonts w:eastAsia="Calibri"/>
            <w:noProof/>
            <w:highlight w:val="green"/>
          </w:rPr>
          <w:t>Complex»</w:t>
        </w:r>
        <w:r>
          <w:rPr>
            <w:noProof/>
            <w:webHidden/>
          </w:rPr>
          <w:tab/>
        </w:r>
        <w:r>
          <w:rPr>
            <w:noProof/>
            <w:webHidden/>
          </w:rPr>
          <w:fldChar w:fldCharType="begin"/>
        </w:r>
        <w:r>
          <w:rPr>
            <w:noProof/>
            <w:webHidden/>
          </w:rPr>
          <w:instrText xml:space="preserve"> PAGEREF _Toc219309390 \h </w:instrText>
        </w:r>
        <w:r>
          <w:rPr>
            <w:noProof/>
            <w:webHidden/>
          </w:rPr>
        </w:r>
        <w:r>
          <w:rPr>
            <w:noProof/>
            <w:webHidden/>
          </w:rPr>
          <w:fldChar w:fldCharType="separate"/>
        </w:r>
        <w:r>
          <w:rPr>
            <w:noProof/>
            <w:webHidden/>
          </w:rPr>
          <w:t>527</w:t>
        </w:r>
        <w:r>
          <w:rPr>
            <w:noProof/>
            <w:webHidden/>
          </w:rPr>
          <w:fldChar w:fldCharType="end"/>
        </w:r>
      </w:hyperlink>
    </w:p>
    <w:p w14:paraId="03F2E9DC"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91" w:history="1">
        <w:r w:rsidRPr="005C56D9">
          <w:rPr>
            <w:rStyle w:val="af7"/>
            <w:rFonts w:eastAsia="Calibri"/>
            <w:noProof/>
            <w:highlight w:val="green"/>
          </w:rPr>
          <w:t>Таблица </w:t>
        </w:r>
        <w:r>
          <w:rPr>
            <w:rFonts w:asciiTheme="minorHAnsi" w:eastAsiaTheme="minorEastAsia" w:hAnsiTheme="minorHAnsi" w:cstheme="minorBidi"/>
            <w:noProof/>
            <w:sz w:val="22"/>
            <w:szCs w:val="22"/>
          </w:rPr>
          <w:tab/>
        </w:r>
        <w:r w:rsidRPr="005C56D9">
          <w:rPr>
            <w:rStyle w:val="af7"/>
            <w:rFonts w:eastAsia="Calibri"/>
            <w:noProof/>
            <w:highlight w:val="green"/>
          </w:rPr>
          <w:t>361 – Описание комплексного типа «</w:t>
        </w:r>
        <w:r w:rsidRPr="005C56D9">
          <w:rPr>
            <w:rStyle w:val="af7"/>
            <w:noProof/>
            <w:highlight w:val="green"/>
          </w:rPr>
          <w:t>t</w:t>
        </w:r>
        <w:r w:rsidRPr="005C56D9">
          <w:rPr>
            <w:rStyle w:val="af7"/>
            <w:noProof/>
            <w:highlight w:val="green"/>
            <w:lang w:val="en-US"/>
          </w:rPr>
          <w:t>TBL</w:t>
        </w:r>
        <w:r w:rsidRPr="005C56D9">
          <w:rPr>
            <w:rStyle w:val="af7"/>
            <w:noProof/>
            <w:highlight w:val="green"/>
          </w:rPr>
          <w:t>_NPAAmnt</w:t>
        </w:r>
        <w:r w:rsidRPr="005C56D9">
          <w:rPr>
            <w:rStyle w:val="af7"/>
            <w:rFonts w:eastAsia="Calibri"/>
            <w:noProof/>
            <w:highlight w:val="green"/>
          </w:rPr>
          <w:t>»</w:t>
        </w:r>
        <w:r>
          <w:rPr>
            <w:noProof/>
            <w:webHidden/>
          </w:rPr>
          <w:tab/>
        </w:r>
        <w:r>
          <w:rPr>
            <w:noProof/>
            <w:webHidden/>
          </w:rPr>
          <w:fldChar w:fldCharType="begin"/>
        </w:r>
        <w:r>
          <w:rPr>
            <w:noProof/>
            <w:webHidden/>
          </w:rPr>
          <w:instrText xml:space="preserve"> PAGEREF _Toc219309391 \h </w:instrText>
        </w:r>
        <w:r>
          <w:rPr>
            <w:noProof/>
            <w:webHidden/>
          </w:rPr>
        </w:r>
        <w:r>
          <w:rPr>
            <w:noProof/>
            <w:webHidden/>
          </w:rPr>
          <w:fldChar w:fldCharType="separate"/>
        </w:r>
        <w:r>
          <w:rPr>
            <w:noProof/>
            <w:webHidden/>
          </w:rPr>
          <w:t>527</w:t>
        </w:r>
        <w:r>
          <w:rPr>
            <w:noProof/>
            <w:webHidden/>
          </w:rPr>
          <w:fldChar w:fldCharType="end"/>
        </w:r>
      </w:hyperlink>
    </w:p>
    <w:p w14:paraId="19025A11"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92" w:history="1">
        <w:r w:rsidRPr="005C56D9">
          <w:rPr>
            <w:rStyle w:val="af7"/>
            <w:rFonts w:eastAsia="Calibri"/>
            <w:noProof/>
            <w:highlight w:val="green"/>
          </w:rPr>
          <w:t>Таблица </w:t>
        </w:r>
        <w:r>
          <w:rPr>
            <w:rFonts w:asciiTheme="minorHAnsi" w:eastAsiaTheme="minorEastAsia" w:hAnsiTheme="minorHAnsi" w:cstheme="minorBidi"/>
            <w:noProof/>
            <w:sz w:val="22"/>
            <w:szCs w:val="22"/>
          </w:rPr>
          <w:tab/>
        </w:r>
        <w:r w:rsidRPr="005C56D9">
          <w:rPr>
            <w:rStyle w:val="af7"/>
            <w:rFonts w:eastAsia="Calibri"/>
            <w:noProof/>
            <w:highlight w:val="green"/>
          </w:rPr>
          <w:t>362 – Описание комплексного типа «</w:t>
        </w:r>
        <w:r w:rsidRPr="005C56D9">
          <w:rPr>
            <w:rStyle w:val="af7"/>
            <w:noProof/>
            <w:highlight w:val="green"/>
          </w:rPr>
          <w:t>t</w:t>
        </w:r>
        <w:r w:rsidRPr="005C56D9">
          <w:rPr>
            <w:rStyle w:val="af7"/>
            <w:noProof/>
            <w:highlight w:val="green"/>
            <w:lang w:val="en-US"/>
          </w:rPr>
          <w:t>TBL</w:t>
        </w:r>
        <w:r w:rsidRPr="005C56D9">
          <w:rPr>
            <w:rStyle w:val="af7"/>
            <w:noProof/>
            <w:highlight w:val="green"/>
          </w:rPr>
          <w:t>_NPAAmnt_ITEM</w:t>
        </w:r>
        <w:r w:rsidRPr="005C56D9">
          <w:rPr>
            <w:rStyle w:val="af7"/>
            <w:rFonts w:eastAsia="Calibri"/>
            <w:noProof/>
            <w:highlight w:val="green"/>
          </w:rPr>
          <w:t>»</w:t>
        </w:r>
        <w:r>
          <w:rPr>
            <w:noProof/>
            <w:webHidden/>
          </w:rPr>
          <w:tab/>
        </w:r>
        <w:r>
          <w:rPr>
            <w:noProof/>
            <w:webHidden/>
          </w:rPr>
          <w:fldChar w:fldCharType="begin"/>
        </w:r>
        <w:r>
          <w:rPr>
            <w:noProof/>
            <w:webHidden/>
          </w:rPr>
          <w:instrText xml:space="preserve"> PAGEREF _Toc219309392 \h </w:instrText>
        </w:r>
        <w:r>
          <w:rPr>
            <w:noProof/>
            <w:webHidden/>
          </w:rPr>
        </w:r>
        <w:r>
          <w:rPr>
            <w:noProof/>
            <w:webHidden/>
          </w:rPr>
          <w:fldChar w:fldCharType="separate"/>
        </w:r>
        <w:r>
          <w:rPr>
            <w:noProof/>
            <w:webHidden/>
          </w:rPr>
          <w:t>528</w:t>
        </w:r>
        <w:r>
          <w:rPr>
            <w:noProof/>
            <w:webHidden/>
          </w:rPr>
          <w:fldChar w:fldCharType="end"/>
        </w:r>
      </w:hyperlink>
    </w:p>
    <w:p w14:paraId="0A45FA0C"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93" w:history="1">
        <w:r w:rsidRPr="005C56D9">
          <w:rPr>
            <w:rStyle w:val="af7"/>
            <w:rFonts w:eastAsia="Calibri"/>
            <w:noProof/>
            <w:highlight w:val="green"/>
          </w:rPr>
          <w:t>Таблица </w:t>
        </w:r>
        <w:r>
          <w:rPr>
            <w:rFonts w:asciiTheme="minorHAnsi" w:eastAsiaTheme="minorEastAsia" w:hAnsiTheme="minorHAnsi" w:cstheme="minorBidi"/>
            <w:noProof/>
            <w:sz w:val="22"/>
            <w:szCs w:val="22"/>
          </w:rPr>
          <w:tab/>
        </w:r>
        <w:r w:rsidRPr="005C56D9">
          <w:rPr>
            <w:rStyle w:val="af7"/>
            <w:rFonts w:eastAsia="Calibri"/>
            <w:noProof/>
            <w:highlight w:val="green"/>
          </w:rPr>
          <w:t>363 – Описание комплексного типа «</w:t>
        </w:r>
        <w:r w:rsidRPr="005C56D9">
          <w:rPr>
            <w:rStyle w:val="af7"/>
            <w:noProof/>
            <w:highlight w:val="green"/>
          </w:rPr>
          <w:t>tKVR_NPAAmnt</w:t>
        </w:r>
        <w:r w:rsidRPr="005C56D9">
          <w:rPr>
            <w:rStyle w:val="af7"/>
            <w:rFonts w:eastAsia="Calibri"/>
            <w:noProof/>
            <w:highlight w:val="green"/>
          </w:rPr>
          <w:t>»</w:t>
        </w:r>
        <w:r>
          <w:rPr>
            <w:noProof/>
            <w:webHidden/>
          </w:rPr>
          <w:tab/>
        </w:r>
        <w:r>
          <w:rPr>
            <w:noProof/>
            <w:webHidden/>
          </w:rPr>
          <w:fldChar w:fldCharType="begin"/>
        </w:r>
        <w:r>
          <w:rPr>
            <w:noProof/>
            <w:webHidden/>
          </w:rPr>
          <w:instrText xml:space="preserve"> PAGEREF _Toc219309393 \h </w:instrText>
        </w:r>
        <w:r>
          <w:rPr>
            <w:noProof/>
            <w:webHidden/>
          </w:rPr>
        </w:r>
        <w:r>
          <w:rPr>
            <w:noProof/>
            <w:webHidden/>
          </w:rPr>
          <w:fldChar w:fldCharType="separate"/>
        </w:r>
        <w:r>
          <w:rPr>
            <w:noProof/>
            <w:webHidden/>
          </w:rPr>
          <w:t>529</w:t>
        </w:r>
        <w:r>
          <w:rPr>
            <w:noProof/>
            <w:webHidden/>
          </w:rPr>
          <w:fldChar w:fldCharType="end"/>
        </w:r>
      </w:hyperlink>
    </w:p>
    <w:p w14:paraId="399656DB"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94" w:history="1">
        <w:r w:rsidRPr="005C56D9">
          <w:rPr>
            <w:rStyle w:val="af7"/>
            <w:rFonts w:eastAsia="Calibri"/>
            <w:noProof/>
            <w:highlight w:val="green"/>
          </w:rPr>
          <w:t>Таблица </w:t>
        </w:r>
        <w:r>
          <w:rPr>
            <w:rFonts w:asciiTheme="minorHAnsi" w:eastAsiaTheme="minorEastAsia" w:hAnsiTheme="minorHAnsi" w:cstheme="minorBidi"/>
            <w:noProof/>
            <w:sz w:val="22"/>
            <w:szCs w:val="22"/>
          </w:rPr>
          <w:tab/>
        </w:r>
        <w:r w:rsidRPr="005C56D9">
          <w:rPr>
            <w:rStyle w:val="af7"/>
            <w:rFonts w:eastAsia="Calibri"/>
            <w:noProof/>
            <w:highlight w:val="green"/>
          </w:rPr>
          <w:t>364 – Описание комплексного типа «</w:t>
        </w:r>
        <w:r w:rsidRPr="005C56D9">
          <w:rPr>
            <w:rStyle w:val="af7"/>
            <w:noProof/>
            <w:highlight w:val="green"/>
          </w:rPr>
          <w:t>tKVR_NPAAmnt_ITEM</w:t>
        </w:r>
        <w:r w:rsidRPr="005C56D9">
          <w:rPr>
            <w:rStyle w:val="af7"/>
            <w:rFonts w:eastAsia="Calibri"/>
            <w:noProof/>
            <w:highlight w:val="green"/>
          </w:rPr>
          <w:t>»</w:t>
        </w:r>
        <w:r>
          <w:rPr>
            <w:noProof/>
            <w:webHidden/>
          </w:rPr>
          <w:tab/>
        </w:r>
        <w:r>
          <w:rPr>
            <w:noProof/>
            <w:webHidden/>
          </w:rPr>
          <w:fldChar w:fldCharType="begin"/>
        </w:r>
        <w:r>
          <w:rPr>
            <w:noProof/>
            <w:webHidden/>
          </w:rPr>
          <w:instrText xml:space="preserve"> PAGEREF _Toc219309394 \h </w:instrText>
        </w:r>
        <w:r>
          <w:rPr>
            <w:noProof/>
            <w:webHidden/>
          </w:rPr>
        </w:r>
        <w:r>
          <w:rPr>
            <w:noProof/>
            <w:webHidden/>
          </w:rPr>
          <w:fldChar w:fldCharType="separate"/>
        </w:r>
        <w:r>
          <w:rPr>
            <w:noProof/>
            <w:webHidden/>
          </w:rPr>
          <w:t>530</w:t>
        </w:r>
        <w:r>
          <w:rPr>
            <w:noProof/>
            <w:webHidden/>
          </w:rPr>
          <w:fldChar w:fldCharType="end"/>
        </w:r>
      </w:hyperlink>
    </w:p>
    <w:p w14:paraId="578EE7C0"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95"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365</w:t>
        </w:r>
        <w:r w:rsidRPr="005C56D9">
          <w:rPr>
            <w:rStyle w:val="af7"/>
            <w:rFonts w:eastAsia="Calibri"/>
            <w:noProof/>
          </w:rPr>
          <w:t xml:space="preserve"> –</w:t>
        </w:r>
        <w:r w:rsidRPr="005C56D9">
          <w:rPr>
            <w:rStyle w:val="af7"/>
            <w:noProof/>
          </w:rPr>
          <w:t xml:space="preserve"> Документы для обмена в </w:t>
        </w:r>
        <w:r w:rsidRPr="005C56D9">
          <w:rPr>
            <w:rStyle w:val="af7"/>
            <w:noProof/>
            <w:lang w:val="en-US"/>
          </w:rPr>
          <w:t>xml</w:t>
        </w:r>
        <w:r w:rsidRPr="005C56D9">
          <w:rPr>
            <w:rStyle w:val="af7"/>
            <w:noProof/>
          </w:rPr>
          <w:t>-формате</w:t>
        </w:r>
        <w:r>
          <w:rPr>
            <w:noProof/>
            <w:webHidden/>
          </w:rPr>
          <w:tab/>
        </w:r>
        <w:r>
          <w:rPr>
            <w:noProof/>
            <w:webHidden/>
          </w:rPr>
          <w:fldChar w:fldCharType="begin"/>
        </w:r>
        <w:r>
          <w:rPr>
            <w:noProof/>
            <w:webHidden/>
          </w:rPr>
          <w:instrText xml:space="preserve"> PAGEREF _Toc219309395 \h </w:instrText>
        </w:r>
        <w:r>
          <w:rPr>
            <w:noProof/>
            <w:webHidden/>
          </w:rPr>
        </w:r>
        <w:r>
          <w:rPr>
            <w:noProof/>
            <w:webHidden/>
          </w:rPr>
          <w:fldChar w:fldCharType="separate"/>
        </w:r>
        <w:r>
          <w:rPr>
            <w:noProof/>
            <w:webHidden/>
          </w:rPr>
          <w:t>534</w:t>
        </w:r>
        <w:r>
          <w:rPr>
            <w:noProof/>
            <w:webHidden/>
          </w:rPr>
          <w:fldChar w:fldCharType="end"/>
        </w:r>
      </w:hyperlink>
    </w:p>
    <w:p w14:paraId="205D8293"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96"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366</w:t>
        </w:r>
        <w:r w:rsidRPr="005C56D9">
          <w:rPr>
            <w:rStyle w:val="af7"/>
            <w:rFonts w:eastAsia="Calibri"/>
            <w:noProof/>
          </w:rPr>
          <w:t xml:space="preserve"> –</w:t>
        </w:r>
        <w:r w:rsidRPr="005C56D9">
          <w:rPr>
            <w:rStyle w:val="af7"/>
            <w:noProof/>
          </w:rPr>
          <w:t xml:space="preserve"> Маршрут документа «Запрос на предоставление выписки из казначейского счета»</w:t>
        </w:r>
        <w:r>
          <w:rPr>
            <w:noProof/>
            <w:webHidden/>
          </w:rPr>
          <w:tab/>
        </w:r>
        <w:r>
          <w:rPr>
            <w:noProof/>
            <w:webHidden/>
          </w:rPr>
          <w:fldChar w:fldCharType="begin"/>
        </w:r>
        <w:r>
          <w:rPr>
            <w:noProof/>
            <w:webHidden/>
          </w:rPr>
          <w:instrText xml:space="preserve"> PAGEREF _Toc219309396 \h </w:instrText>
        </w:r>
        <w:r>
          <w:rPr>
            <w:noProof/>
            <w:webHidden/>
          </w:rPr>
        </w:r>
        <w:r>
          <w:rPr>
            <w:noProof/>
            <w:webHidden/>
          </w:rPr>
          <w:fldChar w:fldCharType="separate"/>
        </w:r>
        <w:r>
          <w:rPr>
            <w:noProof/>
            <w:webHidden/>
          </w:rPr>
          <w:t>535</w:t>
        </w:r>
        <w:r>
          <w:rPr>
            <w:noProof/>
            <w:webHidden/>
          </w:rPr>
          <w:fldChar w:fldCharType="end"/>
        </w:r>
      </w:hyperlink>
    </w:p>
    <w:p w14:paraId="3E67025E"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97"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367</w:t>
        </w:r>
        <w:r w:rsidRPr="005C56D9">
          <w:rPr>
            <w:rStyle w:val="af7"/>
            <w:rFonts w:eastAsia="Calibri"/>
            <w:noProof/>
          </w:rPr>
          <w:t xml:space="preserve"> –</w:t>
        </w:r>
        <w:r w:rsidRPr="005C56D9">
          <w:rPr>
            <w:rStyle w:val="af7"/>
            <w:noProof/>
          </w:rPr>
          <w:t xml:space="preserve"> Описание комплексного типа «</w:t>
        </w:r>
        <w:r w:rsidRPr="005C56D9">
          <w:rPr>
            <w:rStyle w:val="af7"/>
            <w:noProof/>
            <w:lang w:val="en-US"/>
          </w:rPr>
          <w:t>tSKP</w:t>
        </w:r>
        <w:r w:rsidRPr="005C56D9">
          <w:rPr>
            <w:rStyle w:val="af7"/>
            <w:noProof/>
          </w:rPr>
          <w:t>_</w:t>
        </w:r>
        <w:r w:rsidRPr="005C56D9">
          <w:rPr>
            <w:rStyle w:val="af7"/>
            <w:noProof/>
            <w:lang w:val="en-US"/>
          </w:rPr>
          <w:t>REQREP</w:t>
        </w:r>
        <w:r w:rsidRPr="005C56D9">
          <w:rPr>
            <w:rStyle w:val="af7"/>
            <w:noProof/>
          </w:rPr>
          <w:t>_</w:t>
        </w:r>
        <w:r w:rsidRPr="005C56D9">
          <w:rPr>
            <w:rStyle w:val="af7"/>
            <w:noProof/>
            <w:lang w:val="en-US"/>
          </w:rPr>
          <w:t>KS</w:t>
        </w:r>
        <w:r w:rsidRPr="005C56D9">
          <w:rPr>
            <w:rStyle w:val="af7"/>
            <w:noProof/>
          </w:rPr>
          <w:t>»</w:t>
        </w:r>
        <w:r>
          <w:rPr>
            <w:noProof/>
            <w:webHidden/>
          </w:rPr>
          <w:tab/>
        </w:r>
        <w:r>
          <w:rPr>
            <w:noProof/>
            <w:webHidden/>
          </w:rPr>
          <w:fldChar w:fldCharType="begin"/>
        </w:r>
        <w:r>
          <w:rPr>
            <w:noProof/>
            <w:webHidden/>
          </w:rPr>
          <w:instrText xml:space="preserve"> PAGEREF _Toc219309397 \h </w:instrText>
        </w:r>
        <w:r>
          <w:rPr>
            <w:noProof/>
            <w:webHidden/>
          </w:rPr>
        </w:r>
        <w:r>
          <w:rPr>
            <w:noProof/>
            <w:webHidden/>
          </w:rPr>
          <w:fldChar w:fldCharType="separate"/>
        </w:r>
        <w:r>
          <w:rPr>
            <w:noProof/>
            <w:webHidden/>
          </w:rPr>
          <w:t>535</w:t>
        </w:r>
        <w:r>
          <w:rPr>
            <w:noProof/>
            <w:webHidden/>
          </w:rPr>
          <w:fldChar w:fldCharType="end"/>
        </w:r>
      </w:hyperlink>
    </w:p>
    <w:p w14:paraId="10D29622"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98"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368</w:t>
        </w:r>
        <w:r w:rsidRPr="005C56D9">
          <w:rPr>
            <w:rStyle w:val="af7"/>
            <w:rFonts w:eastAsia="Calibri"/>
            <w:noProof/>
          </w:rPr>
          <w:t xml:space="preserve"> –</w:t>
        </w:r>
        <w:r w:rsidRPr="005C56D9">
          <w:rPr>
            <w:rStyle w:val="af7"/>
            <w:noProof/>
          </w:rPr>
          <w:t xml:space="preserve"> Описание комплексного типа «tMSC_TOFK»</w:t>
        </w:r>
        <w:r>
          <w:rPr>
            <w:noProof/>
            <w:webHidden/>
          </w:rPr>
          <w:tab/>
        </w:r>
        <w:r>
          <w:rPr>
            <w:noProof/>
            <w:webHidden/>
          </w:rPr>
          <w:fldChar w:fldCharType="begin"/>
        </w:r>
        <w:r>
          <w:rPr>
            <w:noProof/>
            <w:webHidden/>
          </w:rPr>
          <w:instrText xml:space="preserve"> PAGEREF _Toc219309398 \h </w:instrText>
        </w:r>
        <w:r>
          <w:rPr>
            <w:noProof/>
            <w:webHidden/>
          </w:rPr>
        </w:r>
        <w:r>
          <w:rPr>
            <w:noProof/>
            <w:webHidden/>
          </w:rPr>
          <w:fldChar w:fldCharType="separate"/>
        </w:r>
        <w:r>
          <w:rPr>
            <w:noProof/>
            <w:webHidden/>
          </w:rPr>
          <w:t>536</w:t>
        </w:r>
        <w:r>
          <w:rPr>
            <w:noProof/>
            <w:webHidden/>
          </w:rPr>
          <w:fldChar w:fldCharType="end"/>
        </w:r>
      </w:hyperlink>
    </w:p>
    <w:p w14:paraId="79D662DA"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399"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369</w:t>
        </w:r>
        <w:r w:rsidRPr="005C56D9">
          <w:rPr>
            <w:rStyle w:val="af7"/>
            <w:rFonts w:eastAsia="Calibri"/>
            <w:noProof/>
          </w:rPr>
          <w:t xml:space="preserve"> –</w:t>
        </w:r>
        <w:r w:rsidRPr="005C56D9">
          <w:rPr>
            <w:rStyle w:val="af7"/>
            <w:noProof/>
          </w:rPr>
          <w:t xml:space="preserve"> Описание комплексного типа «</w:t>
        </w:r>
        <w:r w:rsidRPr="005C56D9">
          <w:rPr>
            <w:rStyle w:val="af7"/>
            <w:rFonts w:eastAsia="Calibri"/>
            <w:noProof/>
            <w:lang w:eastAsia="en-US"/>
          </w:rPr>
          <w:t>tMSC_Bdgt4</w:t>
        </w:r>
        <w:r w:rsidRPr="005C56D9">
          <w:rPr>
            <w:rStyle w:val="af7"/>
            <w:noProof/>
          </w:rPr>
          <w:t>»</w:t>
        </w:r>
        <w:r>
          <w:rPr>
            <w:noProof/>
            <w:webHidden/>
          </w:rPr>
          <w:tab/>
        </w:r>
        <w:r>
          <w:rPr>
            <w:noProof/>
            <w:webHidden/>
          </w:rPr>
          <w:fldChar w:fldCharType="begin"/>
        </w:r>
        <w:r>
          <w:rPr>
            <w:noProof/>
            <w:webHidden/>
          </w:rPr>
          <w:instrText xml:space="preserve"> PAGEREF _Toc219309399 \h </w:instrText>
        </w:r>
        <w:r>
          <w:rPr>
            <w:noProof/>
            <w:webHidden/>
          </w:rPr>
        </w:r>
        <w:r>
          <w:rPr>
            <w:noProof/>
            <w:webHidden/>
          </w:rPr>
          <w:fldChar w:fldCharType="separate"/>
        </w:r>
        <w:r>
          <w:rPr>
            <w:noProof/>
            <w:webHidden/>
          </w:rPr>
          <w:t>537</w:t>
        </w:r>
        <w:r>
          <w:rPr>
            <w:noProof/>
            <w:webHidden/>
          </w:rPr>
          <w:fldChar w:fldCharType="end"/>
        </w:r>
      </w:hyperlink>
    </w:p>
    <w:p w14:paraId="309B307E"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400"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370 – Описание комплексного типа «</w:t>
        </w:r>
        <w:r w:rsidRPr="005C56D9">
          <w:rPr>
            <w:rStyle w:val="af7"/>
            <w:noProof/>
          </w:rPr>
          <w:t>tTF</w:t>
        </w:r>
        <w:r w:rsidRPr="005C56D9">
          <w:rPr>
            <w:rStyle w:val="af7"/>
            <w:rFonts w:eastAsia="Calibri"/>
            <w:noProof/>
          </w:rPr>
          <w:t>»</w:t>
        </w:r>
        <w:r>
          <w:rPr>
            <w:noProof/>
            <w:webHidden/>
          </w:rPr>
          <w:tab/>
        </w:r>
        <w:r>
          <w:rPr>
            <w:noProof/>
            <w:webHidden/>
          </w:rPr>
          <w:fldChar w:fldCharType="begin"/>
        </w:r>
        <w:r>
          <w:rPr>
            <w:noProof/>
            <w:webHidden/>
          </w:rPr>
          <w:instrText xml:space="preserve"> PAGEREF _Toc219309400 \h </w:instrText>
        </w:r>
        <w:r>
          <w:rPr>
            <w:noProof/>
            <w:webHidden/>
          </w:rPr>
        </w:r>
        <w:r>
          <w:rPr>
            <w:noProof/>
            <w:webHidden/>
          </w:rPr>
          <w:fldChar w:fldCharType="separate"/>
        </w:r>
        <w:r>
          <w:rPr>
            <w:noProof/>
            <w:webHidden/>
          </w:rPr>
          <w:t>537</w:t>
        </w:r>
        <w:r>
          <w:rPr>
            <w:noProof/>
            <w:webHidden/>
          </w:rPr>
          <w:fldChar w:fldCharType="end"/>
        </w:r>
      </w:hyperlink>
    </w:p>
    <w:p w14:paraId="4CA02FCF"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401" w:history="1">
        <w:r w:rsidRPr="005C56D9">
          <w:rPr>
            <w:rStyle w:val="af7"/>
            <w:noProof/>
            <w:highlight w:val="green"/>
          </w:rPr>
          <w:t>Таблица </w:t>
        </w:r>
        <w:r>
          <w:rPr>
            <w:rFonts w:asciiTheme="minorHAnsi" w:eastAsiaTheme="minorEastAsia" w:hAnsiTheme="minorHAnsi" w:cstheme="minorBidi"/>
            <w:noProof/>
            <w:sz w:val="22"/>
            <w:szCs w:val="22"/>
          </w:rPr>
          <w:tab/>
        </w:r>
        <w:r w:rsidRPr="005C56D9">
          <w:rPr>
            <w:rStyle w:val="af7"/>
            <w:noProof/>
            <w:highlight w:val="green"/>
          </w:rPr>
          <w:t>371</w:t>
        </w:r>
        <w:r w:rsidRPr="005C56D9">
          <w:rPr>
            <w:rStyle w:val="af7"/>
            <w:rFonts w:eastAsia="Calibri"/>
            <w:noProof/>
            <w:highlight w:val="green"/>
          </w:rPr>
          <w:t xml:space="preserve"> – </w:t>
        </w:r>
        <w:r w:rsidRPr="005C56D9">
          <w:rPr>
            <w:rStyle w:val="af7"/>
            <w:noProof/>
            <w:highlight w:val="green"/>
          </w:rPr>
          <w:t xml:space="preserve">Документы для обмена в </w:t>
        </w:r>
        <w:r w:rsidRPr="005C56D9">
          <w:rPr>
            <w:rStyle w:val="af7"/>
            <w:noProof/>
            <w:highlight w:val="green"/>
            <w:lang w:val="en-US"/>
          </w:rPr>
          <w:t>xml</w:t>
        </w:r>
        <w:r w:rsidRPr="005C56D9">
          <w:rPr>
            <w:rStyle w:val="af7"/>
            <w:noProof/>
            <w:highlight w:val="green"/>
          </w:rPr>
          <w:t>-формате</w:t>
        </w:r>
        <w:r>
          <w:rPr>
            <w:noProof/>
            <w:webHidden/>
          </w:rPr>
          <w:tab/>
        </w:r>
        <w:r>
          <w:rPr>
            <w:noProof/>
            <w:webHidden/>
          </w:rPr>
          <w:fldChar w:fldCharType="begin"/>
        </w:r>
        <w:r>
          <w:rPr>
            <w:noProof/>
            <w:webHidden/>
          </w:rPr>
          <w:instrText xml:space="preserve"> PAGEREF _Toc219309401 \h </w:instrText>
        </w:r>
        <w:r>
          <w:rPr>
            <w:noProof/>
            <w:webHidden/>
          </w:rPr>
        </w:r>
        <w:r>
          <w:rPr>
            <w:noProof/>
            <w:webHidden/>
          </w:rPr>
          <w:fldChar w:fldCharType="separate"/>
        </w:r>
        <w:r>
          <w:rPr>
            <w:noProof/>
            <w:webHidden/>
          </w:rPr>
          <w:t>539</w:t>
        </w:r>
        <w:r>
          <w:rPr>
            <w:noProof/>
            <w:webHidden/>
          </w:rPr>
          <w:fldChar w:fldCharType="end"/>
        </w:r>
      </w:hyperlink>
    </w:p>
    <w:p w14:paraId="3856F077"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402" w:history="1">
        <w:r w:rsidRPr="005C56D9">
          <w:rPr>
            <w:rStyle w:val="af7"/>
            <w:noProof/>
            <w:highlight w:val="green"/>
          </w:rPr>
          <w:t>Таблица </w:t>
        </w:r>
        <w:r>
          <w:rPr>
            <w:rFonts w:asciiTheme="minorHAnsi" w:eastAsiaTheme="minorEastAsia" w:hAnsiTheme="minorHAnsi" w:cstheme="minorBidi"/>
            <w:noProof/>
            <w:sz w:val="22"/>
            <w:szCs w:val="22"/>
          </w:rPr>
          <w:tab/>
        </w:r>
        <w:r w:rsidRPr="005C56D9">
          <w:rPr>
            <w:rStyle w:val="af7"/>
            <w:noProof/>
            <w:highlight w:val="green"/>
          </w:rPr>
          <w:t>372 – Маршрут документа «Распоряжение о совершении казначейского платежа (возврат)»</w:t>
        </w:r>
        <w:r>
          <w:rPr>
            <w:noProof/>
            <w:webHidden/>
          </w:rPr>
          <w:tab/>
        </w:r>
        <w:r>
          <w:rPr>
            <w:noProof/>
            <w:webHidden/>
          </w:rPr>
          <w:fldChar w:fldCharType="begin"/>
        </w:r>
        <w:r>
          <w:rPr>
            <w:noProof/>
            <w:webHidden/>
          </w:rPr>
          <w:instrText xml:space="preserve"> PAGEREF _Toc219309402 \h </w:instrText>
        </w:r>
        <w:r>
          <w:rPr>
            <w:noProof/>
            <w:webHidden/>
          </w:rPr>
        </w:r>
        <w:r>
          <w:rPr>
            <w:noProof/>
            <w:webHidden/>
          </w:rPr>
          <w:fldChar w:fldCharType="separate"/>
        </w:r>
        <w:r>
          <w:rPr>
            <w:noProof/>
            <w:webHidden/>
          </w:rPr>
          <w:t>540</w:t>
        </w:r>
        <w:r>
          <w:rPr>
            <w:noProof/>
            <w:webHidden/>
          </w:rPr>
          <w:fldChar w:fldCharType="end"/>
        </w:r>
      </w:hyperlink>
    </w:p>
    <w:p w14:paraId="7A53DE04"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403" w:history="1">
        <w:r w:rsidRPr="005C56D9">
          <w:rPr>
            <w:rStyle w:val="af7"/>
            <w:noProof/>
            <w:highlight w:val="green"/>
          </w:rPr>
          <w:t>Таблица </w:t>
        </w:r>
        <w:r>
          <w:rPr>
            <w:rFonts w:asciiTheme="minorHAnsi" w:eastAsiaTheme="minorEastAsia" w:hAnsiTheme="minorHAnsi" w:cstheme="minorBidi"/>
            <w:noProof/>
            <w:sz w:val="22"/>
            <w:szCs w:val="22"/>
          </w:rPr>
          <w:tab/>
        </w:r>
        <w:r w:rsidRPr="005C56D9">
          <w:rPr>
            <w:rStyle w:val="af7"/>
            <w:noProof/>
            <w:highlight w:val="green"/>
          </w:rPr>
          <w:t>373 – Маршрут документа «Распоряжение о совершении казначейского платежа (возврат) (многострочный)»</w:t>
        </w:r>
        <w:r>
          <w:rPr>
            <w:noProof/>
            <w:webHidden/>
          </w:rPr>
          <w:tab/>
        </w:r>
        <w:r>
          <w:rPr>
            <w:noProof/>
            <w:webHidden/>
          </w:rPr>
          <w:fldChar w:fldCharType="begin"/>
        </w:r>
        <w:r>
          <w:rPr>
            <w:noProof/>
            <w:webHidden/>
          </w:rPr>
          <w:instrText xml:space="preserve"> PAGEREF _Toc219309403 \h </w:instrText>
        </w:r>
        <w:r>
          <w:rPr>
            <w:noProof/>
            <w:webHidden/>
          </w:rPr>
        </w:r>
        <w:r>
          <w:rPr>
            <w:noProof/>
            <w:webHidden/>
          </w:rPr>
          <w:fldChar w:fldCharType="separate"/>
        </w:r>
        <w:r>
          <w:rPr>
            <w:noProof/>
            <w:webHidden/>
          </w:rPr>
          <w:t>541</w:t>
        </w:r>
        <w:r>
          <w:rPr>
            <w:noProof/>
            <w:webHidden/>
          </w:rPr>
          <w:fldChar w:fldCharType="end"/>
        </w:r>
      </w:hyperlink>
    </w:p>
    <w:p w14:paraId="7E794905"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404" w:history="1">
        <w:r w:rsidRPr="005C56D9">
          <w:rPr>
            <w:rStyle w:val="af7"/>
            <w:noProof/>
            <w:highlight w:val="green"/>
            <w:lang w:eastAsia="en-US"/>
          </w:rPr>
          <w:t>Таблица </w:t>
        </w:r>
        <w:r>
          <w:rPr>
            <w:rFonts w:asciiTheme="minorHAnsi" w:eastAsiaTheme="minorEastAsia" w:hAnsiTheme="minorHAnsi" w:cstheme="minorBidi"/>
            <w:noProof/>
            <w:sz w:val="22"/>
            <w:szCs w:val="22"/>
          </w:rPr>
          <w:tab/>
        </w:r>
        <w:r w:rsidRPr="005C56D9">
          <w:rPr>
            <w:rStyle w:val="af7"/>
            <w:noProof/>
            <w:highlight w:val="green"/>
          </w:rPr>
          <w:t>374</w:t>
        </w:r>
        <w:r w:rsidRPr="005C56D9">
          <w:rPr>
            <w:rStyle w:val="af7"/>
            <w:rFonts w:eastAsia="Calibri"/>
            <w:noProof/>
            <w:highlight w:val="green"/>
          </w:rPr>
          <w:t xml:space="preserve"> – </w:t>
        </w:r>
        <w:r w:rsidRPr="005C56D9">
          <w:rPr>
            <w:rStyle w:val="af7"/>
            <w:noProof/>
            <w:highlight w:val="green"/>
          </w:rPr>
          <w:t>Маршрут документа «Распоряжение о совершении казначейского платежа (уточнение)</w:t>
        </w:r>
        <w:r w:rsidRPr="005C56D9">
          <w:rPr>
            <w:rStyle w:val="af7"/>
            <w:rFonts w:eastAsia="Calibri"/>
            <w:noProof/>
            <w:highlight w:val="green"/>
          </w:rPr>
          <w:t>»</w:t>
        </w:r>
        <w:r>
          <w:rPr>
            <w:noProof/>
            <w:webHidden/>
          </w:rPr>
          <w:tab/>
        </w:r>
        <w:r>
          <w:rPr>
            <w:noProof/>
            <w:webHidden/>
          </w:rPr>
          <w:fldChar w:fldCharType="begin"/>
        </w:r>
        <w:r>
          <w:rPr>
            <w:noProof/>
            <w:webHidden/>
          </w:rPr>
          <w:instrText xml:space="preserve"> PAGEREF _Toc219309404 \h </w:instrText>
        </w:r>
        <w:r>
          <w:rPr>
            <w:noProof/>
            <w:webHidden/>
          </w:rPr>
        </w:r>
        <w:r>
          <w:rPr>
            <w:noProof/>
            <w:webHidden/>
          </w:rPr>
          <w:fldChar w:fldCharType="separate"/>
        </w:r>
        <w:r>
          <w:rPr>
            <w:noProof/>
            <w:webHidden/>
          </w:rPr>
          <w:t>541</w:t>
        </w:r>
        <w:r>
          <w:rPr>
            <w:noProof/>
            <w:webHidden/>
          </w:rPr>
          <w:fldChar w:fldCharType="end"/>
        </w:r>
      </w:hyperlink>
    </w:p>
    <w:p w14:paraId="0DF3318A"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405"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375 – Маршрут документа «</w:t>
        </w:r>
        <w:r w:rsidRPr="005C56D9">
          <w:rPr>
            <w:rStyle w:val="af7"/>
            <w:noProof/>
          </w:rPr>
          <w:t>Распоряжение налогового органа (зачет)»</w:t>
        </w:r>
        <w:r>
          <w:rPr>
            <w:noProof/>
            <w:webHidden/>
          </w:rPr>
          <w:tab/>
        </w:r>
        <w:r>
          <w:rPr>
            <w:noProof/>
            <w:webHidden/>
          </w:rPr>
          <w:fldChar w:fldCharType="begin"/>
        </w:r>
        <w:r>
          <w:rPr>
            <w:noProof/>
            <w:webHidden/>
          </w:rPr>
          <w:instrText xml:space="preserve"> PAGEREF _Toc219309405 \h </w:instrText>
        </w:r>
        <w:r>
          <w:rPr>
            <w:noProof/>
            <w:webHidden/>
          </w:rPr>
        </w:r>
        <w:r>
          <w:rPr>
            <w:noProof/>
            <w:webHidden/>
          </w:rPr>
          <w:fldChar w:fldCharType="separate"/>
        </w:r>
        <w:r>
          <w:rPr>
            <w:noProof/>
            <w:webHidden/>
          </w:rPr>
          <w:t>542</w:t>
        </w:r>
        <w:r>
          <w:rPr>
            <w:noProof/>
            <w:webHidden/>
          </w:rPr>
          <w:fldChar w:fldCharType="end"/>
        </w:r>
      </w:hyperlink>
    </w:p>
    <w:p w14:paraId="45C04430"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406"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 xml:space="preserve">376 – </w:t>
        </w:r>
        <w:r w:rsidRPr="005C56D9">
          <w:rPr>
            <w:rStyle w:val="af7"/>
            <w:noProof/>
          </w:rPr>
          <w:t>Описание</w:t>
        </w:r>
        <w:r w:rsidRPr="005C56D9">
          <w:rPr>
            <w:rStyle w:val="af7"/>
            <w:rFonts w:eastAsia="Calibri"/>
            <w:noProof/>
          </w:rPr>
          <w:t xml:space="preserve"> комплексного типа «t</w:t>
        </w:r>
        <w:r w:rsidRPr="005C56D9">
          <w:rPr>
            <w:rStyle w:val="af7"/>
            <w:noProof/>
            <w:lang w:val="en-US"/>
          </w:rPr>
          <w:t>B</w:t>
        </w:r>
        <w:r w:rsidRPr="005C56D9">
          <w:rPr>
            <w:rStyle w:val="af7"/>
            <w:rFonts w:eastAsia="Calibri"/>
            <w:noProof/>
          </w:rPr>
          <w:t>RA_DOC_D_006»</w:t>
        </w:r>
        <w:r>
          <w:rPr>
            <w:noProof/>
            <w:webHidden/>
          </w:rPr>
          <w:tab/>
        </w:r>
        <w:r>
          <w:rPr>
            <w:noProof/>
            <w:webHidden/>
          </w:rPr>
          <w:fldChar w:fldCharType="begin"/>
        </w:r>
        <w:r>
          <w:rPr>
            <w:noProof/>
            <w:webHidden/>
          </w:rPr>
          <w:instrText xml:space="preserve"> PAGEREF _Toc219309406 \h </w:instrText>
        </w:r>
        <w:r>
          <w:rPr>
            <w:noProof/>
            <w:webHidden/>
          </w:rPr>
        </w:r>
        <w:r>
          <w:rPr>
            <w:noProof/>
            <w:webHidden/>
          </w:rPr>
          <w:fldChar w:fldCharType="separate"/>
        </w:r>
        <w:r>
          <w:rPr>
            <w:noProof/>
            <w:webHidden/>
          </w:rPr>
          <w:t>542</w:t>
        </w:r>
        <w:r>
          <w:rPr>
            <w:noProof/>
            <w:webHidden/>
          </w:rPr>
          <w:fldChar w:fldCharType="end"/>
        </w:r>
      </w:hyperlink>
    </w:p>
    <w:p w14:paraId="7C04C318"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407"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 xml:space="preserve">377 – </w:t>
        </w:r>
        <w:r w:rsidRPr="005C56D9">
          <w:rPr>
            <w:rStyle w:val="af7"/>
            <w:noProof/>
          </w:rPr>
          <w:t>Описание</w:t>
        </w:r>
        <w:r w:rsidRPr="005C56D9">
          <w:rPr>
            <w:rStyle w:val="af7"/>
            <w:rFonts w:eastAsia="Calibri"/>
            <w:noProof/>
          </w:rPr>
          <w:t xml:space="preserve"> комплексного типа «</w:t>
        </w:r>
        <w:r w:rsidRPr="005C56D9">
          <w:rPr>
            <w:rStyle w:val="af7"/>
            <w:noProof/>
            <w:lang w:val="en-US"/>
          </w:rPr>
          <w:t>tB</w:t>
        </w:r>
        <w:r w:rsidRPr="005C56D9">
          <w:rPr>
            <w:rStyle w:val="af7"/>
            <w:rFonts w:eastAsia="Calibri"/>
            <w:noProof/>
          </w:rPr>
          <w:t>RA_DOC_D_006</w:t>
        </w:r>
        <w:r w:rsidRPr="005C56D9">
          <w:rPr>
            <w:rStyle w:val="af7"/>
            <w:noProof/>
          </w:rPr>
          <w:t>_Tab</w:t>
        </w:r>
        <w:r w:rsidRPr="005C56D9">
          <w:rPr>
            <w:rStyle w:val="af7"/>
            <w:rFonts w:eastAsia="Calibri"/>
            <w:noProof/>
          </w:rPr>
          <w:t>»</w:t>
        </w:r>
        <w:r>
          <w:rPr>
            <w:noProof/>
            <w:webHidden/>
          </w:rPr>
          <w:tab/>
        </w:r>
        <w:r>
          <w:rPr>
            <w:noProof/>
            <w:webHidden/>
          </w:rPr>
          <w:fldChar w:fldCharType="begin"/>
        </w:r>
        <w:r>
          <w:rPr>
            <w:noProof/>
            <w:webHidden/>
          </w:rPr>
          <w:instrText xml:space="preserve"> PAGEREF _Toc219309407 \h </w:instrText>
        </w:r>
        <w:r>
          <w:rPr>
            <w:noProof/>
            <w:webHidden/>
          </w:rPr>
        </w:r>
        <w:r>
          <w:rPr>
            <w:noProof/>
            <w:webHidden/>
          </w:rPr>
          <w:fldChar w:fldCharType="separate"/>
        </w:r>
        <w:r>
          <w:rPr>
            <w:noProof/>
            <w:webHidden/>
          </w:rPr>
          <w:t>543</w:t>
        </w:r>
        <w:r>
          <w:rPr>
            <w:noProof/>
            <w:webHidden/>
          </w:rPr>
          <w:fldChar w:fldCharType="end"/>
        </w:r>
      </w:hyperlink>
    </w:p>
    <w:p w14:paraId="5DBD71DE"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408"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lang w:val="en-US"/>
          </w:rPr>
          <w:t>378</w:t>
        </w:r>
        <w:r w:rsidRPr="005C56D9">
          <w:rPr>
            <w:rStyle w:val="af7"/>
            <w:rFonts w:eastAsia="Calibri"/>
            <w:noProof/>
          </w:rPr>
          <w:t xml:space="preserve"> – </w:t>
        </w:r>
        <w:r w:rsidRPr="005C56D9">
          <w:rPr>
            <w:rStyle w:val="af7"/>
            <w:noProof/>
          </w:rPr>
          <w:t>Описание</w:t>
        </w:r>
        <w:r w:rsidRPr="005C56D9">
          <w:rPr>
            <w:rStyle w:val="af7"/>
            <w:rFonts w:eastAsia="Calibri"/>
            <w:noProof/>
          </w:rPr>
          <w:t xml:space="preserve"> комплексного типа «</w:t>
        </w:r>
        <w:r w:rsidRPr="005C56D9">
          <w:rPr>
            <w:rStyle w:val="af7"/>
            <w:noProof/>
            <w:lang w:val="en-US"/>
          </w:rPr>
          <w:t>tB</w:t>
        </w:r>
        <w:r w:rsidRPr="005C56D9">
          <w:rPr>
            <w:rStyle w:val="af7"/>
            <w:rFonts w:eastAsia="Calibri"/>
            <w:noProof/>
          </w:rPr>
          <w:t>RA_DOC_D_006</w:t>
        </w:r>
        <w:r w:rsidRPr="005C56D9">
          <w:rPr>
            <w:rStyle w:val="af7"/>
            <w:noProof/>
          </w:rPr>
          <w:t>_</w:t>
        </w:r>
        <w:r w:rsidRPr="005C56D9">
          <w:rPr>
            <w:rStyle w:val="af7"/>
            <w:noProof/>
            <w:lang w:val="en-US"/>
          </w:rPr>
          <w:t>Tab</w:t>
        </w:r>
        <w:r w:rsidRPr="005C56D9">
          <w:rPr>
            <w:rStyle w:val="af7"/>
            <w:noProof/>
          </w:rPr>
          <w:t>_</w:t>
        </w:r>
        <w:r w:rsidRPr="005C56D9">
          <w:rPr>
            <w:rStyle w:val="af7"/>
            <w:noProof/>
            <w:lang w:val="en-US"/>
          </w:rPr>
          <w:t>ITEM</w:t>
        </w:r>
        <w:r>
          <w:rPr>
            <w:noProof/>
            <w:webHidden/>
          </w:rPr>
          <w:tab/>
        </w:r>
        <w:r>
          <w:rPr>
            <w:noProof/>
            <w:webHidden/>
          </w:rPr>
          <w:fldChar w:fldCharType="begin"/>
        </w:r>
        <w:r>
          <w:rPr>
            <w:noProof/>
            <w:webHidden/>
          </w:rPr>
          <w:instrText xml:space="preserve"> PAGEREF _Toc219309408 \h </w:instrText>
        </w:r>
        <w:r>
          <w:rPr>
            <w:noProof/>
            <w:webHidden/>
          </w:rPr>
        </w:r>
        <w:r>
          <w:rPr>
            <w:noProof/>
            <w:webHidden/>
          </w:rPr>
          <w:fldChar w:fldCharType="separate"/>
        </w:r>
        <w:r>
          <w:rPr>
            <w:noProof/>
            <w:webHidden/>
          </w:rPr>
          <w:t>544</w:t>
        </w:r>
        <w:r>
          <w:rPr>
            <w:noProof/>
            <w:webHidden/>
          </w:rPr>
          <w:fldChar w:fldCharType="end"/>
        </w:r>
      </w:hyperlink>
    </w:p>
    <w:p w14:paraId="47C63F1E"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409"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379</w:t>
        </w:r>
        <w:r w:rsidRPr="005C56D9">
          <w:rPr>
            <w:rStyle w:val="af7"/>
            <w:rFonts w:eastAsia="Calibri"/>
            <w:noProof/>
          </w:rPr>
          <w:t xml:space="preserve"> –</w:t>
        </w:r>
        <w:r w:rsidRPr="005C56D9">
          <w:rPr>
            <w:rStyle w:val="af7"/>
            <w:noProof/>
          </w:rPr>
          <w:t xml:space="preserve"> Описание комплексного типа «tSGNNm</w:t>
        </w:r>
        <w:r w:rsidRPr="005C56D9">
          <w:rPr>
            <w:rStyle w:val="af7"/>
            <w:noProof/>
            <w:lang w:val="en-US"/>
          </w:rPr>
          <w:t>Dt</w:t>
        </w:r>
        <w:r w:rsidRPr="005C56D9">
          <w:rPr>
            <w:rStyle w:val="af7"/>
            <w:noProof/>
          </w:rPr>
          <w:t>1»</w:t>
        </w:r>
        <w:r>
          <w:rPr>
            <w:noProof/>
            <w:webHidden/>
          </w:rPr>
          <w:tab/>
        </w:r>
        <w:r>
          <w:rPr>
            <w:noProof/>
            <w:webHidden/>
          </w:rPr>
          <w:fldChar w:fldCharType="begin"/>
        </w:r>
        <w:r>
          <w:rPr>
            <w:noProof/>
            <w:webHidden/>
          </w:rPr>
          <w:instrText xml:space="preserve"> PAGEREF _Toc219309409 \h </w:instrText>
        </w:r>
        <w:r>
          <w:rPr>
            <w:noProof/>
            <w:webHidden/>
          </w:rPr>
        </w:r>
        <w:r>
          <w:rPr>
            <w:noProof/>
            <w:webHidden/>
          </w:rPr>
          <w:fldChar w:fldCharType="separate"/>
        </w:r>
        <w:r>
          <w:rPr>
            <w:noProof/>
            <w:webHidden/>
          </w:rPr>
          <w:t>544</w:t>
        </w:r>
        <w:r>
          <w:rPr>
            <w:noProof/>
            <w:webHidden/>
          </w:rPr>
          <w:fldChar w:fldCharType="end"/>
        </w:r>
      </w:hyperlink>
    </w:p>
    <w:p w14:paraId="1B704A34"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410"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380 – Маршрут документа «</w:t>
        </w:r>
        <w:r w:rsidRPr="005C56D9">
          <w:rPr>
            <w:rStyle w:val="af7"/>
            <w:noProof/>
          </w:rPr>
          <w:t>Распоряжение налогового органа (уточнение)»</w:t>
        </w:r>
        <w:r>
          <w:rPr>
            <w:noProof/>
            <w:webHidden/>
          </w:rPr>
          <w:tab/>
        </w:r>
        <w:r>
          <w:rPr>
            <w:noProof/>
            <w:webHidden/>
          </w:rPr>
          <w:fldChar w:fldCharType="begin"/>
        </w:r>
        <w:r>
          <w:rPr>
            <w:noProof/>
            <w:webHidden/>
          </w:rPr>
          <w:instrText xml:space="preserve"> PAGEREF _Toc219309410 \h </w:instrText>
        </w:r>
        <w:r>
          <w:rPr>
            <w:noProof/>
            <w:webHidden/>
          </w:rPr>
        </w:r>
        <w:r>
          <w:rPr>
            <w:noProof/>
            <w:webHidden/>
          </w:rPr>
          <w:fldChar w:fldCharType="separate"/>
        </w:r>
        <w:r>
          <w:rPr>
            <w:noProof/>
            <w:webHidden/>
          </w:rPr>
          <w:t>549</w:t>
        </w:r>
        <w:r>
          <w:rPr>
            <w:noProof/>
            <w:webHidden/>
          </w:rPr>
          <w:fldChar w:fldCharType="end"/>
        </w:r>
      </w:hyperlink>
    </w:p>
    <w:p w14:paraId="3DDB5A5F"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411"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 xml:space="preserve">381 – </w:t>
        </w:r>
        <w:r w:rsidRPr="005C56D9">
          <w:rPr>
            <w:rStyle w:val="af7"/>
            <w:noProof/>
          </w:rPr>
          <w:t>Описание</w:t>
        </w:r>
        <w:r w:rsidRPr="005C56D9">
          <w:rPr>
            <w:rStyle w:val="af7"/>
            <w:rFonts w:eastAsia="Calibri"/>
            <w:noProof/>
          </w:rPr>
          <w:t xml:space="preserve"> комплексного типа «t</w:t>
        </w:r>
        <w:r w:rsidRPr="005C56D9">
          <w:rPr>
            <w:rStyle w:val="af7"/>
            <w:noProof/>
            <w:lang w:val="en-US"/>
          </w:rPr>
          <w:t>B</w:t>
        </w:r>
        <w:r w:rsidRPr="005C56D9">
          <w:rPr>
            <w:rStyle w:val="af7"/>
            <w:rFonts w:eastAsia="Calibri"/>
            <w:noProof/>
          </w:rPr>
          <w:t>RA_DOC_D_005»</w:t>
        </w:r>
        <w:r>
          <w:rPr>
            <w:noProof/>
            <w:webHidden/>
          </w:rPr>
          <w:tab/>
        </w:r>
        <w:r>
          <w:rPr>
            <w:noProof/>
            <w:webHidden/>
          </w:rPr>
          <w:fldChar w:fldCharType="begin"/>
        </w:r>
        <w:r>
          <w:rPr>
            <w:noProof/>
            <w:webHidden/>
          </w:rPr>
          <w:instrText xml:space="preserve"> PAGEREF _Toc219309411 \h </w:instrText>
        </w:r>
        <w:r>
          <w:rPr>
            <w:noProof/>
            <w:webHidden/>
          </w:rPr>
        </w:r>
        <w:r>
          <w:rPr>
            <w:noProof/>
            <w:webHidden/>
          </w:rPr>
          <w:fldChar w:fldCharType="separate"/>
        </w:r>
        <w:r>
          <w:rPr>
            <w:noProof/>
            <w:webHidden/>
          </w:rPr>
          <w:t>549</w:t>
        </w:r>
        <w:r>
          <w:rPr>
            <w:noProof/>
            <w:webHidden/>
          </w:rPr>
          <w:fldChar w:fldCharType="end"/>
        </w:r>
      </w:hyperlink>
    </w:p>
    <w:p w14:paraId="2326D22B"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412"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 xml:space="preserve">382 – </w:t>
        </w:r>
        <w:r w:rsidRPr="005C56D9">
          <w:rPr>
            <w:rStyle w:val="af7"/>
            <w:noProof/>
          </w:rPr>
          <w:t>Описание</w:t>
        </w:r>
        <w:r w:rsidRPr="005C56D9">
          <w:rPr>
            <w:rStyle w:val="af7"/>
            <w:rFonts w:eastAsia="Calibri"/>
            <w:noProof/>
          </w:rPr>
          <w:t xml:space="preserve"> комплексного типа «</w:t>
        </w:r>
        <w:r w:rsidRPr="005C56D9">
          <w:rPr>
            <w:rStyle w:val="af7"/>
            <w:noProof/>
            <w:lang w:val="en-US"/>
          </w:rPr>
          <w:t>tB</w:t>
        </w:r>
        <w:r w:rsidRPr="005C56D9">
          <w:rPr>
            <w:rStyle w:val="af7"/>
            <w:rFonts w:eastAsia="Calibri"/>
            <w:noProof/>
          </w:rPr>
          <w:t>RA_DOC_D_005</w:t>
        </w:r>
        <w:r w:rsidRPr="005C56D9">
          <w:rPr>
            <w:rStyle w:val="af7"/>
            <w:noProof/>
          </w:rPr>
          <w:t>_Tab</w:t>
        </w:r>
        <w:r w:rsidRPr="005C56D9">
          <w:rPr>
            <w:rStyle w:val="af7"/>
            <w:rFonts w:eastAsia="Calibri"/>
            <w:noProof/>
          </w:rPr>
          <w:t>»</w:t>
        </w:r>
        <w:r>
          <w:rPr>
            <w:noProof/>
            <w:webHidden/>
          </w:rPr>
          <w:tab/>
        </w:r>
        <w:r>
          <w:rPr>
            <w:noProof/>
            <w:webHidden/>
          </w:rPr>
          <w:fldChar w:fldCharType="begin"/>
        </w:r>
        <w:r>
          <w:rPr>
            <w:noProof/>
            <w:webHidden/>
          </w:rPr>
          <w:instrText xml:space="preserve"> PAGEREF _Toc219309412 \h </w:instrText>
        </w:r>
        <w:r>
          <w:rPr>
            <w:noProof/>
            <w:webHidden/>
          </w:rPr>
        </w:r>
        <w:r>
          <w:rPr>
            <w:noProof/>
            <w:webHidden/>
          </w:rPr>
          <w:fldChar w:fldCharType="separate"/>
        </w:r>
        <w:r>
          <w:rPr>
            <w:noProof/>
            <w:webHidden/>
          </w:rPr>
          <w:t>551</w:t>
        </w:r>
        <w:r>
          <w:rPr>
            <w:noProof/>
            <w:webHidden/>
          </w:rPr>
          <w:fldChar w:fldCharType="end"/>
        </w:r>
      </w:hyperlink>
    </w:p>
    <w:p w14:paraId="2359856D"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413"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lang w:val="en-US"/>
          </w:rPr>
          <w:t>383</w:t>
        </w:r>
        <w:r w:rsidRPr="005C56D9">
          <w:rPr>
            <w:rStyle w:val="af7"/>
            <w:rFonts w:eastAsia="Calibri"/>
            <w:noProof/>
          </w:rPr>
          <w:t xml:space="preserve"> – </w:t>
        </w:r>
        <w:r w:rsidRPr="005C56D9">
          <w:rPr>
            <w:rStyle w:val="af7"/>
            <w:noProof/>
          </w:rPr>
          <w:t>Описание</w:t>
        </w:r>
        <w:r w:rsidRPr="005C56D9">
          <w:rPr>
            <w:rStyle w:val="af7"/>
            <w:rFonts w:eastAsia="Calibri"/>
            <w:noProof/>
          </w:rPr>
          <w:t xml:space="preserve"> комплексного типа «</w:t>
        </w:r>
        <w:r w:rsidRPr="005C56D9">
          <w:rPr>
            <w:rStyle w:val="af7"/>
            <w:noProof/>
            <w:lang w:val="en-US"/>
          </w:rPr>
          <w:t>tB</w:t>
        </w:r>
        <w:r w:rsidRPr="005C56D9">
          <w:rPr>
            <w:rStyle w:val="af7"/>
            <w:rFonts w:eastAsia="Calibri"/>
            <w:noProof/>
          </w:rPr>
          <w:t>RA_DOC_D_005</w:t>
        </w:r>
        <w:r w:rsidRPr="005C56D9">
          <w:rPr>
            <w:rStyle w:val="af7"/>
            <w:noProof/>
          </w:rPr>
          <w:t>_</w:t>
        </w:r>
        <w:r w:rsidRPr="005C56D9">
          <w:rPr>
            <w:rStyle w:val="af7"/>
            <w:noProof/>
            <w:lang w:val="en-US"/>
          </w:rPr>
          <w:t>Tab</w:t>
        </w:r>
        <w:r w:rsidRPr="005C56D9">
          <w:rPr>
            <w:rStyle w:val="af7"/>
            <w:noProof/>
          </w:rPr>
          <w:t>_ITEM»</w:t>
        </w:r>
        <w:r>
          <w:rPr>
            <w:noProof/>
            <w:webHidden/>
          </w:rPr>
          <w:tab/>
        </w:r>
        <w:r>
          <w:rPr>
            <w:noProof/>
            <w:webHidden/>
          </w:rPr>
          <w:fldChar w:fldCharType="begin"/>
        </w:r>
        <w:r>
          <w:rPr>
            <w:noProof/>
            <w:webHidden/>
          </w:rPr>
          <w:instrText xml:space="preserve"> PAGEREF _Toc219309413 \h </w:instrText>
        </w:r>
        <w:r>
          <w:rPr>
            <w:noProof/>
            <w:webHidden/>
          </w:rPr>
        </w:r>
        <w:r>
          <w:rPr>
            <w:noProof/>
            <w:webHidden/>
          </w:rPr>
          <w:fldChar w:fldCharType="separate"/>
        </w:r>
        <w:r>
          <w:rPr>
            <w:noProof/>
            <w:webHidden/>
          </w:rPr>
          <w:t>551</w:t>
        </w:r>
        <w:r>
          <w:rPr>
            <w:noProof/>
            <w:webHidden/>
          </w:rPr>
          <w:fldChar w:fldCharType="end"/>
        </w:r>
      </w:hyperlink>
    </w:p>
    <w:p w14:paraId="3C607D37"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414"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384</w:t>
        </w:r>
        <w:r w:rsidRPr="005C56D9">
          <w:rPr>
            <w:rStyle w:val="af7"/>
            <w:rFonts w:eastAsia="Calibri"/>
            <w:noProof/>
          </w:rPr>
          <w:t xml:space="preserve"> –</w:t>
        </w:r>
        <w:r w:rsidRPr="005C56D9">
          <w:rPr>
            <w:rStyle w:val="af7"/>
            <w:noProof/>
          </w:rPr>
          <w:t xml:space="preserve"> Описание комплексного типа «tSGNNmDt1»</w:t>
        </w:r>
        <w:r>
          <w:rPr>
            <w:noProof/>
            <w:webHidden/>
          </w:rPr>
          <w:tab/>
        </w:r>
        <w:r>
          <w:rPr>
            <w:noProof/>
            <w:webHidden/>
          </w:rPr>
          <w:fldChar w:fldCharType="begin"/>
        </w:r>
        <w:r>
          <w:rPr>
            <w:noProof/>
            <w:webHidden/>
          </w:rPr>
          <w:instrText xml:space="preserve"> PAGEREF _Toc219309414 \h </w:instrText>
        </w:r>
        <w:r>
          <w:rPr>
            <w:noProof/>
            <w:webHidden/>
          </w:rPr>
        </w:r>
        <w:r>
          <w:rPr>
            <w:noProof/>
            <w:webHidden/>
          </w:rPr>
          <w:fldChar w:fldCharType="separate"/>
        </w:r>
        <w:r>
          <w:rPr>
            <w:noProof/>
            <w:webHidden/>
          </w:rPr>
          <w:t>553</w:t>
        </w:r>
        <w:r>
          <w:rPr>
            <w:noProof/>
            <w:webHidden/>
          </w:rPr>
          <w:fldChar w:fldCharType="end"/>
        </w:r>
      </w:hyperlink>
    </w:p>
    <w:p w14:paraId="5CB07FEB"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415"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noProof/>
          </w:rPr>
          <w:t>385</w:t>
        </w:r>
        <w:r w:rsidRPr="005C56D9">
          <w:rPr>
            <w:rStyle w:val="af7"/>
            <w:rFonts w:eastAsia="Calibri"/>
            <w:noProof/>
          </w:rPr>
          <w:t xml:space="preserve"> – </w:t>
        </w:r>
        <w:r w:rsidRPr="005C56D9">
          <w:rPr>
            <w:rStyle w:val="af7"/>
            <w:noProof/>
          </w:rPr>
          <w:t xml:space="preserve">Документы для обмена в </w:t>
        </w:r>
        <w:r w:rsidRPr="005C56D9">
          <w:rPr>
            <w:rStyle w:val="af7"/>
            <w:noProof/>
            <w:lang w:val="en-US"/>
          </w:rPr>
          <w:t>xml</w:t>
        </w:r>
        <w:r w:rsidRPr="005C56D9">
          <w:rPr>
            <w:rStyle w:val="af7"/>
            <w:noProof/>
          </w:rPr>
          <w:t>-формате</w:t>
        </w:r>
        <w:r>
          <w:rPr>
            <w:noProof/>
            <w:webHidden/>
          </w:rPr>
          <w:tab/>
        </w:r>
        <w:r>
          <w:rPr>
            <w:noProof/>
            <w:webHidden/>
          </w:rPr>
          <w:fldChar w:fldCharType="begin"/>
        </w:r>
        <w:r>
          <w:rPr>
            <w:noProof/>
            <w:webHidden/>
          </w:rPr>
          <w:instrText xml:space="preserve"> PAGEREF _Toc219309415 \h </w:instrText>
        </w:r>
        <w:r>
          <w:rPr>
            <w:noProof/>
            <w:webHidden/>
          </w:rPr>
        </w:r>
        <w:r>
          <w:rPr>
            <w:noProof/>
            <w:webHidden/>
          </w:rPr>
          <w:fldChar w:fldCharType="separate"/>
        </w:r>
        <w:r>
          <w:rPr>
            <w:noProof/>
            <w:webHidden/>
          </w:rPr>
          <w:t>558</w:t>
        </w:r>
        <w:r>
          <w:rPr>
            <w:noProof/>
            <w:webHidden/>
          </w:rPr>
          <w:fldChar w:fldCharType="end"/>
        </w:r>
      </w:hyperlink>
    </w:p>
    <w:p w14:paraId="7A284B82"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416" w:history="1">
        <w:r w:rsidRPr="005C56D9">
          <w:rPr>
            <w:rStyle w:val="af7"/>
            <w:noProof/>
            <w:highlight w:val="green"/>
          </w:rPr>
          <w:t>Таблица </w:t>
        </w:r>
        <w:r>
          <w:rPr>
            <w:rFonts w:asciiTheme="minorHAnsi" w:eastAsiaTheme="minorEastAsia" w:hAnsiTheme="minorHAnsi" w:cstheme="minorBidi"/>
            <w:noProof/>
            <w:sz w:val="22"/>
            <w:szCs w:val="22"/>
          </w:rPr>
          <w:tab/>
        </w:r>
        <w:r w:rsidRPr="005C56D9">
          <w:rPr>
            <w:rStyle w:val="af7"/>
            <w:noProof/>
            <w:highlight w:val="green"/>
          </w:rPr>
          <w:t>386 – Маршрут документа «Заявление на проведение операций с иностранной валютой»</w:t>
        </w:r>
        <w:r>
          <w:rPr>
            <w:noProof/>
            <w:webHidden/>
          </w:rPr>
          <w:tab/>
        </w:r>
        <w:r>
          <w:rPr>
            <w:noProof/>
            <w:webHidden/>
          </w:rPr>
          <w:fldChar w:fldCharType="begin"/>
        </w:r>
        <w:r>
          <w:rPr>
            <w:noProof/>
            <w:webHidden/>
          </w:rPr>
          <w:instrText xml:space="preserve"> PAGEREF _Toc219309416 \h </w:instrText>
        </w:r>
        <w:r>
          <w:rPr>
            <w:noProof/>
            <w:webHidden/>
          </w:rPr>
        </w:r>
        <w:r>
          <w:rPr>
            <w:noProof/>
            <w:webHidden/>
          </w:rPr>
          <w:fldChar w:fldCharType="separate"/>
        </w:r>
        <w:r>
          <w:rPr>
            <w:noProof/>
            <w:webHidden/>
          </w:rPr>
          <w:t>559</w:t>
        </w:r>
        <w:r>
          <w:rPr>
            <w:noProof/>
            <w:webHidden/>
          </w:rPr>
          <w:fldChar w:fldCharType="end"/>
        </w:r>
      </w:hyperlink>
    </w:p>
    <w:p w14:paraId="76E5C511"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417" w:history="1">
        <w:r w:rsidRPr="005C56D9">
          <w:rPr>
            <w:rStyle w:val="af7"/>
            <w:noProof/>
            <w:highlight w:val="green"/>
          </w:rPr>
          <w:t>Таблица </w:t>
        </w:r>
        <w:r>
          <w:rPr>
            <w:rFonts w:asciiTheme="minorHAnsi" w:eastAsiaTheme="minorEastAsia" w:hAnsiTheme="minorHAnsi" w:cstheme="minorBidi"/>
            <w:noProof/>
            <w:sz w:val="22"/>
            <w:szCs w:val="22"/>
          </w:rPr>
          <w:tab/>
        </w:r>
        <w:r w:rsidRPr="005C56D9">
          <w:rPr>
            <w:rStyle w:val="af7"/>
            <w:noProof/>
            <w:highlight w:val="green"/>
          </w:rPr>
          <w:t>387 – Описание комплексного типа «MSC_AppForeignCurr»</w:t>
        </w:r>
        <w:r>
          <w:rPr>
            <w:noProof/>
            <w:webHidden/>
          </w:rPr>
          <w:tab/>
        </w:r>
        <w:r>
          <w:rPr>
            <w:noProof/>
            <w:webHidden/>
          </w:rPr>
          <w:fldChar w:fldCharType="begin"/>
        </w:r>
        <w:r>
          <w:rPr>
            <w:noProof/>
            <w:webHidden/>
          </w:rPr>
          <w:instrText xml:space="preserve"> PAGEREF _Toc219309417 \h </w:instrText>
        </w:r>
        <w:r>
          <w:rPr>
            <w:noProof/>
            <w:webHidden/>
          </w:rPr>
        </w:r>
        <w:r>
          <w:rPr>
            <w:noProof/>
            <w:webHidden/>
          </w:rPr>
          <w:fldChar w:fldCharType="separate"/>
        </w:r>
        <w:r>
          <w:rPr>
            <w:noProof/>
            <w:webHidden/>
          </w:rPr>
          <w:t>560</w:t>
        </w:r>
        <w:r>
          <w:rPr>
            <w:noProof/>
            <w:webHidden/>
          </w:rPr>
          <w:fldChar w:fldCharType="end"/>
        </w:r>
      </w:hyperlink>
    </w:p>
    <w:p w14:paraId="67C60D57"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418" w:history="1">
        <w:r w:rsidRPr="005C56D9">
          <w:rPr>
            <w:rStyle w:val="af7"/>
            <w:rFonts w:eastAsia="Calibri"/>
            <w:noProof/>
            <w:highlight w:val="green"/>
          </w:rPr>
          <w:t>Таблица </w:t>
        </w:r>
        <w:r>
          <w:rPr>
            <w:rFonts w:asciiTheme="minorHAnsi" w:eastAsiaTheme="minorEastAsia" w:hAnsiTheme="minorHAnsi" w:cstheme="minorBidi"/>
            <w:noProof/>
            <w:sz w:val="22"/>
            <w:szCs w:val="22"/>
          </w:rPr>
          <w:tab/>
        </w:r>
        <w:r w:rsidRPr="005C56D9">
          <w:rPr>
            <w:rStyle w:val="af7"/>
            <w:rFonts w:eastAsia="Calibri"/>
            <w:noProof/>
            <w:highlight w:val="green"/>
          </w:rPr>
          <w:t>388</w:t>
        </w:r>
        <w:r w:rsidRPr="005C56D9">
          <w:rPr>
            <w:rStyle w:val="af7"/>
            <w:noProof/>
            <w:highlight w:val="green"/>
          </w:rPr>
          <w:t xml:space="preserve"> – </w:t>
        </w:r>
        <w:r w:rsidRPr="005C56D9">
          <w:rPr>
            <w:rStyle w:val="af7"/>
            <w:rFonts w:eastAsia="Calibri"/>
            <w:noProof/>
            <w:highlight w:val="green"/>
          </w:rPr>
          <w:t>Описание комплексного типа «</w:t>
        </w:r>
        <w:r w:rsidRPr="005C56D9">
          <w:rPr>
            <w:rStyle w:val="af7"/>
            <w:noProof/>
            <w:highlight w:val="green"/>
          </w:rPr>
          <w:t>tTF</w:t>
        </w:r>
        <w:r w:rsidRPr="005C56D9">
          <w:rPr>
            <w:rStyle w:val="af7"/>
            <w:rFonts w:eastAsia="Calibri"/>
            <w:noProof/>
            <w:highlight w:val="green"/>
          </w:rPr>
          <w:t>»</w:t>
        </w:r>
        <w:r>
          <w:rPr>
            <w:noProof/>
            <w:webHidden/>
          </w:rPr>
          <w:tab/>
        </w:r>
        <w:r>
          <w:rPr>
            <w:noProof/>
            <w:webHidden/>
          </w:rPr>
          <w:fldChar w:fldCharType="begin"/>
        </w:r>
        <w:r>
          <w:rPr>
            <w:noProof/>
            <w:webHidden/>
          </w:rPr>
          <w:instrText xml:space="preserve"> PAGEREF _Toc219309418 \h </w:instrText>
        </w:r>
        <w:r>
          <w:rPr>
            <w:noProof/>
            <w:webHidden/>
          </w:rPr>
        </w:r>
        <w:r>
          <w:rPr>
            <w:noProof/>
            <w:webHidden/>
          </w:rPr>
          <w:fldChar w:fldCharType="separate"/>
        </w:r>
        <w:r>
          <w:rPr>
            <w:noProof/>
            <w:webHidden/>
          </w:rPr>
          <w:t>568</w:t>
        </w:r>
        <w:r>
          <w:rPr>
            <w:noProof/>
            <w:webHidden/>
          </w:rPr>
          <w:fldChar w:fldCharType="end"/>
        </w:r>
      </w:hyperlink>
    </w:p>
    <w:p w14:paraId="33FABFA9"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419"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389</w:t>
        </w:r>
        <w:r w:rsidRPr="005C56D9">
          <w:rPr>
            <w:rStyle w:val="af7"/>
            <w:noProof/>
          </w:rPr>
          <w:t xml:space="preserve"> – </w:t>
        </w:r>
        <w:r w:rsidRPr="005C56D9">
          <w:rPr>
            <w:rStyle w:val="af7"/>
            <w:rFonts w:eastAsia="Calibri"/>
            <w:noProof/>
          </w:rPr>
          <w:t>Описание комплексного типа «</w:t>
        </w:r>
        <w:r w:rsidRPr="005C56D9">
          <w:rPr>
            <w:rStyle w:val="af7"/>
            <w:noProof/>
          </w:rPr>
          <w:t>tMSC_OperTypeComplex</w:t>
        </w:r>
        <w:r w:rsidRPr="005C56D9">
          <w:rPr>
            <w:rStyle w:val="af7"/>
            <w:rFonts w:eastAsia="Calibri"/>
            <w:noProof/>
          </w:rPr>
          <w:t>»</w:t>
        </w:r>
        <w:r>
          <w:rPr>
            <w:noProof/>
            <w:webHidden/>
          </w:rPr>
          <w:tab/>
        </w:r>
        <w:r>
          <w:rPr>
            <w:noProof/>
            <w:webHidden/>
          </w:rPr>
          <w:fldChar w:fldCharType="begin"/>
        </w:r>
        <w:r>
          <w:rPr>
            <w:noProof/>
            <w:webHidden/>
          </w:rPr>
          <w:instrText xml:space="preserve"> PAGEREF _Toc219309419 \h </w:instrText>
        </w:r>
        <w:r>
          <w:rPr>
            <w:noProof/>
            <w:webHidden/>
          </w:rPr>
        </w:r>
        <w:r>
          <w:rPr>
            <w:noProof/>
            <w:webHidden/>
          </w:rPr>
          <w:fldChar w:fldCharType="separate"/>
        </w:r>
        <w:r>
          <w:rPr>
            <w:noProof/>
            <w:webHidden/>
          </w:rPr>
          <w:t>568</w:t>
        </w:r>
        <w:r>
          <w:rPr>
            <w:noProof/>
            <w:webHidden/>
          </w:rPr>
          <w:fldChar w:fldCharType="end"/>
        </w:r>
      </w:hyperlink>
    </w:p>
    <w:p w14:paraId="3597964E"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420"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390</w:t>
        </w:r>
        <w:r w:rsidRPr="005C56D9">
          <w:rPr>
            <w:rStyle w:val="af7"/>
            <w:noProof/>
          </w:rPr>
          <w:t xml:space="preserve"> – </w:t>
        </w:r>
        <w:r w:rsidRPr="005C56D9">
          <w:rPr>
            <w:rStyle w:val="af7"/>
            <w:rFonts w:eastAsia="Calibri"/>
            <w:noProof/>
          </w:rPr>
          <w:t>Описание комплексного типа «</w:t>
        </w:r>
        <w:r w:rsidRPr="005C56D9">
          <w:rPr>
            <w:rStyle w:val="af7"/>
            <w:noProof/>
          </w:rPr>
          <w:t>tMSC_ChargeDetailsComplex</w:t>
        </w:r>
        <w:r w:rsidRPr="005C56D9">
          <w:rPr>
            <w:rStyle w:val="af7"/>
            <w:rFonts w:eastAsia="Calibri"/>
            <w:noProof/>
          </w:rPr>
          <w:t>»</w:t>
        </w:r>
        <w:r>
          <w:rPr>
            <w:noProof/>
            <w:webHidden/>
          </w:rPr>
          <w:tab/>
        </w:r>
        <w:r>
          <w:rPr>
            <w:noProof/>
            <w:webHidden/>
          </w:rPr>
          <w:fldChar w:fldCharType="begin"/>
        </w:r>
        <w:r>
          <w:rPr>
            <w:noProof/>
            <w:webHidden/>
          </w:rPr>
          <w:instrText xml:space="preserve"> PAGEREF _Toc219309420 \h </w:instrText>
        </w:r>
        <w:r>
          <w:rPr>
            <w:noProof/>
            <w:webHidden/>
          </w:rPr>
        </w:r>
        <w:r>
          <w:rPr>
            <w:noProof/>
            <w:webHidden/>
          </w:rPr>
          <w:fldChar w:fldCharType="separate"/>
        </w:r>
        <w:r>
          <w:rPr>
            <w:noProof/>
            <w:webHidden/>
          </w:rPr>
          <w:t>569</w:t>
        </w:r>
        <w:r>
          <w:rPr>
            <w:noProof/>
            <w:webHidden/>
          </w:rPr>
          <w:fldChar w:fldCharType="end"/>
        </w:r>
      </w:hyperlink>
    </w:p>
    <w:p w14:paraId="136DF4FF"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421"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391</w:t>
        </w:r>
        <w:r w:rsidRPr="005C56D9">
          <w:rPr>
            <w:rStyle w:val="af7"/>
            <w:noProof/>
          </w:rPr>
          <w:t xml:space="preserve"> – </w:t>
        </w:r>
        <w:r w:rsidRPr="005C56D9">
          <w:rPr>
            <w:rStyle w:val="af7"/>
            <w:rFonts w:eastAsia="Calibri"/>
            <w:noProof/>
          </w:rPr>
          <w:t>Описание комплексного типа «</w:t>
        </w:r>
        <w:r w:rsidRPr="005C56D9">
          <w:rPr>
            <w:rStyle w:val="af7"/>
            <w:noProof/>
          </w:rPr>
          <w:t>tCOWFCE</w:t>
        </w:r>
        <w:r w:rsidRPr="005C56D9">
          <w:rPr>
            <w:rStyle w:val="af7"/>
            <w:rFonts w:eastAsia="Calibri"/>
            <w:noProof/>
          </w:rPr>
          <w:t>»</w:t>
        </w:r>
        <w:r>
          <w:rPr>
            <w:noProof/>
            <w:webHidden/>
          </w:rPr>
          <w:tab/>
        </w:r>
        <w:r>
          <w:rPr>
            <w:noProof/>
            <w:webHidden/>
          </w:rPr>
          <w:fldChar w:fldCharType="begin"/>
        </w:r>
        <w:r>
          <w:rPr>
            <w:noProof/>
            <w:webHidden/>
          </w:rPr>
          <w:instrText xml:space="preserve"> PAGEREF _Toc219309421 \h </w:instrText>
        </w:r>
        <w:r>
          <w:rPr>
            <w:noProof/>
            <w:webHidden/>
          </w:rPr>
        </w:r>
        <w:r>
          <w:rPr>
            <w:noProof/>
            <w:webHidden/>
          </w:rPr>
          <w:fldChar w:fldCharType="separate"/>
        </w:r>
        <w:r>
          <w:rPr>
            <w:noProof/>
            <w:webHidden/>
          </w:rPr>
          <w:t>570</w:t>
        </w:r>
        <w:r>
          <w:rPr>
            <w:noProof/>
            <w:webHidden/>
          </w:rPr>
          <w:fldChar w:fldCharType="end"/>
        </w:r>
      </w:hyperlink>
    </w:p>
    <w:p w14:paraId="7C5C9920"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422"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392</w:t>
        </w:r>
        <w:r w:rsidRPr="005C56D9">
          <w:rPr>
            <w:rStyle w:val="af7"/>
            <w:noProof/>
          </w:rPr>
          <w:t xml:space="preserve"> – </w:t>
        </w:r>
        <w:r w:rsidRPr="005C56D9">
          <w:rPr>
            <w:rStyle w:val="af7"/>
            <w:rFonts w:eastAsia="Calibri"/>
            <w:noProof/>
          </w:rPr>
          <w:t>Описание комплексного типа «</w:t>
        </w:r>
        <w:r w:rsidRPr="005C56D9">
          <w:rPr>
            <w:rStyle w:val="af7"/>
            <w:noProof/>
          </w:rPr>
          <w:t>tCOWFCE_ITEM</w:t>
        </w:r>
        <w:r w:rsidRPr="005C56D9">
          <w:rPr>
            <w:rStyle w:val="af7"/>
            <w:rFonts w:eastAsia="Calibri"/>
            <w:noProof/>
          </w:rPr>
          <w:t>»</w:t>
        </w:r>
        <w:r>
          <w:rPr>
            <w:noProof/>
            <w:webHidden/>
          </w:rPr>
          <w:tab/>
        </w:r>
        <w:r>
          <w:rPr>
            <w:noProof/>
            <w:webHidden/>
          </w:rPr>
          <w:fldChar w:fldCharType="begin"/>
        </w:r>
        <w:r>
          <w:rPr>
            <w:noProof/>
            <w:webHidden/>
          </w:rPr>
          <w:instrText xml:space="preserve"> PAGEREF _Toc219309422 \h </w:instrText>
        </w:r>
        <w:r>
          <w:rPr>
            <w:noProof/>
            <w:webHidden/>
          </w:rPr>
        </w:r>
        <w:r>
          <w:rPr>
            <w:noProof/>
            <w:webHidden/>
          </w:rPr>
          <w:fldChar w:fldCharType="separate"/>
        </w:r>
        <w:r>
          <w:rPr>
            <w:noProof/>
            <w:webHidden/>
          </w:rPr>
          <w:t>570</w:t>
        </w:r>
        <w:r>
          <w:rPr>
            <w:noProof/>
            <w:webHidden/>
          </w:rPr>
          <w:fldChar w:fldCharType="end"/>
        </w:r>
      </w:hyperlink>
    </w:p>
    <w:p w14:paraId="076B4D33"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423"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393</w:t>
        </w:r>
        <w:r w:rsidRPr="005C56D9">
          <w:rPr>
            <w:rStyle w:val="af7"/>
            <w:noProof/>
          </w:rPr>
          <w:t xml:space="preserve"> – </w:t>
        </w:r>
        <w:r w:rsidRPr="005C56D9">
          <w:rPr>
            <w:rStyle w:val="af7"/>
            <w:rFonts w:eastAsia="Calibri"/>
            <w:noProof/>
          </w:rPr>
          <w:t>Описание комплексного типа «</w:t>
        </w:r>
        <w:r w:rsidRPr="005C56D9">
          <w:rPr>
            <w:rStyle w:val="af7"/>
            <w:noProof/>
          </w:rPr>
          <w:t>tCOWFCS</w:t>
        </w:r>
        <w:r w:rsidRPr="005C56D9">
          <w:rPr>
            <w:rStyle w:val="af7"/>
            <w:rFonts w:eastAsia="Calibri"/>
            <w:noProof/>
          </w:rPr>
          <w:t>»</w:t>
        </w:r>
        <w:r>
          <w:rPr>
            <w:noProof/>
            <w:webHidden/>
          </w:rPr>
          <w:tab/>
        </w:r>
        <w:r>
          <w:rPr>
            <w:noProof/>
            <w:webHidden/>
          </w:rPr>
          <w:fldChar w:fldCharType="begin"/>
        </w:r>
        <w:r>
          <w:rPr>
            <w:noProof/>
            <w:webHidden/>
          </w:rPr>
          <w:instrText xml:space="preserve"> PAGEREF _Toc219309423 \h </w:instrText>
        </w:r>
        <w:r>
          <w:rPr>
            <w:noProof/>
            <w:webHidden/>
          </w:rPr>
        </w:r>
        <w:r>
          <w:rPr>
            <w:noProof/>
            <w:webHidden/>
          </w:rPr>
          <w:fldChar w:fldCharType="separate"/>
        </w:r>
        <w:r>
          <w:rPr>
            <w:noProof/>
            <w:webHidden/>
          </w:rPr>
          <w:t>571</w:t>
        </w:r>
        <w:r>
          <w:rPr>
            <w:noProof/>
            <w:webHidden/>
          </w:rPr>
          <w:fldChar w:fldCharType="end"/>
        </w:r>
      </w:hyperlink>
    </w:p>
    <w:p w14:paraId="3A7D58A5"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424" w:history="1">
        <w:r w:rsidRPr="005C56D9">
          <w:rPr>
            <w:rStyle w:val="af7"/>
            <w:noProof/>
          </w:rPr>
          <w:t>Таблица </w:t>
        </w:r>
        <w:r>
          <w:rPr>
            <w:rFonts w:asciiTheme="minorHAnsi" w:eastAsiaTheme="minorEastAsia" w:hAnsiTheme="minorHAnsi" w:cstheme="minorBidi"/>
            <w:noProof/>
            <w:sz w:val="22"/>
            <w:szCs w:val="22"/>
          </w:rPr>
          <w:tab/>
        </w:r>
        <w:r w:rsidRPr="005C56D9">
          <w:rPr>
            <w:rStyle w:val="af7"/>
            <w:rFonts w:eastAsia="Calibri"/>
            <w:noProof/>
          </w:rPr>
          <w:t>394</w:t>
        </w:r>
        <w:r w:rsidRPr="005C56D9">
          <w:rPr>
            <w:rStyle w:val="af7"/>
            <w:noProof/>
          </w:rPr>
          <w:t xml:space="preserve"> – </w:t>
        </w:r>
        <w:r w:rsidRPr="005C56D9">
          <w:rPr>
            <w:rStyle w:val="af7"/>
            <w:rFonts w:eastAsia="Calibri"/>
            <w:noProof/>
          </w:rPr>
          <w:t>Описание комплексного типа «</w:t>
        </w:r>
        <w:r w:rsidRPr="005C56D9">
          <w:rPr>
            <w:rStyle w:val="af7"/>
            <w:noProof/>
          </w:rPr>
          <w:t>tCOWFCS_ITEM</w:t>
        </w:r>
        <w:r w:rsidRPr="005C56D9">
          <w:rPr>
            <w:rStyle w:val="af7"/>
            <w:rFonts w:eastAsia="Calibri"/>
            <w:noProof/>
          </w:rPr>
          <w:t>»</w:t>
        </w:r>
        <w:r>
          <w:rPr>
            <w:noProof/>
            <w:webHidden/>
          </w:rPr>
          <w:tab/>
        </w:r>
        <w:r>
          <w:rPr>
            <w:noProof/>
            <w:webHidden/>
          </w:rPr>
          <w:fldChar w:fldCharType="begin"/>
        </w:r>
        <w:r>
          <w:rPr>
            <w:noProof/>
            <w:webHidden/>
          </w:rPr>
          <w:instrText xml:space="preserve"> PAGEREF _Toc219309424 \h </w:instrText>
        </w:r>
        <w:r>
          <w:rPr>
            <w:noProof/>
            <w:webHidden/>
          </w:rPr>
        </w:r>
        <w:r>
          <w:rPr>
            <w:noProof/>
            <w:webHidden/>
          </w:rPr>
          <w:fldChar w:fldCharType="separate"/>
        </w:r>
        <w:r>
          <w:rPr>
            <w:noProof/>
            <w:webHidden/>
          </w:rPr>
          <w:t>571</w:t>
        </w:r>
        <w:r>
          <w:rPr>
            <w:noProof/>
            <w:webHidden/>
          </w:rPr>
          <w:fldChar w:fldCharType="end"/>
        </w:r>
      </w:hyperlink>
    </w:p>
    <w:p w14:paraId="75BE97D7"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425"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395</w:t>
        </w:r>
        <w:r w:rsidRPr="005C56D9">
          <w:rPr>
            <w:rStyle w:val="af7"/>
            <w:noProof/>
          </w:rPr>
          <w:t xml:space="preserve"> – </w:t>
        </w:r>
        <w:r w:rsidRPr="005C56D9">
          <w:rPr>
            <w:rStyle w:val="af7"/>
            <w:rFonts w:eastAsia="Calibri"/>
            <w:noProof/>
          </w:rPr>
          <w:t>Описание комплексного типа «</w:t>
        </w:r>
        <w:r w:rsidRPr="005C56D9">
          <w:rPr>
            <w:rStyle w:val="af7"/>
            <w:noProof/>
          </w:rPr>
          <w:t>tCOWFCR</w:t>
        </w:r>
        <w:r w:rsidRPr="005C56D9">
          <w:rPr>
            <w:rStyle w:val="af7"/>
            <w:rFonts w:eastAsia="Calibri"/>
            <w:noProof/>
          </w:rPr>
          <w:t>»</w:t>
        </w:r>
        <w:r>
          <w:rPr>
            <w:noProof/>
            <w:webHidden/>
          </w:rPr>
          <w:tab/>
        </w:r>
        <w:r>
          <w:rPr>
            <w:noProof/>
            <w:webHidden/>
          </w:rPr>
          <w:fldChar w:fldCharType="begin"/>
        </w:r>
        <w:r>
          <w:rPr>
            <w:noProof/>
            <w:webHidden/>
          </w:rPr>
          <w:instrText xml:space="preserve"> PAGEREF _Toc219309425 \h </w:instrText>
        </w:r>
        <w:r>
          <w:rPr>
            <w:noProof/>
            <w:webHidden/>
          </w:rPr>
        </w:r>
        <w:r>
          <w:rPr>
            <w:noProof/>
            <w:webHidden/>
          </w:rPr>
          <w:fldChar w:fldCharType="separate"/>
        </w:r>
        <w:r>
          <w:rPr>
            <w:noProof/>
            <w:webHidden/>
          </w:rPr>
          <w:t>572</w:t>
        </w:r>
        <w:r>
          <w:rPr>
            <w:noProof/>
            <w:webHidden/>
          </w:rPr>
          <w:fldChar w:fldCharType="end"/>
        </w:r>
      </w:hyperlink>
    </w:p>
    <w:p w14:paraId="2BD41482"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426" w:history="1">
        <w:r w:rsidRPr="005C56D9">
          <w:rPr>
            <w:rStyle w:val="af7"/>
            <w:rFonts w:eastAsia="Calibri"/>
            <w:noProof/>
            <w:highlight w:val="green"/>
          </w:rPr>
          <w:t>Таблица </w:t>
        </w:r>
        <w:r>
          <w:rPr>
            <w:rFonts w:asciiTheme="minorHAnsi" w:eastAsiaTheme="minorEastAsia" w:hAnsiTheme="minorHAnsi" w:cstheme="minorBidi"/>
            <w:noProof/>
            <w:sz w:val="22"/>
            <w:szCs w:val="22"/>
          </w:rPr>
          <w:tab/>
        </w:r>
        <w:r w:rsidRPr="005C56D9">
          <w:rPr>
            <w:rStyle w:val="af7"/>
            <w:rFonts w:eastAsia="Calibri"/>
            <w:noProof/>
            <w:highlight w:val="green"/>
          </w:rPr>
          <w:t>396</w:t>
        </w:r>
        <w:r w:rsidRPr="005C56D9">
          <w:rPr>
            <w:rStyle w:val="af7"/>
            <w:noProof/>
            <w:highlight w:val="green"/>
          </w:rPr>
          <w:t xml:space="preserve"> – </w:t>
        </w:r>
        <w:r w:rsidRPr="005C56D9">
          <w:rPr>
            <w:rStyle w:val="af7"/>
            <w:rFonts w:eastAsia="Calibri"/>
            <w:noProof/>
            <w:highlight w:val="green"/>
          </w:rPr>
          <w:t>Описание комплексного типа «</w:t>
        </w:r>
        <w:r w:rsidRPr="005C56D9">
          <w:rPr>
            <w:rStyle w:val="af7"/>
            <w:noProof/>
            <w:highlight w:val="green"/>
          </w:rPr>
          <w:t>tCOWFCR_ITEM</w:t>
        </w:r>
        <w:r w:rsidRPr="005C56D9">
          <w:rPr>
            <w:rStyle w:val="af7"/>
            <w:rFonts w:eastAsia="Calibri"/>
            <w:noProof/>
            <w:highlight w:val="green"/>
          </w:rPr>
          <w:t>»</w:t>
        </w:r>
        <w:r>
          <w:rPr>
            <w:noProof/>
            <w:webHidden/>
          </w:rPr>
          <w:tab/>
        </w:r>
        <w:r>
          <w:rPr>
            <w:noProof/>
            <w:webHidden/>
          </w:rPr>
          <w:fldChar w:fldCharType="begin"/>
        </w:r>
        <w:r>
          <w:rPr>
            <w:noProof/>
            <w:webHidden/>
          </w:rPr>
          <w:instrText xml:space="preserve"> PAGEREF _Toc219309426 \h </w:instrText>
        </w:r>
        <w:r>
          <w:rPr>
            <w:noProof/>
            <w:webHidden/>
          </w:rPr>
        </w:r>
        <w:r>
          <w:rPr>
            <w:noProof/>
            <w:webHidden/>
          </w:rPr>
          <w:fldChar w:fldCharType="separate"/>
        </w:r>
        <w:r>
          <w:rPr>
            <w:noProof/>
            <w:webHidden/>
          </w:rPr>
          <w:t>572</w:t>
        </w:r>
        <w:r>
          <w:rPr>
            <w:noProof/>
            <w:webHidden/>
          </w:rPr>
          <w:fldChar w:fldCharType="end"/>
        </w:r>
      </w:hyperlink>
    </w:p>
    <w:p w14:paraId="02238D62"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427"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397</w:t>
        </w:r>
        <w:r w:rsidRPr="005C56D9">
          <w:rPr>
            <w:rStyle w:val="af7"/>
            <w:noProof/>
          </w:rPr>
          <w:t xml:space="preserve"> – </w:t>
        </w:r>
        <w:r w:rsidRPr="005C56D9">
          <w:rPr>
            <w:rStyle w:val="af7"/>
            <w:rFonts w:eastAsia="Calibri"/>
            <w:noProof/>
          </w:rPr>
          <w:t>Описание комплексного типа «</w:t>
        </w:r>
        <w:r w:rsidRPr="005C56D9">
          <w:rPr>
            <w:rStyle w:val="af7"/>
            <w:noProof/>
          </w:rPr>
          <w:t>tCOW</w:t>
        </w:r>
        <w:r w:rsidRPr="005C56D9">
          <w:rPr>
            <w:rStyle w:val="af7"/>
            <w:noProof/>
            <w:lang w:val="en-US"/>
          </w:rPr>
          <w:t>SVR</w:t>
        </w:r>
        <w:r w:rsidRPr="005C56D9">
          <w:rPr>
            <w:rStyle w:val="af7"/>
            <w:rFonts w:eastAsia="Calibri"/>
            <w:noProof/>
          </w:rPr>
          <w:t>»</w:t>
        </w:r>
        <w:r>
          <w:rPr>
            <w:noProof/>
            <w:webHidden/>
          </w:rPr>
          <w:tab/>
        </w:r>
        <w:r>
          <w:rPr>
            <w:noProof/>
            <w:webHidden/>
          </w:rPr>
          <w:fldChar w:fldCharType="begin"/>
        </w:r>
        <w:r>
          <w:rPr>
            <w:noProof/>
            <w:webHidden/>
          </w:rPr>
          <w:instrText xml:space="preserve"> PAGEREF _Toc219309427 \h </w:instrText>
        </w:r>
        <w:r>
          <w:rPr>
            <w:noProof/>
            <w:webHidden/>
          </w:rPr>
        </w:r>
        <w:r>
          <w:rPr>
            <w:noProof/>
            <w:webHidden/>
          </w:rPr>
          <w:fldChar w:fldCharType="separate"/>
        </w:r>
        <w:r>
          <w:rPr>
            <w:noProof/>
            <w:webHidden/>
          </w:rPr>
          <w:t>573</w:t>
        </w:r>
        <w:r>
          <w:rPr>
            <w:noProof/>
            <w:webHidden/>
          </w:rPr>
          <w:fldChar w:fldCharType="end"/>
        </w:r>
      </w:hyperlink>
    </w:p>
    <w:p w14:paraId="28F38706" w14:textId="77777777" w:rsidR="008D797C" w:rsidRDefault="008D797C">
      <w:pPr>
        <w:pStyle w:val="affffffe"/>
        <w:tabs>
          <w:tab w:val="left" w:pos="1200"/>
          <w:tab w:val="right" w:leader="dot" w:pos="9628"/>
        </w:tabs>
        <w:rPr>
          <w:rFonts w:asciiTheme="minorHAnsi" w:eastAsiaTheme="minorEastAsia" w:hAnsiTheme="minorHAnsi" w:cstheme="minorBidi"/>
          <w:noProof/>
          <w:sz w:val="22"/>
          <w:szCs w:val="22"/>
        </w:rPr>
      </w:pPr>
      <w:hyperlink w:anchor="_Toc219309428" w:history="1">
        <w:r w:rsidRPr="005C56D9">
          <w:rPr>
            <w:rStyle w:val="af7"/>
            <w:rFonts w:eastAsia="Calibri"/>
            <w:noProof/>
          </w:rPr>
          <w:t>Таблица </w:t>
        </w:r>
        <w:r>
          <w:rPr>
            <w:rFonts w:asciiTheme="minorHAnsi" w:eastAsiaTheme="minorEastAsia" w:hAnsiTheme="minorHAnsi" w:cstheme="minorBidi"/>
            <w:noProof/>
            <w:sz w:val="22"/>
            <w:szCs w:val="22"/>
          </w:rPr>
          <w:tab/>
        </w:r>
        <w:r w:rsidRPr="005C56D9">
          <w:rPr>
            <w:rStyle w:val="af7"/>
            <w:rFonts w:eastAsia="Calibri"/>
            <w:noProof/>
          </w:rPr>
          <w:t>398</w:t>
        </w:r>
        <w:r w:rsidRPr="005C56D9">
          <w:rPr>
            <w:rStyle w:val="af7"/>
            <w:noProof/>
          </w:rPr>
          <w:t xml:space="preserve"> – </w:t>
        </w:r>
        <w:r w:rsidRPr="005C56D9">
          <w:rPr>
            <w:rStyle w:val="af7"/>
            <w:rFonts w:eastAsia="Calibri"/>
            <w:noProof/>
          </w:rPr>
          <w:t>Описание комплексного типа «</w:t>
        </w:r>
        <w:r w:rsidRPr="005C56D9">
          <w:rPr>
            <w:rStyle w:val="af7"/>
            <w:noProof/>
          </w:rPr>
          <w:t>tCOW</w:t>
        </w:r>
        <w:r w:rsidRPr="005C56D9">
          <w:rPr>
            <w:rStyle w:val="af7"/>
            <w:noProof/>
            <w:lang w:val="en-US"/>
          </w:rPr>
          <w:t>SVR</w:t>
        </w:r>
        <w:r w:rsidRPr="005C56D9">
          <w:rPr>
            <w:rStyle w:val="af7"/>
            <w:noProof/>
          </w:rPr>
          <w:t>_ITEM</w:t>
        </w:r>
        <w:r w:rsidRPr="005C56D9">
          <w:rPr>
            <w:rStyle w:val="af7"/>
            <w:rFonts w:eastAsia="Calibri"/>
            <w:noProof/>
          </w:rPr>
          <w:t>»</w:t>
        </w:r>
        <w:r>
          <w:rPr>
            <w:noProof/>
            <w:webHidden/>
          </w:rPr>
          <w:tab/>
        </w:r>
        <w:r>
          <w:rPr>
            <w:noProof/>
            <w:webHidden/>
          </w:rPr>
          <w:fldChar w:fldCharType="begin"/>
        </w:r>
        <w:r>
          <w:rPr>
            <w:noProof/>
            <w:webHidden/>
          </w:rPr>
          <w:instrText xml:space="preserve"> PAGEREF _Toc219309428 \h </w:instrText>
        </w:r>
        <w:r>
          <w:rPr>
            <w:noProof/>
            <w:webHidden/>
          </w:rPr>
        </w:r>
        <w:r>
          <w:rPr>
            <w:noProof/>
            <w:webHidden/>
          </w:rPr>
          <w:fldChar w:fldCharType="separate"/>
        </w:r>
        <w:r>
          <w:rPr>
            <w:noProof/>
            <w:webHidden/>
          </w:rPr>
          <w:t>573</w:t>
        </w:r>
        <w:r>
          <w:rPr>
            <w:noProof/>
            <w:webHidden/>
          </w:rPr>
          <w:fldChar w:fldCharType="end"/>
        </w:r>
      </w:hyperlink>
    </w:p>
    <w:p w14:paraId="63ADBAE6" w14:textId="530D29FB" w:rsidR="00AD1F54" w:rsidRPr="00264D5D" w:rsidRDefault="00941227">
      <w:pPr>
        <w:pStyle w:val="OTRNormal"/>
        <w:sectPr w:rsidR="00AD1F54" w:rsidRPr="00264D5D">
          <w:pgSz w:w="11906" w:h="16838"/>
          <w:pgMar w:top="1134" w:right="567" w:bottom="851" w:left="1701" w:header="567" w:footer="284" w:gutter="0"/>
          <w:pgNumType w:start="2"/>
          <w:cols w:space="60"/>
          <w:docGrid w:linePitch="360"/>
        </w:sectPr>
      </w:pPr>
      <w:r w:rsidRPr="00264D5D">
        <w:fldChar w:fldCharType="end"/>
      </w:r>
    </w:p>
    <w:p w14:paraId="1AE7FDEC" w14:textId="77777777" w:rsidR="00AD1F54" w:rsidRPr="00264D5D" w:rsidRDefault="00941227">
      <w:pPr>
        <w:pStyle w:val="10"/>
        <w:jc w:val="both"/>
      </w:pPr>
      <w:bookmarkStart w:id="14" w:name="_Toc346619928"/>
      <w:bookmarkStart w:id="15" w:name="_Toc349729649"/>
      <w:bookmarkStart w:id="16" w:name="_Toc351471136"/>
      <w:bookmarkStart w:id="17" w:name="_Toc351716099"/>
      <w:bookmarkStart w:id="18" w:name="_Toc351717263"/>
      <w:bookmarkStart w:id="19" w:name="_Toc364868999"/>
      <w:bookmarkStart w:id="20" w:name="_Toc366759397"/>
      <w:bookmarkStart w:id="21" w:name="_Toc411507332"/>
      <w:bookmarkStart w:id="22" w:name="_Toc200351857"/>
      <w:bookmarkStart w:id="23" w:name="_Toc219309430"/>
      <w:r w:rsidRPr="00264D5D">
        <w:lastRenderedPageBreak/>
        <w:t>Введение</w:t>
      </w:r>
      <w:bookmarkEnd w:id="23"/>
    </w:p>
    <w:p w14:paraId="5104FD95" w14:textId="77777777" w:rsidR="00AD1F54" w:rsidRPr="00264D5D" w:rsidRDefault="00941227">
      <w:pPr>
        <w:spacing w:before="60" w:after="120"/>
        <w:ind w:firstLine="567"/>
      </w:pPr>
      <w:r w:rsidRPr="00264D5D">
        <w:t xml:space="preserve">Документ предназначен для описания требований к форматам </w:t>
      </w:r>
      <w:r w:rsidRPr="00264D5D">
        <w:rPr>
          <w:lang w:val="en-US"/>
        </w:rPr>
        <w:t>xml</w:t>
      </w:r>
      <w:r w:rsidRPr="00264D5D">
        <w:t>-сообщений, передаваемых подсистемами государственной интегрированной информационной системы управления общественными финансами «Электронный бюджет», внешними участниками в органы Федерального казначейства.</w:t>
      </w:r>
    </w:p>
    <w:p w14:paraId="47811578" w14:textId="77777777" w:rsidR="00AD1F54" w:rsidRPr="00264D5D" w:rsidRDefault="00941227" w:rsidP="0054296D">
      <w:pPr>
        <w:spacing w:before="60" w:after="120"/>
        <w:ind w:firstLine="567"/>
      </w:pPr>
      <w:r w:rsidRPr="00264D5D">
        <w:t xml:space="preserve">Документ содержит описание информационного взаимодействия, структуры </w:t>
      </w:r>
      <w:r w:rsidRPr="00264D5D">
        <w:rPr>
          <w:lang w:val="en-US"/>
        </w:rPr>
        <w:t>xml</w:t>
      </w:r>
      <w:r w:rsidRPr="00264D5D">
        <w:t>-сообщений, требования к составу информации при информационном взаимодействии, требования к составу информации при передаче служебных документов.</w:t>
      </w:r>
    </w:p>
    <w:p w14:paraId="3E217C5A" w14:textId="77777777" w:rsidR="00AD1F54" w:rsidRPr="0003072D" w:rsidRDefault="00941227">
      <w:pPr>
        <w:pStyle w:val="10"/>
        <w:jc w:val="both"/>
        <w:rPr>
          <w:highlight w:val="green"/>
        </w:rPr>
      </w:pPr>
      <w:bookmarkStart w:id="24" w:name="_Toc416180719"/>
      <w:bookmarkStart w:id="25" w:name="_Toc416180967"/>
      <w:bookmarkStart w:id="26" w:name="_Toc416181089"/>
      <w:bookmarkStart w:id="27" w:name="_Toc416181209"/>
      <w:bookmarkStart w:id="28" w:name="_Toc416181330"/>
      <w:bookmarkStart w:id="29" w:name="_Toc416181597"/>
      <w:bookmarkStart w:id="30" w:name="_Toc416181718"/>
      <w:bookmarkStart w:id="31" w:name="_Toc416181841"/>
      <w:bookmarkStart w:id="32" w:name="_Toc416182063"/>
      <w:bookmarkStart w:id="33" w:name="_Toc416182178"/>
      <w:bookmarkStart w:id="34" w:name="_Toc416182295"/>
      <w:bookmarkStart w:id="35" w:name="_Toc416182446"/>
      <w:bookmarkStart w:id="36" w:name="_Toc416182563"/>
      <w:bookmarkStart w:id="37" w:name="_Toc416180720"/>
      <w:bookmarkStart w:id="38" w:name="_Toc416180968"/>
      <w:bookmarkStart w:id="39" w:name="_Toc416181090"/>
      <w:bookmarkStart w:id="40" w:name="_Toc416181210"/>
      <w:bookmarkStart w:id="41" w:name="_Toc416181331"/>
      <w:bookmarkStart w:id="42" w:name="_Toc416181598"/>
      <w:bookmarkStart w:id="43" w:name="_Toc416181719"/>
      <w:bookmarkStart w:id="44" w:name="_Toc416181842"/>
      <w:bookmarkStart w:id="45" w:name="_Toc416182064"/>
      <w:bookmarkStart w:id="46" w:name="_Toc416182179"/>
      <w:bookmarkStart w:id="47" w:name="_Toc416182296"/>
      <w:bookmarkStart w:id="48" w:name="_Toc416182447"/>
      <w:bookmarkStart w:id="49" w:name="_Toc416182564"/>
      <w:bookmarkStart w:id="50" w:name="_Toc416180728"/>
      <w:bookmarkStart w:id="51" w:name="_Toc416180976"/>
      <w:bookmarkStart w:id="52" w:name="_Toc416181098"/>
      <w:bookmarkStart w:id="53" w:name="_Toc416181218"/>
      <w:bookmarkStart w:id="54" w:name="_Toc416181339"/>
      <w:bookmarkStart w:id="55" w:name="_Toc416181606"/>
      <w:bookmarkStart w:id="56" w:name="_Toc416181727"/>
      <w:bookmarkStart w:id="57" w:name="_Toc416181850"/>
      <w:bookmarkStart w:id="58" w:name="_Toc416182072"/>
      <w:bookmarkStart w:id="59" w:name="_Toc416182187"/>
      <w:bookmarkStart w:id="60" w:name="_Toc416182304"/>
      <w:bookmarkStart w:id="61" w:name="_Toc416182455"/>
      <w:bookmarkStart w:id="62" w:name="_Toc416182572"/>
      <w:bookmarkStart w:id="63" w:name="_Toc227415245"/>
      <w:bookmarkStart w:id="64" w:name="_Toc227643892"/>
      <w:bookmarkStart w:id="65" w:name="_Toc351716100"/>
      <w:bookmarkStart w:id="66" w:name="_Toc351717264"/>
      <w:bookmarkStart w:id="67" w:name="_Toc364869000"/>
      <w:bookmarkStart w:id="68" w:name="_Toc366759398"/>
      <w:bookmarkStart w:id="69" w:name="_Toc411507333"/>
      <w:bookmarkStart w:id="70" w:name="_Toc219309431"/>
      <w:bookmarkEnd w:id="14"/>
      <w:bookmarkEnd w:id="15"/>
      <w:bookmarkEnd w:id="16"/>
      <w:bookmarkEnd w:id="17"/>
      <w:bookmarkEnd w:id="18"/>
      <w:bookmarkEnd w:id="19"/>
      <w:bookmarkEnd w:id="20"/>
      <w:bookmarkEnd w:id="21"/>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r w:rsidRPr="0003072D">
        <w:rPr>
          <w:highlight w:val="green"/>
        </w:rPr>
        <w:lastRenderedPageBreak/>
        <w:t>Сокращения и определения</w:t>
      </w:r>
      <w:bookmarkEnd w:id="70"/>
    </w:p>
    <w:p w14:paraId="25AC67C8" w14:textId="10E66AB0" w:rsidR="00AD1F54" w:rsidRPr="00264D5D" w:rsidRDefault="00941227">
      <w:pPr>
        <w:pStyle w:val="OTRNormal"/>
      </w:pPr>
      <w:r w:rsidRPr="00264D5D">
        <w:rPr>
          <w:rStyle w:val="OTRPacked"/>
          <w:sz w:val="24"/>
          <w:szCs w:val="24"/>
        </w:rPr>
        <w:t>Перечень сокращений и определений, используемых в документе, приведен в</w:t>
      </w:r>
      <w:r w:rsidRPr="00264D5D">
        <w:rPr>
          <w:rStyle w:val="OTRPacked"/>
          <w:sz w:val="24"/>
          <w:szCs w:val="24"/>
        </w:rPr>
        <w:br/>
        <w:t xml:space="preserve">таблице </w:t>
      </w:r>
      <w:r w:rsidRPr="00264D5D">
        <w:rPr>
          <w:rStyle w:val="OTRPacked"/>
          <w:sz w:val="24"/>
          <w:szCs w:val="24"/>
        </w:rPr>
        <w:fldChar w:fldCharType="begin"/>
      </w:r>
      <w:r w:rsidRPr="00264D5D">
        <w:rPr>
          <w:rStyle w:val="OTRPacked"/>
          <w:sz w:val="24"/>
          <w:szCs w:val="24"/>
        </w:rPr>
        <w:instrText xml:space="preserve"> REF _Ref420918417 \h  \* MERGEFORMAT </w:instrText>
      </w:r>
      <w:r w:rsidRPr="00264D5D">
        <w:rPr>
          <w:rStyle w:val="OTRPacked"/>
          <w:sz w:val="24"/>
          <w:szCs w:val="24"/>
        </w:rPr>
      </w:r>
      <w:r w:rsidRPr="00264D5D">
        <w:rPr>
          <w:rStyle w:val="OTRPacked"/>
          <w:sz w:val="24"/>
          <w:szCs w:val="24"/>
        </w:rPr>
        <w:fldChar w:fldCharType="separate"/>
      </w:r>
      <w:r w:rsidR="008D797C" w:rsidRPr="008D797C">
        <w:rPr>
          <w:sz w:val="24"/>
          <w:szCs w:val="24"/>
        </w:rPr>
        <w:t>1</w:t>
      </w:r>
      <w:r w:rsidRPr="00264D5D">
        <w:rPr>
          <w:rStyle w:val="OTRPacked"/>
          <w:sz w:val="24"/>
          <w:szCs w:val="24"/>
        </w:rPr>
        <w:fldChar w:fldCharType="end"/>
      </w:r>
      <w:r w:rsidRPr="00264D5D">
        <w:rPr>
          <w:rStyle w:val="OTRPacked"/>
          <w:sz w:val="24"/>
          <w:szCs w:val="24"/>
        </w:rPr>
        <w:t>.</w:t>
      </w:r>
      <w:bookmarkEnd w:id="63"/>
      <w:bookmarkEnd w:id="64"/>
      <w:bookmarkEnd w:id="65"/>
      <w:bookmarkEnd w:id="66"/>
      <w:bookmarkEnd w:id="67"/>
      <w:bookmarkEnd w:id="68"/>
      <w:bookmarkEnd w:id="69"/>
    </w:p>
    <w:p w14:paraId="62162A63" w14:textId="582DF1D7" w:rsidR="00AD1F54" w:rsidRPr="0003072D" w:rsidRDefault="00941227">
      <w:pPr>
        <w:pStyle w:val="OTRNameTable"/>
        <w:numPr>
          <w:ilvl w:val="0"/>
          <w:numId w:val="2"/>
        </w:numPr>
        <w:ind w:firstLine="0"/>
        <w:rPr>
          <w:rFonts w:eastAsia="Calibri"/>
          <w:szCs w:val="24"/>
          <w:highlight w:val="green"/>
        </w:rPr>
      </w:pPr>
      <w:r w:rsidRPr="0003072D">
        <w:rPr>
          <w:rFonts w:eastAsia="Calibri"/>
          <w:szCs w:val="24"/>
          <w:highlight w:val="green"/>
        </w:rPr>
        <w:fldChar w:fldCharType="begin"/>
      </w:r>
      <w:r w:rsidRPr="0003072D">
        <w:rPr>
          <w:rFonts w:eastAsia="Calibri"/>
          <w:szCs w:val="24"/>
          <w:highlight w:val="green"/>
        </w:rPr>
        <w:instrText xml:space="preserve"> SEQ Таблица \* ARABIC </w:instrText>
      </w:r>
      <w:r w:rsidRPr="0003072D">
        <w:rPr>
          <w:rFonts w:eastAsia="Calibri"/>
          <w:szCs w:val="24"/>
          <w:highlight w:val="green"/>
        </w:rPr>
        <w:fldChar w:fldCharType="separate"/>
      </w:r>
      <w:bookmarkStart w:id="71" w:name="_Ref420918417"/>
      <w:bookmarkStart w:id="72" w:name="_Toc30503340"/>
      <w:bookmarkStart w:id="73" w:name="_Toc30507938"/>
      <w:bookmarkStart w:id="74" w:name="_Toc219309031"/>
      <w:r w:rsidR="008D797C">
        <w:rPr>
          <w:rFonts w:eastAsia="Calibri"/>
          <w:noProof/>
          <w:szCs w:val="24"/>
          <w:highlight w:val="green"/>
        </w:rPr>
        <w:t>1</w:t>
      </w:r>
      <w:bookmarkEnd w:id="71"/>
      <w:r w:rsidRPr="0003072D">
        <w:rPr>
          <w:rFonts w:eastAsia="Calibri"/>
          <w:szCs w:val="24"/>
          <w:highlight w:val="green"/>
        </w:rPr>
        <w:fldChar w:fldCharType="end"/>
      </w:r>
      <w:r w:rsidRPr="0003072D">
        <w:rPr>
          <w:rFonts w:eastAsia="Calibri"/>
          <w:szCs w:val="24"/>
          <w:highlight w:val="green"/>
        </w:rPr>
        <w:t xml:space="preserve"> – Перечень используемых сокращений и определений</w:t>
      </w:r>
      <w:bookmarkEnd w:id="72"/>
      <w:bookmarkEnd w:id="73"/>
      <w:bookmarkEnd w:id="74"/>
      <w:r w:rsidRPr="0003072D">
        <w:rPr>
          <w:rFonts w:eastAsia="Calibri"/>
          <w:szCs w:val="24"/>
          <w:highlight w:val="green"/>
        </w:rPr>
        <w:t xml:space="preserve"> </w:t>
      </w:r>
    </w:p>
    <w:tbl>
      <w:tblPr>
        <w:tblStyle w:val="GOSTTable"/>
        <w:tblW w:w="5000" w:type="pct"/>
        <w:tblLook w:val="01E0" w:firstRow="1" w:lastRow="1" w:firstColumn="1" w:lastColumn="1" w:noHBand="0" w:noVBand="0"/>
      </w:tblPr>
      <w:tblGrid>
        <w:gridCol w:w="1992"/>
        <w:gridCol w:w="7658"/>
      </w:tblGrid>
      <w:tr w:rsidR="00AD1F54" w:rsidRPr="00264D5D" w14:paraId="7B50C35F" w14:textId="77777777" w:rsidTr="008417DE">
        <w:trPr>
          <w:cnfStyle w:val="100000000000" w:firstRow="1" w:lastRow="0" w:firstColumn="0" w:lastColumn="0" w:oddVBand="0" w:evenVBand="0" w:oddHBand="0" w:evenHBand="0" w:firstRowFirstColumn="0" w:firstRowLastColumn="0" w:lastRowFirstColumn="0" w:lastRowLastColumn="0"/>
          <w:trHeight w:val="320"/>
          <w:tblHeader/>
        </w:trPr>
        <w:tc>
          <w:tcPr>
            <w:tcW w:w="1032" w:type="pct"/>
          </w:tcPr>
          <w:p w14:paraId="076503CA" w14:textId="77777777" w:rsidR="00AD1F54" w:rsidRPr="00264D5D" w:rsidRDefault="00941227" w:rsidP="0054296D">
            <w:pPr>
              <w:keepNext/>
              <w:widowControl w:val="0"/>
              <w:spacing w:before="60" w:after="60"/>
              <w:ind w:left="57" w:right="57"/>
              <w:jc w:val="center"/>
              <w:rPr>
                <w:b/>
                <w:sz w:val="22"/>
                <w:szCs w:val="22"/>
              </w:rPr>
            </w:pPr>
            <w:r w:rsidRPr="00264D5D">
              <w:rPr>
                <w:b/>
                <w:sz w:val="22"/>
                <w:szCs w:val="22"/>
              </w:rPr>
              <w:t>Сокращение</w:t>
            </w:r>
          </w:p>
        </w:tc>
        <w:tc>
          <w:tcPr>
            <w:tcW w:w="3968" w:type="pct"/>
          </w:tcPr>
          <w:p w14:paraId="494F1E78" w14:textId="77777777" w:rsidR="00AD1F54" w:rsidRPr="00264D5D" w:rsidRDefault="00941227" w:rsidP="0054296D">
            <w:pPr>
              <w:keepNext/>
              <w:widowControl w:val="0"/>
              <w:spacing w:before="60" w:after="60"/>
              <w:ind w:left="57" w:right="57"/>
              <w:jc w:val="center"/>
              <w:rPr>
                <w:b/>
                <w:sz w:val="22"/>
                <w:szCs w:val="22"/>
              </w:rPr>
            </w:pPr>
            <w:r w:rsidRPr="00264D5D">
              <w:rPr>
                <w:b/>
                <w:sz w:val="22"/>
                <w:szCs w:val="22"/>
              </w:rPr>
              <w:t>Определение</w:t>
            </w:r>
          </w:p>
        </w:tc>
      </w:tr>
      <w:tr w:rsidR="00AD1F54" w:rsidRPr="00264D5D" w14:paraId="5F45D243"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64641549" w14:textId="77777777" w:rsidR="00AD1F54" w:rsidRPr="00264D5D" w:rsidRDefault="00941227" w:rsidP="0054296D">
            <w:pPr>
              <w:spacing w:before="60" w:after="60"/>
              <w:jc w:val="left"/>
              <w:rPr>
                <w:sz w:val="22"/>
                <w:szCs w:val="22"/>
              </w:rPr>
            </w:pPr>
            <w:r w:rsidRPr="00264D5D">
              <w:rPr>
                <w:color w:val="333333"/>
                <w:sz w:val="22"/>
                <w:szCs w:val="22"/>
              </w:rPr>
              <w:t>OAGIS</w:t>
            </w:r>
          </w:p>
        </w:tc>
        <w:tc>
          <w:tcPr>
            <w:tcW w:w="3968" w:type="pct"/>
          </w:tcPr>
          <w:p w14:paraId="6E91826F" w14:textId="77777777" w:rsidR="00AD1F54" w:rsidRPr="00264D5D" w:rsidRDefault="00941227" w:rsidP="0054296D">
            <w:pPr>
              <w:spacing w:before="60" w:after="60"/>
              <w:rPr>
                <w:sz w:val="22"/>
                <w:szCs w:val="22"/>
              </w:rPr>
            </w:pPr>
            <w:r w:rsidRPr="00264D5D">
              <w:rPr>
                <w:color w:val="333333"/>
                <w:sz w:val="22"/>
                <w:szCs w:val="22"/>
                <w:lang w:val="en-US"/>
              </w:rPr>
              <w:t xml:space="preserve">Open Applications Group Integration Specification. </w:t>
            </w:r>
            <w:r w:rsidRPr="00264D5D">
              <w:rPr>
                <w:color w:val="333333"/>
                <w:sz w:val="22"/>
                <w:szCs w:val="22"/>
              </w:rPr>
              <w:t xml:space="preserve">Стандарт определения и структурирования XML-сообщений, обмен которыми </w:t>
            </w:r>
            <w:r w:rsidR="0054296D" w:rsidRPr="00264D5D">
              <w:rPr>
                <w:color w:val="333333"/>
                <w:sz w:val="22"/>
                <w:szCs w:val="22"/>
              </w:rPr>
              <w:t>производится между приложениями</w:t>
            </w:r>
          </w:p>
        </w:tc>
      </w:tr>
      <w:tr w:rsidR="00AD1F54" w:rsidRPr="00264D5D" w14:paraId="76CEEA3C"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14A02A96" w14:textId="77777777" w:rsidR="00AD1F54" w:rsidRPr="00264D5D" w:rsidRDefault="00941227" w:rsidP="0054296D">
            <w:pPr>
              <w:spacing w:before="60" w:after="60"/>
              <w:jc w:val="left"/>
              <w:rPr>
                <w:sz w:val="22"/>
                <w:szCs w:val="22"/>
              </w:rPr>
            </w:pPr>
            <w:r w:rsidRPr="00264D5D">
              <w:rPr>
                <w:sz w:val="22"/>
                <w:szCs w:val="22"/>
              </w:rPr>
              <w:t>ASCII</w:t>
            </w:r>
          </w:p>
        </w:tc>
        <w:tc>
          <w:tcPr>
            <w:tcW w:w="3968" w:type="pct"/>
          </w:tcPr>
          <w:p w14:paraId="5F8E7297" w14:textId="77777777" w:rsidR="00AD1F54" w:rsidRPr="00264D5D" w:rsidRDefault="00941227" w:rsidP="0054296D">
            <w:pPr>
              <w:spacing w:before="60" w:after="60"/>
              <w:rPr>
                <w:sz w:val="22"/>
                <w:szCs w:val="22"/>
              </w:rPr>
            </w:pPr>
            <w:r w:rsidRPr="00264D5D">
              <w:rPr>
                <w:sz w:val="22"/>
                <w:szCs w:val="22"/>
              </w:rPr>
              <w:t xml:space="preserve">Семибитная компьютерная кодировка для представления латинского алфавита, десятичных цифр, некоторых знаков препинания, арифметических </w:t>
            </w:r>
            <w:r w:rsidR="0054296D" w:rsidRPr="00264D5D">
              <w:rPr>
                <w:sz w:val="22"/>
                <w:szCs w:val="22"/>
              </w:rPr>
              <w:t>операций и управляющих символов</w:t>
            </w:r>
          </w:p>
        </w:tc>
      </w:tr>
      <w:tr w:rsidR="00AD1F54" w:rsidRPr="00264D5D" w14:paraId="6701C331"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7AFD08C3" w14:textId="77777777" w:rsidR="00AD1F54" w:rsidRPr="00264D5D" w:rsidRDefault="00941227" w:rsidP="0054296D">
            <w:pPr>
              <w:spacing w:before="60" w:after="60"/>
              <w:jc w:val="left"/>
              <w:rPr>
                <w:sz w:val="22"/>
                <w:szCs w:val="22"/>
              </w:rPr>
            </w:pPr>
            <w:r w:rsidRPr="00264D5D">
              <w:rPr>
                <w:sz w:val="22"/>
                <w:szCs w:val="22"/>
              </w:rPr>
              <w:t>GUID (ГУИД)</w:t>
            </w:r>
          </w:p>
        </w:tc>
        <w:tc>
          <w:tcPr>
            <w:tcW w:w="3968" w:type="pct"/>
          </w:tcPr>
          <w:p w14:paraId="5846228A" w14:textId="77777777" w:rsidR="00AD1F54" w:rsidRPr="00264D5D" w:rsidRDefault="00941227" w:rsidP="0054296D">
            <w:pPr>
              <w:pStyle w:val="GOSTTablenorm"/>
              <w:rPr>
                <w:szCs w:val="22"/>
              </w:rPr>
            </w:pPr>
            <w:r w:rsidRPr="00264D5D">
              <w:rPr>
                <w:szCs w:val="22"/>
              </w:rPr>
              <w:t>Globally Unique Identifier – уникальный 128-битный идентификатор, представляется в виде строки из шестнадцатеричных цифр, разбитых на пять групп по 8, 4, 4, 4 и 12 символов соответственно, разделенных дефисами:</w:t>
            </w:r>
          </w:p>
          <w:p w14:paraId="15A7F229" w14:textId="77777777" w:rsidR="00AD1F54" w:rsidRPr="00264D5D" w:rsidRDefault="00941227" w:rsidP="0054296D">
            <w:pPr>
              <w:spacing w:before="60" w:after="60"/>
              <w:rPr>
                <w:sz w:val="22"/>
                <w:szCs w:val="22"/>
              </w:rPr>
            </w:pPr>
            <w:r w:rsidRPr="00264D5D">
              <w:rPr>
                <w:sz w:val="22"/>
                <w:szCs w:val="22"/>
              </w:rPr>
              <w:t>XXXXX</w:t>
            </w:r>
            <w:r w:rsidR="0054296D" w:rsidRPr="00264D5D">
              <w:rPr>
                <w:sz w:val="22"/>
                <w:szCs w:val="22"/>
              </w:rPr>
              <w:t>XXX-XXXX-XXXX-XXXX-XXXXXXXXXXXX</w:t>
            </w:r>
          </w:p>
        </w:tc>
      </w:tr>
      <w:tr w:rsidR="00AD1F54" w:rsidRPr="00264D5D" w14:paraId="05A4B1B1"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49AA26C3" w14:textId="77777777" w:rsidR="00AD1F54" w:rsidRPr="00264D5D" w:rsidRDefault="00941227" w:rsidP="0054296D">
            <w:pPr>
              <w:spacing w:before="60" w:after="60"/>
              <w:jc w:val="left"/>
              <w:rPr>
                <w:sz w:val="22"/>
                <w:szCs w:val="22"/>
              </w:rPr>
            </w:pPr>
            <w:r w:rsidRPr="00264D5D">
              <w:rPr>
                <w:sz w:val="22"/>
                <w:szCs w:val="22"/>
              </w:rPr>
              <w:t>XML</w:t>
            </w:r>
          </w:p>
        </w:tc>
        <w:tc>
          <w:tcPr>
            <w:tcW w:w="3968" w:type="pct"/>
          </w:tcPr>
          <w:p w14:paraId="1F9DD943" w14:textId="77777777" w:rsidR="00AD1F54" w:rsidRPr="00264D5D" w:rsidRDefault="00941227" w:rsidP="0054296D">
            <w:pPr>
              <w:spacing w:before="60" w:after="60"/>
              <w:rPr>
                <w:sz w:val="22"/>
                <w:szCs w:val="22"/>
              </w:rPr>
            </w:pPr>
            <w:r w:rsidRPr="00264D5D">
              <w:rPr>
                <w:sz w:val="22"/>
                <w:szCs w:val="22"/>
              </w:rPr>
              <w:t>Расширяемый язык разметки, предназначенный для хранения и обмена инфор</w:t>
            </w:r>
            <w:r w:rsidR="0054296D" w:rsidRPr="00264D5D">
              <w:rPr>
                <w:sz w:val="22"/>
                <w:szCs w:val="22"/>
              </w:rPr>
              <w:t>мацией в структурированном виде</w:t>
            </w:r>
          </w:p>
        </w:tc>
      </w:tr>
      <w:tr w:rsidR="00AD1F54" w:rsidRPr="00264D5D" w14:paraId="222B7539"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1A417851" w14:textId="77777777" w:rsidR="00AD1F54" w:rsidRPr="00264D5D" w:rsidRDefault="00941227" w:rsidP="0054296D">
            <w:pPr>
              <w:spacing w:before="60" w:after="60"/>
              <w:jc w:val="left"/>
              <w:rPr>
                <w:sz w:val="22"/>
                <w:szCs w:val="22"/>
              </w:rPr>
            </w:pPr>
            <w:r w:rsidRPr="00264D5D">
              <w:rPr>
                <w:sz w:val="22"/>
                <w:szCs w:val="22"/>
              </w:rPr>
              <w:t>X</w:t>
            </w:r>
            <w:r w:rsidRPr="00264D5D">
              <w:rPr>
                <w:sz w:val="22"/>
                <w:szCs w:val="22"/>
                <w:lang w:val="en-US"/>
              </w:rPr>
              <w:t>ml</w:t>
            </w:r>
            <w:r w:rsidRPr="00264D5D">
              <w:rPr>
                <w:sz w:val="22"/>
                <w:szCs w:val="22"/>
              </w:rPr>
              <w:t>-схема</w:t>
            </w:r>
          </w:p>
        </w:tc>
        <w:tc>
          <w:tcPr>
            <w:tcW w:w="3968" w:type="pct"/>
          </w:tcPr>
          <w:p w14:paraId="5CB18AEC" w14:textId="77777777" w:rsidR="00AD1F54" w:rsidRPr="00264D5D" w:rsidRDefault="00941227" w:rsidP="0054296D">
            <w:pPr>
              <w:spacing w:before="60" w:after="60"/>
              <w:rPr>
                <w:sz w:val="22"/>
                <w:szCs w:val="22"/>
              </w:rPr>
            </w:pPr>
            <w:r w:rsidRPr="00264D5D">
              <w:rPr>
                <w:sz w:val="22"/>
                <w:szCs w:val="22"/>
              </w:rPr>
              <w:t xml:space="preserve">Формализованный список правил, используемый для описания структуры </w:t>
            </w:r>
            <w:r w:rsidRPr="00264D5D">
              <w:rPr>
                <w:sz w:val="22"/>
                <w:szCs w:val="22"/>
                <w:lang w:val="en-US"/>
              </w:rPr>
              <w:t>xml</w:t>
            </w:r>
            <w:r w:rsidRPr="00264D5D">
              <w:rPr>
                <w:sz w:val="22"/>
                <w:szCs w:val="22"/>
              </w:rPr>
              <w:t>-документа и определяющий допустимые элементы, которые могут находиться в документе, порядок их следования, а также ограничения, накладываемые на определенны</w:t>
            </w:r>
            <w:r w:rsidR="0054296D" w:rsidRPr="00264D5D">
              <w:rPr>
                <w:sz w:val="22"/>
                <w:szCs w:val="22"/>
              </w:rPr>
              <w:t>е характеристики этих элементов</w:t>
            </w:r>
          </w:p>
        </w:tc>
      </w:tr>
      <w:tr w:rsidR="00AD1F54" w:rsidRPr="00264D5D" w14:paraId="58296E71" w14:textId="77777777" w:rsidTr="008417DE">
        <w:trPr>
          <w:cnfStyle w:val="000000010000" w:firstRow="0" w:lastRow="0" w:firstColumn="0" w:lastColumn="0" w:oddVBand="0" w:evenVBand="0" w:oddHBand="0" w:evenHBand="1" w:firstRowFirstColumn="0" w:firstRowLastColumn="0" w:lastRowFirstColumn="0" w:lastRowLastColumn="0"/>
          <w:trHeight w:val="1335"/>
        </w:trPr>
        <w:tc>
          <w:tcPr>
            <w:tcW w:w="1032" w:type="pct"/>
          </w:tcPr>
          <w:p w14:paraId="783CDE5A" w14:textId="77777777" w:rsidR="00AD1F54" w:rsidRPr="00264D5D" w:rsidRDefault="00941227" w:rsidP="0054296D">
            <w:pPr>
              <w:spacing w:before="60" w:after="60"/>
              <w:jc w:val="left"/>
              <w:rPr>
                <w:sz w:val="22"/>
                <w:szCs w:val="22"/>
              </w:rPr>
            </w:pPr>
            <w:r w:rsidRPr="00264D5D">
              <w:rPr>
                <w:sz w:val="22"/>
                <w:szCs w:val="22"/>
                <w:lang w:val="en-US"/>
              </w:rPr>
              <w:t>XSD</w:t>
            </w:r>
          </w:p>
        </w:tc>
        <w:tc>
          <w:tcPr>
            <w:tcW w:w="3968" w:type="pct"/>
          </w:tcPr>
          <w:p w14:paraId="522B09F2" w14:textId="77777777" w:rsidR="00AD1F54" w:rsidRPr="00264D5D" w:rsidRDefault="00941227" w:rsidP="0054296D">
            <w:pPr>
              <w:spacing w:before="60" w:after="60"/>
              <w:rPr>
                <w:sz w:val="22"/>
                <w:szCs w:val="22"/>
              </w:rPr>
            </w:pPr>
            <w:r w:rsidRPr="00264D5D">
              <w:rPr>
                <w:sz w:val="22"/>
                <w:szCs w:val="22"/>
              </w:rPr>
              <w:t xml:space="preserve">XML Schema Definition. Описание схемы </w:t>
            </w:r>
            <w:r w:rsidRPr="00264D5D">
              <w:rPr>
                <w:sz w:val="22"/>
                <w:szCs w:val="22"/>
                <w:lang w:val="en-US"/>
              </w:rPr>
              <w:t>xml</w:t>
            </w:r>
            <w:r w:rsidRPr="00264D5D">
              <w:rPr>
                <w:sz w:val="22"/>
                <w:szCs w:val="22"/>
              </w:rPr>
              <w:t xml:space="preserve">-документа </w:t>
            </w:r>
            <w:r w:rsidRPr="00264D5D">
              <w:rPr>
                <w:rFonts w:eastAsia="Calibri"/>
                <w:sz w:val="22"/>
                <w:szCs w:val="22"/>
              </w:rPr>
              <w:t xml:space="preserve">– </w:t>
            </w:r>
            <w:r w:rsidRPr="00264D5D">
              <w:rPr>
                <w:sz w:val="22"/>
                <w:szCs w:val="22"/>
              </w:rPr>
              <w:t>его структуры, порядка элементов; правил, которым должен соответствовать документ. В схеме определяются: элементы, атрибуты, которые будут присутствовать в документе, типы данных этих элементов и атрибутов, значения по умолч</w:t>
            </w:r>
            <w:r w:rsidR="0054296D" w:rsidRPr="00264D5D">
              <w:rPr>
                <w:sz w:val="22"/>
                <w:szCs w:val="22"/>
              </w:rPr>
              <w:t>анию или фиксированные значения</w:t>
            </w:r>
          </w:p>
        </w:tc>
      </w:tr>
      <w:tr w:rsidR="00AD1F54" w:rsidRPr="00264D5D" w14:paraId="57B6D100"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487EC39C" w14:textId="77777777" w:rsidR="00AD1F54" w:rsidRPr="00264D5D" w:rsidRDefault="00941227" w:rsidP="0054296D">
            <w:pPr>
              <w:spacing w:before="60" w:after="60"/>
              <w:jc w:val="left"/>
              <w:rPr>
                <w:sz w:val="22"/>
                <w:szCs w:val="22"/>
              </w:rPr>
            </w:pPr>
            <w:r w:rsidRPr="00264D5D">
              <w:rPr>
                <w:sz w:val="22"/>
                <w:szCs w:val="22"/>
              </w:rPr>
              <w:t>АДБ</w:t>
            </w:r>
          </w:p>
        </w:tc>
        <w:tc>
          <w:tcPr>
            <w:tcW w:w="3968" w:type="pct"/>
          </w:tcPr>
          <w:p w14:paraId="42231A5A" w14:textId="77777777" w:rsidR="00AD1F54" w:rsidRPr="00264D5D" w:rsidRDefault="00941227" w:rsidP="0054296D">
            <w:pPr>
              <w:spacing w:before="60" w:after="60"/>
              <w:rPr>
                <w:sz w:val="22"/>
                <w:szCs w:val="22"/>
              </w:rPr>
            </w:pPr>
            <w:r w:rsidRPr="00264D5D">
              <w:rPr>
                <w:sz w:val="22"/>
                <w:szCs w:val="22"/>
              </w:rPr>
              <w:t>Администратор доходов бюджета – орган государственной власти (государственный орган), орган местного самоуправления, орган местной администрации, орган управления государственным внебюджетным фондом, Центральный банк Российской Федерации, казенное учреждение, осуществляющие в соответствии с законодательством Российской Федерации контроль за правильностью исчисления, полнотой и своевременностью уплаты, начисление, учет, взыскание и принятие решений о возврате (зачете) излишне уплаченных (взысканных) платежей, пеней и штрафов по ним, являющихся доходами бюджетов бюджетной системы Российской Федерации, если иное не установлено Бюджетны</w:t>
            </w:r>
            <w:r w:rsidR="0054296D" w:rsidRPr="00264D5D">
              <w:rPr>
                <w:sz w:val="22"/>
                <w:szCs w:val="22"/>
              </w:rPr>
              <w:t>м кодексом Российской Федерации</w:t>
            </w:r>
          </w:p>
        </w:tc>
      </w:tr>
      <w:tr w:rsidR="00130F39" w:rsidRPr="00264D5D" w14:paraId="77258CD6"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7F2CB11F" w14:textId="35961D05" w:rsidR="00130F39" w:rsidRPr="008D797C" w:rsidRDefault="00130F39" w:rsidP="00130F39">
            <w:pPr>
              <w:spacing w:before="60" w:after="60"/>
              <w:jc w:val="left"/>
              <w:rPr>
                <w:sz w:val="22"/>
                <w:szCs w:val="22"/>
                <w:highlight w:val="green"/>
              </w:rPr>
            </w:pPr>
            <w:r w:rsidRPr="008D797C">
              <w:rPr>
                <w:rFonts w:hint="eastAsia"/>
                <w:color w:val="172B4D"/>
                <w:sz w:val="22"/>
                <w:szCs w:val="22"/>
                <w:highlight w:val="green"/>
              </w:rPr>
              <w:t>АИФДБ</w:t>
            </w:r>
          </w:p>
        </w:tc>
        <w:tc>
          <w:tcPr>
            <w:tcW w:w="3968" w:type="pct"/>
          </w:tcPr>
          <w:p w14:paraId="7093F4DC" w14:textId="5AE40715" w:rsidR="00130F39" w:rsidRPr="008D797C" w:rsidRDefault="00130F39" w:rsidP="00130F39">
            <w:pPr>
              <w:spacing w:before="60" w:after="60"/>
              <w:rPr>
                <w:sz w:val="22"/>
                <w:szCs w:val="22"/>
                <w:highlight w:val="green"/>
              </w:rPr>
            </w:pPr>
            <w:r w:rsidRPr="008D797C">
              <w:rPr>
                <w:rFonts w:hint="eastAsia"/>
                <w:color w:val="172B4D"/>
                <w:sz w:val="22"/>
                <w:szCs w:val="22"/>
                <w:highlight w:val="green"/>
              </w:rPr>
              <w:t>Администратор</w:t>
            </w:r>
            <w:r w:rsidRPr="008D797C">
              <w:rPr>
                <w:color w:val="172B4D"/>
                <w:sz w:val="22"/>
                <w:szCs w:val="22"/>
                <w:highlight w:val="green"/>
              </w:rPr>
              <w:t xml:space="preserve"> </w:t>
            </w:r>
            <w:r w:rsidRPr="008D797C">
              <w:rPr>
                <w:rFonts w:hint="eastAsia"/>
                <w:color w:val="172B4D"/>
                <w:sz w:val="22"/>
                <w:szCs w:val="22"/>
                <w:highlight w:val="green"/>
              </w:rPr>
              <w:t>источников</w:t>
            </w:r>
            <w:r w:rsidRPr="008D797C">
              <w:rPr>
                <w:color w:val="172B4D"/>
                <w:sz w:val="22"/>
                <w:szCs w:val="22"/>
                <w:highlight w:val="green"/>
              </w:rPr>
              <w:t xml:space="preserve"> </w:t>
            </w:r>
            <w:r w:rsidRPr="008D797C">
              <w:rPr>
                <w:rFonts w:hint="eastAsia"/>
                <w:color w:val="172B4D"/>
                <w:sz w:val="22"/>
                <w:szCs w:val="22"/>
                <w:highlight w:val="green"/>
              </w:rPr>
              <w:t>финансирования</w:t>
            </w:r>
            <w:r w:rsidRPr="008D797C">
              <w:rPr>
                <w:color w:val="172B4D"/>
                <w:sz w:val="22"/>
                <w:szCs w:val="22"/>
                <w:highlight w:val="green"/>
              </w:rPr>
              <w:t xml:space="preserve"> </w:t>
            </w:r>
            <w:r w:rsidRPr="008D797C">
              <w:rPr>
                <w:rFonts w:hint="eastAsia"/>
                <w:color w:val="172B4D"/>
                <w:sz w:val="22"/>
                <w:szCs w:val="22"/>
                <w:highlight w:val="green"/>
              </w:rPr>
              <w:t>дефицита</w:t>
            </w:r>
            <w:r w:rsidRPr="008D797C">
              <w:rPr>
                <w:color w:val="172B4D"/>
                <w:sz w:val="22"/>
                <w:szCs w:val="22"/>
                <w:highlight w:val="green"/>
              </w:rPr>
              <w:t xml:space="preserve"> </w:t>
            </w:r>
            <w:r w:rsidRPr="008D797C">
              <w:rPr>
                <w:rFonts w:hint="eastAsia"/>
                <w:color w:val="172B4D"/>
                <w:sz w:val="22"/>
                <w:szCs w:val="22"/>
                <w:highlight w:val="green"/>
              </w:rPr>
              <w:t>бюджета</w:t>
            </w:r>
            <w:r w:rsidRPr="008D797C">
              <w:rPr>
                <w:color w:val="172B4D"/>
                <w:sz w:val="22"/>
                <w:szCs w:val="22"/>
                <w:highlight w:val="green"/>
              </w:rPr>
              <w:t xml:space="preserve"> (</w:t>
            </w:r>
            <w:r w:rsidRPr="008D797C">
              <w:rPr>
                <w:rFonts w:hint="eastAsia"/>
                <w:color w:val="172B4D"/>
                <w:sz w:val="22"/>
                <w:szCs w:val="22"/>
                <w:highlight w:val="green"/>
              </w:rPr>
              <w:t>администратор</w:t>
            </w:r>
            <w:r w:rsidRPr="008D797C">
              <w:rPr>
                <w:color w:val="172B4D"/>
                <w:sz w:val="22"/>
                <w:szCs w:val="22"/>
                <w:highlight w:val="green"/>
              </w:rPr>
              <w:t xml:space="preserve"> </w:t>
            </w:r>
            <w:r w:rsidRPr="008D797C">
              <w:rPr>
                <w:rFonts w:hint="eastAsia"/>
                <w:color w:val="172B4D"/>
                <w:sz w:val="22"/>
                <w:szCs w:val="22"/>
                <w:highlight w:val="green"/>
              </w:rPr>
              <w:t>источников</w:t>
            </w:r>
            <w:r w:rsidRPr="008D797C">
              <w:rPr>
                <w:color w:val="172B4D"/>
                <w:sz w:val="22"/>
                <w:szCs w:val="22"/>
                <w:highlight w:val="green"/>
              </w:rPr>
              <w:t xml:space="preserve"> </w:t>
            </w:r>
            <w:r w:rsidRPr="008D797C">
              <w:rPr>
                <w:rFonts w:hint="eastAsia"/>
                <w:color w:val="172B4D"/>
                <w:sz w:val="22"/>
                <w:szCs w:val="22"/>
                <w:highlight w:val="green"/>
              </w:rPr>
              <w:t>финансирования</w:t>
            </w:r>
            <w:r w:rsidRPr="008D797C">
              <w:rPr>
                <w:color w:val="172B4D"/>
                <w:sz w:val="22"/>
                <w:szCs w:val="22"/>
                <w:highlight w:val="green"/>
              </w:rPr>
              <w:t xml:space="preserve"> </w:t>
            </w:r>
            <w:r w:rsidRPr="008D797C">
              <w:rPr>
                <w:rFonts w:hint="eastAsia"/>
                <w:color w:val="172B4D"/>
                <w:sz w:val="22"/>
                <w:szCs w:val="22"/>
                <w:highlight w:val="green"/>
              </w:rPr>
              <w:t>дефицита</w:t>
            </w:r>
            <w:r w:rsidRPr="008D797C">
              <w:rPr>
                <w:color w:val="172B4D"/>
                <w:sz w:val="22"/>
                <w:szCs w:val="22"/>
                <w:highlight w:val="green"/>
              </w:rPr>
              <w:t xml:space="preserve"> </w:t>
            </w:r>
            <w:r w:rsidRPr="008D797C">
              <w:rPr>
                <w:rFonts w:hint="eastAsia"/>
                <w:color w:val="172B4D"/>
                <w:sz w:val="22"/>
                <w:szCs w:val="22"/>
                <w:highlight w:val="green"/>
              </w:rPr>
              <w:t>соответствующего</w:t>
            </w:r>
            <w:r w:rsidRPr="008D797C">
              <w:rPr>
                <w:color w:val="172B4D"/>
                <w:sz w:val="22"/>
                <w:szCs w:val="22"/>
                <w:highlight w:val="green"/>
              </w:rPr>
              <w:t xml:space="preserve"> </w:t>
            </w:r>
            <w:r w:rsidRPr="008D797C">
              <w:rPr>
                <w:rFonts w:hint="eastAsia"/>
                <w:color w:val="172B4D"/>
                <w:sz w:val="22"/>
                <w:szCs w:val="22"/>
                <w:highlight w:val="green"/>
              </w:rPr>
              <w:t>бюджета</w:t>
            </w:r>
            <w:r w:rsidRPr="008D797C">
              <w:rPr>
                <w:color w:val="172B4D"/>
                <w:sz w:val="22"/>
                <w:szCs w:val="22"/>
                <w:highlight w:val="green"/>
              </w:rPr>
              <w:t xml:space="preserve">) </w:t>
            </w:r>
            <w:r w:rsidRPr="008D797C">
              <w:rPr>
                <w:rFonts w:hint="eastAsia"/>
                <w:color w:val="172B4D"/>
                <w:sz w:val="22"/>
                <w:szCs w:val="22"/>
                <w:highlight w:val="green"/>
              </w:rPr>
              <w:t>–</w:t>
            </w:r>
            <w:r w:rsidRPr="008D797C">
              <w:rPr>
                <w:color w:val="172B4D"/>
                <w:sz w:val="22"/>
                <w:szCs w:val="22"/>
                <w:highlight w:val="green"/>
              </w:rPr>
              <w:t xml:space="preserve"> </w:t>
            </w:r>
            <w:r w:rsidRPr="008D797C">
              <w:rPr>
                <w:rFonts w:hint="eastAsia"/>
                <w:color w:val="172B4D"/>
                <w:sz w:val="22"/>
                <w:szCs w:val="22"/>
                <w:highlight w:val="green"/>
              </w:rPr>
              <w:t>орган</w:t>
            </w:r>
            <w:r w:rsidRPr="008D797C">
              <w:rPr>
                <w:color w:val="172B4D"/>
                <w:sz w:val="22"/>
                <w:szCs w:val="22"/>
                <w:highlight w:val="green"/>
              </w:rPr>
              <w:t xml:space="preserve"> </w:t>
            </w:r>
            <w:r w:rsidRPr="008D797C">
              <w:rPr>
                <w:rFonts w:hint="eastAsia"/>
                <w:color w:val="172B4D"/>
                <w:sz w:val="22"/>
                <w:szCs w:val="22"/>
                <w:highlight w:val="green"/>
              </w:rPr>
              <w:t>государственной</w:t>
            </w:r>
            <w:r w:rsidRPr="008D797C">
              <w:rPr>
                <w:color w:val="172B4D"/>
                <w:sz w:val="22"/>
                <w:szCs w:val="22"/>
                <w:highlight w:val="green"/>
              </w:rPr>
              <w:t xml:space="preserve"> </w:t>
            </w:r>
            <w:r w:rsidRPr="008D797C">
              <w:rPr>
                <w:rFonts w:hint="eastAsia"/>
                <w:color w:val="172B4D"/>
                <w:sz w:val="22"/>
                <w:szCs w:val="22"/>
                <w:highlight w:val="green"/>
              </w:rPr>
              <w:t>власти</w:t>
            </w:r>
            <w:r w:rsidRPr="008D797C">
              <w:rPr>
                <w:color w:val="172B4D"/>
                <w:sz w:val="22"/>
                <w:szCs w:val="22"/>
                <w:highlight w:val="green"/>
              </w:rPr>
              <w:t xml:space="preserve"> (</w:t>
            </w:r>
            <w:r w:rsidRPr="008D797C">
              <w:rPr>
                <w:rFonts w:hint="eastAsia"/>
                <w:color w:val="172B4D"/>
                <w:sz w:val="22"/>
                <w:szCs w:val="22"/>
                <w:highlight w:val="green"/>
              </w:rPr>
              <w:t>государственный</w:t>
            </w:r>
            <w:r w:rsidRPr="008D797C">
              <w:rPr>
                <w:color w:val="172B4D"/>
                <w:sz w:val="22"/>
                <w:szCs w:val="22"/>
                <w:highlight w:val="green"/>
              </w:rPr>
              <w:t xml:space="preserve"> </w:t>
            </w:r>
            <w:r w:rsidRPr="008D797C">
              <w:rPr>
                <w:rFonts w:hint="eastAsia"/>
                <w:color w:val="172B4D"/>
                <w:sz w:val="22"/>
                <w:szCs w:val="22"/>
                <w:highlight w:val="green"/>
              </w:rPr>
              <w:t>орган</w:t>
            </w:r>
            <w:r w:rsidRPr="008D797C">
              <w:rPr>
                <w:color w:val="172B4D"/>
                <w:sz w:val="22"/>
                <w:szCs w:val="22"/>
                <w:highlight w:val="green"/>
              </w:rPr>
              <w:t xml:space="preserve">), </w:t>
            </w:r>
            <w:r w:rsidRPr="008D797C">
              <w:rPr>
                <w:rFonts w:hint="eastAsia"/>
                <w:color w:val="172B4D"/>
                <w:sz w:val="22"/>
                <w:szCs w:val="22"/>
                <w:highlight w:val="green"/>
              </w:rPr>
              <w:t>орган</w:t>
            </w:r>
            <w:r w:rsidRPr="008D797C">
              <w:rPr>
                <w:color w:val="172B4D"/>
                <w:sz w:val="22"/>
                <w:szCs w:val="22"/>
                <w:highlight w:val="green"/>
              </w:rPr>
              <w:t xml:space="preserve"> </w:t>
            </w:r>
            <w:r w:rsidRPr="008D797C">
              <w:rPr>
                <w:rFonts w:hint="eastAsia"/>
                <w:color w:val="172B4D"/>
                <w:sz w:val="22"/>
                <w:szCs w:val="22"/>
                <w:highlight w:val="green"/>
              </w:rPr>
              <w:t>местного</w:t>
            </w:r>
            <w:r w:rsidRPr="008D797C">
              <w:rPr>
                <w:color w:val="172B4D"/>
                <w:sz w:val="22"/>
                <w:szCs w:val="22"/>
                <w:highlight w:val="green"/>
              </w:rPr>
              <w:t xml:space="preserve"> </w:t>
            </w:r>
            <w:r w:rsidRPr="008D797C">
              <w:rPr>
                <w:rFonts w:hint="eastAsia"/>
                <w:color w:val="172B4D"/>
                <w:sz w:val="22"/>
                <w:szCs w:val="22"/>
                <w:highlight w:val="green"/>
              </w:rPr>
              <w:t>самоуправления</w:t>
            </w:r>
            <w:r w:rsidRPr="008D797C">
              <w:rPr>
                <w:color w:val="172B4D"/>
                <w:sz w:val="22"/>
                <w:szCs w:val="22"/>
                <w:highlight w:val="green"/>
              </w:rPr>
              <w:t xml:space="preserve">, </w:t>
            </w:r>
            <w:r w:rsidRPr="008D797C">
              <w:rPr>
                <w:rFonts w:hint="eastAsia"/>
                <w:color w:val="172B4D"/>
                <w:sz w:val="22"/>
                <w:szCs w:val="22"/>
                <w:highlight w:val="green"/>
              </w:rPr>
              <w:t>орган</w:t>
            </w:r>
            <w:r w:rsidRPr="008D797C">
              <w:rPr>
                <w:color w:val="172B4D"/>
                <w:sz w:val="22"/>
                <w:szCs w:val="22"/>
                <w:highlight w:val="green"/>
              </w:rPr>
              <w:t xml:space="preserve"> </w:t>
            </w:r>
            <w:r w:rsidRPr="008D797C">
              <w:rPr>
                <w:rFonts w:hint="eastAsia"/>
                <w:color w:val="172B4D"/>
                <w:sz w:val="22"/>
                <w:szCs w:val="22"/>
                <w:highlight w:val="green"/>
              </w:rPr>
              <w:t>местной</w:t>
            </w:r>
            <w:r w:rsidRPr="008D797C">
              <w:rPr>
                <w:color w:val="172B4D"/>
                <w:sz w:val="22"/>
                <w:szCs w:val="22"/>
                <w:highlight w:val="green"/>
              </w:rPr>
              <w:t xml:space="preserve"> </w:t>
            </w:r>
            <w:r w:rsidRPr="008D797C">
              <w:rPr>
                <w:rFonts w:hint="eastAsia"/>
                <w:color w:val="172B4D"/>
                <w:sz w:val="22"/>
                <w:szCs w:val="22"/>
                <w:highlight w:val="green"/>
              </w:rPr>
              <w:t>администрации</w:t>
            </w:r>
            <w:r w:rsidRPr="008D797C">
              <w:rPr>
                <w:color w:val="172B4D"/>
                <w:sz w:val="22"/>
                <w:szCs w:val="22"/>
                <w:highlight w:val="green"/>
              </w:rPr>
              <w:t xml:space="preserve">, </w:t>
            </w:r>
            <w:r w:rsidRPr="008D797C">
              <w:rPr>
                <w:rFonts w:hint="eastAsia"/>
                <w:color w:val="172B4D"/>
                <w:sz w:val="22"/>
                <w:szCs w:val="22"/>
                <w:highlight w:val="green"/>
              </w:rPr>
              <w:t>орган</w:t>
            </w:r>
            <w:r w:rsidRPr="008D797C">
              <w:rPr>
                <w:color w:val="172B4D"/>
                <w:sz w:val="22"/>
                <w:szCs w:val="22"/>
                <w:highlight w:val="green"/>
              </w:rPr>
              <w:t xml:space="preserve"> </w:t>
            </w:r>
            <w:r w:rsidRPr="008D797C">
              <w:rPr>
                <w:rFonts w:hint="eastAsia"/>
                <w:color w:val="172B4D"/>
                <w:sz w:val="22"/>
                <w:szCs w:val="22"/>
                <w:highlight w:val="green"/>
              </w:rPr>
              <w:t>управления</w:t>
            </w:r>
            <w:r w:rsidRPr="008D797C">
              <w:rPr>
                <w:color w:val="172B4D"/>
                <w:sz w:val="22"/>
                <w:szCs w:val="22"/>
                <w:highlight w:val="green"/>
              </w:rPr>
              <w:t xml:space="preserve"> </w:t>
            </w:r>
            <w:r w:rsidRPr="008D797C">
              <w:rPr>
                <w:rFonts w:hint="eastAsia"/>
                <w:color w:val="172B4D"/>
                <w:sz w:val="22"/>
                <w:szCs w:val="22"/>
                <w:highlight w:val="green"/>
              </w:rPr>
              <w:t>государственным</w:t>
            </w:r>
            <w:r w:rsidRPr="008D797C">
              <w:rPr>
                <w:color w:val="172B4D"/>
                <w:sz w:val="22"/>
                <w:szCs w:val="22"/>
                <w:highlight w:val="green"/>
              </w:rPr>
              <w:t xml:space="preserve"> </w:t>
            </w:r>
            <w:r w:rsidRPr="008D797C">
              <w:rPr>
                <w:rFonts w:hint="eastAsia"/>
                <w:color w:val="172B4D"/>
                <w:sz w:val="22"/>
                <w:szCs w:val="22"/>
                <w:highlight w:val="green"/>
              </w:rPr>
              <w:t>внебюджетным</w:t>
            </w:r>
            <w:r w:rsidRPr="008D797C">
              <w:rPr>
                <w:color w:val="172B4D"/>
                <w:sz w:val="22"/>
                <w:szCs w:val="22"/>
                <w:highlight w:val="green"/>
              </w:rPr>
              <w:t xml:space="preserve"> </w:t>
            </w:r>
            <w:r w:rsidRPr="008D797C">
              <w:rPr>
                <w:rFonts w:hint="eastAsia"/>
                <w:color w:val="172B4D"/>
                <w:sz w:val="22"/>
                <w:szCs w:val="22"/>
                <w:highlight w:val="green"/>
              </w:rPr>
              <w:t>фондом</w:t>
            </w:r>
            <w:r w:rsidRPr="008D797C">
              <w:rPr>
                <w:color w:val="172B4D"/>
                <w:sz w:val="22"/>
                <w:szCs w:val="22"/>
                <w:highlight w:val="green"/>
              </w:rPr>
              <w:t xml:space="preserve">, </w:t>
            </w:r>
            <w:r w:rsidRPr="008D797C">
              <w:rPr>
                <w:rFonts w:hint="eastAsia"/>
                <w:color w:val="172B4D"/>
                <w:sz w:val="22"/>
                <w:szCs w:val="22"/>
                <w:highlight w:val="green"/>
              </w:rPr>
              <w:t>иная</w:t>
            </w:r>
            <w:r w:rsidRPr="008D797C">
              <w:rPr>
                <w:color w:val="172B4D"/>
                <w:sz w:val="22"/>
                <w:szCs w:val="22"/>
                <w:highlight w:val="green"/>
              </w:rPr>
              <w:t xml:space="preserve"> </w:t>
            </w:r>
            <w:r w:rsidRPr="008D797C">
              <w:rPr>
                <w:rFonts w:hint="eastAsia"/>
                <w:color w:val="172B4D"/>
                <w:sz w:val="22"/>
                <w:szCs w:val="22"/>
                <w:highlight w:val="green"/>
              </w:rPr>
              <w:t>организация</w:t>
            </w:r>
            <w:r w:rsidRPr="008D797C">
              <w:rPr>
                <w:color w:val="172B4D"/>
                <w:sz w:val="22"/>
                <w:szCs w:val="22"/>
                <w:highlight w:val="green"/>
              </w:rPr>
              <w:t xml:space="preserve">, </w:t>
            </w:r>
            <w:r w:rsidRPr="008D797C">
              <w:rPr>
                <w:rFonts w:hint="eastAsia"/>
                <w:color w:val="172B4D"/>
                <w:sz w:val="22"/>
                <w:szCs w:val="22"/>
                <w:highlight w:val="green"/>
              </w:rPr>
              <w:t>имеющие</w:t>
            </w:r>
            <w:r w:rsidRPr="008D797C">
              <w:rPr>
                <w:color w:val="172B4D"/>
                <w:sz w:val="22"/>
                <w:szCs w:val="22"/>
                <w:highlight w:val="green"/>
              </w:rPr>
              <w:t xml:space="preserve"> </w:t>
            </w:r>
            <w:r w:rsidRPr="008D797C">
              <w:rPr>
                <w:rFonts w:hint="eastAsia"/>
                <w:color w:val="172B4D"/>
                <w:sz w:val="22"/>
                <w:szCs w:val="22"/>
                <w:highlight w:val="green"/>
              </w:rPr>
              <w:t>право</w:t>
            </w:r>
            <w:r w:rsidRPr="008D797C">
              <w:rPr>
                <w:color w:val="172B4D"/>
                <w:sz w:val="22"/>
                <w:szCs w:val="22"/>
                <w:highlight w:val="green"/>
              </w:rPr>
              <w:t xml:space="preserve"> </w:t>
            </w:r>
            <w:r w:rsidRPr="008D797C">
              <w:rPr>
                <w:rFonts w:hint="eastAsia"/>
                <w:color w:val="172B4D"/>
                <w:sz w:val="22"/>
                <w:szCs w:val="22"/>
                <w:highlight w:val="green"/>
              </w:rPr>
              <w:t>в</w:t>
            </w:r>
            <w:r w:rsidRPr="008D797C">
              <w:rPr>
                <w:color w:val="172B4D"/>
                <w:sz w:val="22"/>
                <w:szCs w:val="22"/>
                <w:highlight w:val="green"/>
              </w:rPr>
              <w:t xml:space="preserve"> </w:t>
            </w:r>
            <w:r w:rsidRPr="008D797C">
              <w:rPr>
                <w:rFonts w:hint="eastAsia"/>
                <w:color w:val="172B4D"/>
                <w:sz w:val="22"/>
                <w:szCs w:val="22"/>
                <w:highlight w:val="green"/>
              </w:rPr>
              <w:t>соответствии</w:t>
            </w:r>
            <w:r w:rsidRPr="008D797C">
              <w:rPr>
                <w:color w:val="172B4D"/>
                <w:sz w:val="22"/>
                <w:szCs w:val="22"/>
                <w:highlight w:val="green"/>
              </w:rPr>
              <w:t xml:space="preserve"> </w:t>
            </w:r>
            <w:r w:rsidRPr="008D797C">
              <w:rPr>
                <w:rFonts w:hint="eastAsia"/>
                <w:color w:val="172B4D"/>
                <w:sz w:val="22"/>
                <w:szCs w:val="22"/>
                <w:highlight w:val="green"/>
              </w:rPr>
              <w:t>с</w:t>
            </w:r>
            <w:r w:rsidRPr="008D797C">
              <w:rPr>
                <w:color w:val="172B4D"/>
                <w:sz w:val="22"/>
                <w:szCs w:val="22"/>
                <w:highlight w:val="green"/>
              </w:rPr>
              <w:t xml:space="preserve"> </w:t>
            </w:r>
            <w:r w:rsidRPr="008D797C">
              <w:rPr>
                <w:rFonts w:hint="eastAsia"/>
                <w:color w:val="172B4D"/>
                <w:sz w:val="22"/>
                <w:szCs w:val="22"/>
                <w:highlight w:val="green"/>
              </w:rPr>
              <w:t>Бюджетным</w:t>
            </w:r>
            <w:r w:rsidRPr="008D797C">
              <w:rPr>
                <w:color w:val="172B4D"/>
                <w:sz w:val="22"/>
                <w:szCs w:val="22"/>
                <w:highlight w:val="green"/>
              </w:rPr>
              <w:t xml:space="preserve"> </w:t>
            </w:r>
            <w:r w:rsidRPr="008D797C">
              <w:rPr>
                <w:rFonts w:hint="eastAsia"/>
                <w:color w:val="172B4D"/>
                <w:sz w:val="22"/>
                <w:szCs w:val="22"/>
                <w:highlight w:val="green"/>
              </w:rPr>
              <w:t>кодексом</w:t>
            </w:r>
            <w:r w:rsidRPr="008D797C">
              <w:rPr>
                <w:color w:val="172B4D"/>
                <w:sz w:val="22"/>
                <w:szCs w:val="22"/>
                <w:highlight w:val="green"/>
              </w:rPr>
              <w:t xml:space="preserve"> </w:t>
            </w:r>
            <w:r w:rsidRPr="008D797C">
              <w:rPr>
                <w:rFonts w:hint="eastAsia"/>
                <w:color w:val="172B4D"/>
                <w:sz w:val="22"/>
                <w:szCs w:val="22"/>
                <w:highlight w:val="green"/>
              </w:rPr>
              <w:t>Российской</w:t>
            </w:r>
            <w:r w:rsidRPr="008D797C">
              <w:rPr>
                <w:color w:val="172B4D"/>
                <w:sz w:val="22"/>
                <w:szCs w:val="22"/>
                <w:highlight w:val="green"/>
              </w:rPr>
              <w:t xml:space="preserve"> </w:t>
            </w:r>
            <w:r w:rsidRPr="008D797C">
              <w:rPr>
                <w:rFonts w:hint="eastAsia"/>
                <w:color w:val="172B4D"/>
                <w:sz w:val="22"/>
                <w:szCs w:val="22"/>
                <w:highlight w:val="green"/>
              </w:rPr>
              <w:t>Федерации</w:t>
            </w:r>
            <w:r w:rsidRPr="008D797C">
              <w:rPr>
                <w:color w:val="172B4D"/>
                <w:sz w:val="22"/>
                <w:szCs w:val="22"/>
                <w:highlight w:val="green"/>
              </w:rPr>
              <w:t xml:space="preserve"> </w:t>
            </w:r>
            <w:r w:rsidRPr="008D797C">
              <w:rPr>
                <w:rFonts w:hint="eastAsia"/>
                <w:color w:val="172B4D"/>
                <w:sz w:val="22"/>
                <w:szCs w:val="22"/>
                <w:highlight w:val="green"/>
              </w:rPr>
              <w:t>осуществлять</w:t>
            </w:r>
            <w:r w:rsidRPr="008D797C">
              <w:rPr>
                <w:color w:val="172B4D"/>
                <w:sz w:val="22"/>
                <w:szCs w:val="22"/>
                <w:highlight w:val="green"/>
              </w:rPr>
              <w:t xml:space="preserve"> </w:t>
            </w:r>
            <w:r w:rsidRPr="008D797C">
              <w:rPr>
                <w:rFonts w:hint="eastAsia"/>
                <w:color w:val="172B4D"/>
                <w:sz w:val="22"/>
                <w:szCs w:val="22"/>
                <w:highlight w:val="green"/>
              </w:rPr>
              <w:t>операции</w:t>
            </w:r>
            <w:r w:rsidRPr="008D797C">
              <w:rPr>
                <w:color w:val="172B4D"/>
                <w:sz w:val="22"/>
                <w:szCs w:val="22"/>
                <w:highlight w:val="green"/>
              </w:rPr>
              <w:t xml:space="preserve"> </w:t>
            </w:r>
            <w:r w:rsidRPr="008D797C">
              <w:rPr>
                <w:rFonts w:hint="eastAsia"/>
                <w:color w:val="172B4D"/>
                <w:sz w:val="22"/>
                <w:szCs w:val="22"/>
                <w:highlight w:val="green"/>
              </w:rPr>
              <w:t>с</w:t>
            </w:r>
            <w:r w:rsidRPr="008D797C">
              <w:rPr>
                <w:color w:val="172B4D"/>
                <w:sz w:val="22"/>
                <w:szCs w:val="22"/>
                <w:highlight w:val="green"/>
              </w:rPr>
              <w:t xml:space="preserve"> </w:t>
            </w:r>
            <w:r w:rsidRPr="008D797C">
              <w:rPr>
                <w:rFonts w:hint="eastAsia"/>
                <w:color w:val="172B4D"/>
                <w:sz w:val="22"/>
                <w:szCs w:val="22"/>
                <w:highlight w:val="green"/>
              </w:rPr>
              <w:t>источниками</w:t>
            </w:r>
            <w:r w:rsidRPr="008D797C">
              <w:rPr>
                <w:color w:val="172B4D"/>
                <w:sz w:val="22"/>
                <w:szCs w:val="22"/>
                <w:highlight w:val="green"/>
              </w:rPr>
              <w:t xml:space="preserve"> </w:t>
            </w:r>
            <w:r w:rsidRPr="008D797C">
              <w:rPr>
                <w:rFonts w:hint="eastAsia"/>
                <w:color w:val="172B4D"/>
                <w:sz w:val="22"/>
                <w:szCs w:val="22"/>
                <w:highlight w:val="green"/>
              </w:rPr>
              <w:t>финансирования</w:t>
            </w:r>
            <w:r w:rsidRPr="008D797C">
              <w:rPr>
                <w:color w:val="172B4D"/>
                <w:sz w:val="22"/>
                <w:szCs w:val="22"/>
                <w:highlight w:val="green"/>
              </w:rPr>
              <w:t xml:space="preserve"> </w:t>
            </w:r>
            <w:r w:rsidRPr="008D797C">
              <w:rPr>
                <w:rFonts w:hint="eastAsia"/>
                <w:color w:val="172B4D"/>
                <w:sz w:val="22"/>
                <w:szCs w:val="22"/>
                <w:highlight w:val="green"/>
              </w:rPr>
              <w:t>дефицита</w:t>
            </w:r>
            <w:r w:rsidRPr="008D797C">
              <w:rPr>
                <w:color w:val="172B4D"/>
                <w:sz w:val="22"/>
                <w:szCs w:val="22"/>
                <w:highlight w:val="green"/>
              </w:rPr>
              <w:t xml:space="preserve"> </w:t>
            </w:r>
            <w:r w:rsidRPr="008D797C">
              <w:rPr>
                <w:rFonts w:hint="eastAsia"/>
                <w:color w:val="172B4D"/>
                <w:sz w:val="22"/>
                <w:szCs w:val="22"/>
                <w:highlight w:val="green"/>
              </w:rPr>
              <w:t>бюджета</w:t>
            </w:r>
          </w:p>
        </w:tc>
      </w:tr>
      <w:tr w:rsidR="00AD1F54" w:rsidRPr="00264D5D" w14:paraId="03049531"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1B7CD2D5" w14:textId="77777777" w:rsidR="00AD1F54" w:rsidRPr="00264D5D" w:rsidRDefault="00941227" w:rsidP="0054296D">
            <w:pPr>
              <w:spacing w:before="60" w:after="60"/>
              <w:jc w:val="left"/>
              <w:rPr>
                <w:sz w:val="22"/>
                <w:szCs w:val="22"/>
              </w:rPr>
            </w:pPr>
            <w:r w:rsidRPr="00264D5D">
              <w:rPr>
                <w:sz w:val="22"/>
                <w:szCs w:val="22"/>
              </w:rPr>
              <w:lastRenderedPageBreak/>
              <w:t>АСФК</w:t>
            </w:r>
          </w:p>
        </w:tc>
        <w:tc>
          <w:tcPr>
            <w:tcW w:w="3968" w:type="pct"/>
          </w:tcPr>
          <w:p w14:paraId="1EB0E316" w14:textId="77777777" w:rsidR="00AD1F54" w:rsidRPr="00264D5D" w:rsidRDefault="00941227" w:rsidP="0054296D">
            <w:pPr>
              <w:spacing w:before="60" w:after="60"/>
              <w:rPr>
                <w:color w:val="000000"/>
                <w:sz w:val="22"/>
                <w:szCs w:val="22"/>
              </w:rPr>
            </w:pPr>
            <w:r w:rsidRPr="00264D5D">
              <w:rPr>
                <w:sz w:val="22"/>
                <w:szCs w:val="22"/>
              </w:rPr>
              <w:t>Автоматизированная си</w:t>
            </w:r>
            <w:r w:rsidR="0054296D" w:rsidRPr="00264D5D">
              <w:rPr>
                <w:sz w:val="22"/>
                <w:szCs w:val="22"/>
              </w:rPr>
              <w:t>стема Федерального казначейства</w:t>
            </w:r>
          </w:p>
        </w:tc>
      </w:tr>
      <w:tr w:rsidR="00AD1F54" w:rsidRPr="00264D5D" w14:paraId="6EF1D614"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61DC363E" w14:textId="77777777" w:rsidR="00AD1F54" w:rsidRPr="00264D5D" w:rsidRDefault="00941227" w:rsidP="0054296D">
            <w:pPr>
              <w:spacing w:before="60" w:after="60"/>
              <w:jc w:val="left"/>
              <w:rPr>
                <w:sz w:val="22"/>
                <w:szCs w:val="22"/>
              </w:rPr>
            </w:pPr>
            <w:r w:rsidRPr="00264D5D">
              <w:rPr>
                <w:sz w:val="22"/>
                <w:szCs w:val="22"/>
              </w:rPr>
              <w:t>АУ</w:t>
            </w:r>
          </w:p>
        </w:tc>
        <w:tc>
          <w:tcPr>
            <w:tcW w:w="3968" w:type="pct"/>
          </w:tcPr>
          <w:p w14:paraId="5819C044" w14:textId="77777777" w:rsidR="00AD1F54" w:rsidRPr="00264D5D" w:rsidRDefault="00941227" w:rsidP="0054296D">
            <w:pPr>
              <w:spacing w:before="60" w:after="60"/>
              <w:rPr>
                <w:sz w:val="22"/>
                <w:szCs w:val="22"/>
              </w:rPr>
            </w:pPr>
            <w:r w:rsidRPr="00264D5D">
              <w:rPr>
                <w:sz w:val="22"/>
                <w:szCs w:val="22"/>
              </w:rPr>
              <w:t>Автономное учреждение – некоммерческая организация, созданная Российской Федерацией, субъектом Российской Федерации или муниципальным образованием для выполнения работ, оказания услуг в целях осуществления предусмотренных законодательством Российской Федерации полномочий органов государственной власти, полномочий органов местного самоуправления в сферах науки, образования, здравоохранения, культуры, средств массовой информации, социальной защиты, занятости населения, физической культуры и спорта, а также в иных сферах в случаях, уста</w:t>
            </w:r>
            <w:r w:rsidR="0054296D" w:rsidRPr="00264D5D">
              <w:rPr>
                <w:sz w:val="22"/>
                <w:szCs w:val="22"/>
              </w:rPr>
              <w:t>новленных федеральными законами</w:t>
            </w:r>
          </w:p>
        </w:tc>
      </w:tr>
      <w:tr w:rsidR="00AD1F54" w:rsidRPr="00264D5D" w14:paraId="579C078A"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4EAEB440" w14:textId="77777777" w:rsidR="00AD1F54" w:rsidRPr="00264D5D" w:rsidRDefault="00941227" w:rsidP="0054296D">
            <w:pPr>
              <w:spacing w:before="60" w:after="60"/>
              <w:jc w:val="left"/>
              <w:rPr>
                <w:sz w:val="22"/>
                <w:szCs w:val="22"/>
              </w:rPr>
            </w:pPr>
            <w:r w:rsidRPr="00264D5D">
              <w:rPr>
                <w:sz w:val="22"/>
                <w:szCs w:val="22"/>
              </w:rPr>
              <w:t>БИК</w:t>
            </w:r>
          </w:p>
        </w:tc>
        <w:tc>
          <w:tcPr>
            <w:tcW w:w="3968" w:type="pct"/>
          </w:tcPr>
          <w:p w14:paraId="1F45E62D" w14:textId="77777777" w:rsidR="00AD1F54" w:rsidRPr="00264D5D" w:rsidRDefault="00941227" w:rsidP="0054296D">
            <w:pPr>
              <w:spacing w:before="60" w:after="60"/>
              <w:rPr>
                <w:color w:val="000000"/>
                <w:sz w:val="22"/>
                <w:szCs w:val="22"/>
              </w:rPr>
            </w:pPr>
            <w:r w:rsidRPr="00264D5D">
              <w:rPr>
                <w:sz w:val="22"/>
                <w:szCs w:val="22"/>
              </w:rPr>
              <w:t>Б</w:t>
            </w:r>
            <w:r w:rsidR="0054296D" w:rsidRPr="00264D5D">
              <w:rPr>
                <w:sz w:val="22"/>
                <w:szCs w:val="22"/>
              </w:rPr>
              <w:t>анковский идентификационный код</w:t>
            </w:r>
          </w:p>
        </w:tc>
      </w:tr>
      <w:tr w:rsidR="00AD1F54" w:rsidRPr="00264D5D" w14:paraId="7EB3579A"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17DA2602" w14:textId="77777777" w:rsidR="00AD1F54" w:rsidRPr="00264D5D" w:rsidRDefault="00941227" w:rsidP="0054296D">
            <w:pPr>
              <w:spacing w:before="60" w:after="60"/>
              <w:jc w:val="left"/>
              <w:rPr>
                <w:sz w:val="22"/>
                <w:szCs w:val="22"/>
              </w:rPr>
            </w:pPr>
            <w:r w:rsidRPr="00264D5D">
              <w:rPr>
                <w:sz w:val="22"/>
                <w:szCs w:val="22"/>
              </w:rPr>
              <w:t>БО</w:t>
            </w:r>
          </w:p>
        </w:tc>
        <w:tc>
          <w:tcPr>
            <w:tcW w:w="3968" w:type="pct"/>
          </w:tcPr>
          <w:p w14:paraId="26F0CB48" w14:textId="77777777" w:rsidR="00AD1F54" w:rsidRPr="00264D5D" w:rsidRDefault="00941227" w:rsidP="0054296D">
            <w:pPr>
              <w:spacing w:before="60" w:after="60"/>
              <w:rPr>
                <w:sz w:val="22"/>
                <w:szCs w:val="22"/>
              </w:rPr>
            </w:pPr>
            <w:r w:rsidRPr="00264D5D">
              <w:rPr>
                <w:sz w:val="22"/>
                <w:szCs w:val="22"/>
              </w:rPr>
              <w:t xml:space="preserve">Бюджетные обязательства – расходные обязательства, подлежащие исполнению в </w:t>
            </w:r>
            <w:r w:rsidR="0054296D" w:rsidRPr="00264D5D">
              <w:rPr>
                <w:sz w:val="22"/>
                <w:szCs w:val="22"/>
              </w:rPr>
              <w:t>соответствующем финансовом году</w:t>
            </w:r>
          </w:p>
        </w:tc>
      </w:tr>
      <w:tr w:rsidR="00AD1F54" w:rsidRPr="00264D5D" w14:paraId="0BE88381"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4134B5F7" w14:textId="77777777" w:rsidR="00AD1F54" w:rsidRPr="00264D5D" w:rsidRDefault="00941227" w:rsidP="0054296D">
            <w:pPr>
              <w:spacing w:before="60" w:after="60"/>
              <w:jc w:val="left"/>
              <w:rPr>
                <w:sz w:val="22"/>
                <w:szCs w:val="22"/>
              </w:rPr>
            </w:pPr>
            <w:r w:rsidRPr="00264D5D">
              <w:rPr>
                <w:sz w:val="22"/>
                <w:szCs w:val="22"/>
              </w:rPr>
              <w:t>БУ</w:t>
            </w:r>
          </w:p>
        </w:tc>
        <w:tc>
          <w:tcPr>
            <w:tcW w:w="3968" w:type="pct"/>
          </w:tcPr>
          <w:p w14:paraId="1E35AADC" w14:textId="77777777" w:rsidR="00AD1F54" w:rsidRPr="00264D5D" w:rsidRDefault="00941227" w:rsidP="0054296D">
            <w:pPr>
              <w:spacing w:before="60" w:after="60"/>
              <w:rPr>
                <w:sz w:val="22"/>
                <w:szCs w:val="22"/>
              </w:rPr>
            </w:pPr>
            <w:r w:rsidRPr="00264D5D">
              <w:rPr>
                <w:sz w:val="22"/>
                <w:szCs w:val="22"/>
              </w:rPr>
              <w:t xml:space="preserve">Бюджетное учреждение – некоммерческая организация, созданная Российской Федерацией, субъектом Российской Федерации или муниципальным образованием для выполнения работ, оказания услуг в целях обеспечения реализации предусмотренных законодательством Российской Федерации полномочий соответственно органов государственной власти (государственных органов) или органов местного самоуправления в сферах науки, образования, здравоохранения, культуры, социальной защиты, занятости населения, физической культуры </w:t>
            </w:r>
            <w:r w:rsidR="0054296D" w:rsidRPr="00264D5D">
              <w:rPr>
                <w:sz w:val="22"/>
                <w:szCs w:val="22"/>
              </w:rPr>
              <w:t>и спорта, а также в иных сферах</w:t>
            </w:r>
          </w:p>
        </w:tc>
      </w:tr>
      <w:tr w:rsidR="00AD1F54" w:rsidRPr="00264D5D" w14:paraId="67317A68"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7209AD93" w14:textId="77777777" w:rsidR="00AD1F54" w:rsidRPr="00264D5D" w:rsidRDefault="00941227" w:rsidP="0054296D">
            <w:pPr>
              <w:spacing w:before="60" w:after="60"/>
              <w:jc w:val="left"/>
              <w:rPr>
                <w:sz w:val="22"/>
                <w:szCs w:val="22"/>
              </w:rPr>
            </w:pPr>
            <w:r w:rsidRPr="00264D5D">
              <w:rPr>
                <w:sz w:val="22"/>
                <w:szCs w:val="22"/>
              </w:rPr>
              <w:t>Бюджетная классификация Российской Федерации (БК)</w:t>
            </w:r>
          </w:p>
        </w:tc>
        <w:tc>
          <w:tcPr>
            <w:tcW w:w="3968" w:type="pct"/>
          </w:tcPr>
          <w:p w14:paraId="7854C5B4" w14:textId="77777777" w:rsidR="00AD1F54" w:rsidRPr="00264D5D" w:rsidRDefault="00941227" w:rsidP="0054296D">
            <w:pPr>
              <w:spacing w:before="60" w:after="60"/>
              <w:rPr>
                <w:sz w:val="22"/>
                <w:szCs w:val="22"/>
              </w:rPr>
            </w:pPr>
            <w:r w:rsidRPr="00264D5D">
              <w:rPr>
                <w:sz w:val="22"/>
                <w:szCs w:val="22"/>
              </w:rPr>
              <w:t>Бюджетная классификация Российской Федерации – группировка доходов, расходов и источников финансирования дефицитов бюджетов бюджетной системы Российской Федерации, используемая для составления и исполнения бюджетов, составления бюджетной отчетности, обеспечивающая сопоставимость показателей бюджетов бюджетной системы Российской Фед</w:t>
            </w:r>
            <w:r w:rsidR="0054296D" w:rsidRPr="00264D5D">
              <w:rPr>
                <w:sz w:val="22"/>
                <w:szCs w:val="22"/>
              </w:rPr>
              <w:t>ерации</w:t>
            </w:r>
          </w:p>
        </w:tc>
      </w:tr>
      <w:tr w:rsidR="00AD1F54" w:rsidRPr="00264D5D" w14:paraId="0F966ED1"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7031D6E6" w14:textId="77777777" w:rsidR="00AD1F54" w:rsidRPr="00264D5D" w:rsidRDefault="00941227" w:rsidP="0054296D">
            <w:pPr>
              <w:spacing w:before="60" w:after="60"/>
              <w:jc w:val="left"/>
              <w:rPr>
                <w:sz w:val="22"/>
                <w:szCs w:val="22"/>
              </w:rPr>
            </w:pPr>
            <w:r w:rsidRPr="00264D5D">
              <w:rPr>
                <w:sz w:val="22"/>
                <w:szCs w:val="22"/>
              </w:rPr>
              <w:t>ГВФ РФ (ВБФ, ГВБФ)</w:t>
            </w:r>
          </w:p>
        </w:tc>
        <w:tc>
          <w:tcPr>
            <w:tcW w:w="3968" w:type="pct"/>
          </w:tcPr>
          <w:p w14:paraId="430E1DB5" w14:textId="77777777" w:rsidR="00AD1F54" w:rsidRPr="00264D5D" w:rsidRDefault="00941227" w:rsidP="0054296D">
            <w:pPr>
              <w:spacing w:before="60" w:after="60"/>
              <w:rPr>
                <w:color w:val="000000"/>
                <w:sz w:val="22"/>
                <w:szCs w:val="22"/>
              </w:rPr>
            </w:pPr>
            <w:r w:rsidRPr="00264D5D">
              <w:rPr>
                <w:color w:val="000000"/>
                <w:sz w:val="22"/>
                <w:szCs w:val="22"/>
              </w:rPr>
              <w:t>Государственные внебюджетные фонды Российской Федерации (Фонд пенсионного и социального страхования Российской Федерации и Федеральный фонд обязател</w:t>
            </w:r>
            <w:r w:rsidR="0054296D" w:rsidRPr="00264D5D">
              <w:rPr>
                <w:color w:val="000000"/>
                <w:sz w:val="22"/>
                <w:szCs w:val="22"/>
              </w:rPr>
              <w:t>ьного медицинского страхования)</w:t>
            </w:r>
          </w:p>
        </w:tc>
      </w:tr>
      <w:tr w:rsidR="00AD1F54" w:rsidRPr="00264D5D" w14:paraId="16B9D30B"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1925F509" w14:textId="77777777" w:rsidR="00AD1F54" w:rsidRPr="00264D5D" w:rsidRDefault="00941227" w:rsidP="0054296D">
            <w:pPr>
              <w:spacing w:before="60" w:after="60"/>
              <w:jc w:val="left"/>
              <w:rPr>
                <w:sz w:val="22"/>
                <w:szCs w:val="22"/>
              </w:rPr>
            </w:pPr>
            <w:r w:rsidRPr="00264D5D">
              <w:rPr>
                <w:sz w:val="22"/>
                <w:szCs w:val="22"/>
              </w:rPr>
              <w:t>ГЗ</w:t>
            </w:r>
          </w:p>
        </w:tc>
        <w:tc>
          <w:tcPr>
            <w:tcW w:w="3968" w:type="pct"/>
          </w:tcPr>
          <w:p w14:paraId="60361B15" w14:textId="77777777" w:rsidR="00AD1F54" w:rsidRPr="00264D5D" w:rsidRDefault="0054296D" w:rsidP="0054296D">
            <w:pPr>
              <w:spacing w:before="60" w:after="60"/>
              <w:rPr>
                <w:color w:val="000000"/>
                <w:sz w:val="22"/>
                <w:szCs w:val="22"/>
              </w:rPr>
            </w:pPr>
            <w:r w:rsidRPr="00264D5D">
              <w:rPr>
                <w:sz w:val="22"/>
                <w:szCs w:val="22"/>
              </w:rPr>
              <w:t>Государственный заказчик</w:t>
            </w:r>
          </w:p>
        </w:tc>
      </w:tr>
      <w:tr w:rsidR="00AD1F54" w:rsidRPr="00264D5D" w14:paraId="07332077"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71E1FB60" w14:textId="77777777" w:rsidR="00AD1F54" w:rsidRPr="00264D5D" w:rsidRDefault="00941227" w:rsidP="0054296D">
            <w:pPr>
              <w:spacing w:before="60" w:after="60"/>
              <w:jc w:val="left"/>
              <w:rPr>
                <w:sz w:val="22"/>
                <w:szCs w:val="22"/>
              </w:rPr>
            </w:pPr>
            <w:r w:rsidRPr="00264D5D">
              <w:rPr>
                <w:sz w:val="22"/>
                <w:szCs w:val="22"/>
              </w:rPr>
              <w:t>ГИ (И)</w:t>
            </w:r>
          </w:p>
        </w:tc>
        <w:tc>
          <w:tcPr>
            <w:tcW w:w="3968" w:type="pct"/>
          </w:tcPr>
          <w:p w14:paraId="05757C6D" w14:textId="77777777" w:rsidR="00AD1F54" w:rsidRPr="00264D5D" w:rsidRDefault="00941227" w:rsidP="0054296D">
            <w:pPr>
              <w:spacing w:before="60" w:after="60"/>
              <w:rPr>
                <w:sz w:val="22"/>
                <w:szCs w:val="22"/>
              </w:rPr>
            </w:pPr>
            <w:r w:rsidRPr="00264D5D">
              <w:rPr>
                <w:sz w:val="22"/>
                <w:szCs w:val="22"/>
              </w:rPr>
              <w:t xml:space="preserve">Головной </w:t>
            </w:r>
            <w:r w:rsidR="0054296D" w:rsidRPr="00264D5D">
              <w:rPr>
                <w:sz w:val="22"/>
                <w:szCs w:val="22"/>
              </w:rPr>
              <w:t>исполнитель (исполнитель)</w:t>
            </w:r>
          </w:p>
        </w:tc>
      </w:tr>
      <w:tr w:rsidR="00AD1F54" w:rsidRPr="00264D5D" w14:paraId="1A9C1BCB"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4F7137EB" w14:textId="77777777" w:rsidR="00AD1F54" w:rsidRPr="00264D5D" w:rsidRDefault="00941227" w:rsidP="0054296D">
            <w:pPr>
              <w:spacing w:before="60" w:after="60"/>
              <w:jc w:val="left"/>
              <w:rPr>
                <w:sz w:val="22"/>
                <w:szCs w:val="22"/>
              </w:rPr>
            </w:pPr>
            <w:r w:rsidRPr="00264D5D">
              <w:rPr>
                <w:sz w:val="22"/>
                <w:szCs w:val="22"/>
              </w:rPr>
              <w:t>ГИИС «Электронный бюджет»</w:t>
            </w:r>
          </w:p>
        </w:tc>
        <w:tc>
          <w:tcPr>
            <w:tcW w:w="3968" w:type="pct"/>
          </w:tcPr>
          <w:p w14:paraId="457AFF2C" w14:textId="77777777" w:rsidR="00AD1F54" w:rsidRPr="00264D5D" w:rsidRDefault="00941227" w:rsidP="0054296D">
            <w:pPr>
              <w:spacing w:before="60" w:after="60"/>
              <w:rPr>
                <w:sz w:val="22"/>
                <w:szCs w:val="22"/>
              </w:rPr>
            </w:pPr>
            <w:r w:rsidRPr="00264D5D">
              <w:rPr>
                <w:color w:val="000000"/>
                <w:sz w:val="22"/>
                <w:szCs w:val="22"/>
              </w:rPr>
              <w:t>Государственная интегрированная информационн</w:t>
            </w:r>
            <w:r w:rsidR="0054296D" w:rsidRPr="00264D5D">
              <w:rPr>
                <w:color w:val="000000"/>
                <w:sz w:val="22"/>
                <w:szCs w:val="22"/>
              </w:rPr>
              <w:t>ая система «Электронный бюджет»</w:t>
            </w:r>
          </w:p>
        </w:tc>
      </w:tr>
      <w:tr w:rsidR="00AD1F54" w:rsidRPr="00264D5D" w14:paraId="0C209EBB"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71E3084B" w14:textId="77777777" w:rsidR="00AD1F54" w:rsidRPr="00264D5D" w:rsidRDefault="00941227" w:rsidP="0054296D">
            <w:pPr>
              <w:spacing w:before="60" w:after="60"/>
              <w:jc w:val="left"/>
              <w:rPr>
                <w:sz w:val="22"/>
                <w:szCs w:val="22"/>
              </w:rPr>
            </w:pPr>
            <w:r w:rsidRPr="00264D5D">
              <w:rPr>
                <w:sz w:val="22"/>
                <w:szCs w:val="22"/>
              </w:rPr>
              <w:t>ГРБС</w:t>
            </w:r>
          </w:p>
        </w:tc>
        <w:tc>
          <w:tcPr>
            <w:tcW w:w="3968" w:type="pct"/>
          </w:tcPr>
          <w:p w14:paraId="2DC22560" w14:textId="77777777" w:rsidR="00AD1F54" w:rsidRPr="00264D5D" w:rsidRDefault="00941227" w:rsidP="0054296D">
            <w:pPr>
              <w:spacing w:before="60" w:after="60"/>
              <w:rPr>
                <w:sz w:val="22"/>
                <w:szCs w:val="22"/>
              </w:rPr>
            </w:pPr>
            <w:r w:rsidRPr="00264D5D">
              <w:rPr>
                <w:color w:val="000000"/>
                <w:sz w:val="22"/>
                <w:szCs w:val="22"/>
              </w:rPr>
              <w:t xml:space="preserve">Главный распорядитель бюджетных средств (главный распорядитель средств соответствующего бюджета) – орган государственной власти (государственный орган), орган управления государственным внебюджетным фондом, орган местного самоуправления, орган местной администрации, а также наиболее значимое учреждение науки, образования, культуры и здравоохранения, указанное в ведомственной структуре расходов бюджета, имеющие право распределять бюджетные ассигнования и лимиты бюджетных обязательств между подведомственными распорядителями и (или) получателями бюджетных средств, если иное не установлено Бюджетным кодексом </w:t>
            </w:r>
            <w:r w:rsidRPr="00264D5D">
              <w:rPr>
                <w:color w:val="000000"/>
                <w:sz w:val="22"/>
                <w:szCs w:val="22"/>
              </w:rPr>
              <w:lastRenderedPageBreak/>
              <w:t>Российской Федераци</w:t>
            </w:r>
            <w:r w:rsidR="0054296D" w:rsidRPr="00264D5D">
              <w:rPr>
                <w:color w:val="000000"/>
                <w:sz w:val="22"/>
                <w:szCs w:val="22"/>
              </w:rPr>
              <w:t>и</w:t>
            </w:r>
          </w:p>
        </w:tc>
      </w:tr>
      <w:tr w:rsidR="00AD1F54" w:rsidRPr="00264D5D" w14:paraId="48BDEF9F"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5A763104" w14:textId="77777777" w:rsidR="00AD1F54" w:rsidRPr="00264D5D" w:rsidRDefault="00941227" w:rsidP="0054296D">
            <w:pPr>
              <w:spacing w:before="60" w:after="60"/>
              <w:jc w:val="left"/>
              <w:rPr>
                <w:sz w:val="22"/>
                <w:szCs w:val="22"/>
              </w:rPr>
            </w:pPr>
            <w:r w:rsidRPr="00264D5D">
              <w:rPr>
                <w:sz w:val="22"/>
                <w:szCs w:val="22"/>
              </w:rPr>
              <w:lastRenderedPageBreak/>
              <w:t>ГУП</w:t>
            </w:r>
          </w:p>
        </w:tc>
        <w:tc>
          <w:tcPr>
            <w:tcW w:w="3968" w:type="pct"/>
          </w:tcPr>
          <w:p w14:paraId="0343526E" w14:textId="77777777" w:rsidR="00AD1F54" w:rsidRPr="00264D5D" w:rsidRDefault="00941227" w:rsidP="0054296D">
            <w:pPr>
              <w:spacing w:before="60" w:after="60"/>
              <w:rPr>
                <w:sz w:val="22"/>
                <w:szCs w:val="22"/>
              </w:rPr>
            </w:pPr>
            <w:r w:rsidRPr="00264D5D">
              <w:rPr>
                <w:sz w:val="22"/>
                <w:szCs w:val="22"/>
              </w:rPr>
              <w:t>Государственное унитарное предприяти</w:t>
            </w:r>
            <w:r w:rsidR="0054296D" w:rsidRPr="00264D5D">
              <w:rPr>
                <w:sz w:val="22"/>
                <w:szCs w:val="22"/>
              </w:rPr>
              <w:t>е субъекта Российской Федерации</w:t>
            </w:r>
          </w:p>
        </w:tc>
      </w:tr>
      <w:tr w:rsidR="00AD1F54" w:rsidRPr="00264D5D" w14:paraId="57780885"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399E804E" w14:textId="77777777" w:rsidR="00AD1F54" w:rsidRPr="00264D5D" w:rsidRDefault="00941227" w:rsidP="0054296D">
            <w:pPr>
              <w:spacing w:before="60" w:after="60"/>
              <w:jc w:val="left"/>
              <w:rPr>
                <w:sz w:val="22"/>
                <w:szCs w:val="22"/>
              </w:rPr>
            </w:pPr>
            <w:r w:rsidRPr="00264D5D">
              <w:rPr>
                <w:sz w:val="22"/>
                <w:szCs w:val="22"/>
              </w:rPr>
              <w:t>ДО</w:t>
            </w:r>
          </w:p>
        </w:tc>
        <w:tc>
          <w:tcPr>
            <w:tcW w:w="3968" w:type="pct"/>
          </w:tcPr>
          <w:p w14:paraId="10ACFD24" w14:textId="77777777" w:rsidR="00AD1F54" w:rsidRPr="00264D5D" w:rsidRDefault="00941227" w:rsidP="0054296D">
            <w:pPr>
              <w:spacing w:before="60" w:after="60"/>
              <w:rPr>
                <w:sz w:val="22"/>
                <w:szCs w:val="22"/>
              </w:rPr>
            </w:pPr>
            <w:r w:rsidRPr="00264D5D">
              <w:rPr>
                <w:sz w:val="22"/>
                <w:szCs w:val="22"/>
              </w:rPr>
              <w:t>Денежные обязательства – обязанность получателя бюджетных средств уплатить бюджету, физическому лицу и юридическому лицу за счет средств бюджета определенные денежные средства в соответствии с выполненными условиями гражданско-правовой сделки, заключенной в рамках его бюджетных полномочий, или в соответствии с положениями закона, иного правового акта, ус</w:t>
            </w:r>
            <w:r w:rsidR="0054296D" w:rsidRPr="00264D5D">
              <w:rPr>
                <w:sz w:val="22"/>
                <w:szCs w:val="22"/>
              </w:rPr>
              <w:t>ловиями договора или соглашения</w:t>
            </w:r>
          </w:p>
        </w:tc>
      </w:tr>
      <w:tr w:rsidR="00AD1F54" w:rsidRPr="00264D5D" w14:paraId="6F7F563A"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32EBCA3B" w14:textId="77777777" w:rsidR="00AD1F54" w:rsidRPr="00264D5D" w:rsidRDefault="00941227" w:rsidP="0054296D">
            <w:pPr>
              <w:spacing w:before="60" w:after="60"/>
              <w:jc w:val="left"/>
              <w:rPr>
                <w:sz w:val="22"/>
                <w:szCs w:val="22"/>
              </w:rPr>
            </w:pPr>
            <w:r w:rsidRPr="00264D5D">
              <w:rPr>
                <w:sz w:val="22"/>
                <w:szCs w:val="22"/>
              </w:rPr>
              <w:t>ЕГИССО</w:t>
            </w:r>
          </w:p>
        </w:tc>
        <w:tc>
          <w:tcPr>
            <w:tcW w:w="3968" w:type="pct"/>
          </w:tcPr>
          <w:p w14:paraId="1ABA1333" w14:textId="77777777" w:rsidR="00AD1F54" w:rsidRPr="00264D5D" w:rsidRDefault="00941227" w:rsidP="0054296D">
            <w:pPr>
              <w:spacing w:before="60" w:after="60"/>
              <w:rPr>
                <w:sz w:val="22"/>
                <w:szCs w:val="22"/>
              </w:rPr>
            </w:pPr>
            <w:r w:rsidRPr="00264D5D">
              <w:rPr>
                <w:sz w:val="22"/>
                <w:szCs w:val="22"/>
              </w:rPr>
              <w:t xml:space="preserve">Единая государственная информационная </w:t>
            </w:r>
            <w:r w:rsidR="0054296D" w:rsidRPr="00264D5D">
              <w:rPr>
                <w:sz w:val="22"/>
                <w:szCs w:val="22"/>
              </w:rPr>
              <w:t>система социального обеспечения</w:t>
            </w:r>
          </w:p>
        </w:tc>
      </w:tr>
      <w:tr w:rsidR="00AD1F54" w:rsidRPr="00264D5D" w14:paraId="651E5D7A"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031BF2F3" w14:textId="77777777" w:rsidR="00AD1F54" w:rsidRPr="00264D5D" w:rsidRDefault="00941227" w:rsidP="0054296D">
            <w:pPr>
              <w:spacing w:before="60" w:after="60"/>
              <w:jc w:val="left"/>
              <w:rPr>
                <w:sz w:val="22"/>
                <w:szCs w:val="22"/>
              </w:rPr>
            </w:pPr>
            <w:r w:rsidRPr="00264D5D">
              <w:rPr>
                <w:sz w:val="22"/>
                <w:szCs w:val="22"/>
              </w:rPr>
              <w:t>ЕГРЮЛ</w:t>
            </w:r>
          </w:p>
        </w:tc>
        <w:tc>
          <w:tcPr>
            <w:tcW w:w="3968" w:type="pct"/>
          </w:tcPr>
          <w:p w14:paraId="6243FBC3" w14:textId="77777777" w:rsidR="00AD1F54" w:rsidRPr="00264D5D" w:rsidRDefault="00941227" w:rsidP="0054296D">
            <w:pPr>
              <w:spacing w:before="60" w:after="60"/>
              <w:rPr>
                <w:color w:val="000000"/>
                <w:sz w:val="22"/>
                <w:szCs w:val="22"/>
              </w:rPr>
            </w:pPr>
            <w:r w:rsidRPr="00264D5D">
              <w:rPr>
                <w:sz w:val="22"/>
                <w:szCs w:val="22"/>
              </w:rPr>
              <w:t>Единый государ</w:t>
            </w:r>
            <w:r w:rsidR="0054296D" w:rsidRPr="00264D5D">
              <w:rPr>
                <w:sz w:val="22"/>
                <w:szCs w:val="22"/>
              </w:rPr>
              <w:t>ственный реестр юридических лиц</w:t>
            </w:r>
          </w:p>
        </w:tc>
      </w:tr>
      <w:tr w:rsidR="00AD1F54" w:rsidRPr="00264D5D" w14:paraId="4387ABA9"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58F508E8" w14:textId="77777777" w:rsidR="00AD1F54" w:rsidRPr="00264D5D" w:rsidRDefault="00941227" w:rsidP="0054296D">
            <w:pPr>
              <w:spacing w:before="60" w:after="60"/>
              <w:jc w:val="left"/>
              <w:rPr>
                <w:sz w:val="22"/>
                <w:szCs w:val="22"/>
              </w:rPr>
            </w:pPr>
            <w:r w:rsidRPr="00264D5D">
              <w:rPr>
                <w:sz w:val="22"/>
                <w:szCs w:val="22"/>
              </w:rPr>
              <w:t>ЕИС</w:t>
            </w:r>
          </w:p>
        </w:tc>
        <w:tc>
          <w:tcPr>
            <w:tcW w:w="3968" w:type="pct"/>
          </w:tcPr>
          <w:p w14:paraId="4B638239" w14:textId="77777777" w:rsidR="00AD1F54" w:rsidRPr="00264D5D" w:rsidRDefault="00941227" w:rsidP="0054296D">
            <w:pPr>
              <w:spacing w:before="60" w:after="60"/>
              <w:rPr>
                <w:sz w:val="22"/>
                <w:szCs w:val="22"/>
              </w:rPr>
            </w:pPr>
            <w:r w:rsidRPr="00264D5D">
              <w:rPr>
                <w:sz w:val="22"/>
                <w:szCs w:val="22"/>
              </w:rPr>
              <w:t>Единая информа</w:t>
            </w:r>
            <w:r w:rsidR="0054296D" w:rsidRPr="00264D5D">
              <w:rPr>
                <w:sz w:val="22"/>
                <w:szCs w:val="22"/>
              </w:rPr>
              <w:t>ционная система в сфере закупок</w:t>
            </w:r>
          </w:p>
        </w:tc>
      </w:tr>
      <w:tr w:rsidR="00AD1F54" w:rsidRPr="00264D5D" w14:paraId="1A3F87D2"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46D13BE6" w14:textId="77777777" w:rsidR="00AD1F54" w:rsidRPr="00264D5D" w:rsidRDefault="00941227" w:rsidP="0054296D">
            <w:pPr>
              <w:spacing w:before="60" w:after="60"/>
              <w:jc w:val="left"/>
              <w:rPr>
                <w:sz w:val="22"/>
                <w:szCs w:val="22"/>
              </w:rPr>
            </w:pPr>
            <w:r w:rsidRPr="00264D5D">
              <w:rPr>
                <w:sz w:val="22"/>
                <w:szCs w:val="22"/>
              </w:rPr>
              <w:t>ЗК</w:t>
            </w:r>
          </w:p>
        </w:tc>
        <w:tc>
          <w:tcPr>
            <w:tcW w:w="3968" w:type="pct"/>
          </w:tcPr>
          <w:p w14:paraId="63F3C7A9" w14:textId="77777777" w:rsidR="00AD1F54" w:rsidRPr="00264D5D" w:rsidRDefault="0054296D" w:rsidP="0054296D">
            <w:pPr>
              <w:spacing w:before="60" w:after="60"/>
              <w:rPr>
                <w:color w:val="000000"/>
                <w:sz w:val="22"/>
                <w:szCs w:val="22"/>
              </w:rPr>
            </w:pPr>
            <w:r w:rsidRPr="00264D5D">
              <w:rPr>
                <w:sz w:val="22"/>
                <w:szCs w:val="22"/>
              </w:rPr>
              <w:t>Закрытый (защищенный) контур</w:t>
            </w:r>
          </w:p>
        </w:tc>
      </w:tr>
      <w:tr w:rsidR="00AD1F54" w:rsidRPr="00264D5D" w14:paraId="06CE9EF4"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124A4C92" w14:textId="77777777" w:rsidR="00AD1F54" w:rsidRPr="00264D5D" w:rsidRDefault="00941227" w:rsidP="0054296D">
            <w:pPr>
              <w:spacing w:before="60" w:after="60"/>
              <w:jc w:val="left"/>
              <w:rPr>
                <w:sz w:val="22"/>
                <w:szCs w:val="22"/>
              </w:rPr>
            </w:pPr>
            <w:r w:rsidRPr="00264D5D">
              <w:rPr>
                <w:sz w:val="22"/>
                <w:szCs w:val="22"/>
              </w:rPr>
              <w:t>ИВнФДБ</w:t>
            </w:r>
          </w:p>
        </w:tc>
        <w:tc>
          <w:tcPr>
            <w:tcW w:w="3968" w:type="pct"/>
          </w:tcPr>
          <w:p w14:paraId="4768493E" w14:textId="77777777" w:rsidR="00AD1F54" w:rsidRPr="00264D5D" w:rsidRDefault="00941227" w:rsidP="0054296D">
            <w:pPr>
              <w:spacing w:before="60" w:after="60"/>
              <w:rPr>
                <w:sz w:val="22"/>
                <w:szCs w:val="22"/>
              </w:rPr>
            </w:pPr>
            <w:r w:rsidRPr="00264D5D">
              <w:rPr>
                <w:sz w:val="22"/>
                <w:szCs w:val="22"/>
              </w:rPr>
              <w:t xml:space="preserve">Источник внешнего </w:t>
            </w:r>
            <w:r w:rsidR="0054296D" w:rsidRPr="00264D5D">
              <w:rPr>
                <w:sz w:val="22"/>
                <w:szCs w:val="22"/>
              </w:rPr>
              <w:t>финансирования дефицита бюджета</w:t>
            </w:r>
          </w:p>
        </w:tc>
      </w:tr>
      <w:tr w:rsidR="00AD1F54" w:rsidRPr="00264D5D" w14:paraId="15BEA63C"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3FB4986F" w14:textId="77777777" w:rsidR="00AD1F54" w:rsidRPr="00264D5D" w:rsidRDefault="00941227" w:rsidP="0054296D">
            <w:pPr>
              <w:spacing w:before="60" w:after="60"/>
              <w:jc w:val="left"/>
              <w:rPr>
                <w:sz w:val="22"/>
                <w:szCs w:val="22"/>
              </w:rPr>
            </w:pPr>
            <w:r w:rsidRPr="00264D5D">
              <w:rPr>
                <w:sz w:val="22"/>
                <w:szCs w:val="22"/>
              </w:rPr>
              <w:t>ИВФДБ</w:t>
            </w:r>
          </w:p>
        </w:tc>
        <w:tc>
          <w:tcPr>
            <w:tcW w:w="3968" w:type="pct"/>
          </w:tcPr>
          <w:p w14:paraId="0E48B118" w14:textId="77777777" w:rsidR="00AD1F54" w:rsidRPr="00264D5D" w:rsidRDefault="00941227" w:rsidP="0054296D">
            <w:pPr>
              <w:spacing w:before="60" w:after="60"/>
              <w:rPr>
                <w:sz w:val="22"/>
                <w:szCs w:val="22"/>
              </w:rPr>
            </w:pPr>
            <w:r w:rsidRPr="00264D5D">
              <w:rPr>
                <w:sz w:val="22"/>
                <w:szCs w:val="22"/>
              </w:rPr>
              <w:t xml:space="preserve">Источник внутреннего </w:t>
            </w:r>
            <w:r w:rsidR="0054296D" w:rsidRPr="00264D5D">
              <w:rPr>
                <w:sz w:val="22"/>
                <w:szCs w:val="22"/>
              </w:rPr>
              <w:t>финансирования дефицита бюджета</w:t>
            </w:r>
          </w:p>
        </w:tc>
      </w:tr>
      <w:tr w:rsidR="00AD1F54" w:rsidRPr="00264D5D" w14:paraId="04A9CCDD"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4DFC0E55" w14:textId="77777777" w:rsidR="00AD1F54" w:rsidRPr="00264D5D" w:rsidRDefault="00941227" w:rsidP="0054296D">
            <w:pPr>
              <w:spacing w:before="60" w:after="60"/>
              <w:jc w:val="left"/>
              <w:rPr>
                <w:sz w:val="22"/>
                <w:szCs w:val="22"/>
              </w:rPr>
            </w:pPr>
            <w:r w:rsidRPr="00264D5D">
              <w:rPr>
                <w:sz w:val="22"/>
                <w:szCs w:val="22"/>
              </w:rPr>
              <w:t>ИГК</w:t>
            </w:r>
          </w:p>
        </w:tc>
        <w:tc>
          <w:tcPr>
            <w:tcW w:w="3968" w:type="pct"/>
          </w:tcPr>
          <w:p w14:paraId="59BEB81B" w14:textId="77777777" w:rsidR="00AD1F54" w:rsidRPr="00264D5D" w:rsidRDefault="00941227" w:rsidP="0054296D">
            <w:pPr>
              <w:spacing w:before="60" w:after="60"/>
              <w:rPr>
                <w:sz w:val="22"/>
                <w:szCs w:val="22"/>
              </w:rPr>
            </w:pPr>
            <w:r w:rsidRPr="00264D5D">
              <w:rPr>
                <w:sz w:val="22"/>
                <w:szCs w:val="22"/>
              </w:rPr>
              <w:t>Идентифик</w:t>
            </w:r>
            <w:r w:rsidR="0054296D" w:rsidRPr="00264D5D">
              <w:rPr>
                <w:sz w:val="22"/>
                <w:szCs w:val="22"/>
              </w:rPr>
              <w:t>атор государственного контракта</w:t>
            </w:r>
          </w:p>
        </w:tc>
      </w:tr>
      <w:tr w:rsidR="00AD1F54" w:rsidRPr="00264D5D" w14:paraId="3EFD3901"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0124E0BA" w14:textId="77777777" w:rsidR="00AD1F54" w:rsidRPr="00264D5D" w:rsidRDefault="00941227" w:rsidP="0054296D">
            <w:pPr>
              <w:spacing w:before="60" w:after="60"/>
              <w:jc w:val="left"/>
              <w:rPr>
                <w:sz w:val="22"/>
                <w:szCs w:val="22"/>
              </w:rPr>
            </w:pPr>
            <w:r w:rsidRPr="00264D5D">
              <w:rPr>
                <w:sz w:val="22"/>
                <w:szCs w:val="22"/>
              </w:rPr>
              <w:t>ИД</w:t>
            </w:r>
          </w:p>
        </w:tc>
        <w:tc>
          <w:tcPr>
            <w:tcW w:w="3968" w:type="pct"/>
          </w:tcPr>
          <w:p w14:paraId="7ECDFA03" w14:textId="77777777" w:rsidR="00AD1F54" w:rsidRPr="00264D5D" w:rsidRDefault="00941227" w:rsidP="0054296D">
            <w:pPr>
              <w:spacing w:before="60" w:after="60"/>
              <w:rPr>
                <w:sz w:val="22"/>
                <w:szCs w:val="22"/>
              </w:rPr>
            </w:pPr>
            <w:r w:rsidRPr="00264D5D">
              <w:rPr>
                <w:sz w:val="22"/>
                <w:szCs w:val="22"/>
              </w:rPr>
              <w:t>Исполнительный документ (исполн</w:t>
            </w:r>
            <w:r w:rsidR="0054296D" w:rsidRPr="00264D5D">
              <w:rPr>
                <w:sz w:val="22"/>
                <w:szCs w:val="22"/>
              </w:rPr>
              <w:t>ительный лист, судебный приказ)</w:t>
            </w:r>
          </w:p>
        </w:tc>
      </w:tr>
      <w:tr w:rsidR="00AD1F54" w:rsidRPr="00264D5D" w14:paraId="37D1E9DD"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1380C0BF" w14:textId="77777777" w:rsidR="00AD1F54" w:rsidRPr="00264D5D" w:rsidRDefault="00941227" w:rsidP="0054296D">
            <w:pPr>
              <w:spacing w:before="60" w:after="60"/>
              <w:jc w:val="left"/>
              <w:rPr>
                <w:sz w:val="22"/>
                <w:szCs w:val="22"/>
              </w:rPr>
            </w:pPr>
            <w:r w:rsidRPr="00264D5D">
              <w:rPr>
                <w:sz w:val="22"/>
                <w:szCs w:val="22"/>
              </w:rPr>
              <w:t>ИЗ</w:t>
            </w:r>
          </w:p>
        </w:tc>
        <w:tc>
          <w:tcPr>
            <w:tcW w:w="3968" w:type="pct"/>
          </w:tcPr>
          <w:p w14:paraId="4D6F09A5" w14:textId="77777777" w:rsidR="00AD1F54" w:rsidRPr="00264D5D" w:rsidRDefault="0054296D" w:rsidP="0054296D">
            <w:pPr>
              <w:spacing w:before="60" w:after="60"/>
              <w:rPr>
                <w:sz w:val="22"/>
                <w:szCs w:val="22"/>
              </w:rPr>
            </w:pPr>
            <w:r w:rsidRPr="00264D5D">
              <w:rPr>
                <w:sz w:val="22"/>
                <w:szCs w:val="22"/>
              </w:rPr>
              <w:t>Исполнитель – заказчик</w:t>
            </w:r>
          </w:p>
        </w:tc>
      </w:tr>
      <w:tr w:rsidR="00AD1F54" w:rsidRPr="00264D5D" w14:paraId="5B7225BC"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0B05A4D8" w14:textId="77777777" w:rsidR="00AD1F54" w:rsidRPr="00264D5D" w:rsidRDefault="00941227" w:rsidP="0054296D">
            <w:pPr>
              <w:spacing w:before="60" w:after="60"/>
              <w:jc w:val="left"/>
              <w:rPr>
                <w:sz w:val="22"/>
                <w:szCs w:val="22"/>
              </w:rPr>
            </w:pPr>
            <w:r w:rsidRPr="00264D5D">
              <w:rPr>
                <w:sz w:val="22"/>
                <w:szCs w:val="22"/>
              </w:rPr>
              <w:t>ИНН</w:t>
            </w:r>
          </w:p>
        </w:tc>
        <w:tc>
          <w:tcPr>
            <w:tcW w:w="3968" w:type="pct"/>
          </w:tcPr>
          <w:p w14:paraId="7291B8F9" w14:textId="77777777" w:rsidR="00AD1F54" w:rsidRPr="00264D5D" w:rsidRDefault="00941227" w:rsidP="0054296D">
            <w:pPr>
              <w:spacing w:before="60" w:after="60"/>
              <w:rPr>
                <w:color w:val="000000"/>
                <w:sz w:val="22"/>
                <w:szCs w:val="22"/>
              </w:rPr>
            </w:pPr>
            <w:r w:rsidRPr="00264D5D">
              <w:rPr>
                <w:sz w:val="22"/>
                <w:szCs w:val="22"/>
              </w:rPr>
              <w:t>Идентифика</w:t>
            </w:r>
            <w:r w:rsidR="0054296D" w:rsidRPr="00264D5D">
              <w:rPr>
                <w:sz w:val="22"/>
                <w:szCs w:val="22"/>
              </w:rPr>
              <w:t>ционный номер налогоплательщика</w:t>
            </w:r>
          </w:p>
        </w:tc>
      </w:tr>
      <w:tr w:rsidR="00AD1F54" w:rsidRPr="00264D5D" w14:paraId="3DD6D6FE"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451E921C" w14:textId="77777777" w:rsidR="00AD1F54" w:rsidRPr="00264D5D" w:rsidRDefault="00941227" w:rsidP="0054296D">
            <w:pPr>
              <w:spacing w:before="60" w:after="60"/>
              <w:jc w:val="left"/>
              <w:rPr>
                <w:sz w:val="22"/>
                <w:szCs w:val="22"/>
              </w:rPr>
            </w:pPr>
            <w:r w:rsidRPr="00264D5D">
              <w:rPr>
                <w:sz w:val="22"/>
                <w:szCs w:val="22"/>
              </w:rPr>
              <w:t>ИП</w:t>
            </w:r>
          </w:p>
        </w:tc>
        <w:tc>
          <w:tcPr>
            <w:tcW w:w="3968" w:type="pct"/>
          </w:tcPr>
          <w:p w14:paraId="40D81CD4" w14:textId="77777777" w:rsidR="00AD1F54" w:rsidRPr="00264D5D" w:rsidRDefault="00941227" w:rsidP="0054296D">
            <w:pPr>
              <w:spacing w:before="60" w:after="60"/>
              <w:rPr>
                <w:sz w:val="22"/>
                <w:szCs w:val="22"/>
              </w:rPr>
            </w:pPr>
            <w:r w:rsidRPr="00264D5D">
              <w:rPr>
                <w:sz w:val="22"/>
                <w:szCs w:val="22"/>
              </w:rPr>
              <w:t>Индивидуальный предп</w:t>
            </w:r>
            <w:r w:rsidR="0054296D" w:rsidRPr="00264D5D">
              <w:rPr>
                <w:sz w:val="22"/>
                <w:szCs w:val="22"/>
              </w:rPr>
              <w:t>риниматель</w:t>
            </w:r>
          </w:p>
        </w:tc>
      </w:tr>
      <w:tr w:rsidR="00AD1F54" w:rsidRPr="00264D5D" w14:paraId="66A60ACC"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7602B047" w14:textId="77777777" w:rsidR="00AD1F54" w:rsidRPr="00264D5D" w:rsidRDefault="00941227" w:rsidP="0054296D">
            <w:pPr>
              <w:spacing w:before="60" w:after="60"/>
              <w:jc w:val="left"/>
              <w:rPr>
                <w:sz w:val="22"/>
                <w:szCs w:val="22"/>
              </w:rPr>
            </w:pPr>
            <w:r w:rsidRPr="00264D5D">
              <w:rPr>
                <w:sz w:val="22"/>
                <w:szCs w:val="22"/>
              </w:rPr>
              <w:t>ИС</w:t>
            </w:r>
          </w:p>
        </w:tc>
        <w:tc>
          <w:tcPr>
            <w:tcW w:w="3968" w:type="pct"/>
          </w:tcPr>
          <w:p w14:paraId="6031841C" w14:textId="77777777" w:rsidR="00AD1F54" w:rsidRPr="00264D5D" w:rsidRDefault="0054296D" w:rsidP="0054296D">
            <w:pPr>
              <w:spacing w:before="60" w:after="60"/>
              <w:rPr>
                <w:sz w:val="22"/>
                <w:szCs w:val="22"/>
              </w:rPr>
            </w:pPr>
            <w:r w:rsidRPr="00264D5D">
              <w:rPr>
                <w:sz w:val="22"/>
                <w:szCs w:val="22"/>
              </w:rPr>
              <w:t>Информационная система</w:t>
            </w:r>
          </w:p>
        </w:tc>
      </w:tr>
      <w:tr w:rsidR="00AD1F54" w:rsidRPr="00264D5D" w14:paraId="08D3B0DC"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0AF93224" w14:textId="77777777" w:rsidR="00AD1F54" w:rsidRPr="00264D5D" w:rsidRDefault="00941227" w:rsidP="0054296D">
            <w:pPr>
              <w:spacing w:before="60" w:after="60"/>
              <w:jc w:val="left"/>
              <w:rPr>
                <w:sz w:val="22"/>
                <w:szCs w:val="22"/>
              </w:rPr>
            </w:pPr>
            <w:r w:rsidRPr="00264D5D">
              <w:rPr>
                <w:sz w:val="22"/>
                <w:szCs w:val="22"/>
              </w:rPr>
              <w:t>Квиток</w:t>
            </w:r>
          </w:p>
        </w:tc>
        <w:tc>
          <w:tcPr>
            <w:tcW w:w="3968" w:type="pct"/>
          </w:tcPr>
          <w:p w14:paraId="1505567D" w14:textId="77777777" w:rsidR="00AD1F54" w:rsidRPr="00264D5D" w:rsidRDefault="00941227" w:rsidP="0054296D">
            <w:pPr>
              <w:spacing w:before="60" w:after="60"/>
              <w:rPr>
                <w:sz w:val="22"/>
                <w:szCs w:val="22"/>
              </w:rPr>
            </w:pPr>
            <w:r w:rsidRPr="00264D5D">
              <w:rPr>
                <w:sz w:val="22"/>
                <w:szCs w:val="22"/>
              </w:rPr>
              <w:t>Технический электронный документ, предназначенный для доведения до внешней информационной системы информации о состоянии (с</w:t>
            </w:r>
            <w:r w:rsidR="0054296D" w:rsidRPr="00264D5D">
              <w:rPr>
                <w:sz w:val="22"/>
                <w:szCs w:val="22"/>
              </w:rPr>
              <w:t>татусе) доставленного документа</w:t>
            </w:r>
          </w:p>
        </w:tc>
      </w:tr>
      <w:tr w:rsidR="00AD1F54" w:rsidRPr="00264D5D" w14:paraId="33468EC8"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3C34AB48" w14:textId="77777777" w:rsidR="00AD1F54" w:rsidRPr="00264D5D" w:rsidRDefault="00941227" w:rsidP="0054296D">
            <w:pPr>
              <w:spacing w:before="60" w:after="60"/>
              <w:jc w:val="left"/>
              <w:rPr>
                <w:sz w:val="22"/>
                <w:szCs w:val="22"/>
              </w:rPr>
            </w:pPr>
            <w:r w:rsidRPr="00264D5D">
              <w:rPr>
                <w:sz w:val="22"/>
                <w:szCs w:val="22"/>
              </w:rPr>
              <w:t>КВР</w:t>
            </w:r>
          </w:p>
        </w:tc>
        <w:tc>
          <w:tcPr>
            <w:tcW w:w="3968" w:type="pct"/>
          </w:tcPr>
          <w:p w14:paraId="4B9BCE4F" w14:textId="77777777" w:rsidR="00AD1F54" w:rsidRPr="00264D5D" w:rsidRDefault="00941227" w:rsidP="0054296D">
            <w:pPr>
              <w:spacing w:before="60" w:after="60"/>
              <w:rPr>
                <w:sz w:val="22"/>
                <w:szCs w:val="22"/>
              </w:rPr>
            </w:pPr>
            <w:r w:rsidRPr="00264D5D">
              <w:rPr>
                <w:sz w:val="22"/>
                <w:szCs w:val="22"/>
              </w:rPr>
              <w:t>Классификатор вида расходов функционального кла</w:t>
            </w:r>
            <w:r w:rsidR="0054296D" w:rsidRPr="00264D5D">
              <w:rPr>
                <w:sz w:val="22"/>
                <w:szCs w:val="22"/>
              </w:rPr>
              <w:t>ссификатора расходов</w:t>
            </w:r>
          </w:p>
        </w:tc>
      </w:tr>
      <w:tr w:rsidR="00AD1F54" w:rsidRPr="00264D5D" w14:paraId="3632229A"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34E05F94" w14:textId="77777777" w:rsidR="00AD1F54" w:rsidRPr="00264D5D" w:rsidRDefault="00941227" w:rsidP="0054296D">
            <w:pPr>
              <w:spacing w:before="60" w:after="60"/>
              <w:jc w:val="left"/>
              <w:rPr>
                <w:sz w:val="22"/>
                <w:szCs w:val="22"/>
              </w:rPr>
            </w:pPr>
            <w:r w:rsidRPr="00264D5D">
              <w:rPr>
                <w:sz w:val="22"/>
                <w:szCs w:val="22"/>
              </w:rPr>
              <w:t>КЛАДР</w:t>
            </w:r>
          </w:p>
        </w:tc>
        <w:tc>
          <w:tcPr>
            <w:tcW w:w="3968" w:type="pct"/>
          </w:tcPr>
          <w:p w14:paraId="1EBF9133" w14:textId="77777777" w:rsidR="00AD1F54" w:rsidRPr="00264D5D" w:rsidRDefault="00941227" w:rsidP="0054296D">
            <w:pPr>
              <w:spacing w:before="60" w:after="60"/>
              <w:rPr>
                <w:sz w:val="22"/>
                <w:szCs w:val="22"/>
              </w:rPr>
            </w:pPr>
            <w:r w:rsidRPr="00264D5D">
              <w:rPr>
                <w:sz w:val="22"/>
                <w:szCs w:val="22"/>
              </w:rPr>
              <w:t>Ведомственный классификатор адресов Российской Федерации. Ведется Федеральной налогов</w:t>
            </w:r>
            <w:r w:rsidR="0054296D" w:rsidRPr="00264D5D">
              <w:rPr>
                <w:sz w:val="22"/>
                <w:szCs w:val="22"/>
              </w:rPr>
              <w:t>ой службой Российской Федерации</w:t>
            </w:r>
          </w:p>
        </w:tc>
      </w:tr>
      <w:tr w:rsidR="00AD1F54" w:rsidRPr="00264D5D" w14:paraId="3BA2DCB7"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3C6635F4" w14:textId="77777777" w:rsidR="00AD1F54" w:rsidRPr="00264D5D" w:rsidRDefault="00941227" w:rsidP="0054296D">
            <w:pPr>
              <w:spacing w:before="60" w:after="60"/>
              <w:jc w:val="left"/>
              <w:rPr>
                <w:sz w:val="22"/>
                <w:szCs w:val="22"/>
              </w:rPr>
            </w:pPr>
            <w:r w:rsidRPr="00264D5D">
              <w:rPr>
                <w:sz w:val="22"/>
                <w:szCs w:val="22"/>
              </w:rPr>
              <w:t>Клиент</w:t>
            </w:r>
          </w:p>
        </w:tc>
        <w:tc>
          <w:tcPr>
            <w:tcW w:w="3968" w:type="pct"/>
          </w:tcPr>
          <w:p w14:paraId="38309A79" w14:textId="77777777" w:rsidR="00AD1F54" w:rsidRPr="00264D5D" w:rsidRDefault="00941227" w:rsidP="0054296D">
            <w:pPr>
              <w:spacing w:before="60" w:after="60"/>
              <w:rPr>
                <w:sz w:val="22"/>
                <w:szCs w:val="22"/>
              </w:rPr>
            </w:pPr>
            <w:r w:rsidRPr="00264D5D">
              <w:rPr>
                <w:sz w:val="22"/>
                <w:szCs w:val="22"/>
              </w:rPr>
              <w:t>Участник бюджетного процесса бюджетов бюджетной системы Российской Федерации, юридическое лицо, не являющееся в соответствии с Бюджетным кодексом Российской Федерации участником бюджетного процесса, которому в установленном порядке открываются лицевые счета в о</w:t>
            </w:r>
            <w:r w:rsidR="0054296D" w:rsidRPr="00264D5D">
              <w:rPr>
                <w:sz w:val="22"/>
                <w:szCs w:val="22"/>
              </w:rPr>
              <w:t>ргане Федерального казначейства</w:t>
            </w:r>
          </w:p>
        </w:tc>
      </w:tr>
      <w:tr w:rsidR="00AD1F54" w:rsidRPr="00264D5D" w14:paraId="694FD26D"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71FA1A44" w14:textId="77777777" w:rsidR="00AD1F54" w:rsidRPr="00264D5D" w:rsidRDefault="00941227" w:rsidP="0054296D">
            <w:pPr>
              <w:spacing w:before="60" w:after="60"/>
              <w:jc w:val="left"/>
              <w:rPr>
                <w:sz w:val="22"/>
                <w:szCs w:val="22"/>
              </w:rPr>
            </w:pPr>
            <w:r w:rsidRPr="00264D5D">
              <w:rPr>
                <w:sz w:val="22"/>
                <w:szCs w:val="22"/>
              </w:rPr>
              <w:t>КМИ</w:t>
            </w:r>
          </w:p>
        </w:tc>
        <w:tc>
          <w:tcPr>
            <w:tcW w:w="3968" w:type="pct"/>
          </w:tcPr>
          <w:p w14:paraId="22CE8EFA" w14:textId="77777777" w:rsidR="00AD1F54" w:rsidRPr="00264D5D" w:rsidRDefault="00941227" w:rsidP="0054296D">
            <w:pPr>
              <w:spacing w:before="60" w:after="60"/>
              <w:rPr>
                <w:sz w:val="22"/>
                <w:szCs w:val="22"/>
              </w:rPr>
            </w:pPr>
            <w:r w:rsidRPr="00264D5D">
              <w:rPr>
                <w:sz w:val="22"/>
                <w:szCs w:val="22"/>
              </w:rPr>
              <w:t>Ко</w:t>
            </w:r>
            <w:r w:rsidR="0054296D" w:rsidRPr="00264D5D">
              <w:rPr>
                <w:sz w:val="22"/>
                <w:szCs w:val="22"/>
              </w:rPr>
              <w:t>д мероприятия по информатизации</w:t>
            </w:r>
          </w:p>
        </w:tc>
      </w:tr>
      <w:tr w:rsidR="00AD1F54" w:rsidRPr="00264D5D" w14:paraId="5FBF2E27"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364895FC" w14:textId="77777777" w:rsidR="00AD1F54" w:rsidRPr="00264D5D" w:rsidRDefault="00941227" w:rsidP="0054296D">
            <w:pPr>
              <w:spacing w:before="60" w:after="60"/>
              <w:jc w:val="left"/>
              <w:rPr>
                <w:sz w:val="22"/>
                <w:szCs w:val="22"/>
              </w:rPr>
            </w:pPr>
            <w:r w:rsidRPr="00264D5D">
              <w:rPr>
                <w:sz w:val="22"/>
                <w:szCs w:val="22"/>
              </w:rPr>
              <w:t>Код по БК (КБК)</w:t>
            </w:r>
          </w:p>
        </w:tc>
        <w:tc>
          <w:tcPr>
            <w:tcW w:w="3968" w:type="pct"/>
          </w:tcPr>
          <w:p w14:paraId="19AEBE17" w14:textId="77777777" w:rsidR="00AD1F54" w:rsidRPr="00264D5D" w:rsidRDefault="00941227" w:rsidP="0054296D">
            <w:pPr>
              <w:spacing w:before="60" w:after="60"/>
              <w:rPr>
                <w:sz w:val="22"/>
                <w:szCs w:val="22"/>
              </w:rPr>
            </w:pPr>
            <w:r w:rsidRPr="00264D5D">
              <w:rPr>
                <w:sz w:val="22"/>
                <w:szCs w:val="22"/>
              </w:rPr>
              <w:t>Код бюджетной кла</w:t>
            </w:r>
            <w:r w:rsidR="0054296D" w:rsidRPr="00264D5D">
              <w:rPr>
                <w:sz w:val="22"/>
                <w:szCs w:val="22"/>
              </w:rPr>
              <w:t>ссификации Российской Федерации</w:t>
            </w:r>
          </w:p>
        </w:tc>
      </w:tr>
      <w:tr w:rsidR="00AD1F54" w:rsidRPr="00264D5D" w14:paraId="11F4350D"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445A780B" w14:textId="77777777" w:rsidR="00AD1F54" w:rsidRPr="00264D5D" w:rsidRDefault="00941227" w:rsidP="0054296D">
            <w:pPr>
              <w:spacing w:before="60" w:after="60"/>
              <w:jc w:val="left"/>
              <w:rPr>
                <w:sz w:val="22"/>
                <w:szCs w:val="22"/>
              </w:rPr>
            </w:pPr>
            <w:r w:rsidRPr="00264D5D">
              <w:rPr>
                <w:sz w:val="22"/>
                <w:szCs w:val="22"/>
              </w:rPr>
              <w:t>Компонент АУ, БУ ПУР ЭБ</w:t>
            </w:r>
          </w:p>
        </w:tc>
        <w:tc>
          <w:tcPr>
            <w:tcW w:w="3968" w:type="pct"/>
          </w:tcPr>
          <w:p w14:paraId="5DBC0AB9" w14:textId="77777777" w:rsidR="00AD1F54" w:rsidRPr="00264D5D" w:rsidRDefault="00941227" w:rsidP="0054296D">
            <w:pPr>
              <w:spacing w:before="60" w:after="60"/>
              <w:rPr>
                <w:sz w:val="22"/>
                <w:szCs w:val="22"/>
              </w:rPr>
            </w:pPr>
            <w:r w:rsidRPr="00264D5D">
              <w:rPr>
                <w:sz w:val="22"/>
                <w:szCs w:val="22"/>
              </w:rPr>
              <w:t xml:space="preserve">Компонент ведения операций со средствами юридических лиц, не являющихся участниками бюджетного процесса модуля ведения операций по исполнению обязательств участников бюджетного процесса и операций со средствами юридических лиц, не являющихся участниками бюджетного процесса подсистемы управления расходами государственной интегрированной информационной системы управления общественными финансами </w:t>
            </w:r>
            <w:r w:rsidRPr="00264D5D">
              <w:rPr>
                <w:sz w:val="22"/>
                <w:szCs w:val="22"/>
              </w:rPr>
              <w:lastRenderedPageBreak/>
              <w:t>«Электронный бюджет»</w:t>
            </w:r>
          </w:p>
        </w:tc>
      </w:tr>
      <w:tr w:rsidR="00AD1F54" w:rsidRPr="00264D5D" w14:paraId="4247A4D6"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60A3DF08" w14:textId="77777777" w:rsidR="00AD1F54" w:rsidRPr="00264D5D" w:rsidRDefault="00941227" w:rsidP="0054296D">
            <w:pPr>
              <w:spacing w:before="60" w:after="60"/>
              <w:jc w:val="left"/>
              <w:rPr>
                <w:sz w:val="22"/>
                <w:szCs w:val="22"/>
              </w:rPr>
            </w:pPr>
            <w:r w:rsidRPr="00264D5D">
              <w:rPr>
                <w:sz w:val="22"/>
                <w:szCs w:val="22"/>
              </w:rPr>
              <w:lastRenderedPageBreak/>
              <w:t>Компонент КС ПУР ЭБ</w:t>
            </w:r>
          </w:p>
        </w:tc>
        <w:tc>
          <w:tcPr>
            <w:tcW w:w="3968" w:type="pct"/>
          </w:tcPr>
          <w:p w14:paraId="09B00F4D" w14:textId="77777777" w:rsidR="00AD1F54" w:rsidRPr="00264D5D" w:rsidRDefault="00941227" w:rsidP="0054296D">
            <w:pPr>
              <w:spacing w:before="60" w:after="60"/>
              <w:rPr>
                <w:sz w:val="22"/>
                <w:szCs w:val="22"/>
              </w:rPr>
            </w:pPr>
            <w:r w:rsidRPr="00264D5D">
              <w:rPr>
                <w:sz w:val="22"/>
                <w:szCs w:val="22"/>
              </w:rPr>
              <w:t>Компонент казначейского сопровождения модуля ведения операций по исполнению обязательств участников бюджетного процесса и операций со средствами юридических лиц, не являющихся участниками бюджетного процесса, подсистемы управления расходами государственной интегрированной информационной системы управления общественными</w:t>
            </w:r>
            <w:r w:rsidR="0054296D" w:rsidRPr="00264D5D">
              <w:rPr>
                <w:sz w:val="22"/>
                <w:szCs w:val="22"/>
              </w:rPr>
              <w:t xml:space="preserve"> финансами «Электронный бюджет»</w:t>
            </w:r>
          </w:p>
        </w:tc>
      </w:tr>
      <w:tr w:rsidR="00AD1F54" w:rsidRPr="00264D5D" w14:paraId="7701F66A"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518B717E" w14:textId="77777777" w:rsidR="00AD1F54" w:rsidRPr="00264D5D" w:rsidRDefault="00941227" w:rsidP="0054296D">
            <w:pPr>
              <w:spacing w:before="60" w:after="60"/>
              <w:jc w:val="left"/>
              <w:rPr>
                <w:sz w:val="22"/>
                <w:szCs w:val="22"/>
              </w:rPr>
            </w:pPr>
            <w:r w:rsidRPr="00264D5D">
              <w:rPr>
                <w:sz w:val="22"/>
                <w:szCs w:val="22"/>
              </w:rPr>
              <w:t>Контракт (ГК)</w:t>
            </w:r>
          </w:p>
        </w:tc>
        <w:tc>
          <w:tcPr>
            <w:tcW w:w="3968" w:type="pct"/>
          </w:tcPr>
          <w:p w14:paraId="6D8DE11D" w14:textId="77777777" w:rsidR="00AD1F54" w:rsidRPr="00264D5D" w:rsidRDefault="00941227" w:rsidP="0054296D">
            <w:pPr>
              <w:spacing w:before="60" w:after="60"/>
              <w:rPr>
                <w:sz w:val="22"/>
                <w:szCs w:val="22"/>
              </w:rPr>
            </w:pPr>
            <w:r w:rsidRPr="00264D5D">
              <w:rPr>
                <w:sz w:val="22"/>
                <w:szCs w:val="22"/>
              </w:rPr>
              <w:t>Государственный контракт, муниципальный контракт – договор, заключенный от имени Российской Федерации, субъекта Российской Федерации (государственный контракт), муниципального образования (муниципальный контракт) государственным или муниципальным заказчиком для обеспечения соответственно государст</w:t>
            </w:r>
            <w:r w:rsidR="0054296D" w:rsidRPr="00264D5D">
              <w:rPr>
                <w:sz w:val="22"/>
                <w:szCs w:val="22"/>
              </w:rPr>
              <w:t>венных нужд, муниципальных нужд</w:t>
            </w:r>
          </w:p>
        </w:tc>
      </w:tr>
      <w:tr w:rsidR="00AD1F54" w:rsidRPr="00264D5D" w14:paraId="1CA8A54D"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21573B78" w14:textId="77777777" w:rsidR="00AD1F54" w:rsidRPr="00264D5D" w:rsidRDefault="00941227" w:rsidP="0054296D">
            <w:pPr>
              <w:spacing w:before="60" w:after="60"/>
              <w:jc w:val="left"/>
              <w:rPr>
                <w:sz w:val="22"/>
                <w:szCs w:val="22"/>
              </w:rPr>
            </w:pPr>
            <w:r w:rsidRPr="00264D5D">
              <w:rPr>
                <w:sz w:val="22"/>
                <w:szCs w:val="22"/>
              </w:rPr>
              <w:t xml:space="preserve">КОО </w:t>
            </w:r>
          </w:p>
        </w:tc>
        <w:tc>
          <w:tcPr>
            <w:tcW w:w="3968" w:type="pct"/>
          </w:tcPr>
          <w:p w14:paraId="2A9120EB" w14:textId="77777777" w:rsidR="00AD1F54" w:rsidRPr="00264D5D" w:rsidRDefault="00941227" w:rsidP="0054296D">
            <w:pPr>
              <w:spacing w:before="60" w:after="60"/>
              <w:rPr>
                <w:sz w:val="22"/>
                <w:szCs w:val="22"/>
              </w:rPr>
            </w:pPr>
            <w:r w:rsidRPr="00264D5D">
              <w:rPr>
                <w:sz w:val="22"/>
                <w:szCs w:val="22"/>
              </w:rPr>
              <w:t>Казнач</w:t>
            </w:r>
            <w:r w:rsidR="0054296D" w:rsidRPr="00264D5D">
              <w:rPr>
                <w:sz w:val="22"/>
                <w:szCs w:val="22"/>
              </w:rPr>
              <w:t>ейское обеспечение обязательств</w:t>
            </w:r>
          </w:p>
        </w:tc>
      </w:tr>
      <w:tr w:rsidR="00AD1F54" w:rsidRPr="00264D5D" w14:paraId="3B07116A"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0CDA2ADB" w14:textId="77777777" w:rsidR="00AD1F54" w:rsidRPr="00264D5D" w:rsidRDefault="00941227" w:rsidP="0054296D">
            <w:pPr>
              <w:spacing w:before="60" w:after="60"/>
              <w:jc w:val="left"/>
              <w:rPr>
                <w:sz w:val="22"/>
                <w:szCs w:val="22"/>
              </w:rPr>
            </w:pPr>
            <w:r w:rsidRPr="00264D5D">
              <w:rPr>
                <w:sz w:val="22"/>
                <w:szCs w:val="22"/>
              </w:rPr>
              <w:t>КОФК</w:t>
            </w:r>
          </w:p>
        </w:tc>
        <w:tc>
          <w:tcPr>
            <w:tcW w:w="3968" w:type="pct"/>
          </w:tcPr>
          <w:p w14:paraId="28AAC9A9" w14:textId="77777777" w:rsidR="00AD1F54" w:rsidRPr="00264D5D" w:rsidRDefault="00941227" w:rsidP="0054296D">
            <w:pPr>
              <w:spacing w:before="60" w:after="60"/>
              <w:rPr>
                <w:sz w:val="22"/>
                <w:szCs w:val="22"/>
              </w:rPr>
            </w:pPr>
            <w:r w:rsidRPr="00264D5D">
              <w:rPr>
                <w:sz w:val="22"/>
                <w:szCs w:val="22"/>
              </w:rPr>
              <w:t>Классификатор органов Ф</w:t>
            </w:r>
            <w:r w:rsidR="0054296D" w:rsidRPr="00264D5D">
              <w:rPr>
                <w:sz w:val="22"/>
                <w:szCs w:val="22"/>
              </w:rPr>
              <w:t>едерального казначейства</w:t>
            </w:r>
          </w:p>
        </w:tc>
      </w:tr>
      <w:tr w:rsidR="00AD1F54" w:rsidRPr="00264D5D" w14:paraId="2F72DDF6"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1933F21E" w14:textId="77777777" w:rsidR="00AD1F54" w:rsidRPr="00264D5D" w:rsidRDefault="00941227" w:rsidP="0054296D">
            <w:pPr>
              <w:spacing w:before="60" w:after="60"/>
              <w:jc w:val="left"/>
              <w:rPr>
                <w:sz w:val="22"/>
                <w:szCs w:val="22"/>
              </w:rPr>
            </w:pPr>
            <w:r w:rsidRPr="00264D5D">
              <w:rPr>
                <w:sz w:val="22"/>
                <w:szCs w:val="22"/>
              </w:rPr>
              <w:t>КПП</w:t>
            </w:r>
          </w:p>
        </w:tc>
        <w:tc>
          <w:tcPr>
            <w:tcW w:w="3968" w:type="pct"/>
          </w:tcPr>
          <w:p w14:paraId="78DC1DDF" w14:textId="77777777" w:rsidR="00AD1F54" w:rsidRPr="00264D5D" w:rsidRDefault="00941227" w:rsidP="0054296D">
            <w:pPr>
              <w:spacing w:before="60" w:after="60"/>
              <w:rPr>
                <w:sz w:val="22"/>
                <w:szCs w:val="22"/>
              </w:rPr>
            </w:pPr>
            <w:r w:rsidRPr="00264D5D">
              <w:rPr>
                <w:sz w:val="22"/>
                <w:szCs w:val="22"/>
              </w:rPr>
              <w:t>Код причи</w:t>
            </w:r>
            <w:r w:rsidR="0054296D" w:rsidRPr="00264D5D">
              <w:rPr>
                <w:sz w:val="22"/>
                <w:szCs w:val="22"/>
              </w:rPr>
              <w:t>ны постановки на налоговый учет</w:t>
            </w:r>
          </w:p>
        </w:tc>
      </w:tr>
      <w:tr w:rsidR="00AD1F54" w:rsidRPr="00264D5D" w14:paraId="788FC03B"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64B9FA36" w14:textId="77777777" w:rsidR="00AD1F54" w:rsidRPr="00264D5D" w:rsidRDefault="00941227" w:rsidP="0054296D">
            <w:pPr>
              <w:spacing w:before="60" w:after="60"/>
              <w:jc w:val="left"/>
              <w:rPr>
                <w:sz w:val="22"/>
                <w:szCs w:val="22"/>
              </w:rPr>
            </w:pPr>
            <w:r w:rsidRPr="00264D5D">
              <w:rPr>
                <w:sz w:val="22"/>
                <w:szCs w:val="22"/>
              </w:rPr>
              <w:t>КФХ</w:t>
            </w:r>
          </w:p>
        </w:tc>
        <w:tc>
          <w:tcPr>
            <w:tcW w:w="3968" w:type="pct"/>
          </w:tcPr>
          <w:p w14:paraId="4DC0CD45" w14:textId="77777777" w:rsidR="00AD1F54" w:rsidRPr="00264D5D" w:rsidRDefault="00941227" w:rsidP="0054296D">
            <w:pPr>
              <w:spacing w:before="60" w:after="60"/>
              <w:rPr>
                <w:sz w:val="22"/>
                <w:szCs w:val="22"/>
              </w:rPr>
            </w:pPr>
            <w:r w:rsidRPr="00264D5D">
              <w:rPr>
                <w:sz w:val="22"/>
                <w:szCs w:val="22"/>
              </w:rPr>
              <w:t>Крес</w:t>
            </w:r>
            <w:r w:rsidR="0054296D" w:rsidRPr="00264D5D">
              <w:rPr>
                <w:sz w:val="22"/>
                <w:szCs w:val="22"/>
              </w:rPr>
              <w:t>тьянское (фермерское) хозяйство</w:t>
            </w:r>
          </w:p>
        </w:tc>
      </w:tr>
      <w:tr w:rsidR="00AD1F54" w:rsidRPr="00264D5D" w14:paraId="2EC6298F"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3DCE946A" w14:textId="77777777" w:rsidR="00AD1F54" w:rsidRPr="00264D5D" w:rsidRDefault="00941227" w:rsidP="0054296D">
            <w:pPr>
              <w:spacing w:before="60" w:after="60"/>
              <w:jc w:val="left"/>
              <w:rPr>
                <w:sz w:val="22"/>
                <w:szCs w:val="22"/>
              </w:rPr>
            </w:pPr>
            <w:r w:rsidRPr="00264D5D">
              <w:rPr>
                <w:sz w:val="22"/>
                <w:szCs w:val="22"/>
              </w:rPr>
              <w:t>л/с (ЛС)</w:t>
            </w:r>
          </w:p>
        </w:tc>
        <w:tc>
          <w:tcPr>
            <w:tcW w:w="3968" w:type="pct"/>
          </w:tcPr>
          <w:p w14:paraId="39207F73" w14:textId="77777777" w:rsidR="00AD1F54" w:rsidRPr="00264D5D" w:rsidRDefault="00941227" w:rsidP="0054296D">
            <w:pPr>
              <w:spacing w:before="60" w:after="60"/>
              <w:rPr>
                <w:sz w:val="22"/>
                <w:szCs w:val="22"/>
              </w:rPr>
            </w:pPr>
            <w:r w:rsidRPr="00264D5D">
              <w:rPr>
                <w:sz w:val="22"/>
                <w:szCs w:val="22"/>
              </w:rPr>
              <w:t>Лицевой счет</w:t>
            </w:r>
            <w:r w:rsidRPr="00264D5D">
              <w:rPr>
                <w:spacing w:val="-2"/>
                <w:sz w:val="22"/>
                <w:szCs w:val="22"/>
              </w:rPr>
              <w:t>, открытый территориальным органом Федерального казначейства</w:t>
            </w:r>
          </w:p>
        </w:tc>
      </w:tr>
      <w:tr w:rsidR="00AD1F54" w:rsidRPr="00264D5D" w14:paraId="1796CDEF"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03351112" w14:textId="77777777" w:rsidR="00AD1F54" w:rsidRPr="00264D5D" w:rsidRDefault="00941227" w:rsidP="0054296D">
            <w:pPr>
              <w:spacing w:before="60" w:after="60"/>
              <w:jc w:val="left"/>
              <w:rPr>
                <w:sz w:val="22"/>
                <w:szCs w:val="22"/>
              </w:rPr>
            </w:pPr>
            <w:r w:rsidRPr="00264D5D">
              <w:rPr>
                <w:sz w:val="22"/>
                <w:szCs w:val="22"/>
              </w:rPr>
              <w:t>ЛБО</w:t>
            </w:r>
          </w:p>
        </w:tc>
        <w:tc>
          <w:tcPr>
            <w:tcW w:w="3968" w:type="pct"/>
          </w:tcPr>
          <w:p w14:paraId="25DC82E8" w14:textId="77777777" w:rsidR="00AD1F54" w:rsidRPr="00264D5D" w:rsidRDefault="00941227" w:rsidP="0054296D">
            <w:pPr>
              <w:spacing w:before="60" w:after="60"/>
              <w:rPr>
                <w:sz w:val="22"/>
                <w:szCs w:val="22"/>
              </w:rPr>
            </w:pPr>
            <w:r w:rsidRPr="00264D5D">
              <w:rPr>
                <w:sz w:val="22"/>
                <w:szCs w:val="22"/>
              </w:rPr>
              <w:t>Лимит бюджетных обязательств – объем прав в денежном выражении на принятие казенным учреждением бюджетных обязательств и (или) их исполнение в текущем финансовом году (текущем фина</w:t>
            </w:r>
            <w:r w:rsidR="0054296D" w:rsidRPr="00264D5D">
              <w:rPr>
                <w:sz w:val="22"/>
                <w:szCs w:val="22"/>
              </w:rPr>
              <w:t>нсовом году и плановом периоде)</w:t>
            </w:r>
          </w:p>
        </w:tc>
      </w:tr>
      <w:tr w:rsidR="00AD1F54" w:rsidRPr="00264D5D" w14:paraId="386B0D10"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0F671787" w14:textId="77777777" w:rsidR="00AD1F54" w:rsidRPr="00264D5D" w:rsidRDefault="00941227" w:rsidP="0054296D">
            <w:pPr>
              <w:spacing w:before="60" w:after="60"/>
              <w:jc w:val="left"/>
              <w:rPr>
                <w:sz w:val="22"/>
                <w:szCs w:val="22"/>
              </w:rPr>
            </w:pPr>
            <w:r w:rsidRPr="00264D5D">
              <w:rPr>
                <w:sz w:val="22"/>
                <w:szCs w:val="22"/>
              </w:rPr>
              <w:t>Минфин России (МФ РФ)</w:t>
            </w:r>
          </w:p>
        </w:tc>
        <w:tc>
          <w:tcPr>
            <w:tcW w:w="3968" w:type="pct"/>
          </w:tcPr>
          <w:p w14:paraId="00FE5762" w14:textId="77777777" w:rsidR="00AD1F54" w:rsidRPr="00264D5D" w:rsidRDefault="00941227" w:rsidP="0054296D">
            <w:pPr>
              <w:spacing w:before="60" w:after="60"/>
              <w:rPr>
                <w:sz w:val="22"/>
                <w:szCs w:val="22"/>
              </w:rPr>
            </w:pPr>
            <w:r w:rsidRPr="00264D5D">
              <w:rPr>
                <w:sz w:val="22"/>
                <w:szCs w:val="22"/>
              </w:rPr>
              <w:t>Министерств</w:t>
            </w:r>
            <w:r w:rsidR="0054296D" w:rsidRPr="00264D5D">
              <w:rPr>
                <w:sz w:val="22"/>
                <w:szCs w:val="22"/>
              </w:rPr>
              <w:t>о финансов Российской Федерации</w:t>
            </w:r>
          </w:p>
        </w:tc>
      </w:tr>
      <w:tr w:rsidR="00AD1F54" w:rsidRPr="00264D5D" w14:paraId="769646E7"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7DE0FD12" w14:textId="77777777" w:rsidR="00AD1F54" w:rsidRPr="00264D5D" w:rsidRDefault="00941227" w:rsidP="0054296D">
            <w:pPr>
              <w:spacing w:before="60" w:after="60"/>
              <w:jc w:val="left"/>
              <w:rPr>
                <w:sz w:val="22"/>
                <w:szCs w:val="22"/>
              </w:rPr>
            </w:pPr>
            <w:r w:rsidRPr="00264D5D">
              <w:rPr>
                <w:sz w:val="22"/>
                <w:szCs w:val="22"/>
              </w:rPr>
              <w:t>Минюст</w:t>
            </w:r>
          </w:p>
        </w:tc>
        <w:tc>
          <w:tcPr>
            <w:tcW w:w="3968" w:type="pct"/>
          </w:tcPr>
          <w:p w14:paraId="3B59942D" w14:textId="77777777" w:rsidR="00AD1F54" w:rsidRPr="00264D5D" w:rsidRDefault="00941227" w:rsidP="0054296D">
            <w:pPr>
              <w:spacing w:before="60" w:after="60"/>
              <w:rPr>
                <w:sz w:val="22"/>
                <w:szCs w:val="22"/>
              </w:rPr>
            </w:pPr>
            <w:r w:rsidRPr="00264D5D">
              <w:rPr>
                <w:sz w:val="22"/>
                <w:szCs w:val="22"/>
              </w:rPr>
              <w:t>Министерство юстиции</w:t>
            </w:r>
          </w:p>
        </w:tc>
      </w:tr>
      <w:tr w:rsidR="008D15F3" w:rsidRPr="00264D5D" w14:paraId="7ECF3EFF"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05733CCB" w14:textId="7E4A0694" w:rsidR="008D15F3" w:rsidRPr="00264D5D" w:rsidRDefault="008D15F3" w:rsidP="008D15F3">
            <w:pPr>
              <w:spacing w:before="60" w:after="60"/>
              <w:jc w:val="left"/>
              <w:rPr>
                <w:sz w:val="22"/>
                <w:szCs w:val="22"/>
              </w:rPr>
            </w:pPr>
            <w:r w:rsidRPr="008E41DE">
              <w:rPr>
                <w:szCs w:val="22"/>
                <w:highlight w:val="green"/>
              </w:rPr>
              <w:t>МИФНС</w:t>
            </w:r>
          </w:p>
        </w:tc>
        <w:tc>
          <w:tcPr>
            <w:tcW w:w="3968" w:type="pct"/>
          </w:tcPr>
          <w:p w14:paraId="30EFE920" w14:textId="78EB4DCE" w:rsidR="008D15F3" w:rsidRPr="00264D5D" w:rsidRDefault="008D15F3" w:rsidP="008D15F3">
            <w:pPr>
              <w:spacing w:before="60" w:after="60"/>
              <w:rPr>
                <w:sz w:val="22"/>
                <w:szCs w:val="22"/>
              </w:rPr>
            </w:pPr>
            <w:r w:rsidRPr="008E41DE">
              <w:rPr>
                <w:rFonts w:ascii="-apple-system" w:hAnsi="-apple-system"/>
                <w:color w:val="212121"/>
                <w:sz w:val="21"/>
                <w:szCs w:val="21"/>
                <w:highlight w:val="green"/>
                <w:shd w:val="clear" w:color="auto" w:fill="FFFFFF"/>
              </w:rPr>
              <w:t>Межрегиональная инспекция Федеральной налоговой службы по управлению долгом</w:t>
            </w:r>
          </w:p>
        </w:tc>
      </w:tr>
      <w:tr w:rsidR="008D15F3" w:rsidRPr="00264D5D" w14:paraId="320F4EC5"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7E2B13D6" w14:textId="77777777" w:rsidR="008D15F3" w:rsidRPr="00264D5D" w:rsidRDefault="008D15F3" w:rsidP="008D15F3">
            <w:pPr>
              <w:spacing w:before="60" w:after="60"/>
              <w:jc w:val="left"/>
              <w:rPr>
                <w:sz w:val="22"/>
                <w:szCs w:val="22"/>
              </w:rPr>
            </w:pPr>
            <w:r w:rsidRPr="00264D5D">
              <w:rPr>
                <w:sz w:val="22"/>
                <w:szCs w:val="22"/>
              </w:rPr>
              <w:t>МО</w:t>
            </w:r>
          </w:p>
        </w:tc>
        <w:tc>
          <w:tcPr>
            <w:tcW w:w="3968" w:type="pct"/>
          </w:tcPr>
          <w:p w14:paraId="55A4E5C3" w14:textId="77777777" w:rsidR="008D15F3" w:rsidRPr="00264D5D" w:rsidRDefault="008D15F3" w:rsidP="008D15F3">
            <w:pPr>
              <w:spacing w:before="60" w:after="60"/>
              <w:rPr>
                <w:sz w:val="22"/>
                <w:szCs w:val="22"/>
              </w:rPr>
            </w:pPr>
            <w:r w:rsidRPr="00264D5D">
              <w:rPr>
                <w:sz w:val="22"/>
                <w:szCs w:val="22"/>
              </w:rPr>
              <w:t>Муниципальное образование</w:t>
            </w:r>
          </w:p>
        </w:tc>
      </w:tr>
      <w:tr w:rsidR="008D15F3" w:rsidRPr="00264D5D" w14:paraId="15E1DC03"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104DA8BF" w14:textId="77777777" w:rsidR="008D15F3" w:rsidRPr="00552837" w:rsidRDefault="008D15F3" w:rsidP="008D15F3">
            <w:pPr>
              <w:spacing w:before="60" w:after="60"/>
              <w:jc w:val="left"/>
              <w:rPr>
                <w:sz w:val="22"/>
                <w:szCs w:val="22"/>
              </w:rPr>
            </w:pPr>
            <w:r w:rsidRPr="00552837">
              <w:rPr>
                <w:sz w:val="22"/>
                <w:szCs w:val="22"/>
              </w:rPr>
              <w:t>Модуль ЕБП ПУР ЭБ (ЕБП)</w:t>
            </w:r>
          </w:p>
        </w:tc>
        <w:tc>
          <w:tcPr>
            <w:tcW w:w="3968" w:type="pct"/>
          </w:tcPr>
          <w:p w14:paraId="0E4F5E50" w14:textId="77777777" w:rsidR="008D15F3" w:rsidRPr="00552837" w:rsidRDefault="008D15F3" w:rsidP="008D15F3">
            <w:pPr>
              <w:spacing w:before="60" w:after="60"/>
              <w:rPr>
                <w:sz w:val="22"/>
                <w:szCs w:val="22"/>
              </w:rPr>
            </w:pPr>
            <w:r w:rsidRPr="00552837">
              <w:rPr>
                <w:sz w:val="22"/>
                <w:szCs w:val="22"/>
              </w:rPr>
              <w:t>Модуль бюджетного процесса в части казначейского обслуживания, а также исполнения бюджетов субъектов Российской Федерации (местных бюджетов), государственных внебюджетных фондов подсистемы управления расходами государственной интегрированной информационной системы управления общественными финансами «Электронный бюджет»</w:t>
            </w:r>
          </w:p>
        </w:tc>
      </w:tr>
      <w:tr w:rsidR="008D15F3" w:rsidRPr="00264D5D" w14:paraId="6FB31B18"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14C2145E" w14:textId="77777777" w:rsidR="008D15F3" w:rsidRPr="00552837" w:rsidRDefault="008D15F3" w:rsidP="008D15F3">
            <w:pPr>
              <w:spacing w:before="60" w:after="60"/>
              <w:jc w:val="left"/>
              <w:rPr>
                <w:sz w:val="22"/>
                <w:szCs w:val="22"/>
              </w:rPr>
            </w:pPr>
            <w:r w:rsidRPr="00552837">
              <w:rPr>
                <w:sz w:val="22"/>
                <w:szCs w:val="22"/>
                <w:highlight w:val="green"/>
              </w:rPr>
              <w:t>Модуль УО СГ ПУиО ЭБ (МУО СГ)</w:t>
            </w:r>
          </w:p>
        </w:tc>
        <w:tc>
          <w:tcPr>
            <w:tcW w:w="3968" w:type="pct"/>
          </w:tcPr>
          <w:p w14:paraId="7494133E" w14:textId="77777777" w:rsidR="008D15F3" w:rsidRPr="00552837" w:rsidRDefault="008D15F3" w:rsidP="008D15F3">
            <w:pPr>
              <w:spacing w:before="60" w:after="60"/>
              <w:rPr>
                <w:sz w:val="22"/>
                <w:szCs w:val="22"/>
              </w:rPr>
            </w:pPr>
            <w:r w:rsidRPr="00552837">
              <w:rPr>
                <w:sz w:val="22"/>
                <w:szCs w:val="22"/>
                <w:highlight w:val="green"/>
              </w:rPr>
              <w:t>Модуль учета операций по исполнению бюджета Союзного государства подсистемы учета и отчетности государственной интегрированной информационной системы управления общественными финансами «Электронный бюджет»</w:t>
            </w:r>
          </w:p>
        </w:tc>
      </w:tr>
      <w:tr w:rsidR="008D15F3" w:rsidRPr="00264D5D" w14:paraId="421730C2"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45236560" w14:textId="77777777" w:rsidR="008D15F3" w:rsidRPr="00264D5D" w:rsidRDefault="008D15F3" w:rsidP="008D15F3">
            <w:pPr>
              <w:spacing w:before="60" w:after="60"/>
              <w:jc w:val="left"/>
              <w:rPr>
                <w:sz w:val="22"/>
                <w:szCs w:val="22"/>
              </w:rPr>
            </w:pPr>
            <w:r w:rsidRPr="00264D5D">
              <w:rPr>
                <w:sz w:val="22"/>
                <w:szCs w:val="22"/>
              </w:rPr>
              <w:t>МУ</w:t>
            </w:r>
          </w:p>
        </w:tc>
        <w:tc>
          <w:tcPr>
            <w:tcW w:w="3968" w:type="pct"/>
          </w:tcPr>
          <w:p w14:paraId="79F4DEE0" w14:textId="77777777" w:rsidR="008D15F3" w:rsidRPr="00264D5D" w:rsidRDefault="008D15F3" w:rsidP="008D15F3">
            <w:pPr>
              <w:spacing w:before="60" w:after="60"/>
              <w:rPr>
                <w:sz w:val="22"/>
                <w:szCs w:val="22"/>
              </w:rPr>
            </w:pPr>
            <w:r w:rsidRPr="00264D5D">
              <w:rPr>
                <w:sz w:val="22"/>
                <w:szCs w:val="22"/>
              </w:rPr>
              <w:t>Межрегиональное управление</w:t>
            </w:r>
          </w:p>
        </w:tc>
      </w:tr>
      <w:tr w:rsidR="008D15F3" w:rsidRPr="00264D5D" w14:paraId="56E86F0A"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0EB66636" w14:textId="77777777" w:rsidR="008D15F3" w:rsidRPr="00264D5D" w:rsidRDefault="008D15F3" w:rsidP="008D15F3">
            <w:pPr>
              <w:spacing w:before="60" w:after="60"/>
              <w:jc w:val="left"/>
              <w:rPr>
                <w:sz w:val="22"/>
                <w:szCs w:val="22"/>
              </w:rPr>
            </w:pPr>
            <w:r w:rsidRPr="00264D5D">
              <w:rPr>
                <w:sz w:val="22"/>
                <w:szCs w:val="22"/>
              </w:rPr>
              <w:t>МУП</w:t>
            </w:r>
          </w:p>
        </w:tc>
        <w:tc>
          <w:tcPr>
            <w:tcW w:w="3968" w:type="pct"/>
          </w:tcPr>
          <w:p w14:paraId="067BD008" w14:textId="77777777" w:rsidR="008D15F3" w:rsidRPr="00264D5D" w:rsidRDefault="008D15F3" w:rsidP="008D15F3">
            <w:pPr>
              <w:spacing w:before="60" w:after="60"/>
              <w:rPr>
                <w:sz w:val="22"/>
                <w:szCs w:val="22"/>
              </w:rPr>
            </w:pPr>
            <w:r w:rsidRPr="00264D5D">
              <w:rPr>
                <w:sz w:val="22"/>
                <w:szCs w:val="22"/>
              </w:rPr>
              <w:t>Муниципальное унитарное предприятие</w:t>
            </w:r>
          </w:p>
        </w:tc>
      </w:tr>
      <w:tr w:rsidR="008D15F3" w:rsidRPr="00264D5D" w14:paraId="0CC367A6"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2DF8ABF3" w14:textId="77777777" w:rsidR="008D15F3" w:rsidRPr="00264D5D" w:rsidRDefault="008D15F3" w:rsidP="008D15F3">
            <w:pPr>
              <w:spacing w:before="60" w:after="60"/>
              <w:jc w:val="left"/>
              <w:rPr>
                <w:sz w:val="22"/>
                <w:szCs w:val="22"/>
              </w:rPr>
            </w:pPr>
            <w:r w:rsidRPr="00264D5D">
              <w:rPr>
                <w:sz w:val="22"/>
                <w:szCs w:val="22"/>
              </w:rPr>
              <w:t>НДС</w:t>
            </w:r>
          </w:p>
        </w:tc>
        <w:tc>
          <w:tcPr>
            <w:tcW w:w="3968" w:type="pct"/>
          </w:tcPr>
          <w:p w14:paraId="37E95089" w14:textId="77777777" w:rsidR="008D15F3" w:rsidRPr="00264D5D" w:rsidRDefault="008D15F3" w:rsidP="008D15F3">
            <w:pPr>
              <w:spacing w:before="60" w:after="60"/>
              <w:rPr>
                <w:sz w:val="22"/>
                <w:szCs w:val="22"/>
              </w:rPr>
            </w:pPr>
            <w:r w:rsidRPr="00264D5D">
              <w:rPr>
                <w:sz w:val="22"/>
                <w:szCs w:val="22"/>
              </w:rPr>
              <w:t>Налог на добавленную стоимость</w:t>
            </w:r>
          </w:p>
        </w:tc>
      </w:tr>
      <w:tr w:rsidR="008D15F3" w:rsidRPr="00264D5D" w14:paraId="03AEA8AF"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3F6BF08B" w14:textId="77777777" w:rsidR="008D15F3" w:rsidRPr="00264D5D" w:rsidRDefault="008D15F3" w:rsidP="008D15F3">
            <w:pPr>
              <w:spacing w:before="60" w:after="60"/>
              <w:jc w:val="left"/>
              <w:rPr>
                <w:sz w:val="22"/>
                <w:szCs w:val="22"/>
              </w:rPr>
            </w:pPr>
            <w:r w:rsidRPr="00264D5D">
              <w:rPr>
                <w:sz w:val="22"/>
                <w:szCs w:val="22"/>
              </w:rPr>
              <w:t>НИР</w:t>
            </w:r>
          </w:p>
        </w:tc>
        <w:tc>
          <w:tcPr>
            <w:tcW w:w="3968" w:type="pct"/>
          </w:tcPr>
          <w:p w14:paraId="2AF7E8E7" w14:textId="77777777" w:rsidR="008D15F3" w:rsidRPr="00264D5D" w:rsidRDefault="008D15F3" w:rsidP="008D15F3">
            <w:pPr>
              <w:spacing w:before="60" w:after="60"/>
              <w:rPr>
                <w:sz w:val="22"/>
                <w:szCs w:val="22"/>
              </w:rPr>
            </w:pPr>
            <w:r w:rsidRPr="00264D5D">
              <w:rPr>
                <w:sz w:val="22"/>
                <w:szCs w:val="22"/>
              </w:rPr>
              <w:t>Научно-исследовательские работы</w:t>
            </w:r>
          </w:p>
        </w:tc>
      </w:tr>
      <w:tr w:rsidR="008D15F3" w:rsidRPr="00264D5D" w14:paraId="1B7C0BF1"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5E89EEFB" w14:textId="77777777" w:rsidR="008D15F3" w:rsidRPr="00264D5D" w:rsidRDefault="008D15F3" w:rsidP="008D15F3">
            <w:pPr>
              <w:spacing w:before="60" w:after="60"/>
              <w:jc w:val="left"/>
              <w:rPr>
                <w:sz w:val="22"/>
                <w:szCs w:val="22"/>
              </w:rPr>
            </w:pPr>
            <w:r w:rsidRPr="00264D5D">
              <w:rPr>
                <w:sz w:val="22"/>
                <w:szCs w:val="22"/>
              </w:rPr>
              <w:lastRenderedPageBreak/>
              <w:t>НПА</w:t>
            </w:r>
          </w:p>
        </w:tc>
        <w:tc>
          <w:tcPr>
            <w:tcW w:w="3968" w:type="pct"/>
          </w:tcPr>
          <w:p w14:paraId="6CA1EFDE" w14:textId="77777777" w:rsidR="008D15F3" w:rsidRPr="00264D5D" w:rsidRDefault="008D15F3" w:rsidP="008D15F3">
            <w:pPr>
              <w:spacing w:before="60" w:after="60"/>
              <w:rPr>
                <w:sz w:val="22"/>
                <w:szCs w:val="22"/>
              </w:rPr>
            </w:pPr>
            <w:r w:rsidRPr="00264D5D">
              <w:rPr>
                <w:sz w:val="22"/>
                <w:szCs w:val="22"/>
              </w:rPr>
              <w:t>Нормативный правовой акт</w:t>
            </w:r>
          </w:p>
        </w:tc>
      </w:tr>
      <w:tr w:rsidR="008D15F3" w:rsidRPr="00264D5D" w14:paraId="2684329F"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00E2CC6F" w14:textId="77777777" w:rsidR="008D15F3" w:rsidRPr="00264D5D" w:rsidRDefault="008D15F3" w:rsidP="008D15F3">
            <w:pPr>
              <w:spacing w:before="60" w:after="60"/>
              <w:jc w:val="left"/>
              <w:rPr>
                <w:sz w:val="22"/>
                <w:szCs w:val="22"/>
              </w:rPr>
            </w:pPr>
            <w:r w:rsidRPr="00264D5D">
              <w:rPr>
                <w:sz w:val="22"/>
                <w:szCs w:val="22"/>
              </w:rPr>
              <w:t>НСИ</w:t>
            </w:r>
          </w:p>
        </w:tc>
        <w:tc>
          <w:tcPr>
            <w:tcW w:w="3968" w:type="pct"/>
          </w:tcPr>
          <w:p w14:paraId="17C9746D" w14:textId="77777777" w:rsidR="008D15F3" w:rsidRPr="00264D5D" w:rsidRDefault="008D15F3" w:rsidP="008D15F3">
            <w:pPr>
              <w:spacing w:before="60" w:after="60"/>
              <w:rPr>
                <w:sz w:val="22"/>
                <w:szCs w:val="22"/>
              </w:rPr>
            </w:pPr>
            <w:r w:rsidRPr="00264D5D">
              <w:rPr>
                <w:sz w:val="22"/>
                <w:szCs w:val="22"/>
              </w:rPr>
              <w:t>Нормативно-справочная информация</w:t>
            </w:r>
          </w:p>
        </w:tc>
      </w:tr>
      <w:tr w:rsidR="008D15F3" w:rsidRPr="00264D5D" w14:paraId="77E9A23A"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3896C582" w14:textId="77777777" w:rsidR="008D15F3" w:rsidRPr="00264D5D" w:rsidRDefault="008D15F3" w:rsidP="008D15F3">
            <w:pPr>
              <w:spacing w:before="60" w:after="60"/>
              <w:jc w:val="left"/>
              <w:rPr>
                <w:sz w:val="22"/>
                <w:szCs w:val="22"/>
              </w:rPr>
            </w:pPr>
            <w:r w:rsidRPr="00264D5D">
              <w:rPr>
                <w:sz w:val="22"/>
                <w:szCs w:val="22"/>
              </w:rPr>
              <w:t>НУБП</w:t>
            </w:r>
          </w:p>
        </w:tc>
        <w:tc>
          <w:tcPr>
            <w:tcW w:w="3968" w:type="pct"/>
          </w:tcPr>
          <w:p w14:paraId="0B23CFDA" w14:textId="77777777" w:rsidR="008D15F3" w:rsidRPr="00264D5D" w:rsidRDefault="008D15F3" w:rsidP="008D15F3">
            <w:pPr>
              <w:spacing w:before="60" w:after="60"/>
              <w:rPr>
                <w:color w:val="000000"/>
                <w:sz w:val="22"/>
                <w:szCs w:val="22"/>
              </w:rPr>
            </w:pPr>
            <w:r w:rsidRPr="00264D5D">
              <w:rPr>
                <w:sz w:val="22"/>
                <w:szCs w:val="22"/>
              </w:rPr>
              <w:t>Юридическое лицо или его обособленное подразделение, не являющееся в соответствии с Бюджетным кодексом Российской Федерации участником бюджетного процесса</w:t>
            </w:r>
          </w:p>
        </w:tc>
      </w:tr>
      <w:tr w:rsidR="008D15F3" w:rsidRPr="00264D5D" w14:paraId="213390A5"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59018893" w14:textId="77777777" w:rsidR="008D15F3" w:rsidRPr="00264D5D" w:rsidRDefault="008D15F3" w:rsidP="008D15F3">
            <w:pPr>
              <w:spacing w:before="60" w:after="60"/>
              <w:jc w:val="left"/>
              <w:rPr>
                <w:sz w:val="22"/>
                <w:szCs w:val="22"/>
              </w:rPr>
            </w:pPr>
            <w:r w:rsidRPr="00264D5D">
              <w:rPr>
                <w:sz w:val="22"/>
                <w:szCs w:val="22"/>
              </w:rPr>
              <w:t>ОГВ</w:t>
            </w:r>
          </w:p>
        </w:tc>
        <w:tc>
          <w:tcPr>
            <w:tcW w:w="3968" w:type="pct"/>
          </w:tcPr>
          <w:p w14:paraId="2AE152D5" w14:textId="77777777" w:rsidR="008D15F3" w:rsidRPr="00264D5D" w:rsidRDefault="008D15F3" w:rsidP="008D15F3">
            <w:pPr>
              <w:spacing w:before="60" w:after="60"/>
              <w:rPr>
                <w:sz w:val="22"/>
                <w:szCs w:val="22"/>
              </w:rPr>
            </w:pPr>
            <w:r w:rsidRPr="00264D5D">
              <w:rPr>
                <w:sz w:val="22"/>
                <w:szCs w:val="22"/>
              </w:rPr>
              <w:t>Орган государственной власти</w:t>
            </w:r>
          </w:p>
        </w:tc>
      </w:tr>
      <w:tr w:rsidR="008D15F3" w:rsidRPr="00264D5D" w14:paraId="2DE4BB8C"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5240C68F" w14:textId="77777777" w:rsidR="008D15F3" w:rsidRPr="00264D5D" w:rsidRDefault="008D15F3" w:rsidP="008D15F3">
            <w:pPr>
              <w:spacing w:before="60" w:after="60"/>
              <w:jc w:val="left"/>
              <w:rPr>
                <w:sz w:val="22"/>
                <w:szCs w:val="22"/>
              </w:rPr>
            </w:pPr>
            <w:r w:rsidRPr="00264D5D">
              <w:rPr>
                <w:sz w:val="22"/>
                <w:szCs w:val="22"/>
              </w:rPr>
              <w:t>ОГРН</w:t>
            </w:r>
          </w:p>
        </w:tc>
        <w:tc>
          <w:tcPr>
            <w:tcW w:w="3968" w:type="pct"/>
          </w:tcPr>
          <w:p w14:paraId="1A0E33C5" w14:textId="77777777" w:rsidR="008D15F3" w:rsidRPr="00264D5D" w:rsidRDefault="008D15F3" w:rsidP="008D15F3">
            <w:pPr>
              <w:spacing w:before="60" w:after="60"/>
              <w:rPr>
                <w:sz w:val="22"/>
                <w:szCs w:val="22"/>
              </w:rPr>
            </w:pPr>
            <w:r w:rsidRPr="00264D5D">
              <w:rPr>
                <w:sz w:val="22"/>
                <w:szCs w:val="22"/>
              </w:rPr>
              <w:t>Основной государственный регистрационный номер – государственный регистрационный номер записи, вносимой в Единый государственный реестр юридических лиц</w:t>
            </w:r>
          </w:p>
        </w:tc>
      </w:tr>
      <w:tr w:rsidR="008D15F3" w:rsidRPr="00264D5D" w14:paraId="78DBC7A5"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3AFBBF6E" w14:textId="77777777" w:rsidR="008D15F3" w:rsidRPr="00264D5D" w:rsidRDefault="008D15F3" w:rsidP="008D15F3">
            <w:pPr>
              <w:spacing w:before="60" w:after="60"/>
              <w:jc w:val="left"/>
              <w:rPr>
                <w:sz w:val="22"/>
                <w:szCs w:val="22"/>
              </w:rPr>
            </w:pPr>
            <w:r w:rsidRPr="00264D5D">
              <w:rPr>
                <w:sz w:val="22"/>
                <w:szCs w:val="22"/>
              </w:rPr>
              <w:t>ОК</w:t>
            </w:r>
          </w:p>
        </w:tc>
        <w:tc>
          <w:tcPr>
            <w:tcW w:w="3968" w:type="pct"/>
          </w:tcPr>
          <w:p w14:paraId="66EBA312" w14:textId="77777777" w:rsidR="008D15F3" w:rsidRPr="00264D5D" w:rsidRDefault="008D15F3" w:rsidP="008D15F3">
            <w:pPr>
              <w:spacing w:before="60" w:after="60"/>
              <w:rPr>
                <w:sz w:val="22"/>
                <w:szCs w:val="22"/>
              </w:rPr>
            </w:pPr>
            <w:r w:rsidRPr="00264D5D">
              <w:rPr>
                <w:sz w:val="22"/>
                <w:szCs w:val="22"/>
              </w:rPr>
              <w:t>Открытый контур</w:t>
            </w:r>
          </w:p>
        </w:tc>
      </w:tr>
      <w:tr w:rsidR="008D15F3" w:rsidRPr="00264D5D" w14:paraId="340F8FED"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22870A8A" w14:textId="77777777" w:rsidR="008D15F3" w:rsidRPr="00264D5D" w:rsidRDefault="008D15F3" w:rsidP="008D15F3">
            <w:pPr>
              <w:spacing w:before="60" w:after="60"/>
              <w:jc w:val="left"/>
              <w:rPr>
                <w:sz w:val="22"/>
                <w:szCs w:val="22"/>
              </w:rPr>
            </w:pPr>
            <w:r w:rsidRPr="00264D5D">
              <w:rPr>
                <w:sz w:val="22"/>
                <w:szCs w:val="22"/>
              </w:rPr>
              <w:t>ОКВ</w:t>
            </w:r>
          </w:p>
        </w:tc>
        <w:tc>
          <w:tcPr>
            <w:tcW w:w="3968" w:type="pct"/>
          </w:tcPr>
          <w:p w14:paraId="31AC24E1" w14:textId="77777777" w:rsidR="008D15F3" w:rsidRPr="00264D5D" w:rsidRDefault="008D15F3" w:rsidP="008D15F3">
            <w:pPr>
              <w:spacing w:before="60" w:after="60"/>
              <w:rPr>
                <w:sz w:val="22"/>
                <w:szCs w:val="22"/>
              </w:rPr>
            </w:pPr>
            <w:r w:rsidRPr="00264D5D">
              <w:rPr>
                <w:sz w:val="22"/>
                <w:szCs w:val="22"/>
              </w:rPr>
              <w:t>Общероссийский классификатор валют</w:t>
            </w:r>
          </w:p>
        </w:tc>
      </w:tr>
      <w:tr w:rsidR="008D15F3" w:rsidRPr="00264D5D" w14:paraId="43AC8CE4"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541135D0" w14:textId="77777777" w:rsidR="008D15F3" w:rsidRPr="00264D5D" w:rsidRDefault="008D15F3" w:rsidP="008D15F3">
            <w:pPr>
              <w:spacing w:before="60" w:after="60"/>
              <w:jc w:val="left"/>
              <w:rPr>
                <w:sz w:val="22"/>
                <w:szCs w:val="22"/>
              </w:rPr>
            </w:pPr>
            <w:r w:rsidRPr="00264D5D">
              <w:rPr>
                <w:sz w:val="22"/>
                <w:szCs w:val="22"/>
              </w:rPr>
              <w:t>ОКВЭД</w:t>
            </w:r>
          </w:p>
        </w:tc>
        <w:tc>
          <w:tcPr>
            <w:tcW w:w="3968" w:type="pct"/>
          </w:tcPr>
          <w:p w14:paraId="334A47AD" w14:textId="77777777" w:rsidR="008D15F3" w:rsidRPr="00264D5D" w:rsidRDefault="008D15F3" w:rsidP="008D15F3">
            <w:pPr>
              <w:spacing w:before="60" w:after="60"/>
              <w:rPr>
                <w:sz w:val="22"/>
                <w:szCs w:val="22"/>
              </w:rPr>
            </w:pPr>
            <w:r w:rsidRPr="00264D5D">
              <w:rPr>
                <w:sz w:val="22"/>
                <w:szCs w:val="22"/>
              </w:rPr>
              <w:t>Общероссийский классификатор видов экономической деятельности</w:t>
            </w:r>
          </w:p>
        </w:tc>
      </w:tr>
      <w:tr w:rsidR="008D15F3" w:rsidRPr="00264D5D" w14:paraId="7B59870F"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4DA5E6E3" w14:textId="77777777" w:rsidR="008D15F3" w:rsidRPr="00264D5D" w:rsidRDefault="008D15F3" w:rsidP="008D15F3">
            <w:pPr>
              <w:spacing w:before="60" w:after="60"/>
              <w:jc w:val="left"/>
              <w:rPr>
                <w:sz w:val="22"/>
                <w:szCs w:val="22"/>
              </w:rPr>
            </w:pPr>
            <w:r w:rsidRPr="00264D5D">
              <w:rPr>
                <w:sz w:val="22"/>
                <w:szCs w:val="22"/>
              </w:rPr>
              <w:t>ОКЕИ</w:t>
            </w:r>
          </w:p>
        </w:tc>
        <w:tc>
          <w:tcPr>
            <w:tcW w:w="3968" w:type="pct"/>
          </w:tcPr>
          <w:p w14:paraId="7097670E" w14:textId="77777777" w:rsidR="008D15F3" w:rsidRPr="00264D5D" w:rsidRDefault="008D15F3" w:rsidP="008D15F3">
            <w:pPr>
              <w:spacing w:before="60" w:after="60"/>
              <w:rPr>
                <w:sz w:val="22"/>
                <w:szCs w:val="22"/>
              </w:rPr>
            </w:pPr>
            <w:r w:rsidRPr="00264D5D">
              <w:rPr>
                <w:sz w:val="22"/>
                <w:szCs w:val="22"/>
              </w:rPr>
              <w:t>Общероссийский классификатор единиц измерения</w:t>
            </w:r>
          </w:p>
        </w:tc>
      </w:tr>
      <w:tr w:rsidR="008D15F3" w:rsidRPr="00264D5D" w14:paraId="294F186C"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349F37C5" w14:textId="77777777" w:rsidR="008D15F3" w:rsidRPr="00264D5D" w:rsidRDefault="008D15F3" w:rsidP="008D15F3">
            <w:pPr>
              <w:spacing w:before="60" w:after="60"/>
              <w:jc w:val="left"/>
              <w:rPr>
                <w:sz w:val="22"/>
                <w:szCs w:val="22"/>
              </w:rPr>
            </w:pPr>
            <w:r w:rsidRPr="00264D5D">
              <w:rPr>
                <w:sz w:val="22"/>
                <w:szCs w:val="22"/>
              </w:rPr>
              <w:t>ОКОГУ</w:t>
            </w:r>
          </w:p>
        </w:tc>
        <w:tc>
          <w:tcPr>
            <w:tcW w:w="3968" w:type="pct"/>
          </w:tcPr>
          <w:p w14:paraId="5B2B5B01" w14:textId="77777777" w:rsidR="008D15F3" w:rsidRPr="00264D5D" w:rsidRDefault="008D15F3" w:rsidP="008D15F3">
            <w:pPr>
              <w:spacing w:before="60" w:after="60"/>
              <w:rPr>
                <w:sz w:val="22"/>
                <w:szCs w:val="22"/>
              </w:rPr>
            </w:pPr>
            <w:r w:rsidRPr="00264D5D">
              <w:rPr>
                <w:sz w:val="22"/>
                <w:szCs w:val="22"/>
              </w:rPr>
              <w:t>Общероссийский классификатор органов государственной власти и управления</w:t>
            </w:r>
          </w:p>
        </w:tc>
      </w:tr>
      <w:tr w:rsidR="008D15F3" w:rsidRPr="00264D5D" w14:paraId="761FB08E"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5A689FA7" w14:textId="77777777" w:rsidR="008D15F3" w:rsidRPr="00264D5D" w:rsidRDefault="008D15F3" w:rsidP="008D15F3">
            <w:pPr>
              <w:spacing w:before="60" w:after="60"/>
              <w:jc w:val="left"/>
              <w:rPr>
                <w:sz w:val="22"/>
                <w:szCs w:val="22"/>
              </w:rPr>
            </w:pPr>
            <w:r w:rsidRPr="00264D5D">
              <w:rPr>
                <w:sz w:val="22"/>
                <w:szCs w:val="22"/>
              </w:rPr>
              <w:t>ОКОПФ</w:t>
            </w:r>
          </w:p>
        </w:tc>
        <w:tc>
          <w:tcPr>
            <w:tcW w:w="3968" w:type="pct"/>
          </w:tcPr>
          <w:p w14:paraId="7AC1C140" w14:textId="77777777" w:rsidR="008D15F3" w:rsidRPr="00264D5D" w:rsidRDefault="008D15F3" w:rsidP="008D15F3">
            <w:pPr>
              <w:spacing w:before="60" w:after="60"/>
              <w:rPr>
                <w:sz w:val="22"/>
                <w:szCs w:val="22"/>
              </w:rPr>
            </w:pPr>
            <w:r w:rsidRPr="00264D5D">
              <w:rPr>
                <w:sz w:val="22"/>
                <w:szCs w:val="22"/>
              </w:rPr>
              <w:t>Общероссийский классификатор организационно-правовых форм</w:t>
            </w:r>
          </w:p>
        </w:tc>
      </w:tr>
      <w:tr w:rsidR="008D15F3" w:rsidRPr="00264D5D" w14:paraId="582B6115"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38C51E9D" w14:textId="77777777" w:rsidR="008D15F3" w:rsidRPr="00264D5D" w:rsidRDefault="008D15F3" w:rsidP="008D15F3">
            <w:pPr>
              <w:spacing w:before="60" w:after="60"/>
              <w:jc w:val="left"/>
              <w:rPr>
                <w:sz w:val="22"/>
                <w:szCs w:val="22"/>
              </w:rPr>
            </w:pPr>
            <w:r w:rsidRPr="00264D5D">
              <w:rPr>
                <w:sz w:val="22"/>
                <w:szCs w:val="22"/>
              </w:rPr>
              <w:t>ОКПО</w:t>
            </w:r>
          </w:p>
        </w:tc>
        <w:tc>
          <w:tcPr>
            <w:tcW w:w="3968" w:type="pct"/>
          </w:tcPr>
          <w:p w14:paraId="7D343D94" w14:textId="77777777" w:rsidR="008D15F3" w:rsidRPr="00264D5D" w:rsidRDefault="008D15F3" w:rsidP="008D15F3">
            <w:pPr>
              <w:spacing w:before="60" w:after="60"/>
              <w:rPr>
                <w:sz w:val="22"/>
                <w:szCs w:val="22"/>
              </w:rPr>
            </w:pPr>
            <w:r w:rsidRPr="00264D5D">
              <w:rPr>
                <w:sz w:val="22"/>
                <w:szCs w:val="22"/>
              </w:rPr>
              <w:t>Общероссийский классификатор предприятий и организаций</w:t>
            </w:r>
          </w:p>
        </w:tc>
      </w:tr>
      <w:tr w:rsidR="008D15F3" w:rsidRPr="00264D5D" w14:paraId="532ACD99"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13384876" w14:textId="77777777" w:rsidR="008D15F3" w:rsidRPr="00264D5D" w:rsidRDefault="008D15F3" w:rsidP="008D15F3">
            <w:pPr>
              <w:spacing w:before="60" w:after="60"/>
              <w:jc w:val="left"/>
              <w:rPr>
                <w:sz w:val="22"/>
                <w:szCs w:val="22"/>
              </w:rPr>
            </w:pPr>
            <w:r w:rsidRPr="00264D5D">
              <w:rPr>
                <w:sz w:val="22"/>
                <w:szCs w:val="22"/>
              </w:rPr>
              <w:t>ОКР</w:t>
            </w:r>
          </w:p>
        </w:tc>
        <w:tc>
          <w:tcPr>
            <w:tcW w:w="3968" w:type="pct"/>
          </w:tcPr>
          <w:p w14:paraId="71408492" w14:textId="77777777" w:rsidR="008D15F3" w:rsidRPr="00264D5D" w:rsidRDefault="008D15F3" w:rsidP="008D15F3">
            <w:pPr>
              <w:spacing w:before="60" w:after="60"/>
              <w:rPr>
                <w:sz w:val="22"/>
                <w:szCs w:val="22"/>
              </w:rPr>
            </w:pPr>
            <w:r w:rsidRPr="00264D5D">
              <w:rPr>
                <w:sz w:val="22"/>
                <w:szCs w:val="22"/>
              </w:rPr>
              <w:t>Опытно-конструкторские работы</w:t>
            </w:r>
          </w:p>
        </w:tc>
      </w:tr>
      <w:tr w:rsidR="008D15F3" w:rsidRPr="00264D5D" w14:paraId="34944B05"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2C1E4A77" w14:textId="77777777" w:rsidR="008D15F3" w:rsidRPr="00264D5D" w:rsidRDefault="008D15F3" w:rsidP="008D15F3">
            <w:pPr>
              <w:spacing w:before="60" w:after="60"/>
              <w:jc w:val="left"/>
              <w:rPr>
                <w:sz w:val="22"/>
                <w:szCs w:val="22"/>
              </w:rPr>
            </w:pPr>
            <w:r w:rsidRPr="00264D5D">
              <w:rPr>
                <w:sz w:val="22"/>
                <w:szCs w:val="22"/>
              </w:rPr>
              <w:t>ОКСМ</w:t>
            </w:r>
          </w:p>
        </w:tc>
        <w:tc>
          <w:tcPr>
            <w:tcW w:w="3968" w:type="pct"/>
          </w:tcPr>
          <w:p w14:paraId="211B6F94" w14:textId="77777777" w:rsidR="008D15F3" w:rsidRPr="00264D5D" w:rsidRDefault="008D15F3" w:rsidP="008D15F3">
            <w:pPr>
              <w:spacing w:before="60" w:after="60"/>
              <w:rPr>
                <w:sz w:val="22"/>
                <w:szCs w:val="22"/>
              </w:rPr>
            </w:pPr>
            <w:r w:rsidRPr="00264D5D">
              <w:rPr>
                <w:sz w:val="22"/>
                <w:szCs w:val="22"/>
              </w:rPr>
              <w:t>Общероссийский классификатор стран мира</w:t>
            </w:r>
          </w:p>
        </w:tc>
      </w:tr>
      <w:tr w:rsidR="008D15F3" w:rsidRPr="00264D5D" w14:paraId="079BEE75"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380ED8E2" w14:textId="77777777" w:rsidR="008D15F3" w:rsidRPr="00264D5D" w:rsidRDefault="008D15F3" w:rsidP="008D15F3">
            <w:pPr>
              <w:spacing w:before="60" w:after="60"/>
              <w:jc w:val="left"/>
              <w:rPr>
                <w:sz w:val="22"/>
                <w:szCs w:val="22"/>
              </w:rPr>
            </w:pPr>
            <w:r w:rsidRPr="00264D5D">
              <w:rPr>
                <w:sz w:val="22"/>
                <w:szCs w:val="22"/>
              </w:rPr>
              <w:t>ОКТМО</w:t>
            </w:r>
          </w:p>
        </w:tc>
        <w:tc>
          <w:tcPr>
            <w:tcW w:w="3968" w:type="pct"/>
          </w:tcPr>
          <w:p w14:paraId="2CA31651" w14:textId="77777777" w:rsidR="008D15F3" w:rsidRPr="00264D5D" w:rsidRDefault="008D15F3" w:rsidP="008D15F3">
            <w:pPr>
              <w:spacing w:before="60" w:after="60"/>
              <w:rPr>
                <w:sz w:val="22"/>
                <w:szCs w:val="22"/>
              </w:rPr>
            </w:pPr>
            <w:r w:rsidRPr="00264D5D">
              <w:rPr>
                <w:sz w:val="22"/>
                <w:szCs w:val="22"/>
              </w:rPr>
              <w:t>Общероссийский классификатор территорий муниципальных образований</w:t>
            </w:r>
          </w:p>
        </w:tc>
      </w:tr>
      <w:tr w:rsidR="008D15F3" w:rsidRPr="00264D5D" w14:paraId="6D98B141"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0417A77E" w14:textId="77777777" w:rsidR="008D15F3" w:rsidRPr="00264D5D" w:rsidRDefault="008D15F3" w:rsidP="008D15F3">
            <w:pPr>
              <w:spacing w:before="60" w:after="60"/>
              <w:jc w:val="left"/>
              <w:rPr>
                <w:sz w:val="22"/>
                <w:szCs w:val="22"/>
              </w:rPr>
            </w:pPr>
            <w:r w:rsidRPr="00264D5D">
              <w:rPr>
                <w:sz w:val="22"/>
                <w:szCs w:val="22"/>
              </w:rPr>
              <w:t>ОКФС</w:t>
            </w:r>
          </w:p>
        </w:tc>
        <w:tc>
          <w:tcPr>
            <w:tcW w:w="3968" w:type="pct"/>
          </w:tcPr>
          <w:p w14:paraId="1A814DF7" w14:textId="77777777" w:rsidR="008D15F3" w:rsidRPr="00264D5D" w:rsidRDefault="008D15F3" w:rsidP="008D15F3">
            <w:pPr>
              <w:spacing w:before="60" w:after="60"/>
              <w:rPr>
                <w:sz w:val="22"/>
                <w:szCs w:val="22"/>
              </w:rPr>
            </w:pPr>
            <w:r w:rsidRPr="00264D5D">
              <w:rPr>
                <w:sz w:val="22"/>
                <w:szCs w:val="22"/>
              </w:rPr>
              <w:t>Общероссийский классификатор форм собственности</w:t>
            </w:r>
          </w:p>
        </w:tc>
      </w:tr>
      <w:tr w:rsidR="008D15F3" w:rsidRPr="00264D5D" w14:paraId="29AD777A"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15D4F11E" w14:textId="77777777" w:rsidR="008D15F3" w:rsidRPr="00264D5D" w:rsidRDefault="008D15F3" w:rsidP="008D15F3">
            <w:pPr>
              <w:spacing w:before="60" w:after="60"/>
              <w:jc w:val="left"/>
              <w:rPr>
                <w:sz w:val="22"/>
                <w:szCs w:val="22"/>
              </w:rPr>
            </w:pPr>
            <w:r w:rsidRPr="00264D5D">
              <w:rPr>
                <w:sz w:val="22"/>
                <w:szCs w:val="22"/>
              </w:rPr>
              <w:t>ПБС</w:t>
            </w:r>
          </w:p>
        </w:tc>
        <w:tc>
          <w:tcPr>
            <w:tcW w:w="3968" w:type="pct"/>
          </w:tcPr>
          <w:p w14:paraId="2532D1F5" w14:textId="77777777" w:rsidR="008D15F3" w:rsidRPr="00264D5D" w:rsidRDefault="008D15F3" w:rsidP="008D15F3">
            <w:pPr>
              <w:spacing w:before="60" w:after="60"/>
              <w:rPr>
                <w:sz w:val="22"/>
                <w:szCs w:val="22"/>
              </w:rPr>
            </w:pPr>
            <w:r w:rsidRPr="00264D5D">
              <w:rPr>
                <w:sz w:val="22"/>
                <w:szCs w:val="22"/>
              </w:rPr>
              <w:t>Получатель бюджетных средств (получатель средств соответствующего бюджета) – орган государственной власти (государственный орган), орган управления государственным внебюджетным фондом, орган местного самоуправления, орган местной администрации, находящееся в ведении главного распорядителя (распорядителя) бюджетных средств казенное учреждение, имеющие право на принятие и (или) исполнение бюджетных обязательств от имени публично-правового образования за счет средств соответствующего бюджета, если иное не предусмотрено Бюджетным Кодексом Российской Федерации</w:t>
            </w:r>
          </w:p>
        </w:tc>
      </w:tr>
      <w:tr w:rsidR="008D15F3" w:rsidRPr="00264D5D" w14:paraId="7192CF95"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7ECD4421" w14:textId="77777777" w:rsidR="008D15F3" w:rsidRPr="002D3CD1" w:rsidRDefault="008D15F3" w:rsidP="008D15F3">
            <w:pPr>
              <w:spacing w:before="60" w:after="60"/>
              <w:jc w:val="left"/>
              <w:rPr>
                <w:sz w:val="22"/>
                <w:szCs w:val="22"/>
              </w:rPr>
            </w:pPr>
            <w:r w:rsidRPr="002D3CD1">
              <w:rPr>
                <w:color w:val="333333"/>
                <w:sz w:val="22"/>
                <w:szCs w:val="22"/>
                <w:highlight w:val="green"/>
              </w:rPr>
              <w:t>ПГЗ</w:t>
            </w:r>
          </w:p>
        </w:tc>
        <w:tc>
          <w:tcPr>
            <w:tcW w:w="3968" w:type="pct"/>
          </w:tcPr>
          <w:p w14:paraId="23BBAAC3" w14:textId="77777777" w:rsidR="008D15F3" w:rsidRPr="002D3CD1" w:rsidRDefault="008D15F3" w:rsidP="008D15F3">
            <w:pPr>
              <w:spacing w:before="60" w:after="60"/>
              <w:rPr>
                <w:sz w:val="22"/>
                <w:szCs w:val="22"/>
              </w:rPr>
            </w:pPr>
            <w:r w:rsidRPr="002D3CD1">
              <w:rPr>
                <w:color w:val="333333"/>
                <w:sz w:val="22"/>
                <w:szCs w:val="22"/>
                <w:highlight w:val="green"/>
              </w:rPr>
              <w:t>План-график закупок</w:t>
            </w:r>
          </w:p>
        </w:tc>
      </w:tr>
      <w:tr w:rsidR="008D15F3" w:rsidRPr="00264D5D" w14:paraId="575DC4F3"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283271AE" w14:textId="77777777" w:rsidR="008D15F3" w:rsidRPr="00264D5D" w:rsidRDefault="008D15F3" w:rsidP="008D15F3">
            <w:pPr>
              <w:spacing w:before="60" w:after="60"/>
              <w:jc w:val="left"/>
              <w:rPr>
                <w:sz w:val="22"/>
                <w:szCs w:val="22"/>
              </w:rPr>
            </w:pPr>
            <w:r w:rsidRPr="00264D5D">
              <w:rPr>
                <w:sz w:val="22"/>
                <w:szCs w:val="22"/>
              </w:rPr>
              <w:t>Порядок</w:t>
            </w:r>
          </w:p>
        </w:tc>
        <w:tc>
          <w:tcPr>
            <w:tcW w:w="3968" w:type="pct"/>
          </w:tcPr>
          <w:p w14:paraId="323FDF14" w14:textId="77777777" w:rsidR="008D15F3" w:rsidRPr="00264D5D" w:rsidRDefault="008D15F3" w:rsidP="008D15F3">
            <w:pPr>
              <w:spacing w:before="60" w:after="60"/>
              <w:rPr>
                <w:sz w:val="22"/>
                <w:szCs w:val="22"/>
              </w:rPr>
            </w:pPr>
            <w:r w:rsidRPr="00264D5D">
              <w:rPr>
                <w:sz w:val="22"/>
                <w:szCs w:val="22"/>
              </w:rPr>
              <w:t>Приказ Министерства финансов Российской Федерации от 29.12.2017 № 263н «О Порядке ведения реестра соглашений (договоров) о предоставлении субсидий, бюджетных инвестиций, межбюджетных трансфертов»</w:t>
            </w:r>
          </w:p>
        </w:tc>
      </w:tr>
      <w:tr w:rsidR="008D15F3" w:rsidRPr="00264D5D" w14:paraId="121BD17A"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43599171" w14:textId="77777777" w:rsidR="008D15F3" w:rsidRPr="00264D5D" w:rsidRDefault="008D15F3" w:rsidP="008D15F3">
            <w:pPr>
              <w:spacing w:before="60" w:after="60"/>
              <w:jc w:val="left"/>
              <w:rPr>
                <w:sz w:val="22"/>
                <w:szCs w:val="22"/>
              </w:rPr>
            </w:pPr>
            <w:r w:rsidRPr="00264D5D">
              <w:rPr>
                <w:sz w:val="22"/>
                <w:szCs w:val="22"/>
              </w:rPr>
              <w:t>ППО</w:t>
            </w:r>
          </w:p>
        </w:tc>
        <w:tc>
          <w:tcPr>
            <w:tcW w:w="3968" w:type="pct"/>
          </w:tcPr>
          <w:p w14:paraId="5E2D7CDB" w14:textId="77777777" w:rsidR="008D15F3" w:rsidRPr="00264D5D" w:rsidRDefault="008D15F3" w:rsidP="008D15F3">
            <w:pPr>
              <w:spacing w:before="60" w:after="60"/>
              <w:rPr>
                <w:sz w:val="22"/>
                <w:szCs w:val="22"/>
              </w:rPr>
            </w:pPr>
            <w:r w:rsidRPr="00264D5D">
              <w:rPr>
                <w:sz w:val="22"/>
                <w:szCs w:val="22"/>
              </w:rPr>
              <w:t>Прикладное программное обеспечение</w:t>
            </w:r>
          </w:p>
        </w:tc>
      </w:tr>
      <w:tr w:rsidR="008D15F3" w:rsidRPr="00264D5D" w14:paraId="44CE8728"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503FE8B8" w14:textId="77777777" w:rsidR="008D15F3" w:rsidRPr="00264D5D" w:rsidRDefault="008D15F3" w:rsidP="008D15F3">
            <w:pPr>
              <w:spacing w:before="60" w:after="60"/>
              <w:jc w:val="left"/>
              <w:rPr>
                <w:sz w:val="22"/>
                <w:szCs w:val="22"/>
              </w:rPr>
            </w:pPr>
            <w:r w:rsidRPr="00264D5D">
              <w:rPr>
                <w:sz w:val="22"/>
                <w:szCs w:val="22"/>
              </w:rPr>
              <w:t xml:space="preserve">ППО OEBS АСФК </w:t>
            </w:r>
          </w:p>
        </w:tc>
        <w:tc>
          <w:tcPr>
            <w:tcW w:w="3968" w:type="pct"/>
          </w:tcPr>
          <w:p w14:paraId="3ECFCBE9" w14:textId="77777777" w:rsidR="008D15F3" w:rsidRPr="00264D5D" w:rsidRDefault="008D15F3" w:rsidP="008D15F3">
            <w:pPr>
              <w:spacing w:before="60" w:after="60"/>
              <w:rPr>
                <w:sz w:val="22"/>
                <w:szCs w:val="22"/>
              </w:rPr>
            </w:pPr>
            <w:r w:rsidRPr="00264D5D">
              <w:rPr>
                <w:sz w:val="22"/>
                <w:szCs w:val="22"/>
              </w:rPr>
              <w:t>Прикладное программное обеспечение «Oracle E-Business Suite», обеспечивающее реализацию учетных функций автоматизированной системы Федерального казначейства и отчетность</w:t>
            </w:r>
          </w:p>
        </w:tc>
      </w:tr>
      <w:tr w:rsidR="008D15F3" w:rsidRPr="00264D5D" w14:paraId="5818F850"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4223D762" w14:textId="77777777" w:rsidR="008D15F3" w:rsidRPr="00264D5D" w:rsidRDefault="008D15F3" w:rsidP="008D15F3">
            <w:pPr>
              <w:spacing w:before="60" w:after="60"/>
              <w:jc w:val="left"/>
              <w:rPr>
                <w:sz w:val="22"/>
                <w:szCs w:val="22"/>
              </w:rPr>
            </w:pPr>
            <w:r w:rsidRPr="00264D5D">
              <w:rPr>
                <w:sz w:val="22"/>
                <w:szCs w:val="22"/>
              </w:rPr>
              <w:t>ППО АСФК</w:t>
            </w:r>
          </w:p>
        </w:tc>
        <w:tc>
          <w:tcPr>
            <w:tcW w:w="3968" w:type="pct"/>
          </w:tcPr>
          <w:p w14:paraId="740A99DF" w14:textId="77777777" w:rsidR="008D15F3" w:rsidRPr="00264D5D" w:rsidRDefault="008D15F3" w:rsidP="008D15F3">
            <w:pPr>
              <w:spacing w:before="60" w:after="60"/>
              <w:rPr>
                <w:sz w:val="22"/>
                <w:szCs w:val="22"/>
              </w:rPr>
            </w:pPr>
            <w:r w:rsidRPr="00264D5D">
              <w:rPr>
                <w:sz w:val="22"/>
                <w:szCs w:val="22"/>
              </w:rPr>
              <w:t xml:space="preserve">Прикладное программное обеспечение Автоматизированной системы </w:t>
            </w:r>
            <w:r w:rsidRPr="00264D5D">
              <w:rPr>
                <w:sz w:val="22"/>
                <w:szCs w:val="22"/>
              </w:rPr>
              <w:lastRenderedPageBreak/>
              <w:t>Федерального казначейства Российской Федерации, включающее компоненты:</w:t>
            </w:r>
          </w:p>
          <w:p w14:paraId="55BE06F5" w14:textId="77777777" w:rsidR="008D15F3" w:rsidRPr="00264D5D" w:rsidRDefault="008D15F3" w:rsidP="008D15F3">
            <w:pPr>
              <w:pStyle w:val="af5"/>
              <w:numPr>
                <w:ilvl w:val="0"/>
                <w:numId w:val="130"/>
              </w:numPr>
              <w:spacing w:before="60" w:after="60"/>
              <w:ind w:left="284" w:hanging="227"/>
              <w:jc w:val="both"/>
              <w:rPr>
                <w:sz w:val="22"/>
                <w:szCs w:val="22"/>
              </w:rPr>
            </w:pPr>
            <w:r w:rsidRPr="00264D5D">
              <w:rPr>
                <w:sz w:val="22"/>
                <w:szCs w:val="22"/>
              </w:rPr>
              <w:t>Oracle E-Business Suite – компонент, обеспечивающий реализацию учетных функций и отчетность;</w:t>
            </w:r>
          </w:p>
          <w:p w14:paraId="761DC416" w14:textId="77777777" w:rsidR="008D15F3" w:rsidRPr="00264D5D" w:rsidRDefault="008D15F3" w:rsidP="008D15F3">
            <w:pPr>
              <w:pStyle w:val="af5"/>
              <w:numPr>
                <w:ilvl w:val="0"/>
                <w:numId w:val="130"/>
              </w:numPr>
              <w:spacing w:before="60" w:after="60"/>
              <w:ind w:left="284" w:hanging="227"/>
              <w:jc w:val="both"/>
              <w:rPr>
                <w:sz w:val="22"/>
                <w:szCs w:val="22"/>
              </w:rPr>
            </w:pPr>
            <w:r w:rsidRPr="00264D5D">
              <w:rPr>
                <w:sz w:val="22"/>
                <w:szCs w:val="22"/>
              </w:rPr>
              <w:t>Система удаленного финансового документооборота – компонент, обеспечивающий реализацию юридически значимого информационного обмена между компонентами Автоматизированной системы Федерального казначейства;</w:t>
            </w:r>
          </w:p>
          <w:p w14:paraId="6EF86D16" w14:textId="77777777" w:rsidR="008D15F3" w:rsidRPr="00264D5D" w:rsidRDefault="008D15F3" w:rsidP="008D15F3">
            <w:pPr>
              <w:pStyle w:val="af5"/>
              <w:numPr>
                <w:ilvl w:val="0"/>
                <w:numId w:val="130"/>
              </w:numPr>
              <w:spacing w:before="60" w:after="60"/>
              <w:ind w:left="284" w:hanging="227"/>
              <w:jc w:val="both"/>
              <w:rPr>
                <w:sz w:val="22"/>
                <w:szCs w:val="22"/>
              </w:rPr>
            </w:pPr>
            <w:r w:rsidRPr="00264D5D">
              <w:rPr>
                <w:sz w:val="22"/>
                <w:szCs w:val="22"/>
              </w:rPr>
              <w:t>Oracle Hyperion – компонент, обеспечивающий реализацию функции планирования модуля «Кассовое планирование»;</w:t>
            </w:r>
          </w:p>
          <w:p w14:paraId="4B7DD0D0" w14:textId="77777777" w:rsidR="008D15F3" w:rsidRPr="00264D5D" w:rsidRDefault="008D15F3" w:rsidP="008D15F3">
            <w:pPr>
              <w:pStyle w:val="af5"/>
              <w:numPr>
                <w:ilvl w:val="0"/>
                <w:numId w:val="130"/>
              </w:numPr>
              <w:spacing w:before="60" w:after="60"/>
              <w:ind w:left="284" w:hanging="227"/>
              <w:jc w:val="both"/>
              <w:rPr>
                <w:sz w:val="22"/>
                <w:szCs w:val="22"/>
              </w:rPr>
            </w:pPr>
            <w:r w:rsidRPr="00264D5D">
              <w:rPr>
                <w:sz w:val="22"/>
                <w:szCs w:val="22"/>
              </w:rPr>
              <w:t>Интеграционная шина – компонент, обеспечивающий сервисное взаимодействие компонентов Автоматизированной системы Федерального казначейства;</w:t>
            </w:r>
          </w:p>
          <w:p w14:paraId="34C0A417" w14:textId="77777777" w:rsidR="008D15F3" w:rsidRPr="00264D5D" w:rsidRDefault="008D15F3" w:rsidP="008D15F3">
            <w:pPr>
              <w:pStyle w:val="af5"/>
              <w:numPr>
                <w:ilvl w:val="0"/>
                <w:numId w:val="130"/>
              </w:numPr>
              <w:spacing w:before="60" w:after="60"/>
              <w:ind w:left="284" w:hanging="227"/>
              <w:jc w:val="both"/>
              <w:rPr>
                <w:sz w:val="22"/>
                <w:szCs w:val="22"/>
              </w:rPr>
            </w:pPr>
            <w:r w:rsidRPr="00264D5D">
              <w:rPr>
                <w:sz w:val="22"/>
                <w:szCs w:val="22"/>
              </w:rPr>
              <w:t>Средство защиты информации – компонент, обеспечивающий информационную безопасность компонентов Автоматизированной системы Федерального казначейства;</w:t>
            </w:r>
          </w:p>
          <w:p w14:paraId="5D63C8BE" w14:textId="77777777" w:rsidR="008D15F3" w:rsidRPr="00264D5D" w:rsidRDefault="008D15F3" w:rsidP="008D15F3">
            <w:pPr>
              <w:pStyle w:val="af5"/>
              <w:numPr>
                <w:ilvl w:val="0"/>
                <w:numId w:val="130"/>
              </w:numPr>
              <w:spacing w:before="60" w:after="60"/>
              <w:ind w:left="284" w:hanging="227"/>
              <w:jc w:val="both"/>
              <w:rPr>
                <w:sz w:val="22"/>
                <w:szCs w:val="22"/>
              </w:rPr>
            </w:pPr>
            <w:r w:rsidRPr="00264D5D">
              <w:rPr>
                <w:sz w:val="22"/>
                <w:szCs w:val="22"/>
              </w:rPr>
              <w:t>Модуль мониторинга и архивного хранения – компонент, обеспечивающий хранение электронных копий документов и мониторинг обмена электронными документами между компонентами Автоматизированной системы Федерального казначейства и внешними системами</w:t>
            </w:r>
          </w:p>
        </w:tc>
      </w:tr>
      <w:tr w:rsidR="008D15F3" w:rsidRPr="00264D5D" w14:paraId="42AB2306"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50FB065A" w14:textId="77777777" w:rsidR="008D15F3" w:rsidRPr="00264D5D" w:rsidRDefault="008D15F3" w:rsidP="008D15F3">
            <w:pPr>
              <w:spacing w:before="60" w:after="60"/>
              <w:jc w:val="left"/>
              <w:rPr>
                <w:sz w:val="22"/>
                <w:szCs w:val="22"/>
              </w:rPr>
            </w:pPr>
            <w:r w:rsidRPr="00264D5D">
              <w:rPr>
                <w:sz w:val="22"/>
                <w:szCs w:val="22"/>
              </w:rPr>
              <w:lastRenderedPageBreak/>
              <w:t>ППО СУФД АСФК</w:t>
            </w:r>
          </w:p>
        </w:tc>
        <w:tc>
          <w:tcPr>
            <w:tcW w:w="3968" w:type="pct"/>
          </w:tcPr>
          <w:p w14:paraId="492F9D1C" w14:textId="77777777" w:rsidR="008D15F3" w:rsidRPr="00264D5D" w:rsidRDefault="008D15F3" w:rsidP="008D15F3">
            <w:pPr>
              <w:spacing w:before="60" w:after="60"/>
              <w:rPr>
                <w:sz w:val="22"/>
                <w:szCs w:val="22"/>
              </w:rPr>
            </w:pPr>
            <w:r w:rsidRPr="00264D5D">
              <w:rPr>
                <w:sz w:val="22"/>
                <w:szCs w:val="22"/>
              </w:rPr>
              <w:t>Прикладное программное обеспечение Системы удаленного финансового документооборота, обеспечивающее реализацию юридически значимого информационного обмена между компонентами Автоматизированной системы Федерального казначейства</w:t>
            </w:r>
          </w:p>
        </w:tc>
      </w:tr>
      <w:tr w:rsidR="008D15F3" w:rsidRPr="00264D5D" w14:paraId="2A269294"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3A6B6D94" w14:textId="77777777" w:rsidR="008D15F3" w:rsidRPr="00264D5D" w:rsidRDefault="008D15F3" w:rsidP="008D15F3">
            <w:pPr>
              <w:spacing w:before="60" w:after="60"/>
              <w:jc w:val="left"/>
              <w:rPr>
                <w:sz w:val="22"/>
                <w:szCs w:val="22"/>
              </w:rPr>
            </w:pPr>
            <w:r w:rsidRPr="00264D5D">
              <w:rPr>
                <w:sz w:val="22"/>
                <w:szCs w:val="22"/>
              </w:rPr>
              <w:t>Протокол</w:t>
            </w:r>
          </w:p>
        </w:tc>
        <w:tc>
          <w:tcPr>
            <w:tcW w:w="3968" w:type="pct"/>
          </w:tcPr>
          <w:p w14:paraId="46579CC9" w14:textId="77777777" w:rsidR="008D15F3" w:rsidRPr="00264D5D" w:rsidRDefault="008D15F3" w:rsidP="008D15F3">
            <w:pPr>
              <w:spacing w:before="60" w:after="60"/>
              <w:rPr>
                <w:sz w:val="22"/>
                <w:szCs w:val="22"/>
              </w:rPr>
            </w:pPr>
            <w:r w:rsidRPr="00264D5D">
              <w:rPr>
                <w:sz w:val="22"/>
                <w:szCs w:val="22"/>
              </w:rPr>
              <w:t>Информационный объект, содержащий результаты обработки других информационных объектов</w:t>
            </w:r>
          </w:p>
        </w:tc>
      </w:tr>
      <w:tr w:rsidR="008D15F3" w:rsidRPr="00264D5D" w14:paraId="6651E26C"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24D1FD27" w14:textId="77777777" w:rsidR="008D15F3" w:rsidRPr="008D797C" w:rsidRDefault="008D15F3" w:rsidP="008D15F3">
            <w:pPr>
              <w:spacing w:before="60" w:after="60"/>
              <w:jc w:val="left"/>
              <w:rPr>
                <w:sz w:val="22"/>
                <w:szCs w:val="22"/>
                <w:highlight w:val="green"/>
              </w:rPr>
            </w:pPr>
            <w:r w:rsidRPr="008D797C">
              <w:rPr>
                <w:sz w:val="22"/>
                <w:szCs w:val="22"/>
                <w:highlight w:val="green"/>
              </w:rPr>
              <w:t>ПСБ (НУБП)</w:t>
            </w:r>
          </w:p>
        </w:tc>
        <w:tc>
          <w:tcPr>
            <w:tcW w:w="3968" w:type="pct"/>
          </w:tcPr>
          <w:p w14:paraId="26E97C4A" w14:textId="77777777" w:rsidR="008D15F3" w:rsidRPr="008D797C" w:rsidRDefault="008D15F3" w:rsidP="008D15F3">
            <w:pPr>
              <w:spacing w:before="60" w:after="60"/>
              <w:rPr>
                <w:sz w:val="22"/>
                <w:szCs w:val="22"/>
                <w:highlight w:val="green"/>
              </w:rPr>
            </w:pPr>
            <w:r w:rsidRPr="008D797C">
              <w:rPr>
                <w:sz w:val="22"/>
                <w:szCs w:val="22"/>
                <w:highlight w:val="green"/>
              </w:rPr>
              <w:t>Получатель средств из бюджета - юридическое лицо (не являющееся участником бюджетного процесса, бюджетным и автономным учреждением), индивидуальный предприниматель, физическое лицо - производитель товаров, работ, услуг, получающие средства из бюджета на основании государственного (муниципального) контракта на поставку товаров, выполнение работ, оказание услуг, договора (соглашения) о предоставлении субсидии, договора о предоставлении бюджетных инвестиций, а также юридическое лицо, которому в случаях, установленных федеральным законом, открываются счета в Федеральном казначействе в соответствии с Бюджетным кодексом Российской Федерации</w:t>
            </w:r>
          </w:p>
        </w:tc>
      </w:tr>
      <w:tr w:rsidR="008D15F3" w:rsidRPr="00264D5D" w14:paraId="5610BC31"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6E682445" w14:textId="77777777" w:rsidR="008D15F3" w:rsidRPr="00264D5D" w:rsidRDefault="008D15F3" w:rsidP="008D15F3">
            <w:pPr>
              <w:spacing w:before="60" w:after="60"/>
              <w:jc w:val="left"/>
              <w:rPr>
                <w:sz w:val="22"/>
                <w:szCs w:val="22"/>
              </w:rPr>
            </w:pPr>
            <w:r w:rsidRPr="00264D5D">
              <w:rPr>
                <w:sz w:val="22"/>
                <w:szCs w:val="22"/>
              </w:rPr>
              <w:t>ПУБП</w:t>
            </w:r>
          </w:p>
        </w:tc>
        <w:tc>
          <w:tcPr>
            <w:tcW w:w="3968" w:type="pct"/>
          </w:tcPr>
          <w:p w14:paraId="2C445F82" w14:textId="77777777" w:rsidR="008D15F3" w:rsidRPr="00264D5D" w:rsidRDefault="008D15F3" w:rsidP="008D15F3">
            <w:pPr>
              <w:spacing w:before="60" w:after="60"/>
              <w:rPr>
                <w:sz w:val="22"/>
                <w:szCs w:val="22"/>
              </w:rPr>
            </w:pPr>
            <w:r w:rsidRPr="00264D5D">
              <w:rPr>
                <w:sz w:val="22"/>
                <w:szCs w:val="22"/>
              </w:rPr>
              <w:t>Перечень участников бюджетного процесса</w:t>
            </w:r>
          </w:p>
        </w:tc>
      </w:tr>
      <w:tr w:rsidR="008D15F3" w:rsidRPr="00264D5D" w14:paraId="446D3081"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5B1085F5" w14:textId="77777777" w:rsidR="008D15F3" w:rsidRPr="00264D5D" w:rsidRDefault="008D15F3" w:rsidP="008D15F3">
            <w:pPr>
              <w:spacing w:before="60" w:after="60"/>
              <w:jc w:val="left"/>
              <w:rPr>
                <w:sz w:val="22"/>
                <w:szCs w:val="22"/>
              </w:rPr>
            </w:pPr>
            <w:r w:rsidRPr="00264D5D">
              <w:rPr>
                <w:sz w:val="22"/>
                <w:szCs w:val="22"/>
              </w:rPr>
              <w:t>ПУД ЭБ</w:t>
            </w:r>
          </w:p>
        </w:tc>
        <w:tc>
          <w:tcPr>
            <w:tcW w:w="3968" w:type="pct"/>
          </w:tcPr>
          <w:p w14:paraId="23EFDFE6" w14:textId="77777777" w:rsidR="008D15F3" w:rsidRPr="00264D5D" w:rsidRDefault="008D15F3" w:rsidP="008D15F3">
            <w:pPr>
              <w:spacing w:before="60" w:after="60"/>
              <w:rPr>
                <w:sz w:val="22"/>
                <w:szCs w:val="22"/>
              </w:rPr>
            </w:pPr>
            <w:r w:rsidRPr="00264D5D">
              <w:rPr>
                <w:sz w:val="22"/>
                <w:szCs w:val="22"/>
              </w:rPr>
              <w:t>Подсистема управления доходами государственной интегрированной информационной системы управления общественными финансами «Электронный бюджет»</w:t>
            </w:r>
          </w:p>
        </w:tc>
      </w:tr>
      <w:tr w:rsidR="008D15F3" w:rsidRPr="00264D5D" w14:paraId="35B3B873"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2BEA9650" w14:textId="77777777" w:rsidR="008D15F3" w:rsidRPr="00264D5D" w:rsidRDefault="008D15F3" w:rsidP="008D15F3">
            <w:pPr>
              <w:spacing w:before="60" w:after="60"/>
              <w:jc w:val="left"/>
              <w:rPr>
                <w:sz w:val="22"/>
                <w:szCs w:val="22"/>
              </w:rPr>
            </w:pPr>
            <w:r w:rsidRPr="00264D5D">
              <w:rPr>
                <w:sz w:val="22"/>
                <w:szCs w:val="22"/>
              </w:rPr>
              <w:t>ПУДС ЭБ</w:t>
            </w:r>
          </w:p>
        </w:tc>
        <w:tc>
          <w:tcPr>
            <w:tcW w:w="3968" w:type="pct"/>
          </w:tcPr>
          <w:p w14:paraId="61953F8C" w14:textId="77777777" w:rsidR="008D15F3" w:rsidRPr="00264D5D" w:rsidRDefault="008D15F3" w:rsidP="008D15F3">
            <w:pPr>
              <w:spacing w:before="60" w:after="60"/>
              <w:rPr>
                <w:sz w:val="22"/>
                <w:szCs w:val="22"/>
              </w:rPr>
            </w:pPr>
            <w:r w:rsidRPr="00264D5D">
              <w:rPr>
                <w:sz w:val="22"/>
                <w:szCs w:val="22"/>
              </w:rPr>
              <w:t>Подсистема управления денежными средствами государственной интегрированной информационной системы управления общественными финансами «Электронный бюджет»</w:t>
            </w:r>
          </w:p>
        </w:tc>
      </w:tr>
      <w:tr w:rsidR="008D15F3" w:rsidRPr="00264D5D" w14:paraId="37B7CC20"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4AB7DE68" w14:textId="77777777" w:rsidR="008D15F3" w:rsidRPr="00264D5D" w:rsidRDefault="008D15F3" w:rsidP="008D15F3">
            <w:pPr>
              <w:spacing w:before="60" w:after="60"/>
              <w:jc w:val="left"/>
              <w:rPr>
                <w:sz w:val="22"/>
                <w:szCs w:val="22"/>
              </w:rPr>
            </w:pPr>
            <w:r w:rsidRPr="00264D5D">
              <w:rPr>
                <w:sz w:val="22"/>
                <w:szCs w:val="22"/>
              </w:rPr>
              <w:t>ПУЗ ЭБ</w:t>
            </w:r>
          </w:p>
        </w:tc>
        <w:tc>
          <w:tcPr>
            <w:tcW w:w="3968" w:type="pct"/>
          </w:tcPr>
          <w:p w14:paraId="0ADC1254" w14:textId="77777777" w:rsidR="008D15F3" w:rsidRPr="00264D5D" w:rsidRDefault="008D15F3" w:rsidP="008D15F3">
            <w:pPr>
              <w:spacing w:before="60" w:after="60"/>
              <w:rPr>
                <w:sz w:val="22"/>
                <w:szCs w:val="22"/>
              </w:rPr>
            </w:pPr>
            <w:r w:rsidRPr="00264D5D">
              <w:rPr>
                <w:sz w:val="22"/>
                <w:szCs w:val="22"/>
              </w:rPr>
              <w:t xml:space="preserve">Подсистема управления закупками государственной интегрированной информационной системы управления общественными финансами </w:t>
            </w:r>
            <w:r w:rsidRPr="00264D5D">
              <w:rPr>
                <w:sz w:val="22"/>
                <w:szCs w:val="22"/>
              </w:rPr>
              <w:lastRenderedPageBreak/>
              <w:t>«Электронный бюджет»</w:t>
            </w:r>
          </w:p>
        </w:tc>
      </w:tr>
      <w:tr w:rsidR="008D15F3" w:rsidRPr="00264D5D" w14:paraId="526FEA45"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211EB687" w14:textId="77777777" w:rsidR="008D15F3" w:rsidRPr="00264D5D" w:rsidRDefault="008D15F3" w:rsidP="008D15F3">
            <w:pPr>
              <w:spacing w:before="60" w:after="60"/>
              <w:jc w:val="left"/>
              <w:rPr>
                <w:sz w:val="22"/>
                <w:szCs w:val="22"/>
              </w:rPr>
            </w:pPr>
            <w:r w:rsidRPr="00264D5D">
              <w:rPr>
                <w:sz w:val="22"/>
                <w:szCs w:val="22"/>
              </w:rPr>
              <w:lastRenderedPageBreak/>
              <w:t>ПУиО ЭБ</w:t>
            </w:r>
          </w:p>
        </w:tc>
        <w:tc>
          <w:tcPr>
            <w:tcW w:w="3968" w:type="pct"/>
          </w:tcPr>
          <w:p w14:paraId="324D16C9" w14:textId="77777777" w:rsidR="008D15F3" w:rsidRPr="00264D5D" w:rsidRDefault="008D15F3" w:rsidP="008D15F3">
            <w:pPr>
              <w:spacing w:before="60" w:after="60"/>
              <w:rPr>
                <w:sz w:val="22"/>
                <w:szCs w:val="22"/>
              </w:rPr>
            </w:pPr>
            <w:r w:rsidRPr="00264D5D">
              <w:rPr>
                <w:sz w:val="22"/>
                <w:szCs w:val="22"/>
              </w:rPr>
              <w:t>Подсистема учета и отчетности государственной интегрированной информационной системы управления общественными финансами «Электронный бюджет»</w:t>
            </w:r>
          </w:p>
        </w:tc>
      </w:tr>
      <w:tr w:rsidR="008D15F3" w:rsidRPr="00264D5D" w14:paraId="08784BD6"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2A7B3D52" w14:textId="77777777" w:rsidR="008D15F3" w:rsidRPr="00264D5D" w:rsidRDefault="008D15F3" w:rsidP="008D15F3">
            <w:pPr>
              <w:spacing w:before="60" w:after="60"/>
              <w:jc w:val="left"/>
              <w:rPr>
                <w:sz w:val="22"/>
                <w:szCs w:val="22"/>
              </w:rPr>
            </w:pPr>
            <w:r w:rsidRPr="00264D5D">
              <w:rPr>
                <w:sz w:val="22"/>
                <w:szCs w:val="22"/>
              </w:rPr>
              <w:t>ПУР ЭБ</w:t>
            </w:r>
          </w:p>
        </w:tc>
        <w:tc>
          <w:tcPr>
            <w:tcW w:w="3968" w:type="pct"/>
          </w:tcPr>
          <w:p w14:paraId="54EC4DFA" w14:textId="77777777" w:rsidR="008D15F3" w:rsidRPr="00264D5D" w:rsidRDefault="008D15F3" w:rsidP="008D15F3">
            <w:pPr>
              <w:spacing w:before="60" w:after="60"/>
              <w:rPr>
                <w:sz w:val="22"/>
                <w:szCs w:val="22"/>
              </w:rPr>
            </w:pPr>
            <w:r w:rsidRPr="00264D5D">
              <w:rPr>
                <w:sz w:val="22"/>
                <w:szCs w:val="22"/>
              </w:rPr>
              <w:t>Подсистема управления расходами государственной интегрированной информационной системы управления общественными финансами «Электронный бюджет»</w:t>
            </w:r>
          </w:p>
        </w:tc>
      </w:tr>
      <w:tr w:rsidR="008D15F3" w:rsidRPr="00264D5D" w14:paraId="1D924E3B"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0A020652" w14:textId="77777777" w:rsidR="008D15F3" w:rsidRPr="00264D5D" w:rsidRDefault="008D15F3" w:rsidP="008D15F3">
            <w:pPr>
              <w:spacing w:before="60" w:after="60"/>
              <w:jc w:val="left"/>
              <w:rPr>
                <w:sz w:val="22"/>
                <w:szCs w:val="22"/>
              </w:rPr>
            </w:pPr>
            <w:r w:rsidRPr="00264D5D">
              <w:rPr>
                <w:sz w:val="22"/>
                <w:szCs w:val="22"/>
              </w:rPr>
              <w:t>ПФХД</w:t>
            </w:r>
          </w:p>
        </w:tc>
        <w:tc>
          <w:tcPr>
            <w:tcW w:w="3968" w:type="pct"/>
          </w:tcPr>
          <w:p w14:paraId="0AB92666" w14:textId="77777777" w:rsidR="008D15F3" w:rsidRPr="00264D5D" w:rsidRDefault="008D15F3" w:rsidP="008D15F3">
            <w:pPr>
              <w:spacing w:before="60" w:after="60"/>
              <w:rPr>
                <w:sz w:val="22"/>
                <w:szCs w:val="22"/>
              </w:rPr>
            </w:pPr>
            <w:r w:rsidRPr="00264D5D">
              <w:rPr>
                <w:sz w:val="22"/>
                <w:szCs w:val="22"/>
              </w:rPr>
              <w:t>Подсистемы государственной интегрированной информационной системы управления общественными финансами «Электронный бюджет», обеспечивающие проведение и учет операций финансово-хозяйственной деятельности организаций сектора государственного управления, а именно:</w:t>
            </w:r>
          </w:p>
          <w:p w14:paraId="7C02C9C7" w14:textId="77777777" w:rsidR="008D15F3" w:rsidRPr="00264D5D" w:rsidRDefault="008D15F3" w:rsidP="008D15F3">
            <w:pPr>
              <w:pStyle w:val="af5"/>
              <w:numPr>
                <w:ilvl w:val="0"/>
                <w:numId w:val="130"/>
              </w:numPr>
              <w:spacing w:before="60" w:after="60"/>
              <w:ind w:left="284" w:hanging="227"/>
              <w:jc w:val="both"/>
              <w:rPr>
                <w:sz w:val="22"/>
                <w:szCs w:val="22"/>
              </w:rPr>
            </w:pPr>
            <w:r w:rsidRPr="00264D5D">
              <w:rPr>
                <w:sz w:val="22"/>
                <w:szCs w:val="22"/>
              </w:rPr>
              <w:t>Подсистема управления кадрами;</w:t>
            </w:r>
          </w:p>
          <w:p w14:paraId="1203D660" w14:textId="77777777" w:rsidR="008D15F3" w:rsidRPr="00264D5D" w:rsidRDefault="008D15F3" w:rsidP="008D15F3">
            <w:pPr>
              <w:pStyle w:val="af5"/>
              <w:numPr>
                <w:ilvl w:val="0"/>
                <w:numId w:val="130"/>
              </w:numPr>
              <w:spacing w:before="60" w:after="60"/>
              <w:ind w:left="284" w:hanging="227"/>
              <w:jc w:val="both"/>
              <w:rPr>
                <w:sz w:val="22"/>
                <w:szCs w:val="22"/>
              </w:rPr>
            </w:pPr>
            <w:r w:rsidRPr="00264D5D">
              <w:rPr>
                <w:sz w:val="22"/>
                <w:szCs w:val="22"/>
              </w:rPr>
              <w:t>Подсистема управления нефинансовыми активами;</w:t>
            </w:r>
          </w:p>
          <w:p w14:paraId="3843D6C0" w14:textId="77777777" w:rsidR="008D15F3" w:rsidRPr="00264D5D" w:rsidRDefault="008D15F3" w:rsidP="008D15F3">
            <w:pPr>
              <w:pStyle w:val="af5"/>
              <w:numPr>
                <w:ilvl w:val="0"/>
                <w:numId w:val="130"/>
              </w:numPr>
              <w:spacing w:before="60" w:after="60"/>
              <w:ind w:left="284" w:hanging="227"/>
              <w:jc w:val="both"/>
              <w:rPr>
                <w:sz w:val="22"/>
                <w:szCs w:val="22"/>
              </w:rPr>
            </w:pPr>
            <w:r w:rsidRPr="00264D5D">
              <w:rPr>
                <w:sz w:val="22"/>
                <w:szCs w:val="22"/>
              </w:rPr>
              <w:t>Модуль формирования бюджетной (бухгалтерской) отчетности учреждений Подсистемы учета и отчетности</w:t>
            </w:r>
          </w:p>
        </w:tc>
      </w:tr>
      <w:tr w:rsidR="008D15F3" w:rsidRPr="00264D5D" w14:paraId="567FCDFB"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10CFF60B" w14:textId="77777777" w:rsidR="008D15F3" w:rsidRPr="00264D5D" w:rsidRDefault="008D15F3" w:rsidP="008D15F3">
            <w:pPr>
              <w:spacing w:before="60" w:after="60"/>
              <w:jc w:val="left"/>
              <w:rPr>
                <w:sz w:val="22"/>
                <w:szCs w:val="22"/>
              </w:rPr>
            </w:pPr>
            <w:r w:rsidRPr="00264D5D">
              <w:rPr>
                <w:sz w:val="22"/>
                <w:szCs w:val="22"/>
              </w:rPr>
              <w:t>РБС</w:t>
            </w:r>
          </w:p>
        </w:tc>
        <w:tc>
          <w:tcPr>
            <w:tcW w:w="3968" w:type="pct"/>
          </w:tcPr>
          <w:p w14:paraId="151EB7D9" w14:textId="77777777" w:rsidR="008D15F3" w:rsidRPr="00264D5D" w:rsidRDefault="008D15F3" w:rsidP="008D15F3">
            <w:pPr>
              <w:spacing w:before="60" w:after="60"/>
              <w:rPr>
                <w:sz w:val="22"/>
                <w:szCs w:val="22"/>
              </w:rPr>
            </w:pPr>
            <w:r w:rsidRPr="00264D5D">
              <w:rPr>
                <w:sz w:val="22"/>
                <w:szCs w:val="22"/>
              </w:rPr>
              <w:t>Распорядитель бюджетных средств (распорядитель средств соответствующего бюджета) – орган государственной власти (государственный орган), орган управления государственным внебюджетным фондом, орган местного самоуправления, орган местной администрации, казенное учреждение, имеющие право распределять бюджетные ассигнования и лимиты бюджетных обязательств между подведомственными распорядителями и (или) получателями бюджетных средств</w:t>
            </w:r>
          </w:p>
        </w:tc>
      </w:tr>
      <w:tr w:rsidR="008D15F3" w:rsidRPr="00264D5D" w14:paraId="5EFDFC54"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000E0156" w14:textId="77777777" w:rsidR="008D15F3" w:rsidRPr="00264D5D" w:rsidRDefault="008D15F3" w:rsidP="008D15F3">
            <w:pPr>
              <w:spacing w:before="60" w:after="60"/>
              <w:jc w:val="left"/>
              <w:rPr>
                <w:sz w:val="22"/>
                <w:szCs w:val="22"/>
              </w:rPr>
            </w:pPr>
            <w:r w:rsidRPr="00264D5D">
              <w:rPr>
                <w:sz w:val="22"/>
                <w:szCs w:val="22"/>
              </w:rPr>
              <w:t>РНО</w:t>
            </w:r>
          </w:p>
        </w:tc>
        <w:tc>
          <w:tcPr>
            <w:tcW w:w="3968" w:type="pct"/>
          </w:tcPr>
          <w:p w14:paraId="3455E9FA" w14:textId="77777777" w:rsidR="008D15F3" w:rsidRPr="00264D5D" w:rsidRDefault="008D15F3" w:rsidP="008D15F3">
            <w:pPr>
              <w:spacing w:before="60" w:after="60"/>
              <w:rPr>
                <w:sz w:val="22"/>
                <w:szCs w:val="22"/>
              </w:rPr>
            </w:pPr>
            <w:r w:rsidRPr="00264D5D">
              <w:rPr>
                <w:sz w:val="22"/>
                <w:szCs w:val="22"/>
              </w:rPr>
              <w:t>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w:t>
            </w:r>
          </w:p>
        </w:tc>
      </w:tr>
      <w:tr w:rsidR="008D15F3" w:rsidRPr="00264D5D" w14:paraId="0AF13A0D"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50C60831" w14:textId="77777777" w:rsidR="008D15F3" w:rsidRPr="00264D5D" w:rsidRDefault="008D15F3" w:rsidP="008D15F3">
            <w:pPr>
              <w:spacing w:before="60" w:after="60"/>
              <w:jc w:val="left"/>
              <w:rPr>
                <w:sz w:val="22"/>
                <w:szCs w:val="22"/>
              </w:rPr>
            </w:pPr>
            <w:r w:rsidRPr="00264D5D">
              <w:rPr>
                <w:sz w:val="22"/>
                <w:szCs w:val="22"/>
              </w:rPr>
              <w:t>Росфинмониторинг</w:t>
            </w:r>
          </w:p>
        </w:tc>
        <w:tc>
          <w:tcPr>
            <w:tcW w:w="3968" w:type="pct"/>
          </w:tcPr>
          <w:p w14:paraId="58352C4C" w14:textId="77777777" w:rsidR="008D15F3" w:rsidRPr="00264D5D" w:rsidRDefault="008D15F3" w:rsidP="008D15F3">
            <w:pPr>
              <w:spacing w:before="60" w:after="60"/>
              <w:rPr>
                <w:sz w:val="22"/>
                <w:szCs w:val="22"/>
              </w:rPr>
            </w:pPr>
            <w:r w:rsidRPr="00264D5D">
              <w:rPr>
                <w:sz w:val="22"/>
                <w:szCs w:val="22"/>
              </w:rPr>
              <w:t>Федеральная служба по финансовому мониторингу</w:t>
            </w:r>
          </w:p>
        </w:tc>
      </w:tr>
      <w:tr w:rsidR="008D15F3" w:rsidRPr="00264D5D" w14:paraId="59F0B478"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634CC16A" w14:textId="77777777" w:rsidR="008D15F3" w:rsidRPr="00264D5D" w:rsidRDefault="008D15F3" w:rsidP="008D15F3">
            <w:pPr>
              <w:spacing w:before="60" w:after="60"/>
              <w:jc w:val="left"/>
              <w:rPr>
                <w:sz w:val="22"/>
                <w:szCs w:val="22"/>
              </w:rPr>
            </w:pPr>
            <w:r w:rsidRPr="00264D5D">
              <w:rPr>
                <w:sz w:val="22"/>
                <w:szCs w:val="22"/>
              </w:rPr>
              <w:t>РУБП</w:t>
            </w:r>
          </w:p>
        </w:tc>
        <w:tc>
          <w:tcPr>
            <w:tcW w:w="3968" w:type="pct"/>
          </w:tcPr>
          <w:p w14:paraId="12A4DE4C" w14:textId="77777777" w:rsidR="008D15F3" w:rsidRPr="00264D5D" w:rsidRDefault="008D15F3" w:rsidP="008D15F3">
            <w:pPr>
              <w:spacing w:before="60" w:after="60"/>
              <w:rPr>
                <w:sz w:val="22"/>
                <w:szCs w:val="22"/>
              </w:rPr>
            </w:pPr>
            <w:r w:rsidRPr="00264D5D">
              <w:rPr>
                <w:sz w:val="22"/>
                <w:szCs w:val="22"/>
              </w:rPr>
              <w:t>Реестр участников бюджетного процесса</w:t>
            </w:r>
          </w:p>
        </w:tc>
      </w:tr>
      <w:tr w:rsidR="008D15F3" w:rsidRPr="00264D5D" w14:paraId="117415B8"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0248358A" w14:textId="77777777" w:rsidR="008D15F3" w:rsidRPr="00264D5D" w:rsidRDefault="008D15F3" w:rsidP="008D15F3">
            <w:pPr>
              <w:spacing w:before="60" w:after="60"/>
              <w:jc w:val="left"/>
              <w:rPr>
                <w:sz w:val="22"/>
                <w:szCs w:val="22"/>
              </w:rPr>
            </w:pPr>
            <w:r w:rsidRPr="00264D5D">
              <w:rPr>
                <w:sz w:val="22"/>
                <w:szCs w:val="22"/>
              </w:rPr>
              <w:t>РФ</w:t>
            </w:r>
          </w:p>
        </w:tc>
        <w:tc>
          <w:tcPr>
            <w:tcW w:w="3968" w:type="pct"/>
          </w:tcPr>
          <w:p w14:paraId="273AAFB9" w14:textId="77777777" w:rsidR="008D15F3" w:rsidRPr="00264D5D" w:rsidRDefault="008D15F3" w:rsidP="008D15F3">
            <w:pPr>
              <w:spacing w:before="60" w:after="60"/>
              <w:rPr>
                <w:sz w:val="22"/>
                <w:szCs w:val="22"/>
              </w:rPr>
            </w:pPr>
            <w:r w:rsidRPr="00264D5D">
              <w:rPr>
                <w:sz w:val="22"/>
                <w:szCs w:val="22"/>
              </w:rPr>
              <w:t>Российская Федерация</w:t>
            </w:r>
          </w:p>
        </w:tc>
      </w:tr>
      <w:tr w:rsidR="008D15F3" w:rsidRPr="00264D5D" w14:paraId="5282FA4D"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2D71DF3B" w14:textId="77777777" w:rsidR="008D15F3" w:rsidRPr="00264D5D" w:rsidRDefault="008D15F3" w:rsidP="008D15F3">
            <w:pPr>
              <w:spacing w:before="60" w:after="60"/>
              <w:rPr>
                <w:sz w:val="22"/>
                <w:szCs w:val="22"/>
              </w:rPr>
            </w:pPr>
            <w:r w:rsidRPr="00264D5D">
              <w:rPr>
                <w:sz w:val="22"/>
                <w:szCs w:val="22"/>
              </w:rPr>
              <w:t>Сводный реестр</w:t>
            </w:r>
          </w:p>
          <w:p w14:paraId="048D946F" w14:textId="77777777" w:rsidR="008D15F3" w:rsidRPr="00264D5D" w:rsidRDefault="008D15F3" w:rsidP="008D15F3">
            <w:pPr>
              <w:spacing w:before="60" w:after="60"/>
              <w:jc w:val="left"/>
              <w:rPr>
                <w:sz w:val="22"/>
                <w:szCs w:val="22"/>
              </w:rPr>
            </w:pPr>
            <w:r w:rsidRPr="00264D5D">
              <w:rPr>
                <w:sz w:val="22"/>
                <w:szCs w:val="22"/>
              </w:rPr>
              <w:t>(СРРПБС)</w:t>
            </w:r>
          </w:p>
        </w:tc>
        <w:tc>
          <w:tcPr>
            <w:tcW w:w="3968" w:type="pct"/>
          </w:tcPr>
          <w:p w14:paraId="46840A11" w14:textId="77777777" w:rsidR="008D15F3" w:rsidRPr="00264D5D" w:rsidRDefault="008D15F3" w:rsidP="008D15F3">
            <w:pPr>
              <w:spacing w:before="60" w:after="60"/>
              <w:rPr>
                <w:sz w:val="22"/>
                <w:szCs w:val="22"/>
              </w:rPr>
            </w:pPr>
            <w:r w:rsidRPr="00264D5D">
              <w:rPr>
                <w:color w:val="000000"/>
                <w:sz w:val="22"/>
                <w:szCs w:val="22"/>
              </w:rPr>
              <w:t>Сводный реестр главных распорядителей, распорядителей и получателей средств федерального бюджета, главных администраторов и администраторов доходов федерального бюджета, главных администраторов и администраторов источников финансирования дефицита федерального бюджета – структурированный перечень участников бюджетного процесса</w:t>
            </w:r>
          </w:p>
        </w:tc>
      </w:tr>
      <w:tr w:rsidR="008D15F3" w:rsidRPr="00264D5D" w14:paraId="40BE2E93"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05C94ACC" w14:textId="77777777" w:rsidR="008D15F3" w:rsidRPr="00264D5D" w:rsidRDefault="008D15F3" w:rsidP="008D15F3">
            <w:pPr>
              <w:spacing w:before="60" w:after="60"/>
              <w:rPr>
                <w:sz w:val="22"/>
                <w:szCs w:val="22"/>
              </w:rPr>
            </w:pPr>
            <w:r w:rsidRPr="00264D5D">
              <w:rPr>
                <w:sz w:val="22"/>
                <w:szCs w:val="22"/>
              </w:rPr>
              <w:t>СМЭВ</w:t>
            </w:r>
          </w:p>
        </w:tc>
        <w:tc>
          <w:tcPr>
            <w:tcW w:w="3968" w:type="pct"/>
          </w:tcPr>
          <w:p w14:paraId="16471A07" w14:textId="77777777" w:rsidR="008D15F3" w:rsidRPr="00264D5D" w:rsidRDefault="008D15F3" w:rsidP="008D15F3">
            <w:pPr>
              <w:spacing w:before="60" w:after="60"/>
              <w:rPr>
                <w:color w:val="000000"/>
                <w:sz w:val="22"/>
                <w:szCs w:val="22"/>
              </w:rPr>
            </w:pPr>
            <w:r w:rsidRPr="00264D5D">
              <w:rPr>
                <w:color w:val="000000"/>
                <w:sz w:val="22"/>
                <w:szCs w:val="22"/>
              </w:rPr>
              <w:t>Система межведомственного электронного взаимодействия</w:t>
            </w:r>
          </w:p>
        </w:tc>
      </w:tr>
      <w:tr w:rsidR="008D15F3" w:rsidRPr="00264D5D" w14:paraId="0F60B460"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5B0D8170" w14:textId="77777777" w:rsidR="008D15F3" w:rsidRPr="00264D5D" w:rsidRDefault="008D15F3" w:rsidP="008D15F3">
            <w:pPr>
              <w:spacing w:before="60" w:after="60"/>
              <w:jc w:val="left"/>
              <w:rPr>
                <w:sz w:val="22"/>
                <w:szCs w:val="22"/>
              </w:rPr>
            </w:pPr>
            <w:r w:rsidRPr="00264D5D">
              <w:rPr>
                <w:sz w:val="22"/>
                <w:szCs w:val="22"/>
              </w:rPr>
              <w:t>СНИЛС</w:t>
            </w:r>
          </w:p>
        </w:tc>
        <w:tc>
          <w:tcPr>
            <w:tcW w:w="3968" w:type="pct"/>
          </w:tcPr>
          <w:p w14:paraId="302B7CD5" w14:textId="77777777" w:rsidR="008D15F3" w:rsidRPr="00264D5D" w:rsidRDefault="008D15F3" w:rsidP="008D15F3">
            <w:pPr>
              <w:spacing w:before="60" w:after="60"/>
              <w:rPr>
                <w:sz w:val="22"/>
                <w:szCs w:val="22"/>
              </w:rPr>
            </w:pPr>
            <w:r w:rsidRPr="00264D5D">
              <w:rPr>
                <w:sz w:val="22"/>
                <w:szCs w:val="22"/>
              </w:rPr>
              <w:t>Страховой номер индивидуального лицевого счета</w:t>
            </w:r>
          </w:p>
        </w:tc>
      </w:tr>
      <w:tr w:rsidR="008D15F3" w:rsidRPr="00264D5D" w14:paraId="61E873A1"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0BF474CF" w14:textId="77777777" w:rsidR="008D15F3" w:rsidRPr="00264D5D" w:rsidRDefault="008D15F3" w:rsidP="008D15F3">
            <w:pPr>
              <w:spacing w:before="60" w:after="60"/>
              <w:jc w:val="left"/>
              <w:rPr>
                <w:sz w:val="22"/>
                <w:szCs w:val="22"/>
              </w:rPr>
            </w:pPr>
            <w:r w:rsidRPr="00264D5D">
              <w:rPr>
                <w:sz w:val="22"/>
                <w:szCs w:val="22"/>
              </w:rPr>
              <w:t>ТГВФ</w:t>
            </w:r>
          </w:p>
        </w:tc>
        <w:tc>
          <w:tcPr>
            <w:tcW w:w="3968" w:type="pct"/>
          </w:tcPr>
          <w:p w14:paraId="3C31E9F0" w14:textId="77777777" w:rsidR="008D15F3" w:rsidRPr="00264D5D" w:rsidRDefault="008D15F3" w:rsidP="008D15F3">
            <w:pPr>
              <w:spacing w:before="60" w:after="60"/>
              <w:rPr>
                <w:sz w:val="22"/>
                <w:szCs w:val="22"/>
              </w:rPr>
            </w:pPr>
            <w:r w:rsidRPr="00264D5D">
              <w:rPr>
                <w:sz w:val="22"/>
                <w:szCs w:val="22"/>
              </w:rPr>
              <w:t>Территориальный государственный внебюджетный фонд</w:t>
            </w:r>
          </w:p>
        </w:tc>
      </w:tr>
      <w:tr w:rsidR="008D15F3" w:rsidRPr="00264D5D" w14:paraId="0E27FB40"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2DA8C05B" w14:textId="77777777" w:rsidR="008D15F3" w:rsidRPr="00264D5D" w:rsidRDefault="008D15F3" w:rsidP="008D15F3">
            <w:pPr>
              <w:spacing w:before="60" w:after="60"/>
              <w:jc w:val="left"/>
              <w:rPr>
                <w:sz w:val="22"/>
                <w:szCs w:val="22"/>
              </w:rPr>
            </w:pPr>
            <w:r w:rsidRPr="00264D5D">
              <w:rPr>
                <w:sz w:val="22"/>
                <w:szCs w:val="22"/>
              </w:rPr>
              <w:t>ТОФК</w:t>
            </w:r>
          </w:p>
        </w:tc>
        <w:tc>
          <w:tcPr>
            <w:tcW w:w="3968" w:type="pct"/>
          </w:tcPr>
          <w:p w14:paraId="3DE826DF" w14:textId="77777777" w:rsidR="008D15F3" w:rsidRPr="00264D5D" w:rsidRDefault="008D15F3" w:rsidP="008D15F3">
            <w:pPr>
              <w:spacing w:before="60" w:after="60"/>
              <w:rPr>
                <w:sz w:val="22"/>
                <w:szCs w:val="22"/>
              </w:rPr>
            </w:pPr>
            <w:r w:rsidRPr="00264D5D">
              <w:rPr>
                <w:sz w:val="22"/>
                <w:szCs w:val="22"/>
              </w:rPr>
              <w:t>Территориальный орган Федерального казначейства. К территориальным органам Федерального казначейства относятся – Межрегиональное операционное управление Федерального казначейства, управления Федерального казначейства по субъектам Российской Федерации</w:t>
            </w:r>
          </w:p>
        </w:tc>
      </w:tr>
      <w:tr w:rsidR="008D15F3" w:rsidRPr="00264D5D" w14:paraId="1E7739FD"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2EDE8F9B" w14:textId="77777777" w:rsidR="008D15F3" w:rsidRPr="00264D5D" w:rsidRDefault="008D15F3" w:rsidP="008D15F3">
            <w:pPr>
              <w:spacing w:before="60" w:after="60"/>
              <w:jc w:val="left"/>
              <w:rPr>
                <w:sz w:val="22"/>
                <w:szCs w:val="22"/>
              </w:rPr>
            </w:pPr>
            <w:r w:rsidRPr="00264D5D">
              <w:rPr>
                <w:sz w:val="22"/>
                <w:szCs w:val="22"/>
              </w:rPr>
              <w:lastRenderedPageBreak/>
              <w:t>ТФО</w:t>
            </w:r>
          </w:p>
        </w:tc>
        <w:tc>
          <w:tcPr>
            <w:tcW w:w="3968" w:type="pct"/>
          </w:tcPr>
          <w:p w14:paraId="2B38007B" w14:textId="77777777" w:rsidR="008D15F3" w:rsidRPr="00264D5D" w:rsidRDefault="008D15F3" w:rsidP="008D15F3">
            <w:pPr>
              <w:spacing w:before="60" w:after="60"/>
              <w:rPr>
                <w:sz w:val="22"/>
                <w:szCs w:val="22"/>
              </w:rPr>
            </w:pPr>
            <w:r w:rsidRPr="00264D5D">
              <w:rPr>
                <w:sz w:val="22"/>
                <w:szCs w:val="22"/>
              </w:rPr>
              <w:t>Требования, предъявляемые к форматам обмена при информационном взаимодействии со смежными системами прикладного программного обеспечения</w:t>
            </w:r>
          </w:p>
        </w:tc>
      </w:tr>
      <w:tr w:rsidR="008D15F3" w:rsidRPr="00264D5D" w14:paraId="2DC78EE2"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5EF86770" w14:textId="77777777" w:rsidR="008D15F3" w:rsidRPr="00264D5D" w:rsidRDefault="008D15F3" w:rsidP="008D15F3">
            <w:pPr>
              <w:spacing w:before="60" w:after="60"/>
              <w:jc w:val="left"/>
              <w:rPr>
                <w:sz w:val="22"/>
                <w:szCs w:val="22"/>
              </w:rPr>
            </w:pPr>
            <w:r w:rsidRPr="00264D5D">
              <w:rPr>
                <w:sz w:val="22"/>
                <w:szCs w:val="22"/>
              </w:rPr>
              <w:t>УБП</w:t>
            </w:r>
          </w:p>
        </w:tc>
        <w:tc>
          <w:tcPr>
            <w:tcW w:w="3968" w:type="pct"/>
          </w:tcPr>
          <w:p w14:paraId="7AA52D4B" w14:textId="77777777" w:rsidR="008D15F3" w:rsidRPr="00264D5D" w:rsidRDefault="008D15F3" w:rsidP="008D15F3">
            <w:pPr>
              <w:spacing w:before="60" w:after="60"/>
              <w:rPr>
                <w:sz w:val="22"/>
                <w:szCs w:val="22"/>
              </w:rPr>
            </w:pPr>
            <w:r w:rsidRPr="00264D5D">
              <w:rPr>
                <w:sz w:val="22"/>
                <w:szCs w:val="22"/>
              </w:rPr>
              <w:t>Участник бюджетного процесса – главный распорядитель бюджетных средств, распорядитель бюджетных средств, получатель бюджетных средств; иной получатель бюджетных средств; главный администратор доходов бюджета, администратор доходов бюджета с полномочиями главного администратора, администратор доходов бюджета; главный администратор источников финансирования дефицита бюджета, администратор источников финансирования дефицита бюджета с полномочиями главного администратора, администратор источников финансирования дефицита бюджета, финансовый орган, орган управления государственным внебюджетным фондом Российской Федерации, территориальный орган государственного внебюджетного фонда Российской Федерации, орган управления территориальным государственным внебюджетным фондом</w:t>
            </w:r>
          </w:p>
        </w:tc>
      </w:tr>
      <w:tr w:rsidR="008D15F3" w:rsidRPr="00264D5D" w14:paraId="1CD73327"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5BC138A9" w14:textId="77777777" w:rsidR="008D15F3" w:rsidRPr="00264D5D" w:rsidRDefault="008D15F3" w:rsidP="008D15F3">
            <w:pPr>
              <w:spacing w:before="60" w:after="60"/>
              <w:jc w:val="left"/>
              <w:rPr>
                <w:sz w:val="22"/>
                <w:szCs w:val="22"/>
              </w:rPr>
            </w:pPr>
            <w:r w:rsidRPr="00264D5D">
              <w:rPr>
                <w:sz w:val="22"/>
                <w:szCs w:val="22"/>
              </w:rPr>
              <w:t>Удаленный ПБС</w:t>
            </w:r>
          </w:p>
        </w:tc>
        <w:tc>
          <w:tcPr>
            <w:tcW w:w="3968" w:type="pct"/>
          </w:tcPr>
          <w:p w14:paraId="1EA78CF4" w14:textId="77777777" w:rsidR="008D15F3" w:rsidRPr="00264D5D" w:rsidRDefault="008D15F3" w:rsidP="008D15F3">
            <w:pPr>
              <w:spacing w:before="60" w:after="60"/>
              <w:rPr>
                <w:sz w:val="22"/>
                <w:szCs w:val="22"/>
              </w:rPr>
            </w:pPr>
            <w:r w:rsidRPr="00264D5D">
              <w:rPr>
                <w:sz w:val="22"/>
                <w:szCs w:val="22"/>
              </w:rPr>
              <w:t>Получатель средств бюджета субъекта Российской Федерации (муниципального образования) (его обособленное подразделение, наделенное полномочиями по ведению бухгалтерского учета), лицевой счет которому открыт в финансовом органе субъекта Российской Федерации (муниципального образования), получатель средств бюджета государственного внебюджетного фонда Российской Федерации (его обособленное подразделение, наделенное полномочиями по ведению бухгалтерского учета), лицевой счет которому открыт в органе управления государственного внебюджетного фонда Российской Федерации</w:t>
            </w:r>
          </w:p>
        </w:tc>
      </w:tr>
      <w:tr w:rsidR="008D15F3" w:rsidRPr="00264D5D" w14:paraId="1DE9DFB1"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06D20FBA" w14:textId="77777777" w:rsidR="008D15F3" w:rsidRPr="00264D5D" w:rsidRDefault="008D15F3" w:rsidP="008D15F3">
            <w:pPr>
              <w:spacing w:before="60" w:after="60"/>
              <w:jc w:val="left"/>
              <w:rPr>
                <w:sz w:val="22"/>
                <w:szCs w:val="22"/>
              </w:rPr>
            </w:pPr>
            <w:r w:rsidRPr="00264D5D">
              <w:rPr>
                <w:sz w:val="22"/>
                <w:szCs w:val="22"/>
              </w:rPr>
              <w:t>Указания по БК</w:t>
            </w:r>
          </w:p>
        </w:tc>
        <w:tc>
          <w:tcPr>
            <w:tcW w:w="3968" w:type="pct"/>
          </w:tcPr>
          <w:p w14:paraId="43B1FAA8" w14:textId="77777777" w:rsidR="008D15F3" w:rsidRPr="00264D5D" w:rsidRDefault="008D15F3" w:rsidP="008D15F3">
            <w:pPr>
              <w:spacing w:before="60" w:after="60"/>
              <w:rPr>
                <w:sz w:val="22"/>
                <w:szCs w:val="22"/>
              </w:rPr>
            </w:pPr>
            <w:r w:rsidRPr="00264D5D">
              <w:rPr>
                <w:sz w:val="22"/>
                <w:szCs w:val="22"/>
              </w:rPr>
              <w:t>Указания о порядке применения бюджетной классификации Российской Федерации, утвержденные приказом Министерством финансов Российской Федерации на соответствующий год</w:t>
            </w:r>
          </w:p>
        </w:tc>
      </w:tr>
      <w:tr w:rsidR="008D15F3" w:rsidRPr="00264D5D" w14:paraId="7D1A3267"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303748EB" w14:textId="77777777" w:rsidR="008D15F3" w:rsidRPr="00264D5D" w:rsidRDefault="008D15F3" w:rsidP="008D15F3">
            <w:pPr>
              <w:spacing w:before="60" w:after="60"/>
              <w:jc w:val="left"/>
              <w:rPr>
                <w:sz w:val="22"/>
                <w:szCs w:val="22"/>
              </w:rPr>
            </w:pPr>
            <w:r w:rsidRPr="00264D5D">
              <w:rPr>
                <w:sz w:val="22"/>
                <w:szCs w:val="22"/>
              </w:rPr>
              <w:t>УНК</w:t>
            </w:r>
          </w:p>
        </w:tc>
        <w:tc>
          <w:tcPr>
            <w:tcW w:w="3968" w:type="pct"/>
          </w:tcPr>
          <w:p w14:paraId="53F51B03" w14:textId="77777777" w:rsidR="008D15F3" w:rsidRPr="00264D5D" w:rsidRDefault="008D15F3" w:rsidP="008D15F3">
            <w:pPr>
              <w:spacing w:before="60" w:after="60"/>
              <w:rPr>
                <w:sz w:val="22"/>
                <w:szCs w:val="22"/>
              </w:rPr>
            </w:pPr>
            <w:r w:rsidRPr="00264D5D">
              <w:rPr>
                <w:sz w:val="22"/>
                <w:szCs w:val="22"/>
              </w:rPr>
              <w:t>Учетный номер клиента, присвоенный органом Федерального казначейства по месту открытия лицевого счета в рамках кода территориального органа Федерального казначейства, вида лицевого счета и типа бюджета</w:t>
            </w:r>
          </w:p>
        </w:tc>
      </w:tr>
      <w:tr w:rsidR="008D15F3" w:rsidRPr="00264D5D" w14:paraId="381F73E5"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710CA455" w14:textId="77777777" w:rsidR="008D15F3" w:rsidRPr="00264D5D" w:rsidRDefault="008D15F3" w:rsidP="008D15F3">
            <w:pPr>
              <w:spacing w:before="60" w:after="60"/>
              <w:jc w:val="left"/>
              <w:rPr>
                <w:sz w:val="22"/>
                <w:szCs w:val="22"/>
              </w:rPr>
            </w:pPr>
            <w:r w:rsidRPr="00264D5D">
              <w:rPr>
                <w:sz w:val="22"/>
                <w:szCs w:val="22"/>
              </w:rPr>
              <w:t>ФАИП</w:t>
            </w:r>
          </w:p>
        </w:tc>
        <w:tc>
          <w:tcPr>
            <w:tcW w:w="3968" w:type="pct"/>
          </w:tcPr>
          <w:p w14:paraId="0D094818" w14:textId="77777777" w:rsidR="008D15F3" w:rsidRPr="00264D5D" w:rsidRDefault="008D15F3" w:rsidP="008D15F3">
            <w:pPr>
              <w:spacing w:before="60" w:after="60"/>
              <w:rPr>
                <w:sz w:val="22"/>
                <w:szCs w:val="22"/>
              </w:rPr>
            </w:pPr>
            <w:r w:rsidRPr="00264D5D">
              <w:rPr>
                <w:sz w:val="22"/>
                <w:szCs w:val="22"/>
              </w:rPr>
              <w:t>Федеральная адресная инвестиционная программа</w:t>
            </w:r>
          </w:p>
        </w:tc>
      </w:tr>
      <w:tr w:rsidR="008D15F3" w:rsidRPr="00264D5D" w14:paraId="11964FC5"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29ADF45B" w14:textId="77777777" w:rsidR="008D15F3" w:rsidRPr="00264D5D" w:rsidRDefault="008D15F3" w:rsidP="008D15F3">
            <w:pPr>
              <w:spacing w:before="60" w:after="60"/>
              <w:jc w:val="left"/>
              <w:rPr>
                <w:sz w:val="22"/>
                <w:szCs w:val="22"/>
              </w:rPr>
            </w:pPr>
            <w:r w:rsidRPr="00264D5D">
              <w:rPr>
                <w:sz w:val="22"/>
                <w:szCs w:val="22"/>
              </w:rPr>
              <w:t>ФБ</w:t>
            </w:r>
          </w:p>
        </w:tc>
        <w:tc>
          <w:tcPr>
            <w:tcW w:w="3968" w:type="pct"/>
          </w:tcPr>
          <w:p w14:paraId="11840A92" w14:textId="77777777" w:rsidR="008D15F3" w:rsidRPr="00264D5D" w:rsidRDefault="008D15F3" w:rsidP="008D15F3">
            <w:pPr>
              <w:spacing w:before="60" w:after="60"/>
              <w:rPr>
                <w:sz w:val="22"/>
                <w:szCs w:val="22"/>
              </w:rPr>
            </w:pPr>
            <w:r w:rsidRPr="00264D5D">
              <w:rPr>
                <w:sz w:val="22"/>
                <w:szCs w:val="22"/>
              </w:rPr>
              <w:t>Федеральный бюджет</w:t>
            </w:r>
          </w:p>
        </w:tc>
      </w:tr>
      <w:tr w:rsidR="008D15F3" w:rsidRPr="00264D5D" w14:paraId="7EF50082"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4E7EEC0B" w14:textId="77777777" w:rsidR="008D15F3" w:rsidRPr="00264D5D" w:rsidRDefault="008D15F3" w:rsidP="008D15F3">
            <w:pPr>
              <w:spacing w:before="60" w:after="60"/>
              <w:jc w:val="left"/>
              <w:rPr>
                <w:sz w:val="22"/>
                <w:szCs w:val="22"/>
              </w:rPr>
            </w:pPr>
            <w:r w:rsidRPr="00264D5D">
              <w:rPr>
                <w:sz w:val="22"/>
                <w:szCs w:val="22"/>
              </w:rPr>
              <w:t>ФГУП</w:t>
            </w:r>
          </w:p>
        </w:tc>
        <w:tc>
          <w:tcPr>
            <w:tcW w:w="3968" w:type="pct"/>
          </w:tcPr>
          <w:p w14:paraId="763233AA" w14:textId="77777777" w:rsidR="008D15F3" w:rsidRPr="00264D5D" w:rsidRDefault="008D15F3" w:rsidP="008D15F3">
            <w:pPr>
              <w:spacing w:before="60" w:after="60"/>
              <w:rPr>
                <w:sz w:val="22"/>
                <w:szCs w:val="22"/>
              </w:rPr>
            </w:pPr>
            <w:r w:rsidRPr="00264D5D">
              <w:rPr>
                <w:sz w:val="22"/>
                <w:szCs w:val="22"/>
              </w:rPr>
              <w:t>Федеральное государственное унитарное предприятие</w:t>
            </w:r>
          </w:p>
        </w:tc>
      </w:tr>
      <w:tr w:rsidR="008D15F3" w:rsidRPr="00264D5D" w14:paraId="66F7D8F3"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18216FE5" w14:textId="77777777" w:rsidR="008D15F3" w:rsidRPr="00264D5D" w:rsidRDefault="008D15F3" w:rsidP="008D15F3">
            <w:pPr>
              <w:spacing w:before="60" w:after="60"/>
              <w:jc w:val="left"/>
              <w:rPr>
                <w:sz w:val="22"/>
                <w:szCs w:val="22"/>
              </w:rPr>
            </w:pPr>
            <w:r w:rsidRPr="00264D5D">
              <w:rPr>
                <w:sz w:val="22"/>
                <w:szCs w:val="22"/>
              </w:rPr>
              <w:t>ФИО</w:t>
            </w:r>
          </w:p>
        </w:tc>
        <w:tc>
          <w:tcPr>
            <w:tcW w:w="3968" w:type="pct"/>
          </w:tcPr>
          <w:p w14:paraId="55CE509F" w14:textId="77777777" w:rsidR="008D15F3" w:rsidRPr="00264D5D" w:rsidRDefault="008D15F3" w:rsidP="008D15F3">
            <w:pPr>
              <w:spacing w:before="60" w:after="60"/>
              <w:rPr>
                <w:sz w:val="22"/>
                <w:szCs w:val="22"/>
              </w:rPr>
            </w:pPr>
            <w:r w:rsidRPr="00264D5D">
              <w:rPr>
                <w:sz w:val="22"/>
                <w:szCs w:val="22"/>
              </w:rPr>
              <w:t>Фамилия, имя, отчество</w:t>
            </w:r>
          </w:p>
        </w:tc>
      </w:tr>
      <w:tr w:rsidR="008D15F3" w:rsidRPr="00264D5D" w14:paraId="16E0999F"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4D4ABF6A" w14:textId="77777777" w:rsidR="008D15F3" w:rsidRPr="00264D5D" w:rsidRDefault="008D15F3" w:rsidP="008D15F3">
            <w:pPr>
              <w:spacing w:before="60" w:after="60"/>
              <w:jc w:val="left"/>
              <w:rPr>
                <w:sz w:val="22"/>
                <w:szCs w:val="22"/>
              </w:rPr>
            </w:pPr>
            <w:r w:rsidRPr="00264D5D">
              <w:rPr>
                <w:sz w:val="22"/>
                <w:szCs w:val="22"/>
              </w:rPr>
              <w:t>ФК</w:t>
            </w:r>
          </w:p>
        </w:tc>
        <w:tc>
          <w:tcPr>
            <w:tcW w:w="3968" w:type="pct"/>
          </w:tcPr>
          <w:p w14:paraId="479E16E1" w14:textId="77777777" w:rsidR="008D15F3" w:rsidRPr="00264D5D" w:rsidRDefault="008D15F3" w:rsidP="008D15F3">
            <w:pPr>
              <w:spacing w:before="60" w:after="60"/>
              <w:rPr>
                <w:sz w:val="22"/>
                <w:szCs w:val="22"/>
              </w:rPr>
            </w:pPr>
            <w:r w:rsidRPr="00264D5D">
              <w:rPr>
                <w:sz w:val="22"/>
                <w:szCs w:val="22"/>
              </w:rPr>
              <w:t>Федеральное казначейство</w:t>
            </w:r>
          </w:p>
        </w:tc>
      </w:tr>
      <w:tr w:rsidR="008D15F3" w:rsidRPr="00264D5D" w14:paraId="39A9A4AA"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4172211C" w14:textId="77777777" w:rsidR="008D15F3" w:rsidRPr="00264D5D" w:rsidRDefault="008D15F3" w:rsidP="008D15F3">
            <w:pPr>
              <w:spacing w:before="60" w:after="60"/>
              <w:jc w:val="left"/>
              <w:rPr>
                <w:sz w:val="22"/>
                <w:szCs w:val="22"/>
              </w:rPr>
            </w:pPr>
            <w:r w:rsidRPr="00264D5D">
              <w:rPr>
                <w:sz w:val="22"/>
                <w:szCs w:val="22"/>
              </w:rPr>
              <w:t>ФНС</w:t>
            </w:r>
          </w:p>
        </w:tc>
        <w:tc>
          <w:tcPr>
            <w:tcW w:w="3968" w:type="pct"/>
          </w:tcPr>
          <w:p w14:paraId="526CF96D" w14:textId="77777777" w:rsidR="008D15F3" w:rsidRPr="00264D5D" w:rsidRDefault="008D15F3" w:rsidP="008D15F3">
            <w:pPr>
              <w:spacing w:before="60" w:after="60"/>
              <w:rPr>
                <w:sz w:val="22"/>
                <w:szCs w:val="22"/>
              </w:rPr>
            </w:pPr>
            <w:r w:rsidRPr="00264D5D">
              <w:rPr>
                <w:sz w:val="22"/>
                <w:szCs w:val="22"/>
              </w:rPr>
              <w:t>Федеральная налоговая служба</w:t>
            </w:r>
          </w:p>
        </w:tc>
      </w:tr>
      <w:tr w:rsidR="008D15F3" w:rsidRPr="00264D5D" w14:paraId="5129E265"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3C1ECDF9" w14:textId="77777777" w:rsidR="008D15F3" w:rsidRPr="00264D5D" w:rsidRDefault="008D15F3" w:rsidP="008D15F3">
            <w:pPr>
              <w:spacing w:before="60" w:after="60"/>
              <w:jc w:val="left"/>
              <w:rPr>
                <w:sz w:val="22"/>
                <w:szCs w:val="22"/>
              </w:rPr>
            </w:pPr>
            <w:r w:rsidRPr="00264D5D">
              <w:rPr>
                <w:sz w:val="22"/>
                <w:szCs w:val="22"/>
              </w:rPr>
              <w:t>ФО (Финорган)</w:t>
            </w:r>
          </w:p>
        </w:tc>
        <w:tc>
          <w:tcPr>
            <w:tcW w:w="3968" w:type="pct"/>
          </w:tcPr>
          <w:p w14:paraId="04D0967D" w14:textId="77777777" w:rsidR="008D15F3" w:rsidRPr="00264D5D" w:rsidRDefault="008D15F3" w:rsidP="008D15F3">
            <w:pPr>
              <w:spacing w:before="60" w:after="60"/>
              <w:rPr>
                <w:sz w:val="22"/>
                <w:szCs w:val="22"/>
              </w:rPr>
            </w:pPr>
            <w:r w:rsidRPr="00264D5D">
              <w:rPr>
                <w:sz w:val="22"/>
                <w:szCs w:val="22"/>
              </w:rPr>
              <w:t>Финансовые органы – Министерство финансов Российской Федерации, органы исполнительной власти субъектов Российской Федерации, осуществляющие составление и организацию исполнения бюджетов субъекта Российской Федерации (финансовые органы субъекта Российской Федерации), органы (должностные лица) местных администраций муниципальных образований, осуществляющие составление и организацию исполнения местных бюджетов (финансовые органы муниципального образования)</w:t>
            </w:r>
          </w:p>
        </w:tc>
      </w:tr>
      <w:tr w:rsidR="008D15F3" w:rsidRPr="00264D5D" w14:paraId="426D57A6"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4EDF243E" w14:textId="77777777" w:rsidR="008D15F3" w:rsidRPr="00A34055" w:rsidRDefault="008D15F3" w:rsidP="008D15F3">
            <w:pPr>
              <w:spacing w:before="60" w:after="60"/>
              <w:jc w:val="left"/>
              <w:rPr>
                <w:sz w:val="22"/>
                <w:szCs w:val="22"/>
                <w:highlight w:val="green"/>
              </w:rPr>
            </w:pPr>
            <w:r w:rsidRPr="00A34055">
              <w:rPr>
                <w:sz w:val="22"/>
                <w:szCs w:val="22"/>
                <w:highlight w:val="green"/>
              </w:rPr>
              <w:lastRenderedPageBreak/>
              <w:t>ФТС</w:t>
            </w:r>
          </w:p>
        </w:tc>
        <w:tc>
          <w:tcPr>
            <w:tcW w:w="3968" w:type="pct"/>
          </w:tcPr>
          <w:p w14:paraId="617E3969" w14:textId="77777777" w:rsidR="008D15F3" w:rsidRPr="00A34055" w:rsidRDefault="008D15F3" w:rsidP="008D15F3">
            <w:pPr>
              <w:spacing w:before="60" w:after="60"/>
              <w:rPr>
                <w:sz w:val="22"/>
                <w:szCs w:val="22"/>
                <w:highlight w:val="green"/>
              </w:rPr>
            </w:pPr>
            <w:r w:rsidRPr="00A34055">
              <w:rPr>
                <w:sz w:val="22"/>
                <w:szCs w:val="22"/>
                <w:highlight w:val="green"/>
              </w:rPr>
              <w:t>Федеральная таможенная служба</w:t>
            </w:r>
          </w:p>
        </w:tc>
      </w:tr>
      <w:tr w:rsidR="008D15F3" w:rsidRPr="00264D5D" w14:paraId="4FF984F0"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77C8415C" w14:textId="77777777" w:rsidR="008D15F3" w:rsidRPr="00264D5D" w:rsidRDefault="008D15F3" w:rsidP="008D15F3">
            <w:pPr>
              <w:spacing w:before="60" w:after="60"/>
              <w:jc w:val="left"/>
              <w:rPr>
                <w:sz w:val="22"/>
                <w:szCs w:val="22"/>
              </w:rPr>
            </w:pPr>
            <w:r w:rsidRPr="00264D5D">
              <w:rPr>
                <w:sz w:val="22"/>
                <w:szCs w:val="22"/>
              </w:rPr>
              <w:t>ЦБ РФ</w:t>
            </w:r>
          </w:p>
        </w:tc>
        <w:tc>
          <w:tcPr>
            <w:tcW w:w="3968" w:type="pct"/>
          </w:tcPr>
          <w:p w14:paraId="58806041" w14:textId="77777777" w:rsidR="008D15F3" w:rsidRPr="00264D5D" w:rsidRDefault="008D15F3" w:rsidP="008D15F3">
            <w:pPr>
              <w:spacing w:before="60" w:after="60"/>
              <w:rPr>
                <w:sz w:val="22"/>
                <w:szCs w:val="22"/>
              </w:rPr>
            </w:pPr>
            <w:r w:rsidRPr="00264D5D">
              <w:rPr>
                <w:sz w:val="22"/>
                <w:szCs w:val="22"/>
              </w:rPr>
              <w:t>Центральный банк Российской Федерации</w:t>
            </w:r>
          </w:p>
        </w:tc>
      </w:tr>
      <w:tr w:rsidR="008D15F3" w:rsidRPr="00264D5D" w14:paraId="01A3955E"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326DD789" w14:textId="77777777" w:rsidR="008D15F3" w:rsidRPr="00264D5D" w:rsidRDefault="008D15F3" w:rsidP="008D15F3">
            <w:pPr>
              <w:spacing w:before="60" w:after="60"/>
              <w:jc w:val="left"/>
              <w:rPr>
                <w:sz w:val="22"/>
                <w:szCs w:val="22"/>
              </w:rPr>
            </w:pPr>
            <w:r w:rsidRPr="00264D5D">
              <w:rPr>
                <w:sz w:val="22"/>
                <w:szCs w:val="22"/>
              </w:rPr>
              <w:t>ЭД</w:t>
            </w:r>
          </w:p>
        </w:tc>
        <w:tc>
          <w:tcPr>
            <w:tcW w:w="3968" w:type="pct"/>
          </w:tcPr>
          <w:p w14:paraId="3AF26F46" w14:textId="77777777" w:rsidR="008D15F3" w:rsidRPr="00264D5D" w:rsidRDefault="008D15F3" w:rsidP="008D15F3">
            <w:pPr>
              <w:spacing w:before="60" w:after="60"/>
              <w:rPr>
                <w:sz w:val="22"/>
                <w:szCs w:val="22"/>
              </w:rPr>
            </w:pPr>
            <w:r w:rsidRPr="00264D5D">
              <w:rPr>
                <w:sz w:val="22"/>
                <w:szCs w:val="22"/>
              </w:rPr>
              <w:t>Электронный документ, аналог бумажного документа в системе документооборота организации, имеющий строго оговоренные функции (в зависимости от класса документа), несущий только определенный набор информации (поля) и обладающий жестко установленным жизненным циклом (система статусов или статусы документа)</w:t>
            </w:r>
          </w:p>
        </w:tc>
      </w:tr>
      <w:tr w:rsidR="008D15F3" w:rsidRPr="00264D5D" w14:paraId="361919EA" w14:textId="77777777" w:rsidTr="008417DE">
        <w:trPr>
          <w:cnfStyle w:val="000000010000" w:firstRow="0" w:lastRow="0" w:firstColumn="0" w:lastColumn="0" w:oddVBand="0" w:evenVBand="0" w:oddHBand="0" w:evenHBand="1" w:firstRowFirstColumn="0" w:firstRowLastColumn="0" w:lastRowFirstColumn="0" w:lastRowLastColumn="0"/>
          <w:trHeight w:val="308"/>
        </w:trPr>
        <w:tc>
          <w:tcPr>
            <w:tcW w:w="1032" w:type="pct"/>
          </w:tcPr>
          <w:p w14:paraId="7BA5EED1" w14:textId="77777777" w:rsidR="008D15F3" w:rsidRPr="00264D5D" w:rsidRDefault="008D15F3" w:rsidP="008D15F3">
            <w:pPr>
              <w:spacing w:before="60" w:after="60"/>
              <w:jc w:val="left"/>
              <w:rPr>
                <w:sz w:val="22"/>
                <w:szCs w:val="22"/>
              </w:rPr>
            </w:pPr>
            <w:r w:rsidRPr="00264D5D">
              <w:rPr>
                <w:sz w:val="22"/>
                <w:szCs w:val="22"/>
              </w:rPr>
              <w:t>ЭП</w:t>
            </w:r>
          </w:p>
        </w:tc>
        <w:tc>
          <w:tcPr>
            <w:tcW w:w="3968" w:type="pct"/>
          </w:tcPr>
          <w:p w14:paraId="27C7C68F" w14:textId="77777777" w:rsidR="008D15F3" w:rsidRPr="00264D5D" w:rsidRDefault="008D15F3" w:rsidP="008D15F3">
            <w:pPr>
              <w:spacing w:before="60" w:after="60"/>
              <w:rPr>
                <w:sz w:val="22"/>
                <w:szCs w:val="22"/>
              </w:rPr>
            </w:pPr>
            <w:r w:rsidRPr="00264D5D">
              <w:rPr>
                <w:sz w:val="22"/>
                <w:szCs w:val="22"/>
              </w:rPr>
              <w:t>Информация в электронной форме, которая присоединена к другой информации в электронной форме (подписываемой информации) или иным образом связана с такой информацией и которая используется для определения лица, подписывающего информацию</w:t>
            </w:r>
          </w:p>
        </w:tc>
      </w:tr>
      <w:tr w:rsidR="008D15F3" w:rsidRPr="00264D5D" w14:paraId="194A8D32" w14:textId="77777777" w:rsidTr="008417DE">
        <w:trPr>
          <w:cnfStyle w:val="000000100000" w:firstRow="0" w:lastRow="0" w:firstColumn="0" w:lastColumn="0" w:oddVBand="0" w:evenVBand="0" w:oddHBand="1" w:evenHBand="0" w:firstRowFirstColumn="0" w:firstRowLastColumn="0" w:lastRowFirstColumn="0" w:lastRowLastColumn="0"/>
          <w:trHeight w:val="308"/>
        </w:trPr>
        <w:tc>
          <w:tcPr>
            <w:tcW w:w="1032" w:type="pct"/>
          </w:tcPr>
          <w:p w14:paraId="7C040829" w14:textId="77777777" w:rsidR="008D15F3" w:rsidRPr="00264D5D" w:rsidRDefault="008D15F3" w:rsidP="008D15F3">
            <w:pPr>
              <w:spacing w:before="60" w:after="60"/>
              <w:jc w:val="left"/>
              <w:rPr>
                <w:sz w:val="22"/>
                <w:szCs w:val="22"/>
              </w:rPr>
            </w:pPr>
            <w:r w:rsidRPr="00264D5D">
              <w:rPr>
                <w:sz w:val="22"/>
                <w:szCs w:val="22"/>
              </w:rPr>
              <w:t>ЮЛ</w:t>
            </w:r>
          </w:p>
        </w:tc>
        <w:tc>
          <w:tcPr>
            <w:tcW w:w="3968" w:type="pct"/>
          </w:tcPr>
          <w:p w14:paraId="41BA0B26" w14:textId="77777777" w:rsidR="008D15F3" w:rsidRPr="00264D5D" w:rsidRDefault="008D15F3" w:rsidP="008D15F3">
            <w:pPr>
              <w:spacing w:before="60" w:after="60"/>
              <w:rPr>
                <w:sz w:val="22"/>
                <w:szCs w:val="22"/>
              </w:rPr>
            </w:pPr>
            <w:r w:rsidRPr="00264D5D">
              <w:rPr>
                <w:sz w:val="22"/>
                <w:szCs w:val="22"/>
              </w:rPr>
              <w:t>Юридическое лицо</w:t>
            </w:r>
          </w:p>
        </w:tc>
      </w:tr>
    </w:tbl>
    <w:p w14:paraId="5C176937" w14:textId="77777777" w:rsidR="00AD1F54" w:rsidRPr="00552837" w:rsidRDefault="00941227">
      <w:pPr>
        <w:pStyle w:val="10"/>
        <w:jc w:val="both"/>
        <w:rPr>
          <w:highlight w:val="green"/>
        </w:rPr>
      </w:pPr>
      <w:bookmarkStart w:id="75" w:name="_Ref19882162"/>
      <w:bookmarkStart w:id="76" w:name="_Toc364869001"/>
      <w:bookmarkStart w:id="77" w:name="_Toc366759399"/>
      <w:bookmarkStart w:id="78" w:name="_Toc411507334"/>
      <w:bookmarkStart w:id="79" w:name="_Toc277091759"/>
      <w:bookmarkStart w:id="80" w:name="_Toc351471138"/>
      <w:bookmarkStart w:id="81" w:name="_Toc351717265"/>
      <w:bookmarkStart w:id="82" w:name="_Toc219309432"/>
      <w:bookmarkEnd w:id="22"/>
      <w:r w:rsidRPr="00552837">
        <w:rPr>
          <w:highlight w:val="green"/>
        </w:rPr>
        <w:lastRenderedPageBreak/>
        <w:t>Общие требования к формату сообщений документов и справочников</w:t>
      </w:r>
      <w:bookmarkEnd w:id="75"/>
      <w:bookmarkEnd w:id="82"/>
      <w:r w:rsidRPr="00552837">
        <w:rPr>
          <w:highlight w:val="green"/>
        </w:rPr>
        <w:t xml:space="preserve"> </w:t>
      </w:r>
    </w:p>
    <w:p w14:paraId="092C49B6" w14:textId="074E08F3" w:rsidR="00AD1F54" w:rsidRPr="00552837" w:rsidRDefault="00941227">
      <w:pPr>
        <w:pStyle w:val="OTRNameTable"/>
        <w:numPr>
          <w:ilvl w:val="0"/>
          <w:numId w:val="2"/>
        </w:numPr>
        <w:ind w:firstLine="0"/>
        <w:rPr>
          <w:rFonts w:eastAsia="Calibri"/>
          <w:szCs w:val="24"/>
          <w:highlight w:val="green"/>
        </w:rPr>
      </w:pPr>
      <w:r w:rsidRPr="00552837">
        <w:rPr>
          <w:rFonts w:eastAsia="Calibri"/>
          <w:szCs w:val="24"/>
          <w:highlight w:val="green"/>
        </w:rPr>
        <w:fldChar w:fldCharType="begin"/>
      </w:r>
      <w:r w:rsidRPr="00552837">
        <w:rPr>
          <w:rFonts w:eastAsia="Calibri"/>
          <w:szCs w:val="24"/>
          <w:highlight w:val="green"/>
        </w:rPr>
        <w:instrText xml:space="preserve"> SEQ Таблица \* ARABIC </w:instrText>
      </w:r>
      <w:r w:rsidRPr="00552837">
        <w:rPr>
          <w:rFonts w:eastAsia="Calibri"/>
          <w:szCs w:val="24"/>
          <w:highlight w:val="green"/>
        </w:rPr>
        <w:fldChar w:fldCharType="separate"/>
      </w:r>
      <w:bookmarkStart w:id="83" w:name="_Ref19881821"/>
      <w:bookmarkStart w:id="84" w:name="_Toc30503341"/>
      <w:bookmarkStart w:id="85" w:name="_Toc30507939"/>
      <w:bookmarkStart w:id="86" w:name="_Toc219309032"/>
      <w:r w:rsidR="008D797C">
        <w:rPr>
          <w:rFonts w:eastAsia="Calibri"/>
          <w:noProof/>
          <w:szCs w:val="24"/>
          <w:highlight w:val="green"/>
        </w:rPr>
        <w:t>2</w:t>
      </w:r>
      <w:bookmarkEnd w:id="83"/>
      <w:r w:rsidRPr="00552837">
        <w:rPr>
          <w:rFonts w:eastAsia="Calibri"/>
          <w:szCs w:val="24"/>
          <w:highlight w:val="green"/>
        </w:rPr>
        <w:fldChar w:fldCharType="end"/>
      </w:r>
      <w:r w:rsidRPr="00552837">
        <w:rPr>
          <w:rFonts w:eastAsia="Calibri"/>
          <w:szCs w:val="24"/>
          <w:highlight w:val="green"/>
        </w:rPr>
        <w:t xml:space="preserve"> – Перечень документов и справочников </w:t>
      </w:r>
      <w:r w:rsidRPr="00552837">
        <w:rPr>
          <w:highlight w:val="green"/>
        </w:rPr>
        <w:t>с указанием кодов и маркеров массивов информации</w:t>
      </w:r>
      <w:bookmarkEnd w:id="84"/>
      <w:bookmarkEnd w:id="85"/>
      <w:bookmarkEnd w:id="86"/>
    </w:p>
    <w:tbl>
      <w:tblPr>
        <w:tblStyle w:val="GOSTTable"/>
        <w:tblW w:w="5000" w:type="pct"/>
        <w:tblLayout w:type="fixed"/>
        <w:tblLook w:val="01E0" w:firstRow="1" w:lastRow="1" w:firstColumn="1" w:lastColumn="1" w:noHBand="0" w:noVBand="0"/>
      </w:tblPr>
      <w:tblGrid>
        <w:gridCol w:w="1390"/>
        <w:gridCol w:w="907"/>
        <w:gridCol w:w="620"/>
        <w:gridCol w:w="731"/>
        <w:gridCol w:w="731"/>
        <w:gridCol w:w="1299"/>
        <w:gridCol w:w="1280"/>
        <w:gridCol w:w="2692"/>
      </w:tblGrid>
      <w:tr w:rsidR="00AD1F54" w:rsidRPr="00264D5D" w14:paraId="53AA5543"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720" w:type="pct"/>
            <w:shd w:val="clear" w:color="auto" w:fill="E7E6E6" w:themeFill="background2"/>
          </w:tcPr>
          <w:p w14:paraId="03147FB9" w14:textId="77777777" w:rsidR="00AD1F54" w:rsidRPr="00264D5D" w:rsidRDefault="00941227" w:rsidP="00466EB8">
            <w:pPr>
              <w:pStyle w:val="OTRTableHead"/>
              <w:widowControl w:val="0"/>
              <w:ind w:left="57" w:right="57"/>
              <w:rPr>
                <w:sz w:val="22"/>
                <w:szCs w:val="22"/>
              </w:rPr>
            </w:pPr>
            <w:r w:rsidRPr="00264D5D">
              <w:rPr>
                <w:sz w:val="22"/>
                <w:szCs w:val="22"/>
              </w:rPr>
              <w:t>Наименование документа</w:t>
            </w:r>
          </w:p>
        </w:tc>
        <w:tc>
          <w:tcPr>
            <w:tcW w:w="470" w:type="pct"/>
            <w:shd w:val="clear" w:color="auto" w:fill="E7E6E6" w:themeFill="background2"/>
          </w:tcPr>
          <w:p w14:paraId="44747CF3" w14:textId="77777777" w:rsidR="00AD1F54" w:rsidRPr="00264D5D" w:rsidRDefault="00941227" w:rsidP="00466EB8">
            <w:pPr>
              <w:pStyle w:val="OTRTableHead"/>
              <w:widowControl w:val="0"/>
              <w:ind w:left="57" w:right="57"/>
              <w:rPr>
                <w:sz w:val="22"/>
                <w:szCs w:val="22"/>
              </w:rPr>
            </w:pPr>
            <w:r w:rsidRPr="00264D5D">
              <w:rPr>
                <w:sz w:val="22"/>
                <w:szCs w:val="22"/>
              </w:rPr>
              <w:t xml:space="preserve">Код массива </w:t>
            </w:r>
            <w:r w:rsidRPr="00264D5D">
              <w:rPr>
                <w:sz w:val="22"/>
                <w:szCs w:val="22"/>
              </w:rPr>
              <w:br/>
              <w:t xml:space="preserve">информации </w:t>
            </w:r>
          </w:p>
        </w:tc>
        <w:tc>
          <w:tcPr>
            <w:tcW w:w="321" w:type="pct"/>
            <w:shd w:val="clear" w:color="auto" w:fill="E7E6E6" w:themeFill="background2"/>
          </w:tcPr>
          <w:p w14:paraId="43EA5E94" w14:textId="77777777" w:rsidR="00AD1F54" w:rsidRPr="00264D5D" w:rsidRDefault="00941227" w:rsidP="00466EB8">
            <w:pPr>
              <w:pStyle w:val="OTRTableHead"/>
              <w:widowControl w:val="0"/>
              <w:ind w:left="57" w:right="57"/>
              <w:rPr>
                <w:sz w:val="22"/>
                <w:szCs w:val="22"/>
              </w:rPr>
            </w:pPr>
            <w:r w:rsidRPr="00264D5D">
              <w:rPr>
                <w:sz w:val="22"/>
                <w:szCs w:val="22"/>
              </w:rPr>
              <w:t>Маркер документа</w:t>
            </w:r>
          </w:p>
        </w:tc>
        <w:tc>
          <w:tcPr>
            <w:tcW w:w="379" w:type="pct"/>
            <w:shd w:val="clear" w:color="auto" w:fill="E7E6E6" w:themeFill="background2"/>
          </w:tcPr>
          <w:p w14:paraId="113B3E9E" w14:textId="77777777" w:rsidR="00AD1F54" w:rsidRPr="00264D5D" w:rsidRDefault="00941227" w:rsidP="00466EB8">
            <w:pPr>
              <w:pStyle w:val="OTRTableHead"/>
              <w:widowControl w:val="0"/>
              <w:ind w:left="57" w:right="57"/>
              <w:rPr>
                <w:sz w:val="22"/>
                <w:szCs w:val="22"/>
              </w:rPr>
            </w:pPr>
            <w:r w:rsidRPr="00264D5D">
              <w:rPr>
                <w:sz w:val="22"/>
                <w:szCs w:val="22"/>
              </w:rPr>
              <w:t xml:space="preserve">Номер версии ТФО документа </w:t>
            </w:r>
          </w:p>
        </w:tc>
        <w:tc>
          <w:tcPr>
            <w:tcW w:w="379" w:type="pct"/>
            <w:shd w:val="clear" w:color="auto" w:fill="E7E6E6" w:themeFill="background2"/>
          </w:tcPr>
          <w:p w14:paraId="28DDE7A0" w14:textId="77777777" w:rsidR="00AD1F54" w:rsidRPr="00264D5D" w:rsidRDefault="00941227" w:rsidP="00466EB8">
            <w:pPr>
              <w:pStyle w:val="OTRTableHead"/>
              <w:widowControl w:val="0"/>
              <w:ind w:left="57" w:right="57"/>
              <w:rPr>
                <w:sz w:val="22"/>
                <w:szCs w:val="22"/>
              </w:rPr>
            </w:pPr>
            <w:r w:rsidRPr="00264D5D">
              <w:rPr>
                <w:sz w:val="22"/>
                <w:szCs w:val="22"/>
              </w:rPr>
              <w:t>Номер версии альбома</w:t>
            </w:r>
          </w:p>
        </w:tc>
        <w:tc>
          <w:tcPr>
            <w:tcW w:w="673" w:type="pct"/>
            <w:shd w:val="clear" w:color="auto" w:fill="E7E6E6" w:themeFill="background2"/>
          </w:tcPr>
          <w:p w14:paraId="640BAFC0" w14:textId="77777777" w:rsidR="00AD1F54" w:rsidRPr="00264D5D" w:rsidRDefault="00941227" w:rsidP="00466EB8">
            <w:pPr>
              <w:pStyle w:val="OTRTableHead"/>
              <w:widowControl w:val="0"/>
              <w:ind w:left="57" w:right="57"/>
              <w:rPr>
                <w:sz w:val="22"/>
                <w:szCs w:val="22"/>
              </w:rPr>
            </w:pPr>
            <w:r w:rsidRPr="00264D5D">
              <w:rPr>
                <w:sz w:val="22"/>
                <w:szCs w:val="22"/>
              </w:rPr>
              <w:t>Дата вступления в действие версии ТФО документа</w:t>
            </w:r>
          </w:p>
        </w:tc>
        <w:tc>
          <w:tcPr>
            <w:tcW w:w="663" w:type="pct"/>
            <w:shd w:val="clear" w:color="auto" w:fill="E7E6E6" w:themeFill="background2"/>
          </w:tcPr>
          <w:p w14:paraId="2F6255A8" w14:textId="77777777" w:rsidR="00AD1F54" w:rsidRPr="00264D5D" w:rsidRDefault="00941227" w:rsidP="00466EB8">
            <w:pPr>
              <w:pStyle w:val="OTRTableHead"/>
              <w:widowControl w:val="0"/>
              <w:ind w:left="57" w:right="57"/>
              <w:rPr>
                <w:sz w:val="22"/>
                <w:szCs w:val="22"/>
              </w:rPr>
            </w:pPr>
            <w:r w:rsidRPr="00264D5D">
              <w:rPr>
                <w:sz w:val="22"/>
                <w:szCs w:val="22"/>
              </w:rPr>
              <w:t>Дата окончания действия предыдущей версии ТФО документа</w:t>
            </w:r>
          </w:p>
        </w:tc>
        <w:tc>
          <w:tcPr>
            <w:tcW w:w="1395" w:type="pct"/>
            <w:shd w:val="clear" w:color="auto" w:fill="E7E6E6" w:themeFill="background2"/>
          </w:tcPr>
          <w:p w14:paraId="6A7CE000" w14:textId="77777777" w:rsidR="00AD1F54" w:rsidRPr="00264D5D" w:rsidRDefault="00941227" w:rsidP="00466EB8">
            <w:pPr>
              <w:pStyle w:val="OTRTableHead"/>
              <w:widowControl w:val="0"/>
              <w:ind w:left="57" w:right="57"/>
              <w:rPr>
                <w:sz w:val="22"/>
                <w:szCs w:val="22"/>
              </w:rPr>
            </w:pPr>
            <w:r w:rsidRPr="00264D5D">
              <w:rPr>
                <w:sz w:val="22"/>
                <w:szCs w:val="22"/>
              </w:rPr>
              <w:t>Основание изменений / Примечания</w:t>
            </w:r>
          </w:p>
        </w:tc>
      </w:tr>
      <w:tr w:rsidR="00AD1F54" w:rsidRPr="00264D5D" w14:paraId="21F347E6" w14:textId="77777777" w:rsidTr="00AD1F54">
        <w:trPr>
          <w:cnfStyle w:val="000000100000" w:firstRow="0" w:lastRow="0" w:firstColumn="0" w:lastColumn="0" w:oddVBand="0" w:evenVBand="0" w:oddHBand="1" w:evenHBand="0" w:firstRowFirstColumn="0" w:firstRowLastColumn="0" w:lastRowFirstColumn="0" w:lastRowLastColumn="0"/>
        </w:trPr>
        <w:tc>
          <w:tcPr>
            <w:tcW w:w="720" w:type="pct"/>
          </w:tcPr>
          <w:p w14:paraId="4895CF72" w14:textId="77777777" w:rsidR="00AD1F54" w:rsidRPr="00264D5D" w:rsidRDefault="00941227" w:rsidP="00466EB8">
            <w:pPr>
              <w:spacing w:before="60" w:after="60"/>
              <w:rPr>
                <w:sz w:val="22"/>
                <w:szCs w:val="22"/>
              </w:rPr>
            </w:pPr>
            <w:r w:rsidRPr="00264D5D">
              <w:rPr>
                <w:sz w:val="22"/>
                <w:szCs w:val="22"/>
              </w:rPr>
              <w:t>Сведения о бюджетном обязательстве</w:t>
            </w:r>
          </w:p>
        </w:tc>
        <w:tc>
          <w:tcPr>
            <w:tcW w:w="470" w:type="pct"/>
          </w:tcPr>
          <w:p w14:paraId="364415AB" w14:textId="77777777" w:rsidR="00AD1F54" w:rsidRPr="00264D5D" w:rsidRDefault="00941227" w:rsidP="00466EB8">
            <w:pPr>
              <w:spacing w:before="60" w:after="60"/>
              <w:rPr>
                <w:sz w:val="22"/>
                <w:szCs w:val="22"/>
              </w:rPr>
            </w:pPr>
            <w:r w:rsidRPr="00264D5D">
              <w:rPr>
                <w:sz w:val="22"/>
                <w:szCs w:val="22"/>
              </w:rPr>
              <w:t>EXP_InfBO</w:t>
            </w:r>
          </w:p>
        </w:tc>
        <w:tc>
          <w:tcPr>
            <w:tcW w:w="321" w:type="pct"/>
          </w:tcPr>
          <w:p w14:paraId="6CFFFF02" w14:textId="77777777" w:rsidR="00AD1F54" w:rsidRPr="00264D5D" w:rsidRDefault="00941227" w:rsidP="00466EB8">
            <w:pPr>
              <w:spacing w:before="60" w:after="60"/>
              <w:rPr>
                <w:b/>
                <w:sz w:val="22"/>
                <w:szCs w:val="22"/>
              </w:rPr>
            </w:pPr>
            <w:r w:rsidRPr="00264D5D">
              <w:rPr>
                <w:b/>
                <w:sz w:val="22"/>
                <w:szCs w:val="22"/>
              </w:rPr>
              <w:t>BN</w:t>
            </w:r>
          </w:p>
        </w:tc>
        <w:tc>
          <w:tcPr>
            <w:tcW w:w="379" w:type="pct"/>
          </w:tcPr>
          <w:p w14:paraId="33E6F147" w14:textId="77777777" w:rsidR="00AD1F54" w:rsidRPr="00264D5D" w:rsidRDefault="00941227" w:rsidP="00466EB8">
            <w:pPr>
              <w:spacing w:before="60" w:after="60"/>
              <w:rPr>
                <w:sz w:val="22"/>
                <w:szCs w:val="22"/>
              </w:rPr>
            </w:pPr>
            <w:r w:rsidRPr="00264D5D">
              <w:rPr>
                <w:sz w:val="22"/>
                <w:szCs w:val="22"/>
              </w:rPr>
              <w:t>6.0</w:t>
            </w:r>
          </w:p>
        </w:tc>
        <w:tc>
          <w:tcPr>
            <w:tcW w:w="379" w:type="pct"/>
          </w:tcPr>
          <w:p w14:paraId="3DC30CE1" w14:textId="77777777" w:rsidR="00AD1F54" w:rsidRPr="00FA606A" w:rsidRDefault="00941227" w:rsidP="00FA606A">
            <w:pPr>
              <w:spacing w:before="60" w:after="60"/>
              <w:rPr>
                <w:sz w:val="22"/>
                <w:szCs w:val="22"/>
                <w:highlight w:val="green"/>
              </w:rPr>
            </w:pPr>
            <w:r w:rsidRPr="00FA606A">
              <w:rPr>
                <w:sz w:val="22"/>
                <w:szCs w:val="22"/>
                <w:highlight w:val="green"/>
              </w:rPr>
              <w:t>3</w:t>
            </w:r>
            <w:r w:rsidR="00FA606A" w:rsidRPr="00FA606A">
              <w:rPr>
                <w:sz w:val="22"/>
                <w:szCs w:val="22"/>
                <w:highlight w:val="green"/>
              </w:rPr>
              <w:t>7</w:t>
            </w:r>
            <w:r w:rsidRPr="00FA606A">
              <w:rPr>
                <w:sz w:val="22"/>
                <w:szCs w:val="22"/>
                <w:highlight w:val="green"/>
              </w:rPr>
              <w:t>.0</w:t>
            </w:r>
          </w:p>
        </w:tc>
        <w:tc>
          <w:tcPr>
            <w:tcW w:w="673" w:type="pct"/>
          </w:tcPr>
          <w:p w14:paraId="7ED1F6A4" w14:textId="77777777" w:rsidR="00AD1F54" w:rsidRPr="00264D5D" w:rsidRDefault="00941227" w:rsidP="00466EB8">
            <w:pPr>
              <w:spacing w:before="60" w:after="60"/>
              <w:rPr>
                <w:sz w:val="22"/>
                <w:szCs w:val="22"/>
                <w:lang w:val="en-US"/>
              </w:rPr>
            </w:pPr>
            <w:r w:rsidRPr="00264D5D">
              <w:rPr>
                <w:sz w:val="22"/>
                <w:szCs w:val="22"/>
              </w:rPr>
              <w:t>01.04.2022</w:t>
            </w:r>
          </w:p>
        </w:tc>
        <w:tc>
          <w:tcPr>
            <w:tcW w:w="663" w:type="pct"/>
          </w:tcPr>
          <w:p w14:paraId="57EFE8CA" w14:textId="77777777" w:rsidR="00AD1F54" w:rsidRPr="00264D5D" w:rsidRDefault="00941227" w:rsidP="00466EB8">
            <w:pPr>
              <w:spacing w:before="60" w:after="60"/>
              <w:rPr>
                <w:sz w:val="22"/>
                <w:szCs w:val="22"/>
                <w:lang w:val="en-US"/>
              </w:rPr>
            </w:pPr>
            <w:r w:rsidRPr="00264D5D">
              <w:rPr>
                <w:sz w:val="22"/>
                <w:szCs w:val="22"/>
              </w:rPr>
              <w:t>31.03.2022</w:t>
            </w:r>
          </w:p>
        </w:tc>
        <w:tc>
          <w:tcPr>
            <w:tcW w:w="1395" w:type="pct"/>
          </w:tcPr>
          <w:p w14:paraId="29C266EC" w14:textId="77777777" w:rsidR="00AD1F54" w:rsidRPr="00264D5D" w:rsidRDefault="00972DFE" w:rsidP="00F02C61">
            <w:pPr>
              <w:spacing w:before="60" w:after="60"/>
              <w:rPr>
                <w:sz w:val="22"/>
                <w:szCs w:val="22"/>
              </w:rPr>
            </w:pPr>
            <w:r w:rsidRPr="00264D5D">
              <w:rPr>
                <w:sz w:val="22"/>
                <w:szCs w:val="22"/>
              </w:rPr>
              <w:t xml:space="preserve">Приказ СФР от 25.07.2024 </w:t>
            </w:r>
            <w:r w:rsidR="00F02C61">
              <w:rPr>
                <w:sz w:val="22"/>
                <w:szCs w:val="22"/>
              </w:rPr>
              <w:t>№</w:t>
            </w:r>
            <w:r w:rsidRPr="00264D5D">
              <w:rPr>
                <w:sz w:val="22"/>
                <w:szCs w:val="22"/>
              </w:rPr>
              <w:t xml:space="preserve"> 1312 «Об утверждении Порядка учета бюджетных и денежных обязательств получателей средств бюджета Фонда пенсионного и социального страхования Российской Федерации»</w:t>
            </w:r>
          </w:p>
        </w:tc>
      </w:tr>
      <w:tr w:rsidR="00AD1F54" w:rsidRPr="00264D5D" w14:paraId="71655830" w14:textId="77777777" w:rsidTr="00AD1F54">
        <w:trPr>
          <w:cnfStyle w:val="000000010000" w:firstRow="0" w:lastRow="0" w:firstColumn="0" w:lastColumn="0" w:oddVBand="0" w:evenVBand="0" w:oddHBand="0" w:evenHBand="1" w:firstRowFirstColumn="0" w:firstRowLastColumn="0" w:lastRowFirstColumn="0" w:lastRowLastColumn="0"/>
        </w:trPr>
        <w:tc>
          <w:tcPr>
            <w:tcW w:w="720" w:type="pct"/>
          </w:tcPr>
          <w:p w14:paraId="0D1A0612" w14:textId="77777777" w:rsidR="00AD1F54" w:rsidRPr="00264D5D" w:rsidRDefault="00941227" w:rsidP="00466EB8">
            <w:pPr>
              <w:spacing w:before="60" w:after="60"/>
              <w:rPr>
                <w:sz w:val="22"/>
                <w:szCs w:val="22"/>
              </w:rPr>
            </w:pPr>
            <w:r w:rsidRPr="00264D5D">
              <w:rPr>
                <w:sz w:val="22"/>
                <w:szCs w:val="22"/>
              </w:rPr>
              <w:t>Сведения о денежном обязательстве</w:t>
            </w:r>
          </w:p>
        </w:tc>
        <w:tc>
          <w:tcPr>
            <w:tcW w:w="470" w:type="pct"/>
          </w:tcPr>
          <w:p w14:paraId="3A6786E7" w14:textId="77777777" w:rsidR="00AD1F54" w:rsidRPr="00264D5D" w:rsidRDefault="00941227" w:rsidP="00466EB8">
            <w:pPr>
              <w:spacing w:before="60" w:after="60"/>
              <w:rPr>
                <w:sz w:val="22"/>
                <w:szCs w:val="22"/>
              </w:rPr>
            </w:pPr>
            <w:r w:rsidRPr="00264D5D">
              <w:rPr>
                <w:sz w:val="22"/>
                <w:szCs w:val="22"/>
              </w:rPr>
              <w:t>EXP_SDO</w:t>
            </w:r>
          </w:p>
        </w:tc>
        <w:tc>
          <w:tcPr>
            <w:tcW w:w="321" w:type="pct"/>
          </w:tcPr>
          <w:p w14:paraId="30AF25C2" w14:textId="77777777" w:rsidR="00AD1F54" w:rsidRPr="00264D5D" w:rsidRDefault="00941227" w:rsidP="00466EB8">
            <w:pPr>
              <w:spacing w:before="60" w:after="60"/>
              <w:rPr>
                <w:b/>
                <w:sz w:val="22"/>
                <w:szCs w:val="22"/>
              </w:rPr>
            </w:pPr>
            <w:r w:rsidRPr="00264D5D">
              <w:rPr>
                <w:b/>
                <w:sz w:val="22"/>
                <w:szCs w:val="22"/>
              </w:rPr>
              <w:t>DO</w:t>
            </w:r>
          </w:p>
        </w:tc>
        <w:tc>
          <w:tcPr>
            <w:tcW w:w="379" w:type="pct"/>
          </w:tcPr>
          <w:p w14:paraId="4A485526" w14:textId="77777777" w:rsidR="00AD1F54" w:rsidRPr="00264D5D" w:rsidRDefault="00941227" w:rsidP="00466EB8">
            <w:pPr>
              <w:spacing w:before="60" w:after="60"/>
              <w:rPr>
                <w:sz w:val="22"/>
                <w:szCs w:val="22"/>
              </w:rPr>
            </w:pPr>
            <w:r w:rsidRPr="00264D5D">
              <w:rPr>
                <w:sz w:val="22"/>
                <w:szCs w:val="22"/>
              </w:rPr>
              <w:t>8.0</w:t>
            </w:r>
          </w:p>
        </w:tc>
        <w:tc>
          <w:tcPr>
            <w:tcW w:w="379" w:type="pct"/>
          </w:tcPr>
          <w:p w14:paraId="53F76C31" w14:textId="77777777" w:rsidR="00AD1F54" w:rsidRPr="00FA606A" w:rsidRDefault="00941227" w:rsidP="00FA606A">
            <w:pPr>
              <w:spacing w:before="60" w:after="60"/>
              <w:rPr>
                <w:sz w:val="22"/>
                <w:szCs w:val="22"/>
                <w:highlight w:val="green"/>
              </w:rPr>
            </w:pPr>
            <w:r w:rsidRPr="00FA606A">
              <w:rPr>
                <w:sz w:val="22"/>
                <w:szCs w:val="22"/>
                <w:highlight w:val="green"/>
              </w:rPr>
              <w:t>3</w:t>
            </w:r>
            <w:r w:rsidR="00FA606A" w:rsidRPr="00FA606A">
              <w:rPr>
                <w:sz w:val="22"/>
                <w:szCs w:val="22"/>
                <w:highlight w:val="green"/>
              </w:rPr>
              <w:t>7</w:t>
            </w:r>
            <w:r w:rsidRPr="00FA606A">
              <w:rPr>
                <w:sz w:val="22"/>
                <w:szCs w:val="22"/>
                <w:highlight w:val="green"/>
              </w:rPr>
              <w:t>.0</w:t>
            </w:r>
          </w:p>
        </w:tc>
        <w:tc>
          <w:tcPr>
            <w:tcW w:w="673" w:type="pct"/>
          </w:tcPr>
          <w:p w14:paraId="55FE8863" w14:textId="77777777" w:rsidR="00AD1F54" w:rsidRPr="00264D5D" w:rsidRDefault="00941227" w:rsidP="00466EB8">
            <w:pPr>
              <w:spacing w:before="60" w:after="60"/>
              <w:rPr>
                <w:sz w:val="22"/>
                <w:szCs w:val="22"/>
                <w:lang w:val="en-US"/>
              </w:rPr>
            </w:pPr>
            <w:r w:rsidRPr="00264D5D">
              <w:rPr>
                <w:sz w:val="22"/>
                <w:szCs w:val="22"/>
              </w:rPr>
              <w:t>01.10.2021</w:t>
            </w:r>
          </w:p>
        </w:tc>
        <w:tc>
          <w:tcPr>
            <w:tcW w:w="663" w:type="pct"/>
          </w:tcPr>
          <w:p w14:paraId="20C33015" w14:textId="77777777" w:rsidR="00AD1F54" w:rsidRPr="00264D5D" w:rsidRDefault="00941227" w:rsidP="00466EB8">
            <w:pPr>
              <w:spacing w:before="60" w:after="60"/>
              <w:rPr>
                <w:sz w:val="22"/>
                <w:szCs w:val="22"/>
                <w:lang w:val="en-US"/>
              </w:rPr>
            </w:pPr>
            <w:r w:rsidRPr="00264D5D">
              <w:rPr>
                <w:sz w:val="22"/>
                <w:szCs w:val="22"/>
              </w:rPr>
              <w:t>31.12.2021</w:t>
            </w:r>
          </w:p>
        </w:tc>
        <w:tc>
          <w:tcPr>
            <w:tcW w:w="1395" w:type="pct"/>
          </w:tcPr>
          <w:p w14:paraId="7B18619A" w14:textId="77777777" w:rsidR="00AD1F54" w:rsidRPr="00264D5D" w:rsidRDefault="00972DFE" w:rsidP="00F02C61">
            <w:pPr>
              <w:spacing w:before="60" w:after="60"/>
              <w:rPr>
                <w:sz w:val="22"/>
                <w:szCs w:val="22"/>
              </w:rPr>
            </w:pPr>
            <w:r w:rsidRPr="00264D5D">
              <w:rPr>
                <w:sz w:val="22"/>
                <w:szCs w:val="22"/>
              </w:rPr>
              <w:t xml:space="preserve">Постановление Правления ПФ РФ от 29.12.2022 </w:t>
            </w:r>
            <w:r w:rsidR="00F02C61">
              <w:rPr>
                <w:sz w:val="22"/>
                <w:szCs w:val="22"/>
              </w:rPr>
              <w:t>№</w:t>
            </w:r>
            <w:r w:rsidRPr="00264D5D">
              <w:rPr>
                <w:sz w:val="22"/>
                <w:szCs w:val="22"/>
              </w:rPr>
              <w:t xml:space="preserve"> 414п «Об утверждении Порядка учета бюджетных и денежных обязательств получателей средств бюджета Фонда пенсионного и социального страхования Российской Федерации»</w:t>
            </w:r>
          </w:p>
        </w:tc>
      </w:tr>
      <w:tr w:rsidR="00AD1F54" w:rsidRPr="00264D5D" w14:paraId="39316B28" w14:textId="77777777" w:rsidTr="00AD1F54">
        <w:trPr>
          <w:cnfStyle w:val="000000100000" w:firstRow="0" w:lastRow="0" w:firstColumn="0" w:lastColumn="0" w:oddVBand="0" w:evenVBand="0" w:oddHBand="1" w:evenHBand="0" w:firstRowFirstColumn="0" w:firstRowLastColumn="0" w:lastRowFirstColumn="0" w:lastRowLastColumn="0"/>
        </w:trPr>
        <w:tc>
          <w:tcPr>
            <w:tcW w:w="720" w:type="pct"/>
          </w:tcPr>
          <w:p w14:paraId="57F52465" w14:textId="77777777" w:rsidR="00AD1F54" w:rsidRPr="00264D5D" w:rsidRDefault="00941227" w:rsidP="00466EB8">
            <w:pPr>
              <w:spacing w:before="60" w:after="60"/>
              <w:rPr>
                <w:sz w:val="22"/>
                <w:szCs w:val="22"/>
              </w:rPr>
            </w:pPr>
            <w:r w:rsidRPr="00264D5D">
              <w:rPr>
                <w:sz w:val="22"/>
                <w:szCs w:val="22"/>
              </w:rPr>
              <w:t>Сведения из плана закупок/плана-графика закупок</w:t>
            </w:r>
          </w:p>
        </w:tc>
        <w:tc>
          <w:tcPr>
            <w:tcW w:w="470" w:type="pct"/>
          </w:tcPr>
          <w:p w14:paraId="72821360" w14:textId="77777777" w:rsidR="00AD1F54" w:rsidRPr="00264D5D" w:rsidRDefault="00941227" w:rsidP="00466EB8">
            <w:pPr>
              <w:spacing w:before="60" w:after="60"/>
              <w:rPr>
                <w:sz w:val="22"/>
                <w:szCs w:val="22"/>
              </w:rPr>
            </w:pPr>
            <w:r w:rsidRPr="00264D5D">
              <w:rPr>
                <w:sz w:val="22"/>
                <w:szCs w:val="22"/>
              </w:rPr>
              <w:t>PUR_InformPlan</w:t>
            </w:r>
          </w:p>
        </w:tc>
        <w:tc>
          <w:tcPr>
            <w:tcW w:w="321" w:type="pct"/>
          </w:tcPr>
          <w:p w14:paraId="032E3E2B" w14:textId="77777777" w:rsidR="00AD1F54" w:rsidRPr="00264D5D" w:rsidRDefault="00941227" w:rsidP="00466EB8">
            <w:pPr>
              <w:spacing w:before="60" w:after="60"/>
              <w:rPr>
                <w:b/>
                <w:sz w:val="22"/>
                <w:szCs w:val="22"/>
              </w:rPr>
            </w:pPr>
            <w:r w:rsidRPr="00264D5D">
              <w:rPr>
                <w:b/>
                <w:sz w:val="22"/>
                <w:szCs w:val="22"/>
              </w:rPr>
              <w:t>SY</w:t>
            </w:r>
          </w:p>
        </w:tc>
        <w:tc>
          <w:tcPr>
            <w:tcW w:w="379" w:type="pct"/>
          </w:tcPr>
          <w:p w14:paraId="2013A781" w14:textId="77777777" w:rsidR="00AD1F54" w:rsidRPr="00264D5D" w:rsidRDefault="00941227" w:rsidP="00466EB8">
            <w:pPr>
              <w:spacing w:before="60" w:after="60"/>
              <w:rPr>
                <w:sz w:val="22"/>
                <w:szCs w:val="22"/>
              </w:rPr>
            </w:pPr>
            <w:r w:rsidRPr="00264D5D">
              <w:rPr>
                <w:sz w:val="22"/>
                <w:szCs w:val="22"/>
              </w:rPr>
              <w:t xml:space="preserve">3.0 </w:t>
            </w:r>
          </w:p>
        </w:tc>
        <w:tc>
          <w:tcPr>
            <w:tcW w:w="379" w:type="pct"/>
          </w:tcPr>
          <w:p w14:paraId="2D0DB5F7" w14:textId="77777777" w:rsidR="00AD1F54" w:rsidRPr="00264D5D" w:rsidRDefault="00941227" w:rsidP="00466EB8">
            <w:pPr>
              <w:spacing w:before="60" w:after="60"/>
              <w:rPr>
                <w:sz w:val="22"/>
                <w:szCs w:val="22"/>
              </w:rPr>
            </w:pPr>
            <w:r w:rsidRPr="00264D5D">
              <w:rPr>
                <w:sz w:val="22"/>
                <w:szCs w:val="22"/>
              </w:rPr>
              <w:t>35.0</w:t>
            </w:r>
          </w:p>
        </w:tc>
        <w:tc>
          <w:tcPr>
            <w:tcW w:w="673" w:type="pct"/>
          </w:tcPr>
          <w:p w14:paraId="020A94C2" w14:textId="77777777" w:rsidR="00AD1F54" w:rsidRPr="00264D5D" w:rsidRDefault="00941227" w:rsidP="00466EB8">
            <w:pPr>
              <w:spacing w:before="60" w:after="60"/>
              <w:rPr>
                <w:sz w:val="22"/>
                <w:szCs w:val="22"/>
              </w:rPr>
            </w:pPr>
            <w:r w:rsidRPr="00264D5D">
              <w:rPr>
                <w:sz w:val="22"/>
                <w:szCs w:val="22"/>
              </w:rPr>
              <w:t>04.10.2021</w:t>
            </w:r>
          </w:p>
        </w:tc>
        <w:tc>
          <w:tcPr>
            <w:tcW w:w="663" w:type="pct"/>
          </w:tcPr>
          <w:p w14:paraId="6AF989A6" w14:textId="77777777" w:rsidR="00AD1F54" w:rsidRPr="00264D5D" w:rsidRDefault="00941227" w:rsidP="00466EB8">
            <w:pPr>
              <w:spacing w:before="60" w:after="60"/>
              <w:rPr>
                <w:sz w:val="22"/>
                <w:szCs w:val="22"/>
              </w:rPr>
            </w:pPr>
            <w:r w:rsidRPr="00264D5D">
              <w:rPr>
                <w:sz w:val="22"/>
                <w:szCs w:val="22"/>
              </w:rPr>
              <w:t>03.10.2021</w:t>
            </w:r>
          </w:p>
        </w:tc>
        <w:tc>
          <w:tcPr>
            <w:tcW w:w="1395" w:type="pct"/>
          </w:tcPr>
          <w:p w14:paraId="0222A7D6" w14:textId="77777777" w:rsidR="00AD1F54" w:rsidRPr="00264D5D" w:rsidRDefault="00941227" w:rsidP="00466EB8">
            <w:pPr>
              <w:spacing w:before="60" w:after="60"/>
              <w:rPr>
                <w:sz w:val="22"/>
                <w:szCs w:val="22"/>
              </w:rPr>
            </w:pPr>
            <w:r w:rsidRPr="00264D5D">
              <w:rPr>
                <w:sz w:val="22"/>
                <w:szCs w:val="22"/>
              </w:rPr>
              <w:t xml:space="preserve">Федеральный закон от 05.04.2013 № 44-ФЗ «О контрактной системе в сфере закупок товаров, работ, услуг для обеспечения государственных и муниципальных нужд» (в редакции Федерального закона от 07.06.2017 № 108-ФЗ); </w:t>
            </w:r>
          </w:p>
          <w:p w14:paraId="068D70F9" w14:textId="77777777" w:rsidR="00AD1F54" w:rsidRPr="00264D5D" w:rsidRDefault="00941227" w:rsidP="00466EB8">
            <w:pPr>
              <w:spacing w:before="60" w:after="60"/>
              <w:rPr>
                <w:sz w:val="22"/>
                <w:szCs w:val="22"/>
              </w:rPr>
            </w:pPr>
            <w:r w:rsidRPr="00264D5D">
              <w:rPr>
                <w:sz w:val="22"/>
                <w:szCs w:val="22"/>
              </w:rPr>
              <w:t xml:space="preserve">Постановление Правительства РФ от 06.08.2020 N 1193 (ред. от 27.05.2021) </w:t>
            </w:r>
            <w:r w:rsidR="00466EB8" w:rsidRPr="00264D5D">
              <w:rPr>
                <w:sz w:val="22"/>
                <w:szCs w:val="22"/>
              </w:rPr>
              <w:t>«</w:t>
            </w:r>
            <w:r w:rsidRPr="00264D5D">
              <w:rPr>
                <w:sz w:val="22"/>
                <w:szCs w:val="22"/>
              </w:rPr>
              <w:t xml:space="preserve">О порядке осуществления контроля, </w:t>
            </w:r>
            <w:r w:rsidRPr="00264D5D">
              <w:rPr>
                <w:sz w:val="22"/>
                <w:szCs w:val="22"/>
              </w:rPr>
              <w:lastRenderedPageBreak/>
              <w:t xml:space="preserve">предусмотренного частями 5 и 5.1 статьи 99 Федерального закона </w:t>
            </w:r>
            <w:r w:rsidR="00466EB8" w:rsidRPr="00264D5D">
              <w:rPr>
                <w:sz w:val="22"/>
                <w:szCs w:val="22"/>
              </w:rPr>
              <w:t>«</w:t>
            </w:r>
            <w:r w:rsidRPr="00264D5D">
              <w:rPr>
                <w:sz w:val="22"/>
                <w:szCs w:val="22"/>
              </w:rPr>
              <w:t>О контрактной системе в сфере закупок товаров, работ, услуг для обеспечения государственных и муниципальных нужд</w:t>
            </w:r>
            <w:r w:rsidR="00466EB8" w:rsidRPr="00264D5D">
              <w:rPr>
                <w:sz w:val="22"/>
                <w:szCs w:val="22"/>
              </w:rPr>
              <w:t>»</w:t>
            </w:r>
            <w:r w:rsidRPr="00264D5D">
              <w:rPr>
                <w:sz w:val="22"/>
                <w:szCs w:val="22"/>
              </w:rPr>
              <w:t>, и об изменении и признании утратившими силу некоторых актов Правительства Российской Федерации</w:t>
            </w:r>
            <w:r w:rsidR="00466EB8" w:rsidRPr="00264D5D">
              <w:rPr>
                <w:sz w:val="22"/>
                <w:szCs w:val="22"/>
              </w:rPr>
              <w:t>»</w:t>
            </w:r>
            <w:r w:rsidRPr="00264D5D">
              <w:rPr>
                <w:sz w:val="22"/>
                <w:szCs w:val="22"/>
              </w:rPr>
              <w:t xml:space="preserve">; </w:t>
            </w:r>
          </w:p>
          <w:p w14:paraId="7B33A4B9" w14:textId="77777777" w:rsidR="00AD1F54" w:rsidRPr="00264D5D" w:rsidRDefault="00941227" w:rsidP="00466EB8">
            <w:pPr>
              <w:spacing w:before="60" w:after="60"/>
              <w:rPr>
                <w:sz w:val="22"/>
                <w:szCs w:val="22"/>
              </w:rPr>
            </w:pPr>
            <w:r w:rsidRPr="00264D5D">
              <w:rPr>
                <w:sz w:val="22"/>
                <w:szCs w:val="22"/>
              </w:rPr>
              <w:t xml:space="preserve">Постановление Правительства РФ от 30.09.2019 N 1279 (ред. от 27.05.2021) </w:t>
            </w:r>
            <w:r w:rsidR="00466EB8" w:rsidRPr="00264D5D">
              <w:rPr>
                <w:sz w:val="22"/>
                <w:szCs w:val="22"/>
              </w:rPr>
              <w:t>«</w:t>
            </w:r>
            <w:r w:rsidRPr="00264D5D">
              <w:rPr>
                <w:sz w:val="22"/>
                <w:szCs w:val="22"/>
              </w:rPr>
              <w:t>Об установлении порядка формирования, утверждения планов-графиков закупок, внесения изменений в такие планы-графики, размещения планов-графиков закупок в единой информационной системе в сфере закупок, особенностей включения информации в такие планы-графики и требований к форме планов-графиков закупок и о признании утратившими силу отдельных решений Правительства Российской Федерации</w:t>
            </w:r>
            <w:r w:rsidR="00466EB8" w:rsidRPr="00264D5D">
              <w:rPr>
                <w:sz w:val="22"/>
                <w:szCs w:val="22"/>
              </w:rPr>
              <w:t>»</w:t>
            </w:r>
            <w:r w:rsidRPr="00264D5D">
              <w:rPr>
                <w:sz w:val="22"/>
                <w:szCs w:val="22"/>
              </w:rPr>
              <w:t>.</w:t>
            </w:r>
          </w:p>
          <w:p w14:paraId="07433ABF" w14:textId="77777777" w:rsidR="00AD1F54" w:rsidRPr="00264D5D" w:rsidRDefault="00941227" w:rsidP="00466EB8">
            <w:pPr>
              <w:spacing w:before="60" w:after="60"/>
              <w:rPr>
                <w:sz w:val="22"/>
                <w:szCs w:val="22"/>
              </w:rPr>
            </w:pPr>
            <w:r w:rsidRPr="00264D5D">
              <w:rPr>
                <w:sz w:val="22"/>
                <w:szCs w:val="22"/>
              </w:rPr>
              <w:t xml:space="preserve">Постановление Правительства Российской Федерации от 06.08.2020 г. N 1193 «О порядке осуществления контроля, </w:t>
            </w:r>
            <w:r w:rsidRPr="00264D5D">
              <w:rPr>
                <w:sz w:val="22"/>
                <w:szCs w:val="22"/>
              </w:rPr>
              <w:lastRenderedPageBreak/>
              <w:t xml:space="preserve">предусмотренного </w:t>
            </w:r>
            <w:r w:rsidR="00466EB8" w:rsidRPr="00264D5D">
              <w:rPr>
                <w:sz w:val="22"/>
                <w:szCs w:val="22"/>
              </w:rPr>
              <w:t>частями</w:t>
            </w:r>
            <w:r w:rsidRPr="00264D5D">
              <w:rPr>
                <w:sz w:val="22"/>
                <w:szCs w:val="22"/>
              </w:rPr>
              <w:t xml:space="preserve"> 5 и 5.1 статьи 99 Федерального закона «О контрактной системе в сфере закупок товаров, работ, услуг для обеспечения государственных и муниципальных нужд», и об изменении и признании утратившими силу некоторых актов Правительства Российской Федерации</w:t>
            </w:r>
          </w:p>
        </w:tc>
      </w:tr>
      <w:tr w:rsidR="00AD1F54" w:rsidRPr="00264D5D" w14:paraId="66F05CD1" w14:textId="77777777" w:rsidTr="00AD1F54">
        <w:trPr>
          <w:cnfStyle w:val="000000010000" w:firstRow="0" w:lastRow="0" w:firstColumn="0" w:lastColumn="0" w:oddVBand="0" w:evenVBand="0" w:oddHBand="0" w:evenHBand="1" w:firstRowFirstColumn="0" w:firstRowLastColumn="0" w:lastRowFirstColumn="0" w:lastRowLastColumn="0"/>
        </w:trPr>
        <w:tc>
          <w:tcPr>
            <w:tcW w:w="720" w:type="pct"/>
          </w:tcPr>
          <w:p w14:paraId="37E8B918" w14:textId="77777777" w:rsidR="00AD1F54" w:rsidRPr="00264D5D" w:rsidRDefault="00941227" w:rsidP="00466EB8">
            <w:pPr>
              <w:spacing w:before="60" w:after="60"/>
              <w:rPr>
                <w:sz w:val="22"/>
                <w:szCs w:val="22"/>
              </w:rPr>
            </w:pPr>
            <w:r w:rsidRPr="00264D5D">
              <w:rPr>
                <w:sz w:val="22"/>
                <w:szCs w:val="22"/>
              </w:rPr>
              <w:lastRenderedPageBreak/>
              <w:t>Сведения о приглашении принять участие в определении поставщика (подрядчика, исполнителя)</w:t>
            </w:r>
          </w:p>
        </w:tc>
        <w:tc>
          <w:tcPr>
            <w:tcW w:w="470" w:type="pct"/>
          </w:tcPr>
          <w:p w14:paraId="7611A635" w14:textId="77777777" w:rsidR="00AD1F54" w:rsidRPr="00264D5D" w:rsidRDefault="00941227" w:rsidP="00466EB8">
            <w:pPr>
              <w:spacing w:before="60" w:after="60"/>
              <w:rPr>
                <w:sz w:val="22"/>
                <w:szCs w:val="22"/>
              </w:rPr>
            </w:pPr>
            <w:r w:rsidRPr="00264D5D">
              <w:rPr>
                <w:sz w:val="22"/>
                <w:szCs w:val="22"/>
              </w:rPr>
              <w:t>PUR_INFORM_INVITE</w:t>
            </w:r>
          </w:p>
        </w:tc>
        <w:tc>
          <w:tcPr>
            <w:tcW w:w="321" w:type="pct"/>
          </w:tcPr>
          <w:p w14:paraId="1E222CF4" w14:textId="77777777" w:rsidR="00AD1F54" w:rsidRPr="00264D5D" w:rsidRDefault="00941227" w:rsidP="00466EB8">
            <w:pPr>
              <w:spacing w:before="60" w:after="60"/>
              <w:rPr>
                <w:b/>
                <w:sz w:val="22"/>
                <w:szCs w:val="22"/>
              </w:rPr>
            </w:pPr>
            <w:r w:rsidRPr="00264D5D">
              <w:rPr>
                <w:b/>
                <w:sz w:val="22"/>
                <w:szCs w:val="22"/>
              </w:rPr>
              <w:t>SW</w:t>
            </w:r>
          </w:p>
        </w:tc>
        <w:tc>
          <w:tcPr>
            <w:tcW w:w="379" w:type="pct"/>
          </w:tcPr>
          <w:p w14:paraId="20233D1F" w14:textId="77777777" w:rsidR="00AD1F54" w:rsidRPr="00264D5D" w:rsidRDefault="00941227" w:rsidP="00466EB8">
            <w:pPr>
              <w:spacing w:before="60" w:after="60"/>
              <w:rPr>
                <w:sz w:val="22"/>
                <w:szCs w:val="22"/>
              </w:rPr>
            </w:pPr>
            <w:r w:rsidRPr="00264D5D">
              <w:rPr>
                <w:sz w:val="22"/>
                <w:szCs w:val="22"/>
              </w:rPr>
              <w:t xml:space="preserve">1.0 </w:t>
            </w:r>
          </w:p>
        </w:tc>
        <w:tc>
          <w:tcPr>
            <w:tcW w:w="379" w:type="pct"/>
          </w:tcPr>
          <w:p w14:paraId="02EC95BF" w14:textId="77777777" w:rsidR="00AD1F54" w:rsidRPr="00264D5D" w:rsidRDefault="00941227" w:rsidP="00466EB8">
            <w:pPr>
              <w:spacing w:before="60" w:after="60"/>
              <w:rPr>
                <w:sz w:val="22"/>
                <w:szCs w:val="22"/>
              </w:rPr>
            </w:pPr>
            <w:r w:rsidRPr="00264D5D">
              <w:rPr>
                <w:sz w:val="22"/>
                <w:szCs w:val="22"/>
              </w:rPr>
              <w:t>22.0</w:t>
            </w:r>
          </w:p>
        </w:tc>
        <w:tc>
          <w:tcPr>
            <w:tcW w:w="673" w:type="pct"/>
          </w:tcPr>
          <w:p w14:paraId="49397ECD" w14:textId="77777777" w:rsidR="00AD1F54" w:rsidRPr="00264D5D" w:rsidRDefault="00941227" w:rsidP="00466EB8">
            <w:pPr>
              <w:spacing w:before="60" w:after="60"/>
              <w:rPr>
                <w:sz w:val="22"/>
                <w:szCs w:val="22"/>
              </w:rPr>
            </w:pPr>
            <w:r w:rsidRPr="00264D5D">
              <w:rPr>
                <w:sz w:val="22"/>
                <w:szCs w:val="22"/>
              </w:rPr>
              <w:t>01.01.2017</w:t>
            </w:r>
          </w:p>
        </w:tc>
        <w:tc>
          <w:tcPr>
            <w:tcW w:w="663" w:type="pct"/>
          </w:tcPr>
          <w:p w14:paraId="3DC26414" w14:textId="77777777" w:rsidR="00AD1F54" w:rsidRPr="00264D5D" w:rsidRDefault="00941227" w:rsidP="00466EB8">
            <w:pPr>
              <w:spacing w:before="60" w:after="60"/>
              <w:rPr>
                <w:sz w:val="22"/>
                <w:szCs w:val="22"/>
              </w:rPr>
            </w:pPr>
            <w:r w:rsidRPr="00264D5D">
              <w:rPr>
                <w:sz w:val="22"/>
                <w:szCs w:val="22"/>
              </w:rPr>
              <w:t>-</w:t>
            </w:r>
          </w:p>
        </w:tc>
        <w:tc>
          <w:tcPr>
            <w:tcW w:w="1395" w:type="pct"/>
          </w:tcPr>
          <w:p w14:paraId="6586296E" w14:textId="77777777" w:rsidR="00AD1F54" w:rsidRPr="00264D5D" w:rsidRDefault="00941227" w:rsidP="00466EB8">
            <w:pPr>
              <w:spacing w:before="60" w:after="60"/>
              <w:rPr>
                <w:sz w:val="22"/>
                <w:szCs w:val="22"/>
              </w:rPr>
            </w:pPr>
            <w:r w:rsidRPr="00264D5D">
              <w:rPr>
                <w:sz w:val="22"/>
                <w:szCs w:val="22"/>
              </w:rPr>
              <w:t>Федеральный закон от 05.04.2013 № 44-ФЗ «О контрактной системе в сфере закупок товаров, работ, услуг для обеспечения госуда</w:t>
            </w:r>
            <w:r w:rsidR="00466EB8" w:rsidRPr="00264D5D">
              <w:rPr>
                <w:sz w:val="22"/>
                <w:szCs w:val="22"/>
              </w:rPr>
              <w:t>рственных и муниципальных нужд»</w:t>
            </w:r>
          </w:p>
        </w:tc>
      </w:tr>
      <w:tr w:rsidR="00AD1F54" w:rsidRPr="00264D5D" w14:paraId="65AD7371" w14:textId="77777777" w:rsidTr="00AD1F54">
        <w:trPr>
          <w:cnfStyle w:val="000000100000" w:firstRow="0" w:lastRow="0" w:firstColumn="0" w:lastColumn="0" w:oddVBand="0" w:evenVBand="0" w:oddHBand="1" w:evenHBand="0" w:firstRowFirstColumn="0" w:firstRowLastColumn="0" w:lastRowFirstColumn="0" w:lastRowLastColumn="0"/>
        </w:trPr>
        <w:tc>
          <w:tcPr>
            <w:tcW w:w="720" w:type="pct"/>
          </w:tcPr>
          <w:p w14:paraId="2E25A16F" w14:textId="77777777" w:rsidR="00AD1F54" w:rsidRPr="00264D5D" w:rsidRDefault="00941227" w:rsidP="00466EB8">
            <w:pPr>
              <w:spacing w:before="60" w:after="60"/>
              <w:rPr>
                <w:sz w:val="22"/>
                <w:szCs w:val="22"/>
              </w:rPr>
            </w:pPr>
            <w:r w:rsidRPr="00264D5D">
              <w:rPr>
                <w:sz w:val="22"/>
                <w:szCs w:val="22"/>
              </w:rPr>
              <w:t>Исполнительный документ в форме электронного документа</w:t>
            </w:r>
          </w:p>
        </w:tc>
        <w:tc>
          <w:tcPr>
            <w:tcW w:w="470" w:type="pct"/>
          </w:tcPr>
          <w:p w14:paraId="74AEDB30" w14:textId="77777777" w:rsidR="00AD1F54" w:rsidRPr="00264D5D" w:rsidRDefault="00941227" w:rsidP="00466EB8">
            <w:pPr>
              <w:spacing w:before="60" w:after="60"/>
              <w:rPr>
                <w:sz w:val="22"/>
                <w:szCs w:val="22"/>
              </w:rPr>
            </w:pPr>
            <w:r w:rsidRPr="00264D5D">
              <w:rPr>
                <w:sz w:val="22"/>
                <w:szCs w:val="22"/>
              </w:rPr>
              <w:t>-</w:t>
            </w:r>
          </w:p>
        </w:tc>
        <w:tc>
          <w:tcPr>
            <w:tcW w:w="321" w:type="pct"/>
          </w:tcPr>
          <w:p w14:paraId="731BC5A8" w14:textId="77777777" w:rsidR="00AD1F54" w:rsidRPr="00264D5D" w:rsidRDefault="00941227" w:rsidP="00466EB8">
            <w:pPr>
              <w:spacing w:before="60" w:after="60"/>
              <w:rPr>
                <w:b/>
                <w:sz w:val="22"/>
                <w:szCs w:val="22"/>
              </w:rPr>
            </w:pPr>
            <w:r w:rsidRPr="00264D5D">
              <w:rPr>
                <w:b/>
                <w:sz w:val="22"/>
                <w:szCs w:val="22"/>
              </w:rPr>
              <w:t>OB</w:t>
            </w:r>
          </w:p>
        </w:tc>
        <w:tc>
          <w:tcPr>
            <w:tcW w:w="379" w:type="pct"/>
          </w:tcPr>
          <w:p w14:paraId="0B7ABCBD" w14:textId="77777777" w:rsidR="00AD1F54" w:rsidRPr="00264D5D" w:rsidRDefault="00941227" w:rsidP="00466EB8">
            <w:pPr>
              <w:spacing w:before="60" w:after="60"/>
              <w:rPr>
                <w:sz w:val="22"/>
                <w:szCs w:val="22"/>
              </w:rPr>
            </w:pPr>
            <w:r w:rsidRPr="00264D5D">
              <w:rPr>
                <w:sz w:val="22"/>
                <w:szCs w:val="22"/>
              </w:rPr>
              <w:t>-</w:t>
            </w:r>
          </w:p>
        </w:tc>
        <w:tc>
          <w:tcPr>
            <w:tcW w:w="379" w:type="pct"/>
          </w:tcPr>
          <w:p w14:paraId="7EA75820" w14:textId="77777777" w:rsidR="00AD1F54" w:rsidRPr="00264D5D" w:rsidRDefault="00941227" w:rsidP="00466EB8">
            <w:pPr>
              <w:spacing w:before="60" w:after="60"/>
              <w:rPr>
                <w:sz w:val="22"/>
                <w:szCs w:val="22"/>
              </w:rPr>
            </w:pPr>
            <w:r w:rsidRPr="00264D5D">
              <w:rPr>
                <w:sz w:val="22"/>
                <w:szCs w:val="22"/>
              </w:rPr>
              <w:t>-</w:t>
            </w:r>
          </w:p>
        </w:tc>
        <w:tc>
          <w:tcPr>
            <w:tcW w:w="673" w:type="pct"/>
          </w:tcPr>
          <w:p w14:paraId="74ECD00A" w14:textId="77777777" w:rsidR="00AD1F54" w:rsidRPr="00264D5D" w:rsidRDefault="00941227" w:rsidP="00466EB8">
            <w:pPr>
              <w:spacing w:before="60" w:after="60"/>
              <w:rPr>
                <w:sz w:val="22"/>
                <w:szCs w:val="22"/>
              </w:rPr>
            </w:pPr>
            <w:r w:rsidRPr="00264D5D">
              <w:rPr>
                <w:sz w:val="22"/>
                <w:szCs w:val="22"/>
              </w:rPr>
              <w:t>-</w:t>
            </w:r>
          </w:p>
        </w:tc>
        <w:tc>
          <w:tcPr>
            <w:tcW w:w="663" w:type="pct"/>
          </w:tcPr>
          <w:p w14:paraId="3BF5F8C2" w14:textId="77777777" w:rsidR="00AD1F54" w:rsidRPr="00264D5D" w:rsidRDefault="00941227" w:rsidP="00466EB8">
            <w:pPr>
              <w:spacing w:before="60" w:after="60"/>
              <w:rPr>
                <w:sz w:val="22"/>
                <w:szCs w:val="22"/>
              </w:rPr>
            </w:pPr>
            <w:r w:rsidRPr="00264D5D">
              <w:rPr>
                <w:sz w:val="22"/>
                <w:szCs w:val="22"/>
              </w:rPr>
              <w:t>-</w:t>
            </w:r>
          </w:p>
        </w:tc>
        <w:tc>
          <w:tcPr>
            <w:tcW w:w="1395" w:type="pct"/>
          </w:tcPr>
          <w:p w14:paraId="6654FE52" w14:textId="77777777" w:rsidR="00AD1F54" w:rsidRPr="00264D5D" w:rsidRDefault="00941227" w:rsidP="00466EB8">
            <w:pPr>
              <w:spacing w:before="60" w:after="60"/>
              <w:rPr>
                <w:sz w:val="22"/>
                <w:szCs w:val="22"/>
              </w:rPr>
            </w:pPr>
            <w:r w:rsidRPr="00264D5D">
              <w:rPr>
                <w:sz w:val="22"/>
                <w:szCs w:val="22"/>
              </w:rPr>
              <w:t>Требования к формату обмена документа содержатся в Альбоме ТФО «Требования к форматам исполнительных документов, вынесенных и (или) направляемых для исполнения в форме электронного документа» и вводится тут для реализации необходимости доведения информации о результат</w:t>
            </w:r>
            <w:r w:rsidR="00466EB8" w:rsidRPr="00264D5D">
              <w:rPr>
                <w:sz w:val="22"/>
                <w:szCs w:val="22"/>
              </w:rPr>
              <w:t>ах приема документов органом ФК</w:t>
            </w:r>
          </w:p>
        </w:tc>
      </w:tr>
      <w:tr w:rsidR="00601408" w:rsidRPr="00264D5D" w14:paraId="3FA72291" w14:textId="77777777" w:rsidTr="00AD1F54">
        <w:trPr>
          <w:cnfStyle w:val="000000010000" w:firstRow="0" w:lastRow="0" w:firstColumn="0" w:lastColumn="0" w:oddVBand="0" w:evenVBand="0" w:oddHBand="0" w:evenHBand="1" w:firstRowFirstColumn="0" w:firstRowLastColumn="0" w:lastRowFirstColumn="0" w:lastRowLastColumn="0"/>
        </w:trPr>
        <w:tc>
          <w:tcPr>
            <w:tcW w:w="720" w:type="pct"/>
            <w:vMerge w:val="restart"/>
          </w:tcPr>
          <w:p w14:paraId="4A32A638" w14:textId="77777777" w:rsidR="00601408" w:rsidRPr="00264D5D" w:rsidRDefault="00601408" w:rsidP="00466EB8">
            <w:pPr>
              <w:spacing w:before="60" w:after="60"/>
              <w:rPr>
                <w:sz w:val="22"/>
                <w:szCs w:val="22"/>
              </w:rPr>
            </w:pPr>
            <w:r w:rsidRPr="00264D5D">
              <w:rPr>
                <w:sz w:val="22"/>
                <w:szCs w:val="22"/>
              </w:rPr>
              <w:t xml:space="preserve">Распоряжение о перечислении денежных </w:t>
            </w:r>
            <w:r w:rsidRPr="00264D5D">
              <w:rPr>
                <w:sz w:val="22"/>
                <w:szCs w:val="22"/>
              </w:rPr>
              <w:lastRenderedPageBreak/>
              <w:t>средств на банковские карты «Мир» физических лиц</w:t>
            </w:r>
          </w:p>
        </w:tc>
        <w:tc>
          <w:tcPr>
            <w:tcW w:w="470" w:type="pct"/>
          </w:tcPr>
          <w:p w14:paraId="141F88F7" w14:textId="77777777" w:rsidR="00601408" w:rsidRPr="00264D5D" w:rsidRDefault="00601408" w:rsidP="00466EB8">
            <w:pPr>
              <w:spacing w:before="60" w:after="60"/>
              <w:rPr>
                <w:sz w:val="22"/>
                <w:szCs w:val="22"/>
              </w:rPr>
            </w:pPr>
            <w:r w:rsidRPr="00264D5D">
              <w:rPr>
                <w:sz w:val="22"/>
                <w:szCs w:val="22"/>
              </w:rPr>
              <w:lastRenderedPageBreak/>
              <w:t>Order_Mir</w:t>
            </w:r>
          </w:p>
        </w:tc>
        <w:tc>
          <w:tcPr>
            <w:tcW w:w="321" w:type="pct"/>
          </w:tcPr>
          <w:p w14:paraId="18D61E4F" w14:textId="77777777" w:rsidR="00601408" w:rsidRPr="00264D5D" w:rsidRDefault="00601408" w:rsidP="00466EB8">
            <w:pPr>
              <w:spacing w:before="60" w:after="60"/>
              <w:rPr>
                <w:b/>
                <w:sz w:val="22"/>
                <w:szCs w:val="22"/>
              </w:rPr>
            </w:pPr>
            <w:r w:rsidRPr="00264D5D">
              <w:rPr>
                <w:b/>
                <w:sz w:val="22"/>
                <w:szCs w:val="22"/>
              </w:rPr>
              <w:t>DM</w:t>
            </w:r>
          </w:p>
        </w:tc>
        <w:tc>
          <w:tcPr>
            <w:tcW w:w="379" w:type="pct"/>
          </w:tcPr>
          <w:p w14:paraId="6955877A" w14:textId="77777777" w:rsidR="00601408" w:rsidRPr="00264D5D" w:rsidRDefault="00601408" w:rsidP="00466EB8">
            <w:pPr>
              <w:spacing w:before="60" w:after="60"/>
              <w:rPr>
                <w:sz w:val="22"/>
                <w:szCs w:val="22"/>
              </w:rPr>
            </w:pPr>
            <w:r w:rsidRPr="00264D5D">
              <w:rPr>
                <w:sz w:val="22"/>
                <w:szCs w:val="22"/>
              </w:rPr>
              <w:t>2.0</w:t>
            </w:r>
          </w:p>
        </w:tc>
        <w:tc>
          <w:tcPr>
            <w:tcW w:w="379" w:type="pct"/>
          </w:tcPr>
          <w:p w14:paraId="113B37CD" w14:textId="77777777" w:rsidR="00601408" w:rsidRPr="00264D5D" w:rsidRDefault="00601408" w:rsidP="00601408">
            <w:pPr>
              <w:spacing w:before="60" w:after="60"/>
              <w:rPr>
                <w:sz w:val="22"/>
                <w:szCs w:val="22"/>
              </w:rPr>
            </w:pPr>
            <w:r w:rsidRPr="00601408">
              <w:rPr>
                <w:sz w:val="22"/>
                <w:szCs w:val="22"/>
                <w:highlight w:val="green"/>
              </w:rPr>
              <w:t>37.0</w:t>
            </w:r>
          </w:p>
        </w:tc>
        <w:tc>
          <w:tcPr>
            <w:tcW w:w="673" w:type="pct"/>
          </w:tcPr>
          <w:p w14:paraId="27D87D34" w14:textId="77777777" w:rsidR="00601408" w:rsidRPr="00264D5D" w:rsidRDefault="00601408" w:rsidP="00466EB8">
            <w:pPr>
              <w:spacing w:before="60" w:after="60"/>
              <w:rPr>
                <w:sz w:val="22"/>
                <w:szCs w:val="22"/>
              </w:rPr>
            </w:pPr>
            <w:r w:rsidRPr="00264D5D">
              <w:rPr>
                <w:sz w:val="22"/>
                <w:szCs w:val="22"/>
              </w:rPr>
              <w:t>01.06.2020</w:t>
            </w:r>
          </w:p>
        </w:tc>
        <w:tc>
          <w:tcPr>
            <w:tcW w:w="663" w:type="pct"/>
          </w:tcPr>
          <w:p w14:paraId="3748038A" w14:textId="77777777" w:rsidR="00601408" w:rsidRPr="00264D5D" w:rsidRDefault="00601408" w:rsidP="00466EB8">
            <w:pPr>
              <w:spacing w:before="60" w:after="60"/>
              <w:rPr>
                <w:sz w:val="22"/>
                <w:szCs w:val="22"/>
              </w:rPr>
            </w:pPr>
            <w:r w:rsidRPr="00264D5D">
              <w:rPr>
                <w:sz w:val="22"/>
                <w:szCs w:val="22"/>
              </w:rPr>
              <w:t>28.06.2020</w:t>
            </w:r>
          </w:p>
        </w:tc>
        <w:tc>
          <w:tcPr>
            <w:tcW w:w="1395" w:type="pct"/>
          </w:tcPr>
          <w:p w14:paraId="60BCA231" w14:textId="77777777" w:rsidR="00601408" w:rsidRPr="00264D5D" w:rsidRDefault="00601408" w:rsidP="00466EB8">
            <w:pPr>
              <w:spacing w:before="60" w:after="60"/>
              <w:rPr>
                <w:sz w:val="22"/>
                <w:szCs w:val="22"/>
              </w:rPr>
            </w:pPr>
            <w:r w:rsidRPr="00264D5D">
              <w:rPr>
                <w:sz w:val="22"/>
                <w:szCs w:val="22"/>
              </w:rPr>
              <w:t xml:space="preserve">Приказ Казначейства России от 14.05.2020 N 21н (ред. от 28.06.2021) «О Порядке казначейского </w:t>
            </w:r>
            <w:r w:rsidRPr="00264D5D">
              <w:rPr>
                <w:sz w:val="22"/>
                <w:szCs w:val="22"/>
              </w:rPr>
              <w:lastRenderedPageBreak/>
              <w:t>обслуживания»; письмо Федерального казначейства от 28.08.2020 № 01-00-08/298</w:t>
            </w:r>
          </w:p>
        </w:tc>
      </w:tr>
      <w:tr w:rsidR="00601408" w:rsidRPr="00264D5D" w14:paraId="0D648D0D" w14:textId="77777777" w:rsidTr="00AD1F54">
        <w:trPr>
          <w:cnfStyle w:val="000000100000" w:firstRow="0" w:lastRow="0" w:firstColumn="0" w:lastColumn="0" w:oddVBand="0" w:evenVBand="0" w:oddHBand="1" w:evenHBand="0" w:firstRowFirstColumn="0" w:firstRowLastColumn="0" w:lastRowFirstColumn="0" w:lastRowLastColumn="0"/>
        </w:trPr>
        <w:tc>
          <w:tcPr>
            <w:tcW w:w="720" w:type="pct"/>
            <w:vMerge/>
          </w:tcPr>
          <w:p w14:paraId="09E5FCAE" w14:textId="77777777" w:rsidR="00601408" w:rsidRPr="00264D5D" w:rsidRDefault="00601408" w:rsidP="00601408">
            <w:pPr>
              <w:spacing w:before="60" w:after="60"/>
              <w:rPr>
                <w:sz w:val="22"/>
                <w:szCs w:val="22"/>
              </w:rPr>
            </w:pPr>
          </w:p>
        </w:tc>
        <w:tc>
          <w:tcPr>
            <w:tcW w:w="470" w:type="pct"/>
          </w:tcPr>
          <w:p w14:paraId="571B572E" w14:textId="77777777" w:rsidR="00601408" w:rsidRPr="00853854" w:rsidRDefault="00601408" w:rsidP="00601408">
            <w:pPr>
              <w:pStyle w:val="GOSTTablenorm"/>
              <w:rPr>
                <w:szCs w:val="22"/>
                <w:highlight w:val="green"/>
              </w:rPr>
            </w:pPr>
            <w:r w:rsidRPr="00853854">
              <w:rPr>
                <w:szCs w:val="22"/>
                <w:highlight w:val="green"/>
              </w:rPr>
              <w:t>R</w:t>
            </w:r>
            <w:r w:rsidRPr="00853854">
              <w:rPr>
                <w:szCs w:val="22"/>
                <w:highlight w:val="green"/>
                <w:lang w:val="en-US"/>
              </w:rPr>
              <w:t>SKP</w:t>
            </w:r>
            <w:r w:rsidRPr="00853854">
              <w:rPr>
                <w:szCs w:val="22"/>
                <w:highlight w:val="green"/>
              </w:rPr>
              <w:t>_</w:t>
            </w:r>
            <w:r w:rsidRPr="00853854">
              <w:rPr>
                <w:szCs w:val="22"/>
                <w:highlight w:val="green"/>
                <w:lang w:val="en-US"/>
              </w:rPr>
              <w:t>MIR</w:t>
            </w:r>
          </w:p>
        </w:tc>
        <w:tc>
          <w:tcPr>
            <w:tcW w:w="321" w:type="pct"/>
          </w:tcPr>
          <w:p w14:paraId="4EEC73D9" w14:textId="77777777" w:rsidR="00601408" w:rsidRPr="00853854" w:rsidRDefault="00601408" w:rsidP="00601408">
            <w:pPr>
              <w:pStyle w:val="GOSTTablenorm"/>
              <w:rPr>
                <w:b/>
                <w:szCs w:val="22"/>
                <w:highlight w:val="green"/>
              </w:rPr>
            </w:pPr>
            <w:r w:rsidRPr="00853854">
              <w:rPr>
                <w:b/>
                <w:szCs w:val="22"/>
                <w:highlight w:val="green"/>
              </w:rPr>
              <w:t>DM</w:t>
            </w:r>
          </w:p>
        </w:tc>
        <w:tc>
          <w:tcPr>
            <w:tcW w:w="379" w:type="pct"/>
          </w:tcPr>
          <w:p w14:paraId="60253A80" w14:textId="77777777" w:rsidR="00601408" w:rsidRPr="00853854" w:rsidRDefault="00601408" w:rsidP="00601408">
            <w:pPr>
              <w:pStyle w:val="GOSTTablenorm"/>
              <w:rPr>
                <w:szCs w:val="22"/>
                <w:highlight w:val="green"/>
              </w:rPr>
            </w:pPr>
            <w:r w:rsidRPr="00853854">
              <w:rPr>
                <w:szCs w:val="22"/>
                <w:highlight w:val="green"/>
              </w:rPr>
              <w:t>1.0</w:t>
            </w:r>
          </w:p>
        </w:tc>
        <w:tc>
          <w:tcPr>
            <w:tcW w:w="379" w:type="pct"/>
          </w:tcPr>
          <w:p w14:paraId="0F422535" w14:textId="77777777" w:rsidR="00601408" w:rsidRPr="00853854" w:rsidRDefault="00601408" w:rsidP="00601408">
            <w:pPr>
              <w:pStyle w:val="GOSTTablenorm"/>
              <w:rPr>
                <w:szCs w:val="22"/>
                <w:highlight w:val="green"/>
              </w:rPr>
            </w:pPr>
            <w:r w:rsidRPr="00601408">
              <w:rPr>
                <w:szCs w:val="22"/>
                <w:highlight w:val="green"/>
              </w:rPr>
              <w:t>37.0</w:t>
            </w:r>
          </w:p>
        </w:tc>
        <w:tc>
          <w:tcPr>
            <w:tcW w:w="673" w:type="pct"/>
          </w:tcPr>
          <w:p w14:paraId="779A1A86" w14:textId="77777777" w:rsidR="00601408" w:rsidRPr="00853854" w:rsidRDefault="00601408" w:rsidP="00601408">
            <w:pPr>
              <w:pStyle w:val="GOSTTablenorm"/>
              <w:rPr>
                <w:szCs w:val="22"/>
                <w:highlight w:val="green"/>
              </w:rPr>
            </w:pPr>
            <w:r w:rsidRPr="00853854">
              <w:rPr>
                <w:szCs w:val="22"/>
                <w:highlight w:val="green"/>
              </w:rPr>
              <w:t>02.06.2025</w:t>
            </w:r>
          </w:p>
        </w:tc>
        <w:tc>
          <w:tcPr>
            <w:tcW w:w="663" w:type="pct"/>
          </w:tcPr>
          <w:p w14:paraId="6DF87053" w14:textId="77777777" w:rsidR="00601408" w:rsidRPr="00853854" w:rsidRDefault="00601408" w:rsidP="00601408">
            <w:pPr>
              <w:pStyle w:val="GOSTTablenorm"/>
              <w:rPr>
                <w:szCs w:val="22"/>
                <w:highlight w:val="green"/>
              </w:rPr>
            </w:pPr>
            <w:r w:rsidRPr="00853854">
              <w:rPr>
                <w:szCs w:val="22"/>
                <w:highlight w:val="green"/>
              </w:rPr>
              <w:t>-</w:t>
            </w:r>
          </w:p>
        </w:tc>
        <w:tc>
          <w:tcPr>
            <w:tcW w:w="1395" w:type="pct"/>
          </w:tcPr>
          <w:p w14:paraId="6EFA24D9" w14:textId="77777777" w:rsidR="00601408" w:rsidRPr="00853854" w:rsidRDefault="00601408" w:rsidP="00601408">
            <w:pPr>
              <w:pStyle w:val="GOSTTablenorm"/>
              <w:rPr>
                <w:szCs w:val="22"/>
              </w:rPr>
            </w:pPr>
            <w:r w:rsidRPr="00853854">
              <w:rPr>
                <w:szCs w:val="22"/>
                <w:highlight w:val="green"/>
              </w:rPr>
              <w:t>Альбом «Требования к форматам обмена распоряжений о совершении казначейского платежа (перечисление на карты «МИР»), используемым при информационном взаимодействии между территориальными органами Федерального казначейства и участниками бюджетного процесса, бюджетными учреждениями, автономными учреждениями»</w:t>
            </w:r>
          </w:p>
        </w:tc>
      </w:tr>
      <w:tr w:rsidR="00601408" w:rsidRPr="00264D5D" w14:paraId="7D3A7FCD" w14:textId="77777777" w:rsidTr="00AD1F54">
        <w:trPr>
          <w:cnfStyle w:val="000000010000" w:firstRow="0" w:lastRow="0" w:firstColumn="0" w:lastColumn="0" w:oddVBand="0" w:evenVBand="0" w:oddHBand="0" w:evenHBand="1" w:firstRowFirstColumn="0" w:firstRowLastColumn="0" w:lastRowFirstColumn="0" w:lastRowLastColumn="0"/>
        </w:trPr>
        <w:tc>
          <w:tcPr>
            <w:tcW w:w="720" w:type="pct"/>
          </w:tcPr>
          <w:p w14:paraId="6583D4B5" w14:textId="77777777" w:rsidR="00601408" w:rsidRPr="00264D5D" w:rsidRDefault="00601408" w:rsidP="00601408">
            <w:pPr>
              <w:spacing w:before="60" w:after="60"/>
              <w:rPr>
                <w:sz w:val="22"/>
                <w:szCs w:val="22"/>
              </w:rPr>
            </w:pPr>
            <w:r w:rsidRPr="00264D5D">
              <w:rPr>
                <w:sz w:val="22"/>
                <w:szCs w:val="22"/>
              </w:rPr>
              <w:t>Сведения о соглашении/ об изменении соглашения</w:t>
            </w:r>
          </w:p>
        </w:tc>
        <w:tc>
          <w:tcPr>
            <w:tcW w:w="470" w:type="pct"/>
          </w:tcPr>
          <w:p w14:paraId="0D840B4F" w14:textId="77777777" w:rsidR="00601408" w:rsidRPr="00264D5D" w:rsidRDefault="00601408" w:rsidP="00601408">
            <w:pPr>
              <w:spacing w:before="60" w:after="60"/>
              <w:rPr>
                <w:sz w:val="22"/>
                <w:szCs w:val="22"/>
                <w:lang w:val="en-US"/>
              </w:rPr>
            </w:pPr>
            <w:r w:rsidRPr="00264D5D">
              <w:rPr>
                <w:sz w:val="22"/>
                <w:szCs w:val="22"/>
                <w:lang w:val="en-US"/>
              </w:rPr>
              <w:t>ImpAgr</w:t>
            </w:r>
          </w:p>
        </w:tc>
        <w:tc>
          <w:tcPr>
            <w:tcW w:w="321" w:type="pct"/>
          </w:tcPr>
          <w:p w14:paraId="1DB28A3A" w14:textId="77777777" w:rsidR="00601408" w:rsidRPr="00264D5D" w:rsidRDefault="00601408" w:rsidP="00601408">
            <w:pPr>
              <w:spacing w:before="60" w:after="60"/>
              <w:rPr>
                <w:b/>
                <w:sz w:val="22"/>
                <w:szCs w:val="22"/>
              </w:rPr>
            </w:pPr>
            <w:r w:rsidRPr="00264D5D">
              <w:rPr>
                <w:b/>
                <w:sz w:val="22"/>
                <w:szCs w:val="22"/>
              </w:rPr>
              <w:t>AG</w:t>
            </w:r>
          </w:p>
        </w:tc>
        <w:tc>
          <w:tcPr>
            <w:tcW w:w="379" w:type="pct"/>
          </w:tcPr>
          <w:p w14:paraId="656D9335" w14:textId="77777777" w:rsidR="00601408" w:rsidRPr="00264D5D" w:rsidRDefault="00601408" w:rsidP="00601408">
            <w:pPr>
              <w:spacing w:before="60" w:after="60"/>
              <w:rPr>
                <w:sz w:val="22"/>
                <w:szCs w:val="22"/>
              </w:rPr>
            </w:pPr>
            <w:r w:rsidRPr="00264D5D">
              <w:rPr>
                <w:sz w:val="22"/>
                <w:szCs w:val="22"/>
              </w:rPr>
              <w:t>3.0</w:t>
            </w:r>
          </w:p>
        </w:tc>
        <w:tc>
          <w:tcPr>
            <w:tcW w:w="379" w:type="pct"/>
          </w:tcPr>
          <w:p w14:paraId="37B544AD" w14:textId="77777777" w:rsidR="00601408" w:rsidRPr="00264D5D" w:rsidRDefault="00601408" w:rsidP="00601408">
            <w:pPr>
              <w:spacing w:before="60" w:after="60"/>
              <w:rPr>
                <w:sz w:val="22"/>
                <w:szCs w:val="22"/>
              </w:rPr>
            </w:pPr>
            <w:r w:rsidRPr="00264D5D">
              <w:rPr>
                <w:sz w:val="22"/>
                <w:szCs w:val="22"/>
              </w:rPr>
              <w:t>35.0</w:t>
            </w:r>
          </w:p>
        </w:tc>
        <w:tc>
          <w:tcPr>
            <w:tcW w:w="673" w:type="pct"/>
          </w:tcPr>
          <w:p w14:paraId="40187451" w14:textId="77777777" w:rsidR="00601408" w:rsidRPr="00264D5D" w:rsidRDefault="00601408" w:rsidP="00601408">
            <w:pPr>
              <w:spacing w:before="60" w:after="60"/>
              <w:rPr>
                <w:sz w:val="22"/>
                <w:szCs w:val="22"/>
              </w:rPr>
            </w:pPr>
            <w:r w:rsidRPr="00264D5D">
              <w:rPr>
                <w:sz w:val="22"/>
                <w:szCs w:val="22"/>
              </w:rPr>
              <w:t>01.01.2024</w:t>
            </w:r>
          </w:p>
        </w:tc>
        <w:tc>
          <w:tcPr>
            <w:tcW w:w="663" w:type="pct"/>
          </w:tcPr>
          <w:p w14:paraId="05332E9B" w14:textId="77777777" w:rsidR="00601408" w:rsidRPr="00264D5D" w:rsidRDefault="00601408" w:rsidP="00601408">
            <w:pPr>
              <w:spacing w:before="60" w:after="60"/>
              <w:rPr>
                <w:sz w:val="22"/>
                <w:szCs w:val="22"/>
              </w:rPr>
            </w:pPr>
            <w:r w:rsidRPr="00264D5D">
              <w:rPr>
                <w:sz w:val="22"/>
                <w:szCs w:val="22"/>
              </w:rPr>
              <w:t>31.12.2023</w:t>
            </w:r>
          </w:p>
        </w:tc>
        <w:tc>
          <w:tcPr>
            <w:tcW w:w="1395" w:type="pct"/>
          </w:tcPr>
          <w:p w14:paraId="178FA85C" w14:textId="77777777" w:rsidR="00601408" w:rsidRPr="00264D5D" w:rsidRDefault="00601408" w:rsidP="00601408">
            <w:pPr>
              <w:spacing w:before="60" w:after="60"/>
              <w:rPr>
                <w:sz w:val="22"/>
                <w:szCs w:val="22"/>
              </w:rPr>
            </w:pPr>
            <w:r w:rsidRPr="00264D5D">
              <w:rPr>
                <w:sz w:val="22"/>
                <w:szCs w:val="22"/>
              </w:rPr>
              <w:t>Приказ Минфина России от 30.07.2020 N 153н (ред. от 29.01.2021) «О Порядке ведения реестра соглашений (договоров) о предоставлении субсидий, бюджетных инвестиций, межбюджетных трансфертов»</w:t>
            </w:r>
          </w:p>
        </w:tc>
      </w:tr>
      <w:tr w:rsidR="00601408" w:rsidRPr="00264D5D" w14:paraId="4159A9DE" w14:textId="77777777" w:rsidTr="00AD1F54">
        <w:trPr>
          <w:cnfStyle w:val="000000100000" w:firstRow="0" w:lastRow="0" w:firstColumn="0" w:lastColumn="0" w:oddVBand="0" w:evenVBand="0" w:oddHBand="1" w:evenHBand="0" w:firstRowFirstColumn="0" w:firstRowLastColumn="0" w:lastRowFirstColumn="0" w:lastRowLastColumn="0"/>
        </w:trPr>
        <w:tc>
          <w:tcPr>
            <w:tcW w:w="720" w:type="pct"/>
          </w:tcPr>
          <w:p w14:paraId="4845C605" w14:textId="77777777" w:rsidR="00601408" w:rsidRPr="00264D5D" w:rsidRDefault="00601408" w:rsidP="00601408">
            <w:pPr>
              <w:spacing w:before="60" w:after="60"/>
              <w:rPr>
                <w:sz w:val="22"/>
                <w:szCs w:val="22"/>
              </w:rPr>
            </w:pPr>
            <w:r w:rsidRPr="00264D5D">
              <w:rPr>
                <w:sz w:val="22"/>
                <w:szCs w:val="22"/>
              </w:rPr>
              <w:t>Информация об отчетности</w:t>
            </w:r>
          </w:p>
        </w:tc>
        <w:tc>
          <w:tcPr>
            <w:tcW w:w="470" w:type="pct"/>
          </w:tcPr>
          <w:p w14:paraId="37CA930C" w14:textId="77777777" w:rsidR="00601408" w:rsidRPr="00264D5D" w:rsidRDefault="00601408" w:rsidP="00601408">
            <w:pPr>
              <w:spacing w:before="60" w:after="60"/>
              <w:rPr>
                <w:sz w:val="22"/>
                <w:szCs w:val="22"/>
              </w:rPr>
            </w:pPr>
            <w:r w:rsidRPr="00264D5D">
              <w:rPr>
                <w:rFonts w:eastAsia="Calibri"/>
                <w:sz w:val="22"/>
                <w:szCs w:val="22"/>
              </w:rPr>
              <w:t>EXP_InformatReport</w:t>
            </w:r>
          </w:p>
        </w:tc>
        <w:tc>
          <w:tcPr>
            <w:tcW w:w="321" w:type="pct"/>
          </w:tcPr>
          <w:p w14:paraId="7177F60B" w14:textId="77777777" w:rsidR="00601408" w:rsidRPr="00264D5D" w:rsidRDefault="00601408" w:rsidP="00601408">
            <w:pPr>
              <w:spacing w:before="60" w:after="60"/>
              <w:rPr>
                <w:b/>
                <w:sz w:val="22"/>
                <w:szCs w:val="22"/>
              </w:rPr>
            </w:pPr>
            <w:r w:rsidRPr="00264D5D">
              <w:rPr>
                <w:b/>
                <w:sz w:val="22"/>
                <w:szCs w:val="22"/>
                <w:lang w:val="en-US"/>
              </w:rPr>
              <w:t>IO</w:t>
            </w:r>
          </w:p>
        </w:tc>
        <w:tc>
          <w:tcPr>
            <w:tcW w:w="379" w:type="pct"/>
          </w:tcPr>
          <w:p w14:paraId="2226F72A" w14:textId="77777777" w:rsidR="00601408" w:rsidRPr="00264D5D" w:rsidRDefault="00601408" w:rsidP="00601408">
            <w:pPr>
              <w:spacing w:before="60" w:after="60"/>
              <w:rPr>
                <w:sz w:val="22"/>
                <w:szCs w:val="22"/>
              </w:rPr>
            </w:pPr>
            <w:r w:rsidRPr="00264D5D">
              <w:rPr>
                <w:sz w:val="22"/>
                <w:szCs w:val="22"/>
              </w:rPr>
              <w:t>2.0</w:t>
            </w:r>
          </w:p>
        </w:tc>
        <w:tc>
          <w:tcPr>
            <w:tcW w:w="379" w:type="pct"/>
          </w:tcPr>
          <w:p w14:paraId="4BE4C0C7" w14:textId="77777777" w:rsidR="00601408" w:rsidRPr="00264D5D" w:rsidRDefault="00601408" w:rsidP="00601408">
            <w:pPr>
              <w:spacing w:before="60" w:after="60"/>
              <w:rPr>
                <w:sz w:val="22"/>
                <w:szCs w:val="22"/>
              </w:rPr>
            </w:pPr>
            <w:r w:rsidRPr="00264D5D">
              <w:rPr>
                <w:sz w:val="22"/>
                <w:szCs w:val="22"/>
              </w:rPr>
              <w:t>28.0</w:t>
            </w:r>
          </w:p>
        </w:tc>
        <w:tc>
          <w:tcPr>
            <w:tcW w:w="673" w:type="pct"/>
          </w:tcPr>
          <w:p w14:paraId="21C466D0" w14:textId="77777777" w:rsidR="00601408" w:rsidRPr="00264D5D" w:rsidRDefault="00601408" w:rsidP="00601408">
            <w:pPr>
              <w:spacing w:before="60" w:after="60"/>
              <w:rPr>
                <w:sz w:val="22"/>
                <w:szCs w:val="22"/>
              </w:rPr>
            </w:pPr>
            <w:r w:rsidRPr="00264D5D">
              <w:rPr>
                <w:sz w:val="22"/>
                <w:szCs w:val="22"/>
              </w:rPr>
              <w:t>01.01.2019</w:t>
            </w:r>
          </w:p>
        </w:tc>
        <w:tc>
          <w:tcPr>
            <w:tcW w:w="663" w:type="pct"/>
          </w:tcPr>
          <w:p w14:paraId="06A90F36" w14:textId="77777777" w:rsidR="00601408" w:rsidRPr="00264D5D" w:rsidRDefault="00601408" w:rsidP="00601408">
            <w:pPr>
              <w:spacing w:before="60" w:after="60"/>
              <w:rPr>
                <w:sz w:val="22"/>
                <w:szCs w:val="22"/>
              </w:rPr>
            </w:pPr>
            <w:r w:rsidRPr="00264D5D">
              <w:rPr>
                <w:sz w:val="22"/>
                <w:szCs w:val="22"/>
              </w:rPr>
              <w:t>31.12.2018</w:t>
            </w:r>
          </w:p>
        </w:tc>
        <w:tc>
          <w:tcPr>
            <w:tcW w:w="1395" w:type="pct"/>
          </w:tcPr>
          <w:p w14:paraId="1EB92F56" w14:textId="77777777" w:rsidR="00601408" w:rsidRPr="00264D5D" w:rsidRDefault="00601408" w:rsidP="00601408">
            <w:pPr>
              <w:spacing w:before="60" w:after="60"/>
              <w:rPr>
                <w:sz w:val="22"/>
                <w:szCs w:val="22"/>
              </w:rPr>
            </w:pPr>
            <w:r w:rsidRPr="00264D5D">
              <w:rPr>
                <w:sz w:val="22"/>
                <w:szCs w:val="22"/>
              </w:rPr>
              <w:t>Приказ Минфина России от 30.07.2020 N 153н (ред. от 29.01.2021) «О Порядке ведения реестра соглашений (договоров) о предоставлении субсидий, бюджетных инвестиций, межбюджетных трансфертов»</w:t>
            </w:r>
          </w:p>
        </w:tc>
      </w:tr>
      <w:tr w:rsidR="00601408" w:rsidRPr="00264D5D" w14:paraId="3FB032B0" w14:textId="77777777" w:rsidTr="00AD1F54">
        <w:trPr>
          <w:cnfStyle w:val="000000010000" w:firstRow="0" w:lastRow="0" w:firstColumn="0" w:lastColumn="0" w:oddVBand="0" w:evenVBand="0" w:oddHBand="0" w:evenHBand="1" w:firstRowFirstColumn="0" w:firstRowLastColumn="0" w:lastRowFirstColumn="0" w:lastRowLastColumn="0"/>
        </w:trPr>
        <w:tc>
          <w:tcPr>
            <w:tcW w:w="720" w:type="pct"/>
          </w:tcPr>
          <w:p w14:paraId="27D68942" w14:textId="77777777" w:rsidR="00601408" w:rsidRPr="00264D5D" w:rsidRDefault="00601408" w:rsidP="00601408">
            <w:pPr>
              <w:spacing w:before="60" w:after="60"/>
              <w:rPr>
                <w:sz w:val="22"/>
                <w:szCs w:val="22"/>
              </w:rPr>
            </w:pPr>
            <w:r w:rsidRPr="00264D5D">
              <w:rPr>
                <w:sz w:val="22"/>
                <w:szCs w:val="22"/>
              </w:rPr>
              <w:t xml:space="preserve">Акт приемки-передачи </w:t>
            </w:r>
            <w:r w:rsidRPr="00264D5D">
              <w:rPr>
                <w:sz w:val="22"/>
                <w:szCs w:val="22"/>
              </w:rPr>
              <w:lastRenderedPageBreak/>
              <w:t>кассовых выплат, поступлений и обязательств при реорганизации участников бюджетного процесса (ф. 0531728)</w:t>
            </w:r>
          </w:p>
        </w:tc>
        <w:tc>
          <w:tcPr>
            <w:tcW w:w="470" w:type="pct"/>
          </w:tcPr>
          <w:p w14:paraId="6C5C7A1F" w14:textId="77777777" w:rsidR="00601408" w:rsidRPr="00264D5D" w:rsidRDefault="00601408" w:rsidP="00601408">
            <w:pPr>
              <w:spacing w:before="60" w:after="60"/>
              <w:rPr>
                <w:sz w:val="22"/>
                <w:szCs w:val="22"/>
              </w:rPr>
            </w:pPr>
            <w:r w:rsidRPr="00264D5D">
              <w:rPr>
                <w:sz w:val="22"/>
                <w:szCs w:val="22"/>
              </w:rPr>
              <w:lastRenderedPageBreak/>
              <w:t>ProcessPeriodic</w:t>
            </w:r>
            <w:r w:rsidRPr="00264D5D">
              <w:rPr>
                <w:sz w:val="22"/>
                <w:szCs w:val="22"/>
              </w:rPr>
              <w:lastRenderedPageBreak/>
              <w:t>Report</w:t>
            </w:r>
          </w:p>
        </w:tc>
        <w:tc>
          <w:tcPr>
            <w:tcW w:w="321" w:type="pct"/>
          </w:tcPr>
          <w:p w14:paraId="32C5EC9A" w14:textId="77777777" w:rsidR="00601408" w:rsidRPr="00264D5D" w:rsidRDefault="00601408" w:rsidP="00601408">
            <w:pPr>
              <w:spacing w:before="60" w:after="60"/>
              <w:rPr>
                <w:b/>
                <w:sz w:val="22"/>
                <w:szCs w:val="22"/>
                <w:lang w:val="en-US"/>
              </w:rPr>
            </w:pPr>
            <w:r w:rsidRPr="00264D5D">
              <w:rPr>
                <w:b/>
                <w:sz w:val="22"/>
                <w:szCs w:val="22"/>
                <w:lang w:val="en-US"/>
              </w:rPr>
              <w:lastRenderedPageBreak/>
              <w:t>RK</w:t>
            </w:r>
          </w:p>
        </w:tc>
        <w:tc>
          <w:tcPr>
            <w:tcW w:w="379" w:type="pct"/>
          </w:tcPr>
          <w:p w14:paraId="6E1294CD" w14:textId="77777777" w:rsidR="00601408" w:rsidRPr="00264D5D" w:rsidRDefault="00601408" w:rsidP="00601408">
            <w:pPr>
              <w:spacing w:before="60" w:after="60"/>
              <w:rPr>
                <w:sz w:val="22"/>
                <w:szCs w:val="22"/>
              </w:rPr>
            </w:pPr>
            <w:r w:rsidRPr="00264D5D">
              <w:rPr>
                <w:sz w:val="22"/>
                <w:szCs w:val="22"/>
              </w:rPr>
              <w:t>-</w:t>
            </w:r>
          </w:p>
        </w:tc>
        <w:tc>
          <w:tcPr>
            <w:tcW w:w="379" w:type="pct"/>
          </w:tcPr>
          <w:p w14:paraId="59E379E7" w14:textId="77777777" w:rsidR="00601408" w:rsidRPr="00264D5D" w:rsidRDefault="00601408" w:rsidP="00601408">
            <w:pPr>
              <w:spacing w:before="60" w:after="60"/>
              <w:rPr>
                <w:sz w:val="22"/>
                <w:szCs w:val="22"/>
              </w:rPr>
            </w:pPr>
            <w:r w:rsidRPr="00264D5D">
              <w:rPr>
                <w:sz w:val="22"/>
                <w:szCs w:val="22"/>
              </w:rPr>
              <w:t>32.0</w:t>
            </w:r>
          </w:p>
        </w:tc>
        <w:tc>
          <w:tcPr>
            <w:tcW w:w="673" w:type="pct"/>
          </w:tcPr>
          <w:p w14:paraId="06C86F75" w14:textId="77777777" w:rsidR="00601408" w:rsidRPr="00264D5D" w:rsidRDefault="00601408" w:rsidP="00601408">
            <w:pPr>
              <w:spacing w:before="60" w:after="60"/>
              <w:rPr>
                <w:sz w:val="22"/>
                <w:szCs w:val="22"/>
              </w:rPr>
            </w:pPr>
            <w:r w:rsidRPr="00264D5D">
              <w:rPr>
                <w:sz w:val="22"/>
                <w:szCs w:val="22"/>
              </w:rPr>
              <w:t>20.07.2020</w:t>
            </w:r>
          </w:p>
        </w:tc>
        <w:tc>
          <w:tcPr>
            <w:tcW w:w="663" w:type="pct"/>
          </w:tcPr>
          <w:p w14:paraId="52689B7E" w14:textId="77777777" w:rsidR="00601408" w:rsidRPr="00264D5D" w:rsidRDefault="00601408" w:rsidP="00601408">
            <w:pPr>
              <w:spacing w:before="60" w:after="60"/>
              <w:rPr>
                <w:sz w:val="22"/>
                <w:szCs w:val="22"/>
              </w:rPr>
            </w:pPr>
            <w:r w:rsidRPr="00264D5D">
              <w:rPr>
                <w:sz w:val="22"/>
                <w:szCs w:val="22"/>
              </w:rPr>
              <w:t>19.07.2020</w:t>
            </w:r>
          </w:p>
        </w:tc>
        <w:tc>
          <w:tcPr>
            <w:tcW w:w="1395" w:type="pct"/>
          </w:tcPr>
          <w:p w14:paraId="12220F43" w14:textId="77777777" w:rsidR="00601408" w:rsidRPr="00264D5D" w:rsidRDefault="00601408" w:rsidP="00601408">
            <w:pPr>
              <w:spacing w:before="60" w:after="60"/>
              <w:rPr>
                <w:sz w:val="22"/>
                <w:szCs w:val="22"/>
              </w:rPr>
            </w:pPr>
            <w:r w:rsidRPr="00264D5D">
              <w:rPr>
                <w:sz w:val="22"/>
                <w:szCs w:val="22"/>
              </w:rPr>
              <w:t xml:space="preserve">Приказ Министерства финансов Российской Федерации от 30 сентября </w:t>
            </w:r>
            <w:r w:rsidRPr="00264D5D">
              <w:rPr>
                <w:sz w:val="22"/>
                <w:szCs w:val="22"/>
              </w:rPr>
              <w:lastRenderedPageBreak/>
              <w:t>2008 г. № 104н «О Порядке доведения бюджетных ассигнований, лимитов бюджетных обязательств при организации исполнения федерального бюджета по расходам и источникам финансирования дефицита федерального бюджета и передачи бюджетных ассигнований, лимитов бюджетных обязательств при реорганизации участников бюджетного процесса федерального уровня»</w:t>
            </w:r>
          </w:p>
        </w:tc>
      </w:tr>
      <w:tr w:rsidR="00601408" w:rsidRPr="00264D5D" w14:paraId="23571A7C" w14:textId="77777777" w:rsidTr="00AD1F54">
        <w:trPr>
          <w:cnfStyle w:val="000000100000" w:firstRow="0" w:lastRow="0" w:firstColumn="0" w:lastColumn="0" w:oddVBand="0" w:evenVBand="0" w:oddHBand="1" w:evenHBand="0" w:firstRowFirstColumn="0" w:firstRowLastColumn="0" w:lastRowFirstColumn="0" w:lastRowLastColumn="0"/>
        </w:trPr>
        <w:tc>
          <w:tcPr>
            <w:tcW w:w="720" w:type="pct"/>
          </w:tcPr>
          <w:p w14:paraId="6595705D" w14:textId="77777777" w:rsidR="00601408" w:rsidRPr="00264D5D" w:rsidRDefault="00601408" w:rsidP="00601408">
            <w:pPr>
              <w:spacing w:before="60" w:after="60"/>
              <w:rPr>
                <w:sz w:val="22"/>
                <w:szCs w:val="22"/>
              </w:rPr>
            </w:pPr>
            <w:r w:rsidRPr="00264D5D">
              <w:rPr>
                <w:sz w:val="22"/>
                <w:szCs w:val="22"/>
              </w:rPr>
              <w:lastRenderedPageBreak/>
              <w:t>Заявление на выдачу (перевод, исполнение) Казначейского обеспечения обязательств (банковское)</w:t>
            </w:r>
          </w:p>
        </w:tc>
        <w:tc>
          <w:tcPr>
            <w:tcW w:w="470" w:type="pct"/>
          </w:tcPr>
          <w:p w14:paraId="3104853D" w14:textId="77777777" w:rsidR="00601408" w:rsidRPr="00264D5D" w:rsidRDefault="00601408" w:rsidP="00601408">
            <w:pPr>
              <w:spacing w:before="60" w:after="60"/>
              <w:rPr>
                <w:sz w:val="22"/>
                <w:szCs w:val="22"/>
              </w:rPr>
            </w:pPr>
            <w:r w:rsidRPr="00264D5D">
              <w:rPr>
                <w:sz w:val="22"/>
                <w:szCs w:val="22"/>
              </w:rPr>
              <w:t>App_Extradition</w:t>
            </w:r>
          </w:p>
        </w:tc>
        <w:tc>
          <w:tcPr>
            <w:tcW w:w="321" w:type="pct"/>
          </w:tcPr>
          <w:p w14:paraId="15784CC1" w14:textId="77777777" w:rsidR="00601408" w:rsidRPr="00264D5D" w:rsidRDefault="00601408" w:rsidP="00601408">
            <w:pPr>
              <w:spacing w:before="60" w:after="60"/>
              <w:rPr>
                <w:b/>
                <w:sz w:val="22"/>
                <w:szCs w:val="22"/>
              </w:rPr>
            </w:pPr>
            <w:r w:rsidRPr="00264D5D">
              <w:rPr>
                <w:b/>
                <w:sz w:val="22"/>
                <w:szCs w:val="22"/>
              </w:rPr>
              <w:t>AE</w:t>
            </w:r>
          </w:p>
        </w:tc>
        <w:tc>
          <w:tcPr>
            <w:tcW w:w="379" w:type="pct"/>
          </w:tcPr>
          <w:p w14:paraId="4325488D" w14:textId="77777777" w:rsidR="00601408" w:rsidRPr="00264D5D" w:rsidRDefault="00601408" w:rsidP="00601408">
            <w:pPr>
              <w:spacing w:before="60" w:after="60"/>
              <w:rPr>
                <w:sz w:val="22"/>
                <w:szCs w:val="22"/>
              </w:rPr>
            </w:pPr>
            <w:r w:rsidRPr="00264D5D">
              <w:rPr>
                <w:sz w:val="22"/>
                <w:szCs w:val="22"/>
              </w:rPr>
              <w:t>1.0</w:t>
            </w:r>
          </w:p>
        </w:tc>
        <w:tc>
          <w:tcPr>
            <w:tcW w:w="379" w:type="pct"/>
          </w:tcPr>
          <w:p w14:paraId="085D2B28" w14:textId="77777777" w:rsidR="00601408" w:rsidRPr="00264D5D" w:rsidRDefault="00601408" w:rsidP="00601408">
            <w:pPr>
              <w:spacing w:before="60" w:after="60"/>
              <w:rPr>
                <w:sz w:val="22"/>
                <w:szCs w:val="22"/>
              </w:rPr>
            </w:pPr>
            <w:r w:rsidRPr="00264D5D">
              <w:rPr>
                <w:sz w:val="22"/>
                <w:szCs w:val="22"/>
              </w:rPr>
              <w:t>35.0</w:t>
            </w:r>
          </w:p>
        </w:tc>
        <w:tc>
          <w:tcPr>
            <w:tcW w:w="673" w:type="pct"/>
          </w:tcPr>
          <w:p w14:paraId="794D6084" w14:textId="77777777" w:rsidR="00601408" w:rsidRPr="00264D5D" w:rsidRDefault="00601408" w:rsidP="00601408">
            <w:pPr>
              <w:spacing w:before="60" w:after="60"/>
              <w:rPr>
                <w:sz w:val="22"/>
                <w:szCs w:val="22"/>
              </w:rPr>
            </w:pPr>
            <w:r w:rsidRPr="00264D5D">
              <w:rPr>
                <w:sz w:val="22"/>
                <w:szCs w:val="22"/>
              </w:rPr>
              <w:t>01.01.2019</w:t>
            </w:r>
          </w:p>
        </w:tc>
        <w:tc>
          <w:tcPr>
            <w:tcW w:w="663" w:type="pct"/>
          </w:tcPr>
          <w:p w14:paraId="287C90A1" w14:textId="77777777" w:rsidR="00601408" w:rsidRPr="00264D5D" w:rsidRDefault="00601408" w:rsidP="00601408">
            <w:pPr>
              <w:spacing w:before="60" w:after="60"/>
              <w:rPr>
                <w:sz w:val="22"/>
                <w:szCs w:val="22"/>
              </w:rPr>
            </w:pPr>
            <w:r w:rsidRPr="00264D5D">
              <w:rPr>
                <w:sz w:val="22"/>
                <w:szCs w:val="22"/>
              </w:rPr>
              <w:t>-</w:t>
            </w:r>
          </w:p>
        </w:tc>
        <w:tc>
          <w:tcPr>
            <w:tcW w:w="1395" w:type="pct"/>
          </w:tcPr>
          <w:p w14:paraId="4DC540E3" w14:textId="77777777" w:rsidR="00601408" w:rsidRPr="00264D5D" w:rsidRDefault="00601408" w:rsidP="00601408">
            <w:pPr>
              <w:spacing w:before="60" w:after="60"/>
              <w:rPr>
                <w:sz w:val="22"/>
                <w:szCs w:val="22"/>
              </w:rPr>
            </w:pPr>
            <w:r w:rsidRPr="00264D5D">
              <w:rPr>
                <w:sz w:val="22"/>
                <w:szCs w:val="22"/>
              </w:rPr>
              <w:t xml:space="preserve">Положение МФ РФ и ЦБ РФ от 26.03.2018 № 55н, 636-П «О порядке осуществления казначейского обеспечения обязательств при банковском сопровождении государственных контрактов»; Положение ЦБ РФ и ФК от 20.04.2018 № 641-П/16н «О формах документов, применяемых при казначейском обеспечении обязательств при банковском сопровождении государственных контрактов, и порядке их заполнения», Документ «Унифицированные форматы электронных банковских сообщений. Обмен с клиентами Банка России» версия 2021.4.2, действующая с 20.09.2021 </w:t>
            </w:r>
            <w:r w:rsidRPr="00264D5D">
              <w:rPr>
                <w:sz w:val="22"/>
                <w:szCs w:val="22"/>
              </w:rPr>
              <w:lastRenderedPageBreak/>
              <w:t>г., документом «Описание структуры сообщений, применяемых при казначейском обеспечении обязательств при банковском сопровождении государственных контрактов» версия 2018-1.0</w:t>
            </w:r>
          </w:p>
        </w:tc>
      </w:tr>
      <w:tr w:rsidR="00601408" w:rsidRPr="00264D5D" w14:paraId="04D8DEE3" w14:textId="77777777" w:rsidTr="00AD1F54">
        <w:trPr>
          <w:cnfStyle w:val="000000010000" w:firstRow="0" w:lastRow="0" w:firstColumn="0" w:lastColumn="0" w:oddVBand="0" w:evenVBand="0" w:oddHBand="0" w:evenHBand="1" w:firstRowFirstColumn="0" w:firstRowLastColumn="0" w:lastRowFirstColumn="0" w:lastRowLastColumn="0"/>
        </w:trPr>
        <w:tc>
          <w:tcPr>
            <w:tcW w:w="720" w:type="pct"/>
          </w:tcPr>
          <w:p w14:paraId="5F9FCE9A" w14:textId="77777777" w:rsidR="00601408" w:rsidRPr="00264D5D" w:rsidRDefault="00601408" w:rsidP="00601408">
            <w:pPr>
              <w:spacing w:before="60" w:after="60"/>
              <w:rPr>
                <w:sz w:val="22"/>
                <w:szCs w:val="22"/>
              </w:rPr>
            </w:pPr>
            <w:r w:rsidRPr="00264D5D">
              <w:rPr>
                <w:sz w:val="22"/>
                <w:szCs w:val="22"/>
              </w:rPr>
              <w:lastRenderedPageBreak/>
              <w:t>Заявка на возврат (ф. 0531803)</w:t>
            </w:r>
          </w:p>
        </w:tc>
        <w:tc>
          <w:tcPr>
            <w:tcW w:w="470" w:type="pct"/>
          </w:tcPr>
          <w:p w14:paraId="10C5D5B2" w14:textId="77777777" w:rsidR="00601408" w:rsidRPr="00264D5D" w:rsidRDefault="00601408" w:rsidP="00601408">
            <w:pPr>
              <w:spacing w:before="60" w:after="60"/>
              <w:rPr>
                <w:sz w:val="22"/>
                <w:szCs w:val="22"/>
              </w:rPr>
            </w:pPr>
            <w:r w:rsidRPr="00264D5D">
              <w:rPr>
                <w:rFonts w:eastAsia="Calibri"/>
                <w:sz w:val="22"/>
                <w:szCs w:val="22"/>
              </w:rPr>
              <w:t>MSC_ApplRfnd</w:t>
            </w:r>
          </w:p>
        </w:tc>
        <w:tc>
          <w:tcPr>
            <w:tcW w:w="321" w:type="pct"/>
          </w:tcPr>
          <w:p w14:paraId="10A3C8C9" w14:textId="77777777" w:rsidR="00601408" w:rsidRPr="00264D5D" w:rsidRDefault="00601408" w:rsidP="00601408">
            <w:pPr>
              <w:spacing w:before="60" w:after="60"/>
              <w:rPr>
                <w:b/>
                <w:sz w:val="22"/>
                <w:szCs w:val="22"/>
              </w:rPr>
            </w:pPr>
            <w:r w:rsidRPr="00264D5D">
              <w:rPr>
                <w:b/>
                <w:sz w:val="22"/>
                <w:szCs w:val="22"/>
              </w:rPr>
              <w:t>ZV</w:t>
            </w:r>
          </w:p>
        </w:tc>
        <w:tc>
          <w:tcPr>
            <w:tcW w:w="379" w:type="pct"/>
          </w:tcPr>
          <w:p w14:paraId="765A868E" w14:textId="77777777" w:rsidR="00601408" w:rsidRPr="00264D5D" w:rsidRDefault="00601408" w:rsidP="00601408">
            <w:pPr>
              <w:spacing w:before="60" w:after="60"/>
              <w:rPr>
                <w:sz w:val="22"/>
                <w:szCs w:val="22"/>
              </w:rPr>
            </w:pPr>
            <w:r w:rsidRPr="00264D5D">
              <w:rPr>
                <w:sz w:val="22"/>
                <w:szCs w:val="22"/>
              </w:rPr>
              <w:t>2.0</w:t>
            </w:r>
          </w:p>
        </w:tc>
        <w:tc>
          <w:tcPr>
            <w:tcW w:w="379" w:type="pct"/>
          </w:tcPr>
          <w:p w14:paraId="09E8F6FE" w14:textId="77777777" w:rsidR="00601408" w:rsidRPr="00264D5D" w:rsidRDefault="00601408" w:rsidP="00456FAF">
            <w:pPr>
              <w:spacing w:before="60" w:after="60"/>
              <w:rPr>
                <w:sz w:val="22"/>
                <w:szCs w:val="22"/>
              </w:rPr>
            </w:pPr>
            <w:r w:rsidRPr="00456FAF">
              <w:rPr>
                <w:sz w:val="22"/>
                <w:szCs w:val="22"/>
                <w:highlight w:val="green"/>
              </w:rPr>
              <w:t>3</w:t>
            </w:r>
            <w:r w:rsidR="00456FAF" w:rsidRPr="00456FAF">
              <w:rPr>
                <w:sz w:val="22"/>
                <w:szCs w:val="22"/>
                <w:highlight w:val="green"/>
              </w:rPr>
              <w:t>7</w:t>
            </w:r>
            <w:r w:rsidRPr="00456FAF">
              <w:rPr>
                <w:sz w:val="22"/>
                <w:szCs w:val="22"/>
                <w:highlight w:val="green"/>
              </w:rPr>
              <w:t>.0</w:t>
            </w:r>
          </w:p>
        </w:tc>
        <w:tc>
          <w:tcPr>
            <w:tcW w:w="673" w:type="pct"/>
          </w:tcPr>
          <w:p w14:paraId="4958160F" w14:textId="77777777" w:rsidR="00601408" w:rsidRPr="00264D5D" w:rsidRDefault="00601408" w:rsidP="00601408">
            <w:pPr>
              <w:keepNext/>
              <w:keepLines/>
              <w:spacing w:before="60" w:after="60"/>
              <w:rPr>
                <w:sz w:val="22"/>
                <w:szCs w:val="22"/>
              </w:rPr>
            </w:pPr>
            <w:r w:rsidRPr="00264D5D">
              <w:rPr>
                <w:sz w:val="22"/>
                <w:szCs w:val="22"/>
              </w:rPr>
              <w:t>01.01.2021</w:t>
            </w:r>
          </w:p>
        </w:tc>
        <w:tc>
          <w:tcPr>
            <w:tcW w:w="663" w:type="pct"/>
          </w:tcPr>
          <w:p w14:paraId="53532899" w14:textId="77777777" w:rsidR="00601408" w:rsidRPr="00264D5D" w:rsidRDefault="00601408" w:rsidP="00601408">
            <w:pPr>
              <w:keepNext/>
              <w:keepLines/>
              <w:spacing w:before="60" w:after="60"/>
              <w:rPr>
                <w:sz w:val="22"/>
                <w:szCs w:val="22"/>
              </w:rPr>
            </w:pPr>
            <w:r w:rsidRPr="00264D5D">
              <w:rPr>
                <w:sz w:val="22"/>
                <w:szCs w:val="22"/>
              </w:rPr>
              <w:t>31.03.2021</w:t>
            </w:r>
          </w:p>
        </w:tc>
        <w:tc>
          <w:tcPr>
            <w:tcW w:w="1395" w:type="pct"/>
          </w:tcPr>
          <w:p w14:paraId="384945AE" w14:textId="77777777" w:rsidR="00601408" w:rsidRPr="00264D5D" w:rsidRDefault="00601408" w:rsidP="00601408">
            <w:pPr>
              <w:spacing w:before="60" w:after="60"/>
              <w:rPr>
                <w:sz w:val="22"/>
                <w:szCs w:val="22"/>
              </w:rPr>
            </w:pPr>
            <w:r w:rsidRPr="00264D5D">
              <w:rPr>
                <w:sz w:val="22"/>
                <w:szCs w:val="22"/>
              </w:rPr>
              <w:t>Письмо Федерального казначейства от 24.12.2018 № б/н;</w:t>
            </w:r>
          </w:p>
          <w:p w14:paraId="6E0304B7" w14:textId="77777777" w:rsidR="00601408" w:rsidRPr="00264D5D" w:rsidRDefault="00601408" w:rsidP="00601408">
            <w:pPr>
              <w:spacing w:before="60" w:after="60"/>
              <w:rPr>
                <w:sz w:val="22"/>
                <w:szCs w:val="22"/>
              </w:rPr>
            </w:pPr>
            <w:r w:rsidRPr="00264D5D">
              <w:rPr>
                <w:sz w:val="22"/>
                <w:szCs w:val="22"/>
              </w:rPr>
              <w:t>Приказ Казначейства России от 14.05.2020 N 21н (ред. от 28.06.2021) «О Порядке казначейского обслуживания»</w:t>
            </w:r>
          </w:p>
        </w:tc>
      </w:tr>
      <w:tr w:rsidR="00601408" w:rsidRPr="00264D5D" w14:paraId="605A5925" w14:textId="77777777" w:rsidTr="00AD1F54">
        <w:trPr>
          <w:cnfStyle w:val="000000100000" w:firstRow="0" w:lastRow="0" w:firstColumn="0" w:lastColumn="0" w:oddVBand="0" w:evenVBand="0" w:oddHBand="1" w:evenHBand="0" w:firstRowFirstColumn="0" w:firstRowLastColumn="0" w:lastRowFirstColumn="0" w:lastRowLastColumn="0"/>
        </w:trPr>
        <w:tc>
          <w:tcPr>
            <w:tcW w:w="720" w:type="pct"/>
          </w:tcPr>
          <w:p w14:paraId="64DCBA7E" w14:textId="77777777" w:rsidR="00601408" w:rsidRPr="00264D5D" w:rsidRDefault="00601408" w:rsidP="00601408">
            <w:pPr>
              <w:spacing w:before="60" w:after="60"/>
              <w:rPr>
                <w:sz w:val="22"/>
                <w:szCs w:val="22"/>
              </w:rPr>
            </w:pPr>
            <w:r w:rsidRPr="00264D5D">
              <w:rPr>
                <w:sz w:val="22"/>
                <w:szCs w:val="22"/>
              </w:rPr>
              <w:t>Запрос на отзыв распоряжения (запрос на аннулирование)</w:t>
            </w:r>
          </w:p>
        </w:tc>
        <w:tc>
          <w:tcPr>
            <w:tcW w:w="470" w:type="pct"/>
          </w:tcPr>
          <w:p w14:paraId="02EB7135" w14:textId="77777777" w:rsidR="00601408" w:rsidRPr="00264D5D" w:rsidRDefault="00601408" w:rsidP="00601408">
            <w:pPr>
              <w:spacing w:before="60" w:after="60"/>
              <w:rPr>
                <w:sz w:val="22"/>
                <w:szCs w:val="22"/>
              </w:rPr>
            </w:pPr>
            <w:r w:rsidRPr="00264D5D">
              <w:rPr>
                <w:sz w:val="22"/>
                <w:szCs w:val="22"/>
                <w:lang w:val="en-US"/>
              </w:rPr>
              <w:t>MSC_CANCDOC_REQ</w:t>
            </w:r>
          </w:p>
        </w:tc>
        <w:tc>
          <w:tcPr>
            <w:tcW w:w="321" w:type="pct"/>
          </w:tcPr>
          <w:p w14:paraId="1D62B448" w14:textId="77777777" w:rsidR="00601408" w:rsidRPr="00264D5D" w:rsidRDefault="00601408" w:rsidP="00601408">
            <w:pPr>
              <w:spacing w:before="60" w:after="60"/>
              <w:rPr>
                <w:b/>
                <w:sz w:val="22"/>
                <w:szCs w:val="22"/>
              </w:rPr>
            </w:pPr>
            <w:r w:rsidRPr="00264D5D">
              <w:rPr>
                <w:b/>
                <w:sz w:val="22"/>
                <w:szCs w:val="22"/>
              </w:rPr>
              <w:t>ZA</w:t>
            </w:r>
          </w:p>
        </w:tc>
        <w:tc>
          <w:tcPr>
            <w:tcW w:w="379" w:type="pct"/>
          </w:tcPr>
          <w:p w14:paraId="6EAAE035" w14:textId="77777777" w:rsidR="00601408" w:rsidRPr="00264D5D" w:rsidRDefault="00601408" w:rsidP="00601408">
            <w:pPr>
              <w:spacing w:before="60" w:after="60"/>
              <w:rPr>
                <w:sz w:val="22"/>
                <w:szCs w:val="22"/>
              </w:rPr>
            </w:pPr>
            <w:r w:rsidRPr="00264D5D">
              <w:rPr>
                <w:sz w:val="22"/>
                <w:szCs w:val="22"/>
              </w:rPr>
              <w:t>2.0</w:t>
            </w:r>
          </w:p>
        </w:tc>
        <w:tc>
          <w:tcPr>
            <w:tcW w:w="379" w:type="pct"/>
          </w:tcPr>
          <w:p w14:paraId="2C684EFC" w14:textId="77777777" w:rsidR="00601408" w:rsidRPr="00264D5D" w:rsidRDefault="00601408" w:rsidP="00601408">
            <w:pPr>
              <w:spacing w:before="60" w:after="60"/>
              <w:rPr>
                <w:sz w:val="22"/>
                <w:szCs w:val="22"/>
              </w:rPr>
            </w:pPr>
            <w:r w:rsidRPr="00552837">
              <w:rPr>
                <w:sz w:val="22"/>
                <w:szCs w:val="22"/>
                <w:highlight w:val="green"/>
              </w:rPr>
              <w:t>37.0</w:t>
            </w:r>
          </w:p>
        </w:tc>
        <w:tc>
          <w:tcPr>
            <w:tcW w:w="673" w:type="pct"/>
          </w:tcPr>
          <w:p w14:paraId="38AAEB98" w14:textId="77777777" w:rsidR="00601408" w:rsidRPr="00264D5D" w:rsidRDefault="00601408" w:rsidP="00601408">
            <w:pPr>
              <w:keepNext/>
              <w:keepLines/>
              <w:spacing w:before="60" w:after="60"/>
              <w:rPr>
                <w:sz w:val="22"/>
                <w:szCs w:val="22"/>
              </w:rPr>
            </w:pPr>
            <w:r w:rsidRPr="00264D5D">
              <w:rPr>
                <w:sz w:val="22"/>
                <w:szCs w:val="22"/>
              </w:rPr>
              <w:t>01.01.2020</w:t>
            </w:r>
          </w:p>
        </w:tc>
        <w:tc>
          <w:tcPr>
            <w:tcW w:w="663" w:type="pct"/>
          </w:tcPr>
          <w:p w14:paraId="101CFC17" w14:textId="77777777" w:rsidR="00601408" w:rsidRPr="00264D5D" w:rsidRDefault="00601408" w:rsidP="00601408">
            <w:pPr>
              <w:keepNext/>
              <w:keepLines/>
              <w:spacing w:before="60" w:after="60"/>
              <w:rPr>
                <w:sz w:val="22"/>
                <w:szCs w:val="22"/>
              </w:rPr>
            </w:pPr>
            <w:r w:rsidRPr="00264D5D">
              <w:rPr>
                <w:sz w:val="22"/>
                <w:szCs w:val="22"/>
              </w:rPr>
              <w:t>31.12.2019</w:t>
            </w:r>
          </w:p>
        </w:tc>
        <w:tc>
          <w:tcPr>
            <w:tcW w:w="1395" w:type="pct"/>
          </w:tcPr>
          <w:p w14:paraId="42FFB7FA" w14:textId="77777777" w:rsidR="00601408" w:rsidRPr="00C136C2" w:rsidRDefault="00601408" w:rsidP="00601408">
            <w:pPr>
              <w:spacing w:before="60" w:after="60"/>
              <w:contextualSpacing/>
              <w:rPr>
                <w:sz w:val="22"/>
                <w:szCs w:val="22"/>
                <w:highlight w:val="green"/>
              </w:rPr>
            </w:pPr>
            <w:r w:rsidRPr="00C136C2">
              <w:rPr>
                <w:sz w:val="22"/>
                <w:szCs w:val="22"/>
                <w:highlight w:val="green"/>
              </w:rPr>
              <w:t>Приказ Минфина России от 13.05.2020 № 20н</w:t>
            </w:r>
            <w:r>
              <w:rPr>
                <w:sz w:val="22"/>
                <w:szCs w:val="22"/>
                <w:highlight w:val="green"/>
              </w:rPr>
              <w:t xml:space="preserve"> </w:t>
            </w:r>
            <w:r w:rsidRPr="00C136C2">
              <w:rPr>
                <w:sz w:val="22"/>
                <w:szCs w:val="22"/>
                <w:highlight w:val="green"/>
              </w:rPr>
              <w:t>«Об утверждении правил организации и функционирования системы казначейских платежей»;</w:t>
            </w:r>
          </w:p>
          <w:p w14:paraId="6741BF72" w14:textId="77777777" w:rsidR="00601408" w:rsidRPr="00264D5D" w:rsidRDefault="00601408" w:rsidP="00601408">
            <w:pPr>
              <w:spacing w:before="60" w:after="60"/>
              <w:rPr>
                <w:sz w:val="22"/>
                <w:szCs w:val="22"/>
              </w:rPr>
            </w:pPr>
            <w:r w:rsidRPr="00C136C2">
              <w:rPr>
                <w:sz w:val="22"/>
                <w:szCs w:val="22"/>
                <w:highlight w:val="green"/>
              </w:rPr>
              <w:t xml:space="preserve"> Приказ Казначейства России от 15.05.2020 № 22н «Об утверждении Правил обеспечения наличными денежными средствами и денежными средствами, предназначенными для осуществления расчетов по операциям, совершаемым с использованием платежных карт, участников системы казначейских платежей» (в редакции приказа Казначейства России от </w:t>
            </w:r>
            <w:r w:rsidRPr="00C136C2">
              <w:rPr>
                <w:sz w:val="22"/>
                <w:szCs w:val="22"/>
                <w:highlight w:val="green"/>
              </w:rPr>
              <w:lastRenderedPageBreak/>
              <w:t>18.09.2023 №17н)</w:t>
            </w:r>
          </w:p>
        </w:tc>
      </w:tr>
      <w:tr w:rsidR="00601408" w:rsidRPr="00264D5D" w14:paraId="7CEF33B8" w14:textId="77777777" w:rsidTr="00AD1F54">
        <w:trPr>
          <w:cnfStyle w:val="000000010000" w:firstRow="0" w:lastRow="0" w:firstColumn="0" w:lastColumn="0" w:oddVBand="0" w:evenVBand="0" w:oddHBand="0" w:evenHBand="1" w:firstRowFirstColumn="0" w:firstRowLastColumn="0" w:lastRowFirstColumn="0" w:lastRowLastColumn="0"/>
        </w:trPr>
        <w:tc>
          <w:tcPr>
            <w:tcW w:w="720" w:type="pct"/>
          </w:tcPr>
          <w:p w14:paraId="73878412" w14:textId="77777777" w:rsidR="00601408" w:rsidRPr="00264D5D" w:rsidRDefault="00601408" w:rsidP="00601408">
            <w:pPr>
              <w:spacing w:before="60" w:after="60"/>
              <w:rPr>
                <w:sz w:val="22"/>
                <w:szCs w:val="22"/>
              </w:rPr>
            </w:pPr>
            <w:r w:rsidRPr="00264D5D">
              <w:rPr>
                <w:sz w:val="22"/>
                <w:szCs w:val="22"/>
              </w:rPr>
              <w:lastRenderedPageBreak/>
              <w:t>Заявка на кассовый расход (ф. 0531801)</w:t>
            </w:r>
          </w:p>
        </w:tc>
        <w:tc>
          <w:tcPr>
            <w:tcW w:w="470" w:type="pct"/>
          </w:tcPr>
          <w:p w14:paraId="30E29057" w14:textId="77777777" w:rsidR="00601408" w:rsidRPr="00264D5D" w:rsidRDefault="00601408" w:rsidP="00601408">
            <w:pPr>
              <w:spacing w:before="60" w:after="60"/>
              <w:rPr>
                <w:sz w:val="22"/>
                <w:szCs w:val="22"/>
              </w:rPr>
            </w:pPr>
            <w:r w:rsidRPr="00264D5D">
              <w:rPr>
                <w:sz w:val="22"/>
                <w:szCs w:val="22"/>
              </w:rPr>
              <w:t>MSC_ApplCashFlow</w:t>
            </w:r>
          </w:p>
        </w:tc>
        <w:tc>
          <w:tcPr>
            <w:tcW w:w="321" w:type="pct"/>
          </w:tcPr>
          <w:p w14:paraId="7EC81F5C" w14:textId="77777777" w:rsidR="00601408" w:rsidRPr="00264D5D" w:rsidRDefault="00601408" w:rsidP="00601408">
            <w:pPr>
              <w:spacing w:before="60" w:after="60"/>
              <w:rPr>
                <w:b/>
                <w:sz w:val="22"/>
                <w:szCs w:val="22"/>
              </w:rPr>
            </w:pPr>
            <w:r w:rsidRPr="00264D5D">
              <w:rPr>
                <w:b/>
                <w:sz w:val="22"/>
                <w:szCs w:val="22"/>
              </w:rPr>
              <w:t>ZR</w:t>
            </w:r>
          </w:p>
        </w:tc>
        <w:tc>
          <w:tcPr>
            <w:tcW w:w="379" w:type="pct"/>
          </w:tcPr>
          <w:p w14:paraId="5E6810BE" w14:textId="77777777" w:rsidR="00601408" w:rsidRPr="00264D5D" w:rsidRDefault="00601408" w:rsidP="00601408">
            <w:pPr>
              <w:spacing w:before="60" w:after="60"/>
              <w:rPr>
                <w:sz w:val="22"/>
                <w:szCs w:val="22"/>
              </w:rPr>
            </w:pPr>
            <w:r w:rsidRPr="00264D5D">
              <w:rPr>
                <w:sz w:val="22"/>
                <w:szCs w:val="22"/>
              </w:rPr>
              <w:t>4.0</w:t>
            </w:r>
          </w:p>
        </w:tc>
        <w:tc>
          <w:tcPr>
            <w:tcW w:w="379" w:type="pct"/>
          </w:tcPr>
          <w:p w14:paraId="595740D5" w14:textId="77777777" w:rsidR="00601408" w:rsidRPr="00264D5D" w:rsidRDefault="00601408" w:rsidP="00313290">
            <w:pPr>
              <w:spacing w:before="60" w:after="60"/>
              <w:rPr>
                <w:sz w:val="22"/>
                <w:szCs w:val="22"/>
              </w:rPr>
            </w:pPr>
            <w:r w:rsidRPr="00313290">
              <w:rPr>
                <w:sz w:val="22"/>
                <w:szCs w:val="22"/>
                <w:highlight w:val="green"/>
              </w:rPr>
              <w:t>3</w:t>
            </w:r>
            <w:r w:rsidR="00313290" w:rsidRPr="00313290">
              <w:rPr>
                <w:sz w:val="22"/>
                <w:szCs w:val="22"/>
                <w:highlight w:val="green"/>
              </w:rPr>
              <w:t>7</w:t>
            </w:r>
            <w:r w:rsidRPr="00313290">
              <w:rPr>
                <w:sz w:val="22"/>
                <w:szCs w:val="22"/>
                <w:highlight w:val="green"/>
              </w:rPr>
              <w:t>.0</w:t>
            </w:r>
          </w:p>
        </w:tc>
        <w:tc>
          <w:tcPr>
            <w:tcW w:w="673" w:type="pct"/>
          </w:tcPr>
          <w:p w14:paraId="035F163B" w14:textId="77777777" w:rsidR="00601408" w:rsidRPr="00264D5D" w:rsidRDefault="00601408" w:rsidP="00601408">
            <w:pPr>
              <w:spacing w:before="60" w:after="60"/>
              <w:rPr>
                <w:sz w:val="22"/>
                <w:szCs w:val="22"/>
              </w:rPr>
            </w:pPr>
            <w:r w:rsidRPr="00264D5D">
              <w:rPr>
                <w:sz w:val="22"/>
                <w:szCs w:val="22"/>
              </w:rPr>
              <w:t>01.04.2022</w:t>
            </w:r>
          </w:p>
        </w:tc>
        <w:tc>
          <w:tcPr>
            <w:tcW w:w="663" w:type="pct"/>
          </w:tcPr>
          <w:p w14:paraId="71E489A8" w14:textId="77777777" w:rsidR="00601408" w:rsidRPr="00264D5D" w:rsidRDefault="00601408" w:rsidP="00601408">
            <w:pPr>
              <w:spacing w:before="60" w:after="60"/>
              <w:rPr>
                <w:sz w:val="22"/>
                <w:szCs w:val="22"/>
              </w:rPr>
            </w:pPr>
            <w:r w:rsidRPr="00264D5D">
              <w:rPr>
                <w:sz w:val="22"/>
                <w:szCs w:val="22"/>
              </w:rPr>
              <w:t>30.06.2022</w:t>
            </w:r>
          </w:p>
        </w:tc>
        <w:tc>
          <w:tcPr>
            <w:tcW w:w="1395" w:type="pct"/>
          </w:tcPr>
          <w:p w14:paraId="6781E305" w14:textId="77777777" w:rsidR="00601408" w:rsidRPr="00264D5D" w:rsidRDefault="00601408" w:rsidP="00601408">
            <w:pPr>
              <w:spacing w:before="60" w:after="60"/>
              <w:rPr>
                <w:sz w:val="22"/>
                <w:szCs w:val="22"/>
              </w:rPr>
            </w:pPr>
            <w:r w:rsidRPr="00264D5D">
              <w:rPr>
                <w:bCs/>
                <w:sz w:val="22"/>
                <w:szCs w:val="22"/>
              </w:rPr>
              <w:t>Приказ СФР от 25.07.2024 N 1312 «Об утверждении Порядка учета бюджетных и денежных обязательств получателей средств бюджета Фонда пенсионного и социального страхования Российской Федерации»</w:t>
            </w:r>
          </w:p>
        </w:tc>
      </w:tr>
      <w:tr w:rsidR="00601408" w:rsidRPr="00264D5D" w14:paraId="2F8C7E60" w14:textId="77777777" w:rsidTr="00AD1F54">
        <w:trPr>
          <w:cnfStyle w:val="000000100000" w:firstRow="0" w:lastRow="0" w:firstColumn="0" w:lastColumn="0" w:oddVBand="0" w:evenVBand="0" w:oddHBand="1" w:evenHBand="0" w:firstRowFirstColumn="0" w:firstRowLastColumn="0" w:lastRowFirstColumn="0" w:lastRowLastColumn="0"/>
        </w:trPr>
        <w:tc>
          <w:tcPr>
            <w:tcW w:w="720" w:type="pct"/>
          </w:tcPr>
          <w:p w14:paraId="7FA0122D" w14:textId="77777777" w:rsidR="00601408" w:rsidRPr="00264D5D" w:rsidRDefault="00601408" w:rsidP="00601408">
            <w:pPr>
              <w:spacing w:before="60" w:after="60"/>
              <w:rPr>
                <w:sz w:val="22"/>
                <w:szCs w:val="22"/>
              </w:rPr>
            </w:pPr>
            <w:r w:rsidRPr="00264D5D">
              <w:rPr>
                <w:sz w:val="22"/>
                <w:szCs w:val="22"/>
              </w:rPr>
              <w:t>Заявка на кассовый расход (сокращенная) (ф. 0531851)</w:t>
            </w:r>
          </w:p>
        </w:tc>
        <w:tc>
          <w:tcPr>
            <w:tcW w:w="470" w:type="pct"/>
          </w:tcPr>
          <w:p w14:paraId="3AE63DC3" w14:textId="77777777" w:rsidR="00601408" w:rsidRPr="00264D5D" w:rsidRDefault="00601408" w:rsidP="00601408">
            <w:pPr>
              <w:spacing w:before="60" w:after="60"/>
              <w:rPr>
                <w:sz w:val="22"/>
                <w:szCs w:val="22"/>
              </w:rPr>
            </w:pPr>
            <w:r w:rsidRPr="00264D5D">
              <w:rPr>
                <w:sz w:val="22"/>
                <w:szCs w:val="22"/>
              </w:rPr>
              <w:t>MSC_ApplCashFlowShrt</w:t>
            </w:r>
          </w:p>
        </w:tc>
        <w:tc>
          <w:tcPr>
            <w:tcW w:w="321" w:type="pct"/>
          </w:tcPr>
          <w:p w14:paraId="2DDC2D98" w14:textId="77777777" w:rsidR="00601408" w:rsidRPr="00264D5D" w:rsidRDefault="00601408" w:rsidP="00601408">
            <w:pPr>
              <w:spacing w:before="60" w:after="60"/>
              <w:rPr>
                <w:b/>
                <w:sz w:val="22"/>
                <w:szCs w:val="22"/>
              </w:rPr>
            </w:pPr>
            <w:r w:rsidRPr="00264D5D">
              <w:rPr>
                <w:b/>
                <w:sz w:val="22"/>
                <w:szCs w:val="22"/>
              </w:rPr>
              <w:t>ZG</w:t>
            </w:r>
          </w:p>
        </w:tc>
        <w:tc>
          <w:tcPr>
            <w:tcW w:w="379" w:type="pct"/>
          </w:tcPr>
          <w:p w14:paraId="72CDEC31" w14:textId="77777777" w:rsidR="00601408" w:rsidRPr="00264D5D" w:rsidRDefault="00601408" w:rsidP="00601408">
            <w:pPr>
              <w:spacing w:before="60" w:after="60"/>
              <w:rPr>
                <w:sz w:val="22"/>
                <w:szCs w:val="22"/>
              </w:rPr>
            </w:pPr>
            <w:r w:rsidRPr="00264D5D">
              <w:rPr>
                <w:sz w:val="22"/>
                <w:szCs w:val="22"/>
              </w:rPr>
              <w:t>3.0</w:t>
            </w:r>
          </w:p>
        </w:tc>
        <w:tc>
          <w:tcPr>
            <w:tcW w:w="379" w:type="pct"/>
          </w:tcPr>
          <w:p w14:paraId="60EB1B0B" w14:textId="77777777" w:rsidR="00601408" w:rsidRPr="00264D5D" w:rsidRDefault="00601408" w:rsidP="00B13A12">
            <w:pPr>
              <w:spacing w:before="60" w:after="60"/>
              <w:rPr>
                <w:sz w:val="22"/>
                <w:szCs w:val="22"/>
              </w:rPr>
            </w:pPr>
            <w:r w:rsidRPr="00B13A12">
              <w:rPr>
                <w:sz w:val="22"/>
                <w:szCs w:val="22"/>
                <w:highlight w:val="green"/>
              </w:rPr>
              <w:t>3</w:t>
            </w:r>
            <w:r w:rsidR="00B13A12" w:rsidRPr="00B13A12">
              <w:rPr>
                <w:sz w:val="22"/>
                <w:szCs w:val="22"/>
                <w:highlight w:val="green"/>
              </w:rPr>
              <w:t>7</w:t>
            </w:r>
            <w:r w:rsidRPr="00B13A12">
              <w:rPr>
                <w:sz w:val="22"/>
                <w:szCs w:val="22"/>
                <w:highlight w:val="green"/>
              </w:rPr>
              <w:t>.0</w:t>
            </w:r>
          </w:p>
        </w:tc>
        <w:tc>
          <w:tcPr>
            <w:tcW w:w="673" w:type="pct"/>
          </w:tcPr>
          <w:p w14:paraId="36796FF4" w14:textId="77777777" w:rsidR="00601408" w:rsidRPr="00264D5D" w:rsidRDefault="00601408" w:rsidP="00601408">
            <w:pPr>
              <w:spacing w:before="60" w:after="60"/>
              <w:rPr>
                <w:sz w:val="22"/>
                <w:szCs w:val="22"/>
              </w:rPr>
            </w:pPr>
            <w:r w:rsidRPr="00264D5D">
              <w:rPr>
                <w:sz w:val="22"/>
                <w:szCs w:val="22"/>
              </w:rPr>
              <w:t>01.06.2020</w:t>
            </w:r>
          </w:p>
        </w:tc>
        <w:tc>
          <w:tcPr>
            <w:tcW w:w="663" w:type="pct"/>
          </w:tcPr>
          <w:p w14:paraId="6BC8C040" w14:textId="77777777" w:rsidR="00601408" w:rsidRPr="00264D5D" w:rsidRDefault="00601408" w:rsidP="00601408">
            <w:pPr>
              <w:spacing w:before="60" w:after="60"/>
              <w:rPr>
                <w:sz w:val="22"/>
                <w:szCs w:val="22"/>
              </w:rPr>
            </w:pPr>
            <w:r w:rsidRPr="00264D5D">
              <w:rPr>
                <w:sz w:val="22"/>
                <w:szCs w:val="22"/>
              </w:rPr>
              <w:t>28.06.2020</w:t>
            </w:r>
          </w:p>
        </w:tc>
        <w:tc>
          <w:tcPr>
            <w:tcW w:w="1395" w:type="pct"/>
          </w:tcPr>
          <w:p w14:paraId="0F844493" w14:textId="77777777" w:rsidR="00601408" w:rsidRPr="00264D5D" w:rsidRDefault="00601408" w:rsidP="00601408">
            <w:pPr>
              <w:spacing w:before="60" w:after="60"/>
              <w:rPr>
                <w:sz w:val="22"/>
                <w:szCs w:val="22"/>
              </w:rPr>
            </w:pPr>
            <w:r w:rsidRPr="00264D5D">
              <w:rPr>
                <w:sz w:val="22"/>
                <w:szCs w:val="22"/>
              </w:rPr>
              <w:t>Приказ Министерства финансов Российской Федерации от 23.06.2020 № 119н «Об утверждении Порядка санкционирования операций со средствами, поступающими во временное распоряжение получателей средств федерального бюджета»; проект изменений в приказ Федерального казначейства от 17.10.2016 № 21н «О порядке открытия и ведения лицевых счетов территориальными органами Федерального казначейства»;</w:t>
            </w:r>
          </w:p>
          <w:p w14:paraId="60476F7A" w14:textId="77777777" w:rsidR="00601408" w:rsidRPr="00264D5D" w:rsidRDefault="00601408" w:rsidP="00601408">
            <w:pPr>
              <w:spacing w:before="60" w:after="60"/>
              <w:rPr>
                <w:sz w:val="22"/>
                <w:szCs w:val="22"/>
              </w:rPr>
            </w:pPr>
            <w:r w:rsidRPr="00264D5D">
              <w:rPr>
                <w:sz w:val="22"/>
                <w:szCs w:val="22"/>
              </w:rPr>
              <w:t>Положение Банка России от 29.06.2021 № 762-П «О правилах осуществления перевода денежных средств»</w:t>
            </w:r>
          </w:p>
        </w:tc>
      </w:tr>
      <w:tr w:rsidR="00601408" w:rsidRPr="00264D5D" w14:paraId="0E62202D" w14:textId="77777777" w:rsidTr="00AD1F54">
        <w:trPr>
          <w:cnfStyle w:val="000000010000" w:firstRow="0" w:lastRow="0" w:firstColumn="0" w:lastColumn="0" w:oddVBand="0" w:evenVBand="0" w:oddHBand="0" w:evenHBand="1" w:firstRowFirstColumn="0" w:firstRowLastColumn="0" w:lastRowFirstColumn="0" w:lastRowLastColumn="0"/>
        </w:trPr>
        <w:tc>
          <w:tcPr>
            <w:tcW w:w="720" w:type="pct"/>
          </w:tcPr>
          <w:p w14:paraId="3BD907A9" w14:textId="77777777" w:rsidR="00601408" w:rsidRPr="00264D5D" w:rsidRDefault="00601408" w:rsidP="00601408">
            <w:pPr>
              <w:spacing w:before="60" w:after="60"/>
              <w:rPr>
                <w:sz w:val="22"/>
                <w:szCs w:val="22"/>
              </w:rPr>
            </w:pPr>
            <w:r w:rsidRPr="00264D5D">
              <w:rPr>
                <w:sz w:val="22"/>
                <w:szCs w:val="22"/>
              </w:rPr>
              <w:t>Сводная заявка на кассовый расход (ф. 0531860)</w:t>
            </w:r>
          </w:p>
        </w:tc>
        <w:tc>
          <w:tcPr>
            <w:tcW w:w="470" w:type="pct"/>
          </w:tcPr>
          <w:p w14:paraId="1007AF9F" w14:textId="77777777" w:rsidR="00601408" w:rsidRPr="00264D5D" w:rsidRDefault="00601408" w:rsidP="00601408">
            <w:pPr>
              <w:spacing w:before="60" w:after="60"/>
              <w:rPr>
                <w:sz w:val="22"/>
                <w:szCs w:val="22"/>
              </w:rPr>
            </w:pPr>
            <w:r w:rsidRPr="00264D5D">
              <w:rPr>
                <w:sz w:val="22"/>
                <w:szCs w:val="22"/>
              </w:rPr>
              <w:t>MSC_SumApplCashFlowTax</w:t>
            </w:r>
          </w:p>
        </w:tc>
        <w:tc>
          <w:tcPr>
            <w:tcW w:w="321" w:type="pct"/>
          </w:tcPr>
          <w:p w14:paraId="11E91658" w14:textId="77777777" w:rsidR="00601408" w:rsidRPr="00264D5D" w:rsidRDefault="00601408" w:rsidP="00601408">
            <w:pPr>
              <w:spacing w:before="60" w:after="60"/>
              <w:rPr>
                <w:b/>
                <w:sz w:val="22"/>
                <w:szCs w:val="22"/>
              </w:rPr>
            </w:pPr>
            <w:r w:rsidRPr="00264D5D">
              <w:rPr>
                <w:b/>
                <w:sz w:val="22"/>
                <w:szCs w:val="22"/>
                <w:lang w:val="en-US"/>
              </w:rPr>
              <w:t>ZK</w:t>
            </w:r>
          </w:p>
        </w:tc>
        <w:tc>
          <w:tcPr>
            <w:tcW w:w="379" w:type="pct"/>
          </w:tcPr>
          <w:p w14:paraId="360AEE8F" w14:textId="77777777" w:rsidR="00601408" w:rsidRPr="00264D5D" w:rsidRDefault="00601408" w:rsidP="00601408">
            <w:pPr>
              <w:spacing w:before="60" w:after="60"/>
              <w:rPr>
                <w:sz w:val="22"/>
                <w:szCs w:val="22"/>
              </w:rPr>
            </w:pPr>
            <w:r w:rsidRPr="00264D5D">
              <w:rPr>
                <w:sz w:val="22"/>
                <w:szCs w:val="22"/>
              </w:rPr>
              <w:t>3.0</w:t>
            </w:r>
          </w:p>
        </w:tc>
        <w:tc>
          <w:tcPr>
            <w:tcW w:w="379" w:type="pct"/>
          </w:tcPr>
          <w:p w14:paraId="5C6EAD74" w14:textId="77777777" w:rsidR="00601408" w:rsidRPr="00264D5D" w:rsidRDefault="00601408" w:rsidP="00B13A12">
            <w:pPr>
              <w:spacing w:before="60" w:after="60"/>
              <w:rPr>
                <w:sz w:val="22"/>
                <w:szCs w:val="22"/>
              </w:rPr>
            </w:pPr>
            <w:r w:rsidRPr="00B13A12">
              <w:rPr>
                <w:sz w:val="22"/>
                <w:szCs w:val="22"/>
                <w:highlight w:val="green"/>
                <w:lang w:val="en-US"/>
              </w:rPr>
              <w:t>3</w:t>
            </w:r>
            <w:r w:rsidR="00B13A12" w:rsidRPr="00B13A12">
              <w:rPr>
                <w:sz w:val="22"/>
                <w:szCs w:val="22"/>
                <w:highlight w:val="green"/>
              </w:rPr>
              <w:t>7</w:t>
            </w:r>
            <w:r w:rsidRPr="00B13A12">
              <w:rPr>
                <w:sz w:val="22"/>
                <w:szCs w:val="22"/>
                <w:highlight w:val="green"/>
              </w:rPr>
              <w:t>.0</w:t>
            </w:r>
          </w:p>
        </w:tc>
        <w:tc>
          <w:tcPr>
            <w:tcW w:w="673" w:type="pct"/>
          </w:tcPr>
          <w:p w14:paraId="1D011C40" w14:textId="77777777" w:rsidR="00601408" w:rsidRPr="00264D5D" w:rsidRDefault="00601408" w:rsidP="00601408">
            <w:pPr>
              <w:spacing w:before="60" w:after="60"/>
              <w:rPr>
                <w:sz w:val="22"/>
                <w:szCs w:val="22"/>
              </w:rPr>
            </w:pPr>
            <w:r w:rsidRPr="00264D5D">
              <w:rPr>
                <w:sz w:val="22"/>
                <w:szCs w:val="22"/>
              </w:rPr>
              <w:t>01.11.2021</w:t>
            </w:r>
          </w:p>
        </w:tc>
        <w:tc>
          <w:tcPr>
            <w:tcW w:w="663" w:type="pct"/>
          </w:tcPr>
          <w:p w14:paraId="4EA5864F" w14:textId="77777777" w:rsidR="00601408" w:rsidRPr="00264D5D" w:rsidRDefault="00601408" w:rsidP="00601408">
            <w:pPr>
              <w:spacing w:before="60" w:after="60"/>
              <w:rPr>
                <w:sz w:val="22"/>
                <w:szCs w:val="22"/>
              </w:rPr>
            </w:pPr>
            <w:r w:rsidRPr="00264D5D">
              <w:rPr>
                <w:sz w:val="22"/>
                <w:szCs w:val="22"/>
              </w:rPr>
              <w:t>01.04.2022</w:t>
            </w:r>
          </w:p>
        </w:tc>
        <w:tc>
          <w:tcPr>
            <w:tcW w:w="1395" w:type="pct"/>
          </w:tcPr>
          <w:p w14:paraId="3F1E7458" w14:textId="77777777" w:rsidR="00601408" w:rsidRPr="00264D5D" w:rsidRDefault="00601408" w:rsidP="00601408">
            <w:pPr>
              <w:spacing w:before="60" w:after="60"/>
              <w:rPr>
                <w:sz w:val="22"/>
                <w:szCs w:val="22"/>
              </w:rPr>
            </w:pPr>
            <w:r w:rsidRPr="00264D5D">
              <w:rPr>
                <w:sz w:val="22"/>
                <w:szCs w:val="22"/>
              </w:rPr>
              <w:t>Приказ Федерального казначейства от 14.05.2020 №21н в редакции приказа ФК от 28.06.2021 №23н «</w:t>
            </w:r>
            <w:r w:rsidRPr="00264D5D">
              <w:rPr>
                <w:rFonts w:eastAsiaTheme="minorHAnsi"/>
                <w:sz w:val="22"/>
                <w:szCs w:val="22"/>
                <w:lang w:eastAsia="en-US"/>
              </w:rPr>
              <w:t xml:space="preserve">О внесении изменений в нормативные правовые акты федерального </w:t>
            </w:r>
            <w:r w:rsidRPr="00264D5D">
              <w:rPr>
                <w:rFonts w:eastAsiaTheme="minorHAnsi"/>
                <w:sz w:val="22"/>
                <w:szCs w:val="22"/>
                <w:lang w:eastAsia="en-US"/>
              </w:rPr>
              <w:lastRenderedPageBreak/>
              <w:t>казначейства по вопросам казначейского обслуживания</w:t>
            </w:r>
            <w:r w:rsidRPr="00264D5D">
              <w:rPr>
                <w:sz w:val="22"/>
                <w:szCs w:val="22"/>
              </w:rPr>
              <w:t>»</w:t>
            </w:r>
          </w:p>
        </w:tc>
      </w:tr>
      <w:tr w:rsidR="00601408" w:rsidRPr="00264D5D" w14:paraId="044E2571" w14:textId="77777777" w:rsidTr="00AD1F54">
        <w:trPr>
          <w:cnfStyle w:val="000000100000" w:firstRow="0" w:lastRow="0" w:firstColumn="0" w:lastColumn="0" w:oddVBand="0" w:evenVBand="0" w:oddHBand="1" w:evenHBand="0" w:firstRowFirstColumn="0" w:firstRowLastColumn="0" w:lastRowFirstColumn="0" w:lastRowLastColumn="0"/>
        </w:trPr>
        <w:tc>
          <w:tcPr>
            <w:tcW w:w="720" w:type="pct"/>
          </w:tcPr>
          <w:p w14:paraId="65790768" w14:textId="77777777" w:rsidR="00601408" w:rsidRPr="00264D5D" w:rsidRDefault="00601408" w:rsidP="00601408">
            <w:pPr>
              <w:spacing w:before="60" w:after="60"/>
              <w:rPr>
                <w:sz w:val="22"/>
                <w:szCs w:val="22"/>
              </w:rPr>
            </w:pPr>
            <w:r w:rsidRPr="00264D5D">
              <w:rPr>
                <w:sz w:val="22"/>
                <w:szCs w:val="22"/>
              </w:rPr>
              <w:lastRenderedPageBreak/>
              <w:t>Заявка на получение денежных средств, перечисляемых на карту (ф. 0531243)</w:t>
            </w:r>
          </w:p>
        </w:tc>
        <w:tc>
          <w:tcPr>
            <w:tcW w:w="470" w:type="pct"/>
          </w:tcPr>
          <w:p w14:paraId="6F1E0F4C" w14:textId="77777777" w:rsidR="00601408" w:rsidRPr="00264D5D" w:rsidRDefault="00601408" w:rsidP="00601408">
            <w:pPr>
              <w:spacing w:before="60" w:after="60"/>
              <w:rPr>
                <w:sz w:val="22"/>
                <w:szCs w:val="22"/>
              </w:rPr>
            </w:pPr>
            <w:r w:rsidRPr="00264D5D">
              <w:rPr>
                <w:sz w:val="22"/>
                <w:szCs w:val="22"/>
              </w:rPr>
              <w:t>MSC_ApplFundsCard</w:t>
            </w:r>
          </w:p>
        </w:tc>
        <w:tc>
          <w:tcPr>
            <w:tcW w:w="321" w:type="pct"/>
          </w:tcPr>
          <w:p w14:paraId="6F3DD3BD" w14:textId="77777777" w:rsidR="00601408" w:rsidRPr="00264D5D" w:rsidRDefault="00601408" w:rsidP="00601408">
            <w:pPr>
              <w:spacing w:before="60" w:after="60"/>
              <w:rPr>
                <w:b/>
                <w:sz w:val="22"/>
                <w:szCs w:val="22"/>
              </w:rPr>
            </w:pPr>
            <w:r w:rsidRPr="00264D5D">
              <w:rPr>
                <w:b/>
                <w:sz w:val="22"/>
                <w:szCs w:val="22"/>
                <w:lang w:val="en-US"/>
              </w:rPr>
              <w:t>ZN</w:t>
            </w:r>
          </w:p>
        </w:tc>
        <w:tc>
          <w:tcPr>
            <w:tcW w:w="379" w:type="pct"/>
          </w:tcPr>
          <w:p w14:paraId="31F0E0B0" w14:textId="77777777" w:rsidR="00601408" w:rsidRPr="00264D5D" w:rsidRDefault="00601408" w:rsidP="00601408">
            <w:pPr>
              <w:spacing w:before="60" w:after="60"/>
              <w:rPr>
                <w:sz w:val="22"/>
                <w:szCs w:val="22"/>
              </w:rPr>
            </w:pPr>
            <w:r w:rsidRPr="00264D5D">
              <w:rPr>
                <w:sz w:val="22"/>
                <w:szCs w:val="22"/>
              </w:rPr>
              <w:t>1.0</w:t>
            </w:r>
          </w:p>
        </w:tc>
        <w:tc>
          <w:tcPr>
            <w:tcW w:w="379" w:type="pct"/>
          </w:tcPr>
          <w:p w14:paraId="00E8907D" w14:textId="77777777" w:rsidR="00601408" w:rsidRPr="00264D5D" w:rsidRDefault="00601408" w:rsidP="00030525">
            <w:pPr>
              <w:spacing w:before="60" w:after="60"/>
              <w:rPr>
                <w:sz w:val="22"/>
                <w:szCs w:val="22"/>
              </w:rPr>
            </w:pPr>
            <w:r w:rsidRPr="00030525">
              <w:rPr>
                <w:sz w:val="22"/>
                <w:szCs w:val="22"/>
                <w:highlight w:val="green"/>
              </w:rPr>
              <w:t>3</w:t>
            </w:r>
            <w:r w:rsidR="00030525" w:rsidRPr="00030525">
              <w:rPr>
                <w:sz w:val="22"/>
                <w:szCs w:val="22"/>
                <w:highlight w:val="green"/>
              </w:rPr>
              <w:t>7</w:t>
            </w:r>
            <w:r w:rsidRPr="00030525">
              <w:rPr>
                <w:sz w:val="22"/>
                <w:szCs w:val="22"/>
                <w:highlight w:val="green"/>
              </w:rPr>
              <w:t>.0</w:t>
            </w:r>
          </w:p>
        </w:tc>
        <w:tc>
          <w:tcPr>
            <w:tcW w:w="673" w:type="pct"/>
          </w:tcPr>
          <w:p w14:paraId="74FBC900" w14:textId="77777777" w:rsidR="00601408" w:rsidRPr="00264D5D" w:rsidRDefault="00601408" w:rsidP="00601408">
            <w:pPr>
              <w:spacing w:before="60" w:after="60"/>
              <w:rPr>
                <w:sz w:val="22"/>
                <w:szCs w:val="22"/>
              </w:rPr>
            </w:pPr>
            <w:r w:rsidRPr="00264D5D">
              <w:rPr>
                <w:sz w:val="22"/>
                <w:szCs w:val="22"/>
              </w:rPr>
              <w:t>25.11.2019</w:t>
            </w:r>
          </w:p>
        </w:tc>
        <w:tc>
          <w:tcPr>
            <w:tcW w:w="663" w:type="pct"/>
          </w:tcPr>
          <w:p w14:paraId="7A5AEAAD" w14:textId="77777777" w:rsidR="00601408" w:rsidRPr="00264D5D" w:rsidRDefault="00601408" w:rsidP="00601408">
            <w:pPr>
              <w:spacing w:before="60" w:after="60"/>
              <w:rPr>
                <w:sz w:val="22"/>
                <w:szCs w:val="22"/>
              </w:rPr>
            </w:pPr>
            <w:r w:rsidRPr="00264D5D">
              <w:rPr>
                <w:sz w:val="22"/>
                <w:szCs w:val="22"/>
              </w:rPr>
              <w:t>-</w:t>
            </w:r>
          </w:p>
        </w:tc>
        <w:tc>
          <w:tcPr>
            <w:tcW w:w="1395" w:type="pct"/>
          </w:tcPr>
          <w:p w14:paraId="0CE9E6F6" w14:textId="77777777" w:rsidR="00601408" w:rsidRPr="00264D5D" w:rsidRDefault="00601408" w:rsidP="00601408">
            <w:pPr>
              <w:spacing w:before="60" w:after="60"/>
              <w:rPr>
                <w:sz w:val="22"/>
                <w:szCs w:val="22"/>
              </w:rPr>
            </w:pPr>
            <w:r w:rsidRPr="00264D5D">
              <w:rPr>
                <w:sz w:val="22"/>
                <w:szCs w:val="22"/>
              </w:rPr>
              <w:t>Приказ Казначейства России от 15.05.2020 N 22н (ред. от 15.06.2021) «Об утверждении Правил обеспечения наличными денежными средствами и денежными средствами, предназначенными для осуществления расчетов по операциям, совершаемым с использованием платежных карт, участников системы казначейских платежей»</w:t>
            </w:r>
          </w:p>
        </w:tc>
      </w:tr>
      <w:tr w:rsidR="00601408" w:rsidRPr="00264D5D" w14:paraId="79DB91F8" w14:textId="77777777" w:rsidTr="00AD1F54">
        <w:trPr>
          <w:cnfStyle w:val="000000010000" w:firstRow="0" w:lastRow="0" w:firstColumn="0" w:lastColumn="0" w:oddVBand="0" w:evenVBand="0" w:oddHBand="0" w:evenHBand="1" w:firstRowFirstColumn="0" w:firstRowLastColumn="0" w:lastRowFirstColumn="0" w:lastRowLastColumn="0"/>
        </w:trPr>
        <w:tc>
          <w:tcPr>
            <w:tcW w:w="720" w:type="pct"/>
          </w:tcPr>
          <w:p w14:paraId="44FF0AC3" w14:textId="77777777" w:rsidR="00601408" w:rsidRPr="00264D5D" w:rsidRDefault="00601408" w:rsidP="00601408">
            <w:pPr>
              <w:spacing w:before="60" w:after="60"/>
              <w:rPr>
                <w:sz w:val="22"/>
                <w:szCs w:val="22"/>
              </w:rPr>
            </w:pPr>
            <w:r w:rsidRPr="00264D5D">
              <w:rPr>
                <w:sz w:val="22"/>
                <w:szCs w:val="22"/>
              </w:rPr>
              <w:t>Заявление на выдачу (перевод, отзыв) Казначейского обеспечения обязательств (ф. 0506108)</w:t>
            </w:r>
          </w:p>
        </w:tc>
        <w:tc>
          <w:tcPr>
            <w:tcW w:w="470" w:type="pct"/>
          </w:tcPr>
          <w:p w14:paraId="074CA2DA" w14:textId="77777777" w:rsidR="00601408" w:rsidRPr="00264D5D" w:rsidRDefault="00601408" w:rsidP="00601408">
            <w:pPr>
              <w:spacing w:before="60" w:after="60"/>
              <w:rPr>
                <w:sz w:val="22"/>
                <w:szCs w:val="22"/>
              </w:rPr>
            </w:pPr>
            <w:r w:rsidRPr="00264D5D">
              <w:rPr>
                <w:sz w:val="22"/>
                <w:szCs w:val="22"/>
              </w:rPr>
              <w:t>MSC_STATEKZA_0506108</w:t>
            </w:r>
          </w:p>
        </w:tc>
        <w:tc>
          <w:tcPr>
            <w:tcW w:w="321" w:type="pct"/>
          </w:tcPr>
          <w:p w14:paraId="221027AA" w14:textId="77777777" w:rsidR="00601408" w:rsidRPr="00264D5D" w:rsidRDefault="00601408" w:rsidP="00601408">
            <w:pPr>
              <w:spacing w:before="60" w:after="60"/>
              <w:rPr>
                <w:b/>
                <w:sz w:val="22"/>
                <w:szCs w:val="22"/>
              </w:rPr>
            </w:pPr>
            <w:r w:rsidRPr="00264D5D">
              <w:rPr>
                <w:b/>
                <w:sz w:val="22"/>
                <w:szCs w:val="22"/>
              </w:rPr>
              <w:t>KZ</w:t>
            </w:r>
          </w:p>
        </w:tc>
        <w:tc>
          <w:tcPr>
            <w:tcW w:w="379" w:type="pct"/>
          </w:tcPr>
          <w:p w14:paraId="60CE6D83" w14:textId="77777777" w:rsidR="00601408" w:rsidRPr="00264D5D" w:rsidRDefault="00601408" w:rsidP="00601408">
            <w:pPr>
              <w:spacing w:before="60" w:after="60"/>
              <w:rPr>
                <w:sz w:val="22"/>
                <w:szCs w:val="22"/>
              </w:rPr>
            </w:pPr>
            <w:r w:rsidRPr="00264D5D">
              <w:rPr>
                <w:sz w:val="22"/>
                <w:szCs w:val="22"/>
              </w:rPr>
              <w:t>2.0</w:t>
            </w:r>
          </w:p>
        </w:tc>
        <w:tc>
          <w:tcPr>
            <w:tcW w:w="379" w:type="pct"/>
          </w:tcPr>
          <w:p w14:paraId="6A4C22BD" w14:textId="77777777" w:rsidR="00601408" w:rsidRPr="00264D5D" w:rsidRDefault="00601408" w:rsidP="00D83D19">
            <w:pPr>
              <w:spacing w:before="60" w:after="60"/>
              <w:rPr>
                <w:sz w:val="22"/>
                <w:szCs w:val="22"/>
              </w:rPr>
            </w:pPr>
            <w:r w:rsidRPr="00D83D19">
              <w:rPr>
                <w:sz w:val="22"/>
                <w:szCs w:val="22"/>
                <w:highlight w:val="green"/>
                <w:lang w:val="en-US"/>
              </w:rPr>
              <w:t>3</w:t>
            </w:r>
            <w:r w:rsidR="00D83D19" w:rsidRPr="00D83D19">
              <w:rPr>
                <w:sz w:val="22"/>
                <w:szCs w:val="22"/>
                <w:highlight w:val="green"/>
              </w:rPr>
              <w:t>7</w:t>
            </w:r>
            <w:r w:rsidRPr="00D83D19">
              <w:rPr>
                <w:sz w:val="22"/>
                <w:szCs w:val="22"/>
                <w:highlight w:val="green"/>
              </w:rPr>
              <w:t>.0</w:t>
            </w:r>
          </w:p>
        </w:tc>
        <w:tc>
          <w:tcPr>
            <w:tcW w:w="673" w:type="pct"/>
          </w:tcPr>
          <w:p w14:paraId="05DD98EF" w14:textId="77777777" w:rsidR="00601408" w:rsidRPr="00264D5D" w:rsidRDefault="00601408" w:rsidP="00601408">
            <w:pPr>
              <w:keepNext/>
              <w:keepLines/>
              <w:spacing w:before="60" w:after="60"/>
              <w:rPr>
                <w:sz w:val="22"/>
                <w:szCs w:val="22"/>
              </w:rPr>
            </w:pPr>
            <w:r w:rsidRPr="00264D5D">
              <w:rPr>
                <w:sz w:val="22"/>
                <w:szCs w:val="22"/>
              </w:rPr>
              <w:t>01.01.2021</w:t>
            </w:r>
          </w:p>
        </w:tc>
        <w:tc>
          <w:tcPr>
            <w:tcW w:w="663" w:type="pct"/>
          </w:tcPr>
          <w:p w14:paraId="2140CE5C" w14:textId="77777777" w:rsidR="00601408" w:rsidRPr="00264D5D" w:rsidRDefault="00601408" w:rsidP="00601408">
            <w:pPr>
              <w:keepNext/>
              <w:keepLines/>
              <w:spacing w:before="60" w:after="60"/>
              <w:rPr>
                <w:sz w:val="22"/>
                <w:szCs w:val="22"/>
              </w:rPr>
            </w:pPr>
            <w:r w:rsidRPr="00264D5D">
              <w:rPr>
                <w:sz w:val="22"/>
                <w:szCs w:val="22"/>
              </w:rPr>
              <w:t>31.03.2021</w:t>
            </w:r>
          </w:p>
        </w:tc>
        <w:tc>
          <w:tcPr>
            <w:tcW w:w="1395" w:type="pct"/>
          </w:tcPr>
          <w:p w14:paraId="4E39687A" w14:textId="77777777" w:rsidR="00601408" w:rsidRPr="00264D5D" w:rsidRDefault="00601408" w:rsidP="00601408">
            <w:pPr>
              <w:pStyle w:val="GOSTTablenorm"/>
              <w:rPr>
                <w:szCs w:val="22"/>
              </w:rPr>
            </w:pPr>
            <w:r w:rsidRPr="00264D5D">
              <w:rPr>
                <w:szCs w:val="22"/>
              </w:rPr>
              <w:t>Приказ Министерства финансов Российской Федерации от 22.12.2020 № 316н «Об утверждении Порядка осуществления казначейского обеспечения обязательств при казначейском сопровождении целевых средств»;</w:t>
            </w:r>
          </w:p>
          <w:p w14:paraId="0B69EDFC" w14:textId="77777777" w:rsidR="00601408" w:rsidRPr="00264D5D" w:rsidRDefault="00601408" w:rsidP="00601408">
            <w:pPr>
              <w:spacing w:before="60" w:after="60"/>
              <w:rPr>
                <w:sz w:val="22"/>
                <w:szCs w:val="22"/>
              </w:rPr>
            </w:pPr>
            <w:r w:rsidRPr="00264D5D">
              <w:rPr>
                <w:sz w:val="22"/>
                <w:szCs w:val="22"/>
              </w:rPr>
              <w:t>Приказ Федерального казначейства от 31.03.2021 № 14н «Об утверждении форм документов, применяемых при казначейском обеспечении обязательств при казначейском сопровождении целевых средств, и порядка их заполнения»</w:t>
            </w:r>
          </w:p>
        </w:tc>
      </w:tr>
      <w:tr w:rsidR="00601408" w:rsidRPr="00264D5D" w14:paraId="3600BC1F" w14:textId="77777777" w:rsidTr="00AD1F54">
        <w:trPr>
          <w:cnfStyle w:val="000000100000" w:firstRow="0" w:lastRow="0" w:firstColumn="0" w:lastColumn="0" w:oddVBand="0" w:evenVBand="0" w:oddHBand="1" w:evenHBand="0" w:firstRowFirstColumn="0" w:firstRowLastColumn="0" w:lastRowFirstColumn="0" w:lastRowLastColumn="0"/>
        </w:trPr>
        <w:tc>
          <w:tcPr>
            <w:tcW w:w="720" w:type="pct"/>
          </w:tcPr>
          <w:p w14:paraId="777BC47C" w14:textId="77777777" w:rsidR="00601408" w:rsidRPr="00264D5D" w:rsidRDefault="00601408" w:rsidP="00601408">
            <w:pPr>
              <w:spacing w:before="60" w:after="60"/>
              <w:rPr>
                <w:sz w:val="22"/>
                <w:szCs w:val="22"/>
              </w:rPr>
            </w:pPr>
            <w:r w:rsidRPr="00264D5D">
              <w:rPr>
                <w:sz w:val="22"/>
                <w:szCs w:val="22"/>
              </w:rPr>
              <w:t>Расшифровка сумм неиспользов</w:t>
            </w:r>
            <w:r w:rsidRPr="00264D5D">
              <w:rPr>
                <w:sz w:val="22"/>
                <w:szCs w:val="22"/>
              </w:rPr>
              <w:lastRenderedPageBreak/>
              <w:t>анных средств (ф.0531251), Заявка о внесении наличных денежных средств</w:t>
            </w:r>
          </w:p>
        </w:tc>
        <w:tc>
          <w:tcPr>
            <w:tcW w:w="470" w:type="pct"/>
          </w:tcPr>
          <w:p w14:paraId="622DD0BE" w14:textId="77777777" w:rsidR="00601408" w:rsidRPr="00264D5D" w:rsidRDefault="00601408" w:rsidP="00601408">
            <w:pPr>
              <w:spacing w:before="60" w:after="60"/>
              <w:rPr>
                <w:sz w:val="22"/>
                <w:szCs w:val="22"/>
              </w:rPr>
            </w:pPr>
            <w:r w:rsidRPr="00264D5D">
              <w:rPr>
                <w:sz w:val="22"/>
                <w:szCs w:val="22"/>
                <w:lang w:val="en-US"/>
              </w:rPr>
              <w:lastRenderedPageBreak/>
              <w:t>MSC</w:t>
            </w:r>
            <w:r w:rsidRPr="00264D5D">
              <w:rPr>
                <w:sz w:val="22"/>
                <w:szCs w:val="22"/>
              </w:rPr>
              <w:t>_</w:t>
            </w:r>
            <w:r w:rsidRPr="00264D5D">
              <w:rPr>
                <w:sz w:val="22"/>
                <w:szCs w:val="22"/>
                <w:lang w:val="en-US"/>
              </w:rPr>
              <w:t>RKG</w:t>
            </w:r>
            <w:r w:rsidRPr="00264D5D">
              <w:rPr>
                <w:sz w:val="22"/>
                <w:szCs w:val="22"/>
              </w:rPr>
              <w:t>_0531251</w:t>
            </w:r>
          </w:p>
        </w:tc>
        <w:tc>
          <w:tcPr>
            <w:tcW w:w="321" w:type="pct"/>
          </w:tcPr>
          <w:p w14:paraId="12ADE111" w14:textId="77777777" w:rsidR="00601408" w:rsidRPr="00264D5D" w:rsidRDefault="00601408" w:rsidP="00601408">
            <w:pPr>
              <w:spacing w:before="60" w:after="60"/>
              <w:rPr>
                <w:b/>
                <w:sz w:val="22"/>
                <w:szCs w:val="22"/>
              </w:rPr>
            </w:pPr>
            <w:r w:rsidRPr="00264D5D">
              <w:rPr>
                <w:b/>
                <w:sz w:val="22"/>
                <w:szCs w:val="22"/>
                <w:lang w:val="en-US"/>
              </w:rPr>
              <w:t>RN</w:t>
            </w:r>
          </w:p>
        </w:tc>
        <w:tc>
          <w:tcPr>
            <w:tcW w:w="379" w:type="pct"/>
          </w:tcPr>
          <w:p w14:paraId="33A00D10" w14:textId="77777777" w:rsidR="00601408" w:rsidRPr="00264D5D" w:rsidRDefault="00601408" w:rsidP="00601408">
            <w:pPr>
              <w:spacing w:before="60" w:after="60"/>
              <w:rPr>
                <w:sz w:val="22"/>
                <w:szCs w:val="22"/>
              </w:rPr>
            </w:pPr>
            <w:r w:rsidRPr="00264D5D">
              <w:rPr>
                <w:sz w:val="22"/>
                <w:szCs w:val="22"/>
              </w:rPr>
              <w:t>1.0</w:t>
            </w:r>
          </w:p>
        </w:tc>
        <w:tc>
          <w:tcPr>
            <w:tcW w:w="379" w:type="pct"/>
          </w:tcPr>
          <w:p w14:paraId="1E21E805" w14:textId="7EF5D857" w:rsidR="00601408" w:rsidRPr="00264D5D" w:rsidRDefault="00601408" w:rsidP="00601408">
            <w:pPr>
              <w:spacing w:before="60" w:after="60"/>
              <w:rPr>
                <w:sz w:val="22"/>
                <w:szCs w:val="22"/>
              </w:rPr>
            </w:pPr>
            <w:r w:rsidRPr="008B26A8">
              <w:rPr>
                <w:sz w:val="22"/>
                <w:szCs w:val="22"/>
                <w:highlight w:val="green"/>
              </w:rPr>
              <w:t>37.0</w:t>
            </w:r>
          </w:p>
        </w:tc>
        <w:tc>
          <w:tcPr>
            <w:tcW w:w="673" w:type="pct"/>
          </w:tcPr>
          <w:p w14:paraId="15CECD0E" w14:textId="77777777" w:rsidR="00601408" w:rsidRPr="00264D5D" w:rsidRDefault="00601408" w:rsidP="00601408">
            <w:pPr>
              <w:spacing w:before="60" w:after="60"/>
              <w:rPr>
                <w:sz w:val="22"/>
                <w:szCs w:val="22"/>
              </w:rPr>
            </w:pPr>
            <w:r w:rsidRPr="00264D5D">
              <w:rPr>
                <w:sz w:val="22"/>
                <w:szCs w:val="22"/>
              </w:rPr>
              <w:t>25.11.2019</w:t>
            </w:r>
          </w:p>
        </w:tc>
        <w:tc>
          <w:tcPr>
            <w:tcW w:w="663" w:type="pct"/>
          </w:tcPr>
          <w:p w14:paraId="399D3F45" w14:textId="77777777" w:rsidR="00601408" w:rsidRPr="00264D5D" w:rsidRDefault="00601408" w:rsidP="00601408">
            <w:pPr>
              <w:spacing w:before="60" w:after="60"/>
              <w:rPr>
                <w:sz w:val="22"/>
                <w:szCs w:val="22"/>
              </w:rPr>
            </w:pPr>
            <w:r w:rsidRPr="00264D5D">
              <w:rPr>
                <w:sz w:val="22"/>
                <w:szCs w:val="22"/>
              </w:rPr>
              <w:t>-</w:t>
            </w:r>
          </w:p>
        </w:tc>
        <w:tc>
          <w:tcPr>
            <w:tcW w:w="1395" w:type="pct"/>
          </w:tcPr>
          <w:p w14:paraId="609101D9" w14:textId="77777777" w:rsidR="00601408" w:rsidRPr="00264D5D" w:rsidRDefault="00601408" w:rsidP="00601408">
            <w:pPr>
              <w:spacing w:before="60" w:after="60"/>
              <w:rPr>
                <w:sz w:val="22"/>
                <w:szCs w:val="22"/>
              </w:rPr>
            </w:pPr>
            <w:r w:rsidRPr="00264D5D">
              <w:rPr>
                <w:sz w:val="22"/>
                <w:szCs w:val="22"/>
              </w:rPr>
              <w:t xml:space="preserve">Приказ Казначейства России от 15.05.2020 N 22н «Об утверждении </w:t>
            </w:r>
            <w:r w:rsidRPr="00264D5D">
              <w:rPr>
                <w:sz w:val="22"/>
                <w:szCs w:val="22"/>
              </w:rPr>
              <w:lastRenderedPageBreak/>
              <w:t>Правил обеспечения наличными денежными средствами и денежными средствами, предназначенными для осуществления расчетов по операциям, совершаемым с использованием платежных карт, участников системы казначейских платежей» (в редакции Приказа Казначейства России от 15.06.2021 № 20н)</w:t>
            </w:r>
          </w:p>
        </w:tc>
      </w:tr>
      <w:tr w:rsidR="00601408" w:rsidRPr="00264D5D" w14:paraId="7078A240" w14:textId="77777777" w:rsidTr="00AD1F54">
        <w:trPr>
          <w:cnfStyle w:val="000000010000" w:firstRow="0" w:lastRow="0" w:firstColumn="0" w:lastColumn="0" w:oddVBand="0" w:evenVBand="0" w:oddHBand="0" w:evenHBand="1" w:firstRowFirstColumn="0" w:firstRowLastColumn="0" w:lastRowFirstColumn="0" w:lastRowLastColumn="0"/>
        </w:trPr>
        <w:tc>
          <w:tcPr>
            <w:tcW w:w="720" w:type="pct"/>
          </w:tcPr>
          <w:p w14:paraId="553DC661" w14:textId="77777777" w:rsidR="00601408" w:rsidRPr="00264D5D" w:rsidRDefault="00601408" w:rsidP="00601408">
            <w:pPr>
              <w:spacing w:before="60" w:after="60"/>
              <w:rPr>
                <w:sz w:val="22"/>
                <w:szCs w:val="22"/>
              </w:rPr>
            </w:pPr>
            <w:r w:rsidRPr="00264D5D">
              <w:rPr>
                <w:sz w:val="22"/>
                <w:szCs w:val="22"/>
              </w:rPr>
              <w:lastRenderedPageBreak/>
              <w:t>Уведомление об уточнении вида и принадлежности платежа (ф. 0531809)</w:t>
            </w:r>
          </w:p>
        </w:tc>
        <w:tc>
          <w:tcPr>
            <w:tcW w:w="470" w:type="pct"/>
          </w:tcPr>
          <w:p w14:paraId="3DF05E44" w14:textId="77777777" w:rsidR="00601408" w:rsidRPr="00264D5D" w:rsidRDefault="00601408" w:rsidP="00601408">
            <w:pPr>
              <w:spacing w:before="60" w:after="60"/>
              <w:rPr>
                <w:sz w:val="22"/>
                <w:szCs w:val="22"/>
              </w:rPr>
            </w:pPr>
            <w:r w:rsidRPr="00264D5D">
              <w:rPr>
                <w:sz w:val="22"/>
                <w:szCs w:val="22"/>
              </w:rPr>
              <w:t>MSC_NoticeClarTypePay</w:t>
            </w:r>
          </w:p>
        </w:tc>
        <w:tc>
          <w:tcPr>
            <w:tcW w:w="321" w:type="pct"/>
          </w:tcPr>
          <w:p w14:paraId="495D272D" w14:textId="77777777" w:rsidR="00601408" w:rsidRPr="00264D5D" w:rsidRDefault="00601408" w:rsidP="00601408">
            <w:pPr>
              <w:spacing w:before="60" w:after="60"/>
              <w:rPr>
                <w:b/>
                <w:sz w:val="22"/>
                <w:szCs w:val="22"/>
              </w:rPr>
            </w:pPr>
            <w:r w:rsidRPr="00264D5D">
              <w:rPr>
                <w:b/>
                <w:sz w:val="22"/>
                <w:szCs w:val="22"/>
              </w:rPr>
              <w:t>U</w:t>
            </w:r>
            <w:r w:rsidRPr="00264D5D">
              <w:rPr>
                <w:b/>
                <w:sz w:val="22"/>
                <w:szCs w:val="22"/>
                <w:lang w:val="en-US"/>
              </w:rPr>
              <w:t>F</w:t>
            </w:r>
          </w:p>
        </w:tc>
        <w:tc>
          <w:tcPr>
            <w:tcW w:w="379" w:type="pct"/>
          </w:tcPr>
          <w:p w14:paraId="15B4C656" w14:textId="77777777" w:rsidR="00601408" w:rsidRPr="00264D5D" w:rsidRDefault="00601408" w:rsidP="00601408">
            <w:pPr>
              <w:spacing w:before="60" w:after="60"/>
              <w:rPr>
                <w:sz w:val="22"/>
                <w:szCs w:val="22"/>
              </w:rPr>
            </w:pPr>
            <w:r w:rsidRPr="00264D5D">
              <w:rPr>
                <w:sz w:val="22"/>
                <w:szCs w:val="22"/>
              </w:rPr>
              <w:t>1.0</w:t>
            </w:r>
          </w:p>
        </w:tc>
        <w:tc>
          <w:tcPr>
            <w:tcW w:w="379" w:type="pct"/>
          </w:tcPr>
          <w:p w14:paraId="532994AD" w14:textId="77777777" w:rsidR="00601408" w:rsidRPr="00264D5D" w:rsidRDefault="00601408" w:rsidP="00601408">
            <w:pPr>
              <w:spacing w:before="60" w:after="60"/>
              <w:rPr>
                <w:sz w:val="22"/>
                <w:szCs w:val="22"/>
              </w:rPr>
            </w:pPr>
            <w:r w:rsidRPr="00AD28B5">
              <w:rPr>
                <w:sz w:val="22"/>
                <w:szCs w:val="22"/>
                <w:highlight w:val="green"/>
              </w:rPr>
              <w:t>37.0</w:t>
            </w:r>
          </w:p>
        </w:tc>
        <w:tc>
          <w:tcPr>
            <w:tcW w:w="673" w:type="pct"/>
          </w:tcPr>
          <w:p w14:paraId="7D399CF7" w14:textId="77777777" w:rsidR="00601408" w:rsidRPr="00264D5D" w:rsidRDefault="00601408" w:rsidP="00601408">
            <w:pPr>
              <w:spacing w:before="60" w:after="60"/>
              <w:rPr>
                <w:sz w:val="22"/>
                <w:szCs w:val="22"/>
              </w:rPr>
            </w:pPr>
            <w:r w:rsidRPr="00264D5D">
              <w:rPr>
                <w:sz w:val="22"/>
                <w:szCs w:val="22"/>
              </w:rPr>
              <w:t>25.11.2019</w:t>
            </w:r>
          </w:p>
        </w:tc>
        <w:tc>
          <w:tcPr>
            <w:tcW w:w="663" w:type="pct"/>
          </w:tcPr>
          <w:p w14:paraId="2647B40E" w14:textId="77777777" w:rsidR="00601408" w:rsidRPr="00264D5D" w:rsidRDefault="00601408" w:rsidP="00601408">
            <w:pPr>
              <w:spacing w:before="60" w:after="60"/>
              <w:rPr>
                <w:sz w:val="22"/>
                <w:szCs w:val="22"/>
              </w:rPr>
            </w:pPr>
            <w:r w:rsidRPr="00264D5D">
              <w:rPr>
                <w:sz w:val="22"/>
                <w:szCs w:val="22"/>
              </w:rPr>
              <w:t>-</w:t>
            </w:r>
          </w:p>
        </w:tc>
        <w:tc>
          <w:tcPr>
            <w:tcW w:w="1395" w:type="pct"/>
          </w:tcPr>
          <w:p w14:paraId="27D34E89" w14:textId="77777777" w:rsidR="00601408" w:rsidRPr="00264D5D" w:rsidRDefault="00601408" w:rsidP="00601408">
            <w:pPr>
              <w:spacing w:before="60" w:after="60"/>
              <w:rPr>
                <w:sz w:val="22"/>
                <w:szCs w:val="22"/>
              </w:rPr>
            </w:pPr>
            <w:r w:rsidRPr="00264D5D">
              <w:rPr>
                <w:sz w:val="22"/>
                <w:szCs w:val="22"/>
              </w:rPr>
              <w:t>Приказ Министерства финансов Российской Федерации от 23.06.2020 № 119н «Об утверждении Порядка санкционирования операций со средствами, поступающими во временное распоряжение получателей средств федерального бюджета»; проект изменений в приказ Федерального казначейства от 17.10.2016 № 21н «О порядке открытия и ведения лицевых счетов территориальными органами Федерального казначейства»</w:t>
            </w:r>
          </w:p>
        </w:tc>
      </w:tr>
      <w:tr w:rsidR="00601408" w:rsidRPr="00264D5D" w14:paraId="1016E5DA" w14:textId="77777777" w:rsidTr="00AD1F54">
        <w:trPr>
          <w:cnfStyle w:val="000000100000" w:firstRow="0" w:lastRow="0" w:firstColumn="0" w:lastColumn="0" w:oddVBand="0" w:evenVBand="0" w:oddHBand="1" w:evenHBand="0" w:firstRowFirstColumn="0" w:firstRowLastColumn="0" w:lastRowFirstColumn="0" w:lastRowLastColumn="0"/>
        </w:trPr>
        <w:tc>
          <w:tcPr>
            <w:tcW w:w="720" w:type="pct"/>
          </w:tcPr>
          <w:p w14:paraId="5EF57233" w14:textId="77777777" w:rsidR="00601408" w:rsidRPr="00264D5D" w:rsidRDefault="00601408" w:rsidP="00601408">
            <w:pPr>
              <w:spacing w:before="60" w:after="60"/>
              <w:rPr>
                <w:sz w:val="22"/>
                <w:szCs w:val="22"/>
              </w:rPr>
            </w:pPr>
            <w:r w:rsidRPr="00264D5D">
              <w:rPr>
                <w:sz w:val="22"/>
                <w:szCs w:val="22"/>
              </w:rPr>
              <w:t xml:space="preserve">Заявка на получение наличных денег (ф. 0531802), Заявка для обеспечения наличными </w:t>
            </w:r>
            <w:r w:rsidRPr="00264D5D">
              <w:rPr>
                <w:sz w:val="22"/>
                <w:szCs w:val="22"/>
              </w:rPr>
              <w:lastRenderedPageBreak/>
              <w:t>денежными средствами в электронном виде</w:t>
            </w:r>
          </w:p>
        </w:tc>
        <w:tc>
          <w:tcPr>
            <w:tcW w:w="470" w:type="pct"/>
          </w:tcPr>
          <w:p w14:paraId="092AFF99" w14:textId="77777777" w:rsidR="00601408" w:rsidRPr="00264D5D" w:rsidRDefault="00601408" w:rsidP="00601408">
            <w:pPr>
              <w:spacing w:before="60" w:after="60"/>
              <w:rPr>
                <w:sz w:val="22"/>
                <w:szCs w:val="22"/>
              </w:rPr>
            </w:pPr>
            <w:r w:rsidRPr="00264D5D">
              <w:rPr>
                <w:sz w:val="22"/>
                <w:szCs w:val="22"/>
                <w:lang w:val="en-US"/>
              </w:rPr>
              <w:lastRenderedPageBreak/>
              <w:t>MSC_ApplCash</w:t>
            </w:r>
          </w:p>
        </w:tc>
        <w:tc>
          <w:tcPr>
            <w:tcW w:w="321" w:type="pct"/>
          </w:tcPr>
          <w:p w14:paraId="519C47BA" w14:textId="77777777" w:rsidR="00601408" w:rsidRPr="00264D5D" w:rsidRDefault="00601408" w:rsidP="00601408">
            <w:pPr>
              <w:spacing w:before="60" w:after="60"/>
              <w:rPr>
                <w:b/>
                <w:sz w:val="22"/>
                <w:szCs w:val="22"/>
              </w:rPr>
            </w:pPr>
            <w:r w:rsidRPr="00264D5D">
              <w:rPr>
                <w:b/>
                <w:sz w:val="22"/>
                <w:szCs w:val="22"/>
                <w:lang w:val="en-US"/>
              </w:rPr>
              <w:t>ZS</w:t>
            </w:r>
          </w:p>
        </w:tc>
        <w:tc>
          <w:tcPr>
            <w:tcW w:w="379" w:type="pct"/>
          </w:tcPr>
          <w:p w14:paraId="73789EC8" w14:textId="77777777" w:rsidR="00601408" w:rsidRPr="00264D5D" w:rsidRDefault="00601408" w:rsidP="00601408">
            <w:pPr>
              <w:spacing w:before="60" w:after="60"/>
              <w:rPr>
                <w:sz w:val="22"/>
                <w:szCs w:val="22"/>
              </w:rPr>
            </w:pPr>
            <w:r w:rsidRPr="00264D5D">
              <w:rPr>
                <w:sz w:val="22"/>
                <w:szCs w:val="22"/>
              </w:rPr>
              <w:t>1.0</w:t>
            </w:r>
          </w:p>
        </w:tc>
        <w:tc>
          <w:tcPr>
            <w:tcW w:w="379" w:type="pct"/>
          </w:tcPr>
          <w:p w14:paraId="7570544A" w14:textId="77777777" w:rsidR="00601408" w:rsidRPr="00264D5D" w:rsidRDefault="00601408" w:rsidP="005056E2">
            <w:pPr>
              <w:spacing w:before="60" w:after="60"/>
              <w:rPr>
                <w:sz w:val="22"/>
                <w:szCs w:val="22"/>
              </w:rPr>
            </w:pPr>
            <w:r w:rsidRPr="005056E2">
              <w:rPr>
                <w:sz w:val="22"/>
                <w:szCs w:val="22"/>
                <w:highlight w:val="green"/>
              </w:rPr>
              <w:t>3</w:t>
            </w:r>
            <w:r w:rsidR="005056E2" w:rsidRPr="005056E2">
              <w:rPr>
                <w:sz w:val="22"/>
                <w:szCs w:val="22"/>
                <w:highlight w:val="green"/>
              </w:rPr>
              <w:t>7</w:t>
            </w:r>
            <w:r w:rsidRPr="005056E2">
              <w:rPr>
                <w:sz w:val="22"/>
                <w:szCs w:val="22"/>
                <w:highlight w:val="green"/>
              </w:rPr>
              <w:t>.0</w:t>
            </w:r>
          </w:p>
        </w:tc>
        <w:tc>
          <w:tcPr>
            <w:tcW w:w="673" w:type="pct"/>
          </w:tcPr>
          <w:p w14:paraId="715EA1FA" w14:textId="77777777" w:rsidR="00601408" w:rsidRPr="00264D5D" w:rsidRDefault="00601408" w:rsidP="00601408">
            <w:pPr>
              <w:spacing w:before="60" w:after="60"/>
              <w:rPr>
                <w:sz w:val="22"/>
                <w:szCs w:val="22"/>
              </w:rPr>
            </w:pPr>
            <w:r w:rsidRPr="00264D5D">
              <w:rPr>
                <w:sz w:val="22"/>
                <w:szCs w:val="22"/>
              </w:rPr>
              <w:t>25.11.2019</w:t>
            </w:r>
          </w:p>
        </w:tc>
        <w:tc>
          <w:tcPr>
            <w:tcW w:w="663" w:type="pct"/>
          </w:tcPr>
          <w:p w14:paraId="5678E0D7" w14:textId="77777777" w:rsidR="00601408" w:rsidRPr="00264D5D" w:rsidRDefault="00601408" w:rsidP="00601408">
            <w:pPr>
              <w:spacing w:before="60" w:after="60"/>
              <w:rPr>
                <w:sz w:val="22"/>
                <w:szCs w:val="22"/>
              </w:rPr>
            </w:pPr>
            <w:r w:rsidRPr="00264D5D">
              <w:rPr>
                <w:sz w:val="22"/>
                <w:szCs w:val="22"/>
              </w:rPr>
              <w:t>-</w:t>
            </w:r>
          </w:p>
        </w:tc>
        <w:tc>
          <w:tcPr>
            <w:tcW w:w="1395" w:type="pct"/>
          </w:tcPr>
          <w:p w14:paraId="76567D08" w14:textId="77777777" w:rsidR="00601408" w:rsidRPr="00264D5D" w:rsidRDefault="00601408" w:rsidP="00601408">
            <w:pPr>
              <w:pStyle w:val="GOSTTablenorm"/>
              <w:rPr>
                <w:szCs w:val="22"/>
              </w:rPr>
            </w:pPr>
            <w:r w:rsidRPr="00264D5D">
              <w:rPr>
                <w:szCs w:val="22"/>
              </w:rPr>
              <w:t xml:space="preserve">Приказ Казначейства России от 14.05.2020 № 21н «О Порядке казначейского обслуживания» (в редакции Приказа Казначейства России от </w:t>
            </w:r>
            <w:r w:rsidRPr="00264D5D">
              <w:rPr>
                <w:szCs w:val="22"/>
              </w:rPr>
              <w:lastRenderedPageBreak/>
              <w:t>28.06.2021 № 23н);</w:t>
            </w:r>
          </w:p>
          <w:p w14:paraId="6F078F71" w14:textId="77777777" w:rsidR="00601408" w:rsidRPr="00264D5D" w:rsidRDefault="00601408" w:rsidP="00601408">
            <w:pPr>
              <w:spacing w:before="60" w:after="60"/>
              <w:rPr>
                <w:sz w:val="22"/>
                <w:szCs w:val="22"/>
              </w:rPr>
            </w:pPr>
            <w:r w:rsidRPr="00264D5D">
              <w:rPr>
                <w:sz w:val="22"/>
                <w:szCs w:val="22"/>
              </w:rPr>
              <w:t>Приказ Казначейства России от 15.05.2020 № 22н «Об утверждении Правил обеспечения наличными денежными средствами и денежными средствами, предназначенными для осуществления расчетов по операциям, совершаемым с использованием платежных карт, участников системы казначейских платежей» (в редакции Приказа Казначейства России от 15.06.2021 № 20н)</w:t>
            </w:r>
          </w:p>
        </w:tc>
      </w:tr>
      <w:tr w:rsidR="00601408" w:rsidRPr="00264D5D" w14:paraId="304C76D0" w14:textId="77777777" w:rsidTr="00AD1F54">
        <w:trPr>
          <w:cnfStyle w:val="000000010000" w:firstRow="0" w:lastRow="0" w:firstColumn="0" w:lastColumn="0" w:oddVBand="0" w:evenVBand="0" w:oddHBand="0" w:evenHBand="1" w:firstRowFirstColumn="0" w:firstRowLastColumn="0" w:lastRowFirstColumn="0" w:lastRowLastColumn="0"/>
        </w:trPr>
        <w:tc>
          <w:tcPr>
            <w:tcW w:w="720" w:type="pct"/>
          </w:tcPr>
          <w:p w14:paraId="597CA327" w14:textId="77777777" w:rsidR="00601408" w:rsidRPr="00264D5D" w:rsidRDefault="00601408" w:rsidP="00601408">
            <w:pPr>
              <w:spacing w:before="60" w:after="60"/>
              <w:rPr>
                <w:sz w:val="22"/>
                <w:szCs w:val="22"/>
              </w:rPr>
            </w:pPr>
            <w:r w:rsidRPr="00264D5D">
              <w:rPr>
                <w:sz w:val="22"/>
                <w:szCs w:val="22"/>
              </w:rPr>
              <w:lastRenderedPageBreak/>
              <w:t>Расходное расписание</w:t>
            </w:r>
          </w:p>
        </w:tc>
        <w:tc>
          <w:tcPr>
            <w:tcW w:w="470" w:type="pct"/>
          </w:tcPr>
          <w:p w14:paraId="1D8BE989" w14:textId="77777777" w:rsidR="00601408" w:rsidRPr="00264D5D" w:rsidRDefault="00601408" w:rsidP="00601408">
            <w:pPr>
              <w:spacing w:before="60" w:after="60"/>
              <w:rPr>
                <w:sz w:val="22"/>
                <w:szCs w:val="22"/>
                <w:lang w:val="en-US"/>
              </w:rPr>
            </w:pPr>
            <w:r w:rsidRPr="00264D5D">
              <w:rPr>
                <w:sz w:val="22"/>
                <w:szCs w:val="22"/>
              </w:rPr>
              <w:t>MSC_ExpendableSchedule</w:t>
            </w:r>
          </w:p>
        </w:tc>
        <w:tc>
          <w:tcPr>
            <w:tcW w:w="321" w:type="pct"/>
          </w:tcPr>
          <w:p w14:paraId="1B8AE27F" w14:textId="77777777" w:rsidR="00601408" w:rsidRPr="00264D5D" w:rsidRDefault="00601408" w:rsidP="00601408">
            <w:pPr>
              <w:spacing w:before="60" w:after="60"/>
              <w:rPr>
                <w:b/>
                <w:sz w:val="22"/>
                <w:szCs w:val="22"/>
              </w:rPr>
            </w:pPr>
            <w:r w:rsidRPr="00264D5D">
              <w:rPr>
                <w:b/>
                <w:sz w:val="22"/>
                <w:szCs w:val="22"/>
                <w:lang w:val="en-US"/>
              </w:rPr>
              <w:t>AP</w:t>
            </w:r>
          </w:p>
        </w:tc>
        <w:tc>
          <w:tcPr>
            <w:tcW w:w="379" w:type="pct"/>
          </w:tcPr>
          <w:p w14:paraId="3A1FDEAE" w14:textId="77777777" w:rsidR="00601408" w:rsidRPr="00264D5D" w:rsidRDefault="00601408" w:rsidP="00601408">
            <w:pPr>
              <w:spacing w:before="60" w:after="60"/>
              <w:rPr>
                <w:sz w:val="22"/>
                <w:szCs w:val="22"/>
              </w:rPr>
            </w:pPr>
            <w:r w:rsidRPr="00264D5D">
              <w:rPr>
                <w:sz w:val="22"/>
                <w:szCs w:val="22"/>
              </w:rPr>
              <w:t>3.0</w:t>
            </w:r>
          </w:p>
        </w:tc>
        <w:tc>
          <w:tcPr>
            <w:tcW w:w="379" w:type="pct"/>
          </w:tcPr>
          <w:p w14:paraId="73AE8A0E" w14:textId="65769426" w:rsidR="00601408" w:rsidRPr="00264D5D" w:rsidRDefault="00601408" w:rsidP="00AD76D2">
            <w:pPr>
              <w:spacing w:before="60" w:after="60"/>
              <w:rPr>
                <w:sz w:val="22"/>
                <w:szCs w:val="22"/>
              </w:rPr>
            </w:pPr>
            <w:r w:rsidRPr="00AD76D2">
              <w:rPr>
                <w:sz w:val="22"/>
                <w:szCs w:val="22"/>
                <w:highlight w:val="green"/>
              </w:rPr>
              <w:t>3</w:t>
            </w:r>
            <w:r w:rsidR="00AD76D2" w:rsidRPr="00AD76D2">
              <w:rPr>
                <w:sz w:val="22"/>
                <w:szCs w:val="22"/>
                <w:highlight w:val="green"/>
              </w:rPr>
              <w:t>7</w:t>
            </w:r>
            <w:r w:rsidRPr="00AD76D2">
              <w:rPr>
                <w:sz w:val="22"/>
                <w:szCs w:val="22"/>
                <w:highlight w:val="green"/>
              </w:rPr>
              <w:t>.0</w:t>
            </w:r>
          </w:p>
        </w:tc>
        <w:tc>
          <w:tcPr>
            <w:tcW w:w="673" w:type="pct"/>
          </w:tcPr>
          <w:p w14:paraId="09F33AEB" w14:textId="77777777" w:rsidR="00601408" w:rsidRPr="00264D5D" w:rsidRDefault="00601408" w:rsidP="00601408">
            <w:pPr>
              <w:spacing w:before="60" w:after="60"/>
              <w:rPr>
                <w:sz w:val="22"/>
                <w:szCs w:val="22"/>
              </w:rPr>
            </w:pPr>
            <w:r w:rsidRPr="00264D5D">
              <w:rPr>
                <w:sz w:val="22"/>
                <w:szCs w:val="22"/>
              </w:rPr>
              <w:t>01.01.2021</w:t>
            </w:r>
          </w:p>
        </w:tc>
        <w:tc>
          <w:tcPr>
            <w:tcW w:w="663" w:type="pct"/>
          </w:tcPr>
          <w:p w14:paraId="5327F85A" w14:textId="77777777" w:rsidR="00601408" w:rsidRPr="00264D5D" w:rsidRDefault="00601408" w:rsidP="00601408">
            <w:pPr>
              <w:spacing w:before="60" w:after="60"/>
              <w:rPr>
                <w:sz w:val="22"/>
                <w:szCs w:val="22"/>
              </w:rPr>
            </w:pPr>
            <w:r w:rsidRPr="00264D5D">
              <w:rPr>
                <w:sz w:val="22"/>
                <w:szCs w:val="22"/>
              </w:rPr>
              <w:t>31.12.2020</w:t>
            </w:r>
          </w:p>
        </w:tc>
        <w:tc>
          <w:tcPr>
            <w:tcW w:w="1395" w:type="pct"/>
          </w:tcPr>
          <w:p w14:paraId="3F6F6A44" w14:textId="77777777" w:rsidR="00601408" w:rsidRPr="00264D5D" w:rsidRDefault="00601408" w:rsidP="00601408">
            <w:pPr>
              <w:spacing w:before="60" w:after="60"/>
              <w:rPr>
                <w:sz w:val="22"/>
                <w:szCs w:val="22"/>
              </w:rPr>
            </w:pPr>
            <w:r w:rsidRPr="00264D5D">
              <w:rPr>
                <w:sz w:val="22"/>
                <w:szCs w:val="22"/>
              </w:rPr>
              <w:t>Приказ Министерства финансов Российской Федерации от 30.09.2008 № 104н «О Порядке доведения бюджетных ассигнований, лимитов бюджетных обязательств при организации исполнения федерального бюджета по расходам и источникам финансирования дефицита федерального бюджета и передачи бюджетных ассигнований, лимитов бюджетных обязательств при реорганизации участников бюджетного процесса федерального уровня» (в редакции приказа Министерства финансов Российской Федерации от 30.12.2016 № 255н)</w:t>
            </w:r>
          </w:p>
        </w:tc>
      </w:tr>
      <w:tr w:rsidR="00601408" w:rsidRPr="00264D5D" w14:paraId="0AB11A59" w14:textId="77777777" w:rsidTr="00AD1F54">
        <w:trPr>
          <w:cnfStyle w:val="000000100000" w:firstRow="0" w:lastRow="0" w:firstColumn="0" w:lastColumn="0" w:oddVBand="0" w:evenVBand="0" w:oddHBand="1" w:evenHBand="0" w:firstRowFirstColumn="0" w:firstRowLastColumn="0" w:lastRowFirstColumn="0" w:lastRowLastColumn="0"/>
        </w:trPr>
        <w:tc>
          <w:tcPr>
            <w:tcW w:w="720" w:type="pct"/>
          </w:tcPr>
          <w:p w14:paraId="0076E7AD" w14:textId="77777777" w:rsidR="00601408" w:rsidRPr="00264D5D" w:rsidRDefault="00601408" w:rsidP="00601408">
            <w:pPr>
              <w:spacing w:before="60" w:after="60"/>
              <w:rPr>
                <w:sz w:val="22"/>
                <w:szCs w:val="22"/>
              </w:rPr>
            </w:pPr>
            <w:r w:rsidRPr="00264D5D">
              <w:rPr>
                <w:sz w:val="22"/>
                <w:szCs w:val="22"/>
              </w:rPr>
              <w:lastRenderedPageBreak/>
              <w:t>Ответ на запрос (уведомление) по ЭПС участника</w:t>
            </w:r>
          </w:p>
        </w:tc>
        <w:tc>
          <w:tcPr>
            <w:tcW w:w="470" w:type="pct"/>
          </w:tcPr>
          <w:p w14:paraId="6CA290B7" w14:textId="77777777" w:rsidR="00601408" w:rsidRPr="00264D5D" w:rsidRDefault="00601408" w:rsidP="00601408">
            <w:pPr>
              <w:spacing w:before="60" w:after="60"/>
              <w:rPr>
                <w:sz w:val="22"/>
                <w:szCs w:val="22"/>
              </w:rPr>
            </w:pPr>
            <w:r w:rsidRPr="00264D5D">
              <w:rPr>
                <w:sz w:val="22"/>
                <w:szCs w:val="22"/>
              </w:rPr>
              <w:t>MSC_RespInformEPS</w:t>
            </w:r>
          </w:p>
        </w:tc>
        <w:tc>
          <w:tcPr>
            <w:tcW w:w="321" w:type="pct"/>
          </w:tcPr>
          <w:p w14:paraId="3396B784" w14:textId="77777777" w:rsidR="00601408" w:rsidRPr="00264D5D" w:rsidRDefault="00601408" w:rsidP="00601408">
            <w:pPr>
              <w:spacing w:before="60" w:after="60"/>
              <w:rPr>
                <w:b/>
                <w:sz w:val="22"/>
                <w:szCs w:val="22"/>
                <w:lang w:val="en-US"/>
              </w:rPr>
            </w:pPr>
            <w:r w:rsidRPr="00264D5D">
              <w:rPr>
                <w:b/>
                <w:sz w:val="22"/>
                <w:szCs w:val="22"/>
                <w:lang w:val="en-US"/>
              </w:rPr>
              <w:t>ES</w:t>
            </w:r>
          </w:p>
        </w:tc>
        <w:tc>
          <w:tcPr>
            <w:tcW w:w="379" w:type="pct"/>
          </w:tcPr>
          <w:p w14:paraId="380B0BB6" w14:textId="77777777" w:rsidR="00601408" w:rsidRPr="00264D5D" w:rsidRDefault="00601408" w:rsidP="00601408">
            <w:pPr>
              <w:spacing w:before="60" w:after="60"/>
              <w:rPr>
                <w:sz w:val="22"/>
                <w:szCs w:val="22"/>
              </w:rPr>
            </w:pPr>
            <w:r w:rsidRPr="00264D5D">
              <w:rPr>
                <w:sz w:val="22"/>
                <w:szCs w:val="22"/>
              </w:rPr>
              <w:t>2.0</w:t>
            </w:r>
          </w:p>
        </w:tc>
        <w:tc>
          <w:tcPr>
            <w:tcW w:w="379" w:type="pct"/>
          </w:tcPr>
          <w:p w14:paraId="1ACD06E8" w14:textId="77777777" w:rsidR="00601408" w:rsidRPr="00264D5D" w:rsidRDefault="00601408" w:rsidP="00065F49">
            <w:pPr>
              <w:spacing w:before="60" w:after="60"/>
              <w:rPr>
                <w:sz w:val="22"/>
                <w:szCs w:val="22"/>
              </w:rPr>
            </w:pPr>
            <w:r w:rsidRPr="00065F49">
              <w:rPr>
                <w:sz w:val="22"/>
                <w:szCs w:val="22"/>
                <w:highlight w:val="green"/>
                <w:lang w:val="en-US"/>
              </w:rPr>
              <w:t>3</w:t>
            </w:r>
            <w:r w:rsidR="00065F49" w:rsidRPr="00065F49">
              <w:rPr>
                <w:sz w:val="22"/>
                <w:szCs w:val="22"/>
                <w:highlight w:val="green"/>
              </w:rPr>
              <w:t>7</w:t>
            </w:r>
            <w:r w:rsidRPr="00065F49">
              <w:rPr>
                <w:sz w:val="22"/>
                <w:szCs w:val="22"/>
                <w:highlight w:val="green"/>
              </w:rPr>
              <w:t>.0</w:t>
            </w:r>
          </w:p>
        </w:tc>
        <w:tc>
          <w:tcPr>
            <w:tcW w:w="673" w:type="pct"/>
          </w:tcPr>
          <w:p w14:paraId="468EB830" w14:textId="77777777" w:rsidR="00601408" w:rsidRPr="00264D5D" w:rsidRDefault="00601408" w:rsidP="00601408">
            <w:pPr>
              <w:spacing w:before="60" w:after="60"/>
              <w:rPr>
                <w:sz w:val="22"/>
                <w:szCs w:val="22"/>
              </w:rPr>
            </w:pPr>
            <w:r w:rsidRPr="00264D5D">
              <w:rPr>
                <w:sz w:val="22"/>
                <w:szCs w:val="22"/>
              </w:rPr>
              <w:t>20.07.2020</w:t>
            </w:r>
          </w:p>
        </w:tc>
        <w:tc>
          <w:tcPr>
            <w:tcW w:w="663" w:type="pct"/>
          </w:tcPr>
          <w:p w14:paraId="6C3CF555" w14:textId="77777777" w:rsidR="00601408" w:rsidRPr="00264D5D" w:rsidRDefault="00601408" w:rsidP="00601408">
            <w:pPr>
              <w:spacing w:before="60" w:after="60"/>
              <w:rPr>
                <w:sz w:val="22"/>
                <w:szCs w:val="22"/>
              </w:rPr>
            </w:pPr>
            <w:r w:rsidRPr="00264D5D">
              <w:rPr>
                <w:sz w:val="22"/>
                <w:szCs w:val="22"/>
              </w:rPr>
              <w:t>20.08.2020</w:t>
            </w:r>
          </w:p>
        </w:tc>
        <w:tc>
          <w:tcPr>
            <w:tcW w:w="1395" w:type="pct"/>
          </w:tcPr>
          <w:p w14:paraId="799CAD4B" w14:textId="77777777" w:rsidR="00601408" w:rsidRPr="00264D5D" w:rsidRDefault="00601408" w:rsidP="00601408">
            <w:pPr>
              <w:spacing w:before="60" w:after="60"/>
              <w:rPr>
                <w:sz w:val="22"/>
                <w:szCs w:val="22"/>
              </w:rPr>
            </w:pPr>
            <w:r w:rsidRPr="00264D5D">
              <w:rPr>
                <w:sz w:val="22"/>
                <w:szCs w:val="22"/>
              </w:rPr>
              <w:t>Унифицированные форматы электронных банковских сообщений. Обмен с клиентами Банка России, Версия 2024.2.1, действующая с 18.03.2024 г. Положение Банка России от 24 сентября 2020 года № 732-П «О платежной системе Банка России»</w:t>
            </w:r>
          </w:p>
        </w:tc>
      </w:tr>
      <w:tr w:rsidR="00601408" w:rsidRPr="00264D5D" w14:paraId="2FF5F4CF" w14:textId="77777777" w:rsidTr="00AD1F54">
        <w:trPr>
          <w:cnfStyle w:val="000000010000" w:firstRow="0" w:lastRow="0" w:firstColumn="0" w:lastColumn="0" w:oddVBand="0" w:evenVBand="0" w:oddHBand="0" w:evenHBand="1" w:firstRowFirstColumn="0" w:firstRowLastColumn="0" w:lastRowFirstColumn="0" w:lastRowLastColumn="0"/>
        </w:trPr>
        <w:tc>
          <w:tcPr>
            <w:tcW w:w="720" w:type="pct"/>
          </w:tcPr>
          <w:p w14:paraId="474C84CD" w14:textId="77777777" w:rsidR="00601408" w:rsidRPr="00264D5D" w:rsidRDefault="00601408" w:rsidP="00601408">
            <w:pPr>
              <w:spacing w:before="60" w:after="60"/>
              <w:rPr>
                <w:sz w:val="22"/>
                <w:szCs w:val="22"/>
              </w:rPr>
            </w:pPr>
            <w:r w:rsidRPr="00264D5D">
              <w:rPr>
                <w:sz w:val="22"/>
                <w:szCs w:val="22"/>
              </w:rPr>
              <w:t>Запрос на предоставление выписки из казначейского счета</w:t>
            </w:r>
          </w:p>
        </w:tc>
        <w:tc>
          <w:tcPr>
            <w:tcW w:w="470" w:type="pct"/>
          </w:tcPr>
          <w:p w14:paraId="5D8F765A" w14:textId="77777777" w:rsidR="00601408" w:rsidRPr="00264D5D" w:rsidRDefault="00601408" w:rsidP="00601408">
            <w:pPr>
              <w:spacing w:before="60" w:after="60"/>
              <w:rPr>
                <w:sz w:val="22"/>
                <w:szCs w:val="22"/>
              </w:rPr>
            </w:pPr>
            <w:r w:rsidRPr="00264D5D">
              <w:rPr>
                <w:sz w:val="22"/>
                <w:szCs w:val="22"/>
              </w:rPr>
              <w:t>SKP_REQREP_KS</w:t>
            </w:r>
          </w:p>
        </w:tc>
        <w:tc>
          <w:tcPr>
            <w:tcW w:w="321" w:type="pct"/>
          </w:tcPr>
          <w:p w14:paraId="63BC3847" w14:textId="77777777" w:rsidR="00601408" w:rsidRPr="00264D5D" w:rsidRDefault="00601408" w:rsidP="00601408">
            <w:pPr>
              <w:spacing w:before="60" w:after="60"/>
              <w:rPr>
                <w:b/>
                <w:sz w:val="22"/>
                <w:szCs w:val="22"/>
                <w:lang w:val="en-US"/>
              </w:rPr>
            </w:pPr>
            <w:r w:rsidRPr="00264D5D">
              <w:rPr>
                <w:b/>
                <w:sz w:val="22"/>
                <w:szCs w:val="22"/>
                <w:lang w:val="en-US"/>
              </w:rPr>
              <w:t>RR</w:t>
            </w:r>
          </w:p>
        </w:tc>
        <w:tc>
          <w:tcPr>
            <w:tcW w:w="379" w:type="pct"/>
          </w:tcPr>
          <w:p w14:paraId="46C7F6FA" w14:textId="77777777" w:rsidR="00601408" w:rsidRPr="00264D5D" w:rsidRDefault="00601408" w:rsidP="00601408">
            <w:pPr>
              <w:spacing w:before="60" w:after="60"/>
              <w:rPr>
                <w:sz w:val="22"/>
                <w:szCs w:val="22"/>
              </w:rPr>
            </w:pPr>
            <w:r w:rsidRPr="00264D5D">
              <w:rPr>
                <w:sz w:val="22"/>
                <w:szCs w:val="22"/>
                <w:lang w:val="en-US"/>
              </w:rPr>
              <w:t>1</w:t>
            </w:r>
            <w:r w:rsidRPr="00264D5D">
              <w:rPr>
                <w:sz w:val="22"/>
                <w:szCs w:val="22"/>
              </w:rPr>
              <w:t>.0</w:t>
            </w:r>
          </w:p>
        </w:tc>
        <w:tc>
          <w:tcPr>
            <w:tcW w:w="379" w:type="pct"/>
          </w:tcPr>
          <w:p w14:paraId="005A9FFA" w14:textId="77777777" w:rsidR="00601408" w:rsidRPr="00264D5D" w:rsidRDefault="00601408" w:rsidP="00601408">
            <w:pPr>
              <w:spacing w:before="60" w:after="60"/>
              <w:rPr>
                <w:sz w:val="22"/>
                <w:szCs w:val="22"/>
                <w:lang w:val="en-US"/>
              </w:rPr>
            </w:pPr>
            <w:r w:rsidRPr="00264D5D">
              <w:rPr>
                <w:sz w:val="22"/>
                <w:szCs w:val="22"/>
              </w:rPr>
              <w:t>34.0</w:t>
            </w:r>
          </w:p>
        </w:tc>
        <w:tc>
          <w:tcPr>
            <w:tcW w:w="673" w:type="pct"/>
          </w:tcPr>
          <w:p w14:paraId="2FB7F46A" w14:textId="77777777" w:rsidR="00601408" w:rsidRPr="00264D5D" w:rsidRDefault="00601408" w:rsidP="00601408">
            <w:pPr>
              <w:spacing w:before="60" w:after="60"/>
              <w:rPr>
                <w:sz w:val="22"/>
                <w:szCs w:val="22"/>
              </w:rPr>
            </w:pPr>
            <w:r w:rsidRPr="00264D5D">
              <w:rPr>
                <w:sz w:val="22"/>
                <w:szCs w:val="22"/>
              </w:rPr>
              <w:t>01.01.2021</w:t>
            </w:r>
          </w:p>
        </w:tc>
        <w:tc>
          <w:tcPr>
            <w:tcW w:w="663" w:type="pct"/>
          </w:tcPr>
          <w:p w14:paraId="3F2861FF" w14:textId="77777777" w:rsidR="00601408" w:rsidRPr="00264D5D" w:rsidRDefault="00601408" w:rsidP="00601408">
            <w:pPr>
              <w:spacing w:before="60" w:after="60"/>
              <w:rPr>
                <w:sz w:val="22"/>
                <w:szCs w:val="22"/>
              </w:rPr>
            </w:pPr>
            <w:r w:rsidRPr="00264D5D">
              <w:rPr>
                <w:rStyle w:val="aff5"/>
                <w:sz w:val="22"/>
                <w:szCs w:val="22"/>
              </w:rPr>
              <w:t>-</w:t>
            </w:r>
          </w:p>
        </w:tc>
        <w:tc>
          <w:tcPr>
            <w:tcW w:w="1395" w:type="pct"/>
          </w:tcPr>
          <w:p w14:paraId="0B44538C" w14:textId="77777777" w:rsidR="00601408" w:rsidRPr="00264D5D" w:rsidRDefault="00601408" w:rsidP="00601408">
            <w:pPr>
              <w:keepNext/>
              <w:spacing w:before="60" w:after="60"/>
              <w:contextualSpacing/>
              <w:rPr>
                <w:sz w:val="22"/>
                <w:szCs w:val="22"/>
              </w:rPr>
            </w:pPr>
            <w:r w:rsidRPr="00264D5D">
              <w:rPr>
                <w:sz w:val="22"/>
                <w:szCs w:val="22"/>
              </w:rPr>
              <w:t>Приказ Казначейства России от 14.05.2020 N 21н (ред. от 28.06.2021) «О Порядке казначейского обслуживания»;</w:t>
            </w:r>
          </w:p>
          <w:p w14:paraId="5745E884" w14:textId="77777777" w:rsidR="00601408" w:rsidRPr="00264D5D" w:rsidRDefault="00601408" w:rsidP="00601408">
            <w:pPr>
              <w:spacing w:before="60" w:after="60"/>
              <w:rPr>
                <w:sz w:val="22"/>
                <w:szCs w:val="22"/>
              </w:rPr>
            </w:pPr>
            <w:r w:rsidRPr="00264D5D">
              <w:rPr>
                <w:sz w:val="22"/>
                <w:szCs w:val="22"/>
              </w:rPr>
              <w:t>Приказ Федерального казначейства от 01.04.2020 г. № 15н «О Порядке открытия казначейских счетов»</w:t>
            </w:r>
          </w:p>
        </w:tc>
      </w:tr>
      <w:tr w:rsidR="00601408" w:rsidRPr="00264D5D" w14:paraId="57731D6B" w14:textId="77777777" w:rsidTr="00AD1F54">
        <w:trPr>
          <w:cnfStyle w:val="000000100000" w:firstRow="0" w:lastRow="0" w:firstColumn="0" w:lastColumn="0" w:oddVBand="0" w:evenVBand="0" w:oddHBand="1" w:evenHBand="0" w:firstRowFirstColumn="0" w:firstRowLastColumn="0" w:lastRowFirstColumn="0" w:lastRowLastColumn="0"/>
        </w:trPr>
        <w:tc>
          <w:tcPr>
            <w:tcW w:w="720" w:type="pct"/>
          </w:tcPr>
          <w:p w14:paraId="09BD6F69" w14:textId="77777777" w:rsidR="00601408" w:rsidRPr="00264D5D" w:rsidRDefault="00601408" w:rsidP="00601408">
            <w:pPr>
              <w:spacing w:before="60" w:after="60"/>
              <w:rPr>
                <w:sz w:val="22"/>
                <w:szCs w:val="22"/>
              </w:rPr>
            </w:pPr>
            <w:r w:rsidRPr="00264D5D">
              <w:rPr>
                <w:sz w:val="22"/>
                <w:szCs w:val="22"/>
              </w:rPr>
              <w:t>Сведения об осуществлении операций со средствами во временном распоряжении</w:t>
            </w:r>
          </w:p>
        </w:tc>
        <w:tc>
          <w:tcPr>
            <w:tcW w:w="470" w:type="pct"/>
          </w:tcPr>
          <w:p w14:paraId="4367CA30" w14:textId="77777777" w:rsidR="00601408" w:rsidRPr="00264D5D" w:rsidRDefault="00601408" w:rsidP="00601408">
            <w:pPr>
              <w:spacing w:before="60" w:after="60"/>
              <w:rPr>
                <w:sz w:val="22"/>
                <w:szCs w:val="22"/>
              </w:rPr>
            </w:pPr>
            <w:r w:rsidRPr="00264D5D">
              <w:rPr>
                <w:sz w:val="22"/>
                <w:szCs w:val="22"/>
              </w:rPr>
              <w:t>MSC_RecAndPaySVR</w:t>
            </w:r>
          </w:p>
        </w:tc>
        <w:tc>
          <w:tcPr>
            <w:tcW w:w="321" w:type="pct"/>
          </w:tcPr>
          <w:p w14:paraId="7FC4725E" w14:textId="77777777" w:rsidR="00601408" w:rsidRPr="00264D5D" w:rsidRDefault="00601408" w:rsidP="00601408">
            <w:pPr>
              <w:spacing w:before="60" w:after="60"/>
              <w:rPr>
                <w:b/>
                <w:sz w:val="22"/>
                <w:szCs w:val="22"/>
                <w:lang w:val="en-US"/>
              </w:rPr>
            </w:pPr>
            <w:r w:rsidRPr="00264D5D">
              <w:rPr>
                <w:b/>
                <w:sz w:val="22"/>
                <w:szCs w:val="22"/>
                <w:lang w:val="en-US"/>
              </w:rPr>
              <w:t>ST</w:t>
            </w:r>
          </w:p>
        </w:tc>
        <w:tc>
          <w:tcPr>
            <w:tcW w:w="379" w:type="pct"/>
          </w:tcPr>
          <w:p w14:paraId="2E6485AC" w14:textId="77777777" w:rsidR="00601408" w:rsidRPr="00264D5D" w:rsidRDefault="00601408" w:rsidP="00601408">
            <w:pPr>
              <w:spacing w:before="60" w:after="60"/>
              <w:rPr>
                <w:sz w:val="22"/>
                <w:szCs w:val="22"/>
                <w:lang w:val="en-US"/>
              </w:rPr>
            </w:pPr>
            <w:r w:rsidRPr="00264D5D">
              <w:rPr>
                <w:sz w:val="22"/>
                <w:szCs w:val="22"/>
              </w:rPr>
              <w:t>1.0</w:t>
            </w:r>
          </w:p>
        </w:tc>
        <w:tc>
          <w:tcPr>
            <w:tcW w:w="379" w:type="pct"/>
          </w:tcPr>
          <w:p w14:paraId="6168E555" w14:textId="77777777" w:rsidR="00601408" w:rsidRPr="00264D5D" w:rsidRDefault="00601408" w:rsidP="00601408">
            <w:pPr>
              <w:spacing w:before="60" w:after="60"/>
              <w:rPr>
                <w:sz w:val="22"/>
                <w:szCs w:val="22"/>
              </w:rPr>
            </w:pPr>
            <w:r w:rsidRPr="00264D5D">
              <w:rPr>
                <w:sz w:val="22"/>
                <w:szCs w:val="22"/>
              </w:rPr>
              <w:t>33.0</w:t>
            </w:r>
          </w:p>
        </w:tc>
        <w:tc>
          <w:tcPr>
            <w:tcW w:w="673" w:type="pct"/>
          </w:tcPr>
          <w:p w14:paraId="1032E385" w14:textId="77777777" w:rsidR="00601408" w:rsidRPr="00264D5D" w:rsidRDefault="00601408" w:rsidP="00601408">
            <w:pPr>
              <w:spacing w:before="60" w:after="60"/>
              <w:rPr>
                <w:sz w:val="22"/>
                <w:szCs w:val="22"/>
              </w:rPr>
            </w:pPr>
            <w:r w:rsidRPr="00264D5D">
              <w:rPr>
                <w:sz w:val="22"/>
                <w:szCs w:val="22"/>
              </w:rPr>
              <w:t>01.11.2021</w:t>
            </w:r>
          </w:p>
        </w:tc>
        <w:tc>
          <w:tcPr>
            <w:tcW w:w="663" w:type="pct"/>
          </w:tcPr>
          <w:p w14:paraId="0B4F1F8A" w14:textId="77777777" w:rsidR="00601408" w:rsidRPr="00264D5D" w:rsidRDefault="00601408" w:rsidP="00601408">
            <w:pPr>
              <w:spacing w:before="60" w:after="60"/>
              <w:rPr>
                <w:rStyle w:val="aff5"/>
                <w:sz w:val="22"/>
                <w:szCs w:val="22"/>
              </w:rPr>
            </w:pPr>
            <w:r w:rsidRPr="00264D5D">
              <w:rPr>
                <w:sz w:val="22"/>
                <w:szCs w:val="22"/>
              </w:rPr>
              <w:t>-</w:t>
            </w:r>
          </w:p>
        </w:tc>
        <w:tc>
          <w:tcPr>
            <w:tcW w:w="1395" w:type="pct"/>
          </w:tcPr>
          <w:p w14:paraId="7579A9C7" w14:textId="77777777" w:rsidR="00601408" w:rsidRPr="00264D5D" w:rsidRDefault="00601408" w:rsidP="00601408">
            <w:pPr>
              <w:keepNext/>
              <w:spacing w:before="60" w:after="60"/>
              <w:contextualSpacing/>
              <w:rPr>
                <w:sz w:val="22"/>
                <w:szCs w:val="22"/>
              </w:rPr>
            </w:pPr>
            <w:r w:rsidRPr="00264D5D">
              <w:rPr>
                <w:sz w:val="22"/>
                <w:szCs w:val="22"/>
              </w:rPr>
              <w:t>Приказ Министерства финансов Российской Федерации от 23.06.2020 № 119н «Об утверждении Порядка санкционирования операций со средствами, поступающими во временное распоряжение получателей средств федерального бюджета»; проект изменений в приказ Федерального казначейства от 17.10.2016 № 21н «О порядке открытия и ведения лицевых счетов территориальными органами Федерального казначейства»</w:t>
            </w:r>
          </w:p>
        </w:tc>
      </w:tr>
      <w:tr w:rsidR="00601408" w:rsidRPr="00264D5D" w14:paraId="6611968D" w14:textId="77777777" w:rsidTr="00AD1F54">
        <w:trPr>
          <w:cnfStyle w:val="000000010000" w:firstRow="0" w:lastRow="0" w:firstColumn="0" w:lastColumn="0" w:oddVBand="0" w:evenVBand="0" w:oddHBand="0" w:evenHBand="1" w:firstRowFirstColumn="0" w:firstRowLastColumn="0" w:lastRowFirstColumn="0" w:lastRowLastColumn="0"/>
        </w:trPr>
        <w:tc>
          <w:tcPr>
            <w:tcW w:w="720" w:type="pct"/>
          </w:tcPr>
          <w:p w14:paraId="763C81E3" w14:textId="77777777" w:rsidR="00601408" w:rsidRPr="00264D5D" w:rsidRDefault="00601408" w:rsidP="00601408">
            <w:pPr>
              <w:spacing w:before="60" w:after="60"/>
              <w:rPr>
                <w:sz w:val="22"/>
                <w:szCs w:val="22"/>
              </w:rPr>
            </w:pPr>
            <w:r w:rsidRPr="00264D5D">
              <w:rPr>
                <w:sz w:val="22"/>
                <w:szCs w:val="22"/>
              </w:rPr>
              <w:t xml:space="preserve">Пакет платежных </w:t>
            </w:r>
            <w:r w:rsidRPr="00264D5D">
              <w:rPr>
                <w:sz w:val="22"/>
                <w:szCs w:val="22"/>
              </w:rPr>
              <w:lastRenderedPageBreak/>
              <w:t>поручений</w:t>
            </w:r>
          </w:p>
        </w:tc>
        <w:tc>
          <w:tcPr>
            <w:tcW w:w="470" w:type="pct"/>
          </w:tcPr>
          <w:p w14:paraId="0A4FD083" w14:textId="77777777" w:rsidR="00601408" w:rsidRPr="00264D5D" w:rsidRDefault="00601408" w:rsidP="00601408">
            <w:pPr>
              <w:spacing w:before="60" w:after="60"/>
              <w:rPr>
                <w:sz w:val="22"/>
                <w:szCs w:val="22"/>
              </w:rPr>
            </w:pPr>
            <w:r w:rsidRPr="00264D5D">
              <w:rPr>
                <w:rStyle w:val="GOSTNormal0"/>
                <w:sz w:val="22"/>
                <w:szCs w:val="22"/>
                <w:lang w:val="en-US"/>
              </w:rPr>
              <w:lastRenderedPageBreak/>
              <w:t>PaymOr</w:t>
            </w:r>
            <w:r w:rsidRPr="00264D5D">
              <w:rPr>
                <w:rStyle w:val="GOSTNormal0"/>
                <w:sz w:val="22"/>
                <w:szCs w:val="22"/>
                <w:lang w:val="en-US"/>
              </w:rPr>
              <w:lastRenderedPageBreak/>
              <w:t>der_PPP</w:t>
            </w:r>
          </w:p>
        </w:tc>
        <w:tc>
          <w:tcPr>
            <w:tcW w:w="321" w:type="pct"/>
          </w:tcPr>
          <w:p w14:paraId="32FEEC8F" w14:textId="77777777" w:rsidR="00601408" w:rsidRPr="00264D5D" w:rsidRDefault="00601408" w:rsidP="00601408">
            <w:pPr>
              <w:spacing w:before="60" w:after="60"/>
              <w:rPr>
                <w:b/>
                <w:sz w:val="22"/>
                <w:szCs w:val="22"/>
              </w:rPr>
            </w:pPr>
            <w:r w:rsidRPr="00264D5D">
              <w:rPr>
                <w:b/>
                <w:sz w:val="22"/>
                <w:szCs w:val="22"/>
                <w:lang w:val="en-US"/>
              </w:rPr>
              <w:lastRenderedPageBreak/>
              <w:t>E</w:t>
            </w:r>
            <w:r w:rsidRPr="00264D5D">
              <w:rPr>
                <w:b/>
                <w:sz w:val="22"/>
                <w:szCs w:val="22"/>
              </w:rPr>
              <w:t>PP</w:t>
            </w:r>
          </w:p>
        </w:tc>
        <w:tc>
          <w:tcPr>
            <w:tcW w:w="379" w:type="pct"/>
          </w:tcPr>
          <w:p w14:paraId="78C601E9" w14:textId="77777777" w:rsidR="00601408" w:rsidRPr="00264D5D" w:rsidRDefault="00601408" w:rsidP="00601408">
            <w:pPr>
              <w:spacing w:before="60" w:after="60"/>
              <w:rPr>
                <w:sz w:val="22"/>
                <w:szCs w:val="22"/>
              </w:rPr>
            </w:pPr>
            <w:r w:rsidRPr="00264D5D">
              <w:rPr>
                <w:sz w:val="22"/>
                <w:szCs w:val="22"/>
              </w:rPr>
              <w:t>1.0</w:t>
            </w:r>
          </w:p>
        </w:tc>
        <w:tc>
          <w:tcPr>
            <w:tcW w:w="379" w:type="pct"/>
          </w:tcPr>
          <w:p w14:paraId="5F445149" w14:textId="77777777" w:rsidR="00601408" w:rsidRPr="00264D5D" w:rsidRDefault="00601408" w:rsidP="00601408">
            <w:pPr>
              <w:spacing w:before="60" w:after="60"/>
              <w:rPr>
                <w:sz w:val="22"/>
                <w:szCs w:val="22"/>
              </w:rPr>
            </w:pPr>
            <w:r w:rsidRPr="00264D5D">
              <w:rPr>
                <w:sz w:val="22"/>
                <w:szCs w:val="22"/>
              </w:rPr>
              <w:t>33.0</w:t>
            </w:r>
          </w:p>
        </w:tc>
        <w:tc>
          <w:tcPr>
            <w:tcW w:w="673" w:type="pct"/>
          </w:tcPr>
          <w:p w14:paraId="5AEF5148" w14:textId="77777777" w:rsidR="00601408" w:rsidRPr="00264D5D" w:rsidRDefault="00601408" w:rsidP="00601408">
            <w:pPr>
              <w:spacing w:before="60" w:after="60"/>
              <w:rPr>
                <w:sz w:val="22"/>
                <w:szCs w:val="22"/>
              </w:rPr>
            </w:pPr>
            <w:r w:rsidRPr="00264D5D">
              <w:rPr>
                <w:color w:val="000000" w:themeColor="text1"/>
                <w:sz w:val="22"/>
                <w:szCs w:val="22"/>
              </w:rPr>
              <w:t>01.08.2021</w:t>
            </w:r>
          </w:p>
        </w:tc>
        <w:tc>
          <w:tcPr>
            <w:tcW w:w="663" w:type="pct"/>
          </w:tcPr>
          <w:p w14:paraId="2A0E2959" w14:textId="77777777" w:rsidR="00601408" w:rsidRPr="00264D5D" w:rsidRDefault="00601408" w:rsidP="00601408">
            <w:pPr>
              <w:spacing w:before="60" w:after="60"/>
              <w:rPr>
                <w:sz w:val="22"/>
                <w:szCs w:val="22"/>
              </w:rPr>
            </w:pPr>
            <w:r w:rsidRPr="00264D5D">
              <w:rPr>
                <w:sz w:val="22"/>
                <w:szCs w:val="22"/>
              </w:rPr>
              <w:t>-</w:t>
            </w:r>
          </w:p>
        </w:tc>
        <w:tc>
          <w:tcPr>
            <w:tcW w:w="1395" w:type="pct"/>
          </w:tcPr>
          <w:p w14:paraId="7C550E46" w14:textId="77777777" w:rsidR="00601408" w:rsidRPr="00264D5D" w:rsidRDefault="00601408" w:rsidP="00601408">
            <w:pPr>
              <w:keepNext/>
              <w:spacing w:before="60" w:after="60"/>
              <w:contextualSpacing/>
              <w:rPr>
                <w:sz w:val="22"/>
                <w:szCs w:val="22"/>
              </w:rPr>
            </w:pPr>
            <w:r w:rsidRPr="00264D5D">
              <w:t xml:space="preserve"> </w:t>
            </w:r>
            <w:r w:rsidRPr="00264D5D">
              <w:rPr>
                <w:sz w:val="22"/>
                <w:szCs w:val="22"/>
              </w:rPr>
              <w:t xml:space="preserve">Постановление Правительства РФ от </w:t>
            </w:r>
            <w:r w:rsidRPr="00264D5D">
              <w:rPr>
                <w:sz w:val="22"/>
                <w:szCs w:val="22"/>
              </w:rPr>
              <w:lastRenderedPageBreak/>
              <w:t>16.08.2021 N 1342 (ред. от 04.04.2023) «О Единой государственной информационной системе социального обеспечения» (вместе с «Положением о Единой государственной информационной системе социального обеспечения»)</w:t>
            </w:r>
          </w:p>
        </w:tc>
      </w:tr>
      <w:tr w:rsidR="00601408" w:rsidRPr="00264D5D" w14:paraId="3F078CEA" w14:textId="77777777" w:rsidTr="00AD1F54">
        <w:trPr>
          <w:cnfStyle w:val="000000100000" w:firstRow="0" w:lastRow="0" w:firstColumn="0" w:lastColumn="0" w:oddVBand="0" w:evenVBand="0" w:oddHBand="1" w:evenHBand="0" w:firstRowFirstColumn="0" w:firstRowLastColumn="0" w:lastRowFirstColumn="0" w:lastRowLastColumn="0"/>
        </w:trPr>
        <w:tc>
          <w:tcPr>
            <w:tcW w:w="720" w:type="pct"/>
          </w:tcPr>
          <w:p w14:paraId="4BC99AA1" w14:textId="77777777" w:rsidR="00601408" w:rsidRPr="00264D5D" w:rsidRDefault="00601408" w:rsidP="00601408">
            <w:pPr>
              <w:spacing w:before="60" w:after="60"/>
              <w:rPr>
                <w:sz w:val="22"/>
                <w:szCs w:val="22"/>
              </w:rPr>
            </w:pPr>
            <w:r w:rsidRPr="00264D5D">
              <w:rPr>
                <w:sz w:val="22"/>
                <w:szCs w:val="22"/>
              </w:rPr>
              <w:lastRenderedPageBreak/>
              <w:t>Заявление на проведение операций с иностранной валютой</w:t>
            </w:r>
          </w:p>
        </w:tc>
        <w:tc>
          <w:tcPr>
            <w:tcW w:w="470" w:type="pct"/>
          </w:tcPr>
          <w:p w14:paraId="103DF28D" w14:textId="77777777" w:rsidR="00601408" w:rsidRPr="00264D5D" w:rsidRDefault="00601408" w:rsidP="00601408">
            <w:pPr>
              <w:spacing w:before="60" w:after="60"/>
              <w:rPr>
                <w:rStyle w:val="GOSTNormal0"/>
                <w:sz w:val="22"/>
                <w:szCs w:val="22"/>
              </w:rPr>
            </w:pPr>
            <w:r w:rsidRPr="00264D5D">
              <w:rPr>
                <w:sz w:val="22"/>
                <w:szCs w:val="22"/>
              </w:rPr>
              <w:t>MSC_AppForeignCurr</w:t>
            </w:r>
          </w:p>
        </w:tc>
        <w:tc>
          <w:tcPr>
            <w:tcW w:w="321" w:type="pct"/>
          </w:tcPr>
          <w:p w14:paraId="338EB974" w14:textId="77777777" w:rsidR="00601408" w:rsidRPr="00264D5D" w:rsidRDefault="00601408" w:rsidP="00601408">
            <w:pPr>
              <w:spacing w:before="60" w:after="60"/>
              <w:rPr>
                <w:b/>
                <w:sz w:val="22"/>
                <w:szCs w:val="22"/>
              </w:rPr>
            </w:pPr>
            <w:r w:rsidRPr="00264D5D">
              <w:rPr>
                <w:b/>
                <w:bCs/>
                <w:sz w:val="22"/>
                <w:szCs w:val="22"/>
              </w:rPr>
              <w:t>AF</w:t>
            </w:r>
          </w:p>
        </w:tc>
        <w:tc>
          <w:tcPr>
            <w:tcW w:w="379" w:type="pct"/>
          </w:tcPr>
          <w:p w14:paraId="056D73C2" w14:textId="77777777" w:rsidR="00601408" w:rsidRPr="00264D5D" w:rsidRDefault="00601408" w:rsidP="00601408">
            <w:pPr>
              <w:spacing w:before="60" w:after="60"/>
              <w:rPr>
                <w:sz w:val="22"/>
                <w:szCs w:val="22"/>
              </w:rPr>
            </w:pPr>
            <w:r w:rsidRPr="00264D5D">
              <w:rPr>
                <w:sz w:val="22"/>
                <w:szCs w:val="22"/>
              </w:rPr>
              <w:t>1.0</w:t>
            </w:r>
          </w:p>
        </w:tc>
        <w:tc>
          <w:tcPr>
            <w:tcW w:w="379" w:type="pct"/>
          </w:tcPr>
          <w:p w14:paraId="52FE7A12" w14:textId="38797658" w:rsidR="00601408" w:rsidRPr="00264D5D" w:rsidRDefault="00601408" w:rsidP="00601408">
            <w:pPr>
              <w:spacing w:before="60" w:after="60"/>
              <w:rPr>
                <w:sz w:val="22"/>
                <w:szCs w:val="22"/>
              </w:rPr>
            </w:pPr>
            <w:r w:rsidRPr="008B26A8">
              <w:rPr>
                <w:sz w:val="22"/>
                <w:szCs w:val="22"/>
                <w:highlight w:val="green"/>
              </w:rPr>
              <w:t>37.0</w:t>
            </w:r>
          </w:p>
        </w:tc>
        <w:tc>
          <w:tcPr>
            <w:tcW w:w="673" w:type="pct"/>
          </w:tcPr>
          <w:p w14:paraId="079DDEE8" w14:textId="77777777" w:rsidR="00601408" w:rsidRPr="00264D5D" w:rsidRDefault="00601408" w:rsidP="00601408">
            <w:pPr>
              <w:spacing w:before="60" w:after="60"/>
              <w:rPr>
                <w:color w:val="000000" w:themeColor="text1"/>
                <w:sz w:val="22"/>
                <w:szCs w:val="22"/>
              </w:rPr>
            </w:pPr>
            <w:r w:rsidRPr="00264D5D">
              <w:rPr>
                <w:sz w:val="22"/>
                <w:szCs w:val="22"/>
              </w:rPr>
              <w:t>11.09.2023</w:t>
            </w:r>
          </w:p>
        </w:tc>
        <w:tc>
          <w:tcPr>
            <w:tcW w:w="663" w:type="pct"/>
          </w:tcPr>
          <w:p w14:paraId="4E7D2001" w14:textId="77777777" w:rsidR="00601408" w:rsidRPr="00264D5D" w:rsidRDefault="00601408" w:rsidP="00601408">
            <w:pPr>
              <w:spacing w:before="60" w:after="60"/>
              <w:rPr>
                <w:sz w:val="22"/>
                <w:szCs w:val="22"/>
              </w:rPr>
            </w:pPr>
            <w:r w:rsidRPr="00264D5D">
              <w:rPr>
                <w:sz w:val="22"/>
                <w:szCs w:val="22"/>
              </w:rPr>
              <w:t>-</w:t>
            </w:r>
          </w:p>
        </w:tc>
        <w:tc>
          <w:tcPr>
            <w:tcW w:w="1395" w:type="pct"/>
          </w:tcPr>
          <w:p w14:paraId="3141A945" w14:textId="77777777" w:rsidR="00601408" w:rsidRPr="00264D5D" w:rsidRDefault="00601408" w:rsidP="00601408">
            <w:pPr>
              <w:keepNext/>
              <w:spacing w:before="60" w:after="60"/>
              <w:contextualSpacing/>
              <w:rPr>
                <w:sz w:val="22"/>
                <w:szCs w:val="22"/>
              </w:rPr>
            </w:pPr>
            <w:r w:rsidRPr="00264D5D">
              <w:rPr>
                <w:sz w:val="22"/>
                <w:szCs w:val="22"/>
              </w:rPr>
              <w:t>Приказ Федерального казначейства от 14 мая 2020 г. № 21н «О Порядке казначейского обслуживания»</w:t>
            </w:r>
          </w:p>
        </w:tc>
      </w:tr>
      <w:tr w:rsidR="00601408" w:rsidRPr="00264D5D" w14:paraId="345D0E50" w14:textId="77777777" w:rsidTr="00AD1F54">
        <w:trPr>
          <w:cnfStyle w:val="000000010000" w:firstRow="0" w:lastRow="0" w:firstColumn="0" w:lastColumn="0" w:oddVBand="0" w:evenVBand="0" w:oddHBand="0" w:evenHBand="1" w:firstRowFirstColumn="0" w:firstRowLastColumn="0" w:lastRowFirstColumn="0" w:lastRowLastColumn="0"/>
        </w:trPr>
        <w:tc>
          <w:tcPr>
            <w:tcW w:w="720" w:type="pct"/>
          </w:tcPr>
          <w:p w14:paraId="1FB5C679" w14:textId="77777777" w:rsidR="00601408" w:rsidRPr="00264D5D" w:rsidRDefault="00601408" w:rsidP="00601408">
            <w:pPr>
              <w:pStyle w:val="GOSTTablenorm"/>
              <w:rPr>
                <w:szCs w:val="22"/>
              </w:rPr>
            </w:pPr>
            <w:r w:rsidRPr="00264D5D">
              <w:rPr>
                <w:szCs w:val="22"/>
              </w:rPr>
              <w:t>Распоряжение о совершении казначейского платежа (возврат)</w:t>
            </w:r>
          </w:p>
        </w:tc>
        <w:tc>
          <w:tcPr>
            <w:tcW w:w="470" w:type="pct"/>
          </w:tcPr>
          <w:p w14:paraId="1B8BE527" w14:textId="77777777" w:rsidR="00601408" w:rsidRPr="00264D5D" w:rsidRDefault="00601408" w:rsidP="00601408">
            <w:pPr>
              <w:pStyle w:val="GOSTTablenorm"/>
              <w:rPr>
                <w:rFonts w:eastAsia="Calibri"/>
                <w:szCs w:val="22"/>
              </w:rPr>
            </w:pPr>
            <w:r w:rsidRPr="00264D5D">
              <w:rPr>
                <w:szCs w:val="22"/>
              </w:rPr>
              <w:t>generalDataVos</w:t>
            </w:r>
          </w:p>
        </w:tc>
        <w:tc>
          <w:tcPr>
            <w:tcW w:w="321" w:type="pct"/>
          </w:tcPr>
          <w:p w14:paraId="60E2D0CC" w14:textId="77777777" w:rsidR="00601408" w:rsidRPr="00264D5D" w:rsidRDefault="00601408" w:rsidP="00601408">
            <w:pPr>
              <w:pStyle w:val="GOSTTablenorm"/>
              <w:rPr>
                <w:b/>
                <w:szCs w:val="22"/>
              </w:rPr>
            </w:pPr>
            <w:r w:rsidRPr="00264D5D">
              <w:rPr>
                <w:b/>
                <w:bCs/>
                <w:szCs w:val="22"/>
                <w:lang w:val="en-US"/>
              </w:rPr>
              <w:t>AB</w:t>
            </w:r>
          </w:p>
        </w:tc>
        <w:tc>
          <w:tcPr>
            <w:tcW w:w="379" w:type="pct"/>
          </w:tcPr>
          <w:p w14:paraId="787114D2" w14:textId="77777777" w:rsidR="00601408" w:rsidRPr="0034269B" w:rsidRDefault="00601408" w:rsidP="00601408">
            <w:pPr>
              <w:pStyle w:val="GOSTTablenorm"/>
              <w:rPr>
                <w:szCs w:val="22"/>
              </w:rPr>
            </w:pPr>
            <w:r w:rsidRPr="0034269B">
              <w:rPr>
                <w:szCs w:val="22"/>
              </w:rPr>
              <w:t>1.0</w:t>
            </w:r>
          </w:p>
        </w:tc>
        <w:tc>
          <w:tcPr>
            <w:tcW w:w="379" w:type="pct"/>
          </w:tcPr>
          <w:p w14:paraId="2538C004" w14:textId="26BDE7CF" w:rsidR="00601408" w:rsidRPr="008D797C" w:rsidRDefault="00601408" w:rsidP="00601408">
            <w:pPr>
              <w:pStyle w:val="GOSTTablenorm"/>
              <w:rPr>
                <w:szCs w:val="22"/>
                <w:highlight w:val="green"/>
              </w:rPr>
            </w:pPr>
            <w:r w:rsidRPr="001454C0">
              <w:rPr>
                <w:szCs w:val="22"/>
                <w:highlight w:val="green"/>
              </w:rPr>
              <w:t>37.0</w:t>
            </w:r>
          </w:p>
        </w:tc>
        <w:tc>
          <w:tcPr>
            <w:tcW w:w="673" w:type="pct"/>
          </w:tcPr>
          <w:p w14:paraId="0D2B1985" w14:textId="73846166" w:rsidR="00601408" w:rsidRPr="008D797C" w:rsidRDefault="00601408" w:rsidP="00601408">
            <w:pPr>
              <w:pStyle w:val="GOSTTablenorm"/>
              <w:rPr>
                <w:szCs w:val="22"/>
                <w:highlight w:val="green"/>
                <w:lang w:val="en-US"/>
              </w:rPr>
            </w:pPr>
            <w:r w:rsidRPr="008D797C">
              <w:rPr>
                <w:szCs w:val="22"/>
                <w:highlight w:val="green"/>
              </w:rPr>
              <w:t>0</w:t>
            </w:r>
            <w:r w:rsidR="001454C0" w:rsidRPr="008D797C">
              <w:rPr>
                <w:szCs w:val="22"/>
                <w:highlight w:val="green"/>
              </w:rPr>
              <w:t>2</w:t>
            </w:r>
            <w:r w:rsidRPr="008D797C">
              <w:rPr>
                <w:szCs w:val="22"/>
                <w:highlight w:val="green"/>
              </w:rPr>
              <w:t>.0</w:t>
            </w:r>
            <w:r w:rsidR="001454C0" w:rsidRPr="008D797C">
              <w:rPr>
                <w:szCs w:val="22"/>
                <w:highlight w:val="green"/>
              </w:rPr>
              <w:t>6</w:t>
            </w:r>
            <w:r w:rsidRPr="008D797C">
              <w:rPr>
                <w:szCs w:val="22"/>
                <w:highlight w:val="green"/>
              </w:rPr>
              <w:t>.2025</w:t>
            </w:r>
          </w:p>
        </w:tc>
        <w:tc>
          <w:tcPr>
            <w:tcW w:w="663" w:type="pct"/>
          </w:tcPr>
          <w:p w14:paraId="497EC268" w14:textId="77777777" w:rsidR="00601408" w:rsidRPr="00264D5D" w:rsidRDefault="00601408" w:rsidP="00601408">
            <w:pPr>
              <w:pStyle w:val="GOSTTablenorm"/>
              <w:rPr>
                <w:szCs w:val="22"/>
              </w:rPr>
            </w:pPr>
            <w:r w:rsidRPr="00264D5D">
              <w:rPr>
                <w:szCs w:val="22"/>
              </w:rPr>
              <w:t>-</w:t>
            </w:r>
          </w:p>
        </w:tc>
        <w:tc>
          <w:tcPr>
            <w:tcW w:w="1395" w:type="pct"/>
          </w:tcPr>
          <w:p w14:paraId="1EF4E760" w14:textId="38997AA5" w:rsidR="00601408" w:rsidRPr="00264D5D" w:rsidRDefault="00601408" w:rsidP="00601408">
            <w:pPr>
              <w:spacing w:before="60" w:after="60"/>
              <w:rPr>
                <w:sz w:val="22"/>
                <w:szCs w:val="22"/>
              </w:rPr>
            </w:pPr>
            <w:r w:rsidRPr="00264D5D">
              <w:rPr>
                <w:sz w:val="22"/>
                <w:szCs w:val="22"/>
              </w:rPr>
              <w:t>Альбом «Требования к форматам обмена распоряжений о совершении казначейского платежа (возврат), используемым при информационном взаимодействие между территориальными органами Федерального казначейства и участниками бюджетного процесса, неучастниками бюджетного процесса, бюджетными учреждениями, автономными учреждениями»</w:t>
            </w:r>
          </w:p>
        </w:tc>
      </w:tr>
      <w:tr w:rsidR="00900184" w:rsidRPr="00264D5D" w14:paraId="4668FC0C" w14:textId="77777777" w:rsidTr="00AD1F54">
        <w:trPr>
          <w:cnfStyle w:val="000000100000" w:firstRow="0" w:lastRow="0" w:firstColumn="0" w:lastColumn="0" w:oddVBand="0" w:evenVBand="0" w:oddHBand="1" w:evenHBand="0" w:firstRowFirstColumn="0" w:firstRowLastColumn="0" w:lastRowFirstColumn="0" w:lastRowLastColumn="0"/>
        </w:trPr>
        <w:tc>
          <w:tcPr>
            <w:tcW w:w="720" w:type="pct"/>
          </w:tcPr>
          <w:p w14:paraId="70FAF4FE" w14:textId="77777777" w:rsidR="00900184" w:rsidRPr="008D797C" w:rsidRDefault="00900184" w:rsidP="00900184">
            <w:pPr>
              <w:pStyle w:val="GOSTTablenorm"/>
              <w:rPr>
                <w:szCs w:val="22"/>
                <w:highlight w:val="green"/>
              </w:rPr>
            </w:pPr>
            <w:r w:rsidRPr="008D797C">
              <w:rPr>
                <w:szCs w:val="22"/>
                <w:highlight w:val="green"/>
              </w:rPr>
              <w:t>Распоряжение о совершении казначейского платежа (возврат) (многострочный)</w:t>
            </w:r>
          </w:p>
        </w:tc>
        <w:tc>
          <w:tcPr>
            <w:tcW w:w="470" w:type="pct"/>
          </w:tcPr>
          <w:p w14:paraId="66959D9F" w14:textId="0C7F4A6D" w:rsidR="00900184" w:rsidRPr="008D797C" w:rsidRDefault="00900184" w:rsidP="00900184">
            <w:pPr>
              <w:pStyle w:val="GOSTTablenorm"/>
              <w:rPr>
                <w:szCs w:val="22"/>
                <w:highlight w:val="green"/>
              </w:rPr>
            </w:pPr>
            <w:r w:rsidRPr="008D797C">
              <w:rPr>
                <w:szCs w:val="22"/>
                <w:highlight w:val="green"/>
                <w:lang w:val="en-US"/>
              </w:rPr>
              <w:t>generalDataVos</w:t>
            </w:r>
            <w:r w:rsidR="00B15E70" w:rsidRPr="008D797C">
              <w:rPr>
                <w:szCs w:val="22"/>
                <w:highlight w:val="green"/>
                <w:lang w:val="en-US"/>
              </w:rPr>
              <w:t>M</w:t>
            </w:r>
          </w:p>
        </w:tc>
        <w:tc>
          <w:tcPr>
            <w:tcW w:w="321" w:type="pct"/>
          </w:tcPr>
          <w:p w14:paraId="14CCC597" w14:textId="77777777" w:rsidR="00900184" w:rsidRPr="008D797C" w:rsidRDefault="00900184" w:rsidP="00900184">
            <w:pPr>
              <w:pStyle w:val="GOSTTablenorm"/>
              <w:rPr>
                <w:b/>
                <w:bCs/>
                <w:szCs w:val="22"/>
                <w:highlight w:val="green"/>
              </w:rPr>
            </w:pPr>
            <w:r w:rsidRPr="008D797C">
              <w:rPr>
                <w:b/>
                <w:bCs/>
                <w:szCs w:val="22"/>
                <w:highlight w:val="green"/>
                <w:lang w:val="en-US"/>
              </w:rPr>
              <w:t>A</w:t>
            </w:r>
            <w:r w:rsidR="0034269B" w:rsidRPr="008D797C">
              <w:rPr>
                <w:b/>
                <w:bCs/>
                <w:szCs w:val="22"/>
                <w:highlight w:val="green"/>
                <w:lang w:val="en-US"/>
              </w:rPr>
              <w:t>Q</w:t>
            </w:r>
          </w:p>
        </w:tc>
        <w:tc>
          <w:tcPr>
            <w:tcW w:w="379" w:type="pct"/>
          </w:tcPr>
          <w:p w14:paraId="0EC4E9C1" w14:textId="77777777" w:rsidR="00900184" w:rsidRPr="008D797C" w:rsidRDefault="00900184" w:rsidP="00900184">
            <w:pPr>
              <w:pStyle w:val="GOSTTablenorm"/>
              <w:rPr>
                <w:szCs w:val="22"/>
                <w:highlight w:val="green"/>
              </w:rPr>
            </w:pPr>
            <w:r w:rsidRPr="008D797C">
              <w:rPr>
                <w:szCs w:val="22"/>
                <w:highlight w:val="green"/>
              </w:rPr>
              <w:t>1.0</w:t>
            </w:r>
          </w:p>
        </w:tc>
        <w:tc>
          <w:tcPr>
            <w:tcW w:w="379" w:type="pct"/>
          </w:tcPr>
          <w:p w14:paraId="334857EC" w14:textId="77777777" w:rsidR="00900184" w:rsidRPr="00B15E70" w:rsidDel="0036527B" w:rsidRDefault="00900184" w:rsidP="00900184">
            <w:pPr>
              <w:pStyle w:val="GOSTTablenorm"/>
              <w:rPr>
                <w:szCs w:val="22"/>
                <w:highlight w:val="green"/>
              </w:rPr>
            </w:pPr>
            <w:r w:rsidRPr="00B15E70">
              <w:rPr>
                <w:szCs w:val="22"/>
                <w:highlight w:val="green"/>
              </w:rPr>
              <w:t>37.0</w:t>
            </w:r>
          </w:p>
        </w:tc>
        <w:tc>
          <w:tcPr>
            <w:tcW w:w="673" w:type="pct"/>
          </w:tcPr>
          <w:p w14:paraId="7961C528" w14:textId="77777777" w:rsidR="00900184" w:rsidRPr="008D797C" w:rsidRDefault="00900184" w:rsidP="00900184">
            <w:pPr>
              <w:pStyle w:val="GOSTTablenorm"/>
              <w:rPr>
                <w:szCs w:val="22"/>
                <w:highlight w:val="green"/>
              </w:rPr>
            </w:pPr>
            <w:r w:rsidRPr="008D797C">
              <w:rPr>
                <w:szCs w:val="22"/>
                <w:highlight w:val="green"/>
              </w:rPr>
              <w:t>01.0</w:t>
            </w:r>
            <w:r w:rsidR="001454C0" w:rsidRPr="008D797C">
              <w:rPr>
                <w:szCs w:val="22"/>
                <w:highlight w:val="green"/>
              </w:rPr>
              <w:t>4</w:t>
            </w:r>
            <w:r w:rsidRPr="008D797C">
              <w:rPr>
                <w:szCs w:val="22"/>
                <w:highlight w:val="green"/>
              </w:rPr>
              <w:t>.2026</w:t>
            </w:r>
          </w:p>
        </w:tc>
        <w:tc>
          <w:tcPr>
            <w:tcW w:w="663" w:type="pct"/>
          </w:tcPr>
          <w:p w14:paraId="36D59A39" w14:textId="77777777" w:rsidR="00900184" w:rsidRPr="008D797C" w:rsidRDefault="00900184" w:rsidP="00900184">
            <w:pPr>
              <w:pStyle w:val="GOSTTablenorm"/>
              <w:rPr>
                <w:szCs w:val="22"/>
                <w:highlight w:val="green"/>
              </w:rPr>
            </w:pPr>
            <w:r w:rsidRPr="008D797C">
              <w:rPr>
                <w:szCs w:val="22"/>
                <w:highlight w:val="green"/>
              </w:rPr>
              <w:t>-</w:t>
            </w:r>
          </w:p>
        </w:tc>
        <w:tc>
          <w:tcPr>
            <w:tcW w:w="1395" w:type="pct"/>
          </w:tcPr>
          <w:p w14:paraId="3B8A5EF0" w14:textId="77777777" w:rsidR="00900184" w:rsidRPr="008D797C" w:rsidRDefault="00900184" w:rsidP="00900184">
            <w:pPr>
              <w:spacing w:before="60" w:after="60"/>
              <w:rPr>
                <w:sz w:val="22"/>
                <w:szCs w:val="22"/>
                <w:highlight w:val="green"/>
              </w:rPr>
            </w:pPr>
            <w:r w:rsidRPr="008D797C">
              <w:rPr>
                <w:sz w:val="22"/>
                <w:szCs w:val="22"/>
                <w:highlight w:val="green"/>
              </w:rPr>
              <w:t xml:space="preserve">Альбом «Требования к форматам обмена распоряжений о совершении казначейского платежа (возврат), используемым при информационном взаимодействие между территориальными </w:t>
            </w:r>
            <w:r w:rsidRPr="008D797C">
              <w:rPr>
                <w:sz w:val="22"/>
                <w:szCs w:val="22"/>
                <w:highlight w:val="green"/>
              </w:rPr>
              <w:lastRenderedPageBreak/>
              <w:t>органами Федерального казначейства и участниками бюджетного процесса, неучастниками бюджетного процесса, бюджетными учреждениями, автономными учреждениями»</w:t>
            </w:r>
          </w:p>
        </w:tc>
      </w:tr>
      <w:tr w:rsidR="00900184" w:rsidRPr="00264D5D" w14:paraId="2AA88CF0" w14:textId="77777777" w:rsidTr="00AD1F54">
        <w:trPr>
          <w:cnfStyle w:val="000000010000" w:firstRow="0" w:lastRow="0" w:firstColumn="0" w:lastColumn="0" w:oddVBand="0" w:evenVBand="0" w:oddHBand="0" w:evenHBand="1" w:firstRowFirstColumn="0" w:firstRowLastColumn="0" w:lastRowFirstColumn="0" w:lastRowLastColumn="0"/>
        </w:trPr>
        <w:tc>
          <w:tcPr>
            <w:tcW w:w="720" w:type="pct"/>
          </w:tcPr>
          <w:p w14:paraId="449A308D" w14:textId="77777777" w:rsidR="00900184" w:rsidRPr="00264D5D" w:rsidRDefault="00900184" w:rsidP="00900184">
            <w:pPr>
              <w:pStyle w:val="GOSTTablenorm"/>
              <w:rPr>
                <w:szCs w:val="22"/>
              </w:rPr>
            </w:pPr>
            <w:r w:rsidRPr="00264D5D">
              <w:rPr>
                <w:szCs w:val="22"/>
              </w:rPr>
              <w:lastRenderedPageBreak/>
              <w:t>Распоряжение о совершении казначейского платежа (уточнение)</w:t>
            </w:r>
          </w:p>
        </w:tc>
        <w:tc>
          <w:tcPr>
            <w:tcW w:w="470" w:type="pct"/>
          </w:tcPr>
          <w:p w14:paraId="6A45630B" w14:textId="77777777" w:rsidR="00900184" w:rsidRPr="00264D5D" w:rsidRDefault="00900184" w:rsidP="00900184">
            <w:pPr>
              <w:pStyle w:val="GOSTTablenorm"/>
              <w:rPr>
                <w:rFonts w:eastAsia="Calibri"/>
                <w:szCs w:val="22"/>
              </w:rPr>
            </w:pPr>
            <w:r w:rsidRPr="00264D5D">
              <w:rPr>
                <w:rFonts w:eastAsia="Calibri"/>
                <w:szCs w:val="22"/>
              </w:rPr>
              <w:t>generalDataUtoch</w:t>
            </w:r>
          </w:p>
        </w:tc>
        <w:tc>
          <w:tcPr>
            <w:tcW w:w="321" w:type="pct"/>
          </w:tcPr>
          <w:p w14:paraId="02F58454" w14:textId="77777777" w:rsidR="00900184" w:rsidRPr="00264D5D" w:rsidRDefault="00900184" w:rsidP="00900184">
            <w:pPr>
              <w:pStyle w:val="GOSTTablenorm"/>
              <w:rPr>
                <w:b/>
                <w:szCs w:val="22"/>
              </w:rPr>
            </w:pPr>
            <w:r w:rsidRPr="00264D5D">
              <w:rPr>
                <w:b/>
                <w:bCs/>
                <w:szCs w:val="22"/>
                <w:lang w:val="en-US"/>
              </w:rPr>
              <w:t>AC</w:t>
            </w:r>
          </w:p>
        </w:tc>
        <w:tc>
          <w:tcPr>
            <w:tcW w:w="379" w:type="pct"/>
          </w:tcPr>
          <w:p w14:paraId="1FE22A23" w14:textId="77777777" w:rsidR="00900184" w:rsidRPr="00264D5D" w:rsidRDefault="00900184" w:rsidP="00900184">
            <w:pPr>
              <w:pStyle w:val="GOSTTablenorm"/>
              <w:rPr>
                <w:szCs w:val="22"/>
              </w:rPr>
            </w:pPr>
            <w:r w:rsidRPr="00264D5D">
              <w:rPr>
                <w:szCs w:val="22"/>
              </w:rPr>
              <w:t>1.0</w:t>
            </w:r>
          </w:p>
        </w:tc>
        <w:tc>
          <w:tcPr>
            <w:tcW w:w="379" w:type="pct"/>
          </w:tcPr>
          <w:p w14:paraId="42774D38" w14:textId="77777777" w:rsidR="00900184" w:rsidRPr="00264D5D" w:rsidRDefault="00900184" w:rsidP="00900184">
            <w:pPr>
              <w:pStyle w:val="GOSTTablenorm"/>
              <w:rPr>
                <w:szCs w:val="22"/>
              </w:rPr>
            </w:pPr>
            <w:r w:rsidRPr="00061191">
              <w:rPr>
                <w:szCs w:val="22"/>
                <w:highlight w:val="green"/>
              </w:rPr>
              <w:t>37.0</w:t>
            </w:r>
          </w:p>
        </w:tc>
        <w:tc>
          <w:tcPr>
            <w:tcW w:w="673" w:type="pct"/>
          </w:tcPr>
          <w:p w14:paraId="75DA3947" w14:textId="4F1993A4" w:rsidR="00900184" w:rsidRPr="00264D5D" w:rsidRDefault="00900184" w:rsidP="00900184">
            <w:pPr>
              <w:pStyle w:val="GOSTTablenorm"/>
              <w:rPr>
                <w:szCs w:val="22"/>
              </w:rPr>
            </w:pPr>
            <w:r w:rsidRPr="008D797C">
              <w:rPr>
                <w:szCs w:val="22"/>
                <w:highlight w:val="green"/>
              </w:rPr>
              <w:t>0</w:t>
            </w:r>
            <w:r w:rsidR="0034269B" w:rsidRPr="008D797C">
              <w:rPr>
                <w:szCs w:val="22"/>
                <w:highlight w:val="green"/>
                <w:lang w:val="en-US"/>
              </w:rPr>
              <w:t>2</w:t>
            </w:r>
            <w:r w:rsidRPr="008D797C">
              <w:rPr>
                <w:szCs w:val="22"/>
                <w:highlight w:val="green"/>
              </w:rPr>
              <w:t>.0</w:t>
            </w:r>
            <w:r w:rsidR="0034269B" w:rsidRPr="008D797C">
              <w:rPr>
                <w:szCs w:val="22"/>
                <w:highlight w:val="green"/>
                <w:lang w:val="en-US"/>
              </w:rPr>
              <w:t>6</w:t>
            </w:r>
            <w:r w:rsidRPr="00264D5D">
              <w:rPr>
                <w:szCs w:val="22"/>
              </w:rPr>
              <w:t>.2025</w:t>
            </w:r>
          </w:p>
        </w:tc>
        <w:tc>
          <w:tcPr>
            <w:tcW w:w="663" w:type="pct"/>
          </w:tcPr>
          <w:p w14:paraId="4FD45420" w14:textId="77777777" w:rsidR="00900184" w:rsidRPr="00264D5D" w:rsidRDefault="00900184" w:rsidP="00900184">
            <w:pPr>
              <w:pStyle w:val="GOSTTablenorm"/>
              <w:rPr>
                <w:szCs w:val="22"/>
              </w:rPr>
            </w:pPr>
            <w:r w:rsidRPr="00264D5D">
              <w:rPr>
                <w:szCs w:val="22"/>
              </w:rPr>
              <w:t>-</w:t>
            </w:r>
          </w:p>
        </w:tc>
        <w:tc>
          <w:tcPr>
            <w:tcW w:w="1395" w:type="pct"/>
          </w:tcPr>
          <w:p w14:paraId="1FAC28DE" w14:textId="2341DB9D" w:rsidR="00900184" w:rsidRPr="00264D5D" w:rsidRDefault="00900184" w:rsidP="00900184">
            <w:pPr>
              <w:spacing w:before="60" w:after="60"/>
              <w:rPr>
                <w:sz w:val="22"/>
                <w:szCs w:val="22"/>
              </w:rPr>
            </w:pPr>
            <w:r w:rsidRPr="00264D5D">
              <w:rPr>
                <w:sz w:val="22"/>
                <w:szCs w:val="22"/>
              </w:rPr>
              <w:t>Альбом «Требования к форматам обмена распоряжений о совершении казначейского платежа (уточнение), используемым при информационном взаимодействие между территориальными органами Федерального казначейства и участниками бюджетного процесса, неучастниками бюджетного процесса, бюджетными учреждениями, автономными учреждениями»</w:t>
            </w:r>
          </w:p>
        </w:tc>
      </w:tr>
      <w:tr w:rsidR="00900184" w:rsidRPr="00264D5D" w14:paraId="3BA97999" w14:textId="77777777" w:rsidTr="00AD1F54">
        <w:trPr>
          <w:cnfStyle w:val="000000100000" w:firstRow="0" w:lastRow="0" w:firstColumn="0" w:lastColumn="0" w:oddVBand="0" w:evenVBand="0" w:oddHBand="1" w:evenHBand="0" w:firstRowFirstColumn="0" w:firstRowLastColumn="0" w:lastRowFirstColumn="0" w:lastRowLastColumn="0"/>
        </w:trPr>
        <w:tc>
          <w:tcPr>
            <w:tcW w:w="720" w:type="pct"/>
          </w:tcPr>
          <w:p w14:paraId="1F33A72F" w14:textId="77777777" w:rsidR="00900184" w:rsidRPr="00264D5D" w:rsidRDefault="00900184" w:rsidP="00900184">
            <w:pPr>
              <w:spacing w:before="60" w:after="60"/>
              <w:rPr>
                <w:sz w:val="22"/>
                <w:szCs w:val="22"/>
              </w:rPr>
            </w:pPr>
            <w:r w:rsidRPr="00264D5D">
              <w:rPr>
                <w:sz w:val="22"/>
                <w:szCs w:val="22"/>
              </w:rPr>
              <w:t>Распоряжение налогового органа (зачет)</w:t>
            </w:r>
          </w:p>
        </w:tc>
        <w:tc>
          <w:tcPr>
            <w:tcW w:w="470" w:type="pct"/>
          </w:tcPr>
          <w:p w14:paraId="1BA1814E" w14:textId="77777777" w:rsidR="00900184" w:rsidRPr="00264D5D" w:rsidRDefault="00900184" w:rsidP="00900184">
            <w:pPr>
              <w:spacing w:before="60" w:after="60"/>
              <w:rPr>
                <w:sz w:val="22"/>
                <w:szCs w:val="22"/>
                <w:lang w:val="en-US"/>
              </w:rPr>
            </w:pPr>
            <w:r w:rsidRPr="00264D5D">
              <w:rPr>
                <w:sz w:val="22"/>
                <w:szCs w:val="22"/>
              </w:rPr>
              <w:t>BRA_DOC_D_006</w:t>
            </w:r>
          </w:p>
        </w:tc>
        <w:tc>
          <w:tcPr>
            <w:tcW w:w="321" w:type="pct"/>
          </w:tcPr>
          <w:p w14:paraId="1DEA4EE7" w14:textId="77777777" w:rsidR="00900184" w:rsidRPr="00264D5D" w:rsidRDefault="00900184" w:rsidP="00900184">
            <w:pPr>
              <w:pStyle w:val="GOSTTablenorm"/>
              <w:rPr>
                <w:b/>
                <w:szCs w:val="22"/>
                <w:lang w:val="en-US"/>
              </w:rPr>
            </w:pPr>
            <w:r w:rsidRPr="00264D5D">
              <w:rPr>
                <w:b/>
                <w:bCs/>
                <w:color w:val="000000"/>
                <w:szCs w:val="22"/>
                <w:lang w:val="en-US"/>
              </w:rPr>
              <w:t>UZ</w:t>
            </w:r>
          </w:p>
        </w:tc>
        <w:tc>
          <w:tcPr>
            <w:tcW w:w="379" w:type="pct"/>
          </w:tcPr>
          <w:p w14:paraId="40E1A4EC" w14:textId="77777777" w:rsidR="00900184" w:rsidRPr="00264D5D" w:rsidRDefault="00900184" w:rsidP="00900184">
            <w:pPr>
              <w:spacing w:before="60" w:after="60"/>
              <w:rPr>
                <w:sz w:val="22"/>
                <w:szCs w:val="22"/>
              </w:rPr>
            </w:pPr>
            <w:r w:rsidRPr="00264D5D">
              <w:rPr>
                <w:sz w:val="22"/>
                <w:szCs w:val="22"/>
              </w:rPr>
              <w:t>1.0</w:t>
            </w:r>
          </w:p>
        </w:tc>
        <w:tc>
          <w:tcPr>
            <w:tcW w:w="379" w:type="pct"/>
          </w:tcPr>
          <w:p w14:paraId="2B80C3A2" w14:textId="77777777" w:rsidR="00900184" w:rsidRPr="00264D5D" w:rsidRDefault="00900184" w:rsidP="00900184">
            <w:pPr>
              <w:spacing w:before="60" w:after="60"/>
              <w:rPr>
                <w:sz w:val="22"/>
                <w:szCs w:val="22"/>
              </w:rPr>
            </w:pPr>
            <w:r w:rsidRPr="00264D5D">
              <w:rPr>
                <w:sz w:val="22"/>
                <w:szCs w:val="22"/>
              </w:rPr>
              <w:t>36.0</w:t>
            </w:r>
          </w:p>
        </w:tc>
        <w:tc>
          <w:tcPr>
            <w:tcW w:w="673" w:type="pct"/>
          </w:tcPr>
          <w:p w14:paraId="05DDE5C9" w14:textId="77777777" w:rsidR="00900184" w:rsidRPr="00264D5D" w:rsidRDefault="00900184" w:rsidP="00900184">
            <w:pPr>
              <w:spacing w:before="60" w:after="60"/>
              <w:rPr>
                <w:sz w:val="22"/>
                <w:szCs w:val="22"/>
              </w:rPr>
            </w:pPr>
            <w:r w:rsidRPr="00264D5D">
              <w:rPr>
                <w:sz w:val="22"/>
                <w:szCs w:val="22"/>
              </w:rPr>
              <w:t>09.09.2024</w:t>
            </w:r>
          </w:p>
        </w:tc>
        <w:tc>
          <w:tcPr>
            <w:tcW w:w="663" w:type="pct"/>
          </w:tcPr>
          <w:p w14:paraId="2CC511E2" w14:textId="77777777" w:rsidR="00900184" w:rsidRPr="00264D5D" w:rsidRDefault="00900184" w:rsidP="00900184">
            <w:pPr>
              <w:spacing w:before="60" w:after="60"/>
              <w:rPr>
                <w:sz w:val="22"/>
                <w:szCs w:val="22"/>
              </w:rPr>
            </w:pPr>
            <w:r w:rsidRPr="00264D5D">
              <w:rPr>
                <w:sz w:val="22"/>
                <w:szCs w:val="22"/>
              </w:rPr>
              <w:t>-</w:t>
            </w:r>
          </w:p>
        </w:tc>
        <w:tc>
          <w:tcPr>
            <w:tcW w:w="1395" w:type="pct"/>
          </w:tcPr>
          <w:p w14:paraId="1F4BD7FB" w14:textId="77777777" w:rsidR="00900184" w:rsidRPr="00264D5D" w:rsidRDefault="00900184" w:rsidP="00900184">
            <w:pPr>
              <w:keepNext/>
              <w:spacing w:before="60" w:after="60"/>
              <w:contextualSpacing/>
              <w:rPr>
                <w:sz w:val="22"/>
                <w:szCs w:val="22"/>
              </w:rPr>
            </w:pPr>
            <w:r w:rsidRPr="00264D5D">
              <w:rPr>
                <w:sz w:val="22"/>
                <w:szCs w:val="22"/>
              </w:rPr>
              <w:t>Приказ Казначейства России от 14.05.2020 г. № 21н «О Порядке казначейского обслуживания»</w:t>
            </w:r>
          </w:p>
        </w:tc>
      </w:tr>
      <w:tr w:rsidR="00900184" w:rsidRPr="00264D5D" w14:paraId="6D47E6A3" w14:textId="77777777" w:rsidTr="00AD1F54">
        <w:trPr>
          <w:cnfStyle w:val="000000010000" w:firstRow="0" w:lastRow="0" w:firstColumn="0" w:lastColumn="0" w:oddVBand="0" w:evenVBand="0" w:oddHBand="0" w:evenHBand="1" w:firstRowFirstColumn="0" w:firstRowLastColumn="0" w:lastRowFirstColumn="0" w:lastRowLastColumn="0"/>
        </w:trPr>
        <w:tc>
          <w:tcPr>
            <w:tcW w:w="720" w:type="pct"/>
          </w:tcPr>
          <w:p w14:paraId="6FAAAC02" w14:textId="77777777" w:rsidR="00900184" w:rsidRPr="00264D5D" w:rsidRDefault="00900184" w:rsidP="00900184">
            <w:pPr>
              <w:spacing w:before="60" w:after="60"/>
              <w:rPr>
                <w:sz w:val="22"/>
                <w:szCs w:val="22"/>
              </w:rPr>
            </w:pPr>
            <w:r w:rsidRPr="00264D5D">
              <w:rPr>
                <w:sz w:val="22"/>
                <w:szCs w:val="22"/>
              </w:rPr>
              <w:t>Распоряжение налогового органа (уточнение)</w:t>
            </w:r>
          </w:p>
        </w:tc>
        <w:tc>
          <w:tcPr>
            <w:tcW w:w="470" w:type="pct"/>
          </w:tcPr>
          <w:p w14:paraId="0195C93C" w14:textId="77777777" w:rsidR="00900184" w:rsidRPr="00264D5D" w:rsidRDefault="00900184" w:rsidP="00900184">
            <w:pPr>
              <w:spacing w:before="60" w:after="60"/>
              <w:rPr>
                <w:sz w:val="22"/>
                <w:szCs w:val="22"/>
                <w:lang w:val="en-US"/>
              </w:rPr>
            </w:pPr>
            <w:r w:rsidRPr="00264D5D">
              <w:rPr>
                <w:sz w:val="22"/>
                <w:szCs w:val="22"/>
              </w:rPr>
              <w:t>BRA_DOC_D_005</w:t>
            </w:r>
          </w:p>
        </w:tc>
        <w:tc>
          <w:tcPr>
            <w:tcW w:w="321" w:type="pct"/>
          </w:tcPr>
          <w:p w14:paraId="6A55A3B0" w14:textId="77777777" w:rsidR="00900184" w:rsidRPr="00264D5D" w:rsidRDefault="00900184" w:rsidP="00900184">
            <w:pPr>
              <w:pStyle w:val="GOSTTablenorm"/>
              <w:rPr>
                <w:b/>
                <w:szCs w:val="22"/>
                <w:lang w:val="en-US"/>
              </w:rPr>
            </w:pPr>
            <w:r w:rsidRPr="00264D5D">
              <w:rPr>
                <w:b/>
                <w:szCs w:val="22"/>
                <w:lang w:val="en-US"/>
              </w:rPr>
              <w:t>UN</w:t>
            </w:r>
          </w:p>
        </w:tc>
        <w:tc>
          <w:tcPr>
            <w:tcW w:w="379" w:type="pct"/>
          </w:tcPr>
          <w:p w14:paraId="72758D2C" w14:textId="77777777" w:rsidR="00900184" w:rsidRPr="00264D5D" w:rsidRDefault="00900184" w:rsidP="00900184">
            <w:pPr>
              <w:spacing w:before="60" w:after="60"/>
              <w:rPr>
                <w:sz w:val="22"/>
                <w:szCs w:val="22"/>
              </w:rPr>
            </w:pPr>
            <w:r w:rsidRPr="00264D5D">
              <w:rPr>
                <w:sz w:val="22"/>
                <w:szCs w:val="22"/>
              </w:rPr>
              <w:t>1.0</w:t>
            </w:r>
          </w:p>
        </w:tc>
        <w:tc>
          <w:tcPr>
            <w:tcW w:w="379" w:type="pct"/>
          </w:tcPr>
          <w:p w14:paraId="22B5CE6B" w14:textId="77777777" w:rsidR="00900184" w:rsidRPr="00264D5D" w:rsidRDefault="00900184" w:rsidP="00900184">
            <w:pPr>
              <w:spacing w:before="60" w:after="60"/>
              <w:rPr>
                <w:sz w:val="22"/>
                <w:szCs w:val="22"/>
              </w:rPr>
            </w:pPr>
            <w:r w:rsidRPr="00264D5D">
              <w:rPr>
                <w:sz w:val="22"/>
                <w:szCs w:val="22"/>
              </w:rPr>
              <w:t>36.0</w:t>
            </w:r>
          </w:p>
        </w:tc>
        <w:tc>
          <w:tcPr>
            <w:tcW w:w="673" w:type="pct"/>
          </w:tcPr>
          <w:p w14:paraId="33BC950C" w14:textId="77777777" w:rsidR="00900184" w:rsidRPr="00264D5D" w:rsidRDefault="00900184" w:rsidP="00900184">
            <w:pPr>
              <w:spacing w:before="60" w:after="60"/>
              <w:rPr>
                <w:sz w:val="22"/>
                <w:szCs w:val="22"/>
              </w:rPr>
            </w:pPr>
            <w:r w:rsidRPr="00264D5D">
              <w:rPr>
                <w:sz w:val="22"/>
                <w:szCs w:val="22"/>
              </w:rPr>
              <w:t>09.09.2024</w:t>
            </w:r>
          </w:p>
        </w:tc>
        <w:tc>
          <w:tcPr>
            <w:tcW w:w="663" w:type="pct"/>
          </w:tcPr>
          <w:p w14:paraId="64AEAD59" w14:textId="77777777" w:rsidR="00900184" w:rsidRPr="00264D5D" w:rsidRDefault="00900184" w:rsidP="00900184">
            <w:pPr>
              <w:spacing w:before="60" w:after="60"/>
              <w:rPr>
                <w:sz w:val="22"/>
                <w:szCs w:val="22"/>
              </w:rPr>
            </w:pPr>
            <w:r w:rsidRPr="00264D5D">
              <w:rPr>
                <w:sz w:val="22"/>
                <w:szCs w:val="22"/>
              </w:rPr>
              <w:t>-</w:t>
            </w:r>
          </w:p>
        </w:tc>
        <w:tc>
          <w:tcPr>
            <w:tcW w:w="1395" w:type="pct"/>
          </w:tcPr>
          <w:p w14:paraId="1C3D0DD2" w14:textId="77777777" w:rsidR="00900184" w:rsidRPr="00264D5D" w:rsidRDefault="00900184" w:rsidP="00900184">
            <w:pPr>
              <w:keepNext/>
              <w:spacing w:before="60" w:after="60"/>
              <w:contextualSpacing/>
              <w:rPr>
                <w:sz w:val="22"/>
                <w:szCs w:val="22"/>
              </w:rPr>
            </w:pPr>
            <w:r w:rsidRPr="00264D5D">
              <w:rPr>
                <w:sz w:val="22"/>
                <w:szCs w:val="22"/>
              </w:rPr>
              <w:t>Приказ Казначейства России от 14.05.2020 г. № 21н «О Порядке казначейского обслуживания»</w:t>
            </w:r>
          </w:p>
        </w:tc>
      </w:tr>
      <w:tr w:rsidR="00900184" w:rsidRPr="00264D5D" w14:paraId="547B1052" w14:textId="77777777" w:rsidTr="00AD1F54">
        <w:trPr>
          <w:cnfStyle w:val="000000100000" w:firstRow="0" w:lastRow="0" w:firstColumn="0" w:lastColumn="0" w:oddVBand="0" w:evenVBand="0" w:oddHBand="1" w:evenHBand="0" w:firstRowFirstColumn="0" w:firstRowLastColumn="0" w:lastRowFirstColumn="0" w:lastRowLastColumn="0"/>
        </w:trPr>
        <w:tc>
          <w:tcPr>
            <w:tcW w:w="720" w:type="pct"/>
          </w:tcPr>
          <w:p w14:paraId="7A67E1A3" w14:textId="77777777" w:rsidR="00900184" w:rsidRPr="002A47D2" w:rsidRDefault="00900184" w:rsidP="00900184">
            <w:pPr>
              <w:pStyle w:val="GOSTTablenorm"/>
              <w:rPr>
                <w:highlight w:val="green"/>
              </w:rPr>
            </w:pPr>
            <w:r w:rsidRPr="00D01516">
              <w:rPr>
                <w:highlight w:val="green"/>
              </w:rPr>
              <w:t>Выписка из проекта контракта</w:t>
            </w:r>
          </w:p>
        </w:tc>
        <w:tc>
          <w:tcPr>
            <w:tcW w:w="470" w:type="pct"/>
          </w:tcPr>
          <w:p w14:paraId="7E48361A" w14:textId="77777777" w:rsidR="00900184" w:rsidRPr="002A47D2" w:rsidRDefault="00900184" w:rsidP="00900184">
            <w:pPr>
              <w:pStyle w:val="GOSTTablenorm"/>
              <w:rPr>
                <w:highlight w:val="green"/>
                <w:lang w:val="en-US"/>
              </w:rPr>
            </w:pPr>
            <w:r w:rsidRPr="00CF3559">
              <w:rPr>
                <w:highlight w:val="green"/>
                <w:lang w:val="en-US"/>
              </w:rPr>
              <w:t>Inf_</w:t>
            </w:r>
            <w:r w:rsidRPr="00CF3559">
              <w:rPr>
                <w:highlight w:val="green"/>
              </w:rPr>
              <w:t>Draft_Contract</w:t>
            </w:r>
          </w:p>
        </w:tc>
        <w:tc>
          <w:tcPr>
            <w:tcW w:w="321" w:type="pct"/>
          </w:tcPr>
          <w:p w14:paraId="33508872" w14:textId="77777777" w:rsidR="00900184" w:rsidRPr="002A47D2" w:rsidRDefault="00900184" w:rsidP="00900184">
            <w:pPr>
              <w:pStyle w:val="GOSTTablenorm"/>
              <w:rPr>
                <w:b/>
                <w:highlight w:val="green"/>
              </w:rPr>
            </w:pPr>
            <w:r w:rsidRPr="00CF3559">
              <w:rPr>
                <w:b/>
                <w:highlight w:val="green"/>
              </w:rPr>
              <w:t>C</w:t>
            </w:r>
            <w:r w:rsidRPr="00CF3559">
              <w:rPr>
                <w:b/>
                <w:highlight w:val="green"/>
                <w:lang w:val="en-US"/>
              </w:rPr>
              <w:t>S</w:t>
            </w:r>
          </w:p>
        </w:tc>
        <w:tc>
          <w:tcPr>
            <w:tcW w:w="379" w:type="pct"/>
          </w:tcPr>
          <w:p w14:paraId="338F40C7" w14:textId="7151ED96" w:rsidR="00900184" w:rsidRPr="002A47D2" w:rsidRDefault="00900184" w:rsidP="00900184">
            <w:pPr>
              <w:pStyle w:val="GOSTTablenorm"/>
              <w:rPr>
                <w:highlight w:val="green"/>
              </w:rPr>
            </w:pPr>
            <w:r w:rsidRPr="00CF3559">
              <w:rPr>
                <w:highlight w:val="green"/>
              </w:rPr>
              <w:t>1.0</w:t>
            </w:r>
          </w:p>
        </w:tc>
        <w:tc>
          <w:tcPr>
            <w:tcW w:w="379" w:type="pct"/>
          </w:tcPr>
          <w:p w14:paraId="19B4D116" w14:textId="77777777" w:rsidR="00900184" w:rsidRPr="002A47D2" w:rsidRDefault="00900184" w:rsidP="00900184">
            <w:pPr>
              <w:pStyle w:val="GOSTTablenorm"/>
              <w:rPr>
                <w:szCs w:val="22"/>
                <w:highlight w:val="green"/>
              </w:rPr>
            </w:pPr>
            <w:r w:rsidRPr="00061191">
              <w:rPr>
                <w:szCs w:val="22"/>
                <w:highlight w:val="green"/>
              </w:rPr>
              <w:t>37.0</w:t>
            </w:r>
          </w:p>
        </w:tc>
        <w:tc>
          <w:tcPr>
            <w:tcW w:w="673" w:type="pct"/>
          </w:tcPr>
          <w:p w14:paraId="48C5F4B6" w14:textId="0C0F8EB2" w:rsidR="00900184" w:rsidRPr="002A47D2" w:rsidRDefault="00900184" w:rsidP="00900184">
            <w:pPr>
              <w:pStyle w:val="GOSTTablenorm"/>
              <w:rPr>
                <w:szCs w:val="22"/>
                <w:highlight w:val="green"/>
              </w:rPr>
            </w:pPr>
            <w:r w:rsidRPr="00CF3559">
              <w:rPr>
                <w:szCs w:val="22"/>
                <w:highlight w:val="green"/>
              </w:rPr>
              <w:t>01.07.2025</w:t>
            </w:r>
          </w:p>
        </w:tc>
        <w:tc>
          <w:tcPr>
            <w:tcW w:w="663" w:type="pct"/>
          </w:tcPr>
          <w:p w14:paraId="6D49BB0A" w14:textId="23AC5E24" w:rsidR="00900184" w:rsidRPr="002A47D2" w:rsidRDefault="00900184" w:rsidP="00900184">
            <w:pPr>
              <w:pStyle w:val="GOSTTablenorm"/>
              <w:rPr>
                <w:szCs w:val="22"/>
                <w:highlight w:val="green"/>
              </w:rPr>
            </w:pPr>
            <w:r w:rsidRPr="00CF3559">
              <w:rPr>
                <w:szCs w:val="22"/>
                <w:highlight w:val="green"/>
              </w:rPr>
              <w:t>-</w:t>
            </w:r>
          </w:p>
        </w:tc>
        <w:tc>
          <w:tcPr>
            <w:tcW w:w="1395" w:type="pct"/>
          </w:tcPr>
          <w:p w14:paraId="40994F11" w14:textId="77777777" w:rsidR="00900184" w:rsidRPr="002A47D2" w:rsidRDefault="00900184" w:rsidP="00900184">
            <w:pPr>
              <w:pStyle w:val="GOSTTablenorm"/>
              <w:rPr>
                <w:highlight w:val="green"/>
              </w:rPr>
            </w:pPr>
            <w:r w:rsidRPr="00CF3559">
              <w:rPr>
                <w:highlight w:val="green"/>
              </w:rPr>
              <w:t xml:space="preserve">Приказ Минфина России от 30.10.2020 № 258н «Об утверждении Порядка учета бюджетных и денежных обязательств получателей средств </w:t>
            </w:r>
            <w:r w:rsidRPr="00CF3559">
              <w:rPr>
                <w:highlight w:val="green"/>
              </w:rPr>
              <w:lastRenderedPageBreak/>
              <w:t>федерального бюджета территориальными органами Федерального казначейства» (в редакции Приказа Минфина России от 25.11.2024 № 177н)</w:t>
            </w:r>
          </w:p>
        </w:tc>
      </w:tr>
      <w:tr w:rsidR="00900184" w:rsidRPr="00264D5D" w14:paraId="06481BDB" w14:textId="77777777" w:rsidTr="00AD1F54">
        <w:trPr>
          <w:cnfStyle w:val="000000010000" w:firstRow="0" w:lastRow="0" w:firstColumn="0" w:lastColumn="0" w:oddVBand="0" w:evenVBand="0" w:oddHBand="0" w:evenHBand="1" w:firstRowFirstColumn="0" w:firstRowLastColumn="0" w:lastRowFirstColumn="0" w:lastRowLastColumn="0"/>
        </w:trPr>
        <w:tc>
          <w:tcPr>
            <w:tcW w:w="720" w:type="pct"/>
          </w:tcPr>
          <w:p w14:paraId="102E0F21" w14:textId="77777777" w:rsidR="00900184" w:rsidRPr="000E2EE3" w:rsidRDefault="00900184" w:rsidP="00900184">
            <w:pPr>
              <w:pStyle w:val="GOSTTablenorm"/>
              <w:rPr>
                <w:szCs w:val="22"/>
              </w:rPr>
            </w:pPr>
            <w:r w:rsidRPr="000E2EE3">
              <w:rPr>
                <w:szCs w:val="22"/>
                <w:highlight w:val="green"/>
              </w:rPr>
              <w:lastRenderedPageBreak/>
              <w:t>Сведения об объемах средств, указанных в нормативных правовых актах, предусматривающих в соответствии с бюджетным законодательством Российской Федерации возможность заключения государственного (муниципального) контракта на срок, превышающий срок действия доведенных лимитов бюджетных обязательств</w:t>
            </w:r>
          </w:p>
        </w:tc>
        <w:tc>
          <w:tcPr>
            <w:tcW w:w="470" w:type="pct"/>
          </w:tcPr>
          <w:p w14:paraId="520729B2" w14:textId="77777777" w:rsidR="00900184" w:rsidRPr="000E2EE3" w:rsidRDefault="00900184" w:rsidP="00900184">
            <w:pPr>
              <w:pStyle w:val="GOSTTablenorm"/>
              <w:rPr>
                <w:szCs w:val="22"/>
              </w:rPr>
            </w:pPr>
            <w:r w:rsidRPr="000E2EE3">
              <w:rPr>
                <w:szCs w:val="22"/>
                <w:highlight w:val="green"/>
              </w:rPr>
              <w:t>Inf_</w:t>
            </w:r>
            <w:r w:rsidRPr="000E2EE3">
              <w:rPr>
                <w:szCs w:val="22"/>
                <w:highlight w:val="green"/>
                <w:lang w:val="en-US"/>
              </w:rPr>
              <w:t>Amn</w:t>
            </w:r>
            <w:r w:rsidRPr="000E2EE3">
              <w:rPr>
                <w:rStyle w:val="anegp0gi0b9av8jahpyh"/>
                <w:szCs w:val="22"/>
                <w:highlight w:val="green"/>
                <w:lang w:val="en-US"/>
              </w:rPr>
              <w:t>F</w:t>
            </w:r>
            <w:r w:rsidRPr="000E2EE3">
              <w:rPr>
                <w:rStyle w:val="anegp0gi0b9av8jahpyh"/>
                <w:szCs w:val="22"/>
                <w:highlight w:val="green"/>
              </w:rPr>
              <w:t>nds</w:t>
            </w:r>
            <w:r w:rsidRPr="000E2EE3">
              <w:rPr>
                <w:szCs w:val="22"/>
                <w:highlight w:val="green"/>
              </w:rPr>
              <w:t>_</w:t>
            </w:r>
            <w:r w:rsidRPr="000E2EE3">
              <w:rPr>
                <w:szCs w:val="22"/>
                <w:highlight w:val="green"/>
                <w:lang w:val="en-US"/>
              </w:rPr>
              <w:t>NPA</w:t>
            </w:r>
          </w:p>
        </w:tc>
        <w:tc>
          <w:tcPr>
            <w:tcW w:w="321" w:type="pct"/>
          </w:tcPr>
          <w:p w14:paraId="77D78127" w14:textId="77777777" w:rsidR="00900184" w:rsidRPr="000E2EE3" w:rsidRDefault="00900184" w:rsidP="00900184">
            <w:pPr>
              <w:pStyle w:val="GOSTTablenorm"/>
              <w:rPr>
                <w:b/>
                <w:szCs w:val="22"/>
              </w:rPr>
            </w:pPr>
            <w:r w:rsidRPr="000E2EE3">
              <w:rPr>
                <w:b/>
                <w:szCs w:val="22"/>
                <w:highlight w:val="green"/>
                <w:lang w:val="en-US"/>
              </w:rPr>
              <w:t>CO</w:t>
            </w:r>
          </w:p>
        </w:tc>
        <w:tc>
          <w:tcPr>
            <w:tcW w:w="379" w:type="pct"/>
          </w:tcPr>
          <w:p w14:paraId="2182C02A" w14:textId="77777777" w:rsidR="00900184" w:rsidRPr="000E2EE3" w:rsidRDefault="00900184" w:rsidP="00900184">
            <w:pPr>
              <w:pStyle w:val="GOSTTablenorm"/>
              <w:rPr>
                <w:szCs w:val="22"/>
              </w:rPr>
            </w:pPr>
            <w:r w:rsidRPr="000E2EE3">
              <w:rPr>
                <w:szCs w:val="22"/>
                <w:highlight w:val="green"/>
              </w:rPr>
              <w:t>1.0</w:t>
            </w:r>
          </w:p>
        </w:tc>
        <w:tc>
          <w:tcPr>
            <w:tcW w:w="379" w:type="pct"/>
          </w:tcPr>
          <w:p w14:paraId="3012BCA3" w14:textId="77777777" w:rsidR="00900184" w:rsidRPr="000E2EE3" w:rsidRDefault="00900184" w:rsidP="00900184">
            <w:pPr>
              <w:pStyle w:val="GOSTTablenorm"/>
              <w:rPr>
                <w:szCs w:val="22"/>
              </w:rPr>
            </w:pPr>
            <w:r>
              <w:rPr>
                <w:szCs w:val="22"/>
                <w:highlight w:val="green"/>
              </w:rPr>
              <w:t>3</w:t>
            </w:r>
            <w:r w:rsidRPr="000E2EE3">
              <w:rPr>
                <w:szCs w:val="22"/>
                <w:highlight w:val="green"/>
              </w:rPr>
              <w:t>7</w:t>
            </w:r>
            <w:r w:rsidRPr="002E0E1D">
              <w:rPr>
                <w:szCs w:val="22"/>
                <w:highlight w:val="green"/>
              </w:rPr>
              <w:t>.0</w:t>
            </w:r>
          </w:p>
        </w:tc>
        <w:tc>
          <w:tcPr>
            <w:tcW w:w="673" w:type="pct"/>
          </w:tcPr>
          <w:p w14:paraId="59DB8797" w14:textId="77777777" w:rsidR="00900184" w:rsidRPr="000E2EE3" w:rsidRDefault="00900184" w:rsidP="00900184">
            <w:pPr>
              <w:pStyle w:val="GOSTTablenorm"/>
              <w:rPr>
                <w:szCs w:val="22"/>
              </w:rPr>
            </w:pPr>
            <w:r w:rsidRPr="000E2EE3">
              <w:rPr>
                <w:szCs w:val="22"/>
                <w:highlight w:val="green"/>
              </w:rPr>
              <w:t>01.09.2025</w:t>
            </w:r>
          </w:p>
        </w:tc>
        <w:tc>
          <w:tcPr>
            <w:tcW w:w="663" w:type="pct"/>
          </w:tcPr>
          <w:p w14:paraId="55ED858B" w14:textId="77777777" w:rsidR="00900184" w:rsidRPr="000E2EE3" w:rsidRDefault="00900184" w:rsidP="00900184">
            <w:pPr>
              <w:pStyle w:val="GOSTTablenorm"/>
              <w:rPr>
                <w:szCs w:val="22"/>
              </w:rPr>
            </w:pPr>
            <w:r w:rsidRPr="000E2EE3">
              <w:rPr>
                <w:szCs w:val="22"/>
                <w:highlight w:val="green"/>
              </w:rPr>
              <w:t>-</w:t>
            </w:r>
          </w:p>
        </w:tc>
        <w:tc>
          <w:tcPr>
            <w:tcW w:w="1395" w:type="pct"/>
          </w:tcPr>
          <w:p w14:paraId="14290F99" w14:textId="77777777" w:rsidR="00900184" w:rsidRPr="000E2EE3" w:rsidRDefault="00900184" w:rsidP="00900184">
            <w:pPr>
              <w:pStyle w:val="GOSTTablenorm"/>
              <w:rPr>
                <w:szCs w:val="22"/>
              </w:rPr>
            </w:pPr>
            <w:r w:rsidRPr="000E2EE3">
              <w:rPr>
                <w:szCs w:val="22"/>
                <w:highlight w:val="green"/>
              </w:rPr>
              <w:t>Постановление Правительства РФ от 06.08.2020 № 1193 «О порядке осуществления контроля, предусмотренного частями 5 и 5.1 статьи 99 Федерального закона «О контрактной системе в сфере закупок товаров, работ, услуг для обеспечения государственных и муниципальных нужд», и об изменении и признании утратившими силу некоторых актов Правительства Российской Федерации» (вместе с «Правилами осуществления контроля, предусмотренного частями 5 и 5.1 статьи 99 Федерального закона «О контрактной системе в сфере закупок товаров, работ, услуг для обеспечения государственных и муниципальных нужд») (в редакции Постановления Правительства РФ от 31.10.2022 № 1946)</w:t>
            </w:r>
          </w:p>
        </w:tc>
      </w:tr>
    </w:tbl>
    <w:p w14:paraId="176147AD" w14:textId="77777777" w:rsidR="00AD1F54" w:rsidRPr="00264D5D" w:rsidRDefault="00941227">
      <w:pPr>
        <w:pStyle w:val="10"/>
        <w:jc w:val="both"/>
      </w:pPr>
      <w:bookmarkStart w:id="87" w:name="_Toc219309433"/>
      <w:r w:rsidRPr="00264D5D">
        <w:lastRenderedPageBreak/>
        <w:t>Описание информационного взаимодействия</w:t>
      </w:r>
      <w:bookmarkEnd w:id="76"/>
      <w:bookmarkEnd w:id="77"/>
      <w:bookmarkEnd w:id="78"/>
      <w:bookmarkEnd w:id="87"/>
    </w:p>
    <w:p w14:paraId="0A076449" w14:textId="77777777" w:rsidR="00AD1F54" w:rsidRPr="00264D5D" w:rsidRDefault="00941227">
      <w:pPr>
        <w:pStyle w:val="22"/>
      </w:pPr>
      <w:bookmarkStart w:id="88" w:name="_Toc519868383"/>
      <w:bookmarkStart w:id="89" w:name="_Toc519869815"/>
      <w:bookmarkStart w:id="90" w:name="_Toc520195812"/>
      <w:bookmarkStart w:id="91" w:name="_Toc520196430"/>
      <w:bookmarkStart w:id="92" w:name="_Toc520196739"/>
      <w:bookmarkStart w:id="93" w:name="_Toc519868385"/>
      <w:bookmarkStart w:id="94" w:name="_Toc519869817"/>
      <w:bookmarkStart w:id="95" w:name="_Toc520195814"/>
      <w:bookmarkStart w:id="96" w:name="_Toc520196432"/>
      <w:bookmarkStart w:id="97" w:name="_Toc520196741"/>
      <w:bookmarkStart w:id="98" w:name="_Toc519868386"/>
      <w:bookmarkStart w:id="99" w:name="_Toc519869818"/>
      <w:bookmarkStart w:id="100" w:name="_Toc520195815"/>
      <w:bookmarkStart w:id="101" w:name="_Toc520196433"/>
      <w:bookmarkStart w:id="102" w:name="_Toc520196742"/>
      <w:bookmarkStart w:id="103" w:name="_Toc519868387"/>
      <w:bookmarkStart w:id="104" w:name="_Toc519869819"/>
      <w:bookmarkStart w:id="105" w:name="_Toc520195816"/>
      <w:bookmarkStart w:id="106" w:name="_Toc520196434"/>
      <w:bookmarkStart w:id="107" w:name="_Toc520196743"/>
      <w:bookmarkStart w:id="108" w:name="_Toc519868388"/>
      <w:bookmarkStart w:id="109" w:name="_Toc519869820"/>
      <w:bookmarkStart w:id="110" w:name="_Toc520195817"/>
      <w:bookmarkStart w:id="111" w:name="_Toc520196435"/>
      <w:bookmarkStart w:id="112" w:name="_Toc520196744"/>
      <w:bookmarkStart w:id="113" w:name="_Toc519868389"/>
      <w:bookmarkStart w:id="114" w:name="_Toc519869821"/>
      <w:bookmarkStart w:id="115" w:name="_Toc520195818"/>
      <w:bookmarkStart w:id="116" w:name="_Toc520196436"/>
      <w:bookmarkStart w:id="117" w:name="_Toc520196745"/>
      <w:bookmarkStart w:id="118" w:name="_Toc464771354"/>
      <w:bookmarkStart w:id="119" w:name="_Toc411519871"/>
      <w:bookmarkStart w:id="120" w:name="_Toc411520052"/>
      <w:bookmarkStart w:id="121" w:name="_Toc411939503"/>
      <w:bookmarkStart w:id="122" w:name="_Toc411941177"/>
      <w:bookmarkStart w:id="123" w:name="_Toc411941940"/>
      <w:bookmarkStart w:id="124" w:name="_Toc411950422"/>
      <w:bookmarkStart w:id="125" w:name="_Toc412044883"/>
      <w:bookmarkStart w:id="126" w:name="_Toc412046668"/>
      <w:bookmarkStart w:id="127" w:name="_Toc414434179"/>
      <w:bookmarkStart w:id="128" w:name="_Toc415757381"/>
      <w:bookmarkStart w:id="129" w:name="_Toc415758041"/>
      <w:bookmarkStart w:id="130" w:name="_Toc415758187"/>
      <w:bookmarkStart w:id="131" w:name="_Toc416168755"/>
      <w:bookmarkStart w:id="132" w:name="_Toc416180739"/>
      <w:bookmarkStart w:id="133" w:name="_Toc416180987"/>
      <w:bookmarkStart w:id="134" w:name="_Toc416181109"/>
      <w:bookmarkStart w:id="135" w:name="_Toc416181229"/>
      <w:bookmarkStart w:id="136" w:name="_Toc416181350"/>
      <w:bookmarkStart w:id="137" w:name="_Toc416181617"/>
      <w:bookmarkStart w:id="138" w:name="_Toc416181738"/>
      <w:bookmarkStart w:id="139" w:name="_Toc219309434"/>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r w:rsidRPr="00264D5D">
        <w:t>Версионность сообщений</w:t>
      </w:r>
      <w:bookmarkEnd w:id="139"/>
    </w:p>
    <w:p w14:paraId="589EECFB" w14:textId="38BD99D8" w:rsidR="00AD1F54" w:rsidRPr="00264D5D" w:rsidRDefault="00941227">
      <w:pPr>
        <w:pStyle w:val="OTRNormal"/>
        <w:rPr>
          <w:sz w:val="24"/>
          <w:szCs w:val="24"/>
        </w:rPr>
      </w:pPr>
      <w:r w:rsidRPr="00264D5D">
        <w:rPr>
          <w:sz w:val="24"/>
          <w:szCs w:val="24"/>
        </w:rPr>
        <w:t xml:space="preserve">Поддержка версионности документов осуществляется добавлением атрибута с номером версии в состав элемента «formular». Информация о номере версии формата проставляется согласно таблице </w:t>
      </w:r>
      <w:r w:rsidRPr="00264D5D">
        <w:rPr>
          <w:sz w:val="24"/>
          <w:szCs w:val="24"/>
        </w:rPr>
        <w:fldChar w:fldCharType="begin"/>
      </w:r>
      <w:r w:rsidRPr="00264D5D">
        <w:rPr>
          <w:sz w:val="24"/>
          <w:szCs w:val="24"/>
        </w:rPr>
        <w:instrText xml:space="preserve"> REF _Ref19881821 \h  \* MERGEFORMAT </w:instrText>
      </w:r>
      <w:r w:rsidRPr="00264D5D">
        <w:rPr>
          <w:sz w:val="24"/>
          <w:szCs w:val="24"/>
        </w:rPr>
      </w:r>
      <w:r w:rsidRPr="00264D5D">
        <w:rPr>
          <w:sz w:val="24"/>
          <w:szCs w:val="24"/>
        </w:rPr>
        <w:fldChar w:fldCharType="separate"/>
      </w:r>
      <w:r w:rsidR="008D797C" w:rsidRPr="008D797C">
        <w:rPr>
          <w:sz w:val="24"/>
          <w:szCs w:val="24"/>
        </w:rPr>
        <w:t>2</w:t>
      </w:r>
      <w:r w:rsidRPr="00264D5D">
        <w:rPr>
          <w:sz w:val="24"/>
          <w:szCs w:val="24"/>
        </w:rPr>
        <w:fldChar w:fldCharType="end"/>
      </w:r>
      <w:r w:rsidRPr="00264D5D">
        <w:rPr>
          <w:sz w:val="24"/>
          <w:szCs w:val="24"/>
        </w:rPr>
        <w:t>.</w:t>
      </w:r>
    </w:p>
    <w:p w14:paraId="63F63651" w14:textId="77777777" w:rsidR="00AD1F54" w:rsidRPr="00264D5D" w:rsidRDefault="00941227">
      <w:pPr>
        <w:pStyle w:val="22"/>
      </w:pPr>
      <w:bookmarkStart w:id="140" w:name="_Toc364869004"/>
      <w:bookmarkStart w:id="141" w:name="_Toc366759401"/>
      <w:bookmarkStart w:id="142" w:name="_Toc411507337"/>
      <w:bookmarkStart w:id="143" w:name="_Toc219309435"/>
      <w:bookmarkEnd w:id="79"/>
      <w:bookmarkEnd w:id="80"/>
      <w:bookmarkEnd w:id="81"/>
      <w:r w:rsidRPr="00264D5D">
        <w:t xml:space="preserve">Кодировка </w:t>
      </w:r>
      <w:bookmarkEnd w:id="140"/>
      <w:bookmarkEnd w:id="141"/>
      <w:bookmarkEnd w:id="142"/>
      <w:r w:rsidRPr="00264D5D">
        <w:t>сообщений</w:t>
      </w:r>
      <w:bookmarkEnd w:id="143"/>
    </w:p>
    <w:p w14:paraId="778EB928" w14:textId="5F155C75" w:rsidR="00AD1F54" w:rsidRPr="00264D5D" w:rsidRDefault="00941227">
      <w:pPr>
        <w:pStyle w:val="OTRNormal"/>
        <w:rPr>
          <w:sz w:val="24"/>
          <w:szCs w:val="24"/>
        </w:rPr>
      </w:pPr>
      <w:r w:rsidRPr="00264D5D">
        <w:rPr>
          <w:sz w:val="24"/>
          <w:szCs w:val="24"/>
        </w:rPr>
        <w:t xml:space="preserve">Документы, перечисленные в п. </w:t>
      </w:r>
      <w:r w:rsidRPr="00264D5D">
        <w:rPr>
          <w:sz w:val="24"/>
          <w:szCs w:val="24"/>
        </w:rPr>
        <w:fldChar w:fldCharType="begin"/>
      </w:r>
      <w:r w:rsidRPr="00264D5D">
        <w:rPr>
          <w:sz w:val="24"/>
          <w:szCs w:val="24"/>
        </w:rPr>
        <w:instrText xml:space="preserve"> REF _Ref19882162 \r \h  \* MERGEFORMAT </w:instrText>
      </w:r>
      <w:r w:rsidRPr="00264D5D">
        <w:rPr>
          <w:sz w:val="24"/>
          <w:szCs w:val="24"/>
        </w:rPr>
      </w:r>
      <w:r w:rsidRPr="00264D5D">
        <w:rPr>
          <w:sz w:val="24"/>
          <w:szCs w:val="24"/>
        </w:rPr>
        <w:fldChar w:fldCharType="separate"/>
      </w:r>
      <w:r w:rsidR="008D797C">
        <w:rPr>
          <w:sz w:val="24"/>
          <w:szCs w:val="24"/>
        </w:rPr>
        <w:t>3</w:t>
      </w:r>
      <w:r w:rsidRPr="00264D5D">
        <w:rPr>
          <w:sz w:val="24"/>
          <w:szCs w:val="24"/>
        </w:rPr>
        <w:fldChar w:fldCharType="end"/>
      </w:r>
      <w:r w:rsidRPr="00264D5D">
        <w:rPr>
          <w:sz w:val="24"/>
          <w:szCs w:val="24"/>
        </w:rPr>
        <w:t xml:space="preserve">, должны содержать пролог с указанием кодировки: </w:t>
      </w:r>
    </w:p>
    <w:p w14:paraId="39623DC6" w14:textId="77777777" w:rsidR="00AD1F54" w:rsidRPr="00264D5D" w:rsidRDefault="00941227">
      <w:pPr>
        <w:pStyle w:val="OTRNormal"/>
        <w:rPr>
          <w:sz w:val="24"/>
          <w:szCs w:val="24"/>
        </w:rPr>
      </w:pPr>
      <w:r w:rsidRPr="00264D5D">
        <w:rPr>
          <w:sz w:val="24"/>
          <w:szCs w:val="24"/>
        </w:rPr>
        <w:t>&lt;?xml version ="1.0" encoding="UTF-8"?&gt;</w:t>
      </w:r>
    </w:p>
    <w:p w14:paraId="08E8B3B8" w14:textId="77777777" w:rsidR="00AD1F54" w:rsidRPr="00264D5D" w:rsidRDefault="00941227">
      <w:pPr>
        <w:pStyle w:val="22"/>
      </w:pPr>
      <w:bookmarkStart w:id="144" w:name="_Toc464771357"/>
      <w:bookmarkStart w:id="145" w:name="_Toc519610656"/>
      <w:bookmarkStart w:id="146" w:name="_Toc519868393"/>
      <w:bookmarkStart w:id="147" w:name="_Toc519869825"/>
      <w:bookmarkStart w:id="148" w:name="_Toc520195822"/>
      <w:bookmarkStart w:id="149" w:name="_Toc520196440"/>
      <w:bookmarkStart w:id="150" w:name="_Toc520196749"/>
      <w:bookmarkStart w:id="151" w:name="_Toc411939510"/>
      <w:bookmarkStart w:id="152" w:name="_Toc411941184"/>
      <w:bookmarkStart w:id="153" w:name="_Toc411941947"/>
      <w:bookmarkStart w:id="154" w:name="_Toc411950429"/>
      <w:bookmarkStart w:id="155" w:name="_Toc412044891"/>
      <w:bookmarkStart w:id="156" w:name="_Toc412046676"/>
      <w:bookmarkStart w:id="157" w:name="_Toc414434187"/>
      <w:bookmarkStart w:id="158" w:name="_Toc415757389"/>
      <w:bookmarkStart w:id="159" w:name="_Toc415758049"/>
      <w:bookmarkStart w:id="160" w:name="_Toc415758195"/>
      <w:bookmarkStart w:id="161" w:name="_Toc416168763"/>
      <w:bookmarkStart w:id="162" w:name="_Toc416180747"/>
      <w:bookmarkStart w:id="163" w:name="_Toc416180995"/>
      <w:bookmarkStart w:id="164" w:name="_Toc416181117"/>
      <w:bookmarkStart w:id="165" w:name="_Toc416181237"/>
      <w:bookmarkStart w:id="166" w:name="_Toc416181358"/>
      <w:bookmarkStart w:id="167" w:name="_Toc416181625"/>
      <w:bookmarkStart w:id="168" w:name="_Toc416181746"/>
      <w:bookmarkStart w:id="169" w:name="_Toc517363311"/>
      <w:bookmarkStart w:id="170" w:name="_Toc517363889"/>
      <w:bookmarkStart w:id="171" w:name="_Toc517439789"/>
      <w:bookmarkStart w:id="172" w:name="_Toc517681158"/>
      <w:bookmarkStart w:id="173" w:name="_Toc517733397"/>
      <w:bookmarkStart w:id="174" w:name="_Toc517733690"/>
      <w:bookmarkStart w:id="175" w:name="_Toc519610659"/>
      <w:bookmarkStart w:id="176" w:name="_Toc519868396"/>
      <w:bookmarkStart w:id="177" w:name="_Toc519869828"/>
      <w:bookmarkStart w:id="178" w:name="_Toc520195825"/>
      <w:bookmarkStart w:id="179" w:name="_Toc520196443"/>
      <w:bookmarkStart w:id="180" w:name="_Toc520196752"/>
      <w:bookmarkStart w:id="181" w:name="_Toc517363312"/>
      <w:bookmarkStart w:id="182" w:name="_Toc517363890"/>
      <w:bookmarkStart w:id="183" w:name="_Toc517439790"/>
      <w:bookmarkStart w:id="184" w:name="_Toc517681159"/>
      <w:bookmarkStart w:id="185" w:name="_Toc517733398"/>
      <w:bookmarkStart w:id="186" w:name="_Toc517733691"/>
      <w:bookmarkStart w:id="187" w:name="_Toc519610660"/>
      <w:bookmarkStart w:id="188" w:name="_Toc519868397"/>
      <w:bookmarkStart w:id="189" w:name="_Toc519869829"/>
      <w:bookmarkStart w:id="190" w:name="_Toc520195826"/>
      <w:bookmarkStart w:id="191" w:name="_Toc520196444"/>
      <w:bookmarkStart w:id="192" w:name="_Toc520196753"/>
      <w:bookmarkStart w:id="193" w:name="_Toc517363314"/>
      <w:bookmarkStart w:id="194" w:name="_Toc517363892"/>
      <w:bookmarkStart w:id="195" w:name="_Toc517439792"/>
      <w:bookmarkStart w:id="196" w:name="_Toc517681161"/>
      <w:bookmarkStart w:id="197" w:name="_Toc517733400"/>
      <w:bookmarkStart w:id="198" w:name="_Toc517733693"/>
      <w:bookmarkStart w:id="199" w:name="_Toc519610662"/>
      <w:bookmarkStart w:id="200" w:name="_Toc519868399"/>
      <w:bookmarkStart w:id="201" w:name="_Toc519869831"/>
      <w:bookmarkStart w:id="202" w:name="_Toc520195828"/>
      <w:bookmarkStart w:id="203" w:name="_Toc520196446"/>
      <w:bookmarkStart w:id="204" w:name="_Toc520196755"/>
      <w:bookmarkStart w:id="205" w:name="_Toc517363319"/>
      <w:bookmarkStart w:id="206" w:name="_Toc517363897"/>
      <w:bookmarkStart w:id="207" w:name="_Toc517439797"/>
      <w:bookmarkStart w:id="208" w:name="_Toc517681166"/>
      <w:bookmarkStart w:id="209" w:name="_Toc517733405"/>
      <w:bookmarkStart w:id="210" w:name="_Toc517733698"/>
      <w:bookmarkStart w:id="211" w:name="_Toc519610667"/>
      <w:bookmarkStart w:id="212" w:name="_Toc519868404"/>
      <w:bookmarkStart w:id="213" w:name="_Toc519869836"/>
      <w:bookmarkStart w:id="214" w:name="_Toc520195833"/>
      <w:bookmarkStart w:id="215" w:name="_Toc520196451"/>
      <w:bookmarkStart w:id="216" w:name="_Toc520196760"/>
      <w:bookmarkStart w:id="217" w:name="_Toc517363321"/>
      <w:bookmarkStart w:id="218" w:name="_Toc517363899"/>
      <w:bookmarkStart w:id="219" w:name="_Toc517439799"/>
      <w:bookmarkStart w:id="220" w:name="_Toc517681168"/>
      <w:bookmarkStart w:id="221" w:name="_Toc517733407"/>
      <w:bookmarkStart w:id="222" w:name="_Toc517733700"/>
      <w:bookmarkStart w:id="223" w:name="_Toc519610669"/>
      <w:bookmarkStart w:id="224" w:name="_Toc519868406"/>
      <w:bookmarkStart w:id="225" w:name="_Toc519869838"/>
      <w:bookmarkStart w:id="226" w:name="_Toc520195835"/>
      <w:bookmarkStart w:id="227" w:name="_Toc520196453"/>
      <w:bookmarkStart w:id="228" w:name="_Toc520196762"/>
      <w:bookmarkStart w:id="229" w:name="_Toc517363322"/>
      <w:bookmarkStart w:id="230" w:name="_Toc517363900"/>
      <w:bookmarkStart w:id="231" w:name="_Toc517439800"/>
      <w:bookmarkStart w:id="232" w:name="_Toc517681169"/>
      <w:bookmarkStart w:id="233" w:name="_Toc517733408"/>
      <w:bookmarkStart w:id="234" w:name="_Toc517733701"/>
      <w:bookmarkStart w:id="235" w:name="_Toc519610670"/>
      <w:bookmarkStart w:id="236" w:name="_Toc519868407"/>
      <w:bookmarkStart w:id="237" w:name="_Toc519869839"/>
      <w:bookmarkStart w:id="238" w:name="_Toc520195836"/>
      <w:bookmarkStart w:id="239" w:name="_Toc520196454"/>
      <w:bookmarkStart w:id="240" w:name="_Toc520196763"/>
      <w:bookmarkStart w:id="241" w:name="_Toc517363326"/>
      <w:bookmarkStart w:id="242" w:name="_Toc517363904"/>
      <w:bookmarkStart w:id="243" w:name="_Toc517439804"/>
      <w:bookmarkStart w:id="244" w:name="_Toc517681173"/>
      <w:bookmarkStart w:id="245" w:name="_Toc517733412"/>
      <w:bookmarkStart w:id="246" w:name="_Toc517733705"/>
      <w:bookmarkStart w:id="247" w:name="_Toc519610674"/>
      <w:bookmarkStart w:id="248" w:name="_Toc519868411"/>
      <w:bookmarkStart w:id="249" w:name="_Toc519869843"/>
      <w:bookmarkStart w:id="250" w:name="_Toc520195840"/>
      <w:bookmarkStart w:id="251" w:name="_Toc520196458"/>
      <w:bookmarkStart w:id="252" w:name="_Toc520196767"/>
      <w:bookmarkStart w:id="253" w:name="_Toc517363328"/>
      <w:bookmarkStart w:id="254" w:name="_Toc517363906"/>
      <w:bookmarkStart w:id="255" w:name="_Toc517439806"/>
      <w:bookmarkStart w:id="256" w:name="_Toc517681175"/>
      <w:bookmarkStart w:id="257" w:name="_Toc517733414"/>
      <w:bookmarkStart w:id="258" w:name="_Toc517733707"/>
      <w:bookmarkStart w:id="259" w:name="_Toc519610676"/>
      <w:bookmarkStart w:id="260" w:name="_Toc519868413"/>
      <w:bookmarkStart w:id="261" w:name="_Toc519869845"/>
      <w:bookmarkStart w:id="262" w:name="_Toc520195842"/>
      <w:bookmarkStart w:id="263" w:name="_Toc520196460"/>
      <w:bookmarkStart w:id="264" w:name="_Toc520196769"/>
      <w:bookmarkStart w:id="265" w:name="_Toc517363330"/>
      <w:bookmarkStart w:id="266" w:name="_Toc517363908"/>
      <w:bookmarkStart w:id="267" w:name="_Toc517439808"/>
      <w:bookmarkStart w:id="268" w:name="_Toc517681177"/>
      <w:bookmarkStart w:id="269" w:name="_Toc517733416"/>
      <w:bookmarkStart w:id="270" w:name="_Toc517733709"/>
      <w:bookmarkStart w:id="271" w:name="_Toc519610678"/>
      <w:bookmarkStart w:id="272" w:name="_Toc519868415"/>
      <w:bookmarkStart w:id="273" w:name="_Toc519869847"/>
      <w:bookmarkStart w:id="274" w:name="_Toc520195844"/>
      <w:bookmarkStart w:id="275" w:name="_Toc520196462"/>
      <w:bookmarkStart w:id="276" w:name="_Toc520196771"/>
      <w:bookmarkStart w:id="277" w:name="_Toc517363331"/>
      <w:bookmarkStart w:id="278" w:name="_Toc517363909"/>
      <w:bookmarkStart w:id="279" w:name="_Toc517439809"/>
      <w:bookmarkStart w:id="280" w:name="_Toc517681178"/>
      <w:bookmarkStart w:id="281" w:name="_Toc517733417"/>
      <w:bookmarkStart w:id="282" w:name="_Toc517733710"/>
      <w:bookmarkStart w:id="283" w:name="_Toc519610679"/>
      <w:bookmarkStart w:id="284" w:name="_Toc519868416"/>
      <w:bookmarkStart w:id="285" w:name="_Toc519869848"/>
      <w:bookmarkStart w:id="286" w:name="_Toc520195845"/>
      <w:bookmarkStart w:id="287" w:name="_Toc520196463"/>
      <w:bookmarkStart w:id="288" w:name="_Toc520196772"/>
      <w:bookmarkStart w:id="289" w:name="_Toc517363332"/>
      <w:bookmarkStart w:id="290" w:name="_Toc517363910"/>
      <w:bookmarkStart w:id="291" w:name="_Toc517439810"/>
      <w:bookmarkStart w:id="292" w:name="_Toc517681179"/>
      <w:bookmarkStart w:id="293" w:name="_Toc517733418"/>
      <w:bookmarkStart w:id="294" w:name="_Toc517733711"/>
      <w:bookmarkStart w:id="295" w:name="_Toc519610680"/>
      <w:bookmarkStart w:id="296" w:name="_Toc519868417"/>
      <w:bookmarkStart w:id="297" w:name="_Toc519869849"/>
      <w:bookmarkStart w:id="298" w:name="_Toc520195846"/>
      <w:bookmarkStart w:id="299" w:name="_Toc520196464"/>
      <w:bookmarkStart w:id="300" w:name="_Toc520196773"/>
      <w:bookmarkStart w:id="301" w:name="_Toc411939531"/>
      <w:bookmarkStart w:id="302" w:name="_Toc411941205"/>
      <w:bookmarkStart w:id="303" w:name="_Toc411941952"/>
      <w:bookmarkStart w:id="304" w:name="_Toc411950434"/>
      <w:bookmarkStart w:id="305" w:name="_Toc412046680"/>
      <w:bookmarkStart w:id="306" w:name="_Toc414434191"/>
      <w:bookmarkStart w:id="307" w:name="_Toc415757393"/>
      <w:bookmarkStart w:id="308" w:name="_Toc415758053"/>
      <w:bookmarkStart w:id="309" w:name="_Toc415758199"/>
      <w:bookmarkStart w:id="310" w:name="_Toc412046681"/>
      <w:bookmarkStart w:id="311" w:name="_Toc414434192"/>
      <w:bookmarkStart w:id="312" w:name="_Toc415757394"/>
      <w:bookmarkStart w:id="313" w:name="_Toc415758054"/>
      <w:bookmarkStart w:id="314" w:name="_Toc415758200"/>
      <w:bookmarkStart w:id="315" w:name="_Toc412046682"/>
      <w:bookmarkStart w:id="316" w:name="_Toc414434193"/>
      <w:bookmarkStart w:id="317" w:name="_Toc415757395"/>
      <w:bookmarkStart w:id="318" w:name="_Toc415758055"/>
      <w:bookmarkStart w:id="319" w:name="_Toc415758201"/>
      <w:bookmarkStart w:id="320" w:name="_Toc464771360"/>
      <w:bookmarkStart w:id="321" w:name="_Toc385601826"/>
      <w:bookmarkStart w:id="322" w:name="_Toc385601827"/>
      <w:bookmarkStart w:id="323" w:name="_Toc411507338"/>
      <w:bookmarkStart w:id="324" w:name="_Toc219309436"/>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r w:rsidRPr="00264D5D">
        <w:t>Описание сообщения обмена</w:t>
      </w:r>
      <w:bookmarkEnd w:id="323"/>
      <w:bookmarkEnd w:id="324"/>
    </w:p>
    <w:p w14:paraId="624344B3" w14:textId="72E5D650" w:rsidR="00AD1F54" w:rsidRPr="00264D5D" w:rsidRDefault="00941227">
      <w:pPr>
        <w:pStyle w:val="affffff9"/>
        <w:spacing w:before="60" w:after="120"/>
        <w:ind w:firstLine="567"/>
        <w:rPr>
          <w:rFonts w:eastAsia="Calibri"/>
        </w:rPr>
      </w:pPr>
      <w:r w:rsidRPr="00264D5D">
        <w:rPr>
          <w:rFonts w:eastAsia="Calibri"/>
        </w:rPr>
        <w:t xml:space="preserve">Логическая модель сообщения обмена представлена в виде текстового описания структуры сообщения настоящего формата. Элементами логической модели сообщения обмена являются элементы </w:t>
      </w:r>
      <w:r w:rsidRPr="00264D5D">
        <w:rPr>
          <w:rFonts w:eastAsia="Calibri"/>
          <w:lang w:val="en-US"/>
        </w:rPr>
        <w:t>xml</w:t>
      </w:r>
      <w:r w:rsidRPr="00264D5D">
        <w:rPr>
          <w:rFonts w:eastAsia="Calibri"/>
        </w:rPr>
        <w:t xml:space="preserve">-сообщения. Перечень структурных элементов логической модели сообщения обмена и сведения о них приведены в таблицах </w:t>
      </w:r>
      <w:r w:rsidRPr="00264D5D">
        <w:rPr>
          <w:rFonts w:eastAsia="Calibri"/>
        </w:rPr>
        <w:fldChar w:fldCharType="begin"/>
      </w:r>
      <w:r w:rsidRPr="00264D5D">
        <w:rPr>
          <w:rFonts w:eastAsia="Calibri"/>
        </w:rPr>
        <w:instrText xml:space="preserve"> REF _Ref411950392 \h  \* MERGEFORMAT </w:instrText>
      </w:r>
      <w:r w:rsidRPr="00264D5D">
        <w:rPr>
          <w:rFonts w:eastAsia="Calibri"/>
        </w:rPr>
      </w:r>
      <w:r w:rsidRPr="00264D5D">
        <w:rPr>
          <w:rFonts w:eastAsia="Calibri"/>
        </w:rPr>
        <w:fldChar w:fldCharType="separate"/>
      </w:r>
      <w:r w:rsidR="008D797C">
        <w:rPr>
          <w:rFonts w:eastAsia="Calibri"/>
        </w:rPr>
        <w:t>7</w:t>
      </w:r>
      <w:r w:rsidRPr="00264D5D">
        <w:rPr>
          <w:rFonts w:eastAsia="Calibri"/>
        </w:rPr>
        <w:fldChar w:fldCharType="end"/>
      </w:r>
      <w:r w:rsidRPr="00264D5D">
        <w:rPr>
          <w:rFonts w:eastAsia="Calibri"/>
        </w:rPr>
        <w:t xml:space="preserve"> – </w:t>
      </w:r>
      <w:r w:rsidRPr="00264D5D">
        <w:rPr>
          <w:rFonts w:eastAsia="Calibri"/>
        </w:rPr>
        <w:fldChar w:fldCharType="begin"/>
      </w:r>
      <w:r w:rsidRPr="00264D5D">
        <w:rPr>
          <w:rFonts w:eastAsia="Calibri"/>
        </w:rPr>
        <w:instrText xml:space="preserve"> REF _Ref436243798 \h  \* MERGEFORMAT </w:instrText>
      </w:r>
      <w:r w:rsidRPr="00264D5D">
        <w:rPr>
          <w:rFonts w:eastAsia="Calibri"/>
        </w:rPr>
      </w:r>
      <w:r w:rsidRPr="00264D5D">
        <w:rPr>
          <w:rFonts w:eastAsia="Calibri"/>
        </w:rPr>
        <w:fldChar w:fldCharType="separate"/>
      </w:r>
      <w:r w:rsidR="008D797C" w:rsidRPr="008D797C">
        <w:t>13</w:t>
      </w:r>
      <w:r w:rsidRPr="00264D5D">
        <w:rPr>
          <w:rFonts w:eastAsia="Calibri"/>
        </w:rPr>
        <w:fldChar w:fldCharType="end"/>
      </w:r>
      <w:r w:rsidRPr="00264D5D">
        <w:rPr>
          <w:rFonts w:eastAsia="Calibri"/>
          <w:b/>
        </w:rPr>
        <w:t xml:space="preserve"> </w:t>
      </w:r>
      <w:r w:rsidRPr="00264D5D">
        <w:rPr>
          <w:rFonts w:eastAsia="Calibri"/>
        </w:rPr>
        <w:t>настоящего формата.</w:t>
      </w:r>
    </w:p>
    <w:p w14:paraId="49AF8355" w14:textId="77777777" w:rsidR="00AD1F54" w:rsidRPr="00264D5D" w:rsidRDefault="00941227">
      <w:pPr>
        <w:pStyle w:val="affffff9"/>
        <w:spacing w:before="60" w:after="120"/>
        <w:ind w:firstLine="567"/>
        <w:rPr>
          <w:rFonts w:eastAsia="Calibri"/>
        </w:rPr>
      </w:pPr>
      <w:r w:rsidRPr="00264D5D">
        <w:rPr>
          <w:rFonts w:eastAsia="Calibri"/>
        </w:rPr>
        <w:t>Для каждого структурного элемента логической модели сообщения обмена приводятся следующие сведения:</w:t>
      </w:r>
    </w:p>
    <w:p w14:paraId="6D4E3AD4" w14:textId="77777777" w:rsidR="00AD1F54" w:rsidRPr="00264D5D" w:rsidRDefault="00941227" w:rsidP="00941227">
      <w:pPr>
        <w:pStyle w:val="a0"/>
        <w:numPr>
          <w:ilvl w:val="0"/>
          <w:numId w:val="52"/>
        </w:numPr>
        <w:spacing w:before="60" w:after="120"/>
        <w:ind w:left="714" w:hanging="357"/>
        <w:rPr>
          <w:rFonts w:eastAsia="Calibri"/>
        </w:rPr>
      </w:pPr>
      <w:r w:rsidRPr="00264D5D">
        <w:rPr>
          <w:rFonts w:eastAsia="Calibri"/>
          <w:i/>
        </w:rPr>
        <w:t xml:space="preserve">наименование элемента. </w:t>
      </w:r>
      <w:r w:rsidRPr="00264D5D">
        <w:rPr>
          <w:rFonts w:eastAsia="Calibri"/>
        </w:rPr>
        <w:t>Приводится полное наименование элемента;</w:t>
      </w:r>
    </w:p>
    <w:p w14:paraId="6D33C6E2" w14:textId="77777777" w:rsidR="00AD1F54" w:rsidRPr="00264D5D" w:rsidRDefault="00941227" w:rsidP="00941227">
      <w:pPr>
        <w:pStyle w:val="a0"/>
        <w:numPr>
          <w:ilvl w:val="0"/>
          <w:numId w:val="52"/>
        </w:numPr>
        <w:spacing w:before="60" w:after="120"/>
        <w:ind w:left="714" w:hanging="357"/>
        <w:rPr>
          <w:rFonts w:eastAsia="Calibri"/>
        </w:rPr>
      </w:pPr>
      <w:r w:rsidRPr="00264D5D">
        <w:rPr>
          <w:rFonts w:eastAsia="Calibri"/>
          <w:i/>
        </w:rPr>
        <w:t xml:space="preserve">сокращенное наименование (код) элемента. </w:t>
      </w:r>
      <w:r w:rsidRPr="00264D5D">
        <w:rPr>
          <w:rFonts w:eastAsia="Calibri"/>
        </w:rPr>
        <w:t xml:space="preserve">Приводится сокращенное наименование элемента. Синтаксис сокращенного наименования должен удовлетворять спецификации XML; </w:t>
      </w:r>
    </w:p>
    <w:p w14:paraId="7661AD48" w14:textId="77777777" w:rsidR="00AD1F54" w:rsidRPr="00264D5D" w:rsidRDefault="00941227" w:rsidP="00941227">
      <w:pPr>
        <w:pStyle w:val="a0"/>
        <w:numPr>
          <w:ilvl w:val="0"/>
          <w:numId w:val="52"/>
        </w:numPr>
        <w:spacing w:before="60" w:after="120"/>
        <w:ind w:left="714" w:hanging="357"/>
        <w:rPr>
          <w:rFonts w:eastAsia="Calibri"/>
        </w:rPr>
      </w:pPr>
      <w:r w:rsidRPr="00264D5D">
        <w:rPr>
          <w:rFonts w:eastAsia="Calibri"/>
          <w:i/>
        </w:rPr>
        <w:t xml:space="preserve">тип элемента. </w:t>
      </w:r>
      <w:r w:rsidRPr="00264D5D">
        <w:rPr>
          <w:rFonts w:eastAsia="Calibri"/>
        </w:rPr>
        <w:t xml:space="preserve">Может принимать следующие значения: «С» – сложный (составной) элемент логической модели, содержит вложенные элементы, «П» – простой элемент логической модели, не содержит вложенные элементы, «А» </w:t>
      </w:r>
      <w:r w:rsidRPr="00264D5D">
        <w:t xml:space="preserve">– </w:t>
      </w:r>
      <w:r w:rsidRPr="00264D5D">
        <w:rPr>
          <w:rFonts w:eastAsia="Calibri"/>
        </w:rPr>
        <w:t>атрибут;</w:t>
      </w:r>
    </w:p>
    <w:p w14:paraId="1C4193A0" w14:textId="77777777" w:rsidR="00AD1F54" w:rsidRPr="00264D5D" w:rsidRDefault="00941227" w:rsidP="00941227">
      <w:pPr>
        <w:pStyle w:val="a0"/>
        <w:numPr>
          <w:ilvl w:val="0"/>
          <w:numId w:val="52"/>
        </w:numPr>
        <w:spacing w:before="60" w:after="120"/>
        <w:rPr>
          <w:rFonts w:eastAsia="Calibri"/>
        </w:rPr>
      </w:pPr>
      <w:r w:rsidRPr="00264D5D">
        <w:rPr>
          <w:rFonts w:eastAsia="Calibri"/>
          <w:i/>
        </w:rPr>
        <w:t>формат элемента.</w:t>
      </w:r>
      <w:r w:rsidRPr="00264D5D">
        <w:rPr>
          <w:rFonts w:eastAsia="Calibri"/>
        </w:rPr>
        <w:t xml:space="preserve"> Формат элемента представляется следующими условными обозначениями: Т – строка</w:t>
      </w:r>
      <w:r w:rsidRPr="00264D5D">
        <w:t xml:space="preserve"> </w:t>
      </w:r>
      <w:r w:rsidRPr="00264D5D">
        <w:rPr>
          <w:rFonts w:eastAsia="Calibri"/>
        </w:rPr>
        <w:t>символов без пробелов в начале и в конце, допустимые символы ASCII 9, 10, с 32 по 59, 61, с 63 по 126, 168, 184, 185 и с 192 по 255, недопустимые символы могут быть заменены их кодами, например, символ «&lt;» заменяется кодом «&amp;lt;», символ «&gt;»</w:t>
      </w:r>
      <w:r w:rsidR="005A204F" w:rsidRPr="00264D5D">
        <w:rPr>
          <w:rFonts w:eastAsia="Calibri"/>
        </w:rPr>
        <w:t xml:space="preserve"> </w:t>
      </w:r>
      <w:r w:rsidRPr="00264D5D">
        <w:rPr>
          <w:rFonts w:eastAsia="Calibri"/>
        </w:rPr>
        <w:t xml:space="preserve">заменяется кодом «&amp;gt;»; N – числовое значение (целое или дробное). Формат символьной строки указывается в виде Т(n-к) или T(к), где: n – минимальное количество знаков, к – максимальное количество знаков, символ «-» – разделитель, (к) означает фиксированное количество знаков в строке. В случае, если минимальное количество знаков равно 0, формат имеет вид Т(0-к). Формат числового значения указывается в виде N(m.k), где: m – максимальное количество знаков в числе, включая знак (для отрицательного числа), целую и дробную часть числа без разделяющей десятичной точки, k – максимальное число знаков дробной части числа. Если число знаков дробной части числа равно 0 (то есть число целое), то </w:t>
      </w:r>
      <w:r w:rsidRPr="00264D5D">
        <w:rPr>
          <w:rFonts w:eastAsia="Calibri"/>
        </w:rPr>
        <w:lastRenderedPageBreak/>
        <w:t>формат числового значения имеет вид N(</w:t>
      </w:r>
      <w:r w:rsidRPr="00264D5D">
        <w:rPr>
          <w:rFonts w:eastAsia="Calibri"/>
          <w:lang w:val="en-US"/>
        </w:rPr>
        <w:t>n</w:t>
      </w:r>
      <w:r w:rsidRPr="00264D5D">
        <w:rPr>
          <w:rFonts w:eastAsia="Calibri"/>
        </w:rPr>
        <w:t xml:space="preserve">-m) или </w:t>
      </w:r>
      <w:r w:rsidRPr="00264D5D">
        <w:rPr>
          <w:rFonts w:eastAsia="Calibri"/>
          <w:lang w:val="en-US"/>
        </w:rPr>
        <w:t>N</w:t>
      </w:r>
      <w:r w:rsidRPr="00264D5D">
        <w:rPr>
          <w:rFonts w:eastAsia="Calibri"/>
        </w:rPr>
        <w:t>(</w:t>
      </w:r>
      <w:r w:rsidRPr="00264D5D">
        <w:rPr>
          <w:rFonts w:eastAsia="Calibri"/>
          <w:lang w:val="en-US"/>
        </w:rPr>
        <w:t>m</w:t>
      </w:r>
      <w:r w:rsidRPr="00264D5D">
        <w:rPr>
          <w:rFonts w:eastAsia="Calibri"/>
        </w:rPr>
        <w:t xml:space="preserve">), где: n – минимальное количество знаков, </w:t>
      </w:r>
      <w:r w:rsidRPr="00264D5D">
        <w:rPr>
          <w:rFonts w:eastAsia="Calibri"/>
          <w:lang w:val="en-US"/>
        </w:rPr>
        <w:t>m</w:t>
      </w:r>
      <w:r w:rsidRPr="00264D5D">
        <w:rPr>
          <w:rFonts w:eastAsia="Calibri"/>
        </w:rPr>
        <w:t xml:space="preserve"> – максимальное количество знаков, символ «-» – разделитель, (</w:t>
      </w:r>
      <w:r w:rsidRPr="00264D5D">
        <w:rPr>
          <w:rFonts w:eastAsia="Calibri"/>
          <w:lang w:val="en-US"/>
        </w:rPr>
        <w:t>m</w:t>
      </w:r>
      <w:r w:rsidRPr="00264D5D">
        <w:rPr>
          <w:rFonts w:eastAsia="Calibri"/>
        </w:rPr>
        <w:t>) означает фиксированное количество знаков в строке;</w:t>
      </w:r>
    </w:p>
    <w:p w14:paraId="1AC92D54" w14:textId="77777777" w:rsidR="00AD1F54" w:rsidRPr="00264D5D" w:rsidRDefault="00941227" w:rsidP="00941227">
      <w:pPr>
        <w:pStyle w:val="a0"/>
        <w:numPr>
          <w:ilvl w:val="0"/>
          <w:numId w:val="53"/>
        </w:numPr>
        <w:spacing w:before="60" w:after="120"/>
        <w:ind w:left="714" w:hanging="357"/>
        <w:rPr>
          <w:rFonts w:eastAsia="Calibri"/>
        </w:rPr>
      </w:pPr>
      <w:r w:rsidRPr="00264D5D">
        <w:rPr>
          <w:rFonts w:eastAsia="Calibri"/>
          <w:i/>
        </w:rPr>
        <w:t xml:space="preserve">признак обязательности элемента </w:t>
      </w:r>
      <w:r w:rsidRPr="00264D5D">
        <w:rPr>
          <w:rFonts w:eastAsia="Calibri"/>
        </w:rPr>
        <w:t xml:space="preserve">определяет наличие и обязательность заполнения элемента в сообщении обмена. Признак может принимать следующие значения: «О» – элемент должен присутствовать в сообщении обмена и обязателен для заполнения; «Н» – присутствие элемента в сообщении обмена необязательно, то есть элемент может отсутствовать. Наличие пустых элементов не допускается. Если элемент принимает ограниченный перечень значений (по классификатору, кодовому словарю и тому подобное), то признак обязательности элемента дополняется символом «К». Например, «ОК». В случае, если количество значений элемента может быть более одного (множественный элемент), то признак обязательности элемента дополняется символом «М». Например, «НМ», «ОКМ», «ОМ». </w:t>
      </w:r>
      <w:r w:rsidRPr="00264D5D">
        <w:t>В случае если изменяется хотя бы одно значение множественного составного элемента, то указываются значения всех обязательных полей всех строк этого элемента (т.е. заполняется весь блок целиком);</w:t>
      </w:r>
    </w:p>
    <w:p w14:paraId="32DCBEF1" w14:textId="77777777" w:rsidR="00AD1F54" w:rsidRPr="00264D5D" w:rsidRDefault="00941227" w:rsidP="00941227">
      <w:pPr>
        <w:pStyle w:val="a0"/>
        <w:numPr>
          <w:ilvl w:val="0"/>
          <w:numId w:val="53"/>
        </w:numPr>
        <w:spacing w:before="60" w:after="120"/>
        <w:ind w:left="714" w:hanging="357"/>
        <w:rPr>
          <w:rFonts w:eastAsia="Calibri"/>
        </w:rPr>
      </w:pPr>
      <w:r w:rsidRPr="00264D5D">
        <w:rPr>
          <w:rFonts w:eastAsia="Calibri"/>
          <w:i/>
        </w:rPr>
        <w:t xml:space="preserve">дополнительная информация. </w:t>
      </w:r>
      <w:r w:rsidRPr="00264D5D">
        <w:rPr>
          <w:rFonts w:eastAsia="Calibri"/>
        </w:rPr>
        <w:t>Приводятся дополнительные особенности заполнения элемента</w:t>
      </w:r>
      <w:r w:rsidRPr="00264D5D">
        <w:t>.</w:t>
      </w:r>
    </w:p>
    <w:p w14:paraId="5995EBB5" w14:textId="77777777" w:rsidR="00AD1F54" w:rsidRPr="00264D5D" w:rsidRDefault="00AD1F54">
      <w:pPr>
        <w:rPr>
          <w:szCs w:val="24"/>
        </w:rPr>
      </w:pPr>
    </w:p>
    <w:p w14:paraId="67805585" w14:textId="77777777" w:rsidR="00AD1F54" w:rsidRPr="0004431E" w:rsidRDefault="00941227">
      <w:pPr>
        <w:pStyle w:val="10"/>
        <w:jc w:val="both"/>
        <w:rPr>
          <w:highlight w:val="green"/>
        </w:rPr>
      </w:pPr>
      <w:bookmarkStart w:id="325" w:name="_Toc354153596"/>
      <w:bookmarkStart w:id="326" w:name="_Toc411507339"/>
      <w:bookmarkStart w:id="327" w:name="_Ref412041378"/>
      <w:bookmarkStart w:id="328" w:name="_Ref465261611"/>
      <w:bookmarkStart w:id="329" w:name="_Toc219309437"/>
      <w:r w:rsidRPr="0004431E">
        <w:rPr>
          <w:highlight w:val="green"/>
        </w:rPr>
        <w:lastRenderedPageBreak/>
        <w:t>Описание структуры XML</w:t>
      </w:r>
      <w:bookmarkEnd w:id="325"/>
      <w:bookmarkEnd w:id="326"/>
      <w:bookmarkEnd w:id="327"/>
      <w:bookmarkEnd w:id="328"/>
      <w:bookmarkEnd w:id="329"/>
    </w:p>
    <w:p w14:paraId="415DB631" w14:textId="77777777" w:rsidR="00AD1F54" w:rsidRPr="00264D5D" w:rsidRDefault="00941227">
      <w:pPr>
        <w:pStyle w:val="22"/>
      </w:pPr>
      <w:bookmarkStart w:id="330" w:name="_Ref2160177"/>
      <w:bookmarkStart w:id="331" w:name="_Toc411507340"/>
      <w:bookmarkStart w:id="332" w:name="_Toc219309438"/>
      <w:r w:rsidRPr="00264D5D">
        <w:t>Типы данных</w:t>
      </w:r>
      <w:bookmarkEnd w:id="330"/>
      <w:bookmarkEnd w:id="332"/>
    </w:p>
    <w:p w14:paraId="43235EB3" w14:textId="17A3B2F0" w:rsidR="00AD1F54" w:rsidRPr="00264D5D" w:rsidRDefault="00941227">
      <w:pPr>
        <w:pStyle w:val="OTRNormal"/>
        <w:rPr>
          <w:sz w:val="24"/>
          <w:szCs w:val="24"/>
        </w:rPr>
      </w:pPr>
      <w:r w:rsidRPr="00264D5D">
        <w:rPr>
          <w:sz w:val="24"/>
          <w:szCs w:val="24"/>
        </w:rPr>
        <w:t xml:space="preserve">В настоящем документе для упрощения и универсализации описания форматов данных различных документов используются имена типов данных, перечисленные в таблице </w:t>
      </w:r>
      <w:r w:rsidRPr="00264D5D">
        <w:rPr>
          <w:sz w:val="24"/>
          <w:szCs w:val="24"/>
        </w:rPr>
        <w:fldChar w:fldCharType="begin"/>
      </w:r>
      <w:r w:rsidRPr="00264D5D">
        <w:rPr>
          <w:sz w:val="24"/>
          <w:szCs w:val="24"/>
        </w:rPr>
        <w:instrText xml:space="preserve"> REF _Ref487019345 \h  \* MERGEFORMAT </w:instrText>
      </w:r>
      <w:r w:rsidRPr="00264D5D">
        <w:rPr>
          <w:sz w:val="24"/>
          <w:szCs w:val="24"/>
        </w:rPr>
      </w:r>
      <w:r w:rsidRPr="00264D5D">
        <w:rPr>
          <w:sz w:val="24"/>
          <w:szCs w:val="24"/>
        </w:rPr>
        <w:fldChar w:fldCharType="separate"/>
      </w:r>
      <w:r w:rsidR="008D797C" w:rsidRPr="008D797C">
        <w:rPr>
          <w:sz w:val="24"/>
          <w:szCs w:val="24"/>
        </w:rPr>
        <w:t>3</w:t>
      </w:r>
      <w:r w:rsidRPr="00264D5D">
        <w:rPr>
          <w:sz w:val="24"/>
          <w:szCs w:val="24"/>
        </w:rPr>
        <w:fldChar w:fldCharType="end"/>
      </w:r>
      <w:r w:rsidRPr="00264D5D">
        <w:rPr>
          <w:sz w:val="24"/>
          <w:szCs w:val="24"/>
        </w:rPr>
        <w:t>. В конкретных реализациях xsd-схем, определяющих форматы выгрузки данных документов, атрибуты того же типа могут именоваться иначе, а также могут формироваться производные от перечисленных в таблице </w:t>
      </w:r>
      <w:r w:rsidRPr="00264D5D">
        <w:rPr>
          <w:sz w:val="24"/>
          <w:szCs w:val="24"/>
        </w:rPr>
        <w:fldChar w:fldCharType="begin"/>
      </w:r>
      <w:r w:rsidRPr="00264D5D">
        <w:rPr>
          <w:sz w:val="24"/>
          <w:szCs w:val="24"/>
        </w:rPr>
        <w:instrText xml:space="preserve"> REF _Ref487019345 \h  \* MERGEFORMAT </w:instrText>
      </w:r>
      <w:r w:rsidRPr="00264D5D">
        <w:rPr>
          <w:sz w:val="24"/>
          <w:szCs w:val="24"/>
        </w:rPr>
      </w:r>
      <w:r w:rsidRPr="00264D5D">
        <w:rPr>
          <w:sz w:val="24"/>
          <w:szCs w:val="24"/>
        </w:rPr>
        <w:fldChar w:fldCharType="separate"/>
      </w:r>
      <w:r w:rsidR="008D797C" w:rsidRPr="008D797C">
        <w:rPr>
          <w:sz w:val="24"/>
          <w:szCs w:val="24"/>
        </w:rPr>
        <w:t>3</w:t>
      </w:r>
      <w:r w:rsidRPr="00264D5D">
        <w:rPr>
          <w:sz w:val="24"/>
          <w:szCs w:val="24"/>
        </w:rPr>
        <w:fldChar w:fldCharType="end"/>
      </w:r>
      <w:r w:rsidRPr="00264D5D">
        <w:rPr>
          <w:b/>
          <w:sz w:val="24"/>
          <w:szCs w:val="24"/>
        </w:rPr>
        <w:t xml:space="preserve"> </w:t>
      </w:r>
      <w:r w:rsidRPr="00264D5D">
        <w:rPr>
          <w:sz w:val="24"/>
          <w:szCs w:val="24"/>
        </w:rPr>
        <w:t>типы данных с уникальными именами атрибутов.</w:t>
      </w:r>
    </w:p>
    <w:p w14:paraId="3EF4DE41" w14:textId="075A6CC5" w:rsidR="00AD1F54" w:rsidRPr="00264D5D" w:rsidRDefault="00941227">
      <w:pPr>
        <w:pStyle w:val="OTRNameTable"/>
        <w:numPr>
          <w:ilvl w:val="0"/>
          <w:numId w:val="2"/>
        </w:numPr>
        <w:ind w:firstLine="0"/>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333" w:name="_Ref487019345"/>
      <w:bookmarkStart w:id="334" w:name="_Toc30503342"/>
      <w:bookmarkStart w:id="335" w:name="_Toc30507940"/>
      <w:bookmarkStart w:id="336" w:name="_Toc219309033"/>
      <w:r w:rsidR="008D797C">
        <w:rPr>
          <w:rFonts w:eastAsia="Calibri"/>
          <w:noProof/>
          <w:szCs w:val="24"/>
        </w:rPr>
        <w:t>3</w:t>
      </w:r>
      <w:bookmarkEnd w:id="333"/>
      <w:r w:rsidRPr="00264D5D">
        <w:rPr>
          <w:rFonts w:eastAsia="Calibri"/>
          <w:szCs w:val="24"/>
        </w:rPr>
        <w:fldChar w:fldCharType="end"/>
      </w:r>
      <w:r w:rsidRPr="00264D5D">
        <w:rPr>
          <w:rFonts w:eastAsia="Calibri"/>
          <w:szCs w:val="24"/>
        </w:rPr>
        <w:t xml:space="preserve"> – Типы данных</w:t>
      </w:r>
      <w:bookmarkEnd w:id="334"/>
      <w:bookmarkEnd w:id="335"/>
      <w:bookmarkEnd w:id="336"/>
    </w:p>
    <w:tbl>
      <w:tblPr>
        <w:tblStyle w:val="GOSTTable"/>
        <w:tblW w:w="5000" w:type="pct"/>
        <w:tblLook w:val="04A0" w:firstRow="1" w:lastRow="0" w:firstColumn="1" w:lastColumn="0" w:noHBand="0" w:noVBand="1"/>
      </w:tblPr>
      <w:tblGrid>
        <w:gridCol w:w="1281"/>
        <w:gridCol w:w="994"/>
        <w:gridCol w:w="7375"/>
      </w:tblGrid>
      <w:tr w:rsidR="00AD1F54" w:rsidRPr="00264D5D" w14:paraId="114BA808" w14:textId="77777777" w:rsidTr="005A204F">
        <w:trPr>
          <w:cnfStyle w:val="100000000000" w:firstRow="1" w:lastRow="0" w:firstColumn="0" w:lastColumn="0" w:oddVBand="0" w:evenVBand="0" w:oddHBand="0" w:evenHBand="0" w:firstRowFirstColumn="0" w:firstRowLastColumn="0" w:lastRowFirstColumn="0" w:lastRowLastColumn="0"/>
          <w:trHeight w:val="283"/>
          <w:tblHeader/>
        </w:trPr>
        <w:tc>
          <w:tcPr>
            <w:tcW w:w="664" w:type="pct"/>
          </w:tcPr>
          <w:p w14:paraId="52FF4CA9" w14:textId="77777777" w:rsidR="00AD1F54" w:rsidRPr="00264D5D" w:rsidRDefault="00941227">
            <w:pPr>
              <w:spacing w:before="60" w:after="60"/>
              <w:ind w:left="57" w:right="57"/>
              <w:jc w:val="center"/>
              <w:rPr>
                <w:b/>
                <w:bCs/>
                <w:sz w:val="22"/>
                <w:szCs w:val="22"/>
              </w:rPr>
            </w:pPr>
            <w:r w:rsidRPr="00264D5D">
              <w:rPr>
                <w:b/>
                <w:bCs/>
                <w:sz w:val="22"/>
                <w:szCs w:val="22"/>
              </w:rPr>
              <w:t>Имя</w:t>
            </w:r>
          </w:p>
        </w:tc>
        <w:tc>
          <w:tcPr>
            <w:tcW w:w="515" w:type="pct"/>
          </w:tcPr>
          <w:p w14:paraId="272CE290" w14:textId="77777777" w:rsidR="00AD1F54" w:rsidRPr="00264D5D" w:rsidRDefault="00941227">
            <w:pPr>
              <w:spacing w:before="60" w:after="60"/>
              <w:ind w:left="57" w:right="57"/>
              <w:jc w:val="center"/>
              <w:rPr>
                <w:b/>
                <w:bCs/>
                <w:sz w:val="22"/>
                <w:szCs w:val="22"/>
              </w:rPr>
            </w:pPr>
            <w:r w:rsidRPr="00264D5D">
              <w:rPr>
                <w:b/>
                <w:bCs/>
                <w:sz w:val="22"/>
                <w:szCs w:val="22"/>
              </w:rPr>
              <w:t>Длина</w:t>
            </w:r>
          </w:p>
        </w:tc>
        <w:tc>
          <w:tcPr>
            <w:tcW w:w="3822" w:type="pct"/>
          </w:tcPr>
          <w:p w14:paraId="7FFC68C1" w14:textId="77777777" w:rsidR="00AD1F54" w:rsidRPr="00264D5D" w:rsidRDefault="00941227">
            <w:pPr>
              <w:spacing w:before="60" w:after="60"/>
              <w:ind w:left="57" w:right="57"/>
              <w:jc w:val="center"/>
              <w:rPr>
                <w:b/>
                <w:bCs/>
                <w:sz w:val="22"/>
                <w:szCs w:val="22"/>
              </w:rPr>
            </w:pPr>
            <w:r w:rsidRPr="00264D5D">
              <w:rPr>
                <w:b/>
                <w:bCs/>
                <w:sz w:val="22"/>
                <w:szCs w:val="22"/>
              </w:rPr>
              <w:t>Дополнительная информация</w:t>
            </w:r>
          </w:p>
        </w:tc>
      </w:tr>
      <w:tr w:rsidR="00AD1F54" w:rsidRPr="00264D5D" w14:paraId="5D80F972" w14:textId="77777777" w:rsidTr="005A204F">
        <w:trPr>
          <w:cnfStyle w:val="000000100000" w:firstRow="0" w:lastRow="0" w:firstColumn="0" w:lastColumn="0" w:oddVBand="0" w:evenVBand="0" w:oddHBand="1" w:evenHBand="0" w:firstRowFirstColumn="0" w:firstRowLastColumn="0" w:lastRowFirstColumn="0" w:lastRowLastColumn="0"/>
          <w:trHeight w:val="283"/>
        </w:trPr>
        <w:tc>
          <w:tcPr>
            <w:tcW w:w="664" w:type="pct"/>
          </w:tcPr>
          <w:p w14:paraId="1E79EE62" w14:textId="77777777" w:rsidR="00AD1F54" w:rsidRPr="00264D5D" w:rsidRDefault="00941227">
            <w:pPr>
              <w:spacing w:before="60" w:after="60"/>
              <w:jc w:val="left"/>
              <w:rPr>
                <w:sz w:val="22"/>
                <w:szCs w:val="22"/>
              </w:rPr>
            </w:pPr>
            <w:r w:rsidRPr="00264D5D">
              <w:rPr>
                <w:sz w:val="22"/>
                <w:szCs w:val="22"/>
              </w:rPr>
              <w:t>GUID</w:t>
            </w:r>
          </w:p>
        </w:tc>
        <w:tc>
          <w:tcPr>
            <w:tcW w:w="515" w:type="pct"/>
          </w:tcPr>
          <w:p w14:paraId="46BAF746" w14:textId="77777777" w:rsidR="00AD1F54" w:rsidRPr="00264D5D" w:rsidRDefault="00941227">
            <w:pPr>
              <w:spacing w:before="60" w:after="60"/>
              <w:jc w:val="center"/>
              <w:rPr>
                <w:sz w:val="22"/>
                <w:szCs w:val="22"/>
              </w:rPr>
            </w:pPr>
            <w:r w:rsidRPr="00264D5D">
              <w:rPr>
                <w:sz w:val="22"/>
                <w:szCs w:val="22"/>
              </w:rPr>
              <w:t>T(=36)</w:t>
            </w:r>
          </w:p>
        </w:tc>
        <w:tc>
          <w:tcPr>
            <w:tcW w:w="3822" w:type="pct"/>
          </w:tcPr>
          <w:p w14:paraId="0DAD11D3" w14:textId="77777777" w:rsidR="00AD1F54" w:rsidRPr="00264D5D" w:rsidRDefault="00941227">
            <w:pPr>
              <w:spacing w:before="60" w:after="60"/>
              <w:rPr>
                <w:sz w:val="22"/>
                <w:szCs w:val="22"/>
              </w:rPr>
            </w:pPr>
            <w:r w:rsidRPr="00264D5D">
              <w:rPr>
                <w:sz w:val="22"/>
                <w:szCs w:val="22"/>
              </w:rPr>
              <w:t>Уникальный 128-битный идентификатор, представляется в виде строки из шестнадцатеричных цифр, разбитых на пять групп по 8, 4, 4, 4 и 12 символов соответственно, разделенных дефисами: XXXXXXXX-XXXX-XXXX-XXXX-XXXXXXXXXXXX.</w:t>
            </w:r>
          </w:p>
          <w:p w14:paraId="43917384" w14:textId="77777777" w:rsidR="00AD1F54" w:rsidRPr="00264D5D" w:rsidRDefault="00941227">
            <w:pPr>
              <w:spacing w:before="60" w:after="60"/>
              <w:rPr>
                <w:sz w:val="22"/>
                <w:szCs w:val="22"/>
              </w:rPr>
            </w:pPr>
            <w:r w:rsidRPr="00264D5D">
              <w:rPr>
                <w:sz w:val="22"/>
                <w:szCs w:val="22"/>
              </w:rPr>
              <w:t xml:space="preserve">Допустимые символы: 0 – 9, </w:t>
            </w:r>
            <w:r w:rsidRPr="00264D5D">
              <w:rPr>
                <w:sz w:val="22"/>
                <w:szCs w:val="22"/>
                <w:lang w:val="en-US"/>
              </w:rPr>
              <w:t>a</w:t>
            </w:r>
            <w:r w:rsidRPr="00264D5D">
              <w:rPr>
                <w:sz w:val="22"/>
                <w:szCs w:val="22"/>
              </w:rPr>
              <w:t xml:space="preserve"> – </w:t>
            </w:r>
            <w:r w:rsidRPr="00264D5D">
              <w:rPr>
                <w:sz w:val="22"/>
                <w:szCs w:val="22"/>
                <w:lang w:val="en-US"/>
              </w:rPr>
              <w:t>f</w:t>
            </w:r>
            <w:r w:rsidRPr="00264D5D">
              <w:rPr>
                <w:sz w:val="22"/>
                <w:szCs w:val="22"/>
              </w:rPr>
              <w:t xml:space="preserve">, «-» (код ASCII 45). </w:t>
            </w:r>
          </w:p>
          <w:p w14:paraId="3E095AB5" w14:textId="77777777" w:rsidR="00AD1F54" w:rsidRPr="00264D5D" w:rsidRDefault="00941227">
            <w:pPr>
              <w:spacing w:before="60" w:after="60"/>
              <w:rPr>
                <w:sz w:val="22"/>
                <w:szCs w:val="22"/>
              </w:rPr>
            </w:pPr>
            <w:r w:rsidRPr="00264D5D">
              <w:rPr>
                <w:sz w:val="22"/>
                <w:szCs w:val="22"/>
              </w:rPr>
              <w:t xml:space="preserve">В рамках одного справочника может быть несколько записей с одним натуральным идентификатором (отражают историю изменения), каждая из которых имеет уникальный GUID: </w:t>
            </w:r>
          </w:p>
          <w:p w14:paraId="07E99DBC" w14:textId="77777777" w:rsidR="00AD1F54" w:rsidRPr="00264D5D" w:rsidRDefault="00941227">
            <w:pPr>
              <w:spacing w:before="60" w:after="60"/>
              <w:rPr>
                <w:sz w:val="22"/>
                <w:szCs w:val="22"/>
              </w:rPr>
            </w:pPr>
            <w:r w:rsidRPr="00264D5D">
              <w:rPr>
                <w:sz w:val="22"/>
                <w:szCs w:val="22"/>
              </w:rPr>
              <w:t>в выгружаемых данных все записи имеют уникальный GUID.</w:t>
            </w:r>
          </w:p>
          <w:p w14:paraId="2854EFD1" w14:textId="77777777" w:rsidR="00AD1F54" w:rsidRPr="00264D5D" w:rsidRDefault="00941227">
            <w:pPr>
              <w:spacing w:before="60" w:after="60"/>
              <w:rPr>
                <w:sz w:val="22"/>
                <w:szCs w:val="22"/>
              </w:rPr>
            </w:pPr>
            <w:r w:rsidRPr="00264D5D">
              <w:rPr>
                <w:sz w:val="22"/>
                <w:szCs w:val="22"/>
              </w:rPr>
              <w:t>Шаблон значений: [a-f0-9]{8}-[a-f0-9]{4}-[a-f0-9]{4}-[a-f0-9]{4}-[a-f0-9]{12}</w:t>
            </w:r>
          </w:p>
        </w:tc>
      </w:tr>
      <w:tr w:rsidR="00AD1F54" w:rsidRPr="00264D5D" w14:paraId="01BB321B" w14:textId="77777777" w:rsidTr="005A204F">
        <w:trPr>
          <w:cnfStyle w:val="000000010000" w:firstRow="0" w:lastRow="0" w:firstColumn="0" w:lastColumn="0" w:oddVBand="0" w:evenVBand="0" w:oddHBand="0" w:evenHBand="1" w:firstRowFirstColumn="0" w:firstRowLastColumn="0" w:lastRowFirstColumn="0" w:lastRowLastColumn="0"/>
          <w:trHeight w:val="283"/>
        </w:trPr>
        <w:tc>
          <w:tcPr>
            <w:tcW w:w="664" w:type="pct"/>
          </w:tcPr>
          <w:p w14:paraId="37EE600F" w14:textId="77777777" w:rsidR="00AD1F54" w:rsidRPr="00264D5D" w:rsidRDefault="00941227">
            <w:pPr>
              <w:spacing w:before="60" w:after="60"/>
              <w:jc w:val="left"/>
              <w:rPr>
                <w:sz w:val="22"/>
                <w:szCs w:val="22"/>
              </w:rPr>
            </w:pPr>
            <w:r w:rsidRPr="00264D5D">
              <w:rPr>
                <w:sz w:val="22"/>
                <w:szCs w:val="22"/>
              </w:rPr>
              <w:t>DateTime</w:t>
            </w:r>
          </w:p>
        </w:tc>
        <w:tc>
          <w:tcPr>
            <w:tcW w:w="515" w:type="pct"/>
          </w:tcPr>
          <w:p w14:paraId="4EE7EA87" w14:textId="77777777" w:rsidR="00AD1F54" w:rsidRPr="00264D5D" w:rsidRDefault="00AD1F54">
            <w:pPr>
              <w:spacing w:before="60" w:after="60"/>
              <w:jc w:val="center"/>
              <w:rPr>
                <w:sz w:val="22"/>
                <w:szCs w:val="22"/>
              </w:rPr>
            </w:pPr>
          </w:p>
        </w:tc>
        <w:tc>
          <w:tcPr>
            <w:tcW w:w="3822" w:type="pct"/>
          </w:tcPr>
          <w:p w14:paraId="321D1708" w14:textId="77777777" w:rsidR="00AD1F54" w:rsidRPr="00264D5D" w:rsidRDefault="00941227">
            <w:pPr>
              <w:pStyle w:val="0152"/>
              <w:spacing w:before="60" w:after="60"/>
              <w:rPr>
                <w:sz w:val="22"/>
                <w:szCs w:val="22"/>
              </w:rPr>
            </w:pPr>
            <w:r w:rsidRPr="00264D5D">
              <w:rPr>
                <w:sz w:val="22"/>
                <w:szCs w:val="22"/>
              </w:rPr>
              <w:t xml:space="preserve">Стандартный формат </w:t>
            </w:r>
            <w:r w:rsidRPr="00264D5D">
              <w:rPr>
                <w:sz w:val="22"/>
                <w:szCs w:val="22"/>
                <w:lang w:val="en-US"/>
              </w:rPr>
              <w:t>xsd</w:t>
            </w:r>
            <w:r w:rsidRPr="00264D5D">
              <w:rPr>
                <w:sz w:val="22"/>
                <w:szCs w:val="22"/>
              </w:rPr>
              <w:t>:</w:t>
            </w:r>
            <w:r w:rsidRPr="00264D5D">
              <w:rPr>
                <w:sz w:val="22"/>
                <w:szCs w:val="22"/>
                <w:lang w:val="en-US"/>
              </w:rPr>
              <w:t>datetime</w:t>
            </w:r>
            <w:r w:rsidRPr="00264D5D">
              <w:rPr>
                <w:sz w:val="22"/>
                <w:szCs w:val="22"/>
              </w:rPr>
              <w:t>. Дата и время в формате «ГГГГ-ММ-ДД</w:t>
            </w:r>
            <w:r w:rsidRPr="00264D5D">
              <w:rPr>
                <w:sz w:val="22"/>
                <w:szCs w:val="22"/>
                <w:lang w:val="en-US"/>
              </w:rPr>
              <w:t>T</w:t>
            </w:r>
            <w:r w:rsidRPr="00264D5D">
              <w:rPr>
                <w:sz w:val="22"/>
                <w:szCs w:val="22"/>
              </w:rPr>
              <w:t>ЧЧ:ММ:СС</w:t>
            </w:r>
            <w:r w:rsidRPr="00264D5D">
              <w:rPr>
                <w:sz w:val="22"/>
                <w:szCs w:val="22"/>
                <w:lang w:val="en-US"/>
              </w:rPr>
              <w:t>Z</w:t>
            </w:r>
            <w:r w:rsidRPr="00264D5D">
              <w:rPr>
                <w:sz w:val="22"/>
                <w:szCs w:val="22"/>
              </w:rPr>
              <w:t xml:space="preserve">». В начале значения данного типа должна присутствовать дата в формате «Date», затем, через символ </w:t>
            </w:r>
            <w:r w:rsidRPr="00264D5D">
              <w:rPr>
                <w:sz w:val="22"/>
                <w:szCs w:val="22"/>
                <w:lang w:val="en-US"/>
              </w:rPr>
              <w:t>T</w:t>
            </w:r>
            <w:r w:rsidRPr="00264D5D">
              <w:rPr>
                <w:sz w:val="22"/>
                <w:szCs w:val="22"/>
              </w:rPr>
              <w:t>, время в формате «TIME», а затем временная зона (может отсутствовать). Временная зона может быть задана как в виде значка Z (что означает, что время задано по Гринвичу), так и в виде часового пояса относительно Гринвича в формате +hh:mm. Если временная зона не задана, то подразумевается, что дата-время указаны локальные.</w:t>
            </w:r>
          </w:p>
          <w:p w14:paraId="21096D84" w14:textId="77777777" w:rsidR="00AD1F54" w:rsidRPr="00264D5D" w:rsidRDefault="00941227">
            <w:pPr>
              <w:spacing w:before="60" w:after="60"/>
              <w:rPr>
                <w:sz w:val="22"/>
                <w:szCs w:val="22"/>
              </w:rPr>
            </w:pPr>
            <w:r w:rsidRPr="00264D5D">
              <w:rPr>
                <w:sz w:val="22"/>
                <w:szCs w:val="22"/>
              </w:rPr>
              <w:t xml:space="preserve">Пример </w:t>
            </w:r>
            <w:r w:rsidR="005A204F" w:rsidRPr="00264D5D">
              <w:rPr>
                <w:sz w:val="22"/>
                <w:szCs w:val="22"/>
              </w:rPr>
              <w:t>значения: «2002-05-30T09:00:00»</w:t>
            </w:r>
          </w:p>
        </w:tc>
      </w:tr>
      <w:tr w:rsidR="00AD1F54" w:rsidRPr="00264D5D" w14:paraId="284780E9" w14:textId="77777777" w:rsidTr="005A204F">
        <w:trPr>
          <w:cnfStyle w:val="000000100000" w:firstRow="0" w:lastRow="0" w:firstColumn="0" w:lastColumn="0" w:oddVBand="0" w:evenVBand="0" w:oddHBand="1" w:evenHBand="0" w:firstRowFirstColumn="0" w:firstRowLastColumn="0" w:lastRowFirstColumn="0" w:lastRowLastColumn="0"/>
          <w:trHeight w:val="283"/>
        </w:trPr>
        <w:tc>
          <w:tcPr>
            <w:tcW w:w="664" w:type="pct"/>
          </w:tcPr>
          <w:p w14:paraId="057DDE6C" w14:textId="77777777" w:rsidR="00AD1F54" w:rsidRPr="00264D5D" w:rsidRDefault="00941227">
            <w:pPr>
              <w:spacing w:before="60" w:after="60"/>
              <w:jc w:val="left"/>
              <w:rPr>
                <w:sz w:val="22"/>
                <w:szCs w:val="22"/>
                <w:lang w:val="en-US"/>
              </w:rPr>
            </w:pPr>
            <w:r w:rsidRPr="00264D5D">
              <w:rPr>
                <w:sz w:val="22"/>
                <w:szCs w:val="22"/>
              </w:rPr>
              <w:t>Date</w:t>
            </w:r>
          </w:p>
        </w:tc>
        <w:tc>
          <w:tcPr>
            <w:tcW w:w="515" w:type="pct"/>
          </w:tcPr>
          <w:p w14:paraId="48CA99F2" w14:textId="77777777" w:rsidR="00AD1F54" w:rsidRPr="00264D5D" w:rsidRDefault="00AD1F54">
            <w:pPr>
              <w:spacing w:before="60" w:after="60"/>
              <w:jc w:val="center"/>
              <w:rPr>
                <w:sz w:val="22"/>
                <w:szCs w:val="22"/>
                <w:lang w:val="en-US"/>
              </w:rPr>
            </w:pPr>
          </w:p>
        </w:tc>
        <w:tc>
          <w:tcPr>
            <w:tcW w:w="3822" w:type="pct"/>
          </w:tcPr>
          <w:p w14:paraId="1F80B90A" w14:textId="77777777" w:rsidR="00AD1F54" w:rsidRPr="00264D5D" w:rsidRDefault="00941227">
            <w:pPr>
              <w:spacing w:before="60" w:after="60"/>
              <w:rPr>
                <w:sz w:val="22"/>
                <w:szCs w:val="22"/>
              </w:rPr>
            </w:pPr>
            <w:r w:rsidRPr="00264D5D">
              <w:rPr>
                <w:sz w:val="22"/>
                <w:szCs w:val="22"/>
              </w:rPr>
              <w:t xml:space="preserve">Стандартный формат </w:t>
            </w:r>
            <w:r w:rsidRPr="00264D5D">
              <w:rPr>
                <w:sz w:val="22"/>
                <w:szCs w:val="22"/>
                <w:lang w:val="en-US"/>
              </w:rPr>
              <w:t>xsd</w:t>
            </w:r>
            <w:r w:rsidRPr="00264D5D">
              <w:rPr>
                <w:sz w:val="22"/>
                <w:szCs w:val="22"/>
              </w:rPr>
              <w:t>:</w:t>
            </w:r>
            <w:r w:rsidRPr="00264D5D">
              <w:rPr>
                <w:sz w:val="22"/>
                <w:szCs w:val="22"/>
                <w:lang w:val="en-US"/>
              </w:rPr>
              <w:t>date</w:t>
            </w:r>
            <w:r w:rsidRPr="00264D5D">
              <w:rPr>
                <w:sz w:val="22"/>
                <w:szCs w:val="22"/>
              </w:rPr>
              <w:t>. Дата в формате «ГГГГ-ММ-ДД». Дата до</w:t>
            </w:r>
            <w:r w:rsidR="005A204F" w:rsidRPr="00264D5D">
              <w:rPr>
                <w:sz w:val="22"/>
                <w:szCs w:val="22"/>
              </w:rPr>
              <w:t>лжна быть не ранее «1970-01-01»</w:t>
            </w:r>
          </w:p>
        </w:tc>
      </w:tr>
      <w:tr w:rsidR="00AD1F54" w:rsidRPr="00264D5D" w14:paraId="00FA08C6" w14:textId="77777777" w:rsidTr="005A204F">
        <w:trPr>
          <w:cnfStyle w:val="000000010000" w:firstRow="0" w:lastRow="0" w:firstColumn="0" w:lastColumn="0" w:oddVBand="0" w:evenVBand="0" w:oddHBand="0" w:evenHBand="1" w:firstRowFirstColumn="0" w:firstRowLastColumn="0" w:lastRowFirstColumn="0" w:lastRowLastColumn="0"/>
          <w:trHeight w:val="283"/>
        </w:trPr>
        <w:tc>
          <w:tcPr>
            <w:tcW w:w="664" w:type="pct"/>
          </w:tcPr>
          <w:p w14:paraId="5A294109" w14:textId="77777777" w:rsidR="00AD1F54" w:rsidRPr="00264D5D" w:rsidRDefault="00941227">
            <w:pPr>
              <w:spacing w:before="60" w:after="60"/>
              <w:jc w:val="left"/>
              <w:rPr>
                <w:sz w:val="22"/>
                <w:szCs w:val="22"/>
              </w:rPr>
            </w:pPr>
            <w:r w:rsidRPr="00264D5D">
              <w:rPr>
                <w:sz w:val="22"/>
                <w:szCs w:val="22"/>
              </w:rPr>
              <w:t>NUMBER</w:t>
            </w:r>
          </w:p>
        </w:tc>
        <w:tc>
          <w:tcPr>
            <w:tcW w:w="515" w:type="pct"/>
          </w:tcPr>
          <w:p w14:paraId="7BB0E0AA" w14:textId="77777777" w:rsidR="00AD1F54" w:rsidRPr="00264D5D" w:rsidRDefault="00941227">
            <w:pPr>
              <w:spacing w:before="60" w:after="60"/>
              <w:jc w:val="center"/>
              <w:rPr>
                <w:sz w:val="22"/>
                <w:szCs w:val="22"/>
                <w:lang w:val="en-US"/>
              </w:rPr>
            </w:pPr>
            <w:r w:rsidRPr="00264D5D">
              <w:rPr>
                <w:sz w:val="22"/>
                <w:szCs w:val="22"/>
              </w:rPr>
              <w:t>N(</w:t>
            </w:r>
            <w:r w:rsidRPr="00264D5D">
              <w:rPr>
                <w:sz w:val="22"/>
                <w:szCs w:val="22"/>
                <w:lang w:val="en-US"/>
              </w:rPr>
              <w:t>2</w:t>
            </w:r>
            <w:r w:rsidRPr="00264D5D">
              <w:rPr>
                <w:sz w:val="22"/>
                <w:szCs w:val="22"/>
              </w:rPr>
              <w:t>)</w:t>
            </w:r>
          </w:p>
        </w:tc>
        <w:tc>
          <w:tcPr>
            <w:tcW w:w="3822" w:type="pct"/>
          </w:tcPr>
          <w:p w14:paraId="4BA7D743" w14:textId="77777777" w:rsidR="00AD1F54" w:rsidRPr="00264D5D" w:rsidRDefault="005A204F">
            <w:pPr>
              <w:spacing w:before="60" w:after="60"/>
              <w:rPr>
                <w:sz w:val="22"/>
                <w:szCs w:val="22"/>
              </w:rPr>
            </w:pPr>
            <w:r w:rsidRPr="00264D5D">
              <w:rPr>
                <w:sz w:val="22"/>
                <w:szCs w:val="22"/>
              </w:rPr>
              <w:t>Целое число</w:t>
            </w:r>
          </w:p>
        </w:tc>
      </w:tr>
      <w:tr w:rsidR="00AD1F54" w:rsidRPr="00264D5D" w14:paraId="20FE10A2" w14:textId="77777777" w:rsidTr="005A204F">
        <w:trPr>
          <w:cnfStyle w:val="000000100000" w:firstRow="0" w:lastRow="0" w:firstColumn="0" w:lastColumn="0" w:oddVBand="0" w:evenVBand="0" w:oddHBand="1" w:evenHBand="0" w:firstRowFirstColumn="0" w:firstRowLastColumn="0" w:lastRowFirstColumn="0" w:lastRowLastColumn="0"/>
          <w:trHeight w:val="283"/>
        </w:trPr>
        <w:tc>
          <w:tcPr>
            <w:tcW w:w="664" w:type="pct"/>
          </w:tcPr>
          <w:p w14:paraId="132F48D5" w14:textId="77777777" w:rsidR="00AD1F54" w:rsidRPr="00264D5D" w:rsidRDefault="00941227">
            <w:pPr>
              <w:spacing w:before="60" w:after="60"/>
              <w:jc w:val="left"/>
              <w:rPr>
                <w:sz w:val="22"/>
                <w:szCs w:val="22"/>
                <w:lang w:val="en-US"/>
              </w:rPr>
            </w:pPr>
            <w:r w:rsidRPr="00264D5D">
              <w:rPr>
                <w:sz w:val="22"/>
                <w:szCs w:val="22"/>
                <w:lang w:val="en-US"/>
              </w:rPr>
              <w:t>BOOLEAN</w:t>
            </w:r>
          </w:p>
        </w:tc>
        <w:tc>
          <w:tcPr>
            <w:tcW w:w="515" w:type="pct"/>
          </w:tcPr>
          <w:p w14:paraId="1809D000" w14:textId="77777777" w:rsidR="00AD1F54" w:rsidRPr="00264D5D" w:rsidRDefault="00941227">
            <w:pPr>
              <w:spacing w:before="60" w:after="60"/>
              <w:jc w:val="center"/>
              <w:rPr>
                <w:sz w:val="22"/>
                <w:szCs w:val="22"/>
                <w:lang w:val="en-US"/>
              </w:rPr>
            </w:pPr>
            <w:r w:rsidRPr="00264D5D">
              <w:rPr>
                <w:sz w:val="22"/>
                <w:szCs w:val="22"/>
              </w:rPr>
              <w:t>=1 байт</w:t>
            </w:r>
          </w:p>
        </w:tc>
        <w:tc>
          <w:tcPr>
            <w:tcW w:w="3822" w:type="pct"/>
          </w:tcPr>
          <w:p w14:paraId="4B7D4CF4" w14:textId="77777777" w:rsidR="00AD1F54" w:rsidRPr="00264D5D" w:rsidRDefault="00941227">
            <w:pPr>
              <w:pStyle w:val="0152"/>
              <w:spacing w:before="60" w:after="60"/>
              <w:rPr>
                <w:sz w:val="22"/>
                <w:szCs w:val="22"/>
              </w:rPr>
            </w:pPr>
            <w:r w:rsidRPr="00264D5D">
              <w:rPr>
                <w:sz w:val="22"/>
                <w:szCs w:val="22"/>
              </w:rPr>
              <w:t>Соответствует формату xsd:boolean. Поле</w:t>
            </w:r>
            <w:r w:rsidR="005A204F" w:rsidRPr="00264D5D">
              <w:rPr>
                <w:sz w:val="22"/>
                <w:szCs w:val="22"/>
              </w:rPr>
              <w:t xml:space="preserve"> может принимать значения: 0, 1</w:t>
            </w:r>
          </w:p>
        </w:tc>
      </w:tr>
      <w:tr w:rsidR="00AD1F54" w:rsidRPr="00264D5D" w14:paraId="1CFB3CB8" w14:textId="77777777" w:rsidTr="005A204F">
        <w:trPr>
          <w:cnfStyle w:val="000000010000" w:firstRow="0" w:lastRow="0" w:firstColumn="0" w:lastColumn="0" w:oddVBand="0" w:evenVBand="0" w:oddHBand="0" w:evenHBand="1" w:firstRowFirstColumn="0" w:firstRowLastColumn="0" w:lastRowFirstColumn="0" w:lastRowLastColumn="0"/>
          <w:trHeight w:val="283"/>
        </w:trPr>
        <w:tc>
          <w:tcPr>
            <w:tcW w:w="664" w:type="pct"/>
          </w:tcPr>
          <w:p w14:paraId="4DD0ECDE" w14:textId="77777777" w:rsidR="00AD1F54" w:rsidRPr="00264D5D" w:rsidRDefault="00941227">
            <w:pPr>
              <w:pStyle w:val="EBTablenorm"/>
              <w:ind w:left="57" w:right="57"/>
              <w:contextualSpacing w:val="0"/>
              <w:jc w:val="left"/>
              <w:rPr>
                <w:sz w:val="22"/>
                <w:szCs w:val="22"/>
              </w:rPr>
            </w:pPr>
            <w:r w:rsidRPr="00264D5D">
              <w:rPr>
                <w:sz w:val="22"/>
                <w:szCs w:val="22"/>
              </w:rPr>
              <w:t>JustAmnt</w:t>
            </w:r>
          </w:p>
        </w:tc>
        <w:tc>
          <w:tcPr>
            <w:tcW w:w="515" w:type="pct"/>
          </w:tcPr>
          <w:p w14:paraId="631BEE91" w14:textId="77777777" w:rsidR="00AD1F54" w:rsidRPr="00264D5D" w:rsidRDefault="00941227">
            <w:pPr>
              <w:pStyle w:val="EBTablenorm"/>
              <w:ind w:left="57" w:right="57"/>
              <w:contextualSpacing w:val="0"/>
              <w:jc w:val="center"/>
              <w:rPr>
                <w:sz w:val="22"/>
                <w:szCs w:val="22"/>
                <w:lang w:val="en-US"/>
              </w:rPr>
            </w:pPr>
            <w:r w:rsidRPr="00264D5D">
              <w:rPr>
                <w:sz w:val="22"/>
                <w:szCs w:val="22"/>
                <w:lang w:val="en-US"/>
              </w:rPr>
              <w:t>N(</w:t>
            </w:r>
            <w:r w:rsidRPr="00264D5D">
              <w:rPr>
                <w:sz w:val="22"/>
                <w:szCs w:val="22"/>
              </w:rPr>
              <w:t>20.2</w:t>
            </w:r>
            <w:r w:rsidRPr="00264D5D">
              <w:rPr>
                <w:sz w:val="22"/>
                <w:szCs w:val="22"/>
                <w:lang w:val="en-US"/>
              </w:rPr>
              <w:t>)</w:t>
            </w:r>
          </w:p>
        </w:tc>
        <w:tc>
          <w:tcPr>
            <w:tcW w:w="3822" w:type="pct"/>
          </w:tcPr>
          <w:p w14:paraId="419C1C6C" w14:textId="77777777" w:rsidR="00AD1F54" w:rsidRPr="00264D5D" w:rsidRDefault="00941227">
            <w:pPr>
              <w:pStyle w:val="0152"/>
              <w:spacing w:before="60" w:after="60"/>
              <w:rPr>
                <w:sz w:val="22"/>
                <w:szCs w:val="22"/>
              </w:rPr>
            </w:pPr>
            <w:r w:rsidRPr="00264D5D">
              <w:rPr>
                <w:sz w:val="22"/>
                <w:szCs w:val="22"/>
              </w:rPr>
              <w:t>Сумма. Формат суммы общее количество символов 20, количество символов после разделителя 2. Разделитель «.»</w:t>
            </w:r>
          </w:p>
        </w:tc>
      </w:tr>
      <w:tr w:rsidR="00AD1F54" w:rsidRPr="00264D5D" w14:paraId="73BDF7CA" w14:textId="77777777" w:rsidTr="005A204F">
        <w:trPr>
          <w:cnfStyle w:val="000000100000" w:firstRow="0" w:lastRow="0" w:firstColumn="0" w:lastColumn="0" w:oddVBand="0" w:evenVBand="0" w:oddHBand="1" w:evenHBand="0" w:firstRowFirstColumn="0" w:firstRowLastColumn="0" w:lastRowFirstColumn="0" w:lastRowLastColumn="0"/>
          <w:trHeight w:val="283"/>
        </w:trPr>
        <w:tc>
          <w:tcPr>
            <w:tcW w:w="664" w:type="pct"/>
          </w:tcPr>
          <w:p w14:paraId="6D551E61" w14:textId="77777777" w:rsidR="00AD1F54" w:rsidRPr="00264D5D" w:rsidRDefault="00941227">
            <w:pPr>
              <w:pStyle w:val="EBTablenorm"/>
              <w:ind w:left="57" w:right="57"/>
              <w:contextualSpacing w:val="0"/>
              <w:jc w:val="left"/>
              <w:rPr>
                <w:sz w:val="22"/>
                <w:szCs w:val="22"/>
              </w:rPr>
            </w:pPr>
            <w:r w:rsidRPr="00264D5D">
              <w:rPr>
                <w:sz w:val="22"/>
                <w:szCs w:val="22"/>
              </w:rPr>
              <w:t>JustAmnt1</w:t>
            </w:r>
          </w:p>
        </w:tc>
        <w:tc>
          <w:tcPr>
            <w:tcW w:w="515" w:type="pct"/>
          </w:tcPr>
          <w:p w14:paraId="757B70A3" w14:textId="77777777" w:rsidR="00AD1F54" w:rsidRPr="00264D5D" w:rsidRDefault="00941227">
            <w:pPr>
              <w:pStyle w:val="EBTablenorm"/>
              <w:ind w:left="57" w:right="57"/>
              <w:contextualSpacing w:val="0"/>
              <w:jc w:val="center"/>
              <w:rPr>
                <w:sz w:val="22"/>
                <w:szCs w:val="22"/>
              </w:rPr>
            </w:pPr>
            <w:r w:rsidRPr="00264D5D">
              <w:rPr>
                <w:sz w:val="22"/>
                <w:szCs w:val="22"/>
                <w:lang w:val="en-US"/>
              </w:rPr>
              <w:t>N</w:t>
            </w:r>
            <w:r w:rsidRPr="00264D5D">
              <w:rPr>
                <w:sz w:val="22"/>
                <w:szCs w:val="22"/>
              </w:rPr>
              <w:t>(14.2)</w:t>
            </w:r>
          </w:p>
        </w:tc>
        <w:tc>
          <w:tcPr>
            <w:tcW w:w="3822" w:type="pct"/>
          </w:tcPr>
          <w:p w14:paraId="1B9D11BB" w14:textId="77777777" w:rsidR="00AD1F54" w:rsidRPr="00264D5D" w:rsidRDefault="00941227">
            <w:pPr>
              <w:pStyle w:val="0152"/>
              <w:spacing w:before="60" w:after="60"/>
              <w:rPr>
                <w:sz w:val="22"/>
                <w:szCs w:val="22"/>
              </w:rPr>
            </w:pPr>
            <w:r w:rsidRPr="00264D5D">
              <w:rPr>
                <w:sz w:val="22"/>
                <w:szCs w:val="22"/>
              </w:rPr>
              <w:t>Сумма. Формат суммы общее количество символов 14, количество символов после разделителя 2. Разделитель «.»</w:t>
            </w:r>
          </w:p>
        </w:tc>
      </w:tr>
      <w:tr w:rsidR="00AD1F54" w:rsidRPr="00264D5D" w14:paraId="3E01AACF" w14:textId="77777777" w:rsidTr="005A204F">
        <w:trPr>
          <w:cnfStyle w:val="000000010000" w:firstRow="0" w:lastRow="0" w:firstColumn="0" w:lastColumn="0" w:oddVBand="0" w:evenVBand="0" w:oddHBand="0" w:evenHBand="1" w:firstRowFirstColumn="0" w:firstRowLastColumn="0" w:lastRowFirstColumn="0" w:lastRowLastColumn="0"/>
          <w:trHeight w:val="283"/>
        </w:trPr>
        <w:tc>
          <w:tcPr>
            <w:tcW w:w="664" w:type="pct"/>
          </w:tcPr>
          <w:p w14:paraId="59D7FDD0" w14:textId="77777777" w:rsidR="00AD1F54" w:rsidRPr="00264D5D" w:rsidRDefault="00941227">
            <w:pPr>
              <w:pStyle w:val="EBTablenorm"/>
              <w:ind w:left="57" w:right="57"/>
              <w:contextualSpacing w:val="0"/>
              <w:jc w:val="left"/>
              <w:rPr>
                <w:sz w:val="22"/>
                <w:szCs w:val="22"/>
              </w:rPr>
            </w:pPr>
            <w:r w:rsidRPr="00264D5D">
              <w:rPr>
                <w:sz w:val="22"/>
                <w:szCs w:val="22"/>
              </w:rPr>
              <w:t>tJustAmnt</w:t>
            </w:r>
          </w:p>
        </w:tc>
        <w:tc>
          <w:tcPr>
            <w:tcW w:w="515" w:type="pct"/>
          </w:tcPr>
          <w:p w14:paraId="4E30F119" w14:textId="77777777" w:rsidR="00AD1F54" w:rsidRPr="00264D5D" w:rsidRDefault="00941227">
            <w:pPr>
              <w:pStyle w:val="EBTablenorm"/>
              <w:ind w:left="57" w:right="57"/>
              <w:contextualSpacing w:val="0"/>
              <w:jc w:val="center"/>
              <w:rPr>
                <w:sz w:val="22"/>
                <w:szCs w:val="22"/>
              </w:rPr>
            </w:pPr>
            <w:r w:rsidRPr="00264D5D">
              <w:rPr>
                <w:sz w:val="22"/>
                <w:szCs w:val="22"/>
                <w:lang w:val="en-US"/>
              </w:rPr>
              <w:t>N(</w:t>
            </w:r>
            <w:r w:rsidRPr="00264D5D">
              <w:rPr>
                <w:sz w:val="22"/>
                <w:szCs w:val="22"/>
              </w:rPr>
              <w:t>23.5</w:t>
            </w:r>
            <w:r w:rsidRPr="00264D5D">
              <w:rPr>
                <w:sz w:val="22"/>
                <w:szCs w:val="22"/>
                <w:lang w:val="en-US"/>
              </w:rPr>
              <w:t>)</w:t>
            </w:r>
          </w:p>
        </w:tc>
        <w:tc>
          <w:tcPr>
            <w:tcW w:w="3822" w:type="pct"/>
          </w:tcPr>
          <w:p w14:paraId="469E326F" w14:textId="77777777" w:rsidR="00AD1F54" w:rsidRPr="00264D5D" w:rsidRDefault="00941227">
            <w:pPr>
              <w:pStyle w:val="0152"/>
              <w:spacing w:before="60" w:after="60"/>
              <w:rPr>
                <w:sz w:val="22"/>
                <w:szCs w:val="22"/>
              </w:rPr>
            </w:pPr>
            <w:r w:rsidRPr="00264D5D">
              <w:rPr>
                <w:sz w:val="22"/>
                <w:szCs w:val="22"/>
              </w:rPr>
              <w:t>Сумма (тыс. руб.). Формат суммы общее количество символов 23, количество символов после разделителя 5. Разделитель «.»</w:t>
            </w:r>
          </w:p>
        </w:tc>
      </w:tr>
      <w:tr w:rsidR="00AD1F54" w:rsidRPr="00264D5D" w14:paraId="4EBC05DD" w14:textId="77777777" w:rsidTr="005A204F">
        <w:trPr>
          <w:cnfStyle w:val="000000100000" w:firstRow="0" w:lastRow="0" w:firstColumn="0" w:lastColumn="0" w:oddVBand="0" w:evenVBand="0" w:oddHBand="1" w:evenHBand="0" w:firstRowFirstColumn="0" w:firstRowLastColumn="0" w:lastRowFirstColumn="0" w:lastRowLastColumn="0"/>
          <w:trHeight w:val="283"/>
        </w:trPr>
        <w:tc>
          <w:tcPr>
            <w:tcW w:w="664" w:type="pct"/>
          </w:tcPr>
          <w:p w14:paraId="6102A2E9" w14:textId="77777777" w:rsidR="00AD1F54" w:rsidRPr="00264D5D" w:rsidRDefault="00941227">
            <w:pPr>
              <w:pStyle w:val="EBTablenorm"/>
              <w:ind w:left="57" w:right="57"/>
              <w:contextualSpacing w:val="0"/>
              <w:jc w:val="left"/>
              <w:rPr>
                <w:sz w:val="22"/>
                <w:szCs w:val="22"/>
              </w:rPr>
            </w:pPr>
            <w:r w:rsidRPr="00264D5D">
              <w:rPr>
                <w:sz w:val="22"/>
                <w:szCs w:val="22"/>
                <w:lang w:val="en-US"/>
              </w:rPr>
              <w:t>C</w:t>
            </w:r>
            <w:r w:rsidRPr="00264D5D">
              <w:rPr>
                <w:sz w:val="22"/>
                <w:szCs w:val="22"/>
              </w:rPr>
              <w:t>Amnt</w:t>
            </w:r>
          </w:p>
        </w:tc>
        <w:tc>
          <w:tcPr>
            <w:tcW w:w="515" w:type="pct"/>
          </w:tcPr>
          <w:p w14:paraId="3D30AB12" w14:textId="77777777" w:rsidR="00AD1F54" w:rsidRPr="00264D5D" w:rsidRDefault="00941227">
            <w:pPr>
              <w:pStyle w:val="EBTablenorm"/>
              <w:ind w:left="57" w:right="57"/>
              <w:contextualSpacing w:val="0"/>
              <w:jc w:val="center"/>
              <w:rPr>
                <w:sz w:val="22"/>
                <w:szCs w:val="22"/>
              </w:rPr>
            </w:pPr>
            <w:r w:rsidRPr="00264D5D">
              <w:rPr>
                <w:sz w:val="22"/>
                <w:szCs w:val="22"/>
                <w:lang w:val="en-US"/>
              </w:rPr>
              <w:t>N</w:t>
            </w:r>
            <w:r w:rsidRPr="00264D5D">
              <w:rPr>
                <w:sz w:val="22"/>
                <w:szCs w:val="22"/>
              </w:rPr>
              <w:t>(16.4)</w:t>
            </w:r>
          </w:p>
        </w:tc>
        <w:tc>
          <w:tcPr>
            <w:tcW w:w="3822" w:type="pct"/>
          </w:tcPr>
          <w:p w14:paraId="0F1FB6FF" w14:textId="77777777" w:rsidR="00AD1F54" w:rsidRPr="00264D5D" w:rsidRDefault="00941227">
            <w:pPr>
              <w:pStyle w:val="0152"/>
              <w:spacing w:before="60" w:after="60"/>
              <w:rPr>
                <w:sz w:val="22"/>
                <w:szCs w:val="22"/>
              </w:rPr>
            </w:pPr>
            <w:r w:rsidRPr="00264D5D">
              <w:rPr>
                <w:sz w:val="22"/>
                <w:szCs w:val="22"/>
              </w:rPr>
              <w:t xml:space="preserve">Курс иностранной валюты по отношению к рублю. Формат курса общее количество символов 16, количество символов после разделителя 4. </w:t>
            </w:r>
            <w:r w:rsidRPr="00264D5D">
              <w:rPr>
                <w:sz w:val="22"/>
                <w:szCs w:val="22"/>
              </w:rPr>
              <w:lastRenderedPageBreak/>
              <w:t>Разделитель «.»</w:t>
            </w:r>
          </w:p>
        </w:tc>
      </w:tr>
      <w:tr w:rsidR="00AD1F54" w:rsidRPr="00264D5D" w14:paraId="12615C4F" w14:textId="77777777" w:rsidTr="005A204F">
        <w:trPr>
          <w:cnfStyle w:val="000000010000" w:firstRow="0" w:lastRow="0" w:firstColumn="0" w:lastColumn="0" w:oddVBand="0" w:evenVBand="0" w:oddHBand="0" w:evenHBand="1" w:firstRowFirstColumn="0" w:firstRowLastColumn="0" w:lastRowFirstColumn="0" w:lastRowLastColumn="0"/>
          <w:trHeight w:val="283"/>
        </w:trPr>
        <w:tc>
          <w:tcPr>
            <w:tcW w:w="664" w:type="pct"/>
          </w:tcPr>
          <w:p w14:paraId="1E39D617" w14:textId="77777777" w:rsidR="00AD1F54" w:rsidRPr="00264D5D" w:rsidRDefault="00941227">
            <w:pPr>
              <w:pStyle w:val="EBTablenorm"/>
              <w:ind w:left="57" w:right="57"/>
              <w:contextualSpacing w:val="0"/>
              <w:jc w:val="left"/>
              <w:rPr>
                <w:sz w:val="22"/>
                <w:szCs w:val="22"/>
              </w:rPr>
            </w:pPr>
            <w:r w:rsidRPr="00264D5D">
              <w:rPr>
                <w:sz w:val="22"/>
                <w:szCs w:val="22"/>
              </w:rPr>
              <w:lastRenderedPageBreak/>
              <w:t>tPAmnt</w:t>
            </w:r>
          </w:p>
        </w:tc>
        <w:tc>
          <w:tcPr>
            <w:tcW w:w="515" w:type="pct"/>
          </w:tcPr>
          <w:p w14:paraId="2BD6EBED" w14:textId="77777777" w:rsidR="00AD1F54" w:rsidRPr="00264D5D" w:rsidRDefault="00941227">
            <w:pPr>
              <w:pStyle w:val="EBTablenorm"/>
              <w:ind w:left="57" w:right="57"/>
              <w:contextualSpacing w:val="0"/>
              <w:jc w:val="center"/>
              <w:rPr>
                <w:sz w:val="22"/>
                <w:szCs w:val="22"/>
              </w:rPr>
            </w:pPr>
            <w:r w:rsidRPr="00264D5D">
              <w:rPr>
                <w:sz w:val="22"/>
                <w:szCs w:val="22"/>
                <w:lang w:val="en-US"/>
              </w:rPr>
              <w:t>N</w:t>
            </w:r>
            <w:r w:rsidRPr="00264D5D">
              <w:rPr>
                <w:sz w:val="22"/>
                <w:szCs w:val="22"/>
              </w:rPr>
              <w:t>(7.4)</w:t>
            </w:r>
          </w:p>
        </w:tc>
        <w:tc>
          <w:tcPr>
            <w:tcW w:w="3822" w:type="pct"/>
          </w:tcPr>
          <w:p w14:paraId="6F25A615" w14:textId="77777777" w:rsidR="00AD1F54" w:rsidRPr="00264D5D" w:rsidRDefault="00941227">
            <w:pPr>
              <w:pStyle w:val="0152"/>
              <w:spacing w:before="60" w:after="60"/>
              <w:rPr>
                <w:sz w:val="22"/>
                <w:szCs w:val="22"/>
              </w:rPr>
            </w:pPr>
            <w:r w:rsidRPr="00264D5D">
              <w:rPr>
                <w:sz w:val="22"/>
                <w:szCs w:val="22"/>
              </w:rPr>
              <w:t>Процент. Представляется действительным числом с десятичным разделителем, содержащим не более 3 знаков до разделителя и не более 4 знаков после разделителя (в качестве десятичного разде</w:t>
            </w:r>
            <w:r w:rsidR="005A204F" w:rsidRPr="00264D5D">
              <w:rPr>
                <w:sz w:val="22"/>
                <w:szCs w:val="22"/>
              </w:rPr>
              <w:t>лителя используется символ «.»)</w:t>
            </w:r>
          </w:p>
        </w:tc>
      </w:tr>
      <w:tr w:rsidR="00AD1F54" w:rsidRPr="00264D5D" w14:paraId="16A2B8EF" w14:textId="77777777" w:rsidTr="005A204F">
        <w:trPr>
          <w:cnfStyle w:val="000000100000" w:firstRow="0" w:lastRow="0" w:firstColumn="0" w:lastColumn="0" w:oddVBand="0" w:evenVBand="0" w:oddHBand="1" w:evenHBand="0" w:firstRowFirstColumn="0" w:firstRowLastColumn="0" w:lastRowFirstColumn="0" w:lastRowLastColumn="0"/>
          <w:trHeight w:val="283"/>
        </w:trPr>
        <w:tc>
          <w:tcPr>
            <w:tcW w:w="664" w:type="pct"/>
          </w:tcPr>
          <w:p w14:paraId="3C1EECBC" w14:textId="77777777" w:rsidR="00AD1F54" w:rsidRPr="00264D5D" w:rsidRDefault="00941227">
            <w:pPr>
              <w:pStyle w:val="EBTablenorm"/>
              <w:ind w:left="57" w:right="57"/>
              <w:contextualSpacing w:val="0"/>
              <w:jc w:val="left"/>
              <w:rPr>
                <w:sz w:val="22"/>
                <w:szCs w:val="22"/>
              </w:rPr>
            </w:pPr>
            <w:r w:rsidRPr="00264D5D">
              <w:rPr>
                <w:sz w:val="22"/>
                <w:szCs w:val="22"/>
              </w:rPr>
              <w:t>tPAmnt1</w:t>
            </w:r>
          </w:p>
        </w:tc>
        <w:tc>
          <w:tcPr>
            <w:tcW w:w="515" w:type="pct"/>
          </w:tcPr>
          <w:p w14:paraId="096CBE51" w14:textId="77777777" w:rsidR="00AD1F54" w:rsidRPr="00264D5D" w:rsidRDefault="00941227">
            <w:pPr>
              <w:pStyle w:val="EBTablenorm"/>
              <w:ind w:left="57" w:right="57"/>
              <w:contextualSpacing w:val="0"/>
              <w:jc w:val="center"/>
              <w:rPr>
                <w:sz w:val="22"/>
                <w:szCs w:val="22"/>
                <w:lang w:val="en-US"/>
              </w:rPr>
            </w:pPr>
            <w:r w:rsidRPr="00264D5D">
              <w:rPr>
                <w:sz w:val="22"/>
                <w:szCs w:val="22"/>
                <w:lang w:val="en-US"/>
              </w:rPr>
              <w:t>N</w:t>
            </w:r>
            <w:r w:rsidRPr="00264D5D">
              <w:rPr>
                <w:sz w:val="22"/>
                <w:szCs w:val="22"/>
              </w:rPr>
              <w:t>(5.2)</w:t>
            </w:r>
          </w:p>
        </w:tc>
        <w:tc>
          <w:tcPr>
            <w:tcW w:w="3822" w:type="pct"/>
          </w:tcPr>
          <w:p w14:paraId="2BCDF0FC" w14:textId="77777777" w:rsidR="00AD1F54" w:rsidRPr="00264D5D" w:rsidRDefault="00941227">
            <w:pPr>
              <w:pStyle w:val="0152"/>
              <w:spacing w:before="60" w:after="60"/>
              <w:rPr>
                <w:sz w:val="22"/>
                <w:szCs w:val="22"/>
              </w:rPr>
            </w:pPr>
            <w:r w:rsidRPr="00264D5D">
              <w:rPr>
                <w:sz w:val="22"/>
                <w:szCs w:val="22"/>
              </w:rPr>
              <w:t>Процент. Формат процента общее количество символов 5. Представляется действительным числом с десятичным разделителем, содержащим не более 3 знаков до разделителя и не более 2 знаков после разделителя (в качестве десятичного разде</w:t>
            </w:r>
            <w:r w:rsidR="005A204F" w:rsidRPr="00264D5D">
              <w:rPr>
                <w:sz w:val="22"/>
                <w:szCs w:val="22"/>
              </w:rPr>
              <w:t>лителя используется символ «.»)</w:t>
            </w:r>
          </w:p>
        </w:tc>
      </w:tr>
    </w:tbl>
    <w:p w14:paraId="7B9D63F0" w14:textId="77777777" w:rsidR="00AD1F54" w:rsidRPr="0004431E" w:rsidRDefault="00941227">
      <w:pPr>
        <w:pStyle w:val="22"/>
        <w:rPr>
          <w:highlight w:val="green"/>
        </w:rPr>
      </w:pPr>
      <w:bookmarkStart w:id="337" w:name="_Toc219309439"/>
      <w:r w:rsidRPr="0004431E">
        <w:rPr>
          <w:highlight w:val="green"/>
        </w:rPr>
        <w:t>Общее описание структуры XML</w:t>
      </w:r>
      <w:bookmarkEnd w:id="331"/>
      <w:bookmarkEnd w:id="337"/>
    </w:p>
    <w:p w14:paraId="600FFA74" w14:textId="77777777" w:rsidR="00AD1F54" w:rsidRPr="00264D5D" w:rsidRDefault="00941227">
      <w:pPr>
        <w:pStyle w:val="ASFKNormal"/>
        <w:spacing w:before="60" w:after="120"/>
        <w:contextualSpacing w:val="0"/>
        <w:jc w:val="both"/>
        <w:rPr>
          <w:sz w:val="24"/>
          <w:szCs w:val="24"/>
        </w:rPr>
      </w:pPr>
      <w:r w:rsidRPr="00264D5D">
        <w:rPr>
          <w:sz w:val="24"/>
          <w:szCs w:val="24"/>
        </w:rPr>
        <w:t xml:space="preserve">В общем виде структура </w:t>
      </w:r>
      <w:r w:rsidRPr="00264D5D">
        <w:rPr>
          <w:rFonts w:eastAsia="Calibri"/>
          <w:sz w:val="24"/>
          <w:szCs w:val="24"/>
          <w:lang w:val="en-US"/>
        </w:rPr>
        <w:t>xml</w:t>
      </w:r>
      <w:r w:rsidRPr="00264D5D">
        <w:rPr>
          <w:rFonts w:eastAsia="Calibri"/>
          <w:sz w:val="24"/>
          <w:szCs w:val="24"/>
        </w:rPr>
        <w:t>-</w:t>
      </w:r>
      <w:r w:rsidRPr="00264D5D">
        <w:rPr>
          <w:sz w:val="24"/>
          <w:szCs w:val="24"/>
        </w:rPr>
        <w:t>сообщения может быть следующих видов:</w:t>
      </w:r>
    </w:p>
    <w:p w14:paraId="60080F2D" w14:textId="77777777" w:rsidR="00AD1F54" w:rsidRPr="00264D5D" w:rsidRDefault="00941227">
      <w:pPr>
        <w:pStyle w:val="31"/>
      </w:pPr>
      <w:bookmarkStart w:id="338" w:name="_Toc110417224"/>
      <w:bookmarkStart w:id="339" w:name="_Toc219309440"/>
      <w:r w:rsidRPr="00264D5D">
        <w:t>Файловое взаимодействие по формату формуляра</w:t>
      </w:r>
      <w:bookmarkEnd w:id="338"/>
      <w:bookmarkEnd w:id="339"/>
    </w:p>
    <w:p w14:paraId="303B25CA" w14:textId="77777777" w:rsidR="00AD1F54" w:rsidRPr="00264D5D" w:rsidRDefault="00941227">
      <w:pPr>
        <w:ind w:firstLine="567"/>
        <w:rPr>
          <w:b/>
        </w:rPr>
      </w:pPr>
      <w:r w:rsidRPr="00264D5D">
        <w:rPr>
          <w:b/>
        </w:rPr>
        <w:t>Вид 1 (</w:t>
      </w:r>
      <w:r w:rsidRPr="00264D5D">
        <w:rPr>
          <w:b/>
          <w:lang w:val="en-US"/>
        </w:rPr>
        <w:t>exchangePacket</w:t>
      </w:r>
      <w:r w:rsidRPr="00264D5D">
        <w:rPr>
          <w:b/>
        </w:rPr>
        <w:t xml:space="preserve"> + </w:t>
      </w:r>
      <w:r w:rsidRPr="00264D5D">
        <w:rPr>
          <w:b/>
          <w:lang w:val="en-US"/>
        </w:rPr>
        <w:t>formular</w:t>
      </w:r>
      <w:r w:rsidRPr="00264D5D">
        <w:rPr>
          <w:b/>
        </w:rPr>
        <w:t>):</w:t>
      </w:r>
    </w:p>
    <w:p w14:paraId="68257432"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&lt;? xml version ="1.0" encoding="UTF-8"?&gt;</w:t>
      </w:r>
    </w:p>
    <w:p w14:paraId="7FE79CBE"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&lt;exchangePacket&gt;</w:t>
      </w:r>
    </w:p>
    <w:p w14:paraId="73752B84"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&lt;packetHeader&gt;</w:t>
      </w:r>
    </w:p>
    <w:p w14:paraId="711368F3"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ab/>
      </w:r>
      <w:r w:rsidRPr="008B26A8">
        <w:rPr>
          <w:rFonts w:cs="Courier New"/>
          <w:sz w:val="20"/>
        </w:rPr>
        <w:tab/>
        <w:t>&lt;serviceInfo&gt;</w:t>
      </w:r>
    </w:p>
    <w:p w14:paraId="10AE382D"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ab/>
      </w:r>
      <w:r w:rsidRPr="008B26A8">
        <w:rPr>
          <w:rFonts w:cs="Courier New"/>
          <w:sz w:val="20"/>
        </w:rPr>
        <w:tab/>
        <w:t>…</w:t>
      </w:r>
    </w:p>
    <w:p w14:paraId="06ADE09B"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ab/>
      </w:r>
      <w:r w:rsidRPr="008B26A8">
        <w:rPr>
          <w:rFonts w:cs="Courier New"/>
          <w:sz w:val="20"/>
        </w:rPr>
        <w:tab/>
        <w:t>&lt;/serviceInfo&gt;</w:t>
      </w:r>
    </w:p>
    <w:p w14:paraId="578E4E02"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ab/>
      </w:r>
      <w:r w:rsidRPr="008B26A8">
        <w:rPr>
          <w:rFonts w:cs="Courier New"/>
          <w:sz w:val="20"/>
        </w:rPr>
        <w:tab/>
        <w:t>&lt;senderParty&gt;</w:t>
      </w:r>
    </w:p>
    <w:p w14:paraId="0953894F"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w:t>
      </w:r>
    </w:p>
    <w:p w14:paraId="64C7425C"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&lt;/senderParty&gt;</w:t>
      </w:r>
    </w:p>
    <w:p w14:paraId="4B49B922"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&lt;receiverParty&gt;</w:t>
      </w:r>
    </w:p>
    <w:p w14:paraId="665034E7"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ab/>
      </w:r>
      <w:r w:rsidRPr="008B26A8">
        <w:rPr>
          <w:rFonts w:cs="Courier New"/>
          <w:sz w:val="20"/>
        </w:rPr>
        <w:tab/>
        <w:t>…</w:t>
      </w:r>
    </w:p>
    <w:p w14:paraId="2E0A5CCF"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&lt;/receiverParty&gt;</w:t>
      </w:r>
    </w:p>
    <w:p w14:paraId="5E973156"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&lt;/packetHeader&gt;</w:t>
      </w:r>
    </w:p>
    <w:p w14:paraId="694C9CA9"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ab/>
      </w:r>
    </w:p>
    <w:p w14:paraId="3B22F93B"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&lt;formularCollection&gt;</w:t>
      </w:r>
    </w:p>
    <w:p w14:paraId="47C00D3F"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ab/>
      </w:r>
      <w:r w:rsidRPr="008B26A8">
        <w:rPr>
          <w:rFonts w:cs="Courier New"/>
          <w:sz w:val="20"/>
        </w:rPr>
        <w:tab/>
        <w:t>&lt;formular&gt;</w:t>
      </w:r>
    </w:p>
    <w:p w14:paraId="2DC9084C"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ab/>
      </w:r>
      <w:r w:rsidRPr="008B26A8">
        <w:rPr>
          <w:rFonts w:cs="Courier New"/>
          <w:sz w:val="20"/>
        </w:rPr>
        <w:tab/>
        <w:t>…</w:t>
      </w:r>
    </w:p>
    <w:p w14:paraId="1450205B"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ab/>
      </w:r>
      <w:r w:rsidRPr="008B26A8">
        <w:rPr>
          <w:rFonts w:cs="Courier New"/>
          <w:sz w:val="20"/>
        </w:rPr>
        <w:tab/>
        <w:t>&lt;/formular&gt;</w:t>
      </w:r>
    </w:p>
    <w:p w14:paraId="60F6073E"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&lt;/formularCollection&gt;</w:t>
      </w:r>
    </w:p>
    <w:p w14:paraId="5980BA9A"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sz w:val="20"/>
        </w:rPr>
      </w:pPr>
      <w:r w:rsidRPr="008B26A8">
        <w:rPr>
          <w:rFonts w:cs="Courier New"/>
          <w:sz w:val="20"/>
        </w:rPr>
        <w:t>&lt;/exchangePacket&gt;</w:t>
      </w:r>
    </w:p>
    <w:p w14:paraId="3A83810F" w14:textId="77777777" w:rsidR="00AD1F54" w:rsidRPr="00264D5D" w:rsidRDefault="00941227">
      <w:pPr>
        <w:pStyle w:val="ASFKNormal"/>
        <w:spacing w:before="60" w:after="120"/>
        <w:contextualSpacing w:val="0"/>
        <w:jc w:val="both"/>
        <w:rPr>
          <w:sz w:val="24"/>
          <w:szCs w:val="24"/>
        </w:rPr>
      </w:pPr>
      <w:r w:rsidRPr="00264D5D">
        <w:rPr>
          <w:sz w:val="24"/>
          <w:szCs w:val="24"/>
        </w:rPr>
        <w:t>Корневой</w:t>
      </w:r>
      <w:r w:rsidRPr="008D797C">
        <w:rPr>
          <w:sz w:val="24"/>
          <w:szCs w:val="24"/>
        </w:rPr>
        <w:t xml:space="preserve"> </w:t>
      </w:r>
      <w:r w:rsidRPr="00264D5D">
        <w:rPr>
          <w:sz w:val="24"/>
          <w:szCs w:val="24"/>
        </w:rPr>
        <w:t>тег</w:t>
      </w:r>
      <w:r w:rsidRPr="008D797C">
        <w:rPr>
          <w:sz w:val="24"/>
          <w:szCs w:val="24"/>
        </w:rPr>
        <w:t xml:space="preserve"> </w:t>
      </w:r>
      <w:r w:rsidRPr="00264D5D">
        <w:rPr>
          <w:sz w:val="24"/>
          <w:szCs w:val="24"/>
        </w:rPr>
        <w:t>пакета</w:t>
      </w:r>
      <w:r w:rsidRPr="008D797C">
        <w:rPr>
          <w:sz w:val="24"/>
          <w:szCs w:val="24"/>
        </w:rPr>
        <w:t xml:space="preserve"> </w:t>
      </w:r>
      <w:r w:rsidRPr="00264D5D">
        <w:rPr>
          <w:rFonts w:eastAsia="Calibri"/>
          <w:sz w:val="24"/>
          <w:szCs w:val="24"/>
          <w:lang w:val="en-US"/>
        </w:rPr>
        <w:t>xml</w:t>
      </w:r>
      <w:r w:rsidRPr="008D797C">
        <w:rPr>
          <w:rFonts w:eastAsia="Calibri"/>
          <w:sz w:val="24"/>
          <w:szCs w:val="24"/>
        </w:rPr>
        <w:t>-</w:t>
      </w:r>
      <w:r w:rsidRPr="00264D5D">
        <w:rPr>
          <w:sz w:val="24"/>
          <w:szCs w:val="24"/>
        </w:rPr>
        <w:t>сообщения</w:t>
      </w:r>
      <w:r w:rsidRPr="008D797C">
        <w:rPr>
          <w:sz w:val="24"/>
          <w:szCs w:val="24"/>
        </w:rPr>
        <w:t xml:space="preserve"> – </w:t>
      </w:r>
      <w:r w:rsidRPr="00264D5D">
        <w:rPr>
          <w:sz w:val="24"/>
          <w:szCs w:val="24"/>
          <w:lang w:val="en-US"/>
        </w:rPr>
        <w:t>exchangePacket</w:t>
      </w:r>
      <w:r w:rsidRPr="008D797C">
        <w:rPr>
          <w:sz w:val="24"/>
          <w:szCs w:val="24"/>
        </w:rPr>
        <w:t xml:space="preserve">. </w:t>
      </w:r>
      <w:r w:rsidRPr="00264D5D">
        <w:rPr>
          <w:sz w:val="24"/>
          <w:szCs w:val="24"/>
        </w:rPr>
        <w:t>Пакет состоит из двух областей описания данных «</w:t>
      </w:r>
      <w:r w:rsidRPr="00264D5D">
        <w:rPr>
          <w:sz w:val="24"/>
          <w:szCs w:val="24"/>
          <w:lang w:val="en-US"/>
        </w:rPr>
        <w:t>packetHeader</w:t>
      </w:r>
      <w:r w:rsidRPr="00264D5D">
        <w:rPr>
          <w:sz w:val="24"/>
          <w:szCs w:val="24"/>
        </w:rPr>
        <w:t>» и «</w:t>
      </w:r>
      <w:r w:rsidRPr="00264D5D">
        <w:rPr>
          <w:sz w:val="24"/>
          <w:szCs w:val="24"/>
          <w:lang w:val="en-US"/>
        </w:rPr>
        <w:t>formularCollection</w:t>
      </w:r>
      <w:r w:rsidRPr="00264D5D">
        <w:rPr>
          <w:sz w:val="24"/>
          <w:szCs w:val="24"/>
        </w:rPr>
        <w:t xml:space="preserve">». </w:t>
      </w:r>
    </w:p>
    <w:p w14:paraId="61FAF17E" w14:textId="77777777" w:rsidR="00AD1F54" w:rsidRPr="00264D5D" w:rsidRDefault="00941227">
      <w:pPr>
        <w:pStyle w:val="ASFKNormal"/>
        <w:spacing w:before="60" w:after="120"/>
        <w:contextualSpacing w:val="0"/>
        <w:jc w:val="both"/>
        <w:rPr>
          <w:sz w:val="24"/>
          <w:szCs w:val="24"/>
        </w:rPr>
      </w:pPr>
      <w:r w:rsidRPr="00264D5D">
        <w:rPr>
          <w:sz w:val="24"/>
          <w:szCs w:val="24"/>
        </w:rPr>
        <w:t>Область данных «</w:t>
      </w:r>
      <w:r w:rsidRPr="00264D5D">
        <w:rPr>
          <w:sz w:val="24"/>
          <w:szCs w:val="24"/>
          <w:lang w:val="en-US"/>
        </w:rPr>
        <w:t>packetHeader</w:t>
      </w:r>
      <w:r w:rsidRPr="00264D5D">
        <w:rPr>
          <w:sz w:val="24"/>
          <w:szCs w:val="24"/>
        </w:rPr>
        <w:t>» содержит описание заголовка пакета и включает в себя блоки сервисной информации, информации об организации, сформировавшей пакет, и информации об организации получателя пакета.</w:t>
      </w:r>
    </w:p>
    <w:p w14:paraId="730F4ED4" w14:textId="60160F02" w:rsidR="00AD1F54" w:rsidRPr="00264D5D" w:rsidRDefault="00941227">
      <w:pPr>
        <w:pStyle w:val="ASFKNormal"/>
        <w:spacing w:before="60" w:after="120"/>
        <w:contextualSpacing w:val="0"/>
        <w:jc w:val="both"/>
        <w:rPr>
          <w:sz w:val="24"/>
          <w:szCs w:val="24"/>
        </w:rPr>
      </w:pPr>
      <w:r w:rsidRPr="00264D5D">
        <w:rPr>
          <w:sz w:val="24"/>
          <w:szCs w:val="24"/>
        </w:rPr>
        <w:t>Область данных «</w:t>
      </w:r>
      <w:r w:rsidRPr="00264D5D">
        <w:rPr>
          <w:sz w:val="24"/>
          <w:szCs w:val="24"/>
          <w:lang w:val="en-US"/>
        </w:rPr>
        <w:t>formularCollection</w:t>
      </w:r>
      <w:r w:rsidRPr="00264D5D">
        <w:rPr>
          <w:sz w:val="24"/>
          <w:szCs w:val="24"/>
        </w:rPr>
        <w:t xml:space="preserve">» </w:t>
      </w:r>
      <w:r w:rsidRPr="00264D5D">
        <w:t>–</w:t>
      </w:r>
      <w:r w:rsidRPr="00264D5D">
        <w:rPr>
          <w:sz w:val="24"/>
          <w:szCs w:val="24"/>
        </w:rPr>
        <w:t xml:space="preserve"> условное наименование, содержит описание бизнес данных пакета и включает элемент «</w:t>
      </w:r>
      <w:r w:rsidRPr="00264D5D">
        <w:rPr>
          <w:sz w:val="24"/>
          <w:szCs w:val="24"/>
          <w:lang w:val="en-US"/>
        </w:rPr>
        <w:t>formular</w:t>
      </w:r>
      <w:r w:rsidRPr="00264D5D">
        <w:rPr>
          <w:sz w:val="24"/>
          <w:szCs w:val="24"/>
        </w:rPr>
        <w:t xml:space="preserve">» с данными по одному документу. Каждый тип документа имеет свой код массива информации согласно таблице </w:t>
      </w:r>
      <w:r w:rsidRPr="00264D5D">
        <w:rPr>
          <w:sz w:val="24"/>
          <w:szCs w:val="24"/>
        </w:rPr>
        <w:fldChar w:fldCharType="begin"/>
      </w:r>
      <w:r w:rsidRPr="00264D5D">
        <w:rPr>
          <w:sz w:val="24"/>
          <w:szCs w:val="24"/>
        </w:rPr>
        <w:instrText xml:space="preserve"> REF _Ref19881821 \h  \* MERGEFORMAT </w:instrText>
      </w:r>
      <w:r w:rsidRPr="00264D5D">
        <w:rPr>
          <w:sz w:val="24"/>
          <w:szCs w:val="24"/>
        </w:rPr>
      </w:r>
      <w:r w:rsidRPr="00264D5D">
        <w:rPr>
          <w:sz w:val="24"/>
          <w:szCs w:val="24"/>
        </w:rPr>
        <w:fldChar w:fldCharType="separate"/>
      </w:r>
      <w:r w:rsidR="008D797C" w:rsidRPr="008D797C">
        <w:rPr>
          <w:rFonts w:eastAsia="Calibri"/>
          <w:sz w:val="24"/>
          <w:szCs w:val="24"/>
        </w:rPr>
        <w:t>2</w:t>
      </w:r>
      <w:r w:rsidRPr="00264D5D">
        <w:rPr>
          <w:sz w:val="24"/>
          <w:szCs w:val="24"/>
        </w:rPr>
        <w:fldChar w:fldCharType="end"/>
      </w:r>
      <w:r w:rsidRPr="00264D5D">
        <w:rPr>
          <w:sz w:val="24"/>
          <w:szCs w:val="24"/>
        </w:rPr>
        <w:t xml:space="preserve">. Например, для документа «Сведения о бюджетном обязательстве» </w:t>
      </w:r>
      <w:r w:rsidRPr="00264D5D">
        <w:t>–</w:t>
      </w:r>
      <w:r w:rsidRPr="00264D5D">
        <w:rPr>
          <w:sz w:val="24"/>
          <w:szCs w:val="24"/>
        </w:rPr>
        <w:t xml:space="preserve"> EXP_InfBO, для документа «Сведения о денежном обязательстве» </w:t>
      </w:r>
      <w:r w:rsidRPr="00264D5D">
        <w:t>–</w:t>
      </w:r>
      <w:r w:rsidRPr="00264D5D">
        <w:rPr>
          <w:sz w:val="24"/>
          <w:szCs w:val="24"/>
        </w:rPr>
        <w:t xml:space="preserve"> EXP_SDO.</w:t>
      </w:r>
    </w:p>
    <w:p w14:paraId="2D5015F9" w14:textId="77777777" w:rsidR="00AD1F54" w:rsidRPr="00264D5D" w:rsidRDefault="00941227">
      <w:pPr>
        <w:pStyle w:val="ASFKNormal"/>
        <w:spacing w:before="60" w:after="120"/>
        <w:contextualSpacing w:val="0"/>
        <w:jc w:val="both"/>
        <w:rPr>
          <w:sz w:val="24"/>
          <w:szCs w:val="24"/>
        </w:rPr>
      </w:pPr>
      <w:r w:rsidRPr="00264D5D">
        <w:rPr>
          <w:sz w:val="24"/>
          <w:szCs w:val="24"/>
        </w:rPr>
        <w:lastRenderedPageBreak/>
        <w:t xml:space="preserve">При сервисном взаимодействии допускается использование структуры </w:t>
      </w:r>
      <w:r w:rsidRPr="00264D5D">
        <w:rPr>
          <w:sz w:val="24"/>
          <w:szCs w:val="24"/>
          <w:lang w:val="en-US"/>
        </w:rPr>
        <w:t>xml</w:t>
      </w:r>
      <w:r w:rsidRPr="00264D5D">
        <w:rPr>
          <w:sz w:val="24"/>
          <w:szCs w:val="24"/>
        </w:rPr>
        <w:t xml:space="preserve">-сообщения для файлового взаимодействия. </w:t>
      </w:r>
    </w:p>
    <w:p w14:paraId="7467CE24" w14:textId="77777777" w:rsidR="00AD1F54" w:rsidRPr="00264D5D" w:rsidRDefault="00941227">
      <w:pPr>
        <w:pStyle w:val="ASFKNormal"/>
        <w:spacing w:before="60" w:after="120"/>
        <w:contextualSpacing w:val="0"/>
        <w:jc w:val="both"/>
        <w:rPr>
          <w:sz w:val="24"/>
          <w:szCs w:val="24"/>
          <w:lang w:eastAsia="en-US"/>
        </w:rPr>
      </w:pPr>
      <w:r w:rsidRPr="00264D5D">
        <w:rPr>
          <w:sz w:val="24"/>
          <w:szCs w:val="24"/>
        </w:rPr>
        <w:t>Файловое</w:t>
      </w:r>
      <w:r w:rsidRPr="00264D5D">
        <w:rPr>
          <w:sz w:val="24"/>
          <w:szCs w:val="24"/>
          <w:lang w:eastAsia="en-US"/>
        </w:rPr>
        <w:t xml:space="preserve"> взаимодействие ППО АСФК – ПФХД применяется для следующих документов: </w:t>
      </w:r>
    </w:p>
    <w:p w14:paraId="4D5C2F5E" w14:textId="77777777" w:rsidR="00AD1F54" w:rsidRPr="00264D5D" w:rsidRDefault="00941227">
      <w:pPr>
        <w:pStyle w:val="af5"/>
        <w:ind w:left="879" w:hanging="709"/>
      </w:pPr>
      <w:r w:rsidRPr="00264D5D">
        <w:t xml:space="preserve">1.     </w:t>
      </w:r>
      <w:r w:rsidRPr="00264D5D">
        <w:rPr>
          <w:shd w:val="clear" w:color="auto" w:fill="FFFFFF"/>
        </w:rPr>
        <w:t>«Расчетный документ»;</w:t>
      </w:r>
    </w:p>
    <w:p w14:paraId="6491FF64" w14:textId="77777777" w:rsidR="00AD1F54" w:rsidRPr="00264D5D" w:rsidRDefault="00941227">
      <w:pPr>
        <w:pStyle w:val="af5"/>
        <w:ind w:left="879" w:hanging="709"/>
      </w:pPr>
      <w:r w:rsidRPr="00264D5D">
        <w:t xml:space="preserve">2.     </w:t>
      </w:r>
      <w:r w:rsidRPr="00264D5D">
        <w:rPr>
          <w:shd w:val="clear" w:color="auto" w:fill="FFFFFF"/>
        </w:rPr>
        <w:t>«Квитанция»;</w:t>
      </w:r>
    </w:p>
    <w:p w14:paraId="4FFF7BCA" w14:textId="77777777" w:rsidR="00AD1F54" w:rsidRPr="00264D5D" w:rsidRDefault="00941227">
      <w:pPr>
        <w:pStyle w:val="af5"/>
        <w:ind w:left="879" w:hanging="709"/>
      </w:pPr>
      <w:r w:rsidRPr="00264D5D">
        <w:t xml:space="preserve">3.     </w:t>
      </w:r>
      <w:r w:rsidRPr="00264D5D">
        <w:rPr>
          <w:shd w:val="clear" w:color="auto" w:fill="FFFFFF"/>
        </w:rPr>
        <w:t>«Выписка из казначейского счета»;</w:t>
      </w:r>
    </w:p>
    <w:p w14:paraId="173CD3C5" w14:textId="77777777" w:rsidR="00AD1F54" w:rsidRPr="00264D5D" w:rsidRDefault="00941227">
      <w:pPr>
        <w:pStyle w:val="af5"/>
        <w:ind w:left="879" w:hanging="709"/>
        <w:rPr>
          <w:shd w:val="clear" w:color="auto" w:fill="FFFFFF"/>
        </w:rPr>
      </w:pPr>
      <w:r w:rsidRPr="00264D5D">
        <w:t>4.      </w:t>
      </w:r>
      <w:r w:rsidRPr="00264D5D">
        <w:rPr>
          <w:shd w:val="clear" w:color="auto" w:fill="FFFFFF"/>
        </w:rPr>
        <w:t>«</w:t>
      </w:r>
      <w:r w:rsidRPr="00264D5D">
        <w:t>Информация из документов, подтверждающих операции клиентов Федерального казначейства при расчетах с контрагентами</w:t>
      </w:r>
      <w:r w:rsidRPr="00264D5D">
        <w:rPr>
          <w:shd w:val="clear" w:color="auto" w:fill="FFFFFF"/>
        </w:rPr>
        <w:t>».</w:t>
      </w:r>
    </w:p>
    <w:p w14:paraId="1394E8D0" w14:textId="77777777" w:rsidR="00AD1F54" w:rsidRPr="0004431E" w:rsidRDefault="00941227">
      <w:pPr>
        <w:pStyle w:val="31"/>
        <w:rPr>
          <w:highlight w:val="green"/>
        </w:rPr>
      </w:pPr>
      <w:bookmarkStart w:id="340" w:name="_Toc110417225"/>
      <w:bookmarkStart w:id="341" w:name="_Toc219309441"/>
      <w:r w:rsidRPr="0004431E">
        <w:rPr>
          <w:highlight w:val="green"/>
        </w:rPr>
        <w:t>Сервисное взаимодействие по формату формуляра</w:t>
      </w:r>
      <w:bookmarkEnd w:id="341"/>
      <w:r w:rsidRPr="0004431E">
        <w:rPr>
          <w:highlight w:val="green"/>
        </w:rPr>
        <w:t xml:space="preserve"> </w:t>
      </w:r>
      <w:bookmarkEnd w:id="340"/>
    </w:p>
    <w:p w14:paraId="52B42889" w14:textId="77777777" w:rsidR="00AD1F54" w:rsidRPr="00264D5D" w:rsidRDefault="00941227">
      <w:pPr>
        <w:ind w:firstLine="567"/>
        <w:rPr>
          <w:b/>
        </w:rPr>
      </w:pPr>
      <w:r w:rsidRPr="00264D5D">
        <w:rPr>
          <w:b/>
        </w:rPr>
        <w:t>Вид 2 (</w:t>
      </w:r>
      <w:r w:rsidRPr="00264D5D">
        <w:rPr>
          <w:b/>
          <w:lang w:val="en-US"/>
        </w:rPr>
        <w:t>formular</w:t>
      </w:r>
      <w:r w:rsidRPr="00264D5D">
        <w:rPr>
          <w:b/>
        </w:rPr>
        <w:t>):</w:t>
      </w:r>
    </w:p>
    <w:p w14:paraId="6483F9B7" w14:textId="417EE09D" w:rsidR="00AD1F54" w:rsidRPr="00264D5D" w:rsidRDefault="00941227">
      <w:pPr>
        <w:spacing w:before="60" w:after="120"/>
        <w:ind w:firstLine="567"/>
        <w:rPr>
          <w:szCs w:val="24"/>
        </w:rPr>
      </w:pPr>
      <w:r w:rsidRPr="00264D5D">
        <w:rPr>
          <w:szCs w:val="24"/>
        </w:rPr>
        <w:t xml:space="preserve">Корневой тег пакета </w:t>
      </w:r>
      <w:r w:rsidRPr="00264D5D">
        <w:rPr>
          <w:rFonts w:eastAsia="Calibri"/>
          <w:szCs w:val="24"/>
          <w:lang w:val="en-US"/>
        </w:rPr>
        <w:t>xml</w:t>
      </w:r>
      <w:r w:rsidRPr="00264D5D">
        <w:rPr>
          <w:rFonts w:eastAsia="Calibri"/>
          <w:szCs w:val="24"/>
        </w:rPr>
        <w:t>-</w:t>
      </w:r>
      <w:r w:rsidRPr="00264D5D">
        <w:rPr>
          <w:szCs w:val="24"/>
        </w:rPr>
        <w:t>сообщения – «</w:t>
      </w:r>
      <w:r w:rsidRPr="00264D5D">
        <w:rPr>
          <w:szCs w:val="24"/>
          <w:lang w:val="en-US"/>
        </w:rPr>
        <w:t>tFormular</w:t>
      </w:r>
      <w:r w:rsidRPr="00264D5D">
        <w:rPr>
          <w:szCs w:val="24"/>
        </w:rPr>
        <w:t xml:space="preserve">». Наименование корневого тега </w:t>
      </w:r>
      <w:r w:rsidRPr="00264D5D">
        <w:rPr>
          <w:rFonts w:eastAsia="Calibri"/>
          <w:szCs w:val="24"/>
          <w:lang w:val="en-US"/>
        </w:rPr>
        <w:t>xml</w:t>
      </w:r>
      <w:r w:rsidRPr="00264D5D">
        <w:rPr>
          <w:rFonts w:eastAsia="Calibri"/>
          <w:szCs w:val="24"/>
        </w:rPr>
        <w:t>-</w:t>
      </w:r>
      <w:r w:rsidRPr="00264D5D">
        <w:rPr>
          <w:szCs w:val="24"/>
        </w:rPr>
        <w:t xml:space="preserve">сообщения соответствует коду массива информации согласно таблице </w:t>
      </w:r>
      <w:r w:rsidRPr="00264D5D">
        <w:rPr>
          <w:szCs w:val="24"/>
        </w:rPr>
        <w:fldChar w:fldCharType="begin"/>
      </w:r>
      <w:r w:rsidRPr="00264D5D">
        <w:rPr>
          <w:szCs w:val="24"/>
        </w:rPr>
        <w:instrText xml:space="preserve"> REF _Ref19881821 \h  \* MERGEFORMAT </w:instrText>
      </w:r>
      <w:r w:rsidRPr="00264D5D">
        <w:rPr>
          <w:szCs w:val="24"/>
        </w:rPr>
      </w:r>
      <w:r w:rsidRPr="00264D5D">
        <w:rPr>
          <w:szCs w:val="24"/>
        </w:rPr>
        <w:fldChar w:fldCharType="separate"/>
      </w:r>
      <w:r w:rsidR="008D797C" w:rsidRPr="008D797C">
        <w:rPr>
          <w:rFonts w:eastAsia="Calibri"/>
          <w:szCs w:val="24"/>
        </w:rPr>
        <w:t>2</w:t>
      </w:r>
      <w:r w:rsidRPr="00264D5D">
        <w:rPr>
          <w:szCs w:val="24"/>
        </w:rPr>
        <w:fldChar w:fldCharType="end"/>
      </w:r>
      <w:r w:rsidRPr="00264D5D">
        <w:rPr>
          <w:szCs w:val="24"/>
        </w:rPr>
        <w:t xml:space="preserve">. </w:t>
      </w:r>
    </w:p>
    <w:p w14:paraId="360FDB8A" w14:textId="77777777" w:rsidR="00AD1F54" w:rsidRPr="00264D5D" w:rsidRDefault="00941227">
      <w:pPr>
        <w:spacing w:before="60" w:after="120"/>
        <w:ind w:firstLine="567"/>
        <w:rPr>
          <w:szCs w:val="24"/>
        </w:rPr>
      </w:pPr>
      <w:r w:rsidRPr="00264D5D">
        <w:rPr>
          <w:szCs w:val="24"/>
        </w:rPr>
        <w:t xml:space="preserve">Пример структуры документа «Сведения о бюджетном обязательстве», имеющего код массива </w:t>
      </w:r>
      <w:r w:rsidR="005A204F" w:rsidRPr="00264D5D">
        <w:rPr>
          <w:szCs w:val="24"/>
        </w:rPr>
        <w:t>и</w:t>
      </w:r>
      <w:r w:rsidRPr="00264D5D">
        <w:rPr>
          <w:szCs w:val="24"/>
        </w:rPr>
        <w:t>нформации «</w:t>
      </w:r>
      <w:r w:rsidRPr="00264D5D">
        <w:rPr>
          <w:szCs w:val="24"/>
          <w:lang w:val="en-US"/>
        </w:rPr>
        <w:t>InfrmtnBdgtOblgtns</w:t>
      </w:r>
      <w:r w:rsidRPr="00264D5D">
        <w:rPr>
          <w:szCs w:val="24"/>
        </w:rPr>
        <w:t>»:</w:t>
      </w:r>
    </w:p>
    <w:p w14:paraId="196612DA"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&lt;?xml version ="1.0" encoding="UTF-8"?&gt;</w:t>
      </w:r>
    </w:p>
    <w:p w14:paraId="7BEE073D"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&lt;self:InfrmtnBdgtOblgtns …&gt;</w:t>
      </w:r>
    </w:p>
    <w:p w14:paraId="7598AB63"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8B26A8">
        <w:rPr>
          <w:rFonts w:cs="Courier New"/>
          <w:sz w:val="20"/>
        </w:rPr>
        <w:tab/>
      </w:r>
      <w:r w:rsidRPr="008B26A8">
        <w:rPr>
          <w:rFonts w:cs="Courier New"/>
          <w:sz w:val="20"/>
          <w:lang w:val="ru-RU"/>
        </w:rPr>
        <w:t>…</w:t>
      </w:r>
    </w:p>
    <w:p w14:paraId="7CF3FB75"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8B26A8">
        <w:rPr>
          <w:rFonts w:cs="Courier New"/>
          <w:sz w:val="20"/>
          <w:lang w:val="ru-RU"/>
        </w:rPr>
        <w:t>&lt;/</w:t>
      </w:r>
      <w:r w:rsidRPr="008B26A8">
        <w:rPr>
          <w:rFonts w:cs="Courier New"/>
          <w:sz w:val="20"/>
        </w:rPr>
        <w:t>self</w:t>
      </w:r>
      <w:r w:rsidRPr="008B26A8">
        <w:rPr>
          <w:rFonts w:cs="Courier New"/>
          <w:sz w:val="20"/>
          <w:lang w:val="ru-RU"/>
        </w:rPr>
        <w:t>:</w:t>
      </w:r>
      <w:r w:rsidRPr="008B26A8">
        <w:rPr>
          <w:rFonts w:cs="Courier New"/>
          <w:sz w:val="20"/>
        </w:rPr>
        <w:t>InfrmtnBdgtOblgtns</w:t>
      </w:r>
      <w:r w:rsidRPr="008B26A8">
        <w:rPr>
          <w:rFonts w:cs="Courier New"/>
          <w:sz w:val="20"/>
          <w:lang w:val="ru-RU"/>
        </w:rPr>
        <w:t>&gt;</w:t>
      </w:r>
    </w:p>
    <w:p w14:paraId="3702B981" w14:textId="77777777" w:rsidR="00AD1F54" w:rsidRPr="00264D5D" w:rsidRDefault="00941227">
      <w:pPr>
        <w:pStyle w:val="GOSTNormal"/>
        <w:contextualSpacing w:val="0"/>
        <w:rPr>
          <w:szCs w:val="24"/>
        </w:rPr>
      </w:pPr>
      <w:r w:rsidRPr="00264D5D">
        <w:rPr>
          <w:szCs w:val="24"/>
        </w:rPr>
        <w:t xml:space="preserve">В общем виде структура xml-сообщения, передаваемого при сервисном </w:t>
      </w:r>
      <w:r w:rsidR="005A204F" w:rsidRPr="00264D5D">
        <w:rPr>
          <w:szCs w:val="24"/>
        </w:rPr>
        <w:t>взаимодействии и</w:t>
      </w:r>
      <w:r w:rsidRPr="00264D5D">
        <w:rPr>
          <w:szCs w:val="24"/>
        </w:rPr>
        <w:t xml:space="preserve"> содержащего бизнес-данные документа, выглядит следующим образом:</w:t>
      </w:r>
    </w:p>
    <w:p w14:paraId="7E936965"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&lt;soapenv:Envelope xmlns:soapenv="http://schemas.xmlsoap.org/soap/envelope/" xmlns:typ="http://www.roskazna.ru/eb/services/transferDocumentService/types"&gt;</w:t>
      </w:r>
    </w:p>
    <w:p w14:paraId="783F383B"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ab/>
        <w:t>&lt;soapenv:Header/&gt;</w:t>
      </w:r>
    </w:p>
    <w:p w14:paraId="2C5D290B"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ab/>
        <w:t>&lt;soapenv:Body&gt;</w:t>
      </w:r>
    </w:p>
    <w:p w14:paraId="0CFC5D59"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&lt;transferDocumentRequest versionId="1.0" xmlns="http://www.roskazna.ru/eb/services/transferDocumentService/types" xmlns:xsi="http://www.w3.org/2001/XMLSchema-instance"</w:t>
      </w:r>
    </w:p>
    <w:p w14:paraId="4895C459"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xsi:schemaLocation="http://www.roskazna.ru/eb/services/transferDocumentService/types file:/E:/ARP-11437/transferDocumentService/transportDocumentService/transferDocumentTypes.xsd"&gt;</w:t>
      </w:r>
    </w:p>
    <w:p w14:paraId="349A59D5"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ab/>
      </w:r>
      <w:r w:rsidRPr="008B26A8">
        <w:rPr>
          <w:rFonts w:cs="Courier New"/>
          <w:sz w:val="20"/>
        </w:rPr>
        <w:tab/>
        <w:t>&lt;header&gt;</w:t>
      </w:r>
    </w:p>
    <w:p w14:paraId="20750F81"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ab/>
      </w:r>
      <w:r w:rsidRPr="008B26A8">
        <w:rPr>
          <w:rFonts w:cs="Courier New"/>
          <w:sz w:val="20"/>
        </w:rPr>
        <w:tab/>
      </w:r>
      <w:r w:rsidRPr="008B26A8">
        <w:rPr>
          <w:rFonts w:cs="Courier New"/>
          <w:sz w:val="20"/>
        </w:rPr>
        <w:tab/>
        <w:t>&lt;packageId&gt;ae967316-b51e-4095-9d34-ff7ff14e5d95&lt;/packageId&gt;</w:t>
      </w:r>
    </w:p>
    <w:p w14:paraId="45E09A82"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ab/>
      </w:r>
      <w:r w:rsidRPr="008B26A8">
        <w:rPr>
          <w:rFonts w:cs="Courier New"/>
          <w:sz w:val="20"/>
        </w:rPr>
        <w:tab/>
      </w:r>
      <w:r w:rsidRPr="008B26A8">
        <w:rPr>
          <w:rFonts w:cs="Courier New"/>
          <w:sz w:val="20"/>
        </w:rPr>
        <w:tab/>
        <w:t>&lt;senderSystemId&gt;EIS&lt;/senderSystemId&gt;</w:t>
      </w:r>
    </w:p>
    <w:p w14:paraId="5494547A"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ab/>
      </w:r>
      <w:r w:rsidRPr="008B26A8">
        <w:rPr>
          <w:rFonts w:cs="Courier New"/>
          <w:sz w:val="20"/>
        </w:rPr>
        <w:tab/>
      </w:r>
      <w:r w:rsidRPr="008B26A8">
        <w:rPr>
          <w:rFonts w:cs="Courier New"/>
          <w:sz w:val="20"/>
        </w:rPr>
        <w:tab/>
        <w:t>&lt;targetSystemId&gt;EXP&lt;/targetSystemId&gt;</w:t>
      </w:r>
    </w:p>
    <w:p w14:paraId="5979B1B2"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ab/>
      </w:r>
      <w:r w:rsidRPr="008B26A8">
        <w:rPr>
          <w:rFonts w:cs="Courier New"/>
          <w:sz w:val="20"/>
        </w:rPr>
        <w:tab/>
      </w:r>
      <w:r w:rsidRPr="008B26A8">
        <w:rPr>
          <w:rFonts w:cs="Courier New"/>
          <w:sz w:val="20"/>
        </w:rPr>
        <w:tab/>
        <w:t>&lt;documentType&gt;EXP_SDO&lt;/documentType&gt;</w:t>
      </w:r>
    </w:p>
    <w:p w14:paraId="2CA2F0A7"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ab/>
      </w:r>
      <w:r w:rsidRPr="008B26A8">
        <w:rPr>
          <w:rFonts w:cs="Courier New"/>
          <w:sz w:val="20"/>
        </w:rPr>
        <w:tab/>
      </w:r>
      <w:r w:rsidRPr="008B26A8">
        <w:rPr>
          <w:rFonts w:cs="Courier New"/>
          <w:sz w:val="20"/>
        </w:rPr>
        <w:tab/>
        <w:t xml:space="preserve">&lt;documentGuid&gt;3b296774-f1ec-424f-b8a7-0cbe01bddef9&lt;/documentGuid&gt; </w:t>
      </w:r>
    </w:p>
    <w:p w14:paraId="01F6FB3B"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ab/>
      </w:r>
      <w:r w:rsidRPr="008B26A8">
        <w:rPr>
          <w:rFonts w:cs="Courier New"/>
          <w:sz w:val="20"/>
        </w:rPr>
        <w:tab/>
      </w:r>
      <w:r w:rsidRPr="008B26A8">
        <w:rPr>
          <w:rFonts w:cs="Courier New"/>
          <w:sz w:val="20"/>
        </w:rPr>
        <w:tab/>
        <w:t>&lt;documentOrgCode&gt;001A6310&lt;/ns3:documentOrgCode&gt;</w:t>
      </w:r>
    </w:p>
    <w:p w14:paraId="7B10C1A0"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ab/>
      </w:r>
      <w:r w:rsidRPr="008B26A8">
        <w:rPr>
          <w:rFonts w:cs="Courier New"/>
          <w:sz w:val="20"/>
        </w:rPr>
        <w:tab/>
      </w:r>
      <w:r w:rsidRPr="008B26A8">
        <w:rPr>
          <w:rFonts w:cs="Courier New"/>
          <w:sz w:val="20"/>
        </w:rPr>
        <w:tab/>
        <w:t>&lt;creationDateTime&gt;2019-01-03T16:59:51.0Z&lt;/creationDateTime&gt;</w:t>
      </w:r>
    </w:p>
    <w:p w14:paraId="4CE103FF" w14:textId="77777777" w:rsidR="00AD1F54" w:rsidRPr="008B26A8" w:rsidRDefault="00666BC2"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 xml:space="preserve">                   </w:t>
      </w:r>
      <w:r w:rsidR="00941227" w:rsidRPr="008B26A8">
        <w:rPr>
          <w:rFonts w:cs="Courier New"/>
          <w:sz w:val="20"/>
        </w:rPr>
        <w:t>&lt;transactionId&gt;EXP_SDO&lt;/transactionId&gt;</w:t>
      </w:r>
    </w:p>
    <w:p w14:paraId="6F633B8E" w14:textId="77777777" w:rsidR="00AD1F54" w:rsidRPr="008B26A8" w:rsidRDefault="00666BC2"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 xml:space="preserve">                   </w:t>
      </w:r>
      <w:r w:rsidR="00941227" w:rsidRPr="008B26A8">
        <w:rPr>
          <w:rFonts w:cs="Courier New"/>
          <w:sz w:val="20"/>
        </w:rPr>
        <w:t>&lt;params&gt;</w:t>
      </w:r>
    </w:p>
    <w:p w14:paraId="4CF0A255" w14:textId="77777777" w:rsidR="00AD1F54" w:rsidRPr="008B26A8" w:rsidRDefault="00666BC2"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 xml:space="preserve">                       </w:t>
      </w:r>
      <w:r w:rsidR="00941227" w:rsidRPr="008B26A8">
        <w:rPr>
          <w:rFonts w:cs="Courier New"/>
          <w:sz w:val="20"/>
        </w:rPr>
        <w:t>&lt;param name="versionId" value="8.0"/&gt;</w:t>
      </w:r>
    </w:p>
    <w:p w14:paraId="46907883" w14:textId="77777777" w:rsidR="00AD1F54" w:rsidRPr="008B26A8" w:rsidRDefault="00666BC2"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 xml:space="preserve">                       </w:t>
      </w:r>
      <w:r w:rsidR="00941227" w:rsidRPr="008B26A8">
        <w:rPr>
          <w:rFonts w:cs="Courier New"/>
          <w:sz w:val="20"/>
        </w:rPr>
        <w:t>&lt;param name="tofkCode" value="9500"/&gt;</w:t>
      </w:r>
    </w:p>
    <w:p w14:paraId="2F6C0711" w14:textId="77777777" w:rsidR="00AD1F54" w:rsidRPr="008B26A8" w:rsidRDefault="00666BC2"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 xml:space="preserve">                       </w:t>
      </w:r>
      <w:r w:rsidR="00941227" w:rsidRPr="008B26A8">
        <w:rPr>
          <w:rFonts w:cs="Courier New"/>
          <w:sz w:val="20"/>
        </w:rPr>
        <w:t>&lt;param name="ParentDocGUID" value="3b296774-f1ec-424f-b8a7-0cbe01bddef9"/&gt;</w:t>
      </w:r>
    </w:p>
    <w:p w14:paraId="5E57E9F8" w14:textId="77777777" w:rsidR="00AD1F54" w:rsidRPr="008B26A8" w:rsidRDefault="00666BC2"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 xml:space="preserve">                   </w:t>
      </w:r>
      <w:r w:rsidR="00941227" w:rsidRPr="008B26A8">
        <w:rPr>
          <w:rFonts w:cs="Courier New"/>
          <w:sz w:val="20"/>
        </w:rPr>
        <w:t>&lt;/params&gt;</w:t>
      </w:r>
    </w:p>
    <w:p w14:paraId="6DB7C447"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ab/>
      </w:r>
      <w:r w:rsidRPr="008B26A8">
        <w:rPr>
          <w:rFonts w:cs="Courier New"/>
          <w:sz w:val="20"/>
        </w:rPr>
        <w:tab/>
        <w:t>&lt;/header&gt;</w:t>
      </w:r>
    </w:p>
    <w:p w14:paraId="3DF1DB4B"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ab/>
      </w:r>
      <w:r w:rsidRPr="008B26A8">
        <w:rPr>
          <w:rFonts w:cs="Courier New"/>
          <w:sz w:val="20"/>
        </w:rPr>
        <w:tab/>
        <w:t>&lt;document&gt;</w:t>
      </w:r>
    </w:p>
    <w:p w14:paraId="02769DB2"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ab/>
        <w:t>&lt;self:EXP_SDO metaType="formular" versionID="8.0" Id="Id-xadesdata-</w:t>
      </w:r>
      <w:r w:rsidRPr="008B26A8">
        <w:rPr>
          <w:rFonts w:cs="Courier New"/>
          <w:sz w:val="20"/>
        </w:rPr>
        <w:lastRenderedPageBreak/>
        <w:t>eaf97d94646411e9b78d005056834f23" xsi:schemaLocation="http://www.roskazna.ru/eb/domain/EXP_SDO/formular formulars.xsd" xmlns:self="http://www.roskazna.ru/eb/domain/EXP_SDO/formular" xmlns:ds="http://www.w3.org/2000/09/xmldsig#" xmlns:xsi="http://www.w3.org/2001/XMLSchema-instance"&gt;</w:t>
      </w:r>
    </w:p>
    <w:p w14:paraId="1B8C7A27"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ab/>
        <w:t>&lt;Inf_UUID&gt;3b296774-f1ec-424f-b8a7-0cbe01bddef9&lt;/Inf_UUID&gt;</w:t>
      </w:r>
    </w:p>
    <w:p w14:paraId="7736DE64"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&lt;Inf_NmbrDc&gt;12345&lt;/Inf_NmbrDc&gt;</w:t>
      </w:r>
    </w:p>
    <w:p w14:paraId="0EFEAA54"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&lt;Inf_DtDc&gt;2019-11-05&lt;/Inf_DtDc&gt;</w:t>
      </w:r>
    </w:p>
    <w:p w14:paraId="5AD8FFB4"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w:t>
      </w:r>
    </w:p>
    <w:p w14:paraId="51D67627"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&lt;/self:EXP_SDO&gt;</w:t>
      </w:r>
    </w:p>
    <w:p w14:paraId="2B7FA73D"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ab/>
      </w:r>
      <w:r w:rsidRPr="008B26A8">
        <w:rPr>
          <w:rFonts w:cs="Courier New"/>
          <w:sz w:val="20"/>
        </w:rPr>
        <w:tab/>
        <w:t>&lt;/document&gt;</w:t>
      </w:r>
    </w:p>
    <w:p w14:paraId="5B3F864E"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&lt;attachments&gt;</w:t>
      </w:r>
    </w:p>
    <w:p w14:paraId="2F10528D"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ab/>
      </w:r>
      <w:r w:rsidRPr="008B26A8">
        <w:rPr>
          <w:rFonts w:cs="Courier New"/>
          <w:sz w:val="20"/>
        </w:rPr>
        <w:tab/>
      </w:r>
      <w:r w:rsidRPr="008B26A8">
        <w:rPr>
          <w:rFonts w:cs="Courier New"/>
          <w:sz w:val="20"/>
        </w:rPr>
        <w:tab/>
        <w:t>&lt;attachment&gt;</w:t>
      </w:r>
    </w:p>
    <w:p w14:paraId="203BBA80"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ab/>
      </w:r>
      <w:r w:rsidRPr="008B26A8">
        <w:rPr>
          <w:rFonts w:cs="Courier New"/>
          <w:sz w:val="20"/>
        </w:rPr>
        <w:tab/>
      </w:r>
      <w:r w:rsidRPr="008B26A8">
        <w:rPr>
          <w:rFonts w:cs="Courier New"/>
          <w:sz w:val="20"/>
        </w:rPr>
        <w:tab/>
      </w:r>
      <w:r w:rsidRPr="008B26A8">
        <w:rPr>
          <w:rFonts w:cs="Courier New"/>
          <w:sz w:val="20"/>
        </w:rPr>
        <w:tab/>
        <w:t>&lt;fileName&gt;pdfPreview&lt;/fileName&gt;</w:t>
      </w:r>
    </w:p>
    <w:p w14:paraId="2E6E7AB8"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ab/>
      </w:r>
      <w:r w:rsidRPr="008B26A8">
        <w:rPr>
          <w:rFonts w:cs="Courier New"/>
          <w:sz w:val="20"/>
        </w:rPr>
        <w:tab/>
      </w:r>
      <w:r w:rsidRPr="008B26A8">
        <w:rPr>
          <w:rFonts w:cs="Courier New"/>
          <w:sz w:val="20"/>
        </w:rPr>
        <w:tab/>
      </w:r>
      <w:r w:rsidRPr="008B26A8">
        <w:rPr>
          <w:rFonts w:cs="Courier New"/>
          <w:sz w:val="20"/>
        </w:rPr>
        <w:tab/>
        <w:t>&lt;contentType&gt;pdf&lt;/contentType&gt;</w:t>
      </w:r>
    </w:p>
    <w:p w14:paraId="5F66C3DA"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ab/>
      </w:r>
      <w:r w:rsidRPr="008B26A8">
        <w:rPr>
          <w:rFonts w:cs="Courier New"/>
          <w:sz w:val="20"/>
        </w:rPr>
        <w:tab/>
      </w:r>
      <w:r w:rsidRPr="008B26A8">
        <w:rPr>
          <w:rFonts w:cs="Courier New"/>
          <w:sz w:val="20"/>
        </w:rPr>
        <w:tab/>
      </w:r>
      <w:r w:rsidRPr="008B26A8">
        <w:rPr>
          <w:rFonts w:cs="Courier New"/>
          <w:sz w:val="20"/>
        </w:rPr>
        <w:tab/>
        <w:t>&lt;content&gt;…&lt;/content&gt;</w:t>
      </w:r>
    </w:p>
    <w:p w14:paraId="04746854"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ab/>
      </w:r>
      <w:r w:rsidRPr="008B26A8">
        <w:rPr>
          <w:rFonts w:cs="Courier New"/>
          <w:sz w:val="20"/>
        </w:rPr>
        <w:tab/>
      </w:r>
      <w:r w:rsidRPr="008B26A8">
        <w:rPr>
          <w:rFonts w:cs="Courier New"/>
          <w:sz w:val="20"/>
        </w:rPr>
        <w:tab/>
        <w:t>&lt;/attachment&gt;</w:t>
      </w:r>
    </w:p>
    <w:p w14:paraId="00D301BC"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ab/>
      </w:r>
      <w:r w:rsidRPr="008B26A8">
        <w:rPr>
          <w:rFonts w:cs="Courier New"/>
          <w:sz w:val="20"/>
        </w:rPr>
        <w:tab/>
        <w:t>&lt;/attachments&gt;</w:t>
      </w:r>
    </w:p>
    <w:p w14:paraId="39F64B02"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&lt;/transferDocumentRequest&gt;</w:t>
      </w:r>
    </w:p>
    <w:p w14:paraId="38A87108"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8B26A8">
        <w:rPr>
          <w:rFonts w:cs="Courier New"/>
          <w:sz w:val="20"/>
        </w:rPr>
        <w:tab/>
      </w:r>
      <w:r w:rsidRPr="008B26A8">
        <w:rPr>
          <w:rFonts w:cs="Courier New"/>
          <w:sz w:val="20"/>
          <w:lang w:val="ru-RU"/>
        </w:rPr>
        <w:t>&lt;/</w:t>
      </w:r>
      <w:r w:rsidRPr="008B26A8">
        <w:rPr>
          <w:rFonts w:cs="Courier New"/>
          <w:sz w:val="20"/>
        </w:rPr>
        <w:t>soapenv</w:t>
      </w:r>
      <w:r w:rsidRPr="008B26A8">
        <w:rPr>
          <w:rFonts w:cs="Courier New"/>
          <w:sz w:val="20"/>
          <w:lang w:val="ru-RU"/>
        </w:rPr>
        <w:t>:</w:t>
      </w:r>
      <w:r w:rsidRPr="008B26A8">
        <w:rPr>
          <w:rFonts w:cs="Courier New"/>
          <w:sz w:val="20"/>
        </w:rPr>
        <w:t>Body</w:t>
      </w:r>
      <w:r w:rsidRPr="008B26A8">
        <w:rPr>
          <w:rFonts w:cs="Courier New"/>
          <w:sz w:val="20"/>
          <w:lang w:val="ru-RU"/>
        </w:rPr>
        <w:t>&gt;</w:t>
      </w:r>
    </w:p>
    <w:p w14:paraId="31051507"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Cs w:val="22"/>
          <w:lang w:val="ru-RU"/>
        </w:rPr>
      </w:pPr>
      <w:r w:rsidRPr="008B26A8">
        <w:rPr>
          <w:rFonts w:cs="Courier New"/>
          <w:sz w:val="20"/>
          <w:lang w:val="ru-RU"/>
        </w:rPr>
        <w:t>&lt;/</w:t>
      </w:r>
      <w:r w:rsidRPr="008B26A8">
        <w:rPr>
          <w:rFonts w:cs="Courier New"/>
          <w:sz w:val="20"/>
        </w:rPr>
        <w:t>soapenv</w:t>
      </w:r>
      <w:r w:rsidRPr="008B26A8">
        <w:rPr>
          <w:rFonts w:cs="Courier New"/>
          <w:sz w:val="20"/>
          <w:lang w:val="ru-RU"/>
        </w:rPr>
        <w:t>:</w:t>
      </w:r>
      <w:r w:rsidRPr="008B26A8">
        <w:rPr>
          <w:rFonts w:cs="Courier New"/>
          <w:sz w:val="20"/>
        </w:rPr>
        <w:t>Envelope</w:t>
      </w:r>
      <w:r w:rsidRPr="008B26A8">
        <w:rPr>
          <w:rFonts w:cs="Courier New"/>
          <w:sz w:val="20"/>
          <w:lang w:val="ru-RU"/>
        </w:rPr>
        <w:t>&gt;</w:t>
      </w:r>
    </w:p>
    <w:p w14:paraId="2B046E35" w14:textId="77777777" w:rsidR="00666BC2" w:rsidRPr="00264D5D" w:rsidRDefault="00666BC2">
      <w:pPr>
        <w:pStyle w:val="GOSTNormal"/>
        <w:contextualSpacing w:val="0"/>
        <w:rPr>
          <w:szCs w:val="24"/>
        </w:rPr>
      </w:pPr>
    </w:p>
    <w:p w14:paraId="6404B7BA" w14:textId="72ED6D4D" w:rsidR="00666BC2" w:rsidRPr="00264D5D" w:rsidRDefault="00666BC2" w:rsidP="00666BC2">
      <w:pPr>
        <w:pStyle w:val="GOSTNormal"/>
        <w:contextualSpacing w:val="0"/>
        <w:rPr>
          <w:szCs w:val="24"/>
        </w:rPr>
      </w:pPr>
      <w:r w:rsidRPr="00264D5D">
        <w:rPr>
          <w:szCs w:val="24"/>
        </w:rPr>
        <w:t xml:space="preserve">Структура сообщения описана в таблице </w:t>
      </w:r>
      <w:r w:rsidRPr="00264D5D">
        <w:rPr>
          <w:szCs w:val="24"/>
        </w:rPr>
        <w:fldChar w:fldCharType="begin"/>
      </w:r>
      <w:r w:rsidRPr="00264D5D">
        <w:rPr>
          <w:szCs w:val="24"/>
        </w:rPr>
        <w:instrText xml:space="preserve"> REF _Ref184641265 \h </w:instrText>
      </w:r>
      <w:r w:rsidR="00264D5D">
        <w:rPr>
          <w:szCs w:val="24"/>
        </w:rPr>
        <w:instrText xml:space="preserve"> \* MERGEFORMAT </w:instrText>
      </w:r>
      <w:r w:rsidRPr="00264D5D">
        <w:rPr>
          <w:szCs w:val="24"/>
        </w:rPr>
      </w:r>
      <w:r w:rsidRPr="00264D5D">
        <w:rPr>
          <w:szCs w:val="24"/>
        </w:rPr>
        <w:fldChar w:fldCharType="separate"/>
      </w:r>
      <w:r w:rsidR="008D797C">
        <w:rPr>
          <w:noProof/>
          <w:szCs w:val="24"/>
        </w:rPr>
        <w:t>4</w:t>
      </w:r>
      <w:r w:rsidRPr="00264D5D">
        <w:rPr>
          <w:szCs w:val="24"/>
        </w:rPr>
        <w:fldChar w:fldCharType="end"/>
      </w:r>
      <w:r w:rsidRPr="00264D5D">
        <w:rPr>
          <w:szCs w:val="24"/>
        </w:rPr>
        <w:t>.</w:t>
      </w:r>
    </w:p>
    <w:p w14:paraId="2409378F" w14:textId="18239E15" w:rsidR="00666BC2" w:rsidRPr="00264D5D" w:rsidRDefault="00666BC2" w:rsidP="00666BC2">
      <w:pPr>
        <w:pStyle w:val="OTRNameTable"/>
        <w:numPr>
          <w:ilvl w:val="0"/>
          <w:numId w:val="161"/>
        </w:numPr>
        <w:ind w:left="425" w:hanging="357"/>
        <w:rPr>
          <w:szCs w:val="24"/>
        </w:rPr>
      </w:pPr>
      <w:r w:rsidRPr="00264D5D">
        <w:rPr>
          <w:szCs w:val="24"/>
        </w:rPr>
        <w:fldChar w:fldCharType="begin"/>
      </w:r>
      <w:r w:rsidRPr="00264D5D">
        <w:rPr>
          <w:szCs w:val="24"/>
        </w:rPr>
        <w:instrText xml:space="preserve"> SEQ Таблица \* ARABIC </w:instrText>
      </w:r>
      <w:r w:rsidRPr="00264D5D">
        <w:rPr>
          <w:szCs w:val="24"/>
        </w:rPr>
        <w:fldChar w:fldCharType="separate"/>
      </w:r>
      <w:bookmarkStart w:id="342" w:name="_Ref184641265"/>
      <w:bookmarkStart w:id="343" w:name="_Toc184640873"/>
      <w:bookmarkStart w:id="344" w:name="_Toc219309034"/>
      <w:r w:rsidR="008D797C">
        <w:rPr>
          <w:noProof/>
          <w:szCs w:val="24"/>
        </w:rPr>
        <w:t>4</w:t>
      </w:r>
      <w:bookmarkEnd w:id="342"/>
      <w:r w:rsidRPr="00264D5D">
        <w:rPr>
          <w:szCs w:val="24"/>
        </w:rPr>
        <w:fldChar w:fldCharType="end"/>
      </w:r>
      <w:r w:rsidRPr="00264D5D">
        <w:rPr>
          <w:szCs w:val="24"/>
        </w:rPr>
        <w:t xml:space="preserve"> </w:t>
      </w:r>
      <w:r w:rsidRPr="00264D5D">
        <w:rPr>
          <w:rFonts w:eastAsia="Calibri"/>
          <w:szCs w:val="24"/>
        </w:rPr>
        <w:t xml:space="preserve">– </w:t>
      </w:r>
      <w:r w:rsidRPr="00264D5D">
        <w:rPr>
          <w:szCs w:val="24"/>
        </w:rPr>
        <w:t>Структура сообщения</w:t>
      </w:r>
      <w:bookmarkEnd w:id="343"/>
      <w:bookmarkEnd w:id="344"/>
    </w:p>
    <w:tbl>
      <w:tblPr>
        <w:tblStyle w:val="GOSTTable"/>
        <w:tblW w:w="5000" w:type="pct"/>
        <w:tblLayout w:type="fixed"/>
        <w:tblLook w:val="01E0" w:firstRow="1" w:lastRow="1" w:firstColumn="1" w:lastColumn="1" w:noHBand="0" w:noVBand="0"/>
      </w:tblPr>
      <w:tblGrid>
        <w:gridCol w:w="2274"/>
        <w:gridCol w:w="710"/>
        <w:gridCol w:w="6666"/>
      </w:tblGrid>
      <w:tr w:rsidR="00666BC2" w:rsidRPr="00264D5D" w14:paraId="6FF1ACEA" w14:textId="77777777" w:rsidTr="00666BC2">
        <w:trPr>
          <w:cnfStyle w:val="100000000000" w:firstRow="1" w:lastRow="0" w:firstColumn="0" w:lastColumn="0" w:oddVBand="0" w:evenVBand="0" w:oddHBand="0" w:evenHBand="0" w:firstRowFirstColumn="0" w:firstRowLastColumn="0" w:lastRowFirstColumn="0" w:lastRowLastColumn="0"/>
          <w:tblHeader/>
        </w:trPr>
        <w:tc>
          <w:tcPr>
            <w:tcW w:w="1178" w:type="pct"/>
          </w:tcPr>
          <w:p w14:paraId="10A52C63" w14:textId="77777777" w:rsidR="00666BC2" w:rsidRPr="00264D5D" w:rsidRDefault="00666BC2" w:rsidP="00666BC2">
            <w:pPr>
              <w:pStyle w:val="GOSTTableHead"/>
            </w:pPr>
            <w:r w:rsidRPr="00264D5D">
              <w:t>Наименование тега</w:t>
            </w:r>
          </w:p>
        </w:tc>
        <w:tc>
          <w:tcPr>
            <w:tcW w:w="368" w:type="pct"/>
          </w:tcPr>
          <w:p w14:paraId="2BA497BA" w14:textId="77777777" w:rsidR="00666BC2" w:rsidRPr="00264D5D" w:rsidRDefault="00666BC2" w:rsidP="00666BC2">
            <w:pPr>
              <w:pStyle w:val="GOSTTableHead"/>
            </w:pPr>
            <w:r w:rsidRPr="00264D5D">
              <w:t>Обязательность</w:t>
            </w:r>
          </w:p>
        </w:tc>
        <w:tc>
          <w:tcPr>
            <w:tcW w:w="3454" w:type="pct"/>
          </w:tcPr>
          <w:p w14:paraId="645D722A" w14:textId="77777777" w:rsidR="00666BC2" w:rsidRPr="00264D5D" w:rsidRDefault="00666BC2" w:rsidP="00666BC2">
            <w:pPr>
              <w:pStyle w:val="GOSTTableHead"/>
            </w:pPr>
            <w:r w:rsidRPr="00264D5D">
              <w:t xml:space="preserve">Описание </w:t>
            </w:r>
          </w:p>
        </w:tc>
      </w:tr>
      <w:tr w:rsidR="00666BC2" w:rsidRPr="00264D5D" w14:paraId="4ACC05F8" w14:textId="77777777" w:rsidTr="00666BC2">
        <w:trPr>
          <w:cnfStyle w:val="000000100000" w:firstRow="0" w:lastRow="0" w:firstColumn="0" w:lastColumn="0" w:oddVBand="0" w:evenVBand="0" w:oddHBand="1" w:evenHBand="0" w:firstRowFirstColumn="0" w:firstRowLastColumn="0" w:lastRowFirstColumn="0" w:lastRowLastColumn="0"/>
        </w:trPr>
        <w:tc>
          <w:tcPr>
            <w:tcW w:w="1178" w:type="pct"/>
          </w:tcPr>
          <w:p w14:paraId="25839049" w14:textId="77777777" w:rsidR="00666BC2" w:rsidRPr="00264D5D" w:rsidRDefault="00666BC2" w:rsidP="00666BC2">
            <w:pPr>
              <w:pStyle w:val="GOSTTablenorm"/>
            </w:pPr>
            <w:r w:rsidRPr="00264D5D">
              <w:rPr>
                <w:szCs w:val="24"/>
              </w:rPr>
              <w:t>transferDocumentRequest</w:t>
            </w:r>
          </w:p>
        </w:tc>
        <w:tc>
          <w:tcPr>
            <w:tcW w:w="368" w:type="pct"/>
          </w:tcPr>
          <w:p w14:paraId="4342FCFD" w14:textId="77777777" w:rsidR="00666BC2" w:rsidRPr="00264D5D" w:rsidRDefault="00666BC2" w:rsidP="00666BC2">
            <w:pPr>
              <w:pStyle w:val="GOSTTablenorm"/>
              <w:rPr>
                <w:szCs w:val="24"/>
              </w:rPr>
            </w:pPr>
            <w:r w:rsidRPr="00264D5D">
              <w:rPr>
                <w:szCs w:val="24"/>
              </w:rPr>
              <w:t>О</w:t>
            </w:r>
          </w:p>
        </w:tc>
        <w:tc>
          <w:tcPr>
            <w:tcW w:w="3454" w:type="pct"/>
          </w:tcPr>
          <w:p w14:paraId="7BF03FC9" w14:textId="77777777" w:rsidR="00666BC2" w:rsidRPr="00264D5D" w:rsidRDefault="00666BC2" w:rsidP="00666BC2">
            <w:pPr>
              <w:pStyle w:val="GOSTTablenorm"/>
            </w:pPr>
            <w:r w:rsidRPr="00264D5D">
              <w:rPr>
                <w:szCs w:val="24"/>
              </w:rPr>
              <w:t>Запрос, содержащий документ-перевозчик, структура которого приведены в документе «Информационное взаимодействие государственной интегрированной информационной системы управления общественными финансами «Электронный бюджет» с внешними системами с использованием единого сервиса межсистемного взаимодействия» (далее – Альбом ТФО Сервис ПОИ ЭБ (ЕСМВ))</w:t>
            </w:r>
          </w:p>
        </w:tc>
      </w:tr>
      <w:tr w:rsidR="00666BC2" w:rsidRPr="00264D5D" w14:paraId="501D6EF6" w14:textId="77777777" w:rsidTr="00666BC2">
        <w:trPr>
          <w:cnfStyle w:val="000000010000" w:firstRow="0" w:lastRow="0" w:firstColumn="0" w:lastColumn="0" w:oddVBand="0" w:evenVBand="0" w:oddHBand="0" w:evenHBand="1" w:firstRowFirstColumn="0" w:firstRowLastColumn="0" w:lastRowFirstColumn="0" w:lastRowLastColumn="0"/>
        </w:trPr>
        <w:tc>
          <w:tcPr>
            <w:tcW w:w="1178" w:type="pct"/>
          </w:tcPr>
          <w:p w14:paraId="100DCFFE" w14:textId="77777777" w:rsidR="00666BC2" w:rsidRPr="00264D5D" w:rsidRDefault="00666BC2" w:rsidP="00666BC2">
            <w:pPr>
              <w:pStyle w:val="GOSTTablenorm"/>
            </w:pPr>
            <w:r w:rsidRPr="00264D5D">
              <w:rPr>
                <w:szCs w:val="24"/>
              </w:rPr>
              <w:t>transferDocumentRequest/ header</w:t>
            </w:r>
          </w:p>
        </w:tc>
        <w:tc>
          <w:tcPr>
            <w:tcW w:w="368" w:type="pct"/>
          </w:tcPr>
          <w:p w14:paraId="7CF0EF07" w14:textId="77777777" w:rsidR="00666BC2" w:rsidRPr="00264D5D" w:rsidRDefault="00666BC2" w:rsidP="00666BC2">
            <w:pPr>
              <w:pStyle w:val="GOSTTablenorm"/>
              <w:rPr>
                <w:i/>
                <w:szCs w:val="24"/>
              </w:rPr>
            </w:pPr>
            <w:r w:rsidRPr="00264D5D">
              <w:rPr>
                <w:szCs w:val="24"/>
              </w:rPr>
              <w:t>О</w:t>
            </w:r>
          </w:p>
        </w:tc>
        <w:tc>
          <w:tcPr>
            <w:tcW w:w="3454" w:type="pct"/>
          </w:tcPr>
          <w:p w14:paraId="420EE2BE" w14:textId="77777777" w:rsidR="00666BC2" w:rsidRPr="00264D5D" w:rsidRDefault="00666BC2" w:rsidP="00666BC2">
            <w:pPr>
              <w:pStyle w:val="GOSTTablenorm"/>
            </w:pPr>
            <w:r w:rsidRPr="00264D5D">
              <w:rPr>
                <w:szCs w:val="24"/>
              </w:rPr>
              <w:t>Заголовок запроса</w:t>
            </w:r>
          </w:p>
        </w:tc>
      </w:tr>
      <w:tr w:rsidR="00666BC2" w:rsidRPr="00264D5D" w14:paraId="5ADEA874" w14:textId="77777777" w:rsidTr="00666BC2">
        <w:trPr>
          <w:cnfStyle w:val="000000100000" w:firstRow="0" w:lastRow="0" w:firstColumn="0" w:lastColumn="0" w:oddVBand="0" w:evenVBand="0" w:oddHBand="1" w:evenHBand="0" w:firstRowFirstColumn="0" w:firstRowLastColumn="0" w:lastRowFirstColumn="0" w:lastRowLastColumn="0"/>
        </w:trPr>
        <w:tc>
          <w:tcPr>
            <w:tcW w:w="1178" w:type="pct"/>
          </w:tcPr>
          <w:p w14:paraId="1436A857" w14:textId="77777777" w:rsidR="00666BC2" w:rsidRPr="00264D5D" w:rsidRDefault="00666BC2" w:rsidP="00666BC2">
            <w:pPr>
              <w:pStyle w:val="GOSTTablenorm"/>
            </w:pPr>
            <w:r w:rsidRPr="00264D5D">
              <w:rPr>
                <w:szCs w:val="24"/>
              </w:rPr>
              <w:t>transferDocumentRequest/ header/packageId</w:t>
            </w:r>
          </w:p>
        </w:tc>
        <w:tc>
          <w:tcPr>
            <w:tcW w:w="368" w:type="pct"/>
          </w:tcPr>
          <w:p w14:paraId="0FE4C456" w14:textId="77777777" w:rsidR="00666BC2" w:rsidRPr="00264D5D" w:rsidRDefault="00666BC2" w:rsidP="00666BC2">
            <w:pPr>
              <w:pStyle w:val="GOSTTablenorm"/>
              <w:rPr>
                <w:i/>
                <w:szCs w:val="24"/>
                <w:lang w:val="en-US"/>
              </w:rPr>
            </w:pPr>
            <w:r w:rsidRPr="00264D5D">
              <w:rPr>
                <w:szCs w:val="24"/>
              </w:rPr>
              <w:t>О</w:t>
            </w:r>
          </w:p>
        </w:tc>
        <w:tc>
          <w:tcPr>
            <w:tcW w:w="3454" w:type="pct"/>
          </w:tcPr>
          <w:p w14:paraId="564CC998" w14:textId="77777777" w:rsidR="00666BC2" w:rsidRPr="00264D5D" w:rsidRDefault="00666BC2" w:rsidP="00666BC2">
            <w:pPr>
              <w:pStyle w:val="GOSTTablenorm"/>
            </w:pPr>
            <w:r w:rsidRPr="00264D5D">
              <w:rPr>
                <w:szCs w:val="24"/>
                <w:lang w:val="en-US"/>
              </w:rPr>
              <w:t>GUID отправляемого Запроса</w:t>
            </w:r>
          </w:p>
        </w:tc>
      </w:tr>
      <w:tr w:rsidR="00666BC2" w:rsidRPr="00264D5D" w14:paraId="6A64D5C0" w14:textId="77777777" w:rsidTr="00666BC2">
        <w:trPr>
          <w:cnfStyle w:val="000000010000" w:firstRow="0" w:lastRow="0" w:firstColumn="0" w:lastColumn="0" w:oddVBand="0" w:evenVBand="0" w:oddHBand="0" w:evenHBand="1" w:firstRowFirstColumn="0" w:firstRowLastColumn="0" w:lastRowFirstColumn="0" w:lastRowLastColumn="0"/>
        </w:trPr>
        <w:tc>
          <w:tcPr>
            <w:tcW w:w="1178" w:type="pct"/>
          </w:tcPr>
          <w:p w14:paraId="2AF15AFC" w14:textId="77777777" w:rsidR="00666BC2" w:rsidRPr="00264D5D" w:rsidRDefault="00666BC2" w:rsidP="00666BC2">
            <w:pPr>
              <w:pStyle w:val="GOSTTablenorm"/>
            </w:pPr>
            <w:r w:rsidRPr="00264D5D">
              <w:rPr>
                <w:szCs w:val="24"/>
              </w:rPr>
              <w:t>transferDocumentRequest/ header/senderSystemId</w:t>
            </w:r>
          </w:p>
        </w:tc>
        <w:tc>
          <w:tcPr>
            <w:tcW w:w="368" w:type="pct"/>
          </w:tcPr>
          <w:p w14:paraId="083C3E28" w14:textId="77777777" w:rsidR="00666BC2" w:rsidRPr="00264D5D" w:rsidRDefault="00666BC2" w:rsidP="00666BC2">
            <w:pPr>
              <w:pStyle w:val="GOSTTablenorm"/>
              <w:rPr>
                <w:i/>
                <w:szCs w:val="24"/>
              </w:rPr>
            </w:pPr>
            <w:r w:rsidRPr="00264D5D">
              <w:rPr>
                <w:szCs w:val="24"/>
              </w:rPr>
              <w:t>О</w:t>
            </w:r>
          </w:p>
        </w:tc>
        <w:tc>
          <w:tcPr>
            <w:tcW w:w="3454" w:type="pct"/>
          </w:tcPr>
          <w:p w14:paraId="0A293863" w14:textId="6CA1F135" w:rsidR="00666BC2" w:rsidRPr="00264D5D" w:rsidRDefault="00666BC2" w:rsidP="00666BC2">
            <w:pPr>
              <w:pStyle w:val="GOSTTablenorm"/>
            </w:pPr>
            <w:r w:rsidRPr="00264D5D">
              <w:rPr>
                <w:szCs w:val="24"/>
              </w:rPr>
              <w:t xml:space="preserve">Идентификатор отправителя (идентификаторы систем приведены в таблице </w:t>
            </w:r>
            <w:r w:rsidRPr="00264D5D">
              <w:rPr>
                <w:szCs w:val="24"/>
              </w:rPr>
              <w:fldChar w:fldCharType="begin"/>
            </w:r>
            <w:r w:rsidRPr="00264D5D">
              <w:rPr>
                <w:szCs w:val="24"/>
              </w:rPr>
              <w:instrText xml:space="preserve"> REF _Ref9613172 \h  \* MERGEFORMAT </w:instrText>
            </w:r>
            <w:r w:rsidRPr="00264D5D">
              <w:rPr>
                <w:szCs w:val="24"/>
              </w:rPr>
            </w:r>
            <w:r w:rsidRPr="00264D5D">
              <w:rPr>
                <w:szCs w:val="24"/>
              </w:rPr>
              <w:fldChar w:fldCharType="separate"/>
            </w:r>
            <w:r w:rsidR="008D797C" w:rsidRPr="008D797C">
              <w:rPr>
                <w:szCs w:val="24"/>
              </w:rPr>
              <w:t>6</w:t>
            </w:r>
            <w:r w:rsidRPr="00264D5D">
              <w:rPr>
                <w:szCs w:val="24"/>
              </w:rPr>
              <w:fldChar w:fldCharType="end"/>
            </w:r>
            <w:r w:rsidRPr="00264D5D">
              <w:rPr>
                <w:szCs w:val="24"/>
              </w:rPr>
              <w:t>)</w:t>
            </w:r>
          </w:p>
        </w:tc>
      </w:tr>
      <w:tr w:rsidR="00666BC2" w:rsidRPr="00264D5D" w14:paraId="08019564" w14:textId="77777777" w:rsidTr="00666BC2">
        <w:trPr>
          <w:cnfStyle w:val="000000100000" w:firstRow="0" w:lastRow="0" w:firstColumn="0" w:lastColumn="0" w:oddVBand="0" w:evenVBand="0" w:oddHBand="1" w:evenHBand="0" w:firstRowFirstColumn="0" w:firstRowLastColumn="0" w:lastRowFirstColumn="0" w:lastRowLastColumn="0"/>
        </w:trPr>
        <w:tc>
          <w:tcPr>
            <w:tcW w:w="1178" w:type="pct"/>
          </w:tcPr>
          <w:p w14:paraId="396911E6" w14:textId="77777777" w:rsidR="00666BC2" w:rsidRPr="00264D5D" w:rsidRDefault="00666BC2" w:rsidP="00666BC2">
            <w:pPr>
              <w:pStyle w:val="GOSTTablenorm"/>
            </w:pPr>
            <w:r w:rsidRPr="00264D5D">
              <w:rPr>
                <w:szCs w:val="24"/>
              </w:rPr>
              <w:t>transferDocumentRequest/ header/targetSystemId</w:t>
            </w:r>
          </w:p>
        </w:tc>
        <w:tc>
          <w:tcPr>
            <w:tcW w:w="368" w:type="pct"/>
          </w:tcPr>
          <w:p w14:paraId="0EE074A8" w14:textId="77777777" w:rsidR="00666BC2" w:rsidRPr="00264D5D" w:rsidRDefault="00666BC2" w:rsidP="00666BC2">
            <w:pPr>
              <w:pStyle w:val="GOSTTablenorm"/>
              <w:rPr>
                <w:i/>
                <w:szCs w:val="24"/>
              </w:rPr>
            </w:pPr>
            <w:r w:rsidRPr="00264D5D">
              <w:rPr>
                <w:szCs w:val="24"/>
              </w:rPr>
              <w:t>О</w:t>
            </w:r>
          </w:p>
        </w:tc>
        <w:tc>
          <w:tcPr>
            <w:tcW w:w="3454" w:type="pct"/>
          </w:tcPr>
          <w:p w14:paraId="53E80B2D" w14:textId="491F5B69" w:rsidR="00666BC2" w:rsidRPr="00264D5D" w:rsidRDefault="00666BC2" w:rsidP="00666BC2">
            <w:pPr>
              <w:pStyle w:val="GOSTTablenorm"/>
            </w:pPr>
            <w:r w:rsidRPr="00264D5D">
              <w:rPr>
                <w:szCs w:val="24"/>
              </w:rPr>
              <w:t xml:space="preserve">Идентификатор получателя (идентификаторы систем приведены в таблице </w:t>
            </w:r>
            <w:r w:rsidRPr="00264D5D">
              <w:rPr>
                <w:szCs w:val="24"/>
              </w:rPr>
              <w:fldChar w:fldCharType="begin"/>
            </w:r>
            <w:r w:rsidRPr="00264D5D">
              <w:rPr>
                <w:szCs w:val="24"/>
              </w:rPr>
              <w:instrText xml:space="preserve"> REF _Ref9613172 \h  \* MERGEFORMAT </w:instrText>
            </w:r>
            <w:r w:rsidRPr="00264D5D">
              <w:rPr>
                <w:szCs w:val="24"/>
              </w:rPr>
            </w:r>
            <w:r w:rsidRPr="00264D5D">
              <w:rPr>
                <w:szCs w:val="24"/>
              </w:rPr>
              <w:fldChar w:fldCharType="separate"/>
            </w:r>
            <w:r w:rsidR="008D797C" w:rsidRPr="008D797C">
              <w:rPr>
                <w:szCs w:val="24"/>
              </w:rPr>
              <w:t>6</w:t>
            </w:r>
            <w:r w:rsidRPr="00264D5D">
              <w:rPr>
                <w:szCs w:val="24"/>
              </w:rPr>
              <w:fldChar w:fldCharType="end"/>
            </w:r>
            <w:r w:rsidRPr="00264D5D">
              <w:rPr>
                <w:szCs w:val="24"/>
              </w:rPr>
              <w:t>)</w:t>
            </w:r>
          </w:p>
        </w:tc>
      </w:tr>
      <w:tr w:rsidR="00666BC2" w:rsidRPr="00264D5D" w14:paraId="2C60DC08" w14:textId="77777777" w:rsidTr="00666BC2">
        <w:trPr>
          <w:cnfStyle w:val="000000010000" w:firstRow="0" w:lastRow="0" w:firstColumn="0" w:lastColumn="0" w:oddVBand="0" w:evenVBand="0" w:oddHBand="0" w:evenHBand="1" w:firstRowFirstColumn="0" w:firstRowLastColumn="0" w:lastRowFirstColumn="0" w:lastRowLastColumn="0"/>
        </w:trPr>
        <w:tc>
          <w:tcPr>
            <w:tcW w:w="1178" w:type="pct"/>
          </w:tcPr>
          <w:p w14:paraId="3FCCE137" w14:textId="77777777" w:rsidR="00666BC2" w:rsidRPr="00264D5D" w:rsidRDefault="00666BC2" w:rsidP="00666BC2">
            <w:pPr>
              <w:pStyle w:val="GOSTTablenorm"/>
            </w:pPr>
            <w:r w:rsidRPr="00264D5D">
              <w:rPr>
                <w:szCs w:val="24"/>
              </w:rPr>
              <w:t>transferDocumentRequest/ header/documentType</w:t>
            </w:r>
          </w:p>
        </w:tc>
        <w:tc>
          <w:tcPr>
            <w:tcW w:w="368" w:type="pct"/>
          </w:tcPr>
          <w:p w14:paraId="31E8C430" w14:textId="77777777" w:rsidR="00666BC2" w:rsidRPr="00264D5D" w:rsidRDefault="00666BC2" w:rsidP="00666BC2">
            <w:pPr>
              <w:pStyle w:val="GOSTTablenorm"/>
              <w:rPr>
                <w:szCs w:val="24"/>
              </w:rPr>
            </w:pPr>
            <w:r w:rsidRPr="00264D5D">
              <w:rPr>
                <w:szCs w:val="24"/>
              </w:rPr>
              <w:t>О</w:t>
            </w:r>
          </w:p>
        </w:tc>
        <w:tc>
          <w:tcPr>
            <w:tcW w:w="3454" w:type="pct"/>
          </w:tcPr>
          <w:p w14:paraId="49BB2AAC" w14:textId="0CBBF8EE" w:rsidR="00666BC2" w:rsidRPr="00264D5D" w:rsidRDefault="00666BC2" w:rsidP="005A3293">
            <w:pPr>
              <w:pStyle w:val="GOSTTablenorm"/>
            </w:pPr>
            <w:r w:rsidRPr="00264D5D">
              <w:rPr>
                <w:szCs w:val="24"/>
              </w:rPr>
              <w:t xml:space="preserve">Код массива документа (столбец «Код массива </w:t>
            </w:r>
            <w:r w:rsidRPr="00264D5D">
              <w:rPr>
                <w:szCs w:val="24"/>
              </w:rPr>
              <w:br/>
              <w:t xml:space="preserve">информации» </w:t>
            </w:r>
            <w:r w:rsidR="005A3293" w:rsidRPr="00264D5D">
              <w:rPr>
                <w:szCs w:val="24"/>
              </w:rPr>
              <w:t xml:space="preserve">таблицы </w:t>
            </w:r>
            <w:r w:rsidR="005A3293" w:rsidRPr="00264D5D">
              <w:rPr>
                <w:szCs w:val="24"/>
              </w:rPr>
              <w:fldChar w:fldCharType="begin"/>
            </w:r>
            <w:r w:rsidR="005A3293" w:rsidRPr="00264D5D">
              <w:rPr>
                <w:szCs w:val="24"/>
              </w:rPr>
              <w:instrText xml:space="preserve"> REF _Ref19881821 \h  \* MERGEFORMAT </w:instrText>
            </w:r>
            <w:r w:rsidR="005A3293" w:rsidRPr="00264D5D">
              <w:rPr>
                <w:szCs w:val="24"/>
              </w:rPr>
            </w:r>
            <w:r w:rsidR="005A3293" w:rsidRPr="00264D5D">
              <w:rPr>
                <w:szCs w:val="24"/>
              </w:rPr>
              <w:fldChar w:fldCharType="separate"/>
            </w:r>
            <w:r w:rsidR="008D797C" w:rsidRPr="008D797C">
              <w:rPr>
                <w:rFonts w:eastAsia="Calibri"/>
                <w:noProof/>
                <w:szCs w:val="24"/>
              </w:rPr>
              <w:t>2</w:t>
            </w:r>
            <w:r w:rsidR="005A3293" w:rsidRPr="00264D5D">
              <w:rPr>
                <w:szCs w:val="24"/>
              </w:rPr>
              <w:fldChar w:fldCharType="end"/>
            </w:r>
            <w:r w:rsidR="005A3293" w:rsidRPr="00264D5D">
              <w:rPr>
                <w:szCs w:val="24"/>
              </w:rPr>
              <w:t>)</w:t>
            </w:r>
          </w:p>
        </w:tc>
      </w:tr>
      <w:tr w:rsidR="00666BC2" w:rsidRPr="00264D5D" w14:paraId="3F1E872B" w14:textId="77777777" w:rsidTr="00666BC2">
        <w:trPr>
          <w:cnfStyle w:val="000000100000" w:firstRow="0" w:lastRow="0" w:firstColumn="0" w:lastColumn="0" w:oddVBand="0" w:evenVBand="0" w:oddHBand="1" w:evenHBand="0" w:firstRowFirstColumn="0" w:firstRowLastColumn="0" w:lastRowFirstColumn="0" w:lastRowLastColumn="0"/>
        </w:trPr>
        <w:tc>
          <w:tcPr>
            <w:tcW w:w="1178" w:type="pct"/>
          </w:tcPr>
          <w:p w14:paraId="1AE5E6B1" w14:textId="77777777" w:rsidR="00666BC2" w:rsidRPr="00264D5D" w:rsidRDefault="00666BC2" w:rsidP="00666BC2">
            <w:pPr>
              <w:pStyle w:val="GOSTTablenorm"/>
            </w:pPr>
            <w:r w:rsidRPr="00264D5D">
              <w:rPr>
                <w:szCs w:val="24"/>
              </w:rPr>
              <w:t>transferDocumentRequ</w:t>
            </w:r>
            <w:r w:rsidRPr="00264D5D">
              <w:rPr>
                <w:szCs w:val="24"/>
              </w:rPr>
              <w:lastRenderedPageBreak/>
              <w:t>est/ header/documentGuid</w:t>
            </w:r>
          </w:p>
        </w:tc>
        <w:tc>
          <w:tcPr>
            <w:tcW w:w="368" w:type="pct"/>
          </w:tcPr>
          <w:p w14:paraId="00CFC83B" w14:textId="77777777" w:rsidR="00666BC2" w:rsidRPr="00264D5D" w:rsidRDefault="00666BC2" w:rsidP="00666BC2">
            <w:pPr>
              <w:pStyle w:val="GOSTTablenorm"/>
              <w:rPr>
                <w:szCs w:val="24"/>
              </w:rPr>
            </w:pPr>
            <w:r w:rsidRPr="00264D5D">
              <w:rPr>
                <w:szCs w:val="24"/>
              </w:rPr>
              <w:lastRenderedPageBreak/>
              <w:t>Н</w:t>
            </w:r>
          </w:p>
        </w:tc>
        <w:tc>
          <w:tcPr>
            <w:tcW w:w="3454" w:type="pct"/>
          </w:tcPr>
          <w:p w14:paraId="3E412E30" w14:textId="77777777" w:rsidR="00666BC2" w:rsidRPr="00264D5D" w:rsidRDefault="00666BC2" w:rsidP="00666BC2">
            <w:pPr>
              <w:pStyle w:val="GOSTTablenorm"/>
              <w:rPr>
                <w:szCs w:val="24"/>
              </w:rPr>
            </w:pPr>
            <w:r w:rsidRPr="00264D5D">
              <w:rPr>
                <w:szCs w:val="24"/>
              </w:rPr>
              <w:t>GUID передаваемого документа, сформированный в ИС-</w:t>
            </w:r>
            <w:r w:rsidRPr="00264D5D">
              <w:rPr>
                <w:szCs w:val="24"/>
              </w:rPr>
              <w:lastRenderedPageBreak/>
              <w:t>отправителе.</w:t>
            </w:r>
          </w:p>
          <w:p w14:paraId="6595CE77" w14:textId="77777777" w:rsidR="00666BC2" w:rsidRPr="00264D5D" w:rsidRDefault="00666BC2" w:rsidP="00666BC2">
            <w:pPr>
              <w:pStyle w:val="GOSTTablenorm"/>
            </w:pPr>
            <w:r w:rsidRPr="00264D5D">
              <w:rPr>
                <w:szCs w:val="24"/>
              </w:rPr>
              <w:t>Значение в данном теге должно совпадать со значением в теге &lt;</w:t>
            </w:r>
            <w:r w:rsidRPr="00264D5D">
              <w:rPr>
                <w:szCs w:val="24"/>
                <w:lang w:val="en-US"/>
              </w:rPr>
              <w:t>GUID</w:t>
            </w:r>
            <w:r w:rsidRPr="00264D5D">
              <w:rPr>
                <w:szCs w:val="24"/>
              </w:rPr>
              <w:t>&gt; блока document</w:t>
            </w:r>
          </w:p>
        </w:tc>
      </w:tr>
      <w:tr w:rsidR="00666BC2" w:rsidRPr="00264D5D" w14:paraId="128BAB55" w14:textId="77777777" w:rsidTr="00666BC2">
        <w:trPr>
          <w:cnfStyle w:val="000000010000" w:firstRow="0" w:lastRow="0" w:firstColumn="0" w:lastColumn="0" w:oddVBand="0" w:evenVBand="0" w:oddHBand="0" w:evenHBand="1" w:firstRowFirstColumn="0" w:firstRowLastColumn="0" w:lastRowFirstColumn="0" w:lastRowLastColumn="0"/>
        </w:trPr>
        <w:tc>
          <w:tcPr>
            <w:tcW w:w="1178" w:type="pct"/>
          </w:tcPr>
          <w:p w14:paraId="11345198" w14:textId="77777777" w:rsidR="00666BC2" w:rsidRPr="00264D5D" w:rsidRDefault="00666BC2" w:rsidP="00666BC2">
            <w:pPr>
              <w:pStyle w:val="GOSTTablenorm"/>
            </w:pPr>
            <w:r w:rsidRPr="00264D5D">
              <w:rPr>
                <w:szCs w:val="24"/>
              </w:rPr>
              <w:lastRenderedPageBreak/>
              <w:t>transferDocumentRequest/ header/</w:t>
            </w:r>
            <w:r w:rsidRPr="00264D5D">
              <w:t>documentOrgCode</w:t>
            </w:r>
          </w:p>
        </w:tc>
        <w:tc>
          <w:tcPr>
            <w:tcW w:w="368" w:type="pct"/>
          </w:tcPr>
          <w:p w14:paraId="1F2AE6F3" w14:textId="77777777" w:rsidR="00666BC2" w:rsidRPr="00264D5D" w:rsidRDefault="00666BC2" w:rsidP="00666BC2">
            <w:pPr>
              <w:pStyle w:val="GOSTTablenorm"/>
            </w:pPr>
            <w:r w:rsidRPr="00264D5D">
              <w:t>Н</w:t>
            </w:r>
          </w:p>
        </w:tc>
        <w:tc>
          <w:tcPr>
            <w:tcW w:w="3454" w:type="pct"/>
          </w:tcPr>
          <w:p w14:paraId="4BEAAAA1" w14:textId="77777777" w:rsidR="00666BC2" w:rsidRPr="00264D5D" w:rsidRDefault="00666BC2" w:rsidP="00666BC2">
            <w:pPr>
              <w:pStyle w:val="GOSTTablenorm"/>
            </w:pPr>
            <w:r w:rsidRPr="00264D5D">
              <w:t>Код организации-получателя по Сводному реестру.</w:t>
            </w:r>
          </w:p>
          <w:p w14:paraId="04A0BEBB" w14:textId="77777777" w:rsidR="00666BC2" w:rsidRPr="00264D5D" w:rsidRDefault="00666BC2" w:rsidP="00666BC2">
            <w:pPr>
              <w:pStyle w:val="GOSTTablenorm"/>
            </w:pPr>
            <w:r w:rsidRPr="00264D5D">
              <w:rPr>
                <w:szCs w:val="24"/>
              </w:rPr>
              <w:t xml:space="preserve">При взаимодействии ППО АСФК с </w:t>
            </w:r>
            <w:r w:rsidRPr="00264D5D">
              <w:t>МВУ ПУиО (ПФХД</w:t>
            </w:r>
            <w:r w:rsidRPr="00264D5D">
              <w:rPr>
                <w:szCs w:val="24"/>
              </w:rPr>
              <w:t>)</w:t>
            </w:r>
            <w:r w:rsidRPr="00264D5D">
              <w:t xml:space="preserve"> является обязательным. </w:t>
            </w:r>
          </w:p>
          <w:p w14:paraId="690A130B" w14:textId="25DE18B4" w:rsidR="00666BC2" w:rsidRDefault="00666BC2" w:rsidP="00666BC2">
            <w:pPr>
              <w:pStyle w:val="GOSTTablenorm"/>
            </w:pPr>
            <w:r w:rsidRPr="00264D5D">
              <w:t>При взаимодействии ПУР ЭБ с ПФХД при передаче полномочий заполняется кодом организации, принимающей полномочия</w:t>
            </w:r>
            <w:r w:rsidR="00043F1C">
              <w:t>.</w:t>
            </w:r>
          </w:p>
          <w:p w14:paraId="25C1B00D" w14:textId="537682C4" w:rsidR="0062709B" w:rsidRPr="00264D5D" w:rsidRDefault="0062709B" w:rsidP="00666BC2">
            <w:pPr>
              <w:pStyle w:val="GOSTTablenorm"/>
            </w:pPr>
            <w:r w:rsidRPr="00572EF2">
              <w:rPr>
                <w:highlight w:val="green"/>
              </w:rPr>
              <w:t>При взаимодействии ПУД ЭБ</w:t>
            </w:r>
            <w:r w:rsidR="00043F1C" w:rsidRPr="00572EF2">
              <w:rPr>
                <w:highlight w:val="green"/>
              </w:rPr>
              <w:t xml:space="preserve"> </w:t>
            </w:r>
            <w:r w:rsidR="00043F1C">
              <w:rPr>
                <w:highlight w:val="green"/>
                <w:lang w:val="en-US"/>
              </w:rPr>
              <w:t>c</w:t>
            </w:r>
            <w:r w:rsidR="00572EF2">
              <w:rPr>
                <w:highlight w:val="green"/>
              </w:rPr>
              <w:t xml:space="preserve"> АДБ, АИФДБ (ФНС, ФТС) яв</w:t>
            </w:r>
            <w:r w:rsidR="00043F1C" w:rsidRPr="00572EF2">
              <w:rPr>
                <w:highlight w:val="green"/>
              </w:rPr>
              <w:t>ляется обязательным</w:t>
            </w:r>
          </w:p>
        </w:tc>
      </w:tr>
      <w:tr w:rsidR="00666BC2" w:rsidRPr="00264D5D" w14:paraId="62C5B18A" w14:textId="77777777" w:rsidTr="00666BC2">
        <w:trPr>
          <w:cnfStyle w:val="000000100000" w:firstRow="0" w:lastRow="0" w:firstColumn="0" w:lastColumn="0" w:oddVBand="0" w:evenVBand="0" w:oddHBand="1" w:evenHBand="0" w:firstRowFirstColumn="0" w:firstRowLastColumn="0" w:lastRowFirstColumn="0" w:lastRowLastColumn="0"/>
        </w:trPr>
        <w:tc>
          <w:tcPr>
            <w:tcW w:w="1178" w:type="pct"/>
          </w:tcPr>
          <w:p w14:paraId="13388FBB" w14:textId="77777777" w:rsidR="00666BC2" w:rsidRPr="00264D5D" w:rsidRDefault="00666BC2" w:rsidP="00666BC2">
            <w:pPr>
              <w:pStyle w:val="GOSTTablenorm"/>
            </w:pPr>
            <w:r w:rsidRPr="00264D5D">
              <w:rPr>
                <w:szCs w:val="24"/>
              </w:rPr>
              <w:t>transferDocumentRequest/ header/creationDateTime</w:t>
            </w:r>
          </w:p>
        </w:tc>
        <w:tc>
          <w:tcPr>
            <w:tcW w:w="368" w:type="pct"/>
          </w:tcPr>
          <w:p w14:paraId="7BEEC715" w14:textId="77777777" w:rsidR="00666BC2" w:rsidRPr="00264D5D" w:rsidRDefault="00666BC2" w:rsidP="00666BC2">
            <w:pPr>
              <w:pStyle w:val="GOSTTablenorm"/>
              <w:rPr>
                <w:szCs w:val="24"/>
              </w:rPr>
            </w:pPr>
            <w:r w:rsidRPr="00264D5D">
              <w:rPr>
                <w:szCs w:val="24"/>
              </w:rPr>
              <w:t>О</w:t>
            </w:r>
          </w:p>
        </w:tc>
        <w:tc>
          <w:tcPr>
            <w:tcW w:w="3454" w:type="pct"/>
          </w:tcPr>
          <w:p w14:paraId="12585BC8" w14:textId="77777777" w:rsidR="00666BC2" w:rsidRPr="00264D5D" w:rsidRDefault="00666BC2" w:rsidP="00666BC2">
            <w:pPr>
              <w:pStyle w:val="GOSTTablenorm"/>
            </w:pPr>
            <w:r w:rsidRPr="00264D5D">
              <w:rPr>
                <w:szCs w:val="24"/>
              </w:rPr>
              <w:t>Дата и время создания Запроса, содержащего документ</w:t>
            </w:r>
          </w:p>
        </w:tc>
      </w:tr>
      <w:tr w:rsidR="00666BC2" w:rsidRPr="00264D5D" w14:paraId="23D1B789" w14:textId="77777777" w:rsidTr="00666BC2">
        <w:trPr>
          <w:cnfStyle w:val="000000010000" w:firstRow="0" w:lastRow="0" w:firstColumn="0" w:lastColumn="0" w:oddVBand="0" w:evenVBand="0" w:oddHBand="0" w:evenHBand="1" w:firstRowFirstColumn="0" w:firstRowLastColumn="0" w:lastRowFirstColumn="0" w:lastRowLastColumn="0"/>
        </w:trPr>
        <w:tc>
          <w:tcPr>
            <w:tcW w:w="1178" w:type="pct"/>
          </w:tcPr>
          <w:p w14:paraId="5538E993" w14:textId="77777777" w:rsidR="00666BC2" w:rsidRPr="00264D5D" w:rsidRDefault="00666BC2" w:rsidP="00666BC2">
            <w:pPr>
              <w:pStyle w:val="GOSTTablenorm"/>
              <w:rPr>
                <w:szCs w:val="24"/>
              </w:rPr>
            </w:pPr>
            <w:r w:rsidRPr="00264D5D">
              <w:rPr>
                <w:szCs w:val="24"/>
              </w:rPr>
              <w:t>transferDocumentRequest/ header/transactionId</w:t>
            </w:r>
          </w:p>
        </w:tc>
        <w:tc>
          <w:tcPr>
            <w:tcW w:w="368" w:type="pct"/>
          </w:tcPr>
          <w:p w14:paraId="0365A291" w14:textId="77777777" w:rsidR="00666BC2" w:rsidRPr="00264D5D" w:rsidRDefault="00666BC2" w:rsidP="00666BC2">
            <w:pPr>
              <w:pStyle w:val="GOSTTablenorm"/>
              <w:rPr>
                <w:color w:val="000000"/>
                <w:szCs w:val="24"/>
              </w:rPr>
            </w:pPr>
            <w:r w:rsidRPr="00264D5D">
              <w:rPr>
                <w:color w:val="000000"/>
                <w:szCs w:val="24"/>
              </w:rPr>
              <w:t>Н</w:t>
            </w:r>
          </w:p>
        </w:tc>
        <w:tc>
          <w:tcPr>
            <w:tcW w:w="3454" w:type="pct"/>
          </w:tcPr>
          <w:p w14:paraId="6D1A594F" w14:textId="77777777" w:rsidR="00666BC2" w:rsidRPr="00264D5D" w:rsidRDefault="00666BC2" w:rsidP="00666BC2">
            <w:pPr>
              <w:pStyle w:val="GOSTTablenorm"/>
              <w:rPr>
                <w:color w:val="000000"/>
                <w:szCs w:val="24"/>
              </w:rPr>
            </w:pPr>
            <w:r w:rsidRPr="00264D5D">
              <w:rPr>
                <w:color w:val="000000"/>
                <w:szCs w:val="24"/>
              </w:rPr>
              <w:t>Идентификатор бизнес-процесса,</w:t>
            </w:r>
            <w:r w:rsidRPr="00264D5D">
              <w:rPr>
                <w:szCs w:val="24"/>
              </w:rPr>
              <w:t xml:space="preserve"> </w:t>
            </w:r>
            <w:r w:rsidRPr="00264D5D">
              <w:rPr>
                <w:color w:val="000000"/>
                <w:szCs w:val="24"/>
              </w:rPr>
              <w:t xml:space="preserve">обеспечивающий принадлежность документа к одному бизнес-процессу в ходе информационного взаимодействия. </w:t>
            </w:r>
          </w:p>
          <w:p w14:paraId="26E1143A" w14:textId="77777777" w:rsidR="00666BC2" w:rsidRPr="00264D5D" w:rsidRDefault="00666BC2" w:rsidP="00666BC2">
            <w:pPr>
              <w:pStyle w:val="GOSTTablenorm"/>
              <w:rPr>
                <w:szCs w:val="24"/>
              </w:rPr>
            </w:pPr>
            <w:r w:rsidRPr="00264D5D">
              <w:rPr>
                <w:szCs w:val="24"/>
              </w:rPr>
              <w:t xml:space="preserve">При передаче документов «Сведения о денежном обязательстве», «Извещение о постановке на учет (изменении) денежного обязательства в органе Федерального казначейства» и «Уведомление (протокол)», формируемых по результату обработки документа «Сведения о денежном обязательстве», а также ответных асинхронных </w:t>
            </w:r>
            <w:r w:rsidRPr="00264D5D">
              <w:t>квитанций «</w:t>
            </w:r>
            <w:r w:rsidRPr="00264D5D">
              <w:rPr>
                <w:lang w:val="en-US"/>
              </w:rPr>
              <w:t>TransferDocumentReceipt</w:t>
            </w:r>
            <w:r w:rsidRPr="00264D5D">
              <w:t>» на перечисленные документы,</w:t>
            </w:r>
            <w:r w:rsidRPr="00264D5D">
              <w:rPr>
                <w:szCs w:val="24"/>
              </w:rPr>
              <w:t xml:space="preserve"> идентификатор заполняется значением «EXP_SDO» и является обязательным элементом</w:t>
            </w:r>
          </w:p>
        </w:tc>
      </w:tr>
      <w:tr w:rsidR="00666BC2" w:rsidRPr="00264D5D" w14:paraId="4D305CCF" w14:textId="77777777" w:rsidTr="00666BC2">
        <w:trPr>
          <w:cnfStyle w:val="000000100000" w:firstRow="0" w:lastRow="0" w:firstColumn="0" w:lastColumn="0" w:oddVBand="0" w:evenVBand="0" w:oddHBand="1" w:evenHBand="0" w:firstRowFirstColumn="0" w:firstRowLastColumn="0" w:lastRowFirstColumn="0" w:lastRowLastColumn="0"/>
        </w:trPr>
        <w:tc>
          <w:tcPr>
            <w:tcW w:w="1178" w:type="pct"/>
          </w:tcPr>
          <w:p w14:paraId="3F7ABAAB" w14:textId="77777777" w:rsidR="00666BC2" w:rsidRPr="00264D5D" w:rsidRDefault="00666BC2" w:rsidP="00666BC2">
            <w:pPr>
              <w:pStyle w:val="GOSTTablenorm"/>
              <w:rPr>
                <w:szCs w:val="24"/>
              </w:rPr>
            </w:pPr>
            <w:r w:rsidRPr="00264D5D">
              <w:rPr>
                <w:szCs w:val="24"/>
              </w:rPr>
              <w:t>transferDocumentRequest/ header/params</w:t>
            </w:r>
          </w:p>
        </w:tc>
        <w:tc>
          <w:tcPr>
            <w:tcW w:w="368" w:type="pct"/>
          </w:tcPr>
          <w:p w14:paraId="6257F8ED" w14:textId="77777777" w:rsidR="00666BC2" w:rsidRPr="00264D5D" w:rsidRDefault="00666BC2" w:rsidP="00666BC2">
            <w:pPr>
              <w:pStyle w:val="GOSTTablenorm"/>
              <w:rPr>
                <w:color w:val="000000"/>
                <w:szCs w:val="24"/>
              </w:rPr>
            </w:pPr>
            <w:r w:rsidRPr="00264D5D">
              <w:rPr>
                <w:color w:val="000000"/>
                <w:szCs w:val="24"/>
              </w:rPr>
              <w:t>Н</w:t>
            </w:r>
          </w:p>
        </w:tc>
        <w:tc>
          <w:tcPr>
            <w:tcW w:w="3454" w:type="pct"/>
          </w:tcPr>
          <w:p w14:paraId="63F58EE3" w14:textId="77777777" w:rsidR="00666BC2" w:rsidRPr="00264D5D" w:rsidRDefault="00666BC2" w:rsidP="00666BC2">
            <w:pPr>
              <w:pStyle w:val="GOSTTablenorm"/>
              <w:rPr>
                <w:color w:val="000000"/>
                <w:szCs w:val="24"/>
              </w:rPr>
            </w:pPr>
            <w:r w:rsidRPr="00264D5D">
              <w:rPr>
                <w:color w:val="000000"/>
                <w:szCs w:val="24"/>
              </w:rPr>
              <w:t>Дополнительные параметры Запроса.</w:t>
            </w:r>
          </w:p>
          <w:p w14:paraId="5E777ECB" w14:textId="77777777" w:rsidR="00666BC2" w:rsidRPr="00264D5D" w:rsidRDefault="00666BC2" w:rsidP="00666BC2">
            <w:pPr>
              <w:pStyle w:val="GOSTTablenorm"/>
              <w:rPr>
                <w:color w:val="000000"/>
                <w:szCs w:val="24"/>
              </w:rPr>
            </w:pPr>
            <w:r w:rsidRPr="00264D5D">
              <w:rPr>
                <w:color w:val="000000"/>
                <w:szCs w:val="24"/>
              </w:rPr>
              <w:t>Фиксируются через передачу наименования параметра (</w:t>
            </w:r>
            <w:r w:rsidRPr="00264D5D">
              <w:rPr>
                <w:color w:val="000000"/>
                <w:szCs w:val="24"/>
                <w:lang w:val="en-US"/>
              </w:rPr>
              <w:t>name</w:t>
            </w:r>
            <w:r w:rsidRPr="00264D5D">
              <w:rPr>
                <w:color w:val="000000"/>
                <w:szCs w:val="24"/>
              </w:rPr>
              <w:t>) и его значения (</w:t>
            </w:r>
            <w:r w:rsidRPr="00264D5D">
              <w:rPr>
                <w:color w:val="000000"/>
                <w:szCs w:val="24"/>
                <w:lang w:val="en-US"/>
              </w:rPr>
              <w:t>value</w:t>
            </w:r>
            <w:r w:rsidRPr="00264D5D">
              <w:rPr>
                <w:color w:val="000000"/>
                <w:szCs w:val="24"/>
              </w:rPr>
              <w:t xml:space="preserve">). </w:t>
            </w:r>
          </w:p>
          <w:p w14:paraId="294813E7" w14:textId="49E73FC3" w:rsidR="00666BC2" w:rsidRPr="00264D5D" w:rsidRDefault="00666BC2" w:rsidP="00666BC2">
            <w:pPr>
              <w:pStyle w:val="GOSTTablenorm"/>
              <w:rPr>
                <w:color w:val="000000"/>
                <w:szCs w:val="24"/>
              </w:rPr>
            </w:pPr>
            <w:r w:rsidRPr="00264D5D">
              <w:rPr>
                <w:color w:val="000000"/>
                <w:szCs w:val="24"/>
              </w:rPr>
              <w:t>Параметры</w:t>
            </w:r>
            <w:r w:rsidR="001C491E" w:rsidRPr="00264D5D">
              <w:rPr>
                <w:color w:val="000000"/>
                <w:szCs w:val="24"/>
              </w:rPr>
              <w:t xml:space="preserve"> (</w:t>
            </w:r>
            <w:r w:rsidR="001C491E" w:rsidRPr="00264D5D">
              <w:rPr>
                <w:rFonts w:cs="Courier New"/>
                <w:szCs w:val="22"/>
              </w:rPr>
              <w:t>param name</w:t>
            </w:r>
            <w:r w:rsidR="001C491E" w:rsidRPr="00264D5D">
              <w:rPr>
                <w:color w:val="000000"/>
                <w:szCs w:val="24"/>
              </w:rPr>
              <w:t>)</w:t>
            </w:r>
            <w:r w:rsidRPr="00264D5D">
              <w:rPr>
                <w:color w:val="000000"/>
                <w:szCs w:val="24"/>
              </w:rPr>
              <w:t xml:space="preserve"> описаны в таблице </w:t>
            </w:r>
            <w:r w:rsidRPr="00264D5D">
              <w:rPr>
                <w:color w:val="000000"/>
                <w:szCs w:val="24"/>
              </w:rPr>
              <w:fldChar w:fldCharType="begin"/>
            </w:r>
            <w:r w:rsidRPr="00264D5D">
              <w:rPr>
                <w:color w:val="000000"/>
                <w:szCs w:val="24"/>
              </w:rPr>
              <w:instrText xml:space="preserve"> REF _Ref184641266 \h  \* MERGEFORMAT </w:instrText>
            </w:r>
            <w:r w:rsidRPr="00264D5D">
              <w:rPr>
                <w:color w:val="000000"/>
                <w:szCs w:val="24"/>
              </w:rPr>
            </w:r>
            <w:r w:rsidRPr="00264D5D">
              <w:rPr>
                <w:color w:val="000000"/>
                <w:szCs w:val="24"/>
              </w:rPr>
              <w:fldChar w:fldCharType="separate"/>
            </w:r>
            <w:r w:rsidR="008D797C" w:rsidRPr="008D797C">
              <w:rPr>
                <w:noProof/>
                <w:szCs w:val="24"/>
              </w:rPr>
              <w:t>5</w:t>
            </w:r>
            <w:r w:rsidRPr="00264D5D">
              <w:rPr>
                <w:color w:val="000000"/>
                <w:szCs w:val="24"/>
              </w:rPr>
              <w:fldChar w:fldCharType="end"/>
            </w:r>
          </w:p>
        </w:tc>
      </w:tr>
      <w:tr w:rsidR="00666BC2" w:rsidRPr="00264D5D" w14:paraId="57DBD9A3" w14:textId="77777777" w:rsidTr="00666BC2">
        <w:trPr>
          <w:cnfStyle w:val="000000010000" w:firstRow="0" w:lastRow="0" w:firstColumn="0" w:lastColumn="0" w:oddVBand="0" w:evenVBand="0" w:oddHBand="0" w:evenHBand="1" w:firstRowFirstColumn="0" w:firstRowLastColumn="0" w:lastRowFirstColumn="0" w:lastRowLastColumn="0"/>
        </w:trPr>
        <w:tc>
          <w:tcPr>
            <w:tcW w:w="1178" w:type="pct"/>
          </w:tcPr>
          <w:p w14:paraId="53654D83" w14:textId="77777777" w:rsidR="00666BC2" w:rsidRPr="00264D5D" w:rsidRDefault="00666BC2" w:rsidP="00666BC2">
            <w:pPr>
              <w:pStyle w:val="GOSTTablenorm"/>
              <w:rPr>
                <w:szCs w:val="24"/>
              </w:rPr>
            </w:pPr>
            <w:r w:rsidRPr="00264D5D">
              <w:rPr>
                <w:szCs w:val="24"/>
              </w:rPr>
              <w:t>transferDocumentRequest/document</w:t>
            </w:r>
          </w:p>
        </w:tc>
        <w:tc>
          <w:tcPr>
            <w:tcW w:w="368" w:type="pct"/>
          </w:tcPr>
          <w:p w14:paraId="705B6C09" w14:textId="77777777" w:rsidR="00666BC2" w:rsidRPr="00264D5D" w:rsidRDefault="00666BC2" w:rsidP="00666BC2">
            <w:pPr>
              <w:pStyle w:val="GOSTTablenorm"/>
              <w:rPr>
                <w:szCs w:val="24"/>
              </w:rPr>
            </w:pPr>
            <w:r w:rsidRPr="00264D5D">
              <w:rPr>
                <w:color w:val="000000"/>
                <w:szCs w:val="24"/>
              </w:rPr>
              <w:t>Н</w:t>
            </w:r>
          </w:p>
        </w:tc>
        <w:tc>
          <w:tcPr>
            <w:tcW w:w="3454" w:type="pct"/>
          </w:tcPr>
          <w:p w14:paraId="7E4C801D" w14:textId="77777777" w:rsidR="00666BC2" w:rsidRPr="00264D5D" w:rsidRDefault="00666BC2" w:rsidP="00666BC2">
            <w:pPr>
              <w:pStyle w:val="GOSTTablenorm"/>
              <w:rPr>
                <w:color w:val="000000"/>
                <w:szCs w:val="24"/>
              </w:rPr>
            </w:pPr>
            <w:r w:rsidRPr="00264D5D">
              <w:rPr>
                <w:szCs w:val="24"/>
              </w:rPr>
              <w:t>Внутри данного блока содержится структура передаваемого документа</w:t>
            </w:r>
          </w:p>
        </w:tc>
      </w:tr>
      <w:tr w:rsidR="00666BC2" w:rsidRPr="00264D5D" w14:paraId="5FF06239" w14:textId="77777777" w:rsidTr="00666BC2">
        <w:trPr>
          <w:cnfStyle w:val="000000100000" w:firstRow="0" w:lastRow="0" w:firstColumn="0" w:lastColumn="0" w:oddVBand="0" w:evenVBand="0" w:oddHBand="1" w:evenHBand="0" w:firstRowFirstColumn="0" w:firstRowLastColumn="0" w:lastRowFirstColumn="0" w:lastRowLastColumn="0"/>
        </w:trPr>
        <w:tc>
          <w:tcPr>
            <w:tcW w:w="1178" w:type="pct"/>
          </w:tcPr>
          <w:p w14:paraId="28391ADB" w14:textId="77777777" w:rsidR="00666BC2" w:rsidRPr="00264D5D" w:rsidRDefault="00666BC2" w:rsidP="00666BC2">
            <w:pPr>
              <w:pStyle w:val="GOSTTablenorm"/>
              <w:rPr>
                <w:szCs w:val="24"/>
              </w:rPr>
            </w:pPr>
            <w:r w:rsidRPr="00264D5D">
              <w:rPr>
                <w:szCs w:val="24"/>
              </w:rPr>
              <w:t>transferDocumentRequest/attachments</w:t>
            </w:r>
          </w:p>
        </w:tc>
        <w:tc>
          <w:tcPr>
            <w:tcW w:w="368" w:type="pct"/>
          </w:tcPr>
          <w:p w14:paraId="31C818D4" w14:textId="77777777" w:rsidR="00666BC2" w:rsidRPr="00264D5D" w:rsidRDefault="00666BC2" w:rsidP="00666BC2">
            <w:pPr>
              <w:pStyle w:val="GOSTTablenorm"/>
              <w:rPr>
                <w:szCs w:val="24"/>
              </w:rPr>
            </w:pPr>
            <w:r w:rsidRPr="00264D5D">
              <w:rPr>
                <w:color w:val="000000"/>
                <w:szCs w:val="24"/>
              </w:rPr>
              <w:t>Н</w:t>
            </w:r>
          </w:p>
        </w:tc>
        <w:tc>
          <w:tcPr>
            <w:tcW w:w="3454" w:type="pct"/>
          </w:tcPr>
          <w:p w14:paraId="646D4B9D" w14:textId="77777777" w:rsidR="00666BC2" w:rsidRPr="00264D5D" w:rsidRDefault="00666BC2" w:rsidP="00666BC2">
            <w:pPr>
              <w:pStyle w:val="GOSTTablenorm"/>
              <w:rPr>
                <w:szCs w:val="24"/>
              </w:rPr>
            </w:pPr>
            <w:r w:rsidRPr="00264D5D">
              <w:rPr>
                <w:szCs w:val="24"/>
              </w:rPr>
              <w:t xml:space="preserve">Блок с вложениями, структура и заполнение описано в Альбоме ТФО Сервис ПОИ (ЕСМВ). </w:t>
            </w:r>
          </w:p>
          <w:p w14:paraId="4FFAB4A1" w14:textId="77777777" w:rsidR="00666BC2" w:rsidRPr="00264D5D" w:rsidRDefault="00666BC2" w:rsidP="00666BC2">
            <w:pPr>
              <w:pStyle w:val="GOSTTablenorm"/>
              <w:rPr>
                <w:szCs w:val="24"/>
              </w:rPr>
            </w:pPr>
            <w:r w:rsidRPr="00264D5D">
              <w:rPr>
                <w:szCs w:val="24"/>
              </w:rPr>
              <w:t>В блоке может передаваться либо содержимое файла-вложения в кодировке Base64 либо внешняя ссылка на файл-вложение в системе-источнике в формате url</w:t>
            </w:r>
          </w:p>
        </w:tc>
      </w:tr>
    </w:tbl>
    <w:p w14:paraId="23F50777" w14:textId="77777777" w:rsidR="00666BC2" w:rsidRPr="00264D5D" w:rsidRDefault="00666BC2" w:rsidP="00666BC2">
      <w:pPr>
        <w:pStyle w:val="GOSTNormal"/>
        <w:contextualSpacing w:val="0"/>
        <w:rPr>
          <w:szCs w:val="24"/>
        </w:rPr>
      </w:pPr>
    </w:p>
    <w:p w14:paraId="0A2C2325" w14:textId="3530434D" w:rsidR="00666BC2" w:rsidRPr="0004431E" w:rsidRDefault="00666BC2" w:rsidP="00666BC2">
      <w:pPr>
        <w:pStyle w:val="OTRNameTable"/>
        <w:numPr>
          <w:ilvl w:val="0"/>
          <w:numId w:val="161"/>
        </w:numPr>
        <w:ind w:left="425" w:hanging="357"/>
        <w:rPr>
          <w:szCs w:val="24"/>
          <w:highlight w:val="green"/>
        </w:rPr>
      </w:pPr>
      <w:r w:rsidRPr="0004431E">
        <w:rPr>
          <w:szCs w:val="24"/>
          <w:highlight w:val="green"/>
        </w:rPr>
        <w:lastRenderedPageBreak/>
        <w:fldChar w:fldCharType="begin"/>
      </w:r>
      <w:r w:rsidRPr="0004431E">
        <w:rPr>
          <w:szCs w:val="24"/>
          <w:highlight w:val="green"/>
        </w:rPr>
        <w:instrText xml:space="preserve"> SEQ Таблица \* ARABIC </w:instrText>
      </w:r>
      <w:r w:rsidRPr="0004431E">
        <w:rPr>
          <w:szCs w:val="24"/>
          <w:highlight w:val="green"/>
        </w:rPr>
        <w:fldChar w:fldCharType="separate"/>
      </w:r>
      <w:bookmarkStart w:id="345" w:name="_Ref184641266"/>
      <w:bookmarkStart w:id="346" w:name="_Toc184640874"/>
      <w:bookmarkStart w:id="347" w:name="_Toc219309035"/>
      <w:r w:rsidR="008D797C">
        <w:rPr>
          <w:noProof/>
          <w:szCs w:val="24"/>
          <w:highlight w:val="green"/>
        </w:rPr>
        <w:t>5</w:t>
      </w:r>
      <w:bookmarkEnd w:id="345"/>
      <w:r w:rsidRPr="0004431E">
        <w:rPr>
          <w:szCs w:val="24"/>
          <w:highlight w:val="green"/>
        </w:rPr>
        <w:fldChar w:fldCharType="end"/>
      </w:r>
      <w:r w:rsidRPr="0004431E">
        <w:rPr>
          <w:szCs w:val="24"/>
          <w:highlight w:val="green"/>
        </w:rPr>
        <w:t xml:space="preserve"> </w:t>
      </w:r>
      <w:r w:rsidRPr="0004431E">
        <w:rPr>
          <w:rFonts w:eastAsia="Calibri"/>
          <w:szCs w:val="24"/>
          <w:highlight w:val="green"/>
        </w:rPr>
        <w:t xml:space="preserve">– </w:t>
      </w:r>
      <w:r w:rsidRPr="0004431E">
        <w:rPr>
          <w:szCs w:val="24"/>
          <w:highlight w:val="green"/>
        </w:rPr>
        <w:t>Дополнительные параметры Запроса</w:t>
      </w:r>
      <w:bookmarkEnd w:id="346"/>
      <w:bookmarkEnd w:id="347"/>
    </w:p>
    <w:tbl>
      <w:tblPr>
        <w:tblStyle w:val="GOSTTable"/>
        <w:tblW w:w="5000" w:type="pct"/>
        <w:tblLayout w:type="fixed"/>
        <w:tblLook w:val="01E0" w:firstRow="1" w:lastRow="1" w:firstColumn="1" w:lastColumn="1" w:noHBand="0" w:noVBand="0"/>
      </w:tblPr>
      <w:tblGrid>
        <w:gridCol w:w="2274"/>
        <w:gridCol w:w="710"/>
        <w:gridCol w:w="6666"/>
      </w:tblGrid>
      <w:tr w:rsidR="00666BC2" w:rsidRPr="00264D5D" w14:paraId="48CB867B" w14:textId="77777777" w:rsidTr="002C049B">
        <w:trPr>
          <w:cnfStyle w:val="100000000000" w:firstRow="1" w:lastRow="0" w:firstColumn="0" w:lastColumn="0" w:oddVBand="0" w:evenVBand="0" w:oddHBand="0" w:evenHBand="0" w:firstRowFirstColumn="0" w:firstRowLastColumn="0" w:lastRowFirstColumn="0" w:lastRowLastColumn="0"/>
          <w:tblHeader/>
        </w:trPr>
        <w:tc>
          <w:tcPr>
            <w:tcW w:w="1178" w:type="pct"/>
          </w:tcPr>
          <w:p w14:paraId="5A4CFDC9" w14:textId="77777777" w:rsidR="00666BC2" w:rsidRPr="00264D5D" w:rsidRDefault="00666BC2" w:rsidP="002C049B">
            <w:pPr>
              <w:pStyle w:val="GOSTTableHead"/>
              <w:ind w:left="57" w:right="57"/>
            </w:pPr>
            <w:r w:rsidRPr="00264D5D">
              <w:t>Наименование параметра</w:t>
            </w:r>
            <w:r w:rsidR="001C491E" w:rsidRPr="00264D5D">
              <w:t xml:space="preserve"> (</w:t>
            </w:r>
            <w:r w:rsidR="001C491E" w:rsidRPr="00264D5D">
              <w:rPr>
                <w:rFonts w:cs="Courier New"/>
                <w:szCs w:val="22"/>
              </w:rPr>
              <w:t>param name</w:t>
            </w:r>
            <w:r w:rsidR="001C491E" w:rsidRPr="00264D5D">
              <w:t>)</w:t>
            </w:r>
          </w:p>
        </w:tc>
        <w:tc>
          <w:tcPr>
            <w:tcW w:w="368" w:type="pct"/>
          </w:tcPr>
          <w:p w14:paraId="56B0DC76" w14:textId="77777777" w:rsidR="00666BC2" w:rsidRPr="00264D5D" w:rsidRDefault="00666BC2" w:rsidP="002C049B">
            <w:pPr>
              <w:pStyle w:val="GOSTTableHead"/>
              <w:widowControl w:val="0"/>
              <w:ind w:left="57" w:right="57"/>
            </w:pPr>
            <w:r w:rsidRPr="00264D5D">
              <w:t>Обязательность</w:t>
            </w:r>
          </w:p>
        </w:tc>
        <w:tc>
          <w:tcPr>
            <w:tcW w:w="3454" w:type="pct"/>
          </w:tcPr>
          <w:p w14:paraId="5A068FE7" w14:textId="77777777" w:rsidR="00666BC2" w:rsidRPr="00264D5D" w:rsidRDefault="00666BC2" w:rsidP="002C049B">
            <w:pPr>
              <w:pStyle w:val="GOSTTableHead"/>
              <w:ind w:left="57" w:right="57"/>
            </w:pPr>
            <w:r w:rsidRPr="00264D5D">
              <w:t xml:space="preserve">Описание </w:t>
            </w:r>
          </w:p>
        </w:tc>
      </w:tr>
      <w:tr w:rsidR="00666BC2" w:rsidRPr="00264D5D" w14:paraId="6411CBC2" w14:textId="77777777" w:rsidTr="002C049B">
        <w:trPr>
          <w:cnfStyle w:val="000000100000" w:firstRow="0" w:lastRow="0" w:firstColumn="0" w:lastColumn="0" w:oddVBand="0" w:evenVBand="0" w:oddHBand="1" w:evenHBand="0" w:firstRowFirstColumn="0" w:firstRowLastColumn="0" w:lastRowFirstColumn="0" w:lastRowLastColumn="0"/>
        </w:trPr>
        <w:tc>
          <w:tcPr>
            <w:tcW w:w="1178" w:type="pct"/>
          </w:tcPr>
          <w:p w14:paraId="42F2F64C" w14:textId="77777777" w:rsidR="00666BC2" w:rsidRPr="00264D5D" w:rsidRDefault="00666BC2" w:rsidP="002C049B">
            <w:pPr>
              <w:pStyle w:val="GOSTTablenorm"/>
            </w:pPr>
            <w:r w:rsidRPr="00264D5D">
              <w:rPr>
                <w:szCs w:val="24"/>
              </w:rPr>
              <w:t>tofkCode</w:t>
            </w:r>
          </w:p>
        </w:tc>
        <w:tc>
          <w:tcPr>
            <w:tcW w:w="368" w:type="pct"/>
          </w:tcPr>
          <w:p w14:paraId="7DDFA4BC" w14:textId="77777777" w:rsidR="00666BC2" w:rsidRPr="00264D5D" w:rsidRDefault="00666BC2" w:rsidP="002C049B">
            <w:pPr>
              <w:pStyle w:val="GOSTTablenorm"/>
            </w:pPr>
            <w:r w:rsidRPr="00264D5D">
              <w:t>О</w:t>
            </w:r>
          </w:p>
        </w:tc>
        <w:tc>
          <w:tcPr>
            <w:tcW w:w="3454" w:type="pct"/>
          </w:tcPr>
          <w:p w14:paraId="07BFCC6B" w14:textId="77777777" w:rsidR="00666BC2" w:rsidRPr="00264D5D" w:rsidRDefault="00666BC2" w:rsidP="002C049B">
            <w:pPr>
              <w:pStyle w:val="GOSTTablenorm"/>
            </w:pPr>
            <w:r w:rsidRPr="00264D5D">
              <w:rPr>
                <w:szCs w:val="24"/>
              </w:rPr>
              <w:t>Код ТОФК по КОФК</w:t>
            </w:r>
          </w:p>
        </w:tc>
      </w:tr>
      <w:tr w:rsidR="00666BC2" w:rsidRPr="00264D5D" w14:paraId="7DF85EFC" w14:textId="77777777" w:rsidTr="002C049B">
        <w:trPr>
          <w:cnfStyle w:val="000000010000" w:firstRow="0" w:lastRow="0" w:firstColumn="0" w:lastColumn="0" w:oddVBand="0" w:evenVBand="0" w:oddHBand="0" w:evenHBand="1" w:firstRowFirstColumn="0" w:firstRowLastColumn="0" w:lastRowFirstColumn="0" w:lastRowLastColumn="0"/>
        </w:trPr>
        <w:tc>
          <w:tcPr>
            <w:tcW w:w="1178" w:type="pct"/>
          </w:tcPr>
          <w:p w14:paraId="19C2B5BC" w14:textId="77777777" w:rsidR="00666BC2" w:rsidRPr="00264D5D" w:rsidRDefault="00666BC2" w:rsidP="002C049B">
            <w:pPr>
              <w:pStyle w:val="GOSTTablenorm"/>
            </w:pPr>
            <w:r w:rsidRPr="00264D5D">
              <w:rPr>
                <w:szCs w:val="24"/>
              </w:rPr>
              <w:t>SRCode_GRBS</w:t>
            </w:r>
          </w:p>
        </w:tc>
        <w:tc>
          <w:tcPr>
            <w:tcW w:w="368" w:type="pct"/>
          </w:tcPr>
          <w:p w14:paraId="5DC2A21F" w14:textId="77777777" w:rsidR="00666BC2" w:rsidRPr="00264D5D" w:rsidRDefault="00666BC2" w:rsidP="002C049B">
            <w:pPr>
              <w:pStyle w:val="GOSTTablenorm"/>
            </w:pPr>
            <w:r w:rsidRPr="00264D5D">
              <w:t>Н</w:t>
            </w:r>
          </w:p>
        </w:tc>
        <w:tc>
          <w:tcPr>
            <w:tcW w:w="3454" w:type="pct"/>
          </w:tcPr>
          <w:p w14:paraId="0ED25B47" w14:textId="77777777" w:rsidR="0004431E" w:rsidRDefault="0004431E" w:rsidP="0004431E">
            <w:pPr>
              <w:pStyle w:val="GOSTTablenorm"/>
              <w:rPr>
                <w:szCs w:val="24"/>
              </w:rPr>
            </w:pPr>
            <w:r w:rsidRPr="00666BC2">
              <w:rPr>
                <w:szCs w:val="24"/>
              </w:rPr>
              <w:t xml:space="preserve">Код организации в соответствии со Сводным реестром. </w:t>
            </w:r>
          </w:p>
          <w:p w14:paraId="3704685E" w14:textId="77777777" w:rsidR="0004431E" w:rsidRPr="00666BC2" w:rsidRDefault="0004431E" w:rsidP="0004431E">
            <w:pPr>
              <w:pStyle w:val="GOSTTablenorm"/>
              <w:rPr>
                <w:szCs w:val="24"/>
              </w:rPr>
            </w:pPr>
            <w:r w:rsidRPr="000E2EE3">
              <w:rPr>
                <w:szCs w:val="22"/>
                <w:highlight w:val="green"/>
              </w:rPr>
              <w:t>При взаимодействии ТОФК (ПУД ЭБ) с МВУ ПУиО (ПФХД) является обязательным к заполнению</w:t>
            </w:r>
            <w:r>
              <w:rPr>
                <w:szCs w:val="22"/>
              </w:rPr>
              <w:t>.</w:t>
            </w:r>
          </w:p>
          <w:p w14:paraId="3F24B31E" w14:textId="77777777" w:rsidR="00666BC2" w:rsidRPr="00264D5D" w:rsidRDefault="0004431E" w:rsidP="0004431E">
            <w:pPr>
              <w:pStyle w:val="GOSTTablenorm"/>
            </w:pPr>
            <w:r w:rsidRPr="009D2D00">
              <w:rPr>
                <w:szCs w:val="24"/>
              </w:rPr>
              <w:t xml:space="preserve">При взаимодействии ПУР ЭБ с ПФХД, ППО АСФК с </w:t>
            </w:r>
            <w:r w:rsidRPr="009D2D00">
              <w:t>МВУ ПУиО (ПФХД)</w:t>
            </w:r>
            <w:r w:rsidRPr="009D2D00">
              <w:rPr>
                <w:szCs w:val="24"/>
              </w:rPr>
              <w:t xml:space="preserve"> при передаче полномочий заполняется кодом организации, передавшей полномочия</w:t>
            </w:r>
          </w:p>
        </w:tc>
      </w:tr>
      <w:tr w:rsidR="00666BC2" w:rsidRPr="00264D5D" w14:paraId="32771976" w14:textId="77777777" w:rsidTr="002C049B">
        <w:trPr>
          <w:cnfStyle w:val="000000100000" w:firstRow="0" w:lastRow="0" w:firstColumn="0" w:lastColumn="0" w:oddVBand="0" w:evenVBand="0" w:oddHBand="1" w:evenHBand="0" w:firstRowFirstColumn="0" w:firstRowLastColumn="0" w:lastRowFirstColumn="0" w:lastRowLastColumn="0"/>
        </w:trPr>
        <w:tc>
          <w:tcPr>
            <w:tcW w:w="1178" w:type="pct"/>
          </w:tcPr>
          <w:p w14:paraId="3C60E8A0" w14:textId="77777777" w:rsidR="00666BC2" w:rsidRPr="00264D5D" w:rsidRDefault="00666BC2" w:rsidP="002C049B">
            <w:pPr>
              <w:pStyle w:val="GOSTTablenorm"/>
            </w:pPr>
            <w:r w:rsidRPr="00264D5D">
              <w:rPr>
                <w:szCs w:val="24"/>
              </w:rPr>
              <w:t>versionId</w:t>
            </w:r>
          </w:p>
        </w:tc>
        <w:tc>
          <w:tcPr>
            <w:tcW w:w="368" w:type="pct"/>
          </w:tcPr>
          <w:p w14:paraId="6CC91E5C" w14:textId="77777777" w:rsidR="00666BC2" w:rsidRPr="00264D5D" w:rsidRDefault="00666BC2" w:rsidP="002C049B">
            <w:pPr>
              <w:pStyle w:val="GOSTTablenorm"/>
            </w:pPr>
            <w:r w:rsidRPr="00264D5D">
              <w:t>О</w:t>
            </w:r>
          </w:p>
        </w:tc>
        <w:tc>
          <w:tcPr>
            <w:tcW w:w="3454" w:type="pct"/>
          </w:tcPr>
          <w:p w14:paraId="7A9EA043" w14:textId="77777777" w:rsidR="00666BC2" w:rsidRPr="00264D5D" w:rsidRDefault="00666BC2" w:rsidP="002C049B">
            <w:pPr>
              <w:pStyle w:val="GOSTTablenorm"/>
            </w:pPr>
            <w:r w:rsidRPr="00264D5D">
              <w:rPr>
                <w:szCs w:val="24"/>
              </w:rPr>
              <w:t xml:space="preserve">Номер версии ТФО передаваемого документа, зафиксированный в атрибуте </w:t>
            </w:r>
            <w:r w:rsidR="00A86C72" w:rsidRPr="00264D5D">
              <w:rPr>
                <w:szCs w:val="24"/>
                <w:lang w:val="en-US"/>
              </w:rPr>
              <w:t>v</w:t>
            </w:r>
            <w:r w:rsidRPr="00264D5D">
              <w:rPr>
                <w:szCs w:val="24"/>
                <w:lang w:val="en-US"/>
              </w:rPr>
              <w:t>ersionID</w:t>
            </w:r>
            <w:r w:rsidRPr="00264D5D">
              <w:rPr>
                <w:szCs w:val="24"/>
              </w:rPr>
              <w:t xml:space="preserve"> (</w:t>
            </w:r>
            <w:r w:rsidR="00A86C72" w:rsidRPr="00264D5D">
              <w:rPr>
                <w:szCs w:val="24"/>
                <w:lang w:val="en-US"/>
              </w:rPr>
              <w:t>v</w:t>
            </w:r>
            <w:r w:rsidRPr="00264D5D">
              <w:rPr>
                <w:szCs w:val="24"/>
                <w:lang w:val="en-US"/>
              </w:rPr>
              <w:t>ersion</w:t>
            </w:r>
            <w:r w:rsidRPr="00264D5D">
              <w:rPr>
                <w:szCs w:val="24"/>
              </w:rPr>
              <w:t>) соответствующего формуляра документа</w:t>
            </w:r>
          </w:p>
        </w:tc>
      </w:tr>
      <w:tr w:rsidR="00666BC2" w:rsidRPr="00264D5D" w14:paraId="6D7658F5" w14:textId="77777777" w:rsidTr="002C049B">
        <w:trPr>
          <w:cnfStyle w:val="000000010000" w:firstRow="0" w:lastRow="0" w:firstColumn="0" w:lastColumn="0" w:oddVBand="0" w:evenVBand="0" w:oddHBand="0" w:evenHBand="1" w:firstRowFirstColumn="0" w:firstRowLastColumn="0" w:lastRowFirstColumn="0" w:lastRowLastColumn="0"/>
        </w:trPr>
        <w:tc>
          <w:tcPr>
            <w:tcW w:w="1178" w:type="pct"/>
          </w:tcPr>
          <w:p w14:paraId="1E1885BB" w14:textId="77777777" w:rsidR="00666BC2" w:rsidRPr="00264D5D" w:rsidRDefault="00666BC2" w:rsidP="002C049B">
            <w:pPr>
              <w:pStyle w:val="GOSTTablenorm"/>
            </w:pPr>
            <w:r w:rsidRPr="00264D5D">
              <w:rPr>
                <w:szCs w:val="24"/>
              </w:rPr>
              <w:t>ParentDocGUID</w:t>
            </w:r>
          </w:p>
        </w:tc>
        <w:tc>
          <w:tcPr>
            <w:tcW w:w="368" w:type="pct"/>
          </w:tcPr>
          <w:p w14:paraId="2DCF23D0" w14:textId="77777777" w:rsidR="00666BC2" w:rsidRPr="00264D5D" w:rsidRDefault="00666BC2" w:rsidP="002C049B">
            <w:pPr>
              <w:pStyle w:val="GOSTTablenorm"/>
            </w:pPr>
            <w:r w:rsidRPr="00264D5D">
              <w:t>Н</w:t>
            </w:r>
          </w:p>
        </w:tc>
        <w:tc>
          <w:tcPr>
            <w:tcW w:w="3454" w:type="pct"/>
          </w:tcPr>
          <w:p w14:paraId="7E9DA3F9" w14:textId="77777777" w:rsidR="00666BC2" w:rsidRPr="00264D5D" w:rsidRDefault="00666BC2" w:rsidP="002C049B">
            <w:pPr>
              <w:pStyle w:val="GOSTTablenorm"/>
              <w:rPr>
                <w:szCs w:val="24"/>
              </w:rPr>
            </w:pPr>
            <w:r w:rsidRPr="00264D5D">
              <w:rPr>
                <w:szCs w:val="24"/>
              </w:rPr>
              <w:t xml:space="preserve">Указывается GUID первичного документа, инициирующего бизнес-процесс. </w:t>
            </w:r>
          </w:p>
          <w:p w14:paraId="00A87741" w14:textId="77777777" w:rsidR="00A86C72" w:rsidRPr="00264D5D" w:rsidRDefault="002C049B" w:rsidP="002C049B">
            <w:pPr>
              <w:pStyle w:val="GOSTTablenorm"/>
              <w:rPr>
                <w:szCs w:val="24"/>
              </w:rPr>
            </w:pPr>
            <w:r w:rsidRPr="00264D5D">
              <w:rPr>
                <w:szCs w:val="24"/>
              </w:rPr>
              <w:t>П</w:t>
            </w:r>
            <w:r w:rsidR="00A86C72" w:rsidRPr="00264D5D">
              <w:rPr>
                <w:szCs w:val="24"/>
              </w:rPr>
              <w:t xml:space="preserve">ри передаче документов «Сведения о денежном обязательстве», «Извещение о постановке на учет (изменении) денежного обязательства в органе Федерального казначейства» и «Уведомление протокол)», формируемых по результату обработки документа «Сведения о денежном обязательстве», а также ответных асинхронных </w:t>
            </w:r>
            <w:r w:rsidR="00A86C72" w:rsidRPr="00264D5D">
              <w:t>квитанций «</w:t>
            </w:r>
            <w:r w:rsidR="00A86C72" w:rsidRPr="00264D5D">
              <w:rPr>
                <w:lang w:val="en-US"/>
              </w:rPr>
              <w:t>TransferDocumentReceipt</w:t>
            </w:r>
            <w:r w:rsidR="00A86C72" w:rsidRPr="00264D5D">
              <w:t>» на перечисленные документы,</w:t>
            </w:r>
            <w:r w:rsidR="00A86C72" w:rsidRPr="00264D5D">
              <w:rPr>
                <w:szCs w:val="24"/>
              </w:rPr>
              <w:t xml:space="preserve"> в рамках бизнес-процесса с идентификатором «EXP_SDO»</w:t>
            </w:r>
            <w:r w:rsidRPr="00264D5D">
              <w:rPr>
                <w:szCs w:val="24"/>
              </w:rPr>
              <w:t xml:space="preserve"> параметр заполняется GUID документа «Сведения о денежном обязательстве» и является обязательным</w:t>
            </w:r>
            <w:r w:rsidR="00A86C72" w:rsidRPr="00264D5D">
              <w:rPr>
                <w:szCs w:val="24"/>
              </w:rPr>
              <w:t>.</w:t>
            </w:r>
          </w:p>
          <w:p w14:paraId="59F3AC63" w14:textId="77777777" w:rsidR="00A86C72" w:rsidRPr="00264D5D" w:rsidRDefault="00A86C72" w:rsidP="002C049B">
            <w:pPr>
              <w:pStyle w:val="GOSTTablenorm"/>
            </w:pPr>
            <w:r w:rsidRPr="00264D5D">
              <w:rPr>
                <w:szCs w:val="24"/>
              </w:rPr>
              <w:t xml:space="preserve">Для маршрута ППО АСФК – </w:t>
            </w:r>
            <w:r w:rsidRPr="00264D5D">
              <w:t>МВУ ПУиО (ПФХД</w:t>
            </w:r>
            <w:r w:rsidR="002C049B" w:rsidRPr="00264D5D">
              <w:t xml:space="preserve">) </w:t>
            </w:r>
            <w:r w:rsidRPr="00264D5D">
              <w:rPr>
                <w:szCs w:val="24"/>
              </w:rPr>
              <w:t>при передаче документов «Извещение об исполнении Распоряжения о перечислении денежных средств на банковские карты «Мир» физических лиц», «Уведомление (Протокол)», формируемых по результату обработки документа «Распоряжение о перечислении денежных средств на банковские карты «Мир» физических лиц»</w:t>
            </w:r>
            <w:r w:rsidR="002C049B" w:rsidRPr="00264D5D">
              <w:rPr>
                <w:szCs w:val="24"/>
              </w:rPr>
              <w:t xml:space="preserve"> параметр заполняется GUID документа «Распоряжение о перечислении денежных средств на банковские карты «Мир» физических лиц» и является обязательным</w:t>
            </w:r>
            <w:r w:rsidRPr="00264D5D">
              <w:t>.</w:t>
            </w:r>
          </w:p>
          <w:p w14:paraId="74293F82" w14:textId="77777777" w:rsidR="00666BC2" w:rsidRPr="00264D5D" w:rsidRDefault="00A86C72" w:rsidP="002C049B">
            <w:pPr>
              <w:pStyle w:val="GOSTTablenorm"/>
            </w:pPr>
            <w:r w:rsidRPr="00264D5D">
              <w:rPr>
                <w:szCs w:val="24"/>
              </w:rPr>
              <w:t>Для маршрута МВУ ПУиО (ПФХД) – ППО АСФК при передаче транспортной асинхронной квитанции «transferDocumentReceipt», формируемой по результату доставки/недоставки документов «Извещение об исполнении Распоряжения о перечислении денежных средств на банковские карты «Мир» физических лиц», «Уведомление (Протокол)»</w:t>
            </w:r>
            <w:r w:rsidR="002C049B" w:rsidRPr="00264D5D">
              <w:rPr>
                <w:szCs w:val="24"/>
              </w:rPr>
              <w:t xml:space="preserve"> параметр заполняется GUIDами документов «Извещение об исполнении Распоряжения о перечислении денежных средств на банковские карты «Мир» физических лиц», «Уведомление (Протокол)» и является обязательным</w:t>
            </w:r>
          </w:p>
        </w:tc>
      </w:tr>
      <w:tr w:rsidR="00666BC2" w:rsidRPr="00264D5D" w14:paraId="17B97D81" w14:textId="77777777" w:rsidTr="002C049B">
        <w:trPr>
          <w:cnfStyle w:val="000000100000" w:firstRow="0" w:lastRow="0" w:firstColumn="0" w:lastColumn="0" w:oddVBand="0" w:evenVBand="0" w:oddHBand="1" w:evenHBand="0" w:firstRowFirstColumn="0" w:firstRowLastColumn="0" w:lastRowFirstColumn="0" w:lastRowLastColumn="0"/>
        </w:trPr>
        <w:tc>
          <w:tcPr>
            <w:tcW w:w="1178" w:type="pct"/>
          </w:tcPr>
          <w:p w14:paraId="703F9D39" w14:textId="77777777" w:rsidR="00666BC2" w:rsidRPr="00264D5D" w:rsidRDefault="00666BC2" w:rsidP="002C049B">
            <w:pPr>
              <w:pStyle w:val="GOSTTablenorm"/>
            </w:pPr>
            <w:r w:rsidRPr="00264D5D">
              <w:rPr>
                <w:szCs w:val="24"/>
              </w:rPr>
              <w:t>ParentDocType</w:t>
            </w:r>
          </w:p>
        </w:tc>
        <w:tc>
          <w:tcPr>
            <w:tcW w:w="368" w:type="pct"/>
          </w:tcPr>
          <w:p w14:paraId="537F750A" w14:textId="77777777" w:rsidR="00666BC2" w:rsidRPr="00264D5D" w:rsidRDefault="00666BC2" w:rsidP="002C049B">
            <w:pPr>
              <w:pStyle w:val="GOSTTablenorm"/>
            </w:pPr>
            <w:r w:rsidRPr="00264D5D">
              <w:t>Н</w:t>
            </w:r>
          </w:p>
        </w:tc>
        <w:tc>
          <w:tcPr>
            <w:tcW w:w="3454" w:type="pct"/>
          </w:tcPr>
          <w:p w14:paraId="5BB9D8AC" w14:textId="77777777" w:rsidR="00666BC2" w:rsidRPr="00264D5D" w:rsidRDefault="00666BC2" w:rsidP="002C049B">
            <w:pPr>
              <w:pStyle w:val="GOSTTablenorm"/>
            </w:pPr>
            <w:r w:rsidRPr="00264D5D">
              <w:t>Указывается тип родительского документа для Квитанции.</w:t>
            </w:r>
          </w:p>
          <w:p w14:paraId="03BA28BD" w14:textId="77777777" w:rsidR="00666BC2" w:rsidRPr="00264D5D" w:rsidRDefault="00666BC2" w:rsidP="002C049B">
            <w:pPr>
              <w:pStyle w:val="GOSTTablenorm"/>
            </w:pPr>
            <w:r w:rsidRPr="00264D5D">
              <w:t xml:space="preserve">Заполняется системным именем формуляра родительского </w:t>
            </w:r>
            <w:r w:rsidRPr="00264D5D">
              <w:lastRenderedPageBreak/>
              <w:t>документа</w:t>
            </w:r>
          </w:p>
        </w:tc>
      </w:tr>
      <w:tr w:rsidR="00666BC2" w:rsidRPr="00264D5D" w14:paraId="4EA23A2D" w14:textId="77777777" w:rsidTr="002C049B">
        <w:trPr>
          <w:cnfStyle w:val="000000010000" w:firstRow="0" w:lastRow="0" w:firstColumn="0" w:lastColumn="0" w:oddVBand="0" w:evenVBand="0" w:oddHBand="0" w:evenHBand="1" w:firstRowFirstColumn="0" w:firstRowLastColumn="0" w:lastRowFirstColumn="0" w:lastRowLastColumn="0"/>
        </w:trPr>
        <w:tc>
          <w:tcPr>
            <w:tcW w:w="1178" w:type="pct"/>
          </w:tcPr>
          <w:p w14:paraId="42108319" w14:textId="77777777" w:rsidR="00666BC2" w:rsidRPr="00264D5D" w:rsidRDefault="00666BC2" w:rsidP="002C049B">
            <w:pPr>
              <w:pStyle w:val="GOSTTablenorm"/>
            </w:pPr>
            <w:r w:rsidRPr="00264D5D">
              <w:rPr>
                <w:szCs w:val="24"/>
              </w:rPr>
              <w:lastRenderedPageBreak/>
              <w:t>AccountNum</w:t>
            </w:r>
          </w:p>
        </w:tc>
        <w:tc>
          <w:tcPr>
            <w:tcW w:w="368" w:type="pct"/>
          </w:tcPr>
          <w:p w14:paraId="0E8229A1" w14:textId="77777777" w:rsidR="00666BC2" w:rsidRPr="00264D5D" w:rsidRDefault="00666BC2" w:rsidP="002C049B">
            <w:pPr>
              <w:pStyle w:val="GOSTTablenorm"/>
            </w:pPr>
            <w:r w:rsidRPr="00264D5D">
              <w:t>Н</w:t>
            </w:r>
          </w:p>
        </w:tc>
        <w:tc>
          <w:tcPr>
            <w:tcW w:w="3454" w:type="pct"/>
          </w:tcPr>
          <w:p w14:paraId="3283CD45" w14:textId="77777777" w:rsidR="00666BC2" w:rsidRPr="00264D5D" w:rsidRDefault="00666BC2" w:rsidP="002C049B">
            <w:pPr>
              <w:pStyle w:val="GOSTTablenorm"/>
              <w:rPr>
                <w:szCs w:val="22"/>
              </w:rPr>
            </w:pPr>
            <w:r w:rsidRPr="00264D5D">
              <w:rPr>
                <w:szCs w:val="22"/>
              </w:rPr>
              <w:t>Указывается номер лицевого счета</w:t>
            </w:r>
          </w:p>
          <w:p w14:paraId="0566AA5C" w14:textId="77777777" w:rsidR="00666BC2" w:rsidRPr="00264D5D" w:rsidRDefault="002C049B" w:rsidP="002C049B">
            <w:pPr>
              <w:pStyle w:val="GOSTTablenorm"/>
            </w:pPr>
            <w:r w:rsidRPr="00264D5D">
              <w:rPr>
                <w:szCs w:val="22"/>
              </w:rPr>
              <w:t xml:space="preserve">Заполняется и является обязательным только для документов, отправляемых по маршрутам ПФХД – ПУР ЭБ, </w:t>
            </w:r>
            <w:r w:rsidRPr="00264D5D">
              <w:t xml:space="preserve">МВУ ПУиО (ПФХД) – </w:t>
            </w:r>
            <w:r w:rsidRPr="00264D5D">
              <w:rPr>
                <w:szCs w:val="24"/>
              </w:rPr>
              <w:t>ППО АСФК</w:t>
            </w:r>
          </w:p>
        </w:tc>
      </w:tr>
      <w:tr w:rsidR="00666BC2" w:rsidRPr="00264D5D" w14:paraId="24EAA0D5" w14:textId="77777777" w:rsidTr="002C049B">
        <w:trPr>
          <w:cnfStyle w:val="000000100000" w:firstRow="0" w:lastRow="0" w:firstColumn="0" w:lastColumn="0" w:oddVBand="0" w:evenVBand="0" w:oddHBand="1" w:evenHBand="0" w:firstRowFirstColumn="0" w:firstRowLastColumn="0" w:lastRowFirstColumn="0" w:lastRowLastColumn="0"/>
        </w:trPr>
        <w:tc>
          <w:tcPr>
            <w:tcW w:w="1178" w:type="pct"/>
          </w:tcPr>
          <w:p w14:paraId="409EB760" w14:textId="77777777" w:rsidR="00666BC2" w:rsidRPr="00264D5D" w:rsidRDefault="00666BC2" w:rsidP="002C049B">
            <w:pPr>
              <w:pStyle w:val="GOSTTablenorm"/>
            </w:pPr>
            <w:r w:rsidRPr="00264D5D">
              <w:rPr>
                <w:szCs w:val="24"/>
              </w:rPr>
              <w:t>CodeEXP</w:t>
            </w:r>
          </w:p>
        </w:tc>
        <w:tc>
          <w:tcPr>
            <w:tcW w:w="368" w:type="pct"/>
          </w:tcPr>
          <w:p w14:paraId="23EDAE5A" w14:textId="77777777" w:rsidR="00666BC2" w:rsidRPr="00264D5D" w:rsidRDefault="00666BC2" w:rsidP="002C049B">
            <w:pPr>
              <w:pStyle w:val="GOSTTablenorm"/>
            </w:pPr>
            <w:r w:rsidRPr="00264D5D">
              <w:t>Н</w:t>
            </w:r>
          </w:p>
        </w:tc>
        <w:tc>
          <w:tcPr>
            <w:tcW w:w="3454" w:type="pct"/>
          </w:tcPr>
          <w:p w14:paraId="70466951" w14:textId="77777777" w:rsidR="00666BC2" w:rsidRPr="00264D5D" w:rsidRDefault="00666BC2" w:rsidP="002C049B">
            <w:pPr>
              <w:pStyle w:val="GOSTTablenorm"/>
              <w:rPr>
                <w:szCs w:val="22"/>
              </w:rPr>
            </w:pPr>
            <w:r w:rsidRPr="00264D5D">
              <w:rPr>
                <w:szCs w:val="24"/>
              </w:rPr>
              <w:t>У</w:t>
            </w:r>
            <w:r w:rsidRPr="00264D5D">
              <w:rPr>
                <w:szCs w:val="22"/>
              </w:rPr>
              <w:t>казывается код УФОС.</w:t>
            </w:r>
          </w:p>
          <w:p w14:paraId="58433239" w14:textId="77777777" w:rsidR="00666BC2" w:rsidRPr="00264D5D" w:rsidRDefault="00666BC2" w:rsidP="002C049B">
            <w:pPr>
              <w:pStyle w:val="GOSTTablenorm"/>
            </w:pPr>
            <w:r w:rsidRPr="00264D5D">
              <w:rPr>
                <w:szCs w:val="22"/>
              </w:rPr>
              <w:t xml:space="preserve">Заполняется и является обязательным только для документов, отправляемых по маршруту ПУР ЭБ </w:t>
            </w:r>
            <w:r w:rsidRPr="00264D5D">
              <w:rPr>
                <w:rFonts w:eastAsia="Calibri"/>
                <w:szCs w:val="24"/>
              </w:rPr>
              <w:t>–</w:t>
            </w:r>
            <w:r w:rsidRPr="00264D5D">
              <w:rPr>
                <w:szCs w:val="22"/>
              </w:rPr>
              <w:t xml:space="preserve"> ПФХД, а также для документа «Квитанция», отправляемого по маршруту ПФХД </w:t>
            </w:r>
            <w:r w:rsidRPr="00264D5D">
              <w:rPr>
                <w:rFonts w:eastAsia="Calibri"/>
                <w:szCs w:val="24"/>
              </w:rPr>
              <w:t>–</w:t>
            </w:r>
            <w:r w:rsidRPr="00264D5D">
              <w:rPr>
                <w:szCs w:val="22"/>
              </w:rPr>
              <w:t xml:space="preserve"> ПУР ЭБ</w:t>
            </w:r>
          </w:p>
        </w:tc>
      </w:tr>
      <w:tr w:rsidR="002C049B" w:rsidRPr="00264D5D" w14:paraId="7DDAFC25" w14:textId="77777777" w:rsidTr="002C049B">
        <w:trPr>
          <w:cnfStyle w:val="000000010000" w:firstRow="0" w:lastRow="0" w:firstColumn="0" w:lastColumn="0" w:oddVBand="0" w:evenVBand="0" w:oddHBand="0" w:evenHBand="1" w:firstRowFirstColumn="0" w:firstRowLastColumn="0" w:lastRowFirstColumn="0" w:lastRowLastColumn="0"/>
        </w:trPr>
        <w:tc>
          <w:tcPr>
            <w:tcW w:w="1178" w:type="pct"/>
          </w:tcPr>
          <w:p w14:paraId="5828C2F9" w14:textId="77777777" w:rsidR="002C049B" w:rsidRPr="00264D5D" w:rsidRDefault="002C049B" w:rsidP="00A86C72">
            <w:pPr>
              <w:pStyle w:val="GOSTTablenorm"/>
              <w:rPr>
                <w:szCs w:val="24"/>
              </w:rPr>
            </w:pPr>
            <w:r w:rsidRPr="00264D5D">
              <w:rPr>
                <w:szCs w:val="24"/>
              </w:rPr>
              <w:t>link</w:t>
            </w:r>
            <w:r w:rsidRPr="00264D5D">
              <w:t>-type</w:t>
            </w:r>
          </w:p>
        </w:tc>
        <w:tc>
          <w:tcPr>
            <w:tcW w:w="368" w:type="pct"/>
          </w:tcPr>
          <w:p w14:paraId="2ECCC21E" w14:textId="77777777" w:rsidR="002C049B" w:rsidRPr="00264D5D" w:rsidRDefault="002C049B" w:rsidP="00A86C72">
            <w:pPr>
              <w:pStyle w:val="GOSTTablenorm"/>
            </w:pPr>
            <w:r w:rsidRPr="00264D5D">
              <w:t>Н</w:t>
            </w:r>
          </w:p>
        </w:tc>
        <w:tc>
          <w:tcPr>
            <w:tcW w:w="3454" w:type="pct"/>
          </w:tcPr>
          <w:p w14:paraId="003FD5D0" w14:textId="77777777" w:rsidR="002C049B" w:rsidRPr="00264D5D" w:rsidRDefault="002C049B" w:rsidP="002C049B">
            <w:pPr>
              <w:pStyle w:val="GOSTTablenorm"/>
            </w:pPr>
            <w:r w:rsidRPr="00264D5D">
              <w:rPr>
                <w:szCs w:val="22"/>
              </w:rPr>
              <w:t>Признак</w:t>
            </w:r>
            <w:r w:rsidRPr="00264D5D">
              <w:t xml:space="preserve"> защищенной ссылки. </w:t>
            </w:r>
          </w:p>
          <w:p w14:paraId="2BFA4908" w14:textId="77777777" w:rsidR="002C049B" w:rsidRPr="00264D5D" w:rsidRDefault="002C049B" w:rsidP="002C049B">
            <w:pPr>
              <w:pStyle w:val="GOSTTablenorm"/>
            </w:pPr>
            <w:r w:rsidRPr="00264D5D">
              <w:t xml:space="preserve">Заполняется при взаимодействии ПУР ЭБ с ЕИС и ПФХД, </w:t>
            </w:r>
            <w:r w:rsidRPr="00264D5D">
              <w:rPr>
                <w:szCs w:val="24"/>
              </w:rPr>
              <w:t xml:space="preserve">ППО АСФК с ЕИС, </w:t>
            </w:r>
            <w:r w:rsidRPr="00264D5D">
              <w:t xml:space="preserve">Компонента АУ, БУ ПУР ЭБ с ЕИС. </w:t>
            </w:r>
          </w:p>
          <w:p w14:paraId="3BD081CA" w14:textId="77777777" w:rsidR="002C049B" w:rsidRPr="00264D5D" w:rsidRDefault="002C049B" w:rsidP="002C049B">
            <w:pPr>
              <w:pStyle w:val="GOSTTablenorm"/>
              <w:rPr>
                <w:szCs w:val="24"/>
              </w:rPr>
            </w:pPr>
            <w:r w:rsidRPr="00264D5D">
              <w:t xml:space="preserve">Возможные значения: </w:t>
            </w:r>
          </w:p>
          <w:p w14:paraId="490FE7FE" w14:textId="77777777" w:rsidR="002C049B" w:rsidRPr="00264D5D" w:rsidRDefault="002C049B" w:rsidP="002C049B">
            <w:pPr>
              <w:pStyle w:val="ASFKListmark1"/>
              <w:numPr>
                <w:ilvl w:val="0"/>
                <w:numId w:val="99"/>
              </w:numPr>
              <w:spacing w:before="60" w:after="60"/>
              <w:ind w:left="284" w:hanging="227"/>
              <w:jc w:val="both"/>
              <w:rPr>
                <w:szCs w:val="24"/>
              </w:rPr>
            </w:pPr>
            <w:r w:rsidRPr="00264D5D">
              <w:t xml:space="preserve">«http» – открытая ссылка, </w:t>
            </w:r>
          </w:p>
          <w:p w14:paraId="0243CB4D" w14:textId="77777777" w:rsidR="002C049B" w:rsidRPr="00264D5D" w:rsidRDefault="002C049B" w:rsidP="002C049B">
            <w:pPr>
              <w:pStyle w:val="ASFKListmark1"/>
              <w:numPr>
                <w:ilvl w:val="0"/>
                <w:numId w:val="99"/>
              </w:numPr>
              <w:spacing w:before="60" w:after="60"/>
              <w:ind w:left="284" w:hanging="227"/>
              <w:jc w:val="both"/>
              <w:rPr>
                <w:szCs w:val="24"/>
              </w:rPr>
            </w:pPr>
            <w:r w:rsidRPr="00264D5D">
              <w:t>«proxy_http» – закрытая ссылка</w:t>
            </w:r>
          </w:p>
        </w:tc>
      </w:tr>
    </w:tbl>
    <w:p w14:paraId="550819F8" w14:textId="77777777" w:rsidR="00666BC2" w:rsidRPr="00264D5D" w:rsidRDefault="00666BC2">
      <w:pPr>
        <w:pStyle w:val="GOSTNormal"/>
        <w:contextualSpacing w:val="0"/>
        <w:rPr>
          <w:szCs w:val="24"/>
        </w:rPr>
      </w:pPr>
    </w:p>
    <w:p w14:paraId="32D919AF" w14:textId="31A8C399" w:rsidR="00AD1F54" w:rsidRPr="00A34055" w:rsidRDefault="00941227">
      <w:pPr>
        <w:pStyle w:val="GOSTNameTable"/>
        <w:numPr>
          <w:ilvl w:val="0"/>
          <w:numId w:val="2"/>
        </w:numPr>
        <w:spacing w:before="60"/>
        <w:ind w:left="425" w:hanging="357"/>
        <w:rPr>
          <w:szCs w:val="24"/>
          <w:highlight w:val="green"/>
        </w:rPr>
      </w:pPr>
      <w:r w:rsidRPr="00A34055">
        <w:rPr>
          <w:szCs w:val="24"/>
          <w:highlight w:val="green"/>
        </w:rPr>
        <w:fldChar w:fldCharType="begin"/>
      </w:r>
      <w:r w:rsidRPr="008D797C">
        <w:rPr>
          <w:szCs w:val="24"/>
          <w:highlight w:val="green"/>
        </w:rPr>
        <w:instrText xml:space="preserve"> SEQ Таблица \* ARABIC </w:instrText>
      </w:r>
      <w:r w:rsidRPr="00A34055">
        <w:rPr>
          <w:szCs w:val="24"/>
          <w:highlight w:val="green"/>
        </w:rPr>
        <w:fldChar w:fldCharType="separate"/>
      </w:r>
      <w:bookmarkStart w:id="348" w:name="_Ref9613172"/>
      <w:bookmarkStart w:id="349" w:name="_Toc9614277"/>
      <w:bookmarkStart w:id="350" w:name="_Toc17711849"/>
      <w:bookmarkStart w:id="351" w:name="_Toc219309036"/>
      <w:r w:rsidR="008D797C">
        <w:rPr>
          <w:noProof/>
          <w:szCs w:val="24"/>
          <w:highlight w:val="green"/>
        </w:rPr>
        <w:t>6</w:t>
      </w:r>
      <w:bookmarkEnd w:id="348"/>
      <w:r w:rsidRPr="00A34055">
        <w:rPr>
          <w:szCs w:val="24"/>
          <w:highlight w:val="green"/>
        </w:rPr>
        <w:fldChar w:fldCharType="end"/>
      </w:r>
      <w:r w:rsidRPr="00A34055">
        <w:rPr>
          <w:szCs w:val="24"/>
          <w:highlight w:val="green"/>
        </w:rPr>
        <w:t xml:space="preserve"> </w:t>
      </w:r>
      <w:r w:rsidRPr="00A34055">
        <w:rPr>
          <w:rFonts w:eastAsia="Calibri"/>
          <w:szCs w:val="24"/>
          <w:highlight w:val="green"/>
        </w:rPr>
        <w:t xml:space="preserve">– </w:t>
      </w:r>
      <w:r w:rsidRPr="00A34055">
        <w:rPr>
          <w:szCs w:val="24"/>
          <w:highlight w:val="green"/>
        </w:rPr>
        <w:t>Коды (идентификаторы) систем</w:t>
      </w:r>
      <w:bookmarkEnd w:id="349"/>
      <w:bookmarkEnd w:id="350"/>
      <w:bookmarkEnd w:id="351"/>
    </w:p>
    <w:tbl>
      <w:tblPr>
        <w:tblStyle w:val="GOSTTable"/>
        <w:tblW w:w="5000" w:type="pct"/>
        <w:tblLook w:val="01E0" w:firstRow="1" w:lastRow="1" w:firstColumn="1" w:lastColumn="1" w:noHBand="0" w:noVBand="0"/>
      </w:tblPr>
      <w:tblGrid>
        <w:gridCol w:w="2826"/>
        <w:gridCol w:w="6824"/>
      </w:tblGrid>
      <w:tr w:rsidR="00AD1F54" w:rsidRPr="00264D5D" w14:paraId="51DD924C"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464" w:type="pct"/>
          </w:tcPr>
          <w:p w14:paraId="4DBB1934" w14:textId="77777777" w:rsidR="00AD1F54" w:rsidRPr="00264D5D" w:rsidRDefault="00941227" w:rsidP="005A204F">
            <w:pPr>
              <w:pStyle w:val="GOSTTableHead"/>
              <w:ind w:left="57" w:right="57"/>
              <w:rPr>
                <w:szCs w:val="22"/>
              </w:rPr>
            </w:pPr>
            <w:r w:rsidRPr="00264D5D">
              <w:rPr>
                <w:szCs w:val="22"/>
              </w:rPr>
              <w:t>Код (идентификатор) системы</w:t>
            </w:r>
          </w:p>
        </w:tc>
        <w:tc>
          <w:tcPr>
            <w:tcW w:w="3536" w:type="pct"/>
          </w:tcPr>
          <w:p w14:paraId="1DC2B66F" w14:textId="77777777" w:rsidR="00AD1F54" w:rsidRPr="00264D5D" w:rsidRDefault="00941227" w:rsidP="005A204F">
            <w:pPr>
              <w:pStyle w:val="GOSTTableHead"/>
              <w:ind w:left="57" w:right="57"/>
              <w:rPr>
                <w:szCs w:val="22"/>
              </w:rPr>
            </w:pPr>
            <w:r w:rsidRPr="00264D5D">
              <w:rPr>
                <w:szCs w:val="22"/>
              </w:rPr>
              <w:t xml:space="preserve">Наименование системы </w:t>
            </w:r>
          </w:p>
        </w:tc>
      </w:tr>
      <w:tr w:rsidR="00AD1F54" w:rsidRPr="00264D5D" w14:paraId="3E432921" w14:textId="77777777" w:rsidTr="00AD1F54">
        <w:trPr>
          <w:cnfStyle w:val="000000100000" w:firstRow="0" w:lastRow="0" w:firstColumn="0" w:lastColumn="0" w:oddVBand="0" w:evenVBand="0" w:oddHBand="1" w:evenHBand="0" w:firstRowFirstColumn="0" w:firstRowLastColumn="0" w:lastRowFirstColumn="0" w:lastRowLastColumn="0"/>
        </w:trPr>
        <w:tc>
          <w:tcPr>
            <w:tcW w:w="1464" w:type="pct"/>
          </w:tcPr>
          <w:p w14:paraId="3C423C82" w14:textId="77777777" w:rsidR="00AD1F54" w:rsidRPr="00264D5D" w:rsidRDefault="00941227" w:rsidP="005A204F">
            <w:pPr>
              <w:pStyle w:val="GOSTTablenorm"/>
              <w:rPr>
                <w:szCs w:val="22"/>
              </w:rPr>
            </w:pPr>
            <w:r w:rsidRPr="00264D5D">
              <w:rPr>
                <w:szCs w:val="22"/>
              </w:rPr>
              <w:t>EXP</w:t>
            </w:r>
          </w:p>
        </w:tc>
        <w:tc>
          <w:tcPr>
            <w:tcW w:w="3536" w:type="pct"/>
          </w:tcPr>
          <w:p w14:paraId="54182B54" w14:textId="77777777" w:rsidR="00AD1F54" w:rsidRPr="00264D5D" w:rsidRDefault="00941227" w:rsidP="005A204F">
            <w:pPr>
              <w:pStyle w:val="GOSTTablenorm"/>
              <w:rPr>
                <w:szCs w:val="22"/>
              </w:rPr>
            </w:pPr>
            <w:r w:rsidRPr="00264D5D">
              <w:rPr>
                <w:szCs w:val="22"/>
              </w:rPr>
              <w:t>ПУР ЭБ</w:t>
            </w:r>
          </w:p>
        </w:tc>
      </w:tr>
      <w:tr w:rsidR="00AD1F54" w:rsidRPr="00264D5D" w14:paraId="4C086621" w14:textId="77777777" w:rsidTr="00AD1F54">
        <w:trPr>
          <w:cnfStyle w:val="000000010000" w:firstRow="0" w:lastRow="0" w:firstColumn="0" w:lastColumn="0" w:oddVBand="0" w:evenVBand="0" w:oddHBand="0" w:evenHBand="1" w:firstRowFirstColumn="0" w:firstRowLastColumn="0" w:lastRowFirstColumn="0" w:lastRowLastColumn="0"/>
        </w:trPr>
        <w:tc>
          <w:tcPr>
            <w:tcW w:w="1464" w:type="pct"/>
          </w:tcPr>
          <w:p w14:paraId="318DBB3E" w14:textId="77777777" w:rsidR="00AD1F54" w:rsidRPr="00264D5D" w:rsidRDefault="00941227" w:rsidP="005A204F">
            <w:pPr>
              <w:pStyle w:val="GOSTTablenorm"/>
              <w:rPr>
                <w:szCs w:val="22"/>
              </w:rPr>
            </w:pPr>
            <w:r w:rsidRPr="00264D5D">
              <w:rPr>
                <w:szCs w:val="22"/>
                <w:lang w:val="en-US"/>
              </w:rPr>
              <w:t>PFHD</w:t>
            </w:r>
          </w:p>
        </w:tc>
        <w:tc>
          <w:tcPr>
            <w:tcW w:w="3536" w:type="pct"/>
          </w:tcPr>
          <w:p w14:paraId="255514B7" w14:textId="77777777" w:rsidR="00AD1F54" w:rsidRPr="00264D5D" w:rsidRDefault="00941227" w:rsidP="005A204F">
            <w:pPr>
              <w:pStyle w:val="GOSTTablenorm"/>
              <w:rPr>
                <w:szCs w:val="22"/>
              </w:rPr>
            </w:pPr>
            <w:r w:rsidRPr="00264D5D">
              <w:rPr>
                <w:szCs w:val="22"/>
              </w:rPr>
              <w:t xml:space="preserve">ПФХД, </w:t>
            </w:r>
            <w:r w:rsidRPr="00264D5D">
              <w:t>МВУ ПУиО (ПФХД)</w:t>
            </w:r>
          </w:p>
        </w:tc>
      </w:tr>
      <w:tr w:rsidR="00AD1F54" w:rsidRPr="00264D5D" w14:paraId="1F02AD6B" w14:textId="77777777" w:rsidTr="00AD1F54">
        <w:trPr>
          <w:cnfStyle w:val="000000100000" w:firstRow="0" w:lastRow="0" w:firstColumn="0" w:lastColumn="0" w:oddVBand="0" w:evenVBand="0" w:oddHBand="1" w:evenHBand="0" w:firstRowFirstColumn="0" w:firstRowLastColumn="0" w:lastRowFirstColumn="0" w:lastRowLastColumn="0"/>
        </w:trPr>
        <w:tc>
          <w:tcPr>
            <w:tcW w:w="1464" w:type="pct"/>
          </w:tcPr>
          <w:p w14:paraId="7942DBEC" w14:textId="77777777" w:rsidR="00AD1F54" w:rsidRPr="00264D5D" w:rsidRDefault="00941227" w:rsidP="005A204F">
            <w:pPr>
              <w:pStyle w:val="GOSTTablenorm"/>
              <w:rPr>
                <w:szCs w:val="22"/>
                <w:lang w:val="en-US"/>
              </w:rPr>
            </w:pPr>
            <w:r w:rsidRPr="00264D5D">
              <w:rPr>
                <w:szCs w:val="22"/>
              </w:rPr>
              <w:t>EIS</w:t>
            </w:r>
          </w:p>
        </w:tc>
        <w:tc>
          <w:tcPr>
            <w:tcW w:w="3536" w:type="pct"/>
          </w:tcPr>
          <w:p w14:paraId="14FBE812" w14:textId="77777777" w:rsidR="00AD1F54" w:rsidRPr="00264D5D" w:rsidRDefault="00941227" w:rsidP="005A204F">
            <w:pPr>
              <w:pStyle w:val="GOSTTablenorm"/>
              <w:rPr>
                <w:szCs w:val="22"/>
              </w:rPr>
            </w:pPr>
            <w:r w:rsidRPr="00264D5D">
              <w:rPr>
                <w:szCs w:val="22"/>
              </w:rPr>
              <w:t>ЕИС</w:t>
            </w:r>
          </w:p>
        </w:tc>
      </w:tr>
      <w:tr w:rsidR="00AD1F54" w:rsidRPr="00264D5D" w14:paraId="0C17400F" w14:textId="77777777" w:rsidTr="00AD1F54">
        <w:trPr>
          <w:cnfStyle w:val="000000010000" w:firstRow="0" w:lastRow="0" w:firstColumn="0" w:lastColumn="0" w:oddVBand="0" w:evenVBand="0" w:oddHBand="0" w:evenHBand="1" w:firstRowFirstColumn="0" w:firstRowLastColumn="0" w:lastRowFirstColumn="0" w:lastRowLastColumn="0"/>
        </w:trPr>
        <w:tc>
          <w:tcPr>
            <w:tcW w:w="1464" w:type="pct"/>
          </w:tcPr>
          <w:p w14:paraId="44C3A229" w14:textId="77777777" w:rsidR="00AD1F54" w:rsidRPr="00264D5D" w:rsidRDefault="00941227" w:rsidP="005A204F">
            <w:pPr>
              <w:pStyle w:val="GOSTTablenorm"/>
              <w:rPr>
                <w:szCs w:val="22"/>
              </w:rPr>
            </w:pPr>
            <w:r w:rsidRPr="00264D5D">
              <w:rPr>
                <w:szCs w:val="22"/>
              </w:rPr>
              <w:t>ECERT</w:t>
            </w:r>
          </w:p>
        </w:tc>
        <w:tc>
          <w:tcPr>
            <w:tcW w:w="3536" w:type="pct"/>
          </w:tcPr>
          <w:p w14:paraId="2030D2E4" w14:textId="77777777" w:rsidR="00AD1F54" w:rsidRPr="00264D5D" w:rsidRDefault="00941227" w:rsidP="005A204F">
            <w:pPr>
              <w:pStyle w:val="GOSTTablenorm"/>
              <w:rPr>
                <w:szCs w:val="22"/>
              </w:rPr>
            </w:pPr>
            <w:r w:rsidRPr="00264D5D">
              <w:rPr>
                <w:szCs w:val="22"/>
              </w:rPr>
              <w:t>ГИС ЭС</w:t>
            </w:r>
          </w:p>
        </w:tc>
      </w:tr>
      <w:tr w:rsidR="00AD1F54" w:rsidRPr="00264D5D" w14:paraId="1FE7458D" w14:textId="77777777" w:rsidTr="00AD1F54">
        <w:trPr>
          <w:cnfStyle w:val="000000100000" w:firstRow="0" w:lastRow="0" w:firstColumn="0" w:lastColumn="0" w:oddVBand="0" w:evenVBand="0" w:oddHBand="1" w:evenHBand="0" w:firstRowFirstColumn="0" w:firstRowLastColumn="0" w:lastRowFirstColumn="0" w:lastRowLastColumn="0"/>
        </w:trPr>
        <w:tc>
          <w:tcPr>
            <w:tcW w:w="1464" w:type="pct"/>
          </w:tcPr>
          <w:p w14:paraId="73014102" w14:textId="77777777" w:rsidR="00AD1F54" w:rsidRPr="00264D5D" w:rsidRDefault="00941227" w:rsidP="005A204F">
            <w:pPr>
              <w:pStyle w:val="GOSTTablenorm"/>
              <w:rPr>
                <w:szCs w:val="22"/>
              </w:rPr>
            </w:pPr>
            <w:r w:rsidRPr="00264D5D">
              <w:rPr>
                <w:szCs w:val="22"/>
                <w:lang w:val="en-US"/>
              </w:rPr>
              <w:t>ASFK</w:t>
            </w:r>
          </w:p>
        </w:tc>
        <w:tc>
          <w:tcPr>
            <w:tcW w:w="3536" w:type="pct"/>
          </w:tcPr>
          <w:p w14:paraId="1227E776" w14:textId="77777777" w:rsidR="00AD1F54" w:rsidRPr="00264D5D" w:rsidRDefault="00941227" w:rsidP="005A204F">
            <w:pPr>
              <w:pStyle w:val="GOSTTablenorm"/>
              <w:rPr>
                <w:szCs w:val="22"/>
              </w:rPr>
            </w:pPr>
            <w:r w:rsidRPr="00264D5D">
              <w:rPr>
                <w:szCs w:val="22"/>
              </w:rPr>
              <w:t>ППО АСФК</w:t>
            </w:r>
          </w:p>
        </w:tc>
      </w:tr>
      <w:tr w:rsidR="00AD1F54" w:rsidRPr="00264D5D" w14:paraId="32A5E93B" w14:textId="77777777" w:rsidTr="00AD1F54">
        <w:trPr>
          <w:cnfStyle w:val="000000010000" w:firstRow="0" w:lastRow="0" w:firstColumn="0" w:lastColumn="0" w:oddVBand="0" w:evenVBand="0" w:oddHBand="0" w:evenHBand="1" w:firstRowFirstColumn="0" w:firstRowLastColumn="0" w:lastRowFirstColumn="0" w:lastRowLastColumn="0"/>
        </w:trPr>
        <w:tc>
          <w:tcPr>
            <w:tcW w:w="1464" w:type="pct"/>
          </w:tcPr>
          <w:p w14:paraId="06640818" w14:textId="77777777" w:rsidR="00AD1F54" w:rsidRPr="00264D5D" w:rsidRDefault="00941227" w:rsidP="005A204F">
            <w:pPr>
              <w:pStyle w:val="GOSTTablenorm"/>
              <w:rPr>
                <w:szCs w:val="22"/>
                <w:lang w:val="en-US"/>
              </w:rPr>
            </w:pPr>
            <w:r w:rsidRPr="00264D5D">
              <w:rPr>
                <w:szCs w:val="22"/>
                <w:lang w:val="en-US"/>
              </w:rPr>
              <w:t>TSE</w:t>
            </w:r>
          </w:p>
        </w:tc>
        <w:tc>
          <w:tcPr>
            <w:tcW w:w="3536" w:type="pct"/>
          </w:tcPr>
          <w:p w14:paraId="46973A57" w14:textId="77777777" w:rsidR="00AD1F54" w:rsidRPr="00264D5D" w:rsidRDefault="00941227" w:rsidP="005A204F">
            <w:pPr>
              <w:pStyle w:val="GOSTTablenorm"/>
              <w:rPr>
                <w:szCs w:val="22"/>
              </w:rPr>
            </w:pPr>
            <w:r w:rsidRPr="00264D5D">
              <w:rPr>
                <w:szCs w:val="22"/>
              </w:rPr>
              <w:t>Компонент КС ПУР ЭБ</w:t>
            </w:r>
          </w:p>
        </w:tc>
      </w:tr>
      <w:tr w:rsidR="00AD1F54" w:rsidRPr="00264D5D" w14:paraId="068B05C8" w14:textId="77777777" w:rsidTr="00AD1F54">
        <w:trPr>
          <w:cnfStyle w:val="000000100000" w:firstRow="0" w:lastRow="0" w:firstColumn="0" w:lastColumn="0" w:oddVBand="0" w:evenVBand="0" w:oddHBand="1" w:evenHBand="0" w:firstRowFirstColumn="0" w:firstRowLastColumn="0" w:lastRowFirstColumn="0" w:lastRowLastColumn="0"/>
        </w:trPr>
        <w:tc>
          <w:tcPr>
            <w:tcW w:w="1464" w:type="pct"/>
          </w:tcPr>
          <w:p w14:paraId="21F15D2B" w14:textId="77777777" w:rsidR="00AD1F54" w:rsidRPr="00264D5D" w:rsidRDefault="00941227" w:rsidP="005A204F">
            <w:pPr>
              <w:pStyle w:val="GOSTTablenorm"/>
              <w:rPr>
                <w:szCs w:val="22"/>
              </w:rPr>
            </w:pPr>
            <w:r w:rsidRPr="00264D5D">
              <w:rPr>
                <w:szCs w:val="22"/>
                <w:lang w:val="en-US"/>
              </w:rPr>
              <w:t>INC</w:t>
            </w:r>
          </w:p>
        </w:tc>
        <w:tc>
          <w:tcPr>
            <w:tcW w:w="3536" w:type="pct"/>
          </w:tcPr>
          <w:p w14:paraId="43900134" w14:textId="77777777" w:rsidR="00AD1F54" w:rsidRPr="00264D5D" w:rsidRDefault="00941227" w:rsidP="005A204F">
            <w:pPr>
              <w:pStyle w:val="GOSTTablenorm"/>
              <w:rPr>
                <w:szCs w:val="22"/>
              </w:rPr>
            </w:pPr>
            <w:r w:rsidRPr="00264D5D">
              <w:rPr>
                <w:szCs w:val="22"/>
              </w:rPr>
              <w:t>Компонент АУ, БУ ПУР ЭБ</w:t>
            </w:r>
          </w:p>
        </w:tc>
      </w:tr>
      <w:tr w:rsidR="00AD1F54" w:rsidRPr="00264D5D" w14:paraId="73784733" w14:textId="77777777" w:rsidTr="00AD1F54">
        <w:trPr>
          <w:cnfStyle w:val="000000010000" w:firstRow="0" w:lastRow="0" w:firstColumn="0" w:lastColumn="0" w:oddVBand="0" w:evenVBand="0" w:oddHBand="0" w:evenHBand="1" w:firstRowFirstColumn="0" w:firstRowLastColumn="0" w:lastRowFirstColumn="0" w:lastRowLastColumn="0"/>
        </w:trPr>
        <w:tc>
          <w:tcPr>
            <w:tcW w:w="1464" w:type="pct"/>
          </w:tcPr>
          <w:p w14:paraId="1E696DA0" w14:textId="77777777" w:rsidR="00AD1F54" w:rsidRPr="00264D5D" w:rsidRDefault="00941227" w:rsidP="005A204F">
            <w:pPr>
              <w:pStyle w:val="GOSTTablenorm"/>
              <w:rPr>
                <w:szCs w:val="22"/>
                <w:lang w:val="en-US"/>
              </w:rPr>
            </w:pPr>
            <w:r w:rsidRPr="00264D5D">
              <w:rPr>
                <w:szCs w:val="22"/>
                <w:lang w:val="en-US"/>
              </w:rPr>
              <w:t>FAMABS</w:t>
            </w:r>
          </w:p>
        </w:tc>
        <w:tc>
          <w:tcPr>
            <w:tcW w:w="3536" w:type="pct"/>
          </w:tcPr>
          <w:p w14:paraId="4D9F4DCB" w14:textId="77777777" w:rsidR="00AD1F54" w:rsidRPr="00264D5D" w:rsidRDefault="00941227" w:rsidP="005A204F">
            <w:pPr>
              <w:pStyle w:val="GOSTTablenorm"/>
              <w:rPr>
                <w:szCs w:val="22"/>
              </w:rPr>
            </w:pPr>
            <w:r w:rsidRPr="00264D5D">
              <w:rPr>
                <w:szCs w:val="22"/>
              </w:rPr>
              <w:t>ПУДС ЭБ</w:t>
            </w:r>
          </w:p>
        </w:tc>
      </w:tr>
      <w:tr w:rsidR="00AD1F54" w:rsidRPr="00264D5D" w14:paraId="21588BB9" w14:textId="77777777" w:rsidTr="00AD1F54">
        <w:trPr>
          <w:cnfStyle w:val="000000100000" w:firstRow="0" w:lastRow="0" w:firstColumn="0" w:lastColumn="0" w:oddVBand="0" w:evenVBand="0" w:oddHBand="1" w:evenHBand="0" w:firstRowFirstColumn="0" w:firstRowLastColumn="0" w:lastRowFirstColumn="0" w:lastRowLastColumn="0"/>
        </w:trPr>
        <w:tc>
          <w:tcPr>
            <w:tcW w:w="1464" w:type="pct"/>
          </w:tcPr>
          <w:p w14:paraId="6850634A" w14:textId="77777777" w:rsidR="00AD1F54" w:rsidRPr="00264D5D" w:rsidRDefault="00941227" w:rsidP="005A204F">
            <w:pPr>
              <w:pStyle w:val="GOSTTablenorm"/>
              <w:rPr>
                <w:szCs w:val="22"/>
                <w:lang w:val="en-US"/>
              </w:rPr>
            </w:pPr>
            <w:r w:rsidRPr="00264D5D">
              <w:rPr>
                <w:szCs w:val="22"/>
                <w:lang w:val="en-US"/>
              </w:rPr>
              <w:t>FAMKBMK</w:t>
            </w:r>
          </w:p>
        </w:tc>
        <w:tc>
          <w:tcPr>
            <w:tcW w:w="3536" w:type="pct"/>
          </w:tcPr>
          <w:p w14:paraId="6EFE0025" w14:textId="77777777" w:rsidR="00AD1F54" w:rsidRPr="00264D5D" w:rsidRDefault="00941227" w:rsidP="005A204F">
            <w:pPr>
              <w:pStyle w:val="GOSTTablenorm"/>
              <w:rPr>
                <w:szCs w:val="22"/>
              </w:rPr>
            </w:pPr>
            <w:r w:rsidRPr="00264D5D">
              <w:rPr>
                <w:szCs w:val="22"/>
              </w:rPr>
              <w:t>Модуль ANTIFROD (ПУДС ЭБ)</w:t>
            </w:r>
          </w:p>
        </w:tc>
      </w:tr>
      <w:tr w:rsidR="007E0A1E" w:rsidRPr="00264D5D" w14:paraId="024C2E08" w14:textId="77777777" w:rsidTr="00AD1F54">
        <w:trPr>
          <w:cnfStyle w:val="000000010000" w:firstRow="0" w:lastRow="0" w:firstColumn="0" w:lastColumn="0" w:oddVBand="0" w:evenVBand="0" w:oddHBand="0" w:evenHBand="1" w:firstRowFirstColumn="0" w:firstRowLastColumn="0" w:lastRowFirstColumn="0" w:lastRowLastColumn="0"/>
        </w:trPr>
        <w:tc>
          <w:tcPr>
            <w:tcW w:w="1464" w:type="pct"/>
          </w:tcPr>
          <w:p w14:paraId="5CF4EA7C" w14:textId="77777777" w:rsidR="007E0A1E" w:rsidRPr="00264D5D" w:rsidRDefault="007E0A1E" w:rsidP="005A204F">
            <w:pPr>
              <w:pStyle w:val="GOSTTablenorm"/>
              <w:rPr>
                <w:szCs w:val="22"/>
                <w:lang w:val="en-US"/>
              </w:rPr>
            </w:pPr>
            <w:r w:rsidRPr="00264D5D">
              <w:rPr>
                <w:szCs w:val="22"/>
                <w:lang w:val="en-US"/>
              </w:rPr>
              <w:t>FAMMK</w:t>
            </w:r>
          </w:p>
        </w:tc>
        <w:tc>
          <w:tcPr>
            <w:tcW w:w="3536" w:type="pct"/>
          </w:tcPr>
          <w:p w14:paraId="3AD46C51" w14:textId="77777777" w:rsidR="007E0A1E" w:rsidRPr="00264D5D" w:rsidRDefault="007E0A1E" w:rsidP="005A204F">
            <w:pPr>
              <w:pStyle w:val="GOSTTablenorm"/>
              <w:rPr>
                <w:szCs w:val="22"/>
              </w:rPr>
            </w:pPr>
            <w:r w:rsidRPr="00264D5D">
              <w:rPr>
                <w:szCs w:val="22"/>
              </w:rPr>
              <w:t>Модуль контроля ПУДС ЭБ</w:t>
            </w:r>
          </w:p>
        </w:tc>
      </w:tr>
      <w:tr w:rsidR="007E0A1E" w:rsidRPr="00264D5D" w14:paraId="62BC9284" w14:textId="77777777" w:rsidTr="00AD1F54">
        <w:trPr>
          <w:cnfStyle w:val="000000100000" w:firstRow="0" w:lastRow="0" w:firstColumn="0" w:lastColumn="0" w:oddVBand="0" w:evenVBand="0" w:oddHBand="1" w:evenHBand="0" w:firstRowFirstColumn="0" w:firstRowLastColumn="0" w:lastRowFirstColumn="0" w:lastRowLastColumn="0"/>
        </w:trPr>
        <w:tc>
          <w:tcPr>
            <w:tcW w:w="1464" w:type="pct"/>
          </w:tcPr>
          <w:p w14:paraId="3F8E8AC6" w14:textId="77777777" w:rsidR="007E0A1E" w:rsidRPr="00264D5D" w:rsidRDefault="007E0A1E" w:rsidP="007E0A1E">
            <w:pPr>
              <w:pStyle w:val="GOSTTablenorm"/>
              <w:rPr>
                <w:szCs w:val="22"/>
                <w:lang w:val="en-US"/>
              </w:rPr>
            </w:pPr>
            <w:r w:rsidRPr="00264D5D">
              <w:rPr>
                <w:szCs w:val="22"/>
                <w:lang w:val="en-US"/>
              </w:rPr>
              <w:t>GIISEB</w:t>
            </w:r>
          </w:p>
        </w:tc>
        <w:tc>
          <w:tcPr>
            <w:tcW w:w="3536" w:type="pct"/>
          </w:tcPr>
          <w:p w14:paraId="5A6EABAB" w14:textId="77777777" w:rsidR="007E0A1E" w:rsidRPr="00264D5D" w:rsidRDefault="007E0A1E" w:rsidP="007E0A1E">
            <w:pPr>
              <w:pStyle w:val="GOSTTablenorm"/>
              <w:rPr>
                <w:szCs w:val="22"/>
              </w:rPr>
            </w:pPr>
            <w:r w:rsidRPr="00264D5D">
              <w:rPr>
                <w:szCs w:val="22"/>
              </w:rPr>
              <w:t>ГИИС ЭБ*</w:t>
            </w:r>
          </w:p>
        </w:tc>
      </w:tr>
      <w:tr w:rsidR="007E0A1E" w:rsidRPr="00264D5D" w14:paraId="1A7B770B" w14:textId="77777777" w:rsidTr="00AD1F54">
        <w:trPr>
          <w:cnfStyle w:val="000000010000" w:firstRow="0" w:lastRow="0" w:firstColumn="0" w:lastColumn="0" w:oddVBand="0" w:evenVBand="0" w:oddHBand="0" w:evenHBand="1" w:firstRowFirstColumn="0" w:firstRowLastColumn="0" w:lastRowFirstColumn="0" w:lastRowLastColumn="0"/>
        </w:trPr>
        <w:tc>
          <w:tcPr>
            <w:tcW w:w="1464" w:type="pct"/>
          </w:tcPr>
          <w:p w14:paraId="774DB228" w14:textId="77777777" w:rsidR="007E0A1E" w:rsidRPr="00264D5D" w:rsidRDefault="007E0A1E" w:rsidP="007E0A1E">
            <w:pPr>
              <w:pStyle w:val="GOSTTablenorm"/>
              <w:rPr>
                <w:szCs w:val="22"/>
                <w:lang w:val="en-US"/>
              </w:rPr>
            </w:pPr>
            <w:r w:rsidRPr="00264D5D">
              <w:rPr>
                <w:szCs w:val="22"/>
                <w:lang w:val="en-US"/>
              </w:rPr>
              <w:t>RMS</w:t>
            </w:r>
          </w:p>
        </w:tc>
        <w:tc>
          <w:tcPr>
            <w:tcW w:w="3536" w:type="pct"/>
          </w:tcPr>
          <w:p w14:paraId="7AB8B16C" w14:textId="77777777" w:rsidR="007E0A1E" w:rsidRPr="00264D5D" w:rsidRDefault="007E0A1E" w:rsidP="007E0A1E">
            <w:pPr>
              <w:pStyle w:val="GOSTTablenorm"/>
              <w:rPr>
                <w:szCs w:val="22"/>
              </w:rPr>
            </w:pPr>
            <w:r w:rsidRPr="00264D5D">
              <w:rPr>
                <w:szCs w:val="22"/>
              </w:rPr>
              <w:t>ПУД ЭБ</w:t>
            </w:r>
          </w:p>
        </w:tc>
      </w:tr>
      <w:tr w:rsidR="007E0A1E" w:rsidRPr="00264D5D" w14:paraId="24EE0515" w14:textId="77777777" w:rsidTr="00AD1F54">
        <w:trPr>
          <w:cnfStyle w:val="000000100000" w:firstRow="0" w:lastRow="0" w:firstColumn="0" w:lastColumn="0" w:oddVBand="0" w:evenVBand="0" w:oddHBand="1" w:evenHBand="0" w:firstRowFirstColumn="0" w:firstRowLastColumn="0" w:lastRowFirstColumn="0" w:lastRowLastColumn="0"/>
        </w:trPr>
        <w:tc>
          <w:tcPr>
            <w:tcW w:w="1464" w:type="pct"/>
          </w:tcPr>
          <w:p w14:paraId="0D92AFC0" w14:textId="77777777" w:rsidR="007E0A1E" w:rsidRPr="00264D5D" w:rsidRDefault="007E0A1E" w:rsidP="007E0A1E">
            <w:pPr>
              <w:pStyle w:val="GOSTTablenorm"/>
              <w:rPr>
                <w:lang w:val="en-US" w:eastAsia="en-US"/>
              </w:rPr>
            </w:pPr>
            <w:r w:rsidRPr="00264D5D">
              <w:rPr>
                <w:lang w:val="en-US" w:eastAsia="en-US"/>
              </w:rPr>
              <w:t>EBP</w:t>
            </w:r>
          </w:p>
        </w:tc>
        <w:tc>
          <w:tcPr>
            <w:tcW w:w="3536" w:type="pct"/>
          </w:tcPr>
          <w:p w14:paraId="4F6D088E" w14:textId="77777777" w:rsidR="007E0A1E" w:rsidRPr="00264D5D" w:rsidRDefault="007E0A1E" w:rsidP="007E0A1E">
            <w:pPr>
              <w:pStyle w:val="GOSTTablenorm"/>
              <w:rPr>
                <w:lang w:eastAsia="en-US"/>
              </w:rPr>
            </w:pPr>
            <w:r w:rsidRPr="00264D5D">
              <w:rPr>
                <w:lang w:eastAsia="en-US"/>
              </w:rPr>
              <w:t>ЕБП</w:t>
            </w:r>
          </w:p>
        </w:tc>
      </w:tr>
      <w:tr w:rsidR="00A34055" w:rsidRPr="00264D5D" w14:paraId="27BD66F8" w14:textId="77777777" w:rsidTr="00AD1F54">
        <w:trPr>
          <w:cnfStyle w:val="000000010000" w:firstRow="0" w:lastRow="0" w:firstColumn="0" w:lastColumn="0" w:oddVBand="0" w:evenVBand="0" w:oddHBand="0" w:evenHBand="1" w:firstRowFirstColumn="0" w:firstRowLastColumn="0" w:lastRowFirstColumn="0" w:lastRowLastColumn="0"/>
        </w:trPr>
        <w:tc>
          <w:tcPr>
            <w:tcW w:w="1464" w:type="pct"/>
          </w:tcPr>
          <w:p w14:paraId="5A45B3C5" w14:textId="77777777" w:rsidR="00A34055" w:rsidRPr="00A34055" w:rsidRDefault="00A34055" w:rsidP="007E0A1E">
            <w:pPr>
              <w:pStyle w:val="GOSTTablenorm"/>
              <w:rPr>
                <w:highlight w:val="green"/>
                <w:lang w:val="en-US" w:eastAsia="en-US"/>
              </w:rPr>
            </w:pPr>
            <w:r w:rsidRPr="00A34055">
              <w:rPr>
                <w:highlight w:val="green"/>
                <w:lang w:val="en-US" w:eastAsia="en-US"/>
              </w:rPr>
              <w:t>FTS</w:t>
            </w:r>
          </w:p>
        </w:tc>
        <w:tc>
          <w:tcPr>
            <w:tcW w:w="3536" w:type="pct"/>
          </w:tcPr>
          <w:p w14:paraId="3F0E6ECC" w14:textId="77777777" w:rsidR="00A34055" w:rsidRPr="00A34055" w:rsidRDefault="00A34055" w:rsidP="007E0A1E">
            <w:pPr>
              <w:pStyle w:val="GOSTTablenorm"/>
              <w:rPr>
                <w:highlight w:val="green"/>
                <w:lang w:eastAsia="en-US"/>
              </w:rPr>
            </w:pPr>
            <w:r w:rsidRPr="00A34055">
              <w:rPr>
                <w:highlight w:val="green"/>
                <w:lang w:eastAsia="en-US"/>
              </w:rPr>
              <w:t>ФТС</w:t>
            </w:r>
          </w:p>
        </w:tc>
      </w:tr>
      <w:tr w:rsidR="00A34055" w:rsidRPr="00264D5D" w14:paraId="0DA7FAEF" w14:textId="77777777" w:rsidTr="00AD1F54">
        <w:trPr>
          <w:cnfStyle w:val="000000100000" w:firstRow="0" w:lastRow="0" w:firstColumn="0" w:lastColumn="0" w:oddVBand="0" w:evenVBand="0" w:oddHBand="1" w:evenHBand="0" w:firstRowFirstColumn="0" w:firstRowLastColumn="0" w:lastRowFirstColumn="0" w:lastRowLastColumn="0"/>
        </w:trPr>
        <w:tc>
          <w:tcPr>
            <w:tcW w:w="1464" w:type="pct"/>
          </w:tcPr>
          <w:p w14:paraId="28241049" w14:textId="77777777" w:rsidR="00A34055" w:rsidRPr="00A34055" w:rsidRDefault="00A34055" w:rsidP="007E0A1E">
            <w:pPr>
              <w:pStyle w:val="GOSTTablenorm"/>
              <w:rPr>
                <w:highlight w:val="green"/>
                <w:lang w:val="en-US" w:eastAsia="en-US"/>
              </w:rPr>
            </w:pPr>
            <w:r w:rsidRPr="00A34055">
              <w:rPr>
                <w:highlight w:val="green"/>
                <w:lang w:val="en-US" w:eastAsia="en-US"/>
              </w:rPr>
              <w:t>FNS</w:t>
            </w:r>
          </w:p>
        </w:tc>
        <w:tc>
          <w:tcPr>
            <w:tcW w:w="3536" w:type="pct"/>
          </w:tcPr>
          <w:p w14:paraId="0A919258" w14:textId="77777777" w:rsidR="00A34055" w:rsidRPr="00A34055" w:rsidRDefault="00A34055" w:rsidP="007E0A1E">
            <w:pPr>
              <w:pStyle w:val="GOSTTablenorm"/>
              <w:rPr>
                <w:highlight w:val="green"/>
                <w:lang w:eastAsia="en-US"/>
              </w:rPr>
            </w:pPr>
            <w:r w:rsidRPr="00A34055">
              <w:rPr>
                <w:highlight w:val="green"/>
                <w:lang w:eastAsia="en-US"/>
              </w:rPr>
              <w:t>ФНС</w:t>
            </w:r>
          </w:p>
        </w:tc>
      </w:tr>
      <w:tr w:rsidR="00A34055" w:rsidRPr="00264D5D" w14:paraId="2A945354" w14:textId="77777777" w:rsidTr="00AD1F54">
        <w:trPr>
          <w:cnfStyle w:val="000000010000" w:firstRow="0" w:lastRow="0" w:firstColumn="0" w:lastColumn="0" w:oddVBand="0" w:evenVBand="0" w:oddHBand="0" w:evenHBand="1" w:firstRowFirstColumn="0" w:firstRowLastColumn="0" w:lastRowFirstColumn="0" w:lastRowLastColumn="0"/>
        </w:trPr>
        <w:tc>
          <w:tcPr>
            <w:tcW w:w="1464" w:type="pct"/>
          </w:tcPr>
          <w:p w14:paraId="005268D0" w14:textId="77777777" w:rsidR="00A34055" w:rsidRPr="00A34055" w:rsidRDefault="00A34055" w:rsidP="007E0A1E">
            <w:pPr>
              <w:pStyle w:val="GOSTTablenorm"/>
              <w:rPr>
                <w:highlight w:val="green"/>
                <w:lang w:val="en-US" w:eastAsia="en-US"/>
              </w:rPr>
            </w:pPr>
            <w:r w:rsidRPr="00A34055">
              <w:rPr>
                <w:highlight w:val="green"/>
                <w:lang w:val="en-US" w:eastAsia="en-US"/>
              </w:rPr>
              <w:lastRenderedPageBreak/>
              <w:t>MFPLAT</w:t>
            </w:r>
          </w:p>
        </w:tc>
        <w:tc>
          <w:tcPr>
            <w:tcW w:w="3536" w:type="pct"/>
          </w:tcPr>
          <w:p w14:paraId="748B99B3" w14:textId="77777777" w:rsidR="00A34055" w:rsidRPr="00A34055" w:rsidRDefault="00A34055" w:rsidP="007E0A1E">
            <w:pPr>
              <w:pStyle w:val="GOSTTablenorm"/>
              <w:rPr>
                <w:highlight w:val="green"/>
                <w:lang w:eastAsia="en-US"/>
              </w:rPr>
            </w:pPr>
            <w:r w:rsidRPr="00A34055">
              <w:rPr>
                <w:highlight w:val="green"/>
                <w:lang w:eastAsia="en-US"/>
              </w:rPr>
              <w:t>МФ РФ</w:t>
            </w:r>
          </w:p>
        </w:tc>
      </w:tr>
    </w:tbl>
    <w:p w14:paraId="174D8394" w14:textId="77777777" w:rsidR="00AD1F54" w:rsidRPr="00264D5D" w:rsidRDefault="00941227">
      <w:pPr>
        <w:pStyle w:val="GOSTNormal"/>
        <w:tabs>
          <w:tab w:val="left" w:pos="142"/>
        </w:tabs>
        <w:spacing w:after="0"/>
        <w:ind w:firstLine="0"/>
        <w:rPr>
          <w:sz w:val="22"/>
          <w:szCs w:val="22"/>
        </w:rPr>
      </w:pPr>
      <w:r w:rsidRPr="00264D5D">
        <w:rPr>
          <w:sz w:val="22"/>
          <w:szCs w:val="22"/>
        </w:rPr>
        <w:t>* Се</w:t>
      </w:r>
      <w:r w:rsidR="005A204F" w:rsidRPr="00264D5D">
        <w:rPr>
          <w:sz w:val="22"/>
          <w:szCs w:val="22"/>
        </w:rPr>
        <w:t>рвис маршрутизации по номеру ЛС</w:t>
      </w:r>
    </w:p>
    <w:p w14:paraId="13BD71E0" w14:textId="77777777" w:rsidR="00AD1F54" w:rsidRPr="00264D5D" w:rsidRDefault="00941227">
      <w:pPr>
        <w:pStyle w:val="31"/>
      </w:pPr>
      <w:bookmarkStart w:id="352" w:name="_Toc219309442"/>
      <w:r w:rsidRPr="00264D5D">
        <w:t>Импорт/экспорт по формату формуляра</w:t>
      </w:r>
      <w:bookmarkEnd w:id="352"/>
    </w:p>
    <w:p w14:paraId="65C65F30" w14:textId="77777777" w:rsidR="00AD1F54" w:rsidRPr="00264D5D" w:rsidRDefault="00941227">
      <w:pPr>
        <w:spacing w:before="60" w:after="120"/>
        <w:ind w:firstLine="567"/>
      </w:pPr>
      <w:r w:rsidRPr="00264D5D">
        <w:rPr>
          <w:szCs w:val="24"/>
        </w:rPr>
        <w:t>Импорт</w:t>
      </w:r>
      <w:r w:rsidRPr="00264D5D">
        <w:t>/экспорт по формату формуляра предназначен для взаимодействия клиентов через ЛК ПУР ЭБ</w:t>
      </w:r>
      <w:r w:rsidR="00633FEA" w:rsidRPr="00264D5D">
        <w:t>,</w:t>
      </w:r>
      <w:bookmarkStart w:id="353" w:name="_Hlk116577148"/>
      <w:r w:rsidRPr="00264D5D">
        <w:t xml:space="preserve"> ЛК Компонента АУ, БУ ПУР ЭБ</w:t>
      </w:r>
      <w:bookmarkEnd w:id="353"/>
      <w:r w:rsidR="00633FEA" w:rsidRPr="00264D5D">
        <w:t xml:space="preserve"> и ЛК ПУД ЭБ</w:t>
      </w:r>
      <w:r w:rsidRPr="00264D5D">
        <w:t>.</w:t>
      </w:r>
    </w:p>
    <w:p w14:paraId="063E92DA" w14:textId="04F84647" w:rsidR="00AD1F54" w:rsidRPr="00264D5D" w:rsidRDefault="00941227">
      <w:pPr>
        <w:spacing w:before="60" w:after="120"/>
        <w:ind w:firstLine="567"/>
        <w:rPr>
          <w:szCs w:val="24"/>
        </w:rPr>
      </w:pPr>
      <w:r w:rsidRPr="00264D5D">
        <w:rPr>
          <w:szCs w:val="24"/>
        </w:rPr>
        <w:t xml:space="preserve">Корневой тег </w:t>
      </w:r>
      <w:r w:rsidRPr="00264D5D">
        <w:rPr>
          <w:rFonts w:eastAsia="Calibri"/>
          <w:szCs w:val="24"/>
          <w:lang w:val="en-US"/>
        </w:rPr>
        <w:t>xml</w:t>
      </w:r>
      <w:r w:rsidRPr="00264D5D">
        <w:rPr>
          <w:rFonts w:eastAsia="Calibri"/>
          <w:szCs w:val="24"/>
        </w:rPr>
        <w:t>-</w:t>
      </w:r>
      <w:r w:rsidRPr="00264D5D">
        <w:rPr>
          <w:szCs w:val="24"/>
        </w:rPr>
        <w:t>сообщения – «</w:t>
      </w:r>
      <w:r w:rsidRPr="00264D5D">
        <w:rPr>
          <w:szCs w:val="24"/>
          <w:lang w:val="en-US"/>
        </w:rPr>
        <w:t>tFormular</w:t>
      </w:r>
      <w:r w:rsidRPr="00264D5D">
        <w:rPr>
          <w:szCs w:val="24"/>
        </w:rPr>
        <w:t xml:space="preserve">». Наименование корневого тега </w:t>
      </w:r>
      <w:r w:rsidRPr="00264D5D">
        <w:rPr>
          <w:rFonts w:eastAsia="Calibri"/>
          <w:szCs w:val="24"/>
          <w:lang w:val="en-US"/>
        </w:rPr>
        <w:t>xml</w:t>
      </w:r>
      <w:r w:rsidRPr="00264D5D">
        <w:rPr>
          <w:rFonts w:eastAsia="Calibri"/>
          <w:szCs w:val="24"/>
        </w:rPr>
        <w:t>-</w:t>
      </w:r>
      <w:r w:rsidRPr="00264D5D">
        <w:rPr>
          <w:szCs w:val="24"/>
        </w:rPr>
        <w:t xml:space="preserve">сообщения соответствует коду массива информации согласно таблице </w:t>
      </w:r>
      <w:r w:rsidRPr="00264D5D">
        <w:rPr>
          <w:szCs w:val="24"/>
        </w:rPr>
        <w:fldChar w:fldCharType="begin"/>
      </w:r>
      <w:r w:rsidRPr="00264D5D">
        <w:rPr>
          <w:szCs w:val="24"/>
        </w:rPr>
        <w:instrText xml:space="preserve"> REF _Ref19881821 \h  \* MERGEFORMAT </w:instrText>
      </w:r>
      <w:r w:rsidRPr="00264D5D">
        <w:rPr>
          <w:szCs w:val="24"/>
        </w:rPr>
      </w:r>
      <w:r w:rsidRPr="00264D5D">
        <w:rPr>
          <w:szCs w:val="24"/>
        </w:rPr>
        <w:fldChar w:fldCharType="separate"/>
      </w:r>
      <w:r w:rsidR="008D797C" w:rsidRPr="008D797C">
        <w:rPr>
          <w:rFonts w:eastAsia="Calibri"/>
          <w:szCs w:val="24"/>
        </w:rPr>
        <w:t>2</w:t>
      </w:r>
      <w:r w:rsidRPr="00264D5D">
        <w:rPr>
          <w:szCs w:val="24"/>
        </w:rPr>
        <w:fldChar w:fldCharType="end"/>
      </w:r>
      <w:r w:rsidRPr="00264D5D">
        <w:rPr>
          <w:szCs w:val="24"/>
        </w:rPr>
        <w:t xml:space="preserve">. </w:t>
      </w:r>
    </w:p>
    <w:p w14:paraId="29946394" w14:textId="77777777" w:rsidR="00AD1F54" w:rsidRPr="00264D5D" w:rsidRDefault="00941227">
      <w:pPr>
        <w:spacing w:before="60" w:after="120"/>
        <w:ind w:firstLine="567"/>
        <w:rPr>
          <w:szCs w:val="24"/>
        </w:rPr>
      </w:pPr>
      <w:r w:rsidRPr="00264D5D">
        <w:rPr>
          <w:szCs w:val="24"/>
        </w:rPr>
        <w:t>Пример структуры документа «Сведения о бюджетном обязательстве», имеющего код массива информации «</w:t>
      </w:r>
      <w:r w:rsidRPr="00264D5D">
        <w:rPr>
          <w:szCs w:val="24"/>
          <w:lang w:val="en-US"/>
        </w:rPr>
        <w:t>InfrmtnBdgtOblgtns</w:t>
      </w:r>
      <w:r w:rsidRPr="00264D5D">
        <w:rPr>
          <w:szCs w:val="24"/>
        </w:rPr>
        <w:t>»:</w:t>
      </w:r>
    </w:p>
    <w:p w14:paraId="3CBCE8F3"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264D5D">
        <w:rPr>
          <w:rFonts w:cs="Courier New"/>
          <w:szCs w:val="22"/>
        </w:rPr>
        <w:t>&lt;?xml version ="1.0" encoding="UTF-8"?&gt;</w:t>
      </w:r>
    </w:p>
    <w:p w14:paraId="3641975B"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264D5D">
        <w:rPr>
          <w:rFonts w:cs="Courier New"/>
          <w:szCs w:val="22"/>
        </w:rPr>
        <w:t>&lt;self:InfrmtnBdgtOblgtns …&gt;</w:t>
      </w:r>
    </w:p>
    <w:p w14:paraId="0D58592D"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264D5D">
        <w:rPr>
          <w:rFonts w:cs="Courier New"/>
          <w:szCs w:val="22"/>
        </w:rPr>
        <w:tab/>
        <w:t>…</w:t>
      </w:r>
    </w:p>
    <w:p w14:paraId="1161C20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264D5D">
        <w:rPr>
          <w:rFonts w:cs="Courier New"/>
          <w:szCs w:val="22"/>
        </w:rPr>
        <w:t>&lt;/self:InfrmtnBdgtOblgtns&gt;</w:t>
      </w:r>
    </w:p>
    <w:p w14:paraId="6E5D6699" w14:textId="77777777" w:rsidR="00AD1F54" w:rsidRPr="00264D5D" w:rsidRDefault="00941227">
      <w:pPr>
        <w:pStyle w:val="31"/>
      </w:pPr>
      <w:bookmarkStart w:id="354" w:name="_Toc117868626"/>
      <w:bookmarkStart w:id="355" w:name="_Toc118064057"/>
      <w:bookmarkStart w:id="356" w:name="_Toc118072549"/>
      <w:bookmarkStart w:id="357" w:name="_Toc118208333"/>
      <w:bookmarkStart w:id="358" w:name="_Toc118209212"/>
      <w:bookmarkStart w:id="359" w:name="_Toc118210091"/>
      <w:bookmarkStart w:id="360" w:name="_Toc219309443"/>
      <w:bookmarkEnd w:id="354"/>
      <w:bookmarkEnd w:id="355"/>
      <w:bookmarkEnd w:id="356"/>
      <w:bookmarkEnd w:id="357"/>
      <w:bookmarkEnd w:id="358"/>
      <w:bookmarkEnd w:id="359"/>
      <w:r w:rsidRPr="00264D5D">
        <w:t>Файловое взаимодействие по формату OAGIS</w:t>
      </w:r>
      <w:bookmarkEnd w:id="360"/>
    </w:p>
    <w:p w14:paraId="1035F68B" w14:textId="77777777" w:rsidR="00AD1F54" w:rsidRPr="00264D5D" w:rsidRDefault="00941227">
      <w:pPr>
        <w:pStyle w:val="affffffc"/>
        <w:spacing w:before="120"/>
        <w:ind w:firstLine="567"/>
        <w:rPr>
          <w:b/>
          <w:sz w:val="24"/>
          <w:szCs w:val="24"/>
        </w:rPr>
      </w:pPr>
      <w:r w:rsidRPr="00264D5D">
        <w:rPr>
          <w:b/>
          <w:sz w:val="24"/>
          <w:szCs w:val="24"/>
        </w:rPr>
        <w:t>Вид 3 (</w:t>
      </w:r>
      <w:r w:rsidRPr="00264D5D">
        <w:rPr>
          <w:b/>
          <w:sz w:val="24"/>
          <w:szCs w:val="24"/>
          <w:lang w:val="en-US"/>
        </w:rPr>
        <w:t>OAGIS</w:t>
      </w:r>
      <w:r w:rsidRPr="00264D5D">
        <w:rPr>
          <w:b/>
          <w:sz w:val="24"/>
          <w:szCs w:val="24"/>
        </w:rPr>
        <w:t>):</w:t>
      </w:r>
    </w:p>
    <w:p w14:paraId="013FE8D3" w14:textId="77777777" w:rsidR="00AD1F54" w:rsidRPr="00264D5D" w:rsidRDefault="00941227">
      <w:pPr>
        <w:ind w:firstLine="567"/>
        <w:rPr>
          <w:b/>
          <w:i/>
        </w:rPr>
      </w:pPr>
      <w:r w:rsidRPr="00264D5D">
        <w:rPr>
          <w:b/>
          <w:i/>
        </w:rPr>
        <w:t xml:space="preserve">Файловое взаимодействие по формату </w:t>
      </w:r>
      <w:r w:rsidRPr="00264D5D">
        <w:rPr>
          <w:b/>
          <w:i/>
          <w:lang w:val="en-US"/>
        </w:rPr>
        <w:t>OAGIS</w:t>
      </w:r>
      <w:r w:rsidRPr="00264D5D">
        <w:rPr>
          <w:b/>
          <w:i/>
        </w:rPr>
        <w:t xml:space="preserve"> – предназначено только для обмена документом «Акт приемки-передачи кассовых выплат, поступлений и обязательств при реорганизации участников бюджетного процесса» (ф. 0531728)».</w:t>
      </w:r>
    </w:p>
    <w:p w14:paraId="0BD38E38"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&lt;? xml version ="1.0" encoding="UTF-8"?&gt;</w:t>
      </w:r>
    </w:p>
    <w:p w14:paraId="4E03AA39"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&lt;Business Object Document (BOD)&gt;</w:t>
      </w:r>
    </w:p>
    <w:p w14:paraId="7DA634AB"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&lt;ApplicationArea&gt;</w:t>
      </w:r>
    </w:p>
    <w:p w14:paraId="6C3F721D"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w:t>
      </w:r>
    </w:p>
    <w:p w14:paraId="5909B540"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&lt;/ApplicationArea&gt;</w:t>
      </w:r>
    </w:p>
    <w:p w14:paraId="647B35AF"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&lt;DataArea&gt;</w:t>
      </w:r>
    </w:p>
    <w:p w14:paraId="65C767D1"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ab/>
      </w:r>
      <w:r w:rsidRPr="008B26A8">
        <w:rPr>
          <w:rFonts w:cs="Courier New"/>
          <w:sz w:val="20"/>
        </w:rPr>
        <w:tab/>
        <w:t>…</w:t>
      </w:r>
    </w:p>
    <w:p w14:paraId="2DE6B6B0"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&lt;/DataArea&gt;</w:t>
      </w:r>
    </w:p>
    <w:p w14:paraId="06FB37C9" w14:textId="77777777" w:rsidR="00AD1F54" w:rsidRPr="008B26A8"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8B26A8">
        <w:rPr>
          <w:rFonts w:cs="Courier New"/>
          <w:sz w:val="20"/>
        </w:rPr>
        <w:t>&lt;/Business Object Document (BOD)&gt;</w:t>
      </w:r>
    </w:p>
    <w:p w14:paraId="6E97D62F" w14:textId="77777777" w:rsidR="00AD1F54" w:rsidRPr="00264D5D" w:rsidRDefault="00941227">
      <w:pPr>
        <w:pStyle w:val="OTRNormal"/>
        <w:rPr>
          <w:sz w:val="24"/>
          <w:szCs w:val="24"/>
        </w:rPr>
      </w:pPr>
      <w:r w:rsidRPr="00264D5D">
        <w:rPr>
          <w:sz w:val="24"/>
          <w:szCs w:val="24"/>
        </w:rPr>
        <w:t xml:space="preserve">Сообщение формируется на расширенном стандарте OAGIS. Каждое сообщение содержит один документ. </w:t>
      </w:r>
    </w:p>
    <w:p w14:paraId="5200C3CE" w14:textId="77777777" w:rsidR="00AD1F54" w:rsidRPr="00264D5D" w:rsidRDefault="00941227">
      <w:pPr>
        <w:pStyle w:val="OTRNormal"/>
        <w:rPr>
          <w:sz w:val="24"/>
          <w:szCs w:val="24"/>
        </w:rPr>
      </w:pPr>
      <w:r w:rsidRPr="00264D5D">
        <w:rPr>
          <w:sz w:val="24"/>
          <w:szCs w:val="24"/>
        </w:rPr>
        <w:t>Каждый такой пересылаемый документ (документы) передается с сопровождающей его служебной информацией. Такая служебная информация называется конвертом.</w:t>
      </w:r>
    </w:p>
    <w:p w14:paraId="0264A40F" w14:textId="77777777" w:rsidR="00AD1F54" w:rsidRPr="00264D5D" w:rsidRDefault="00941227">
      <w:pPr>
        <w:pStyle w:val="OTRNormal"/>
        <w:rPr>
          <w:sz w:val="24"/>
          <w:szCs w:val="24"/>
        </w:rPr>
      </w:pPr>
      <w:r w:rsidRPr="00264D5D">
        <w:rPr>
          <w:sz w:val="24"/>
          <w:szCs w:val="24"/>
        </w:rPr>
        <w:t xml:space="preserve">Конверт представляет собой </w:t>
      </w:r>
      <w:r w:rsidRPr="00264D5D">
        <w:rPr>
          <w:sz w:val="24"/>
          <w:szCs w:val="24"/>
          <w:lang w:val="en-US"/>
        </w:rPr>
        <w:t>xml</w:t>
      </w:r>
      <w:r w:rsidRPr="00264D5D">
        <w:rPr>
          <w:sz w:val="24"/>
          <w:szCs w:val="24"/>
        </w:rPr>
        <w:t>-сообщение и дополнительные служебные атрибуты, которые служат для доставки сообщения адресату. Наличие всех тегов в сообщение обязательно независимо от правил заполнения.</w:t>
      </w:r>
    </w:p>
    <w:p w14:paraId="69F68E57" w14:textId="77777777" w:rsidR="00AD1F54" w:rsidRPr="00264D5D" w:rsidRDefault="00941227">
      <w:pPr>
        <w:pStyle w:val="OTRNormal"/>
        <w:rPr>
          <w:sz w:val="24"/>
          <w:szCs w:val="24"/>
        </w:rPr>
      </w:pPr>
      <w:r w:rsidRPr="00264D5D">
        <w:rPr>
          <w:sz w:val="24"/>
          <w:szCs w:val="24"/>
        </w:rPr>
        <w:t>При этом выде</w:t>
      </w:r>
      <w:r w:rsidR="005A204F" w:rsidRPr="00264D5D">
        <w:rPr>
          <w:sz w:val="24"/>
          <w:szCs w:val="24"/>
        </w:rPr>
        <w:t>ляются следующие компоненты XML-</w:t>
      </w:r>
      <w:r w:rsidRPr="00264D5D">
        <w:rPr>
          <w:sz w:val="24"/>
          <w:szCs w:val="24"/>
        </w:rPr>
        <w:t>сообщения:</w:t>
      </w:r>
    </w:p>
    <w:p w14:paraId="32BF96F8" w14:textId="3B48B844" w:rsidR="00AD1F54" w:rsidRPr="00264D5D" w:rsidRDefault="00941227" w:rsidP="00941227">
      <w:pPr>
        <w:pStyle w:val="GOSTListmark2"/>
        <w:numPr>
          <w:ilvl w:val="0"/>
          <w:numId w:val="64"/>
        </w:numPr>
        <w:spacing w:before="60" w:after="120"/>
        <w:jc w:val="both"/>
      </w:pPr>
      <w:r w:rsidRPr="00264D5D">
        <w:t>&lt;</w:t>
      </w:r>
      <w:r w:rsidRPr="00264D5D">
        <w:rPr>
          <w:szCs w:val="24"/>
        </w:rPr>
        <w:t>Business</w:t>
      </w:r>
      <w:r w:rsidRPr="00264D5D">
        <w:t xml:space="preserve"> </w:t>
      </w:r>
      <w:r w:rsidRPr="00264D5D">
        <w:rPr>
          <w:lang w:val="en-US"/>
        </w:rPr>
        <w:t>Object</w:t>
      </w:r>
      <w:r w:rsidRPr="00264D5D">
        <w:t xml:space="preserve"> </w:t>
      </w:r>
      <w:r w:rsidRPr="00264D5D">
        <w:rPr>
          <w:lang w:val="en-US"/>
        </w:rPr>
        <w:t>Document</w:t>
      </w:r>
      <w:r w:rsidRPr="00264D5D">
        <w:t xml:space="preserve"> (далее – </w:t>
      </w:r>
      <w:r w:rsidRPr="00264D5D">
        <w:rPr>
          <w:lang w:val="en-US"/>
        </w:rPr>
        <w:t>BOD</w:t>
      </w:r>
      <w:r w:rsidRPr="00264D5D">
        <w:t xml:space="preserve">)&gt; – корневой тег </w:t>
      </w:r>
      <w:r w:rsidRPr="00264D5D">
        <w:rPr>
          <w:lang w:val="en-US"/>
        </w:rPr>
        <w:t>xml</w:t>
      </w:r>
      <w:r w:rsidRPr="00264D5D">
        <w:t xml:space="preserve">-сообщения соответствует наименованию корневого тега согласно столбцу «Код массива информации» таблицы </w:t>
      </w:r>
      <w:r w:rsidRPr="00264D5D">
        <w:fldChar w:fldCharType="begin"/>
      </w:r>
      <w:r w:rsidRPr="00264D5D">
        <w:instrText xml:space="preserve"> REF _Ref19881821 \h  \* MERGEFORMAT </w:instrText>
      </w:r>
      <w:r w:rsidRPr="00264D5D">
        <w:fldChar w:fldCharType="separate"/>
      </w:r>
      <w:r w:rsidR="008D797C" w:rsidRPr="008D797C">
        <w:rPr>
          <w:rFonts w:eastAsia="Calibri"/>
        </w:rPr>
        <w:t>2</w:t>
      </w:r>
      <w:r w:rsidRPr="00264D5D">
        <w:fldChar w:fldCharType="end"/>
      </w:r>
      <w:r w:rsidRPr="00264D5D">
        <w:t xml:space="preserve">. Например, для документа «Акт приемки-передачи </w:t>
      </w:r>
      <w:r w:rsidRPr="00264D5D">
        <w:lastRenderedPageBreak/>
        <w:t>кассовых выплат, поступлений и обязательств при реорганизации участников бюджетного процесса» (ф. 0531728)»</w:t>
      </w:r>
      <w:bookmarkStart w:id="361" w:name="OLE_LINK104"/>
      <w:bookmarkStart w:id="362" w:name="OLE_LINK105"/>
      <w:bookmarkStart w:id="363" w:name="OLE_LINK106"/>
      <w:r w:rsidRPr="00264D5D">
        <w:t xml:space="preserve"> – «ProcessPeriodicReport»;</w:t>
      </w:r>
    </w:p>
    <w:p w14:paraId="7B0F8022" w14:textId="77777777" w:rsidR="00AD1F54" w:rsidRPr="00264D5D" w:rsidRDefault="00941227" w:rsidP="00941227">
      <w:pPr>
        <w:pStyle w:val="GOSTListmark2"/>
        <w:numPr>
          <w:ilvl w:val="0"/>
          <w:numId w:val="64"/>
        </w:numPr>
        <w:spacing w:before="60" w:after="120"/>
        <w:jc w:val="both"/>
      </w:pPr>
      <w:r w:rsidRPr="00264D5D">
        <w:t>&lt;ApplicationArea&gt;</w:t>
      </w:r>
      <w:bookmarkEnd w:id="361"/>
      <w:bookmarkEnd w:id="362"/>
      <w:bookmarkEnd w:id="363"/>
      <w:r w:rsidRPr="00264D5D">
        <w:t xml:space="preserve"> – область описания служебных, управляющих полей, приведена в разделе 5.6;</w:t>
      </w:r>
    </w:p>
    <w:p w14:paraId="1CB3829A" w14:textId="77777777" w:rsidR="00AD1F54" w:rsidRPr="00264D5D" w:rsidRDefault="00941227" w:rsidP="00941227">
      <w:pPr>
        <w:pStyle w:val="GOSTListmark2"/>
        <w:numPr>
          <w:ilvl w:val="0"/>
          <w:numId w:val="64"/>
        </w:numPr>
        <w:spacing w:before="60" w:after="120"/>
        <w:jc w:val="both"/>
        <w:rPr>
          <w:szCs w:val="24"/>
        </w:rPr>
      </w:pPr>
      <w:r w:rsidRPr="00264D5D">
        <w:rPr>
          <w:szCs w:val="24"/>
        </w:rPr>
        <w:t>&lt;</w:t>
      </w:r>
      <w:r w:rsidRPr="00264D5D">
        <w:t>DataArea</w:t>
      </w:r>
      <w:r w:rsidRPr="00264D5D">
        <w:rPr>
          <w:szCs w:val="24"/>
        </w:rPr>
        <w:t>&gt; – область описания данных. В зависимости от типа сообщения может быть: документом, запросом, уведомлением, обновлением, отчетом, справочником, файлом и т.д.</w:t>
      </w:r>
    </w:p>
    <w:p w14:paraId="2DA6174D" w14:textId="77777777" w:rsidR="00AD1F54" w:rsidRPr="00264D5D" w:rsidRDefault="00941227">
      <w:pPr>
        <w:pStyle w:val="22"/>
        <w:rPr>
          <w:lang w:val="ru-RU"/>
        </w:rPr>
      </w:pPr>
      <w:bookmarkStart w:id="364" w:name="_Toc219309444"/>
      <w:r w:rsidRPr="00264D5D">
        <w:rPr>
          <w:lang w:val="ru-RU"/>
        </w:rPr>
        <w:t>Описание корневого элемента пакета «</w:t>
      </w:r>
      <w:r w:rsidRPr="00264D5D">
        <w:t>exchangePacket</w:t>
      </w:r>
      <w:r w:rsidRPr="00264D5D">
        <w:rPr>
          <w:lang w:val="ru-RU"/>
        </w:rPr>
        <w:t>»</w:t>
      </w:r>
      <w:bookmarkEnd w:id="364"/>
    </w:p>
    <w:p w14:paraId="57D8B824" w14:textId="77777777" w:rsidR="00AD1F54" w:rsidRPr="00264D5D" w:rsidRDefault="00941227">
      <w:pPr>
        <w:pStyle w:val="ASFKNormal"/>
        <w:spacing w:before="0" w:after="120"/>
        <w:contextualSpacing w:val="0"/>
        <w:jc w:val="both"/>
        <w:rPr>
          <w:sz w:val="24"/>
          <w:szCs w:val="24"/>
        </w:rPr>
      </w:pPr>
      <w:r w:rsidRPr="00264D5D">
        <w:rPr>
          <w:sz w:val="24"/>
          <w:szCs w:val="24"/>
        </w:rPr>
        <w:t xml:space="preserve">Корневой элемент пакета </w:t>
      </w:r>
      <w:r w:rsidRPr="00264D5D">
        <w:rPr>
          <w:rFonts w:eastAsia="Calibri"/>
          <w:sz w:val="24"/>
          <w:szCs w:val="24"/>
          <w:lang w:val="en-US"/>
        </w:rPr>
        <w:t>xml</w:t>
      </w:r>
      <w:r w:rsidRPr="00264D5D">
        <w:rPr>
          <w:rFonts w:eastAsia="Calibri"/>
          <w:sz w:val="24"/>
          <w:szCs w:val="24"/>
        </w:rPr>
        <w:t>-</w:t>
      </w:r>
      <w:r w:rsidRPr="00264D5D">
        <w:rPr>
          <w:sz w:val="24"/>
          <w:szCs w:val="24"/>
        </w:rPr>
        <w:t xml:space="preserve">сообщения – </w:t>
      </w:r>
      <w:r w:rsidRPr="00264D5D">
        <w:rPr>
          <w:sz w:val="24"/>
          <w:szCs w:val="24"/>
          <w:lang w:val="en-US"/>
        </w:rPr>
        <w:t>exchangePacket</w:t>
      </w:r>
      <w:r w:rsidRPr="00264D5D">
        <w:rPr>
          <w:sz w:val="24"/>
          <w:szCs w:val="24"/>
        </w:rPr>
        <w:t xml:space="preserve"> – состоит из двух областей описания данных:</w:t>
      </w:r>
    </w:p>
    <w:p w14:paraId="301D2EBF" w14:textId="77777777" w:rsidR="00AD1F54" w:rsidRPr="00264D5D" w:rsidRDefault="00941227" w:rsidP="00941227">
      <w:pPr>
        <w:pStyle w:val="ASFKNormal"/>
        <w:numPr>
          <w:ilvl w:val="0"/>
          <w:numId w:val="54"/>
        </w:numPr>
        <w:ind w:left="1281" w:hanging="357"/>
        <w:jc w:val="both"/>
        <w:rPr>
          <w:sz w:val="24"/>
          <w:szCs w:val="24"/>
        </w:rPr>
      </w:pPr>
      <w:r w:rsidRPr="00264D5D">
        <w:rPr>
          <w:sz w:val="24"/>
          <w:szCs w:val="24"/>
        </w:rPr>
        <w:t>«</w:t>
      </w:r>
      <w:r w:rsidRPr="00264D5D">
        <w:rPr>
          <w:sz w:val="24"/>
          <w:szCs w:val="24"/>
          <w:lang w:val="en-US"/>
        </w:rPr>
        <w:t>packetHeader</w:t>
      </w:r>
      <w:r w:rsidRPr="00264D5D">
        <w:rPr>
          <w:sz w:val="24"/>
          <w:szCs w:val="24"/>
        </w:rPr>
        <w:t>» – описание заголовка пакета;</w:t>
      </w:r>
    </w:p>
    <w:p w14:paraId="6A971DEA" w14:textId="77777777" w:rsidR="00AD1F54" w:rsidRPr="00264D5D" w:rsidRDefault="00941227" w:rsidP="00941227">
      <w:pPr>
        <w:pStyle w:val="ASFKNormal"/>
        <w:numPr>
          <w:ilvl w:val="0"/>
          <w:numId w:val="54"/>
        </w:numPr>
        <w:ind w:left="1281" w:hanging="357"/>
        <w:jc w:val="both"/>
        <w:rPr>
          <w:sz w:val="24"/>
          <w:szCs w:val="24"/>
        </w:rPr>
      </w:pPr>
      <w:r w:rsidRPr="00264D5D">
        <w:rPr>
          <w:sz w:val="24"/>
          <w:szCs w:val="24"/>
        </w:rPr>
        <w:t>«</w:t>
      </w:r>
      <w:r w:rsidRPr="00264D5D">
        <w:rPr>
          <w:sz w:val="24"/>
          <w:szCs w:val="24"/>
          <w:lang w:val="en-US"/>
        </w:rPr>
        <w:t>formularCollection</w:t>
      </w:r>
      <w:r w:rsidRPr="00264D5D">
        <w:rPr>
          <w:sz w:val="24"/>
          <w:szCs w:val="24"/>
        </w:rPr>
        <w:t xml:space="preserve">» – область бизнес данных. </w:t>
      </w:r>
    </w:p>
    <w:p w14:paraId="4263939E" w14:textId="710AABC7" w:rsidR="00AD1F54" w:rsidRPr="00264D5D" w:rsidRDefault="00941227">
      <w:pPr>
        <w:pStyle w:val="GOSTNameTable"/>
        <w:widowControl w:val="0"/>
        <w:numPr>
          <w:ilvl w:val="0"/>
          <w:numId w:val="2"/>
        </w:numPr>
        <w:spacing w:before="60"/>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365" w:name="_Ref411950392"/>
      <w:bookmarkStart w:id="366" w:name="_Toc30503343"/>
      <w:bookmarkStart w:id="367" w:name="_Toc30507941"/>
      <w:bookmarkStart w:id="368" w:name="_Toc219309037"/>
      <w:r w:rsidR="008D797C">
        <w:rPr>
          <w:rFonts w:eastAsia="Calibri"/>
          <w:noProof/>
          <w:szCs w:val="24"/>
        </w:rPr>
        <w:t>7</w:t>
      </w:r>
      <w:bookmarkEnd w:id="365"/>
      <w:r w:rsidRPr="00264D5D">
        <w:rPr>
          <w:rFonts w:eastAsia="Calibri"/>
          <w:szCs w:val="24"/>
        </w:rPr>
        <w:fldChar w:fldCharType="end"/>
      </w:r>
      <w:r w:rsidRPr="00264D5D">
        <w:rPr>
          <w:rFonts w:eastAsia="Calibri"/>
          <w:szCs w:val="24"/>
        </w:rPr>
        <w:t xml:space="preserve"> – Реквизитный состав корневого элемента пакета «exchangePacket»</w:t>
      </w:r>
      <w:bookmarkEnd w:id="366"/>
      <w:bookmarkEnd w:id="367"/>
      <w:bookmarkEnd w:id="368"/>
    </w:p>
    <w:tbl>
      <w:tblPr>
        <w:tblStyle w:val="GOSTTable"/>
        <w:tblW w:w="5000" w:type="pct"/>
        <w:tblLayout w:type="fixed"/>
        <w:tblLook w:val="01E0" w:firstRow="1" w:lastRow="1" w:firstColumn="1" w:lastColumn="1" w:noHBand="0" w:noVBand="0"/>
      </w:tblPr>
      <w:tblGrid>
        <w:gridCol w:w="1692"/>
        <w:gridCol w:w="1693"/>
        <w:gridCol w:w="564"/>
        <w:gridCol w:w="1128"/>
        <w:gridCol w:w="564"/>
        <w:gridCol w:w="4009"/>
      </w:tblGrid>
      <w:tr w:rsidR="00AD1F54" w:rsidRPr="00264D5D" w14:paraId="5BFAC290"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0" w:type="dxa"/>
          </w:tcPr>
          <w:p w14:paraId="0122E6AD" w14:textId="77777777" w:rsidR="00AD1F54" w:rsidRPr="00264D5D" w:rsidRDefault="00941227">
            <w:pPr>
              <w:spacing w:before="60" w:after="60"/>
              <w:ind w:left="57" w:right="57"/>
              <w:jc w:val="center"/>
              <w:rPr>
                <w:b/>
                <w:sz w:val="22"/>
                <w:szCs w:val="22"/>
              </w:rPr>
            </w:pPr>
            <w:r w:rsidRPr="00264D5D">
              <w:rPr>
                <w:b/>
                <w:bCs/>
                <w:sz w:val="22"/>
                <w:szCs w:val="22"/>
              </w:rPr>
              <w:t>Наименование комплексного типа</w:t>
            </w:r>
          </w:p>
        </w:tc>
        <w:tc>
          <w:tcPr>
            <w:tcW w:w="1701" w:type="dxa"/>
          </w:tcPr>
          <w:p w14:paraId="32F818E5" w14:textId="77777777" w:rsidR="00AD1F54" w:rsidRPr="00264D5D" w:rsidRDefault="00941227">
            <w:pPr>
              <w:spacing w:before="60" w:after="60"/>
              <w:ind w:left="57" w:right="57"/>
              <w:jc w:val="center"/>
              <w:rPr>
                <w:b/>
                <w:sz w:val="22"/>
                <w:szCs w:val="22"/>
              </w:rPr>
            </w:pPr>
            <w:r w:rsidRPr="00264D5D">
              <w:rPr>
                <w:b/>
                <w:bCs/>
                <w:sz w:val="22"/>
                <w:szCs w:val="22"/>
              </w:rPr>
              <w:t>Текущий элемент/ атрибут</w:t>
            </w:r>
          </w:p>
        </w:tc>
        <w:tc>
          <w:tcPr>
            <w:tcW w:w="567" w:type="dxa"/>
          </w:tcPr>
          <w:p w14:paraId="72DFDCCF" w14:textId="77777777" w:rsidR="00AD1F54" w:rsidRPr="00264D5D" w:rsidRDefault="00941227">
            <w:pPr>
              <w:spacing w:before="60" w:after="60"/>
              <w:ind w:left="57" w:right="57"/>
              <w:jc w:val="center"/>
              <w:rPr>
                <w:b/>
                <w:sz w:val="22"/>
                <w:szCs w:val="22"/>
              </w:rPr>
            </w:pPr>
            <w:r w:rsidRPr="00264D5D">
              <w:rPr>
                <w:b/>
                <w:bCs/>
                <w:sz w:val="22"/>
                <w:szCs w:val="22"/>
              </w:rPr>
              <w:t>Тип</w:t>
            </w:r>
          </w:p>
        </w:tc>
        <w:tc>
          <w:tcPr>
            <w:tcW w:w="1134" w:type="dxa"/>
          </w:tcPr>
          <w:p w14:paraId="1126F1D1" w14:textId="77777777" w:rsidR="00AD1F54" w:rsidRPr="00264D5D" w:rsidRDefault="00941227">
            <w:pPr>
              <w:spacing w:before="60" w:after="60"/>
              <w:ind w:left="57" w:right="57"/>
              <w:jc w:val="center"/>
              <w:rPr>
                <w:b/>
                <w:sz w:val="22"/>
                <w:szCs w:val="22"/>
              </w:rPr>
            </w:pPr>
            <w:r w:rsidRPr="00264D5D">
              <w:rPr>
                <w:b/>
                <w:bCs/>
                <w:sz w:val="22"/>
                <w:szCs w:val="22"/>
              </w:rPr>
              <w:t>Формат элемента</w:t>
            </w:r>
          </w:p>
        </w:tc>
        <w:tc>
          <w:tcPr>
            <w:tcW w:w="567" w:type="dxa"/>
          </w:tcPr>
          <w:p w14:paraId="1E179D7E" w14:textId="77777777" w:rsidR="00AD1F54" w:rsidRPr="00264D5D" w:rsidRDefault="00941227">
            <w:pPr>
              <w:spacing w:before="60" w:after="60"/>
              <w:ind w:left="57" w:right="57"/>
              <w:jc w:val="center"/>
              <w:rPr>
                <w:b/>
                <w:sz w:val="22"/>
                <w:szCs w:val="22"/>
              </w:rPr>
            </w:pPr>
            <w:r w:rsidRPr="00264D5D">
              <w:rPr>
                <w:b/>
                <w:bCs/>
                <w:sz w:val="22"/>
                <w:szCs w:val="22"/>
              </w:rPr>
              <w:t>Обязательность</w:t>
            </w:r>
          </w:p>
        </w:tc>
        <w:tc>
          <w:tcPr>
            <w:tcW w:w="4030" w:type="dxa"/>
          </w:tcPr>
          <w:p w14:paraId="0B01B7F4" w14:textId="77777777" w:rsidR="00AD1F54" w:rsidRPr="00264D5D" w:rsidRDefault="00941227">
            <w:pPr>
              <w:spacing w:before="60" w:after="60"/>
              <w:ind w:left="57" w:right="57"/>
              <w:jc w:val="center"/>
              <w:rPr>
                <w:b/>
                <w:sz w:val="22"/>
                <w:szCs w:val="22"/>
              </w:rPr>
            </w:pPr>
            <w:r w:rsidRPr="00264D5D">
              <w:rPr>
                <w:b/>
                <w:bCs/>
                <w:sz w:val="22"/>
                <w:szCs w:val="22"/>
              </w:rPr>
              <w:t>Дополнительная информация</w:t>
            </w:r>
          </w:p>
        </w:tc>
      </w:tr>
      <w:tr w:rsidR="00AD1F54" w:rsidRPr="00264D5D" w14:paraId="4C1D90FE" w14:textId="77777777" w:rsidTr="00AD1F54">
        <w:trPr>
          <w:cnfStyle w:val="000000100000" w:firstRow="0" w:lastRow="0" w:firstColumn="0" w:lastColumn="0" w:oddVBand="0" w:evenVBand="0" w:oddHBand="1" w:evenHBand="0" w:firstRowFirstColumn="0" w:firstRowLastColumn="0" w:lastRowFirstColumn="0" w:lastRowLastColumn="0"/>
        </w:trPr>
        <w:tc>
          <w:tcPr>
            <w:tcW w:w="1700" w:type="dxa"/>
          </w:tcPr>
          <w:p w14:paraId="3E06ED9F" w14:textId="77777777" w:rsidR="00AD1F54" w:rsidRPr="00264D5D" w:rsidRDefault="00941227">
            <w:pPr>
              <w:spacing w:before="60" w:after="60"/>
              <w:rPr>
                <w:sz w:val="22"/>
                <w:szCs w:val="22"/>
              </w:rPr>
            </w:pPr>
            <w:r w:rsidRPr="00264D5D">
              <w:rPr>
                <w:rFonts w:cs="Arial"/>
                <w:sz w:val="22"/>
                <w:szCs w:val="22"/>
                <w:lang w:val="en-US"/>
              </w:rPr>
              <w:t>exchangePacket</w:t>
            </w:r>
          </w:p>
        </w:tc>
        <w:tc>
          <w:tcPr>
            <w:tcW w:w="1701" w:type="dxa"/>
          </w:tcPr>
          <w:p w14:paraId="2AD6C867" w14:textId="77777777" w:rsidR="00AD1F54" w:rsidRPr="00264D5D" w:rsidRDefault="00941227">
            <w:pPr>
              <w:spacing w:before="60" w:after="60"/>
              <w:rPr>
                <w:sz w:val="22"/>
                <w:szCs w:val="22"/>
                <w:lang w:val="en-US"/>
              </w:rPr>
            </w:pPr>
            <w:r w:rsidRPr="00264D5D">
              <w:rPr>
                <w:sz w:val="22"/>
                <w:szCs w:val="22"/>
                <w:lang w:val="en-US"/>
              </w:rPr>
              <w:t>packetHeader</w:t>
            </w:r>
          </w:p>
        </w:tc>
        <w:tc>
          <w:tcPr>
            <w:tcW w:w="567" w:type="dxa"/>
          </w:tcPr>
          <w:p w14:paraId="0CD2D084" w14:textId="77777777" w:rsidR="00AD1F54" w:rsidRPr="00264D5D" w:rsidRDefault="00941227">
            <w:pPr>
              <w:spacing w:before="60" w:after="60"/>
              <w:jc w:val="center"/>
              <w:rPr>
                <w:sz w:val="22"/>
                <w:szCs w:val="22"/>
              </w:rPr>
            </w:pPr>
            <w:r w:rsidRPr="00264D5D">
              <w:rPr>
                <w:sz w:val="22"/>
                <w:szCs w:val="22"/>
                <w:lang w:val="en-US"/>
              </w:rPr>
              <w:t>С</w:t>
            </w:r>
          </w:p>
        </w:tc>
        <w:tc>
          <w:tcPr>
            <w:tcW w:w="1134" w:type="dxa"/>
          </w:tcPr>
          <w:p w14:paraId="0E961B2B" w14:textId="77777777" w:rsidR="00AD1F54" w:rsidRPr="00264D5D" w:rsidRDefault="00941227">
            <w:pPr>
              <w:spacing w:before="60" w:after="60"/>
              <w:rPr>
                <w:sz w:val="22"/>
                <w:szCs w:val="22"/>
              </w:rPr>
            </w:pPr>
            <w:r w:rsidRPr="00264D5D">
              <w:rPr>
                <w:sz w:val="22"/>
                <w:szCs w:val="22"/>
                <w:lang w:val="en-US"/>
              </w:rPr>
              <w:t>tPacketHeader</w:t>
            </w:r>
            <w:r w:rsidRPr="00264D5D">
              <w:rPr>
                <w:sz w:val="22"/>
                <w:szCs w:val="22"/>
              </w:rPr>
              <w:t xml:space="preserve"> </w:t>
            </w:r>
          </w:p>
        </w:tc>
        <w:tc>
          <w:tcPr>
            <w:tcW w:w="567" w:type="dxa"/>
          </w:tcPr>
          <w:p w14:paraId="2F9CF17A" w14:textId="77777777" w:rsidR="00AD1F54" w:rsidRPr="00264D5D" w:rsidRDefault="00941227">
            <w:pPr>
              <w:spacing w:before="60" w:after="60"/>
              <w:jc w:val="center"/>
              <w:rPr>
                <w:sz w:val="22"/>
                <w:szCs w:val="22"/>
              </w:rPr>
            </w:pPr>
            <w:r w:rsidRPr="00264D5D">
              <w:rPr>
                <w:sz w:val="22"/>
                <w:szCs w:val="22"/>
              </w:rPr>
              <w:t>О</w:t>
            </w:r>
          </w:p>
        </w:tc>
        <w:tc>
          <w:tcPr>
            <w:tcW w:w="4030" w:type="dxa"/>
          </w:tcPr>
          <w:p w14:paraId="32E89948" w14:textId="77777777" w:rsidR="00AD1F54" w:rsidRPr="00264D5D" w:rsidRDefault="00941227">
            <w:pPr>
              <w:spacing w:before="60" w:after="60"/>
              <w:rPr>
                <w:sz w:val="22"/>
                <w:szCs w:val="22"/>
              </w:rPr>
            </w:pPr>
            <w:r w:rsidRPr="00264D5D">
              <w:rPr>
                <w:sz w:val="22"/>
                <w:szCs w:val="22"/>
              </w:rPr>
              <w:t>Заголовок пакета.</w:t>
            </w:r>
          </w:p>
          <w:p w14:paraId="204D2F55" w14:textId="09294187" w:rsidR="00AD1F54" w:rsidRPr="00264D5D" w:rsidRDefault="00941227">
            <w:pPr>
              <w:spacing w:before="60" w:after="60"/>
              <w:rPr>
                <w:sz w:val="22"/>
                <w:szCs w:val="22"/>
              </w:rPr>
            </w:pPr>
            <w:r w:rsidRPr="00264D5D">
              <w:rPr>
                <w:sz w:val="22"/>
                <w:szCs w:val="22"/>
              </w:rPr>
              <w:t xml:space="preserve">Состав пакета описан в разделе </w:t>
            </w:r>
            <w:r w:rsidRPr="00264D5D">
              <w:rPr>
                <w:sz w:val="22"/>
                <w:szCs w:val="22"/>
              </w:rPr>
              <w:fldChar w:fldCharType="begin"/>
            </w:r>
            <w:r w:rsidRPr="00264D5D">
              <w:rPr>
                <w:sz w:val="22"/>
                <w:szCs w:val="22"/>
              </w:rPr>
              <w:instrText xml:space="preserve"> REF _Ref416188005 \r \h  \* MERGEFORMAT </w:instrText>
            </w:r>
            <w:r w:rsidRPr="00264D5D">
              <w:rPr>
                <w:sz w:val="22"/>
                <w:szCs w:val="22"/>
              </w:rPr>
            </w:r>
            <w:r w:rsidRPr="00264D5D">
              <w:rPr>
                <w:sz w:val="22"/>
                <w:szCs w:val="22"/>
              </w:rPr>
              <w:fldChar w:fldCharType="separate"/>
            </w:r>
            <w:r w:rsidR="008D797C">
              <w:rPr>
                <w:sz w:val="22"/>
                <w:szCs w:val="22"/>
              </w:rPr>
              <w:t>5.4.1</w:t>
            </w:r>
            <w:r w:rsidRPr="00264D5D">
              <w:rPr>
                <w:sz w:val="22"/>
                <w:szCs w:val="22"/>
              </w:rPr>
              <w:fldChar w:fldCharType="end"/>
            </w:r>
          </w:p>
        </w:tc>
      </w:tr>
      <w:tr w:rsidR="00AD1F54" w:rsidRPr="00264D5D" w14:paraId="351D87DC" w14:textId="77777777" w:rsidTr="00AD1F54">
        <w:trPr>
          <w:cnfStyle w:val="000000010000" w:firstRow="0" w:lastRow="0" w:firstColumn="0" w:lastColumn="0" w:oddVBand="0" w:evenVBand="0" w:oddHBand="0" w:evenHBand="1" w:firstRowFirstColumn="0" w:firstRowLastColumn="0" w:lastRowFirstColumn="0" w:lastRowLastColumn="0"/>
        </w:trPr>
        <w:tc>
          <w:tcPr>
            <w:tcW w:w="1700" w:type="dxa"/>
          </w:tcPr>
          <w:p w14:paraId="25503432" w14:textId="77777777" w:rsidR="00AD1F54" w:rsidRPr="00264D5D" w:rsidRDefault="00941227">
            <w:pPr>
              <w:spacing w:before="60" w:after="60"/>
              <w:rPr>
                <w:sz w:val="22"/>
                <w:szCs w:val="22"/>
              </w:rPr>
            </w:pPr>
            <w:r w:rsidRPr="00264D5D">
              <w:rPr>
                <w:rFonts w:cs="Arial"/>
                <w:sz w:val="22"/>
                <w:szCs w:val="22"/>
                <w:lang w:val="en-US"/>
              </w:rPr>
              <w:t>exchangePacket</w:t>
            </w:r>
          </w:p>
        </w:tc>
        <w:tc>
          <w:tcPr>
            <w:tcW w:w="1701" w:type="dxa"/>
          </w:tcPr>
          <w:p w14:paraId="10EF266D" w14:textId="77777777" w:rsidR="00AD1F54" w:rsidRPr="00264D5D" w:rsidRDefault="00941227">
            <w:pPr>
              <w:spacing w:before="60" w:after="60"/>
              <w:rPr>
                <w:sz w:val="22"/>
                <w:szCs w:val="22"/>
              </w:rPr>
            </w:pPr>
            <w:r w:rsidRPr="00264D5D">
              <w:rPr>
                <w:sz w:val="22"/>
                <w:szCs w:val="22"/>
                <w:lang w:val="en-US"/>
              </w:rPr>
              <w:t>formularCollection</w:t>
            </w:r>
          </w:p>
        </w:tc>
        <w:tc>
          <w:tcPr>
            <w:tcW w:w="567" w:type="dxa"/>
          </w:tcPr>
          <w:p w14:paraId="41A1E948" w14:textId="77777777" w:rsidR="00AD1F54" w:rsidRPr="00264D5D" w:rsidRDefault="00941227">
            <w:pPr>
              <w:spacing w:before="60" w:after="60"/>
              <w:jc w:val="center"/>
              <w:rPr>
                <w:sz w:val="22"/>
                <w:szCs w:val="22"/>
              </w:rPr>
            </w:pPr>
            <w:r w:rsidRPr="00264D5D">
              <w:rPr>
                <w:sz w:val="22"/>
                <w:szCs w:val="22"/>
                <w:lang w:val="en-US"/>
              </w:rPr>
              <w:t>С</w:t>
            </w:r>
          </w:p>
        </w:tc>
        <w:tc>
          <w:tcPr>
            <w:tcW w:w="1134" w:type="dxa"/>
          </w:tcPr>
          <w:p w14:paraId="7B7F4625" w14:textId="77777777" w:rsidR="00AD1F54" w:rsidRPr="00264D5D" w:rsidRDefault="00941227">
            <w:pPr>
              <w:spacing w:before="60" w:after="60"/>
              <w:rPr>
                <w:sz w:val="22"/>
                <w:szCs w:val="22"/>
              </w:rPr>
            </w:pPr>
            <w:r w:rsidRPr="00264D5D">
              <w:rPr>
                <w:sz w:val="22"/>
                <w:szCs w:val="22"/>
                <w:lang w:val="en-US"/>
              </w:rPr>
              <w:t xml:space="preserve">tFormularCollection </w:t>
            </w:r>
          </w:p>
        </w:tc>
        <w:tc>
          <w:tcPr>
            <w:tcW w:w="567" w:type="dxa"/>
          </w:tcPr>
          <w:p w14:paraId="5CB2F539" w14:textId="77777777" w:rsidR="00AD1F54" w:rsidRPr="00264D5D" w:rsidRDefault="00941227">
            <w:pPr>
              <w:spacing w:before="60" w:after="60"/>
              <w:jc w:val="center"/>
              <w:rPr>
                <w:sz w:val="22"/>
                <w:szCs w:val="22"/>
              </w:rPr>
            </w:pPr>
            <w:r w:rsidRPr="00264D5D">
              <w:rPr>
                <w:sz w:val="22"/>
                <w:szCs w:val="22"/>
              </w:rPr>
              <w:t>О</w:t>
            </w:r>
          </w:p>
        </w:tc>
        <w:tc>
          <w:tcPr>
            <w:tcW w:w="4030" w:type="dxa"/>
          </w:tcPr>
          <w:p w14:paraId="5876683E" w14:textId="77777777" w:rsidR="00AD1F54" w:rsidRPr="00264D5D" w:rsidRDefault="00941227">
            <w:pPr>
              <w:spacing w:before="60" w:after="60"/>
              <w:rPr>
                <w:sz w:val="22"/>
                <w:szCs w:val="22"/>
              </w:rPr>
            </w:pPr>
            <w:r w:rsidRPr="00264D5D">
              <w:rPr>
                <w:sz w:val="22"/>
                <w:szCs w:val="22"/>
              </w:rPr>
              <w:t>Бизнес данные пакета.</w:t>
            </w:r>
          </w:p>
          <w:p w14:paraId="5189F8E0" w14:textId="00840B35" w:rsidR="00AD1F54" w:rsidRPr="00264D5D" w:rsidRDefault="00941227">
            <w:pPr>
              <w:spacing w:before="60" w:after="60"/>
              <w:rPr>
                <w:sz w:val="22"/>
                <w:szCs w:val="22"/>
              </w:rPr>
            </w:pPr>
            <w:r w:rsidRPr="00264D5D">
              <w:rPr>
                <w:sz w:val="22"/>
                <w:szCs w:val="22"/>
              </w:rPr>
              <w:t xml:space="preserve">Состав пакета описан в разделе </w:t>
            </w:r>
            <w:r w:rsidRPr="00264D5D">
              <w:rPr>
                <w:sz w:val="22"/>
                <w:szCs w:val="22"/>
              </w:rPr>
              <w:fldChar w:fldCharType="begin"/>
            </w:r>
            <w:r w:rsidRPr="00264D5D">
              <w:rPr>
                <w:sz w:val="22"/>
                <w:szCs w:val="22"/>
              </w:rPr>
              <w:instrText xml:space="preserve"> REF _Ref483327894 \r \h  \* MERGEFORMAT </w:instrText>
            </w:r>
            <w:r w:rsidRPr="00264D5D">
              <w:rPr>
                <w:sz w:val="22"/>
                <w:szCs w:val="22"/>
              </w:rPr>
            </w:r>
            <w:r w:rsidRPr="00264D5D">
              <w:rPr>
                <w:sz w:val="22"/>
                <w:szCs w:val="22"/>
              </w:rPr>
              <w:fldChar w:fldCharType="separate"/>
            </w:r>
            <w:r w:rsidR="008D797C">
              <w:rPr>
                <w:sz w:val="22"/>
                <w:szCs w:val="22"/>
              </w:rPr>
              <w:t>5.6</w:t>
            </w:r>
            <w:r w:rsidRPr="00264D5D">
              <w:rPr>
                <w:sz w:val="22"/>
                <w:szCs w:val="22"/>
              </w:rPr>
              <w:fldChar w:fldCharType="end"/>
            </w:r>
          </w:p>
        </w:tc>
      </w:tr>
      <w:tr w:rsidR="00AD1F54" w:rsidRPr="00264D5D" w14:paraId="112ADA4B" w14:textId="77777777" w:rsidTr="00AD1F54">
        <w:trPr>
          <w:cnfStyle w:val="000000100000" w:firstRow="0" w:lastRow="0" w:firstColumn="0" w:lastColumn="0" w:oddVBand="0" w:evenVBand="0" w:oddHBand="1" w:evenHBand="0" w:firstRowFirstColumn="0" w:firstRowLastColumn="0" w:lastRowFirstColumn="0" w:lastRowLastColumn="0"/>
        </w:trPr>
        <w:tc>
          <w:tcPr>
            <w:tcW w:w="1700" w:type="dxa"/>
          </w:tcPr>
          <w:p w14:paraId="48F1DEA2" w14:textId="77777777" w:rsidR="00AD1F54" w:rsidRPr="00264D5D" w:rsidRDefault="00941227">
            <w:pPr>
              <w:pStyle w:val="EBTablenorm"/>
              <w:ind w:left="57" w:right="57"/>
              <w:contextualSpacing w:val="0"/>
              <w:jc w:val="left"/>
              <w:rPr>
                <w:sz w:val="22"/>
                <w:szCs w:val="22"/>
              </w:rPr>
            </w:pPr>
            <w:r w:rsidRPr="00264D5D">
              <w:rPr>
                <w:sz w:val="22"/>
                <w:szCs w:val="22"/>
              </w:rPr>
              <w:t>ЭП</w:t>
            </w:r>
          </w:p>
        </w:tc>
        <w:tc>
          <w:tcPr>
            <w:tcW w:w="1701" w:type="dxa"/>
          </w:tcPr>
          <w:p w14:paraId="01F6D348" w14:textId="77777777" w:rsidR="00AD1F54" w:rsidRPr="00264D5D" w:rsidRDefault="00941227">
            <w:pPr>
              <w:pStyle w:val="EBTablenorm"/>
              <w:ind w:left="57" w:right="57"/>
              <w:contextualSpacing w:val="0"/>
              <w:jc w:val="left"/>
              <w:rPr>
                <w:sz w:val="22"/>
                <w:szCs w:val="22"/>
              </w:rPr>
            </w:pPr>
            <w:r w:rsidRPr="00264D5D">
              <w:rPr>
                <w:sz w:val="22"/>
                <w:szCs w:val="22"/>
              </w:rPr>
              <w:t>Signature</w:t>
            </w:r>
          </w:p>
        </w:tc>
        <w:tc>
          <w:tcPr>
            <w:tcW w:w="567" w:type="dxa"/>
          </w:tcPr>
          <w:p w14:paraId="7514303E" w14:textId="77777777" w:rsidR="00AD1F54" w:rsidRPr="00264D5D" w:rsidRDefault="00941227">
            <w:pPr>
              <w:spacing w:before="60" w:after="60"/>
              <w:jc w:val="center"/>
              <w:rPr>
                <w:sz w:val="22"/>
                <w:szCs w:val="22"/>
              </w:rPr>
            </w:pPr>
            <w:r w:rsidRPr="00264D5D">
              <w:rPr>
                <w:sz w:val="22"/>
                <w:szCs w:val="22"/>
                <w:lang w:val="en-US"/>
              </w:rPr>
              <w:t>C</w:t>
            </w:r>
          </w:p>
        </w:tc>
        <w:tc>
          <w:tcPr>
            <w:tcW w:w="1134" w:type="dxa"/>
          </w:tcPr>
          <w:p w14:paraId="228BB87B" w14:textId="77777777" w:rsidR="00AD1F54" w:rsidRPr="00264D5D" w:rsidRDefault="00941227">
            <w:pPr>
              <w:spacing w:before="60" w:after="60"/>
              <w:jc w:val="left"/>
              <w:rPr>
                <w:rFonts w:eastAsia="Calibri"/>
                <w:sz w:val="22"/>
                <w:szCs w:val="22"/>
              </w:rPr>
            </w:pPr>
            <w:r w:rsidRPr="00264D5D">
              <w:rPr>
                <w:rFonts w:eastAsia="Calibri"/>
                <w:sz w:val="22"/>
                <w:szCs w:val="22"/>
              </w:rPr>
              <w:t>SignatureType</w:t>
            </w:r>
          </w:p>
        </w:tc>
        <w:tc>
          <w:tcPr>
            <w:tcW w:w="567" w:type="dxa"/>
          </w:tcPr>
          <w:p w14:paraId="65311E1F" w14:textId="77777777" w:rsidR="00AD1F54" w:rsidRPr="00264D5D" w:rsidRDefault="00941227">
            <w:pPr>
              <w:spacing w:before="60" w:after="60"/>
              <w:jc w:val="center"/>
              <w:rPr>
                <w:sz w:val="22"/>
                <w:szCs w:val="22"/>
              </w:rPr>
            </w:pPr>
            <w:r w:rsidRPr="00264D5D">
              <w:rPr>
                <w:sz w:val="22"/>
                <w:szCs w:val="22"/>
              </w:rPr>
              <w:t>Н</w:t>
            </w:r>
          </w:p>
        </w:tc>
        <w:tc>
          <w:tcPr>
            <w:tcW w:w="4030" w:type="dxa"/>
          </w:tcPr>
          <w:p w14:paraId="285D8A7E" w14:textId="77777777" w:rsidR="00AD1F54" w:rsidRPr="00264D5D" w:rsidRDefault="00941227">
            <w:pPr>
              <w:pStyle w:val="EBTablenorm"/>
              <w:ind w:left="57" w:right="57"/>
              <w:contextualSpacing w:val="0"/>
              <w:rPr>
                <w:sz w:val="22"/>
                <w:szCs w:val="22"/>
              </w:rPr>
            </w:pPr>
            <w:r w:rsidRPr="00264D5D">
              <w:rPr>
                <w:sz w:val="22"/>
                <w:szCs w:val="22"/>
              </w:rPr>
              <w:t>Блок подписи в формате XAdes. Указывается как рефренс, согласно формату подписи XAdes.</w:t>
            </w:r>
          </w:p>
          <w:p w14:paraId="2796C796" w14:textId="77777777" w:rsidR="00AD1F54" w:rsidRPr="00264D5D" w:rsidRDefault="00941227">
            <w:pPr>
              <w:pStyle w:val="EBTablenorm"/>
              <w:ind w:left="57" w:right="57"/>
              <w:contextualSpacing w:val="0"/>
              <w:rPr>
                <w:sz w:val="22"/>
                <w:szCs w:val="22"/>
              </w:rPr>
            </w:pPr>
            <w:r w:rsidRPr="00264D5D">
              <w:rPr>
                <w:sz w:val="22"/>
                <w:szCs w:val="22"/>
              </w:rPr>
              <w:t>Заполняется согласно п.3.5.3 Тома 1 настоящего альбома.</w:t>
            </w:r>
          </w:p>
          <w:p w14:paraId="5E7387BA" w14:textId="77777777" w:rsidR="00AD1F54" w:rsidRPr="00264D5D" w:rsidRDefault="00941227">
            <w:pPr>
              <w:pStyle w:val="EBTablenorm"/>
              <w:ind w:left="57" w:right="57"/>
              <w:contextualSpacing w:val="0"/>
              <w:rPr>
                <w:sz w:val="22"/>
                <w:szCs w:val="22"/>
              </w:rPr>
            </w:pPr>
            <w:r w:rsidRPr="00264D5D">
              <w:rPr>
                <w:sz w:val="22"/>
                <w:szCs w:val="22"/>
              </w:rPr>
              <w:t>Подпись проставляется для документов, передаваемых посредством сервисного взаимодействия с использ</w:t>
            </w:r>
            <w:r w:rsidR="005A204F" w:rsidRPr="00264D5D">
              <w:rPr>
                <w:sz w:val="22"/>
                <w:szCs w:val="22"/>
              </w:rPr>
              <w:t>ованием элемента exchangePacket</w:t>
            </w:r>
          </w:p>
        </w:tc>
      </w:tr>
    </w:tbl>
    <w:p w14:paraId="34051C0E" w14:textId="77777777" w:rsidR="00AD1F54" w:rsidRPr="00264D5D" w:rsidRDefault="00941227">
      <w:pPr>
        <w:pStyle w:val="22"/>
      </w:pPr>
      <w:bookmarkStart w:id="369" w:name="_Ref416167268"/>
      <w:bookmarkStart w:id="370" w:name="_Toc219309445"/>
      <w:r w:rsidRPr="00264D5D">
        <w:t>Описание заголовка пакета «packetHeader»</w:t>
      </w:r>
      <w:bookmarkEnd w:id="369"/>
      <w:bookmarkEnd w:id="370"/>
    </w:p>
    <w:p w14:paraId="43121064" w14:textId="77777777" w:rsidR="00AD1F54" w:rsidRPr="00264D5D" w:rsidRDefault="00941227">
      <w:pPr>
        <w:pStyle w:val="31"/>
      </w:pPr>
      <w:bookmarkStart w:id="371" w:name="_Toc411939539"/>
      <w:bookmarkStart w:id="372" w:name="_Toc411941213"/>
      <w:bookmarkStart w:id="373" w:name="_Toc411941961"/>
      <w:bookmarkStart w:id="374" w:name="_Toc411950443"/>
      <w:bookmarkStart w:id="375" w:name="_Toc412044900"/>
      <w:bookmarkStart w:id="376" w:name="_Toc412046690"/>
      <w:bookmarkStart w:id="377" w:name="_Toc414434201"/>
      <w:bookmarkStart w:id="378" w:name="_Toc415757403"/>
      <w:bookmarkStart w:id="379" w:name="_Toc415758063"/>
      <w:bookmarkStart w:id="380" w:name="_Toc415758209"/>
      <w:bookmarkStart w:id="381" w:name="_Toc416168771"/>
      <w:bookmarkStart w:id="382" w:name="_Toc416180755"/>
      <w:bookmarkStart w:id="383" w:name="_Toc416181003"/>
      <w:bookmarkStart w:id="384" w:name="_Toc416181125"/>
      <w:bookmarkStart w:id="385" w:name="_Toc416181245"/>
      <w:bookmarkStart w:id="386" w:name="_Toc416181366"/>
      <w:bookmarkStart w:id="387" w:name="_Toc416181633"/>
      <w:bookmarkStart w:id="388" w:name="_Toc416181754"/>
      <w:bookmarkStart w:id="389" w:name="_Toc411939542"/>
      <w:bookmarkStart w:id="390" w:name="_Toc411941216"/>
      <w:bookmarkStart w:id="391" w:name="_Toc411941964"/>
      <w:bookmarkStart w:id="392" w:name="_Toc411950446"/>
      <w:bookmarkStart w:id="393" w:name="_Toc412044903"/>
      <w:bookmarkStart w:id="394" w:name="_Toc412046693"/>
      <w:bookmarkStart w:id="395" w:name="_Toc414434204"/>
      <w:bookmarkStart w:id="396" w:name="_Toc415757406"/>
      <w:bookmarkStart w:id="397" w:name="_Toc415758066"/>
      <w:bookmarkStart w:id="398" w:name="_Toc415758212"/>
      <w:bookmarkStart w:id="399" w:name="_Toc416168774"/>
      <w:bookmarkStart w:id="400" w:name="_Toc416180758"/>
      <w:bookmarkStart w:id="401" w:name="_Toc416181006"/>
      <w:bookmarkStart w:id="402" w:name="_Toc416181128"/>
      <w:bookmarkStart w:id="403" w:name="_Toc416181248"/>
      <w:bookmarkStart w:id="404" w:name="_Toc416181369"/>
      <w:bookmarkStart w:id="405" w:name="_Toc416181636"/>
      <w:bookmarkStart w:id="406" w:name="_Toc416181757"/>
      <w:bookmarkStart w:id="407" w:name="_Toc416182091"/>
      <w:bookmarkStart w:id="408" w:name="_Toc416182206"/>
      <w:bookmarkStart w:id="409" w:name="_Toc416182323"/>
      <w:bookmarkStart w:id="410" w:name="_Toc416182474"/>
      <w:bookmarkStart w:id="411" w:name="_Toc416182591"/>
      <w:bookmarkStart w:id="412" w:name="_Ref416167374"/>
      <w:bookmarkStart w:id="413" w:name="_Ref416167378"/>
      <w:bookmarkStart w:id="414" w:name="_Ref416188005"/>
      <w:bookmarkStart w:id="415" w:name="_Toc219309446"/>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r w:rsidRPr="00264D5D">
        <w:t>Описание комплексного типа «tPacketHeader»</w:t>
      </w:r>
      <w:bookmarkEnd w:id="412"/>
      <w:bookmarkEnd w:id="413"/>
      <w:bookmarkEnd w:id="414"/>
      <w:bookmarkEnd w:id="415"/>
    </w:p>
    <w:p w14:paraId="270B94DC" w14:textId="03159409" w:rsidR="00AD1F54" w:rsidRPr="00264D5D" w:rsidRDefault="00941227">
      <w:pPr>
        <w:pStyle w:val="GOSTNameTable"/>
        <w:numPr>
          <w:ilvl w:val="0"/>
          <w:numId w:val="2"/>
        </w:numPr>
        <w:spacing w:before="60"/>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416" w:name="_Toc30503344"/>
      <w:bookmarkStart w:id="417" w:name="_Toc30507942"/>
      <w:bookmarkStart w:id="418" w:name="_Toc219309038"/>
      <w:r w:rsidR="008D797C">
        <w:rPr>
          <w:rFonts w:eastAsia="Calibri"/>
          <w:noProof/>
          <w:szCs w:val="24"/>
        </w:rPr>
        <w:t>8</w:t>
      </w:r>
      <w:r w:rsidRPr="00264D5D">
        <w:rPr>
          <w:rFonts w:eastAsia="Calibri"/>
          <w:szCs w:val="24"/>
        </w:rPr>
        <w:fldChar w:fldCharType="end"/>
      </w:r>
      <w:r w:rsidRPr="00264D5D">
        <w:rPr>
          <w:rFonts w:eastAsia="Calibri"/>
          <w:szCs w:val="24"/>
        </w:rPr>
        <w:t xml:space="preserve"> – Описание комплексного типа «tPacketHeader» заголовка пакета «packetHeader»</w:t>
      </w:r>
      <w:bookmarkEnd w:id="416"/>
      <w:bookmarkEnd w:id="417"/>
      <w:bookmarkEnd w:id="418"/>
    </w:p>
    <w:tbl>
      <w:tblPr>
        <w:tblStyle w:val="GOSTTable"/>
        <w:tblW w:w="5000" w:type="pct"/>
        <w:tblLayout w:type="fixed"/>
        <w:tblLook w:val="01E0" w:firstRow="1" w:lastRow="1" w:firstColumn="1" w:lastColumn="1" w:noHBand="0" w:noVBand="0"/>
      </w:tblPr>
      <w:tblGrid>
        <w:gridCol w:w="1703"/>
        <w:gridCol w:w="1704"/>
        <w:gridCol w:w="568"/>
        <w:gridCol w:w="1136"/>
        <w:gridCol w:w="568"/>
        <w:gridCol w:w="3971"/>
      </w:tblGrid>
      <w:tr w:rsidR="00AD1F54" w:rsidRPr="00264D5D" w14:paraId="580B38F2"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025A8F2C" w14:textId="77777777" w:rsidR="00AD1F54" w:rsidRPr="00264D5D" w:rsidRDefault="00941227">
            <w:pPr>
              <w:spacing w:before="60" w:after="60"/>
              <w:ind w:left="57" w:right="57"/>
              <w:jc w:val="center"/>
              <w:rPr>
                <w:b/>
                <w:sz w:val="22"/>
                <w:szCs w:val="22"/>
              </w:rPr>
            </w:pPr>
            <w:r w:rsidRPr="00264D5D">
              <w:rPr>
                <w:b/>
                <w:bCs/>
                <w:sz w:val="22"/>
                <w:szCs w:val="22"/>
              </w:rPr>
              <w:t>Наименование комплексного типа</w:t>
            </w:r>
          </w:p>
        </w:tc>
        <w:tc>
          <w:tcPr>
            <w:tcW w:w="1701" w:type="dxa"/>
          </w:tcPr>
          <w:p w14:paraId="673336E4" w14:textId="77777777" w:rsidR="00AD1F54" w:rsidRPr="00264D5D" w:rsidRDefault="00941227">
            <w:pPr>
              <w:spacing w:before="60" w:after="60"/>
              <w:ind w:left="57" w:right="57"/>
              <w:jc w:val="center"/>
              <w:rPr>
                <w:b/>
                <w:sz w:val="22"/>
                <w:szCs w:val="22"/>
              </w:rPr>
            </w:pPr>
            <w:r w:rsidRPr="00264D5D">
              <w:rPr>
                <w:b/>
                <w:bCs/>
                <w:sz w:val="22"/>
                <w:szCs w:val="22"/>
              </w:rPr>
              <w:t>Текущий элемент/ атрибут</w:t>
            </w:r>
          </w:p>
        </w:tc>
        <w:tc>
          <w:tcPr>
            <w:tcW w:w="567" w:type="dxa"/>
          </w:tcPr>
          <w:p w14:paraId="32CDB39B" w14:textId="77777777" w:rsidR="00AD1F54" w:rsidRPr="00264D5D" w:rsidRDefault="00941227">
            <w:pPr>
              <w:spacing w:before="60" w:after="60"/>
              <w:ind w:left="57" w:right="57"/>
              <w:jc w:val="center"/>
              <w:rPr>
                <w:b/>
                <w:sz w:val="22"/>
                <w:szCs w:val="22"/>
              </w:rPr>
            </w:pPr>
            <w:r w:rsidRPr="00264D5D">
              <w:rPr>
                <w:b/>
                <w:bCs/>
                <w:sz w:val="22"/>
                <w:szCs w:val="22"/>
              </w:rPr>
              <w:t>Тип</w:t>
            </w:r>
          </w:p>
        </w:tc>
        <w:tc>
          <w:tcPr>
            <w:tcW w:w="1134" w:type="dxa"/>
          </w:tcPr>
          <w:p w14:paraId="18700592" w14:textId="77777777" w:rsidR="00AD1F54" w:rsidRPr="00264D5D" w:rsidRDefault="00941227">
            <w:pPr>
              <w:spacing w:before="60" w:after="60"/>
              <w:ind w:left="57" w:right="57"/>
              <w:jc w:val="center"/>
              <w:rPr>
                <w:b/>
                <w:sz w:val="22"/>
                <w:szCs w:val="22"/>
              </w:rPr>
            </w:pPr>
            <w:r w:rsidRPr="00264D5D">
              <w:rPr>
                <w:b/>
                <w:bCs/>
                <w:sz w:val="22"/>
                <w:szCs w:val="22"/>
              </w:rPr>
              <w:t>Формат элемента</w:t>
            </w:r>
          </w:p>
        </w:tc>
        <w:tc>
          <w:tcPr>
            <w:tcW w:w="567" w:type="dxa"/>
          </w:tcPr>
          <w:p w14:paraId="1C9277BA" w14:textId="77777777" w:rsidR="00AD1F54" w:rsidRPr="00264D5D" w:rsidRDefault="00941227">
            <w:pPr>
              <w:spacing w:before="60" w:after="60"/>
              <w:ind w:left="57" w:right="57"/>
              <w:jc w:val="center"/>
              <w:rPr>
                <w:b/>
                <w:sz w:val="22"/>
                <w:szCs w:val="22"/>
              </w:rPr>
            </w:pPr>
            <w:r w:rsidRPr="00264D5D">
              <w:rPr>
                <w:b/>
                <w:bCs/>
                <w:sz w:val="22"/>
                <w:szCs w:val="22"/>
              </w:rPr>
              <w:t>Обязательность</w:t>
            </w:r>
          </w:p>
        </w:tc>
        <w:tc>
          <w:tcPr>
            <w:tcW w:w="3964" w:type="dxa"/>
          </w:tcPr>
          <w:p w14:paraId="3A07CB33" w14:textId="77777777" w:rsidR="00AD1F54" w:rsidRPr="00264D5D" w:rsidRDefault="00941227">
            <w:pPr>
              <w:spacing w:before="60" w:after="60"/>
              <w:ind w:left="57" w:right="57"/>
              <w:jc w:val="center"/>
              <w:rPr>
                <w:b/>
                <w:sz w:val="22"/>
                <w:szCs w:val="22"/>
              </w:rPr>
            </w:pPr>
            <w:r w:rsidRPr="00264D5D">
              <w:rPr>
                <w:b/>
                <w:bCs/>
                <w:sz w:val="22"/>
                <w:szCs w:val="22"/>
              </w:rPr>
              <w:t>Дополнительная информация</w:t>
            </w:r>
          </w:p>
        </w:tc>
      </w:tr>
      <w:tr w:rsidR="00AD1F54" w:rsidRPr="00264D5D" w14:paraId="7E7BADDA"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1947873" w14:textId="77777777" w:rsidR="00AD1F54" w:rsidRPr="00264D5D" w:rsidRDefault="00941227">
            <w:pPr>
              <w:spacing w:before="60" w:after="60"/>
              <w:rPr>
                <w:sz w:val="22"/>
                <w:szCs w:val="22"/>
              </w:rPr>
            </w:pPr>
            <w:r w:rsidRPr="00264D5D">
              <w:rPr>
                <w:rFonts w:cs="Arial"/>
                <w:sz w:val="22"/>
                <w:szCs w:val="22"/>
                <w:lang w:val="en-US"/>
              </w:rPr>
              <w:lastRenderedPageBreak/>
              <w:t>tPacketHeader</w:t>
            </w:r>
          </w:p>
        </w:tc>
        <w:tc>
          <w:tcPr>
            <w:tcW w:w="1701" w:type="dxa"/>
          </w:tcPr>
          <w:p w14:paraId="77DDBA20" w14:textId="77777777" w:rsidR="00AD1F54" w:rsidRPr="00264D5D" w:rsidRDefault="00941227">
            <w:pPr>
              <w:spacing w:before="60" w:after="60"/>
              <w:rPr>
                <w:sz w:val="22"/>
                <w:szCs w:val="22"/>
                <w:lang w:val="en-US"/>
              </w:rPr>
            </w:pPr>
            <w:r w:rsidRPr="00264D5D">
              <w:rPr>
                <w:sz w:val="22"/>
                <w:szCs w:val="22"/>
                <w:lang w:val="en-US"/>
              </w:rPr>
              <w:t>serviceInfo</w:t>
            </w:r>
          </w:p>
        </w:tc>
        <w:tc>
          <w:tcPr>
            <w:tcW w:w="567" w:type="dxa"/>
          </w:tcPr>
          <w:p w14:paraId="103A627A" w14:textId="77777777" w:rsidR="00AD1F54" w:rsidRPr="00264D5D" w:rsidRDefault="00941227">
            <w:pPr>
              <w:spacing w:before="60" w:after="60"/>
              <w:jc w:val="center"/>
              <w:rPr>
                <w:sz w:val="22"/>
                <w:szCs w:val="22"/>
              </w:rPr>
            </w:pPr>
            <w:r w:rsidRPr="00264D5D">
              <w:rPr>
                <w:sz w:val="22"/>
                <w:szCs w:val="22"/>
                <w:lang w:val="en-US"/>
              </w:rPr>
              <w:t>С</w:t>
            </w:r>
          </w:p>
        </w:tc>
        <w:tc>
          <w:tcPr>
            <w:tcW w:w="1134" w:type="dxa"/>
          </w:tcPr>
          <w:p w14:paraId="2AE097BF" w14:textId="77777777" w:rsidR="00AD1F54" w:rsidRPr="00264D5D" w:rsidRDefault="00941227">
            <w:pPr>
              <w:spacing w:before="60" w:after="60"/>
              <w:rPr>
                <w:sz w:val="22"/>
                <w:szCs w:val="22"/>
              </w:rPr>
            </w:pPr>
            <w:r w:rsidRPr="00264D5D">
              <w:rPr>
                <w:sz w:val="22"/>
                <w:szCs w:val="22"/>
                <w:lang w:val="en-US"/>
              </w:rPr>
              <w:t>tServiceInfo</w:t>
            </w:r>
          </w:p>
        </w:tc>
        <w:tc>
          <w:tcPr>
            <w:tcW w:w="567" w:type="dxa"/>
          </w:tcPr>
          <w:p w14:paraId="052A416C" w14:textId="77777777" w:rsidR="00AD1F54" w:rsidRPr="00264D5D" w:rsidRDefault="00941227">
            <w:pPr>
              <w:spacing w:before="60" w:after="60"/>
              <w:jc w:val="center"/>
              <w:rPr>
                <w:sz w:val="22"/>
                <w:szCs w:val="22"/>
              </w:rPr>
            </w:pPr>
            <w:r w:rsidRPr="00264D5D">
              <w:rPr>
                <w:sz w:val="22"/>
                <w:szCs w:val="22"/>
              </w:rPr>
              <w:t>О</w:t>
            </w:r>
          </w:p>
        </w:tc>
        <w:tc>
          <w:tcPr>
            <w:tcW w:w="3964" w:type="dxa"/>
          </w:tcPr>
          <w:p w14:paraId="411C8734" w14:textId="4C82F293" w:rsidR="00AD1F54" w:rsidRPr="00264D5D" w:rsidRDefault="00941227">
            <w:pPr>
              <w:spacing w:before="60" w:after="60"/>
              <w:rPr>
                <w:sz w:val="22"/>
                <w:szCs w:val="22"/>
              </w:rPr>
            </w:pPr>
            <w:r w:rsidRPr="00264D5D">
              <w:rPr>
                <w:sz w:val="22"/>
                <w:szCs w:val="22"/>
              </w:rPr>
              <w:t xml:space="preserve">Сервисная информация представлена в разделе </w:t>
            </w:r>
            <w:r w:rsidRPr="00264D5D">
              <w:rPr>
                <w:sz w:val="22"/>
                <w:szCs w:val="22"/>
              </w:rPr>
              <w:fldChar w:fldCharType="begin"/>
            </w:r>
            <w:r w:rsidRPr="00264D5D">
              <w:rPr>
                <w:sz w:val="22"/>
                <w:szCs w:val="22"/>
              </w:rPr>
              <w:instrText xml:space="preserve"> REF _Ref416167546 \r \h  \* MERGEFORMAT </w:instrText>
            </w:r>
            <w:r w:rsidRPr="00264D5D">
              <w:rPr>
                <w:sz w:val="22"/>
                <w:szCs w:val="22"/>
              </w:rPr>
            </w:r>
            <w:r w:rsidRPr="00264D5D">
              <w:rPr>
                <w:sz w:val="22"/>
                <w:szCs w:val="22"/>
              </w:rPr>
              <w:fldChar w:fldCharType="separate"/>
            </w:r>
            <w:r w:rsidR="008D797C">
              <w:rPr>
                <w:sz w:val="22"/>
                <w:szCs w:val="22"/>
              </w:rPr>
              <w:t>5.4.2</w:t>
            </w:r>
            <w:r w:rsidRPr="00264D5D">
              <w:rPr>
                <w:sz w:val="22"/>
                <w:szCs w:val="22"/>
              </w:rPr>
              <w:fldChar w:fldCharType="end"/>
            </w:r>
          </w:p>
        </w:tc>
      </w:tr>
      <w:tr w:rsidR="00AD1F54" w:rsidRPr="00264D5D" w14:paraId="29AEAC94"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69C98DD6" w14:textId="77777777" w:rsidR="00AD1F54" w:rsidRPr="00264D5D" w:rsidRDefault="00941227">
            <w:pPr>
              <w:spacing w:before="60" w:after="60"/>
              <w:rPr>
                <w:sz w:val="22"/>
                <w:szCs w:val="22"/>
              </w:rPr>
            </w:pPr>
            <w:r w:rsidRPr="00264D5D">
              <w:rPr>
                <w:rFonts w:cs="Arial"/>
                <w:sz w:val="22"/>
                <w:szCs w:val="22"/>
                <w:lang w:val="en-US"/>
              </w:rPr>
              <w:t>tPacketHeader</w:t>
            </w:r>
          </w:p>
        </w:tc>
        <w:tc>
          <w:tcPr>
            <w:tcW w:w="1701" w:type="dxa"/>
          </w:tcPr>
          <w:p w14:paraId="74533E81" w14:textId="77777777" w:rsidR="00AD1F54" w:rsidRPr="00264D5D" w:rsidRDefault="00941227">
            <w:pPr>
              <w:spacing w:before="60" w:after="60"/>
              <w:rPr>
                <w:sz w:val="22"/>
                <w:szCs w:val="22"/>
              </w:rPr>
            </w:pPr>
            <w:r w:rsidRPr="00264D5D">
              <w:rPr>
                <w:sz w:val="22"/>
                <w:szCs w:val="22"/>
                <w:lang w:val="en-US"/>
              </w:rPr>
              <w:t>senderParty</w:t>
            </w:r>
          </w:p>
        </w:tc>
        <w:tc>
          <w:tcPr>
            <w:tcW w:w="567" w:type="dxa"/>
          </w:tcPr>
          <w:p w14:paraId="3891CD0E" w14:textId="77777777" w:rsidR="00AD1F54" w:rsidRPr="00264D5D" w:rsidRDefault="00941227">
            <w:pPr>
              <w:spacing w:before="60" w:after="60"/>
              <w:jc w:val="center"/>
              <w:rPr>
                <w:sz w:val="22"/>
                <w:szCs w:val="22"/>
              </w:rPr>
            </w:pPr>
            <w:r w:rsidRPr="00264D5D">
              <w:rPr>
                <w:sz w:val="22"/>
                <w:szCs w:val="22"/>
                <w:lang w:val="en-US"/>
              </w:rPr>
              <w:t>С</w:t>
            </w:r>
          </w:p>
        </w:tc>
        <w:tc>
          <w:tcPr>
            <w:tcW w:w="1134" w:type="dxa"/>
          </w:tcPr>
          <w:p w14:paraId="4C746508" w14:textId="77777777" w:rsidR="00AD1F54" w:rsidRPr="00264D5D" w:rsidRDefault="00941227">
            <w:pPr>
              <w:spacing w:before="60" w:after="60"/>
              <w:rPr>
                <w:sz w:val="22"/>
                <w:szCs w:val="22"/>
              </w:rPr>
            </w:pPr>
            <w:r w:rsidRPr="00264D5D">
              <w:rPr>
                <w:color w:val="000000"/>
                <w:sz w:val="22"/>
                <w:szCs w:val="22"/>
              </w:rPr>
              <w:t>tPartyIdentifier</w:t>
            </w:r>
          </w:p>
        </w:tc>
        <w:tc>
          <w:tcPr>
            <w:tcW w:w="567" w:type="dxa"/>
          </w:tcPr>
          <w:p w14:paraId="2854C0AB" w14:textId="77777777" w:rsidR="00AD1F54" w:rsidRPr="00264D5D" w:rsidRDefault="00941227">
            <w:pPr>
              <w:spacing w:before="60" w:after="60"/>
              <w:jc w:val="center"/>
              <w:rPr>
                <w:sz w:val="22"/>
                <w:szCs w:val="22"/>
              </w:rPr>
            </w:pPr>
            <w:r w:rsidRPr="00264D5D">
              <w:rPr>
                <w:sz w:val="22"/>
                <w:szCs w:val="22"/>
              </w:rPr>
              <w:t>О</w:t>
            </w:r>
          </w:p>
        </w:tc>
        <w:tc>
          <w:tcPr>
            <w:tcW w:w="3964" w:type="dxa"/>
          </w:tcPr>
          <w:p w14:paraId="56703504" w14:textId="74D7F635" w:rsidR="00AD1F54" w:rsidRPr="00264D5D" w:rsidRDefault="00941227">
            <w:pPr>
              <w:spacing w:before="60" w:after="60"/>
              <w:rPr>
                <w:sz w:val="22"/>
                <w:szCs w:val="22"/>
              </w:rPr>
            </w:pPr>
            <w:r w:rsidRPr="00264D5D">
              <w:rPr>
                <w:sz w:val="22"/>
                <w:szCs w:val="22"/>
              </w:rPr>
              <w:t xml:space="preserve">Идентификатор отправителя документа. Должен присутствовать только один из блоков комплексного типа </w:t>
            </w:r>
            <w:r w:rsidRPr="00264D5D">
              <w:rPr>
                <w:color w:val="000000"/>
                <w:sz w:val="22"/>
                <w:szCs w:val="22"/>
              </w:rPr>
              <w:t>tPartyIdentifier</w:t>
            </w:r>
            <w:r w:rsidRPr="00264D5D">
              <w:rPr>
                <w:sz w:val="22"/>
                <w:szCs w:val="22"/>
              </w:rPr>
              <w:t xml:space="preserve">, описанный в разделе </w:t>
            </w:r>
            <w:r w:rsidRPr="00264D5D">
              <w:rPr>
                <w:sz w:val="22"/>
                <w:szCs w:val="22"/>
              </w:rPr>
              <w:fldChar w:fldCharType="begin"/>
            </w:r>
            <w:r w:rsidRPr="00264D5D">
              <w:rPr>
                <w:sz w:val="22"/>
                <w:szCs w:val="22"/>
              </w:rPr>
              <w:instrText xml:space="preserve"> REF _Ref416167679 \r \h  \* MERGEFORMAT </w:instrText>
            </w:r>
            <w:r w:rsidRPr="00264D5D">
              <w:rPr>
                <w:sz w:val="22"/>
                <w:szCs w:val="22"/>
              </w:rPr>
            </w:r>
            <w:r w:rsidRPr="00264D5D">
              <w:rPr>
                <w:sz w:val="22"/>
                <w:szCs w:val="22"/>
              </w:rPr>
              <w:fldChar w:fldCharType="separate"/>
            </w:r>
            <w:r w:rsidR="008D797C">
              <w:rPr>
                <w:sz w:val="22"/>
                <w:szCs w:val="22"/>
              </w:rPr>
              <w:t>5.4.3</w:t>
            </w:r>
            <w:r w:rsidRPr="00264D5D">
              <w:rPr>
                <w:sz w:val="22"/>
                <w:szCs w:val="22"/>
              </w:rPr>
              <w:fldChar w:fldCharType="end"/>
            </w:r>
          </w:p>
        </w:tc>
      </w:tr>
      <w:tr w:rsidR="00AD1F54" w:rsidRPr="00264D5D" w14:paraId="241C695A"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D1F603D" w14:textId="77777777" w:rsidR="00AD1F54" w:rsidRPr="00264D5D" w:rsidRDefault="00941227">
            <w:pPr>
              <w:pStyle w:val="EBTablenorm"/>
              <w:ind w:left="57" w:right="57"/>
              <w:contextualSpacing w:val="0"/>
              <w:jc w:val="left"/>
              <w:rPr>
                <w:sz w:val="22"/>
                <w:szCs w:val="22"/>
              </w:rPr>
            </w:pPr>
            <w:r w:rsidRPr="00264D5D">
              <w:rPr>
                <w:rFonts w:cs="Arial"/>
                <w:sz w:val="22"/>
                <w:szCs w:val="22"/>
                <w:lang w:val="en-US"/>
              </w:rPr>
              <w:t>tPacketHeader</w:t>
            </w:r>
          </w:p>
        </w:tc>
        <w:tc>
          <w:tcPr>
            <w:tcW w:w="1701" w:type="dxa"/>
          </w:tcPr>
          <w:p w14:paraId="27BBE006" w14:textId="77777777" w:rsidR="00AD1F54" w:rsidRPr="00264D5D" w:rsidRDefault="00941227">
            <w:pPr>
              <w:pStyle w:val="EBTablenorm"/>
              <w:ind w:left="57" w:right="57"/>
              <w:contextualSpacing w:val="0"/>
              <w:jc w:val="left"/>
              <w:rPr>
                <w:sz w:val="22"/>
                <w:szCs w:val="22"/>
              </w:rPr>
            </w:pPr>
            <w:r w:rsidRPr="00264D5D">
              <w:rPr>
                <w:sz w:val="22"/>
                <w:szCs w:val="22"/>
                <w:lang w:val="en-US"/>
              </w:rPr>
              <w:t>receiverParty</w:t>
            </w:r>
          </w:p>
        </w:tc>
        <w:tc>
          <w:tcPr>
            <w:tcW w:w="567" w:type="dxa"/>
          </w:tcPr>
          <w:p w14:paraId="6D8E142D" w14:textId="77777777" w:rsidR="00AD1F54" w:rsidRPr="00264D5D" w:rsidRDefault="00941227">
            <w:pPr>
              <w:spacing w:before="60" w:after="60"/>
              <w:jc w:val="center"/>
              <w:rPr>
                <w:sz w:val="22"/>
                <w:szCs w:val="22"/>
              </w:rPr>
            </w:pPr>
            <w:r w:rsidRPr="00264D5D">
              <w:rPr>
                <w:sz w:val="22"/>
                <w:szCs w:val="22"/>
                <w:lang w:val="en-US"/>
              </w:rPr>
              <w:t>С</w:t>
            </w:r>
          </w:p>
        </w:tc>
        <w:tc>
          <w:tcPr>
            <w:tcW w:w="1134" w:type="dxa"/>
          </w:tcPr>
          <w:p w14:paraId="7EA905EB" w14:textId="77777777" w:rsidR="00AD1F54" w:rsidRPr="00264D5D" w:rsidRDefault="00941227">
            <w:pPr>
              <w:spacing w:before="60" w:after="60"/>
              <w:jc w:val="left"/>
              <w:rPr>
                <w:rFonts w:eastAsia="Calibri"/>
                <w:sz w:val="22"/>
                <w:szCs w:val="22"/>
              </w:rPr>
            </w:pPr>
            <w:r w:rsidRPr="00264D5D">
              <w:rPr>
                <w:color w:val="000000"/>
                <w:sz w:val="22"/>
                <w:szCs w:val="22"/>
              </w:rPr>
              <w:t>tPartyIdentifier</w:t>
            </w:r>
          </w:p>
        </w:tc>
        <w:tc>
          <w:tcPr>
            <w:tcW w:w="567" w:type="dxa"/>
          </w:tcPr>
          <w:p w14:paraId="35550713" w14:textId="77777777" w:rsidR="00AD1F54" w:rsidRPr="00264D5D" w:rsidRDefault="00941227">
            <w:pPr>
              <w:spacing w:before="60" w:after="60"/>
              <w:jc w:val="center"/>
              <w:rPr>
                <w:sz w:val="22"/>
                <w:szCs w:val="22"/>
              </w:rPr>
            </w:pPr>
            <w:r w:rsidRPr="00264D5D">
              <w:rPr>
                <w:sz w:val="22"/>
                <w:szCs w:val="22"/>
              </w:rPr>
              <w:t>О</w:t>
            </w:r>
          </w:p>
        </w:tc>
        <w:tc>
          <w:tcPr>
            <w:tcW w:w="3964" w:type="dxa"/>
          </w:tcPr>
          <w:p w14:paraId="19FD43BD" w14:textId="41753DE1" w:rsidR="00AD1F54" w:rsidRPr="00264D5D" w:rsidRDefault="00941227">
            <w:pPr>
              <w:pStyle w:val="EBTablenorm"/>
              <w:ind w:left="57" w:right="57"/>
              <w:contextualSpacing w:val="0"/>
              <w:rPr>
                <w:sz w:val="22"/>
                <w:szCs w:val="22"/>
              </w:rPr>
            </w:pPr>
            <w:r w:rsidRPr="00264D5D">
              <w:rPr>
                <w:sz w:val="22"/>
                <w:szCs w:val="22"/>
              </w:rPr>
              <w:t xml:space="preserve">Идентификатор получателя документа. Должен присутствовать только один из блоков комплексного типа </w:t>
            </w:r>
            <w:r w:rsidRPr="00264D5D">
              <w:rPr>
                <w:color w:val="000000"/>
                <w:sz w:val="22"/>
                <w:szCs w:val="22"/>
              </w:rPr>
              <w:t>tPartyIdentifier</w:t>
            </w:r>
            <w:r w:rsidRPr="00264D5D">
              <w:rPr>
                <w:sz w:val="22"/>
                <w:szCs w:val="22"/>
              </w:rPr>
              <w:t xml:space="preserve">, описанный в разделе </w:t>
            </w:r>
            <w:r w:rsidRPr="00264D5D">
              <w:rPr>
                <w:sz w:val="22"/>
                <w:szCs w:val="22"/>
              </w:rPr>
              <w:fldChar w:fldCharType="begin"/>
            </w:r>
            <w:r w:rsidRPr="00264D5D">
              <w:rPr>
                <w:sz w:val="22"/>
                <w:szCs w:val="22"/>
              </w:rPr>
              <w:instrText xml:space="preserve"> REF _Ref416167679 \r \h  \* MERGEFORMAT </w:instrText>
            </w:r>
            <w:r w:rsidRPr="00264D5D">
              <w:rPr>
                <w:sz w:val="22"/>
                <w:szCs w:val="22"/>
              </w:rPr>
            </w:r>
            <w:r w:rsidRPr="00264D5D">
              <w:rPr>
                <w:sz w:val="22"/>
                <w:szCs w:val="22"/>
              </w:rPr>
              <w:fldChar w:fldCharType="separate"/>
            </w:r>
            <w:r w:rsidR="008D797C">
              <w:rPr>
                <w:sz w:val="22"/>
                <w:szCs w:val="22"/>
              </w:rPr>
              <w:t>5.4.3</w:t>
            </w:r>
            <w:r w:rsidRPr="00264D5D">
              <w:rPr>
                <w:sz w:val="22"/>
                <w:szCs w:val="22"/>
              </w:rPr>
              <w:fldChar w:fldCharType="end"/>
            </w:r>
          </w:p>
        </w:tc>
      </w:tr>
    </w:tbl>
    <w:p w14:paraId="7102644E" w14:textId="77777777" w:rsidR="00AD1F54" w:rsidRPr="00264D5D" w:rsidRDefault="00941227">
      <w:pPr>
        <w:pStyle w:val="31"/>
      </w:pPr>
      <w:bookmarkStart w:id="419" w:name="_Ref416167546"/>
      <w:bookmarkStart w:id="420" w:name="_Toc219309447"/>
      <w:r w:rsidRPr="00264D5D">
        <w:t>Описание комплексного типа «tServiceInfo»</w:t>
      </w:r>
      <w:bookmarkEnd w:id="419"/>
      <w:bookmarkEnd w:id="420"/>
    </w:p>
    <w:p w14:paraId="03CEF089" w14:textId="02FD02DF" w:rsidR="00AD1F54" w:rsidRPr="00264D5D" w:rsidRDefault="00941227">
      <w:pPr>
        <w:pStyle w:val="GOSTNameTable"/>
        <w:numPr>
          <w:ilvl w:val="0"/>
          <w:numId w:val="2"/>
        </w:numPr>
        <w:spacing w:before="60"/>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421" w:name="_Toc30503345"/>
      <w:bookmarkStart w:id="422" w:name="_Toc30507943"/>
      <w:bookmarkStart w:id="423" w:name="_Toc219309039"/>
      <w:r w:rsidR="008D797C">
        <w:rPr>
          <w:rFonts w:eastAsia="Calibri"/>
          <w:noProof/>
          <w:szCs w:val="24"/>
        </w:rPr>
        <w:t>9</w:t>
      </w:r>
      <w:r w:rsidRPr="00264D5D">
        <w:rPr>
          <w:rFonts w:eastAsia="Calibri"/>
          <w:szCs w:val="24"/>
        </w:rPr>
        <w:fldChar w:fldCharType="end"/>
      </w:r>
      <w:r w:rsidRPr="00264D5D">
        <w:rPr>
          <w:rFonts w:eastAsia="Calibri"/>
          <w:szCs w:val="24"/>
        </w:rPr>
        <w:t xml:space="preserve"> – Описание комплексного типа «tServiceInfo» блока сервисной информации «ServiceInfo»</w:t>
      </w:r>
      <w:bookmarkEnd w:id="421"/>
      <w:bookmarkEnd w:id="422"/>
      <w:bookmarkEnd w:id="423"/>
      <w:r w:rsidRPr="00264D5D">
        <w:rPr>
          <w:rFonts w:eastAsia="Calibri"/>
          <w:szCs w:val="24"/>
        </w:rPr>
        <w:t xml:space="preserve"> </w:t>
      </w:r>
    </w:p>
    <w:tbl>
      <w:tblPr>
        <w:tblStyle w:val="GOSTTable"/>
        <w:tblW w:w="5000" w:type="pct"/>
        <w:tblLayout w:type="fixed"/>
        <w:tblLook w:val="01E0" w:firstRow="1" w:lastRow="1" w:firstColumn="1" w:lastColumn="1" w:noHBand="0" w:noVBand="0"/>
      </w:tblPr>
      <w:tblGrid>
        <w:gridCol w:w="1703"/>
        <w:gridCol w:w="1704"/>
        <w:gridCol w:w="568"/>
        <w:gridCol w:w="1136"/>
        <w:gridCol w:w="568"/>
        <w:gridCol w:w="3971"/>
      </w:tblGrid>
      <w:tr w:rsidR="00AD1F54" w:rsidRPr="00264D5D" w14:paraId="21F8C842"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34EE7656" w14:textId="77777777" w:rsidR="00AD1F54" w:rsidRPr="00264D5D" w:rsidRDefault="00941227">
            <w:pPr>
              <w:spacing w:before="60" w:after="60"/>
              <w:ind w:left="57" w:right="57"/>
              <w:jc w:val="center"/>
              <w:rPr>
                <w:b/>
                <w:sz w:val="22"/>
                <w:szCs w:val="22"/>
              </w:rPr>
            </w:pPr>
            <w:r w:rsidRPr="00264D5D">
              <w:rPr>
                <w:b/>
                <w:bCs/>
                <w:sz w:val="22"/>
                <w:szCs w:val="22"/>
              </w:rPr>
              <w:t>Наименование комплексного типа</w:t>
            </w:r>
          </w:p>
        </w:tc>
        <w:tc>
          <w:tcPr>
            <w:tcW w:w="1701" w:type="dxa"/>
          </w:tcPr>
          <w:p w14:paraId="3B3E8E6B" w14:textId="77777777" w:rsidR="00AD1F54" w:rsidRPr="00264D5D" w:rsidRDefault="00941227">
            <w:pPr>
              <w:spacing w:before="60" w:after="60"/>
              <w:ind w:left="57" w:right="57"/>
              <w:jc w:val="center"/>
              <w:rPr>
                <w:b/>
                <w:sz w:val="22"/>
                <w:szCs w:val="22"/>
              </w:rPr>
            </w:pPr>
            <w:r w:rsidRPr="00264D5D">
              <w:rPr>
                <w:b/>
                <w:bCs/>
                <w:sz w:val="22"/>
                <w:szCs w:val="22"/>
              </w:rPr>
              <w:t>Текущий элемент/ атрибут</w:t>
            </w:r>
          </w:p>
        </w:tc>
        <w:tc>
          <w:tcPr>
            <w:tcW w:w="567" w:type="dxa"/>
          </w:tcPr>
          <w:p w14:paraId="69EA7C28" w14:textId="77777777" w:rsidR="00AD1F54" w:rsidRPr="00264D5D" w:rsidRDefault="00941227">
            <w:pPr>
              <w:spacing w:before="60" w:after="60"/>
              <w:ind w:left="57" w:right="57"/>
              <w:jc w:val="center"/>
              <w:rPr>
                <w:b/>
                <w:sz w:val="22"/>
                <w:szCs w:val="22"/>
              </w:rPr>
            </w:pPr>
            <w:r w:rsidRPr="00264D5D">
              <w:rPr>
                <w:b/>
                <w:bCs/>
                <w:sz w:val="22"/>
                <w:szCs w:val="22"/>
              </w:rPr>
              <w:t>Тип</w:t>
            </w:r>
          </w:p>
        </w:tc>
        <w:tc>
          <w:tcPr>
            <w:tcW w:w="1134" w:type="dxa"/>
          </w:tcPr>
          <w:p w14:paraId="63A9E9D7" w14:textId="77777777" w:rsidR="00AD1F54" w:rsidRPr="00264D5D" w:rsidRDefault="00941227">
            <w:pPr>
              <w:spacing w:before="60" w:after="60"/>
              <w:ind w:left="57" w:right="57"/>
              <w:jc w:val="center"/>
              <w:rPr>
                <w:b/>
                <w:sz w:val="22"/>
                <w:szCs w:val="22"/>
              </w:rPr>
            </w:pPr>
            <w:r w:rsidRPr="00264D5D">
              <w:rPr>
                <w:b/>
                <w:bCs/>
                <w:sz w:val="22"/>
                <w:szCs w:val="22"/>
              </w:rPr>
              <w:t>Формат элемента</w:t>
            </w:r>
          </w:p>
        </w:tc>
        <w:tc>
          <w:tcPr>
            <w:tcW w:w="567" w:type="dxa"/>
          </w:tcPr>
          <w:p w14:paraId="087CB8BF" w14:textId="77777777" w:rsidR="00AD1F54" w:rsidRPr="00264D5D" w:rsidRDefault="00941227">
            <w:pPr>
              <w:spacing w:before="60" w:after="60"/>
              <w:ind w:left="57" w:right="57"/>
              <w:jc w:val="center"/>
              <w:rPr>
                <w:b/>
                <w:sz w:val="22"/>
                <w:szCs w:val="22"/>
              </w:rPr>
            </w:pPr>
            <w:r w:rsidRPr="00264D5D">
              <w:rPr>
                <w:b/>
                <w:bCs/>
                <w:sz w:val="22"/>
                <w:szCs w:val="22"/>
              </w:rPr>
              <w:t>Обязательность</w:t>
            </w:r>
          </w:p>
        </w:tc>
        <w:tc>
          <w:tcPr>
            <w:tcW w:w="3964" w:type="dxa"/>
          </w:tcPr>
          <w:p w14:paraId="33C8307C" w14:textId="77777777" w:rsidR="00AD1F54" w:rsidRPr="00264D5D" w:rsidRDefault="00941227">
            <w:pPr>
              <w:spacing w:before="60" w:after="60"/>
              <w:ind w:left="57" w:right="57"/>
              <w:jc w:val="center"/>
              <w:rPr>
                <w:b/>
                <w:sz w:val="22"/>
                <w:szCs w:val="22"/>
              </w:rPr>
            </w:pPr>
            <w:r w:rsidRPr="00264D5D">
              <w:rPr>
                <w:b/>
                <w:bCs/>
                <w:sz w:val="22"/>
                <w:szCs w:val="22"/>
              </w:rPr>
              <w:t>Дополнительная информация</w:t>
            </w:r>
          </w:p>
        </w:tc>
      </w:tr>
      <w:tr w:rsidR="00AD1F54" w:rsidRPr="00264D5D" w14:paraId="30248440"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0276331" w14:textId="77777777" w:rsidR="00AD1F54" w:rsidRPr="00264D5D" w:rsidRDefault="00941227">
            <w:pPr>
              <w:spacing w:before="60" w:after="60"/>
              <w:rPr>
                <w:sz w:val="22"/>
                <w:szCs w:val="22"/>
              </w:rPr>
            </w:pPr>
            <w:r w:rsidRPr="00264D5D">
              <w:rPr>
                <w:sz w:val="22"/>
                <w:szCs w:val="22"/>
                <w:lang w:val="en-US"/>
              </w:rPr>
              <w:t>tServiceInfo</w:t>
            </w:r>
          </w:p>
        </w:tc>
        <w:tc>
          <w:tcPr>
            <w:tcW w:w="1701" w:type="dxa"/>
          </w:tcPr>
          <w:p w14:paraId="6215391F" w14:textId="77777777" w:rsidR="00AD1F54" w:rsidRPr="00264D5D" w:rsidRDefault="00941227">
            <w:pPr>
              <w:spacing w:before="60" w:after="60"/>
              <w:rPr>
                <w:sz w:val="22"/>
                <w:szCs w:val="22"/>
                <w:lang w:val="en-US"/>
              </w:rPr>
            </w:pPr>
            <w:r w:rsidRPr="00264D5D">
              <w:rPr>
                <w:sz w:val="22"/>
                <w:szCs w:val="22"/>
                <w:lang w:val="en-US"/>
              </w:rPr>
              <w:t>creationDateTime</w:t>
            </w:r>
          </w:p>
        </w:tc>
        <w:tc>
          <w:tcPr>
            <w:tcW w:w="567" w:type="dxa"/>
          </w:tcPr>
          <w:p w14:paraId="633D50CC" w14:textId="77777777" w:rsidR="00AD1F54" w:rsidRPr="00264D5D" w:rsidRDefault="00941227">
            <w:pPr>
              <w:spacing w:before="60" w:after="60"/>
              <w:jc w:val="center"/>
              <w:rPr>
                <w:sz w:val="22"/>
                <w:szCs w:val="22"/>
              </w:rPr>
            </w:pPr>
            <w:r w:rsidRPr="00264D5D">
              <w:rPr>
                <w:sz w:val="22"/>
                <w:szCs w:val="22"/>
                <w:lang w:val="en-US"/>
              </w:rPr>
              <w:t>П</w:t>
            </w:r>
          </w:p>
        </w:tc>
        <w:tc>
          <w:tcPr>
            <w:tcW w:w="1134" w:type="dxa"/>
          </w:tcPr>
          <w:p w14:paraId="42518996" w14:textId="77777777" w:rsidR="00AD1F54" w:rsidRPr="00264D5D" w:rsidRDefault="00941227">
            <w:pPr>
              <w:spacing w:before="60" w:after="60"/>
              <w:rPr>
                <w:sz w:val="22"/>
                <w:szCs w:val="22"/>
              </w:rPr>
            </w:pPr>
            <w:r w:rsidRPr="00264D5D">
              <w:rPr>
                <w:sz w:val="22"/>
                <w:szCs w:val="22"/>
                <w:lang w:val="en-US"/>
              </w:rPr>
              <w:t>DateTime</w:t>
            </w:r>
          </w:p>
        </w:tc>
        <w:tc>
          <w:tcPr>
            <w:tcW w:w="567" w:type="dxa"/>
          </w:tcPr>
          <w:p w14:paraId="4D181369" w14:textId="77777777" w:rsidR="00AD1F54" w:rsidRPr="00264D5D" w:rsidRDefault="00941227">
            <w:pPr>
              <w:spacing w:before="60" w:after="60"/>
              <w:jc w:val="center"/>
              <w:rPr>
                <w:sz w:val="22"/>
                <w:szCs w:val="22"/>
              </w:rPr>
            </w:pPr>
            <w:r w:rsidRPr="00264D5D">
              <w:rPr>
                <w:sz w:val="22"/>
                <w:szCs w:val="22"/>
              </w:rPr>
              <w:t>О</w:t>
            </w:r>
          </w:p>
        </w:tc>
        <w:tc>
          <w:tcPr>
            <w:tcW w:w="3964" w:type="dxa"/>
          </w:tcPr>
          <w:p w14:paraId="2FAD8DC5" w14:textId="77777777" w:rsidR="00AD1F54" w:rsidRPr="00264D5D" w:rsidRDefault="00941227">
            <w:pPr>
              <w:spacing w:before="60" w:after="60"/>
              <w:rPr>
                <w:sz w:val="22"/>
                <w:szCs w:val="22"/>
              </w:rPr>
            </w:pPr>
            <w:r w:rsidRPr="00264D5D">
              <w:rPr>
                <w:sz w:val="22"/>
                <w:szCs w:val="22"/>
              </w:rPr>
              <w:t>Да</w:t>
            </w:r>
            <w:r w:rsidR="005A204F" w:rsidRPr="00264D5D">
              <w:rPr>
                <w:sz w:val="22"/>
                <w:szCs w:val="22"/>
              </w:rPr>
              <w:t>та создания пакета при выгрузке</w:t>
            </w:r>
          </w:p>
        </w:tc>
      </w:tr>
      <w:tr w:rsidR="00AD1F54" w:rsidRPr="00264D5D" w14:paraId="1030E638"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03F2623F" w14:textId="77777777" w:rsidR="00AD1F54" w:rsidRPr="00264D5D" w:rsidRDefault="00941227">
            <w:pPr>
              <w:spacing w:before="60" w:after="60"/>
              <w:rPr>
                <w:sz w:val="22"/>
                <w:szCs w:val="22"/>
              </w:rPr>
            </w:pPr>
            <w:r w:rsidRPr="00264D5D">
              <w:rPr>
                <w:sz w:val="22"/>
                <w:szCs w:val="22"/>
                <w:lang w:val="en-US"/>
              </w:rPr>
              <w:t>tServiceInfo</w:t>
            </w:r>
          </w:p>
        </w:tc>
        <w:tc>
          <w:tcPr>
            <w:tcW w:w="1701" w:type="dxa"/>
          </w:tcPr>
          <w:p w14:paraId="04AFB9F2" w14:textId="77777777" w:rsidR="00AD1F54" w:rsidRPr="00264D5D" w:rsidRDefault="00941227">
            <w:pPr>
              <w:spacing w:before="60" w:after="60"/>
              <w:rPr>
                <w:sz w:val="22"/>
                <w:szCs w:val="22"/>
              </w:rPr>
            </w:pPr>
            <w:r w:rsidRPr="00264D5D">
              <w:rPr>
                <w:sz w:val="22"/>
                <w:szCs w:val="22"/>
                <w:lang w:val="en-US"/>
              </w:rPr>
              <w:t>documentType</w:t>
            </w:r>
          </w:p>
        </w:tc>
        <w:tc>
          <w:tcPr>
            <w:tcW w:w="567" w:type="dxa"/>
          </w:tcPr>
          <w:p w14:paraId="647D2F16" w14:textId="77777777" w:rsidR="00AD1F54" w:rsidRPr="00264D5D" w:rsidRDefault="00941227">
            <w:pPr>
              <w:spacing w:before="60" w:after="60"/>
              <w:jc w:val="center"/>
              <w:rPr>
                <w:sz w:val="22"/>
                <w:szCs w:val="22"/>
              </w:rPr>
            </w:pPr>
            <w:r w:rsidRPr="00264D5D">
              <w:rPr>
                <w:sz w:val="22"/>
                <w:szCs w:val="22"/>
                <w:lang w:val="en-US"/>
              </w:rPr>
              <w:t>П</w:t>
            </w:r>
          </w:p>
        </w:tc>
        <w:tc>
          <w:tcPr>
            <w:tcW w:w="1134" w:type="dxa"/>
          </w:tcPr>
          <w:p w14:paraId="31844558" w14:textId="77777777" w:rsidR="00AD1F54" w:rsidRPr="00264D5D" w:rsidRDefault="00941227">
            <w:pPr>
              <w:spacing w:before="60" w:after="60"/>
              <w:rPr>
                <w:sz w:val="22"/>
                <w:szCs w:val="22"/>
              </w:rPr>
            </w:pPr>
            <w:r w:rsidRPr="00264D5D">
              <w:rPr>
                <w:sz w:val="22"/>
                <w:szCs w:val="22"/>
                <w:lang w:val="en-US"/>
              </w:rPr>
              <w:t>string</w:t>
            </w:r>
          </w:p>
        </w:tc>
        <w:tc>
          <w:tcPr>
            <w:tcW w:w="567" w:type="dxa"/>
          </w:tcPr>
          <w:p w14:paraId="3A651F74" w14:textId="77777777" w:rsidR="00AD1F54" w:rsidRPr="00264D5D" w:rsidRDefault="00941227">
            <w:pPr>
              <w:spacing w:before="60" w:after="60"/>
              <w:jc w:val="center"/>
              <w:rPr>
                <w:sz w:val="22"/>
                <w:szCs w:val="22"/>
              </w:rPr>
            </w:pPr>
            <w:r w:rsidRPr="00264D5D">
              <w:rPr>
                <w:sz w:val="22"/>
                <w:szCs w:val="22"/>
              </w:rPr>
              <w:t>О</w:t>
            </w:r>
          </w:p>
        </w:tc>
        <w:tc>
          <w:tcPr>
            <w:tcW w:w="3964" w:type="dxa"/>
          </w:tcPr>
          <w:p w14:paraId="547480DA" w14:textId="77777777" w:rsidR="00AD1F54" w:rsidRPr="00264D5D" w:rsidRDefault="00941227">
            <w:pPr>
              <w:spacing w:before="60" w:after="60"/>
              <w:rPr>
                <w:sz w:val="22"/>
                <w:szCs w:val="22"/>
              </w:rPr>
            </w:pPr>
            <w:r w:rsidRPr="00264D5D">
              <w:rPr>
                <w:sz w:val="22"/>
                <w:szCs w:val="22"/>
              </w:rPr>
              <w:t>Имя типа документа, содержащегося в пакете.</w:t>
            </w:r>
          </w:p>
          <w:p w14:paraId="148011A0" w14:textId="478DA438" w:rsidR="00AD1F54" w:rsidRPr="00264D5D" w:rsidRDefault="00941227">
            <w:pPr>
              <w:spacing w:before="60" w:after="60"/>
              <w:rPr>
                <w:sz w:val="22"/>
                <w:szCs w:val="22"/>
              </w:rPr>
            </w:pPr>
            <w:r w:rsidRPr="00264D5D">
              <w:rPr>
                <w:sz w:val="22"/>
                <w:szCs w:val="22"/>
              </w:rPr>
              <w:t xml:space="preserve">Соответствует коду массива информации в соответствии с таблицей </w:t>
            </w:r>
            <w:r w:rsidRPr="00264D5D">
              <w:rPr>
                <w:b/>
                <w:szCs w:val="24"/>
              </w:rPr>
              <w:fldChar w:fldCharType="begin"/>
            </w:r>
            <w:r w:rsidRPr="00264D5D">
              <w:rPr>
                <w:b/>
                <w:szCs w:val="24"/>
              </w:rPr>
              <w:instrText xml:space="preserve"> REF _Ref19881821 \h  \* MERGEFORMAT </w:instrText>
            </w:r>
            <w:r w:rsidRPr="00264D5D">
              <w:rPr>
                <w:b/>
                <w:szCs w:val="24"/>
              </w:rPr>
            </w:r>
            <w:r w:rsidRPr="00264D5D">
              <w:rPr>
                <w:b/>
                <w:szCs w:val="24"/>
              </w:rPr>
              <w:fldChar w:fldCharType="separate"/>
            </w:r>
            <w:r w:rsidR="008D797C" w:rsidRPr="008D797C">
              <w:rPr>
                <w:rFonts w:eastAsia="Calibri"/>
                <w:b/>
                <w:szCs w:val="24"/>
              </w:rPr>
              <w:t>2</w:t>
            </w:r>
            <w:r w:rsidRPr="00264D5D">
              <w:rPr>
                <w:b/>
                <w:szCs w:val="24"/>
              </w:rPr>
              <w:fldChar w:fldCharType="end"/>
            </w:r>
          </w:p>
        </w:tc>
      </w:tr>
    </w:tbl>
    <w:p w14:paraId="3EFCA392" w14:textId="77777777" w:rsidR="00AD1F54" w:rsidRPr="00264D5D" w:rsidRDefault="00941227">
      <w:pPr>
        <w:pStyle w:val="31"/>
      </w:pPr>
      <w:bookmarkStart w:id="424" w:name="_Ref416167679"/>
      <w:bookmarkStart w:id="425" w:name="_Toc219309448"/>
      <w:r w:rsidRPr="00264D5D">
        <w:t>Описание комплексного типа «tPartyIdentifier»</w:t>
      </w:r>
      <w:bookmarkEnd w:id="424"/>
      <w:bookmarkEnd w:id="425"/>
    </w:p>
    <w:p w14:paraId="7D1BFED6" w14:textId="13B2E201" w:rsidR="00AD1F54" w:rsidRPr="00264D5D" w:rsidRDefault="00941227">
      <w:pPr>
        <w:pStyle w:val="GOSTNameTable"/>
        <w:numPr>
          <w:ilvl w:val="0"/>
          <w:numId w:val="2"/>
        </w:numPr>
        <w:spacing w:before="60"/>
        <w:ind w:left="425" w:hanging="357"/>
        <w:rPr>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426" w:name="_Toc30503346"/>
      <w:bookmarkStart w:id="427" w:name="_Toc30507944"/>
      <w:bookmarkStart w:id="428" w:name="_Toc219309040"/>
      <w:r w:rsidR="008D797C">
        <w:rPr>
          <w:rFonts w:eastAsia="Calibri"/>
          <w:noProof/>
          <w:szCs w:val="24"/>
        </w:rPr>
        <w:t>10</w:t>
      </w:r>
      <w:r w:rsidRPr="00264D5D">
        <w:rPr>
          <w:rFonts w:eastAsia="Calibri"/>
          <w:szCs w:val="24"/>
        </w:rPr>
        <w:fldChar w:fldCharType="end"/>
      </w:r>
      <w:r w:rsidRPr="00264D5D">
        <w:rPr>
          <w:rFonts w:eastAsia="Calibri"/>
          <w:szCs w:val="24"/>
        </w:rPr>
        <w:t xml:space="preserve"> – Описание комплексного типа «</w:t>
      </w:r>
      <w:r w:rsidRPr="00264D5D">
        <w:rPr>
          <w:color w:val="000000"/>
          <w:szCs w:val="24"/>
        </w:rPr>
        <w:t>tPartyIdentifier</w:t>
      </w:r>
      <w:r w:rsidRPr="00264D5D">
        <w:rPr>
          <w:rFonts w:eastAsia="Calibri"/>
          <w:szCs w:val="24"/>
        </w:rPr>
        <w:t>» блоков информации об отправителе «</w:t>
      </w:r>
      <w:r w:rsidRPr="00264D5D">
        <w:rPr>
          <w:szCs w:val="24"/>
          <w:lang w:val="en-US"/>
        </w:rPr>
        <w:t>senderParty</w:t>
      </w:r>
      <w:r w:rsidRPr="00264D5D">
        <w:rPr>
          <w:szCs w:val="24"/>
        </w:rPr>
        <w:t>» и получателе «receiverParty»</w:t>
      </w:r>
      <w:bookmarkEnd w:id="426"/>
      <w:bookmarkEnd w:id="427"/>
      <w:bookmarkEnd w:id="428"/>
    </w:p>
    <w:tbl>
      <w:tblPr>
        <w:tblStyle w:val="GOSTTable"/>
        <w:tblW w:w="5000" w:type="pct"/>
        <w:tblLayout w:type="fixed"/>
        <w:tblLook w:val="01E0" w:firstRow="1" w:lastRow="1" w:firstColumn="1" w:lastColumn="1" w:noHBand="0" w:noVBand="0"/>
      </w:tblPr>
      <w:tblGrid>
        <w:gridCol w:w="1705"/>
        <w:gridCol w:w="1704"/>
        <w:gridCol w:w="568"/>
        <w:gridCol w:w="1136"/>
        <w:gridCol w:w="568"/>
        <w:gridCol w:w="3969"/>
      </w:tblGrid>
      <w:tr w:rsidR="00AD1F54" w:rsidRPr="00264D5D" w14:paraId="385D9278"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3" w:type="dxa"/>
          </w:tcPr>
          <w:p w14:paraId="360C600A" w14:textId="77777777" w:rsidR="00AD1F54" w:rsidRPr="00264D5D" w:rsidRDefault="00941227">
            <w:pPr>
              <w:spacing w:before="60" w:after="60"/>
              <w:ind w:left="57" w:right="57"/>
              <w:jc w:val="center"/>
              <w:rPr>
                <w:b/>
                <w:sz w:val="22"/>
                <w:szCs w:val="22"/>
              </w:rPr>
            </w:pPr>
            <w:r w:rsidRPr="00264D5D">
              <w:rPr>
                <w:b/>
                <w:bCs/>
                <w:sz w:val="22"/>
                <w:szCs w:val="22"/>
              </w:rPr>
              <w:t>Наименование комплексного типа</w:t>
            </w:r>
          </w:p>
        </w:tc>
        <w:tc>
          <w:tcPr>
            <w:tcW w:w="1701" w:type="dxa"/>
          </w:tcPr>
          <w:p w14:paraId="13CD22B2" w14:textId="77777777" w:rsidR="00AD1F54" w:rsidRPr="00264D5D" w:rsidRDefault="00941227">
            <w:pPr>
              <w:spacing w:before="60" w:after="60"/>
              <w:ind w:left="57" w:right="57"/>
              <w:jc w:val="center"/>
              <w:rPr>
                <w:b/>
                <w:sz w:val="22"/>
                <w:szCs w:val="22"/>
              </w:rPr>
            </w:pPr>
            <w:r w:rsidRPr="00264D5D">
              <w:rPr>
                <w:b/>
                <w:bCs/>
                <w:sz w:val="22"/>
                <w:szCs w:val="22"/>
              </w:rPr>
              <w:t>Текущий элемент/ атрибут</w:t>
            </w:r>
          </w:p>
        </w:tc>
        <w:tc>
          <w:tcPr>
            <w:tcW w:w="567" w:type="dxa"/>
          </w:tcPr>
          <w:p w14:paraId="3FB8CFF2" w14:textId="77777777" w:rsidR="00AD1F54" w:rsidRPr="00264D5D" w:rsidRDefault="00941227">
            <w:pPr>
              <w:spacing w:before="60" w:after="60"/>
              <w:ind w:left="57" w:right="57"/>
              <w:jc w:val="center"/>
              <w:rPr>
                <w:b/>
                <w:sz w:val="22"/>
                <w:szCs w:val="22"/>
              </w:rPr>
            </w:pPr>
            <w:r w:rsidRPr="00264D5D">
              <w:rPr>
                <w:b/>
                <w:bCs/>
                <w:sz w:val="22"/>
                <w:szCs w:val="22"/>
              </w:rPr>
              <w:t>Тип</w:t>
            </w:r>
          </w:p>
        </w:tc>
        <w:tc>
          <w:tcPr>
            <w:tcW w:w="1134" w:type="dxa"/>
          </w:tcPr>
          <w:p w14:paraId="300E431E" w14:textId="77777777" w:rsidR="00AD1F54" w:rsidRPr="00264D5D" w:rsidRDefault="00941227">
            <w:pPr>
              <w:spacing w:before="60" w:after="60"/>
              <w:ind w:left="57" w:right="57"/>
              <w:jc w:val="center"/>
              <w:rPr>
                <w:b/>
                <w:sz w:val="22"/>
                <w:szCs w:val="22"/>
              </w:rPr>
            </w:pPr>
            <w:r w:rsidRPr="00264D5D">
              <w:rPr>
                <w:b/>
                <w:bCs/>
                <w:sz w:val="22"/>
                <w:szCs w:val="22"/>
              </w:rPr>
              <w:t>Формат элемента</w:t>
            </w:r>
          </w:p>
        </w:tc>
        <w:tc>
          <w:tcPr>
            <w:tcW w:w="567" w:type="dxa"/>
          </w:tcPr>
          <w:p w14:paraId="2E31A553" w14:textId="77777777" w:rsidR="00AD1F54" w:rsidRPr="00264D5D" w:rsidRDefault="00941227">
            <w:pPr>
              <w:spacing w:before="60" w:after="60"/>
              <w:ind w:left="57" w:right="57"/>
              <w:jc w:val="center"/>
              <w:rPr>
                <w:b/>
                <w:sz w:val="22"/>
                <w:szCs w:val="22"/>
              </w:rPr>
            </w:pPr>
            <w:r w:rsidRPr="00264D5D">
              <w:rPr>
                <w:b/>
                <w:bCs/>
                <w:sz w:val="22"/>
                <w:szCs w:val="22"/>
              </w:rPr>
              <w:t>Обязательность</w:t>
            </w:r>
          </w:p>
        </w:tc>
        <w:tc>
          <w:tcPr>
            <w:tcW w:w="3963" w:type="dxa"/>
          </w:tcPr>
          <w:p w14:paraId="41A0294F" w14:textId="77777777" w:rsidR="00AD1F54" w:rsidRPr="00264D5D" w:rsidRDefault="00941227">
            <w:pPr>
              <w:spacing w:before="60" w:after="60"/>
              <w:ind w:left="57" w:right="57"/>
              <w:jc w:val="center"/>
              <w:rPr>
                <w:b/>
                <w:sz w:val="22"/>
                <w:szCs w:val="22"/>
              </w:rPr>
            </w:pPr>
            <w:r w:rsidRPr="00264D5D">
              <w:rPr>
                <w:b/>
                <w:bCs/>
                <w:sz w:val="22"/>
                <w:szCs w:val="22"/>
              </w:rPr>
              <w:t>Дополнительная информация</w:t>
            </w:r>
          </w:p>
        </w:tc>
      </w:tr>
      <w:tr w:rsidR="00AD1F54" w:rsidRPr="00264D5D" w14:paraId="344055E1" w14:textId="77777777" w:rsidTr="00AD1F54">
        <w:trPr>
          <w:cnfStyle w:val="000000100000" w:firstRow="0" w:lastRow="0" w:firstColumn="0" w:lastColumn="0" w:oddVBand="0" w:evenVBand="0" w:oddHBand="1" w:evenHBand="0" w:firstRowFirstColumn="0" w:firstRowLastColumn="0" w:lastRowFirstColumn="0" w:lastRowLastColumn="0"/>
        </w:trPr>
        <w:tc>
          <w:tcPr>
            <w:tcW w:w="1703" w:type="dxa"/>
          </w:tcPr>
          <w:p w14:paraId="78C8C61B" w14:textId="77777777" w:rsidR="00AD1F54" w:rsidRPr="00264D5D" w:rsidRDefault="00941227">
            <w:pPr>
              <w:spacing w:before="60" w:after="60"/>
              <w:rPr>
                <w:sz w:val="22"/>
                <w:szCs w:val="22"/>
              </w:rPr>
            </w:pPr>
            <w:r w:rsidRPr="00264D5D">
              <w:rPr>
                <w:color w:val="000000"/>
                <w:sz w:val="22"/>
                <w:szCs w:val="22"/>
              </w:rPr>
              <w:t>tPartyIdentifier</w:t>
            </w:r>
          </w:p>
        </w:tc>
        <w:tc>
          <w:tcPr>
            <w:tcW w:w="1701" w:type="dxa"/>
          </w:tcPr>
          <w:p w14:paraId="4964E2B5" w14:textId="77777777" w:rsidR="00AD1F54" w:rsidRPr="00264D5D" w:rsidRDefault="00941227">
            <w:pPr>
              <w:spacing w:before="60" w:after="60"/>
              <w:rPr>
                <w:sz w:val="22"/>
                <w:szCs w:val="22"/>
                <w:lang w:val="en-US"/>
              </w:rPr>
            </w:pPr>
            <w:r w:rsidRPr="00264D5D">
              <w:rPr>
                <w:color w:val="000000"/>
                <w:sz w:val="22"/>
                <w:szCs w:val="22"/>
              </w:rPr>
              <w:t>organizationParty</w:t>
            </w:r>
          </w:p>
        </w:tc>
        <w:tc>
          <w:tcPr>
            <w:tcW w:w="567" w:type="dxa"/>
          </w:tcPr>
          <w:p w14:paraId="3E5A1EFC" w14:textId="77777777" w:rsidR="00AD1F54" w:rsidRPr="00264D5D" w:rsidRDefault="00941227">
            <w:pPr>
              <w:spacing w:before="60" w:after="60"/>
              <w:jc w:val="center"/>
              <w:rPr>
                <w:sz w:val="22"/>
                <w:szCs w:val="22"/>
              </w:rPr>
            </w:pPr>
            <w:r w:rsidRPr="00264D5D">
              <w:rPr>
                <w:sz w:val="22"/>
                <w:szCs w:val="22"/>
                <w:lang w:val="en-US"/>
              </w:rPr>
              <w:t>С</w:t>
            </w:r>
          </w:p>
        </w:tc>
        <w:tc>
          <w:tcPr>
            <w:tcW w:w="1134" w:type="dxa"/>
          </w:tcPr>
          <w:p w14:paraId="22636C3C" w14:textId="77777777" w:rsidR="00AD1F54" w:rsidRPr="00264D5D" w:rsidRDefault="00941227">
            <w:pPr>
              <w:spacing w:before="60" w:after="60"/>
              <w:rPr>
                <w:sz w:val="22"/>
                <w:szCs w:val="22"/>
              </w:rPr>
            </w:pPr>
            <w:r w:rsidRPr="00264D5D">
              <w:rPr>
                <w:sz w:val="22"/>
                <w:szCs w:val="22"/>
                <w:lang w:val="en-US"/>
              </w:rPr>
              <w:t>tOrganization</w:t>
            </w:r>
          </w:p>
        </w:tc>
        <w:tc>
          <w:tcPr>
            <w:tcW w:w="567" w:type="dxa"/>
          </w:tcPr>
          <w:p w14:paraId="5B3C0699" w14:textId="77777777" w:rsidR="00AD1F54" w:rsidRPr="00264D5D" w:rsidRDefault="00941227">
            <w:pPr>
              <w:spacing w:before="60" w:after="60"/>
              <w:jc w:val="center"/>
              <w:rPr>
                <w:sz w:val="22"/>
                <w:szCs w:val="22"/>
              </w:rPr>
            </w:pPr>
            <w:r w:rsidRPr="00264D5D">
              <w:rPr>
                <w:sz w:val="22"/>
                <w:szCs w:val="22"/>
              </w:rPr>
              <w:t>Н</w:t>
            </w:r>
          </w:p>
        </w:tc>
        <w:tc>
          <w:tcPr>
            <w:tcW w:w="3963" w:type="dxa"/>
          </w:tcPr>
          <w:p w14:paraId="28D5FC64" w14:textId="77777777" w:rsidR="00AD1F54" w:rsidRPr="00264D5D" w:rsidRDefault="00941227">
            <w:pPr>
              <w:spacing w:before="60" w:after="60"/>
              <w:rPr>
                <w:sz w:val="22"/>
                <w:szCs w:val="22"/>
              </w:rPr>
            </w:pPr>
            <w:r w:rsidRPr="00264D5D">
              <w:rPr>
                <w:sz w:val="22"/>
                <w:szCs w:val="22"/>
              </w:rPr>
              <w:t>Обязательно для заполнения при перед</w:t>
            </w:r>
            <w:r w:rsidR="005A204F" w:rsidRPr="00264D5D">
              <w:rPr>
                <w:sz w:val="22"/>
                <w:szCs w:val="22"/>
              </w:rPr>
              <w:t>аче документа от клиента в ТОФК</w:t>
            </w:r>
          </w:p>
        </w:tc>
      </w:tr>
      <w:tr w:rsidR="00AD1F54" w:rsidRPr="00264D5D" w14:paraId="5B18E2D3" w14:textId="77777777" w:rsidTr="00AD1F54">
        <w:trPr>
          <w:cnfStyle w:val="000000010000" w:firstRow="0" w:lastRow="0" w:firstColumn="0" w:lastColumn="0" w:oddVBand="0" w:evenVBand="0" w:oddHBand="0" w:evenHBand="1" w:firstRowFirstColumn="0" w:firstRowLastColumn="0" w:lastRowFirstColumn="0" w:lastRowLastColumn="0"/>
        </w:trPr>
        <w:tc>
          <w:tcPr>
            <w:tcW w:w="1703" w:type="dxa"/>
          </w:tcPr>
          <w:p w14:paraId="232B7281" w14:textId="77777777" w:rsidR="00AD1F54" w:rsidRPr="00264D5D" w:rsidRDefault="00941227">
            <w:pPr>
              <w:spacing w:before="60" w:after="60"/>
              <w:rPr>
                <w:sz w:val="22"/>
                <w:szCs w:val="22"/>
              </w:rPr>
            </w:pPr>
            <w:r w:rsidRPr="00264D5D">
              <w:rPr>
                <w:color w:val="000000"/>
                <w:sz w:val="22"/>
                <w:szCs w:val="22"/>
              </w:rPr>
              <w:t>tPartyIdentifier</w:t>
            </w:r>
          </w:p>
        </w:tc>
        <w:tc>
          <w:tcPr>
            <w:tcW w:w="1701" w:type="dxa"/>
          </w:tcPr>
          <w:p w14:paraId="54D48991" w14:textId="77777777" w:rsidR="00AD1F54" w:rsidRPr="00264D5D" w:rsidRDefault="00941227">
            <w:pPr>
              <w:spacing w:before="60" w:after="60"/>
              <w:rPr>
                <w:sz w:val="22"/>
                <w:szCs w:val="22"/>
              </w:rPr>
            </w:pPr>
            <w:r w:rsidRPr="00264D5D">
              <w:rPr>
                <w:color w:val="000000"/>
                <w:sz w:val="22"/>
                <w:szCs w:val="22"/>
              </w:rPr>
              <w:t>TOFKParty</w:t>
            </w:r>
          </w:p>
        </w:tc>
        <w:tc>
          <w:tcPr>
            <w:tcW w:w="567" w:type="dxa"/>
          </w:tcPr>
          <w:p w14:paraId="78AE5D2F" w14:textId="77777777" w:rsidR="00AD1F54" w:rsidRPr="00264D5D" w:rsidRDefault="00941227">
            <w:pPr>
              <w:spacing w:before="60" w:after="60"/>
              <w:jc w:val="center"/>
              <w:rPr>
                <w:sz w:val="22"/>
                <w:szCs w:val="22"/>
              </w:rPr>
            </w:pPr>
            <w:r w:rsidRPr="00264D5D">
              <w:rPr>
                <w:sz w:val="22"/>
                <w:szCs w:val="22"/>
                <w:lang w:val="en-US"/>
              </w:rPr>
              <w:t>C</w:t>
            </w:r>
          </w:p>
        </w:tc>
        <w:tc>
          <w:tcPr>
            <w:tcW w:w="1134" w:type="dxa"/>
          </w:tcPr>
          <w:p w14:paraId="5439C849" w14:textId="77777777" w:rsidR="00AD1F54" w:rsidRPr="00264D5D" w:rsidRDefault="00941227">
            <w:pPr>
              <w:spacing w:before="60" w:after="60"/>
              <w:rPr>
                <w:sz w:val="22"/>
                <w:szCs w:val="22"/>
              </w:rPr>
            </w:pPr>
            <w:r w:rsidRPr="00264D5D">
              <w:rPr>
                <w:sz w:val="22"/>
                <w:szCs w:val="22"/>
                <w:lang w:val="en-US"/>
              </w:rPr>
              <w:t>tTOFK</w:t>
            </w:r>
          </w:p>
        </w:tc>
        <w:tc>
          <w:tcPr>
            <w:tcW w:w="567" w:type="dxa"/>
          </w:tcPr>
          <w:p w14:paraId="47C58E3B" w14:textId="77777777" w:rsidR="00AD1F54" w:rsidRPr="00264D5D" w:rsidRDefault="00941227">
            <w:pPr>
              <w:spacing w:before="60" w:after="60"/>
              <w:jc w:val="center"/>
              <w:rPr>
                <w:sz w:val="22"/>
                <w:szCs w:val="22"/>
              </w:rPr>
            </w:pPr>
            <w:r w:rsidRPr="00264D5D">
              <w:rPr>
                <w:sz w:val="22"/>
                <w:szCs w:val="22"/>
              </w:rPr>
              <w:t>Н</w:t>
            </w:r>
          </w:p>
        </w:tc>
        <w:tc>
          <w:tcPr>
            <w:tcW w:w="3963" w:type="dxa"/>
          </w:tcPr>
          <w:p w14:paraId="00EE54FD" w14:textId="77777777" w:rsidR="00AD1F54" w:rsidRPr="00264D5D" w:rsidRDefault="00941227">
            <w:pPr>
              <w:spacing w:before="60" w:after="60"/>
              <w:rPr>
                <w:sz w:val="22"/>
                <w:szCs w:val="22"/>
              </w:rPr>
            </w:pPr>
            <w:r w:rsidRPr="00264D5D">
              <w:rPr>
                <w:sz w:val="22"/>
                <w:szCs w:val="22"/>
              </w:rPr>
              <w:t xml:space="preserve">Заполняется в соответствии с централизованным справочником </w:t>
            </w:r>
            <w:r w:rsidRPr="00264D5D">
              <w:rPr>
                <w:sz w:val="22"/>
                <w:szCs w:val="22"/>
              </w:rPr>
              <w:lastRenderedPageBreak/>
              <w:t xml:space="preserve">органов ФК. </w:t>
            </w:r>
          </w:p>
          <w:p w14:paraId="523F226F" w14:textId="77777777" w:rsidR="00AD1F54" w:rsidRPr="00264D5D" w:rsidRDefault="00941227">
            <w:pPr>
              <w:spacing w:before="60" w:after="60"/>
              <w:rPr>
                <w:sz w:val="22"/>
                <w:szCs w:val="22"/>
              </w:rPr>
            </w:pPr>
            <w:r w:rsidRPr="00264D5D">
              <w:rPr>
                <w:sz w:val="22"/>
                <w:szCs w:val="22"/>
              </w:rPr>
              <w:t>Обязательно для заполнения п</w:t>
            </w:r>
            <w:r w:rsidR="005A204F" w:rsidRPr="00264D5D">
              <w:rPr>
                <w:sz w:val="22"/>
                <w:szCs w:val="22"/>
              </w:rPr>
              <w:t>ри передаче документа от/в ТОФК</w:t>
            </w:r>
          </w:p>
        </w:tc>
      </w:tr>
      <w:tr w:rsidR="00AD1F54" w:rsidRPr="00264D5D" w14:paraId="29ABD1C8" w14:textId="77777777" w:rsidTr="00AD1F54">
        <w:trPr>
          <w:cnfStyle w:val="000000100000" w:firstRow="0" w:lastRow="0" w:firstColumn="0" w:lastColumn="0" w:oddVBand="0" w:evenVBand="0" w:oddHBand="1" w:evenHBand="0" w:firstRowFirstColumn="0" w:firstRowLastColumn="0" w:lastRowFirstColumn="0" w:lastRowLastColumn="0"/>
        </w:trPr>
        <w:tc>
          <w:tcPr>
            <w:tcW w:w="1703" w:type="dxa"/>
          </w:tcPr>
          <w:p w14:paraId="64C2B089" w14:textId="77777777" w:rsidR="00AD1F54" w:rsidRPr="00264D5D" w:rsidRDefault="00941227">
            <w:pPr>
              <w:pStyle w:val="EBTablenorm"/>
              <w:ind w:left="57" w:right="57"/>
              <w:jc w:val="left"/>
              <w:rPr>
                <w:sz w:val="22"/>
                <w:szCs w:val="22"/>
              </w:rPr>
            </w:pPr>
            <w:r w:rsidRPr="00264D5D">
              <w:rPr>
                <w:color w:val="000000"/>
                <w:sz w:val="22"/>
                <w:szCs w:val="22"/>
              </w:rPr>
              <w:lastRenderedPageBreak/>
              <w:t>tPartyIdentifier</w:t>
            </w:r>
          </w:p>
        </w:tc>
        <w:tc>
          <w:tcPr>
            <w:tcW w:w="1701" w:type="dxa"/>
          </w:tcPr>
          <w:p w14:paraId="1BFB6997" w14:textId="77777777" w:rsidR="00AD1F54" w:rsidRPr="00264D5D" w:rsidRDefault="00941227">
            <w:pPr>
              <w:pStyle w:val="EBTablenorm"/>
              <w:ind w:left="57" w:right="57"/>
              <w:jc w:val="left"/>
              <w:rPr>
                <w:sz w:val="22"/>
                <w:szCs w:val="22"/>
              </w:rPr>
            </w:pPr>
            <w:r w:rsidRPr="00264D5D">
              <w:rPr>
                <w:color w:val="000000"/>
                <w:sz w:val="22"/>
                <w:szCs w:val="22"/>
              </w:rPr>
              <w:t>partyIdentifier</w:t>
            </w:r>
          </w:p>
        </w:tc>
        <w:tc>
          <w:tcPr>
            <w:tcW w:w="567" w:type="dxa"/>
          </w:tcPr>
          <w:p w14:paraId="170E75F6" w14:textId="77777777" w:rsidR="00AD1F54" w:rsidRPr="00264D5D" w:rsidRDefault="00941227">
            <w:pPr>
              <w:spacing w:before="60" w:after="60"/>
              <w:jc w:val="center"/>
              <w:rPr>
                <w:sz w:val="22"/>
                <w:szCs w:val="22"/>
              </w:rPr>
            </w:pPr>
            <w:r w:rsidRPr="00264D5D">
              <w:rPr>
                <w:sz w:val="22"/>
                <w:szCs w:val="22"/>
              </w:rPr>
              <w:t>С</w:t>
            </w:r>
          </w:p>
        </w:tc>
        <w:tc>
          <w:tcPr>
            <w:tcW w:w="1134" w:type="dxa"/>
          </w:tcPr>
          <w:p w14:paraId="20D0295F" w14:textId="158A21CF" w:rsidR="00AD1F54" w:rsidRPr="00264D5D" w:rsidRDefault="00941227">
            <w:pPr>
              <w:spacing w:before="60" w:after="60"/>
              <w:jc w:val="left"/>
              <w:rPr>
                <w:rFonts w:eastAsia="Calibri"/>
                <w:sz w:val="22"/>
                <w:szCs w:val="22"/>
              </w:rPr>
            </w:pPr>
            <w:r w:rsidRPr="00264D5D">
              <w:rPr>
                <w:sz w:val="22"/>
                <w:szCs w:val="22"/>
              </w:rPr>
              <w:fldChar w:fldCharType="begin"/>
            </w:r>
            <w:r w:rsidRPr="00264D5D">
              <w:rPr>
                <w:sz w:val="22"/>
                <w:szCs w:val="22"/>
              </w:rPr>
              <w:instrText xml:space="preserve">REF tSysIdentifier \h \* MERGEFORMAT </w:instrText>
            </w:r>
            <w:r w:rsidRPr="00264D5D">
              <w:rPr>
                <w:sz w:val="22"/>
                <w:szCs w:val="22"/>
              </w:rPr>
            </w:r>
            <w:r w:rsidRPr="00264D5D">
              <w:rPr>
                <w:sz w:val="22"/>
                <w:szCs w:val="22"/>
              </w:rPr>
              <w:fldChar w:fldCharType="separate"/>
            </w:r>
            <w:r w:rsidR="008D797C" w:rsidRPr="008D797C">
              <w:rPr>
                <w:sz w:val="22"/>
                <w:szCs w:val="22"/>
              </w:rPr>
              <w:t>tSysIdentifier</w:t>
            </w:r>
            <w:r w:rsidRPr="00264D5D">
              <w:rPr>
                <w:sz w:val="22"/>
                <w:szCs w:val="22"/>
              </w:rPr>
              <w:fldChar w:fldCharType="end"/>
            </w:r>
          </w:p>
        </w:tc>
        <w:tc>
          <w:tcPr>
            <w:tcW w:w="567" w:type="dxa"/>
          </w:tcPr>
          <w:p w14:paraId="6CCFF488" w14:textId="77777777" w:rsidR="00AD1F54" w:rsidRPr="00264D5D" w:rsidRDefault="00941227">
            <w:pPr>
              <w:spacing w:before="60" w:after="60"/>
              <w:jc w:val="center"/>
              <w:rPr>
                <w:sz w:val="22"/>
                <w:szCs w:val="22"/>
              </w:rPr>
            </w:pPr>
            <w:r w:rsidRPr="00264D5D">
              <w:rPr>
                <w:sz w:val="22"/>
                <w:szCs w:val="22"/>
              </w:rPr>
              <w:t>Н</w:t>
            </w:r>
          </w:p>
        </w:tc>
        <w:tc>
          <w:tcPr>
            <w:tcW w:w="3963" w:type="dxa"/>
          </w:tcPr>
          <w:p w14:paraId="00E4E924" w14:textId="77777777" w:rsidR="005A204F" w:rsidRPr="00264D5D" w:rsidRDefault="00941227">
            <w:pPr>
              <w:pStyle w:val="EBTablenorm"/>
              <w:ind w:left="57" w:right="57"/>
              <w:rPr>
                <w:sz w:val="22"/>
                <w:szCs w:val="22"/>
              </w:rPr>
            </w:pPr>
            <w:r w:rsidRPr="00264D5D">
              <w:rPr>
                <w:sz w:val="22"/>
                <w:szCs w:val="22"/>
              </w:rPr>
              <w:t xml:space="preserve">Обязательно для заполнения при передаче документа между </w:t>
            </w:r>
            <w:r w:rsidR="00D83D19">
              <w:rPr>
                <w:sz w:val="22"/>
                <w:szCs w:val="22"/>
              </w:rPr>
              <w:t>ТОФК (ППО АСФК)</w:t>
            </w:r>
            <w:r w:rsidRPr="00264D5D">
              <w:rPr>
                <w:sz w:val="22"/>
                <w:szCs w:val="22"/>
              </w:rPr>
              <w:t xml:space="preserve"> и подсистемами ГИИС «Электронный бюджет»</w:t>
            </w:r>
            <w:r w:rsidRPr="00264D5D">
              <w:rPr>
                <w:color w:val="000000"/>
                <w:sz w:val="22"/>
                <w:szCs w:val="22"/>
              </w:rPr>
              <w:t>.</w:t>
            </w:r>
            <w:r w:rsidRPr="00264D5D">
              <w:rPr>
                <w:sz w:val="22"/>
                <w:szCs w:val="22"/>
              </w:rPr>
              <w:t xml:space="preserve"> </w:t>
            </w:r>
          </w:p>
          <w:p w14:paraId="68D0B48F" w14:textId="77777777" w:rsidR="00AD1F54" w:rsidRPr="00264D5D" w:rsidRDefault="00941227">
            <w:pPr>
              <w:pStyle w:val="EBTablenorm"/>
              <w:ind w:left="57" w:right="57"/>
              <w:rPr>
                <w:sz w:val="22"/>
                <w:szCs w:val="22"/>
              </w:rPr>
            </w:pPr>
            <w:r w:rsidRPr="00264D5D">
              <w:rPr>
                <w:color w:val="000000"/>
                <w:sz w:val="22"/>
                <w:szCs w:val="22"/>
              </w:rPr>
              <w:t>В остальных случаях не заполняется.</w:t>
            </w:r>
          </w:p>
        </w:tc>
      </w:tr>
    </w:tbl>
    <w:p w14:paraId="3F9B9FF3" w14:textId="77777777" w:rsidR="00AD1F54" w:rsidRPr="00264D5D" w:rsidRDefault="00941227">
      <w:pPr>
        <w:pStyle w:val="31"/>
      </w:pPr>
      <w:bookmarkStart w:id="429" w:name="_Toc219309449"/>
      <w:r w:rsidRPr="00264D5D">
        <w:t>Описание комплексного типа «tOrganization»</w:t>
      </w:r>
      <w:bookmarkEnd w:id="429"/>
    </w:p>
    <w:p w14:paraId="50541341" w14:textId="54FF7EAC" w:rsidR="00AD1F54" w:rsidRPr="00264D5D" w:rsidRDefault="00941227">
      <w:pPr>
        <w:pStyle w:val="GOSTNameTable"/>
        <w:numPr>
          <w:ilvl w:val="0"/>
          <w:numId w:val="2"/>
        </w:numPr>
        <w:spacing w:before="60"/>
        <w:ind w:left="425" w:hanging="357"/>
        <w:rPr>
          <w:rFonts w:eastAsia="Calibri"/>
          <w:szCs w:val="24"/>
        </w:rPr>
      </w:pPr>
      <w:r w:rsidRPr="00264D5D">
        <w:rPr>
          <w:rFonts w:eastAsia="Calibri"/>
          <w:szCs w:val="24"/>
        </w:rPr>
        <w:fldChar w:fldCharType="begin"/>
      </w:r>
      <w:r w:rsidRPr="00264D5D">
        <w:rPr>
          <w:rFonts w:eastAsia="Calibri"/>
          <w:szCs w:val="24"/>
        </w:rPr>
        <w:instrText xml:space="preserve"> </w:instrText>
      </w:r>
      <w:r w:rsidRPr="00264D5D">
        <w:rPr>
          <w:rFonts w:eastAsia="Calibri"/>
          <w:szCs w:val="24"/>
          <w:lang w:val="en-US"/>
        </w:rPr>
        <w:instrText>SEQ</w:instrText>
      </w:r>
      <w:r w:rsidRPr="00264D5D">
        <w:rPr>
          <w:rFonts w:eastAsia="Calibri"/>
          <w:szCs w:val="24"/>
        </w:rPr>
        <w:instrText xml:space="preserve"> Таблица \* </w:instrText>
      </w:r>
      <w:r w:rsidRPr="00264D5D">
        <w:rPr>
          <w:rFonts w:eastAsia="Calibri"/>
          <w:szCs w:val="24"/>
          <w:lang w:val="en-US"/>
        </w:rPr>
        <w:instrText>ARABIC</w:instrText>
      </w:r>
      <w:r w:rsidRPr="00264D5D">
        <w:rPr>
          <w:rFonts w:eastAsia="Calibri"/>
          <w:szCs w:val="24"/>
        </w:rPr>
        <w:instrText xml:space="preserve"> </w:instrText>
      </w:r>
      <w:r w:rsidRPr="00264D5D">
        <w:rPr>
          <w:rFonts w:eastAsia="Calibri"/>
          <w:szCs w:val="24"/>
        </w:rPr>
        <w:fldChar w:fldCharType="separate"/>
      </w:r>
      <w:bookmarkStart w:id="430" w:name="_Toc30503347"/>
      <w:bookmarkStart w:id="431" w:name="_Toc30507945"/>
      <w:bookmarkStart w:id="432" w:name="_Toc219309041"/>
      <w:r w:rsidR="008D797C" w:rsidRPr="008D797C">
        <w:rPr>
          <w:rFonts w:eastAsia="Calibri"/>
          <w:noProof/>
          <w:szCs w:val="24"/>
        </w:rPr>
        <w:t>11</w:t>
      </w:r>
      <w:r w:rsidRPr="00264D5D">
        <w:rPr>
          <w:rFonts w:eastAsia="Calibri"/>
          <w:szCs w:val="24"/>
        </w:rPr>
        <w:fldChar w:fldCharType="end"/>
      </w:r>
      <w:r w:rsidRPr="00264D5D">
        <w:rPr>
          <w:rFonts w:eastAsia="Calibri"/>
          <w:szCs w:val="24"/>
        </w:rPr>
        <w:t xml:space="preserve"> – Описание комплексного типа «</w:t>
      </w:r>
      <w:r w:rsidRPr="00264D5D">
        <w:rPr>
          <w:rFonts w:eastAsia="Calibri"/>
          <w:szCs w:val="24"/>
          <w:lang w:val="en-US"/>
        </w:rPr>
        <w:t>tOrganization</w:t>
      </w:r>
      <w:r w:rsidRPr="00264D5D">
        <w:rPr>
          <w:rFonts w:eastAsia="Calibri"/>
          <w:szCs w:val="24"/>
        </w:rPr>
        <w:t>» блока</w:t>
      </w:r>
      <w:r w:rsidR="005A204F" w:rsidRPr="00264D5D">
        <w:rPr>
          <w:rFonts w:eastAsia="Calibri"/>
          <w:szCs w:val="24"/>
        </w:rPr>
        <w:t xml:space="preserve"> </w:t>
      </w:r>
      <w:r w:rsidRPr="00264D5D">
        <w:rPr>
          <w:rFonts w:eastAsia="Calibri"/>
          <w:szCs w:val="24"/>
        </w:rPr>
        <w:t>«</w:t>
      </w:r>
      <w:r w:rsidRPr="00264D5D">
        <w:rPr>
          <w:color w:val="000000"/>
          <w:szCs w:val="24"/>
          <w:lang w:val="en-US"/>
        </w:rPr>
        <w:t>tPartyIdentifier</w:t>
      </w:r>
      <w:r w:rsidRPr="00264D5D">
        <w:rPr>
          <w:rFonts w:eastAsia="Calibri"/>
          <w:szCs w:val="24"/>
        </w:rPr>
        <w:t>»</w:t>
      </w:r>
      <w:bookmarkEnd w:id="430"/>
      <w:bookmarkEnd w:id="431"/>
      <w:bookmarkEnd w:id="432"/>
    </w:p>
    <w:tbl>
      <w:tblPr>
        <w:tblStyle w:val="GOSTTable"/>
        <w:tblW w:w="5000" w:type="pct"/>
        <w:tblLayout w:type="fixed"/>
        <w:tblLook w:val="01E0" w:firstRow="1" w:lastRow="1" w:firstColumn="1" w:lastColumn="1" w:noHBand="0" w:noVBand="0"/>
      </w:tblPr>
      <w:tblGrid>
        <w:gridCol w:w="1705"/>
        <w:gridCol w:w="1704"/>
        <w:gridCol w:w="568"/>
        <w:gridCol w:w="1136"/>
        <w:gridCol w:w="568"/>
        <w:gridCol w:w="3969"/>
      </w:tblGrid>
      <w:tr w:rsidR="00AD1F54" w:rsidRPr="00264D5D" w14:paraId="3BF27269"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3" w:type="dxa"/>
          </w:tcPr>
          <w:p w14:paraId="4473869F" w14:textId="77777777" w:rsidR="00AD1F54" w:rsidRPr="00264D5D" w:rsidRDefault="00941227">
            <w:pPr>
              <w:spacing w:before="60" w:after="60"/>
              <w:ind w:left="57" w:right="57"/>
              <w:jc w:val="center"/>
              <w:rPr>
                <w:b/>
                <w:sz w:val="22"/>
                <w:szCs w:val="22"/>
              </w:rPr>
            </w:pPr>
            <w:r w:rsidRPr="00264D5D">
              <w:rPr>
                <w:b/>
                <w:bCs/>
                <w:sz w:val="22"/>
                <w:szCs w:val="22"/>
              </w:rPr>
              <w:t>Наименование комплексного типа</w:t>
            </w:r>
          </w:p>
        </w:tc>
        <w:tc>
          <w:tcPr>
            <w:tcW w:w="1701" w:type="dxa"/>
          </w:tcPr>
          <w:p w14:paraId="1F004BB8" w14:textId="77777777" w:rsidR="00AD1F54" w:rsidRPr="00264D5D" w:rsidRDefault="00941227">
            <w:pPr>
              <w:spacing w:before="60" w:after="60"/>
              <w:ind w:left="57" w:right="57"/>
              <w:jc w:val="center"/>
              <w:rPr>
                <w:b/>
                <w:sz w:val="22"/>
                <w:szCs w:val="22"/>
              </w:rPr>
            </w:pPr>
            <w:r w:rsidRPr="00264D5D">
              <w:rPr>
                <w:b/>
                <w:bCs/>
                <w:sz w:val="22"/>
                <w:szCs w:val="22"/>
              </w:rPr>
              <w:t>Текущий элемент/ атрибут</w:t>
            </w:r>
          </w:p>
        </w:tc>
        <w:tc>
          <w:tcPr>
            <w:tcW w:w="567" w:type="dxa"/>
          </w:tcPr>
          <w:p w14:paraId="69659008" w14:textId="77777777" w:rsidR="00AD1F54" w:rsidRPr="00264D5D" w:rsidRDefault="00941227">
            <w:pPr>
              <w:spacing w:before="60" w:after="60"/>
              <w:ind w:left="57" w:right="57"/>
              <w:jc w:val="center"/>
              <w:rPr>
                <w:b/>
                <w:sz w:val="22"/>
                <w:szCs w:val="22"/>
              </w:rPr>
            </w:pPr>
            <w:r w:rsidRPr="00264D5D">
              <w:rPr>
                <w:b/>
                <w:bCs/>
                <w:sz w:val="22"/>
                <w:szCs w:val="22"/>
              </w:rPr>
              <w:t>Тип</w:t>
            </w:r>
          </w:p>
        </w:tc>
        <w:tc>
          <w:tcPr>
            <w:tcW w:w="1134" w:type="dxa"/>
          </w:tcPr>
          <w:p w14:paraId="785379F7" w14:textId="77777777" w:rsidR="00AD1F54" w:rsidRPr="00264D5D" w:rsidRDefault="00941227">
            <w:pPr>
              <w:spacing w:before="60" w:after="60"/>
              <w:ind w:left="57" w:right="57"/>
              <w:jc w:val="center"/>
              <w:rPr>
                <w:b/>
                <w:sz w:val="22"/>
                <w:szCs w:val="22"/>
              </w:rPr>
            </w:pPr>
            <w:r w:rsidRPr="00264D5D">
              <w:rPr>
                <w:b/>
                <w:bCs/>
                <w:sz w:val="22"/>
                <w:szCs w:val="22"/>
              </w:rPr>
              <w:t>Формат элемента</w:t>
            </w:r>
          </w:p>
        </w:tc>
        <w:tc>
          <w:tcPr>
            <w:tcW w:w="567" w:type="dxa"/>
          </w:tcPr>
          <w:p w14:paraId="357AEA9F" w14:textId="77777777" w:rsidR="00AD1F54" w:rsidRPr="00264D5D" w:rsidRDefault="00941227">
            <w:pPr>
              <w:spacing w:before="60" w:after="60"/>
              <w:ind w:left="57" w:right="57"/>
              <w:jc w:val="center"/>
              <w:rPr>
                <w:b/>
                <w:sz w:val="22"/>
                <w:szCs w:val="22"/>
              </w:rPr>
            </w:pPr>
            <w:r w:rsidRPr="00264D5D">
              <w:rPr>
                <w:b/>
                <w:bCs/>
                <w:sz w:val="22"/>
                <w:szCs w:val="22"/>
              </w:rPr>
              <w:t>Обязательность</w:t>
            </w:r>
          </w:p>
        </w:tc>
        <w:tc>
          <w:tcPr>
            <w:tcW w:w="3963" w:type="dxa"/>
          </w:tcPr>
          <w:p w14:paraId="4787B332" w14:textId="77777777" w:rsidR="00AD1F54" w:rsidRPr="00264D5D" w:rsidRDefault="00941227">
            <w:pPr>
              <w:spacing w:before="60" w:after="60"/>
              <w:ind w:left="57" w:right="57"/>
              <w:jc w:val="center"/>
              <w:rPr>
                <w:b/>
                <w:sz w:val="22"/>
                <w:szCs w:val="22"/>
              </w:rPr>
            </w:pPr>
            <w:r w:rsidRPr="00264D5D">
              <w:rPr>
                <w:b/>
                <w:bCs/>
                <w:sz w:val="22"/>
                <w:szCs w:val="22"/>
              </w:rPr>
              <w:t>Дополнительная информация</w:t>
            </w:r>
          </w:p>
        </w:tc>
      </w:tr>
      <w:tr w:rsidR="00AD1F54" w:rsidRPr="00264D5D" w14:paraId="6DF6D9B0" w14:textId="77777777" w:rsidTr="00AD1F54">
        <w:trPr>
          <w:cnfStyle w:val="000000100000" w:firstRow="0" w:lastRow="0" w:firstColumn="0" w:lastColumn="0" w:oddVBand="0" w:evenVBand="0" w:oddHBand="1" w:evenHBand="0" w:firstRowFirstColumn="0" w:firstRowLastColumn="0" w:lastRowFirstColumn="0" w:lastRowLastColumn="0"/>
        </w:trPr>
        <w:tc>
          <w:tcPr>
            <w:tcW w:w="1703" w:type="dxa"/>
          </w:tcPr>
          <w:p w14:paraId="5F1BF98A" w14:textId="77777777" w:rsidR="00AD1F54" w:rsidRPr="00264D5D" w:rsidRDefault="00941227">
            <w:pPr>
              <w:spacing w:before="60" w:after="60"/>
              <w:rPr>
                <w:sz w:val="22"/>
                <w:szCs w:val="22"/>
              </w:rPr>
            </w:pPr>
            <w:r w:rsidRPr="00264D5D">
              <w:rPr>
                <w:sz w:val="22"/>
                <w:szCs w:val="22"/>
                <w:lang w:val="en-US"/>
              </w:rPr>
              <w:t>tOrganization</w:t>
            </w:r>
          </w:p>
        </w:tc>
        <w:tc>
          <w:tcPr>
            <w:tcW w:w="1701" w:type="dxa"/>
          </w:tcPr>
          <w:p w14:paraId="4F410357" w14:textId="77777777" w:rsidR="00AD1F54" w:rsidRPr="00264D5D" w:rsidRDefault="00941227">
            <w:pPr>
              <w:spacing w:before="60" w:after="60"/>
              <w:rPr>
                <w:sz w:val="22"/>
                <w:szCs w:val="22"/>
                <w:lang w:val="en-US"/>
              </w:rPr>
            </w:pPr>
            <w:r w:rsidRPr="00264D5D">
              <w:rPr>
                <w:sz w:val="22"/>
                <w:szCs w:val="22"/>
                <w:lang w:val="en-US"/>
              </w:rPr>
              <w:t>SRCode</w:t>
            </w:r>
          </w:p>
        </w:tc>
        <w:tc>
          <w:tcPr>
            <w:tcW w:w="567" w:type="dxa"/>
          </w:tcPr>
          <w:p w14:paraId="0C2A0324" w14:textId="77777777" w:rsidR="00AD1F54" w:rsidRPr="00264D5D" w:rsidRDefault="00941227">
            <w:pPr>
              <w:spacing w:before="60" w:after="60"/>
              <w:jc w:val="center"/>
              <w:rPr>
                <w:sz w:val="22"/>
                <w:szCs w:val="22"/>
              </w:rPr>
            </w:pPr>
            <w:r w:rsidRPr="00264D5D">
              <w:rPr>
                <w:sz w:val="22"/>
                <w:szCs w:val="22"/>
              </w:rPr>
              <w:t>П</w:t>
            </w:r>
          </w:p>
        </w:tc>
        <w:tc>
          <w:tcPr>
            <w:tcW w:w="1134" w:type="dxa"/>
          </w:tcPr>
          <w:p w14:paraId="42C72A16" w14:textId="77777777" w:rsidR="00AD1F54" w:rsidRPr="00264D5D" w:rsidRDefault="00941227">
            <w:pPr>
              <w:spacing w:before="60" w:after="60"/>
              <w:rPr>
                <w:sz w:val="22"/>
                <w:szCs w:val="22"/>
              </w:rPr>
            </w:pPr>
            <w:r w:rsidRPr="00264D5D">
              <w:rPr>
                <w:sz w:val="22"/>
                <w:szCs w:val="22"/>
                <w:lang w:val="en-US"/>
              </w:rPr>
              <w:t xml:space="preserve">T(5) или </w:t>
            </w:r>
            <w:r w:rsidRPr="00264D5D">
              <w:rPr>
                <w:sz w:val="22"/>
                <w:szCs w:val="22"/>
              </w:rPr>
              <w:t>T(8)</w:t>
            </w:r>
          </w:p>
        </w:tc>
        <w:tc>
          <w:tcPr>
            <w:tcW w:w="567" w:type="dxa"/>
          </w:tcPr>
          <w:p w14:paraId="6DA655B2" w14:textId="77777777" w:rsidR="00AD1F54" w:rsidRPr="00264D5D" w:rsidRDefault="00941227">
            <w:pPr>
              <w:spacing w:before="60" w:after="60"/>
              <w:jc w:val="center"/>
              <w:rPr>
                <w:sz w:val="22"/>
                <w:szCs w:val="22"/>
              </w:rPr>
            </w:pPr>
            <w:r w:rsidRPr="00264D5D">
              <w:rPr>
                <w:sz w:val="22"/>
                <w:szCs w:val="22"/>
              </w:rPr>
              <w:t xml:space="preserve"> О</w:t>
            </w:r>
          </w:p>
        </w:tc>
        <w:tc>
          <w:tcPr>
            <w:tcW w:w="3963" w:type="dxa"/>
          </w:tcPr>
          <w:p w14:paraId="2132875A" w14:textId="77777777" w:rsidR="00AD1F54" w:rsidRPr="00264D5D" w:rsidRDefault="00941227">
            <w:pPr>
              <w:spacing w:before="60" w:after="60"/>
              <w:rPr>
                <w:sz w:val="22"/>
                <w:szCs w:val="22"/>
              </w:rPr>
            </w:pPr>
            <w:r w:rsidRPr="00264D5D">
              <w:rPr>
                <w:sz w:val="22"/>
                <w:szCs w:val="22"/>
              </w:rPr>
              <w:t>Указывается уникальный код организации по Сводному реестру, равный 8 знакам.</w:t>
            </w:r>
          </w:p>
          <w:p w14:paraId="2A7F3A93" w14:textId="77777777" w:rsidR="00AD1F54" w:rsidRPr="00264D5D" w:rsidRDefault="00941227">
            <w:pPr>
              <w:spacing w:before="60" w:after="60"/>
              <w:rPr>
                <w:sz w:val="22"/>
                <w:szCs w:val="22"/>
              </w:rPr>
            </w:pPr>
            <w:r w:rsidRPr="00264D5D">
              <w:rPr>
                <w:sz w:val="22"/>
                <w:szCs w:val="22"/>
              </w:rPr>
              <w:t>В случае отсутствия уникального кода организации по Сводному реестру, указывается код организации в соответствии с регистрационными данными, при</w:t>
            </w:r>
            <w:r w:rsidR="005A204F" w:rsidRPr="00264D5D">
              <w:rPr>
                <w:sz w:val="22"/>
                <w:szCs w:val="22"/>
              </w:rPr>
              <w:t>своенными ТОФК, равный 5 знакам</w:t>
            </w:r>
          </w:p>
        </w:tc>
      </w:tr>
    </w:tbl>
    <w:p w14:paraId="320A2F4C" w14:textId="77777777" w:rsidR="00AD1F54" w:rsidRPr="00264D5D" w:rsidRDefault="00941227">
      <w:pPr>
        <w:pStyle w:val="31"/>
      </w:pPr>
      <w:bookmarkStart w:id="433" w:name="_Toc219309450"/>
      <w:r w:rsidRPr="00264D5D">
        <w:t>Описание комплексного типа «tTOFK»</w:t>
      </w:r>
      <w:bookmarkEnd w:id="433"/>
    </w:p>
    <w:p w14:paraId="4BC541E9" w14:textId="5E58312C" w:rsidR="00AD1F54" w:rsidRPr="00264D5D" w:rsidRDefault="00941227">
      <w:pPr>
        <w:pStyle w:val="GOSTNameTable"/>
        <w:numPr>
          <w:ilvl w:val="0"/>
          <w:numId w:val="2"/>
        </w:numPr>
        <w:spacing w:before="60"/>
        <w:ind w:left="425" w:hanging="357"/>
        <w:rPr>
          <w:rFonts w:eastAsia="Calibri"/>
          <w:szCs w:val="24"/>
        </w:rPr>
      </w:pPr>
      <w:r w:rsidRPr="00264D5D">
        <w:rPr>
          <w:rFonts w:eastAsia="Calibri"/>
          <w:szCs w:val="24"/>
        </w:rPr>
        <w:fldChar w:fldCharType="begin"/>
      </w:r>
      <w:r w:rsidRPr="00264D5D">
        <w:rPr>
          <w:rFonts w:eastAsia="Calibri"/>
          <w:szCs w:val="24"/>
        </w:rPr>
        <w:instrText xml:space="preserve"> </w:instrText>
      </w:r>
      <w:r w:rsidRPr="00264D5D">
        <w:rPr>
          <w:rFonts w:eastAsia="Calibri"/>
          <w:szCs w:val="24"/>
          <w:lang w:val="en-US"/>
        </w:rPr>
        <w:instrText>SEQ</w:instrText>
      </w:r>
      <w:r w:rsidRPr="00264D5D">
        <w:rPr>
          <w:rFonts w:eastAsia="Calibri"/>
          <w:szCs w:val="24"/>
        </w:rPr>
        <w:instrText xml:space="preserve"> Таблица \* </w:instrText>
      </w:r>
      <w:r w:rsidRPr="00264D5D">
        <w:rPr>
          <w:rFonts w:eastAsia="Calibri"/>
          <w:szCs w:val="24"/>
          <w:lang w:val="en-US"/>
        </w:rPr>
        <w:instrText>ARABIC</w:instrText>
      </w:r>
      <w:r w:rsidRPr="00264D5D">
        <w:rPr>
          <w:rFonts w:eastAsia="Calibri"/>
          <w:szCs w:val="24"/>
        </w:rPr>
        <w:instrText xml:space="preserve"> </w:instrText>
      </w:r>
      <w:r w:rsidRPr="00264D5D">
        <w:rPr>
          <w:rFonts w:eastAsia="Calibri"/>
          <w:szCs w:val="24"/>
        </w:rPr>
        <w:fldChar w:fldCharType="separate"/>
      </w:r>
      <w:bookmarkStart w:id="434" w:name="_Toc30503348"/>
      <w:bookmarkStart w:id="435" w:name="_Toc30507946"/>
      <w:bookmarkStart w:id="436" w:name="_Toc219309042"/>
      <w:r w:rsidR="008D797C" w:rsidRPr="008D797C">
        <w:rPr>
          <w:rFonts w:eastAsia="Calibri"/>
          <w:noProof/>
          <w:szCs w:val="24"/>
        </w:rPr>
        <w:t>12</w:t>
      </w:r>
      <w:r w:rsidRPr="00264D5D">
        <w:rPr>
          <w:rFonts w:eastAsia="Calibri"/>
          <w:szCs w:val="24"/>
        </w:rPr>
        <w:fldChar w:fldCharType="end"/>
      </w:r>
      <w:r w:rsidRPr="00264D5D">
        <w:rPr>
          <w:rFonts w:eastAsia="Calibri"/>
          <w:szCs w:val="24"/>
        </w:rPr>
        <w:t xml:space="preserve"> – Описание комплексного типа «</w:t>
      </w:r>
      <w:r w:rsidRPr="00264D5D">
        <w:rPr>
          <w:rFonts w:eastAsia="Calibri"/>
          <w:szCs w:val="24"/>
          <w:lang w:val="en-US"/>
        </w:rPr>
        <w:t>tTOFK</w:t>
      </w:r>
      <w:r w:rsidRPr="00264D5D">
        <w:rPr>
          <w:rFonts w:eastAsia="Calibri"/>
          <w:szCs w:val="24"/>
        </w:rPr>
        <w:t>» блока «</w:t>
      </w:r>
      <w:r w:rsidRPr="00264D5D">
        <w:rPr>
          <w:color w:val="000000"/>
          <w:szCs w:val="24"/>
          <w:lang w:val="en-US"/>
        </w:rPr>
        <w:t>tPartyIdentifier</w:t>
      </w:r>
      <w:r w:rsidRPr="00264D5D">
        <w:rPr>
          <w:rFonts w:eastAsia="Calibri"/>
          <w:szCs w:val="24"/>
        </w:rPr>
        <w:t>»</w:t>
      </w:r>
      <w:bookmarkEnd w:id="434"/>
      <w:bookmarkEnd w:id="435"/>
      <w:bookmarkEnd w:id="436"/>
    </w:p>
    <w:tbl>
      <w:tblPr>
        <w:tblStyle w:val="GOSTTable"/>
        <w:tblW w:w="5000" w:type="pct"/>
        <w:tblLayout w:type="fixed"/>
        <w:tblLook w:val="01E0" w:firstRow="1" w:lastRow="1" w:firstColumn="1" w:lastColumn="1" w:noHBand="0" w:noVBand="0"/>
      </w:tblPr>
      <w:tblGrid>
        <w:gridCol w:w="1705"/>
        <w:gridCol w:w="1704"/>
        <w:gridCol w:w="568"/>
        <w:gridCol w:w="1136"/>
        <w:gridCol w:w="568"/>
        <w:gridCol w:w="3969"/>
      </w:tblGrid>
      <w:tr w:rsidR="00AD1F54" w:rsidRPr="00264D5D" w14:paraId="379238D5"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3" w:type="dxa"/>
          </w:tcPr>
          <w:p w14:paraId="697E7689" w14:textId="77777777" w:rsidR="00AD1F54" w:rsidRPr="00264D5D" w:rsidRDefault="00941227">
            <w:pPr>
              <w:spacing w:before="60" w:after="60"/>
              <w:ind w:left="57" w:right="57"/>
              <w:jc w:val="center"/>
              <w:rPr>
                <w:b/>
                <w:sz w:val="22"/>
                <w:szCs w:val="22"/>
              </w:rPr>
            </w:pPr>
            <w:r w:rsidRPr="00264D5D">
              <w:rPr>
                <w:b/>
                <w:bCs/>
                <w:sz w:val="22"/>
                <w:szCs w:val="22"/>
              </w:rPr>
              <w:t>Наименование комплексного типа</w:t>
            </w:r>
          </w:p>
        </w:tc>
        <w:tc>
          <w:tcPr>
            <w:tcW w:w="1701" w:type="dxa"/>
          </w:tcPr>
          <w:p w14:paraId="33965F61" w14:textId="77777777" w:rsidR="00AD1F54" w:rsidRPr="00264D5D" w:rsidRDefault="00941227">
            <w:pPr>
              <w:spacing w:before="60" w:after="60"/>
              <w:ind w:left="57" w:right="57"/>
              <w:jc w:val="center"/>
              <w:rPr>
                <w:b/>
                <w:sz w:val="22"/>
                <w:szCs w:val="22"/>
              </w:rPr>
            </w:pPr>
            <w:r w:rsidRPr="00264D5D">
              <w:rPr>
                <w:b/>
                <w:bCs/>
                <w:sz w:val="22"/>
                <w:szCs w:val="22"/>
              </w:rPr>
              <w:t>Текущий элемент/ атрибут</w:t>
            </w:r>
          </w:p>
        </w:tc>
        <w:tc>
          <w:tcPr>
            <w:tcW w:w="567" w:type="dxa"/>
          </w:tcPr>
          <w:p w14:paraId="2AD5DE83" w14:textId="77777777" w:rsidR="00AD1F54" w:rsidRPr="00264D5D" w:rsidRDefault="00941227">
            <w:pPr>
              <w:spacing w:before="60" w:after="60"/>
              <w:ind w:left="57" w:right="57"/>
              <w:jc w:val="center"/>
              <w:rPr>
                <w:b/>
                <w:sz w:val="22"/>
                <w:szCs w:val="22"/>
              </w:rPr>
            </w:pPr>
            <w:r w:rsidRPr="00264D5D">
              <w:rPr>
                <w:b/>
                <w:bCs/>
                <w:sz w:val="22"/>
                <w:szCs w:val="22"/>
              </w:rPr>
              <w:t>Тип</w:t>
            </w:r>
          </w:p>
        </w:tc>
        <w:tc>
          <w:tcPr>
            <w:tcW w:w="1134" w:type="dxa"/>
          </w:tcPr>
          <w:p w14:paraId="69C60BFF" w14:textId="77777777" w:rsidR="00AD1F54" w:rsidRPr="00264D5D" w:rsidRDefault="00941227">
            <w:pPr>
              <w:spacing w:before="60" w:after="60"/>
              <w:ind w:left="57" w:right="57"/>
              <w:jc w:val="center"/>
              <w:rPr>
                <w:b/>
                <w:sz w:val="22"/>
                <w:szCs w:val="22"/>
              </w:rPr>
            </w:pPr>
            <w:r w:rsidRPr="00264D5D">
              <w:rPr>
                <w:b/>
                <w:bCs/>
                <w:sz w:val="22"/>
                <w:szCs w:val="22"/>
              </w:rPr>
              <w:t>Формат элемента</w:t>
            </w:r>
          </w:p>
        </w:tc>
        <w:tc>
          <w:tcPr>
            <w:tcW w:w="567" w:type="dxa"/>
          </w:tcPr>
          <w:p w14:paraId="6DC72F9E" w14:textId="77777777" w:rsidR="00AD1F54" w:rsidRPr="00264D5D" w:rsidRDefault="00941227">
            <w:pPr>
              <w:spacing w:before="60" w:after="60"/>
              <w:ind w:left="57" w:right="57"/>
              <w:jc w:val="center"/>
              <w:rPr>
                <w:b/>
                <w:sz w:val="22"/>
                <w:szCs w:val="22"/>
              </w:rPr>
            </w:pPr>
            <w:r w:rsidRPr="00264D5D">
              <w:rPr>
                <w:b/>
                <w:bCs/>
                <w:sz w:val="22"/>
                <w:szCs w:val="22"/>
              </w:rPr>
              <w:t>Обязательность</w:t>
            </w:r>
          </w:p>
        </w:tc>
        <w:tc>
          <w:tcPr>
            <w:tcW w:w="3963" w:type="dxa"/>
          </w:tcPr>
          <w:p w14:paraId="0D7AB584" w14:textId="77777777" w:rsidR="00AD1F54" w:rsidRPr="00264D5D" w:rsidRDefault="00941227">
            <w:pPr>
              <w:spacing w:before="60" w:after="60"/>
              <w:ind w:left="57" w:right="57"/>
              <w:jc w:val="center"/>
              <w:rPr>
                <w:b/>
                <w:sz w:val="22"/>
                <w:szCs w:val="22"/>
              </w:rPr>
            </w:pPr>
            <w:r w:rsidRPr="00264D5D">
              <w:rPr>
                <w:b/>
                <w:bCs/>
                <w:sz w:val="22"/>
                <w:szCs w:val="22"/>
              </w:rPr>
              <w:t>Дополнительная информация</w:t>
            </w:r>
          </w:p>
        </w:tc>
      </w:tr>
      <w:tr w:rsidR="00AD1F54" w:rsidRPr="00264D5D" w14:paraId="5591CFB1" w14:textId="77777777" w:rsidTr="00AD1F54">
        <w:trPr>
          <w:cnfStyle w:val="000000100000" w:firstRow="0" w:lastRow="0" w:firstColumn="0" w:lastColumn="0" w:oddVBand="0" w:evenVBand="0" w:oddHBand="1" w:evenHBand="0" w:firstRowFirstColumn="0" w:firstRowLastColumn="0" w:lastRowFirstColumn="0" w:lastRowLastColumn="0"/>
        </w:trPr>
        <w:tc>
          <w:tcPr>
            <w:tcW w:w="1703" w:type="dxa"/>
          </w:tcPr>
          <w:p w14:paraId="7F9B1FD6" w14:textId="77777777" w:rsidR="00AD1F54" w:rsidRPr="00264D5D" w:rsidRDefault="00941227">
            <w:pPr>
              <w:spacing w:before="60" w:after="60"/>
              <w:rPr>
                <w:sz w:val="22"/>
                <w:szCs w:val="22"/>
                <w:lang w:val="en-US"/>
              </w:rPr>
            </w:pPr>
            <w:r w:rsidRPr="00264D5D">
              <w:rPr>
                <w:sz w:val="22"/>
                <w:szCs w:val="22"/>
                <w:lang w:val="en-US"/>
              </w:rPr>
              <w:t>tTOFK</w:t>
            </w:r>
          </w:p>
        </w:tc>
        <w:tc>
          <w:tcPr>
            <w:tcW w:w="1701" w:type="dxa"/>
          </w:tcPr>
          <w:p w14:paraId="7D215A7C" w14:textId="77777777" w:rsidR="00AD1F54" w:rsidRPr="00264D5D" w:rsidRDefault="00941227">
            <w:pPr>
              <w:spacing w:before="60" w:after="60"/>
              <w:rPr>
                <w:sz w:val="22"/>
                <w:szCs w:val="22"/>
                <w:lang w:val="en-US"/>
              </w:rPr>
            </w:pPr>
            <w:r w:rsidRPr="00264D5D">
              <w:rPr>
                <w:sz w:val="22"/>
                <w:szCs w:val="22"/>
                <w:lang w:val="en-US"/>
              </w:rPr>
              <w:t>TOFKCode</w:t>
            </w:r>
          </w:p>
        </w:tc>
        <w:tc>
          <w:tcPr>
            <w:tcW w:w="567" w:type="dxa"/>
          </w:tcPr>
          <w:p w14:paraId="03995018" w14:textId="77777777" w:rsidR="00AD1F54" w:rsidRPr="00264D5D" w:rsidRDefault="00941227">
            <w:pPr>
              <w:spacing w:before="60" w:after="60"/>
              <w:jc w:val="center"/>
              <w:rPr>
                <w:sz w:val="22"/>
                <w:szCs w:val="22"/>
              </w:rPr>
            </w:pPr>
            <w:r w:rsidRPr="00264D5D">
              <w:rPr>
                <w:sz w:val="22"/>
                <w:szCs w:val="22"/>
              </w:rPr>
              <w:t>П</w:t>
            </w:r>
          </w:p>
        </w:tc>
        <w:tc>
          <w:tcPr>
            <w:tcW w:w="1134" w:type="dxa"/>
          </w:tcPr>
          <w:p w14:paraId="2BA264BD" w14:textId="77777777" w:rsidR="00AD1F54" w:rsidRPr="00264D5D" w:rsidRDefault="00941227">
            <w:pPr>
              <w:spacing w:before="60" w:after="60"/>
              <w:jc w:val="left"/>
              <w:rPr>
                <w:sz w:val="22"/>
                <w:szCs w:val="22"/>
              </w:rPr>
            </w:pPr>
            <w:r w:rsidRPr="00264D5D">
              <w:rPr>
                <w:sz w:val="22"/>
                <w:szCs w:val="22"/>
              </w:rPr>
              <w:t>T(4)</w:t>
            </w:r>
          </w:p>
        </w:tc>
        <w:tc>
          <w:tcPr>
            <w:tcW w:w="567" w:type="dxa"/>
          </w:tcPr>
          <w:p w14:paraId="0FFF6D19" w14:textId="77777777" w:rsidR="00AD1F54" w:rsidRPr="00264D5D" w:rsidRDefault="00941227">
            <w:pPr>
              <w:spacing w:before="60" w:after="60"/>
              <w:jc w:val="center"/>
              <w:rPr>
                <w:sz w:val="22"/>
                <w:szCs w:val="22"/>
              </w:rPr>
            </w:pPr>
            <w:r w:rsidRPr="00264D5D">
              <w:rPr>
                <w:sz w:val="22"/>
                <w:szCs w:val="22"/>
              </w:rPr>
              <w:t>О</w:t>
            </w:r>
          </w:p>
        </w:tc>
        <w:tc>
          <w:tcPr>
            <w:tcW w:w="3963" w:type="dxa"/>
          </w:tcPr>
          <w:p w14:paraId="550901AB" w14:textId="77777777" w:rsidR="00AD1F54" w:rsidRPr="00264D5D" w:rsidRDefault="005A204F">
            <w:pPr>
              <w:spacing w:before="60" w:after="60"/>
              <w:rPr>
                <w:sz w:val="22"/>
                <w:szCs w:val="22"/>
              </w:rPr>
            </w:pPr>
            <w:r w:rsidRPr="00264D5D">
              <w:rPr>
                <w:sz w:val="22"/>
                <w:szCs w:val="22"/>
              </w:rPr>
              <w:t>Код ТОФК</w:t>
            </w:r>
          </w:p>
        </w:tc>
      </w:tr>
    </w:tbl>
    <w:p w14:paraId="55D99995" w14:textId="77777777" w:rsidR="00AD1F54" w:rsidRPr="00264D5D" w:rsidRDefault="00941227">
      <w:pPr>
        <w:pStyle w:val="31"/>
      </w:pPr>
      <w:bookmarkStart w:id="437" w:name="_Toc416168780"/>
      <w:bookmarkStart w:id="438" w:name="_Toc416180764"/>
      <w:bookmarkStart w:id="439" w:name="_Toc416181012"/>
      <w:bookmarkStart w:id="440" w:name="_Toc416181134"/>
      <w:bookmarkStart w:id="441" w:name="_Toc416181254"/>
      <w:bookmarkStart w:id="442" w:name="_Toc416181375"/>
      <w:bookmarkStart w:id="443" w:name="_Toc416181642"/>
      <w:bookmarkStart w:id="444" w:name="_Toc416181763"/>
      <w:bookmarkStart w:id="445" w:name="_Toc416181875"/>
      <w:bookmarkStart w:id="446" w:name="_Toc416182104"/>
      <w:bookmarkStart w:id="447" w:name="_Toc416182219"/>
      <w:bookmarkStart w:id="448" w:name="_Toc416182336"/>
      <w:bookmarkStart w:id="449" w:name="_Toc416182487"/>
      <w:bookmarkStart w:id="450" w:name="_Toc416182604"/>
      <w:bookmarkStart w:id="451" w:name="_Toc416188286"/>
      <w:bookmarkStart w:id="452" w:name="_Toc416188381"/>
      <w:bookmarkStart w:id="453" w:name="_Toc416188476"/>
      <w:bookmarkStart w:id="454" w:name="_Toc416188571"/>
      <w:bookmarkStart w:id="455" w:name="_Toc416168781"/>
      <w:bookmarkStart w:id="456" w:name="_Toc416180765"/>
      <w:bookmarkStart w:id="457" w:name="_Toc416181013"/>
      <w:bookmarkStart w:id="458" w:name="_Toc416181135"/>
      <w:bookmarkStart w:id="459" w:name="_Toc416181255"/>
      <w:bookmarkStart w:id="460" w:name="_Toc416181376"/>
      <w:bookmarkStart w:id="461" w:name="_Toc416181643"/>
      <w:bookmarkStart w:id="462" w:name="_Toc416181764"/>
      <w:bookmarkStart w:id="463" w:name="_Toc416181876"/>
      <w:bookmarkStart w:id="464" w:name="_Toc416182105"/>
      <w:bookmarkStart w:id="465" w:name="_Toc416182220"/>
      <w:bookmarkStart w:id="466" w:name="_Toc416182337"/>
      <w:bookmarkStart w:id="467" w:name="_Toc416182488"/>
      <w:bookmarkStart w:id="468" w:name="_Toc416182605"/>
      <w:bookmarkStart w:id="469" w:name="_Toc416188287"/>
      <w:bookmarkStart w:id="470" w:name="_Toc416188382"/>
      <w:bookmarkStart w:id="471" w:name="_Toc416188477"/>
      <w:bookmarkStart w:id="472" w:name="_Toc416188572"/>
      <w:bookmarkStart w:id="473" w:name="_Toc416168796"/>
      <w:bookmarkStart w:id="474" w:name="_Toc416180780"/>
      <w:bookmarkStart w:id="475" w:name="_Toc416181028"/>
      <w:bookmarkStart w:id="476" w:name="_Toc416181150"/>
      <w:bookmarkStart w:id="477" w:name="_Toc416181270"/>
      <w:bookmarkStart w:id="478" w:name="_Toc416181391"/>
      <w:bookmarkStart w:id="479" w:name="_Toc416181658"/>
      <w:bookmarkStart w:id="480" w:name="_Toc416181779"/>
      <w:bookmarkStart w:id="481" w:name="_Toc416181891"/>
      <w:bookmarkStart w:id="482" w:name="_Toc416182120"/>
      <w:bookmarkStart w:id="483" w:name="_Toc416182235"/>
      <w:bookmarkStart w:id="484" w:name="_Toc416182352"/>
      <w:bookmarkStart w:id="485" w:name="_Toc416182503"/>
      <w:bookmarkStart w:id="486" w:name="_Toc416182620"/>
      <w:bookmarkStart w:id="487" w:name="_Toc416188302"/>
      <w:bookmarkStart w:id="488" w:name="_Toc416188397"/>
      <w:bookmarkStart w:id="489" w:name="_Toc416188492"/>
      <w:bookmarkStart w:id="490" w:name="_Toc416188587"/>
      <w:bookmarkStart w:id="491" w:name="_Toc411519884"/>
      <w:bookmarkStart w:id="492" w:name="_Toc411520065"/>
      <w:bookmarkStart w:id="493" w:name="_Toc411519885"/>
      <w:bookmarkStart w:id="494" w:name="_Toc411520066"/>
      <w:bookmarkStart w:id="495" w:name="_Toc426365449"/>
      <w:bookmarkStart w:id="496" w:name="_Toc426387339"/>
      <w:bookmarkStart w:id="497" w:name="_Toc426365450"/>
      <w:bookmarkStart w:id="498" w:name="_Toc426387340"/>
      <w:bookmarkStart w:id="499" w:name="_Toc435447858"/>
      <w:bookmarkStart w:id="500" w:name="_Toc435447743"/>
      <w:bookmarkStart w:id="501" w:name="_Toc435447399"/>
      <w:bookmarkStart w:id="502" w:name="_Toc436242115"/>
      <w:bookmarkStart w:id="503" w:name="_Toc436248342"/>
      <w:bookmarkStart w:id="504" w:name="_Toc436248447"/>
      <w:bookmarkStart w:id="505" w:name="_Toc442201005"/>
      <w:bookmarkStart w:id="506" w:name="_Toc458164538"/>
      <w:bookmarkStart w:id="507" w:name="_Ref416188888"/>
      <w:bookmarkStart w:id="508" w:name="_Toc411507341"/>
      <w:bookmarkStart w:id="509" w:name="_Toc219309451"/>
      <w:bookmarkEnd w:id="2"/>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r w:rsidRPr="00264D5D">
        <w:lastRenderedPageBreak/>
        <w:t>Описание комплексного типа «</w:t>
      </w:r>
      <w:bookmarkStart w:id="510" w:name="tSysIdentifier"/>
      <w:r w:rsidRPr="00264D5D">
        <w:t>tSysIdentifier</w:t>
      </w:r>
      <w:bookmarkEnd w:id="499"/>
      <w:bookmarkEnd w:id="500"/>
      <w:bookmarkEnd w:id="501"/>
      <w:bookmarkEnd w:id="510"/>
      <w:r w:rsidRPr="00264D5D">
        <w:t>»</w:t>
      </w:r>
      <w:bookmarkEnd w:id="502"/>
      <w:bookmarkEnd w:id="503"/>
      <w:bookmarkEnd w:id="504"/>
      <w:bookmarkEnd w:id="505"/>
      <w:bookmarkEnd w:id="506"/>
      <w:bookmarkEnd w:id="509"/>
    </w:p>
    <w:p w14:paraId="17E5D2A1" w14:textId="30A2F0EE" w:rsidR="00AD1F54" w:rsidRPr="00264D5D" w:rsidRDefault="00941227">
      <w:pPr>
        <w:pStyle w:val="GOSTNameTable"/>
        <w:numPr>
          <w:ilvl w:val="0"/>
          <w:numId w:val="2"/>
        </w:numPr>
        <w:spacing w:before="60"/>
        <w:ind w:left="425" w:hanging="357"/>
        <w:rPr>
          <w:rFonts w:eastAsia="Calibri"/>
          <w:szCs w:val="24"/>
        </w:rPr>
      </w:pPr>
      <w:r w:rsidRPr="00264D5D">
        <w:rPr>
          <w:rFonts w:eastAsia="Calibri"/>
          <w:szCs w:val="24"/>
        </w:rPr>
        <w:fldChar w:fldCharType="begin"/>
      </w:r>
      <w:r w:rsidRPr="00264D5D">
        <w:rPr>
          <w:rFonts w:eastAsia="Calibri"/>
          <w:szCs w:val="24"/>
          <w:lang w:val="en-US"/>
        </w:rPr>
        <w:instrText>SEQ</w:instrText>
      </w:r>
      <w:r w:rsidRPr="00264D5D">
        <w:rPr>
          <w:rFonts w:eastAsia="Calibri"/>
          <w:szCs w:val="24"/>
        </w:rPr>
        <w:instrText xml:space="preserve"> Таблица \* </w:instrText>
      </w:r>
      <w:r w:rsidRPr="00264D5D">
        <w:rPr>
          <w:rFonts w:eastAsia="Calibri"/>
          <w:szCs w:val="24"/>
          <w:lang w:val="en-US"/>
        </w:rPr>
        <w:instrText>ARABIC</w:instrText>
      </w:r>
      <w:r w:rsidRPr="00264D5D">
        <w:rPr>
          <w:rFonts w:eastAsia="Calibri"/>
          <w:szCs w:val="24"/>
        </w:rPr>
        <w:fldChar w:fldCharType="separate"/>
      </w:r>
      <w:bookmarkStart w:id="511" w:name="_Ref436243798"/>
      <w:bookmarkStart w:id="512" w:name="_Toc30503349"/>
      <w:bookmarkStart w:id="513" w:name="_Toc30507947"/>
      <w:bookmarkStart w:id="514" w:name="_Toc219309043"/>
      <w:r w:rsidR="008D797C" w:rsidRPr="008D797C">
        <w:rPr>
          <w:rFonts w:eastAsia="Calibri"/>
          <w:noProof/>
          <w:szCs w:val="24"/>
        </w:rPr>
        <w:t>13</w:t>
      </w:r>
      <w:bookmarkEnd w:id="511"/>
      <w:r w:rsidRPr="00264D5D">
        <w:rPr>
          <w:rFonts w:eastAsia="Calibri"/>
          <w:szCs w:val="24"/>
        </w:rPr>
        <w:fldChar w:fldCharType="end"/>
      </w:r>
      <w:r w:rsidRPr="00264D5D">
        <w:rPr>
          <w:rFonts w:eastAsia="Calibri"/>
          <w:szCs w:val="24"/>
        </w:rPr>
        <w:t xml:space="preserve"> – Описание комплексного типа «</w:t>
      </w:r>
      <w:r w:rsidRPr="00264D5D">
        <w:rPr>
          <w:rFonts w:eastAsia="Calibri"/>
          <w:szCs w:val="24"/>
          <w:lang w:val="en-US"/>
        </w:rPr>
        <w:t>tSysIdentifier</w:t>
      </w:r>
      <w:r w:rsidRPr="00264D5D">
        <w:rPr>
          <w:rFonts w:eastAsia="Calibri"/>
          <w:szCs w:val="24"/>
        </w:rPr>
        <w:t>» блока «</w:t>
      </w:r>
      <w:r w:rsidRPr="00264D5D">
        <w:rPr>
          <w:color w:val="000000"/>
          <w:szCs w:val="24"/>
          <w:lang w:val="en-US"/>
        </w:rPr>
        <w:t>tPartyIdentifier</w:t>
      </w:r>
      <w:r w:rsidRPr="00264D5D">
        <w:rPr>
          <w:rFonts w:eastAsia="Calibri"/>
          <w:szCs w:val="24"/>
        </w:rPr>
        <w:t>»</w:t>
      </w:r>
      <w:bookmarkEnd w:id="512"/>
      <w:bookmarkEnd w:id="513"/>
      <w:bookmarkEnd w:id="514"/>
    </w:p>
    <w:tbl>
      <w:tblPr>
        <w:tblStyle w:val="GOSTTable"/>
        <w:tblW w:w="5000" w:type="pct"/>
        <w:tblLayout w:type="fixed"/>
        <w:tblLook w:val="01E0" w:firstRow="1" w:lastRow="1" w:firstColumn="1" w:lastColumn="1" w:noHBand="0" w:noVBand="0"/>
      </w:tblPr>
      <w:tblGrid>
        <w:gridCol w:w="1703"/>
        <w:gridCol w:w="1704"/>
        <w:gridCol w:w="568"/>
        <w:gridCol w:w="1136"/>
        <w:gridCol w:w="568"/>
        <w:gridCol w:w="3971"/>
      </w:tblGrid>
      <w:tr w:rsidR="00AD1F54" w:rsidRPr="00264D5D" w14:paraId="32BFE0AE"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699" w:type="dxa"/>
          </w:tcPr>
          <w:p w14:paraId="66CE3ABC" w14:textId="77777777" w:rsidR="00AD1F54" w:rsidRPr="00264D5D" w:rsidRDefault="00941227">
            <w:pPr>
              <w:pStyle w:val="EBTableHead"/>
              <w:ind w:left="57" w:right="57"/>
              <w:rPr>
                <w:sz w:val="22"/>
                <w:szCs w:val="22"/>
              </w:rPr>
            </w:pPr>
            <w:r w:rsidRPr="00264D5D">
              <w:rPr>
                <w:bCs w:val="0"/>
                <w:sz w:val="22"/>
                <w:szCs w:val="22"/>
              </w:rPr>
              <w:t>Наименование комплексного типа</w:t>
            </w:r>
          </w:p>
        </w:tc>
        <w:tc>
          <w:tcPr>
            <w:tcW w:w="1701" w:type="dxa"/>
          </w:tcPr>
          <w:p w14:paraId="10B02CBF" w14:textId="77777777" w:rsidR="00AD1F54" w:rsidRPr="00264D5D" w:rsidRDefault="00941227">
            <w:pPr>
              <w:pStyle w:val="EBTableHead"/>
              <w:ind w:left="57" w:right="57"/>
              <w:rPr>
                <w:sz w:val="22"/>
                <w:szCs w:val="22"/>
              </w:rPr>
            </w:pPr>
            <w:r w:rsidRPr="00264D5D">
              <w:rPr>
                <w:bCs w:val="0"/>
                <w:sz w:val="22"/>
                <w:szCs w:val="22"/>
              </w:rPr>
              <w:t>Текущий элемент/ атрибут</w:t>
            </w:r>
          </w:p>
        </w:tc>
        <w:tc>
          <w:tcPr>
            <w:tcW w:w="567" w:type="dxa"/>
          </w:tcPr>
          <w:p w14:paraId="51B144D2" w14:textId="77777777" w:rsidR="00AD1F54" w:rsidRPr="00264D5D" w:rsidRDefault="00941227">
            <w:pPr>
              <w:pStyle w:val="EBTableHead"/>
              <w:ind w:left="57" w:right="57"/>
              <w:rPr>
                <w:sz w:val="22"/>
                <w:szCs w:val="22"/>
              </w:rPr>
            </w:pPr>
            <w:r w:rsidRPr="00264D5D">
              <w:rPr>
                <w:bCs w:val="0"/>
                <w:sz w:val="22"/>
                <w:szCs w:val="22"/>
              </w:rPr>
              <w:t>Тип</w:t>
            </w:r>
          </w:p>
        </w:tc>
        <w:tc>
          <w:tcPr>
            <w:tcW w:w="1134" w:type="dxa"/>
          </w:tcPr>
          <w:p w14:paraId="18AA174A" w14:textId="77777777" w:rsidR="00AD1F54" w:rsidRPr="00264D5D" w:rsidRDefault="00941227">
            <w:pPr>
              <w:pStyle w:val="EBTableHead"/>
              <w:ind w:left="57" w:right="57"/>
              <w:rPr>
                <w:sz w:val="22"/>
                <w:szCs w:val="22"/>
              </w:rPr>
            </w:pPr>
            <w:r w:rsidRPr="00264D5D">
              <w:rPr>
                <w:bCs w:val="0"/>
                <w:sz w:val="22"/>
                <w:szCs w:val="22"/>
              </w:rPr>
              <w:t>Формат элемента</w:t>
            </w:r>
          </w:p>
        </w:tc>
        <w:tc>
          <w:tcPr>
            <w:tcW w:w="567" w:type="dxa"/>
          </w:tcPr>
          <w:p w14:paraId="504C340B" w14:textId="77777777" w:rsidR="00AD1F54" w:rsidRPr="00264D5D" w:rsidRDefault="00941227">
            <w:pPr>
              <w:pStyle w:val="EBTableHead"/>
              <w:ind w:left="57" w:right="57"/>
              <w:rPr>
                <w:sz w:val="22"/>
                <w:szCs w:val="22"/>
              </w:rPr>
            </w:pPr>
            <w:r w:rsidRPr="00264D5D">
              <w:rPr>
                <w:bCs w:val="0"/>
                <w:sz w:val="22"/>
                <w:szCs w:val="22"/>
              </w:rPr>
              <w:t>Обязательность</w:t>
            </w:r>
          </w:p>
        </w:tc>
        <w:tc>
          <w:tcPr>
            <w:tcW w:w="3963" w:type="dxa"/>
          </w:tcPr>
          <w:p w14:paraId="167572C0" w14:textId="77777777" w:rsidR="00AD1F54" w:rsidRPr="00264D5D" w:rsidRDefault="00941227">
            <w:pPr>
              <w:pStyle w:val="EBTableHead"/>
              <w:ind w:left="57" w:right="57"/>
              <w:rPr>
                <w:sz w:val="22"/>
                <w:szCs w:val="22"/>
              </w:rPr>
            </w:pPr>
            <w:r w:rsidRPr="00264D5D">
              <w:rPr>
                <w:bCs w:val="0"/>
                <w:sz w:val="22"/>
                <w:szCs w:val="22"/>
              </w:rPr>
              <w:t>Дополнительная информация</w:t>
            </w:r>
          </w:p>
        </w:tc>
      </w:tr>
      <w:tr w:rsidR="00AD1F54" w:rsidRPr="00264D5D" w14:paraId="605FAC5A" w14:textId="77777777" w:rsidTr="00AD1F54">
        <w:trPr>
          <w:cnfStyle w:val="000000100000" w:firstRow="0" w:lastRow="0" w:firstColumn="0" w:lastColumn="0" w:oddVBand="0" w:evenVBand="0" w:oddHBand="1" w:evenHBand="0" w:firstRowFirstColumn="0" w:firstRowLastColumn="0" w:lastRowFirstColumn="0" w:lastRowLastColumn="0"/>
        </w:trPr>
        <w:tc>
          <w:tcPr>
            <w:tcW w:w="1699" w:type="dxa"/>
          </w:tcPr>
          <w:p w14:paraId="061B3E25" w14:textId="77777777" w:rsidR="00AD1F54" w:rsidRPr="00264D5D" w:rsidRDefault="00941227">
            <w:pPr>
              <w:pStyle w:val="EBTablenorm"/>
              <w:ind w:left="57" w:right="57"/>
              <w:rPr>
                <w:sz w:val="22"/>
                <w:szCs w:val="22"/>
              </w:rPr>
            </w:pPr>
            <w:r w:rsidRPr="00264D5D">
              <w:rPr>
                <w:sz w:val="22"/>
                <w:szCs w:val="22"/>
              </w:rPr>
              <w:t>tSysIdentifier</w:t>
            </w:r>
          </w:p>
        </w:tc>
        <w:tc>
          <w:tcPr>
            <w:tcW w:w="1701" w:type="dxa"/>
          </w:tcPr>
          <w:p w14:paraId="5E2BB721" w14:textId="77777777" w:rsidR="00AD1F54" w:rsidRPr="00264D5D" w:rsidRDefault="00941227">
            <w:pPr>
              <w:pStyle w:val="EBTablenorm"/>
              <w:ind w:left="57" w:right="57"/>
              <w:rPr>
                <w:sz w:val="22"/>
                <w:szCs w:val="22"/>
              </w:rPr>
            </w:pPr>
            <w:r w:rsidRPr="00264D5D">
              <w:rPr>
                <w:sz w:val="22"/>
                <w:szCs w:val="22"/>
              </w:rPr>
              <w:t>SysIdentifier</w:t>
            </w:r>
          </w:p>
        </w:tc>
        <w:tc>
          <w:tcPr>
            <w:tcW w:w="567" w:type="dxa"/>
          </w:tcPr>
          <w:p w14:paraId="4E1D54D7" w14:textId="77777777" w:rsidR="00AD1F54" w:rsidRPr="00264D5D" w:rsidRDefault="00941227">
            <w:pPr>
              <w:pStyle w:val="EBTablenorm"/>
              <w:ind w:left="57" w:right="57"/>
              <w:jc w:val="center"/>
              <w:rPr>
                <w:sz w:val="22"/>
                <w:szCs w:val="22"/>
              </w:rPr>
            </w:pPr>
            <w:r w:rsidRPr="00264D5D">
              <w:rPr>
                <w:sz w:val="22"/>
                <w:szCs w:val="22"/>
              </w:rPr>
              <w:t>П</w:t>
            </w:r>
          </w:p>
        </w:tc>
        <w:tc>
          <w:tcPr>
            <w:tcW w:w="1134" w:type="dxa"/>
          </w:tcPr>
          <w:p w14:paraId="564C8C81" w14:textId="77777777" w:rsidR="00AD1F54" w:rsidRPr="00264D5D" w:rsidRDefault="00941227">
            <w:pPr>
              <w:pStyle w:val="EBTablenorm"/>
              <w:ind w:left="57" w:right="57"/>
              <w:jc w:val="left"/>
              <w:rPr>
                <w:sz w:val="22"/>
                <w:szCs w:val="22"/>
              </w:rPr>
            </w:pPr>
            <w:r w:rsidRPr="00264D5D">
              <w:rPr>
                <w:sz w:val="22"/>
                <w:szCs w:val="22"/>
              </w:rPr>
              <w:t>Т(1-50)</w:t>
            </w:r>
          </w:p>
        </w:tc>
        <w:tc>
          <w:tcPr>
            <w:tcW w:w="567" w:type="dxa"/>
          </w:tcPr>
          <w:p w14:paraId="51B706E1" w14:textId="77777777" w:rsidR="00AD1F54" w:rsidRPr="00264D5D" w:rsidRDefault="00941227">
            <w:pPr>
              <w:pStyle w:val="EBTablenorm"/>
              <w:ind w:left="57" w:right="57"/>
              <w:jc w:val="center"/>
              <w:rPr>
                <w:sz w:val="22"/>
                <w:szCs w:val="22"/>
              </w:rPr>
            </w:pPr>
            <w:r w:rsidRPr="00264D5D">
              <w:rPr>
                <w:sz w:val="22"/>
                <w:szCs w:val="22"/>
              </w:rPr>
              <w:t>О</w:t>
            </w:r>
          </w:p>
        </w:tc>
        <w:tc>
          <w:tcPr>
            <w:tcW w:w="3963" w:type="dxa"/>
          </w:tcPr>
          <w:p w14:paraId="758FD3A8" w14:textId="77777777" w:rsidR="00AD1F54" w:rsidRPr="00264D5D" w:rsidRDefault="00941227">
            <w:pPr>
              <w:pStyle w:val="EBTablenorm"/>
              <w:ind w:left="57" w:right="57"/>
              <w:rPr>
                <w:sz w:val="22"/>
                <w:szCs w:val="22"/>
              </w:rPr>
            </w:pPr>
            <w:r w:rsidRPr="00264D5D">
              <w:rPr>
                <w:sz w:val="22"/>
                <w:szCs w:val="22"/>
              </w:rPr>
              <w:t>Указывается код системы отправителя/получателя файла. Возможные значения:</w:t>
            </w:r>
          </w:p>
          <w:p w14:paraId="29B7BFC8" w14:textId="77777777" w:rsidR="00AD1F54" w:rsidRPr="00264D5D" w:rsidRDefault="00941227" w:rsidP="00101F62">
            <w:pPr>
              <w:pStyle w:val="EBTablenorm"/>
              <w:numPr>
                <w:ilvl w:val="0"/>
                <w:numId w:val="131"/>
              </w:numPr>
              <w:ind w:left="284" w:right="57" w:hanging="227"/>
              <w:rPr>
                <w:sz w:val="22"/>
                <w:szCs w:val="22"/>
              </w:rPr>
            </w:pPr>
            <w:r w:rsidRPr="00264D5D">
              <w:rPr>
                <w:sz w:val="22"/>
                <w:szCs w:val="22"/>
              </w:rPr>
              <w:t>«ASFK» – Автоматизированная система ФК;</w:t>
            </w:r>
          </w:p>
          <w:p w14:paraId="094516EE" w14:textId="77777777" w:rsidR="00AD1F54" w:rsidRPr="00264D5D" w:rsidRDefault="00941227" w:rsidP="00101F62">
            <w:pPr>
              <w:pStyle w:val="EBTablenorm"/>
              <w:numPr>
                <w:ilvl w:val="0"/>
                <w:numId w:val="131"/>
              </w:numPr>
              <w:ind w:left="284" w:right="57" w:hanging="227"/>
              <w:rPr>
                <w:sz w:val="22"/>
                <w:szCs w:val="22"/>
              </w:rPr>
            </w:pPr>
            <w:r w:rsidRPr="00264D5D">
              <w:rPr>
                <w:sz w:val="22"/>
                <w:szCs w:val="22"/>
              </w:rPr>
              <w:t>«PUR» – Единая информационная система в сфере закупок;</w:t>
            </w:r>
          </w:p>
          <w:p w14:paraId="3A8D4F93" w14:textId="77777777" w:rsidR="00AD1F54" w:rsidRPr="00264D5D" w:rsidRDefault="00941227" w:rsidP="00101F62">
            <w:pPr>
              <w:pStyle w:val="EBTablenorm"/>
              <w:numPr>
                <w:ilvl w:val="0"/>
                <w:numId w:val="131"/>
              </w:numPr>
              <w:ind w:left="284" w:right="57" w:hanging="227"/>
              <w:rPr>
                <w:sz w:val="22"/>
                <w:szCs w:val="22"/>
              </w:rPr>
            </w:pPr>
            <w:r w:rsidRPr="00264D5D">
              <w:rPr>
                <w:sz w:val="22"/>
                <w:szCs w:val="22"/>
              </w:rPr>
              <w:t>«EXP» – Подсистема Управления расходами;</w:t>
            </w:r>
          </w:p>
          <w:p w14:paraId="5A328D32" w14:textId="77777777" w:rsidR="00AD1F54" w:rsidRPr="00264D5D" w:rsidRDefault="005A204F" w:rsidP="00101F62">
            <w:pPr>
              <w:pStyle w:val="EBTablenorm"/>
              <w:numPr>
                <w:ilvl w:val="0"/>
                <w:numId w:val="131"/>
              </w:numPr>
              <w:ind w:left="284" w:right="57" w:hanging="227"/>
              <w:rPr>
                <w:sz w:val="22"/>
                <w:szCs w:val="22"/>
                <w:lang w:eastAsia="en-US"/>
              </w:rPr>
            </w:pPr>
            <w:r w:rsidRPr="00264D5D">
              <w:rPr>
                <w:sz w:val="22"/>
                <w:szCs w:val="22"/>
              </w:rPr>
              <w:t>«IVS» – Иная внешняя система</w:t>
            </w:r>
          </w:p>
        </w:tc>
      </w:tr>
    </w:tbl>
    <w:p w14:paraId="5163D5D5" w14:textId="77777777" w:rsidR="00AD1F54" w:rsidRPr="00264D5D" w:rsidRDefault="00941227">
      <w:pPr>
        <w:pStyle w:val="22"/>
      </w:pPr>
      <w:bookmarkStart w:id="515" w:name="_Ref465262547"/>
      <w:bookmarkStart w:id="516" w:name="_Ref465295128"/>
      <w:bookmarkStart w:id="517" w:name="_Toc219309452"/>
      <w:bookmarkEnd w:id="507"/>
      <w:r w:rsidRPr="00264D5D">
        <w:t>Описание комплексного типа «tFormularCollection»</w:t>
      </w:r>
      <w:bookmarkEnd w:id="517"/>
    </w:p>
    <w:p w14:paraId="7E0F1DBF" w14:textId="598E13C2" w:rsidR="00AD1F54" w:rsidRPr="00264D5D" w:rsidRDefault="00941227">
      <w:pPr>
        <w:pStyle w:val="GOSTNameTable"/>
        <w:numPr>
          <w:ilvl w:val="0"/>
          <w:numId w:val="2"/>
        </w:numPr>
        <w:spacing w:before="60"/>
        <w:ind w:left="425" w:hanging="357"/>
        <w:rPr>
          <w:szCs w:val="24"/>
        </w:rPr>
      </w:pPr>
      <w:r w:rsidRPr="00264D5D">
        <w:rPr>
          <w:rFonts w:eastAsia="Calibri"/>
          <w:szCs w:val="24"/>
        </w:rPr>
        <w:fldChar w:fldCharType="begin"/>
      </w:r>
      <w:r w:rsidRPr="00264D5D">
        <w:rPr>
          <w:rFonts w:eastAsia="Calibri"/>
          <w:szCs w:val="24"/>
        </w:rPr>
        <w:instrText>SEQ Таблица \* ARABIC</w:instrText>
      </w:r>
      <w:r w:rsidRPr="00264D5D">
        <w:rPr>
          <w:rFonts w:eastAsia="Calibri"/>
          <w:szCs w:val="24"/>
        </w:rPr>
        <w:fldChar w:fldCharType="separate"/>
      </w:r>
      <w:bookmarkStart w:id="518" w:name="_Toc219309044"/>
      <w:r w:rsidR="008D797C">
        <w:rPr>
          <w:rFonts w:eastAsia="Calibri"/>
          <w:noProof/>
          <w:szCs w:val="24"/>
        </w:rPr>
        <w:t>14</w:t>
      </w:r>
      <w:r w:rsidRPr="00264D5D">
        <w:rPr>
          <w:rFonts w:eastAsia="Calibri"/>
          <w:szCs w:val="24"/>
        </w:rPr>
        <w:fldChar w:fldCharType="end"/>
      </w:r>
      <w:r w:rsidRPr="00264D5D">
        <w:rPr>
          <w:szCs w:val="24"/>
        </w:rPr>
        <w:t xml:space="preserve"> </w:t>
      </w:r>
      <w:r w:rsidRPr="00264D5D">
        <w:rPr>
          <w:rFonts w:eastAsia="Calibri"/>
          <w:szCs w:val="24"/>
        </w:rPr>
        <w:t>–</w:t>
      </w:r>
      <w:r w:rsidRPr="00264D5D">
        <w:rPr>
          <w:szCs w:val="24"/>
        </w:rPr>
        <w:t xml:space="preserve"> Описание комплексного типа «tFormularCollection»</w:t>
      </w:r>
      <w:bookmarkEnd w:id="518"/>
    </w:p>
    <w:tbl>
      <w:tblPr>
        <w:tblStyle w:val="GOSTTable"/>
        <w:tblW w:w="5000" w:type="pct"/>
        <w:tblLayout w:type="fixed"/>
        <w:tblLook w:val="01E0" w:firstRow="1" w:lastRow="1" w:firstColumn="1" w:lastColumn="1" w:noHBand="0" w:noVBand="0"/>
      </w:tblPr>
      <w:tblGrid>
        <w:gridCol w:w="1704"/>
        <w:gridCol w:w="1704"/>
        <w:gridCol w:w="568"/>
        <w:gridCol w:w="1136"/>
        <w:gridCol w:w="568"/>
        <w:gridCol w:w="3970"/>
      </w:tblGrid>
      <w:tr w:rsidR="00AD1F54" w:rsidRPr="00264D5D" w14:paraId="187486AC"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24F532A2" w14:textId="77777777" w:rsidR="00AD1F54" w:rsidRPr="00264D5D" w:rsidRDefault="00941227">
            <w:pPr>
              <w:spacing w:before="60" w:after="60"/>
              <w:ind w:left="57" w:right="57"/>
              <w:jc w:val="center"/>
              <w:rPr>
                <w:b/>
                <w:sz w:val="22"/>
              </w:rPr>
            </w:pPr>
            <w:r w:rsidRPr="00264D5D">
              <w:rPr>
                <w:b/>
                <w:bCs/>
                <w:sz w:val="22"/>
                <w:szCs w:val="22"/>
              </w:rPr>
              <w:t>Наименование комплексного типа</w:t>
            </w:r>
          </w:p>
        </w:tc>
        <w:tc>
          <w:tcPr>
            <w:tcW w:w="1701" w:type="dxa"/>
          </w:tcPr>
          <w:p w14:paraId="6DA42945" w14:textId="77777777" w:rsidR="00AD1F54" w:rsidRPr="00264D5D" w:rsidRDefault="00941227">
            <w:pPr>
              <w:spacing w:before="60" w:after="60"/>
              <w:ind w:left="57" w:right="57"/>
              <w:jc w:val="center"/>
              <w:rPr>
                <w:b/>
                <w:sz w:val="22"/>
              </w:rPr>
            </w:pPr>
            <w:r w:rsidRPr="00264D5D">
              <w:rPr>
                <w:b/>
                <w:bCs/>
                <w:sz w:val="22"/>
                <w:szCs w:val="22"/>
              </w:rPr>
              <w:t>Текущий элемент/ атрибут</w:t>
            </w:r>
          </w:p>
        </w:tc>
        <w:tc>
          <w:tcPr>
            <w:tcW w:w="567" w:type="dxa"/>
          </w:tcPr>
          <w:p w14:paraId="4DD033A7" w14:textId="77777777" w:rsidR="00AD1F54" w:rsidRPr="00264D5D" w:rsidRDefault="00941227">
            <w:pPr>
              <w:spacing w:before="60" w:after="60"/>
              <w:ind w:left="57" w:right="57"/>
              <w:jc w:val="center"/>
              <w:rPr>
                <w:b/>
                <w:sz w:val="22"/>
              </w:rPr>
            </w:pPr>
            <w:r w:rsidRPr="00264D5D">
              <w:rPr>
                <w:b/>
                <w:bCs/>
                <w:sz w:val="22"/>
              </w:rPr>
              <w:t>Тип</w:t>
            </w:r>
          </w:p>
        </w:tc>
        <w:tc>
          <w:tcPr>
            <w:tcW w:w="1134" w:type="dxa"/>
          </w:tcPr>
          <w:p w14:paraId="475A639C" w14:textId="77777777" w:rsidR="00AD1F54" w:rsidRPr="00264D5D" w:rsidRDefault="00941227">
            <w:pPr>
              <w:spacing w:before="60" w:after="60"/>
              <w:ind w:left="57" w:right="57"/>
              <w:jc w:val="center"/>
              <w:rPr>
                <w:b/>
                <w:sz w:val="22"/>
              </w:rPr>
            </w:pPr>
            <w:r w:rsidRPr="00264D5D">
              <w:rPr>
                <w:b/>
                <w:bCs/>
                <w:sz w:val="22"/>
              </w:rPr>
              <w:t>Формат элемента</w:t>
            </w:r>
          </w:p>
        </w:tc>
        <w:tc>
          <w:tcPr>
            <w:tcW w:w="567" w:type="dxa"/>
          </w:tcPr>
          <w:p w14:paraId="71AC3E9F" w14:textId="77777777" w:rsidR="00AD1F54" w:rsidRPr="00264D5D" w:rsidRDefault="00941227">
            <w:pPr>
              <w:spacing w:before="60" w:after="60"/>
              <w:ind w:left="57" w:right="57"/>
              <w:jc w:val="center"/>
              <w:rPr>
                <w:b/>
                <w:sz w:val="22"/>
              </w:rPr>
            </w:pPr>
            <w:r w:rsidRPr="00264D5D">
              <w:rPr>
                <w:b/>
                <w:bCs/>
                <w:sz w:val="22"/>
              </w:rPr>
              <w:t>Обязательность</w:t>
            </w:r>
          </w:p>
        </w:tc>
        <w:tc>
          <w:tcPr>
            <w:tcW w:w="3963" w:type="dxa"/>
          </w:tcPr>
          <w:p w14:paraId="77EB49A0" w14:textId="77777777" w:rsidR="00AD1F54" w:rsidRPr="00264D5D" w:rsidRDefault="00941227">
            <w:pPr>
              <w:spacing w:before="60" w:after="60"/>
              <w:ind w:left="57" w:right="57"/>
              <w:jc w:val="center"/>
              <w:rPr>
                <w:b/>
                <w:sz w:val="22"/>
              </w:rPr>
            </w:pPr>
            <w:r w:rsidRPr="00264D5D">
              <w:rPr>
                <w:b/>
                <w:bCs/>
                <w:sz w:val="22"/>
              </w:rPr>
              <w:t>Дополнительная информация</w:t>
            </w:r>
          </w:p>
        </w:tc>
      </w:tr>
      <w:tr w:rsidR="00AD1F54" w:rsidRPr="00264D5D" w14:paraId="23E15DCA"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95F3E97" w14:textId="77777777" w:rsidR="00AD1F54" w:rsidRPr="00264D5D" w:rsidRDefault="00941227">
            <w:pPr>
              <w:spacing w:before="60" w:after="60"/>
              <w:rPr>
                <w:sz w:val="22"/>
                <w:lang w:val="en-US"/>
              </w:rPr>
            </w:pPr>
            <w:r w:rsidRPr="00264D5D">
              <w:rPr>
                <w:sz w:val="22"/>
                <w:lang w:val="en-US"/>
              </w:rPr>
              <w:t>tFormularCollection</w:t>
            </w:r>
          </w:p>
        </w:tc>
        <w:tc>
          <w:tcPr>
            <w:tcW w:w="1701" w:type="dxa"/>
          </w:tcPr>
          <w:p w14:paraId="65F0F2FB" w14:textId="77777777" w:rsidR="00AD1F54" w:rsidRPr="00264D5D" w:rsidRDefault="00941227">
            <w:pPr>
              <w:spacing w:before="60" w:after="60"/>
              <w:rPr>
                <w:sz w:val="22"/>
                <w:lang w:val="en-US"/>
              </w:rPr>
            </w:pPr>
            <w:r w:rsidRPr="00264D5D">
              <w:rPr>
                <w:sz w:val="22"/>
                <w:lang w:val="en-US"/>
              </w:rPr>
              <w:t>formular</w:t>
            </w:r>
          </w:p>
        </w:tc>
        <w:tc>
          <w:tcPr>
            <w:tcW w:w="567" w:type="dxa"/>
          </w:tcPr>
          <w:p w14:paraId="67A67600" w14:textId="77777777" w:rsidR="00AD1F54" w:rsidRPr="00264D5D" w:rsidRDefault="00941227">
            <w:pPr>
              <w:spacing w:before="60" w:after="60"/>
              <w:jc w:val="center"/>
              <w:rPr>
                <w:sz w:val="22"/>
              </w:rPr>
            </w:pPr>
            <w:r w:rsidRPr="00264D5D">
              <w:rPr>
                <w:sz w:val="22"/>
              </w:rPr>
              <w:t>С</w:t>
            </w:r>
          </w:p>
        </w:tc>
        <w:tc>
          <w:tcPr>
            <w:tcW w:w="1134" w:type="dxa"/>
          </w:tcPr>
          <w:p w14:paraId="7809D0A3" w14:textId="77777777" w:rsidR="00AD1F54" w:rsidRPr="00264D5D" w:rsidRDefault="00941227">
            <w:pPr>
              <w:spacing w:before="60" w:after="60"/>
              <w:jc w:val="left"/>
              <w:rPr>
                <w:sz w:val="22"/>
                <w:lang w:val="en-US"/>
              </w:rPr>
            </w:pPr>
            <w:r w:rsidRPr="00264D5D">
              <w:rPr>
                <w:rFonts w:eastAsia="Calibri"/>
                <w:sz w:val="22"/>
              </w:rPr>
              <w:t>tFormular</w:t>
            </w:r>
          </w:p>
        </w:tc>
        <w:tc>
          <w:tcPr>
            <w:tcW w:w="567" w:type="dxa"/>
          </w:tcPr>
          <w:p w14:paraId="2B95F9F9" w14:textId="77777777" w:rsidR="00AD1F54" w:rsidRPr="00264D5D" w:rsidRDefault="00941227">
            <w:pPr>
              <w:spacing w:before="60" w:after="60"/>
              <w:jc w:val="center"/>
              <w:rPr>
                <w:sz w:val="22"/>
              </w:rPr>
            </w:pPr>
            <w:r w:rsidRPr="00264D5D">
              <w:rPr>
                <w:sz w:val="22"/>
              </w:rPr>
              <w:t>О</w:t>
            </w:r>
          </w:p>
        </w:tc>
        <w:tc>
          <w:tcPr>
            <w:tcW w:w="3963" w:type="dxa"/>
          </w:tcPr>
          <w:p w14:paraId="33A38991" w14:textId="77777777" w:rsidR="00AD1F54" w:rsidRPr="00264D5D" w:rsidRDefault="00AD1F54">
            <w:pPr>
              <w:spacing w:before="60" w:after="60"/>
              <w:rPr>
                <w:sz w:val="22"/>
              </w:rPr>
            </w:pPr>
          </w:p>
        </w:tc>
      </w:tr>
    </w:tbl>
    <w:p w14:paraId="17D7C742" w14:textId="77777777" w:rsidR="00AD1F54" w:rsidRPr="00264D5D" w:rsidRDefault="00941227">
      <w:pPr>
        <w:pStyle w:val="22"/>
      </w:pPr>
      <w:bookmarkStart w:id="519" w:name="_Ref483327894"/>
      <w:bookmarkStart w:id="520" w:name="_Toc219309453"/>
      <w:r w:rsidRPr="00264D5D">
        <w:t>Описание комплексного типа «tFormular»</w:t>
      </w:r>
      <w:bookmarkEnd w:id="519"/>
      <w:bookmarkEnd w:id="520"/>
    </w:p>
    <w:p w14:paraId="4C03DD48" w14:textId="233EA0F1" w:rsidR="00AD1F54" w:rsidRPr="00264D5D" w:rsidRDefault="00941227">
      <w:pPr>
        <w:pStyle w:val="GOSTNameTable"/>
        <w:numPr>
          <w:ilvl w:val="0"/>
          <w:numId w:val="2"/>
        </w:numPr>
        <w:spacing w:before="60"/>
        <w:ind w:left="425" w:hanging="357"/>
        <w:rPr>
          <w:szCs w:val="24"/>
        </w:rPr>
      </w:pPr>
      <w:r w:rsidRPr="00264D5D">
        <w:rPr>
          <w:rFonts w:eastAsia="Calibri"/>
          <w:szCs w:val="24"/>
        </w:rPr>
        <w:fldChar w:fldCharType="begin"/>
      </w:r>
      <w:r w:rsidRPr="00264D5D">
        <w:rPr>
          <w:rFonts w:eastAsia="Calibri"/>
          <w:szCs w:val="24"/>
        </w:rPr>
        <w:instrText>SEQ Таблица \* ARABIC</w:instrText>
      </w:r>
      <w:r w:rsidRPr="00264D5D">
        <w:rPr>
          <w:rFonts w:eastAsia="Calibri"/>
          <w:szCs w:val="24"/>
        </w:rPr>
        <w:fldChar w:fldCharType="separate"/>
      </w:r>
      <w:bookmarkStart w:id="521" w:name="_Toc219309045"/>
      <w:r w:rsidR="008D797C">
        <w:rPr>
          <w:rFonts w:eastAsia="Calibri"/>
          <w:noProof/>
          <w:szCs w:val="24"/>
        </w:rPr>
        <w:t>15</w:t>
      </w:r>
      <w:r w:rsidRPr="00264D5D">
        <w:rPr>
          <w:rFonts w:eastAsia="Calibri"/>
          <w:szCs w:val="24"/>
        </w:rPr>
        <w:fldChar w:fldCharType="end"/>
      </w:r>
      <w:r w:rsidRPr="00264D5D">
        <w:rPr>
          <w:szCs w:val="24"/>
        </w:rPr>
        <w:t xml:space="preserve"> </w:t>
      </w:r>
      <w:r w:rsidRPr="00264D5D">
        <w:rPr>
          <w:rFonts w:eastAsia="Calibri"/>
          <w:szCs w:val="24"/>
        </w:rPr>
        <w:t>–</w:t>
      </w:r>
      <w:r w:rsidRPr="00264D5D">
        <w:rPr>
          <w:szCs w:val="24"/>
        </w:rPr>
        <w:t xml:space="preserve"> Описание комплексного типа «tFormular»</w:t>
      </w:r>
      <w:bookmarkEnd w:id="521"/>
    </w:p>
    <w:tbl>
      <w:tblPr>
        <w:tblStyle w:val="GOSTTable"/>
        <w:tblW w:w="5000" w:type="pct"/>
        <w:tblLayout w:type="fixed"/>
        <w:tblLook w:val="01E0" w:firstRow="1" w:lastRow="1" w:firstColumn="1" w:lastColumn="1" w:noHBand="0" w:noVBand="0"/>
      </w:tblPr>
      <w:tblGrid>
        <w:gridCol w:w="1705"/>
        <w:gridCol w:w="1706"/>
        <w:gridCol w:w="567"/>
        <w:gridCol w:w="1137"/>
        <w:gridCol w:w="567"/>
        <w:gridCol w:w="3968"/>
      </w:tblGrid>
      <w:tr w:rsidR="00AD1F54" w:rsidRPr="00264D5D" w14:paraId="5BE9F13A"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883" w:type="pct"/>
          </w:tcPr>
          <w:p w14:paraId="4B4CF6BC" w14:textId="77777777" w:rsidR="00AD1F54" w:rsidRPr="00264D5D" w:rsidRDefault="00941227">
            <w:pPr>
              <w:spacing w:before="60" w:after="60"/>
              <w:ind w:left="57" w:right="57"/>
              <w:jc w:val="center"/>
              <w:rPr>
                <w:b/>
                <w:sz w:val="22"/>
              </w:rPr>
            </w:pPr>
            <w:r w:rsidRPr="00264D5D">
              <w:rPr>
                <w:b/>
                <w:bCs/>
                <w:sz w:val="22"/>
                <w:szCs w:val="22"/>
              </w:rPr>
              <w:t>Наименование комплексного типа</w:t>
            </w:r>
          </w:p>
        </w:tc>
        <w:tc>
          <w:tcPr>
            <w:tcW w:w="884" w:type="pct"/>
          </w:tcPr>
          <w:p w14:paraId="62A2737F" w14:textId="77777777" w:rsidR="00AD1F54" w:rsidRPr="00264D5D" w:rsidRDefault="00941227">
            <w:pPr>
              <w:spacing w:before="60" w:after="60"/>
              <w:ind w:left="57" w:right="57"/>
              <w:jc w:val="center"/>
              <w:rPr>
                <w:b/>
                <w:sz w:val="22"/>
              </w:rPr>
            </w:pPr>
            <w:r w:rsidRPr="00264D5D">
              <w:rPr>
                <w:b/>
                <w:bCs/>
                <w:sz w:val="22"/>
              </w:rPr>
              <w:t>Текущий элемент/атрибут</w:t>
            </w:r>
          </w:p>
        </w:tc>
        <w:tc>
          <w:tcPr>
            <w:tcW w:w="294" w:type="pct"/>
          </w:tcPr>
          <w:p w14:paraId="0D35A9E1" w14:textId="77777777" w:rsidR="00AD1F54" w:rsidRPr="00264D5D" w:rsidRDefault="00941227">
            <w:pPr>
              <w:spacing w:before="60" w:after="60"/>
              <w:ind w:left="57" w:right="57"/>
              <w:jc w:val="center"/>
              <w:rPr>
                <w:b/>
                <w:sz w:val="22"/>
              </w:rPr>
            </w:pPr>
            <w:r w:rsidRPr="00264D5D">
              <w:rPr>
                <w:b/>
                <w:bCs/>
                <w:sz w:val="22"/>
              </w:rPr>
              <w:t>Тип</w:t>
            </w:r>
          </w:p>
        </w:tc>
        <w:tc>
          <w:tcPr>
            <w:tcW w:w="589" w:type="pct"/>
          </w:tcPr>
          <w:p w14:paraId="5EC2CEF0" w14:textId="77777777" w:rsidR="00AD1F54" w:rsidRPr="00264D5D" w:rsidRDefault="00941227">
            <w:pPr>
              <w:spacing w:before="60" w:after="60"/>
              <w:ind w:left="57" w:right="57"/>
              <w:jc w:val="center"/>
              <w:rPr>
                <w:b/>
                <w:sz w:val="22"/>
              </w:rPr>
            </w:pPr>
            <w:r w:rsidRPr="00264D5D">
              <w:rPr>
                <w:b/>
                <w:bCs/>
                <w:sz w:val="22"/>
              </w:rPr>
              <w:t>Формат элемента</w:t>
            </w:r>
          </w:p>
        </w:tc>
        <w:tc>
          <w:tcPr>
            <w:tcW w:w="294" w:type="pct"/>
          </w:tcPr>
          <w:p w14:paraId="7289C1D9" w14:textId="77777777" w:rsidR="00AD1F54" w:rsidRPr="00264D5D" w:rsidRDefault="00941227">
            <w:pPr>
              <w:spacing w:before="60" w:after="60"/>
              <w:ind w:left="57" w:right="57"/>
              <w:jc w:val="center"/>
              <w:rPr>
                <w:b/>
                <w:sz w:val="22"/>
              </w:rPr>
            </w:pPr>
            <w:r w:rsidRPr="00264D5D">
              <w:rPr>
                <w:b/>
                <w:bCs/>
                <w:sz w:val="22"/>
              </w:rPr>
              <w:t>Обязательность</w:t>
            </w:r>
          </w:p>
        </w:tc>
        <w:tc>
          <w:tcPr>
            <w:tcW w:w="2056" w:type="pct"/>
          </w:tcPr>
          <w:p w14:paraId="29DE9AEB" w14:textId="77777777" w:rsidR="00AD1F54" w:rsidRPr="00264D5D" w:rsidRDefault="00941227">
            <w:pPr>
              <w:spacing w:before="60" w:after="60"/>
              <w:ind w:left="57" w:right="57"/>
              <w:jc w:val="center"/>
              <w:rPr>
                <w:b/>
                <w:sz w:val="22"/>
              </w:rPr>
            </w:pPr>
            <w:r w:rsidRPr="00264D5D">
              <w:rPr>
                <w:b/>
                <w:bCs/>
                <w:sz w:val="22"/>
              </w:rPr>
              <w:t>Дополнительная информация</w:t>
            </w:r>
          </w:p>
        </w:tc>
      </w:tr>
      <w:tr w:rsidR="00AD1F54" w:rsidRPr="00264D5D" w14:paraId="7D6DFD4A" w14:textId="77777777" w:rsidTr="00AD1F54">
        <w:trPr>
          <w:cnfStyle w:val="000000100000" w:firstRow="0" w:lastRow="0" w:firstColumn="0" w:lastColumn="0" w:oddVBand="0" w:evenVBand="0" w:oddHBand="1" w:evenHBand="0" w:firstRowFirstColumn="0" w:firstRowLastColumn="0" w:lastRowFirstColumn="0" w:lastRowLastColumn="0"/>
        </w:trPr>
        <w:tc>
          <w:tcPr>
            <w:tcW w:w="883" w:type="pct"/>
          </w:tcPr>
          <w:p w14:paraId="38D81F54" w14:textId="77777777" w:rsidR="00AD1F54" w:rsidRPr="00264D5D" w:rsidRDefault="00941227">
            <w:pPr>
              <w:spacing w:before="60" w:after="60"/>
              <w:rPr>
                <w:sz w:val="22"/>
                <w:lang w:val="en-US"/>
              </w:rPr>
            </w:pPr>
            <w:r w:rsidRPr="00264D5D">
              <w:rPr>
                <w:sz w:val="22"/>
                <w:lang w:val="en-US"/>
              </w:rPr>
              <w:t>t</w:t>
            </w:r>
            <w:r w:rsidRPr="00264D5D">
              <w:rPr>
                <w:sz w:val="22"/>
              </w:rPr>
              <w:t>F</w:t>
            </w:r>
            <w:r w:rsidRPr="00264D5D">
              <w:rPr>
                <w:sz w:val="22"/>
                <w:lang w:val="en-US"/>
              </w:rPr>
              <w:t>ormular</w:t>
            </w:r>
          </w:p>
        </w:tc>
        <w:tc>
          <w:tcPr>
            <w:tcW w:w="884" w:type="pct"/>
          </w:tcPr>
          <w:p w14:paraId="5636AA83" w14:textId="77777777" w:rsidR="00AD1F54" w:rsidRPr="00264D5D" w:rsidRDefault="00941227">
            <w:pPr>
              <w:spacing w:before="60" w:after="60"/>
              <w:rPr>
                <w:sz w:val="22"/>
                <w:lang w:val="en-US"/>
              </w:rPr>
            </w:pPr>
            <w:r w:rsidRPr="00264D5D">
              <w:rPr>
                <w:sz w:val="22"/>
                <w:lang w:val="en-US"/>
              </w:rPr>
              <w:t>versionID</w:t>
            </w:r>
          </w:p>
        </w:tc>
        <w:tc>
          <w:tcPr>
            <w:tcW w:w="294" w:type="pct"/>
          </w:tcPr>
          <w:p w14:paraId="0A384AFF" w14:textId="77777777" w:rsidR="00AD1F54" w:rsidRPr="00264D5D" w:rsidRDefault="00941227">
            <w:pPr>
              <w:spacing w:before="60" w:after="60"/>
              <w:jc w:val="center"/>
              <w:rPr>
                <w:sz w:val="22"/>
              </w:rPr>
            </w:pPr>
            <w:r w:rsidRPr="00264D5D">
              <w:rPr>
                <w:sz w:val="22"/>
              </w:rPr>
              <w:t>А</w:t>
            </w:r>
          </w:p>
        </w:tc>
        <w:tc>
          <w:tcPr>
            <w:tcW w:w="589" w:type="pct"/>
          </w:tcPr>
          <w:p w14:paraId="2CA1BF3A" w14:textId="77777777" w:rsidR="00AD1F54" w:rsidRPr="00264D5D" w:rsidRDefault="00941227">
            <w:pPr>
              <w:spacing w:before="60" w:after="60"/>
              <w:jc w:val="left"/>
              <w:rPr>
                <w:sz w:val="22"/>
              </w:rPr>
            </w:pPr>
            <w:r w:rsidRPr="00264D5D">
              <w:rPr>
                <w:sz w:val="22"/>
              </w:rPr>
              <w:t>-</w:t>
            </w:r>
          </w:p>
        </w:tc>
        <w:tc>
          <w:tcPr>
            <w:tcW w:w="294" w:type="pct"/>
          </w:tcPr>
          <w:p w14:paraId="5431DC73" w14:textId="77777777" w:rsidR="00AD1F54" w:rsidRPr="00264D5D" w:rsidRDefault="00941227">
            <w:pPr>
              <w:spacing w:before="60" w:after="60"/>
              <w:jc w:val="center"/>
              <w:rPr>
                <w:sz w:val="22"/>
                <w:lang w:val="en-US"/>
              </w:rPr>
            </w:pPr>
            <w:r w:rsidRPr="00264D5D">
              <w:rPr>
                <w:sz w:val="22"/>
                <w:lang w:val="en-US"/>
              </w:rPr>
              <w:t>О</w:t>
            </w:r>
          </w:p>
        </w:tc>
        <w:tc>
          <w:tcPr>
            <w:tcW w:w="2056" w:type="pct"/>
          </w:tcPr>
          <w:p w14:paraId="17E31374" w14:textId="77777777" w:rsidR="00AD1F54" w:rsidRPr="00264D5D" w:rsidRDefault="005A204F">
            <w:pPr>
              <w:spacing w:before="60" w:after="60"/>
              <w:rPr>
                <w:sz w:val="22"/>
              </w:rPr>
            </w:pPr>
            <w:r w:rsidRPr="00264D5D">
              <w:rPr>
                <w:sz w:val="22"/>
              </w:rPr>
              <w:t>А</w:t>
            </w:r>
            <w:r w:rsidR="00941227" w:rsidRPr="00264D5D">
              <w:rPr>
                <w:sz w:val="22"/>
              </w:rPr>
              <w:t xml:space="preserve">трибут, содержащий номер версии документа согласно </w:t>
            </w:r>
            <w:r w:rsidR="00941227" w:rsidRPr="00264D5D">
              <w:rPr>
                <w:rFonts w:eastAsia="Calibri"/>
                <w:sz w:val="22"/>
                <w:szCs w:val="24"/>
              </w:rPr>
              <w:t xml:space="preserve">Перечню документов и справочников </w:t>
            </w:r>
            <w:r w:rsidR="00941227" w:rsidRPr="00264D5D">
              <w:rPr>
                <w:sz w:val="22"/>
              </w:rPr>
              <w:t>с указанием кодов</w:t>
            </w:r>
            <w:r w:rsidRPr="00264D5D">
              <w:rPr>
                <w:sz w:val="22"/>
              </w:rPr>
              <w:t xml:space="preserve"> и маркеров массивов информации</w:t>
            </w:r>
          </w:p>
        </w:tc>
      </w:tr>
      <w:tr w:rsidR="00AD1F54" w:rsidRPr="00264D5D" w14:paraId="3AF6329B" w14:textId="77777777" w:rsidTr="00AD1F54">
        <w:trPr>
          <w:cnfStyle w:val="000000010000" w:firstRow="0" w:lastRow="0" w:firstColumn="0" w:lastColumn="0" w:oddVBand="0" w:evenVBand="0" w:oddHBand="0" w:evenHBand="1" w:firstRowFirstColumn="0" w:firstRowLastColumn="0" w:lastRowFirstColumn="0" w:lastRowLastColumn="0"/>
        </w:trPr>
        <w:tc>
          <w:tcPr>
            <w:tcW w:w="883" w:type="pct"/>
          </w:tcPr>
          <w:p w14:paraId="7F9AE9E7" w14:textId="77777777" w:rsidR="00AD1F54" w:rsidRPr="00264D5D" w:rsidRDefault="00941227">
            <w:pPr>
              <w:spacing w:before="60" w:after="60"/>
              <w:rPr>
                <w:sz w:val="22"/>
                <w:lang w:val="en-US"/>
              </w:rPr>
            </w:pPr>
            <w:r w:rsidRPr="00264D5D">
              <w:rPr>
                <w:sz w:val="22"/>
                <w:lang w:val="en-US"/>
              </w:rPr>
              <w:t>tFormular</w:t>
            </w:r>
          </w:p>
        </w:tc>
        <w:tc>
          <w:tcPr>
            <w:tcW w:w="884" w:type="pct"/>
          </w:tcPr>
          <w:p w14:paraId="750C4404" w14:textId="77777777" w:rsidR="00AD1F54" w:rsidRPr="00264D5D" w:rsidRDefault="00941227">
            <w:pPr>
              <w:spacing w:before="60" w:after="60"/>
              <w:rPr>
                <w:sz w:val="22"/>
                <w:lang w:val="en-US"/>
              </w:rPr>
            </w:pPr>
            <w:r w:rsidRPr="00264D5D">
              <w:rPr>
                <w:sz w:val="22"/>
                <w:lang w:val="en-US"/>
              </w:rPr>
              <w:t>metaType</w:t>
            </w:r>
          </w:p>
        </w:tc>
        <w:tc>
          <w:tcPr>
            <w:tcW w:w="294" w:type="pct"/>
          </w:tcPr>
          <w:p w14:paraId="729A4C74" w14:textId="77777777" w:rsidR="00AD1F54" w:rsidRPr="00264D5D" w:rsidRDefault="00941227">
            <w:pPr>
              <w:spacing w:before="60" w:after="60"/>
              <w:jc w:val="center"/>
              <w:rPr>
                <w:sz w:val="22"/>
              </w:rPr>
            </w:pPr>
            <w:r w:rsidRPr="00264D5D">
              <w:rPr>
                <w:sz w:val="22"/>
              </w:rPr>
              <w:t>А</w:t>
            </w:r>
          </w:p>
        </w:tc>
        <w:tc>
          <w:tcPr>
            <w:tcW w:w="589" w:type="pct"/>
          </w:tcPr>
          <w:p w14:paraId="2473F9D9" w14:textId="77777777" w:rsidR="00AD1F54" w:rsidRPr="00264D5D" w:rsidRDefault="00941227">
            <w:pPr>
              <w:spacing w:before="60" w:after="60"/>
              <w:jc w:val="left"/>
              <w:rPr>
                <w:sz w:val="22"/>
              </w:rPr>
            </w:pPr>
            <w:r w:rsidRPr="00264D5D">
              <w:rPr>
                <w:sz w:val="22"/>
              </w:rPr>
              <w:t>tFormularTypes</w:t>
            </w:r>
          </w:p>
        </w:tc>
        <w:tc>
          <w:tcPr>
            <w:tcW w:w="294" w:type="pct"/>
          </w:tcPr>
          <w:p w14:paraId="1044CF7A" w14:textId="77777777" w:rsidR="00AD1F54" w:rsidRPr="00264D5D" w:rsidRDefault="00941227">
            <w:pPr>
              <w:spacing w:before="60" w:after="60"/>
              <w:jc w:val="center"/>
              <w:rPr>
                <w:sz w:val="22"/>
              </w:rPr>
            </w:pPr>
            <w:r w:rsidRPr="00264D5D">
              <w:rPr>
                <w:sz w:val="22"/>
              </w:rPr>
              <w:t>Н</w:t>
            </w:r>
          </w:p>
        </w:tc>
        <w:tc>
          <w:tcPr>
            <w:tcW w:w="2056" w:type="pct"/>
          </w:tcPr>
          <w:p w14:paraId="3AD84666" w14:textId="77777777" w:rsidR="00AD1F54" w:rsidRPr="00264D5D" w:rsidRDefault="00941227">
            <w:pPr>
              <w:spacing w:before="60" w:after="60"/>
              <w:rPr>
                <w:sz w:val="22"/>
              </w:rPr>
            </w:pPr>
            <w:r w:rsidRPr="00264D5D">
              <w:rPr>
                <w:sz w:val="22"/>
              </w:rPr>
              <w:t>Служебный атрибут, обозначающий тип используемого документа.</w:t>
            </w:r>
          </w:p>
          <w:p w14:paraId="1611910C" w14:textId="77777777" w:rsidR="00AD1F54" w:rsidRPr="00264D5D" w:rsidRDefault="00941227">
            <w:pPr>
              <w:spacing w:before="60" w:after="60"/>
              <w:rPr>
                <w:sz w:val="22"/>
              </w:rPr>
            </w:pPr>
            <w:r w:rsidRPr="00264D5D">
              <w:rPr>
                <w:sz w:val="22"/>
              </w:rPr>
              <w:t xml:space="preserve">При взаимодействии </w:t>
            </w:r>
            <w:r w:rsidR="00D83D19">
              <w:rPr>
                <w:sz w:val="22"/>
              </w:rPr>
              <w:t>ТОФК (ППО АСФК)</w:t>
            </w:r>
            <w:r w:rsidRPr="00264D5D">
              <w:rPr>
                <w:sz w:val="22"/>
              </w:rPr>
              <w:t xml:space="preserve"> с ИС клиентов </w:t>
            </w:r>
            <w:r w:rsidR="005A204F" w:rsidRPr="00264D5D">
              <w:rPr>
                <w:sz w:val="22"/>
              </w:rPr>
              <w:t>обязателен к заполнению</w:t>
            </w:r>
          </w:p>
        </w:tc>
      </w:tr>
      <w:tr w:rsidR="00AD1F54" w:rsidRPr="00264D5D" w14:paraId="6CAEE809" w14:textId="77777777" w:rsidTr="00AD1F54">
        <w:trPr>
          <w:cnfStyle w:val="000000100000" w:firstRow="0" w:lastRow="0" w:firstColumn="0" w:lastColumn="0" w:oddVBand="0" w:evenVBand="0" w:oddHBand="1" w:evenHBand="0" w:firstRowFirstColumn="0" w:firstRowLastColumn="0" w:lastRowFirstColumn="0" w:lastRowLastColumn="0"/>
        </w:trPr>
        <w:tc>
          <w:tcPr>
            <w:tcW w:w="883" w:type="pct"/>
          </w:tcPr>
          <w:p w14:paraId="12003576" w14:textId="77777777" w:rsidR="00AD1F54" w:rsidRPr="00264D5D" w:rsidRDefault="00941227">
            <w:pPr>
              <w:spacing w:before="60" w:after="60"/>
              <w:rPr>
                <w:sz w:val="22"/>
                <w:lang w:val="en-US"/>
              </w:rPr>
            </w:pPr>
            <w:r w:rsidRPr="00264D5D">
              <w:rPr>
                <w:sz w:val="22"/>
                <w:lang w:val="en-US"/>
              </w:rPr>
              <w:t>tFormular</w:t>
            </w:r>
          </w:p>
        </w:tc>
        <w:tc>
          <w:tcPr>
            <w:tcW w:w="884" w:type="pct"/>
          </w:tcPr>
          <w:p w14:paraId="2D0F987B" w14:textId="77777777" w:rsidR="00AD1F54" w:rsidRPr="00264D5D" w:rsidRDefault="00941227">
            <w:pPr>
              <w:spacing w:before="60" w:after="60"/>
              <w:rPr>
                <w:sz w:val="22"/>
                <w:lang w:val="en-US"/>
              </w:rPr>
            </w:pPr>
            <w:r w:rsidRPr="00264D5D">
              <w:rPr>
                <w:szCs w:val="22"/>
                <w:lang w:val="en-US"/>
              </w:rPr>
              <w:t>Id</w:t>
            </w:r>
          </w:p>
        </w:tc>
        <w:tc>
          <w:tcPr>
            <w:tcW w:w="294" w:type="pct"/>
          </w:tcPr>
          <w:p w14:paraId="4A596B64" w14:textId="77777777" w:rsidR="00AD1F54" w:rsidRPr="00264D5D" w:rsidRDefault="00941227">
            <w:pPr>
              <w:spacing w:before="60" w:after="60"/>
              <w:jc w:val="center"/>
              <w:rPr>
                <w:sz w:val="22"/>
              </w:rPr>
            </w:pPr>
            <w:r w:rsidRPr="00264D5D">
              <w:rPr>
                <w:sz w:val="22"/>
              </w:rPr>
              <w:t>А</w:t>
            </w:r>
          </w:p>
        </w:tc>
        <w:tc>
          <w:tcPr>
            <w:tcW w:w="589" w:type="pct"/>
          </w:tcPr>
          <w:p w14:paraId="6379CAD2" w14:textId="77777777" w:rsidR="00AD1F54" w:rsidRPr="00264D5D" w:rsidRDefault="00941227">
            <w:pPr>
              <w:spacing w:before="60" w:after="60"/>
              <w:jc w:val="left"/>
              <w:rPr>
                <w:sz w:val="22"/>
              </w:rPr>
            </w:pPr>
            <w:r w:rsidRPr="00264D5D">
              <w:rPr>
                <w:szCs w:val="22"/>
                <w:lang w:val="en-US"/>
              </w:rPr>
              <w:t>-</w:t>
            </w:r>
          </w:p>
        </w:tc>
        <w:tc>
          <w:tcPr>
            <w:tcW w:w="294" w:type="pct"/>
          </w:tcPr>
          <w:p w14:paraId="5266BEEB" w14:textId="77777777" w:rsidR="00AD1F54" w:rsidRPr="00264D5D" w:rsidRDefault="00941227">
            <w:pPr>
              <w:spacing w:before="60" w:after="60"/>
              <w:jc w:val="center"/>
              <w:rPr>
                <w:sz w:val="22"/>
              </w:rPr>
            </w:pPr>
            <w:r w:rsidRPr="00264D5D">
              <w:rPr>
                <w:sz w:val="22"/>
              </w:rPr>
              <w:t>Н</w:t>
            </w:r>
          </w:p>
        </w:tc>
        <w:tc>
          <w:tcPr>
            <w:tcW w:w="2056" w:type="pct"/>
          </w:tcPr>
          <w:p w14:paraId="4AB71509" w14:textId="77777777" w:rsidR="00AD1F54" w:rsidRPr="00264D5D" w:rsidRDefault="00941227">
            <w:pPr>
              <w:spacing w:before="60" w:after="60"/>
              <w:rPr>
                <w:sz w:val="22"/>
              </w:rPr>
            </w:pPr>
            <w:r w:rsidRPr="00264D5D">
              <w:rPr>
                <w:sz w:val="22"/>
              </w:rPr>
              <w:t xml:space="preserve">Идентификатор блока подписываемых бизнес-атрибутов. Заполняется только </w:t>
            </w:r>
            <w:r w:rsidRPr="00264D5D">
              <w:rPr>
                <w:sz w:val="22"/>
              </w:rPr>
              <w:lastRenderedPageBreak/>
              <w:t>при наличии заполненног</w:t>
            </w:r>
            <w:r w:rsidR="005A204F" w:rsidRPr="00264D5D">
              <w:rPr>
                <w:sz w:val="22"/>
              </w:rPr>
              <w:t>о блока подписи в формате XAdes</w:t>
            </w:r>
          </w:p>
        </w:tc>
      </w:tr>
      <w:tr w:rsidR="00AD1F54" w:rsidRPr="00264D5D" w14:paraId="4005E540" w14:textId="77777777" w:rsidTr="00AD1F54">
        <w:trPr>
          <w:cnfStyle w:val="000000010000" w:firstRow="0" w:lastRow="0" w:firstColumn="0" w:lastColumn="0" w:oddVBand="0" w:evenVBand="0" w:oddHBand="0" w:evenHBand="1" w:firstRowFirstColumn="0" w:firstRowLastColumn="0" w:lastRowFirstColumn="0" w:lastRowLastColumn="0"/>
        </w:trPr>
        <w:tc>
          <w:tcPr>
            <w:tcW w:w="883" w:type="pct"/>
          </w:tcPr>
          <w:p w14:paraId="0D08A572" w14:textId="77777777" w:rsidR="00AD1F54" w:rsidRPr="00264D5D" w:rsidRDefault="00941227">
            <w:pPr>
              <w:spacing w:before="60" w:after="60"/>
              <w:rPr>
                <w:sz w:val="22"/>
                <w:lang w:val="en-US"/>
              </w:rPr>
            </w:pPr>
            <w:r w:rsidRPr="00264D5D">
              <w:rPr>
                <w:sz w:val="22"/>
              </w:rPr>
              <w:lastRenderedPageBreak/>
              <w:t>tFormularTypes</w:t>
            </w:r>
          </w:p>
        </w:tc>
        <w:tc>
          <w:tcPr>
            <w:tcW w:w="884" w:type="pct"/>
          </w:tcPr>
          <w:p w14:paraId="1FBFC9C7" w14:textId="77777777" w:rsidR="00AD1F54" w:rsidRPr="00264D5D" w:rsidRDefault="00941227">
            <w:pPr>
              <w:spacing w:before="60" w:after="60"/>
              <w:rPr>
                <w:sz w:val="22"/>
                <w:lang w:val="en-US"/>
              </w:rPr>
            </w:pPr>
            <w:r w:rsidRPr="00264D5D">
              <w:rPr>
                <w:sz w:val="22"/>
              </w:rPr>
              <w:t>Formular</w:t>
            </w:r>
          </w:p>
        </w:tc>
        <w:tc>
          <w:tcPr>
            <w:tcW w:w="294" w:type="pct"/>
          </w:tcPr>
          <w:p w14:paraId="1BAC9616" w14:textId="77777777" w:rsidR="00AD1F54" w:rsidRPr="00264D5D" w:rsidRDefault="00941227">
            <w:pPr>
              <w:spacing w:before="60" w:after="60"/>
              <w:jc w:val="center"/>
              <w:rPr>
                <w:sz w:val="22"/>
                <w:lang w:val="en-US"/>
              </w:rPr>
            </w:pPr>
            <w:r w:rsidRPr="00264D5D">
              <w:rPr>
                <w:sz w:val="22"/>
                <w:lang w:val="en-US"/>
              </w:rPr>
              <w:t>С</w:t>
            </w:r>
          </w:p>
        </w:tc>
        <w:tc>
          <w:tcPr>
            <w:tcW w:w="589" w:type="pct"/>
          </w:tcPr>
          <w:p w14:paraId="470685B6" w14:textId="77777777" w:rsidR="00AD1F54" w:rsidRPr="00264D5D" w:rsidRDefault="00AD1F54">
            <w:pPr>
              <w:spacing w:before="60" w:after="60"/>
              <w:jc w:val="left"/>
              <w:rPr>
                <w:sz w:val="22"/>
                <w:lang w:val="en-US"/>
              </w:rPr>
            </w:pPr>
          </w:p>
        </w:tc>
        <w:tc>
          <w:tcPr>
            <w:tcW w:w="294" w:type="pct"/>
          </w:tcPr>
          <w:p w14:paraId="6044680A" w14:textId="77777777" w:rsidR="00AD1F54" w:rsidRPr="00264D5D" w:rsidRDefault="00941227">
            <w:pPr>
              <w:spacing w:before="60" w:after="60"/>
              <w:jc w:val="center"/>
              <w:rPr>
                <w:sz w:val="22"/>
              </w:rPr>
            </w:pPr>
            <w:r w:rsidRPr="00264D5D">
              <w:rPr>
                <w:sz w:val="22"/>
              </w:rPr>
              <w:t>О</w:t>
            </w:r>
          </w:p>
        </w:tc>
        <w:tc>
          <w:tcPr>
            <w:tcW w:w="2056" w:type="pct"/>
          </w:tcPr>
          <w:p w14:paraId="3B582811" w14:textId="77777777" w:rsidR="00AD1F54" w:rsidRPr="00264D5D" w:rsidRDefault="00941227">
            <w:pPr>
              <w:spacing w:before="60" w:after="60"/>
              <w:rPr>
                <w:sz w:val="22"/>
              </w:rPr>
            </w:pPr>
            <w:r w:rsidRPr="00264D5D">
              <w:rPr>
                <w:sz w:val="22"/>
                <w:szCs w:val="24"/>
              </w:rPr>
              <w:t xml:space="preserve">Условное наименование, содержит описание бизнес данных </w:t>
            </w:r>
            <w:r w:rsidRPr="00264D5D">
              <w:rPr>
                <w:sz w:val="22"/>
                <w:szCs w:val="24"/>
                <w:lang w:val="en-US"/>
              </w:rPr>
              <w:t>xml</w:t>
            </w:r>
            <w:r w:rsidRPr="00264D5D">
              <w:rPr>
                <w:sz w:val="22"/>
                <w:szCs w:val="24"/>
              </w:rPr>
              <w:t>-сообщения. Каждый тип документа имеет свой формат элемента и описа</w:t>
            </w:r>
            <w:r w:rsidR="005A204F" w:rsidRPr="00264D5D">
              <w:rPr>
                <w:sz w:val="22"/>
                <w:szCs w:val="24"/>
              </w:rPr>
              <w:t>н в соответствующем пункте ниже</w:t>
            </w:r>
          </w:p>
        </w:tc>
      </w:tr>
    </w:tbl>
    <w:p w14:paraId="3D389042" w14:textId="77777777" w:rsidR="00AD1F54" w:rsidRPr="00264D5D" w:rsidRDefault="00941227">
      <w:pPr>
        <w:pStyle w:val="22"/>
        <w:rPr>
          <w:lang w:val="ru-RU"/>
        </w:rPr>
      </w:pPr>
      <w:bookmarkStart w:id="522" w:name="_Toc516670455"/>
      <w:bookmarkStart w:id="523" w:name="_Toc517363348"/>
      <w:bookmarkStart w:id="524" w:name="_Toc517363926"/>
      <w:bookmarkStart w:id="525" w:name="_Toc517439826"/>
      <w:bookmarkStart w:id="526" w:name="_Toc517681195"/>
      <w:bookmarkStart w:id="527" w:name="_Toc517733434"/>
      <w:bookmarkStart w:id="528" w:name="_Toc517733727"/>
      <w:bookmarkStart w:id="529" w:name="_Toc519610696"/>
      <w:bookmarkStart w:id="530" w:name="_Toc519868433"/>
      <w:bookmarkStart w:id="531" w:name="_Toc519869865"/>
      <w:bookmarkStart w:id="532" w:name="_Toc520195862"/>
      <w:bookmarkStart w:id="533" w:name="_Toc520196480"/>
      <w:bookmarkStart w:id="534" w:name="_Toc520196789"/>
      <w:bookmarkStart w:id="535" w:name="_Toc516670456"/>
      <w:bookmarkStart w:id="536" w:name="_Toc517363349"/>
      <w:bookmarkStart w:id="537" w:name="_Toc517363927"/>
      <w:bookmarkStart w:id="538" w:name="_Toc517439827"/>
      <w:bookmarkStart w:id="539" w:name="_Toc517681196"/>
      <w:bookmarkStart w:id="540" w:name="_Toc517733435"/>
      <w:bookmarkStart w:id="541" w:name="_Toc517733728"/>
      <w:bookmarkStart w:id="542" w:name="_Toc519610697"/>
      <w:bookmarkStart w:id="543" w:name="_Toc519868434"/>
      <w:bookmarkStart w:id="544" w:name="_Toc519869866"/>
      <w:bookmarkStart w:id="545" w:name="_Toc520195863"/>
      <w:bookmarkStart w:id="546" w:name="_Toc520196481"/>
      <w:bookmarkStart w:id="547" w:name="_Toc520196790"/>
      <w:bookmarkStart w:id="548" w:name="_Toc515268948"/>
      <w:bookmarkStart w:id="549" w:name="OLE_LINK202"/>
      <w:bookmarkStart w:id="550" w:name="OLE_LINK203"/>
      <w:bookmarkStart w:id="551" w:name="_Toc219309454"/>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r w:rsidRPr="00264D5D">
        <w:rPr>
          <w:lang w:val="ru-RU"/>
        </w:rPr>
        <w:t>Описание корневого элемента пакета «</w:t>
      </w:r>
      <w:r w:rsidRPr="00264D5D">
        <w:t>BOD</w:t>
      </w:r>
      <w:r w:rsidRPr="00264D5D">
        <w:rPr>
          <w:lang w:val="ru-RU"/>
        </w:rPr>
        <w:t>»</w:t>
      </w:r>
      <w:bookmarkEnd w:id="551"/>
    </w:p>
    <w:p w14:paraId="3E02FCCF" w14:textId="77777777" w:rsidR="00AD1F54" w:rsidRPr="00264D5D" w:rsidRDefault="00941227">
      <w:pPr>
        <w:pStyle w:val="ASFKNormal"/>
        <w:spacing w:before="0" w:after="120"/>
        <w:contextualSpacing w:val="0"/>
        <w:jc w:val="both"/>
        <w:rPr>
          <w:sz w:val="24"/>
          <w:szCs w:val="24"/>
        </w:rPr>
      </w:pPr>
      <w:r w:rsidRPr="00264D5D">
        <w:rPr>
          <w:sz w:val="24"/>
          <w:szCs w:val="24"/>
        </w:rPr>
        <w:t xml:space="preserve">Корневой элемент пакета </w:t>
      </w:r>
      <w:r w:rsidRPr="00264D5D">
        <w:rPr>
          <w:rFonts w:eastAsia="Calibri"/>
          <w:sz w:val="24"/>
          <w:szCs w:val="24"/>
          <w:lang w:val="en-US"/>
        </w:rPr>
        <w:t>xml</w:t>
      </w:r>
      <w:r w:rsidRPr="00264D5D">
        <w:rPr>
          <w:rFonts w:eastAsia="Calibri"/>
          <w:sz w:val="24"/>
          <w:szCs w:val="24"/>
        </w:rPr>
        <w:t>-</w:t>
      </w:r>
      <w:r w:rsidRPr="00264D5D">
        <w:rPr>
          <w:sz w:val="24"/>
          <w:szCs w:val="24"/>
        </w:rPr>
        <w:t>сообщения – BOD – состоит из двух областей описания данных:</w:t>
      </w:r>
    </w:p>
    <w:p w14:paraId="13A959F5" w14:textId="77777777" w:rsidR="00AD1F54" w:rsidRPr="00264D5D" w:rsidRDefault="00941227" w:rsidP="00941227">
      <w:pPr>
        <w:pStyle w:val="ASFKNormal"/>
        <w:numPr>
          <w:ilvl w:val="0"/>
          <w:numId w:val="54"/>
        </w:numPr>
        <w:ind w:left="1281" w:hanging="357"/>
        <w:jc w:val="both"/>
        <w:rPr>
          <w:sz w:val="24"/>
          <w:szCs w:val="24"/>
        </w:rPr>
      </w:pPr>
      <w:r w:rsidRPr="00264D5D">
        <w:rPr>
          <w:sz w:val="24"/>
          <w:szCs w:val="24"/>
        </w:rPr>
        <w:t>«</w:t>
      </w:r>
      <w:r w:rsidRPr="00264D5D">
        <w:rPr>
          <w:sz w:val="24"/>
          <w:szCs w:val="24"/>
          <w:lang w:val="en-US"/>
        </w:rPr>
        <w:t>ApplicationArea</w:t>
      </w:r>
      <w:r w:rsidRPr="00264D5D">
        <w:rPr>
          <w:sz w:val="24"/>
          <w:szCs w:val="24"/>
        </w:rPr>
        <w:t>» – описание заголовка пакета;</w:t>
      </w:r>
    </w:p>
    <w:p w14:paraId="62ECCDCA" w14:textId="77777777" w:rsidR="00AD1F54" w:rsidRPr="00264D5D" w:rsidRDefault="00941227" w:rsidP="00941227">
      <w:pPr>
        <w:pStyle w:val="ASFKNormal"/>
        <w:numPr>
          <w:ilvl w:val="0"/>
          <w:numId w:val="54"/>
        </w:numPr>
        <w:ind w:left="1281" w:hanging="357"/>
        <w:jc w:val="both"/>
        <w:rPr>
          <w:sz w:val="24"/>
          <w:szCs w:val="24"/>
        </w:rPr>
      </w:pPr>
      <w:r w:rsidRPr="00264D5D">
        <w:rPr>
          <w:sz w:val="24"/>
          <w:szCs w:val="24"/>
        </w:rPr>
        <w:t xml:space="preserve">«DataArea» – область бизнес данных. </w:t>
      </w:r>
    </w:p>
    <w:p w14:paraId="319FAAA8" w14:textId="4234B348" w:rsidR="00AD1F54" w:rsidRPr="00264D5D" w:rsidRDefault="00941227">
      <w:pPr>
        <w:pStyle w:val="GOSTNameTable"/>
        <w:numPr>
          <w:ilvl w:val="0"/>
          <w:numId w:val="2"/>
        </w:numPr>
        <w:spacing w:before="60"/>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552" w:name="_Toc30503350"/>
      <w:bookmarkStart w:id="553" w:name="_Toc30507948"/>
      <w:bookmarkStart w:id="554" w:name="_Toc219309046"/>
      <w:r w:rsidR="008D797C">
        <w:rPr>
          <w:rFonts w:eastAsia="Calibri"/>
          <w:noProof/>
          <w:szCs w:val="24"/>
        </w:rPr>
        <w:t>16</w:t>
      </w:r>
      <w:r w:rsidRPr="00264D5D">
        <w:rPr>
          <w:rFonts w:eastAsia="Calibri"/>
          <w:szCs w:val="24"/>
        </w:rPr>
        <w:fldChar w:fldCharType="end"/>
      </w:r>
      <w:r w:rsidRPr="00264D5D">
        <w:rPr>
          <w:rFonts w:eastAsia="Calibri"/>
          <w:szCs w:val="24"/>
        </w:rPr>
        <w:t xml:space="preserve"> – Реквизитный состав корневого элемента пакета «</w:t>
      </w:r>
      <w:r w:rsidRPr="00264D5D">
        <w:rPr>
          <w:rFonts w:eastAsia="Calibri"/>
          <w:szCs w:val="24"/>
          <w:lang w:val="en-US"/>
        </w:rPr>
        <w:t>BOD</w:t>
      </w:r>
      <w:r w:rsidRPr="00264D5D">
        <w:rPr>
          <w:rFonts w:eastAsia="Calibri"/>
          <w:szCs w:val="24"/>
        </w:rPr>
        <w:t>»</w:t>
      </w:r>
      <w:bookmarkEnd w:id="552"/>
      <w:bookmarkEnd w:id="553"/>
      <w:bookmarkEnd w:id="554"/>
    </w:p>
    <w:tbl>
      <w:tblPr>
        <w:tblStyle w:val="GOSTTable"/>
        <w:tblW w:w="5000" w:type="pct"/>
        <w:tblLayout w:type="fixed"/>
        <w:tblLook w:val="01E0" w:firstRow="1" w:lastRow="1" w:firstColumn="1" w:lastColumn="1" w:noHBand="0" w:noVBand="0"/>
      </w:tblPr>
      <w:tblGrid>
        <w:gridCol w:w="1705"/>
        <w:gridCol w:w="1704"/>
        <w:gridCol w:w="568"/>
        <w:gridCol w:w="1136"/>
        <w:gridCol w:w="568"/>
        <w:gridCol w:w="3969"/>
      </w:tblGrid>
      <w:tr w:rsidR="00AD1F54" w:rsidRPr="00264D5D" w14:paraId="0A916C2B"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3" w:type="dxa"/>
          </w:tcPr>
          <w:p w14:paraId="5562B490" w14:textId="77777777" w:rsidR="00AD1F54" w:rsidRPr="00264D5D" w:rsidRDefault="00941227">
            <w:pPr>
              <w:spacing w:before="60" w:after="60"/>
              <w:ind w:left="57" w:right="57"/>
              <w:jc w:val="center"/>
              <w:rPr>
                <w:b/>
                <w:sz w:val="22"/>
                <w:szCs w:val="22"/>
              </w:rPr>
            </w:pPr>
            <w:r w:rsidRPr="00264D5D">
              <w:rPr>
                <w:b/>
                <w:bCs/>
                <w:sz w:val="22"/>
                <w:szCs w:val="22"/>
              </w:rPr>
              <w:t>Наименование комплексного типа</w:t>
            </w:r>
          </w:p>
        </w:tc>
        <w:tc>
          <w:tcPr>
            <w:tcW w:w="1701" w:type="dxa"/>
          </w:tcPr>
          <w:p w14:paraId="46B5E7BB" w14:textId="77777777" w:rsidR="00AD1F54" w:rsidRPr="00264D5D" w:rsidRDefault="00941227">
            <w:pPr>
              <w:spacing w:before="60" w:after="60"/>
              <w:ind w:left="57" w:right="57"/>
              <w:jc w:val="center"/>
              <w:rPr>
                <w:b/>
                <w:sz w:val="22"/>
                <w:szCs w:val="22"/>
              </w:rPr>
            </w:pPr>
            <w:r w:rsidRPr="00264D5D">
              <w:rPr>
                <w:b/>
                <w:bCs/>
                <w:sz w:val="22"/>
                <w:szCs w:val="22"/>
              </w:rPr>
              <w:t>Текущий элемент/ атрибут</w:t>
            </w:r>
          </w:p>
        </w:tc>
        <w:tc>
          <w:tcPr>
            <w:tcW w:w="567" w:type="dxa"/>
          </w:tcPr>
          <w:p w14:paraId="4B87CE98" w14:textId="77777777" w:rsidR="00AD1F54" w:rsidRPr="00264D5D" w:rsidRDefault="00941227">
            <w:pPr>
              <w:spacing w:before="60" w:after="60"/>
              <w:ind w:left="57" w:right="57"/>
              <w:jc w:val="center"/>
              <w:rPr>
                <w:b/>
                <w:sz w:val="22"/>
                <w:szCs w:val="22"/>
              </w:rPr>
            </w:pPr>
            <w:r w:rsidRPr="00264D5D">
              <w:rPr>
                <w:b/>
                <w:bCs/>
                <w:sz w:val="22"/>
                <w:szCs w:val="22"/>
              </w:rPr>
              <w:t>Тип</w:t>
            </w:r>
          </w:p>
        </w:tc>
        <w:tc>
          <w:tcPr>
            <w:tcW w:w="1134" w:type="dxa"/>
          </w:tcPr>
          <w:p w14:paraId="340D7902" w14:textId="77777777" w:rsidR="00AD1F54" w:rsidRPr="00264D5D" w:rsidRDefault="00941227">
            <w:pPr>
              <w:spacing w:before="60" w:after="60"/>
              <w:ind w:left="57" w:right="57"/>
              <w:jc w:val="center"/>
              <w:rPr>
                <w:b/>
                <w:sz w:val="22"/>
                <w:szCs w:val="22"/>
              </w:rPr>
            </w:pPr>
            <w:r w:rsidRPr="00264D5D">
              <w:rPr>
                <w:b/>
                <w:bCs/>
                <w:sz w:val="22"/>
                <w:szCs w:val="22"/>
              </w:rPr>
              <w:t>Формат элемента</w:t>
            </w:r>
          </w:p>
        </w:tc>
        <w:tc>
          <w:tcPr>
            <w:tcW w:w="567" w:type="dxa"/>
          </w:tcPr>
          <w:p w14:paraId="03E808C3" w14:textId="77777777" w:rsidR="00AD1F54" w:rsidRPr="00264D5D" w:rsidRDefault="00941227">
            <w:pPr>
              <w:spacing w:before="60" w:after="60"/>
              <w:ind w:left="57" w:right="57"/>
              <w:jc w:val="center"/>
              <w:rPr>
                <w:b/>
                <w:sz w:val="22"/>
                <w:szCs w:val="22"/>
              </w:rPr>
            </w:pPr>
            <w:r w:rsidRPr="00264D5D">
              <w:rPr>
                <w:b/>
                <w:bCs/>
                <w:sz w:val="22"/>
                <w:szCs w:val="22"/>
              </w:rPr>
              <w:t>Обязательность</w:t>
            </w:r>
          </w:p>
        </w:tc>
        <w:tc>
          <w:tcPr>
            <w:tcW w:w="3963" w:type="dxa"/>
          </w:tcPr>
          <w:p w14:paraId="77A4DBCE" w14:textId="77777777" w:rsidR="00AD1F54" w:rsidRPr="00264D5D" w:rsidRDefault="00941227">
            <w:pPr>
              <w:spacing w:before="60" w:after="60"/>
              <w:ind w:left="57" w:right="57"/>
              <w:jc w:val="center"/>
              <w:rPr>
                <w:b/>
                <w:sz w:val="22"/>
                <w:szCs w:val="22"/>
              </w:rPr>
            </w:pPr>
            <w:r w:rsidRPr="00264D5D">
              <w:rPr>
                <w:b/>
                <w:bCs/>
                <w:sz w:val="22"/>
                <w:szCs w:val="22"/>
              </w:rPr>
              <w:t>Дополнительная информация</w:t>
            </w:r>
          </w:p>
        </w:tc>
      </w:tr>
      <w:tr w:rsidR="00AD1F54" w:rsidRPr="00264D5D" w14:paraId="74E0519C" w14:textId="77777777" w:rsidTr="00AD1F54">
        <w:trPr>
          <w:cnfStyle w:val="000000100000" w:firstRow="0" w:lastRow="0" w:firstColumn="0" w:lastColumn="0" w:oddVBand="0" w:evenVBand="0" w:oddHBand="1" w:evenHBand="0" w:firstRowFirstColumn="0" w:firstRowLastColumn="0" w:lastRowFirstColumn="0" w:lastRowLastColumn="0"/>
        </w:trPr>
        <w:tc>
          <w:tcPr>
            <w:tcW w:w="1703" w:type="dxa"/>
          </w:tcPr>
          <w:p w14:paraId="07EF6AB1" w14:textId="77777777" w:rsidR="00AD1F54" w:rsidRPr="00264D5D" w:rsidRDefault="00941227">
            <w:pPr>
              <w:spacing w:before="60" w:after="60"/>
              <w:rPr>
                <w:sz w:val="22"/>
                <w:szCs w:val="22"/>
              </w:rPr>
            </w:pPr>
            <w:r w:rsidRPr="00264D5D">
              <w:rPr>
                <w:rFonts w:eastAsia="Calibri"/>
                <w:sz w:val="22"/>
                <w:szCs w:val="22"/>
                <w:lang w:val="en-US"/>
              </w:rPr>
              <w:t>BOD</w:t>
            </w:r>
          </w:p>
        </w:tc>
        <w:tc>
          <w:tcPr>
            <w:tcW w:w="1701" w:type="dxa"/>
          </w:tcPr>
          <w:p w14:paraId="06DCBD34" w14:textId="77777777" w:rsidR="00AD1F54" w:rsidRPr="00264D5D" w:rsidRDefault="00941227">
            <w:pPr>
              <w:spacing w:before="60" w:after="60"/>
              <w:rPr>
                <w:sz w:val="22"/>
                <w:szCs w:val="22"/>
                <w:lang w:val="en-US"/>
              </w:rPr>
            </w:pPr>
            <w:r w:rsidRPr="00264D5D">
              <w:rPr>
                <w:sz w:val="22"/>
                <w:szCs w:val="22"/>
                <w:lang w:val="en-US"/>
              </w:rPr>
              <w:t>versionID</w:t>
            </w:r>
          </w:p>
        </w:tc>
        <w:tc>
          <w:tcPr>
            <w:tcW w:w="567" w:type="dxa"/>
          </w:tcPr>
          <w:p w14:paraId="5D533082" w14:textId="77777777" w:rsidR="00AD1F54" w:rsidRPr="00264D5D" w:rsidRDefault="00941227">
            <w:pPr>
              <w:spacing w:before="60" w:after="60"/>
              <w:jc w:val="center"/>
              <w:rPr>
                <w:sz w:val="22"/>
                <w:szCs w:val="22"/>
              </w:rPr>
            </w:pPr>
            <w:r w:rsidRPr="00264D5D">
              <w:rPr>
                <w:sz w:val="22"/>
                <w:szCs w:val="22"/>
              </w:rPr>
              <w:t>А</w:t>
            </w:r>
          </w:p>
        </w:tc>
        <w:tc>
          <w:tcPr>
            <w:tcW w:w="1134" w:type="dxa"/>
          </w:tcPr>
          <w:p w14:paraId="5B78C30B" w14:textId="77777777" w:rsidR="00AD1F54" w:rsidRPr="00264D5D" w:rsidRDefault="00941227">
            <w:pPr>
              <w:spacing w:before="60" w:after="60"/>
              <w:rPr>
                <w:sz w:val="22"/>
                <w:szCs w:val="22"/>
              </w:rPr>
            </w:pPr>
            <w:r w:rsidRPr="00264D5D">
              <w:rPr>
                <w:sz w:val="22"/>
                <w:szCs w:val="22"/>
              </w:rPr>
              <w:t>-</w:t>
            </w:r>
          </w:p>
        </w:tc>
        <w:tc>
          <w:tcPr>
            <w:tcW w:w="567" w:type="dxa"/>
          </w:tcPr>
          <w:p w14:paraId="42DF5257" w14:textId="77777777" w:rsidR="00AD1F54" w:rsidRPr="00264D5D" w:rsidRDefault="00941227">
            <w:pPr>
              <w:spacing w:before="60" w:after="60"/>
              <w:jc w:val="center"/>
              <w:rPr>
                <w:sz w:val="22"/>
                <w:szCs w:val="22"/>
              </w:rPr>
            </w:pPr>
            <w:r w:rsidRPr="00264D5D">
              <w:rPr>
                <w:sz w:val="22"/>
                <w:szCs w:val="22"/>
              </w:rPr>
              <w:t>О</w:t>
            </w:r>
          </w:p>
        </w:tc>
        <w:tc>
          <w:tcPr>
            <w:tcW w:w="3963" w:type="dxa"/>
          </w:tcPr>
          <w:p w14:paraId="0C66A92D" w14:textId="77777777" w:rsidR="00AD1F54" w:rsidRPr="00264D5D" w:rsidRDefault="005A204F">
            <w:pPr>
              <w:spacing w:before="60" w:after="60"/>
              <w:rPr>
                <w:sz w:val="22"/>
                <w:szCs w:val="22"/>
              </w:rPr>
            </w:pPr>
            <w:r w:rsidRPr="00264D5D">
              <w:rPr>
                <w:sz w:val="22"/>
                <w:szCs w:val="22"/>
              </w:rPr>
              <w:t>А</w:t>
            </w:r>
            <w:r w:rsidR="00941227" w:rsidRPr="00264D5D">
              <w:rPr>
                <w:sz w:val="22"/>
                <w:szCs w:val="22"/>
              </w:rPr>
              <w:t>трибут, содержащий номер версии сообщения.</w:t>
            </w:r>
          </w:p>
          <w:p w14:paraId="5974E775" w14:textId="77777777" w:rsidR="00AD1F54" w:rsidRPr="00264D5D" w:rsidRDefault="005A204F">
            <w:pPr>
              <w:spacing w:before="60" w:after="60"/>
              <w:rPr>
                <w:sz w:val="22"/>
                <w:szCs w:val="22"/>
              </w:rPr>
            </w:pPr>
            <w:r w:rsidRPr="00264D5D">
              <w:rPr>
                <w:sz w:val="22"/>
                <w:szCs w:val="22"/>
              </w:rPr>
              <w:t>Шаблон значений: \d{3}.\d{1}</w:t>
            </w:r>
          </w:p>
        </w:tc>
      </w:tr>
      <w:tr w:rsidR="00AD1F54" w:rsidRPr="00264D5D" w14:paraId="257F85FD" w14:textId="77777777" w:rsidTr="00AD1F54">
        <w:trPr>
          <w:cnfStyle w:val="000000010000" w:firstRow="0" w:lastRow="0" w:firstColumn="0" w:lastColumn="0" w:oddVBand="0" w:evenVBand="0" w:oddHBand="0" w:evenHBand="1" w:firstRowFirstColumn="0" w:firstRowLastColumn="0" w:lastRowFirstColumn="0" w:lastRowLastColumn="0"/>
        </w:trPr>
        <w:tc>
          <w:tcPr>
            <w:tcW w:w="1703" w:type="dxa"/>
          </w:tcPr>
          <w:p w14:paraId="5CA7D345" w14:textId="77777777" w:rsidR="00AD1F54" w:rsidRPr="00264D5D" w:rsidRDefault="00941227">
            <w:pPr>
              <w:spacing w:before="60" w:after="60"/>
              <w:rPr>
                <w:sz w:val="22"/>
                <w:szCs w:val="22"/>
              </w:rPr>
            </w:pPr>
            <w:r w:rsidRPr="00264D5D">
              <w:rPr>
                <w:rFonts w:eastAsia="Calibri"/>
                <w:sz w:val="22"/>
                <w:szCs w:val="22"/>
                <w:lang w:val="en-US"/>
              </w:rPr>
              <w:t>BOD</w:t>
            </w:r>
          </w:p>
        </w:tc>
        <w:tc>
          <w:tcPr>
            <w:tcW w:w="1701" w:type="dxa"/>
          </w:tcPr>
          <w:p w14:paraId="2D60D2D0" w14:textId="77777777" w:rsidR="00AD1F54" w:rsidRPr="00264D5D" w:rsidRDefault="00941227">
            <w:pPr>
              <w:spacing w:before="60" w:after="60"/>
              <w:rPr>
                <w:sz w:val="22"/>
                <w:szCs w:val="22"/>
              </w:rPr>
            </w:pPr>
            <w:r w:rsidRPr="00264D5D">
              <w:rPr>
                <w:sz w:val="22"/>
                <w:szCs w:val="22"/>
                <w:lang w:val="en-US"/>
              </w:rPr>
              <w:t>systemEnvironmentCode</w:t>
            </w:r>
          </w:p>
        </w:tc>
        <w:tc>
          <w:tcPr>
            <w:tcW w:w="567" w:type="dxa"/>
          </w:tcPr>
          <w:p w14:paraId="768439BF" w14:textId="77777777" w:rsidR="00AD1F54" w:rsidRPr="00264D5D" w:rsidRDefault="00941227">
            <w:pPr>
              <w:spacing w:before="60" w:after="60"/>
              <w:jc w:val="center"/>
              <w:rPr>
                <w:sz w:val="22"/>
                <w:szCs w:val="22"/>
              </w:rPr>
            </w:pPr>
            <w:r w:rsidRPr="00264D5D">
              <w:rPr>
                <w:sz w:val="22"/>
                <w:szCs w:val="22"/>
              </w:rPr>
              <w:t>А</w:t>
            </w:r>
          </w:p>
        </w:tc>
        <w:tc>
          <w:tcPr>
            <w:tcW w:w="1134" w:type="dxa"/>
          </w:tcPr>
          <w:p w14:paraId="49A83977" w14:textId="77777777" w:rsidR="00AD1F54" w:rsidRPr="00264D5D" w:rsidRDefault="00941227">
            <w:pPr>
              <w:spacing w:before="60" w:after="60"/>
              <w:rPr>
                <w:sz w:val="22"/>
                <w:szCs w:val="22"/>
              </w:rPr>
            </w:pPr>
            <w:r w:rsidRPr="00264D5D">
              <w:rPr>
                <w:sz w:val="22"/>
                <w:szCs w:val="22"/>
              </w:rPr>
              <w:t>-</w:t>
            </w:r>
          </w:p>
        </w:tc>
        <w:tc>
          <w:tcPr>
            <w:tcW w:w="567" w:type="dxa"/>
          </w:tcPr>
          <w:p w14:paraId="55B1656B" w14:textId="77777777" w:rsidR="00AD1F54" w:rsidRPr="00264D5D" w:rsidRDefault="00941227">
            <w:pPr>
              <w:spacing w:before="60" w:after="60"/>
              <w:jc w:val="center"/>
              <w:rPr>
                <w:sz w:val="22"/>
                <w:szCs w:val="22"/>
              </w:rPr>
            </w:pPr>
            <w:r w:rsidRPr="00264D5D">
              <w:rPr>
                <w:sz w:val="22"/>
                <w:szCs w:val="22"/>
              </w:rPr>
              <w:t>О</w:t>
            </w:r>
          </w:p>
        </w:tc>
        <w:tc>
          <w:tcPr>
            <w:tcW w:w="3963" w:type="dxa"/>
          </w:tcPr>
          <w:p w14:paraId="118C95E3" w14:textId="77777777" w:rsidR="00AD1F54" w:rsidRPr="00264D5D" w:rsidRDefault="00941227">
            <w:pPr>
              <w:spacing w:before="60" w:after="60"/>
              <w:rPr>
                <w:sz w:val="22"/>
                <w:szCs w:val="22"/>
              </w:rPr>
            </w:pPr>
            <w:r w:rsidRPr="00264D5D">
              <w:rPr>
                <w:sz w:val="22"/>
                <w:szCs w:val="22"/>
              </w:rPr>
              <w:t>К</w:t>
            </w:r>
            <w:r w:rsidR="005A204F" w:rsidRPr="00264D5D">
              <w:rPr>
                <w:sz w:val="22"/>
                <w:szCs w:val="22"/>
              </w:rPr>
              <w:t>од системы источника документа.</w:t>
            </w:r>
          </w:p>
          <w:p w14:paraId="595EDB0A" w14:textId="77777777" w:rsidR="00AD1F54" w:rsidRPr="00264D5D" w:rsidRDefault="00941227">
            <w:pPr>
              <w:pStyle w:val="GOSTTablenorm"/>
              <w:rPr>
                <w:szCs w:val="22"/>
              </w:rPr>
            </w:pPr>
            <w:r w:rsidRPr="00264D5D">
              <w:rPr>
                <w:szCs w:val="22"/>
              </w:rPr>
              <w:t>Возможные значения:</w:t>
            </w:r>
          </w:p>
          <w:p w14:paraId="2705E39A" w14:textId="77777777" w:rsidR="00AD1F54" w:rsidRPr="00264D5D" w:rsidRDefault="00941227" w:rsidP="00941227">
            <w:pPr>
              <w:pStyle w:val="GOSTTableListMark1"/>
              <w:numPr>
                <w:ilvl w:val="0"/>
                <w:numId w:val="65"/>
              </w:numPr>
              <w:spacing w:before="60" w:after="60"/>
              <w:ind w:left="284"/>
              <w:rPr>
                <w:szCs w:val="22"/>
              </w:rPr>
            </w:pPr>
            <w:r w:rsidRPr="00264D5D">
              <w:rPr>
                <w:szCs w:val="22"/>
              </w:rPr>
              <w:t>Prod;</w:t>
            </w:r>
          </w:p>
          <w:p w14:paraId="27F96409" w14:textId="77777777" w:rsidR="00AD1F54" w:rsidRPr="00264D5D" w:rsidRDefault="005A204F" w:rsidP="00941227">
            <w:pPr>
              <w:pStyle w:val="GOSTTableListMark1"/>
              <w:numPr>
                <w:ilvl w:val="0"/>
                <w:numId w:val="65"/>
              </w:numPr>
              <w:spacing w:before="60" w:after="60"/>
              <w:ind w:left="284"/>
              <w:rPr>
                <w:szCs w:val="22"/>
              </w:rPr>
            </w:pPr>
            <w:r w:rsidRPr="00264D5D">
              <w:rPr>
                <w:szCs w:val="22"/>
              </w:rPr>
              <w:t>Test</w:t>
            </w:r>
          </w:p>
        </w:tc>
      </w:tr>
      <w:tr w:rsidR="00AD1F54" w:rsidRPr="00264D5D" w14:paraId="6C2CC501" w14:textId="77777777" w:rsidTr="00AD1F54">
        <w:trPr>
          <w:cnfStyle w:val="000000100000" w:firstRow="0" w:lastRow="0" w:firstColumn="0" w:lastColumn="0" w:oddVBand="0" w:evenVBand="0" w:oddHBand="1" w:evenHBand="0" w:firstRowFirstColumn="0" w:firstRowLastColumn="0" w:lastRowFirstColumn="0" w:lastRowLastColumn="0"/>
        </w:trPr>
        <w:tc>
          <w:tcPr>
            <w:tcW w:w="1703" w:type="dxa"/>
          </w:tcPr>
          <w:p w14:paraId="2843F0C9" w14:textId="77777777" w:rsidR="00AD1F54" w:rsidRPr="00264D5D" w:rsidRDefault="00941227">
            <w:pPr>
              <w:pStyle w:val="EBTablenorm"/>
              <w:ind w:left="57" w:right="57"/>
              <w:contextualSpacing w:val="0"/>
              <w:jc w:val="left"/>
              <w:rPr>
                <w:sz w:val="22"/>
                <w:szCs w:val="22"/>
              </w:rPr>
            </w:pPr>
            <w:r w:rsidRPr="00264D5D">
              <w:rPr>
                <w:rFonts w:eastAsia="Calibri"/>
                <w:sz w:val="22"/>
                <w:szCs w:val="22"/>
                <w:lang w:val="en-US"/>
              </w:rPr>
              <w:t>BOD</w:t>
            </w:r>
          </w:p>
        </w:tc>
        <w:tc>
          <w:tcPr>
            <w:tcW w:w="1701" w:type="dxa"/>
          </w:tcPr>
          <w:p w14:paraId="5179197F" w14:textId="77777777" w:rsidR="00AD1F54" w:rsidRPr="00264D5D" w:rsidRDefault="00941227">
            <w:pPr>
              <w:pStyle w:val="EBTablenorm"/>
              <w:ind w:left="57" w:right="57"/>
              <w:contextualSpacing w:val="0"/>
              <w:jc w:val="left"/>
              <w:rPr>
                <w:sz w:val="22"/>
                <w:szCs w:val="22"/>
              </w:rPr>
            </w:pPr>
            <w:r w:rsidRPr="00264D5D">
              <w:rPr>
                <w:sz w:val="22"/>
                <w:szCs w:val="22"/>
                <w:lang w:val="en-US"/>
              </w:rPr>
              <w:t>releaseID</w:t>
            </w:r>
          </w:p>
        </w:tc>
        <w:tc>
          <w:tcPr>
            <w:tcW w:w="567" w:type="dxa"/>
          </w:tcPr>
          <w:p w14:paraId="2DD40C1B" w14:textId="77777777" w:rsidR="00AD1F54" w:rsidRPr="00264D5D" w:rsidRDefault="00941227">
            <w:pPr>
              <w:spacing w:before="60" w:after="60"/>
              <w:jc w:val="center"/>
              <w:rPr>
                <w:sz w:val="22"/>
                <w:szCs w:val="22"/>
              </w:rPr>
            </w:pPr>
            <w:r w:rsidRPr="00264D5D">
              <w:rPr>
                <w:sz w:val="22"/>
                <w:szCs w:val="22"/>
              </w:rPr>
              <w:t>А</w:t>
            </w:r>
          </w:p>
        </w:tc>
        <w:tc>
          <w:tcPr>
            <w:tcW w:w="1134" w:type="dxa"/>
          </w:tcPr>
          <w:p w14:paraId="3AE14206" w14:textId="77777777" w:rsidR="00AD1F54" w:rsidRPr="00264D5D" w:rsidRDefault="00941227">
            <w:pPr>
              <w:spacing w:before="60" w:after="60"/>
              <w:jc w:val="left"/>
              <w:rPr>
                <w:rFonts w:eastAsia="Calibri"/>
                <w:sz w:val="22"/>
                <w:szCs w:val="22"/>
              </w:rPr>
            </w:pPr>
            <w:r w:rsidRPr="00264D5D">
              <w:rPr>
                <w:sz w:val="22"/>
                <w:szCs w:val="22"/>
              </w:rPr>
              <w:t>-</w:t>
            </w:r>
          </w:p>
        </w:tc>
        <w:tc>
          <w:tcPr>
            <w:tcW w:w="567" w:type="dxa"/>
          </w:tcPr>
          <w:p w14:paraId="6EAEAE54" w14:textId="77777777" w:rsidR="00AD1F54" w:rsidRPr="00264D5D" w:rsidRDefault="00941227">
            <w:pPr>
              <w:spacing w:before="60" w:after="60"/>
              <w:jc w:val="center"/>
              <w:rPr>
                <w:sz w:val="22"/>
                <w:szCs w:val="22"/>
              </w:rPr>
            </w:pPr>
            <w:r w:rsidRPr="00264D5D">
              <w:rPr>
                <w:sz w:val="22"/>
                <w:szCs w:val="22"/>
              </w:rPr>
              <w:t>О</w:t>
            </w:r>
          </w:p>
        </w:tc>
        <w:tc>
          <w:tcPr>
            <w:tcW w:w="3963" w:type="dxa"/>
          </w:tcPr>
          <w:p w14:paraId="3E62B7AA" w14:textId="77777777" w:rsidR="00AD1F54" w:rsidRPr="00264D5D" w:rsidRDefault="00941227">
            <w:pPr>
              <w:pStyle w:val="EBTablenorm"/>
              <w:ind w:left="57" w:right="57"/>
              <w:contextualSpacing w:val="0"/>
              <w:rPr>
                <w:sz w:val="22"/>
                <w:szCs w:val="22"/>
              </w:rPr>
            </w:pPr>
            <w:r w:rsidRPr="00264D5D">
              <w:rPr>
                <w:sz w:val="22"/>
                <w:szCs w:val="22"/>
              </w:rPr>
              <w:t>Версия релиза ППО, в кот</w:t>
            </w:r>
            <w:r w:rsidR="005A204F" w:rsidRPr="00264D5D">
              <w:rPr>
                <w:sz w:val="22"/>
                <w:szCs w:val="22"/>
              </w:rPr>
              <w:t>ором сформирован xml-файл</w:t>
            </w:r>
          </w:p>
        </w:tc>
      </w:tr>
      <w:tr w:rsidR="00AD1F54" w:rsidRPr="00264D5D" w14:paraId="66717BD6" w14:textId="77777777" w:rsidTr="00AD1F54">
        <w:trPr>
          <w:cnfStyle w:val="000000010000" w:firstRow="0" w:lastRow="0" w:firstColumn="0" w:lastColumn="0" w:oddVBand="0" w:evenVBand="0" w:oddHBand="0" w:evenHBand="1" w:firstRowFirstColumn="0" w:firstRowLastColumn="0" w:lastRowFirstColumn="0" w:lastRowLastColumn="0"/>
        </w:trPr>
        <w:tc>
          <w:tcPr>
            <w:tcW w:w="1703" w:type="dxa"/>
          </w:tcPr>
          <w:p w14:paraId="0C8EA5D0" w14:textId="77777777" w:rsidR="00AD1F54" w:rsidRPr="00264D5D" w:rsidRDefault="00941227">
            <w:pPr>
              <w:pStyle w:val="EBTablenorm"/>
              <w:ind w:left="57" w:right="57"/>
              <w:contextualSpacing w:val="0"/>
              <w:jc w:val="left"/>
              <w:rPr>
                <w:rFonts w:eastAsia="Calibri"/>
                <w:sz w:val="22"/>
                <w:szCs w:val="22"/>
                <w:lang w:val="en-US"/>
              </w:rPr>
            </w:pPr>
            <w:r w:rsidRPr="00264D5D">
              <w:rPr>
                <w:rFonts w:eastAsia="Calibri"/>
                <w:sz w:val="22"/>
                <w:szCs w:val="22"/>
                <w:lang w:val="en-US"/>
              </w:rPr>
              <w:t>BOD</w:t>
            </w:r>
          </w:p>
        </w:tc>
        <w:tc>
          <w:tcPr>
            <w:tcW w:w="1701" w:type="dxa"/>
          </w:tcPr>
          <w:p w14:paraId="577BC626" w14:textId="77777777" w:rsidR="00AD1F54" w:rsidRPr="00264D5D" w:rsidRDefault="00941227">
            <w:pPr>
              <w:pStyle w:val="EBTablenorm"/>
              <w:ind w:left="57" w:right="57"/>
              <w:contextualSpacing w:val="0"/>
              <w:jc w:val="left"/>
              <w:rPr>
                <w:sz w:val="22"/>
                <w:szCs w:val="22"/>
                <w:lang w:val="en-US"/>
              </w:rPr>
            </w:pPr>
            <w:r w:rsidRPr="00264D5D">
              <w:rPr>
                <w:sz w:val="22"/>
                <w:szCs w:val="22"/>
              </w:rPr>
              <w:t>ApplicationArea</w:t>
            </w:r>
          </w:p>
        </w:tc>
        <w:tc>
          <w:tcPr>
            <w:tcW w:w="567" w:type="dxa"/>
          </w:tcPr>
          <w:p w14:paraId="426D7260" w14:textId="77777777" w:rsidR="00AD1F54" w:rsidRPr="00264D5D" w:rsidRDefault="00941227">
            <w:pPr>
              <w:spacing w:before="60" w:after="60"/>
              <w:jc w:val="center"/>
              <w:rPr>
                <w:sz w:val="22"/>
                <w:szCs w:val="22"/>
              </w:rPr>
            </w:pPr>
            <w:r w:rsidRPr="00264D5D">
              <w:rPr>
                <w:sz w:val="22"/>
                <w:szCs w:val="22"/>
              </w:rPr>
              <w:t>С</w:t>
            </w:r>
          </w:p>
        </w:tc>
        <w:tc>
          <w:tcPr>
            <w:tcW w:w="1134" w:type="dxa"/>
          </w:tcPr>
          <w:p w14:paraId="7BC9AD28" w14:textId="77777777" w:rsidR="00AD1F54" w:rsidRPr="00264D5D" w:rsidRDefault="00941227">
            <w:pPr>
              <w:spacing w:before="60" w:after="60"/>
              <w:jc w:val="left"/>
              <w:rPr>
                <w:sz w:val="22"/>
                <w:szCs w:val="22"/>
              </w:rPr>
            </w:pPr>
            <w:r w:rsidRPr="00264D5D">
              <w:rPr>
                <w:sz w:val="22"/>
                <w:szCs w:val="22"/>
                <w:lang w:val="en-US"/>
              </w:rPr>
              <w:t>ApplicationAreaContent</w:t>
            </w:r>
          </w:p>
        </w:tc>
        <w:tc>
          <w:tcPr>
            <w:tcW w:w="567" w:type="dxa"/>
          </w:tcPr>
          <w:p w14:paraId="0304C109" w14:textId="77777777" w:rsidR="00AD1F54" w:rsidRPr="00264D5D" w:rsidRDefault="00941227">
            <w:pPr>
              <w:spacing w:before="60" w:after="60"/>
              <w:jc w:val="center"/>
              <w:rPr>
                <w:sz w:val="22"/>
                <w:szCs w:val="22"/>
              </w:rPr>
            </w:pPr>
            <w:r w:rsidRPr="00264D5D">
              <w:rPr>
                <w:sz w:val="22"/>
                <w:szCs w:val="22"/>
              </w:rPr>
              <w:t>О</w:t>
            </w:r>
          </w:p>
        </w:tc>
        <w:tc>
          <w:tcPr>
            <w:tcW w:w="3963" w:type="dxa"/>
          </w:tcPr>
          <w:p w14:paraId="686E2027" w14:textId="77777777" w:rsidR="00AD1F54" w:rsidRPr="00264D5D" w:rsidRDefault="00941227">
            <w:pPr>
              <w:spacing w:before="60" w:after="60"/>
              <w:rPr>
                <w:sz w:val="22"/>
                <w:szCs w:val="22"/>
              </w:rPr>
            </w:pPr>
            <w:r w:rsidRPr="00264D5D">
              <w:rPr>
                <w:sz w:val="22"/>
                <w:szCs w:val="22"/>
              </w:rPr>
              <w:t>Заголовок пакета.</w:t>
            </w:r>
          </w:p>
          <w:p w14:paraId="63D4669D" w14:textId="64B3D39E" w:rsidR="00AD1F54" w:rsidRPr="00264D5D" w:rsidRDefault="00941227">
            <w:pPr>
              <w:pStyle w:val="EBTablenorm"/>
              <w:ind w:left="57" w:right="57"/>
              <w:contextualSpacing w:val="0"/>
              <w:rPr>
                <w:sz w:val="22"/>
                <w:szCs w:val="22"/>
              </w:rPr>
            </w:pPr>
            <w:r w:rsidRPr="00264D5D">
              <w:rPr>
                <w:sz w:val="22"/>
                <w:szCs w:val="22"/>
              </w:rPr>
              <w:t xml:space="preserve">Состав пакета описан в разделе </w:t>
            </w:r>
            <w:r w:rsidRPr="00264D5D">
              <w:rPr>
                <w:sz w:val="22"/>
                <w:szCs w:val="22"/>
              </w:rPr>
              <w:fldChar w:fldCharType="begin"/>
            </w:r>
            <w:r w:rsidRPr="00264D5D">
              <w:rPr>
                <w:sz w:val="22"/>
                <w:szCs w:val="22"/>
              </w:rPr>
              <w:instrText xml:space="preserve"> REF _Ref527726624 \r \h  \* MERGEFORMAT </w:instrText>
            </w:r>
            <w:r w:rsidRPr="00264D5D">
              <w:rPr>
                <w:sz w:val="22"/>
                <w:szCs w:val="22"/>
              </w:rPr>
            </w:r>
            <w:r w:rsidRPr="00264D5D">
              <w:rPr>
                <w:sz w:val="22"/>
                <w:szCs w:val="22"/>
              </w:rPr>
              <w:fldChar w:fldCharType="separate"/>
            </w:r>
            <w:r w:rsidR="008D797C">
              <w:rPr>
                <w:sz w:val="22"/>
                <w:szCs w:val="22"/>
              </w:rPr>
              <w:t>5.8</w:t>
            </w:r>
            <w:r w:rsidRPr="00264D5D">
              <w:rPr>
                <w:sz w:val="22"/>
                <w:szCs w:val="22"/>
              </w:rPr>
              <w:fldChar w:fldCharType="end"/>
            </w:r>
          </w:p>
        </w:tc>
      </w:tr>
      <w:tr w:rsidR="00AD1F54" w:rsidRPr="00264D5D" w14:paraId="3395CA53" w14:textId="77777777" w:rsidTr="00AD1F54">
        <w:trPr>
          <w:cnfStyle w:val="000000100000" w:firstRow="0" w:lastRow="0" w:firstColumn="0" w:lastColumn="0" w:oddVBand="0" w:evenVBand="0" w:oddHBand="1" w:evenHBand="0" w:firstRowFirstColumn="0" w:firstRowLastColumn="0" w:lastRowFirstColumn="0" w:lastRowLastColumn="0"/>
        </w:trPr>
        <w:tc>
          <w:tcPr>
            <w:tcW w:w="1703" w:type="dxa"/>
          </w:tcPr>
          <w:p w14:paraId="2AA8A2AD" w14:textId="77777777" w:rsidR="00AD1F54" w:rsidRPr="00264D5D" w:rsidRDefault="00941227">
            <w:pPr>
              <w:pStyle w:val="EBTablenorm"/>
              <w:ind w:left="57" w:right="57"/>
              <w:contextualSpacing w:val="0"/>
              <w:jc w:val="left"/>
              <w:rPr>
                <w:rFonts w:eastAsia="Calibri"/>
                <w:sz w:val="22"/>
                <w:szCs w:val="22"/>
                <w:lang w:val="en-US"/>
              </w:rPr>
            </w:pPr>
            <w:r w:rsidRPr="00264D5D">
              <w:rPr>
                <w:rFonts w:eastAsia="Calibri"/>
                <w:sz w:val="22"/>
                <w:szCs w:val="22"/>
                <w:lang w:val="en-US"/>
              </w:rPr>
              <w:t>BOD</w:t>
            </w:r>
          </w:p>
        </w:tc>
        <w:tc>
          <w:tcPr>
            <w:tcW w:w="1701" w:type="dxa"/>
          </w:tcPr>
          <w:p w14:paraId="227589D6" w14:textId="77777777" w:rsidR="00AD1F54" w:rsidRPr="00264D5D" w:rsidRDefault="00941227">
            <w:pPr>
              <w:pStyle w:val="EBTablenorm"/>
              <w:ind w:left="57" w:right="57"/>
              <w:contextualSpacing w:val="0"/>
              <w:jc w:val="left"/>
              <w:rPr>
                <w:sz w:val="22"/>
                <w:szCs w:val="22"/>
              </w:rPr>
            </w:pPr>
            <w:r w:rsidRPr="00264D5D">
              <w:rPr>
                <w:sz w:val="22"/>
                <w:szCs w:val="22"/>
              </w:rPr>
              <w:t>DataArea</w:t>
            </w:r>
          </w:p>
        </w:tc>
        <w:tc>
          <w:tcPr>
            <w:tcW w:w="567" w:type="dxa"/>
          </w:tcPr>
          <w:p w14:paraId="1235990F" w14:textId="77777777" w:rsidR="00AD1F54" w:rsidRPr="00264D5D" w:rsidRDefault="00941227">
            <w:pPr>
              <w:spacing w:before="60" w:after="60"/>
              <w:jc w:val="center"/>
              <w:rPr>
                <w:sz w:val="22"/>
                <w:szCs w:val="22"/>
              </w:rPr>
            </w:pPr>
            <w:r w:rsidRPr="00264D5D">
              <w:rPr>
                <w:sz w:val="22"/>
                <w:szCs w:val="22"/>
              </w:rPr>
              <w:t>С</w:t>
            </w:r>
          </w:p>
        </w:tc>
        <w:tc>
          <w:tcPr>
            <w:tcW w:w="1134" w:type="dxa"/>
          </w:tcPr>
          <w:p w14:paraId="2D3D7E69" w14:textId="77777777" w:rsidR="00AD1F54" w:rsidRPr="00264D5D" w:rsidRDefault="00941227">
            <w:pPr>
              <w:spacing w:before="60" w:after="60"/>
              <w:jc w:val="left"/>
              <w:rPr>
                <w:sz w:val="22"/>
                <w:szCs w:val="22"/>
                <w:lang w:val="en-US"/>
              </w:rPr>
            </w:pPr>
            <w:r w:rsidRPr="00264D5D">
              <w:rPr>
                <w:sz w:val="22"/>
                <w:szCs w:val="22"/>
              </w:rPr>
              <w:t>-</w:t>
            </w:r>
          </w:p>
        </w:tc>
        <w:tc>
          <w:tcPr>
            <w:tcW w:w="567" w:type="dxa"/>
          </w:tcPr>
          <w:p w14:paraId="2B275132" w14:textId="77777777" w:rsidR="00AD1F54" w:rsidRPr="00264D5D" w:rsidRDefault="00941227">
            <w:pPr>
              <w:spacing w:before="60" w:after="60"/>
              <w:jc w:val="center"/>
              <w:rPr>
                <w:sz w:val="22"/>
                <w:szCs w:val="22"/>
              </w:rPr>
            </w:pPr>
            <w:r w:rsidRPr="00264D5D">
              <w:rPr>
                <w:sz w:val="22"/>
                <w:szCs w:val="22"/>
              </w:rPr>
              <w:t>О</w:t>
            </w:r>
          </w:p>
        </w:tc>
        <w:tc>
          <w:tcPr>
            <w:tcW w:w="3963" w:type="dxa"/>
          </w:tcPr>
          <w:p w14:paraId="1E62B6D8" w14:textId="77777777" w:rsidR="00AD1F54" w:rsidRPr="00264D5D" w:rsidRDefault="00941227">
            <w:pPr>
              <w:spacing w:before="60" w:after="60"/>
              <w:rPr>
                <w:sz w:val="22"/>
                <w:szCs w:val="22"/>
              </w:rPr>
            </w:pPr>
            <w:r w:rsidRPr="00264D5D">
              <w:rPr>
                <w:sz w:val="22"/>
                <w:szCs w:val="22"/>
              </w:rPr>
              <w:t>Бизнес данные пакета.</w:t>
            </w:r>
          </w:p>
          <w:p w14:paraId="4C0D417A" w14:textId="77777777" w:rsidR="00AD1F54" w:rsidRPr="00264D5D" w:rsidRDefault="00941227">
            <w:pPr>
              <w:spacing w:before="60" w:after="60"/>
              <w:rPr>
                <w:sz w:val="22"/>
                <w:szCs w:val="22"/>
              </w:rPr>
            </w:pPr>
            <w:r w:rsidRPr="00264D5D">
              <w:rPr>
                <w:sz w:val="22"/>
                <w:szCs w:val="22"/>
              </w:rPr>
              <w:t>Сос</w:t>
            </w:r>
            <w:r w:rsidR="005A204F" w:rsidRPr="00264D5D">
              <w:rPr>
                <w:sz w:val="22"/>
                <w:szCs w:val="22"/>
              </w:rPr>
              <w:t>тав пакета описан в разделе 5.9</w:t>
            </w:r>
          </w:p>
        </w:tc>
      </w:tr>
    </w:tbl>
    <w:p w14:paraId="147FA64D" w14:textId="77777777" w:rsidR="00AD1F54" w:rsidRPr="00264D5D" w:rsidRDefault="00941227">
      <w:pPr>
        <w:pStyle w:val="22"/>
      </w:pPr>
      <w:bookmarkStart w:id="555" w:name="_Ref527726624"/>
      <w:bookmarkStart w:id="556" w:name="_Toc219309455"/>
      <w:r w:rsidRPr="00264D5D">
        <w:t>Описание заголовка пакета «ApplicationArea»</w:t>
      </w:r>
      <w:bookmarkEnd w:id="555"/>
      <w:bookmarkEnd w:id="556"/>
    </w:p>
    <w:p w14:paraId="001B8AC7" w14:textId="77777777" w:rsidR="00AD1F54" w:rsidRPr="00264D5D" w:rsidRDefault="00941227">
      <w:pPr>
        <w:pStyle w:val="31"/>
      </w:pPr>
      <w:bookmarkStart w:id="557" w:name="_Toc219309456"/>
      <w:r w:rsidRPr="00264D5D">
        <w:t>Описание комплексного типа «ApplicationAreaContent»</w:t>
      </w:r>
      <w:bookmarkEnd w:id="557"/>
    </w:p>
    <w:p w14:paraId="3BA7AD9D" w14:textId="28587CD9" w:rsidR="00AD1F54" w:rsidRPr="00264D5D" w:rsidRDefault="00941227">
      <w:pPr>
        <w:pStyle w:val="affffffc"/>
        <w:ind w:firstLine="567"/>
        <w:rPr>
          <w:sz w:val="24"/>
          <w:szCs w:val="24"/>
        </w:rPr>
      </w:pPr>
      <w:r w:rsidRPr="00264D5D">
        <w:rPr>
          <w:sz w:val="24"/>
          <w:szCs w:val="24"/>
        </w:rPr>
        <w:t xml:space="preserve">Состав «ApplicationArea» приведен в таблицах </w:t>
      </w:r>
      <w:r w:rsidRPr="00264D5D">
        <w:rPr>
          <w:sz w:val="24"/>
          <w:szCs w:val="24"/>
        </w:rPr>
        <w:fldChar w:fldCharType="begin"/>
      </w:r>
      <w:r w:rsidRPr="00264D5D">
        <w:rPr>
          <w:sz w:val="24"/>
          <w:szCs w:val="24"/>
        </w:rPr>
        <w:instrText xml:space="preserve"> REF _Ref527726774 \h  \* MERGEFORMAT </w:instrText>
      </w:r>
      <w:r w:rsidRPr="00264D5D">
        <w:rPr>
          <w:sz w:val="24"/>
          <w:szCs w:val="24"/>
        </w:rPr>
      </w:r>
      <w:r w:rsidRPr="00264D5D">
        <w:rPr>
          <w:sz w:val="24"/>
          <w:szCs w:val="24"/>
        </w:rPr>
        <w:fldChar w:fldCharType="separate"/>
      </w:r>
      <w:r w:rsidR="008D797C" w:rsidRPr="008D797C">
        <w:rPr>
          <w:rFonts w:eastAsia="Calibri"/>
          <w:sz w:val="24"/>
          <w:szCs w:val="24"/>
        </w:rPr>
        <w:t>17</w:t>
      </w:r>
      <w:r w:rsidRPr="00264D5D">
        <w:rPr>
          <w:sz w:val="24"/>
          <w:szCs w:val="24"/>
        </w:rPr>
        <w:fldChar w:fldCharType="end"/>
      </w:r>
      <w:r w:rsidRPr="00264D5D">
        <w:rPr>
          <w:sz w:val="24"/>
          <w:szCs w:val="24"/>
        </w:rPr>
        <w:t>-</w:t>
      </w:r>
      <w:r w:rsidRPr="00264D5D">
        <w:rPr>
          <w:sz w:val="24"/>
          <w:szCs w:val="24"/>
        </w:rPr>
        <w:fldChar w:fldCharType="begin"/>
      </w:r>
      <w:r w:rsidRPr="00264D5D">
        <w:rPr>
          <w:sz w:val="24"/>
          <w:szCs w:val="24"/>
        </w:rPr>
        <w:instrText xml:space="preserve"> REF _Ref519667298 \h  \* MERGEFORMAT </w:instrText>
      </w:r>
      <w:r w:rsidRPr="00264D5D">
        <w:rPr>
          <w:sz w:val="24"/>
          <w:szCs w:val="24"/>
        </w:rPr>
      </w:r>
      <w:r w:rsidRPr="00264D5D">
        <w:rPr>
          <w:sz w:val="24"/>
          <w:szCs w:val="24"/>
        </w:rPr>
        <w:fldChar w:fldCharType="separate"/>
      </w:r>
      <w:r w:rsidR="008D797C" w:rsidRPr="008D797C">
        <w:rPr>
          <w:sz w:val="24"/>
          <w:szCs w:val="24"/>
        </w:rPr>
        <w:t>21</w:t>
      </w:r>
      <w:r w:rsidRPr="00264D5D">
        <w:rPr>
          <w:sz w:val="24"/>
          <w:szCs w:val="24"/>
        </w:rPr>
        <w:fldChar w:fldCharType="end"/>
      </w:r>
      <w:r w:rsidRPr="00264D5D">
        <w:rPr>
          <w:sz w:val="24"/>
          <w:szCs w:val="24"/>
        </w:rPr>
        <w:t xml:space="preserve">. </w:t>
      </w:r>
    </w:p>
    <w:bookmarkStart w:id="558" w:name="_Ref527726749"/>
    <w:p w14:paraId="2ABC3827" w14:textId="72422249" w:rsidR="00AD1F54" w:rsidRPr="00264D5D" w:rsidRDefault="00941227">
      <w:pPr>
        <w:pStyle w:val="GOSTNameTable"/>
        <w:numPr>
          <w:ilvl w:val="0"/>
          <w:numId w:val="2"/>
        </w:numPr>
        <w:spacing w:before="60"/>
        <w:ind w:left="425" w:hanging="357"/>
        <w:rPr>
          <w:rFonts w:eastAsia="Calibri"/>
          <w:szCs w:val="24"/>
        </w:rPr>
      </w:pPr>
      <w:r w:rsidRPr="00264D5D">
        <w:rPr>
          <w:rFonts w:eastAsia="Calibri"/>
          <w:szCs w:val="24"/>
        </w:rPr>
        <w:lastRenderedPageBreak/>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559" w:name="_Ref527726774"/>
      <w:bookmarkStart w:id="560" w:name="_Toc30503351"/>
      <w:bookmarkStart w:id="561" w:name="_Toc30507949"/>
      <w:bookmarkStart w:id="562" w:name="_Toc219309047"/>
      <w:r w:rsidR="008D797C">
        <w:rPr>
          <w:rFonts w:eastAsia="Calibri"/>
          <w:noProof/>
          <w:szCs w:val="24"/>
        </w:rPr>
        <w:t>17</w:t>
      </w:r>
      <w:bookmarkEnd w:id="559"/>
      <w:r w:rsidRPr="00264D5D">
        <w:rPr>
          <w:rFonts w:eastAsia="Calibri"/>
          <w:szCs w:val="24"/>
        </w:rPr>
        <w:fldChar w:fldCharType="end"/>
      </w:r>
      <w:r w:rsidRPr="00264D5D">
        <w:rPr>
          <w:rFonts w:eastAsia="Calibri"/>
          <w:szCs w:val="24"/>
        </w:rPr>
        <w:t xml:space="preserve"> – Описание комплексного типа «</w:t>
      </w:r>
      <w:r w:rsidRPr="00264D5D">
        <w:rPr>
          <w:sz w:val="22"/>
          <w:szCs w:val="22"/>
          <w:lang w:val="en-US"/>
        </w:rPr>
        <w:t>ApplicationAreaContent</w:t>
      </w:r>
      <w:r w:rsidRPr="00264D5D">
        <w:rPr>
          <w:rFonts w:eastAsia="Calibri"/>
          <w:szCs w:val="24"/>
        </w:rPr>
        <w:t>» заголовка пакета «</w:t>
      </w:r>
      <w:r w:rsidRPr="00264D5D">
        <w:rPr>
          <w:sz w:val="22"/>
          <w:szCs w:val="22"/>
          <w:lang w:val="en-US"/>
        </w:rPr>
        <w:t>ApplicationArea</w:t>
      </w:r>
      <w:r w:rsidRPr="00264D5D">
        <w:rPr>
          <w:rFonts w:eastAsia="Calibri"/>
          <w:szCs w:val="24"/>
        </w:rPr>
        <w:t>»</w:t>
      </w:r>
      <w:bookmarkEnd w:id="558"/>
      <w:bookmarkEnd w:id="560"/>
      <w:bookmarkEnd w:id="561"/>
      <w:bookmarkEnd w:id="562"/>
    </w:p>
    <w:tbl>
      <w:tblPr>
        <w:tblStyle w:val="GOSTTable"/>
        <w:tblW w:w="5000" w:type="pct"/>
        <w:tblLayout w:type="fixed"/>
        <w:tblLook w:val="01E0" w:firstRow="1" w:lastRow="1" w:firstColumn="1" w:lastColumn="1" w:noHBand="0" w:noVBand="0"/>
      </w:tblPr>
      <w:tblGrid>
        <w:gridCol w:w="1705"/>
        <w:gridCol w:w="1704"/>
        <w:gridCol w:w="568"/>
        <w:gridCol w:w="1136"/>
        <w:gridCol w:w="568"/>
        <w:gridCol w:w="3969"/>
      </w:tblGrid>
      <w:tr w:rsidR="00AD1F54" w:rsidRPr="00264D5D" w14:paraId="10D59DA4"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3" w:type="dxa"/>
          </w:tcPr>
          <w:p w14:paraId="11C30969" w14:textId="77777777" w:rsidR="00AD1F54" w:rsidRPr="00264D5D" w:rsidRDefault="00941227">
            <w:pPr>
              <w:spacing w:before="60" w:after="60"/>
              <w:ind w:left="57" w:right="57"/>
              <w:jc w:val="center"/>
              <w:rPr>
                <w:b/>
                <w:sz w:val="22"/>
                <w:szCs w:val="22"/>
              </w:rPr>
            </w:pPr>
            <w:r w:rsidRPr="00264D5D">
              <w:rPr>
                <w:b/>
                <w:bCs/>
                <w:sz w:val="22"/>
                <w:szCs w:val="22"/>
              </w:rPr>
              <w:t>Наименование комплексного типа</w:t>
            </w:r>
          </w:p>
        </w:tc>
        <w:tc>
          <w:tcPr>
            <w:tcW w:w="1701" w:type="dxa"/>
          </w:tcPr>
          <w:p w14:paraId="024CC170" w14:textId="77777777" w:rsidR="00AD1F54" w:rsidRPr="00264D5D" w:rsidRDefault="00941227">
            <w:pPr>
              <w:spacing w:before="60" w:after="60"/>
              <w:ind w:left="57" w:right="57"/>
              <w:jc w:val="center"/>
              <w:rPr>
                <w:b/>
                <w:sz w:val="22"/>
                <w:szCs w:val="22"/>
              </w:rPr>
            </w:pPr>
            <w:r w:rsidRPr="00264D5D">
              <w:rPr>
                <w:b/>
                <w:bCs/>
                <w:sz w:val="22"/>
                <w:szCs w:val="22"/>
              </w:rPr>
              <w:t>Текущий элемент/ атрибут</w:t>
            </w:r>
          </w:p>
        </w:tc>
        <w:tc>
          <w:tcPr>
            <w:tcW w:w="567" w:type="dxa"/>
          </w:tcPr>
          <w:p w14:paraId="55A59351" w14:textId="77777777" w:rsidR="00AD1F54" w:rsidRPr="00264D5D" w:rsidRDefault="00941227">
            <w:pPr>
              <w:spacing w:before="60" w:after="60"/>
              <w:ind w:left="57" w:right="57"/>
              <w:jc w:val="center"/>
              <w:rPr>
                <w:b/>
                <w:sz w:val="22"/>
                <w:szCs w:val="22"/>
              </w:rPr>
            </w:pPr>
            <w:r w:rsidRPr="00264D5D">
              <w:rPr>
                <w:b/>
                <w:bCs/>
                <w:sz w:val="22"/>
                <w:szCs w:val="22"/>
              </w:rPr>
              <w:t>Тип</w:t>
            </w:r>
          </w:p>
        </w:tc>
        <w:tc>
          <w:tcPr>
            <w:tcW w:w="1134" w:type="dxa"/>
          </w:tcPr>
          <w:p w14:paraId="4C117C05" w14:textId="77777777" w:rsidR="00AD1F54" w:rsidRPr="00264D5D" w:rsidRDefault="00941227">
            <w:pPr>
              <w:spacing w:before="60" w:after="60"/>
              <w:ind w:left="57" w:right="57"/>
              <w:jc w:val="center"/>
              <w:rPr>
                <w:b/>
                <w:sz w:val="22"/>
                <w:szCs w:val="22"/>
              </w:rPr>
            </w:pPr>
            <w:r w:rsidRPr="00264D5D">
              <w:rPr>
                <w:b/>
                <w:bCs/>
                <w:sz w:val="22"/>
                <w:szCs w:val="22"/>
              </w:rPr>
              <w:t>Формат элемента</w:t>
            </w:r>
          </w:p>
        </w:tc>
        <w:tc>
          <w:tcPr>
            <w:tcW w:w="567" w:type="dxa"/>
          </w:tcPr>
          <w:p w14:paraId="55CFA461" w14:textId="77777777" w:rsidR="00AD1F54" w:rsidRPr="00264D5D" w:rsidRDefault="00941227">
            <w:pPr>
              <w:spacing w:before="60" w:after="60"/>
              <w:ind w:left="57" w:right="57"/>
              <w:jc w:val="center"/>
              <w:rPr>
                <w:b/>
                <w:sz w:val="22"/>
                <w:szCs w:val="22"/>
              </w:rPr>
            </w:pPr>
            <w:r w:rsidRPr="00264D5D">
              <w:rPr>
                <w:b/>
                <w:bCs/>
                <w:sz w:val="22"/>
                <w:szCs w:val="22"/>
              </w:rPr>
              <w:t>Обязательность</w:t>
            </w:r>
          </w:p>
        </w:tc>
        <w:tc>
          <w:tcPr>
            <w:tcW w:w="3963" w:type="dxa"/>
          </w:tcPr>
          <w:p w14:paraId="19E211E7" w14:textId="77777777" w:rsidR="00AD1F54" w:rsidRPr="00264D5D" w:rsidRDefault="00941227">
            <w:pPr>
              <w:spacing w:before="60" w:after="60"/>
              <w:ind w:left="57" w:right="57"/>
              <w:jc w:val="center"/>
              <w:rPr>
                <w:b/>
                <w:sz w:val="22"/>
                <w:szCs w:val="22"/>
              </w:rPr>
            </w:pPr>
            <w:r w:rsidRPr="00264D5D">
              <w:rPr>
                <w:b/>
                <w:bCs/>
                <w:sz w:val="22"/>
                <w:szCs w:val="22"/>
              </w:rPr>
              <w:t>Дополнительная информация</w:t>
            </w:r>
          </w:p>
        </w:tc>
      </w:tr>
      <w:tr w:rsidR="00AD1F54" w:rsidRPr="00264D5D" w14:paraId="13305187" w14:textId="77777777" w:rsidTr="00AD1F54">
        <w:trPr>
          <w:cnfStyle w:val="000000100000" w:firstRow="0" w:lastRow="0" w:firstColumn="0" w:lastColumn="0" w:oddVBand="0" w:evenVBand="0" w:oddHBand="1" w:evenHBand="0" w:firstRowFirstColumn="0" w:firstRowLastColumn="0" w:lastRowFirstColumn="0" w:lastRowLastColumn="0"/>
        </w:trPr>
        <w:tc>
          <w:tcPr>
            <w:tcW w:w="1703" w:type="dxa"/>
          </w:tcPr>
          <w:p w14:paraId="6E0D646F" w14:textId="77777777" w:rsidR="00AD1F54" w:rsidRPr="00264D5D" w:rsidRDefault="00941227">
            <w:pPr>
              <w:spacing w:before="60" w:after="60"/>
              <w:rPr>
                <w:sz w:val="22"/>
                <w:szCs w:val="22"/>
              </w:rPr>
            </w:pPr>
            <w:r w:rsidRPr="00264D5D">
              <w:rPr>
                <w:sz w:val="22"/>
                <w:szCs w:val="22"/>
                <w:lang w:val="en-US"/>
              </w:rPr>
              <w:t>ApplicationAreaContent</w:t>
            </w:r>
          </w:p>
        </w:tc>
        <w:tc>
          <w:tcPr>
            <w:tcW w:w="1701" w:type="dxa"/>
          </w:tcPr>
          <w:p w14:paraId="12D2D796" w14:textId="77777777" w:rsidR="00AD1F54" w:rsidRPr="00264D5D" w:rsidRDefault="00941227">
            <w:pPr>
              <w:spacing w:before="60" w:after="60"/>
              <w:rPr>
                <w:sz w:val="22"/>
                <w:szCs w:val="22"/>
                <w:lang w:val="en-US"/>
              </w:rPr>
            </w:pPr>
            <w:r w:rsidRPr="00264D5D">
              <w:rPr>
                <w:sz w:val="22"/>
                <w:szCs w:val="22"/>
                <w:lang w:val="en-US"/>
              </w:rPr>
              <w:t>Sender</w:t>
            </w:r>
          </w:p>
        </w:tc>
        <w:tc>
          <w:tcPr>
            <w:tcW w:w="567" w:type="dxa"/>
          </w:tcPr>
          <w:p w14:paraId="3DA54047" w14:textId="77777777" w:rsidR="00AD1F54" w:rsidRPr="00264D5D" w:rsidRDefault="00941227">
            <w:pPr>
              <w:spacing w:before="60" w:after="60"/>
              <w:jc w:val="center"/>
              <w:rPr>
                <w:sz w:val="22"/>
                <w:szCs w:val="22"/>
              </w:rPr>
            </w:pPr>
            <w:r w:rsidRPr="00264D5D">
              <w:rPr>
                <w:sz w:val="22"/>
                <w:szCs w:val="22"/>
              </w:rPr>
              <w:t>С</w:t>
            </w:r>
          </w:p>
        </w:tc>
        <w:tc>
          <w:tcPr>
            <w:tcW w:w="1134" w:type="dxa"/>
          </w:tcPr>
          <w:p w14:paraId="079FB2C5" w14:textId="77777777" w:rsidR="00AD1F54" w:rsidRPr="00264D5D" w:rsidRDefault="00941227">
            <w:pPr>
              <w:spacing w:before="60" w:after="60"/>
              <w:rPr>
                <w:sz w:val="22"/>
                <w:szCs w:val="22"/>
              </w:rPr>
            </w:pPr>
            <w:r w:rsidRPr="00264D5D">
              <w:rPr>
                <w:sz w:val="22"/>
                <w:szCs w:val="22"/>
              </w:rPr>
              <w:t>-</w:t>
            </w:r>
          </w:p>
        </w:tc>
        <w:tc>
          <w:tcPr>
            <w:tcW w:w="567" w:type="dxa"/>
          </w:tcPr>
          <w:p w14:paraId="1499F447" w14:textId="77777777" w:rsidR="00AD1F54" w:rsidRPr="00264D5D" w:rsidRDefault="00941227">
            <w:pPr>
              <w:spacing w:before="60" w:after="60"/>
              <w:jc w:val="center"/>
              <w:rPr>
                <w:sz w:val="22"/>
                <w:szCs w:val="22"/>
              </w:rPr>
            </w:pPr>
            <w:r w:rsidRPr="00264D5D">
              <w:rPr>
                <w:sz w:val="22"/>
                <w:szCs w:val="22"/>
              </w:rPr>
              <w:t>О</w:t>
            </w:r>
          </w:p>
        </w:tc>
        <w:tc>
          <w:tcPr>
            <w:tcW w:w="3963" w:type="dxa"/>
          </w:tcPr>
          <w:p w14:paraId="713D10EC" w14:textId="77777777" w:rsidR="00AD1F54" w:rsidRPr="00264D5D" w:rsidRDefault="00941227">
            <w:pPr>
              <w:spacing w:before="60" w:after="60"/>
              <w:rPr>
                <w:sz w:val="22"/>
                <w:szCs w:val="22"/>
              </w:rPr>
            </w:pPr>
            <w:r w:rsidRPr="00264D5D">
              <w:rPr>
                <w:sz w:val="22"/>
                <w:szCs w:val="22"/>
              </w:rPr>
              <w:t>Отправитель.</w:t>
            </w:r>
          </w:p>
          <w:p w14:paraId="4EBF125D" w14:textId="45AD351D" w:rsidR="00AD1F54" w:rsidRPr="00264D5D" w:rsidRDefault="00941227">
            <w:pPr>
              <w:spacing w:before="60" w:after="60"/>
              <w:rPr>
                <w:sz w:val="22"/>
                <w:szCs w:val="22"/>
              </w:rPr>
            </w:pPr>
            <w:r w:rsidRPr="00264D5D">
              <w:rPr>
                <w:sz w:val="22"/>
                <w:szCs w:val="22"/>
                <w:lang w:eastAsia="en-US"/>
              </w:rPr>
              <w:t xml:space="preserve">Состав элемента представлен в таблице </w:t>
            </w:r>
            <w:r w:rsidRPr="00264D5D">
              <w:rPr>
                <w:b/>
                <w:sz w:val="22"/>
                <w:szCs w:val="22"/>
                <w:lang w:eastAsia="en-US"/>
              </w:rPr>
              <w:fldChar w:fldCharType="begin"/>
            </w:r>
            <w:r w:rsidRPr="00264D5D">
              <w:rPr>
                <w:b/>
                <w:sz w:val="22"/>
                <w:szCs w:val="22"/>
                <w:lang w:eastAsia="en-US"/>
              </w:rPr>
              <w:instrText xml:space="preserve"> REF _Ref519665936 \h  \* MERGEFORMAT </w:instrText>
            </w:r>
            <w:r w:rsidRPr="00264D5D">
              <w:rPr>
                <w:b/>
                <w:sz w:val="22"/>
                <w:szCs w:val="22"/>
                <w:lang w:eastAsia="en-US"/>
              </w:rPr>
            </w:r>
            <w:r w:rsidRPr="00264D5D">
              <w:rPr>
                <w:b/>
                <w:sz w:val="22"/>
                <w:szCs w:val="22"/>
                <w:lang w:eastAsia="en-US"/>
              </w:rPr>
              <w:fldChar w:fldCharType="separate"/>
            </w:r>
            <w:r w:rsidR="008D797C" w:rsidRPr="008D797C">
              <w:rPr>
                <w:b/>
                <w:sz w:val="22"/>
                <w:szCs w:val="22"/>
              </w:rPr>
              <w:t>18</w:t>
            </w:r>
            <w:r w:rsidRPr="00264D5D">
              <w:rPr>
                <w:b/>
                <w:sz w:val="22"/>
                <w:szCs w:val="22"/>
                <w:lang w:eastAsia="en-US"/>
              </w:rPr>
              <w:fldChar w:fldCharType="end"/>
            </w:r>
          </w:p>
        </w:tc>
      </w:tr>
      <w:tr w:rsidR="00AD1F54" w:rsidRPr="00264D5D" w14:paraId="10FE7FB0" w14:textId="77777777" w:rsidTr="00AD1F54">
        <w:trPr>
          <w:cnfStyle w:val="000000010000" w:firstRow="0" w:lastRow="0" w:firstColumn="0" w:lastColumn="0" w:oddVBand="0" w:evenVBand="0" w:oddHBand="0" w:evenHBand="1" w:firstRowFirstColumn="0" w:firstRowLastColumn="0" w:lastRowFirstColumn="0" w:lastRowLastColumn="0"/>
        </w:trPr>
        <w:tc>
          <w:tcPr>
            <w:tcW w:w="1703" w:type="dxa"/>
          </w:tcPr>
          <w:p w14:paraId="3FB4766B" w14:textId="77777777" w:rsidR="00AD1F54" w:rsidRPr="00264D5D" w:rsidRDefault="00941227">
            <w:pPr>
              <w:spacing w:before="60" w:after="60"/>
              <w:rPr>
                <w:sz w:val="22"/>
                <w:szCs w:val="22"/>
              </w:rPr>
            </w:pPr>
            <w:r w:rsidRPr="00264D5D">
              <w:rPr>
                <w:sz w:val="22"/>
                <w:szCs w:val="22"/>
                <w:lang w:val="en-US"/>
              </w:rPr>
              <w:t>ApplicationAreaContent</w:t>
            </w:r>
          </w:p>
        </w:tc>
        <w:tc>
          <w:tcPr>
            <w:tcW w:w="1701" w:type="dxa"/>
          </w:tcPr>
          <w:p w14:paraId="092FC090" w14:textId="77777777" w:rsidR="00AD1F54" w:rsidRPr="00264D5D" w:rsidRDefault="00941227">
            <w:pPr>
              <w:spacing w:before="60" w:after="60"/>
              <w:rPr>
                <w:sz w:val="22"/>
                <w:szCs w:val="22"/>
              </w:rPr>
            </w:pPr>
            <w:r w:rsidRPr="00264D5D">
              <w:rPr>
                <w:sz w:val="22"/>
                <w:szCs w:val="22"/>
                <w:lang w:val="en-US"/>
              </w:rPr>
              <w:t>CreationDateTime</w:t>
            </w:r>
          </w:p>
        </w:tc>
        <w:tc>
          <w:tcPr>
            <w:tcW w:w="567" w:type="dxa"/>
          </w:tcPr>
          <w:p w14:paraId="07FB180D" w14:textId="77777777" w:rsidR="00AD1F54" w:rsidRPr="00264D5D" w:rsidRDefault="00941227">
            <w:pPr>
              <w:spacing w:before="60" w:after="60"/>
              <w:jc w:val="center"/>
              <w:rPr>
                <w:sz w:val="22"/>
                <w:szCs w:val="22"/>
              </w:rPr>
            </w:pPr>
            <w:r w:rsidRPr="00264D5D">
              <w:rPr>
                <w:sz w:val="22"/>
                <w:szCs w:val="22"/>
              </w:rPr>
              <w:t>П</w:t>
            </w:r>
          </w:p>
        </w:tc>
        <w:tc>
          <w:tcPr>
            <w:tcW w:w="1134" w:type="dxa"/>
          </w:tcPr>
          <w:p w14:paraId="46D665FE" w14:textId="77777777" w:rsidR="00AD1F54" w:rsidRPr="00264D5D" w:rsidRDefault="00941227">
            <w:pPr>
              <w:spacing w:before="60" w:after="60"/>
              <w:rPr>
                <w:sz w:val="22"/>
                <w:szCs w:val="22"/>
              </w:rPr>
            </w:pPr>
            <w:r w:rsidRPr="00264D5D">
              <w:rPr>
                <w:sz w:val="22"/>
                <w:szCs w:val="22"/>
              </w:rPr>
              <w:t>DateTime</w:t>
            </w:r>
          </w:p>
        </w:tc>
        <w:tc>
          <w:tcPr>
            <w:tcW w:w="567" w:type="dxa"/>
          </w:tcPr>
          <w:p w14:paraId="2A138EC0" w14:textId="77777777" w:rsidR="00AD1F54" w:rsidRPr="00264D5D" w:rsidRDefault="00941227">
            <w:pPr>
              <w:spacing w:before="60" w:after="60"/>
              <w:jc w:val="center"/>
              <w:rPr>
                <w:sz w:val="22"/>
                <w:szCs w:val="22"/>
              </w:rPr>
            </w:pPr>
            <w:r w:rsidRPr="00264D5D">
              <w:rPr>
                <w:sz w:val="22"/>
                <w:szCs w:val="22"/>
              </w:rPr>
              <w:t>О</w:t>
            </w:r>
          </w:p>
        </w:tc>
        <w:tc>
          <w:tcPr>
            <w:tcW w:w="3963" w:type="dxa"/>
          </w:tcPr>
          <w:p w14:paraId="4B582E8C" w14:textId="77777777" w:rsidR="00AD1F54" w:rsidRPr="00264D5D" w:rsidRDefault="005A204F">
            <w:pPr>
              <w:spacing w:before="60" w:after="60"/>
              <w:rPr>
                <w:sz w:val="22"/>
                <w:szCs w:val="22"/>
              </w:rPr>
            </w:pPr>
            <w:r w:rsidRPr="00264D5D">
              <w:rPr>
                <w:sz w:val="22"/>
                <w:szCs w:val="22"/>
              </w:rPr>
              <w:t>Дата и время создания документа</w:t>
            </w:r>
          </w:p>
        </w:tc>
      </w:tr>
      <w:tr w:rsidR="00AD1F54" w:rsidRPr="00264D5D" w14:paraId="3F7DFB5A" w14:textId="77777777" w:rsidTr="00AD1F54">
        <w:trPr>
          <w:cnfStyle w:val="000000100000" w:firstRow="0" w:lastRow="0" w:firstColumn="0" w:lastColumn="0" w:oddVBand="0" w:evenVBand="0" w:oddHBand="1" w:evenHBand="0" w:firstRowFirstColumn="0" w:firstRowLastColumn="0" w:lastRowFirstColumn="0" w:lastRowLastColumn="0"/>
        </w:trPr>
        <w:tc>
          <w:tcPr>
            <w:tcW w:w="1703" w:type="dxa"/>
          </w:tcPr>
          <w:p w14:paraId="0E7539B7" w14:textId="77777777" w:rsidR="00AD1F54" w:rsidRPr="00264D5D" w:rsidRDefault="00941227">
            <w:pPr>
              <w:pStyle w:val="EBTablenorm"/>
              <w:ind w:left="57" w:right="57"/>
              <w:jc w:val="left"/>
              <w:rPr>
                <w:sz w:val="22"/>
                <w:szCs w:val="22"/>
              </w:rPr>
            </w:pPr>
            <w:r w:rsidRPr="00264D5D">
              <w:rPr>
                <w:sz w:val="22"/>
                <w:szCs w:val="22"/>
                <w:lang w:val="en-US"/>
              </w:rPr>
              <w:t>ApplicationAreaContent</w:t>
            </w:r>
          </w:p>
        </w:tc>
        <w:tc>
          <w:tcPr>
            <w:tcW w:w="1701" w:type="dxa"/>
          </w:tcPr>
          <w:p w14:paraId="4233CC7D" w14:textId="77777777" w:rsidR="00AD1F54" w:rsidRPr="00264D5D" w:rsidRDefault="00941227">
            <w:pPr>
              <w:pStyle w:val="EBTablenorm"/>
              <w:ind w:left="57" w:right="57"/>
              <w:jc w:val="left"/>
              <w:rPr>
                <w:sz w:val="22"/>
                <w:szCs w:val="22"/>
              </w:rPr>
            </w:pPr>
            <w:r w:rsidRPr="00264D5D">
              <w:rPr>
                <w:sz w:val="22"/>
                <w:szCs w:val="22"/>
                <w:lang w:val="en-US"/>
              </w:rPr>
              <w:t>Signature</w:t>
            </w:r>
          </w:p>
        </w:tc>
        <w:tc>
          <w:tcPr>
            <w:tcW w:w="567" w:type="dxa"/>
          </w:tcPr>
          <w:p w14:paraId="5838BB4A" w14:textId="77777777" w:rsidR="00AD1F54" w:rsidRPr="00264D5D" w:rsidRDefault="00941227">
            <w:pPr>
              <w:spacing w:before="60" w:after="60"/>
              <w:jc w:val="center"/>
              <w:rPr>
                <w:sz w:val="22"/>
                <w:szCs w:val="22"/>
              </w:rPr>
            </w:pPr>
            <w:r w:rsidRPr="00264D5D">
              <w:rPr>
                <w:sz w:val="22"/>
                <w:szCs w:val="22"/>
              </w:rPr>
              <w:t>П</w:t>
            </w:r>
          </w:p>
        </w:tc>
        <w:tc>
          <w:tcPr>
            <w:tcW w:w="1134" w:type="dxa"/>
          </w:tcPr>
          <w:p w14:paraId="1375E498" w14:textId="77777777" w:rsidR="00AD1F54" w:rsidRPr="00264D5D" w:rsidRDefault="00941227">
            <w:pPr>
              <w:spacing w:before="60" w:after="60"/>
              <w:jc w:val="left"/>
              <w:rPr>
                <w:rFonts w:eastAsia="Calibri"/>
                <w:sz w:val="22"/>
                <w:szCs w:val="22"/>
              </w:rPr>
            </w:pPr>
            <w:r w:rsidRPr="00264D5D">
              <w:rPr>
                <w:sz w:val="22"/>
                <w:szCs w:val="22"/>
                <w:lang w:val="en-US"/>
              </w:rPr>
              <w:t>string</w:t>
            </w:r>
          </w:p>
        </w:tc>
        <w:tc>
          <w:tcPr>
            <w:tcW w:w="567" w:type="dxa"/>
          </w:tcPr>
          <w:p w14:paraId="2CCF6579" w14:textId="77777777" w:rsidR="00AD1F54" w:rsidRPr="00264D5D" w:rsidRDefault="00941227">
            <w:pPr>
              <w:spacing w:before="60" w:after="60"/>
              <w:jc w:val="center"/>
              <w:rPr>
                <w:sz w:val="22"/>
                <w:szCs w:val="22"/>
              </w:rPr>
            </w:pPr>
            <w:r w:rsidRPr="00264D5D">
              <w:rPr>
                <w:sz w:val="22"/>
                <w:szCs w:val="22"/>
              </w:rPr>
              <w:t>О</w:t>
            </w:r>
          </w:p>
        </w:tc>
        <w:tc>
          <w:tcPr>
            <w:tcW w:w="3963" w:type="dxa"/>
          </w:tcPr>
          <w:p w14:paraId="2B74AD06" w14:textId="77777777" w:rsidR="00AD1F54" w:rsidRPr="00264D5D" w:rsidRDefault="00941227">
            <w:pPr>
              <w:spacing w:before="60" w:after="60"/>
              <w:rPr>
                <w:sz w:val="22"/>
                <w:szCs w:val="22"/>
                <w:lang w:eastAsia="en-US"/>
              </w:rPr>
            </w:pPr>
            <w:r w:rsidRPr="00264D5D">
              <w:rPr>
                <w:sz w:val="22"/>
                <w:szCs w:val="22"/>
                <w:lang w:eastAsia="en-US"/>
              </w:rPr>
              <w:t>Подпись.</w:t>
            </w:r>
          </w:p>
          <w:p w14:paraId="361E7F65" w14:textId="77777777" w:rsidR="00AD1F54" w:rsidRPr="00264D5D" w:rsidRDefault="00941227">
            <w:pPr>
              <w:spacing w:before="60" w:after="60"/>
              <w:rPr>
                <w:sz w:val="22"/>
                <w:szCs w:val="22"/>
                <w:lang w:eastAsia="en-US"/>
              </w:rPr>
            </w:pPr>
            <w:r w:rsidRPr="00264D5D">
              <w:rPr>
                <w:sz w:val="22"/>
                <w:szCs w:val="22"/>
                <w:lang w:eastAsia="en-US"/>
              </w:rPr>
              <w:t>Не используется.</w:t>
            </w:r>
          </w:p>
          <w:p w14:paraId="4B0A12B8" w14:textId="77777777" w:rsidR="00AD1F54" w:rsidRPr="00264D5D" w:rsidRDefault="00941227">
            <w:pPr>
              <w:spacing w:before="60" w:after="60"/>
              <w:rPr>
                <w:sz w:val="22"/>
                <w:szCs w:val="22"/>
                <w:lang w:eastAsia="en-US"/>
              </w:rPr>
            </w:pPr>
            <w:r w:rsidRPr="00264D5D">
              <w:rPr>
                <w:sz w:val="22"/>
                <w:szCs w:val="22"/>
                <w:lang w:eastAsia="en-US"/>
              </w:rPr>
              <w:t>Передается в виде:</w:t>
            </w:r>
          </w:p>
          <w:p w14:paraId="5C7CEC31" w14:textId="77777777" w:rsidR="00AD1F54" w:rsidRPr="00264D5D" w:rsidRDefault="005A204F">
            <w:pPr>
              <w:pStyle w:val="EBTablenorm"/>
              <w:ind w:left="57" w:right="57"/>
              <w:rPr>
                <w:sz w:val="22"/>
                <w:szCs w:val="22"/>
              </w:rPr>
            </w:pPr>
            <w:r w:rsidRPr="00264D5D">
              <w:rPr>
                <w:rFonts w:eastAsia="Calibri"/>
                <w:sz w:val="22"/>
                <w:szCs w:val="22"/>
              </w:rPr>
              <w:t>&lt;Signature/&gt;</w:t>
            </w:r>
          </w:p>
        </w:tc>
      </w:tr>
      <w:tr w:rsidR="00AD1F54" w:rsidRPr="00264D5D" w14:paraId="2D1B34FE" w14:textId="77777777" w:rsidTr="00AD1F54">
        <w:trPr>
          <w:cnfStyle w:val="000000010000" w:firstRow="0" w:lastRow="0" w:firstColumn="0" w:lastColumn="0" w:oddVBand="0" w:evenVBand="0" w:oddHBand="0" w:evenHBand="1" w:firstRowFirstColumn="0" w:firstRowLastColumn="0" w:lastRowFirstColumn="0" w:lastRowLastColumn="0"/>
        </w:trPr>
        <w:tc>
          <w:tcPr>
            <w:tcW w:w="1703" w:type="dxa"/>
          </w:tcPr>
          <w:p w14:paraId="5F208695" w14:textId="77777777" w:rsidR="00AD1F54" w:rsidRPr="00264D5D" w:rsidRDefault="00941227">
            <w:pPr>
              <w:pStyle w:val="EBTablenorm"/>
              <w:ind w:left="57" w:right="57"/>
              <w:jc w:val="left"/>
              <w:rPr>
                <w:sz w:val="22"/>
                <w:szCs w:val="22"/>
                <w:lang w:val="en-US"/>
              </w:rPr>
            </w:pPr>
            <w:r w:rsidRPr="00264D5D">
              <w:rPr>
                <w:sz w:val="22"/>
                <w:szCs w:val="22"/>
                <w:lang w:val="en-US"/>
              </w:rPr>
              <w:t>ApplicationAreaContent</w:t>
            </w:r>
          </w:p>
        </w:tc>
        <w:tc>
          <w:tcPr>
            <w:tcW w:w="1701" w:type="dxa"/>
          </w:tcPr>
          <w:p w14:paraId="7DD7E8A1" w14:textId="77777777" w:rsidR="00AD1F54" w:rsidRPr="00264D5D" w:rsidRDefault="00941227">
            <w:pPr>
              <w:pStyle w:val="EBTablenorm"/>
              <w:ind w:left="57" w:right="57"/>
              <w:jc w:val="left"/>
              <w:rPr>
                <w:sz w:val="22"/>
                <w:szCs w:val="22"/>
                <w:lang w:val="en-US"/>
              </w:rPr>
            </w:pPr>
            <w:r w:rsidRPr="00264D5D">
              <w:rPr>
                <w:sz w:val="22"/>
                <w:szCs w:val="22"/>
                <w:lang w:val="en-US"/>
              </w:rPr>
              <w:t>BODId</w:t>
            </w:r>
          </w:p>
        </w:tc>
        <w:tc>
          <w:tcPr>
            <w:tcW w:w="567" w:type="dxa"/>
          </w:tcPr>
          <w:p w14:paraId="5F0454E8" w14:textId="77777777" w:rsidR="00AD1F54" w:rsidRPr="00264D5D" w:rsidRDefault="00941227">
            <w:pPr>
              <w:spacing w:before="60" w:after="60"/>
              <w:jc w:val="center"/>
              <w:rPr>
                <w:sz w:val="22"/>
                <w:szCs w:val="22"/>
              </w:rPr>
            </w:pPr>
            <w:r w:rsidRPr="00264D5D">
              <w:rPr>
                <w:sz w:val="22"/>
                <w:szCs w:val="22"/>
              </w:rPr>
              <w:t>П</w:t>
            </w:r>
          </w:p>
        </w:tc>
        <w:tc>
          <w:tcPr>
            <w:tcW w:w="1134" w:type="dxa"/>
          </w:tcPr>
          <w:p w14:paraId="443A4231" w14:textId="77777777" w:rsidR="00AD1F54" w:rsidRPr="00264D5D" w:rsidRDefault="00941227">
            <w:pPr>
              <w:spacing w:before="60" w:after="60"/>
              <w:jc w:val="left"/>
              <w:rPr>
                <w:sz w:val="22"/>
                <w:szCs w:val="22"/>
                <w:lang w:val="en-US"/>
              </w:rPr>
            </w:pPr>
            <w:r w:rsidRPr="00264D5D">
              <w:rPr>
                <w:sz w:val="22"/>
                <w:szCs w:val="22"/>
                <w:lang w:val="en-US"/>
              </w:rPr>
              <w:t>GUID</w:t>
            </w:r>
          </w:p>
        </w:tc>
        <w:tc>
          <w:tcPr>
            <w:tcW w:w="567" w:type="dxa"/>
          </w:tcPr>
          <w:p w14:paraId="0A0A1996" w14:textId="77777777" w:rsidR="00AD1F54" w:rsidRPr="00264D5D" w:rsidRDefault="00941227">
            <w:pPr>
              <w:spacing w:before="60" w:after="60"/>
              <w:jc w:val="center"/>
              <w:rPr>
                <w:sz w:val="22"/>
                <w:szCs w:val="22"/>
              </w:rPr>
            </w:pPr>
            <w:r w:rsidRPr="00264D5D">
              <w:rPr>
                <w:sz w:val="22"/>
                <w:szCs w:val="22"/>
              </w:rPr>
              <w:t>О</w:t>
            </w:r>
          </w:p>
        </w:tc>
        <w:tc>
          <w:tcPr>
            <w:tcW w:w="3963" w:type="dxa"/>
          </w:tcPr>
          <w:p w14:paraId="4084436B" w14:textId="77777777" w:rsidR="00AD1F54" w:rsidRPr="00264D5D" w:rsidRDefault="00941227">
            <w:pPr>
              <w:spacing w:before="60" w:after="60"/>
              <w:rPr>
                <w:sz w:val="22"/>
                <w:szCs w:val="22"/>
                <w:lang w:eastAsia="en-US"/>
              </w:rPr>
            </w:pPr>
            <w:r w:rsidRPr="00264D5D">
              <w:rPr>
                <w:sz w:val="22"/>
                <w:szCs w:val="22"/>
                <w:lang w:val="en-US"/>
              </w:rPr>
              <w:t>GUID</w:t>
            </w:r>
            <w:r w:rsidRPr="00264D5D">
              <w:rPr>
                <w:sz w:val="22"/>
                <w:szCs w:val="22"/>
              </w:rPr>
              <w:t xml:space="preserve"> </w:t>
            </w:r>
            <w:r w:rsidRPr="00264D5D">
              <w:rPr>
                <w:sz w:val="22"/>
                <w:szCs w:val="22"/>
                <w:lang w:val="en-US"/>
              </w:rPr>
              <w:t xml:space="preserve">транспортного </w:t>
            </w:r>
            <w:r w:rsidR="005A204F" w:rsidRPr="00264D5D">
              <w:rPr>
                <w:sz w:val="22"/>
                <w:szCs w:val="22"/>
              </w:rPr>
              <w:t>сообщения</w:t>
            </w:r>
          </w:p>
        </w:tc>
      </w:tr>
      <w:tr w:rsidR="00AD1F54" w:rsidRPr="00264D5D" w14:paraId="604512B2" w14:textId="77777777" w:rsidTr="00AD1F54">
        <w:trPr>
          <w:cnfStyle w:val="000000100000" w:firstRow="0" w:lastRow="0" w:firstColumn="0" w:lastColumn="0" w:oddVBand="0" w:evenVBand="0" w:oddHBand="1" w:evenHBand="0" w:firstRowFirstColumn="0" w:firstRowLastColumn="0" w:lastRowFirstColumn="0" w:lastRowLastColumn="0"/>
        </w:trPr>
        <w:tc>
          <w:tcPr>
            <w:tcW w:w="1703" w:type="dxa"/>
          </w:tcPr>
          <w:p w14:paraId="07CCB4F1" w14:textId="77777777" w:rsidR="00AD1F54" w:rsidRPr="00264D5D" w:rsidRDefault="00941227">
            <w:pPr>
              <w:pStyle w:val="EBTablenorm"/>
              <w:ind w:left="57" w:right="57"/>
              <w:jc w:val="left"/>
              <w:rPr>
                <w:sz w:val="22"/>
                <w:szCs w:val="22"/>
                <w:lang w:val="en-US"/>
              </w:rPr>
            </w:pPr>
            <w:r w:rsidRPr="00264D5D">
              <w:rPr>
                <w:sz w:val="22"/>
                <w:szCs w:val="22"/>
                <w:lang w:val="en-US"/>
              </w:rPr>
              <w:t>ApplicationAreaContent</w:t>
            </w:r>
          </w:p>
        </w:tc>
        <w:tc>
          <w:tcPr>
            <w:tcW w:w="1701" w:type="dxa"/>
          </w:tcPr>
          <w:p w14:paraId="53462BA9" w14:textId="77777777" w:rsidR="00AD1F54" w:rsidRPr="00264D5D" w:rsidRDefault="00941227">
            <w:pPr>
              <w:pStyle w:val="EBTablenorm"/>
              <w:ind w:left="57" w:right="57"/>
              <w:jc w:val="left"/>
              <w:rPr>
                <w:sz w:val="22"/>
                <w:szCs w:val="22"/>
                <w:lang w:val="en-US"/>
              </w:rPr>
            </w:pPr>
            <w:r w:rsidRPr="00264D5D">
              <w:rPr>
                <w:sz w:val="22"/>
                <w:szCs w:val="22"/>
                <w:lang w:val="en-US"/>
              </w:rPr>
              <w:t>UserArea</w:t>
            </w:r>
          </w:p>
        </w:tc>
        <w:tc>
          <w:tcPr>
            <w:tcW w:w="567" w:type="dxa"/>
          </w:tcPr>
          <w:p w14:paraId="4605CF61" w14:textId="77777777" w:rsidR="00AD1F54" w:rsidRPr="00264D5D" w:rsidRDefault="00941227">
            <w:pPr>
              <w:spacing w:before="60" w:after="60"/>
              <w:jc w:val="center"/>
              <w:rPr>
                <w:sz w:val="22"/>
                <w:szCs w:val="22"/>
              </w:rPr>
            </w:pPr>
            <w:r w:rsidRPr="00264D5D">
              <w:rPr>
                <w:sz w:val="22"/>
                <w:szCs w:val="22"/>
              </w:rPr>
              <w:t>С</w:t>
            </w:r>
          </w:p>
        </w:tc>
        <w:tc>
          <w:tcPr>
            <w:tcW w:w="1134" w:type="dxa"/>
          </w:tcPr>
          <w:p w14:paraId="67F1A609" w14:textId="77777777" w:rsidR="00AD1F54" w:rsidRPr="00264D5D" w:rsidRDefault="00941227">
            <w:pPr>
              <w:spacing w:before="60" w:after="60"/>
              <w:jc w:val="left"/>
              <w:rPr>
                <w:sz w:val="22"/>
                <w:szCs w:val="22"/>
                <w:lang w:val="en-US"/>
              </w:rPr>
            </w:pPr>
            <w:r w:rsidRPr="00264D5D">
              <w:rPr>
                <w:sz w:val="22"/>
                <w:szCs w:val="22"/>
              </w:rPr>
              <w:t>-</w:t>
            </w:r>
          </w:p>
        </w:tc>
        <w:tc>
          <w:tcPr>
            <w:tcW w:w="567" w:type="dxa"/>
          </w:tcPr>
          <w:p w14:paraId="3C7B9364" w14:textId="77777777" w:rsidR="00AD1F54" w:rsidRPr="00264D5D" w:rsidRDefault="00941227">
            <w:pPr>
              <w:spacing w:before="60" w:after="60"/>
              <w:jc w:val="center"/>
              <w:rPr>
                <w:sz w:val="22"/>
                <w:szCs w:val="22"/>
              </w:rPr>
            </w:pPr>
            <w:r w:rsidRPr="00264D5D">
              <w:rPr>
                <w:sz w:val="22"/>
                <w:szCs w:val="22"/>
              </w:rPr>
              <w:t>О</w:t>
            </w:r>
          </w:p>
        </w:tc>
        <w:tc>
          <w:tcPr>
            <w:tcW w:w="3963" w:type="dxa"/>
          </w:tcPr>
          <w:p w14:paraId="6BD24149" w14:textId="77777777" w:rsidR="00AD1F54" w:rsidRPr="00264D5D" w:rsidRDefault="00941227">
            <w:pPr>
              <w:spacing w:before="60" w:after="60"/>
              <w:rPr>
                <w:sz w:val="22"/>
                <w:szCs w:val="22"/>
                <w:lang w:eastAsia="en-US"/>
              </w:rPr>
            </w:pPr>
            <w:r w:rsidRPr="00264D5D">
              <w:rPr>
                <w:sz w:val="22"/>
                <w:szCs w:val="22"/>
              </w:rPr>
              <w:t>Расширения.</w:t>
            </w:r>
          </w:p>
          <w:p w14:paraId="7C1F852D" w14:textId="02044F72" w:rsidR="00AD1F54" w:rsidRPr="00264D5D" w:rsidRDefault="00941227">
            <w:pPr>
              <w:spacing w:before="60" w:after="60"/>
              <w:rPr>
                <w:sz w:val="22"/>
                <w:szCs w:val="22"/>
              </w:rPr>
            </w:pPr>
            <w:r w:rsidRPr="00264D5D">
              <w:rPr>
                <w:sz w:val="22"/>
                <w:szCs w:val="22"/>
                <w:lang w:eastAsia="en-US"/>
              </w:rPr>
              <w:t xml:space="preserve">Состав элемента представлен в таблице </w:t>
            </w:r>
            <w:r w:rsidRPr="00264D5D">
              <w:rPr>
                <w:b/>
                <w:sz w:val="22"/>
                <w:szCs w:val="22"/>
                <w:lang w:eastAsia="en-US"/>
              </w:rPr>
              <w:fldChar w:fldCharType="begin"/>
            </w:r>
            <w:r w:rsidRPr="00264D5D">
              <w:rPr>
                <w:b/>
                <w:sz w:val="22"/>
                <w:szCs w:val="22"/>
                <w:lang w:eastAsia="en-US"/>
              </w:rPr>
              <w:instrText xml:space="preserve"> REF _Ref519667039 \h  \* MERGEFORMAT </w:instrText>
            </w:r>
            <w:r w:rsidRPr="00264D5D">
              <w:rPr>
                <w:b/>
                <w:sz w:val="22"/>
                <w:szCs w:val="22"/>
                <w:lang w:eastAsia="en-US"/>
              </w:rPr>
            </w:r>
            <w:r w:rsidRPr="00264D5D">
              <w:rPr>
                <w:b/>
                <w:sz w:val="22"/>
                <w:szCs w:val="22"/>
                <w:lang w:eastAsia="en-US"/>
              </w:rPr>
              <w:fldChar w:fldCharType="separate"/>
            </w:r>
            <w:r w:rsidR="008D797C" w:rsidRPr="008D797C">
              <w:rPr>
                <w:b/>
                <w:sz w:val="22"/>
                <w:szCs w:val="22"/>
              </w:rPr>
              <w:t>19</w:t>
            </w:r>
            <w:r w:rsidRPr="00264D5D">
              <w:rPr>
                <w:b/>
                <w:sz w:val="22"/>
                <w:szCs w:val="22"/>
                <w:lang w:eastAsia="en-US"/>
              </w:rPr>
              <w:fldChar w:fldCharType="end"/>
            </w:r>
          </w:p>
        </w:tc>
      </w:tr>
    </w:tbl>
    <w:p w14:paraId="54EB2089" w14:textId="77777777" w:rsidR="00AD1F54" w:rsidRPr="00264D5D" w:rsidRDefault="00AD1F54">
      <w:pPr>
        <w:pStyle w:val="GOSTNormal"/>
        <w:rPr>
          <w:rFonts w:eastAsia="Calibri"/>
        </w:rPr>
      </w:pPr>
    </w:p>
    <w:p w14:paraId="5B4C1ADC" w14:textId="26A846AC" w:rsidR="00AD1F54" w:rsidRPr="00264D5D" w:rsidRDefault="001E5517">
      <w:pPr>
        <w:pStyle w:val="GOSTNameTable"/>
        <w:numPr>
          <w:ilvl w:val="0"/>
          <w:numId w:val="2"/>
        </w:numPr>
        <w:ind w:left="425" w:hanging="357"/>
      </w:pPr>
      <w:r w:rsidRPr="00264D5D">
        <w:rPr>
          <w:noProof/>
        </w:rPr>
        <w:fldChar w:fldCharType="begin"/>
      </w:r>
      <w:r w:rsidRPr="00264D5D">
        <w:rPr>
          <w:noProof/>
        </w:rPr>
        <w:instrText xml:space="preserve"> SEQ Таблица \* ARABIC </w:instrText>
      </w:r>
      <w:r w:rsidRPr="00264D5D">
        <w:rPr>
          <w:noProof/>
        </w:rPr>
        <w:fldChar w:fldCharType="separate"/>
      </w:r>
      <w:bookmarkStart w:id="563" w:name="_Ref519665936"/>
      <w:bookmarkStart w:id="564" w:name="_Toc219309048"/>
      <w:r w:rsidR="008D797C">
        <w:rPr>
          <w:noProof/>
        </w:rPr>
        <w:t>18</w:t>
      </w:r>
      <w:bookmarkEnd w:id="563"/>
      <w:r w:rsidRPr="00264D5D">
        <w:rPr>
          <w:noProof/>
        </w:rPr>
        <w:fldChar w:fldCharType="end"/>
      </w:r>
      <w:r w:rsidR="00941227" w:rsidRPr="00264D5D">
        <w:rPr>
          <w:rFonts w:eastAsia="Calibri"/>
          <w:szCs w:val="24"/>
        </w:rPr>
        <w:t xml:space="preserve"> – </w:t>
      </w:r>
      <w:r w:rsidR="00941227" w:rsidRPr="00264D5D">
        <w:t>Описание составного элемента «</w:t>
      </w:r>
      <w:r w:rsidR="00941227" w:rsidRPr="00264D5D">
        <w:rPr>
          <w:lang w:val="en-US"/>
        </w:rPr>
        <w:t>Sender</w:t>
      </w:r>
      <w:r w:rsidR="00941227" w:rsidRPr="00264D5D">
        <w:t>»</w:t>
      </w:r>
      <w:bookmarkEnd w:id="564"/>
    </w:p>
    <w:tbl>
      <w:tblPr>
        <w:tblStyle w:val="GOSTTable"/>
        <w:tblW w:w="5000" w:type="pct"/>
        <w:tblLayout w:type="fixed"/>
        <w:tblLook w:val="01E0" w:firstRow="1" w:lastRow="1" w:firstColumn="1" w:lastColumn="1" w:noHBand="0" w:noVBand="0"/>
      </w:tblPr>
      <w:tblGrid>
        <w:gridCol w:w="1705"/>
        <w:gridCol w:w="1704"/>
        <w:gridCol w:w="568"/>
        <w:gridCol w:w="1136"/>
        <w:gridCol w:w="568"/>
        <w:gridCol w:w="3969"/>
      </w:tblGrid>
      <w:tr w:rsidR="00AD1F54" w:rsidRPr="00264D5D" w14:paraId="654E1649"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3" w:type="dxa"/>
          </w:tcPr>
          <w:p w14:paraId="11AF43C4" w14:textId="77777777" w:rsidR="00AD1F54" w:rsidRPr="00264D5D" w:rsidRDefault="00941227">
            <w:pPr>
              <w:spacing w:before="60" w:after="60"/>
              <w:ind w:left="57" w:right="57"/>
              <w:jc w:val="center"/>
              <w:rPr>
                <w:b/>
                <w:sz w:val="22"/>
                <w:szCs w:val="22"/>
              </w:rPr>
            </w:pPr>
            <w:r w:rsidRPr="00264D5D">
              <w:rPr>
                <w:b/>
                <w:bCs/>
                <w:sz w:val="22"/>
                <w:szCs w:val="22"/>
              </w:rPr>
              <w:t>Наименование комплексного типа</w:t>
            </w:r>
          </w:p>
        </w:tc>
        <w:tc>
          <w:tcPr>
            <w:tcW w:w="1701" w:type="dxa"/>
          </w:tcPr>
          <w:p w14:paraId="0BC76184" w14:textId="77777777" w:rsidR="00AD1F54" w:rsidRPr="00264D5D" w:rsidRDefault="00941227">
            <w:pPr>
              <w:spacing w:before="60" w:after="60"/>
              <w:ind w:left="57" w:right="57"/>
              <w:jc w:val="center"/>
              <w:rPr>
                <w:b/>
                <w:sz w:val="22"/>
                <w:szCs w:val="22"/>
              </w:rPr>
            </w:pPr>
            <w:r w:rsidRPr="00264D5D">
              <w:rPr>
                <w:b/>
                <w:bCs/>
                <w:sz w:val="22"/>
                <w:szCs w:val="22"/>
              </w:rPr>
              <w:t>Текущий элемент/ атрибут</w:t>
            </w:r>
          </w:p>
        </w:tc>
        <w:tc>
          <w:tcPr>
            <w:tcW w:w="567" w:type="dxa"/>
          </w:tcPr>
          <w:p w14:paraId="7AF4B7FA" w14:textId="77777777" w:rsidR="00AD1F54" w:rsidRPr="00264D5D" w:rsidRDefault="00941227">
            <w:pPr>
              <w:spacing w:before="60" w:after="60"/>
              <w:ind w:left="57" w:right="57"/>
              <w:jc w:val="center"/>
              <w:rPr>
                <w:b/>
                <w:sz w:val="22"/>
                <w:szCs w:val="22"/>
              </w:rPr>
            </w:pPr>
            <w:r w:rsidRPr="00264D5D">
              <w:rPr>
                <w:b/>
                <w:bCs/>
                <w:sz w:val="22"/>
                <w:szCs w:val="22"/>
              </w:rPr>
              <w:t>Тип</w:t>
            </w:r>
          </w:p>
        </w:tc>
        <w:tc>
          <w:tcPr>
            <w:tcW w:w="1134" w:type="dxa"/>
          </w:tcPr>
          <w:p w14:paraId="1942E669" w14:textId="77777777" w:rsidR="00AD1F54" w:rsidRPr="00264D5D" w:rsidRDefault="00941227">
            <w:pPr>
              <w:spacing w:before="60" w:after="60"/>
              <w:ind w:left="57" w:right="57"/>
              <w:jc w:val="center"/>
              <w:rPr>
                <w:b/>
                <w:sz w:val="22"/>
                <w:szCs w:val="22"/>
              </w:rPr>
            </w:pPr>
            <w:r w:rsidRPr="00264D5D">
              <w:rPr>
                <w:b/>
                <w:bCs/>
                <w:sz w:val="22"/>
                <w:szCs w:val="22"/>
              </w:rPr>
              <w:t>Формат элемента</w:t>
            </w:r>
          </w:p>
        </w:tc>
        <w:tc>
          <w:tcPr>
            <w:tcW w:w="567" w:type="dxa"/>
          </w:tcPr>
          <w:p w14:paraId="368E15E6" w14:textId="77777777" w:rsidR="00AD1F54" w:rsidRPr="00264D5D" w:rsidRDefault="00941227">
            <w:pPr>
              <w:spacing w:before="60" w:after="60"/>
              <w:ind w:left="57" w:right="57"/>
              <w:jc w:val="center"/>
              <w:rPr>
                <w:b/>
                <w:sz w:val="22"/>
                <w:szCs w:val="22"/>
              </w:rPr>
            </w:pPr>
            <w:r w:rsidRPr="00264D5D">
              <w:rPr>
                <w:b/>
                <w:bCs/>
                <w:sz w:val="22"/>
                <w:szCs w:val="22"/>
              </w:rPr>
              <w:t>Обязательность</w:t>
            </w:r>
          </w:p>
        </w:tc>
        <w:tc>
          <w:tcPr>
            <w:tcW w:w="3963" w:type="dxa"/>
          </w:tcPr>
          <w:p w14:paraId="03EAE489" w14:textId="77777777" w:rsidR="00AD1F54" w:rsidRPr="00264D5D" w:rsidRDefault="00941227">
            <w:pPr>
              <w:spacing w:before="60" w:after="60"/>
              <w:ind w:left="57" w:right="57"/>
              <w:jc w:val="center"/>
              <w:rPr>
                <w:b/>
                <w:sz w:val="22"/>
                <w:szCs w:val="22"/>
              </w:rPr>
            </w:pPr>
            <w:r w:rsidRPr="00264D5D">
              <w:rPr>
                <w:b/>
                <w:bCs/>
                <w:sz w:val="22"/>
                <w:szCs w:val="22"/>
              </w:rPr>
              <w:t>Дополнительная информация</w:t>
            </w:r>
          </w:p>
        </w:tc>
      </w:tr>
      <w:tr w:rsidR="00AD1F54" w:rsidRPr="00264D5D" w14:paraId="0CEE34B8" w14:textId="77777777" w:rsidTr="00AD1F54">
        <w:trPr>
          <w:cnfStyle w:val="000000100000" w:firstRow="0" w:lastRow="0" w:firstColumn="0" w:lastColumn="0" w:oddVBand="0" w:evenVBand="0" w:oddHBand="1" w:evenHBand="0" w:firstRowFirstColumn="0" w:firstRowLastColumn="0" w:lastRowFirstColumn="0" w:lastRowLastColumn="0"/>
        </w:trPr>
        <w:tc>
          <w:tcPr>
            <w:tcW w:w="1703" w:type="dxa"/>
          </w:tcPr>
          <w:p w14:paraId="7FB9E966" w14:textId="77777777" w:rsidR="00AD1F54" w:rsidRPr="00264D5D" w:rsidRDefault="00941227">
            <w:pPr>
              <w:spacing w:before="60" w:after="60"/>
              <w:rPr>
                <w:sz w:val="22"/>
                <w:szCs w:val="22"/>
              </w:rPr>
            </w:pPr>
            <w:r w:rsidRPr="00264D5D">
              <w:rPr>
                <w:sz w:val="22"/>
                <w:szCs w:val="22"/>
              </w:rPr>
              <w:t>Отправитель сообщения в формате транспортного адреса</w:t>
            </w:r>
          </w:p>
        </w:tc>
        <w:tc>
          <w:tcPr>
            <w:tcW w:w="1701" w:type="dxa"/>
          </w:tcPr>
          <w:p w14:paraId="1A3BEA10" w14:textId="77777777" w:rsidR="00AD1F54" w:rsidRPr="00264D5D" w:rsidRDefault="00941227">
            <w:pPr>
              <w:spacing w:before="60" w:after="60"/>
              <w:rPr>
                <w:sz w:val="22"/>
                <w:szCs w:val="22"/>
                <w:lang w:val="en-US"/>
              </w:rPr>
            </w:pPr>
            <w:r w:rsidRPr="00264D5D">
              <w:rPr>
                <w:sz w:val="22"/>
                <w:szCs w:val="22"/>
                <w:lang w:val="en-US"/>
              </w:rPr>
              <w:t>LogicalID</w:t>
            </w:r>
          </w:p>
        </w:tc>
        <w:tc>
          <w:tcPr>
            <w:tcW w:w="567" w:type="dxa"/>
          </w:tcPr>
          <w:p w14:paraId="078F32F8" w14:textId="77777777" w:rsidR="00AD1F54" w:rsidRPr="00264D5D" w:rsidRDefault="00941227">
            <w:pPr>
              <w:spacing w:before="60" w:after="60"/>
              <w:jc w:val="center"/>
              <w:rPr>
                <w:sz w:val="22"/>
                <w:szCs w:val="22"/>
              </w:rPr>
            </w:pPr>
            <w:r w:rsidRPr="00264D5D">
              <w:rPr>
                <w:sz w:val="22"/>
                <w:szCs w:val="22"/>
              </w:rPr>
              <w:t>П</w:t>
            </w:r>
          </w:p>
        </w:tc>
        <w:tc>
          <w:tcPr>
            <w:tcW w:w="1134" w:type="dxa"/>
          </w:tcPr>
          <w:p w14:paraId="1BA30EB1" w14:textId="77777777" w:rsidR="00AD1F54" w:rsidRPr="00264D5D" w:rsidRDefault="00941227">
            <w:pPr>
              <w:spacing w:before="60" w:after="60"/>
              <w:rPr>
                <w:sz w:val="22"/>
                <w:szCs w:val="22"/>
              </w:rPr>
            </w:pPr>
            <w:r w:rsidRPr="00264D5D">
              <w:rPr>
                <w:sz w:val="22"/>
                <w:szCs w:val="22"/>
              </w:rPr>
              <w:t>Т(1-50)</w:t>
            </w:r>
          </w:p>
        </w:tc>
        <w:tc>
          <w:tcPr>
            <w:tcW w:w="567" w:type="dxa"/>
          </w:tcPr>
          <w:p w14:paraId="5977516C" w14:textId="77777777" w:rsidR="00AD1F54" w:rsidRPr="00264D5D" w:rsidRDefault="00941227">
            <w:pPr>
              <w:spacing w:before="60" w:after="60"/>
              <w:jc w:val="center"/>
              <w:rPr>
                <w:sz w:val="22"/>
                <w:szCs w:val="22"/>
              </w:rPr>
            </w:pPr>
            <w:r w:rsidRPr="00264D5D">
              <w:rPr>
                <w:sz w:val="22"/>
                <w:szCs w:val="22"/>
              </w:rPr>
              <w:t>О</w:t>
            </w:r>
          </w:p>
        </w:tc>
        <w:tc>
          <w:tcPr>
            <w:tcW w:w="3963" w:type="dxa"/>
          </w:tcPr>
          <w:p w14:paraId="517B941E" w14:textId="77777777" w:rsidR="00AD1F54" w:rsidRPr="00264D5D" w:rsidRDefault="00941227">
            <w:pPr>
              <w:spacing w:before="60" w:after="60"/>
              <w:rPr>
                <w:sz w:val="22"/>
                <w:szCs w:val="22"/>
              </w:rPr>
            </w:pPr>
            <w:r w:rsidRPr="00264D5D">
              <w:rPr>
                <w:sz w:val="22"/>
                <w:szCs w:val="22"/>
              </w:rPr>
              <w:t xml:space="preserve">Указывается отправитель сообщения </w:t>
            </w:r>
            <w:r w:rsidR="005A204F" w:rsidRPr="00264D5D">
              <w:rPr>
                <w:sz w:val="22"/>
                <w:szCs w:val="22"/>
              </w:rPr>
              <w:t>в формате транспортного адреса</w:t>
            </w:r>
          </w:p>
        </w:tc>
      </w:tr>
      <w:tr w:rsidR="00AD1F54" w:rsidRPr="00264D5D" w14:paraId="296B6260" w14:textId="77777777" w:rsidTr="00AD1F54">
        <w:trPr>
          <w:cnfStyle w:val="000000010000" w:firstRow="0" w:lastRow="0" w:firstColumn="0" w:lastColumn="0" w:oddVBand="0" w:evenVBand="0" w:oddHBand="0" w:evenHBand="1" w:firstRowFirstColumn="0" w:firstRowLastColumn="0" w:lastRowFirstColumn="0" w:lastRowLastColumn="0"/>
        </w:trPr>
        <w:tc>
          <w:tcPr>
            <w:tcW w:w="1703" w:type="dxa"/>
          </w:tcPr>
          <w:p w14:paraId="296926F3" w14:textId="77777777" w:rsidR="00AD1F54" w:rsidRPr="00264D5D" w:rsidRDefault="00941227">
            <w:pPr>
              <w:spacing w:before="60" w:after="60"/>
              <w:rPr>
                <w:sz w:val="22"/>
                <w:szCs w:val="22"/>
              </w:rPr>
            </w:pPr>
            <w:r w:rsidRPr="00264D5D">
              <w:rPr>
                <w:sz w:val="22"/>
                <w:szCs w:val="22"/>
                <w:lang w:val="en-US"/>
              </w:rPr>
              <w:t>ID компоненты</w:t>
            </w:r>
          </w:p>
        </w:tc>
        <w:tc>
          <w:tcPr>
            <w:tcW w:w="1701" w:type="dxa"/>
          </w:tcPr>
          <w:p w14:paraId="42080348" w14:textId="77777777" w:rsidR="00AD1F54" w:rsidRPr="00264D5D" w:rsidRDefault="00941227">
            <w:pPr>
              <w:spacing w:before="60" w:after="60"/>
              <w:rPr>
                <w:sz w:val="22"/>
                <w:szCs w:val="22"/>
              </w:rPr>
            </w:pPr>
            <w:r w:rsidRPr="00264D5D">
              <w:rPr>
                <w:sz w:val="22"/>
                <w:szCs w:val="22"/>
                <w:lang w:val="en-US"/>
              </w:rPr>
              <w:t>ComponentID</w:t>
            </w:r>
          </w:p>
        </w:tc>
        <w:tc>
          <w:tcPr>
            <w:tcW w:w="567" w:type="dxa"/>
          </w:tcPr>
          <w:p w14:paraId="4872B42D" w14:textId="77777777" w:rsidR="00AD1F54" w:rsidRPr="00264D5D" w:rsidRDefault="00941227">
            <w:pPr>
              <w:spacing w:before="60" w:after="60"/>
              <w:jc w:val="center"/>
              <w:rPr>
                <w:sz w:val="22"/>
                <w:szCs w:val="22"/>
              </w:rPr>
            </w:pPr>
            <w:r w:rsidRPr="00264D5D">
              <w:rPr>
                <w:sz w:val="22"/>
                <w:szCs w:val="22"/>
              </w:rPr>
              <w:t>П</w:t>
            </w:r>
          </w:p>
        </w:tc>
        <w:tc>
          <w:tcPr>
            <w:tcW w:w="1134" w:type="dxa"/>
          </w:tcPr>
          <w:p w14:paraId="73770613" w14:textId="77777777" w:rsidR="00AD1F54" w:rsidRPr="00264D5D" w:rsidRDefault="00941227">
            <w:pPr>
              <w:spacing w:before="60" w:after="60"/>
              <w:rPr>
                <w:sz w:val="22"/>
                <w:szCs w:val="22"/>
              </w:rPr>
            </w:pPr>
            <w:r w:rsidRPr="00264D5D">
              <w:rPr>
                <w:sz w:val="22"/>
                <w:szCs w:val="22"/>
              </w:rPr>
              <w:t>Т(2)</w:t>
            </w:r>
          </w:p>
        </w:tc>
        <w:tc>
          <w:tcPr>
            <w:tcW w:w="567" w:type="dxa"/>
          </w:tcPr>
          <w:p w14:paraId="3830FE0A" w14:textId="77777777" w:rsidR="00AD1F54" w:rsidRPr="00264D5D" w:rsidRDefault="00941227">
            <w:pPr>
              <w:spacing w:before="60" w:after="60"/>
              <w:jc w:val="center"/>
              <w:rPr>
                <w:sz w:val="22"/>
                <w:szCs w:val="22"/>
              </w:rPr>
            </w:pPr>
            <w:r w:rsidRPr="00264D5D">
              <w:rPr>
                <w:sz w:val="22"/>
                <w:szCs w:val="22"/>
              </w:rPr>
              <w:t>О</w:t>
            </w:r>
          </w:p>
        </w:tc>
        <w:tc>
          <w:tcPr>
            <w:tcW w:w="3963" w:type="dxa"/>
          </w:tcPr>
          <w:p w14:paraId="4A8E9847" w14:textId="77777777" w:rsidR="00AD1F54" w:rsidRPr="00264D5D" w:rsidRDefault="00941227">
            <w:pPr>
              <w:pStyle w:val="GOSTTablenorm"/>
              <w:rPr>
                <w:szCs w:val="22"/>
              </w:rPr>
            </w:pPr>
            <w:r w:rsidRPr="00264D5D">
              <w:rPr>
                <w:szCs w:val="22"/>
                <w:lang w:eastAsia="en-US"/>
              </w:rPr>
              <w:t>Указывается б</w:t>
            </w:r>
            <w:r w:rsidRPr="00264D5D">
              <w:rPr>
                <w:szCs w:val="22"/>
              </w:rPr>
              <w:t xml:space="preserve">изнес область </w:t>
            </w:r>
            <w:r w:rsidRPr="00264D5D">
              <w:rPr>
                <w:szCs w:val="22"/>
                <w:lang w:val="en-US"/>
              </w:rPr>
              <w:t>OEBS</w:t>
            </w:r>
            <w:r w:rsidRPr="00264D5D">
              <w:rPr>
                <w:szCs w:val="22"/>
              </w:rPr>
              <w:t>.</w:t>
            </w:r>
          </w:p>
          <w:p w14:paraId="5B74C30B" w14:textId="77777777" w:rsidR="00AD1F54" w:rsidRPr="00264D5D" w:rsidRDefault="00941227">
            <w:pPr>
              <w:spacing w:before="60" w:after="60"/>
              <w:rPr>
                <w:sz w:val="22"/>
                <w:szCs w:val="22"/>
              </w:rPr>
            </w:pPr>
            <w:r w:rsidRPr="00264D5D">
              <w:rPr>
                <w:sz w:val="22"/>
                <w:szCs w:val="22"/>
              </w:rPr>
              <w:t>Для формата периодического отчета PeriodicReport используется значение «</w:t>
            </w:r>
            <w:r w:rsidRPr="00264D5D">
              <w:rPr>
                <w:sz w:val="22"/>
                <w:szCs w:val="22"/>
                <w:lang w:val="en-US"/>
              </w:rPr>
              <w:t>RP</w:t>
            </w:r>
            <w:r w:rsidR="005A204F" w:rsidRPr="00264D5D">
              <w:rPr>
                <w:sz w:val="22"/>
                <w:szCs w:val="22"/>
              </w:rPr>
              <w:t>»</w:t>
            </w:r>
          </w:p>
        </w:tc>
      </w:tr>
      <w:tr w:rsidR="00AD1F54" w:rsidRPr="00264D5D" w14:paraId="4E1C0DBF" w14:textId="77777777" w:rsidTr="00AD1F54">
        <w:trPr>
          <w:cnfStyle w:val="000000100000" w:firstRow="0" w:lastRow="0" w:firstColumn="0" w:lastColumn="0" w:oddVBand="0" w:evenVBand="0" w:oddHBand="1" w:evenHBand="0" w:firstRowFirstColumn="0" w:firstRowLastColumn="0" w:lastRowFirstColumn="0" w:lastRowLastColumn="0"/>
        </w:trPr>
        <w:tc>
          <w:tcPr>
            <w:tcW w:w="1703" w:type="dxa"/>
          </w:tcPr>
          <w:p w14:paraId="17A9CD80" w14:textId="77777777" w:rsidR="00AD1F54" w:rsidRPr="00264D5D" w:rsidRDefault="00941227">
            <w:pPr>
              <w:pStyle w:val="EBTablenorm"/>
              <w:ind w:left="57" w:right="57"/>
              <w:jc w:val="left"/>
              <w:rPr>
                <w:sz w:val="22"/>
                <w:szCs w:val="22"/>
              </w:rPr>
            </w:pPr>
            <w:r w:rsidRPr="00264D5D">
              <w:rPr>
                <w:sz w:val="22"/>
                <w:szCs w:val="22"/>
                <w:lang w:val="en-US"/>
              </w:rPr>
              <w:t>ID компоненты</w:t>
            </w:r>
          </w:p>
        </w:tc>
        <w:tc>
          <w:tcPr>
            <w:tcW w:w="1701" w:type="dxa"/>
          </w:tcPr>
          <w:p w14:paraId="683D6C0F" w14:textId="77777777" w:rsidR="00AD1F54" w:rsidRPr="00264D5D" w:rsidRDefault="00941227">
            <w:pPr>
              <w:pStyle w:val="EBTablenorm"/>
              <w:ind w:left="57" w:right="57"/>
              <w:jc w:val="left"/>
              <w:rPr>
                <w:sz w:val="22"/>
                <w:szCs w:val="22"/>
              </w:rPr>
            </w:pPr>
            <w:r w:rsidRPr="00264D5D">
              <w:rPr>
                <w:sz w:val="22"/>
                <w:szCs w:val="22"/>
                <w:lang w:val="en-US"/>
              </w:rPr>
              <w:t>TaskID</w:t>
            </w:r>
          </w:p>
        </w:tc>
        <w:tc>
          <w:tcPr>
            <w:tcW w:w="567" w:type="dxa"/>
          </w:tcPr>
          <w:p w14:paraId="17675D02" w14:textId="77777777" w:rsidR="00AD1F54" w:rsidRPr="00264D5D" w:rsidRDefault="00941227">
            <w:pPr>
              <w:spacing w:before="60" w:after="60"/>
              <w:jc w:val="center"/>
              <w:rPr>
                <w:sz w:val="22"/>
                <w:szCs w:val="22"/>
              </w:rPr>
            </w:pPr>
            <w:r w:rsidRPr="00264D5D">
              <w:rPr>
                <w:sz w:val="22"/>
                <w:szCs w:val="22"/>
              </w:rPr>
              <w:t>П</w:t>
            </w:r>
          </w:p>
        </w:tc>
        <w:tc>
          <w:tcPr>
            <w:tcW w:w="1134" w:type="dxa"/>
          </w:tcPr>
          <w:p w14:paraId="7367DC3B" w14:textId="77777777" w:rsidR="00AD1F54" w:rsidRPr="00264D5D" w:rsidRDefault="00941227">
            <w:pPr>
              <w:spacing w:before="60" w:after="60"/>
              <w:jc w:val="left"/>
              <w:rPr>
                <w:rFonts w:eastAsia="Calibri"/>
                <w:sz w:val="22"/>
                <w:szCs w:val="22"/>
              </w:rPr>
            </w:pPr>
            <w:r w:rsidRPr="00264D5D">
              <w:rPr>
                <w:sz w:val="22"/>
                <w:szCs w:val="22"/>
              </w:rPr>
              <w:t>string</w:t>
            </w:r>
          </w:p>
        </w:tc>
        <w:tc>
          <w:tcPr>
            <w:tcW w:w="567" w:type="dxa"/>
          </w:tcPr>
          <w:p w14:paraId="7278C0B6" w14:textId="77777777" w:rsidR="00AD1F54" w:rsidRPr="00264D5D" w:rsidRDefault="00941227">
            <w:pPr>
              <w:spacing w:before="60" w:after="60"/>
              <w:jc w:val="center"/>
              <w:rPr>
                <w:sz w:val="22"/>
                <w:szCs w:val="22"/>
              </w:rPr>
            </w:pPr>
            <w:r w:rsidRPr="00264D5D">
              <w:rPr>
                <w:sz w:val="22"/>
                <w:szCs w:val="22"/>
              </w:rPr>
              <w:t>О</w:t>
            </w:r>
          </w:p>
        </w:tc>
        <w:tc>
          <w:tcPr>
            <w:tcW w:w="3963" w:type="dxa"/>
          </w:tcPr>
          <w:p w14:paraId="1D85FAEF" w14:textId="77777777" w:rsidR="00AD1F54" w:rsidRPr="00264D5D" w:rsidRDefault="00941227">
            <w:pPr>
              <w:pStyle w:val="GOSTTablenorm"/>
              <w:rPr>
                <w:szCs w:val="22"/>
                <w:lang w:eastAsia="en-US"/>
              </w:rPr>
            </w:pPr>
            <w:r w:rsidRPr="00264D5D">
              <w:rPr>
                <w:szCs w:val="22"/>
                <w:lang w:eastAsia="en-US"/>
              </w:rPr>
              <w:t>Не используется.</w:t>
            </w:r>
          </w:p>
          <w:p w14:paraId="37F85D32" w14:textId="77777777" w:rsidR="00AD1F54" w:rsidRPr="00264D5D" w:rsidRDefault="00941227">
            <w:pPr>
              <w:pStyle w:val="EBTablenorm"/>
              <w:ind w:left="57" w:right="57"/>
              <w:rPr>
                <w:sz w:val="22"/>
                <w:szCs w:val="22"/>
              </w:rPr>
            </w:pPr>
            <w:r w:rsidRPr="00264D5D">
              <w:rPr>
                <w:sz w:val="22"/>
                <w:szCs w:val="22"/>
                <w:lang w:eastAsia="en-US"/>
              </w:rPr>
              <w:t xml:space="preserve">Передается в виде </w:t>
            </w:r>
            <w:r w:rsidR="005A204F" w:rsidRPr="00264D5D">
              <w:rPr>
                <w:rFonts w:eastAsia="Calibri"/>
                <w:sz w:val="22"/>
                <w:szCs w:val="22"/>
              </w:rPr>
              <w:t>&lt;TaskID/&gt;</w:t>
            </w:r>
          </w:p>
        </w:tc>
      </w:tr>
      <w:tr w:rsidR="00AD1F54" w:rsidRPr="00264D5D" w14:paraId="6A95C3FB" w14:textId="77777777" w:rsidTr="00AD1F54">
        <w:trPr>
          <w:cnfStyle w:val="000000010000" w:firstRow="0" w:lastRow="0" w:firstColumn="0" w:lastColumn="0" w:oddVBand="0" w:evenVBand="0" w:oddHBand="0" w:evenHBand="1" w:firstRowFirstColumn="0" w:firstRowLastColumn="0" w:lastRowFirstColumn="0" w:lastRowLastColumn="0"/>
        </w:trPr>
        <w:tc>
          <w:tcPr>
            <w:tcW w:w="1703" w:type="dxa"/>
          </w:tcPr>
          <w:p w14:paraId="25483646" w14:textId="77777777" w:rsidR="00AD1F54" w:rsidRPr="00264D5D" w:rsidRDefault="00941227">
            <w:pPr>
              <w:pStyle w:val="EBTablenorm"/>
              <w:ind w:left="57" w:right="57"/>
              <w:jc w:val="left"/>
              <w:rPr>
                <w:sz w:val="22"/>
                <w:szCs w:val="22"/>
                <w:lang w:val="en-US"/>
              </w:rPr>
            </w:pPr>
            <w:r w:rsidRPr="00264D5D">
              <w:rPr>
                <w:sz w:val="22"/>
                <w:szCs w:val="22"/>
                <w:lang w:val="en-US"/>
              </w:rPr>
              <w:t>ID компоненты</w:t>
            </w:r>
          </w:p>
        </w:tc>
        <w:tc>
          <w:tcPr>
            <w:tcW w:w="1701" w:type="dxa"/>
          </w:tcPr>
          <w:p w14:paraId="5E56E5C2" w14:textId="77777777" w:rsidR="00AD1F54" w:rsidRPr="00264D5D" w:rsidRDefault="00941227">
            <w:pPr>
              <w:pStyle w:val="EBTablenorm"/>
              <w:ind w:left="57" w:right="57"/>
              <w:jc w:val="left"/>
              <w:rPr>
                <w:sz w:val="22"/>
                <w:szCs w:val="22"/>
                <w:lang w:val="en-US"/>
              </w:rPr>
            </w:pPr>
            <w:r w:rsidRPr="00264D5D">
              <w:rPr>
                <w:sz w:val="22"/>
                <w:szCs w:val="22"/>
                <w:lang w:val="en-US"/>
              </w:rPr>
              <w:t>ReferenceID</w:t>
            </w:r>
          </w:p>
        </w:tc>
        <w:tc>
          <w:tcPr>
            <w:tcW w:w="567" w:type="dxa"/>
          </w:tcPr>
          <w:p w14:paraId="46B92482" w14:textId="77777777" w:rsidR="00AD1F54" w:rsidRPr="00264D5D" w:rsidRDefault="00941227">
            <w:pPr>
              <w:spacing w:before="60" w:after="60"/>
              <w:jc w:val="center"/>
              <w:rPr>
                <w:sz w:val="22"/>
                <w:szCs w:val="22"/>
              </w:rPr>
            </w:pPr>
            <w:r w:rsidRPr="00264D5D">
              <w:rPr>
                <w:sz w:val="22"/>
                <w:szCs w:val="22"/>
              </w:rPr>
              <w:t>П</w:t>
            </w:r>
          </w:p>
        </w:tc>
        <w:tc>
          <w:tcPr>
            <w:tcW w:w="1134" w:type="dxa"/>
          </w:tcPr>
          <w:p w14:paraId="47BA71AF" w14:textId="77777777" w:rsidR="00AD1F54" w:rsidRPr="00264D5D" w:rsidRDefault="00941227">
            <w:pPr>
              <w:spacing w:before="60" w:after="60"/>
              <w:jc w:val="left"/>
              <w:rPr>
                <w:sz w:val="22"/>
                <w:szCs w:val="22"/>
              </w:rPr>
            </w:pPr>
            <w:r w:rsidRPr="00264D5D">
              <w:rPr>
                <w:sz w:val="22"/>
                <w:szCs w:val="22"/>
              </w:rPr>
              <w:t>string</w:t>
            </w:r>
          </w:p>
        </w:tc>
        <w:tc>
          <w:tcPr>
            <w:tcW w:w="567" w:type="dxa"/>
          </w:tcPr>
          <w:p w14:paraId="56A813F9" w14:textId="77777777" w:rsidR="00AD1F54" w:rsidRPr="00264D5D" w:rsidRDefault="00941227">
            <w:pPr>
              <w:spacing w:before="60" w:after="60"/>
              <w:jc w:val="center"/>
              <w:rPr>
                <w:sz w:val="22"/>
                <w:szCs w:val="22"/>
              </w:rPr>
            </w:pPr>
            <w:r w:rsidRPr="00264D5D">
              <w:rPr>
                <w:sz w:val="22"/>
                <w:szCs w:val="22"/>
              </w:rPr>
              <w:t>О</w:t>
            </w:r>
          </w:p>
        </w:tc>
        <w:tc>
          <w:tcPr>
            <w:tcW w:w="3963" w:type="dxa"/>
          </w:tcPr>
          <w:p w14:paraId="091329A7" w14:textId="77777777" w:rsidR="00AD1F54" w:rsidRPr="00264D5D" w:rsidRDefault="00941227">
            <w:pPr>
              <w:pStyle w:val="GOSTTablenorm"/>
              <w:rPr>
                <w:szCs w:val="22"/>
                <w:lang w:eastAsia="en-US"/>
              </w:rPr>
            </w:pPr>
            <w:r w:rsidRPr="00264D5D">
              <w:rPr>
                <w:szCs w:val="22"/>
                <w:lang w:eastAsia="en-US"/>
              </w:rPr>
              <w:t>Не используется.</w:t>
            </w:r>
          </w:p>
          <w:p w14:paraId="3F319840" w14:textId="77777777" w:rsidR="00AD1F54" w:rsidRPr="00264D5D" w:rsidRDefault="00941227">
            <w:pPr>
              <w:pStyle w:val="GOSTTablenorm"/>
              <w:rPr>
                <w:szCs w:val="22"/>
                <w:lang w:eastAsia="en-US"/>
              </w:rPr>
            </w:pPr>
            <w:r w:rsidRPr="00264D5D">
              <w:rPr>
                <w:szCs w:val="22"/>
                <w:lang w:eastAsia="en-US"/>
              </w:rPr>
              <w:t>Передается в виде:</w:t>
            </w:r>
          </w:p>
          <w:p w14:paraId="6CAAAC02" w14:textId="77777777" w:rsidR="00AD1F54" w:rsidRPr="00264D5D" w:rsidRDefault="005A204F">
            <w:pPr>
              <w:spacing w:before="60" w:after="60"/>
              <w:rPr>
                <w:sz w:val="22"/>
                <w:szCs w:val="22"/>
                <w:lang w:eastAsia="en-US"/>
              </w:rPr>
            </w:pPr>
            <w:r w:rsidRPr="00264D5D">
              <w:rPr>
                <w:rFonts w:eastAsia="Calibri"/>
                <w:sz w:val="22"/>
                <w:szCs w:val="22"/>
              </w:rPr>
              <w:t>&lt;ReferenceID/&gt;</w:t>
            </w:r>
          </w:p>
        </w:tc>
      </w:tr>
      <w:tr w:rsidR="00AD1F54" w:rsidRPr="00264D5D" w14:paraId="39BB7886" w14:textId="77777777" w:rsidTr="00AD1F54">
        <w:trPr>
          <w:cnfStyle w:val="000000100000" w:firstRow="0" w:lastRow="0" w:firstColumn="0" w:lastColumn="0" w:oddVBand="0" w:evenVBand="0" w:oddHBand="1" w:evenHBand="0" w:firstRowFirstColumn="0" w:firstRowLastColumn="0" w:lastRowFirstColumn="0" w:lastRowLastColumn="0"/>
        </w:trPr>
        <w:tc>
          <w:tcPr>
            <w:tcW w:w="1703" w:type="dxa"/>
          </w:tcPr>
          <w:p w14:paraId="0E8C6CBF" w14:textId="77777777" w:rsidR="00AD1F54" w:rsidRPr="00264D5D" w:rsidRDefault="00941227">
            <w:pPr>
              <w:pStyle w:val="EBTablenorm"/>
              <w:ind w:left="57" w:right="57"/>
              <w:jc w:val="left"/>
              <w:rPr>
                <w:sz w:val="22"/>
                <w:szCs w:val="22"/>
                <w:lang w:val="en-US"/>
              </w:rPr>
            </w:pPr>
            <w:r w:rsidRPr="00264D5D">
              <w:rPr>
                <w:sz w:val="22"/>
                <w:szCs w:val="22"/>
              </w:rPr>
              <w:t>Подтверждение о доставке</w:t>
            </w:r>
          </w:p>
        </w:tc>
        <w:tc>
          <w:tcPr>
            <w:tcW w:w="1701" w:type="dxa"/>
          </w:tcPr>
          <w:p w14:paraId="3C3498D4" w14:textId="77777777" w:rsidR="00AD1F54" w:rsidRPr="00264D5D" w:rsidRDefault="00941227">
            <w:pPr>
              <w:pStyle w:val="EBTablenorm"/>
              <w:ind w:left="57" w:right="57"/>
              <w:jc w:val="left"/>
              <w:rPr>
                <w:sz w:val="22"/>
                <w:szCs w:val="22"/>
                <w:lang w:val="en-US"/>
              </w:rPr>
            </w:pPr>
            <w:r w:rsidRPr="00264D5D">
              <w:rPr>
                <w:sz w:val="22"/>
                <w:szCs w:val="22"/>
                <w:lang w:val="en-US"/>
              </w:rPr>
              <w:t>ConfirmationCode</w:t>
            </w:r>
          </w:p>
        </w:tc>
        <w:tc>
          <w:tcPr>
            <w:tcW w:w="567" w:type="dxa"/>
          </w:tcPr>
          <w:p w14:paraId="48D7D4C2" w14:textId="77777777" w:rsidR="00AD1F54" w:rsidRPr="00264D5D" w:rsidRDefault="00941227">
            <w:pPr>
              <w:spacing w:before="60" w:after="60"/>
              <w:jc w:val="center"/>
              <w:rPr>
                <w:sz w:val="22"/>
                <w:szCs w:val="22"/>
              </w:rPr>
            </w:pPr>
            <w:r w:rsidRPr="00264D5D">
              <w:rPr>
                <w:sz w:val="22"/>
                <w:szCs w:val="22"/>
              </w:rPr>
              <w:t>П</w:t>
            </w:r>
          </w:p>
        </w:tc>
        <w:tc>
          <w:tcPr>
            <w:tcW w:w="1134" w:type="dxa"/>
          </w:tcPr>
          <w:p w14:paraId="1B09E4DB" w14:textId="77777777" w:rsidR="00AD1F54" w:rsidRPr="00264D5D" w:rsidRDefault="00941227">
            <w:pPr>
              <w:spacing w:before="60" w:after="60"/>
              <w:jc w:val="left"/>
              <w:rPr>
                <w:sz w:val="22"/>
                <w:szCs w:val="22"/>
              </w:rPr>
            </w:pPr>
            <w:r w:rsidRPr="00264D5D">
              <w:rPr>
                <w:sz w:val="22"/>
                <w:szCs w:val="22"/>
              </w:rPr>
              <w:t>string</w:t>
            </w:r>
          </w:p>
        </w:tc>
        <w:tc>
          <w:tcPr>
            <w:tcW w:w="567" w:type="dxa"/>
          </w:tcPr>
          <w:p w14:paraId="659D58E2" w14:textId="77777777" w:rsidR="00AD1F54" w:rsidRPr="00264D5D" w:rsidRDefault="00941227">
            <w:pPr>
              <w:spacing w:before="60" w:after="60"/>
              <w:jc w:val="center"/>
              <w:rPr>
                <w:sz w:val="22"/>
                <w:szCs w:val="22"/>
              </w:rPr>
            </w:pPr>
            <w:r w:rsidRPr="00264D5D">
              <w:rPr>
                <w:sz w:val="22"/>
                <w:szCs w:val="22"/>
              </w:rPr>
              <w:t>О</w:t>
            </w:r>
          </w:p>
        </w:tc>
        <w:tc>
          <w:tcPr>
            <w:tcW w:w="3963" w:type="dxa"/>
          </w:tcPr>
          <w:p w14:paraId="6067C033" w14:textId="77777777" w:rsidR="00AD1F54" w:rsidRPr="00264D5D" w:rsidRDefault="00941227">
            <w:pPr>
              <w:pStyle w:val="GOSTTablenorm"/>
              <w:rPr>
                <w:szCs w:val="22"/>
              </w:rPr>
            </w:pPr>
            <w:r w:rsidRPr="00264D5D">
              <w:rPr>
                <w:szCs w:val="22"/>
              </w:rPr>
              <w:t>Допустимые значения:</w:t>
            </w:r>
          </w:p>
          <w:p w14:paraId="0745462A" w14:textId="77777777" w:rsidR="00AD1F54" w:rsidRPr="00264D5D" w:rsidRDefault="00941227">
            <w:pPr>
              <w:pStyle w:val="GOSTTablenorm"/>
              <w:rPr>
                <w:szCs w:val="22"/>
              </w:rPr>
            </w:pPr>
            <w:r w:rsidRPr="00264D5D">
              <w:rPr>
                <w:szCs w:val="22"/>
              </w:rPr>
              <w:t xml:space="preserve">– </w:t>
            </w:r>
            <w:r w:rsidRPr="00264D5D">
              <w:rPr>
                <w:szCs w:val="22"/>
                <w:lang w:val="en-US"/>
              </w:rPr>
              <w:t>Always</w:t>
            </w:r>
            <w:r w:rsidRPr="00264D5D">
              <w:rPr>
                <w:szCs w:val="22"/>
              </w:rPr>
              <w:t>;</w:t>
            </w:r>
          </w:p>
          <w:p w14:paraId="07A16060" w14:textId="77777777" w:rsidR="00AD1F54" w:rsidRPr="00264D5D" w:rsidRDefault="00941227">
            <w:pPr>
              <w:pStyle w:val="GOSTTablenorm"/>
              <w:rPr>
                <w:szCs w:val="22"/>
                <w:lang w:eastAsia="en-US"/>
              </w:rPr>
            </w:pPr>
            <w:r w:rsidRPr="00264D5D">
              <w:rPr>
                <w:szCs w:val="22"/>
              </w:rPr>
              <w:lastRenderedPageBreak/>
              <w:t xml:space="preserve">– </w:t>
            </w:r>
            <w:r w:rsidRPr="00264D5D">
              <w:rPr>
                <w:szCs w:val="22"/>
                <w:lang w:val="en-US"/>
              </w:rPr>
              <w:t>Never</w:t>
            </w:r>
            <w:r w:rsidRPr="00264D5D">
              <w:rPr>
                <w:szCs w:val="22"/>
              </w:rPr>
              <w:t>.</w:t>
            </w:r>
            <w:r w:rsidRPr="00264D5D">
              <w:rPr>
                <w:szCs w:val="22"/>
                <w:lang w:eastAsia="en-US"/>
              </w:rPr>
              <w:t xml:space="preserve"> </w:t>
            </w:r>
          </w:p>
          <w:p w14:paraId="54FAEF4E" w14:textId="77777777" w:rsidR="00AD1F54" w:rsidRPr="00264D5D" w:rsidRDefault="00941227">
            <w:pPr>
              <w:spacing w:before="60" w:after="60"/>
              <w:rPr>
                <w:sz w:val="22"/>
                <w:szCs w:val="22"/>
                <w:lang w:eastAsia="en-US"/>
              </w:rPr>
            </w:pPr>
            <w:r w:rsidRPr="00264D5D">
              <w:rPr>
                <w:sz w:val="22"/>
                <w:szCs w:val="22"/>
                <w:lang w:eastAsia="en-US"/>
              </w:rPr>
              <w:t>При значении «</w:t>
            </w:r>
            <w:r w:rsidRPr="00264D5D">
              <w:rPr>
                <w:sz w:val="22"/>
                <w:szCs w:val="22"/>
                <w:lang w:val="en-US"/>
              </w:rPr>
              <w:t>Always</w:t>
            </w:r>
            <w:r w:rsidRPr="00264D5D">
              <w:rPr>
                <w:sz w:val="22"/>
                <w:szCs w:val="22"/>
              </w:rPr>
              <w:t xml:space="preserve">» в ответ на отправленный документ будет возвращаться </w:t>
            </w:r>
            <w:r w:rsidR="005A204F" w:rsidRPr="00264D5D">
              <w:rPr>
                <w:sz w:val="22"/>
                <w:szCs w:val="22"/>
              </w:rPr>
              <w:t>сообщение о результате доставки</w:t>
            </w:r>
          </w:p>
        </w:tc>
      </w:tr>
      <w:tr w:rsidR="00AD1F54" w:rsidRPr="00264D5D" w14:paraId="25FF152D" w14:textId="77777777" w:rsidTr="00AD1F54">
        <w:trPr>
          <w:cnfStyle w:val="000000010000" w:firstRow="0" w:lastRow="0" w:firstColumn="0" w:lastColumn="0" w:oddVBand="0" w:evenVBand="0" w:oddHBand="0" w:evenHBand="1" w:firstRowFirstColumn="0" w:firstRowLastColumn="0" w:lastRowFirstColumn="0" w:lastRowLastColumn="0"/>
        </w:trPr>
        <w:tc>
          <w:tcPr>
            <w:tcW w:w="1703" w:type="dxa"/>
          </w:tcPr>
          <w:p w14:paraId="680B89D0" w14:textId="77777777" w:rsidR="00AD1F54" w:rsidRPr="00264D5D" w:rsidRDefault="00941227">
            <w:pPr>
              <w:pStyle w:val="EBTablenorm"/>
              <w:ind w:left="57" w:right="57"/>
              <w:jc w:val="left"/>
              <w:rPr>
                <w:sz w:val="22"/>
                <w:szCs w:val="22"/>
              </w:rPr>
            </w:pPr>
            <w:r w:rsidRPr="00264D5D">
              <w:rPr>
                <w:sz w:val="22"/>
                <w:szCs w:val="22"/>
                <w:lang w:val="en-US"/>
              </w:rPr>
              <w:lastRenderedPageBreak/>
              <w:t>ID компоненты</w:t>
            </w:r>
          </w:p>
        </w:tc>
        <w:tc>
          <w:tcPr>
            <w:tcW w:w="1701" w:type="dxa"/>
          </w:tcPr>
          <w:p w14:paraId="1DB2E84D" w14:textId="77777777" w:rsidR="00AD1F54" w:rsidRPr="00264D5D" w:rsidRDefault="00941227">
            <w:pPr>
              <w:pStyle w:val="EBTablenorm"/>
              <w:ind w:left="57" w:right="57"/>
              <w:jc w:val="left"/>
              <w:rPr>
                <w:sz w:val="22"/>
                <w:szCs w:val="22"/>
                <w:lang w:val="en-US"/>
              </w:rPr>
            </w:pPr>
            <w:r w:rsidRPr="00264D5D">
              <w:rPr>
                <w:sz w:val="22"/>
                <w:szCs w:val="22"/>
                <w:lang w:val="en-US"/>
              </w:rPr>
              <w:t>AuthorizationID</w:t>
            </w:r>
          </w:p>
        </w:tc>
        <w:tc>
          <w:tcPr>
            <w:tcW w:w="567" w:type="dxa"/>
          </w:tcPr>
          <w:p w14:paraId="73868F7C" w14:textId="77777777" w:rsidR="00AD1F54" w:rsidRPr="00264D5D" w:rsidRDefault="00941227">
            <w:pPr>
              <w:spacing w:before="60" w:after="60"/>
              <w:jc w:val="center"/>
              <w:rPr>
                <w:sz w:val="22"/>
                <w:szCs w:val="22"/>
              </w:rPr>
            </w:pPr>
            <w:r w:rsidRPr="00264D5D">
              <w:rPr>
                <w:sz w:val="22"/>
                <w:szCs w:val="22"/>
              </w:rPr>
              <w:t>П</w:t>
            </w:r>
          </w:p>
        </w:tc>
        <w:tc>
          <w:tcPr>
            <w:tcW w:w="1134" w:type="dxa"/>
          </w:tcPr>
          <w:p w14:paraId="0C3B8D1F" w14:textId="77777777" w:rsidR="00AD1F54" w:rsidRPr="00264D5D" w:rsidRDefault="00941227">
            <w:pPr>
              <w:spacing w:before="60" w:after="60"/>
              <w:jc w:val="left"/>
              <w:rPr>
                <w:sz w:val="22"/>
                <w:szCs w:val="22"/>
              </w:rPr>
            </w:pPr>
            <w:r w:rsidRPr="00264D5D">
              <w:rPr>
                <w:sz w:val="22"/>
                <w:szCs w:val="22"/>
              </w:rPr>
              <w:t>string</w:t>
            </w:r>
          </w:p>
        </w:tc>
        <w:tc>
          <w:tcPr>
            <w:tcW w:w="567" w:type="dxa"/>
          </w:tcPr>
          <w:p w14:paraId="63A1A884" w14:textId="77777777" w:rsidR="00AD1F54" w:rsidRPr="00264D5D" w:rsidRDefault="00941227">
            <w:pPr>
              <w:spacing w:before="60" w:after="60"/>
              <w:jc w:val="center"/>
              <w:rPr>
                <w:sz w:val="22"/>
                <w:szCs w:val="22"/>
              </w:rPr>
            </w:pPr>
            <w:r w:rsidRPr="00264D5D">
              <w:rPr>
                <w:sz w:val="22"/>
                <w:szCs w:val="22"/>
              </w:rPr>
              <w:t>О</w:t>
            </w:r>
          </w:p>
        </w:tc>
        <w:tc>
          <w:tcPr>
            <w:tcW w:w="3963" w:type="dxa"/>
          </w:tcPr>
          <w:p w14:paraId="4BCAAA04" w14:textId="77777777" w:rsidR="00AD1F54" w:rsidRPr="00264D5D" w:rsidRDefault="00941227">
            <w:pPr>
              <w:pStyle w:val="GOSTTablenorm"/>
              <w:rPr>
                <w:szCs w:val="22"/>
              </w:rPr>
            </w:pPr>
            <w:r w:rsidRPr="00264D5D">
              <w:rPr>
                <w:szCs w:val="22"/>
              </w:rPr>
              <w:t>Не используется.</w:t>
            </w:r>
          </w:p>
          <w:p w14:paraId="38E94208" w14:textId="77777777" w:rsidR="00AD1F54" w:rsidRPr="00264D5D" w:rsidRDefault="00941227">
            <w:pPr>
              <w:pStyle w:val="GOSTTablenorm"/>
              <w:rPr>
                <w:szCs w:val="22"/>
              </w:rPr>
            </w:pPr>
            <w:r w:rsidRPr="00264D5D">
              <w:rPr>
                <w:szCs w:val="22"/>
              </w:rPr>
              <w:t>Передается в виде:</w:t>
            </w:r>
          </w:p>
          <w:p w14:paraId="6796F9EE" w14:textId="77777777" w:rsidR="00AD1F54" w:rsidRPr="00264D5D" w:rsidRDefault="005A204F">
            <w:pPr>
              <w:spacing w:before="60" w:after="60"/>
              <w:rPr>
                <w:sz w:val="22"/>
                <w:szCs w:val="22"/>
              </w:rPr>
            </w:pPr>
            <w:r w:rsidRPr="00264D5D">
              <w:rPr>
                <w:sz w:val="22"/>
                <w:szCs w:val="22"/>
              </w:rPr>
              <w:t>&lt;AuthorizationID/&gt;</w:t>
            </w:r>
          </w:p>
        </w:tc>
      </w:tr>
    </w:tbl>
    <w:p w14:paraId="45DC2089" w14:textId="77777777" w:rsidR="00AD1F54" w:rsidRPr="00264D5D" w:rsidRDefault="00AD1F54">
      <w:pPr>
        <w:pStyle w:val="GOSTNormal"/>
      </w:pPr>
    </w:p>
    <w:p w14:paraId="28D902A9" w14:textId="61DB9A20" w:rsidR="00AD1F54" w:rsidRPr="00264D5D" w:rsidRDefault="001E5517">
      <w:pPr>
        <w:pStyle w:val="GOSTNameTable"/>
        <w:numPr>
          <w:ilvl w:val="0"/>
          <w:numId w:val="2"/>
        </w:numPr>
        <w:tabs>
          <w:tab w:val="left" w:pos="993"/>
        </w:tabs>
        <w:ind w:left="425" w:hanging="357"/>
      </w:pPr>
      <w:r w:rsidRPr="00264D5D">
        <w:rPr>
          <w:noProof/>
        </w:rPr>
        <w:fldChar w:fldCharType="begin"/>
      </w:r>
      <w:r w:rsidRPr="00264D5D">
        <w:rPr>
          <w:noProof/>
        </w:rPr>
        <w:instrText xml:space="preserve"> SEQ Таблица \* ARABIC </w:instrText>
      </w:r>
      <w:r w:rsidRPr="00264D5D">
        <w:rPr>
          <w:noProof/>
        </w:rPr>
        <w:fldChar w:fldCharType="separate"/>
      </w:r>
      <w:bookmarkStart w:id="565" w:name="_Ref519667039"/>
      <w:bookmarkStart w:id="566" w:name="_Toc219309049"/>
      <w:r w:rsidR="008D797C">
        <w:rPr>
          <w:noProof/>
        </w:rPr>
        <w:t>19</w:t>
      </w:r>
      <w:bookmarkEnd w:id="565"/>
      <w:r w:rsidRPr="00264D5D">
        <w:rPr>
          <w:noProof/>
        </w:rPr>
        <w:fldChar w:fldCharType="end"/>
      </w:r>
      <w:r w:rsidR="00941227" w:rsidRPr="00264D5D">
        <w:rPr>
          <w:rFonts w:eastAsia="Calibri"/>
          <w:szCs w:val="24"/>
        </w:rPr>
        <w:t xml:space="preserve"> – </w:t>
      </w:r>
      <w:r w:rsidR="00941227" w:rsidRPr="00264D5D">
        <w:t>Описание составного элемента «UserArea»</w:t>
      </w:r>
      <w:bookmarkEnd w:id="566"/>
    </w:p>
    <w:tbl>
      <w:tblPr>
        <w:tblStyle w:val="GOSTTable"/>
        <w:tblW w:w="5000" w:type="pct"/>
        <w:tblLayout w:type="fixed"/>
        <w:tblLook w:val="01E0" w:firstRow="1" w:lastRow="1" w:firstColumn="1" w:lastColumn="1" w:noHBand="0" w:noVBand="0"/>
      </w:tblPr>
      <w:tblGrid>
        <w:gridCol w:w="1705"/>
        <w:gridCol w:w="1704"/>
        <w:gridCol w:w="568"/>
        <w:gridCol w:w="1136"/>
        <w:gridCol w:w="568"/>
        <w:gridCol w:w="3969"/>
      </w:tblGrid>
      <w:tr w:rsidR="00AD1F54" w:rsidRPr="00264D5D" w14:paraId="7E5E5203"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3" w:type="dxa"/>
          </w:tcPr>
          <w:p w14:paraId="2847CD89" w14:textId="77777777" w:rsidR="00AD1F54" w:rsidRPr="00264D5D" w:rsidRDefault="00941227">
            <w:pPr>
              <w:spacing w:before="60" w:after="60"/>
              <w:ind w:left="57" w:right="57"/>
              <w:jc w:val="center"/>
              <w:rPr>
                <w:b/>
                <w:sz w:val="22"/>
                <w:szCs w:val="22"/>
              </w:rPr>
            </w:pPr>
            <w:r w:rsidRPr="00264D5D">
              <w:rPr>
                <w:b/>
                <w:bCs/>
                <w:sz w:val="22"/>
                <w:szCs w:val="22"/>
              </w:rPr>
              <w:t>Наименование комплексного типа</w:t>
            </w:r>
          </w:p>
        </w:tc>
        <w:tc>
          <w:tcPr>
            <w:tcW w:w="1701" w:type="dxa"/>
          </w:tcPr>
          <w:p w14:paraId="65A4C6D3" w14:textId="77777777" w:rsidR="00AD1F54" w:rsidRPr="00264D5D" w:rsidRDefault="00941227">
            <w:pPr>
              <w:spacing w:before="60" w:after="60"/>
              <w:ind w:left="57" w:right="57"/>
              <w:jc w:val="center"/>
              <w:rPr>
                <w:b/>
                <w:sz w:val="22"/>
                <w:szCs w:val="22"/>
              </w:rPr>
            </w:pPr>
            <w:r w:rsidRPr="00264D5D">
              <w:rPr>
                <w:b/>
                <w:bCs/>
                <w:sz w:val="22"/>
                <w:szCs w:val="22"/>
              </w:rPr>
              <w:t>Текущий элемент/ атрибут</w:t>
            </w:r>
          </w:p>
        </w:tc>
        <w:tc>
          <w:tcPr>
            <w:tcW w:w="567" w:type="dxa"/>
          </w:tcPr>
          <w:p w14:paraId="7D6C867B" w14:textId="77777777" w:rsidR="00AD1F54" w:rsidRPr="00264D5D" w:rsidRDefault="00941227">
            <w:pPr>
              <w:spacing w:before="60" w:after="60"/>
              <w:ind w:left="57" w:right="57"/>
              <w:jc w:val="center"/>
              <w:rPr>
                <w:b/>
                <w:sz w:val="22"/>
                <w:szCs w:val="22"/>
              </w:rPr>
            </w:pPr>
            <w:r w:rsidRPr="00264D5D">
              <w:rPr>
                <w:b/>
                <w:bCs/>
                <w:sz w:val="22"/>
                <w:szCs w:val="22"/>
              </w:rPr>
              <w:t>Тип</w:t>
            </w:r>
          </w:p>
        </w:tc>
        <w:tc>
          <w:tcPr>
            <w:tcW w:w="1134" w:type="dxa"/>
          </w:tcPr>
          <w:p w14:paraId="47702A39" w14:textId="77777777" w:rsidR="00AD1F54" w:rsidRPr="00264D5D" w:rsidRDefault="00941227">
            <w:pPr>
              <w:spacing w:before="60" w:after="60"/>
              <w:ind w:left="57" w:right="57"/>
              <w:jc w:val="center"/>
              <w:rPr>
                <w:b/>
                <w:sz w:val="22"/>
                <w:szCs w:val="22"/>
              </w:rPr>
            </w:pPr>
            <w:r w:rsidRPr="00264D5D">
              <w:rPr>
                <w:b/>
                <w:bCs/>
                <w:sz w:val="22"/>
                <w:szCs w:val="22"/>
              </w:rPr>
              <w:t>Формат элемента</w:t>
            </w:r>
          </w:p>
        </w:tc>
        <w:tc>
          <w:tcPr>
            <w:tcW w:w="567" w:type="dxa"/>
          </w:tcPr>
          <w:p w14:paraId="3510AB31" w14:textId="77777777" w:rsidR="00AD1F54" w:rsidRPr="00264D5D" w:rsidRDefault="00941227">
            <w:pPr>
              <w:spacing w:before="60" w:after="60"/>
              <w:ind w:left="57" w:right="57"/>
              <w:jc w:val="center"/>
              <w:rPr>
                <w:b/>
                <w:sz w:val="22"/>
                <w:szCs w:val="22"/>
              </w:rPr>
            </w:pPr>
            <w:r w:rsidRPr="00264D5D">
              <w:rPr>
                <w:b/>
                <w:bCs/>
                <w:sz w:val="22"/>
                <w:szCs w:val="22"/>
              </w:rPr>
              <w:t>Обязательность</w:t>
            </w:r>
          </w:p>
        </w:tc>
        <w:tc>
          <w:tcPr>
            <w:tcW w:w="3963" w:type="dxa"/>
          </w:tcPr>
          <w:p w14:paraId="5B845283" w14:textId="77777777" w:rsidR="00AD1F54" w:rsidRPr="00264D5D" w:rsidRDefault="00941227">
            <w:pPr>
              <w:spacing w:before="60" w:after="60"/>
              <w:ind w:left="57" w:right="57"/>
              <w:jc w:val="center"/>
              <w:rPr>
                <w:b/>
                <w:sz w:val="22"/>
                <w:szCs w:val="22"/>
              </w:rPr>
            </w:pPr>
            <w:r w:rsidRPr="00264D5D">
              <w:rPr>
                <w:b/>
                <w:bCs/>
                <w:sz w:val="22"/>
                <w:szCs w:val="22"/>
              </w:rPr>
              <w:t>Дополнительная информация</w:t>
            </w:r>
          </w:p>
        </w:tc>
      </w:tr>
      <w:tr w:rsidR="00AD1F54" w:rsidRPr="00264D5D" w14:paraId="7FD29B30" w14:textId="77777777" w:rsidTr="00AD1F54">
        <w:trPr>
          <w:cnfStyle w:val="000000100000" w:firstRow="0" w:lastRow="0" w:firstColumn="0" w:lastColumn="0" w:oddVBand="0" w:evenVBand="0" w:oddHBand="1" w:evenHBand="0" w:firstRowFirstColumn="0" w:firstRowLastColumn="0" w:lastRowFirstColumn="0" w:lastRowLastColumn="0"/>
        </w:trPr>
        <w:tc>
          <w:tcPr>
            <w:tcW w:w="1703" w:type="dxa"/>
          </w:tcPr>
          <w:p w14:paraId="037D48E9" w14:textId="77777777" w:rsidR="00AD1F54" w:rsidRPr="00264D5D" w:rsidRDefault="00941227">
            <w:pPr>
              <w:spacing w:before="60" w:after="60"/>
              <w:rPr>
                <w:sz w:val="22"/>
                <w:szCs w:val="22"/>
              </w:rPr>
            </w:pPr>
            <w:r w:rsidRPr="00264D5D">
              <w:rPr>
                <w:sz w:val="22"/>
                <w:szCs w:val="22"/>
              </w:rPr>
              <w:t xml:space="preserve">Группа свойств расширений </w:t>
            </w:r>
          </w:p>
        </w:tc>
        <w:tc>
          <w:tcPr>
            <w:tcW w:w="1701" w:type="dxa"/>
          </w:tcPr>
          <w:p w14:paraId="7862C405" w14:textId="77777777" w:rsidR="00AD1F54" w:rsidRPr="00264D5D" w:rsidRDefault="00941227">
            <w:pPr>
              <w:spacing w:before="60" w:after="60"/>
              <w:rPr>
                <w:sz w:val="22"/>
                <w:szCs w:val="22"/>
                <w:lang w:val="en-US"/>
              </w:rPr>
            </w:pPr>
            <w:r w:rsidRPr="00264D5D">
              <w:rPr>
                <w:sz w:val="22"/>
                <w:szCs w:val="22"/>
                <w:lang w:val="en-US"/>
              </w:rPr>
              <w:t>Group</w:t>
            </w:r>
          </w:p>
        </w:tc>
        <w:tc>
          <w:tcPr>
            <w:tcW w:w="567" w:type="dxa"/>
          </w:tcPr>
          <w:p w14:paraId="0006E88F" w14:textId="77777777" w:rsidR="00AD1F54" w:rsidRPr="00264D5D" w:rsidRDefault="00941227">
            <w:pPr>
              <w:spacing w:before="60" w:after="60"/>
              <w:jc w:val="center"/>
              <w:rPr>
                <w:sz w:val="22"/>
                <w:szCs w:val="22"/>
              </w:rPr>
            </w:pPr>
            <w:r w:rsidRPr="00264D5D">
              <w:rPr>
                <w:sz w:val="22"/>
                <w:szCs w:val="22"/>
              </w:rPr>
              <w:t>С</w:t>
            </w:r>
          </w:p>
        </w:tc>
        <w:tc>
          <w:tcPr>
            <w:tcW w:w="1134" w:type="dxa"/>
          </w:tcPr>
          <w:p w14:paraId="2414696D" w14:textId="77777777" w:rsidR="00AD1F54" w:rsidRPr="00264D5D" w:rsidRDefault="00941227">
            <w:pPr>
              <w:spacing w:before="60" w:after="60"/>
              <w:rPr>
                <w:sz w:val="22"/>
                <w:szCs w:val="22"/>
              </w:rPr>
            </w:pPr>
            <w:r w:rsidRPr="00264D5D">
              <w:rPr>
                <w:sz w:val="22"/>
                <w:szCs w:val="22"/>
              </w:rPr>
              <w:t>-</w:t>
            </w:r>
          </w:p>
        </w:tc>
        <w:tc>
          <w:tcPr>
            <w:tcW w:w="567" w:type="dxa"/>
          </w:tcPr>
          <w:p w14:paraId="3E1D4C45" w14:textId="77777777" w:rsidR="00AD1F54" w:rsidRPr="00264D5D" w:rsidRDefault="00941227">
            <w:pPr>
              <w:spacing w:before="60" w:after="60"/>
              <w:jc w:val="center"/>
              <w:rPr>
                <w:sz w:val="22"/>
                <w:szCs w:val="22"/>
              </w:rPr>
            </w:pPr>
            <w:r w:rsidRPr="00264D5D">
              <w:rPr>
                <w:sz w:val="22"/>
                <w:szCs w:val="22"/>
              </w:rPr>
              <w:t>ОМ</w:t>
            </w:r>
          </w:p>
        </w:tc>
        <w:tc>
          <w:tcPr>
            <w:tcW w:w="3963" w:type="dxa"/>
          </w:tcPr>
          <w:p w14:paraId="0503DA19" w14:textId="45D302E6" w:rsidR="00AD1F54" w:rsidRPr="00264D5D" w:rsidRDefault="00941227">
            <w:pPr>
              <w:spacing w:before="60" w:after="60"/>
              <w:rPr>
                <w:sz w:val="22"/>
                <w:szCs w:val="22"/>
              </w:rPr>
            </w:pPr>
            <w:r w:rsidRPr="00264D5D">
              <w:rPr>
                <w:sz w:val="22"/>
                <w:szCs w:val="22"/>
              </w:rPr>
              <w:t xml:space="preserve">Состав элемента представлен в таблице </w:t>
            </w:r>
            <w:r w:rsidRPr="00264D5D">
              <w:rPr>
                <w:b/>
                <w:sz w:val="22"/>
                <w:szCs w:val="22"/>
              </w:rPr>
              <w:fldChar w:fldCharType="begin"/>
            </w:r>
            <w:r w:rsidRPr="00264D5D">
              <w:rPr>
                <w:b/>
                <w:sz w:val="22"/>
                <w:szCs w:val="22"/>
              </w:rPr>
              <w:instrText xml:space="preserve"> REF _Ref519667108 \h  \* MERGEFORMAT </w:instrText>
            </w:r>
            <w:r w:rsidRPr="00264D5D">
              <w:rPr>
                <w:b/>
                <w:sz w:val="22"/>
                <w:szCs w:val="22"/>
              </w:rPr>
            </w:r>
            <w:r w:rsidRPr="00264D5D">
              <w:rPr>
                <w:b/>
                <w:sz w:val="22"/>
                <w:szCs w:val="22"/>
              </w:rPr>
              <w:fldChar w:fldCharType="separate"/>
            </w:r>
            <w:r w:rsidR="008D797C" w:rsidRPr="008D797C">
              <w:rPr>
                <w:b/>
                <w:sz w:val="22"/>
                <w:szCs w:val="22"/>
              </w:rPr>
              <w:t>20</w:t>
            </w:r>
            <w:r w:rsidRPr="00264D5D">
              <w:rPr>
                <w:b/>
                <w:sz w:val="22"/>
                <w:szCs w:val="22"/>
              </w:rPr>
              <w:fldChar w:fldCharType="end"/>
            </w:r>
          </w:p>
        </w:tc>
      </w:tr>
    </w:tbl>
    <w:p w14:paraId="4D9883C9" w14:textId="77777777" w:rsidR="00AD1F54" w:rsidRPr="00264D5D" w:rsidRDefault="00AD1F54">
      <w:pPr>
        <w:pStyle w:val="GOSTNormal"/>
      </w:pPr>
    </w:p>
    <w:p w14:paraId="6F049FE4" w14:textId="62F77673" w:rsidR="00AD1F54" w:rsidRPr="00264D5D" w:rsidRDefault="001E5517">
      <w:pPr>
        <w:pStyle w:val="GOSTNameTable"/>
        <w:numPr>
          <w:ilvl w:val="0"/>
          <w:numId w:val="2"/>
        </w:numPr>
        <w:ind w:left="425" w:hanging="357"/>
      </w:pPr>
      <w:r w:rsidRPr="00264D5D">
        <w:rPr>
          <w:noProof/>
        </w:rPr>
        <w:fldChar w:fldCharType="begin"/>
      </w:r>
      <w:r w:rsidRPr="00264D5D">
        <w:rPr>
          <w:noProof/>
        </w:rPr>
        <w:instrText xml:space="preserve"> SEQ Таблица \* ARABIC </w:instrText>
      </w:r>
      <w:r w:rsidRPr="00264D5D">
        <w:rPr>
          <w:noProof/>
        </w:rPr>
        <w:fldChar w:fldCharType="separate"/>
      </w:r>
      <w:bookmarkStart w:id="567" w:name="_Ref519667108"/>
      <w:bookmarkStart w:id="568" w:name="_Toc219309050"/>
      <w:r w:rsidR="008D797C">
        <w:rPr>
          <w:noProof/>
        </w:rPr>
        <w:t>20</w:t>
      </w:r>
      <w:bookmarkEnd w:id="567"/>
      <w:r w:rsidRPr="00264D5D">
        <w:rPr>
          <w:noProof/>
        </w:rPr>
        <w:fldChar w:fldCharType="end"/>
      </w:r>
      <w:r w:rsidR="00941227" w:rsidRPr="00264D5D">
        <w:rPr>
          <w:rFonts w:eastAsia="Calibri"/>
          <w:szCs w:val="24"/>
        </w:rPr>
        <w:t xml:space="preserve"> – </w:t>
      </w:r>
      <w:r w:rsidR="00941227" w:rsidRPr="00264D5D">
        <w:t>Описание составного элемента</w:t>
      </w:r>
      <w:r w:rsidR="00941227" w:rsidRPr="00264D5D">
        <w:rPr>
          <w:lang w:val="en-US"/>
        </w:rPr>
        <w:t xml:space="preserve"> </w:t>
      </w:r>
      <w:r w:rsidR="00941227" w:rsidRPr="00264D5D">
        <w:t>«</w:t>
      </w:r>
      <w:r w:rsidR="00941227" w:rsidRPr="00264D5D">
        <w:rPr>
          <w:lang w:val="en-US"/>
        </w:rPr>
        <w:t>Group</w:t>
      </w:r>
      <w:r w:rsidR="00941227" w:rsidRPr="00264D5D">
        <w:t>»</w:t>
      </w:r>
      <w:bookmarkEnd w:id="568"/>
    </w:p>
    <w:tbl>
      <w:tblPr>
        <w:tblStyle w:val="GOSTTable"/>
        <w:tblW w:w="5000" w:type="pct"/>
        <w:tblLayout w:type="fixed"/>
        <w:tblLook w:val="01E0" w:firstRow="1" w:lastRow="1" w:firstColumn="1" w:lastColumn="1" w:noHBand="0" w:noVBand="0"/>
      </w:tblPr>
      <w:tblGrid>
        <w:gridCol w:w="1704"/>
        <w:gridCol w:w="1704"/>
        <w:gridCol w:w="568"/>
        <w:gridCol w:w="1136"/>
        <w:gridCol w:w="568"/>
        <w:gridCol w:w="3970"/>
      </w:tblGrid>
      <w:tr w:rsidR="00AD1F54" w:rsidRPr="00264D5D" w14:paraId="46CF6BFF"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2" w:type="dxa"/>
          </w:tcPr>
          <w:p w14:paraId="1F76E0EC" w14:textId="77777777" w:rsidR="00AD1F54" w:rsidRPr="00264D5D" w:rsidRDefault="00941227">
            <w:pPr>
              <w:spacing w:before="60" w:after="60"/>
              <w:ind w:left="57" w:right="57"/>
              <w:jc w:val="center"/>
              <w:rPr>
                <w:b/>
                <w:sz w:val="22"/>
                <w:szCs w:val="22"/>
              </w:rPr>
            </w:pPr>
            <w:r w:rsidRPr="00264D5D">
              <w:rPr>
                <w:b/>
                <w:bCs/>
                <w:sz w:val="22"/>
                <w:szCs w:val="22"/>
              </w:rPr>
              <w:t>Наименование комплексного типа</w:t>
            </w:r>
          </w:p>
        </w:tc>
        <w:tc>
          <w:tcPr>
            <w:tcW w:w="1701" w:type="dxa"/>
          </w:tcPr>
          <w:p w14:paraId="2E9F7136" w14:textId="77777777" w:rsidR="00AD1F54" w:rsidRPr="00264D5D" w:rsidRDefault="00941227">
            <w:pPr>
              <w:spacing w:before="60" w:after="60"/>
              <w:ind w:left="57" w:right="57"/>
              <w:jc w:val="center"/>
              <w:rPr>
                <w:b/>
                <w:sz w:val="22"/>
                <w:szCs w:val="22"/>
              </w:rPr>
            </w:pPr>
            <w:r w:rsidRPr="00264D5D">
              <w:rPr>
                <w:b/>
                <w:bCs/>
                <w:sz w:val="22"/>
                <w:szCs w:val="22"/>
              </w:rPr>
              <w:t>Текущий элемент/ атрибут</w:t>
            </w:r>
          </w:p>
        </w:tc>
        <w:tc>
          <w:tcPr>
            <w:tcW w:w="567" w:type="dxa"/>
          </w:tcPr>
          <w:p w14:paraId="35C6F64A" w14:textId="77777777" w:rsidR="00AD1F54" w:rsidRPr="00264D5D" w:rsidRDefault="00941227">
            <w:pPr>
              <w:spacing w:before="60" w:after="60"/>
              <w:ind w:left="57" w:right="57"/>
              <w:jc w:val="center"/>
              <w:rPr>
                <w:b/>
                <w:sz w:val="22"/>
                <w:szCs w:val="22"/>
              </w:rPr>
            </w:pPr>
            <w:r w:rsidRPr="00264D5D">
              <w:rPr>
                <w:b/>
                <w:bCs/>
                <w:sz w:val="22"/>
                <w:szCs w:val="22"/>
              </w:rPr>
              <w:t>Тип</w:t>
            </w:r>
          </w:p>
        </w:tc>
        <w:tc>
          <w:tcPr>
            <w:tcW w:w="1134" w:type="dxa"/>
          </w:tcPr>
          <w:p w14:paraId="2CE34E46" w14:textId="77777777" w:rsidR="00AD1F54" w:rsidRPr="00264D5D" w:rsidRDefault="00941227">
            <w:pPr>
              <w:spacing w:before="60" w:after="60"/>
              <w:ind w:left="57" w:right="57"/>
              <w:jc w:val="center"/>
              <w:rPr>
                <w:b/>
                <w:sz w:val="22"/>
                <w:szCs w:val="22"/>
              </w:rPr>
            </w:pPr>
            <w:r w:rsidRPr="00264D5D">
              <w:rPr>
                <w:b/>
                <w:bCs/>
                <w:sz w:val="22"/>
                <w:szCs w:val="22"/>
              </w:rPr>
              <w:t>Формат элемента</w:t>
            </w:r>
          </w:p>
        </w:tc>
        <w:tc>
          <w:tcPr>
            <w:tcW w:w="567" w:type="dxa"/>
          </w:tcPr>
          <w:p w14:paraId="273EA1A8" w14:textId="77777777" w:rsidR="00AD1F54" w:rsidRPr="00264D5D" w:rsidRDefault="00941227">
            <w:pPr>
              <w:spacing w:before="60" w:after="60"/>
              <w:ind w:left="57" w:right="57"/>
              <w:jc w:val="center"/>
              <w:rPr>
                <w:b/>
                <w:sz w:val="22"/>
                <w:szCs w:val="22"/>
              </w:rPr>
            </w:pPr>
            <w:r w:rsidRPr="00264D5D">
              <w:rPr>
                <w:b/>
                <w:bCs/>
                <w:sz w:val="22"/>
                <w:szCs w:val="22"/>
              </w:rPr>
              <w:t>Обязательность</w:t>
            </w:r>
          </w:p>
        </w:tc>
        <w:tc>
          <w:tcPr>
            <w:tcW w:w="3963" w:type="dxa"/>
          </w:tcPr>
          <w:p w14:paraId="28CC75C9" w14:textId="77777777" w:rsidR="00AD1F54" w:rsidRPr="00264D5D" w:rsidRDefault="00941227">
            <w:pPr>
              <w:spacing w:before="60" w:after="60"/>
              <w:ind w:left="57" w:right="57"/>
              <w:jc w:val="center"/>
              <w:rPr>
                <w:b/>
                <w:sz w:val="22"/>
                <w:szCs w:val="22"/>
              </w:rPr>
            </w:pPr>
            <w:r w:rsidRPr="00264D5D">
              <w:rPr>
                <w:b/>
                <w:bCs/>
                <w:sz w:val="22"/>
                <w:szCs w:val="22"/>
              </w:rPr>
              <w:t>Дополнительная информация</w:t>
            </w:r>
          </w:p>
        </w:tc>
      </w:tr>
      <w:tr w:rsidR="00AD1F54" w:rsidRPr="00264D5D" w14:paraId="70C1E052" w14:textId="77777777" w:rsidTr="00AD1F54">
        <w:trPr>
          <w:cnfStyle w:val="000000100000" w:firstRow="0" w:lastRow="0" w:firstColumn="0" w:lastColumn="0" w:oddVBand="0" w:evenVBand="0" w:oddHBand="1" w:evenHBand="0" w:firstRowFirstColumn="0" w:firstRowLastColumn="0" w:lastRowFirstColumn="0" w:lastRowLastColumn="0"/>
        </w:trPr>
        <w:tc>
          <w:tcPr>
            <w:tcW w:w="1702" w:type="dxa"/>
          </w:tcPr>
          <w:p w14:paraId="1E6EF685" w14:textId="77777777" w:rsidR="00AD1F54" w:rsidRPr="00264D5D" w:rsidRDefault="00941227">
            <w:pPr>
              <w:spacing w:before="60" w:after="60"/>
              <w:rPr>
                <w:sz w:val="22"/>
                <w:szCs w:val="22"/>
              </w:rPr>
            </w:pPr>
            <w:r w:rsidRPr="00264D5D">
              <w:rPr>
                <w:sz w:val="22"/>
                <w:szCs w:val="22"/>
              </w:rPr>
              <w:t>Идентификатор</w:t>
            </w:r>
          </w:p>
        </w:tc>
        <w:tc>
          <w:tcPr>
            <w:tcW w:w="1701" w:type="dxa"/>
          </w:tcPr>
          <w:p w14:paraId="21F420D6" w14:textId="77777777" w:rsidR="00AD1F54" w:rsidRPr="00264D5D" w:rsidRDefault="00941227">
            <w:pPr>
              <w:spacing w:before="60" w:after="60"/>
              <w:rPr>
                <w:sz w:val="22"/>
                <w:szCs w:val="22"/>
                <w:lang w:val="en-US"/>
              </w:rPr>
            </w:pPr>
            <w:r w:rsidRPr="00264D5D">
              <w:rPr>
                <w:sz w:val="22"/>
                <w:szCs w:val="22"/>
                <w:lang w:val="en-US"/>
              </w:rPr>
              <w:t>ID</w:t>
            </w:r>
          </w:p>
        </w:tc>
        <w:tc>
          <w:tcPr>
            <w:tcW w:w="567" w:type="dxa"/>
          </w:tcPr>
          <w:p w14:paraId="2D9C8763" w14:textId="77777777" w:rsidR="00AD1F54" w:rsidRPr="00264D5D" w:rsidRDefault="00941227">
            <w:pPr>
              <w:spacing w:before="60" w:after="60"/>
              <w:jc w:val="center"/>
              <w:rPr>
                <w:sz w:val="22"/>
                <w:szCs w:val="22"/>
              </w:rPr>
            </w:pPr>
            <w:r w:rsidRPr="00264D5D">
              <w:rPr>
                <w:sz w:val="22"/>
                <w:szCs w:val="22"/>
              </w:rPr>
              <w:t>А</w:t>
            </w:r>
          </w:p>
        </w:tc>
        <w:tc>
          <w:tcPr>
            <w:tcW w:w="1134" w:type="dxa"/>
          </w:tcPr>
          <w:p w14:paraId="6902AC0A" w14:textId="77777777" w:rsidR="00AD1F54" w:rsidRPr="00264D5D" w:rsidRDefault="00941227">
            <w:pPr>
              <w:spacing w:before="60" w:after="60"/>
              <w:rPr>
                <w:sz w:val="22"/>
                <w:szCs w:val="22"/>
              </w:rPr>
            </w:pPr>
            <w:r w:rsidRPr="00264D5D">
              <w:rPr>
                <w:sz w:val="22"/>
                <w:szCs w:val="22"/>
              </w:rPr>
              <w:t>-</w:t>
            </w:r>
          </w:p>
        </w:tc>
        <w:tc>
          <w:tcPr>
            <w:tcW w:w="567" w:type="dxa"/>
          </w:tcPr>
          <w:p w14:paraId="268EFBFD" w14:textId="77777777" w:rsidR="00AD1F54" w:rsidRPr="00264D5D" w:rsidRDefault="00941227">
            <w:pPr>
              <w:spacing w:before="60" w:after="60"/>
              <w:jc w:val="center"/>
              <w:rPr>
                <w:sz w:val="22"/>
                <w:szCs w:val="22"/>
              </w:rPr>
            </w:pPr>
            <w:r w:rsidRPr="00264D5D">
              <w:rPr>
                <w:sz w:val="22"/>
                <w:szCs w:val="22"/>
              </w:rPr>
              <w:t>О</w:t>
            </w:r>
          </w:p>
        </w:tc>
        <w:tc>
          <w:tcPr>
            <w:tcW w:w="3963" w:type="dxa"/>
          </w:tcPr>
          <w:p w14:paraId="5665D228" w14:textId="77777777" w:rsidR="00AD1F54" w:rsidRPr="00264D5D" w:rsidRDefault="00941227">
            <w:pPr>
              <w:pStyle w:val="GOSTTablenorm"/>
              <w:rPr>
                <w:szCs w:val="22"/>
                <w:lang w:eastAsia="en-US"/>
              </w:rPr>
            </w:pPr>
            <w:r w:rsidRPr="00264D5D">
              <w:rPr>
                <w:szCs w:val="22"/>
                <w:lang w:eastAsia="en-US"/>
              </w:rPr>
              <w:t xml:space="preserve">Указывается идентификатор расширения в формате </w:t>
            </w:r>
            <w:r w:rsidRPr="00264D5D">
              <w:rPr>
                <w:szCs w:val="22"/>
                <w:lang w:val="en-US" w:eastAsia="en-US"/>
              </w:rPr>
              <w:t>string</w:t>
            </w:r>
            <w:r w:rsidRPr="00264D5D">
              <w:rPr>
                <w:szCs w:val="22"/>
                <w:lang w:eastAsia="en-US"/>
              </w:rPr>
              <w:t>.</w:t>
            </w:r>
          </w:p>
          <w:p w14:paraId="1B3C19AE" w14:textId="77777777" w:rsidR="00AD1F54" w:rsidRPr="00264D5D" w:rsidRDefault="00941227">
            <w:pPr>
              <w:pStyle w:val="GOSTTablenorm"/>
              <w:rPr>
                <w:szCs w:val="22"/>
                <w:lang w:eastAsia="en-US"/>
              </w:rPr>
            </w:pPr>
            <w:r w:rsidRPr="00264D5D">
              <w:rPr>
                <w:szCs w:val="22"/>
                <w:lang w:eastAsia="en-US"/>
              </w:rPr>
              <w:t>Возможные значения:</w:t>
            </w:r>
          </w:p>
          <w:p w14:paraId="6BB1F72F" w14:textId="77777777" w:rsidR="00AD1F54" w:rsidRPr="00264D5D" w:rsidRDefault="00941227" w:rsidP="00101F62">
            <w:pPr>
              <w:pStyle w:val="GOSTTablenorm"/>
              <w:numPr>
                <w:ilvl w:val="0"/>
                <w:numId w:val="132"/>
              </w:numPr>
              <w:ind w:left="284" w:hanging="227"/>
              <w:rPr>
                <w:szCs w:val="22"/>
                <w:lang w:eastAsia="en-US"/>
              </w:rPr>
            </w:pPr>
            <w:r w:rsidRPr="00264D5D">
              <w:rPr>
                <w:szCs w:val="22"/>
                <w:lang w:eastAsia="en-US"/>
              </w:rPr>
              <w:t>«</w:t>
            </w:r>
            <w:r w:rsidRPr="00264D5D">
              <w:rPr>
                <w:szCs w:val="22"/>
                <w:lang w:val="en-US" w:eastAsia="en-US"/>
              </w:rPr>
              <w:t>Core</w:t>
            </w:r>
            <w:r w:rsidRPr="00264D5D">
              <w:rPr>
                <w:szCs w:val="22"/>
                <w:lang w:eastAsia="en-US"/>
              </w:rPr>
              <w:t>» – параметры ядра;</w:t>
            </w:r>
          </w:p>
          <w:p w14:paraId="2564B126" w14:textId="77777777" w:rsidR="00AD1F54" w:rsidRPr="00264D5D" w:rsidRDefault="00941227" w:rsidP="00101F62">
            <w:pPr>
              <w:pStyle w:val="GOSTTablenorm"/>
              <w:numPr>
                <w:ilvl w:val="0"/>
                <w:numId w:val="132"/>
              </w:numPr>
              <w:ind w:left="284" w:hanging="227"/>
              <w:rPr>
                <w:szCs w:val="22"/>
                <w:lang w:eastAsia="en-US"/>
              </w:rPr>
            </w:pPr>
            <w:r w:rsidRPr="00264D5D">
              <w:rPr>
                <w:szCs w:val="22"/>
                <w:lang w:eastAsia="en-US"/>
              </w:rPr>
              <w:t>«</w:t>
            </w:r>
            <w:r w:rsidRPr="00264D5D">
              <w:rPr>
                <w:szCs w:val="22"/>
                <w:lang w:val="en-US" w:eastAsia="en-US"/>
              </w:rPr>
              <w:t>KPO</w:t>
            </w:r>
            <w:r w:rsidRPr="00264D5D">
              <w:rPr>
                <w:szCs w:val="22"/>
                <w:lang w:eastAsia="en-US"/>
              </w:rPr>
              <w:t>» – параметры выгрузки;</w:t>
            </w:r>
          </w:p>
          <w:p w14:paraId="22ECC803" w14:textId="77777777" w:rsidR="00AD1F54" w:rsidRPr="00264D5D" w:rsidRDefault="00941227" w:rsidP="00101F62">
            <w:pPr>
              <w:pStyle w:val="af5"/>
              <w:numPr>
                <w:ilvl w:val="0"/>
                <w:numId w:val="132"/>
              </w:numPr>
              <w:spacing w:before="60" w:after="60"/>
              <w:ind w:left="284" w:hanging="227"/>
              <w:jc w:val="both"/>
              <w:rPr>
                <w:sz w:val="22"/>
                <w:szCs w:val="22"/>
              </w:rPr>
            </w:pPr>
            <w:r w:rsidRPr="00264D5D">
              <w:rPr>
                <w:sz w:val="22"/>
                <w:szCs w:val="22"/>
                <w:lang w:eastAsia="en-US"/>
              </w:rPr>
              <w:t>«</w:t>
            </w:r>
            <w:r w:rsidRPr="00264D5D">
              <w:rPr>
                <w:sz w:val="22"/>
                <w:szCs w:val="22"/>
                <w:lang w:val="en-US" w:eastAsia="en-US"/>
              </w:rPr>
              <w:t>SB</w:t>
            </w:r>
            <w:r w:rsidRPr="00264D5D">
              <w:rPr>
                <w:sz w:val="22"/>
                <w:szCs w:val="22"/>
                <w:lang w:eastAsia="en-US"/>
              </w:rPr>
              <w:t>» –</w:t>
            </w:r>
            <w:r w:rsidR="005A204F" w:rsidRPr="00264D5D">
              <w:rPr>
                <w:sz w:val="22"/>
                <w:szCs w:val="22"/>
                <w:lang w:eastAsia="en-US"/>
              </w:rPr>
              <w:t xml:space="preserve"> параметры сервера безопасности</w:t>
            </w:r>
          </w:p>
        </w:tc>
      </w:tr>
      <w:tr w:rsidR="00AD1F54" w:rsidRPr="00264D5D" w14:paraId="369C9821" w14:textId="77777777" w:rsidTr="00AD1F54">
        <w:trPr>
          <w:cnfStyle w:val="000000010000" w:firstRow="0" w:lastRow="0" w:firstColumn="0" w:lastColumn="0" w:oddVBand="0" w:evenVBand="0" w:oddHBand="0" w:evenHBand="1" w:firstRowFirstColumn="0" w:firstRowLastColumn="0" w:lastRowFirstColumn="0" w:lastRowLastColumn="0"/>
        </w:trPr>
        <w:tc>
          <w:tcPr>
            <w:tcW w:w="1702" w:type="dxa"/>
          </w:tcPr>
          <w:p w14:paraId="58C7A3B2" w14:textId="77777777" w:rsidR="00AD1F54" w:rsidRPr="00264D5D" w:rsidRDefault="00941227">
            <w:pPr>
              <w:spacing w:before="60" w:after="60"/>
              <w:rPr>
                <w:sz w:val="22"/>
                <w:szCs w:val="22"/>
              </w:rPr>
            </w:pPr>
            <w:r w:rsidRPr="00264D5D">
              <w:rPr>
                <w:sz w:val="22"/>
                <w:szCs w:val="22"/>
              </w:rPr>
              <w:t xml:space="preserve">Свойства расширений </w:t>
            </w:r>
          </w:p>
        </w:tc>
        <w:tc>
          <w:tcPr>
            <w:tcW w:w="1701" w:type="dxa"/>
          </w:tcPr>
          <w:p w14:paraId="7DDFD1E1" w14:textId="77777777" w:rsidR="00AD1F54" w:rsidRPr="00264D5D" w:rsidRDefault="00941227">
            <w:pPr>
              <w:spacing w:before="60" w:after="60"/>
              <w:rPr>
                <w:sz w:val="22"/>
                <w:szCs w:val="22"/>
              </w:rPr>
            </w:pPr>
            <w:r w:rsidRPr="00264D5D">
              <w:rPr>
                <w:sz w:val="22"/>
                <w:szCs w:val="22"/>
                <w:lang w:val="en-US"/>
              </w:rPr>
              <w:t>Property</w:t>
            </w:r>
          </w:p>
        </w:tc>
        <w:tc>
          <w:tcPr>
            <w:tcW w:w="567" w:type="dxa"/>
          </w:tcPr>
          <w:p w14:paraId="0E83AC5D" w14:textId="77777777" w:rsidR="00AD1F54" w:rsidRPr="00264D5D" w:rsidRDefault="00941227">
            <w:pPr>
              <w:spacing w:before="60" w:after="60"/>
              <w:jc w:val="center"/>
              <w:rPr>
                <w:sz w:val="22"/>
                <w:szCs w:val="22"/>
              </w:rPr>
            </w:pPr>
            <w:r w:rsidRPr="00264D5D">
              <w:rPr>
                <w:sz w:val="22"/>
                <w:szCs w:val="22"/>
              </w:rPr>
              <w:t>С</w:t>
            </w:r>
          </w:p>
        </w:tc>
        <w:tc>
          <w:tcPr>
            <w:tcW w:w="1134" w:type="dxa"/>
          </w:tcPr>
          <w:p w14:paraId="6C781691" w14:textId="77777777" w:rsidR="00AD1F54" w:rsidRPr="00264D5D" w:rsidRDefault="00941227">
            <w:pPr>
              <w:spacing w:before="60" w:after="60"/>
              <w:rPr>
                <w:sz w:val="22"/>
                <w:szCs w:val="22"/>
              </w:rPr>
            </w:pPr>
            <w:r w:rsidRPr="00264D5D">
              <w:rPr>
                <w:sz w:val="22"/>
                <w:szCs w:val="22"/>
              </w:rPr>
              <w:t>-</w:t>
            </w:r>
          </w:p>
        </w:tc>
        <w:tc>
          <w:tcPr>
            <w:tcW w:w="567" w:type="dxa"/>
          </w:tcPr>
          <w:p w14:paraId="5606AE03" w14:textId="77777777" w:rsidR="00AD1F54" w:rsidRPr="00264D5D" w:rsidRDefault="00941227">
            <w:pPr>
              <w:spacing w:before="60" w:after="60"/>
              <w:jc w:val="center"/>
              <w:rPr>
                <w:sz w:val="22"/>
                <w:szCs w:val="22"/>
              </w:rPr>
            </w:pPr>
            <w:r w:rsidRPr="00264D5D">
              <w:rPr>
                <w:sz w:val="22"/>
                <w:szCs w:val="22"/>
              </w:rPr>
              <w:t>ОМ</w:t>
            </w:r>
          </w:p>
        </w:tc>
        <w:tc>
          <w:tcPr>
            <w:tcW w:w="3963" w:type="dxa"/>
          </w:tcPr>
          <w:p w14:paraId="594E9450" w14:textId="14514A27" w:rsidR="00AD1F54" w:rsidRPr="00264D5D" w:rsidRDefault="00941227">
            <w:pPr>
              <w:spacing w:before="60" w:after="60"/>
              <w:rPr>
                <w:sz w:val="22"/>
                <w:szCs w:val="22"/>
              </w:rPr>
            </w:pPr>
            <w:r w:rsidRPr="00264D5D">
              <w:rPr>
                <w:sz w:val="22"/>
                <w:szCs w:val="22"/>
              </w:rPr>
              <w:t xml:space="preserve">Состав элемента представлен в таблице </w:t>
            </w:r>
            <w:r w:rsidRPr="00264D5D">
              <w:rPr>
                <w:b/>
                <w:sz w:val="22"/>
                <w:szCs w:val="22"/>
              </w:rPr>
              <w:fldChar w:fldCharType="begin"/>
            </w:r>
            <w:r w:rsidRPr="00264D5D">
              <w:rPr>
                <w:b/>
                <w:sz w:val="22"/>
                <w:szCs w:val="22"/>
              </w:rPr>
              <w:instrText xml:space="preserve"> REF _Ref519667298 \h  \* MERGEFORMAT </w:instrText>
            </w:r>
            <w:r w:rsidRPr="00264D5D">
              <w:rPr>
                <w:b/>
                <w:sz w:val="22"/>
                <w:szCs w:val="22"/>
              </w:rPr>
            </w:r>
            <w:r w:rsidRPr="00264D5D">
              <w:rPr>
                <w:b/>
                <w:sz w:val="22"/>
                <w:szCs w:val="22"/>
              </w:rPr>
              <w:fldChar w:fldCharType="separate"/>
            </w:r>
            <w:r w:rsidR="008D797C" w:rsidRPr="008D797C">
              <w:rPr>
                <w:b/>
                <w:sz w:val="22"/>
                <w:szCs w:val="22"/>
              </w:rPr>
              <w:t>21</w:t>
            </w:r>
            <w:r w:rsidRPr="00264D5D">
              <w:rPr>
                <w:b/>
                <w:sz w:val="22"/>
                <w:szCs w:val="22"/>
              </w:rPr>
              <w:fldChar w:fldCharType="end"/>
            </w:r>
          </w:p>
        </w:tc>
      </w:tr>
    </w:tbl>
    <w:p w14:paraId="30850660" w14:textId="77777777" w:rsidR="00AD1F54" w:rsidRPr="00264D5D" w:rsidRDefault="00AD1F54">
      <w:pPr>
        <w:pStyle w:val="GOSTNormal"/>
      </w:pPr>
    </w:p>
    <w:bookmarkStart w:id="569" w:name="_Ref527726672"/>
    <w:p w14:paraId="7A52694A" w14:textId="3C30F04D" w:rsidR="00AD1F54" w:rsidRPr="00264D5D" w:rsidRDefault="00941227">
      <w:pPr>
        <w:pStyle w:val="GOSTNameTable"/>
        <w:numPr>
          <w:ilvl w:val="0"/>
          <w:numId w:val="2"/>
        </w:numPr>
        <w:ind w:left="425" w:hanging="357"/>
      </w:pPr>
      <w:r w:rsidRPr="00264D5D">
        <w:fldChar w:fldCharType="begin"/>
      </w:r>
      <w:r w:rsidRPr="00264D5D">
        <w:instrText xml:space="preserve"> SEQ Таблица \* ARABIC </w:instrText>
      </w:r>
      <w:r w:rsidRPr="00264D5D">
        <w:fldChar w:fldCharType="separate"/>
      </w:r>
      <w:bookmarkStart w:id="570" w:name="_Ref519667298"/>
      <w:bookmarkStart w:id="571" w:name="_Toc219309051"/>
      <w:r w:rsidR="008D797C">
        <w:rPr>
          <w:noProof/>
        </w:rPr>
        <w:t>21</w:t>
      </w:r>
      <w:bookmarkEnd w:id="570"/>
      <w:r w:rsidRPr="00264D5D">
        <w:fldChar w:fldCharType="end"/>
      </w:r>
      <w:r w:rsidRPr="00264D5D">
        <w:rPr>
          <w:rFonts w:eastAsia="Calibri"/>
          <w:szCs w:val="24"/>
        </w:rPr>
        <w:t xml:space="preserve"> – </w:t>
      </w:r>
      <w:r w:rsidRPr="00264D5D">
        <w:t>Описание составного элемента «</w:t>
      </w:r>
      <w:r w:rsidRPr="00264D5D">
        <w:rPr>
          <w:lang w:val="en-US"/>
        </w:rPr>
        <w:t>Property</w:t>
      </w:r>
      <w:r w:rsidRPr="00264D5D">
        <w:t>»</w:t>
      </w:r>
      <w:bookmarkEnd w:id="571"/>
    </w:p>
    <w:tbl>
      <w:tblPr>
        <w:tblStyle w:val="GOSTTable"/>
        <w:tblW w:w="5000" w:type="pct"/>
        <w:tblLayout w:type="fixed"/>
        <w:tblLook w:val="01E0" w:firstRow="1" w:lastRow="1" w:firstColumn="1" w:lastColumn="1" w:noHBand="0" w:noVBand="0"/>
      </w:tblPr>
      <w:tblGrid>
        <w:gridCol w:w="1705"/>
        <w:gridCol w:w="1704"/>
        <w:gridCol w:w="568"/>
        <w:gridCol w:w="1136"/>
        <w:gridCol w:w="568"/>
        <w:gridCol w:w="3969"/>
      </w:tblGrid>
      <w:tr w:rsidR="00AD1F54" w:rsidRPr="00264D5D" w14:paraId="325DD4C9"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469E229C" w14:textId="77777777" w:rsidR="00AD1F54" w:rsidRPr="00264D5D" w:rsidRDefault="00941227">
            <w:pPr>
              <w:spacing w:before="60" w:after="60"/>
              <w:ind w:left="57" w:right="57"/>
              <w:jc w:val="center"/>
              <w:rPr>
                <w:b/>
                <w:sz w:val="22"/>
                <w:szCs w:val="22"/>
              </w:rPr>
            </w:pPr>
            <w:r w:rsidRPr="00264D5D">
              <w:rPr>
                <w:b/>
                <w:bCs/>
                <w:sz w:val="22"/>
                <w:szCs w:val="22"/>
              </w:rPr>
              <w:t>Наименование комплексного типа</w:t>
            </w:r>
          </w:p>
        </w:tc>
        <w:tc>
          <w:tcPr>
            <w:tcW w:w="1700" w:type="dxa"/>
          </w:tcPr>
          <w:p w14:paraId="3BA295B6" w14:textId="77777777" w:rsidR="00AD1F54" w:rsidRPr="00264D5D" w:rsidRDefault="00941227">
            <w:pPr>
              <w:spacing w:before="60" w:after="60"/>
              <w:ind w:left="57" w:right="57"/>
              <w:jc w:val="center"/>
              <w:rPr>
                <w:b/>
                <w:sz w:val="22"/>
                <w:szCs w:val="22"/>
              </w:rPr>
            </w:pPr>
            <w:r w:rsidRPr="00264D5D">
              <w:rPr>
                <w:b/>
                <w:bCs/>
                <w:sz w:val="22"/>
                <w:szCs w:val="22"/>
              </w:rPr>
              <w:t>Текущий элемент/ атрибут</w:t>
            </w:r>
          </w:p>
        </w:tc>
        <w:tc>
          <w:tcPr>
            <w:tcW w:w="567" w:type="dxa"/>
          </w:tcPr>
          <w:p w14:paraId="67563531" w14:textId="77777777" w:rsidR="00AD1F54" w:rsidRPr="00264D5D" w:rsidRDefault="00941227">
            <w:pPr>
              <w:spacing w:before="60" w:after="60"/>
              <w:ind w:left="57" w:right="57"/>
              <w:jc w:val="center"/>
              <w:rPr>
                <w:b/>
                <w:sz w:val="22"/>
                <w:szCs w:val="22"/>
              </w:rPr>
            </w:pPr>
            <w:r w:rsidRPr="00264D5D">
              <w:rPr>
                <w:b/>
                <w:bCs/>
                <w:sz w:val="22"/>
                <w:szCs w:val="22"/>
              </w:rPr>
              <w:t>Тип</w:t>
            </w:r>
          </w:p>
        </w:tc>
        <w:tc>
          <w:tcPr>
            <w:tcW w:w="1133" w:type="dxa"/>
          </w:tcPr>
          <w:p w14:paraId="71437CFA" w14:textId="77777777" w:rsidR="00AD1F54" w:rsidRPr="00264D5D" w:rsidRDefault="00941227">
            <w:pPr>
              <w:spacing w:before="60" w:after="60"/>
              <w:ind w:left="57" w:right="57"/>
              <w:jc w:val="center"/>
              <w:rPr>
                <w:b/>
                <w:sz w:val="22"/>
                <w:szCs w:val="22"/>
              </w:rPr>
            </w:pPr>
            <w:r w:rsidRPr="00264D5D">
              <w:rPr>
                <w:b/>
                <w:bCs/>
                <w:sz w:val="22"/>
                <w:szCs w:val="22"/>
              </w:rPr>
              <w:t>Формат элемента</w:t>
            </w:r>
          </w:p>
        </w:tc>
        <w:tc>
          <w:tcPr>
            <w:tcW w:w="567" w:type="dxa"/>
          </w:tcPr>
          <w:p w14:paraId="451E7D67" w14:textId="77777777" w:rsidR="00AD1F54" w:rsidRPr="00264D5D" w:rsidRDefault="00941227">
            <w:pPr>
              <w:spacing w:before="60" w:after="60"/>
              <w:ind w:left="57" w:right="57"/>
              <w:jc w:val="center"/>
              <w:rPr>
                <w:b/>
                <w:sz w:val="22"/>
                <w:szCs w:val="22"/>
              </w:rPr>
            </w:pPr>
            <w:r w:rsidRPr="00264D5D">
              <w:rPr>
                <w:b/>
                <w:bCs/>
                <w:sz w:val="22"/>
                <w:szCs w:val="22"/>
              </w:rPr>
              <w:t>Обязательность</w:t>
            </w:r>
          </w:p>
        </w:tc>
        <w:tc>
          <w:tcPr>
            <w:tcW w:w="3960" w:type="dxa"/>
          </w:tcPr>
          <w:p w14:paraId="3DBDB88D" w14:textId="77777777" w:rsidR="00AD1F54" w:rsidRPr="00264D5D" w:rsidRDefault="00941227">
            <w:pPr>
              <w:spacing w:before="60" w:after="60"/>
              <w:ind w:left="57" w:right="57"/>
              <w:jc w:val="center"/>
              <w:rPr>
                <w:b/>
                <w:sz w:val="22"/>
                <w:szCs w:val="22"/>
              </w:rPr>
            </w:pPr>
            <w:r w:rsidRPr="00264D5D">
              <w:rPr>
                <w:b/>
                <w:bCs/>
                <w:sz w:val="22"/>
                <w:szCs w:val="22"/>
              </w:rPr>
              <w:t>Дополнительная информация</w:t>
            </w:r>
          </w:p>
        </w:tc>
      </w:tr>
      <w:tr w:rsidR="00AD1F54" w:rsidRPr="00264D5D" w14:paraId="462D027D"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54B8FB82" w14:textId="77777777" w:rsidR="00AD1F54" w:rsidRPr="00264D5D" w:rsidRDefault="00941227">
            <w:pPr>
              <w:spacing w:before="60" w:after="60"/>
              <w:rPr>
                <w:sz w:val="22"/>
                <w:szCs w:val="22"/>
              </w:rPr>
            </w:pPr>
            <w:r w:rsidRPr="00264D5D">
              <w:rPr>
                <w:sz w:val="22"/>
                <w:szCs w:val="22"/>
                <w:lang w:eastAsia="en-US"/>
              </w:rPr>
              <w:t xml:space="preserve">&lt;Group ID = </w:t>
            </w:r>
            <w:r w:rsidRPr="00264D5D">
              <w:rPr>
                <w:sz w:val="22"/>
                <w:szCs w:val="22"/>
                <w:lang w:eastAsia="en-US"/>
              </w:rPr>
              <w:lastRenderedPageBreak/>
              <w:t>"</w:t>
            </w:r>
            <w:r w:rsidRPr="00264D5D">
              <w:rPr>
                <w:sz w:val="22"/>
                <w:szCs w:val="22"/>
                <w:lang w:val="en-US" w:eastAsia="en-US"/>
              </w:rPr>
              <w:t>Core</w:t>
            </w:r>
            <w:r w:rsidRPr="00264D5D">
              <w:rPr>
                <w:sz w:val="22"/>
                <w:szCs w:val="22"/>
                <w:lang w:eastAsia="en-US"/>
              </w:rPr>
              <w:t>"&gt;</w:t>
            </w:r>
          </w:p>
        </w:tc>
        <w:tc>
          <w:tcPr>
            <w:tcW w:w="1700" w:type="dxa"/>
          </w:tcPr>
          <w:p w14:paraId="579597EC" w14:textId="77777777" w:rsidR="00AD1F54" w:rsidRPr="00264D5D" w:rsidRDefault="00AD1F54">
            <w:pPr>
              <w:spacing w:before="60" w:after="60"/>
              <w:rPr>
                <w:sz w:val="22"/>
                <w:szCs w:val="22"/>
              </w:rPr>
            </w:pPr>
          </w:p>
        </w:tc>
        <w:tc>
          <w:tcPr>
            <w:tcW w:w="567" w:type="dxa"/>
          </w:tcPr>
          <w:p w14:paraId="20F20F94" w14:textId="77777777" w:rsidR="00AD1F54" w:rsidRPr="00264D5D" w:rsidRDefault="00AD1F54">
            <w:pPr>
              <w:spacing w:before="60" w:after="60"/>
              <w:jc w:val="center"/>
              <w:rPr>
                <w:sz w:val="22"/>
                <w:szCs w:val="22"/>
              </w:rPr>
            </w:pPr>
          </w:p>
        </w:tc>
        <w:tc>
          <w:tcPr>
            <w:tcW w:w="1133" w:type="dxa"/>
          </w:tcPr>
          <w:p w14:paraId="014C6840" w14:textId="77777777" w:rsidR="00AD1F54" w:rsidRPr="00264D5D" w:rsidRDefault="00AD1F54">
            <w:pPr>
              <w:spacing w:before="60" w:after="60"/>
              <w:rPr>
                <w:sz w:val="22"/>
                <w:szCs w:val="22"/>
              </w:rPr>
            </w:pPr>
          </w:p>
        </w:tc>
        <w:tc>
          <w:tcPr>
            <w:tcW w:w="567" w:type="dxa"/>
          </w:tcPr>
          <w:p w14:paraId="6B481DAA" w14:textId="77777777" w:rsidR="00AD1F54" w:rsidRPr="00264D5D" w:rsidRDefault="00AD1F54">
            <w:pPr>
              <w:spacing w:before="60" w:after="60"/>
              <w:jc w:val="center"/>
              <w:rPr>
                <w:sz w:val="22"/>
                <w:szCs w:val="22"/>
              </w:rPr>
            </w:pPr>
          </w:p>
        </w:tc>
        <w:tc>
          <w:tcPr>
            <w:tcW w:w="3960" w:type="dxa"/>
          </w:tcPr>
          <w:p w14:paraId="48A6E85D" w14:textId="77777777" w:rsidR="00AD1F54" w:rsidRPr="00264D5D" w:rsidRDefault="00AD1F54">
            <w:pPr>
              <w:spacing w:before="60" w:after="60"/>
              <w:rPr>
                <w:sz w:val="22"/>
                <w:szCs w:val="22"/>
              </w:rPr>
            </w:pPr>
          </w:p>
        </w:tc>
      </w:tr>
      <w:tr w:rsidR="00AD1F54" w:rsidRPr="00264D5D" w14:paraId="6BD635A0"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47C552EC" w14:textId="77777777" w:rsidR="00AD1F54" w:rsidRPr="00264D5D" w:rsidRDefault="00941227">
            <w:pPr>
              <w:spacing w:before="60" w:after="60"/>
              <w:rPr>
                <w:sz w:val="22"/>
                <w:szCs w:val="22"/>
              </w:rPr>
            </w:pPr>
            <w:r w:rsidRPr="00264D5D">
              <w:rPr>
                <w:sz w:val="22"/>
                <w:szCs w:val="22"/>
              </w:rPr>
              <w:lastRenderedPageBreak/>
              <w:t>Наименование расширения</w:t>
            </w:r>
          </w:p>
        </w:tc>
        <w:tc>
          <w:tcPr>
            <w:tcW w:w="1700" w:type="dxa"/>
          </w:tcPr>
          <w:p w14:paraId="780AF595" w14:textId="77777777" w:rsidR="00AD1F54" w:rsidRPr="00264D5D" w:rsidRDefault="00941227">
            <w:pPr>
              <w:spacing w:before="60" w:after="60"/>
              <w:rPr>
                <w:sz w:val="22"/>
                <w:szCs w:val="22"/>
                <w:lang w:val="en-US"/>
              </w:rPr>
            </w:pPr>
            <w:r w:rsidRPr="00264D5D">
              <w:rPr>
                <w:sz w:val="22"/>
                <w:szCs w:val="22"/>
                <w:lang w:val="en-US"/>
              </w:rPr>
              <w:t>name</w:t>
            </w:r>
          </w:p>
        </w:tc>
        <w:tc>
          <w:tcPr>
            <w:tcW w:w="567" w:type="dxa"/>
          </w:tcPr>
          <w:p w14:paraId="577C4AC4" w14:textId="77777777" w:rsidR="00AD1F54" w:rsidRPr="00264D5D" w:rsidRDefault="00941227">
            <w:pPr>
              <w:spacing w:before="60" w:after="60"/>
              <w:jc w:val="center"/>
              <w:rPr>
                <w:sz w:val="22"/>
                <w:szCs w:val="22"/>
              </w:rPr>
            </w:pPr>
            <w:r w:rsidRPr="00264D5D">
              <w:rPr>
                <w:sz w:val="22"/>
                <w:szCs w:val="22"/>
              </w:rPr>
              <w:t>А</w:t>
            </w:r>
          </w:p>
        </w:tc>
        <w:tc>
          <w:tcPr>
            <w:tcW w:w="1133" w:type="dxa"/>
          </w:tcPr>
          <w:p w14:paraId="564D21EF" w14:textId="77777777" w:rsidR="00AD1F54" w:rsidRPr="00264D5D" w:rsidRDefault="00941227">
            <w:pPr>
              <w:spacing w:before="60" w:after="60"/>
              <w:rPr>
                <w:sz w:val="22"/>
                <w:szCs w:val="22"/>
                <w:lang w:val="en-US"/>
              </w:rPr>
            </w:pPr>
            <w:r w:rsidRPr="00264D5D">
              <w:rPr>
                <w:sz w:val="22"/>
                <w:szCs w:val="22"/>
                <w:lang w:val="en-US"/>
              </w:rPr>
              <w:t>string</w:t>
            </w:r>
          </w:p>
        </w:tc>
        <w:tc>
          <w:tcPr>
            <w:tcW w:w="567" w:type="dxa"/>
          </w:tcPr>
          <w:p w14:paraId="681BBAC5" w14:textId="77777777" w:rsidR="00AD1F54" w:rsidRPr="00264D5D" w:rsidRDefault="00941227">
            <w:pPr>
              <w:spacing w:before="60" w:after="60"/>
              <w:jc w:val="center"/>
              <w:rPr>
                <w:sz w:val="22"/>
                <w:szCs w:val="22"/>
              </w:rPr>
            </w:pPr>
            <w:r w:rsidRPr="00264D5D">
              <w:rPr>
                <w:sz w:val="22"/>
                <w:szCs w:val="22"/>
              </w:rPr>
              <w:t>О</w:t>
            </w:r>
          </w:p>
        </w:tc>
        <w:tc>
          <w:tcPr>
            <w:tcW w:w="3960" w:type="dxa"/>
          </w:tcPr>
          <w:p w14:paraId="0AD8F575" w14:textId="77777777" w:rsidR="00AD1F54" w:rsidRPr="00264D5D" w:rsidRDefault="00941227">
            <w:pPr>
              <w:pStyle w:val="GOSTTablenorm"/>
              <w:rPr>
                <w:szCs w:val="22"/>
                <w:lang w:eastAsia="en-US"/>
              </w:rPr>
            </w:pPr>
            <w:r w:rsidRPr="00264D5D">
              <w:rPr>
                <w:szCs w:val="22"/>
                <w:lang w:eastAsia="en-US"/>
              </w:rPr>
              <w:t>Адрес для транспортной системы:</w:t>
            </w:r>
          </w:p>
          <w:p w14:paraId="404D2D78" w14:textId="77777777" w:rsidR="00AD1F54" w:rsidRPr="00264D5D" w:rsidRDefault="00941227">
            <w:pPr>
              <w:pStyle w:val="GOSTTablenorm"/>
              <w:rPr>
                <w:szCs w:val="22"/>
                <w:lang w:eastAsia="en-US"/>
              </w:rPr>
            </w:pPr>
            <w:r w:rsidRPr="00264D5D">
              <w:rPr>
                <w:szCs w:val="22"/>
                <w:lang w:eastAsia="en-US"/>
              </w:rPr>
              <w:t>RecipientLogicalID</w:t>
            </w:r>
          </w:p>
        </w:tc>
      </w:tr>
      <w:tr w:rsidR="00AD1F54" w:rsidRPr="00264D5D" w14:paraId="6E4A05D5"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3D41D95" w14:textId="77777777" w:rsidR="00AD1F54" w:rsidRPr="00264D5D" w:rsidRDefault="00941227">
            <w:pPr>
              <w:pStyle w:val="EBTablenorm"/>
              <w:ind w:left="57" w:right="57"/>
              <w:jc w:val="left"/>
              <w:rPr>
                <w:sz w:val="22"/>
                <w:szCs w:val="22"/>
              </w:rPr>
            </w:pPr>
            <w:r w:rsidRPr="00264D5D">
              <w:rPr>
                <w:sz w:val="22"/>
                <w:szCs w:val="22"/>
              </w:rPr>
              <w:t>Значение свойства расширения</w:t>
            </w:r>
          </w:p>
        </w:tc>
        <w:tc>
          <w:tcPr>
            <w:tcW w:w="1700" w:type="dxa"/>
          </w:tcPr>
          <w:p w14:paraId="4B7FAAAE" w14:textId="77777777" w:rsidR="00AD1F54" w:rsidRPr="00264D5D" w:rsidRDefault="00941227">
            <w:pPr>
              <w:pStyle w:val="EBTablenorm"/>
              <w:ind w:left="57" w:right="57"/>
              <w:jc w:val="left"/>
              <w:rPr>
                <w:sz w:val="22"/>
                <w:szCs w:val="22"/>
              </w:rPr>
            </w:pPr>
            <w:r w:rsidRPr="00264D5D">
              <w:rPr>
                <w:sz w:val="22"/>
                <w:szCs w:val="22"/>
                <w:lang w:val="en-US"/>
              </w:rPr>
              <w:t>value</w:t>
            </w:r>
          </w:p>
        </w:tc>
        <w:tc>
          <w:tcPr>
            <w:tcW w:w="567" w:type="dxa"/>
          </w:tcPr>
          <w:p w14:paraId="7BC3AEF9" w14:textId="77777777" w:rsidR="00AD1F54" w:rsidRPr="00264D5D" w:rsidRDefault="00941227">
            <w:pPr>
              <w:spacing w:before="60" w:after="60"/>
              <w:jc w:val="center"/>
              <w:rPr>
                <w:sz w:val="22"/>
                <w:szCs w:val="22"/>
              </w:rPr>
            </w:pPr>
            <w:r w:rsidRPr="00264D5D">
              <w:rPr>
                <w:sz w:val="22"/>
                <w:szCs w:val="22"/>
              </w:rPr>
              <w:t>А</w:t>
            </w:r>
          </w:p>
        </w:tc>
        <w:tc>
          <w:tcPr>
            <w:tcW w:w="1133" w:type="dxa"/>
          </w:tcPr>
          <w:p w14:paraId="1D1C7787" w14:textId="77777777" w:rsidR="00AD1F54" w:rsidRPr="00264D5D" w:rsidRDefault="00941227">
            <w:pPr>
              <w:spacing w:before="60" w:after="60"/>
              <w:jc w:val="left"/>
              <w:rPr>
                <w:rFonts w:eastAsia="Calibri"/>
                <w:sz w:val="22"/>
                <w:szCs w:val="22"/>
              </w:rPr>
            </w:pPr>
            <w:r w:rsidRPr="00264D5D">
              <w:rPr>
                <w:sz w:val="22"/>
                <w:szCs w:val="22"/>
                <w:lang w:val="en-US"/>
              </w:rPr>
              <w:t>string</w:t>
            </w:r>
          </w:p>
        </w:tc>
        <w:tc>
          <w:tcPr>
            <w:tcW w:w="567" w:type="dxa"/>
          </w:tcPr>
          <w:p w14:paraId="68222D43" w14:textId="77777777" w:rsidR="00AD1F54" w:rsidRPr="00264D5D" w:rsidRDefault="00941227">
            <w:pPr>
              <w:spacing w:before="60" w:after="60"/>
              <w:jc w:val="center"/>
              <w:rPr>
                <w:sz w:val="22"/>
                <w:szCs w:val="22"/>
              </w:rPr>
            </w:pPr>
            <w:r w:rsidRPr="00264D5D">
              <w:rPr>
                <w:sz w:val="22"/>
                <w:szCs w:val="22"/>
              </w:rPr>
              <w:t>Н</w:t>
            </w:r>
          </w:p>
        </w:tc>
        <w:tc>
          <w:tcPr>
            <w:tcW w:w="3960" w:type="dxa"/>
          </w:tcPr>
          <w:p w14:paraId="022F5E87" w14:textId="77777777" w:rsidR="00AD1F54" w:rsidRPr="00264D5D" w:rsidRDefault="00941227">
            <w:pPr>
              <w:pStyle w:val="EBTablenorm"/>
              <w:ind w:left="57" w:right="57"/>
              <w:rPr>
                <w:sz w:val="22"/>
                <w:szCs w:val="22"/>
              </w:rPr>
            </w:pPr>
            <w:r w:rsidRPr="00264D5D">
              <w:rPr>
                <w:sz w:val="22"/>
                <w:szCs w:val="22"/>
                <w:lang w:eastAsia="en-US"/>
              </w:rPr>
              <w:t>- 9500.....N.E</w:t>
            </w:r>
          </w:p>
        </w:tc>
      </w:tr>
      <w:tr w:rsidR="00AD1F54" w:rsidRPr="00264D5D" w14:paraId="2BD58E47"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28CE9D57" w14:textId="77777777" w:rsidR="00AD1F54" w:rsidRPr="00264D5D" w:rsidRDefault="00941227">
            <w:pPr>
              <w:pStyle w:val="EBTablenorm"/>
              <w:ind w:left="57" w:right="57"/>
              <w:jc w:val="left"/>
              <w:rPr>
                <w:sz w:val="22"/>
                <w:szCs w:val="22"/>
              </w:rPr>
            </w:pPr>
            <w:r w:rsidRPr="00264D5D">
              <w:rPr>
                <w:sz w:val="22"/>
                <w:szCs w:val="22"/>
              </w:rPr>
              <w:t>Наименование расширения</w:t>
            </w:r>
          </w:p>
        </w:tc>
        <w:tc>
          <w:tcPr>
            <w:tcW w:w="1700" w:type="dxa"/>
          </w:tcPr>
          <w:p w14:paraId="1976DECF" w14:textId="77777777" w:rsidR="00AD1F54" w:rsidRPr="00264D5D" w:rsidRDefault="00941227">
            <w:pPr>
              <w:pStyle w:val="EBTablenorm"/>
              <w:ind w:left="57" w:right="57"/>
              <w:jc w:val="left"/>
              <w:rPr>
                <w:sz w:val="22"/>
                <w:szCs w:val="22"/>
                <w:lang w:val="en-US"/>
              </w:rPr>
            </w:pPr>
            <w:r w:rsidRPr="00264D5D">
              <w:rPr>
                <w:sz w:val="22"/>
                <w:szCs w:val="22"/>
                <w:lang w:val="en-US"/>
              </w:rPr>
              <w:t>name</w:t>
            </w:r>
          </w:p>
        </w:tc>
        <w:tc>
          <w:tcPr>
            <w:tcW w:w="567" w:type="dxa"/>
          </w:tcPr>
          <w:p w14:paraId="004E7AA1" w14:textId="77777777" w:rsidR="00AD1F54" w:rsidRPr="00264D5D" w:rsidRDefault="00941227">
            <w:pPr>
              <w:spacing w:before="60" w:after="60"/>
              <w:jc w:val="center"/>
              <w:rPr>
                <w:sz w:val="22"/>
                <w:szCs w:val="22"/>
              </w:rPr>
            </w:pPr>
            <w:r w:rsidRPr="00264D5D">
              <w:rPr>
                <w:sz w:val="22"/>
                <w:szCs w:val="22"/>
              </w:rPr>
              <w:t>А</w:t>
            </w:r>
          </w:p>
        </w:tc>
        <w:tc>
          <w:tcPr>
            <w:tcW w:w="1133" w:type="dxa"/>
          </w:tcPr>
          <w:p w14:paraId="5DC31448" w14:textId="77777777" w:rsidR="00AD1F54" w:rsidRPr="00264D5D" w:rsidRDefault="00941227">
            <w:pPr>
              <w:spacing w:before="60" w:after="60"/>
              <w:jc w:val="left"/>
              <w:rPr>
                <w:sz w:val="22"/>
                <w:szCs w:val="22"/>
                <w:lang w:val="en-US"/>
              </w:rPr>
            </w:pPr>
            <w:r w:rsidRPr="00264D5D">
              <w:rPr>
                <w:sz w:val="22"/>
                <w:szCs w:val="22"/>
                <w:lang w:val="en-US"/>
              </w:rPr>
              <w:t>string</w:t>
            </w:r>
          </w:p>
        </w:tc>
        <w:tc>
          <w:tcPr>
            <w:tcW w:w="567" w:type="dxa"/>
          </w:tcPr>
          <w:p w14:paraId="1FEDE4ED" w14:textId="77777777" w:rsidR="00AD1F54" w:rsidRPr="00264D5D" w:rsidRDefault="00941227">
            <w:pPr>
              <w:spacing w:before="60" w:after="60"/>
              <w:jc w:val="center"/>
              <w:rPr>
                <w:sz w:val="22"/>
                <w:szCs w:val="22"/>
              </w:rPr>
            </w:pPr>
            <w:r w:rsidRPr="00264D5D">
              <w:rPr>
                <w:sz w:val="22"/>
                <w:szCs w:val="22"/>
              </w:rPr>
              <w:t>О</w:t>
            </w:r>
          </w:p>
        </w:tc>
        <w:tc>
          <w:tcPr>
            <w:tcW w:w="3960" w:type="dxa"/>
          </w:tcPr>
          <w:p w14:paraId="04742700" w14:textId="77777777" w:rsidR="00AD1F54" w:rsidRPr="00264D5D" w:rsidRDefault="00941227">
            <w:pPr>
              <w:pStyle w:val="GOSTTablenorm"/>
              <w:rPr>
                <w:szCs w:val="22"/>
                <w:lang w:eastAsia="en-US"/>
              </w:rPr>
            </w:pPr>
            <w:r w:rsidRPr="00264D5D">
              <w:rPr>
                <w:szCs w:val="22"/>
              </w:rPr>
              <w:t>Рекомендательный параметр транспортной системе</w:t>
            </w:r>
          </w:p>
          <w:p w14:paraId="7708E8BD" w14:textId="77777777" w:rsidR="00AD1F54" w:rsidRPr="00264D5D" w:rsidRDefault="00941227">
            <w:pPr>
              <w:pStyle w:val="EBTablenorm"/>
              <w:ind w:left="57" w:right="57"/>
              <w:rPr>
                <w:sz w:val="22"/>
                <w:szCs w:val="22"/>
                <w:lang w:eastAsia="en-US"/>
              </w:rPr>
            </w:pPr>
            <w:r w:rsidRPr="00264D5D">
              <w:rPr>
                <w:sz w:val="22"/>
                <w:szCs w:val="22"/>
                <w:lang w:val="en-US" w:eastAsia="en-US"/>
              </w:rPr>
              <w:t>Priority</w:t>
            </w:r>
          </w:p>
        </w:tc>
      </w:tr>
      <w:tr w:rsidR="00AD1F54" w:rsidRPr="00264D5D" w14:paraId="6CD7A9CF"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ABFF7C2" w14:textId="77777777" w:rsidR="00AD1F54" w:rsidRPr="00264D5D" w:rsidRDefault="00941227">
            <w:pPr>
              <w:pStyle w:val="EBTablenorm"/>
              <w:ind w:left="57" w:right="57"/>
              <w:jc w:val="left"/>
              <w:rPr>
                <w:sz w:val="22"/>
                <w:szCs w:val="22"/>
              </w:rPr>
            </w:pPr>
            <w:r w:rsidRPr="00264D5D">
              <w:rPr>
                <w:sz w:val="22"/>
                <w:szCs w:val="22"/>
              </w:rPr>
              <w:t>Значение свойства расширения</w:t>
            </w:r>
          </w:p>
        </w:tc>
        <w:tc>
          <w:tcPr>
            <w:tcW w:w="1700" w:type="dxa"/>
          </w:tcPr>
          <w:p w14:paraId="7190AFA1" w14:textId="77777777" w:rsidR="00AD1F54" w:rsidRPr="00264D5D" w:rsidRDefault="00941227">
            <w:pPr>
              <w:pStyle w:val="EBTablenorm"/>
              <w:ind w:left="57" w:right="57"/>
              <w:jc w:val="left"/>
              <w:rPr>
                <w:sz w:val="22"/>
                <w:szCs w:val="22"/>
                <w:lang w:val="en-US"/>
              </w:rPr>
            </w:pPr>
            <w:r w:rsidRPr="00264D5D">
              <w:rPr>
                <w:sz w:val="22"/>
                <w:szCs w:val="22"/>
                <w:lang w:val="en-US"/>
              </w:rPr>
              <w:t>value</w:t>
            </w:r>
          </w:p>
        </w:tc>
        <w:tc>
          <w:tcPr>
            <w:tcW w:w="567" w:type="dxa"/>
          </w:tcPr>
          <w:p w14:paraId="56AEB1BE" w14:textId="77777777" w:rsidR="00AD1F54" w:rsidRPr="00264D5D" w:rsidRDefault="00941227">
            <w:pPr>
              <w:spacing w:before="60" w:after="60"/>
              <w:jc w:val="center"/>
              <w:rPr>
                <w:sz w:val="22"/>
                <w:szCs w:val="22"/>
              </w:rPr>
            </w:pPr>
            <w:r w:rsidRPr="00264D5D">
              <w:rPr>
                <w:sz w:val="22"/>
                <w:szCs w:val="22"/>
              </w:rPr>
              <w:t>А</w:t>
            </w:r>
          </w:p>
        </w:tc>
        <w:tc>
          <w:tcPr>
            <w:tcW w:w="1133" w:type="dxa"/>
          </w:tcPr>
          <w:p w14:paraId="06E5A26A" w14:textId="77777777" w:rsidR="00AD1F54" w:rsidRPr="00264D5D" w:rsidRDefault="00941227">
            <w:pPr>
              <w:spacing w:before="60" w:after="60"/>
              <w:jc w:val="left"/>
              <w:rPr>
                <w:sz w:val="22"/>
                <w:szCs w:val="22"/>
                <w:lang w:val="en-US"/>
              </w:rPr>
            </w:pPr>
            <w:r w:rsidRPr="00264D5D">
              <w:rPr>
                <w:sz w:val="22"/>
                <w:szCs w:val="22"/>
                <w:lang w:val="en-US"/>
              </w:rPr>
              <w:t>string</w:t>
            </w:r>
          </w:p>
        </w:tc>
        <w:tc>
          <w:tcPr>
            <w:tcW w:w="567" w:type="dxa"/>
          </w:tcPr>
          <w:p w14:paraId="32946E90" w14:textId="77777777" w:rsidR="00AD1F54" w:rsidRPr="00264D5D" w:rsidRDefault="00941227">
            <w:pPr>
              <w:spacing w:before="60" w:after="60"/>
              <w:jc w:val="center"/>
              <w:rPr>
                <w:sz w:val="22"/>
                <w:szCs w:val="22"/>
              </w:rPr>
            </w:pPr>
            <w:r w:rsidRPr="00264D5D">
              <w:rPr>
                <w:sz w:val="22"/>
                <w:szCs w:val="22"/>
              </w:rPr>
              <w:t>Н</w:t>
            </w:r>
          </w:p>
        </w:tc>
        <w:tc>
          <w:tcPr>
            <w:tcW w:w="3960" w:type="dxa"/>
          </w:tcPr>
          <w:p w14:paraId="03624AAE" w14:textId="77777777" w:rsidR="00AD1F54" w:rsidRPr="00264D5D" w:rsidRDefault="00941227">
            <w:pPr>
              <w:spacing w:before="60" w:after="60"/>
              <w:rPr>
                <w:sz w:val="22"/>
                <w:szCs w:val="22"/>
              </w:rPr>
            </w:pPr>
            <w:r w:rsidRPr="00264D5D">
              <w:rPr>
                <w:sz w:val="22"/>
                <w:szCs w:val="22"/>
                <w:lang w:eastAsia="en-US"/>
              </w:rPr>
              <w:t>- 255</w:t>
            </w:r>
          </w:p>
        </w:tc>
      </w:tr>
      <w:tr w:rsidR="00AD1F54" w:rsidRPr="00264D5D" w14:paraId="3ABC1E96"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289A57AC" w14:textId="77777777" w:rsidR="00AD1F54" w:rsidRPr="00264D5D" w:rsidRDefault="00941227">
            <w:pPr>
              <w:pStyle w:val="EBTablenorm"/>
              <w:ind w:left="57" w:right="57"/>
              <w:jc w:val="left"/>
              <w:rPr>
                <w:sz w:val="22"/>
                <w:szCs w:val="22"/>
              </w:rPr>
            </w:pPr>
            <w:r w:rsidRPr="00264D5D">
              <w:rPr>
                <w:sz w:val="22"/>
                <w:szCs w:val="22"/>
              </w:rPr>
              <w:t>Наименование расширения</w:t>
            </w:r>
          </w:p>
        </w:tc>
        <w:tc>
          <w:tcPr>
            <w:tcW w:w="1700" w:type="dxa"/>
          </w:tcPr>
          <w:p w14:paraId="4422237F" w14:textId="77777777" w:rsidR="00AD1F54" w:rsidRPr="00264D5D" w:rsidRDefault="00941227">
            <w:pPr>
              <w:pStyle w:val="EBTablenorm"/>
              <w:ind w:left="57" w:right="57"/>
              <w:jc w:val="left"/>
              <w:rPr>
                <w:sz w:val="22"/>
                <w:szCs w:val="22"/>
                <w:lang w:val="en-US"/>
              </w:rPr>
            </w:pPr>
            <w:r w:rsidRPr="00264D5D">
              <w:rPr>
                <w:sz w:val="22"/>
                <w:szCs w:val="22"/>
                <w:lang w:val="en-US"/>
              </w:rPr>
              <w:t>name</w:t>
            </w:r>
          </w:p>
        </w:tc>
        <w:tc>
          <w:tcPr>
            <w:tcW w:w="567" w:type="dxa"/>
          </w:tcPr>
          <w:p w14:paraId="6CB899F3" w14:textId="77777777" w:rsidR="00AD1F54" w:rsidRPr="00264D5D" w:rsidRDefault="00941227">
            <w:pPr>
              <w:spacing w:before="60" w:after="60"/>
              <w:jc w:val="center"/>
              <w:rPr>
                <w:sz w:val="22"/>
                <w:szCs w:val="22"/>
              </w:rPr>
            </w:pPr>
            <w:r w:rsidRPr="00264D5D">
              <w:rPr>
                <w:sz w:val="22"/>
                <w:szCs w:val="22"/>
              </w:rPr>
              <w:t>А</w:t>
            </w:r>
          </w:p>
        </w:tc>
        <w:tc>
          <w:tcPr>
            <w:tcW w:w="1133" w:type="dxa"/>
          </w:tcPr>
          <w:p w14:paraId="00F6DED1" w14:textId="77777777" w:rsidR="00AD1F54" w:rsidRPr="00264D5D" w:rsidRDefault="00941227">
            <w:pPr>
              <w:spacing w:before="60" w:after="60"/>
              <w:jc w:val="left"/>
              <w:rPr>
                <w:sz w:val="22"/>
                <w:szCs w:val="22"/>
                <w:lang w:val="en-US"/>
              </w:rPr>
            </w:pPr>
            <w:r w:rsidRPr="00264D5D">
              <w:rPr>
                <w:sz w:val="22"/>
                <w:szCs w:val="22"/>
                <w:lang w:val="en-US"/>
              </w:rPr>
              <w:t>string</w:t>
            </w:r>
          </w:p>
        </w:tc>
        <w:tc>
          <w:tcPr>
            <w:tcW w:w="567" w:type="dxa"/>
          </w:tcPr>
          <w:p w14:paraId="19CE9BD2" w14:textId="77777777" w:rsidR="00AD1F54" w:rsidRPr="00264D5D" w:rsidRDefault="00941227">
            <w:pPr>
              <w:spacing w:before="60" w:after="60"/>
              <w:jc w:val="center"/>
              <w:rPr>
                <w:sz w:val="22"/>
                <w:szCs w:val="22"/>
              </w:rPr>
            </w:pPr>
            <w:r w:rsidRPr="00264D5D">
              <w:rPr>
                <w:sz w:val="22"/>
                <w:szCs w:val="22"/>
              </w:rPr>
              <w:t>О</w:t>
            </w:r>
          </w:p>
        </w:tc>
        <w:tc>
          <w:tcPr>
            <w:tcW w:w="3960" w:type="dxa"/>
          </w:tcPr>
          <w:p w14:paraId="263C7AFE" w14:textId="77777777" w:rsidR="00AD1F54" w:rsidRPr="00264D5D" w:rsidRDefault="00941227">
            <w:pPr>
              <w:pStyle w:val="GOSTTablenorm"/>
              <w:rPr>
                <w:szCs w:val="22"/>
                <w:lang w:eastAsia="en-US"/>
              </w:rPr>
            </w:pPr>
            <w:r w:rsidRPr="00264D5D">
              <w:rPr>
                <w:szCs w:val="22"/>
                <w:lang w:eastAsia="en-US"/>
              </w:rPr>
              <w:t>Тип сообщения:</w:t>
            </w:r>
          </w:p>
          <w:p w14:paraId="79472DFC" w14:textId="77777777" w:rsidR="00AD1F54" w:rsidRPr="00264D5D" w:rsidRDefault="00941227">
            <w:pPr>
              <w:spacing w:before="60" w:after="60"/>
              <w:rPr>
                <w:sz w:val="22"/>
                <w:szCs w:val="22"/>
                <w:lang w:eastAsia="en-US"/>
              </w:rPr>
            </w:pPr>
            <w:r w:rsidRPr="00264D5D">
              <w:rPr>
                <w:sz w:val="22"/>
                <w:szCs w:val="22"/>
                <w:lang w:val="en-US" w:eastAsia="en-US"/>
              </w:rPr>
              <w:t>MessageType</w:t>
            </w:r>
          </w:p>
        </w:tc>
      </w:tr>
      <w:tr w:rsidR="00AD1F54" w:rsidRPr="00264D5D" w14:paraId="615509A1"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5DEE304A" w14:textId="77777777" w:rsidR="00AD1F54" w:rsidRPr="00264D5D" w:rsidRDefault="00941227">
            <w:pPr>
              <w:pStyle w:val="EBTablenorm"/>
              <w:ind w:left="57" w:right="57"/>
              <w:jc w:val="left"/>
              <w:rPr>
                <w:sz w:val="22"/>
                <w:szCs w:val="22"/>
              </w:rPr>
            </w:pPr>
            <w:r w:rsidRPr="00264D5D">
              <w:rPr>
                <w:sz w:val="22"/>
                <w:szCs w:val="22"/>
              </w:rPr>
              <w:t>Значение свойства расширения</w:t>
            </w:r>
          </w:p>
        </w:tc>
        <w:tc>
          <w:tcPr>
            <w:tcW w:w="1700" w:type="dxa"/>
          </w:tcPr>
          <w:p w14:paraId="15BF71E2" w14:textId="77777777" w:rsidR="00AD1F54" w:rsidRPr="00264D5D" w:rsidRDefault="00941227">
            <w:pPr>
              <w:pStyle w:val="EBTablenorm"/>
              <w:ind w:left="57" w:right="57"/>
              <w:jc w:val="left"/>
              <w:rPr>
                <w:sz w:val="22"/>
                <w:szCs w:val="22"/>
                <w:lang w:val="en-US"/>
              </w:rPr>
            </w:pPr>
            <w:r w:rsidRPr="00264D5D">
              <w:rPr>
                <w:sz w:val="22"/>
                <w:szCs w:val="22"/>
                <w:lang w:val="en-US"/>
              </w:rPr>
              <w:t>value</w:t>
            </w:r>
          </w:p>
        </w:tc>
        <w:tc>
          <w:tcPr>
            <w:tcW w:w="567" w:type="dxa"/>
          </w:tcPr>
          <w:p w14:paraId="6C80AD43" w14:textId="77777777" w:rsidR="00AD1F54" w:rsidRPr="00264D5D" w:rsidRDefault="00941227">
            <w:pPr>
              <w:spacing w:before="60" w:after="60"/>
              <w:jc w:val="center"/>
              <w:rPr>
                <w:sz w:val="22"/>
                <w:szCs w:val="22"/>
              </w:rPr>
            </w:pPr>
            <w:r w:rsidRPr="00264D5D">
              <w:rPr>
                <w:sz w:val="22"/>
                <w:szCs w:val="22"/>
              </w:rPr>
              <w:t>А</w:t>
            </w:r>
          </w:p>
        </w:tc>
        <w:tc>
          <w:tcPr>
            <w:tcW w:w="1133" w:type="dxa"/>
          </w:tcPr>
          <w:p w14:paraId="1F83CC18" w14:textId="77777777" w:rsidR="00AD1F54" w:rsidRPr="00264D5D" w:rsidRDefault="00941227">
            <w:pPr>
              <w:spacing w:before="60" w:after="60"/>
              <w:jc w:val="left"/>
              <w:rPr>
                <w:sz w:val="22"/>
                <w:szCs w:val="22"/>
                <w:lang w:val="en-US"/>
              </w:rPr>
            </w:pPr>
            <w:r w:rsidRPr="00264D5D">
              <w:rPr>
                <w:sz w:val="22"/>
                <w:szCs w:val="22"/>
                <w:lang w:val="en-US"/>
              </w:rPr>
              <w:t>string</w:t>
            </w:r>
          </w:p>
        </w:tc>
        <w:tc>
          <w:tcPr>
            <w:tcW w:w="567" w:type="dxa"/>
          </w:tcPr>
          <w:p w14:paraId="1E3965CD" w14:textId="77777777" w:rsidR="00AD1F54" w:rsidRPr="00264D5D" w:rsidRDefault="00941227">
            <w:pPr>
              <w:spacing w:before="60" w:after="60"/>
              <w:jc w:val="center"/>
              <w:rPr>
                <w:sz w:val="22"/>
                <w:szCs w:val="22"/>
              </w:rPr>
            </w:pPr>
            <w:r w:rsidRPr="00264D5D">
              <w:rPr>
                <w:sz w:val="22"/>
                <w:szCs w:val="22"/>
              </w:rPr>
              <w:t>Н</w:t>
            </w:r>
          </w:p>
        </w:tc>
        <w:tc>
          <w:tcPr>
            <w:tcW w:w="3960" w:type="dxa"/>
          </w:tcPr>
          <w:p w14:paraId="1B031BFA" w14:textId="77777777" w:rsidR="00AD1F54" w:rsidRPr="00264D5D" w:rsidRDefault="00941227">
            <w:pPr>
              <w:spacing w:before="60" w:after="60"/>
              <w:rPr>
                <w:sz w:val="22"/>
                <w:szCs w:val="22"/>
                <w:lang w:eastAsia="en-US"/>
              </w:rPr>
            </w:pPr>
            <w:r w:rsidRPr="00264D5D">
              <w:rPr>
                <w:sz w:val="22"/>
                <w:szCs w:val="22"/>
                <w:lang w:eastAsia="en-US"/>
              </w:rPr>
              <w:t xml:space="preserve">- </w:t>
            </w:r>
            <w:r w:rsidRPr="00264D5D">
              <w:rPr>
                <w:sz w:val="22"/>
                <w:szCs w:val="22"/>
                <w:lang w:val="en-US" w:eastAsia="en-US"/>
              </w:rPr>
              <w:t>DOC</w:t>
            </w:r>
          </w:p>
        </w:tc>
      </w:tr>
      <w:tr w:rsidR="00AD1F54" w:rsidRPr="00264D5D" w14:paraId="614391B5" w14:textId="77777777" w:rsidTr="00AD1F54">
        <w:trPr>
          <w:cnfStyle w:val="000000010000" w:firstRow="0" w:lastRow="0" w:firstColumn="0" w:lastColumn="0" w:oddVBand="0" w:evenVBand="0" w:oddHBand="0" w:evenHBand="1" w:firstRowFirstColumn="0" w:firstRowLastColumn="0" w:lastRowFirstColumn="0" w:lastRowLastColumn="0"/>
        </w:trPr>
        <w:tc>
          <w:tcPr>
            <w:tcW w:w="9628" w:type="dxa"/>
            <w:gridSpan w:val="6"/>
          </w:tcPr>
          <w:p w14:paraId="165F4E17" w14:textId="77777777" w:rsidR="00AD1F54" w:rsidRPr="00264D5D" w:rsidRDefault="00941227">
            <w:pPr>
              <w:spacing w:before="60" w:after="60"/>
              <w:rPr>
                <w:sz w:val="22"/>
                <w:szCs w:val="22"/>
                <w:lang w:eastAsia="en-US"/>
              </w:rPr>
            </w:pPr>
            <w:r w:rsidRPr="00264D5D">
              <w:rPr>
                <w:sz w:val="22"/>
                <w:szCs w:val="22"/>
                <w:lang w:eastAsia="en-US"/>
              </w:rPr>
              <w:t>&lt;Group ID = "</w:t>
            </w:r>
            <w:r w:rsidRPr="00264D5D">
              <w:rPr>
                <w:sz w:val="22"/>
                <w:szCs w:val="22"/>
                <w:lang w:val="en-US" w:eastAsia="en-US"/>
              </w:rPr>
              <w:t>KPO</w:t>
            </w:r>
            <w:r w:rsidRPr="00264D5D">
              <w:rPr>
                <w:sz w:val="22"/>
                <w:szCs w:val="22"/>
                <w:lang w:eastAsia="en-US"/>
              </w:rPr>
              <w:t>"&gt;</w:t>
            </w:r>
          </w:p>
        </w:tc>
      </w:tr>
      <w:tr w:rsidR="00AD1F54" w:rsidRPr="00264D5D" w14:paraId="7460BD53"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7839C649" w14:textId="77777777" w:rsidR="00AD1F54" w:rsidRPr="00264D5D" w:rsidRDefault="00941227">
            <w:pPr>
              <w:pStyle w:val="EBTablenorm"/>
              <w:ind w:left="57" w:right="57"/>
              <w:jc w:val="left"/>
              <w:rPr>
                <w:sz w:val="22"/>
                <w:szCs w:val="22"/>
              </w:rPr>
            </w:pPr>
            <w:r w:rsidRPr="00264D5D">
              <w:rPr>
                <w:sz w:val="22"/>
                <w:szCs w:val="22"/>
              </w:rPr>
              <w:t>Наименование расширения</w:t>
            </w:r>
          </w:p>
        </w:tc>
        <w:tc>
          <w:tcPr>
            <w:tcW w:w="1700" w:type="dxa"/>
          </w:tcPr>
          <w:p w14:paraId="5B78D02F" w14:textId="77777777" w:rsidR="00AD1F54" w:rsidRPr="00264D5D" w:rsidRDefault="00941227">
            <w:pPr>
              <w:pStyle w:val="EBTablenorm"/>
              <w:ind w:left="57" w:right="57"/>
              <w:jc w:val="left"/>
              <w:rPr>
                <w:sz w:val="22"/>
                <w:szCs w:val="22"/>
                <w:lang w:val="en-US"/>
              </w:rPr>
            </w:pPr>
            <w:r w:rsidRPr="00264D5D">
              <w:rPr>
                <w:sz w:val="22"/>
                <w:szCs w:val="22"/>
                <w:lang w:val="en-US"/>
              </w:rPr>
              <w:t>name</w:t>
            </w:r>
          </w:p>
        </w:tc>
        <w:tc>
          <w:tcPr>
            <w:tcW w:w="567" w:type="dxa"/>
          </w:tcPr>
          <w:p w14:paraId="44D78A0B" w14:textId="77777777" w:rsidR="00AD1F54" w:rsidRPr="00264D5D" w:rsidRDefault="00941227">
            <w:pPr>
              <w:spacing w:before="60" w:after="60"/>
              <w:jc w:val="center"/>
              <w:rPr>
                <w:sz w:val="22"/>
                <w:szCs w:val="22"/>
              </w:rPr>
            </w:pPr>
            <w:r w:rsidRPr="00264D5D">
              <w:rPr>
                <w:sz w:val="22"/>
                <w:szCs w:val="22"/>
              </w:rPr>
              <w:t>А</w:t>
            </w:r>
          </w:p>
        </w:tc>
        <w:tc>
          <w:tcPr>
            <w:tcW w:w="1133" w:type="dxa"/>
          </w:tcPr>
          <w:p w14:paraId="1BD7A236" w14:textId="77777777" w:rsidR="00AD1F54" w:rsidRPr="00264D5D" w:rsidRDefault="00941227">
            <w:pPr>
              <w:spacing w:before="60" w:after="60"/>
              <w:jc w:val="left"/>
              <w:rPr>
                <w:sz w:val="22"/>
                <w:szCs w:val="22"/>
                <w:lang w:val="en-US"/>
              </w:rPr>
            </w:pPr>
            <w:r w:rsidRPr="00264D5D">
              <w:rPr>
                <w:sz w:val="22"/>
                <w:szCs w:val="22"/>
                <w:lang w:val="en-US"/>
              </w:rPr>
              <w:t>string</w:t>
            </w:r>
          </w:p>
        </w:tc>
        <w:tc>
          <w:tcPr>
            <w:tcW w:w="567" w:type="dxa"/>
          </w:tcPr>
          <w:p w14:paraId="3A76BFC5" w14:textId="77777777" w:rsidR="00AD1F54" w:rsidRPr="00264D5D" w:rsidRDefault="00941227">
            <w:pPr>
              <w:spacing w:before="60" w:after="60"/>
              <w:jc w:val="center"/>
              <w:rPr>
                <w:sz w:val="22"/>
                <w:szCs w:val="22"/>
              </w:rPr>
            </w:pPr>
            <w:r w:rsidRPr="00264D5D">
              <w:rPr>
                <w:sz w:val="22"/>
                <w:szCs w:val="22"/>
              </w:rPr>
              <w:t>О</w:t>
            </w:r>
          </w:p>
        </w:tc>
        <w:tc>
          <w:tcPr>
            <w:tcW w:w="3960" w:type="dxa"/>
          </w:tcPr>
          <w:p w14:paraId="78A7AD59" w14:textId="77777777" w:rsidR="00AD1F54" w:rsidRPr="00264D5D" w:rsidRDefault="00941227">
            <w:pPr>
              <w:pStyle w:val="GOSTTablenorm"/>
              <w:rPr>
                <w:szCs w:val="22"/>
              </w:rPr>
            </w:pPr>
            <w:r w:rsidRPr="00264D5D">
              <w:rPr>
                <w:szCs w:val="22"/>
              </w:rPr>
              <w:t>ГУИД выгрузки</w:t>
            </w:r>
          </w:p>
          <w:p w14:paraId="53B225CB" w14:textId="77777777" w:rsidR="00AD1F54" w:rsidRPr="00264D5D" w:rsidRDefault="00941227">
            <w:pPr>
              <w:spacing w:before="60" w:after="60"/>
              <w:rPr>
                <w:sz w:val="22"/>
                <w:szCs w:val="22"/>
                <w:lang w:eastAsia="en-US"/>
              </w:rPr>
            </w:pPr>
            <w:r w:rsidRPr="00264D5D">
              <w:rPr>
                <w:sz w:val="22"/>
                <w:szCs w:val="22"/>
                <w:lang w:val="en-US"/>
              </w:rPr>
              <w:t>kpoGUIDClassInst</w:t>
            </w:r>
          </w:p>
        </w:tc>
      </w:tr>
      <w:tr w:rsidR="00AD1F54" w:rsidRPr="00264D5D" w14:paraId="72BA3CC9"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3E4C1E86" w14:textId="77777777" w:rsidR="00AD1F54" w:rsidRPr="00264D5D" w:rsidRDefault="00941227">
            <w:pPr>
              <w:pStyle w:val="EBTablenorm"/>
              <w:ind w:left="57" w:right="57"/>
              <w:jc w:val="left"/>
              <w:rPr>
                <w:sz w:val="22"/>
                <w:szCs w:val="22"/>
              </w:rPr>
            </w:pPr>
            <w:r w:rsidRPr="00264D5D">
              <w:rPr>
                <w:sz w:val="22"/>
                <w:szCs w:val="22"/>
              </w:rPr>
              <w:t>Значение свойства расширения</w:t>
            </w:r>
          </w:p>
        </w:tc>
        <w:tc>
          <w:tcPr>
            <w:tcW w:w="1700" w:type="dxa"/>
          </w:tcPr>
          <w:p w14:paraId="093BE0D0" w14:textId="77777777" w:rsidR="00AD1F54" w:rsidRPr="00264D5D" w:rsidRDefault="00941227">
            <w:pPr>
              <w:pStyle w:val="EBTablenorm"/>
              <w:ind w:left="57" w:right="57"/>
              <w:jc w:val="left"/>
              <w:rPr>
                <w:sz w:val="22"/>
                <w:szCs w:val="22"/>
                <w:lang w:val="en-US"/>
              </w:rPr>
            </w:pPr>
            <w:r w:rsidRPr="00264D5D">
              <w:rPr>
                <w:sz w:val="22"/>
                <w:szCs w:val="22"/>
                <w:lang w:val="en-US"/>
              </w:rPr>
              <w:t>value</w:t>
            </w:r>
          </w:p>
        </w:tc>
        <w:tc>
          <w:tcPr>
            <w:tcW w:w="567" w:type="dxa"/>
          </w:tcPr>
          <w:p w14:paraId="592C2EC7" w14:textId="77777777" w:rsidR="00AD1F54" w:rsidRPr="00264D5D" w:rsidRDefault="00941227">
            <w:pPr>
              <w:spacing w:before="60" w:after="60"/>
              <w:jc w:val="center"/>
              <w:rPr>
                <w:sz w:val="22"/>
                <w:szCs w:val="22"/>
              </w:rPr>
            </w:pPr>
            <w:r w:rsidRPr="00264D5D">
              <w:rPr>
                <w:sz w:val="22"/>
                <w:szCs w:val="22"/>
              </w:rPr>
              <w:t>А</w:t>
            </w:r>
          </w:p>
        </w:tc>
        <w:tc>
          <w:tcPr>
            <w:tcW w:w="1133" w:type="dxa"/>
          </w:tcPr>
          <w:p w14:paraId="0F0B705F" w14:textId="77777777" w:rsidR="00AD1F54" w:rsidRPr="00264D5D" w:rsidRDefault="00941227">
            <w:pPr>
              <w:spacing w:before="60" w:after="60"/>
              <w:jc w:val="left"/>
              <w:rPr>
                <w:sz w:val="22"/>
                <w:szCs w:val="22"/>
                <w:lang w:val="en-US"/>
              </w:rPr>
            </w:pPr>
            <w:r w:rsidRPr="00264D5D">
              <w:rPr>
                <w:sz w:val="22"/>
                <w:szCs w:val="22"/>
                <w:lang w:val="en-US"/>
              </w:rPr>
              <w:t>string</w:t>
            </w:r>
          </w:p>
        </w:tc>
        <w:tc>
          <w:tcPr>
            <w:tcW w:w="567" w:type="dxa"/>
          </w:tcPr>
          <w:p w14:paraId="44E2AB74" w14:textId="77777777" w:rsidR="00AD1F54" w:rsidRPr="00264D5D" w:rsidRDefault="00941227">
            <w:pPr>
              <w:spacing w:before="60" w:after="60"/>
              <w:jc w:val="center"/>
              <w:rPr>
                <w:sz w:val="22"/>
                <w:szCs w:val="22"/>
              </w:rPr>
            </w:pPr>
            <w:r w:rsidRPr="00264D5D">
              <w:rPr>
                <w:sz w:val="22"/>
                <w:szCs w:val="22"/>
              </w:rPr>
              <w:t>Н</w:t>
            </w:r>
          </w:p>
        </w:tc>
        <w:tc>
          <w:tcPr>
            <w:tcW w:w="3960" w:type="dxa"/>
          </w:tcPr>
          <w:p w14:paraId="46D84ACC" w14:textId="77777777" w:rsidR="00AD1F54" w:rsidRPr="00264D5D" w:rsidRDefault="00941227">
            <w:pPr>
              <w:spacing w:before="60" w:after="60"/>
              <w:rPr>
                <w:sz w:val="22"/>
                <w:szCs w:val="22"/>
              </w:rPr>
            </w:pPr>
            <w:r w:rsidRPr="00264D5D">
              <w:rPr>
                <w:sz w:val="22"/>
                <w:szCs w:val="22"/>
              </w:rPr>
              <w:t>-</w:t>
            </w:r>
          </w:p>
        </w:tc>
      </w:tr>
      <w:tr w:rsidR="00AD1F54" w:rsidRPr="00264D5D" w14:paraId="45D7459B"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DBAF290" w14:textId="77777777" w:rsidR="00AD1F54" w:rsidRPr="00264D5D" w:rsidRDefault="00941227">
            <w:pPr>
              <w:pStyle w:val="EBTablenorm"/>
              <w:ind w:left="57" w:right="57"/>
              <w:jc w:val="left"/>
              <w:rPr>
                <w:sz w:val="22"/>
                <w:szCs w:val="22"/>
              </w:rPr>
            </w:pPr>
            <w:r w:rsidRPr="00264D5D">
              <w:rPr>
                <w:sz w:val="22"/>
                <w:szCs w:val="22"/>
              </w:rPr>
              <w:t>Наименование расширения</w:t>
            </w:r>
          </w:p>
        </w:tc>
        <w:tc>
          <w:tcPr>
            <w:tcW w:w="1700" w:type="dxa"/>
          </w:tcPr>
          <w:p w14:paraId="37F86EC8" w14:textId="77777777" w:rsidR="00AD1F54" w:rsidRPr="00264D5D" w:rsidRDefault="00941227">
            <w:pPr>
              <w:pStyle w:val="EBTablenorm"/>
              <w:ind w:left="57" w:right="57"/>
              <w:jc w:val="left"/>
              <w:rPr>
                <w:sz w:val="22"/>
                <w:szCs w:val="22"/>
                <w:lang w:val="en-US"/>
              </w:rPr>
            </w:pPr>
            <w:r w:rsidRPr="00264D5D">
              <w:rPr>
                <w:sz w:val="22"/>
                <w:szCs w:val="22"/>
                <w:lang w:val="en-US"/>
              </w:rPr>
              <w:t>name</w:t>
            </w:r>
          </w:p>
        </w:tc>
        <w:tc>
          <w:tcPr>
            <w:tcW w:w="567" w:type="dxa"/>
          </w:tcPr>
          <w:p w14:paraId="50BEBADC" w14:textId="77777777" w:rsidR="00AD1F54" w:rsidRPr="00264D5D" w:rsidRDefault="00941227">
            <w:pPr>
              <w:spacing w:before="60" w:after="60"/>
              <w:jc w:val="center"/>
              <w:rPr>
                <w:sz w:val="22"/>
                <w:szCs w:val="22"/>
              </w:rPr>
            </w:pPr>
            <w:r w:rsidRPr="00264D5D">
              <w:rPr>
                <w:sz w:val="22"/>
                <w:szCs w:val="22"/>
              </w:rPr>
              <w:t>А</w:t>
            </w:r>
          </w:p>
        </w:tc>
        <w:tc>
          <w:tcPr>
            <w:tcW w:w="1133" w:type="dxa"/>
          </w:tcPr>
          <w:p w14:paraId="40135959" w14:textId="77777777" w:rsidR="00AD1F54" w:rsidRPr="00264D5D" w:rsidRDefault="00941227">
            <w:pPr>
              <w:spacing w:before="60" w:after="60"/>
              <w:jc w:val="left"/>
              <w:rPr>
                <w:sz w:val="22"/>
                <w:szCs w:val="22"/>
                <w:lang w:val="en-US"/>
              </w:rPr>
            </w:pPr>
            <w:r w:rsidRPr="00264D5D">
              <w:rPr>
                <w:sz w:val="22"/>
                <w:szCs w:val="22"/>
                <w:lang w:val="en-US"/>
              </w:rPr>
              <w:t>string</w:t>
            </w:r>
          </w:p>
        </w:tc>
        <w:tc>
          <w:tcPr>
            <w:tcW w:w="567" w:type="dxa"/>
          </w:tcPr>
          <w:p w14:paraId="4157737D" w14:textId="77777777" w:rsidR="00AD1F54" w:rsidRPr="00264D5D" w:rsidRDefault="00941227">
            <w:pPr>
              <w:spacing w:before="60" w:after="60"/>
              <w:jc w:val="center"/>
              <w:rPr>
                <w:sz w:val="22"/>
                <w:szCs w:val="22"/>
              </w:rPr>
            </w:pPr>
            <w:r w:rsidRPr="00264D5D">
              <w:rPr>
                <w:sz w:val="22"/>
                <w:szCs w:val="22"/>
              </w:rPr>
              <w:t>О</w:t>
            </w:r>
          </w:p>
        </w:tc>
        <w:tc>
          <w:tcPr>
            <w:tcW w:w="3960" w:type="dxa"/>
          </w:tcPr>
          <w:p w14:paraId="52F6592D" w14:textId="77777777" w:rsidR="00AD1F54" w:rsidRPr="00264D5D" w:rsidRDefault="00941227">
            <w:pPr>
              <w:pStyle w:val="GOSTTablenorm"/>
              <w:rPr>
                <w:szCs w:val="22"/>
              </w:rPr>
            </w:pPr>
            <w:r w:rsidRPr="00264D5D">
              <w:rPr>
                <w:szCs w:val="22"/>
              </w:rPr>
              <w:t>Текущий порядок выгрузки</w:t>
            </w:r>
          </w:p>
          <w:p w14:paraId="4FC7FA39" w14:textId="77777777" w:rsidR="00AD1F54" w:rsidRPr="00264D5D" w:rsidRDefault="00941227">
            <w:pPr>
              <w:spacing w:before="60" w:after="60"/>
              <w:rPr>
                <w:sz w:val="22"/>
                <w:szCs w:val="22"/>
              </w:rPr>
            </w:pPr>
            <w:r w:rsidRPr="00264D5D">
              <w:rPr>
                <w:sz w:val="22"/>
                <w:szCs w:val="22"/>
                <w:lang w:val="en-US"/>
              </w:rPr>
              <w:t>kpoCurrentVer</w:t>
            </w:r>
          </w:p>
        </w:tc>
      </w:tr>
      <w:tr w:rsidR="00AD1F54" w:rsidRPr="00264D5D" w14:paraId="098A22F5"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6E963089" w14:textId="77777777" w:rsidR="00AD1F54" w:rsidRPr="00264D5D" w:rsidRDefault="00941227">
            <w:pPr>
              <w:pStyle w:val="EBTablenorm"/>
              <w:ind w:left="57" w:right="57"/>
              <w:jc w:val="left"/>
              <w:rPr>
                <w:sz w:val="22"/>
                <w:szCs w:val="22"/>
              </w:rPr>
            </w:pPr>
            <w:r w:rsidRPr="00264D5D">
              <w:rPr>
                <w:sz w:val="22"/>
                <w:szCs w:val="22"/>
              </w:rPr>
              <w:t>Значение свойства расширения</w:t>
            </w:r>
          </w:p>
        </w:tc>
        <w:tc>
          <w:tcPr>
            <w:tcW w:w="1700" w:type="dxa"/>
          </w:tcPr>
          <w:p w14:paraId="12D0E0D2" w14:textId="77777777" w:rsidR="00AD1F54" w:rsidRPr="00264D5D" w:rsidRDefault="00941227">
            <w:pPr>
              <w:pStyle w:val="EBTablenorm"/>
              <w:ind w:left="57" w:right="57"/>
              <w:jc w:val="left"/>
              <w:rPr>
                <w:sz w:val="22"/>
                <w:szCs w:val="22"/>
                <w:lang w:val="en-US"/>
              </w:rPr>
            </w:pPr>
            <w:r w:rsidRPr="00264D5D">
              <w:rPr>
                <w:sz w:val="22"/>
                <w:szCs w:val="22"/>
                <w:lang w:val="en-US"/>
              </w:rPr>
              <w:t>value</w:t>
            </w:r>
          </w:p>
        </w:tc>
        <w:tc>
          <w:tcPr>
            <w:tcW w:w="567" w:type="dxa"/>
          </w:tcPr>
          <w:p w14:paraId="724DA53D" w14:textId="77777777" w:rsidR="00AD1F54" w:rsidRPr="00264D5D" w:rsidRDefault="00941227">
            <w:pPr>
              <w:spacing w:before="60" w:after="60"/>
              <w:jc w:val="center"/>
              <w:rPr>
                <w:sz w:val="22"/>
                <w:szCs w:val="22"/>
              </w:rPr>
            </w:pPr>
            <w:r w:rsidRPr="00264D5D">
              <w:rPr>
                <w:sz w:val="22"/>
                <w:szCs w:val="22"/>
              </w:rPr>
              <w:t>А</w:t>
            </w:r>
          </w:p>
        </w:tc>
        <w:tc>
          <w:tcPr>
            <w:tcW w:w="1133" w:type="dxa"/>
          </w:tcPr>
          <w:p w14:paraId="27C903E8" w14:textId="77777777" w:rsidR="00AD1F54" w:rsidRPr="00264D5D" w:rsidRDefault="00941227">
            <w:pPr>
              <w:spacing w:before="60" w:after="60"/>
              <w:jc w:val="left"/>
              <w:rPr>
                <w:sz w:val="22"/>
                <w:szCs w:val="22"/>
                <w:lang w:val="en-US"/>
              </w:rPr>
            </w:pPr>
            <w:r w:rsidRPr="00264D5D">
              <w:rPr>
                <w:sz w:val="22"/>
                <w:szCs w:val="22"/>
                <w:lang w:val="en-US"/>
              </w:rPr>
              <w:t>string</w:t>
            </w:r>
          </w:p>
        </w:tc>
        <w:tc>
          <w:tcPr>
            <w:tcW w:w="567" w:type="dxa"/>
          </w:tcPr>
          <w:p w14:paraId="65A7A0BD" w14:textId="77777777" w:rsidR="00AD1F54" w:rsidRPr="00264D5D" w:rsidRDefault="00941227">
            <w:pPr>
              <w:spacing w:before="60" w:after="60"/>
              <w:jc w:val="center"/>
              <w:rPr>
                <w:sz w:val="22"/>
                <w:szCs w:val="22"/>
              </w:rPr>
            </w:pPr>
            <w:r w:rsidRPr="00264D5D">
              <w:rPr>
                <w:sz w:val="22"/>
                <w:szCs w:val="22"/>
              </w:rPr>
              <w:t>Н</w:t>
            </w:r>
          </w:p>
        </w:tc>
        <w:tc>
          <w:tcPr>
            <w:tcW w:w="3960" w:type="dxa"/>
          </w:tcPr>
          <w:p w14:paraId="6ACE5B1C" w14:textId="77777777" w:rsidR="00AD1F54" w:rsidRPr="00264D5D" w:rsidRDefault="00941227">
            <w:pPr>
              <w:spacing w:before="60" w:after="60"/>
              <w:rPr>
                <w:sz w:val="22"/>
                <w:szCs w:val="22"/>
              </w:rPr>
            </w:pPr>
            <w:r w:rsidRPr="00264D5D">
              <w:rPr>
                <w:sz w:val="22"/>
                <w:szCs w:val="22"/>
              </w:rPr>
              <w:t xml:space="preserve"> -</w:t>
            </w:r>
          </w:p>
        </w:tc>
      </w:tr>
      <w:tr w:rsidR="00AD1F54" w:rsidRPr="00264D5D" w14:paraId="17421CE2"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36BC622" w14:textId="77777777" w:rsidR="00AD1F54" w:rsidRPr="00264D5D" w:rsidRDefault="00941227">
            <w:pPr>
              <w:pStyle w:val="EBTablenorm"/>
              <w:ind w:left="57" w:right="57"/>
              <w:jc w:val="left"/>
              <w:rPr>
                <w:sz w:val="22"/>
                <w:szCs w:val="22"/>
              </w:rPr>
            </w:pPr>
            <w:r w:rsidRPr="00264D5D">
              <w:rPr>
                <w:sz w:val="22"/>
                <w:szCs w:val="22"/>
              </w:rPr>
              <w:t>Наименование расширения</w:t>
            </w:r>
          </w:p>
        </w:tc>
        <w:tc>
          <w:tcPr>
            <w:tcW w:w="1700" w:type="dxa"/>
          </w:tcPr>
          <w:p w14:paraId="289CB183" w14:textId="77777777" w:rsidR="00AD1F54" w:rsidRPr="00264D5D" w:rsidRDefault="00941227">
            <w:pPr>
              <w:pStyle w:val="EBTablenorm"/>
              <w:ind w:left="57" w:right="57"/>
              <w:jc w:val="left"/>
              <w:rPr>
                <w:sz w:val="22"/>
                <w:szCs w:val="22"/>
                <w:lang w:val="en-US"/>
              </w:rPr>
            </w:pPr>
            <w:r w:rsidRPr="00264D5D">
              <w:rPr>
                <w:sz w:val="22"/>
                <w:szCs w:val="22"/>
                <w:lang w:val="en-US"/>
              </w:rPr>
              <w:t>name</w:t>
            </w:r>
          </w:p>
        </w:tc>
        <w:tc>
          <w:tcPr>
            <w:tcW w:w="567" w:type="dxa"/>
          </w:tcPr>
          <w:p w14:paraId="1E52BA0C" w14:textId="77777777" w:rsidR="00AD1F54" w:rsidRPr="00264D5D" w:rsidRDefault="00941227">
            <w:pPr>
              <w:spacing w:before="60" w:after="60"/>
              <w:jc w:val="center"/>
              <w:rPr>
                <w:sz w:val="22"/>
                <w:szCs w:val="22"/>
              </w:rPr>
            </w:pPr>
            <w:r w:rsidRPr="00264D5D">
              <w:rPr>
                <w:sz w:val="22"/>
                <w:szCs w:val="22"/>
              </w:rPr>
              <w:t>А</w:t>
            </w:r>
          </w:p>
        </w:tc>
        <w:tc>
          <w:tcPr>
            <w:tcW w:w="1133" w:type="dxa"/>
          </w:tcPr>
          <w:p w14:paraId="66B80E76" w14:textId="77777777" w:rsidR="00AD1F54" w:rsidRPr="00264D5D" w:rsidRDefault="00941227">
            <w:pPr>
              <w:spacing w:before="60" w:after="60"/>
              <w:jc w:val="left"/>
              <w:rPr>
                <w:sz w:val="22"/>
                <w:szCs w:val="22"/>
                <w:lang w:val="en-US"/>
              </w:rPr>
            </w:pPr>
            <w:r w:rsidRPr="00264D5D">
              <w:rPr>
                <w:sz w:val="22"/>
                <w:szCs w:val="22"/>
                <w:lang w:val="en-US"/>
              </w:rPr>
              <w:t>string</w:t>
            </w:r>
          </w:p>
        </w:tc>
        <w:tc>
          <w:tcPr>
            <w:tcW w:w="567" w:type="dxa"/>
          </w:tcPr>
          <w:p w14:paraId="3E0FB63C" w14:textId="77777777" w:rsidR="00AD1F54" w:rsidRPr="00264D5D" w:rsidRDefault="00941227">
            <w:pPr>
              <w:spacing w:before="60" w:after="60"/>
              <w:jc w:val="center"/>
              <w:rPr>
                <w:sz w:val="22"/>
                <w:szCs w:val="22"/>
              </w:rPr>
            </w:pPr>
            <w:r w:rsidRPr="00264D5D">
              <w:rPr>
                <w:sz w:val="22"/>
                <w:szCs w:val="22"/>
              </w:rPr>
              <w:t>О</w:t>
            </w:r>
          </w:p>
        </w:tc>
        <w:tc>
          <w:tcPr>
            <w:tcW w:w="3960" w:type="dxa"/>
          </w:tcPr>
          <w:p w14:paraId="7BCEEED0" w14:textId="77777777" w:rsidR="00AD1F54" w:rsidRPr="00264D5D" w:rsidRDefault="00941227">
            <w:pPr>
              <w:pStyle w:val="GOSTTablenorm"/>
              <w:rPr>
                <w:szCs w:val="22"/>
              </w:rPr>
            </w:pPr>
            <w:r w:rsidRPr="00264D5D">
              <w:rPr>
                <w:szCs w:val="22"/>
              </w:rPr>
              <w:t>Предыдущий порядок выгрузки</w:t>
            </w:r>
          </w:p>
          <w:p w14:paraId="4CACABA8" w14:textId="77777777" w:rsidR="00AD1F54" w:rsidRPr="00264D5D" w:rsidRDefault="00941227">
            <w:pPr>
              <w:spacing w:before="60" w:after="60"/>
              <w:rPr>
                <w:sz w:val="22"/>
                <w:szCs w:val="22"/>
              </w:rPr>
            </w:pPr>
            <w:r w:rsidRPr="00264D5D">
              <w:rPr>
                <w:sz w:val="22"/>
                <w:szCs w:val="22"/>
              </w:rPr>
              <w:t>kpoPreviousVer</w:t>
            </w:r>
          </w:p>
        </w:tc>
      </w:tr>
      <w:tr w:rsidR="00AD1F54" w:rsidRPr="00264D5D" w14:paraId="23340AEE"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5E5ABD33" w14:textId="77777777" w:rsidR="00AD1F54" w:rsidRPr="00264D5D" w:rsidRDefault="00941227">
            <w:pPr>
              <w:pStyle w:val="EBTablenorm"/>
              <w:ind w:left="57" w:right="57"/>
              <w:jc w:val="left"/>
              <w:rPr>
                <w:sz w:val="22"/>
                <w:szCs w:val="22"/>
              </w:rPr>
            </w:pPr>
            <w:r w:rsidRPr="00264D5D">
              <w:rPr>
                <w:sz w:val="22"/>
                <w:szCs w:val="22"/>
              </w:rPr>
              <w:t>Значение свойства расширения</w:t>
            </w:r>
          </w:p>
        </w:tc>
        <w:tc>
          <w:tcPr>
            <w:tcW w:w="1700" w:type="dxa"/>
          </w:tcPr>
          <w:p w14:paraId="5A194915" w14:textId="77777777" w:rsidR="00AD1F54" w:rsidRPr="00264D5D" w:rsidRDefault="00941227">
            <w:pPr>
              <w:pStyle w:val="EBTablenorm"/>
              <w:ind w:left="57" w:right="57"/>
              <w:jc w:val="left"/>
              <w:rPr>
                <w:sz w:val="22"/>
                <w:szCs w:val="22"/>
                <w:lang w:val="en-US"/>
              </w:rPr>
            </w:pPr>
            <w:r w:rsidRPr="00264D5D">
              <w:rPr>
                <w:sz w:val="22"/>
                <w:szCs w:val="22"/>
                <w:lang w:val="en-US"/>
              </w:rPr>
              <w:t>value</w:t>
            </w:r>
          </w:p>
        </w:tc>
        <w:tc>
          <w:tcPr>
            <w:tcW w:w="567" w:type="dxa"/>
          </w:tcPr>
          <w:p w14:paraId="171598A0" w14:textId="77777777" w:rsidR="00AD1F54" w:rsidRPr="00264D5D" w:rsidRDefault="00941227">
            <w:pPr>
              <w:spacing w:before="60" w:after="60"/>
              <w:jc w:val="center"/>
              <w:rPr>
                <w:sz w:val="22"/>
                <w:szCs w:val="22"/>
              </w:rPr>
            </w:pPr>
            <w:r w:rsidRPr="00264D5D">
              <w:rPr>
                <w:sz w:val="22"/>
                <w:szCs w:val="22"/>
              </w:rPr>
              <w:t>А</w:t>
            </w:r>
          </w:p>
        </w:tc>
        <w:tc>
          <w:tcPr>
            <w:tcW w:w="1133" w:type="dxa"/>
          </w:tcPr>
          <w:p w14:paraId="328CFE7A" w14:textId="77777777" w:rsidR="00AD1F54" w:rsidRPr="00264D5D" w:rsidRDefault="00941227">
            <w:pPr>
              <w:spacing w:before="60" w:after="60"/>
              <w:jc w:val="left"/>
              <w:rPr>
                <w:sz w:val="22"/>
                <w:szCs w:val="22"/>
                <w:lang w:val="en-US"/>
              </w:rPr>
            </w:pPr>
            <w:r w:rsidRPr="00264D5D">
              <w:rPr>
                <w:sz w:val="22"/>
                <w:szCs w:val="22"/>
                <w:lang w:val="en-US"/>
              </w:rPr>
              <w:t>string</w:t>
            </w:r>
          </w:p>
        </w:tc>
        <w:tc>
          <w:tcPr>
            <w:tcW w:w="567" w:type="dxa"/>
          </w:tcPr>
          <w:p w14:paraId="660B6BAE" w14:textId="77777777" w:rsidR="00AD1F54" w:rsidRPr="00264D5D" w:rsidRDefault="00941227">
            <w:pPr>
              <w:spacing w:before="60" w:after="60"/>
              <w:jc w:val="center"/>
              <w:rPr>
                <w:sz w:val="22"/>
                <w:szCs w:val="22"/>
              </w:rPr>
            </w:pPr>
            <w:r w:rsidRPr="00264D5D">
              <w:rPr>
                <w:sz w:val="22"/>
                <w:szCs w:val="22"/>
              </w:rPr>
              <w:t>Н</w:t>
            </w:r>
          </w:p>
        </w:tc>
        <w:tc>
          <w:tcPr>
            <w:tcW w:w="3960" w:type="dxa"/>
          </w:tcPr>
          <w:p w14:paraId="5F2ED87D" w14:textId="77777777" w:rsidR="00AD1F54" w:rsidRPr="00264D5D" w:rsidRDefault="00941227">
            <w:pPr>
              <w:spacing w:before="60" w:after="60"/>
              <w:rPr>
                <w:sz w:val="22"/>
                <w:szCs w:val="22"/>
              </w:rPr>
            </w:pPr>
            <w:r w:rsidRPr="00264D5D">
              <w:rPr>
                <w:sz w:val="22"/>
                <w:szCs w:val="22"/>
              </w:rPr>
              <w:t>-</w:t>
            </w:r>
          </w:p>
        </w:tc>
      </w:tr>
      <w:tr w:rsidR="00AD1F54" w:rsidRPr="00264D5D" w14:paraId="2FB46184" w14:textId="77777777" w:rsidTr="00AD1F54">
        <w:trPr>
          <w:cnfStyle w:val="000000100000" w:firstRow="0" w:lastRow="0" w:firstColumn="0" w:lastColumn="0" w:oddVBand="0" w:evenVBand="0" w:oddHBand="1" w:evenHBand="0" w:firstRowFirstColumn="0" w:firstRowLastColumn="0" w:lastRowFirstColumn="0" w:lastRowLastColumn="0"/>
        </w:trPr>
        <w:tc>
          <w:tcPr>
            <w:tcW w:w="9628" w:type="dxa"/>
            <w:gridSpan w:val="6"/>
          </w:tcPr>
          <w:p w14:paraId="1E9405EF" w14:textId="77777777" w:rsidR="00AD1F54" w:rsidRPr="00264D5D" w:rsidRDefault="00941227">
            <w:pPr>
              <w:spacing w:before="60" w:after="60"/>
              <w:rPr>
                <w:sz w:val="22"/>
                <w:szCs w:val="22"/>
              </w:rPr>
            </w:pPr>
            <w:r w:rsidRPr="00264D5D">
              <w:rPr>
                <w:sz w:val="22"/>
                <w:szCs w:val="22"/>
                <w:lang w:eastAsia="en-US"/>
              </w:rPr>
              <w:t>&lt;Group ID = "</w:t>
            </w:r>
            <w:r w:rsidRPr="00264D5D">
              <w:rPr>
                <w:sz w:val="22"/>
                <w:szCs w:val="22"/>
                <w:lang w:val="en-US" w:eastAsia="en-US"/>
              </w:rPr>
              <w:t>SB</w:t>
            </w:r>
            <w:r w:rsidRPr="00264D5D">
              <w:rPr>
                <w:sz w:val="22"/>
                <w:szCs w:val="22"/>
                <w:lang w:eastAsia="en-US"/>
              </w:rPr>
              <w:t>"&gt;</w:t>
            </w:r>
          </w:p>
        </w:tc>
      </w:tr>
      <w:tr w:rsidR="00AD1F54" w:rsidRPr="00264D5D" w14:paraId="1458B2E6"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360DC791" w14:textId="77777777" w:rsidR="00AD1F54" w:rsidRPr="00264D5D" w:rsidRDefault="00941227">
            <w:pPr>
              <w:pStyle w:val="EBTablenorm"/>
              <w:ind w:left="57" w:right="57"/>
              <w:jc w:val="left"/>
              <w:rPr>
                <w:sz w:val="22"/>
                <w:szCs w:val="22"/>
              </w:rPr>
            </w:pPr>
            <w:r w:rsidRPr="00264D5D">
              <w:rPr>
                <w:sz w:val="22"/>
                <w:szCs w:val="22"/>
              </w:rPr>
              <w:t>Наименование расширения</w:t>
            </w:r>
          </w:p>
        </w:tc>
        <w:tc>
          <w:tcPr>
            <w:tcW w:w="1700" w:type="dxa"/>
          </w:tcPr>
          <w:p w14:paraId="49ADCB82" w14:textId="77777777" w:rsidR="00AD1F54" w:rsidRPr="00264D5D" w:rsidRDefault="00941227">
            <w:pPr>
              <w:pStyle w:val="EBTablenorm"/>
              <w:ind w:left="57" w:right="57"/>
              <w:jc w:val="left"/>
              <w:rPr>
                <w:sz w:val="22"/>
                <w:szCs w:val="22"/>
                <w:lang w:val="en-US"/>
              </w:rPr>
            </w:pPr>
            <w:r w:rsidRPr="00264D5D">
              <w:rPr>
                <w:sz w:val="22"/>
                <w:szCs w:val="22"/>
                <w:lang w:val="en-US"/>
              </w:rPr>
              <w:t>name</w:t>
            </w:r>
          </w:p>
        </w:tc>
        <w:tc>
          <w:tcPr>
            <w:tcW w:w="567" w:type="dxa"/>
          </w:tcPr>
          <w:p w14:paraId="2B651F28" w14:textId="77777777" w:rsidR="00AD1F54" w:rsidRPr="00264D5D" w:rsidRDefault="00941227">
            <w:pPr>
              <w:spacing w:before="60" w:after="60"/>
              <w:jc w:val="center"/>
              <w:rPr>
                <w:sz w:val="22"/>
                <w:szCs w:val="22"/>
              </w:rPr>
            </w:pPr>
            <w:r w:rsidRPr="00264D5D">
              <w:rPr>
                <w:sz w:val="22"/>
                <w:szCs w:val="22"/>
              </w:rPr>
              <w:t>А</w:t>
            </w:r>
          </w:p>
        </w:tc>
        <w:tc>
          <w:tcPr>
            <w:tcW w:w="1133" w:type="dxa"/>
          </w:tcPr>
          <w:p w14:paraId="61690EB5" w14:textId="77777777" w:rsidR="00AD1F54" w:rsidRPr="00264D5D" w:rsidRDefault="00941227">
            <w:pPr>
              <w:spacing w:before="60" w:after="60"/>
              <w:jc w:val="left"/>
              <w:rPr>
                <w:sz w:val="22"/>
                <w:szCs w:val="22"/>
                <w:lang w:val="en-US"/>
              </w:rPr>
            </w:pPr>
            <w:r w:rsidRPr="00264D5D">
              <w:rPr>
                <w:sz w:val="22"/>
                <w:szCs w:val="22"/>
                <w:lang w:val="en-US"/>
              </w:rPr>
              <w:t>string</w:t>
            </w:r>
          </w:p>
        </w:tc>
        <w:tc>
          <w:tcPr>
            <w:tcW w:w="567" w:type="dxa"/>
          </w:tcPr>
          <w:p w14:paraId="1666130B" w14:textId="77777777" w:rsidR="00AD1F54" w:rsidRPr="00264D5D" w:rsidRDefault="00941227">
            <w:pPr>
              <w:spacing w:before="60" w:after="60"/>
              <w:jc w:val="center"/>
              <w:rPr>
                <w:sz w:val="22"/>
                <w:szCs w:val="22"/>
              </w:rPr>
            </w:pPr>
            <w:r w:rsidRPr="00264D5D">
              <w:rPr>
                <w:sz w:val="22"/>
                <w:szCs w:val="22"/>
              </w:rPr>
              <w:t>О</w:t>
            </w:r>
          </w:p>
        </w:tc>
        <w:tc>
          <w:tcPr>
            <w:tcW w:w="3960" w:type="dxa"/>
          </w:tcPr>
          <w:p w14:paraId="64F545F1" w14:textId="77777777" w:rsidR="00AD1F54" w:rsidRPr="00264D5D" w:rsidRDefault="00941227">
            <w:pPr>
              <w:pStyle w:val="GOSTTablenorm"/>
              <w:rPr>
                <w:szCs w:val="22"/>
              </w:rPr>
            </w:pPr>
            <w:r w:rsidRPr="00264D5D">
              <w:rPr>
                <w:szCs w:val="22"/>
              </w:rPr>
              <w:t>Тип документа</w:t>
            </w:r>
          </w:p>
          <w:p w14:paraId="30890A30" w14:textId="77777777" w:rsidR="00AD1F54" w:rsidRPr="00264D5D" w:rsidRDefault="00941227">
            <w:pPr>
              <w:spacing w:before="60" w:after="60"/>
              <w:rPr>
                <w:sz w:val="22"/>
                <w:szCs w:val="22"/>
              </w:rPr>
            </w:pPr>
            <w:r w:rsidRPr="00264D5D">
              <w:rPr>
                <w:sz w:val="22"/>
                <w:szCs w:val="22"/>
                <w:lang w:val="en-US" w:eastAsia="en-US"/>
              </w:rPr>
              <w:t>Attribute1</w:t>
            </w:r>
          </w:p>
        </w:tc>
      </w:tr>
      <w:tr w:rsidR="00AD1F54" w:rsidRPr="00264D5D" w14:paraId="05E9F8EB"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9D3E4C4" w14:textId="77777777" w:rsidR="00AD1F54" w:rsidRPr="00264D5D" w:rsidRDefault="00941227">
            <w:pPr>
              <w:pStyle w:val="EBTablenorm"/>
              <w:ind w:left="57" w:right="57"/>
              <w:jc w:val="left"/>
              <w:rPr>
                <w:sz w:val="22"/>
                <w:szCs w:val="22"/>
              </w:rPr>
            </w:pPr>
            <w:r w:rsidRPr="00264D5D">
              <w:rPr>
                <w:sz w:val="22"/>
                <w:szCs w:val="22"/>
              </w:rPr>
              <w:t xml:space="preserve">Значение свойства </w:t>
            </w:r>
            <w:r w:rsidRPr="00264D5D">
              <w:rPr>
                <w:sz w:val="22"/>
                <w:szCs w:val="22"/>
              </w:rPr>
              <w:lastRenderedPageBreak/>
              <w:t>расширения</w:t>
            </w:r>
          </w:p>
        </w:tc>
        <w:tc>
          <w:tcPr>
            <w:tcW w:w="1700" w:type="dxa"/>
          </w:tcPr>
          <w:p w14:paraId="40FC0A6C" w14:textId="77777777" w:rsidR="00AD1F54" w:rsidRPr="00264D5D" w:rsidRDefault="00941227">
            <w:pPr>
              <w:pStyle w:val="EBTablenorm"/>
              <w:ind w:left="57" w:right="57"/>
              <w:jc w:val="left"/>
              <w:rPr>
                <w:sz w:val="22"/>
                <w:szCs w:val="22"/>
                <w:lang w:val="en-US"/>
              </w:rPr>
            </w:pPr>
            <w:r w:rsidRPr="00264D5D">
              <w:rPr>
                <w:sz w:val="22"/>
                <w:szCs w:val="22"/>
                <w:lang w:val="en-US"/>
              </w:rPr>
              <w:lastRenderedPageBreak/>
              <w:t>value</w:t>
            </w:r>
          </w:p>
        </w:tc>
        <w:tc>
          <w:tcPr>
            <w:tcW w:w="567" w:type="dxa"/>
          </w:tcPr>
          <w:p w14:paraId="20289532" w14:textId="77777777" w:rsidR="00AD1F54" w:rsidRPr="00264D5D" w:rsidRDefault="00941227">
            <w:pPr>
              <w:spacing w:before="60" w:after="60"/>
              <w:jc w:val="center"/>
              <w:rPr>
                <w:sz w:val="22"/>
                <w:szCs w:val="22"/>
              </w:rPr>
            </w:pPr>
            <w:r w:rsidRPr="00264D5D">
              <w:rPr>
                <w:sz w:val="22"/>
                <w:szCs w:val="22"/>
              </w:rPr>
              <w:t>А</w:t>
            </w:r>
          </w:p>
        </w:tc>
        <w:tc>
          <w:tcPr>
            <w:tcW w:w="1133" w:type="dxa"/>
          </w:tcPr>
          <w:p w14:paraId="4FF06F56" w14:textId="77777777" w:rsidR="00AD1F54" w:rsidRPr="00264D5D" w:rsidRDefault="00941227">
            <w:pPr>
              <w:spacing w:before="60" w:after="60"/>
              <w:jc w:val="left"/>
              <w:rPr>
                <w:sz w:val="22"/>
                <w:szCs w:val="22"/>
                <w:lang w:val="en-US"/>
              </w:rPr>
            </w:pPr>
            <w:r w:rsidRPr="00264D5D">
              <w:rPr>
                <w:sz w:val="22"/>
                <w:szCs w:val="22"/>
                <w:lang w:val="en-US"/>
              </w:rPr>
              <w:t>string</w:t>
            </w:r>
          </w:p>
        </w:tc>
        <w:tc>
          <w:tcPr>
            <w:tcW w:w="567" w:type="dxa"/>
          </w:tcPr>
          <w:p w14:paraId="55EC1DB8" w14:textId="77777777" w:rsidR="00AD1F54" w:rsidRPr="00264D5D" w:rsidRDefault="00941227">
            <w:pPr>
              <w:spacing w:before="60" w:after="60"/>
              <w:jc w:val="center"/>
              <w:rPr>
                <w:sz w:val="22"/>
                <w:szCs w:val="22"/>
              </w:rPr>
            </w:pPr>
            <w:r w:rsidRPr="00264D5D">
              <w:rPr>
                <w:sz w:val="22"/>
                <w:szCs w:val="22"/>
              </w:rPr>
              <w:t>Н</w:t>
            </w:r>
          </w:p>
        </w:tc>
        <w:tc>
          <w:tcPr>
            <w:tcW w:w="3960" w:type="dxa"/>
          </w:tcPr>
          <w:p w14:paraId="5E3CEFC3" w14:textId="77777777" w:rsidR="00AD1F54" w:rsidRPr="00264D5D" w:rsidRDefault="00941227">
            <w:pPr>
              <w:pStyle w:val="GOSTTablenorm"/>
              <w:rPr>
                <w:szCs w:val="22"/>
                <w:lang w:eastAsia="en-US"/>
              </w:rPr>
            </w:pPr>
            <w:r w:rsidRPr="00264D5D">
              <w:rPr>
                <w:szCs w:val="22"/>
                <w:lang w:eastAsia="en-US"/>
              </w:rPr>
              <w:t>Для Акта</w:t>
            </w:r>
          </w:p>
          <w:p w14:paraId="62C6F676" w14:textId="77777777" w:rsidR="00AD1F54" w:rsidRPr="00264D5D" w:rsidRDefault="00941227">
            <w:pPr>
              <w:spacing w:before="60" w:after="60"/>
              <w:rPr>
                <w:sz w:val="22"/>
                <w:szCs w:val="22"/>
              </w:rPr>
            </w:pPr>
            <w:r w:rsidRPr="00264D5D">
              <w:rPr>
                <w:sz w:val="22"/>
                <w:szCs w:val="22"/>
                <w:lang w:eastAsia="en-US"/>
              </w:rPr>
              <w:t>- РКБ</w:t>
            </w:r>
          </w:p>
        </w:tc>
      </w:tr>
      <w:tr w:rsidR="00AD1F54" w:rsidRPr="00264D5D" w14:paraId="3CD0F45B"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BFEFFFF" w14:textId="77777777" w:rsidR="00AD1F54" w:rsidRPr="00264D5D" w:rsidRDefault="00941227">
            <w:pPr>
              <w:pStyle w:val="EBTablenorm"/>
              <w:ind w:left="57" w:right="57"/>
              <w:jc w:val="left"/>
              <w:rPr>
                <w:sz w:val="22"/>
                <w:szCs w:val="22"/>
              </w:rPr>
            </w:pPr>
            <w:r w:rsidRPr="00264D5D">
              <w:rPr>
                <w:sz w:val="22"/>
                <w:szCs w:val="22"/>
              </w:rPr>
              <w:lastRenderedPageBreak/>
              <w:t>Наименование расширения</w:t>
            </w:r>
          </w:p>
        </w:tc>
        <w:tc>
          <w:tcPr>
            <w:tcW w:w="1700" w:type="dxa"/>
          </w:tcPr>
          <w:p w14:paraId="00AFD56C" w14:textId="77777777" w:rsidR="00AD1F54" w:rsidRPr="00264D5D" w:rsidRDefault="00941227">
            <w:pPr>
              <w:pStyle w:val="EBTablenorm"/>
              <w:ind w:left="57" w:right="57"/>
              <w:jc w:val="left"/>
              <w:rPr>
                <w:sz w:val="22"/>
                <w:szCs w:val="22"/>
                <w:lang w:val="en-US"/>
              </w:rPr>
            </w:pPr>
            <w:r w:rsidRPr="00264D5D">
              <w:rPr>
                <w:sz w:val="22"/>
                <w:szCs w:val="22"/>
                <w:lang w:val="en-US"/>
              </w:rPr>
              <w:t>name</w:t>
            </w:r>
          </w:p>
        </w:tc>
        <w:tc>
          <w:tcPr>
            <w:tcW w:w="567" w:type="dxa"/>
          </w:tcPr>
          <w:p w14:paraId="749B4668" w14:textId="77777777" w:rsidR="00AD1F54" w:rsidRPr="00264D5D" w:rsidRDefault="00941227">
            <w:pPr>
              <w:spacing w:before="60" w:after="60"/>
              <w:jc w:val="center"/>
              <w:rPr>
                <w:sz w:val="22"/>
                <w:szCs w:val="22"/>
              </w:rPr>
            </w:pPr>
            <w:r w:rsidRPr="00264D5D">
              <w:rPr>
                <w:sz w:val="22"/>
                <w:szCs w:val="22"/>
              </w:rPr>
              <w:t>А</w:t>
            </w:r>
          </w:p>
        </w:tc>
        <w:tc>
          <w:tcPr>
            <w:tcW w:w="1133" w:type="dxa"/>
          </w:tcPr>
          <w:p w14:paraId="03E8EA23" w14:textId="77777777" w:rsidR="00AD1F54" w:rsidRPr="00264D5D" w:rsidRDefault="00941227">
            <w:pPr>
              <w:spacing w:before="60" w:after="60"/>
              <w:jc w:val="left"/>
              <w:rPr>
                <w:sz w:val="22"/>
                <w:szCs w:val="22"/>
                <w:lang w:val="en-US"/>
              </w:rPr>
            </w:pPr>
            <w:r w:rsidRPr="00264D5D">
              <w:rPr>
                <w:sz w:val="22"/>
                <w:szCs w:val="22"/>
                <w:lang w:val="en-US"/>
              </w:rPr>
              <w:t>string</w:t>
            </w:r>
          </w:p>
        </w:tc>
        <w:tc>
          <w:tcPr>
            <w:tcW w:w="567" w:type="dxa"/>
          </w:tcPr>
          <w:p w14:paraId="196B0461" w14:textId="77777777" w:rsidR="00AD1F54" w:rsidRPr="00264D5D" w:rsidRDefault="00941227">
            <w:pPr>
              <w:spacing w:before="60" w:after="60"/>
              <w:jc w:val="center"/>
              <w:rPr>
                <w:sz w:val="22"/>
                <w:szCs w:val="22"/>
              </w:rPr>
            </w:pPr>
            <w:r w:rsidRPr="00264D5D">
              <w:rPr>
                <w:sz w:val="22"/>
                <w:szCs w:val="22"/>
              </w:rPr>
              <w:t>О</w:t>
            </w:r>
          </w:p>
        </w:tc>
        <w:tc>
          <w:tcPr>
            <w:tcW w:w="3960" w:type="dxa"/>
          </w:tcPr>
          <w:p w14:paraId="3993B18A" w14:textId="77777777" w:rsidR="00AD1F54" w:rsidRPr="00264D5D" w:rsidRDefault="00941227">
            <w:pPr>
              <w:pStyle w:val="GOSTTablenorm"/>
              <w:rPr>
                <w:szCs w:val="22"/>
                <w:lang w:eastAsia="en-US"/>
              </w:rPr>
            </w:pPr>
            <w:r w:rsidRPr="00264D5D">
              <w:rPr>
                <w:szCs w:val="22"/>
                <w:lang w:eastAsia="en-US"/>
              </w:rPr>
              <w:t>Создатель</w:t>
            </w:r>
          </w:p>
          <w:p w14:paraId="720ECCBA" w14:textId="77777777" w:rsidR="00AD1F54" w:rsidRPr="00264D5D" w:rsidRDefault="00941227">
            <w:pPr>
              <w:spacing w:before="60" w:after="60"/>
              <w:rPr>
                <w:sz w:val="22"/>
                <w:szCs w:val="22"/>
                <w:lang w:eastAsia="en-US"/>
              </w:rPr>
            </w:pPr>
            <w:r w:rsidRPr="00264D5D">
              <w:rPr>
                <w:sz w:val="22"/>
                <w:szCs w:val="22"/>
                <w:lang w:val="en-US" w:eastAsia="en-US"/>
              </w:rPr>
              <w:t>Attribute</w:t>
            </w:r>
            <w:r w:rsidRPr="00264D5D">
              <w:rPr>
                <w:sz w:val="22"/>
                <w:szCs w:val="22"/>
                <w:lang w:eastAsia="en-US"/>
              </w:rPr>
              <w:t>2</w:t>
            </w:r>
          </w:p>
        </w:tc>
      </w:tr>
      <w:tr w:rsidR="00AD1F54" w:rsidRPr="00264D5D" w14:paraId="6A035F76"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73B1968" w14:textId="77777777" w:rsidR="00AD1F54" w:rsidRPr="00264D5D" w:rsidRDefault="00941227">
            <w:pPr>
              <w:pStyle w:val="EBTablenorm"/>
              <w:ind w:left="57" w:right="57"/>
              <w:jc w:val="left"/>
              <w:rPr>
                <w:sz w:val="22"/>
                <w:szCs w:val="22"/>
              </w:rPr>
            </w:pPr>
            <w:r w:rsidRPr="00264D5D">
              <w:rPr>
                <w:sz w:val="22"/>
                <w:szCs w:val="22"/>
              </w:rPr>
              <w:t>Значение свойства расширения</w:t>
            </w:r>
          </w:p>
        </w:tc>
        <w:tc>
          <w:tcPr>
            <w:tcW w:w="1700" w:type="dxa"/>
          </w:tcPr>
          <w:p w14:paraId="714A7628" w14:textId="77777777" w:rsidR="00AD1F54" w:rsidRPr="00264D5D" w:rsidRDefault="00941227">
            <w:pPr>
              <w:pStyle w:val="EBTablenorm"/>
              <w:ind w:left="57" w:right="57"/>
              <w:jc w:val="left"/>
              <w:rPr>
                <w:sz w:val="22"/>
                <w:szCs w:val="22"/>
                <w:lang w:val="en-US"/>
              </w:rPr>
            </w:pPr>
            <w:r w:rsidRPr="00264D5D">
              <w:rPr>
                <w:sz w:val="22"/>
                <w:szCs w:val="22"/>
                <w:lang w:val="en-US"/>
              </w:rPr>
              <w:t>value</w:t>
            </w:r>
          </w:p>
        </w:tc>
        <w:tc>
          <w:tcPr>
            <w:tcW w:w="567" w:type="dxa"/>
          </w:tcPr>
          <w:p w14:paraId="50A3D265" w14:textId="77777777" w:rsidR="00AD1F54" w:rsidRPr="00264D5D" w:rsidRDefault="00941227">
            <w:pPr>
              <w:spacing w:before="60" w:after="60"/>
              <w:jc w:val="center"/>
              <w:rPr>
                <w:sz w:val="22"/>
                <w:szCs w:val="22"/>
              </w:rPr>
            </w:pPr>
            <w:r w:rsidRPr="00264D5D">
              <w:rPr>
                <w:sz w:val="22"/>
                <w:szCs w:val="22"/>
              </w:rPr>
              <w:t>А</w:t>
            </w:r>
          </w:p>
        </w:tc>
        <w:tc>
          <w:tcPr>
            <w:tcW w:w="1133" w:type="dxa"/>
          </w:tcPr>
          <w:p w14:paraId="37CB3BE4" w14:textId="77777777" w:rsidR="00AD1F54" w:rsidRPr="00264D5D" w:rsidRDefault="00941227">
            <w:pPr>
              <w:spacing w:before="60" w:after="60"/>
              <w:jc w:val="left"/>
              <w:rPr>
                <w:sz w:val="22"/>
                <w:szCs w:val="22"/>
                <w:lang w:val="en-US"/>
              </w:rPr>
            </w:pPr>
            <w:r w:rsidRPr="00264D5D">
              <w:rPr>
                <w:sz w:val="22"/>
                <w:szCs w:val="22"/>
                <w:lang w:val="en-US"/>
              </w:rPr>
              <w:t>string</w:t>
            </w:r>
          </w:p>
        </w:tc>
        <w:tc>
          <w:tcPr>
            <w:tcW w:w="567" w:type="dxa"/>
          </w:tcPr>
          <w:p w14:paraId="0AC57372" w14:textId="77777777" w:rsidR="00AD1F54" w:rsidRPr="00264D5D" w:rsidRDefault="00941227">
            <w:pPr>
              <w:spacing w:before="60" w:after="60"/>
              <w:jc w:val="center"/>
              <w:rPr>
                <w:sz w:val="22"/>
                <w:szCs w:val="22"/>
              </w:rPr>
            </w:pPr>
            <w:r w:rsidRPr="00264D5D">
              <w:rPr>
                <w:sz w:val="22"/>
                <w:szCs w:val="22"/>
              </w:rPr>
              <w:t>Н</w:t>
            </w:r>
          </w:p>
        </w:tc>
        <w:tc>
          <w:tcPr>
            <w:tcW w:w="3960" w:type="dxa"/>
          </w:tcPr>
          <w:p w14:paraId="53EA992E" w14:textId="77777777" w:rsidR="00AD1F54" w:rsidRPr="00264D5D" w:rsidRDefault="00941227">
            <w:pPr>
              <w:spacing w:before="60" w:after="60"/>
              <w:rPr>
                <w:sz w:val="22"/>
                <w:szCs w:val="22"/>
                <w:lang w:eastAsia="en-US"/>
              </w:rPr>
            </w:pPr>
            <w:r w:rsidRPr="00264D5D">
              <w:rPr>
                <w:sz w:val="22"/>
                <w:szCs w:val="22"/>
                <w:lang w:eastAsia="en-US"/>
              </w:rPr>
              <w:t>-</w:t>
            </w:r>
          </w:p>
        </w:tc>
      </w:tr>
      <w:tr w:rsidR="00AD1F54" w:rsidRPr="00264D5D" w14:paraId="295918F6"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E722556" w14:textId="77777777" w:rsidR="00AD1F54" w:rsidRPr="00264D5D" w:rsidRDefault="00941227">
            <w:pPr>
              <w:pStyle w:val="EBTablenorm"/>
              <w:ind w:left="57" w:right="57"/>
              <w:jc w:val="left"/>
              <w:rPr>
                <w:sz w:val="22"/>
                <w:szCs w:val="22"/>
              </w:rPr>
            </w:pPr>
            <w:r w:rsidRPr="00264D5D">
              <w:rPr>
                <w:sz w:val="22"/>
                <w:szCs w:val="22"/>
              </w:rPr>
              <w:t>Наименование расширения</w:t>
            </w:r>
          </w:p>
        </w:tc>
        <w:tc>
          <w:tcPr>
            <w:tcW w:w="1700" w:type="dxa"/>
          </w:tcPr>
          <w:p w14:paraId="1C0F0433" w14:textId="77777777" w:rsidR="00AD1F54" w:rsidRPr="00264D5D" w:rsidRDefault="00941227">
            <w:pPr>
              <w:pStyle w:val="EBTablenorm"/>
              <w:ind w:left="57" w:right="57"/>
              <w:jc w:val="left"/>
              <w:rPr>
                <w:sz w:val="22"/>
                <w:szCs w:val="22"/>
                <w:lang w:val="en-US"/>
              </w:rPr>
            </w:pPr>
            <w:r w:rsidRPr="00264D5D">
              <w:rPr>
                <w:sz w:val="22"/>
                <w:szCs w:val="22"/>
                <w:lang w:val="en-US"/>
              </w:rPr>
              <w:t>name</w:t>
            </w:r>
          </w:p>
        </w:tc>
        <w:tc>
          <w:tcPr>
            <w:tcW w:w="567" w:type="dxa"/>
          </w:tcPr>
          <w:p w14:paraId="0720D599" w14:textId="77777777" w:rsidR="00AD1F54" w:rsidRPr="00264D5D" w:rsidRDefault="00941227">
            <w:pPr>
              <w:spacing w:before="60" w:after="60"/>
              <w:jc w:val="center"/>
              <w:rPr>
                <w:sz w:val="22"/>
                <w:szCs w:val="22"/>
              </w:rPr>
            </w:pPr>
            <w:r w:rsidRPr="00264D5D">
              <w:rPr>
                <w:sz w:val="22"/>
                <w:szCs w:val="22"/>
              </w:rPr>
              <w:t>А</w:t>
            </w:r>
          </w:p>
        </w:tc>
        <w:tc>
          <w:tcPr>
            <w:tcW w:w="1133" w:type="dxa"/>
          </w:tcPr>
          <w:p w14:paraId="11AF037C" w14:textId="77777777" w:rsidR="00AD1F54" w:rsidRPr="00264D5D" w:rsidRDefault="00941227">
            <w:pPr>
              <w:spacing w:before="60" w:after="60"/>
              <w:jc w:val="left"/>
              <w:rPr>
                <w:sz w:val="22"/>
                <w:szCs w:val="22"/>
                <w:lang w:val="en-US"/>
              </w:rPr>
            </w:pPr>
            <w:r w:rsidRPr="00264D5D">
              <w:rPr>
                <w:sz w:val="22"/>
                <w:szCs w:val="22"/>
                <w:lang w:val="en-US"/>
              </w:rPr>
              <w:t>string</w:t>
            </w:r>
          </w:p>
        </w:tc>
        <w:tc>
          <w:tcPr>
            <w:tcW w:w="567" w:type="dxa"/>
          </w:tcPr>
          <w:p w14:paraId="022568AB" w14:textId="77777777" w:rsidR="00AD1F54" w:rsidRPr="00264D5D" w:rsidRDefault="00941227">
            <w:pPr>
              <w:spacing w:before="60" w:after="60"/>
              <w:jc w:val="center"/>
              <w:rPr>
                <w:sz w:val="22"/>
                <w:szCs w:val="22"/>
              </w:rPr>
            </w:pPr>
            <w:r w:rsidRPr="00264D5D">
              <w:rPr>
                <w:sz w:val="22"/>
                <w:szCs w:val="22"/>
              </w:rPr>
              <w:t>О</w:t>
            </w:r>
          </w:p>
        </w:tc>
        <w:tc>
          <w:tcPr>
            <w:tcW w:w="3960" w:type="dxa"/>
          </w:tcPr>
          <w:p w14:paraId="702D1992" w14:textId="77777777" w:rsidR="00AD1F54" w:rsidRPr="00264D5D" w:rsidRDefault="00941227">
            <w:pPr>
              <w:pStyle w:val="GOSTTablenorm"/>
              <w:rPr>
                <w:szCs w:val="22"/>
                <w:lang w:eastAsia="en-US"/>
              </w:rPr>
            </w:pPr>
            <w:r w:rsidRPr="00264D5D">
              <w:rPr>
                <w:szCs w:val="22"/>
                <w:lang w:eastAsia="en-US"/>
              </w:rPr>
              <w:t>Дата и время создания документа</w:t>
            </w:r>
          </w:p>
          <w:p w14:paraId="0D3AF1C0" w14:textId="77777777" w:rsidR="00AD1F54" w:rsidRPr="00264D5D" w:rsidRDefault="00941227">
            <w:pPr>
              <w:spacing w:before="60" w:after="60"/>
              <w:rPr>
                <w:sz w:val="22"/>
                <w:szCs w:val="22"/>
                <w:lang w:eastAsia="en-US"/>
              </w:rPr>
            </w:pPr>
            <w:r w:rsidRPr="00264D5D">
              <w:rPr>
                <w:sz w:val="22"/>
                <w:szCs w:val="22"/>
                <w:lang w:val="en-US" w:eastAsia="en-US"/>
              </w:rPr>
              <w:t>Attribute</w:t>
            </w:r>
            <w:r w:rsidRPr="00264D5D">
              <w:rPr>
                <w:sz w:val="22"/>
                <w:szCs w:val="22"/>
                <w:lang w:eastAsia="en-US"/>
              </w:rPr>
              <w:t>3</w:t>
            </w:r>
          </w:p>
        </w:tc>
      </w:tr>
      <w:tr w:rsidR="00AD1F54" w:rsidRPr="00264D5D" w14:paraId="721120D8"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5A1F5069" w14:textId="77777777" w:rsidR="00AD1F54" w:rsidRPr="00264D5D" w:rsidRDefault="00941227">
            <w:pPr>
              <w:pStyle w:val="EBTablenorm"/>
              <w:ind w:left="57" w:right="57"/>
              <w:jc w:val="left"/>
              <w:rPr>
                <w:sz w:val="22"/>
                <w:szCs w:val="22"/>
              </w:rPr>
            </w:pPr>
            <w:r w:rsidRPr="00264D5D">
              <w:rPr>
                <w:sz w:val="22"/>
                <w:szCs w:val="22"/>
              </w:rPr>
              <w:t>Значение свойства расширения</w:t>
            </w:r>
          </w:p>
        </w:tc>
        <w:tc>
          <w:tcPr>
            <w:tcW w:w="1700" w:type="dxa"/>
          </w:tcPr>
          <w:p w14:paraId="7E5CAB13" w14:textId="77777777" w:rsidR="00AD1F54" w:rsidRPr="00264D5D" w:rsidRDefault="00941227">
            <w:pPr>
              <w:pStyle w:val="EBTablenorm"/>
              <w:ind w:left="57" w:right="57"/>
              <w:jc w:val="left"/>
              <w:rPr>
                <w:sz w:val="22"/>
                <w:szCs w:val="22"/>
                <w:lang w:val="en-US"/>
              </w:rPr>
            </w:pPr>
            <w:r w:rsidRPr="00264D5D">
              <w:rPr>
                <w:sz w:val="22"/>
                <w:szCs w:val="22"/>
                <w:lang w:val="en-US"/>
              </w:rPr>
              <w:t>value</w:t>
            </w:r>
          </w:p>
        </w:tc>
        <w:tc>
          <w:tcPr>
            <w:tcW w:w="567" w:type="dxa"/>
          </w:tcPr>
          <w:p w14:paraId="441BFD6D" w14:textId="77777777" w:rsidR="00AD1F54" w:rsidRPr="00264D5D" w:rsidRDefault="00941227">
            <w:pPr>
              <w:spacing w:before="60" w:after="60"/>
              <w:jc w:val="center"/>
              <w:rPr>
                <w:sz w:val="22"/>
                <w:szCs w:val="22"/>
              </w:rPr>
            </w:pPr>
            <w:r w:rsidRPr="00264D5D">
              <w:rPr>
                <w:sz w:val="22"/>
                <w:szCs w:val="22"/>
              </w:rPr>
              <w:t>А</w:t>
            </w:r>
          </w:p>
        </w:tc>
        <w:tc>
          <w:tcPr>
            <w:tcW w:w="1133" w:type="dxa"/>
          </w:tcPr>
          <w:p w14:paraId="00D60C74" w14:textId="77777777" w:rsidR="00AD1F54" w:rsidRPr="00264D5D" w:rsidRDefault="00941227">
            <w:pPr>
              <w:spacing w:before="60" w:after="60"/>
              <w:jc w:val="left"/>
              <w:rPr>
                <w:sz w:val="22"/>
                <w:szCs w:val="22"/>
                <w:lang w:val="en-US"/>
              </w:rPr>
            </w:pPr>
            <w:r w:rsidRPr="00264D5D">
              <w:rPr>
                <w:sz w:val="22"/>
                <w:szCs w:val="22"/>
                <w:lang w:val="en-US"/>
              </w:rPr>
              <w:t>string</w:t>
            </w:r>
          </w:p>
        </w:tc>
        <w:tc>
          <w:tcPr>
            <w:tcW w:w="567" w:type="dxa"/>
          </w:tcPr>
          <w:p w14:paraId="2EA8670E" w14:textId="77777777" w:rsidR="00AD1F54" w:rsidRPr="00264D5D" w:rsidRDefault="00941227">
            <w:pPr>
              <w:spacing w:before="60" w:after="60"/>
              <w:jc w:val="center"/>
              <w:rPr>
                <w:sz w:val="22"/>
                <w:szCs w:val="22"/>
              </w:rPr>
            </w:pPr>
            <w:r w:rsidRPr="00264D5D">
              <w:rPr>
                <w:sz w:val="22"/>
                <w:szCs w:val="22"/>
              </w:rPr>
              <w:t>Н</w:t>
            </w:r>
          </w:p>
        </w:tc>
        <w:tc>
          <w:tcPr>
            <w:tcW w:w="3960" w:type="dxa"/>
          </w:tcPr>
          <w:p w14:paraId="0D863E4F" w14:textId="77777777" w:rsidR="00AD1F54" w:rsidRPr="00264D5D" w:rsidRDefault="00941227">
            <w:pPr>
              <w:spacing w:before="60" w:after="60"/>
              <w:rPr>
                <w:sz w:val="22"/>
                <w:szCs w:val="22"/>
                <w:lang w:eastAsia="en-US"/>
              </w:rPr>
            </w:pPr>
            <w:r w:rsidRPr="00264D5D">
              <w:rPr>
                <w:sz w:val="22"/>
                <w:szCs w:val="22"/>
                <w:lang w:eastAsia="en-US"/>
              </w:rPr>
              <w:t>-</w:t>
            </w:r>
          </w:p>
        </w:tc>
      </w:tr>
      <w:tr w:rsidR="00AD1F54" w:rsidRPr="00264D5D" w14:paraId="0BBA1341"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625F33F" w14:textId="77777777" w:rsidR="00AD1F54" w:rsidRPr="00264D5D" w:rsidRDefault="00941227">
            <w:pPr>
              <w:pStyle w:val="EBTablenorm"/>
              <w:ind w:left="57" w:right="57"/>
              <w:jc w:val="left"/>
              <w:rPr>
                <w:sz w:val="22"/>
                <w:szCs w:val="22"/>
              </w:rPr>
            </w:pPr>
            <w:r w:rsidRPr="00264D5D">
              <w:rPr>
                <w:sz w:val="22"/>
                <w:szCs w:val="22"/>
              </w:rPr>
              <w:t>Наименование расширения</w:t>
            </w:r>
          </w:p>
        </w:tc>
        <w:tc>
          <w:tcPr>
            <w:tcW w:w="1700" w:type="dxa"/>
          </w:tcPr>
          <w:p w14:paraId="48F181FE" w14:textId="77777777" w:rsidR="00AD1F54" w:rsidRPr="00264D5D" w:rsidRDefault="00941227">
            <w:pPr>
              <w:pStyle w:val="EBTablenorm"/>
              <w:ind w:left="57" w:right="57"/>
              <w:jc w:val="left"/>
              <w:rPr>
                <w:sz w:val="22"/>
                <w:szCs w:val="22"/>
                <w:lang w:val="en-US"/>
              </w:rPr>
            </w:pPr>
            <w:r w:rsidRPr="00264D5D">
              <w:rPr>
                <w:sz w:val="22"/>
                <w:szCs w:val="22"/>
                <w:lang w:val="en-US"/>
              </w:rPr>
              <w:t>name</w:t>
            </w:r>
          </w:p>
        </w:tc>
        <w:tc>
          <w:tcPr>
            <w:tcW w:w="567" w:type="dxa"/>
          </w:tcPr>
          <w:p w14:paraId="7414B966" w14:textId="77777777" w:rsidR="00AD1F54" w:rsidRPr="00264D5D" w:rsidRDefault="00941227">
            <w:pPr>
              <w:spacing w:before="60" w:after="60"/>
              <w:jc w:val="center"/>
              <w:rPr>
                <w:sz w:val="22"/>
                <w:szCs w:val="22"/>
              </w:rPr>
            </w:pPr>
            <w:r w:rsidRPr="00264D5D">
              <w:rPr>
                <w:sz w:val="22"/>
                <w:szCs w:val="22"/>
              </w:rPr>
              <w:t>А</w:t>
            </w:r>
          </w:p>
        </w:tc>
        <w:tc>
          <w:tcPr>
            <w:tcW w:w="1133" w:type="dxa"/>
          </w:tcPr>
          <w:p w14:paraId="5A196CDF" w14:textId="77777777" w:rsidR="00AD1F54" w:rsidRPr="00264D5D" w:rsidRDefault="00941227">
            <w:pPr>
              <w:spacing w:before="60" w:after="60"/>
              <w:jc w:val="left"/>
              <w:rPr>
                <w:sz w:val="22"/>
                <w:szCs w:val="22"/>
                <w:lang w:val="en-US"/>
              </w:rPr>
            </w:pPr>
            <w:r w:rsidRPr="00264D5D">
              <w:rPr>
                <w:sz w:val="22"/>
                <w:szCs w:val="22"/>
                <w:lang w:val="en-US"/>
              </w:rPr>
              <w:t>string</w:t>
            </w:r>
          </w:p>
        </w:tc>
        <w:tc>
          <w:tcPr>
            <w:tcW w:w="567" w:type="dxa"/>
          </w:tcPr>
          <w:p w14:paraId="1C7299BB" w14:textId="77777777" w:rsidR="00AD1F54" w:rsidRPr="00264D5D" w:rsidRDefault="00941227">
            <w:pPr>
              <w:spacing w:before="60" w:after="60"/>
              <w:jc w:val="center"/>
              <w:rPr>
                <w:sz w:val="22"/>
                <w:szCs w:val="22"/>
              </w:rPr>
            </w:pPr>
            <w:r w:rsidRPr="00264D5D">
              <w:rPr>
                <w:sz w:val="22"/>
                <w:szCs w:val="22"/>
              </w:rPr>
              <w:t>О</w:t>
            </w:r>
          </w:p>
        </w:tc>
        <w:tc>
          <w:tcPr>
            <w:tcW w:w="3960" w:type="dxa"/>
          </w:tcPr>
          <w:p w14:paraId="738051EE" w14:textId="77777777" w:rsidR="00AD1F54" w:rsidRPr="00264D5D" w:rsidRDefault="00941227">
            <w:pPr>
              <w:pStyle w:val="GOSTTablenorm"/>
              <w:rPr>
                <w:szCs w:val="22"/>
                <w:lang w:eastAsia="en-US"/>
              </w:rPr>
            </w:pPr>
            <w:r w:rsidRPr="00264D5D">
              <w:rPr>
                <w:szCs w:val="22"/>
                <w:lang w:eastAsia="en-US"/>
              </w:rPr>
              <w:t>Номер лицевого счета</w:t>
            </w:r>
          </w:p>
          <w:p w14:paraId="1CD3FDBE" w14:textId="77777777" w:rsidR="00AD1F54" w:rsidRPr="00264D5D" w:rsidRDefault="00941227">
            <w:pPr>
              <w:spacing w:before="60" w:after="60"/>
              <w:rPr>
                <w:sz w:val="22"/>
                <w:szCs w:val="22"/>
                <w:lang w:eastAsia="en-US"/>
              </w:rPr>
            </w:pPr>
            <w:r w:rsidRPr="00264D5D">
              <w:rPr>
                <w:sz w:val="22"/>
                <w:szCs w:val="22"/>
                <w:lang w:val="en-US" w:eastAsia="en-US"/>
              </w:rPr>
              <w:t>Attribute</w:t>
            </w:r>
            <w:r w:rsidRPr="00264D5D">
              <w:rPr>
                <w:sz w:val="22"/>
                <w:szCs w:val="22"/>
                <w:lang w:eastAsia="en-US"/>
              </w:rPr>
              <w:t>4</w:t>
            </w:r>
          </w:p>
        </w:tc>
      </w:tr>
      <w:tr w:rsidR="00AD1F54" w:rsidRPr="00264D5D" w14:paraId="37A10495"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7C81650C" w14:textId="77777777" w:rsidR="00AD1F54" w:rsidRPr="00264D5D" w:rsidRDefault="00941227">
            <w:pPr>
              <w:pStyle w:val="EBTablenorm"/>
              <w:ind w:left="57" w:right="57"/>
              <w:jc w:val="left"/>
              <w:rPr>
                <w:sz w:val="22"/>
                <w:szCs w:val="22"/>
              </w:rPr>
            </w:pPr>
            <w:r w:rsidRPr="00264D5D">
              <w:rPr>
                <w:sz w:val="22"/>
                <w:szCs w:val="22"/>
              </w:rPr>
              <w:t>Значение свойства расширения</w:t>
            </w:r>
          </w:p>
        </w:tc>
        <w:tc>
          <w:tcPr>
            <w:tcW w:w="1700" w:type="dxa"/>
          </w:tcPr>
          <w:p w14:paraId="0B0E85A8" w14:textId="77777777" w:rsidR="00AD1F54" w:rsidRPr="00264D5D" w:rsidRDefault="00941227">
            <w:pPr>
              <w:pStyle w:val="EBTablenorm"/>
              <w:ind w:left="57" w:right="57"/>
              <w:jc w:val="left"/>
              <w:rPr>
                <w:sz w:val="22"/>
                <w:szCs w:val="22"/>
                <w:lang w:val="en-US"/>
              </w:rPr>
            </w:pPr>
            <w:r w:rsidRPr="00264D5D">
              <w:rPr>
                <w:sz w:val="22"/>
                <w:szCs w:val="22"/>
                <w:lang w:val="en-US"/>
              </w:rPr>
              <w:t>value</w:t>
            </w:r>
          </w:p>
        </w:tc>
        <w:tc>
          <w:tcPr>
            <w:tcW w:w="567" w:type="dxa"/>
          </w:tcPr>
          <w:p w14:paraId="472A4118" w14:textId="77777777" w:rsidR="00AD1F54" w:rsidRPr="00264D5D" w:rsidRDefault="00941227">
            <w:pPr>
              <w:spacing w:before="60" w:after="60"/>
              <w:jc w:val="center"/>
              <w:rPr>
                <w:sz w:val="22"/>
                <w:szCs w:val="22"/>
              </w:rPr>
            </w:pPr>
            <w:r w:rsidRPr="00264D5D">
              <w:rPr>
                <w:sz w:val="22"/>
                <w:szCs w:val="22"/>
              </w:rPr>
              <w:t>А</w:t>
            </w:r>
          </w:p>
        </w:tc>
        <w:tc>
          <w:tcPr>
            <w:tcW w:w="1133" w:type="dxa"/>
          </w:tcPr>
          <w:p w14:paraId="3B0FFF00" w14:textId="77777777" w:rsidR="00AD1F54" w:rsidRPr="00264D5D" w:rsidRDefault="00941227">
            <w:pPr>
              <w:spacing w:before="60" w:after="60"/>
              <w:jc w:val="left"/>
              <w:rPr>
                <w:sz w:val="22"/>
                <w:szCs w:val="22"/>
                <w:lang w:val="en-US"/>
              </w:rPr>
            </w:pPr>
            <w:r w:rsidRPr="00264D5D">
              <w:rPr>
                <w:sz w:val="22"/>
                <w:szCs w:val="22"/>
                <w:lang w:val="en-US"/>
              </w:rPr>
              <w:t>string</w:t>
            </w:r>
          </w:p>
        </w:tc>
        <w:tc>
          <w:tcPr>
            <w:tcW w:w="567" w:type="dxa"/>
          </w:tcPr>
          <w:p w14:paraId="6FB66F33" w14:textId="77777777" w:rsidR="00AD1F54" w:rsidRPr="00264D5D" w:rsidRDefault="00941227">
            <w:pPr>
              <w:spacing w:before="60" w:after="60"/>
              <w:jc w:val="center"/>
              <w:rPr>
                <w:sz w:val="22"/>
                <w:szCs w:val="22"/>
              </w:rPr>
            </w:pPr>
            <w:r w:rsidRPr="00264D5D">
              <w:rPr>
                <w:sz w:val="22"/>
                <w:szCs w:val="22"/>
              </w:rPr>
              <w:t>Н</w:t>
            </w:r>
          </w:p>
        </w:tc>
        <w:tc>
          <w:tcPr>
            <w:tcW w:w="3960" w:type="dxa"/>
          </w:tcPr>
          <w:p w14:paraId="44D4ED51" w14:textId="77777777" w:rsidR="00AD1F54" w:rsidRPr="00264D5D" w:rsidRDefault="00941227">
            <w:pPr>
              <w:spacing w:before="60" w:after="60"/>
              <w:rPr>
                <w:sz w:val="22"/>
                <w:szCs w:val="22"/>
                <w:lang w:eastAsia="en-US"/>
              </w:rPr>
            </w:pPr>
            <w:r w:rsidRPr="00264D5D">
              <w:rPr>
                <w:sz w:val="22"/>
                <w:szCs w:val="22"/>
                <w:lang w:eastAsia="en-US"/>
              </w:rPr>
              <w:t>-</w:t>
            </w:r>
          </w:p>
        </w:tc>
      </w:tr>
      <w:tr w:rsidR="00AD1F54" w:rsidRPr="00264D5D" w14:paraId="59234CE7"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37399EE6" w14:textId="77777777" w:rsidR="00AD1F54" w:rsidRPr="00264D5D" w:rsidRDefault="00941227">
            <w:pPr>
              <w:pStyle w:val="EBTablenorm"/>
              <w:ind w:left="57" w:right="57"/>
              <w:jc w:val="left"/>
              <w:rPr>
                <w:sz w:val="22"/>
                <w:szCs w:val="22"/>
              </w:rPr>
            </w:pPr>
            <w:r w:rsidRPr="00264D5D">
              <w:rPr>
                <w:sz w:val="22"/>
                <w:szCs w:val="22"/>
              </w:rPr>
              <w:t>Наименование расширения</w:t>
            </w:r>
          </w:p>
        </w:tc>
        <w:tc>
          <w:tcPr>
            <w:tcW w:w="1700" w:type="dxa"/>
          </w:tcPr>
          <w:p w14:paraId="38919E12" w14:textId="77777777" w:rsidR="00AD1F54" w:rsidRPr="00264D5D" w:rsidRDefault="00941227">
            <w:pPr>
              <w:pStyle w:val="EBTablenorm"/>
              <w:ind w:left="57" w:right="57"/>
              <w:jc w:val="left"/>
              <w:rPr>
                <w:sz w:val="22"/>
                <w:szCs w:val="22"/>
                <w:lang w:val="en-US"/>
              </w:rPr>
            </w:pPr>
            <w:r w:rsidRPr="00264D5D">
              <w:rPr>
                <w:sz w:val="22"/>
                <w:szCs w:val="22"/>
                <w:lang w:val="en-US"/>
              </w:rPr>
              <w:t>name</w:t>
            </w:r>
          </w:p>
        </w:tc>
        <w:tc>
          <w:tcPr>
            <w:tcW w:w="567" w:type="dxa"/>
          </w:tcPr>
          <w:p w14:paraId="4569DB13" w14:textId="77777777" w:rsidR="00AD1F54" w:rsidRPr="00264D5D" w:rsidRDefault="00941227">
            <w:pPr>
              <w:spacing w:before="60" w:after="60"/>
              <w:jc w:val="center"/>
              <w:rPr>
                <w:sz w:val="22"/>
                <w:szCs w:val="22"/>
              </w:rPr>
            </w:pPr>
            <w:r w:rsidRPr="00264D5D">
              <w:rPr>
                <w:sz w:val="22"/>
                <w:szCs w:val="22"/>
              </w:rPr>
              <w:t>А</w:t>
            </w:r>
          </w:p>
        </w:tc>
        <w:tc>
          <w:tcPr>
            <w:tcW w:w="1133" w:type="dxa"/>
          </w:tcPr>
          <w:p w14:paraId="09064D22" w14:textId="77777777" w:rsidR="00AD1F54" w:rsidRPr="00264D5D" w:rsidRDefault="00941227">
            <w:pPr>
              <w:spacing w:before="60" w:after="60"/>
              <w:jc w:val="left"/>
              <w:rPr>
                <w:sz w:val="22"/>
                <w:szCs w:val="22"/>
                <w:lang w:val="en-US"/>
              </w:rPr>
            </w:pPr>
            <w:r w:rsidRPr="00264D5D">
              <w:rPr>
                <w:sz w:val="22"/>
                <w:szCs w:val="22"/>
                <w:lang w:val="en-US"/>
              </w:rPr>
              <w:t>string</w:t>
            </w:r>
          </w:p>
        </w:tc>
        <w:tc>
          <w:tcPr>
            <w:tcW w:w="567" w:type="dxa"/>
          </w:tcPr>
          <w:p w14:paraId="51C9D409" w14:textId="77777777" w:rsidR="00AD1F54" w:rsidRPr="00264D5D" w:rsidRDefault="00941227">
            <w:pPr>
              <w:spacing w:before="60" w:after="60"/>
              <w:jc w:val="center"/>
              <w:rPr>
                <w:sz w:val="22"/>
                <w:szCs w:val="22"/>
              </w:rPr>
            </w:pPr>
            <w:r w:rsidRPr="00264D5D">
              <w:rPr>
                <w:sz w:val="22"/>
                <w:szCs w:val="22"/>
              </w:rPr>
              <w:t>О</w:t>
            </w:r>
          </w:p>
        </w:tc>
        <w:tc>
          <w:tcPr>
            <w:tcW w:w="3960" w:type="dxa"/>
          </w:tcPr>
          <w:p w14:paraId="46D8506F" w14:textId="77777777" w:rsidR="00AD1F54" w:rsidRPr="00264D5D" w:rsidRDefault="00941227">
            <w:pPr>
              <w:pStyle w:val="GOSTTablenorm"/>
              <w:rPr>
                <w:szCs w:val="22"/>
                <w:lang w:eastAsia="en-US"/>
              </w:rPr>
            </w:pPr>
            <w:r w:rsidRPr="00264D5D">
              <w:rPr>
                <w:szCs w:val="22"/>
                <w:lang w:eastAsia="en-US"/>
              </w:rPr>
              <w:t>Уровень секретности</w:t>
            </w:r>
          </w:p>
          <w:p w14:paraId="73929321" w14:textId="77777777" w:rsidR="00AD1F54" w:rsidRPr="00264D5D" w:rsidRDefault="00941227">
            <w:pPr>
              <w:spacing w:before="60" w:after="60"/>
              <w:rPr>
                <w:sz w:val="22"/>
                <w:szCs w:val="22"/>
                <w:lang w:eastAsia="en-US"/>
              </w:rPr>
            </w:pPr>
            <w:r w:rsidRPr="00264D5D">
              <w:rPr>
                <w:sz w:val="22"/>
                <w:szCs w:val="22"/>
                <w:lang w:val="en-US" w:eastAsia="en-US"/>
              </w:rPr>
              <w:t>Attribute</w:t>
            </w:r>
            <w:r w:rsidRPr="00264D5D">
              <w:rPr>
                <w:sz w:val="22"/>
                <w:szCs w:val="22"/>
                <w:lang w:eastAsia="en-US"/>
              </w:rPr>
              <w:t>5</w:t>
            </w:r>
          </w:p>
        </w:tc>
      </w:tr>
      <w:tr w:rsidR="00AD1F54" w:rsidRPr="00264D5D" w14:paraId="68E69630"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A4A13C2" w14:textId="77777777" w:rsidR="00AD1F54" w:rsidRPr="00264D5D" w:rsidRDefault="00941227">
            <w:pPr>
              <w:pStyle w:val="EBTablenorm"/>
              <w:ind w:left="57" w:right="57"/>
              <w:jc w:val="left"/>
              <w:rPr>
                <w:sz w:val="22"/>
                <w:szCs w:val="22"/>
              </w:rPr>
            </w:pPr>
            <w:r w:rsidRPr="00264D5D">
              <w:rPr>
                <w:sz w:val="22"/>
                <w:szCs w:val="22"/>
              </w:rPr>
              <w:t>Значение свойства расширения</w:t>
            </w:r>
          </w:p>
        </w:tc>
        <w:tc>
          <w:tcPr>
            <w:tcW w:w="1700" w:type="dxa"/>
          </w:tcPr>
          <w:p w14:paraId="46E4CB26" w14:textId="77777777" w:rsidR="00AD1F54" w:rsidRPr="00264D5D" w:rsidRDefault="00941227">
            <w:pPr>
              <w:pStyle w:val="EBTablenorm"/>
              <w:ind w:left="57" w:right="57"/>
              <w:jc w:val="left"/>
              <w:rPr>
                <w:sz w:val="22"/>
                <w:szCs w:val="22"/>
                <w:lang w:val="en-US"/>
              </w:rPr>
            </w:pPr>
            <w:r w:rsidRPr="00264D5D">
              <w:rPr>
                <w:sz w:val="22"/>
                <w:szCs w:val="22"/>
                <w:lang w:val="en-US"/>
              </w:rPr>
              <w:t>value</w:t>
            </w:r>
          </w:p>
        </w:tc>
        <w:tc>
          <w:tcPr>
            <w:tcW w:w="567" w:type="dxa"/>
          </w:tcPr>
          <w:p w14:paraId="52524A31" w14:textId="77777777" w:rsidR="00AD1F54" w:rsidRPr="00264D5D" w:rsidRDefault="00941227">
            <w:pPr>
              <w:spacing w:before="60" w:after="60"/>
              <w:jc w:val="center"/>
              <w:rPr>
                <w:sz w:val="22"/>
                <w:szCs w:val="22"/>
              </w:rPr>
            </w:pPr>
            <w:r w:rsidRPr="00264D5D">
              <w:rPr>
                <w:sz w:val="22"/>
                <w:szCs w:val="22"/>
              </w:rPr>
              <w:t>А</w:t>
            </w:r>
          </w:p>
        </w:tc>
        <w:tc>
          <w:tcPr>
            <w:tcW w:w="1133" w:type="dxa"/>
          </w:tcPr>
          <w:p w14:paraId="39F52E64" w14:textId="77777777" w:rsidR="00AD1F54" w:rsidRPr="00264D5D" w:rsidRDefault="00941227">
            <w:pPr>
              <w:spacing w:before="60" w:after="60"/>
              <w:jc w:val="left"/>
              <w:rPr>
                <w:sz w:val="22"/>
                <w:szCs w:val="22"/>
                <w:lang w:val="en-US"/>
              </w:rPr>
            </w:pPr>
            <w:r w:rsidRPr="00264D5D">
              <w:rPr>
                <w:sz w:val="22"/>
                <w:szCs w:val="22"/>
                <w:lang w:val="en-US"/>
              </w:rPr>
              <w:t>string</w:t>
            </w:r>
          </w:p>
        </w:tc>
        <w:tc>
          <w:tcPr>
            <w:tcW w:w="567" w:type="dxa"/>
          </w:tcPr>
          <w:p w14:paraId="0E017E16" w14:textId="77777777" w:rsidR="00AD1F54" w:rsidRPr="00264D5D" w:rsidRDefault="00941227">
            <w:pPr>
              <w:spacing w:before="60" w:after="60"/>
              <w:jc w:val="center"/>
              <w:rPr>
                <w:sz w:val="22"/>
                <w:szCs w:val="22"/>
              </w:rPr>
            </w:pPr>
            <w:r w:rsidRPr="00264D5D">
              <w:rPr>
                <w:sz w:val="22"/>
                <w:szCs w:val="22"/>
              </w:rPr>
              <w:t>Н</w:t>
            </w:r>
          </w:p>
        </w:tc>
        <w:tc>
          <w:tcPr>
            <w:tcW w:w="3960" w:type="dxa"/>
          </w:tcPr>
          <w:p w14:paraId="6A4EB79B" w14:textId="77777777" w:rsidR="00AD1F54" w:rsidRPr="00264D5D" w:rsidRDefault="00941227">
            <w:pPr>
              <w:spacing w:before="60" w:after="60"/>
              <w:rPr>
                <w:sz w:val="22"/>
                <w:szCs w:val="22"/>
                <w:lang w:eastAsia="en-US"/>
              </w:rPr>
            </w:pPr>
            <w:r w:rsidRPr="00264D5D">
              <w:rPr>
                <w:sz w:val="22"/>
                <w:szCs w:val="22"/>
                <w:lang w:eastAsia="en-US"/>
              </w:rPr>
              <w:t>-</w:t>
            </w:r>
          </w:p>
        </w:tc>
      </w:tr>
      <w:tr w:rsidR="00AD1F54" w:rsidRPr="00264D5D" w14:paraId="00BF10B1"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11CAA51" w14:textId="77777777" w:rsidR="00AD1F54" w:rsidRPr="00264D5D" w:rsidRDefault="00941227">
            <w:pPr>
              <w:pStyle w:val="EBTablenorm"/>
              <w:ind w:left="57" w:right="57"/>
              <w:jc w:val="left"/>
              <w:rPr>
                <w:sz w:val="22"/>
                <w:szCs w:val="22"/>
              </w:rPr>
            </w:pPr>
            <w:r w:rsidRPr="00264D5D">
              <w:rPr>
                <w:sz w:val="22"/>
                <w:szCs w:val="22"/>
              </w:rPr>
              <w:t>Наименование расширения</w:t>
            </w:r>
          </w:p>
        </w:tc>
        <w:tc>
          <w:tcPr>
            <w:tcW w:w="1700" w:type="dxa"/>
          </w:tcPr>
          <w:p w14:paraId="73BEE16E" w14:textId="77777777" w:rsidR="00AD1F54" w:rsidRPr="00264D5D" w:rsidRDefault="00941227">
            <w:pPr>
              <w:pStyle w:val="EBTablenorm"/>
              <w:ind w:left="57" w:right="57"/>
              <w:jc w:val="left"/>
              <w:rPr>
                <w:sz w:val="22"/>
                <w:szCs w:val="22"/>
                <w:lang w:val="en-US"/>
              </w:rPr>
            </w:pPr>
            <w:r w:rsidRPr="00264D5D">
              <w:rPr>
                <w:sz w:val="22"/>
                <w:szCs w:val="22"/>
                <w:lang w:val="en-US"/>
              </w:rPr>
              <w:t>name</w:t>
            </w:r>
          </w:p>
        </w:tc>
        <w:tc>
          <w:tcPr>
            <w:tcW w:w="567" w:type="dxa"/>
          </w:tcPr>
          <w:p w14:paraId="7CDB2A79" w14:textId="77777777" w:rsidR="00AD1F54" w:rsidRPr="00264D5D" w:rsidRDefault="00941227">
            <w:pPr>
              <w:spacing w:before="60" w:after="60"/>
              <w:jc w:val="center"/>
              <w:rPr>
                <w:sz w:val="22"/>
                <w:szCs w:val="22"/>
              </w:rPr>
            </w:pPr>
            <w:r w:rsidRPr="00264D5D">
              <w:rPr>
                <w:sz w:val="22"/>
                <w:szCs w:val="22"/>
              </w:rPr>
              <w:t>А</w:t>
            </w:r>
          </w:p>
        </w:tc>
        <w:tc>
          <w:tcPr>
            <w:tcW w:w="1133" w:type="dxa"/>
          </w:tcPr>
          <w:p w14:paraId="7EF96B59" w14:textId="77777777" w:rsidR="00AD1F54" w:rsidRPr="00264D5D" w:rsidRDefault="00941227">
            <w:pPr>
              <w:spacing w:before="60" w:after="60"/>
              <w:jc w:val="left"/>
              <w:rPr>
                <w:sz w:val="22"/>
                <w:szCs w:val="22"/>
                <w:lang w:val="en-US"/>
              </w:rPr>
            </w:pPr>
            <w:r w:rsidRPr="00264D5D">
              <w:rPr>
                <w:sz w:val="22"/>
                <w:szCs w:val="22"/>
                <w:lang w:val="en-US"/>
              </w:rPr>
              <w:t>string</w:t>
            </w:r>
          </w:p>
        </w:tc>
        <w:tc>
          <w:tcPr>
            <w:tcW w:w="567" w:type="dxa"/>
          </w:tcPr>
          <w:p w14:paraId="41983E3A" w14:textId="77777777" w:rsidR="00AD1F54" w:rsidRPr="00264D5D" w:rsidRDefault="00941227">
            <w:pPr>
              <w:spacing w:before="60" w:after="60"/>
              <w:jc w:val="center"/>
              <w:rPr>
                <w:sz w:val="22"/>
                <w:szCs w:val="22"/>
              </w:rPr>
            </w:pPr>
            <w:r w:rsidRPr="00264D5D">
              <w:rPr>
                <w:sz w:val="22"/>
                <w:szCs w:val="22"/>
              </w:rPr>
              <w:t>О</w:t>
            </w:r>
          </w:p>
        </w:tc>
        <w:tc>
          <w:tcPr>
            <w:tcW w:w="3960" w:type="dxa"/>
          </w:tcPr>
          <w:p w14:paraId="08980B85" w14:textId="77777777" w:rsidR="00AD1F54" w:rsidRPr="00264D5D" w:rsidRDefault="00941227">
            <w:pPr>
              <w:pStyle w:val="GOSTTablenorm"/>
              <w:rPr>
                <w:szCs w:val="22"/>
                <w:lang w:eastAsia="en-US"/>
              </w:rPr>
            </w:pPr>
            <w:r w:rsidRPr="00264D5D">
              <w:rPr>
                <w:szCs w:val="22"/>
                <w:lang w:eastAsia="en-US"/>
              </w:rPr>
              <w:t>Пункт перечня</w:t>
            </w:r>
          </w:p>
          <w:p w14:paraId="4BFE95A1" w14:textId="77777777" w:rsidR="00AD1F54" w:rsidRPr="00264D5D" w:rsidRDefault="00941227">
            <w:pPr>
              <w:spacing w:before="60" w:after="60"/>
              <w:rPr>
                <w:sz w:val="22"/>
                <w:szCs w:val="22"/>
                <w:lang w:eastAsia="en-US"/>
              </w:rPr>
            </w:pPr>
            <w:r w:rsidRPr="00264D5D">
              <w:rPr>
                <w:sz w:val="22"/>
                <w:szCs w:val="22"/>
                <w:lang w:val="en-US" w:eastAsia="en-US"/>
              </w:rPr>
              <w:t>Attribute</w:t>
            </w:r>
            <w:r w:rsidRPr="00264D5D">
              <w:rPr>
                <w:sz w:val="22"/>
                <w:szCs w:val="22"/>
                <w:lang w:eastAsia="en-US"/>
              </w:rPr>
              <w:t>6</w:t>
            </w:r>
          </w:p>
        </w:tc>
      </w:tr>
      <w:tr w:rsidR="00AD1F54" w:rsidRPr="00264D5D" w14:paraId="547B23AC"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CF0098D" w14:textId="77777777" w:rsidR="00AD1F54" w:rsidRPr="00264D5D" w:rsidRDefault="00941227">
            <w:pPr>
              <w:pStyle w:val="EBTablenorm"/>
              <w:ind w:left="57" w:right="57"/>
              <w:jc w:val="left"/>
              <w:rPr>
                <w:sz w:val="22"/>
                <w:szCs w:val="22"/>
              </w:rPr>
            </w:pPr>
            <w:r w:rsidRPr="00264D5D">
              <w:rPr>
                <w:sz w:val="22"/>
                <w:szCs w:val="22"/>
              </w:rPr>
              <w:t>Значение свойства расширения</w:t>
            </w:r>
          </w:p>
        </w:tc>
        <w:tc>
          <w:tcPr>
            <w:tcW w:w="1700" w:type="dxa"/>
          </w:tcPr>
          <w:p w14:paraId="5FAB495A" w14:textId="77777777" w:rsidR="00AD1F54" w:rsidRPr="00264D5D" w:rsidRDefault="00941227">
            <w:pPr>
              <w:pStyle w:val="EBTablenorm"/>
              <w:ind w:left="57" w:right="57"/>
              <w:jc w:val="left"/>
              <w:rPr>
                <w:sz w:val="22"/>
                <w:szCs w:val="22"/>
                <w:lang w:val="en-US"/>
              </w:rPr>
            </w:pPr>
            <w:r w:rsidRPr="00264D5D">
              <w:rPr>
                <w:sz w:val="22"/>
                <w:szCs w:val="22"/>
                <w:lang w:val="en-US"/>
              </w:rPr>
              <w:t>value</w:t>
            </w:r>
          </w:p>
        </w:tc>
        <w:tc>
          <w:tcPr>
            <w:tcW w:w="567" w:type="dxa"/>
          </w:tcPr>
          <w:p w14:paraId="4929F2E9" w14:textId="77777777" w:rsidR="00AD1F54" w:rsidRPr="00264D5D" w:rsidRDefault="00941227">
            <w:pPr>
              <w:spacing w:before="60" w:after="60"/>
              <w:jc w:val="center"/>
              <w:rPr>
                <w:sz w:val="22"/>
                <w:szCs w:val="22"/>
              </w:rPr>
            </w:pPr>
            <w:r w:rsidRPr="00264D5D">
              <w:rPr>
                <w:sz w:val="22"/>
                <w:szCs w:val="22"/>
              </w:rPr>
              <w:t>А</w:t>
            </w:r>
          </w:p>
        </w:tc>
        <w:tc>
          <w:tcPr>
            <w:tcW w:w="1133" w:type="dxa"/>
          </w:tcPr>
          <w:p w14:paraId="6958C017" w14:textId="77777777" w:rsidR="00AD1F54" w:rsidRPr="00264D5D" w:rsidRDefault="00941227">
            <w:pPr>
              <w:spacing w:before="60" w:after="60"/>
              <w:jc w:val="left"/>
              <w:rPr>
                <w:sz w:val="22"/>
                <w:szCs w:val="22"/>
                <w:lang w:val="en-US"/>
              </w:rPr>
            </w:pPr>
            <w:r w:rsidRPr="00264D5D">
              <w:rPr>
                <w:sz w:val="22"/>
                <w:szCs w:val="22"/>
                <w:lang w:val="en-US"/>
              </w:rPr>
              <w:t>string</w:t>
            </w:r>
          </w:p>
        </w:tc>
        <w:tc>
          <w:tcPr>
            <w:tcW w:w="567" w:type="dxa"/>
          </w:tcPr>
          <w:p w14:paraId="0CCE1E55" w14:textId="77777777" w:rsidR="00AD1F54" w:rsidRPr="00264D5D" w:rsidRDefault="00941227">
            <w:pPr>
              <w:spacing w:before="60" w:after="60"/>
              <w:jc w:val="center"/>
              <w:rPr>
                <w:sz w:val="22"/>
                <w:szCs w:val="22"/>
              </w:rPr>
            </w:pPr>
            <w:r w:rsidRPr="00264D5D">
              <w:rPr>
                <w:sz w:val="22"/>
                <w:szCs w:val="22"/>
              </w:rPr>
              <w:t>Н</w:t>
            </w:r>
          </w:p>
        </w:tc>
        <w:tc>
          <w:tcPr>
            <w:tcW w:w="3960" w:type="dxa"/>
          </w:tcPr>
          <w:p w14:paraId="5A6E4C8A" w14:textId="77777777" w:rsidR="00AD1F54" w:rsidRPr="00264D5D" w:rsidRDefault="00941227">
            <w:pPr>
              <w:spacing w:before="60" w:after="60"/>
              <w:rPr>
                <w:sz w:val="22"/>
                <w:szCs w:val="22"/>
                <w:lang w:eastAsia="en-US"/>
              </w:rPr>
            </w:pPr>
            <w:r w:rsidRPr="00264D5D">
              <w:rPr>
                <w:sz w:val="22"/>
                <w:szCs w:val="22"/>
                <w:lang w:eastAsia="en-US"/>
              </w:rPr>
              <w:t>-</w:t>
            </w:r>
          </w:p>
        </w:tc>
      </w:tr>
    </w:tbl>
    <w:p w14:paraId="131459A6" w14:textId="77777777" w:rsidR="00AD1F54" w:rsidRPr="00264D5D" w:rsidRDefault="00941227">
      <w:pPr>
        <w:pStyle w:val="22"/>
        <w:rPr>
          <w:lang w:val="ru-RU"/>
        </w:rPr>
      </w:pPr>
      <w:bookmarkStart w:id="572" w:name="_Toc219309457"/>
      <w:r w:rsidRPr="00264D5D">
        <w:rPr>
          <w:lang w:val="ru-RU"/>
        </w:rPr>
        <w:t>Описание бизнес данных пакета «</w:t>
      </w:r>
      <w:r w:rsidRPr="00264D5D">
        <w:t>DataArea</w:t>
      </w:r>
      <w:r w:rsidRPr="00264D5D">
        <w:rPr>
          <w:lang w:val="ru-RU"/>
        </w:rPr>
        <w:t>»</w:t>
      </w:r>
      <w:bookmarkEnd w:id="569"/>
      <w:bookmarkEnd w:id="572"/>
    </w:p>
    <w:p w14:paraId="0EBFF8D2" w14:textId="1F82BBDD" w:rsidR="00AD1F54" w:rsidRPr="00264D5D" w:rsidRDefault="001E5517">
      <w:pPr>
        <w:pStyle w:val="GOSTNameTable"/>
        <w:numPr>
          <w:ilvl w:val="0"/>
          <w:numId w:val="2"/>
        </w:numPr>
        <w:ind w:left="425" w:hanging="357"/>
      </w:pPr>
      <w:r w:rsidRPr="00264D5D">
        <w:rPr>
          <w:noProof/>
        </w:rPr>
        <w:fldChar w:fldCharType="begin"/>
      </w:r>
      <w:r w:rsidRPr="00264D5D">
        <w:rPr>
          <w:noProof/>
        </w:rPr>
        <w:instrText xml:space="preserve"> SEQ Таблица \* ARABIC </w:instrText>
      </w:r>
      <w:r w:rsidRPr="00264D5D">
        <w:rPr>
          <w:noProof/>
        </w:rPr>
        <w:fldChar w:fldCharType="separate"/>
      </w:r>
      <w:bookmarkStart w:id="573" w:name="_Toc219309052"/>
      <w:r w:rsidR="008D797C">
        <w:rPr>
          <w:noProof/>
        </w:rPr>
        <w:t>22</w:t>
      </w:r>
      <w:r w:rsidRPr="00264D5D">
        <w:rPr>
          <w:noProof/>
        </w:rPr>
        <w:fldChar w:fldCharType="end"/>
      </w:r>
      <w:r w:rsidR="00941227" w:rsidRPr="00264D5D">
        <w:rPr>
          <w:rFonts w:eastAsia="Calibri"/>
          <w:szCs w:val="24"/>
        </w:rPr>
        <w:t xml:space="preserve"> – </w:t>
      </w:r>
      <w:r w:rsidR="00941227" w:rsidRPr="00264D5D">
        <w:t>Описание составного элемента «DataArea»</w:t>
      </w:r>
      <w:bookmarkEnd w:id="573"/>
    </w:p>
    <w:tbl>
      <w:tblPr>
        <w:tblStyle w:val="GOSTTable"/>
        <w:tblW w:w="5000" w:type="pct"/>
        <w:tblLayout w:type="fixed"/>
        <w:tblLook w:val="01E0" w:firstRow="1" w:lastRow="1" w:firstColumn="1" w:lastColumn="1" w:noHBand="0" w:noVBand="0"/>
      </w:tblPr>
      <w:tblGrid>
        <w:gridCol w:w="1705"/>
        <w:gridCol w:w="1704"/>
        <w:gridCol w:w="568"/>
        <w:gridCol w:w="1136"/>
        <w:gridCol w:w="568"/>
        <w:gridCol w:w="3969"/>
      </w:tblGrid>
      <w:tr w:rsidR="00AD1F54" w:rsidRPr="00264D5D" w14:paraId="7A3F62B9"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3" w:type="dxa"/>
          </w:tcPr>
          <w:p w14:paraId="75B936A6" w14:textId="77777777" w:rsidR="00AD1F54" w:rsidRPr="00264D5D" w:rsidRDefault="00941227">
            <w:pPr>
              <w:spacing w:before="60" w:after="60"/>
              <w:ind w:left="57" w:right="57"/>
              <w:jc w:val="center"/>
              <w:rPr>
                <w:b/>
                <w:sz w:val="22"/>
                <w:szCs w:val="22"/>
              </w:rPr>
            </w:pPr>
            <w:r w:rsidRPr="00264D5D">
              <w:rPr>
                <w:b/>
                <w:bCs/>
                <w:sz w:val="22"/>
                <w:szCs w:val="22"/>
              </w:rPr>
              <w:t>Наименование комплексного типа</w:t>
            </w:r>
          </w:p>
        </w:tc>
        <w:tc>
          <w:tcPr>
            <w:tcW w:w="1701" w:type="dxa"/>
          </w:tcPr>
          <w:p w14:paraId="5D727E81" w14:textId="77777777" w:rsidR="00AD1F54" w:rsidRPr="00264D5D" w:rsidRDefault="00941227">
            <w:pPr>
              <w:spacing w:before="60" w:after="60"/>
              <w:ind w:left="57" w:right="57"/>
              <w:jc w:val="center"/>
              <w:rPr>
                <w:b/>
                <w:sz w:val="22"/>
                <w:szCs w:val="22"/>
              </w:rPr>
            </w:pPr>
            <w:r w:rsidRPr="00264D5D">
              <w:rPr>
                <w:b/>
                <w:bCs/>
                <w:sz w:val="22"/>
                <w:szCs w:val="22"/>
              </w:rPr>
              <w:t>Текущий элемент/ атрибут</w:t>
            </w:r>
          </w:p>
        </w:tc>
        <w:tc>
          <w:tcPr>
            <w:tcW w:w="567" w:type="dxa"/>
          </w:tcPr>
          <w:p w14:paraId="0C6C12FA" w14:textId="77777777" w:rsidR="00AD1F54" w:rsidRPr="00264D5D" w:rsidRDefault="00941227">
            <w:pPr>
              <w:spacing w:before="60" w:after="60"/>
              <w:ind w:left="57" w:right="57"/>
              <w:jc w:val="center"/>
              <w:rPr>
                <w:b/>
                <w:sz w:val="22"/>
                <w:szCs w:val="22"/>
              </w:rPr>
            </w:pPr>
            <w:r w:rsidRPr="00264D5D">
              <w:rPr>
                <w:b/>
                <w:bCs/>
                <w:sz w:val="22"/>
                <w:szCs w:val="22"/>
              </w:rPr>
              <w:t>Тип</w:t>
            </w:r>
          </w:p>
        </w:tc>
        <w:tc>
          <w:tcPr>
            <w:tcW w:w="1134" w:type="dxa"/>
          </w:tcPr>
          <w:p w14:paraId="2920BAD1" w14:textId="77777777" w:rsidR="00AD1F54" w:rsidRPr="00264D5D" w:rsidRDefault="00941227">
            <w:pPr>
              <w:spacing w:before="60" w:after="60"/>
              <w:ind w:left="57" w:right="57"/>
              <w:jc w:val="center"/>
              <w:rPr>
                <w:b/>
                <w:sz w:val="22"/>
                <w:szCs w:val="22"/>
              </w:rPr>
            </w:pPr>
            <w:r w:rsidRPr="00264D5D">
              <w:rPr>
                <w:b/>
                <w:bCs/>
                <w:sz w:val="22"/>
                <w:szCs w:val="22"/>
              </w:rPr>
              <w:t>Формат элемента</w:t>
            </w:r>
          </w:p>
        </w:tc>
        <w:tc>
          <w:tcPr>
            <w:tcW w:w="567" w:type="dxa"/>
          </w:tcPr>
          <w:p w14:paraId="67ABAE07" w14:textId="77777777" w:rsidR="00AD1F54" w:rsidRPr="00264D5D" w:rsidRDefault="00941227">
            <w:pPr>
              <w:spacing w:before="60" w:after="60"/>
              <w:ind w:left="57" w:right="57"/>
              <w:jc w:val="center"/>
              <w:rPr>
                <w:b/>
                <w:sz w:val="22"/>
                <w:szCs w:val="22"/>
              </w:rPr>
            </w:pPr>
            <w:r w:rsidRPr="00264D5D">
              <w:rPr>
                <w:b/>
                <w:bCs/>
                <w:sz w:val="22"/>
                <w:szCs w:val="22"/>
              </w:rPr>
              <w:t>Обязательность</w:t>
            </w:r>
          </w:p>
        </w:tc>
        <w:tc>
          <w:tcPr>
            <w:tcW w:w="3963" w:type="dxa"/>
          </w:tcPr>
          <w:p w14:paraId="40403509" w14:textId="77777777" w:rsidR="00AD1F54" w:rsidRPr="00264D5D" w:rsidRDefault="00941227">
            <w:pPr>
              <w:spacing w:before="60" w:after="60"/>
              <w:ind w:left="57" w:right="57"/>
              <w:jc w:val="center"/>
              <w:rPr>
                <w:b/>
                <w:sz w:val="22"/>
                <w:szCs w:val="22"/>
              </w:rPr>
            </w:pPr>
            <w:r w:rsidRPr="00264D5D">
              <w:rPr>
                <w:b/>
                <w:bCs/>
                <w:sz w:val="22"/>
                <w:szCs w:val="22"/>
              </w:rPr>
              <w:t>Дополнительная информация</w:t>
            </w:r>
          </w:p>
        </w:tc>
      </w:tr>
      <w:tr w:rsidR="00AD1F54" w:rsidRPr="00264D5D" w14:paraId="113215BA" w14:textId="77777777" w:rsidTr="00AD1F54">
        <w:trPr>
          <w:cnfStyle w:val="000000100000" w:firstRow="0" w:lastRow="0" w:firstColumn="0" w:lastColumn="0" w:oddVBand="0" w:evenVBand="0" w:oddHBand="1" w:evenHBand="0" w:firstRowFirstColumn="0" w:firstRowLastColumn="0" w:lastRowFirstColumn="0" w:lastRowLastColumn="0"/>
        </w:trPr>
        <w:tc>
          <w:tcPr>
            <w:tcW w:w="1703" w:type="dxa"/>
          </w:tcPr>
          <w:p w14:paraId="6CBB45D8" w14:textId="77777777" w:rsidR="00AD1F54" w:rsidRPr="00264D5D" w:rsidRDefault="00941227">
            <w:pPr>
              <w:spacing w:before="60" w:after="60"/>
              <w:rPr>
                <w:sz w:val="22"/>
                <w:szCs w:val="22"/>
              </w:rPr>
            </w:pPr>
            <w:r w:rsidRPr="00264D5D">
              <w:rPr>
                <w:sz w:val="22"/>
                <w:szCs w:val="22"/>
              </w:rPr>
              <w:t>Системное поле</w:t>
            </w:r>
          </w:p>
        </w:tc>
        <w:tc>
          <w:tcPr>
            <w:tcW w:w="1701" w:type="dxa"/>
          </w:tcPr>
          <w:p w14:paraId="67736C5F" w14:textId="77777777" w:rsidR="00AD1F54" w:rsidRPr="00264D5D" w:rsidRDefault="00941227">
            <w:pPr>
              <w:spacing w:before="60" w:after="60"/>
              <w:rPr>
                <w:sz w:val="22"/>
                <w:szCs w:val="22"/>
                <w:lang w:val="en-US"/>
              </w:rPr>
            </w:pPr>
            <w:r w:rsidRPr="00264D5D">
              <w:rPr>
                <w:sz w:val="22"/>
                <w:szCs w:val="22"/>
              </w:rPr>
              <w:t>Process</w:t>
            </w:r>
          </w:p>
        </w:tc>
        <w:tc>
          <w:tcPr>
            <w:tcW w:w="567" w:type="dxa"/>
          </w:tcPr>
          <w:p w14:paraId="521170EC" w14:textId="77777777" w:rsidR="00AD1F54" w:rsidRPr="00264D5D" w:rsidRDefault="00941227">
            <w:pPr>
              <w:spacing w:before="60" w:after="60"/>
              <w:jc w:val="center"/>
              <w:rPr>
                <w:sz w:val="22"/>
                <w:szCs w:val="22"/>
              </w:rPr>
            </w:pPr>
            <w:r w:rsidRPr="00264D5D">
              <w:rPr>
                <w:sz w:val="22"/>
                <w:szCs w:val="22"/>
              </w:rPr>
              <w:t>П</w:t>
            </w:r>
          </w:p>
        </w:tc>
        <w:tc>
          <w:tcPr>
            <w:tcW w:w="1134" w:type="dxa"/>
          </w:tcPr>
          <w:p w14:paraId="0225E39B" w14:textId="77777777" w:rsidR="00AD1F54" w:rsidRPr="00264D5D" w:rsidRDefault="00941227">
            <w:pPr>
              <w:spacing w:before="60" w:after="60"/>
              <w:rPr>
                <w:sz w:val="22"/>
                <w:szCs w:val="22"/>
              </w:rPr>
            </w:pPr>
            <w:r w:rsidRPr="00264D5D">
              <w:rPr>
                <w:sz w:val="22"/>
                <w:szCs w:val="22"/>
              </w:rPr>
              <w:t>-</w:t>
            </w:r>
          </w:p>
        </w:tc>
        <w:tc>
          <w:tcPr>
            <w:tcW w:w="567" w:type="dxa"/>
          </w:tcPr>
          <w:p w14:paraId="02996AEF" w14:textId="77777777" w:rsidR="00AD1F54" w:rsidRPr="00264D5D" w:rsidRDefault="00941227">
            <w:pPr>
              <w:spacing w:before="60" w:after="60"/>
              <w:jc w:val="center"/>
              <w:rPr>
                <w:sz w:val="22"/>
                <w:szCs w:val="22"/>
              </w:rPr>
            </w:pPr>
            <w:r w:rsidRPr="00264D5D">
              <w:rPr>
                <w:sz w:val="22"/>
                <w:szCs w:val="22"/>
              </w:rPr>
              <w:t>O</w:t>
            </w:r>
          </w:p>
        </w:tc>
        <w:tc>
          <w:tcPr>
            <w:tcW w:w="3963" w:type="dxa"/>
          </w:tcPr>
          <w:p w14:paraId="52A7FA17" w14:textId="77777777" w:rsidR="00AD1F54" w:rsidRPr="00264D5D" w:rsidRDefault="00941227">
            <w:pPr>
              <w:spacing w:before="60" w:after="60"/>
              <w:rPr>
                <w:sz w:val="22"/>
                <w:szCs w:val="22"/>
              </w:rPr>
            </w:pPr>
            <w:r w:rsidRPr="00264D5D">
              <w:rPr>
                <w:sz w:val="22"/>
                <w:szCs w:val="22"/>
                <w:lang w:eastAsia="en-US"/>
              </w:rPr>
              <w:t xml:space="preserve">Указывается значение в формате </w:t>
            </w:r>
            <w:r w:rsidRPr="00264D5D">
              <w:rPr>
                <w:color w:val="000000"/>
                <w:sz w:val="22"/>
                <w:szCs w:val="22"/>
                <w:lang w:val="en-US"/>
              </w:rPr>
              <w:t>string</w:t>
            </w:r>
          </w:p>
        </w:tc>
      </w:tr>
      <w:tr w:rsidR="00AD1F54" w:rsidRPr="00264D5D" w14:paraId="02E32D70" w14:textId="77777777" w:rsidTr="00AD1F54">
        <w:trPr>
          <w:cnfStyle w:val="000000010000" w:firstRow="0" w:lastRow="0" w:firstColumn="0" w:lastColumn="0" w:oddVBand="0" w:evenVBand="0" w:oddHBand="0" w:evenHBand="1" w:firstRowFirstColumn="0" w:firstRowLastColumn="0" w:lastRowFirstColumn="0" w:lastRowLastColumn="0"/>
        </w:trPr>
        <w:tc>
          <w:tcPr>
            <w:tcW w:w="1703" w:type="dxa"/>
          </w:tcPr>
          <w:p w14:paraId="49783672" w14:textId="77777777" w:rsidR="00AD1F54" w:rsidRPr="00264D5D" w:rsidRDefault="00941227">
            <w:pPr>
              <w:spacing w:before="60" w:after="60"/>
              <w:rPr>
                <w:sz w:val="22"/>
                <w:szCs w:val="22"/>
              </w:rPr>
            </w:pPr>
            <w:r w:rsidRPr="00264D5D">
              <w:rPr>
                <w:sz w:val="22"/>
                <w:szCs w:val="22"/>
              </w:rPr>
              <w:t>Блок Бизнес-данных</w:t>
            </w:r>
          </w:p>
        </w:tc>
        <w:tc>
          <w:tcPr>
            <w:tcW w:w="1701" w:type="dxa"/>
          </w:tcPr>
          <w:p w14:paraId="23CD7DE5" w14:textId="77777777" w:rsidR="00AD1F54" w:rsidRPr="00264D5D" w:rsidRDefault="00941227">
            <w:pPr>
              <w:spacing w:before="60" w:after="60"/>
              <w:rPr>
                <w:sz w:val="22"/>
                <w:szCs w:val="22"/>
              </w:rPr>
            </w:pPr>
            <w:r w:rsidRPr="00264D5D">
              <w:rPr>
                <w:sz w:val="22"/>
                <w:szCs w:val="22"/>
              </w:rPr>
              <w:t>PeriodicReport</w:t>
            </w:r>
          </w:p>
        </w:tc>
        <w:tc>
          <w:tcPr>
            <w:tcW w:w="567" w:type="dxa"/>
          </w:tcPr>
          <w:p w14:paraId="1D6382CD" w14:textId="77777777" w:rsidR="00AD1F54" w:rsidRPr="00264D5D" w:rsidRDefault="00941227">
            <w:pPr>
              <w:spacing w:before="60" w:after="60"/>
              <w:jc w:val="center"/>
              <w:rPr>
                <w:sz w:val="22"/>
                <w:szCs w:val="22"/>
              </w:rPr>
            </w:pPr>
            <w:r w:rsidRPr="00264D5D">
              <w:rPr>
                <w:sz w:val="22"/>
                <w:szCs w:val="22"/>
              </w:rPr>
              <w:t>С</w:t>
            </w:r>
          </w:p>
        </w:tc>
        <w:tc>
          <w:tcPr>
            <w:tcW w:w="1134" w:type="dxa"/>
          </w:tcPr>
          <w:p w14:paraId="0D9DA654" w14:textId="77777777" w:rsidR="00AD1F54" w:rsidRPr="00264D5D" w:rsidRDefault="00941227">
            <w:pPr>
              <w:spacing w:before="60" w:after="60"/>
              <w:rPr>
                <w:sz w:val="22"/>
                <w:szCs w:val="22"/>
              </w:rPr>
            </w:pPr>
            <w:r w:rsidRPr="00264D5D">
              <w:rPr>
                <w:sz w:val="22"/>
                <w:szCs w:val="22"/>
              </w:rPr>
              <w:t>-</w:t>
            </w:r>
          </w:p>
        </w:tc>
        <w:tc>
          <w:tcPr>
            <w:tcW w:w="567" w:type="dxa"/>
          </w:tcPr>
          <w:p w14:paraId="74028C4D" w14:textId="77777777" w:rsidR="00AD1F54" w:rsidRPr="00264D5D" w:rsidRDefault="00941227">
            <w:pPr>
              <w:spacing w:before="60" w:after="60"/>
              <w:jc w:val="center"/>
              <w:rPr>
                <w:sz w:val="22"/>
                <w:szCs w:val="22"/>
              </w:rPr>
            </w:pPr>
            <w:r w:rsidRPr="00264D5D">
              <w:rPr>
                <w:sz w:val="22"/>
                <w:szCs w:val="22"/>
              </w:rPr>
              <w:t>O</w:t>
            </w:r>
          </w:p>
        </w:tc>
        <w:tc>
          <w:tcPr>
            <w:tcW w:w="3963" w:type="dxa"/>
          </w:tcPr>
          <w:p w14:paraId="20CD511F" w14:textId="77777777" w:rsidR="00AD1F54" w:rsidRPr="00264D5D" w:rsidRDefault="00941227">
            <w:pPr>
              <w:pStyle w:val="GOSTTablenorm"/>
              <w:rPr>
                <w:szCs w:val="22"/>
              </w:rPr>
            </w:pPr>
            <w:r w:rsidRPr="00264D5D">
              <w:rPr>
                <w:szCs w:val="22"/>
              </w:rPr>
              <w:t>Условное наименование «Сообщение для передачи акта».</w:t>
            </w:r>
          </w:p>
          <w:p w14:paraId="7FADE282" w14:textId="77777777" w:rsidR="00AD1F54" w:rsidRPr="00264D5D" w:rsidRDefault="00941227">
            <w:pPr>
              <w:pStyle w:val="GOSTTablenorm"/>
              <w:rPr>
                <w:szCs w:val="22"/>
              </w:rPr>
            </w:pPr>
            <w:r w:rsidRPr="00264D5D">
              <w:rPr>
                <w:szCs w:val="22"/>
              </w:rPr>
              <w:t>Содержит описание бизнес данных пакета и включает элемент «</w:t>
            </w:r>
            <w:r w:rsidRPr="00264D5D">
              <w:rPr>
                <w:szCs w:val="22"/>
                <w:lang w:val="en-US"/>
              </w:rPr>
              <w:t>Header</w:t>
            </w:r>
            <w:r w:rsidRPr="00264D5D">
              <w:rPr>
                <w:szCs w:val="22"/>
              </w:rPr>
              <w:t xml:space="preserve">» с </w:t>
            </w:r>
            <w:r w:rsidRPr="00264D5D">
              <w:rPr>
                <w:szCs w:val="22"/>
              </w:rPr>
              <w:lastRenderedPageBreak/>
              <w:t>данными по одному документу. Каждый тип документа имеет свои правила заполнения элементов, которые описаны в соответствующем пункте ниже.</w:t>
            </w:r>
          </w:p>
          <w:p w14:paraId="4CD783AC" w14:textId="1FDB8224" w:rsidR="00AD1F54" w:rsidRPr="00264D5D" w:rsidRDefault="00941227">
            <w:pPr>
              <w:spacing w:before="60" w:after="60"/>
              <w:rPr>
                <w:sz w:val="22"/>
                <w:szCs w:val="22"/>
              </w:rPr>
            </w:pPr>
            <w:r w:rsidRPr="00264D5D">
              <w:rPr>
                <w:sz w:val="22"/>
                <w:szCs w:val="22"/>
              </w:rPr>
              <w:t xml:space="preserve">Состав элемента представлен в таблице </w:t>
            </w:r>
            <w:r w:rsidRPr="00264D5D">
              <w:rPr>
                <w:b/>
                <w:sz w:val="22"/>
                <w:szCs w:val="22"/>
              </w:rPr>
              <w:fldChar w:fldCharType="begin"/>
            </w:r>
            <w:r w:rsidRPr="00264D5D">
              <w:rPr>
                <w:sz w:val="22"/>
                <w:szCs w:val="22"/>
              </w:rPr>
              <w:instrText xml:space="preserve"> REF _Ref86437706 \h </w:instrText>
            </w:r>
            <w:r w:rsidRPr="00264D5D">
              <w:rPr>
                <w:b/>
                <w:sz w:val="22"/>
                <w:szCs w:val="22"/>
              </w:rPr>
              <w:instrText xml:space="preserve"> \* MERGEFORMAT </w:instrText>
            </w:r>
            <w:r w:rsidRPr="00264D5D">
              <w:rPr>
                <w:b/>
                <w:sz w:val="22"/>
                <w:szCs w:val="22"/>
              </w:rPr>
            </w:r>
            <w:r w:rsidRPr="00264D5D">
              <w:rPr>
                <w:b/>
                <w:sz w:val="22"/>
                <w:szCs w:val="22"/>
              </w:rPr>
              <w:fldChar w:fldCharType="separate"/>
            </w:r>
            <w:r w:rsidR="008D797C" w:rsidRPr="008D797C">
              <w:rPr>
                <w:sz w:val="22"/>
                <w:szCs w:val="22"/>
              </w:rPr>
              <w:t>302</w:t>
            </w:r>
            <w:r w:rsidRPr="00264D5D">
              <w:rPr>
                <w:b/>
                <w:sz w:val="22"/>
                <w:szCs w:val="22"/>
              </w:rPr>
              <w:fldChar w:fldCharType="end"/>
            </w:r>
          </w:p>
        </w:tc>
      </w:tr>
    </w:tbl>
    <w:p w14:paraId="6052CDE5" w14:textId="77777777" w:rsidR="00AD1F54" w:rsidRPr="00264D5D" w:rsidRDefault="00AD1F54">
      <w:pPr>
        <w:pStyle w:val="GOSTNormal"/>
      </w:pPr>
    </w:p>
    <w:p w14:paraId="63B1AA7A" w14:textId="77777777" w:rsidR="00AD1F54" w:rsidRPr="00264D5D" w:rsidRDefault="00941227">
      <w:pPr>
        <w:pStyle w:val="10"/>
        <w:jc w:val="both"/>
      </w:pPr>
      <w:bookmarkStart w:id="574" w:name="_Toc46318749"/>
      <w:bookmarkStart w:id="575" w:name="_Toc219309458"/>
      <w:bookmarkEnd w:id="515"/>
      <w:bookmarkEnd w:id="516"/>
      <w:r w:rsidRPr="00264D5D">
        <w:lastRenderedPageBreak/>
        <w:t xml:space="preserve">Требования к составу информации при информационном взаимодействии между </w:t>
      </w:r>
      <w:r w:rsidR="005A204F" w:rsidRPr="00264D5D">
        <w:t>ТЕРРИТОРИАЛЬНЫМИ ОРГАНАМИ</w:t>
      </w:r>
      <w:r w:rsidRPr="00264D5D">
        <w:t xml:space="preserve"> Федерального казначейства и получателями бюджетных средств, а также требования к составу информации при информационном взаимодействии по учету операций со средствами, поступающими во временное распоряжение учреждения</w:t>
      </w:r>
      <w:bookmarkEnd w:id="549"/>
      <w:bookmarkEnd w:id="550"/>
      <w:bookmarkEnd w:id="574"/>
      <w:bookmarkEnd w:id="575"/>
    </w:p>
    <w:p w14:paraId="31E5E476" w14:textId="77777777" w:rsidR="00AD1F54" w:rsidRPr="00264D5D" w:rsidRDefault="00941227">
      <w:pPr>
        <w:pStyle w:val="OTRTableNorm2"/>
      </w:pPr>
      <w:r w:rsidRPr="00264D5D">
        <w:t>Для учета операций, осуществляемых получателями бюджетных средств, а также для учета операций со средствами, поступающими во временное распоряжение учреждения, используются следующие документы, представленные</w:t>
      </w:r>
      <w:r w:rsidRPr="00264D5D">
        <w:rPr>
          <w:szCs w:val="24"/>
        </w:rPr>
        <w:t xml:space="preserve"> </w:t>
      </w:r>
      <w:r w:rsidR="00A744F0" w:rsidRPr="00264D5D">
        <w:rPr>
          <w:szCs w:val="24"/>
        </w:rPr>
        <w:t>в Таблице.</w:t>
      </w:r>
    </w:p>
    <w:bookmarkStart w:id="576" w:name="_Ref52354087"/>
    <w:p w14:paraId="5B7A4A0C" w14:textId="6F25E058" w:rsidR="00AD1F54" w:rsidRPr="00264D5D" w:rsidRDefault="00941227">
      <w:pPr>
        <w:pStyle w:val="GOSTNameTable"/>
        <w:numPr>
          <w:ilvl w:val="0"/>
          <w:numId w:val="2"/>
        </w:numPr>
        <w:spacing w:before="60"/>
        <w:ind w:left="425" w:hanging="357"/>
      </w:pPr>
      <w:r w:rsidRPr="00264D5D">
        <w:fldChar w:fldCharType="begin"/>
      </w:r>
      <w:r w:rsidRPr="00264D5D">
        <w:instrText xml:space="preserve"> SEQ Таблица \* ARABIC </w:instrText>
      </w:r>
      <w:r w:rsidRPr="00264D5D">
        <w:fldChar w:fldCharType="separate"/>
      </w:r>
      <w:bookmarkStart w:id="577" w:name="_Ref86434513"/>
      <w:bookmarkStart w:id="578" w:name="_Toc219309053"/>
      <w:r w:rsidR="008D797C">
        <w:rPr>
          <w:noProof/>
        </w:rPr>
        <w:t>23</w:t>
      </w:r>
      <w:bookmarkEnd w:id="577"/>
      <w:r w:rsidRPr="00264D5D">
        <w:fldChar w:fldCharType="end"/>
      </w:r>
      <w:r w:rsidRPr="00264D5D">
        <w:rPr>
          <w:rFonts w:eastAsia="Calibri"/>
          <w:szCs w:val="24"/>
        </w:rPr>
        <w:t xml:space="preserve"> – </w:t>
      </w:r>
      <w:r w:rsidRPr="00264D5D">
        <w:t xml:space="preserve">Документы для обмена в </w:t>
      </w:r>
      <w:r w:rsidR="00A744F0" w:rsidRPr="00264D5D">
        <w:rPr>
          <w:szCs w:val="24"/>
          <w:lang w:val="en-US"/>
        </w:rPr>
        <w:t>xml</w:t>
      </w:r>
      <w:r w:rsidRPr="00264D5D">
        <w:rPr>
          <w:szCs w:val="24"/>
        </w:rPr>
        <w:t>-формате</w:t>
      </w:r>
      <w:bookmarkEnd w:id="576"/>
      <w:bookmarkEnd w:id="578"/>
    </w:p>
    <w:tbl>
      <w:tblPr>
        <w:tblStyle w:val="GOSTTable"/>
        <w:tblW w:w="5000" w:type="pct"/>
        <w:tblLayout w:type="fixed"/>
        <w:tblLook w:val="01E0" w:firstRow="1" w:lastRow="1" w:firstColumn="1" w:lastColumn="1" w:noHBand="0" w:noVBand="0"/>
      </w:tblPr>
      <w:tblGrid>
        <w:gridCol w:w="7661"/>
        <w:gridCol w:w="6"/>
        <w:gridCol w:w="1128"/>
        <w:gridCol w:w="9"/>
        <w:gridCol w:w="846"/>
      </w:tblGrid>
      <w:tr w:rsidR="00AD1F54" w:rsidRPr="00264D5D" w14:paraId="013556AB"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7667" w:type="dxa"/>
            <w:gridSpan w:val="2"/>
          </w:tcPr>
          <w:p w14:paraId="7D779DA0" w14:textId="77777777" w:rsidR="00AD1F54" w:rsidRPr="00264D5D" w:rsidRDefault="00941227">
            <w:pPr>
              <w:pStyle w:val="OTRTableHead"/>
              <w:widowControl w:val="0"/>
              <w:rPr>
                <w:sz w:val="22"/>
                <w:szCs w:val="22"/>
              </w:rPr>
            </w:pPr>
            <w:bookmarkStart w:id="579" w:name="OLE_LINK310"/>
            <w:bookmarkStart w:id="580" w:name="_Toc416192416"/>
            <w:bookmarkStart w:id="581" w:name="_Ref465283763"/>
            <w:bookmarkStart w:id="582" w:name="_Ref19626940"/>
            <w:bookmarkStart w:id="583" w:name="_Toc411507360"/>
            <w:bookmarkEnd w:id="508"/>
            <w:bookmarkEnd w:id="579"/>
            <w:r w:rsidRPr="00264D5D">
              <w:rPr>
                <w:sz w:val="22"/>
                <w:szCs w:val="22"/>
              </w:rPr>
              <w:t>Наименование документа</w:t>
            </w:r>
          </w:p>
        </w:tc>
        <w:tc>
          <w:tcPr>
            <w:tcW w:w="1137" w:type="dxa"/>
            <w:gridSpan w:val="2"/>
          </w:tcPr>
          <w:p w14:paraId="70E6F936" w14:textId="77777777" w:rsidR="00AD1F54" w:rsidRPr="00264D5D" w:rsidRDefault="00941227">
            <w:pPr>
              <w:pStyle w:val="OTRTableHead"/>
              <w:widowControl w:val="0"/>
              <w:rPr>
                <w:sz w:val="22"/>
                <w:szCs w:val="22"/>
              </w:rPr>
            </w:pPr>
            <w:r w:rsidRPr="00264D5D">
              <w:rPr>
                <w:sz w:val="22"/>
                <w:szCs w:val="22"/>
              </w:rPr>
              <w:t>Номер пункта</w:t>
            </w:r>
          </w:p>
        </w:tc>
        <w:tc>
          <w:tcPr>
            <w:tcW w:w="846" w:type="dxa"/>
          </w:tcPr>
          <w:p w14:paraId="67F370A5" w14:textId="77777777" w:rsidR="00AD1F54" w:rsidRPr="00264D5D" w:rsidRDefault="00941227">
            <w:pPr>
              <w:pStyle w:val="OTRTableHead"/>
              <w:widowControl w:val="0"/>
              <w:rPr>
                <w:sz w:val="22"/>
                <w:szCs w:val="22"/>
              </w:rPr>
            </w:pPr>
            <w:r w:rsidRPr="00264D5D">
              <w:rPr>
                <w:sz w:val="22"/>
                <w:szCs w:val="22"/>
              </w:rPr>
              <w:t>Номер тома</w:t>
            </w:r>
          </w:p>
        </w:tc>
      </w:tr>
      <w:tr w:rsidR="008B26A8" w:rsidRPr="00264D5D" w14:paraId="3027A9EC" w14:textId="77777777" w:rsidTr="008B26A8">
        <w:trPr>
          <w:cnfStyle w:val="000000100000" w:firstRow="0" w:lastRow="0" w:firstColumn="0" w:lastColumn="0" w:oddVBand="0" w:evenVBand="0" w:oddHBand="1" w:evenHBand="0" w:firstRowFirstColumn="0" w:firstRowLastColumn="0" w:lastRowFirstColumn="0" w:lastRowLastColumn="0"/>
        </w:trPr>
        <w:tc>
          <w:tcPr>
            <w:tcW w:w="7661" w:type="dxa"/>
          </w:tcPr>
          <w:p w14:paraId="764A80BC" w14:textId="77777777" w:rsidR="008B26A8" w:rsidRPr="00264D5D" w:rsidRDefault="008B26A8">
            <w:pPr>
              <w:spacing w:before="60" w:after="60"/>
              <w:rPr>
                <w:sz w:val="22"/>
                <w:szCs w:val="22"/>
              </w:rPr>
            </w:pPr>
            <w:r w:rsidRPr="00264D5D">
              <w:rPr>
                <w:sz w:val="22"/>
                <w:szCs w:val="22"/>
              </w:rPr>
              <w:t>Расходное расписание</w:t>
            </w:r>
          </w:p>
        </w:tc>
        <w:tc>
          <w:tcPr>
            <w:tcW w:w="1134" w:type="dxa"/>
            <w:gridSpan w:val="2"/>
          </w:tcPr>
          <w:p w14:paraId="2339A95B" w14:textId="2FD130CF" w:rsidR="008B26A8" w:rsidRPr="00264D5D" w:rsidRDefault="008B26A8">
            <w:pPr>
              <w:spacing w:before="60" w:after="60"/>
              <w:rPr>
                <w:sz w:val="22"/>
                <w:szCs w:val="22"/>
              </w:rPr>
            </w:pPr>
            <w:r w:rsidRPr="00264D5D">
              <w:rPr>
                <w:sz w:val="22"/>
                <w:szCs w:val="22"/>
              </w:rPr>
              <w:t xml:space="preserve">П. </w:t>
            </w:r>
            <w:r w:rsidRPr="00264D5D">
              <w:rPr>
                <w:sz w:val="22"/>
                <w:szCs w:val="22"/>
              </w:rPr>
              <w:fldChar w:fldCharType="begin"/>
            </w:r>
            <w:r w:rsidRPr="00264D5D">
              <w:rPr>
                <w:sz w:val="22"/>
                <w:szCs w:val="22"/>
              </w:rPr>
              <w:instrText xml:space="preserve"> REF _Ref84799139 \r \h  \* MERGEFORMAT </w:instrText>
            </w:r>
            <w:r w:rsidRPr="00264D5D">
              <w:rPr>
                <w:sz w:val="22"/>
                <w:szCs w:val="22"/>
              </w:rPr>
            </w:r>
            <w:r w:rsidRPr="00264D5D">
              <w:rPr>
                <w:sz w:val="22"/>
                <w:szCs w:val="22"/>
              </w:rPr>
              <w:fldChar w:fldCharType="separate"/>
            </w:r>
            <w:r w:rsidR="008D797C">
              <w:rPr>
                <w:sz w:val="22"/>
                <w:szCs w:val="22"/>
              </w:rPr>
              <w:t>6.1</w:t>
            </w:r>
            <w:r w:rsidRPr="00264D5D">
              <w:rPr>
                <w:sz w:val="22"/>
                <w:szCs w:val="22"/>
              </w:rPr>
              <w:fldChar w:fldCharType="end"/>
            </w:r>
          </w:p>
        </w:tc>
        <w:tc>
          <w:tcPr>
            <w:tcW w:w="855" w:type="dxa"/>
            <w:gridSpan w:val="2"/>
          </w:tcPr>
          <w:p w14:paraId="7622CD37" w14:textId="77777777" w:rsidR="008B26A8" w:rsidRPr="00264D5D" w:rsidRDefault="008B26A8">
            <w:pPr>
              <w:spacing w:before="60" w:after="60"/>
              <w:rPr>
                <w:sz w:val="22"/>
                <w:szCs w:val="22"/>
              </w:rPr>
            </w:pPr>
            <w:r w:rsidRPr="00264D5D">
              <w:rPr>
                <w:sz w:val="22"/>
                <w:szCs w:val="22"/>
              </w:rPr>
              <w:t>Т. 7</w:t>
            </w:r>
          </w:p>
        </w:tc>
      </w:tr>
      <w:tr w:rsidR="008B26A8" w:rsidRPr="00264D5D" w14:paraId="423E3CE7" w14:textId="77777777" w:rsidTr="008B26A8">
        <w:trPr>
          <w:cnfStyle w:val="000000010000" w:firstRow="0" w:lastRow="0" w:firstColumn="0" w:lastColumn="0" w:oddVBand="0" w:evenVBand="0" w:oddHBand="0" w:evenHBand="1" w:firstRowFirstColumn="0" w:firstRowLastColumn="0" w:lastRowFirstColumn="0" w:lastRowLastColumn="0"/>
        </w:trPr>
        <w:tc>
          <w:tcPr>
            <w:tcW w:w="7661" w:type="dxa"/>
          </w:tcPr>
          <w:p w14:paraId="7CAE8EC9" w14:textId="77777777" w:rsidR="008B26A8" w:rsidRPr="00264D5D" w:rsidRDefault="008B26A8">
            <w:pPr>
              <w:spacing w:before="60" w:after="60"/>
              <w:rPr>
                <w:sz w:val="22"/>
                <w:szCs w:val="22"/>
              </w:rPr>
            </w:pPr>
            <w:r w:rsidRPr="00264D5D">
              <w:rPr>
                <w:sz w:val="22"/>
                <w:szCs w:val="22"/>
              </w:rPr>
              <w:t>Заявка на кассовый расход (ф. 0531801)</w:t>
            </w:r>
          </w:p>
        </w:tc>
        <w:tc>
          <w:tcPr>
            <w:tcW w:w="1134" w:type="dxa"/>
            <w:gridSpan w:val="2"/>
          </w:tcPr>
          <w:p w14:paraId="4FA89CDF" w14:textId="4446582A" w:rsidR="008B26A8" w:rsidRPr="00264D5D" w:rsidRDefault="008B26A8">
            <w:pPr>
              <w:spacing w:before="60" w:after="60"/>
              <w:rPr>
                <w:sz w:val="22"/>
                <w:szCs w:val="22"/>
              </w:rPr>
            </w:pPr>
            <w:r w:rsidRPr="00264D5D">
              <w:rPr>
                <w:sz w:val="22"/>
                <w:szCs w:val="22"/>
              </w:rPr>
              <w:t xml:space="preserve">П. </w:t>
            </w:r>
            <w:r w:rsidRPr="00264D5D">
              <w:rPr>
                <w:sz w:val="22"/>
                <w:szCs w:val="22"/>
              </w:rPr>
              <w:fldChar w:fldCharType="begin"/>
            </w:r>
            <w:r w:rsidRPr="00264D5D">
              <w:rPr>
                <w:sz w:val="22"/>
                <w:szCs w:val="22"/>
              </w:rPr>
              <w:instrText xml:space="preserve"> REF _Ref46776769 \n \h  \* MERGEFORMAT </w:instrText>
            </w:r>
            <w:r w:rsidRPr="00264D5D">
              <w:rPr>
                <w:sz w:val="22"/>
                <w:szCs w:val="22"/>
              </w:rPr>
            </w:r>
            <w:r w:rsidRPr="00264D5D">
              <w:rPr>
                <w:sz w:val="22"/>
                <w:szCs w:val="22"/>
              </w:rPr>
              <w:fldChar w:fldCharType="separate"/>
            </w:r>
            <w:r w:rsidR="008D797C">
              <w:rPr>
                <w:sz w:val="22"/>
                <w:szCs w:val="22"/>
              </w:rPr>
              <w:t>6.2</w:t>
            </w:r>
            <w:r w:rsidRPr="00264D5D">
              <w:rPr>
                <w:sz w:val="22"/>
                <w:szCs w:val="22"/>
              </w:rPr>
              <w:fldChar w:fldCharType="end"/>
            </w:r>
          </w:p>
        </w:tc>
        <w:tc>
          <w:tcPr>
            <w:tcW w:w="855" w:type="dxa"/>
            <w:gridSpan w:val="2"/>
          </w:tcPr>
          <w:p w14:paraId="1296E790" w14:textId="77777777" w:rsidR="008B26A8" w:rsidRPr="00264D5D" w:rsidRDefault="008B26A8">
            <w:pPr>
              <w:spacing w:before="60" w:after="60"/>
              <w:rPr>
                <w:sz w:val="22"/>
                <w:szCs w:val="22"/>
              </w:rPr>
            </w:pPr>
            <w:r w:rsidRPr="00264D5D">
              <w:rPr>
                <w:sz w:val="22"/>
                <w:szCs w:val="22"/>
              </w:rPr>
              <w:t>Т. 7</w:t>
            </w:r>
          </w:p>
        </w:tc>
      </w:tr>
      <w:tr w:rsidR="008B26A8" w:rsidRPr="00264D5D" w14:paraId="689C9E6D" w14:textId="77777777" w:rsidTr="008B26A8">
        <w:trPr>
          <w:cnfStyle w:val="000000100000" w:firstRow="0" w:lastRow="0" w:firstColumn="0" w:lastColumn="0" w:oddVBand="0" w:evenVBand="0" w:oddHBand="1" w:evenHBand="0" w:firstRowFirstColumn="0" w:firstRowLastColumn="0" w:lastRowFirstColumn="0" w:lastRowLastColumn="0"/>
        </w:trPr>
        <w:tc>
          <w:tcPr>
            <w:tcW w:w="7661" w:type="dxa"/>
          </w:tcPr>
          <w:p w14:paraId="68B34F98" w14:textId="77777777" w:rsidR="008B26A8" w:rsidRPr="00264D5D" w:rsidRDefault="008B26A8" w:rsidP="0050709C">
            <w:pPr>
              <w:spacing w:before="60" w:after="60"/>
              <w:rPr>
                <w:sz w:val="22"/>
                <w:szCs w:val="22"/>
              </w:rPr>
            </w:pPr>
            <w:r w:rsidRPr="00264D5D">
              <w:rPr>
                <w:sz w:val="22"/>
                <w:szCs w:val="22"/>
              </w:rPr>
              <w:t>Заявка на кассовый расход (сокращенная) (ф. 0531851)</w:t>
            </w:r>
          </w:p>
        </w:tc>
        <w:tc>
          <w:tcPr>
            <w:tcW w:w="1134" w:type="dxa"/>
            <w:gridSpan w:val="2"/>
          </w:tcPr>
          <w:p w14:paraId="420166B7" w14:textId="7B14F57C" w:rsidR="008B26A8" w:rsidRPr="00264D5D" w:rsidRDefault="008B26A8" w:rsidP="0050709C">
            <w:pPr>
              <w:spacing w:before="60" w:after="60"/>
              <w:rPr>
                <w:sz w:val="22"/>
                <w:szCs w:val="22"/>
              </w:rPr>
            </w:pPr>
            <w:r w:rsidRPr="00264D5D">
              <w:rPr>
                <w:sz w:val="22"/>
                <w:szCs w:val="22"/>
              </w:rPr>
              <w:t xml:space="preserve">П. </w:t>
            </w:r>
            <w:r w:rsidRPr="00264D5D">
              <w:rPr>
                <w:sz w:val="22"/>
                <w:szCs w:val="22"/>
              </w:rPr>
              <w:fldChar w:fldCharType="begin"/>
            </w:r>
            <w:r w:rsidRPr="00264D5D">
              <w:rPr>
                <w:sz w:val="22"/>
                <w:szCs w:val="22"/>
              </w:rPr>
              <w:instrText xml:space="preserve"> REF _Ref46776784 \n \h  \* MERGEFORMAT </w:instrText>
            </w:r>
            <w:r w:rsidRPr="00264D5D">
              <w:rPr>
                <w:sz w:val="22"/>
                <w:szCs w:val="22"/>
              </w:rPr>
            </w:r>
            <w:r w:rsidRPr="00264D5D">
              <w:rPr>
                <w:sz w:val="22"/>
                <w:szCs w:val="22"/>
              </w:rPr>
              <w:fldChar w:fldCharType="separate"/>
            </w:r>
            <w:r w:rsidR="008D797C">
              <w:rPr>
                <w:sz w:val="22"/>
                <w:szCs w:val="22"/>
              </w:rPr>
              <w:t>6.3</w:t>
            </w:r>
            <w:r w:rsidRPr="00264D5D">
              <w:rPr>
                <w:sz w:val="22"/>
                <w:szCs w:val="22"/>
              </w:rPr>
              <w:fldChar w:fldCharType="end"/>
            </w:r>
          </w:p>
        </w:tc>
        <w:tc>
          <w:tcPr>
            <w:tcW w:w="855" w:type="dxa"/>
            <w:gridSpan w:val="2"/>
          </w:tcPr>
          <w:p w14:paraId="4ACE54EB" w14:textId="77777777" w:rsidR="008B26A8" w:rsidRPr="00264D5D" w:rsidRDefault="008B26A8" w:rsidP="0050709C">
            <w:pPr>
              <w:spacing w:before="60" w:after="60"/>
              <w:rPr>
                <w:sz w:val="22"/>
                <w:szCs w:val="22"/>
              </w:rPr>
            </w:pPr>
            <w:r w:rsidRPr="00264D5D">
              <w:rPr>
                <w:sz w:val="22"/>
                <w:szCs w:val="22"/>
              </w:rPr>
              <w:t>Т. 7</w:t>
            </w:r>
          </w:p>
        </w:tc>
      </w:tr>
      <w:tr w:rsidR="008B26A8" w:rsidRPr="00264D5D" w14:paraId="093A5440" w14:textId="77777777" w:rsidTr="008B26A8">
        <w:trPr>
          <w:cnfStyle w:val="000000010000" w:firstRow="0" w:lastRow="0" w:firstColumn="0" w:lastColumn="0" w:oddVBand="0" w:evenVBand="0" w:oddHBand="0" w:evenHBand="1" w:firstRowFirstColumn="0" w:firstRowLastColumn="0" w:lastRowFirstColumn="0" w:lastRowLastColumn="0"/>
        </w:trPr>
        <w:tc>
          <w:tcPr>
            <w:tcW w:w="7661" w:type="dxa"/>
          </w:tcPr>
          <w:p w14:paraId="5B769A61" w14:textId="77777777" w:rsidR="008B26A8" w:rsidRPr="00264D5D" w:rsidRDefault="008B26A8" w:rsidP="0050709C">
            <w:pPr>
              <w:spacing w:before="60" w:after="60"/>
              <w:rPr>
                <w:sz w:val="22"/>
                <w:szCs w:val="22"/>
              </w:rPr>
            </w:pPr>
            <w:r w:rsidRPr="00264D5D">
              <w:rPr>
                <w:sz w:val="22"/>
                <w:szCs w:val="22"/>
              </w:rPr>
              <w:t>Сводная заявка на кассовый расход (ф. 0531860)</w:t>
            </w:r>
          </w:p>
        </w:tc>
        <w:tc>
          <w:tcPr>
            <w:tcW w:w="1134" w:type="dxa"/>
            <w:gridSpan w:val="2"/>
          </w:tcPr>
          <w:p w14:paraId="700D72D2" w14:textId="09CFABEF" w:rsidR="008B26A8" w:rsidRPr="00264D5D" w:rsidRDefault="008B26A8" w:rsidP="0050709C">
            <w:pPr>
              <w:spacing w:before="60" w:after="60"/>
              <w:rPr>
                <w:sz w:val="22"/>
                <w:szCs w:val="22"/>
              </w:rPr>
            </w:pPr>
            <w:r w:rsidRPr="00264D5D">
              <w:rPr>
                <w:sz w:val="22"/>
                <w:szCs w:val="22"/>
              </w:rPr>
              <w:t xml:space="preserve">П. </w:t>
            </w:r>
            <w:r w:rsidRPr="00264D5D">
              <w:rPr>
                <w:sz w:val="22"/>
                <w:szCs w:val="22"/>
              </w:rPr>
              <w:fldChar w:fldCharType="begin"/>
            </w:r>
            <w:r w:rsidRPr="00264D5D">
              <w:rPr>
                <w:sz w:val="22"/>
                <w:szCs w:val="22"/>
              </w:rPr>
              <w:instrText xml:space="preserve"> REF _Ref46776794 \n \h  \* MERGEFORMAT </w:instrText>
            </w:r>
            <w:r w:rsidRPr="00264D5D">
              <w:rPr>
                <w:sz w:val="22"/>
                <w:szCs w:val="22"/>
              </w:rPr>
            </w:r>
            <w:r w:rsidRPr="00264D5D">
              <w:rPr>
                <w:sz w:val="22"/>
                <w:szCs w:val="22"/>
              </w:rPr>
              <w:fldChar w:fldCharType="separate"/>
            </w:r>
            <w:r w:rsidR="008D797C">
              <w:rPr>
                <w:sz w:val="22"/>
                <w:szCs w:val="22"/>
              </w:rPr>
              <w:t>6.4</w:t>
            </w:r>
            <w:r w:rsidRPr="00264D5D">
              <w:rPr>
                <w:sz w:val="22"/>
                <w:szCs w:val="22"/>
              </w:rPr>
              <w:fldChar w:fldCharType="end"/>
            </w:r>
            <w:r w:rsidRPr="00264D5D">
              <w:rPr>
                <w:sz w:val="22"/>
                <w:szCs w:val="22"/>
              </w:rPr>
              <w:t xml:space="preserve"> </w:t>
            </w:r>
          </w:p>
        </w:tc>
        <w:tc>
          <w:tcPr>
            <w:tcW w:w="855" w:type="dxa"/>
            <w:gridSpan w:val="2"/>
          </w:tcPr>
          <w:p w14:paraId="4EFADE98" w14:textId="77777777" w:rsidR="008B26A8" w:rsidRPr="00264D5D" w:rsidRDefault="008B26A8" w:rsidP="0050709C">
            <w:pPr>
              <w:spacing w:before="60" w:after="60"/>
              <w:rPr>
                <w:sz w:val="22"/>
                <w:szCs w:val="22"/>
              </w:rPr>
            </w:pPr>
            <w:r w:rsidRPr="00264D5D">
              <w:rPr>
                <w:sz w:val="22"/>
                <w:szCs w:val="22"/>
              </w:rPr>
              <w:t>Т. 7</w:t>
            </w:r>
          </w:p>
        </w:tc>
      </w:tr>
      <w:tr w:rsidR="008B26A8" w:rsidRPr="00264D5D" w14:paraId="7B736BE2" w14:textId="77777777" w:rsidTr="008B26A8">
        <w:trPr>
          <w:cnfStyle w:val="000000100000" w:firstRow="0" w:lastRow="0" w:firstColumn="0" w:lastColumn="0" w:oddVBand="0" w:evenVBand="0" w:oddHBand="1" w:evenHBand="0" w:firstRowFirstColumn="0" w:firstRowLastColumn="0" w:lastRowFirstColumn="0" w:lastRowLastColumn="0"/>
        </w:trPr>
        <w:tc>
          <w:tcPr>
            <w:tcW w:w="7661" w:type="dxa"/>
          </w:tcPr>
          <w:p w14:paraId="1DBEC55D" w14:textId="77777777" w:rsidR="008B26A8" w:rsidRPr="00264D5D" w:rsidRDefault="008B26A8" w:rsidP="0050709C">
            <w:pPr>
              <w:spacing w:before="60" w:after="60"/>
              <w:rPr>
                <w:sz w:val="22"/>
                <w:szCs w:val="22"/>
              </w:rPr>
            </w:pPr>
            <w:r w:rsidRPr="00264D5D">
              <w:rPr>
                <w:sz w:val="22"/>
                <w:szCs w:val="22"/>
              </w:rPr>
              <w:t>Запрос на отзыв распоряжения (запрос на аннулирование)</w:t>
            </w:r>
          </w:p>
        </w:tc>
        <w:tc>
          <w:tcPr>
            <w:tcW w:w="1134" w:type="dxa"/>
            <w:gridSpan w:val="2"/>
          </w:tcPr>
          <w:p w14:paraId="3AA63769" w14:textId="496E94B7" w:rsidR="008B26A8" w:rsidRPr="00264D5D" w:rsidRDefault="008B26A8" w:rsidP="0050709C">
            <w:pPr>
              <w:spacing w:before="60" w:after="60"/>
              <w:rPr>
                <w:sz w:val="22"/>
                <w:szCs w:val="22"/>
              </w:rPr>
            </w:pPr>
            <w:r w:rsidRPr="00264D5D">
              <w:rPr>
                <w:sz w:val="22"/>
                <w:szCs w:val="22"/>
              </w:rPr>
              <w:t xml:space="preserve">П. </w:t>
            </w:r>
            <w:r w:rsidRPr="00264D5D">
              <w:rPr>
                <w:sz w:val="22"/>
                <w:szCs w:val="22"/>
              </w:rPr>
              <w:fldChar w:fldCharType="begin"/>
            </w:r>
            <w:r w:rsidRPr="00264D5D">
              <w:rPr>
                <w:sz w:val="22"/>
                <w:szCs w:val="22"/>
              </w:rPr>
              <w:instrText xml:space="preserve"> REF _Ref2178663 \n \h  \* MERGEFORMAT </w:instrText>
            </w:r>
            <w:r w:rsidRPr="00264D5D">
              <w:rPr>
                <w:sz w:val="22"/>
                <w:szCs w:val="22"/>
              </w:rPr>
            </w:r>
            <w:r w:rsidRPr="00264D5D">
              <w:rPr>
                <w:sz w:val="22"/>
                <w:szCs w:val="22"/>
              </w:rPr>
              <w:fldChar w:fldCharType="separate"/>
            </w:r>
            <w:r w:rsidR="008D797C">
              <w:rPr>
                <w:sz w:val="22"/>
                <w:szCs w:val="22"/>
              </w:rPr>
              <w:t>6.5</w:t>
            </w:r>
            <w:r w:rsidRPr="00264D5D">
              <w:rPr>
                <w:sz w:val="22"/>
                <w:szCs w:val="22"/>
              </w:rPr>
              <w:fldChar w:fldCharType="end"/>
            </w:r>
          </w:p>
        </w:tc>
        <w:tc>
          <w:tcPr>
            <w:tcW w:w="855" w:type="dxa"/>
            <w:gridSpan w:val="2"/>
          </w:tcPr>
          <w:p w14:paraId="15A87A95" w14:textId="77777777" w:rsidR="008B26A8" w:rsidRPr="00264D5D" w:rsidRDefault="008B26A8" w:rsidP="0050709C">
            <w:pPr>
              <w:spacing w:before="60" w:after="60"/>
              <w:rPr>
                <w:sz w:val="22"/>
                <w:szCs w:val="22"/>
              </w:rPr>
            </w:pPr>
            <w:r w:rsidRPr="00264D5D">
              <w:rPr>
                <w:sz w:val="22"/>
                <w:szCs w:val="22"/>
              </w:rPr>
              <w:t>Т. 7</w:t>
            </w:r>
          </w:p>
        </w:tc>
      </w:tr>
      <w:tr w:rsidR="008B26A8" w:rsidRPr="00264D5D" w14:paraId="0947ED10" w14:textId="77777777" w:rsidTr="008B26A8">
        <w:trPr>
          <w:cnfStyle w:val="000000010000" w:firstRow="0" w:lastRow="0" w:firstColumn="0" w:lastColumn="0" w:oddVBand="0" w:evenVBand="0" w:oddHBand="0" w:evenHBand="1" w:firstRowFirstColumn="0" w:firstRowLastColumn="0" w:lastRowFirstColumn="0" w:lastRowLastColumn="0"/>
        </w:trPr>
        <w:tc>
          <w:tcPr>
            <w:tcW w:w="7661" w:type="dxa"/>
          </w:tcPr>
          <w:p w14:paraId="15FEC16E" w14:textId="77777777" w:rsidR="008B26A8" w:rsidRPr="00264D5D" w:rsidRDefault="008B26A8" w:rsidP="0050709C">
            <w:pPr>
              <w:spacing w:before="60" w:after="60"/>
              <w:rPr>
                <w:sz w:val="22"/>
                <w:szCs w:val="22"/>
              </w:rPr>
            </w:pPr>
            <w:r w:rsidRPr="00264D5D">
              <w:rPr>
                <w:sz w:val="22"/>
                <w:szCs w:val="22"/>
              </w:rPr>
              <w:t>Заявка на возврат (ф. 0531803)</w:t>
            </w:r>
          </w:p>
        </w:tc>
        <w:tc>
          <w:tcPr>
            <w:tcW w:w="1134" w:type="dxa"/>
            <w:gridSpan w:val="2"/>
          </w:tcPr>
          <w:p w14:paraId="694F440B" w14:textId="288B509A" w:rsidR="008B26A8" w:rsidRPr="00264D5D" w:rsidRDefault="008B26A8" w:rsidP="0050709C">
            <w:pPr>
              <w:spacing w:before="60" w:after="60"/>
              <w:rPr>
                <w:sz w:val="22"/>
                <w:szCs w:val="22"/>
              </w:rPr>
            </w:pPr>
            <w:r w:rsidRPr="00264D5D">
              <w:rPr>
                <w:sz w:val="22"/>
                <w:szCs w:val="22"/>
              </w:rPr>
              <w:t xml:space="preserve">П. </w:t>
            </w:r>
            <w:r w:rsidRPr="00264D5D">
              <w:rPr>
                <w:sz w:val="22"/>
                <w:szCs w:val="22"/>
              </w:rPr>
              <w:fldChar w:fldCharType="begin"/>
            </w:r>
            <w:r w:rsidRPr="00264D5D">
              <w:rPr>
                <w:sz w:val="22"/>
                <w:szCs w:val="22"/>
              </w:rPr>
              <w:instrText xml:space="preserve"> REF _Ref46776829 \n \h  \* MERGEFORMAT </w:instrText>
            </w:r>
            <w:r w:rsidRPr="00264D5D">
              <w:rPr>
                <w:sz w:val="22"/>
                <w:szCs w:val="22"/>
              </w:rPr>
            </w:r>
            <w:r w:rsidRPr="00264D5D">
              <w:rPr>
                <w:sz w:val="22"/>
                <w:szCs w:val="22"/>
              </w:rPr>
              <w:fldChar w:fldCharType="separate"/>
            </w:r>
            <w:r w:rsidR="008D797C">
              <w:rPr>
                <w:sz w:val="22"/>
                <w:szCs w:val="22"/>
              </w:rPr>
              <w:t>6.6</w:t>
            </w:r>
            <w:r w:rsidRPr="00264D5D">
              <w:rPr>
                <w:sz w:val="22"/>
                <w:szCs w:val="22"/>
              </w:rPr>
              <w:fldChar w:fldCharType="end"/>
            </w:r>
          </w:p>
        </w:tc>
        <w:tc>
          <w:tcPr>
            <w:tcW w:w="855" w:type="dxa"/>
            <w:gridSpan w:val="2"/>
          </w:tcPr>
          <w:p w14:paraId="20F244D9" w14:textId="77777777" w:rsidR="008B26A8" w:rsidRPr="00264D5D" w:rsidRDefault="008B26A8" w:rsidP="0050709C">
            <w:pPr>
              <w:spacing w:before="60" w:after="60"/>
              <w:rPr>
                <w:sz w:val="22"/>
                <w:szCs w:val="22"/>
              </w:rPr>
            </w:pPr>
            <w:r w:rsidRPr="00264D5D">
              <w:rPr>
                <w:sz w:val="22"/>
                <w:szCs w:val="22"/>
              </w:rPr>
              <w:t>Т. 7</w:t>
            </w:r>
          </w:p>
        </w:tc>
      </w:tr>
      <w:tr w:rsidR="008B26A8" w:rsidRPr="00264D5D" w14:paraId="7FC86DE1" w14:textId="77777777" w:rsidTr="008B26A8">
        <w:trPr>
          <w:cnfStyle w:val="000000100000" w:firstRow="0" w:lastRow="0" w:firstColumn="0" w:lastColumn="0" w:oddVBand="0" w:evenVBand="0" w:oddHBand="1" w:evenHBand="0" w:firstRowFirstColumn="0" w:firstRowLastColumn="0" w:lastRowFirstColumn="0" w:lastRowLastColumn="0"/>
        </w:trPr>
        <w:tc>
          <w:tcPr>
            <w:tcW w:w="7661" w:type="dxa"/>
          </w:tcPr>
          <w:p w14:paraId="275E2314" w14:textId="77777777" w:rsidR="008B26A8" w:rsidRPr="00264D5D" w:rsidRDefault="008B26A8" w:rsidP="0050709C">
            <w:pPr>
              <w:spacing w:before="60" w:after="60"/>
              <w:rPr>
                <w:sz w:val="22"/>
                <w:szCs w:val="22"/>
              </w:rPr>
            </w:pPr>
            <w:r w:rsidRPr="00264D5D">
              <w:rPr>
                <w:sz w:val="22"/>
                <w:szCs w:val="22"/>
              </w:rPr>
              <w:t>Сведения о бюджетном обязательстве</w:t>
            </w:r>
          </w:p>
        </w:tc>
        <w:tc>
          <w:tcPr>
            <w:tcW w:w="1134" w:type="dxa"/>
            <w:gridSpan w:val="2"/>
          </w:tcPr>
          <w:p w14:paraId="61748CCE" w14:textId="6A3D9364" w:rsidR="008B26A8" w:rsidRPr="00264D5D" w:rsidRDefault="008B26A8" w:rsidP="0050709C">
            <w:pPr>
              <w:spacing w:before="60" w:after="60"/>
              <w:rPr>
                <w:sz w:val="22"/>
                <w:szCs w:val="22"/>
              </w:rPr>
            </w:pPr>
            <w:r w:rsidRPr="00264D5D">
              <w:rPr>
                <w:sz w:val="22"/>
                <w:szCs w:val="22"/>
              </w:rPr>
              <w:t>П.</w:t>
            </w:r>
            <w:r w:rsidRPr="00264D5D">
              <w:rPr>
                <w:sz w:val="22"/>
                <w:szCs w:val="22"/>
              </w:rPr>
              <w:fldChar w:fldCharType="begin"/>
            </w:r>
            <w:r w:rsidRPr="00264D5D">
              <w:rPr>
                <w:sz w:val="22"/>
                <w:szCs w:val="22"/>
              </w:rPr>
              <w:instrText xml:space="preserve"> REF OLE_LINK310 \h  \* MERGEFORMAT </w:instrText>
            </w:r>
            <w:r w:rsidRPr="00264D5D">
              <w:rPr>
                <w:sz w:val="22"/>
                <w:szCs w:val="22"/>
              </w:rPr>
            </w:r>
            <w:r w:rsidRPr="00264D5D">
              <w:rPr>
                <w:sz w:val="22"/>
                <w:szCs w:val="22"/>
              </w:rPr>
              <w:fldChar w:fldCharType="end"/>
            </w:r>
            <w:r w:rsidRPr="00264D5D">
              <w:rPr>
                <w:sz w:val="22"/>
                <w:szCs w:val="22"/>
              </w:rPr>
              <w:t xml:space="preserve"> </w:t>
            </w:r>
            <w:r w:rsidRPr="00264D5D">
              <w:rPr>
                <w:sz w:val="22"/>
                <w:szCs w:val="22"/>
              </w:rPr>
              <w:fldChar w:fldCharType="begin"/>
            </w:r>
            <w:r w:rsidRPr="00264D5D">
              <w:rPr>
                <w:sz w:val="22"/>
                <w:szCs w:val="22"/>
              </w:rPr>
              <w:instrText xml:space="preserve"> REF _Ref46776844 \n \h  \* MERGEFORMAT </w:instrText>
            </w:r>
            <w:r w:rsidRPr="00264D5D">
              <w:rPr>
                <w:sz w:val="22"/>
                <w:szCs w:val="22"/>
              </w:rPr>
            </w:r>
            <w:r w:rsidRPr="00264D5D">
              <w:rPr>
                <w:sz w:val="22"/>
                <w:szCs w:val="22"/>
              </w:rPr>
              <w:fldChar w:fldCharType="separate"/>
            </w:r>
            <w:r w:rsidR="008D797C">
              <w:rPr>
                <w:sz w:val="22"/>
                <w:szCs w:val="22"/>
              </w:rPr>
              <w:t>6.7</w:t>
            </w:r>
            <w:r w:rsidRPr="00264D5D">
              <w:rPr>
                <w:sz w:val="22"/>
                <w:szCs w:val="22"/>
              </w:rPr>
              <w:fldChar w:fldCharType="end"/>
            </w:r>
          </w:p>
        </w:tc>
        <w:tc>
          <w:tcPr>
            <w:tcW w:w="855" w:type="dxa"/>
            <w:gridSpan w:val="2"/>
          </w:tcPr>
          <w:p w14:paraId="4F4AB32C" w14:textId="77777777" w:rsidR="008B26A8" w:rsidRPr="00264D5D" w:rsidRDefault="008B26A8" w:rsidP="0050709C">
            <w:pPr>
              <w:spacing w:before="60" w:after="60"/>
              <w:rPr>
                <w:sz w:val="22"/>
                <w:szCs w:val="22"/>
              </w:rPr>
            </w:pPr>
            <w:r w:rsidRPr="00264D5D">
              <w:rPr>
                <w:sz w:val="22"/>
                <w:szCs w:val="22"/>
              </w:rPr>
              <w:t>Т. 7</w:t>
            </w:r>
          </w:p>
        </w:tc>
      </w:tr>
      <w:tr w:rsidR="008B26A8" w:rsidRPr="00264D5D" w14:paraId="1FC10417" w14:textId="77777777" w:rsidTr="008B26A8">
        <w:trPr>
          <w:cnfStyle w:val="000000010000" w:firstRow="0" w:lastRow="0" w:firstColumn="0" w:lastColumn="0" w:oddVBand="0" w:evenVBand="0" w:oddHBand="0" w:evenHBand="1" w:firstRowFirstColumn="0" w:firstRowLastColumn="0" w:lastRowFirstColumn="0" w:lastRowLastColumn="0"/>
        </w:trPr>
        <w:tc>
          <w:tcPr>
            <w:tcW w:w="7661" w:type="dxa"/>
          </w:tcPr>
          <w:p w14:paraId="472C5B35" w14:textId="77777777" w:rsidR="008B26A8" w:rsidRPr="00264D5D" w:rsidRDefault="008B26A8" w:rsidP="0050709C">
            <w:pPr>
              <w:spacing w:before="60" w:after="60"/>
              <w:rPr>
                <w:sz w:val="22"/>
                <w:szCs w:val="22"/>
              </w:rPr>
            </w:pPr>
            <w:r w:rsidRPr="00264D5D">
              <w:rPr>
                <w:sz w:val="22"/>
                <w:szCs w:val="22"/>
              </w:rPr>
              <w:t>Сведения о денежном обязательстве</w:t>
            </w:r>
          </w:p>
        </w:tc>
        <w:tc>
          <w:tcPr>
            <w:tcW w:w="1134" w:type="dxa"/>
            <w:gridSpan w:val="2"/>
          </w:tcPr>
          <w:p w14:paraId="0BB3CD82" w14:textId="409FE790" w:rsidR="008B26A8" w:rsidRPr="00264D5D" w:rsidRDefault="008B26A8" w:rsidP="0050709C">
            <w:pPr>
              <w:spacing w:before="60" w:after="60"/>
              <w:rPr>
                <w:sz w:val="22"/>
                <w:szCs w:val="22"/>
              </w:rPr>
            </w:pPr>
            <w:r w:rsidRPr="00264D5D">
              <w:rPr>
                <w:sz w:val="22"/>
                <w:szCs w:val="22"/>
              </w:rPr>
              <w:t xml:space="preserve">П. </w:t>
            </w:r>
            <w:r w:rsidRPr="00264D5D">
              <w:rPr>
                <w:sz w:val="22"/>
                <w:szCs w:val="22"/>
              </w:rPr>
              <w:fldChar w:fldCharType="begin"/>
            </w:r>
            <w:r w:rsidRPr="00264D5D">
              <w:rPr>
                <w:sz w:val="22"/>
                <w:szCs w:val="22"/>
              </w:rPr>
              <w:instrText xml:space="preserve"> REF _Ref465283802 \n \h  \* MERGEFORMAT </w:instrText>
            </w:r>
            <w:r w:rsidRPr="00264D5D">
              <w:rPr>
                <w:sz w:val="22"/>
                <w:szCs w:val="22"/>
              </w:rPr>
            </w:r>
            <w:r w:rsidRPr="00264D5D">
              <w:rPr>
                <w:sz w:val="22"/>
                <w:szCs w:val="22"/>
              </w:rPr>
              <w:fldChar w:fldCharType="separate"/>
            </w:r>
            <w:r w:rsidR="008D797C">
              <w:rPr>
                <w:sz w:val="22"/>
                <w:szCs w:val="22"/>
              </w:rPr>
              <w:t>6.8</w:t>
            </w:r>
            <w:r w:rsidRPr="00264D5D">
              <w:rPr>
                <w:sz w:val="22"/>
                <w:szCs w:val="22"/>
              </w:rPr>
              <w:fldChar w:fldCharType="end"/>
            </w:r>
            <w:r w:rsidRPr="00264D5D">
              <w:rPr>
                <w:sz w:val="22"/>
                <w:szCs w:val="22"/>
              </w:rPr>
              <w:t xml:space="preserve"> </w:t>
            </w:r>
            <w:r w:rsidRPr="00264D5D">
              <w:rPr>
                <w:sz w:val="22"/>
                <w:szCs w:val="22"/>
              </w:rPr>
              <w:fldChar w:fldCharType="begin"/>
            </w:r>
            <w:r w:rsidRPr="00264D5D">
              <w:rPr>
                <w:sz w:val="22"/>
                <w:szCs w:val="22"/>
              </w:rPr>
              <w:instrText xml:space="preserve"> REF OLE_LINK310 \h  \* MERGEFORMAT </w:instrText>
            </w:r>
            <w:r w:rsidRPr="00264D5D">
              <w:rPr>
                <w:sz w:val="22"/>
                <w:szCs w:val="22"/>
              </w:rPr>
            </w:r>
            <w:r w:rsidRPr="00264D5D">
              <w:rPr>
                <w:sz w:val="22"/>
                <w:szCs w:val="22"/>
              </w:rPr>
              <w:fldChar w:fldCharType="end"/>
            </w:r>
          </w:p>
        </w:tc>
        <w:tc>
          <w:tcPr>
            <w:tcW w:w="855" w:type="dxa"/>
            <w:gridSpan w:val="2"/>
          </w:tcPr>
          <w:p w14:paraId="0BDFB21F" w14:textId="77777777" w:rsidR="008B26A8" w:rsidRPr="00264D5D" w:rsidRDefault="008B26A8" w:rsidP="0050709C">
            <w:pPr>
              <w:spacing w:before="60" w:after="60"/>
              <w:rPr>
                <w:sz w:val="22"/>
                <w:szCs w:val="22"/>
              </w:rPr>
            </w:pPr>
            <w:r w:rsidRPr="00264D5D">
              <w:rPr>
                <w:sz w:val="22"/>
                <w:szCs w:val="22"/>
              </w:rPr>
              <w:t>Т. 7</w:t>
            </w:r>
          </w:p>
        </w:tc>
      </w:tr>
      <w:tr w:rsidR="008B26A8" w:rsidRPr="00264D5D" w14:paraId="1A70BAA5" w14:textId="77777777" w:rsidTr="008B26A8">
        <w:trPr>
          <w:cnfStyle w:val="000000100000" w:firstRow="0" w:lastRow="0" w:firstColumn="0" w:lastColumn="0" w:oddVBand="0" w:evenVBand="0" w:oddHBand="1" w:evenHBand="0" w:firstRowFirstColumn="0" w:firstRowLastColumn="0" w:lastRowFirstColumn="0" w:lastRowLastColumn="0"/>
        </w:trPr>
        <w:tc>
          <w:tcPr>
            <w:tcW w:w="7661" w:type="dxa"/>
          </w:tcPr>
          <w:p w14:paraId="4AC69C01" w14:textId="77777777" w:rsidR="008B26A8" w:rsidRPr="00264D5D" w:rsidRDefault="008B26A8" w:rsidP="0050709C">
            <w:pPr>
              <w:spacing w:before="60" w:after="60"/>
              <w:rPr>
                <w:sz w:val="22"/>
                <w:szCs w:val="22"/>
              </w:rPr>
            </w:pPr>
            <w:r w:rsidRPr="00264D5D">
              <w:rPr>
                <w:sz w:val="22"/>
                <w:szCs w:val="22"/>
              </w:rPr>
              <w:t>Уведомление об уточнении вида и принадлежности платежа (ф. 0531809)</w:t>
            </w:r>
          </w:p>
        </w:tc>
        <w:tc>
          <w:tcPr>
            <w:tcW w:w="1134" w:type="dxa"/>
            <w:gridSpan w:val="2"/>
          </w:tcPr>
          <w:p w14:paraId="405BAE4D" w14:textId="33DE02EC" w:rsidR="008B26A8" w:rsidRPr="00264D5D" w:rsidRDefault="008B26A8" w:rsidP="0050709C">
            <w:pPr>
              <w:spacing w:before="60" w:after="60"/>
              <w:rPr>
                <w:sz w:val="22"/>
                <w:szCs w:val="22"/>
              </w:rPr>
            </w:pPr>
            <w:r w:rsidRPr="00264D5D">
              <w:rPr>
                <w:sz w:val="22"/>
                <w:szCs w:val="22"/>
              </w:rPr>
              <w:t xml:space="preserve">П. </w:t>
            </w:r>
            <w:r w:rsidRPr="00264D5D">
              <w:rPr>
                <w:sz w:val="22"/>
                <w:szCs w:val="22"/>
              </w:rPr>
              <w:fldChar w:fldCharType="begin"/>
            </w:r>
            <w:r w:rsidRPr="00264D5D">
              <w:rPr>
                <w:sz w:val="22"/>
                <w:szCs w:val="22"/>
              </w:rPr>
              <w:instrText xml:space="preserve"> REF _Ref46776882 \n \h  \* MERGEFORMAT </w:instrText>
            </w:r>
            <w:r w:rsidRPr="00264D5D">
              <w:rPr>
                <w:sz w:val="22"/>
                <w:szCs w:val="22"/>
              </w:rPr>
            </w:r>
            <w:r w:rsidRPr="00264D5D">
              <w:rPr>
                <w:sz w:val="22"/>
                <w:szCs w:val="22"/>
              </w:rPr>
              <w:fldChar w:fldCharType="separate"/>
            </w:r>
            <w:r w:rsidR="008D797C">
              <w:rPr>
                <w:sz w:val="22"/>
                <w:szCs w:val="22"/>
              </w:rPr>
              <w:t>6.9</w:t>
            </w:r>
            <w:r w:rsidRPr="00264D5D">
              <w:rPr>
                <w:sz w:val="22"/>
                <w:szCs w:val="22"/>
              </w:rPr>
              <w:fldChar w:fldCharType="end"/>
            </w:r>
            <w:r w:rsidRPr="00264D5D">
              <w:rPr>
                <w:sz w:val="22"/>
                <w:szCs w:val="22"/>
              </w:rPr>
              <w:t xml:space="preserve"> </w:t>
            </w:r>
          </w:p>
        </w:tc>
        <w:tc>
          <w:tcPr>
            <w:tcW w:w="855" w:type="dxa"/>
            <w:gridSpan w:val="2"/>
          </w:tcPr>
          <w:p w14:paraId="183A94F2" w14:textId="77777777" w:rsidR="008B26A8" w:rsidRPr="00264D5D" w:rsidRDefault="008B26A8" w:rsidP="0050709C">
            <w:pPr>
              <w:spacing w:before="60" w:after="60"/>
              <w:rPr>
                <w:sz w:val="22"/>
                <w:szCs w:val="22"/>
              </w:rPr>
            </w:pPr>
            <w:r w:rsidRPr="00264D5D">
              <w:rPr>
                <w:sz w:val="22"/>
                <w:szCs w:val="22"/>
              </w:rPr>
              <w:t>Т. 7</w:t>
            </w:r>
          </w:p>
        </w:tc>
      </w:tr>
      <w:tr w:rsidR="008B26A8" w:rsidRPr="00264D5D" w14:paraId="4DFCFD85" w14:textId="77777777" w:rsidTr="008B26A8">
        <w:trPr>
          <w:cnfStyle w:val="000000010000" w:firstRow="0" w:lastRow="0" w:firstColumn="0" w:lastColumn="0" w:oddVBand="0" w:evenVBand="0" w:oddHBand="0" w:evenHBand="1" w:firstRowFirstColumn="0" w:firstRowLastColumn="0" w:lastRowFirstColumn="0" w:lastRowLastColumn="0"/>
        </w:trPr>
        <w:tc>
          <w:tcPr>
            <w:tcW w:w="7661" w:type="dxa"/>
          </w:tcPr>
          <w:p w14:paraId="71B4FE4A" w14:textId="77777777" w:rsidR="008B26A8" w:rsidRPr="00264D5D" w:rsidRDefault="008B26A8" w:rsidP="0050709C">
            <w:pPr>
              <w:spacing w:before="60" w:after="60"/>
              <w:rPr>
                <w:sz w:val="22"/>
                <w:szCs w:val="22"/>
              </w:rPr>
            </w:pPr>
            <w:r w:rsidRPr="00264D5D">
              <w:rPr>
                <w:sz w:val="22"/>
                <w:szCs w:val="22"/>
              </w:rPr>
              <w:t>Распоряжение о перечислении денежных средств на банковские карты «Мир» физических лиц</w:t>
            </w:r>
          </w:p>
        </w:tc>
        <w:tc>
          <w:tcPr>
            <w:tcW w:w="1134" w:type="dxa"/>
            <w:gridSpan w:val="2"/>
          </w:tcPr>
          <w:p w14:paraId="478C5F7C" w14:textId="425E08CA" w:rsidR="008B26A8" w:rsidRPr="00264D5D" w:rsidRDefault="008B26A8" w:rsidP="0050709C">
            <w:pPr>
              <w:spacing w:before="60" w:after="60"/>
              <w:rPr>
                <w:sz w:val="22"/>
                <w:szCs w:val="22"/>
                <w:lang w:val="en-US"/>
              </w:rPr>
            </w:pPr>
            <w:r w:rsidRPr="00264D5D">
              <w:rPr>
                <w:sz w:val="22"/>
                <w:szCs w:val="22"/>
              </w:rPr>
              <w:t xml:space="preserve">П. </w:t>
            </w:r>
            <w:r w:rsidRPr="00264D5D">
              <w:rPr>
                <w:sz w:val="22"/>
                <w:szCs w:val="22"/>
                <w:lang w:val="en-US"/>
              </w:rPr>
              <w:fldChar w:fldCharType="begin"/>
            </w:r>
            <w:r w:rsidRPr="00264D5D">
              <w:rPr>
                <w:sz w:val="22"/>
                <w:szCs w:val="22"/>
              </w:rPr>
              <w:instrText xml:space="preserve"> REF _Ref46776892 \n \h </w:instrText>
            </w:r>
            <w:r w:rsidRPr="00264D5D">
              <w:rPr>
                <w:sz w:val="22"/>
                <w:szCs w:val="22"/>
                <w:lang w:val="en-US"/>
              </w:rPr>
              <w:instrText xml:space="preserve"> \* MERGEFORMAT </w:instrText>
            </w:r>
            <w:r w:rsidRPr="00264D5D">
              <w:rPr>
                <w:sz w:val="22"/>
                <w:szCs w:val="22"/>
                <w:lang w:val="en-US"/>
              </w:rPr>
            </w:r>
            <w:r w:rsidRPr="00264D5D">
              <w:rPr>
                <w:sz w:val="22"/>
                <w:szCs w:val="22"/>
                <w:lang w:val="en-US"/>
              </w:rPr>
              <w:fldChar w:fldCharType="separate"/>
            </w:r>
            <w:r w:rsidR="008D797C">
              <w:rPr>
                <w:sz w:val="22"/>
                <w:szCs w:val="22"/>
              </w:rPr>
              <w:t>6.10</w:t>
            </w:r>
            <w:r w:rsidRPr="00264D5D">
              <w:rPr>
                <w:sz w:val="22"/>
                <w:szCs w:val="22"/>
                <w:lang w:val="en-US"/>
              </w:rPr>
              <w:fldChar w:fldCharType="end"/>
            </w:r>
          </w:p>
        </w:tc>
        <w:tc>
          <w:tcPr>
            <w:tcW w:w="855" w:type="dxa"/>
            <w:gridSpan w:val="2"/>
          </w:tcPr>
          <w:p w14:paraId="6F37E299" w14:textId="77777777" w:rsidR="008B26A8" w:rsidRPr="00264D5D" w:rsidRDefault="008B26A8" w:rsidP="0050709C">
            <w:pPr>
              <w:spacing w:before="60" w:after="60"/>
              <w:rPr>
                <w:sz w:val="22"/>
                <w:szCs w:val="22"/>
              </w:rPr>
            </w:pPr>
            <w:r w:rsidRPr="00264D5D">
              <w:rPr>
                <w:sz w:val="22"/>
                <w:szCs w:val="22"/>
              </w:rPr>
              <w:t>Т. 7</w:t>
            </w:r>
          </w:p>
        </w:tc>
      </w:tr>
      <w:tr w:rsidR="008B26A8" w:rsidRPr="00264D5D" w14:paraId="4A34A764" w14:textId="77777777" w:rsidTr="008B26A8">
        <w:trPr>
          <w:cnfStyle w:val="000000100000" w:firstRow="0" w:lastRow="0" w:firstColumn="0" w:lastColumn="0" w:oddVBand="0" w:evenVBand="0" w:oddHBand="1" w:evenHBand="0" w:firstRowFirstColumn="0" w:firstRowLastColumn="0" w:lastRowFirstColumn="0" w:lastRowLastColumn="0"/>
        </w:trPr>
        <w:tc>
          <w:tcPr>
            <w:tcW w:w="7661" w:type="dxa"/>
          </w:tcPr>
          <w:p w14:paraId="7D96AD8E" w14:textId="77777777" w:rsidR="008B26A8" w:rsidRPr="00264D5D" w:rsidRDefault="008B26A8" w:rsidP="0050709C">
            <w:pPr>
              <w:spacing w:before="60" w:after="60"/>
              <w:rPr>
                <w:sz w:val="22"/>
                <w:szCs w:val="22"/>
              </w:rPr>
            </w:pPr>
            <w:r w:rsidRPr="00264D5D">
              <w:rPr>
                <w:sz w:val="22"/>
                <w:szCs w:val="22"/>
              </w:rPr>
              <w:t>Сведения о соглашении/об изменении соглашения</w:t>
            </w:r>
          </w:p>
        </w:tc>
        <w:tc>
          <w:tcPr>
            <w:tcW w:w="1134" w:type="dxa"/>
            <w:gridSpan w:val="2"/>
          </w:tcPr>
          <w:p w14:paraId="188D236A" w14:textId="617D3736" w:rsidR="008B26A8" w:rsidRPr="00264D5D" w:rsidRDefault="008B26A8" w:rsidP="0050709C">
            <w:pPr>
              <w:spacing w:before="60" w:after="60"/>
              <w:rPr>
                <w:sz w:val="22"/>
                <w:szCs w:val="22"/>
              </w:rPr>
            </w:pPr>
            <w:r w:rsidRPr="00264D5D">
              <w:rPr>
                <w:sz w:val="22"/>
                <w:szCs w:val="22"/>
              </w:rPr>
              <w:t>П.</w:t>
            </w:r>
            <w:r w:rsidRPr="00264D5D">
              <w:rPr>
                <w:sz w:val="22"/>
                <w:szCs w:val="22"/>
              </w:rPr>
              <w:fldChar w:fldCharType="begin"/>
            </w:r>
            <w:r w:rsidRPr="00264D5D">
              <w:rPr>
                <w:sz w:val="22"/>
                <w:szCs w:val="22"/>
              </w:rPr>
              <w:instrText xml:space="preserve"> REF _Ref115461693 \r \h  \* MERGEFORMAT </w:instrText>
            </w:r>
            <w:r w:rsidRPr="00264D5D">
              <w:rPr>
                <w:sz w:val="22"/>
                <w:szCs w:val="22"/>
              </w:rPr>
            </w:r>
            <w:r w:rsidRPr="00264D5D">
              <w:rPr>
                <w:sz w:val="22"/>
                <w:szCs w:val="22"/>
              </w:rPr>
              <w:fldChar w:fldCharType="separate"/>
            </w:r>
            <w:r w:rsidR="008D797C">
              <w:rPr>
                <w:sz w:val="22"/>
                <w:szCs w:val="22"/>
              </w:rPr>
              <w:t>6.11</w:t>
            </w:r>
            <w:r w:rsidRPr="00264D5D">
              <w:rPr>
                <w:sz w:val="22"/>
                <w:szCs w:val="22"/>
              </w:rPr>
              <w:fldChar w:fldCharType="end"/>
            </w:r>
            <w:r w:rsidRPr="00264D5D">
              <w:rPr>
                <w:sz w:val="22"/>
                <w:szCs w:val="22"/>
              </w:rPr>
              <w:t xml:space="preserve"> </w:t>
            </w:r>
          </w:p>
        </w:tc>
        <w:tc>
          <w:tcPr>
            <w:tcW w:w="855" w:type="dxa"/>
            <w:gridSpan w:val="2"/>
          </w:tcPr>
          <w:p w14:paraId="799452AD" w14:textId="77777777" w:rsidR="008B26A8" w:rsidRPr="00264D5D" w:rsidRDefault="008B26A8" w:rsidP="0050709C">
            <w:pPr>
              <w:spacing w:before="60" w:after="60"/>
              <w:rPr>
                <w:sz w:val="22"/>
                <w:szCs w:val="22"/>
              </w:rPr>
            </w:pPr>
            <w:r w:rsidRPr="00264D5D">
              <w:rPr>
                <w:sz w:val="22"/>
                <w:szCs w:val="22"/>
              </w:rPr>
              <w:t>Т. 7</w:t>
            </w:r>
          </w:p>
        </w:tc>
      </w:tr>
      <w:tr w:rsidR="008B26A8" w:rsidRPr="00264D5D" w14:paraId="286CC799" w14:textId="77777777" w:rsidTr="008B26A8">
        <w:trPr>
          <w:cnfStyle w:val="000000010000" w:firstRow="0" w:lastRow="0" w:firstColumn="0" w:lastColumn="0" w:oddVBand="0" w:evenVBand="0" w:oddHBand="0" w:evenHBand="1" w:firstRowFirstColumn="0" w:firstRowLastColumn="0" w:lastRowFirstColumn="0" w:lastRowLastColumn="0"/>
        </w:trPr>
        <w:tc>
          <w:tcPr>
            <w:tcW w:w="7661" w:type="dxa"/>
          </w:tcPr>
          <w:p w14:paraId="61067A92" w14:textId="77777777" w:rsidR="008B26A8" w:rsidRPr="00264D5D" w:rsidRDefault="008B26A8" w:rsidP="0050709C">
            <w:pPr>
              <w:spacing w:before="60" w:after="60"/>
              <w:rPr>
                <w:sz w:val="22"/>
                <w:szCs w:val="22"/>
              </w:rPr>
            </w:pPr>
            <w:r w:rsidRPr="00264D5D">
              <w:rPr>
                <w:sz w:val="22"/>
                <w:szCs w:val="22"/>
              </w:rPr>
              <w:t>Информация об отчетности</w:t>
            </w:r>
          </w:p>
        </w:tc>
        <w:tc>
          <w:tcPr>
            <w:tcW w:w="1134" w:type="dxa"/>
            <w:gridSpan w:val="2"/>
          </w:tcPr>
          <w:p w14:paraId="50992BAC" w14:textId="16A41110" w:rsidR="008B26A8" w:rsidRPr="00264D5D" w:rsidRDefault="008B26A8" w:rsidP="0050709C">
            <w:pPr>
              <w:spacing w:before="60" w:after="60"/>
              <w:rPr>
                <w:sz w:val="22"/>
                <w:szCs w:val="22"/>
              </w:rPr>
            </w:pPr>
            <w:r w:rsidRPr="00264D5D">
              <w:rPr>
                <w:sz w:val="22"/>
                <w:szCs w:val="22"/>
              </w:rPr>
              <w:t xml:space="preserve">П. </w:t>
            </w:r>
            <w:r w:rsidRPr="00264D5D">
              <w:rPr>
                <w:sz w:val="22"/>
                <w:szCs w:val="22"/>
              </w:rPr>
              <w:fldChar w:fldCharType="begin"/>
            </w:r>
            <w:r w:rsidRPr="00264D5D">
              <w:rPr>
                <w:sz w:val="22"/>
                <w:szCs w:val="22"/>
              </w:rPr>
              <w:instrText xml:space="preserve"> REF _Ref2160451 \n \h  \* MERGEFORMAT </w:instrText>
            </w:r>
            <w:r w:rsidRPr="00264D5D">
              <w:rPr>
                <w:sz w:val="22"/>
                <w:szCs w:val="22"/>
              </w:rPr>
            </w:r>
            <w:r w:rsidRPr="00264D5D">
              <w:rPr>
                <w:sz w:val="22"/>
                <w:szCs w:val="22"/>
              </w:rPr>
              <w:fldChar w:fldCharType="separate"/>
            </w:r>
            <w:r w:rsidR="008D797C">
              <w:rPr>
                <w:sz w:val="22"/>
                <w:szCs w:val="22"/>
              </w:rPr>
              <w:t>6.12</w:t>
            </w:r>
            <w:r w:rsidRPr="00264D5D">
              <w:rPr>
                <w:sz w:val="22"/>
                <w:szCs w:val="22"/>
              </w:rPr>
              <w:fldChar w:fldCharType="end"/>
            </w:r>
          </w:p>
        </w:tc>
        <w:tc>
          <w:tcPr>
            <w:tcW w:w="855" w:type="dxa"/>
            <w:gridSpan w:val="2"/>
          </w:tcPr>
          <w:p w14:paraId="1F2D5042" w14:textId="77777777" w:rsidR="008B26A8" w:rsidRPr="00264D5D" w:rsidRDefault="008B26A8" w:rsidP="0050709C">
            <w:pPr>
              <w:spacing w:before="60" w:after="60"/>
              <w:rPr>
                <w:sz w:val="22"/>
                <w:szCs w:val="22"/>
              </w:rPr>
            </w:pPr>
            <w:bookmarkStart w:id="584" w:name="OLE_LINK216"/>
            <w:bookmarkStart w:id="585" w:name="OLE_LINK235"/>
            <w:r w:rsidRPr="00264D5D">
              <w:rPr>
                <w:sz w:val="22"/>
                <w:szCs w:val="22"/>
              </w:rPr>
              <w:t>Т. 7</w:t>
            </w:r>
            <w:bookmarkEnd w:id="584"/>
            <w:bookmarkEnd w:id="585"/>
          </w:p>
        </w:tc>
      </w:tr>
      <w:tr w:rsidR="008B26A8" w:rsidRPr="00264D5D" w14:paraId="7C775970" w14:textId="77777777" w:rsidTr="008B26A8">
        <w:trPr>
          <w:cnfStyle w:val="000000100000" w:firstRow="0" w:lastRow="0" w:firstColumn="0" w:lastColumn="0" w:oddVBand="0" w:evenVBand="0" w:oddHBand="1" w:evenHBand="0" w:firstRowFirstColumn="0" w:firstRowLastColumn="0" w:lastRowFirstColumn="0" w:lastRowLastColumn="0"/>
        </w:trPr>
        <w:tc>
          <w:tcPr>
            <w:tcW w:w="7661" w:type="dxa"/>
          </w:tcPr>
          <w:p w14:paraId="70320754" w14:textId="77777777" w:rsidR="008B26A8" w:rsidRPr="00264D5D" w:rsidRDefault="008B26A8" w:rsidP="0050709C">
            <w:pPr>
              <w:spacing w:before="60" w:after="60"/>
              <w:rPr>
                <w:sz w:val="22"/>
                <w:szCs w:val="22"/>
              </w:rPr>
            </w:pPr>
            <w:r w:rsidRPr="00264D5D">
              <w:rPr>
                <w:sz w:val="22"/>
                <w:szCs w:val="22"/>
              </w:rPr>
              <w:t>Заявление на выдачу (перевод, отзыв) Казначейского обеспечения обязательств (ф. 0506108)</w:t>
            </w:r>
          </w:p>
        </w:tc>
        <w:tc>
          <w:tcPr>
            <w:tcW w:w="1134" w:type="dxa"/>
            <w:gridSpan w:val="2"/>
          </w:tcPr>
          <w:p w14:paraId="4A501E0C" w14:textId="44912C14" w:rsidR="008B26A8" w:rsidRPr="00264D5D" w:rsidRDefault="008B26A8" w:rsidP="0050709C">
            <w:pPr>
              <w:spacing w:before="60" w:after="60"/>
              <w:rPr>
                <w:sz w:val="22"/>
                <w:szCs w:val="22"/>
              </w:rPr>
            </w:pPr>
            <w:r w:rsidRPr="00264D5D">
              <w:rPr>
                <w:sz w:val="22"/>
                <w:szCs w:val="22"/>
              </w:rPr>
              <w:t xml:space="preserve">П. </w:t>
            </w:r>
            <w:r w:rsidRPr="00264D5D">
              <w:rPr>
                <w:sz w:val="22"/>
                <w:szCs w:val="22"/>
              </w:rPr>
              <w:fldChar w:fldCharType="begin"/>
            </w:r>
            <w:r w:rsidRPr="00264D5D">
              <w:rPr>
                <w:sz w:val="22"/>
                <w:szCs w:val="22"/>
              </w:rPr>
              <w:instrText xml:space="preserve"> REF _Ref46776935 \n \h  \* MERGEFORMAT </w:instrText>
            </w:r>
            <w:r w:rsidRPr="00264D5D">
              <w:rPr>
                <w:sz w:val="22"/>
                <w:szCs w:val="22"/>
              </w:rPr>
            </w:r>
            <w:r w:rsidRPr="00264D5D">
              <w:rPr>
                <w:sz w:val="22"/>
                <w:szCs w:val="22"/>
              </w:rPr>
              <w:fldChar w:fldCharType="separate"/>
            </w:r>
            <w:r w:rsidR="008D797C">
              <w:rPr>
                <w:sz w:val="22"/>
                <w:szCs w:val="22"/>
              </w:rPr>
              <w:t>6.13</w:t>
            </w:r>
            <w:r w:rsidRPr="00264D5D">
              <w:rPr>
                <w:sz w:val="22"/>
                <w:szCs w:val="22"/>
              </w:rPr>
              <w:fldChar w:fldCharType="end"/>
            </w:r>
            <w:r w:rsidRPr="00264D5D">
              <w:rPr>
                <w:sz w:val="22"/>
                <w:szCs w:val="22"/>
              </w:rPr>
              <w:t xml:space="preserve"> </w:t>
            </w:r>
          </w:p>
        </w:tc>
        <w:tc>
          <w:tcPr>
            <w:tcW w:w="855" w:type="dxa"/>
            <w:gridSpan w:val="2"/>
          </w:tcPr>
          <w:p w14:paraId="7E9D8800" w14:textId="77777777" w:rsidR="008B26A8" w:rsidRPr="00264D5D" w:rsidRDefault="008B26A8" w:rsidP="0050709C">
            <w:pPr>
              <w:spacing w:before="60" w:after="60"/>
              <w:rPr>
                <w:sz w:val="22"/>
                <w:szCs w:val="22"/>
              </w:rPr>
            </w:pPr>
            <w:r w:rsidRPr="00264D5D">
              <w:rPr>
                <w:sz w:val="22"/>
                <w:szCs w:val="22"/>
              </w:rPr>
              <w:t>Т. 7</w:t>
            </w:r>
          </w:p>
        </w:tc>
      </w:tr>
      <w:tr w:rsidR="008B26A8" w:rsidRPr="00264D5D" w14:paraId="24569BC2" w14:textId="77777777" w:rsidTr="008B26A8">
        <w:trPr>
          <w:cnfStyle w:val="000000010000" w:firstRow="0" w:lastRow="0" w:firstColumn="0" w:lastColumn="0" w:oddVBand="0" w:evenVBand="0" w:oddHBand="0" w:evenHBand="1" w:firstRowFirstColumn="0" w:firstRowLastColumn="0" w:lastRowFirstColumn="0" w:lastRowLastColumn="0"/>
        </w:trPr>
        <w:tc>
          <w:tcPr>
            <w:tcW w:w="7661" w:type="dxa"/>
          </w:tcPr>
          <w:p w14:paraId="09AF1E31" w14:textId="77777777" w:rsidR="008B26A8" w:rsidRPr="00264D5D" w:rsidRDefault="008B26A8" w:rsidP="0050709C">
            <w:pPr>
              <w:spacing w:before="60" w:after="60"/>
              <w:rPr>
                <w:sz w:val="22"/>
                <w:szCs w:val="22"/>
              </w:rPr>
            </w:pPr>
            <w:r w:rsidRPr="00264D5D">
              <w:rPr>
                <w:sz w:val="22"/>
                <w:szCs w:val="22"/>
              </w:rPr>
              <w:t>Заявление на выдачу (перевод, исполнение) Казначейского обеспечения обязательств (банковское)</w:t>
            </w:r>
          </w:p>
        </w:tc>
        <w:tc>
          <w:tcPr>
            <w:tcW w:w="1134" w:type="dxa"/>
            <w:gridSpan w:val="2"/>
          </w:tcPr>
          <w:p w14:paraId="1E26050F" w14:textId="2326CB79" w:rsidR="008B26A8" w:rsidRPr="00264D5D" w:rsidRDefault="008B26A8" w:rsidP="0050709C">
            <w:pPr>
              <w:spacing w:before="60" w:after="60"/>
              <w:rPr>
                <w:sz w:val="22"/>
                <w:szCs w:val="22"/>
              </w:rPr>
            </w:pPr>
            <w:r w:rsidRPr="00264D5D">
              <w:rPr>
                <w:sz w:val="22"/>
                <w:szCs w:val="22"/>
              </w:rPr>
              <w:t xml:space="preserve">П. </w:t>
            </w:r>
            <w:r w:rsidRPr="00264D5D">
              <w:rPr>
                <w:sz w:val="22"/>
                <w:szCs w:val="22"/>
              </w:rPr>
              <w:fldChar w:fldCharType="begin"/>
            </w:r>
            <w:r w:rsidRPr="00264D5D">
              <w:rPr>
                <w:sz w:val="22"/>
                <w:szCs w:val="22"/>
              </w:rPr>
              <w:instrText xml:space="preserve"> REF _Ref46776948 \n \h  \* MERGEFORMAT </w:instrText>
            </w:r>
            <w:r w:rsidRPr="00264D5D">
              <w:rPr>
                <w:sz w:val="22"/>
                <w:szCs w:val="22"/>
              </w:rPr>
            </w:r>
            <w:r w:rsidRPr="00264D5D">
              <w:rPr>
                <w:sz w:val="22"/>
                <w:szCs w:val="22"/>
              </w:rPr>
              <w:fldChar w:fldCharType="separate"/>
            </w:r>
            <w:r w:rsidR="008D797C">
              <w:rPr>
                <w:sz w:val="22"/>
                <w:szCs w:val="22"/>
              </w:rPr>
              <w:t>6.14</w:t>
            </w:r>
            <w:r w:rsidRPr="00264D5D">
              <w:rPr>
                <w:sz w:val="22"/>
                <w:szCs w:val="22"/>
              </w:rPr>
              <w:fldChar w:fldCharType="end"/>
            </w:r>
          </w:p>
        </w:tc>
        <w:tc>
          <w:tcPr>
            <w:tcW w:w="855" w:type="dxa"/>
            <w:gridSpan w:val="2"/>
          </w:tcPr>
          <w:p w14:paraId="339CE053" w14:textId="77777777" w:rsidR="008B26A8" w:rsidRPr="00264D5D" w:rsidRDefault="008B26A8" w:rsidP="0050709C">
            <w:pPr>
              <w:spacing w:before="60" w:after="60"/>
              <w:rPr>
                <w:sz w:val="22"/>
                <w:szCs w:val="22"/>
              </w:rPr>
            </w:pPr>
            <w:r w:rsidRPr="00264D5D">
              <w:rPr>
                <w:sz w:val="22"/>
                <w:szCs w:val="22"/>
              </w:rPr>
              <w:t>Т. 7</w:t>
            </w:r>
          </w:p>
        </w:tc>
      </w:tr>
      <w:tr w:rsidR="008B26A8" w:rsidRPr="00264D5D" w14:paraId="4CDA70F5" w14:textId="77777777" w:rsidTr="008B26A8">
        <w:trPr>
          <w:cnfStyle w:val="000000100000" w:firstRow="0" w:lastRow="0" w:firstColumn="0" w:lastColumn="0" w:oddVBand="0" w:evenVBand="0" w:oddHBand="1" w:evenHBand="0" w:firstRowFirstColumn="0" w:firstRowLastColumn="0" w:lastRowFirstColumn="0" w:lastRowLastColumn="0"/>
        </w:trPr>
        <w:tc>
          <w:tcPr>
            <w:tcW w:w="7661" w:type="dxa"/>
          </w:tcPr>
          <w:p w14:paraId="29A21F85" w14:textId="77777777" w:rsidR="008B26A8" w:rsidRPr="00264D5D" w:rsidRDefault="008B26A8" w:rsidP="0050709C">
            <w:pPr>
              <w:spacing w:before="60" w:after="60"/>
              <w:rPr>
                <w:sz w:val="22"/>
                <w:szCs w:val="22"/>
              </w:rPr>
            </w:pPr>
            <w:r w:rsidRPr="00264D5D">
              <w:rPr>
                <w:sz w:val="22"/>
                <w:szCs w:val="22"/>
              </w:rPr>
              <w:t>Заявка на получение денежных средств, перечисляемых на карту (ф. 0531243)</w:t>
            </w:r>
          </w:p>
        </w:tc>
        <w:tc>
          <w:tcPr>
            <w:tcW w:w="1134" w:type="dxa"/>
            <w:gridSpan w:val="2"/>
          </w:tcPr>
          <w:p w14:paraId="4B9FF414" w14:textId="3C658AEF" w:rsidR="008B26A8" w:rsidRPr="00264D5D" w:rsidRDefault="008B26A8" w:rsidP="0050709C">
            <w:pPr>
              <w:spacing w:before="60" w:after="60"/>
              <w:rPr>
                <w:sz w:val="22"/>
                <w:szCs w:val="22"/>
              </w:rPr>
            </w:pPr>
            <w:r w:rsidRPr="00264D5D">
              <w:rPr>
                <w:sz w:val="22"/>
                <w:szCs w:val="22"/>
              </w:rPr>
              <w:t xml:space="preserve">П. </w:t>
            </w:r>
            <w:r w:rsidRPr="00264D5D">
              <w:rPr>
                <w:sz w:val="22"/>
                <w:szCs w:val="22"/>
              </w:rPr>
              <w:fldChar w:fldCharType="begin"/>
            </w:r>
            <w:r w:rsidRPr="00264D5D">
              <w:rPr>
                <w:sz w:val="22"/>
                <w:szCs w:val="22"/>
              </w:rPr>
              <w:instrText xml:space="preserve"> REF _Ref46776970 \n \h  \* MERGEFORMAT </w:instrText>
            </w:r>
            <w:r w:rsidRPr="00264D5D">
              <w:rPr>
                <w:sz w:val="22"/>
                <w:szCs w:val="22"/>
              </w:rPr>
            </w:r>
            <w:r w:rsidRPr="00264D5D">
              <w:rPr>
                <w:sz w:val="22"/>
                <w:szCs w:val="22"/>
              </w:rPr>
              <w:fldChar w:fldCharType="separate"/>
            </w:r>
            <w:r w:rsidR="008D797C">
              <w:rPr>
                <w:sz w:val="22"/>
                <w:szCs w:val="22"/>
              </w:rPr>
              <w:t>6.15</w:t>
            </w:r>
            <w:r w:rsidRPr="00264D5D">
              <w:rPr>
                <w:sz w:val="22"/>
                <w:szCs w:val="22"/>
              </w:rPr>
              <w:fldChar w:fldCharType="end"/>
            </w:r>
            <w:r w:rsidRPr="00264D5D">
              <w:rPr>
                <w:sz w:val="22"/>
                <w:szCs w:val="22"/>
              </w:rPr>
              <w:t xml:space="preserve"> </w:t>
            </w:r>
          </w:p>
        </w:tc>
        <w:tc>
          <w:tcPr>
            <w:tcW w:w="855" w:type="dxa"/>
            <w:gridSpan w:val="2"/>
          </w:tcPr>
          <w:p w14:paraId="52637709" w14:textId="77777777" w:rsidR="008B26A8" w:rsidRPr="00264D5D" w:rsidRDefault="008B26A8" w:rsidP="0050709C">
            <w:pPr>
              <w:spacing w:before="60" w:after="60"/>
              <w:rPr>
                <w:sz w:val="22"/>
                <w:szCs w:val="22"/>
              </w:rPr>
            </w:pPr>
            <w:r w:rsidRPr="00264D5D">
              <w:rPr>
                <w:sz w:val="22"/>
                <w:szCs w:val="22"/>
              </w:rPr>
              <w:t>Т. 7</w:t>
            </w:r>
          </w:p>
        </w:tc>
      </w:tr>
      <w:tr w:rsidR="008B26A8" w:rsidRPr="00264D5D" w14:paraId="2E584F74" w14:textId="77777777" w:rsidTr="008B26A8">
        <w:trPr>
          <w:cnfStyle w:val="000000010000" w:firstRow="0" w:lastRow="0" w:firstColumn="0" w:lastColumn="0" w:oddVBand="0" w:evenVBand="0" w:oddHBand="0" w:evenHBand="1" w:firstRowFirstColumn="0" w:firstRowLastColumn="0" w:lastRowFirstColumn="0" w:lastRowLastColumn="0"/>
        </w:trPr>
        <w:tc>
          <w:tcPr>
            <w:tcW w:w="7661" w:type="dxa"/>
          </w:tcPr>
          <w:p w14:paraId="732C34ED" w14:textId="77777777" w:rsidR="008B26A8" w:rsidRPr="00264D5D" w:rsidRDefault="008B26A8" w:rsidP="0050709C">
            <w:pPr>
              <w:spacing w:before="60" w:after="60"/>
              <w:rPr>
                <w:sz w:val="22"/>
                <w:szCs w:val="22"/>
              </w:rPr>
            </w:pPr>
            <w:r w:rsidRPr="00264D5D">
              <w:rPr>
                <w:sz w:val="22"/>
                <w:szCs w:val="22"/>
              </w:rPr>
              <w:t>Расшифровка сумм неиспользованных средств (ф.0531251), Заявка о внесении наличных денежных средств</w:t>
            </w:r>
          </w:p>
        </w:tc>
        <w:tc>
          <w:tcPr>
            <w:tcW w:w="1134" w:type="dxa"/>
            <w:gridSpan w:val="2"/>
          </w:tcPr>
          <w:p w14:paraId="01F764B5" w14:textId="0E777E40" w:rsidR="008B26A8" w:rsidRPr="00264D5D" w:rsidRDefault="008B26A8" w:rsidP="0050709C">
            <w:pPr>
              <w:spacing w:before="60" w:after="60"/>
              <w:rPr>
                <w:sz w:val="22"/>
                <w:szCs w:val="22"/>
              </w:rPr>
            </w:pPr>
            <w:r w:rsidRPr="00264D5D">
              <w:rPr>
                <w:sz w:val="22"/>
                <w:szCs w:val="22"/>
              </w:rPr>
              <w:t xml:space="preserve">П. </w:t>
            </w:r>
            <w:r w:rsidRPr="00264D5D">
              <w:rPr>
                <w:sz w:val="22"/>
                <w:szCs w:val="22"/>
              </w:rPr>
              <w:fldChar w:fldCharType="begin"/>
            </w:r>
            <w:r w:rsidRPr="00264D5D">
              <w:rPr>
                <w:sz w:val="22"/>
                <w:szCs w:val="22"/>
              </w:rPr>
              <w:instrText xml:space="preserve"> REF _Ref46776983 \n \h  \* MERGEFORMAT </w:instrText>
            </w:r>
            <w:r w:rsidRPr="00264D5D">
              <w:rPr>
                <w:sz w:val="22"/>
                <w:szCs w:val="22"/>
              </w:rPr>
            </w:r>
            <w:r w:rsidRPr="00264D5D">
              <w:rPr>
                <w:sz w:val="22"/>
                <w:szCs w:val="22"/>
              </w:rPr>
              <w:fldChar w:fldCharType="separate"/>
            </w:r>
            <w:r w:rsidR="008D797C">
              <w:rPr>
                <w:sz w:val="22"/>
                <w:szCs w:val="22"/>
              </w:rPr>
              <w:t>6.16</w:t>
            </w:r>
            <w:r w:rsidRPr="00264D5D">
              <w:rPr>
                <w:sz w:val="22"/>
                <w:szCs w:val="22"/>
              </w:rPr>
              <w:fldChar w:fldCharType="end"/>
            </w:r>
            <w:r w:rsidRPr="00264D5D">
              <w:rPr>
                <w:sz w:val="22"/>
                <w:szCs w:val="22"/>
              </w:rPr>
              <w:t xml:space="preserve"> </w:t>
            </w:r>
          </w:p>
        </w:tc>
        <w:tc>
          <w:tcPr>
            <w:tcW w:w="855" w:type="dxa"/>
            <w:gridSpan w:val="2"/>
          </w:tcPr>
          <w:p w14:paraId="0ADF29EE" w14:textId="77777777" w:rsidR="008B26A8" w:rsidRPr="00264D5D" w:rsidRDefault="008B26A8" w:rsidP="0050709C">
            <w:pPr>
              <w:spacing w:before="60" w:after="60"/>
              <w:rPr>
                <w:sz w:val="22"/>
                <w:szCs w:val="22"/>
              </w:rPr>
            </w:pPr>
            <w:r w:rsidRPr="00264D5D">
              <w:rPr>
                <w:sz w:val="22"/>
                <w:szCs w:val="22"/>
              </w:rPr>
              <w:t>Т. 7</w:t>
            </w:r>
          </w:p>
        </w:tc>
      </w:tr>
      <w:tr w:rsidR="008B26A8" w:rsidRPr="00264D5D" w14:paraId="542174D4" w14:textId="77777777" w:rsidTr="008B26A8">
        <w:trPr>
          <w:cnfStyle w:val="000000100000" w:firstRow="0" w:lastRow="0" w:firstColumn="0" w:lastColumn="0" w:oddVBand="0" w:evenVBand="0" w:oddHBand="1" w:evenHBand="0" w:firstRowFirstColumn="0" w:firstRowLastColumn="0" w:lastRowFirstColumn="0" w:lastRowLastColumn="0"/>
        </w:trPr>
        <w:tc>
          <w:tcPr>
            <w:tcW w:w="7661" w:type="dxa"/>
          </w:tcPr>
          <w:p w14:paraId="0CECE442" w14:textId="77777777" w:rsidR="008B26A8" w:rsidRPr="00264D5D" w:rsidRDefault="008B26A8" w:rsidP="0050709C">
            <w:pPr>
              <w:spacing w:before="60" w:after="60"/>
              <w:rPr>
                <w:sz w:val="22"/>
                <w:szCs w:val="22"/>
              </w:rPr>
            </w:pPr>
            <w:r w:rsidRPr="00264D5D">
              <w:rPr>
                <w:sz w:val="22"/>
                <w:szCs w:val="22"/>
              </w:rPr>
              <w:lastRenderedPageBreak/>
              <w:t>Заявка на получение наличных денег (ф. 0531802), Заявка для обеспечения наличными денежными средствами в электронном виде</w:t>
            </w:r>
          </w:p>
        </w:tc>
        <w:tc>
          <w:tcPr>
            <w:tcW w:w="1134" w:type="dxa"/>
            <w:gridSpan w:val="2"/>
          </w:tcPr>
          <w:p w14:paraId="76FD7B5F" w14:textId="59294951" w:rsidR="008B26A8" w:rsidRPr="00264D5D" w:rsidRDefault="008B26A8" w:rsidP="0050709C">
            <w:pPr>
              <w:spacing w:before="60" w:after="60"/>
              <w:rPr>
                <w:sz w:val="22"/>
                <w:szCs w:val="22"/>
              </w:rPr>
            </w:pPr>
            <w:r w:rsidRPr="00264D5D">
              <w:rPr>
                <w:sz w:val="22"/>
                <w:szCs w:val="22"/>
              </w:rPr>
              <w:t xml:space="preserve">П. </w:t>
            </w:r>
            <w:r w:rsidRPr="00264D5D">
              <w:rPr>
                <w:sz w:val="22"/>
                <w:szCs w:val="22"/>
              </w:rPr>
              <w:fldChar w:fldCharType="begin"/>
            </w:r>
            <w:r w:rsidRPr="00264D5D">
              <w:rPr>
                <w:sz w:val="22"/>
                <w:szCs w:val="22"/>
              </w:rPr>
              <w:instrText xml:space="preserve"> REF _Ref46776992 \n \h  \* MERGEFORMAT </w:instrText>
            </w:r>
            <w:r w:rsidRPr="00264D5D">
              <w:rPr>
                <w:sz w:val="22"/>
                <w:szCs w:val="22"/>
              </w:rPr>
            </w:r>
            <w:r w:rsidRPr="00264D5D">
              <w:rPr>
                <w:sz w:val="22"/>
                <w:szCs w:val="22"/>
              </w:rPr>
              <w:fldChar w:fldCharType="separate"/>
            </w:r>
            <w:r w:rsidR="008D797C">
              <w:rPr>
                <w:sz w:val="22"/>
                <w:szCs w:val="22"/>
              </w:rPr>
              <w:t>6.17</w:t>
            </w:r>
            <w:r w:rsidRPr="00264D5D">
              <w:rPr>
                <w:sz w:val="22"/>
                <w:szCs w:val="22"/>
              </w:rPr>
              <w:fldChar w:fldCharType="end"/>
            </w:r>
            <w:r w:rsidRPr="00264D5D">
              <w:rPr>
                <w:sz w:val="22"/>
                <w:szCs w:val="22"/>
              </w:rPr>
              <w:t xml:space="preserve"> </w:t>
            </w:r>
          </w:p>
        </w:tc>
        <w:tc>
          <w:tcPr>
            <w:tcW w:w="855" w:type="dxa"/>
            <w:gridSpan w:val="2"/>
          </w:tcPr>
          <w:p w14:paraId="7572E754" w14:textId="77777777" w:rsidR="008B26A8" w:rsidRPr="00264D5D" w:rsidRDefault="008B26A8" w:rsidP="0050709C">
            <w:pPr>
              <w:spacing w:before="60" w:after="60"/>
              <w:rPr>
                <w:sz w:val="22"/>
                <w:szCs w:val="22"/>
              </w:rPr>
            </w:pPr>
            <w:r w:rsidRPr="00264D5D">
              <w:rPr>
                <w:sz w:val="22"/>
                <w:szCs w:val="22"/>
              </w:rPr>
              <w:t>Т. 7</w:t>
            </w:r>
          </w:p>
        </w:tc>
      </w:tr>
      <w:tr w:rsidR="008B26A8" w:rsidRPr="00264D5D" w14:paraId="20A00FD0" w14:textId="77777777" w:rsidTr="008B26A8">
        <w:trPr>
          <w:cnfStyle w:val="000000010000" w:firstRow="0" w:lastRow="0" w:firstColumn="0" w:lastColumn="0" w:oddVBand="0" w:evenVBand="0" w:oddHBand="0" w:evenHBand="1" w:firstRowFirstColumn="0" w:firstRowLastColumn="0" w:lastRowFirstColumn="0" w:lastRowLastColumn="0"/>
        </w:trPr>
        <w:tc>
          <w:tcPr>
            <w:tcW w:w="7661" w:type="dxa"/>
          </w:tcPr>
          <w:p w14:paraId="228BD7D6" w14:textId="77777777" w:rsidR="008B26A8" w:rsidRPr="00264D5D" w:rsidRDefault="008B26A8" w:rsidP="0050709C">
            <w:pPr>
              <w:spacing w:before="60" w:after="60"/>
              <w:rPr>
                <w:rFonts w:eastAsia="Calibri"/>
                <w:sz w:val="22"/>
                <w:szCs w:val="22"/>
                <w:lang w:eastAsia="en-US"/>
              </w:rPr>
            </w:pPr>
            <w:r w:rsidRPr="00264D5D">
              <w:rPr>
                <w:rFonts w:eastAsia="Calibri"/>
                <w:sz w:val="22"/>
                <w:szCs w:val="22"/>
                <w:lang w:eastAsia="en-US"/>
              </w:rPr>
              <w:t>Сообщение для передачи акта:</w:t>
            </w:r>
          </w:p>
          <w:p w14:paraId="69E3F904" w14:textId="77777777" w:rsidR="008B26A8" w:rsidRPr="00264D5D" w:rsidRDefault="008B26A8" w:rsidP="00101F62">
            <w:pPr>
              <w:pStyle w:val="af5"/>
              <w:numPr>
                <w:ilvl w:val="0"/>
                <w:numId w:val="133"/>
              </w:numPr>
              <w:spacing w:before="60" w:after="60"/>
              <w:ind w:left="284" w:hanging="227"/>
              <w:jc w:val="both"/>
              <w:rPr>
                <w:rFonts w:eastAsia="Calibri"/>
                <w:sz w:val="22"/>
                <w:szCs w:val="22"/>
                <w:lang w:eastAsia="en-US"/>
              </w:rPr>
            </w:pPr>
            <w:r w:rsidRPr="00264D5D">
              <w:rPr>
                <w:rFonts w:eastAsia="Calibri"/>
                <w:sz w:val="22"/>
                <w:szCs w:val="22"/>
                <w:lang w:eastAsia="en-US"/>
              </w:rPr>
              <w:t>Акт приемки-передачи кассовых выплат, поступлений и обязательств при реорганизации участников бюджетного процесса (ф. 0531728)</w:t>
            </w:r>
          </w:p>
        </w:tc>
        <w:tc>
          <w:tcPr>
            <w:tcW w:w="1134" w:type="dxa"/>
            <w:gridSpan w:val="2"/>
          </w:tcPr>
          <w:p w14:paraId="69D50B35" w14:textId="1CB1D4BF" w:rsidR="008B26A8" w:rsidRPr="00264D5D" w:rsidRDefault="008B26A8" w:rsidP="0050709C">
            <w:pPr>
              <w:spacing w:before="60" w:after="60"/>
              <w:rPr>
                <w:sz w:val="22"/>
                <w:szCs w:val="22"/>
              </w:rPr>
            </w:pPr>
            <w:r w:rsidRPr="00264D5D">
              <w:rPr>
                <w:sz w:val="22"/>
                <w:szCs w:val="22"/>
              </w:rPr>
              <w:t xml:space="preserve">П. </w:t>
            </w:r>
            <w:r w:rsidRPr="00264D5D">
              <w:rPr>
                <w:sz w:val="22"/>
                <w:szCs w:val="22"/>
              </w:rPr>
              <w:fldChar w:fldCharType="begin"/>
            </w:r>
            <w:r w:rsidRPr="00264D5D">
              <w:rPr>
                <w:sz w:val="22"/>
                <w:szCs w:val="22"/>
              </w:rPr>
              <w:instrText xml:space="preserve"> REF _Ref46777002 \n \h  \* MERGEFORMAT </w:instrText>
            </w:r>
            <w:r w:rsidRPr="00264D5D">
              <w:rPr>
                <w:sz w:val="22"/>
                <w:szCs w:val="22"/>
              </w:rPr>
            </w:r>
            <w:r w:rsidRPr="00264D5D">
              <w:rPr>
                <w:sz w:val="22"/>
                <w:szCs w:val="22"/>
              </w:rPr>
              <w:fldChar w:fldCharType="separate"/>
            </w:r>
            <w:r w:rsidR="008D797C">
              <w:rPr>
                <w:sz w:val="22"/>
                <w:szCs w:val="22"/>
              </w:rPr>
              <w:t>6.18</w:t>
            </w:r>
            <w:r w:rsidRPr="00264D5D">
              <w:rPr>
                <w:sz w:val="22"/>
                <w:szCs w:val="22"/>
              </w:rPr>
              <w:fldChar w:fldCharType="end"/>
            </w:r>
          </w:p>
        </w:tc>
        <w:tc>
          <w:tcPr>
            <w:tcW w:w="855" w:type="dxa"/>
            <w:gridSpan w:val="2"/>
          </w:tcPr>
          <w:p w14:paraId="2D1BDAA7" w14:textId="77777777" w:rsidR="008B26A8" w:rsidRPr="00264D5D" w:rsidRDefault="008B26A8" w:rsidP="0050709C">
            <w:pPr>
              <w:spacing w:before="60" w:after="60"/>
              <w:rPr>
                <w:sz w:val="22"/>
                <w:szCs w:val="22"/>
              </w:rPr>
            </w:pPr>
            <w:r w:rsidRPr="00264D5D">
              <w:rPr>
                <w:sz w:val="22"/>
                <w:szCs w:val="22"/>
              </w:rPr>
              <w:t>Т. 7</w:t>
            </w:r>
          </w:p>
        </w:tc>
      </w:tr>
      <w:tr w:rsidR="008B26A8" w:rsidRPr="00264D5D" w14:paraId="7D176F8B" w14:textId="77777777" w:rsidTr="008B26A8">
        <w:trPr>
          <w:cnfStyle w:val="000000100000" w:firstRow="0" w:lastRow="0" w:firstColumn="0" w:lastColumn="0" w:oddVBand="0" w:evenVBand="0" w:oddHBand="1" w:evenHBand="0" w:firstRowFirstColumn="0" w:firstRowLastColumn="0" w:lastRowFirstColumn="0" w:lastRowLastColumn="0"/>
        </w:trPr>
        <w:tc>
          <w:tcPr>
            <w:tcW w:w="7661" w:type="dxa"/>
          </w:tcPr>
          <w:p w14:paraId="378B5B8E" w14:textId="77777777" w:rsidR="008B26A8" w:rsidRPr="00264D5D" w:rsidRDefault="008B26A8" w:rsidP="0050709C">
            <w:pPr>
              <w:spacing w:before="60" w:after="60"/>
              <w:rPr>
                <w:sz w:val="22"/>
                <w:szCs w:val="22"/>
              </w:rPr>
            </w:pPr>
            <w:r w:rsidRPr="00264D5D">
              <w:rPr>
                <w:sz w:val="22"/>
                <w:szCs w:val="22"/>
              </w:rPr>
              <w:t>Пакет платежных поручений</w:t>
            </w:r>
          </w:p>
        </w:tc>
        <w:tc>
          <w:tcPr>
            <w:tcW w:w="1134" w:type="dxa"/>
            <w:gridSpan w:val="2"/>
          </w:tcPr>
          <w:p w14:paraId="78442AE1" w14:textId="05C7A466" w:rsidR="008B26A8" w:rsidRPr="00264D5D" w:rsidRDefault="008B26A8" w:rsidP="0050709C">
            <w:pPr>
              <w:spacing w:before="60" w:after="60"/>
              <w:rPr>
                <w:sz w:val="22"/>
                <w:szCs w:val="22"/>
              </w:rPr>
            </w:pPr>
            <w:r w:rsidRPr="00264D5D">
              <w:rPr>
                <w:sz w:val="22"/>
                <w:szCs w:val="22"/>
              </w:rPr>
              <w:t xml:space="preserve">П. </w:t>
            </w:r>
            <w:r w:rsidRPr="00264D5D">
              <w:rPr>
                <w:sz w:val="22"/>
                <w:szCs w:val="22"/>
              </w:rPr>
              <w:fldChar w:fldCharType="begin"/>
            </w:r>
            <w:r w:rsidRPr="00264D5D">
              <w:rPr>
                <w:sz w:val="22"/>
                <w:szCs w:val="22"/>
              </w:rPr>
              <w:instrText xml:space="preserve"> REF _Ref46777015 \n \h  \* MERGEFORMAT </w:instrText>
            </w:r>
            <w:r w:rsidRPr="00264D5D">
              <w:rPr>
                <w:sz w:val="22"/>
                <w:szCs w:val="22"/>
              </w:rPr>
            </w:r>
            <w:r w:rsidRPr="00264D5D">
              <w:rPr>
                <w:sz w:val="22"/>
                <w:szCs w:val="22"/>
              </w:rPr>
              <w:fldChar w:fldCharType="separate"/>
            </w:r>
            <w:r w:rsidR="008D797C">
              <w:rPr>
                <w:sz w:val="22"/>
                <w:szCs w:val="22"/>
              </w:rPr>
              <w:t>6.19</w:t>
            </w:r>
            <w:r w:rsidRPr="00264D5D">
              <w:rPr>
                <w:sz w:val="22"/>
                <w:szCs w:val="22"/>
              </w:rPr>
              <w:fldChar w:fldCharType="end"/>
            </w:r>
            <w:r w:rsidRPr="00264D5D">
              <w:rPr>
                <w:sz w:val="22"/>
                <w:szCs w:val="22"/>
              </w:rPr>
              <w:t xml:space="preserve"> </w:t>
            </w:r>
          </w:p>
        </w:tc>
        <w:tc>
          <w:tcPr>
            <w:tcW w:w="855" w:type="dxa"/>
            <w:gridSpan w:val="2"/>
          </w:tcPr>
          <w:p w14:paraId="6A2DE0D6" w14:textId="77777777" w:rsidR="008B26A8" w:rsidRPr="00264D5D" w:rsidRDefault="008B26A8" w:rsidP="0050709C">
            <w:pPr>
              <w:spacing w:before="60" w:after="60"/>
              <w:rPr>
                <w:sz w:val="22"/>
                <w:szCs w:val="22"/>
              </w:rPr>
            </w:pPr>
            <w:r w:rsidRPr="00264D5D">
              <w:rPr>
                <w:sz w:val="22"/>
                <w:szCs w:val="22"/>
              </w:rPr>
              <w:t>Т. 7</w:t>
            </w:r>
          </w:p>
        </w:tc>
      </w:tr>
      <w:tr w:rsidR="008B26A8" w:rsidRPr="00264D5D" w14:paraId="1F029B3E" w14:textId="77777777" w:rsidTr="008B26A8">
        <w:trPr>
          <w:cnfStyle w:val="000000010000" w:firstRow="0" w:lastRow="0" w:firstColumn="0" w:lastColumn="0" w:oddVBand="0" w:evenVBand="0" w:oddHBand="0" w:evenHBand="1" w:firstRowFirstColumn="0" w:firstRowLastColumn="0" w:lastRowFirstColumn="0" w:lastRowLastColumn="0"/>
        </w:trPr>
        <w:tc>
          <w:tcPr>
            <w:tcW w:w="7661" w:type="dxa"/>
          </w:tcPr>
          <w:p w14:paraId="071F26BA" w14:textId="77777777" w:rsidR="008B26A8" w:rsidRPr="00264D5D" w:rsidRDefault="008B26A8" w:rsidP="0050709C">
            <w:pPr>
              <w:spacing w:before="60" w:after="60"/>
              <w:rPr>
                <w:sz w:val="22"/>
                <w:szCs w:val="22"/>
              </w:rPr>
            </w:pPr>
            <w:r w:rsidRPr="00264D5D">
              <w:rPr>
                <w:sz w:val="22"/>
                <w:szCs w:val="22"/>
              </w:rPr>
              <w:t>Сведения об осуществлении операций со средствами во временном распоряжении</w:t>
            </w:r>
          </w:p>
        </w:tc>
        <w:tc>
          <w:tcPr>
            <w:tcW w:w="1134" w:type="dxa"/>
            <w:gridSpan w:val="2"/>
          </w:tcPr>
          <w:p w14:paraId="511D7188" w14:textId="63D8567A" w:rsidR="008B26A8" w:rsidRPr="00264D5D" w:rsidRDefault="008B26A8" w:rsidP="0050709C">
            <w:pPr>
              <w:spacing w:before="60" w:after="60"/>
              <w:rPr>
                <w:sz w:val="22"/>
                <w:szCs w:val="22"/>
              </w:rPr>
            </w:pPr>
            <w:r w:rsidRPr="00264D5D">
              <w:rPr>
                <w:sz w:val="22"/>
                <w:szCs w:val="22"/>
              </w:rPr>
              <w:t xml:space="preserve">П. </w:t>
            </w:r>
            <w:r w:rsidRPr="00264D5D">
              <w:rPr>
                <w:sz w:val="22"/>
                <w:szCs w:val="22"/>
              </w:rPr>
              <w:fldChar w:fldCharType="begin"/>
            </w:r>
            <w:r w:rsidRPr="00264D5D">
              <w:rPr>
                <w:sz w:val="22"/>
                <w:szCs w:val="22"/>
              </w:rPr>
              <w:instrText xml:space="preserve"> REF _Ref115461846 \r \h  \* MERGEFORMAT </w:instrText>
            </w:r>
            <w:r w:rsidRPr="00264D5D">
              <w:rPr>
                <w:sz w:val="22"/>
                <w:szCs w:val="22"/>
              </w:rPr>
            </w:r>
            <w:r w:rsidRPr="00264D5D">
              <w:rPr>
                <w:sz w:val="22"/>
                <w:szCs w:val="22"/>
              </w:rPr>
              <w:fldChar w:fldCharType="separate"/>
            </w:r>
            <w:r w:rsidR="008D797C">
              <w:rPr>
                <w:sz w:val="22"/>
                <w:szCs w:val="22"/>
              </w:rPr>
              <w:t>6.20</w:t>
            </w:r>
            <w:r w:rsidRPr="00264D5D">
              <w:rPr>
                <w:sz w:val="22"/>
                <w:szCs w:val="22"/>
              </w:rPr>
              <w:fldChar w:fldCharType="end"/>
            </w:r>
          </w:p>
        </w:tc>
        <w:tc>
          <w:tcPr>
            <w:tcW w:w="855" w:type="dxa"/>
            <w:gridSpan w:val="2"/>
          </w:tcPr>
          <w:p w14:paraId="71993E94" w14:textId="77777777" w:rsidR="008B26A8" w:rsidRPr="00264D5D" w:rsidRDefault="008B26A8" w:rsidP="0050709C">
            <w:pPr>
              <w:spacing w:before="60" w:after="60"/>
              <w:rPr>
                <w:sz w:val="22"/>
                <w:szCs w:val="22"/>
              </w:rPr>
            </w:pPr>
            <w:r w:rsidRPr="00264D5D">
              <w:rPr>
                <w:sz w:val="22"/>
                <w:szCs w:val="22"/>
              </w:rPr>
              <w:t>Т. 7</w:t>
            </w:r>
          </w:p>
        </w:tc>
      </w:tr>
      <w:tr w:rsidR="008B26A8" w:rsidRPr="00264D5D" w14:paraId="3AE8B49A" w14:textId="77777777" w:rsidTr="008B26A8">
        <w:trPr>
          <w:cnfStyle w:val="000000100000" w:firstRow="0" w:lastRow="0" w:firstColumn="0" w:lastColumn="0" w:oddVBand="0" w:evenVBand="0" w:oddHBand="1" w:evenHBand="0" w:firstRowFirstColumn="0" w:firstRowLastColumn="0" w:lastRowFirstColumn="0" w:lastRowLastColumn="0"/>
        </w:trPr>
        <w:tc>
          <w:tcPr>
            <w:tcW w:w="7661" w:type="dxa"/>
          </w:tcPr>
          <w:p w14:paraId="420A6D85" w14:textId="77777777" w:rsidR="008B26A8" w:rsidRPr="00264D5D" w:rsidRDefault="008B26A8" w:rsidP="0050709C">
            <w:pPr>
              <w:spacing w:before="60" w:after="60"/>
              <w:rPr>
                <w:sz w:val="22"/>
                <w:szCs w:val="22"/>
              </w:rPr>
            </w:pPr>
            <w:r w:rsidRPr="00264D5D">
              <w:rPr>
                <w:sz w:val="22"/>
                <w:szCs w:val="22"/>
              </w:rPr>
              <w:t>Ответ на запрос (уведомление) по ЭПС участника</w:t>
            </w:r>
          </w:p>
        </w:tc>
        <w:tc>
          <w:tcPr>
            <w:tcW w:w="1134" w:type="dxa"/>
            <w:gridSpan w:val="2"/>
          </w:tcPr>
          <w:p w14:paraId="2518528C" w14:textId="5B5D4FD7" w:rsidR="008B26A8" w:rsidRPr="00264D5D" w:rsidRDefault="008B26A8" w:rsidP="0050709C">
            <w:pPr>
              <w:spacing w:before="60" w:after="60"/>
              <w:rPr>
                <w:sz w:val="22"/>
                <w:szCs w:val="22"/>
              </w:rPr>
            </w:pPr>
            <w:r w:rsidRPr="00264D5D">
              <w:rPr>
                <w:sz w:val="22"/>
                <w:szCs w:val="22"/>
              </w:rPr>
              <w:t xml:space="preserve">П. </w:t>
            </w:r>
            <w:r w:rsidRPr="00264D5D">
              <w:rPr>
                <w:sz w:val="22"/>
                <w:szCs w:val="22"/>
              </w:rPr>
              <w:fldChar w:fldCharType="begin"/>
            </w:r>
            <w:r w:rsidRPr="00264D5D">
              <w:rPr>
                <w:sz w:val="22"/>
                <w:szCs w:val="22"/>
              </w:rPr>
              <w:instrText xml:space="preserve"> REF _Ref115461851 \r \h  \* MERGEFORMAT </w:instrText>
            </w:r>
            <w:r w:rsidRPr="00264D5D">
              <w:rPr>
                <w:sz w:val="22"/>
                <w:szCs w:val="22"/>
              </w:rPr>
            </w:r>
            <w:r w:rsidRPr="00264D5D">
              <w:rPr>
                <w:sz w:val="22"/>
                <w:szCs w:val="22"/>
              </w:rPr>
              <w:fldChar w:fldCharType="separate"/>
            </w:r>
            <w:r w:rsidR="008D797C">
              <w:rPr>
                <w:sz w:val="22"/>
                <w:szCs w:val="22"/>
              </w:rPr>
              <w:t>6.21</w:t>
            </w:r>
            <w:r w:rsidRPr="00264D5D">
              <w:rPr>
                <w:sz w:val="22"/>
                <w:szCs w:val="22"/>
              </w:rPr>
              <w:fldChar w:fldCharType="end"/>
            </w:r>
          </w:p>
        </w:tc>
        <w:tc>
          <w:tcPr>
            <w:tcW w:w="855" w:type="dxa"/>
            <w:gridSpan w:val="2"/>
          </w:tcPr>
          <w:p w14:paraId="3123866C" w14:textId="77777777" w:rsidR="008B26A8" w:rsidRPr="00264D5D" w:rsidRDefault="008B26A8" w:rsidP="0050709C">
            <w:pPr>
              <w:spacing w:before="60" w:after="60"/>
              <w:rPr>
                <w:sz w:val="22"/>
                <w:szCs w:val="22"/>
              </w:rPr>
            </w:pPr>
            <w:r w:rsidRPr="00264D5D">
              <w:rPr>
                <w:sz w:val="22"/>
                <w:szCs w:val="22"/>
              </w:rPr>
              <w:t>Т. 7</w:t>
            </w:r>
          </w:p>
        </w:tc>
      </w:tr>
      <w:tr w:rsidR="008B26A8" w:rsidRPr="00264D5D" w14:paraId="331EA709" w14:textId="77777777" w:rsidTr="008B26A8">
        <w:trPr>
          <w:cnfStyle w:val="000000010000" w:firstRow="0" w:lastRow="0" w:firstColumn="0" w:lastColumn="0" w:oddVBand="0" w:evenVBand="0" w:oddHBand="0" w:evenHBand="1" w:firstRowFirstColumn="0" w:firstRowLastColumn="0" w:lastRowFirstColumn="0" w:lastRowLastColumn="0"/>
        </w:trPr>
        <w:tc>
          <w:tcPr>
            <w:tcW w:w="7661" w:type="dxa"/>
          </w:tcPr>
          <w:p w14:paraId="0C6549D8" w14:textId="77777777" w:rsidR="008B26A8" w:rsidRPr="00264D5D" w:rsidRDefault="008B26A8" w:rsidP="0050709C">
            <w:pPr>
              <w:spacing w:before="60" w:after="60"/>
              <w:rPr>
                <w:sz w:val="22"/>
                <w:szCs w:val="22"/>
              </w:rPr>
            </w:pPr>
            <w:r w:rsidRPr="00264D5D">
              <w:rPr>
                <w:sz w:val="22"/>
                <w:szCs w:val="22"/>
              </w:rPr>
              <w:t>Казначейское уведомление</w:t>
            </w:r>
          </w:p>
        </w:tc>
        <w:tc>
          <w:tcPr>
            <w:tcW w:w="1134" w:type="dxa"/>
            <w:gridSpan w:val="2"/>
          </w:tcPr>
          <w:p w14:paraId="24CEAB67" w14:textId="77777777" w:rsidR="008B26A8" w:rsidRPr="00264D5D" w:rsidRDefault="008B26A8" w:rsidP="0050709C">
            <w:pPr>
              <w:spacing w:before="60" w:after="60"/>
              <w:rPr>
                <w:sz w:val="22"/>
                <w:szCs w:val="22"/>
              </w:rPr>
            </w:pPr>
            <w:r w:rsidRPr="00264D5D">
              <w:rPr>
                <w:sz w:val="22"/>
                <w:szCs w:val="22"/>
              </w:rPr>
              <w:t>П. 6.1</w:t>
            </w:r>
          </w:p>
        </w:tc>
        <w:tc>
          <w:tcPr>
            <w:tcW w:w="855" w:type="dxa"/>
            <w:gridSpan w:val="2"/>
          </w:tcPr>
          <w:p w14:paraId="27925048" w14:textId="77777777" w:rsidR="008B26A8" w:rsidRPr="00264D5D" w:rsidRDefault="008B26A8" w:rsidP="0050709C">
            <w:pPr>
              <w:spacing w:before="60" w:after="60"/>
              <w:rPr>
                <w:sz w:val="22"/>
                <w:szCs w:val="22"/>
              </w:rPr>
            </w:pPr>
            <w:r w:rsidRPr="00264D5D">
              <w:rPr>
                <w:sz w:val="22"/>
                <w:szCs w:val="22"/>
              </w:rPr>
              <w:t>Т. 8</w:t>
            </w:r>
          </w:p>
        </w:tc>
      </w:tr>
      <w:tr w:rsidR="008B26A8" w:rsidRPr="00264D5D" w14:paraId="237F500C" w14:textId="77777777" w:rsidTr="008B26A8">
        <w:trPr>
          <w:cnfStyle w:val="000000100000" w:firstRow="0" w:lastRow="0" w:firstColumn="0" w:lastColumn="0" w:oddVBand="0" w:evenVBand="0" w:oddHBand="1" w:evenHBand="0" w:firstRowFirstColumn="0" w:firstRowLastColumn="0" w:lastRowFirstColumn="0" w:lastRowLastColumn="0"/>
        </w:trPr>
        <w:tc>
          <w:tcPr>
            <w:tcW w:w="7661" w:type="dxa"/>
          </w:tcPr>
          <w:p w14:paraId="39FAC5AF" w14:textId="77777777" w:rsidR="008B26A8" w:rsidRPr="00264D5D" w:rsidRDefault="008B26A8" w:rsidP="0050709C">
            <w:pPr>
              <w:spacing w:before="60" w:after="60"/>
              <w:rPr>
                <w:sz w:val="22"/>
                <w:szCs w:val="22"/>
              </w:rPr>
            </w:pPr>
            <w:r w:rsidRPr="00264D5D">
              <w:rPr>
                <w:sz w:val="22"/>
                <w:szCs w:val="22"/>
              </w:rPr>
              <w:t>Извещение о постановке на учет (изменении) бюджетного обязательства в органе Федерального казначейства</w:t>
            </w:r>
          </w:p>
        </w:tc>
        <w:tc>
          <w:tcPr>
            <w:tcW w:w="1134" w:type="dxa"/>
            <w:gridSpan w:val="2"/>
          </w:tcPr>
          <w:p w14:paraId="647E9401" w14:textId="77777777" w:rsidR="008B26A8" w:rsidRPr="00264D5D" w:rsidRDefault="008B26A8" w:rsidP="0050709C">
            <w:pPr>
              <w:spacing w:before="60" w:after="60"/>
              <w:rPr>
                <w:sz w:val="22"/>
                <w:szCs w:val="22"/>
              </w:rPr>
            </w:pPr>
            <w:r w:rsidRPr="00264D5D">
              <w:rPr>
                <w:sz w:val="22"/>
                <w:szCs w:val="22"/>
              </w:rPr>
              <w:t>П. 6.2</w:t>
            </w:r>
          </w:p>
        </w:tc>
        <w:tc>
          <w:tcPr>
            <w:tcW w:w="855" w:type="dxa"/>
            <w:gridSpan w:val="2"/>
          </w:tcPr>
          <w:p w14:paraId="6700C480" w14:textId="77777777" w:rsidR="008B26A8" w:rsidRPr="00264D5D" w:rsidRDefault="008B26A8" w:rsidP="0050709C">
            <w:pPr>
              <w:spacing w:before="60" w:after="60"/>
              <w:rPr>
                <w:sz w:val="22"/>
                <w:szCs w:val="22"/>
              </w:rPr>
            </w:pPr>
            <w:r w:rsidRPr="00264D5D">
              <w:rPr>
                <w:sz w:val="22"/>
                <w:szCs w:val="22"/>
              </w:rPr>
              <w:t>Т. 8</w:t>
            </w:r>
          </w:p>
        </w:tc>
      </w:tr>
      <w:tr w:rsidR="008B26A8" w:rsidRPr="00264D5D" w14:paraId="7A18D4C5" w14:textId="77777777" w:rsidTr="008B26A8">
        <w:trPr>
          <w:cnfStyle w:val="000000010000" w:firstRow="0" w:lastRow="0" w:firstColumn="0" w:lastColumn="0" w:oddVBand="0" w:evenVBand="0" w:oddHBand="0" w:evenHBand="1" w:firstRowFirstColumn="0" w:firstRowLastColumn="0" w:lastRowFirstColumn="0" w:lastRowLastColumn="0"/>
        </w:trPr>
        <w:tc>
          <w:tcPr>
            <w:tcW w:w="7661" w:type="dxa"/>
          </w:tcPr>
          <w:p w14:paraId="662EA543" w14:textId="77777777" w:rsidR="008B26A8" w:rsidRPr="00264D5D" w:rsidRDefault="008B26A8" w:rsidP="0050709C">
            <w:pPr>
              <w:spacing w:before="60" w:after="60"/>
              <w:rPr>
                <w:sz w:val="22"/>
                <w:szCs w:val="22"/>
              </w:rPr>
            </w:pPr>
            <w:r w:rsidRPr="00264D5D">
              <w:rPr>
                <w:sz w:val="22"/>
                <w:szCs w:val="22"/>
              </w:rPr>
              <w:t>Справка о неисполненных в отчетном финансовом году бюджетных обязательствах по государственным контрактам на поставку товаров, выполнение работ, оказание услуг и соглашениям (нормативным правовым актам) о предоставлении из федерального бюджета субсидий юридическим лицам</w:t>
            </w:r>
          </w:p>
        </w:tc>
        <w:tc>
          <w:tcPr>
            <w:tcW w:w="1134" w:type="dxa"/>
            <w:gridSpan w:val="2"/>
          </w:tcPr>
          <w:p w14:paraId="2686F16E" w14:textId="77777777" w:rsidR="008B26A8" w:rsidRPr="00264D5D" w:rsidRDefault="008B26A8" w:rsidP="0050709C">
            <w:pPr>
              <w:spacing w:before="60" w:after="60"/>
              <w:rPr>
                <w:sz w:val="22"/>
                <w:szCs w:val="22"/>
              </w:rPr>
            </w:pPr>
            <w:r w:rsidRPr="00264D5D">
              <w:rPr>
                <w:sz w:val="22"/>
                <w:szCs w:val="22"/>
              </w:rPr>
              <w:t>П. 6.3</w:t>
            </w:r>
          </w:p>
        </w:tc>
        <w:tc>
          <w:tcPr>
            <w:tcW w:w="855" w:type="dxa"/>
            <w:gridSpan w:val="2"/>
          </w:tcPr>
          <w:p w14:paraId="21E8C6A1" w14:textId="77777777" w:rsidR="008B26A8" w:rsidRPr="00264D5D" w:rsidRDefault="008B26A8" w:rsidP="0050709C">
            <w:pPr>
              <w:spacing w:before="60" w:after="60"/>
              <w:rPr>
                <w:sz w:val="22"/>
                <w:szCs w:val="22"/>
              </w:rPr>
            </w:pPr>
            <w:r w:rsidRPr="00264D5D">
              <w:rPr>
                <w:sz w:val="22"/>
                <w:szCs w:val="22"/>
              </w:rPr>
              <w:t>Т. 8</w:t>
            </w:r>
          </w:p>
        </w:tc>
      </w:tr>
      <w:tr w:rsidR="008B26A8" w:rsidRPr="00264D5D" w14:paraId="14EE9DDD" w14:textId="77777777" w:rsidTr="008B26A8">
        <w:trPr>
          <w:cnfStyle w:val="000000100000" w:firstRow="0" w:lastRow="0" w:firstColumn="0" w:lastColumn="0" w:oddVBand="0" w:evenVBand="0" w:oddHBand="1" w:evenHBand="0" w:firstRowFirstColumn="0" w:firstRowLastColumn="0" w:lastRowFirstColumn="0" w:lastRowLastColumn="0"/>
        </w:trPr>
        <w:tc>
          <w:tcPr>
            <w:tcW w:w="7661" w:type="dxa"/>
          </w:tcPr>
          <w:p w14:paraId="25A771F2" w14:textId="77777777" w:rsidR="008B26A8" w:rsidRPr="00264D5D" w:rsidRDefault="008B26A8" w:rsidP="0050709C">
            <w:pPr>
              <w:spacing w:before="60" w:after="60"/>
              <w:rPr>
                <w:sz w:val="22"/>
                <w:szCs w:val="22"/>
              </w:rPr>
            </w:pPr>
            <w:r w:rsidRPr="00264D5D">
              <w:rPr>
                <w:sz w:val="22"/>
                <w:szCs w:val="22"/>
              </w:rPr>
              <w:t>Справка об исполнении принятых на учет обязательств (ф. 0506602)</w:t>
            </w:r>
          </w:p>
        </w:tc>
        <w:tc>
          <w:tcPr>
            <w:tcW w:w="1134" w:type="dxa"/>
            <w:gridSpan w:val="2"/>
          </w:tcPr>
          <w:p w14:paraId="23CB0571" w14:textId="77777777" w:rsidR="008B26A8" w:rsidRPr="00264D5D" w:rsidRDefault="008B26A8" w:rsidP="0050709C">
            <w:pPr>
              <w:spacing w:before="60" w:after="60"/>
              <w:rPr>
                <w:sz w:val="22"/>
                <w:szCs w:val="22"/>
              </w:rPr>
            </w:pPr>
            <w:r w:rsidRPr="00264D5D">
              <w:rPr>
                <w:sz w:val="22"/>
                <w:szCs w:val="22"/>
              </w:rPr>
              <w:t>П. 6.4</w:t>
            </w:r>
          </w:p>
        </w:tc>
        <w:tc>
          <w:tcPr>
            <w:tcW w:w="855" w:type="dxa"/>
            <w:gridSpan w:val="2"/>
          </w:tcPr>
          <w:p w14:paraId="3E9C8031" w14:textId="77777777" w:rsidR="008B26A8" w:rsidRPr="00264D5D" w:rsidRDefault="008B26A8" w:rsidP="0050709C">
            <w:pPr>
              <w:spacing w:before="60" w:after="60"/>
              <w:rPr>
                <w:sz w:val="22"/>
                <w:szCs w:val="22"/>
              </w:rPr>
            </w:pPr>
            <w:r w:rsidRPr="00264D5D">
              <w:rPr>
                <w:sz w:val="22"/>
                <w:szCs w:val="22"/>
              </w:rPr>
              <w:t>Т. 8</w:t>
            </w:r>
          </w:p>
        </w:tc>
      </w:tr>
      <w:tr w:rsidR="008B26A8" w:rsidRPr="00264D5D" w14:paraId="514E382D" w14:textId="77777777" w:rsidTr="008B26A8">
        <w:trPr>
          <w:cnfStyle w:val="000000010000" w:firstRow="0" w:lastRow="0" w:firstColumn="0" w:lastColumn="0" w:oddVBand="0" w:evenVBand="0" w:oddHBand="0" w:evenHBand="1" w:firstRowFirstColumn="0" w:firstRowLastColumn="0" w:lastRowFirstColumn="0" w:lastRowLastColumn="0"/>
        </w:trPr>
        <w:tc>
          <w:tcPr>
            <w:tcW w:w="7661" w:type="dxa"/>
          </w:tcPr>
          <w:p w14:paraId="212AD465" w14:textId="77777777" w:rsidR="008B26A8" w:rsidRPr="00264D5D" w:rsidRDefault="008B26A8" w:rsidP="0050709C">
            <w:pPr>
              <w:spacing w:before="60" w:after="60"/>
              <w:rPr>
                <w:sz w:val="22"/>
                <w:szCs w:val="22"/>
              </w:rPr>
            </w:pPr>
            <w:r w:rsidRPr="00264D5D">
              <w:rPr>
                <w:sz w:val="22"/>
                <w:szCs w:val="22"/>
              </w:rPr>
              <w:t>Извещение о постановке на учет (изменении) денежного обязательства в органе Федерального казначейства»</w:t>
            </w:r>
          </w:p>
        </w:tc>
        <w:tc>
          <w:tcPr>
            <w:tcW w:w="1134" w:type="dxa"/>
            <w:gridSpan w:val="2"/>
          </w:tcPr>
          <w:p w14:paraId="0322E782" w14:textId="77777777" w:rsidR="008B26A8" w:rsidRPr="00264D5D" w:rsidRDefault="008B26A8" w:rsidP="0050709C">
            <w:pPr>
              <w:spacing w:before="60" w:after="60"/>
              <w:rPr>
                <w:sz w:val="22"/>
                <w:szCs w:val="22"/>
              </w:rPr>
            </w:pPr>
            <w:r w:rsidRPr="00264D5D">
              <w:rPr>
                <w:sz w:val="22"/>
                <w:szCs w:val="22"/>
              </w:rPr>
              <w:t>П. 6.5</w:t>
            </w:r>
          </w:p>
        </w:tc>
        <w:tc>
          <w:tcPr>
            <w:tcW w:w="855" w:type="dxa"/>
            <w:gridSpan w:val="2"/>
          </w:tcPr>
          <w:p w14:paraId="6D181E45" w14:textId="77777777" w:rsidR="008B26A8" w:rsidRPr="00264D5D" w:rsidRDefault="008B26A8" w:rsidP="0050709C">
            <w:pPr>
              <w:spacing w:before="60" w:after="60"/>
              <w:rPr>
                <w:sz w:val="22"/>
                <w:szCs w:val="22"/>
              </w:rPr>
            </w:pPr>
            <w:r w:rsidRPr="00264D5D">
              <w:rPr>
                <w:sz w:val="22"/>
                <w:szCs w:val="22"/>
              </w:rPr>
              <w:t>Т. 8</w:t>
            </w:r>
          </w:p>
        </w:tc>
      </w:tr>
      <w:tr w:rsidR="008B26A8" w:rsidRPr="00264D5D" w14:paraId="70C6102F" w14:textId="77777777" w:rsidTr="008B26A8">
        <w:trPr>
          <w:cnfStyle w:val="000000100000" w:firstRow="0" w:lastRow="0" w:firstColumn="0" w:lastColumn="0" w:oddVBand="0" w:evenVBand="0" w:oddHBand="1" w:evenHBand="0" w:firstRowFirstColumn="0" w:firstRowLastColumn="0" w:lastRowFirstColumn="0" w:lastRowLastColumn="0"/>
        </w:trPr>
        <w:tc>
          <w:tcPr>
            <w:tcW w:w="7661" w:type="dxa"/>
          </w:tcPr>
          <w:p w14:paraId="40CDF189" w14:textId="77777777" w:rsidR="008B26A8" w:rsidRPr="00264D5D" w:rsidRDefault="008B26A8" w:rsidP="0050709C">
            <w:pPr>
              <w:spacing w:before="60" w:after="60"/>
              <w:rPr>
                <w:sz w:val="22"/>
                <w:szCs w:val="22"/>
              </w:rPr>
            </w:pPr>
            <w:r w:rsidRPr="00264D5D">
              <w:rPr>
                <w:sz w:val="22"/>
                <w:szCs w:val="22"/>
              </w:rPr>
              <w:t>Уведомление о превышении принятым бюджетным обязательством неиспользованных лимитов бюджетных обязательств</w:t>
            </w:r>
          </w:p>
        </w:tc>
        <w:tc>
          <w:tcPr>
            <w:tcW w:w="1134" w:type="dxa"/>
            <w:gridSpan w:val="2"/>
          </w:tcPr>
          <w:p w14:paraId="37B7F0C8" w14:textId="77777777" w:rsidR="008B26A8" w:rsidRPr="00264D5D" w:rsidRDefault="008B26A8" w:rsidP="0050709C">
            <w:pPr>
              <w:spacing w:before="60" w:after="60"/>
              <w:rPr>
                <w:sz w:val="22"/>
                <w:szCs w:val="22"/>
              </w:rPr>
            </w:pPr>
            <w:r w:rsidRPr="00264D5D">
              <w:rPr>
                <w:sz w:val="22"/>
                <w:szCs w:val="22"/>
              </w:rPr>
              <w:t>П. 6.6</w:t>
            </w:r>
          </w:p>
        </w:tc>
        <w:tc>
          <w:tcPr>
            <w:tcW w:w="855" w:type="dxa"/>
            <w:gridSpan w:val="2"/>
          </w:tcPr>
          <w:p w14:paraId="269D0498" w14:textId="77777777" w:rsidR="008B26A8" w:rsidRPr="00264D5D" w:rsidRDefault="008B26A8" w:rsidP="0050709C">
            <w:pPr>
              <w:spacing w:before="60" w:after="60"/>
              <w:rPr>
                <w:sz w:val="22"/>
                <w:szCs w:val="22"/>
              </w:rPr>
            </w:pPr>
            <w:r w:rsidRPr="00264D5D">
              <w:rPr>
                <w:sz w:val="22"/>
                <w:szCs w:val="22"/>
              </w:rPr>
              <w:t>Т. 8</w:t>
            </w:r>
          </w:p>
        </w:tc>
      </w:tr>
      <w:tr w:rsidR="008B26A8" w:rsidRPr="00264D5D" w14:paraId="355723B9" w14:textId="77777777" w:rsidTr="008B26A8">
        <w:trPr>
          <w:cnfStyle w:val="000000010000" w:firstRow="0" w:lastRow="0" w:firstColumn="0" w:lastColumn="0" w:oddVBand="0" w:evenVBand="0" w:oddHBand="0" w:evenHBand="1" w:firstRowFirstColumn="0" w:firstRowLastColumn="0" w:lastRowFirstColumn="0" w:lastRowLastColumn="0"/>
        </w:trPr>
        <w:tc>
          <w:tcPr>
            <w:tcW w:w="7661" w:type="dxa"/>
          </w:tcPr>
          <w:p w14:paraId="7967DA86" w14:textId="77777777" w:rsidR="008B26A8" w:rsidRPr="00264D5D" w:rsidRDefault="008B26A8" w:rsidP="0050709C">
            <w:pPr>
              <w:spacing w:before="60" w:after="60"/>
              <w:rPr>
                <w:sz w:val="22"/>
                <w:szCs w:val="22"/>
              </w:rPr>
            </w:pPr>
            <w:r w:rsidRPr="00264D5D">
              <w:rPr>
                <w:sz w:val="22"/>
                <w:szCs w:val="22"/>
              </w:rPr>
              <w:t>Запрос на выяснение принадлежности платежа</w:t>
            </w:r>
          </w:p>
        </w:tc>
        <w:tc>
          <w:tcPr>
            <w:tcW w:w="1134" w:type="dxa"/>
            <w:gridSpan w:val="2"/>
          </w:tcPr>
          <w:p w14:paraId="203745D6" w14:textId="77777777" w:rsidR="008B26A8" w:rsidRPr="00264D5D" w:rsidRDefault="008B26A8" w:rsidP="0050709C">
            <w:pPr>
              <w:spacing w:before="60" w:after="60"/>
              <w:rPr>
                <w:sz w:val="22"/>
                <w:szCs w:val="22"/>
              </w:rPr>
            </w:pPr>
            <w:r w:rsidRPr="00264D5D">
              <w:rPr>
                <w:sz w:val="22"/>
                <w:szCs w:val="22"/>
              </w:rPr>
              <w:t>П. 6.7</w:t>
            </w:r>
          </w:p>
        </w:tc>
        <w:tc>
          <w:tcPr>
            <w:tcW w:w="855" w:type="dxa"/>
            <w:gridSpan w:val="2"/>
          </w:tcPr>
          <w:p w14:paraId="037EDFAA" w14:textId="77777777" w:rsidR="008B26A8" w:rsidRPr="00264D5D" w:rsidRDefault="008B26A8" w:rsidP="0050709C">
            <w:pPr>
              <w:spacing w:before="60" w:after="60"/>
              <w:rPr>
                <w:sz w:val="22"/>
                <w:szCs w:val="22"/>
              </w:rPr>
            </w:pPr>
            <w:r w:rsidRPr="00264D5D">
              <w:rPr>
                <w:sz w:val="22"/>
                <w:szCs w:val="22"/>
              </w:rPr>
              <w:t>Т. 8</w:t>
            </w:r>
          </w:p>
        </w:tc>
      </w:tr>
      <w:tr w:rsidR="008B26A8" w:rsidRPr="00264D5D" w14:paraId="338414CD" w14:textId="77777777" w:rsidTr="008B26A8">
        <w:trPr>
          <w:cnfStyle w:val="000000100000" w:firstRow="0" w:lastRow="0" w:firstColumn="0" w:lastColumn="0" w:oddVBand="0" w:evenVBand="0" w:oddHBand="1" w:evenHBand="0" w:firstRowFirstColumn="0" w:firstRowLastColumn="0" w:lastRowFirstColumn="0" w:lastRowLastColumn="0"/>
        </w:trPr>
        <w:tc>
          <w:tcPr>
            <w:tcW w:w="7661" w:type="dxa"/>
          </w:tcPr>
          <w:p w14:paraId="6B023510" w14:textId="77777777" w:rsidR="008B26A8" w:rsidRPr="00264D5D" w:rsidRDefault="008B26A8" w:rsidP="0050709C">
            <w:pPr>
              <w:spacing w:before="60" w:after="60"/>
              <w:rPr>
                <w:sz w:val="22"/>
                <w:szCs w:val="22"/>
              </w:rPr>
            </w:pPr>
            <w:r w:rsidRPr="00264D5D">
              <w:rPr>
                <w:sz w:val="22"/>
                <w:szCs w:val="22"/>
              </w:rPr>
              <w:t>Платежное поручение на общую сумму с реестром</w:t>
            </w:r>
          </w:p>
        </w:tc>
        <w:tc>
          <w:tcPr>
            <w:tcW w:w="1134" w:type="dxa"/>
            <w:gridSpan w:val="2"/>
          </w:tcPr>
          <w:p w14:paraId="4EBAA43E" w14:textId="77777777" w:rsidR="008B26A8" w:rsidRPr="00264D5D" w:rsidRDefault="008B26A8" w:rsidP="0050709C">
            <w:pPr>
              <w:spacing w:before="60" w:after="60"/>
              <w:rPr>
                <w:sz w:val="22"/>
                <w:szCs w:val="22"/>
              </w:rPr>
            </w:pPr>
            <w:r w:rsidRPr="00264D5D">
              <w:rPr>
                <w:sz w:val="22"/>
                <w:szCs w:val="22"/>
              </w:rPr>
              <w:t>П. 6.8</w:t>
            </w:r>
          </w:p>
        </w:tc>
        <w:tc>
          <w:tcPr>
            <w:tcW w:w="855" w:type="dxa"/>
            <w:gridSpan w:val="2"/>
          </w:tcPr>
          <w:p w14:paraId="693BBB0F" w14:textId="77777777" w:rsidR="008B26A8" w:rsidRPr="00264D5D" w:rsidRDefault="008B26A8" w:rsidP="0050709C">
            <w:pPr>
              <w:spacing w:before="60" w:after="60"/>
              <w:rPr>
                <w:sz w:val="22"/>
                <w:szCs w:val="22"/>
              </w:rPr>
            </w:pPr>
            <w:r w:rsidRPr="00264D5D">
              <w:rPr>
                <w:sz w:val="22"/>
                <w:szCs w:val="22"/>
              </w:rPr>
              <w:t>Т. 8</w:t>
            </w:r>
          </w:p>
        </w:tc>
      </w:tr>
      <w:tr w:rsidR="008B26A8" w:rsidRPr="00264D5D" w14:paraId="3FA157BC" w14:textId="77777777" w:rsidTr="008B26A8">
        <w:trPr>
          <w:cnfStyle w:val="000000010000" w:firstRow="0" w:lastRow="0" w:firstColumn="0" w:lastColumn="0" w:oddVBand="0" w:evenVBand="0" w:oddHBand="0" w:evenHBand="1" w:firstRowFirstColumn="0" w:firstRowLastColumn="0" w:lastRowFirstColumn="0" w:lastRowLastColumn="0"/>
        </w:trPr>
        <w:tc>
          <w:tcPr>
            <w:tcW w:w="7661" w:type="dxa"/>
          </w:tcPr>
          <w:p w14:paraId="6D1EDAF4" w14:textId="77777777" w:rsidR="008B26A8" w:rsidRPr="00264D5D" w:rsidRDefault="008B26A8" w:rsidP="0050709C">
            <w:pPr>
              <w:spacing w:before="60" w:after="60"/>
              <w:rPr>
                <w:sz w:val="22"/>
                <w:szCs w:val="22"/>
              </w:rPr>
            </w:pPr>
            <w:r w:rsidRPr="00264D5D">
              <w:rPr>
                <w:sz w:val="22"/>
                <w:szCs w:val="22"/>
              </w:rPr>
              <w:t>Извещение об исполнении распоряжения о перечислении денежных средств на банковские карты «Мир» физических лиц</w:t>
            </w:r>
          </w:p>
        </w:tc>
        <w:tc>
          <w:tcPr>
            <w:tcW w:w="1134" w:type="dxa"/>
            <w:gridSpan w:val="2"/>
          </w:tcPr>
          <w:p w14:paraId="53C2C4B7" w14:textId="77777777" w:rsidR="008B26A8" w:rsidRPr="00264D5D" w:rsidRDefault="008B26A8" w:rsidP="0050709C">
            <w:pPr>
              <w:spacing w:before="60" w:after="60"/>
              <w:rPr>
                <w:sz w:val="22"/>
                <w:szCs w:val="22"/>
                <w:lang w:val="en-US"/>
              </w:rPr>
            </w:pPr>
            <w:r w:rsidRPr="00264D5D">
              <w:rPr>
                <w:sz w:val="22"/>
                <w:szCs w:val="22"/>
              </w:rPr>
              <w:t>П. 6.9</w:t>
            </w:r>
          </w:p>
        </w:tc>
        <w:tc>
          <w:tcPr>
            <w:tcW w:w="855" w:type="dxa"/>
            <w:gridSpan w:val="2"/>
          </w:tcPr>
          <w:p w14:paraId="720186E8" w14:textId="77777777" w:rsidR="008B26A8" w:rsidRPr="00264D5D" w:rsidRDefault="008B26A8" w:rsidP="0050709C">
            <w:pPr>
              <w:spacing w:before="60" w:after="60"/>
              <w:rPr>
                <w:sz w:val="22"/>
                <w:szCs w:val="22"/>
              </w:rPr>
            </w:pPr>
            <w:r w:rsidRPr="00264D5D">
              <w:rPr>
                <w:sz w:val="22"/>
                <w:szCs w:val="22"/>
              </w:rPr>
              <w:t>Т. 8</w:t>
            </w:r>
          </w:p>
        </w:tc>
      </w:tr>
      <w:tr w:rsidR="008B26A8" w:rsidRPr="00264D5D" w14:paraId="7DFEF39A" w14:textId="77777777" w:rsidTr="008B26A8">
        <w:trPr>
          <w:cnfStyle w:val="000000100000" w:firstRow="0" w:lastRow="0" w:firstColumn="0" w:lastColumn="0" w:oddVBand="0" w:evenVBand="0" w:oddHBand="1" w:evenHBand="0" w:firstRowFirstColumn="0" w:firstRowLastColumn="0" w:lastRowFirstColumn="0" w:lastRowLastColumn="0"/>
        </w:trPr>
        <w:tc>
          <w:tcPr>
            <w:tcW w:w="7661" w:type="dxa"/>
          </w:tcPr>
          <w:p w14:paraId="2BAF9F0A" w14:textId="77777777" w:rsidR="008B26A8" w:rsidRPr="00264D5D" w:rsidRDefault="008B26A8" w:rsidP="0050709C">
            <w:pPr>
              <w:spacing w:before="60" w:after="60"/>
              <w:rPr>
                <w:sz w:val="22"/>
                <w:szCs w:val="22"/>
              </w:rPr>
            </w:pPr>
            <w:r w:rsidRPr="00264D5D">
              <w:rPr>
                <w:sz w:val="22"/>
                <w:szCs w:val="22"/>
              </w:rPr>
              <w:t>Казначейское обеспечение обязательств (ф. 0506110)</w:t>
            </w:r>
          </w:p>
        </w:tc>
        <w:tc>
          <w:tcPr>
            <w:tcW w:w="1134" w:type="dxa"/>
            <w:gridSpan w:val="2"/>
          </w:tcPr>
          <w:p w14:paraId="0B751103" w14:textId="77777777" w:rsidR="008B26A8" w:rsidRPr="00264D5D" w:rsidRDefault="008B26A8" w:rsidP="0050709C">
            <w:pPr>
              <w:spacing w:before="60" w:after="60"/>
              <w:rPr>
                <w:sz w:val="22"/>
                <w:szCs w:val="22"/>
              </w:rPr>
            </w:pPr>
            <w:r w:rsidRPr="00264D5D">
              <w:rPr>
                <w:sz w:val="22"/>
                <w:szCs w:val="22"/>
              </w:rPr>
              <w:t>П. 6.10</w:t>
            </w:r>
          </w:p>
        </w:tc>
        <w:tc>
          <w:tcPr>
            <w:tcW w:w="855" w:type="dxa"/>
            <w:gridSpan w:val="2"/>
          </w:tcPr>
          <w:p w14:paraId="251A536B" w14:textId="77777777" w:rsidR="008B26A8" w:rsidRPr="00264D5D" w:rsidRDefault="008B26A8" w:rsidP="0050709C">
            <w:pPr>
              <w:spacing w:before="60" w:after="60"/>
              <w:rPr>
                <w:sz w:val="22"/>
                <w:szCs w:val="22"/>
              </w:rPr>
            </w:pPr>
            <w:r w:rsidRPr="00264D5D">
              <w:rPr>
                <w:sz w:val="22"/>
                <w:szCs w:val="22"/>
              </w:rPr>
              <w:t>Т. 8</w:t>
            </w:r>
          </w:p>
        </w:tc>
      </w:tr>
      <w:tr w:rsidR="008B26A8" w:rsidRPr="00264D5D" w14:paraId="0721B253" w14:textId="77777777" w:rsidTr="008B26A8">
        <w:trPr>
          <w:cnfStyle w:val="000000010000" w:firstRow="0" w:lastRow="0" w:firstColumn="0" w:lastColumn="0" w:oddVBand="0" w:evenVBand="0" w:oddHBand="0" w:evenHBand="1" w:firstRowFirstColumn="0" w:firstRowLastColumn="0" w:lastRowFirstColumn="0" w:lastRowLastColumn="0"/>
        </w:trPr>
        <w:tc>
          <w:tcPr>
            <w:tcW w:w="7661" w:type="dxa"/>
          </w:tcPr>
          <w:p w14:paraId="38D462F1" w14:textId="77777777" w:rsidR="008B26A8" w:rsidRPr="00264D5D" w:rsidRDefault="008B26A8" w:rsidP="0050709C">
            <w:pPr>
              <w:spacing w:before="60" w:after="60"/>
              <w:rPr>
                <w:sz w:val="22"/>
                <w:szCs w:val="22"/>
              </w:rPr>
            </w:pPr>
            <w:r w:rsidRPr="00264D5D">
              <w:rPr>
                <w:sz w:val="22"/>
                <w:szCs w:val="22"/>
              </w:rPr>
              <w:t>Казначейское обеспечение обязательств (банковское)</w:t>
            </w:r>
          </w:p>
        </w:tc>
        <w:tc>
          <w:tcPr>
            <w:tcW w:w="1134" w:type="dxa"/>
            <w:gridSpan w:val="2"/>
          </w:tcPr>
          <w:p w14:paraId="46E4851A" w14:textId="77777777" w:rsidR="008B26A8" w:rsidRPr="00264D5D" w:rsidRDefault="008B26A8" w:rsidP="0050709C">
            <w:pPr>
              <w:spacing w:before="60" w:after="60"/>
              <w:rPr>
                <w:sz w:val="22"/>
                <w:szCs w:val="22"/>
              </w:rPr>
            </w:pPr>
            <w:r w:rsidRPr="00264D5D">
              <w:rPr>
                <w:sz w:val="22"/>
                <w:szCs w:val="22"/>
              </w:rPr>
              <w:t>П. 6.11</w:t>
            </w:r>
          </w:p>
        </w:tc>
        <w:tc>
          <w:tcPr>
            <w:tcW w:w="855" w:type="dxa"/>
            <w:gridSpan w:val="2"/>
          </w:tcPr>
          <w:p w14:paraId="47D31036" w14:textId="77777777" w:rsidR="008B26A8" w:rsidRPr="00264D5D" w:rsidRDefault="008B26A8" w:rsidP="0050709C">
            <w:pPr>
              <w:spacing w:before="60" w:after="60"/>
              <w:rPr>
                <w:sz w:val="22"/>
                <w:szCs w:val="22"/>
              </w:rPr>
            </w:pPr>
            <w:r w:rsidRPr="00264D5D">
              <w:rPr>
                <w:sz w:val="22"/>
                <w:szCs w:val="22"/>
              </w:rPr>
              <w:t>Т. 8</w:t>
            </w:r>
          </w:p>
        </w:tc>
      </w:tr>
      <w:tr w:rsidR="008B26A8" w:rsidRPr="00264D5D" w14:paraId="2DEF61D5" w14:textId="77777777" w:rsidTr="008B26A8">
        <w:trPr>
          <w:cnfStyle w:val="000000100000" w:firstRow="0" w:lastRow="0" w:firstColumn="0" w:lastColumn="0" w:oddVBand="0" w:evenVBand="0" w:oddHBand="1" w:evenHBand="0" w:firstRowFirstColumn="0" w:firstRowLastColumn="0" w:lastRowFirstColumn="0" w:lastRowLastColumn="0"/>
        </w:trPr>
        <w:tc>
          <w:tcPr>
            <w:tcW w:w="7661" w:type="dxa"/>
          </w:tcPr>
          <w:p w14:paraId="32C2D14D" w14:textId="77777777" w:rsidR="008B26A8" w:rsidRPr="00264D5D" w:rsidRDefault="008B26A8" w:rsidP="0050709C">
            <w:pPr>
              <w:spacing w:before="60" w:after="60"/>
              <w:rPr>
                <w:sz w:val="22"/>
                <w:szCs w:val="22"/>
              </w:rPr>
            </w:pPr>
            <w:r w:rsidRPr="00264D5D">
              <w:rPr>
                <w:sz w:val="22"/>
                <w:szCs w:val="22"/>
              </w:rPr>
              <w:t>Сводная информация об исполнении Казначейского обеспечения обязательств</w:t>
            </w:r>
          </w:p>
        </w:tc>
        <w:tc>
          <w:tcPr>
            <w:tcW w:w="1134" w:type="dxa"/>
            <w:gridSpan w:val="2"/>
          </w:tcPr>
          <w:p w14:paraId="76E444D2" w14:textId="77777777" w:rsidR="008B26A8" w:rsidRPr="00264D5D" w:rsidRDefault="008B26A8" w:rsidP="0050709C">
            <w:pPr>
              <w:spacing w:before="60" w:after="60"/>
              <w:rPr>
                <w:sz w:val="22"/>
                <w:szCs w:val="22"/>
              </w:rPr>
            </w:pPr>
            <w:r w:rsidRPr="00264D5D">
              <w:rPr>
                <w:sz w:val="22"/>
                <w:szCs w:val="22"/>
                <w:lang w:val="en-US"/>
              </w:rPr>
              <w:t xml:space="preserve">П. </w:t>
            </w:r>
            <w:r w:rsidRPr="00264D5D">
              <w:rPr>
                <w:sz w:val="22"/>
                <w:szCs w:val="22"/>
              </w:rPr>
              <w:t>6.12</w:t>
            </w:r>
          </w:p>
        </w:tc>
        <w:tc>
          <w:tcPr>
            <w:tcW w:w="855" w:type="dxa"/>
            <w:gridSpan w:val="2"/>
          </w:tcPr>
          <w:p w14:paraId="2E3121EE" w14:textId="77777777" w:rsidR="008B26A8" w:rsidRPr="00264D5D" w:rsidRDefault="008B26A8" w:rsidP="0050709C">
            <w:pPr>
              <w:spacing w:before="60" w:after="60"/>
              <w:rPr>
                <w:sz w:val="22"/>
                <w:szCs w:val="22"/>
              </w:rPr>
            </w:pPr>
            <w:r w:rsidRPr="00264D5D">
              <w:rPr>
                <w:sz w:val="22"/>
                <w:szCs w:val="22"/>
              </w:rPr>
              <w:t>Т. 8</w:t>
            </w:r>
          </w:p>
        </w:tc>
      </w:tr>
      <w:tr w:rsidR="008B26A8" w:rsidRPr="00264D5D" w14:paraId="26218296" w14:textId="77777777" w:rsidTr="008B26A8">
        <w:trPr>
          <w:cnfStyle w:val="000000010000" w:firstRow="0" w:lastRow="0" w:firstColumn="0" w:lastColumn="0" w:oddVBand="0" w:evenVBand="0" w:oddHBand="0" w:evenHBand="1" w:firstRowFirstColumn="0" w:firstRowLastColumn="0" w:lastRowFirstColumn="0" w:lastRowLastColumn="0"/>
        </w:trPr>
        <w:tc>
          <w:tcPr>
            <w:tcW w:w="7661" w:type="dxa"/>
          </w:tcPr>
          <w:p w14:paraId="5388EEF6" w14:textId="77777777" w:rsidR="008B26A8" w:rsidRPr="00264D5D" w:rsidRDefault="008B26A8" w:rsidP="0050709C">
            <w:pPr>
              <w:spacing w:before="60" w:after="60"/>
              <w:rPr>
                <w:sz w:val="22"/>
                <w:szCs w:val="22"/>
              </w:rPr>
            </w:pPr>
            <w:r w:rsidRPr="00264D5D">
              <w:rPr>
                <w:sz w:val="22"/>
                <w:szCs w:val="22"/>
              </w:rPr>
              <w:t>Запрос о получении информации по ЭПС участника</w:t>
            </w:r>
          </w:p>
        </w:tc>
        <w:tc>
          <w:tcPr>
            <w:tcW w:w="1134" w:type="dxa"/>
            <w:gridSpan w:val="2"/>
          </w:tcPr>
          <w:p w14:paraId="47443141" w14:textId="77777777" w:rsidR="008B26A8" w:rsidRPr="00264D5D" w:rsidRDefault="008B26A8" w:rsidP="0050709C">
            <w:pPr>
              <w:spacing w:before="60" w:after="60"/>
              <w:rPr>
                <w:sz w:val="22"/>
                <w:szCs w:val="22"/>
              </w:rPr>
            </w:pPr>
            <w:r w:rsidRPr="00264D5D">
              <w:rPr>
                <w:sz w:val="22"/>
                <w:szCs w:val="22"/>
              </w:rPr>
              <w:t>П. 6.13</w:t>
            </w:r>
          </w:p>
        </w:tc>
        <w:tc>
          <w:tcPr>
            <w:tcW w:w="855" w:type="dxa"/>
            <w:gridSpan w:val="2"/>
          </w:tcPr>
          <w:p w14:paraId="1E2254F2" w14:textId="77777777" w:rsidR="008B26A8" w:rsidRPr="00264D5D" w:rsidRDefault="008B26A8" w:rsidP="0050709C">
            <w:pPr>
              <w:spacing w:before="60" w:after="60"/>
              <w:rPr>
                <w:sz w:val="22"/>
                <w:szCs w:val="22"/>
              </w:rPr>
            </w:pPr>
            <w:r w:rsidRPr="00264D5D">
              <w:rPr>
                <w:sz w:val="22"/>
                <w:szCs w:val="22"/>
              </w:rPr>
              <w:t>Т. 8</w:t>
            </w:r>
          </w:p>
        </w:tc>
      </w:tr>
      <w:tr w:rsidR="008B26A8" w:rsidRPr="00264D5D" w14:paraId="3522EAA2" w14:textId="77777777" w:rsidTr="008B26A8">
        <w:trPr>
          <w:cnfStyle w:val="000000100000" w:firstRow="0" w:lastRow="0" w:firstColumn="0" w:lastColumn="0" w:oddVBand="0" w:evenVBand="0" w:oddHBand="1" w:evenHBand="0" w:firstRowFirstColumn="0" w:firstRowLastColumn="0" w:lastRowFirstColumn="0" w:lastRowLastColumn="0"/>
        </w:trPr>
        <w:tc>
          <w:tcPr>
            <w:tcW w:w="7661" w:type="dxa"/>
          </w:tcPr>
          <w:p w14:paraId="6E9B7095" w14:textId="77777777" w:rsidR="008B26A8" w:rsidRPr="00264D5D" w:rsidRDefault="008B26A8" w:rsidP="0050709C">
            <w:pPr>
              <w:spacing w:before="60" w:after="60"/>
              <w:rPr>
                <w:sz w:val="22"/>
                <w:szCs w:val="22"/>
              </w:rPr>
            </w:pPr>
            <w:r w:rsidRPr="00264D5D">
              <w:rPr>
                <w:sz w:val="22"/>
                <w:szCs w:val="22"/>
              </w:rPr>
              <w:t>Расчетный документ</w:t>
            </w:r>
          </w:p>
        </w:tc>
        <w:tc>
          <w:tcPr>
            <w:tcW w:w="1134" w:type="dxa"/>
            <w:gridSpan w:val="2"/>
          </w:tcPr>
          <w:p w14:paraId="5C3AF7E4" w14:textId="77777777" w:rsidR="008B26A8" w:rsidRPr="00264D5D" w:rsidRDefault="008B26A8" w:rsidP="0050709C">
            <w:pPr>
              <w:spacing w:before="60" w:after="60"/>
              <w:rPr>
                <w:sz w:val="22"/>
                <w:szCs w:val="22"/>
              </w:rPr>
            </w:pPr>
            <w:r w:rsidRPr="00264D5D">
              <w:rPr>
                <w:sz w:val="22"/>
                <w:szCs w:val="22"/>
              </w:rPr>
              <w:t>П. 6.14</w:t>
            </w:r>
          </w:p>
        </w:tc>
        <w:tc>
          <w:tcPr>
            <w:tcW w:w="855" w:type="dxa"/>
            <w:gridSpan w:val="2"/>
          </w:tcPr>
          <w:p w14:paraId="5D44D818" w14:textId="77777777" w:rsidR="008B26A8" w:rsidRPr="00264D5D" w:rsidRDefault="008B26A8" w:rsidP="0050709C">
            <w:pPr>
              <w:spacing w:before="60" w:after="60"/>
              <w:rPr>
                <w:sz w:val="22"/>
                <w:szCs w:val="22"/>
              </w:rPr>
            </w:pPr>
            <w:r w:rsidRPr="00264D5D">
              <w:rPr>
                <w:sz w:val="22"/>
                <w:szCs w:val="22"/>
              </w:rPr>
              <w:t>Т. 8</w:t>
            </w:r>
          </w:p>
        </w:tc>
      </w:tr>
      <w:tr w:rsidR="008B26A8" w:rsidRPr="00264D5D" w14:paraId="16362DD1" w14:textId="77777777" w:rsidTr="008B26A8">
        <w:trPr>
          <w:cnfStyle w:val="000000010000" w:firstRow="0" w:lastRow="0" w:firstColumn="0" w:lastColumn="0" w:oddVBand="0" w:evenVBand="0" w:oddHBand="0" w:evenHBand="1" w:firstRowFirstColumn="0" w:firstRowLastColumn="0" w:lastRowFirstColumn="0" w:lastRowLastColumn="0"/>
        </w:trPr>
        <w:tc>
          <w:tcPr>
            <w:tcW w:w="7661" w:type="dxa"/>
          </w:tcPr>
          <w:p w14:paraId="1790217F" w14:textId="77777777" w:rsidR="008B26A8" w:rsidRPr="00264D5D" w:rsidRDefault="008B26A8" w:rsidP="0050709C">
            <w:pPr>
              <w:spacing w:before="60" w:after="60"/>
              <w:rPr>
                <w:sz w:val="22"/>
                <w:szCs w:val="22"/>
              </w:rPr>
            </w:pPr>
            <w:r w:rsidRPr="00264D5D">
              <w:rPr>
                <w:sz w:val="22"/>
                <w:szCs w:val="22"/>
              </w:rPr>
              <w:t>Уведомление о нарушении установленных предельных размеров авансового платежа (ф. 0504713)</w:t>
            </w:r>
          </w:p>
        </w:tc>
        <w:tc>
          <w:tcPr>
            <w:tcW w:w="1134" w:type="dxa"/>
            <w:gridSpan w:val="2"/>
          </w:tcPr>
          <w:p w14:paraId="0F61B40C" w14:textId="77777777" w:rsidR="008B26A8" w:rsidRPr="00264D5D" w:rsidRDefault="008B26A8" w:rsidP="0050709C">
            <w:pPr>
              <w:spacing w:before="60" w:after="60"/>
              <w:rPr>
                <w:sz w:val="22"/>
                <w:szCs w:val="22"/>
              </w:rPr>
            </w:pPr>
            <w:r w:rsidRPr="00264D5D">
              <w:rPr>
                <w:sz w:val="22"/>
                <w:szCs w:val="22"/>
              </w:rPr>
              <w:t>П. 6.15</w:t>
            </w:r>
          </w:p>
        </w:tc>
        <w:tc>
          <w:tcPr>
            <w:tcW w:w="855" w:type="dxa"/>
            <w:gridSpan w:val="2"/>
          </w:tcPr>
          <w:p w14:paraId="3244D899" w14:textId="77777777" w:rsidR="008B26A8" w:rsidRPr="00264D5D" w:rsidRDefault="008B26A8" w:rsidP="0050709C">
            <w:pPr>
              <w:spacing w:before="60" w:after="60"/>
              <w:rPr>
                <w:sz w:val="22"/>
                <w:szCs w:val="22"/>
              </w:rPr>
            </w:pPr>
            <w:r w:rsidRPr="00264D5D">
              <w:rPr>
                <w:sz w:val="22"/>
                <w:szCs w:val="22"/>
              </w:rPr>
              <w:t>Т. 8</w:t>
            </w:r>
          </w:p>
        </w:tc>
      </w:tr>
      <w:tr w:rsidR="008B26A8" w:rsidRPr="00264D5D" w14:paraId="43FCD628" w14:textId="77777777" w:rsidTr="008B26A8">
        <w:trPr>
          <w:cnfStyle w:val="000000100000" w:firstRow="0" w:lastRow="0" w:firstColumn="0" w:lastColumn="0" w:oddVBand="0" w:evenVBand="0" w:oddHBand="1" w:evenHBand="0" w:firstRowFirstColumn="0" w:firstRowLastColumn="0" w:lastRowFirstColumn="0" w:lastRowLastColumn="0"/>
        </w:trPr>
        <w:tc>
          <w:tcPr>
            <w:tcW w:w="7661" w:type="dxa"/>
          </w:tcPr>
          <w:p w14:paraId="3788624C" w14:textId="77777777" w:rsidR="008B26A8" w:rsidRPr="00264D5D" w:rsidRDefault="008B26A8" w:rsidP="0050709C">
            <w:pPr>
              <w:spacing w:before="60" w:after="60"/>
              <w:rPr>
                <w:sz w:val="22"/>
                <w:szCs w:val="22"/>
              </w:rPr>
            </w:pPr>
            <w:r w:rsidRPr="00264D5D">
              <w:rPr>
                <w:sz w:val="22"/>
                <w:szCs w:val="22"/>
              </w:rPr>
              <w:t>Уведомление о нарушении сроков внесения и размеров арендной платы (ф. 0504714)</w:t>
            </w:r>
          </w:p>
        </w:tc>
        <w:tc>
          <w:tcPr>
            <w:tcW w:w="1134" w:type="dxa"/>
            <w:gridSpan w:val="2"/>
          </w:tcPr>
          <w:p w14:paraId="062FE05E" w14:textId="77777777" w:rsidR="008B26A8" w:rsidRPr="00264D5D" w:rsidRDefault="008B26A8" w:rsidP="0050709C">
            <w:pPr>
              <w:spacing w:before="60" w:after="60"/>
              <w:rPr>
                <w:sz w:val="22"/>
                <w:szCs w:val="22"/>
              </w:rPr>
            </w:pPr>
            <w:r w:rsidRPr="00264D5D">
              <w:rPr>
                <w:sz w:val="22"/>
                <w:szCs w:val="22"/>
              </w:rPr>
              <w:t>П. 6.16</w:t>
            </w:r>
          </w:p>
        </w:tc>
        <w:tc>
          <w:tcPr>
            <w:tcW w:w="855" w:type="dxa"/>
            <w:gridSpan w:val="2"/>
          </w:tcPr>
          <w:p w14:paraId="75BF390E" w14:textId="77777777" w:rsidR="008B26A8" w:rsidRPr="00264D5D" w:rsidRDefault="008B26A8" w:rsidP="0050709C">
            <w:pPr>
              <w:spacing w:before="60" w:after="60"/>
              <w:rPr>
                <w:sz w:val="22"/>
                <w:szCs w:val="22"/>
              </w:rPr>
            </w:pPr>
            <w:r w:rsidRPr="00264D5D">
              <w:rPr>
                <w:sz w:val="22"/>
                <w:szCs w:val="22"/>
              </w:rPr>
              <w:t>Т. 8</w:t>
            </w:r>
          </w:p>
        </w:tc>
      </w:tr>
      <w:tr w:rsidR="008B26A8" w:rsidRPr="00264D5D" w14:paraId="6EF0D4EE" w14:textId="77777777" w:rsidTr="008B26A8">
        <w:trPr>
          <w:cnfStyle w:val="000000010000" w:firstRow="0" w:lastRow="0" w:firstColumn="0" w:lastColumn="0" w:oddVBand="0" w:evenVBand="0" w:oddHBand="0" w:evenHBand="1" w:firstRowFirstColumn="0" w:firstRowLastColumn="0" w:lastRowFirstColumn="0" w:lastRowLastColumn="0"/>
        </w:trPr>
        <w:tc>
          <w:tcPr>
            <w:tcW w:w="7661" w:type="dxa"/>
          </w:tcPr>
          <w:p w14:paraId="55B090F9" w14:textId="77777777" w:rsidR="008B26A8" w:rsidRPr="00264D5D" w:rsidRDefault="008B26A8" w:rsidP="0050709C">
            <w:pPr>
              <w:spacing w:before="60" w:after="60"/>
              <w:rPr>
                <w:sz w:val="22"/>
                <w:szCs w:val="22"/>
              </w:rPr>
            </w:pPr>
            <w:r w:rsidRPr="00264D5D">
              <w:rPr>
                <w:sz w:val="22"/>
                <w:szCs w:val="22"/>
              </w:rPr>
              <w:t>Распоряжение о совершении казначейского платежа</w:t>
            </w:r>
          </w:p>
        </w:tc>
        <w:tc>
          <w:tcPr>
            <w:tcW w:w="1134" w:type="dxa"/>
            <w:gridSpan w:val="2"/>
          </w:tcPr>
          <w:p w14:paraId="71B6957E" w14:textId="77777777" w:rsidR="008B26A8" w:rsidRPr="00264D5D" w:rsidRDefault="008B26A8" w:rsidP="0050709C">
            <w:pPr>
              <w:spacing w:before="60" w:after="60"/>
              <w:rPr>
                <w:sz w:val="22"/>
                <w:szCs w:val="22"/>
              </w:rPr>
            </w:pPr>
            <w:r w:rsidRPr="00264D5D">
              <w:rPr>
                <w:sz w:val="22"/>
                <w:szCs w:val="22"/>
              </w:rPr>
              <w:t>П. 6.17</w:t>
            </w:r>
          </w:p>
        </w:tc>
        <w:tc>
          <w:tcPr>
            <w:tcW w:w="855" w:type="dxa"/>
            <w:gridSpan w:val="2"/>
          </w:tcPr>
          <w:p w14:paraId="0491F857" w14:textId="77777777" w:rsidR="008B26A8" w:rsidRPr="00264D5D" w:rsidRDefault="008B26A8" w:rsidP="0050709C">
            <w:pPr>
              <w:spacing w:before="60" w:after="60"/>
              <w:rPr>
                <w:sz w:val="22"/>
                <w:szCs w:val="22"/>
              </w:rPr>
            </w:pPr>
            <w:r w:rsidRPr="00264D5D">
              <w:rPr>
                <w:sz w:val="22"/>
                <w:szCs w:val="22"/>
              </w:rPr>
              <w:t>Т. 8</w:t>
            </w:r>
          </w:p>
        </w:tc>
      </w:tr>
      <w:tr w:rsidR="008B26A8" w:rsidRPr="00264D5D" w14:paraId="308C091B" w14:textId="77777777" w:rsidTr="008B26A8">
        <w:trPr>
          <w:cnfStyle w:val="000000100000" w:firstRow="0" w:lastRow="0" w:firstColumn="0" w:lastColumn="0" w:oddVBand="0" w:evenVBand="0" w:oddHBand="1" w:evenHBand="0" w:firstRowFirstColumn="0" w:firstRowLastColumn="0" w:lastRowFirstColumn="0" w:lastRowLastColumn="0"/>
        </w:trPr>
        <w:tc>
          <w:tcPr>
            <w:tcW w:w="7661" w:type="dxa"/>
          </w:tcPr>
          <w:p w14:paraId="28259890" w14:textId="77777777" w:rsidR="008B26A8" w:rsidRPr="00264D5D" w:rsidRDefault="008B26A8" w:rsidP="0050709C">
            <w:pPr>
              <w:spacing w:before="60" w:after="60"/>
              <w:rPr>
                <w:sz w:val="22"/>
                <w:szCs w:val="22"/>
              </w:rPr>
            </w:pPr>
            <w:r w:rsidRPr="00264D5D">
              <w:rPr>
                <w:sz w:val="22"/>
                <w:szCs w:val="22"/>
              </w:rPr>
              <w:t xml:space="preserve">Выписка из лицевого счета для учета операций со средствами, поступающими </w:t>
            </w:r>
            <w:r w:rsidRPr="00264D5D">
              <w:rPr>
                <w:sz w:val="22"/>
                <w:szCs w:val="22"/>
              </w:rPr>
              <w:lastRenderedPageBreak/>
              <w:t>во временное распоряжение получателя бюджетных средств (ф. 0531762)</w:t>
            </w:r>
          </w:p>
        </w:tc>
        <w:tc>
          <w:tcPr>
            <w:tcW w:w="1134" w:type="dxa"/>
            <w:gridSpan w:val="2"/>
          </w:tcPr>
          <w:p w14:paraId="455A8795" w14:textId="77777777" w:rsidR="008B26A8" w:rsidRPr="00264D5D" w:rsidRDefault="008B26A8" w:rsidP="0050709C">
            <w:pPr>
              <w:spacing w:before="60" w:after="60"/>
              <w:rPr>
                <w:sz w:val="22"/>
                <w:szCs w:val="22"/>
              </w:rPr>
            </w:pPr>
            <w:r w:rsidRPr="00264D5D">
              <w:rPr>
                <w:sz w:val="22"/>
                <w:szCs w:val="22"/>
              </w:rPr>
              <w:lastRenderedPageBreak/>
              <w:t>П. 6.1</w:t>
            </w:r>
          </w:p>
        </w:tc>
        <w:tc>
          <w:tcPr>
            <w:tcW w:w="855" w:type="dxa"/>
            <w:gridSpan w:val="2"/>
          </w:tcPr>
          <w:p w14:paraId="3D102C9B" w14:textId="77777777" w:rsidR="008B26A8" w:rsidRPr="00264D5D" w:rsidRDefault="008B26A8" w:rsidP="0050709C">
            <w:pPr>
              <w:spacing w:before="60" w:after="60"/>
              <w:rPr>
                <w:sz w:val="22"/>
                <w:szCs w:val="22"/>
              </w:rPr>
            </w:pPr>
            <w:r w:rsidRPr="00264D5D">
              <w:rPr>
                <w:sz w:val="22"/>
                <w:szCs w:val="22"/>
              </w:rPr>
              <w:t>Т. 9</w:t>
            </w:r>
          </w:p>
        </w:tc>
      </w:tr>
      <w:tr w:rsidR="008B26A8" w:rsidRPr="00264D5D" w14:paraId="55DDB309" w14:textId="77777777" w:rsidTr="008B26A8">
        <w:trPr>
          <w:cnfStyle w:val="000000010000" w:firstRow="0" w:lastRow="0" w:firstColumn="0" w:lastColumn="0" w:oddVBand="0" w:evenVBand="0" w:oddHBand="0" w:evenHBand="1" w:firstRowFirstColumn="0" w:firstRowLastColumn="0" w:lastRowFirstColumn="0" w:lastRowLastColumn="0"/>
        </w:trPr>
        <w:tc>
          <w:tcPr>
            <w:tcW w:w="7661" w:type="dxa"/>
          </w:tcPr>
          <w:p w14:paraId="07461FA3" w14:textId="77777777" w:rsidR="008B26A8" w:rsidRPr="00264D5D" w:rsidRDefault="008B26A8" w:rsidP="0050709C">
            <w:pPr>
              <w:spacing w:before="60" w:after="60"/>
              <w:rPr>
                <w:sz w:val="22"/>
                <w:szCs w:val="22"/>
              </w:rPr>
            </w:pPr>
            <w:r w:rsidRPr="00264D5D">
              <w:rPr>
                <w:sz w:val="22"/>
                <w:szCs w:val="22"/>
              </w:rPr>
              <w:lastRenderedPageBreak/>
              <w:t>Отчет о состоянии лицевого счета для учета операций со средствами, поступающими во временное распоряжение получателя бюджетных средств (ф. 0531788)</w:t>
            </w:r>
          </w:p>
        </w:tc>
        <w:tc>
          <w:tcPr>
            <w:tcW w:w="1134" w:type="dxa"/>
            <w:gridSpan w:val="2"/>
          </w:tcPr>
          <w:p w14:paraId="283866FD" w14:textId="77777777" w:rsidR="008B26A8" w:rsidRPr="00264D5D" w:rsidRDefault="008B26A8" w:rsidP="0050709C">
            <w:pPr>
              <w:spacing w:before="60" w:after="60"/>
              <w:rPr>
                <w:sz w:val="22"/>
                <w:szCs w:val="22"/>
              </w:rPr>
            </w:pPr>
            <w:r w:rsidRPr="00264D5D">
              <w:rPr>
                <w:sz w:val="22"/>
                <w:szCs w:val="22"/>
              </w:rPr>
              <w:t>П. 6.2</w:t>
            </w:r>
          </w:p>
        </w:tc>
        <w:tc>
          <w:tcPr>
            <w:tcW w:w="855" w:type="dxa"/>
            <w:gridSpan w:val="2"/>
          </w:tcPr>
          <w:p w14:paraId="16D3C949" w14:textId="77777777" w:rsidR="008B26A8" w:rsidRPr="00264D5D" w:rsidRDefault="008B26A8" w:rsidP="0050709C">
            <w:pPr>
              <w:spacing w:before="60" w:after="60"/>
              <w:rPr>
                <w:sz w:val="22"/>
                <w:szCs w:val="22"/>
              </w:rPr>
            </w:pPr>
            <w:r w:rsidRPr="00264D5D">
              <w:rPr>
                <w:sz w:val="22"/>
                <w:szCs w:val="22"/>
              </w:rPr>
              <w:t>Т. 9</w:t>
            </w:r>
          </w:p>
        </w:tc>
      </w:tr>
      <w:tr w:rsidR="008B26A8" w:rsidRPr="00264D5D" w14:paraId="68DA9B53" w14:textId="77777777" w:rsidTr="008B26A8">
        <w:trPr>
          <w:cnfStyle w:val="000000100000" w:firstRow="0" w:lastRow="0" w:firstColumn="0" w:lastColumn="0" w:oddVBand="0" w:evenVBand="0" w:oddHBand="1" w:evenHBand="0" w:firstRowFirstColumn="0" w:firstRowLastColumn="0" w:lastRowFirstColumn="0" w:lastRowLastColumn="0"/>
        </w:trPr>
        <w:tc>
          <w:tcPr>
            <w:tcW w:w="7661" w:type="dxa"/>
          </w:tcPr>
          <w:p w14:paraId="352A3EFB" w14:textId="77777777" w:rsidR="008B26A8" w:rsidRPr="00264D5D" w:rsidRDefault="008B26A8" w:rsidP="0050709C">
            <w:pPr>
              <w:spacing w:before="60" w:after="60"/>
              <w:rPr>
                <w:sz w:val="22"/>
                <w:szCs w:val="22"/>
              </w:rPr>
            </w:pPr>
            <w:r w:rsidRPr="00264D5D">
              <w:rPr>
                <w:sz w:val="22"/>
                <w:szCs w:val="22"/>
              </w:rPr>
              <w:t>Выписка из лицевого счета получателя бюджетных средств</w:t>
            </w:r>
          </w:p>
        </w:tc>
        <w:tc>
          <w:tcPr>
            <w:tcW w:w="1134" w:type="dxa"/>
            <w:gridSpan w:val="2"/>
          </w:tcPr>
          <w:p w14:paraId="30BEED70" w14:textId="77777777" w:rsidR="008B26A8" w:rsidRPr="00264D5D" w:rsidRDefault="008B26A8" w:rsidP="0050709C">
            <w:pPr>
              <w:spacing w:before="60" w:after="60"/>
              <w:rPr>
                <w:sz w:val="22"/>
                <w:szCs w:val="22"/>
              </w:rPr>
            </w:pPr>
            <w:r w:rsidRPr="00264D5D">
              <w:rPr>
                <w:sz w:val="22"/>
                <w:szCs w:val="22"/>
              </w:rPr>
              <w:t>П. 6.3</w:t>
            </w:r>
          </w:p>
        </w:tc>
        <w:tc>
          <w:tcPr>
            <w:tcW w:w="855" w:type="dxa"/>
            <w:gridSpan w:val="2"/>
          </w:tcPr>
          <w:p w14:paraId="27A7BBC1" w14:textId="77777777" w:rsidR="008B26A8" w:rsidRPr="00264D5D" w:rsidRDefault="008B26A8" w:rsidP="0050709C">
            <w:pPr>
              <w:spacing w:before="60" w:after="60"/>
              <w:rPr>
                <w:sz w:val="22"/>
                <w:szCs w:val="22"/>
              </w:rPr>
            </w:pPr>
            <w:r w:rsidRPr="00264D5D">
              <w:rPr>
                <w:sz w:val="22"/>
                <w:szCs w:val="22"/>
              </w:rPr>
              <w:t>Т. 9</w:t>
            </w:r>
          </w:p>
        </w:tc>
      </w:tr>
      <w:tr w:rsidR="008B26A8" w:rsidRPr="00264D5D" w14:paraId="57507DB4" w14:textId="77777777" w:rsidTr="008B26A8">
        <w:trPr>
          <w:cnfStyle w:val="000000010000" w:firstRow="0" w:lastRow="0" w:firstColumn="0" w:lastColumn="0" w:oddVBand="0" w:evenVBand="0" w:oddHBand="0" w:evenHBand="1" w:firstRowFirstColumn="0" w:firstRowLastColumn="0" w:lastRowFirstColumn="0" w:lastRowLastColumn="0"/>
        </w:trPr>
        <w:tc>
          <w:tcPr>
            <w:tcW w:w="7661" w:type="dxa"/>
          </w:tcPr>
          <w:p w14:paraId="2585B28B" w14:textId="77777777" w:rsidR="008B26A8" w:rsidRPr="00264D5D" w:rsidRDefault="008B26A8" w:rsidP="0050709C">
            <w:pPr>
              <w:spacing w:before="60" w:after="60"/>
              <w:rPr>
                <w:sz w:val="22"/>
                <w:szCs w:val="22"/>
              </w:rPr>
            </w:pPr>
            <w:r w:rsidRPr="00264D5D">
              <w:rPr>
                <w:sz w:val="22"/>
                <w:szCs w:val="22"/>
              </w:rPr>
              <w:t xml:space="preserve">Отчет о состоянии лицевого счета получателя бюджетных средств </w:t>
            </w:r>
          </w:p>
        </w:tc>
        <w:tc>
          <w:tcPr>
            <w:tcW w:w="1134" w:type="dxa"/>
            <w:gridSpan w:val="2"/>
          </w:tcPr>
          <w:p w14:paraId="151F4DD9" w14:textId="77777777" w:rsidR="008B26A8" w:rsidRPr="00264D5D" w:rsidRDefault="008B26A8" w:rsidP="0050709C">
            <w:pPr>
              <w:spacing w:before="60" w:after="60"/>
              <w:rPr>
                <w:sz w:val="22"/>
                <w:szCs w:val="22"/>
              </w:rPr>
            </w:pPr>
            <w:r w:rsidRPr="00264D5D">
              <w:rPr>
                <w:sz w:val="22"/>
                <w:szCs w:val="22"/>
              </w:rPr>
              <w:t>П. 6.4</w:t>
            </w:r>
          </w:p>
        </w:tc>
        <w:tc>
          <w:tcPr>
            <w:tcW w:w="855" w:type="dxa"/>
            <w:gridSpan w:val="2"/>
          </w:tcPr>
          <w:p w14:paraId="6CFA3F04" w14:textId="77777777" w:rsidR="008B26A8" w:rsidRPr="00264D5D" w:rsidRDefault="008B26A8" w:rsidP="0050709C">
            <w:pPr>
              <w:spacing w:before="60" w:after="60"/>
              <w:rPr>
                <w:sz w:val="22"/>
                <w:szCs w:val="22"/>
              </w:rPr>
            </w:pPr>
            <w:r w:rsidRPr="00264D5D">
              <w:rPr>
                <w:sz w:val="22"/>
                <w:szCs w:val="22"/>
              </w:rPr>
              <w:t>Т. 9</w:t>
            </w:r>
          </w:p>
        </w:tc>
      </w:tr>
      <w:tr w:rsidR="008B26A8" w:rsidRPr="00264D5D" w14:paraId="5449C339" w14:textId="77777777" w:rsidTr="008B26A8">
        <w:trPr>
          <w:cnfStyle w:val="000000100000" w:firstRow="0" w:lastRow="0" w:firstColumn="0" w:lastColumn="0" w:oddVBand="0" w:evenVBand="0" w:oddHBand="1" w:evenHBand="0" w:firstRowFirstColumn="0" w:firstRowLastColumn="0" w:lastRowFirstColumn="0" w:lastRowLastColumn="0"/>
        </w:trPr>
        <w:tc>
          <w:tcPr>
            <w:tcW w:w="7661" w:type="dxa"/>
          </w:tcPr>
          <w:p w14:paraId="45F348F8" w14:textId="77777777" w:rsidR="008B26A8" w:rsidRPr="00264D5D" w:rsidRDefault="008B26A8" w:rsidP="0050709C">
            <w:pPr>
              <w:spacing w:before="60" w:after="60"/>
              <w:rPr>
                <w:sz w:val="22"/>
                <w:szCs w:val="22"/>
              </w:rPr>
            </w:pPr>
            <w:r w:rsidRPr="00264D5D">
              <w:rPr>
                <w:sz w:val="22"/>
                <w:szCs w:val="22"/>
              </w:rPr>
              <w:t xml:space="preserve">Приложение к выписке из лицевого счета получателя бюджетных средств </w:t>
            </w:r>
          </w:p>
        </w:tc>
        <w:tc>
          <w:tcPr>
            <w:tcW w:w="1134" w:type="dxa"/>
            <w:gridSpan w:val="2"/>
          </w:tcPr>
          <w:p w14:paraId="21431F1F" w14:textId="77777777" w:rsidR="008B26A8" w:rsidRPr="00264D5D" w:rsidRDefault="008B26A8" w:rsidP="0050709C">
            <w:pPr>
              <w:spacing w:before="60" w:after="60"/>
              <w:rPr>
                <w:sz w:val="22"/>
                <w:szCs w:val="22"/>
              </w:rPr>
            </w:pPr>
            <w:r w:rsidRPr="00264D5D">
              <w:rPr>
                <w:sz w:val="22"/>
                <w:szCs w:val="22"/>
              </w:rPr>
              <w:t>П. 6.5</w:t>
            </w:r>
          </w:p>
        </w:tc>
        <w:tc>
          <w:tcPr>
            <w:tcW w:w="855" w:type="dxa"/>
            <w:gridSpan w:val="2"/>
          </w:tcPr>
          <w:p w14:paraId="270DB79D" w14:textId="77777777" w:rsidR="008B26A8" w:rsidRPr="00264D5D" w:rsidRDefault="008B26A8" w:rsidP="0050709C">
            <w:pPr>
              <w:spacing w:before="60" w:after="60"/>
              <w:rPr>
                <w:sz w:val="22"/>
                <w:szCs w:val="22"/>
              </w:rPr>
            </w:pPr>
            <w:r w:rsidRPr="00264D5D">
              <w:rPr>
                <w:sz w:val="22"/>
                <w:szCs w:val="22"/>
              </w:rPr>
              <w:t>Т. 9</w:t>
            </w:r>
          </w:p>
        </w:tc>
      </w:tr>
    </w:tbl>
    <w:p w14:paraId="2CD33C99" w14:textId="77777777" w:rsidR="00AD1F54" w:rsidRPr="00264D5D" w:rsidRDefault="00AD1F54">
      <w:pPr>
        <w:pStyle w:val="22"/>
        <w:numPr>
          <w:ilvl w:val="0"/>
          <w:numId w:val="0"/>
        </w:numPr>
        <w:ind w:left="576"/>
        <w:sectPr w:rsidR="00AD1F54" w:rsidRPr="00264D5D">
          <w:headerReference w:type="even" r:id="rId15"/>
          <w:footerReference w:type="first" r:id="rId16"/>
          <w:pgSz w:w="11906" w:h="16838"/>
          <w:pgMar w:top="1134" w:right="567" w:bottom="851" w:left="1701" w:header="708" w:footer="708" w:gutter="0"/>
          <w:cols w:space="708"/>
          <w:docGrid w:linePitch="360"/>
        </w:sectPr>
      </w:pPr>
      <w:bookmarkStart w:id="586" w:name="_Ref46771031"/>
      <w:bookmarkStart w:id="587" w:name="_Ref46776738"/>
    </w:p>
    <w:p w14:paraId="3EC879B9" w14:textId="77777777" w:rsidR="00AD1F54" w:rsidRPr="00AD76D2" w:rsidRDefault="00941227">
      <w:pPr>
        <w:pStyle w:val="22"/>
        <w:rPr>
          <w:highlight w:val="green"/>
        </w:rPr>
      </w:pPr>
      <w:bookmarkStart w:id="588" w:name="_Ref84799139"/>
      <w:bookmarkStart w:id="589" w:name="_Toc219309459"/>
      <w:r w:rsidRPr="00AD76D2">
        <w:rPr>
          <w:highlight w:val="green"/>
        </w:rPr>
        <w:lastRenderedPageBreak/>
        <w:t>Описание документа «Расходное расписание»</w:t>
      </w:r>
      <w:bookmarkEnd w:id="586"/>
      <w:bookmarkEnd w:id="587"/>
      <w:bookmarkEnd w:id="588"/>
      <w:bookmarkEnd w:id="589"/>
    </w:p>
    <w:p w14:paraId="2BF27444" w14:textId="77777777" w:rsidR="00AD1F54" w:rsidRPr="00264D5D" w:rsidRDefault="00941227">
      <w:pPr>
        <w:pStyle w:val="31"/>
      </w:pPr>
      <w:bookmarkStart w:id="590" w:name="_Toc219309460"/>
      <w:r w:rsidRPr="00264D5D">
        <w:t>Назначение и маршрут документа</w:t>
      </w:r>
      <w:bookmarkEnd w:id="590"/>
    </w:p>
    <w:p w14:paraId="0F63282D" w14:textId="77777777" w:rsidR="00AD1F54" w:rsidRPr="00264D5D" w:rsidRDefault="00941227">
      <w:pPr>
        <w:pStyle w:val="ASFKNormal"/>
        <w:widowControl w:val="0"/>
        <w:spacing w:before="60" w:after="120"/>
        <w:contextualSpacing w:val="0"/>
        <w:jc w:val="both"/>
        <w:rPr>
          <w:rFonts w:eastAsia="Calibri"/>
          <w:sz w:val="24"/>
        </w:rPr>
      </w:pPr>
      <w:r w:rsidRPr="00264D5D">
        <w:rPr>
          <w:rFonts w:eastAsia="Calibri"/>
          <w:sz w:val="24"/>
        </w:rPr>
        <w:t>Документ «Расходное расписание» предназначен для учета и формирования Расходного расписания (ф.0531722) и доведения распределенных бюджетных данных.</w:t>
      </w:r>
    </w:p>
    <w:p w14:paraId="6A090729" w14:textId="77777777" w:rsidR="00AD1F54" w:rsidRPr="00264D5D" w:rsidRDefault="00941227">
      <w:pPr>
        <w:pStyle w:val="OTRNormal"/>
        <w:widowControl w:val="0"/>
        <w:rPr>
          <w:sz w:val="24"/>
          <w:szCs w:val="24"/>
        </w:rPr>
      </w:pPr>
      <w:r w:rsidRPr="00264D5D">
        <w:rPr>
          <w:sz w:val="24"/>
          <w:szCs w:val="24"/>
        </w:rPr>
        <w:t xml:space="preserve">Документ «Расходное расписание» также может передаваться в виде вложения в блоке «attachments» к документам «Выписка из лицевого счета получателя бюджетных средств», </w:t>
      </w:r>
      <w:r w:rsidRPr="00264D5D">
        <w:rPr>
          <w:szCs w:val="24"/>
        </w:rPr>
        <w:t>«</w:t>
      </w:r>
      <w:r w:rsidRPr="00264D5D">
        <w:rPr>
          <w:sz w:val="24"/>
          <w:szCs w:val="24"/>
        </w:rPr>
        <w:t>Выписка из лицевого счета администратора источников финансирования дефицита бюджета», «Выписка из лицевого счета иного получателя бюджетных средств», «Выписка из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 «Выписка из лицевого счета главного распорядителя (распорядителя) бюджетных средств» в форматах, предусмотренных настоящим Альбомом ТФО.</w:t>
      </w:r>
    </w:p>
    <w:p w14:paraId="77648E4D" w14:textId="66814E80" w:rsidR="00AD1F54" w:rsidRPr="00264D5D" w:rsidRDefault="001E5517">
      <w:pPr>
        <w:pStyle w:val="GOSTNameTable"/>
        <w:keepNext w:val="0"/>
        <w:widowControl w:val="0"/>
        <w:numPr>
          <w:ilvl w:val="0"/>
          <w:numId w:val="2"/>
        </w:numPr>
        <w:spacing w:before="60"/>
        <w:ind w:left="425" w:hanging="357"/>
      </w:pPr>
      <w:r w:rsidRPr="00264D5D">
        <w:rPr>
          <w:noProof/>
        </w:rPr>
        <w:fldChar w:fldCharType="begin"/>
      </w:r>
      <w:r w:rsidRPr="00264D5D">
        <w:rPr>
          <w:noProof/>
        </w:rPr>
        <w:instrText xml:space="preserve"> SEQ Таблица \* ARABIC </w:instrText>
      </w:r>
      <w:r w:rsidRPr="00264D5D">
        <w:rPr>
          <w:noProof/>
        </w:rPr>
        <w:fldChar w:fldCharType="separate"/>
      </w:r>
      <w:bookmarkStart w:id="591" w:name="_Toc219309054"/>
      <w:r w:rsidR="008D797C">
        <w:rPr>
          <w:noProof/>
        </w:rPr>
        <w:t>24</w:t>
      </w:r>
      <w:r w:rsidRPr="00264D5D">
        <w:rPr>
          <w:noProof/>
        </w:rPr>
        <w:fldChar w:fldCharType="end"/>
      </w:r>
      <w:r w:rsidR="00941227" w:rsidRPr="00264D5D">
        <w:rPr>
          <w:rFonts w:eastAsia="Calibri"/>
          <w:szCs w:val="24"/>
        </w:rPr>
        <w:t xml:space="preserve"> – </w:t>
      </w:r>
      <w:r w:rsidR="00941227" w:rsidRPr="00264D5D">
        <w:t xml:space="preserve">Маршрут документа </w:t>
      </w:r>
      <w:r w:rsidR="00941227" w:rsidRPr="00264D5D">
        <w:rPr>
          <w:rFonts w:eastAsia="Calibri"/>
        </w:rPr>
        <w:t>«Расходное расписание»</w:t>
      </w:r>
      <w:bookmarkEnd w:id="591"/>
    </w:p>
    <w:tbl>
      <w:tblPr>
        <w:tblStyle w:val="GOSTTable"/>
        <w:tblW w:w="5000" w:type="pct"/>
        <w:tblLayout w:type="fixed"/>
        <w:tblLook w:val="01E0" w:firstRow="1" w:lastRow="1" w:firstColumn="1" w:lastColumn="1" w:noHBand="0" w:noVBand="0"/>
      </w:tblPr>
      <w:tblGrid>
        <w:gridCol w:w="2557"/>
        <w:gridCol w:w="2555"/>
        <w:gridCol w:w="4538"/>
      </w:tblGrid>
      <w:tr w:rsidR="00AD1F54" w:rsidRPr="00264D5D" w14:paraId="44ED2095" w14:textId="77777777" w:rsidTr="005056E2">
        <w:trPr>
          <w:cnfStyle w:val="100000000000" w:firstRow="1" w:lastRow="0" w:firstColumn="0" w:lastColumn="0" w:oddVBand="0" w:evenVBand="0" w:oddHBand="0" w:evenHBand="0" w:firstRowFirstColumn="0" w:firstRowLastColumn="0" w:lastRowFirstColumn="0" w:lastRowLastColumn="0"/>
          <w:trHeight w:val="96"/>
          <w:tblHeader/>
        </w:trPr>
        <w:tc>
          <w:tcPr>
            <w:tcW w:w="2557" w:type="dxa"/>
          </w:tcPr>
          <w:p w14:paraId="67B41B14" w14:textId="77777777" w:rsidR="00AD1F54" w:rsidRPr="00264D5D" w:rsidRDefault="00941227">
            <w:pPr>
              <w:pStyle w:val="ASFKTableHead"/>
            </w:pPr>
            <w:r w:rsidRPr="00264D5D">
              <w:t>Отправитель</w:t>
            </w:r>
          </w:p>
        </w:tc>
        <w:tc>
          <w:tcPr>
            <w:tcW w:w="2555" w:type="dxa"/>
          </w:tcPr>
          <w:p w14:paraId="037FB8E5" w14:textId="77777777" w:rsidR="00AD1F54" w:rsidRPr="00264D5D" w:rsidRDefault="00941227">
            <w:pPr>
              <w:pStyle w:val="ASFKTableHead"/>
            </w:pPr>
            <w:r w:rsidRPr="00264D5D">
              <w:t>Получатель</w:t>
            </w:r>
          </w:p>
        </w:tc>
        <w:tc>
          <w:tcPr>
            <w:tcW w:w="4538" w:type="dxa"/>
          </w:tcPr>
          <w:p w14:paraId="55E4C883" w14:textId="77777777" w:rsidR="00AD1F54" w:rsidRPr="00264D5D" w:rsidRDefault="00941227">
            <w:pPr>
              <w:pStyle w:val="ASFKTableHead"/>
            </w:pPr>
            <w:r w:rsidRPr="00264D5D">
              <w:t>Примечание</w:t>
            </w:r>
          </w:p>
        </w:tc>
      </w:tr>
      <w:tr w:rsidR="00AD1F54" w:rsidRPr="00264D5D" w14:paraId="480F857B" w14:textId="77777777" w:rsidTr="005056E2">
        <w:trPr>
          <w:cnfStyle w:val="000000100000" w:firstRow="0" w:lastRow="0" w:firstColumn="0" w:lastColumn="0" w:oddVBand="0" w:evenVBand="0" w:oddHBand="1" w:evenHBand="0" w:firstRowFirstColumn="0" w:firstRowLastColumn="0" w:lastRowFirstColumn="0" w:lastRowLastColumn="0"/>
        </w:trPr>
        <w:tc>
          <w:tcPr>
            <w:tcW w:w="2557" w:type="dxa"/>
          </w:tcPr>
          <w:p w14:paraId="5807C98C" w14:textId="77777777" w:rsidR="00AD1F54" w:rsidRPr="00264D5D" w:rsidRDefault="00941227">
            <w:pPr>
              <w:pStyle w:val="GOSTTablenorm"/>
              <w:widowControl w:val="0"/>
              <w:rPr>
                <w:szCs w:val="22"/>
              </w:rPr>
            </w:pPr>
            <w:r w:rsidRPr="00264D5D">
              <w:t>ТОФК (ПУР ЭБ)</w:t>
            </w:r>
          </w:p>
        </w:tc>
        <w:tc>
          <w:tcPr>
            <w:tcW w:w="2555" w:type="dxa"/>
          </w:tcPr>
          <w:p w14:paraId="3DCBDC65" w14:textId="77777777" w:rsidR="00AD1F54" w:rsidRPr="00264D5D" w:rsidRDefault="00941227">
            <w:pPr>
              <w:pStyle w:val="GOSTTablenorm"/>
              <w:widowControl w:val="0"/>
              <w:rPr>
                <w:szCs w:val="22"/>
              </w:rPr>
            </w:pPr>
            <w:r w:rsidRPr="00264D5D">
              <w:rPr>
                <w:szCs w:val="28"/>
              </w:rPr>
              <w:t>ПБС, АИФДБ (ПФХД)</w:t>
            </w:r>
          </w:p>
        </w:tc>
        <w:tc>
          <w:tcPr>
            <w:tcW w:w="4538" w:type="dxa"/>
          </w:tcPr>
          <w:p w14:paraId="50D2F50B" w14:textId="77777777" w:rsidR="00AD1F54" w:rsidRPr="00264D5D" w:rsidRDefault="00AD1F54">
            <w:pPr>
              <w:pStyle w:val="ASFKTablenorm"/>
              <w:widowControl w:val="0"/>
              <w:rPr>
                <w:sz w:val="22"/>
              </w:rPr>
            </w:pPr>
          </w:p>
        </w:tc>
      </w:tr>
      <w:tr w:rsidR="00AD1F54" w:rsidRPr="00264D5D" w14:paraId="6286C049" w14:textId="77777777" w:rsidTr="005056E2">
        <w:trPr>
          <w:cnfStyle w:val="000000010000" w:firstRow="0" w:lastRow="0" w:firstColumn="0" w:lastColumn="0" w:oddVBand="0" w:evenVBand="0" w:oddHBand="0" w:evenHBand="1" w:firstRowFirstColumn="0" w:firstRowLastColumn="0" w:lastRowFirstColumn="0" w:lastRowLastColumn="0"/>
        </w:trPr>
        <w:tc>
          <w:tcPr>
            <w:tcW w:w="2557" w:type="dxa"/>
          </w:tcPr>
          <w:p w14:paraId="16809B66" w14:textId="77777777" w:rsidR="00AD1F54" w:rsidRPr="00264D5D" w:rsidRDefault="00941227">
            <w:pPr>
              <w:pStyle w:val="GOSTTablenorm"/>
              <w:widowControl w:val="0"/>
              <w:rPr>
                <w:szCs w:val="28"/>
              </w:rPr>
            </w:pPr>
            <w:r w:rsidRPr="00264D5D">
              <w:rPr>
                <w:szCs w:val="28"/>
              </w:rPr>
              <w:t>ПБС (ПФХД)</w:t>
            </w:r>
          </w:p>
        </w:tc>
        <w:tc>
          <w:tcPr>
            <w:tcW w:w="2555" w:type="dxa"/>
          </w:tcPr>
          <w:p w14:paraId="5ED6581E" w14:textId="77777777" w:rsidR="00AD1F54" w:rsidRPr="00264D5D" w:rsidRDefault="00941227">
            <w:pPr>
              <w:pStyle w:val="GOSTTablenorm"/>
              <w:widowControl w:val="0"/>
            </w:pPr>
            <w:r w:rsidRPr="00264D5D">
              <w:t>ТОФК (ПУР ЭБ)</w:t>
            </w:r>
          </w:p>
        </w:tc>
        <w:tc>
          <w:tcPr>
            <w:tcW w:w="4538" w:type="dxa"/>
          </w:tcPr>
          <w:p w14:paraId="5FFF5C5A" w14:textId="77777777" w:rsidR="00AD1F54" w:rsidRPr="00264D5D" w:rsidRDefault="00AD1F54">
            <w:pPr>
              <w:pStyle w:val="ASFKTablenorm"/>
              <w:widowControl w:val="0"/>
              <w:rPr>
                <w:sz w:val="22"/>
              </w:rPr>
            </w:pPr>
          </w:p>
        </w:tc>
      </w:tr>
      <w:tr w:rsidR="00AD1F54" w:rsidRPr="00264D5D" w14:paraId="6F650279" w14:textId="77777777" w:rsidTr="005056E2">
        <w:trPr>
          <w:cnfStyle w:val="000000100000" w:firstRow="0" w:lastRow="0" w:firstColumn="0" w:lastColumn="0" w:oddVBand="0" w:evenVBand="0" w:oddHBand="1" w:evenHBand="0" w:firstRowFirstColumn="0" w:firstRowLastColumn="0" w:lastRowFirstColumn="0" w:lastRowLastColumn="0"/>
        </w:trPr>
        <w:tc>
          <w:tcPr>
            <w:tcW w:w="2557" w:type="dxa"/>
          </w:tcPr>
          <w:p w14:paraId="668B9752" w14:textId="77777777" w:rsidR="00AD1F54" w:rsidRPr="00264D5D" w:rsidRDefault="00941227">
            <w:pPr>
              <w:pStyle w:val="GOSTTablenorm"/>
              <w:widowControl w:val="0"/>
              <w:rPr>
                <w:szCs w:val="28"/>
              </w:rPr>
            </w:pPr>
            <w:r w:rsidRPr="00264D5D">
              <w:t>БП</w:t>
            </w:r>
          </w:p>
        </w:tc>
        <w:tc>
          <w:tcPr>
            <w:tcW w:w="2555" w:type="dxa"/>
          </w:tcPr>
          <w:p w14:paraId="143906B9" w14:textId="77777777" w:rsidR="00AD1F54" w:rsidRPr="00264D5D" w:rsidRDefault="00941227">
            <w:pPr>
              <w:pStyle w:val="GOSTTablenorm"/>
              <w:widowControl w:val="0"/>
            </w:pPr>
            <w:r w:rsidRPr="00264D5D">
              <w:t>ПУР ЭБ</w:t>
            </w:r>
          </w:p>
        </w:tc>
        <w:tc>
          <w:tcPr>
            <w:tcW w:w="4538" w:type="dxa"/>
          </w:tcPr>
          <w:p w14:paraId="6AC3AA31" w14:textId="77777777" w:rsidR="00AD1F54" w:rsidRPr="00264D5D" w:rsidRDefault="00AD1F54">
            <w:pPr>
              <w:pStyle w:val="ASFKTablenorm"/>
              <w:widowControl w:val="0"/>
              <w:rPr>
                <w:sz w:val="22"/>
              </w:rPr>
            </w:pPr>
          </w:p>
        </w:tc>
      </w:tr>
      <w:tr w:rsidR="00AD1F54" w:rsidRPr="00264D5D" w14:paraId="76ACC6A6" w14:textId="77777777" w:rsidTr="005056E2">
        <w:trPr>
          <w:cnfStyle w:val="000000010000" w:firstRow="0" w:lastRow="0" w:firstColumn="0" w:lastColumn="0" w:oddVBand="0" w:evenVBand="0" w:oddHBand="0" w:evenHBand="1" w:firstRowFirstColumn="0" w:firstRowLastColumn="0" w:lastRowFirstColumn="0" w:lastRowLastColumn="0"/>
        </w:trPr>
        <w:tc>
          <w:tcPr>
            <w:tcW w:w="2557" w:type="dxa"/>
          </w:tcPr>
          <w:p w14:paraId="111CD2A6" w14:textId="77777777" w:rsidR="00AD1F54" w:rsidRPr="00264D5D" w:rsidRDefault="00941227">
            <w:pPr>
              <w:pStyle w:val="GOSTTablenorm"/>
              <w:widowControl w:val="0"/>
              <w:rPr>
                <w:szCs w:val="28"/>
              </w:rPr>
            </w:pPr>
            <w:r w:rsidRPr="00264D5D">
              <w:t>ПУР ЭБ</w:t>
            </w:r>
          </w:p>
        </w:tc>
        <w:tc>
          <w:tcPr>
            <w:tcW w:w="2555" w:type="dxa"/>
          </w:tcPr>
          <w:p w14:paraId="19C9D2FE" w14:textId="77777777" w:rsidR="00AD1F54" w:rsidRPr="00264D5D" w:rsidRDefault="00941227">
            <w:pPr>
              <w:pStyle w:val="GOSTTablenorm"/>
              <w:widowControl w:val="0"/>
            </w:pPr>
            <w:r w:rsidRPr="00264D5D">
              <w:t>БП</w:t>
            </w:r>
          </w:p>
        </w:tc>
        <w:tc>
          <w:tcPr>
            <w:tcW w:w="4538" w:type="dxa"/>
          </w:tcPr>
          <w:p w14:paraId="6EB025F3" w14:textId="77777777" w:rsidR="00AD1F54" w:rsidRPr="00264D5D" w:rsidRDefault="00AD1F54">
            <w:pPr>
              <w:pStyle w:val="ASFKTablenorm"/>
              <w:widowControl w:val="0"/>
              <w:rPr>
                <w:sz w:val="22"/>
              </w:rPr>
            </w:pPr>
          </w:p>
        </w:tc>
      </w:tr>
    </w:tbl>
    <w:p w14:paraId="5D4DB362" w14:textId="77777777" w:rsidR="00AD1F54" w:rsidRPr="00AD76D2" w:rsidRDefault="00941227">
      <w:pPr>
        <w:pStyle w:val="31"/>
        <w:rPr>
          <w:highlight w:val="green"/>
        </w:rPr>
      </w:pPr>
      <w:bookmarkStart w:id="592" w:name="_Ref492301418"/>
      <w:bookmarkStart w:id="593" w:name="_Toc21014534"/>
      <w:bookmarkStart w:id="594" w:name="_Toc219309461"/>
      <w:r w:rsidRPr="00AD76D2">
        <w:rPr>
          <w:highlight w:val="green"/>
        </w:rPr>
        <w:t>Описание комплексного типа «tMSC_ExpndblSchdl»</w:t>
      </w:r>
      <w:bookmarkEnd w:id="592"/>
      <w:bookmarkEnd w:id="593"/>
      <w:bookmarkEnd w:id="594"/>
    </w:p>
    <w:p w14:paraId="08E791CB" w14:textId="5C3F8343" w:rsidR="00AD1F54" w:rsidRPr="00AD76D2" w:rsidRDefault="00941227">
      <w:pPr>
        <w:pStyle w:val="GOSTNameTable"/>
        <w:widowControl w:val="0"/>
        <w:numPr>
          <w:ilvl w:val="0"/>
          <w:numId w:val="2"/>
        </w:numPr>
        <w:tabs>
          <w:tab w:val="num" w:pos="425"/>
        </w:tabs>
        <w:spacing w:before="60" w:after="60"/>
        <w:ind w:left="57" w:right="57" w:firstLine="0"/>
        <w:rPr>
          <w:highlight w:val="green"/>
        </w:rPr>
      </w:pPr>
      <w:r w:rsidRPr="00AD76D2">
        <w:rPr>
          <w:highlight w:val="green"/>
        </w:rPr>
        <w:fldChar w:fldCharType="begin"/>
      </w:r>
      <w:r w:rsidRPr="00AD76D2">
        <w:rPr>
          <w:highlight w:val="green"/>
        </w:rPr>
        <w:instrText>SEQ Таблица \* ARABIC</w:instrText>
      </w:r>
      <w:r w:rsidRPr="00AD76D2">
        <w:rPr>
          <w:highlight w:val="green"/>
        </w:rPr>
        <w:fldChar w:fldCharType="separate"/>
      </w:r>
      <w:bookmarkStart w:id="595" w:name="_Ref492309119"/>
      <w:bookmarkStart w:id="596" w:name="_Toc21014627"/>
      <w:bookmarkStart w:id="597" w:name="_Toc219309055"/>
      <w:r w:rsidR="008D797C">
        <w:rPr>
          <w:noProof/>
          <w:highlight w:val="green"/>
        </w:rPr>
        <w:t>25</w:t>
      </w:r>
      <w:bookmarkEnd w:id="595"/>
      <w:r w:rsidRPr="00AD76D2">
        <w:rPr>
          <w:highlight w:val="green"/>
        </w:rPr>
        <w:fldChar w:fldCharType="end"/>
      </w:r>
      <w:r w:rsidRPr="00AD76D2">
        <w:rPr>
          <w:rFonts w:eastAsia="Calibri"/>
          <w:szCs w:val="24"/>
          <w:highlight w:val="green"/>
        </w:rPr>
        <w:t xml:space="preserve"> – </w:t>
      </w:r>
      <w:r w:rsidRPr="00AD76D2">
        <w:rPr>
          <w:highlight w:val="green"/>
        </w:rPr>
        <w:t>Описание ко</w:t>
      </w:r>
      <w:r w:rsidR="002E73A8" w:rsidRPr="00AD76D2">
        <w:rPr>
          <w:highlight w:val="green"/>
        </w:rPr>
        <w:t>м</w:t>
      </w:r>
      <w:r w:rsidRPr="00AD76D2">
        <w:rPr>
          <w:highlight w:val="green"/>
        </w:rPr>
        <w:t>плексного типа «tMSC_ExpndblSchdl»</w:t>
      </w:r>
      <w:bookmarkEnd w:id="596"/>
      <w:bookmarkEnd w:id="597"/>
      <w:r w:rsidRPr="00AD76D2">
        <w:rPr>
          <w:highlight w:val="green"/>
        </w:rPr>
        <w:t xml:space="preserve"> </w:t>
      </w:r>
    </w:p>
    <w:tbl>
      <w:tblPr>
        <w:tblStyle w:val="GOSTTable"/>
        <w:tblW w:w="5003" w:type="pct"/>
        <w:tblLayout w:type="fixed"/>
        <w:tblLook w:val="04A0" w:firstRow="1" w:lastRow="0" w:firstColumn="1" w:lastColumn="0" w:noHBand="0" w:noVBand="1"/>
      </w:tblPr>
      <w:tblGrid>
        <w:gridCol w:w="1707"/>
        <w:gridCol w:w="1705"/>
        <w:gridCol w:w="568"/>
        <w:gridCol w:w="1137"/>
        <w:gridCol w:w="555"/>
        <w:gridCol w:w="13"/>
        <w:gridCol w:w="3971"/>
      </w:tblGrid>
      <w:tr w:rsidR="00AD1F54" w:rsidRPr="00264D5D" w14:paraId="252736C2" w14:textId="77777777" w:rsidTr="00AD76D2">
        <w:trPr>
          <w:cnfStyle w:val="100000000000" w:firstRow="1" w:lastRow="0" w:firstColumn="0" w:lastColumn="0" w:oddVBand="0" w:evenVBand="0" w:oddHBand="0" w:evenHBand="0" w:firstRowFirstColumn="0" w:firstRowLastColumn="0" w:lastRowFirstColumn="0" w:lastRowLastColumn="0"/>
          <w:tblHeader/>
        </w:trPr>
        <w:tc>
          <w:tcPr>
            <w:tcW w:w="1707" w:type="dxa"/>
          </w:tcPr>
          <w:p w14:paraId="36D0CE65" w14:textId="77777777" w:rsidR="00AD1F54" w:rsidRPr="00264D5D" w:rsidRDefault="00941227">
            <w:pPr>
              <w:pStyle w:val="GOSTTableHead"/>
              <w:keepNext w:val="0"/>
              <w:widowControl w:val="0"/>
            </w:pPr>
            <w:r w:rsidRPr="00264D5D">
              <w:rPr>
                <w:szCs w:val="22"/>
              </w:rPr>
              <w:t>Наименование элемента</w:t>
            </w:r>
          </w:p>
        </w:tc>
        <w:tc>
          <w:tcPr>
            <w:tcW w:w="1705" w:type="dxa"/>
          </w:tcPr>
          <w:p w14:paraId="038AD4A2" w14:textId="77777777" w:rsidR="00AD1F54" w:rsidRPr="00264D5D" w:rsidRDefault="00941227">
            <w:pPr>
              <w:pStyle w:val="GOSTTableHead"/>
              <w:keepNext w:val="0"/>
              <w:widowControl w:val="0"/>
            </w:pPr>
            <w:r w:rsidRPr="00264D5D">
              <w:rPr>
                <w:szCs w:val="22"/>
              </w:rPr>
              <w:t>Сокращенное наименование (код) элемента</w:t>
            </w:r>
          </w:p>
        </w:tc>
        <w:tc>
          <w:tcPr>
            <w:tcW w:w="568" w:type="dxa"/>
          </w:tcPr>
          <w:p w14:paraId="000BF976" w14:textId="77777777" w:rsidR="00AD1F54" w:rsidRPr="00264D5D" w:rsidRDefault="00941227">
            <w:pPr>
              <w:pStyle w:val="GOSTTableHead"/>
              <w:keepNext w:val="0"/>
              <w:widowControl w:val="0"/>
            </w:pPr>
            <w:r w:rsidRPr="00264D5D">
              <w:rPr>
                <w:szCs w:val="22"/>
              </w:rPr>
              <w:t>Тип</w:t>
            </w:r>
          </w:p>
        </w:tc>
        <w:tc>
          <w:tcPr>
            <w:tcW w:w="1137" w:type="dxa"/>
          </w:tcPr>
          <w:p w14:paraId="666DD697" w14:textId="77777777" w:rsidR="00AD1F54" w:rsidRPr="00264D5D" w:rsidRDefault="00941227">
            <w:pPr>
              <w:pStyle w:val="GOSTTableHead"/>
              <w:keepNext w:val="0"/>
              <w:widowControl w:val="0"/>
            </w:pPr>
            <w:r w:rsidRPr="00264D5D">
              <w:rPr>
                <w:szCs w:val="22"/>
              </w:rPr>
              <w:t>Формат элемента</w:t>
            </w:r>
          </w:p>
        </w:tc>
        <w:tc>
          <w:tcPr>
            <w:tcW w:w="568" w:type="dxa"/>
            <w:gridSpan w:val="2"/>
          </w:tcPr>
          <w:p w14:paraId="1ECE5DF0" w14:textId="77777777" w:rsidR="00AD1F54" w:rsidRPr="00264D5D" w:rsidRDefault="00941227">
            <w:pPr>
              <w:pStyle w:val="GOSTTableHead"/>
              <w:keepNext w:val="0"/>
              <w:widowControl w:val="0"/>
            </w:pPr>
            <w:r w:rsidRPr="00264D5D">
              <w:rPr>
                <w:szCs w:val="22"/>
              </w:rPr>
              <w:t>Обязательность</w:t>
            </w:r>
          </w:p>
        </w:tc>
        <w:tc>
          <w:tcPr>
            <w:tcW w:w="3971" w:type="dxa"/>
          </w:tcPr>
          <w:p w14:paraId="6DF683B2" w14:textId="77777777" w:rsidR="00AD1F54" w:rsidRPr="00264D5D" w:rsidRDefault="00941227">
            <w:pPr>
              <w:pStyle w:val="GOSTTableHead"/>
              <w:keepNext w:val="0"/>
              <w:widowControl w:val="0"/>
            </w:pPr>
            <w:r w:rsidRPr="00264D5D">
              <w:rPr>
                <w:szCs w:val="22"/>
              </w:rPr>
              <w:t>Дополнительная информация</w:t>
            </w:r>
          </w:p>
        </w:tc>
      </w:tr>
      <w:tr w:rsidR="00AD1F54" w:rsidRPr="00264D5D" w14:paraId="3EA799C2" w14:textId="77777777" w:rsidTr="00AD76D2">
        <w:trPr>
          <w:cnfStyle w:val="000000100000" w:firstRow="0" w:lastRow="0" w:firstColumn="0" w:lastColumn="0" w:oddVBand="0" w:evenVBand="0" w:oddHBand="1" w:evenHBand="0" w:firstRowFirstColumn="0" w:firstRowLastColumn="0" w:lastRowFirstColumn="0" w:lastRowLastColumn="0"/>
        </w:trPr>
        <w:tc>
          <w:tcPr>
            <w:tcW w:w="1707" w:type="dxa"/>
          </w:tcPr>
          <w:p w14:paraId="6C6C63F3" w14:textId="77777777" w:rsidR="00AD1F54" w:rsidRPr="00264D5D" w:rsidRDefault="00941227">
            <w:pPr>
              <w:pStyle w:val="GOSTTablenorm"/>
              <w:widowControl w:val="0"/>
            </w:pPr>
            <w:r w:rsidRPr="00264D5D">
              <w:t>Версия структуры формуляра</w:t>
            </w:r>
          </w:p>
        </w:tc>
        <w:tc>
          <w:tcPr>
            <w:tcW w:w="1705" w:type="dxa"/>
          </w:tcPr>
          <w:p w14:paraId="15435951" w14:textId="77777777" w:rsidR="00AD1F54" w:rsidRPr="00264D5D" w:rsidRDefault="00941227">
            <w:pPr>
              <w:pStyle w:val="GOSTTablenorm"/>
              <w:widowControl w:val="0"/>
            </w:pPr>
            <w:r w:rsidRPr="00264D5D">
              <w:t>Version</w:t>
            </w:r>
          </w:p>
        </w:tc>
        <w:tc>
          <w:tcPr>
            <w:tcW w:w="568" w:type="dxa"/>
          </w:tcPr>
          <w:p w14:paraId="53C62B9A" w14:textId="77777777" w:rsidR="00AD1F54" w:rsidRPr="00264D5D" w:rsidRDefault="00941227">
            <w:pPr>
              <w:pStyle w:val="GOSTTablenorm"/>
              <w:widowControl w:val="0"/>
              <w:jc w:val="center"/>
            </w:pPr>
            <w:r w:rsidRPr="00264D5D">
              <w:rPr>
                <w:lang w:val="en-US"/>
              </w:rPr>
              <w:t>А</w:t>
            </w:r>
          </w:p>
        </w:tc>
        <w:tc>
          <w:tcPr>
            <w:tcW w:w="1137" w:type="dxa"/>
          </w:tcPr>
          <w:p w14:paraId="74838F1B" w14:textId="77777777" w:rsidR="00AD1F54" w:rsidRPr="00264D5D" w:rsidRDefault="00941227">
            <w:pPr>
              <w:pStyle w:val="GOSTTablenorm"/>
              <w:widowControl w:val="0"/>
            </w:pPr>
            <w:r w:rsidRPr="00264D5D">
              <w:t>-</w:t>
            </w:r>
          </w:p>
        </w:tc>
        <w:tc>
          <w:tcPr>
            <w:tcW w:w="555" w:type="dxa"/>
          </w:tcPr>
          <w:p w14:paraId="7615E8AE" w14:textId="77777777" w:rsidR="00AD1F54" w:rsidRPr="00264D5D" w:rsidRDefault="00941227">
            <w:pPr>
              <w:pStyle w:val="GOSTTablenorm"/>
              <w:widowControl w:val="0"/>
              <w:jc w:val="center"/>
            </w:pPr>
            <w:r w:rsidRPr="00264D5D">
              <w:t>О</w:t>
            </w:r>
          </w:p>
        </w:tc>
        <w:tc>
          <w:tcPr>
            <w:tcW w:w="3984" w:type="dxa"/>
            <w:gridSpan w:val="2"/>
          </w:tcPr>
          <w:p w14:paraId="418C4E60" w14:textId="2CAC3252" w:rsidR="00AD1F54" w:rsidRPr="00264D5D" w:rsidRDefault="00941227">
            <w:pPr>
              <w:pStyle w:val="GOSTTablenorm"/>
              <w:widowControl w:val="0"/>
            </w:pPr>
            <w:r w:rsidRPr="00264D5D">
              <w:rPr>
                <w:szCs w:val="22"/>
                <w:lang w:eastAsia="en-US"/>
              </w:rPr>
              <w:t xml:space="preserve">Указывается значение версии, соответствующее таблице </w:t>
            </w:r>
            <w:r w:rsidRPr="00264D5D">
              <w:rPr>
                <w:szCs w:val="22"/>
              </w:rPr>
              <w:fldChar w:fldCharType="begin"/>
            </w:r>
            <w:r w:rsidRPr="00264D5D">
              <w:rPr>
                <w:szCs w:val="22"/>
                <w:lang w:eastAsia="en-US"/>
              </w:rPr>
              <w:instrText xml:space="preserve"> REF _Ref19881821 \h </w:instrText>
            </w:r>
            <w:r w:rsidRPr="00264D5D">
              <w:rPr>
                <w:szCs w:val="22"/>
              </w:rPr>
              <w:instrText xml:space="preserve"> \* MERGEFORMAT </w:instrText>
            </w:r>
            <w:r w:rsidRPr="00264D5D">
              <w:rPr>
                <w:szCs w:val="22"/>
              </w:rPr>
            </w:r>
            <w:r w:rsidRPr="00264D5D">
              <w:rPr>
                <w:szCs w:val="22"/>
              </w:rPr>
              <w:fldChar w:fldCharType="separate"/>
            </w:r>
            <w:r w:rsidR="008D797C" w:rsidRPr="008D797C">
              <w:rPr>
                <w:rFonts w:eastAsia="Calibri"/>
                <w:szCs w:val="24"/>
              </w:rPr>
              <w:t>2</w:t>
            </w:r>
            <w:r w:rsidRPr="00264D5D">
              <w:rPr>
                <w:szCs w:val="22"/>
              </w:rPr>
              <w:fldChar w:fldCharType="end"/>
            </w:r>
          </w:p>
        </w:tc>
      </w:tr>
      <w:tr w:rsidR="00AD1F54" w:rsidRPr="00264D5D" w14:paraId="6E372E30" w14:textId="77777777" w:rsidTr="00AD76D2">
        <w:trPr>
          <w:cnfStyle w:val="000000010000" w:firstRow="0" w:lastRow="0" w:firstColumn="0" w:lastColumn="0" w:oddVBand="0" w:evenVBand="0" w:oddHBand="0" w:evenHBand="1" w:firstRowFirstColumn="0" w:firstRowLastColumn="0" w:lastRowFirstColumn="0" w:lastRowLastColumn="0"/>
        </w:trPr>
        <w:tc>
          <w:tcPr>
            <w:tcW w:w="1707" w:type="dxa"/>
          </w:tcPr>
          <w:p w14:paraId="3EC27BFF" w14:textId="77777777" w:rsidR="00AD1F54" w:rsidRPr="00264D5D" w:rsidRDefault="00941227">
            <w:pPr>
              <w:pStyle w:val="GOSTTablenorm"/>
              <w:widowControl w:val="0"/>
            </w:pPr>
            <w:r w:rsidRPr="00264D5D">
              <w:t>ГУИД</w:t>
            </w:r>
          </w:p>
        </w:tc>
        <w:tc>
          <w:tcPr>
            <w:tcW w:w="1705" w:type="dxa"/>
          </w:tcPr>
          <w:p w14:paraId="461BBB48" w14:textId="77777777" w:rsidR="00AD1F54" w:rsidRPr="00264D5D" w:rsidRDefault="00941227">
            <w:pPr>
              <w:pStyle w:val="GOSTTablenorm"/>
              <w:widowControl w:val="0"/>
              <w:rPr>
                <w:lang w:val="en-US"/>
              </w:rPr>
            </w:pPr>
            <w:r w:rsidRPr="00264D5D">
              <w:t>GUIDRR</w:t>
            </w:r>
            <w:r w:rsidRPr="00264D5D">
              <w:rPr>
                <w:lang w:val="en-US"/>
              </w:rPr>
              <w:t>ExSys</w:t>
            </w:r>
          </w:p>
        </w:tc>
        <w:tc>
          <w:tcPr>
            <w:tcW w:w="568" w:type="dxa"/>
          </w:tcPr>
          <w:p w14:paraId="30EC843C" w14:textId="77777777" w:rsidR="00AD1F54" w:rsidRPr="00264D5D" w:rsidRDefault="00941227">
            <w:pPr>
              <w:pStyle w:val="GOSTTablenorm"/>
              <w:widowControl w:val="0"/>
              <w:jc w:val="center"/>
            </w:pPr>
            <w:r w:rsidRPr="00264D5D">
              <w:t>П</w:t>
            </w:r>
          </w:p>
        </w:tc>
        <w:tc>
          <w:tcPr>
            <w:tcW w:w="1137" w:type="dxa"/>
          </w:tcPr>
          <w:p w14:paraId="7C99CBC8" w14:textId="77777777" w:rsidR="00AD1F54" w:rsidRPr="00264D5D" w:rsidRDefault="00941227">
            <w:pPr>
              <w:pStyle w:val="GOSTTablenorm"/>
              <w:widowControl w:val="0"/>
              <w:rPr>
                <w:lang w:val="en-US"/>
              </w:rPr>
            </w:pPr>
            <w:r w:rsidRPr="00264D5D">
              <w:t>GUID</w:t>
            </w:r>
          </w:p>
        </w:tc>
        <w:tc>
          <w:tcPr>
            <w:tcW w:w="555" w:type="dxa"/>
          </w:tcPr>
          <w:p w14:paraId="332BBDA1" w14:textId="77777777" w:rsidR="00AD1F54" w:rsidRPr="00264D5D" w:rsidRDefault="00941227">
            <w:pPr>
              <w:pStyle w:val="GOSTTablenorm"/>
              <w:widowControl w:val="0"/>
              <w:jc w:val="center"/>
            </w:pPr>
            <w:r w:rsidRPr="00264D5D">
              <w:t>О</w:t>
            </w:r>
          </w:p>
        </w:tc>
        <w:tc>
          <w:tcPr>
            <w:tcW w:w="3984" w:type="dxa"/>
            <w:gridSpan w:val="2"/>
          </w:tcPr>
          <w:p w14:paraId="30169AA3" w14:textId="77777777" w:rsidR="00AD1F54" w:rsidRPr="00264D5D" w:rsidRDefault="002E73A8">
            <w:pPr>
              <w:pStyle w:val="GOSTTablenorm"/>
              <w:widowControl w:val="0"/>
            </w:pPr>
            <w:r w:rsidRPr="00264D5D">
              <w:t>ГУИД внешней системы</w:t>
            </w:r>
          </w:p>
        </w:tc>
      </w:tr>
      <w:tr w:rsidR="00AD1F54" w:rsidRPr="00264D5D" w14:paraId="66E1C85F" w14:textId="77777777" w:rsidTr="00AD76D2">
        <w:trPr>
          <w:cnfStyle w:val="000000100000" w:firstRow="0" w:lastRow="0" w:firstColumn="0" w:lastColumn="0" w:oddVBand="0" w:evenVBand="0" w:oddHBand="1" w:evenHBand="0" w:firstRowFirstColumn="0" w:firstRowLastColumn="0" w:lastRowFirstColumn="0" w:lastRowLastColumn="0"/>
        </w:trPr>
        <w:tc>
          <w:tcPr>
            <w:tcW w:w="1707" w:type="dxa"/>
          </w:tcPr>
          <w:p w14:paraId="55F3D282" w14:textId="77777777" w:rsidR="00AD1F54" w:rsidRPr="00264D5D" w:rsidRDefault="00941227">
            <w:pPr>
              <w:pStyle w:val="GOSTTablenorm"/>
              <w:widowControl w:val="0"/>
            </w:pPr>
            <w:r w:rsidRPr="00264D5D">
              <w:t>Номер</w:t>
            </w:r>
          </w:p>
        </w:tc>
        <w:tc>
          <w:tcPr>
            <w:tcW w:w="1705" w:type="dxa"/>
          </w:tcPr>
          <w:p w14:paraId="05DFB4CC" w14:textId="77777777" w:rsidR="00AD1F54" w:rsidRPr="00264D5D" w:rsidRDefault="00941227">
            <w:pPr>
              <w:pStyle w:val="GOSTTablenorm"/>
              <w:widowControl w:val="0"/>
            </w:pPr>
            <w:r w:rsidRPr="00264D5D">
              <w:t>NmRR</w:t>
            </w:r>
          </w:p>
        </w:tc>
        <w:tc>
          <w:tcPr>
            <w:tcW w:w="568" w:type="dxa"/>
          </w:tcPr>
          <w:p w14:paraId="7227BB57" w14:textId="77777777" w:rsidR="00AD1F54" w:rsidRPr="00264D5D" w:rsidRDefault="00941227">
            <w:pPr>
              <w:pStyle w:val="GOSTTablenorm"/>
              <w:widowControl w:val="0"/>
              <w:jc w:val="center"/>
            </w:pPr>
            <w:r w:rsidRPr="00264D5D">
              <w:t>П</w:t>
            </w:r>
          </w:p>
        </w:tc>
        <w:tc>
          <w:tcPr>
            <w:tcW w:w="1137" w:type="dxa"/>
          </w:tcPr>
          <w:p w14:paraId="794AF283" w14:textId="77777777" w:rsidR="00AD1F54" w:rsidRPr="00264D5D" w:rsidRDefault="00941227">
            <w:pPr>
              <w:pStyle w:val="GOSTTablenorm"/>
              <w:widowControl w:val="0"/>
            </w:pPr>
            <w:r w:rsidRPr="00264D5D">
              <w:rPr>
                <w:lang w:val="en-US"/>
              </w:rPr>
              <w:t>T(1-13)</w:t>
            </w:r>
          </w:p>
        </w:tc>
        <w:tc>
          <w:tcPr>
            <w:tcW w:w="555" w:type="dxa"/>
          </w:tcPr>
          <w:p w14:paraId="4B4679CF" w14:textId="77777777" w:rsidR="00AD1F54" w:rsidRPr="00264D5D" w:rsidRDefault="00941227">
            <w:pPr>
              <w:pStyle w:val="GOSTTablenorm"/>
              <w:widowControl w:val="0"/>
              <w:jc w:val="center"/>
            </w:pPr>
            <w:r w:rsidRPr="00264D5D">
              <w:rPr>
                <w:lang w:val="en-US"/>
              </w:rPr>
              <w:t>О</w:t>
            </w:r>
          </w:p>
        </w:tc>
        <w:tc>
          <w:tcPr>
            <w:tcW w:w="3984" w:type="dxa"/>
            <w:gridSpan w:val="2"/>
          </w:tcPr>
          <w:p w14:paraId="69BBDB87" w14:textId="77777777" w:rsidR="00AD1F54" w:rsidRPr="00264D5D" w:rsidRDefault="002E73A8">
            <w:pPr>
              <w:pStyle w:val="GOSTTablenorm"/>
              <w:widowControl w:val="0"/>
            </w:pPr>
            <w:r w:rsidRPr="00264D5D">
              <w:t>Номер расходного расписания</w:t>
            </w:r>
          </w:p>
        </w:tc>
      </w:tr>
      <w:tr w:rsidR="00AD1F54" w:rsidRPr="00264D5D" w14:paraId="3484AD2D" w14:textId="77777777" w:rsidTr="00AD76D2">
        <w:trPr>
          <w:cnfStyle w:val="000000010000" w:firstRow="0" w:lastRow="0" w:firstColumn="0" w:lastColumn="0" w:oddVBand="0" w:evenVBand="0" w:oddHBand="0" w:evenHBand="1" w:firstRowFirstColumn="0" w:firstRowLastColumn="0" w:lastRowFirstColumn="0" w:lastRowLastColumn="0"/>
        </w:trPr>
        <w:tc>
          <w:tcPr>
            <w:tcW w:w="1707" w:type="dxa"/>
          </w:tcPr>
          <w:p w14:paraId="7ED0C7CA" w14:textId="77777777" w:rsidR="00AD1F54" w:rsidRPr="00264D5D" w:rsidRDefault="00941227">
            <w:pPr>
              <w:pStyle w:val="GOSTTablenorm"/>
              <w:widowControl w:val="0"/>
            </w:pPr>
            <w:r w:rsidRPr="00264D5D">
              <w:t>Дата</w:t>
            </w:r>
          </w:p>
        </w:tc>
        <w:tc>
          <w:tcPr>
            <w:tcW w:w="1705" w:type="dxa"/>
          </w:tcPr>
          <w:p w14:paraId="2A8D8413" w14:textId="77777777" w:rsidR="00AD1F54" w:rsidRPr="00264D5D" w:rsidRDefault="00941227">
            <w:pPr>
              <w:pStyle w:val="GOSTTablenorm"/>
              <w:widowControl w:val="0"/>
            </w:pPr>
            <w:r w:rsidRPr="00264D5D">
              <w:t>MSC_Infrmtn</w:t>
            </w:r>
          </w:p>
        </w:tc>
        <w:tc>
          <w:tcPr>
            <w:tcW w:w="568" w:type="dxa"/>
          </w:tcPr>
          <w:p w14:paraId="121091C4" w14:textId="77777777" w:rsidR="00AD1F54" w:rsidRPr="00264D5D" w:rsidRDefault="00941227">
            <w:pPr>
              <w:pStyle w:val="GOSTTablenorm"/>
              <w:widowControl w:val="0"/>
              <w:jc w:val="center"/>
            </w:pPr>
            <w:r w:rsidRPr="00264D5D">
              <w:t>С</w:t>
            </w:r>
          </w:p>
        </w:tc>
        <w:tc>
          <w:tcPr>
            <w:tcW w:w="1137" w:type="dxa"/>
          </w:tcPr>
          <w:p w14:paraId="20B4BCE9" w14:textId="77777777" w:rsidR="00AD1F54" w:rsidRPr="00264D5D" w:rsidRDefault="00941227">
            <w:pPr>
              <w:pStyle w:val="GOSTTablenorm"/>
              <w:widowControl w:val="0"/>
            </w:pPr>
            <w:r w:rsidRPr="00264D5D">
              <w:t>tMSC_Infrmtn3</w:t>
            </w:r>
          </w:p>
        </w:tc>
        <w:tc>
          <w:tcPr>
            <w:tcW w:w="555" w:type="dxa"/>
          </w:tcPr>
          <w:p w14:paraId="50BFECAB" w14:textId="77777777" w:rsidR="00AD1F54" w:rsidRPr="00264D5D" w:rsidRDefault="00941227">
            <w:pPr>
              <w:pStyle w:val="GOSTTablenorm"/>
              <w:widowControl w:val="0"/>
              <w:jc w:val="center"/>
            </w:pPr>
            <w:r w:rsidRPr="00264D5D">
              <w:t>О</w:t>
            </w:r>
          </w:p>
        </w:tc>
        <w:tc>
          <w:tcPr>
            <w:tcW w:w="3984" w:type="dxa"/>
            <w:gridSpan w:val="2"/>
          </w:tcPr>
          <w:p w14:paraId="6DE73489" w14:textId="77777777" w:rsidR="00AD1F54" w:rsidRPr="00264D5D" w:rsidRDefault="00941227">
            <w:pPr>
              <w:pStyle w:val="GOSTTablenorm"/>
              <w:widowControl w:val="0"/>
            </w:pPr>
            <w:r w:rsidRPr="00264D5D">
              <w:t>Дата расходного расписания.</w:t>
            </w:r>
          </w:p>
          <w:p w14:paraId="59D7527F" w14:textId="4F03267E" w:rsidR="00AD1F54" w:rsidRPr="00264D5D" w:rsidRDefault="00941227">
            <w:pPr>
              <w:pStyle w:val="GOSTTablenorm"/>
              <w:widowControl w:val="0"/>
            </w:pPr>
            <w:r w:rsidRPr="00264D5D">
              <w:t xml:space="preserve">Состав элемента представлен в таблице </w:t>
            </w:r>
            <w:r w:rsidRPr="00264D5D">
              <w:rPr>
                <w:b/>
              </w:rPr>
              <w:fldChar w:fldCharType="begin"/>
            </w:r>
            <w:r w:rsidRPr="00264D5D">
              <w:rPr>
                <w:b/>
              </w:rPr>
              <w:instrText xml:space="preserve"> REF _Ref492311103 \h  \* MERGEFORMAT </w:instrText>
            </w:r>
            <w:r w:rsidRPr="00264D5D">
              <w:rPr>
                <w:b/>
              </w:rPr>
            </w:r>
            <w:r w:rsidRPr="00264D5D">
              <w:rPr>
                <w:b/>
              </w:rPr>
              <w:fldChar w:fldCharType="separate"/>
            </w:r>
            <w:r w:rsidR="008D797C" w:rsidRPr="008D797C">
              <w:rPr>
                <w:b/>
              </w:rPr>
              <w:t>33</w:t>
            </w:r>
            <w:r w:rsidRPr="00264D5D">
              <w:rPr>
                <w:b/>
              </w:rPr>
              <w:fldChar w:fldCharType="end"/>
            </w:r>
          </w:p>
        </w:tc>
      </w:tr>
      <w:tr w:rsidR="00AD1F54" w:rsidRPr="00264D5D" w14:paraId="7C4E396A" w14:textId="77777777" w:rsidTr="00AD76D2">
        <w:trPr>
          <w:cnfStyle w:val="000000100000" w:firstRow="0" w:lastRow="0" w:firstColumn="0" w:lastColumn="0" w:oddVBand="0" w:evenVBand="0" w:oddHBand="1" w:evenHBand="0" w:firstRowFirstColumn="0" w:firstRowLastColumn="0" w:lastRowFirstColumn="0" w:lastRowLastColumn="0"/>
        </w:trPr>
        <w:tc>
          <w:tcPr>
            <w:tcW w:w="1707" w:type="dxa"/>
          </w:tcPr>
          <w:p w14:paraId="60F4656C" w14:textId="77777777" w:rsidR="00AD1F54" w:rsidRPr="00264D5D" w:rsidRDefault="00941227">
            <w:pPr>
              <w:pStyle w:val="GOSTTablenorm"/>
              <w:widowControl w:val="0"/>
            </w:pPr>
            <w:r w:rsidRPr="00264D5D">
              <w:t>Дата введения в действие</w:t>
            </w:r>
          </w:p>
          <w:p w14:paraId="1AE3C46B" w14:textId="77777777" w:rsidR="00AD1F54" w:rsidRPr="00264D5D" w:rsidRDefault="00AD1F54">
            <w:pPr>
              <w:widowControl w:val="0"/>
              <w:spacing w:before="60" w:after="60"/>
            </w:pPr>
          </w:p>
        </w:tc>
        <w:tc>
          <w:tcPr>
            <w:tcW w:w="1705" w:type="dxa"/>
          </w:tcPr>
          <w:p w14:paraId="2EF2EABB" w14:textId="77777777" w:rsidR="00AD1F54" w:rsidRPr="00264D5D" w:rsidRDefault="00941227">
            <w:pPr>
              <w:pStyle w:val="GOSTTablenorm"/>
              <w:widowControl w:val="0"/>
            </w:pPr>
            <w:r w:rsidRPr="00264D5D">
              <w:t>DctDtUTV</w:t>
            </w:r>
          </w:p>
        </w:tc>
        <w:tc>
          <w:tcPr>
            <w:tcW w:w="568" w:type="dxa"/>
          </w:tcPr>
          <w:p w14:paraId="3823C1B4" w14:textId="77777777" w:rsidR="00AD1F54" w:rsidRPr="00264D5D" w:rsidRDefault="00941227">
            <w:pPr>
              <w:pStyle w:val="GOSTTablenorm"/>
              <w:widowControl w:val="0"/>
              <w:jc w:val="center"/>
            </w:pPr>
            <w:r w:rsidRPr="00264D5D">
              <w:t>П</w:t>
            </w:r>
          </w:p>
        </w:tc>
        <w:tc>
          <w:tcPr>
            <w:tcW w:w="1137" w:type="dxa"/>
          </w:tcPr>
          <w:p w14:paraId="4ECAF1F4" w14:textId="77777777" w:rsidR="00AD1F54" w:rsidRPr="00264D5D" w:rsidRDefault="00941227">
            <w:pPr>
              <w:pStyle w:val="GOSTTablenorm"/>
              <w:widowControl w:val="0"/>
            </w:pPr>
            <w:r w:rsidRPr="00264D5D">
              <w:t>Date</w:t>
            </w:r>
          </w:p>
        </w:tc>
        <w:tc>
          <w:tcPr>
            <w:tcW w:w="555" w:type="dxa"/>
          </w:tcPr>
          <w:p w14:paraId="5AB0F621" w14:textId="77777777" w:rsidR="00AD1F54" w:rsidRPr="00264D5D" w:rsidRDefault="00941227">
            <w:pPr>
              <w:pStyle w:val="GOSTTablenorm"/>
              <w:widowControl w:val="0"/>
              <w:jc w:val="center"/>
            </w:pPr>
            <w:r w:rsidRPr="00264D5D">
              <w:t>Н</w:t>
            </w:r>
          </w:p>
        </w:tc>
        <w:tc>
          <w:tcPr>
            <w:tcW w:w="3984" w:type="dxa"/>
            <w:gridSpan w:val="2"/>
          </w:tcPr>
          <w:p w14:paraId="51DF3DAF" w14:textId="77777777" w:rsidR="00AD1F54" w:rsidRPr="00264D5D" w:rsidRDefault="00941227">
            <w:pPr>
              <w:pStyle w:val="GOSTTablenorm"/>
              <w:widowControl w:val="0"/>
            </w:pPr>
            <w:r w:rsidRPr="00264D5D">
              <w:t>Поле не заполняется, если у РР заполнены даты введения в действие всех существующих разделов (DctDtUTVBA, DctDtUTVLBO, DctDtUTVPOF), при этом</w:t>
            </w:r>
            <w:r w:rsidR="002E73A8" w:rsidRPr="00264D5D">
              <w:t xml:space="preserve"> эти даты не равны между собой</w:t>
            </w:r>
          </w:p>
        </w:tc>
      </w:tr>
      <w:tr w:rsidR="00AD1F54" w:rsidRPr="00264D5D" w14:paraId="365958FE" w14:textId="77777777" w:rsidTr="00AD76D2">
        <w:trPr>
          <w:cnfStyle w:val="000000010000" w:firstRow="0" w:lastRow="0" w:firstColumn="0" w:lastColumn="0" w:oddVBand="0" w:evenVBand="0" w:oddHBand="0" w:evenHBand="1" w:firstRowFirstColumn="0" w:firstRowLastColumn="0" w:lastRowFirstColumn="0" w:lastRowLastColumn="0"/>
        </w:trPr>
        <w:tc>
          <w:tcPr>
            <w:tcW w:w="1707" w:type="dxa"/>
          </w:tcPr>
          <w:p w14:paraId="5FFD855A" w14:textId="77777777" w:rsidR="00AD1F54" w:rsidRPr="00264D5D" w:rsidRDefault="00941227">
            <w:pPr>
              <w:pStyle w:val="GOSTTablenorm"/>
              <w:widowControl w:val="0"/>
            </w:pPr>
            <w:r w:rsidRPr="00264D5D">
              <w:lastRenderedPageBreak/>
              <w:t>Уровень конфиденциальности</w:t>
            </w:r>
          </w:p>
        </w:tc>
        <w:tc>
          <w:tcPr>
            <w:tcW w:w="1705" w:type="dxa"/>
          </w:tcPr>
          <w:p w14:paraId="1BF1B2A0" w14:textId="77777777" w:rsidR="00AD1F54" w:rsidRPr="00264D5D" w:rsidRDefault="00941227">
            <w:pPr>
              <w:pStyle w:val="GOSTTablenorm"/>
              <w:widowControl w:val="0"/>
            </w:pPr>
            <w:r w:rsidRPr="00264D5D">
              <w:t>ScrcSgn</w:t>
            </w:r>
          </w:p>
        </w:tc>
        <w:tc>
          <w:tcPr>
            <w:tcW w:w="568" w:type="dxa"/>
          </w:tcPr>
          <w:p w14:paraId="225E714E" w14:textId="77777777" w:rsidR="00AD1F54" w:rsidRPr="00264D5D" w:rsidRDefault="00941227">
            <w:pPr>
              <w:pStyle w:val="GOSTTablenorm"/>
              <w:widowControl w:val="0"/>
              <w:jc w:val="center"/>
            </w:pPr>
            <w:r w:rsidRPr="00264D5D">
              <w:rPr>
                <w:lang w:val="en-US"/>
              </w:rPr>
              <w:t>С</w:t>
            </w:r>
          </w:p>
        </w:tc>
        <w:tc>
          <w:tcPr>
            <w:tcW w:w="1137" w:type="dxa"/>
          </w:tcPr>
          <w:p w14:paraId="1C2D7443" w14:textId="531FE724" w:rsidR="00AD1F54" w:rsidRPr="00264D5D" w:rsidRDefault="00941227" w:rsidP="00AD76D2">
            <w:pPr>
              <w:pStyle w:val="GOSTTablenorm"/>
              <w:widowControl w:val="0"/>
            </w:pPr>
            <w:r w:rsidRPr="00264D5D">
              <w:t>tMSC_ScrcSgnComplex</w:t>
            </w:r>
            <w:r w:rsidR="00AD76D2" w:rsidRPr="00AD76D2">
              <w:rPr>
                <w:highlight w:val="green"/>
              </w:rPr>
              <w:t>2</w:t>
            </w:r>
          </w:p>
        </w:tc>
        <w:tc>
          <w:tcPr>
            <w:tcW w:w="555" w:type="dxa"/>
          </w:tcPr>
          <w:p w14:paraId="16D1E74A" w14:textId="77777777" w:rsidR="00AD1F54" w:rsidRPr="00264D5D" w:rsidRDefault="00941227">
            <w:pPr>
              <w:pStyle w:val="GOSTTablenorm"/>
              <w:widowControl w:val="0"/>
              <w:jc w:val="center"/>
            </w:pPr>
            <w:r w:rsidRPr="00264D5D">
              <w:t>О</w:t>
            </w:r>
          </w:p>
        </w:tc>
        <w:tc>
          <w:tcPr>
            <w:tcW w:w="3984" w:type="dxa"/>
            <w:gridSpan w:val="2"/>
          </w:tcPr>
          <w:p w14:paraId="0DA2B729" w14:textId="1CEF733A" w:rsidR="00AD1F54" w:rsidRPr="00264D5D" w:rsidRDefault="00941227">
            <w:pPr>
              <w:pStyle w:val="GOSTTablenorm"/>
              <w:widowControl w:val="0"/>
            </w:pPr>
            <w:r w:rsidRPr="00264D5D">
              <w:t xml:space="preserve">Состав элемента представлен в таблице </w:t>
            </w:r>
            <w:r w:rsidRPr="00264D5D">
              <w:rPr>
                <w:b/>
              </w:rPr>
              <w:fldChar w:fldCharType="begin"/>
            </w:r>
            <w:r w:rsidRPr="00264D5D">
              <w:rPr>
                <w:b/>
              </w:rPr>
              <w:instrText xml:space="preserve"> REF _Ref492311012 \h  \* MERGEFORMAT </w:instrText>
            </w:r>
            <w:r w:rsidRPr="00264D5D">
              <w:rPr>
                <w:b/>
              </w:rPr>
            </w:r>
            <w:r w:rsidRPr="00264D5D">
              <w:rPr>
                <w:b/>
              </w:rPr>
              <w:fldChar w:fldCharType="separate"/>
            </w:r>
            <w:r w:rsidR="008D797C" w:rsidRPr="008D797C">
              <w:rPr>
                <w:b/>
              </w:rPr>
              <w:t>44</w:t>
            </w:r>
            <w:r w:rsidRPr="00264D5D">
              <w:rPr>
                <w:b/>
              </w:rPr>
              <w:fldChar w:fldCharType="end"/>
            </w:r>
          </w:p>
        </w:tc>
      </w:tr>
      <w:tr w:rsidR="00AD76D2" w:rsidRPr="00264D5D" w14:paraId="627DB1AD" w14:textId="77777777" w:rsidTr="00AD76D2">
        <w:trPr>
          <w:cnfStyle w:val="000000100000" w:firstRow="0" w:lastRow="0" w:firstColumn="0" w:lastColumn="0" w:oddVBand="0" w:evenVBand="0" w:oddHBand="1" w:evenHBand="0" w:firstRowFirstColumn="0" w:firstRowLastColumn="0" w:lastRowFirstColumn="0" w:lastRowLastColumn="0"/>
        </w:trPr>
        <w:tc>
          <w:tcPr>
            <w:tcW w:w="1707" w:type="dxa"/>
          </w:tcPr>
          <w:p w14:paraId="218F4699" w14:textId="135AA356" w:rsidR="00AD76D2" w:rsidRPr="00264D5D" w:rsidRDefault="00AD76D2" w:rsidP="00AD76D2">
            <w:pPr>
              <w:pStyle w:val="GOSTTablenorm"/>
              <w:widowControl w:val="0"/>
            </w:pPr>
            <w:r w:rsidRPr="00F85964">
              <w:rPr>
                <w:szCs w:val="22"/>
                <w:highlight w:val="green"/>
              </w:rPr>
              <w:t>Пункт перечня</w:t>
            </w:r>
          </w:p>
        </w:tc>
        <w:tc>
          <w:tcPr>
            <w:tcW w:w="1705" w:type="dxa"/>
          </w:tcPr>
          <w:p w14:paraId="109429A9" w14:textId="1738C5C7" w:rsidR="00AD76D2" w:rsidRPr="00264D5D" w:rsidRDefault="00AD76D2" w:rsidP="00AD76D2">
            <w:pPr>
              <w:pStyle w:val="GOSTTablenorm"/>
              <w:widowControl w:val="0"/>
            </w:pPr>
            <w:r w:rsidRPr="00F85964">
              <w:rPr>
                <w:szCs w:val="22"/>
                <w:highlight w:val="green"/>
              </w:rPr>
              <w:t>C</w:t>
            </w:r>
            <w:r w:rsidRPr="00F85964">
              <w:rPr>
                <w:szCs w:val="22"/>
                <w:highlight w:val="green"/>
                <w:lang w:val="en-US"/>
              </w:rPr>
              <w:t>ause</w:t>
            </w:r>
          </w:p>
        </w:tc>
        <w:tc>
          <w:tcPr>
            <w:tcW w:w="568" w:type="dxa"/>
          </w:tcPr>
          <w:p w14:paraId="1F0EF636" w14:textId="78082B39" w:rsidR="00AD76D2" w:rsidRPr="00264D5D" w:rsidRDefault="00AD76D2" w:rsidP="00AD76D2">
            <w:pPr>
              <w:pStyle w:val="GOSTTablenorm"/>
              <w:widowControl w:val="0"/>
              <w:jc w:val="center"/>
              <w:rPr>
                <w:lang w:val="en-US"/>
              </w:rPr>
            </w:pPr>
            <w:r w:rsidRPr="00F85964">
              <w:rPr>
                <w:szCs w:val="22"/>
                <w:highlight w:val="green"/>
              </w:rPr>
              <w:t>П</w:t>
            </w:r>
          </w:p>
        </w:tc>
        <w:tc>
          <w:tcPr>
            <w:tcW w:w="1137" w:type="dxa"/>
          </w:tcPr>
          <w:p w14:paraId="1C0849D7" w14:textId="6C6F11EE" w:rsidR="00AD76D2" w:rsidRPr="00264D5D" w:rsidRDefault="00AD76D2" w:rsidP="00AD76D2">
            <w:pPr>
              <w:pStyle w:val="GOSTTablenorm"/>
              <w:widowControl w:val="0"/>
            </w:pPr>
            <w:r w:rsidRPr="00F85964">
              <w:rPr>
                <w:szCs w:val="22"/>
                <w:highlight w:val="green"/>
              </w:rPr>
              <w:t>Т(1-150)</w:t>
            </w:r>
          </w:p>
        </w:tc>
        <w:tc>
          <w:tcPr>
            <w:tcW w:w="555" w:type="dxa"/>
          </w:tcPr>
          <w:p w14:paraId="050576E1" w14:textId="7C0FCAC6" w:rsidR="00AD76D2" w:rsidRPr="00264D5D" w:rsidRDefault="00AD76D2" w:rsidP="00AD76D2">
            <w:pPr>
              <w:pStyle w:val="GOSTTablenorm"/>
              <w:widowControl w:val="0"/>
              <w:jc w:val="center"/>
            </w:pPr>
            <w:r w:rsidRPr="00F85964">
              <w:rPr>
                <w:szCs w:val="22"/>
                <w:highlight w:val="green"/>
              </w:rPr>
              <w:t>Н</w:t>
            </w:r>
          </w:p>
        </w:tc>
        <w:tc>
          <w:tcPr>
            <w:tcW w:w="3984" w:type="dxa"/>
            <w:gridSpan w:val="2"/>
          </w:tcPr>
          <w:p w14:paraId="04E2FCC1" w14:textId="77777777" w:rsidR="00AD76D2" w:rsidRPr="00F85964" w:rsidRDefault="00AD76D2" w:rsidP="00AD76D2">
            <w:pPr>
              <w:pStyle w:val="GOSTTablenorm"/>
              <w:rPr>
                <w:szCs w:val="22"/>
                <w:highlight w:val="green"/>
              </w:rPr>
            </w:pPr>
            <w:r w:rsidRPr="00F85964">
              <w:rPr>
                <w:szCs w:val="22"/>
                <w:highlight w:val="green"/>
              </w:rPr>
              <w:t>Указывается пункт перечня, на основании которого документ является конфиденциальным.</w:t>
            </w:r>
          </w:p>
          <w:p w14:paraId="3DAE4AF0" w14:textId="13071E1B" w:rsidR="00AD76D2" w:rsidRPr="00264D5D" w:rsidRDefault="00AD76D2" w:rsidP="00AD76D2">
            <w:pPr>
              <w:pStyle w:val="GOSTTablenorm"/>
              <w:widowControl w:val="0"/>
            </w:pPr>
            <w:r w:rsidRPr="00F85964">
              <w:rPr>
                <w:szCs w:val="22"/>
                <w:highlight w:val="green"/>
              </w:rPr>
              <w:t>Обязателен для заполнения, если в реквизите «Уровень конфиденциальности» указано значение «2» или «3»</w:t>
            </w:r>
          </w:p>
        </w:tc>
      </w:tr>
      <w:tr w:rsidR="00AD76D2" w:rsidRPr="00264D5D" w14:paraId="4415FE6E" w14:textId="77777777" w:rsidTr="00AD76D2">
        <w:trPr>
          <w:cnfStyle w:val="000000010000" w:firstRow="0" w:lastRow="0" w:firstColumn="0" w:lastColumn="0" w:oddVBand="0" w:evenVBand="0" w:oddHBand="0" w:evenHBand="1" w:firstRowFirstColumn="0" w:firstRowLastColumn="0" w:lastRowFirstColumn="0" w:lastRowLastColumn="0"/>
        </w:trPr>
        <w:tc>
          <w:tcPr>
            <w:tcW w:w="1707" w:type="dxa"/>
          </w:tcPr>
          <w:p w14:paraId="1CB7CB7D" w14:textId="77777777" w:rsidR="00AD76D2" w:rsidRPr="00264D5D" w:rsidRDefault="00AD76D2" w:rsidP="00AD76D2">
            <w:pPr>
              <w:pStyle w:val="GOSTTablenorm"/>
              <w:widowControl w:val="0"/>
            </w:pPr>
            <w:r w:rsidRPr="00264D5D">
              <w:t>Источник</w:t>
            </w:r>
          </w:p>
        </w:tc>
        <w:tc>
          <w:tcPr>
            <w:tcW w:w="1705" w:type="dxa"/>
          </w:tcPr>
          <w:p w14:paraId="52062B43" w14:textId="77777777" w:rsidR="00AD76D2" w:rsidRPr="00264D5D" w:rsidRDefault="00AD76D2" w:rsidP="00AD76D2">
            <w:pPr>
              <w:pStyle w:val="GOSTTablenorm"/>
              <w:widowControl w:val="0"/>
            </w:pPr>
            <w:r w:rsidRPr="00264D5D">
              <w:rPr>
                <w:lang w:val="en-US"/>
              </w:rPr>
              <w:t>ExtrAttrb_Src</w:t>
            </w:r>
          </w:p>
        </w:tc>
        <w:tc>
          <w:tcPr>
            <w:tcW w:w="568" w:type="dxa"/>
          </w:tcPr>
          <w:p w14:paraId="51B693AA" w14:textId="77777777" w:rsidR="00AD76D2" w:rsidRPr="00264D5D" w:rsidRDefault="00AD76D2" w:rsidP="00AD76D2">
            <w:pPr>
              <w:pStyle w:val="GOSTTablenorm"/>
              <w:widowControl w:val="0"/>
              <w:jc w:val="center"/>
              <w:rPr>
                <w:lang w:val="en-US"/>
              </w:rPr>
            </w:pPr>
            <w:r w:rsidRPr="00264D5D">
              <w:rPr>
                <w:lang w:val="en-US"/>
              </w:rPr>
              <w:t>С</w:t>
            </w:r>
          </w:p>
        </w:tc>
        <w:tc>
          <w:tcPr>
            <w:tcW w:w="1137" w:type="dxa"/>
          </w:tcPr>
          <w:p w14:paraId="644BB0EE" w14:textId="77777777" w:rsidR="00AD76D2" w:rsidRPr="00264D5D" w:rsidRDefault="00AD76D2" w:rsidP="00AD76D2">
            <w:pPr>
              <w:pStyle w:val="GOSTTablenorm"/>
              <w:widowControl w:val="0"/>
            </w:pPr>
            <w:r w:rsidRPr="00264D5D">
              <w:rPr>
                <w:lang w:val="en-US"/>
              </w:rPr>
              <w:t>tDocSrcComplex1</w:t>
            </w:r>
          </w:p>
        </w:tc>
        <w:tc>
          <w:tcPr>
            <w:tcW w:w="555" w:type="dxa"/>
          </w:tcPr>
          <w:p w14:paraId="46CF81F0" w14:textId="77777777" w:rsidR="00AD76D2" w:rsidRPr="00264D5D" w:rsidRDefault="00AD76D2" w:rsidP="00AD76D2">
            <w:pPr>
              <w:pStyle w:val="GOSTTablenorm"/>
              <w:widowControl w:val="0"/>
              <w:jc w:val="center"/>
            </w:pPr>
            <w:r w:rsidRPr="00264D5D">
              <w:rPr>
                <w:lang w:val="en-US"/>
              </w:rPr>
              <w:t>О</w:t>
            </w:r>
          </w:p>
        </w:tc>
        <w:tc>
          <w:tcPr>
            <w:tcW w:w="3984" w:type="dxa"/>
            <w:gridSpan w:val="2"/>
          </w:tcPr>
          <w:p w14:paraId="21B8A81C" w14:textId="166754EC" w:rsidR="00AD76D2" w:rsidRPr="00264D5D" w:rsidRDefault="00AD76D2" w:rsidP="00AD76D2">
            <w:pPr>
              <w:pStyle w:val="GOSTTablenorm"/>
              <w:widowControl w:val="0"/>
            </w:pPr>
            <w:r w:rsidRPr="00264D5D">
              <w:t xml:space="preserve">Состав элемента представлен в таблице </w:t>
            </w:r>
            <w:r w:rsidRPr="00264D5D">
              <w:rPr>
                <w:b/>
              </w:rPr>
              <w:fldChar w:fldCharType="begin"/>
            </w:r>
            <w:r w:rsidRPr="00264D5D">
              <w:rPr>
                <w:b/>
              </w:rPr>
              <w:instrText xml:space="preserve"> REF _Ref534801177 \h  \* MERGEFORMAT </w:instrText>
            </w:r>
            <w:r w:rsidRPr="00264D5D">
              <w:rPr>
                <w:b/>
              </w:rPr>
            </w:r>
            <w:r w:rsidRPr="00264D5D">
              <w:rPr>
                <w:b/>
              </w:rPr>
              <w:fldChar w:fldCharType="separate"/>
            </w:r>
            <w:r w:rsidR="008D797C" w:rsidRPr="008D797C">
              <w:rPr>
                <w:b/>
              </w:rPr>
              <w:t>45</w:t>
            </w:r>
            <w:r w:rsidRPr="00264D5D">
              <w:rPr>
                <w:b/>
              </w:rPr>
              <w:fldChar w:fldCharType="end"/>
            </w:r>
          </w:p>
        </w:tc>
      </w:tr>
      <w:tr w:rsidR="00AD76D2" w:rsidRPr="00264D5D" w14:paraId="417B79A1" w14:textId="77777777" w:rsidTr="00AD76D2">
        <w:trPr>
          <w:cnfStyle w:val="000000100000" w:firstRow="0" w:lastRow="0" w:firstColumn="0" w:lastColumn="0" w:oddVBand="0" w:evenVBand="0" w:oddHBand="1" w:evenHBand="0" w:firstRowFirstColumn="0" w:firstRowLastColumn="0" w:lastRowFirstColumn="0" w:lastRowLastColumn="0"/>
        </w:trPr>
        <w:tc>
          <w:tcPr>
            <w:tcW w:w="1707" w:type="dxa"/>
          </w:tcPr>
          <w:p w14:paraId="1ACEAE03" w14:textId="77777777" w:rsidR="00AD76D2" w:rsidRPr="00264D5D" w:rsidRDefault="00AD76D2" w:rsidP="00AD76D2">
            <w:pPr>
              <w:pStyle w:val="GOSTTablenorm"/>
              <w:widowControl w:val="0"/>
            </w:pPr>
            <w:r w:rsidRPr="00264D5D">
              <w:t>Учетные даты</w:t>
            </w:r>
          </w:p>
        </w:tc>
        <w:tc>
          <w:tcPr>
            <w:tcW w:w="1705" w:type="dxa"/>
          </w:tcPr>
          <w:p w14:paraId="05F659B9" w14:textId="77777777" w:rsidR="00AD76D2" w:rsidRPr="00264D5D" w:rsidRDefault="00AD76D2" w:rsidP="00AD76D2">
            <w:pPr>
              <w:pStyle w:val="GOSTTablenorm"/>
              <w:widowControl w:val="0"/>
              <w:rPr>
                <w:lang w:val="en-US"/>
              </w:rPr>
            </w:pPr>
            <w:r w:rsidRPr="00264D5D">
              <w:rPr>
                <w:lang w:val="en-US"/>
              </w:rPr>
              <w:t>ExtrAttrbDt</w:t>
            </w:r>
          </w:p>
        </w:tc>
        <w:tc>
          <w:tcPr>
            <w:tcW w:w="568" w:type="dxa"/>
          </w:tcPr>
          <w:p w14:paraId="56DCBD43" w14:textId="77777777" w:rsidR="00AD76D2" w:rsidRPr="00264D5D" w:rsidRDefault="00AD76D2" w:rsidP="00AD76D2">
            <w:pPr>
              <w:pStyle w:val="GOSTTablenorm"/>
              <w:widowControl w:val="0"/>
              <w:jc w:val="center"/>
              <w:rPr>
                <w:lang w:val="en-US"/>
              </w:rPr>
            </w:pPr>
            <w:r w:rsidRPr="00264D5D">
              <w:rPr>
                <w:lang w:val="en-US"/>
              </w:rPr>
              <w:t>С</w:t>
            </w:r>
          </w:p>
        </w:tc>
        <w:tc>
          <w:tcPr>
            <w:tcW w:w="1137" w:type="dxa"/>
          </w:tcPr>
          <w:p w14:paraId="6D558FE0" w14:textId="77777777" w:rsidR="00AD76D2" w:rsidRPr="00264D5D" w:rsidRDefault="00AD76D2" w:rsidP="00AD76D2">
            <w:pPr>
              <w:pStyle w:val="GOSTTablenorm"/>
              <w:widowControl w:val="0"/>
              <w:rPr>
                <w:lang w:val="en-US"/>
              </w:rPr>
            </w:pPr>
            <w:r w:rsidRPr="00264D5D">
              <w:t>tExtrAttrbDt</w:t>
            </w:r>
          </w:p>
        </w:tc>
        <w:tc>
          <w:tcPr>
            <w:tcW w:w="555" w:type="dxa"/>
          </w:tcPr>
          <w:p w14:paraId="067D6ABB" w14:textId="77777777" w:rsidR="00AD76D2" w:rsidRPr="00264D5D" w:rsidRDefault="00AD76D2" w:rsidP="00AD76D2">
            <w:pPr>
              <w:pStyle w:val="GOSTTablenorm"/>
              <w:widowControl w:val="0"/>
              <w:jc w:val="center"/>
              <w:rPr>
                <w:lang w:val="en-US"/>
              </w:rPr>
            </w:pPr>
            <w:r w:rsidRPr="00264D5D">
              <w:t>Н</w:t>
            </w:r>
          </w:p>
        </w:tc>
        <w:tc>
          <w:tcPr>
            <w:tcW w:w="3984" w:type="dxa"/>
            <w:gridSpan w:val="2"/>
          </w:tcPr>
          <w:p w14:paraId="14744035" w14:textId="77777777" w:rsidR="00AD76D2" w:rsidRPr="00264D5D" w:rsidRDefault="00AD76D2" w:rsidP="00AD76D2">
            <w:pPr>
              <w:pStyle w:val="GOSTTablenorm"/>
              <w:widowControl w:val="0"/>
            </w:pPr>
            <w:r w:rsidRPr="00264D5D">
              <w:t xml:space="preserve">Учетные даты, присваиваемые в ТОФК. </w:t>
            </w:r>
          </w:p>
          <w:p w14:paraId="4ACFF48A" w14:textId="77777777" w:rsidR="00AD76D2" w:rsidRPr="00264D5D" w:rsidRDefault="00AD76D2" w:rsidP="00AD76D2">
            <w:pPr>
              <w:pStyle w:val="GOSTTablenorm"/>
              <w:widowControl w:val="0"/>
            </w:pPr>
            <w:r w:rsidRPr="00264D5D">
              <w:t xml:space="preserve">Элемент обязателен при предоставлении из </w:t>
            </w:r>
            <w:r>
              <w:t>ТОФК (ППО АСФК)</w:t>
            </w:r>
            <w:r w:rsidRPr="00264D5D">
              <w:t xml:space="preserve"> и при выгрузке в ПФХД.</w:t>
            </w:r>
          </w:p>
          <w:p w14:paraId="26E53052" w14:textId="0245360C" w:rsidR="00AD76D2" w:rsidRPr="00264D5D" w:rsidRDefault="00AD76D2" w:rsidP="00AD76D2">
            <w:pPr>
              <w:pStyle w:val="GOSTTablenorm"/>
              <w:widowControl w:val="0"/>
            </w:pPr>
            <w:r w:rsidRPr="00264D5D">
              <w:t xml:space="preserve">Состав элемента представлен в таблице </w:t>
            </w:r>
            <w:r w:rsidRPr="00264D5D">
              <w:rPr>
                <w:b/>
              </w:rPr>
              <w:fldChar w:fldCharType="begin"/>
            </w:r>
            <w:r w:rsidRPr="00264D5D">
              <w:rPr>
                <w:b/>
              </w:rPr>
              <w:instrText xml:space="preserve"> REF _Ref534801106 \h  \* MERGEFORMAT </w:instrText>
            </w:r>
            <w:r w:rsidRPr="00264D5D">
              <w:rPr>
                <w:b/>
              </w:rPr>
            </w:r>
            <w:r w:rsidRPr="00264D5D">
              <w:rPr>
                <w:b/>
              </w:rPr>
              <w:fldChar w:fldCharType="separate"/>
            </w:r>
            <w:r w:rsidR="008D797C" w:rsidRPr="008D797C">
              <w:rPr>
                <w:b/>
              </w:rPr>
              <w:t>46</w:t>
            </w:r>
            <w:r w:rsidRPr="00264D5D">
              <w:rPr>
                <w:b/>
              </w:rPr>
              <w:fldChar w:fldCharType="end"/>
            </w:r>
          </w:p>
        </w:tc>
      </w:tr>
      <w:tr w:rsidR="00AD76D2" w:rsidRPr="00264D5D" w14:paraId="4C86CB39" w14:textId="77777777" w:rsidTr="00AD76D2">
        <w:trPr>
          <w:cnfStyle w:val="000000010000" w:firstRow="0" w:lastRow="0" w:firstColumn="0" w:lastColumn="0" w:oddVBand="0" w:evenVBand="0" w:oddHBand="0" w:evenHBand="1" w:firstRowFirstColumn="0" w:firstRowLastColumn="0" w:lastRowFirstColumn="0" w:lastRowLastColumn="0"/>
        </w:trPr>
        <w:tc>
          <w:tcPr>
            <w:tcW w:w="9656" w:type="dxa"/>
            <w:gridSpan w:val="7"/>
          </w:tcPr>
          <w:p w14:paraId="38F5E609" w14:textId="77777777" w:rsidR="00AD76D2" w:rsidRPr="00264D5D" w:rsidRDefault="00AD76D2" w:rsidP="00AD76D2">
            <w:pPr>
              <w:pStyle w:val="GOSTTablenorm"/>
              <w:widowControl w:val="0"/>
            </w:pPr>
            <w:r w:rsidRPr="00264D5D">
              <w:rPr>
                <w:b/>
              </w:rPr>
              <w:t>Информация об УБП, формирующем РР</w:t>
            </w:r>
          </w:p>
        </w:tc>
      </w:tr>
      <w:tr w:rsidR="00AD76D2" w:rsidRPr="00264D5D" w14:paraId="217305BE" w14:textId="77777777" w:rsidTr="00AD76D2">
        <w:trPr>
          <w:cnfStyle w:val="000000100000" w:firstRow="0" w:lastRow="0" w:firstColumn="0" w:lastColumn="0" w:oddVBand="0" w:evenVBand="0" w:oddHBand="1" w:evenHBand="0" w:firstRowFirstColumn="0" w:firstRowLastColumn="0" w:lastRowFirstColumn="0" w:lastRowLastColumn="0"/>
        </w:trPr>
        <w:tc>
          <w:tcPr>
            <w:tcW w:w="1707" w:type="dxa"/>
          </w:tcPr>
          <w:p w14:paraId="6A2F2F62" w14:textId="77777777" w:rsidR="00AD76D2" w:rsidRPr="00264D5D" w:rsidRDefault="00AD76D2" w:rsidP="00AD76D2">
            <w:pPr>
              <w:pStyle w:val="GOSTTablenorm"/>
              <w:widowControl w:val="0"/>
            </w:pPr>
            <w:r w:rsidRPr="00264D5D">
              <w:t>Код и наименование ГРБС (ГАИФДБ)</w:t>
            </w:r>
          </w:p>
        </w:tc>
        <w:tc>
          <w:tcPr>
            <w:tcW w:w="1705" w:type="dxa"/>
          </w:tcPr>
          <w:p w14:paraId="2F39AF19" w14:textId="77777777" w:rsidR="00AD76D2" w:rsidRPr="00264D5D" w:rsidRDefault="00AD76D2" w:rsidP="00AD76D2">
            <w:pPr>
              <w:pStyle w:val="GOSTTablenorm"/>
              <w:widowControl w:val="0"/>
            </w:pPr>
            <w:r w:rsidRPr="00264D5D">
              <w:t>AP_APGRBS</w:t>
            </w:r>
          </w:p>
        </w:tc>
        <w:tc>
          <w:tcPr>
            <w:tcW w:w="568" w:type="dxa"/>
          </w:tcPr>
          <w:p w14:paraId="52FF2C85" w14:textId="77777777" w:rsidR="00AD76D2" w:rsidRPr="00264D5D" w:rsidRDefault="00AD76D2" w:rsidP="00AD76D2">
            <w:pPr>
              <w:pStyle w:val="GOSTTablenorm"/>
              <w:widowControl w:val="0"/>
              <w:jc w:val="center"/>
            </w:pPr>
            <w:r w:rsidRPr="00264D5D">
              <w:t>С</w:t>
            </w:r>
          </w:p>
        </w:tc>
        <w:tc>
          <w:tcPr>
            <w:tcW w:w="1137" w:type="dxa"/>
          </w:tcPr>
          <w:p w14:paraId="225BCD60" w14:textId="77777777" w:rsidR="00AD76D2" w:rsidRPr="00264D5D" w:rsidRDefault="00AD76D2" w:rsidP="00AD76D2">
            <w:pPr>
              <w:pStyle w:val="GOSTTablenorm"/>
              <w:widowControl w:val="0"/>
            </w:pPr>
            <w:r w:rsidRPr="00264D5D">
              <w:t>tMSC_GRBS4</w:t>
            </w:r>
          </w:p>
        </w:tc>
        <w:tc>
          <w:tcPr>
            <w:tcW w:w="555" w:type="dxa"/>
          </w:tcPr>
          <w:p w14:paraId="36E2944C" w14:textId="77777777" w:rsidR="00AD76D2" w:rsidRPr="00264D5D" w:rsidRDefault="00AD76D2" w:rsidP="00AD76D2">
            <w:pPr>
              <w:pStyle w:val="GOSTTablenorm"/>
              <w:widowControl w:val="0"/>
              <w:jc w:val="center"/>
            </w:pPr>
            <w:r w:rsidRPr="00264D5D">
              <w:t>Н</w:t>
            </w:r>
          </w:p>
        </w:tc>
        <w:tc>
          <w:tcPr>
            <w:tcW w:w="3984" w:type="dxa"/>
            <w:gridSpan w:val="2"/>
          </w:tcPr>
          <w:p w14:paraId="2D5FF8D5" w14:textId="77777777" w:rsidR="00AD76D2" w:rsidRPr="00264D5D" w:rsidRDefault="00AD76D2" w:rsidP="00AD76D2">
            <w:pPr>
              <w:pStyle w:val="GOSTTablenorm"/>
              <w:widowControl w:val="0"/>
            </w:pPr>
            <w:r w:rsidRPr="00264D5D">
              <w:t>Указывается код главы по БК и полное наименование ГРБС/ГАИФДБ, сформировавшего РР, либо наименование вышестоящего ГРБС/ГАИФДБ, в ведении которого находится формирующий РР РБС/ПБС/АИФДБ с полномочиями ГАИФДБ.</w:t>
            </w:r>
          </w:p>
          <w:p w14:paraId="55D9D952" w14:textId="14C88A0E" w:rsidR="00AD76D2" w:rsidRPr="00264D5D" w:rsidRDefault="00AD76D2" w:rsidP="00AD76D2">
            <w:pPr>
              <w:pStyle w:val="GOSTTablenorm"/>
              <w:widowControl w:val="0"/>
            </w:pPr>
            <w:r w:rsidRPr="00264D5D">
              <w:t xml:space="preserve">Состав элемента представлен в таблице </w:t>
            </w:r>
            <w:r w:rsidRPr="00264D5D">
              <w:rPr>
                <w:b/>
              </w:rPr>
              <w:fldChar w:fldCharType="begin"/>
            </w:r>
            <w:r w:rsidRPr="00264D5D">
              <w:rPr>
                <w:b/>
              </w:rPr>
              <w:instrText xml:space="preserve"> REF _Ref492310956 \h  \* MERGEFORMAT </w:instrText>
            </w:r>
            <w:r w:rsidRPr="00264D5D">
              <w:rPr>
                <w:b/>
              </w:rPr>
            </w:r>
            <w:r w:rsidRPr="00264D5D">
              <w:rPr>
                <w:b/>
              </w:rPr>
              <w:fldChar w:fldCharType="separate"/>
            </w:r>
            <w:r w:rsidR="008D797C" w:rsidRPr="008D797C">
              <w:rPr>
                <w:b/>
              </w:rPr>
              <w:t>28</w:t>
            </w:r>
            <w:r w:rsidRPr="00264D5D">
              <w:rPr>
                <w:b/>
              </w:rPr>
              <w:fldChar w:fldCharType="end"/>
            </w:r>
          </w:p>
        </w:tc>
      </w:tr>
      <w:tr w:rsidR="00AD76D2" w:rsidRPr="00264D5D" w14:paraId="6BA46782" w14:textId="77777777" w:rsidTr="00AD76D2">
        <w:trPr>
          <w:cnfStyle w:val="000000010000" w:firstRow="0" w:lastRow="0" w:firstColumn="0" w:lastColumn="0" w:oddVBand="0" w:evenVBand="0" w:oddHBand="0" w:evenHBand="1" w:firstRowFirstColumn="0" w:firstRowLastColumn="0" w:lastRowFirstColumn="0" w:lastRowLastColumn="0"/>
        </w:trPr>
        <w:tc>
          <w:tcPr>
            <w:tcW w:w="1707" w:type="dxa"/>
          </w:tcPr>
          <w:p w14:paraId="54B01387" w14:textId="77777777" w:rsidR="00AD76D2" w:rsidRPr="00264D5D" w:rsidRDefault="00AD76D2" w:rsidP="00AD76D2">
            <w:pPr>
              <w:pStyle w:val="GOSTTablenorm"/>
              <w:widowControl w:val="0"/>
            </w:pPr>
            <w:r w:rsidRPr="00264D5D">
              <w:t>Код и наименование РБС (ПБС), АИФДБ с полномочиями ГАИФДБ</w:t>
            </w:r>
          </w:p>
        </w:tc>
        <w:tc>
          <w:tcPr>
            <w:tcW w:w="1705" w:type="dxa"/>
          </w:tcPr>
          <w:p w14:paraId="01EA0327" w14:textId="77777777" w:rsidR="00AD76D2" w:rsidRPr="00264D5D" w:rsidRDefault="00AD76D2" w:rsidP="00AD76D2">
            <w:pPr>
              <w:pStyle w:val="GOSTTablenorm"/>
              <w:widowControl w:val="0"/>
            </w:pPr>
            <w:r w:rsidRPr="00264D5D">
              <w:t>AP_RBSPBSAIFDB</w:t>
            </w:r>
          </w:p>
        </w:tc>
        <w:tc>
          <w:tcPr>
            <w:tcW w:w="568" w:type="dxa"/>
          </w:tcPr>
          <w:p w14:paraId="0987B23C" w14:textId="77777777" w:rsidR="00AD76D2" w:rsidRPr="00264D5D" w:rsidRDefault="00AD76D2" w:rsidP="00AD76D2">
            <w:pPr>
              <w:pStyle w:val="GOSTTablenorm"/>
              <w:widowControl w:val="0"/>
              <w:jc w:val="center"/>
            </w:pPr>
            <w:r w:rsidRPr="00264D5D">
              <w:t>С</w:t>
            </w:r>
          </w:p>
        </w:tc>
        <w:tc>
          <w:tcPr>
            <w:tcW w:w="1137" w:type="dxa"/>
          </w:tcPr>
          <w:p w14:paraId="35CD4AB7" w14:textId="77777777" w:rsidR="00AD76D2" w:rsidRPr="00264D5D" w:rsidRDefault="00AD76D2" w:rsidP="00AD76D2">
            <w:pPr>
              <w:pStyle w:val="GOSTTablenorm"/>
              <w:widowControl w:val="0"/>
            </w:pPr>
            <w:r w:rsidRPr="00264D5D">
              <w:t>tMSC_PBS_UBP1</w:t>
            </w:r>
          </w:p>
        </w:tc>
        <w:tc>
          <w:tcPr>
            <w:tcW w:w="555" w:type="dxa"/>
          </w:tcPr>
          <w:p w14:paraId="1FB831AE" w14:textId="77777777" w:rsidR="00AD76D2" w:rsidRPr="00264D5D" w:rsidRDefault="00AD76D2" w:rsidP="00AD76D2">
            <w:pPr>
              <w:pStyle w:val="GOSTTablenorm"/>
              <w:widowControl w:val="0"/>
              <w:jc w:val="center"/>
            </w:pPr>
            <w:r w:rsidRPr="00264D5D">
              <w:t>Н</w:t>
            </w:r>
          </w:p>
        </w:tc>
        <w:tc>
          <w:tcPr>
            <w:tcW w:w="3984" w:type="dxa"/>
            <w:gridSpan w:val="2"/>
          </w:tcPr>
          <w:p w14:paraId="78569748" w14:textId="77777777" w:rsidR="00AD76D2" w:rsidRPr="00264D5D" w:rsidRDefault="00AD76D2" w:rsidP="00AD76D2">
            <w:pPr>
              <w:pStyle w:val="GOSTTablenorm"/>
              <w:widowControl w:val="0"/>
            </w:pPr>
            <w:r w:rsidRPr="00264D5D">
              <w:t>Указывается полное наименование РБС/ПБС/АИФДБ с полномочиями ГАИФДБ, сформировавшего РР.</w:t>
            </w:r>
          </w:p>
          <w:p w14:paraId="2CF69267" w14:textId="77777777" w:rsidR="00AD76D2" w:rsidRPr="00264D5D" w:rsidRDefault="00AD76D2" w:rsidP="00AD76D2">
            <w:pPr>
              <w:pStyle w:val="GOSTTablenorm"/>
              <w:widowControl w:val="0"/>
            </w:pPr>
            <w:r w:rsidRPr="00264D5D">
              <w:t>Блок не заполняется для РР, сформированных ГРБС (ГАИФДБ).</w:t>
            </w:r>
          </w:p>
          <w:p w14:paraId="0A5B4CF7" w14:textId="4BEE8D14" w:rsidR="00AD76D2" w:rsidRPr="00264D5D" w:rsidRDefault="00AD76D2" w:rsidP="00AD76D2">
            <w:pPr>
              <w:pStyle w:val="GOSTTablenorm"/>
              <w:widowControl w:val="0"/>
            </w:pPr>
            <w:r w:rsidRPr="00264D5D">
              <w:t xml:space="preserve">Состав элемента представлен в таблице </w:t>
            </w:r>
            <w:r w:rsidRPr="00264D5D">
              <w:rPr>
                <w:b/>
              </w:rPr>
              <w:fldChar w:fldCharType="begin"/>
            </w:r>
            <w:r w:rsidRPr="00264D5D">
              <w:rPr>
                <w:b/>
              </w:rPr>
              <w:instrText xml:space="preserve"> REF _Ref492310937 \h  \* MERGEFORMAT </w:instrText>
            </w:r>
            <w:r w:rsidRPr="00264D5D">
              <w:rPr>
                <w:b/>
              </w:rPr>
            </w:r>
            <w:r w:rsidRPr="00264D5D">
              <w:rPr>
                <w:b/>
              </w:rPr>
              <w:fldChar w:fldCharType="separate"/>
            </w:r>
            <w:r w:rsidR="008D797C" w:rsidRPr="008D797C">
              <w:rPr>
                <w:b/>
              </w:rPr>
              <w:t>27</w:t>
            </w:r>
            <w:r w:rsidRPr="00264D5D">
              <w:rPr>
                <w:b/>
              </w:rPr>
              <w:fldChar w:fldCharType="end"/>
            </w:r>
          </w:p>
        </w:tc>
      </w:tr>
      <w:tr w:rsidR="00AD76D2" w:rsidRPr="00264D5D" w14:paraId="66771A77" w14:textId="77777777" w:rsidTr="00AD76D2">
        <w:trPr>
          <w:cnfStyle w:val="000000100000" w:firstRow="0" w:lastRow="0" w:firstColumn="0" w:lastColumn="0" w:oddVBand="0" w:evenVBand="0" w:oddHBand="1" w:evenHBand="0" w:firstRowFirstColumn="0" w:firstRowLastColumn="0" w:lastRowFirstColumn="0" w:lastRowLastColumn="0"/>
        </w:trPr>
        <w:tc>
          <w:tcPr>
            <w:tcW w:w="1707" w:type="dxa"/>
          </w:tcPr>
          <w:p w14:paraId="1D23E6E2" w14:textId="77777777" w:rsidR="00AD76D2" w:rsidRPr="00264D5D" w:rsidRDefault="00AD76D2" w:rsidP="00AD76D2">
            <w:pPr>
              <w:pStyle w:val="GOSTTablenorm"/>
              <w:widowControl w:val="0"/>
            </w:pPr>
            <w:r w:rsidRPr="00264D5D">
              <w:t>Номер лицевого счета</w:t>
            </w:r>
          </w:p>
          <w:p w14:paraId="055D1AF0" w14:textId="77777777" w:rsidR="00AD76D2" w:rsidRPr="00264D5D" w:rsidRDefault="00AD76D2" w:rsidP="00AD76D2">
            <w:pPr>
              <w:widowControl w:val="0"/>
              <w:spacing w:before="60" w:after="60"/>
            </w:pPr>
          </w:p>
        </w:tc>
        <w:tc>
          <w:tcPr>
            <w:tcW w:w="1705" w:type="dxa"/>
          </w:tcPr>
          <w:p w14:paraId="5FDF0A74" w14:textId="77777777" w:rsidR="00AD76D2" w:rsidRPr="00264D5D" w:rsidRDefault="00AD76D2" w:rsidP="00AD76D2">
            <w:pPr>
              <w:pStyle w:val="GOSTTablenorm"/>
              <w:widowControl w:val="0"/>
            </w:pPr>
            <w:r w:rsidRPr="00264D5D">
              <w:t>AP_LSUBP</w:t>
            </w:r>
          </w:p>
        </w:tc>
        <w:tc>
          <w:tcPr>
            <w:tcW w:w="568" w:type="dxa"/>
          </w:tcPr>
          <w:p w14:paraId="0AA0F6DC" w14:textId="77777777" w:rsidR="00AD76D2" w:rsidRPr="00264D5D" w:rsidRDefault="00AD76D2" w:rsidP="00AD76D2">
            <w:pPr>
              <w:pStyle w:val="GOSTTablenorm"/>
              <w:widowControl w:val="0"/>
              <w:jc w:val="center"/>
            </w:pPr>
            <w:r w:rsidRPr="00264D5D">
              <w:t>П</w:t>
            </w:r>
          </w:p>
        </w:tc>
        <w:tc>
          <w:tcPr>
            <w:tcW w:w="1137" w:type="dxa"/>
          </w:tcPr>
          <w:p w14:paraId="5C2B0CEB" w14:textId="77777777" w:rsidR="00AD76D2" w:rsidRPr="00264D5D" w:rsidRDefault="00AD76D2" w:rsidP="00AD76D2">
            <w:pPr>
              <w:pStyle w:val="GOSTTablenorm"/>
              <w:widowControl w:val="0"/>
              <w:rPr>
                <w:lang w:val="en-US"/>
              </w:rPr>
            </w:pPr>
            <w:r w:rsidRPr="00264D5D">
              <w:rPr>
                <w:lang w:val="en-US"/>
              </w:rPr>
              <w:t>T(11)</w:t>
            </w:r>
          </w:p>
        </w:tc>
        <w:tc>
          <w:tcPr>
            <w:tcW w:w="555" w:type="dxa"/>
          </w:tcPr>
          <w:p w14:paraId="7A9B79A5" w14:textId="77777777" w:rsidR="00AD76D2" w:rsidRPr="00264D5D" w:rsidRDefault="00AD76D2" w:rsidP="00AD76D2">
            <w:pPr>
              <w:pStyle w:val="GOSTTablenorm"/>
              <w:widowControl w:val="0"/>
              <w:jc w:val="center"/>
            </w:pPr>
            <w:r w:rsidRPr="00264D5D">
              <w:t>Н</w:t>
            </w:r>
          </w:p>
        </w:tc>
        <w:tc>
          <w:tcPr>
            <w:tcW w:w="3984" w:type="dxa"/>
            <w:gridSpan w:val="2"/>
          </w:tcPr>
          <w:p w14:paraId="3996ACD2" w14:textId="77777777" w:rsidR="00AD76D2" w:rsidRPr="00264D5D" w:rsidRDefault="00AD76D2" w:rsidP="00AD76D2">
            <w:pPr>
              <w:pStyle w:val="GOSTTablenorm"/>
              <w:widowControl w:val="0"/>
            </w:pPr>
            <w:r w:rsidRPr="00264D5D">
              <w:t>Указывается номер лицевого счета ГРБС/ГАИФДБ/РБС/АИФДБ с полномочиями ГАИФДБ, сформировавшего РР.</w:t>
            </w:r>
          </w:p>
          <w:p w14:paraId="6470D41F" w14:textId="77777777" w:rsidR="00AD76D2" w:rsidRPr="00264D5D" w:rsidRDefault="00AD76D2" w:rsidP="00AD76D2">
            <w:pPr>
              <w:pStyle w:val="GOSTTablenorm"/>
              <w:widowControl w:val="0"/>
            </w:pPr>
            <w:r w:rsidRPr="00264D5D">
              <w:t>Поле не заполняется:</w:t>
            </w:r>
          </w:p>
          <w:p w14:paraId="57868F50" w14:textId="77777777" w:rsidR="00AD76D2" w:rsidRPr="00264D5D" w:rsidRDefault="00AD76D2" w:rsidP="00AD76D2">
            <w:pPr>
              <w:pStyle w:val="GOSTTablenorm"/>
              <w:widowControl w:val="0"/>
              <w:numPr>
                <w:ilvl w:val="0"/>
                <w:numId w:val="133"/>
              </w:numPr>
              <w:ind w:left="284" w:hanging="227"/>
            </w:pPr>
            <w:r w:rsidRPr="00264D5D">
              <w:lastRenderedPageBreak/>
              <w:t>в случае доведения до ПБС ФБ бюджетных данных за счет дополнительного бюджетного финансирования;</w:t>
            </w:r>
          </w:p>
          <w:p w14:paraId="6034D909" w14:textId="77777777" w:rsidR="00AD76D2" w:rsidRPr="00264D5D" w:rsidRDefault="00AD76D2" w:rsidP="00AD76D2">
            <w:pPr>
              <w:pStyle w:val="GOSTTablenorm"/>
              <w:widowControl w:val="0"/>
              <w:numPr>
                <w:ilvl w:val="0"/>
                <w:numId w:val="133"/>
              </w:numPr>
              <w:ind w:left="284" w:hanging="227"/>
            </w:pPr>
            <w:r w:rsidRPr="00264D5D">
              <w:t>в случае формирования РР ПБС ФБ</w:t>
            </w:r>
          </w:p>
        </w:tc>
      </w:tr>
      <w:tr w:rsidR="00AD76D2" w:rsidRPr="00264D5D" w14:paraId="097B7D0B" w14:textId="77777777" w:rsidTr="00AD76D2">
        <w:trPr>
          <w:cnfStyle w:val="000000010000" w:firstRow="0" w:lastRow="0" w:firstColumn="0" w:lastColumn="0" w:oddVBand="0" w:evenVBand="0" w:oddHBand="0" w:evenHBand="1" w:firstRowFirstColumn="0" w:firstRowLastColumn="0" w:lastRowFirstColumn="0" w:lastRowLastColumn="0"/>
        </w:trPr>
        <w:tc>
          <w:tcPr>
            <w:tcW w:w="1707" w:type="dxa"/>
          </w:tcPr>
          <w:p w14:paraId="023F2C2A" w14:textId="77777777" w:rsidR="00AD76D2" w:rsidRPr="00264D5D" w:rsidRDefault="00AD76D2" w:rsidP="00AD76D2">
            <w:pPr>
              <w:pStyle w:val="GOSTTablenorm"/>
              <w:widowControl w:val="0"/>
            </w:pPr>
            <w:r w:rsidRPr="00264D5D">
              <w:lastRenderedPageBreak/>
              <w:t>Код и наименование ТОФК (Откуда)</w:t>
            </w:r>
          </w:p>
        </w:tc>
        <w:tc>
          <w:tcPr>
            <w:tcW w:w="1705" w:type="dxa"/>
          </w:tcPr>
          <w:p w14:paraId="4C8DEE12" w14:textId="77777777" w:rsidR="00AD76D2" w:rsidRPr="00264D5D" w:rsidRDefault="00AD76D2" w:rsidP="00AD76D2">
            <w:pPr>
              <w:pStyle w:val="GOSTTablenorm"/>
              <w:widowControl w:val="0"/>
            </w:pPr>
            <w:r w:rsidRPr="00264D5D">
              <w:t xml:space="preserve">AP_APTOFK </w:t>
            </w:r>
          </w:p>
        </w:tc>
        <w:tc>
          <w:tcPr>
            <w:tcW w:w="568" w:type="dxa"/>
          </w:tcPr>
          <w:p w14:paraId="7BF305D3" w14:textId="77777777" w:rsidR="00AD76D2" w:rsidRPr="00264D5D" w:rsidRDefault="00AD76D2" w:rsidP="00AD76D2">
            <w:pPr>
              <w:pStyle w:val="GOSTTablenorm"/>
              <w:widowControl w:val="0"/>
              <w:jc w:val="center"/>
            </w:pPr>
            <w:r w:rsidRPr="00264D5D">
              <w:t>С</w:t>
            </w:r>
          </w:p>
        </w:tc>
        <w:tc>
          <w:tcPr>
            <w:tcW w:w="1137" w:type="dxa"/>
          </w:tcPr>
          <w:p w14:paraId="353365F7" w14:textId="77777777" w:rsidR="00AD76D2" w:rsidRPr="00264D5D" w:rsidRDefault="00AD76D2" w:rsidP="00AD76D2">
            <w:pPr>
              <w:pStyle w:val="GOSTTablenorm"/>
              <w:widowControl w:val="0"/>
            </w:pPr>
            <w:r w:rsidRPr="00264D5D">
              <w:t>tMSC_OrFK</w:t>
            </w:r>
          </w:p>
        </w:tc>
        <w:tc>
          <w:tcPr>
            <w:tcW w:w="555" w:type="dxa"/>
          </w:tcPr>
          <w:p w14:paraId="0FDB8761" w14:textId="77777777" w:rsidR="00AD76D2" w:rsidRPr="00264D5D" w:rsidRDefault="00AD76D2" w:rsidP="00AD76D2">
            <w:pPr>
              <w:pStyle w:val="GOSTTablenorm"/>
              <w:widowControl w:val="0"/>
              <w:jc w:val="center"/>
            </w:pPr>
            <w:r w:rsidRPr="00264D5D">
              <w:t>Н</w:t>
            </w:r>
          </w:p>
        </w:tc>
        <w:tc>
          <w:tcPr>
            <w:tcW w:w="3984" w:type="dxa"/>
            <w:gridSpan w:val="2"/>
          </w:tcPr>
          <w:p w14:paraId="73E55520" w14:textId="77777777" w:rsidR="00AD76D2" w:rsidRPr="00264D5D" w:rsidRDefault="00AD76D2" w:rsidP="00AD76D2">
            <w:pPr>
              <w:pStyle w:val="GOSTTablenorm"/>
              <w:widowControl w:val="0"/>
            </w:pPr>
            <w:r w:rsidRPr="00264D5D">
              <w:t>Код и наименование ТОФК, в котором открыт л/с УБП, формирующего РР.</w:t>
            </w:r>
          </w:p>
          <w:p w14:paraId="3FFF9201" w14:textId="77777777" w:rsidR="00AD76D2" w:rsidRPr="00264D5D" w:rsidRDefault="00AD76D2" w:rsidP="00AD76D2">
            <w:pPr>
              <w:pStyle w:val="GOSTTablenorm"/>
              <w:widowControl w:val="0"/>
            </w:pPr>
            <w:r w:rsidRPr="00264D5D">
              <w:t>Блок заполняется в случае формирования РР ГРБС (РБС)/ ГАИФДБ (АИФДБ с полномочиями ГАИФДБ) ФБ.</w:t>
            </w:r>
          </w:p>
          <w:p w14:paraId="4A910110" w14:textId="77777777" w:rsidR="00AD76D2" w:rsidRPr="00264D5D" w:rsidRDefault="00AD76D2" w:rsidP="00AD76D2">
            <w:pPr>
              <w:pStyle w:val="GOSTTablenorm"/>
              <w:widowControl w:val="0"/>
            </w:pPr>
            <w:r w:rsidRPr="00264D5D">
              <w:t>Блок не заполняется при формировании РР ПБС, АИФДБ ФБ, а также в случае доведения до ПБС ФБ бюджетных данных за счет дополнительного бюджетного финансирования.</w:t>
            </w:r>
          </w:p>
          <w:p w14:paraId="37E28E57" w14:textId="3DAF2943" w:rsidR="00AD76D2" w:rsidRPr="00264D5D" w:rsidRDefault="00AD76D2" w:rsidP="00AD76D2">
            <w:pPr>
              <w:pStyle w:val="GOSTTablenorm"/>
              <w:widowControl w:val="0"/>
            </w:pPr>
            <w:r w:rsidRPr="00264D5D">
              <w:t xml:space="preserve">Состав элемента представлен в таблице </w:t>
            </w:r>
            <w:r w:rsidRPr="00264D5D">
              <w:rPr>
                <w:b/>
              </w:rPr>
              <w:fldChar w:fldCharType="begin"/>
            </w:r>
            <w:r w:rsidRPr="00264D5D">
              <w:rPr>
                <w:b/>
              </w:rPr>
              <w:instrText xml:space="preserve"> REF _Ref492310965 \h  \* MERGEFORMAT </w:instrText>
            </w:r>
            <w:r w:rsidRPr="00264D5D">
              <w:rPr>
                <w:b/>
              </w:rPr>
            </w:r>
            <w:r w:rsidRPr="00264D5D">
              <w:rPr>
                <w:b/>
              </w:rPr>
              <w:fldChar w:fldCharType="separate"/>
            </w:r>
            <w:r w:rsidR="008D797C" w:rsidRPr="008D797C">
              <w:rPr>
                <w:b/>
              </w:rPr>
              <w:t>29</w:t>
            </w:r>
            <w:r w:rsidRPr="00264D5D">
              <w:rPr>
                <w:b/>
              </w:rPr>
              <w:fldChar w:fldCharType="end"/>
            </w:r>
          </w:p>
        </w:tc>
      </w:tr>
      <w:tr w:rsidR="00AD76D2" w:rsidRPr="00264D5D" w14:paraId="2B376B6B" w14:textId="77777777" w:rsidTr="00AD76D2">
        <w:trPr>
          <w:cnfStyle w:val="000000100000" w:firstRow="0" w:lastRow="0" w:firstColumn="0" w:lastColumn="0" w:oddVBand="0" w:evenVBand="0" w:oddHBand="1" w:evenHBand="0" w:firstRowFirstColumn="0" w:firstRowLastColumn="0" w:lastRowFirstColumn="0" w:lastRowLastColumn="0"/>
        </w:trPr>
        <w:tc>
          <w:tcPr>
            <w:tcW w:w="1707" w:type="dxa"/>
          </w:tcPr>
          <w:p w14:paraId="6178D5E0" w14:textId="77777777" w:rsidR="00AD76D2" w:rsidRPr="00264D5D" w:rsidRDefault="00AD76D2" w:rsidP="00AD76D2">
            <w:pPr>
              <w:pStyle w:val="GOSTTablenorm"/>
              <w:widowControl w:val="0"/>
            </w:pPr>
            <w:r w:rsidRPr="00264D5D">
              <w:t>Код бюджета</w:t>
            </w:r>
          </w:p>
        </w:tc>
        <w:tc>
          <w:tcPr>
            <w:tcW w:w="1705" w:type="dxa"/>
          </w:tcPr>
          <w:p w14:paraId="73B1EC21" w14:textId="77777777" w:rsidR="00AD76D2" w:rsidRPr="00264D5D" w:rsidRDefault="00AD76D2" w:rsidP="00AD76D2">
            <w:pPr>
              <w:pStyle w:val="GOSTTablenorm"/>
              <w:widowControl w:val="0"/>
            </w:pPr>
            <w:r w:rsidRPr="00264D5D">
              <w:t>AP_CdBdg</w:t>
            </w:r>
          </w:p>
        </w:tc>
        <w:tc>
          <w:tcPr>
            <w:tcW w:w="568" w:type="dxa"/>
          </w:tcPr>
          <w:p w14:paraId="0BBCB490" w14:textId="77777777" w:rsidR="00AD76D2" w:rsidRPr="00264D5D" w:rsidRDefault="00AD76D2" w:rsidP="00AD76D2">
            <w:pPr>
              <w:pStyle w:val="GOSTTablenorm"/>
              <w:widowControl w:val="0"/>
              <w:jc w:val="center"/>
            </w:pPr>
            <w:r w:rsidRPr="00264D5D">
              <w:t>П</w:t>
            </w:r>
          </w:p>
        </w:tc>
        <w:tc>
          <w:tcPr>
            <w:tcW w:w="1137" w:type="dxa"/>
          </w:tcPr>
          <w:p w14:paraId="6167B47A" w14:textId="77777777" w:rsidR="00AD76D2" w:rsidRPr="00264D5D" w:rsidRDefault="00AD76D2" w:rsidP="00AD76D2">
            <w:pPr>
              <w:pStyle w:val="GOSTTablenorm"/>
              <w:widowControl w:val="0"/>
              <w:rPr>
                <w:lang w:val="en-US"/>
              </w:rPr>
            </w:pPr>
            <w:r w:rsidRPr="00264D5D">
              <w:rPr>
                <w:lang w:val="en-US"/>
              </w:rPr>
              <w:t>T(</w:t>
            </w:r>
            <w:r w:rsidRPr="00264D5D">
              <w:t>1-</w:t>
            </w:r>
            <w:r w:rsidRPr="00264D5D">
              <w:rPr>
                <w:lang w:val="en-US"/>
              </w:rPr>
              <w:t>8)</w:t>
            </w:r>
          </w:p>
        </w:tc>
        <w:tc>
          <w:tcPr>
            <w:tcW w:w="555" w:type="dxa"/>
          </w:tcPr>
          <w:p w14:paraId="6283A70D" w14:textId="77777777" w:rsidR="00AD76D2" w:rsidRPr="00264D5D" w:rsidRDefault="00AD76D2" w:rsidP="00AD76D2">
            <w:pPr>
              <w:pStyle w:val="GOSTTablenorm"/>
              <w:widowControl w:val="0"/>
              <w:jc w:val="center"/>
            </w:pPr>
            <w:r w:rsidRPr="00264D5D">
              <w:t>О</w:t>
            </w:r>
          </w:p>
        </w:tc>
        <w:tc>
          <w:tcPr>
            <w:tcW w:w="3984" w:type="dxa"/>
            <w:gridSpan w:val="2"/>
          </w:tcPr>
          <w:p w14:paraId="6FAC8BCA" w14:textId="77777777" w:rsidR="00AD76D2" w:rsidRPr="00264D5D" w:rsidRDefault="00AD76D2" w:rsidP="00AD76D2">
            <w:pPr>
              <w:pStyle w:val="GOSTTablenorm"/>
              <w:widowControl w:val="0"/>
            </w:pPr>
            <w:r w:rsidRPr="00264D5D">
              <w:t>Код бюджета в соответствии со справочником бюджетов.</w:t>
            </w:r>
          </w:p>
          <w:p w14:paraId="497BBE11" w14:textId="77777777" w:rsidR="00AD76D2" w:rsidRPr="00264D5D" w:rsidRDefault="00AD76D2" w:rsidP="00AD76D2">
            <w:pPr>
              <w:pStyle w:val="GOSTTablenorm"/>
              <w:widowControl w:val="0"/>
            </w:pPr>
            <w:r w:rsidRPr="00264D5D">
              <w:t>Указывается значение «99010001»</w:t>
            </w:r>
          </w:p>
        </w:tc>
      </w:tr>
      <w:tr w:rsidR="00AD76D2" w:rsidRPr="00264D5D" w14:paraId="2585E48F" w14:textId="77777777" w:rsidTr="00AD76D2">
        <w:trPr>
          <w:cnfStyle w:val="000000010000" w:firstRow="0" w:lastRow="0" w:firstColumn="0" w:lastColumn="0" w:oddVBand="0" w:evenVBand="0" w:oddHBand="0" w:evenHBand="1" w:firstRowFirstColumn="0" w:firstRowLastColumn="0" w:lastRowFirstColumn="0" w:lastRowLastColumn="0"/>
        </w:trPr>
        <w:tc>
          <w:tcPr>
            <w:tcW w:w="1707" w:type="dxa"/>
          </w:tcPr>
          <w:p w14:paraId="0820A82A" w14:textId="77777777" w:rsidR="00AD76D2" w:rsidRPr="00264D5D" w:rsidRDefault="00AD76D2" w:rsidP="00AD76D2">
            <w:pPr>
              <w:pStyle w:val="GOSTTablenorm"/>
              <w:widowControl w:val="0"/>
            </w:pPr>
            <w:r w:rsidRPr="00264D5D">
              <w:t>Наименование бюджета</w:t>
            </w:r>
          </w:p>
        </w:tc>
        <w:tc>
          <w:tcPr>
            <w:tcW w:w="1705" w:type="dxa"/>
          </w:tcPr>
          <w:p w14:paraId="67E000E3" w14:textId="77777777" w:rsidR="00AD76D2" w:rsidRPr="00264D5D" w:rsidRDefault="00AD76D2" w:rsidP="00AD76D2">
            <w:pPr>
              <w:pStyle w:val="GOSTTablenorm"/>
              <w:widowControl w:val="0"/>
            </w:pPr>
            <w:r w:rsidRPr="00264D5D">
              <w:t>AP_NAMEBUD</w:t>
            </w:r>
          </w:p>
        </w:tc>
        <w:tc>
          <w:tcPr>
            <w:tcW w:w="568" w:type="dxa"/>
          </w:tcPr>
          <w:p w14:paraId="178EF60F" w14:textId="77777777" w:rsidR="00AD76D2" w:rsidRPr="00264D5D" w:rsidRDefault="00AD76D2" w:rsidP="00AD76D2">
            <w:pPr>
              <w:pStyle w:val="GOSTTablenorm"/>
              <w:widowControl w:val="0"/>
              <w:jc w:val="center"/>
            </w:pPr>
            <w:r w:rsidRPr="00264D5D">
              <w:t>П</w:t>
            </w:r>
          </w:p>
        </w:tc>
        <w:tc>
          <w:tcPr>
            <w:tcW w:w="1137" w:type="dxa"/>
          </w:tcPr>
          <w:p w14:paraId="62825F02" w14:textId="77777777" w:rsidR="00AD76D2" w:rsidRPr="00264D5D" w:rsidRDefault="00AD76D2" w:rsidP="00AD76D2">
            <w:pPr>
              <w:pStyle w:val="GOSTTablenorm"/>
              <w:widowControl w:val="0"/>
              <w:rPr>
                <w:lang w:val="en-US"/>
              </w:rPr>
            </w:pPr>
            <w:r w:rsidRPr="00264D5D">
              <w:rPr>
                <w:lang w:val="en-US"/>
              </w:rPr>
              <w:t>T(1-512)</w:t>
            </w:r>
          </w:p>
        </w:tc>
        <w:tc>
          <w:tcPr>
            <w:tcW w:w="555" w:type="dxa"/>
          </w:tcPr>
          <w:p w14:paraId="3E83CD75" w14:textId="77777777" w:rsidR="00AD76D2" w:rsidRPr="00264D5D" w:rsidRDefault="00AD76D2" w:rsidP="00AD76D2">
            <w:pPr>
              <w:pStyle w:val="GOSTTablenorm"/>
              <w:widowControl w:val="0"/>
              <w:jc w:val="center"/>
            </w:pPr>
            <w:r w:rsidRPr="00264D5D">
              <w:t>О</w:t>
            </w:r>
          </w:p>
        </w:tc>
        <w:tc>
          <w:tcPr>
            <w:tcW w:w="3984" w:type="dxa"/>
            <w:gridSpan w:val="2"/>
          </w:tcPr>
          <w:p w14:paraId="616DD366" w14:textId="77777777" w:rsidR="00AD76D2" w:rsidRPr="00264D5D" w:rsidRDefault="00AD76D2" w:rsidP="00AD76D2">
            <w:pPr>
              <w:pStyle w:val="GOSTTablenorm"/>
              <w:widowControl w:val="0"/>
            </w:pPr>
            <w:r w:rsidRPr="00264D5D">
              <w:t>Наименование бюджета в соответствии со справочником бюджетов.</w:t>
            </w:r>
          </w:p>
          <w:p w14:paraId="4D53DE59" w14:textId="77777777" w:rsidR="00AD76D2" w:rsidRPr="00264D5D" w:rsidRDefault="00AD76D2" w:rsidP="00AD76D2">
            <w:pPr>
              <w:pStyle w:val="GOSTTablenorm"/>
              <w:widowControl w:val="0"/>
            </w:pPr>
            <w:r w:rsidRPr="00264D5D">
              <w:t>Указывается значение «Федеральный бюджет»</w:t>
            </w:r>
          </w:p>
        </w:tc>
      </w:tr>
      <w:tr w:rsidR="00AD76D2" w:rsidRPr="00264D5D" w14:paraId="28C40454" w14:textId="77777777" w:rsidTr="00AD76D2">
        <w:trPr>
          <w:cnfStyle w:val="000000100000" w:firstRow="0" w:lastRow="0" w:firstColumn="0" w:lastColumn="0" w:oddVBand="0" w:evenVBand="0" w:oddHBand="1" w:evenHBand="0" w:firstRowFirstColumn="0" w:firstRowLastColumn="0" w:lastRowFirstColumn="0" w:lastRowLastColumn="0"/>
        </w:trPr>
        <w:tc>
          <w:tcPr>
            <w:tcW w:w="1707" w:type="dxa"/>
          </w:tcPr>
          <w:p w14:paraId="1C9E0ED4" w14:textId="77777777" w:rsidR="00AD76D2" w:rsidRPr="00264D5D" w:rsidRDefault="00AD76D2" w:rsidP="00AD76D2">
            <w:pPr>
              <w:pStyle w:val="GOSTTablenorm"/>
              <w:widowControl w:val="0"/>
            </w:pPr>
            <w:r w:rsidRPr="00264D5D">
              <w:t>Финансовый орган</w:t>
            </w:r>
          </w:p>
        </w:tc>
        <w:tc>
          <w:tcPr>
            <w:tcW w:w="1705" w:type="dxa"/>
          </w:tcPr>
          <w:p w14:paraId="76AB9C6D" w14:textId="77777777" w:rsidR="00AD76D2" w:rsidRPr="00264D5D" w:rsidRDefault="00AD76D2" w:rsidP="00AD76D2">
            <w:pPr>
              <w:pStyle w:val="GOSTTablenorm"/>
              <w:widowControl w:val="0"/>
            </w:pPr>
            <w:r w:rsidRPr="00264D5D">
              <w:t>AP_FO</w:t>
            </w:r>
          </w:p>
        </w:tc>
        <w:tc>
          <w:tcPr>
            <w:tcW w:w="568" w:type="dxa"/>
          </w:tcPr>
          <w:p w14:paraId="309CF164" w14:textId="77777777" w:rsidR="00AD76D2" w:rsidRPr="00264D5D" w:rsidRDefault="00AD76D2" w:rsidP="00AD76D2">
            <w:pPr>
              <w:pStyle w:val="GOSTTablenorm"/>
              <w:widowControl w:val="0"/>
              <w:jc w:val="center"/>
            </w:pPr>
            <w:r w:rsidRPr="00264D5D">
              <w:t>С</w:t>
            </w:r>
          </w:p>
        </w:tc>
        <w:tc>
          <w:tcPr>
            <w:tcW w:w="1137" w:type="dxa"/>
          </w:tcPr>
          <w:p w14:paraId="0FE56378" w14:textId="77777777" w:rsidR="00AD76D2" w:rsidRPr="00264D5D" w:rsidRDefault="00AD76D2" w:rsidP="00AD76D2">
            <w:pPr>
              <w:pStyle w:val="GOSTTablenorm"/>
              <w:widowControl w:val="0"/>
            </w:pPr>
            <w:r w:rsidRPr="00264D5D">
              <w:t>tMSC_FnclInst2</w:t>
            </w:r>
          </w:p>
        </w:tc>
        <w:tc>
          <w:tcPr>
            <w:tcW w:w="555" w:type="dxa"/>
          </w:tcPr>
          <w:p w14:paraId="6E25B9C6" w14:textId="77777777" w:rsidR="00AD76D2" w:rsidRPr="00264D5D" w:rsidRDefault="00AD76D2" w:rsidP="00AD76D2">
            <w:pPr>
              <w:pStyle w:val="GOSTTablenorm"/>
              <w:widowControl w:val="0"/>
              <w:jc w:val="center"/>
            </w:pPr>
            <w:r w:rsidRPr="00264D5D">
              <w:t>Н</w:t>
            </w:r>
          </w:p>
        </w:tc>
        <w:tc>
          <w:tcPr>
            <w:tcW w:w="3984" w:type="dxa"/>
            <w:gridSpan w:val="2"/>
          </w:tcPr>
          <w:p w14:paraId="3854D033" w14:textId="5A42C877" w:rsidR="00AD76D2" w:rsidRPr="00264D5D" w:rsidRDefault="00AD76D2" w:rsidP="00AD76D2">
            <w:pPr>
              <w:pStyle w:val="GOSTTablenorm"/>
              <w:widowControl w:val="0"/>
            </w:pPr>
            <w:r w:rsidRPr="00264D5D">
              <w:t xml:space="preserve">Состав элемента представлен в таблице </w:t>
            </w:r>
            <w:r w:rsidRPr="00264D5D">
              <w:rPr>
                <w:b/>
              </w:rPr>
              <w:fldChar w:fldCharType="begin"/>
            </w:r>
            <w:r w:rsidRPr="00264D5D">
              <w:rPr>
                <w:b/>
              </w:rPr>
              <w:instrText xml:space="preserve"> REF _Ref492310983 \h  \* MERGEFORMAT </w:instrText>
            </w:r>
            <w:r w:rsidRPr="00264D5D">
              <w:rPr>
                <w:b/>
              </w:rPr>
            </w:r>
            <w:r w:rsidRPr="00264D5D">
              <w:rPr>
                <w:b/>
              </w:rPr>
              <w:fldChar w:fldCharType="separate"/>
            </w:r>
            <w:r w:rsidR="008D797C" w:rsidRPr="008D797C">
              <w:rPr>
                <w:b/>
              </w:rPr>
              <w:t>30</w:t>
            </w:r>
            <w:r w:rsidRPr="00264D5D">
              <w:rPr>
                <w:b/>
              </w:rPr>
              <w:fldChar w:fldCharType="end"/>
            </w:r>
          </w:p>
        </w:tc>
      </w:tr>
      <w:tr w:rsidR="00AD76D2" w:rsidRPr="00264D5D" w14:paraId="1D1057E0" w14:textId="77777777" w:rsidTr="00AD76D2">
        <w:trPr>
          <w:cnfStyle w:val="000000010000" w:firstRow="0" w:lastRow="0" w:firstColumn="0" w:lastColumn="0" w:oddVBand="0" w:evenVBand="0" w:oddHBand="0" w:evenHBand="1" w:firstRowFirstColumn="0" w:firstRowLastColumn="0" w:lastRowFirstColumn="0" w:lastRowLastColumn="0"/>
        </w:trPr>
        <w:tc>
          <w:tcPr>
            <w:tcW w:w="1707" w:type="dxa"/>
          </w:tcPr>
          <w:p w14:paraId="02E6CF27" w14:textId="77777777" w:rsidR="00AD76D2" w:rsidRPr="00264D5D" w:rsidRDefault="00AD76D2" w:rsidP="00AD76D2">
            <w:pPr>
              <w:pStyle w:val="GOSTTablenorm"/>
              <w:widowControl w:val="0"/>
              <w:rPr>
                <w:b/>
                <w:bCs/>
              </w:rPr>
            </w:pPr>
            <w:r w:rsidRPr="00264D5D">
              <w:t>Руководитель (уполномоченное лицо)</w:t>
            </w:r>
          </w:p>
        </w:tc>
        <w:tc>
          <w:tcPr>
            <w:tcW w:w="1705" w:type="dxa"/>
          </w:tcPr>
          <w:p w14:paraId="6BA5CD54" w14:textId="77777777" w:rsidR="00AD76D2" w:rsidRPr="00264D5D" w:rsidRDefault="00AD76D2" w:rsidP="00AD76D2">
            <w:pPr>
              <w:pStyle w:val="GOSTTablenorm"/>
              <w:widowControl w:val="0"/>
            </w:pPr>
            <w:r w:rsidRPr="00264D5D">
              <w:t>AP_APHead</w:t>
            </w:r>
          </w:p>
        </w:tc>
        <w:tc>
          <w:tcPr>
            <w:tcW w:w="568" w:type="dxa"/>
          </w:tcPr>
          <w:p w14:paraId="52C2F844" w14:textId="77777777" w:rsidR="00AD76D2" w:rsidRPr="00264D5D" w:rsidRDefault="00AD76D2" w:rsidP="00AD76D2">
            <w:pPr>
              <w:pStyle w:val="GOSTTablenorm"/>
              <w:widowControl w:val="0"/>
              <w:jc w:val="center"/>
            </w:pPr>
            <w:r w:rsidRPr="00264D5D">
              <w:t>С</w:t>
            </w:r>
          </w:p>
        </w:tc>
        <w:tc>
          <w:tcPr>
            <w:tcW w:w="1137" w:type="dxa"/>
          </w:tcPr>
          <w:p w14:paraId="1CBB3713" w14:textId="77777777" w:rsidR="00AD76D2" w:rsidRPr="00264D5D" w:rsidRDefault="00AD76D2" w:rsidP="00AD76D2">
            <w:pPr>
              <w:pStyle w:val="GOSTTablenorm"/>
              <w:widowControl w:val="0"/>
            </w:pPr>
            <w:r w:rsidRPr="00264D5D">
              <w:t>tMSC_Hd</w:t>
            </w:r>
          </w:p>
        </w:tc>
        <w:tc>
          <w:tcPr>
            <w:tcW w:w="555" w:type="dxa"/>
          </w:tcPr>
          <w:p w14:paraId="553C9CBB" w14:textId="77777777" w:rsidR="00AD76D2" w:rsidRPr="00264D5D" w:rsidRDefault="00AD76D2" w:rsidP="00AD76D2">
            <w:pPr>
              <w:pStyle w:val="GOSTTablenorm"/>
              <w:widowControl w:val="0"/>
              <w:jc w:val="center"/>
            </w:pPr>
            <w:r w:rsidRPr="00264D5D">
              <w:t>Н</w:t>
            </w:r>
          </w:p>
        </w:tc>
        <w:tc>
          <w:tcPr>
            <w:tcW w:w="3984" w:type="dxa"/>
            <w:gridSpan w:val="2"/>
          </w:tcPr>
          <w:p w14:paraId="1155A10E" w14:textId="4DD722A3" w:rsidR="00AD76D2" w:rsidRPr="00264D5D" w:rsidRDefault="00AD76D2" w:rsidP="00AD76D2">
            <w:pPr>
              <w:pStyle w:val="GOSTTablenorm"/>
              <w:widowControl w:val="0"/>
            </w:pPr>
            <w:r w:rsidRPr="00264D5D">
              <w:t xml:space="preserve">Состав элемента представлен в таблице </w:t>
            </w:r>
            <w:r w:rsidRPr="00264D5D">
              <w:rPr>
                <w:b/>
              </w:rPr>
              <w:fldChar w:fldCharType="begin"/>
            </w:r>
            <w:r w:rsidRPr="00264D5D">
              <w:rPr>
                <w:b/>
              </w:rPr>
              <w:instrText xml:space="preserve"> REF _Ref492310987 \h  \* MERGEFORMAT </w:instrText>
            </w:r>
            <w:r w:rsidRPr="00264D5D">
              <w:rPr>
                <w:b/>
              </w:rPr>
            </w:r>
            <w:r w:rsidRPr="00264D5D">
              <w:rPr>
                <w:b/>
              </w:rPr>
              <w:fldChar w:fldCharType="separate"/>
            </w:r>
            <w:r w:rsidR="008D797C" w:rsidRPr="008D797C">
              <w:rPr>
                <w:b/>
              </w:rPr>
              <w:t>31</w:t>
            </w:r>
            <w:r w:rsidRPr="00264D5D">
              <w:rPr>
                <w:b/>
              </w:rPr>
              <w:fldChar w:fldCharType="end"/>
            </w:r>
          </w:p>
        </w:tc>
      </w:tr>
      <w:tr w:rsidR="00AD76D2" w:rsidRPr="00264D5D" w14:paraId="78387E4F" w14:textId="77777777" w:rsidTr="00AD76D2">
        <w:trPr>
          <w:cnfStyle w:val="000000100000" w:firstRow="0" w:lastRow="0" w:firstColumn="0" w:lastColumn="0" w:oddVBand="0" w:evenVBand="0" w:oddHBand="1" w:evenHBand="0" w:firstRowFirstColumn="0" w:firstRowLastColumn="0" w:lastRowFirstColumn="0" w:lastRowLastColumn="0"/>
        </w:trPr>
        <w:tc>
          <w:tcPr>
            <w:tcW w:w="1707" w:type="dxa"/>
          </w:tcPr>
          <w:p w14:paraId="1707F249" w14:textId="77777777" w:rsidR="00AD76D2" w:rsidRPr="00264D5D" w:rsidRDefault="00AD76D2" w:rsidP="00AD76D2">
            <w:pPr>
              <w:pStyle w:val="GOSTTablenorm"/>
              <w:widowControl w:val="0"/>
            </w:pPr>
            <w:r w:rsidRPr="00264D5D">
              <w:t>Дата подписи руководителя (уполномоченного лица)</w:t>
            </w:r>
          </w:p>
        </w:tc>
        <w:tc>
          <w:tcPr>
            <w:tcW w:w="1705" w:type="dxa"/>
          </w:tcPr>
          <w:p w14:paraId="26E6A00E" w14:textId="77777777" w:rsidR="00AD76D2" w:rsidRPr="00264D5D" w:rsidRDefault="00AD76D2" w:rsidP="00AD76D2">
            <w:pPr>
              <w:pStyle w:val="GOSTTablenorm"/>
              <w:widowControl w:val="0"/>
            </w:pPr>
            <w:r w:rsidRPr="00264D5D">
              <w:t>AP_DATESIGNRR</w:t>
            </w:r>
          </w:p>
        </w:tc>
        <w:tc>
          <w:tcPr>
            <w:tcW w:w="568" w:type="dxa"/>
          </w:tcPr>
          <w:p w14:paraId="78970223" w14:textId="77777777" w:rsidR="00AD76D2" w:rsidRPr="00264D5D" w:rsidRDefault="00AD76D2" w:rsidP="00AD76D2">
            <w:pPr>
              <w:pStyle w:val="GOSTTablenorm"/>
              <w:widowControl w:val="0"/>
              <w:jc w:val="center"/>
            </w:pPr>
            <w:r w:rsidRPr="00264D5D">
              <w:t>П</w:t>
            </w:r>
          </w:p>
        </w:tc>
        <w:tc>
          <w:tcPr>
            <w:tcW w:w="1137" w:type="dxa"/>
          </w:tcPr>
          <w:p w14:paraId="5439FCBD" w14:textId="77777777" w:rsidR="00AD76D2" w:rsidRPr="00264D5D" w:rsidRDefault="00AD76D2" w:rsidP="00AD76D2">
            <w:pPr>
              <w:pStyle w:val="GOSTTablenorm"/>
              <w:widowControl w:val="0"/>
              <w:rPr>
                <w:lang w:val="en-US"/>
              </w:rPr>
            </w:pPr>
            <w:r w:rsidRPr="00264D5D">
              <w:t>Date</w:t>
            </w:r>
          </w:p>
        </w:tc>
        <w:tc>
          <w:tcPr>
            <w:tcW w:w="555" w:type="dxa"/>
          </w:tcPr>
          <w:p w14:paraId="4FA1BA99" w14:textId="77777777" w:rsidR="00AD76D2" w:rsidRPr="00264D5D" w:rsidRDefault="00AD76D2" w:rsidP="00AD76D2">
            <w:pPr>
              <w:pStyle w:val="GOSTTablenorm"/>
              <w:widowControl w:val="0"/>
              <w:jc w:val="center"/>
            </w:pPr>
            <w:r w:rsidRPr="00264D5D">
              <w:t>Н</w:t>
            </w:r>
          </w:p>
        </w:tc>
        <w:tc>
          <w:tcPr>
            <w:tcW w:w="3984" w:type="dxa"/>
            <w:gridSpan w:val="2"/>
          </w:tcPr>
          <w:p w14:paraId="0A80548E" w14:textId="77777777" w:rsidR="00AD76D2" w:rsidRPr="00264D5D" w:rsidRDefault="00AD76D2" w:rsidP="00AD76D2">
            <w:pPr>
              <w:pStyle w:val="GOSTTablenorm"/>
              <w:widowControl w:val="0"/>
            </w:pPr>
            <w:r w:rsidRPr="00264D5D">
              <w:t>Указывается дата подписи руководителя (уполномоченного лица)</w:t>
            </w:r>
          </w:p>
        </w:tc>
      </w:tr>
      <w:tr w:rsidR="00AD76D2" w:rsidRPr="00264D5D" w14:paraId="4F2BC87D" w14:textId="77777777" w:rsidTr="00AD76D2">
        <w:trPr>
          <w:cnfStyle w:val="000000010000" w:firstRow="0" w:lastRow="0" w:firstColumn="0" w:lastColumn="0" w:oddVBand="0" w:evenVBand="0" w:oddHBand="0" w:evenHBand="1" w:firstRowFirstColumn="0" w:firstRowLastColumn="0" w:lastRowFirstColumn="0" w:lastRowLastColumn="0"/>
        </w:trPr>
        <w:tc>
          <w:tcPr>
            <w:tcW w:w="1707" w:type="dxa"/>
          </w:tcPr>
          <w:p w14:paraId="2A529BC7" w14:textId="77777777" w:rsidR="00AD76D2" w:rsidRPr="00264D5D" w:rsidRDefault="00AD76D2" w:rsidP="00AD76D2">
            <w:pPr>
              <w:pStyle w:val="GOSTTablenorm"/>
              <w:widowControl w:val="0"/>
            </w:pPr>
            <w:r w:rsidRPr="00264D5D">
              <w:t>Исполнитель</w:t>
            </w:r>
          </w:p>
        </w:tc>
        <w:tc>
          <w:tcPr>
            <w:tcW w:w="1705" w:type="dxa"/>
          </w:tcPr>
          <w:p w14:paraId="3E2EFD88" w14:textId="77777777" w:rsidR="00AD76D2" w:rsidRPr="00264D5D" w:rsidRDefault="00AD76D2" w:rsidP="00AD76D2">
            <w:pPr>
              <w:pStyle w:val="GOSTTablenorm"/>
              <w:widowControl w:val="0"/>
            </w:pPr>
            <w:r w:rsidRPr="00264D5D">
              <w:t>AP_RespEx</w:t>
            </w:r>
          </w:p>
        </w:tc>
        <w:tc>
          <w:tcPr>
            <w:tcW w:w="568" w:type="dxa"/>
          </w:tcPr>
          <w:p w14:paraId="2BC114E3" w14:textId="77777777" w:rsidR="00AD76D2" w:rsidRPr="00264D5D" w:rsidRDefault="00AD76D2" w:rsidP="00AD76D2">
            <w:pPr>
              <w:pStyle w:val="GOSTTablenorm"/>
              <w:widowControl w:val="0"/>
              <w:jc w:val="center"/>
            </w:pPr>
            <w:r w:rsidRPr="00264D5D">
              <w:t>С</w:t>
            </w:r>
          </w:p>
        </w:tc>
        <w:tc>
          <w:tcPr>
            <w:tcW w:w="1137" w:type="dxa"/>
          </w:tcPr>
          <w:p w14:paraId="294B1112" w14:textId="77777777" w:rsidR="00AD76D2" w:rsidRPr="00264D5D" w:rsidRDefault="00AD76D2" w:rsidP="00AD76D2">
            <w:pPr>
              <w:pStyle w:val="GOSTTablenorm"/>
              <w:widowControl w:val="0"/>
            </w:pPr>
            <w:r w:rsidRPr="00264D5D">
              <w:t>tMSC_RspnExctr</w:t>
            </w:r>
          </w:p>
        </w:tc>
        <w:tc>
          <w:tcPr>
            <w:tcW w:w="555" w:type="dxa"/>
          </w:tcPr>
          <w:p w14:paraId="3FDAB9C1" w14:textId="77777777" w:rsidR="00AD76D2" w:rsidRPr="00264D5D" w:rsidRDefault="00AD76D2" w:rsidP="00AD76D2">
            <w:pPr>
              <w:pStyle w:val="GOSTTablenorm"/>
              <w:widowControl w:val="0"/>
              <w:jc w:val="center"/>
            </w:pPr>
            <w:r w:rsidRPr="00264D5D">
              <w:t>О</w:t>
            </w:r>
          </w:p>
        </w:tc>
        <w:tc>
          <w:tcPr>
            <w:tcW w:w="3984" w:type="dxa"/>
            <w:gridSpan w:val="2"/>
          </w:tcPr>
          <w:p w14:paraId="4514EF43" w14:textId="3601C259" w:rsidR="00AD76D2" w:rsidRPr="00264D5D" w:rsidRDefault="00AD76D2" w:rsidP="00AD76D2">
            <w:pPr>
              <w:pStyle w:val="GOSTTablenorm"/>
              <w:widowControl w:val="0"/>
            </w:pPr>
            <w:r w:rsidRPr="00264D5D">
              <w:t xml:space="preserve">Состав элемента представлен в таблице </w:t>
            </w:r>
            <w:r w:rsidRPr="00264D5D">
              <w:rPr>
                <w:b/>
              </w:rPr>
              <w:fldChar w:fldCharType="begin"/>
            </w:r>
            <w:r w:rsidRPr="00264D5D">
              <w:rPr>
                <w:b/>
              </w:rPr>
              <w:instrText xml:space="preserve"> REF _Ref492310991 \h  \* MERGEFORMAT </w:instrText>
            </w:r>
            <w:r w:rsidRPr="00264D5D">
              <w:rPr>
                <w:b/>
              </w:rPr>
            </w:r>
            <w:r w:rsidRPr="00264D5D">
              <w:rPr>
                <w:b/>
              </w:rPr>
              <w:fldChar w:fldCharType="separate"/>
            </w:r>
            <w:r w:rsidR="008D797C" w:rsidRPr="008D797C">
              <w:rPr>
                <w:b/>
              </w:rPr>
              <w:t>32</w:t>
            </w:r>
            <w:r w:rsidRPr="00264D5D">
              <w:rPr>
                <w:b/>
              </w:rPr>
              <w:fldChar w:fldCharType="end"/>
            </w:r>
          </w:p>
        </w:tc>
      </w:tr>
      <w:tr w:rsidR="00AD76D2" w:rsidRPr="00264D5D" w14:paraId="06326F6C" w14:textId="77777777" w:rsidTr="00AD76D2">
        <w:trPr>
          <w:cnfStyle w:val="000000100000" w:firstRow="0" w:lastRow="0" w:firstColumn="0" w:lastColumn="0" w:oddVBand="0" w:evenVBand="0" w:oddHBand="1" w:evenHBand="0" w:firstRowFirstColumn="0" w:firstRowLastColumn="0" w:lastRowFirstColumn="0" w:lastRowLastColumn="0"/>
        </w:trPr>
        <w:tc>
          <w:tcPr>
            <w:tcW w:w="1707" w:type="dxa"/>
          </w:tcPr>
          <w:p w14:paraId="5DB73382" w14:textId="77777777" w:rsidR="00AD76D2" w:rsidRPr="00264D5D" w:rsidRDefault="00AD76D2" w:rsidP="00AD76D2">
            <w:pPr>
              <w:pStyle w:val="GOSTTablenorm"/>
              <w:widowControl w:val="0"/>
            </w:pPr>
            <w:r w:rsidRPr="00264D5D">
              <w:t>Дата подписи исполнителя</w:t>
            </w:r>
          </w:p>
        </w:tc>
        <w:tc>
          <w:tcPr>
            <w:tcW w:w="1705" w:type="dxa"/>
          </w:tcPr>
          <w:p w14:paraId="583FE2BC" w14:textId="77777777" w:rsidR="00AD76D2" w:rsidRPr="00264D5D" w:rsidRDefault="00AD76D2" w:rsidP="00AD76D2">
            <w:pPr>
              <w:pStyle w:val="GOSTTablenorm"/>
              <w:widowControl w:val="0"/>
            </w:pPr>
            <w:r w:rsidRPr="00264D5D">
              <w:t>AP_SIGNINGDATEISP</w:t>
            </w:r>
          </w:p>
        </w:tc>
        <w:tc>
          <w:tcPr>
            <w:tcW w:w="568" w:type="dxa"/>
          </w:tcPr>
          <w:p w14:paraId="25EA1E57" w14:textId="77777777" w:rsidR="00AD76D2" w:rsidRPr="00264D5D" w:rsidRDefault="00AD76D2" w:rsidP="00AD76D2">
            <w:pPr>
              <w:pStyle w:val="GOSTTablenorm"/>
              <w:widowControl w:val="0"/>
              <w:jc w:val="center"/>
            </w:pPr>
            <w:r w:rsidRPr="00264D5D">
              <w:t>П</w:t>
            </w:r>
          </w:p>
        </w:tc>
        <w:tc>
          <w:tcPr>
            <w:tcW w:w="1137" w:type="dxa"/>
          </w:tcPr>
          <w:p w14:paraId="219AB37E" w14:textId="77777777" w:rsidR="00AD76D2" w:rsidRPr="00264D5D" w:rsidRDefault="00AD76D2" w:rsidP="00AD76D2">
            <w:pPr>
              <w:pStyle w:val="GOSTTablenorm"/>
              <w:widowControl w:val="0"/>
              <w:rPr>
                <w:lang w:val="en-US"/>
              </w:rPr>
            </w:pPr>
            <w:r w:rsidRPr="00264D5D">
              <w:t>Date</w:t>
            </w:r>
          </w:p>
        </w:tc>
        <w:tc>
          <w:tcPr>
            <w:tcW w:w="555" w:type="dxa"/>
          </w:tcPr>
          <w:p w14:paraId="46E4B1FA" w14:textId="77777777" w:rsidR="00AD76D2" w:rsidRPr="00264D5D" w:rsidRDefault="00AD76D2" w:rsidP="00AD76D2">
            <w:pPr>
              <w:pStyle w:val="GOSTTablenorm"/>
              <w:widowControl w:val="0"/>
              <w:jc w:val="center"/>
            </w:pPr>
            <w:r w:rsidRPr="00264D5D">
              <w:t>О</w:t>
            </w:r>
          </w:p>
        </w:tc>
        <w:tc>
          <w:tcPr>
            <w:tcW w:w="3984" w:type="dxa"/>
            <w:gridSpan w:val="2"/>
          </w:tcPr>
          <w:p w14:paraId="4E8CAF6B" w14:textId="77777777" w:rsidR="00AD76D2" w:rsidRPr="00264D5D" w:rsidRDefault="00AD76D2" w:rsidP="00AD76D2">
            <w:pPr>
              <w:pStyle w:val="GOSTTablenorm"/>
              <w:widowControl w:val="0"/>
            </w:pPr>
            <w:r w:rsidRPr="00264D5D">
              <w:t>Указывается дата подписи исполнителя</w:t>
            </w:r>
          </w:p>
        </w:tc>
      </w:tr>
      <w:tr w:rsidR="00AD76D2" w:rsidRPr="00264D5D" w14:paraId="260997F5" w14:textId="77777777" w:rsidTr="00AD76D2">
        <w:trPr>
          <w:cnfStyle w:val="000000010000" w:firstRow="0" w:lastRow="0" w:firstColumn="0" w:lastColumn="0" w:oddVBand="0" w:evenVBand="0" w:oddHBand="0" w:evenHBand="1" w:firstRowFirstColumn="0" w:firstRowLastColumn="0" w:lastRowFirstColumn="0" w:lastRowLastColumn="0"/>
        </w:trPr>
        <w:tc>
          <w:tcPr>
            <w:tcW w:w="9656" w:type="dxa"/>
            <w:gridSpan w:val="7"/>
          </w:tcPr>
          <w:p w14:paraId="57E923A7" w14:textId="77777777" w:rsidR="00AD76D2" w:rsidRPr="00264D5D" w:rsidRDefault="00AD76D2" w:rsidP="00AD76D2">
            <w:pPr>
              <w:pStyle w:val="GOSTTablenorm"/>
              <w:widowControl w:val="0"/>
            </w:pPr>
            <w:r w:rsidRPr="00264D5D">
              <w:rPr>
                <w:b/>
              </w:rPr>
              <w:t>Информация о получателе РР</w:t>
            </w:r>
          </w:p>
        </w:tc>
      </w:tr>
      <w:tr w:rsidR="00AD76D2" w:rsidRPr="00264D5D" w14:paraId="7B89CEB4" w14:textId="77777777" w:rsidTr="00AD76D2">
        <w:trPr>
          <w:cnfStyle w:val="000000100000" w:firstRow="0" w:lastRow="0" w:firstColumn="0" w:lastColumn="0" w:oddVBand="0" w:evenVBand="0" w:oddHBand="1" w:evenHBand="0" w:firstRowFirstColumn="0" w:firstRowLastColumn="0" w:lastRowFirstColumn="0" w:lastRowLastColumn="0"/>
        </w:trPr>
        <w:tc>
          <w:tcPr>
            <w:tcW w:w="1707" w:type="dxa"/>
          </w:tcPr>
          <w:p w14:paraId="5917671F" w14:textId="77777777" w:rsidR="00AD76D2" w:rsidRPr="00264D5D" w:rsidRDefault="00AD76D2" w:rsidP="00AD76D2">
            <w:pPr>
              <w:pStyle w:val="GOSTTablenorm"/>
              <w:widowControl w:val="0"/>
            </w:pPr>
            <w:r w:rsidRPr="00264D5D">
              <w:t xml:space="preserve">Код и </w:t>
            </w:r>
            <w:r w:rsidRPr="00264D5D">
              <w:lastRenderedPageBreak/>
              <w:t>наименование УБП (Кому)</w:t>
            </w:r>
          </w:p>
        </w:tc>
        <w:tc>
          <w:tcPr>
            <w:tcW w:w="1705" w:type="dxa"/>
          </w:tcPr>
          <w:p w14:paraId="71DBF749" w14:textId="77777777" w:rsidR="00AD76D2" w:rsidRPr="00264D5D" w:rsidRDefault="00AD76D2" w:rsidP="00AD76D2">
            <w:pPr>
              <w:pStyle w:val="GOSTTablenorm"/>
              <w:widowControl w:val="0"/>
            </w:pPr>
            <w:r w:rsidRPr="00264D5D">
              <w:lastRenderedPageBreak/>
              <w:t>APRC_MSC_PB</w:t>
            </w:r>
            <w:r w:rsidRPr="00264D5D">
              <w:lastRenderedPageBreak/>
              <w:t>S_UBP</w:t>
            </w:r>
          </w:p>
        </w:tc>
        <w:tc>
          <w:tcPr>
            <w:tcW w:w="568" w:type="dxa"/>
          </w:tcPr>
          <w:p w14:paraId="1EAAA25C" w14:textId="77777777" w:rsidR="00AD76D2" w:rsidRPr="00264D5D" w:rsidRDefault="00AD76D2" w:rsidP="00AD76D2">
            <w:pPr>
              <w:pStyle w:val="GOSTTablenorm"/>
              <w:widowControl w:val="0"/>
              <w:jc w:val="center"/>
            </w:pPr>
            <w:r w:rsidRPr="00264D5D">
              <w:lastRenderedPageBreak/>
              <w:t>С</w:t>
            </w:r>
          </w:p>
        </w:tc>
        <w:tc>
          <w:tcPr>
            <w:tcW w:w="1137" w:type="dxa"/>
          </w:tcPr>
          <w:p w14:paraId="13235A33" w14:textId="77777777" w:rsidR="00AD76D2" w:rsidRPr="00264D5D" w:rsidRDefault="00AD76D2" w:rsidP="00AD76D2">
            <w:pPr>
              <w:pStyle w:val="GOSTTablenorm"/>
              <w:widowControl w:val="0"/>
            </w:pPr>
            <w:r w:rsidRPr="00264D5D">
              <w:t>tMSC_PB</w:t>
            </w:r>
            <w:r w:rsidRPr="00264D5D">
              <w:lastRenderedPageBreak/>
              <w:t>S_UBP1</w:t>
            </w:r>
          </w:p>
        </w:tc>
        <w:tc>
          <w:tcPr>
            <w:tcW w:w="555" w:type="dxa"/>
          </w:tcPr>
          <w:p w14:paraId="4E480189" w14:textId="77777777" w:rsidR="00AD76D2" w:rsidRPr="00264D5D" w:rsidRDefault="00AD76D2" w:rsidP="00AD76D2">
            <w:pPr>
              <w:pStyle w:val="GOSTTablenorm"/>
              <w:widowControl w:val="0"/>
              <w:jc w:val="center"/>
            </w:pPr>
            <w:r w:rsidRPr="00264D5D">
              <w:lastRenderedPageBreak/>
              <w:t>О</w:t>
            </w:r>
          </w:p>
        </w:tc>
        <w:tc>
          <w:tcPr>
            <w:tcW w:w="3984" w:type="dxa"/>
            <w:gridSpan w:val="2"/>
          </w:tcPr>
          <w:p w14:paraId="3B6FC8A6" w14:textId="77777777" w:rsidR="00AD76D2" w:rsidRPr="00264D5D" w:rsidRDefault="00AD76D2" w:rsidP="00AD76D2">
            <w:pPr>
              <w:pStyle w:val="GOSTTablenorm"/>
              <w:widowControl w:val="0"/>
            </w:pPr>
            <w:r w:rsidRPr="00264D5D">
              <w:t xml:space="preserve">Код и наименование УБП получателя </w:t>
            </w:r>
            <w:r w:rsidRPr="00264D5D">
              <w:lastRenderedPageBreak/>
              <w:t>РР.</w:t>
            </w:r>
          </w:p>
          <w:p w14:paraId="4A716704" w14:textId="2FDF4689" w:rsidR="00AD76D2" w:rsidRPr="00264D5D" w:rsidRDefault="00AD76D2" w:rsidP="00AD76D2">
            <w:pPr>
              <w:pStyle w:val="GOSTTablenorm"/>
              <w:widowControl w:val="0"/>
            </w:pPr>
            <w:r w:rsidRPr="00264D5D">
              <w:t xml:space="preserve">Состав элемента представлен в таблице </w:t>
            </w:r>
            <w:r w:rsidRPr="00264D5D">
              <w:rPr>
                <w:b/>
              </w:rPr>
              <w:fldChar w:fldCharType="begin"/>
            </w:r>
            <w:r w:rsidRPr="00264D5D">
              <w:rPr>
                <w:b/>
              </w:rPr>
              <w:instrText xml:space="preserve"> REF _Ref492310937 \h  \* MERGEFORMAT </w:instrText>
            </w:r>
            <w:r w:rsidRPr="00264D5D">
              <w:rPr>
                <w:b/>
              </w:rPr>
            </w:r>
            <w:r w:rsidRPr="00264D5D">
              <w:rPr>
                <w:b/>
              </w:rPr>
              <w:fldChar w:fldCharType="separate"/>
            </w:r>
            <w:r w:rsidR="008D797C" w:rsidRPr="008D797C">
              <w:rPr>
                <w:b/>
              </w:rPr>
              <w:t>27</w:t>
            </w:r>
            <w:r w:rsidRPr="00264D5D">
              <w:rPr>
                <w:b/>
              </w:rPr>
              <w:fldChar w:fldCharType="end"/>
            </w:r>
          </w:p>
        </w:tc>
      </w:tr>
      <w:tr w:rsidR="00AD76D2" w:rsidRPr="00264D5D" w14:paraId="4B096BBC" w14:textId="77777777" w:rsidTr="00AD76D2">
        <w:trPr>
          <w:cnfStyle w:val="000000010000" w:firstRow="0" w:lastRow="0" w:firstColumn="0" w:lastColumn="0" w:oddVBand="0" w:evenVBand="0" w:oddHBand="0" w:evenHBand="1" w:firstRowFirstColumn="0" w:firstRowLastColumn="0" w:lastRowFirstColumn="0" w:lastRowLastColumn="0"/>
        </w:trPr>
        <w:tc>
          <w:tcPr>
            <w:tcW w:w="1707" w:type="dxa"/>
          </w:tcPr>
          <w:p w14:paraId="70CBCFD1" w14:textId="77777777" w:rsidR="00AD76D2" w:rsidRPr="00264D5D" w:rsidRDefault="00AD76D2" w:rsidP="00AD76D2">
            <w:pPr>
              <w:pStyle w:val="GOSTTablenorm"/>
              <w:widowControl w:val="0"/>
            </w:pPr>
            <w:r w:rsidRPr="00264D5D">
              <w:lastRenderedPageBreak/>
              <w:t xml:space="preserve">Номер лицевого счета (Кому) </w:t>
            </w:r>
          </w:p>
        </w:tc>
        <w:tc>
          <w:tcPr>
            <w:tcW w:w="1705" w:type="dxa"/>
          </w:tcPr>
          <w:p w14:paraId="55F06BA7" w14:textId="77777777" w:rsidR="00AD76D2" w:rsidRPr="00264D5D" w:rsidRDefault="00AD76D2" w:rsidP="00AD76D2">
            <w:pPr>
              <w:pStyle w:val="GOSTTablenorm"/>
              <w:widowControl w:val="0"/>
            </w:pPr>
            <w:r w:rsidRPr="00264D5D">
              <w:t>APRC_AcntNmUBP</w:t>
            </w:r>
          </w:p>
        </w:tc>
        <w:tc>
          <w:tcPr>
            <w:tcW w:w="568" w:type="dxa"/>
          </w:tcPr>
          <w:p w14:paraId="035EC0B6" w14:textId="77777777" w:rsidR="00AD76D2" w:rsidRPr="00264D5D" w:rsidRDefault="00AD76D2" w:rsidP="00AD76D2">
            <w:pPr>
              <w:pStyle w:val="GOSTTablenorm"/>
              <w:widowControl w:val="0"/>
              <w:jc w:val="center"/>
            </w:pPr>
            <w:r w:rsidRPr="00264D5D">
              <w:t>П</w:t>
            </w:r>
          </w:p>
        </w:tc>
        <w:tc>
          <w:tcPr>
            <w:tcW w:w="1137" w:type="dxa"/>
          </w:tcPr>
          <w:p w14:paraId="6513ADD4" w14:textId="77777777" w:rsidR="00AD76D2" w:rsidRPr="00264D5D" w:rsidRDefault="00AD76D2" w:rsidP="00AD76D2">
            <w:pPr>
              <w:pStyle w:val="GOSTTablenorm"/>
              <w:widowControl w:val="0"/>
              <w:rPr>
                <w:lang w:val="en-US"/>
              </w:rPr>
            </w:pPr>
            <w:r w:rsidRPr="00264D5D">
              <w:rPr>
                <w:lang w:val="en-US"/>
              </w:rPr>
              <w:t>T(</w:t>
            </w:r>
            <w:r w:rsidRPr="00264D5D">
              <w:t>1-</w:t>
            </w:r>
            <w:r w:rsidRPr="00264D5D">
              <w:rPr>
                <w:lang w:val="en-US"/>
              </w:rPr>
              <w:t>11)</w:t>
            </w:r>
          </w:p>
        </w:tc>
        <w:tc>
          <w:tcPr>
            <w:tcW w:w="555" w:type="dxa"/>
          </w:tcPr>
          <w:p w14:paraId="3F008232" w14:textId="77777777" w:rsidR="00AD76D2" w:rsidRPr="00264D5D" w:rsidRDefault="00AD76D2" w:rsidP="00AD76D2">
            <w:pPr>
              <w:pStyle w:val="GOSTTablenorm"/>
              <w:widowControl w:val="0"/>
              <w:jc w:val="center"/>
            </w:pPr>
            <w:r w:rsidRPr="00264D5D">
              <w:t>О</w:t>
            </w:r>
          </w:p>
        </w:tc>
        <w:tc>
          <w:tcPr>
            <w:tcW w:w="3984" w:type="dxa"/>
            <w:gridSpan w:val="2"/>
          </w:tcPr>
          <w:p w14:paraId="118F8C63" w14:textId="77777777" w:rsidR="00AD76D2" w:rsidRPr="00264D5D" w:rsidRDefault="00AD76D2" w:rsidP="00AD76D2">
            <w:pPr>
              <w:widowControl w:val="0"/>
              <w:spacing w:before="60" w:after="60"/>
            </w:pPr>
            <w:r w:rsidRPr="00264D5D">
              <w:rPr>
                <w:sz w:val="22"/>
              </w:rPr>
              <w:t>Номер лицевого счета УБП получателя РР</w:t>
            </w:r>
          </w:p>
        </w:tc>
      </w:tr>
      <w:tr w:rsidR="00AD76D2" w:rsidRPr="00264D5D" w14:paraId="7B523E12" w14:textId="77777777" w:rsidTr="00AD76D2">
        <w:trPr>
          <w:cnfStyle w:val="000000100000" w:firstRow="0" w:lastRow="0" w:firstColumn="0" w:lastColumn="0" w:oddVBand="0" w:evenVBand="0" w:oddHBand="1" w:evenHBand="0" w:firstRowFirstColumn="0" w:firstRowLastColumn="0" w:lastRowFirstColumn="0" w:lastRowLastColumn="0"/>
        </w:trPr>
        <w:tc>
          <w:tcPr>
            <w:tcW w:w="1707" w:type="dxa"/>
          </w:tcPr>
          <w:p w14:paraId="4376E6DC" w14:textId="77777777" w:rsidR="00AD76D2" w:rsidRPr="00264D5D" w:rsidRDefault="00AD76D2" w:rsidP="00AD76D2">
            <w:pPr>
              <w:pStyle w:val="GOSTTablenorm"/>
              <w:widowControl w:val="0"/>
            </w:pPr>
            <w:r w:rsidRPr="00264D5D">
              <w:t>Код и наименование ТОФК (Куда)</w:t>
            </w:r>
          </w:p>
        </w:tc>
        <w:tc>
          <w:tcPr>
            <w:tcW w:w="1705" w:type="dxa"/>
          </w:tcPr>
          <w:p w14:paraId="43835E6A" w14:textId="77777777" w:rsidR="00AD76D2" w:rsidRPr="00264D5D" w:rsidRDefault="00AD76D2" w:rsidP="00AD76D2">
            <w:pPr>
              <w:pStyle w:val="GOSTTablenorm"/>
              <w:widowControl w:val="0"/>
            </w:pPr>
            <w:r w:rsidRPr="00264D5D">
              <w:t>APRC_MSC_OrFK</w:t>
            </w:r>
          </w:p>
        </w:tc>
        <w:tc>
          <w:tcPr>
            <w:tcW w:w="568" w:type="dxa"/>
          </w:tcPr>
          <w:p w14:paraId="21C9CFD7" w14:textId="77777777" w:rsidR="00AD76D2" w:rsidRPr="00264D5D" w:rsidRDefault="00AD76D2" w:rsidP="00AD76D2">
            <w:pPr>
              <w:pStyle w:val="GOSTTablenorm"/>
              <w:widowControl w:val="0"/>
              <w:jc w:val="center"/>
            </w:pPr>
            <w:r w:rsidRPr="00264D5D">
              <w:t>С</w:t>
            </w:r>
          </w:p>
        </w:tc>
        <w:tc>
          <w:tcPr>
            <w:tcW w:w="1137" w:type="dxa"/>
          </w:tcPr>
          <w:p w14:paraId="563741F2" w14:textId="77777777" w:rsidR="00AD76D2" w:rsidRPr="00264D5D" w:rsidRDefault="00AD76D2" w:rsidP="00AD76D2">
            <w:pPr>
              <w:pStyle w:val="GOSTTablenorm"/>
              <w:widowControl w:val="0"/>
            </w:pPr>
            <w:r w:rsidRPr="00264D5D">
              <w:t>tMSC_OrFK</w:t>
            </w:r>
          </w:p>
        </w:tc>
        <w:tc>
          <w:tcPr>
            <w:tcW w:w="555" w:type="dxa"/>
          </w:tcPr>
          <w:p w14:paraId="20E9CEC3" w14:textId="77777777" w:rsidR="00AD76D2" w:rsidRPr="00264D5D" w:rsidRDefault="00AD76D2" w:rsidP="00AD76D2">
            <w:pPr>
              <w:pStyle w:val="GOSTTablenorm"/>
              <w:widowControl w:val="0"/>
              <w:jc w:val="center"/>
            </w:pPr>
            <w:r w:rsidRPr="00264D5D">
              <w:t>Н</w:t>
            </w:r>
          </w:p>
        </w:tc>
        <w:tc>
          <w:tcPr>
            <w:tcW w:w="3984" w:type="dxa"/>
            <w:gridSpan w:val="2"/>
          </w:tcPr>
          <w:p w14:paraId="44ADCD41" w14:textId="77777777" w:rsidR="00AD76D2" w:rsidRPr="00264D5D" w:rsidRDefault="00AD76D2" w:rsidP="00AD76D2">
            <w:pPr>
              <w:pStyle w:val="GOSTTablenorm"/>
              <w:widowControl w:val="0"/>
            </w:pPr>
            <w:r w:rsidRPr="00264D5D">
              <w:t>Блок заполняется в следующих случаях:</w:t>
            </w:r>
          </w:p>
          <w:p w14:paraId="5AA81C37" w14:textId="77777777" w:rsidR="00AD76D2" w:rsidRPr="00264D5D" w:rsidRDefault="00AD76D2" w:rsidP="00AD76D2">
            <w:pPr>
              <w:pStyle w:val="GOSTTablenorm"/>
              <w:widowControl w:val="0"/>
              <w:ind w:hanging="227"/>
            </w:pPr>
            <w:r w:rsidRPr="00264D5D">
              <w:t>– при направлении РР ФК или ТОФК для последующей передачи УБП, которому открыт соответствующий л/с в другом ТОФК;</w:t>
            </w:r>
          </w:p>
          <w:p w14:paraId="7E4F4F81" w14:textId="77777777" w:rsidR="00AD76D2" w:rsidRPr="00264D5D" w:rsidRDefault="00AD76D2" w:rsidP="00AD76D2">
            <w:pPr>
              <w:pStyle w:val="GOSTTablenorm"/>
              <w:widowControl w:val="0"/>
              <w:numPr>
                <w:ilvl w:val="0"/>
                <w:numId w:val="133"/>
              </w:numPr>
              <w:ind w:left="284" w:hanging="227"/>
            </w:pPr>
            <w:r w:rsidRPr="00264D5D">
              <w:t>при доведении до ПБС ФБ бюджетных данных за счет дополнительного бюджетного финансирования;</w:t>
            </w:r>
          </w:p>
          <w:p w14:paraId="43AA0CC9" w14:textId="77777777" w:rsidR="00AD76D2" w:rsidRPr="00264D5D" w:rsidRDefault="00AD76D2" w:rsidP="00AD76D2">
            <w:pPr>
              <w:pStyle w:val="GOSTTablenorm"/>
              <w:widowControl w:val="0"/>
              <w:numPr>
                <w:ilvl w:val="0"/>
                <w:numId w:val="133"/>
              </w:numPr>
              <w:ind w:left="284" w:hanging="227"/>
            </w:pPr>
            <w:r w:rsidRPr="00264D5D">
              <w:t>при формировании РР ПБС ФБ.</w:t>
            </w:r>
          </w:p>
          <w:p w14:paraId="6DB95DD9" w14:textId="6EE44B99" w:rsidR="00AD76D2" w:rsidRPr="00264D5D" w:rsidRDefault="00AD76D2" w:rsidP="00AD76D2">
            <w:pPr>
              <w:pStyle w:val="GOSTTablenorm"/>
              <w:widowControl w:val="0"/>
            </w:pPr>
            <w:r w:rsidRPr="00264D5D">
              <w:t xml:space="preserve">Состав элемента представлен в таблице </w:t>
            </w:r>
            <w:r w:rsidRPr="00264D5D">
              <w:rPr>
                <w:b/>
              </w:rPr>
              <w:fldChar w:fldCharType="begin"/>
            </w:r>
            <w:r w:rsidRPr="00264D5D">
              <w:rPr>
                <w:b/>
              </w:rPr>
              <w:instrText xml:space="preserve"> REF _Ref492310965 \h  \* MERGEFORMAT </w:instrText>
            </w:r>
            <w:r w:rsidRPr="00264D5D">
              <w:rPr>
                <w:b/>
              </w:rPr>
            </w:r>
            <w:r w:rsidRPr="00264D5D">
              <w:rPr>
                <w:b/>
              </w:rPr>
              <w:fldChar w:fldCharType="separate"/>
            </w:r>
            <w:r w:rsidR="008D797C" w:rsidRPr="008D797C">
              <w:rPr>
                <w:b/>
              </w:rPr>
              <w:t>29</w:t>
            </w:r>
            <w:r w:rsidRPr="00264D5D">
              <w:rPr>
                <w:b/>
              </w:rPr>
              <w:fldChar w:fldCharType="end"/>
            </w:r>
          </w:p>
        </w:tc>
      </w:tr>
      <w:tr w:rsidR="00AD76D2" w:rsidRPr="00264D5D" w14:paraId="1DCA3DBE" w14:textId="77777777" w:rsidTr="00AD76D2">
        <w:trPr>
          <w:cnfStyle w:val="000000010000" w:firstRow="0" w:lastRow="0" w:firstColumn="0" w:lastColumn="0" w:oddVBand="0" w:evenVBand="0" w:oddHBand="0" w:evenHBand="1" w:firstRowFirstColumn="0" w:firstRowLastColumn="0" w:lastRowFirstColumn="0" w:lastRowLastColumn="0"/>
        </w:trPr>
        <w:tc>
          <w:tcPr>
            <w:tcW w:w="1707" w:type="dxa"/>
          </w:tcPr>
          <w:p w14:paraId="1D243CA4" w14:textId="77777777" w:rsidR="00AD76D2" w:rsidRPr="00264D5D" w:rsidRDefault="00AD76D2" w:rsidP="00AD76D2">
            <w:pPr>
              <w:pStyle w:val="GOSTTablenorm"/>
              <w:widowControl w:val="0"/>
            </w:pPr>
            <w:r w:rsidRPr="00264D5D">
              <w:t>Специальные указания</w:t>
            </w:r>
          </w:p>
        </w:tc>
        <w:tc>
          <w:tcPr>
            <w:tcW w:w="1705" w:type="dxa"/>
          </w:tcPr>
          <w:p w14:paraId="12371C0C" w14:textId="77777777" w:rsidR="00AD76D2" w:rsidRPr="00264D5D" w:rsidRDefault="00AD76D2" w:rsidP="00AD76D2">
            <w:pPr>
              <w:pStyle w:val="GOSTTablenorm"/>
              <w:widowControl w:val="0"/>
            </w:pPr>
            <w:r w:rsidRPr="00264D5D">
              <w:t>APRC_MSC_SpclInst</w:t>
            </w:r>
          </w:p>
        </w:tc>
        <w:tc>
          <w:tcPr>
            <w:tcW w:w="568" w:type="dxa"/>
          </w:tcPr>
          <w:p w14:paraId="673BC23D" w14:textId="77777777" w:rsidR="00AD76D2" w:rsidRPr="00264D5D" w:rsidRDefault="00AD76D2" w:rsidP="00AD76D2">
            <w:pPr>
              <w:pStyle w:val="GOSTTablenorm"/>
              <w:widowControl w:val="0"/>
              <w:jc w:val="center"/>
            </w:pPr>
            <w:r w:rsidRPr="00264D5D">
              <w:t>С</w:t>
            </w:r>
          </w:p>
        </w:tc>
        <w:tc>
          <w:tcPr>
            <w:tcW w:w="1137" w:type="dxa"/>
          </w:tcPr>
          <w:p w14:paraId="7A977BBE" w14:textId="77777777" w:rsidR="00AD76D2" w:rsidRPr="00264D5D" w:rsidRDefault="00AD76D2" w:rsidP="00AD76D2">
            <w:pPr>
              <w:pStyle w:val="GOSTTablenorm"/>
              <w:widowControl w:val="0"/>
            </w:pPr>
            <w:r w:rsidRPr="00264D5D">
              <w:t>tMSC_SpclInst</w:t>
            </w:r>
          </w:p>
        </w:tc>
        <w:tc>
          <w:tcPr>
            <w:tcW w:w="555" w:type="dxa"/>
          </w:tcPr>
          <w:p w14:paraId="20732335" w14:textId="77777777" w:rsidR="00AD76D2" w:rsidRPr="00264D5D" w:rsidRDefault="00AD76D2" w:rsidP="00AD76D2">
            <w:pPr>
              <w:pStyle w:val="GOSTTablenorm"/>
              <w:widowControl w:val="0"/>
              <w:jc w:val="center"/>
            </w:pPr>
            <w:r w:rsidRPr="00264D5D">
              <w:t>Н</w:t>
            </w:r>
          </w:p>
        </w:tc>
        <w:tc>
          <w:tcPr>
            <w:tcW w:w="3984" w:type="dxa"/>
            <w:gridSpan w:val="2"/>
          </w:tcPr>
          <w:p w14:paraId="7C1A7367" w14:textId="34D110A0" w:rsidR="00AD76D2" w:rsidRPr="00264D5D" w:rsidRDefault="00AD76D2" w:rsidP="00AD76D2">
            <w:pPr>
              <w:pStyle w:val="GOSTTablenorm"/>
              <w:widowControl w:val="0"/>
            </w:pPr>
            <w:r w:rsidRPr="00264D5D">
              <w:t xml:space="preserve">Состав элемента представлен в таблице </w:t>
            </w:r>
            <w:r w:rsidRPr="00264D5D">
              <w:rPr>
                <w:b/>
              </w:rPr>
              <w:fldChar w:fldCharType="begin"/>
            </w:r>
            <w:r w:rsidRPr="00264D5D">
              <w:rPr>
                <w:b/>
              </w:rPr>
              <w:instrText xml:space="preserve"> REF _Ref492311038 \h  \* MERGEFORMAT </w:instrText>
            </w:r>
            <w:r w:rsidRPr="00264D5D">
              <w:rPr>
                <w:b/>
              </w:rPr>
            </w:r>
            <w:r w:rsidRPr="00264D5D">
              <w:rPr>
                <w:b/>
              </w:rPr>
              <w:fldChar w:fldCharType="separate"/>
            </w:r>
            <w:r w:rsidR="008D797C" w:rsidRPr="008D797C">
              <w:rPr>
                <w:b/>
              </w:rPr>
              <w:t>34</w:t>
            </w:r>
            <w:r w:rsidRPr="00264D5D">
              <w:rPr>
                <w:b/>
              </w:rPr>
              <w:fldChar w:fldCharType="end"/>
            </w:r>
          </w:p>
        </w:tc>
      </w:tr>
      <w:tr w:rsidR="00AD76D2" w:rsidRPr="00264D5D" w14:paraId="33AAE7F9" w14:textId="77777777" w:rsidTr="00AD76D2">
        <w:trPr>
          <w:cnfStyle w:val="000000100000" w:firstRow="0" w:lastRow="0" w:firstColumn="0" w:lastColumn="0" w:oddVBand="0" w:evenVBand="0" w:oddHBand="1" w:evenHBand="0" w:firstRowFirstColumn="0" w:firstRowLastColumn="0" w:lastRowFirstColumn="0" w:lastRowLastColumn="0"/>
        </w:trPr>
        <w:tc>
          <w:tcPr>
            <w:tcW w:w="1707" w:type="dxa"/>
          </w:tcPr>
          <w:p w14:paraId="72AF574B" w14:textId="77777777" w:rsidR="00AD76D2" w:rsidRPr="00264D5D" w:rsidRDefault="00AD76D2" w:rsidP="00AD76D2">
            <w:pPr>
              <w:pStyle w:val="GOSTTablenorm"/>
              <w:widowControl w:val="0"/>
            </w:pPr>
            <w:r w:rsidRPr="00264D5D">
              <w:t>Итоговые суммы (бюджетные ассигнования)</w:t>
            </w:r>
          </w:p>
        </w:tc>
        <w:tc>
          <w:tcPr>
            <w:tcW w:w="1705" w:type="dxa"/>
          </w:tcPr>
          <w:p w14:paraId="4BB4DE11" w14:textId="77777777" w:rsidR="00AD76D2" w:rsidRPr="00264D5D" w:rsidRDefault="00AD76D2" w:rsidP="00AD76D2">
            <w:pPr>
              <w:pStyle w:val="GOSTTablenorm"/>
              <w:widowControl w:val="0"/>
            </w:pPr>
            <w:r w:rsidRPr="00264D5D">
              <w:t>APRC_MSC_AmntBA</w:t>
            </w:r>
          </w:p>
        </w:tc>
        <w:tc>
          <w:tcPr>
            <w:tcW w:w="568" w:type="dxa"/>
          </w:tcPr>
          <w:p w14:paraId="74B81BE6" w14:textId="77777777" w:rsidR="00AD76D2" w:rsidRPr="00264D5D" w:rsidRDefault="00AD76D2" w:rsidP="00AD76D2">
            <w:pPr>
              <w:pStyle w:val="GOSTTablenorm"/>
              <w:widowControl w:val="0"/>
              <w:jc w:val="center"/>
            </w:pPr>
            <w:r w:rsidRPr="00264D5D">
              <w:t>С</w:t>
            </w:r>
          </w:p>
        </w:tc>
        <w:tc>
          <w:tcPr>
            <w:tcW w:w="1137" w:type="dxa"/>
          </w:tcPr>
          <w:p w14:paraId="56132BB5" w14:textId="77777777" w:rsidR="00AD76D2" w:rsidRPr="00264D5D" w:rsidRDefault="00AD76D2" w:rsidP="00AD76D2">
            <w:pPr>
              <w:pStyle w:val="GOSTTablenorm"/>
              <w:widowControl w:val="0"/>
            </w:pPr>
            <w:r w:rsidRPr="00264D5D">
              <w:t>tMSC_Amount</w:t>
            </w:r>
          </w:p>
        </w:tc>
        <w:tc>
          <w:tcPr>
            <w:tcW w:w="555" w:type="dxa"/>
          </w:tcPr>
          <w:p w14:paraId="3880A0FC" w14:textId="77777777" w:rsidR="00AD76D2" w:rsidRPr="00264D5D" w:rsidRDefault="00AD76D2" w:rsidP="00AD76D2">
            <w:pPr>
              <w:pStyle w:val="GOSTTablenorm"/>
              <w:widowControl w:val="0"/>
              <w:jc w:val="center"/>
            </w:pPr>
            <w:r w:rsidRPr="00264D5D">
              <w:t>Н</w:t>
            </w:r>
          </w:p>
        </w:tc>
        <w:tc>
          <w:tcPr>
            <w:tcW w:w="3984" w:type="dxa"/>
            <w:gridSpan w:val="2"/>
          </w:tcPr>
          <w:p w14:paraId="39ACC268" w14:textId="0801B5F9" w:rsidR="00AD76D2" w:rsidRPr="00264D5D" w:rsidRDefault="00AD76D2" w:rsidP="00AD76D2">
            <w:pPr>
              <w:pStyle w:val="GOSTTablenorm"/>
              <w:widowControl w:val="0"/>
            </w:pPr>
            <w:r w:rsidRPr="00264D5D">
              <w:t xml:space="preserve">Состав элемента представлен в таблице </w:t>
            </w:r>
            <w:r w:rsidRPr="00264D5D">
              <w:rPr>
                <w:b/>
              </w:rPr>
              <w:fldChar w:fldCharType="begin"/>
            </w:r>
            <w:r w:rsidRPr="00264D5D">
              <w:rPr>
                <w:b/>
              </w:rPr>
              <w:instrText xml:space="preserve"> REF _Ref492311042 \h  \* MERGEFORMAT </w:instrText>
            </w:r>
            <w:r w:rsidRPr="00264D5D">
              <w:rPr>
                <w:b/>
              </w:rPr>
            </w:r>
            <w:r w:rsidRPr="00264D5D">
              <w:rPr>
                <w:b/>
              </w:rPr>
              <w:fldChar w:fldCharType="separate"/>
            </w:r>
            <w:r w:rsidR="008D797C" w:rsidRPr="008D797C">
              <w:rPr>
                <w:b/>
              </w:rPr>
              <w:t>35</w:t>
            </w:r>
            <w:r w:rsidRPr="00264D5D">
              <w:rPr>
                <w:b/>
              </w:rPr>
              <w:fldChar w:fldCharType="end"/>
            </w:r>
          </w:p>
        </w:tc>
      </w:tr>
      <w:tr w:rsidR="00AD76D2" w:rsidRPr="00264D5D" w14:paraId="28348C24" w14:textId="77777777" w:rsidTr="00AD76D2">
        <w:trPr>
          <w:cnfStyle w:val="000000010000" w:firstRow="0" w:lastRow="0" w:firstColumn="0" w:lastColumn="0" w:oddVBand="0" w:evenVBand="0" w:oddHBand="0" w:evenHBand="1" w:firstRowFirstColumn="0" w:firstRowLastColumn="0" w:lastRowFirstColumn="0" w:lastRowLastColumn="0"/>
        </w:trPr>
        <w:tc>
          <w:tcPr>
            <w:tcW w:w="1707" w:type="dxa"/>
          </w:tcPr>
          <w:p w14:paraId="3E920D47" w14:textId="77777777" w:rsidR="00AD76D2" w:rsidRPr="00264D5D" w:rsidRDefault="00AD76D2" w:rsidP="00AD76D2">
            <w:pPr>
              <w:pStyle w:val="GOSTTablenorm"/>
              <w:widowControl w:val="0"/>
            </w:pPr>
            <w:r w:rsidRPr="00264D5D">
              <w:t>Итоговые суммы (лимиты бюджетных обязательств)</w:t>
            </w:r>
          </w:p>
        </w:tc>
        <w:tc>
          <w:tcPr>
            <w:tcW w:w="1705" w:type="dxa"/>
          </w:tcPr>
          <w:p w14:paraId="04144420" w14:textId="77777777" w:rsidR="00AD76D2" w:rsidRPr="00264D5D" w:rsidRDefault="00AD76D2" w:rsidP="00AD76D2">
            <w:pPr>
              <w:pStyle w:val="GOSTTablenorm"/>
              <w:widowControl w:val="0"/>
            </w:pPr>
            <w:r w:rsidRPr="00264D5D">
              <w:t>APRC_MSC_AmntLBO</w:t>
            </w:r>
          </w:p>
        </w:tc>
        <w:tc>
          <w:tcPr>
            <w:tcW w:w="568" w:type="dxa"/>
          </w:tcPr>
          <w:p w14:paraId="18861F3F" w14:textId="77777777" w:rsidR="00AD76D2" w:rsidRPr="00264D5D" w:rsidRDefault="00AD76D2" w:rsidP="00AD76D2">
            <w:pPr>
              <w:pStyle w:val="GOSTTablenorm"/>
              <w:widowControl w:val="0"/>
              <w:jc w:val="center"/>
            </w:pPr>
            <w:r w:rsidRPr="00264D5D">
              <w:t>С</w:t>
            </w:r>
          </w:p>
        </w:tc>
        <w:tc>
          <w:tcPr>
            <w:tcW w:w="1137" w:type="dxa"/>
          </w:tcPr>
          <w:p w14:paraId="6C698063" w14:textId="77777777" w:rsidR="00AD76D2" w:rsidRPr="00264D5D" w:rsidRDefault="00AD76D2" w:rsidP="00AD76D2">
            <w:pPr>
              <w:pStyle w:val="GOSTTablenorm"/>
              <w:widowControl w:val="0"/>
            </w:pPr>
            <w:r w:rsidRPr="00264D5D">
              <w:t>tMSC_Amount</w:t>
            </w:r>
          </w:p>
        </w:tc>
        <w:tc>
          <w:tcPr>
            <w:tcW w:w="555" w:type="dxa"/>
          </w:tcPr>
          <w:p w14:paraId="266F4144" w14:textId="77777777" w:rsidR="00AD76D2" w:rsidRPr="00264D5D" w:rsidRDefault="00AD76D2" w:rsidP="00AD76D2">
            <w:pPr>
              <w:pStyle w:val="GOSTTablenorm"/>
              <w:widowControl w:val="0"/>
              <w:jc w:val="center"/>
            </w:pPr>
            <w:r w:rsidRPr="00264D5D">
              <w:t>Н</w:t>
            </w:r>
          </w:p>
        </w:tc>
        <w:tc>
          <w:tcPr>
            <w:tcW w:w="3984" w:type="dxa"/>
            <w:gridSpan w:val="2"/>
          </w:tcPr>
          <w:p w14:paraId="15278561" w14:textId="47BF655B" w:rsidR="00AD76D2" w:rsidRPr="00264D5D" w:rsidRDefault="00AD76D2" w:rsidP="00AD76D2">
            <w:pPr>
              <w:pStyle w:val="GOSTTablenorm"/>
              <w:widowControl w:val="0"/>
            </w:pPr>
            <w:r w:rsidRPr="00264D5D">
              <w:t xml:space="preserve">Состав элемента представлен в таблице </w:t>
            </w:r>
            <w:r w:rsidRPr="00264D5D">
              <w:rPr>
                <w:b/>
              </w:rPr>
              <w:fldChar w:fldCharType="begin"/>
            </w:r>
            <w:r w:rsidRPr="00264D5D">
              <w:rPr>
                <w:b/>
              </w:rPr>
              <w:instrText xml:space="preserve"> REF _Ref492311042 \h  \* MERGEFORMAT </w:instrText>
            </w:r>
            <w:r w:rsidRPr="00264D5D">
              <w:rPr>
                <w:b/>
              </w:rPr>
            </w:r>
            <w:r w:rsidRPr="00264D5D">
              <w:rPr>
                <w:b/>
              </w:rPr>
              <w:fldChar w:fldCharType="separate"/>
            </w:r>
            <w:r w:rsidR="008D797C" w:rsidRPr="008D797C">
              <w:rPr>
                <w:b/>
              </w:rPr>
              <w:t>35</w:t>
            </w:r>
            <w:r w:rsidRPr="00264D5D">
              <w:rPr>
                <w:b/>
              </w:rPr>
              <w:fldChar w:fldCharType="end"/>
            </w:r>
          </w:p>
        </w:tc>
      </w:tr>
      <w:tr w:rsidR="00AD76D2" w:rsidRPr="00264D5D" w14:paraId="54B64548" w14:textId="77777777" w:rsidTr="00AD76D2">
        <w:trPr>
          <w:cnfStyle w:val="000000100000" w:firstRow="0" w:lastRow="0" w:firstColumn="0" w:lastColumn="0" w:oddVBand="0" w:evenVBand="0" w:oddHBand="1" w:evenHBand="0" w:firstRowFirstColumn="0" w:firstRowLastColumn="0" w:lastRowFirstColumn="0" w:lastRowLastColumn="0"/>
        </w:trPr>
        <w:tc>
          <w:tcPr>
            <w:tcW w:w="1707" w:type="dxa"/>
          </w:tcPr>
          <w:p w14:paraId="02F119DF" w14:textId="77777777" w:rsidR="00AD76D2" w:rsidRPr="00264D5D" w:rsidRDefault="00AD76D2" w:rsidP="00AD76D2">
            <w:pPr>
              <w:pStyle w:val="GOSTTablenorm"/>
              <w:widowControl w:val="0"/>
            </w:pPr>
            <w:r w:rsidRPr="00264D5D">
              <w:t>Итого сумма ПОФ на текущий финансовый год</w:t>
            </w:r>
          </w:p>
        </w:tc>
        <w:tc>
          <w:tcPr>
            <w:tcW w:w="1705" w:type="dxa"/>
          </w:tcPr>
          <w:p w14:paraId="767A3CDA" w14:textId="77777777" w:rsidR="00AD76D2" w:rsidRPr="00264D5D" w:rsidRDefault="00AD76D2" w:rsidP="00AD76D2">
            <w:pPr>
              <w:pStyle w:val="GOSTTablenorm"/>
              <w:widowControl w:val="0"/>
            </w:pPr>
            <w:r w:rsidRPr="00264D5D">
              <w:t>APRC_TtlAmntPOF1</w:t>
            </w:r>
          </w:p>
        </w:tc>
        <w:tc>
          <w:tcPr>
            <w:tcW w:w="568" w:type="dxa"/>
          </w:tcPr>
          <w:p w14:paraId="4A7D63EB" w14:textId="77777777" w:rsidR="00AD76D2" w:rsidRPr="00264D5D" w:rsidRDefault="00AD76D2" w:rsidP="00AD76D2">
            <w:pPr>
              <w:pStyle w:val="GOSTTablenorm"/>
              <w:widowControl w:val="0"/>
              <w:jc w:val="center"/>
            </w:pPr>
            <w:r w:rsidRPr="00264D5D">
              <w:t>П</w:t>
            </w:r>
          </w:p>
        </w:tc>
        <w:tc>
          <w:tcPr>
            <w:tcW w:w="1137" w:type="dxa"/>
          </w:tcPr>
          <w:p w14:paraId="476F0E5B" w14:textId="77777777" w:rsidR="00AD76D2" w:rsidRPr="00264D5D" w:rsidRDefault="00AD76D2" w:rsidP="00AD76D2">
            <w:pPr>
              <w:pStyle w:val="GOSTTablenorm"/>
              <w:widowControl w:val="0"/>
              <w:rPr>
                <w:lang w:val="en-US"/>
              </w:rPr>
            </w:pPr>
            <w:r w:rsidRPr="00264D5D">
              <w:rPr>
                <w:lang w:val="en-US"/>
              </w:rPr>
              <w:t>N(</w:t>
            </w:r>
            <w:r w:rsidRPr="00264D5D">
              <w:t>18</w:t>
            </w:r>
            <w:r w:rsidRPr="00264D5D">
              <w:rPr>
                <w:lang w:val="en-US"/>
              </w:rPr>
              <w:t>.2)</w:t>
            </w:r>
          </w:p>
        </w:tc>
        <w:tc>
          <w:tcPr>
            <w:tcW w:w="555" w:type="dxa"/>
          </w:tcPr>
          <w:p w14:paraId="0A8686B0" w14:textId="77777777" w:rsidR="00AD76D2" w:rsidRPr="00264D5D" w:rsidRDefault="00AD76D2" w:rsidP="00AD76D2">
            <w:pPr>
              <w:pStyle w:val="GOSTTablenorm"/>
              <w:widowControl w:val="0"/>
              <w:jc w:val="center"/>
            </w:pPr>
            <w:r w:rsidRPr="00264D5D">
              <w:t>Н</w:t>
            </w:r>
          </w:p>
        </w:tc>
        <w:tc>
          <w:tcPr>
            <w:tcW w:w="3984" w:type="dxa"/>
            <w:gridSpan w:val="2"/>
          </w:tcPr>
          <w:p w14:paraId="65E9C84E" w14:textId="77777777" w:rsidR="00AD76D2" w:rsidRPr="00264D5D" w:rsidRDefault="00AD76D2" w:rsidP="00AD76D2">
            <w:pPr>
              <w:pStyle w:val="GOSTTablenorm"/>
              <w:widowControl w:val="0"/>
            </w:pPr>
            <w:r w:rsidRPr="00264D5D">
              <w:t>Указывается итоговая сумма ПОФ на текущий финансовый год</w:t>
            </w:r>
          </w:p>
        </w:tc>
      </w:tr>
      <w:tr w:rsidR="00AD76D2" w:rsidRPr="00264D5D" w14:paraId="167B6D7E" w14:textId="77777777" w:rsidTr="00AD76D2">
        <w:trPr>
          <w:cnfStyle w:val="000000010000" w:firstRow="0" w:lastRow="0" w:firstColumn="0" w:lastColumn="0" w:oddVBand="0" w:evenVBand="0" w:oddHBand="0" w:evenHBand="1" w:firstRowFirstColumn="0" w:firstRowLastColumn="0" w:lastRowFirstColumn="0" w:lastRowLastColumn="0"/>
        </w:trPr>
        <w:tc>
          <w:tcPr>
            <w:tcW w:w="1707" w:type="dxa"/>
          </w:tcPr>
          <w:p w14:paraId="6F8CB90A" w14:textId="77777777" w:rsidR="00AD76D2" w:rsidRPr="00264D5D" w:rsidRDefault="00AD76D2" w:rsidP="00AD76D2">
            <w:pPr>
              <w:pStyle w:val="GOSTTablenorm"/>
              <w:widowControl w:val="0"/>
            </w:pPr>
            <w:r w:rsidRPr="00264D5D">
              <w:t>Номер Заявки на кассовый расход</w:t>
            </w:r>
          </w:p>
        </w:tc>
        <w:tc>
          <w:tcPr>
            <w:tcW w:w="1705" w:type="dxa"/>
          </w:tcPr>
          <w:p w14:paraId="04A3A554" w14:textId="77777777" w:rsidR="00AD76D2" w:rsidRPr="00264D5D" w:rsidRDefault="00AD76D2" w:rsidP="00AD76D2">
            <w:pPr>
              <w:pStyle w:val="GOSTTablenorm"/>
              <w:widowControl w:val="0"/>
            </w:pPr>
            <w:r w:rsidRPr="00264D5D">
              <w:t>APRC_RqstNm</w:t>
            </w:r>
          </w:p>
        </w:tc>
        <w:tc>
          <w:tcPr>
            <w:tcW w:w="568" w:type="dxa"/>
          </w:tcPr>
          <w:p w14:paraId="150A4230" w14:textId="77777777" w:rsidR="00AD76D2" w:rsidRPr="00264D5D" w:rsidRDefault="00AD76D2" w:rsidP="00AD76D2">
            <w:pPr>
              <w:pStyle w:val="GOSTTablenorm"/>
              <w:widowControl w:val="0"/>
              <w:jc w:val="center"/>
            </w:pPr>
            <w:r w:rsidRPr="00264D5D">
              <w:t>П</w:t>
            </w:r>
          </w:p>
        </w:tc>
        <w:tc>
          <w:tcPr>
            <w:tcW w:w="1137" w:type="dxa"/>
          </w:tcPr>
          <w:p w14:paraId="4599E788" w14:textId="77777777" w:rsidR="00AD76D2" w:rsidRPr="00264D5D" w:rsidRDefault="00AD76D2" w:rsidP="00AD76D2">
            <w:pPr>
              <w:pStyle w:val="GOSTTablenorm"/>
              <w:widowControl w:val="0"/>
            </w:pPr>
            <w:r w:rsidRPr="00264D5D">
              <w:rPr>
                <w:lang w:val="en-US"/>
              </w:rPr>
              <w:t>T</w:t>
            </w:r>
            <w:r w:rsidRPr="00264D5D">
              <w:t>(1-15)</w:t>
            </w:r>
          </w:p>
        </w:tc>
        <w:tc>
          <w:tcPr>
            <w:tcW w:w="555" w:type="dxa"/>
          </w:tcPr>
          <w:p w14:paraId="3C5419CF" w14:textId="77777777" w:rsidR="00AD76D2" w:rsidRPr="00264D5D" w:rsidRDefault="00AD76D2" w:rsidP="00AD76D2">
            <w:pPr>
              <w:pStyle w:val="GOSTTablenorm"/>
              <w:widowControl w:val="0"/>
              <w:jc w:val="center"/>
            </w:pPr>
            <w:r w:rsidRPr="00264D5D">
              <w:t>Н</w:t>
            </w:r>
          </w:p>
        </w:tc>
        <w:tc>
          <w:tcPr>
            <w:tcW w:w="3984" w:type="dxa"/>
            <w:gridSpan w:val="2"/>
          </w:tcPr>
          <w:p w14:paraId="016EE608" w14:textId="77777777" w:rsidR="00AD76D2" w:rsidRPr="00264D5D" w:rsidRDefault="00AD76D2" w:rsidP="00AD76D2">
            <w:pPr>
              <w:pStyle w:val="GOSTTablenorm"/>
              <w:widowControl w:val="0"/>
            </w:pPr>
            <w:r w:rsidRPr="00264D5D">
              <w:t>Поле заполняется для «положительного» РР, если отправителем является ГРБС (РБС), а получателем – ИПБС</w:t>
            </w:r>
          </w:p>
        </w:tc>
      </w:tr>
      <w:tr w:rsidR="00AD76D2" w:rsidRPr="00264D5D" w14:paraId="5C03C88E" w14:textId="77777777" w:rsidTr="00AD76D2">
        <w:trPr>
          <w:cnfStyle w:val="000000100000" w:firstRow="0" w:lastRow="0" w:firstColumn="0" w:lastColumn="0" w:oddVBand="0" w:evenVBand="0" w:oddHBand="1" w:evenHBand="0" w:firstRowFirstColumn="0" w:firstRowLastColumn="0" w:lastRowFirstColumn="0" w:lastRowLastColumn="0"/>
        </w:trPr>
        <w:tc>
          <w:tcPr>
            <w:tcW w:w="1707" w:type="dxa"/>
          </w:tcPr>
          <w:p w14:paraId="1824312D" w14:textId="77777777" w:rsidR="00AD76D2" w:rsidRPr="00264D5D" w:rsidRDefault="00AD76D2" w:rsidP="00AD76D2">
            <w:pPr>
              <w:pStyle w:val="GOSTTablenorm"/>
              <w:widowControl w:val="0"/>
            </w:pPr>
            <w:r w:rsidRPr="00264D5D">
              <w:t>Дата Заявки на кассовый расход</w:t>
            </w:r>
          </w:p>
        </w:tc>
        <w:tc>
          <w:tcPr>
            <w:tcW w:w="1705" w:type="dxa"/>
          </w:tcPr>
          <w:p w14:paraId="3F7F4561" w14:textId="77777777" w:rsidR="00AD76D2" w:rsidRPr="00264D5D" w:rsidRDefault="00AD76D2" w:rsidP="00AD76D2">
            <w:pPr>
              <w:pStyle w:val="GOSTTablenorm"/>
              <w:widowControl w:val="0"/>
            </w:pPr>
            <w:r w:rsidRPr="00264D5D">
              <w:t>APRC_DctDtPP</w:t>
            </w:r>
          </w:p>
        </w:tc>
        <w:tc>
          <w:tcPr>
            <w:tcW w:w="568" w:type="dxa"/>
          </w:tcPr>
          <w:p w14:paraId="10957B03" w14:textId="77777777" w:rsidR="00AD76D2" w:rsidRPr="00264D5D" w:rsidRDefault="00AD76D2" w:rsidP="00AD76D2">
            <w:pPr>
              <w:pStyle w:val="GOSTTablenorm"/>
              <w:widowControl w:val="0"/>
              <w:jc w:val="center"/>
            </w:pPr>
            <w:r w:rsidRPr="00264D5D">
              <w:t>П</w:t>
            </w:r>
          </w:p>
        </w:tc>
        <w:tc>
          <w:tcPr>
            <w:tcW w:w="1137" w:type="dxa"/>
          </w:tcPr>
          <w:p w14:paraId="519CD8F0" w14:textId="77777777" w:rsidR="00AD76D2" w:rsidRPr="00264D5D" w:rsidRDefault="00AD76D2" w:rsidP="00AD76D2">
            <w:pPr>
              <w:pStyle w:val="GOSTTablenorm"/>
              <w:widowControl w:val="0"/>
              <w:rPr>
                <w:lang w:val="en-US"/>
              </w:rPr>
            </w:pPr>
            <w:r w:rsidRPr="00264D5D">
              <w:t>Date</w:t>
            </w:r>
          </w:p>
        </w:tc>
        <w:tc>
          <w:tcPr>
            <w:tcW w:w="555" w:type="dxa"/>
          </w:tcPr>
          <w:p w14:paraId="093B4788" w14:textId="77777777" w:rsidR="00AD76D2" w:rsidRPr="00264D5D" w:rsidRDefault="00AD76D2" w:rsidP="00AD76D2">
            <w:pPr>
              <w:pStyle w:val="GOSTTablenorm"/>
              <w:widowControl w:val="0"/>
              <w:jc w:val="center"/>
            </w:pPr>
            <w:r w:rsidRPr="00264D5D">
              <w:t>Н</w:t>
            </w:r>
          </w:p>
        </w:tc>
        <w:tc>
          <w:tcPr>
            <w:tcW w:w="3984" w:type="dxa"/>
            <w:gridSpan w:val="2"/>
          </w:tcPr>
          <w:p w14:paraId="4233E5CD" w14:textId="77777777" w:rsidR="00AD76D2" w:rsidRPr="00264D5D" w:rsidRDefault="00AD76D2" w:rsidP="00AD76D2">
            <w:pPr>
              <w:pStyle w:val="GOSTTablenorm"/>
              <w:widowControl w:val="0"/>
            </w:pPr>
            <w:r w:rsidRPr="00264D5D">
              <w:t>Поле заполняется для «положительного» РР, если отправителем является ГРБС (РБС), а получателем – ИПБС</w:t>
            </w:r>
          </w:p>
        </w:tc>
      </w:tr>
      <w:tr w:rsidR="00AD76D2" w:rsidRPr="00264D5D" w14:paraId="4BEBEB08" w14:textId="77777777" w:rsidTr="00AD76D2">
        <w:trPr>
          <w:cnfStyle w:val="000000010000" w:firstRow="0" w:lastRow="0" w:firstColumn="0" w:lastColumn="0" w:oddVBand="0" w:evenVBand="0" w:oddHBand="0" w:evenHBand="1" w:firstRowFirstColumn="0" w:firstRowLastColumn="0" w:lastRowFirstColumn="0" w:lastRowLastColumn="0"/>
        </w:trPr>
        <w:tc>
          <w:tcPr>
            <w:tcW w:w="9656" w:type="dxa"/>
            <w:gridSpan w:val="7"/>
          </w:tcPr>
          <w:p w14:paraId="1831DCAF" w14:textId="77777777" w:rsidR="00AD76D2" w:rsidRPr="00264D5D" w:rsidRDefault="00AD76D2" w:rsidP="00AD76D2">
            <w:pPr>
              <w:pStyle w:val="GOSTTablenorm"/>
              <w:widowControl w:val="0"/>
            </w:pPr>
            <w:r w:rsidRPr="00264D5D">
              <w:rPr>
                <w:b/>
              </w:rPr>
              <w:t>Раздел 1. Бюджетные ассигнования</w:t>
            </w:r>
          </w:p>
        </w:tc>
      </w:tr>
      <w:tr w:rsidR="00AD76D2" w:rsidRPr="00264D5D" w14:paraId="56761C04" w14:textId="77777777" w:rsidTr="00AD76D2">
        <w:trPr>
          <w:cnfStyle w:val="000000100000" w:firstRow="0" w:lastRow="0" w:firstColumn="0" w:lastColumn="0" w:oddVBand="0" w:evenVBand="0" w:oddHBand="1" w:evenHBand="0" w:firstRowFirstColumn="0" w:firstRowLastColumn="0" w:lastRowFirstColumn="0" w:lastRowLastColumn="0"/>
        </w:trPr>
        <w:tc>
          <w:tcPr>
            <w:tcW w:w="1707" w:type="dxa"/>
          </w:tcPr>
          <w:p w14:paraId="34A47A5B" w14:textId="77777777" w:rsidR="00AD76D2" w:rsidRPr="00264D5D" w:rsidRDefault="00AD76D2" w:rsidP="00AD76D2">
            <w:pPr>
              <w:pStyle w:val="GOSTTablenorm"/>
              <w:widowControl w:val="0"/>
            </w:pPr>
            <w:r w:rsidRPr="00264D5D">
              <w:lastRenderedPageBreak/>
              <w:t>Дата введения в действие раздела БА РР</w:t>
            </w:r>
          </w:p>
        </w:tc>
        <w:tc>
          <w:tcPr>
            <w:tcW w:w="1705" w:type="dxa"/>
          </w:tcPr>
          <w:p w14:paraId="24F6D6D8" w14:textId="77777777" w:rsidR="00AD76D2" w:rsidRPr="00264D5D" w:rsidRDefault="00AD76D2" w:rsidP="00AD76D2">
            <w:pPr>
              <w:pStyle w:val="GOSTTablenorm"/>
              <w:widowControl w:val="0"/>
            </w:pPr>
            <w:r w:rsidRPr="00264D5D">
              <w:t>DctDtUTVBA</w:t>
            </w:r>
          </w:p>
        </w:tc>
        <w:tc>
          <w:tcPr>
            <w:tcW w:w="568" w:type="dxa"/>
          </w:tcPr>
          <w:p w14:paraId="2C9CD185" w14:textId="77777777" w:rsidR="00AD76D2" w:rsidRPr="00264D5D" w:rsidRDefault="00AD76D2" w:rsidP="00AD76D2">
            <w:pPr>
              <w:pStyle w:val="GOSTTablenorm"/>
              <w:widowControl w:val="0"/>
              <w:jc w:val="center"/>
            </w:pPr>
            <w:r w:rsidRPr="00264D5D">
              <w:t>П</w:t>
            </w:r>
          </w:p>
        </w:tc>
        <w:tc>
          <w:tcPr>
            <w:tcW w:w="1137" w:type="dxa"/>
          </w:tcPr>
          <w:p w14:paraId="171EA5DF" w14:textId="77777777" w:rsidR="00AD76D2" w:rsidRPr="00264D5D" w:rsidRDefault="00AD76D2" w:rsidP="00AD76D2">
            <w:pPr>
              <w:pStyle w:val="GOSTTablenorm"/>
              <w:widowControl w:val="0"/>
              <w:rPr>
                <w:lang w:val="en-US"/>
              </w:rPr>
            </w:pPr>
            <w:r w:rsidRPr="00264D5D">
              <w:t>Date</w:t>
            </w:r>
          </w:p>
        </w:tc>
        <w:tc>
          <w:tcPr>
            <w:tcW w:w="555" w:type="dxa"/>
          </w:tcPr>
          <w:p w14:paraId="0DCE2B97" w14:textId="77777777" w:rsidR="00AD76D2" w:rsidRPr="00264D5D" w:rsidRDefault="00AD76D2" w:rsidP="00AD76D2">
            <w:pPr>
              <w:pStyle w:val="GOSTTablenorm"/>
              <w:widowControl w:val="0"/>
              <w:jc w:val="center"/>
            </w:pPr>
            <w:r w:rsidRPr="00264D5D">
              <w:t>Н</w:t>
            </w:r>
          </w:p>
        </w:tc>
        <w:tc>
          <w:tcPr>
            <w:tcW w:w="3984" w:type="dxa"/>
            <w:gridSpan w:val="2"/>
          </w:tcPr>
          <w:p w14:paraId="396AEF96" w14:textId="77777777" w:rsidR="00AD76D2" w:rsidRPr="00264D5D" w:rsidRDefault="00AD76D2" w:rsidP="00AD76D2">
            <w:pPr>
              <w:pStyle w:val="GOSTTablenorm"/>
              <w:widowControl w:val="0"/>
            </w:pPr>
            <w:r w:rsidRPr="00264D5D">
              <w:t xml:space="preserve">Поля не заполняются, если у РР заполнена дата введения в действие РР (APRC_DctDtUTV) и даты введения в действие разделов РР (DctDtUTVBA, DctDtUTVLBO, DctDtUTVPOF) равны дате введения в действие РР. Даты введения в действие разделов РР (DctDtUTVBA, DctDtUTVLBO, DctDtUTVPOF) не должны быть ранее даты введения в действие РР (APRC_DctDtUTV), если оно заполнено </w:t>
            </w:r>
          </w:p>
        </w:tc>
      </w:tr>
      <w:tr w:rsidR="00AD76D2" w:rsidRPr="00264D5D" w14:paraId="6905A2FD" w14:textId="77777777" w:rsidTr="00AD76D2">
        <w:trPr>
          <w:cnfStyle w:val="000000010000" w:firstRow="0" w:lastRow="0" w:firstColumn="0" w:lastColumn="0" w:oddVBand="0" w:evenVBand="0" w:oddHBand="0" w:evenHBand="1" w:firstRowFirstColumn="0" w:firstRowLastColumn="0" w:lastRowFirstColumn="0" w:lastRowLastColumn="0"/>
        </w:trPr>
        <w:tc>
          <w:tcPr>
            <w:tcW w:w="1707" w:type="dxa"/>
          </w:tcPr>
          <w:p w14:paraId="0C1DAD15" w14:textId="77777777" w:rsidR="00AD76D2" w:rsidRPr="00264D5D" w:rsidRDefault="00AD76D2" w:rsidP="00AD76D2">
            <w:pPr>
              <w:pStyle w:val="GOSTTablenorm"/>
              <w:widowControl w:val="0"/>
            </w:pPr>
            <w:r w:rsidRPr="00264D5D">
              <w:t>Бюджетные ассигнования</w:t>
            </w:r>
          </w:p>
        </w:tc>
        <w:tc>
          <w:tcPr>
            <w:tcW w:w="1705" w:type="dxa"/>
          </w:tcPr>
          <w:p w14:paraId="6985BA1F" w14:textId="77777777" w:rsidR="00AD76D2" w:rsidRPr="00264D5D" w:rsidRDefault="00AD76D2" w:rsidP="00AD76D2">
            <w:pPr>
              <w:pStyle w:val="GOSTTablenorm"/>
              <w:widowControl w:val="0"/>
            </w:pPr>
            <w:r w:rsidRPr="00264D5D">
              <w:t>APBASTR</w:t>
            </w:r>
          </w:p>
        </w:tc>
        <w:tc>
          <w:tcPr>
            <w:tcW w:w="568" w:type="dxa"/>
          </w:tcPr>
          <w:p w14:paraId="4A4219A4" w14:textId="77777777" w:rsidR="00AD76D2" w:rsidRPr="00264D5D" w:rsidRDefault="00AD76D2" w:rsidP="00AD76D2">
            <w:pPr>
              <w:pStyle w:val="GOSTTablenorm"/>
              <w:widowControl w:val="0"/>
              <w:jc w:val="center"/>
            </w:pPr>
            <w:r w:rsidRPr="00264D5D">
              <w:t>С</w:t>
            </w:r>
          </w:p>
        </w:tc>
        <w:tc>
          <w:tcPr>
            <w:tcW w:w="1137" w:type="dxa"/>
          </w:tcPr>
          <w:p w14:paraId="64DE955F" w14:textId="77777777" w:rsidR="00AD76D2" w:rsidRPr="00264D5D" w:rsidRDefault="00AD76D2" w:rsidP="00AD76D2">
            <w:pPr>
              <w:pStyle w:val="GOSTTablenorm"/>
              <w:widowControl w:val="0"/>
            </w:pPr>
            <w:r w:rsidRPr="00264D5D">
              <w:t>tAPBASTR</w:t>
            </w:r>
          </w:p>
        </w:tc>
        <w:tc>
          <w:tcPr>
            <w:tcW w:w="555" w:type="dxa"/>
          </w:tcPr>
          <w:p w14:paraId="4A1553D3" w14:textId="77777777" w:rsidR="00AD76D2" w:rsidRPr="00264D5D" w:rsidRDefault="00AD76D2" w:rsidP="00AD76D2">
            <w:pPr>
              <w:pStyle w:val="GOSTTablenorm"/>
              <w:widowControl w:val="0"/>
              <w:jc w:val="center"/>
            </w:pPr>
            <w:r w:rsidRPr="00264D5D">
              <w:t>Н</w:t>
            </w:r>
          </w:p>
        </w:tc>
        <w:tc>
          <w:tcPr>
            <w:tcW w:w="3984" w:type="dxa"/>
            <w:gridSpan w:val="2"/>
          </w:tcPr>
          <w:p w14:paraId="2F3D983A" w14:textId="07A0C1B4" w:rsidR="00AD76D2" w:rsidRPr="00264D5D" w:rsidRDefault="00AD76D2" w:rsidP="00AD76D2">
            <w:pPr>
              <w:pStyle w:val="GOSTTablenorm"/>
              <w:widowControl w:val="0"/>
            </w:pPr>
            <w:r w:rsidRPr="00264D5D">
              <w:t xml:space="preserve">Состав элемента представлен в таблице </w:t>
            </w:r>
            <w:r w:rsidRPr="00264D5D">
              <w:rPr>
                <w:b/>
              </w:rPr>
              <w:fldChar w:fldCharType="begin"/>
            </w:r>
            <w:r w:rsidRPr="00264D5D">
              <w:rPr>
                <w:b/>
              </w:rPr>
              <w:instrText xml:space="preserve"> REF _Ref492311078 \h  \* MERGEFORMAT </w:instrText>
            </w:r>
            <w:r w:rsidRPr="00264D5D">
              <w:rPr>
                <w:b/>
              </w:rPr>
            </w:r>
            <w:r w:rsidRPr="00264D5D">
              <w:rPr>
                <w:b/>
              </w:rPr>
              <w:fldChar w:fldCharType="separate"/>
            </w:r>
            <w:r w:rsidR="008D797C" w:rsidRPr="008D797C">
              <w:rPr>
                <w:b/>
              </w:rPr>
              <w:t>36</w:t>
            </w:r>
            <w:r w:rsidRPr="00264D5D">
              <w:rPr>
                <w:b/>
              </w:rPr>
              <w:fldChar w:fldCharType="end"/>
            </w:r>
          </w:p>
        </w:tc>
      </w:tr>
      <w:tr w:rsidR="00AD76D2" w:rsidRPr="00264D5D" w14:paraId="03EB6566" w14:textId="77777777" w:rsidTr="00AD76D2">
        <w:trPr>
          <w:cnfStyle w:val="000000100000" w:firstRow="0" w:lastRow="0" w:firstColumn="0" w:lastColumn="0" w:oddVBand="0" w:evenVBand="0" w:oddHBand="1" w:evenHBand="0" w:firstRowFirstColumn="0" w:firstRowLastColumn="0" w:lastRowFirstColumn="0" w:lastRowLastColumn="0"/>
        </w:trPr>
        <w:tc>
          <w:tcPr>
            <w:tcW w:w="9656" w:type="dxa"/>
            <w:gridSpan w:val="7"/>
          </w:tcPr>
          <w:p w14:paraId="184AAD69" w14:textId="77777777" w:rsidR="00AD76D2" w:rsidRPr="00264D5D" w:rsidRDefault="00AD76D2" w:rsidP="00AD76D2">
            <w:pPr>
              <w:pStyle w:val="GOSTTablenorm"/>
              <w:widowControl w:val="0"/>
            </w:pPr>
            <w:r w:rsidRPr="00264D5D">
              <w:rPr>
                <w:b/>
              </w:rPr>
              <w:t>Раздел 2. Лимиты бюджетных обязательств</w:t>
            </w:r>
          </w:p>
        </w:tc>
      </w:tr>
      <w:tr w:rsidR="00AD76D2" w:rsidRPr="00264D5D" w14:paraId="2C4A6D4A" w14:textId="77777777" w:rsidTr="00AD76D2">
        <w:trPr>
          <w:cnfStyle w:val="000000010000" w:firstRow="0" w:lastRow="0" w:firstColumn="0" w:lastColumn="0" w:oddVBand="0" w:evenVBand="0" w:oddHBand="0" w:evenHBand="1" w:firstRowFirstColumn="0" w:firstRowLastColumn="0" w:lastRowFirstColumn="0" w:lastRowLastColumn="0"/>
        </w:trPr>
        <w:tc>
          <w:tcPr>
            <w:tcW w:w="1707" w:type="dxa"/>
          </w:tcPr>
          <w:p w14:paraId="789D9BC5" w14:textId="77777777" w:rsidR="00AD76D2" w:rsidRPr="00264D5D" w:rsidRDefault="00AD76D2" w:rsidP="00AD76D2">
            <w:pPr>
              <w:pStyle w:val="GOSTTablenorm"/>
              <w:widowControl w:val="0"/>
            </w:pPr>
            <w:r w:rsidRPr="00264D5D">
              <w:t>Дата введение в действие раздела ЛБО РР</w:t>
            </w:r>
          </w:p>
        </w:tc>
        <w:tc>
          <w:tcPr>
            <w:tcW w:w="1705" w:type="dxa"/>
          </w:tcPr>
          <w:p w14:paraId="516DCABA" w14:textId="77777777" w:rsidR="00AD76D2" w:rsidRPr="00264D5D" w:rsidRDefault="00AD76D2" w:rsidP="00AD76D2">
            <w:pPr>
              <w:pStyle w:val="GOSTTablenorm"/>
              <w:widowControl w:val="0"/>
            </w:pPr>
            <w:r w:rsidRPr="00264D5D">
              <w:t>DctDtUTVLBO</w:t>
            </w:r>
          </w:p>
        </w:tc>
        <w:tc>
          <w:tcPr>
            <w:tcW w:w="568" w:type="dxa"/>
          </w:tcPr>
          <w:p w14:paraId="7C072CA4" w14:textId="77777777" w:rsidR="00AD76D2" w:rsidRPr="00264D5D" w:rsidRDefault="00AD76D2" w:rsidP="00AD76D2">
            <w:pPr>
              <w:pStyle w:val="GOSTTablenorm"/>
              <w:widowControl w:val="0"/>
              <w:jc w:val="center"/>
            </w:pPr>
            <w:r w:rsidRPr="00264D5D">
              <w:t>П</w:t>
            </w:r>
          </w:p>
        </w:tc>
        <w:tc>
          <w:tcPr>
            <w:tcW w:w="1137" w:type="dxa"/>
          </w:tcPr>
          <w:p w14:paraId="3A487F12" w14:textId="77777777" w:rsidR="00AD76D2" w:rsidRPr="00264D5D" w:rsidRDefault="00AD76D2" w:rsidP="00AD76D2">
            <w:pPr>
              <w:pStyle w:val="GOSTTablenorm"/>
              <w:widowControl w:val="0"/>
              <w:rPr>
                <w:lang w:val="en-US"/>
              </w:rPr>
            </w:pPr>
            <w:r w:rsidRPr="00264D5D">
              <w:t>Date</w:t>
            </w:r>
          </w:p>
        </w:tc>
        <w:tc>
          <w:tcPr>
            <w:tcW w:w="555" w:type="dxa"/>
          </w:tcPr>
          <w:p w14:paraId="0A3FBA2C" w14:textId="77777777" w:rsidR="00AD76D2" w:rsidRPr="00264D5D" w:rsidRDefault="00AD76D2" w:rsidP="00AD76D2">
            <w:pPr>
              <w:pStyle w:val="GOSTTablenorm"/>
              <w:widowControl w:val="0"/>
              <w:jc w:val="center"/>
            </w:pPr>
            <w:r w:rsidRPr="00264D5D">
              <w:t>Н</w:t>
            </w:r>
          </w:p>
        </w:tc>
        <w:tc>
          <w:tcPr>
            <w:tcW w:w="3984" w:type="dxa"/>
            <w:gridSpan w:val="2"/>
          </w:tcPr>
          <w:p w14:paraId="49D5DB49" w14:textId="77777777" w:rsidR="00AD76D2" w:rsidRPr="00264D5D" w:rsidRDefault="00AD76D2" w:rsidP="00AD76D2">
            <w:pPr>
              <w:pStyle w:val="GOSTTablenorm"/>
              <w:widowControl w:val="0"/>
            </w:pPr>
            <w:r w:rsidRPr="00264D5D">
              <w:t>Поле не заполняется, если у РР заполнена дата введения в действие РР (APRC_DctDtUTV) и даты введения в действие разделов РР (DctDtUTVBA, DctDtUTVLBO, DctDtUTVPOF) равны дате введения в действие РР. Даты введения в действие разделов РР (DctDtUTVBA, DctDtUTVLBO, DctDtUTVPOF) не должны быть ранее даты введения в действие РР (APRC_DctDtUTV), если оно заполнено</w:t>
            </w:r>
          </w:p>
        </w:tc>
      </w:tr>
      <w:tr w:rsidR="00AD76D2" w:rsidRPr="00264D5D" w14:paraId="55E6937F" w14:textId="77777777" w:rsidTr="00AD76D2">
        <w:trPr>
          <w:cnfStyle w:val="000000100000" w:firstRow="0" w:lastRow="0" w:firstColumn="0" w:lastColumn="0" w:oddVBand="0" w:evenVBand="0" w:oddHBand="1" w:evenHBand="0" w:firstRowFirstColumn="0" w:firstRowLastColumn="0" w:lastRowFirstColumn="0" w:lastRowLastColumn="0"/>
        </w:trPr>
        <w:tc>
          <w:tcPr>
            <w:tcW w:w="1707" w:type="dxa"/>
          </w:tcPr>
          <w:p w14:paraId="3E4F8DB2" w14:textId="77777777" w:rsidR="00AD76D2" w:rsidRPr="00264D5D" w:rsidRDefault="00AD76D2" w:rsidP="00AD76D2">
            <w:pPr>
              <w:pStyle w:val="GOSTTablenorm"/>
              <w:widowControl w:val="0"/>
            </w:pPr>
            <w:r w:rsidRPr="00264D5D">
              <w:t>Лимиты бюджетных обязательств</w:t>
            </w:r>
          </w:p>
        </w:tc>
        <w:tc>
          <w:tcPr>
            <w:tcW w:w="1705" w:type="dxa"/>
          </w:tcPr>
          <w:p w14:paraId="0CFBA907" w14:textId="77777777" w:rsidR="00AD76D2" w:rsidRPr="00264D5D" w:rsidRDefault="00AD76D2" w:rsidP="00AD76D2">
            <w:pPr>
              <w:pStyle w:val="GOSTTablenorm"/>
              <w:widowControl w:val="0"/>
            </w:pPr>
            <w:r w:rsidRPr="00264D5D">
              <w:t>APLBOSTR</w:t>
            </w:r>
          </w:p>
        </w:tc>
        <w:tc>
          <w:tcPr>
            <w:tcW w:w="568" w:type="dxa"/>
          </w:tcPr>
          <w:p w14:paraId="2D903056" w14:textId="77777777" w:rsidR="00AD76D2" w:rsidRPr="00264D5D" w:rsidRDefault="00AD76D2" w:rsidP="00AD76D2">
            <w:pPr>
              <w:pStyle w:val="GOSTTablenorm"/>
              <w:widowControl w:val="0"/>
              <w:jc w:val="center"/>
            </w:pPr>
            <w:r w:rsidRPr="00264D5D">
              <w:t>С</w:t>
            </w:r>
          </w:p>
        </w:tc>
        <w:tc>
          <w:tcPr>
            <w:tcW w:w="1137" w:type="dxa"/>
          </w:tcPr>
          <w:p w14:paraId="0F9B0EF7" w14:textId="77777777" w:rsidR="00AD76D2" w:rsidRPr="00264D5D" w:rsidRDefault="00AD76D2" w:rsidP="00AD76D2">
            <w:pPr>
              <w:pStyle w:val="GOSTTablenorm"/>
              <w:widowControl w:val="0"/>
            </w:pPr>
            <w:r w:rsidRPr="00264D5D">
              <w:t>tAPLBOSTR</w:t>
            </w:r>
          </w:p>
        </w:tc>
        <w:tc>
          <w:tcPr>
            <w:tcW w:w="555" w:type="dxa"/>
          </w:tcPr>
          <w:p w14:paraId="4A99C44A" w14:textId="77777777" w:rsidR="00AD76D2" w:rsidRPr="00264D5D" w:rsidRDefault="00AD76D2" w:rsidP="00AD76D2">
            <w:pPr>
              <w:pStyle w:val="GOSTTablenorm"/>
              <w:widowControl w:val="0"/>
              <w:jc w:val="center"/>
            </w:pPr>
            <w:r w:rsidRPr="00264D5D">
              <w:t>Н</w:t>
            </w:r>
          </w:p>
        </w:tc>
        <w:tc>
          <w:tcPr>
            <w:tcW w:w="3984" w:type="dxa"/>
            <w:gridSpan w:val="2"/>
          </w:tcPr>
          <w:p w14:paraId="080C2B52" w14:textId="236CF20B" w:rsidR="00AD76D2" w:rsidRPr="00264D5D" w:rsidRDefault="00AD76D2" w:rsidP="00AD76D2">
            <w:pPr>
              <w:pStyle w:val="GOSTTablenorm"/>
              <w:widowControl w:val="0"/>
            </w:pPr>
            <w:r w:rsidRPr="00264D5D">
              <w:t xml:space="preserve">Состав элемента представлен в таблице </w:t>
            </w:r>
            <w:r w:rsidRPr="00264D5D">
              <w:rPr>
                <w:b/>
              </w:rPr>
              <w:fldChar w:fldCharType="begin"/>
            </w:r>
            <w:r w:rsidRPr="00264D5D">
              <w:rPr>
                <w:b/>
              </w:rPr>
              <w:instrText xml:space="preserve"> REF _Ref492311083 \h  \* MERGEFORMAT </w:instrText>
            </w:r>
            <w:r w:rsidRPr="00264D5D">
              <w:rPr>
                <w:b/>
              </w:rPr>
            </w:r>
            <w:r w:rsidRPr="00264D5D">
              <w:rPr>
                <w:b/>
              </w:rPr>
              <w:fldChar w:fldCharType="separate"/>
            </w:r>
            <w:r w:rsidR="008D797C" w:rsidRPr="008D797C">
              <w:rPr>
                <w:b/>
              </w:rPr>
              <w:t>38</w:t>
            </w:r>
            <w:r w:rsidRPr="00264D5D">
              <w:rPr>
                <w:b/>
              </w:rPr>
              <w:fldChar w:fldCharType="end"/>
            </w:r>
          </w:p>
        </w:tc>
      </w:tr>
      <w:tr w:rsidR="00AD76D2" w:rsidRPr="00264D5D" w14:paraId="0DD10D0F" w14:textId="77777777" w:rsidTr="00AD76D2">
        <w:trPr>
          <w:cnfStyle w:val="000000010000" w:firstRow="0" w:lastRow="0" w:firstColumn="0" w:lastColumn="0" w:oddVBand="0" w:evenVBand="0" w:oddHBand="0" w:evenHBand="1" w:firstRowFirstColumn="0" w:firstRowLastColumn="0" w:lastRowFirstColumn="0" w:lastRowLastColumn="0"/>
        </w:trPr>
        <w:tc>
          <w:tcPr>
            <w:tcW w:w="9656" w:type="dxa"/>
            <w:gridSpan w:val="7"/>
          </w:tcPr>
          <w:p w14:paraId="09B55D82" w14:textId="77777777" w:rsidR="00AD76D2" w:rsidRPr="00264D5D" w:rsidRDefault="00AD76D2" w:rsidP="00AD76D2">
            <w:pPr>
              <w:pStyle w:val="GOSTTablenorm"/>
              <w:widowControl w:val="0"/>
            </w:pPr>
            <w:r w:rsidRPr="00264D5D">
              <w:rPr>
                <w:b/>
              </w:rPr>
              <w:t>Раздел 3. Предельные объемы финансирования</w:t>
            </w:r>
          </w:p>
        </w:tc>
      </w:tr>
      <w:tr w:rsidR="00AD76D2" w:rsidRPr="00264D5D" w14:paraId="36F88E42" w14:textId="77777777" w:rsidTr="00AD76D2">
        <w:trPr>
          <w:cnfStyle w:val="000000100000" w:firstRow="0" w:lastRow="0" w:firstColumn="0" w:lastColumn="0" w:oddVBand="0" w:evenVBand="0" w:oddHBand="1" w:evenHBand="0" w:firstRowFirstColumn="0" w:firstRowLastColumn="0" w:lastRowFirstColumn="0" w:lastRowLastColumn="0"/>
        </w:trPr>
        <w:tc>
          <w:tcPr>
            <w:tcW w:w="1707" w:type="dxa"/>
          </w:tcPr>
          <w:p w14:paraId="27EEC135" w14:textId="77777777" w:rsidR="00AD76D2" w:rsidRPr="00264D5D" w:rsidRDefault="00AD76D2" w:rsidP="00AD76D2">
            <w:pPr>
              <w:pStyle w:val="GOSTTablenorm"/>
              <w:widowControl w:val="0"/>
            </w:pPr>
            <w:r w:rsidRPr="00264D5D">
              <w:t>Дата введения в действие раздела ПОФ РР</w:t>
            </w:r>
          </w:p>
        </w:tc>
        <w:tc>
          <w:tcPr>
            <w:tcW w:w="1705" w:type="dxa"/>
          </w:tcPr>
          <w:p w14:paraId="0D76D00B" w14:textId="77777777" w:rsidR="00AD76D2" w:rsidRPr="00264D5D" w:rsidRDefault="00AD76D2" w:rsidP="00AD76D2">
            <w:pPr>
              <w:pStyle w:val="GOSTTablenorm"/>
              <w:widowControl w:val="0"/>
            </w:pPr>
            <w:r w:rsidRPr="00264D5D">
              <w:t>DctDtUTVPOF</w:t>
            </w:r>
          </w:p>
        </w:tc>
        <w:tc>
          <w:tcPr>
            <w:tcW w:w="568" w:type="dxa"/>
          </w:tcPr>
          <w:p w14:paraId="2217FBE8" w14:textId="77777777" w:rsidR="00AD76D2" w:rsidRPr="00264D5D" w:rsidRDefault="00AD76D2" w:rsidP="00AD76D2">
            <w:pPr>
              <w:pStyle w:val="GOSTTablenorm"/>
              <w:widowControl w:val="0"/>
              <w:jc w:val="center"/>
            </w:pPr>
            <w:r w:rsidRPr="00264D5D">
              <w:t>П</w:t>
            </w:r>
          </w:p>
        </w:tc>
        <w:tc>
          <w:tcPr>
            <w:tcW w:w="1137" w:type="dxa"/>
          </w:tcPr>
          <w:p w14:paraId="0D27B8D1" w14:textId="77777777" w:rsidR="00AD76D2" w:rsidRPr="00264D5D" w:rsidRDefault="00AD76D2" w:rsidP="00AD76D2">
            <w:pPr>
              <w:pStyle w:val="GOSTTablenorm"/>
              <w:widowControl w:val="0"/>
              <w:rPr>
                <w:lang w:val="en-US"/>
              </w:rPr>
            </w:pPr>
            <w:r w:rsidRPr="00264D5D">
              <w:t>Date</w:t>
            </w:r>
          </w:p>
        </w:tc>
        <w:tc>
          <w:tcPr>
            <w:tcW w:w="555" w:type="dxa"/>
          </w:tcPr>
          <w:p w14:paraId="47E9F2FB" w14:textId="77777777" w:rsidR="00AD76D2" w:rsidRPr="00264D5D" w:rsidRDefault="00AD76D2" w:rsidP="00AD76D2">
            <w:pPr>
              <w:pStyle w:val="GOSTTablenorm"/>
              <w:widowControl w:val="0"/>
              <w:jc w:val="center"/>
            </w:pPr>
            <w:r w:rsidRPr="00264D5D">
              <w:t>Н</w:t>
            </w:r>
          </w:p>
        </w:tc>
        <w:tc>
          <w:tcPr>
            <w:tcW w:w="3984" w:type="dxa"/>
            <w:gridSpan w:val="2"/>
          </w:tcPr>
          <w:p w14:paraId="751B64D7" w14:textId="77777777" w:rsidR="00AD76D2" w:rsidRPr="00264D5D" w:rsidRDefault="00AD76D2" w:rsidP="00AD76D2">
            <w:pPr>
              <w:pStyle w:val="GOSTTablenorm"/>
              <w:widowControl w:val="0"/>
            </w:pPr>
            <w:r w:rsidRPr="00264D5D">
              <w:t>Поле не заполняется, если у РР заполнена дата введения в действие РР (APRC_DctDtUTV) и даты введения в действие разделов РР (DctDtUTVBA, DctDtUTVLBO, DctDtUTVPOF) равны дате введения в действие РР. Даты введения в действие разделов РР (DctDtUTVBA, DctDtUTVLBO, DctDtUTVPOF) не должны быть ранее даты введения в действие РР (APRC_DctDtUTV), если оно заполнено</w:t>
            </w:r>
          </w:p>
        </w:tc>
      </w:tr>
      <w:tr w:rsidR="00AD76D2" w:rsidRPr="00264D5D" w14:paraId="7C18B13E" w14:textId="77777777" w:rsidTr="00AD76D2">
        <w:trPr>
          <w:cnfStyle w:val="000000010000" w:firstRow="0" w:lastRow="0" w:firstColumn="0" w:lastColumn="0" w:oddVBand="0" w:evenVBand="0" w:oddHBand="0" w:evenHBand="1" w:firstRowFirstColumn="0" w:firstRowLastColumn="0" w:lastRowFirstColumn="0" w:lastRowLastColumn="0"/>
        </w:trPr>
        <w:tc>
          <w:tcPr>
            <w:tcW w:w="1707" w:type="dxa"/>
          </w:tcPr>
          <w:p w14:paraId="78764115" w14:textId="77777777" w:rsidR="00AD76D2" w:rsidRPr="00264D5D" w:rsidRDefault="00AD76D2" w:rsidP="00AD76D2">
            <w:pPr>
              <w:pStyle w:val="GOSTTablenorm"/>
              <w:widowControl w:val="0"/>
            </w:pPr>
            <w:r w:rsidRPr="00264D5D">
              <w:t>Предельные объемы финансирования</w:t>
            </w:r>
          </w:p>
        </w:tc>
        <w:tc>
          <w:tcPr>
            <w:tcW w:w="1705" w:type="dxa"/>
          </w:tcPr>
          <w:p w14:paraId="6BABAAED" w14:textId="77777777" w:rsidR="00AD76D2" w:rsidRPr="00264D5D" w:rsidRDefault="00AD76D2" w:rsidP="00AD76D2">
            <w:pPr>
              <w:pStyle w:val="GOSTTablenorm"/>
              <w:widowControl w:val="0"/>
            </w:pPr>
            <w:r w:rsidRPr="00264D5D">
              <w:t>APPOFSTR</w:t>
            </w:r>
          </w:p>
        </w:tc>
        <w:tc>
          <w:tcPr>
            <w:tcW w:w="568" w:type="dxa"/>
          </w:tcPr>
          <w:p w14:paraId="33C9404F" w14:textId="77777777" w:rsidR="00AD76D2" w:rsidRPr="00264D5D" w:rsidRDefault="00AD76D2" w:rsidP="00AD76D2">
            <w:pPr>
              <w:pStyle w:val="GOSTTablenorm"/>
              <w:widowControl w:val="0"/>
              <w:jc w:val="center"/>
            </w:pPr>
            <w:r w:rsidRPr="00264D5D">
              <w:t>С</w:t>
            </w:r>
          </w:p>
        </w:tc>
        <w:tc>
          <w:tcPr>
            <w:tcW w:w="1137" w:type="dxa"/>
          </w:tcPr>
          <w:p w14:paraId="4AB4D411" w14:textId="77777777" w:rsidR="00AD76D2" w:rsidRPr="00264D5D" w:rsidRDefault="00AD76D2" w:rsidP="00AD76D2">
            <w:pPr>
              <w:pStyle w:val="GOSTTablenorm"/>
              <w:widowControl w:val="0"/>
            </w:pPr>
            <w:r w:rsidRPr="00264D5D">
              <w:t>tAPPOFSTR</w:t>
            </w:r>
          </w:p>
        </w:tc>
        <w:tc>
          <w:tcPr>
            <w:tcW w:w="555" w:type="dxa"/>
          </w:tcPr>
          <w:p w14:paraId="163860F4" w14:textId="77777777" w:rsidR="00AD76D2" w:rsidRPr="00264D5D" w:rsidRDefault="00AD76D2" w:rsidP="00AD76D2">
            <w:pPr>
              <w:pStyle w:val="GOSTTablenorm"/>
              <w:widowControl w:val="0"/>
              <w:jc w:val="center"/>
            </w:pPr>
            <w:r w:rsidRPr="00264D5D">
              <w:t>Н</w:t>
            </w:r>
          </w:p>
        </w:tc>
        <w:tc>
          <w:tcPr>
            <w:tcW w:w="3984" w:type="dxa"/>
            <w:gridSpan w:val="2"/>
          </w:tcPr>
          <w:p w14:paraId="0BEC1CC7" w14:textId="7FAFDB8B" w:rsidR="00AD76D2" w:rsidRPr="00264D5D" w:rsidRDefault="00AD76D2" w:rsidP="00AD76D2">
            <w:pPr>
              <w:pStyle w:val="GOSTTablenorm"/>
              <w:widowControl w:val="0"/>
            </w:pPr>
            <w:r w:rsidRPr="00264D5D">
              <w:t xml:space="preserve">Состав элемента представлен в таблице </w:t>
            </w:r>
            <w:r w:rsidRPr="00264D5D">
              <w:rPr>
                <w:b/>
              </w:rPr>
              <w:fldChar w:fldCharType="begin"/>
            </w:r>
            <w:r w:rsidRPr="00264D5D">
              <w:rPr>
                <w:b/>
              </w:rPr>
              <w:instrText xml:space="preserve"> REF _Ref492311087 \h  \* MERGEFORMAT </w:instrText>
            </w:r>
            <w:r w:rsidRPr="00264D5D">
              <w:rPr>
                <w:b/>
              </w:rPr>
            </w:r>
            <w:r w:rsidRPr="00264D5D">
              <w:rPr>
                <w:b/>
              </w:rPr>
              <w:fldChar w:fldCharType="separate"/>
            </w:r>
            <w:r w:rsidR="008D797C" w:rsidRPr="008D797C">
              <w:rPr>
                <w:b/>
              </w:rPr>
              <w:t>41</w:t>
            </w:r>
            <w:r w:rsidRPr="00264D5D">
              <w:rPr>
                <w:b/>
              </w:rPr>
              <w:fldChar w:fldCharType="end"/>
            </w:r>
          </w:p>
        </w:tc>
      </w:tr>
      <w:tr w:rsidR="00AD76D2" w:rsidRPr="00264D5D" w14:paraId="7784AC63" w14:textId="77777777" w:rsidTr="00AD76D2">
        <w:trPr>
          <w:cnfStyle w:val="000000100000" w:firstRow="0" w:lastRow="0" w:firstColumn="0" w:lastColumn="0" w:oddVBand="0" w:evenVBand="0" w:oddHBand="1" w:evenHBand="0" w:firstRowFirstColumn="0" w:firstRowLastColumn="0" w:lastRowFirstColumn="0" w:lastRowLastColumn="0"/>
        </w:trPr>
        <w:tc>
          <w:tcPr>
            <w:tcW w:w="9656" w:type="dxa"/>
            <w:gridSpan w:val="7"/>
          </w:tcPr>
          <w:p w14:paraId="5A548524" w14:textId="77777777" w:rsidR="00AD76D2" w:rsidRPr="00264D5D" w:rsidRDefault="00AD76D2" w:rsidP="00AD76D2">
            <w:pPr>
              <w:pStyle w:val="GOSTTablenorm"/>
              <w:widowControl w:val="0"/>
            </w:pPr>
            <w:r w:rsidRPr="00264D5D">
              <w:rPr>
                <w:b/>
              </w:rPr>
              <w:lastRenderedPageBreak/>
              <w:t>Внутриведомственная реорганизация</w:t>
            </w:r>
          </w:p>
        </w:tc>
      </w:tr>
      <w:tr w:rsidR="00AD76D2" w:rsidRPr="00264D5D" w14:paraId="0F992AB4" w14:textId="77777777" w:rsidTr="00AD76D2">
        <w:trPr>
          <w:cnfStyle w:val="000000010000" w:firstRow="0" w:lastRow="0" w:firstColumn="0" w:lastColumn="0" w:oddVBand="0" w:evenVBand="0" w:oddHBand="0" w:evenHBand="1" w:firstRowFirstColumn="0" w:firstRowLastColumn="0" w:lastRowFirstColumn="0" w:lastRowLastColumn="0"/>
        </w:trPr>
        <w:tc>
          <w:tcPr>
            <w:tcW w:w="1707" w:type="dxa"/>
          </w:tcPr>
          <w:p w14:paraId="37D64AE6" w14:textId="77777777" w:rsidR="00AD76D2" w:rsidRPr="00264D5D" w:rsidRDefault="00AD76D2" w:rsidP="00AD76D2">
            <w:pPr>
              <w:pStyle w:val="GOSTTablenorm"/>
              <w:widowControl w:val="0"/>
              <w:rPr>
                <w:color w:val="FF0000"/>
                <w:lang w:val="en-US"/>
              </w:rPr>
            </w:pPr>
            <w:r w:rsidRPr="00264D5D">
              <w:t>Внутриведомственная реорганизация</w:t>
            </w:r>
          </w:p>
        </w:tc>
        <w:tc>
          <w:tcPr>
            <w:tcW w:w="1705" w:type="dxa"/>
          </w:tcPr>
          <w:p w14:paraId="330439FD" w14:textId="77777777" w:rsidR="00AD76D2" w:rsidRPr="00264D5D" w:rsidRDefault="00AD76D2" w:rsidP="00AD76D2">
            <w:pPr>
              <w:pStyle w:val="GOSTTablenorm"/>
              <w:widowControl w:val="0"/>
              <w:rPr>
                <w:color w:val="FF0000"/>
                <w:lang w:val="en-US"/>
              </w:rPr>
            </w:pPr>
            <w:r w:rsidRPr="00264D5D">
              <w:t>APREORG</w:t>
            </w:r>
          </w:p>
        </w:tc>
        <w:tc>
          <w:tcPr>
            <w:tcW w:w="568" w:type="dxa"/>
          </w:tcPr>
          <w:p w14:paraId="44316FFC" w14:textId="77777777" w:rsidR="00AD76D2" w:rsidRPr="00264D5D" w:rsidRDefault="00AD76D2" w:rsidP="00AD76D2">
            <w:pPr>
              <w:pStyle w:val="GOSTTablenorm"/>
              <w:widowControl w:val="0"/>
              <w:jc w:val="center"/>
              <w:rPr>
                <w:color w:val="FF0000"/>
                <w:lang w:val="en-US"/>
              </w:rPr>
            </w:pPr>
            <w:r w:rsidRPr="00264D5D">
              <w:t>С</w:t>
            </w:r>
          </w:p>
        </w:tc>
        <w:tc>
          <w:tcPr>
            <w:tcW w:w="1137" w:type="dxa"/>
          </w:tcPr>
          <w:p w14:paraId="37A1DE8E" w14:textId="77777777" w:rsidR="00AD76D2" w:rsidRPr="00264D5D" w:rsidRDefault="00AD76D2" w:rsidP="00AD76D2">
            <w:pPr>
              <w:pStyle w:val="GOSTTablenorm"/>
              <w:widowControl w:val="0"/>
              <w:rPr>
                <w:color w:val="FF0000"/>
                <w:lang w:val="en-US"/>
              </w:rPr>
            </w:pPr>
            <w:r w:rsidRPr="00264D5D">
              <w:t>tAPREORG</w:t>
            </w:r>
          </w:p>
        </w:tc>
        <w:tc>
          <w:tcPr>
            <w:tcW w:w="555" w:type="dxa"/>
          </w:tcPr>
          <w:p w14:paraId="57E3B66A" w14:textId="77777777" w:rsidR="00AD76D2" w:rsidRPr="00264D5D" w:rsidRDefault="00AD76D2" w:rsidP="00AD76D2">
            <w:pPr>
              <w:pStyle w:val="GOSTTablenorm"/>
              <w:widowControl w:val="0"/>
              <w:jc w:val="center"/>
              <w:rPr>
                <w:color w:val="FF0000"/>
                <w:lang w:val="en-US"/>
              </w:rPr>
            </w:pPr>
            <w:r w:rsidRPr="00264D5D">
              <w:t>Н</w:t>
            </w:r>
          </w:p>
        </w:tc>
        <w:tc>
          <w:tcPr>
            <w:tcW w:w="3984" w:type="dxa"/>
            <w:gridSpan w:val="2"/>
          </w:tcPr>
          <w:p w14:paraId="55D9EFA0" w14:textId="77777777" w:rsidR="00AD76D2" w:rsidRPr="00264D5D" w:rsidRDefault="00AD76D2" w:rsidP="00AD76D2">
            <w:pPr>
              <w:pStyle w:val="GOSTTablenorm"/>
              <w:widowControl w:val="0"/>
            </w:pPr>
            <w:r w:rsidRPr="00264D5D">
              <w:t>Блок обязателен для заполнения, если код спец. указания = 02.</w:t>
            </w:r>
          </w:p>
          <w:p w14:paraId="24CAB547" w14:textId="17A635BE" w:rsidR="00AD76D2" w:rsidRPr="00264D5D" w:rsidRDefault="00AD76D2" w:rsidP="00AD76D2">
            <w:pPr>
              <w:pStyle w:val="GOSTTablenorm"/>
              <w:widowControl w:val="0"/>
              <w:rPr>
                <w:color w:val="FF0000"/>
              </w:rPr>
            </w:pPr>
            <w:r w:rsidRPr="00264D5D">
              <w:t xml:space="preserve">Состав элемента представлен в таблице </w:t>
            </w:r>
            <w:r w:rsidRPr="00264D5D">
              <w:rPr>
                <w:b/>
              </w:rPr>
              <w:fldChar w:fldCharType="begin"/>
            </w:r>
            <w:r w:rsidRPr="00264D5D">
              <w:rPr>
                <w:b/>
              </w:rPr>
              <w:instrText xml:space="preserve"> REF _Ref492295992 \h  \* MERGEFORMAT </w:instrText>
            </w:r>
            <w:r w:rsidRPr="00264D5D">
              <w:rPr>
                <w:b/>
              </w:rPr>
            </w:r>
            <w:r w:rsidRPr="00264D5D">
              <w:rPr>
                <w:b/>
              </w:rPr>
              <w:fldChar w:fldCharType="separate"/>
            </w:r>
            <w:r w:rsidR="008D797C" w:rsidRPr="008D797C">
              <w:rPr>
                <w:b/>
              </w:rPr>
              <w:t>26</w:t>
            </w:r>
            <w:r w:rsidRPr="00264D5D">
              <w:rPr>
                <w:b/>
              </w:rPr>
              <w:fldChar w:fldCharType="end"/>
            </w:r>
          </w:p>
        </w:tc>
      </w:tr>
      <w:tr w:rsidR="00AD76D2" w:rsidRPr="00264D5D" w14:paraId="08184D28" w14:textId="77777777" w:rsidTr="00AD76D2">
        <w:trPr>
          <w:cnfStyle w:val="000000100000" w:firstRow="0" w:lastRow="0" w:firstColumn="0" w:lastColumn="0" w:oddVBand="0" w:evenVBand="0" w:oddHBand="1" w:evenHBand="0" w:firstRowFirstColumn="0" w:firstRowLastColumn="0" w:lastRowFirstColumn="0" w:lastRowLastColumn="0"/>
        </w:trPr>
        <w:tc>
          <w:tcPr>
            <w:tcW w:w="9656" w:type="dxa"/>
            <w:gridSpan w:val="7"/>
          </w:tcPr>
          <w:p w14:paraId="020800EE" w14:textId="77777777" w:rsidR="00AD76D2" w:rsidRPr="00264D5D" w:rsidRDefault="00AD76D2" w:rsidP="00AD76D2">
            <w:pPr>
              <w:pStyle w:val="GOSTTablenorm"/>
              <w:widowControl w:val="0"/>
            </w:pPr>
            <w:r w:rsidRPr="00264D5D">
              <w:rPr>
                <w:b/>
              </w:rPr>
              <w:t>ЭП</w:t>
            </w:r>
          </w:p>
        </w:tc>
      </w:tr>
      <w:tr w:rsidR="00AD76D2" w:rsidRPr="00264D5D" w14:paraId="0F455A42" w14:textId="77777777" w:rsidTr="00AD76D2">
        <w:trPr>
          <w:cnfStyle w:val="000000010000" w:firstRow="0" w:lastRow="0" w:firstColumn="0" w:lastColumn="0" w:oddVBand="0" w:evenVBand="0" w:oddHBand="0" w:evenHBand="1" w:firstRowFirstColumn="0" w:firstRowLastColumn="0" w:lastRowFirstColumn="0" w:lastRowLastColumn="0"/>
        </w:trPr>
        <w:tc>
          <w:tcPr>
            <w:tcW w:w="1707" w:type="dxa"/>
          </w:tcPr>
          <w:p w14:paraId="2754AED5" w14:textId="77777777" w:rsidR="00AD76D2" w:rsidRPr="00264D5D" w:rsidRDefault="00AD76D2" w:rsidP="00AD76D2">
            <w:pPr>
              <w:pStyle w:val="GOSTTablenorm"/>
              <w:widowControl w:val="0"/>
            </w:pPr>
            <w:r w:rsidRPr="00264D5D">
              <w:t>Электронная подпись</w:t>
            </w:r>
          </w:p>
        </w:tc>
        <w:tc>
          <w:tcPr>
            <w:tcW w:w="1705" w:type="dxa"/>
          </w:tcPr>
          <w:p w14:paraId="76C3EDCB" w14:textId="77777777" w:rsidR="00AD76D2" w:rsidRPr="00264D5D" w:rsidRDefault="00AD76D2" w:rsidP="00AD76D2">
            <w:pPr>
              <w:pStyle w:val="GOSTTablenorm"/>
              <w:widowControl w:val="0"/>
            </w:pPr>
            <w:r w:rsidRPr="00264D5D">
              <w:t>Signature</w:t>
            </w:r>
          </w:p>
        </w:tc>
        <w:tc>
          <w:tcPr>
            <w:tcW w:w="568" w:type="dxa"/>
          </w:tcPr>
          <w:p w14:paraId="55868031" w14:textId="77777777" w:rsidR="00AD76D2" w:rsidRPr="00264D5D" w:rsidRDefault="00AD76D2" w:rsidP="00AD76D2">
            <w:pPr>
              <w:pStyle w:val="GOSTTablenorm"/>
              <w:widowControl w:val="0"/>
              <w:jc w:val="center"/>
            </w:pPr>
            <w:r w:rsidRPr="00264D5D">
              <w:t>С</w:t>
            </w:r>
          </w:p>
        </w:tc>
        <w:tc>
          <w:tcPr>
            <w:tcW w:w="1137" w:type="dxa"/>
          </w:tcPr>
          <w:p w14:paraId="23F0A833" w14:textId="77777777" w:rsidR="00AD76D2" w:rsidRPr="00264D5D" w:rsidRDefault="00AD76D2" w:rsidP="00AD76D2">
            <w:pPr>
              <w:pStyle w:val="GOSTTablenorm"/>
              <w:widowControl w:val="0"/>
            </w:pPr>
            <w:r w:rsidRPr="00264D5D">
              <w:rPr>
                <w:rFonts w:eastAsia="Calibri"/>
              </w:rPr>
              <w:t>SignatureType</w:t>
            </w:r>
          </w:p>
        </w:tc>
        <w:tc>
          <w:tcPr>
            <w:tcW w:w="555" w:type="dxa"/>
          </w:tcPr>
          <w:p w14:paraId="6271828B" w14:textId="77777777" w:rsidR="00AD76D2" w:rsidRPr="00264D5D" w:rsidRDefault="00AD76D2" w:rsidP="00AD76D2">
            <w:pPr>
              <w:pStyle w:val="GOSTTablenorm"/>
              <w:widowControl w:val="0"/>
              <w:jc w:val="center"/>
            </w:pPr>
            <w:r w:rsidRPr="00264D5D">
              <w:t>О</w:t>
            </w:r>
          </w:p>
        </w:tc>
        <w:tc>
          <w:tcPr>
            <w:tcW w:w="3984" w:type="dxa"/>
            <w:gridSpan w:val="2"/>
          </w:tcPr>
          <w:p w14:paraId="37A9FC6B" w14:textId="77777777" w:rsidR="00AD76D2" w:rsidRPr="00264D5D" w:rsidRDefault="00AD76D2" w:rsidP="00AD76D2">
            <w:pPr>
              <w:pStyle w:val="GOSTTablenorm"/>
              <w:widowControl w:val="0"/>
            </w:pPr>
            <w:r w:rsidRPr="00264D5D">
              <w:t>Блок подписи в формате XAdes. Указывается как референс согласно формату подписи XAdes</w:t>
            </w:r>
          </w:p>
        </w:tc>
      </w:tr>
    </w:tbl>
    <w:p w14:paraId="72A45118" w14:textId="77777777" w:rsidR="00AD1F54" w:rsidRPr="00264D5D" w:rsidRDefault="00941227">
      <w:pPr>
        <w:pStyle w:val="31"/>
      </w:pPr>
      <w:bookmarkStart w:id="598" w:name="_Toc21014535"/>
      <w:bookmarkStart w:id="599" w:name="_Toc219309462"/>
      <w:r w:rsidRPr="00264D5D">
        <w:t>Описание комплексного типа «tAPREORG»</w:t>
      </w:r>
      <w:bookmarkEnd w:id="598"/>
      <w:bookmarkEnd w:id="599"/>
    </w:p>
    <w:p w14:paraId="24C7EBA0" w14:textId="77777777" w:rsidR="00AD1F54" w:rsidRPr="00264D5D" w:rsidRDefault="00941227">
      <w:pPr>
        <w:pStyle w:val="GOSTNormal"/>
        <w:widowControl w:val="0"/>
      </w:pPr>
      <w:r w:rsidRPr="00264D5D">
        <w:t>Описание комплексного типа «tAPREORG» блока «Внутриведомственная реорганизация».</w:t>
      </w:r>
    </w:p>
    <w:p w14:paraId="24A70DCD" w14:textId="70EE7D20" w:rsidR="00AD1F54" w:rsidRPr="00264D5D" w:rsidRDefault="00941227">
      <w:pPr>
        <w:pStyle w:val="GOSTNameTable"/>
        <w:widowControl w:val="0"/>
        <w:numPr>
          <w:ilvl w:val="0"/>
          <w:numId w:val="2"/>
        </w:numPr>
        <w:tabs>
          <w:tab w:val="num" w:pos="425"/>
        </w:tabs>
        <w:spacing w:before="60" w:after="60"/>
        <w:ind w:left="57" w:right="57" w:firstLine="0"/>
      </w:pPr>
      <w:r w:rsidRPr="00264D5D">
        <w:fldChar w:fldCharType="begin"/>
      </w:r>
      <w:r w:rsidRPr="00264D5D">
        <w:instrText>SEQ Таблица \* ARABIC</w:instrText>
      </w:r>
      <w:r w:rsidRPr="00264D5D">
        <w:fldChar w:fldCharType="separate"/>
      </w:r>
      <w:bookmarkStart w:id="600" w:name="_Ref492295992"/>
      <w:bookmarkStart w:id="601" w:name="_Toc21014628"/>
      <w:bookmarkStart w:id="602" w:name="_Toc219309056"/>
      <w:r w:rsidR="008D797C">
        <w:rPr>
          <w:noProof/>
        </w:rPr>
        <w:t>26</w:t>
      </w:r>
      <w:bookmarkEnd w:id="600"/>
      <w:r w:rsidRPr="00264D5D">
        <w:fldChar w:fldCharType="end"/>
      </w:r>
      <w:r w:rsidRPr="00264D5D">
        <w:rPr>
          <w:rFonts w:eastAsia="Calibri"/>
          <w:szCs w:val="24"/>
        </w:rPr>
        <w:t xml:space="preserve"> – </w:t>
      </w:r>
      <w:bookmarkEnd w:id="601"/>
      <w:r w:rsidRPr="00264D5D">
        <w:t>Описание комплексного типа «tAPREORG»</w:t>
      </w:r>
      <w:bookmarkEnd w:id="602"/>
    </w:p>
    <w:tbl>
      <w:tblPr>
        <w:tblStyle w:val="GOSTTable"/>
        <w:tblW w:w="5000" w:type="pct"/>
        <w:tblLayout w:type="fixed"/>
        <w:tblLook w:val="04A0" w:firstRow="1" w:lastRow="0" w:firstColumn="1" w:lastColumn="0" w:noHBand="0" w:noVBand="1"/>
      </w:tblPr>
      <w:tblGrid>
        <w:gridCol w:w="1703"/>
        <w:gridCol w:w="1704"/>
        <w:gridCol w:w="568"/>
        <w:gridCol w:w="1136"/>
        <w:gridCol w:w="568"/>
        <w:gridCol w:w="3971"/>
      </w:tblGrid>
      <w:tr w:rsidR="00AD1F54" w:rsidRPr="00264D5D" w14:paraId="10884A8E"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37C93F8C" w14:textId="77777777" w:rsidR="00AD1F54" w:rsidRPr="00264D5D" w:rsidRDefault="00941227">
            <w:pPr>
              <w:pStyle w:val="GOSTTableHead"/>
              <w:keepNext w:val="0"/>
              <w:widowControl w:val="0"/>
            </w:pPr>
            <w:r w:rsidRPr="00264D5D">
              <w:rPr>
                <w:szCs w:val="22"/>
              </w:rPr>
              <w:t>Наименование элемента</w:t>
            </w:r>
          </w:p>
        </w:tc>
        <w:tc>
          <w:tcPr>
            <w:tcW w:w="1701" w:type="dxa"/>
          </w:tcPr>
          <w:p w14:paraId="3E97C20A" w14:textId="77777777" w:rsidR="00AD1F54" w:rsidRPr="00264D5D" w:rsidRDefault="00941227">
            <w:pPr>
              <w:pStyle w:val="GOSTTableHead"/>
              <w:keepNext w:val="0"/>
              <w:widowControl w:val="0"/>
            </w:pPr>
            <w:r w:rsidRPr="00264D5D">
              <w:rPr>
                <w:szCs w:val="22"/>
              </w:rPr>
              <w:t>Сокращенное наименование (код) элемента</w:t>
            </w:r>
          </w:p>
        </w:tc>
        <w:tc>
          <w:tcPr>
            <w:tcW w:w="567" w:type="dxa"/>
          </w:tcPr>
          <w:p w14:paraId="5EFBCDDA" w14:textId="77777777" w:rsidR="00AD1F54" w:rsidRPr="00264D5D" w:rsidRDefault="00941227">
            <w:pPr>
              <w:pStyle w:val="GOSTTableHead"/>
              <w:keepNext w:val="0"/>
              <w:widowControl w:val="0"/>
            </w:pPr>
            <w:r w:rsidRPr="00264D5D">
              <w:rPr>
                <w:szCs w:val="22"/>
              </w:rPr>
              <w:t>Тип</w:t>
            </w:r>
          </w:p>
        </w:tc>
        <w:tc>
          <w:tcPr>
            <w:tcW w:w="1134" w:type="dxa"/>
          </w:tcPr>
          <w:p w14:paraId="7D150453" w14:textId="77777777" w:rsidR="00AD1F54" w:rsidRPr="00264D5D" w:rsidRDefault="00941227">
            <w:pPr>
              <w:pStyle w:val="GOSTTableHead"/>
              <w:keepNext w:val="0"/>
              <w:widowControl w:val="0"/>
            </w:pPr>
            <w:r w:rsidRPr="00264D5D">
              <w:rPr>
                <w:szCs w:val="22"/>
              </w:rPr>
              <w:t>Формат элемента</w:t>
            </w:r>
          </w:p>
        </w:tc>
        <w:tc>
          <w:tcPr>
            <w:tcW w:w="567" w:type="dxa"/>
          </w:tcPr>
          <w:p w14:paraId="2A53E614" w14:textId="77777777" w:rsidR="00AD1F54" w:rsidRPr="00264D5D" w:rsidRDefault="00941227">
            <w:pPr>
              <w:pStyle w:val="GOSTTableHead"/>
              <w:keepNext w:val="0"/>
              <w:widowControl w:val="0"/>
            </w:pPr>
            <w:r w:rsidRPr="00264D5D">
              <w:rPr>
                <w:szCs w:val="22"/>
              </w:rPr>
              <w:t>Обязательность</w:t>
            </w:r>
          </w:p>
        </w:tc>
        <w:tc>
          <w:tcPr>
            <w:tcW w:w="3964" w:type="dxa"/>
          </w:tcPr>
          <w:p w14:paraId="6FAE65E7" w14:textId="77777777" w:rsidR="00AD1F54" w:rsidRPr="00264D5D" w:rsidRDefault="00941227">
            <w:pPr>
              <w:pStyle w:val="GOSTTableHead"/>
              <w:keepNext w:val="0"/>
              <w:widowControl w:val="0"/>
            </w:pPr>
            <w:r w:rsidRPr="00264D5D">
              <w:rPr>
                <w:szCs w:val="22"/>
              </w:rPr>
              <w:t>Дополнительная информация</w:t>
            </w:r>
          </w:p>
        </w:tc>
      </w:tr>
      <w:tr w:rsidR="00AD1F54" w:rsidRPr="00264D5D" w14:paraId="614A4719"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57A0D1F9" w14:textId="77777777" w:rsidR="00AD1F54" w:rsidRPr="00264D5D" w:rsidRDefault="00941227">
            <w:pPr>
              <w:pStyle w:val="GOSTTablenorm"/>
              <w:widowControl w:val="0"/>
            </w:pPr>
            <w:r w:rsidRPr="00264D5D">
              <w:t>Код и полное наименование РБС/ АИФДБ, в непосредственном ведении которого находится, согласно прежней (новой) подчиненности, УБП, участвующего в реорганизации</w:t>
            </w:r>
          </w:p>
        </w:tc>
        <w:tc>
          <w:tcPr>
            <w:tcW w:w="1701" w:type="dxa"/>
          </w:tcPr>
          <w:p w14:paraId="4FA413A0" w14:textId="77777777" w:rsidR="00AD1F54" w:rsidRPr="00264D5D" w:rsidRDefault="00941227">
            <w:pPr>
              <w:pStyle w:val="GOSTTablenorm"/>
              <w:widowControl w:val="0"/>
            </w:pPr>
            <w:r w:rsidRPr="00264D5D">
              <w:t>MSC_PBS_UBP</w:t>
            </w:r>
          </w:p>
        </w:tc>
        <w:tc>
          <w:tcPr>
            <w:tcW w:w="567" w:type="dxa"/>
          </w:tcPr>
          <w:p w14:paraId="6491B69E" w14:textId="77777777" w:rsidR="00AD1F54" w:rsidRPr="00264D5D" w:rsidRDefault="00941227">
            <w:pPr>
              <w:pStyle w:val="GOSTTablenorm"/>
              <w:widowControl w:val="0"/>
              <w:jc w:val="center"/>
            </w:pPr>
            <w:r w:rsidRPr="00264D5D">
              <w:t>С</w:t>
            </w:r>
          </w:p>
        </w:tc>
        <w:tc>
          <w:tcPr>
            <w:tcW w:w="1134" w:type="dxa"/>
          </w:tcPr>
          <w:p w14:paraId="4517AEE7" w14:textId="77777777" w:rsidR="00AD1F54" w:rsidRPr="00264D5D" w:rsidRDefault="00941227">
            <w:pPr>
              <w:pStyle w:val="GOSTTablenorm"/>
              <w:widowControl w:val="0"/>
              <w:rPr>
                <w:lang w:val="en-US"/>
              </w:rPr>
            </w:pPr>
            <w:r w:rsidRPr="00264D5D">
              <w:t>tMSC_PBS_UBP</w:t>
            </w:r>
            <w:r w:rsidRPr="00264D5D">
              <w:rPr>
                <w:lang w:val="en-US"/>
              </w:rPr>
              <w:t>1</w:t>
            </w:r>
          </w:p>
        </w:tc>
        <w:tc>
          <w:tcPr>
            <w:tcW w:w="567" w:type="dxa"/>
          </w:tcPr>
          <w:p w14:paraId="389DB626" w14:textId="77777777" w:rsidR="00AD1F54" w:rsidRPr="00264D5D" w:rsidRDefault="00941227">
            <w:pPr>
              <w:pStyle w:val="GOSTTablenorm"/>
              <w:widowControl w:val="0"/>
              <w:jc w:val="center"/>
            </w:pPr>
            <w:r w:rsidRPr="00264D5D">
              <w:t>Н</w:t>
            </w:r>
          </w:p>
        </w:tc>
        <w:tc>
          <w:tcPr>
            <w:tcW w:w="3964" w:type="dxa"/>
          </w:tcPr>
          <w:p w14:paraId="1561AEAB" w14:textId="77777777" w:rsidR="00AD1F54" w:rsidRPr="00264D5D" w:rsidRDefault="00941227">
            <w:pPr>
              <w:pStyle w:val="GOSTTablenorm"/>
              <w:widowControl w:val="0"/>
            </w:pPr>
            <w:r w:rsidRPr="00264D5D">
              <w:t>Обязательно для заполнения, если реорганизуемый УБП не находится в непосредственном ведении РБС/АИФДБ, подготовившего РР.</w:t>
            </w:r>
          </w:p>
          <w:p w14:paraId="5F7687F2" w14:textId="7DBED23A" w:rsidR="00AD1F54" w:rsidRPr="00264D5D" w:rsidRDefault="00941227">
            <w:pPr>
              <w:pStyle w:val="GOSTTablenorm"/>
              <w:widowControl w:val="0"/>
            </w:pPr>
            <w:r w:rsidRPr="00264D5D">
              <w:t xml:space="preserve">Состав элемента представлен в таблице </w:t>
            </w:r>
            <w:r w:rsidRPr="00264D5D">
              <w:rPr>
                <w:b/>
              </w:rPr>
              <w:fldChar w:fldCharType="begin"/>
            </w:r>
            <w:r w:rsidRPr="00264D5D">
              <w:rPr>
                <w:b/>
              </w:rPr>
              <w:instrText xml:space="preserve"> REF _Ref492310937 \h  \* MERGEFORMAT </w:instrText>
            </w:r>
            <w:r w:rsidRPr="00264D5D">
              <w:rPr>
                <w:b/>
              </w:rPr>
            </w:r>
            <w:r w:rsidRPr="00264D5D">
              <w:rPr>
                <w:b/>
              </w:rPr>
              <w:fldChar w:fldCharType="separate"/>
            </w:r>
            <w:r w:rsidR="008D797C" w:rsidRPr="008D797C">
              <w:rPr>
                <w:b/>
              </w:rPr>
              <w:t>27</w:t>
            </w:r>
            <w:r w:rsidRPr="00264D5D">
              <w:rPr>
                <w:b/>
              </w:rPr>
              <w:fldChar w:fldCharType="end"/>
            </w:r>
          </w:p>
        </w:tc>
      </w:tr>
      <w:tr w:rsidR="00AD1F54" w:rsidRPr="00264D5D" w14:paraId="44379980"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9967168" w14:textId="77777777" w:rsidR="00AD1F54" w:rsidRPr="00264D5D" w:rsidRDefault="00941227">
            <w:pPr>
              <w:pStyle w:val="GOSTTablenorm"/>
              <w:widowControl w:val="0"/>
            </w:pPr>
            <w:r w:rsidRPr="00264D5D">
              <w:t>Код и полное наименование УБП, участвующего в реорганизации</w:t>
            </w:r>
          </w:p>
        </w:tc>
        <w:tc>
          <w:tcPr>
            <w:tcW w:w="1701" w:type="dxa"/>
          </w:tcPr>
          <w:p w14:paraId="1B898F21" w14:textId="77777777" w:rsidR="00AD1F54" w:rsidRPr="00264D5D" w:rsidRDefault="00941227">
            <w:pPr>
              <w:pStyle w:val="GOSTTablenorm"/>
              <w:widowControl w:val="0"/>
            </w:pPr>
            <w:r w:rsidRPr="00264D5D">
              <w:t>MSC_UBP</w:t>
            </w:r>
          </w:p>
        </w:tc>
        <w:tc>
          <w:tcPr>
            <w:tcW w:w="567" w:type="dxa"/>
          </w:tcPr>
          <w:p w14:paraId="0744B1A5" w14:textId="77777777" w:rsidR="00AD1F54" w:rsidRPr="00264D5D" w:rsidRDefault="00941227">
            <w:pPr>
              <w:pStyle w:val="GOSTTablenorm"/>
              <w:widowControl w:val="0"/>
              <w:jc w:val="center"/>
            </w:pPr>
            <w:r w:rsidRPr="00264D5D">
              <w:t>С</w:t>
            </w:r>
          </w:p>
        </w:tc>
        <w:tc>
          <w:tcPr>
            <w:tcW w:w="1134" w:type="dxa"/>
          </w:tcPr>
          <w:p w14:paraId="715FB372" w14:textId="77777777" w:rsidR="00AD1F54" w:rsidRPr="00264D5D" w:rsidRDefault="00941227">
            <w:pPr>
              <w:pStyle w:val="GOSTTablenorm"/>
              <w:widowControl w:val="0"/>
              <w:rPr>
                <w:lang w:val="en-US"/>
              </w:rPr>
            </w:pPr>
            <w:r w:rsidRPr="00264D5D">
              <w:t>tMSC_PBS_UBP</w:t>
            </w:r>
            <w:r w:rsidRPr="00264D5D">
              <w:rPr>
                <w:lang w:val="en-US"/>
              </w:rPr>
              <w:t>1</w:t>
            </w:r>
          </w:p>
        </w:tc>
        <w:tc>
          <w:tcPr>
            <w:tcW w:w="567" w:type="dxa"/>
          </w:tcPr>
          <w:p w14:paraId="7F741891" w14:textId="77777777" w:rsidR="00AD1F54" w:rsidRPr="00264D5D" w:rsidRDefault="00941227">
            <w:pPr>
              <w:pStyle w:val="GOSTTablenorm"/>
              <w:widowControl w:val="0"/>
              <w:jc w:val="center"/>
            </w:pPr>
            <w:r w:rsidRPr="00264D5D">
              <w:t>О</w:t>
            </w:r>
          </w:p>
        </w:tc>
        <w:tc>
          <w:tcPr>
            <w:tcW w:w="3964" w:type="dxa"/>
          </w:tcPr>
          <w:p w14:paraId="23DF7221" w14:textId="77777777" w:rsidR="00AD1F54" w:rsidRPr="00264D5D" w:rsidRDefault="00941227">
            <w:pPr>
              <w:pStyle w:val="GOSTTablenorm"/>
              <w:widowControl w:val="0"/>
            </w:pPr>
            <w:r w:rsidRPr="00264D5D">
              <w:t>Указывается код и полное наименование УБП (РБС, ПБС, ИПБС, АИФДБ ФБ с отдельными полномочиями ГАИФДБ, АИФДБ), участвующего в реорганизации.</w:t>
            </w:r>
          </w:p>
          <w:p w14:paraId="4E2A34C7" w14:textId="4F7C8254" w:rsidR="00AD1F54" w:rsidRPr="00264D5D" w:rsidRDefault="00941227">
            <w:pPr>
              <w:pStyle w:val="GOSTTablenorm"/>
              <w:widowControl w:val="0"/>
            </w:pPr>
            <w:r w:rsidRPr="00264D5D">
              <w:t xml:space="preserve">Состав элемента представлен в таблице </w:t>
            </w:r>
            <w:r w:rsidRPr="00264D5D">
              <w:rPr>
                <w:b/>
              </w:rPr>
              <w:fldChar w:fldCharType="begin"/>
            </w:r>
            <w:r w:rsidRPr="00264D5D">
              <w:rPr>
                <w:b/>
              </w:rPr>
              <w:instrText xml:space="preserve"> REF _Ref492310937 \h  \* MERGEFORMAT </w:instrText>
            </w:r>
            <w:r w:rsidRPr="00264D5D">
              <w:rPr>
                <w:b/>
              </w:rPr>
            </w:r>
            <w:r w:rsidRPr="00264D5D">
              <w:rPr>
                <w:b/>
              </w:rPr>
              <w:fldChar w:fldCharType="separate"/>
            </w:r>
            <w:r w:rsidR="008D797C" w:rsidRPr="008D797C">
              <w:rPr>
                <w:b/>
              </w:rPr>
              <w:t>27</w:t>
            </w:r>
            <w:r w:rsidRPr="00264D5D">
              <w:rPr>
                <w:b/>
              </w:rPr>
              <w:fldChar w:fldCharType="end"/>
            </w:r>
          </w:p>
        </w:tc>
      </w:tr>
      <w:tr w:rsidR="00AD1F54" w:rsidRPr="00264D5D" w14:paraId="5C68260E"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40889DC" w14:textId="77777777" w:rsidR="00AD1F54" w:rsidRPr="00264D5D" w:rsidRDefault="00941227">
            <w:pPr>
              <w:pStyle w:val="GOSTTablenorm"/>
              <w:widowControl w:val="0"/>
            </w:pPr>
            <w:r w:rsidRPr="00264D5D">
              <w:t xml:space="preserve">Код ТОФК, в котором </w:t>
            </w:r>
            <w:r w:rsidRPr="00264D5D">
              <w:lastRenderedPageBreak/>
              <w:t>обслуживается РБС/АИФДБ</w:t>
            </w:r>
          </w:p>
        </w:tc>
        <w:tc>
          <w:tcPr>
            <w:tcW w:w="1701" w:type="dxa"/>
          </w:tcPr>
          <w:p w14:paraId="769D85E6" w14:textId="77777777" w:rsidR="00AD1F54" w:rsidRPr="00264D5D" w:rsidRDefault="00941227">
            <w:pPr>
              <w:pStyle w:val="GOSTTablenorm"/>
              <w:widowControl w:val="0"/>
            </w:pPr>
            <w:r w:rsidRPr="00264D5D">
              <w:lastRenderedPageBreak/>
              <w:t>TOFKCd</w:t>
            </w:r>
          </w:p>
        </w:tc>
        <w:tc>
          <w:tcPr>
            <w:tcW w:w="567" w:type="dxa"/>
          </w:tcPr>
          <w:p w14:paraId="1426C59D" w14:textId="77777777" w:rsidR="00AD1F54" w:rsidRPr="00264D5D" w:rsidRDefault="00941227">
            <w:pPr>
              <w:pStyle w:val="GOSTTablenorm"/>
              <w:widowControl w:val="0"/>
              <w:jc w:val="center"/>
            </w:pPr>
            <w:r w:rsidRPr="00264D5D">
              <w:t>П</w:t>
            </w:r>
          </w:p>
        </w:tc>
        <w:tc>
          <w:tcPr>
            <w:tcW w:w="1134" w:type="dxa"/>
          </w:tcPr>
          <w:p w14:paraId="2E77D1A8" w14:textId="77777777" w:rsidR="00AD1F54" w:rsidRPr="00264D5D" w:rsidRDefault="00941227">
            <w:pPr>
              <w:pStyle w:val="GOSTTablenorm"/>
              <w:widowControl w:val="0"/>
              <w:rPr>
                <w:lang w:val="en-US"/>
              </w:rPr>
            </w:pPr>
            <w:r w:rsidRPr="00264D5D">
              <w:rPr>
                <w:lang w:val="en-US"/>
              </w:rPr>
              <w:t>T(</w:t>
            </w:r>
            <w:r w:rsidRPr="00264D5D">
              <w:t>1-</w:t>
            </w:r>
            <w:r w:rsidRPr="00264D5D">
              <w:rPr>
                <w:lang w:val="en-US"/>
              </w:rPr>
              <w:t>4)</w:t>
            </w:r>
          </w:p>
        </w:tc>
        <w:tc>
          <w:tcPr>
            <w:tcW w:w="567" w:type="dxa"/>
          </w:tcPr>
          <w:p w14:paraId="45B2E7A8" w14:textId="77777777" w:rsidR="00AD1F54" w:rsidRPr="00264D5D" w:rsidRDefault="00941227">
            <w:pPr>
              <w:pStyle w:val="GOSTTablenorm"/>
              <w:widowControl w:val="0"/>
              <w:jc w:val="center"/>
            </w:pPr>
            <w:r w:rsidRPr="00264D5D">
              <w:t>Н</w:t>
            </w:r>
          </w:p>
        </w:tc>
        <w:tc>
          <w:tcPr>
            <w:tcW w:w="3964" w:type="dxa"/>
          </w:tcPr>
          <w:p w14:paraId="7B6DF8C3" w14:textId="77777777" w:rsidR="00AD1F54" w:rsidRPr="00264D5D" w:rsidRDefault="00941227">
            <w:pPr>
              <w:pStyle w:val="GOSTTablenorm"/>
              <w:widowControl w:val="0"/>
            </w:pPr>
            <w:r w:rsidRPr="00264D5D">
              <w:t xml:space="preserve">Поле заполняется в соответствии с централизованным справочником ФК. </w:t>
            </w:r>
          </w:p>
          <w:p w14:paraId="44ED3DC9" w14:textId="77777777" w:rsidR="00AD1F54" w:rsidRPr="00264D5D" w:rsidRDefault="00941227">
            <w:pPr>
              <w:pStyle w:val="GOSTTablenorm"/>
              <w:widowControl w:val="0"/>
            </w:pPr>
            <w:r w:rsidRPr="00264D5D">
              <w:lastRenderedPageBreak/>
              <w:t>Обязательно для заполнения, если реорганизуемый УБП не находится в непосредственном веден</w:t>
            </w:r>
            <w:r w:rsidR="00BA58C1" w:rsidRPr="00264D5D">
              <w:t>ии РБС/АИФДБ, подготовившего РР</w:t>
            </w:r>
          </w:p>
        </w:tc>
      </w:tr>
      <w:tr w:rsidR="00AD1F54" w:rsidRPr="00264D5D" w14:paraId="14A2160A"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2288BF5B" w14:textId="77777777" w:rsidR="00AD1F54" w:rsidRPr="00264D5D" w:rsidRDefault="00941227">
            <w:pPr>
              <w:pStyle w:val="GOSTTablenorm"/>
              <w:widowControl w:val="0"/>
            </w:pPr>
            <w:r w:rsidRPr="00264D5D">
              <w:lastRenderedPageBreak/>
              <w:t>Номер «отрицательного расходного расписания»</w:t>
            </w:r>
          </w:p>
        </w:tc>
        <w:tc>
          <w:tcPr>
            <w:tcW w:w="1701" w:type="dxa"/>
          </w:tcPr>
          <w:p w14:paraId="7321B87C" w14:textId="77777777" w:rsidR="00AD1F54" w:rsidRPr="00264D5D" w:rsidRDefault="00941227">
            <w:pPr>
              <w:pStyle w:val="GOSTTablenorm"/>
              <w:widowControl w:val="0"/>
            </w:pPr>
            <w:r w:rsidRPr="00264D5D">
              <w:t>NmbrNgExpSch</w:t>
            </w:r>
          </w:p>
        </w:tc>
        <w:tc>
          <w:tcPr>
            <w:tcW w:w="567" w:type="dxa"/>
          </w:tcPr>
          <w:p w14:paraId="6FAF5040" w14:textId="77777777" w:rsidR="00AD1F54" w:rsidRPr="00264D5D" w:rsidRDefault="00941227">
            <w:pPr>
              <w:pStyle w:val="GOSTTablenorm"/>
              <w:widowControl w:val="0"/>
              <w:jc w:val="center"/>
            </w:pPr>
            <w:r w:rsidRPr="00264D5D">
              <w:t>П</w:t>
            </w:r>
          </w:p>
        </w:tc>
        <w:tc>
          <w:tcPr>
            <w:tcW w:w="1134" w:type="dxa"/>
          </w:tcPr>
          <w:p w14:paraId="33A693F9" w14:textId="77777777" w:rsidR="00AD1F54" w:rsidRPr="00264D5D" w:rsidRDefault="00941227">
            <w:pPr>
              <w:pStyle w:val="GOSTTablenorm"/>
              <w:widowControl w:val="0"/>
              <w:rPr>
                <w:lang w:val="en-US"/>
              </w:rPr>
            </w:pPr>
            <w:r w:rsidRPr="00264D5D">
              <w:rPr>
                <w:lang w:val="en-US"/>
              </w:rPr>
              <w:t>T(1-13)</w:t>
            </w:r>
          </w:p>
        </w:tc>
        <w:tc>
          <w:tcPr>
            <w:tcW w:w="567" w:type="dxa"/>
          </w:tcPr>
          <w:p w14:paraId="18878084" w14:textId="77777777" w:rsidR="00AD1F54" w:rsidRPr="00264D5D" w:rsidRDefault="00941227">
            <w:pPr>
              <w:pStyle w:val="GOSTTablenorm"/>
              <w:widowControl w:val="0"/>
              <w:jc w:val="center"/>
            </w:pPr>
            <w:r w:rsidRPr="00264D5D">
              <w:t>Н</w:t>
            </w:r>
          </w:p>
        </w:tc>
        <w:tc>
          <w:tcPr>
            <w:tcW w:w="3964" w:type="dxa"/>
          </w:tcPr>
          <w:p w14:paraId="2159FF41" w14:textId="77777777" w:rsidR="00AD1F54" w:rsidRPr="00264D5D" w:rsidRDefault="00941227">
            <w:pPr>
              <w:pStyle w:val="GOSTTablenorm"/>
              <w:widowControl w:val="0"/>
            </w:pPr>
            <w:r w:rsidRPr="00264D5D">
              <w:t>Заполняется в положительном РР при условии, что реорганизу</w:t>
            </w:r>
            <w:r w:rsidR="00BA58C1" w:rsidRPr="00264D5D">
              <w:t>емый УБП не равен УБП-преемнику</w:t>
            </w:r>
          </w:p>
        </w:tc>
      </w:tr>
      <w:tr w:rsidR="00AD1F54" w:rsidRPr="00264D5D" w14:paraId="69867C4B"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93444AB" w14:textId="77777777" w:rsidR="00AD1F54" w:rsidRPr="00264D5D" w:rsidRDefault="00941227">
            <w:pPr>
              <w:pStyle w:val="GOSTTablenorm"/>
              <w:widowControl w:val="0"/>
            </w:pPr>
            <w:r w:rsidRPr="00264D5D">
              <w:t>Дата «отрицательного расходного расписания»</w:t>
            </w:r>
          </w:p>
        </w:tc>
        <w:tc>
          <w:tcPr>
            <w:tcW w:w="1701" w:type="dxa"/>
          </w:tcPr>
          <w:p w14:paraId="553B0F17" w14:textId="77777777" w:rsidR="00AD1F54" w:rsidRPr="00264D5D" w:rsidRDefault="00941227">
            <w:pPr>
              <w:pStyle w:val="GOSTTablenorm"/>
              <w:widowControl w:val="0"/>
            </w:pPr>
            <w:r w:rsidRPr="00264D5D">
              <w:t>DtNgExpSch</w:t>
            </w:r>
          </w:p>
        </w:tc>
        <w:tc>
          <w:tcPr>
            <w:tcW w:w="567" w:type="dxa"/>
          </w:tcPr>
          <w:p w14:paraId="55BEBD52" w14:textId="77777777" w:rsidR="00AD1F54" w:rsidRPr="00264D5D" w:rsidRDefault="00941227">
            <w:pPr>
              <w:pStyle w:val="GOSTTablenorm"/>
              <w:widowControl w:val="0"/>
              <w:jc w:val="center"/>
            </w:pPr>
            <w:r w:rsidRPr="00264D5D">
              <w:t>П</w:t>
            </w:r>
          </w:p>
        </w:tc>
        <w:tc>
          <w:tcPr>
            <w:tcW w:w="1134" w:type="dxa"/>
          </w:tcPr>
          <w:p w14:paraId="1171D612" w14:textId="77777777" w:rsidR="00AD1F54" w:rsidRPr="00264D5D" w:rsidRDefault="00941227">
            <w:pPr>
              <w:pStyle w:val="GOSTTablenorm"/>
              <w:widowControl w:val="0"/>
            </w:pPr>
            <w:r w:rsidRPr="00264D5D">
              <w:t>Date</w:t>
            </w:r>
          </w:p>
        </w:tc>
        <w:tc>
          <w:tcPr>
            <w:tcW w:w="567" w:type="dxa"/>
          </w:tcPr>
          <w:p w14:paraId="572E3DDD" w14:textId="77777777" w:rsidR="00AD1F54" w:rsidRPr="00264D5D" w:rsidRDefault="00941227">
            <w:pPr>
              <w:pStyle w:val="GOSTTablenorm"/>
              <w:widowControl w:val="0"/>
              <w:jc w:val="center"/>
            </w:pPr>
            <w:r w:rsidRPr="00264D5D">
              <w:t>Н</w:t>
            </w:r>
          </w:p>
        </w:tc>
        <w:tc>
          <w:tcPr>
            <w:tcW w:w="3964" w:type="dxa"/>
          </w:tcPr>
          <w:p w14:paraId="24083282" w14:textId="77777777" w:rsidR="00AD1F54" w:rsidRPr="00264D5D" w:rsidRDefault="00941227">
            <w:pPr>
              <w:pStyle w:val="GOSTTablenorm"/>
              <w:widowControl w:val="0"/>
            </w:pPr>
            <w:r w:rsidRPr="00264D5D">
              <w:t>Заполняется в положительном РР при условии, что реорганизу</w:t>
            </w:r>
            <w:r w:rsidR="00BA58C1" w:rsidRPr="00264D5D">
              <w:t>емый УБП не равен УБП-преемнику</w:t>
            </w:r>
          </w:p>
        </w:tc>
      </w:tr>
    </w:tbl>
    <w:p w14:paraId="675B25A1" w14:textId="77777777" w:rsidR="00AD1F54" w:rsidRPr="00264D5D" w:rsidRDefault="00941227">
      <w:pPr>
        <w:pStyle w:val="31"/>
      </w:pPr>
      <w:bookmarkStart w:id="603" w:name="_Toc21014536"/>
      <w:bookmarkStart w:id="604" w:name="_Toc219309463"/>
      <w:r w:rsidRPr="00264D5D">
        <w:t>Описание комплексного типа «tMSC_PBS_UBP1»</w:t>
      </w:r>
      <w:bookmarkEnd w:id="603"/>
      <w:bookmarkEnd w:id="604"/>
    </w:p>
    <w:p w14:paraId="2EBF9045" w14:textId="77777777" w:rsidR="00AD1F54" w:rsidRPr="00264D5D" w:rsidRDefault="00941227">
      <w:pPr>
        <w:pStyle w:val="GOSTNormal"/>
        <w:widowControl w:val="0"/>
      </w:pPr>
      <w:r w:rsidRPr="00264D5D">
        <w:t>Описание комплексного типа «tMSC_PBS_UBP1» блока «РБС (ПБС), АИФДБ с полномочиями ГАИФДБ».</w:t>
      </w:r>
    </w:p>
    <w:p w14:paraId="060E676F" w14:textId="7302984C" w:rsidR="00AD1F54" w:rsidRPr="00264D5D" w:rsidRDefault="00941227">
      <w:pPr>
        <w:pStyle w:val="GOSTNameTable"/>
        <w:widowControl w:val="0"/>
        <w:numPr>
          <w:ilvl w:val="0"/>
          <w:numId w:val="2"/>
        </w:numPr>
        <w:tabs>
          <w:tab w:val="num" w:pos="425"/>
        </w:tabs>
        <w:spacing w:before="60" w:after="60"/>
        <w:ind w:left="57" w:right="57" w:firstLine="0"/>
      </w:pPr>
      <w:r w:rsidRPr="00264D5D">
        <w:fldChar w:fldCharType="begin"/>
      </w:r>
      <w:r w:rsidRPr="00264D5D">
        <w:instrText>SEQ Таблица \* ARABIC</w:instrText>
      </w:r>
      <w:r w:rsidRPr="00264D5D">
        <w:fldChar w:fldCharType="separate"/>
      </w:r>
      <w:bookmarkStart w:id="605" w:name="_Ref492310937"/>
      <w:bookmarkStart w:id="606" w:name="_Toc21014629"/>
      <w:bookmarkStart w:id="607" w:name="_Toc219309057"/>
      <w:r w:rsidR="008D797C">
        <w:rPr>
          <w:noProof/>
        </w:rPr>
        <w:t>27</w:t>
      </w:r>
      <w:bookmarkEnd w:id="605"/>
      <w:r w:rsidRPr="00264D5D">
        <w:fldChar w:fldCharType="end"/>
      </w:r>
      <w:r w:rsidRPr="00264D5D">
        <w:t xml:space="preserve"> – Описание </w:t>
      </w:r>
      <w:bookmarkEnd w:id="606"/>
      <w:r w:rsidRPr="00264D5D">
        <w:t>комплексного типа «tMSC_PBS_UBP1»</w:t>
      </w:r>
      <w:bookmarkEnd w:id="607"/>
    </w:p>
    <w:tbl>
      <w:tblPr>
        <w:tblStyle w:val="GOSTTable"/>
        <w:tblW w:w="5002" w:type="pct"/>
        <w:tblLayout w:type="fixed"/>
        <w:tblLook w:val="04A0" w:firstRow="1" w:lastRow="0" w:firstColumn="1" w:lastColumn="0" w:noHBand="0" w:noVBand="1"/>
      </w:tblPr>
      <w:tblGrid>
        <w:gridCol w:w="1702"/>
        <w:gridCol w:w="1704"/>
        <w:gridCol w:w="567"/>
        <w:gridCol w:w="1136"/>
        <w:gridCol w:w="567"/>
        <w:gridCol w:w="3978"/>
      </w:tblGrid>
      <w:tr w:rsidR="00AD1F54" w:rsidRPr="00264D5D" w14:paraId="44BA65E6"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698" w:type="dxa"/>
          </w:tcPr>
          <w:p w14:paraId="71A2C1EC" w14:textId="77777777" w:rsidR="00AD1F54" w:rsidRPr="00264D5D" w:rsidRDefault="00941227">
            <w:pPr>
              <w:pStyle w:val="GOSTTableHead"/>
              <w:keepNext w:val="0"/>
              <w:widowControl w:val="0"/>
            </w:pPr>
            <w:r w:rsidRPr="00264D5D">
              <w:rPr>
                <w:szCs w:val="22"/>
              </w:rPr>
              <w:t>Наименование элемента</w:t>
            </w:r>
          </w:p>
        </w:tc>
        <w:tc>
          <w:tcPr>
            <w:tcW w:w="1700" w:type="dxa"/>
          </w:tcPr>
          <w:p w14:paraId="0BF66835" w14:textId="77777777" w:rsidR="00AD1F54" w:rsidRPr="00264D5D" w:rsidRDefault="00941227">
            <w:pPr>
              <w:pStyle w:val="GOSTTableHead"/>
              <w:keepNext w:val="0"/>
              <w:widowControl w:val="0"/>
            </w:pPr>
            <w:r w:rsidRPr="00264D5D">
              <w:rPr>
                <w:szCs w:val="22"/>
              </w:rPr>
              <w:t>Сокращенное наименование (код) элемента</w:t>
            </w:r>
          </w:p>
        </w:tc>
        <w:tc>
          <w:tcPr>
            <w:tcW w:w="566" w:type="dxa"/>
          </w:tcPr>
          <w:p w14:paraId="07087B45" w14:textId="77777777" w:rsidR="00AD1F54" w:rsidRPr="00264D5D" w:rsidRDefault="00941227">
            <w:pPr>
              <w:pStyle w:val="GOSTTableHead"/>
              <w:keepNext w:val="0"/>
              <w:widowControl w:val="0"/>
            </w:pPr>
            <w:r w:rsidRPr="00264D5D">
              <w:rPr>
                <w:szCs w:val="22"/>
              </w:rPr>
              <w:t>Тип</w:t>
            </w:r>
          </w:p>
        </w:tc>
        <w:tc>
          <w:tcPr>
            <w:tcW w:w="1133" w:type="dxa"/>
          </w:tcPr>
          <w:p w14:paraId="6B6DBA84" w14:textId="77777777" w:rsidR="00AD1F54" w:rsidRPr="00264D5D" w:rsidRDefault="00941227">
            <w:pPr>
              <w:pStyle w:val="GOSTTableHead"/>
              <w:keepNext w:val="0"/>
              <w:widowControl w:val="0"/>
            </w:pPr>
            <w:r w:rsidRPr="00264D5D">
              <w:rPr>
                <w:szCs w:val="22"/>
              </w:rPr>
              <w:t>Формат элемента</w:t>
            </w:r>
          </w:p>
        </w:tc>
        <w:tc>
          <w:tcPr>
            <w:tcW w:w="566" w:type="dxa"/>
          </w:tcPr>
          <w:p w14:paraId="6B99397C" w14:textId="77777777" w:rsidR="00AD1F54" w:rsidRPr="00264D5D" w:rsidRDefault="00941227">
            <w:pPr>
              <w:pStyle w:val="GOSTTableHead"/>
              <w:keepNext w:val="0"/>
              <w:widowControl w:val="0"/>
            </w:pPr>
            <w:r w:rsidRPr="00264D5D">
              <w:rPr>
                <w:szCs w:val="22"/>
              </w:rPr>
              <w:t>Обязательность</w:t>
            </w:r>
          </w:p>
        </w:tc>
        <w:tc>
          <w:tcPr>
            <w:tcW w:w="3969" w:type="dxa"/>
          </w:tcPr>
          <w:p w14:paraId="703F3AA9" w14:textId="77777777" w:rsidR="00AD1F54" w:rsidRPr="00264D5D" w:rsidRDefault="00941227">
            <w:pPr>
              <w:pStyle w:val="GOSTTableHead"/>
              <w:keepNext w:val="0"/>
              <w:widowControl w:val="0"/>
            </w:pPr>
            <w:r w:rsidRPr="00264D5D">
              <w:rPr>
                <w:szCs w:val="22"/>
              </w:rPr>
              <w:t>Дополнительная информация</w:t>
            </w:r>
          </w:p>
        </w:tc>
      </w:tr>
      <w:tr w:rsidR="00AD1F54" w:rsidRPr="00264D5D" w14:paraId="7AB47E14" w14:textId="77777777" w:rsidTr="00AD1F54">
        <w:trPr>
          <w:cnfStyle w:val="000000100000" w:firstRow="0" w:lastRow="0" w:firstColumn="0" w:lastColumn="0" w:oddVBand="0" w:evenVBand="0" w:oddHBand="1" w:evenHBand="0" w:firstRowFirstColumn="0" w:firstRowLastColumn="0" w:lastRowFirstColumn="0" w:lastRowLastColumn="0"/>
        </w:trPr>
        <w:tc>
          <w:tcPr>
            <w:tcW w:w="1698" w:type="dxa"/>
          </w:tcPr>
          <w:p w14:paraId="3DE3EFD0" w14:textId="77777777" w:rsidR="00AD1F54" w:rsidRPr="00264D5D" w:rsidRDefault="00941227">
            <w:pPr>
              <w:pStyle w:val="GOSTTablenorm"/>
              <w:widowControl w:val="0"/>
            </w:pPr>
            <w:r w:rsidRPr="00264D5D">
              <w:t>Код организации</w:t>
            </w:r>
          </w:p>
        </w:tc>
        <w:tc>
          <w:tcPr>
            <w:tcW w:w="1700" w:type="dxa"/>
          </w:tcPr>
          <w:p w14:paraId="6C73CE6F" w14:textId="77777777" w:rsidR="00AD1F54" w:rsidRPr="00264D5D" w:rsidRDefault="00941227">
            <w:pPr>
              <w:pStyle w:val="GOSTTablenorm"/>
              <w:widowControl w:val="0"/>
            </w:pPr>
            <w:r w:rsidRPr="00264D5D">
              <w:t>Cd</w:t>
            </w:r>
          </w:p>
        </w:tc>
        <w:tc>
          <w:tcPr>
            <w:tcW w:w="566" w:type="dxa"/>
          </w:tcPr>
          <w:p w14:paraId="31C36A4B" w14:textId="77777777" w:rsidR="00AD1F54" w:rsidRPr="00264D5D" w:rsidRDefault="00941227">
            <w:pPr>
              <w:pStyle w:val="GOSTTablenorm"/>
              <w:widowControl w:val="0"/>
              <w:jc w:val="center"/>
            </w:pPr>
            <w:r w:rsidRPr="00264D5D">
              <w:t>П</w:t>
            </w:r>
          </w:p>
        </w:tc>
        <w:tc>
          <w:tcPr>
            <w:tcW w:w="1133" w:type="dxa"/>
          </w:tcPr>
          <w:p w14:paraId="30D17D5D" w14:textId="77777777" w:rsidR="00AD1F54" w:rsidRPr="00264D5D" w:rsidRDefault="00941227">
            <w:pPr>
              <w:pStyle w:val="GOSTTablenorm"/>
              <w:widowControl w:val="0"/>
              <w:rPr>
                <w:lang w:val="en-US"/>
              </w:rPr>
            </w:pPr>
            <w:r w:rsidRPr="00264D5D">
              <w:rPr>
                <w:lang w:val="en-US"/>
              </w:rPr>
              <w:t>T(8)</w:t>
            </w:r>
          </w:p>
        </w:tc>
        <w:tc>
          <w:tcPr>
            <w:tcW w:w="566" w:type="dxa"/>
          </w:tcPr>
          <w:p w14:paraId="6FC32283" w14:textId="77777777" w:rsidR="00AD1F54" w:rsidRPr="00264D5D" w:rsidRDefault="00941227">
            <w:pPr>
              <w:pStyle w:val="GOSTTablenorm"/>
              <w:widowControl w:val="0"/>
              <w:jc w:val="center"/>
            </w:pPr>
            <w:r w:rsidRPr="00264D5D">
              <w:t>О</w:t>
            </w:r>
          </w:p>
        </w:tc>
        <w:tc>
          <w:tcPr>
            <w:tcW w:w="3969" w:type="dxa"/>
          </w:tcPr>
          <w:p w14:paraId="2C0FF19A" w14:textId="77777777" w:rsidR="00AD1F54" w:rsidRPr="00264D5D" w:rsidRDefault="00941227">
            <w:pPr>
              <w:pStyle w:val="GOSTTablenorm"/>
              <w:widowControl w:val="0"/>
            </w:pPr>
            <w:r w:rsidRPr="00264D5D">
              <w:t>Поле заполняется в с</w:t>
            </w:r>
            <w:r w:rsidR="00BA58C1" w:rsidRPr="00264D5D">
              <w:t>оответствии со Сводным реестром</w:t>
            </w:r>
          </w:p>
        </w:tc>
      </w:tr>
      <w:tr w:rsidR="00AD1F54" w:rsidRPr="00264D5D" w14:paraId="0CCE3BF1" w14:textId="77777777" w:rsidTr="00AD1F54">
        <w:trPr>
          <w:cnfStyle w:val="000000010000" w:firstRow="0" w:lastRow="0" w:firstColumn="0" w:lastColumn="0" w:oddVBand="0" w:evenVBand="0" w:oddHBand="0" w:evenHBand="1" w:firstRowFirstColumn="0" w:firstRowLastColumn="0" w:lastRowFirstColumn="0" w:lastRowLastColumn="0"/>
        </w:trPr>
        <w:tc>
          <w:tcPr>
            <w:tcW w:w="1698" w:type="dxa"/>
          </w:tcPr>
          <w:p w14:paraId="7955BCFF" w14:textId="77777777" w:rsidR="00AD1F54" w:rsidRPr="00264D5D" w:rsidRDefault="00941227">
            <w:pPr>
              <w:pStyle w:val="GOSTTablenorm"/>
              <w:widowControl w:val="0"/>
            </w:pPr>
            <w:r w:rsidRPr="00264D5D">
              <w:t>Наименование организации</w:t>
            </w:r>
          </w:p>
        </w:tc>
        <w:tc>
          <w:tcPr>
            <w:tcW w:w="1700" w:type="dxa"/>
          </w:tcPr>
          <w:p w14:paraId="69408D07" w14:textId="77777777" w:rsidR="00AD1F54" w:rsidRPr="00264D5D" w:rsidRDefault="00941227">
            <w:pPr>
              <w:pStyle w:val="GOSTTablenorm"/>
              <w:widowControl w:val="0"/>
            </w:pPr>
            <w:r w:rsidRPr="00264D5D">
              <w:t>Nm</w:t>
            </w:r>
          </w:p>
        </w:tc>
        <w:tc>
          <w:tcPr>
            <w:tcW w:w="566" w:type="dxa"/>
          </w:tcPr>
          <w:p w14:paraId="6C6F3243" w14:textId="77777777" w:rsidR="00AD1F54" w:rsidRPr="00264D5D" w:rsidRDefault="00941227">
            <w:pPr>
              <w:pStyle w:val="GOSTTablenorm"/>
              <w:widowControl w:val="0"/>
              <w:jc w:val="center"/>
            </w:pPr>
            <w:r w:rsidRPr="00264D5D">
              <w:t>П</w:t>
            </w:r>
          </w:p>
        </w:tc>
        <w:tc>
          <w:tcPr>
            <w:tcW w:w="1133" w:type="dxa"/>
          </w:tcPr>
          <w:p w14:paraId="00E823B0" w14:textId="77777777" w:rsidR="00AD1F54" w:rsidRPr="00264D5D" w:rsidRDefault="00941227">
            <w:pPr>
              <w:pStyle w:val="GOSTTablenorm"/>
              <w:widowControl w:val="0"/>
              <w:rPr>
                <w:lang w:val="en-US"/>
              </w:rPr>
            </w:pPr>
            <w:r w:rsidRPr="00264D5D">
              <w:rPr>
                <w:lang w:val="en-US"/>
              </w:rPr>
              <w:t>T(1-2000)</w:t>
            </w:r>
          </w:p>
        </w:tc>
        <w:tc>
          <w:tcPr>
            <w:tcW w:w="566" w:type="dxa"/>
          </w:tcPr>
          <w:p w14:paraId="64ADC76A" w14:textId="77777777" w:rsidR="00AD1F54" w:rsidRPr="00264D5D" w:rsidRDefault="00941227">
            <w:pPr>
              <w:pStyle w:val="GOSTTablenorm"/>
              <w:widowControl w:val="0"/>
              <w:jc w:val="center"/>
            </w:pPr>
            <w:r w:rsidRPr="00264D5D">
              <w:t>О</w:t>
            </w:r>
          </w:p>
        </w:tc>
        <w:tc>
          <w:tcPr>
            <w:tcW w:w="3969" w:type="dxa"/>
          </w:tcPr>
          <w:p w14:paraId="79C81B5A" w14:textId="77777777" w:rsidR="00AD1F54" w:rsidRPr="00264D5D" w:rsidRDefault="00941227">
            <w:pPr>
              <w:pStyle w:val="GOSTTablenorm"/>
              <w:widowControl w:val="0"/>
            </w:pPr>
            <w:r w:rsidRPr="00264D5D">
              <w:t>Полное наименование организации в со</w:t>
            </w:r>
            <w:r w:rsidR="00BA58C1" w:rsidRPr="00264D5D">
              <w:t>ответствии со Сводным реестром</w:t>
            </w:r>
          </w:p>
        </w:tc>
      </w:tr>
    </w:tbl>
    <w:p w14:paraId="5EDE43EC" w14:textId="77777777" w:rsidR="00AD1F54" w:rsidRPr="00264D5D" w:rsidRDefault="00941227">
      <w:pPr>
        <w:pStyle w:val="31"/>
      </w:pPr>
      <w:bookmarkStart w:id="608" w:name="_Toc21014537"/>
      <w:bookmarkStart w:id="609" w:name="_Toc219309464"/>
      <w:r w:rsidRPr="00264D5D">
        <w:t>Описание комплексного типа «tMSC_GRBS4»</w:t>
      </w:r>
      <w:bookmarkEnd w:id="608"/>
      <w:bookmarkEnd w:id="609"/>
    </w:p>
    <w:p w14:paraId="0FE0977E" w14:textId="77777777" w:rsidR="00AD1F54" w:rsidRPr="00264D5D" w:rsidRDefault="00941227">
      <w:pPr>
        <w:pStyle w:val="GOSTNormal"/>
        <w:widowControl w:val="0"/>
      </w:pPr>
      <w:r w:rsidRPr="00264D5D">
        <w:t>Описание комплексного типа «tMSC_GRBS4» блока «ГРБС (ГАИФДБ)».</w:t>
      </w:r>
    </w:p>
    <w:p w14:paraId="36207FAF" w14:textId="6BD80322" w:rsidR="00AD1F54" w:rsidRPr="00264D5D" w:rsidRDefault="00941227">
      <w:pPr>
        <w:pStyle w:val="GOSTNameTable"/>
        <w:widowControl w:val="0"/>
        <w:numPr>
          <w:ilvl w:val="0"/>
          <w:numId w:val="2"/>
        </w:numPr>
        <w:tabs>
          <w:tab w:val="num" w:pos="425"/>
        </w:tabs>
        <w:spacing w:before="60" w:after="60"/>
        <w:ind w:left="57" w:right="57" w:firstLine="0"/>
      </w:pPr>
      <w:r w:rsidRPr="00264D5D">
        <w:fldChar w:fldCharType="begin"/>
      </w:r>
      <w:r w:rsidRPr="00264D5D">
        <w:instrText>SEQ Таблица \* ARABIC</w:instrText>
      </w:r>
      <w:r w:rsidRPr="00264D5D">
        <w:fldChar w:fldCharType="separate"/>
      </w:r>
      <w:bookmarkStart w:id="610" w:name="_Ref492310956"/>
      <w:bookmarkStart w:id="611" w:name="_Toc21014630"/>
      <w:bookmarkStart w:id="612" w:name="_Toc219309058"/>
      <w:r w:rsidR="008D797C">
        <w:rPr>
          <w:noProof/>
        </w:rPr>
        <w:t>28</w:t>
      </w:r>
      <w:bookmarkEnd w:id="610"/>
      <w:r w:rsidRPr="00264D5D">
        <w:fldChar w:fldCharType="end"/>
      </w:r>
      <w:r w:rsidRPr="00264D5D">
        <w:t xml:space="preserve"> – Описание </w:t>
      </w:r>
      <w:bookmarkEnd w:id="611"/>
      <w:r w:rsidRPr="00264D5D">
        <w:t>комплексного типа «tMSC_GRBS4»</w:t>
      </w:r>
      <w:bookmarkEnd w:id="612"/>
    </w:p>
    <w:tbl>
      <w:tblPr>
        <w:tblStyle w:val="GOSTTable"/>
        <w:tblW w:w="5005" w:type="pct"/>
        <w:tblLayout w:type="fixed"/>
        <w:tblLook w:val="04A0" w:firstRow="1" w:lastRow="0" w:firstColumn="1" w:lastColumn="0" w:noHBand="0" w:noVBand="1"/>
      </w:tblPr>
      <w:tblGrid>
        <w:gridCol w:w="1704"/>
        <w:gridCol w:w="1705"/>
        <w:gridCol w:w="568"/>
        <w:gridCol w:w="1137"/>
        <w:gridCol w:w="568"/>
        <w:gridCol w:w="3978"/>
      </w:tblGrid>
      <w:tr w:rsidR="00AD1F54" w:rsidRPr="00264D5D" w14:paraId="13DA48D1"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699" w:type="dxa"/>
          </w:tcPr>
          <w:p w14:paraId="17CF3E49" w14:textId="77777777" w:rsidR="00AD1F54" w:rsidRPr="00264D5D" w:rsidRDefault="00941227">
            <w:pPr>
              <w:pStyle w:val="GOSTTableHead"/>
              <w:keepNext w:val="0"/>
              <w:widowControl w:val="0"/>
            </w:pPr>
            <w:r w:rsidRPr="00264D5D">
              <w:rPr>
                <w:szCs w:val="22"/>
              </w:rPr>
              <w:t>Наименование элемента</w:t>
            </w:r>
          </w:p>
        </w:tc>
        <w:tc>
          <w:tcPr>
            <w:tcW w:w="1701" w:type="dxa"/>
          </w:tcPr>
          <w:p w14:paraId="0495249B" w14:textId="77777777" w:rsidR="00AD1F54" w:rsidRPr="00264D5D" w:rsidRDefault="00941227">
            <w:pPr>
              <w:pStyle w:val="GOSTTableHead"/>
              <w:keepNext w:val="0"/>
              <w:widowControl w:val="0"/>
            </w:pPr>
            <w:r w:rsidRPr="00264D5D">
              <w:rPr>
                <w:szCs w:val="22"/>
              </w:rPr>
              <w:t>Сокращенное наименование (код) элемента</w:t>
            </w:r>
          </w:p>
        </w:tc>
        <w:tc>
          <w:tcPr>
            <w:tcW w:w="567" w:type="dxa"/>
          </w:tcPr>
          <w:p w14:paraId="68A9F69E" w14:textId="77777777" w:rsidR="00AD1F54" w:rsidRPr="00264D5D" w:rsidRDefault="00941227">
            <w:pPr>
              <w:pStyle w:val="GOSTTableHead"/>
              <w:keepNext w:val="0"/>
              <w:widowControl w:val="0"/>
            </w:pPr>
            <w:r w:rsidRPr="00264D5D">
              <w:rPr>
                <w:szCs w:val="22"/>
              </w:rPr>
              <w:t>Тип</w:t>
            </w:r>
          </w:p>
        </w:tc>
        <w:tc>
          <w:tcPr>
            <w:tcW w:w="1134" w:type="dxa"/>
          </w:tcPr>
          <w:p w14:paraId="5B6700F6" w14:textId="77777777" w:rsidR="00AD1F54" w:rsidRPr="00264D5D" w:rsidRDefault="00941227">
            <w:pPr>
              <w:pStyle w:val="GOSTTableHead"/>
              <w:keepNext w:val="0"/>
              <w:widowControl w:val="0"/>
            </w:pPr>
            <w:r w:rsidRPr="00264D5D">
              <w:rPr>
                <w:szCs w:val="22"/>
              </w:rPr>
              <w:t>Формат элемента</w:t>
            </w:r>
          </w:p>
        </w:tc>
        <w:tc>
          <w:tcPr>
            <w:tcW w:w="567" w:type="dxa"/>
          </w:tcPr>
          <w:p w14:paraId="199CB6FC" w14:textId="77777777" w:rsidR="00AD1F54" w:rsidRPr="00264D5D" w:rsidRDefault="00941227">
            <w:pPr>
              <w:pStyle w:val="GOSTTableHead"/>
              <w:keepNext w:val="0"/>
              <w:widowControl w:val="0"/>
            </w:pPr>
            <w:r w:rsidRPr="00264D5D">
              <w:rPr>
                <w:szCs w:val="22"/>
              </w:rPr>
              <w:t>Обязательность</w:t>
            </w:r>
          </w:p>
        </w:tc>
        <w:tc>
          <w:tcPr>
            <w:tcW w:w="3969" w:type="dxa"/>
          </w:tcPr>
          <w:p w14:paraId="2C249E51" w14:textId="77777777" w:rsidR="00AD1F54" w:rsidRPr="00264D5D" w:rsidRDefault="00941227">
            <w:pPr>
              <w:pStyle w:val="GOSTTableHead"/>
              <w:keepNext w:val="0"/>
              <w:widowControl w:val="0"/>
            </w:pPr>
            <w:r w:rsidRPr="00264D5D">
              <w:rPr>
                <w:szCs w:val="22"/>
              </w:rPr>
              <w:t>Дополнительная информация</w:t>
            </w:r>
          </w:p>
        </w:tc>
      </w:tr>
      <w:tr w:rsidR="00AD1F54" w:rsidRPr="00264D5D" w14:paraId="6830EC12" w14:textId="77777777" w:rsidTr="00AD1F54">
        <w:trPr>
          <w:cnfStyle w:val="000000100000" w:firstRow="0" w:lastRow="0" w:firstColumn="0" w:lastColumn="0" w:oddVBand="0" w:evenVBand="0" w:oddHBand="1" w:evenHBand="0" w:firstRowFirstColumn="0" w:firstRowLastColumn="0" w:lastRowFirstColumn="0" w:lastRowLastColumn="0"/>
        </w:trPr>
        <w:tc>
          <w:tcPr>
            <w:tcW w:w="1699" w:type="dxa"/>
          </w:tcPr>
          <w:p w14:paraId="38284707" w14:textId="77777777" w:rsidR="00AD1F54" w:rsidRPr="00264D5D" w:rsidRDefault="00941227">
            <w:pPr>
              <w:pStyle w:val="GOSTTablenorm"/>
              <w:widowControl w:val="0"/>
            </w:pPr>
            <w:r w:rsidRPr="00264D5D">
              <w:t>Глава по БК</w:t>
            </w:r>
          </w:p>
        </w:tc>
        <w:tc>
          <w:tcPr>
            <w:tcW w:w="1701" w:type="dxa"/>
          </w:tcPr>
          <w:p w14:paraId="7C39ADDB" w14:textId="77777777" w:rsidR="00AD1F54" w:rsidRPr="00264D5D" w:rsidRDefault="00941227">
            <w:pPr>
              <w:pStyle w:val="GOSTTablenorm"/>
              <w:widowControl w:val="0"/>
            </w:pPr>
            <w:r w:rsidRPr="00264D5D">
              <w:t>Cd</w:t>
            </w:r>
          </w:p>
        </w:tc>
        <w:tc>
          <w:tcPr>
            <w:tcW w:w="567" w:type="dxa"/>
          </w:tcPr>
          <w:p w14:paraId="4BCFB45A" w14:textId="77777777" w:rsidR="00AD1F54" w:rsidRPr="00264D5D" w:rsidRDefault="00941227">
            <w:pPr>
              <w:pStyle w:val="GOSTTablenorm"/>
              <w:widowControl w:val="0"/>
              <w:jc w:val="center"/>
            </w:pPr>
            <w:r w:rsidRPr="00264D5D">
              <w:t>П</w:t>
            </w:r>
          </w:p>
        </w:tc>
        <w:tc>
          <w:tcPr>
            <w:tcW w:w="1134" w:type="dxa"/>
          </w:tcPr>
          <w:p w14:paraId="7A46BC08" w14:textId="77777777" w:rsidR="00AD1F54" w:rsidRPr="00264D5D" w:rsidRDefault="00941227">
            <w:pPr>
              <w:pStyle w:val="GOSTTablenorm"/>
              <w:widowControl w:val="0"/>
              <w:rPr>
                <w:lang w:val="en-US"/>
              </w:rPr>
            </w:pPr>
            <w:r w:rsidRPr="00264D5D">
              <w:rPr>
                <w:lang w:val="en-US"/>
              </w:rPr>
              <w:t>T(</w:t>
            </w:r>
            <w:r w:rsidRPr="00264D5D">
              <w:t>1-</w:t>
            </w:r>
            <w:r w:rsidRPr="00264D5D">
              <w:rPr>
                <w:lang w:val="en-US"/>
              </w:rPr>
              <w:t>3)</w:t>
            </w:r>
          </w:p>
        </w:tc>
        <w:tc>
          <w:tcPr>
            <w:tcW w:w="567" w:type="dxa"/>
          </w:tcPr>
          <w:p w14:paraId="06A868DC" w14:textId="77777777" w:rsidR="00AD1F54" w:rsidRPr="00264D5D" w:rsidRDefault="00941227">
            <w:pPr>
              <w:pStyle w:val="GOSTTablenorm"/>
              <w:widowControl w:val="0"/>
              <w:jc w:val="center"/>
            </w:pPr>
            <w:r w:rsidRPr="00264D5D">
              <w:t>О</w:t>
            </w:r>
          </w:p>
        </w:tc>
        <w:tc>
          <w:tcPr>
            <w:tcW w:w="3969" w:type="dxa"/>
          </w:tcPr>
          <w:p w14:paraId="05CB6D68" w14:textId="77777777" w:rsidR="00AD1F54" w:rsidRPr="00264D5D" w:rsidRDefault="00941227">
            <w:pPr>
              <w:pStyle w:val="GOSTTablenorm"/>
              <w:widowControl w:val="0"/>
            </w:pPr>
            <w:r w:rsidRPr="00264D5D">
              <w:t>Указывается код главы по БК ГРБС (ГАИФДБ) по перечню ГРБС/ГАИФДБ, утвержденному законом (реше</w:t>
            </w:r>
            <w:r w:rsidR="00BA58C1" w:rsidRPr="00264D5D">
              <w:t>нием) о соответствующем бюджете</w:t>
            </w:r>
          </w:p>
        </w:tc>
      </w:tr>
      <w:tr w:rsidR="00AD1F54" w:rsidRPr="00264D5D" w14:paraId="0A23A12F" w14:textId="77777777" w:rsidTr="00AD1F54">
        <w:trPr>
          <w:cnfStyle w:val="000000010000" w:firstRow="0" w:lastRow="0" w:firstColumn="0" w:lastColumn="0" w:oddVBand="0" w:evenVBand="0" w:oddHBand="0" w:evenHBand="1" w:firstRowFirstColumn="0" w:firstRowLastColumn="0" w:lastRowFirstColumn="0" w:lastRowLastColumn="0"/>
        </w:trPr>
        <w:tc>
          <w:tcPr>
            <w:tcW w:w="1699" w:type="dxa"/>
          </w:tcPr>
          <w:p w14:paraId="37DD5EB5" w14:textId="77777777" w:rsidR="00AD1F54" w:rsidRPr="00264D5D" w:rsidRDefault="00941227">
            <w:pPr>
              <w:pStyle w:val="GOSTTablenorm"/>
              <w:widowControl w:val="0"/>
            </w:pPr>
            <w:r w:rsidRPr="00264D5D">
              <w:t xml:space="preserve">Наименование </w:t>
            </w:r>
            <w:r w:rsidRPr="00264D5D">
              <w:lastRenderedPageBreak/>
              <w:t>ГРБС (ГАИФДБ)</w:t>
            </w:r>
          </w:p>
          <w:p w14:paraId="42871C5F" w14:textId="77777777" w:rsidR="00AD1F54" w:rsidRPr="00264D5D" w:rsidRDefault="00AD1F54">
            <w:pPr>
              <w:widowControl w:val="0"/>
              <w:spacing w:before="60" w:after="60"/>
            </w:pPr>
          </w:p>
        </w:tc>
        <w:tc>
          <w:tcPr>
            <w:tcW w:w="1701" w:type="dxa"/>
          </w:tcPr>
          <w:p w14:paraId="54584173" w14:textId="77777777" w:rsidR="00AD1F54" w:rsidRPr="00264D5D" w:rsidRDefault="00941227">
            <w:pPr>
              <w:pStyle w:val="GOSTTablenorm"/>
              <w:widowControl w:val="0"/>
            </w:pPr>
            <w:r w:rsidRPr="00264D5D">
              <w:lastRenderedPageBreak/>
              <w:t>Nm</w:t>
            </w:r>
          </w:p>
        </w:tc>
        <w:tc>
          <w:tcPr>
            <w:tcW w:w="567" w:type="dxa"/>
          </w:tcPr>
          <w:p w14:paraId="58D3C9EB" w14:textId="77777777" w:rsidR="00AD1F54" w:rsidRPr="00264D5D" w:rsidRDefault="00941227">
            <w:pPr>
              <w:pStyle w:val="GOSTTablenorm"/>
              <w:widowControl w:val="0"/>
              <w:jc w:val="center"/>
            </w:pPr>
            <w:r w:rsidRPr="00264D5D">
              <w:t>П</w:t>
            </w:r>
          </w:p>
        </w:tc>
        <w:tc>
          <w:tcPr>
            <w:tcW w:w="1134" w:type="dxa"/>
          </w:tcPr>
          <w:p w14:paraId="4FF620D9" w14:textId="77777777" w:rsidR="00AD1F54" w:rsidRPr="00264D5D" w:rsidRDefault="00941227">
            <w:pPr>
              <w:pStyle w:val="GOSTTablenorm"/>
              <w:widowControl w:val="0"/>
              <w:rPr>
                <w:lang w:val="en-US"/>
              </w:rPr>
            </w:pPr>
            <w:r w:rsidRPr="00264D5D">
              <w:rPr>
                <w:lang w:val="en-US"/>
              </w:rPr>
              <w:t>T(1-2000)</w:t>
            </w:r>
          </w:p>
        </w:tc>
        <w:tc>
          <w:tcPr>
            <w:tcW w:w="567" w:type="dxa"/>
          </w:tcPr>
          <w:p w14:paraId="305714ED" w14:textId="77777777" w:rsidR="00AD1F54" w:rsidRPr="00264D5D" w:rsidRDefault="00941227">
            <w:pPr>
              <w:pStyle w:val="GOSTTablenorm"/>
              <w:widowControl w:val="0"/>
              <w:jc w:val="center"/>
            </w:pPr>
            <w:r w:rsidRPr="00264D5D">
              <w:t>О</w:t>
            </w:r>
          </w:p>
        </w:tc>
        <w:tc>
          <w:tcPr>
            <w:tcW w:w="3969" w:type="dxa"/>
          </w:tcPr>
          <w:p w14:paraId="17CA97C0" w14:textId="77777777" w:rsidR="00AD1F54" w:rsidRPr="00264D5D" w:rsidRDefault="00941227">
            <w:pPr>
              <w:pStyle w:val="GOSTTablenorm"/>
              <w:widowControl w:val="0"/>
            </w:pPr>
            <w:r w:rsidRPr="00264D5D">
              <w:t xml:space="preserve">Указывается полное наименование </w:t>
            </w:r>
            <w:r w:rsidRPr="00264D5D">
              <w:lastRenderedPageBreak/>
              <w:t>ГРБС (ГАИФДБ).</w:t>
            </w:r>
          </w:p>
          <w:p w14:paraId="522C5772" w14:textId="77777777" w:rsidR="00AD1F54" w:rsidRPr="00264D5D" w:rsidRDefault="00941227">
            <w:pPr>
              <w:pStyle w:val="GOSTTablenorm"/>
              <w:widowControl w:val="0"/>
            </w:pPr>
            <w:r w:rsidRPr="00264D5D">
              <w:t>Поле заполняется в с</w:t>
            </w:r>
            <w:r w:rsidR="00BA58C1" w:rsidRPr="00264D5D">
              <w:t>оответствии со Сводным реестром</w:t>
            </w:r>
          </w:p>
        </w:tc>
      </w:tr>
    </w:tbl>
    <w:p w14:paraId="13EB49B7" w14:textId="77777777" w:rsidR="00AD1F54" w:rsidRPr="00264D5D" w:rsidRDefault="00941227">
      <w:pPr>
        <w:pStyle w:val="31"/>
      </w:pPr>
      <w:bookmarkStart w:id="613" w:name="_Toc21014538"/>
      <w:bookmarkStart w:id="614" w:name="_Toc219309465"/>
      <w:r w:rsidRPr="00264D5D">
        <w:lastRenderedPageBreak/>
        <w:t>Описание комплексного типа «tMSC_OrFK»</w:t>
      </w:r>
      <w:bookmarkEnd w:id="613"/>
      <w:bookmarkEnd w:id="614"/>
    </w:p>
    <w:p w14:paraId="4477A974" w14:textId="77777777" w:rsidR="00AD1F54" w:rsidRPr="00264D5D" w:rsidRDefault="00941227">
      <w:pPr>
        <w:pStyle w:val="GOSTNormal"/>
        <w:widowControl w:val="0"/>
      </w:pPr>
      <w:r w:rsidRPr="00264D5D">
        <w:t>Описание комплексного типа «tMSC_OrFK» блока «ТОФК».</w:t>
      </w:r>
    </w:p>
    <w:bookmarkStart w:id="615" w:name="_Ref492545295"/>
    <w:p w14:paraId="3DAC94EB" w14:textId="7BFC96FF" w:rsidR="00AD1F54" w:rsidRPr="00264D5D" w:rsidRDefault="00941227">
      <w:pPr>
        <w:pStyle w:val="GOSTNameTable"/>
        <w:widowControl w:val="0"/>
        <w:numPr>
          <w:ilvl w:val="0"/>
          <w:numId w:val="2"/>
        </w:numPr>
        <w:tabs>
          <w:tab w:val="num" w:pos="425"/>
        </w:tabs>
        <w:spacing w:before="60" w:after="60"/>
        <w:ind w:left="57" w:right="57" w:firstLine="0"/>
      </w:pPr>
      <w:r w:rsidRPr="00264D5D">
        <w:fldChar w:fldCharType="begin"/>
      </w:r>
      <w:r w:rsidRPr="00264D5D">
        <w:instrText>SEQ Таблица \* ARABIC</w:instrText>
      </w:r>
      <w:r w:rsidRPr="00264D5D">
        <w:fldChar w:fldCharType="separate"/>
      </w:r>
      <w:bookmarkStart w:id="616" w:name="_Ref492310965"/>
      <w:bookmarkStart w:id="617" w:name="_Toc21014631"/>
      <w:bookmarkStart w:id="618" w:name="_Toc219309059"/>
      <w:r w:rsidR="008D797C">
        <w:rPr>
          <w:noProof/>
        </w:rPr>
        <w:t>29</w:t>
      </w:r>
      <w:bookmarkEnd w:id="616"/>
      <w:r w:rsidRPr="00264D5D">
        <w:fldChar w:fldCharType="end"/>
      </w:r>
      <w:r w:rsidRPr="00264D5D">
        <w:t xml:space="preserve"> – Описание </w:t>
      </w:r>
      <w:bookmarkEnd w:id="615"/>
      <w:bookmarkEnd w:id="617"/>
      <w:r w:rsidRPr="00264D5D">
        <w:t>комплексного типа «tMSC_OrFK»</w:t>
      </w:r>
      <w:bookmarkEnd w:id="618"/>
    </w:p>
    <w:tbl>
      <w:tblPr>
        <w:tblStyle w:val="GOSTTable"/>
        <w:tblW w:w="5005" w:type="pct"/>
        <w:tblLayout w:type="fixed"/>
        <w:tblLook w:val="04A0" w:firstRow="1" w:lastRow="0" w:firstColumn="1" w:lastColumn="0" w:noHBand="0" w:noVBand="1"/>
      </w:tblPr>
      <w:tblGrid>
        <w:gridCol w:w="1704"/>
        <w:gridCol w:w="1705"/>
        <w:gridCol w:w="568"/>
        <w:gridCol w:w="1137"/>
        <w:gridCol w:w="568"/>
        <w:gridCol w:w="3978"/>
      </w:tblGrid>
      <w:tr w:rsidR="00AD1F54" w:rsidRPr="00264D5D" w14:paraId="2A6B1661"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699" w:type="dxa"/>
          </w:tcPr>
          <w:p w14:paraId="20D9C3AE" w14:textId="77777777" w:rsidR="00AD1F54" w:rsidRPr="00264D5D" w:rsidRDefault="00941227">
            <w:pPr>
              <w:pStyle w:val="GOSTTableHead"/>
              <w:keepNext w:val="0"/>
              <w:widowControl w:val="0"/>
            </w:pPr>
            <w:r w:rsidRPr="00264D5D">
              <w:rPr>
                <w:szCs w:val="22"/>
              </w:rPr>
              <w:t>Наименование элемента</w:t>
            </w:r>
          </w:p>
        </w:tc>
        <w:tc>
          <w:tcPr>
            <w:tcW w:w="1701" w:type="dxa"/>
          </w:tcPr>
          <w:p w14:paraId="5D34A88D" w14:textId="77777777" w:rsidR="00AD1F54" w:rsidRPr="00264D5D" w:rsidRDefault="00941227">
            <w:pPr>
              <w:pStyle w:val="GOSTTableHead"/>
              <w:keepNext w:val="0"/>
              <w:widowControl w:val="0"/>
            </w:pPr>
            <w:r w:rsidRPr="00264D5D">
              <w:rPr>
                <w:szCs w:val="22"/>
              </w:rPr>
              <w:t>Сокращенное наименование (код) элемента</w:t>
            </w:r>
          </w:p>
        </w:tc>
        <w:tc>
          <w:tcPr>
            <w:tcW w:w="567" w:type="dxa"/>
          </w:tcPr>
          <w:p w14:paraId="483307DB" w14:textId="77777777" w:rsidR="00AD1F54" w:rsidRPr="00264D5D" w:rsidRDefault="00941227">
            <w:pPr>
              <w:pStyle w:val="GOSTTableHead"/>
              <w:keepNext w:val="0"/>
              <w:widowControl w:val="0"/>
            </w:pPr>
            <w:r w:rsidRPr="00264D5D">
              <w:rPr>
                <w:szCs w:val="22"/>
              </w:rPr>
              <w:t>Тип</w:t>
            </w:r>
          </w:p>
        </w:tc>
        <w:tc>
          <w:tcPr>
            <w:tcW w:w="1134" w:type="dxa"/>
          </w:tcPr>
          <w:p w14:paraId="68C14635" w14:textId="77777777" w:rsidR="00AD1F54" w:rsidRPr="00264D5D" w:rsidRDefault="00941227">
            <w:pPr>
              <w:pStyle w:val="GOSTTableHead"/>
              <w:keepNext w:val="0"/>
              <w:widowControl w:val="0"/>
            </w:pPr>
            <w:r w:rsidRPr="00264D5D">
              <w:rPr>
                <w:szCs w:val="22"/>
              </w:rPr>
              <w:t>Формат элемента</w:t>
            </w:r>
          </w:p>
        </w:tc>
        <w:tc>
          <w:tcPr>
            <w:tcW w:w="567" w:type="dxa"/>
          </w:tcPr>
          <w:p w14:paraId="59AF3D70" w14:textId="77777777" w:rsidR="00AD1F54" w:rsidRPr="00264D5D" w:rsidRDefault="00941227">
            <w:pPr>
              <w:pStyle w:val="GOSTTableHead"/>
              <w:keepNext w:val="0"/>
              <w:widowControl w:val="0"/>
            </w:pPr>
            <w:r w:rsidRPr="00264D5D">
              <w:rPr>
                <w:szCs w:val="22"/>
              </w:rPr>
              <w:t>Обязательность</w:t>
            </w:r>
          </w:p>
        </w:tc>
        <w:tc>
          <w:tcPr>
            <w:tcW w:w="3969" w:type="dxa"/>
          </w:tcPr>
          <w:p w14:paraId="32D4D7E4" w14:textId="77777777" w:rsidR="00AD1F54" w:rsidRPr="00264D5D" w:rsidRDefault="00941227">
            <w:pPr>
              <w:pStyle w:val="GOSTTableHead"/>
              <w:keepNext w:val="0"/>
              <w:widowControl w:val="0"/>
            </w:pPr>
            <w:r w:rsidRPr="00264D5D">
              <w:rPr>
                <w:szCs w:val="22"/>
              </w:rPr>
              <w:t>Дополнительная информация</w:t>
            </w:r>
          </w:p>
        </w:tc>
      </w:tr>
      <w:tr w:rsidR="00AD1F54" w:rsidRPr="00264D5D" w14:paraId="406D88B6" w14:textId="77777777" w:rsidTr="00AD1F54">
        <w:trPr>
          <w:cnfStyle w:val="000000100000" w:firstRow="0" w:lastRow="0" w:firstColumn="0" w:lastColumn="0" w:oddVBand="0" w:evenVBand="0" w:oddHBand="1" w:evenHBand="0" w:firstRowFirstColumn="0" w:firstRowLastColumn="0" w:lastRowFirstColumn="0" w:lastRowLastColumn="0"/>
        </w:trPr>
        <w:tc>
          <w:tcPr>
            <w:tcW w:w="1699" w:type="dxa"/>
          </w:tcPr>
          <w:p w14:paraId="694644D4" w14:textId="77777777" w:rsidR="00AD1F54" w:rsidRPr="00264D5D" w:rsidRDefault="00941227">
            <w:pPr>
              <w:pStyle w:val="GOSTTablenorm"/>
              <w:widowControl w:val="0"/>
            </w:pPr>
            <w:r w:rsidRPr="00264D5D">
              <w:t>Код по КОФК</w:t>
            </w:r>
          </w:p>
        </w:tc>
        <w:tc>
          <w:tcPr>
            <w:tcW w:w="1701" w:type="dxa"/>
          </w:tcPr>
          <w:p w14:paraId="47CB5EB1" w14:textId="77777777" w:rsidR="00AD1F54" w:rsidRPr="00264D5D" w:rsidRDefault="00941227">
            <w:pPr>
              <w:pStyle w:val="GOSTTablenorm"/>
              <w:widowControl w:val="0"/>
            </w:pPr>
            <w:r w:rsidRPr="00264D5D">
              <w:t>Cd</w:t>
            </w:r>
          </w:p>
        </w:tc>
        <w:tc>
          <w:tcPr>
            <w:tcW w:w="567" w:type="dxa"/>
          </w:tcPr>
          <w:p w14:paraId="5FFC98CC" w14:textId="77777777" w:rsidR="00AD1F54" w:rsidRPr="00264D5D" w:rsidRDefault="00941227">
            <w:pPr>
              <w:pStyle w:val="GOSTTablenorm"/>
              <w:widowControl w:val="0"/>
              <w:jc w:val="center"/>
            </w:pPr>
            <w:r w:rsidRPr="00264D5D">
              <w:t>П</w:t>
            </w:r>
          </w:p>
        </w:tc>
        <w:tc>
          <w:tcPr>
            <w:tcW w:w="1134" w:type="dxa"/>
          </w:tcPr>
          <w:p w14:paraId="787EA48B" w14:textId="77777777" w:rsidR="00AD1F54" w:rsidRPr="00264D5D" w:rsidRDefault="00941227">
            <w:pPr>
              <w:pStyle w:val="GOSTTablenorm"/>
              <w:widowControl w:val="0"/>
            </w:pPr>
            <w:r w:rsidRPr="00264D5D">
              <w:rPr>
                <w:lang w:val="en-US"/>
              </w:rPr>
              <w:t>T(</w:t>
            </w:r>
            <w:r w:rsidRPr="00264D5D">
              <w:t>1-</w:t>
            </w:r>
            <w:r w:rsidRPr="00264D5D">
              <w:rPr>
                <w:lang w:val="en-US"/>
              </w:rPr>
              <w:t>4)</w:t>
            </w:r>
          </w:p>
        </w:tc>
        <w:tc>
          <w:tcPr>
            <w:tcW w:w="567" w:type="dxa"/>
          </w:tcPr>
          <w:p w14:paraId="2D7B71EB" w14:textId="77777777" w:rsidR="00AD1F54" w:rsidRPr="00264D5D" w:rsidRDefault="00941227">
            <w:pPr>
              <w:pStyle w:val="GOSTTablenorm"/>
              <w:widowControl w:val="0"/>
              <w:jc w:val="center"/>
            </w:pPr>
            <w:r w:rsidRPr="00264D5D">
              <w:t>О</w:t>
            </w:r>
          </w:p>
        </w:tc>
        <w:tc>
          <w:tcPr>
            <w:tcW w:w="3969" w:type="dxa"/>
          </w:tcPr>
          <w:p w14:paraId="73CDFCF0" w14:textId="77777777" w:rsidR="00AD1F54" w:rsidRPr="00264D5D" w:rsidRDefault="00941227">
            <w:pPr>
              <w:pStyle w:val="GOSTTablenorm"/>
              <w:widowControl w:val="0"/>
            </w:pPr>
            <w:r w:rsidRPr="00264D5D">
              <w:t>Поле заполняется в соответствии с ц</w:t>
            </w:r>
            <w:r w:rsidR="00BA58C1" w:rsidRPr="00264D5D">
              <w:t>ентрализованным справочником ФК</w:t>
            </w:r>
          </w:p>
        </w:tc>
      </w:tr>
      <w:tr w:rsidR="00AD1F54" w:rsidRPr="00264D5D" w14:paraId="6BFA4675" w14:textId="77777777" w:rsidTr="00AD1F54">
        <w:trPr>
          <w:cnfStyle w:val="000000010000" w:firstRow="0" w:lastRow="0" w:firstColumn="0" w:lastColumn="0" w:oddVBand="0" w:evenVBand="0" w:oddHBand="0" w:evenHBand="1" w:firstRowFirstColumn="0" w:firstRowLastColumn="0" w:lastRowFirstColumn="0" w:lastRowLastColumn="0"/>
        </w:trPr>
        <w:tc>
          <w:tcPr>
            <w:tcW w:w="1699" w:type="dxa"/>
          </w:tcPr>
          <w:p w14:paraId="45227BF8" w14:textId="77777777" w:rsidR="00AD1F54" w:rsidRPr="00264D5D" w:rsidRDefault="00941227">
            <w:pPr>
              <w:pStyle w:val="GOSTTablenorm"/>
              <w:widowControl w:val="0"/>
            </w:pPr>
            <w:r w:rsidRPr="00264D5D">
              <w:t>Наименование ТОФК</w:t>
            </w:r>
          </w:p>
        </w:tc>
        <w:tc>
          <w:tcPr>
            <w:tcW w:w="1701" w:type="dxa"/>
          </w:tcPr>
          <w:p w14:paraId="56FAA85E" w14:textId="77777777" w:rsidR="00AD1F54" w:rsidRPr="00264D5D" w:rsidRDefault="00941227">
            <w:pPr>
              <w:pStyle w:val="GOSTTablenorm"/>
              <w:widowControl w:val="0"/>
            </w:pPr>
            <w:r w:rsidRPr="00264D5D">
              <w:t>Nm</w:t>
            </w:r>
          </w:p>
        </w:tc>
        <w:tc>
          <w:tcPr>
            <w:tcW w:w="567" w:type="dxa"/>
          </w:tcPr>
          <w:p w14:paraId="6919FEBB" w14:textId="77777777" w:rsidR="00AD1F54" w:rsidRPr="00264D5D" w:rsidRDefault="00941227">
            <w:pPr>
              <w:pStyle w:val="GOSTTablenorm"/>
              <w:widowControl w:val="0"/>
              <w:jc w:val="center"/>
            </w:pPr>
            <w:r w:rsidRPr="00264D5D">
              <w:t>П</w:t>
            </w:r>
          </w:p>
        </w:tc>
        <w:tc>
          <w:tcPr>
            <w:tcW w:w="1134" w:type="dxa"/>
          </w:tcPr>
          <w:p w14:paraId="254E2AF2" w14:textId="77777777" w:rsidR="00AD1F54" w:rsidRPr="00264D5D" w:rsidRDefault="00941227">
            <w:pPr>
              <w:pStyle w:val="GOSTTablenorm"/>
              <w:widowControl w:val="0"/>
              <w:rPr>
                <w:lang w:val="en-US"/>
              </w:rPr>
            </w:pPr>
            <w:r w:rsidRPr="00264D5D">
              <w:rPr>
                <w:lang w:val="en-US"/>
              </w:rPr>
              <w:t>T(1-2000)</w:t>
            </w:r>
          </w:p>
        </w:tc>
        <w:tc>
          <w:tcPr>
            <w:tcW w:w="567" w:type="dxa"/>
          </w:tcPr>
          <w:p w14:paraId="42D245AE" w14:textId="77777777" w:rsidR="00AD1F54" w:rsidRPr="00264D5D" w:rsidRDefault="00941227">
            <w:pPr>
              <w:pStyle w:val="GOSTTablenorm"/>
              <w:widowControl w:val="0"/>
              <w:jc w:val="center"/>
            </w:pPr>
            <w:r w:rsidRPr="00264D5D">
              <w:t>О</w:t>
            </w:r>
          </w:p>
        </w:tc>
        <w:tc>
          <w:tcPr>
            <w:tcW w:w="3969" w:type="dxa"/>
          </w:tcPr>
          <w:p w14:paraId="17C7EDCB" w14:textId="77777777" w:rsidR="00AD1F54" w:rsidRPr="00264D5D" w:rsidRDefault="00941227">
            <w:pPr>
              <w:pStyle w:val="GOSTTablenorm"/>
              <w:widowControl w:val="0"/>
            </w:pPr>
            <w:r w:rsidRPr="00264D5D">
              <w:t>Поле заполняется в соответствии с ц</w:t>
            </w:r>
            <w:r w:rsidR="00BA58C1" w:rsidRPr="00264D5D">
              <w:t>ентрализованным справочником ФК</w:t>
            </w:r>
          </w:p>
        </w:tc>
      </w:tr>
    </w:tbl>
    <w:p w14:paraId="7B6DDBCE" w14:textId="77777777" w:rsidR="00AD1F54" w:rsidRPr="00264D5D" w:rsidRDefault="00941227">
      <w:pPr>
        <w:pStyle w:val="31"/>
      </w:pPr>
      <w:bookmarkStart w:id="619" w:name="_Toc21014539"/>
      <w:bookmarkStart w:id="620" w:name="_Toc219309466"/>
      <w:r w:rsidRPr="00264D5D">
        <w:t>Описание комплексного типа «tMSC_FnclInst2»</w:t>
      </w:r>
      <w:bookmarkEnd w:id="619"/>
      <w:bookmarkEnd w:id="620"/>
    </w:p>
    <w:p w14:paraId="40965DDB" w14:textId="77777777" w:rsidR="00AD1F54" w:rsidRPr="00264D5D" w:rsidRDefault="00941227">
      <w:pPr>
        <w:pStyle w:val="GOSTNormal"/>
        <w:widowControl w:val="0"/>
      </w:pPr>
      <w:r w:rsidRPr="00264D5D">
        <w:t>Описание комплексного типа «tMSC_FnclInst2» блока «Финансовый орган».</w:t>
      </w:r>
    </w:p>
    <w:p w14:paraId="639B6350" w14:textId="61447CDE" w:rsidR="00AD1F54" w:rsidRPr="00264D5D" w:rsidRDefault="00941227">
      <w:pPr>
        <w:pStyle w:val="GOSTNameTable"/>
        <w:widowControl w:val="0"/>
        <w:numPr>
          <w:ilvl w:val="0"/>
          <w:numId w:val="2"/>
        </w:numPr>
        <w:spacing w:before="60" w:after="60"/>
        <w:ind w:left="414" w:right="57" w:hanging="357"/>
      </w:pPr>
      <w:r w:rsidRPr="00264D5D">
        <w:fldChar w:fldCharType="begin"/>
      </w:r>
      <w:r w:rsidRPr="00264D5D">
        <w:instrText>SEQ Таблица \* ARABIC</w:instrText>
      </w:r>
      <w:r w:rsidRPr="00264D5D">
        <w:fldChar w:fldCharType="separate"/>
      </w:r>
      <w:bookmarkStart w:id="621" w:name="_Ref492310983"/>
      <w:bookmarkStart w:id="622" w:name="_Toc21014632"/>
      <w:bookmarkStart w:id="623" w:name="_Toc219309060"/>
      <w:r w:rsidR="008D797C">
        <w:rPr>
          <w:noProof/>
        </w:rPr>
        <w:t>30</w:t>
      </w:r>
      <w:bookmarkEnd w:id="621"/>
      <w:r w:rsidRPr="00264D5D">
        <w:fldChar w:fldCharType="end"/>
      </w:r>
      <w:r w:rsidRPr="00264D5D">
        <w:t xml:space="preserve"> – Описание </w:t>
      </w:r>
      <w:bookmarkEnd w:id="622"/>
      <w:r w:rsidRPr="00264D5D">
        <w:t>комплексного типа «tMSC_FnclInst2»</w:t>
      </w:r>
      <w:bookmarkEnd w:id="623"/>
    </w:p>
    <w:tbl>
      <w:tblPr>
        <w:tblStyle w:val="GOSTTable"/>
        <w:tblW w:w="5002" w:type="pct"/>
        <w:tblLayout w:type="fixed"/>
        <w:tblLook w:val="04A0" w:firstRow="1" w:lastRow="0" w:firstColumn="1" w:lastColumn="0" w:noHBand="0" w:noVBand="1"/>
      </w:tblPr>
      <w:tblGrid>
        <w:gridCol w:w="1705"/>
        <w:gridCol w:w="1702"/>
        <w:gridCol w:w="567"/>
        <w:gridCol w:w="1135"/>
        <w:gridCol w:w="567"/>
        <w:gridCol w:w="3978"/>
      </w:tblGrid>
      <w:tr w:rsidR="00AD1F54" w:rsidRPr="00264D5D" w14:paraId="3118A99B"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5B3DDC36" w14:textId="77777777" w:rsidR="00AD1F54" w:rsidRPr="00264D5D" w:rsidRDefault="00941227">
            <w:pPr>
              <w:pStyle w:val="GOSTTableHead"/>
              <w:keepNext w:val="0"/>
              <w:widowControl w:val="0"/>
            </w:pPr>
            <w:r w:rsidRPr="00264D5D">
              <w:rPr>
                <w:szCs w:val="22"/>
              </w:rPr>
              <w:t>Наименование элемента</w:t>
            </w:r>
          </w:p>
        </w:tc>
        <w:tc>
          <w:tcPr>
            <w:tcW w:w="1698" w:type="dxa"/>
          </w:tcPr>
          <w:p w14:paraId="6F35EFE3" w14:textId="77777777" w:rsidR="00AD1F54" w:rsidRPr="00264D5D" w:rsidRDefault="00941227">
            <w:pPr>
              <w:pStyle w:val="GOSTTableHead"/>
              <w:keepNext w:val="0"/>
              <w:widowControl w:val="0"/>
            </w:pPr>
            <w:r w:rsidRPr="00264D5D">
              <w:rPr>
                <w:szCs w:val="22"/>
              </w:rPr>
              <w:t>Сокращенное наименование (код) элемента</w:t>
            </w:r>
          </w:p>
        </w:tc>
        <w:tc>
          <w:tcPr>
            <w:tcW w:w="566" w:type="dxa"/>
          </w:tcPr>
          <w:p w14:paraId="0340C35E" w14:textId="77777777" w:rsidR="00AD1F54" w:rsidRPr="00264D5D" w:rsidRDefault="00941227">
            <w:pPr>
              <w:pStyle w:val="GOSTTableHead"/>
              <w:keepNext w:val="0"/>
              <w:widowControl w:val="0"/>
            </w:pPr>
            <w:r w:rsidRPr="00264D5D">
              <w:rPr>
                <w:szCs w:val="22"/>
              </w:rPr>
              <w:t>Тип</w:t>
            </w:r>
          </w:p>
        </w:tc>
        <w:tc>
          <w:tcPr>
            <w:tcW w:w="1132" w:type="dxa"/>
          </w:tcPr>
          <w:p w14:paraId="66938FD7" w14:textId="77777777" w:rsidR="00AD1F54" w:rsidRPr="00264D5D" w:rsidRDefault="00941227">
            <w:pPr>
              <w:pStyle w:val="GOSTTableHead"/>
              <w:keepNext w:val="0"/>
              <w:widowControl w:val="0"/>
            </w:pPr>
            <w:r w:rsidRPr="00264D5D">
              <w:rPr>
                <w:szCs w:val="22"/>
              </w:rPr>
              <w:t>Формат элемента</w:t>
            </w:r>
          </w:p>
        </w:tc>
        <w:tc>
          <w:tcPr>
            <w:tcW w:w="566" w:type="dxa"/>
          </w:tcPr>
          <w:p w14:paraId="460208C5" w14:textId="77777777" w:rsidR="00AD1F54" w:rsidRPr="00264D5D" w:rsidRDefault="00941227">
            <w:pPr>
              <w:pStyle w:val="GOSTTableHead"/>
              <w:keepNext w:val="0"/>
              <w:widowControl w:val="0"/>
            </w:pPr>
            <w:r w:rsidRPr="00264D5D">
              <w:rPr>
                <w:szCs w:val="22"/>
              </w:rPr>
              <w:t>Обязательность</w:t>
            </w:r>
          </w:p>
        </w:tc>
        <w:tc>
          <w:tcPr>
            <w:tcW w:w="3969" w:type="dxa"/>
          </w:tcPr>
          <w:p w14:paraId="571739FE" w14:textId="77777777" w:rsidR="00AD1F54" w:rsidRPr="00264D5D" w:rsidRDefault="00941227">
            <w:pPr>
              <w:pStyle w:val="GOSTTableHead"/>
              <w:keepNext w:val="0"/>
              <w:widowControl w:val="0"/>
            </w:pPr>
            <w:r w:rsidRPr="00264D5D">
              <w:rPr>
                <w:szCs w:val="22"/>
              </w:rPr>
              <w:t>Дополнительная информация</w:t>
            </w:r>
          </w:p>
        </w:tc>
      </w:tr>
      <w:tr w:rsidR="00AD1F54" w:rsidRPr="00264D5D" w14:paraId="3A21BF05"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A2F5B1B" w14:textId="77777777" w:rsidR="00AD1F54" w:rsidRPr="00264D5D" w:rsidRDefault="00941227">
            <w:pPr>
              <w:pStyle w:val="GOSTTablenorm"/>
              <w:widowControl w:val="0"/>
            </w:pPr>
            <w:r w:rsidRPr="00264D5D">
              <w:t>Наименование ФО</w:t>
            </w:r>
          </w:p>
        </w:tc>
        <w:tc>
          <w:tcPr>
            <w:tcW w:w="1698" w:type="dxa"/>
          </w:tcPr>
          <w:p w14:paraId="25C6CC57" w14:textId="77777777" w:rsidR="00AD1F54" w:rsidRPr="00264D5D" w:rsidRDefault="00941227">
            <w:pPr>
              <w:pStyle w:val="GOSTTablenorm"/>
              <w:widowControl w:val="0"/>
            </w:pPr>
            <w:r w:rsidRPr="00264D5D">
              <w:t>FnclInst</w:t>
            </w:r>
          </w:p>
        </w:tc>
        <w:tc>
          <w:tcPr>
            <w:tcW w:w="566" w:type="dxa"/>
          </w:tcPr>
          <w:p w14:paraId="5699DB8E" w14:textId="77777777" w:rsidR="00AD1F54" w:rsidRPr="00264D5D" w:rsidRDefault="00941227">
            <w:pPr>
              <w:pStyle w:val="GOSTTablenorm"/>
              <w:widowControl w:val="0"/>
              <w:jc w:val="center"/>
            </w:pPr>
            <w:r w:rsidRPr="00264D5D">
              <w:t>П</w:t>
            </w:r>
          </w:p>
        </w:tc>
        <w:tc>
          <w:tcPr>
            <w:tcW w:w="1132" w:type="dxa"/>
          </w:tcPr>
          <w:p w14:paraId="6788A808" w14:textId="77777777" w:rsidR="00AD1F54" w:rsidRPr="00264D5D" w:rsidRDefault="00941227">
            <w:pPr>
              <w:pStyle w:val="GOSTTablenorm"/>
              <w:widowControl w:val="0"/>
              <w:rPr>
                <w:lang w:val="en-US"/>
              </w:rPr>
            </w:pPr>
            <w:r w:rsidRPr="00264D5D">
              <w:rPr>
                <w:lang w:val="en-US"/>
              </w:rPr>
              <w:t>T(1-2000)</w:t>
            </w:r>
          </w:p>
        </w:tc>
        <w:tc>
          <w:tcPr>
            <w:tcW w:w="566" w:type="dxa"/>
          </w:tcPr>
          <w:p w14:paraId="00A325C2" w14:textId="77777777" w:rsidR="00AD1F54" w:rsidRPr="00264D5D" w:rsidRDefault="00941227">
            <w:pPr>
              <w:pStyle w:val="GOSTTablenorm"/>
              <w:widowControl w:val="0"/>
              <w:jc w:val="center"/>
            </w:pPr>
            <w:r w:rsidRPr="00264D5D">
              <w:t>О</w:t>
            </w:r>
          </w:p>
        </w:tc>
        <w:tc>
          <w:tcPr>
            <w:tcW w:w="3969" w:type="dxa"/>
          </w:tcPr>
          <w:p w14:paraId="0DEC37B4" w14:textId="77777777" w:rsidR="00AD1F54" w:rsidRPr="00264D5D" w:rsidRDefault="00941227">
            <w:pPr>
              <w:pStyle w:val="GOSTTablenorm"/>
              <w:widowControl w:val="0"/>
            </w:pPr>
            <w:r w:rsidRPr="00264D5D">
              <w:t>Указывается «Министерство</w:t>
            </w:r>
            <w:r w:rsidR="00BA58C1" w:rsidRPr="00264D5D">
              <w:t xml:space="preserve"> финансов Российской Федерации»</w:t>
            </w:r>
          </w:p>
        </w:tc>
      </w:tr>
    </w:tbl>
    <w:p w14:paraId="3BAA04DC" w14:textId="77777777" w:rsidR="00AD1F54" w:rsidRPr="00264D5D" w:rsidRDefault="00941227">
      <w:pPr>
        <w:pStyle w:val="31"/>
      </w:pPr>
      <w:bookmarkStart w:id="624" w:name="_Toc21014540"/>
      <w:bookmarkStart w:id="625" w:name="_Toc219309467"/>
      <w:r w:rsidRPr="00264D5D">
        <w:t>Описание комплексного типа «tMSC_Hd»</w:t>
      </w:r>
      <w:bookmarkEnd w:id="624"/>
      <w:bookmarkEnd w:id="625"/>
    </w:p>
    <w:p w14:paraId="04894C95" w14:textId="77777777" w:rsidR="00AD1F54" w:rsidRPr="00264D5D" w:rsidRDefault="00941227">
      <w:pPr>
        <w:pStyle w:val="GOSTNormal"/>
        <w:widowControl w:val="0"/>
      </w:pPr>
      <w:r w:rsidRPr="00264D5D">
        <w:t>Описание комплексного типа «tMSC_Hd» блока «Руководитель (уполномоченное лицо)».</w:t>
      </w:r>
    </w:p>
    <w:p w14:paraId="224BAFBF" w14:textId="7AFEA0A6" w:rsidR="00AD1F54" w:rsidRPr="00264D5D" w:rsidRDefault="00941227">
      <w:pPr>
        <w:pStyle w:val="GOSTNameTable"/>
        <w:widowControl w:val="0"/>
        <w:numPr>
          <w:ilvl w:val="0"/>
          <w:numId w:val="2"/>
        </w:numPr>
        <w:spacing w:before="60"/>
        <w:ind w:left="425" w:hanging="357"/>
      </w:pPr>
      <w:r w:rsidRPr="00264D5D">
        <w:fldChar w:fldCharType="begin"/>
      </w:r>
      <w:r w:rsidRPr="00264D5D">
        <w:instrText>SEQ Таблица \* ARABIC</w:instrText>
      </w:r>
      <w:r w:rsidRPr="00264D5D">
        <w:fldChar w:fldCharType="separate"/>
      </w:r>
      <w:bookmarkStart w:id="626" w:name="_Ref492310987"/>
      <w:bookmarkStart w:id="627" w:name="_Toc21014633"/>
      <w:bookmarkStart w:id="628" w:name="_Toc219309061"/>
      <w:r w:rsidR="008D797C">
        <w:rPr>
          <w:noProof/>
        </w:rPr>
        <w:t>31</w:t>
      </w:r>
      <w:bookmarkEnd w:id="626"/>
      <w:r w:rsidRPr="00264D5D">
        <w:fldChar w:fldCharType="end"/>
      </w:r>
      <w:r w:rsidRPr="00264D5D">
        <w:t xml:space="preserve"> – Описание </w:t>
      </w:r>
      <w:bookmarkEnd w:id="627"/>
      <w:r w:rsidRPr="00264D5D">
        <w:t>комплексного типа «tMSC_Hd»</w:t>
      </w:r>
      <w:bookmarkEnd w:id="628"/>
    </w:p>
    <w:tbl>
      <w:tblPr>
        <w:tblStyle w:val="GOSTTable"/>
        <w:tblW w:w="5000" w:type="pct"/>
        <w:tblLayout w:type="fixed"/>
        <w:tblLook w:val="04A0" w:firstRow="1" w:lastRow="0" w:firstColumn="1" w:lastColumn="0" w:noHBand="0" w:noVBand="1"/>
      </w:tblPr>
      <w:tblGrid>
        <w:gridCol w:w="1707"/>
        <w:gridCol w:w="1702"/>
        <w:gridCol w:w="567"/>
        <w:gridCol w:w="1135"/>
        <w:gridCol w:w="567"/>
        <w:gridCol w:w="3972"/>
      </w:tblGrid>
      <w:tr w:rsidR="00AD1F54" w:rsidRPr="00264D5D" w14:paraId="28A57C12"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5" w:type="dxa"/>
          </w:tcPr>
          <w:p w14:paraId="4CA1EE07" w14:textId="77777777" w:rsidR="00AD1F54" w:rsidRPr="00264D5D" w:rsidRDefault="00941227">
            <w:pPr>
              <w:pStyle w:val="GOSTTableHead"/>
              <w:keepNext w:val="0"/>
              <w:widowControl w:val="0"/>
            </w:pPr>
            <w:r w:rsidRPr="00264D5D">
              <w:rPr>
                <w:szCs w:val="22"/>
              </w:rPr>
              <w:t>Наименование элемента</w:t>
            </w:r>
          </w:p>
        </w:tc>
        <w:tc>
          <w:tcPr>
            <w:tcW w:w="1701" w:type="dxa"/>
          </w:tcPr>
          <w:p w14:paraId="7B3572DB" w14:textId="77777777" w:rsidR="00AD1F54" w:rsidRPr="00264D5D" w:rsidRDefault="00941227">
            <w:pPr>
              <w:pStyle w:val="GOSTTableHead"/>
              <w:keepNext w:val="0"/>
              <w:widowControl w:val="0"/>
            </w:pPr>
            <w:r w:rsidRPr="00264D5D">
              <w:rPr>
                <w:szCs w:val="22"/>
              </w:rPr>
              <w:t>Сокращенное наименование (код) элемента</w:t>
            </w:r>
          </w:p>
        </w:tc>
        <w:tc>
          <w:tcPr>
            <w:tcW w:w="567" w:type="dxa"/>
          </w:tcPr>
          <w:p w14:paraId="4C84467A" w14:textId="77777777" w:rsidR="00AD1F54" w:rsidRPr="00264D5D" w:rsidRDefault="00941227">
            <w:pPr>
              <w:pStyle w:val="GOSTTableHead"/>
              <w:keepNext w:val="0"/>
              <w:widowControl w:val="0"/>
            </w:pPr>
            <w:r w:rsidRPr="00264D5D">
              <w:rPr>
                <w:szCs w:val="22"/>
              </w:rPr>
              <w:t>Тип</w:t>
            </w:r>
          </w:p>
        </w:tc>
        <w:tc>
          <w:tcPr>
            <w:tcW w:w="1134" w:type="dxa"/>
          </w:tcPr>
          <w:p w14:paraId="0990872C" w14:textId="77777777" w:rsidR="00AD1F54" w:rsidRPr="00264D5D" w:rsidRDefault="00941227">
            <w:pPr>
              <w:pStyle w:val="GOSTTableHead"/>
              <w:keepNext w:val="0"/>
              <w:widowControl w:val="0"/>
            </w:pPr>
            <w:r w:rsidRPr="00264D5D">
              <w:rPr>
                <w:szCs w:val="22"/>
              </w:rPr>
              <w:t>Формат элемента</w:t>
            </w:r>
          </w:p>
        </w:tc>
        <w:tc>
          <w:tcPr>
            <w:tcW w:w="567" w:type="dxa"/>
          </w:tcPr>
          <w:p w14:paraId="089E5617" w14:textId="77777777" w:rsidR="00AD1F54" w:rsidRPr="00264D5D" w:rsidRDefault="00941227">
            <w:pPr>
              <w:pStyle w:val="GOSTTableHead"/>
              <w:keepNext w:val="0"/>
              <w:widowControl w:val="0"/>
            </w:pPr>
            <w:r w:rsidRPr="00264D5D">
              <w:rPr>
                <w:szCs w:val="22"/>
              </w:rPr>
              <w:t>Обязательность</w:t>
            </w:r>
          </w:p>
        </w:tc>
        <w:tc>
          <w:tcPr>
            <w:tcW w:w="3969" w:type="dxa"/>
          </w:tcPr>
          <w:p w14:paraId="3D595F30" w14:textId="77777777" w:rsidR="00AD1F54" w:rsidRPr="00264D5D" w:rsidRDefault="00941227">
            <w:pPr>
              <w:pStyle w:val="GOSTTableHead"/>
              <w:keepNext w:val="0"/>
              <w:widowControl w:val="0"/>
            </w:pPr>
            <w:r w:rsidRPr="00264D5D">
              <w:rPr>
                <w:szCs w:val="22"/>
              </w:rPr>
              <w:t>Дополнительная информация</w:t>
            </w:r>
          </w:p>
        </w:tc>
      </w:tr>
      <w:tr w:rsidR="00AD1F54" w:rsidRPr="00264D5D" w14:paraId="72DA2095" w14:textId="77777777" w:rsidTr="00AD1F54">
        <w:trPr>
          <w:cnfStyle w:val="000000100000" w:firstRow="0" w:lastRow="0" w:firstColumn="0" w:lastColumn="0" w:oddVBand="0" w:evenVBand="0" w:oddHBand="1" w:evenHBand="0" w:firstRowFirstColumn="0" w:firstRowLastColumn="0" w:lastRowFirstColumn="0" w:lastRowLastColumn="0"/>
        </w:trPr>
        <w:tc>
          <w:tcPr>
            <w:tcW w:w="1705" w:type="dxa"/>
          </w:tcPr>
          <w:p w14:paraId="6F958AE3" w14:textId="77777777" w:rsidR="00AD1F54" w:rsidRPr="00264D5D" w:rsidRDefault="00941227">
            <w:pPr>
              <w:pStyle w:val="GOSTTablenorm"/>
              <w:widowControl w:val="0"/>
              <w:rPr>
                <w:szCs w:val="22"/>
              </w:rPr>
            </w:pPr>
            <w:r w:rsidRPr="00264D5D">
              <w:rPr>
                <w:szCs w:val="22"/>
              </w:rPr>
              <w:t>Должность руководителя (уполномоченно</w:t>
            </w:r>
            <w:r w:rsidRPr="00264D5D">
              <w:rPr>
                <w:szCs w:val="22"/>
              </w:rPr>
              <w:lastRenderedPageBreak/>
              <w:t>го им лица)</w:t>
            </w:r>
          </w:p>
        </w:tc>
        <w:tc>
          <w:tcPr>
            <w:tcW w:w="1701" w:type="dxa"/>
          </w:tcPr>
          <w:p w14:paraId="56FE2A30" w14:textId="77777777" w:rsidR="00AD1F54" w:rsidRPr="00264D5D" w:rsidRDefault="00941227">
            <w:pPr>
              <w:pStyle w:val="GOSTTablenorm"/>
              <w:widowControl w:val="0"/>
              <w:rPr>
                <w:szCs w:val="22"/>
              </w:rPr>
            </w:pPr>
            <w:r w:rsidRPr="00264D5D">
              <w:rPr>
                <w:szCs w:val="22"/>
              </w:rPr>
              <w:lastRenderedPageBreak/>
              <w:t>Pstn</w:t>
            </w:r>
          </w:p>
        </w:tc>
        <w:tc>
          <w:tcPr>
            <w:tcW w:w="567" w:type="dxa"/>
          </w:tcPr>
          <w:p w14:paraId="6FA559DD" w14:textId="77777777" w:rsidR="00AD1F54" w:rsidRPr="00264D5D" w:rsidRDefault="00941227">
            <w:pPr>
              <w:pStyle w:val="GOSTTablenorm"/>
              <w:widowControl w:val="0"/>
              <w:jc w:val="center"/>
              <w:rPr>
                <w:szCs w:val="22"/>
              </w:rPr>
            </w:pPr>
            <w:r w:rsidRPr="00264D5D">
              <w:rPr>
                <w:szCs w:val="22"/>
              </w:rPr>
              <w:t>П</w:t>
            </w:r>
          </w:p>
        </w:tc>
        <w:tc>
          <w:tcPr>
            <w:tcW w:w="1134" w:type="dxa"/>
          </w:tcPr>
          <w:p w14:paraId="357558BD" w14:textId="77777777" w:rsidR="00AD1F54" w:rsidRPr="00264D5D" w:rsidRDefault="00941227">
            <w:pPr>
              <w:pStyle w:val="GOSTTablenorm"/>
              <w:widowControl w:val="0"/>
              <w:rPr>
                <w:szCs w:val="22"/>
                <w:lang w:val="en-US"/>
              </w:rPr>
            </w:pPr>
            <w:r w:rsidRPr="00264D5D">
              <w:rPr>
                <w:szCs w:val="22"/>
                <w:lang w:val="en-US"/>
              </w:rPr>
              <w:t>T(1-100)</w:t>
            </w:r>
          </w:p>
        </w:tc>
        <w:tc>
          <w:tcPr>
            <w:tcW w:w="567" w:type="dxa"/>
          </w:tcPr>
          <w:p w14:paraId="71DA2266" w14:textId="77777777" w:rsidR="00AD1F54" w:rsidRPr="00264D5D" w:rsidRDefault="00941227">
            <w:pPr>
              <w:pStyle w:val="GOSTTablenorm"/>
              <w:widowControl w:val="0"/>
              <w:jc w:val="center"/>
              <w:rPr>
                <w:szCs w:val="22"/>
              </w:rPr>
            </w:pPr>
            <w:r w:rsidRPr="00264D5D">
              <w:rPr>
                <w:szCs w:val="22"/>
              </w:rPr>
              <w:t>Н</w:t>
            </w:r>
          </w:p>
        </w:tc>
        <w:tc>
          <w:tcPr>
            <w:tcW w:w="3969" w:type="dxa"/>
          </w:tcPr>
          <w:p w14:paraId="586697CB" w14:textId="77777777" w:rsidR="00AD1F54" w:rsidRPr="00264D5D" w:rsidRDefault="00941227">
            <w:pPr>
              <w:pStyle w:val="GOSTTablenorm"/>
              <w:widowControl w:val="0"/>
              <w:rPr>
                <w:szCs w:val="22"/>
              </w:rPr>
            </w:pPr>
            <w:r w:rsidRPr="00264D5D">
              <w:rPr>
                <w:szCs w:val="22"/>
              </w:rPr>
              <w:t>Заполняется только в случае подписания РР упо</w:t>
            </w:r>
            <w:r w:rsidR="00BA58C1" w:rsidRPr="00264D5D">
              <w:rPr>
                <w:szCs w:val="22"/>
              </w:rPr>
              <w:t>лномоченным руководителем лицом</w:t>
            </w:r>
          </w:p>
        </w:tc>
      </w:tr>
      <w:tr w:rsidR="00AD1F54" w:rsidRPr="00264D5D" w14:paraId="77AFA985" w14:textId="77777777" w:rsidTr="00AD1F54">
        <w:trPr>
          <w:cnfStyle w:val="000000010000" w:firstRow="0" w:lastRow="0" w:firstColumn="0" w:lastColumn="0" w:oddVBand="0" w:evenVBand="0" w:oddHBand="0" w:evenHBand="1" w:firstRowFirstColumn="0" w:firstRowLastColumn="0" w:lastRowFirstColumn="0" w:lastRowLastColumn="0"/>
        </w:trPr>
        <w:tc>
          <w:tcPr>
            <w:tcW w:w="1705" w:type="dxa"/>
          </w:tcPr>
          <w:p w14:paraId="3520EC2A" w14:textId="77777777" w:rsidR="00AD1F54" w:rsidRPr="00264D5D" w:rsidRDefault="00941227">
            <w:pPr>
              <w:pStyle w:val="GOSTTablenorm"/>
              <w:widowControl w:val="0"/>
              <w:rPr>
                <w:szCs w:val="22"/>
              </w:rPr>
            </w:pPr>
            <w:r w:rsidRPr="00264D5D">
              <w:rPr>
                <w:szCs w:val="22"/>
              </w:rPr>
              <w:lastRenderedPageBreak/>
              <w:t>Расшифровка подписи руководителя (уполномоченного им лица)</w:t>
            </w:r>
          </w:p>
        </w:tc>
        <w:tc>
          <w:tcPr>
            <w:tcW w:w="1701" w:type="dxa"/>
          </w:tcPr>
          <w:p w14:paraId="4B10E0CC" w14:textId="77777777" w:rsidR="00AD1F54" w:rsidRPr="00264D5D" w:rsidRDefault="00941227">
            <w:pPr>
              <w:pStyle w:val="GOSTTablenorm"/>
              <w:widowControl w:val="0"/>
              <w:rPr>
                <w:szCs w:val="22"/>
              </w:rPr>
            </w:pPr>
            <w:r w:rsidRPr="00264D5D">
              <w:rPr>
                <w:szCs w:val="22"/>
              </w:rPr>
              <w:t>FllNm</w:t>
            </w:r>
          </w:p>
        </w:tc>
        <w:tc>
          <w:tcPr>
            <w:tcW w:w="567" w:type="dxa"/>
          </w:tcPr>
          <w:p w14:paraId="618CCE45" w14:textId="77777777" w:rsidR="00AD1F54" w:rsidRPr="00264D5D" w:rsidRDefault="00941227">
            <w:pPr>
              <w:pStyle w:val="GOSTTablenorm"/>
              <w:widowControl w:val="0"/>
              <w:jc w:val="center"/>
              <w:rPr>
                <w:szCs w:val="22"/>
              </w:rPr>
            </w:pPr>
            <w:r w:rsidRPr="00264D5D">
              <w:rPr>
                <w:szCs w:val="22"/>
              </w:rPr>
              <w:t>П</w:t>
            </w:r>
          </w:p>
        </w:tc>
        <w:tc>
          <w:tcPr>
            <w:tcW w:w="1134" w:type="dxa"/>
          </w:tcPr>
          <w:p w14:paraId="71D216F0" w14:textId="77777777" w:rsidR="00AD1F54" w:rsidRPr="00264D5D" w:rsidRDefault="00941227">
            <w:pPr>
              <w:pStyle w:val="GOSTTablenorm"/>
              <w:widowControl w:val="0"/>
              <w:rPr>
                <w:szCs w:val="22"/>
                <w:lang w:val="en-US"/>
              </w:rPr>
            </w:pPr>
            <w:r w:rsidRPr="00264D5D">
              <w:rPr>
                <w:szCs w:val="22"/>
                <w:lang w:val="en-US"/>
              </w:rPr>
              <w:t>T(1-50)</w:t>
            </w:r>
          </w:p>
        </w:tc>
        <w:tc>
          <w:tcPr>
            <w:tcW w:w="567" w:type="dxa"/>
          </w:tcPr>
          <w:p w14:paraId="23C6E848" w14:textId="77777777" w:rsidR="00AD1F54" w:rsidRPr="00264D5D" w:rsidRDefault="00941227">
            <w:pPr>
              <w:pStyle w:val="GOSTTablenorm"/>
              <w:widowControl w:val="0"/>
              <w:jc w:val="center"/>
              <w:rPr>
                <w:szCs w:val="22"/>
              </w:rPr>
            </w:pPr>
            <w:r w:rsidRPr="00264D5D">
              <w:rPr>
                <w:szCs w:val="22"/>
              </w:rPr>
              <w:t>Н</w:t>
            </w:r>
          </w:p>
        </w:tc>
        <w:tc>
          <w:tcPr>
            <w:tcW w:w="3969" w:type="dxa"/>
          </w:tcPr>
          <w:p w14:paraId="20C9C5A2" w14:textId="77777777" w:rsidR="00AD1F54" w:rsidRPr="00264D5D" w:rsidRDefault="00941227">
            <w:pPr>
              <w:widowControl w:val="0"/>
              <w:spacing w:before="60" w:after="60"/>
              <w:rPr>
                <w:sz w:val="22"/>
                <w:szCs w:val="22"/>
              </w:rPr>
            </w:pPr>
            <w:r w:rsidRPr="00264D5D">
              <w:rPr>
                <w:sz w:val="22"/>
                <w:szCs w:val="22"/>
              </w:rPr>
              <w:t>Указывается ФИО руковод</w:t>
            </w:r>
            <w:r w:rsidR="00BA58C1" w:rsidRPr="00264D5D">
              <w:rPr>
                <w:sz w:val="22"/>
                <w:szCs w:val="22"/>
              </w:rPr>
              <w:t>ителя (уполномоченного им лица)</w:t>
            </w:r>
          </w:p>
        </w:tc>
      </w:tr>
    </w:tbl>
    <w:p w14:paraId="29075312" w14:textId="77777777" w:rsidR="00AD1F54" w:rsidRPr="00264D5D" w:rsidRDefault="00941227">
      <w:pPr>
        <w:pStyle w:val="31"/>
      </w:pPr>
      <w:bookmarkStart w:id="629" w:name="_Toc21014541"/>
      <w:bookmarkStart w:id="630" w:name="_Toc219309468"/>
      <w:r w:rsidRPr="00264D5D">
        <w:t>Описание комплексного типа «tMSC_RspnExctr»</w:t>
      </w:r>
      <w:bookmarkEnd w:id="629"/>
      <w:bookmarkEnd w:id="630"/>
    </w:p>
    <w:p w14:paraId="190AA7D8" w14:textId="77777777" w:rsidR="00AD1F54" w:rsidRPr="00264D5D" w:rsidRDefault="00941227">
      <w:pPr>
        <w:pStyle w:val="GOSTNormal"/>
        <w:widowControl w:val="0"/>
      </w:pPr>
      <w:r w:rsidRPr="00264D5D">
        <w:t>Описание комплексного типа «tMSC_RspnExctr» блока «Исполнитель».</w:t>
      </w:r>
    </w:p>
    <w:p w14:paraId="48D5B5D3" w14:textId="46156C0F" w:rsidR="00AD1F54" w:rsidRPr="00264D5D" w:rsidRDefault="00941227">
      <w:pPr>
        <w:pStyle w:val="GOSTNameTable"/>
        <w:widowControl w:val="0"/>
        <w:numPr>
          <w:ilvl w:val="0"/>
          <w:numId w:val="2"/>
        </w:numPr>
        <w:spacing w:before="60"/>
        <w:ind w:left="425" w:hanging="357"/>
      </w:pPr>
      <w:r w:rsidRPr="00264D5D">
        <w:fldChar w:fldCharType="begin"/>
      </w:r>
      <w:r w:rsidRPr="00264D5D">
        <w:instrText>SEQ Таблица \* ARABIC</w:instrText>
      </w:r>
      <w:r w:rsidRPr="00264D5D">
        <w:fldChar w:fldCharType="separate"/>
      </w:r>
      <w:bookmarkStart w:id="631" w:name="_Ref492310991"/>
      <w:bookmarkStart w:id="632" w:name="_Toc21014634"/>
      <w:bookmarkStart w:id="633" w:name="_Toc219309062"/>
      <w:r w:rsidR="008D797C">
        <w:rPr>
          <w:noProof/>
        </w:rPr>
        <w:t>32</w:t>
      </w:r>
      <w:bookmarkEnd w:id="631"/>
      <w:r w:rsidRPr="00264D5D">
        <w:fldChar w:fldCharType="end"/>
      </w:r>
      <w:r w:rsidRPr="00264D5D">
        <w:t xml:space="preserve"> – Описание </w:t>
      </w:r>
      <w:bookmarkEnd w:id="632"/>
      <w:r w:rsidRPr="00264D5D">
        <w:t>комплексного типа «tMSC_RspnExctr»</w:t>
      </w:r>
      <w:bookmarkEnd w:id="633"/>
    </w:p>
    <w:tbl>
      <w:tblPr>
        <w:tblStyle w:val="GOSTTable"/>
        <w:tblW w:w="5000" w:type="pct"/>
        <w:tblLayout w:type="fixed"/>
        <w:tblLook w:val="04A0" w:firstRow="1" w:lastRow="0" w:firstColumn="1" w:lastColumn="0" w:noHBand="0" w:noVBand="1"/>
      </w:tblPr>
      <w:tblGrid>
        <w:gridCol w:w="1702"/>
        <w:gridCol w:w="1703"/>
        <w:gridCol w:w="568"/>
        <w:gridCol w:w="1135"/>
        <w:gridCol w:w="568"/>
        <w:gridCol w:w="3974"/>
      </w:tblGrid>
      <w:tr w:rsidR="00AD1F54" w:rsidRPr="00264D5D" w14:paraId="28F62F90"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49AD4DDF" w14:textId="77777777" w:rsidR="00AD1F54" w:rsidRPr="00264D5D" w:rsidRDefault="00941227">
            <w:pPr>
              <w:pStyle w:val="GOSTTableHead"/>
              <w:keepNext w:val="0"/>
              <w:widowControl w:val="0"/>
            </w:pPr>
            <w:r w:rsidRPr="00264D5D">
              <w:rPr>
                <w:szCs w:val="22"/>
              </w:rPr>
              <w:t>Наименование элемента</w:t>
            </w:r>
          </w:p>
        </w:tc>
        <w:tc>
          <w:tcPr>
            <w:tcW w:w="1701" w:type="dxa"/>
          </w:tcPr>
          <w:p w14:paraId="18914545" w14:textId="77777777" w:rsidR="00AD1F54" w:rsidRPr="00264D5D" w:rsidRDefault="00941227">
            <w:pPr>
              <w:pStyle w:val="GOSTTableHead"/>
              <w:keepNext w:val="0"/>
              <w:widowControl w:val="0"/>
            </w:pPr>
            <w:r w:rsidRPr="00264D5D">
              <w:rPr>
                <w:szCs w:val="22"/>
              </w:rPr>
              <w:t>Сокращенное наименование (код) элемента</w:t>
            </w:r>
          </w:p>
        </w:tc>
        <w:tc>
          <w:tcPr>
            <w:tcW w:w="567" w:type="dxa"/>
          </w:tcPr>
          <w:p w14:paraId="181B3911" w14:textId="77777777" w:rsidR="00AD1F54" w:rsidRPr="00264D5D" w:rsidRDefault="00941227">
            <w:pPr>
              <w:pStyle w:val="GOSTTableHead"/>
              <w:keepNext w:val="0"/>
              <w:widowControl w:val="0"/>
            </w:pPr>
            <w:r w:rsidRPr="00264D5D">
              <w:rPr>
                <w:szCs w:val="22"/>
              </w:rPr>
              <w:t>Тип</w:t>
            </w:r>
          </w:p>
        </w:tc>
        <w:tc>
          <w:tcPr>
            <w:tcW w:w="1134" w:type="dxa"/>
          </w:tcPr>
          <w:p w14:paraId="67690236" w14:textId="77777777" w:rsidR="00AD1F54" w:rsidRPr="00264D5D" w:rsidRDefault="00941227">
            <w:pPr>
              <w:pStyle w:val="GOSTTableHead"/>
              <w:keepNext w:val="0"/>
              <w:widowControl w:val="0"/>
            </w:pPr>
            <w:r w:rsidRPr="00264D5D">
              <w:rPr>
                <w:szCs w:val="22"/>
              </w:rPr>
              <w:t>Формат элемента</w:t>
            </w:r>
          </w:p>
        </w:tc>
        <w:tc>
          <w:tcPr>
            <w:tcW w:w="567" w:type="dxa"/>
          </w:tcPr>
          <w:p w14:paraId="4286C4EF" w14:textId="77777777" w:rsidR="00AD1F54" w:rsidRPr="00264D5D" w:rsidRDefault="00941227">
            <w:pPr>
              <w:pStyle w:val="GOSTTableHead"/>
              <w:keepNext w:val="0"/>
              <w:widowControl w:val="0"/>
            </w:pPr>
            <w:r w:rsidRPr="00264D5D">
              <w:rPr>
                <w:szCs w:val="22"/>
              </w:rPr>
              <w:t>Обязательность</w:t>
            </w:r>
          </w:p>
        </w:tc>
        <w:tc>
          <w:tcPr>
            <w:tcW w:w="3969" w:type="dxa"/>
          </w:tcPr>
          <w:p w14:paraId="473DCD34" w14:textId="77777777" w:rsidR="00AD1F54" w:rsidRPr="00264D5D" w:rsidRDefault="00941227">
            <w:pPr>
              <w:pStyle w:val="GOSTTableHead"/>
              <w:keepNext w:val="0"/>
              <w:widowControl w:val="0"/>
            </w:pPr>
            <w:r w:rsidRPr="00264D5D">
              <w:rPr>
                <w:szCs w:val="22"/>
              </w:rPr>
              <w:t>Дополнительная информация</w:t>
            </w:r>
          </w:p>
        </w:tc>
      </w:tr>
      <w:tr w:rsidR="00AD1F54" w:rsidRPr="00264D5D" w14:paraId="42601672"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78B81D4" w14:textId="77777777" w:rsidR="00AD1F54" w:rsidRPr="00264D5D" w:rsidRDefault="00941227">
            <w:pPr>
              <w:pStyle w:val="GOSTTablenorm"/>
              <w:widowControl w:val="0"/>
            </w:pPr>
            <w:r w:rsidRPr="00264D5D">
              <w:t>Должность исполнителя</w:t>
            </w:r>
          </w:p>
        </w:tc>
        <w:tc>
          <w:tcPr>
            <w:tcW w:w="1701" w:type="dxa"/>
          </w:tcPr>
          <w:p w14:paraId="0E0065AE" w14:textId="77777777" w:rsidR="00AD1F54" w:rsidRPr="00264D5D" w:rsidRDefault="00941227">
            <w:pPr>
              <w:pStyle w:val="GOSTTablenorm"/>
              <w:widowControl w:val="0"/>
            </w:pPr>
            <w:r w:rsidRPr="00264D5D">
              <w:t>Pstn</w:t>
            </w:r>
          </w:p>
        </w:tc>
        <w:tc>
          <w:tcPr>
            <w:tcW w:w="567" w:type="dxa"/>
          </w:tcPr>
          <w:p w14:paraId="40497883" w14:textId="77777777" w:rsidR="00AD1F54" w:rsidRPr="00264D5D" w:rsidRDefault="00941227">
            <w:pPr>
              <w:pStyle w:val="GOSTTablenorm"/>
              <w:widowControl w:val="0"/>
              <w:jc w:val="center"/>
            </w:pPr>
            <w:r w:rsidRPr="00264D5D">
              <w:t>П</w:t>
            </w:r>
          </w:p>
        </w:tc>
        <w:tc>
          <w:tcPr>
            <w:tcW w:w="1134" w:type="dxa"/>
          </w:tcPr>
          <w:p w14:paraId="5DA10B2F" w14:textId="77777777" w:rsidR="00AD1F54" w:rsidRPr="00264D5D" w:rsidRDefault="00941227">
            <w:pPr>
              <w:pStyle w:val="GOSTTablenorm"/>
              <w:widowControl w:val="0"/>
            </w:pPr>
            <w:r w:rsidRPr="00264D5D">
              <w:rPr>
                <w:lang w:val="en-US"/>
              </w:rPr>
              <w:t>T(1-100)</w:t>
            </w:r>
          </w:p>
        </w:tc>
        <w:tc>
          <w:tcPr>
            <w:tcW w:w="567" w:type="dxa"/>
          </w:tcPr>
          <w:p w14:paraId="063702DD" w14:textId="77777777" w:rsidR="00AD1F54" w:rsidRPr="00264D5D" w:rsidRDefault="00941227">
            <w:pPr>
              <w:pStyle w:val="GOSTTablenorm"/>
              <w:widowControl w:val="0"/>
              <w:jc w:val="center"/>
            </w:pPr>
            <w:r w:rsidRPr="00264D5D">
              <w:t>О</w:t>
            </w:r>
          </w:p>
        </w:tc>
        <w:tc>
          <w:tcPr>
            <w:tcW w:w="3969" w:type="dxa"/>
          </w:tcPr>
          <w:p w14:paraId="07758446" w14:textId="77777777" w:rsidR="00AD1F54" w:rsidRPr="00264D5D" w:rsidRDefault="00941227">
            <w:pPr>
              <w:pStyle w:val="GOSTTablenorm"/>
              <w:widowControl w:val="0"/>
            </w:pPr>
            <w:r w:rsidRPr="00264D5D">
              <w:t>Ук</w:t>
            </w:r>
            <w:r w:rsidR="00BA58C1" w:rsidRPr="00264D5D">
              <w:t>азывается должность исполнителя</w:t>
            </w:r>
          </w:p>
        </w:tc>
      </w:tr>
      <w:tr w:rsidR="00AD1F54" w:rsidRPr="00264D5D" w14:paraId="7C656E46"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B49E2E9" w14:textId="77777777" w:rsidR="00AD1F54" w:rsidRPr="00264D5D" w:rsidRDefault="00941227">
            <w:pPr>
              <w:pStyle w:val="GOSTTablenorm"/>
              <w:widowControl w:val="0"/>
            </w:pPr>
            <w:r w:rsidRPr="00264D5D">
              <w:t>Расшифровка подписи исполнителя</w:t>
            </w:r>
          </w:p>
        </w:tc>
        <w:tc>
          <w:tcPr>
            <w:tcW w:w="1701" w:type="dxa"/>
          </w:tcPr>
          <w:p w14:paraId="5C92FA21" w14:textId="77777777" w:rsidR="00AD1F54" w:rsidRPr="00264D5D" w:rsidRDefault="00941227">
            <w:pPr>
              <w:pStyle w:val="GOSTTablenorm"/>
              <w:widowControl w:val="0"/>
            </w:pPr>
            <w:r w:rsidRPr="00264D5D">
              <w:t>FllNm</w:t>
            </w:r>
          </w:p>
        </w:tc>
        <w:tc>
          <w:tcPr>
            <w:tcW w:w="567" w:type="dxa"/>
          </w:tcPr>
          <w:p w14:paraId="0D92BD00" w14:textId="77777777" w:rsidR="00AD1F54" w:rsidRPr="00264D5D" w:rsidRDefault="00941227">
            <w:pPr>
              <w:pStyle w:val="GOSTTablenorm"/>
              <w:widowControl w:val="0"/>
              <w:jc w:val="center"/>
            </w:pPr>
            <w:r w:rsidRPr="00264D5D">
              <w:t>П</w:t>
            </w:r>
          </w:p>
        </w:tc>
        <w:tc>
          <w:tcPr>
            <w:tcW w:w="1134" w:type="dxa"/>
          </w:tcPr>
          <w:p w14:paraId="516969E3" w14:textId="77777777" w:rsidR="00AD1F54" w:rsidRPr="00264D5D" w:rsidRDefault="00941227">
            <w:pPr>
              <w:pStyle w:val="GOSTTablenorm"/>
              <w:widowControl w:val="0"/>
            </w:pPr>
            <w:r w:rsidRPr="00264D5D">
              <w:rPr>
                <w:lang w:val="en-US"/>
              </w:rPr>
              <w:t>T(1-50)</w:t>
            </w:r>
          </w:p>
        </w:tc>
        <w:tc>
          <w:tcPr>
            <w:tcW w:w="567" w:type="dxa"/>
          </w:tcPr>
          <w:p w14:paraId="54100ED8" w14:textId="77777777" w:rsidR="00AD1F54" w:rsidRPr="00264D5D" w:rsidRDefault="00941227">
            <w:pPr>
              <w:pStyle w:val="GOSTTablenorm"/>
              <w:widowControl w:val="0"/>
              <w:jc w:val="center"/>
            </w:pPr>
            <w:r w:rsidRPr="00264D5D">
              <w:t>О</w:t>
            </w:r>
          </w:p>
        </w:tc>
        <w:tc>
          <w:tcPr>
            <w:tcW w:w="3969" w:type="dxa"/>
          </w:tcPr>
          <w:p w14:paraId="07164518" w14:textId="77777777" w:rsidR="00AD1F54" w:rsidRPr="00264D5D" w:rsidRDefault="00941227">
            <w:pPr>
              <w:pStyle w:val="GOSTTablenorm"/>
              <w:widowControl w:val="0"/>
            </w:pPr>
            <w:r w:rsidRPr="00264D5D">
              <w:t xml:space="preserve">Указывается </w:t>
            </w:r>
            <w:r w:rsidR="00BA58C1" w:rsidRPr="00264D5D">
              <w:t>расшифровка подписи исполнителя</w:t>
            </w:r>
          </w:p>
        </w:tc>
      </w:tr>
      <w:tr w:rsidR="00AD1F54" w:rsidRPr="00264D5D" w14:paraId="5BC5C8CA"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5A447B59" w14:textId="77777777" w:rsidR="00AD1F54" w:rsidRPr="00264D5D" w:rsidRDefault="00941227">
            <w:pPr>
              <w:pStyle w:val="GOSTTablenorm"/>
              <w:widowControl w:val="0"/>
            </w:pPr>
            <w:r w:rsidRPr="00264D5D">
              <w:t>Телефон исполнителя</w:t>
            </w:r>
          </w:p>
        </w:tc>
        <w:tc>
          <w:tcPr>
            <w:tcW w:w="1701" w:type="dxa"/>
          </w:tcPr>
          <w:p w14:paraId="103CF25B" w14:textId="77777777" w:rsidR="00AD1F54" w:rsidRPr="00264D5D" w:rsidRDefault="00941227">
            <w:pPr>
              <w:pStyle w:val="GOSTTablenorm"/>
              <w:widowControl w:val="0"/>
            </w:pPr>
            <w:r w:rsidRPr="00264D5D">
              <w:t>Tlphn</w:t>
            </w:r>
          </w:p>
        </w:tc>
        <w:tc>
          <w:tcPr>
            <w:tcW w:w="567" w:type="dxa"/>
          </w:tcPr>
          <w:p w14:paraId="0D2A4B8D" w14:textId="77777777" w:rsidR="00AD1F54" w:rsidRPr="00264D5D" w:rsidRDefault="00941227">
            <w:pPr>
              <w:pStyle w:val="GOSTTablenorm"/>
              <w:widowControl w:val="0"/>
              <w:jc w:val="center"/>
            </w:pPr>
            <w:r w:rsidRPr="00264D5D">
              <w:t>П</w:t>
            </w:r>
          </w:p>
        </w:tc>
        <w:tc>
          <w:tcPr>
            <w:tcW w:w="1134" w:type="dxa"/>
          </w:tcPr>
          <w:p w14:paraId="2AA1266F" w14:textId="77777777" w:rsidR="00AD1F54" w:rsidRPr="00264D5D" w:rsidRDefault="00941227">
            <w:pPr>
              <w:pStyle w:val="GOSTTablenorm"/>
              <w:widowControl w:val="0"/>
            </w:pPr>
            <w:r w:rsidRPr="00264D5D">
              <w:rPr>
                <w:lang w:val="en-US"/>
              </w:rPr>
              <w:t>T(1-50)</w:t>
            </w:r>
          </w:p>
        </w:tc>
        <w:tc>
          <w:tcPr>
            <w:tcW w:w="567" w:type="dxa"/>
          </w:tcPr>
          <w:p w14:paraId="034C2B5F" w14:textId="77777777" w:rsidR="00AD1F54" w:rsidRPr="00264D5D" w:rsidRDefault="00941227">
            <w:pPr>
              <w:pStyle w:val="GOSTTablenorm"/>
              <w:widowControl w:val="0"/>
              <w:jc w:val="center"/>
            </w:pPr>
            <w:r w:rsidRPr="00264D5D">
              <w:t>О</w:t>
            </w:r>
          </w:p>
        </w:tc>
        <w:tc>
          <w:tcPr>
            <w:tcW w:w="3969" w:type="dxa"/>
          </w:tcPr>
          <w:p w14:paraId="1C289416" w14:textId="77777777" w:rsidR="00AD1F54" w:rsidRPr="00264D5D" w:rsidRDefault="00BA58C1">
            <w:pPr>
              <w:pStyle w:val="GOSTTablenorm"/>
              <w:widowControl w:val="0"/>
            </w:pPr>
            <w:r w:rsidRPr="00264D5D">
              <w:t>Указывается телефон исполнителя</w:t>
            </w:r>
          </w:p>
        </w:tc>
      </w:tr>
    </w:tbl>
    <w:p w14:paraId="4DB4D216" w14:textId="77777777" w:rsidR="00AD1F54" w:rsidRPr="00264D5D" w:rsidRDefault="00941227">
      <w:pPr>
        <w:pStyle w:val="31"/>
      </w:pPr>
      <w:bookmarkStart w:id="634" w:name="_Toc21014542"/>
      <w:r w:rsidRPr="00264D5D">
        <w:t xml:space="preserve"> </w:t>
      </w:r>
      <w:bookmarkStart w:id="635" w:name="_Toc219309469"/>
      <w:r w:rsidRPr="00264D5D">
        <w:t>Описание комплексного типа «tMSC_Infrmtn3»</w:t>
      </w:r>
      <w:bookmarkEnd w:id="634"/>
      <w:bookmarkEnd w:id="635"/>
    </w:p>
    <w:p w14:paraId="2CEC74A1" w14:textId="77777777" w:rsidR="00AD1F54" w:rsidRPr="00264D5D" w:rsidRDefault="00941227">
      <w:pPr>
        <w:pStyle w:val="GOSTNormal"/>
        <w:widowControl w:val="0"/>
      </w:pPr>
      <w:r w:rsidRPr="00264D5D">
        <w:t>Описание комплексного типа «tMSC_Infrmtn3» блока «Дата».</w:t>
      </w:r>
    </w:p>
    <w:bookmarkStart w:id="636" w:name="_Ref492396414"/>
    <w:p w14:paraId="064307C7" w14:textId="30DAAC50" w:rsidR="00AD1F54" w:rsidRPr="00264D5D" w:rsidRDefault="00941227">
      <w:pPr>
        <w:pStyle w:val="GOSTNameTable"/>
        <w:widowControl w:val="0"/>
        <w:numPr>
          <w:ilvl w:val="0"/>
          <w:numId w:val="2"/>
        </w:numPr>
        <w:spacing w:before="60"/>
        <w:ind w:left="425" w:hanging="357"/>
      </w:pPr>
      <w:r w:rsidRPr="00264D5D">
        <w:fldChar w:fldCharType="begin"/>
      </w:r>
      <w:r w:rsidRPr="00264D5D">
        <w:instrText>SEQ Таблица \* ARABIC</w:instrText>
      </w:r>
      <w:r w:rsidRPr="00264D5D">
        <w:fldChar w:fldCharType="separate"/>
      </w:r>
      <w:bookmarkStart w:id="637" w:name="_Ref492311103"/>
      <w:bookmarkStart w:id="638" w:name="_Toc21014635"/>
      <w:bookmarkStart w:id="639" w:name="_Toc219309063"/>
      <w:r w:rsidR="008D797C">
        <w:rPr>
          <w:noProof/>
        </w:rPr>
        <w:t>33</w:t>
      </w:r>
      <w:bookmarkEnd w:id="637"/>
      <w:r w:rsidRPr="00264D5D">
        <w:fldChar w:fldCharType="end"/>
      </w:r>
      <w:r w:rsidRPr="00264D5D">
        <w:t xml:space="preserve"> – Описание </w:t>
      </w:r>
      <w:bookmarkEnd w:id="636"/>
      <w:bookmarkEnd w:id="638"/>
      <w:r w:rsidRPr="00264D5D">
        <w:t>комплексного типа «tMSC_Infrmtn3»</w:t>
      </w:r>
      <w:bookmarkEnd w:id="639"/>
    </w:p>
    <w:tbl>
      <w:tblPr>
        <w:tblStyle w:val="GOSTTable"/>
        <w:tblW w:w="5000" w:type="pct"/>
        <w:tblLayout w:type="fixed"/>
        <w:tblLook w:val="04A0" w:firstRow="1" w:lastRow="0" w:firstColumn="1" w:lastColumn="0" w:noHBand="0" w:noVBand="1"/>
      </w:tblPr>
      <w:tblGrid>
        <w:gridCol w:w="1702"/>
        <w:gridCol w:w="1703"/>
        <w:gridCol w:w="568"/>
        <w:gridCol w:w="1135"/>
        <w:gridCol w:w="568"/>
        <w:gridCol w:w="3974"/>
      </w:tblGrid>
      <w:tr w:rsidR="00AD1F54" w:rsidRPr="00264D5D" w14:paraId="4CEC1839"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548E151D" w14:textId="77777777" w:rsidR="00AD1F54" w:rsidRPr="00264D5D" w:rsidRDefault="00941227">
            <w:pPr>
              <w:pStyle w:val="GOSTTableHead"/>
              <w:keepNext w:val="0"/>
              <w:widowControl w:val="0"/>
            </w:pPr>
            <w:r w:rsidRPr="00264D5D">
              <w:rPr>
                <w:szCs w:val="22"/>
              </w:rPr>
              <w:t>Наименование элемента</w:t>
            </w:r>
          </w:p>
        </w:tc>
        <w:tc>
          <w:tcPr>
            <w:tcW w:w="1701" w:type="dxa"/>
          </w:tcPr>
          <w:p w14:paraId="69CCDFBC" w14:textId="77777777" w:rsidR="00AD1F54" w:rsidRPr="00264D5D" w:rsidRDefault="00941227">
            <w:pPr>
              <w:pStyle w:val="GOSTTableHead"/>
              <w:keepNext w:val="0"/>
              <w:widowControl w:val="0"/>
            </w:pPr>
            <w:r w:rsidRPr="00264D5D">
              <w:rPr>
                <w:szCs w:val="22"/>
              </w:rPr>
              <w:t>Сокращенное наименование (код) элемента</w:t>
            </w:r>
          </w:p>
        </w:tc>
        <w:tc>
          <w:tcPr>
            <w:tcW w:w="567" w:type="dxa"/>
          </w:tcPr>
          <w:p w14:paraId="73B02635" w14:textId="77777777" w:rsidR="00AD1F54" w:rsidRPr="00264D5D" w:rsidRDefault="00941227">
            <w:pPr>
              <w:pStyle w:val="GOSTTableHead"/>
              <w:keepNext w:val="0"/>
              <w:widowControl w:val="0"/>
            </w:pPr>
            <w:r w:rsidRPr="00264D5D">
              <w:rPr>
                <w:szCs w:val="22"/>
              </w:rPr>
              <w:t>Тип</w:t>
            </w:r>
          </w:p>
        </w:tc>
        <w:tc>
          <w:tcPr>
            <w:tcW w:w="1134" w:type="dxa"/>
          </w:tcPr>
          <w:p w14:paraId="47B6A335" w14:textId="77777777" w:rsidR="00AD1F54" w:rsidRPr="00264D5D" w:rsidRDefault="00941227">
            <w:pPr>
              <w:pStyle w:val="GOSTTableHead"/>
              <w:keepNext w:val="0"/>
              <w:widowControl w:val="0"/>
            </w:pPr>
            <w:r w:rsidRPr="00264D5D">
              <w:rPr>
                <w:szCs w:val="22"/>
              </w:rPr>
              <w:t>Формат элемента</w:t>
            </w:r>
          </w:p>
        </w:tc>
        <w:tc>
          <w:tcPr>
            <w:tcW w:w="567" w:type="dxa"/>
          </w:tcPr>
          <w:p w14:paraId="44A00E15" w14:textId="77777777" w:rsidR="00AD1F54" w:rsidRPr="00264D5D" w:rsidRDefault="00941227">
            <w:pPr>
              <w:pStyle w:val="GOSTTableHead"/>
              <w:keepNext w:val="0"/>
              <w:widowControl w:val="0"/>
            </w:pPr>
            <w:r w:rsidRPr="00264D5D">
              <w:rPr>
                <w:szCs w:val="22"/>
              </w:rPr>
              <w:t>Обязательность</w:t>
            </w:r>
          </w:p>
        </w:tc>
        <w:tc>
          <w:tcPr>
            <w:tcW w:w="3969" w:type="dxa"/>
          </w:tcPr>
          <w:p w14:paraId="4B490FB3" w14:textId="77777777" w:rsidR="00AD1F54" w:rsidRPr="00264D5D" w:rsidRDefault="00941227">
            <w:pPr>
              <w:pStyle w:val="GOSTTableHead"/>
              <w:keepNext w:val="0"/>
              <w:widowControl w:val="0"/>
            </w:pPr>
            <w:r w:rsidRPr="00264D5D">
              <w:rPr>
                <w:szCs w:val="22"/>
              </w:rPr>
              <w:t>Дополнительная информация</w:t>
            </w:r>
          </w:p>
        </w:tc>
      </w:tr>
      <w:tr w:rsidR="00AD1F54" w:rsidRPr="00264D5D" w14:paraId="1BE56676"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86A2684" w14:textId="77777777" w:rsidR="00AD1F54" w:rsidRPr="00264D5D" w:rsidRDefault="00941227">
            <w:pPr>
              <w:pStyle w:val="GOSTTablenorm"/>
              <w:widowControl w:val="0"/>
            </w:pPr>
            <w:r w:rsidRPr="00264D5D">
              <w:t>Дата РР</w:t>
            </w:r>
          </w:p>
        </w:tc>
        <w:tc>
          <w:tcPr>
            <w:tcW w:w="1701" w:type="dxa"/>
          </w:tcPr>
          <w:p w14:paraId="3B544755" w14:textId="77777777" w:rsidR="00AD1F54" w:rsidRPr="00264D5D" w:rsidRDefault="00941227">
            <w:pPr>
              <w:pStyle w:val="GOSTTablenorm"/>
              <w:widowControl w:val="0"/>
            </w:pPr>
            <w:r w:rsidRPr="00264D5D">
              <w:t>CrtnDt</w:t>
            </w:r>
          </w:p>
        </w:tc>
        <w:tc>
          <w:tcPr>
            <w:tcW w:w="567" w:type="dxa"/>
          </w:tcPr>
          <w:p w14:paraId="2B415641" w14:textId="77777777" w:rsidR="00AD1F54" w:rsidRPr="00264D5D" w:rsidRDefault="00941227">
            <w:pPr>
              <w:pStyle w:val="GOSTTablenorm"/>
              <w:widowControl w:val="0"/>
              <w:jc w:val="center"/>
            </w:pPr>
            <w:r w:rsidRPr="00264D5D">
              <w:t>П</w:t>
            </w:r>
          </w:p>
        </w:tc>
        <w:tc>
          <w:tcPr>
            <w:tcW w:w="1134" w:type="dxa"/>
          </w:tcPr>
          <w:p w14:paraId="0496D54E" w14:textId="77777777" w:rsidR="00AD1F54" w:rsidRPr="00264D5D" w:rsidRDefault="00941227">
            <w:pPr>
              <w:pStyle w:val="GOSTTablenorm"/>
              <w:widowControl w:val="0"/>
            </w:pPr>
            <w:r w:rsidRPr="00264D5D">
              <w:t>Date</w:t>
            </w:r>
          </w:p>
        </w:tc>
        <w:tc>
          <w:tcPr>
            <w:tcW w:w="567" w:type="dxa"/>
          </w:tcPr>
          <w:p w14:paraId="2981D513" w14:textId="77777777" w:rsidR="00AD1F54" w:rsidRPr="00264D5D" w:rsidRDefault="00941227">
            <w:pPr>
              <w:pStyle w:val="GOSTTablenorm"/>
              <w:widowControl w:val="0"/>
              <w:jc w:val="center"/>
            </w:pPr>
            <w:r w:rsidRPr="00264D5D">
              <w:t>О</w:t>
            </w:r>
          </w:p>
        </w:tc>
        <w:tc>
          <w:tcPr>
            <w:tcW w:w="3969" w:type="dxa"/>
          </w:tcPr>
          <w:p w14:paraId="74D7F52B" w14:textId="77777777" w:rsidR="00AD1F54" w:rsidRPr="00264D5D" w:rsidRDefault="00941227">
            <w:pPr>
              <w:widowControl w:val="0"/>
              <w:spacing w:before="60" w:after="60"/>
              <w:rPr>
                <w:sz w:val="22"/>
                <w:szCs w:val="22"/>
              </w:rPr>
            </w:pPr>
            <w:r w:rsidRPr="00264D5D">
              <w:rPr>
                <w:sz w:val="22"/>
                <w:szCs w:val="22"/>
              </w:rPr>
              <w:t>Указыва</w:t>
            </w:r>
            <w:r w:rsidR="00BA58C1" w:rsidRPr="00264D5D">
              <w:rPr>
                <w:sz w:val="22"/>
                <w:szCs w:val="22"/>
              </w:rPr>
              <w:t>ется дата расходного расписания</w:t>
            </w:r>
          </w:p>
        </w:tc>
      </w:tr>
    </w:tbl>
    <w:p w14:paraId="4A988FD0" w14:textId="77777777" w:rsidR="00AD1F54" w:rsidRPr="00264D5D" w:rsidRDefault="00941227">
      <w:pPr>
        <w:pStyle w:val="31"/>
      </w:pPr>
      <w:bookmarkStart w:id="640" w:name="_Toc21014543"/>
      <w:r w:rsidRPr="00264D5D">
        <w:t xml:space="preserve"> </w:t>
      </w:r>
      <w:bookmarkStart w:id="641" w:name="_Toc219309470"/>
      <w:r w:rsidRPr="00264D5D">
        <w:t>Описание комплексного типа «tMSC_SpclInst»</w:t>
      </w:r>
      <w:bookmarkEnd w:id="640"/>
      <w:bookmarkEnd w:id="641"/>
    </w:p>
    <w:p w14:paraId="59D1FB53" w14:textId="77777777" w:rsidR="00AD1F54" w:rsidRPr="00264D5D" w:rsidRDefault="00941227">
      <w:pPr>
        <w:pStyle w:val="GOSTNormal"/>
        <w:widowControl w:val="0"/>
      </w:pPr>
      <w:r w:rsidRPr="00264D5D">
        <w:t>Описание комплексного типа «tMSC_SpclInst» блока «Специальные указания».</w:t>
      </w:r>
    </w:p>
    <w:p w14:paraId="67A3740B" w14:textId="59A3962A" w:rsidR="00AD1F54" w:rsidRPr="00264D5D" w:rsidRDefault="00941227">
      <w:pPr>
        <w:pStyle w:val="GOSTNameTable"/>
        <w:widowControl w:val="0"/>
        <w:numPr>
          <w:ilvl w:val="0"/>
          <w:numId w:val="2"/>
        </w:numPr>
        <w:spacing w:before="60"/>
        <w:ind w:left="425" w:hanging="357"/>
      </w:pPr>
      <w:r w:rsidRPr="00264D5D">
        <w:lastRenderedPageBreak/>
        <w:fldChar w:fldCharType="begin"/>
      </w:r>
      <w:r w:rsidRPr="00264D5D">
        <w:instrText>SEQ Таблица \* ARABIC</w:instrText>
      </w:r>
      <w:r w:rsidRPr="00264D5D">
        <w:fldChar w:fldCharType="separate"/>
      </w:r>
      <w:bookmarkStart w:id="642" w:name="_Ref492311038"/>
      <w:bookmarkStart w:id="643" w:name="_Toc21014636"/>
      <w:bookmarkStart w:id="644" w:name="_Toc219309064"/>
      <w:r w:rsidR="008D797C">
        <w:rPr>
          <w:noProof/>
        </w:rPr>
        <w:t>34</w:t>
      </w:r>
      <w:bookmarkEnd w:id="642"/>
      <w:r w:rsidRPr="00264D5D">
        <w:fldChar w:fldCharType="end"/>
      </w:r>
      <w:r w:rsidRPr="00264D5D">
        <w:t xml:space="preserve"> – Описание </w:t>
      </w:r>
      <w:bookmarkEnd w:id="643"/>
      <w:r w:rsidRPr="00264D5D">
        <w:t>комплексного типа «tMSC_SpclInst»</w:t>
      </w:r>
      <w:bookmarkEnd w:id="644"/>
    </w:p>
    <w:tbl>
      <w:tblPr>
        <w:tblStyle w:val="GOSTTable"/>
        <w:tblW w:w="5000" w:type="pct"/>
        <w:tblLayout w:type="fixed"/>
        <w:tblLook w:val="04A0" w:firstRow="1" w:lastRow="0" w:firstColumn="1" w:lastColumn="0" w:noHBand="0" w:noVBand="1"/>
      </w:tblPr>
      <w:tblGrid>
        <w:gridCol w:w="1705"/>
        <w:gridCol w:w="1704"/>
        <w:gridCol w:w="568"/>
        <w:gridCol w:w="1136"/>
        <w:gridCol w:w="568"/>
        <w:gridCol w:w="3969"/>
      </w:tblGrid>
      <w:tr w:rsidR="00AD1F54" w:rsidRPr="00264D5D" w14:paraId="1FA4E765"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3" w:type="dxa"/>
          </w:tcPr>
          <w:p w14:paraId="04A7C27C" w14:textId="77777777" w:rsidR="00AD1F54" w:rsidRPr="00264D5D" w:rsidRDefault="00941227">
            <w:pPr>
              <w:pStyle w:val="GOSTTableHead"/>
              <w:keepNext w:val="0"/>
              <w:widowControl w:val="0"/>
            </w:pPr>
            <w:r w:rsidRPr="00264D5D">
              <w:rPr>
                <w:szCs w:val="22"/>
              </w:rPr>
              <w:t>Наименование элемента</w:t>
            </w:r>
          </w:p>
        </w:tc>
        <w:tc>
          <w:tcPr>
            <w:tcW w:w="1701" w:type="dxa"/>
          </w:tcPr>
          <w:p w14:paraId="32DCC585" w14:textId="77777777" w:rsidR="00AD1F54" w:rsidRPr="00264D5D" w:rsidRDefault="00941227">
            <w:pPr>
              <w:pStyle w:val="GOSTTableHead"/>
              <w:keepNext w:val="0"/>
              <w:widowControl w:val="0"/>
            </w:pPr>
            <w:r w:rsidRPr="00264D5D">
              <w:rPr>
                <w:szCs w:val="22"/>
              </w:rPr>
              <w:t>Сокращенное наименование (код) элемента</w:t>
            </w:r>
          </w:p>
        </w:tc>
        <w:tc>
          <w:tcPr>
            <w:tcW w:w="567" w:type="dxa"/>
          </w:tcPr>
          <w:p w14:paraId="5A925B2D" w14:textId="77777777" w:rsidR="00AD1F54" w:rsidRPr="00264D5D" w:rsidRDefault="00941227">
            <w:pPr>
              <w:pStyle w:val="GOSTTableHead"/>
              <w:keepNext w:val="0"/>
              <w:widowControl w:val="0"/>
            </w:pPr>
            <w:r w:rsidRPr="00264D5D">
              <w:rPr>
                <w:szCs w:val="22"/>
              </w:rPr>
              <w:t>Тип</w:t>
            </w:r>
          </w:p>
        </w:tc>
        <w:tc>
          <w:tcPr>
            <w:tcW w:w="1134" w:type="dxa"/>
          </w:tcPr>
          <w:p w14:paraId="3BC0C1B6" w14:textId="77777777" w:rsidR="00AD1F54" w:rsidRPr="00264D5D" w:rsidRDefault="00941227">
            <w:pPr>
              <w:pStyle w:val="GOSTTableHead"/>
              <w:keepNext w:val="0"/>
              <w:widowControl w:val="0"/>
            </w:pPr>
            <w:r w:rsidRPr="00264D5D">
              <w:rPr>
                <w:szCs w:val="22"/>
              </w:rPr>
              <w:t>Формат элемента</w:t>
            </w:r>
          </w:p>
        </w:tc>
        <w:tc>
          <w:tcPr>
            <w:tcW w:w="567" w:type="dxa"/>
          </w:tcPr>
          <w:p w14:paraId="6CD44053" w14:textId="77777777" w:rsidR="00AD1F54" w:rsidRPr="00264D5D" w:rsidRDefault="00941227">
            <w:pPr>
              <w:pStyle w:val="GOSTTableHead"/>
              <w:keepNext w:val="0"/>
              <w:widowControl w:val="0"/>
            </w:pPr>
            <w:r w:rsidRPr="00264D5D">
              <w:rPr>
                <w:szCs w:val="22"/>
              </w:rPr>
              <w:t>Обязательность</w:t>
            </w:r>
          </w:p>
        </w:tc>
        <w:tc>
          <w:tcPr>
            <w:tcW w:w="3963" w:type="dxa"/>
          </w:tcPr>
          <w:p w14:paraId="25B4AEDC" w14:textId="77777777" w:rsidR="00AD1F54" w:rsidRPr="00264D5D" w:rsidRDefault="00941227">
            <w:pPr>
              <w:pStyle w:val="GOSTTableHead"/>
              <w:keepNext w:val="0"/>
              <w:widowControl w:val="0"/>
            </w:pPr>
            <w:r w:rsidRPr="00264D5D">
              <w:rPr>
                <w:szCs w:val="22"/>
              </w:rPr>
              <w:t>Дополнительная информация</w:t>
            </w:r>
          </w:p>
        </w:tc>
      </w:tr>
      <w:tr w:rsidR="00AD1F54" w:rsidRPr="00264D5D" w14:paraId="51EB2EB2" w14:textId="77777777" w:rsidTr="00AD1F54">
        <w:trPr>
          <w:cnfStyle w:val="000000100000" w:firstRow="0" w:lastRow="0" w:firstColumn="0" w:lastColumn="0" w:oddVBand="0" w:evenVBand="0" w:oddHBand="1" w:evenHBand="0" w:firstRowFirstColumn="0" w:firstRowLastColumn="0" w:lastRowFirstColumn="0" w:lastRowLastColumn="0"/>
        </w:trPr>
        <w:tc>
          <w:tcPr>
            <w:tcW w:w="1703" w:type="dxa"/>
          </w:tcPr>
          <w:p w14:paraId="144DCD62" w14:textId="77777777" w:rsidR="00AD1F54" w:rsidRPr="00264D5D" w:rsidRDefault="00941227">
            <w:pPr>
              <w:pStyle w:val="GOSTTablenorm"/>
              <w:widowControl w:val="0"/>
            </w:pPr>
            <w:r w:rsidRPr="00264D5D">
              <w:t>Спец. указания</w:t>
            </w:r>
          </w:p>
        </w:tc>
        <w:tc>
          <w:tcPr>
            <w:tcW w:w="1701" w:type="dxa"/>
          </w:tcPr>
          <w:p w14:paraId="07CCEB37" w14:textId="77777777" w:rsidR="00AD1F54" w:rsidRPr="00264D5D" w:rsidRDefault="00941227">
            <w:pPr>
              <w:pStyle w:val="GOSTTablenorm"/>
              <w:widowControl w:val="0"/>
            </w:pPr>
            <w:r w:rsidRPr="00264D5D">
              <w:t>SpclInst</w:t>
            </w:r>
          </w:p>
        </w:tc>
        <w:tc>
          <w:tcPr>
            <w:tcW w:w="567" w:type="dxa"/>
          </w:tcPr>
          <w:p w14:paraId="5B6862D0" w14:textId="77777777" w:rsidR="00AD1F54" w:rsidRPr="00264D5D" w:rsidRDefault="00941227">
            <w:pPr>
              <w:pStyle w:val="GOSTTablenorm"/>
              <w:widowControl w:val="0"/>
              <w:jc w:val="center"/>
            </w:pPr>
            <w:r w:rsidRPr="00264D5D">
              <w:t>П</w:t>
            </w:r>
          </w:p>
        </w:tc>
        <w:tc>
          <w:tcPr>
            <w:tcW w:w="1134" w:type="dxa"/>
          </w:tcPr>
          <w:p w14:paraId="4EA3AA7E" w14:textId="77777777" w:rsidR="00AD1F54" w:rsidRPr="00264D5D" w:rsidRDefault="00941227">
            <w:pPr>
              <w:pStyle w:val="GOSTTablenorm"/>
              <w:widowControl w:val="0"/>
              <w:rPr>
                <w:lang w:val="en-US"/>
              </w:rPr>
            </w:pPr>
            <w:r w:rsidRPr="00264D5D">
              <w:rPr>
                <w:lang w:val="en-US"/>
              </w:rPr>
              <w:t>T(1-700)</w:t>
            </w:r>
          </w:p>
        </w:tc>
        <w:tc>
          <w:tcPr>
            <w:tcW w:w="567" w:type="dxa"/>
          </w:tcPr>
          <w:p w14:paraId="77D070F2" w14:textId="77777777" w:rsidR="00AD1F54" w:rsidRPr="00264D5D" w:rsidRDefault="00941227">
            <w:pPr>
              <w:pStyle w:val="GOSTTablenorm"/>
              <w:widowControl w:val="0"/>
              <w:jc w:val="center"/>
            </w:pPr>
            <w:r w:rsidRPr="00264D5D">
              <w:t>О</w:t>
            </w:r>
          </w:p>
        </w:tc>
        <w:tc>
          <w:tcPr>
            <w:tcW w:w="3963" w:type="dxa"/>
          </w:tcPr>
          <w:p w14:paraId="1289F791" w14:textId="77777777" w:rsidR="00AD1F54" w:rsidRPr="00264D5D" w:rsidRDefault="00BA58C1">
            <w:pPr>
              <w:pStyle w:val="GOSTTablenorm"/>
              <w:widowControl w:val="0"/>
            </w:pPr>
            <w:r w:rsidRPr="00264D5D">
              <w:t>Специальные указания</w:t>
            </w:r>
          </w:p>
        </w:tc>
      </w:tr>
      <w:tr w:rsidR="00AD1F54" w:rsidRPr="00264D5D" w14:paraId="7011FAFD" w14:textId="77777777" w:rsidTr="00AD1F54">
        <w:trPr>
          <w:cnfStyle w:val="000000010000" w:firstRow="0" w:lastRow="0" w:firstColumn="0" w:lastColumn="0" w:oddVBand="0" w:evenVBand="0" w:oddHBand="0" w:evenHBand="1" w:firstRowFirstColumn="0" w:firstRowLastColumn="0" w:lastRowFirstColumn="0" w:lastRowLastColumn="0"/>
        </w:trPr>
        <w:tc>
          <w:tcPr>
            <w:tcW w:w="1703" w:type="dxa"/>
          </w:tcPr>
          <w:p w14:paraId="466B4545" w14:textId="77777777" w:rsidR="00AD1F54" w:rsidRPr="00264D5D" w:rsidRDefault="00941227">
            <w:pPr>
              <w:pStyle w:val="GOSTTablenorm"/>
              <w:widowControl w:val="0"/>
            </w:pPr>
            <w:r w:rsidRPr="00264D5D">
              <w:t>Код специального указания</w:t>
            </w:r>
          </w:p>
        </w:tc>
        <w:tc>
          <w:tcPr>
            <w:tcW w:w="1701" w:type="dxa"/>
          </w:tcPr>
          <w:p w14:paraId="1C4D4368" w14:textId="77777777" w:rsidR="00AD1F54" w:rsidRPr="00264D5D" w:rsidRDefault="00941227">
            <w:pPr>
              <w:pStyle w:val="GOSTTablenorm"/>
              <w:widowControl w:val="0"/>
            </w:pPr>
            <w:r w:rsidRPr="00264D5D">
              <w:t>Cd</w:t>
            </w:r>
          </w:p>
        </w:tc>
        <w:tc>
          <w:tcPr>
            <w:tcW w:w="567" w:type="dxa"/>
          </w:tcPr>
          <w:p w14:paraId="5B1FB05E" w14:textId="77777777" w:rsidR="00AD1F54" w:rsidRPr="00264D5D" w:rsidRDefault="00941227">
            <w:pPr>
              <w:pStyle w:val="GOSTTablenorm"/>
              <w:widowControl w:val="0"/>
              <w:jc w:val="center"/>
            </w:pPr>
            <w:r w:rsidRPr="00264D5D">
              <w:t>П</w:t>
            </w:r>
          </w:p>
        </w:tc>
        <w:tc>
          <w:tcPr>
            <w:tcW w:w="1134" w:type="dxa"/>
          </w:tcPr>
          <w:p w14:paraId="69BDD9D7" w14:textId="77777777" w:rsidR="00AD1F54" w:rsidRPr="00264D5D" w:rsidRDefault="00941227">
            <w:pPr>
              <w:pStyle w:val="GOSTTablenorm"/>
              <w:widowControl w:val="0"/>
              <w:rPr>
                <w:lang w:val="en-US"/>
              </w:rPr>
            </w:pPr>
            <w:r w:rsidRPr="00264D5D">
              <w:rPr>
                <w:lang w:val="en-US"/>
              </w:rPr>
              <w:t>T(</w:t>
            </w:r>
            <w:r w:rsidRPr="00264D5D">
              <w:t>1</w:t>
            </w:r>
            <w:r w:rsidRPr="00264D5D">
              <w:rPr>
                <w:lang w:val="en-US"/>
              </w:rPr>
              <w:t>-5)</w:t>
            </w:r>
          </w:p>
        </w:tc>
        <w:tc>
          <w:tcPr>
            <w:tcW w:w="567" w:type="dxa"/>
          </w:tcPr>
          <w:p w14:paraId="335B0930" w14:textId="77777777" w:rsidR="00AD1F54" w:rsidRPr="00264D5D" w:rsidRDefault="00941227">
            <w:pPr>
              <w:pStyle w:val="GOSTTablenorm"/>
              <w:widowControl w:val="0"/>
              <w:jc w:val="center"/>
            </w:pPr>
            <w:r w:rsidRPr="00264D5D">
              <w:t>О</w:t>
            </w:r>
          </w:p>
        </w:tc>
        <w:tc>
          <w:tcPr>
            <w:tcW w:w="3963" w:type="dxa"/>
          </w:tcPr>
          <w:p w14:paraId="467C487C" w14:textId="77777777" w:rsidR="00AD1F54" w:rsidRPr="00264D5D" w:rsidRDefault="00941227">
            <w:pPr>
              <w:pStyle w:val="GOSTTablenorm"/>
              <w:widowControl w:val="0"/>
            </w:pPr>
            <w:r w:rsidRPr="00264D5D">
              <w:t xml:space="preserve">Указывается код специального указания в соответствии с НПА. </w:t>
            </w:r>
          </w:p>
          <w:p w14:paraId="28F592EB" w14:textId="77777777" w:rsidR="00AD1F54" w:rsidRPr="00264D5D" w:rsidRDefault="00941227">
            <w:pPr>
              <w:pStyle w:val="GOSTTablenorm"/>
              <w:widowControl w:val="0"/>
            </w:pPr>
            <w:r w:rsidRPr="00264D5D">
              <w:t>Возможна комбинация кодов. При указании двух кодов значения указыва</w:t>
            </w:r>
            <w:r w:rsidR="00BA58C1" w:rsidRPr="00264D5D">
              <w:t>ются через запятую без пробелов</w:t>
            </w:r>
          </w:p>
        </w:tc>
      </w:tr>
    </w:tbl>
    <w:p w14:paraId="7CD6AFE5" w14:textId="77777777" w:rsidR="00AD1F54" w:rsidRPr="00264D5D" w:rsidRDefault="00941227">
      <w:pPr>
        <w:pStyle w:val="31"/>
      </w:pPr>
      <w:bookmarkStart w:id="645" w:name="_Toc21014544"/>
      <w:r w:rsidRPr="00264D5D">
        <w:t xml:space="preserve"> </w:t>
      </w:r>
      <w:bookmarkStart w:id="646" w:name="_Toc219309471"/>
      <w:r w:rsidRPr="00264D5D">
        <w:t>Описание комплексного типа «tMSC_Amount»</w:t>
      </w:r>
      <w:bookmarkEnd w:id="645"/>
      <w:bookmarkEnd w:id="646"/>
    </w:p>
    <w:p w14:paraId="5326EB49" w14:textId="77777777" w:rsidR="00AD1F54" w:rsidRPr="00264D5D" w:rsidRDefault="00941227">
      <w:pPr>
        <w:pStyle w:val="GOSTNormal"/>
        <w:widowControl w:val="0"/>
      </w:pPr>
      <w:r w:rsidRPr="00264D5D">
        <w:t>Описание комплексного типа «tMSC_Amount» блока «Итоговые суммы».</w:t>
      </w:r>
    </w:p>
    <w:p w14:paraId="171D3C8B" w14:textId="13B08590" w:rsidR="00AD1F54" w:rsidRPr="00264D5D" w:rsidRDefault="00941227">
      <w:pPr>
        <w:pStyle w:val="GOSTNameTable"/>
        <w:widowControl w:val="0"/>
        <w:numPr>
          <w:ilvl w:val="0"/>
          <w:numId w:val="2"/>
        </w:numPr>
        <w:spacing w:before="60"/>
        <w:ind w:left="425" w:hanging="357"/>
      </w:pPr>
      <w:r w:rsidRPr="00264D5D">
        <w:fldChar w:fldCharType="begin"/>
      </w:r>
      <w:r w:rsidRPr="00264D5D">
        <w:instrText>SEQ Таблица \* ARABIC</w:instrText>
      </w:r>
      <w:r w:rsidRPr="00264D5D">
        <w:fldChar w:fldCharType="separate"/>
      </w:r>
      <w:bookmarkStart w:id="647" w:name="_Ref492311042"/>
      <w:bookmarkStart w:id="648" w:name="_Toc21014637"/>
      <w:bookmarkStart w:id="649" w:name="_Toc219309065"/>
      <w:r w:rsidR="008D797C">
        <w:rPr>
          <w:noProof/>
        </w:rPr>
        <w:t>35</w:t>
      </w:r>
      <w:bookmarkEnd w:id="647"/>
      <w:r w:rsidRPr="00264D5D">
        <w:fldChar w:fldCharType="end"/>
      </w:r>
      <w:r w:rsidRPr="00264D5D">
        <w:t xml:space="preserve"> – Описание </w:t>
      </w:r>
      <w:bookmarkEnd w:id="648"/>
      <w:r w:rsidRPr="00264D5D">
        <w:t>комплексного типа «tMSC_Amount»</w:t>
      </w:r>
      <w:bookmarkEnd w:id="649"/>
    </w:p>
    <w:tbl>
      <w:tblPr>
        <w:tblStyle w:val="GOSTTable"/>
        <w:tblW w:w="5000" w:type="pct"/>
        <w:tblLayout w:type="fixed"/>
        <w:tblLook w:val="04A0" w:firstRow="1" w:lastRow="0" w:firstColumn="1" w:lastColumn="0" w:noHBand="0" w:noVBand="1"/>
      </w:tblPr>
      <w:tblGrid>
        <w:gridCol w:w="1707"/>
        <w:gridCol w:w="1702"/>
        <w:gridCol w:w="567"/>
        <w:gridCol w:w="1135"/>
        <w:gridCol w:w="567"/>
        <w:gridCol w:w="3972"/>
      </w:tblGrid>
      <w:tr w:rsidR="00AD1F54" w:rsidRPr="00264D5D" w14:paraId="38C4E245"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5" w:type="dxa"/>
          </w:tcPr>
          <w:p w14:paraId="57A85EFC" w14:textId="77777777" w:rsidR="00AD1F54" w:rsidRPr="00264D5D" w:rsidRDefault="00941227">
            <w:pPr>
              <w:spacing w:before="60" w:after="60"/>
              <w:ind w:left="57" w:right="57"/>
              <w:jc w:val="center"/>
              <w:rPr>
                <w:b/>
                <w:sz w:val="22"/>
                <w:szCs w:val="22"/>
              </w:rPr>
            </w:pPr>
            <w:r w:rsidRPr="00264D5D">
              <w:rPr>
                <w:b/>
                <w:sz w:val="22"/>
                <w:szCs w:val="22"/>
              </w:rPr>
              <w:t>Наименование элемента</w:t>
            </w:r>
          </w:p>
        </w:tc>
        <w:tc>
          <w:tcPr>
            <w:tcW w:w="1701" w:type="dxa"/>
          </w:tcPr>
          <w:p w14:paraId="7150D61E" w14:textId="77777777" w:rsidR="00AD1F54" w:rsidRPr="00264D5D" w:rsidRDefault="00941227">
            <w:pPr>
              <w:spacing w:before="60" w:after="60"/>
              <w:ind w:left="57" w:right="57"/>
              <w:jc w:val="center"/>
              <w:rPr>
                <w:b/>
                <w:sz w:val="22"/>
                <w:szCs w:val="22"/>
              </w:rPr>
            </w:pPr>
            <w:r w:rsidRPr="00264D5D">
              <w:rPr>
                <w:b/>
                <w:sz w:val="22"/>
                <w:szCs w:val="22"/>
              </w:rPr>
              <w:t>Сокращенное наименование (код) элемента</w:t>
            </w:r>
          </w:p>
        </w:tc>
        <w:tc>
          <w:tcPr>
            <w:tcW w:w="567" w:type="dxa"/>
          </w:tcPr>
          <w:p w14:paraId="45331E4E" w14:textId="77777777" w:rsidR="00AD1F54" w:rsidRPr="00264D5D" w:rsidRDefault="00941227">
            <w:pPr>
              <w:spacing w:before="60" w:after="60"/>
              <w:ind w:left="57" w:right="57"/>
              <w:jc w:val="center"/>
              <w:rPr>
                <w:b/>
                <w:sz w:val="22"/>
                <w:szCs w:val="22"/>
              </w:rPr>
            </w:pPr>
            <w:r w:rsidRPr="00264D5D">
              <w:rPr>
                <w:b/>
                <w:sz w:val="22"/>
                <w:szCs w:val="22"/>
              </w:rPr>
              <w:t>Тип</w:t>
            </w:r>
          </w:p>
        </w:tc>
        <w:tc>
          <w:tcPr>
            <w:tcW w:w="1134" w:type="dxa"/>
          </w:tcPr>
          <w:p w14:paraId="551E7545" w14:textId="77777777" w:rsidR="00AD1F54" w:rsidRPr="00264D5D" w:rsidRDefault="00941227">
            <w:pPr>
              <w:spacing w:before="60" w:after="60"/>
              <w:ind w:left="57" w:right="57"/>
              <w:jc w:val="center"/>
              <w:rPr>
                <w:b/>
                <w:sz w:val="22"/>
                <w:szCs w:val="22"/>
              </w:rPr>
            </w:pPr>
            <w:r w:rsidRPr="00264D5D">
              <w:rPr>
                <w:b/>
                <w:sz w:val="22"/>
                <w:szCs w:val="22"/>
              </w:rPr>
              <w:t>Формат элемента</w:t>
            </w:r>
          </w:p>
        </w:tc>
        <w:tc>
          <w:tcPr>
            <w:tcW w:w="567" w:type="dxa"/>
          </w:tcPr>
          <w:p w14:paraId="0C85B73B" w14:textId="77777777" w:rsidR="00AD1F54" w:rsidRPr="00264D5D" w:rsidRDefault="00941227">
            <w:pPr>
              <w:spacing w:before="60" w:after="60"/>
              <w:ind w:left="57" w:right="57"/>
              <w:jc w:val="center"/>
              <w:rPr>
                <w:b/>
                <w:sz w:val="22"/>
                <w:szCs w:val="22"/>
              </w:rPr>
            </w:pPr>
            <w:r w:rsidRPr="00264D5D">
              <w:rPr>
                <w:b/>
                <w:sz w:val="22"/>
                <w:szCs w:val="22"/>
              </w:rPr>
              <w:t>Обязательность</w:t>
            </w:r>
          </w:p>
        </w:tc>
        <w:tc>
          <w:tcPr>
            <w:tcW w:w="3969" w:type="dxa"/>
          </w:tcPr>
          <w:p w14:paraId="00D2F9C6" w14:textId="77777777" w:rsidR="00AD1F54" w:rsidRPr="00264D5D" w:rsidRDefault="00941227">
            <w:pPr>
              <w:spacing w:before="60" w:after="60"/>
              <w:ind w:left="57" w:right="57"/>
              <w:jc w:val="center"/>
              <w:rPr>
                <w:b/>
                <w:sz w:val="22"/>
                <w:szCs w:val="22"/>
              </w:rPr>
            </w:pPr>
            <w:r w:rsidRPr="00264D5D">
              <w:rPr>
                <w:b/>
                <w:sz w:val="22"/>
                <w:szCs w:val="22"/>
              </w:rPr>
              <w:t>Дополнительная информация</w:t>
            </w:r>
          </w:p>
        </w:tc>
      </w:tr>
      <w:tr w:rsidR="00AD1F54" w:rsidRPr="00264D5D" w14:paraId="2900CD0C" w14:textId="77777777" w:rsidTr="00AD1F54">
        <w:trPr>
          <w:cnfStyle w:val="000000100000" w:firstRow="0" w:lastRow="0" w:firstColumn="0" w:lastColumn="0" w:oddVBand="0" w:evenVBand="0" w:oddHBand="1" w:evenHBand="0" w:firstRowFirstColumn="0" w:firstRowLastColumn="0" w:lastRowFirstColumn="0" w:lastRowLastColumn="0"/>
        </w:trPr>
        <w:tc>
          <w:tcPr>
            <w:tcW w:w="1705" w:type="dxa"/>
          </w:tcPr>
          <w:p w14:paraId="74293387" w14:textId="77777777" w:rsidR="00AD1F54" w:rsidRPr="00264D5D" w:rsidRDefault="00941227">
            <w:pPr>
              <w:spacing w:before="60" w:after="60"/>
              <w:rPr>
                <w:sz w:val="22"/>
                <w:szCs w:val="22"/>
              </w:rPr>
            </w:pPr>
            <w:r w:rsidRPr="00264D5D">
              <w:rPr>
                <w:sz w:val="22"/>
                <w:szCs w:val="22"/>
              </w:rPr>
              <w:t>ИТОГО сумма на текущий финансовый год</w:t>
            </w:r>
          </w:p>
        </w:tc>
        <w:tc>
          <w:tcPr>
            <w:tcW w:w="1701" w:type="dxa"/>
          </w:tcPr>
          <w:p w14:paraId="6BAAABC4" w14:textId="77777777" w:rsidR="00AD1F54" w:rsidRPr="00264D5D" w:rsidRDefault="00941227">
            <w:pPr>
              <w:spacing w:before="60" w:after="60"/>
              <w:rPr>
                <w:sz w:val="22"/>
                <w:szCs w:val="22"/>
              </w:rPr>
            </w:pPr>
            <w:r w:rsidRPr="00264D5D">
              <w:rPr>
                <w:sz w:val="22"/>
                <w:szCs w:val="22"/>
              </w:rPr>
              <w:t>AmntCrYr</w:t>
            </w:r>
          </w:p>
        </w:tc>
        <w:tc>
          <w:tcPr>
            <w:tcW w:w="567" w:type="dxa"/>
          </w:tcPr>
          <w:p w14:paraId="0D8C636F" w14:textId="77777777" w:rsidR="00AD1F54" w:rsidRPr="00264D5D" w:rsidRDefault="00941227">
            <w:pPr>
              <w:spacing w:before="60" w:after="60"/>
              <w:jc w:val="center"/>
              <w:rPr>
                <w:sz w:val="22"/>
                <w:szCs w:val="22"/>
              </w:rPr>
            </w:pPr>
            <w:r w:rsidRPr="00264D5D">
              <w:rPr>
                <w:sz w:val="22"/>
                <w:szCs w:val="22"/>
              </w:rPr>
              <w:t>П</w:t>
            </w:r>
          </w:p>
        </w:tc>
        <w:tc>
          <w:tcPr>
            <w:tcW w:w="1134" w:type="dxa"/>
          </w:tcPr>
          <w:p w14:paraId="5DCF5C15" w14:textId="77777777" w:rsidR="00AD1F54" w:rsidRPr="00264D5D" w:rsidRDefault="00941227">
            <w:pPr>
              <w:spacing w:before="60" w:after="60"/>
              <w:rPr>
                <w:sz w:val="22"/>
                <w:szCs w:val="22"/>
              </w:rPr>
            </w:pPr>
            <w:r w:rsidRPr="00264D5D">
              <w:rPr>
                <w:sz w:val="22"/>
                <w:szCs w:val="22"/>
              </w:rPr>
              <w:t>N(18.2)</w:t>
            </w:r>
          </w:p>
        </w:tc>
        <w:tc>
          <w:tcPr>
            <w:tcW w:w="567" w:type="dxa"/>
          </w:tcPr>
          <w:p w14:paraId="770C8BC2" w14:textId="77777777" w:rsidR="00AD1F54" w:rsidRPr="00264D5D" w:rsidRDefault="00941227">
            <w:pPr>
              <w:spacing w:before="60" w:after="60"/>
              <w:jc w:val="center"/>
              <w:rPr>
                <w:sz w:val="22"/>
                <w:szCs w:val="22"/>
              </w:rPr>
            </w:pPr>
            <w:r w:rsidRPr="00264D5D">
              <w:rPr>
                <w:sz w:val="22"/>
                <w:szCs w:val="22"/>
              </w:rPr>
              <w:t>О</w:t>
            </w:r>
          </w:p>
        </w:tc>
        <w:tc>
          <w:tcPr>
            <w:tcW w:w="3969" w:type="dxa"/>
          </w:tcPr>
          <w:p w14:paraId="375A9487" w14:textId="77777777" w:rsidR="00AD1F54" w:rsidRPr="00264D5D" w:rsidRDefault="00941227">
            <w:pPr>
              <w:spacing w:before="60" w:after="60"/>
              <w:rPr>
                <w:sz w:val="22"/>
                <w:szCs w:val="22"/>
              </w:rPr>
            </w:pPr>
            <w:r w:rsidRPr="00264D5D">
              <w:rPr>
                <w:sz w:val="22"/>
                <w:szCs w:val="22"/>
              </w:rPr>
              <w:t xml:space="preserve">Указывается итоговая </w:t>
            </w:r>
            <w:r w:rsidR="00BA58C1" w:rsidRPr="00264D5D">
              <w:rPr>
                <w:sz w:val="22"/>
                <w:szCs w:val="22"/>
              </w:rPr>
              <w:t>сумма на текущий финансовый год</w:t>
            </w:r>
          </w:p>
        </w:tc>
      </w:tr>
      <w:tr w:rsidR="00AD1F54" w:rsidRPr="00264D5D" w14:paraId="4942FC18" w14:textId="77777777" w:rsidTr="00AD1F54">
        <w:trPr>
          <w:cnfStyle w:val="000000010000" w:firstRow="0" w:lastRow="0" w:firstColumn="0" w:lastColumn="0" w:oddVBand="0" w:evenVBand="0" w:oddHBand="0" w:evenHBand="1" w:firstRowFirstColumn="0" w:firstRowLastColumn="0" w:lastRowFirstColumn="0" w:lastRowLastColumn="0"/>
        </w:trPr>
        <w:tc>
          <w:tcPr>
            <w:tcW w:w="1705" w:type="dxa"/>
          </w:tcPr>
          <w:p w14:paraId="1EC6FC36" w14:textId="77777777" w:rsidR="00AD1F54" w:rsidRPr="00264D5D" w:rsidRDefault="00941227">
            <w:pPr>
              <w:spacing w:before="60" w:after="60"/>
              <w:rPr>
                <w:sz w:val="22"/>
                <w:szCs w:val="22"/>
              </w:rPr>
            </w:pPr>
            <w:r w:rsidRPr="00264D5D">
              <w:rPr>
                <w:sz w:val="22"/>
                <w:szCs w:val="22"/>
              </w:rPr>
              <w:t>ИТОГО сумма на первый год планового периода</w:t>
            </w:r>
          </w:p>
        </w:tc>
        <w:tc>
          <w:tcPr>
            <w:tcW w:w="1701" w:type="dxa"/>
          </w:tcPr>
          <w:p w14:paraId="52C65598" w14:textId="77777777" w:rsidR="00AD1F54" w:rsidRPr="00264D5D" w:rsidRDefault="00941227">
            <w:pPr>
              <w:spacing w:before="60" w:after="60"/>
              <w:rPr>
                <w:sz w:val="22"/>
                <w:szCs w:val="22"/>
              </w:rPr>
            </w:pPr>
            <w:r w:rsidRPr="00264D5D">
              <w:rPr>
                <w:sz w:val="22"/>
                <w:szCs w:val="22"/>
              </w:rPr>
              <w:t>AmntFrstYr</w:t>
            </w:r>
          </w:p>
        </w:tc>
        <w:tc>
          <w:tcPr>
            <w:tcW w:w="567" w:type="dxa"/>
          </w:tcPr>
          <w:p w14:paraId="1DCE87FB" w14:textId="77777777" w:rsidR="00AD1F54" w:rsidRPr="00264D5D" w:rsidRDefault="00941227">
            <w:pPr>
              <w:spacing w:before="60" w:after="60"/>
              <w:jc w:val="center"/>
              <w:rPr>
                <w:sz w:val="22"/>
                <w:szCs w:val="22"/>
              </w:rPr>
            </w:pPr>
            <w:r w:rsidRPr="00264D5D">
              <w:rPr>
                <w:sz w:val="22"/>
                <w:szCs w:val="22"/>
              </w:rPr>
              <w:t>П</w:t>
            </w:r>
          </w:p>
        </w:tc>
        <w:tc>
          <w:tcPr>
            <w:tcW w:w="1134" w:type="dxa"/>
          </w:tcPr>
          <w:p w14:paraId="174360E8" w14:textId="77777777" w:rsidR="00AD1F54" w:rsidRPr="00264D5D" w:rsidRDefault="00941227">
            <w:pPr>
              <w:spacing w:before="60" w:after="60"/>
              <w:rPr>
                <w:sz w:val="22"/>
                <w:szCs w:val="22"/>
              </w:rPr>
            </w:pPr>
            <w:r w:rsidRPr="00264D5D">
              <w:rPr>
                <w:sz w:val="22"/>
                <w:szCs w:val="22"/>
              </w:rPr>
              <w:t>N(18.2)</w:t>
            </w:r>
          </w:p>
        </w:tc>
        <w:tc>
          <w:tcPr>
            <w:tcW w:w="567" w:type="dxa"/>
          </w:tcPr>
          <w:p w14:paraId="0EE96B04" w14:textId="77777777" w:rsidR="00AD1F54" w:rsidRPr="00264D5D" w:rsidRDefault="00941227">
            <w:pPr>
              <w:spacing w:before="60" w:after="60"/>
              <w:jc w:val="center"/>
              <w:rPr>
                <w:sz w:val="22"/>
                <w:szCs w:val="22"/>
              </w:rPr>
            </w:pPr>
            <w:r w:rsidRPr="00264D5D">
              <w:rPr>
                <w:sz w:val="22"/>
                <w:szCs w:val="22"/>
              </w:rPr>
              <w:t>О</w:t>
            </w:r>
          </w:p>
        </w:tc>
        <w:tc>
          <w:tcPr>
            <w:tcW w:w="3969" w:type="dxa"/>
          </w:tcPr>
          <w:p w14:paraId="2BBB3DEA" w14:textId="77777777" w:rsidR="00AD1F54" w:rsidRPr="00264D5D" w:rsidRDefault="00941227">
            <w:pPr>
              <w:spacing w:before="60" w:after="60"/>
              <w:rPr>
                <w:sz w:val="22"/>
                <w:szCs w:val="22"/>
              </w:rPr>
            </w:pPr>
            <w:r w:rsidRPr="00264D5D">
              <w:rPr>
                <w:sz w:val="22"/>
                <w:szCs w:val="22"/>
              </w:rPr>
              <w:t xml:space="preserve">Указывается итоговая сумма </w:t>
            </w:r>
            <w:r w:rsidR="00BA58C1" w:rsidRPr="00264D5D">
              <w:rPr>
                <w:sz w:val="22"/>
                <w:szCs w:val="22"/>
              </w:rPr>
              <w:t>на первый год планового периода</w:t>
            </w:r>
          </w:p>
        </w:tc>
      </w:tr>
      <w:tr w:rsidR="00AD1F54" w:rsidRPr="00264D5D" w14:paraId="4AAA8474" w14:textId="77777777" w:rsidTr="00AD1F54">
        <w:trPr>
          <w:cnfStyle w:val="000000100000" w:firstRow="0" w:lastRow="0" w:firstColumn="0" w:lastColumn="0" w:oddVBand="0" w:evenVBand="0" w:oddHBand="1" w:evenHBand="0" w:firstRowFirstColumn="0" w:firstRowLastColumn="0" w:lastRowFirstColumn="0" w:lastRowLastColumn="0"/>
        </w:trPr>
        <w:tc>
          <w:tcPr>
            <w:tcW w:w="1705" w:type="dxa"/>
          </w:tcPr>
          <w:p w14:paraId="29CE0680" w14:textId="77777777" w:rsidR="00AD1F54" w:rsidRPr="00264D5D" w:rsidRDefault="00941227">
            <w:pPr>
              <w:spacing w:before="60" w:after="60"/>
              <w:rPr>
                <w:sz w:val="22"/>
                <w:szCs w:val="22"/>
              </w:rPr>
            </w:pPr>
            <w:r w:rsidRPr="00264D5D">
              <w:rPr>
                <w:sz w:val="22"/>
                <w:szCs w:val="22"/>
              </w:rPr>
              <w:t>ИТОГО сумма на второй год планового периода</w:t>
            </w:r>
          </w:p>
        </w:tc>
        <w:tc>
          <w:tcPr>
            <w:tcW w:w="1701" w:type="dxa"/>
          </w:tcPr>
          <w:p w14:paraId="5FDC37E9" w14:textId="77777777" w:rsidR="00AD1F54" w:rsidRPr="00264D5D" w:rsidRDefault="00941227">
            <w:pPr>
              <w:spacing w:before="60" w:after="60"/>
              <w:rPr>
                <w:sz w:val="22"/>
                <w:szCs w:val="22"/>
              </w:rPr>
            </w:pPr>
            <w:r w:rsidRPr="00264D5D">
              <w:rPr>
                <w:sz w:val="22"/>
                <w:szCs w:val="22"/>
              </w:rPr>
              <w:t>AmntScndYr</w:t>
            </w:r>
          </w:p>
        </w:tc>
        <w:tc>
          <w:tcPr>
            <w:tcW w:w="567" w:type="dxa"/>
          </w:tcPr>
          <w:p w14:paraId="1E59D690" w14:textId="77777777" w:rsidR="00AD1F54" w:rsidRPr="00264D5D" w:rsidRDefault="00941227">
            <w:pPr>
              <w:spacing w:before="60" w:after="60"/>
              <w:jc w:val="center"/>
              <w:rPr>
                <w:sz w:val="22"/>
                <w:szCs w:val="22"/>
              </w:rPr>
            </w:pPr>
            <w:r w:rsidRPr="00264D5D">
              <w:rPr>
                <w:sz w:val="22"/>
                <w:szCs w:val="22"/>
              </w:rPr>
              <w:t>П</w:t>
            </w:r>
          </w:p>
        </w:tc>
        <w:tc>
          <w:tcPr>
            <w:tcW w:w="1134" w:type="dxa"/>
          </w:tcPr>
          <w:p w14:paraId="778921E2" w14:textId="77777777" w:rsidR="00AD1F54" w:rsidRPr="00264D5D" w:rsidRDefault="00941227">
            <w:pPr>
              <w:spacing w:before="60" w:after="60"/>
              <w:rPr>
                <w:sz w:val="22"/>
                <w:szCs w:val="22"/>
              </w:rPr>
            </w:pPr>
            <w:r w:rsidRPr="00264D5D">
              <w:rPr>
                <w:sz w:val="22"/>
                <w:szCs w:val="22"/>
              </w:rPr>
              <w:t>N(18.2)</w:t>
            </w:r>
          </w:p>
        </w:tc>
        <w:tc>
          <w:tcPr>
            <w:tcW w:w="567" w:type="dxa"/>
          </w:tcPr>
          <w:p w14:paraId="62E5D78E" w14:textId="77777777" w:rsidR="00AD1F54" w:rsidRPr="00264D5D" w:rsidRDefault="00941227">
            <w:pPr>
              <w:spacing w:before="60" w:after="60"/>
              <w:jc w:val="center"/>
              <w:rPr>
                <w:sz w:val="22"/>
                <w:szCs w:val="22"/>
              </w:rPr>
            </w:pPr>
            <w:r w:rsidRPr="00264D5D">
              <w:rPr>
                <w:sz w:val="22"/>
                <w:szCs w:val="22"/>
              </w:rPr>
              <w:t>О</w:t>
            </w:r>
          </w:p>
        </w:tc>
        <w:tc>
          <w:tcPr>
            <w:tcW w:w="3969" w:type="dxa"/>
          </w:tcPr>
          <w:p w14:paraId="268B578D" w14:textId="77777777" w:rsidR="00AD1F54" w:rsidRPr="00264D5D" w:rsidRDefault="00941227">
            <w:pPr>
              <w:spacing w:before="60" w:after="60"/>
              <w:rPr>
                <w:sz w:val="22"/>
                <w:szCs w:val="22"/>
              </w:rPr>
            </w:pPr>
            <w:r w:rsidRPr="00264D5D">
              <w:rPr>
                <w:sz w:val="22"/>
                <w:szCs w:val="22"/>
              </w:rPr>
              <w:t xml:space="preserve">Указывается итоговая сумма </w:t>
            </w:r>
            <w:r w:rsidR="00BA58C1" w:rsidRPr="00264D5D">
              <w:rPr>
                <w:sz w:val="22"/>
                <w:szCs w:val="22"/>
              </w:rPr>
              <w:t>на второй год планового периода</w:t>
            </w:r>
          </w:p>
        </w:tc>
      </w:tr>
    </w:tbl>
    <w:p w14:paraId="0AA833E1" w14:textId="77777777" w:rsidR="00AD1F54" w:rsidRPr="00264D5D" w:rsidRDefault="00941227">
      <w:pPr>
        <w:pStyle w:val="31"/>
      </w:pPr>
      <w:bookmarkStart w:id="650" w:name="_Toc21014545"/>
      <w:r w:rsidRPr="00264D5D">
        <w:t xml:space="preserve"> </w:t>
      </w:r>
      <w:bookmarkStart w:id="651" w:name="_Toc219309472"/>
      <w:r w:rsidRPr="00264D5D">
        <w:t>Описание комплексного типа «tAPBASTR»</w:t>
      </w:r>
      <w:bookmarkEnd w:id="650"/>
      <w:bookmarkEnd w:id="651"/>
    </w:p>
    <w:p w14:paraId="71DAFB21" w14:textId="77777777" w:rsidR="00AD1F54" w:rsidRPr="00264D5D" w:rsidRDefault="00941227">
      <w:pPr>
        <w:pStyle w:val="GOSTNormal"/>
        <w:widowControl w:val="0"/>
      </w:pPr>
      <w:r w:rsidRPr="00264D5D">
        <w:t>Описание комплексного типа «tAPBASTR» блока «Бюджетные ассигнования».</w:t>
      </w:r>
    </w:p>
    <w:p w14:paraId="78E10A42" w14:textId="46AE63E5" w:rsidR="00AD1F54" w:rsidRPr="00264D5D" w:rsidRDefault="00941227">
      <w:pPr>
        <w:pStyle w:val="GOSTNameTable"/>
        <w:widowControl w:val="0"/>
        <w:numPr>
          <w:ilvl w:val="0"/>
          <w:numId w:val="2"/>
        </w:numPr>
        <w:spacing w:before="60"/>
        <w:ind w:left="425" w:hanging="357"/>
      </w:pPr>
      <w:r w:rsidRPr="00264D5D">
        <w:fldChar w:fldCharType="begin"/>
      </w:r>
      <w:r w:rsidRPr="00264D5D">
        <w:instrText>SEQ Таблица \* ARABIC</w:instrText>
      </w:r>
      <w:r w:rsidRPr="00264D5D">
        <w:fldChar w:fldCharType="separate"/>
      </w:r>
      <w:bookmarkStart w:id="652" w:name="_Ref492311078"/>
      <w:bookmarkStart w:id="653" w:name="_Toc21014638"/>
      <w:bookmarkStart w:id="654" w:name="_Toc219309066"/>
      <w:r w:rsidR="008D797C">
        <w:rPr>
          <w:noProof/>
        </w:rPr>
        <w:t>36</w:t>
      </w:r>
      <w:bookmarkEnd w:id="652"/>
      <w:r w:rsidRPr="00264D5D">
        <w:fldChar w:fldCharType="end"/>
      </w:r>
      <w:r w:rsidRPr="00264D5D">
        <w:t xml:space="preserve"> – Описание </w:t>
      </w:r>
      <w:bookmarkEnd w:id="653"/>
      <w:r w:rsidRPr="00264D5D">
        <w:t>комплексного типа «tAPBASTR»</w:t>
      </w:r>
      <w:bookmarkEnd w:id="654"/>
    </w:p>
    <w:tbl>
      <w:tblPr>
        <w:tblStyle w:val="GOSTTable"/>
        <w:tblW w:w="5000" w:type="pct"/>
        <w:tblLayout w:type="fixed"/>
        <w:tblLook w:val="04A0" w:firstRow="1" w:lastRow="0" w:firstColumn="1" w:lastColumn="0" w:noHBand="0" w:noVBand="1"/>
      </w:tblPr>
      <w:tblGrid>
        <w:gridCol w:w="1704"/>
        <w:gridCol w:w="1702"/>
        <w:gridCol w:w="568"/>
        <w:gridCol w:w="1135"/>
        <w:gridCol w:w="568"/>
        <w:gridCol w:w="3973"/>
      </w:tblGrid>
      <w:tr w:rsidR="00AD1F54" w:rsidRPr="00264D5D" w14:paraId="40852D63"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3" w:type="dxa"/>
          </w:tcPr>
          <w:p w14:paraId="6C538E1E" w14:textId="77777777" w:rsidR="00AD1F54" w:rsidRPr="00264D5D" w:rsidRDefault="00941227">
            <w:pPr>
              <w:pStyle w:val="GOSTTableHead"/>
              <w:keepNext w:val="0"/>
              <w:widowControl w:val="0"/>
            </w:pPr>
            <w:r w:rsidRPr="00264D5D">
              <w:rPr>
                <w:bCs w:val="0"/>
                <w:szCs w:val="22"/>
              </w:rPr>
              <w:t>Наименование комплексного типа</w:t>
            </w:r>
          </w:p>
        </w:tc>
        <w:tc>
          <w:tcPr>
            <w:tcW w:w="1701" w:type="dxa"/>
          </w:tcPr>
          <w:p w14:paraId="5C8016BF" w14:textId="77777777" w:rsidR="00AD1F54" w:rsidRPr="00264D5D" w:rsidRDefault="00941227">
            <w:pPr>
              <w:pStyle w:val="GOSTTableHead"/>
              <w:keepNext w:val="0"/>
              <w:widowControl w:val="0"/>
            </w:pPr>
            <w:r w:rsidRPr="00264D5D">
              <w:rPr>
                <w:bCs w:val="0"/>
                <w:szCs w:val="22"/>
              </w:rPr>
              <w:t>Текущий элемент/ атрибут</w:t>
            </w:r>
          </w:p>
        </w:tc>
        <w:tc>
          <w:tcPr>
            <w:tcW w:w="567" w:type="dxa"/>
          </w:tcPr>
          <w:p w14:paraId="38F59559" w14:textId="77777777" w:rsidR="00AD1F54" w:rsidRPr="00264D5D" w:rsidRDefault="00941227">
            <w:pPr>
              <w:pStyle w:val="GOSTTableHead"/>
              <w:keepNext w:val="0"/>
              <w:widowControl w:val="0"/>
            </w:pPr>
            <w:r w:rsidRPr="00264D5D">
              <w:rPr>
                <w:bCs w:val="0"/>
                <w:szCs w:val="22"/>
              </w:rPr>
              <w:t>Тип</w:t>
            </w:r>
          </w:p>
        </w:tc>
        <w:tc>
          <w:tcPr>
            <w:tcW w:w="1134" w:type="dxa"/>
          </w:tcPr>
          <w:p w14:paraId="406F49C1" w14:textId="77777777" w:rsidR="00AD1F54" w:rsidRPr="00264D5D" w:rsidRDefault="00941227">
            <w:pPr>
              <w:pStyle w:val="GOSTTableHead"/>
              <w:keepNext w:val="0"/>
              <w:widowControl w:val="0"/>
            </w:pPr>
            <w:r w:rsidRPr="00264D5D">
              <w:rPr>
                <w:bCs w:val="0"/>
                <w:szCs w:val="22"/>
              </w:rPr>
              <w:t>Формат элемента</w:t>
            </w:r>
          </w:p>
        </w:tc>
        <w:tc>
          <w:tcPr>
            <w:tcW w:w="567" w:type="dxa"/>
          </w:tcPr>
          <w:p w14:paraId="086D4377" w14:textId="77777777" w:rsidR="00AD1F54" w:rsidRPr="00264D5D" w:rsidRDefault="00941227">
            <w:pPr>
              <w:pStyle w:val="GOSTTableHead"/>
              <w:keepNext w:val="0"/>
              <w:widowControl w:val="0"/>
            </w:pPr>
            <w:r w:rsidRPr="00264D5D">
              <w:rPr>
                <w:bCs w:val="0"/>
                <w:szCs w:val="22"/>
              </w:rPr>
              <w:t>Обязательность</w:t>
            </w:r>
          </w:p>
        </w:tc>
        <w:tc>
          <w:tcPr>
            <w:tcW w:w="3969" w:type="dxa"/>
          </w:tcPr>
          <w:p w14:paraId="62C1D13E" w14:textId="77777777" w:rsidR="00AD1F54" w:rsidRPr="00264D5D" w:rsidRDefault="00941227">
            <w:pPr>
              <w:pStyle w:val="GOSTTableHead"/>
              <w:keepNext w:val="0"/>
              <w:widowControl w:val="0"/>
            </w:pPr>
            <w:r w:rsidRPr="00264D5D">
              <w:rPr>
                <w:bCs w:val="0"/>
                <w:szCs w:val="22"/>
              </w:rPr>
              <w:t>Дополнительная информация</w:t>
            </w:r>
          </w:p>
        </w:tc>
      </w:tr>
      <w:tr w:rsidR="00AD1F54" w:rsidRPr="00264D5D" w14:paraId="719CEE46" w14:textId="77777777" w:rsidTr="00AD1F54">
        <w:trPr>
          <w:cnfStyle w:val="000000100000" w:firstRow="0" w:lastRow="0" w:firstColumn="0" w:lastColumn="0" w:oddVBand="0" w:evenVBand="0" w:oddHBand="1" w:evenHBand="0" w:firstRowFirstColumn="0" w:firstRowLastColumn="0" w:lastRowFirstColumn="0" w:lastRowLastColumn="0"/>
        </w:trPr>
        <w:tc>
          <w:tcPr>
            <w:tcW w:w="1703" w:type="dxa"/>
          </w:tcPr>
          <w:p w14:paraId="502AFE17" w14:textId="77777777" w:rsidR="00AD1F54" w:rsidRPr="00264D5D" w:rsidRDefault="00941227">
            <w:pPr>
              <w:pStyle w:val="GOSTTablenorm"/>
              <w:widowControl w:val="0"/>
            </w:pPr>
            <w:r w:rsidRPr="00264D5D">
              <w:t>tAPBASTR</w:t>
            </w:r>
          </w:p>
        </w:tc>
        <w:tc>
          <w:tcPr>
            <w:tcW w:w="1701" w:type="dxa"/>
          </w:tcPr>
          <w:p w14:paraId="1C628B01" w14:textId="77777777" w:rsidR="00AD1F54" w:rsidRPr="00264D5D" w:rsidRDefault="00941227">
            <w:pPr>
              <w:pStyle w:val="GOSTTablenorm"/>
              <w:widowControl w:val="0"/>
            </w:pPr>
            <w:r w:rsidRPr="00264D5D">
              <w:t>APBASTR_ITEM</w:t>
            </w:r>
          </w:p>
        </w:tc>
        <w:tc>
          <w:tcPr>
            <w:tcW w:w="567" w:type="dxa"/>
          </w:tcPr>
          <w:p w14:paraId="0B7B6641" w14:textId="77777777" w:rsidR="00AD1F54" w:rsidRPr="00264D5D" w:rsidRDefault="00941227">
            <w:pPr>
              <w:pStyle w:val="GOSTTablenorm"/>
              <w:widowControl w:val="0"/>
              <w:jc w:val="center"/>
            </w:pPr>
            <w:r w:rsidRPr="00264D5D">
              <w:t>С</w:t>
            </w:r>
          </w:p>
        </w:tc>
        <w:tc>
          <w:tcPr>
            <w:tcW w:w="1134" w:type="dxa"/>
          </w:tcPr>
          <w:p w14:paraId="180E8AA1" w14:textId="77777777" w:rsidR="00AD1F54" w:rsidRPr="00264D5D" w:rsidRDefault="00941227">
            <w:pPr>
              <w:pStyle w:val="GOSTTablenorm"/>
              <w:widowControl w:val="0"/>
            </w:pPr>
            <w:r w:rsidRPr="00264D5D">
              <w:t>tAPBASTR_ITEM</w:t>
            </w:r>
          </w:p>
        </w:tc>
        <w:tc>
          <w:tcPr>
            <w:tcW w:w="567" w:type="dxa"/>
          </w:tcPr>
          <w:p w14:paraId="00E9131E" w14:textId="77777777" w:rsidR="00AD1F54" w:rsidRPr="00264D5D" w:rsidRDefault="00941227">
            <w:pPr>
              <w:pStyle w:val="GOSTTablenorm"/>
              <w:widowControl w:val="0"/>
              <w:jc w:val="center"/>
            </w:pPr>
            <w:r w:rsidRPr="00264D5D">
              <w:t>НМ</w:t>
            </w:r>
          </w:p>
        </w:tc>
        <w:tc>
          <w:tcPr>
            <w:tcW w:w="3969" w:type="dxa"/>
          </w:tcPr>
          <w:p w14:paraId="088F0419" w14:textId="2F08E35D" w:rsidR="00AD1F54" w:rsidRPr="00264D5D" w:rsidRDefault="00941227">
            <w:pPr>
              <w:pStyle w:val="GOSTTablenorm"/>
              <w:widowControl w:val="0"/>
            </w:pPr>
            <w:r w:rsidRPr="00264D5D">
              <w:t xml:space="preserve">Состав элемента представлен в таблице </w:t>
            </w:r>
            <w:r w:rsidRPr="00264D5D">
              <w:rPr>
                <w:b/>
              </w:rPr>
              <w:fldChar w:fldCharType="begin"/>
            </w:r>
            <w:r w:rsidRPr="00264D5D">
              <w:rPr>
                <w:b/>
              </w:rPr>
              <w:instrText xml:space="preserve"> REF _Ref492311338 \h  \* MERGEFORMAT </w:instrText>
            </w:r>
            <w:r w:rsidRPr="00264D5D">
              <w:rPr>
                <w:b/>
              </w:rPr>
            </w:r>
            <w:r w:rsidRPr="00264D5D">
              <w:rPr>
                <w:b/>
              </w:rPr>
              <w:fldChar w:fldCharType="separate"/>
            </w:r>
            <w:r w:rsidR="008D797C" w:rsidRPr="008D797C">
              <w:rPr>
                <w:b/>
              </w:rPr>
              <w:t>37</w:t>
            </w:r>
            <w:r w:rsidRPr="00264D5D">
              <w:rPr>
                <w:b/>
              </w:rPr>
              <w:fldChar w:fldCharType="end"/>
            </w:r>
          </w:p>
        </w:tc>
      </w:tr>
    </w:tbl>
    <w:p w14:paraId="2C6DEBCE" w14:textId="77777777" w:rsidR="00AD1F54" w:rsidRPr="00264D5D" w:rsidRDefault="00941227">
      <w:pPr>
        <w:pStyle w:val="31"/>
      </w:pPr>
      <w:bookmarkStart w:id="655" w:name="_Toc21014546"/>
      <w:r w:rsidRPr="00264D5D">
        <w:lastRenderedPageBreak/>
        <w:t xml:space="preserve"> </w:t>
      </w:r>
      <w:bookmarkStart w:id="656" w:name="_Toc219309473"/>
      <w:r w:rsidRPr="00264D5D">
        <w:t>Описание комплексного типа «tAPBASTR_ITEM»</w:t>
      </w:r>
      <w:bookmarkEnd w:id="655"/>
      <w:bookmarkEnd w:id="656"/>
    </w:p>
    <w:p w14:paraId="0FFBFD27" w14:textId="77777777" w:rsidR="00AD1F54" w:rsidRPr="00264D5D" w:rsidRDefault="00941227">
      <w:pPr>
        <w:pStyle w:val="GOSTNormal"/>
        <w:widowControl w:val="0"/>
      </w:pPr>
      <w:r w:rsidRPr="00264D5D">
        <w:t>Описание комплексного типа «tAPBASTR_ITEM» блока «Бюджетные ассигнования (строки)».</w:t>
      </w:r>
    </w:p>
    <w:p w14:paraId="512B874D" w14:textId="403B25D7" w:rsidR="00AD1F54" w:rsidRPr="00264D5D" w:rsidRDefault="00941227">
      <w:pPr>
        <w:pStyle w:val="GOSTNameTable"/>
        <w:widowControl w:val="0"/>
        <w:numPr>
          <w:ilvl w:val="0"/>
          <w:numId w:val="2"/>
        </w:numPr>
        <w:spacing w:before="60"/>
        <w:ind w:left="425" w:hanging="357"/>
      </w:pPr>
      <w:r w:rsidRPr="00264D5D">
        <w:fldChar w:fldCharType="begin"/>
      </w:r>
      <w:r w:rsidRPr="00264D5D">
        <w:instrText>SEQ Таблица \* ARABIC</w:instrText>
      </w:r>
      <w:r w:rsidRPr="00264D5D">
        <w:fldChar w:fldCharType="separate"/>
      </w:r>
      <w:bookmarkStart w:id="657" w:name="_Ref492311338"/>
      <w:bookmarkStart w:id="658" w:name="_Toc21014639"/>
      <w:bookmarkStart w:id="659" w:name="_Toc219309067"/>
      <w:r w:rsidR="008D797C">
        <w:rPr>
          <w:noProof/>
        </w:rPr>
        <w:t>37</w:t>
      </w:r>
      <w:bookmarkEnd w:id="657"/>
      <w:r w:rsidRPr="00264D5D">
        <w:fldChar w:fldCharType="end"/>
      </w:r>
      <w:r w:rsidRPr="00264D5D">
        <w:t xml:space="preserve"> – Описание </w:t>
      </w:r>
      <w:bookmarkEnd w:id="658"/>
      <w:r w:rsidRPr="00264D5D">
        <w:t>комплексного типа «tAPBASTR_ITEM»</w:t>
      </w:r>
      <w:bookmarkEnd w:id="659"/>
    </w:p>
    <w:tbl>
      <w:tblPr>
        <w:tblStyle w:val="GOSTTable"/>
        <w:tblW w:w="5000" w:type="pct"/>
        <w:tblLayout w:type="fixed"/>
        <w:tblLook w:val="04A0" w:firstRow="1" w:lastRow="0" w:firstColumn="1" w:lastColumn="0" w:noHBand="0" w:noVBand="1"/>
      </w:tblPr>
      <w:tblGrid>
        <w:gridCol w:w="1702"/>
        <w:gridCol w:w="1703"/>
        <w:gridCol w:w="568"/>
        <w:gridCol w:w="1135"/>
        <w:gridCol w:w="568"/>
        <w:gridCol w:w="3974"/>
      </w:tblGrid>
      <w:tr w:rsidR="00AD1F54" w:rsidRPr="00264D5D" w14:paraId="2D3EDBCC"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0DF26F6A" w14:textId="77777777" w:rsidR="00AD1F54" w:rsidRPr="00264D5D" w:rsidRDefault="00941227">
            <w:pPr>
              <w:pStyle w:val="GOSTTableHead"/>
              <w:keepNext w:val="0"/>
              <w:widowControl w:val="0"/>
            </w:pPr>
            <w:r w:rsidRPr="00264D5D">
              <w:rPr>
                <w:szCs w:val="22"/>
              </w:rPr>
              <w:t>Наименование элемента</w:t>
            </w:r>
          </w:p>
        </w:tc>
        <w:tc>
          <w:tcPr>
            <w:tcW w:w="1701" w:type="dxa"/>
          </w:tcPr>
          <w:p w14:paraId="28A8F234" w14:textId="77777777" w:rsidR="00AD1F54" w:rsidRPr="00264D5D" w:rsidRDefault="00941227">
            <w:pPr>
              <w:pStyle w:val="GOSTTableHead"/>
              <w:keepNext w:val="0"/>
              <w:widowControl w:val="0"/>
            </w:pPr>
            <w:r w:rsidRPr="00264D5D">
              <w:rPr>
                <w:szCs w:val="22"/>
              </w:rPr>
              <w:t>Сокращенное наименование (код) элемента</w:t>
            </w:r>
          </w:p>
        </w:tc>
        <w:tc>
          <w:tcPr>
            <w:tcW w:w="567" w:type="dxa"/>
          </w:tcPr>
          <w:p w14:paraId="74606D4F" w14:textId="77777777" w:rsidR="00AD1F54" w:rsidRPr="00264D5D" w:rsidRDefault="00941227">
            <w:pPr>
              <w:pStyle w:val="GOSTTableHead"/>
              <w:keepNext w:val="0"/>
              <w:widowControl w:val="0"/>
            </w:pPr>
            <w:r w:rsidRPr="00264D5D">
              <w:rPr>
                <w:szCs w:val="22"/>
              </w:rPr>
              <w:t>Тип</w:t>
            </w:r>
          </w:p>
        </w:tc>
        <w:tc>
          <w:tcPr>
            <w:tcW w:w="1134" w:type="dxa"/>
          </w:tcPr>
          <w:p w14:paraId="324E6749" w14:textId="77777777" w:rsidR="00AD1F54" w:rsidRPr="00264D5D" w:rsidRDefault="00941227">
            <w:pPr>
              <w:pStyle w:val="GOSTTableHead"/>
              <w:keepNext w:val="0"/>
              <w:widowControl w:val="0"/>
            </w:pPr>
            <w:r w:rsidRPr="00264D5D">
              <w:rPr>
                <w:szCs w:val="22"/>
              </w:rPr>
              <w:t>Формат элемента</w:t>
            </w:r>
          </w:p>
        </w:tc>
        <w:tc>
          <w:tcPr>
            <w:tcW w:w="567" w:type="dxa"/>
          </w:tcPr>
          <w:p w14:paraId="04DD3177" w14:textId="77777777" w:rsidR="00AD1F54" w:rsidRPr="00264D5D" w:rsidRDefault="00941227">
            <w:pPr>
              <w:pStyle w:val="GOSTTableHead"/>
              <w:keepNext w:val="0"/>
              <w:widowControl w:val="0"/>
            </w:pPr>
            <w:r w:rsidRPr="00264D5D">
              <w:rPr>
                <w:szCs w:val="22"/>
              </w:rPr>
              <w:t>Обязательность</w:t>
            </w:r>
          </w:p>
        </w:tc>
        <w:tc>
          <w:tcPr>
            <w:tcW w:w="3969" w:type="dxa"/>
          </w:tcPr>
          <w:p w14:paraId="34BF62D2" w14:textId="77777777" w:rsidR="00AD1F54" w:rsidRPr="00264D5D" w:rsidRDefault="00941227">
            <w:pPr>
              <w:pStyle w:val="GOSTTableHead"/>
              <w:keepNext w:val="0"/>
              <w:widowControl w:val="0"/>
            </w:pPr>
            <w:r w:rsidRPr="00264D5D">
              <w:rPr>
                <w:szCs w:val="22"/>
              </w:rPr>
              <w:t>Дополнительная информация</w:t>
            </w:r>
          </w:p>
        </w:tc>
      </w:tr>
      <w:tr w:rsidR="00AD1F54" w:rsidRPr="00264D5D" w14:paraId="691E79E0"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5F82DBDA" w14:textId="77777777" w:rsidR="00AD1F54" w:rsidRPr="00264D5D" w:rsidRDefault="00941227">
            <w:pPr>
              <w:pStyle w:val="GOSTTablenorm"/>
              <w:widowControl w:val="0"/>
            </w:pPr>
            <w:r w:rsidRPr="00264D5D">
              <w:t>Номер строки</w:t>
            </w:r>
          </w:p>
        </w:tc>
        <w:tc>
          <w:tcPr>
            <w:tcW w:w="1701" w:type="dxa"/>
          </w:tcPr>
          <w:p w14:paraId="3A39239F" w14:textId="77777777" w:rsidR="00AD1F54" w:rsidRPr="00264D5D" w:rsidRDefault="00941227">
            <w:pPr>
              <w:pStyle w:val="GOSTTablenorm"/>
              <w:widowControl w:val="0"/>
            </w:pPr>
            <w:r w:rsidRPr="00264D5D">
              <w:t>NmbRw</w:t>
            </w:r>
          </w:p>
        </w:tc>
        <w:tc>
          <w:tcPr>
            <w:tcW w:w="567" w:type="dxa"/>
          </w:tcPr>
          <w:p w14:paraId="3D18540B" w14:textId="77777777" w:rsidR="00AD1F54" w:rsidRPr="00264D5D" w:rsidRDefault="00941227">
            <w:pPr>
              <w:pStyle w:val="GOSTTablenorm"/>
              <w:widowControl w:val="0"/>
              <w:jc w:val="center"/>
            </w:pPr>
            <w:r w:rsidRPr="00264D5D">
              <w:t>П</w:t>
            </w:r>
          </w:p>
        </w:tc>
        <w:tc>
          <w:tcPr>
            <w:tcW w:w="1134" w:type="dxa"/>
          </w:tcPr>
          <w:p w14:paraId="695CF632" w14:textId="77777777" w:rsidR="00AD1F54" w:rsidRPr="00264D5D" w:rsidRDefault="00941227">
            <w:pPr>
              <w:pStyle w:val="GOSTTablenorm"/>
              <w:widowControl w:val="0"/>
              <w:rPr>
                <w:lang w:val="en-US"/>
              </w:rPr>
            </w:pPr>
            <w:r w:rsidRPr="00264D5D">
              <w:rPr>
                <w:lang w:val="en-US"/>
              </w:rPr>
              <w:t>T(1-25)</w:t>
            </w:r>
          </w:p>
        </w:tc>
        <w:tc>
          <w:tcPr>
            <w:tcW w:w="567" w:type="dxa"/>
          </w:tcPr>
          <w:p w14:paraId="2E5DD1F4" w14:textId="77777777" w:rsidR="00AD1F54" w:rsidRPr="00264D5D" w:rsidRDefault="00941227">
            <w:pPr>
              <w:pStyle w:val="GOSTTablenorm"/>
              <w:widowControl w:val="0"/>
              <w:jc w:val="center"/>
            </w:pPr>
            <w:r w:rsidRPr="00264D5D">
              <w:t>О</w:t>
            </w:r>
          </w:p>
        </w:tc>
        <w:tc>
          <w:tcPr>
            <w:tcW w:w="3969" w:type="dxa"/>
          </w:tcPr>
          <w:p w14:paraId="604C45CC" w14:textId="77777777" w:rsidR="00AD1F54" w:rsidRPr="00264D5D" w:rsidRDefault="00BA58C1">
            <w:pPr>
              <w:pStyle w:val="GOSTTablenorm"/>
              <w:widowControl w:val="0"/>
            </w:pPr>
            <w:r w:rsidRPr="00264D5D">
              <w:t>Номер строки</w:t>
            </w:r>
          </w:p>
        </w:tc>
      </w:tr>
      <w:tr w:rsidR="00AD1F54" w:rsidRPr="00264D5D" w14:paraId="40FCB87E"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51366D40" w14:textId="77777777" w:rsidR="00AD1F54" w:rsidRPr="00264D5D" w:rsidRDefault="00941227">
            <w:pPr>
              <w:pStyle w:val="GOSTTablenorm"/>
              <w:widowControl w:val="0"/>
            </w:pPr>
            <w:r w:rsidRPr="00264D5D">
              <w:t>Суммы по КБК</w:t>
            </w:r>
          </w:p>
        </w:tc>
        <w:tc>
          <w:tcPr>
            <w:tcW w:w="1701" w:type="dxa"/>
          </w:tcPr>
          <w:p w14:paraId="300A1927" w14:textId="77777777" w:rsidR="00AD1F54" w:rsidRPr="00264D5D" w:rsidRDefault="00941227">
            <w:pPr>
              <w:pStyle w:val="GOSTTablenorm"/>
              <w:widowControl w:val="0"/>
            </w:pPr>
            <w:r w:rsidRPr="00264D5D">
              <w:t>MSC_KBKAmntBA</w:t>
            </w:r>
          </w:p>
        </w:tc>
        <w:tc>
          <w:tcPr>
            <w:tcW w:w="567" w:type="dxa"/>
          </w:tcPr>
          <w:p w14:paraId="0E73AC09" w14:textId="77777777" w:rsidR="00AD1F54" w:rsidRPr="00264D5D" w:rsidRDefault="00941227">
            <w:pPr>
              <w:pStyle w:val="GOSTTablenorm"/>
              <w:widowControl w:val="0"/>
              <w:jc w:val="center"/>
            </w:pPr>
            <w:r w:rsidRPr="00264D5D">
              <w:t>С</w:t>
            </w:r>
          </w:p>
        </w:tc>
        <w:tc>
          <w:tcPr>
            <w:tcW w:w="1134" w:type="dxa"/>
          </w:tcPr>
          <w:p w14:paraId="069B97F6" w14:textId="77777777" w:rsidR="00AD1F54" w:rsidRPr="00264D5D" w:rsidRDefault="00941227">
            <w:pPr>
              <w:pStyle w:val="GOSTTablenorm"/>
              <w:widowControl w:val="0"/>
            </w:pPr>
            <w:r w:rsidRPr="00264D5D">
              <w:t>tMSC_KBKAmount</w:t>
            </w:r>
          </w:p>
        </w:tc>
        <w:tc>
          <w:tcPr>
            <w:tcW w:w="567" w:type="dxa"/>
          </w:tcPr>
          <w:p w14:paraId="1A215ECF" w14:textId="77777777" w:rsidR="00AD1F54" w:rsidRPr="00264D5D" w:rsidRDefault="00941227">
            <w:pPr>
              <w:pStyle w:val="GOSTTablenorm"/>
              <w:widowControl w:val="0"/>
              <w:jc w:val="center"/>
            </w:pPr>
            <w:r w:rsidRPr="00264D5D">
              <w:t>О</w:t>
            </w:r>
          </w:p>
        </w:tc>
        <w:tc>
          <w:tcPr>
            <w:tcW w:w="3969" w:type="dxa"/>
          </w:tcPr>
          <w:p w14:paraId="0D3EE5A6" w14:textId="333BFD1C" w:rsidR="00AD1F54" w:rsidRPr="00264D5D" w:rsidRDefault="00941227">
            <w:pPr>
              <w:pStyle w:val="GOSTTablenorm"/>
              <w:widowControl w:val="0"/>
            </w:pPr>
            <w:r w:rsidRPr="00264D5D">
              <w:t xml:space="preserve">Состав элемента представлен в таблице </w:t>
            </w:r>
            <w:r w:rsidRPr="00264D5D">
              <w:rPr>
                <w:b/>
              </w:rPr>
              <w:fldChar w:fldCharType="begin"/>
            </w:r>
            <w:r w:rsidRPr="00264D5D">
              <w:rPr>
                <w:b/>
              </w:rPr>
              <w:instrText xml:space="preserve"> REF _Ref492311318 \h  \* MERGEFORMAT </w:instrText>
            </w:r>
            <w:r w:rsidRPr="00264D5D">
              <w:rPr>
                <w:b/>
              </w:rPr>
            </w:r>
            <w:r w:rsidRPr="00264D5D">
              <w:rPr>
                <w:b/>
              </w:rPr>
              <w:fldChar w:fldCharType="separate"/>
            </w:r>
            <w:r w:rsidR="008D797C" w:rsidRPr="008D797C">
              <w:rPr>
                <w:b/>
              </w:rPr>
              <w:t>40</w:t>
            </w:r>
            <w:r w:rsidRPr="00264D5D">
              <w:rPr>
                <w:b/>
              </w:rPr>
              <w:fldChar w:fldCharType="end"/>
            </w:r>
          </w:p>
        </w:tc>
      </w:tr>
      <w:tr w:rsidR="00AD1F54" w:rsidRPr="00264D5D" w14:paraId="055B426D"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A3E938A" w14:textId="77777777" w:rsidR="00AD1F54" w:rsidRPr="00264D5D" w:rsidRDefault="00941227">
            <w:pPr>
              <w:pStyle w:val="GOSTTablenorm"/>
              <w:widowControl w:val="0"/>
            </w:pPr>
            <w:r w:rsidRPr="00264D5D">
              <w:t>Примечание</w:t>
            </w:r>
          </w:p>
        </w:tc>
        <w:tc>
          <w:tcPr>
            <w:tcW w:w="1701" w:type="dxa"/>
          </w:tcPr>
          <w:p w14:paraId="0DAEDFD7" w14:textId="77777777" w:rsidR="00AD1F54" w:rsidRPr="00264D5D" w:rsidRDefault="00941227">
            <w:pPr>
              <w:pStyle w:val="GOSTTablenorm"/>
              <w:widowControl w:val="0"/>
            </w:pPr>
            <w:r w:rsidRPr="00264D5D">
              <w:t>NtBA</w:t>
            </w:r>
          </w:p>
        </w:tc>
        <w:tc>
          <w:tcPr>
            <w:tcW w:w="567" w:type="dxa"/>
          </w:tcPr>
          <w:p w14:paraId="08CDF242" w14:textId="77777777" w:rsidR="00AD1F54" w:rsidRPr="00264D5D" w:rsidRDefault="00941227">
            <w:pPr>
              <w:pStyle w:val="GOSTTablenorm"/>
              <w:widowControl w:val="0"/>
              <w:jc w:val="center"/>
            </w:pPr>
            <w:r w:rsidRPr="00264D5D">
              <w:t>П</w:t>
            </w:r>
          </w:p>
        </w:tc>
        <w:tc>
          <w:tcPr>
            <w:tcW w:w="1134" w:type="dxa"/>
          </w:tcPr>
          <w:p w14:paraId="5FD37576" w14:textId="77777777" w:rsidR="00AD1F54" w:rsidRPr="00264D5D" w:rsidRDefault="00941227">
            <w:pPr>
              <w:pStyle w:val="GOSTTablenorm"/>
              <w:widowControl w:val="0"/>
              <w:rPr>
                <w:lang w:val="en-US"/>
              </w:rPr>
            </w:pPr>
            <w:r w:rsidRPr="00264D5D">
              <w:rPr>
                <w:lang w:val="en-US"/>
              </w:rPr>
              <w:t>T(1-254)</w:t>
            </w:r>
          </w:p>
        </w:tc>
        <w:tc>
          <w:tcPr>
            <w:tcW w:w="567" w:type="dxa"/>
          </w:tcPr>
          <w:p w14:paraId="4E4E2581" w14:textId="77777777" w:rsidR="00AD1F54" w:rsidRPr="00264D5D" w:rsidRDefault="00941227">
            <w:pPr>
              <w:pStyle w:val="GOSTTablenorm"/>
              <w:widowControl w:val="0"/>
              <w:jc w:val="center"/>
            </w:pPr>
            <w:r w:rsidRPr="00264D5D">
              <w:t>Н</w:t>
            </w:r>
          </w:p>
        </w:tc>
        <w:tc>
          <w:tcPr>
            <w:tcW w:w="3969" w:type="dxa"/>
          </w:tcPr>
          <w:p w14:paraId="2701A673" w14:textId="77777777" w:rsidR="00AD1F54" w:rsidRPr="00264D5D" w:rsidRDefault="00BA58C1">
            <w:pPr>
              <w:pStyle w:val="GOSTTablenorm"/>
              <w:widowControl w:val="0"/>
            </w:pPr>
            <w:r w:rsidRPr="00264D5D">
              <w:t>Примечание</w:t>
            </w:r>
          </w:p>
        </w:tc>
      </w:tr>
    </w:tbl>
    <w:p w14:paraId="19100F5D" w14:textId="77777777" w:rsidR="00AD1F54" w:rsidRPr="00264D5D" w:rsidRDefault="00941227">
      <w:pPr>
        <w:pStyle w:val="31"/>
      </w:pPr>
      <w:bookmarkStart w:id="660" w:name="_Toc21014547"/>
      <w:r w:rsidRPr="00264D5D">
        <w:t xml:space="preserve"> </w:t>
      </w:r>
      <w:bookmarkStart w:id="661" w:name="_Toc219309474"/>
      <w:r w:rsidRPr="00264D5D">
        <w:t>Описание комплексного типа «tAPLBOSTR»</w:t>
      </w:r>
      <w:bookmarkEnd w:id="660"/>
      <w:bookmarkEnd w:id="661"/>
    </w:p>
    <w:p w14:paraId="182A2C5E" w14:textId="77777777" w:rsidR="00AD1F54" w:rsidRPr="00264D5D" w:rsidRDefault="00941227">
      <w:pPr>
        <w:pStyle w:val="GOSTNormal"/>
        <w:widowControl w:val="0"/>
      </w:pPr>
      <w:r w:rsidRPr="00264D5D">
        <w:t>Описание комплексного типа «tAPLBOSTR» блока «Лимиты бюджетных обязательств».</w:t>
      </w:r>
    </w:p>
    <w:p w14:paraId="24F4D3DD" w14:textId="023B479D" w:rsidR="00AD1F54" w:rsidRPr="00264D5D" w:rsidRDefault="00941227">
      <w:pPr>
        <w:pStyle w:val="GOSTNameTable"/>
        <w:widowControl w:val="0"/>
        <w:numPr>
          <w:ilvl w:val="0"/>
          <w:numId w:val="2"/>
        </w:numPr>
        <w:spacing w:before="60"/>
        <w:ind w:left="425" w:hanging="357"/>
      </w:pPr>
      <w:r w:rsidRPr="00264D5D">
        <w:fldChar w:fldCharType="begin"/>
      </w:r>
      <w:r w:rsidRPr="00264D5D">
        <w:instrText>SEQ Таблица \* ARABIC</w:instrText>
      </w:r>
      <w:r w:rsidRPr="00264D5D">
        <w:fldChar w:fldCharType="separate"/>
      </w:r>
      <w:bookmarkStart w:id="662" w:name="_Ref492311083"/>
      <w:bookmarkStart w:id="663" w:name="_Toc21014640"/>
      <w:bookmarkStart w:id="664" w:name="_Toc219309068"/>
      <w:r w:rsidR="008D797C">
        <w:rPr>
          <w:noProof/>
        </w:rPr>
        <w:t>38</w:t>
      </w:r>
      <w:bookmarkEnd w:id="662"/>
      <w:r w:rsidRPr="00264D5D">
        <w:fldChar w:fldCharType="end"/>
      </w:r>
      <w:r w:rsidRPr="00264D5D">
        <w:t xml:space="preserve"> – Описание </w:t>
      </w:r>
      <w:bookmarkEnd w:id="663"/>
      <w:r w:rsidRPr="00264D5D">
        <w:t>комплексного типа «tAPLBOSTR»</w:t>
      </w:r>
      <w:bookmarkEnd w:id="664"/>
    </w:p>
    <w:tbl>
      <w:tblPr>
        <w:tblStyle w:val="GOSTTable"/>
        <w:tblW w:w="5000" w:type="pct"/>
        <w:tblLayout w:type="fixed"/>
        <w:tblLook w:val="04A0" w:firstRow="1" w:lastRow="0" w:firstColumn="1" w:lastColumn="0" w:noHBand="0" w:noVBand="1"/>
      </w:tblPr>
      <w:tblGrid>
        <w:gridCol w:w="1707"/>
        <w:gridCol w:w="1702"/>
        <w:gridCol w:w="567"/>
        <w:gridCol w:w="1135"/>
        <w:gridCol w:w="567"/>
        <w:gridCol w:w="3972"/>
      </w:tblGrid>
      <w:tr w:rsidR="00AD1F54" w:rsidRPr="00264D5D" w14:paraId="173BBB54"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5" w:type="dxa"/>
          </w:tcPr>
          <w:p w14:paraId="5F708439" w14:textId="77777777" w:rsidR="00AD1F54" w:rsidRPr="00264D5D" w:rsidRDefault="00941227">
            <w:pPr>
              <w:pStyle w:val="GOSTTableHead"/>
              <w:keepNext w:val="0"/>
              <w:widowControl w:val="0"/>
            </w:pPr>
            <w:r w:rsidRPr="00264D5D">
              <w:rPr>
                <w:bCs w:val="0"/>
                <w:szCs w:val="22"/>
              </w:rPr>
              <w:t>Наименование комплексного типа</w:t>
            </w:r>
          </w:p>
        </w:tc>
        <w:tc>
          <w:tcPr>
            <w:tcW w:w="1701" w:type="dxa"/>
          </w:tcPr>
          <w:p w14:paraId="7A8D6EB9" w14:textId="77777777" w:rsidR="00AD1F54" w:rsidRPr="00264D5D" w:rsidRDefault="00941227">
            <w:pPr>
              <w:pStyle w:val="GOSTTableHead"/>
              <w:keepNext w:val="0"/>
              <w:widowControl w:val="0"/>
            </w:pPr>
            <w:r w:rsidRPr="00264D5D">
              <w:rPr>
                <w:bCs w:val="0"/>
                <w:szCs w:val="22"/>
              </w:rPr>
              <w:t>Текущий элемент/ атрибут</w:t>
            </w:r>
          </w:p>
        </w:tc>
        <w:tc>
          <w:tcPr>
            <w:tcW w:w="567" w:type="dxa"/>
          </w:tcPr>
          <w:p w14:paraId="1EDD9E41" w14:textId="77777777" w:rsidR="00AD1F54" w:rsidRPr="00264D5D" w:rsidRDefault="00941227">
            <w:pPr>
              <w:pStyle w:val="GOSTTableHead"/>
              <w:keepNext w:val="0"/>
              <w:widowControl w:val="0"/>
            </w:pPr>
            <w:r w:rsidRPr="00264D5D">
              <w:rPr>
                <w:bCs w:val="0"/>
                <w:szCs w:val="22"/>
              </w:rPr>
              <w:t>Тип</w:t>
            </w:r>
          </w:p>
        </w:tc>
        <w:tc>
          <w:tcPr>
            <w:tcW w:w="1134" w:type="dxa"/>
          </w:tcPr>
          <w:p w14:paraId="370CDE95" w14:textId="77777777" w:rsidR="00AD1F54" w:rsidRPr="00264D5D" w:rsidRDefault="00941227">
            <w:pPr>
              <w:pStyle w:val="GOSTTableHead"/>
              <w:keepNext w:val="0"/>
              <w:widowControl w:val="0"/>
            </w:pPr>
            <w:r w:rsidRPr="00264D5D">
              <w:rPr>
                <w:bCs w:val="0"/>
                <w:szCs w:val="22"/>
              </w:rPr>
              <w:t>Формат элемента</w:t>
            </w:r>
          </w:p>
        </w:tc>
        <w:tc>
          <w:tcPr>
            <w:tcW w:w="567" w:type="dxa"/>
          </w:tcPr>
          <w:p w14:paraId="03C3D219" w14:textId="77777777" w:rsidR="00AD1F54" w:rsidRPr="00264D5D" w:rsidRDefault="00941227">
            <w:pPr>
              <w:pStyle w:val="GOSTTableHead"/>
              <w:keepNext w:val="0"/>
              <w:widowControl w:val="0"/>
            </w:pPr>
            <w:r w:rsidRPr="00264D5D">
              <w:rPr>
                <w:bCs w:val="0"/>
                <w:szCs w:val="22"/>
              </w:rPr>
              <w:t>Обязательность</w:t>
            </w:r>
          </w:p>
        </w:tc>
        <w:tc>
          <w:tcPr>
            <w:tcW w:w="3969" w:type="dxa"/>
          </w:tcPr>
          <w:p w14:paraId="0A5FC601" w14:textId="77777777" w:rsidR="00AD1F54" w:rsidRPr="00264D5D" w:rsidRDefault="00941227">
            <w:pPr>
              <w:pStyle w:val="GOSTTableHead"/>
              <w:keepNext w:val="0"/>
              <w:widowControl w:val="0"/>
            </w:pPr>
            <w:r w:rsidRPr="00264D5D">
              <w:rPr>
                <w:bCs w:val="0"/>
                <w:szCs w:val="22"/>
              </w:rPr>
              <w:t>Дополнительная информация</w:t>
            </w:r>
          </w:p>
        </w:tc>
      </w:tr>
      <w:tr w:rsidR="00AD1F54" w:rsidRPr="00264D5D" w14:paraId="17C91D09" w14:textId="77777777" w:rsidTr="00AD1F54">
        <w:trPr>
          <w:cnfStyle w:val="000000100000" w:firstRow="0" w:lastRow="0" w:firstColumn="0" w:lastColumn="0" w:oddVBand="0" w:evenVBand="0" w:oddHBand="1" w:evenHBand="0" w:firstRowFirstColumn="0" w:firstRowLastColumn="0" w:lastRowFirstColumn="0" w:lastRowLastColumn="0"/>
        </w:trPr>
        <w:tc>
          <w:tcPr>
            <w:tcW w:w="1705" w:type="dxa"/>
          </w:tcPr>
          <w:p w14:paraId="698E4A5F" w14:textId="77777777" w:rsidR="00AD1F54" w:rsidRPr="00264D5D" w:rsidRDefault="00941227">
            <w:pPr>
              <w:pStyle w:val="GOSTTablenorm"/>
              <w:widowControl w:val="0"/>
            </w:pPr>
            <w:r w:rsidRPr="00264D5D">
              <w:t>tAPLBOSTR</w:t>
            </w:r>
          </w:p>
        </w:tc>
        <w:tc>
          <w:tcPr>
            <w:tcW w:w="1701" w:type="dxa"/>
          </w:tcPr>
          <w:p w14:paraId="12C81BF2" w14:textId="77777777" w:rsidR="00AD1F54" w:rsidRPr="00264D5D" w:rsidRDefault="00941227">
            <w:pPr>
              <w:pStyle w:val="GOSTTablenorm"/>
              <w:widowControl w:val="0"/>
            </w:pPr>
            <w:r w:rsidRPr="00264D5D">
              <w:t>APLBOSTR_ITEM</w:t>
            </w:r>
          </w:p>
        </w:tc>
        <w:tc>
          <w:tcPr>
            <w:tcW w:w="567" w:type="dxa"/>
          </w:tcPr>
          <w:p w14:paraId="21E4C8F1" w14:textId="77777777" w:rsidR="00AD1F54" w:rsidRPr="00264D5D" w:rsidRDefault="00941227">
            <w:pPr>
              <w:pStyle w:val="GOSTTablenorm"/>
              <w:widowControl w:val="0"/>
              <w:jc w:val="center"/>
            </w:pPr>
            <w:r w:rsidRPr="00264D5D">
              <w:t>С</w:t>
            </w:r>
          </w:p>
        </w:tc>
        <w:tc>
          <w:tcPr>
            <w:tcW w:w="1134" w:type="dxa"/>
          </w:tcPr>
          <w:p w14:paraId="60FD779A" w14:textId="77777777" w:rsidR="00AD1F54" w:rsidRPr="00264D5D" w:rsidRDefault="00941227">
            <w:pPr>
              <w:pStyle w:val="GOSTTablenorm"/>
              <w:widowControl w:val="0"/>
            </w:pPr>
            <w:r w:rsidRPr="00264D5D">
              <w:t>tAPLBOSTR_ITEM</w:t>
            </w:r>
          </w:p>
        </w:tc>
        <w:tc>
          <w:tcPr>
            <w:tcW w:w="567" w:type="dxa"/>
          </w:tcPr>
          <w:p w14:paraId="76E235AB" w14:textId="77777777" w:rsidR="00AD1F54" w:rsidRPr="00264D5D" w:rsidRDefault="00941227">
            <w:pPr>
              <w:pStyle w:val="GOSTTablenorm"/>
              <w:widowControl w:val="0"/>
              <w:jc w:val="center"/>
            </w:pPr>
            <w:r w:rsidRPr="00264D5D">
              <w:t>НМ</w:t>
            </w:r>
          </w:p>
        </w:tc>
        <w:tc>
          <w:tcPr>
            <w:tcW w:w="3969" w:type="dxa"/>
          </w:tcPr>
          <w:p w14:paraId="5F31E272" w14:textId="757E25CB" w:rsidR="00AD1F54" w:rsidRPr="00264D5D" w:rsidRDefault="00941227">
            <w:pPr>
              <w:pStyle w:val="GOSTTablenorm"/>
              <w:widowControl w:val="0"/>
            </w:pPr>
            <w:r w:rsidRPr="00264D5D">
              <w:t xml:space="preserve">Состав элемента представлен в таблице </w:t>
            </w:r>
            <w:r w:rsidRPr="00264D5D">
              <w:rPr>
                <w:b/>
              </w:rPr>
              <w:fldChar w:fldCharType="begin"/>
            </w:r>
            <w:r w:rsidRPr="00264D5D">
              <w:rPr>
                <w:b/>
              </w:rPr>
              <w:instrText xml:space="preserve"> REF _Ref492311371 \h  \* MERGEFORMAT </w:instrText>
            </w:r>
            <w:r w:rsidRPr="00264D5D">
              <w:rPr>
                <w:b/>
              </w:rPr>
            </w:r>
            <w:r w:rsidRPr="00264D5D">
              <w:rPr>
                <w:b/>
              </w:rPr>
              <w:fldChar w:fldCharType="separate"/>
            </w:r>
            <w:r w:rsidR="008D797C" w:rsidRPr="008D797C">
              <w:rPr>
                <w:b/>
              </w:rPr>
              <w:t>39</w:t>
            </w:r>
            <w:r w:rsidRPr="00264D5D">
              <w:rPr>
                <w:b/>
              </w:rPr>
              <w:fldChar w:fldCharType="end"/>
            </w:r>
          </w:p>
        </w:tc>
      </w:tr>
    </w:tbl>
    <w:p w14:paraId="196BB225" w14:textId="77777777" w:rsidR="00AD1F54" w:rsidRPr="00264D5D" w:rsidRDefault="00941227">
      <w:pPr>
        <w:pStyle w:val="31"/>
      </w:pPr>
      <w:bookmarkStart w:id="665" w:name="_Toc21014548"/>
      <w:r w:rsidRPr="00264D5D">
        <w:t xml:space="preserve"> </w:t>
      </w:r>
      <w:bookmarkStart w:id="666" w:name="_Toc219309475"/>
      <w:r w:rsidRPr="00264D5D">
        <w:t>Описание комплексного типа «tAPLBOSTR_ITEM»</w:t>
      </w:r>
      <w:bookmarkEnd w:id="665"/>
      <w:bookmarkEnd w:id="666"/>
    </w:p>
    <w:p w14:paraId="539E010B" w14:textId="77777777" w:rsidR="00AD1F54" w:rsidRPr="00264D5D" w:rsidRDefault="00941227">
      <w:pPr>
        <w:pStyle w:val="GOSTNormal"/>
        <w:widowControl w:val="0"/>
      </w:pPr>
      <w:r w:rsidRPr="00264D5D">
        <w:t>Описание комплексного типа «tAPLBOSTR_ITEM» блока «Лимиты бюджетных обязательств (строки)».</w:t>
      </w:r>
    </w:p>
    <w:p w14:paraId="6F9AE766" w14:textId="30B1E34A" w:rsidR="00AD1F54" w:rsidRPr="00264D5D" w:rsidRDefault="00941227">
      <w:pPr>
        <w:pStyle w:val="GOSTNameTable"/>
        <w:widowControl w:val="0"/>
        <w:numPr>
          <w:ilvl w:val="0"/>
          <w:numId w:val="2"/>
        </w:numPr>
        <w:spacing w:before="60"/>
        <w:ind w:left="425" w:hanging="357"/>
      </w:pPr>
      <w:r w:rsidRPr="00264D5D">
        <w:fldChar w:fldCharType="begin"/>
      </w:r>
      <w:r w:rsidRPr="00264D5D">
        <w:instrText>SEQ Таблица \* ARABIC</w:instrText>
      </w:r>
      <w:r w:rsidRPr="00264D5D">
        <w:fldChar w:fldCharType="separate"/>
      </w:r>
      <w:bookmarkStart w:id="667" w:name="_Ref492311371"/>
      <w:bookmarkStart w:id="668" w:name="_Toc21014641"/>
      <w:bookmarkStart w:id="669" w:name="_Toc219309069"/>
      <w:r w:rsidR="008D797C">
        <w:rPr>
          <w:noProof/>
        </w:rPr>
        <w:t>39</w:t>
      </w:r>
      <w:bookmarkEnd w:id="667"/>
      <w:r w:rsidRPr="00264D5D">
        <w:fldChar w:fldCharType="end"/>
      </w:r>
      <w:r w:rsidRPr="00264D5D">
        <w:t xml:space="preserve"> – Описание </w:t>
      </w:r>
      <w:bookmarkEnd w:id="668"/>
      <w:r w:rsidRPr="00264D5D">
        <w:t>комплексного типа «tAPLBOSTR_ITEM»</w:t>
      </w:r>
      <w:bookmarkEnd w:id="669"/>
    </w:p>
    <w:tbl>
      <w:tblPr>
        <w:tblStyle w:val="GOSTTable"/>
        <w:tblW w:w="5000" w:type="pct"/>
        <w:tblLayout w:type="fixed"/>
        <w:tblLook w:val="04A0" w:firstRow="1" w:lastRow="0" w:firstColumn="1" w:lastColumn="0" w:noHBand="0" w:noVBand="1"/>
      </w:tblPr>
      <w:tblGrid>
        <w:gridCol w:w="1706"/>
        <w:gridCol w:w="1701"/>
        <w:gridCol w:w="567"/>
        <w:gridCol w:w="1135"/>
        <w:gridCol w:w="567"/>
        <w:gridCol w:w="3974"/>
      </w:tblGrid>
      <w:tr w:rsidR="00AD1F54" w:rsidRPr="00264D5D" w14:paraId="236B766F"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4" w:type="dxa"/>
          </w:tcPr>
          <w:p w14:paraId="24AC1D2E" w14:textId="77777777" w:rsidR="00AD1F54" w:rsidRPr="00264D5D" w:rsidRDefault="00941227">
            <w:pPr>
              <w:pStyle w:val="GOSTTableHead"/>
              <w:keepNext w:val="0"/>
              <w:widowControl w:val="0"/>
            </w:pPr>
            <w:r w:rsidRPr="00264D5D">
              <w:rPr>
                <w:szCs w:val="22"/>
              </w:rPr>
              <w:t>Наименование элемента</w:t>
            </w:r>
          </w:p>
        </w:tc>
        <w:tc>
          <w:tcPr>
            <w:tcW w:w="1699" w:type="dxa"/>
          </w:tcPr>
          <w:p w14:paraId="79E8418D" w14:textId="77777777" w:rsidR="00AD1F54" w:rsidRPr="00264D5D" w:rsidRDefault="00941227">
            <w:pPr>
              <w:pStyle w:val="GOSTTableHead"/>
              <w:keepNext w:val="0"/>
              <w:widowControl w:val="0"/>
            </w:pPr>
            <w:r w:rsidRPr="00264D5D">
              <w:rPr>
                <w:szCs w:val="22"/>
              </w:rPr>
              <w:t>Сокращенное наименование (код) элемента</w:t>
            </w:r>
          </w:p>
        </w:tc>
        <w:tc>
          <w:tcPr>
            <w:tcW w:w="566" w:type="dxa"/>
          </w:tcPr>
          <w:p w14:paraId="5E27C83D" w14:textId="77777777" w:rsidR="00AD1F54" w:rsidRPr="00264D5D" w:rsidRDefault="00941227">
            <w:pPr>
              <w:pStyle w:val="GOSTTableHead"/>
              <w:keepNext w:val="0"/>
              <w:widowControl w:val="0"/>
            </w:pPr>
            <w:r w:rsidRPr="00264D5D">
              <w:rPr>
                <w:szCs w:val="22"/>
              </w:rPr>
              <w:t>Тип</w:t>
            </w:r>
          </w:p>
        </w:tc>
        <w:tc>
          <w:tcPr>
            <w:tcW w:w="1133" w:type="dxa"/>
          </w:tcPr>
          <w:p w14:paraId="3739BC7B" w14:textId="77777777" w:rsidR="00AD1F54" w:rsidRPr="00264D5D" w:rsidRDefault="00941227">
            <w:pPr>
              <w:pStyle w:val="GOSTTableHead"/>
              <w:keepNext w:val="0"/>
              <w:widowControl w:val="0"/>
            </w:pPr>
            <w:r w:rsidRPr="00264D5D">
              <w:rPr>
                <w:szCs w:val="22"/>
              </w:rPr>
              <w:t>Формат элемента</w:t>
            </w:r>
          </w:p>
        </w:tc>
        <w:tc>
          <w:tcPr>
            <w:tcW w:w="566" w:type="dxa"/>
          </w:tcPr>
          <w:p w14:paraId="3D0078E0" w14:textId="77777777" w:rsidR="00AD1F54" w:rsidRPr="00264D5D" w:rsidRDefault="00941227">
            <w:pPr>
              <w:pStyle w:val="GOSTTableHead"/>
              <w:keepNext w:val="0"/>
              <w:widowControl w:val="0"/>
            </w:pPr>
            <w:r w:rsidRPr="00264D5D">
              <w:rPr>
                <w:szCs w:val="22"/>
              </w:rPr>
              <w:t>Обязательность</w:t>
            </w:r>
          </w:p>
        </w:tc>
        <w:tc>
          <w:tcPr>
            <w:tcW w:w="3969" w:type="dxa"/>
          </w:tcPr>
          <w:p w14:paraId="5629FA12" w14:textId="77777777" w:rsidR="00AD1F54" w:rsidRPr="00264D5D" w:rsidRDefault="00941227">
            <w:pPr>
              <w:pStyle w:val="GOSTTableHead"/>
              <w:keepNext w:val="0"/>
              <w:widowControl w:val="0"/>
            </w:pPr>
            <w:r w:rsidRPr="00264D5D">
              <w:rPr>
                <w:szCs w:val="22"/>
              </w:rPr>
              <w:t>Дополнительная информация</w:t>
            </w:r>
          </w:p>
        </w:tc>
      </w:tr>
      <w:tr w:rsidR="00AD1F54" w:rsidRPr="00264D5D" w14:paraId="4C94ADB2" w14:textId="77777777" w:rsidTr="00AD1F54">
        <w:trPr>
          <w:cnfStyle w:val="000000100000" w:firstRow="0" w:lastRow="0" w:firstColumn="0" w:lastColumn="0" w:oddVBand="0" w:evenVBand="0" w:oddHBand="1" w:evenHBand="0" w:firstRowFirstColumn="0" w:firstRowLastColumn="0" w:lastRowFirstColumn="0" w:lastRowLastColumn="0"/>
        </w:trPr>
        <w:tc>
          <w:tcPr>
            <w:tcW w:w="1704" w:type="dxa"/>
          </w:tcPr>
          <w:p w14:paraId="6CAB3765" w14:textId="77777777" w:rsidR="00AD1F54" w:rsidRPr="00264D5D" w:rsidRDefault="00941227">
            <w:pPr>
              <w:pStyle w:val="GOSTTablenorm"/>
              <w:widowControl w:val="0"/>
            </w:pPr>
            <w:r w:rsidRPr="00264D5D">
              <w:t>Номер строки</w:t>
            </w:r>
          </w:p>
        </w:tc>
        <w:tc>
          <w:tcPr>
            <w:tcW w:w="1699" w:type="dxa"/>
          </w:tcPr>
          <w:p w14:paraId="7F790AEF" w14:textId="77777777" w:rsidR="00AD1F54" w:rsidRPr="00264D5D" w:rsidRDefault="00941227">
            <w:pPr>
              <w:pStyle w:val="GOSTTablenorm"/>
              <w:widowControl w:val="0"/>
            </w:pPr>
            <w:r w:rsidRPr="00264D5D">
              <w:t>NmbRw</w:t>
            </w:r>
          </w:p>
        </w:tc>
        <w:tc>
          <w:tcPr>
            <w:tcW w:w="566" w:type="dxa"/>
          </w:tcPr>
          <w:p w14:paraId="61A56CBB" w14:textId="77777777" w:rsidR="00AD1F54" w:rsidRPr="00264D5D" w:rsidRDefault="00941227">
            <w:pPr>
              <w:pStyle w:val="GOSTTablenorm"/>
              <w:widowControl w:val="0"/>
              <w:jc w:val="center"/>
            </w:pPr>
            <w:r w:rsidRPr="00264D5D">
              <w:t>П</w:t>
            </w:r>
          </w:p>
        </w:tc>
        <w:tc>
          <w:tcPr>
            <w:tcW w:w="1133" w:type="dxa"/>
          </w:tcPr>
          <w:p w14:paraId="22493028" w14:textId="77777777" w:rsidR="00AD1F54" w:rsidRPr="00264D5D" w:rsidRDefault="00941227">
            <w:pPr>
              <w:pStyle w:val="GOSTTablenorm"/>
              <w:widowControl w:val="0"/>
            </w:pPr>
            <w:r w:rsidRPr="00264D5D">
              <w:rPr>
                <w:lang w:val="en-US"/>
              </w:rPr>
              <w:t>T(1-25)</w:t>
            </w:r>
          </w:p>
        </w:tc>
        <w:tc>
          <w:tcPr>
            <w:tcW w:w="566" w:type="dxa"/>
          </w:tcPr>
          <w:p w14:paraId="6CC9296C" w14:textId="77777777" w:rsidR="00AD1F54" w:rsidRPr="00264D5D" w:rsidRDefault="00941227">
            <w:pPr>
              <w:pStyle w:val="GOSTTablenorm"/>
              <w:widowControl w:val="0"/>
              <w:jc w:val="center"/>
            </w:pPr>
            <w:r w:rsidRPr="00264D5D">
              <w:t>О</w:t>
            </w:r>
          </w:p>
        </w:tc>
        <w:tc>
          <w:tcPr>
            <w:tcW w:w="3969" w:type="dxa"/>
          </w:tcPr>
          <w:p w14:paraId="7C470B97" w14:textId="77777777" w:rsidR="00AD1F54" w:rsidRPr="00264D5D" w:rsidRDefault="00BA58C1">
            <w:pPr>
              <w:pStyle w:val="GOSTTablenorm"/>
              <w:widowControl w:val="0"/>
            </w:pPr>
            <w:r w:rsidRPr="00264D5D">
              <w:t>Номер строки</w:t>
            </w:r>
          </w:p>
        </w:tc>
      </w:tr>
      <w:tr w:rsidR="00AD1F54" w:rsidRPr="00264D5D" w14:paraId="463F9FCC" w14:textId="77777777" w:rsidTr="00AD1F54">
        <w:trPr>
          <w:cnfStyle w:val="000000010000" w:firstRow="0" w:lastRow="0" w:firstColumn="0" w:lastColumn="0" w:oddVBand="0" w:evenVBand="0" w:oddHBand="0" w:evenHBand="1" w:firstRowFirstColumn="0" w:firstRowLastColumn="0" w:lastRowFirstColumn="0" w:lastRowLastColumn="0"/>
        </w:trPr>
        <w:tc>
          <w:tcPr>
            <w:tcW w:w="1704" w:type="dxa"/>
          </w:tcPr>
          <w:p w14:paraId="7ED859A8" w14:textId="77777777" w:rsidR="00AD1F54" w:rsidRPr="00264D5D" w:rsidRDefault="00941227">
            <w:pPr>
              <w:pStyle w:val="GOSTTablenorm"/>
              <w:widowControl w:val="0"/>
            </w:pPr>
            <w:r w:rsidRPr="00264D5D">
              <w:t>Суммы по КБК</w:t>
            </w:r>
          </w:p>
        </w:tc>
        <w:tc>
          <w:tcPr>
            <w:tcW w:w="1699" w:type="dxa"/>
          </w:tcPr>
          <w:p w14:paraId="4CF4739F" w14:textId="77777777" w:rsidR="00AD1F54" w:rsidRPr="00264D5D" w:rsidRDefault="00941227">
            <w:pPr>
              <w:pStyle w:val="GOSTTablenorm"/>
              <w:widowControl w:val="0"/>
            </w:pPr>
            <w:r w:rsidRPr="00264D5D">
              <w:t>MSC_KBKAmntLBO</w:t>
            </w:r>
          </w:p>
        </w:tc>
        <w:tc>
          <w:tcPr>
            <w:tcW w:w="566" w:type="dxa"/>
          </w:tcPr>
          <w:p w14:paraId="590482B0" w14:textId="77777777" w:rsidR="00AD1F54" w:rsidRPr="00264D5D" w:rsidRDefault="00941227">
            <w:pPr>
              <w:pStyle w:val="GOSTTablenorm"/>
              <w:widowControl w:val="0"/>
              <w:jc w:val="center"/>
            </w:pPr>
            <w:r w:rsidRPr="00264D5D">
              <w:t>С</w:t>
            </w:r>
          </w:p>
        </w:tc>
        <w:tc>
          <w:tcPr>
            <w:tcW w:w="1133" w:type="dxa"/>
          </w:tcPr>
          <w:p w14:paraId="1D16714E" w14:textId="77777777" w:rsidR="00AD1F54" w:rsidRPr="00264D5D" w:rsidRDefault="00941227">
            <w:pPr>
              <w:pStyle w:val="GOSTTablenorm"/>
              <w:widowControl w:val="0"/>
              <w:rPr>
                <w:lang w:val="en-US"/>
              </w:rPr>
            </w:pPr>
            <w:r w:rsidRPr="00264D5D">
              <w:t>tMSC_KBKAmount</w:t>
            </w:r>
          </w:p>
        </w:tc>
        <w:tc>
          <w:tcPr>
            <w:tcW w:w="566" w:type="dxa"/>
          </w:tcPr>
          <w:p w14:paraId="01058F3D" w14:textId="77777777" w:rsidR="00AD1F54" w:rsidRPr="00264D5D" w:rsidRDefault="00941227">
            <w:pPr>
              <w:pStyle w:val="GOSTTablenorm"/>
              <w:widowControl w:val="0"/>
              <w:jc w:val="center"/>
            </w:pPr>
            <w:r w:rsidRPr="00264D5D">
              <w:t>О</w:t>
            </w:r>
          </w:p>
        </w:tc>
        <w:tc>
          <w:tcPr>
            <w:tcW w:w="3969" w:type="dxa"/>
          </w:tcPr>
          <w:p w14:paraId="4D54B8BA" w14:textId="35A390A6" w:rsidR="00AD1F54" w:rsidRPr="00264D5D" w:rsidRDefault="00941227">
            <w:pPr>
              <w:pStyle w:val="GOSTTablenorm"/>
              <w:widowControl w:val="0"/>
            </w:pPr>
            <w:r w:rsidRPr="00264D5D">
              <w:t xml:space="preserve">Состав элемента представлен в таблице </w:t>
            </w:r>
            <w:r w:rsidRPr="00264D5D">
              <w:rPr>
                <w:b/>
              </w:rPr>
              <w:fldChar w:fldCharType="begin"/>
            </w:r>
            <w:r w:rsidRPr="00264D5D">
              <w:rPr>
                <w:b/>
              </w:rPr>
              <w:instrText xml:space="preserve"> REF _Ref492311318 \h  \* MERGEFORMAT </w:instrText>
            </w:r>
            <w:r w:rsidRPr="00264D5D">
              <w:rPr>
                <w:b/>
              </w:rPr>
            </w:r>
            <w:r w:rsidRPr="00264D5D">
              <w:rPr>
                <w:b/>
              </w:rPr>
              <w:fldChar w:fldCharType="separate"/>
            </w:r>
            <w:r w:rsidR="008D797C" w:rsidRPr="008D797C">
              <w:rPr>
                <w:b/>
              </w:rPr>
              <w:t>40</w:t>
            </w:r>
            <w:r w:rsidRPr="00264D5D">
              <w:rPr>
                <w:b/>
              </w:rPr>
              <w:fldChar w:fldCharType="end"/>
            </w:r>
          </w:p>
        </w:tc>
      </w:tr>
      <w:tr w:rsidR="00AD1F54" w:rsidRPr="00264D5D" w14:paraId="254181F4" w14:textId="77777777" w:rsidTr="00AD1F54">
        <w:trPr>
          <w:cnfStyle w:val="000000100000" w:firstRow="0" w:lastRow="0" w:firstColumn="0" w:lastColumn="0" w:oddVBand="0" w:evenVBand="0" w:oddHBand="1" w:evenHBand="0" w:firstRowFirstColumn="0" w:firstRowLastColumn="0" w:lastRowFirstColumn="0" w:lastRowLastColumn="0"/>
        </w:trPr>
        <w:tc>
          <w:tcPr>
            <w:tcW w:w="1704" w:type="dxa"/>
          </w:tcPr>
          <w:p w14:paraId="11E22D74" w14:textId="77777777" w:rsidR="00AD1F54" w:rsidRPr="00264D5D" w:rsidRDefault="00941227">
            <w:pPr>
              <w:pStyle w:val="GOSTTablenorm"/>
              <w:widowControl w:val="0"/>
            </w:pPr>
            <w:r w:rsidRPr="00264D5D">
              <w:t>Код ОКВ</w:t>
            </w:r>
          </w:p>
        </w:tc>
        <w:tc>
          <w:tcPr>
            <w:tcW w:w="1699" w:type="dxa"/>
          </w:tcPr>
          <w:p w14:paraId="2CF6748A" w14:textId="77777777" w:rsidR="00AD1F54" w:rsidRPr="00264D5D" w:rsidRDefault="00941227">
            <w:pPr>
              <w:pStyle w:val="GOSTTablenorm"/>
              <w:widowControl w:val="0"/>
            </w:pPr>
            <w:r w:rsidRPr="00264D5D">
              <w:t>FAIPCODE</w:t>
            </w:r>
          </w:p>
          <w:p w14:paraId="05E18ADB" w14:textId="77777777" w:rsidR="00AD1F54" w:rsidRPr="00264D5D" w:rsidRDefault="00AD1F54">
            <w:pPr>
              <w:pStyle w:val="GOSTTablenorm"/>
              <w:widowControl w:val="0"/>
            </w:pPr>
          </w:p>
        </w:tc>
        <w:tc>
          <w:tcPr>
            <w:tcW w:w="566" w:type="dxa"/>
          </w:tcPr>
          <w:p w14:paraId="3898BA4B" w14:textId="77777777" w:rsidR="00AD1F54" w:rsidRPr="00264D5D" w:rsidRDefault="00941227">
            <w:pPr>
              <w:pStyle w:val="GOSTTablenorm"/>
              <w:widowControl w:val="0"/>
              <w:jc w:val="center"/>
            </w:pPr>
            <w:r w:rsidRPr="00264D5D">
              <w:t>П</w:t>
            </w:r>
          </w:p>
        </w:tc>
        <w:tc>
          <w:tcPr>
            <w:tcW w:w="1133" w:type="dxa"/>
          </w:tcPr>
          <w:p w14:paraId="562F94B4" w14:textId="77777777" w:rsidR="00AD1F54" w:rsidRPr="00264D5D" w:rsidRDefault="00941227">
            <w:pPr>
              <w:pStyle w:val="GOSTTablenorm"/>
              <w:widowControl w:val="0"/>
            </w:pPr>
            <w:r w:rsidRPr="00264D5D">
              <w:rPr>
                <w:lang w:val="en-US"/>
              </w:rPr>
              <w:t>T(1-24)</w:t>
            </w:r>
          </w:p>
        </w:tc>
        <w:tc>
          <w:tcPr>
            <w:tcW w:w="566" w:type="dxa"/>
          </w:tcPr>
          <w:p w14:paraId="7A68A5D6" w14:textId="77777777" w:rsidR="00AD1F54" w:rsidRPr="00264D5D" w:rsidRDefault="00941227">
            <w:pPr>
              <w:pStyle w:val="GOSTTablenorm"/>
              <w:widowControl w:val="0"/>
              <w:jc w:val="center"/>
            </w:pPr>
            <w:r w:rsidRPr="00264D5D">
              <w:t>Н</w:t>
            </w:r>
          </w:p>
        </w:tc>
        <w:tc>
          <w:tcPr>
            <w:tcW w:w="3969" w:type="dxa"/>
          </w:tcPr>
          <w:p w14:paraId="1BAF0AE4" w14:textId="77777777" w:rsidR="00AD1F54" w:rsidRPr="00264D5D" w:rsidRDefault="00941227">
            <w:pPr>
              <w:pStyle w:val="GOSTTablenorm"/>
              <w:widowControl w:val="0"/>
            </w:pPr>
            <w:r w:rsidRPr="00264D5D">
              <w:t>Может указываться уникальный код объекта капитального строительства или об</w:t>
            </w:r>
            <w:r w:rsidR="00BA58C1" w:rsidRPr="00264D5D">
              <w:t>ъекта недвижимости</w:t>
            </w:r>
          </w:p>
        </w:tc>
      </w:tr>
      <w:tr w:rsidR="00AD1F54" w:rsidRPr="00264D5D" w14:paraId="2589EBE0" w14:textId="77777777" w:rsidTr="00AD1F54">
        <w:trPr>
          <w:cnfStyle w:val="000000010000" w:firstRow="0" w:lastRow="0" w:firstColumn="0" w:lastColumn="0" w:oddVBand="0" w:evenVBand="0" w:oddHBand="0" w:evenHBand="1" w:firstRowFirstColumn="0" w:firstRowLastColumn="0" w:lastRowFirstColumn="0" w:lastRowLastColumn="0"/>
        </w:trPr>
        <w:tc>
          <w:tcPr>
            <w:tcW w:w="1704" w:type="dxa"/>
          </w:tcPr>
          <w:p w14:paraId="5D233F29" w14:textId="77777777" w:rsidR="00AD1F54" w:rsidRPr="00264D5D" w:rsidRDefault="00941227">
            <w:pPr>
              <w:pStyle w:val="GOSTTablenorm"/>
              <w:widowControl w:val="0"/>
            </w:pPr>
            <w:r w:rsidRPr="00264D5D">
              <w:t>Примечание</w:t>
            </w:r>
          </w:p>
        </w:tc>
        <w:tc>
          <w:tcPr>
            <w:tcW w:w="1699" w:type="dxa"/>
          </w:tcPr>
          <w:p w14:paraId="2C3AF9B6" w14:textId="77777777" w:rsidR="00AD1F54" w:rsidRPr="00264D5D" w:rsidRDefault="00941227">
            <w:pPr>
              <w:pStyle w:val="GOSTTablenorm"/>
              <w:widowControl w:val="0"/>
            </w:pPr>
            <w:r w:rsidRPr="00264D5D">
              <w:t>NtLBO</w:t>
            </w:r>
          </w:p>
        </w:tc>
        <w:tc>
          <w:tcPr>
            <w:tcW w:w="566" w:type="dxa"/>
          </w:tcPr>
          <w:p w14:paraId="6D8A9195" w14:textId="77777777" w:rsidR="00AD1F54" w:rsidRPr="00264D5D" w:rsidRDefault="00941227">
            <w:pPr>
              <w:pStyle w:val="GOSTTablenorm"/>
              <w:widowControl w:val="0"/>
              <w:jc w:val="center"/>
            </w:pPr>
            <w:r w:rsidRPr="00264D5D">
              <w:t>П</w:t>
            </w:r>
          </w:p>
        </w:tc>
        <w:tc>
          <w:tcPr>
            <w:tcW w:w="1133" w:type="dxa"/>
          </w:tcPr>
          <w:p w14:paraId="77FFF27E" w14:textId="77777777" w:rsidR="00AD1F54" w:rsidRPr="00264D5D" w:rsidRDefault="00941227">
            <w:pPr>
              <w:pStyle w:val="GOSTTablenorm"/>
              <w:widowControl w:val="0"/>
            </w:pPr>
            <w:r w:rsidRPr="00264D5D">
              <w:rPr>
                <w:lang w:val="en-US"/>
              </w:rPr>
              <w:t>T(1-254)</w:t>
            </w:r>
          </w:p>
        </w:tc>
        <w:tc>
          <w:tcPr>
            <w:tcW w:w="566" w:type="dxa"/>
          </w:tcPr>
          <w:p w14:paraId="3106C53C" w14:textId="77777777" w:rsidR="00AD1F54" w:rsidRPr="00264D5D" w:rsidRDefault="00941227">
            <w:pPr>
              <w:pStyle w:val="GOSTTablenorm"/>
              <w:widowControl w:val="0"/>
              <w:jc w:val="center"/>
            </w:pPr>
            <w:r w:rsidRPr="00264D5D">
              <w:t>Н</w:t>
            </w:r>
          </w:p>
        </w:tc>
        <w:tc>
          <w:tcPr>
            <w:tcW w:w="3969" w:type="dxa"/>
          </w:tcPr>
          <w:p w14:paraId="6BC95334" w14:textId="77777777" w:rsidR="00AD1F54" w:rsidRPr="00264D5D" w:rsidRDefault="00BA58C1">
            <w:pPr>
              <w:pStyle w:val="GOSTTablenorm"/>
              <w:widowControl w:val="0"/>
            </w:pPr>
            <w:r w:rsidRPr="00264D5D">
              <w:t>Примечание</w:t>
            </w:r>
          </w:p>
        </w:tc>
      </w:tr>
    </w:tbl>
    <w:p w14:paraId="372ABF20" w14:textId="77777777" w:rsidR="00AD1F54" w:rsidRPr="00264D5D" w:rsidRDefault="00941227">
      <w:pPr>
        <w:pStyle w:val="31"/>
      </w:pPr>
      <w:bookmarkStart w:id="670" w:name="_Toc21014549"/>
      <w:r w:rsidRPr="00264D5D">
        <w:lastRenderedPageBreak/>
        <w:t xml:space="preserve"> </w:t>
      </w:r>
      <w:bookmarkStart w:id="671" w:name="_Toc219309476"/>
      <w:r w:rsidRPr="00264D5D">
        <w:t>Описание комплексного типа «tMSC_KBKAmount»</w:t>
      </w:r>
      <w:bookmarkEnd w:id="670"/>
      <w:bookmarkEnd w:id="671"/>
    </w:p>
    <w:p w14:paraId="7DF304CA" w14:textId="77777777" w:rsidR="00AD1F54" w:rsidRPr="00264D5D" w:rsidRDefault="00941227">
      <w:pPr>
        <w:pStyle w:val="GOSTNormal"/>
        <w:widowControl w:val="0"/>
      </w:pPr>
      <w:r w:rsidRPr="00264D5D">
        <w:t>Описание комплексного типа «tMSC_KBKAmount» блока «Суммы по КБК».</w:t>
      </w:r>
    </w:p>
    <w:p w14:paraId="6F0BB53D" w14:textId="7A8A4D58" w:rsidR="00AD1F54" w:rsidRPr="00264D5D" w:rsidRDefault="00941227">
      <w:pPr>
        <w:pStyle w:val="GOSTNameTable"/>
        <w:widowControl w:val="0"/>
        <w:numPr>
          <w:ilvl w:val="0"/>
          <w:numId w:val="2"/>
        </w:numPr>
        <w:spacing w:before="60"/>
        <w:ind w:left="425" w:hanging="357"/>
      </w:pPr>
      <w:r w:rsidRPr="00264D5D">
        <w:fldChar w:fldCharType="begin"/>
      </w:r>
      <w:r w:rsidRPr="00264D5D">
        <w:instrText>SEQ Таблица \* ARABIC</w:instrText>
      </w:r>
      <w:r w:rsidRPr="00264D5D">
        <w:fldChar w:fldCharType="separate"/>
      </w:r>
      <w:bookmarkStart w:id="672" w:name="_Ref492311318"/>
      <w:bookmarkStart w:id="673" w:name="_Toc21014642"/>
      <w:bookmarkStart w:id="674" w:name="_Toc219309070"/>
      <w:r w:rsidR="008D797C">
        <w:rPr>
          <w:noProof/>
        </w:rPr>
        <w:t>40</w:t>
      </w:r>
      <w:bookmarkEnd w:id="672"/>
      <w:r w:rsidRPr="00264D5D">
        <w:fldChar w:fldCharType="end"/>
      </w:r>
      <w:r w:rsidRPr="00264D5D">
        <w:t xml:space="preserve"> – Описание </w:t>
      </w:r>
      <w:bookmarkEnd w:id="673"/>
      <w:r w:rsidRPr="00264D5D">
        <w:t>комплексного типа «tMSC_KBKAmount»</w:t>
      </w:r>
      <w:bookmarkEnd w:id="674"/>
    </w:p>
    <w:tbl>
      <w:tblPr>
        <w:tblStyle w:val="GOSTTable"/>
        <w:tblW w:w="5000" w:type="pct"/>
        <w:tblLayout w:type="fixed"/>
        <w:tblLook w:val="04A0" w:firstRow="1" w:lastRow="0" w:firstColumn="1" w:lastColumn="0" w:noHBand="0" w:noVBand="1"/>
      </w:tblPr>
      <w:tblGrid>
        <w:gridCol w:w="1702"/>
        <w:gridCol w:w="1703"/>
        <w:gridCol w:w="568"/>
        <w:gridCol w:w="1135"/>
        <w:gridCol w:w="568"/>
        <w:gridCol w:w="3974"/>
      </w:tblGrid>
      <w:tr w:rsidR="00AD1F54" w:rsidRPr="00264D5D" w14:paraId="271F45FA"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2F34C8BE" w14:textId="77777777" w:rsidR="00AD1F54" w:rsidRPr="00264D5D" w:rsidRDefault="00941227">
            <w:pPr>
              <w:pStyle w:val="GOSTTableHead"/>
              <w:keepNext w:val="0"/>
              <w:widowControl w:val="0"/>
            </w:pPr>
            <w:r w:rsidRPr="00264D5D">
              <w:rPr>
                <w:szCs w:val="22"/>
              </w:rPr>
              <w:t>Наименование элемента</w:t>
            </w:r>
          </w:p>
        </w:tc>
        <w:tc>
          <w:tcPr>
            <w:tcW w:w="1701" w:type="dxa"/>
          </w:tcPr>
          <w:p w14:paraId="1705E3F0" w14:textId="77777777" w:rsidR="00AD1F54" w:rsidRPr="00264D5D" w:rsidRDefault="00941227">
            <w:pPr>
              <w:pStyle w:val="GOSTTableHead"/>
              <w:keepNext w:val="0"/>
              <w:widowControl w:val="0"/>
            </w:pPr>
            <w:r w:rsidRPr="00264D5D">
              <w:rPr>
                <w:szCs w:val="22"/>
              </w:rPr>
              <w:t>Сокращенное наименование (код) элемента</w:t>
            </w:r>
          </w:p>
        </w:tc>
        <w:tc>
          <w:tcPr>
            <w:tcW w:w="567" w:type="dxa"/>
          </w:tcPr>
          <w:p w14:paraId="58062988" w14:textId="77777777" w:rsidR="00AD1F54" w:rsidRPr="00264D5D" w:rsidRDefault="00941227">
            <w:pPr>
              <w:pStyle w:val="GOSTTableHead"/>
              <w:keepNext w:val="0"/>
              <w:widowControl w:val="0"/>
            </w:pPr>
            <w:r w:rsidRPr="00264D5D">
              <w:rPr>
                <w:szCs w:val="22"/>
              </w:rPr>
              <w:t>Тип</w:t>
            </w:r>
          </w:p>
        </w:tc>
        <w:tc>
          <w:tcPr>
            <w:tcW w:w="1134" w:type="dxa"/>
          </w:tcPr>
          <w:p w14:paraId="7F741AD9" w14:textId="77777777" w:rsidR="00AD1F54" w:rsidRPr="00264D5D" w:rsidRDefault="00941227">
            <w:pPr>
              <w:pStyle w:val="GOSTTableHead"/>
              <w:keepNext w:val="0"/>
              <w:widowControl w:val="0"/>
            </w:pPr>
            <w:r w:rsidRPr="00264D5D">
              <w:rPr>
                <w:szCs w:val="22"/>
              </w:rPr>
              <w:t>Формат элемента</w:t>
            </w:r>
          </w:p>
        </w:tc>
        <w:tc>
          <w:tcPr>
            <w:tcW w:w="567" w:type="dxa"/>
          </w:tcPr>
          <w:p w14:paraId="2436EBDF" w14:textId="77777777" w:rsidR="00AD1F54" w:rsidRPr="00264D5D" w:rsidRDefault="00941227">
            <w:pPr>
              <w:pStyle w:val="GOSTTableHead"/>
              <w:keepNext w:val="0"/>
              <w:widowControl w:val="0"/>
            </w:pPr>
            <w:r w:rsidRPr="00264D5D">
              <w:rPr>
                <w:szCs w:val="22"/>
              </w:rPr>
              <w:t>Обязательность</w:t>
            </w:r>
          </w:p>
        </w:tc>
        <w:tc>
          <w:tcPr>
            <w:tcW w:w="3969" w:type="dxa"/>
          </w:tcPr>
          <w:p w14:paraId="6A03995C" w14:textId="77777777" w:rsidR="00AD1F54" w:rsidRPr="00264D5D" w:rsidRDefault="00941227">
            <w:pPr>
              <w:pStyle w:val="GOSTTableHead"/>
              <w:keepNext w:val="0"/>
              <w:widowControl w:val="0"/>
            </w:pPr>
            <w:r w:rsidRPr="00264D5D">
              <w:rPr>
                <w:szCs w:val="22"/>
              </w:rPr>
              <w:t>Дополнительная информация</w:t>
            </w:r>
          </w:p>
        </w:tc>
      </w:tr>
      <w:tr w:rsidR="00AD1F54" w:rsidRPr="00264D5D" w14:paraId="369114D5"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75CC3C58" w14:textId="77777777" w:rsidR="00AD1F54" w:rsidRPr="00264D5D" w:rsidRDefault="00941227">
            <w:pPr>
              <w:pStyle w:val="GOSTTablenorm"/>
              <w:widowControl w:val="0"/>
            </w:pPr>
            <w:r w:rsidRPr="00264D5D">
              <w:t>Код по БК</w:t>
            </w:r>
          </w:p>
        </w:tc>
        <w:tc>
          <w:tcPr>
            <w:tcW w:w="1701" w:type="dxa"/>
          </w:tcPr>
          <w:p w14:paraId="3733E279" w14:textId="77777777" w:rsidR="00AD1F54" w:rsidRPr="00264D5D" w:rsidRDefault="00941227">
            <w:pPr>
              <w:pStyle w:val="GOSTTablenorm"/>
              <w:widowControl w:val="0"/>
            </w:pPr>
            <w:r w:rsidRPr="00264D5D">
              <w:t>KBK</w:t>
            </w:r>
          </w:p>
        </w:tc>
        <w:tc>
          <w:tcPr>
            <w:tcW w:w="567" w:type="dxa"/>
          </w:tcPr>
          <w:p w14:paraId="5C840203" w14:textId="77777777" w:rsidR="00AD1F54" w:rsidRPr="00264D5D" w:rsidRDefault="00941227">
            <w:pPr>
              <w:pStyle w:val="GOSTTablenorm"/>
              <w:widowControl w:val="0"/>
              <w:jc w:val="center"/>
            </w:pPr>
            <w:r w:rsidRPr="00264D5D">
              <w:t>П</w:t>
            </w:r>
          </w:p>
        </w:tc>
        <w:tc>
          <w:tcPr>
            <w:tcW w:w="1134" w:type="dxa"/>
          </w:tcPr>
          <w:p w14:paraId="4F4E26EC" w14:textId="77777777" w:rsidR="00AD1F54" w:rsidRPr="00264D5D" w:rsidRDefault="00941227">
            <w:pPr>
              <w:pStyle w:val="GOSTTablenorm"/>
              <w:widowControl w:val="0"/>
              <w:rPr>
                <w:lang w:val="en-US"/>
              </w:rPr>
            </w:pPr>
            <w:r w:rsidRPr="00264D5D">
              <w:rPr>
                <w:lang w:val="en-US"/>
              </w:rPr>
              <w:t>T(20)</w:t>
            </w:r>
          </w:p>
        </w:tc>
        <w:tc>
          <w:tcPr>
            <w:tcW w:w="567" w:type="dxa"/>
          </w:tcPr>
          <w:p w14:paraId="043812EA" w14:textId="77777777" w:rsidR="00AD1F54" w:rsidRPr="00264D5D" w:rsidRDefault="00941227">
            <w:pPr>
              <w:pStyle w:val="GOSTTablenorm"/>
              <w:widowControl w:val="0"/>
              <w:jc w:val="center"/>
            </w:pPr>
            <w:r w:rsidRPr="00264D5D">
              <w:t>О</w:t>
            </w:r>
          </w:p>
        </w:tc>
        <w:tc>
          <w:tcPr>
            <w:tcW w:w="3969" w:type="dxa"/>
          </w:tcPr>
          <w:p w14:paraId="763A530D" w14:textId="77777777" w:rsidR="00AD1F54" w:rsidRPr="00264D5D" w:rsidRDefault="00941227">
            <w:pPr>
              <w:pStyle w:val="GOSTTablenorm"/>
              <w:widowControl w:val="0"/>
            </w:pPr>
            <w:r w:rsidRPr="00264D5D">
              <w:t xml:space="preserve">Указывается КБК в соответствии </w:t>
            </w:r>
            <w:r w:rsidR="00BA58C1" w:rsidRPr="00264D5D">
              <w:t>с действующими Указаниями по БК</w:t>
            </w:r>
          </w:p>
        </w:tc>
      </w:tr>
      <w:tr w:rsidR="00AD1F54" w:rsidRPr="00264D5D" w14:paraId="4D610A54"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6D8F3A3" w14:textId="77777777" w:rsidR="00AD1F54" w:rsidRPr="00264D5D" w:rsidRDefault="00941227">
            <w:pPr>
              <w:pStyle w:val="GOSTTablenorm"/>
              <w:widowControl w:val="0"/>
            </w:pPr>
            <w:r w:rsidRPr="00264D5D">
              <w:t>Код цели</w:t>
            </w:r>
          </w:p>
        </w:tc>
        <w:tc>
          <w:tcPr>
            <w:tcW w:w="1701" w:type="dxa"/>
          </w:tcPr>
          <w:p w14:paraId="7C07A042" w14:textId="77777777" w:rsidR="00AD1F54" w:rsidRPr="00264D5D" w:rsidRDefault="00941227">
            <w:pPr>
              <w:pStyle w:val="GOSTTablenorm"/>
              <w:widowControl w:val="0"/>
            </w:pPr>
            <w:r w:rsidRPr="00264D5D">
              <w:t>TrgtCd</w:t>
            </w:r>
          </w:p>
        </w:tc>
        <w:tc>
          <w:tcPr>
            <w:tcW w:w="567" w:type="dxa"/>
          </w:tcPr>
          <w:p w14:paraId="4B9C017B" w14:textId="77777777" w:rsidR="00AD1F54" w:rsidRPr="00264D5D" w:rsidRDefault="00941227">
            <w:pPr>
              <w:pStyle w:val="GOSTTablenorm"/>
              <w:widowControl w:val="0"/>
              <w:jc w:val="center"/>
            </w:pPr>
            <w:r w:rsidRPr="00264D5D">
              <w:t>П</w:t>
            </w:r>
          </w:p>
        </w:tc>
        <w:tc>
          <w:tcPr>
            <w:tcW w:w="1134" w:type="dxa"/>
          </w:tcPr>
          <w:p w14:paraId="3AF1AF1D" w14:textId="77777777" w:rsidR="00AD1F54" w:rsidRPr="00264D5D" w:rsidRDefault="00941227">
            <w:pPr>
              <w:pStyle w:val="GOSTTablenorm"/>
              <w:widowControl w:val="0"/>
              <w:rPr>
                <w:lang w:val="en-US"/>
              </w:rPr>
            </w:pPr>
            <w:r w:rsidRPr="00264D5D">
              <w:rPr>
                <w:lang w:val="en-US"/>
              </w:rPr>
              <w:t>T(1-20)</w:t>
            </w:r>
          </w:p>
        </w:tc>
        <w:tc>
          <w:tcPr>
            <w:tcW w:w="567" w:type="dxa"/>
          </w:tcPr>
          <w:p w14:paraId="64D7C6CC" w14:textId="77777777" w:rsidR="00AD1F54" w:rsidRPr="00264D5D" w:rsidRDefault="00941227">
            <w:pPr>
              <w:pStyle w:val="GOSTTablenorm"/>
              <w:widowControl w:val="0"/>
              <w:jc w:val="center"/>
            </w:pPr>
            <w:r w:rsidRPr="00264D5D">
              <w:t>Н</w:t>
            </w:r>
          </w:p>
        </w:tc>
        <w:tc>
          <w:tcPr>
            <w:tcW w:w="3969" w:type="dxa"/>
          </w:tcPr>
          <w:p w14:paraId="44F26317" w14:textId="77777777" w:rsidR="00AD1F54" w:rsidRPr="00264D5D" w:rsidRDefault="00941227">
            <w:pPr>
              <w:pStyle w:val="GOSTTablenorm"/>
              <w:widowControl w:val="0"/>
            </w:pPr>
            <w:r w:rsidRPr="00264D5D">
              <w:t>Код цели (аналитический код).</w:t>
            </w:r>
          </w:p>
          <w:p w14:paraId="21D0412C" w14:textId="77777777" w:rsidR="00AD1F54" w:rsidRPr="00264D5D" w:rsidRDefault="00941227">
            <w:pPr>
              <w:pStyle w:val="GOSTTablenorm"/>
              <w:widowControl w:val="0"/>
            </w:pPr>
            <w:r w:rsidRPr="00264D5D">
              <w:t>По расходам бюджетов, источником финансового обеспечения которых являются субсидии, субвенции, иные целевые межбюджетные трансферты из ФБ, поле заполняется в соответствии с переч</w:t>
            </w:r>
            <w:r w:rsidR="00BA58C1" w:rsidRPr="00264D5D">
              <w:t>нем кодов целей, присвоенных ФК</w:t>
            </w:r>
          </w:p>
        </w:tc>
      </w:tr>
      <w:tr w:rsidR="00AD1F54" w:rsidRPr="00264D5D" w14:paraId="46BF72A0"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ED60E16" w14:textId="77777777" w:rsidR="00AD1F54" w:rsidRPr="00264D5D" w:rsidRDefault="00941227">
            <w:pPr>
              <w:pStyle w:val="GOSTTablenorm"/>
              <w:widowControl w:val="0"/>
            </w:pPr>
            <w:r w:rsidRPr="00264D5D">
              <w:t>Сумма на текущий финансовый год</w:t>
            </w:r>
          </w:p>
        </w:tc>
        <w:tc>
          <w:tcPr>
            <w:tcW w:w="1701" w:type="dxa"/>
          </w:tcPr>
          <w:p w14:paraId="14E7261B" w14:textId="77777777" w:rsidR="00AD1F54" w:rsidRPr="00264D5D" w:rsidRDefault="00941227">
            <w:pPr>
              <w:pStyle w:val="GOSTTablenorm"/>
              <w:widowControl w:val="0"/>
            </w:pPr>
            <w:r w:rsidRPr="00264D5D">
              <w:t>AmntCrYr</w:t>
            </w:r>
          </w:p>
        </w:tc>
        <w:tc>
          <w:tcPr>
            <w:tcW w:w="567" w:type="dxa"/>
          </w:tcPr>
          <w:p w14:paraId="02AD918F" w14:textId="77777777" w:rsidR="00AD1F54" w:rsidRPr="00264D5D" w:rsidRDefault="00941227">
            <w:pPr>
              <w:pStyle w:val="GOSTTablenorm"/>
              <w:widowControl w:val="0"/>
              <w:jc w:val="center"/>
            </w:pPr>
            <w:r w:rsidRPr="00264D5D">
              <w:t>П</w:t>
            </w:r>
          </w:p>
        </w:tc>
        <w:tc>
          <w:tcPr>
            <w:tcW w:w="1134" w:type="dxa"/>
          </w:tcPr>
          <w:p w14:paraId="57B5D3D2" w14:textId="77777777" w:rsidR="00AD1F54" w:rsidRPr="00264D5D" w:rsidRDefault="00941227">
            <w:pPr>
              <w:pStyle w:val="GOSTTablenorm"/>
              <w:widowControl w:val="0"/>
            </w:pPr>
            <w:r w:rsidRPr="00264D5D">
              <w:rPr>
                <w:lang w:val="en-US"/>
              </w:rPr>
              <w:t>N(</w:t>
            </w:r>
            <w:r w:rsidRPr="00264D5D">
              <w:t>18</w:t>
            </w:r>
            <w:r w:rsidRPr="00264D5D">
              <w:rPr>
                <w:lang w:val="en-US"/>
              </w:rPr>
              <w:t>.2)</w:t>
            </w:r>
          </w:p>
        </w:tc>
        <w:tc>
          <w:tcPr>
            <w:tcW w:w="567" w:type="dxa"/>
          </w:tcPr>
          <w:p w14:paraId="758BF3F5" w14:textId="77777777" w:rsidR="00AD1F54" w:rsidRPr="00264D5D" w:rsidRDefault="00941227">
            <w:pPr>
              <w:pStyle w:val="GOSTTablenorm"/>
              <w:widowControl w:val="0"/>
              <w:jc w:val="center"/>
            </w:pPr>
            <w:r w:rsidRPr="00264D5D">
              <w:t>О</w:t>
            </w:r>
          </w:p>
        </w:tc>
        <w:tc>
          <w:tcPr>
            <w:tcW w:w="3969" w:type="dxa"/>
          </w:tcPr>
          <w:p w14:paraId="151AF897" w14:textId="77777777" w:rsidR="00AD1F54" w:rsidRPr="00264D5D" w:rsidRDefault="00BA58C1">
            <w:pPr>
              <w:pStyle w:val="GOSTTablenorm"/>
              <w:widowControl w:val="0"/>
            </w:pPr>
            <w:r w:rsidRPr="00264D5D">
              <w:t>Сумма на текущий финансовый год</w:t>
            </w:r>
          </w:p>
        </w:tc>
      </w:tr>
      <w:tr w:rsidR="00AD1F54" w:rsidRPr="00264D5D" w14:paraId="22B708EC"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399D3FB0" w14:textId="77777777" w:rsidR="00AD1F54" w:rsidRPr="00264D5D" w:rsidRDefault="00941227">
            <w:pPr>
              <w:pStyle w:val="GOSTTablenorm"/>
              <w:widowControl w:val="0"/>
            </w:pPr>
            <w:r w:rsidRPr="00264D5D">
              <w:t>Сумма на первый год планового периода</w:t>
            </w:r>
          </w:p>
        </w:tc>
        <w:tc>
          <w:tcPr>
            <w:tcW w:w="1701" w:type="dxa"/>
          </w:tcPr>
          <w:p w14:paraId="60A11B6D" w14:textId="77777777" w:rsidR="00AD1F54" w:rsidRPr="00264D5D" w:rsidRDefault="00941227">
            <w:pPr>
              <w:pStyle w:val="GOSTTablenorm"/>
              <w:widowControl w:val="0"/>
            </w:pPr>
            <w:r w:rsidRPr="00264D5D">
              <w:t>AmntFrstYr</w:t>
            </w:r>
          </w:p>
        </w:tc>
        <w:tc>
          <w:tcPr>
            <w:tcW w:w="567" w:type="dxa"/>
          </w:tcPr>
          <w:p w14:paraId="1FA6124C" w14:textId="77777777" w:rsidR="00AD1F54" w:rsidRPr="00264D5D" w:rsidRDefault="00941227">
            <w:pPr>
              <w:pStyle w:val="GOSTTablenorm"/>
              <w:widowControl w:val="0"/>
              <w:jc w:val="center"/>
            </w:pPr>
            <w:r w:rsidRPr="00264D5D">
              <w:t>П</w:t>
            </w:r>
          </w:p>
        </w:tc>
        <w:tc>
          <w:tcPr>
            <w:tcW w:w="1134" w:type="dxa"/>
          </w:tcPr>
          <w:p w14:paraId="41189E17" w14:textId="77777777" w:rsidR="00AD1F54" w:rsidRPr="00264D5D" w:rsidRDefault="00941227">
            <w:pPr>
              <w:pStyle w:val="GOSTTablenorm"/>
              <w:widowControl w:val="0"/>
            </w:pPr>
            <w:r w:rsidRPr="00264D5D">
              <w:rPr>
                <w:lang w:val="en-US"/>
              </w:rPr>
              <w:t>N(</w:t>
            </w:r>
            <w:r w:rsidRPr="00264D5D">
              <w:t>18</w:t>
            </w:r>
            <w:r w:rsidRPr="00264D5D">
              <w:rPr>
                <w:lang w:val="en-US"/>
              </w:rPr>
              <w:t>.2)</w:t>
            </w:r>
          </w:p>
        </w:tc>
        <w:tc>
          <w:tcPr>
            <w:tcW w:w="567" w:type="dxa"/>
          </w:tcPr>
          <w:p w14:paraId="68759FD6" w14:textId="77777777" w:rsidR="00AD1F54" w:rsidRPr="00264D5D" w:rsidRDefault="00941227">
            <w:pPr>
              <w:pStyle w:val="GOSTTablenorm"/>
              <w:widowControl w:val="0"/>
              <w:jc w:val="center"/>
            </w:pPr>
            <w:r w:rsidRPr="00264D5D">
              <w:t>О</w:t>
            </w:r>
          </w:p>
        </w:tc>
        <w:tc>
          <w:tcPr>
            <w:tcW w:w="3969" w:type="dxa"/>
          </w:tcPr>
          <w:p w14:paraId="0381B986" w14:textId="77777777" w:rsidR="00AD1F54" w:rsidRPr="00264D5D" w:rsidRDefault="00941227">
            <w:pPr>
              <w:pStyle w:val="GOSTTablenorm"/>
              <w:widowControl w:val="0"/>
            </w:pPr>
            <w:r w:rsidRPr="00264D5D">
              <w:t xml:space="preserve">Сумма </w:t>
            </w:r>
            <w:r w:rsidR="00BA58C1" w:rsidRPr="00264D5D">
              <w:t>на первый год планового периода</w:t>
            </w:r>
          </w:p>
        </w:tc>
      </w:tr>
      <w:tr w:rsidR="00AD1F54" w:rsidRPr="00264D5D" w14:paraId="32FBA6D2"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2DE04E6" w14:textId="77777777" w:rsidR="00AD1F54" w:rsidRPr="00264D5D" w:rsidRDefault="00941227">
            <w:pPr>
              <w:pStyle w:val="GOSTTablenorm"/>
              <w:widowControl w:val="0"/>
            </w:pPr>
            <w:r w:rsidRPr="00264D5D">
              <w:t>Сумма на второй год планового периода по РР</w:t>
            </w:r>
          </w:p>
        </w:tc>
        <w:tc>
          <w:tcPr>
            <w:tcW w:w="1701" w:type="dxa"/>
          </w:tcPr>
          <w:p w14:paraId="7A6ECA1C" w14:textId="77777777" w:rsidR="00AD1F54" w:rsidRPr="00264D5D" w:rsidRDefault="00941227">
            <w:pPr>
              <w:pStyle w:val="GOSTTablenorm"/>
              <w:widowControl w:val="0"/>
            </w:pPr>
            <w:r w:rsidRPr="00264D5D">
              <w:t>AmntScndYr</w:t>
            </w:r>
          </w:p>
        </w:tc>
        <w:tc>
          <w:tcPr>
            <w:tcW w:w="567" w:type="dxa"/>
          </w:tcPr>
          <w:p w14:paraId="074C9D38" w14:textId="77777777" w:rsidR="00AD1F54" w:rsidRPr="00264D5D" w:rsidRDefault="00941227">
            <w:pPr>
              <w:pStyle w:val="GOSTTablenorm"/>
              <w:widowControl w:val="0"/>
              <w:jc w:val="center"/>
            </w:pPr>
            <w:r w:rsidRPr="00264D5D">
              <w:t>П</w:t>
            </w:r>
          </w:p>
        </w:tc>
        <w:tc>
          <w:tcPr>
            <w:tcW w:w="1134" w:type="dxa"/>
          </w:tcPr>
          <w:p w14:paraId="2138295D" w14:textId="77777777" w:rsidR="00AD1F54" w:rsidRPr="00264D5D" w:rsidRDefault="00941227">
            <w:pPr>
              <w:pStyle w:val="GOSTTablenorm"/>
              <w:widowControl w:val="0"/>
            </w:pPr>
            <w:r w:rsidRPr="00264D5D">
              <w:rPr>
                <w:lang w:val="en-US"/>
              </w:rPr>
              <w:t>N(</w:t>
            </w:r>
            <w:r w:rsidRPr="00264D5D">
              <w:t>18</w:t>
            </w:r>
            <w:r w:rsidRPr="00264D5D">
              <w:rPr>
                <w:lang w:val="en-US"/>
              </w:rPr>
              <w:t>.2)</w:t>
            </w:r>
          </w:p>
        </w:tc>
        <w:tc>
          <w:tcPr>
            <w:tcW w:w="567" w:type="dxa"/>
          </w:tcPr>
          <w:p w14:paraId="02979B39" w14:textId="77777777" w:rsidR="00AD1F54" w:rsidRPr="00264D5D" w:rsidRDefault="00941227">
            <w:pPr>
              <w:pStyle w:val="GOSTTablenorm"/>
              <w:widowControl w:val="0"/>
              <w:jc w:val="center"/>
            </w:pPr>
            <w:r w:rsidRPr="00264D5D">
              <w:t>О</w:t>
            </w:r>
          </w:p>
        </w:tc>
        <w:tc>
          <w:tcPr>
            <w:tcW w:w="3969" w:type="dxa"/>
          </w:tcPr>
          <w:p w14:paraId="0D2A834C" w14:textId="77777777" w:rsidR="00AD1F54" w:rsidRPr="00264D5D" w:rsidRDefault="00941227">
            <w:pPr>
              <w:pStyle w:val="GOSTTablenorm"/>
              <w:widowControl w:val="0"/>
            </w:pPr>
            <w:r w:rsidRPr="00264D5D">
              <w:t xml:space="preserve">Сумма на второй год планового периода </w:t>
            </w:r>
            <w:r w:rsidR="00BA58C1" w:rsidRPr="00264D5D">
              <w:t>по РР</w:t>
            </w:r>
          </w:p>
        </w:tc>
      </w:tr>
    </w:tbl>
    <w:p w14:paraId="7B3B9733" w14:textId="77777777" w:rsidR="00AD1F54" w:rsidRPr="00264D5D" w:rsidRDefault="00941227">
      <w:pPr>
        <w:pStyle w:val="31"/>
      </w:pPr>
      <w:bookmarkStart w:id="675" w:name="_Toc21014550"/>
      <w:r w:rsidRPr="00264D5D">
        <w:t xml:space="preserve"> </w:t>
      </w:r>
      <w:bookmarkStart w:id="676" w:name="_Toc219309477"/>
      <w:r w:rsidRPr="00264D5D">
        <w:t>Описание комплексного типа «tAPPOFSTR»</w:t>
      </w:r>
      <w:bookmarkEnd w:id="675"/>
      <w:bookmarkEnd w:id="676"/>
    </w:p>
    <w:p w14:paraId="38247714" w14:textId="77777777" w:rsidR="00AD1F54" w:rsidRPr="00264D5D" w:rsidRDefault="00941227">
      <w:pPr>
        <w:pStyle w:val="GOSTNormal"/>
        <w:widowControl w:val="0"/>
      </w:pPr>
      <w:r w:rsidRPr="00264D5D">
        <w:t>Описание комплексного типа «tAPPOFSTR» блока «Предельные объемы финансирования».</w:t>
      </w:r>
    </w:p>
    <w:p w14:paraId="69F8F994" w14:textId="7DAF71D4" w:rsidR="00AD1F54" w:rsidRPr="00264D5D" w:rsidRDefault="00941227">
      <w:pPr>
        <w:pStyle w:val="GOSTNameTable"/>
        <w:widowControl w:val="0"/>
        <w:numPr>
          <w:ilvl w:val="0"/>
          <w:numId w:val="2"/>
        </w:numPr>
        <w:spacing w:before="60"/>
        <w:ind w:left="425" w:hanging="357"/>
      </w:pPr>
      <w:r w:rsidRPr="00264D5D">
        <w:fldChar w:fldCharType="begin"/>
      </w:r>
      <w:r w:rsidRPr="00264D5D">
        <w:instrText>SEQ Таблица \* ARABIC</w:instrText>
      </w:r>
      <w:r w:rsidRPr="00264D5D">
        <w:fldChar w:fldCharType="separate"/>
      </w:r>
      <w:bookmarkStart w:id="677" w:name="_Ref492311087"/>
      <w:bookmarkStart w:id="678" w:name="_Toc21014643"/>
      <w:bookmarkStart w:id="679" w:name="_Toc219309071"/>
      <w:r w:rsidR="008D797C">
        <w:rPr>
          <w:noProof/>
        </w:rPr>
        <w:t>41</w:t>
      </w:r>
      <w:bookmarkEnd w:id="677"/>
      <w:r w:rsidRPr="00264D5D">
        <w:fldChar w:fldCharType="end"/>
      </w:r>
      <w:r w:rsidRPr="00264D5D">
        <w:t xml:space="preserve"> – Описание </w:t>
      </w:r>
      <w:bookmarkEnd w:id="678"/>
      <w:r w:rsidRPr="00264D5D">
        <w:t>комплексного типа «tAPPOFSTR»</w:t>
      </w:r>
      <w:bookmarkEnd w:id="679"/>
    </w:p>
    <w:tbl>
      <w:tblPr>
        <w:tblStyle w:val="GOSTTable"/>
        <w:tblW w:w="5000" w:type="pct"/>
        <w:tblLayout w:type="fixed"/>
        <w:tblLook w:val="04A0" w:firstRow="1" w:lastRow="0" w:firstColumn="1" w:lastColumn="0" w:noHBand="0" w:noVBand="1"/>
      </w:tblPr>
      <w:tblGrid>
        <w:gridCol w:w="1756"/>
        <w:gridCol w:w="1754"/>
        <w:gridCol w:w="585"/>
        <w:gridCol w:w="1170"/>
        <w:gridCol w:w="585"/>
        <w:gridCol w:w="3800"/>
      </w:tblGrid>
      <w:tr w:rsidR="00AD1F54" w:rsidRPr="00264D5D" w14:paraId="03FEAA40"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3" w:type="dxa"/>
          </w:tcPr>
          <w:p w14:paraId="0F8B8F44" w14:textId="77777777" w:rsidR="00AD1F54" w:rsidRPr="00264D5D" w:rsidRDefault="00941227">
            <w:pPr>
              <w:pStyle w:val="GOSTTableHead"/>
              <w:keepNext w:val="0"/>
              <w:widowControl w:val="0"/>
            </w:pPr>
            <w:r w:rsidRPr="00264D5D">
              <w:rPr>
                <w:bCs w:val="0"/>
                <w:szCs w:val="22"/>
              </w:rPr>
              <w:t>Наименование комплексного типа</w:t>
            </w:r>
          </w:p>
        </w:tc>
        <w:tc>
          <w:tcPr>
            <w:tcW w:w="1701" w:type="dxa"/>
          </w:tcPr>
          <w:p w14:paraId="7803D7C6" w14:textId="77777777" w:rsidR="00AD1F54" w:rsidRPr="00264D5D" w:rsidRDefault="00941227">
            <w:pPr>
              <w:pStyle w:val="GOSTTableHead"/>
              <w:keepNext w:val="0"/>
              <w:widowControl w:val="0"/>
            </w:pPr>
            <w:r w:rsidRPr="00264D5D">
              <w:rPr>
                <w:bCs w:val="0"/>
                <w:szCs w:val="22"/>
              </w:rPr>
              <w:t>Текущий элемент/ атрибут</w:t>
            </w:r>
          </w:p>
        </w:tc>
        <w:tc>
          <w:tcPr>
            <w:tcW w:w="567" w:type="dxa"/>
          </w:tcPr>
          <w:p w14:paraId="4679D059" w14:textId="77777777" w:rsidR="00AD1F54" w:rsidRPr="00264D5D" w:rsidRDefault="00941227">
            <w:pPr>
              <w:pStyle w:val="GOSTTableHead"/>
              <w:keepNext w:val="0"/>
              <w:widowControl w:val="0"/>
            </w:pPr>
            <w:r w:rsidRPr="00264D5D">
              <w:rPr>
                <w:bCs w:val="0"/>
                <w:szCs w:val="22"/>
              </w:rPr>
              <w:t>Тип</w:t>
            </w:r>
          </w:p>
        </w:tc>
        <w:tc>
          <w:tcPr>
            <w:tcW w:w="1134" w:type="dxa"/>
          </w:tcPr>
          <w:p w14:paraId="4A3AC544" w14:textId="77777777" w:rsidR="00AD1F54" w:rsidRPr="00264D5D" w:rsidRDefault="00941227">
            <w:pPr>
              <w:pStyle w:val="GOSTTableHead"/>
              <w:keepNext w:val="0"/>
              <w:widowControl w:val="0"/>
            </w:pPr>
            <w:r w:rsidRPr="00264D5D">
              <w:rPr>
                <w:bCs w:val="0"/>
                <w:szCs w:val="22"/>
              </w:rPr>
              <w:t>Формат элемента</w:t>
            </w:r>
          </w:p>
        </w:tc>
        <w:tc>
          <w:tcPr>
            <w:tcW w:w="567" w:type="dxa"/>
          </w:tcPr>
          <w:p w14:paraId="4BAEA0DD" w14:textId="77777777" w:rsidR="00AD1F54" w:rsidRPr="00264D5D" w:rsidRDefault="00941227">
            <w:pPr>
              <w:pStyle w:val="GOSTTableHead"/>
              <w:keepNext w:val="0"/>
              <w:widowControl w:val="0"/>
            </w:pPr>
            <w:r w:rsidRPr="00264D5D">
              <w:rPr>
                <w:bCs w:val="0"/>
                <w:szCs w:val="22"/>
              </w:rPr>
              <w:t>Обязательность</w:t>
            </w:r>
          </w:p>
        </w:tc>
        <w:tc>
          <w:tcPr>
            <w:tcW w:w="3685" w:type="dxa"/>
          </w:tcPr>
          <w:p w14:paraId="055E0BFD" w14:textId="77777777" w:rsidR="00AD1F54" w:rsidRPr="00264D5D" w:rsidRDefault="00941227">
            <w:pPr>
              <w:pStyle w:val="GOSTTableHead"/>
              <w:keepNext w:val="0"/>
              <w:widowControl w:val="0"/>
            </w:pPr>
            <w:r w:rsidRPr="00264D5D">
              <w:rPr>
                <w:bCs w:val="0"/>
                <w:szCs w:val="22"/>
              </w:rPr>
              <w:t>Дополнительная информация</w:t>
            </w:r>
          </w:p>
        </w:tc>
      </w:tr>
      <w:tr w:rsidR="00AD1F54" w:rsidRPr="00264D5D" w14:paraId="0AE9854E" w14:textId="77777777" w:rsidTr="00AD1F54">
        <w:trPr>
          <w:cnfStyle w:val="000000100000" w:firstRow="0" w:lastRow="0" w:firstColumn="0" w:lastColumn="0" w:oddVBand="0" w:evenVBand="0" w:oddHBand="1" w:evenHBand="0" w:firstRowFirstColumn="0" w:firstRowLastColumn="0" w:lastRowFirstColumn="0" w:lastRowLastColumn="0"/>
        </w:trPr>
        <w:tc>
          <w:tcPr>
            <w:tcW w:w="1703" w:type="dxa"/>
          </w:tcPr>
          <w:p w14:paraId="5BD61BB6" w14:textId="77777777" w:rsidR="00AD1F54" w:rsidRPr="00264D5D" w:rsidRDefault="00941227">
            <w:pPr>
              <w:pStyle w:val="GOSTTablenorm"/>
              <w:widowControl w:val="0"/>
            </w:pPr>
            <w:r w:rsidRPr="00264D5D">
              <w:t>tAPPOFSTR</w:t>
            </w:r>
          </w:p>
        </w:tc>
        <w:tc>
          <w:tcPr>
            <w:tcW w:w="1701" w:type="dxa"/>
          </w:tcPr>
          <w:p w14:paraId="3FF1F361" w14:textId="77777777" w:rsidR="00AD1F54" w:rsidRPr="00264D5D" w:rsidRDefault="00941227">
            <w:pPr>
              <w:pStyle w:val="GOSTTablenorm"/>
              <w:widowControl w:val="0"/>
            </w:pPr>
            <w:r w:rsidRPr="00264D5D">
              <w:t>APPOFSTR_ITEM</w:t>
            </w:r>
          </w:p>
        </w:tc>
        <w:tc>
          <w:tcPr>
            <w:tcW w:w="567" w:type="dxa"/>
          </w:tcPr>
          <w:p w14:paraId="4012970C" w14:textId="77777777" w:rsidR="00AD1F54" w:rsidRPr="00264D5D" w:rsidRDefault="00941227">
            <w:pPr>
              <w:pStyle w:val="GOSTTablenorm"/>
              <w:widowControl w:val="0"/>
              <w:jc w:val="center"/>
            </w:pPr>
            <w:r w:rsidRPr="00264D5D">
              <w:t>С</w:t>
            </w:r>
          </w:p>
        </w:tc>
        <w:tc>
          <w:tcPr>
            <w:tcW w:w="1134" w:type="dxa"/>
          </w:tcPr>
          <w:p w14:paraId="243973CA" w14:textId="77777777" w:rsidR="00AD1F54" w:rsidRPr="00264D5D" w:rsidRDefault="00941227">
            <w:pPr>
              <w:pStyle w:val="GOSTTablenorm"/>
              <w:widowControl w:val="0"/>
            </w:pPr>
            <w:r w:rsidRPr="00264D5D">
              <w:t>tAPPOFSTR_ITEM</w:t>
            </w:r>
          </w:p>
        </w:tc>
        <w:tc>
          <w:tcPr>
            <w:tcW w:w="567" w:type="dxa"/>
          </w:tcPr>
          <w:p w14:paraId="4B1BCA59" w14:textId="77777777" w:rsidR="00AD1F54" w:rsidRPr="00264D5D" w:rsidRDefault="00941227">
            <w:pPr>
              <w:pStyle w:val="GOSTTablenorm"/>
              <w:widowControl w:val="0"/>
              <w:jc w:val="center"/>
            </w:pPr>
            <w:r w:rsidRPr="00264D5D">
              <w:t>НМ</w:t>
            </w:r>
          </w:p>
        </w:tc>
        <w:tc>
          <w:tcPr>
            <w:tcW w:w="3685" w:type="dxa"/>
          </w:tcPr>
          <w:p w14:paraId="042E9A7E" w14:textId="4FB171F3" w:rsidR="00AD1F54" w:rsidRPr="00264D5D" w:rsidRDefault="00941227">
            <w:pPr>
              <w:pStyle w:val="GOSTTablenorm"/>
              <w:widowControl w:val="0"/>
            </w:pPr>
            <w:r w:rsidRPr="00264D5D">
              <w:t xml:space="preserve">Состав элемента представлен в таблице </w:t>
            </w:r>
            <w:r w:rsidRPr="00264D5D">
              <w:rPr>
                <w:b/>
              </w:rPr>
              <w:fldChar w:fldCharType="begin"/>
            </w:r>
            <w:r w:rsidRPr="00264D5D">
              <w:rPr>
                <w:b/>
              </w:rPr>
              <w:instrText xml:space="preserve"> REF _Ref492311396 \h  \* MERGEFORMAT </w:instrText>
            </w:r>
            <w:r w:rsidRPr="00264D5D">
              <w:rPr>
                <w:b/>
              </w:rPr>
            </w:r>
            <w:r w:rsidRPr="00264D5D">
              <w:rPr>
                <w:b/>
              </w:rPr>
              <w:fldChar w:fldCharType="separate"/>
            </w:r>
            <w:r w:rsidR="008D797C" w:rsidRPr="008D797C">
              <w:rPr>
                <w:b/>
              </w:rPr>
              <w:t>42</w:t>
            </w:r>
            <w:r w:rsidRPr="00264D5D">
              <w:rPr>
                <w:b/>
              </w:rPr>
              <w:fldChar w:fldCharType="end"/>
            </w:r>
          </w:p>
        </w:tc>
      </w:tr>
    </w:tbl>
    <w:p w14:paraId="3BABB749" w14:textId="77777777" w:rsidR="00AD1F54" w:rsidRPr="00264D5D" w:rsidRDefault="00941227">
      <w:pPr>
        <w:pStyle w:val="31"/>
      </w:pPr>
      <w:bookmarkStart w:id="680" w:name="_Toc21014551"/>
      <w:r w:rsidRPr="00264D5D">
        <w:t xml:space="preserve"> </w:t>
      </w:r>
      <w:bookmarkStart w:id="681" w:name="_Toc219309478"/>
      <w:r w:rsidRPr="00264D5D">
        <w:t>Описание комплексного типа «tAPPOFSTR_ITEM»</w:t>
      </w:r>
      <w:bookmarkEnd w:id="680"/>
      <w:bookmarkEnd w:id="681"/>
    </w:p>
    <w:p w14:paraId="45A33CF7" w14:textId="77777777" w:rsidR="00AD1F54" w:rsidRPr="00264D5D" w:rsidRDefault="00941227">
      <w:pPr>
        <w:pStyle w:val="GOSTNormal"/>
        <w:widowControl w:val="0"/>
      </w:pPr>
      <w:r w:rsidRPr="00264D5D">
        <w:t>Описание комплексного типа «tAPPOFSTR_ITEM» блока «Предельные объемы финансирования (строки)».</w:t>
      </w:r>
    </w:p>
    <w:p w14:paraId="2266BA95" w14:textId="602617D7" w:rsidR="00AD1F54" w:rsidRPr="00264D5D" w:rsidRDefault="00941227">
      <w:pPr>
        <w:pStyle w:val="GOSTNameTable"/>
        <w:widowControl w:val="0"/>
        <w:numPr>
          <w:ilvl w:val="0"/>
          <w:numId w:val="2"/>
        </w:numPr>
        <w:spacing w:before="60"/>
        <w:ind w:left="425" w:hanging="357"/>
      </w:pPr>
      <w:r w:rsidRPr="00264D5D">
        <w:lastRenderedPageBreak/>
        <w:fldChar w:fldCharType="begin"/>
      </w:r>
      <w:r w:rsidRPr="00264D5D">
        <w:instrText>SEQ Таблица \* ARABIC</w:instrText>
      </w:r>
      <w:r w:rsidRPr="00264D5D">
        <w:fldChar w:fldCharType="separate"/>
      </w:r>
      <w:bookmarkStart w:id="682" w:name="_Ref492311396"/>
      <w:bookmarkStart w:id="683" w:name="_Toc21014644"/>
      <w:bookmarkStart w:id="684" w:name="_Toc219309072"/>
      <w:r w:rsidR="008D797C">
        <w:rPr>
          <w:noProof/>
        </w:rPr>
        <w:t>42</w:t>
      </w:r>
      <w:bookmarkEnd w:id="682"/>
      <w:r w:rsidRPr="00264D5D">
        <w:fldChar w:fldCharType="end"/>
      </w:r>
      <w:r w:rsidRPr="00264D5D">
        <w:t xml:space="preserve"> – Описание </w:t>
      </w:r>
      <w:bookmarkEnd w:id="683"/>
      <w:r w:rsidRPr="00264D5D">
        <w:t>комплексного типа «tAPPOFSTR_ITEM»</w:t>
      </w:r>
      <w:bookmarkEnd w:id="684"/>
    </w:p>
    <w:tbl>
      <w:tblPr>
        <w:tblStyle w:val="GOSTTable"/>
        <w:tblW w:w="5000" w:type="pct"/>
        <w:tblLayout w:type="fixed"/>
        <w:tblLook w:val="04A0" w:firstRow="1" w:lastRow="0" w:firstColumn="1" w:lastColumn="0" w:noHBand="0" w:noVBand="1"/>
      </w:tblPr>
      <w:tblGrid>
        <w:gridCol w:w="1707"/>
        <w:gridCol w:w="1702"/>
        <w:gridCol w:w="567"/>
        <w:gridCol w:w="1135"/>
        <w:gridCol w:w="567"/>
        <w:gridCol w:w="3972"/>
      </w:tblGrid>
      <w:tr w:rsidR="00AD1F54" w:rsidRPr="00264D5D" w14:paraId="149679EE"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5" w:type="dxa"/>
          </w:tcPr>
          <w:p w14:paraId="5A109A5A" w14:textId="77777777" w:rsidR="00AD1F54" w:rsidRPr="00264D5D" w:rsidRDefault="00941227">
            <w:pPr>
              <w:pStyle w:val="GOSTTableHead"/>
              <w:keepNext w:val="0"/>
              <w:widowControl w:val="0"/>
            </w:pPr>
            <w:r w:rsidRPr="00264D5D">
              <w:rPr>
                <w:szCs w:val="22"/>
              </w:rPr>
              <w:t>Наименование элемента</w:t>
            </w:r>
          </w:p>
        </w:tc>
        <w:tc>
          <w:tcPr>
            <w:tcW w:w="1701" w:type="dxa"/>
          </w:tcPr>
          <w:p w14:paraId="49FE5FB0" w14:textId="77777777" w:rsidR="00AD1F54" w:rsidRPr="00264D5D" w:rsidRDefault="00941227">
            <w:pPr>
              <w:pStyle w:val="GOSTTableHead"/>
              <w:keepNext w:val="0"/>
              <w:widowControl w:val="0"/>
            </w:pPr>
            <w:r w:rsidRPr="00264D5D">
              <w:rPr>
                <w:szCs w:val="22"/>
              </w:rPr>
              <w:t>Сокращенное наименование (код) элемента</w:t>
            </w:r>
          </w:p>
        </w:tc>
        <w:tc>
          <w:tcPr>
            <w:tcW w:w="567" w:type="dxa"/>
          </w:tcPr>
          <w:p w14:paraId="3EA9B97B" w14:textId="77777777" w:rsidR="00AD1F54" w:rsidRPr="00264D5D" w:rsidRDefault="00941227">
            <w:pPr>
              <w:pStyle w:val="GOSTTableHead"/>
              <w:keepNext w:val="0"/>
              <w:widowControl w:val="0"/>
            </w:pPr>
            <w:r w:rsidRPr="00264D5D">
              <w:rPr>
                <w:szCs w:val="22"/>
              </w:rPr>
              <w:t>Тип</w:t>
            </w:r>
          </w:p>
        </w:tc>
        <w:tc>
          <w:tcPr>
            <w:tcW w:w="1134" w:type="dxa"/>
          </w:tcPr>
          <w:p w14:paraId="103D75A9" w14:textId="77777777" w:rsidR="00AD1F54" w:rsidRPr="00264D5D" w:rsidRDefault="00941227">
            <w:pPr>
              <w:pStyle w:val="GOSTTableHead"/>
              <w:keepNext w:val="0"/>
              <w:widowControl w:val="0"/>
            </w:pPr>
            <w:r w:rsidRPr="00264D5D">
              <w:rPr>
                <w:szCs w:val="22"/>
              </w:rPr>
              <w:t>Формат элемента</w:t>
            </w:r>
          </w:p>
        </w:tc>
        <w:tc>
          <w:tcPr>
            <w:tcW w:w="567" w:type="dxa"/>
          </w:tcPr>
          <w:p w14:paraId="20D77CEF" w14:textId="77777777" w:rsidR="00AD1F54" w:rsidRPr="00264D5D" w:rsidRDefault="00941227">
            <w:pPr>
              <w:pStyle w:val="GOSTTableHead"/>
              <w:keepNext w:val="0"/>
              <w:widowControl w:val="0"/>
            </w:pPr>
            <w:r w:rsidRPr="00264D5D">
              <w:rPr>
                <w:szCs w:val="22"/>
              </w:rPr>
              <w:t>Обязательность</w:t>
            </w:r>
          </w:p>
        </w:tc>
        <w:tc>
          <w:tcPr>
            <w:tcW w:w="3969" w:type="dxa"/>
          </w:tcPr>
          <w:p w14:paraId="05E09A92" w14:textId="77777777" w:rsidR="00AD1F54" w:rsidRPr="00264D5D" w:rsidRDefault="00941227">
            <w:pPr>
              <w:pStyle w:val="GOSTTableHead"/>
              <w:keepNext w:val="0"/>
              <w:widowControl w:val="0"/>
            </w:pPr>
            <w:r w:rsidRPr="00264D5D">
              <w:rPr>
                <w:szCs w:val="22"/>
              </w:rPr>
              <w:t>Дополнительная информация</w:t>
            </w:r>
          </w:p>
        </w:tc>
      </w:tr>
      <w:tr w:rsidR="00AD1F54" w:rsidRPr="00264D5D" w14:paraId="28234E86" w14:textId="77777777" w:rsidTr="00AD1F54">
        <w:trPr>
          <w:cnfStyle w:val="000000100000" w:firstRow="0" w:lastRow="0" w:firstColumn="0" w:lastColumn="0" w:oddVBand="0" w:evenVBand="0" w:oddHBand="1" w:evenHBand="0" w:firstRowFirstColumn="0" w:firstRowLastColumn="0" w:lastRowFirstColumn="0" w:lastRowLastColumn="0"/>
        </w:trPr>
        <w:tc>
          <w:tcPr>
            <w:tcW w:w="1705" w:type="dxa"/>
          </w:tcPr>
          <w:p w14:paraId="6BD05D59" w14:textId="77777777" w:rsidR="00AD1F54" w:rsidRPr="00264D5D" w:rsidRDefault="00941227">
            <w:pPr>
              <w:pStyle w:val="GOSTTablenorm"/>
              <w:widowControl w:val="0"/>
            </w:pPr>
            <w:r w:rsidRPr="00264D5D">
              <w:t>Номер строки</w:t>
            </w:r>
          </w:p>
        </w:tc>
        <w:tc>
          <w:tcPr>
            <w:tcW w:w="1701" w:type="dxa"/>
          </w:tcPr>
          <w:p w14:paraId="339A20E2" w14:textId="77777777" w:rsidR="00AD1F54" w:rsidRPr="00264D5D" w:rsidRDefault="00941227">
            <w:pPr>
              <w:pStyle w:val="GOSTTablenorm"/>
              <w:widowControl w:val="0"/>
            </w:pPr>
            <w:r w:rsidRPr="00264D5D">
              <w:t>NmbRw</w:t>
            </w:r>
          </w:p>
        </w:tc>
        <w:tc>
          <w:tcPr>
            <w:tcW w:w="567" w:type="dxa"/>
          </w:tcPr>
          <w:p w14:paraId="3AEC5A30" w14:textId="77777777" w:rsidR="00AD1F54" w:rsidRPr="00264D5D" w:rsidRDefault="00941227">
            <w:pPr>
              <w:pStyle w:val="GOSTTablenorm"/>
              <w:widowControl w:val="0"/>
              <w:jc w:val="center"/>
            </w:pPr>
            <w:r w:rsidRPr="00264D5D">
              <w:t>П</w:t>
            </w:r>
          </w:p>
        </w:tc>
        <w:tc>
          <w:tcPr>
            <w:tcW w:w="1134" w:type="dxa"/>
          </w:tcPr>
          <w:p w14:paraId="184CC658" w14:textId="77777777" w:rsidR="00AD1F54" w:rsidRPr="00264D5D" w:rsidRDefault="00941227">
            <w:pPr>
              <w:pStyle w:val="GOSTTablenorm"/>
              <w:widowControl w:val="0"/>
            </w:pPr>
            <w:r w:rsidRPr="00264D5D">
              <w:rPr>
                <w:lang w:val="en-US"/>
              </w:rPr>
              <w:t>T(1-25)</w:t>
            </w:r>
          </w:p>
        </w:tc>
        <w:tc>
          <w:tcPr>
            <w:tcW w:w="567" w:type="dxa"/>
          </w:tcPr>
          <w:p w14:paraId="5461EED1" w14:textId="77777777" w:rsidR="00AD1F54" w:rsidRPr="00264D5D" w:rsidRDefault="00941227">
            <w:pPr>
              <w:pStyle w:val="GOSTTablenorm"/>
              <w:widowControl w:val="0"/>
              <w:jc w:val="center"/>
            </w:pPr>
            <w:r w:rsidRPr="00264D5D">
              <w:t>О</w:t>
            </w:r>
          </w:p>
        </w:tc>
        <w:tc>
          <w:tcPr>
            <w:tcW w:w="3969" w:type="dxa"/>
          </w:tcPr>
          <w:p w14:paraId="4C13A164" w14:textId="77777777" w:rsidR="00AD1F54" w:rsidRPr="00264D5D" w:rsidRDefault="00BA58C1">
            <w:pPr>
              <w:pStyle w:val="GOSTTablenorm"/>
              <w:widowControl w:val="0"/>
            </w:pPr>
            <w:r w:rsidRPr="00264D5D">
              <w:t>Номер строки</w:t>
            </w:r>
          </w:p>
        </w:tc>
      </w:tr>
      <w:tr w:rsidR="00AD1F54" w:rsidRPr="00264D5D" w14:paraId="01E09665" w14:textId="77777777" w:rsidTr="00AD1F54">
        <w:trPr>
          <w:cnfStyle w:val="000000010000" w:firstRow="0" w:lastRow="0" w:firstColumn="0" w:lastColumn="0" w:oddVBand="0" w:evenVBand="0" w:oddHBand="0" w:evenHBand="1" w:firstRowFirstColumn="0" w:firstRowLastColumn="0" w:lastRowFirstColumn="0" w:lastRowLastColumn="0"/>
        </w:trPr>
        <w:tc>
          <w:tcPr>
            <w:tcW w:w="1705" w:type="dxa"/>
          </w:tcPr>
          <w:p w14:paraId="6D88324F" w14:textId="77777777" w:rsidR="00AD1F54" w:rsidRPr="00264D5D" w:rsidRDefault="00941227">
            <w:pPr>
              <w:pStyle w:val="GOSTTablenorm"/>
              <w:widowControl w:val="0"/>
            </w:pPr>
            <w:r w:rsidRPr="00264D5D">
              <w:t>КБК</w:t>
            </w:r>
          </w:p>
          <w:p w14:paraId="1CFEF36B" w14:textId="77777777" w:rsidR="00AD1F54" w:rsidRPr="00264D5D" w:rsidRDefault="00AD1F54">
            <w:pPr>
              <w:pStyle w:val="GOSTTablenorm"/>
              <w:widowControl w:val="0"/>
            </w:pPr>
          </w:p>
        </w:tc>
        <w:tc>
          <w:tcPr>
            <w:tcW w:w="1701" w:type="dxa"/>
          </w:tcPr>
          <w:p w14:paraId="7BCD06F1" w14:textId="77777777" w:rsidR="00AD1F54" w:rsidRPr="00264D5D" w:rsidRDefault="00941227">
            <w:pPr>
              <w:pStyle w:val="GOSTTablenorm"/>
              <w:widowControl w:val="0"/>
            </w:pPr>
            <w:r w:rsidRPr="00264D5D">
              <w:t>MSC_KBK</w:t>
            </w:r>
          </w:p>
        </w:tc>
        <w:tc>
          <w:tcPr>
            <w:tcW w:w="567" w:type="dxa"/>
          </w:tcPr>
          <w:p w14:paraId="039038CD" w14:textId="77777777" w:rsidR="00AD1F54" w:rsidRPr="00264D5D" w:rsidRDefault="00941227">
            <w:pPr>
              <w:pStyle w:val="GOSTTablenorm"/>
              <w:widowControl w:val="0"/>
              <w:jc w:val="center"/>
            </w:pPr>
            <w:r w:rsidRPr="00264D5D">
              <w:t>С</w:t>
            </w:r>
          </w:p>
        </w:tc>
        <w:tc>
          <w:tcPr>
            <w:tcW w:w="1134" w:type="dxa"/>
          </w:tcPr>
          <w:p w14:paraId="4EDFBDA7" w14:textId="77777777" w:rsidR="00AD1F54" w:rsidRPr="00264D5D" w:rsidRDefault="00941227">
            <w:pPr>
              <w:pStyle w:val="GOSTTablenorm"/>
              <w:widowControl w:val="0"/>
              <w:rPr>
                <w:lang w:val="en-US"/>
              </w:rPr>
            </w:pPr>
            <w:r w:rsidRPr="00264D5D">
              <w:t>tMSC_KBK</w:t>
            </w:r>
          </w:p>
        </w:tc>
        <w:tc>
          <w:tcPr>
            <w:tcW w:w="567" w:type="dxa"/>
          </w:tcPr>
          <w:p w14:paraId="787B9DCF" w14:textId="77777777" w:rsidR="00AD1F54" w:rsidRPr="00264D5D" w:rsidRDefault="00941227">
            <w:pPr>
              <w:pStyle w:val="GOSTTablenorm"/>
              <w:widowControl w:val="0"/>
              <w:jc w:val="center"/>
            </w:pPr>
            <w:r w:rsidRPr="00264D5D">
              <w:t>О</w:t>
            </w:r>
          </w:p>
        </w:tc>
        <w:tc>
          <w:tcPr>
            <w:tcW w:w="3969" w:type="dxa"/>
          </w:tcPr>
          <w:p w14:paraId="39620EDA" w14:textId="2194F7C2" w:rsidR="00AD1F54" w:rsidRPr="00264D5D" w:rsidRDefault="00941227">
            <w:pPr>
              <w:pStyle w:val="GOSTTablenorm"/>
              <w:widowControl w:val="0"/>
            </w:pPr>
            <w:r w:rsidRPr="00264D5D">
              <w:t>Состав элемента представлен в таблице </w:t>
            </w:r>
            <w:r w:rsidRPr="00264D5D">
              <w:rPr>
                <w:b/>
              </w:rPr>
              <w:fldChar w:fldCharType="begin"/>
            </w:r>
            <w:r w:rsidRPr="00264D5D">
              <w:rPr>
                <w:b/>
              </w:rPr>
              <w:instrText xml:space="preserve"> REF _Ref492311413 \h  \* MERGEFORMAT </w:instrText>
            </w:r>
            <w:r w:rsidRPr="00264D5D">
              <w:rPr>
                <w:b/>
              </w:rPr>
            </w:r>
            <w:r w:rsidRPr="00264D5D">
              <w:rPr>
                <w:b/>
              </w:rPr>
              <w:fldChar w:fldCharType="separate"/>
            </w:r>
            <w:r w:rsidR="008D797C" w:rsidRPr="008D797C">
              <w:rPr>
                <w:b/>
              </w:rPr>
              <w:t>43</w:t>
            </w:r>
            <w:r w:rsidRPr="00264D5D">
              <w:rPr>
                <w:b/>
              </w:rPr>
              <w:fldChar w:fldCharType="end"/>
            </w:r>
          </w:p>
        </w:tc>
      </w:tr>
      <w:tr w:rsidR="00AD1F54" w:rsidRPr="00264D5D" w14:paraId="086531A4" w14:textId="77777777" w:rsidTr="00AD1F54">
        <w:trPr>
          <w:cnfStyle w:val="000000100000" w:firstRow="0" w:lastRow="0" w:firstColumn="0" w:lastColumn="0" w:oddVBand="0" w:evenVBand="0" w:oddHBand="1" w:evenHBand="0" w:firstRowFirstColumn="0" w:firstRowLastColumn="0" w:lastRowFirstColumn="0" w:lastRowLastColumn="0"/>
        </w:trPr>
        <w:tc>
          <w:tcPr>
            <w:tcW w:w="1705" w:type="dxa"/>
          </w:tcPr>
          <w:p w14:paraId="1FF641F6" w14:textId="77777777" w:rsidR="00AD1F54" w:rsidRPr="00264D5D" w:rsidRDefault="00941227">
            <w:pPr>
              <w:pStyle w:val="GOSTTablenorm"/>
              <w:widowControl w:val="0"/>
            </w:pPr>
            <w:r w:rsidRPr="00264D5D">
              <w:t xml:space="preserve">Сумма </w:t>
            </w:r>
          </w:p>
          <w:p w14:paraId="454D46B9" w14:textId="77777777" w:rsidR="00AD1F54" w:rsidRPr="00264D5D" w:rsidRDefault="00941227">
            <w:pPr>
              <w:pStyle w:val="GOSTTablenorm"/>
              <w:widowControl w:val="0"/>
            </w:pPr>
            <w:r w:rsidRPr="00264D5D">
              <w:t>на текущий финансовый год</w:t>
            </w:r>
          </w:p>
        </w:tc>
        <w:tc>
          <w:tcPr>
            <w:tcW w:w="1701" w:type="dxa"/>
          </w:tcPr>
          <w:p w14:paraId="409EF535" w14:textId="77777777" w:rsidR="00AD1F54" w:rsidRPr="00264D5D" w:rsidRDefault="00941227">
            <w:pPr>
              <w:pStyle w:val="GOSTTablenorm"/>
              <w:widowControl w:val="0"/>
            </w:pPr>
            <w:r w:rsidRPr="00264D5D">
              <w:t>Amnt</w:t>
            </w:r>
          </w:p>
        </w:tc>
        <w:tc>
          <w:tcPr>
            <w:tcW w:w="567" w:type="dxa"/>
          </w:tcPr>
          <w:p w14:paraId="2D31CF77" w14:textId="77777777" w:rsidR="00AD1F54" w:rsidRPr="00264D5D" w:rsidRDefault="00941227">
            <w:pPr>
              <w:pStyle w:val="GOSTTablenorm"/>
              <w:widowControl w:val="0"/>
              <w:jc w:val="center"/>
            </w:pPr>
            <w:r w:rsidRPr="00264D5D">
              <w:t>П</w:t>
            </w:r>
          </w:p>
        </w:tc>
        <w:tc>
          <w:tcPr>
            <w:tcW w:w="1134" w:type="dxa"/>
          </w:tcPr>
          <w:p w14:paraId="6AF0E092" w14:textId="77777777" w:rsidR="00AD1F54" w:rsidRPr="00264D5D" w:rsidRDefault="00941227">
            <w:pPr>
              <w:pStyle w:val="GOSTTablenorm"/>
              <w:widowControl w:val="0"/>
              <w:rPr>
                <w:lang w:val="en-US"/>
              </w:rPr>
            </w:pPr>
            <w:r w:rsidRPr="00264D5D">
              <w:rPr>
                <w:lang w:val="en-US"/>
              </w:rPr>
              <w:t>N(</w:t>
            </w:r>
            <w:r w:rsidRPr="00264D5D">
              <w:t>18</w:t>
            </w:r>
            <w:r w:rsidRPr="00264D5D">
              <w:rPr>
                <w:lang w:val="en-US"/>
              </w:rPr>
              <w:t>.2)</w:t>
            </w:r>
          </w:p>
        </w:tc>
        <w:tc>
          <w:tcPr>
            <w:tcW w:w="567" w:type="dxa"/>
          </w:tcPr>
          <w:p w14:paraId="35E420CC" w14:textId="77777777" w:rsidR="00AD1F54" w:rsidRPr="00264D5D" w:rsidRDefault="00941227">
            <w:pPr>
              <w:pStyle w:val="GOSTTablenorm"/>
              <w:widowControl w:val="0"/>
              <w:jc w:val="center"/>
            </w:pPr>
            <w:r w:rsidRPr="00264D5D">
              <w:t>О</w:t>
            </w:r>
          </w:p>
        </w:tc>
        <w:tc>
          <w:tcPr>
            <w:tcW w:w="3969" w:type="dxa"/>
          </w:tcPr>
          <w:p w14:paraId="0BCB1159" w14:textId="77777777" w:rsidR="00AD1F54" w:rsidRPr="00264D5D" w:rsidRDefault="00941227" w:rsidP="00BA58C1">
            <w:pPr>
              <w:pStyle w:val="GOSTTablenorm"/>
              <w:widowControl w:val="0"/>
            </w:pPr>
            <w:r w:rsidRPr="00264D5D">
              <w:t xml:space="preserve">Сумма </w:t>
            </w:r>
            <w:r w:rsidR="00BA58C1" w:rsidRPr="00264D5D">
              <w:t>на текущий финансовый год</w:t>
            </w:r>
          </w:p>
        </w:tc>
      </w:tr>
      <w:tr w:rsidR="00AD1F54" w:rsidRPr="00264D5D" w14:paraId="196DF1B2" w14:textId="77777777" w:rsidTr="00AD1F54">
        <w:trPr>
          <w:cnfStyle w:val="000000010000" w:firstRow="0" w:lastRow="0" w:firstColumn="0" w:lastColumn="0" w:oddVBand="0" w:evenVBand="0" w:oddHBand="0" w:evenHBand="1" w:firstRowFirstColumn="0" w:firstRowLastColumn="0" w:lastRowFirstColumn="0" w:lastRowLastColumn="0"/>
        </w:trPr>
        <w:tc>
          <w:tcPr>
            <w:tcW w:w="1705" w:type="dxa"/>
          </w:tcPr>
          <w:p w14:paraId="2D2E1DCC" w14:textId="77777777" w:rsidR="00AD1F54" w:rsidRPr="00264D5D" w:rsidRDefault="00941227">
            <w:pPr>
              <w:pStyle w:val="GOSTTablenorm"/>
              <w:widowControl w:val="0"/>
            </w:pPr>
            <w:r w:rsidRPr="00264D5D">
              <w:t>Примечание</w:t>
            </w:r>
          </w:p>
        </w:tc>
        <w:tc>
          <w:tcPr>
            <w:tcW w:w="1701" w:type="dxa"/>
          </w:tcPr>
          <w:p w14:paraId="5D39DDF2" w14:textId="77777777" w:rsidR="00AD1F54" w:rsidRPr="00264D5D" w:rsidRDefault="00941227">
            <w:pPr>
              <w:pStyle w:val="GOSTTablenorm"/>
              <w:widowControl w:val="0"/>
            </w:pPr>
            <w:r w:rsidRPr="00264D5D">
              <w:t>Nt</w:t>
            </w:r>
          </w:p>
        </w:tc>
        <w:tc>
          <w:tcPr>
            <w:tcW w:w="567" w:type="dxa"/>
          </w:tcPr>
          <w:p w14:paraId="100467A8" w14:textId="77777777" w:rsidR="00AD1F54" w:rsidRPr="00264D5D" w:rsidRDefault="00941227">
            <w:pPr>
              <w:pStyle w:val="GOSTTablenorm"/>
              <w:widowControl w:val="0"/>
              <w:jc w:val="center"/>
            </w:pPr>
            <w:r w:rsidRPr="00264D5D">
              <w:t>П</w:t>
            </w:r>
          </w:p>
        </w:tc>
        <w:tc>
          <w:tcPr>
            <w:tcW w:w="1134" w:type="dxa"/>
          </w:tcPr>
          <w:p w14:paraId="14094A3C" w14:textId="77777777" w:rsidR="00AD1F54" w:rsidRPr="00264D5D" w:rsidRDefault="00941227">
            <w:pPr>
              <w:pStyle w:val="GOSTTablenorm"/>
              <w:widowControl w:val="0"/>
              <w:rPr>
                <w:lang w:val="en-US"/>
              </w:rPr>
            </w:pPr>
            <w:r w:rsidRPr="00264D5D">
              <w:rPr>
                <w:lang w:val="en-US"/>
              </w:rPr>
              <w:t>T(1-254)</w:t>
            </w:r>
          </w:p>
        </w:tc>
        <w:tc>
          <w:tcPr>
            <w:tcW w:w="567" w:type="dxa"/>
          </w:tcPr>
          <w:p w14:paraId="4371AE19" w14:textId="77777777" w:rsidR="00AD1F54" w:rsidRPr="00264D5D" w:rsidRDefault="00941227">
            <w:pPr>
              <w:pStyle w:val="GOSTTablenorm"/>
              <w:widowControl w:val="0"/>
              <w:jc w:val="center"/>
            </w:pPr>
            <w:r w:rsidRPr="00264D5D">
              <w:t>Н</w:t>
            </w:r>
          </w:p>
        </w:tc>
        <w:tc>
          <w:tcPr>
            <w:tcW w:w="3969" w:type="dxa"/>
          </w:tcPr>
          <w:p w14:paraId="7B30C7CD" w14:textId="77777777" w:rsidR="00AD1F54" w:rsidRPr="00264D5D" w:rsidRDefault="00BA58C1">
            <w:pPr>
              <w:pStyle w:val="GOSTTablenorm"/>
              <w:widowControl w:val="0"/>
            </w:pPr>
            <w:r w:rsidRPr="00264D5D">
              <w:t>Примечание</w:t>
            </w:r>
          </w:p>
        </w:tc>
      </w:tr>
    </w:tbl>
    <w:p w14:paraId="29DDF4A2" w14:textId="77777777" w:rsidR="00AD1F54" w:rsidRPr="00264D5D" w:rsidRDefault="00941227">
      <w:pPr>
        <w:pStyle w:val="31"/>
      </w:pPr>
      <w:bookmarkStart w:id="685" w:name="_Toc490744741"/>
      <w:bookmarkStart w:id="686" w:name="_Toc21014552"/>
      <w:r w:rsidRPr="00264D5D">
        <w:t xml:space="preserve"> </w:t>
      </w:r>
      <w:bookmarkStart w:id="687" w:name="_Toc219309479"/>
      <w:r w:rsidRPr="00264D5D">
        <w:t>Описание комплексного типа «tMSC_KBK»</w:t>
      </w:r>
      <w:bookmarkEnd w:id="685"/>
      <w:bookmarkEnd w:id="686"/>
      <w:bookmarkEnd w:id="687"/>
    </w:p>
    <w:p w14:paraId="42FEC2D1" w14:textId="77777777" w:rsidR="00AD1F54" w:rsidRPr="00264D5D" w:rsidRDefault="00941227">
      <w:pPr>
        <w:pStyle w:val="GOSTNormal"/>
        <w:widowControl w:val="0"/>
      </w:pPr>
      <w:r w:rsidRPr="00264D5D">
        <w:t>Описание комплексного типа «tMSC_KBK» блока «КБК».</w:t>
      </w:r>
    </w:p>
    <w:bookmarkStart w:id="688" w:name="_Ref492293764"/>
    <w:p w14:paraId="4284AF35" w14:textId="449A5631" w:rsidR="00AD1F54" w:rsidRPr="00264D5D" w:rsidRDefault="00941227">
      <w:pPr>
        <w:pStyle w:val="GOSTNameTable"/>
        <w:widowControl w:val="0"/>
        <w:numPr>
          <w:ilvl w:val="0"/>
          <w:numId w:val="2"/>
        </w:numPr>
        <w:spacing w:before="60"/>
        <w:ind w:left="425" w:hanging="357"/>
      </w:pPr>
      <w:r w:rsidRPr="00264D5D">
        <w:fldChar w:fldCharType="begin"/>
      </w:r>
      <w:r w:rsidRPr="00264D5D">
        <w:instrText>SEQ Таблица \* ARABIC</w:instrText>
      </w:r>
      <w:r w:rsidRPr="00264D5D">
        <w:fldChar w:fldCharType="separate"/>
      </w:r>
      <w:bookmarkStart w:id="689" w:name="_Ref492311413"/>
      <w:bookmarkStart w:id="690" w:name="_Toc21014645"/>
      <w:bookmarkStart w:id="691" w:name="_Toc219309073"/>
      <w:r w:rsidR="008D797C">
        <w:rPr>
          <w:noProof/>
        </w:rPr>
        <w:t>43</w:t>
      </w:r>
      <w:bookmarkEnd w:id="689"/>
      <w:r w:rsidRPr="00264D5D">
        <w:fldChar w:fldCharType="end"/>
      </w:r>
      <w:r w:rsidRPr="00264D5D">
        <w:t xml:space="preserve"> – Описание </w:t>
      </w:r>
      <w:bookmarkEnd w:id="688"/>
      <w:bookmarkEnd w:id="690"/>
      <w:r w:rsidRPr="00264D5D">
        <w:t>комплексного типа «tMSC_KBK»</w:t>
      </w:r>
      <w:bookmarkEnd w:id="691"/>
    </w:p>
    <w:tbl>
      <w:tblPr>
        <w:tblStyle w:val="GOSTTable"/>
        <w:tblW w:w="5000" w:type="pct"/>
        <w:tblLayout w:type="fixed"/>
        <w:tblLook w:val="04A0" w:firstRow="1" w:lastRow="0" w:firstColumn="1" w:lastColumn="0" w:noHBand="0" w:noVBand="1"/>
      </w:tblPr>
      <w:tblGrid>
        <w:gridCol w:w="1707"/>
        <w:gridCol w:w="1702"/>
        <w:gridCol w:w="567"/>
        <w:gridCol w:w="1135"/>
        <w:gridCol w:w="567"/>
        <w:gridCol w:w="3972"/>
      </w:tblGrid>
      <w:tr w:rsidR="00AD1F54" w:rsidRPr="00264D5D" w14:paraId="7C513629"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5" w:type="dxa"/>
          </w:tcPr>
          <w:p w14:paraId="77425194" w14:textId="77777777" w:rsidR="00AD1F54" w:rsidRPr="00264D5D" w:rsidRDefault="00941227">
            <w:pPr>
              <w:pStyle w:val="GOSTTableHead"/>
              <w:keepNext w:val="0"/>
              <w:widowControl w:val="0"/>
            </w:pPr>
            <w:r w:rsidRPr="00264D5D">
              <w:rPr>
                <w:szCs w:val="22"/>
              </w:rPr>
              <w:t>Наименование элемента</w:t>
            </w:r>
          </w:p>
        </w:tc>
        <w:tc>
          <w:tcPr>
            <w:tcW w:w="1701" w:type="dxa"/>
          </w:tcPr>
          <w:p w14:paraId="464085FD" w14:textId="77777777" w:rsidR="00AD1F54" w:rsidRPr="00264D5D" w:rsidRDefault="00941227">
            <w:pPr>
              <w:pStyle w:val="GOSTTableHead"/>
              <w:keepNext w:val="0"/>
              <w:widowControl w:val="0"/>
            </w:pPr>
            <w:r w:rsidRPr="00264D5D">
              <w:rPr>
                <w:szCs w:val="22"/>
              </w:rPr>
              <w:t>Сокращенное наименование (код) элемента</w:t>
            </w:r>
          </w:p>
        </w:tc>
        <w:tc>
          <w:tcPr>
            <w:tcW w:w="567" w:type="dxa"/>
          </w:tcPr>
          <w:p w14:paraId="3461120E" w14:textId="77777777" w:rsidR="00AD1F54" w:rsidRPr="00264D5D" w:rsidRDefault="00941227">
            <w:pPr>
              <w:pStyle w:val="GOSTTableHead"/>
              <w:keepNext w:val="0"/>
              <w:widowControl w:val="0"/>
            </w:pPr>
            <w:r w:rsidRPr="00264D5D">
              <w:rPr>
                <w:szCs w:val="22"/>
              </w:rPr>
              <w:t>Тип</w:t>
            </w:r>
          </w:p>
        </w:tc>
        <w:tc>
          <w:tcPr>
            <w:tcW w:w="1134" w:type="dxa"/>
          </w:tcPr>
          <w:p w14:paraId="0AFE6015" w14:textId="77777777" w:rsidR="00AD1F54" w:rsidRPr="00264D5D" w:rsidRDefault="00941227">
            <w:pPr>
              <w:pStyle w:val="GOSTTableHead"/>
              <w:keepNext w:val="0"/>
              <w:widowControl w:val="0"/>
            </w:pPr>
            <w:r w:rsidRPr="00264D5D">
              <w:rPr>
                <w:szCs w:val="22"/>
              </w:rPr>
              <w:t>Формат элемента</w:t>
            </w:r>
          </w:p>
        </w:tc>
        <w:tc>
          <w:tcPr>
            <w:tcW w:w="567" w:type="dxa"/>
          </w:tcPr>
          <w:p w14:paraId="5BB8B38F" w14:textId="77777777" w:rsidR="00AD1F54" w:rsidRPr="00264D5D" w:rsidRDefault="00941227">
            <w:pPr>
              <w:pStyle w:val="GOSTTableHead"/>
              <w:keepNext w:val="0"/>
              <w:widowControl w:val="0"/>
            </w:pPr>
            <w:r w:rsidRPr="00264D5D">
              <w:rPr>
                <w:szCs w:val="22"/>
              </w:rPr>
              <w:t>Обязательность</w:t>
            </w:r>
          </w:p>
        </w:tc>
        <w:tc>
          <w:tcPr>
            <w:tcW w:w="3969" w:type="dxa"/>
          </w:tcPr>
          <w:p w14:paraId="57CD5C0D" w14:textId="77777777" w:rsidR="00AD1F54" w:rsidRPr="00264D5D" w:rsidRDefault="00941227">
            <w:pPr>
              <w:pStyle w:val="GOSTTableHead"/>
              <w:keepNext w:val="0"/>
              <w:widowControl w:val="0"/>
            </w:pPr>
            <w:r w:rsidRPr="00264D5D">
              <w:rPr>
                <w:szCs w:val="22"/>
              </w:rPr>
              <w:t>Дополнительная информация</w:t>
            </w:r>
          </w:p>
        </w:tc>
      </w:tr>
      <w:tr w:rsidR="00AD1F54" w:rsidRPr="00264D5D" w14:paraId="23E5297E" w14:textId="77777777" w:rsidTr="00AD1F54">
        <w:trPr>
          <w:cnfStyle w:val="000000100000" w:firstRow="0" w:lastRow="0" w:firstColumn="0" w:lastColumn="0" w:oddVBand="0" w:evenVBand="0" w:oddHBand="1" w:evenHBand="0" w:firstRowFirstColumn="0" w:firstRowLastColumn="0" w:lastRowFirstColumn="0" w:lastRowLastColumn="0"/>
        </w:trPr>
        <w:tc>
          <w:tcPr>
            <w:tcW w:w="1705" w:type="dxa"/>
          </w:tcPr>
          <w:p w14:paraId="5297C21F" w14:textId="77777777" w:rsidR="00AD1F54" w:rsidRPr="00264D5D" w:rsidRDefault="00941227">
            <w:pPr>
              <w:pStyle w:val="GOSTTablenorm"/>
              <w:widowControl w:val="0"/>
            </w:pPr>
            <w:r w:rsidRPr="00264D5D">
              <w:t>Код по БК</w:t>
            </w:r>
          </w:p>
        </w:tc>
        <w:tc>
          <w:tcPr>
            <w:tcW w:w="1701" w:type="dxa"/>
          </w:tcPr>
          <w:p w14:paraId="22FF0996" w14:textId="77777777" w:rsidR="00AD1F54" w:rsidRPr="00264D5D" w:rsidRDefault="00941227">
            <w:pPr>
              <w:pStyle w:val="GOSTTablenorm"/>
              <w:widowControl w:val="0"/>
            </w:pPr>
            <w:r w:rsidRPr="00264D5D">
              <w:t>KBK</w:t>
            </w:r>
          </w:p>
        </w:tc>
        <w:tc>
          <w:tcPr>
            <w:tcW w:w="567" w:type="dxa"/>
          </w:tcPr>
          <w:p w14:paraId="2D1F8FAB" w14:textId="77777777" w:rsidR="00AD1F54" w:rsidRPr="00264D5D" w:rsidRDefault="00941227">
            <w:pPr>
              <w:pStyle w:val="GOSTTablenorm"/>
              <w:widowControl w:val="0"/>
              <w:jc w:val="center"/>
            </w:pPr>
            <w:r w:rsidRPr="00264D5D">
              <w:t>П</w:t>
            </w:r>
          </w:p>
        </w:tc>
        <w:tc>
          <w:tcPr>
            <w:tcW w:w="1134" w:type="dxa"/>
          </w:tcPr>
          <w:p w14:paraId="2ED7543C" w14:textId="77777777" w:rsidR="00AD1F54" w:rsidRPr="00264D5D" w:rsidRDefault="00941227">
            <w:pPr>
              <w:pStyle w:val="GOSTTablenorm"/>
              <w:widowControl w:val="0"/>
              <w:rPr>
                <w:lang w:val="en-US"/>
              </w:rPr>
            </w:pPr>
            <w:r w:rsidRPr="00264D5D">
              <w:rPr>
                <w:lang w:val="en-US"/>
              </w:rPr>
              <w:t>T(20)</w:t>
            </w:r>
          </w:p>
        </w:tc>
        <w:tc>
          <w:tcPr>
            <w:tcW w:w="567" w:type="dxa"/>
          </w:tcPr>
          <w:p w14:paraId="15C755B8" w14:textId="77777777" w:rsidR="00AD1F54" w:rsidRPr="00264D5D" w:rsidRDefault="00941227">
            <w:pPr>
              <w:pStyle w:val="GOSTTablenorm"/>
              <w:widowControl w:val="0"/>
              <w:jc w:val="center"/>
            </w:pPr>
            <w:r w:rsidRPr="00264D5D">
              <w:t>О</w:t>
            </w:r>
          </w:p>
        </w:tc>
        <w:tc>
          <w:tcPr>
            <w:tcW w:w="3969" w:type="dxa"/>
          </w:tcPr>
          <w:p w14:paraId="1B30381B" w14:textId="77777777" w:rsidR="00AD1F54" w:rsidRPr="00264D5D" w:rsidRDefault="00BA58C1">
            <w:pPr>
              <w:widowControl w:val="0"/>
              <w:spacing w:before="60" w:after="60"/>
              <w:rPr>
                <w:sz w:val="22"/>
                <w:szCs w:val="22"/>
              </w:rPr>
            </w:pPr>
            <w:r w:rsidRPr="00264D5D">
              <w:rPr>
                <w:sz w:val="22"/>
                <w:szCs w:val="22"/>
              </w:rPr>
              <w:t>Код по БК</w:t>
            </w:r>
          </w:p>
        </w:tc>
      </w:tr>
      <w:tr w:rsidR="00AD1F54" w:rsidRPr="00264D5D" w14:paraId="5C532235" w14:textId="77777777" w:rsidTr="00AD1F54">
        <w:trPr>
          <w:cnfStyle w:val="000000010000" w:firstRow="0" w:lastRow="0" w:firstColumn="0" w:lastColumn="0" w:oddVBand="0" w:evenVBand="0" w:oddHBand="0" w:evenHBand="1" w:firstRowFirstColumn="0" w:firstRowLastColumn="0" w:lastRowFirstColumn="0" w:lastRowLastColumn="0"/>
        </w:trPr>
        <w:tc>
          <w:tcPr>
            <w:tcW w:w="1705" w:type="dxa"/>
          </w:tcPr>
          <w:p w14:paraId="29759DC4" w14:textId="77777777" w:rsidR="00AD1F54" w:rsidRPr="00264D5D" w:rsidRDefault="00941227">
            <w:pPr>
              <w:pStyle w:val="GOSTTablenorm"/>
              <w:widowControl w:val="0"/>
            </w:pPr>
            <w:r w:rsidRPr="00264D5D">
              <w:t>Код цели</w:t>
            </w:r>
          </w:p>
        </w:tc>
        <w:tc>
          <w:tcPr>
            <w:tcW w:w="1701" w:type="dxa"/>
          </w:tcPr>
          <w:p w14:paraId="20323DA0" w14:textId="77777777" w:rsidR="00AD1F54" w:rsidRPr="00264D5D" w:rsidRDefault="00941227">
            <w:pPr>
              <w:pStyle w:val="GOSTTablenorm"/>
              <w:widowControl w:val="0"/>
            </w:pPr>
            <w:r w:rsidRPr="00264D5D">
              <w:t>TrgtCd</w:t>
            </w:r>
          </w:p>
        </w:tc>
        <w:tc>
          <w:tcPr>
            <w:tcW w:w="567" w:type="dxa"/>
          </w:tcPr>
          <w:p w14:paraId="4272D94C" w14:textId="77777777" w:rsidR="00AD1F54" w:rsidRPr="00264D5D" w:rsidRDefault="00941227">
            <w:pPr>
              <w:pStyle w:val="GOSTTablenorm"/>
              <w:widowControl w:val="0"/>
              <w:jc w:val="center"/>
            </w:pPr>
            <w:r w:rsidRPr="00264D5D">
              <w:t>П</w:t>
            </w:r>
          </w:p>
        </w:tc>
        <w:tc>
          <w:tcPr>
            <w:tcW w:w="1134" w:type="dxa"/>
          </w:tcPr>
          <w:p w14:paraId="4B071EF6" w14:textId="77777777" w:rsidR="00AD1F54" w:rsidRPr="00264D5D" w:rsidRDefault="00941227">
            <w:pPr>
              <w:pStyle w:val="GOSTTablenorm"/>
              <w:widowControl w:val="0"/>
            </w:pPr>
            <w:r w:rsidRPr="00264D5D">
              <w:rPr>
                <w:lang w:val="en-US"/>
              </w:rPr>
              <w:t>T(1-20)</w:t>
            </w:r>
          </w:p>
        </w:tc>
        <w:tc>
          <w:tcPr>
            <w:tcW w:w="567" w:type="dxa"/>
          </w:tcPr>
          <w:p w14:paraId="6B3BA1D9" w14:textId="77777777" w:rsidR="00AD1F54" w:rsidRPr="00264D5D" w:rsidRDefault="00941227">
            <w:pPr>
              <w:pStyle w:val="GOSTTablenorm"/>
              <w:widowControl w:val="0"/>
              <w:jc w:val="center"/>
            </w:pPr>
            <w:r w:rsidRPr="00264D5D">
              <w:t>Н</w:t>
            </w:r>
          </w:p>
        </w:tc>
        <w:tc>
          <w:tcPr>
            <w:tcW w:w="3969" w:type="dxa"/>
          </w:tcPr>
          <w:p w14:paraId="69BD03E8" w14:textId="77777777" w:rsidR="00AD1F54" w:rsidRPr="00264D5D" w:rsidRDefault="00941227">
            <w:pPr>
              <w:pStyle w:val="GOSTTablenorm"/>
              <w:widowControl w:val="0"/>
            </w:pPr>
            <w:r w:rsidRPr="00264D5D">
              <w:t>Код цели (аналитический код).</w:t>
            </w:r>
          </w:p>
          <w:p w14:paraId="134BC1B6" w14:textId="77777777" w:rsidR="00AD1F54" w:rsidRPr="00264D5D" w:rsidRDefault="00941227">
            <w:pPr>
              <w:pStyle w:val="GOSTTablenorm"/>
              <w:widowControl w:val="0"/>
            </w:pPr>
            <w:r w:rsidRPr="00264D5D">
              <w:t>По расходам бюджетов, источником финансового обеспечения которых являются субсидии, субвенции, иные целевые межбюджетные трансферты из ФБ, поле заполняется в соответствии с переч</w:t>
            </w:r>
            <w:r w:rsidR="00BA58C1" w:rsidRPr="00264D5D">
              <w:t>нем кодов целей, присвоенных ФК</w:t>
            </w:r>
          </w:p>
        </w:tc>
      </w:tr>
    </w:tbl>
    <w:p w14:paraId="7C5422D7" w14:textId="03A5B509" w:rsidR="00AD1F54" w:rsidRPr="00AD76D2" w:rsidRDefault="00941227">
      <w:pPr>
        <w:pStyle w:val="31"/>
        <w:rPr>
          <w:highlight w:val="green"/>
        </w:rPr>
      </w:pPr>
      <w:bookmarkStart w:id="692" w:name="_Toc21014553"/>
      <w:r w:rsidRPr="00264D5D">
        <w:t xml:space="preserve"> </w:t>
      </w:r>
      <w:bookmarkStart w:id="693" w:name="_Toc219309480"/>
      <w:r w:rsidRPr="00AD76D2">
        <w:rPr>
          <w:highlight w:val="green"/>
        </w:rPr>
        <w:t>Описание комплексного типа «tMSC_ScrcSgnComplex</w:t>
      </w:r>
      <w:r w:rsidR="00AD76D2" w:rsidRPr="00AD76D2">
        <w:rPr>
          <w:highlight w:val="green"/>
        </w:rPr>
        <w:t>2</w:t>
      </w:r>
      <w:r w:rsidRPr="00AD76D2">
        <w:rPr>
          <w:highlight w:val="green"/>
        </w:rPr>
        <w:t>»</w:t>
      </w:r>
      <w:bookmarkEnd w:id="692"/>
      <w:bookmarkEnd w:id="693"/>
    </w:p>
    <w:p w14:paraId="42C99F45" w14:textId="4215DD96" w:rsidR="00AD1F54" w:rsidRPr="00264D5D" w:rsidRDefault="00941227">
      <w:pPr>
        <w:pStyle w:val="GOSTNormal"/>
        <w:widowControl w:val="0"/>
      </w:pPr>
      <w:r w:rsidRPr="00264D5D">
        <w:t>Описание комплексного типа «tMSC_ScrcSgnComplex</w:t>
      </w:r>
      <w:r w:rsidR="00AD76D2" w:rsidRPr="00AD76D2">
        <w:rPr>
          <w:highlight w:val="green"/>
        </w:rPr>
        <w:t>2</w:t>
      </w:r>
      <w:r w:rsidRPr="00264D5D">
        <w:t>» блока «Уровень конфиденциальности».</w:t>
      </w:r>
    </w:p>
    <w:p w14:paraId="4BEFFBFF" w14:textId="25115ACD" w:rsidR="00AD1F54" w:rsidRPr="00AD76D2" w:rsidRDefault="00941227">
      <w:pPr>
        <w:pStyle w:val="GOSTNameTable"/>
        <w:widowControl w:val="0"/>
        <w:numPr>
          <w:ilvl w:val="0"/>
          <w:numId w:val="2"/>
        </w:numPr>
        <w:spacing w:before="60"/>
        <w:ind w:left="425" w:hanging="357"/>
        <w:rPr>
          <w:highlight w:val="green"/>
        </w:rPr>
      </w:pPr>
      <w:r w:rsidRPr="00AD76D2">
        <w:rPr>
          <w:highlight w:val="green"/>
        </w:rPr>
        <w:fldChar w:fldCharType="begin"/>
      </w:r>
      <w:r w:rsidRPr="00AD76D2">
        <w:rPr>
          <w:highlight w:val="green"/>
        </w:rPr>
        <w:instrText>SEQ Таблица \* ARABIC</w:instrText>
      </w:r>
      <w:r w:rsidRPr="00AD76D2">
        <w:rPr>
          <w:highlight w:val="green"/>
        </w:rPr>
        <w:fldChar w:fldCharType="separate"/>
      </w:r>
      <w:bookmarkStart w:id="694" w:name="_Ref492311012"/>
      <w:bookmarkStart w:id="695" w:name="_Toc21014646"/>
      <w:bookmarkStart w:id="696" w:name="_Toc219309074"/>
      <w:r w:rsidR="008D797C">
        <w:rPr>
          <w:noProof/>
          <w:highlight w:val="green"/>
        </w:rPr>
        <w:t>44</w:t>
      </w:r>
      <w:bookmarkEnd w:id="694"/>
      <w:r w:rsidRPr="00AD76D2">
        <w:rPr>
          <w:highlight w:val="green"/>
        </w:rPr>
        <w:fldChar w:fldCharType="end"/>
      </w:r>
      <w:r w:rsidRPr="00AD76D2">
        <w:rPr>
          <w:highlight w:val="green"/>
        </w:rPr>
        <w:t xml:space="preserve"> – Описание </w:t>
      </w:r>
      <w:bookmarkEnd w:id="695"/>
      <w:r w:rsidRPr="00AD76D2">
        <w:rPr>
          <w:highlight w:val="green"/>
        </w:rPr>
        <w:t>комплексного типа «tMSC_ScrcSgnComplex</w:t>
      </w:r>
      <w:r w:rsidR="00AD76D2" w:rsidRPr="00AD76D2">
        <w:rPr>
          <w:highlight w:val="green"/>
        </w:rPr>
        <w:t>2</w:t>
      </w:r>
      <w:r w:rsidRPr="00AD76D2">
        <w:rPr>
          <w:highlight w:val="green"/>
        </w:rPr>
        <w:t>»</w:t>
      </w:r>
      <w:bookmarkEnd w:id="6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707"/>
        <w:gridCol w:w="1704"/>
        <w:gridCol w:w="568"/>
        <w:gridCol w:w="1136"/>
        <w:gridCol w:w="568"/>
        <w:gridCol w:w="3975"/>
      </w:tblGrid>
      <w:tr w:rsidR="00AD1F54" w:rsidRPr="00264D5D" w14:paraId="6780BB21" w14:textId="77777777" w:rsidTr="00AD76D2">
        <w:trPr>
          <w:tblHeader/>
          <w:jc w:val="center"/>
        </w:trPr>
        <w:tc>
          <w:tcPr>
            <w:tcW w:w="1707" w:type="dxa"/>
            <w:shd w:val="clear" w:color="auto" w:fill="E7E6E6" w:themeFill="background2"/>
            <w:vAlign w:val="center"/>
          </w:tcPr>
          <w:p w14:paraId="50A34EFC" w14:textId="77777777" w:rsidR="00AD1F54" w:rsidRPr="00264D5D" w:rsidRDefault="00941227">
            <w:pPr>
              <w:pStyle w:val="GOSTTableHead"/>
              <w:keepNext w:val="0"/>
              <w:widowControl w:val="0"/>
            </w:pPr>
            <w:r w:rsidRPr="00264D5D">
              <w:rPr>
                <w:szCs w:val="22"/>
              </w:rPr>
              <w:t>Наименование элемента</w:t>
            </w:r>
          </w:p>
        </w:tc>
        <w:tc>
          <w:tcPr>
            <w:tcW w:w="1704" w:type="dxa"/>
            <w:shd w:val="clear" w:color="auto" w:fill="E7E6E6" w:themeFill="background2"/>
            <w:vAlign w:val="center"/>
          </w:tcPr>
          <w:p w14:paraId="241A0239" w14:textId="77777777" w:rsidR="00AD1F54" w:rsidRPr="00264D5D" w:rsidRDefault="00941227">
            <w:pPr>
              <w:pStyle w:val="GOSTTableHead"/>
              <w:keepNext w:val="0"/>
              <w:widowControl w:val="0"/>
            </w:pPr>
            <w:r w:rsidRPr="00264D5D">
              <w:rPr>
                <w:szCs w:val="22"/>
              </w:rPr>
              <w:t>Сокращенное наименование (код) элемента</w:t>
            </w:r>
          </w:p>
        </w:tc>
        <w:tc>
          <w:tcPr>
            <w:tcW w:w="568" w:type="dxa"/>
            <w:shd w:val="clear" w:color="auto" w:fill="E7E6E6" w:themeFill="background2"/>
            <w:vAlign w:val="center"/>
          </w:tcPr>
          <w:p w14:paraId="14D41508" w14:textId="77777777" w:rsidR="00AD1F54" w:rsidRPr="00264D5D" w:rsidRDefault="00941227">
            <w:pPr>
              <w:pStyle w:val="GOSTTableHead"/>
              <w:keepNext w:val="0"/>
              <w:widowControl w:val="0"/>
            </w:pPr>
            <w:r w:rsidRPr="00264D5D">
              <w:rPr>
                <w:szCs w:val="22"/>
              </w:rPr>
              <w:t>Тип</w:t>
            </w:r>
          </w:p>
        </w:tc>
        <w:tc>
          <w:tcPr>
            <w:tcW w:w="1136" w:type="dxa"/>
            <w:shd w:val="clear" w:color="auto" w:fill="E7E6E6" w:themeFill="background2"/>
            <w:vAlign w:val="center"/>
          </w:tcPr>
          <w:p w14:paraId="2737A2F5" w14:textId="77777777" w:rsidR="00AD1F54" w:rsidRPr="00264D5D" w:rsidRDefault="00941227">
            <w:pPr>
              <w:pStyle w:val="GOSTTableHead"/>
              <w:keepNext w:val="0"/>
              <w:widowControl w:val="0"/>
            </w:pPr>
            <w:r w:rsidRPr="00264D5D">
              <w:rPr>
                <w:szCs w:val="22"/>
              </w:rPr>
              <w:t>Формат элемента</w:t>
            </w:r>
          </w:p>
        </w:tc>
        <w:tc>
          <w:tcPr>
            <w:tcW w:w="568" w:type="dxa"/>
            <w:shd w:val="clear" w:color="auto" w:fill="E7E6E6" w:themeFill="background2"/>
            <w:vAlign w:val="center"/>
          </w:tcPr>
          <w:p w14:paraId="1C735CAF" w14:textId="77777777" w:rsidR="00AD1F54" w:rsidRPr="00264D5D" w:rsidRDefault="00941227">
            <w:pPr>
              <w:pStyle w:val="GOSTTableHead"/>
              <w:keepNext w:val="0"/>
              <w:widowControl w:val="0"/>
            </w:pPr>
            <w:r w:rsidRPr="00264D5D">
              <w:rPr>
                <w:szCs w:val="22"/>
              </w:rPr>
              <w:t>Обязательность</w:t>
            </w:r>
          </w:p>
        </w:tc>
        <w:tc>
          <w:tcPr>
            <w:tcW w:w="3975" w:type="dxa"/>
            <w:shd w:val="clear" w:color="auto" w:fill="E7E6E6" w:themeFill="background2"/>
            <w:vAlign w:val="center"/>
          </w:tcPr>
          <w:p w14:paraId="10B76A96" w14:textId="77777777" w:rsidR="00AD1F54" w:rsidRPr="00264D5D" w:rsidRDefault="00941227">
            <w:pPr>
              <w:pStyle w:val="GOSTTableHead"/>
              <w:keepNext w:val="0"/>
              <w:widowControl w:val="0"/>
            </w:pPr>
            <w:r w:rsidRPr="00264D5D">
              <w:rPr>
                <w:szCs w:val="22"/>
              </w:rPr>
              <w:t>Дополнительная информация</w:t>
            </w:r>
          </w:p>
        </w:tc>
      </w:tr>
      <w:tr w:rsidR="00AD76D2" w:rsidRPr="00264D5D" w14:paraId="1358EE16" w14:textId="77777777" w:rsidTr="00AD76D2">
        <w:trPr>
          <w:jc w:val="center"/>
        </w:trPr>
        <w:tc>
          <w:tcPr>
            <w:tcW w:w="1707" w:type="dxa"/>
            <w:shd w:val="clear" w:color="auto" w:fill="FFFFFF"/>
          </w:tcPr>
          <w:p w14:paraId="5097DB7F" w14:textId="77777777" w:rsidR="00AD76D2" w:rsidRPr="00264D5D" w:rsidRDefault="00AD76D2" w:rsidP="00AD76D2">
            <w:pPr>
              <w:pStyle w:val="GOSTTablenorm"/>
              <w:widowControl w:val="0"/>
              <w:jc w:val="left"/>
            </w:pPr>
            <w:r w:rsidRPr="00264D5D">
              <w:t>Код уровня конфиденциальности</w:t>
            </w:r>
          </w:p>
        </w:tc>
        <w:tc>
          <w:tcPr>
            <w:tcW w:w="1704" w:type="dxa"/>
            <w:shd w:val="clear" w:color="auto" w:fill="FFFFFF"/>
          </w:tcPr>
          <w:p w14:paraId="6CCC704D" w14:textId="77777777" w:rsidR="00AD76D2" w:rsidRPr="00264D5D" w:rsidRDefault="00AD76D2" w:rsidP="00AD76D2">
            <w:pPr>
              <w:pStyle w:val="GOSTTablenorm"/>
              <w:widowControl w:val="0"/>
            </w:pPr>
            <w:r w:rsidRPr="00264D5D">
              <w:t>code</w:t>
            </w:r>
          </w:p>
        </w:tc>
        <w:tc>
          <w:tcPr>
            <w:tcW w:w="568" w:type="dxa"/>
            <w:shd w:val="clear" w:color="auto" w:fill="FFFFFF"/>
          </w:tcPr>
          <w:p w14:paraId="79FD19A7" w14:textId="77777777" w:rsidR="00AD76D2" w:rsidRPr="00264D5D" w:rsidRDefault="00AD76D2" w:rsidP="00AD76D2">
            <w:pPr>
              <w:pStyle w:val="GOSTTablenorm"/>
              <w:widowControl w:val="0"/>
              <w:jc w:val="center"/>
            </w:pPr>
            <w:r w:rsidRPr="00264D5D">
              <w:t>А</w:t>
            </w:r>
          </w:p>
        </w:tc>
        <w:tc>
          <w:tcPr>
            <w:tcW w:w="1136" w:type="dxa"/>
            <w:shd w:val="clear" w:color="auto" w:fill="FFFFFF"/>
          </w:tcPr>
          <w:p w14:paraId="7DCE1A38" w14:textId="77777777" w:rsidR="00AD76D2" w:rsidRPr="00264D5D" w:rsidRDefault="00AD76D2" w:rsidP="00AD76D2">
            <w:pPr>
              <w:pStyle w:val="GOSTTablenorm"/>
              <w:widowControl w:val="0"/>
              <w:rPr>
                <w:lang w:val="en-US"/>
              </w:rPr>
            </w:pPr>
            <w:r w:rsidRPr="00264D5D">
              <w:rPr>
                <w:lang w:val="en-US"/>
              </w:rPr>
              <w:t>-</w:t>
            </w:r>
          </w:p>
        </w:tc>
        <w:tc>
          <w:tcPr>
            <w:tcW w:w="568" w:type="dxa"/>
            <w:shd w:val="clear" w:color="auto" w:fill="FFFFFF"/>
          </w:tcPr>
          <w:p w14:paraId="66D0CE9A" w14:textId="77777777" w:rsidR="00AD76D2" w:rsidRPr="00264D5D" w:rsidRDefault="00AD76D2" w:rsidP="00AD76D2">
            <w:pPr>
              <w:pStyle w:val="GOSTTablenorm"/>
              <w:widowControl w:val="0"/>
              <w:jc w:val="center"/>
            </w:pPr>
            <w:r w:rsidRPr="00264D5D">
              <w:t>О</w:t>
            </w:r>
          </w:p>
        </w:tc>
        <w:tc>
          <w:tcPr>
            <w:tcW w:w="3975" w:type="dxa"/>
            <w:shd w:val="clear" w:color="auto" w:fill="FFFFFF"/>
          </w:tcPr>
          <w:p w14:paraId="4520219E" w14:textId="77777777" w:rsidR="00AD76D2" w:rsidRPr="00B872F5" w:rsidRDefault="00AD76D2" w:rsidP="00AD76D2">
            <w:pPr>
              <w:pStyle w:val="GOSTTablenorm"/>
              <w:widowControl w:val="0"/>
              <w:rPr>
                <w:szCs w:val="22"/>
              </w:rPr>
            </w:pPr>
            <w:r w:rsidRPr="00B872F5">
              <w:rPr>
                <w:szCs w:val="22"/>
              </w:rPr>
              <w:t>Возможные значения:</w:t>
            </w:r>
          </w:p>
          <w:p w14:paraId="7CB67EEA" w14:textId="77777777" w:rsidR="00AD76D2" w:rsidRPr="00B872F5" w:rsidRDefault="00AD76D2" w:rsidP="00AD76D2">
            <w:pPr>
              <w:pStyle w:val="GOSTTableListMark1"/>
              <w:widowControl w:val="0"/>
              <w:numPr>
                <w:ilvl w:val="0"/>
                <w:numId w:val="65"/>
              </w:numPr>
              <w:spacing w:before="60" w:after="60"/>
              <w:jc w:val="both"/>
              <w:rPr>
                <w:szCs w:val="22"/>
              </w:rPr>
            </w:pPr>
            <w:r w:rsidRPr="00B872F5">
              <w:rPr>
                <w:szCs w:val="22"/>
              </w:rPr>
              <w:t>0 – несекретно;</w:t>
            </w:r>
          </w:p>
          <w:p w14:paraId="002FD305" w14:textId="77777777" w:rsidR="00AD76D2" w:rsidRPr="00B872F5" w:rsidRDefault="00AD76D2" w:rsidP="00AD76D2">
            <w:pPr>
              <w:pStyle w:val="GOSTTableListMark1"/>
              <w:widowControl w:val="0"/>
              <w:numPr>
                <w:ilvl w:val="0"/>
                <w:numId w:val="65"/>
              </w:numPr>
              <w:spacing w:before="60" w:after="60"/>
              <w:jc w:val="both"/>
              <w:rPr>
                <w:szCs w:val="22"/>
              </w:rPr>
            </w:pPr>
            <w:r w:rsidRPr="00B872F5">
              <w:rPr>
                <w:szCs w:val="22"/>
              </w:rPr>
              <w:t>1 – для служебного пользования;</w:t>
            </w:r>
          </w:p>
          <w:p w14:paraId="45BF0B9B" w14:textId="77777777" w:rsidR="00AD76D2" w:rsidRPr="00B872F5" w:rsidRDefault="00AD76D2" w:rsidP="00AD76D2">
            <w:pPr>
              <w:pStyle w:val="GOSTTableListMark1"/>
              <w:widowControl w:val="0"/>
              <w:numPr>
                <w:ilvl w:val="0"/>
                <w:numId w:val="65"/>
              </w:numPr>
              <w:spacing w:before="60" w:after="60"/>
              <w:ind w:left="284"/>
              <w:jc w:val="both"/>
              <w:rPr>
                <w:szCs w:val="22"/>
                <w:highlight w:val="green"/>
              </w:rPr>
            </w:pPr>
            <w:r w:rsidRPr="00B872F5">
              <w:rPr>
                <w:szCs w:val="22"/>
                <w:highlight w:val="green"/>
              </w:rPr>
              <w:t>2 – секретно;</w:t>
            </w:r>
          </w:p>
          <w:p w14:paraId="75F000BB" w14:textId="4D2D1A44" w:rsidR="00AD76D2" w:rsidRPr="00264D5D" w:rsidRDefault="00AD76D2" w:rsidP="00AD76D2">
            <w:pPr>
              <w:pStyle w:val="GOSTTableListMark1"/>
              <w:widowControl w:val="0"/>
              <w:numPr>
                <w:ilvl w:val="0"/>
                <w:numId w:val="65"/>
              </w:numPr>
              <w:spacing w:before="60" w:after="60"/>
              <w:ind w:left="284"/>
              <w:jc w:val="both"/>
            </w:pPr>
            <w:r w:rsidRPr="00B872F5">
              <w:rPr>
                <w:szCs w:val="22"/>
                <w:highlight w:val="green"/>
              </w:rPr>
              <w:lastRenderedPageBreak/>
              <w:t>3 – совершенно секретно</w:t>
            </w:r>
          </w:p>
        </w:tc>
      </w:tr>
      <w:tr w:rsidR="00AD76D2" w:rsidRPr="00264D5D" w14:paraId="3BA756B0" w14:textId="77777777" w:rsidTr="00AD76D2">
        <w:trPr>
          <w:jc w:val="center"/>
        </w:trPr>
        <w:tc>
          <w:tcPr>
            <w:tcW w:w="1707" w:type="dxa"/>
            <w:shd w:val="clear" w:color="auto" w:fill="FFFFFF"/>
          </w:tcPr>
          <w:p w14:paraId="55B2880D" w14:textId="77777777" w:rsidR="00AD76D2" w:rsidRPr="00264D5D" w:rsidRDefault="00AD76D2" w:rsidP="00AD76D2">
            <w:pPr>
              <w:pStyle w:val="GOSTTablenorm"/>
              <w:widowControl w:val="0"/>
              <w:jc w:val="left"/>
            </w:pPr>
            <w:r w:rsidRPr="00264D5D">
              <w:lastRenderedPageBreak/>
              <w:t>Наименование уровня конфиденциальности</w:t>
            </w:r>
          </w:p>
        </w:tc>
        <w:tc>
          <w:tcPr>
            <w:tcW w:w="1704" w:type="dxa"/>
            <w:shd w:val="clear" w:color="auto" w:fill="FFFFFF"/>
          </w:tcPr>
          <w:p w14:paraId="3D1A2E31" w14:textId="77777777" w:rsidR="00AD76D2" w:rsidRPr="00264D5D" w:rsidRDefault="00AD76D2" w:rsidP="00AD76D2">
            <w:pPr>
              <w:pStyle w:val="GOSTTablenorm"/>
              <w:widowControl w:val="0"/>
            </w:pPr>
            <w:r w:rsidRPr="00264D5D">
              <w:rPr>
                <w:lang w:val="en-US"/>
              </w:rPr>
              <w:t>value</w:t>
            </w:r>
          </w:p>
        </w:tc>
        <w:tc>
          <w:tcPr>
            <w:tcW w:w="568" w:type="dxa"/>
            <w:shd w:val="clear" w:color="auto" w:fill="FFFFFF"/>
          </w:tcPr>
          <w:p w14:paraId="306AF4FA" w14:textId="77777777" w:rsidR="00AD76D2" w:rsidRPr="00264D5D" w:rsidRDefault="00AD76D2" w:rsidP="00AD76D2">
            <w:pPr>
              <w:pStyle w:val="GOSTTablenorm"/>
              <w:widowControl w:val="0"/>
              <w:jc w:val="center"/>
            </w:pPr>
            <w:r w:rsidRPr="00264D5D">
              <w:t>А</w:t>
            </w:r>
          </w:p>
        </w:tc>
        <w:tc>
          <w:tcPr>
            <w:tcW w:w="1136" w:type="dxa"/>
            <w:shd w:val="clear" w:color="auto" w:fill="FFFFFF"/>
          </w:tcPr>
          <w:p w14:paraId="1244F93C" w14:textId="77777777" w:rsidR="00AD76D2" w:rsidRPr="00264D5D" w:rsidRDefault="00AD76D2" w:rsidP="00AD76D2">
            <w:pPr>
              <w:pStyle w:val="GOSTTablenorm"/>
              <w:widowControl w:val="0"/>
            </w:pPr>
            <w:r w:rsidRPr="00264D5D">
              <w:t>-</w:t>
            </w:r>
          </w:p>
        </w:tc>
        <w:tc>
          <w:tcPr>
            <w:tcW w:w="568" w:type="dxa"/>
            <w:shd w:val="clear" w:color="auto" w:fill="FFFFFF"/>
          </w:tcPr>
          <w:p w14:paraId="7B1A212D" w14:textId="77777777" w:rsidR="00AD76D2" w:rsidRPr="00264D5D" w:rsidRDefault="00AD76D2" w:rsidP="00AD76D2">
            <w:pPr>
              <w:pStyle w:val="GOSTTablenorm"/>
              <w:widowControl w:val="0"/>
              <w:jc w:val="center"/>
            </w:pPr>
            <w:r w:rsidRPr="00264D5D">
              <w:t>Н</w:t>
            </w:r>
          </w:p>
        </w:tc>
        <w:tc>
          <w:tcPr>
            <w:tcW w:w="3975" w:type="dxa"/>
            <w:shd w:val="clear" w:color="auto" w:fill="FFFFFF"/>
          </w:tcPr>
          <w:p w14:paraId="2AFED67E" w14:textId="77777777" w:rsidR="00AD76D2" w:rsidRPr="00B872F5" w:rsidRDefault="00AD76D2" w:rsidP="00AD76D2">
            <w:pPr>
              <w:pStyle w:val="GOSTTablenorm"/>
              <w:widowControl w:val="0"/>
              <w:rPr>
                <w:szCs w:val="22"/>
              </w:rPr>
            </w:pPr>
            <w:r w:rsidRPr="00B872F5">
              <w:rPr>
                <w:szCs w:val="22"/>
              </w:rPr>
              <w:t>Возможные значения:</w:t>
            </w:r>
          </w:p>
          <w:p w14:paraId="0D77799E" w14:textId="77777777" w:rsidR="00AD76D2" w:rsidRPr="00B872F5" w:rsidRDefault="00AD76D2" w:rsidP="00AD76D2">
            <w:pPr>
              <w:pStyle w:val="GOSTTableListMark1"/>
              <w:widowControl w:val="0"/>
              <w:numPr>
                <w:ilvl w:val="0"/>
                <w:numId w:val="65"/>
              </w:numPr>
              <w:spacing w:before="60" w:after="60"/>
              <w:jc w:val="both"/>
              <w:rPr>
                <w:szCs w:val="22"/>
              </w:rPr>
            </w:pPr>
            <w:r w:rsidRPr="00B872F5">
              <w:rPr>
                <w:szCs w:val="22"/>
              </w:rPr>
              <w:t>несекретно;</w:t>
            </w:r>
          </w:p>
          <w:p w14:paraId="3B814DB5" w14:textId="77777777" w:rsidR="00AD76D2" w:rsidRPr="00B872F5" w:rsidRDefault="00AD76D2" w:rsidP="00AD76D2">
            <w:pPr>
              <w:pStyle w:val="GOSTTableListMark1"/>
              <w:widowControl w:val="0"/>
              <w:numPr>
                <w:ilvl w:val="0"/>
                <w:numId w:val="65"/>
              </w:numPr>
              <w:spacing w:before="60" w:after="60"/>
              <w:jc w:val="both"/>
              <w:rPr>
                <w:szCs w:val="22"/>
              </w:rPr>
            </w:pPr>
            <w:r w:rsidRPr="00B872F5">
              <w:rPr>
                <w:szCs w:val="22"/>
              </w:rPr>
              <w:t>для служебного пользования;</w:t>
            </w:r>
          </w:p>
          <w:p w14:paraId="6A8EF224" w14:textId="77777777" w:rsidR="00AD76D2" w:rsidRPr="00B872F5" w:rsidRDefault="00AD76D2" w:rsidP="00AD76D2">
            <w:pPr>
              <w:pStyle w:val="GOSTTableListMark1"/>
              <w:numPr>
                <w:ilvl w:val="0"/>
                <w:numId w:val="65"/>
              </w:numPr>
              <w:rPr>
                <w:szCs w:val="22"/>
                <w:highlight w:val="green"/>
              </w:rPr>
            </w:pPr>
            <w:r w:rsidRPr="00B872F5">
              <w:rPr>
                <w:szCs w:val="22"/>
                <w:highlight w:val="green"/>
              </w:rPr>
              <w:t>секретно;</w:t>
            </w:r>
          </w:p>
          <w:p w14:paraId="1F091CEC" w14:textId="08EC43AC" w:rsidR="00AD76D2" w:rsidRPr="00264D5D" w:rsidRDefault="00AD76D2" w:rsidP="00AD76D2">
            <w:pPr>
              <w:pStyle w:val="GOSTTableListMark1"/>
              <w:widowControl w:val="0"/>
              <w:numPr>
                <w:ilvl w:val="0"/>
                <w:numId w:val="65"/>
              </w:numPr>
              <w:spacing w:before="60" w:after="60"/>
              <w:ind w:left="284"/>
              <w:jc w:val="both"/>
            </w:pPr>
            <w:r w:rsidRPr="00B872F5">
              <w:rPr>
                <w:szCs w:val="22"/>
                <w:highlight w:val="green"/>
              </w:rPr>
              <w:t>совершенно секретно</w:t>
            </w:r>
          </w:p>
        </w:tc>
      </w:tr>
    </w:tbl>
    <w:p w14:paraId="1DB56652" w14:textId="77777777" w:rsidR="00AD1F54" w:rsidRPr="00264D5D" w:rsidRDefault="00941227">
      <w:pPr>
        <w:pStyle w:val="31"/>
      </w:pPr>
      <w:bookmarkStart w:id="697" w:name="_Toc21014554"/>
      <w:r w:rsidRPr="00264D5D">
        <w:t xml:space="preserve"> </w:t>
      </w:r>
      <w:bookmarkStart w:id="698" w:name="_Toc219309481"/>
      <w:r w:rsidRPr="00264D5D">
        <w:t>Описание комплексного типа «tDocSrcComplex1»</w:t>
      </w:r>
      <w:bookmarkEnd w:id="697"/>
      <w:bookmarkEnd w:id="698"/>
    </w:p>
    <w:p w14:paraId="53231D19" w14:textId="77777777" w:rsidR="00AD1F54" w:rsidRPr="00264D5D" w:rsidRDefault="00941227">
      <w:pPr>
        <w:pStyle w:val="GOSTNormal"/>
        <w:widowControl w:val="0"/>
      </w:pPr>
      <w:r w:rsidRPr="00264D5D">
        <w:t>Описание комплексного типа «tDocSrcComplex1» блока «Источник».</w:t>
      </w:r>
    </w:p>
    <w:p w14:paraId="05202299" w14:textId="7501F59F" w:rsidR="00AD1F54" w:rsidRPr="00264D5D" w:rsidRDefault="00941227">
      <w:pPr>
        <w:pStyle w:val="GOSTNameTable"/>
        <w:widowControl w:val="0"/>
        <w:numPr>
          <w:ilvl w:val="0"/>
          <w:numId w:val="2"/>
        </w:numPr>
        <w:spacing w:before="60"/>
        <w:ind w:left="425" w:hanging="357"/>
      </w:pPr>
      <w:r w:rsidRPr="00264D5D">
        <w:fldChar w:fldCharType="begin"/>
      </w:r>
      <w:r w:rsidRPr="00264D5D">
        <w:instrText>SEQ Таблица \* ARABIC</w:instrText>
      </w:r>
      <w:r w:rsidRPr="00264D5D">
        <w:fldChar w:fldCharType="separate"/>
      </w:r>
      <w:bookmarkStart w:id="699" w:name="_Ref534801177"/>
      <w:bookmarkStart w:id="700" w:name="_Toc21014647"/>
      <w:bookmarkStart w:id="701" w:name="_Toc219309075"/>
      <w:r w:rsidR="008D797C">
        <w:rPr>
          <w:noProof/>
        </w:rPr>
        <w:t>45</w:t>
      </w:r>
      <w:bookmarkEnd w:id="699"/>
      <w:r w:rsidRPr="00264D5D">
        <w:fldChar w:fldCharType="end"/>
      </w:r>
      <w:r w:rsidRPr="00264D5D">
        <w:t xml:space="preserve"> – Описание </w:t>
      </w:r>
      <w:bookmarkEnd w:id="700"/>
      <w:r w:rsidRPr="00264D5D">
        <w:t>комплексного типа «tDocSrcComplex</w:t>
      </w:r>
      <w:r w:rsidRPr="00264D5D">
        <w:rPr>
          <w:lang w:val="en-US"/>
        </w:rPr>
        <w:t>1</w:t>
      </w:r>
      <w:r w:rsidRPr="00264D5D">
        <w:t>»</w:t>
      </w:r>
      <w:bookmarkEnd w:id="701"/>
    </w:p>
    <w:tbl>
      <w:tblPr>
        <w:tblStyle w:val="GOSTTable"/>
        <w:tblW w:w="5000" w:type="pct"/>
        <w:tblLayout w:type="fixed"/>
        <w:tblLook w:val="04A0" w:firstRow="1" w:lastRow="0" w:firstColumn="1" w:lastColumn="0" w:noHBand="0" w:noVBand="1"/>
      </w:tblPr>
      <w:tblGrid>
        <w:gridCol w:w="1707"/>
        <w:gridCol w:w="1702"/>
        <w:gridCol w:w="567"/>
        <w:gridCol w:w="1135"/>
        <w:gridCol w:w="567"/>
        <w:gridCol w:w="3972"/>
      </w:tblGrid>
      <w:tr w:rsidR="00AD1F54" w:rsidRPr="00264D5D" w14:paraId="1597DE13"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5" w:type="dxa"/>
          </w:tcPr>
          <w:p w14:paraId="3CDC0B3E" w14:textId="77777777" w:rsidR="00AD1F54" w:rsidRPr="00264D5D" w:rsidRDefault="00941227">
            <w:pPr>
              <w:pStyle w:val="GOSTTableHead"/>
              <w:keepNext w:val="0"/>
              <w:widowControl w:val="0"/>
            </w:pPr>
            <w:r w:rsidRPr="00264D5D">
              <w:rPr>
                <w:szCs w:val="22"/>
              </w:rPr>
              <w:t>Наименование элемента</w:t>
            </w:r>
          </w:p>
        </w:tc>
        <w:tc>
          <w:tcPr>
            <w:tcW w:w="1701" w:type="dxa"/>
          </w:tcPr>
          <w:p w14:paraId="60A8242F" w14:textId="77777777" w:rsidR="00AD1F54" w:rsidRPr="00264D5D" w:rsidRDefault="00941227">
            <w:pPr>
              <w:pStyle w:val="GOSTTableHead"/>
              <w:keepNext w:val="0"/>
              <w:widowControl w:val="0"/>
            </w:pPr>
            <w:r w:rsidRPr="00264D5D">
              <w:rPr>
                <w:szCs w:val="22"/>
              </w:rPr>
              <w:t>Сокращенное наименование (код) элемента</w:t>
            </w:r>
          </w:p>
        </w:tc>
        <w:tc>
          <w:tcPr>
            <w:tcW w:w="567" w:type="dxa"/>
          </w:tcPr>
          <w:p w14:paraId="2D811709" w14:textId="77777777" w:rsidR="00AD1F54" w:rsidRPr="00264D5D" w:rsidRDefault="00941227">
            <w:pPr>
              <w:pStyle w:val="GOSTTableHead"/>
              <w:keepNext w:val="0"/>
              <w:widowControl w:val="0"/>
            </w:pPr>
            <w:r w:rsidRPr="00264D5D">
              <w:rPr>
                <w:szCs w:val="22"/>
              </w:rPr>
              <w:t>Тип</w:t>
            </w:r>
          </w:p>
        </w:tc>
        <w:tc>
          <w:tcPr>
            <w:tcW w:w="1134" w:type="dxa"/>
          </w:tcPr>
          <w:p w14:paraId="4C5D86B1" w14:textId="77777777" w:rsidR="00AD1F54" w:rsidRPr="00264D5D" w:rsidRDefault="00941227">
            <w:pPr>
              <w:pStyle w:val="GOSTTableHead"/>
              <w:keepNext w:val="0"/>
              <w:widowControl w:val="0"/>
            </w:pPr>
            <w:r w:rsidRPr="00264D5D">
              <w:rPr>
                <w:szCs w:val="22"/>
              </w:rPr>
              <w:t>Формат элемента</w:t>
            </w:r>
          </w:p>
        </w:tc>
        <w:tc>
          <w:tcPr>
            <w:tcW w:w="567" w:type="dxa"/>
          </w:tcPr>
          <w:p w14:paraId="3B0506A6" w14:textId="77777777" w:rsidR="00AD1F54" w:rsidRPr="00264D5D" w:rsidRDefault="00941227">
            <w:pPr>
              <w:pStyle w:val="GOSTTableHead"/>
              <w:keepNext w:val="0"/>
              <w:widowControl w:val="0"/>
            </w:pPr>
            <w:r w:rsidRPr="00264D5D">
              <w:rPr>
                <w:szCs w:val="22"/>
              </w:rPr>
              <w:t>Обязательность</w:t>
            </w:r>
          </w:p>
        </w:tc>
        <w:tc>
          <w:tcPr>
            <w:tcW w:w="3969" w:type="dxa"/>
          </w:tcPr>
          <w:p w14:paraId="4ADCD9AF" w14:textId="77777777" w:rsidR="00AD1F54" w:rsidRPr="00264D5D" w:rsidRDefault="00941227">
            <w:pPr>
              <w:pStyle w:val="GOSTTableHead"/>
              <w:keepNext w:val="0"/>
              <w:widowControl w:val="0"/>
            </w:pPr>
            <w:r w:rsidRPr="00264D5D">
              <w:rPr>
                <w:szCs w:val="22"/>
              </w:rPr>
              <w:t>Дополнительная информация</w:t>
            </w:r>
          </w:p>
        </w:tc>
      </w:tr>
      <w:tr w:rsidR="00AD1F54" w:rsidRPr="00264D5D" w14:paraId="46EF2A4B" w14:textId="77777777" w:rsidTr="00AD1F54">
        <w:trPr>
          <w:cnfStyle w:val="000000100000" w:firstRow="0" w:lastRow="0" w:firstColumn="0" w:lastColumn="0" w:oddVBand="0" w:evenVBand="0" w:oddHBand="1" w:evenHBand="0" w:firstRowFirstColumn="0" w:firstRowLastColumn="0" w:lastRowFirstColumn="0" w:lastRowLastColumn="0"/>
          <w:trHeight w:val="1322"/>
        </w:trPr>
        <w:tc>
          <w:tcPr>
            <w:tcW w:w="1705" w:type="dxa"/>
          </w:tcPr>
          <w:p w14:paraId="7E2F4E06" w14:textId="77777777" w:rsidR="00AD1F54" w:rsidRPr="00264D5D" w:rsidRDefault="00941227">
            <w:pPr>
              <w:pStyle w:val="GOSTTablenorm"/>
              <w:widowControl w:val="0"/>
            </w:pPr>
            <w:r w:rsidRPr="00264D5D">
              <w:t xml:space="preserve">Код источника </w:t>
            </w:r>
          </w:p>
        </w:tc>
        <w:tc>
          <w:tcPr>
            <w:tcW w:w="1701" w:type="dxa"/>
          </w:tcPr>
          <w:p w14:paraId="77D13530" w14:textId="77777777" w:rsidR="00AD1F54" w:rsidRPr="00264D5D" w:rsidRDefault="00941227">
            <w:pPr>
              <w:pStyle w:val="GOSTTablenorm"/>
              <w:widowControl w:val="0"/>
            </w:pPr>
            <w:r w:rsidRPr="00264D5D">
              <w:t>code</w:t>
            </w:r>
          </w:p>
        </w:tc>
        <w:tc>
          <w:tcPr>
            <w:tcW w:w="567" w:type="dxa"/>
          </w:tcPr>
          <w:p w14:paraId="2FF259C4" w14:textId="77777777" w:rsidR="00AD1F54" w:rsidRPr="00264D5D" w:rsidRDefault="00941227">
            <w:pPr>
              <w:pStyle w:val="GOSTTablenorm"/>
              <w:widowControl w:val="0"/>
              <w:jc w:val="center"/>
            </w:pPr>
            <w:r w:rsidRPr="00264D5D">
              <w:t>А</w:t>
            </w:r>
          </w:p>
        </w:tc>
        <w:tc>
          <w:tcPr>
            <w:tcW w:w="1134" w:type="dxa"/>
          </w:tcPr>
          <w:p w14:paraId="7F6A7A42" w14:textId="77777777" w:rsidR="00AD1F54" w:rsidRPr="00264D5D" w:rsidRDefault="00941227">
            <w:pPr>
              <w:pStyle w:val="GOSTTablenorm"/>
              <w:widowControl w:val="0"/>
              <w:rPr>
                <w:lang w:val="en-US"/>
              </w:rPr>
            </w:pPr>
            <w:r w:rsidRPr="00264D5D">
              <w:rPr>
                <w:lang w:val="en-US"/>
              </w:rPr>
              <w:t>-</w:t>
            </w:r>
          </w:p>
        </w:tc>
        <w:tc>
          <w:tcPr>
            <w:tcW w:w="567" w:type="dxa"/>
          </w:tcPr>
          <w:p w14:paraId="32E12FD0" w14:textId="77777777" w:rsidR="00AD1F54" w:rsidRPr="00264D5D" w:rsidRDefault="00941227">
            <w:pPr>
              <w:pStyle w:val="GOSTTablenorm"/>
              <w:widowControl w:val="0"/>
              <w:jc w:val="center"/>
            </w:pPr>
            <w:r w:rsidRPr="00264D5D">
              <w:t>О</w:t>
            </w:r>
          </w:p>
        </w:tc>
        <w:tc>
          <w:tcPr>
            <w:tcW w:w="3969" w:type="dxa"/>
          </w:tcPr>
          <w:p w14:paraId="03F3FF88" w14:textId="77777777" w:rsidR="00AD1F54" w:rsidRPr="00264D5D" w:rsidRDefault="00941227">
            <w:pPr>
              <w:pStyle w:val="GOSTTablenorm"/>
              <w:widowControl w:val="0"/>
            </w:pPr>
            <w:r w:rsidRPr="00264D5D">
              <w:t>Возможные значения:</w:t>
            </w:r>
          </w:p>
          <w:p w14:paraId="429EA407" w14:textId="77777777" w:rsidR="00AD1F54" w:rsidRPr="00264D5D" w:rsidRDefault="00941227" w:rsidP="00941227">
            <w:pPr>
              <w:pStyle w:val="GOSTTableListMark1"/>
              <w:widowControl w:val="0"/>
              <w:numPr>
                <w:ilvl w:val="0"/>
                <w:numId w:val="65"/>
              </w:numPr>
              <w:spacing w:before="60" w:after="60"/>
              <w:ind w:left="284"/>
            </w:pPr>
            <w:r w:rsidRPr="00264D5D">
              <w:t>EXP – подсистема управления расходами;</w:t>
            </w:r>
          </w:p>
          <w:p w14:paraId="5B076D0B" w14:textId="77777777" w:rsidR="00AD1F54" w:rsidRPr="00264D5D" w:rsidRDefault="00BA58C1" w:rsidP="00941227">
            <w:pPr>
              <w:pStyle w:val="GOSTTableListMark1"/>
              <w:widowControl w:val="0"/>
              <w:numPr>
                <w:ilvl w:val="0"/>
                <w:numId w:val="65"/>
              </w:numPr>
              <w:spacing w:before="60" w:after="60"/>
              <w:ind w:left="284"/>
            </w:pPr>
            <w:r w:rsidRPr="00264D5D">
              <w:t>BP – бюджетное планирование</w:t>
            </w:r>
          </w:p>
        </w:tc>
      </w:tr>
      <w:tr w:rsidR="00AD1F54" w:rsidRPr="00264D5D" w14:paraId="425B9FF0" w14:textId="77777777" w:rsidTr="00AD1F54">
        <w:trPr>
          <w:cnfStyle w:val="000000010000" w:firstRow="0" w:lastRow="0" w:firstColumn="0" w:lastColumn="0" w:oddVBand="0" w:evenVBand="0" w:oddHBand="0" w:evenHBand="1" w:firstRowFirstColumn="0" w:firstRowLastColumn="0" w:lastRowFirstColumn="0" w:lastRowLastColumn="0"/>
          <w:trHeight w:val="192"/>
        </w:trPr>
        <w:tc>
          <w:tcPr>
            <w:tcW w:w="1705" w:type="dxa"/>
          </w:tcPr>
          <w:p w14:paraId="60365D48" w14:textId="77777777" w:rsidR="00AD1F54" w:rsidRPr="00264D5D" w:rsidRDefault="00941227">
            <w:pPr>
              <w:pStyle w:val="GOSTTablenorm"/>
              <w:widowControl w:val="0"/>
            </w:pPr>
            <w:r w:rsidRPr="00264D5D">
              <w:t xml:space="preserve">Наименование источника </w:t>
            </w:r>
          </w:p>
        </w:tc>
        <w:tc>
          <w:tcPr>
            <w:tcW w:w="1701" w:type="dxa"/>
          </w:tcPr>
          <w:p w14:paraId="20A56B6D" w14:textId="77777777" w:rsidR="00AD1F54" w:rsidRPr="00264D5D" w:rsidRDefault="00941227">
            <w:pPr>
              <w:pStyle w:val="GOSTTablenorm"/>
              <w:widowControl w:val="0"/>
            </w:pPr>
            <w:r w:rsidRPr="00264D5D">
              <w:rPr>
                <w:lang w:val="en-US"/>
              </w:rPr>
              <w:t>value</w:t>
            </w:r>
          </w:p>
        </w:tc>
        <w:tc>
          <w:tcPr>
            <w:tcW w:w="567" w:type="dxa"/>
          </w:tcPr>
          <w:p w14:paraId="0516E707" w14:textId="77777777" w:rsidR="00AD1F54" w:rsidRPr="00264D5D" w:rsidRDefault="00941227">
            <w:pPr>
              <w:pStyle w:val="GOSTTablenorm"/>
              <w:widowControl w:val="0"/>
              <w:jc w:val="center"/>
            </w:pPr>
            <w:r w:rsidRPr="00264D5D">
              <w:t>А</w:t>
            </w:r>
          </w:p>
        </w:tc>
        <w:tc>
          <w:tcPr>
            <w:tcW w:w="1134" w:type="dxa"/>
          </w:tcPr>
          <w:p w14:paraId="5AA9B462" w14:textId="77777777" w:rsidR="00AD1F54" w:rsidRPr="00264D5D" w:rsidRDefault="00941227">
            <w:pPr>
              <w:pStyle w:val="GOSTTablenorm"/>
              <w:widowControl w:val="0"/>
            </w:pPr>
            <w:r w:rsidRPr="00264D5D">
              <w:t>-</w:t>
            </w:r>
          </w:p>
        </w:tc>
        <w:tc>
          <w:tcPr>
            <w:tcW w:w="567" w:type="dxa"/>
          </w:tcPr>
          <w:p w14:paraId="3B7A0053" w14:textId="77777777" w:rsidR="00AD1F54" w:rsidRPr="00264D5D" w:rsidRDefault="00941227">
            <w:pPr>
              <w:pStyle w:val="GOSTTablenorm"/>
              <w:widowControl w:val="0"/>
              <w:jc w:val="center"/>
            </w:pPr>
            <w:r w:rsidRPr="00264D5D">
              <w:t>Н</w:t>
            </w:r>
          </w:p>
        </w:tc>
        <w:tc>
          <w:tcPr>
            <w:tcW w:w="3969" w:type="dxa"/>
          </w:tcPr>
          <w:p w14:paraId="526B3922" w14:textId="77777777" w:rsidR="00AD1F54" w:rsidRPr="00264D5D" w:rsidRDefault="00941227">
            <w:pPr>
              <w:pStyle w:val="GOSTTablenorm"/>
              <w:widowControl w:val="0"/>
            </w:pPr>
            <w:r w:rsidRPr="00264D5D">
              <w:t>Возможные значения:</w:t>
            </w:r>
          </w:p>
          <w:p w14:paraId="767BA40A" w14:textId="77777777" w:rsidR="00AD1F54" w:rsidRPr="00264D5D" w:rsidRDefault="00941227" w:rsidP="00941227">
            <w:pPr>
              <w:pStyle w:val="GOSTTableListMark1"/>
              <w:widowControl w:val="0"/>
              <w:numPr>
                <w:ilvl w:val="0"/>
                <w:numId w:val="65"/>
              </w:numPr>
              <w:spacing w:before="60" w:after="60"/>
              <w:ind w:left="284"/>
            </w:pPr>
            <w:r w:rsidRPr="00264D5D">
              <w:t>Подсистема управления расходами;</w:t>
            </w:r>
          </w:p>
          <w:p w14:paraId="005119E9" w14:textId="77777777" w:rsidR="00AD1F54" w:rsidRPr="00264D5D" w:rsidRDefault="00BA58C1" w:rsidP="00941227">
            <w:pPr>
              <w:pStyle w:val="GOSTTableListMark1"/>
              <w:widowControl w:val="0"/>
              <w:numPr>
                <w:ilvl w:val="0"/>
                <w:numId w:val="65"/>
              </w:numPr>
              <w:spacing w:before="60" w:after="60"/>
              <w:ind w:left="284"/>
            </w:pPr>
            <w:r w:rsidRPr="00264D5D">
              <w:t>Бюджетное планирование</w:t>
            </w:r>
          </w:p>
        </w:tc>
      </w:tr>
    </w:tbl>
    <w:p w14:paraId="50139F0B" w14:textId="77777777" w:rsidR="00AD1F54" w:rsidRPr="00264D5D" w:rsidRDefault="00941227">
      <w:pPr>
        <w:pStyle w:val="31"/>
      </w:pPr>
      <w:bookmarkStart w:id="702" w:name="_Toc21014555"/>
      <w:r w:rsidRPr="00264D5D">
        <w:t xml:space="preserve"> </w:t>
      </w:r>
      <w:bookmarkStart w:id="703" w:name="_Toc219309482"/>
      <w:r w:rsidRPr="00264D5D">
        <w:t>Описание комплексного типа «tExtrAttrbDt»</w:t>
      </w:r>
      <w:bookmarkEnd w:id="702"/>
      <w:bookmarkEnd w:id="703"/>
    </w:p>
    <w:p w14:paraId="1BC93D98" w14:textId="77777777" w:rsidR="00AD1F54" w:rsidRPr="00264D5D" w:rsidRDefault="00941227">
      <w:pPr>
        <w:pStyle w:val="GOSTNormal"/>
        <w:widowControl w:val="0"/>
      </w:pPr>
      <w:r w:rsidRPr="00264D5D">
        <w:t>Описание комплексного типа</w:t>
      </w:r>
      <w:r w:rsidRPr="00264D5D">
        <w:rPr>
          <w:sz w:val="28"/>
          <w:szCs w:val="24"/>
        </w:rPr>
        <w:t xml:space="preserve"> «</w:t>
      </w:r>
      <w:r w:rsidRPr="00264D5D">
        <w:rPr>
          <w:szCs w:val="24"/>
        </w:rPr>
        <w:t>tExtrAttrbDt</w:t>
      </w:r>
      <w:r w:rsidRPr="00264D5D">
        <w:rPr>
          <w:sz w:val="28"/>
          <w:szCs w:val="24"/>
        </w:rPr>
        <w:t xml:space="preserve">» </w:t>
      </w:r>
      <w:r w:rsidRPr="00264D5D">
        <w:t>блока «Учетные даты».</w:t>
      </w:r>
    </w:p>
    <w:p w14:paraId="124CA678" w14:textId="6BB08BB9" w:rsidR="00AD1F54" w:rsidRPr="00264D5D" w:rsidRDefault="001E5517">
      <w:pPr>
        <w:pStyle w:val="GOSTNameTable"/>
        <w:widowControl w:val="0"/>
        <w:numPr>
          <w:ilvl w:val="0"/>
          <w:numId w:val="2"/>
        </w:numPr>
        <w:spacing w:before="60"/>
        <w:ind w:left="425" w:hanging="357"/>
      </w:pPr>
      <w:r w:rsidRPr="00264D5D">
        <w:rPr>
          <w:noProof/>
        </w:rPr>
        <w:fldChar w:fldCharType="begin"/>
      </w:r>
      <w:r w:rsidRPr="00264D5D">
        <w:rPr>
          <w:noProof/>
        </w:rPr>
        <w:instrText xml:space="preserve"> SEQ Таблица \* ARABIC </w:instrText>
      </w:r>
      <w:r w:rsidRPr="00264D5D">
        <w:rPr>
          <w:noProof/>
        </w:rPr>
        <w:fldChar w:fldCharType="separate"/>
      </w:r>
      <w:bookmarkStart w:id="704" w:name="_Ref534801106"/>
      <w:bookmarkStart w:id="705" w:name="_Toc21014648"/>
      <w:bookmarkStart w:id="706" w:name="_Toc219309076"/>
      <w:r w:rsidR="008D797C">
        <w:rPr>
          <w:noProof/>
        </w:rPr>
        <w:t>46</w:t>
      </w:r>
      <w:bookmarkEnd w:id="704"/>
      <w:r w:rsidRPr="00264D5D">
        <w:rPr>
          <w:noProof/>
        </w:rPr>
        <w:fldChar w:fldCharType="end"/>
      </w:r>
      <w:r w:rsidR="00941227" w:rsidRPr="00264D5D">
        <w:t xml:space="preserve"> – Описание </w:t>
      </w:r>
      <w:bookmarkEnd w:id="705"/>
      <w:r w:rsidR="00941227" w:rsidRPr="00264D5D">
        <w:t>комплексного типа</w:t>
      </w:r>
      <w:r w:rsidR="00941227" w:rsidRPr="00264D5D">
        <w:rPr>
          <w:sz w:val="28"/>
          <w:szCs w:val="24"/>
        </w:rPr>
        <w:t xml:space="preserve"> «</w:t>
      </w:r>
      <w:r w:rsidR="00941227" w:rsidRPr="00264D5D">
        <w:rPr>
          <w:szCs w:val="24"/>
        </w:rPr>
        <w:t>tExtrAttrbDt</w:t>
      </w:r>
      <w:r w:rsidR="00941227" w:rsidRPr="00264D5D">
        <w:rPr>
          <w:sz w:val="28"/>
          <w:szCs w:val="24"/>
        </w:rPr>
        <w:t>»</w:t>
      </w:r>
      <w:bookmarkEnd w:id="706"/>
    </w:p>
    <w:tbl>
      <w:tblPr>
        <w:tblStyle w:val="GOSTTable"/>
        <w:tblW w:w="5000" w:type="pct"/>
        <w:tblLayout w:type="fixed"/>
        <w:tblLook w:val="04A0" w:firstRow="1" w:lastRow="0" w:firstColumn="1" w:lastColumn="0" w:noHBand="0" w:noVBand="1"/>
      </w:tblPr>
      <w:tblGrid>
        <w:gridCol w:w="1702"/>
        <w:gridCol w:w="1703"/>
        <w:gridCol w:w="568"/>
        <w:gridCol w:w="1135"/>
        <w:gridCol w:w="568"/>
        <w:gridCol w:w="3974"/>
      </w:tblGrid>
      <w:tr w:rsidR="00AD1F54" w:rsidRPr="00264D5D" w14:paraId="3501872A"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219B108E" w14:textId="77777777" w:rsidR="00AD1F54" w:rsidRPr="00264D5D" w:rsidRDefault="00941227">
            <w:pPr>
              <w:pStyle w:val="GOSTTableHead"/>
              <w:keepNext w:val="0"/>
              <w:widowControl w:val="0"/>
            </w:pPr>
            <w:r w:rsidRPr="00264D5D">
              <w:rPr>
                <w:szCs w:val="22"/>
              </w:rPr>
              <w:t>Наименование элемента</w:t>
            </w:r>
          </w:p>
        </w:tc>
        <w:tc>
          <w:tcPr>
            <w:tcW w:w="1701" w:type="dxa"/>
          </w:tcPr>
          <w:p w14:paraId="54D6CB96" w14:textId="77777777" w:rsidR="00AD1F54" w:rsidRPr="00264D5D" w:rsidRDefault="00941227">
            <w:pPr>
              <w:pStyle w:val="GOSTTableHead"/>
              <w:keepNext w:val="0"/>
              <w:widowControl w:val="0"/>
            </w:pPr>
            <w:r w:rsidRPr="00264D5D">
              <w:rPr>
                <w:szCs w:val="22"/>
              </w:rPr>
              <w:t>Сокращенное наименование (код) элемента</w:t>
            </w:r>
          </w:p>
        </w:tc>
        <w:tc>
          <w:tcPr>
            <w:tcW w:w="567" w:type="dxa"/>
          </w:tcPr>
          <w:p w14:paraId="4F4D1594" w14:textId="77777777" w:rsidR="00AD1F54" w:rsidRPr="00264D5D" w:rsidRDefault="00941227">
            <w:pPr>
              <w:pStyle w:val="GOSTTableHead"/>
              <w:keepNext w:val="0"/>
              <w:widowControl w:val="0"/>
            </w:pPr>
            <w:r w:rsidRPr="00264D5D">
              <w:rPr>
                <w:szCs w:val="22"/>
              </w:rPr>
              <w:t>Тип</w:t>
            </w:r>
          </w:p>
        </w:tc>
        <w:tc>
          <w:tcPr>
            <w:tcW w:w="1134" w:type="dxa"/>
          </w:tcPr>
          <w:p w14:paraId="5B41B1AB" w14:textId="77777777" w:rsidR="00AD1F54" w:rsidRPr="00264D5D" w:rsidRDefault="00941227">
            <w:pPr>
              <w:pStyle w:val="GOSTTableHead"/>
              <w:keepNext w:val="0"/>
              <w:widowControl w:val="0"/>
            </w:pPr>
            <w:r w:rsidRPr="00264D5D">
              <w:rPr>
                <w:szCs w:val="22"/>
              </w:rPr>
              <w:t>Формат элемента</w:t>
            </w:r>
          </w:p>
        </w:tc>
        <w:tc>
          <w:tcPr>
            <w:tcW w:w="567" w:type="dxa"/>
          </w:tcPr>
          <w:p w14:paraId="0249E456" w14:textId="77777777" w:rsidR="00AD1F54" w:rsidRPr="00264D5D" w:rsidRDefault="00941227">
            <w:pPr>
              <w:pStyle w:val="GOSTTableHead"/>
              <w:keepNext w:val="0"/>
              <w:widowControl w:val="0"/>
            </w:pPr>
            <w:r w:rsidRPr="00264D5D">
              <w:rPr>
                <w:szCs w:val="22"/>
              </w:rPr>
              <w:t>Обязательность</w:t>
            </w:r>
          </w:p>
        </w:tc>
        <w:tc>
          <w:tcPr>
            <w:tcW w:w="3969" w:type="dxa"/>
          </w:tcPr>
          <w:p w14:paraId="67C96A57" w14:textId="77777777" w:rsidR="00AD1F54" w:rsidRPr="00264D5D" w:rsidRDefault="00941227">
            <w:pPr>
              <w:pStyle w:val="GOSTTableHead"/>
              <w:keepNext w:val="0"/>
              <w:widowControl w:val="0"/>
            </w:pPr>
            <w:r w:rsidRPr="00264D5D">
              <w:rPr>
                <w:szCs w:val="22"/>
              </w:rPr>
              <w:t>Дополнительная информация</w:t>
            </w:r>
          </w:p>
        </w:tc>
      </w:tr>
      <w:tr w:rsidR="00AD1F54" w:rsidRPr="00264D5D" w14:paraId="27CC1493" w14:textId="77777777" w:rsidTr="00AD1F54">
        <w:trPr>
          <w:cnfStyle w:val="000000100000" w:firstRow="0" w:lastRow="0" w:firstColumn="0" w:lastColumn="0" w:oddVBand="0" w:evenVBand="0" w:oddHBand="1" w:evenHBand="0" w:firstRowFirstColumn="0" w:firstRowLastColumn="0" w:lastRowFirstColumn="0" w:lastRowLastColumn="0"/>
          <w:trHeight w:val="986"/>
        </w:trPr>
        <w:tc>
          <w:tcPr>
            <w:tcW w:w="1701" w:type="dxa"/>
          </w:tcPr>
          <w:p w14:paraId="16AB34E5" w14:textId="77777777" w:rsidR="00AD1F54" w:rsidRPr="00264D5D" w:rsidRDefault="00941227">
            <w:pPr>
              <w:pStyle w:val="GOSTTablenorm"/>
              <w:widowControl w:val="0"/>
            </w:pPr>
            <w:r w:rsidRPr="00264D5D">
              <w:t>Дата регистрации/аннулирования в органе ФК отправителя</w:t>
            </w:r>
          </w:p>
        </w:tc>
        <w:tc>
          <w:tcPr>
            <w:tcW w:w="1701" w:type="dxa"/>
          </w:tcPr>
          <w:p w14:paraId="4118F87A" w14:textId="77777777" w:rsidR="00AD1F54" w:rsidRPr="00264D5D" w:rsidRDefault="00941227">
            <w:pPr>
              <w:pStyle w:val="GOSTTablenorm"/>
              <w:widowControl w:val="0"/>
            </w:pPr>
            <w:r w:rsidRPr="00264D5D">
              <w:t>ExtrAttrb_RgDt1</w:t>
            </w:r>
          </w:p>
        </w:tc>
        <w:tc>
          <w:tcPr>
            <w:tcW w:w="567" w:type="dxa"/>
          </w:tcPr>
          <w:p w14:paraId="76013E81" w14:textId="77777777" w:rsidR="00AD1F54" w:rsidRPr="00264D5D" w:rsidRDefault="00941227">
            <w:pPr>
              <w:pStyle w:val="GOSTTablenorm"/>
              <w:widowControl w:val="0"/>
              <w:jc w:val="center"/>
            </w:pPr>
            <w:r w:rsidRPr="00264D5D">
              <w:t>П</w:t>
            </w:r>
          </w:p>
        </w:tc>
        <w:tc>
          <w:tcPr>
            <w:tcW w:w="1134" w:type="dxa"/>
          </w:tcPr>
          <w:p w14:paraId="28C7C111" w14:textId="77777777" w:rsidR="00AD1F54" w:rsidRPr="00264D5D" w:rsidRDefault="00941227">
            <w:pPr>
              <w:pStyle w:val="GOSTTablenorm"/>
              <w:widowControl w:val="0"/>
              <w:rPr>
                <w:lang w:val="en-US"/>
              </w:rPr>
            </w:pPr>
            <w:r w:rsidRPr="00264D5D">
              <w:t>D</w:t>
            </w:r>
            <w:r w:rsidRPr="00264D5D">
              <w:rPr>
                <w:lang w:val="en-US"/>
              </w:rPr>
              <w:t>ate</w:t>
            </w:r>
          </w:p>
        </w:tc>
        <w:tc>
          <w:tcPr>
            <w:tcW w:w="567" w:type="dxa"/>
          </w:tcPr>
          <w:p w14:paraId="124679BA" w14:textId="77777777" w:rsidR="00AD1F54" w:rsidRPr="00264D5D" w:rsidRDefault="00941227">
            <w:pPr>
              <w:pStyle w:val="GOSTTablenorm"/>
              <w:widowControl w:val="0"/>
              <w:jc w:val="center"/>
            </w:pPr>
            <w:r w:rsidRPr="00264D5D">
              <w:t>О</w:t>
            </w:r>
          </w:p>
        </w:tc>
        <w:tc>
          <w:tcPr>
            <w:tcW w:w="3969" w:type="dxa"/>
          </w:tcPr>
          <w:p w14:paraId="34B8922A" w14:textId="77777777" w:rsidR="00AD1F54" w:rsidRPr="00264D5D" w:rsidRDefault="00941227">
            <w:pPr>
              <w:pStyle w:val="GOSTTablenorm"/>
              <w:widowControl w:val="0"/>
            </w:pPr>
            <w:r w:rsidRPr="00264D5D">
              <w:t>Дата регистрации/аннули</w:t>
            </w:r>
            <w:r w:rsidR="00BA58C1" w:rsidRPr="00264D5D">
              <w:t>рования в органе ФК отправителя</w:t>
            </w:r>
          </w:p>
        </w:tc>
      </w:tr>
      <w:tr w:rsidR="00AD1F54" w:rsidRPr="00264D5D" w14:paraId="3D770867" w14:textId="77777777" w:rsidTr="00AD1F54">
        <w:trPr>
          <w:cnfStyle w:val="000000010000" w:firstRow="0" w:lastRow="0" w:firstColumn="0" w:lastColumn="0" w:oddVBand="0" w:evenVBand="0" w:oddHBand="0" w:evenHBand="1" w:firstRowFirstColumn="0" w:firstRowLastColumn="0" w:lastRowFirstColumn="0" w:lastRowLastColumn="0"/>
          <w:trHeight w:val="549"/>
        </w:trPr>
        <w:tc>
          <w:tcPr>
            <w:tcW w:w="1701" w:type="dxa"/>
          </w:tcPr>
          <w:p w14:paraId="5B3E1189" w14:textId="77777777" w:rsidR="00AD1F54" w:rsidRPr="00264D5D" w:rsidRDefault="00941227">
            <w:pPr>
              <w:pStyle w:val="GOSTTablenorm"/>
              <w:widowControl w:val="0"/>
            </w:pPr>
            <w:r w:rsidRPr="00264D5D">
              <w:t xml:space="preserve">Дата регистрации/аннулирования в </w:t>
            </w:r>
            <w:r w:rsidRPr="00264D5D">
              <w:lastRenderedPageBreak/>
              <w:t>органе ФК получателя</w:t>
            </w:r>
          </w:p>
        </w:tc>
        <w:tc>
          <w:tcPr>
            <w:tcW w:w="1701" w:type="dxa"/>
          </w:tcPr>
          <w:p w14:paraId="77338F34" w14:textId="77777777" w:rsidR="00AD1F54" w:rsidRPr="00264D5D" w:rsidRDefault="00941227">
            <w:pPr>
              <w:pStyle w:val="GOSTTablenorm"/>
              <w:widowControl w:val="0"/>
            </w:pPr>
            <w:r w:rsidRPr="00264D5D">
              <w:lastRenderedPageBreak/>
              <w:t>ExtrAttrb_RgDt2</w:t>
            </w:r>
          </w:p>
        </w:tc>
        <w:tc>
          <w:tcPr>
            <w:tcW w:w="567" w:type="dxa"/>
          </w:tcPr>
          <w:p w14:paraId="1009C750" w14:textId="77777777" w:rsidR="00AD1F54" w:rsidRPr="00264D5D" w:rsidRDefault="00941227">
            <w:pPr>
              <w:pStyle w:val="GOSTTablenorm"/>
              <w:widowControl w:val="0"/>
              <w:jc w:val="center"/>
            </w:pPr>
            <w:r w:rsidRPr="00264D5D">
              <w:t>П</w:t>
            </w:r>
          </w:p>
        </w:tc>
        <w:tc>
          <w:tcPr>
            <w:tcW w:w="1134" w:type="dxa"/>
          </w:tcPr>
          <w:p w14:paraId="623000A2" w14:textId="77777777" w:rsidR="00AD1F54" w:rsidRPr="00264D5D" w:rsidRDefault="00941227">
            <w:pPr>
              <w:pStyle w:val="GOSTTablenorm"/>
              <w:widowControl w:val="0"/>
            </w:pPr>
            <w:r w:rsidRPr="00264D5D">
              <w:t>Date</w:t>
            </w:r>
          </w:p>
        </w:tc>
        <w:tc>
          <w:tcPr>
            <w:tcW w:w="567" w:type="dxa"/>
          </w:tcPr>
          <w:p w14:paraId="66952602" w14:textId="77777777" w:rsidR="00AD1F54" w:rsidRPr="00264D5D" w:rsidRDefault="00941227">
            <w:pPr>
              <w:pStyle w:val="GOSTTablenorm"/>
              <w:widowControl w:val="0"/>
              <w:jc w:val="center"/>
            </w:pPr>
            <w:r w:rsidRPr="00264D5D">
              <w:t>Н</w:t>
            </w:r>
          </w:p>
        </w:tc>
        <w:tc>
          <w:tcPr>
            <w:tcW w:w="3969" w:type="dxa"/>
          </w:tcPr>
          <w:p w14:paraId="02E00ECB" w14:textId="77777777" w:rsidR="00AD1F54" w:rsidRPr="00264D5D" w:rsidRDefault="00941227" w:rsidP="00BA58C1">
            <w:pPr>
              <w:pStyle w:val="GOSTTablenorm"/>
              <w:widowControl w:val="0"/>
            </w:pPr>
            <w:r w:rsidRPr="00264D5D">
              <w:t>Дата регистрации/аннулирования в органе ФК получателя.</w:t>
            </w:r>
          </w:p>
          <w:p w14:paraId="68A44315" w14:textId="77777777" w:rsidR="00BA58C1" w:rsidRPr="00264D5D" w:rsidRDefault="00941227" w:rsidP="00BA58C1">
            <w:pPr>
              <w:pStyle w:val="GOSTTableListMark1"/>
              <w:widowControl w:val="0"/>
              <w:tabs>
                <w:tab w:val="left" w:pos="37"/>
              </w:tabs>
              <w:spacing w:before="60" w:after="60"/>
              <w:ind w:left="57" w:firstLine="0"/>
              <w:jc w:val="both"/>
            </w:pPr>
            <w:r w:rsidRPr="00264D5D">
              <w:lastRenderedPageBreak/>
              <w:t xml:space="preserve">Не заполняется только если отправитель и получатель обслуживаются в одном ТОФК. </w:t>
            </w:r>
          </w:p>
          <w:p w14:paraId="00AE6576" w14:textId="77777777" w:rsidR="00AD1F54" w:rsidRPr="00264D5D" w:rsidRDefault="00941227" w:rsidP="00BA58C1">
            <w:pPr>
              <w:pStyle w:val="GOSTTableListMark1"/>
              <w:widowControl w:val="0"/>
              <w:tabs>
                <w:tab w:val="left" w:pos="37"/>
              </w:tabs>
              <w:spacing w:before="60" w:after="60"/>
              <w:ind w:left="57" w:firstLine="0"/>
              <w:jc w:val="both"/>
            </w:pPr>
            <w:r w:rsidRPr="00264D5D">
              <w:t>В остальных слу</w:t>
            </w:r>
            <w:r w:rsidR="00BA58C1" w:rsidRPr="00264D5D">
              <w:t>чаях обязательно для заполнения</w:t>
            </w:r>
          </w:p>
        </w:tc>
      </w:tr>
      <w:tr w:rsidR="00AD1F54" w:rsidRPr="00264D5D" w14:paraId="5DDA4989" w14:textId="77777777" w:rsidTr="00AD1F54">
        <w:trPr>
          <w:cnfStyle w:val="000000100000" w:firstRow="0" w:lastRow="0" w:firstColumn="0" w:lastColumn="0" w:oddVBand="0" w:evenVBand="0" w:oddHBand="1" w:evenHBand="0" w:firstRowFirstColumn="0" w:firstRowLastColumn="0" w:lastRowFirstColumn="0" w:lastRowLastColumn="0"/>
          <w:trHeight w:val="549"/>
        </w:trPr>
        <w:tc>
          <w:tcPr>
            <w:tcW w:w="1701" w:type="dxa"/>
          </w:tcPr>
          <w:p w14:paraId="1A8A3B87" w14:textId="77777777" w:rsidR="00AD1F54" w:rsidRPr="00264D5D" w:rsidRDefault="00941227">
            <w:pPr>
              <w:pStyle w:val="GOSTTablenorm"/>
              <w:widowControl w:val="0"/>
            </w:pPr>
            <w:r w:rsidRPr="00264D5D">
              <w:lastRenderedPageBreak/>
              <w:t>Дата проводки в органе ФК отправителя</w:t>
            </w:r>
          </w:p>
        </w:tc>
        <w:tc>
          <w:tcPr>
            <w:tcW w:w="1701" w:type="dxa"/>
          </w:tcPr>
          <w:p w14:paraId="441A5C65" w14:textId="77777777" w:rsidR="00AD1F54" w:rsidRPr="00264D5D" w:rsidRDefault="00941227">
            <w:pPr>
              <w:pStyle w:val="GOSTTablenorm"/>
              <w:widowControl w:val="0"/>
            </w:pPr>
            <w:r w:rsidRPr="00264D5D">
              <w:t>ExtrAttrb_DcDtFK1</w:t>
            </w:r>
          </w:p>
        </w:tc>
        <w:tc>
          <w:tcPr>
            <w:tcW w:w="567" w:type="dxa"/>
          </w:tcPr>
          <w:p w14:paraId="42576AEE" w14:textId="77777777" w:rsidR="00AD1F54" w:rsidRPr="00264D5D" w:rsidRDefault="00941227">
            <w:pPr>
              <w:pStyle w:val="GOSTTablenorm"/>
              <w:widowControl w:val="0"/>
              <w:jc w:val="center"/>
            </w:pPr>
            <w:r w:rsidRPr="00264D5D">
              <w:t>П</w:t>
            </w:r>
          </w:p>
        </w:tc>
        <w:tc>
          <w:tcPr>
            <w:tcW w:w="1134" w:type="dxa"/>
          </w:tcPr>
          <w:p w14:paraId="2EADF6F1" w14:textId="77777777" w:rsidR="00AD1F54" w:rsidRPr="00264D5D" w:rsidRDefault="00941227">
            <w:pPr>
              <w:pStyle w:val="GOSTTablenorm"/>
              <w:widowControl w:val="0"/>
            </w:pPr>
            <w:r w:rsidRPr="00264D5D">
              <w:t>Date</w:t>
            </w:r>
          </w:p>
        </w:tc>
        <w:tc>
          <w:tcPr>
            <w:tcW w:w="567" w:type="dxa"/>
          </w:tcPr>
          <w:p w14:paraId="62E74428" w14:textId="77777777" w:rsidR="00AD1F54" w:rsidRPr="00264D5D" w:rsidRDefault="00941227">
            <w:pPr>
              <w:pStyle w:val="GOSTTablenorm"/>
              <w:widowControl w:val="0"/>
              <w:jc w:val="center"/>
            </w:pPr>
            <w:r w:rsidRPr="00264D5D">
              <w:t>О</w:t>
            </w:r>
          </w:p>
        </w:tc>
        <w:tc>
          <w:tcPr>
            <w:tcW w:w="3969" w:type="dxa"/>
          </w:tcPr>
          <w:p w14:paraId="5D2E8CBE" w14:textId="77777777" w:rsidR="00AD1F54" w:rsidRPr="00264D5D" w:rsidRDefault="00941227">
            <w:pPr>
              <w:pStyle w:val="GOSTTablenorm"/>
              <w:widowControl w:val="0"/>
            </w:pPr>
            <w:r w:rsidRPr="00264D5D">
              <w:t>Дата п</w:t>
            </w:r>
            <w:r w:rsidR="00BA58C1" w:rsidRPr="00264D5D">
              <w:t>роводки в органе ФК отправителя</w:t>
            </w:r>
          </w:p>
        </w:tc>
      </w:tr>
      <w:tr w:rsidR="00AD1F54" w:rsidRPr="00264D5D" w14:paraId="4961C7D5" w14:textId="77777777" w:rsidTr="00AD1F54">
        <w:trPr>
          <w:cnfStyle w:val="000000010000" w:firstRow="0" w:lastRow="0" w:firstColumn="0" w:lastColumn="0" w:oddVBand="0" w:evenVBand="0" w:oddHBand="0" w:evenHBand="1" w:firstRowFirstColumn="0" w:firstRowLastColumn="0" w:lastRowFirstColumn="0" w:lastRowLastColumn="0"/>
          <w:trHeight w:val="549"/>
        </w:trPr>
        <w:tc>
          <w:tcPr>
            <w:tcW w:w="1701" w:type="dxa"/>
          </w:tcPr>
          <w:p w14:paraId="1A43F7EB" w14:textId="77777777" w:rsidR="00AD1F54" w:rsidRPr="00264D5D" w:rsidRDefault="00941227">
            <w:pPr>
              <w:pStyle w:val="GOSTTablenorm"/>
              <w:widowControl w:val="0"/>
            </w:pPr>
            <w:r w:rsidRPr="00264D5D">
              <w:t>Дата проводки в органе ФК получателя</w:t>
            </w:r>
          </w:p>
        </w:tc>
        <w:tc>
          <w:tcPr>
            <w:tcW w:w="1701" w:type="dxa"/>
          </w:tcPr>
          <w:p w14:paraId="3C8AC278" w14:textId="77777777" w:rsidR="00AD1F54" w:rsidRPr="00264D5D" w:rsidRDefault="00941227">
            <w:pPr>
              <w:pStyle w:val="GOSTTablenorm"/>
              <w:widowControl w:val="0"/>
            </w:pPr>
            <w:r w:rsidRPr="00264D5D">
              <w:t>ExtrAttrb_DcDtFK2</w:t>
            </w:r>
          </w:p>
        </w:tc>
        <w:tc>
          <w:tcPr>
            <w:tcW w:w="567" w:type="dxa"/>
          </w:tcPr>
          <w:p w14:paraId="3253561A" w14:textId="77777777" w:rsidR="00AD1F54" w:rsidRPr="00264D5D" w:rsidRDefault="00941227">
            <w:pPr>
              <w:pStyle w:val="GOSTTablenorm"/>
              <w:widowControl w:val="0"/>
              <w:jc w:val="center"/>
            </w:pPr>
            <w:r w:rsidRPr="00264D5D">
              <w:t>П</w:t>
            </w:r>
          </w:p>
        </w:tc>
        <w:tc>
          <w:tcPr>
            <w:tcW w:w="1134" w:type="dxa"/>
          </w:tcPr>
          <w:p w14:paraId="421AFB7C" w14:textId="77777777" w:rsidR="00AD1F54" w:rsidRPr="00264D5D" w:rsidRDefault="00941227">
            <w:pPr>
              <w:pStyle w:val="GOSTTablenorm"/>
              <w:widowControl w:val="0"/>
            </w:pPr>
            <w:r w:rsidRPr="00264D5D">
              <w:t>Date</w:t>
            </w:r>
          </w:p>
        </w:tc>
        <w:tc>
          <w:tcPr>
            <w:tcW w:w="567" w:type="dxa"/>
          </w:tcPr>
          <w:p w14:paraId="202EAE4C" w14:textId="77777777" w:rsidR="00AD1F54" w:rsidRPr="00264D5D" w:rsidRDefault="00941227">
            <w:pPr>
              <w:pStyle w:val="GOSTTablenorm"/>
              <w:widowControl w:val="0"/>
              <w:jc w:val="center"/>
            </w:pPr>
            <w:r w:rsidRPr="00264D5D">
              <w:t>Н</w:t>
            </w:r>
          </w:p>
        </w:tc>
        <w:tc>
          <w:tcPr>
            <w:tcW w:w="3969" w:type="dxa"/>
          </w:tcPr>
          <w:p w14:paraId="39E162D1" w14:textId="77777777" w:rsidR="00AD1F54" w:rsidRPr="00264D5D" w:rsidRDefault="00941227" w:rsidP="00BA58C1">
            <w:pPr>
              <w:pStyle w:val="GOSTTablenorm"/>
              <w:widowControl w:val="0"/>
            </w:pPr>
            <w:r w:rsidRPr="00264D5D">
              <w:t>Дата проводки в органе ФК получателя.</w:t>
            </w:r>
          </w:p>
          <w:p w14:paraId="1698B12A" w14:textId="77777777" w:rsidR="00BA58C1" w:rsidRPr="00264D5D" w:rsidRDefault="00941227" w:rsidP="00BA58C1">
            <w:pPr>
              <w:pStyle w:val="GOSTTableListMark1"/>
              <w:widowControl w:val="0"/>
              <w:tabs>
                <w:tab w:val="left" w:pos="557"/>
              </w:tabs>
              <w:spacing w:before="60" w:after="60"/>
              <w:ind w:left="57" w:firstLine="0"/>
              <w:jc w:val="both"/>
            </w:pPr>
            <w:r w:rsidRPr="00264D5D">
              <w:t xml:space="preserve">Не заполняется только если отправитель и получатель обслуживаются в одном ТОФК. </w:t>
            </w:r>
          </w:p>
          <w:p w14:paraId="7AD14570" w14:textId="77777777" w:rsidR="00AD1F54" w:rsidRPr="00264D5D" w:rsidRDefault="00941227" w:rsidP="00BA58C1">
            <w:pPr>
              <w:pStyle w:val="GOSTTableListMark1"/>
              <w:widowControl w:val="0"/>
              <w:tabs>
                <w:tab w:val="left" w:pos="557"/>
              </w:tabs>
              <w:spacing w:before="60" w:after="60"/>
              <w:ind w:left="57" w:firstLine="0"/>
              <w:jc w:val="both"/>
            </w:pPr>
            <w:r w:rsidRPr="00264D5D">
              <w:t>В остальных слу</w:t>
            </w:r>
            <w:r w:rsidR="00BA58C1" w:rsidRPr="00264D5D">
              <w:t>чаях обязательно для заполнения</w:t>
            </w:r>
          </w:p>
        </w:tc>
      </w:tr>
    </w:tbl>
    <w:p w14:paraId="473C10D1" w14:textId="77777777" w:rsidR="00AD1F54" w:rsidRPr="00264D5D" w:rsidRDefault="00941227">
      <w:pPr>
        <w:pStyle w:val="31"/>
      </w:pPr>
      <w:r w:rsidRPr="00264D5D">
        <w:t xml:space="preserve"> </w:t>
      </w:r>
      <w:bookmarkStart w:id="707" w:name="_Toc219309483"/>
      <w:r w:rsidRPr="00264D5D">
        <w:t>Пример XML</w:t>
      </w:r>
      <w:bookmarkEnd w:id="707"/>
    </w:p>
    <w:p w14:paraId="665E04FB"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&lt;?xml version="1.0" encoding="UTF-8"?&gt;</w:t>
      </w:r>
    </w:p>
    <w:p w14:paraId="3FF1EFF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&lt;soapenv:Envelope xmlns:soapenv="http://schemas.xmlsoap.org/soap/envelope/" xmlns:wsu="http://docs.oasis-open.org/wss/2004/01/oasis-200401-wss-wssecurity-utility-1.0.xsd" xmlns:wsse="http://docs.oasis-open.org/wss/2004/01/oasis-200401-wss-wssecurity-secext-1.0.xsd"&gt;</w:t>
      </w:r>
    </w:p>
    <w:p w14:paraId="3F8FCE51"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&lt;soapenv:Header xmlns:env="http://schemas.xmlsoap.org/soap/envelope/"&gt;&lt;wsse:Security wsu:Id="Id-sec-f9cb3040b7ca31cd7876d625c632e1aed304"&gt;</w:t>
      </w:r>
    </w:p>
    <w:p w14:paraId="0AEACF5F"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 xmlns="http://www.w3.org/2000/09/xmldsig#" Id="Id-sig-b9199ca934cfa91bcff69e807d7b0dbd26f6"&gt;</w:t>
      </w:r>
    </w:p>
    <w:p w14:paraId="6D223019"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539C1EF3"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&lt;CanonicalizationMethod Algorithm="http://www.w3.org/2001/10/xml-exc-c14n#"/&gt;</w:t>
      </w:r>
    </w:p>
    <w:p w14:paraId="275C3176"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&lt;SignatureMethod Algorithm="http://www.w3.org/2001/04/xmldsig-more#gostr34102001-gostr3411"/&gt;</w:t>
      </w:r>
    </w:p>
    <w:p w14:paraId="16E245E6"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URI="#Id-wssecdata-29cef34e3106063e64fead91c94aeda97ff4" Id="Id-dataref-ea575c0bb2c994b98298d2c77dcd5a7dbaa1"&gt;</w:t>
      </w:r>
    </w:p>
    <w:p w14:paraId="01A04DB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7DD2320E"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03D7355B"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7226A33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4F50A044"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&lt;DigestValue&gt;4bqC9/3OSJqEHDz00XLzUf29YFcetigx2jr08qUp7fQ=&lt;/DigestValue&gt;</w:t>
      </w:r>
    </w:p>
    <w:p w14:paraId="6321338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0BC2D8A7"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Type="http://www.w3.org/TR/2002/REC-xmldsig-core-20020212/xmldsig-core-schema.xsd#X509Data" URI="#Id-keyinfo-11712390bc17243d110193ac033f54873ad8" Id="Id-keyinforef-ac3c6eb29c9af1964819db52ec661b26c339"&gt;</w:t>
      </w:r>
    </w:p>
    <w:p w14:paraId="4CFE35E4"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4F6640A5"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20CAEB76"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23B7C877"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5C92325A"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&lt;DigestValue&gt;+0q515JTexjW0go5SdPl7+ydqXUKST91N44lIbXt8Yo=&lt;/DigestValue&gt;</w:t>
      </w:r>
    </w:p>
    <w:p w14:paraId="6FA29E94"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4CAA8595"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URI="#Id-sp-4179cfd1e4ba9c0aaed70450fc3c741c9c08" Id="Id-ref-cb8cc265f168034494eca1c25ec74bf9433c"&gt;</w:t>
      </w:r>
    </w:p>
    <w:p w14:paraId="44D37BAC"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003C4776"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&lt;Transform Algorithm="http://www.w3.org/2001/10/xml-exc-c14n#"/&gt;</w:t>
      </w:r>
    </w:p>
    <w:p w14:paraId="238E226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1ECAAD87"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606FC951"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&lt;DigestValue&gt;f10/P/MZ5W1AwvdMPGkqpWfYGkK10xUw6SycuQIgFIc=&lt;/DigestValue&gt;</w:t>
      </w:r>
    </w:p>
    <w:p w14:paraId="3B8B07E3"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5FBA52AD"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0A028E11"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&lt;SignatureValue&gt;Xg8mlCU46QdjuUgHR/GFI13DKE7tfRDOphsVyNpFnxC/Sa2XnEuGBKeW7azroY19</w:t>
      </w:r>
    </w:p>
    <w:p w14:paraId="1F10E623"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3u7EHXe4dKfnrJ7k7Eq5+A==&lt;/SignatureValue&gt;</w:t>
      </w:r>
    </w:p>
    <w:p w14:paraId="66599CE3"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16E497F2"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5AA5CC7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 xmlns="http://uri.etsi.org/01903/v1.4.1#" Target="Id-sig-b9199ca934cfa91bcff69e807d7b0dbd26f6"&gt;</w:t>
      </w:r>
    </w:p>
    <w:p w14:paraId="25A2023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 Id="Id-sp-4179cfd1e4ba9c0aaed70450fc3c741c9c08"&gt;</w:t>
      </w:r>
    </w:p>
    <w:p w14:paraId="533BE407"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&lt;SignedSignatureProperties Id="Id-ssp-408cecc6a155b8a0f2850e81d5f57496bb2b"/&gt;</w:t>
      </w:r>
    </w:p>
    <w:p w14:paraId="3BA7B789"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&lt;/SignedProperties&gt;</w:t>
      </w:r>
    </w:p>
    <w:p w14:paraId="2C38D830"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&lt;/QualifyingProperties&gt;</w:t>
      </w:r>
    </w:p>
    <w:p w14:paraId="1BCA85FA"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438287CF"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01A0EEB0"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CVNlcnZlciBDQTEgMB4GCSqGSIb3DQEJARYRdWNfZmtAcm9za2F6bmEucnUxHDAa</w:t>
      </w:r>
    </w:p>
    <w:p w14:paraId="15F18B4A"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BgNVBAgMEzc3INCzLiDQnNC+0YHQutCy0LAxGjAYBggqhQMDgQMBARIMMDA3NzEw</w:t>
      </w:r>
    </w:p>
    <w:p w14:paraId="6E7955F2"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NTY4NzYwMRgwFgYFKoUDZAESDTEwNDc3OTcwMTk4MzAxLDAqBgNVBAkMI9GD0LvQ</w:t>
      </w:r>
    </w:p>
    <w:p w14:paraId="3FE315DE"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uNGG0LAg0JjQu9GM0LjQvdC60LAsINC00L7QvCA3MRUwEwYDVQQHDAzQnNC+0YHQ</w:t>
      </w:r>
    </w:p>
    <w:p w14:paraId="05CACBEE"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utCy0LAxCzAJBgNVBAYTAlJVMTgwNgYDVQQKDC/QpNC10LTQtdGA0LDQu9GM0L3Q</w:t>
      </w:r>
    </w:p>
    <w:p w14:paraId="4FFE1A9D"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vtC1INC60LDQt9C90LDRh9C10LnRgdGC0LLQvjE/MD0GA1UEAww20KPQpiDQpNC1</w:t>
      </w:r>
    </w:p>
    <w:p w14:paraId="624FD8DE"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0LTQtdGA0LDQu9GM0L3QvtCz0L4g0LrQsNC30L3QsNGH0LXQudGB0YLQstCwMB4X</w:t>
      </w:r>
    </w:p>
    <w:p w14:paraId="2C3FA2B4"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DTE2MDQwNzA4MTExMFoXDTE3MDcwNzA4MTExMFowggITMRYwFAYFKoUDZAMSCzEy</w:t>
      </w:r>
    </w:p>
    <w:p w14:paraId="20519601"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MzQ1Njc4OTAxMRgwFgYFKoUDZAESDTAxMjM0NTY3ODkxMjMxGjAYBggqhQMDgQMB</w:t>
      </w:r>
    </w:p>
    <w:p w14:paraId="74F46A32"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ARIMMDAxMjM0NTY3ODkwMSYwJAYJKoZIhvcNAQkBFhduLm5hZ292aXRzeW5AaW5m</w:t>
      </w:r>
    </w:p>
    <w:p w14:paraId="5F9AE517"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b3NlYy5ydTELMAkGA1UEBhMCUlUxHDAaBgNVBAgMEzc3INCzLiDQnNC+0YHQutCy</w:t>
      </w:r>
    </w:p>
    <w:p w14:paraId="545396F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0LAxFTATBgNVBAcMDNCc0L7RgdC60LLQsDE4MDYGA1UECgwv0KTQtdC00LXRgNCw</w:t>
      </w:r>
    </w:p>
    <w:p w14:paraId="25D38C5A"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0LvRjNC90L7QtSDQutCw0LfQvdCw0YfQtdC50YHRgtCy0L4xNDAyBgNVBAsMK9GC</w:t>
      </w:r>
    </w:p>
    <w:p w14:paraId="3FBC0D85"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0LXRgdGC0L7QstC+0LUg0L/QvtC00YDQsNC30LTQtdC70LXQvdC40LUxHDAaBgNV</w:t>
      </w:r>
    </w:p>
    <w:p w14:paraId="2C5F8354"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BCoME2PQtdGA0YLQuNGE0LjQutCw0YIxGTAXBgNVBAQMENCi0LXRgdGC0L7QstGL</w:t>
      </w:r>
    </w:p>
    <w:p w14:paraId="673E0973"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0LkxPTA7BgNVBAwMNNCi0LXRgdGC0L7QstGL0Lkg0YHQtdGA0YLQuNGE0LjQutCw</w:t>
      </w:r>
    </w:p>
    <w:p w14:paraId="51FD7C1C"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0YIg0L/QvtC00L/QuNGB0LgxQTA/BgkqhkiG9w0BCQIMMklOTlw9MDEyMzQ1Njc4</w:t>
      </w:r>
    </w:p>
    <w:p w14:paraId="048F1744"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OS9LUFBcPTEyMzQ1Njc4OS9PR1JOXD0wMTIzNDU2Nzg5MTIzMS4wLAYDVQQDDCXQ</w:t>
      </w:r>
    </w:p>
    <w:p w14:paraId="007C3E0F"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otC10YHRgtC+0LLRi9C5INGB0LXRgNGC0LjRhNC40LrQsNGCMGMwHAYGKoUDAgIT</w:t>
      </w:r>
    </w:p>
    <w:p w14:paraId="39657B53"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MBIGByqFAwICJAAGByqFAwICHgEDQwAEQM/mE38gcSmh2U183WL3aPaP3tJu0vTq</w:t>
      </w:r>
    </w:p>
    <w:p w14:paraId="0538E9A3"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CndMDcb72IGcv8nO7QkaqnFwXrkt6zScdQlQgUX78ct0+jNJa7ZIdLGjggRJMIIE</w:t>
      </w:r>
    </w:p>
    <w:p w14:paraId="7367BFEB"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RTAMBgNVHRMBAf8EAjAAMB0GA1UdIAQWMBQwCAYGKoUDZHEBMAgGBiqFA2RxAjBN</w:t>
      </w:r>
    </w:p>
    <w:p w14:paraId="6E3A92EE"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BgUqhQNkbwREDELQmtGA0LjQv9GC0L7Qn9GA0L4gQ1NQICjQstC10YDRgdC40Y8g</w:t>
      </w:r>
    </w:p>
    <w:p w14:paraId="58239857"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My42KSAo0LjRgdC/0L7Qu9C90LXQvdC40LUgMikwggFhBgUqhQNkcASCAVYwggFS</w:t>
      </w:r>
    </w:p>
    <w:p w14:paraId="68982063"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DEQi0JrRgNC40L/RgtC+0J/RgNC+IENTUCIgKNCy0LXRgNGB0LjRjyAzLjYpICjQ</w:t>
      </w:r>
    </w:p>
    <w:p w14:paraId="2F1F6D8D"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uNGB0L/QvtC70L3QtdC90LjQtSAyKQxoItCf0YDQvtCz0YDQsNC80LzQvdC+LdCw</w:t>
      </w:r>
    </w:p>
    <w:p w14:paraId="63BA902A"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0L/Qv9Cw0YDQsNGC0L3Ri9C5INC60L7QvNC/0LvQtdC60YEgItCu0L3QuNGB0LXR</w:t>
      </w:r>
    </w:p>
    <w:p w14:paraId="07398237"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gNGCLdCT0J7QodCiIi4g0JLQtdGA0YHQuNGPIDIuMSIMT9Ch0LXRgNGC0LjRhNC4</w:t>
      </w:r>
    </w:p>
    <w:p w14:paraId="44451B1F"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0LrQsNGCINGB0L7QvtGC0LLQtdGC0YHRgtCy0LjRjyDihJYg0KHQpC8xMjQtMjcz</w:t>
      </w:r>
    </w:p>
    <w:p w14:paraId="2A2E555F"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OCDQvtGCIDAxLjA3LjIwMTUMT9Ch0LXRgNGC0LjRhNC40LrQsNGCINGB0L7QvtGC</w:t>
      </w:r>
    </w:p>
    <w:p w14:paraId="4E8DE092"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0LLQtdGC0YHRgtCy0LjRjyDihJYg0KHQpC8xMjgtMjE3NSDQvtGCIDIwLjA2LjIw</w:t>
      </w:r>
    </w:p>
    <w:p w14:paraId="33ED30AF"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MTMwDgYDVR0PAQH/BAQDAgTwMBMGA1UdJQQMMAoGCCsGAQUFBwMDMCsGA1UdEAQk</w:t>
      </w:r>
    </w:p>
    <w:p w14:paraId="2D7175C7"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MCKADzIwMTYwNDA3MDgwNDI4WoEPMjAxNzA3MDcwODA0MjhaMIIBjwYDVR0jBIIB</w:t>
      </w:r>
    </w:p>
    <w:p w14:paraId="74C022B7"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hjCCAYKAFJ5xDg/atAEoXz/iy49lFZcCR4yroYIBZaSCAWEwggFdMRgwFgYJKoZI</w:t>
      </w:r>
    </w:p>
    <w:p w14:paraId="0A00B501"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hvcNAQkCEwlTZXJ2ZXIgQ0ExIDAeBgkqhkiG9w0BCQEWEXVjX2ZrQHJvc2them5h</w:t>
      </w:r>
    </w:p>
    <w:p w14:paraId="582C97D7"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LnJ1MRwwGgYDVQQIDBM3NyDQsy4g0JzQvtGB0LrQstCwMRowGAYIKoUDA4EDAQES</w:t>
      </w:r>
    </w:p>
    <w:p w14:paraId="41CA00F3"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DDAwNzcxMDU2ODc2MDEYMBYGBSqFA2QBEg0xMDQ3Nzk3MDE5ODMwMSwwKgYDVQQJ</w:t>
      </w:r>
    </w:p>
    <w:p w14:paraId="7D934F0D"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DCPRg9C70LjRhtCwINCY0LvRjNC40L3QutCwLCDQtNC+0LwgNzEVMBMGA1UEBwwM</w:t>
      </w:r>
    </w:p>
    <w:p w14:paraId="174CB1B1"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0JzQvtGB0LrQstCwMQswCQYDVQQGEwJSVTE4MDYGA1UECgwv0KTQtdC00LXRgNCw</w:t>
      </w:r>
    </w:p>
    <w:p w14:paraId="74499276"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0LvRjNC90L7QtSDQutCw0LfQvdCw0YfQtdC50YHRgtCy0L4xPzA9BgNVBAMMNtCj</w:t>
      </w:r>
    </w:p>
    <w:p w14:paraId="4584BDCA"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0KYg0KTQtdC00LXRgNCw0LvRjNC90L7Qs9C+INC60LDQt9C90LDRh9C10LnRgdGC</w:t>
      </w:r>
    </w:p>
    <w:p w14:paraId="1071D137"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0LLQsIIBATBeBgNVHR8EVzBVMCmgJ6AlhiNodHRwOi8vY3JsLnJvc2them5hLnJ1</w:t>
      </w:r>
    </w:p>
    <w:p w14:paraId="7973F4DB"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L2NybC9mazAxLmNybDAooCagJIYiaHR0cDovL2NybC5mc2ZrLmxvY2FsL2NybC9m</w:t>
      </w:r>
    </w:p>
    <w:p w14:paraId="70857981"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azAxLmNybDAdBgNVHQ4EFgQUt0m7wwTPyJQ+5TDMkq5Z0WnD5vQwCAYGKoUDAgID</w:t>
      </w:r>
    </w:p>
    <w:p w14:paraId="4B93451F"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A0EAReUQeQpqERyFF5XRWG8RnguKCWvPIQOt26PZmVTccxOXVHwZyI0rqdcQ2i4L</w:t>
      </w:r>
    </w:p>
    <w:p w14:paraId="6BCF8875"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p87xs4bqOAO1BwhmKL/TsoC4pA==&lt;/wsse:BinarySecurityToken&gt;&lt;/wsse:Security&gt;&lt;/soapenv:Header&gt;</w:t>
      </w:r>
    </w:p>
    <w:p w14:paraId="13B2D450"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&lt;soapenv:Body xmlns:env="http://schemas.xmlsoap.org/soap/envelope/" wsu:Id="Id-wssecdata-29cef34e3106063e64fead91c94aeda97ff4"&gt;</w:t>
      </w:r>
    </w:p>
    <w:p w14:paraId="4E87B271"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&lt;transferDocumentRequest xmlns:typ="http://www.roskazna.ru/eb/services/transferDocumentService/types" xmlns="http://www.roskazna.ru/eb/services/transferDocumentService/types" versionId="1.0"&gt;</w:t>
      </w:r>
    </w:p>
    <w:p w14:paraId="46D5676D"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&lt;typ:header&gt;</w:t>
      </w:r>
    </w:p>
    <w:p w14:paraId="03ED9A4A"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&lt;typ:packageId&gt;e8bf66bf-9cf1-47f1-a48b-394d18467fe3&lt;/typ:packageId&gt;</w:t>
      </w:r>
    </w:p>
    <w:p w14:paraId="4D44CC9E"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&lt;typ:senderSystemId&gt;PFHD&lt;/typ:senderSystemId&gt;</w:t>
      </w:r>
    </w:p>
    <w:p w14:paraId="636AAB07"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&lt;typ:targetSystemId&gt;EXP&lt;/typ:targetSystemId&gt;</w:t>
      </w:r>
    </w:p>
    <w:p w14:paraId="0E301F63"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&lt;typ:documentType&gt;MSC_ExpndblSchdl&lt;/typ:documentType&gt;</w:t>
      </w:r>
    </w:p>
    <w:p w14:paraId="6730C565"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&lt;typ:documentGuid&gt;d8bf66bf-9cf1-47f1-a48b-394d18461fe3&lt;/typ:documentGuid&gt;</w:t>
      </w:r>
    </w:p>
    <w:p w14:paraId="5511A8E1"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&lt;typ:creationDateTime&gt;2021-01-03T16:46:07.689+04:00&lt;/typ:creationDateTime&gt;</w:t>
      </w:r>
    </w:p>
    <w:p w14:paraId="21889CE0"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&lt;typ:params&gt;</w:t>
      </w:r>
    </w:p>
    <w:p w14:paraId="10F70EC0"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 name="tofkCode" value="9500"/&gt;</w:t>
      </w:r>
    </w:p>
    <w:p w14:paraId="70FD9943"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 name="versionId" value="3.0"/&gt;</w:t>
      </w:r>
    </w:p>
    <w:p w14:paraId="4BEDA469"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&lt;/typ:params&gt;</w:t>
      </w:r>
    </w:p>
    <w:p w14:paraId="76C940C2"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&lt;/typ:header&gt;</w:t>
      </w:r>
    </w:p>
    <w:p w14:paraId="21C652E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&lt;typ:document&gt;</w:t>
      </w:r>
    </w:p>
    <w:p w14:paraId="50674EA5"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&lt;self:MSC_ExpndblSchdl xmlns:n1="http://www.altova.com/samplexml/other-namespace" xmlns:self="http://www.roskazna.ru/eb/domain/MSC_ExpndblSchdl/formular" xmlns:ds="http://www.w3.org/2000/09/xmldsig#" xmlns:xsi="http://www.w3.org/2001/XMLSchema-instance" Version="3.0" metaType="formular" xsi:schemaLocation="http://www.roskazna.ru/eb/domain/MSC_ExpndblSchdl/formular formulars.xsd"&gt;</w:t>
      </w:r>
    </w:p>
    <w:p w14:paraId="2640EAE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&lt;GUIDRRExSys&gt;e1ff88bf-9cf1-45g1-a48b-394d18467fe3&lt;/GUIDRRExSys&gt;</w:t>
      </w:r>
    </w:p>
    <w:p w14:paraId="23808D64"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&lt;NmRR&gt;111/17832/123&lt;/NmRR&gt;</w:t>
      </w:r>
    </w:p>
    <w:p w14:paraId="15BCF745"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&lt;MSC_Infrmtn&gt;</w:t>
      </w:r>
    </w:p>
    <w:p w14:paraId="0D66BF8D"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&lt;CrtnDt&gt;2021-01-03&lt;/CrtnDt&gt;</w:t>
      </w:r>
    </w:p>
    <w:p w14:paraId="39CF4184"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&lt;/MSC_Infrmtn&gt;</w:t>
      </w:r>
    </w:p>
    <w:p w14:paraId="5F112EC2"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&lt;DctDtUTV&gt;2021-01-03&lt;/DctDtUTV&gt;</w:t>
      </w:r>
    </w:p>
    <w:p w14:paraId="313B9F1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&lt;ScrcSgn code="0"&gt;Несекретно&lt;/ScrcSgn&gt;</w:t>
      </w:r>
    </w:p>
    <w:p w14:paraId="575334A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&lt;ExtrAttrb_Src code="EXP"&gt;Подсистема управления расходами&lt;/ExtrAttrb_Src&gt;</w:t>
      </w:r>
    </w:p>
    <w:p w14:paraId="2E18022D"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 Информация об УБП, формирующего РР --&gt;</w:t>
      </w:r>
    </w:p>
    <w:p w14:paraId="6A183676"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AP</w:t>
      </w:r>
      <w:r w:rsidRPr="00264D5D">
        <w:rPr>
          <w:rFonts w:cs="Courier New"/>
          <w:sz w:val="20"/>
          <w:lang w:val="ru-RU"/>
        </w:rPr>
        <w:t>_</w:t>
      </w:r>
      <w:r w:rsidRPr="00264D5D">
        <w:rPr>
          <w:rFonts w:cs="Courier New"/>
          <w:sz w:val="20"/>
        </w:rPr>
        <w:t>APGRBS</w:t>
      </w:r>
      <w:r w:rsidRPr="00264D5D">
        <w:rPr>
          <w:rFonts w:cs="Courier New"/>
          <w:sz w:val="20"/>
          <w:lang w:val="ru-RU"/>
        </w:rPr>
        <w:t>&gt;</w:t>
      </w:r>
    </w:p>
    <w:p w14:paraId="3DEE3CF6"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Cd</w:t>
      </w:r>
      <w:r w:rsidRPr="00264D5D">
        <w:rPr>
          <w:rFonts w:cs="Courier New"/>
          <w:sz w:val="20"/>
          <w:lang w:val="ru-RU"/>
        </w:rPr>
        <w:t>&gt;001&lt;/</w:t>
      </w:r>
      <w:r w:rsidRPr="00264D5D">
        <w:rPr>
          <w:rFonts w:cs="Courier New"/>
          <w:sz w:val="20"/>
        </w:rPr>
        <w:t>Cd</w:t>
      </w:r>
      <w:r w:rsidRPr="00264D5D">
        <w:rPr>
          <w:rFonts w:cs="Courier New"/>
          <w:sz w:val="20"/>
          <w:lang w:val="ru-RU"/>
        </w:rPr>
        <w:t>&gt;</w:t>
      </w:r>
    </w:p>
    <w:p w14:paraId="77A57903"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Nm</w:t>
      </w:r>
      <w:r w:rsidRPr="00264D5D">
        <w:rPr>
          <w:rFonts w:cs="Courier New"/>
          <w:sz w:val="20"/>
          <w:lang w:val="ru-RU"/>
        </w:rPr>
        <w:t>&gt;Главное управление Московской области&lt;/</w:t>
      </w:r>
      <w:r w:rsidRPr="00264D5D">
        <w:rPr>
          <w:rFonts w:cs="Courier New"/>
          <w:sz w:val="20"/>
        </w:rPr>
        <w:t>Nm</w:t>
      </w:r>
      <w:r w:rsidRPr="00264D5D">
        <w:rPr>
          <w:rFonts w:cs="Courier New"/>
          <w:sz w:val="20"/>
          <w:lang w:val="ru-RU"/>
        </w:rPr>
        <w:t>&gt;</w:t>
      </w:r>
    </w:p>
    <w:p w14:paraId="22206B84"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rPr>
        <w:t>&lt;/AP_APGRBS&gt;</w:t>
      </w:r>
    </w:p>
    <w:p w14:paraId="50C97182"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&lt;AP_RBSPBSAIFDB&gt;</w:t>
      </w:r>
    </w:p>
    <w:p w14:paraId="5B1457CD"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&lt;Cd&gt;00017634&lt;/Cd&gt;</w:t>
      </w:r>
    </w:p>
    <w:p w14:paraId="36792991"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Nm</w:t>
      </w:r>
      <w:r w:rsidRPr="00264D5D">
        <w:rPr>
          <w:rFonts w:cs="Courier New"/>
          <w:sz w:val="20"/>
          <w:lang w:val="ru-RU"/>
        </w:rPr>
        <w:t>&gt;Управление Московской области&lt;/</w:t>
      </w:r>
      <w:r w:rsidRPr="00264D5D">
        <w:rPr>
          <w:rFonts w:cs="Courier New"/>
          <w:sz w:val="20"/>
        </w:rPr>
        <w:t>Nm</w:t>
      </w:r>
      <w:r w:rsidRPr="00264D5D">
        <w:rPr>
          <w:rFonts w:cs="Courier New"/>
          <w:sz w:val="20"/>
          <w:lang w:val="ru-RU"/>
        </w:rPr>
        <w:t>&gt;</w:t>
      </w:r>
    </w:p>
    <w:p w14:paraId="613C6E33"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rPr>
        <w:t>&lt;/AP_RBSPBSAIFDB&gt;</w:t>
      </w:r>
    </w:p>
    <w:p w14:paraId="665C8227"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&lt;AP_LSUBP&gt;01482100000&lt;/AP_LSUBP&gt;</w:t>
      </w:r>
    </w:p>
    <w:p w14:paraId="05F9F407"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AP</w:t>
      </w:r>
      <w:r w:rsidRPr="00264D5D">
        <w:rPr>
          <w:rFonts w:cs="Courier New"/>
          <w:sz w:val="20"/>
          <w:lang w:val="ru-RU"/>
        </w:rPr>
        <w:t>_</w:t>
      </w:r>
      <w:r w:rsidRPr="00264D5D">
        <w:rPr>
          <w:rFonts w:cs="Courier New"/>
          <w:sz w:val="20"/>
        </w:rPr>
        <w:t>APTOFK</w:t>
      </w:r>
      <w:r w:rsidRPr="00264D5D">
        <w:rPr>
          <w:rFonts w:cs="Courier New"/>
          <w:sz w:val="20"/>
          <w:lang w:val="ru-RU"/>
        </w:rPr>
        <w:t>&gt;</w:t>
      </w:r>
    </w:p>
    <w:p w14:paraId="61136C8F"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lastRenderedPageBreak/>
        <w:tab/>
      </w:r>
      <w:r w:rsidRPr="00264D5D">
        <w:rPr>
          <w:rFonts w:cs="Courier New"/>
          <w:sz w:val="20"/>
          <w:lang w:val="ru-RU"/>
        </w:rPr>
        <w:tab/>
        <w:t>&lt;</w:t>
      </w:r>
      <w:r w:rsidRPr="00264D5D">
        <w:rPr>
          <w:rFonts w:cs="Courier New"/>
          <w:sz w:val="20"/>
        </w:rPr>
        <w:t>Cd</w:t>
      </w:r>
      <w:r w:rsidRPr="00264D5D">
        <w:rPr>
          <w:rFonts w:cs="Courier New"/>
          <w:sz w:val="20"/>
          <w:lang w:val="ru-RU"/>
        </w:rPr>
        <w:t>&gt;4800&lt;/</w:t>
      </w:r>
      <w:r w:rsidRPr="00264D5D">
        <w:rPr>
          <w:rFonts w:cs="Courier New"/>
          <w:sz w:val="20"/>
        </w:rPr>
        <w:t>Cd</w:t>
      </w:r>
      <w:r w:rsidRPr="00264D5D">
        <w:rPr>
          <w:rFonts w:cs="Courier New"/>
          <w:sz w:val="20"/>
          <w:lang w:val="ru-RU"/>
        </w:rPr>
        <w:t>&gt;</w:t>
      </w:r>
    </w:p>
    <w:p w14:paraId="413896BF"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Nm</w:t>
      </w:r>
      <w:r w:rsidRPr="00264D5D">
        <w:rPr>
          <w:rFonts w:cs="Courier New"/>
          <w:sz w:val="20"/>
          <w:lang w:val="ru-RU"/>
        </w:rPr>
        <w:t>&gt;Управление Федерального казначейства по Московской области&lt;/</w:t>
      </w:r>
      <w:r w:rsidRPr="00264D5D">
        <w:rPr>
          <w:rFonts w:cs="Courier New"/>
          <w:sz w:val="20"/>
        </w:rPr>
        <w:t>Nm</w:t>
      </w:r>
      <w:r w:rsidRPr="00264D5D">
        <w:rPr>
          <w:rFonts w:cs="Courier New"/>
          <w:sz w:val="20"/>
          <w:lang w:val="ru-RU"/>
        </w:rPr>
        <w:t>&gt;</w:t>
      </w:r>
    </w:p>
    <w:p w14:paraId="32FBED56"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rPr>
        <w:t>&lt;/AP_APTOFK&gt;</w:t>
      </w:r>
    </w:p>
    <w:p w14:paraId="05CCCED1"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&lt;AP_CdBdg&gt;99010001&lt;/AP_CdBdg&gt;</w:t>
      </w:r>
    </w:p>
    <w:p w14:paraId="1D26E1D9"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&lt;AP_NAMEBUD&gt;Федеральный бюджет&lt;/AP_NAMEBUD&gt;</w:t>
      </w:r>
    </w:p>
    <w:p w14:paraId="77B304F7"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AP</w:t>
      </w:r>
      <w:r w:rsidRPr="00264D5D">
        <w:rPr>
          <w:rFonts w:cs="Courier New"/>
          <w:sz w:val="20"/>
          <w:lang w:val="ru-RU"/>
        </w:rPr>
        <w:t>_</w:t>
      </w:r>
      <w:r w:rsidRPr="00264D5D">
        <w:rPr>
          <w:rFonts w:cs="Courier New"/>
          <w:sz w:val="20"/>
        </w:rPr>
        <w:t>FO</w:t>
      </w:r>
      <w:r w:rsidRPr="00264D5D">
        <w:rPr>
          <w:rFonts w:cs="Courier New"/>
          <w:sz w:val="20"/>
          <w:lang w:val="ru-RU"/>
        </w:rPr>
        <w:t>&gt;</w:t>
      </w:r>
    </w:p>
    <w:p w14:paraId="29D26E5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FnclInst</w:t>
      </w:r>
      <w:r w:rsidRPr="00264D5D">
        <w:rPr>
          <w:rFonts w:cs="Courier New"/>
          <w:sz w:val="20"/>
          <w:lang w:val="ru-RU"/>
        </w:rPr>
        <w:t>&gt;Министерство финансов Российской Федерации&lt;/</w:t>
      </w:r>
      <w:r w:rsidRPr="00264D5D">
        <w:rPr>
          <w:rFonts w:cs="Courier New"/>
          <w:sz w:val="20"/>
        </w:rPr>
        <w:t>FnclInst</w:t>
      </w:r>
      <w:r w:rsidRPr="00264D5D">
        <w:rPr>
          <w:rFonts w:cs="Courier New"/>
          <w:sz w:val="20"/>
          <w:lang w:val="ru-RU"/>
        </w:rPr>
        <w:t>&gt;</w:t>
      </w:r>
    </w:p>
    <w:p w14:paraId="08DFEE21"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rPr>
        <w:t>&lt;/AP_FO&gt;</w:t>
      </w:r>
    </w:p>
    <w:p w14:paraId="11BF1865"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&lt;AP_APHead&gt;</w:t>
      </w:r>
    </w:p>
    <w:p w14:paraId="6B179B34"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&lt;Pstn&gt;Директор&lt;/Pstn&gt;</w:t>
      </w:r>
    </w:p>
    <w:p w14:paraId="03AA02CB"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&lt;FllNm&gt;Хабаров К.Е.&lt;/FllNm&gt;</w:t>
      </w:r>
    </w:p>
    <w:p w14:paraId="2C39E49D"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&lt;/AP_APHead&gt;</w:t>
      </w:r>
    </w:p>
    <w:p w14:paraId="44041DB9"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&lt;AP_DATESIGNRR&gt;2021-01-03&lt;/AP_DATESIGNRR&gt;</w:t>
      </w:r>
    </w:p>
    <w:p w14:paraId="6CF50F02"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AP</w:t>
      </w:r>
      <w:r w:rsidRPr="00264D5D">
        <w:rPr>
          <w:rFonts w:cs="Courier New"/>
          <w:sz w:val="20"/>
          <w:lang w:val="ru-RU"/>
        </w:rPr>
        <w:t>_</w:t>
      </w:r>
      <w:r w:rsidRPr="00264D5D">
        <w:rPr>
          <w:rFonts w:cs="Courier New"/>
          <w:sz w:val="20"/>
        </w:rPr>
        <w:t>RespEx</w:t>
      </w:r>
      <w:r w:rsidRPr="00264D5D">
        <w:rPr>
          <w:rFonts w:cs="Courier New"/>
          <w:sz w:val="20"/>
          <w:lang w:val="ru-RU"/>
        </w:rPr>
        <w:t>&gt;</w:t>
      </w:r>
    </w:p>
    <w:p w14:paraId="104DA08A"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Pstn</w:t>
      </w:r>
      <w:r w:rsidRPr="00264D5D">
        <w:rPr>
          <w:rFonts w:cs="Courier New"/>
          <w:sz w:val="20"/>
          <w:lang w:val="ru-RU"/>
        </w:rPr>
        <w:t>&gt;Главный специалист&lt;/</w:t>
      </w:r>
      <w:r w:rsidRPr="00264D5D">
        <w:rPr>
          <w:rFonts w:cs="Courier New"/>
          <w:sz w:val="20"/>
        </w:rPr>
        <w:t>Pstn</w:t>
      </w:r>
      <w:r w:rsidRPr="00264D5D">
        <w:rPr>
          <w:rFonts w:cs="Courier New"/>
          <w:sz w:val="20"/>
          <w:lang w:val="ru-RU"/>
        </w:rPr>
        <w:t>&gt;</w:t>
      </w:r>
    </w:p>
    <w:p w14:paraId="0D147553"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FllNm</w:t>
      </w:r>
      <w:r w:rsidRPr="00264D5D">
        <w:rPr>
          <w:rFonts w:cs="Courier New"/>
          <w:sz w:val="20"/>
          <w:lang w:val="ru-RU"/>
        </w:rPr>
        <w:t>&gt;Калугина Е.В.&lt;/</w:t>
      </w:r>
      <w:r w:rsidRPr="00264D5D">
        <w:rPr>
          <w:rFonts w:cs="Courier New"/>
          <w:sz w:val="20"/>
        </w:rPr>
        <w:t>FllNm</w:t>
      </w:r>
      <w:r w:rsidRPr="00264D5D">
        <w:rPr>
          <w:rFonts w:cs="Courier New"/>
          <w:sz w:val="20"/>
          <w:lang w:val="ru-RU"/>
        </w:rPr>
        <w:t>&gt;</w:t>
      </w:r>
    </w:p>
    <w:p w14:paraId="64E5A48D"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rPr>
        <w:t>&lt;Tlphn&gt;188-08-08&lt;/Tlphn&gt;</w:t>
      </w:r>
    </w:p>
    <w:p w14:paraId="58E6A64A"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&lt;/AP_RespEx&gt;</w:t>
      </w:r>
      <w:r w:rsidRPr="00264D5D">
        <w:rPr>
          <w:rFonts w:cs="Courier New"/>
          <w:sz w:val="20"/>
        </w:rPr>
        <w:tab/>
      </w:r>
      <w:r w:rsidRPr="00264D5D">
        <w:rPr>
          <w:rFonts w:cs="Courier New"/>
          <w:sz w:val="20"/>
        </w:rPr>
        <w:tab/>
      </w:r>
    </w:p>
    <w:p w14:paraId="23864265"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&lt;AP_SIGNINGDATEISP&gt;2021-01-03&lt;/AP_SIGNINGDATEISP&gt;</w:t>
      </w:r>
    </w:p>
    <w:p w14:paraId="70ADEA8A" w14:textId="77777777" w:rsidR="00AD1F54" w:rsidRPr="00264D5D" w:rsidRDefault="00AD1F54"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
    <w:p w14:paraId="5B0BA5C5"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 Информация о получателе РР и о РР --&gt;</w:t>
      </w:r>
    </w:p>
    <w:p w14:paraId="68E3574C" w14:textId="77777777" w:rsidR="00AD1F54" w:rsidRPr="00264D5D" w:rsidRDefault="00AD1F54"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p>
    <w:p w14:paraId="7498EB8D"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rPr>
        <w:t>&lt;APRC_MSC_PBS_UBP&gt;</w:t>
      </w:r>
    </w:p>
    <w:p w14:paraId="29918479"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&lt;Cd&gt;46284424&lt;/Cd&gt;</w:t>
      </w:r>
    </w:p>
    <w:p w14:paraId="4E93E05C"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Nm</w:t>
      </w:r>
      <w:r w:rsidRPr="00264D5D">
        <w:rPr>
          <w:rFonts w:cs="Courier New"/>
          <w:sz w:val="20"/>
          <w:lang w:val="ru-RU"/>
        </w:rPr>
        <w:t>&gt;Государственное учреждение Московской области&lt;/</w:t>
      </w:r>
      <w:r w:rsidRPr="00264D5D">
        <w:rPr>
          <w:rFonts w:cs="Courier New"/>
          <w:sz w:val="20"/>
        </w:rPr>
        <w:t>Nm</w:t>
      </w:r>
      <w:r w:rsidRPr="00264D5D">
        <w:rPr>
          <w:rFonts w:cs="Courier New"/>
          <w:sz w:val="20"/>
          <w:lang w:val="ru-RU"/>
        </w:rPr>
        <w:t>&gt;</w:t>
      </w:r>
    </w:p>
    <w:p w14:paraId="1A13116D"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APRC</w:t>
      </w:r>
      <w:r w:rsidRPr="00264D5D">
        <w:rPr>
          <w:rFonts w:cs="Courier New"/>
          <w:sz w:val="20"/>
          <w:lang w:val="ru-RU"/>
        </w:rPr>
        <w:t>_</w:t>
      </w:r>
      <w:r w:rsidRPr="00264D5D">
        <w:rPr>
          <w:rFonts w:cs="Courier New"/>
          <w:sz w:val="20"/>
        </w:rPr>
        <w:t>MSC</w:t>
      </w:r>
      <w:r w:rsidRPr="00264D5D">
        <w:rPr>
          <w:rFonts w:cs="Courier New"/>
          <w:sz w:val="20"/>
          <w:lang w:val="ru-RU"/>
        </w:rPr>
        <w:t>_</w:t>
      </w:r>
      <w:r w:rsidRPr="00264D5D">
        <w:rPr>
          <w:rFonts w:cs="Courier New"/>
          <w:sz w:val="20"/>
        </w:rPr>
        <w:t>PBS</w:t>
      </w:r>
      <w:r w:rsidRPr="00264D5D">
        <w:rPr>
          <w:rFonts w:cs="Courier New"/>
          <w:sz w:val="20"/>
          <w:lang w:val="ru-RU"/>
        </w:rPr>
        <w:t>_</w:t>
      </w:r>
      <w:r w:rsidRPr="00264D5D">
        <w:rPr>
          <w:rFonts w:cs="Courier New"/>
          <w:sz w:val="20"/>
        </w:rPr>
        <w:t>UBP</w:t>
      </w:r>
      <w:r w:rsidRPr="00264D5D">
        <w:rPr>
          <w:rFonts w:cs="Courier New"/>
          <w:sz w:val="20"/>
          <w:lang w:val="ru-RU"/>
        </w:rPr>
        <w:t>&gt;</w:t>
      </w:r>
    </w:p>
    <w:p w14:paraId="68903A91"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APRC</w:t>
      </w:r>
      <w:r w:rsidRPr="00264D5D">
        <w:rPr>
          <w:rFonts w:cs="Courier New"/>
          <w:sz w:val="20"/>
          <w:lang w:val="ru-RU"/>
        </w:rPr>
        <w:t>_</w:t>
      </w:r>
      <w:r w:rsidRPr="00264D5D">
        <w:rPr>
          <w:rFonts w:cs="Courier New"/>
          <w:sz w:val="20"/>
        </w:rPr>
        <w:t>AcntNmUBP</w:t>
      </w:r>
      <w:r w:rsidRPr="00264D5D">
        <w:rPr>
          <w:rFonts w:cs="Courier New"/>
          <w:sz w:val="20"/>
          <w:lang w:val="ru-RU"/>
        </w:rPr>
        <w:t>&gt;03482000000&lt;/</w:t>
      </w:r>
      <w:r w:rsidRPr="00264D5D">
        <w:rPr>
          <w:rFonts w:cs="Courier New"/>
          <w:sz w:val="20"/>
        </w:rPr>
        <w:t>APRC</w:t>
      </w:r>
      <w:r w:rsidRPr="00264D5D">
        <w:rPr>
          <w:rFonts w:cs="Courier New"/>
          <w:sz w:val="20"/>
          <w:lang w:val="ru-RU"/>
        </w:rPr>
        <w:t>_</w:t>
      </w:r>
      <w:r w:rsidRPr="00264D5D">
        <w:rPr>
          <w:rFonts w:cs="Courier New"/>
          <w:sz w:val="20"/>
        </w:rPr>
        <w:t>AcntNmUBP</w:t>
      </w:r>
      <w:r w:rsidRPr="00264D5D">
        <w:rPr>
          <w:rFonts w:cs="Courier New"/>
          <w:sz w:val="20"/>
          <w:lang w:val="ru-RU"/>
        </w:rPr>
        <w:t>&gt;</w:t>
      </w:r>
    </w:p>
    <w:p w14:paraId="0023C0D2"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&lt;APRC_MSC_OrFK&gt;</w:t>
      </w:r>
    </w:p>
    <w:p w14:paraId="76A8DA3B"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&lt;Cd&gt;4832&lt;/Cd&gt;</w:t>
      </w:r>
    </w:p>
    <w:p w14:paraId="46C8EE23"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Nm</w:t>
      </w:r>
      <w:r w:rsidRPr="00264D5D">
        <w:rPr>
          <w:rFonts w:cs="Courier New"/>
          <w:sz w:val="20"/>
          <w:lang w:val="ru-RU"/>
        </w:rPr>
        <w:t>&gt;Отделение по Мытищинскому муниципальному району&lt;/</w:t>
      </w:r>
      <w:r w:rsidRPr="00264D5D">
        <w:rPr>
          <w:rFonts w:cs="Courier New"/>
          <w:sz w:val="20"/>
        </w:rPr>
        <w:t>Nm</w:t>
      </w:r>
      <w:r w:rsidRPr="00264D5D">
        <w:rPr>
          <w:rFonts w:cs="Courier New"/>
          <w:sz w:val="20"/>
          <w:lang w:val="ru-RU"/>
        </w:rPr>
        <w:t>&gt;</w:t>
      </w:r>
    </w:p>
    <w:p w14:paraId="2564A1BD"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rPr>
        <w:t>&lt;/APRC_MSC_OrFK&gt;</w:t>
      </w:r>
    </w:p>
    <w:p w14:paraId="209D8E27"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&lt;APRC_MSC_SpclInst&gt;</w:t>
      </w:r>
    </w:p>
    <w:p w14:paraId="57633460"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SpclInst</w:t>
      </w:r>
      <w:r w:rsidRPr="00264D5D">
        <w:rPr>
          <w:rFonts w:cs="Courier New"/>
          <w:sz w:val="20"/>
          <w:lang w:val="ru-RU"/>
        </w:rPr>
        <w:t>&gt;Дополнительное бюджетное финансирование&lt;/</w:t>
      </w:r>
      <w:r w:rsidRPr="00264D5D">
        <w:rPr>
          <w:rFonts w:cs="Courier New"/>
          <w:sz w:val="20"/>
        </w:rPr>
        <w:t>SpclInst</w:t>
      </w:r>
      <w:r w:rsidRPr="00264D5D">
        <w:rPr>
          <w:rFonts w:cs="Courier New"/>
          <w:sz w:val="20"/>
          <w:lang w:val="ru-RU"/>
        </w:rPr>
        <w:t>&gt;</w:t>
      </w:r>
    </w:p>
    <w:p w14:paraId="13DD2849"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rPr>
        <w:t>&lt;Cd&gt;05&lt;/Cd&gt;</w:t>
      </w:r>
    </w:p>
    <w:p w14:paraId="265F311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&lt;/APRC_MSC_SpclInst&gt;</w:t>
      </w:r>
    </w:p>
    <w:p w14:paraId="2CEB1E84"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&lt;APRC_MSC_AmntBA&gt;</w:t>
      </w:r>
    </w:p>
    <w:p w14:paraId="52FE7BA7"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&lt;AmntCrYr&gt;1100000.00&lt;/AmntCrYr&gt;</w:t>
      </w:r>
    </w:p>
    <w:p w14:paraId="07DA9D5F"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&lt;AmntFrstYr&gt;1100000.00&lt;/AmntFrstYr&gt;</w:t>
      </w:r>
    </w:p>
    <w:p w14:paraId="68D407F9"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&lt;AmntScndYr&gt;1100000.00&lt;/AmntScndYr&gt;</w:t>
      </w:r>
    </w:p>
    <w:p w14:paraId="2942B9B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&lt;/APRC_MSC_AmntBA&gt;</w:t>
      </w:r>
    </w:p>
    <w:p w14:paraId="7FDB8EA6"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&lt;APRC_MSC_AmntLBO&gt;</w:t>
      </w:r>
    </w:p>
    <w:p w14:paraId="24FC6919"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&lt;AmntCrYr&gt;1100000.00&lt;/AmntCrYr&gt;</w:t>
      </w:r>
    </w:p>
    <w:p w14:paraId="0258A20D"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&lt;AmntFrstYr&gt;1100000.00&lt;/AmntFrstYr&gt;</w:t>
      </w:r>
    </w:p>
    <w:p w14:paraId="1D4D8885"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&lt;AmntScndYr&gt;1100000.00&lt;/AmntScndYr&gt;</w:t>
      </w:r>
    </w:p>
    <w:p w14:paraId="427B07D9"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&lt;/APRC_MSC_AmntLBO&gt;</w:t>
      </w:r>
    </w:p>
    <w:p w14:paraId="04E8DCCA"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&lt;APRC_TtlAmntPOF1&gt;1100000.00&lt;/APRC_TtlAmntPOF1&gt;</w:t>
      </w:r>
    </w:p>
    <w:p w14:paraId="746AD366"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&lt;APRC_RqstNm&gt;123456789001025&lt;/APRC_RqstNm&gt;</w:t>
      </w:r>
    </w:p>
    <w:p w14:paraId="413CDBBA"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&lt;APRC_DctDtPP&gt;2021-01-03&lt;/APRC_DctDtPP&gt;</w:t>
      </w:r>
    </w:p>
    <w:p w14:paraId="56C6492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 Раздел 1. Бюджетные ассигнования --&gt;</w:t>
      </w:r>
    </w:p>
    <w:p w14:paraId="0FF17487"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&lt;DctDtUTVBA&gt;2021-01-03&lt;/DctDtUTVBA&gt;</w:t>
      </w:r>
    </w:p>
    <w:p w14:paraId="3D100F39"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&lt;APBASTR&gt;</w:t>
      </w:r>
    </w:p>
    <w:p w14:paraId="2C24CFAE"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&lt;APBASTR_ITEM&gt;</w:t>
      </w:r>
    </w:p>
    <w:p w14:paraId="1B40151D"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&lt;NmbRw&gt;1&lt;/NmbRw&gt;</w:t>
      </w:r>
    </w:p>
    <w:p w14:paraId="0476B74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&lt;MSC_KBKAmntBA&gt;</w:t>
      </w:r>
    </w:p>
    <w:p w14:paraId="5961EC0B"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&lt;KBK&gt;000 2 02 35128 02 00&lt;/KBK&gt;</w:t>
      </w:r>
    </w:p>
    <w:p w14:paraId="1CA94641"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&lt;TrgtCd&gt;17-035&lt;/TrgtCd&gt;</w:t>
      </w:r>
    </w:p>
    <w:p w14:paraId="24F8E071"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&lt;AmntCrYr&gt;1000000.00&lt;/AmntCrYr&gt;</w:t>
      </w:r>
    </w:p>
    <w:p w14:paraId="7AC704B2"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ab/>
      </w:r>
      <w:r w:rsidRPr="00264D5D">
        <w:rPr>
          <w:rFonts w:cs="Courier New"/>
          <w:sz w:val="20"/>
        </w:rPr>
        <w:tab/>
      </w:r>
      <w:r w:rsidRPr="00264D5D">
        <w:rPr>
          <w:rFonts w:cs="Courier New"/>
          <w:sz w:val="20"/>
        </w:rPr>
        <w:tab/>
        <w:t>&lt;AmntFrstYr&gt;1000000.00&lt;/AmntFrstYr&gt;</w:t>
      </w:r>
    </w:p>
    <w:p w14:paraId="400C22F7"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&lt;AmntScndYr&gt;1000000.00&lt;/AmntScndYr&gt;</w:t>
      </w:r>
    </w:p>
    <w:p w14:paraId="2CA632C7"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&lt;/MSC_KBKAmntBA&gt;</w:t>
      </w:r>
    </w:p>
    <w:p w14:paraId="7EF6B5FC"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NtBA</w:t>
      </w:r>
      <w:r w:rsidRPr="00264D5D">
        <w:rPr>
          <w:rFonts w:cs="Courier New"/>
          <w:sz w:val="20"/>
          <w:lang w:val="ru-RU"/>
        </w:rPr>
        <w:t>&gt;Субвенции на осуществление отдельных полномочий в области водных отношений&lt;/</w:t>
      </w:r>
      <w:r w:rsidRPr="00264D5D">
        <w:rPr>
          <w:rFonts w:cs="Courier New"/>
          <w:sz w:val="20"/>
        </w:rPr>
        <w:t>NtBA</w:t>
      </w:r>
      <w:r w:rsidRPr="00264D5D">
        <w:rPr>
          <w:rFonts w:cs="Courier New"/>
          <w:sz w:val="20"/>
          <w:lang w:val="ru-RU"/>
        </w:rPr>
        <w:t>&gt;</w:t>
      </w:r>
    </w:p>
    <w:p w14:paraId="59B07F81"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&lt;/APBASTR_ITEM&gt;</w:t>
      </w:r>
    </w:p>
    <w:p w14:paraId="6318548C"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&lt;APBASTR_ITEM&gt;</w:t>
      </w:r>
    </w:p>
    <w:p w14:paraId="37707326"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&lt;NmbRw&gt;2&lt;/NmbRw&gt;</w:t>
      </w:r>
    </w:p>
    <w:p w14:paraId="6FFE4F0B"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&lt;MSC_KBKAmntBA&gt;</w:t>
      </w:r>
    </w:p>
    <w:p w14:paraId="0A2B5BD3"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&lt;KBK&gt;000 2 02 35129 02 00&lt;/KBK&gt;</w:t>
      </w:r>
    </w:p>
    <w:p w14:paraId="3C6E66D3"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&lt;TrgtCd&gt;17-040&lt;/TrgtCd&gt;</w:t>
      </w:r>
    </w:p>
    <w:p w14:paraId="726B76D4"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&lt;AmntCrYr&gt;100000.00&lt;/AmntCrYr&gt;</w:t>
      </w:r>
    </w:p>
    <w:p w14:paraId="1FBA9C7A"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&lt;AmntFrstYr&gt;100000.00&lt;/AmntFrstYr&gt;</w:t>
      </w:r>
    </w:p>
    <w:p w14:paraId="5511B8BB"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&lt;AmntScndYr&gt;100000.00&lt;/AmntScndYr&gt;</w:t>
      </w:r>
    </w:p>
    <w:p w14:paraId="23E8B18E"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MSC</w:t>
      </w:r>
      <w:r w:rsidRPr="00264D5D">
        <w:rPr>
          <w:rFonts w:cs="Courier New"/>
          <w:sz w:val="20"/>
          <w:lang w:val="ru-RU"/>
        </w:rPr>
        <w:t>_</w:t>
      </w:r>
      <w:r w:rsidRPr="00264D5D">
        <w:rPr>
          <w:rFonts w:cs="Courier New"/>
          <w:sz w:val="20"/>
        </w:rPr>
        <w:t>KBKAmntBA</w:t>
      </w:r>
      <w:r w:rsidRPr="00264D5D">
        <w:rPr>
          <w:rFonts w:cs="Courier New"/>
          <w:sz w:val="20"/>
          <w:lang w:val="ru-RU"/>
        </w:rPr>
        <w:t>&gt;</w:t>
      </w:r>
    </w:p>
    <w:p w14:paraId="30F06356"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NtBA</w:t>
      </w:r>
      <w:r w:rsidRPr="00264D5D">
        <w:rPr>
          <w:rFonts w:cs="Courier New"/>
          <w:sz w:val="20"/>
          <w:lang w:val="ru-RU"/>
        </w:rPr>
        <w:t>&gt;Субвенции на осуществление отдельных полномочий в области лесных отношений&lt;/</w:t>
      </w:r>
      <w:r w:rsidRPr="00264D5D">
        <w:rPr>
          <w:rFonts w:cs="Courier New"/>
          <w:sz w:val="20"/>
        </w:rPr>
        <w:t>NtBA</w:t>
      </w:r>
      <w:r w:rsidRPr="00264D5D">
        <w:rPr>
          <w:rFonts w:cs="Courier New"/>
          <w:sz w:val="20"/>
          <w:lang w:val="ru-RU"/>
        </w:rPr>
        <w:t>&gt;</w:t>
      </w:r>
    </w:p>
    <w:p w14:paraId="111FB06A"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APBASTR</w:t>
      </w:r>
      <w:r w:rsidRPr="00264D5D">
        <w:rPr>
          <w:rFonts w:cs="Courier New"/>
          <w:sz w:val="20"/>
          <w:lang w:val="ru-RU"/>
        </w:rPr>
        <w:t>_</w:t>
      </w:r>
      <w:r w:rsidRPr="00264D5D">
        <w:rPr>
          <w:rFonts w:cs="Courier New"/>
          <w:sz w:val="20"/>
        </w:rPr>
        <w:t>ITEM</w:t>
      </w:r>
      <w:r w:rsidRPr="00264D5D">
        <w:rPr>
          <w:rFonts w:cs="Courier New"/>
          <w:sz w:val="20"/>
          <w:lang w:val="ru-RU"/>
        </w:rPr>
        <w:t>&gt;</w:t>
      </w:r>
    </w:p>
    <w:p w14:paraId="07BF81A4"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APBASTR</w:t>
      </w:r>
      <w:r w:rsidRPr="00264D5D">
        <w:rPr>
          <w:rFonts w:cs="Courier New"/>
          <w:sz w:val="20"/>
          <w:lang w:val="ru-RU"/>
        </w:rPr>
        <w:t>&gt;</w:t>
      </w:r>
    </w:p>
    <w:p w14:paraId="58DD2DB8" w14:textId="77777777" w:rsidR="00AD1F54" w:rsidRPr="00264D5D" w:rsidRDefault="00AD1F54"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p>
    <w:p w14:paraId="382FCE13"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 Раздел 2. Лимиты бюджетных обязательств --&gt;</w:t>
      </w:r>
    </w:p>
    <w:p w14:paraId="1D018DC4"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DctDtUTVLBO</w:t>
      </w:r>
      <w:r w:rsidRPr="00264D5D">
        <w:rPr>
          <w:rFonts w:cs="Courier New"/>
          <w:sz w:val="20"/>
          <w:lang w:val="ru-RU"/>
        </w:rPr>
        <w:t>&gt;2021-01-03&lt;/</w:t>
      </w:r>
      <w:r w:rsidRPr="00264D5D">
        <w:rPr>
          <w:rFonts w:cs="Courier New"/>
          <w:sz w:val="20"/>
        </w:rPr>
        <w:t>DctDtUTVLBO</w:t>
      </w:r>
      <w:r w:rsidRPr="00264D5D">
        <w:rPr>
          <w:rFonts w:cs="Courier New"/>
          <w:sz w:val="20"/>
          <w:lang w:val="ru-RU"/>
        </w:rPr>
        <w:t>&gt;</w:t>
      </w:r>
    </w:p>
    <w:p w14:paraId="5FA84A07"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APLBOSTR</w:t>
      </w:r>
      <w:r w:rsidRPr="00264D5D">
        <w:rPr>
          <w:rFonts w:cs="Courier New"/>
          <w:sz w:val="20"/>
          <w:lang w:val="ru-RU"/>
        </w:rPr>
        <w:t>&gt;</w:t>
      </w:r>
    </w:p>
    <w:p w14:paraId="562CE6BA"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APLBOSTR</w:t>
      </w:r>
      <w:r w:rsidRPr="00264D5D">
        <w:rPr>
          <w:rFonts w:cs="Courier New"/>
          <w:sz w:val="20"/>
          <w:lang w:val="ru-RU"/>
        </w:rPr>
        <w:t>_</w:t>
      </w:r>
      <w:r w:rsidRPr="00264D5D">
        <w:rPr>
          <w:rFonts w:cs="Courier New"/>
          <w:sz w:val="20"/>
        </w:rPr>
        <w:t>ITEM</w:t>
      </w:r>
      <w:r w:rsidRPr="00264D5D">
        <w:rPr>
          <w:rFonts w:cs="Courier New"/>
          <w:sz w:val="20"/>
          <w:lang w:val="ru-RU"/>
        </w:rPr>
        <w:t>&gt;</w:t>
      </w:r>
    </w:p>
    <w:p w14:paraId="139C54E6"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NmbRw</w:t>
      </w:r>
      <w:r w:rsidRPr="00264D5D">
        <w:rPr>
          <w:rFonts w:cs="Courier New"/>
          <w:sz w:val="20"/>
          <w:lang w:val="ru-RU"/>
        </w:rPr>
        <w:t>&gt;1&lt;/</w:t>
      </w:r>
      <w:r w:rsidRPr="00264D5D">
        <w:rPr>
          <w:rFonts w:cs="Courier New"/>
          <w:sz w:val="20"/>
        </w:rPr>
        <w:t>NmbRw</w:t>
      </w:r>
      <w:r w:rsidRPr="00264D5D">
        <w:rPr>
          <w:rFonts w:cs="Courier New"/>
          <w:sz w:val="20"/>
          <w:lang w:val="ru-RU"/>
        </w:rPr>
        <w:t>&gt;</w:t>
      </w:r>
    </w:p>
    <w:p w14:paraId="6F71C189"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MSC</w:t>
      </w:r>
      <w:r w:rsidRPr="00264D5D">
        <w:rPr>
          <w:rFonts w:cs="Courier New"/>
          <w:sz w:val="20"/>
          <w:lang w:val="ru-RU"/>
        </w:rPr>
        <w:t>_</w:t>
      </w:r>
      <w:r w:rsidRPr="00264D5D">
        <w:rPr>
          <w:rFonts w:cs="Courier New"/>
          <w:sz w:val="20"/>
        </w:rPr>
        <w:t>KBKAmntLBO</w:t>
      </w:r>
      <w:r w:rsidRPr="00264D5D">
        <w:rPr>
          <w:rFonts w:cs="Courier New"/>
          <w:sz w:val="20"/>
          <w:lang w:val="ru-RU"/>
        </w:rPr>
        <w:t>&gt;</w:t>
      </w:r>
    </w:p>
    <w:p w14:paraId="7A1A97A2"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KBK</w:t>
      </w:r>
      <w:r w:rsidRPr="00264D5D">
        <w:rPr>
          <w:rFonts w:cs="Courier New"/>
          <w:sz w:val="20"/>
          <w:lang w:val="ru-RU"/>
        </w:rPr>
        <w:t>&gt;000 2 02 35128 02 00&lt;/</w:t>
      </w:r>
      <w:r w:rsidRPr="00264D5D">
        <w:rPr>
          <w:rFonts w:cs="Courier New"/>
          <w:sz w:val="20"/>
        </w:rPr>
        <w:t>KBK</w:t>
      </w:r>
      <w:r w:rsidRPr="00264D5D">
        <w:rPr>
          <w:rFonts w:cs="Courier New"/>
          <w:sz w:val="20"/>
          <w:lang w:val="ru-RU"/>
        </w:rPr>
        <w:t>&gt;</w:t>
      </w:r>
    </w:p>
    <w:p w14:paraId="69380D39"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TrgtCd</w:t>
      </w:r>
      <w:r w:rsidRPr="00264D5D">
        <w:rPr>
          <w:rFonts w:cs="Courier New"/>
          <w:sz w:val="20"/>
          <w:lang w:val="ru-RU"/>
        </w:rPr>
        <w:t>&gt;17-035&lt;/</w:t>
      </w:r>
      <w:r w:rsidRPr="00264D5D">
        <w:rPr>
          <w:rFonts w:cs="Courier New"/>
          <w:sz w:val="20"/>
        </w:rPr>
        <w:t>TrgtCd</w:t>
      </w:r>
      <w:r w:rsidRPr="00264D5D">
        <w:rPr>
          <w:rFonts w:cs="Courier New"/>
          <w:sz w:val="20"/>
          <w:lang w:val="ru-RU"/>
        </w:rPr>
        <w:t>&gt;</w:t>
      </w:r>
    </w:p>
    <w:p w14:paraId="266028CA"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AmntCrYr</w:t>
      </w:r>
      <w:r w:rsidRPr="00264D5D">
        <w:rPr>
          <w:rFonts w:cs="Courier New"/>
          <w:sz w:val="20"/>
          <w:lang w:val="ru-RU"/>
        </w:rPr>
        <w:t>&gt;1000000.00&lt;/</w:t>
      </w:r>
      <w:r w:rsidRPr="00264D5D">
        <w:rPr>
          <w:rFonts w:cs="Courier New"/>
          <w:sz w:val="20"/>
        </w:rPr>
        <w:t>AmntCrYr</w:t>
      </w:r>
      <w:r w:rsidRPr="00264D5D">
        <w:rPr>
          <w:rFonts w:cs="Courier New"/>
          <w:sz w:val="20"/>
          <w:lang w:val="ru-RU"/>
        </w:rPr>
        <w:t>&gt;</w:t>
      </w:r>
    </w:p>
    <w:p w14:paraId="52098222"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AmntFrstYr</w:t>
      </w:r>
      <w:r w:rsidRPr="00264D5D">
        <w:rPr>
          <w:rFonts w:cs="Courier New"/>
          <w:sz w:val="20"/>
          <w:lang w:val="ru-RU"/>
        </w:rPr>
        <w:t>&gt;1000000.00&lt;/</w:t>
      </w:r>
      <w:r w:rsidRPr="00264D5D">
        <w:rPr>
          <w:rFonts w:cs="Courier New"/>
          <w:sz w:val="20"/>
        </w:rPr>
        <w:t>AmntFrstYr</w:t>
      </w:r>
      <w:r w:rsidRPr="00264D5D">
        <w:rPr>
          <w:rFonts w:cs="Courier New"/>
          <w:sz w:val="20"/>
          <w:lang w:val="ru-RU"/>
        </w:rPr>
        <w:t>&gt;</w:t>
      </w:r>
    </w:p>
    <w:p w14:paraId="51D22765"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AmntScndYr</w:t>
      </w:r>
      <w:r w:rsidRPr="00264D5D">
        <w:rPr>
          <w:rFonts w:cs="Courier New"/>
          <w:sz w:val="20"/>
          <w:lang w:val="ru-RU"/>
        </w:rPr>
        <w:t>&gt;1000000.00&lt;/</w:t>
      </w:r>
      <w:r w:rsidRPr="00264D5D">
        <w:rPr>
          <w:rFonts w:cs="Courier New"/>
          <w:sz w:val="20"/>
        </w:rPr>
        <w:t>AmntScndYr</w:t>
      </w:r>
      <w:r w:rsidRPr="00264D5D">
        <w:rPr>
          <w:rFonts w:cs="Courier New"/>
          <w:sz w:val="20"/>
          <w:lang w:val="ru-RU"/>
        </w:rPr>
        <w:t>&gt;</w:t>
      </w:r>
    </w:p>
    <w:p w14:paraId="063E2DC1"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MSC</w:t>
      </w:r>
      <w:r w:rsidRPr="00264D5D">
        <w:rPr>
          <w:rFonts w:cs="Courier New"/>
          <w:sz w:val="20"/>
          <w:lang w:val="ru-RU"/>
        </w:rPr>
        <w:t>_</w:t>
      </w:r>
      <w:r w:rsidRPr="00264D5D">
        <w:rPr>
          <w:rFonts w:cs="Courier New"/>
          <w:sz w:val="20"/>
        </w:rPr>
        <w:t>KBKAmntLBO</w:t>
      </w:r>
      <w:r w:rsidRPr="00264D5D">
        <w:rPr>
          <w:rFonts w:cs="Courier New"/>
          <w:sz w:val="20"/>
          <w:lang w:val="ru-RU"/>
        </w:rPr>
        <w:t>&gt;</w:t>
      </w:r>
    </w:p>
    <w:p w14:paraId="1A6DF359"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NtLBO</w:t>
      </w:r>
      <w:r w:rsidRPr="00264D5D">
        <w:rPr>
          <w:rFonts w:cs="Courier New"/>
          <w:sz w:val="20"/>
          <w:lang w:val="ru-RU"/>
        </w:rPr>
        <w:t>&gt;Субвенции на осуществление отдельных полномочий в области водных отношений&lt;/</w:t>
      </w:r>
      <w:r w:rsidRPr="00264D5D">
        <w:rPr>
          <w:rFonts w:cs="Courier New"/>
          <w:sz w:val="20"/>
        </w:rPr>
        <w:t>NtLBO</w:t>
      </w:r>
      <w:r w:rsidRPr="00264D5D">
        <w:rPr>
          <w:rFonts w:cs="Courier New"/>
          <w:sz w:val="20"/>
          <w:lang w:val="ru-RU"/>
        </w:rPr>
        <w:t>&gt;</w:t>
      </w:r>
    </w:p>
    <w:p w14:paraId="071D5395"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rPr>
        <w:t>&lt;/APLBOSTR_ITEM&gt;</w:t>
      </w:r>
    </w:p>
    <w:p w14:paraId="0B1C4217"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&lt;APLBOSTR_ITEM&gt;</w:t>
      </w:r>
    </w:p>
    <w:p w14:paraId="5620205B"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&lt;NmbRw&gt;2&lt;/NmbRw&gt;</w:t>
      </w:r>
    </w:p>
    <w:p w14:paraId="29861F26"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&lt;MSC_KBKAmntLBO&gt;</w:t>
      </w:r>
    </w:p>
    <w:p w14:paraId="1965B159"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&lt;KBK&gt;000 2 02 35129 02 00&lt;/KBK&gt;</w:t>
      </w:r>
    </w:p>
    <w:p w14:paraId="6D51742D"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&lt;TrgtCd&gt;17-040&lt;/TrgtCd&gt;</w:t>
      </w:r>
    </w:p>
    <w:p w14:paraId="68E2E22C"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&lt;AmntCrYr&gt;100000.00&lt;/AmntCrYr&gt;</w:t>
      </w:r>
    </w:p>
    <w:p w14:paraId="630BADB0"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&lt;AmntFrstYr&gt;100000.00&lt;/AmntFrstYr&gt;</w:t>
      </w:r>
    </w:p>
    <w:p w14:paraId="521334DE"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&lt;AmntScndYr&gt;100000.00&lt;/AmntScndYr&gt;</w:t>
      </w:r>
    </w:p>
    <w:p w14:paraId="45E0131F"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MSC</w:t>
      </w:r>
      <w:r w:rsidRPr="00264D5D">
        <w:rPr>
          <w:rFonts w:cs="Courier New"/>
          <w:sz w:val="20"/>
          <w:lang w:val="ru-RU"/>
        </w:rPr>
        <w:t>_</w:t>
      </w:r>
      <w:r w:rsidRPr="00264D5D">
        <w:rPr>
          <w:rFonts w:cs="Courier New"/>
          <w:sz w:val="20"/>
        </w:rPr>
        <w:t>KBKAmntLBO</w:t>
      </w:r>
      <w:r w:rsidRPr="00264D5D">
        <w:rPr>
          <w:rFonts w:cs="Courier New"/>
          <w:sz w:val="20"/>
          <w:lang w:val="ru-RU"/>
        </w:rPr>
        <w:t>&gt;</w:t>
      </w:r>
    </w:p>
    <w:p w14:paraId="404A6A5F"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NtLBO</w:t>
      </w:r>
      <w:r w:rsidRPr="00264D5D">
        <w:rPr>
          <w:rFonts w:cs="Courier New"/>
          <w:sz w:val="20"/>
          <w:lang w:val="ru-RU"/>
        </w:rPr>
        <w:t>&gt;Субвенции на осуществление отдельных полномочий в области лесных отношений&lt;/</w:t>
      </w:r>
      <w:r w:rsidRPr="00264D5D">
        <w:rPr>
          <w:rFonts w:cs="Courier New"/>
          <w:sz w:val="20"/>
        </w:rPr>
        <w:t>NtLBO</w:t>
      </w:r>
      <w:r w:rsidRPr="00264D5D">
        <w:rPr>
          <w:rFonts w:cs="Courier New"/>
          <w:sz w:val="20"/>
          <w:lang w:val="ru-RU"/>
        </w:rPr>
        <w:t>&gt;</w:t>
      </w:r>
    </w:p>
    <w:p w14:paraId="01DF9DC0"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APLBOSTR</w:t>
      </w:r>
      <w:r w:rsidRPr="00264D5D">
        <w:rPr>
          <w:rFonts w:cs="Courier New"/>
          <w:sz w:val="20"/>
          <w:lang w:val="ru-RU"/>
        </w:rPr>
        <w:t>_</w:t>
      </w:r>
      <w:r w:rsidRPr="00264D5D">
        <w:rPr>
          <w:rFonts w:cs="Courier New"/>
          <w:sz w:val="20"/>
        </w:rPr>
        <w:t>ITEM</w:t>
      </w:r>
      <w:r w:rsidRPr="00264D5D">
        <w:rPr>
          <w:rFonts w:cs="Courier New"/>
          <w:sz w:val="20"/>
          <w:lang w:val="ru-RU"/>
        </w:rPr>
        <w:t>&gt;</w:t>
      </w:r>
    </w:p>
    <w:p w14:paraId="7AB37D0D"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APLBOSTR</w:t>
      </w:r>
      <w:r w:rsidRPr="00264D5D">
        <w:rPr>
          <w:rFonts w:cs="Courier New"/>
          <w:sz w:val="20"/>
          <w:lang w:val="ru-RU"/>
        </w:rPr>
        <w:t>&gt;</w:t>
      </w:r>
    </w:p>
    <w:p w14:paraId="52D165AB" w14:textId="77777777" w:rsidR="00AD1F54" w:rsidRPr="00264D5D" w:rsidRDefault="00AD1F54"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p>
    <w:p w14:paraId="46362AF6"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 Раздел 3. Предельные объемы финансирования --&gt;</w:t>
      </w:r>
    </w:p>
    <w:p w14:paraId="271AF10A"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rPr>
        <w:t>&lt;DctDtUTVPOF&gt;2021-01-03&lt;/DctDtUTVPOF&gt;</w:t>
      </w:r>
    </w:p>
    <w:p w14:paraId="4F9DE606"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&lt;APPOFSTR&gt;</w:t>
      </w:r>
    </w:p>
    <w:p w14:paraId="778E4267"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&lt;APPOFSTR_ITEM&gt;</w:t>
      </w:r>
    </w:p>
    <w:p w14:paraId="27965B89"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&lt;NmbRw&gt;1&lt;/NmbRw&gt;</w:t>
      </w:r>
    </w:p>
    <w:p w14:paraId="4E4262D2"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&lt;MSC_KBK&gt;</w:t>
      </w:r>
    </w:p>
    <w:p w14:paraId="63D5FA23"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&lt;KBK&gt;000 2 02 35128 02 00&lt;/KBK&gt;</w:t>
      </w:r>
    </w:p>
    <w:p w14:paraId="22EA077A"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&lt;TrgtCd&gt;17-035&lt;/TrgtCd&gt;</w:t>
      </w:r>
    </w:p>
    <w:p w14:paraId="072DA957"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&lt;/MSC_KBK&gt;</w:t>
      </w:r>
    </w:p>
    <w:p w14:paraId="7DC63629"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ab/>
      </w:r>
      <w:r w:rsidRPr="00264D5D">
        <w:rPr>
          <w:rFonts w:cs="Courier New"/>
          <w:sz w:val="20"/>
        </w:rPr>
        <w:tab/>
        <w:t>&lt;Amnt&gt;1000000.00&lt;/Amnt&gt;</w:t>
      </w:r>
    </w:p>
    <w:p w14:paraId="3818AEA4"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Nt</w:t>
      </w:r>
      <w:r w:rsidRPr="00264D5D">
        <w:rPr>
          <w:rFonts w:cs="Courier New"/>
          <w:sz w:val="20"/>
          <w:lang w:val="ru-RU"/>
        </w:rPr>
        <w:t>&gt;Субвенции на осуществление отдельных полномочий в области водных отношений&lt;/</w:t>
      </w:r>
      <w:r w:rsidRPr="00264D5D">
        <w:rPr>
          <w:rFonts w:cs="Courier New"/>
          <w:sz w:val="20"/>
        </w:rPr>
        <w:t>Nt</w:t>
      </w:r>
      <w:r w:rsidRPr="00264D5D">
        <w:rPr>
          <w:rFonts w:cs="Courier New"/>
          <w:sz w:val="20"/>
          <w:lang w:val="ru-RU"/>
        </w:rPr>
        <w:t>&gt;</w:t>
      </w:r>
    </w:p>
    <w:p w14:paraId="25F0AB36"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rPr>
        <w:t>&lt;/APPOFSTR_ITEM&gt;</w:t>
      </w:r>
    </w:p>
    <w:p w14:paraId="1CE5041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&lt;APPOFSTR_ITEM&gt;</w:t>
      </w:r>
    </w:p>
    <w:p w14:paraId="18DADF84"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&lt;NmbRw&gt;2&lt;/NmbRw&gt;</w:t>
      </w:r>
    </w:p>
    <w:p w14:paraId="1FBD99C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&lt;MSC_KBK&gt;</w:t>
      </w:r>
    </w:p>
    <w:p w14:paraId="47C1446E"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&lt;KBK&gt;000 2 02 35129 02 00&lt;/KBK&gt;</w:t>
      </w:r>
    </w:p>
    <w:p w14:paraId="5C6B0155"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&lt;TrgtCd&gt;17-040&lt;/TrgtCd&gt;</w:t>
      </w:r>
    </w:p>
    <w:p w14:paraId="101EFDC3"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MSC</w:t>
      </w:r>
      <w:r w:rsidRPr="00264D5D">
        <w:rPr>
          <w:rFonts w:cs="Courier New"/>
          <w:sz w:val="20"/>
          <w:lang w:val="ru-RU"/>
        </w:rPr>
        <w:t>_</w:t>
      </w:r>
      <w:r w:rsidRPr="00264D5D">
        <w:rPr>
          <w:rFonts w:cs="Courier New"/>
          <w:sz w:val="20"/>
        </w:rPr>
        <w:t>KBK</w:t>
      </w:r>
      <w:r w:rsidRPr="00264D5D">
        <w:rPr>
          <w:rFonts w:cs="Courier New"/>
          <w:sz w:val="20"/>
          <w:lang w:val="ru-RU"/>
        </w:rPr>
        <w:t>&gt;</w:t>
      </w:r>
    </w:p>
    <w:p w14:paraId="0FF9DA30"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Amnt</w:t>
      </w:r>
      <w:r w:rsidRPr="00264D5D">
        <w:rPr>
          <w:rFonts w:cs="Courier New"/>
          <w:sz w:val="20"/>
          <w:lang w:val="ru-RU"/>
        </w:rPr>
        <w:t>&gt;100000.00&lt;/</w:t>
      </w:r>
      <w:r w:rsidRPr="00264D5D">
        <w:rPr>
          <w:rFonts w:cs="Courier New"/>
          <w:sz w:val="20"/>
        </w:rPr>
        <w:t>Amnt</w:t>
      </w:r>
      <w:r w:rsidRPr="00264D5D">
        <w:rPr>
          <w:rFonts w:cs="Courier New"/>
          <w:sz w:val="20"/>
          <w:lang w:val="ru-RU"/>
        </w:rPr>
        <w:t>&gt;</w:t>
      </w:r>
    </w:p>
    <w:p w14:paraId="7F342DB0"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Nt</w:t>
      </w:r>
      <w:r w:rsidRPr="00264D5D">
        <w:rPr>
          <w:rFonts w:cs="Courier New"/>
          <w:sz w:val="20"/>
          <w:lang w:val="ru-RU"/>
        </w:rPr>
        <w:t>&gt;Субвенции на осуществление отдельных полномочий в области лесных отношений&lt;/</w:t>
      </w:r>
      <w:r w:rsidRPr="00264D5D">
        <w:rPr>
          <w:rFonts w:cs="Courier New"/>
          <w:sz w:val="20"/>
        </w:rPr>
        <w:t>Nt</w:t>
      </w:r>
      <w:r w:rsidRPr="00264D5D">
        <w:rPr>
          <w:rFonts w:cs="Courier New"/>
          <w:sz w:val="20"/>
          <w:lang w:val="ru-RU"/>
        </w:rPr>
        <w:t>&gt;</w:t>
      </w:r>
    </w:p>
    <w:p w14:paraId="0FC9B95E"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APPOFSTR</w:t>
      </w:r>
      <w:r w:rsidRPr="00264D5D">
        <w:rPr>
          <w:rFonts w:cs="Courier New"/>
          <w:sz w:val="20"/>
          <w:lang w:val="ru-RU"/>
        </w:rPr>
        <w:t>_</w:t>
      </w:r>
      <w:r w:rsidRPr="00264D5D">
        <w:rPr>
          <w:rFonts w:cs="Courier New"/>
          <w:sz w:val="20"/>
        </w:rPr>
        <w:t>ITEM</w:t>
      </w:r>
      <w:r w:rsidRPr="00264D5D">
        <w:rPr>
          <w:rFonts w:cs="Courier New"/>
          <w:sz w:val="20"/>
          <w:lang w:val="ru-RU"/>
        </w:rPr>
        <w:t>&gt;</w:t>
      </w:r>
    </w:p>
    <w:p w14:paraId="48D90B83"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APPOFSTR</w:t>
      </w:r>
      <w:r w:rsidRPr="00264D5D">
        <w:rPr>
          <w:rFonts w:cs="Courier New"/>
          <w:sz w:val="20"/>
          <w:lang w:val="ru-RU"/>
        </w:rPr>
        <w:t>&gt;</w:t>
      </w:r>
    </w:p>
    <w:p w14:paraId="499B7B8D" w14:textId="77777777" w:rsidR="00AD1F54" w:rsidRPr="00264D5D" w:rsidRDefault="00AD1F54"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p>
    <w:p w14:paraId="6CDFBDB1"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 Внутриведомственная реорганизация --&gt;</w:t>
      </w:r>
    </w:p>
    <w:p w14:paraId="5E7D1799"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&lt;APREORG&gt;</w:t>
      </w:r>
    </w:p>
    <w:p w14:paraId="7FFF42C9"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&lt;MSC_PBS_UBP&gt;</w:t>
      </w:r>
    </w:p>
    <w:p w14:paraId="7EB22309"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&lt;Cd&gt;00032446&lt;/Cd&gt;</w:t>
      </w:r>
    </w:p>
    <w:p w14:paraId="12F70097"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Nm</w:t>
      </w:r>
      <w:r w:rsidRPr="00264D5D">
        <w:rPr>
          <w:rFonts w:cs="Courier New"/>
          <w:sz w:val="20"/>
          <w:lang w:val="ru-RU"/>
        </w:rPr>
        <w:t>&gt;Федеральное государственное учреждение здравоохранения&lt;/</w:t>
      </w:r>
      <w:r w:rsidRPr="00264D5D">
        <w:rPr>
          <w:rFonts w:cs="Courier New"/>
          <w:sz w:val="20"/>
        </w:rPr>
        <w:t>Nm</w:t>
      </w:r>
      <w:r w:rsidRPr="00264D5D">
        <w:rPr>
          <w:rFonts w:cs="Courier New"/>
          <w:sz w:val="20"/>
          <w:lang w:val="ru-RU"/>
        </w:rPr>
        <w:t>&gt;</w:t>
      </w:r>
    </w:p>
    <w:p w14:paraId="28DE5F1F"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rPr>
        <w:t>&lt;/MSC_PBS_UBP&gt;</w:t>
      </w:r>
    </w:p>
    <w:p w14:paraId="75F3FFED"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&lt;MSC_UBP&gt;</w:t>
      </w:r>
    </w:p>
    <w:p w14:paraId="2CAE14DE"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Cd</w:t>
      </w:r>
      <w:r w:rsidRPr="00264D5D">
        <w:rPr>
          <w:rFonts w:cs="Courier New"/>
          <w:sz w:val="20"/>
          <w:lang w:val="ru-RU"/>
        </w:rPr>
        <w:t>&gt;00045370&lt;/</w:t>
      </w:r>
      <w:r w:rsidRPr="00264D5D">
        <w:rPr>
          <w:rFonts w:cs="Courier New"/>
          <w:sz w:val="20"/>
        </w:rPr>
        <w:t>Cd</w:t>
      </w:r>
      <w:r w:rsidRPr="00264D5D">
        <w:rPr>
          <w:rFonts w:cs="Courier New"/>
          <w:sz w:val="20"/>
          <w:lang w:val="ru-RU"/>
        </w:rPr>
        <w:t>&gt;</w:t>
      </w:r>
    </w:p>
    <w:p w14:paraId="2D636689"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Nm</w:t>
      </w:r>
      <w:r w:rsidRPr="00264D5D">
        <w:rPr>
          <w:rFonts w:cs="Courier New"/>
          <w:sz w:val="20"/>
          <w:lang w:val="ru-RU"/>
        </w:rPr>
        <w:t>&gt;Федеральное государственное учреждение здравоохранения&lt;/</w:t>
      </w:r>
      <w:r w:rsidRPr="00264D5D">
        <w:rPr>
          <w:rFonts w:cs="Courier New"/>
          <w:sz w:val="20"/>
        </w:rPr>
        <w:t>Nm</w:t>
      </w:r>
      <w:r w:rsidRPr="00264D5D">
        <w:rPr>
          <w:rFonts w:cs="Courier New"/>
          <w:sz w:val="20"/>
          <w:lang w:val="ru-RU"/>
        </w:rPr>
        <w:t>&gt;</w:t>
      </w:r>
    </w:p>
    <w:p w14:paraId="59616019"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MSC</w:t>
      </w:r>
      <w:r w:rsidRPr="00264D5D">
        <w:rPr>
          <w:rFonts w:cs="Courier New"/>
          <w:sz w:val="20"/>
          <w:lang w:val="ru-RU"/>
        </w:rPr>
        <w:t>_</w:t>
      </w:r>
      <w:r w:rsidRPr="00264D5D">
        <w:rPr>
          <w:rFonts w:cs="Courier New"/>
          <w:sz w:val="20"/>
        </w:rPr>
        <w:t>UBP</w:t>
      </w:r>
      <w:r w:rsidRPr="00264D5D">
        <w:rPr>
          <w:rFonts w:cs="Courier New"/>
          <w:sz w:val="20"/>
          <w:lang w:val="ru-RU"/>
        </w:rPr>
        <w:t>&gt;</w:t>
      </w:r>
    </w:p>
    <w:p w14:paraId="07B0801E"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TOFKCd</w:t>
      </w:r>
      <w:r w:rsidRPr="00264D5D">
        <w:rPr>
          <w:rFonts w:cs="Courier New"/>
          <w:sz w:val="20"/>
          <w:lang w:val="ru-RU"/>
        </w:rPr>
        <w:t>&gt;7308&lt;/</w:t>
      </w:r>
      <w:r w:rsidRPr="00264D5D">
        <w:rPr>
          <w:rFonts w:cs="Courier New"/>
          <w:sz w:val="20"/>
        </w:rPr>
        <w:t>TOFKCd</w:t>
      </w:r>
      <w:r w:rsidRPr="00264D5D">
        <w:rPr>
          <w:rFonts w:cs="Courier New"/>
          <w:sz w:val="20"/>
          <w:lang w:val="ru-RU"/>
        </w:rPr>
        <w:t>&gt;</w:t>
      </w:r>
    </w:p>
    <w:p w14:paraId="192FBAFE"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NmbrNgExpSch</w:t>
      </w:r>
      <w:r w:rsidRPr="00264D5D">
        <w:rPr>
          <w:rFonts w:cs="Courier New"/>
          <w:sz w:val="20"/>
          <w:lang w:val="ru-RU"/>
        </w:rPr>
        <w:t>&gt;388/45370/010&lt;/</w:t>
      </w:r>
      <w:r w:rsidRPr="00264D5D">
        <w:rPr>
          <w:rFonts w:cs="Courier New"/>
          <w:sz w:val="20"/>
        </w:rPr>
        <w:t>NmbrNgExpSch</w:t>
      </w:r>
      <w:r w:rsidRPr="00264D5D">
        <w:rPr>
          <w:rFonts w:cs="Courier New"/>
          <w:sz w:val="20"/>
          <w:lang w:val="ru-RU"/>
        </w:rPr>
        <w:t>&gt;</w:t>
      </w:r>
    </w:p>
    <w:p w14:paraId="57256FAC"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rPr>
        <w:t>&lt;DtNgExpSch&gt;2021-01-03&lt;/DtNgExpSch&gt;</w:t>
      </w:r>
    </w:p>
    <w:p w14:paraId="523A0BAD"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&lt;/APREORG&gt;</w:t>
      </w:r>
    </w:p>
    <w:p w14:paraId="17DEBECC"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 Id="xmldsig-89477d49-0468-6f63-833b-ab2e51fa8a5e"&gt;</w:t>
      </w:r>
    </w:p>
    <w:p w14:paraId="574A4E82"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&lt;ds:SignedInfo&gt;</w:t>
      </w:r>
    </w:p>
    <w:p w14:paraId="58B2A61E"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&lt;ds:CanonicalizationMethod Algorithm="http://www.w3.org/2001/10/xml-exc-c14n#" /&gt;</w:t>
      </w:r>
    </w:p>
    <w:p w14:paraId="589BC562"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&lt;ds:SignatureMethod Algorithm="http://www.w3.org/2001/04/xmldsig-more#gostr34102001-gostr3411" /&gt;</w:t>
      </w:r>
    </w:p>
    <w:p w14:paraId="6AF01D6F"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&lt;ds:Reference URI="#d4fcb573-55e8-4e40-8321-cc342a33f804"&gt;</w:t>
      </w:r>
    </w:p>
    <w:p w14:paraId="18A62D8D"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&lt;ds:Transforms&gt;</w:t>
      </w:r>
    </w:p>
    <w:p w14:paraId="3A2E4860"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&lt;ds:Transform Algorithm="http://www.w3.org/2000/09/xmldsig#enveloped-signature" /&gt;</w:t>
      </w:r>
    </w:p>
    <w:p w14:paraId="1C9B4FA9"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&lt;ds:Transform Algorithm="http://www.w3.org/2001/10/xml-exc-c14n#" /&gt;</w:t>
      </w:r>
    </w:p>
    <w:p w14:paraId="0D4BD67F"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&lt;/ds:Transforms&gt;</w:t>
      </w:r>
    </w:p>
    <w:p w14:paraId="3170804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&lt;ds:DigestMethod Algorithm="http://www.w3.org/2001/04/xmldsig-more#gostr3411" /&gt;</w:t>
      </w:r>
    </w:p>
    <w:p w14:paraId="43F62232"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&lt;ds:DigestValue&gt;vwFa9QjyB8RABPUq5igDuWvL2EQ1DkKFCOg9egUTOVo=&lt;/ds:DigestValue&gt;</w:t>
      </w:r>
    </w:p>
    <w:p w14:paraId="548AC269"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&lt;/ds:Reference&gt;</w:t>
      </w:r>
    </w:p>
    <w:p w14:paraId="6A5125B6"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&lt;ds:Reference URI="#xades-f45f031f-9705-9a2d-15a9-663008a46b2e" Type="http://uri.etsi.org/01903#SignedProperties"&gt;</w:t>
      </w:r>
    </w:p>
    <w:p w14:paraId="4620A2B7"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&lt;ds:Transforms&gt;</w:t>
      </w:r>
    </w:p>
    <w:p w14:paraId="6D0F1A06"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&lt;ds:Transform Algorithm="http://www.w3.org/2001/10/xml-exc-c14n#" /&gt;</w:t>
      </w:r>
    </w:p>
    <w:p w14:paraId="77664652"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&lt;/ds:Transforms&gt;</w:t>
      </w:r>
    </w:p>
    <w:p w14:paraId="29A4B89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&lt;ds:DigestMethod Algorithm="http://www.w3.org/2001/04/xmldsig-more#gostr3411" /&gt;</w:t>
      </w:r>
    </w:p>
    <w:p w14:paraId="2F4A5BFD"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&lt;ds:DigestValue&gt;4qBQjvEmQaQesTytAU8Unf9pumuEqzWl1oGDjUixSyU=&lt;/ds:DigestValue&gt;</w:t>
      </w:r>
    </w:p>
    <w:p w14:paraId="52B7B84C"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&lt;/ds:Reference&gt;</w:t>
      </w:r>
    </w:p>
    <w:p w14:paraId="6D262F12"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&lt;/ds:SignedInfo&gt;</w:t>
      </w:r>
    </w:p>
    <w:p w14:paraId="6CE8C23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&lt;ds:SignatureValue&gt;gi019QaHqbb9ZBtUr1P22/TJeyfaQiseBKVvybU/lkQbuc3k+XyVtGBV2hIf4ujeNa5EBLrcMOsyCLBC66VFUQ==&lt;/ds:SignatureValue&gt;</w:t>
      </w:r>
    </w:p>
    <w:p w14:paraId="386FC1C6"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&lt;ds:KeyInfo&gt;</w:t>
      </w:r>
    </w:p>
    <w:p w14:paraId="3269A445"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&lt;ds:X509Data&gt;</w:t>
      </w:r>
    </w:p>
    <w:p w14:paraId="19CFAEA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&lt;ds:X509Certificate&gt;MIIDijCCAzmgAwIBAgITEgAPvcqyCRmY51CaQQAAAA+9yjAIBgYqhQMCAgMwfzEj</w:t>
      </w:r>
    </w:p>
    <w:p w14:paraId="4F6C105D"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MCEGCSqGSIb3DQEJARYUc3VwcG9ydEBjcnlwdG9wcm8ucnUxCzAJBgNVBAYTAlJV</w:t>
      </w:r>
    </w:p>
    <w:p w14:paraId="7FBC9580"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MQ8wDQYDVQQHEwZNb3Njb3cxFzAVBgNVBAoTDkNSWVBUTy1QUk8gTExDMSEwHwYD</w:t>
      </w:r>
    </w:p>
    <w:p w14:paraId="00C047EA"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VQQDExhDUllQVE8tUFJPIFRlc3QgQ2VudGVyIDIwHhcNMTYwNDEzMDgwNDI2WhcN</w:t>
      </w:r>
    </w:p>
    <w:p w14:paraId="6B938B96"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MTYwNzEzMDgxNDI2WjCBmDEbMBkGCSqGSIb3DQEJARYMc3ViekBtYWlsLnJ1MT8w</w:t>
      </w:r>
    </w:p>
    <w:p w14:paraId="165EE073"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PQYDVQQDDDbQodCw0LHQt9C40YDQvtCyINCh0LrQvtGA0L/QuNC+0L0g0KDQtdC5</w:t>
      </w:r>
    </w:p>
    <w:p w14:paraId="50D54A75"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0LTQtdC90L7QstC40YcxEDAOBgNVBAsMB9Ce0J7QnTExDzANBgNVBAoMBtCe0J7Q</w:t>
      </w:r>
    </w:p>
    <w:p w14:paraId="21964A90"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nTEVMBMGA1UEBwwM0JrQsNC30LDQvdGMMGMwHAYGKoUDAgITMBIGByqFAwICJAAG</w:t>
      </w:r>
    </w:p>
    <w:p w14:paraId="1DB74AE9"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ByqFAwICHgEDQwAEQNzQryIDf+zcaU4+G4V5yESOmsaeX4aeCM6ma+n+1Q5QXMUn</w:t>
      </w:r>
    </w:p>
    <w:p w14:paraId="1BC182E5"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hg1Q4IDUGPZ2zVSxhQN8geuInHdAzY5PV2rY0CyjggFwMIIBbDAOBgNVHQ8BAf8E</w:t>
      </w:r>
    </w:p>
    <w:p w14:paraId="69C75225"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BAMCBPAwEwYDVR0lBAwwCgYIKwYBBQUHAwMwHQYDVR0OBBYEFDVauBthqQQhKM0J</w:t>
      </w:r>
    </w:p>
    <w:p w14:paraId="1EA7562C"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ZnmnD2YrKNupMB8GA1UdIwQYMBaAFBUxfLCNGt5m1xWcSVKXFyS5AXqDMFkGA1Ud</w:t>
      </w:r>
    </w:p>
    <w:p w14:paraId="14A18BB6"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HwRSMFAwTqBMoEqGSGh0dHA6Ly90ZXN0Y2EuY3J5cHRvcHJvLnJ1L0NlcnRFbnJv</w:t>
      </w:r>
    </w:p>
    <w:p w14:paraId="147981AA"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bGwvQ1JZUFRPLVBSTyUyMFRlc3QlMjBDZW50ZXIlMjAyLmNybDCBqQYIKwYBBQUH</w:t>
      </w:r>
    </w:p>
    <w:p w14:paraId="1470013F"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AQEEgZwwgZkwYQYIKwYBBQUHMAKGVWh0dHA6Ly90ZXN0Y2EuY3J5cHRvcHJvLnJ1</w:t>
      </w:r>
    </w:p>
    <w:p w14:paraId="27EC80FD"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L0NlcnRFbnJvbGwvdGVzdC1jYS0yMDE0X0NSWVBUTy1QUk8lMjBUZXN0JTIwQ2Vu</w:t>
      </w:r>
    </w:p>
    <w:p w14:paraId="371D3F1B"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dGVyJTIwMi5jcnQwNAYIKwYBBQUHMAGGKGh0dHA6Ly90ZXN0Y2EuY3J5cHRvcHJv</w:t>
      </w:r>
    </w:p>
    <w:p w14:paraId="780AB670"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LnJ1L29jc3Avb2NzcC5zcmYwCAYGKoUDAgIDA0EAPqatWGKJoKYZv5jLhcYD9apo</w:t>
      </w:r>
    </w:p>
    <w:p w14:paraId="4E05D967"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HNHAECmIWTUhMc2UAZ3d853DMnzOSwaZc0OnMfkDM7rV9XvFSwGf9Mhpce6RaQ==</w:t>
      </w:r>
    </w:p>
    <w:p w14:paraId="517221DA"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&lt;/ds:X509Certificate&gt;</w:t>
      </w:r>
    </w:p>
    <w:p w14:paraId="22899571"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&lt;/ds:X509Data&gt;</w:t>
      </w:r>
    </w:p>
    <w:p w14:paraId="1336E373"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&lt;/ds:KeyInfo&gt;</w:t>
      </w:r>
    </w:p>
    <w:p w14:paraId="3BC06C9F"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&lt;ds:Object&gt;</w:t>
      </w:r>
    </w:p>
    <w:p w14:paraId="6013F24A"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&lt;ds:QualifyingProperties xmlns="http://uri.etsi.org/01903/v1.3.2#" Target="#xmldsig-89477d49-0468-6f63-833b-ab2e51fa8a5e"&gt;</w:t>
      </w:r>
    </w:p>
    <w:p w14:paraId="7842FB9D"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&lt;ds:SignedProperties Id="xades-f45f031f-9705-9a2d-15a9-663008a46b2e"&gt;</w:t>
      </w:r>
    </w:p>
    <w:p w14:paraId="3CBBA41B"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&lt;ds:SignedSignatureProperties&gt;</w:t>
      </w:r>
    </w:p>
    <w:p w14:paraId="05937335"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&lt;ds:SigningTime&gt;2016-04-25T13:29:39.993Z&lt;/ds:SigningTime&gt;</w:t>
      </w:r>
    </w:p>
    <w:p w14:paraId="04B7721A"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&lt;ds:SigningCertificate&gt;</w:t>
      </w:r>
    </w:p>
    <w:p w14:paraId="0CA10B9E"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&lt;ds:Cert&gt;</w:t>
      </w:r>
    </w:p>
    <w:p w14:paraId="19475A6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&lt;ds:CertDigest&gt;</w:t>
      </w:r>
    </w:p>
    <w:p w14:paraId="61640F7C"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&lt;ds:DigestMethod xmlns="http://www.w3.org/2000/09/xmldsig#" Algorithm="http://www.w3.org/2001/04/xmldsig-more#gostr3411" /&gt;</w:t>
      </w:r>
    </w:p>
    <w:p w14:paraId="56B301BB"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&lt;ds:DigestValue xmlns="http://www.w3.org/2000/09/xmldsig#"&gt;1/PG4jhCBKSlgnb396uos7tcsm5XIGs+5ObHN1UfLrk=&lt;/ds:DigestValue&gt;</w:t>
      </w:r>
    </w:p>
    <w:p w14:paraId="2C563C2D"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&lt;/ds:CertDigest&gt;</w:t>
      </w:r>
    </w:p>
    <w:p w14:paraId="034F4AA4"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&lt;ds:IssuerSerial&gt;</w:t>
      </w:r>
    </w:p>
    <w:p w14:paraId="13EF2336"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 xml:space="preserve">&lt;ds:X509IssuerName xmlns="http://www.w3.org/2000/09/xmldsig#"&gt;CN=CRYPTO-PRO Test Center </w:t>
      </w:r>
      <w:r w:rsidRPr="00264D5D">
        <w:rPr>
          <w:rFonts w:cs="Courier New"/>
          <w:sz w:val="20"/>
        </w:rPr>
        <w:lastRenderedPageBreak/>
        <w:t>2,O=CRYPTO-PRO LLC,L=Moscow,C=RU,1.2.840.113549.1.9.1=support@cryptopro.ru&lt;/ds:X509IssuerName&gt;</w:t>
      </w:r>
    </w:p>
    <w:p w14:paraId="582699D9"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&lt;ds:X509SerialNumber xmlns="http://www.w3.org/2000/09/xmldsig#"&gt;401418770085601189282616988651262080554352074&lt;/ds:X509SerialNumber&gt;</w:t>
      </w:r>
    </w:p>
    <w:p w14:paraId="5BE8F265"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&lt;/ds:IssuerSerial&gt;</w:t>
      </w:r>
    </w:p>
    <w:p w14:paraId="12A8015C"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&lt;/ds:Cert&gt;</w:t>
      </w:r>
    </w:p>
    <w:p w14:paraId="5248D2C7"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&lt;/ds:SigningCertificate&gt;</w:t>
      </w:r>
    </w:p>
    <w:p w14:paraId="4ECB0A83"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&lt;/ds:SignedSignatureProperties&gt;</w:t>
      </w:r>
    </w:p>
    <w:p w14:paraId="5E5F24D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&lt;/ds:SignedProperties&gt;</w:t>
      </w:r>
    </w:p>
    <w:p w14:paraId="031569D5"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&lt;/ds:QualifyingProperties&gt;</w:t>
      </w:r>
    </w:p>
    <w:p w14:paraId="6789D16A"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&lt;/ds:Object&gt;</w:t>
      </w:r>
    </w:p>
    <w:p w14:paraId="2D33C2D4"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&lt;/Signature&gt;</w:t>
      </w:r>
    </w:p>
    <w:p w14:paraId="35C5F809"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&lt;/self:MSC_ExpndblSchdl&gt;</w:t>
      </w:r>
    </w:p>
    <w:p w14:paraId="06C953E1"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&lt;/typ:document&gt;</w:t>
      </w:r>
    </w:p>
    <w:p w14:paraId="74A393B6"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&lt;/transferDocumentRequest&gt;</w:t>
      </w:r>
    </w:p>
    <w:p w14:paraId="42669711"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&lt;/soapenv:Body&gt;</w:t>
      </w:r>
    </w:p>
    <w:p w14:paraId="74BE3B05"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264D5D">
        <w:rPr>
          <w:rFonts w:cs="Courier New"/>
          <w:sz w:val="20"/>
        </w:rPr>
        <w:t>&lt;/soapenv:Envelope&gt;</w:t>
      </w:r>
    </w:p>
    <w:p w14:paraId="40EB1279" w14:textId="77777777" w:rsidR="00AD1F54" w:rsidRPr="00313290" w:rsidRDefault="00941227">
      <w:pPr>
        <w:pStyle w:val="22"/>
        <w:rPr>
          <w:highlight w:val="green"/>
          <w:lang w:val="ru-RU"/>
        </w:rPr>
      </w:pPr>
      <w:bookmarkStart w:id="708" w:name="_Ref46776769"/>
      <w:bookmarkStart w:id="709" w:name="_Toc219309484"/>
      <w:r w:rsidRPr="00313290">
        <w:rPr>
          <w:highlight w:val="green"/>
          <w:lang w:val="ru-RU"/>
        </w:rPr>
        <w:t>Описание документа «Заявка на кассовый расход» (ф. 0531801)</w:t>
      </w:r>
      <w:bookmarkStart w:id="710" w:name="_Toc19567204"/>
      <w:bookmarkStart w:id="711" w:name="_Toc19567597"/>
      <w:bookmarkStart w:id="712" w:name="_Toc19622854"/>
      <w:bookmarkStart w:id="713" w:name="_Toc19623247"/>
      <w:bookmarkStart w:id="714" w:name="_Toc19623640"/>
      <w:bookmarkStart w:id="715" w:name="_Toc19622864"/>
      <w:bookmarkStart w:id="716" w:name="_Toc19623257"/>
      <w:bookmarkStart w:id="717" w:name="_Toc19623650"/>
      <w:bookmarkEnd w:id="708"/>
      <w:bookmarkEnd w:id="709"/>
      <w:bookmarkEnd w:id="710"/>
      <w:bookmarkEnd w:id="711"/>
      <w:bookmarkEnd w:id="712"/>
      <w:bookmarkEnd w:id="713"/>
      <w:bookmarkEnd w:id="714"/>
      <w:bookmarkEnd w:id="715"/>
      <w:bookmarkEnd w:id="716"/>
      <w:bookmarkEnd w:id="717"/>
    </w:p>
    <w:p w14:paraId="153075EA" w14:textId="77777777" w:rsidR="00AD1F54" w:rsidRPr="00313290" w:rsidRDefault="00941227">
      <w:pPr>
        <w:pStyle w:val="31"/>
        <w:rPr>
          <w:highlight w:val="green"/>
        </w:rPr>
      </w:pPr>
      <w:bookmarkStart w:id="718" w:name="_Toc219309485"/>
      <w:r w:rsidRPr="00313290">
        <w:rPr>
          <w:highlight w:val="green"/>
        </w:rPr>
        <w:t>Назначение и маршрут документа</w:t>
      </w:r>
      <w:bookmarkEnd w:id="718"/>
    </w:p>
    <w:p w14:paraId="7F285032" w14:textId="77777777" w:rsidR="00AD1F54" w:rsidRPr="00264D5D" w:rsidRDefault="00941227">
      <w:pPr>
        <w:pStyle w:val="ASFKNormal"/>
        <w:spacing w:before="60" w:after="120"/>
        <w:contextualSpacing w:val="0"/>
        <w:jc w:val="both"/>
      </w:pPr>
      <w:r w:rsidRPr="00264D5D">
        <w:rPr>
          <w:rFonts w:eastAsia="Calibri"/>
          <w:sz w:val="24"/>
        </w:rPr>
        <w:t>Документ «Заявка на кассовый расход» (ф. 0531801) представляется клиентом в ТОФК по месту его обслуживания для осуществления операций по кассовым выплатам из бюджетов, а также операций по уточнению БО и/или кода объекта капитального строительства или объекта недвижимости, кода мероприятия по информатизации по ранее произведенным кассовым выплатам</w:t>
      </w:r>
      <w:r w:rsidRPr="00264D5D">
        <w:t>.</w:t>
      </w:r>
    </w:p>
    <w:bookmarkStart w:id="719" w:name="_Toc86145933"/>
    <w:bookmarkStart w:id="720" w:name="_Toc86423473"/>
    <w:bookmarkStart w:id="721" w:name="_Toc86424126"/>
    <w:bookmarkStart w:id="722" w:name="_Toc86437541"/>
    <w:bookmarkStart w:id="723" w:name="_Toc87281882"/>
    <w:bookmarkStart w:id="724" w:name="_Toc87609638"/>
    <w:bookmarkEnd w:id="719"/>
    <w:bookmarkEnd w:id="720"/>
    <w:bookmarkEnd w:id="721"/>
    <w:bookmarkEnd w:id="722"/>
    <w:bookmarkEnd w:id="723"/>
    <w:bookmarkEnd w:id="724"/>
    <w:p w14:paraId="4899853A" w14:textId="3ECF059D" w:rsidR="00AD1F54" w:rsidRPr="00313290" w:rsidRDefault="00941227">
      <w:pPr>
        <w:pStyle w:val="GOSTNameTable"/>
        <w:numPr>
          <w:ilvl w:val="0"/>
          <w:numId w:val="2"/>
        </w:numPr>
        <w:spacing w:before="60"/>
        <w:ind w:left="425" w:hanging="357"/>
        <w:rPr>
          <w:highlight w:val="green"/>
        </w:rPr>
      </w:pPr>
      <w:r w:rsidRPr="00313290">
        <w:rPr>
          <w:highlight w:val="green"/>
        </w:rPr>
        <w:fldChar w:fldCharType="begin"/>
      </w:r>
      <w:r w:rsidRPr="00313290">
        <w:rPr>
          <w:highlight w:val="green"/>
        </w:rPr>
        <w:instrText xml:space="preserve"> SEQ Таблица \* ARABIC </w:instrText>
      </w:r>
      <w:r w:rsidRPr="00313290">
        <w:rPr>
          <w:highlight w:val="green"/>
        </w:rPr>
        <w:fldChar w:fldCharType="separate"/>
      </w:r>
      <w:bookmarkStart w:id="725" w:name="_Toc219309077"/>
      <w:r w:rsidR="008D797C">
        <w:rPr>
          <w:noProof/>
          <w:highlight w:val="green"/>
        </w:rPr>
        <w:t>47</w:t>
      </w:r>
      <w:r w:rsidRPr="00313290">
        <w:rPr>
          <w:highlight w:val="green"/>
        </w:rPr>
        <w:fldChar w:fldCharType="end"/>
      </w:r>
      <w:r w:rsidRPr="00313290">
        <w:rPr>
          <w:rFonts w:eastAsia="Calibri"/>
          <w:szCs w:val="24"/>
          <w:highlight w:val="green"/>
        </w:rPr>
        <w:t xml:space="preserve"> – </w:t>
      </w:r>
      <w:r w:rsidRPr="00313290">
        <w:rPr>
          <w:highlight w:val="green"/>
        </w:rPr>
        <w:t>Маршрут документа «Заявка на кассовый расход» (ф. 0531801)</w:t>
      </w:r>
      <w:bookmarkEnd w:id="725"/>
    </w:p>
    <w:tbl>
      <w:tblPr>
        <w:tblStyle w:val="GOSTTable"/>
        <w:tblW w:w="5000" w:type="pct"/>
        <w:tblLayout w:type="fixed"/>
        <w:tblLook w:val="01E0" w:firstRow="1" w:lastRow="1" w:firstColumn="1" w:lastColumn="1" w:noHBand="0" w:noVBand="0"/>
      </w:tblPr>
      <w:tblGrid>
        <w:gridCol w:w="2539"/>
        <w:gridCol w:w="2540"/>
        <w:gridCol w:w="4571"/>
      </w:tblGrid>
      <w:tr w:rsidR="00AD1F54" w:rsidRPr="00264D5D" w14:paraId="535F08A0" w14:textId="77777777" w:rsidTr="00D26607">
        <w:trPr>
          <w:cnfStyle w:val="100000000000" w:firstRow="1" w:lastRow="0" w:firstColumn="0" w:lastColumn="0" w:oddVBand="0" w:evenVBand="0" w:oddHBand="0" w:evenHBand="0" w:firstRowFirstColumn="0" w:firstRowLastColumn="0" w:lastRowFirstColumn="0" w:lastRowLastColumn="0"/>
          <w:trHeight w:val="96"/>
          <w:tblHeader/>
        </w:trPr>
        <w:tc>
          <w:tcPr>
            <w:tcW w:w="2539" w:type="dxa"/>
          </w:tcPr>
          <w:p w14:paraId="4498CDAC" w14:textId="77777777" w:rsidR="00AD1F54" w:rsidRPr="00264D5D" w:rsidRDefault="00941227">
            <w:pPr>
              <w:pStyle w:val="ASFKTableHead"/>
            </w:pPr>
            <w:r w:rsidRPr="00264D5D">
              <w:t>Отправитель</w:t>
            </w:r>
          </w:p>
        </w:tc>
        <w:tc>
          <w:tcPr>
            <w:tcW w:w="2540" w:type="dxa"/>
          </w:tcPr>
          <w:p w14:paraId="351723E4" w14:textId="77777777" w:rsidR="00AD1F54" w:rsidRPr="00264D5D" w:rsidRDefault="00941227">
            <w:pPr>
              <w:pStyle w:val="ASFKTableHead"/>
            </w:pPr>
            <w:r w:rsidRPr="00264D5D">
              <w:t>Получатель</w:t>
            </w:r>
          </w:p>
        </w:tc>
        <w:tc>
          <w:tcPr>
            <w:tcW w:w="4571" w:type="dxa"/>
          </w:tcPr>
          <w:p w14:paraId="53C8A497" w14:textId="77777777" w:rsidR="00AD1F54" w:rsidRPr="00264D5D" w:rsidRDefault="00941227">
            <w:pPr>
              <w:pStyle w:val="ASFKTableHead"/>
            </w:pPr>
            <w:r w:rsidRPr="00264D5D">
              <w:t>Примечание</w:t>
            </w:r>
          </w:p>
        </w:tc>
      </w:tr>
      <w:tr w:rsidR="00AD1F54" w:rsidRPr="00264D5D" w14:paraId="3634C721" w14:textId="77777777" w:rsidTr="00D26607">
        <w:trPr>
          <w:cnfStyle w:val="000000100000" w:firstRow="0" w:lastRow="0" w:firstColumn="0" w:lastColumn="0" w:oddVBand="0" w:evenVBand="0" w:oddHBand="1" w:evenHBand="0" w:firstRowFirstColumn="0" w:firstRowLastColumn="0" w:lastRowFirstColumn="0" w:lastRowLastColumn="0"/>
        </w:trPr>
        <w:tc>
          <w:tcPr>
            <w:tcW w:w="2539" w:type="dxa"/>
          </w:tcPr>
          <w:p w14:paraId="7FDABECF" w14:textId="77777777" w:rsidR="00AD1F54" w:rsidRPr="00264D5D" w:rsidRDefault="00941227">
            <w:pPr>
              <w:pStyle w:val="GOSTTablenorm"/>
              <w:rPr>
                <w:szCs w:val="22"/>
              </w:rPr>
            </w:pPr>
            <w:r w:rsidRPr="00264D5D">
              <w:rPr>
                <w:szCs w:val="22"/>
              </w:rPr>
              <w:t>ПБС (ПФХД)</w:t>
            </w:r>
          </w:p>
        </w:tc>
        <w:tc>
          <w:tcPr>
            <w:tcW w:w="2540" w:type="dxa"/>
          </w:tcPr>
          <w:p w14:paraId="05D6FF7E" w14:textId="77777777" w:rsidR="00AD1F54" w:rsidRPr="00264D5D" w:rsidRDefault="00941227">
            <w:pPr>
              <w:pStyle w:val="GOSTTablenorm"/>
              <w:rPr>
                <w:szCs w:val="22"/>
              </w:rPr>
            </w:pPr>
            <w:r w:rsidRPr="00264D5D">
              <w:rPr>
                <w:szCs w:val="22"/>
              </w:rPr>
              <w:t>ТОФК (ПУР ЭБ)</w:t>
            </w:r>
          </w:p>
        </w:tc>
        <w:tc>
          <w:tcPr>
            <w:tcW w:w="4571" w:type="dxa"/>
          </w:tcPr>
          <w:p w14:paraId="241434A8" w14:textId="77777777" w:rsidR="00AD1F54" w:rsidRPr="00264D5D" w:rsidRDefault="00AD1F54">
            <w:pPr>
              <w:pStyle w:val="ASFKTablenorm"/>
              <w:rPr>
                <w:sz w:val="22"/>
              </w:rPr>
            </w:pPr>
          </w:p>
        </w:tc>
      </w:tr>
      <w:tr w:rsidR="00AD1F54" w:rsidRPr="00264D5D" w14:paraId="05B67CC0" w14:textId="77777777" w:rsidTr="00D26607">
        <w:trPr>
          <w:cnfStyle w:val="000000010000" w:firstRow="0" w:lastRow="0" w:firstColumn="0" w:lastColumn="0" w:oddVBand="0" w:evenVBand="0" w:oddHBand="0" w:evenHBand="1" w:firstRowFirstColumn="0" w:firstRowLastColumn="0" w:lastRowFirstColumn="0" w:lastRowLastColumn="0"/>
        </w:trPr>
        <w:tc>
          <w:tcPr>
            <w:tcW w:w="2539" w:type="dxa"/>
          </w:tcPr>
          <w:p w14:paraId="21C81C60" w14:textId="77777777" w:rsidR="00AD1F54" w:rsidRPr="00264D5D" w:rsidRDefault="00941227">
            <w:pPr>
              <w:pStyle w:val="GOSTTablenorm"/>
            </w:pPr>
            <w:r w:rsidRPr="00264D5D">
              <w:t>ГИС ЭС</w:t>
            </w:r>
          </w:p>
        </w:tc>
        <w:tc>
          <w:tcPr>
            <w:tcW w:w="2540" w:type="dxa"/>
          </w:tcPr>
          <w:p w14:paraId="14F54B1F" w14:textId="77777777" w:rsidR="00AD1F54" w:rsidRPr="00264D5D" w:rsidRDefault="00941227">
            <w:pPr>
              <w:pStyle w:val="GOSTTablenorm"/>
              <w:rPr>
                <w:szCs w:val="22"/>
              </w:rPr>
            </w:pPr>
            <w:r w:rsidRPr="00264D5D">
              <w:rPr>
                <w:szCs w:val="22"/>
              </w:rPr>
              <w:t>ТОФК (ПУР ЭБ)</w:t>
            </w:r>
          </w:p>
        </w:tc>
        <w:tc>
          <w:tcPr>
            <w:tcW w:w="4571" w:type="dxa"/>
          </w:tcPr>
          <w:p w14:paraId="214F993D" w14:textId="77777777" w:rsidR="00AD1F54" w:rsidRPr="00264D5D" w:rsidRDefault="00AD1F54">
            <w:pPr>
              <w:pStyle w:val="ASFKTablenorm"/>
              <w:rPr>
                <w:sz w:val="22"/>
              </w:rPr>
            </w:pPr>
          </w:p>
        </w:tc>
      </w:tr>
      <w:tr w:rsidR="00AD1F54" w:rsidRPr="00264D5D" w14:paraId="6EED751B" w14:textId="77777777" w:rsidTr="00D26607">
        <w:trPr>
          <w:cnfStyle w:val="000000100000" w:firstRow="0" w:lastRow="0" w:firstColumn="0" w:lastColumn="0" w:oddVBand="0" w:evenVBand="0" w:oddHBand="1" w:evenHBand="0" w:firstRowFirstColumn="0" w:firstRowLastColumn="0" w:lastRowFirstColumn="0" w:lastRowLastColumn="0"/>
        </w:trPr>
        <w:tc>
          <w:tcPr>
            <w:tcW w:w="2539" w:type="dxa"/>
          </w:tcPr>
          <w:p w14:paraId="44DC7F15" w14:textId="77777777" w:rsidR="00AD1F54" w:rsidRPr="00264D5D" w:rsidRDefault="00941227">
            <w:pPr>
              <w:pStyle w:val="GOSTTablenorm"/>
              <w:rPr>
                <w:szCs w:val="22"/>
              </w:rPr>
            </w:pPr>
            <w:r w:rsidRPr="00264D5D">
              <w:t>ЕИС</w:t>
            </w:r>
          </w:p>
        </w:tc>
        <w:tc>
          <w:tcPr>
            <w:tcW w:w="2540" w:type="dxa"/>
          </w:tcPr>
          <w:p w14:paraId="5A041E58" w14:textId="77777777" w:rsidR="00AD1F54" w:rsidRPr="00264D5D" w:rsidRDefault="00941227">
            <w:pPr>
              <w:pStyle w:val="GOSTTablenorm"/>
            </w:pPr>
            <w:r w:rsidRPr="00264D5D">
              <w:rPr>
                <w:szCs w:val="22"/>
              </w:rPr>
              <w:t>ТОФК (ПУР ЭБ)</w:t>
            </w:r>
          </w:p>
        </w:tc>
        <w:tc>
          <w:tcPr>
            <w:tcW w:w="4571" w:type="dxa"/>
          </w:tcPr>
          <w:p w14:paraId="6B0D0E60" w14:textId="77777777" w:rsidR="00AD1F54" w:rsidRPr="00264D5D" w:rsidRDefault="00AD1F54">
            <w:pPr>
              <w:pStyle w:val="ASFKTablenorm"/>
              <w:rPr>
                <w:sz w:val="22"/>
              </w:rPr>
            </w:pPr>
          </w:p>
        </w:tc>
      </w:tr>
      <w:tr w:rsidR="00AD1F54" w:rsidRPr="00264D5D" w14:paraId="5DFDA7C4" w14:textId="77777777" w:rsidTr="00D26607">
        <w:trPr>
          <w:cnfStyle w:val="000000010000" w:firstRow="0" w:lastRow="0" w:firstColumn="0" w:lastColumn="0" w:oddVBand="0" w:evenVBand="0" w:oddHBand="0" w:evenHBand="1" w:firstRowFirstColumn="0" w:firstRowLastColumn="0" w:lastRowFirstColumn="0" w:lastRowLastColumn="0"/>
        </w:trPr>
        <w:tc>
          <w:tcPr>
            <w:tcW w:w="2539" w:type="dxa"/>
          </w:tcPr>
          <w:p w14:paraId="26B26CF2" w14:textId="77777777" w:rsidR="00AD1F54" w:rsidRPr="00264D5D" w:rsidRDefault="00941227">
            <w:pPr>
              <w:pStyle w:val="GOSTTablenorm"/>
              <w:rPr>
                <w:szCs w:val="22"/>
              </w:rPr>
            </w:pPr>
            <w:r w:rsidRPr="00264D5D">
              <w:t>ЕИС</w:t>
            </w:r>
          </w:p>
        </w:tc>
        <w:tc>
          <w:tcPr>
            <w:tcW w:w="2540" w:type="dxa"/>
          </w:tcPr>
          <w:p w14:paraId="260A3531" w14:textId="77777777" w:rsidR="00AD1F54" w:rsidRPr="00264D5D" w:rsidRDefault="00941227">
            <w:pPr>
              <w:pStyle w:val="GOSTTablenorm"/>
            </w:pPr>
            <w:r w:rsidRPr="00264D5D">
              <w:rPr>
                <w:szCs w:val="22"/>
              </w:rPr>
              <w:t>ТОФК (ППО АСФК)</w:t>
            </w:r>
          </w:p>
        </w:tc>
        <w:tc>
          <w:tcPr>
            <w:tcW w:w="4571" w:type="dxa"/>
          </w:tcPr>
          <w:p w14:paraId="70A751E5" w14:textId="77777777" w:rsidR="00AD1F54" w:rsidRPr="00264D5D" w:rsidRDefault="00AD1F54">
            <w:pPr>
              <w:pStyle w:val="ASFKTablenorm"/>
              <w:rPr>
                <w:sz w:val="22"/>
              </w:rPr>
            </w:pPr>
          </w:p>
        </w:tc>
      </w:tr>
      <w:tr w:rsidR="00AD1F54" w:rsidRPr="00264D5D" w14:paraId="1CC5A0EC" w14:textId="77777777" w:rsidTr="00D26607">
        <w:trPr>
          <w:cnfStyle w:val="000000100000" w:firstRow="0" w:lastRow="0" w:firstColumn="0" w:lastColumn="0" w:oddVBand="0" w:evenVBand="0" w:oddHBand="1" w:evenHBand="0" w:firstRowFirstColumn="0" w:firstRowLastColumn="0" w:lastRowFirstColumn="0" w:lastRowLastColumn="0"/>
        </w:trPr>
        <w:tc>
          <w:tcPr>
            <w:tcW w:w="2539" w:type="dxa"/>
          </w:tcPr>
          <w:p w14:paraId="6719E17E" w14:textId="77777777" w:rsidR="00AD1F54" w:rsidRPr="00264D5D" w:rsidRDefault="00941227">
            <w:pPr>
              <w:pStyle w:val="GOSTTablenorm"/>
              <w:rPr>
                <w:szCs w:val="22"/>
              </w:rPr>
            </w:pPr>
            <w:r w:rsidRPr="00264D5D">
              <w:t>ЕИС</w:t>
            </w:r>
          </w:p>
        </w:tc>
        <w:tc>
          <w:tcPr>
            <w:tcW w:w="2540" w:type="dxa"/>
          </w:tcPr>
          <w:p w14:paraId="66EC9010" w14:textId="77777777" w:rsidR="00AD1F54" w:rsidRPr="00264D5D" w:rsidRDefault="00941227">
            <w:pPr>
              <w:pStyle w:val="GOSTTablenorm"/>
            </w:pPr>
            <w:r w:rsidRPr="00264D5D">
              <w:rPr>
                <w:szCs w:val="22"/>
              </w:rPr>
              <w:t>ТОФК (Компонент АУ, БУ ПУР ЭБ)</w:t>
            </w:r>
          </w:p>
        </w:tc>
        <w:tc>
          <w:tcPr>
            <w:tcW w:w="4571" w:type="dxa"/>
          </w:tcPr>
          <w:p w14:paraId="1C5FA83B" w14:textId="77777777" w:rsidR="00AD1F54" w:rsidRPr="00264D5D" w:rsidRDefault="00AD1F54">
            <w:pPr>
              <w:pStyle w:val="ASFKTablenorm"/>
              <w:rPr>
                <w:sz w:val="22"/>
              </w:rPr>
            </w:pPr>
          </w:p>
        </w:tc>
      </w:tr>
      <w:tr w:rsidR="00AD1F54" w:rsidRPr="00264D5D" w14:paraId="67A6F064" w14:textId="77777777" w:rsidTr="00D26607">
        <w:trPr>
          <w:cnfStyle w:val="000000010000" w:firstRow="0" w:lastRow="0" w:firstColumn="0" w:lastColumn="0" w:oddVBand="0" w:evenVBand="0" w:oddHBand="0" w:evenHBand="1" w:firstRowFirstColumn="0" w:firstRowLastColumn="0" w:lastRowFirstColumn="0" w:lastRowLastColumn="0"/>
        </w:trPr>
        <w:tc>
          <w:tcPr>
            <w:tcW w:w="2539" w:type="dxa"/>
          </w:tcPr>
          <w:p w14:paraId="64BB4E21" w14:textId="77777777" w:rsidR="00AD1F54" w:rsidRPr="00264D5D" w:rsidRDefault="00941227">
            <w:pPr>
              <w:pStyle w:val="GOSTTablenorm"/>
            </w:pPr>
            <w:r w:rsidRPr="00264D5D">
              <w:t>ТОФК (Компонент АУ, БУ ПУР ЭБ)</w:t>
            </w:r>
          </w:p>
        </w:tc>
        <w:tc>
          <w:tcPr>
            <w:tcW w:w="2540" w:type="dxa"/>
          </w:tcPr>
          <w:p w14:paraId="00B14460" w14:textId="77777777" w:rsidR="00AD1F54" w:rsidRPr="00264D5D" w:rsidRDefault="00941227">
            <w:pPr>
              <w:pStyle w:val="GOSTTablenorm"/>
              <w:rPr>
                <w:szCs w:val="22"/>
              </w:rPr>
            </w:pPr>
            <w:r w:rsidRPr="00264D5D">
              <w:rPr>
                <w:szCs w:val="22"/>
              </w:rPr>
              <w:t>АУ, БУ</w:t>
            </w:r>
          </w:p>
        </w:tc>
        <w:tc>
          <w:tcPr>
            <w:tcW w:w="4571" w:type="dxa"/>
            <w:vMerge w:val="restart"/>
          </w:tcPr>
          <w:p w14:paraId="2B98B812" w14:textId="77777777" w:rsidR="00AD1F54" w:rsidRPr="00264D5D" w:rsidRDefault="00941227">
            <w:pPr>
              <w:pStyle w:val="ASFKTablenorm"/>
              <w:rPr>
                <w:sz w:val="22"/>
                <w:szCs w:val="22"/>
              </w:rPr>
            </w:pPr>
            <w:r w:rsidRPr="00264D5D">
              <w:rPr>
                <w:sz w:val="22"/>
                <w:szCs w:val="22"/>
              </w:rPr>
              <w:t>Выгружается только в случае, если вид платежа внутриказначейский (внебанковская операция), в качестве приложения к документам:</w:t>
            </w:r>
          </w:p>
          <w:p w14:paraId="1CDA4FED" w14:textId="77777777" w:rsidR="00AD1F54" w:rsidRPr="00264D5D" w:rsidRDefault="00941227" w:rsidP="00E7460C">
            <w:pPr>
              <w:pStyle w:val="ASFKTablenorm"/>
              <w:numPr>
                <w:ilvl w:val="0"/>
                <w:numId w:val="102"/>
              </w:numPr>
              <w:ind w:left="448" w:hanging="227"/>
              <w:rPr>
                <w:sz w:val="22"/>
                <w:szCs w:val="22"/>
              </w:rPr>
            </w:pPr>
            <w:r w:rsidRPr="00264D5D">
              <w:rPr>
                <w:sz w:val="22"/>
                <w:szCs w:val="22"/>
              </w:rPr>
              <w:t xml:space="preserve">«Выписка из отдельного лицевого счета бюджетного (автономного) учреждения» (ф. 0531964) и «Приложение к выписке из отдельного лицевого счета бюджетного (автономного) учреждения» (ф. 0531968), </w:t>
            </w:r>
          </w:p>
          <w:p w14:paraId="7E38FDB7" w14:textId="77777777" w:rsidR="00AD1F54" w:rsidRPr="00264D5D" w:rsidRDefault="00941227" w:rsidP="00E7460C">
            <w:pPr>
              <w:pStyle w:val="ASFKTablenorm"/>
              <w:numPr>
                <w:ilvl w:val="0"/>
                <w:numId w:val="102"/>
              </w:numPr>
              <w:spacing w:line="257" w:lineRule="auto"/>
              <w:ind w:left="448" w:hanging="227"/>
              <w:rPr>
                <w:sz w:val="22"/>
                <w:szCs w:val="22"/>
              </w:rPr>
            </w:pPr>
            <w:r w:rsidRPr="00264D5D">
              <w:rPr>
                <w:sz w:val="22"/>
                <w:szCs w:val="22"/>
              </w:rPr>
              <w:t xml:space="preserve">«Выписка из лицевого счета бюджетного </w:t>
            </w:r>
            <w:r w:rsidRPr="00264D5D">
              <w:rPr>
                <w:sz w:val="22"/>
                <w:szCs w:val="22"/>
              </w:rPr>
              <w:lastRenderedPageBreak/>
              <w:t>учреждения» (ф. 0531962), «Выписка из лицевого счета автономного учреждения» (ф. 0531963), «Приложение к выписке из лицевого счета бюджетного (автономного) учреждения» (ф. 0531967)</w:t>
            </w:r>
          </w:p>
          <w:p w14:paraId="6B6A4A07" w14:textId="77777777" w:rsidR="00AD1F54" w:rsidRPr="00264D5D" w:rsidRDefault="00941227">
            <w:pPr>
              <w:pStyle w:val="ASFKTablenorm"/>
              <w:rPr>
                <w:sz w:val="22"/>
              </w:rPr>
            </w:pPr>
            <w:r w:rsidRPr="00264D5D">
              <w:rPr>
                <w:sz w:val="22"/>
                <w:szCs w:val="22"/>
              </w:rPr>
              <w:t>предусмотренных настоящим Альбомом ТФО при</w:t>
            </w:r>
            <w:r w:rsidR="00BA58C1" w:rsidRPr="00264D5D">
              <w:rPr>
                <w:sz w:val="22"/>
                <w:szCs w:val="22"/>
              </w:rPr>
              <w:t xml:space="preserve"> их экспорте в ЛК АУ, БУ ПУР ЭБ</w:t>
            </w:r>
          </w:p>
        </w:tc>
      </w:tr>
      <w:tr w:rsidR="00AD1F54" w:rsidRPr="00264D5D" w14:paraId="1E2AE3F4" w14:textId="77777777" w:rsidTr="00D26607">
        <w:trPr>
          <w:cnfStyle w:val="000000100000" w:firstRow="0" w:lastRow="0" w:firstColumn="0" w:lastColumn="0" w:oddVBand="0" w:evenVBand="0" w:oddHBand="1" w:evenHBand="0" w:firstRowFirstColumn="0" w:firstRowLastColumn="0" w:lastRowFirstColumn="0" w:lastRowLastColumn="0"/>
        </w:trPr>
        <w:tc>
          <w:tcPr>
            <w:tcW w:w="2539" w:type="dxa"/>
          </w:tcPr>
          <w:p w14:paraId="0A61244B" w14:textId="77777777" w:rsidR="00AD1F54" w:rsidRPr="00264D5D" w:rsidRDefault="00941227">
            <w:pPr>
              <w:pStyle w:val="GOSTTablenorm"/>
            </w:pPr>
            <w:r w:rsidRPr="00264D5D">
              <w:t>ТОФК (Компонент АУ, БУ ПУР ЭБ)</w:t>
            </w:r>
          </w:p>
        </w:tc>
        <w:tc>
          <w:tcPr>
            <w:tcW w:w="2540" w:type="dxa"/>
          </w:tcPr>
          <w:p w14:paraId="4BB9FD4E" w14:textId="77777777" w:rsidR="00AD1F54" w:rsidRPr="00264D5D" w:rsidRDefault="00941227">
            <w:pPr>
              <w:pStyle w:val="GOSTTablenorm"/>
              <w:rPr>
                <w:szCs w:val="22"/>
              </w:rPr>
            </w:pPr>
            <w:r w:rsidRPr="00264D5D">
              <w:rPr>
                <w:szCs w:val="22"/>
              </w:rPr>
              <w:t>Бухгалтерия государственного учреждения (1С)</w:t>
            </w:r>
          </w:p>
        </w:tc>
        <w:tc>
          <w:tcPr>
            <w:tcW w:w="4571" w:type="dxa"/>
            <w:vMerge/>
          </w:tcPr>
          <w:p w14:paraId="39376BAF" w14:textId="77777777" w:rsidR="00AD1F54" w:rsidRPr="00264D5D" w:rsidRDefault="00AD1F54">
            <w:pPr>
              <w:pStyle w:val="ASFKTablenorm"/>
              <w:rPr>
                <w:sz w:val="22"/>
              </w:rPr>
            </w:pPr>
          </w:p>
        </w:tc>
      </w:tr>
      <w:tr w:rsidR="00D26607" w:rsidRPr="00264D5D" w14:paraId="7BEA7F04" w14:textId="77777777" w:rsidTr="00D26607">
        <w:trPr>
          <w:cnfStyle w:val="000000010000" w:firstRow="0" w:lastRow="0" w:firstColumn="0" w:lastColumn="0" w:oddVBand="0" w:evenVBand="0" w:oddHBand="0" w:evenHBand="1" w:firstRowFirstColumn="0" w:firstRowLastColumn="0" w:lastRowFirstColumn="0" w:lastRowLastColumn="0"/>
        </w:trPr>
        <w:tc>
          <w:tcPr>
            <w:tcW w:w="2539" w:type="dxa"/>
          </w:tcPr>
          <w:p w14:paraId="6E77D723" w14:textId="77777777" w:rsidR="00D26607" w:rsidRPr="00264D5D" w:rsidRDefault="00D26607" w:rsidP="00D26607">
            <w:pPr>
              <w:pStyle w:val="GOSTTablenorm"/>
              <w:rPr>
                <w:szCs w:val="22"/>
              </w:rPr>
            </w:pPr>
            <w:r w:rsidRPr="00264D5D">
              <w:rPr>
                <w:szCs w:val="22"/>
              </w:rPr>
              <w:lastRenderedPageBreak/>
              <w:t>ЕИС</w:t>
            </w:r>
          </w:p>
        </w:tc>
        <w:tc>
          <w:tcPr>
            <w:tcW w:w="2540" w:type="dxa"/>
          </w:tcPr>
          <w:p w14:paraId="06854F35" w14:textId="77777777" w:rsidR="00D26607" w:rsidRPr="00264D5D" w:rsidRDefault="00D26607" w:rsidP="00D26607">
            <w:pPr>
              <w:pStyle w:val="GOSTTablenorm"/>
              <w:rPr>
                <w:szCs w:val="22"/>
              </w:rPr>
            </w:pPr>
            <w:r w:rsidRPr="00264D5D">
              <w:rPr>
                <w:szCs w:val="22"/>
              </w:rPr>
              <w:t>ЕБП</w:t>
            </w:r>
          </w:p>
        </w:tc>
        <w:tc>
          <w:tcPr>
            <w:tcW w:w="4571" w:type="dxa"/>
          </w:tcPr>
          <w:p w14:paraId="433C5089" w14:textId="77777777" w:rsidR="00D26607" w:rsidRPr="00264D5D" w:rsidRDefault="00D26607" w:rsidP="00D26607">
            <w:pPr>
              <w:pStyle w:val="ASFKTablenorm"/>
              <w:rPr>
                <w:sz w:val="22"/>
              </w:rPr>
            </w:pPr>
          </w:p>
        </w:tc>
      </w:tr>
      <w:tr w:rsidR="00F11BC2" w:rsidRPr="00264D5D" w14:paraId="50B0B3DE" w14:textId="77777777" w:rsidTr="00D26607">
        <w:trPr>
          <w:cnfStyle w:val="000000100000" w:firstRow="0" w:lastRow="0" w:firstColumn="0" w:lastColumn="0" w:oddVBand="0" w:evenVBand="0" w:oddHBand="1" w:evenHBand="0" w:firstRowFirstColumn="0" w:firstRowLastColumn="0" w:lastRowFirstColumn="0" w:lastRowLastColumn="0"/>
        </w:trPr>
        <w:tc>
          <w:tcPr>
            <w:tcW w:w="2539" w:type="dxa"/>
          </w:tcPr>
          <w:p w14:paraId="6E17C831" w14:textId="77777777" w:rsidR="00F11BC2" w:rsidRPr="00B21AB8" w:rsidRDefault="00F11BC2" w:rsidP="00F11BC2">
            <w:pPr>
              <w:pStyle w:val="GOSTTablenorm"/>
              <w:rPr>
                <w:szCs w:val="22"/>
                <w:highlight w:val="green"/>
              </w:rPr>
            </w:pPr>
            <w:r>
              <w:rPr>
                <w:szCs w:val="22"/>
                <w:highlight w:val="green"/>
              </w:rPr>
              <w:t>ПБС</w:t>
            </w:r>
          </w:p>
        </w:tc>
        <w:tc>
          <w:tcPr>
            <w:tcW w:w="2540" w:type="dxa"/>
          </w:tcPr>
          <w:p w14:paraId="2167F6DD" w14:textId="77777777" w:rsidR="00F11BC2" w:rsidRPr="00B21AB8" w:rsidRDefault="00F11BC2" w:rsidP="00F11BC2">
            <w:pPr>
              <w:pStyle w:val="GOSTTablenorm"/>
              <w:rPr>
                <w:szCs w:val="22"/>
                <w:highlight w:val="green"/>
              </w:rPr>
            </w:pPr>
            <w:r w:rsidRPr="00535764">
              <w:rPr>
                <w:szCs w:val="22"/>
                <w:highlight w:val="green"/>
              </w:rPr>
              <w:t>ТОФК (ПУР ЭБ)</w:t>
            </w:r>
          </w:p>
        </w:tc>
        <w:tc>
          <w:tcPr>
            <w:tcW w:w="4571" w:type="dxa"/>
          </w:tcPr>
          <w:p w14:paraId="2C7647E4" w14:textId="77777777" w:rsidR="00F11BC2" w:rsidRPr="00264D5D" w:rsidRDefault="00F11BC2" w:rsidP="00F11BC2">
            <w:pPr>
              <w:pStyle w:val="ASFKTablenorm"/>
              <w:rPr>
                <w:sz w:val="22"/>
              </w:rPr>
            </w:pPr>
          </w:p>
        </w:tc>
      </w:tr>
    </w:tbl>
    <w:p w14:paraId="25F134C6" w14:textId="77777777" w:rsidR="00AD1F54" w:rsidRPr="00264D5D" w:rsidRDefault="00941227">
      <w:pPr>
        <w:pStyle w:val="31"/>
      </w:pPr>
      <w:bookmarkStart w:id="726" w:name="_Toc219309486"/>
      <w:r w:rsidRPr="00264D5D">
        <w:t>Описание комплексного типа «tMSC_ApplCashFlow»</w:t>
      </w:r>
      <w:bookmarkEnd w:id="726"/>
    </w:p>
    <w:p w14:paraId="318263B3" w14:textId="06511FEE" w:rsidR="00AD1F54" w:rsidRPr="00264D5D" w:rsidRDefault="001E5517">
      <w:pPr>
        <w:pStyle w:val="GOSTNameTable"/>
        <w:numPr>
          <w:ilvl w:val="0"/>
          <w:numId w:val="2"/>
        </w:numPr>
        <w:spacing w:before="60"/>
        <w:ind w:left="425" w:hanging="357"/>
      </w:pPr>
      <w:r w:rsidRPr="00264D5D">
        <w:rPr>
          <w:noProof/>
        </w:rPr>
        <w:fldChar w:fldCharType="begin"/>
      </w:r>
      <w:r w:rsidRPr="00264D5D">
        <w:rPr>
          <w:noProof/>
        </w:rPr>
        <w:instrText xml:space="preserve"> SEQ Таблица \* ARABIC </w:instrText>
      </w:r>
      <w:r w:rsidRPr="00264D5D">
        <w:rPr>
          <w:noProof/>
        </w:rPr>
        <w:fldChar w:fldCharType="separate"/>
      </w:r>
      <w:bookmarkStart w:id="727" w:name="_Toc219309078"/>
      <w:r w:rsidR="008D797C">
        <w:rPr>
          <w:noProof/>
        </w:rPr>
        <w:t>48</w:t>
      </w:r>
      <w:r w:rsidRPr="00264D5D">
        <w:rPr>
          <w:noProof/>
        </w:rPr>
        <w:fldChar w:fldCharType="end"/>
      </w:r>
      <w:r w:rsidR="00941227" w:rsidRPr="00264D5D">
        <w:rPr>
          <w:rFonts w:eastAsia="Calibri"/>
          <w:szCs w:val="24"/>
        </w:rPr>
        <w:t xml:space="preserve"> – </w:t>
      </w:r>
      <w:r w:rsidR="00941227" w:rsidRPr="00264D5D">
        <w:t>Описание комплексного типа «tMSC_ApplCashFlow»</w:t>
      </w:r>
      <w:bookmarkEnd w:id="727"/>
    </w:p>
    <w:tbl>
      <w:tblPr>
        <w:tblStyle w:val="GOSTTable"/>
        <w:tblW w:w="5000" w:type="pct"/>
        <w:tblLayout w:type="fixed"/>
        <w:tblLook w:val="01E0" w:firstRow="1" w:lastRow="1" w:firstColumn="1" w:lastColumn="1" w:noHBand="0" w:noVBand="0"/>
      </w:tblPr>
      <w:tblGrid>
        <w:gridCol w:w="1705"/>
        <w:gridCol w:w="1702"/>
        <w:gridCol w:w="567"/>
        <w:gridCol w:w="1137"/>
        <w:gridCol w:w="567"/>
        <w:gridCol w:w="3972"/>
      </w:tblGrid>
      <w:tr w:rsidR="00AD1F54" w:rsidRPr="00264D5D" w14:paraId="57D3CEBD"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883" w:type="pct"/>
          </w:tcPr>
          <w:p w14:paraId="7237A6B6" w14:textId="77777777" w:rsidR="00AD1F54" w:rsidRPr="00264D5D" w:rsidRDefault="00941227">
            <w:pPr>
              <w:pStyle w:val="ASFKTableHead"/>
            </w:pPr>
            <w:r w:rsidRPr="00264D5D">
              <w:t>Наименование элемента</w:t>
            </w:r>
          </w:p>
        </w:tc>
        <w:tc>
          <w:tcPr>
            <w:tcW w:w="882" w:type="pct"/>
          </w:tcPr>
          <w:p w14:paraId="5C038868" w14:textId="77777777" w:rsidR="00AD1F54" w:rsidRPr="00264D5D" w:rsidRDefault="00941227">
            <w:pPr>
              <w:pStyle w:val="ASFKTableHead"/>
            </w:pPr>
            <w:r w:rsidRPr="00264D5D">
              <w:t>Сокращенное наименование (код) элемента</w:t>
            </w:r>
          </w:p>
        </w:tc>
        <w:tc>
          <w:tcPr>
            <w:tcW w:w="294" w:type="pct"/>
          </w:tcPr>
          <w:p w14:paraId="0E94D407" w14:textId="77777777" w:rsidR="00AD1F54" w:rsidRPr="00264D5D" w:rsidRDefault="00941227">
            <w:pPr>
              <w:pStyle w:val="ASFKTableHead"/>
            </w:pPr>
            <w:r w:rsidRPr="00264D5D">
              <w:t>Тип</w:t>
            </w:r>
          </w:p>
        </w:tc>
        <w:tc>
          <w:tcPr>
            <w:tcW w:w="589" w:type="pct"/>
          </w:tcPr>
          <w:p w14:paraId="7E96C6A3" w14:textId="77777777" w:rsidR="00AD1F54" w:rsidRPr="00264D5D" w:rsidRDefault="00941227">
            <w:pPr>
              <w:pStyle w:val="ASFKTableHead"/>
            </w:pPr>
            <w:r w:rsidRPr="00264D5D">
              <w:t>Формат элемента</w:t>
            </w:r>
          </w:p>
        </w:tc>
        <w:tc>
          <w:tcPr>
            <w:tcW w:w="294" w:type="pct"/>
          </w:tcPr>
          <w:p w14:paraId="794F60F5" w14:textId="77777777" w:rsidR="00AD1F54" w:rsidRPr="00264D5D" w:rsidRDefault="00941227">
            <w:pPr>
              <w:pStyle w:val="ASFKTableHead"/>
            </w:pPr>
            <w:r w:rsidRPr="00264D5D">
              <w:t>Обязательность</w:t>
            </w:r>
          </w:p>
        </w:tc>
        <w:tc>
          <w:tcPr>
            <w:tcW w:w="2058" w:type="pct"/>
          </w:tcPr>
          <w:p w14:paraId="7547A00B" w14:textId="77777777" w:rsidR="00AD1F54" w:rsidRPr="00264D5D" w:rsidRDefault="00941227">
            <w:pPr>
              <w:pStyle w:val="ASFKTableHead"/>
            </w:pPr>
            <w:r w:rsidRPr="00264D5D">
              <w:t>Дополнительная информация</w:t>
            </w:r>
          </w:p>
        </w:tc>
      </w:tr>
      <w:tr w:rsidR="00AD1F54" w:rsidRPr="00264D5D" w14:paraId="1508EDFB" w14:textId="77777777" w:rsidTr="00AD1F54">
        <w:trPr>
          <w:cnfStyle w:val="000000100000" w:firstRow="0" w:lastRow="0" w:firstColumn="0" w:lastColumn="0" w:oddVBand="0" w:evenVBand="0" w:oddHBand="1" w:evenHBand="0" w:firstRowFirstColumn="0" w:firstRowLastColumn="0" w:lastRowFirstColumn="0" w:lastRowLastColumn="0"/>
        </w:trPr>
        <w:tc>
          <w:tcPr>
            <w:tcW w:w="883" w:type="pct"/>
          </w:tcPr>
          <w:p w14:paraId="73AF1587" w14:textId="77777777" w:rsidR="00AD1F54" w:rsidRPr="00264D5D" w:rsidRDefault="00941227">
            <w:pPr>
              <w:pStyle w:val="GOSTTablenorm"/>
              <w:rPr>
                <w:szCs w:val="22"/>
              </w:rPr>
            </w:pPr>
            <w:r w:rsidRPr="00264D5D">
              <w:t>Версия структуры формуляра</w:t>
            </w:r>
          </w:p>
        </w:tc>
        <w:tc>
          <w:tcPr>
            <w:tcW w:w="882" w:type="pct"/>
          </w:tcPr>
          <w:p w14:paraId="1ED9D953" w14:textId="77777777" w:rsidR="00AD1F54" w:rsidRPr="00264D5D" w:rsidRDefault="00941227">
            <w:pPr>
              <w:pStyle w:val="GOSTTablenorm"/>
              <w:rPr>
                <w:szCs w:val="22"/>
              </w:rPr>
            </w:pPr>
            <w:r w:rsidRPr="00264D5D">
              <w:t>versionID</w:t>
            </w:r>
          </w:p>
        </w:tc>
        <w:tc>
          <w:tcPr>
            <w:tcW w:w="294" w:type="pct"/>
          </w:tcPr>
          <w:p w14:paraId="2673139B" w14:textId="77777777" w:rsidR="00AD1F54" w:rsidRPr="00264D5D" w:rsidRDefault="00941227">
            <w:pPr>
              <w:pStyle w:val="GOSTTablenorm"/>
              <w:jc w:val="center"/>
              <w:rPr>
                <w:szCs w:val="22"/>
              </w:rPr>
            </w:pPr>
            <w:r w:rsidRPr="00264D5D">
              <w:rPr>
                <w:lang w:val="en-US"/>
              </w:rPr>
              <w:t>А</w:t>
            </w:r>
          </w:p>
        </w:tc>
        <w:tc>
          <w:tcPr>
            <w:tcW w:w="589" w:type="pct"/>
          </w:tcPr>
          <w:p w14:paraId="27C3DB9B" w14:textId="77777777" w:rsidR="00AD1F54" w:rsidRPr="00264D5D" w:rsidRDefault="00941227">
            <w:pPr>
              <w:pStyle w:val="GOSTTablenorm"/>
              <w:rPr>
                <w:szCs w:val="22"/>
              </w:rPr>
            </w:pPr>
            <w:r w:rsidRPr="00264D5D">
              <w:t>-</w:t>
            </w:r>
          </w:p>
        </w:tc>
        <w:tc>
          <w:tcPr>
            <w:tcW w:w="294" w:type="pct"/>
          </w:tcPr>
          <w:p w14:paraId="1FCC88ED" w14:textId="77777777" w:rsidR="00AD1F54" w:rsidRPr="00264D5D" w:rsidRDefault="00941227">
            <w:pPr>
              <w:pStyle w:val="GOSTTablenorm"/>
              <w:jc w:val="center"/>
              <w:rPr>
                <w:szCs w:val="22"/>
              </w:rPr>
            </w:pPr>
            <w:r w:rsidRPr="00264D5D">
              <w:t>О</w:t>
            </w:r>
          </w:p>
        </w:tc>
        <w:tc>
          <w:tcPr>
            <w:tcW w:w="2058" w:type="pct"/>
          </w:tcPr>
          <w:p w14:paraId="04ADA7BF" w14:textId="63283EC6" w:rsidR="00AD1F54" w:rsidRPr="00264D5D" w:rsidRDefault="00941227">
            <w:pPr>
              <w:pStyle w:val="GOSTTablenorm"/>
              <w:rPr>
                <w:szCs w:val="22"/>
              </w:rPr>
            </w:pPr>
            <w:r w:rsidRPr="00264D5D">
              <w:rPr>
                <w:szCs w:val="22"/>
                <w:lang w:eastAsia="en-US"/>
              </w:rPr>
              <w:t xml:space="preserve">Указывается значение версии, соответствующее таблице </w:t>
            </w:r>
            <w:r w:rsidRPr="00264D5D">
              <w:rPr>
                <w:b/>
                <w:szCs w:val="22"/>
              </w:rPr>
              <w:fldChar w:fldCharType="begin"/>
            </w:r>
            <w:r w:rsidRPr="00264D5D">
              <w:rPr>
                <w:b/>
                <w:szCs w:val="22"/>
                <w:lang w:eastAsia="en-US"/>
              </w:rPr>
              <w:instrText xml:space="preserve"> REF _Ref19881821 \h </w:instrText>
            </w:r>
            <w:r w:rsidRPr="00264D5D">
              <w:rPr>
                <w:b/>
                <w:szCs w:val="22"/>
              </w:rPr>
              <w:instrText xml:space="preserve"> \* MERGEFORMAT </w:instrText>
            </w:r>
            <w:r w:rsidRPr="00264D5D">
              <w:rPr>
                <w:b/>
                <w:szCs w:val="22"/>
              </w:rPr>
            </w:r>
            <w:r w:rsidRPr="00264D5D">
              <w:rPr>
                <w:b/>
                <w:szCs w:val="22"/>
              </w:rPr>
              <w:fldChar w:fldCharType="separate"/>
            </w:r>
            <w:r w:rsidR="008D797C" w:rsidRPr="008D797C">
              <w:rPr>
                <w:rFonts w:eastAsia="Calibri"/>
                <w:b/>
                <w:szCs w:val="24"/>
              </w:rPr>
              <w:t>2</w:t>
            </w:r>
            <w:r w:rsidRPr="00264D5D">
              <w:rPr>
                <w:b/>
                <w:szCs w:val="22"/>
              </w:rPr>
              <w:fldChar w:fldCharType="end"/>
            </w:r>
          </w:p>
        </w:tc>
      </w:tr>
      <w:tr w:rsidR="00AD1F54" w:rsidRPr="00264D5D" w14:paraId="16CB9747" w14:textId="77777777" w:rsidTr="00AD1F54">
        <w:trPr>
          <w:cnfStyle w:val="000000010000" w:firstRow="0" w:lastRow="0" w:firstColumn="0" w:lastColumn="0" w:oddVBand="0" w:evenVBand="0" w:oddHBand="0" w:evenHBand="1" w:firstRowFirstColumn="0" w:firstRowLastColumn="0" w:lastRowFirstColumn="0" w:lastRowLastColumn="0"/>
        </w:trPr>
        <w:tc>
          <w:tcPr>
            <w:tcW w:w="883" w:type="pct"/>
          </w:tcPr>
          <w:p w14:paraId="129E7461" w14:textId="77777777" w:rsidR="00AD1F54" w:rsidRPr="00264D5D" w:rsidRDefault="00941227">
            <w:pPr>
              <w:pStyle w:val="GOSTTablenorm"/>
              <w:rPr>
                <w:szCs w:val="22"/>
              </w:rPr>
            </w:pPr>
            <w:r w:rsidRPr="00264D5D">
              <w:rPr>
                <w:szCs w:val="22"/>
              </w:rPr>
              <w:t>Номер заявки</w:t>
            </w:r>
          </w:p>
        </w:tc>
        <w:tc>
          <w:tcPr>
            <w:tcW w:w="882" w:type="pct"/>
          </w:tcPr>
          <w:p w14:paraId="63E35792" w14:textId="77777777" w:rsidR="00AD1F54" w:rsidRPr="00264D5D" w:rsidRDefault="00941227">
            <w:pPr>
              <w:pStyle w:val="GOSTTablenorm"/>
              <w:rPr>
                <w:szCs w:val="22"/>
              </w:rPr>
            </w:pPr>
            <w:r w:rsidRPr="00264D5D">
              <w:rPr>
                <w:szCs w:val="22"/>
              </w:rPr>
              <w:t>ZR_RqstNm</w:t>
            </w:r>
          </w:p>
        </w:tc>
        <w:tc>
          <w:tcPr>
            <w:tcW w:w="294" w:type="pct"/>
          </w:tcPr>
          <w:p w14:paraId="23A36DEF" w14:textId="77777777" w:rsidR="00AD1F54" w:rsidRPr="00264D5D" w:rsidRDefault="00941227">
            <w:pPr>
              <w:pStyle w:val="GOSTTablenorm"/>
              <w:jc w:val="center"/>
              <w:rPr>
                <w:szCs w:val="22"/>
              </w:rPr>
            </w:pPr>
            <w:r w:rsidRPr="00264D5D">
              <w:rPr>
                <w:szCs w:val="22"/>
              </w:rPr>
              <w:t>П</w:t>
            </w:r>
          </w:p>
        </w:tc>
        <w:tc>
          <w:tcPr>
            <w:tcW w:w="589" w:type="pct"/>
          </w:tcPr>
          <w:p w14:paraId="4FBD20E5" w14:textId="77777777" w:rsidR="00AD1F54" w:rsidRPr="00264D5D" w:rsidRDefault="00941227">
            <w:pPr>
              <w:pStyle w:val="GOSTTablenorm"/>
              <w:rPr>
                <w:szCs w:val="22"/>
              </w:rPr>
            </w:pPr>
            <w:r w:rsidRPr="00264D5D">
              <w:rPr>
                <w:szCs w:val="22"/>
              </w:rPr>
              <w:t>Т(1-15)</w:t>
            </w:r>
          </w:p>
        </w:tc>
        <w:tc>
          <w:tcPr>
            <w:tcW w:w="294" w:type="pct"/>
          </w:tcPr>
          <w:p w14:paraId="25A3DE70" w14:textId="77777777" w:rsidR="00AD1F54" w:rsidRPr="00264D5D" w:rsidRDefault="00941227">
            <w:pPr>
              <w:pStyle w:val="GOSTTablenorm"/>
              <w:jc w:val="center"/>
              <w:rPr>
                <w:szCs w:val="22"/>
              </w:rPr>
            </w:pPr>
            <w:r w:rsidRPr="00264D5D">
              <w:rPr>
                <w:szCs w:val="22"/>
              </w:rPr>
              <w:t>O</w:t>
            </w:r>
          </w:p>
        </w:tc>
        <w:tc>
          <w:tcPr>
            <w:tcW w:w="2058" w:type="pct"/>
          </w:tcPr>
          <w:p w14:paraId="1A994216" w14:textId="77777777" w:rsidR="00BA58C1" w:rsidRPr="00264D5D" w:rsidRDefault="00941227">
            <w:pPr>
              <w:pStyle w:val="GOSTTablenorm"/>
              <w:rPr>
                <w:szCs w:val="22"/>
              </w:rPr>
            </w:pPr>
            <w:r w:rsidRPr="00264D5D">
              <w:rPr>
                <w:szCs w:val="22"/>
              </w:rPr>
              <w:t xml:space="preserve">Указывается номер заявки на кассовый расход. </w:t>
            </w:r>
          </w:p>
          <w:p w14:paraId="0488FFD7" w14:textId="77777777" w:rsidR="00AD1F54" w:rsidRPr="00264D5D" w:rsidRDefault="00941227">
            <w:pPr>
              <w:pStyle w:val="GOSTTablenorm"/>
              <w:rPr>
                <w:szCs w:val="22"/>
              </w:rPr>
            </w:pPr>
            <w:r w:rsidRPr="00264D5D">
              <w:rPr>
                <w:szCs w:val="22"/>
              </w:rPr>
              <w:t>Номер должен быть уникален в пределах даты, за которую сфор</w:t>
            </w:r>
            <w:r w:rsidR="00BA58C1" w:rsidRPr="00264D5D">
              <w:rPr>
                <w:szCs w:val="22"/>
              </w:rPr>
              <w:t>мирован документ</w:t>
            </w:r>
          </w:p>
        </w:tc>
      </w:tr>
      <w:tr w:rsidR="00AD1F54" w:rsidRPr="00264D5D" w14:paraId="343D35B6" w14:textId="77777777" w:rsidTr="00AD1F54">
        <w:trPr>
          <w:cnfStyle w:val="000000100000" w:firstRow="0" w:lastRow="0" w:firstColumn="0" w:lastColumn="0" w:oddVBand="0" w:evenVBand="0" w:oddHBand="1" w:evenHBand="0" w:firstRowFirstColumn="0" w:firstRowLastColumn="0" w:lastRowFirstColumn="0" w:lastRowLastColumn="0"/>
        </w:trPr>
        <w:tc>
          <w:tcPr>
            <w:tcW w:w="883" w:type="pct"/>
          </w:tcPr>
          <w:p w14:paraId="1B772CCD" w14:textId="77777777" w:rsidR="00AD1F54" w:rsidRPr="00264D5D" w:rsidRDefault="00941227">
            <w:pPr>
              <w:pStyle w:val="GOSTTablenorm"/>
              <w:rPr>
                <w:szCs w:val="22"/>
              </w:rPr>
            </w:pPr>
            <w:r w:rsidRPr="00264D5D">
              <w:rPr>
                <w:szCs w:val="22"/>
              </w:rPr>
              <w:t>Информация о клиенте</w:t>
            </w:r>
          </w:p>
        </w:tc>
        <w:tc>
          <w:tcPr>
            <w:tcW w:w="882" w:type="pct"/>
          </w:tcPr>
          <w:p w14:paraId="45FE7C2E" w14:textId="77777777" w:rsidR="00AD1F54" w:rsidRPr="00264D5D" w:rsidRDefault="00941227">
            <w:pPr>
              <w:pStyle w:val="GOSTTablenorm"/>
              <w:rPr>
                <w:szCs w:val="22"/>
              </w:rPr>
            </w:pPr>
            <w:r w:rsidRPr="00264D5D">
              <w:rPr>
                <w:szCs w:val="22"/>
              </w:rPr>
              <w:t>ZR_MSC_Cstmr</w:t>
            </w:r>
          </w:p>
        </w:tc>
        <w:tc>
          <w:tcPr>
            <w:tcW w:w="294" w:type="pct"/>
          </w:tcPr>
          <w:p w14:paraId="4EEEC408" w14:textId="77777777" w:rsidR="00AD1F54" w:rsidRPr="00264D5D" w:rsidRDefault="00941227">
            <w:pPr>
              <w:pStyle w:val="GOSTTablenorm"/>
              <w:jc w:val="center"/>
              <w:rPr>
                <w:szCs w:val="22"/>
              </w:rPr>
            </w:pPr>
            <w:r w:rsidRPr="00264D5D">
              <w:rPr>
                <w:szCs w:val="22"/>
              </w:rPr>
              <w:t>С</w:t>
            </w:r>
          </w:p>
        </w:tc>
        <w:tc>
          <w:tcPr>
            <w:tcW w:w="589" w:type="pct"/>
          </w:tcPr>
          <w:p w14:paraId="38E34026" w14:textId="77777777" w:rsidR="00AD1F54" w:rsidRPr="00264D5D" w:rsidRDefault="00941227">
            <w:pPr>
              <w:pStyle w:val="GOSTTablenorm"/>
              <w:rPr>
                <w:szCs w:val="22"/>
              </w:rPr>
            </w:pPr>
            <w:r w:rsidRPr="00264D5D">
              <w:rPr>
                <w:szCs w:val="22"/>
              </w:rPr>
              <w:t>tMSC_Cstmr5</w:t>
            </w:r>
          </w:p>
        </w:tc>
        <w:tc>
          <w:tcPr>
            <w:tcW w:w="294" w:type="pct"/>
          </w:tcPr>
          <w:p w14:paraId="0120B219" w14:textId="77777777" w:rsidR="00AD1F54" w:rsidRPr="00264D5D" w:rsidRDefault="00941227">
            <w:pPr>
              <w:pStyle w:val="GOSTTablenorm"/>
              <w:jc w:val="center"/>
              <w:rPr>
                <w:szCs w:val="22"/>
              </w:rPr>
            </w:pPr>
            <w:r w:rsidRPr="00264D5D">
              <w:rPr>
                <w:szCs w:val="22"/>
              </w:rPr>
              <w:t>О</w:t>
            </w:r>
          </w:p>
        </w:tc>
        <w:tc>
          <w:tcPr>
            <w:tcW w:w="2058" w:type="pct"/>
          </w:tcPr>
          <w:p w14:paraId="5E5D16B6" w14:textId="16D32F85" w:rsidR="00AD1F54" w:rsidRPr="00264D5D" w:rsidRDefault="00941227">
            <w:pPr>
              <w:pStyle w:val="GOSTTablenorm"/>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_Ref503521953 \h  \* MERGEFORMAT </w:instrText>
            </w:r>
            <w:r w:rsidRPr="00264D5D">
              <w:rPr>
                <w:b/>
                <w:szCs w:val="22"/>
              </w:rPr>
            </w:r>
            <w:r w:rsidRPr="00264D5D">
              <w:rPr>
                <w:b/>
                <w:szCs w:val="22"/>
              </w:rPr>
              <w:fldChar w:fldCharType="separate"/>
            </w:r>
            <w:r w:rsidR="008D797C" w:rsidRPr="008D797C">
              <w:rPr>
                <w:b/>
                <w:szCs w:val="22"/>
              </w:rPr>
              <w:t>49</w:t>
            </w:r>
            <w:r w:rsidRPr="00264D5D">
              <w:rPr>
                <w:b/>
                <w:szCs w:val="22"/>
              </w:rPr>
              <w:fldChar w:fldCharType="end"/>
            </w:r>
          </w:p>
        </w:tc>
      </w:tr>
      <w:tr w:rsidR="00AD1F54" w:rsidRPr="00264D5D" w14:paraId="388235C3" w14:textId="77777777" w:rsidTr="00AD1F54">
        <w:trPr>
          <w:cnfStyle w:val="000000010000" w:firstRow="0" w:lastRow="0" w:firstColumn="0" w:lastColumn="0" w:oddVBand="0" w:evenVBand="0" w:oddHBand="0" w:evenHBand="1" w:firstRowFirstColumn="0" w:firstRowLastColumn="0" w:lastRowFirstColumn="0" w:lastRowLastColumn="0"/>
        </w:trPr>
        <w:tc>
          <w:tcPr>
            <w:tcW w:w="883" w:type="pct"/>
          </w:tcPr>
          <w:p w14:paraId="2B425425" w14:textId="77777777" w:rsidR="00AD1F54" w:rsidRPr="00264D5D" w:rsidRDefault="00941227">
            <w:pPr>
              <w:pStyle w:val="GOSTTablenorm"/>
              <w:rPr>
                <w:szCs w:val="22"/>
              </w:rPr>
            </w:pPr>
            <w:r w:rsidRPr="00264D5D">
              <w:rPr>
                <w:szCs w:val="22"/>
              </w:rPr>
              <w:t>Информация о ГРБС</w:t>
            </w:r>
          </w:p>
        </w:tc>
        <w:tc>
          <w:tcPr>
            <w:tcW w:w="882" w:type="pct"/>
          </w:tcPr>
          <w:p w14:paraId="2AA2DECB" w14:textId="77777777" w:rsidR="00AD1F54" w:rsidRPr="00264D5D" w:rsidRDefault="00941227">
            <w:pPr>
              <w:pStyle w:val="GOSTTablenorm"/>
              <w:rPr>
                <w:szCs w:val="22"/>
              </w:rPr>
            </w:pPr>
            <w:r w:rsidRPr="00264D5D">
              <w:rPr>
                <w:szCs w:val="22"/>
              </w:rPr>
              <w:t>ZR_MSC_GRBS</w:t>
            </w:r>
          </w:p>
        </w:tc>
        <w:tc>
          <w:tcPr>
            <w:tcW w:w="294" w:type="pct"/>
          </w:tcPr>
          <w:p w14:paraId="4549D2EF" w14:textId="77777777" w:rsidR="00AD1F54" w:rsidRPr="00264D5D" w:rsidRDefault="00941227">
            <w:pPr>
              <w:pStyle w:val="GOSTTablenorm"/>
              <w:jc w:val="center"/>
              <w:rPr>
                <w:szCs w:val="22"/>
              </w:rPr>
            </w:pPr>
            <w:r w:rsidRPr="00264D5D">
              <w:rPr>
                <w:szCs w:val="22"/>
              </w:rPr>
              <w:t>С</w:t>
            </w:r>
          </w:p>
        </w:tc>
        <w:tc>
          <w:tcPr>
            <w:tcW w:w="589" w:type="pct"/>
          </w:tcPr>
          <w:p w14:paraId="3C2DF5B6" w14:textId="77777777" w:rsidR="00AD1F54" w:rsidRPr="00264D5D" w:rsidRDefault="00941227">
            <w:pPr>
              <w:pStyle w:val="GOSTTablenorm"/>
              <w:rPr>
                <w:szCs w:val="22"/>
              </w:rPr>
            </w:pPr>
            <w:r w:rsidRPr="00264D5D">
              <w:rPr>
                <w:szCs w:val="22"/>
              </w:rPr>
              <w:t>tMSC_GRBS</w:t>
            </w:r>
          </w:p>
        </w:tc>
        <w:tc>
          <w:tcPr>
            <w:tcW w:w="294" w:type="pct"/>
          </w:tcPr>
          <w:p w14:paraId="4A382D9E" w14:textId="77777777" w:rsidR="00AD1F54" w:rsidRPr="00264D5D" w:rsidRDefault="00941227">
            <w:pPr>
              <w:pStyle w:val="GOSTTablenorm"/>
              <w:jc w:val="center"/>
              <w:rPr>
                <w:szCs w:val="22"/>
              </w:rPr>
            </w:pPr>
            <w:r w:rsidRPr="00264D5D">
              <w:rPr>
                <w:szCs w:val="22"/>
              </w:rPr>
              <w:t>О</w:t>
            </w:r>
          </w:p>
        </w:tc>
        <w:tc>
          <w:tcPr>
            <w:tcW w:w="2058" w:type="pct"/>
          </w:tcPr>
          <w:p w14:paraId="683AF2D1" w14:textId="7D3E075C" w:rsidR="00AD1F54" w:rsidRPr="00264D5D" w:rsidRDefault="00941227">
            <w:pPr>
              <w:pStyle w:val="GOSTTablenorm"/>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_Ref503522254 \h  \* MERGEFORMAT </w:instrText>
            </w:r>
            <w:r w:rsidRPr="00264D5D">
              <w:rPr>
                <w:b/>
                <w:szCs w:val="22"/>
              </w:rPr>
            </w:r>
            <w:r w:rsidRPr="00264D5D">
              <w:rPr>
                <w:b/>
                <w:szCs w:val="22"/>
              </w:rPr>
              <w:fldChar w:fldCharType="separate"/>
            </w:r>
            <w:r w:rsidR="008D797C" w:rsidRPr="008D797C">
              <w:rPr>
                <w:b/>
                <w:szCs w:val="22"/>
              </w:rPr>
              <w:t>50</w:t>
            </w:r>
            <w:r w:rsidRPr="00264D5D">
              <w:rPr>
                <w:b/>
                <w:szCs w:val="22"/>
              </w:rPr>
              <w:fldChar w:fldCharType="end"/>
            </w:r>
          </w:p>
        </w:tc>
      </w:tr>
      <w:tr w:rsidR="00AD1F54" w:rsidRPr="00264D5D" w14:paraId="1A78E0A7" w14:textId="77777777" w:rsidTr="00AD1F54">
        <w:trPr>
          <w:cnfStyle w:val="000000100000" w:firstRow="0" w:lastRow="0" w:firstColumn="0" w:lastColumn="0" w:oddVBand="0" w:evenVBand="0" w:oddHBand="1" w:evenHBand="0" w:firstRowFirstColumn="0" w:firstRowLastColumn="0" w:lastRowFirstColumn="0" w:lastRowLastColumn="0"/>
        </w:trPr>
        <w:tc>
          <w:tcPr>
            <w:tcW w:w="883" w:type="pct"/>
          </w:tcPr>
          <w:p w14:paraId="76553AA6" w14:textId="77777777" w:rsidR="00AD1F54" w:rsidRPr="00264D5D" w:rsidRDefault="00941227">
            <w:pPr>
              <w:pStyle w:val="GOSTTablenorm"/>
              <w:rPr>
                <w:szCs w:val="22"/>
              </w:rPr>
            </w:pPr>
            <w:r w:rsidRPr="00264D5D">
              <w:rPr>
                <w:szCs w:val="22"/>
              </w:rPr>
              <w:t>Организация</w:t>
            </w:r>
          </w:p>
        </w:tc>
        <w:tc>
          <w:tcPr>
            <w:tcW w:w="882" w:type="pct"/>
          </w:tcPr>
          <w:p w14:paraId="3EB7F714" w14:textId="77777777" w:rsidR="00AD1F54" w:rsidRPr="00264D5D" w:rsidRDefault="00941227">
            <w:pPr>
              <w:pStyle w:val="GOSTTablenorm"/>
              <w:rPr>
                <w:szCs w:val="22"/>
              </w:rPr>
            </w:pPr>
            <w:r w:rsidRPr="00264D5D">
              <w:rPr>
                <w:szCs w:val="22"/>
              </w:rPr>
              <w:t>ZR_MSC_Orgnztn</w:t>
            </w:r>
          </w:p>
        </w:tc>
        <w:tc>
          <w:tcPr>
            <w:tcW w:w="294" w:type="pct"/>
          </w:tcPr>
          <w:p w14:paraId="328E8F03" w14:textId="77777777" w:rsidR="00AD1F54" w:rsidRPr="00264D5D" w:rsidRDefault="00941227">
            <w:pPr>
              <w:pStyle w:val="GOSTTablenorm"/>
              <w:jc w:val="center"/>
              <w:rPr>
                <w:szCs w:val="22"/>
              </w:rPr>
            </w:pPr>
            <w:r w:rsidRPr="00264D5D">
              <w:rPr>
                <w:szCs w:val="22"/>
              </w:rPr>
              <w:t>С</w:t>
            </w:r>
          </w:p>
        </w:tc>
        <w:tc>
          <w:tcPr>
            <w:tcW w:w="589" w:type="pct"/>
          </w:tcPr>
          <w:p w14:paraId="22112A47" w14:textId="77777777" w:rsidR="00AD1F54" w:rsidRPr="00264D5D" w:rsidRDefault="00941227">
            <w:pPr>
              <w:pStyle w:val="GOSTTablenorm"/>
              <w:rPr>
                <w:szCs w:val="22"/>
              </w:rPr>
            </w:pPr>
            <w:r w:rsidRPr="00264D5D">
              <w:rPr>
                <w:szCs w:val="22"/>
              </w:rPr>
              <w:t>tMSC_Orgnztn</w:t>
            </w:r>
          </w:p>
        </w:tc>
        <w:tc>
          <w:tcPr>
            <w:tcW w:w="294" w:type="pct"/>
          </w:tcPr>
          <w:p w14:paraId="078FA483" w14:textId="77777777" w:rsidR="00AD1F54" w:rsidRPr="00264D5D" w:rsidRDefault="00941227">
            <w:pPr>
              <w:pStyle w:val="GOSTTablenorm"/>
              <w:jc w:val="center"/>
              <w:rPr>
                <w:szCs w:val="22"/>
              </w:rPr>
            </w:pPr>
            <w:r w:rsidRPr="00264D5D">
              <w:rPr>
                <w:szCs w:val="22"/>
              </w:rPr>
              <w:t>О</w:t>
            </w:r>
          </w:p>
        </w:tc>
        <w:tc>
          <w:tcPr>
            <w:tcW w:w="2058" w:type="pct"/>
          </w:tcPr>
          <w:p w14:paraId="2CA6EA57" w14:textId="3303F857" w:rsidR="00AD1F54" w:rsidRPr="00264D5D" w:rsidRDefault="00941227">
            <w:pPr>
              <w:pStyle w:val="GOSTTablenorm"/>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_Ref524613126 \h  \* MERGEFORMAT </w:instrText>
            </w:r>
            <w:r w:rsidRPr="00264D5D">
              <w:rPr>
                <w:b/>
                <w:szCs w:val="22"/>
              </w:rPr>
            </w:r>
            <w:r w:rsidRPr="00264D5D">
              <w:rPr>
                <w:b/>
                <w:szCs w:val="22"/>
              </w:rPr>
              <w:fldChar w:fldCharType="separate"/>
            </w:r>
            <w:r w:rsidR="008D797C" w:rsidRPr="008D797C">
              <w:rPr>
                <w:b/>
                <w:szCs w:val="22"/>
              </w:rPr>
              <w:t>51</w:t>
            </w:r>
            <w:r w:rsidRPr="00264D5D">
              <w:rPr>
                <w:b/>
                <w:szCs w:val="22"/>
              </w:rPr>
              <w:fldChar w:fldCharType="end"/>
            </w:r>
          </w:p>
        </w:tc>
      </w:tr>
      <w:tr w:rsidR="00AD1F54" w:rsidRPr="00264D5D" w14:paraId="1465DE01" w14:textId="77777777" w:rsidTr="00AD1F54">
        <w:trPr>
          <w:cnfStyle w:val="000000010000" w:firstRow="0" w:lastRow="0" w:firstColumn="0" w:lastColumn="0" w:oddVBand="0" w:evenVBand="0" w:oddHBand="0" w:evenHBand="1" w:firstRowFirstColumn="0" w:firstRowLastColumn="0" w:lastRowFirstColumn="0" w:lastRowLastColumn="0"/>
        </w:trPr>
        <w:tc>
          <w:tcPr>
            <w:tcW w:w="883" w:type="pct"/>
          </w:tcPr>
          <w:p w14:paraId="2A4F205D" w14:textId="77777777" w:rsidR="00AD1F54" w:rsidRPr="00264D5D" w:rsidRDefault="00941227">
            <w:pPr>
              <w:pStyle w:val="GOSTTablenorm"/>
              <w:rPr>
                <w:szCs w:val="22"/>
              </w:rPr>
            </w:pPr>
            <w:r w:rsidRPr="00264D5D">
              <w:rPr>
                <w:szCs w:val="22"/>
              </w:rPr>
              <w:t>Предельная дата исполнения</w:t>
            </w:r>
          </w:p>
        </w:tc>
        <w:tc>
          <w:tcPr>
            <w:tcW w:w="882" w:type="pct"/>
          </w:tcPr>
          <w:p w14:paraId="38996461" w14:textId="77777777" w:rsidR="00AD1F54" w:rsidRPr="00264D5D" w:rsidRDefault="00941227">
            <w:pPr>
              <w:pStyle w:val="GOSTTablenorm"/>
              <w:rPr>
                <w:szCs w:val="22"/>
              </w:rPr>
            </w:pPr>
            <w:r w:rsidRPr="00264D5D">
              <w:rPr>
                <w:szCs w:val="22"/>
              </w:rPr>
              <w:t>ZR_DctDtISP</w:t>
            </w:r>
          </w:p>
        </w:tc>
        <w:tc>
          <w:tcPr>
            <w:tcW w:w="294" w:type="pct"/>
          </w:tcPr>
          <w:p w14:paraId="6FACB9D9" w14:textId="77777777" w:rsidR="00AD1F54" w:rsidRPr="00264D5D" w:rsidRDefault="00941227">
            <w:pPr>
              <w:pStyle w:val="GOSTTablenorm"/>
              <w:jc w:val="center"/>
              <w:rPr>
                <w:szCs w:val="22"/>
              </w:rPr>
            </w:pPr>
            <w:r w:rsidRPr="00264D5D">
              <w:rPr>
                <w:szCs w:val="22"/>
              </w:rPr>
              <w:t>П</w:t>
            </w:r>
          </w:p>
        </w:tc>
        <w:tc>
          <w:tcPr>
            <w:tcW w:w="589" w:type="pct"/>
          </w:tcPr>
          <w:p w14:paraId="5062A727" w14:textId="77777777" w:rsidR="00AD1F54" w:rsidRPr="00264D5D" w:rsidRDefault="00941227">
            <w:pPr>
              <w:pStyle w:val="GOSTTablenorm"/>
              <w:rPr>
                <w:szCs w:val="22"/>
              </w:rPr>
            </w:pPr>
            <w:r w:rsidRPr="00264D5D">
              <w:rPr>
                <w:szCs w:val="22"/>
                <w:lang w:val="en-US"/>
              </w:rPr>
              <w:t>D</w:t>
            </w:r>
            <w:r w:rsidRPr="00264D5D">
              <w:rPr>
                <w:szCs w:val="22"/>
              </w:rPr>
              <w:t>ate</w:t>
            </w:r>
          </w:p>
        </w:tc>
        <w:tc>
          <w:tcPr>
            <w:tcW w:w="294" w:type="pct"/>
          </w:tcPr>
          <w:p w14:paraId="73B35D9B" w14:textId="77777777" w:rsidR="00AD1F54" w:rsidRPr="00264D5D" w:rsidRDefault="00941227">
            <w:pPr>
              <w:pStyle w:val="GOSTTablenorm"/>
              <w:jc w:val="center"/>
              <w:rPr>
                <w:szCs w:val="22"/>
              </w:rPr>
            </w:pPr>
            <w:r w:rsidRPr="00264D5D">
              <w:rPr>
                <w:szCs w:val="22"/>
              </w:rPr>
              <w:t>Н</w:t>
            </w:r>
          </w:p>
        </w:tc>
        <w:tc>
          <w:tcPr>
            <w:tcW w:w="2058" w:type="pct"/>
          </w:tcPr>
          <w:p w14:paraId="431AE65D" w14:textId="77777777" w:rsidR="00BA58C1" w:rsidRPr="00264D5D" w:rsidRDefault="00941227">
            <w:pPr>
              <w:pStyle w:val="GOSTTablenorm"/>
              <w:rPr>
                <w:szCs w:val="22"/>
              </w:rPr>
            </w:pPr>
            <w:r w:rsidRPr="00264D5D">
              <w:rPr>
                <w:szCs w:val="22"/>
              </w:rPr>
              <w:t xml:space="preserve">Указывается предельная дата исполнения заявки. </w:t>
            </w:r>
          </w:p>
          <w:p w14:paraId="7A045CB7" w14:textId="77777777" w:rsidR="00AD1F54" w:rsidRPr="00264D5D" w:rsidRDefault="00941227">
            <w:pPr>
              <w:pStyle w:val="GOSTTablenorm"/>
              <w:rPr>
                <w:szCs w:val="22"/>
              </w:rPr>
            </w:pPr>
            <w:r w:rsidRPr="00264D5D">
              <w:rPr>
                <w:szCs w:val="22"/>
              </w:rPr>
              <w:t>Дата должна быть позже или равна дате рабо</w:t>
            </w:r>
            <w:r w:rsidR="00BA58C1" w:rsidRPr="00264D5D">
              <w:rPr>
                <w:szCs w:val="22"/>
              </w:rPr>
              <w:t>чего дня, следующего за текущим</w:t>
            </w:r>
          </w:p>
        </w:tc>
      </w:tr>
      <w:tr w:rsidR="00AD1F54" w:rsidRPr="00264D5D" w14:paraId="5595675E" w14:textId="77777777" w:rsidTr="00AD1F54">
        <w:trPr>
          <w:cnfStyle w:val="000000100000" w:firstRow="0" w:lastRow="0" w:firstColumn="0" w:lastColumn="0" w:oddVBand="0" w:evenVBand="0" w:oddHBand="1" w:evenHBand="0" w:firstRowFirstColumn="0" w:firstRowLastColumn="0" w:lastRowFirstColumn="0" w:lastRowLastColumn="0"/>
        </w:trPr>
        <w:tc>
          <w:tcPr>
            <w:tcW w:w="883" w:type="pct"/>
          </w:tcPr>
          <w:p w14:paraId="23029A37" w14:textId="77777777" w:rsidR="00AD1F54" w:rsidRPr="00264D5D" w:rsidRDefault="00941227">
            <w:pPr>
              <w:pStyle w:val="GOSTTablenorm"/>
              <w:rPr>
                <w:szCs w:val="22"/>
              </w:rPr>
            </w:pPr>
            <w:r w:rsidRPr="00264D5D">
              <w:rPr>
                <w:szCs w:val="22"/>
              </w:rPr>
              <w:t>Идентификатор документа «Сведения о бюджетном обязательстве», «Сведения о соглашении», предоставленного в ТОФК</w:t>
            </w:r>
          </w:p>
        </w:tc>
        <w:tc>
          <w:tcPr>
            <w:tcW w:w="882" w:type="pct"/>
          </w:tcPr>
          <w:p w14:paraId="35E2FF41" w14:textId="77777777" w:rsidR="00AD1F54" w:rsidRPr="00264D5D" w:rsidRDefault="00941227">
            <w:pPr>
              <w:pStyle w:val="GOSTTablenorm"/>
              <w:rPr>
                <w:szCs w:val="22"/>
              </w:rPr>
            </w:pPr>
            <w:r w:rsidRPr="00264D5D">
              <w:rPr>
                <w:szCs w:val="22"/>
              </w:rPr>
              <w:t>ZR_GUIDSV</w:t>
            </w:r>
          </w:p>
        </w:tc>
        <w:tc>
          <w:tcPr>
            <w:tcW w:w="294" w:type="pct"/>
          </w:tcPr>
          <w:p w14:paraId="60674132" w14:textId="77777777" w:rsidR="00AD1F54" w:rsidRPr="00264D5D" w:rsidRDefault="00941227">
            <w:pPr>
              <w:pStyle w:val="GOSTTablenorm"/>
              <w:jc w:val="center"/>
              <w:rPr>
                <w:szCs w:val="22"/>
              </w:rPr>
            </w:pPr>
            <w:r w:rsidRPr="00264D5D">
              <w:rPr>
                <w:szCs w:val="22"/>
              </w:rPr>
              <w:t>П</w:t>
            </w:r>
          </w:p>
        </w:tc>
        <w:tc>
          <w:tcPr>
            <w:tcW w:w="589" w:type="pct"/>
          </w:tcPr>
          <w:p w14:paraId="743CFA2C" w14:textId="77777777" w:rsidR="00AD1F54" w:rsidRPr="00264D5D" w:rsidRDefault="00941227">
            <w:pPr>
              <w:pStyle w:val="GOSTTablenorm"/>
              <w:rPr>
                <w:szCs w:val="22"/>
              </w:rPr>
            </w:pPr>
            <w:r w:rsidRPr="00264D5D">
              <w:rPr>
                <w:szCs w:val="22"/>
              </w:rPr>
              <w:t>GUID</w:t>
            </w:r>
          </w:p>
        </w:tc>
        <w:tc>
          <w:tcPr>
            <w:tcW w:w="294" w:type="pct"/>
          </w:tcPr>
          <w:p w14:paraId="6256501C" w14:textId="77777777" w:rsidR="00AD1F54" w:rsidRPr="00264D5D" w:rsidRDefault="00941227">
            <w:pPr>
              <w:pStyle w:val="GOSTTablenorm"/>
              <w:jc w:val="center"/>
              <w:rPr>
                <w:szCs w:val="22"/>
              </w:rPr>
            </w:pPr>
            <w:r w:rsidRPr="00264D5D">
              <w:rPr>
                <w:szCs w:val="22"/>
              </w:rPr>
              <w:t>Н</w:t>
            </w:r>
          </w:p>
        </w:tc>
        <w:tc>
          <w:tcPr>
            <w:tcW w:w="2058" w:type="pct"/>
          </w:tcPr>
          <w:p w14:paraId="244C3231" w14:textId="77777777" w:rsidR="00AD1F54" w:rsidRPr="00264D5D" w:rsidRDefault="00941227">
            <w:pPr>
              <w:pStyle w:val="GOSTTablenorm"/>
              <w:rPr>
                <w:szCs w:val="22"/>
              </w:rPr>
            </w:pPr>
            <w:r w:rsidRPr="00264D5D">
              <w:rPr>
                <w:szCs w:val="22"/>
              </w:rPr>
              <w:t>Уникальный в системе Федерального казначейства идентификатор документа «Сведения о бюджетном обязательстве», «Сведения о соглашении», предоставляемого одновременно с ЗКР.</w:t>
            </w:r>
          </w:p>
          <w:p w14:paraId="1A2E4A7C" w14:textId="77777777" w:rsidR="00AD1F54" w:rsidRPr="00264D5D" w:rsidRDefault="00941227">
            <w:pPr>
              <w:pStyle w:val="GOSTTablenorm"/>
              <w:rPr>
                <w:szCs w:val="22"/>
              </w:rPr>
            </w:pPr>
            <w:r w:rsidRPr="00264D5D">
              <w:rPr>
                <w:szCs w:val="22"/>
              </w:rPr>
              <w:t>Поле может заполняться, если не заполнено поле «Номер обязательства».</w:t>
            </w:r>
          </w:p>
          <w:p w14:paraId="7CEC31DD" w14:textId="77777777" w:rsidR="00AD1F54" w:rsidRPr="00264D5D" w:rsidRDefault="00941227">
            <w:pPr>
              <w:pStyle w:val="GOSTTablenorm"/>
              <w:rPr>
                <w:szCs w:val="22"/>
              </w:rPr>
            </w:pPr>
            <w:r w:rsidRPr="00264D5D">
              <w:rPr>
                <w:szCs w:val="22"/>
              </w:rPr>
              <w:t xml:space="preserve">Если «Номер обязательства» заполнено </w:t>
            </w:r>
            <w:r w:rsidRPr="00264D5D">
              <w:rPr>
                <w:szCs w:val="22"/>
              </w:rPr>
              <w:lastRenderedPageBreak/>
              <w:t>– поле не заполняется.</w:t>
            </w:r>
          </w:p>
          <w:p w14:paraId="0C41DBAE" w14:textId="77777777" w:rsidR="00AD1F54" w:rsidRPr="00264D5D" w:rsidRDefault="00941227">
            <w:pPr>
              <w:pStyle w:val="GOSTTablenorm"/>
              <w:rPr>
                <w:szCs w:val="22"/>
              </w:rPr>
            </w:pPr>
            <w:r w:rsidRPr="00264D5D">
              <w:rPr>
                <w:szCs w:val="22"/>
              </w:rPr>
              <w:t xml:space="preserve">Не заполняется </w:t>
            </w:r>
            <w:r w:rsidR="00BA58C1" w:rsidRPr="00264D5D">
              <w:rPr>
                <w:szCs w:val="22"/>
              </w:rPr>
              <w:t>для АУ, БУ</w:t>
            </w:r>
          </w:p>
        </w:tc>
      </w:tr>
      <w:tr w:rsidR="00AD1F54" w:rsidRPr="00264D5D" w14:paraId="75541408" w14:textId="77777777" w:rsidTr="00AD1F54">
        <w:trPr>
          <w:cnfStyle w:val="000000010000" w:firstRow="0" w:lastRow="0" w:firstColumn="0" w:lastColumn="0" w:oddVBand="0" w:evenVBand="0" w:oddHBand="0" w:evenHBand="1" w:firstRowFirstColumn="0" w:firstRowLastColumn="0" w:lastRowFirstColumn="0" w:lastRowLastColumn="0"/>
        </w:trPr>
        <w:tc>
          <w:tcPr>
            <w:tcW w:w="883" w:type="pct"/>
          </w:tcPr>
          <w:p w14:paraId="5FAB7416" w14:textId="77777777" w:rsidR="00AD1F54" w:rsidRPr="00264D5D" w:rsidRDefault="00941227">
            <w:pPr>
              <w:pStyle w:val="GOSTTablenorm"/>
              <w:rPr>
                <w:szCs w:val="22"/>
              </w:rPr>
            </w:pPr>
            <w:r w:rsidRPr="00264D5D">
              <w:rPr>
                <w:szCs w:val="22"/>
              </w:rPr>
              <w:lastRenderedPageBreak/>
              <w:t>Номер обязательства</w:t>
            </w:r>
          </w:p>
        </w:tc>
        <w:tc>
          <w:tcPr>
            <w:tcW w:w="882" w:type="pct"/>
          </w:tcPr>
          <w:p w14:paraId="4F916242" w14:textId="77777777" w:rsidR="00AD1F54" w:rsidRPr="00264D5D" w:rsidRDefault="00941227">
            <w:pPr>
              <w:pStyle w:val="GOSTTablenorm"/>
              <w:rPr>
                <w:szCs w:val="22"/>
              </w:rPr>
            </w:pPr>
            <w:r w:rsidRPr="00264D5D">
              <w:rPr>
                <w:szCs w:val="22"/>
              </w:rPr>
              <w:t>ZR_OblgtNm</w:t>
            </w:r>
          </w:p>
        </w:tc>
        <w:tc>
          <w:tcPr>
            <w:tcW w:w="294" w:type="pct"/>
          </w:tcPr>
          <w:p w14:paraId="177357E5" w14:textId="77777777" w:rsidR="00AD1F54" w:rsidRPr="00264D5D" w:rsidRDefault="00941227">
            <w:pPr>
              <w:pStyle w:val="GOSTTablenorm"/>
              <w:jc w:val="center"/>
              <w:rPr>
                <w:szCs w:val="22"/>
              </w:rPr>
            </w:pPr>
            <w:r w:rsidRPr="00264D5D">
              <w:rPr>
                <w:szCs w:val="22"/>
              </w:rPr>
              <w:t>П</w:t>
            </w:r>
          </w:p>
        </w:tc>
        <w:tc>
          <w:tcPr>
            <w:tcW w:w="589" w:type="pct"/>
          </w:tcPr>
          <w:p w14:paraId="3EFF9E78" w14:textId="77777777" w:rsidR="00AD1F54" w:rsidRPr="00264D5D" w:rsidRDefault="00941227">
            <w:pPr>
              <w:pStyle w:val="GOSTTablenorm"/>
              <w:rPr>
                <w:szCs w:val="22"/>
              </w:rPr>
            </w:pPr>
            <w:r w:rsidRPr="00264D5D">
              <w:rPr>
                <w:szCs w:val="22"/>
              </w:rPr>
              <w:t>Т(1-19)</w:t>
            </w:r>
          </w:p>
        </w:tc>
        <w:tc>
          <w:tcPr>
            <w:tcW w:w="294" w:type="pct"/>
          </w:tcPr>
          <w:p w14:paraId="6F6F36DC" w14:textId="77777777" w:rsidR="00AD1F54" w:rsidRPr="00264D5D" w:rsidRDefault="00941227">
            <w:pPr>
              <w:pStyle w:val="GOSTTablenorm"/>
              <w:jc w:val="center"/>
              <w:rPr>
                <w:szCs w:val="22"/>
              </w:rPr>
            </w:pPr>
            <w:r w:rsidRPr="00264D5D">
              <w:rPr>
                <w:szCs w:val="22"/>
              </w:rPr>
              <w:t>Н</w:t>
            </w:r>
          </w:p>
        </w:tc>
        <w:tc>
          <w:tcPr>
            <w:tcW w:w="2058" w:type="pct"/>
          </w:tcPr>
          <w:p w14:paraId="18988AE3" w14:textId="77777777" w:rsidR="00BA58C1" w:rsidRPr="00264D5D" w:rsidRDefault="00941227">
            <w:pPr>
              <w:pStyle w:val="GOSTTablenorm"/>
              <w:rPr>
                <w:szCs w:val="22"/>
              </w:rPr>
            </w:pPr>
            <w:r w:rsidRPr="00264D5D">
              <w:rPr>
                <w:szCs w:val="22"/>
              </w:rPr>
              <w:t xml:space="preserve">Номер, присвоенный ТОФК обязательству при постановке его на учет или тип первичного бюджетного обязательства. </w:t>
            </w:r>
          </w:p>
          <w:p w14:paraId="2F14EEC6" w14:textId="77777777" w:rsidR="00AD1F54" w:rsidRPr="00264D5D" w:rsidRDefault="00941227">
            <w:pPr>
              <w:pStyle w:val="GOSTTablenorm"/>
              <w:rPr>
                <w:szCs w:val="22"/>
              </w:rPr>
            </w:pPr>
            <w:r w:rsidRPr="00264D5D">
              <w:rPr>
                <w:szCs w:val="22"/>
              </w:rPr>
              <w:t>Номер обязательства должен соответствовать номеру обязательства, учтенному на л/с ПБС ФБ, для исполнения которого формируется ЗКР. В случае первичного присвоения номера обязательству при регистрации ЗКР (без предварительной регистрации самого обязательства) размерность поля устанавливается как «=1», при этом реквизит может принимать значения «1» (закупка) или «2» (прочее). После присвоения номера бюджетному обязательству данное поле заполняется ТОФК учетным номером бюджетного обязательства.</w:t>
            </w:r>
          </w:p>
          <w:p w14:paraId="5118E045" w14:textId="77777777" w:rsidR="00AD1F54" w:rsidRPr="00264D5D" w:rsidRDefault="00941227">
            <w:pPr>
              <w:pStyle w:val="GOSTTablenorm"/>
              <w:rPr>
                <w:szCs w:val="22"/>
              </w:rPr>
            </w:pPr>
            <w:r w:rsidRPr="00264D5D">
              <w:rPr>
                <w:szCs w:val="22"/>
              </w:rPr>
              <w:t>Для обязательств, принятых на учет до 31.12.2015, размерность поля устанавливается как «=16».</w:t>
            </w:r>
          </w:p>
          <w:p w14:paraId="426095B3" w14:textId="77777777" w:rsidR="00AD1F54" w:rsidRPr="00264D5D" w:rsidRDefault="00941227">
            <w:pPr>
              <w:pStyle w:val="GOSTTablenorm"/>
              <w:rPr>
                <w:szCs w:val="22"/>
              </w:rPr>
            </w:pPr>
            <w:r w:rsidRPr="00264D5D">
              <w:rPr>
                <w:szCs w:val="22"/>
              </w:rPr>
              <w:t>Для обязательств, принятых на учет после 01.01.2016, размерность поля устанавливается как «=19».</w:t>
            </w:r>
          </w:p>
          <w:p w14:paraId="0E5BDDAE" w14:textId="77777777" w:rsidR="00AD1F54" w:rsidRPr="00264D5D" w:rsidRDefault="00941227">
            <w:pPr>
              <w:pStyle w:val="GOSTTablenorm"/>
              <w:rPr>
                <w:szCs w:val="22"/>
              </w:rPr>
            </w:pPr>
            <w:r w:rsidRPr="00264D5D">
              <w:rPr>
                <w:szCs w:val="22"/>
              </w:rPr>
              <w:t xml:space="preserve">Не заполняется </w:t>
            </w:r>
            <w:r w:rsidR="00BA58C1" w:rsidRPr="00264D5D">
              <w:rPr>
                <w:szCs w:val="22"/>
              </w:rPr>
              <w:t>для АУ</w:t>
            </w:r>
            <w:r w:rsidRPr="00264D5D">
              <w:rPr>
                <w:szCs w:val="22"/>
              </w:rPr>
              <w:t>, БУ</w:t>
            </w:r>
          </w:p>
        </w:tc>
      </w:tr>
      <w:tr w:rsidR="00AD1F54" w:rsidRPr="00264D5D" w14:paraId="7439F475" w14:textId="77777777" w:rsidTr="00AD1F54">
        <w:trPr>
          <w:cnfStyle w:val="000000100000" w:firstRow="0" w:lastRow="0" w:firstColumn="0" w:lastColumn="0" w:oddVBand="0" w:evenVBand="0" w:oddHBand="1" w:evenHBand="0" w:firstRowFirstColumn="0" w:firstRowLastColumn="0" w:lastRowFirstColumn="0" w:lastRowLastColumn="0"/>
        </w:trPr>
        <w:tc>
          <w:tcPr>
            <w:tcW w:w="883" w:type="pct"/>
          </w:tcPr>
          <w:p w14:paraId="35915D1C" w14:textId="77777777" w:rsidR="00AD1F54" w:rsidRPr="00264D5D" w:rsidRDefault="00941227">
            <w:pPr>
              <w:pStyle w:val="GOSTTablenorm"/>
              <w:rPr>
                <w:szCs w:val="22"/>
              </w:rPr>
            </w:pPr>
            <w:r w:rsidRPr="00264D5D">
              <w:rPr>
                <w:szCs w:val="22"/>
              </w:rPr>
              <w:t>Приоритет исполнения</w:t>
            </w:r>
          </w:p>
        </w:tc>
        <w:tc>
          <w:tcPr>
            <w:tcW w:w="882" w:type="pct"/>
          </w:tcPr>
          <w:p w14:paraId="24ADCBB9" w14:textId="77777777" w:rsidR="00AD1F54" w:rsidRPr="00264D5D" w:rsidRDefault="00941227">
            <w:pPr>
              <w:pStyle w:val="GOSTTablenorm"/>
              <w:rPr>
                <w:szCs w:val="22"/>
              </w:rPr>
            </w:pPr>
            <w:r w:rsidRPr="00264D5D">
              <w:rPr>
                <w:szCs w:val="22"/>
              </w:rPr>
              <w:t>ZR_MSC_PrtExctn</w:t>
            </w:r>
          </w:p>
        </w:tc>
        <w:tc>
          <w:tcPr>
            <w:tcW w:w="294" w:type="pct"/>
          </w:tcPr>
          <w:p w14:paraId="3A6D35CC" w14:textId="77777777" w:rsidR="00AD1F54" w:rsidRPr="00264D5D" w:rsidRDefault="00941227">
            <w:pPr>
              <w:pStyle w:val="GOSTTablenorm"/>
              <w:jc w:val="center"/>
              <w:rPr>
                <w:szCs w:val="22"/>
              </w:rPr>
            </w:pPr>
            <w:r w:rsidRPr="00264D5D">
              <w:rPr>
                <w:szCs w:val="22"/>
              </w:rPr>
              <w:t>С</w:t>
            </w:r>
          </w:p>
        </w:tc>
        <w:tc>
          <w:tcPr>
            <w:tcW w:w="589" w:type="pct"/>
          </w:tcPr>
          <w:p w14:paraId="0AB5B8CA" w14:textId="77777777" w:rsidR="00AD1F54" w:rsidRPr="00264D5D" w:rsidRDefault="00941227">
            <w:pPr>
              <w:pStyle w:val="GOSTTablenorm"/>
              <w:rPr>
                <w:szCs w:val="22"/>
              </w:rPr>
            </w:pPr>
            <w:r w:rsidRPr="00264D5D">
              <w:rPr>
                <w:szCs w:val="22"/>
              </w:rPr>
              <w:t>tMSC_PrtExctn</w:t>
            </w:r>
          </w:p>
        </w:tc>
        <w:tc>
          <w:tcPr>
            <w:tcW w:w="294" w:type="pct"/>
          </w:tcPr>
          <w:p w14:paraId="787EE383" w14:textId="77777777" w:rsidR="00AD1F54" w:rsidRPr="00264D5D" w:rsidRDefault="00941227">
            <w:pPr>
              <w:pStyle w:val="GOSTTablenorm"/>
              <w:jc w:val="center"/>
              <w:rPr>
                <w:szCs w:val="22"/>
              </w:rPr>
            </w:pPr>
            <w:r w:rsidRPr="00264D5D">
              <w:rPr>
                <w:szCs w:val="22"/>
              </w:rPr>
              <w:t>Н</w:t>
            </w:r>
          </w:p>
        </w:tc>
        <w:tc>
          <w:tcPr>
            <w:tcW w:w="2058" w:type="pct"/>
          </w:tcPr>
          <w:p w14:paraId="36EB1964" w14:textId="793AB25F" w:rsidR="00AD1F54" w:rsidRPr="00264D5D" w:rsidRDefault="00941227">
            <w:pPr>
              <w:pStyle w:val="GOSTTablenorm"/>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_Ref503522616 \h  \* MERGEFORMAT </w:instrText>
            </w:r>
            <w:r w:rsidRPr="00264D5D">
              <w:rPr>
                <w:b/>
                <w:szCs w:val="22"/>
              </w:rPr>
            </w:r>
            <w:r w:rsidRPr="00264D5D">
              <w:rPr>
                <w:b/>
                <w:szCs w:val="22"/>
              </w:rPr>
              <w:fldChar w:fldCharType="separate"/>
            </w:r>
            <w:r w:rsidR="008D797C" w:rsidRPr="008D797C">
              <w:rPr>
                <w:b/>
                <w:szCs w:val="22"/>
              </w:rPr>
              <w:t>54</w:t>
            </w:r>
            <w:r w:rsidRPr="00264D5D">
              <w:rPr>
                <w:b/>
                <w:szCs w:val="22"/>
              </w:rPr>
              <w:fldChar w:fldCharType="end"/>
            </w:r>
          </w:p>
        </w:tc>
      </w:tr>
      <w:tr w:rsidR="00AD1F54" w:rsidRPr="00264D5D" w14:paraId="6766049C" w14:textId="77777777" w:rsidTr="00AD1F54">
        <w:trPr>
          <w:cnfStyle w:val="000000010000" w:firstRow="0" w:lastRow="0" w:firstColumn="0" w:lastColumn="0" w:oddVBand="0" w:evenVBand="0" w:oddHBand="0" w:evenHBand="1" w:firstRowFirstColumn="0" w:firstRowLastColumn="0" w:lastRowFirstColumn="0" w:lastRowLastColumn="0"/>
        </w:trPr>
        <w:tc>
          <w:tcPr>
            <w:tcW w:w="883" w:type="pct"/>
          </w:tcPr>
          <w:p w14:paraId="6E641241" w14:textId="77777777" w:rsidR="00AD1F54" w:rsidRPr="00264D5D" w:rsidRDefault="00941227">
            <w:pPr>
              <w:pStyle w:val="GOSTTablenorm"/>
              <w:rPr>
                <w:szCs w:val="22"/>
              </w:rPr>
            </w:pPr>
            <w:r w:rsidRPr="00264D5D">
              <w:rPr>
                <w:szCs w:val="22"/>
              </w:rPr>
              <w:t>Код объекта по ФАИП (КМИ)</w:t>
            </w:r>
          </w:p>
        </w:tc>
        <w:tc>
          <w:tcPr>
            <w:tcW w:w="882" w:type="pct"/>
          </w:tcPr>
          <w:p w14:paraId="101D3B3B" w14:textId="77777777" w:rsidR="00AD1F54" w:rsidRPr="00264D5D" w:rsidRDefault="00941227">
            <w:pPr>
              <w:pStyle w:val="GOSTTablenorm"/>
              <w:rPr>
                <w:szCs w:val="22"/>
              </w:rPr>
            </w:pPr>
            <w:r w:rsidRPr="00264D5D">
              <w:rPr>
                <w:szCs w:val="22"/>
              </w:rPr>
              <w:t>ZR_FAIPObjCd</w:t>
            </w:r>
          </w:p>
        </w:tc>
        <w:tc>
          <w:tcPr>
            <w:tcW w:w="294" w:type="pct"/>
          </w:tcPr>
          <w:p w14:paraId="4C760466" w14:textId="77777777" w:rsidR="00AD1F54" w:rsidRPr="00264D5D" w:rsidRDefault="00941227">
            <w:pPr>
              <w:pStyle w:val="GOSTTablenorm"/>
              <w:jc w:val="center"/>
              <w:rPr>
                <w:szCs w:val="22"/>
              </w:rPr>
            </w:pPr>
            <w:r w:rsidRPr="00264D5D">
              <w:rPr>
                <w:szCs w:val="22"/>
              </w:rPr>
              <w:t>П</w:t>
            </w:r>
          </w:p>
        </w:tc>
        <w:tc>
          <w:tcPr>
            <w:tcW w:w="589" w:type="pct"/>
          </w:tcPr>
          <w:p w14:paraId="66939F35" w14:textId="77777777" w:rsidR="00AD1F54" w:rsidRPr="00264D5D" w:rsidRDefault="00941227">
            <w:pPr>
              <w:pStyle w:val="GOSTTablenorm"/>
              <w:rPr>
                <w:szCs w:val="22"/>
              </w:rPr>
            </w:pPr>
            <w:r w:rsidRPr="00264D5D">
              <w:rPr>
                <w:szCs w:val="22"/>
              </w:rPr>
              <w:t>Т(1-24)</w:t>
            </w:r>
          </w:p>
        </w:tc>
        <w:tc>
          <w:tcPr>
            <w:tcW w:w="294" w:type="pct"/>
          </w:tcPr>
          <w:p w14:paraId="484FB282" w14:textId="77777777" w:rsidR="00AD1F54" w:rsidRPr="00264D5D" w:rsidRDefault="00941227">
            <w:pPr>
              <w:pStyle w:val="GOSTTablenorm"/>
              <w:jc w:val="center"/>
              <w:rPr>
                <w:szCs w:val="22"/>
              </w:rPr>
            </w:pPr>
            <w:r w:rsidRPr="00264D5D">
              <w:rPr>
                <w:szCs w:val="22"/>
              </w:rPr>
              <w:t>Н</w:t>
            </w:r>
          </w:p>
        </w:tc>
        <w:tc>
          <w:tcPr>
            <w:tcW w:w="2058" w:type="pct"/>
          </w:tcPr>
          <w:p w14:paraId="3480018A" w14:textId="77777777" w:rsidR="00AD1F54" w:rsidRPr="00264D5D" w:rsidRDefault="00941227">
            <w:pPr>
              <w:pStyle w:val="GOSTTablenorm"/>
              <w:rPr>
                <w:szCs w:val="22"/>
              </w:rPr>
            </w:pPr>
            <w:r w:rsidRPr="00264D5D">
              <w:rPr>
                <w:szCs w:val="22"/>
              </w:rPr>
              <w:t>Может указываться уникальный код объекта капитального строительства или объекта недвижимости, код мероприятия по информатизации.</w:t>
            </w:r>
          </w:p>
          <w:p w14:paraId="2DC7DC95" w14:textId="77777777" w:rsidR="00AD1F54" w:rsidRPr="00264D5D" w:rsidRDefault="00941227">
            <w:pPr>
              <w:pStyle w:val="GOSTTablenorm"/>
              <w:rPr>
                <w:szCs w:val="22"/>
              </w:rPr>
            </w:pPr>
            <w:r w:rsidRPr="00264D5D">
              <w:rPr>
                <w:szCs w:val="22"/>
              </w:rPr>
              <w:t>Поле не заполняется для ПБС, осуществляющих операции со средствами во вре</w:t>
            </w:r>
            <w:r w:rsidR="00BA58C1" w:rsidRPr="00264D5D">
              <w:rPr>
                <w:szCs w:val="22"/>
              </w:rPr>
              <w:t>менном распоряжении</w:t>
            </w:r>
          </w:p>
        </w:tc>
      </w:tr>
      <w:tr w:rsidR="00AD1F54" w:rsidRPr="00264D5D" w14:paraId="576D2772" w14:textId="77777777" w:rsidTr="00AD1F54">
        <w:trPr>
          <w:cnfStyle w:val="000000100000" w:firstRow="0" w:lastRow="0" w:firstColumn="0" w:lastColumn="0" w:oddVBand="0" w:evenVBand="0" w:oddHBand="1" w:evenHBand="0" w:firstRowFirstColumn="0" w:firstRowLastColumn="0" w:lastRowFirstColumn="0" w:lastRowLastColumn="0"/>
        </w:trPr>
        <w:tc>
          <w:tcPr>
            <w:tcW w:w="883" w:type="pct"/>
          </w:tcPr>
          <w:p w14:paraId="4FCBD59F" w14:textId="77777777" w:rsidR="00AD1F54" w:rsidRPr="00264D5D" w:rsidRDefault="00941227">
            <w:pPr>
              <w:pStyle w:val="GOSTTablenorm"/>
              <w:rPr>
                <w:szCs w:val="22"/>
              </w:rPr>
            </w:pPr>
            <w:r w:rsidRPr="00264D5D">
              <w:rPr>
                <w:szCs w:val="22"/>
              </w:rPr>
              <w:t>Сумма документа в валюте выплаты</w:t>
            </w:r>
          </w:p>
        </w:tc>
        <w:tc>
          <w:tcPr>
            <w:tcW w:w="882" w:type="pct"/>
          </w:tcPr>
          <w:p w14:paraId="59CF25C1" w14:textId="77777777" w:rsidR="00AD1F54" w:rsidRPr="00264D5D" w:rsidRDefault="00941227">
            <w:pPr>
              <w:pStyle w:val="GOSTTablenorm"/>
              <w:rPr>
                <w:szCs w:val="22"/>
              </w:rPr>
            </w:pPr>
            <w:r w:rsidRPr="00264D5D">
              <w:rPr>
                <w:szCs w:val="22"/>
              </w:rPr>
              <w:t>ZR_AmntV</w:t>
            </w:r>
          </w:p>
        </w:tc>
        <w:tc>
          <w:tcPr>
            <w:tcW w:w="294" w:type="pct"/>
          </w:tcPr>
          <w:p w14:paraId="7AE833A7" w14:textId="77777777" w:rsidR="00AD1F54" w:rsidRPr="00264D5D" w:rsidRDefault="00941227">
            <w:pPr>
              <w:pStyle w:val="GOSTTablenorm"/>
              <w:jc w:val="center"/>
              <w:rPr>
                <w:szCs w:val="22"/>
              </w:rPr>
            </w:pPr>
            <w:r w:rsidRPr="00264D5D">
              <w:rPr>
                <w:szCs w:val="22"/>
              </w:rPr>
              <w:t>П</w:t>
            </w:r>
          </w:p>
        </w:tc>
        <w:tc>
          <w:tcPr>
            <w:tcW w:w="589" w:type="pct"/>
          </w:tcPr>
          <w:p w14:paraId="39128601" w14:textId="77777777" w:rsidR="00AD1F54" w:rsidRPr="00264D5D" w:rsidRDefault="00941227">
            <w:pPr>
              <w:pStyle w:val="GOSTTablenorm"/>
              <w:rPr>
                <w:szCs w:val="22"/>
              </w:rPr>
            </w:pPr>
            <w:r w:rsidRPr="00264D5D">
              <w:rPr>
                <w:szCs w:val="22"/>
              </w:rPr>
              <w:t>N(20.2)</w:t>
            </w:r>
          </w:p>
        </w:tc>
        <w:tc>
          <w:tcPr>
            <w:tcW w:w="294" w:type="pct"/>
          </w:tcPr>
          <w:p w14:paraId="16ABA36A" w14:textId="77777777" w:rsidR="00AD1F54" w:rsidRPr="00264D5D" w:rsidRDefault="00941227">
            <w:pPr>
              <w:pStyle w:val="GOSTTablenorm"/>
              <w:jc w:val="center"/>
              <w:rPr>
                <w:szCs w:val="22"/>
              </w:rPr>
            </w:pPr>
            <w:r w:rsidRPr="00264D5D">
              <w:rPr>
                <w:szCs w:val="22"/>
              </w:rPr>
              <w:t>О</w:t>
            </w:r>
          </w:p>
        </w:tc>
        <w:tc>
          <w:tcPr>
            <w:tcW w:w="2058" w:type="pct"/>
          </w:tcPr>
          <w:p w14:paraId="51A8E52F" w14:textId="77777777" w:rsidR="00AD1F54" w:rsidRPr="00264D5D" w:rsidRDefault="00941227">
            <w:pPr>
              <w:pStyle w:val="GOSTTablenorm"/>
              <w:rPr>
                <w:szCs w:val="22"/>
              </w:rPr>
            </w:pPr>
            <w:r w:rsidRPr="00264D5D">
              <w:rPr>
                <w:szCs w:val="22"/>
              </w:rPr>
              <w:t>Сумма в валюте, в которой д</w:t>
            </w:r>
            <w:r w:rsidR="00BA58C1" w:rsidRPr="00264D5D">
              <w:rPr>
                <w:szCs w:val="22"/>
              </w:rPr>
              <w:t>олжна быть осуществлена выплата</w:t>
            </w:r>
          </w:p>
        </w:tc>
      </w:tr>
      <w:tr w:rsidR="00AD1F54" w:rsidRPr="00264D5D" w14:paraId="3AFA3F9C" w14:textId="77777777" w:rsidTr="00AD1F54">
        <w:trPr>
          <w:cnfStyle w:val="000000010000" w:firstRow="0" w:lastRow="0" w:firstColumn="0" w:lastColumn="0" w:oddVBand="0" w:evenVBand="0" w:oddHBand="0" w:evenHBand="1" w:firstRowFirstColumn="0" w:firstRowLastColumn="0" w:lastRowFirstColumn="0" w:lastRowLastColumn="0"/>
        </w:trPr>
        <w:tc>
          <w:tcPr>
            <w:tcW w:w="883" w:type="pct"/>
          </w:tcPr>
          <w:p w14:paraId="118F256C" w14:textId="77777777" w:rsidR="00AD1F54" w:rsidRPr="00264D5D" w:rsidRDefault="00941227">
            <w:pPr>
              <w:pStyle w:val="GOSTTablenorm"/>
              <w:rPr>
                <w:szCs w:val="22"/>
              </w:rPr>
            </w:pPr>
            <w:r w:rsidRPr="00264D5D">
              <w:rPr>
                <w:szCs w:val="22"/>
              </w:rPr>
              <w:t xml:space="preserve">Код валюты </w:t>
            </w:r>
          </w:p>
        </w:tc>
        <w:tc>
          <w:tcPr>
            <w:tcW w:w="882" w:type="pct"/>
          </w:tcPr>
          <w:p w14:paraId="3B9B4E04" w14:textId="77777777" w:rsidR="00AD1F54" w:rsidRPr="00264D5D" w:rsidRDefault="00941227">
            <w:pPr>
              <w:pStyle w:val="GOSTTablenorm"/>
              <w:rPr>
                <w:szCs w:val="22"/>
              </w:rPr>
            </w:pPr>
            <w:r w:rsidRPr="00264D5D">
              <w:rPr>
                <w:szCs w:val="22"/>
              </w:rPr>
              <w:t>ZR_CdOKV</w:t>
            </w:r>
          </w:p>
        </w:tc>
        <w:tc>
          <w:tcPr>
            <w:tcW w:w="294" w:type="pct"/>
          </w:tcPr>
          <w:p w14:paraId="500CC89E" w14:textId="77777777" w:rsidR="00AD1F54" w:rsidRPr="00264D5D" w:rsidRDefault="00941227">
            <w:pPr>
              <w:pStyle w:val="GOSTTablenorm"/>
              <w:jc w:val="center"/>
              <w:rPr>
                <w:szCs w:val="22"/>
              </w:rPr>
            </w:pPr>
            <w:r w:rsidRPr="00264D5D">
              <w:rPr>
                <w:szCs w:val="22"/>
              </w:rPr>
              <w:t>П</w:t>
            </w:r>
          </w:p>
        </w:tc>
        <w:tc>
          <w:tcPr>
            <w:tcW w:w="589" w:type="pct"/>
          </w:tcPr>
          <w:p w14:paraId="15793516" w14:textId="77777777" w:rsidR="00AD1F54" w:rsidRPr="00264D5D" w:rsidRDefault="00941227">
            <w:pPr>
              <w:pStyle w:val="GOSTTablenorm"/>
              <w:rPr>
                <w:szCs w:val="22"/>
              </w:rPr>
            </w:pPr>
            <w:r w:rsidRPr="00264D5D">
              <w:rPr>
                <w:szCs w:val="22"/>
              </w:rPr>
              <w:t>Т(3)</w:t>
            </w:r>
          </w:p>
        </w:tc>
        <w:tc>
          <w:tcPr>
            <w:tcW w:w="294" w:type="pct"/>
          </w:tcPr>
          <w:p w14:paraId="65F63EBE" w14:textId="77777777" w:rsidR="00AD1F54" w:rsidRPr="00264D5D" w:rsidRDefault="00941227">
            <w:pPr>
              <w:pStyle w:val="GOSTTablenorm"/>
              <w:jc w:val="center"/>
              <w:rPr>
                <w:szCs w:val="22"/>
              </w:rPr>
            </w:pPr>
            <w:r w:rsidRPr="00264D5D">
              <w:rPr>
                <w:szCs w:val="22"/>
              </w:rPr>
              <w:t>О</w:t>
            </w:r>
          </w:p>
        </w:tc>
        <w:tc>
          <w:tcPr>
            <w:tcW w:w="2058" w:type="pct"/>
          </w:tcPr>
          <w:p w14:paraId="32D1F03E" w14:textId="77777777" w:rsidR="00AD1F54" w:rsidRPr="00264D5D" w:rsidRDefault="00941227">
            <w:pPr>
              <w:pStyle w:val="GOSTTablenorm"/>
              <w:rPr>
                <w:szCs w:val="22"/>
              </w:rPr>
            </w:pPr>
            <w:r w:rsidRPr="00264D5D">
              <w:rPr>
                <w:szCs w:val="22"/>
              </w:rPr>
              <w:t>Указывается актуальный цифр</w:t>
            </w:r>
            <w:r w:rsidR="00BA58C1" w:rsidRPr="00264D5D">
              <w:rPr>
                <w:szCs w:val="22"/>
              </w:rPr>
              <w:t>овой код валюты выплаты по ОКВ</w:t>
            </w:r>
          </w:p>
        </w:tc>
      </w:tr>
      <w:tr w:rsidR="00AD1F54" w:rsidRPr="00264D5D" w14:paraId="7778A4E9" w14:textId="77777777" w:rsidTr="00AD1F54">
        <w:trPr>
          <w:cnfStyle w:val="000000100000" w:firstRow="0" w:lastRow="0" w:firstColumn="0" w:lastColumn="0" w:oddVBand="0" w:evenVBand="0" w:oddHBand="1" w:evenHBand="0" w:firstRowFirstColumn="0" w:firstRowLastColumn="0" w:lastRowFirstColumn="0" w:lastRowLastColumn="0"/>
        </w:trPr>
        <w:tc>
          <w:tcPr>
            <w:tcW w:w="883" w:type="pct"/>
          </w:tcPr>
          <w:p w14:paraId="2D670948" w14:textId="77777777" w:rsidR="00AD1F54" w:rsidRPr="00264D5D" w:rsidRDefault="00941227">
            <w:pPr>
              <w:pStyle w:val="GOSTTablenorm"/>
              <w:rPr>
                <w:szCs w:val="22"/>
              </w:rPr>
            </w:pPr>
            <w:r w:rsidRPr="00264D5D">
              <w:rPr>
                <w:szCs w:val="22"/>
              </w:rPr>
              <w:lastRenderedPageBreak/>
              <w:t>Сумма документа</w:t>
            </w:r>
          </w:p>
        </w:tc>
        <w:tc>
          <w:tcPr>
            <w:tcW w:w="882" w:type="pct"/>
          </w:tcPr>
          <w:p w14:paraId="64DBDF2E" w14:textId="77777777" w:rsidR="00AD1F54" w:rsidRPr="00264D5D" w:rsidRDefault="00941227">
            <w:pPr>
              <w:pStyle w:val="GOSTTablenorm"/>
              <w:rPr>
                <w:szCs w:val="22"/>
              </w:rPr>
            </w:pPr>
            <w:r w:rsidRPr="00264D5D">
              <w:rPr>
                <w:szCs w:val="22"/>
              </w:rPr>
              <w:t>ZR_AmntDc</w:t>
            </w:r>
          </w:p>
        </w:tc>
        <w:tc>
          <w:tcPr>
            <w:tcW w:w="294" w:type="pct"/>
          </w:tcPr>
          <w:p w14:paraId="620DC140" w14:textId="77777777" w:rsidR="00AD1F54" w:rsidRPr="00264D5D" w:rsidRDefault="00941227">
            <w:pPr>
              <w:pStyle w:val="GOSTTablenorm"/>
              <w:jc w:val="center"/>
              <w:rPr>
                <w:szCs w:val="22"/>
              </w:rPr>
            </w:pPr>
            <w:r w:rsidRPr="00264D5D">
              <w:rPr>
                <w:szCs w:val="22"/>
              </w:rPr>
              <w:t>П</w:t>
            </w:r>
          </w:p>
        </w:tc>
        <w:tc>
          <w:tcPr>
            <w:tcW w:w="589" w:type="pct"/>
          </w:tcPr>
          <w:p w14:paraId="44BB9069" w14:textId="77777777" w:rsidR="00AD1F54" w:rsidRPr="00264D5D" w:rsidRDefault="00941227">
            <w:pPr>
              <w:pStyle w:val="GOSTTablenorm"/>
              <w:rPr>
                <w:szCs w:val="22"/>
              </w:rPr>
            </w:pPr>
            <w:r w:rsidRPr="00264D5D">
              <w:rPr>
                <w:szCs w:val="22"/>
              </w:rPr>
              <w:t>N(20.2)</w:t>
            </w:r>
          </w:p>
        </w:tc>
        <w:tc>
          <w:tcPr>
            <w:tcW w:w="294" w:type="pct"/>
          </w:tcPr>
          <w:p w14:paraId="6A9FF604" w14:textId="77777777" w:rsidR="00AD1F54" w:rsidRPr="00264D5D" w:rsidRDefault="00941227">
            <w:pPr>
              <w:pStyle w:val="GOSTTablenorm"/>
              <w:jc w:val="center"/>
              <w:rPr>
                <w:szCs w:val="22"/>
              </w:rPr>
            </w:pPr>
            <w:r w:rsidRPr="00264D5D">
              <w:rPr>
                <w:szCs w:val="22"/>
              </w:rPr>
              <w:t>О</w:t>
            </w:r>
          </w:p>
        </w:tc>
        <w:tc>
          <w:tcPr>
            <w:tcW w:w="2058" w:type="pct"/>
          </w:tcPr>
          <w:p w14:paraId="15ADEA8C" w14:textId="77777777" w:rsidR="00AD1F54" w:rsidRPr="00264D5D" w:rsidRDefault="00B31FB3">
            <w:pPr>
              <w:pStyle w:val="GOSTTablenorm"/>
              <w:rPr>
                <w:szCs w:val="22"/>
              </w:rPr>
            </w:pPr>
            <w:r w:rsidRPr="00264D5D">
              <w:rPr>
                <w:szCs w:val="22"/>
              </w:rPr>
              <w:t>Сумма выплаты в рублях</w:t>
            </w:r>
          </w:p>
          <w:p w14:paraId="4C0BB056" w14:textId="77777777" w:rsidR="00AD1F54" w:rsidRPr="00264D5D" w:rsidRDefault="00AD1F54">
            <w:pPr>
              <w:pStyle w:val="GOSTTablenorm"/>
              <w:rPr>
                <w:szCs w:val="22"/>
              </w:rPr>
            </w:pPr>
          </w:p>
        </w:tc>
      </w:tr>
      <w:tr w:rsidR="00AD1F54" w:rsidRPr="00264D5D" w14:paraId="7853F782" w14:textId="77777777" w:rsidTr="00AD1F54">
        <w:trPr>
          <w:cnfStyle w:val="000000010000" w:firstRow="0" w:lastRow="0" w:firstColumn="0" w:lastColumn="0" w:oddVBand="0" w:evenVBand="0" w:oddHBand="0" w:evenHBand="1" w:firstRowFirstColumn="0" w:firstRowLastColumn="0" w:lastRowFirstColumn="0" w:lastRowLastColumn="0"/>
        </w:trPr>
        <w:tc>
          <w:tcPr>
            <w:tcW w:w="883" w:type="pct"/>
          </w:tcPr>
          <w:p w14:paraId="6A5B7E65" w14:textId="77777777" w:rsidR="00AD1F54" w:rsidRPr="00264D5D" w:rsidRDefault="00941227">
            <w:pPr>
              <w:pStyle w:val="GOSTTablenorm"/>
              <w:rPr>
                <w:szCs w:val="22"/>
              </w:rPr>
            </w:pPr>
            <w:r w:rsidRPr="00264D5D">
              <w:rPr>
                <w:szCs w:val="22"/>
              </w:rPr>
              <w:t>Код вида дохода</w:t>
            </w:r>
          </w:p>
        </w:tc>
        <w:tc>
          <w:tcPr>
            <w:tcW w:w="882" w:type="pct"/>
          </w:tcPr>
          <w:p w14:paraId="530CDD5B" w14:textId="77777777" w:rsidR="00AD1F54" w:rsidRPr="00264D5D" w:rsidRDefault="00941227">
            <w:pPr>
              <w:pStyle w:val="GOSTTablenorm"/>
              <w:rPr>
                <w:szCs w:val="22"/>
              </w:rPr>
            </w:pPr>
            <w:r w:rsidRPr="00264D5D">
              <w:rPr>
                <w:szCs w:val="22"/>
              </w:rPr>
              <w:t>ZR_IncTypeCode</w:t>
            </w:r>
          </w:p>
        </w:tc>
        <w:tc>
          <w:tcPr>
            <w:tcW w:w="294" w:type="pct"/>
          </w:tcPr>
          <w:p w14:paraId="2F94BEC8" w14:textId="77777777" w:rsidR="00AD1F54" w:rsidRPr="00264D5D" w:rsidRDefault="00941227">
            <w:pPr>
              <w:pStyle w:val="GOSTTablenorm"/>
              <w:jc w:val="center"/>
              <w:rPr>
                <w:szCs w:val="22"/>
              </w:rPr>
            </w:pPr>
            <w:r w:rsidRPr="00264D5D">
              <w:rPr>
                <w:szCs w:val="22"/>
              </w:rPr>
              <w:t>П</w:t>
            </w:r>
          </w:p>
        </w:tc>
        <w:tc>
          <w:tcPr>
            <w:tcW w:w="589" w:type="pct"/>
          </w:tcPr>
          <w:p w14:paraId="7867C682" w14:textId="77777777" w:rsidR="00AD1F54" w:rsidRPr="00264D5D" w:rsidRDefault="00941227">
            <w:pPr>
              <w:pStyle w:val="GOSTTablenorm"/>
              <w:rPr>
                <w:szCs w:val="22"/>
              </w:rPr>
            </w:pPr>
            <w:r w:rsidRPr="00264D5D">
              <w:rPr>
                <w:szCs w:val="22"/>
              </w:rPr>
              <w:t>Т(1)</w:t>
            </w:r>
          </w:p>
        </w:tc>
        <w:tc>
          <w:tcPr>
            <w:tcW w:w="294" w:type="pct"/>
          </w:tcPr>
          <w:p w14:paraId="403770D9" w14:textId="77777777" w:rsidR="00AD1F54" w:rsidRPr="00264D5D" w:rsidRDefault="00941227">
            <w:pPr>
              <w:pStyle w:val="GOSTTablenorm"/>
              <w:jc w:val="center"/>
              <w:rPr>
                <w:szCs w:val="22"/>
              </w:rPr>
            </w:pPr>
            <w:r w:rsidRPr="00264D5D">
              <w:rPr>
                <w:szCs w:val="22"/>
              </w:rPr>
              <w:t>Н</w:t>
            </w:r>
          </w:p>
        </w:tc>
        <w:tc>
          <w:tcPr>
            <w:tcW w:w="2058" w:type="pct"/>
          </w:tcPr>
          <w:p w14:paraId="29F105FB" w14:textId="77777777" w:rsidR="00AD1F54" w:rsidRPr="00264D5D" w:rsidRDefault="00941227">
            <w:pPr>
              <w:pStyle w:val="GOSTTablenorm"/>
              <w:rPr>
                <w:szCs w:val="22"/>
              </w:rPr>
            </w:pPr>
            <w:r w:rsidRPr="00264D5D">
              <w:rPr>
                <w:szCs w:val="22"/>
              </w:rPr>
              <w:t>Указывается код вида дохода.</w:t>
            </w:r>
          </w:p>
          <w:p w14:paraId="1E7F3D29" w14:textId="77777777" w:rsidR="00AD1F54" w:rsidRPr="00264D5D" w:rsidRDefault="00941227">
            <w:pPr>
              <w:pStyle w:val="GOSTTablenorm"/>
              <w:rPr>
                <w:szCs w:val="22"/>
              </w:rPr>
            </w:pPr>
            <w:r w:rsidRPr="00264D5D">
              <w:rPr>
                <w:szCs w:val="22"/>
              </w:rPr>
              <w:t xml:space="preserve">Заполняется в соответствии с частью 5.1 статьи 70 ФЗ от 02.10.2007 № 229-ФЗ и указанием Банка России от 29.06.2021 №762-П в документах, предусматривающих перечисление средств гражданам. </w:t>
            </w:r>
          </w:p>
          <w:p w14:paraId="125A129B" w14:textId="77777777" w:rsidR="00AD1F54" w:rsidRPr="00264D5D" w:rsidRDefault="00941227" w:rsidP="00BA58C1">
            <w:pPr>
              <w:pStyle w:val="GOSTTablenorm"/>
              <w:rPr>
                <w:szCs w:val="22"/>
              </w:rPr>
            </w:pPr>
            <w:r w:rsidRPr="00264D5D">
              <w:rPr>
                <w:szCs w:val="22"/>
              </w:rPr>
              <w:t>Возможные значения:</w:t>
            </w:r>
          </w:p>
          <w:p w14:paraId="24888D71" w14:textId="77777777" w:rsidR="00AD1F54" w:rsidRPr="00264D5D" w:rsidRDefault="00941227" w:rsidP="00101F62">
            <w:pPr>
              <w:pStyle w:val="GOSTTablenorm"/>
              <w:numPr>
                <w:ilvl w:val="0"/>
                <w:numId w:val="134"/>
              </w:numPr>
              <w:ind w:left="284" w:hanging="227"/>
              <w:rPr>
                <w:szCs w:val="22"/>
              </w:rPr>
            </w:pPr>
            <w:r w:rsidRPr="00264D5D">
              <w:rPr>
                <w:szCs w:val="22"/>
              </w:rPr>
              <w:t>«1» – при перечислении заработной платы и (или) иных доходов, в отношении которых статьей 99 ФЗ от 02.10.2007 № 229-ФЗ установлены ограничения размеров удержания;</w:t>
            </w:r>
          </w:p>
          <w:p w14:paraId="25A6E651" w14:textId="77777777" w:rsidR="00AD1F54" w:rsidRPr="00264D5D" w:rsidRDefault="00941227" w:rsidP="00101F62">
            <w:pPr>
              <w:pStyle w:val="GOSTTablenorm"/>
              <w:numPr>
                <w:ilvl w:val="0"/>
                <w:numId w:val="134"/>
              </w:numPr>
              <w:ind w:left="284" w:hanging="227"/>
              <w:rPr>
                <w:szCs w:val="22"/>
              </w:rPr>
            </w:pPr>
            <w:r w:rsidRPr="00264D5D">
              <w:rPr>
                <w:szCs w:val="22"/>
              </w:rPr>
              <w:t xml:space="preserve">«2» – при перечислении денежных средств, являющихся доходами, на которые в соответствии со статьей 101 ФЗ от 02.10.2007 № 229-ФЗ не может быть обращено взыскание и которые имеют характер периодических </w:t>
            </w:r>
            <w:r w:rsidR="00BA58C1" w:rsidRPr="00264D5D">
              <w:rPr>
                <w:szCs w:val="22"/>
              </w:rPr>
              <w:t>выплат, за</w:t>
            </w:r>
            <w:r w:rsidRPr="00264D5D">
              <w:rPr>
                <w:szCs w:val="22"/>
              </w:rPr>
              <w:t xml:space="preserve"> исключением доходов, к которым в соответствии с частью 2 статьи 101 ФЗ от 02.10.2007 № 229-ФЗ ограничения по обращению взыскания не применяются;</w:t>
            </w:r>
          </w:p>
          <w:p w14:paraId="0EDE8918" w14:textId="77777777" w:rsidR="00AD1F54" w:rsidRPr="00264D5D" w:rsidRDefault="00941227" w:rsidP="00101F62">
            <w:pPr>
              <w:pStyle w:val="GOSTTablenorm"/>
              <w:numPr>
                <w:ilvl w:val="0"/>
                <w:numId w:val="134"/>
              </w:numPr>
              <w:ind w:left="284" w:hanging="227"/>
              <w:rPr>
                <w:szCs w:val="22"/>
              </w:rPr>
            </w:pPr>
            <w:r w:rsidRPr="00264D5D">
              <w:rPr>
                <w:szCs w:val="22"/>
              </w:rPr>
              <w:t>«3» – при перечислении денежных средств, являющихся доходами, к которым в соответствии с частью 2 статьи 101 ФЗ от 02.10.2007 № 229-ФЗ ограничения по обращению взыскания не применяются и которые имеют характер периодических выплат;</w:t>
            </w:r>
          </w:p>
          <w:p w14:paraId="0A3E2521" w14:textId="77777777" w:rsidR="00AD1F54" w:rsidRPr="00264D5D" w:rsidRDefault="00941227" w:rsidP="00101F62">
            <w:pPr>
              <w:pStyle w:val="OTRTableNorm2"/>
              <w:numPr>
                <w:ilvl w:val="0"/>
                <w:numId w:val="134"/>
              </w:numPr>
              <w:spacing w:after="60"/>
              <w:ind w:left="284" w:hanging="227"/>
              <w:rPr>
                <w:sz w:val="22"/>
                <w:szCs w:val="22"/>
              </w:rPr>
            </w:pPr>
            <w:r w:rsidRPr="00264D5D">
              <w:rPr>
                <w:sz w:val="22"/>
                <w:szCs w:val="22"/>
              </w:rPr>
              <w:t xml:space="preserve">«4» – при перечислении денежных средств, являющихся доходами, на которые в соответствии с частью 1 статьи 101 Федерального закона от 02.10.2007 № 229-ФЗ не может быть обращено взыскание и которые имеют характер единовременных выплат, за исключением доходов, к которым в соответствии с частью 2 </w:t>
            </w:r>
            <w:r w:rsidRPr="00264D5D">
              <w:rPr>
                <w:sz w:val="22"/>
                <w:szCs w:val="22"/>
              </w:rPr>
              <w:lastRenderedPageBreak/>
              <w:t>статьи 101 Федерального закона от 02.10.2007 № 229-ФЗ ограничения по обращению взыскания не применяются;</w:t>
            </w:r>
          </w:p>
          <w:p w14:paraId="0D231A70" w14:textId="77777777" w:rsidR="00AD1F54" w:rsidRPr="00264D5D" w:rsidRDefault="00941227" w:rsidP="00101F62">
            <w:pPr>
              <w:pStyle w:val="GOSTTablenorm"/>
              <w:numPr>
                <w:ilvl w:val="0"/>
                <w:numId w:val="134"/>
              </w:numPr>
              <w:ind w:left="284" w:hanging="227"/>
              <w:rPr>
                <w:szCs w:val="22"/>
              </w:rPr>
            </w:pPr>
            <w:r w:rsidRPr="00264D5D">
              <w:rPr>
                <w:szCs w:val="22"/>
              </w:rPr>
              <w:t>«5» – при перечислении денежных средств, являющихся доходами, к которым в соответствии с частью 2 статьи 101 Федерального закона от 02.10.2007 № 229-ФЗ ограничения по обращению взыскания не применяются и которые имеют характер единовременных выплат.</w:t>
            </w:r>
          </w:p>
          <w:p w14:paraId="16B9FE0D" w14:textId="77777777" w:rsidR="00AD1F54" w:rsidRPr="00264D5D" w:rsidRDefault="00941227">
            <w:pPr>
              <w:pStyle w:val="GOSTTablenorm"/>
              <w:rPr>
                <w:szCs w:val="22"/>
              </w:rPr>
            </w:pPr>
            <w:r w:rsidRPr="00264D5D">
              <w:rPr>
                <w:szCs w:val="22"/>
              </w:rPr>
              <w:t>В о</w:t>
            </w:r>
            <w:r w:rsidR="00BA58C1" w:rsidRPr="00264D5D">
              <w:rPr>
                <w:szCs w:val="22"/>
              </w:rPr>
              <w:t>стальных случаях не заполняется</w:t>
            </w:r>
          </w:p>
        </w:tc>
      </w:tr>
      <w:tr w:rsidR="00AD1F54" w:rsidRPr="00264D5D" w14:paraId="0EB8A421" w14:textId="77777777" w:rsidTr="00AD1F54">
        <w:trPr>
          <w:cnfStyle w:val="000000100000" w:firstRow="0" w:lastRow="0" w:firstColumn="0" w:lastColumn="0" w:oddVBand="0" w:evenVBand="0" w:oddHBand="1" w:evenHBand="0" w:firstRowFirstColumn="0" w:firstRowLastColumn="0" w:lastRowFirstColumn="0" w:lastRowLastColumn="0"/>
        </w:trPr>
        <w:tc>
          <w:tcPr>
            <w:tcW w:w="883" w:type="pct"/>
          </w:tcPr>
          <w:p w14:paraId="484B3EAC" w14:textId="77777777" w:rsidR="00AD1F54" w:rsidRPr="00264D5D" w:rsidRDefault="00941227">
            <w:pPr>
              <w:pStyle w:val="GOSTTablenorm"/>
              <w:rPr>
                <w:szCs w:val="22"/>
              </w:rPr>
            </w:pPr>
            <w:r w:rsidRPr="00264D5D">
              <w:lastRenderedPageBreak/>
              <w:t>Номер реестровой записи</w:t>
            </w:r>
          </w:p>
        </w:tc>
        <w:tc>
          <w:tcPr>
            <w:tcW w:w="882" w:type="pct"/>
          </w:tcPr>
          <w:p w14:paraId="09B01D7C" w14:textId="77777777" w:rsidR="00AD1F54" w:rsidRPr="00264D5D" w:rsidRDefault="00941227">
            <w:pPr>
              <w:pStyle w:val="GOSTTablenorm"/>
              <w:rPr>
                <w:szCs w:val="22"/>
              </w:rPr>
            </w:pPr>
            <w:r w:rsidRPr="00264D5D">
              <w:rPr>
                <w:rFonts w:eastAsiaTheme="minorHAnsi"/>
                <w:color w:val="000000"/>
                <w:szCs w:val="24"/>
                <w:lang w:eastAsia="en-US"/>
              </w:rPr>
              <w:t>R_NumReestrEntry</w:t>
            </w:r>
          </w:p>
        </w:tc>
        <w:tc>
          <w:tcPr>
            <w:tcW w:w="294" w:type="pct"/>
          </w:tcPr>
          <w:p w14:paraId="4467DF16" w14:textId="77777777" w:rsidR="00AD1F54" w:rsidRPr="00264D5D" w:rsidRDefault="00941227">
            <w:pPr>
              <w:pStyle w:val="GOSTTablenorm"/>
              <w:jc w:val="center"/>
              <w:rPr>
                <w:szCs w:val="22"/>
              </w:rPr>
            </w:pPr>
            <w:r w:rsidRPr="00264D5D">
              <w:rPr>
                <w:szCs w:val="22"/>
              </w:rPr>
              <w:t>П</w:t>
            </w:r>
          </w:p>
        </w:tc>
        <w:tc>
          <w:tcPr>
            <w:tcW w:w="589" w:type="pct"/>
          </w:tcPr>
          <w:p w14:paraId="5FE61BF1" w14:textId="77777777" w:rsidR="00AD1F54" w:rsidRPr="00264D5D" w:rsidRDefault="00941227">
            <w:pPr>
              <w:pStyle w:val="GOSTTablenorm"/>
              <w:rPr>
                <w:szCs w:val="22"/>
              </w:rPr>
            </w:pPr>
            <w:r w:rsidRPr="00264D5D">
              <w:rPr>
                <w:szCs w:val="22"/>
              </w:rPr>
              <w:t>Т(1-27)</w:t>
            </w:r>
          </w:p>
        </w:tc>
        <w:tc>
          <w:tcPr>
            <w:tcW w:w="294" w:type="pct"/>
          </w:tcPr>
          <w:p w14:paraId="19CADB4C" w14:textId="77777777" w:rsidR="00AD1F54" w:rsidRPr="00264D5D" w:rsidRDefault="00941227">
            <w:pPr>
              <w:pStyle w:val="GOSTTablenorm"/>
              <w:jc w:val="center"/>
              <w:rPr>
                <w:szCs w:val="22"/>
              </w:rPr>
            </w:pPr>
            <w:r w:rsidRPr="00264D5D">
              <w:rPr>
                <w:szCs w:val="22"/>
              </w:rPr>
              <w:t>Н</w:t>
            </w:r>
          </w:p>
        </w:tc>
        <w:tc>
          <w:tcPr>
            <w:tcW w:w="2058" w:type="pct"/>
          </w:tcPr>
          <w:p w14:paraId="164BB7EC" w14:textId="77777777" w:rsidR="00AD1F54" w:rsidRPr="00264D5D" w:rsidRDefault="00941227">
            <w:pPr>
              <w:pStyle w:val="GOSTTablenorm"/>
              <w:rPr>
                <w:szCs w:val="22"/>
              </w:rPr>
            </w:pPr>
            <w:r w:rsidRPr="00264D5D">
              <w:rPr>
                <w:szCs w:val="22"/>
              </w:rPr>
              <w:t>Указывается номер записи в реестре.</w:t>
            </w:r>
          </w:p>
          <w:p w14:paraId="71DB8CE2" w14:textId="77777777" w:rsidR="00AD1F54" w:rsidRPr="00264D5D" w:rsidRDefault="00941227">
            <w:pPr>
              <w:pStyle w:val="GOSTTablenorm"/>
              <w:rPr>
                <w:szCs w:val="22"/>
              </w:rPr>
            </w:pPr>
            <w:r w:rsidRPr="00264D5D">
              <w:rPr>
                <w:szCs w:val="22"/>
              </w:rPr>
              <w:t>Поле обязательно к заполнению, если з</w:t>
            </w:r>
            <w:r w:rsidR="00BA58C1" w:rsidRPr="00264D5D">
              <w:rPr>
                <w:szCs w:val="22"/>
              </w:rPr>
              <w:t>начение поля «Вид реестра» = 02</w:t>
            </w:r>
          </w:p>
        </w:tc>
      </w:tr>
      <w:tr w:rsidR="00AD1F54" w:rsidRPr="00264D5D" w14:paraId="642DB83E" w14:textId="77777777" w:rsidTr="00AD1F54">
        <w:trPr>
          <w:cnfStyle w:val="000000010000" w:firstRow="0" w:lastRow="0" w:firstColumn="0" w:lastColumn="0" w:oddVBand="0" w:evenVBand="0" w:oddHBand="0" w:evenHBand="1" w:firstRowFirstColumn="0" w:firstRowLastColumn="0" w:lastRowFirstColumn="0" w:lastRowLastColumn="0"/>
        </w:trPr>
        <w:tc>
          <w:tcPr>
            <w:tcW w:w="883" w:type="pct"/>
          </w:tcPr>
          <w:p w14:paraId="5C7D3A5D" w14:textId="77777777" w:rsidR="00AD1F54" w:rsidRPr="00264D5D" w:rsidRDefault="00941227">
            <w:pPr>
              <w:pStyle w:val="GOSTTablenorm"/>
              <w:rPr>
                <w:szCs w:val="22"/>
              </w:rPr>
            </w:pPr>
            <w:r w:rsidRPr="00264D5D">
              <w:t>Идентификатор документа о приемке/этапа</w:t>
            </w:r>
          </w:p>
        </w:tc>
        <w:tc>
          <w:tcPr>
            <w:tcW w:w="882" w:type="pct"/>
          </w:tcPr>
          <w:p w14:paraId="4B34DA5A" w14:textId="77777777" w:rsidR="00AD1F54" w:rsidRPr="00264D5D" w:rsidRDefault="00941227">
            <w:pPr>
              <w:pStyle w:val="GOSTTablenorm"/>
              <w:rPr>
                <w:szCs w:val="22"/>
              </w:rPr>
            </w:pPr>
            <w:r w:rsidRPr="00264D5D">
              <w:rPr>
                <w:rFonts w:eastAsiaTheme="minorHAnsi"/>
                <w:color w:val="000000"/>
                <w:szCs w:val="24"/>
                <w:lang w:eastAsia="en-US"/>
              </w:rPr>
              <w:t>ZR_NumDocAcceptStage</w:t>
            </w:r>
          </w:p>
        </w:tc>
        <w:tc>
          <w:tcPr>
            <w:tcW w:w="294" w:type="pct"/>
          </w:tcPr>
          <w:p w14:paraId="45A97CFF" w14:textId="77777777" w:rsidR="00AD1F54" w:rsidRPr="00264D5D" w:rsidRDefault="00941227">
            <w:pPr>
              <w:pStyle w:val="GOSTTablenorm"/>
              <w:jc w:val="center"/>
              <w:rPr>
                <w:szCs w:val="22"/>
              </w:rPr>
            </w:pPr>
            <w:r w:rsidRPr="00264D5D">
              <w:rPr>
                <w:szCs w:val="22"/>
              </w:rPr>
              <w:t>П</w:t>
            </w:r>
          </w:p>
        </w:tc>
        <w:tc>
          <w:tcPr>
            <w:tcW w:w="589" w:type="pct"/>
          </w:tcPr>
          <w:p w14:paraId="122D155C" w14:textId="77777777" w:rsidR="00AD1F54" w:rsidRPr="00264D5D" w:rsidRDefault="00941227">
            <w:pPr>
              <w:pStyle w:val="GOSTTablenorm"/>
              <w:rPr>
                <w:szCs w:val="22"/>
              </w:rPr>
            </w:pPr>
            <w:r w:rsidRPr="00264D5D">
              <w:rPr>
                <w:szCs w:val="22"/>
                <w:lang w:val="en-US"/>
              </w:rPr>
              <w:t>T(</w:t>
            </w:r>
            <w:r w:rsidRPr="00264D5D">
              <w:rPr>
                <w:szCs w:val="22"/>
              </w:rPr>
              <w:t>1-</w:t>
            </w:r>
            <w:r w:rsidRPr="00264D5D">
              <w:rPr>
                <w:szCs w:val="22"/>
                <w:lang w:val="en-US"/>
              </w:rPr>
              <w:t>2</w:t>
            </w:r>
            <w:r w:rsidRPr="00264D5D">
              <w:rPr>
                <w:szCs w:val="22"/>
              </w:rPr>
              <w:t>0</w:t>
            </w:r>
            <w:r w:rsidRPr="00264D5D">
              <w:rPr>
                <w:szCs w:val="22"/>
                <w:lang w:val="en-US"/>
              </w:rPr>
              <w:t>)</w:t>
            </w:r>
          </w:p>
        </w:tc>
        <w:tc>
          <w:tcPr>
            <w:tcW w:w="294" w:type="pct"/>
          </w:tcPr>
          <w:p w14:paraId="66993247" w14:textId="77777777" w:rsidR="00AD1F54" w:rsidRPr="00264D5D" w:rsidRDefault="00941227">
            <w:pPr>
              <w:pStyle w:val="GOSTTablenorm"/>
              <w:jc w:val="center"/>
              <w:rPr>
                <w:szCs w:val="22"/>
              </w:rPr>
            </w:pPr>
            <w:r w:rsidRPr="00264D5D">
              <w:rPr>
                <w:szCs w:val="22"/>
              </w:rPr>
              <w:t>Н</w:t>
            </w:r>
          </w:p>
        </w:tc>
        <w:tc>
          <w:tcPr>
            <w:tcW w:w="2058" w:type="pct"/>
          </w:tcPr>
          <w:p w14:paraId="1E2AAF0D" w14:textId="77777777" w:rsidR="00AD1F54" w:rsidRPr="00264D5D" w:rsidRDefault="00941227">
            <w:pPr>
              <w:pStyle w:val="GOSTTablenorm"/>
              <w:rPr>
                <w:szCs w:val="22"/>
              </w:rPr>
            </w:pPr>
            <w:r w:rsidRPr="00264D5D">
              <w:rPr>
                <w:szCs w:val="22"/>
              </w:rPr>
              <w:t>Указывается идентификатор документа о приемке или идентификатор этапа.</w:t>
            </w:r>
          </w:p>
          <w:p w14:paraId="668A56B8" w14:textId="77777777" w:rsidR="00AD1F54" w:rsidRPr="00264D5D" w:rsidRDefault="00941227">
            <w:pPr>
              <w:pStyle w:val="GOSTTablenorm"/>
              <w:rPr>
                <w:szCs w:val="22"/>
              </w:rPr>
            </w:pPr>
            <w:r w:rsidRPr="00264D5D">
              <w:rPr>
                <w:szCs w:val="22"/>
              </w:rPr>
              <w:t>Поле обязательно к заполнению, если з</w:t>
            </w:r>
            <w:r w:rsidR="00BA58C1" w:rsidRPr="00264D5D">
              <w:rPr>
                <w:szCs w:val="22"/>
              </w:rPr>
              <w:t>начение поля «Вид реестра» = 02</w:t>
            </w:r>
          </w:p>
        </w:tc>
      </w:tr>
      <w:tr w:rsidR="00AD1F54" w:rsidRPr="00264D5D" w14:paraId="6FAD17E1" w14:textId="77777777" w:rsidTr="00AD1F54">
        <w:trPr>
          <w:cnfStyle w:val="000000100000" w:firstRow="0" w:lastRow="0" w:firstColumn="0" w:lastColumn="0" w:oddVBand="0" w:evenVBand="0" w:oddHBand="1" w:evenHBand="0" w:firstRowFirstColumn="0" w:firstRowLastColumn="0" w:lastRowFirstColumn="0" w:lastRowLastColumn="0"/>
        </w:trPr>
        <w:tc>
          <w:tcPr>
            <w:tcW w:w="883" w:type="pct"/>
            <w:tcBorders>
              <w:bottom w:val="single" w:sz="4" w:space="0" w:color="auto"/>
            </w:tcBorders>
          </w:tcPr>
          <w:p w14:paraId="490215D6" w14:textId="77777777" w:rsidR="00AD1F54" w:rsidRPr="00264D5D" w:rsidRDefault="00941227">
            <w:pPr>
              <w:pStyle w:val="GOSTTablenorm"/>
              <w:rPr>
                <w:szCs w:val="22"/>
              </w:rPr>
            </w:pPr>
            <w:r w:rsidRPr="00264D5D">
              <w:t>Вид реестра</w:t>
            </w:r>
          </w:p>
        </w:tc>
        <w:tc>
          <w:tcPr>
            <w:tcW w:w="882" w:type="pct"/>
            <w:tcBorders>
              <w:bottom w:val="single" w:sz="4" w:space="0" w:color="auto"/>
            </w:tcBorders>
          </w:tcPr>
          <w:p w14:paraId="700CA17C" w14:textId="77777777" w:rsidR="00AD1F54" w:rsidRPr="00264D5D" w:rsidRDefault="00941227">
            <w:pPr>
              <w:pStyle w:val="GOSTTablenorm"/>
              <w:rPr>
                <w:szCs w:val="22"/>
              </w:rPr>
            </w:pPr>
            <w:r w:rsidRPr="00264D5D">
              <w:rPr>
                <w:rFonts w:eastAsiaTheme="minorHAnsi"/>
                <w:color w:val="000000"/>
                <w:szCs w:val="24"/>
                <w:lang w:eastAsia="en-US"/>
              </w:rPr>
              <w:t>ZR_ReestrType</w:t>
            </w:r>
          </w:p>
        </w:tc>
        <w:tc>
          <w:tcPr>
            <w:tcW w:w="294" w:type="pct"/>
            <w:tcBorders>
              <w:bottom w:val="single" w:sz="4" w:space="0" w:color="auto"/>
            </w:tcBorders>
          </w:tcPr>
          <w:p w14:paraId="2F9BFDB8" w14:textId="77777777" w:rsidR="00AD1F54" w:rsidRPr="00264D5D" w:rsidRDefault="00941227">
            <w:pPr>
              <w:pStyle w:val="GOSTTablenorm"/>
              <w:jc w:val="center"/>
              <w:rPr>
                <w:szCs w:val="22"/>
              </w:rPr>
            </w:pPr>
            <w:r w:rsidRPr="00264D5D">
              <w:rPr>
                <w:szCs w:val="22"/>
              </w:rPr>
              <w:t>П</w:t>
            </w:r>
          </w:p>
        </w:tc>
        <w:tc>
          <w:tcPr>
            <w:tcW w:w="589" w:type="pct"/>
            <w:tcBorders>
              <w:bottom w:val="single" w:sz="4" w:space="0" w:color="auto"/>
            </w:tcBorders>
          </w:tcPr>
          <w:p w14:paraId="0E61566F" w14:textId="77777777" w:rsidR="00AD1F54" w:rsidRPr="00264D5D" w:rsidRDefault="00941227">
            <w:pPr>
              <w:pStyle w:val="GOSTTablenorm"/>
              <w:rPr>
                <w:szCs w:val="22"/>
              </w:rPr>
            </w:pPr>
            <w:r w:rsidRPr="00264D5D">
              <w:rPr>
                <w:szCs w:val="22"/>
                <w:lang w:val="en-US"/>
              </w:rPr>
              <w:t>T(2)</w:t>
            </w:r>
          </w:p>
        </w:tc>
        <w:tc>
          <w:tcPr>
            <w:tcW w:w="294" w:type="pct"/>
            <w:tcBorders>
              <w:bottom w:val="single" w:sz="4" w:space="0" w:color="auto"/>
            </w:tcBorders>
          </w:tcPr>
          <w:p w14:paraId="473DAAF4" w14:textId="77777777" w:rsidR="00AD1F54" w:rsidRPr="00264D5D" w:rsidRDefault="00941227">
            <w:pPr>
              <w:pStyle w:val="GOSTTablenorm"/>
              <w:jc w:val="center"/>
              <w:rPr>
                <w:szCs w:val="22"/>
              </w:rPr>
            </w:pPr>
            <w:r w:rsidRPr="00264D5D">
              <w:rPr>
                <w:szCs w:val="22"/>
              </w:rPr>
              <w:t>Н</w:t>
            </w:r>
          </w:p>
        </w:tc>
        <w:tc>
          <w:tcPr>
            <w:tcW w:w="2058" w:type="pct"/>
            <w:tcBorders>
              <w:bottom w:val="single" w:sz="4" w:space="0" w:color="auto"/>
            </w:tcBorders>
          </w:tcPr>
          <w:p w14:paraId="23D4292F" w14:textId="77777777" w:rsidR="00AD1F54" w:rsidRPr="00264D5D" w:rsidRDefault="00941227">
            <w:pPr>
              <w:pStyle w:val="GOSTTablenorm"/>
              <w:rPr>
                <w:szCs w:val="22"/>
              </w:rPr>
            </w:pPr>
            <w:r w:rsidRPr="00264D5D">
              <w:rPr>
                <w:szCs w:val="22"/>
              </w:rPr>
              <w:t>Указывается код вида реестра. Возможные значения:</w:t>
            </w:r>
          </w:p>
          <w:p w14:paraId="1D3CC20C" w14:textId="77777777" w:rsidR="00AD1F54" w:rsidRPr="00264D5D" w:rsidRDefault="00941227" w:rsidP="00101F62">
            <w:pPr>
              <w:pStyle w:val="GOSTTablenorm"/>
              <w:numPr>
                <w:ilvl w:val="0"/>
                <w:numId w:val="134"/>
              </w:numPr>
              <w:ind w:left="284" w:hanging="227"/>
              <w:rPr>
                <w:szCs w:val="22"/>
              </w:rPr>
            </w:pPr>
            <w:r w:rsidRPr="00264D5D">
              <w:rPr>
                <w:szCs w:val="22"/>
              </w:rPr>
              <w:t xml:space="preserve">«01» – Реестр соглашений; </w:t>
            </w:r>
          </w:p>
          <w:p w14:paraId="3EED1542" w14:textId="77777777" w:rsidR="00AD1F54" w:rsidRPr="00264D5D" w:rsidRDefault="00941227" w:rsidP="00101F62">
            <w:pPr>
              <w:pStyle w:val="GOSTTablenorm"/>
              <w:numPr>
                <w:ilvl w:val="0"/>
                <w:numId w:val="134"/>
              </w:numPr>
              <w:ind w:left="284" w:hanging="227"/>
              <w:rPr>
                <w:szCs w:val="22"/>
              </w:rPr>
            </w:pPr>
            <w:r w:rsidRPr="00264D5D">
              <w:rPr>
                <w:szCs w:val="22"/>
              </w:rPr>
              <w:t>«02» – Реестр контрактов (открытый);</w:t>
            </w:r>
          </w:p>
          <w:p w14:paraId="28556915" w14:textId="77777777" w:rsidR="00AD1F54" w:rsidRPr="00264D5D" w:rsidRDefault="00941227" w:rsidP="00101F62">
            <w:pPr>
              <w:pStyle w:val="GOSTTablenorm"/>
              <w:numPr>
                <w:ilvl w:val="0"/>
                <w:numId w:val="134"/>
              </w:numPr>
              <w:ind w:left="284" w:hanging="227"/>
              <w:rPr>
                <w:szCs w:val="22"/>
              </w:rPr>
            </w:pPr>
            <w:r w:rsidRPr="00264D5D">
              <w:rPr>
                <w:szCs w:val="22"/>
              </w:rPr>
              <w:t>«03» – Реестр контрактов (за</w:t>
            </w:r>
            <w:r w:rsidR="00BA58C1" w:rsidRPr="00264D5D">
              <w:rPr>
                <w:szCs w:val="22"/>
              </w:rPr>
              <w:t>крытый)</w:t>
            </w:r>
          </w:p>
        </w:tc>
      </w:tr>
      <w:tr w:rsidR="00AD1F54" w:rsidRPr="00264D5D" w14:paraId="33E83DFB" w14:textId="77777777" w:rsidTr="00AD1F54">
        <w:trPr>
          <w:cnfStyle w:val="000000010000" w:firstRow="0" w:lastRow="0" w:firstColumn="0" w:lastColumn="0" w:oddVBand="0" w:evenVBand="0" w:oddHBand="0" w:evenHBand="1" w:firstRowFirstColumn="0" w:firstRowLastColumn="0" w:lastRowFirstColumn="0" w:lastRowLastColumn="0"/>
        </w:trPr>
        <w:tc>
          <w:tcPr>
            <w:tcW w:w="883" w:type="pct"/>
            <w:tcBorders>
              <w:top w:val="single" w:sz="4" w:space="0" w:color="auto"/>
              <w:left w:val="single" w:sz="4" w:space="0" w:color="auto"/>
              <w:bottom w:val="single" w:sz="4" w:space="0" w:color="auto"/>
              <w:right w:val="single" w:sz="4" w:space="0" w:color="auto"/>
            </w:tcBorders>
          </w:tcPr>
          <w:p w14:paraId="5E79F6FE" w14:textId="77777777" w:rsidR="00AD1F54" w:rsidRPr="00264D5D" w:rsidRDefault="00941227">
            <w:pPr>
              <w:pStyle w:val="GOSTTablenorm"/>
              <w:rPr>
                <w:szCs w:val="22"/>
              </w:rPr>
            </w:pPr>
            <w:r w:rsidRPr="00264D5D">
              <w:rPr>
                <w:szCs w:val="22"/>
              </w:rPr>
              <w:t>Контрагент</w:t>
            </w:r>
          </w:p>
        </w:tc>
        <w:tc>
          <w:tcPr>
            <w:tcW w:w="882" w:type="pct"/>
            <w:tcBorders>
              <w:top w:val="single" w:sz="4" w:space="0" w:color="auto"/>
              <w:left w:val="single" w:sz="4" w:space="0" w:color="auto"/>
              <w:bottom w:val="single" w:sz="4" w:space="0" w:color="auto"/>
              <w:right w:val="single" w:sz="4" w:space="0" w:color="auto"/>
            </w:tcBorders>
          </w:tcPr>
          <w:p w14:paraId="0805499D" w14:textId="77777777" w:rsidR="00AD1F54" w:rsidRPr="00264D5D" w:rsidRDefault="00941227">
            <w:pPr>
              <w:pStyle w:val="GOSTTablenorm"/>
              <w:rPr>
                <w:szCs w:val="22"/>
              </w:rPr>
            </w:pPr>
            <w:r w:rsidRPr="00264D5D">
              <w:rPr>
                <w:szCs w:val="22"/>
              </w:rPr>
              <w:t>ZR_MSC_Cntrctr</w:t>
            </w:r>
          </w:p>
        </w:tc>
        <w:tc>
          <w:tcPr>
            <w:tcW w:w="294" w:type="pct"/>
            <w:tcBorders>
              <w:top w:val="single" w:sz="4" w:space="0" w:color="auto"/>
              <w:left w:val="single" w:sz="4" w:space="0" w:color="auto"/>
              <w:bottom w:val="single" w:sz="4" w:space="0" w:color="auto"/>
              <w:right w:val="single" w:sz="4" w:space="0" w:color="auto"/>
            </w:tcBorders>
          </w:tcPr>
          <w:p w14:paraId="4DE5CF9F" w14:textId="77777777" w:rsidR="00AD1F54" w:rsidRPr="00264D5D" w:rsidRDefault="00941227">
            <w:pPr>
              <w:pStyle w:val="GOSTTablenorm"/>
              <w:jc w:val="center"/>
              <w:rPr>
                <w:szCs w:val="22"/>
              </w:rPr>
            </w:pPr>
            <w:r w:rsidRPr="00264D5D">
              <w:rPr>
                <w:szCs w:val="22"/>
              </w:rPr>
              <w:t>С</w:t>
            </w:r>
          </w:p>
        </w:tc>
        <w:tc>
          <w:tcPr>
            <w:tcW w:w="589" w:type="pct"/>
            <w:tcBorders>
              <w:top w:val="single" w:sz="4" w:space="0" w:color="auto"/>
              <w:left w:val="single" w:sz="4" w:space="0" w:color="auto"/>
              <w:bottom w:val="single" w:sz="4" w:space="0" w:color="auto"/>
              <w:right w:val="single" w:sz="4" w:space="0" w:color="auto"/>
            </w:tcBorders>
          </w:tcPr>
          <w:p w14:paraId="045ADA76" w14:textId="77777777" w:rsidR="00AD1F54" w:rsidRPr="00264D5D" w:rsidRDefault="00941227">
            <w:pPr>
              <w:pStyle w:val="GOSTTablenorm"/>
              <w:rPr>
                <w:szCs w:val="22"/>
              </w:rPr>
            </w:pPr>
            <w:r w:rsidRPr="00264D5D">
              <w:rPr>
                <w:szCs w:val="22"/>
              </w:rPr>
              <w:t>tMSC_Cntrctr</w:t>
            </w:r>
          </w:p>
        </w:tc>
        <w:tc>
          <w:tcPr>
            <w:tcW w:w="294" w:type="pct"/>
            <w:tcBorders>
              <w:top w:val="single" w:sz="4" w:space="0" w:color="auto"/>
              <w:left w:val="single" w:sz="4" w:space="0" w:color="auto"/>
              <w:bottom w:val="single" w:sz="4" w:space="0" w:color="auto"/>
              <w:right w:val="single" w:sz="4" w:space="0" w:color="auto"/>
            </w:tcBorders>
          </w:tcPr>
          <w:p w14:paraId="2C7B9039" w14:textId="77777777" w:rsidR="00AD1F54" w:rsidRPr="00264D5D" w:rsidRDefault="00941227">
            <w:pPr>
              <w:pStyle w:val="GOSTTablenorm"/>
              <w:jc w:val="center"/>
              <w:rPr>
                <w:szCs w:val="22"/>
              </w:rPr>
            </w:pPr>
            <w:r w:rsidRPr="00264D5D">
              <w:rPr>
                <w:szCs w:val="22"/>
              </w:rPr>
              <w:t>О</w:t>
            </w:r>
          </w:p>
        </w:tc>
        <w:tc>
          <w:tcPr>
            <w:tcW w:w="2058" w:type="pct"/>
            <w:tcBorders>
              <w:top w:val="single" w:sz="4" w:space="0" w:color="auto"/>
              <w:left w:val="single" w:sz="4" w:space="0" w:color="auto"/>
              <w:bottom w:val="single" w:sz="4" w:space="0" w:color="auto"/>
              <w:right w:val="single" w:sz="4" w:space="0" w:color="auto"/>
            </w:tcBorders>
          </w:tcPr>
          <w:p w14:paraId="1B58ACC2" w14:textId="74FF3DD8" w:rsidR="00AD1F54" w:rsidRPr="00264D5D" w:rsidRDefault="00941227">
            <w:pPr>
              <w:pStyle w:val="GOSTTablenorm"/>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_Ref503526324 \h  \* MERGEFORMAT </w:instrText>
            </w:r>
            <w:r w:rsidRPr="00264D5D">
              <w:rPr>
                <w:b/>
                <w:szCs w:val="22"/>
              </w:rPr>
            </w:r>
            <w:r w:rsidRPr="00264D5D">
              <w:rPr>
                <w:b/>
                <w:szCs w:val="22"/>
              </w:rPr>
              <w:fldChar w:fldCharType="separate"/>
            </w:r>
            <w:r w:rsidR="008D797C" w:rsidRPr="008D797C">
              <w:rPr>
                <w:b/>
                <w:szCs w:val="22"/>
              </w:rPr>
              <w:t>58</w:t>
            </w:r>
            <w:r w:rsidRPr="00264D5D">
              <w:rPr>
                <w:b/>
                <w:szCs w:val="22"/>
              </w:rPr>
              <w:fldChar w:fldCharType="end"/>
            </w:r>
          </w:p>
        </w:tc>
      </w:tr>
      <w:tr w:rsidR="00AD1F54" w:rsidRPr="00264D5D" w14:paraId="34598D3F" w14:textId="77777777" w:rsidTr="00AD1F54">
        <w:trPr>
          <w:cnfStyle w:val="000000100000" w:firstRow="0" w:lastRow="0" w:firstColumn="0" w:lastColumn="0" w:oddVBand="0" w:evenVBand="0" w:oddHBand="1" w:evenHBand="0" w:firstRowFirstColumn="0" w:firstRowLastColumn="0" w:lastRowFirstColumn="0" w:lastRowLastColumn="0"/>
        </w:trPr>
        <w:tc>
          <w:tcPr>
            <w:tcW w:w="5000" w:type="pct"/>
            <w:gridSpan w:val="6"/>
            <w:tcBorders>
              <w:top w:val="single" w:sz="4" w:space="0" w:color="auto"/>
              <w:left w:val="single" w:sz="4" w:space="0" w:color="auto"/>
              <w:bottom w:val="single" w:sz="4" w:space="0" w:color="auto"/>
              <w:right w:val="single" w:sz="4" w:space="0" w:color="auto"/>
            </w:tcBorders>
          </w:tcPr>
          <w:p w14:paraId="6F9EA62A" w14:textId="77777777" w:rsidR="00AD1F54" w:rsidRPr="00264D5D" w:rsidRDefault="00941227">
            <w:pPr>
              <w:pStyle w:val="GOSTTablenorm"/>
              <w:rPr>
                <w:szCs w:val="22"/>
              </w:rPr>
            </w:pPr>
            <w:r w:rsidRPr="00264D5D">
              <w:rPr>
                <w:b/>
                <w:szCs w:val="22"/>
              </w:rPr>
              <w:t>Реквизиты налогового платежа</w:t>
            </w:r>
          </w:p>
        </w:tc>
      </w:tr>
      <w:tr w:rsidR="00AD1F54" w:rsidRPr="00264D5D" w14:paraId="14BF86AB" w14:textId="77777777" w:rsidTr="00AD1F54">
        <w:trPr>
          <w:cnfStyle w:val="000000010000" w:firstRow="0" w:lastRow="0" w:firstColumn="0" w:lastColumn="0" w:oddVBand="0" w:evenVBand="0" w:oddHBand="0" w:evenHBand="1" w:firstRowFirstColumn="0" w:firstRowLastColumn="0" w:lastRowFirstColumn="0" w:lastRowLastColumn="0"/>
        </w:trPr>
        <w:tc>
          <w:tcPr>
            <w:tcW w:w="883" w:type="pct"/>
            <w:tcBorders>
              <w:top w:val="single" w:sz="4" w:space="0" w:color="auto"/>
              <w:left w:val="single" w:sz="4" w:space="0" w:color="auto"/>
              <w:bottom w:val="single" w:sz="4" w:space="0" w:color="auto"/>
              <w:right w:val="single" w:sz="4" w:space="0" w:color="auto"/>
            </w:tcBorders>
          </w:tcPr>
          <w:p w14:paraId="6A8C8A9E" w14:textId="77777777" w:rsidR="00AD1F54" w:rsidRPr="00264D5D" w:rsidRDefault="00941227">
            <w:pPr>
              <w:pStyle w:val="GOSTTablenorm"/>
              <w:rPr>
                <w:szCs w:val="22"/>
              </w:rPr>
            </w:pPr>
            <w:r w:rsidRPr="00264D5D">
              <w:rPr>
                <w:szCs w:val="22"/>
              </w:rPr>
              <w:t>Статус налогоплательщика</w:t>
            </w:r>
          </w:p>
        </w:tc>
        <w:tc>
          <w:tcPr>
            <w:tcW w:w="882" w:type="pct"/>
            <w:tcBorders>
              <w:top w:val="single" w:sz="4" w:space="0" w:color="auto"/>
              <w:left w:val="single" w:sz="4" w:space="0" w:color="auto"/>
              <w:bottom w:val="single" w:sz="4" w:space="0" w:color="auto"/>
              <w:right w:val="single" w:sz="4" w:space="0" w:color="auto"/>
            </w:tcBorders>
          </w:tcPr>
          <w:p w14:paraId="2CAEBC58" w14:textId="77777777" w:rsidR="00AD1F54" w:rsidRPr="00264D5D" w:rsidRDefault="00941227">
            <w:pPr>
              <w:pStyle w:val="GOSTTablenorm"/>
              <w:rPr>
                <w:szCs w:val="22"/>
              </w:rPr>
            </w:pPr>
            <w:r w:rsidRPr="00264D5D">
              <w:rPr>
                <w:szCs w:val="22"/>
              </w:rPr>
              <w:t>ZR_TxprSts</w:t>
            </w:r>
          </w:p>
        </w:tc>
        <w:tc>
          <w:tcPr>
            <w:tcW w:w="294" w:type="pct"/>
            <w:tcBorders>
              <w:top w:val="single" w:sz="4" w:space="0" w:color="auto"/>
              <w:left w:val="single" w:sz="4" w:space="0" w:color="auto"/>
              <w:bottom w:val="single" w:sz="4" w:space="0" w:color="auto"/>
              <w:right w:val="single" w:sz="4" w:space="0" w:color="auto"/>
            </w:tcBorders>
          </w:tcPr>
          <w:p w14:paraId="467C59DB" w14:textId="77777777" w:rsidR="00AD1F54" w:rsidRPr="00264D5D" w:rsidRDefault="00941227">
            <w:pPr>
              <w:pStyle w:val="GOSTTablenorm"/>
              <w:jc w:val="center"/>
              <w:rPr>
                <w:szCs w:val="22"/>
              </w:rPr>
            </w:pPr>
            <w:r w:rsidRPr="00264D5D">
              <w:rPr>
                <w:szCs w:val="22"/>
              </w:rPr>
              <w:t>П</w:t>
            </w:r>
          </w:p>
        </w:tc>
        <w:tc>
          <w:tcPr>
            <w:tcW w:w="589" w:type="pct"/>
            <w:tcBorders>
              <w:top w:val="single" w:sz="4" w:space="0" w:color="auto"/>
              <w:left w:val="single" w:sz="4" w:space="0" w:color="auto"/>
              <w:bottom w:val="single" w:sz="4" w:space="0" w:color="auto"/>
              <w:right w:val="single" w:sz="4" w:space="0" w:color="auto"/>
            </w:tcBorders>
          </w:tcPr>
          <w:p w14:paraId="2B8FF0E4" w14:textId="77777777" w:rsidR="00AD1F54" w:rsidRPr="00264D5D" w:rsidRDefault="00941227">
            <w:pPr>
              <w:pStyle w:val="GOSTTablenorm"/>
              <w:rPr>
                <w:szCs w:val="22"/>
              </w:rPr>
            </w:pPr>
            <w:r w:rsidRPr="00264D5D">
              <w:rPr>
                <w:szCs w:val="22"/>
              </w:rPr>
              <w:t>Т(2)</w:t>
            </w:r>
          </w:p>
        </w:tc>
        <w:tc>
          <w:tcPr>
            <w:tcW w:w="294" w:type="pct"/>
            <w:tcBorders>
              <w:top w:val="single" w:sz="4" w:space="0" w:color="auto"/>
              <w:left w:val="single" w:sz="4" w:space="0" w:color="auto"/>
              <w:bottom w:val="single" w:sz="4" w:space="0" w:color="auto"/>
              <w:right w:val="single" w:sz="4" w:space="0" w:color="auto"/>
            </w:tcBorders>
          </w:tcPr>
          <w:p w14:paraId="4C19157F" w14:textId="77777777" w:rsidR="00AD1F54" w:rsidRPr="00264D5D" w:rsidRDefault="00941227">
            <w:pPr>
              <w:pStyle w:val="GOSTTablenorm"/>
              <w:jc w:val="center"/>
              <w:rPr>
                <w:szCs w:val="22"/>
              </w:rPr>
            </w:pPr>
            <w:r w:rsidRPr="00264D5D">
              <w:rPr>
                <w:szCs w:val="22"/>
              </w:rPr>
              <w:t>Н</w:t>
            </w:r>
          </w:p>
        </w:tc>
        <w:tc>
          <w:tcPr>
            <w:tcW w:w="2058" w:type="pct"/>
            <w:tcBorders>
              <w:top w:val="single" w:sz="4" w:space="0" w:color="auto"/>
              <w:left w:val="single" w:sz="4" w:space="0" w:color="auto"/>
              <w:bottom w:val="single" w:sz="4" w:space="0" w:color="auto"/>
              <w:right w:val="single" w:sz="4" w:space="0" w:color="auto"/>
            </w:tcBorders>
          </w:tcPr>
          <w:p w14:paraId="795A8B97" w14:textId="77777777" w:rsidR="00AD1F54" w:rsidRPr="00264D5D" w:rsidRDefault="00941227">
            <w:pPr>
              <w:pStyle w:val="GOSTTablenorm"/>
              <w:rPr>
                <w:szCs w:val="22"/>
              </w:rPr>
            </w:pPr>
            <w:r w:rsidRPr="00264D5D">
              <w:rPr>
                <w:szCs w:val="22"/>
              </w:rPr>
              <w:t>Указывается статус налогоплательщика.</w:t>
            </w:r>
          </w:p>
          <w:p w14:paraId="21AA139F" w14:textId="77777777" w:rsidR="00AD1F54" w:rsidRPr="00264D5D" w:rsidRDefault="00941227">
            <w:pPr>
              <w:spacing w:before="60" w:after="60"/>
              <w:rPr>
                <w:sz w:val="22"/>
                <w:szCs w:val="22"/>
              </w:rPr>
            </w:pPr>
            <w:r w:rsidRPr="00264D5D">
              <w:rPr>
                <w:sz w:val="22"/>
                <w:szCs w:val="22"/>
              </w:rPr>
              <w:t xml:space="preserve">Поле обязательно для заполнения, если в поле «Счет контрагента» указан счет контрагента, соответствующий казначейскому счету №№ 03100; 03212; 03222; 03232; 03242; 03262; 03272; 03214; 03224; 03234; 03244 или в реквизите «БИК банка контрагента/ТОФК» указан БИК ПБР и при этом счет контрагента соответствует балансовому счету «40503», «40603» и «40703» с признаком «4» в 14-м разряде, «40204» </w:t>
            </w:r>
          </w:p>
        </w:tc>
      </w:tr>
      <w:tr w:rsidR="00AD1F54" w:rsidRPr="00264D5D" w14:paraId="74018698" w14:textId="77777777" w:rsidTr="00AD1F54">
        <w:trPr>
          <w:cnfStyle w:val="000000100000" w:firstRow="0" w:lastRow="0" w:firstColumn="0" w:lastColumn="0" w:oddVBand="0" w:evenVBand="0" w:oddHBand="1" w:evenHBand="0" w:firstRowFirstColumn="0" w:firstRowLastColumn="0" w:lastRowFirstColumn="0" w:lastRowLastColumn="0"/>
        </w:trPr>
        <w:tc>
          <w:tcPr>
            <w:tcW w:w="883" w:type="pct"/>
            <w:tcBorders>
              <w:top w:val="single" w:sz="4" w:space="0" w:color="auto"/>
            </w:tcBorders>
          </w:tcPr>
          <w:p w14:paraId="129E01AD" w14:textId="77777777" w:rsidR="00AD1F54" w:rsidRPr="00264D5D" w:rsidRDefault="00941227">
            <w:pPr>
              <w:pStyle w:val="GOSTTablenorm"/>
              <w:rPr>
                <w:szCs w:val="22"/>
              </w:rPr>
            </w:pPr>
            <w:r w:rsidRPr="00264D5D">
              <w:rPr>
                <w:szCs w:val="22"/>
              </w:rPr>
              <w:lastRenderedPageBreak/>
              <w:t>Код бюджетной классификации</w:t>
            </w:r>
          </w:p>
        </w:tc>
        <w:tc>
          <w:tcPr>
            <w:tcW w:w="882" w:type="pct"/>
            <w:tcBorders>
              <w:top w:val="single" w:sz="4" w:space="0" w:color="auto"/>
            </w:tcBorders>
          </w:tcPr>
          <w:p w14:paraId="52B2FC20" w14:textId="77777777" w:rsidR="00AD1F54" w:rsidRPr="00264D5D" w:rsidRDefault="00941227">
            <w:pPr>
              <w:pStyle w:val="GOSTTablenorm"/>
              <w:rPr>
                <w:szCs w:val="22"/>
              </w:rPr>
            </w:pPr>
            <w:r w:rsidRPr="00264D5D">
              <w:rPr>
                <w:szCs w:val="22"/>
              </w:rPr>
              <w:t>ZR_KBK</w:t>
            </w:r>
          </w:p>
        </w:tc>
        <w:tc>
          <w:tcPr>
            <w:tcW w:w="294" w:type="pct"/>
            <w:tcBorders>
              <w:top w:val="single" w:sz="4" w:space="0" w:color="auto"/>
            </w:tcBorders>
          </w:tcPr>
          <w:p w14:paraId="377F2CE5" w14:textId="77777777" w:rsidR="00AD1F54" w:rsidRPr="00264D5D" w:rsidRDefault="00941227">
            <w:pPr>
              <w:pStyle w:val="GOSTTablenorm"/>
              <w:jc w:val="center"/>
              <w:rPr>
                <w:szCs w:val="22"/>
              </w:rPr>
            </w:pPr>
            <w:r w:rsidRPr="00264D5D">
              <w:rPr>
                <w:szCs w:val="22"/>
              </w:rPr>
              <w:t>П</w:t>
            </w:r>
          </w:p>
        </w:tc>
        <w:tc>
          <w:tcPr>
            <w:tcW w:w="589" w:type="pct"/>
            <w:tcBorders>
              <w:top w:val="single" w:sz="4" w:space="0" w:color="auto"/>
            </w:tcBorders>
          </w:tcPr>
          <w:p w14:paraId="24EA1BCB" w14:textId="77777777" w:rsidR="00AD1F54" w:rsidRPr="00264D5D" w:rsidRDefault="00941227">
            <w:pPr>
              <w:pStyle w:val="GOSTTablenorm"/>
              <w:rPr>
                <w:szCs w:val="22"/>
              </w:rPr>
            </w:pPr>
            <w:r w:rsidRPr="00264D5D">
              <w:rPr>
                <w:szCs w:val="22"/>
              </w:rPr>
              <w:t>Т(1-20)</w:t>
            </w:r>
          </w:p>
        </w:tc>
        <w:tc>
          <w:tcPr>
            <w:tcW w:w="294" w:type="pct"/>
            <w:tcBorders>
              <w:top w:val="single" w:sz="4" w:space="0" w:color="auto"/>
            </w:tcBorders>
          </w:tcPr>
          <w:p w14:paraId="443902FA" w14:textId="77777777" w:rsidR="00AD1F54" w:rsidRPr="00264D5D" w:rsidRDefault="00941227">
            <w:pPr>
              <w:pStyle w:val="GOSTTablenorm"/>
              <w:jc w:val="center"/>
              <w:rPr>
                <w:szCs w:val="22"/>
              </w:rPr>
            </w:pPr>
            <w:r w:rsidRPr="00264D5D">
              <w:rPr>
                <w:szCs w:val="22"/>
              </w:rPr>
              <w:t>Н</w:t>
            </w:r>
          </w:p>
        </w:tc>
        <w:tc>
          <w:tcPr>
            <w:tcW w:w="2058" w:type="pct"/>
            <w:tcBorders>
              <w:top w:val="single" w:sz="4" w:space="0" w:color="auto"/>
            </w:tcBorders>
          </w:tcPr>
          <w:p w14:paraId="5A340E8E" w14:textId="77777777" w:rsidR="00AD1F54" w:rsidRPr="00264D5D" w:rsidRDefault="00941227">
            <w:pPr>
              <w:pStyle w:val="GOSTTablenorm"/>
              <w:rPr>
                <w:szCs w:val="22"/>
              </w:rPr>
            </w:pPr>
            <w:r w:rsidRPr="00264D5D">
              <w:rPr>
                <w:szCs w:val="22"/>
              </w:rPr>
              <w:t>Указывается КБК в соответствии с действующими Указаниями по БК.</w:t>
            </w:r>
          </w:p>
          <w:p w14:paraId="1A1F4058" w14:textId="77777777" w:rsidR="00AD1F54" w:rsidRPr="00264D5D" w:rsidRDefault="00941227">
            <w:pPr>
              <w:pStyle w:val="GOSTTablenorm"/>
              <w:rPr>
                <w:szCs w:val="22"/>
              </w:rPr>
            </w:pPr>
            <w:r w:rsidRPr="00264D5D">
              <w:rPr>
                <w:szCs w:val="22"/>
              </w:rPr>
              <w:t>Обязательно для заполнения, если заполнено поле «Статус налогоплательщика».</w:t>
            </w:r>
          </w:p>
          <w:p w14:paraId="3BF432E1" w14:textId="77777777" w:rsidR="00AD1F54" w:rsidRPr="00264D5D" w:rsidRDefault="00941227">
            <w:pPr>
              <w:pStyle w:val="GOSTTablenorm"/>
              <w:rPr>
                <w:szCs w:val="22"/>
              </w:rPr>
            </w:pPr>
            <w:r w:rsidRPr="00264D5D">
              <w:rPr>
                <w:szCs w:val="22"/>
              </w:rPr>
              <w:t>В случае заполнения длина поля строго ограничена количеством символов равным 1 знаку, принимающему значение ноль («0»), либо 20 знакам, при этом все знаки одновременно не могут принимать значение ноль («0»).</w:t>
            </w:r>
          </w:p>
          <w:p w14:paraId="2250C372" w14:textId="77777777" w:rsidR="00AD1F54" w:rsidRPr="00264D5D" w:rsidRDefault="00941227">
            <w:pPr>
              <w:pStyle w:val="GOSTTablenorm"/>
              <w:rPr>
                <w:szCs w:val="22"/>
              </w:rPr>
            </w:pPr>
            <w:r w:rsidRPr="00264D5D">
              <w:rPr>
                <w:szCs w:val="22"/>
              </w:rPr>
              <w:t>Если в поле «Счет контрагента» указан счет № 03100, то обязательно для заполнения значением, состоящим из 20 знаков.</w:t>
            </w:r>
          </w:p>
          <w:p w14:paraId="0F66C0DD" w14:textId="77777777" w:rsidR="00AD1F54" w:rsidRPr="00264D5D" w:rsidRDefault="00941227">
            <w:pPr>
              <w:pStyle w:val="GOSTTablenorm"/>
              <w:rPr>
                <w:szCs w:val="22"/>
              </w:rPr>
            </w:pPr>
            <w:r w:rsidRPr="00264D5D">
              <w:rPr>
                <w:szCs w:val="22"/>
              </w:rPr>
              <w:t>Если в поле «Счет контрагента» указан иной счет, открытый ТОФК, то обязательно для заполнения значением, состоящим из 1 знак</w:t>
            </w:r>
            <w:r w:rsidR="00BA58C1" w:rsidRPr="00264D5D">
              <w:rPr>
                <w:szCs w:val="22"/>
              </w:rPr>
              <w:t>а, либо 20 знаков</w:t>
            </w:r>
          </w:p>
        </w:tc>
      </w:tr>
      <w:tr w:rsidR="00AD1F54" w:rsidRPr="00264D5D" w14:paraId="71ABF609" w14:textId="77777777" w:rsidTr="00AD1F54">
        <w:trPr>
          <w:cnfStyle w:val="000000010000" w:firstRow="0" w:lastRow="0" w:firstColumn="0" w:lastColumn="0" w:oddVBand="0" w:evenVBand="0" w:oddHBand="0" w:evenHBand="1" w:firstRowFirstColumn="0" w:firstRowLastColumn="0" w:lastRowFirstColumn="0" w:lastRowLastColumn="0"/>
        </w:trPr>
        <w:tc>
          <w:tcPr>
            <w:tcW w:w="883" w:type="pct"/>
          </w:tcPr>
          <w:p w14:paraId="79956AC7" w14:textId="77777777" w:rsidR="00AD1F54" w:rsidRPr="00264D5D" w:rsidRDefault="00941227">
            <w:pPr>
              <w:pStyle w:val="GOSTTablenorm"/>
              <w:rPr>
                <w:szCs w:val="22"/>
              </w:rPr>
            </w:pPr>
            <w:r w:rsidRPr="00264D5D">
              <w:rPr>
                <w:szCs w:val="22"/>
              </w:rPr>
              <w:t>Код ОКТМО</w:t>
            </w:r>
          </w:p>
        </w:tc>
        <w:tc>
          <w:tcPr>
            <w:tcW w:w="882" w:type="pct"/>
          </w:tcPr>
          <w:p w14:paraId="742E5458" w14:textId="77777777" w:rsidR="00AD1F54" w:rsidRPr="00264D5D" w:rsidRDefault="00941227">
            <w:pPr>
              <w:pStyle w:val="GOSTTablenorm"/>
              <w:rPr>
                <w:szCs w:val="22"/>
              </w:rPr>
            </w:pPr>
            <w:r w:rsidRPr="00264D5D">
              <w:rPr>
                <w:szCs w:val="22"/>
              </w:rPr>
              <w:t>ZR_OKTMO</w:t>
            </w:r>
          </w:p>
        </w:tc>
        <w:tc>
          <w:tcPr>
            <w:tcW w:w="294" w:type="pct"/>
          </w:tcPr>
          <w:p w14:paraId="30669E25" w14:textId="77777777" w:rsidR="00AD1F54" w:rsidRPr="00264D5D" w:rsidRDefault="00941227">
            <w:pPr>
              <w:pStyle w:val="GOSTTablenorm"/>
              <w:jc w:val="center"/>
              <w:rPr>
                <w:szCs w:val="22"/>
              </w:rPr>
            </w:pPr>
            <w:r w:rsidRPr="00264D5D">
              <w:rPr>
                <w:szCs w:val="22"/>
              </w:rPr>
              <w:t>П</w:t>
            </w:r>
          </w:p>
        </w:tc>
        <w:tc>
          <w:tcPr>
            <w:tcW w:w="589" w:type="pct"/>
          </w:tcPr>
          <w:p w14:paraId="6BCDB3C0" w14:textId="77777777" w:rsidR="00AD1F54" w:rsidRPr="00264D5D" w:rsidRDefault="00941227">
            <w:pPr>
              <w:pStyle w:val="GOSTTablenorm"/>
              <w:rPr>
                <w:szCs w:val="22"/>
              </w:rPr>
            </w:pPr>
            <w:r w:rsidRPr="00264D5D">
              <w:rPr>
                <w:szCs w:val="22"/>
              </w:rPr>
              <w:t>Т(1-8)</w:t>
            </w:r>
          </w:p>
        </w:tc>
        <w:tc>
          <w:tcPr>
            <w:tcW w:w="294" w:type="pct"/>
          </w:tcPr>
          <w:p w14:paraId="4D75C370" w14:textId="77777777" w:rsidR="00AD1F54" w:rsidRPr="00264D5D" w:rsidRDefault="00941227">
            <w:pPr>
              <w:pStyle w:val="GOSTTablenorm"/>
              <w:jc w:val="center"/>
              <w:rPr>
                <w:szCs w:val="22"/>
              </w:rPr>
            </w:pPr>
            <w:r w:rsidRPr="00264D5D">
              <w:rPr>
                <w:szCs w:val="22"/>
              </w:rPr>
              <w:t>Н</w:t>
            </w:r>
          </w:p>
        </w:tc>
        <w:tc>
          <w:tcPr>
            <w:tcW w:w="2058" w:type="pct"/>
          </w:tcPr>
          <w:p w14:paraId="39D76EBD" w14:textId="77777777" w:rsidR="00AD1F54" w:rsidRPr="00264D5D" w:rsidRDefault="00941227">
            <w:pPr>
              <w:pStyle w:val="GOSTTablenorm"/>
              <w:rPr>
                <w:szCs w:val="22"/>
              </w:rPr>
            </w:pPr>
            <w:r w:rsidRPr="00264D5D">
              <w:rPr>
                <w:szCs w:val="22"/>
              </w:rPr>
              <w:t>Указывается код ОКТМО.</w:t>
            </w:r>
          </w:p>
          <w:p w14:paraId="18C01457" w14:textId="77777777" w:rsidR="00AD1F54" w:rsidRPr="00264D5D" w:rsidRDefault="00941227">
            <w:pPr>
              <w:pStyle w:val="GOSTTablenorm"/>
              <w:rPr>
                <w:szCs w:val="22"/>
              </w:rPr>
            </w:pPr>
            <w:r w:rsidRPr="00264D5D">
              <w:rPr>
                <w:szCs w:val="22"/>
              </w:rPr>
              <w:t>Обязательно для заполнения, если заполнено поле «Статус налогоплательщика».</w:t>
            </w:r>
          </w:p>
          <w:p w14:paraId="1BD9129E" w14:textId="77777777" w:rsidR="00AD1F54" w:rsidRPr="00264D5D" w:rsidRDefault="00941227">
            <w:pPr>
              <w:pStyle w:val="GOSTTablenorm"/>
              <w:rPr>
                <w:szCs w:val="22"/>
              </w:rPr>
            </w:pPr>
            <w:r w:rsidRPr="00264D5D">
              <w:rPr>
                <w:szCs w:val="22"/>
              </w:rPr>
              <w:t>В случае заполнения указывается значение ноль («0»), либо 8 знаков, при этом три нуля не могут быть впереди и все знаки одновременно не могу</w:t>
            </w:r>
            <w:r w:rsidR="00BA58C1" w:rsidRPr="00264D5D">
              <w:rPr>
                <w:szCs w:val="22"/>
              </w:rPr>
              <w:t>т принимать значение ноль («0»)</w:t>
            </w:r>
          </w:p>
        </w:tc>
      </w:tr>
      <w:tr w:rsidR="00AD1F54" w:rsidRPr="00264D5D" w14:paraId="32C33E3D" w14:textId="77777777" w:rsidTr="00AD1F54">
        <w:trPr>
          <w:cnfStyle w:val="000000100000" w:firstRow="0" w:lastRow="0" w:firstColumn="0" w:lastColumn="0" w:oddVBand="0" w:evenVBand="0" w:oddHBand="1" w:evenHBand="0" w:firstRowFirstColumn="0" w:firstRowLastColumn="0" w:lastRowFirstColumn="0" w:lastRowLastColumn="0"/>
        </w:trPr>
        <w:tc>
          <w:tcPr>
            <w:tcW w:w="883" w:type="pct"/>
          </w:tcPr>
          <w:p w14:paraId="6D0AB1C6" w14:textId="77777777" w:rsidR="00AD1F54" w:rsidRPr="00264D5D" w:rsidRDefault="00941227">
            <w:pPr>
              <w:pStyle w:val="GOSTTablenorm"/>
              <w:rPr>
                <w:szCs w:val="22"/>
              </w:rPr>
            </w:pPr>
            <w:r w:rsidRPr="00264D5D">
              <w:rPr>
                <w:szCs w:val="22"/>
              </w:rPr>
              <w:t>Показатель основания платежа</w:t>
            </w:r>
          </w:p>
        </w:tc>
        <w:tc>
          <w:tcPr>
            <w:tcW w:w="882" w:type="pct"/>
          </w:tcPr>
          <w:p w14:paraId="4E52F888" w14:textId="77777777" w:rsidR="00AD1F54" w:rsidRPr="00264D5D" w:rsidRDefault="00941227">
            <w:pPr>
              <w:pStyle w:val="GOSTTablenorm"/>
              <w:rPr>
                <w:szCs w:val="22"/>
              </w:rPr>
            </w:pPr>
            <w:r w:rsidRPr="00264D5D">
              <w:rPr>
                <w:szCs w:val="22"/>
              </w:rPr>
              <w:t>ZR_IndxBsPmnt</w:t>
            </w:r>
          </w:p>
        </w:tc>
        <w:tc>
          <w:tcPr>
            <w:tcW w:w="294" w:type="pct"/>
          </w:tcPr>
          <w:p w14:paraId="60156022" w14:textId="77777777" w:rsidR="00AD1F54" w:rsidRPr="00264D5D" w:rsidRDefault="00941227">
            <w:pPr>
              <w:pStyle w:val="GOSTTablenorm"/>
              <w:jc w:val="center"/>
              <w:rPr>
                <w:szCs w:val="22"/>
              </w:rPr>
            </w:pPr>
            <w:r w:rsidRPr="00264D5D">
              <w:rPr>
                <w:szCs w:val="22"/>
              </w:rPr>
              <w:t>П</w:t>
            </w:r>
          </w:p>
        </w:tc>
        <w:tc>
          <w:tcPr>
            <w:tcW w:w="589" w:type="pct"/>
          </w:tcPr>
          <w:p w14:paraId="2F15D351" w14:textId="77777777" w:rsidR="00AD1F54" w:rsidRPr="00264D5D" w:rsidRDefault="00941227">
            <w:pPr>
              <w:pStyle w:val="GOSTTablenorm"/>
              <w:rPr>
                <w:szCs w:val="22"/>
              </w:rPr>
            </w:pPr>
            <w:r w:rsidRPr="00264D5D">
              <w:rPr>
                <w:szCs w:val="22"/>
              </w:rPr>
              <w:t>Т(1-2)</w:t>
            </w:r>
          </w:p>
        </w:tc>
        <w:tc>
          <w:tcPr>
            <w:tcW w:w="294" w:type="pct"/>
          </w:tcPr>
          <w:p w14:paraId="73589188" w14:textId="77777777" w:rsidR="00AD1F54" w:rsidRPr="00264D5D" w:rsidRDefault="00941227">
            <w:pPr>
              <w:pStyle w:val="GOSTTablenorm"/>
              <w:jc w:val="center"/>
              <w:rPr>
                <w:szCs w:val="22"/>
              </w:rPr>
            </w:pPr>
            <w:r w:rsidRPr="00264D5D">
              <w:rPr>
                <w:szCs w:val="22"/>
              </w:rPr>
              <w:t>Н</w:t>
            </w:r>
          </w:p>
        </w:tc>
        <w:tc>
          <w:tcPr>
            <w:tcW w:w="2058" w:type="pct"/>
          </w:tcPr>
          <w:p w14:paraId="27D3F6B5" w14:textId="77777777" w:rsidR="00AD1F54" w:rsidRPr="00264D5D" w:rsidRDefault="00941227">
            <w:pPr>
              <w:pStyle w:val="GOSTTablenorm"/>
              <w:rPr>
                <w:szCs w:val="22"/>
              </w:rPr>
            </w:pPr>
            <w:r w:rsidRPr="00264D5D">
              <w:rPr>
                <w:szCs w:val="22"/>
              </w:rPr>
              <w:t>Указывается показатель основания платежа.</w:t>
            </w:r>
          </w:p>
          <w:p w14:paraId="09AC519A" w14:textId="77777777" w:rsidR="00AD1F54" w:rsidRPr="00264D5D" w:rsidRDefault="00941227">
            <w:pPr>
              <w:pStyle w:val="GOSTTablenorm"/>
              <w:rPr>
                <w:szCs w:val="22"/>
              </w:rPr>
            </w:pPr>
            <w:r w:rsidRPr="00264D5D">
              <w:rPr>
                <w:szCs w:val="22"/>
              </w:rPr>
              <w:t xml:space="preserve">Обязательно для заполнения, если заполнено </w:t>
            </w:r>
            <w:r w:rsidR="00BA58C1" w:rsidRPr="00264D5D">
              <w:rPr>
                <w:szCs w:val="22"/>
              </w:rPr>
              <w:t>поле «Статус налогоплательщика»</w:t>
            </w:r>
          </w:p>
        </w:tc>
      </w:tr>
      <w:tr w:rsidR="00AD1F54" w:rsidRPr="00264D5D" w14:paraId="5AC04B3B" w14:textId="77777777" w:rsidTr="00AD1F54">
        <w:trPr>
          <w:cnfStyle w:val="000000010000" w:firstRow="0" w:lastRow="0" w:firstColumn="0" w:lastColumn="0" w:oddVBand="0" w:evenVBand="0" w:oddHBand="0" w:evenHBand="1" w:firstRowFirstColumn="0" w:firstRowLastColumn="0" w:lastRowFirstColumn="0" w:lastRowLastColumn="0"/>
        </w:trPr>
        <w:tc>
          <w:tcPr>
            <w:tcW w:w="883" w:type="pct"/>
          </w:tcPr>
          <w:p w14:paraId="073773F8" w14:textId="77777777" w:rsidR="00AD1F54" w:rsidRPr="00264D5D" w:rsidRDefault="00941227">
            <w:pPr>
              <w:pStyle w:val="GOSTTablenorm"/>
              <w:rPr>
                <w:szCs w:val="22"/>
              </w:rPr>
            </w:pPr>
            <w:r w:rsidRPr="00264D5D">
              <w:rPr>
                <w:szCs w:val="22"/>
              </w:rPr>
              <w:t>Показатель налогового периода/кода таможенного органа</w:t>
            </w:r>
          </w:p>
        </w:tc>
        <w:tc>
          <w:tcPr>
            <w:tcW w:w="882" w:type="pct"/>
          </w:tcPr>
          <w:p w14:paraId="7568A158" w14:textId="77777777" w:rsidR="00AD1F54" w:rsidRPr="00264D5D" w:rsidRDefault="00941227">
            <w:pPr>
              <w:pStyle w:val="GOSTTablenorm"/>
              <w:rPr>
                <w:szCs w:val="22"/>
              </w:rPr>
            </w:pPr>
            <w:r w:rsidRPr="00264D5D">
              <w:rPr>
                <w:szCs w:val="22"/>
              </w:rPr>
              <w:t>ZR_IndxTxPrd</w:t>
            </w:r>
          </w:p>
        </w:tc>
        <w:tc>
          <w:tcPr>
            <w:tcW w:w="294" w:type="pct"/>
          </w:tcPr>
          <w:p w14:paraId="4A02AC46" w14:textId="77777777" w:rsidR="00AD1F54" w:rsidRPr="00264D5D" w:rsidRDefault="00941227">
            <w:pPr>
              <w:pStyle w:val="GOSTTablenorm"/>
              <w:jc w:val="center"/>
              <w:rPr>
                <w:szCs w:val="22"/>
              </w:rPr>
            </w:pPr>
            <w:r w:rsidRPr="00264D5D">
              <w:rPr>
                <w:szCs w:val="22"/>
              </w:rPr>
              <w:t>П</w:t>
            </w:r>
          </w:p>
        </w:tc>
        <w:tc>
          <w:tcPr>
            <w:tcW w:w="589" w:type="pct"/>
          </w:tcPr>
          <w:p w14:paraId="6397C448" w14:textId="77777777" w:rsidR="00AD1F54" w:rsidRPr="00264D5D" w:rsidRDefault="00941227">
            <w:pPr>
              <w:pStyle w:val="GOSTTablenorm"/>
              <w:rPr>
                <w:szCs w:val="22"/>
              </w:rPr>
            </w:pPr>
            <w:r w:rsidRPr="00264D5D">
              <w:rPr>
                <w:szCs w:val="22"/>
              </w:rPr>
              <w:t>Т(1-10)</w:t>
            </w:r>
          </w:p>
        </w:tc>
        <w:tc>
          <w:tcPr>
            <w:tcW w:w="294" w:type="pct"/>
          </w:tcPr>
          <w:p w14:paraId="5051E99A" w14:textId="77777777" w:rsidR="00AD1F54" w:rsidRPr="00264D5D" w:rsidRDefault="00941227">
            <w:pPr>
              <w:pStyle w:val="GOSTTablenorm"/>
              <w:jc w:val="center"/>
              <w:rPr>
                <w:szCs w:val="22"/>
              </w:rPr>
            </w:pPr>
            <w:r w:rsidRPr="00264D5D">
              <w:rPr>
                <w:szCs w:val="22"/>
              </w:rPr>
              <w:t>Н</w:t>
            </w:r>
          </w:p>
        </w:tc>
        <w:tc>
          <w:tcPr>
            <w:tcW w:w="2058" w:type="pct"/>
          </w:tcPr>
          <w:p w14:paraId="717BA4EA" w14:textId="77777777" w:rsidR="00AD1F54" w:rsidRPr="00264D5D" w:rsidRDefault="00941227">
            <w:pPr>
              <w:pStyle w:val="GOSTTablenorm"/>
              <w:rPr>
                <w:szCs w:val="22"/>
              </w:rPr>
            </w:pPr>
            <w:r w:rsidRPr="00264D5D">
              <w:rPr>
                <w:szCs w:val="22"/>
              </w:rPr>
              <w:t>Указывается показатель налогового периода размерностью 10 знаков или размерностью 1 знак, принимающий при этом значение ноль («0»), либо указывается код таможенного органа размерностью 8 знаков.</w:t>
            </w:r>
          </w:p>
          <w:p w14:paraId="2F729B65" w14:textId="77777777" w:rsidR="00AD1F54" w:rsidRPr="00264D5D" w:rsidRDefault="00941227">
            <w:pPr>
              <w:pStyle w:val="GOSTTablenorm"/>
              <w:rPr>
                <w:szCs w:val="22"/>
              </w:rPr>
            </w:pPr>
            <w:r w:rsidRPr="00264D5D">
              <w:rPr>
                <w:szCs w:val="22"/>
              </w:rPr>
              <w:t>Обязательно для заполнения если, заполнено п</w:t>
            </w:r>
            <w:r w:rsidR="00BA58C1" w:rsidRPr="00264D5D">
              <w:rPr>
                <w:szCs w:val="22"/>
              </w:rPr>
              <w:t>оле «Статус налогоплательщика»</w:t>
            </w:r>
          </w:p>
        </w:tc>
      </w:tr>
      <w:tr w:rsidR="00AD1F54" w:rsidRPr="00264D5D" w14:paraId="0B1C2803" w14:textId="77777777" w:rsidTr="00AD1F54">
        <w:trPr>
          <w:cnfStyle w:val="000000100000" w:firstRow="0" w:lastRow="0" w:firstColumn="0" w:lastColumn="0" w:oddVBand="0" w:evenVBand="0" w:oddHBand="1" w:evenHBand="0" w:firstRowFirstColumn="0" w:firstRowLastColumn="0" w:lastRowFirstColumn="0" w:lastRowLastColumn="0"/>
        </w:trPr>
        <w:tc>
          <w:tcPr>
            <w:tcW w:w="883" w:type="pct"/>
          </w:tcPr>
          <w:p w14:paraId="1E12F299" w14:textId="77777777" w:rsidR="00AD1F54" w:rsidRPr="00264D5D" w:rsidRDefault="00941227">
            <w:pPr>
              <w:pStyle w:val="GOSTTablenorm"/>
              <w:rPr>
                <w:szCs w:val="22"/>
              </w:rPr>
            </w:pPr>
            <w:r w:rsidRPr="00264D5D">
              <w:rPr>
                <w:szCs w:val="22"/>
              </w:rPr>
              <w:t xml:space="preserve">Показатель </w:t>
            </w:r>
            <w:r w:rsidRPr="00264D5D">
              <w:rPr>
                <w:szCs w:val="22"/>
              </w:rPr>
              <w:lastRenderedPageBreak/>
              <w:t>номера документа</w:t>
            </w:r>
          </w:p>
        </w:tc>
        <w:tc>
          <w:tcPr>
            <w:tcW w:w="882" w:type="pct"/>
          </w:tcPr>
          <w:p w14:paraId="57F19B17" w14:textId="77777777" w:rsidR="00AD1F54" w:rsidRPr="00264D5D" w:rsidRDefault="00941227">
            <w:pPr>
              <w:pStyle w:val="GOSTTablenorm"/>
              <w:rPr>
                <w:szCs w:val="22"/>
              </w:rPr>
            </w:pPr>
            <w:r w:rsidRPr="00264D5D">
              <w:rPr>
                <w:szCs w:val="22"/>
              </w:rPr>
              <w:lastRenderedPageBreak/>
              <w:t>ZR_IndxNmDc</w:t>
            </w:r>
          </w:p>
        </w:tc>
        <w:tc>
          <w:tcPr>
            <w:tcW w:w="294" w:type="pct"/>
          </w:tcPr>
          <w:p w14:paraId="6AD7B471" w14:textId="77777777" w:rsidR="00AD1F54" w:rsidRPr="00264D5D" w:rsidRDefault="00941227">
            <w:pPr>
              <w:pStyle w:val="GOSTTablenorm"/>
              <w:jc w:val="center"/>
              <w:rPr>
                <w:szCs w:val="22"/>
              </w:rPr>
            </w:pPr>
            <w:r w:rsidRPr="00264D5D">
              <w:rPr>
                <w:szCs w:val="22"/>
              </w:rPr>
              <w:t>П</w:t>
            </w:r>
          </w:p>
        </w:tc>
        <w:tc>
          <w:tcPr>
            <w:tcW w:w="589" w:type="pct"/>
          </w:tcPr>
          <w:p w14:paraId="70325340" w14:textId="77777777" w:rsidR="00AD1F54" w:rsidRPr="00264D5D" w:rsidRDefault="00941227">
            <w:pPr>
              <w:pStyle w:val="GOSTTablenorm"/>
              <w:rPr>
                <w:szCs w:val="22"/>
              </w:rPr>
            </w:pPr>
            <w:r w:rsidRPr="00264D5D">
              <w:rPr>
                <w:szCs w:val="22"/>
              </w:rPr>
              <w:t>Т(1-15)</w:t>
            </w:r>
          </w:p>
        </w:tc>
        <w:tc>
          <w:tcPr>
            <w:tcW w:w="294" w:type="pct"/>
          </w:tcPr>
          <w:p w14:paraId="55B0B65C" w14:textId="77777777" w:rsidR="00AD1F54" w:rsidRPr="00264D5D" w:rsidRDefault="00941227">
            <w:pPr>
              <w:pStyle w:val="GOSTTablenorm"/>
              <w:jc w:val="center"/>
              <w:rPr>
                <w:szCs w:val="22"/>
              </w:rPr>
            </w:pPr>
            <w:r w:rsidRPr="00264D5D">
              <w:rPr>
                <w:szCs w:val="22"/>
              </w:rPr>
              <w:t>Н</w:t>
            </w:r>
          </w:p>
        </w:tc>
        <w:tc>
          <w:tcPr>
            <w:tcW w:w="2058" w:type="pct"/>
          </w:tcPr>
          <w:p w14:paraId="7750C7DA" w14:textId="77777777" w:rsidR="00AD1F54" w:rsidRPr="00264D5D" w:rsidRDefault="00941227">
            <w:pPr>
              <w:pStyle w:val="GOSTTablenorm"/>
              <w:rPr>
                <w:szCs w:val="22"/>
              </w:rPr>
            </w:pPr>
            <w:r w:rsidRPr="00264D5D">
              <w:rPr>
                <w:szCs w:val="22"/>
              </w:rPr>
              <w:t xml:space="preserve">Указывается показатель номера </w:t>
            </w:r>
            <w:r w:rsidRPr="00264D5D">
              <w:rPr>
                <w:szCs w:val="22"/>
              </w:rPr>
              <w:lastRenderedPageBreak/>
              <w:t>документа-основания.</w:t>
            </w:r>
          </w:p>
          <w:p w14:paraId="710FEDA1" w14:textId="77777777" w:rsidR="00AD1F54" w:rsidRPr="00264D5D" w:rsidRDefault="00941227">
            <w:pPr>
              <w:pStyle w:val="GOSTTablenorm"/>
              <w:rPr>
                <w:szCs w:val="22"/>
              </w:rPr>
            </w:pPr>
            <w:r w:rsidRPr="00264D5D">
              <w:rPr>
                <w:szCs w:val="22"/>
              </w:rPr>
              <w:t>Обязательно для заполнения если, заполнено поле «Статус налогоплательщика</w:t>
            </w:r>
            <w:r w:rsidR="00BA58C1" w:rsidRPr="00264D5D">
              <w:rPr>
                <w:szCs w:val="22"/>
              </w:rPr>
              <w:t>»</w:t>
            </w:r>
          </w:p>
        </w:tc>
      </w:tr>
      <w:tr w:rsidR="00AD1F54" w:rsidRPr="00264D5D" w14:paraId="1D3F9F11" w14:textId="77777777" w:rsidTr="00AD1F54">
        <w:trPr>
          <w:cnfStyle w:val="000000010000" w:firstRow="0" w:lastRow="0" w:firstColumn="0" w:lastColumn="0" w:oddVBand="0" w:evenVBand="0" w:oddHBand="0" w:evenHBand="1" w:firstRowFirstColumn="0" w:firstRowLastColumn="0" w:lastRowFirstColumn="0" w:lastRowLastColumn="0"/>
        </w:trPr>
        <w:tc>
          <w:tcPr>
            <w:tcW w:w="883" w:type="pct"/>
          </w:tcPr>
          <w:p w14:paraId="5237AB91" w14:textId="77777777" w:rsidR="00AD1F54" w:rsidRPr="00264D5D" w:rsidRDefault="00941227">
            <w:pPr>
              <w:pStyle w:val="GOSTTablenorm"/>
              <w:rPr>
                <w:szCs w:val="22"/>
              </w:rPr>
            </w:pPr>
            <w:r w:rsidRPr="00264D5D">
              <w:rPr>
                <w:szCs w:val="22"/>
              </w:rPr>
              <w:lastRenderedPageBreak/>
              <w:t>Показатель даты документа</w:t>
            </w:r>
          </w:p>
        </w:tc>
        <w:tc>
          <w:tcPr>
            <w:tcW w:w="882" w:type="pct"/>
          </w:tcPr>
          <w:p w14:paraId="3CBDC785" w14:textId="77777777" w:rsidR="00AD1F54" w:rsidRPr="00264D5D" w:rsidRDefault="00941227">
            <w:pPr>
              <w:pStyle w:val="GOSTTablenorm"/>
              <w:rPr>
                <w:szCs w:val="22"/>
              </w:rPr>
            </w:pPr>
            <w:r w:rsidRPr="00264D5D">
              <w:rPr>
                <w:szCs w:val="22"/>
              </w:rPr>
              <w:t>ZR_IndxDtDc</w:t>
            </w:r>
          </w:p>
        </w:tc>
        <w:tc>
          <w:tcPr>
            <w:tcW w:w="294" w:type="pct"/>
          </w:tcPr>
          <w:p w14:paraId="579C1E18" w14:textId="77777777" w:rsidR="00AD1F54" w:rsidRPr="00264D5D" w:rsidRDefault="00941227">
            <w:pPr>
              <w:pStyle w:val="GOSTTablenorm"/>
              <w:jc w:val="center"/>
              <w:rPr>
                <w:szCs w:val="22"/>
              </w:rPr>
            </w:pPr>
            <w:r w:rsidRPr="00264D5D">
              <w:rPr>
                <w:szCs w:val="22"/>
              </w:rPr>
              <w:t>П</w:t>
            </w:r>
          </w:p>
        </w:tc>
        <w:tc>
          <w:tcPr>
            <w:tcW w:w="589" w:type="pct"/>
          </w:tcPr>
          <w:p w14:paraId="1B3B6453" w14:textId="77777777" w:rsidR="00AD1F54" w:rsidRPr="00264D5D" w:rsidRDefault="00941227">
            <w:pPr>
              <w:pStyle w:val="GOSTTablenorm"/>
              <w:rPr>
                <w:szCs w:val="22"/>
              </w:rPr>
            </w:pPr>
            <w:r w:rsidRPr="00264D5D">
              <w:rPr>
                <w:szCs w:val="22"/>
              </w:rPr>
              <w:t>Т(1-10)</w:t>
            </w:r>
          </w:p>
        </w:tc>
        <w:tc>
          <w:tcPr>
            <w:tcW w:w="294" w:type="pct"/>
          </w:tcPr>
          <w:p w14:paraId="50848351" w14:textId="77777777" w:rsidR="00AD1F54" w:rsidRPr="00264D5D" w:rsidRDefault="00941227">
            <w:pPr>
              <w:pStyle w:val="GOSTTablenorm"/>
              <w:jc w:val="center"/>
              <w:rPr>
                <w:szCs w:val="22"/>
              </w:rPr>
            </w:pPr>
            <w:r w:rsidRPr="00264D5D">
              <w:rPr>
                <w:szCs w:val="22"/>
              </w:rPr>
              <w:t>Н</w:t>
            </w:r>
          </w:p>
        </w:tc>
        <w:tc>
          <w:tcPr>
            <w:tcW w:w="2058" w:type="pct"/>
          </w:tcPr>
          <w:p w14:paraId="06AE98FD" w14:textId="77777777" w:rsidR="00AD1F54" w:rsidRPr="00264D5D" w:rsidRDefault="00941227">
            <w:pPr>
              <w:pStyle w:val="GOSTTablenorm"/>
              <w:rPr>
                <w:szCs w:val="22"/>
              </w:rPr>
            </w:pPr>
            <w:r w:rsidRPr="00264D5D">
              <w:rPr>
                <w:szCs w:val="22"/>
              </w:rPr>
              <w:t>Указывается показатель даты документа-основания.</w:t>
            </w:r>
          </w:p>
          <w:p w14:paraId="732FDE3A" w14:textId="77777777" w:rsidR="00AD1F54" w:rsidRPr="00264D5D" w:rsidRDefault="00941227">
            <w:pPr>
              <w:pStyle w:val="GOSTTablenorm"/>
              <w:rPr>
                <w:szCs w:val="22"/>
              </w:rPr>
            </w:pPr>
            <w:r w:rsidRPr="00264D5D">
              <w:rPr>
                <w:szCs w:val="22"/>
              </w:rPr>
              <w:t>Поле обязательно для заполнения, если заполнено поле «Статус налогоплательщика». При этом поле может принимать значение:</w:t>
            </w:r>
          </w:p>
          <w:p w14:paraId="0E6D3961" w14:textId="77777777" w:rsidR="00AD1F54" w:rsidRPr="00264D5D" w:rsidRDefault="00941227" w:rsidP="00101F62">
            <w:pPr>
              <w:pStyle w:val="GOSTTablenorm"/>
              <w:numPr>
                <w:ilvl w:val="0"/>
                <w:numId w:val="134"/>
              </w:numPr>
              <w:ind w:left="284" w:hanging="227"/>
              <w:rPr>
                <w:szCs w:val="22"/>
              </w:rPr>
            </w:pPr>
            <w:r w:rsidRPr="00264D5D">
              <w:rPr>
                <w:szCs w:val="22"/>
              </w:rPr>
              <w:t>состоящее из 1 знака, принимающего значение ноль («0»);</w:t>
            </w:r>
          </w:p>
          <w:p w14:paraId="0F3EFDB5" w14:textId="77777777" w:rsidR="00AD1F54" w:rsidRPr="00264D5D" w:rsidRDefault="00941227" w:rsidP="00101F62">
            <w:pPr>
              <w:pStyle w:val="GOSTTablenorm"/>
              <w:numPr>
                <w:ilvl w:val="0"/>
                <w:numId w:val="134"/>
              </w:numPr>
              <w:ind w:left="284" w:hanging="227"/>
              <w:rPr>
                <w:szCs w:val="22"/>
              </w:rPr>
            </w:pPr>
            <w:r w:rsidRPr="00264D5D">
              <w:rPr>
                <w:szCs w:val="22"/>
              </w:rPr>
              <w:t>состоящее из 2 знаков, принимающих одновременно значение ноль («00»);</w:t>
            </w:r>
          </w:p>
          <w:p w14:paraId="7E97B675" w14:textId="77777777" w:rsidR="00AD1F54" w:rsidRPr="00264D5D" w:rsidRDefault="00941227" w:rsidP="00101F62">
            <w:pPr>
              <w:pStyle w:val="GOSTTablenorm"/>
              <w:numPr>
                <w:ilvl w:val="0"/>
                <w:numId w:val="134"/>
              </w:numPr>
              <w:ind w:left="284" w:hanging="227"/>
              <w:rPr>
                <w:szCs w:val="22"/>
              </w:rPr>
            </w:pPr>
            <w:r w:rsidRPr="00264D5D">
              <w:rPr>
                <w:szCs w:val="22"/>
              </w:rPr>
              <w:t>состоящее из 10 знаков, при этом все знаки одновременно не могу</w:t>
            </w:r>
            <w:r w:rsidR="00BA58C1" w:rsidRPr="00264D5D">
              <w:rPr>
                <w:szCs w:val="22"/>
              </w:rPr>
              <w:t>т принимать значение ноль («0»)</w:t>
            </w:r>
          </w:p>
        </w:tc>
      </w:tr>
      <w:tr w:rsidR="00AD1F54" w:rsidRPr="00264D5D" w14:paraId="44E1C103" w14:textId="77777777" w:rsidTr="00AD1F54">
        <w:trPr>
          <w:cnfStyle w:val="000000100000" w:firstRow="0" w:lastRow="0" w:firstColumn="0" w:lastColumn="0" w:oddVBand="0" w:evenVBand="0" w:oddHBand="1" w:evenHBand="0" w:firstRowFirstColumn="0" w:firstRowLastColumn="0" w:lastRowFirstColumn="0" w:lastRowLastColumn="0"/>
        </w:trPr>
        <w:tc>
          <w:tcPr>
            <w:tcW w:w="5000" w:type="pct"/>
            <w:gridSpan w:val="6"/>
          </w:tcPr>
          <w:p w14:paraId="2CC60CB2" w14:textId="77777777" w:rsidR="00AD1F54" w:rsidRPr="00264D5D" w:rsidRDefault="00941227">
            <w:pPr>
              <w:pStyle w:val="GOSTTablenorm"/>
              <w:rPr>
                <w:szCs w:val="22"/>
              </w:rPr>
            </w:pPr>
            <w:r w:rsidRPr="00264D5D">
              <w:rPr>
                <w:b/>
              </w:rPr>
              <w:t>Информация о платеже ЖКУ</w:t>
            </w:r>
          </w:p>
        </w:tc>
      </w:tr>
      <w:tr w:rsidR="00AD1F54" w:rsidRPr="00264D5D" w14:paraId="0E7EA05D" w14:textId="77777777" w:rsidTr="00AD1F54">
        <w:trPr>
          <w:cnfStyle w:val="000000010000" w:firstRow="0" w:lastRow="0" w:firstColumn="0" w:lastColumn="0" w:oddVBand="0" w:evenVBand="0" w:oddHBand="0" w:evenHBand="1" w:firstRowFirstColumn="0" w:firstRowLastColumn="0" w:lastRowFirstColumn="0" w:lastRowLastColumn="0"/>
        </w:trPr>
        <w:tc>
          <w:tcPr>
            <w:tcW w:w="883" w:type="pct"/>
          </w:tcPr>
          <w:p w14:paraId="23B65A59" w14:textId="77777777" w:rsidR="00AD1F54" w:rsidRPr="00264D5D" w:rsidRDefault="00941227">
            <w:pPr>
              <w:pStyle w:val="GOSTTablenorm"/>
              <w:rPr>
                <w:szCs w:val="22"/>
              </w:rPr>
            </w:pPr>
            <w:r w:rsidRPr="00264D5D">
              <w:t>Идентификатор ПД</w:t>
            </w:r>
          </w:p>
        </w:tc>
        <w:tc>
          <w:tcPr>
            <w:tcW w:w="882" w:type="pct"/>
          </w:tcPr>
          <w:p w14:paraId="25B4BC09" w14:textId="77777777" w:rsidR="00AD1F54" w:rsidRPr="00264D5D" w:rsidRDefault="00941227">
            <w:pPr>
              <w:pStyle w:val="GOSTTablenorm"/>
              <w:rPr>
                <w:szCs w:val="22"/>
              </w:rPr>
            </w:pPr>
            <w:r w:rsidRPr="00264D5D">
              <w:rPr>
                <w:szCs w:val="22"/>
              </w:rPr>
              <w:t>InfoPayZHKU_IdPd</w:t>
            </w:r>
          </w:p>
        </w:tc>
        <w:tc>
          <w:tcPr>
            <w:tcW w:w="294" w:type="pct"/>
          </w:tcPr>
          <w:p w14:paraId="219E657C" w14:textId="77777777" w:rsidR="00AD1F54" w:rsidRPr="00264D5D" w:rsidRDefault="00941227">
            <w:pPr>
              <w:pStyle w:val="GOSTTablenorm"/>
              <w:jc w:val="center"/>
              <w:rPr>
                <w:szCs w:val="22"/>
              </w:rPr>
            </w:pPr>
            <w:r w:rsidRPr="00264D5D">
              <w:rPr>
                <w:szCs w:val="22"/>
              </w:rPr>
              <w:t>П</w:t>
            </w:r>
          </w:p>
        </w:tc>
        <w:tc>
          <w:tcPr>
            <w:tcW w:w="589" w:type="pct"/>
          </w:tcPr>
          <w:p w14:paraId="54A81312" w14:textId="77777777" w:rsidR="00AD1F54" w:rsidRPr="00264D5D" w:rsidRDefault="00941227">
            <w:pPr>
              <w:pStyle w:val="GOSTTablenorm"/>
              <w:rPr>
                <w:szCs w:val="22"/>
              </w:rPr>
            </w:pPr>
            <w:r w:rsidRPr="00264D5D">
              <w:t>Т(18)</w:t>
            </w:r>
          </w:p>
        </w:tc>
        <w:tc>
          <w:tcPr>
            <w:tcW w:w="294" w:type="pct"/>
          </w:tcPr>
          <w:p w14:paraId="4EF08F40" w14:textId="77777777" w:rsidR="00AD1F54" w:rsidRPr="00264D5D" w:rsidRDefault="00941227">
            <w:pPr>
              <w:pStyle w:val="GOSTTablenorm"/>
              <w:jc w:val="center"/>
              <w:rPr>
                <w:szCs w:val="22"/>
              </w:rPr>
            </w:pPr>
            <w:r w:rsidRPr="00264D5D">
              <w:rPr>
                <w:szCs w:val="22"/>
              </w:rPr>
              <w:t>Н</w:t>
            </w:r>
          </w:p>
        </w:tc>
        <w:tc>
          <w:tcPr>
            <w:tcW w:w="2058" w:type="pct"/>
          </w:tcPr>
          <w:p w14:paraId="7DB471CC" w14:textId="77777777" w:rsidR="00AD1F54" w:rsidRPr="00264D5D" w:rsidRDefault="00941227">
            <w:pPr>
              <w:pStyle w:val="GOSTTablenorm"/>
              <w:rPr>
                <w:szCs w:val="22"/>
              </w:rPr>
            </w:pPr>
            <w:r w:rsidRPr="00264D5D">
              <w:t xml:space="preserve">Указывается идентификатор платежного документа в формате 00АА000000-00-0000, </w:t>
            </w:r>
            <w:r w:rsidRPr="00264D5D">
              <w:rPr>
                <w:szCs w:val="28"/>
                <w:lang w:eastAsia="en-US"/>
              </w:rPr>
              <w:t xml:space="preserve">где </w:t>
            </w:r>
            <w:r w:rsidRPr="00264D5D">
              <w:t>знак «0» означает цифру, а знак «А» означает букву рус</w:t>
            </w:r>
            <w:r w:rsidR="00BA58C1" w:rsidRPr="00264D5D">
              <w:t>ского алфавита в любом регистре</w:t>
            </w:r>
          </w:p>
        </w:tc>
      </w:tr>
      <w:tr w:rsidR="00AD1F54" w:rsidRPr="00264D5D" w14:paraId="2B6D240C" w14:textId="77777777" w:rsidTr="00AD1F54">
        <w:trPr>
          <w:cnfStyle w:val="000000100000" w:firstRow="0" w:lastRow="0" w:firstColumn="0" w:lastColumn="0" w:oddVBand="0" w:evenVBand="0" w:oddHBand="1" w:evenHBand="0" w:firstRowFirstColumn="0" w:firstRowLastColumn="0" w:lastRowFirstColumn="0" w:lastRowLastColumn="0"/>
        </w:trPr>
        <w:tc>
          <w:tcPr>
            <w:tcW w:w="883" w:type="pct"/>
          </w:tcPr>
          <w:p w14:paraId="2ADAD000" w14:textId="77777777" w:rsidR="00AD1F54" w:rsidRPr="00264D5D" w:rsidRDefault="00941227">
            <w:pPr>
              <w:pStyle w:val="GOSTTablenorm"/>
              <w:rPr>
                <w:szCs w:val="22"/>
              </w:rPr>
            </w:pPr>
            <w:r w:rsidRPr="00264D5D">
              <w:t>Период оплаты</w:t>
            </w:r>
          </w:p>
        </w:tc>
        <w:tc>
          <w:tcPr>
            <w:tcW w:w="882" w:type="pct"/>
          </w:tcPr>
          <w:p w14:paraId="276A5D07" w14:textId="77777777" w:rsidR="00AD1F54" w:rsidRPr="00264D5D" w:rsidRDefault="00941227">
            <w:pPr>
              <w:pStyle w:val="GOSTTablenorm"/>
              <w:rPr>
                <w:szCs w:val="22"/>
              </w:rPr>
            </w:pPr>
            <w:r w:rsidRPr="00264D5D">
              <w:rPr>
                <w:szCs w:val="22"/>
              </w:rPr>
              <w:t>InfoPayZHKU_PayPeriod</w:t>
            </w:r>
          </w:p>
        </w:tc>
        <w:tc>
          <w:tcPr>
            <w:tcW w:w="294" w:type="pct"/>
          </w:tcPr>
          <w:p w14:paraId="367FA4E5" w14:textId="77777777" w:rsidR="00AD1F54" w:rsidRPr="00264D5D" w:rsidRDefault="00941227">
            <w:pPr>
              <w:pStyle w:val="GOSTTablenorm"/>
              <w:jc w:val="center"/>
              <w:rPr>
                <w:szCs w:val="22"/>
              </w:rPr>
            </w:pPr>
            <w:r w:rsidRPr="00264D5D">
              <w:rPr>
                <w:szCs w:val="22"/>
              </w:rPr>
              <w:t>П</w:t>
            </w:r>
          </w:p>
        </w:tc>
        <w:tc>
          <w:tcPr>
            <w:tcW w:w="589" w:type="pct"/>
          </w:tcPr>
          <w:p w14:paraId="59E5A661" w14:textId="77777777" w:rsidR="00AD1F54" w:rsidRPr="00264D5D" w:rsidRDefault="00941227">
            <w:pPr>
              <w:pStyle w:val="GOSTTablenorm"/>
              <w:rPr>
                <w:szCs w:val="22"/>
              </w:rPr>
            </w:pPr>
            <w:r w:rsidRPr="00264D5D">
              <w:t>Т(7)</w:t>
            </w:r>
          </w:p>
        </w:tc>
        <w:tc>
          <w:tcPr>
            <w:tcW w:w="294" w:type="pct"/>
          </w:tcPr>
          <w:p w14:paraId="5A2CB220" w14:textId="77777777" w:rsidR="00AD1F54" w:rsidRPr="00264D5D" w:rsidRDefault="00941227">
            <w:pPr>
              <w:pStyle w:val="GOSTTablenorm"/>
              <w:jc w:val="center"/>
              <w:rPr>
                <w:szCs w:val="22"/>
              </w:rPr>
            </w:pPr>
            <w:r w:rsidRPr="00264D5D">
              <w:rPr>
                <w:szCs w:val="22"/>
              </w:rPr>
              <w:t>Н</w:t>
            </w:r>
          </w:p>
        </w:tc>
        <w:tc>
          <w:tcPr>
            <w:tcW w:w="2058" w:type="pct"/>
          </w:tcPr>
          <w:p w14:paraId="7FBA5C20" w14:textId="77777777" w:rsidR="00AD1F54" w:rsidRPr="00264D5D" w:rsidRDefault="00941227">
            <w:pPr>
              <w:spacing w:before="60" w:after="60"/>
              <w:rPr>
                <w:sz w:val="22"/>
              </w:rPr>
            </w:pPr>
            <w:r w:rsidRPr="00264D5D">
              <w:rPr>
                <w:sz w:val="22"/>
              </w:rPr>
              <w:t>Указывается период оплаты в формате М</w:t>
            </w:r>
            <w:r w:rsidR="00BA58C1" w:rsidRPr="00264D5D">
              <w:rPr>
                <w:sz w:val="22"/>
              </w:rPr>
              <w:t>М.ГГГГ</w:t>
            </w:r>
          </w:p>
        </w:tc>
      </w:tr>
      <w:tr w:rsidR="00AD1F54" w:rsidRPr="00264D5D" w14:paraId="0F0D7A20" w14:textId="77777777" w:rsidTr="00AD1F54">
        <w:trPr>
          <w:cnfStyle w:val="000000010000" w:firstRow="0" w:lastRow="0" w:firstColumn="0" w:lastColumn="0" w:oddVBand="0" w:evenVBand="0" w:oddHBand="0" w:evenHBand="1" w:firstRowFirstColumn="0" w:firstRowLastColumn="0" w:lastRowFirstColumn="0" w:lastRowLastColumn="0"/>
        </w:trPr>
        <w:tc>
          <w:tcPr>
            <w:tcW w:w="883" w:type="pct"/>
          </w:tcPr>
          <w:p w14:paraId="150CB3E8" w14:textId="77777777" w:rsidR="00AD1F54" w:rsidRPr="00264D5D" w:rsidRDefault="00941227">
            <w:pPr>
              <w:pStyle w:val="GOSTTablenorm"/>
              <w:rPr>
                <w:szCs w:val="22"/>
              </w:rPr>
            </w:pPr>
            <w:r w:rsidRPr="00264D5D">
              <w:t>Единый л/с</w:t>
            </w:r>
          </w:p>
        </w:tc>
        <w:tc>
          <w:tcPr>
            <w:tcW w:w="882" w:type="pct"/>
          </w:tcPr>
          <w:p w14:paraId="235E9311" w14:textId="77777777" w:rsidR="00AD1F54" w:rsidRPr="00264D5D" w:rsidRDefault="00941227">
            <w:pPr>
              <w:pStyle w:val="GOSTTablenorm"/>
              <w:rPr>
                <w:szCs w:val="22"/>
              </w:rPr>
            </w:pPr>
            <w:r w:rsidRPr="00264D5D">
              <w:rPr>
                <w:szCs w:val="22"/>
              </w:rPr>
              <w:t>InfoPayZHKU_SingleAcc</w:t>
            </w:r>
          </w:p>
        </w:tc>
        <w:tc>
          <w:tcPr>
            <w:tcW w:w="294" w:type="pct"/>
          </w:tcPr>
          <w:p w14:paraId="7E3CA719" w14:textId="77777777" w:rsidR="00AD1F54" w:rsidRPr="00264D5D" w:rsidRDefault="00941227">
            <w:pPr>
              <w:pStyle w:val="GOSTTablenorm"/>
              <w:jc w:val="center"/>
              <w:rPr>
                <w:szCs w:val="22"/>
              </w:rPr>
            </w:pPr>
            <w:r w:rsidRPr="00264D5D">
              <w:rPr>
                <w:szCs w:val="22"/>
              </w:rPr>
              <w:t>П</w:t>
            </w:r>
          </w:p>
        </w:tc>
        <w:tc>
          <w:tcPr>
            <w:tcW w:w="589" w:type="pct"/>
          </w:tcPr>
          <w:p w14:paraId="77E36590" w14:textId="77777777" w:rsidR="00AD1F54" w:rsidRPr="00264D5D" w:rsidRDefault="00941227">
            <w:pPr>
              <w:pStyle w:val="GOSTTablenorm"/>
              <w:rPr>
                <w:szCs w:val="22"/>
              </w:rPr>
            </w:pPr>
            <w:r w:rsidRPr="00264D5D">
              <w:t>Т(10)</w:t>
            </w:r>
          </w:p>
        </w:tc>
        <w:tc>
          <w:tcPr>
            <w:tcW w:w="294" w:type="pct"/>
          </w:tcPr>
          <w:p w14:paraId="69BC2C56" w14:textId="77777777" w:rsidR="00AD1F54" w:rsidRPr="00264D5D" w:rsidRDefault="00941227">
            <w:pPr>
              <w:pStyle w:val="GOSTTablenorm"/>
              <w:jc w:val="center"/>
              <w:rPr>
                <w:szCs w:val="22"/>
              </w:rPr>
            </w:pPr>
            <w:r w:rsidRPr="00264D5D">
              <w:rPr>
                <w:szCs w:val="22"/>
              </w:rPr>
              <w:t>Н</w:t>
            </w:r>
          </w:p>
        </w:tc>
        <w:tc>
          <w:tcPr>
            <w:tcW w:w="2058" w:type="pct"/>
          </w:tcPr>
          <w:p w14:paraId="72FDD627" w14:textId="77777777" w:rsidR="00AD1F54" w:rsidRPr="00264D5D" w:rsidRDefault="00941227">
            <w:pPr>
              <w:pStyle w:val="GOSTTablenorm"/>
            </w:pPr>
            <w:r w:rsidRPr="00264D5D">
              <w:t xml:space="preserve">Указывается единый лицевой счет в формате 00АА000000, </w:t>
            </w:r>
            <w:r w:rsidRPr="00264D5D">
              <w:rPr>
                <w:szCs w:val="28"/>
                <w:lang w:eastAsia="en-US"/>
              </w:rPr>
              <w:t xml:space="preserve">где </w:t>
            </w:r>
            <w:r w:rsidRPr="00264D5D">
              <w:t>знак «0» означает цифру, а знак «А» означает букву рус</w:t>
            </w:r>
            <w:r w:rsidR="00BA58C1" w:rsidRPr="00264D5D">
              <w:t>ского алфавита в любом регистре</w:t>
            </w:r>
          </w:p>
        </w:tc>
      </w:tr>
      <w:tr w:rsidR="00AD1F54" w:rsidRPr="00264D5D" w14:paraId="1A08AC80" w14:textId="77777777" w:rsidTr="00AD1F54">
        <w:trPr>
          <w:cnfStyle w:val="000000100000" w:firstRow="0" w:lastRow="0" w:firstColumn="0" w:lastColumn="0" w:oddVBand="0" w:evenVBand="0" w:oddHBand="1" w:evenHBand="0" w:firstRowFirstColumn="0" w:firstRowLastColumn="0" w:lastRowFirstColumn="0" w:lastRowLastColumn="0"/>
        </w:trPr>
        <w:tc>
          <w:tcPr>
            <w:tcW w:w="883" w:type="pct"/>
          </w:tcPr>
          <w:p w14:paraId="1312DD18" w14:textId="77777777" w:rsidR="00AD1F54" w:rsidRPr="00264D5D" w:rsidRDefault="00941227">
            <w:pPr>
              <w:pStyle w:val="GOSTTablenorm"/>
              <w:rPr>
                <w:szCs w:val="22"/>
              </w:rPr>
            </w:pPr>
            <w:r w:rsidRPr="00264D5D">
              <w:t>Идентификатор ЖКУ</w:t>
            </w:r>
          </w:p>
        </w:tc>
        <w:tc>
          <w:tcPr>
            <w:tcW w:w="882" w:type="pct"/>
          </w:tcPr>
          <w:p w14:paraId="55B88F6D" w14:textId="77777777" w:rsidR="00AD1F54" w:rsidRPr="00264D5D" w:rsidRDefault="00941227">
            <w:pPr>
              <w:pStyle w:val="GOSTTablenorm"/>
              <w:rPr>
                <w:szCs w:val="22"/>
              </w:rPr>
            </w:pPr>
            <w:r w:rsidRPr="00264D5D">
              <w:rPr>
                <w:szCs w:val="22"/>
              </w:rPr>
              <w:t>InfoPayZHKU_IdZHKU</w:t>
            </w:r>
          </w:p>
        </w:tc>
        <w:tc>
          <w:tcPr>
            <w:tcW w:w="294" w:type="pct"/>
          </w:tcPr>
          <w:p w14:paraId="24631ACC" w14:textId="77777777" w:rsidR="00AD1F54" w:rsidRPr="00264D5D" w:rsidRDefault="00941227">
            <w:pPr>
              <w:pStyle w:val="GOSTTablenorm"/>
              <w:jc w:val="center"/>
              <w:rPr>
                <w:szCs w:val="22"/>
              </w:rPr>
            </w:pPr>
            <w:r w:rsidRPr="00264D5D">
              <w:rPr>
                <w:szCs w:val="22"/>
              </w:rPr>
              <w:t>П</w:t>
            </w:r>
          </w:p>
        </w:tc>
        <w:tc>
          <w:tcPr>
            <w:tcW w:w="589" w:type="pct"/>
          </w:tcPr>
          <w:p w14:paraId="0907C18E" w14:textId="77777777" w:rsidR="00AD1F54" w:rsidRPr="00264D5D" w:rsidRDefault="00941227">
            <w:pPr>
              <w:pStyle w:val="GOSTTablenorm"/>
              <w:rPr>
                <w:szCs w:val="22"/>
              </w:rPr>
            </w:pPr>
            <w:r w:rsidRPr="00264D5D">
              <w:t>Т(13)</w:t>
            </w:r>
          </w:p>
        </w:tc>
        <w:tc>
          <w:tcPr>
            <w:tcW w:w="294" w:type="pct"/>
          </w:tcPr>
          <w:p w14:paraId="099915F8" w14:textId="77777777" w:rsidR="00AD1F54" w:rsidRPr="00264D5D" w:rsidRDefault="00941227">
            <w:pPr>
              <w:pStyle w:val="GOSTTablenorm"/>
              <w:jc w:val="center"/>
              <w:rPr>
                <w:szCs w:val="22"/>
              </w:rPr>
            </w:pPr>
            <w:r w:rsidRPr="00264D5D">
              <w:rPr>
                <w:szCs w:val="22"/>
              </w:rPr>
              <w:t>Н</w:t>
            </w:r>
          </w:p>
        </w:tc>
        <w:tc>
          <w:tcPr>
            <w:tcW w:w="2058" w:type="pct"/>
          </w:tcPr>
          <w:p w14:paraId="50EC731B" w14:textId="77777777" w:rsidR="00AD1F54" w:rsidRPr="00264D5D" w:rsidRDefault="00941227">
            <w:pPr>
              <w:pStyle w:val="GOSTTablenorm"/>
              <w:rPr>
                <w:szCs w:val="22"/>
              </w:rPr>
            </w:pPr>
            <w:r w:rsidRPr="00264D5D">
              <w:t xml:space="preserve">Указывается идентификатор жилищно-коммунальной услуги в формате 00АА000000-00, </w:t>
            </w:r>
            <w:r w:rsidRPr="00264D5D">
              <w:rPr>
                <w:szCs w:val="28"/>
                <w:lang w:eastAsia="en-US"/>
              </w:rPr>
              <w:t xml:space="preserve">где </w:t>
            </w:r>
            <w:r w:rsidRPr="00264D5D">
              <w:t>знак «0» означает цифру, а знак «А» означает букву рус</w:t>
            </w:r>
            <w:r w:rsidR="00BA58C1" w:rsidRPr="00264D5D">
              <w:t>ского алфавита в любом регистре</w:t>
            </w:r>
          </w:p>
        </w:tc>
      </w:tr>
      <w:tr w:rsidR="00AD1F54" w:rsidRPr="00264D5D" w14:paraId="5F67D56D" w14:textId="77777777" w:rsidTr="00AD1F54">
        <w:trPr>
          <w:cnfStyle w:val="000000010000" w:firstRow="0" w:lastRow="0" w:firstColumn="0" w:lastColumn="0" w:oddVBand="0" w:evenVBand="0" w:oddHBand="0" w:evenHBand="1" w:firstRowFirstColumn="0" w:firstRowLastColumn="0" w:lastRowFirstColumn="0" w:lastRowLastColumn="0"/>
        </w:trPr>
        <w:tc>
          <w:tcPr>
            <w:tcW w:w="5000" w:type="pct"/>
            <w:gridSpan w:val="6"/>
          </w:tcPr>
          <w:p w14:paraId="59CE6E3C" w14:textId="77777777" w:rsidR="00AD1F54" w:rsidRPr="00264D5D" w:rsidRDefault="00941227">
            <w:pPr>
              <w:pStyle w:val="GOSTTablenorm"/>
            </w:pPr>
            <w:r w:rsidRPr="00264D5D">
              <w:rPr>
                <w:b/>
                <w:szCs w:val="22"/>
              </w:rPr>
              <w:t>Подписи</w:t>
            </w:r>
          </w:p>
        </w:tc>
      </w:tr>
      <w:tr w:rsidR="00AD1F54" w:rsidRPr="00264D5D" w14:paraId="243FDAC8" w14:textId="77777777" w:rsidTr="00AD1F54">
        <w:trPr>
          <w:cnfStyle w:val="000000100000" w:firstRow="0" w:lastRow="0" w:firstColumn="0" w:lastColumn="0" w:oddVBand="0" w:evenVBand="0" w:oddHBand="1" w:evenHBand="0" w:firstRowFirstColumn="0" w:firstRowLastColumn="0" w:lastRowFirstColumn="0" w:lastRowLastColumn="0"/>
        </w:trPr>
        <w:tc>
          <w:tcPr>
            <w:tcW w:w="883" w:type="pct"/>
          </w:tcPr>
          <w:p w14:paraId="2D73AA70" w14:textId="77777777" w:rsidR="00AD1F54" w:rsidRPr="00264D5D" w:rsidRDefault="00941227">
            <w:pPr>
              <w:pStyle w:val="GOSTTablenorm"/>
              <w:rPr>
                <w:szCs w:val="22"/>
              </w:rPr>
            </w:pPr>
            <w:r w:rsidRPr="00264D5D">
              <w:rPr>
                <w:szCs w:val="22"/>
              </w:rPr>
              <w:t>Информация о руководителе</w:t>
            </w:r>
          </w:p>
        </w:tc>
        <w:tc>
          <w:tcPr>
            <w:tcW w:w="882" w:type="pct"/>
          </w:tcPr>
          <w:p w14:paraId="495E5D7C" w14:textId="77777777" w:rsidR="00AD1F54" w:rsidRPr="00264D5D" w:rsidRDefault="00941227">
            <w:pPr>
              <w:pStyle w:val="GOSTTablenorm"/>
              <w:rPr>
                <w:szCs w:val="22"/>
              </w:rPr>
            </w:pPr>
            <w:r w:rsidRPr="00264D5D">
              <w:rPr>
                <w:szCs w:val="22"/>
              </w:rPr>
              <w:t>ZR_MSC_Hd</w:t>
            </w:r>
          </w:p>
        </w:tc>
        <w:tc>
          <w:tcPr>
            <w:tcW w:w="294" w:type="pct"/>
          </w:tcPr>
          <w:p w14:paraId="44352CDF" w14:textId="77777777" w:rsidR="00AD1F54" w:rsidRPr="00264D5D" w:rsidRDefault="00941227">
            <w:pPr>
              <w:pStyle w:val="GOSTTablenorm"/>
              <w:jc w:val="center"/>
              <w:rPr>
                <w:szCs w:val="22"/>
              </w:rPr>
            </w:pPr>
            <w:r w:rsidRPr="00264D5D">
              <w:rPr>
                <w:szCs w:val="22"/>
              </w:rPr>
              <w:t>С</w:t>
            </w:r>
          </w:p>
        </w:tc>
        <w:tc>
          <w:tcPr>
            <w:tcW w:w="589" w:type="pct"/>
          </w:tcPr>
          <w:p w14:paraId="47074426" w14:textId="77777777" w:rsidR="00AD1F54" w:rsidRPr="00264D5D" w:rsidRDefault="00941227">
            <w:pPr>
              <w:pStyle w:val="GOSTTablenorm"/>
              <w:rPr>
                <w:szCs w:val="22"/>
              </w:rPr>
            </w:pPr>
            <w:r w:rsidRPr="00264D5D">
              <w:rPr>
                <w:szCs w:val="22"/>
              </w:rPr>
              <w:t>tSGNNmPs</w:t>
            </w:r>
          </w:p>
        </w:tc>
        <w:tc>
          <w:tcPr>
            <w:tcW w:w="294" w:type="pct"/>
          </w:tcPr>
          <w:p w14:paraId="7CCE372C" w14:textId="77777777" w:rsidR="00AD1F54" w:rsidRPr="00264D5D" w:rsidRDefault="00941227">
            <w:pPr>
              <w:pStyle w:val="GOSTTablenorm"/>
              <w:jc w:val="center"/>
              <w:rPr>
                <w:szCs w:val="22"/>
              </w:rPr>
            </w:pPr>
            <w:r w:rsidRPr="00264D5D">
              <w:rPr>
                <w:szCs w:val="22"/>
              </w:rPr>
              <w:t>Н</w:t>
            </w:r>
          </w:p>
        </w:tc>
        <w:tc>
          <w:tcPr>
            <w:tcW w:w="2058" w:type="pct"/>
          </w:tcPr>
          <w:p w14:paraId="0E279D3B" w14:textId="77777777" w:rsidR="00AD1F54" w:rsidRPr="00264D5D" w:rsidRDefault="00941227">
            <w:pPr>
              <w:pStyle w:val="GOSTTablenorm"/>
              <w:rPr>
                <w:szCs w:val="22"/>
              </w:rPr>
            </w:pPr>
            <w:r w:rsidRPr="00264D5D">
              <w:rPr>
                <w:szCs w:val="22"/>
              </w:rPr>
              <w:t>Информация о руководителе.</w:t>
            </w:r>
          </w:p>
          <w:p w14:paraId="20C798DB" w14:textId="75CEDFFF" w:rsidR="00AD1F54" w:rsidRPr="00264D5D" w:rsidRDefault="00941227">
            <w:pPr>
              <w:pStyle w:val="GOSTTablenorm"/>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_Ref503530256 \h  \* MERGEFORMAT </w:instrText>
            </w:r>
            <w:r w:rsidRPr="00264D5D">
              <w:rPr>
                <w:b/>
                <w:szCs w:val="22"/>
              </w:rPr>
            </w:r>
            <w:r w:rsidRPr="00264D5D">
              <w:rPr>
                <w:b/>
                <w:szCs w:val="22"/>
              </w:rPr>
              <w:fldChar w:fldCharType="separate"/>
            </w:r>
            <w:r w:rsidR="008D797C" w:rsidRPr="008D797C">
              <w:rPr>
                <w:b/>
                <w:szCs w:val="22"/>
              </w:rPr>
              <w:t>60</w:t>
            </w:r>
            <w:r w:rsidRPr="00264D5D">
              <w:rPr>
                <w:b/>
                <w:szCs w:val="22"/>
              </w:rPr>
              <w:fldChar w:fldCharType="end"/>
            </w:r>
          </w:p>
        </w:tc>
      </w:tr>
      <w:tr w:rsidR="00AD1F54" w:rsidRPr="00264D5D" w14:paraId="5B4FA09D" w14:textId="77777777" w:rsidTr="00AD1F54">
        <w:trPr>
          <w:cnfStyle w:val="000000010000" w:firstRow="0" w:lastRow="0" w:firstColumn="0" w:lastColumn="0" w:oddVBand="0" w:evenVBand="0" w:oddHBand="0" w:evenHBand="1" w:firstRowFirstColumn="0" w:firstRowLastColumn="0" w:lastRowFirstColumn="0" w:lastRowLastColumn="0"/>
        </w:trPr>
        <w:tc>
          <w:tcPr>
            <w:tcW w:w="883" w:type="pct"/>
          </w:tcPr>
          <w:p w14:paraId="40B90099" w14:textId="77777777" w:rsidR="00AD1F54" w:rsidRPr="00264D5D" w:rsidRDefault="00941227">
            <w:pPr>
              <w:pStyle w:val="GOSTTablenorm"/>
              <w:rPr>
                <w:szCs w:val="22"/>
              </w:rPr>
            </w:pPr>
            <w:r w:rsidRPr="00264D5D">
              <w:rPr>
                <w:szCs w:val="22"/>
              </w:rPr>
              <w:t xml:space="preserve">Дата подписания </w:t>
            </w:r>
            <w:r w:rsidRPr="00264D5D">
              <w:rPr>
                <w:szCs w:val="22"/>
              </w:rPr>
              <w:lastRenderedPageBreak/>
              <w:t>заявки</w:t>
            </w:r>
          </w:p>
        </w:tc>
        <w:tc>
          <w:tcPr>
            <w:tcW w:w="882" w:type="pct"/>
          </w:tcPr>
          <w:p w14:paraId="1458D489" w14:textId="77777777" w:rsidR="00AD1F54" w:rsidRPr="00264D5D" w:rsidRDefault="00941227">
            <w:pPr>
              <w:pStyle w:val="GOSTTablenorm"/>
              <w:rPr>
                <w:szCs w:val="22"/>
              </w:rPr>
            </w:pPr>
            <w:r w:rsidRPr="00264D5D">
              <w:rPr>
                <w:szCs w:val="22"/>
              </w:rPr>
              <w:lastRenderedPageBreak/>
              <w:t>ZR_SgngDtPOD</w:t>
            </w:r>
          </w:p>
        </w:tc>
        <w:tc>
          <w:tcPr>
            <w:tcW w:w="294" w:type="pct"/>
          </w:tcPr>
          <w:p w14:paraId="2EDE5547" w14:textId="77777777" w:rsidR="00AD1F54" w:rsidRPr="00264D5D" w:rsidRDefault="00941227">
            <w:pPr>
              <w:pStyle w:val="GOSTTablenorm"/>
              <w:jc w:val="center"/>
              <w:rPr>
                <w:szCs w:val="22"/>
              </w:rPr>
            </w:pPr>
            <w:r w:rsidRPr="00264D5D">
              <w:rPr>
                <w:szCs w:val="22"/>
              </w:rPr>
              <w:t>П</w:t>
            </w:r>
          </w:p>
        </w:tc>
        <w:tc>
          <w:tcPr>
            <w:tcW w:w="589" w:type="pct"/>
          </w:tcPr>
          <w:p w14:paraId="227A3F8A" w14:textId="77777777" w:rsidR="00AD1F54" w:rsidRPr="00264D5D" w:rsidRDefault="00941227">
            <w:pPr>
              <w:pStyle w:val="GOSTTablenorm"/>
              <w:rPr>
                <w:szCs w:val="22"/>
              </w:rPr>
            </w:pPr>
            <w:r w:rsidRPr="00264D5D">
              <w:rPr>
                <w:szCs w:val="22"/>
                <w:lang w:val="en-US"/>
              </w:rPr>
              <w:t>D</w:t>
            </w:r>
            <w:r w:rsidRPr="00264D5D">
              <w:rPr>
                <w:szCs w:val="22"/>
              </w:rPr>
              <w:t>ate</w:t>
            </w:r>
          </w:p>
        </w:tc>
        <w:tc>
          <w:tcPr>
            <w:tcW w:w="294" w:type="pct"/>
          </w:tcPr>
          <w:p w14:paraId="46E45432" w14:textId="77777777" w:rsidR="00AD1F54" w:rsidRPr="00264D5D" w:rsidRDefault="00941227">
            <w:pPr>
              <w:pStyle w:val="GOSTTablenorm"/>
              <w:jc w:val="center"/>
              <w:rPr>
                <w:szCs w:val="22"/>
              </w:rPr>
            </w:pPr>
            <w:r w:rsidRPr="00264D5D">
              <w:rPr>
                <w:szCs w:val="22"/>
              </w:rPr>
              <w:t>Н</w:t>
            </w:r>
          </w:p>
        </w:tc>
        <w:tc>
          <w:tcPr>
            <w:tcW w:w="2058" w:type="pct"/>
          </w:tcPr>
          <w:p w14:paraId="407ECB72" w14:textId="77777777" w:rsidR="00AD1F54" w:rsidRPr="00264D5D" w:rsidRDefault="00BA58C1">
            <w:pPr>
              <w:pStyle w:val="GOSTTablenorm"/>
              <w:rPr>
                <w:szCs w:val="22"/>
              </w:rPr>
            </w:pPr>
            <w:r w:rsidRPr="00264D5D">
              <w:rPr>
                <w:szCs w:val="22"/>
              </w:rPr>
              <w:t>Дата подписания заявки</w:t>
            </w:r>
          </w:p>
        </w:tc>
      </w:tr>
      <w:tr w:rsidR="00AD1F54" w:rsidRPr="00264D5D" w14:paraId="37BBD419" w14:textId="77777777" w:rsidTr="00AD1F54">
        <w:trPr>
          <w:cnfStyle w:val="000000100000" w:firstRow="0" w:lastRow="0" w:firstColumn="0" w:lastColumn="0" w:oddVBand="0" w:evenVBand="0" w:oddHBand="1" w:evenHBand="0" w:firstRowFirstColumn="0" w:firstRowLastColumn="0" w:lastRowFirstColumn="0" w:lastRowLastColumn="0"/>
        </w:trPr>
        <w:tc>
          <w:tcPr>
            <w:tcW w:w="883" w:type="pct"/>
          </w:tcPr>
          <w:p w14:paraId="18D19CD3" w14:textId="77777777" w:rsidR="00AD1F54" w:rsidRPr="00264D5D" w:rsidRDefault="00941227">
            <w:pPr>
              <w:pStyle w:val="GOSTTablenorm"/>
              <w:rPr>
                <w:szCs w:val="22"/>
              </w:rPr>
            </w:pPr>
            <w:r w:rsidRPr="00264D5D">
              <w:rPr>
                <w:szCs w:val="22"/>
              </w:rPr>
              <w:lastRenderedPageBreak/>
              <w:t>Информация о главном бухгалтере (уполномоченном руководителем лице)</w:t>
            </w:r>
          </w:p>
        </w:tc>
        <w:tc>
          <w:tcPr>
            <w:tcW w:w="882" w:type="pct"/>
          </w:tcPr>
          <w:p w14:paraId="3C7A12CF" w14:textId="77777777" w:rsidR="00AD1F54" w:rsidRPr="00264D5D" w:rsidRDefault="00941227">
            <w:pPr>
              <w:pStyle w:val="GOSTTablenorm"/>
              <w:rPr>
                <w:szCs w:val="22"/>
              </w:rPr>
            </w:pPr>
            <w:r w:rsidRPr="00264D5D">
              <w:rPr>
                <w:szCs w:val="22"/>
              </w:rPr>
              <w:t>ZR_MSC_RspnExctr</w:t>
            </w:r>
          </w:p>
        </w:tc>
        <w:tc>
          <w:tcPr>
            <w:tcW w:w="294" w:type="pct"/>
          </w:tcPr>
          <w:p w14:paraId="323065F8" w14:textId="77777777" w:rsidR="00AD1F54" w:rsidRPr="00264D5D" w:rsidRDefault="00941227">
            <w:pPr>
              <w:pStyle w:val="GOSTTablenorm"/>
              <w:jc w:val="center"/>
              <w:rPr>
                <w:szCs w:val="22"/>
              </w:rPr>
            </w:pPr>
            <w:r w:rsidRPr="00264D5D">
              <w:rPr>
                <w:szCs w:val="22"/>
              </w:rPr>
              <w:t>С</w:t>
            </w:r>
          </w:p>
        </w:tc>
        <w:tc>
          <w:tcPr>
            <w:tcW w:w="589" w:type="pct"/>
          </w:tcPr>
          <w:p w14:paraId="05C49B9C" w14:textId="77777777" w:rsidR="00AD1F54" w:rsidRPr="00264D5D" w:rsidRDefault="00941227">
            <w:pPr>
              <w:pStyle w:val="GOSTTablenorm"/>
              <w:rPr>
                <w:szCs w:val="22"/>
              </w:rPr>
            </w:pPr>
            <w:r w:rsidRPr="00264D5D">
              <w:rPr>
                <w:szCs w:val="22"/>
              </w:rPr>
              <w:t>tSGNNmPs</w:t>
            </w:r>
          </w:p>
        </w:tc>
        <w:tc>
          <w:tcPr>
            <w:tcW w:w="294" w:type="pct"/>
          </w:tcPr>
          <w:p w14:paraId="62927235" w14:textId="77777777" w:rsidR="00AD1F54" w:rsidRPr="00264D5D" w:rsidRDefault="00941227">
            <w:pPr>
              <w:pStyle w:val="GOSTTablenorm"/>
              <w:jc w:val="center"/>
              <w:rPr>
                <w:szCs w:val="22"/>
              </w:rPr>
            </w:pPr>
            <w:r w:rsidRPr="00264D5D">
              <w:rPr>
                <w:szCs w:val="22"/>
              </w:rPr>
              <w:t>Н</w:t>
            </w:r>
          </w:p>
        </w:tc>
        <w:tc>
          <w:tcPr>
            <w:tcW w:w="2058" w:type="pct"/>
          </w:tcPr>
          <w:p w14:paraId="2734407C" w14:textId="77777777" w:rsidR="00AD1F54" w:rsidRPr="00264D5D" w:rsidRDefault="00941227">
            <w:pPr>
              <w:pStyle w:val="GOSTTablenorm"/>
              <w:rPr>
                <w:szCs w:val="22"/>
              </w:rPr>
            </w:pPr>
            <w:r w:rsidRPr="00264D5D">
              <w:rPr>
                <w:szCs w:val="22"/>
              </w:rPr>
              <w:t>Информация о главном бухгалтере (уполномоченном руководителем лице)</w:t>
            </w:r>
          </w:p>
          <w:p w14:paraId="1A9A97BC" w14:textId="1FBE5BC8" w:rsidR="00AD1F54" w:rsidRPr="00264D5D" w:rsidRDefault="00941227">
            <w:pPr>
              <w:pStyle w:val="GOSTTablenorm"/>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_Ref503530256 \h  \* MERGEFORMAT </w:instrText>
            </w:r>
            <w:r w:rsidRPr="00264D5D">
              <w:rPr>
                <w:b/>
                <w:szCs w:val="22"/>
              </w:rPr>
            </w:r>
            <w:r w:rsidRPr="00264D5D">
              <w:rPr>
                <w:b/>
                <w:szCs w:val="22"/>
              </w:rPr>
              <w:fldChar w:fldCharType="separate"/>
            </w:r>
            <w:r w:rsidR="008D797C" w:rsidRPr="008D797C">
              <w:rPr>
                <w:b/>
                <w:szCs w:val="22"/>
              </w:rPr>
              <w:t>60</w:t>
            </w:r>
            <w:r w:rsidRPr="00264D5D">
              <w:rPr>
                <w:b/>
                <w:szCs w:val="22"/>
              </w:rPr>
              <w:fldChar w:fldCharType="end"/>
            </w:r>
          </w:p>
        </w:tc>
      </w:tr>
      <w:tr w:rsidR="00AD1F54" w:rsidRPr="00264D5D" w14:paraId="68B3E0F0" w14:textId="77777777" w:rsidTr="00AD1F54">
        <w:trPr>
          <w:cnfStyle w:val="000000010000" w:firstRow="0" w:lastRow="0" w:firstColumn="0" w:lastColumn="0" w:oddVBand="0" w:evenVBand="0" w:oddHBand="0" w:evenHBand="1" w:firstRowFirstColumn="0" w:firstRowLastColumn="0" w:lastRowFirstColumn="0" w:lastRowLastColumn="0"/>
        </w:trPr>
        <w:tc>
          <w:tcPr>
            <w:tcW w:w="883" w:type="pct"/>
          </w:tcPr>
          <w:p w14:paraId="3BC4A3E4" w14:textId="77777777" w:rsidR="00AD1F54" w:rsidRPr="00264D5D" w:rsidRDefault="00941227">
            <w:pPr>
              <w:pStyle w:val="GOSTTablenorm"/>
              <w:rPr>
                <w:szCs w:val="22"/>
              </w:rPr>
            </w:pPr>
            <w:r w:rsidRPr="00264D5D">
              <w:rPr>
                <w:szCs w:val="22"/>
              </w:rPr>
              <w:t>Отметка ТОФК</w:t>
            </w:r>
          </w:p>
        </w:tc>
        <w:tc>
          <w:tcPr>
            <w:tcW w:w="882" w:type="pct"/>
          </w:tcPr>
          <w:p w14:paraId="01D02F62" w14:textId="77777777" w:rsidR="00AD1F54" w:rsidRPr="00264D5D" w:rsidRDefault="00941227">
            <w:pPr>
              <w:pStyle w:val="GOSTTablenorm"/>
              <w:rPr>
                <w:szCs w:val="22"/>
              </w:rPr>
            </w:pPr>
            <w:r w:rsidRPr="00264D5D">
              <w:rPr>
                <w:szCs w:val="22"/>
              </w:rPr>
              <w:t>ZR_MSC_MrkOrFK</w:t>
            </w:r>
          </w:p>
        </w:tc>
        <w:tc>
          <w:tcPr>
            <w:tcW w:w="294" w:type="pct"/>
          </w:tcPr>
          <w:p w14:paraId="2AB67601" w14:textId="77777777" w:rsidR="00AD1F54" w:rsidRPr="00264D5D" w:rsidRDefault="00941227">
            <w:pPr>
              <w:pStyle w:val="GOSTTablenorm"/>
              <w:jc w:val="center"/>
              <w:rPr>
                <w:szCs w:val="22"/>
              </w:rPr>
            </w:pPr>
            <w:r w:rsidRPr="00264D5D">
              <w:rPr>
                <w:szCs w:val="22"/>
              </w:rPr>
              <w:t>С</w:t>
            </w:r>
          </w:p>
        </w:tc>
        <w:tc>
          <w:tcPr>
            <w:tcW w:w="589" w:type="pct"/>
          </w:tcPr>
          <w:p w14:paraId="34D9CF12" w14:textId="77777777" w:rsidR="00AD1F54" w:rsidRPr="00264D5D" w:rsidRDefault="00941227">
            <w:pPr>
              <w:pStyle w:val="GOSTTablenorm"/>
              <w:rPr>
                <w:szCs w:val="22"/>
              </w:rPr>
            </w:pPr>
            <w:r w:rsidRPr="00264D5D">
              <w:rPr>
                <w:szCs w:val="22"/>
              </w:rPr>
              <w:t>tMSC_MrkOrFK</w:t>
            </w:r>
          </w:p>
        </w:tc>
        <w:tc>
          <w:tcPr>
            <w:tcW w:w="294" w:type="pct"/>
          </w:tcPr>
          <w:p w14:paraId="22E9B3B1" w14:textId="77777777" w:rsidR="00AD1F54" w:rsidRPr="00264D5D" w:rsidRDefault="00941227">
            <w:pPr>
              <w:pStyle w:val="GOSTTablenorm"/>
              <w:jc w:val="center"/>
              <w:rPr>
                <w:szCs w:val="22"/>
              </w:rPr>
            </w:pPr>
            <w:r w:rsidRPr="00264D5D">
              <w:rPr>
                <w:szCs w:val="22"/>
              </w:rPr>
              <w:t>Н</w:t>
            </w:r>
          </w:p>
        </w:tc>
        <w:tc>
          <w:tcPr>
            <w:tcW w:w="2058" w:type="pct"/>
          </w:tcPr>
          <w:p w14:paraId="7A9F5215" w14:textId="77777777" w:rsidR="00AD1F54" w:rsidRPr="00264D5D" w:rsidRDefault="00941227">
            <w:pPr>
              <w:pStyle w:val="GOSTTablenorm"/>
              <w:rPr>
                <w:szCs w:val="22"/>
              </w:rPr>
            </w:pPr>
            <w:r w:rsidRPr="00264D5D">
              <w:rPr>
                <w:szCs w:val="22"/>
              </w:rPr>
              <w:t xml:space="preserve">Обязательно для заполнения при принятии ТОФК заявки. </w:t>
            </w:r>
          </w:p>
          <w:p w14:paraId="4D1CE617" w14:textId="20B21C93" w:rsidR="00AD1F54" w:rsidRPr="00264D5D" w:rsidRDefault="00941227">
            <w:pPr>
              <w:pStyle w:val="GOSTTablenorm"/>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_Ref503530413 \h  \* MERGEFORMAT </w:instrText>
            </w:r>
            <w:r w:rsidRPr="00264D5D">
              <w:rPr>
                <w:b/>
                <w:szCs w:val="22"/>
              </w:rPr>
            </w:r>
            <w:r w:rsidRPr="00264D5D">
              <w:rPr>
                <w:b/>
                <w:szCs w:val="22"/>
              </w:rPr>
              <w:fldChar w:fldCharType="separate"/>
            </w:r>
            <w:r w:rsidR="008D797C" w:rsidRPr="008D797C">
              <w:rPr>
                <w:b/>
                <w:szCs w:val="22"/>
              </w:rPr>
              <w:t>61</w:t>
            </w:r>
            <w:r w:rsidRPr="00264D5D">
              <w:rPr>
                <w:b/>
                <w:szCs w:val="22"/>
              </w:rPr>
              <w:fldChar w:fldCharType="end"/>
            </w:r>
          </w:p>
        </w:tc>
      </w:tr>
      <w:tr w:rsidR="00AD1F54" w:rsidRPr="00264D5D" w14:paraId="5D31024A" w14:textId="77777777" w:rsidTr="00AD1F54">
        <w:trPr>
          <w:cnfStyle w:val="000000100000" w:firstRow="0" w:lastRow="0" w:firstColumn="0" w:lastColumn="0" w:oddVBand="0" w:evenVBand="0" w:oddHBand="1" w:evenHBand="0" w:firstRowFirstColumn="0" w:firstRowLastColumn="0" w:lastRowFirstColumn="0" w:lastRowLastColumn="0"/>
        </w:trPr>
        <w:tc>
          <w:tcPr>
            <w:tcW w:w="5000" w:type="pct"/>
            <w:gridSpan w:val="6"/>
          </w:tcPr>
          <w:p w14:paraId="57C93632" w14:textId="77777777" w:rsidR="00AD1F54" w:rsidRPr="00264D5D" w:rsidRDefault="00941227">
            <w:pPr>
              <w:pStyle w:val="GOSTTablenorm"/>
              <w:rPr>
                <w:szCs w:val="22"/>
              </w:rPr>
            </w:pPr>
            <w:r w:rsidRPr="00264D5D">
              <w:rPr>
                <w:b/>
                <w:szCs w:val="22"/>
              </w:rPr>
              <w:t>Реквизиты документов-оснований и Заявки</w:t>
            </w:r>
          </w:p>
        </w:tc>
      </w:tr>
      <w:tr w:rsidR="00AD1F54" w:rsidRPr="00264D5D" w14:paraId="5A6F31B1" w14:textId="77777777" w:rsidTr="00AD1F54">
        <w:trPr>
          <w:cnfStyle w:val="000000010000" w:firstRow="0" w:lastRow="0" w:firstColumn="0" w:lastColumn="0" w:oddVBand="0" w:evenVBand="0" w:oddHBand="0" w:evenHBand="1" w:firstRowFirstColumn="0" w:firstRowLastColumn="0" w:lastRowFirstColumn="0" w:lastRowLastColumn="0"/>
        </w:trPr>
        <w:tc>
          <w:tcPr>
            <w:tcW w:w="883" w:type="pct"/>
          </w:tcPr>
          <w:p w14:paraId="3C31C0D4" w14:textId="77777777" w:rsidR="00AD1F54" w:rsidRPr="00264D5D" w:rsidRDefault="00941227">
            <w:pPr>
              <w:pStyle w:val="GOSTTablenorm"/>
              <w:rPr>
                <w:szCs w:val="22"/>
              </w:rPr>
            </w:pPr>
            <w:r w:rsidRPr="00264D5D">
              <w:rPr>
                <w:szCs w:val="22"/>
              </w:rPr>
              <w:t>Реквизиты документов-оснований</w:t>
            </w:r>
          </w:p>
        </w:tc>
        <w:tc>
          <w:tcPr>
            <w:tcW w:w="882" w:type="pct"/>
          </w:tcPr>
          <w:p w14:paraId="5BBF46BA" w14:textId="77777777" w:rsidR="00AD1F54" w:rsidRPr="00264D5D" w:rsidRDefault="00941227">
            <w:pPr>
              <w:pStyle w:val="GOSTTablenorm"/>
              <w:rPr>
                <w:szCs w:val="22"/>
              </w:rPr>
            </w:pPr>
            <w:r w:rsidRPr="00264D5D">
              <w:rPr>
                <w:szCs w:val="22"/>
              </w:rPr>
              <w:t>ZROSN</w:t>
            </w:r>
          </w:p>
        </w:tc>
        <w:tc>
          <w:tcPr>
            <w:tcW w:w="294" w:type="pct"/>
          </w:tcPr>
          <w:p w14:paraId="540932DF" w14:textId="77777777" w:rsidR="00AD1F54" w:rsidRPr="00264D5D" w:rsidRDefault="00941227">
            <w:pPr>
              <w:pStyle w:val="GOSTTablenorm"/>
              <w:jc w:val="center"/>
              <w:rPr>
                <w:szCs w:val="22"/>
              </w:rPr>
            </w:pPr>
            <w:r w:rsidRPr="00264D5D">
              <w:rPr>
                <w:szCs w:val="22"/>
              </w:rPr>
              <w:t>С</w:t>
            </w:r>
          </w:p>
        </w:tc>
        <w:tc>
          <w:tcPr>
            <w:tcW w:w="589" w:type="pct"/>
          </w:tcPr>
          <w:p w14:paraId="7FF18507" w14:textId="77777777" w:rsidR="00AD1F54" w:rsidRPr="00264D5D" w:rsidRDefault="00941227">
            <w:pPr>
              <w:pStyle w:val="GOSTTablenorm"/>
              <w:rPr>
                <w:szCs w:val="22"/>
              </w:rPr>
            </w:pPr>
            <w:r w:rsidRPr="00264D5D">
              <w:rPr>
                <w:szCs w:val="22"/>
              </w:rPr>
              <w:t>tZROSN</w:t>
            </w:r>
          </w:p>
        </w:tc>
        <w:tc>
          <w:tcPr>
            <w:tcW w:w="294" w:type="pct"/>
          </w:tcPr>
          <w:p w14:paraId="6F894C96" w14:textId="77777777" w:rsidR="00AD1F54" w:rsidRPr="00264D5D" w:rsidRDefault="00941227">
            <w:pPr>
              <w:pStyle w:val="GOSTTablenorm"/>
              <w:jc w:val="center"/>
              <w:rPr>
                <w:szCs w:val="22"/>
              </w:rPr>
            </w:pPr>
            <w:r w:rsidRPr="00264D5D">
              <w:rPr>
                <w:szCs w:val="22"/>
              </w:rPr>
              <w:t>Н</w:t>
            </w:r>
          </w:p>
        </w:tc>
        <w:tc>
          <w:tcPr>
            <w:tcW w:w="2058" w:type="pct"/>
          </w:tcPr>
          <w:p w14:paraId="014BF7D4" w14:textId="4C0B9A9A" w:rsidR="00AD1F54" w:rsidRPr="00264D5D" w:rsidRDefault="00941227">
            <w:pPr>
              <w:pStyle w:val="GOSTTablenorm"/>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_Ref503530482 \h  \* MERGEFORMAT </w:instrText>
            </w:r>
            <w:r w:rsidRPr="00264D5D">
              <w:rPr>
                <w:b/>
                <w:szCs w:val="22"/>
              </w:rPr>
            </w:r>
            <w:r w:rsidRPr="00264D5D">
              <w:rPr>
                <w:b/>
                <w:szCs w:val="22"/>
              </w:rPr>
              <w:fldChar w:fldCharType="separate"/>
            </w:r>
            <w:r w:rsidR="008D797C" w:rsidRPr="008D797C">
              <w:rPr>
                <w:b/>
                <w:szCs w:val="22"/>
              </w:rPr>
              <w:t>63</w:t>
            </w:r>
            <w:r w:rsidRPr="00264D5D">
              <w:rPr>
                <w:b/>
                <w:szCs w:val="22"/>
              </w:rPr>
              <w:fldChar w:fldCharType="end"/>
            </w:r>
          </w:p>
        </w:tc>
      </w:tr>
      <w:tr w:rsidR="00AD1F54" w:rsidRPr="00264D5D" w14:paraId="4F2CCDF4" w14:textId="77777777" w:rsidTr="00AD1F54">
        <w:trPr>
          <w:cnfStyle w:val="000000100000" w:firstRow="0" w:lastRow="0" w:firstColumn="0" w:lastColumn="0" w:oddVBand="0" w:evenVBand="0" w:oddHBand="1" w:evenHBand="0" w:firstRowFirstColumn="0" w:firstRowLastColumn="0" w:lastRowFirstColumn="0" w:lastRowLastColumn="0"/>
        </w:trPr>
        <w:tc>
          <w:tcPr>
            <w:tcW w:w="883" w:type="pct"/>
          </w:tcPr>
          <w:p w14:paraId="76D23D8C" w14:textId="77777777" w:rsidR="00AD1F54" w:rsidRPr="00264D5D" w:rsidRDefault="00941227">
            <w:pPr>
              <w:pStyle w:val="GOSTTablenorm"/>
              <w:rPr>
                <w:szCs w:val="22"/>
              </w:rPr>
            </w:pPr>
            <w:r w:rsidRPr="00264D5D">
              <w:rPr>
                <w:szCs w:val="22"/>
              </w:rPr>
              <w:t>Расшифровка заявки на кассовый расход по бюджетной классификации</w:t>
            </w:r>
          </w:p>
        </w:tc>
        <w:tc>
          <w:tcPr>
            <w:tcW w:w="882" w:type="pct"/>
          </w:tcPr>
          <w:p w14:paraId="7A901EE3" w14:textId="77777777" w:rsidR="00AD1F54" w:rsidRPr="00264D5D" w:rsidRDefault="00941227">
            <w:pPr>
              <w:pStyle w:val="GOSTTablenorm"/>
              <w:rPr>
                <w:szCs w:val="22"/>
              </w:rPr>
            </w:pPr>
            <w:r w:rsidRPr="00264D5D">
              <w:rPr>
                <w:szCs w:val="22"/>
              </w:rPr>
              <w:t>ZRST</w:t>
            </w:r>
          </w:p>
        </w:tc>
        <w:tc>
          <w:tcPr>
            <w:tcW w:w="294" w:type="pct"/>
          </w:tcPr>
          <w:p w14:paraId="05FDF490" w14:textId="77777777" w:rsidR="00AD1F54" w:rsidRPr="00264D5D" w:rsidRDefault="00941227">
            <w:pPr>
              <w:pStyle w:val="GOSTTablenorm"/>
              <w:jc w:val="center"/>
              <w:rPr>
                <w:szCs w:val="22"/>
              </w:rPr>
            </w:pPr>
            <w:r w:rsidRPr="00264D5D">
              <w:rPr>
                <w:szCs w:val="22"/>
              </w:rPr>
              <w:t>С</w:t>
            </w:r>
          </w:p>
        </w:tc>
        <w:tc>
          <w:tcPr>
            <w:tcW w:w="589" w:type="pct"/>
          </w:tcPr>
          <w:p w14:paraId="7A9BE2CB" w14:textId="77777777" w:rsidR="00AD1F54" w:rsidRPr="00264D5D" w:rsidRDefault="00941227">
            <w:pPr>
              <w:pStyle w:val="GOSTTablenorm"/>
              <w:rPr>
                <w:szCs w:val="22"/>
              </w:rPr>
            </w:pPr>
            <w:r w:rsidRPr="00264D5D">
              <w:rPr>
                <w:szCs w:val="22"/>
              </w:rPr>
              <w:t>tZRST</w:t>
            </w:r>
          </w:p>
        </w:tc>
        <w:tc>
          <w:tcPr>
            <w:tcW w:w="294" w:type="pct"/>
          </w:tcPr>
          <w:p w14:paraId="49588593" w14:textId="77777777" w:rsidR="00AD1F54" w:rsidRPr="00264D5D" w:rsidRDefault="00941227">
            <w:pPr>
              <w:pStyle w:val="GOSTTablenorm"/>
              <w:jc w:val="center"/>
              <w:rPr>
                <w:szCs w:val="22"/>
              </w:rPr>
            </w:pPr>
            <w:r w:rsidRPr="00264D5D">
              <w:rPr>
                <w:szCs w:val="22"/>
              </w:rPr>
              <w:t>О</w:t>
            </w:r>
          </w:p>
        </w:tc>
        <w:tc>
          <w:tcPr>
            <w:tcW w:w="2058" w:type="pct"/>
          </w:tcPr>
          <w:p w14:paraId="64092DBE" w14:textId="06C68C85" w:rsidR="00AD1F54" w:rsidRPr="00264D5D" w:rsidRDefault="00941227">
            <w:pPr>
              <w:pStyle w:val="GOSTTablenorm"/>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_Ref503530938 \h  \* MERGEFORMAT </w:instrText>
            </w:r>
            <w:r w:rsidRPr="00264D5D">
              <w:rPr>
                <w:b/>
                <w:szCs w:val="22"/>
              </w:rPr>
            </w:r>
            <w:r w:rsidRPr="00264D5D">
              <w:rPr>
                <w:b/>
                <w:szCs w:val="22"/>
              </w:rPr>
              <w:fldChar w:fldCharType="separate"/>
            </w:r>
            <w:r w:rsidR="008D797C" w:rsidRPr="008D797C">
              <w:rPr>
                <w:b/>
                <w:szCs w:val="22"/>
              </w:rPr>
              <w:t>66</w:t>
            </w:r>
            <w:r w:rsidRPr="00264D5D">
              <w:rPr>
                <w:b/>
                <w:szCs w:val="22"/>
              </w:rPr>
              <w:fldChar w:fldCharType="end"/>
            </w:r>
          </w:p>
        </w:tc>
      </w:tr>
      <w:tr w:rsidR="00AD1F54" w:rsidRPr="00264D5D" w14:paraId="5DFFD18C" w14:textId="77777777" w:rsidTr="00AD1F54">
        <w:trPr>
          <w:cnfStyle w:val="000000010000" w:firstRow="0" w:lastRow="0" w:firstColumn="0" w:lastColumn="0" w:oddVBand="0" w:evenVBand="0" w:oddHBand="0" w:evenHBand="1" w:firstRowFirstColumn="0" w:firstRowLastColumn="0" w:lastRowFirstColumn="0" w:lastRowLastColumn="0"/>
        </w:trPr>
        <w:tc>
          <w:tcPr>
            <w:tcW w:w="883" w:type="pct"/>
          </w:tcPr>
          <w:p w14:paraId="04E5F41E" w14:textId="77777777" w:rsidR="00AD1F54" w:rsidRPr="00264D5D" w:rsidRDefault="00941227">
            <w:pPr>
              <w:pStyle w:val="GOSTTablenorm"/>
              <w:rPr>
                <w:szCs w:val="22"/>
              </w:rPr>
            </w:pPr>
            <w:r w:rsidRPr="00264D5D">
              <w:rPr>
                <w:szCs w:val="22"/>
              </w:rPr>
              <w:t>Платеж</w:t>
            </w:r>
          </w:p>
        </w:tc>
        <w:tc>
          <w:tcPr>
            <w:tcW w:w="882" w:type="pct"/>
          </w:tcPr>
          <w:p w14:paraId="04D2DAA6" w14:textId="77777777" w:rsidR="00AD1F54" w:rsidRPr="00264D5D" w:rsidRDefault="00941227">
            <w:pPr>
              <w:pStyle w:val="GOSTTablenorm"/>
              <w:rPr>
                <w:szCs w:val="22"/>
              </w:rPr>
            </w:pPr>
            <w:r w:rsidRPr="00264D5D">
              <w:rPr>
                <w:szCs w:val="22"/>
              </w:rPr>
              <w:t>ZR_MSC_Pmnt</w:t>
            </w:r>
          </w:p>
        </w:tc>
        <w:tc>
          <w:tcPr>
            <w:tcW w:w="294" w:type="pct"/>
          </w:tcPr>
          <w:p w14:paraId="281ACB2D" w14:textId="77777777" w:rsidR="00AD1F54" w:rsidRPr="00264D5D" w:rsidRDefault="00941227">
            <w:pPr>
              <w:pStyle w:val="GOSTTablenorm"/>
              <w:jc w:val="center"/>
              <w:rPr>
                <w:szCs w:val="22"/>
              </w:rPr>
            </w:pPr>
            <w:r w:rsidRPr="00264D5D">
              <w:rPr>
                <w:szCs w:val="22"/>
              </w:rPr>
              <w:t>С</w:t>
            </w:r>
          </w:p>
        </w:tc>
        <w:tc>
          <w:tcPr>
            <w:tcW w:w="589" w:type="pct"/>
          </w:tcPr>
          <w:p w14:paraId="26F15205" w14:textId="77777777" w:rsidR="00AD1F54" w:rsidRPr="00264D5D" w:rsidRDefault="00941227">
            <w:pPr>
              <w:pStyle w:val="GOSTTablenorm"/>
              <w:rPr>
                <w:szCs w:val="22"/>
              </w:rPr>
            </w:pPr>
            <w:r w:rsidRPr="00264D5D">
              <w:rPr>
                <w:szCs w:val="22"/>
              </w:rPr>
              <w:t>tMSC_Pmnt1</w:t>
            </w:r>
          </w:p>
        </w:tc>
        <w:tc>
          <w:tcPr>
            <w:tcW w:w="294" w:type="pct"/>
          </w:tcPr>
          <w:p w14:paraId="12E44709" w14:textId="77777777" w:rsidR="00AD1F54" w:rsidRPr="00264D5D" w:rsidRDefault="00941227">
            <w:pPr>
              <w:pStyle w:val="GOSTTablenorm"/>
              <w:jc w:val="center"/>
              <w:rPr>
                <w:szCs w:val="22"/>
              </w:rPr>
            </w:pPr>
            <w:r w:rsidRPr="00264D5D">
              <w:rPr>
                <w:szCs w:val="22"/>
              </w:rPr>
              <w:t>О</w:t>
            </w:r>
          </w:p>
        </w:tc>
        <w:tc>
          <w:tcPr>
            <w:tcW w:w="2058" w:type="pct"/>
          </w:tcPr>
          <w:p w14:paraId="5A85E71B" w14:textId="7B296D14" w:rsidR="00AD1F54" w:rsidRPr="00264D5D" w:rsidRDefault="00941227">
            <w:pPr>
              <w:pStyle w:val="GOSTTablenorm"/>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_Ref503525742 \h  \* MERGEFORMAT </w:instrText>
            </w:r>
            <w:r w:rsidRPr="00264D5D">
              <w:rPr>
                <w:b/>
                <w:szCs w:val="22"/>
              </w:rPr>
            </w:r>
            <w:r w:rsidRPr="00264D5D">
              <w:rPr>
                <w:b/>
                <w:szCs w:val="22"/>
              </w:rPr>
              <w:fldChar w:fldCharType="separate"/>
            </w:r>
            <w:r w:rsidR="008D797C" w:rsidRPr="008D797C">
              <w:rPr>
                <w:b/>
                <w:szCs w:val="22"/>
              </w:rPr>
              <w:t>55</w:t>
            </w:r>
            <w:r w:rsidRPr="00264D5D">
              <w:rPr>
                <w:b/>
                <w:szCs w:val="22"/>
              </w:rPr>
              <w:fldChar w:fldCharType="end"/>
            </w:r>
          </w:p>
        </w:tc>
      </w:tr>
      <w:tr w:rsidR="00AD1F54" w:rsidRPr="00264D5D" w14:paraId="15E0E3E7" w14:textId="77777777" w:rsidTr="00AD1F54">
        <w:trPr>
          <w:cnfStyle w:val="000000100000" w:firstRow="0" w:lastRow="0" w:firstColumn="0" w:lastColumn="0" w:oddVBand="0" w:evenVBand="0" w:oddHBand="1" w:evenHBand="0" w:firstRowFirstColumn="0" w:firstRowLastColumn="0" w:lastRowFirstColumn="0" w:lastRowLastColumn="0"/>
        </w:trPr>
        <w:tc>
          <w:tcPr>
            <w:tcW w:w="5000" w:type="pct"/>
            <w:gridSpan w:val="6"/>
          </w:tcPr>
          <w:p w14:paraId="3A16C06D" w14:textId="77777777" w:rsidR="00AD1F54" w:rsidRPr="00264D5D" w:rsidRDefault="00941227">
            <w:pPr>
              <w:pStyle w:val="GOSTTablenorm"/>
              <w:rPr>
                <w:szCs w:val="22"/>
              </w:rPr>
            </w:pPr>
            <w:r w:rsidRPr="00264D5D">
              <w:rPr>
                <w:b/>
                <w:szCs w:val="22"/>
              </w:rPr>
              <w:t>Дополнительная информация</w:t>
            </w:r>
          </w:p>
        </w:tc>
      </w:tr>
      <w:tr w:rsidR="00AD1F54" w:rsidRPr="00264D5D" w14:paraId="22BF397B" w14:textId="77777777" w:rsidTr="00AD1F54">
        <w:trPr>
          <w:cnfStyle w:val="000000010000" w:firstRow="0" w:lastRow="0" w:firstColumn="0" w:lastColumn="0" w:oddVBand="0" w:evenVBand="0" w:oddHBand="0" w:evenHBand="1" w:firstRowFirstColumn="0" w:firstRowLastColumn="0" w:lastRowFirstColumn="0" w:lastRowLastColumn="0"/>
        </w:trPr>
        <w:tc>
          <w:tcPr>
            <w:tcW w:w="883" w:type="pct"/>
          </w:tcPr>
          <w:p w14:paraId="6F93C146" w14:textId="77777777" w:rsidR="00AD1F54" w:rsidRPr="00264D5D" w:rsidRDefault="00941227">
            <w:pPr>
              <w:pStyle w:val="GOSTTablenorm"/>
              <w:rPr>
                <w:szCs w:val="22"/>
              </w:rPr>
            </w:pPr>
            <w:r w:rsidRPr="00264D5D">
              <w:t>Уровень конфиденциальности</w:t>
            </w:r>
          </w:p>
        </w:tc>
        <w:tc>
          <w:tcPr>
            <w:tcW w:w="882" w:type="pct"/>
          </w:tcPr>
          <w:p w14:paraId="126A88A7" w14:textId="77777777" w:rsidR="00AD1F54" w:rsidRPr="00264D5D" w:rsidRDefault="00941227">
            <w:pPr>
              <w:pStyle w:val="GOSTTablenorm"/>
              <w:rPr>
                <w:szCs w:val="22"/>
              </w:rPr>
            </w:pPr>
            <w:r w:rsidRPr="00264D5D">
              <w:t>TtlPrt_SECRECY</w:t>
            </w:r>
          </w:p>
        </w:tc>
        <w:tc>
          <w:tcPr>
            <w:tcW w:w="294" w:type="pct"/>
          </w:tcPr>
          <w:p w14:paraId="1C0929A4" w14:textId="77777777" w:rsidR="00AD1F54" w:rsidRPr="00264D5D" w:rsidRDefault="00941227">
            <w:pPr>
              <w:pStyle w:val="GOSTTablenorm"/>
              <w:jc w:val="center"/>
              <w:rPr>
                <w:szCs w:val="22"/>
              </w:rPr>
            </w:pPr>
            <w:r w:rsidRPr="00264D5D">
              <w:rPr>
                <w:szCs w:val="22"/>
              </w:rPr>
              <w:t>П</w:t>
            </w:r>
          </w:p>
        </w:tc>
        <w:tc>
          <w:tcPr>
            <w:tcW w:w="589" w:type="pct"/>
          </w:tcPr>
          <w:p w14:paraId="268F2A2F" w14:textId="77777777" w:rsidR="00AD1F54" w:rsidRPr="00264D5D" w:rsidRDefault="00941227">
            <w:pPr>
              <w:pStyle w:val="GOSTTablenorm"/>
              <w:rPr>
                <w:szCs w:val="22"/>
              </w:rPr>
            </w:pPr>
            <w:r w:rsidRPr="00264D5D">
              <w:rPr>
                <w:szCs w:val="22"/>
              </w:rPr>
              <w:t>Т(1)</w:t>
            </w:r>
          </w:p>
        </w:tc>
        <w:tc>
          <w:tcPr>
            <w:tcW w:w="294" w:type="pct"/>
          </w:tcPr>
          <w:p w14:paraId="5D5209FD" w14:textId="77777777" w:rsidR="00AD1F54" w:rsidRPr="00264D5D" w:rsidRDefault="00941227">
            <w:pPr>
              <w:pStyle w:val="GOSTTablenorm"/>
              <w:jc w:val="center"/>
              <w:rPr>
                <w:szCs w:val="22"/>
              </w:rPr>
            </w:pPr>
            <w:r w:rsidRPr="00264D5D">
              <w:rPr>
                <w:szCs w:val="22"/>
              </w:rPr>
              <w:t>Н</w:t>
            </w:r>
          </w:p>
        </w:tc>
        <w:tc>
          <w:tcPr>
            <w:tcW w:w="2058" w:type="pct"/>
          </w:tcPr>
          <w:p w14:paraId="2F56229A" w14:textId="77777777" w:rsidR="00AD1F54" w:rsidRPr="00264D5D" w:rsidRDefault="00941227">
            <w:pPr>
              <w:pStyle w:val="GOSTTablenorm"/>
              <w:widowControl w:val="0"/>
              <w:rPr>
                <w:szCs w:val="22"/>
              </w:rPr>
            </w:pPr>
            <w:r w:rsidRPr="00264D5D">
              <w:rPr>
                <w:szCs w:val="22"/>
              </w:rPr>
              <w:t>Указывается уровень конфиденциальности.</w:t>
            </w:r>
          </w:p>
          <w:p w14:paraId="167A32CF" w14:textId="77777777" w:rsidR="00AD1F54" w:rsidRPr="00264D5D" w:rsidRDefault="00941227">
            <w:pPr>
              <w:pStyle w:val="GOSTTablenorm"/>
              <w:widowControl w:val="0"/>
              <w:rPr>
                <w:szCs w:val="22"/>
              </w:rPr>
            </w:pPr>
            <w:r w:rsidRPr="00264D5D">
              <w:rPr>
                <w:szCs w:val="22"/>
              </w:rPr>
              <w:t>Возможные значения:</w:t>
            </w:r>
          </w:p>
          <w:p w14:paraId="68FBDFE7" w14:textId="77777777" w:rsidR="00AD1F54" w:rsidRPr="00264D5D" w:rsidRDefault="00941227" w:rsidP="00E7460C">
            <w:pPr>
              <w:pStyle w:val="GOSTTablenorm"/>
              <w:numPr>
                <w:ilvl w:val="0"/>
                <w:numId w:val="103"/>
              </w:numPr>
              <w:ind w:left="284" w:hanging="227"/>
              <w:rPr>
                <w:szCs w:val="22"/>
              </w:rPr>
            </w:pPr>
            <w:r w:rsidRPr="00264D5D">
              <w:t xml:space="preserve">«0» – </w:t>
            </w:r>
            <w:r w:rsidRPr="00264D5D">
              <w:rPr>
                <w:szCs w:val="22"/>
              </w:rPr>
              <w:t>Несекретно</w:t>
            </w:r>
            <w:r w:rsidRPr="00264D5D">
              <w:t>;</w:t>
            </w:r>
          </w:p>
          <w:p w14:paraId="21C97D4F" w14:textId="77777777" w:rsidR="00AD1F54" w:rsidRPr="00264D5D" w:rsidRDefault="00941227" w:rsidP="00E7460C">
            <w:pPr>
              <w:pStyle w:val="GOSTTablenorm"/>
              <w:numPr>
                <w:ilvl w:val="0"/>
                <w:numId w:val="103"/>
              </w:numPr>
              <w:ind w:left="284" w:hanging="227"/>
              <w:rPr>
                <w:szCs w:val="22"/>
              </w:rPr>
            </w:pPr>
            <w:r w:rsidRPr="00264D5D">
              <w:t>«1» – Для служебного пользования.</w:t>
            </w:r>
          </w:p>
          <w:p w14:paraId="49D8F1C0" w14:textId="77777777" w:rsidR="00AD1F54" w:rsidRPr="00264D5D" w:rsidRDefault="00941227">
            <w:pPr>
              <w:pStyle w:val="GOSTTablenorm"/>
              <w:rPr>
                <w:szCs w:val="22"/>
              </w:rPr>
            </w:pPr>
            <w:r w:rsidRPr="00264D5D">
              <w:rPr>
                <w:szCs w:val="22"/>
              </w:rPr>
              <w:t>Обязателен для заполнения в случае взаимодействия по маршр</w:t>
            </w:r>
            <w:r w:rsidR="00BA58C1" w:rsidRPr="00264D5D">
              <w:rPr>
                <w:szCs w:val="22"/>
              </w:rPr>
              <w:t>утам ПБС (ПФХД) – ТОФК (ПУР ЭБ)</w:t>
            </w:r>
          </w:p>
        </w:tc>
      </w:tr>
      <w:tr w:rsidR="00AD1F54" w:rsidRPr="00264D5D" w14:paraId="10D22FA1" w14:textId="77777777" w:rsidTr="00AD1F54">
        <w:trPr>
          <w:cnfStyle w:val="000000100000" w:firstRow="0" w:lastRow="0" w:firstColumn="0" w:lastColumn="0" w:oddVBand="0" w:evenVBand="0" w:oddHBand="1" w:evenHBand="0" w:firstRowFirstColumn="0" w:firstRowLastColumn="0" w:lastRowFirstColumn="0" w:lastRowLastColumn="0"/>
        </w:trPr>
        <w:tc>
          <w:tcPr>
            <w:tcW w:w="5000" w:type="pct"/>
            <w:gridSpan w:val="6"/>
          </w:tcPr>
          <w:p w14:paraId="1D0CD849" w14:textId="77777777" w:rsidR="00AD1F54" w:rsidRPr="00264D5D" w:rsidRDefault="00941227">
            <w:pPr>
              <w:pStyle w:val="GOSTTablenorm"/>
              <w:widowControl w:val="0"/>
              <w:rPr>
                <w:szCs w:val="22"/>
              </w:rPr>
            </w:pPr>
            <w:r w:rsidRPr="00264D5D">
              <w:rPr>
                <w:b/>
                <w:szCs w:val="22"/>
              </w:rPr>
              <w:t>Системная информация</w:t>
            </w:r>
          </w:p>
        </w:tc>
      </w:tr>
      <w:tr w:rsidR="00AD1F54" w:rsidRPr="00264D5D" w14:paraId="5587B6D3" w14:textId="77777777" w:rsidTr="00AD1F54">
        <w:trPr>
          <w:cnfStyle w:val="000000010000" w:firstRow="0" w:lastRow="0" w:firstColumn="0" w:lastColumn="0" w:oddVBand="0" w:evenVBand="0" w:oddHBand="0" w:evenHBand="1" w:firstRowFirstColumn="0" w:firstRowLastColumn="0" w:lastRowFirstColumn="0" w:lastRowLastColumn="0"/>
        </w:trPr>
        <w:tc>
          <w:tcPr>
            <w:tcW w:w="883" w:type="pct"/>
          </w:tcPr>
          <w:p w14:paraId="6A79F56C" w14:textId="77777777" w:rsidR="00AD1F54" w:rsidRPr="00264D5D" w:rsidRDefault="00941227">
            <w:pPr>
              <w:pStyle w:val="GOSTTablenorm"/>
              <w:rPr>
                <w:szCs w:val="22"/>
              </w:rPr>
            </w:pPr>
            <w:r w:rsidRPr="00264D5D">
              <w:rPr>
                <w:szCs w:val="22"/>
              </w:rPr>
              <w:t>Системная информация</w:t>
            </w:r>
          </w:p>
        </w:tc>
        <w:tc>
          <w:tcPr>
            <w:tcW w:w="882" w:type="pct"/>
          </w:tcPr>
          <w:p w14:paraId="63C92A71" w14:textId="77777777" w:rsidR="00AD1F54" w:rsidRPr="00264D5D" w:rsidRDefault="00941227">
            <w:pPr>
              <w:pStyle w:val="GOSTTablenorm"/>
              <w:rPr>
                <w:szCs w:val="22"/>
              </w:rPr>
            </w:pPr>
            <w:r w:rsidRPr="00264D5D">
              <w:rPr>
                <w:szCs w:val="22"/>
              </w:rPr>
              <w:t>ZR_MSC_Infrmtn</w:t>
            </w:r>
          </w:p>
        </w:tc>
        <w:tc>
          <w:tcPr>
            <w:tcW w:w="294" w:type="pct"/>
          </w:tcPr>
          <w:p w14:paraId="376E14B5" w14:textId="77777777" w:rsidR="00AD1F54" w:rsidRPr="00264D5D" w:rsidRDefault="00941227">
            <w:pPr>
              <w:pStyle w:val="GOSTTablenorm"/>
              <w:jc w:val="center"/>
              <w:rPr>
                <w:szCs w:val="22"/>
              </w:rPr>
            </w:pPr>
            <w:r w:rsidRPr="00264D5D">
              <w:rPr>
                <w:szCs w:val="22"/>
              </w:rPr>
              <w:t>С</w:t>
            </w:r>
          </w:p>
        </w:tc>
        <w:tc>
          <w:tcPr>
            <w:tcW w:w="589" w:type="pct"/>
          </w:tcPr>
          <w:p w14:paraId="151D2D90" w14:textId="77777777" w:rsidR="00AD1F54" w:rsidRPr="00264D5D" w:rsidRDefault="00941227">
            <w:pPr>
              <w:pStyle w:val="GOSTTablenorm"/>
              <w:rPr>
                <w:szCs w:val="22"/>
                <w:lang w:val="en-US"/>
              </w:rPr>
            </w:pPr>
            <w:r w:rsidRPr="00264D5D">
              <w:rPr>
                <w:szCs w:val="22"/>
              </w:rPr>
              <w:t>tMSC_Infrmtn</w:t>
            </w:r>
            <w:r w:rsidRPr="00264D5D">
              <w:rPr>
                <w:szCs w:val="22"/>
                <w:lang w:val="en-US"/>
              </w:rPr>
              <w:t>ZKR</w:t>
            </w:r>
          </w:p>
        </w:tc>
        <w:tc>
          <w:tcPr>
            <w:tcW w:w="294" w:type="pct"/>
          </w:tcPr>
          <w:p w14:paraId="1B699D92" w14:textId="77777777" w:rsidR="00AD1F54" w:rsidRPr="00264D5D" w:rsidRDefault="00941227">
            <w:pPr>
              <w:pStyle w:val="GOSTTablenorm"/>
              <w:jc w:val="center"/>
              <w:rPr>
                <w:szCs w:val="22"/>
              </w:rPr>
            </w:pPr>
            <w:r w:rsidRPr="00264D5D">
              <w:rPr>
                <w:szCs w:val="22"/>
              </w:rPr>
              <w:t>О</w:t>
            </w:r>
          </w:p>
        </w:tc>
        <w:tc>
          <w:tcPr>
            <w:tcW w:w="2058" w:type="pct"/>
          </w:tcPr>
          <w:p w14:paraId="3DCE9C9E" w14:textId="77777777" w:rsidR="00AD1F54" w:rsidRPr="00264D5D" w:rsidRDefault="00941227">
            <w:pPr>
              <w:pStyle w:val="GOSTTablenorm"/>
              <w:rPr>
                <w:szCs w:val="22"/>
              </w:rPr>
            </w:pPr>
            <w:r w:rsidRPr="00264D5D">
              <w:rPr>
                <w:szCs w:val="22"/>
              </w:rPr>
              <w:t>Системная информация документа.</w:t>
            </w:r>
          </w:p>
          <w:p w14:paraId="3A5B242D" w14:textId="5074CADE" w:rsidR="00AD1F54" w:rsidRPr="00264D5D" w:rsidRDefault="00941227">
            <w:pPr>
              <w:pStyle w:val="GOSTTablenorm"/>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_Ref503521414 \h  \* MERGEFORMAT </w:instrText>
            </w:r>
            <w:r w:rsidRPr="00264D5D">
              <w:rPr>
                <w:b/>
                <w:szCs w:val="22"/>
              </w:rPr>
            </w:r>
            <w:r w:rsidRPr="00264D5D">
              <w:rPr>
                <w:b/>
                <w:szCs w:val="22"/>
              </w:rPr>
              <w:fldChar w:fldCharType="separate"/>
            </w:r>
            <w:r w:rsidR="008D797C" w:rsidRPr="008D797C">
              <w:rPr>
                <w:b/>
                <w:szCs w:val="22"/>
              </w:rPr>
              <w:t>62</w:t>
            </w:r>
            <w:r w:rsidRPr="00264D5D">
              <w:rPr>
                <w:b/>
                <w:szCs w:val="22"/>
              </w:rPr>
              <w:fldChar w:fldCharType="end"/>
            </w:r>
            <w:r w:rsidRPr="00264D5D">
              <w:rPr>
                <w:szCs w:val="22"/>
              </w:rPr>
              <w:t>.</w:t>
            </w:r>
          </w:p>
        </w:tc>
      </w:tr>
      <w:tr w:rsidR="00AD1F54" w:rsidRPr="00264D5D" w14:paraId="3A58EB09" w14:textId="77777777" w:rsidTr="00AD1F54">
        <w:trPr>
          <w:cnfStyle w:val="000000100000" w:firstRow="0" w:lastRow="0" w:firstColumn="0" w:lastColumn="0" w:oddVBand="0" w:evenVBand="0" w:oddHBand="1" w:evenHBand="0" w:firstRowFirstColumn="0" w:firstRowLastColumn="0" w:lastRowFirstColumn="0" w:lastRowLastColumn="0"/>
        </w:trPr>
        <w:tc>
          <w:tcPr>
            <w:tcW w:w="5000" w:type="pct"/>
            <w:gridSpan w:val="6"/>
          </w:tcPr>
          <w:p w14:paraId="527DACBF" w14:textId="77777777" w:rsidR="00AD1F54" w:rsidRPr="00264D5D" w:rsidRDefault="00941227">
            <w:pPr>
              <w:pStyle w:val="GOSTTablenorm"/>
              <w:rPr>
                <w:szCs w:val="22"/>
              </w:rPr>
            </w:pPr>
            <w:r w:rsidRPr="00264D5D">
              <w:rPr>
                <w:b/>
                <w:szCs w:val="22"/>
              </w:rPr>
              <w:t>ЭП</w:t>
            </w:r>
          </w:p>
        </w:tc>
      </w:tr>
      <w:tr w:rsidR="00AD1F54" w:rsidRPr="00264D5D" w14:paraId="1C140F61" w14:textId="77777777" w:rsidTr="00AD1F54">
        <w:trPr>
          <w:cnfStyle w:val="000000010000" w:firstRow="0" w:lastRow="0" w:firstColumn="0" w:lastColumn="0" w:oddVBand="0" w:evenVBand="0" w:oddHBand="0" w:evenHBand="1" w:firstRowFirstColumn="0" w:firstRowLastColumn="0" w:lastRowFirstColumn="0" w:lastRowLastColumn="0"/>
        </w:trPr>
        <w:tc>
          <w:tcPr>
            <w:tcW w:w="883" w:type="pct"/>
          </w:tcPr>
          <w:p w14:paraId="003D9556" w14:textId="77777777" w:rsidR="00AD1F54" w:rsidRPr="00264D5D" w:rsidRDefault="00941227">
            <w:pPr>
              <w:pStyle w:val="GOSTTablenorm"/>
              <w:rPr>
                <w:szCs w:val="22"/>
              </w:rPr>
            </w:pPr>
            <w:r w:rsidRPr="00264D5D">
              <w:rPr>
                <w:szCs w:val="22"/>
              </w:rPr>
              <w:t>Электронная подпись</w:t>
            </w:r>
          </w:p>
        </w:tc>
        <w:tc>
          <w:tcPr>
            <w:tcW w:w="882" w:type="pct"/>
          </w:tcPr>
          <w:p w14:paraId="5596A848" w14:textId="77777777" w:rsidR="00AD1F54" w:rsidRPr="00264D5D" w:rsidRDefault="00941227">
            <w:pPr>
              <w:pStyle w:val="GOSTTablenorm"/>
              <w:rPr>
                <w:szCs w:val="22"/>
              </w:rPr>
            </w:pPr>
            <w:r w:rsidRPr="00264D5D">
              <w:rPr>
                <w:szCs w:val="22"/>
              </w:rPr>
              <w:t>Signature</w:t>
            </w:r>
          </w:p>
        </w:tc>
        <w:tc>
          <w:tcPr>
            <w:tcW w:w="294" w:type="pct"/>
          </w:tcPr>
          <w:p w14:paraId="0FC2BA29" w14:textId="77777777" w:rsidR="00AD1F54" w:rsidRPr="00264D5D" w:rsidRDefault="00941227">
            <w:pPr>
              <w:pStyle w:val="GOSTTablenorm"/>
              <w:jc w:val="center"/>
              <w:rPr>
                <w:szCs w:val="22"/>
              </w:rPr>
            </w:pPr>
            <w:r w:rsidRPr="00264D5D">
              <w:rPr>
                <w:szCs w:val="22"/>
              </w:rPr>
              <w:t>С</w:t>
            </w:r>
          </w:p>
        </w:tc>
        <w:tc>
          <w:tcPr>
            <w:tcW w:w="589" w:type="pct"/>
          </w:tcPr>
          <w:p w14:paraId="3C6C7D41" w14:textId="77777777" w:rsidR="00AD1F54" w:rsidRPr="00264D5D" w:rsidRDefault="00941227">
            <w:pPr>
              <w:pStyle w:val="GOSTTablenorm"/>
              <w:rPr>
                <w:szCs w:val="22"/>
              </w:rPr>
            </w:pPr>
            <w:r w:rsidRPr="00264D5D">
              <w:rPr>
                <w:szCs w:val="22"/>
              </w:rPr>
              <w:t>SignatureType</w:t>
            </w:r>
          </w:p>
        </w:tc>
        <w:tc>
          <w:tcPr>
            <w:tcW w:w="294" w:type="pct"/>
          </w:tcPr>
          <w:p w14:paraId="290DEF98" w14:textId="77777777" w:rsidR="00AD1F54" w:rsidRPr="00264D5D" w:rsidRDefault="00941227">
            <w:pPr>
              <w:pStyle w:val="GOSTTablenorm"/>
              <w:jc w:val="center"/>
              <w:rPr>
                <w:szCs w:val="22"/>
              </w:rPr>
            </w:pPr>
            <w:r w:rsidRPr="00264D5D">
              <w:rPr>
                <w:szCs w:val="22"/>
              </w:rPr>
              <w:t>НМ</w:t>
            </w:r>
          </w:p>
        </w:tc>
        <w:tc>
          <w:tcPr>
            <w:tcW w:w="2058" w:type="pct"/>
          </w:tcPr>
          <w:p w14:paraId="16AD70EA" w14:textId="77777777" w:rsidR="00AD1F54" w:rsidRPr="00264D5D" w:rsidRDefault="00941227">
            <w:pPr>
              <w:pStyle w:val="GOSTTablenorm"/>
              <w:rPr>
                <w:szCs w:val="22"/>
              </w:rPr>
            </w:pPr>
            <w:r w:rsidRPr="00264D5D">
              <w:rPr>
                <w:szCs w:val="22"/>
              </w:rPr>
              <w:t xml:space="preserve">Блок подписи в формате XAdes. Указывается как референс согласно </w:t>
            </w:r>
            <w:r w:rsidRPr="00264D5D">
              <w:rPr>
                <w:szCs w:val="22"/>
              </w:rPr>
              <w:lastRenderedPageBreak/>
              <w:t>формату подписи XAdes.</w:t>
            </w:r>
          </w:p>
          <w:p w14:paraId="16D17A8E" w14:textId="77777777" w:rsidR="00AD1F54" w:rsidRPr="00264D5D" w:rsidRDefault="00941227">
            <w:pPr>
              <w:spacing w:before="60" w:after="60"/>
              <w:rPr>
                <w:sz w:val="22"/>
                <w:szCs w:val="22"/>
              </w:rPr>
            </w:pPr>
            <w:r w:rsidRPr="00264D5D">
              <w:rPr>
                <w:sz w:val="22"/>
                <w:szCs w:val="22"/>
              </w:rPr>
              <w:t>Заполняется согласно п.3.5.3 Тома 1 настоящего альбома.</w:t>
            </w:r>
          </w:p>
          <w:p w14:paraId="7D57603D" w14:textId="77777777" w:rsidR="00AD1F54" w:rsidRPr="00264D5D" w:rsidRDefault="00941227">
            <w:pPr>
              <w:pStyle w:val="GOSTTablenorm"/>
              <w:rPr>
                <w:szCs w:val="22"/>
              </w:rPr>
            </w:pPr>
            <w:r w:rsidRPr="00264D5D">
              <w:rPr>
                <w:szCs w:val="22"/>
              </w:rPr>
              <w:t>Обязателен для заполнения при сервисн</w:t>
            </w:r>
            <w:r w:rsidR="00BA58C1" w:rsidRPr="00264D5D">
              <w:rPr>
                <w:szCs w:val="22"/>
              </w:rPr>
              <w:t>ом взаимодействии ПФХД и ПУР ЭБ</w:t>
            </w:r>
          </w:p>
        </w:tc>
      </w:tr>
    </w:tbl>
    <w:p w14:paraId="489EC299" w14:textId="77777777" w:rsidR="00AD1F54" w:rsidRPr="00264D5D" w:rsidRDefault="00941227">
      <w:pPr>
        <w:pStyle w:val="31"/>
      </w:pPr>
      <w:bookmarkStart w:id="728" w:name="_Toc19878209"/>
      <w:bookmarkStart w:id="729" w:name="_Toc19878599"/>
      <w:bookmarkStart w:id="730" w:name="_Toc19878993"/>
      <w:bookmarkStart w:id="731" w:name="_Toc19879383"/>
      <w:bookmarkStart w:id="732" w:name="_Toc499635938"/>
      <w:bookmarkStart w:id="733" w:name="_Toc508712655"/>
      <w:bookmarkStart w:id="734" w:name="_Toc18509220"/>
      <w:bookmarkStart w:id="735" w:name="_Toc219309487"/>
      <w:bookmarkEnd w:id="728"/>
      <w:bookmarkEnd w:id="729"/>
      <w:bookmarkEnd w:id="730"/>
      <w:bookmarkEnd w:id="731"/>
      <w:r w:rsidRPr="00264D5D">
        <w:lastRenderedPageBreak/>
        <w:t>Описание комплексного типа «tMSC_Cstmr5»</w:t>
      </w:r>
      <w:bookmarkEnd w:id="732"/>
      <w:bookmarkEnd w:id="733"/>
      <w:bookmarkEnd w:id="734"/>
      <w:bookmarkEnd w:id="735"/>
    </w:p>
    <w:p w14:paraId="0D9C3091" w14:textId="77777777" w:rsidR="00AD1F54" w:rsidRPr="00264D5D" w:rsidRDefault="00941227">
      <w:pPr>
        <w:pStyle w:val="GOSTNormal"/>
      </w:pPr>
      <w:r w:rsidRPr="00264D5D">
        <w:t>Описание комплексного типа «</w:t>
      </w:r>
      <w:r w:rsidRPr="00264D5D">
        <w:rPr>
          <w:szCs w:val="24"/>
          <w:lang w:val="en-US"/>
        </w:rPr>
        <w:t>tMSC</w:t>
      </w:r>
      <w:r w:rsidRPr="00264D5D">
        <w:rPr>
          <w:szCs w:val="24"/>
        </w:rPr>
        <w:t>_</w:t>
      </w:r>
      <w:r w:rsidRPr="00264D5D">
        <w:rPr>
          <w:szCs w:val="24"/>
          <w:lang w:val="en-US"/>
        </w:rPr>
        <w:t>Cstmr</w:t>
      </w:r>
      <w:r w:rsidRPr="00264D5D">
        <w:rPr>
          <w:szCs w:val="24"/>
        </w:rPr>
        <w:t>5</w:t>
      </w:r>
      <w:r w:rsidRPr="00264D5D">
        <w:t>» блока «</w:t>
      </w:r>
      <w:r w:rsidRPr="00264D5D">
        <w:rPr>
          <w:szCs w:val="24"/>
        </w:rPr>
        <w:t>Информация о клиенте</w:t>
      </w:r>
      <w:r w:rsidRPr="00264D5D">
        <w:t xml:space="preserve">». </w:t>
      </w:r>
    </w:p>
    <w:p w14:paraId="3BFFDB01" w14:textId="09E94BCC"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736" w:name="_Ref503521953"/>
      <w:bookmarkStart w:id="737" w:name="_Toc18509508"/>
      <w:bookmarkStart w:id="738" w:name="_Toc219309079"/>
      <w:r w:rsidR="008D797C">
        <w:rPr>
          <w:noProof/>
        </w:rPr>
        <w:t>49</w:t>
      </w:r>
      <w:bookmarkEnd w:id="736"/>
      <w:r w:rsidRPr="00264D5D">
        <w:fldChar w:fldCharType="end"/>
      </w:r>
      <w:r w:rsidRPr="00264D5D">
        <w:rPr>
          <w:rFonts w:eastAsia="Calibri"/>
          <w:szCs w:val="24"/>
        </w:rPr>
        <w:t xml:space="preserve"> –</w:t>
      </w:r>
      <w:r w:rsidRPr="00264D5D">
        <w:t xml:space="preserve"> Описание комплексного типа «tMSC_Cstmr5»</w:t>
      </w:r>
      <w:bookmarkEnd w:id="737"/>
      <w:bookmarkEnd w:id="738"/>
    </w:p>
    <w:tbl>
      <w:tblPr>
        <w:tblStyle w:val="GOSTTable"/>
        <w:tblW w:w="5000" w:type="pct"/>
        <w:tblLayout w:type="fixed"/>
        <w:tblLook w:val="04A0" w:firstRow="1" w:lastRow="0" w:firstColumn="1" w:lastColumn="0" w:noHBand="0" w:noVBand="1"/>
      </w:tblPr>
      <w:tblGrid>
        <w:gridCol w:w="1702"/>
        <w:gridCol w:w="1703"/>
        <w:gridCol w:w="568"/>
        <w:gridCol w:w="1135"/>
        <w:gridCol w:w="568"/>
        <w:gridCol w:w="3974"/>
      </w:tblGrid>
      <w:tr w:rsidR="00AD1F54" w:rsidRPr="00264D5D" w14:paraId="3D6910D6" w14:textId="77777777" w:rsidTr="00AD1F54">
        <w:trPr>
          <w:cnfStyle w:val="100000000000" w:firstRow="1" w:lastRow="0" w:firstColumn="0" w:lastColumn="0" w:oddVBand="0" w:evenVBand="0" w:oddHBand="0" w:evenHBand="0" w:firstRowFirstColumn="0" w:firstRowLastColumn="0" w:lastRowFirstColumn="0" w:lastRowLastColumn="0"/>
          <w:trHeight w:val="1044"/>
        </w:trPr>
        <w:tc>
          <w:tcPr>
            <w:tcW w:w="1701" w:type="dxa"/>
          </w:tcPr>
          <w:p w14:paraId="61819545" w14:textId="77777777" w:rsidR="00AD1F54" w:rsidRPr="00264D5D" w:rsidRDefault="00941227">
            <w:pPr>
              <w:pStyle w:val="ASFKTableHead"/>
            </w:pPr>
            <w:r w:rsidRPr="00264D5D">
              <w:t>Наименование элемента</w:t>
            </w:r>
          </w:p>
        </w:tc>
        <w:tc>
          <w:tcPr>
            <w:tcW w:w="1701" w:type="dxa"/>
          </w:tcPr>
          <w:p w14:paraId="43486516" w14:textId="77777777" w:rsidR="00AD1F54" w:rsidRPr="00264D5D" w:rsidRDefault="00941227">
            <w:pPr>
              <w:pStyle w:val="ASFKTableHead"/>
            </w:pPr>
            <w:r w:rsidRPr="00264D5D">
              <w:t>Сокращенное наименование (код) элемента</w:t>
            </w:r>
          </w:p>
        </w:tc>
        <w:tc>
          <w:tcPr>
            <w:tcW w:w="567" w:type="dxa"/>
          </w:tcPr>
          <w:p w14:paraId="4B5AE1D8" w14:textId="77777777" w:rsidR="00AD1F54" w:rsidRPr="00264D5D" w:rsidRDefault="00941227">
            <w:pPr>
              <w:pStyle w:val="ASFKTableHead"/>
            </w:pPr>
            <w:r w:rsidRPr="00264D5D">
              <w:t>Тип</w:t>
            </w:r>
          </w:p>
        </w:tc>
        <w:tc>
          <w:tcPr>
            <w:tcW w:w="1134" w:type="dxa"/>
          </w:tcPr>
          <w:p w14:paraId="78970809" w14:textId="77777777" w:rsidR="00AD1F54" w:rsidRPr="00264D5D" w:rsidRDefault="00941227">
            <w:pPr>
              <w:pStyle w:val="ASFKTableHead"/>
            </w:pPr>
            <w:r w:rsidRPr="00264D5D">
              <w:t>Формат элемента</w:t>
            </w:r>
          </w:p>
        </w:tc>
        <w:tc>
          <w:tcPr>
            <w:tcW w:w="567" w:type="dxa"/>
          </w:tcPr>
          <w:p w14:paraId="551C490A" w14:textId="77777777" w:rsidR="00AD1F54" w:rsidRPr="00264D5D" w:rsidRDefault="00941227">
            <w:pPr>
              <w:pStyle w:val="ASFKTableHead"/>
            </w:pPr>
            <w:r w:rsidRPr="00264D5D">
              <w:t>Обязательность</w:t>
            </w:r>
          </w:p>
        </w:tc>
        <w:tc>
          <w:tcPr>
            <w:tcW w:w="3969" w:type="dxa"/>
          </w:tcPr>
          <w:p w14:paraId="392AE391" w14:textId="77777777" w:rsidR="00AD1F54" w:rsidRPr="00264D5D" w:rsidRDefault="00941227">
            <w:pPr>
              <w:pStyle w:val="ASFKTableHead"/>
            </w:pPr>
            <w:r w:rsidRPr="00264D5D">
              <w:t>Дополнительная информация</w:t>
            </w:r>
          </w:p>
        </w:tc>
      </w:tr>
      <w:tr w:rsidR="00AD1F54" w:rsidRPr="00264D5D" w14:paraId="79F8FF05"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701" w:type="dxa"/>
          </w:tcPr>
          <w:p w14:paraId="02B7AF72" w14:textId="77777777" w:rsidR="00AD1F54" w:rsidRPr="00264D5D" w:rsidRDefault="00941227">
            <w:pPr>
              <w:pStyle w:val="GOSTTablenorm"/>
            </w:pPr>
            <w:r w:rsidRPr="00264D5D">
              <w:t>Код клиента</w:t>
            </w:r>
          </w:p>
        </w:tc>
        <w:tc>
          <w:tcPr>
            <w:tcW w:w="1701" w:type="dxa"/>
          </w:tcPr>
          <w:p w14:paraId="5BD269C0" w14:textId="77777777" w:rsidR="00AD1F54" w:rsidRPr="00264D5D" w:rsidRDefault="00941227">
            <w:pPr>
              <w:pStyle w:val="GOSTTablenorm"/>
              <w:rPr>
                <w:lang w:val="en-US"/>
              </w:rPr>
            </w:pPr>
            <w:r w:rsidRPr="00264D5D">
              <w:rPr>
                <w:lang w:val="en-US"/>
              </w:rPr>
              <w:t>Cd</w:t>
            </w:r>
          </w:p>
        </w:tc>
        <w:tc>
          <w:tcPr>
            <w:tcW w:w="567" w:type="dxa"/>
          </w:tcPr>
          <w:p w14:paraId="322FD394" w14:textId="77777777" w:rsidR="00AD1F54" w:rsidRPr="00264D5D" w:rsidRDefault="00941227">
            <w:pPr>
              <w:pStyle w:val="GOSTTablenorm"/>
              <w:jc w:val="center"/>
            </w:pPr>
            <w:r w:rsidRPr="00264D5D">
              <w:t>П</w:t>
            </w:r>
          </w:p>
        </w:tc>
        <w:tc>
          <w:tcPr>
            <w:tcW w:w="1134" w:type="dxa"/>
          </w:tcPr>
          <w:p w14:paraId="6FD4A3AA" w14:textId="77777777" w:rsidR="00AD1F54" w:rsidRPr="00264D5D" w:rsidRDefault="00941227">
            <w:pPr>
              <w:pStyle w:val="GOSTTablenorm"/>
            </w:pPr>
            <w:r w:rsidRPr="00264D5D">
              <w:t>Т(8)</w:t>
            </w:r>
          </w:p>
        </w:tc>
        <w:tc>
          <w:tcPr>
            <w:tcW w:w="567" w:type="dxa"/>
          </w:tcPr>
          <w:p w14:paraId="4B9794DD" w14:textId="77777777" w:rsidR="00AD1F54" w:rsidRPr="00264D5D" w:rsidRDefault="00941227">
            <w:pPr>
              <w:pStyle w:val="GOSTTablenorm"/>
              <w:jc w:val="center"/>
            </w:pPr>
            <w:r w:rsidRPr="00264D5D">
              <w:t>О</w:t>
            </w:r>
          </w:p>
        </w:tc>
        <w:tc>
          <w:tcPr>
            <w:tcW w:w="3969" w:type="dxa"/>
          </w:tcPr>
          <w:p w14:paraId="1136AF8A" w14:textId="77777777" w:rsidR="00AD1F54" w:rsidRPr="00264D5D" w:rsidRDefault="00941227">
            <w:pPr>
              <w:pStyle w:val="GOSTTablenorm"/>
              <w:rPr>
                <w:b/>
                <w:bCs/>
              </w:rPr>
            </w:pPr>
            <w:r w:rsidRPr="00264D5D">
              <w:t>К</w:t>
            </w:r>
            <w:r w:rsidR="00BA58C1" w:rsidRPr="00264D5D">
              <w:t>од клиента по Сводному реестру.</w:t>
            </w:r>
          </w:p>
        </w:tc>
      </w:tr>
      <w:tr w:rsidR="00AD1F54" w:rsidRPr="00264D5D" w14:paraId="7107F34F"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701" w:type="dxa"/>
          </w:tcPr>
          <w:p w14:paraId="605C645E" w14:textId="77777777" w:rsidR="00AD1F54" w:rsidRPr="00264D5D" w:rsidRDefault="00941227">
            <w:pPr>
              <w:pStyle w:val="GOSTTablenorm"/>
            </w:pPr>
            <w:r w:rsidRPr="00264D5D">
              <w:t>Наименование клиента</w:t>
            </w:r>
          </w:p>
        </w:tc>
        <w:tc>
          <w:tcPr>
            <w:tcW w:w="1701" w:type="dxa"/>
          </w:tcPr>
          <w:p w14:paraId="5383463C" w14:textId="77777777" w:rsidR="00AD1F54" w:rsidRPr="00264D5D" w:rsidRDefault="00941227">
            <w:pPr>
              <w:pStyle w:val="GOSTTablenorm"/>
            </w:pPr>
            <w:r w:rsidRPr="00264D5D">
              <w:t>FullNm</w:t>
            </w:r>
          </w:p>
        </w:tc>
        <w:tc>
          <w:tcPr>
            <w:tcW w:w="567" w:type="dxa"/>
          </w:tcPr>
          <w:p w14:paraId="6E2A4EB3" w14:textId="77777777" w:rsidR="00AD1F54" w:rsidRPr="00264D5D" w:rsidRDefault="00941227">
            <w:pPr>
              <w:pStyle w:val="GOSTTablenorm"/>
              <w:jc w:val="center"/>
            </w:pPr>
            <w:r w:rsidRPr="00264D5D">
              <w:t>П</w:t>
            </w:r>
          </w:p>
        </w:tc>
        <w:tc>
          <w:tcPr>
            <w:tcW w:w="1134" w:type="dxa"/>
          </w:tcPr>
          <w:p w14:paraId="681A203C" w14:textId="77777777" w:rsidR="00AD1F54" w:rsidRPr="00264D5D" w:rsidRDefault="00941227">
            <w:pPr>
              <w:pStyle w:val="GOSTTablenorm"/>
            </w:pPr>
            <w:r w:rsidRPr="00264D5D">
              <w:t>Т(1-2000)</w:t>
            </w:r>
          </w:p>
        </w:tc>
        <w:tc>
          <w:tcPr>
            <w:tcW w:w="567" w:type="dxa"/>
          </w:tcPr>
          <w:p w14:paraId="4D539DB3" w14:textId="77777777" w:rsidR="00AD1F54" w:rsidRPr="00264D5D" w:rsidRDefault="00941227">
            <w:pPr>
              <w:pStyle w:val="GOSTTablenorm"/>
              <w:jc w:val="center"/>
            </w:pPr>
            <w:r w:rsidRPr="00264D5D">
              <w:t>О</w:t>
            </w:r>
          </w:p>
        </w:tc>
        <w:tc>
          <w:tcPr>
            <w:tcW w:w="3969" w:type="dxa"/>
          </w:tcPr>
          <w:p w14:paraId="1BD5B831" w14:textId="77777777" w:rsidR="00AD1F54" w:rsidRPr="00264D5D" w:rsidRDefault="00941227">
            <w:pPr>
              <w:pStyle w:val="GOSTTablenorm"/>
            </w:pPr>
            <w:r w:rsidRPr="00264D5D">
              <w:t>Наименование клиента в с</w:t>
            </w:r>
            <w:r w:rsidR="00BA58C1" w:rsidRPr="00264D5D">
              <w:t>оответствии со Сводным реестром</w:t>
            </w:r>
          </w:p>
        </w:tc>
      </w:tr>
      <w:tr w:rsidR="00AD1F54" w:rsidRPr="00264D5D" w14:paraId="505348C6"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701" w:type="dxa"/>
          </w:tcPr>
          <w:p w14:paraId="590E10CA" w14:textId="77777777" w:rsidR="00AD1F54" w:rsidRPr="00264D5D" w:rsidRDefault="00941227">
            <w:pPr>
              <w:pStyle w:val="GOSTTablenorm"/>
            </w:pPr>
            <w:r w:rsidRPr="00264D5D">
              <w:t>Номер лицевого счета</w:t>
            </w:r>
          </w:p>
        </w:tc>
        <w:tc>
          <w:tcPr>
            <w:tcW w:w="1701" w:type="dxa"/>
          </w:tcPr>
          <w:p w14:paraId="0BA6EF3A" w14:textId="77777777" w:rsidR="00AD1F54" w:rsidRPr="00264D5D" w:rsidRDefault="00941227">
            <w:pPr>
              <w:pStyle w:val="GOSTTablenorm"/>
            </w:pPr>
            <w:r w:rsidRPr="00264D5D">
              <w:t>AcntNmbr</w:t>
            </w:r>
          </w:p>
        </w:tc>
        <w:tc>
          <w:tcPr>
            <w:tcW w:w="567" w:type="dxa"/>
          </w:tcPr>
          <w:p w14:paraId="1E342F62" w14:textId="77777777" w:rsidR="00AD1F54" w:rsidRPr="00264D5D" w:rsidRDefault="00941227">
            <w:pPr>
              <w:pStyle w:val="GOSTTablenorm"/>
              <w:jc w:val="center"/>
            </w:pPr>
            <w:r w:rsidRPr="00264D5D">
              <w:t>П</w:t>
            </w:r>
          </w:p>
        </w:tc>
        <w:tc>
          <w:tcPr>
            <w:tcW w:w="1134" w:type="dxa"/>
          </w:tcPr>
          <w:p w14:paraId="530A75A0" w14:textId="77777777" w:rsidR="00AD1F54" w:rsidRPr="00264D5D" w:rsidRDefault="00941227">
            <w:pPr>
              <w:pStyle w:val="GOSTTablenorm"/>
            </w:pPr>
            <w:r w:rsidRPr="00264D5D">
              <w:t>Т(11)</w:t>
            </w:r>
          </w:p>
        </w:tc>
        <w:tc>
          <w:tcPr>
            <w:tcW w:w="567" w:type="dxa"/>
          </w:tcPr>
          <w:p w14:paraId="534F6FB6" w14:textId="77777777" w:rsidR="00AD1F54" w:rsidRPr="00264D5D" w:rsidRDefault="00941227">
            <w:pPr>
              <w:pStyle w:val="GOSTTablenorm"/>
              <w:jc w:val="center"/>
            </w:pPr>
            <w:r w:rsidRPr="00264D5D">
              <w:t>О</w:t>
            </w:r>
          </w:p>
        </w:tc>
        <w:tc>
          <w:tcPr>
            <w:tcW w:w="3969" w:type="dxa"/>
          </w:tcPr>
          <w:p w14:paraId="297D8B3C" w14:textId="77777777" w:rsidR="00AD1F54" w:rsidRPr="00264D5D" w:rsidRDefault="00941227">
            <w:pPr>
              <w:pStyle w:val="GOSTTablenorm"/>
            </w:pPr>
            <w:r w:rsidRPr="00264D5D">
              <w:t>Номер л/с клиента</w:t>
            </w:r>
          </w:p>
        </w:tc>
      </w:tr>
    </w:tbl>
    <w:p w14:paraId="261BB4D0" w14:textId="77777777" w:rsidR="00AD1F54" w:rsidRPr="00264D5D" w:rsidRDefault="00941227">
      <w:pPr>
        <w:pStyle w:val="31"/>
      </w:pPr>
      <w:bookmarkStart w:id="739" w:name="_Toc528144381"/>
      <w:bookmarkStart w:id="740" w:name="_Toc528584366"/>
      <w:bookmarkStart w:id="741" w:name="_Toc508712656"/>
      <w:bookmarkStart w:id="742" w:name="_Toc18509221"/>
      <w:bookmarkStart w:id="743" w:name="_Toc499635940"/>
      <w:bookmarkStart w:id="744" w:name="_Toc219309488"/>
      <w:bookmarkEnd w:id="739"/>
      <w:bookmarkEnd w:id="740"/>
      <w:r w:rsidRPr="00264D5D">
        <w:t>Описание комплексного типа «tMSC_GRBS»</w:t>
      </w:r>
      <w:bookmarkEnd w:id="741"/>
      <w:bookmarkEnd w:id="742"/>
      <w:bookmarkEnd w:id="744"/>
    </w:p>
    <w:p w14:paraId="0FF46416" w14:textId="77777777" w:rsidR="00AD1F54" w:rsidRPr="00264D5D" w:rsidRDefault="00941227">
      <w:pPr>
        <w:pStyle w:val="GOSTNormal"/>
      </w:pPr>
      <w:r w:rsidRPr="00264D5D">
        <w:t>Описание комплексного типа «tMSC_GRBS» блока «Информация о ГРБС».</w:t>
      </w:r>
    </w:p>
    <w:p w14:paraId="2DB04F46" w14:textId="3DF4E7D2"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745" w:name="_Ref503522254"/>
      <w:bookmarkStart w:id="746" w:name="_Toc18509509"/>
      <w:bookmarkStart w:id="747" w:name="_Toc219309080"/>
      <w:r w:rsidR="008D797C">
        <w:rPr>
          <w:noProof/>
        </w:rPr>
        <w:t>50</w:t>
      </w:r>
      <w:bookmarkEnd w:id="745"/>
      <w:r w:rsidRPr="00264D5D">
        <w:fldChar w:fldCharType="end"/>
      </w:r>
      <w:r w:rsidRPr="00264D5D">
        <w:rPr>
          <w:rFonts w:eastAsia="Calibri"/>
          <w:szCs w:val="24"/>
        </w:rPr>
        <w:t xml:space="preserve"> –</w:t>
      </w:r>
      <w:r w:rsidRPr="00264D5D">
        <w:t xml:space="preserve"> Описание комплексного типа «tMSC_GRBS»</w:t>
      </w:r>
      <w:bookmarkEnd w:id="746"/>
      <w:bookmarkEnd w:id="747"/>
    </w:p>
    <w:tbl>
      <w:tblPr>
        <w:tblStyle w:val="GOSTTable"/>
        <w:tblW w:w="5000" w:type="pct"/>
        <w:tblLayout w:type="fixed"/>
        <w:tblLook w:val="04A0" w:firstRow="1" w:lastRow="0" w:firstColumn="1" w:lastColumn="0" w:noHBand="0" w:noVBand="1"/>
      </w:tblPr>
      <w:tblGrid>
        <w:gridCol w:w="1704"/>
        <w:gridCol w:w="1702"/>
        <w:gridCol w:w="568"/>
        <w:gridCol w:w="1135"/>
        <w:gridCol w:w="568"/>
        <w:gridCol w:w="3973"/>
      </w:tblGrid>
      <w:tr w:rsidR="00AD1F54" w:rsidRPr="00264D5D" w14:paraId="0BBB3A8F"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1703" w:type="dxa"/>
          </w:tcPr>
          <w:p w14:paraId="5FDDFB82" w14:textId="77777777" w:rsidR="00AD1F54" w:rsidRPr="00264D5D" w:rsidRDefault="00941227">
            <w:pPr>
              <w:pStyle w:val="ASFKTableHead"/>
            </w:pPr>
            <w:r w:rsidRPr="00264D5D">
              <w:t>Наименование элемента</w:t>
            </w:r>
          </w:p>
        </w:tc>
        <w:tc>
          <w:tcPr>
            <w:tcW w:w="1701" w:type="dxa"/>
          </w:tcPr>
          <w:p w14:paraId="62068437" w14:textId="77777777" w:rsidR="00AD1F54" w:rsidRPr="00264D5D" w:rsidRDefault="00941227">
            <w:pPr>
              <w:pStyle w:val="ASFKTableHead"/>
            </w:pPr>
            <w:r w:rsidRPr="00264D5D">
              <w:t>Сокращенное наименование (код) элемента</w:t>
            </w:r>
          </w:p>
        </w:tc>
        <w:tc>
          <w:tcPr>
            <w:tcW w:w="567" w:type="dxa"/>
          </w:tcPr>
          <w:p w14:paraId="2F0B1197" w14:textId="77777777" w:rsidR="00AD1F54" w:rsidRPr="00264D5D" w:rsidRDefault="00941227">
            <w:pPr>
              <w:pStyle w:val="ASFKTableHead"/>
            </w:pPr>
            <w:r w:rsidRPr="00264D5D">
              <w:t>Тип</w:t>
            </w:r>
          </w:p>
        </w:tc>
        <w:tc>
          <w:tcPr>
            <w:tcW w:w="1134" w:type="dxa"/>
          </w:tcPr>
          <w:p w14:paraId="56AE9F00" w14:textId="77777777" w:rsidR="00AD1F54" w:rsidRPr="00264D5D" w:rsidRDefault="00941227">
            <w:pPr>
              <w:pStyle w:val="ASFKTableHead"/>
            </w:pPr>
            <w:r w:rsidRPr="00264D5D">
              <w:t>Формат элемента</w:t>
            </w:r>
          </w:p>
        </w:tc>
        <w:tc>
          <w:tcPr>
            <w:tcW w:w="567" w:type="dxa"/>
          </w:tcPr>
          <w:p w14:paraId="0416B857" w14:textId="77777777" w:rsidR="00AD1F54" w:rsidRPr="00264D5D" w:rsidRDefault="00941227">
            <w:pPr>
              <w:pStyle w:val="ASFKTableHead"/>
            </w:pPr>
            <w:r w:rsidRPr="00264D5D">
              <w:t>Обязательность</w:t>
            </w:r>
          </w:p>
        </w:tc>
        <w:tc>
          <w:tcPr>
            <w:tcW w:w="3969" w:type="dxa"/>
          </w:tcPr>
          <w:p w14:paraId="76AAA650" w14:textId="77777777" w:rsidR="00AD1F54" w:rsidRPr="00264D5D" w:rsidRDefault="00941227">
            <w:pPr>
              <w:pStyle w:val="ASFKTableHead"/>
            </w:pPr>
            <w:r w:rsidRPr="00264D5D">
              <w:t>Дополнительная информация</w:t>
            </w:r>
          </w:p>
        </w:tc>
      </w:tr>
      <w:tr w:rsidR="00AD1F54" w:rsidRPr="00264D5D" w14:paraId="040E4D47"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703" w:type="dxa"/>
          </w:tcPr>
          <w:p w14:paraId="28C23E37" w14:textId="77777777" w:rsidR="00AD1F54" w:rsidRPr="00264D5D" w:rsidRDefault="00941227">
            <w:pPr>
              <w:pStyle w:val="GOSTTablenorm"/>
            </w:pPr>
            <w:r w:rsidRPr="00264D5D">
              <w:t>Глава по БК</w:t>
            </w:r>
          </w:p>
        </w:tc>
        <w:tc>
          <w:tcPr>
            <w:tcW w:w="1701" w:type="dxa"/>
          </w:tcPr>
          <w:p w14:paraId="3ED99BA6" w14:textId="77777777" w:rsidR="00AD1F54" w:rsidRPr="00264D5D" w:rsidRDefault="00941227">
            <w:pPr>
              <w:pStyle w:val="GOSTTablenorm"/>
            </w:pPr>
            <w:r w:rsidRPr="00264D5D">
              <w:t>Cd</w:t>
            </w:r>
          </w:p>
        </w:tc>
        <w:tc>
          <w:tcPr>
            <w:tcW w:w="567" w:type="dxa"/>
          </w:tcPr>
          <w:p w14:paraId="3D34F6B6" w14:textId="77777777" w:rsidR="00AD1F54" w:rsidRPr="00264D5D" w:rsidRDefault="00941227">
            <w:pPr>
              <w:pStyle w:val="GOSTTablenorm"/>
              <w:jc w:val="center"/>
            </w:pPr>
            <w:r w:rsidRPr="00264D5D">
              <w:t>П</w:t>
            </w:r>
          </w:p>
        </w:tc>
        <w:tc>
          <w:tcPr>
            <w:tcW w:w="1134" w:type="dxa"/>
          </w:tcPr>
          <w:p w14:paraId="33E981EE" w14:textId="77777777" w:rsidR="00AD1F54" w:rsidRPr="00264D5D" w:rsidRDefault="00941227">
            <w:pPr>
              <w:pStyle w:val="GOSTTablenorm"/>
            </w:pPr>
            <w:r w:rsidRPr="00264D5D">
              <w:t>Т(3)</w:t>
            </w:r>
          </w:p>
        </w:tc>
        <w:tc>
          <w:tcPr>
            <w:tcW w:w="567" w:type="dxa"/>
          </w:tcPr>
          <w:p w14:paraId="202A4AD3" w14:textId="77777777" w:rsidR="00AD1F54" w:rsidRPr="00264D5D" w:rsidRDefault="00941227">
            <w:pPr>
              <w:pStyle w:val="GOSTTablenorm"/>
              <w:jc w:val="center"/>
            </w:pPr>
            <w:r w:rsidRPr="00264D5D">
              <w:t>Н</w:t>
            </w:r>
          </w:p>
        </w:tc>
        <w:tc>
          <w:tcPr>
            <w:tcW w:w="3969" w:type="dxa"/>
          </w:tcPr>
          <w:p w14:paraId="11853F72" w14:textId="77777777" w:rsidR="00AD1F54" w:rsidRPr="00264D5D" w:rsidRDefault="00941227">
            <w:pPr>
              <w:pStyle w:val="GOSTTablenorm"/>
            </w:pPr>
            <w:r w:rsidRPr="00264D5D">
              <w:t>Код ГРБС/ГАИФДБ по перечню ГРБС/ГАИФДБ, утвержденному законом (решением) о соответствующем бюджете.</w:t>
            </w:r>
          </w:p>
          <w:p w14:paraId="3FDFB422" w14:textId="77777777" w:rsidR="00AD1F54" w:rsidRPr="00264D5D" w:rsidRDefault="00BA58C1">
            <w:pPr>
              <w:pStyle w:val="GOSTTablenorm"/>
            </w:pPr>
            <w:r w:rsidRPr="00264D5D">
              <w:t>Не указывается для АУ, БУ</w:t>
            </w:r>
          </w:p>
        </w:tc>
      </w:tr>
      <w:tr w:rsidR="00AD1F54" w:rsidRPr="00264D5D" w14:paraId="42FA7607"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703" w:type="dxa"/>
          </w:tcPr>
          <w:p w14:paraId="33B756DD" w14:textId="77777777" w:rsidR="00AD1F54" w:rsidRPr="00264D5D" w:rsidRDefault="00941227">
            <w:pPr>
              <w:pStyle w:val="GOSTTablenorm"/>
            </w:pPr>
            <w:r w:rsidRPr="00264D5D">
              <w:t>Наименование ГРБС (ГАИФДБ)</w:t>
            </w:r>
          </w:p>
        </w:tc>
        <w:tc>
          <w:tcPr>
            <w:tcW w:w="1701" w:type="dxa"/>
          </w:tcPr>
          <w:p w14:paraId="1B8C2D5C" w14:textId="77777777" w:rsidR="00AD1F54" w:rsidRPr="00264D5D" w:rsidRDefault="00941227">
            <w:pPr>
              <w:pStyle w:val="GOSTTablenorm"/>
            </w:pPr>
            <w:r w:rsidRPr="00264D5D">
              <w:t>Nm</w:t>
            </w:r>
          </w:p>
        </w:tc>
        <w:tc>
          <w:tcPr>
            <w:tcW w:w="567" w:type="dxa"/>
          </w:tcPr>
          <w:p w14:paraId="6BB4EA6D" w14:textId="77777777" w:rsidR="00AD1F54" w:rsidRPr="00264D5D" w:rsidRDefault="00941227">
            <w:pPr>
              <w:pStyle w:val="GOSTTablenorm"/>
              <w:jc w:val="center"/>
            </w:pPr>
            <w:r w:rsidRPr="00264D5D">
              <w:t>П</w:t>
            </w:r>
          </w:p>
        </w:tc>
        <w:tc>
          <w:tcPr>
            <w:tcW w:w="1134" w:type="dxa"/>
          </w:tcPr>
          <w:p w14:paraId="169246CB" w14:textId="77777777" w:rsidR="00AD1F54" w:rsidRPr="00264D5D" w:rsidRDefault="00941227">
            <w:pPr>
              <w:pStyle w:val="GOSTTablenorm"/>
            </w:pPr>
            <w:r w:rsidRPr="00264D5D">
              <w:t>Т(1-2000)</w:t>
            </w:r>
          </w:p>
        </w:tc>
        <w:tc>
          <w:tcPr>
            <w:tcW w:w="567" w:type="dxa"/>
          </w:tcPr>
          <w:p w14:paraId="04B2A281" w14:textId="77777777" w:rsidR="00AD1F54" w:rsidRPr="00264D5D" w:rsidRDefault="00941227">
            <w:pPr>
              <w:pStyle w:val="GOSTTablenorm"/>
              <w:jc w:val="center"/>
            </w:pPr>
            <w:r w:rsidRPr="00264D5D">
              <w:t>Н</w:t>
            </w:r>
          </w:p>
        </w:tc>
        <w:tc>
          <w:tcPr>
            <w:tcW w:w="3969" w:type="dxa"/>
          </w:tcPr>
          <w:p w14:paraId="5410F0A6" w14:textId="77777777" w:rsidR="00AD1F54" w:rsidRPr="00264D5D" w:rsidRDefault="00941227">
            <w:pPr>
              <w:pStyle w:val="GOSTTablenorm"/>
            </w:pPr>
            <w:r w:rsidRPr="00264D5D">
              <w:t>Полное наименование ГРБС, ГАИФДБ, в ведении которого находится УБП, формирующий заявку.</w:t>
            </w:r>
          </w:p>
          <w:p w14:paraId="28ECFC94" w14:textId="77777777" w:rsidR="00AD1F54" w:rsidRPr="00264D5D" w:rsidRDefault="00941227">
            <w:pPr>
              <w:pStyle w:val="GOSTTablenorm"/>
            </w:pPr>
            <w:r w:rsidRPr="00264D5D">
              <w:t>Поле может не заполняться в соответствии с отдельными указаниями ФК в целях обеспечения режима секретности.</w:t>
            </w:r>
          </w:p>
          <w:p w14:paraId="26A27F4D" w14:textId="77777777" w:rsidR="00AD1F54" w:rsidRPr="00264D5D" w:rsidRDefault="00941227" w:rsidP="00BA58C1">
            <w:pPr>
              <w:pStyle w:val="GOSTTablenorm"/>
            </w:pPr>
            <w:r w:rsidRPr="00264D5D">
              <w:rPr>
                <w:szCs w:val="22"/>
              </w:rPr>
              <w:t xml:space="preserve">Для </w:t>
            </w:r>
            <w:r w:rsidR="00BA58C1" w:rsidRPr="00264D5D">
              <w:rPr>
                <w:szCs w:val="22"/>
              </w:rPr>
              <w:t>А</w:t>
            </w:r>
            <w:r w:rsidRPr="00264D5D">
              <w:rPr>
                <w:szCs w:val="22"/>
              </w:rPr>
              <w:t xml:space="preserve">У, </w:t>
            </w:r>
            <w:r w:rsidR="00BA58C1" w:rsidRPr="00264D5D">
              <w:rPr>
                <w:szCs w:val="22"/>
              </w:rPr>
              <w:t>БУ</w:t>
            </w:r>
            <w:r w:rsidRPr="00264D5D">
              <w:rPr>
                <w:szCs w:val="22"/>
              </w:rPr>
              <w:t xml:space="preserve"> указывается наименование </w:t>
            </w:r>
            <w:r w:rsidRPr="00264D5D">
              <w:rPr>
                <w:szCs w:val="22"/>
              </w:rPr>
              <w:lastRenderedPageBreak/>
              <w:t>органа, осуществляющего функции и полномочия</w:t>
            </w:r>
            <w:r w:rsidR="00BA58C1" w:rsidRPr="00264D5D">
              <w:rPr>
                <w:szCs w:val="22"/>
              </w:rPr>
              <w:t xml:space="preserve"> учредителя в отношении клиента</w:t>
            </w:r>
          </w:p>
        </w:tc>
      </w:tr>
    </w:tbl>
    <w:p w14:paraId="1D8EC835" w14:textId="77777777" w:rsidR="00AD1F54" w:rsidRPr="00264D5D" w:rsidRDefault="00941227">
      <w:pPr>
        <w:pStyle w:val="31"/>
      </w:pPr>
      <w:bookmarkStart w:id="748" w:name="_Toc18509222"/>
      <w:bookmarkStart w:id="749" w:name="_Toc219309489"/>
      <w:r w:rsidRPr="00264D5D">
        <w:lastRenderedPageBreak/>
        <w:t>Описание комплексного типа «tMSC_Orgnztn»</w:t>
      </w:r>
      <w:bookmarkEnd w:id="748"/>
      <w:bookmarkEnd w:id="749"/>
    </w:p>
    <w:p w14:paraId="09A34EAE" w14:textId="77777777" w:rsidR="00AD1F54" w:rsidRPr="00264D5D" w:rsidRDefault="00941227">
      <w:pPr>
        <w:pStyle w:val="GOSTNormal"/>
      </w:pPr>
      <w:r w:rsidRPr="00264D5D">
        <w:t>Описание комплексного типа «tMSC_Orgnztn» блока «Организация».</w:t>
      </w:r>
    </w:p>
    <w:bookmarkStart w:id="750" w:name="_Ref524613107"/>
    <w:p w14:paraId="590E303E" w14:textId="32B094D7"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751" w:name="_Ref524613126"/>
      <w:bookmarkStart w:id="752" w:name="_Toc18509510"/>
      <w:bookmarkStart w:id="753" w:name="_Toc219309081"/>
      <w:r w:rsidR="008D797C">
        <w:rPr>
          <w:noProof/>
        </w:rPr>
        <w:t>51</w:t>
      </w:r>
      <w:bookmarkEnd w:id="751"/>
      <w:r w:rsidRPr="00264D5D">
        <w:fldChar w:fldCharType="end"/>
      </w:r>
      <w:r w:rsidRPr="00264D5D">
        <w:rPr>
          <w:rFonts w:eastAsia="Calibri"/>
          <w:szCs w:val="24"/>
        </w:rPr>
        <w:t xml:space="preserve"> –</w:t>
      </w:r>
      <w:r w:rsidRPr="00264D5D">
        <w:t xml:space="preserve"> Описание комплексного типа «tMSC_Orgnztn»</w:t>
      </w:r>
      <w:bookmarkEnd w:id="750"/>
      <w:bookmarkEnd w:id="752"/>
      <w:bookmarkEnd w:id="753"/>
    </w:p>
    <w:tbl>
      <w:tblPr>
        <w:tblStyle w:val="GOSTTable"/>
        <w:tblW w:w="5000" w:type="pct"/>
        <w:tblLayout w:type="fixed"/>
        <w:tblLook w:val="01E0" w:firstRow="1" w:lastRow="1" w:firstColumn="1" w:lastColumn="1" w:noHBand="0" w:noVBand="0"/>
      </w:tblPr>
      <w:tblGrid>
        <w:gridCol w:w="1704"/>
        <w:gridCol w:w="1702"/>
        <w:gridCol w:w="568"/>
        <w:gridCol w:w="1135"/>
        <w:gridCol w:w="568"/>
        <w:gridCol w:w="3973"/>
      </w:tblGrid>
      <w:tr w:rsidR="00AD1F54" w:rsidRPr="00264D5D" w14:paraId="153A74FB"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4" w:type="dxa"/>
          </w:tcPr>
          <w:p w14:paraId="105D9BDC" w14:textId="77777777" w:rsidR="00AD1F54" w:rsidRPr="00264D5D" w:rsidRDefault="00941227">
            <w:pPr>
              <w:pStyle w:val="ASFKTableHead"/>
            </w:pPr>
            <w:r w:rsidRPr="00264D5D">
              <w:t>Наименование элемента</w:t>
            </w:r>
          </w:p>
        </w:tc>
        <w:tc>
          <w:tcPr>
            <w:tcW w:w="1702" w:type="dxa"/>
          </w:tcPr>
          <w:p w14:paraId="7230F886" w14:textId="77777777" w:rsidR="00AD1F54" w:rsidRPr="00264D5D" w:rsidRDefault="00941227">
            <w:pPr>
              <w:pStyle w:val="ASFKTableHead"/>
            </w:pPr>
            <w:r w:rsidRPr="00264D5D">
              <w:t>Сокращенное наименование (код) элемента</w:t>
            </w:r>
          </w:p>
        </w:tc>
        <w:tc>
          <w:tcPr>
            <w:tcW w:w="568" w:type="dxa"/>
          </w:tcPr>
          <w:p w14:paraId="5BBB0FF5" w14:textId="77777777" w:rsidR="00AD1F54" w:rsidRPr="00264D5D" w:rsidRDefault="00941227">
            <w:pPr>
              <w:pStyle w:val="ASFKTableHead"/>
            </w:pPr>
            <w:r w:rsidRPr="00264D5D">
              <w:t>Тип</w:t>
            </w:r>
          </w:p>
        </w:tc>
        <w:tc>
          <w:tcPr>
            <w:tcW w:w="1135" w:type="dxa"/>
          </w:tcPr>
          <w:p w14:paraId="32601DC5" w14:textId="77777777" w:rsidR="00AD1F54" w:rsidRPr="00264D5D" w:rsidRDefault="00941227">
            <w:pPr>
              <w:pStyle w:val="ASFKTableHead"/>
            </w:pPr>
            <w:r w:rsidRPr="00264D5D">
              <w:t>Формат элемента</w:t>
            </w:r>
          </w:p>
        </w:tc>
        <w:tc>
          <w:tcPr>
            <w:tcW w:w="568" w:type="dxa"/>
          </w:tcPr>
          <w:p w14:paraId="2C62DA65" w14:textId="77777777" w:rsidR="00AD1F54" w:rsidRPr="00264D5D" w:rsidRDefault="00941227">
            <w:pPr>
              <w:pStyle w:val="ASFKTableHead"/>
            </w:pPr>
            <w:r w:rsidRPr="00264D5D">
              <w:t>Обязательность</w:t>
            </w:r>
          </w:p>
        </w:tc>
        <w:tc>
          <w:tcPr>
            <w:tcW w:w="3973" w:type="dxa"/>
          </w:tcPr>
          <w:p w14:paraId="676127A3" w14:textId="77777777" w:rsidR="00AD1F54" w:rsidRPr="00264D5D" w:rsidRDefault="00941227">
            <w:pPr>
              <w:pStyle w:val="ASFKTableHead"/>
            </w:pPr>
            <w:r w:rsidRPr="00264D5D">
              <w:t>Дополнительная информация</w:t>
            </w:r>
          </w:p>
        </w:tc>
      </w:tr>
      <w:tr w:rsidR="00AD1F54" w:rsidRPr="00264D5D" w14:paraId="5551328E" w14:textId="77777777" w:rsidTr="00AD1F54">
        <w:trPr>
          <w:cnfStyle w:val="000000100000" w:firstRow="0" w:lastRow="0" w:firstColumn="0" w:lastColumn="0" w:oddVBand="0" w:evenVBand="0" w:oddHBand="1" w:evenHBand="0" w:firstRowFirstColumn="0" w:firstRowLastColumn="0" w:lastRowFirstColumn="0" w:lastRowLastColumn="0"/>
        </w:trPr>
        <w:tc>
          <w:tcPr>
            <w:tcW w:w="1704" w:type="dxa"/>
          </w:tcPr>
          <w:p w14:paraId="7EA66FB6" w14:textId="77777777" w:rsidR="00AD1F54" w:rsidRPr="00264D5D" w:rsidRDefault="00941227">
            <w:pPr>
              <w:pStyle w:val="GOSTTablenorm"/>
            </w:pPr>
            <w:r w:rsidRPr="00264D5D">
              <w:rPr>
                <w:szCs w:val="22"/>
              </w:rPr>
              <w:t>Информация об органе ФК</w:t>
            </w:r>
          </w:p>
        </w:tc>
        <w:tc>
          <w:tcPr>
            <w:tcW w:w="1702" w:type="dxa"/>
          </w:tcPr>
          <w:p w14:paraId="5218919A" w14:textId="77777777" w:rsidR="00AD1F54" w:rsidRPr="00264D5D" w:rsidRDefault="00941227">
            <w:pPr>
              <w:pStyle w:val="GOSTTablenorm"/>
            </w:pPr>
            <w:r w:rsidRPr="00264D5D">
              <w:t>MSC_OrFK</w:t>
            </w:r>
          </w:p>
        </w:tc>
        <w:tc>
          <w:tcPr>
            <w:tcW w:w="568" w:type="dxa"/>
          </w:tcPr>
          <w:p w14:paraId="13969DC9" w14:textId="77777777" w:rsidR="00AD1F54" w:rsidRPr="00264D5D" w:rsidRDefault="00941227">
            <w:pPr>
              <w:pStyle w:val="GOSTTablenorm"/>
              <w:jc w:val="center"/>
              <w:rPr>
                <w:lang w:val="en-US"/>
              </w:rPr>
            </w:pPr>
            <w:r w:rsidRPr="00264D5D">
              <w:t>С</w:t>
            </w:r>
          </w:p>
        </w:tc>
        <w:tc>
          <w:tcPr>
            <w:tcW w:w="1135" w:type="dxa"/>
          </w:tcPr>
          <w:p w14:paraId="142FDD85" w14:textId="77777777" w:rsidR="00AD1F54" w:rsidRPr="00264D5D" w:rsidRDefault="00941227">
            <w:pPr>
              <w:pStyle w:val="GOSTTablenorm"/>
            </w:pPr>
            <w:r w:rsidRPr="00264D5D">
              <w:t>tMSC_TOFK</w:t>
            </w:r>
          </w:p>
        </w:tc>
        <w:tc>
          <w:tcPr>
            <w:tcW w:w="568" w:type="dxa"/>
          </w:tcPr>
          <w:p w14:paraId="0B520552" w14:textId="77777777" w:rsidR="00AD1F54" w:rsidRPr="00264D5D" w:rsidRDefault="00941227">
            <w:pPr>
              <w:pStyle w:val="GOSTTablenorm"/>
              <w:jc w:val="center"/>
            </w:pPr>
            <w:r w:rsidRPr="00264D5D">
              <w:t>О</w:t>
            </w:r>
          </w:p>
        </w:tc>
        <w:tc>
          <w:tcPr>
            <w:tcW w:w="3973" w:type="dxa"/>
          </w:tcPr>
          <w:p w14:paraId="64A2D1A2" w14:textId="6E390644" w:rsidR="00AD1F54" w:rsidRPr="00264D5D" w:rsidRDefault="00941227">
            <w:pPr>
              <w:pStyle w:val="GOSTTablenorm"/>
            </w:pPr>
            <w:r w:rsidRPr="00264D5D">
              <w:t xml:space="preserve">Состав элемента представлен в таблице </w:t>
            </w:r>
            <w:r w:rsidRPr="00264D5D">
              <w:rPr>
                <w:b/>
              </w:rPr>
              <w:fldChar w:fldCharType="begin"/>
            </w:r>
            <w:r w:rsidRPr="00264D5D">
              <w:rPr>
                <w:b/>
              </w:rPr>
              <w:instrText xml:space="preserve"> REF _Ref524614769 \h  \* MERGEFORMAT </w:instrText>
            </w:r>
            <w:r w:rsidRPr="00264D5D">
              <w:rPr>
                <w:b/>
              </w:rPr>
            </w:r>
            <w:r w:rsidRPr="00264D5D">
              <w:rPr>
                <w:b/>
              </w:rPr>
              <w:fldChar w:fldCharType="separate"/>
            </w:r>
            <w:r w:rsidR="008D797C" w:rsidRPr="008D797C">
              <w:rPr>
                <w:b/>
              </w:rPr>
              <w:t>53</w:t>
            </w:r>
            <w:r w:rsidRPr="00264D5D">
              <w:rPr>
                <w:b/>
              </w:rPr>
              <w:fldChar w:fldCharType="end"/>
            </w:r>
          </w:p>
        </w:tc>
      </w:tr>
      <w:tr w:rsidR="00AD1F54" w:rsidRPr="00264D5D" w14:paraId="259B1601" w14:textId="77777777" w:rsidTr="00AD1F54">
        <w:trPr>
          <w:cnfStyle w:val="000000010000" w:firstRow="0" w:lastRow="0" w:firstColumn="0" w:lastColumn="0" w:oddVBand="0" w:evenVBand="0" w:oddHBand="0" w:evenHBand="1" w:firstRowFirstColumn="0" w:firstRowLastColumn="0" w:lastRowFirstColumn="0" w:lastRowLastColumn="0"/>
        </w:trPr>
        <w:tc>
          <w:tcPr>
            <w:tcW w:w="1704" w:type="dxa"/>
          </w:tcPr>
          <w:p w14:paraId="270D5159" w14:textId="77777777" w:rsidR="00AD1F54" w:rsidRPr="00264D5D" w:rsidRDefault="00941227">
            <w:pPr>
              <w:pStyle w:val="GOSTTablenorm"/>
            </w:pPr>
            <w:r w:rsidRPr="00264D5D">
              <w:t>Наименование бюджета</w:t>
            </w:r>
          </w:p>
        </w:tc>
        <w:tc>
          <w:tcPr>
            <w:tcW w:w="1702" w:type="dxa"/>
          </w:tcPr>
          <w:p w14:paraId="44F67C0E" w14:textId="77777777" w:rsidR="00AD1F54" w:rsidRPr="00264D5D" w:rsidRDefault="00941227">
            <w:pPr>
              <w:pStyle w:val="GOSTTablenorm"/>
              <w:rPr>
                <w:lang w:val="en-US"/>
              </w:rPr>
            </w:pPr>
            <w:r w:rsidRPr="00264D5D">
              <w:rPr>
                <w:lang w:val="en-US"/>
              </w:rPr>
              <w:t>Nm</w:t>
            </w:r>
            <w:r w:rsidRPr="00264D5D">
              <w:t>Bdgt</w:t>
            </w:r>
          </w:p>
        </w:tc>
        <w:tc>
          <w:tcPr>
            <w:tcW w:w="568" w:type="dxa"/>
          </w:tcPr>
          <w:p w14:paraId="3F01EBD2" w14:textId="77777777" w:rsidR="00AD1F54" w:rsidRPr="00264D5D" w:rsidRDefault="00941227">
            <w:pPr>
              <w:pStyle w:val="GOSTTablenorm"/>
              <w:jc w:val="center"/>
            </w:pPr>
            <w:r w:rsidRPr="00264D5D">
              <w:t>П</w:t>
            </w:r>
          </w:p>
        </w:tc>
        <w:tc>
          <w:tcPr>
            <w:tcW w:w="1135" w:type="dxa"/>
          </w:tcPr>
          <w:p w14:paraId="47C09CBF" w14:textId="77777777" w:rsidR="00AD1F54" w:rsidRPr="00264D5D" w:rsidRDefault="00941227">
            <w:pPr>
              <w:pStyle w:val="GOSTTablenorm"/>
            </w:pPr>
            <w:r w:rsidRPr="00264D5D">
              <w:t>Т(1-512)</w:t>
            </w:r>
          </w:p>
        </w:tc>
        <w:tc>
          <w:tcPr>
            <w:tcW w:w="568" w:type="dxa"/>
          </w:tcPr>
          <w:p w14:paraId="434A33D6" w14:textId="77777777" w:rsidR="00AD1F54" w:rsidRPr="00264D5D" w:rsidRDefault="00941227">
            <w:pPr>
              <w:pStyle w:val="GOSTTablenorm"/>
              <w:jc w:val="center"/>
            </w:pPr>
            <w:r w:rsidRPr="00264D5D">
              <w:t>Н</w:t>
            </w:r>
          </w:p>
        </w:tc>
        <w:tc>
          <w:tcPr>
            <w:tcW w:w="3973" w:type="dxa"/>
          </w:tcPr>
          <w:p w14:paraId="10B37A87" w14:textId="77777777" w:rsidR="00AD1F54" w:rsidRPr="00264D5D" w:rsidRDefault="00941227">
            <w:pPr>
              <w:pStyle w:val="GOSTTablenorm"/>
            </w:pPr>
            <w:r w:rsidRPr="00264D5D">
              <w:t>Наименование соответствующего бюджета.</w:t>
            </w:r>
          </w:p>
          <w:p w14:paraId="50704217" w14:textId="77777777" w:rsidR="00AD1F54" w:rsidRPr="00264D5D" w:rsidRDefault="00941227">
            <w:pPr>
              <w:pStyle w:val="GOSTTablenorm"/>
            </w:pPr>
            <w:r w:rsidRPr="00264D5D">
              <w:t>Для УБП федерального уровня, указывается «Федеральный бюджет».</w:t>
            </w:r>
          </w:p>
          <w:p w14:paraId="7DA45D45" w14:textId="77777777" w:rsidR="00AD1F54" w:rsidRPr="00264D5D" w:rsidRDefault="00BA58C1">
            <w:pPr>
              <w:pStyle w:val="GOSTTablenorm"/>
            </w:pPr>
            <w:r w:rsidRPr="00264D5D">
              <w:t>Не указывается для АУ, БУ</w:t>
            </w:r>
          </w:p>
        </w:tc>
      </w:tr>
      <w:tr w:rsidR="00AD1F54" w:rsidRPr="00264D5D" w14:paraId="1739A75E" w14:textId="77777777" w:rsidTr="00AD1F54">
        <w:trPr>
          <w:cnfStyle w:val="000000100000" w:firstRow="0" w:lastRow="0" w:firstColumn="0" w:lastColumn="0" w:oddVBand="0" w:evenVBand="0" w:oddHBand="1" w:evenHBand="0" w:firstRowFirstColumn="0" w:firstRowLastColumn="0" w:lastRowFirstColumn="0" w:lastRowLastColumn="0"/>
        </w:trPr>
        <w:tc>
          <w:tcPr>
            <w:tcW w:w="1704" w:type="dxa"/>
          </w:tcPr>
          <w:p w14:paraId="49A7FA9B" w14:textId="77777777" w:rsidR="00AD1F54" w:rsidRPr="00264D5D" w:rsidRDefault="00941227">
            <w:pPr>
              <w:pStyle w:val="GOSTTablenorm"/>
            </w:pPr>
            <w:r w:rsidRPr="00264D5D">
              <w:t>Финансовый орган</w:t>
            </w:r>
          </w:p>
        </w:tc>
        <w:tc>
          <w:tcPr>
            <w:tcW w:w="1702" w:type="dxa"/>
          </w:tcPr>
          <w:p w14:paraId="4C45E8C5" w14:textId="77777777" w:rsidR="00AD1F54" w:rsidRPr="00264D5D" w:rsidRDefault="00941227">
            <w:pPr>
              <w:pStyle w:val="GOSTTablenorm"/>
            </w:pPr>
            <w:r w:rsidRPr="00264D5D">
              <w:t>FnclInst</w:t>
            </w:r>
          </w:p>
        </w:tc>
        <w:tc>
          <w:tcPr>
            <w:tcW w:w="568" w:type="dxa"/>
          </w:tcPr>
          <w:p w14:paraId="30FFACF4" w14:textId="77777777" w:rsidR="00AD1F54" w:rsidRPr="00264D5D" w:rsidRDefault="00941227">
            <w:pPr>
              <w:pStyle w:val="GOSTTablenorm"/>
              <w:jc w:val="center"/>
            </w:pPr>
            <w:r w:rsidRPr="00264D5D">
              <w:t>С</w:t>
            </w:r>
          </w:p>
        </w:tc>
        <w:tc>
          <w:tcPr>
            <w:tcW w:w="1135" w:type="dxa"/>
          </w:tcPr>
          <w:p w14:paraId="5B9AC8E2" w14:textId="77777777" w:rsidR="00AD1F54" w:rsidRPr="00264D5D" w:rsidRDefault="00941227">
            <w:pPr>
              <w:pStyle w:val="GOSTTablenorm"/>
            </w:pPr>
            <w:r w:rsidRPr="00264D5D">
              <w:t>tMSC_FnclInst</w:t>
            </w:r>
          </w:p>
        </w:tc>
        <w:tc>
          <w:tcPr>
            <w:tcW w:w="568" w:type="dxa"/>
          </w:tcPr>
          <w:p w14:paraId="5C196170" w14:textId="77777777" w:rsidR="00AD1F54" w:rsidRPr="00264D5D" w:rsidRDefault="00941227">
            <w:pPr>
              <w:pStyle w:val="GOSTTablenorm"/>
              <w:jc w:val="center"/>
            </w:pPr>
            <w:r w:rsidRPr="00264D5D">
              <w:t>Н</w:t>
            </w:r>
          </w:p>
        </w:tc>
        <w:tc>
          <w:tcPr>
            <w:tcW w:w="3973" w:type="dxa"/>
          </w:tcPr>
          <w:p w14:paraId="54BBEFA3" w14:textId="6F36F3EE" w:rsidR="00AD1F54" w:rsidRPr="00264D5D" w:rsidRDefault="00941227">
            <w:pPr>
              <w:pStyle w:val="GOSTTablenorm"/>
            </w:pPr>
            <w:r w:rsidRPr="00264D5D">
              <w:t xml:space="preserve">Состав элемента представлен в таблице </w:t>
            </w:r>
            <w:r w:rsidRPr="00264D5D">
              <w:rPr>
                <w:b/>
              </w:rPr>
              <w:fldChar w:fldCharType="begin"/>
            </w:r>
            <w:r w:rsidRPr="00264D5D">
              <w:rPr>
                <w:b/>
              </w:rPr>
              <w:instrText xml:space="preserve"> REF _Ref19715366 \h  \* MERGEFORMAT </w:instrText>
            </w:r>
            <w:r w:rsidRPr="00264D5D">
              <w:rPr>
                <w:b/>
              </w:rPr>
            </w:r>
            <w:r w:rsidRPr="00264D5D">
              <w:rPr>
                <w:b/>
              </w:rPr>
              <w:fldChar w:fldCharType="separate"/>
            </w:r>
            <w:r w:rsidR="008D797C" w:rsidRPr="008D797C">
              <w:rPr>
                <w:b/>
              </w:rPr>
              <w:t>52</w:t>
            </w:r>
            <w:r w:rsidRPr="00264D5D">
              <w:rPr>
                <w:b/>
              </w:rPr>
              <w:fldChar w:fldCharType="end"/>
            </w:r>
            <w:r w:rsidRPr="00264D5D">
              <w:t>.</w:t>
            </w:r>
          </w:p>
          <w:p w14:paraId="48E513E9" w14:textId="77777777" w:rsidR="00AD1F54" w:rsidRPr="00264D5D" w:rsidRDefault="00941227">
            <w:pPr>
              <w:pStyle w:val="GOSTTablenorm"/>
            </w:pPr>
            <w:r w:rsidRPr="00264D5D">
              <w:t xml:space="preserve">Не указывается для </w:t>
            </w:r>
            <w:r w:rsidRPr="00264D5D">
              <w:rPr>
                <w:szCs w:val="22"/>
              </w:rPr>
              <w:t>УБП ГВФ РФ</w:t>
            </w:r>
            <w:r w:rsidR="00BA58C1" w:rsidRPr="00264D5D">
              <w:rPr>
                <w:szCs w:val="22"/>
              </w:rPr>
              <w:t>, ТГВФ, АУ, БУ, ФГУП, ГУП, МУП</w:t>
            </w:r>
          </w:p>
        </w:tc>
      </w:tr>
    </w:tbl>
    <w:p w14:paraId="19D66CD6" w14:textId="77777777" w:rsidR="00AD1F54" w:rsidRPr="00264D5D" w:rsidRDefault="00941227">
      <w:pPr>
        <w:pStyle w:val="31"/>
      </w:pPr>
      <w:bookmarkStart w:id="754" w:name="_Toc527666242"/>
      <w:bookmarkStart w:id="755" w:name="_Toc527716934"/>
      <w:bookmarkStart w:id="756" w:name="_Toc528144384"/>
      <w:bookmarkStart w:id="757" w:name="_Toc528584369"/>
      <w:bookmarkStart w:id="758" w:name="_Toc527666243"/>
      <w:bookmarkStart w:id="759" w:name="_Toc527716935"/>
      <w:bookmarkStart w:id="760" w:name="_Toc528144385"/>
      <w:bookmarkStart w:id="761" w:name="_Toc528584370"/>
      <w:bookmarkStart w:id="762" w:name="_Toc527666244"/>
      <w:bookmarkStart w:id="763" w:name="_Toc527716936"/>
      <w:bookmarkStart w:id="764" w:name="_Toc528144386"/>
      <w:bookmarkStart w:id="765" w:name="_Toc528584371"/>
      <w:bookmarkStart w:id="766" w:name="_Toc18509223"/>
      <w:bookmarkStart w:id="767" w:name="_Toc18509224"/>
      <w:bookmarkStart w:id="768" w:name="_Toc508712661"/>
      <w:bookmarkStart w:id="769" w:name="_Toc219309490"/>
      <w:bookmarkEnd w:id="754"/>
      <w:bookmarkEnd w:id="755"/>
      <w:bookmarkEnd w:id="756"/>
      <w:bookmarkEnd w:id="757"/>
      <w:bookmarkEnd w:id="758"/>
      <w:bookmarkEnd w:id="759"/>
      <w:bookmarkEnd w:id="760"/>
      <w:bookmarkEnd w:id="761"/>
      <w:bookmarkEnd w:id="762"/>
      <w:bookmarkEnd w:id="763"/>
      <w:bookmarkEnd w:id="764"/>
      <w:bookmarkEnd w:id="765"/>
      <w:r w:rsidRPr="00264D5D">
        <w:t>Описание комплексного типа «tMSC_FnclInst»</w:t>
      </w:r>
      <w:bookmarkEnd w:id="766"/>
      <w:bookmarkEnd w:id="769"/>
    </w:p>
    <w:p w14:paraId="5219FD3F" w14:textId="77777777" w:rsidR="00AD1F54" w:rsidRPr="00264D5D" w:rsidRDefault="00941227">
      <w:pPr>
        <w:pStyle w:val="GOSTNormal"/>
      </w:pPr>
      <w:r w:rsidRPr="00264D5D">
        <w:t xml:space="preserve">Описание комплексного типа </w:t>
      </w:r>
      <w:r w:rsidRPr="00264D5D">
        <w:rPr>
          <w:rFonts w:eastAsia="Calibri"/>
        </w:rPr>
        <w:t>«</w:t>
      </w:r>
      <w:r w:rsidRPr="00264D5D">
        <w:rPr>
          <w:lang w:val="en-US"/>
        </w:rPr>
        <w:t>tMSC</w:t>
      </w:r>
      <w:r w:rsidRPr="00264D5D">
        <w:t>_</w:t>
      </w:r>
      <w:r w:rsidRPr="00264D5D">
        <w:rPr>
          <w:lang w:val="en-US"/>
        </w:rPr>
        <w:t>FnclInst</w:t>
      </w:r>
      <w:r w:rsidRPr="00264D5D">
        <w:t>» блока «Финансовый орган».</w:t>
      </w:r>
    </w:p>
    <w:p w14:paraId="4A1539DF" w14:textId="16BEBC57" w:rsidR="00AD1F54" w:rsidRPr="00264D5D" w:rsidRDefault="001E5517">
      <w:pPr>
        <w:pStyle w:val="GOSTNameTable"/>
        <w:numPr>
          <w:ilvl w:val="0"/>
          <w:numId w:val="2"/>
        </w:numPr>
        <w:ind w:left="425" w:hanging="357"/>
      </w:pPr>
      <w:r w:rsidRPr="00264D5D">
        <w:rPr>
          <w:noProof/>
        </w:rPr>
        <w:fldChar w:fldCharType="begin"/>
      </w:r>
      <w:r w:rsidRPr="00264D5D">
        <w:rPr>
          <w:noProof/>
        </w:rPr>
        <w:instrText xml:space="preserve"> SEQ Таблица \* ARABIC </w:instrText>
      </w:r>
      <w:r w:rsidRPr="00264D5D">
        <w:rPr>
          <w:noProof/>
        </w:rPr>
        <w:fldChar w:fldCharType="separate"/>
      </w:r>
      <w:bookmarkStart w:id="770" w:name="_Ref19715366"/>
      <w:bookmarkStart w:id="771" w:name="_Toc18509511"/>
      <w:bookmarkStart w:id="772" w:name="_Toc219309082"/>
      <w:r w:rsidR="008D797C">
        <w:rPr>
          <w:noProof/>
        </w:rPr>
        <w:t>52</w:t>
      </w:r>
      <w:bookmarkEnd w:id="770"/>
      <w:r w:rsidRPr="00264D5D">
        <w:rPr>
          <w:noProof/>
        </w:rPr>
        <w:fldChar w:fldCharType="end"/>
      </w:r>
      <w:r w:rsidR="00941227" w:rsidRPr="00264D5D">
        <w:rPr>
          <w:rFonts w:eastAsia="Calibri"/>
          <w:szCs w:val="24"/>
        </w:rPr>
        <w:t xml:space="preserve"> –</w:t>
      </w:r>
      <w:r w:rsidR="00941227" w:rsidRPr="00264D5D">
        <w:t xml:space="preserve"> Описание комплексного типа «tMSC_FnclInst»</w:t>
      </w:r>
      <w:bookmarkEnd w:id="771"/>
      <w:bookmarkEnd w:id="772"/>
    </w:p>
    <w:tbl>
      <w:tblPr>
        <w:tblStyle w:val="GOSTTable"/>
        <w:tblW w:w="5000" w:type="pct"/>
        <w:tblLayout w:type="fixed"/>
        <w:tblLook w:val="01E0" w:firstRow="1" w:lastRow="1" w:firstColumn="1" w:lastColumn="1" w:noHBand="0" w:noVBand="0"/>
      </w:tblPr>
      <w:tblGrid>
        <w:gridCol w:w="1704"/>
        <w:gridCol w:w="1704"/>
        <w:gridCol w:w="568"/>
        <w:gridCol w:w="1136"/>
        <w:gridCol w:w="568"/>
        <w:gridCol w:w="3970"/>
      </w:tblGrid>
      <w:tr w:rsidR="00AD1F54" w:rsidRPr="00264D5D" w14:paraId="2AA9355C"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2B59EDA4" w14:textId="77777777" w:rsidR="00AD1F54" w:rsidRPr="00264D5D" w:rsidRDefault="00941227">
            <w:pPr>
              <w:pStyle w:val="GOSTTableHead"/>
            </w:pPr>
            <w:r w:rsidRPr="00264D5D">
              <w:t>Наименование элемента</w:t>
            </w:r>
          </w:p>
        </w:tc>
        <w:tc>
          <w:tcPr>
            <w:tcW w:w="1701" w:type="dxa"/>
          </w:tcPr>
          <w:p w14:paraId="33FE66F3" w14:textId="77777777" w:rsidR="00AD1F54" w:rsidRPr="00264D5D" w:rsidRDefault="00941227">
            <w:pPr>
              <w:pStyle w:val="GOSTTableHead"/>
            </w:pPr>
            <w:r w:rsidRPr="00264D5D">
              <w:t>Сокращенное наименование (код) элемента</w:t>
            </w:r>
          </w:p>
        </w:tc>
        <w:tc>
          <w:tcPr>
            <w:tcW w:w="567" w:type="dxa"/>
          </w:tcPr>
          <w:p w14:paraId="41C03EDC" w14:textId="77777777" w:rsidR="00AD1F54" w:rsidRPr="00264D5D" w:rsidRDefault="00941227">
            <w:pPr>
              <w:pStyle w:val="GOSTTableHead"/>
            </w:pPr>
            <w:r w:rsidRPr="00264D5D">
              <w:t>Тип</w:t>
            </w:r>
          </w:p>
        </w:tc>
        <w:tc>
          <w:tcPr>
            <w:tcW w:w="1134" w:type="dxa"/>
          </w:tcPr>
          <w:p w14:paraId="07385BD0" w14:textId="77777777" w:rsidR="00AD1F54" w:rsidRPr="00264D5D" w:rsidRDefault="00941227">
            <w:pPr>
              <w:pStyle w:val="GOSTTableHead"/>
            </w:pPr>
            <w:r w:rsidRPr="00264D5D">
              <w:t>Формат элемента</w:t>
            </w:r>
          </w:p>
        </w:tc>
        <w:tc>
          <w:tcPr>
            <w:tcW w:w="567" w:type="dxa"/>
          </w:tcPr>
          <w:p w14:paraId="1826DE88" w14:textId="77777777" w:rsidR="00AD1F54" w:rsidRPr="00264D5D" w:rsidRDefault="00941227">
            <w:pPr>
              <w:pStyle w:val="GOSTTableHead"/>
            </w:pPr>
            <w:r w:rsidRPr="00264D5D">
              <w:t>Обязательность</w:t>
            </w:r>
          </w:p>
        </w:tc>
        <w:tc>
          <w:tcPr>
            <w:tcW w:w="3963" w:type="dxa"/>
          </w:tcPr>
          <w:p w14:paraId="2633C214" w14:textId="77777777" w:rsidR="00AD1F54" w:rsidRPr="00264D5D" w:rsidRDefault="00941227">
            <w:pPr>
              <w:pStyle w:val="GOSTTableHead"/>
              <w:rPr>
                <w:szCs w:val="22"/>
              </w:rPr>
            </w:pPr>
            <w:r w:rsidRPr="00264D5D">
              <w:rPr>
                <w:szCs w:val="22"/>
              </w:rPr>
              <w:t>Дополнительная информация</w:t>
            </w:r>
          </w:p>
        </w:tc>
      </w:tr>
      <w:tr w:rsidR="00AD1F54" w:rsidRPr="00264D5D" w14:paraId="01F972AC"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870D7D3" w14:textId="77777777" w:rsidR="00AD1F54" w:rsidRPr="00264D5D" w:rsidRDefault="00941227">
            <w:pPr>
              <w:pStyle w:val="GOSTTablenorm"/>
            </w:pPr>
            <w:r w:rsidRPr="00264D5D">
              <w:t>Наименование финансового органа</w:t>
            </w:r>
          </w:p>
        </w:tc>
        <w:tc>
          <w:tcPr>
            <w:tcW w:w="1701" w:type="dxa"/>
          </w:tcPr>
          <w:p w14:paraId="5C14857A" w14:textId="77777777" w:rsidR="00AD1F54" w:rsidRPr="00264D5D" w:rsidRDefault="00941227">
            <w:pPr>
              <w:pStyle w:val="GOSTTablenorm"/>
            </w:pPr>
            <w:r w:rsidRPr="00264D5D">
              <w:t>FnclInst</w:t>
            </w:r>
          </w:p>
        </w:tc>
        <w:tc>
          <w:tcPr>
            <w:tcW w:w="567" w:type="dxa"/>
          </w:tcPr>
          <w:p w14:paraId="1A5192A2" w14:textId="77777777" w:rsidR="00AD1F54" w:rsidRPr="00264D5D" w:rsidRDefault="00941227">
            <w:pPr>
              <w:pStyle w:val="GOSTTablenorm"/>
              <w:jc w:val="center"/>
            </w:pPr>
            <w:r w:rsidRPr="00264D5D">
              <w:t>П</w:t>
            </w:r>
          </w:p>
        </w:tc>
        <w:tc>
          <w:tcPr>
            <w:tcW w:w="1134" w:type="dxa"/>
          </w:tcPr>
          <w:p w14:paraId="46730740" w14:textId="77777777" w:rsidR="00AD1F54" w:rsidRPr="00264D5D" w:rsidRDefault="00941227">
            <w:pPr>
              <w:pStyle w:val="GOSTTablenorm"/>
              <w:rPr>
                <w:lang w:val="en-US"/>
              </w:rPr>
            </w:pPr>
            <w:r w:rsidRPr="00264D5D">
              <w:rPr>
                <w:lang w:val="en-US"/>
              </w:rPr>
              <w:t>Т(1-</w:t>
            </w:r>
            <w:r w:rsidRPr="00264D5D">
              <w:t>2000</w:t>
            </w:r>
            <w:r w:rsidRPr="00264D5D">
              <w:rPr>
                <w:lang w:val="en-US"/>
              </w:rPr>
              <w:t>)</w:t>
            </w:r>
          </w:p>
        </w:tc>
        <w:tc>
          <w:tcPr>
            <w:tcW w:w="567" w:type="dxa"/>
          </w:tcPr>
          <w:p w14:paraId="45E9F725" w14:textId="77777777" w:rsidR="00AD1F54" w:rsidRPr="00264D5D" w:rsidRDefault="00941227">
            <w:pPr>
              <w:pStyle w:val="GOSTTablenorm"/>
              <w:jc w:val="center"/>
            </w:pPr>
            <w:r w:rsidRPr="00264D5D">
              <w:t>О</w:t>
            </w:r>
          </w:p>
        </w:tc>
        <w:tc>
          <w:tcPr>
            <w:tcW w:w="3963" w:type="dxa"/>
          </w:tcPr>
          <w:p w14:paraId="3BBB1890" w14:textId="77777777" w:rsidR="00AD1F54" w:rsidRPr="00264D5D" w:rsidRDefault="00941227">
            <w:pPr>
              <w:pStyle w:val="GOSTTablenorm"/>
            </w:pPr>
            <w:r w:rsidRPr="00264D5D">
              <w:t>Полное наименование финансового органа.</w:t>
            </w:r>
          </w:p>
          <w:p w14:paraId="13AA2927" w14:textId="77777777" w:rsidR="00AD1F54" w:rsidRPr="00264D5D" w:rsidRDefault="00941227">
            <w:pPr>
              <w:pStyle w:val="GOSTTablenorm"/>
              <w:rPr>
                <w:szCs w:val="22"/>
              </w:rPr>
            </w:pPr>
            <w:r w:rsidRPr="00264D5D">
              <w:rPr>
                <w:szCs w:val="22"/>
              </w:rPr>
              <w:t>Для УБП федерального уровня, указывается «Министерство</w:t>
            </w:r>
            <w:r w:rsidR="00BA58C1" w:rsidRPr="00264D5D">
              <w:rPr>
                <w:szCs w:val="22"/>
              </w:rPr>
              <w:t xml:space="preserve"> финансов Российской Федерации»</w:t>
            </w:r>
          </w:p>
        </w:tc>
      </w:tr>
      <w:tr w:rsidR="00AD1F54" w:rsidRPr="00264D5D" w14:paraId="20CB798E"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59B0D81F" w14:textId="77777777" w:rsidR="00AD1F54" w:rsidRPr="00264D5D" w:rsidRDefault="00941227">
            <w:pPr>
              <w:pStyle w:val="GOSTTablenorm"/>
            </w:pPr>
            <w:r w:rsidRPr="00264D5D">
              <w:t>Код по ОКПО</w:t>
            </w:r>
          </w:p>
        </w:tc>
        <w:tc>
          <w:tcPr>
            <w:tcW w:w="1701" w:type="dxa"/>
          </w:tcPr>
          <w:p w14:paraId="705FFA79" w14:textId="77777777" w:rsidR="00AD1F54" w:rsidRPr="00264D5D" w:rsidRDefault="00941227">
            <w:pPr>
              <w:pStyle w:val="GOSTTablenorm"/>
            </w:pPr>
            <w:r w:rsidRPr="00264D5D">
              <w:t>OKPOCd</w:t>
            </w:r>
          </w:p>
        </w:tc>
        <w:tc>
          <w:tcPr>
            <w:tcW w:w="567" w:type="dxa"/>
          </w:tcPr>
          <w:p w14:paraId="2D18E34D" w14:textId="77777777" w:rsidR="00AD1F54" w:rsidRPr="00264D5D" w:rsidRDefault="00941227">
            <w:pPr>
              <w:pStyle w:val="GOSTTablenorm"/>
              <w:jc w:val="center"/>
            </w:pPr>
            <w:r w:rsidRPr="00264D5D">
              <w:t>П</w:t>
            </w:r>
          </w:p>
        </w:tc>
        <w:tc>
          <w:tcPr>
            <w:tcW w:w="1134" w:type="dxa"/>
          </w:tcPr>
          <w:p w14:paraId="2ED4D7D1" w14:textId="77777777" w:rsidR="00AD1F54" w:rsidRPr="00264D5D" w:rsidRDefault="00941227">
            <w:pPr>
              <w:pStyle w:val="GOSTTablenorm"/>
              <w:rPr>
                <w:lang w:val="en-US"/>
              </w:rPr>
            </w:pPr>
            <w:r w:rsidRPr="00264D5D">
              <w:rPr>
                <w:lang w:val="en-US"/>
              </w:rPr>
              <w:t>Т(</w:t>
            </w:r>
            <w:r w:rsidRPr="00264D5D">
              <w:t>8</w:t>
            </w:r>
            <w:r w:rsidRPr="00264D5D">
              <w:rPr>
                <w:lang w:val="en-US"/>
              </w:rPr>
              <w:t>)</w:t>
            </w:r>
          </w:p>
        </w:tc>
        <w:tc>
          <w:tcPr>
            <w:tcW w:w="567" w:type="dxa"/>
          </w:tcPr>
          <w:p w14:paraId="36683469" w14:textId="77777777" w:rsidR="00AD1F54" w:rsidRPr="00264D5D" w:rsidRDefault="00941227">
            <w:pPr>
              <w:pStyle w:val="GOSTTablenorm"/>
              <w:jc w:val="center"/>
            </w:pPr>
            <w:r w:rsidRPr="00264D5D">
              <w:t>О</w:t>
            </w:r>
          </w:p>
        </w:tc>
        <w:tc>
          <w:tcPr>
            <w:tcW w:w="3963" w:type="dxa"/>
          </w:tcPr>
          <w:p w14:paraId="56AF5E8F" w14:textId="77777777" w:rsidR="00AD1F54" w:rsidRPr="00264D5D" w:rsidRDefault="00941227">
            <w:pPr>
              <w:pStyle w:val="GOSTTablenorm"/>
            </w:pPr>
            <w:r w:rsidRPr="00264D5D">
              <w:t>Указывается</w:t>
            </w:r>
            <w:r w:rsidR="00BA58C1" w:rsidRPr="00264D5D">
              <w:t xml:space="preserve"> код по ОКПО финансового органа</w:t>
            </w:r>
          </w:p>
        </w:tc>
      </w:tr>
    </w:tbl>
    <w:p w14:paraId="3902FBC0" w14:textId="77777777" w:rsidR="00AD1F54" w:rsidRPr="00264D5D" w:rsidRDefault="00941227">
      <w:pPr>
        <w:pStyle w:val="31"/>
      </w:pPr>
      <w:bookmarkStart w:id="773" w:name="_Toc219309491"/>
      <w:r w:rsidRPr="00264D5D">
        <w:lastRenderedPageBreak/>
        <w:t>Описание комплексного типа «tMSC_TOFK»</w:t>
      </w:r>
      <w:bookmarkEnd w:id="767"/>
      <w:bookmarkEnd w:id="773"/>
    </w:p>
    <w:p w14:paraId="4280D34F" w14:textId="77777777" w:rsidR="00AD1F54" w:rsidRPr="00264D5D" w:rsidRDefault="00941227">
      <w:pPr>
        <w:pStyle w:val="GOSTNormal"/>
      </w:pPr>
      <w:r w:rsidRPr="00264D5D">
        <w:t xml:space="preserve">Описание комплексного типа </w:t>
      </w:r>
      <w:r w:rsidRPr="00264D5D">
        <w:rPr>
          <w:rFonts w:eastAsia="Calibri"/>
        </w:rPr>
        <w:t>«</w:t>
      </w:r>
      <w:r w:rsidRPr="00264D5D">
        <w:t>tMSC_TOFK» блока «Информация об органе ФК».</w:t>
      </w:r>
    </w:p>
    <w:p w14:paraId="63376061" w14:textId="62536544"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774" w:name="_Ref524614769"/>
      <w:bookmarkStart w:id="775" w:name="_Toc18509512"/>
      <w:bookmarkStart w:id="776" w:name="_Toc219309083"/>
      <w:r w:rsidR="008D797C">
        <w:rPr>
          <w:noProof/>
        </w:rPr>
        <w:t>53</w:t>
      </w:r>
      <w:bookmarkEnd w:id="774"/>
      <w:r w:rsidRPr="00264D5D">
        <w:fldChar w:fldCharType="end"/>
      </w:r>
      <w:r w:rsidRPr="00264D5D">
        <w:rPr>
          <w:rFonts w:eastAsia="Calibri"/>
          <w:szCs w:val="24"/>
        </w:rPr>
        <w:t xml:space="preserve"> –</w:t>
      </w:r>
      <w:r w:rsidRPr="00264D5D">
        <w:t xml:space="preserve"> Описание комплексного типа «tMSC_TOFK»</w:t>
      </w:r>
      <w:bookmarkEnd w:id="775"/>
      <w:bookmarkEnd w:id="776"/>
    </w:p>
    <w:tbl>
      <w:tblPr>
        <w:tblStyle w:val="GOSTTable"/>
        <w:tblW w:w="5000" w:type="pct"/>
        <w:tblLayout w:type="fixed"/>
        <w:tblLook w:val="01E0" w:firstRow="1" w:lastRow="1" w:firstColumn="1" w:lastColumn="1" w:noHBand="0" w:noVBand="0"/>
      </w:tblPr>
      <w:tblGrid>
        <w:gridCol w:w="1708"/>
        <w:gridCol w:w="1702"/>
        <w:gridCol w:w="567"/>
        <w:gridCol w:w="1135"/>
        <w:gridCol w:w="567"/>
        <w:gridCol w:w="3971"/>
      </w:tblGrid>
      <w:tr w:rsidR="00AD1F54" w:rsidRPr="00264D5D" w14:paraId="10504710"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4" w:type="dxa"/>
          </w:tcPr>
          <w:p w14:paraId="5E794B8B" w14:textId="77777777" w:rsidR="00AD1F54" w:rsidRPr="00264D5D" w:rsidRDefault="00941227">
            <w:pPr>
              <w:pStyle w:val="ASFKTableHead"/>
            </w:pPr>
            <w:r w:rsidRPr="00264D5D">
              <w:t>Наименование элемента</w:t>
            </w:r>
          </w:p>
        </w:tc>
        <w:tc>
          <w:tcPr>
            <w:tcW w:w="1699" w:type="dxa"/>
          </w:tcPr>
          <w:p w14:paraId="6E53F952" w14:textId="77777777" w:rsidR="00AD1F54" w:rsidRPr="00264D5D" w:rsidRDefault="00941227">
            <w:pPr>
              <w:pStyle w:val="ASFKTableHead"/>
            </w:pPr>
            <w:r w:rsidRPr="00264D5D">
              <w:t>Сокращенное наименование (код) элемента</w:t>
            </w:r>
          </w:p>
        </w:tc>
        <w:tc>
          <w:tcPr>
            <w:tcW w:w="566" w:type="dxa"/>
          </w:tcPr>
          <w:p w14:paraId="2690B939" w14:textId="77777777" w:rsidR="00AD1F54" w:rsidRPr="00264D5D" w:rsidRDefault="00941227">
            <w:pPr>
              <w:pStyle w:val="ASFKTableHead"/>
            </w:pPr>
            <w:r w:rsidRPr="00264D5D">
              <w:t>Тип</w:t>
            </w:r>
          </w:p>
        </w:tc>
        <w:tc>
          <w:tcPr>
            <w:tcW w:w="1133" w:type="dxa"/>
          </w:tcPr>
          <w:p w14:paraId="191E920E" w14:textId="77777777" w:rsidR="00AD1F54" w:rsidRPr="00264D5D" w:rsidRDefault="00941227">
            <w:pPr>
              <w:pStyle w:val="ASFKTableHead"/>
            </w:pPr>
            <w:r w:rsidRPr="00264D5D">
              <w:t>Формат элемента</w:t>
            </w:r>
          </w:p>
        </w:tc>
        <w:tc>
          <w:tcPr>
            <w:tcW w:w="566" w:type="dxa"/>
          </w:tcPr>
          <w:p w14:paraId="44D5EE77" w14:textId="77777777" w:rsidR="00AD1F54" w:rsidRPr="00264D5D" w:rsidRDefault="00941227">
            <w:pPr>
              <w:pStyle w:val="ASFKTableHead"/>
            </w:pPr>
            <w:r w:rsidRPr="00264D5D">
              <w:t>Обязательность</w:t>
            </w:r>
          </w:p>
        </w:tc>
        <w:tc>
          <w:tcPr>
            <w:tcW w:w="3963" w:type="dxa"/>
          </w:tcPr>
          <w:p w14:paraId="5E2A1ABA" w14:textId="77777777" w:rsidR="00AD1F54" w:rsidRPr="00264D5D" w:rsidRDefault="00941227">
            <w:pPr>
              <w:pStyle w:val="ASFKTableHead"/>
            </w:pPr>
            <w:r w:rsidRPr="00264D5D">
              <w:t>Дополнительная информация</w:t>
            </w:r>
          </w:p>
        </w:tc>
      </w:tr>
      <w:tr w:rsidR="00AD1F54" w:rsidRPr="00264D5D" w14:paraId="524B6AAC" w14:textId="77777777" w:rsidTr="00AD1F54">
        <w:trPr>
          <w:cnfStyle w:val="000000100000" w:firstRow="0" w:lastRow="0" w:firstColumn="0" w:lastColumn="0" w:oddVBand="0" w:evenVBand="0" w:oddHBand="1" w:evenHBand="0" w:firstRowFirstColumn="0" w:firstRowLastColumn="0" w:lastRowFirstColumn="0" w:lastRowLastColumn="0"/>
        </w:trPr>
        <w:tc>
          <w:tcPr>
            <w:tcW w:w="1704" w:type="dxa"/>
          </w:tcPr>
          <w:p w14:paraId="72C2DD18" w14:textId="77777777" w:rsidR="00AD1F54" w:rsidRPr="00264D5D" w:rsidRDefault="00941227">
            <w:pPr>
              <w:pStyle w:val="GOSTTablenorm"/>
            </w:pPr>
            <w:r w:rsidRPr="00264D5D">
              <w:t>Наименование ТОФК</w:t>
            </w:r>
          </w:p>
        </w:tc>
        <w:tc>
          <w:tcPr>
            <w:tcW w:w="1699" w:type="dxa"/>
          </w:tcPr>
          <w:p w14:paraId="38A8C8F9" w14:textId="77777777" w:rsidR="00AD1F54" w:rsidRPr="00264D5D" w:rsidRDefault="00941227">
            <w:pPr>
              <w:pStyle w:val="GOSTTablenorm"/>
            </w:pPr>
            <w:r w:rsidRPr="00264D5D">
              <w:t>Nm</w:t>
            </w:r>
          </w:p>
        </w:tc>
        <w:tc>
          <w:tcPr>
            <w:tcW w:w="566" w:type="dxa"/>
          </w:tcPr>
          <w:p w14:paraId="3E32B79F" w14:textId="77777777" w:rsidR="00AD1F54" w:rsidRPr="00264D5D" w:rsidRDefault="00941227">
            <w:pPr>
              <w:pStyle w:val="GOSTTablenorm"/>
              <w:jc w:val="center"/>
            </w:pPr>
            <w:r w:rsidRPr="00264D5D">
              <w:t>П</w:t>
            </w:r>
          </w:p>
        </w:tc>
        <w:tc>
          <w:tcPr>
            <w:tcW w:w="1133" w:type="dxa"/>
          </w:tcPr>
          <w:p w14:paraId="3ABB2D52" w14:textId="77777777" w:rsidR="00AD1F54" w:rsidRPr="00264D5D" w:rsidRDefault="00941227">
            <w:pPr>
              <w:pStyle w:val="GOSTTablenorm"/>
            </w:pPr>
            <w:r w:rsidRPr="00264D5D">
              <w:t>Т(1-2000)</w:t>
            </w:r>
          </w:p>
        </w:tc>
        <w:tc>
          <w:tcPr>
            <w:tcW w:w="566" w:type="dxa"/>
          </w:tcPr>
          <w:p w14:paraId="39C68578" w14:textId="77777777" w:rsidR="00AD1F54" w:rsidRPr="00264D5D" w:rsidRDefault="00941227">
            <w:pPr>
              <w:pStyle w:val="GOSTTablenorm"/>
              <w:jc w:val="center"/>
            </w:pPr>
            <w:r w:rsidRPr="00264D5D">
              <w:t>О</w:t>
            </w:r>
          </w:p>
        </w:tc>
        <w:tc>
          <w:tcPr>
            <w:tcW w:w="3963" w:type="dxa"/>
          </w:tcPr>
          <w:p w14:paraId="0FFB2EE7" w14:textId="77777777" w:rsidR="00AD1F54" w:rsidRPr="00264D5D" w:rsidRDefault="00941227">
            <w:pPr>
              <w:pStyle w:val="GOSTTablenorm"/>
            </w:pPr>
            <w:r w:rsidRPr="00264D5D">
              <w:t xml:space="preserve">Полное наименование ФК или ТОФК. </w:t>
            </w:r>
          </w:p>
          <w:p w14:paraId="32431362" w14:textId="77777777" w:rsidR="00AD1F54" w:rsidRPr="00264D5D" w:rsidRDefault="00941227">
            <w:pPr>
              <w:pStyle w:val="GOSTTablenorm"/>
            </w:pPr>
            <w:r w:rsidRPr="00264D5D">
              <w:t>Поле заполняется в соответствии с ц</w:t>
            </w:r>
            <w:r w:rsidR="00BA58C1" w:rsidRPr="00264D5D">
              <w:t>ентрализованным справочником ФК</w:t>
            </w:r>
          </w:p>
        </w:tc>
      </w:tr>
      <w:tr w:rsidR="00AD1F54" w:rsidRPr="00264D5D" w14:paraId="48B3B522" w14:textId="77777777" w:rsidTr="00AD1F54">
        <w:trPr>
          <w:cnfStyle w:val="000000010000" w:firstRow="0" w:lastRow="0" w:firstColumn="0" w:lastColumn="0" w:oddVBand="0" w:evenVBand="0" w:oddHBand="0" w:evenHBand="1" w:firstRowFirstColumn="0" w:firstRowLastColumn="0" w:lastRowFirstColumn="0" w:lastRowLastColumn="0"/>
        </w:trPr>
        <w:tc>
          <w:tcPr>
            <w:tcW w:w="1704" w:type="dxa"/>
          </w:tcPr>
          <w:p w14:paraId="32481AAF" w14:textId="77777777" w:rsidR="00AD1F54" w:rsidRPr="00264D5D" w:rsidRDefault="00941227">
            <w:pPr>
              <w:pStyle w:val="GOSTTablenorm"/>
            </w:pPr>
            <w:r w:rsidRPr="00264D5D">
              <w:t>Код ТОФК</w:t>
            </w:r>
          </w:p>
        </w:tc>
        <w:tc>
          <w:tcPr>
            <w:tcW w:w="1699" w:type="dxa"/>
          </w:tcPr>
          <w:p w14:paraId="13346905" w14:textId="77777777" w:rsidR="00AD1F54" w:rsidRPr="00264D5D" w:rsidRDefault="00941227">
            <w:pPr>
              <w:pStyle w:val="GOSTTablenorm"/>
            </w:pPr>
            <w:r w:rsidRPr="00264D5D">
              <w:t>Cd</w:t>
            </w:r>
          </w:p>
        </w:tc>
        <w:tc>
          <w:tcPr>
            <w:tcW w:w="566" w:type="dxa"/>
          </w:tcPr>
          <w:p w14:paraId="5CAD9631" w14:textId="77777777" w:rsidR="00AD1F54" w:rsidRPr="00264D5D" w:rsidRDefault="00941227">
            <w:pPr>
              <w:pStyle w:val="GOSTTablenorm"/>
              <w:jc w:val="center"/>
            </w:pPr>
            <w:r w:rsidRPr="00264D5D">
              <w:t>П</w:t>
            </w:r>
          </w:p>
        </w:tc>
        <w:tc>
          <w:tcPr>
            <w:tcW w:w="1133" w:type="dxa"/>
          </w:tcPr>
          <w:p w14:paraId="0A67CA8B" w14:textId="77777777" w:rsidR="00AD1F54" w:rsidRPr="00264D5D" w:rsidRDefault="00941227">
            <w:pPr>
              <w:pStyle w:val="GOSTTablenorm"/>
            </w:pPr>
            <w:r w:rsidRPr="00264D5D">
              <w:t>Т(4)</w:t>
            </w:r>
          </w:p>
        </w:tc>
        <w:tc>
          <w:tcPr>
            <w:tcW w:w="566" w:type="dxa"/>
          </w:tcPr>
          <w:p w14:paraId="4AD1E9D2" w14:textId="77777777" w:rsidR="00AD1F54" w:rsidRPr="00264D5D" w:rsidRDefault="00941227">
            <w:pPr>
              <w:pStyle w:val="GOSTTablenorm"/>
              <w:jc w:val="center"/>
            </w:pPr>
            <w:r w:rsidRPr="00264D5D">
              <w:t>О</w:t>
            </w:r>
          </w:p>
        </w:tc>
        <w:tc>
          <w:tcPr>
            <w:tcW w:w="3963" w:type="dxa"/>
          </w:tcPr>
          <w:p w14:paraId="72040763" w14:textId="77777777" w:rsidR="00AD1F54" w:rsidRPr="00264D5D" w:rsidRDefault="00941227">
            <w:pPr>
              <w:pStyle w:val="GOSTTablenorm"/>
            </w:pPr>
            <w:r w:rsidRPr="00264D5D">
              <w:t xml:space="preserve">Код ФК или ТОФК. </w:t>
            </w:r>
          </w:p>
          <w:p w14:paraId="1F9C4299" w14:textId="77777777" w:rsidR="00AD1F54" w:rsidRPr="00264D5D" w:rsidRDefault="00941227">
            <w:pPr>
              <w:pStyle w:val="GOSTTablenorm"/>
            </w:pPr>
            <w:r w:rsidRPr="00264D5D">
              <w:t>Поле заполняется в соответствии с ц</w:t>
            </w:r>
            <w:r w:rsidR="00BA58C1" w:rsidRPr="00264D5D">
              <w:t>ентрализованным справочником ФК</w:t>
            </w:r>
          </w:p>
        </w:tc>
      </w:tr>
    </w:tbl>
    <w:p w14:paraId="3138B31E" w14:textId="77777777" w:rsidR="00AD1F54" w:rsidRPr="00264D5D" w:rsidRDefault="00941227">
      <w:pPr>
        <w:pStyle w:val="31"/>
      </w:pPr>
      <w:bookmarkStart w:id="777" w:name="_Toc18509225"/>
      <w:bookmarkStart w:id="778" w:name="_Toc219309492"/>
      <w:r w:rsidRPr="00264D5D">
        <w:t>Описание комплексного типа «tMSC_PrtExctn»</w:t>
      </w:r>
      <w:bookmarkEnd w:id="768"/>
      <w:bookmarkEnd w:id="777"/>
      <w:bookmarkEnd w:id="778"/>
    </w:p>
    <w:p w14:paraId="673C509A" w14:textId="77777777" w:rsidR="00AD1F54" w:rsidRPr="00264D5D" w:rsidRDefault="00941227">
      <w:pPr>
        <w:pStyle w:val="GOSTNormal"/>
      </w:pPr>
      <w:r w:rsidRPr="00264D5D">
        <w:t>Описание комплексного типа «tMSC_PrtExctn» блока «Приоритет исполнения».</w:t>
      </w:r>
    </w:p>
    <w:p w14:paraId="0FED0176" w14:textId="2CC39684"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779" w:name="_Ref503522616"/>
      <w:bookmarkStart w:id="780" w:name="_Toc18509513"/>
      <w:bookmarkStart w:id="781" w:name="_Toc219309084"/>
      <w:r w:rsidR="008D797C">
        <w:rPr>
          <w:noProof/>
        </w:rPr>
        <w:t>54</w:t>
      </w:r>
      <w:bookmarkEnd w:id="779"/>
      <w:r w:rsidRPr="00264D5D">
        <w:fldChar w:fldCharType="end"/>
      </w:r>
      <w:r w:rsidRPr="00264D5D">
        <w:rPr>
          <w:rFonts w:eastAsia="Calibri"/>
          <w:szCs w:val="24"/>
        </w:rPr>
        <w:t xml:space="preserve"> –</w:t>
      </w:r>
      <w:r w:rsidRPr="00264D5D">
        <w:t xml:space="preserve"> Описание комплексного типа «tMSC_PrtExctn»</w:t>
      </w:r>
      <w:bookmarkEnd w:id="780"/>
      <w:bookmarkEnd w:id="781"/>
    </w:p>
    <w:tbl>
      <w:tblPr>
        <w:tblStyle w:val="GOSTTable"/>
        <w:tblW w:w="5000" w:type="pct"/>
        <w:tblLayout w:type="fixed"/>
        <w:tblLook w:val="04A0" w:firstRow="1" w:lastRow="0" w:firstColumn="1" w:lastColumn="0" w:noHBand="0" w:noVBand="1"/>
      </w:tblPr>
      <w:tblGrid>
        <w:gridCol w:w="1705"/>
        <w:gridCol w:w="1704"/>
        <w:gridCol w:w="568"/>
        <w:gridCol w:w="1136"/>
        <w:gridCol w:w="568"/>
        <w:gridCol w:w="3969"/>
      </w:tblGrid>
      <w:tr w:rsidR="00AD1F54" w:rsidRPr="00264D5D" w14:paraId="3E321F20"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3" w:type="dxa"/>
          </w:tcPr>
          <w:p w14:paraId="125DB35C" w14:textId="77777777" w:rsidR="00AD1F54" w:rsidRPr="00264D5D" w:rsidRDefault="00941227">
            <w:pPr>
              <w:pStyle w:val="ASFKTableHead"/>
            </w:pPr>
            <w:r w:rsidRPr="00264D5D">
              <w:t>Наименование элемента</w:t>
            </w:r>
          </w:p>
        </w:tc>
        <w:tc>
          <w:tcPr>
            <w:tcW w:w="1701" w:type="dxa"/>
          </w:tcPr>
          <w:p w14:paraId="2FB67956" w14:textId="77777777" w:rsidR="00AD1F54" w:rsidRPr="00264D5D" w:rsidRDefault="00941227">
            <w:pPr>
              <w:pStyle w:val="ASFKTableHead"/>
            </w:pPr>
            <w:r w:rsidRPr="00264D5D">
              <w:t>Сокращенное наименование (код) элемента</w:t>
            </w:r>
          </w:p>
        </w:tc>
        <w:tc>
          <w:tcPr>
            <w:tcW w:w="567" w:type="dxa"/>
          </w:tcPr>
          <w:p w14:paraId="06599277" w14:textId="77777777" w:rsidR="00AD1F54" w:rsidRPr="00264D5D" w:rsidRDefault="00941227">
            <w:pPr>
              <w:pStyle w:val="ASFKTableHead"/>
            </w:pPr>
            <w:r w:rsidRPr="00264D5D">
              <w:t>Тип</w:t>
            </w:r>
          </w:p>
        </w:tc>
        <w:tc>
          <w:tcPr>
            <w:tcW w:w="1134" w:type="dxa"/>
          </w:tcPr>
          <w:p w14:paraId="355497E1" w14:textId="77777777" w:rsidR="00AD1F54" w:rsidRPr="00264D5D" w:rsidRDefault="00941227">
            <w:pPr>
              <w:pStyle w:val="ASFKTableHead"/>
            </w:pPr>
            <w:r w:rsidRPr="00264D5D">
              <w:t>Формат элемента</w:t>
            </w:r>
          </w:p>
        </w:tc>
        <w:tc>
          <w:tcPr>
            <w:tcW w:w="567" w:type="dxa"/>
          </w:tcPr>
          <w:p w14:paraId="09535282" w14:textId="77777777" w:rsidR="00AD1F54" w:rsidRPr="00264D5D" w:rsidRDefault="00941227">
            <w:pPr>
              <w:pStyle w:val="ASFKTableHead"/>
            </w:pPr>
            <w:r w:rsidRPr="00264D5D">
              <w:t>Обязательность</w:t>
            </w:r>
          </w:p>
        </w:tc>
        <w:tc>
          <w:tcPr>
            <w:tcW w:w="3963" w:type="dxa"/>
          </w:tcPr>
          <w:p w14:paraId="5C90E871" w14:textId="77777777" w:rsidR="00AD1F54" w:rsidRPr="00264D5D" w:rsidRDefault="00941227">
            <w:pPr>
              <w:pStyle w:val="ASFKTableHead"/>
            </w:pPr>
            <w:r w:rsidRPr="00264D5D">
              <w:t>Дополнительная информация</w:t>
            </w:r>
          </w:p>
        </w:tc>
      </w:tr>
      <w:tr w:rsidR="00AD1F54" w:rsidRPr="00264D5D" w14:paraId="12E44380" w14:textId="77777777" w:rsidTr="00AD1F54">
        <w:trPr>
          <w:cnfStyle w:val="000000100000" w:firstRow="0" w:lastRow="0" w:firstColumn="0" w:lastColumn="0" w:oddVBand="0" w:evenVBand="0" w:oddHBand="1" w:evenHBand="0" w:firstRowFirstColumn="0" w:firstRowLastColumn="0" w:lastRowFirstColumn="0" w:lastRowLastColumn="0"/>
        </w:trPr>
        <w:tc>
          <w:tcPr>
            <w:tcW w:w="1703" w:type="dxa"/>
          </w:tcPr>
          <w:p w14:paraId="23E0F3EE" w14:textId="77777777" w:rsidR="00AD1F54" w:rsidRPr="00264D5D" w:rsidRDefault="00941227">
            <w:pPr>
              <w:pStyle w:val="GOSTTablenorm"/>
              <w:rPr>
                <w:szCs w:val="22"/>
              </w:rPr>
            </w:pPr>
            <w:r w:rsidRPr="00264D5D">
              <w:rPr>
                <w:szCs w:val="22"/>
              </w:rPr>
              <w:t>Код приоритета исполнения</w:t>
            </w:r>
          </w:p>
        </w:tc>
        <w:tc>
          <w:tcPr>
            <w:tcW w:w="1701" w:type="dxa"/>
          </w:tcPr>
          <w:p w14:paraId="07FABB1F" w14:textId="77777777" w:rsidR="00AD1F54" w:rsidRPr="00264D5D" w:rsidRDefault="00941227">
            <w:pPr>
              <w:pStyle w:val="GOSTTablenorm"/>
            </w:pPr>
            <w:r w:rsidRPr="00264D5D">
              <w:t>Сd</w:t>
            </w:r>
          </w:p>
        </w:tc>
        <w:tc>
          <w:tcPr>
            <w:tcW w:w="567" w:type="dxa"/>
          </w:tcPr>
          <w:p w14:paraId="38E93694" w14:textId="77777777" w:rsidR="00AD1F54" w:rsidRPr="00264D5D" w:rsidRDefault="00941227">
            <w:pPr>
              <w:pStyle w:val="GOSTTablenorm"/>
              <w:jc w:val="center"/>
            </w:pPr>
            <w:r w:rsidRPr="00264D5D">
              <w:t>П</w:t>
            </w:r>
          </w:p>
        </w:tc>
        <w:tc>
          <w:tcPr>
            <w:tcW w:w="1134" w:type="dxa"/>
          </w:tcPr>
          <w:p w14:paraId="65DFACF2" w14:textId="77777777" w:rsidR="00AD1F54" w:rsidRPr="00264D5D" w:rsidRDefault="00941227">
            <w:pPr>
              <w:pStyle w:val="GOSTTablenorm"/>
            </w:pPr>
            <w:r w:rsidRPr="00264D5D">
              <w:t>Т(1)</w:t>
            </w:r>
          </w:p>
        </w:tc>
        <w:tc>
          <w:tcPr>
            <w:tcW w:w="567" w:type="dxa"/>
          </w:tcPr>
          <w:p w14:paraId="50FAB04E" w14:textId="77777777" w:rsidR="00AD1F54" w:rsidRPr="00264D5D" w:rsidRDefault="00941227">
            <w:pPr>
              <w:pStyle w:val="GOSTTablenorm"/>
              <w:jc w:val="center"/>
            </w:pPr>
            <w:r w:rsidRPr="00264D5D">
              <w:t>Н</w:t>
            </w:r>
          </w:p>
        </w:tc>
        <w:tc>
          <w:tcPr>
            <w:tcW w:w="3963" w:type="dxa"/>
          </w:tcPr>
          <w:p w14:paraId="3C4A8BDC" w14:textId="77777777" w:rsidR="00AD1F54" w:rsidRPr="00264D5D" w:rsidRDefault="00941227">
            <w:pPr>
              <w:pStyle w:val="GOSTTablenorm"/>
            </w:pPr>
            <w:r w:rsidRPr="00264D5D">
              <w:t>Заполняется только при нал</w:t>
            </w:r>
            <w:r w:rsidR="00BA58C1" w:rsidRPr="00264D5D">
              <w:t>ичии соответствующих полномочий</w:t>
            </w:r>
          </w:p>
        </w:tc>
      </w:tr>
      <w:tr w:rsidR="00AD1F54" w:rsidRPr="00264D5D" w14:paraId="13F9A720" w14:textId="77777777" w:rsidTr="00AD1F54">
        <w:trPr>
          <w:cnfStyle w:val="000000010000" w:firstRow="0" w:lastRow="0" w:firstColumn="0" w:lastColumn="0" w:oddVBand="0" w:evenVBand="0" w:oddHBand="0" w:evenHBand="1" w:firstRowFirstColumn="0" w:firstRowLastColumn="0" w:lastRowFirstColumn="0" w:lastRowLastColumn="0"/>
        </w:trPr>
        <w:tc>
          <w:tcPr>
            <w:tcW w:w="1703" w:type="dxa"/>
          </w:tcPr>
          <w:p w14:paraId="59FE5167" w14:textId="77777777" w:rsidR="00AD1F54" w:rsidRPr="00264D5D" w:rsidRDefault="00941227">
            <w:pPr>
              <w:pStyle w:val="GOSTTablenorm"/>
              <w:rPr>
                <w:szCs w:val="22"/>
              </w:rPr>
            </w:pPr>
            <w:r w:rsidRPr="00264D5D">
              <w:rPr>
                <w:szCs w:val="22"/>
              </w:rPr>
              <w:t>Приоритет исполнения</w:t>
            </w:r>
          </w:p>
        </w:tc>
        <w:tc>
          <w:tcPr>
            <w:tcW w:w="1701" w:type="dxa"/>
          </w:tcPr>
          <w:p w14:paraId="0C85B656" w14:textId="77777777" w:rsidR="00AD1F54" w:rsidRPr="00264D5D" w:rsidRDefault="00941227">
            <w:pPr>
              <w:pStyle w:val="GOSTTablenorm"/>
            </w:pPr>
            <w:r w:rsidRPr="00264D5D">
              <w:t>Exctn</w:t>
            </w:r>
          </w:p>
        </w:tc>
        <w:tc>
          <w:tcPr>
            <w:tcW w:w="567" w:type="dxa"/>
          </w:tcPr>
          <w:p w14:paraId="00B0B386" w14:textId="77777777" w:rsidR="00AD1F54" w:rsidRPr="00264D5D" w:rsidRDefault="00941227">
            <w:pPr>
              <w:pStyle w:val="GOSTTablenorm"/>
              <w:jc w:val="center"/>
            </w:pPr>
            <w:r w:rsidRPr="00264D5D">
              <w:t>П</w:t>
            </w:r>
          </w:p>
        </w:tc>
        <w:tc>
          <w:tcPr>
            <w:tcW w:w="1134" w:type="dxa"/>
          </w:tcPr>
          <w:p w14:paraId="15E3CA96" w14:textId="77777777" w:rsidR="00AD1F54" w:rsidRPr="00264D5D" w:rsidRDefault="00941227">
            <w:pPr>
              <w:pStyle w:val="GOSTTablenorm"/>
            </w:pPr>
            <w:r w:rsidRPr="00264D5D">
              <w:t>Т(1-250)</w:t>
            </w:r>
          </w:p>
        </w:tc>
        <w:tc>
          <w:tcPr>
            <w:tcW w:w="567" w:type="dxa"/>
          </w:tcPr>
          <w:p w14:paraId="5EDFAB17" w14:textId="77777777" w:rsidR="00AD1F54" w:rsidRPr="00264D5D" w:rsidRDefault="00941227">
            <w:pPr>
              <w:pStyle w:val="GOSTTablenorm"/>
              <w:jc w:val="center"/>
            </w:pPr>
            <w:r w:rsidRPr="00264D5D">
              <w:t>Н</w:t>
            </w:r>
          </w:p>
        </w:tc>
        <w:tc>
          <w:tcPr>
            <w:tcW w:w="3963" w:type="dxa"/>
          </w:tcPr>
          <w:p w14:paraId="45B38B73" w14:textId="77777777" w:rsidR="00AD1F54" w:rsidRPr="00264D5D" w:rsidRDefault="00941227">
            <w:pPr>
              <w:pStyle w:val="GOSTTablenorm"/>
            </w:pPr>
            <w:r w:rsidRPr="00264D5D">
              <w:t>Заполняется только при нал</w:t>
            </w:r>
            <w:r w:rsidR="00BA58C1" w:rsidRPr="00264D5D">
              <w:t>ичии соответствующих полномочий</w:t>
            </w:r>
          </w:p>
        </w:tc>
      </w:tr>
    </w:tbl>
    <w:p w14:paraId="6B8D4320" w14:textId="77777777" w:rsidR="00AD1F54" w:rsidRPr="00264D5D" w:rsidRDefault="00941227">
      <w:pPr>
        <w:pStyle w:val="31"/>
      </w:pPr>
      <w:bookmarkStart w:id="782" w:name="_Toc528144414"/>
      <w:bookmarkStart w:id="783" w:name="_Toc528584399"/>
      <w:bookmarkStart w:id="784" w:name="_Toc528144415"/>
      <w:bookmarkStart w:id="785" w:name="_Toc528584400"/>
      <w:bookmarkStart w:id="786" w:name="_Toc528144416"/>
      <w:bookmarkStart w:id="787" w:name="_Toc528584401"/>
      <w:bookmarkStart w:id="788" w:name="_Toc499635941"/>
      <w:bookmarkStart w:id="789" w:name="_Toc508712663"/>
      <w:bookmarkStart w:id="790" w:name="_Toc18509226"/>
      <w:bookmarkStart w:id="791" w:name="_Toc219309493"/>
      <w:bookmarkEnd w:id="782"/>
      <w:bookmarkEnd w:id="783"/>
      <w:bookmarkEnd w:id="784"/>
      <w:bookmarkEnd w:id="785"/>
      <w:bookmarkEnd w:id="786"/>
      <w:bookmarkEnd w:id="787"/>
      <w:r w:rsidRPr="00264D5D">
        <w:t>Описание комплексного типа «tMSC_Pmnt1»</w:t>
      </w:r>
      <w:bookmarkEnd w:id="788"/>
      <w:bookmarkEnd w:id="789"/>
      <w:bookmarkEnd w:id="790"/>
      <w:bookmarkEnd w:id="791"/>
    </w:p>
    <w:p w14:paraId="25550DED" w14:textId="77777777" w:rsidR="00AD1F54" w:rsidRPr="00264D5D" w:rsidRDefault="00941227">
      <w:pPr>
        <w:pStyle w:val="GOSTNormal"/>
      </w:pPr>
      <w:r w:rsidRPr="00264D5D">
        <w:t>Описание комплексного типа «tMSC_Pmnt1» блока «Платеж».</w:t>
      </w:r>
    </w:p>
    <w:p w14:paraId="4B03F4C5" w14:textId="133F2F72"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792" w:name="_Ref527731677"/>
      <w:bookmarkStart w:id="793" w:name="_Ref503525742"/>
      <w:bookmarkStart w:id="794" w:name="_Toc18509514"/>
      <w:bookmarkStart w:id="795" w:name="_Toc219309085"/>
      <w:r w:rsidR="008D797C">
        <w:rPr>
          <w:noProof/>
        </w:rPr>
        <w:t>55</w:t>
      </w:r>
      <w:bookmarkEnd w:id="792"/>
      <w:bookmarkEnd w:id="793"/>
      <w:r w:rsidRPr="00264D5D">
        <w:fldChar w:fldCharType="end"/>
      </w:r>
      <w:r w:rsidRPr="00264D5D">
        <w:rPr>
          <w:rFonts w:eastAsia="Calibri"/>
          <w:szCs w:val="24"/>
        </w:rPr>
        <w:t xml:space="preserve"> –</w:t>
      </w:r>
      <w:r w:rsidRPr="00264D5D">
        <w:t xml:space="preserve"> Описание комплексного типа «tMSC_Pmnt1»</w:t>
      </w:r>
      <w:bookmarkEnd w:id="794"/>
      <w:bookmarkEnd w:id="795"/>
    </w:p>
    <w:tbl>
      <w:tblPr>
        <w:tblStyle w:val="GOSTTable"/>
        <w:tblW w:w="5000" w:type="pct"/>
        <w:tblLayout w:type="fixed"/>
        <w:tblLook w:val="04A0" w:firstRow="1" w:lastRow="0" w:firstColumn="1" w:lastColumn="0" w:noHBand="0" w:noVBand="1"/>
      </w:tblPr>
      <w:tblGrid>
        <w:gridCol w:w="1703"/>
        <w:gridCol w:w="1706"/>
        <w:gridCol w:w="567"/>
        <w:gridCol w:w="1137"/>
        <w:gridCol w:w="567"/>
        <w:gridCol w:w="3970"/>
      </w:tblGrid>
      <w:tr w:rsidR="00AD1F54" w:rsidRPr="00264D5D" w14:paraId="7F0EF186"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2" w:type="pct"/>
          </w:tcPr>
          <w:p w14:paraId="71D201D4" w14:textId="77777777" w:rsidR="00AD1F54" w:rsidRPr="00264D5D" w:rsidRDefault="00941227">
            <w:pPr>
              <w:pStyle w:val="ASFKTableHead"/>
            </w:pPr>
            <w:r w:rsidRPr="00264D5D">
              <w:t>Наименование элемента</w:t>
            </w:r>
          </w:p>
        </w:tc>
        <w:tc>
          <w:tcPr>
            <w:tcW w:w="884" w:type="pct"/>
          </w:tcPr>
          <w:p w14:paraId="209D212C" w14:textId="77777777" w:rsidR="00AD1F54" w:rsidRPr="00264D5D" w:rsidRDefault="00941227">
            <w:pPr>
              <w:pStyle w:val="ASFKTableHead"/>
            </w:pPr>
            <w:r w:rsidRPr="00264D5D">
              <w:t>Сокращенное наименование (код) элемента</w:t>
            </w:r>
          </w:p>
        </w:tc>
        <w:tc>
          <w:tcPr>
            <w:tcW w:w="294" w:type="pct"/>
          </w:tcPr>
          <w:p w14:paraId="470E51E7" w14:textId="77777777" w:rsidR="00AD1F54" w:rsidRPr="00264D5D" w:rsidRDefault="00941227">
            <w:pPr>
              <w:pStyle w:val="ASFKTableHead"/>
            </w:pPr>
            <w:r w:rsidRPr="00264D5D">
              <w:t>Тип</w:t>
            </w:r>
          </w:p>
        </w:tc>
        <w:tc>
          <w:tcPr>
            <w:tcW w:w="589" w:type="pct"/>
          </w:tcPr>
          <w:p w14:paraId="0B68D83F" w14:textId="77777777" w:rsidR="00AD1F54" w:rsidRPr="00264D5D" w:rsidRDefault="00941227">
            <w:pPr>
              <w:pStyle w:val="ASFKTableHead"/>
            </w:pPr>
            <w:r w:rsidRPr="00264D5D">
              <w:t>Формат элемента</w:t>
            </w:r>
          </w:p>
        </w:tc>
        <w:tc>
          <w:tcPr>
            <w:tcW w:w="294" w:type="pct"/>
          </w:tcPr>
          <w:p w14:paraId="503CADBF" w14:textId="77777777" w:rsidR="00AD1F54" w:rsidRPr="00264D5D" w:rsidRDefault="00941227">
            <w:pPr>
              <w:pStyle w:val="ASFKTableHead"/>
            </w:pPr>
            <w:r w:rsidRPr="00264D5D">
              <w:t>Обязательность</w:t>
            </w:r>
          </w:p>
        </w:tc>
        <w:tc>
          <w:tcPr>
            <w:tcW w:w="2058" w:type="pct"/>
          </w:tcPr>
          <w:p w14:paraId="42E24F74" w14:textId="77777777" w:rsidR="00AD1F54" w:rsidRPr="00264D5D" w:rsidRDefault="00941227">
            <w:pPr>
              <w:pStyle w:val="ASFKTableHead"/>
            </w:pPr>
            <w:r w:rsidRPr="00264D5D">
              <w:t>Дополнительная информация</w:t>
            </w:r>
          </w:p>
        </w:tc>
      </w:tr>
      <w:tr w:rsidR="00AD1F54" w:rsidRPr="00264D5D" w14:paraId="75B377AE"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2" w:type="pct"/>
          </w:tcPr>
          <w:p w14:paraId="7B54A074" w14:textId="77777777" w:rsidR="00AD1F54" w:rsidRPr="00264D5D" w:rsidRDefault="00941227">
            <w:pPr>
              <w:pStyle w:val="GOSTTablenorm"/>
              <w:rPr>
                <w:szCs w:val="22"/>
              </w:rPr>
            </w:pPr>
            <w:r w:rsidRPr="00264D5D">
              <w:rPr>
                <w:szCs w:val="22"/>
              </w:rPr>
              <w:t>Признак авансового платежа</w:t>
            </w:r>
          </w:p>
        </w:tc>
        <w:tc>
          <w:tcPr>
            <w:tcW w:w="884" w:type="pct"/>
          </w:tcPr>
          <w:p w14:paraId="789C8F3A" w14:textId="77777777" w:rsidR="00AD1F54" w:rsidRPr="00264D5D" w:rsidRDefault="00941227">
            <w:pPr>
              <w:pStyle w:val="GOSTTablenorm"/>
              <w:rPr>
                <w:szCs w:val="22"/>
              </w:rPr>
            </w:pPr>
            <w:r w:rsidRPr="00264D5D">
              <w:rPr>
                <w:szCs w:val="22"/>
              </w:rPr>
              <w:t>AdvnPySgn</w:t>
            </w:r>
          </w:p>
        </w:tc>
        <w:tc>
          <w:tcPr>
            <w:tcW w:w="294" w:type="pct"/>
          </w:tcPr>
          <w:p w14:paraId="292FA579" w14:textId="77777777" w:rsidR="00AD1F54" w:rsidRPr="00264D5D" w:rsidRDefault="00941227">
            <w:pPr>
              <w:pStyle w:val="GOSTTablenorm"/>
              <w:jc w:val="center"/>
              <w:rPr>
                <w:szCs w:val="22"/>
              </w:rPr>
            </w:pPr>
            <w:r w:rsidRPr="00264D5D">
              <w:rPr>
                <w:szCs w:val="22"/>
              </w:rPr>
              <w:t>С</w:t>
            </w:r>
          </w:p>
        </w:tc>
        <w:tc>
          <w:tcPr>
            <w:tcW w:w="589" w:type="pct"/>
          </w:tcPr>
          <w:p w14:paraId="23EBE11C" w14:textId="77777777" w:rsidR="00AD1F54" w:rsidRPr="00264D5D" w:rsidRDefault="00941227">
            <w:pPr>
              <w:pStyle w:val="GOSTTablenorm"/>
              <w:rPr>
                <w:szCs w:val="22"/>
              </w:rPr>
            </w:pPr>
            <w:r w:rsidRPr="00264D5D">
              <w:rPr>
                <w:szCs w:val="22"/>
              </w:rPr>
              <w:t>tMSC_AdvnPySgnComplex</w:t>
            </w:r>
          </w:p>
        </w:tc>
        <w:tc>
          <w:tcPr>
            <w:tcW w:w="294" w:type="pct"/>
          </w:tcPr>
          <w:p w14:paraId="2B27B3F5" w14:textId="77777777" w:rsidR="00AD1F54" w:rsidRPr="00264D5D" w:rsidRDefault="00941227">
            <w:pPr>
              <w:pStyle w:val="GOSTTablenorm"/>
              <w:jc w:val="center"/>
              <w:rPr>
                <w:szCs w:val="22"/>
              </w:rPr>
            </w:pPr>
            <w:r w:rsidRPr="00264D5D">
              <w:rPr>
                <w:szCs w:val="22"/>
              </w:rPr>
              <w:t>О</w:t>
            </w:r>
          </w:p>
        </w:tc>
        <w:tc>
          <w:tcPr>
            <w:tcW w:w="2058" w:type="pct"/>
          </w:tcPr>
          <w:p w14:paraId="2D2F8E1B" w14:textId="77777777" w:rsidR="00AD1F54" w:rsidRPr="00264D5D" w:rsidRDefault="00941227">
            <w:pPr>
              <w:pStyle w:val="GOSTTablenorm"/>
              <w:rPr>
                <w:szCs w:val="22"/>
              </w:rPr>
            </w:pPr>
            <w:r w:rsidRPr="00264D5D">
              <w:t>Признак</w:t>
            </w:r>
            <w:r w:rsidRPr="00264D5D">
              <w:rPr>
                <w:szCs w:val="22"/>
              </w:rPr>
              <w:t xml:space="preserve"> авансового платежа.</w:t>
            </w:r>
          </w:p>
          <w:p w14:paraId="146B5BF5" w14:textId="6EC37E18" w:rsidR="00AD1F54" w:rsidRPr="00264D5D" w:rsidRDefault="00941227">
            <w:pPr>
              <w:pStyle w:val="GOSTTablenorm"/>
              <w:rPr>
                <w:szCs w:val="22"/>
              </w:rPr>
            </w:pPr>
            <w:r w:rsidRPr="00264D5D">
              <w:rPr>
                <w:szCs w:val="22"/>
              </w:rPr>
              <w:t xml:space="preserve">Состав элемента представлен в таблице </w:t>
            </w:r>
            <w:r w:rsidRPr="00264D5D">
              <w:rPr>
                <w:b/>
              </w:rPr>
              <w:fldChar w:fldCharType="begin"/>
            </w:r>
            <w:r w:rsidRPr="00264D5D">
              <w:rPr>
                <w:b/>
              </w:rPr>
              <w:instrText xml:space="preserve"> REF _Ref503525993 \h  \* MERGEFORMAT </w:instrText>
            </w:r>
            <w:r w:rsidRPr="00264D5D">
              <w:rPr>
                <w:b/>
              </w:rPr>
            </w:r>
            <w:r w:rsidRPr="00264D5D">
              <w:rPr>
                <w:b/>
              </w:rPr>
              <w:fldChar w:fldCharType="separate"/>
            </w:r>
            <w:r w:rsidR="008D797C" w:rsidRPr="008D797C">
              <w:rPr>
                <w:b/>
                <w:szCs w:val="22"/>
              </w:rPr>
              <w:t>56</w:t>
            </w:r>
            <w:r w:rsidRPr="00264D5D">
              <w:rPr>
                <w:b/>
              </w:rPr>
              <w:fldChar w:fldCharType="end"/>
            </w:r>
          </w:p>
        </w:tc>
      </w:tr>
      <w:tr w:rsidR="00AD1F54" w:rsidRPr="00264D5D" w14:paraId="46291245"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2" w:type="pct"/>
          </w:tcPr>
          <w:p w14:paraId="01033877" w14:textId="77777777" w:rsidR="00AD1F54" w:rsidRPr="00264D5D" w:rsidRDefault="00941227">
            <w:pPr>
              <w:pStyle w:val="GOSTTablenorm"/>
              <w:rPr>
                <w:szCs w:val="22"/>
              </w:rPr>
            </w:pPr>
            <w:r w:rsidRPr="00264D5D">
              <w:rPr>
                <w:szCs w:val="22"/>
              </w:rPr>
              <w:t>Очередность платежа</w:t>
            </w:r>
          </w:p>
        </w:tc>
        <w:tc>
          <w:tcPr>
            <w:tcW w:w="884" w:type="pct"/>
          </w:tcPr>
          <w:p w14:paraId="7399D038" w14:textId="77777777" w:rsidR="00AD1F54" w:rsidRPr="00264D5D" w:rsidRDefault="00941227">
            <w:pPr>
              <w:pStyle w:val="GOSTTablenorm"/>
              <w:rPr>
                <w:szCs w:val="22"/>
              </w:rPr>
            </w:pPr>
            <w:r w:rsidRPr="00264D5D">
              <w:rPr>
                <w:szCs w:val="22"/>
              </w:rPr>
              <w:t>Prt</w:t>
            </w:r>
          </w:p>
        </w:tc>
        <w:tc>
          <w:tcPr>
            <w:tcW w:w="294" w:type="pct"/>
          </w:tcPr>
          <w:p w14:paraId="6ED5EDE0" w14:textId="77777777" w:rsidR="00AD1F54" w:rsidRPr="00264D5D" w:rsidRDefault="00941227">
            <w:pPr>
              <w:pStyle w:val="GOSTTablenorm"/>
              <w:jc w:val="center"/>
              <w:rPr>
                <w:szCs w:val="22"/>
              </w:rPr>
            </w:pPr>
            <w:r w:rsidRPr="00264D5D">
              <w:rPr>
                <w:szCs w:val="22"/>
              </w:rPr>
              <w:t>П</w:t>
            </w:r>
          </w:p>
        </w:tc>
        <w:tc>
          <w:tcPr>
            <w:tcW w:w="589" w:type="pct"/>
          </w:tcPr>
          <w:p w14:paraId="2013A795" w14:textId="77777777" w:rsidR="00AD1F54" w:rsidRPr="00264D5D" w:rsidRDefault="00941227">
            <w:pPr>
              <w:pStyle w:val="GOSTTablenorm"/>
              <w:rPr>
                <w:szCs w:val="22"/>
              </w:rPr>
            </w:pPr>
            <w:r w:rsidRPr="00264D5D">
              <w:rPr>
                <w:szCs w:val="22"/>
              </w:rPr>
              <w:t>Т(1)</w:t>
            </w:r>
          </w:p>
        </w:tc>
        <w:tc>
          <w:tcPr>
            <w:tcW w:w="294" w:type="pct"/>
          </w:tcPr>
          <w:p w14:paraId="2D10C6B0" w14:textId="77777777" w:rsidR="00AD1F54" w:rsidRPr="00264D5D" w:rsidRDefault="00941227">
            <w:pPr>
              <w:pStyle w:val="GOSTTablenorm"/>
              <w:jc w:val="center"/>
              <w:rPr>
                <w:szCs w:val="22"/>
              </w:rPr>
            </w:pPr>
            <w:r w:rsidRPr="00264D5D">
              <w:rPr>
                <w:szCs w:val="22"/>
              </w:rPr>
              <w:t>О</w:t>
            </w:r>
          </w:p>
        </w:tc>
        <w:tc>
          <w:tcPr>
            <w:tcW w:w="2058" w:type="pct"/>
          </w:tcPr>
          <w:p w14:paraId="77A31351" w14:textId="77777777" w:rsidR="00AD1F54" w:rsidRPr="00264D5D" w:rsidRDefault="00BA58C1">
            <w:pPr>
              <w:pStyle w:val="GOSTTablenorm"/>
              <w:rPr>
                <w:szCs w:val="22"/>
              </w:rPr>
            </w:pPr>
            <w:r w:rsidRPr="00264D5D">
              <w:rPr>
                <w:szCs w:val="22"/>
              </w:rPr>
              <w:t>Указывается очередность платежа</w:t>
            </w:r>
          </w:p>
        </w:tc>
      </w:tr>
      <w:tr w:rsidR="00AD1F54" w:rsidRPr="00264D5D" w14:paraId="426961ED"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2" w:type="pct"/>
          </w:tcPr>
          <w:p w14:paraId="30AEC70C" w14:textId="77777777" w:rsidR="00AD1F54" w:rsidRPr="00264D5D" w:rsidRDefault="00941227">
            <w:pPr>
              <w:pStyle w:val="GOSTTablenorm"/>
              <w:rPr>
                <w:szCs w:val="22"/>
              </w:rPr>
            </w:pPr>
            <w:r w:rsidRPr="00264D5D">
              <w:rPr>
                <w:szCs w:val="22"/>
              </w:rPr>
              <w:t>Вид платежа</w:t>
            </w:r>
          </w:p>
        </w:tc>
        <w:tc>
          <w:tcPr>
            <w:tcW w:w="884" w:type="pct"/>
          </w:tcPr>
          <w:p w14:paraId="3C16D301" w14:textId="77777777" w:rsidR="00AD1F54" w:rsidRPr="00264D5D" w:rsidRDefault="00941227">
            <w:pPr>
              <w:pStyle w:val="GOSTTablenorm"/>
              <w:rPr>
                <w:szCs w:val="22"/>
              </w:rPr>
            </w:pPr>
            <w:r w:rsidRPr="00264D5D">
              <w:rPr>
                <w:szCs w:val="22"/>
              </w:rPr>
              <w:t>Knd</w:t>
            </w:r>
          </w:p>
        </w:tc>
        <w:tc>
          <w:tcPr>
            <w:tcW w:w="294" w:type="pct"/>
          </w:tcPr>
          <w:p w14:paraId="52A99751" w14:textId="77777777" w:rsidR="00AD1F54" w:rsidRPr="00264D5D" w:rsidRDefault="00941227">
            <w:pPr>
              <w:pStyle w:val="GOSTTablenorm"/>
              <w:jc w:val="center"/>
              <w:rPr>
                <w:szCs w:val="22"/>
              </w:rPr>
            </w:pPr>
            <w:r w:rsidRPr="00264D5D">
              <w:rPr>
                <w:szCs w:val="22"/>
              </w:rPr>
              <w:t>С</w:t>
            </w:r>
          </w:p>
        </w:tc>
        <w:tc>
          <w:tcPr>
            <w:tcW w:w="589" w:type="pct"/>
          </w:tcPr>
          <w:p w14:paraId="4F1EE2FB" w14:textId="77777777" w:rsidR="00AD1F54" w:rsidRPr="00264D5D" w:rsidRDefault="00941227">
            <w:pPr>
              <w:pStyle w:val="GOSTTablenorm"/>
              <w:rPr>
                <w:szCs w:val="22"/>
              </w:rPr>
            </w:pPr>
            <w:r w:rsidRPr="00264D5D">
              <w:rPr>
                <w:szCs w:val="22"/>
              </w:rPr>
              <w:t>tMSC_ShrtPyKndComplex</w:t>
            </w:r>
          </w:p>
        </w:tc>
        <w:tc>
          <w:tcPr>
            <w:tcW w:w="294" w:type="pct"/>
          </w:tcPr>
          <w:p w14:paraId="6EF687E1" w14:textId="77777777" w:rsidR="00AD1F54" w:rsidRPr="00264D5D" w:rsidRDefault="00941227">
            <w:pPr>
              <w:pStyle w:val="GOSTTablenorm"/>
              <w:jc w:val="center"/>
              <w:rPr>
                <w:szCs w:val="22"/>
              </w:rPr>
            </w:pPr>
            <w:r w:rsidRPr="00264D5D">
              <w:rPr>
                <w:szCs w:val="22"/>
              </w:rPr>
              <w:t>О</w:t>
            </w:r>
          </w:p>
        </w:tc>
        <w:tc>
          <w:tcPr>
            <w:tcW w:w="2058" w:type="pct"/>
          </w:tcPr>
          <w:p w14:paraId="02C7B4A2" w14:textId="1CEF57EB" w:rsidR="00AD1F54" w:rsidRPr="00264D5D" w:rsidRDefault="00941227">
            <w:pPr>
              <w:pStyle w:val="GOSTTablenorm"/>
            </w:pPr>
            <w:r w:rsidRPr="00264D5D">
              <w:t xml:space="preserve">Состав элемента представлен в таблице </w:t>
            </w:r>
            <w:r w:rsidRPr="00264D5D">
              <w:rPr>
                <w:b/>
              </w:rPr>
              <w:fldChar w:fldCharType="begin"/>
            </w:r>
            <w:r w:rsidRPr="00264D5D">
              <w:rPr>
                <w:b/>
              </w:rPr>
              <w:instrText xml:space="preserve"> REF _Ref503526115 \h  \* MERGEFORMAT </w:instrText>
            </w:r>
            <w:r w:rsidRPr="00264D5D">
              <w:rPr>
                <w:b/>
              </w:rPr>
            </w:r>
            <w:r w:rsidRPr="00264D5D">
              <w:rPr>
                <w:b/>
              </w:rPr>
              <w:fldChar w:fldCharType="separate"/>
            </w:r>
            <w:r w:rsidR="008D797C" w:rsidRPr="008D797C">
              <w:rPr>
                <w:b/>
              </w:rPr>
              <w:t>57</w:t>
            </w:r>
            <w:r w:rsidRPr="00264D5D">
              <w:rPr>
                <w:b/>
              </w:rPr>
              <w:fldChar w:fldCharType="end"/>
            </w:r>
          </w:p>
        </w:tc>
      </w:tr>
      <w:tr w:rsidR="00AD1F54" w:rsidRPr="00264D5D" w14:paraId="18699399"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2" w:type="pct"/>
          </w:tcPr>
          <w:p w14:paraId="5FDE87FB" w14:textId="77777777" w:rsidR="00AD1F54" w:rsidRPr="00264D5D" w:rsidRDefault="00941227">
            <w:pPr>
              <w:pStyle w:val="GOSTTablenorm"/>
              <w:rPr>
                <w:szCs w:val="22"/>
              </w:rPr>
            </w:pPr>
            <w:r w:rsidRPr="00264D5D">
              <w:rPr>
                <w:szCs w:val="22"/>
              </w:rPr>
              <w:lastRenderedPageBreak/>
              <w:t>Назначение платежа</w:t>
            </w:r>
          </w:p>
        </w:tc>
        <w:tc>
          <w:tcPr>
            <w:tcW w:w="884" w:type="pct"/>
          </w:tcPr>
          <w:p w14:paraId="77139294" w14:textId="77777777" w:rsidR="00AD1F54" w:rsidRPr="00264D5D" w:rsidRDefault="00941227">
            <w:pPr>
              <w:pStyle w:val="GOSTTablenorm"/>
              <w:rPr>
                <w:szCs w:val="22"/>
              </w:rPr>
            </w:pPr>
            <w:r w:rsidRPr="00264D5D">
              <w:rPr>
                <w:szCs w:val="22"/>
              </w:rPr>
              <w:t>Prps</w:t>
            </w:r>
          </w:p>
        </w:tc>
        <w:tc>
          <w:tcPr>
            <w:tcW w:w="294" w:type="pct"/>
          </w:tcPr>
          <w:p w14:paraId="44EB3545" w14:textId="77777777" w:rsidR="00AD1F54" w:rsidRPr="00264D5D" w:rsidRDefault="00941227">
            <w:pPr>
              <w:pStyle w:val="GOSTTablenorm"/>
              <w:jc w:val="center"/>
              <w:rPr>
                <w:szCs w:val="22"/>
              </w:rPr>
            </w:pPr>
            <w:r w:rsidRPr="00264D5D">
              <w:rPr>
                <w:szCs w:val="22"/>
              </w:rPr>
              <w:t>П</w:t>
            </w:r>
          </w:p>
        </w:tc>
        <w:tc>
          <w:tcPr>
            <w:tcW w:w="589" w:type="pct"/>
          </w:tcPr>
          <w:p w14:paraId="0E677B80" w14:textId="77777777" w:rsidR="00AD1F54" w:rsidRPr="00264D5D" w:rsidRDefault="00941227">
            <w:pPr>
              <w:pStyle w:val="GOSTTablenorm"/>
              <w:rPr>
                <w:szCs w:val="22"/>
              </w:rPr>
            </w:pPr>
            <w:r w:rsidRPr="00264D5D">
              <w:rPr>
                <w:szCs w:val="22"/>
              </w:rPr>
              <w:t>Т(1-210)</w:t>
            </w:r>
          </w:p>
        </w:tc>
        <w:tc>
          <w:tcPr>
            <w:tcW w:w="294" w:type="pct"/>
          </w:tcPr>
          <w:p w14:paraId="32F99267" w14:textId="77777777" w:rsidR="00AD1F54" w:rsidRPr="00264D5D" w:rsidRDefault="00941227">
            <w:pPr>
              <w:pStyle w:val="GOSTTablenorm"/>
              <w:jc w:val="center"/>
              <w:rPr>
                <w:szCs w:val="22"/>
              </w:rPr>
            </w:pPr>
            <w:r w:rsidRPr="00264D5D">
              <w:rPr>
                <w:szCs w:val="22"/>
              </w:rPr>
              <w:t>О</w:t>
            </w:r>
          </w:p>
        </w:tc>
        <w:tc>
          <w:tcPr>
            <w:tcW w:w="2058" w:type="pct"/>
          </w:tcPr>
          <w:p w14:paraId="2B723609" w14:textId="77777777" w:rsidR="00AD1F54" w:rsidRPr="00264D5D" w:rsidRDefault="00941227">
            <w:pPr>
              <w:pStyle w:val="GOSTTablenorm"/>
              <w:rPr>
                <w:szCs w:val="22"/>
              </w:rPr>
            </w:pPr>
            <w:r w:rsidRPr="00264D5D">
              <w:rPr>
                <w:szCs w:val="22"/>
              </w:rPr>
              <w:t>Указывается назначение платежа. При необходимости указываются данные первичных документов, на основании которых осуществляется кассовый расход (вид, номер, дата).</w:t>
            </w:r>
          </w:p>
          <w:p w14:paraId="578FCF16" w14:textId="77777777" w:rsidR="00AD1F54" w:rsidRPr="00264D5D" w:rsidRDefault="00941227">
            <w:pPr>
              <w:rPr>
                <w:sz w:val="22"/>
                <w:szCs w:val="22"/>
              </w:rPr>
            </w:pPr>
            <w:r w:rsidRPr="00264D5D">
              <w:rPr>
                <w:sz w:val="22"/>
                <w:szCs w:val="22"/>
              </w:rPr>
              <w:t>Для осуществления внебанковской операции:</w:t>
            </w:r>
          </w:p>
          <w:p w14:paraId="43085456" w14:textId="77777777" w:rsidR="00AD1F54" w:rsidRPr="00264D5D" w:rsidRDefault="00941227" w:rsidP="00101F62">
            <w:pPr>
              <w:pStyle w:val="af5"/>
              <w:numPr>
                <w:ilvl w:val="0"/>
                <w:numId w:val="135"/>
              </w:numPr>
              <w:spacing w:before="60" w:after="60"/>
              <w:ind w:left="284" w:hanging="227"/>
              <w:contextualSpacing/>
              <w:jc w:val="both"/>
              <w:rPr>
                <w:sz w:val="22"/>
                <w:szCs w:val="22"/>
              </w:rPr>
            </w:pPr>
            <w:r w:rsidRPr="00264D5D">
              <w:rPr>
                <w:sz w:val="22"/>
                <w:szCs w:val="22"/>
              </w:rPr>
              <w:t>уточнения БО по ранее произведенным кассовым выплатам в скобках перед текстовым назначением платежа указывается 16 или 19-значный учетный номер БО, по которому должно быть произведено восстановление кассовых выплат;</w:t>
            </w:r>
          </w:p>
          <w:p w14:paraId="31983CD0" w14:textId="77777777" w:rsidR="00AD1F54" w:rsidRPr="00264D5D" w:rsidRDefault="00941227" w:rsidP="00101F62">
            <w:pPr>
              <w:pStyle w:val="af5"/>
              <w:numPr>
                <w:ilvl w:val="0"/>
                <w:numId w:val="135"/>
              </w:numPr>
              <w:spacing w:before="60" w:after="60"/>
              <w:ind w:left="284" w:hanging="227"/>
              <w:contextualSpacing/>
              <w:jc w:val="both"/>
              <w:rPr>
                <w:szCs w:val="22"/>
              </w:rPr>
            </w:pPr>
            <w:r w:rsidRPr="00264D5D">
              <w:rPr>
                <w:sz w:val="22"/>
                <w:szCs w:val="22"/>
              </w:rPr>
              <w:t>уточнения кода ОКС (ОКВ), КМИ по ранее произведенным кассовым выплатам перед текстом назначения платежа после признака «ОКС», «ОКВ» или «КМИ» без пробелов и разделителей указывается уникальный код объекта капитального строительства или объекта недвижимости, код мероприятия по информатизации, по которому должно быть произведено восстановление кассовых выплат.</w:t>
            </w:r>
          </w:p>
          <w:p w14:paraId="3861BBAC" w14:textId="77777777" w:rsidR="00AD1F54" w:rsidRPr="00264D5D" w:rsidRDefault="00941227">
            <w:pPr>
              <w:pStyle w:val="GOSTTablenorm"/>
            </w:pPr>
            <w:r w:rsidRPr="00264D5D">
              <w:rPr>
                <w:szCs w:val="22"/>
              </w:rPr>
              <w:t>В документах, предусматривающих перечисление средств гражданам, которые являются должниками по исполнительному документу, указывается сумма, взысканная по исполнительному документу, в соответствии с частью 3 статьи 98 ФЗ от 02.10.2007 № 229-ФЗ и письмом Банка Росс</w:t>
            </w:r>
            <w:r w:rsidR="00BA58C1" w:rsidRPr="00264D5D">
              <w:rPr>
                <w:szCs w:val="22"/>
              </w:rPr>
              <w:t>ии от 27.02.2020 № ИН-05-45/10</w:t>
            </w:r>
            <w:r w:rsidRPr="00264D5D">
              <w:t xml:space="preserve"> </w:t>
            </w:r>
          </w:p>
        </w:tc>
      </w:tr>
      <w:tr w:rsidR="00AD1F54" w:rsidRPr="00264D5D" w14:paraId="18D10CD6" w14:textId="77777777" w:rsidTr="00AD1F54">
        <w:trPr>
          <w:cnfStyle w:val="000000100000" w:firstRow="0" w:lastRow="0" w:firstColumn="0" w:lastColumn="0" w:oddVBand="0" w:evenVBand="0" w:oddHBand="1" w:evenHBand="0" w:firstRowFirstColumn="0" w:firstRowLastColumn="0" w:lastRowFirstColumn="0" w:lastRowLastColumn="0"/>
          <w:trHeight w:val="279"/>
        </w:trPr>
        <w:tc>
          <w:tcPr>
            <w:tcW w:w="882" w:type="pct"/>
          </w:tcPr>
          <w:p w14:paraId="25500D74" w14:textId="77777777" w:rsidR="00AD1F54" w:rsidRPr="00264D5D" w:rsidRDefault="00941227">
            <w:pPr>
              <w:pStyle w:val="GOSTTablenorm"/>
            </w:pPr>
            <w:r w:rsidRPr="00264D5D">
              <w:t>Тип платежа</w:t>
            </w:r>
          </w:p>
        </w:tc>
        <w:tc>
          <w:tcPr>
            <w:tcW w:w="884" w:type="pct"/>
          </w:tcPr>
          <w:p w14:paraId="0B20EFD0" w14:textId="77777777" w:rsidR="00AD1F54" w:rsidRPr="00264D5D" w:rsidRDefault="00941227">
            <w:pPr>
              <w:pStyle w:val="GOSTTablenorm"/>
            </w:pPr>
            <w:r w:rsidRPr="00264D5D">
              <w:t>Tp</w:t>
            </w:r>
          </w:p>
        </w:tc>
        <w:tc>
          <w:tcPr>
            <w:tcW w:w="294" w:type="pct"/>
          </w:tcPr>
          <w:p w14:paraId="099CBBC8" w14:textId="77777777" w:rsidR="00AD1F54" w:rsidRPr="00264D5D" w:rsidRDefault="00941227">
            <w:pPr>
              <w:pStyle w:val="GOSTTablenorm"/>
              <w:jc w:val="center"/>
            </w:pPr>
            <w:r w:rsidRPr="00264D5D">
              <w:t>П</w:t>
            </w:r>
          </w:p>
        </w:tc>
        <w:tc>
          <w:tcPr>
            <w:tcW w:w="589" w:type="pct"/>
          </w:tcPr>
          <w:p w14:paraId="5CDCAA7E" w14:textId="77777777" w:rsidR="00AD1F54" w:rsidRPr="00264D5D" w:rsidRDefault="00941227">
            <w:pPr>
              <w:pStyle w:val="GOSTTablenorm"/>
            </w:pPr>
            <w:r w:rsidRPr="00264D5D">
              <w:t>Т(1-2)</w:t>
            </w:r>
          </w:p>
        </w:tc>
        <w:tc>
          <w:tcPr>
            <w:tcW w:w="294" w:type="pct"/>
          </w:tcPr>
          <w:p w14:paraId="18857E84" w14:textId="77777777" w:rsidR="00AD1F54" w:rsidRPr="00264D5D" w:rsidRDefault="00941227">
            <w:pPr>
              <w:pStyle w:val="GOSTTablenorm"/>
              <w:jc w:val="center"/>
            </w:pPr>
            <w:r w:rsidRPr="00264D5D">
              <w:t>Н</w:t>
            </w:r>
          </w:p>
        </w:tc>
        <w:tc>
          <w:tcPr>
            <w:tcW w:w="2058" w:type="pct"/>
          </w:tcPr>
          <w:p w14:paraId="54534027" w14:textId="77777777" w:rsidR="00AD1F54" w:rsidRPr="00264D5D" w:rsidRDefault="00BA58C1">
            <w:pPr>
              <w:pStyle w:val="GOSTTablenorm"/>
            </w:pPr>
            <w:r w:rsidRPr="00264D5D">
              <w:t>Указывается тип платежа</w:t>
            </w:r>
          </w:p>
        </w:tc>
      </w:tr>
    </w:tbl>
    <w:p w14:paraId="26E61A1A" w14:textId="77777777" w:rsidR="00AD1F54" w:rsidRPr="00264D5D" w:rsidRDefault="00941227">
      <w:pPr>
        <w:pStyle w:val="31"/>
      </w:pPr>
      <w:bookmarkStart w:id="796" w:name="_Toc528144440"/>
      <w:bookmarkStart w:id="797" w:name="_Toc528584425"/>
      <w:bookmarkStart w:id="798" w:name="_Toc508712664"/>
      <w:bookmarkStart w:id="799" w:name="_Toc18509227"/>
      <w:bookmarkEnd w:id="796"/>
      <w:bookmarkEnd w:id="797"/>
      <w:r w:rsidRPr="00264D5D">
        <w:t xml:space="preserve"> </w:t>
      </w:r>
      <w:bookmarkStart w:id="800" w:name="_Toc219309494"/>
      <w:r w:rsidRPr="00264D5D">
        <w:t>Описание комплексного типа «tMSC_AdvnPySgnComplex»</w:t>
      </w:r>
      <w:bookmarkEnd w:id="798"/>
      <w:bookmarkEnd w:id="799"/>
      <w:bookmarkEnd w:id="800"/>
    </w:p>
    <w:p w14:paraId="64841F4D" w14:textId="77777777" w:rsidR="00AD1F54" w:rsidRPr="00264D5D" w:rsidRDefault="00941227">
      <w:pPr>
        <w:pStyle w:val="GOSTNormal"/>
      </w:pPr>
      <w:r w:rsidRPr="00264D5D">
        <w:t>Описание комплексного типа «tMSC_AdvnPySgnComplex» блока «Признак авансового платежа».</w:t>
      </w:r>
    </w:p>
    <w:p w14:paraId="3BB1AE3B" w14:textId="79546292" w:rsidR="00AD1F54" w:rsidRPr="00264D5D" w:rsidRDefault="00941227">
      <w:pPr>
        <w:pStyle w:val="GOSTNameTable"/>
        <w:numPr>
          <w:ilvl w:val="0"/>
          <w:numId w:val="2"/>
        </w:numPr>
        <w:ind w:left="425" w:hanging="357"/>
      </w:pPr>
      <w:r w:rsidRPr="00264D5D">
        <w:lastRenderedPageBreak/>
        <w:fldChar w:fldCharType="begin"/>
      </w:r>
      <w:r w:rsidRPr="00264D5D">
        <w:instrText>SEQ Таблица \* ARABIC</w:instrText>
      </w:r>
      <w:r w:rsidRPr="00264D5D">
        <w:fldChar w:fldCharType="separate"/>
      </w:r>
      <w:bookmarkStart w:id="801" w:name="_Ref503525993"/>
      <w:bookmarkStart w:id="802" w:name="_Toc18509515"/>
      <w:bookmarkStart w:id="803" w:name="_Toc219309086"/>
      <w:r w:rsidR="008D797C">
        <w:rPr>
          <w:noProof/>
        </w:rPr>
        <w:t>56</w:t>
      </w:r>
      <w:bookmarkEnd w:id="801"/>
      <w:r w:rsidRPr="00264D5D">
        <w:fldChar w:fldCharType="end"/>
      </w:r>
      <w:r w:rsidRPr="00264D5D">
        <w:rPr>
          <w:rFonts w:eastAsia="Calibri"/>
          <w:szCs w:val="24"/>
        </w:rPr>
        <w:t xml:space="preserve"> –</w:t>
      </w:r>
      <w:r w:rsidRPr="00264D5D">
        <w:t xml:space="preserve"> Описание комплексного типа «tMSC_AdvnPySgnComplex»</w:t>
      </w:r>
      <w:bookmarkEnd w:id="802"/>
      <w:bookmarkEnd w:id="803"/>
    </w:p>
    <w:tbl>
      <w:tblPr>
        <w:tblStyle w:val="GOSTTable"/>
        <w:tblW w:w="5000" w:type="pct"/>
        <w:tblLayout w:type="fixed"/>
        <w:tblLook w:val="04A0" w:firstRow="1" w:lastRow="0" w:firstColumn="1" w:lastColumn="0" w:noHBand="0" w:noVBand="1"/>
      </w:tblPr>
      <w:tblGrid>
        <w:gridCol w:w="1704"/>
        <w:gridCol w:w="1702"/>
        <w:gridCol w:w="568"/>
        <w:gridCol w:w="1135"/>
        <w:gridCol w:w="568"/>
        <w:gridCol w:w="3973"/>
      </w:tblGrid>
      <w:tr w:rsidR="00AD1F54" w:rsidRPr="00264D5D" w14:paraId="510CEBDB"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3" w:type="dxa"/>
          </w:tcPr>
          <w:p w14:paraId="2A75DE6F" w14:textId="77777777" w:rsidR="00AD1F54" w:rsidRPr="00264D5D" w:rsidRDefault="00941227">
            <w:pPr>
              <w:pStyle w:val="ASFKTableHead"/>
            </w:pPr>
            <w:r w:rsidRPr="00264D5D">
              <w:t>Наименование элемента</w:t>
            </w:r>
          </w:p>
        </w:tc>
        <w:tc>
          <w:tcPr>
            <w:tcW w:w="1701" w:type="dxa"/>
          </w:tcPr>
          <w:p w14:paraId="06E3095E" w14:textId="77777777" w:rsidR="00AD1F54" w:rsidRPr="00264D5D" w:rsidRDefault="00941227">
            <w:pPr>
              <w:pStyle w:val="ASFKTableHead"/>
            </w:pPr>
            <w:r w:rsidRPr="00264D5D">
              <w:t>Сокращенное наименование (код) элемента</w:t>
            </w:r>
          </w:p>
        </w:tc>
        <w:tc>
          <w:tcPr>
            <w:tcW w:w="567" w:type="dxa"/>
          </w:tcPr>
          <w:p w14:paraId="4EEB01BC" w14:textId="77777777" w:rsidR="00AD1F54" w:rsidRPr="00264D5D" w:rsidRDefault="00941227">
            <w:pPr>
              <w:pStyle w:val="ASFKTableHead"/>
            </w:pPr>
            <w:r w:rsidRPr="00264D5D">
              <w:t>Тип</w:t>
            </w:r>
          </w:p>
        </w:tc>
        <w:tc>
          <w:tcPr>
            <w:tcW w:w="1134" w:type="dxa"/>
          </w:tcPr>
          <w:p w14:paraId="28AE780B" w14:textId="77777777" w:rsidR="00AD1F54" w:rsidRPr="00264D5D" w:rsidRDefault="00941227">
            <w:pPr>
              <w:pStyle w:val="ASFKTableHead"/>
            </w:pPr>
            <w:r w:rsidRPr="00264D5D">
              <w:t>Формат элемента</w:t>
            </w:r>
          </w:p>
        </w:tc>
        <w:tc>
          <w:tcPr>
            <w:tcW w:w="567" w:type="dxa"/>
          </w:tcPr>
          <w:p w14:paraId="4840034E" w14:textId="77777777" w:rsidR="00AD1F54" w:rsidRPr="00264D5D" w:rsidRDefault="00941227">
            <w:pPr>
              <w:pStyle w:val="ASFKTableHead"/>
            </w:pPr>
            <w:r w:rsidRPr="00264D5D">
              <w:t>Обязательность</w:t>
            </w:r>
          </w:p>
        </w:tc>
        <w:tc>
          <w:tcPr>
            <w:tcW w:w="3969" w:type="dxa"/>
          </w:tcPr>
          <w:p w14:paraId="5ACBA1D9" w14:textId="77777777" w:rsidR="00AD1F54" w:rsidRPr="00264D5D" w:rsidRDefault="00941227">
            <w:pPr>
              <w:pStyle w:val="ASFKTableHead"/>
            </w:pPr>
            <w:r w:rsidRPr="00264D5D">
              <w:t>Дополнительная информация</w:t>
            </w:r>
          </w:p>
        </w:tc>
      </w:tr>
      <w:tr w:rsidR="00AD1F54" w:rsidRPr="00264D5D" w14:paraId="210D4EB5" w14:textId="77777777" w:rsidTr="00AD1F54">
        <w:trPr>
          <w:cnfStyle w:val="000000100000" w:firstRow="0" w:lastRow="0" w:firstColumn="0" w:lastColumn="0" w:oddVBand="0" w:evenVBand="0" w:oddHBand="1" w:evenHBand="0" w:firstRowFirstColumn="0" w:firstRowLastColumn="0" w:lastRowFirstColumn="0" w:lastRowLastColumn="0"/>
        </w:trPr>
        <w:tc>
          <w:tcPr>
            <w:tcW w:w="1703" w:type="dxa"/>
          </w:tcPr>
          <w:p w14:paraId="77C10B38" w14:textId="77777777" w:rsidR="00AD1F54" w:rsidRPr="00264D5D" w:rsidRDefault="00941227">
            <w:pPr>
              <w:pStyle w:val="GOSTTablenorm"/>
              <w:rPr>
                <w:szCs w:val="22"/>
              </w:rPr>
            </w:pPr>
            <w:r w:rsidRPr="00264D5D">
              <w:rPr>
                <w:szCs w:val="22"/>
              </w:rPr>
              <w:t>Код признака авансового платежа</w:t>
            </w:r>
          </w:p>
        </w:tc>
        <w:tc>
          <w:tcPr>
            <w:tcW w:w="1701" w:type="dxa"/>
          </w:tcPr>
          <w:p w14:paraId="43D85B4E" w14:textId="77777777" w:rsidR="00AD1F54" w:rsidRPr="00264D5D" w:rsidRDefault="00941227">
            <w:pPr>
              <w:pStyle w:val="GOSTTablenorm"/>
              <w:rPr>
                <w:szCs w:val="22"/>
              </w:rPr>
            </w:pPr>
            <w:r w:rsidRPr="00264D5D">
              <w:rPr>
                <w:szCs w:val="22"/>
              </w:rPr>
              <w:t>сode</w:t>
            </w:r>
          </w:p>
        </w:tc>
        <w:tc>
          <w:tcPr>
            <w:tcW w:w="567" w:type="dxa"/>
          </w:tcPr>
          <w:p w14:paraId="5E3391D5" w14:textId="77777777" w:rsidR="00AD1F54" w:rsidRPr="00264D5D" w:rsidRDefault="00941227">
            <w:pPr>
              <w:pStyle w:val="GOSTTablenorm"/>
              <w:jc w:val="center"/>
              <w:rPr>
                <w:szCs w:val="22"/>
              </w:rPr>
            </w:pPr>
            <w:r w:rsidRPr="00264D5D">
              <w:rPr>
                <w:szCs w:val="22"/>
              </w:rPr>
              <w:t>А</w:t>
            </w:r>
          </w:p>
        </w:tc>
        <w:tc>
          <w:tcPr>
            <w:tcW w:w="1134" w:type="dxa"/>
          </w:tcPr>
          <w:p w14:paraId="7B6E71B1" w14:textId="77777777" w:rsidR="00AD1F54" w:rsidRPr="00264D5D" w:rsidRDefault="00941227">
            <w:pPr>
              <w:pStyle w:val="GOSTTablenorm"/>
              <w:rPr>
                <w:szCs w:val="22"/>
              </w:rPr>
            </w:pPr>
            <w:r w:rsidRPr="00264D5D">
              <w:rPr>
                <w:szCs w:val="22"/>
              </w:rPr>
              <w:t>-</w:t>
            </w:r>
          </w:p>
        </w:tc>
        <w:tc>
          <w:tcPr>
            <w:tcW w:w="567" w:type="dxa"/>
          </w:tcPr>
          <w:p w14:paraId="570C80EB" w14:textId="77777777" w:rsidR="00AD1F54" w:rsidRPr="00264D5D" w:rsidRDefault="00941227">
            <w:pPr>
              <w:pStyle w:val="GOSTTablenorm"/>
              <w:jc w:val="center"/>
              <w:rPr>
                <w:szCs w:val="22"/>
              </w:rPr>
            </w:pPr>
            <w:r w:rsidRPr="00264D5D">
              <w:rPr>
                <w:szCs w:val="22"/>
              </w:rPr>
              <w:t>О</w:t>
            </w:r>
          </w:p>
        </w:tc>
        <w:tc>
          <w:tcPr>
            <w:tcW w:w="3969" w:type="dxa"/>
          </w:tcPr>
          <w:p w14:paraId="15BAADB0" w14:textId="77777777" w:rsidR="00AD1F54" w:rsidRPr="00264D5D" w:rsidRDefault="00941227">
            <w:pPr>
              <w:pStyle w:val="GOSTTableNum"/>
              <w:ind w:firstLine="0"/>
              <w:rPr>
                <w:rFonts w:cs="Times New Roman"/>
                <w:szCs w:val="22"/>
              </w:rPr>
            </w:pPr>
            <w:r w:rsidRPr="00264D5D">
              <w:rPr>
                <w:rFonts w:cs="Times New Roman"/>
                <w:szCs w:val="22"/>
              </w:rPr>
              <w:t>Допустимые значения:</w:t>
            </w:r>
          </w:p>
          <w:p w14:paraId="35A5E525" w14:textId="77777777" w:rsidR="00AD1F54" w:rsidRPr="00264D5D" w:rsidRDefault="00941227" w:rsidP="00E7460C">
            <w:pPr>
              <w:pStyle w:val="GOSTTablenorm"/>
              <w:numPr>
                <w:ilvl w:val="0"/>
                <w:numId w:val="79"/>
              </w:numPr>
              <w:ind w:left="284" w:hanging="227"/>
            </w:pPr>
            <w:r w:rsidRPr="00264D5D">
              <w:t>0 – Платеж не является авансовым;</w:t>
            </w:r>
          </w:p>
          <w:p w14:paraId="38549CBA" w14:textId="77777777" w:rsidR="00AD1F54" w:rsidRPr="00264D5D" w:rsidRDefault="00BA58C1" w:rsidP="00E7460C">
            <w:pPr>
              <w:pStyle w:val="GOSTTablenorm"/>
              <w:numPr>
                <w:ilvl w:val="0"/>
                <w:numId w:val="79"/>
              </w:numPr>
              <w:ind w:left="284" w:hanging="227"/>
              <w:rPr>
                <w:szCs w:val="22"/>
              </w:rPr>
            </w:pPr>
            <w:r w:rsidRPr="00264D5D">
              <w:t>1 – Платеж является авансовым</w:t>
            </w:r>
          </w:p>
        </w:tc>
      </w:tr>
      <w:tr w:rsidR="00AD1F54" w:rsidRPr="00264D5D" w14:paraId="1FFE0CC5" w14:textId="77777777" w:rsidTr="00AD1F54">
        <w:trPr>
          <w:cnfStyle w:val="000000010000" w:firstRow="0" w:lastRow="0" w:firstColumn="0" w:lastColumn="0" w:oddVBand="0" w:evenVBand="0" w:oddHBand="0" w:evenHBand="1" w:firstRowFirstColumn="0" w:firstRowLastColumn="0" w:lastRowFirstColumn="0" w:lastRowLastColumn="0"/>
        </w:trPr>
        <w:tc>
          <w:tcPr>
            <w:tcW w:w="1703" w:type="dxa"/>
          </w:tcPr>
          <w:p w14:paraId="16914601" w14:textId="77777777" w:rsidR="00AD1F54" w:rsidRPr="00264D5D" w:rsidRDefault="00941227">
            <w:pPr>
              <w:pStyle w:val="GOSTTablenorm"/>
            </w:pPr>
            <w:r w:rsidRPr="00264D5D">
              <w:t>Значение признака авансового платежа</w:t>
            </w:r>
          </w:p>
        </w:tc>
        <w:tc>
          <w:tcPr>
            <w:tcW w:w="1701" w:type="dxa"/>
          </w:tcPr>
          <w:p w14:paraId="5E375C71" w14:textId="77777777" w:rsidR="00AD1F54" w:rsidRPr="00264D5D" w:rsidRDefault="00941227">
            <w:pPr>
              <w:pStyle w:val="GOSTTablenorm"/>
              <w:rPr>
                <w:szCs w:val="22"/>
              </w:rPr>
            </w:pPr>
            <w:r w:rsidRPr="00264D5D">
              <w:rPr>
                <w:szCs w:val="22"/>
              </w:rPr>
              <w:t>value</w:t>
            </w:r>
          </w:p>
        </w:tc>
        <w:tc>
          <w:tcPr>
            <w:tcW w:w="567" w:type="dxa"/>
          </w:tcPr>
          <w:p w14:paraId="0CE25137" w14:textId="77777777" w:rsidR="00AD1F54" w:rsidRPr="00264D5D" w:rsidRDefault="00941227">
            <w:pPr>
              <w:pStyle w:val="GOSTTablenorm"/>
              <w:jc w:val="center"/>
              <w:rPr>
                <w:szCs w:val="22"/>
              </w:rPr>
            </w:pPr>
            <w:r w:rsidRPr="00264D5D">
              <w:rPr>
                <w:szCs w:val="22"/>
              </w:rPr>
              <w:t>А</w:t>
            </w:r>
          </w:p>
        </w:tc>
        <w:tc>
          <w:tcPr>
            <w:tcW w:w="1134" w:type="dxa"/>
          </w:tcPr>
          <w:p w14:paraId="61526F9D" w14:textId="77777777" w:rsidR="00AD1F54" w:rsidRPr="00264D5D" w:rsidRDefault="00941227">
            <w:pPr>
              <w:pStyle w:val="GOSTTablenorm"/>
              <w:rPr>
                <w:szCs w:val="22"/>
              </w:rPr>
            </w:pPr>
            <w:r w:rsidRPr="00264D5D">
              <w:rPr>
                <w:szCs w:val="22"/>
              </w:rPr>
              <w:t>-</w:t>
            </w:r>
          </w:p>
        </w:tc>
        <w:tc>
          <w:tcPr>
            <w:tcW w:w="567" w:type="dxa"/>
          </w:tcPr>
          <w:p w14:paraId="3290C290" w14:textId="77777777" w:rsidR="00AD1F54" w:rsidRPr="00264D5D" w:rsidRDefault="00941227">
            <w:pPr>
              <w:pStyle w:val="GOSTTablenorm"/>
              <w:jc w:val="center"/>
              <w:rPr>
                <w:szCs w:val="22"/>
              </w:rPr>
            </w:pPr>
            <w:r w:rsidRPr="00264D5D">
              <w:rPr>
                <w:szCs w:val="22"/>
              </w:rPr>
              <w:t>Н</w:t>
            </w:r>
          </w:p>
        </w:tc>
        <w:tc>
          <w:tcPr>
            <w:tcW w:w="3969" w:type="dxa"/>
          </w:tcPr>
          <w:p w14:paraId="7684D0B2" w14:textId="77777777" w:rsidR="00AD1F54" w:rsidRPr="00264D5D" w:rsidRDefault="00941227">
            <w:pPr>
              <w:pStyle w:val="GOSTTableNum"/>
              <w:ind w:firstLine="0"/>
            </w:pPr>
            <w:r w:rsidRPr="00264D5D">
              <w:t>Соответствующие допустимые значения:</w:t>
            </w:r>
          </w:p>
          <w:p w14:paraId="60473A51" w14:textId="77777777" w:rsidR="00AD1F54" w:rsidRPr="00264D5D" w:rsidRDefault="00941227" w:rsidP="00E7460C">
            <w:pPr>
              <w:pStyle w:val="GOSTTablenorm"/>
              <w:numPr>
                <w:ilvl w:val="0"/>
                <w:numId w:val="79"/>
              </w:numPr>
              <w:ind w:left="284" w:hanging="227"/>
            </w:pPr>
            <w:r w:rsidRPr="00264D5D">
              <w:t xml:space="preserve"> Платеж не является авансовым;</w:t>
            </w:r>
          </w:p>
          <w:p w14:paraId="279526CB" w14:textId="77777777" w:rsidR="00AD1F54" w:rsidRPr="00264D5D" w:rsidRDefault="00BA58C1" w:rsidP="00E7460C">
            <w:pPr>
              <w:pStyle w:val="GOSTTablenorm"/>
              <w:numPr>
                <w:ilvl w:val="0"/>
                <w:numId w:val="79"/>
              </w:numPr>
              <w:ind w:left="284" w:hanging="227"/>
              <w:rPr>
                <w:szCs w:val="22"/>
              </w:rPr>
            </w:pPr>
            <w:r w:rsidRPr="00264D5D">
              <w:t xml:space="preserve"> Платеж является авансовым</w:t>
            </w:r>
          </w:p>
        </w:tc>
      </w:tr>
    </w:tbl>
    <w:p w14:paraId="703C9EEE" w14:textId="77777777" w:rsidR="00AD1F54" w:rsidRPr="00264D5D" w:rsidRDefault="00941227">
      <w:pPr>
        <w:pStyle w:val="31"/>
      </w:pPr>
      <w:bookmarkStart w:id="804" w:name="_Toc508712665"/>
      <w:bookmarkStart w:id="805" w:name="_Toc18509228"/>
      <w:r w:rsidRPr="00264D5D">
        <w:t xml:space="preserve"> </w:t>
      </w:r>
      <w:bookmarkStart w:id="806" w:name="_Toc219309495"/>
      <w:r w:rsidRPr="00264D5D">
        <w:t>Описание комплексного типа «tMSC_ShrtPyKndComplex»</w:t>
      </w:r>
      <w:bookmarkEnd w:id="804"/>
      <w:bookmarkEnd w:id="805"/>
      <w:bookmarkEnd w:id="806"/>
    </w:p>
    <w:p w14:paraId="60AA0798" w14:textId="77777777" w:rsidR="00AD1F54" w:rsidRPr="00264D5D" w:rsidRDefault="00941227">
      <w:pPr>
        <w:pStyle w:val="GOSTNormal"/>
      </w:pPr>
      <w:r w:rsidRPr="00264D5D">
        <w:t>Описание комплексного типа «tMSC_ShrtPyKndComplex» блока «Вид платежа».</w:t>
      </w:r>
    </w:p>
    <w:p w14:paraId="75F24B3A" w14:textId="7E1CEB97"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807" w:name="_Ref503526115"/>
      <w:bookmarkStart w:id="808" w:name="_Toc18509516"/>
      <w:bookmarkStart w:id="809" w:name="_Toc219309087"/>
      <w:r w:rsidR="008D797C">
        <w:rPr>
          <w:noProof/>
        </w:rPr>
        <w:t>57</w:t>
      </w:r>
      <w:bookmarkEnd w:id="807"/>
      <w:r w:rsidRPr="00264D5D">
        <w:fldChar w:fldCharType="end"/>
      </w:r>
      <w:r w:rsidRPr="00264D5D">
        <w:rPr>
          <w:rFonts w:eastAsia="Calibri"/>
          <w:szCs w:val="24"/>
        </w:rPr>
        <w:t xml:space="preserve"> –</w:t>
      </w:r>
      <w:r w:rsidRPr="00264D5D">
        <w:t xml:space="preserve"> Описание комплексного типа «tMSC_ShrtPyKndComplex»</w:t>
      </w:r>
      <w:bookmarkEnd w:id="808"/>
      <w:bookmarkEnd w:id="809"/>
    </w:p>
    <w:tbl>
      <w:tblPr>
        <w:tblStyle w:val="GOSTTable"/>
        <w:tblW w:w="5000" w:type="pct"/>
        <w:tblLayout w:type="fixed"/>
        <w:tblLook w:val="04A0" w:firstRow="1" w:lastRow="0" w:firstColumn="1" w:lastColumn="0" w:noHBand="0" w:noVBand="1"/>
      </w:tblPr>
      <w:tblGrid>
        <w:gridCol w:w="1704"/>
        <w:gridCol w:w="1702"/>
        <w:gridCol w:w="568"/>
        <w:gridCol w:w="1135"/>
        <w:gridCol w:w="568"/>
        <w:gridCol w:w="3973"/>
      </w:tblGrid>
      <w:tr w:rsidR="00AD1F54" w:rsidRPr="00264D5D" w14:paraId="41CFA8B3"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3" w:type="dxa"/>
          </w:tcPr>
          <w:p w14:paraId="6B3CD752" w14:textId="77777777" w:rsidR="00AD1F54" w:rsidRPr="00264D5D" w:rsidRDefault="00941227">
            <w:pPr>
              <w:pStyle w:val="ASFKTableHead"/>
            </w:pPr>
            <w:r w:rsidRPr="00264D5D">
              <w:t>Наименование элемента</w:t>
            </w:r>
          </w:p>
        </w:tc>
        <w:tc>
          <w:tcPr>
            <w:tcW w:w="1701" w:type="dxa"/>
          </w:tcPr>
          <w:p w14:paraId="181D4A52" w14:textId="77777777" w:rsidR="00AD1F54" w:rsidRPr="00264D5D" w:rsidRDefault="00941227">
            <w:pPr>
              <w:pStyle w:val="ASFKTableHead"/>
            </w:pPr>
            <w:r w:rsidRPr="00264D5D">
              <w:t>Сокращенное наименование (код) элемента</w:t>
            </w:r>
          </w:p>
        </w:tc>
        <w:tc>
          <w:tcPr>
            <w:tcW w:w="567" w:type="dxa"/>
          </w:tcPr>
          <w:p w14:paraId="36B8E410" w14:textId="77777777" w:rsidR="00AD1F54" w:rsidRPr="00264D5D" w:rsidRDefault="00941227">
            <w:pPr>
              <w:pStyle w:val="ASFKTableHead"/>
            </w:pPr>
            <w:r w:rsidRPr="00264D5D">
              <w:t>Тип</w:t>
            </w:r>
          </w:p>
        </w:tc>
        <w:tc>
          <w:tcPr>
            <w:tcW w:w="1134" w:type="dxa"/>
          </w:tcPr>
          <w:p w14:paraId="6E11FD18" w14:textId="77777777" w:rsidR="00AD1F54" w:rsidRPr="00264D5D" w:rsidRDefault="00941227">
            <w:pPr>
              <w:pStyle w:val="ASFKTableHead"/>
            </w:pPr>
            <w:r w:rsidRPr="00264D5D">
              <w:t>Формат элемента</w:t>
            </w:r>
          </w:p>
        </w:tc>
        <w:tc>
          <w:tcPr>
            <w:tcW w:w="567" w:type="dxa"/>
          </w:tcPr>
          <w:p w14:paraId="43278644" w14:textId="77777777" w:rsidR="00AD1F54" w:rsidRPr="00264D5D" w:rsidRDefault="00941227">
            <w:pPr>
              <w:pStyle w:val="ASFKTableHead"/>
            </w:pPr>
            <w:r w:rsidRPr="00264D5D">
              <w:t>Обязательность</w:t>
            </w:r>
          </w:p>
        </w:tc>
        <w:tc>
          <w:tcPr>
            <w:tcW w:w="3969" w:type="dxa"/>
          </w:tcPr>
          <w:p w14:paraId="5E56C4FB" w14:textId="77777777" w:rsidR="00AD1F54" w:rsidRPr="00264D5D" w:rsidRDefault="00941227">
            <w:pPr>
              <w:pStyle w:val="ASFKTableHead"/>
            </w:pPr>
            <w:r w:rsidRPr="00264D5D">
              <w:t>Дополнительная информация</w:t>
            </w:r>
          </w:p>
        </w:tc>
      </w:tr>
      <w:tr w:rsidR="00AD1F54" w:rsidRPr="00264D5D" w14:paraId="3A34A3DE" w14:textId="77777777" w:rsidTr="00AD1F54">
        <w:trPr>
          <w:cnfStyle w:val="000000100000" w:firstRow="0" w:lastRow="0" w:firstColumn="0" w:lastColumn="0" w:oddVBand="0" w:evenVBand="0" w:oddHBand="1" w:evenHBand="0" w:firstRowFirstColumn="0" w:firstRowLastColumn="0" w:lastRowFirstColumn="0" w:lastRowLastColumn="0"/>
        </w:trPr>
        <w:tc>
          <w:tcPr>
            <w:tcW w:w="1703" w:type="dxa"/>
          </w:tcPr>
          <w:p w14:paraId="5687BADC" w14:textId="77777777" w:rsidR="00AD1F54" w:rsidRPr="00264D5D" w:rsidRDefault="00941227">
            <w:pPr>
              <w:pStyle w:val="GOSTTablenorm"/>
              <w:rPr>
                <w:szCs w:val="22"/>
              </w:rPr>
            </w:pPr>
            <w:r w:rsidRPr="00264D5D">
              <w:rPr>
                <w:szCs w:val="22"/>
              </w:rPr>
              <w:t>Код вида платежа</w:t>
            </w:r>
          </w:p>
        </w:tc>
        <w:tc>
          <w:tcPr>
            <w:tcW w:w="1701" w:type="dxa"/>
          </w:tcPr>
          <w:p w14:paraId="30186FFA" w14:textId="77777777" w:rsidR="00AD1F54" w:rsidRPr="00264D5D" w:rsidRDefault="00941227">
            <w:pPr>
              <w:pStyle w:val="GOSTTablenorm"/>
              <w:rPr>
                <w:szCs w:val="22"/>
              </w:rPr>
            </w:pPr>
            <w:r w:rsidRPr="00264D5D">
              <w:rPr>
                <w:szCs w:val="22"/>
              </w:rPr>
              <w:t>сode</w:t>
            </w:r>
          </w:p>
        </w:tc>
        <w:tc>
          <w:tcPr>
            <w:tcW w:w="567" w:type="dxa"/>
          </w:tcPr>
          <w:p w14:paraId="348C8C6F" w14:textId="77777777" w:rsidR="00AD1F54" w:rsidRPr="00264D5D" w:rsidRDefault="00941227">
            <w:pPr>
              <w:pStyle w:val="GOSTTablenorm"/>
              <w:jc w:val="center"/>
            </w:pPr>
            <w:r w:rsidRPr="00264D5D">
              <w:t>А</w:t>
            </w:r>
          </w:p>
        </w:tc>
        <w:tc>
          <w:tcPr>
            <w:tcW w:w="1134" w:type="dxa"/>
          </w:tcPr>
          <w:p w14:paraId="0EF44429" w14:textId="77777777" w:rsidR="00AD1F54" w:rsidRPr="00264D5D" w:rsidRDefault="00941227">
            <w:pPr>
              <w:pStyle w:val="GOSTTablenorm"/>
            </w:pPr>
            <w:r w:rsidRPr="00264D5D">
              <w:t>-</w:t>
            </w:r>
          </w:p>
        </w:tc>
        <w:tc>
          <w:tcPr>
            <w:tcW w:w="567" w:type="dxa"/>
          </w:tcPr>
          <w:p w14:paraId="4BE79776" w14:textId="77777777" w:rsidR="00AD1F54" w:rsidRPr="00264D5D" w:rsidRDefault="00941227">
            <w:pPr>
              <w:pStyle w:val="GOSTTablenorm"/>
              <w:jc w:val="center"/>
            </w:pPr>
            <w:r w:rsidRPr="00264D5D">
              <w:t>О</w:t>
            </w:r>
          </w:p>
        </w:tc>
        <w:tc>
          <w:tcPr>
            <w:tcW w:w="3969" w:type="dxa"/>
          </w:tcPr>
          <w:p w14:paraId="0EAA570C" w14:textId="77777777" w:rsidR="00AD1F54" w:rsidRPr="00264D5D" w:rsidRDefault="00941227">
            <w:pPr>
              <w:pStyle w:val="GOSTTablenorm"/>
            </w:pPr>
            <w:r w:rsidRPr="00264D5D">
              <w:t>Допустимые значения:</w:t>
            </w:r>
          </w:p>
          <w:p w14:paraId="37DA1E48" w14:textId="77777777" w:rsidR="00AD1F54" w:rsidRPr="00264D5D" w:rsidRDefault="00941227" w:rsidP="00E7460C">
            <w:pPr>
              <w:pStyle w:val="GOSTTablenorm"/>
              <w:numPr>
                <w:ilvl w:val="0"/>
                <w:numId w:val="80"/>
              </w:numPr>
              <w:ind w:left="284" w:hanging="227"/>
            </w:pPr>
            <w:r w:rsidRPr="00264D5D">
              <w:t>0 – Пусто;</w:t>
            </w:r>
          </w:p>
          <w:p w14:paraId="45C88F77" w14:textId="77777777" w:rsidR="00AD1F54" w:rsidRPr="00264D5D" w:rsidRDefault="00BA58C1" w:rsidP="00E7460C">
            <w:pPr>
              <w:pStyle w:val="GOSTTablenorm"/>
              <w:numPr>
                <w:ilvl w:val="0"/>
                <w:numId w:val="80"/>
              </w:numPr>
              <w:ind w:left="284" w:hanging="227"/>
            </w:pPr>
            <w:r w:rsidRPr="00264D5D">
              <w:t>4 – Срочно</w:t>
            </w:r>
          </w:p>
        </w:tc>
      </w:tr>
      <w:tr w:rsidR="00AD1F54" w:rsidRPr="00264D5D" w14:paraId="24A0C46D" w14:textId="77777777" w:rsidTr="00AD1F54">
        <w:trPr>
          <w:cnfStyle w:val="000000010000" w:firstRow="0" w:lastRow="0" w:firstColumn="0" w:lastColumn="0" w:oddVBand="0" w:evenVBand="0" w:oddHBand="0" w:evenHBand="1" w:firstRowFirstColumn="0" w:firstRowLastColumn="0" w:lastRowFirstColumn="0" w:lastRowLastColumn="0"/>
          <w:trHeight w:val="1029"/>
        </w:trPr>
        <w:tc>
          <w:tcPr>
            <w:tcW w:w="1703" w:type="dxa"/>
          </w:tcPr>
          <w:p w14:paraId="107F5B1C" w14:textId="77777777" w:rsidR="00AD1F54" w:rsidRPr="00264D5D" w:rsidRDefault="00941227">
            <w:pPr>
              <w:pStyle w:val="GOSTTablenorm"/>
              <w:rPr>
                <w:szCs w:val="22"/>
              </w:rPr>
            </w:pPr>
            <w:r w:rsidRPr="00264D5D">
              <w:rPr>
                <w:szCs w:val="22"/>
              </w:rPr>
              <w:t>Значение вида платежа</w:t>
            </w:r>
          </w:p>
        </w:tc>
        <w:tc>
          <w:tcPr>
            <w:tcW w:w="1701" w:type="dxa"/>
          </w:tcPr>
          <w:p w14:paraId="00D70463" w14:textId="77777777" w:rsidR="00AD1F54" w:rsidRPr="00264D5D" w:rsidRDefault="00941227">
            <w:pPr>
              <w:pStyle w:val="GOSTTablenorm"/>
              <w:rPr>
                <w:szCs w:val="22"/>
              </w:rPr>
            </w:pPr>
            <w:r w:rsidRPr="00264D5D">
              <w:rPr>
                <w:szCs w:val="22"/>
              </w:rPr>
              <w:t xml:space="preserve"> value</w:t>
            </w:r>
          </w:p>
        </w:tc>
        <w:tc>
          <w:tcPr>
            <w:tcW w:w="567" w:type="dxa"/>
          </w:tcPr>
          <w:p w14:paraId="53CFFAD1" w14:textId="77777777" w:rsidR="00AD1F54" w:rsidRPr="00264D5D" w:rsidRDefault="00941227">
            <w:pPr>
              <w:pStyle w:val="GOSTTablenorm"/>
              <w:jc w:val="center"/>
            </w:pPr>
            <w:r w:rsidRPr="00264D5D">
              <w:t>А</w:t>
            </w:r>
          </w:p>
        </w:tc>
        <w:tc>
          <w:tcPr>
            <w:tcW w:w="1134" w:type="dxa"/>
          </w:tcPr>
          <w:p w14:paraId="6CD60E3F" w14:textId="77777777" w:rsidR="00AD1F54" w:rsidRPr="00264D5D" w:rsidRDefault="00941227">
            <w:pPr>
              <w:pStyle w:val="GOSTTablenorm"/>
            </w:pPr>
            <w:r w:rsidRPr="00264D5D">
              <w:t>-</w:t>
            </w:r>
          </w:p>
        </w:tc>
        <w:tc>
          <w:tcPr>
            <w:tcW w:w="567" w:type="dxa"/>
          </w:tcPr>
          <w:p w14:paraId="6AED88E3" w14:textId="77777777" w:rsidR="00AD1F54" w:rsidRPr="00264D5D" w:rsidRDefault="00941227">
            <w:pPr>
              <w:pStyle w:val="GOSTTablenorm"/>
              <w:jc w:val="center"/>
            </w:pPr>
            <w:r w:rsidRPr="00264D5D">
              <w:t>Н</w:t>
            </w:r>
          </w:p>
        </w:tc>
        <w:tc>
          <w:tcPr>
            <w:tcW w:w="3969" w:type="dxa"/>
          </w:tcPr>
          <w:p w14:paraId="35A94C00" w14:textId="77777777" w:rsidR="00AD1F54" w:rsidRPr="00264D5D" w:rsidRDefault="00941227">
            <w:pPr>
              <w:pStyle w:val="GOSTTablenorm"/>
            </w:pPr>
            <w:r w:rsidRPr="00264D5D">
              <w:t>Соответствующие допустимые значения:</w:t>
            </w:r>
          </w:p>
          <w:p w14:paraId="3AD56641" w14:textId="77777777" w:rsidR="00AD1F54" w:rsidRPr="00264D5D" w:rsidRDefault="00941227" w:rsidP="00E7460C">
            <w:pPr>
              <w:pStyle w:val="GOSTTablenorm"/>
              <w:numPr>
                <w:ilvl w:val="0"/>
                <w:numId w:val="80"/>
              </w:numPr>
              <w:ind w:left="284" w:hanging="227"/>
            </w:pPr>
            <w:r w:rsidRPr="00264D5D">
              <w:t xml:space="preserve"> Пусто</w:t>
            </w:r>
          </w:p>
          <w:p w14:paraId="27C0A5AE" w14:textId="77777777" w:rsidR="00AD1F54" w:rsidRPr="00264D5D" w:rsidRDefault="00BA58C1" w:rsidP="00E7460C">
            <w:pPr>
              <w:pStyle w:val="GOSTTablenorm"/>
              <w:numPr>
                <w:ilvl w:val="0"/>
                <w:numId w:val="80"/>
              </w:numPr>
              <w:ind w:left="284" w:hanging="227"/>
            </w:pPr>
            <w:r w:rsidRPr="00264D5D">
              <w:t xml:space="preserve"> Срочно</w:t>
            </w:r>
          </w:p>
        </w:tc>
      </w:tr>
    </w:tbl>
    <w:p w14:paraId="469C56A0" w14:textId="77777777" w:rsidR="00AD1F54" w:rsidRPr="00264D5D" w:rsidRDefault="00941227">
      <w:pPr>
        <w:pStyle w:val="31"/>
      </w:pPr>
      <w:bookmarkStart w:id="810" w:name="_Toc508712666"/>
      <w:bookmarkStart w:id="811" w:name="_Toc18509229"/>
      <w:r w:rsidRPr="00264D5D">
        <w:t xml:space="preserve"> </w:t>
      </w:r>
      <w:bookmarkStart w:id="812" w:name="_Toc219309496"/>
      <w:r w:rsidRPr="00264D5D">
        <w:t>Описание комплексного типа «tMSC_Cntrctr»</w:t>
      </w:r>
      <w:bookmarkEnd w:id="810"/>
      <w:bookmarkEnd w:id="811"/>
      <w:bookmarkEnd w:id="812"/>
    </w:p>
    <w:p w14:paraId="76B40779" w14:textId="77777777" w:rsidR="00AD1F54" w:rsidRPr="00264D5D" w:rsidRDefault="00941227">
      <w:pPr>
        <w:pStyle w:val="GOSTNormal"/>
      </w:pPr>
      <w:r w:rsidRPr="00264D5D">
        <w:t>Описание комплексного типа «tMSC_Cntrctr» блока «Контрагент».</w:t>
      </w:r>
    </w:p>
    <w:p w14:paraId="738F9481" w14:textId="4CF057A3"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813" w:name="_Ref503526324"/>
      <w:bookmarkStart w:id="814" w:name="_Toc18509517"/>
      <w:bookmarkStart w:id="815" w:name="_Toc219309088"/>
      <w:r w:rsidR="008D797C">
        <w:rPr>
          <w:noProof/>
        </w:rPr>
        <w:t>58</w:t>
      </w:r>
      <w:bookmarkEnd w:id="813"/>
      <w:r w:rsidRPr="00264D5D">
        <w:fldChar w:fldCharType="end"/>
      </w:r>
      <w:r w:rsidRPr="00264D5D">
        <w:rPr>
          <w:rFonts w:eastAsia="Calibri"/>
          <w:szCs w:val="24"/>
        </w:rPr>
        <w:t xml:space="preserve"> –</w:t>
      </w:r>
      <w:r w:rsidRPr="00264D5D">
        <w:t xml:space="preserve"> Описание комплексного типа «tMSC_Cntrctr»</w:t>
      </w:r>
      <w:bookmarkEnd w:id="814"/>
      <w:bookmarkEnd w:id="815"/>
    </w:p>
    <w:tbl>
      <w:tblPr>
        <w:tblStyle w:val="GOSTTable"/>
        <w:tblW w:w="5002" w:type="pct"/>
        <w:tblLayout w:type="fixed"/>
        <w:tblLook w:val="04A0" w:firstRow="1" w:lastRow="0" w:firstColumn="1" w:lastColumn="0" w:noHBand="0" w:noVBand="1"/>
      </w:tblPr>
      <w:tblGrid>
        <w:gridCol w:w="1704"/>
        <w:gridCol w:w="1707"/>
        <w:gridCol w:w="568"/>
        <w:gridCol w:w="1137"/>
        <w:gridCol w:w="568"/>
        <w:gridCol w:w="3970"/>
      </w:tblGrid>
      <w:tr w:rsidR="00AD1F54" w:rsidRPr="00264D5D" w14:paraId="1813905C"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3" w:type="pct"/>
          </w:tcPr>
          <w:p w14:paraId="66411A43" w14:textId="77777777" w:rsidR="00AD1F54" w:rsidRPr="00264D5D" w:rsidRDefault="00941227">
            <w:pPr>
              <w:pStyle w:val="ASFKTableHead"/>
            </w:pPr>
            <w:r w:rsidRPr="00264D5D">
              <w:t>Наименование элемента</w:t>
            </w:r>
          </w:p>
        </w:tc>
        <w:tc>
          <w:tcPr>
            <w:tcW w:w="884" w:type="pct"/>
          </w:tcPr>
          <w:p w14:paraId="6A9970DA" w14:textId="77777777" w:rsidR="00AD1F54" w:rsidRPr="00264D5D" w:rsidRDefault="00941227">
            <w:pPr>
              <w:pStyle w:val="ASFKTableHead"/>
            </w:pPr>
            <w:r w:rsidRPr="00264D5D">
              <w:t>Сокращенное наименование (код) элемента</w:t>
            </w:r>
          </w:p>
        </w:tc>
        <w:tc>
          <w:tcPr>
            <w:tcW w:w="294" w:type="pct"/>
          </w:tcPr>
          <w:p w14:paraId="1B8B4658" w14:textId="77777777" w:rsidR="00AD1F54" w:rsidRPr="00264D5D" w:rsidRDefault="00941227">
            <w:pPr>
              <w:pStyle w:val="ASFKTableHead"/>
            </w:pPr>
            <w:r w:rsidRPr="00264D5D">
              <w:t>Тип</w:t>
            </w:r>
          </w:p>
        </w:tc>
        <w:tc>
          <w:tcPr>
            <w:tcW w:w="589" w:type="pct"/>
          </w:tcPr>
          <w:p w14:paraId="49166E11" w14:textId="77777777" w:rsidR="00AD1F54" w:rsidRPr="00264D5D" w:rsidRDefault="00941227">
            <w:pPr>
              <w:pStyle w:val="ASFKTableHead"/>
            </w:pPr>
            <w:r w:rsidRPr="00264D5D">
              <w:t>Формат элемента</w:t>
            </w:r>
          </w:p>
        </w:tc>
        <w:tc>
          <w:tcPr>
            <w:tcW w:w="294" w:type="pct"/>
          </w:tcPr>
          <w:p w14:paraId="7C8962AE" w14:textId="77777777" w:rsidR="00AD1F54" w:rsidRPr="00264D5D" w:rsidRDefault="00941227">
            <w:pPr>
              <w:pStyle w:val="ASFKTableHead"/>
            </w:pPr>
            <w:r w:rsidRPr="00264D5D">
              <w:t>Обязательность</w:t>
            </w:r>
          </w:p>
        </w:tc>
        <w:tc>
          <w:tcPr>
            <w:tcW w:w="2056" w:type="pct"/>
          </w:tcPr>
          <w:p w14:paraId="3D9BAB9E" w14:textId="77777777" w:rsidR="00AD1F54" w:rsidRPr="00264D5D" w:rsidRDefault="00941227">
            <w:pPr>
              <w:pStyle w:val="ASFKTableHead"/>
            </w:pPr>
            <w:r w:rsidRPr="00264D5D">
              <w:t>Дополнительная информация</w:t>
            </w:r>
          </w:p>
        </w:tc>
      </w:tr>
      <w:tr w:rsidR="00AD1F54" w:rsidRPr="00264D5D" w14:paraId="095AE789"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4195E998" w14:textId="77777777" w:rsidR="00AD1F54" w:rsidRPr="00264D5D" w:rsidRDefault="00941227">
            <w:pPr>
              <w:pStyle w:val="GOSTTablenorm"/>
              <w:rPr>
                <w:szCs w:val="22"/>
              </w:rPr>
            </w:pPr>
            <w:r w:rsidRPr="00264D5D">
              <w:rPr>
                <w:szCs w:val="22"/>
              </w:rPr>
              <w:t>Наименование/ФИО контрагента</w:t>
            </w:r>
          </w:p>
        </w:tc>
        <w:tc>
          <w:tcPr>
            <w:tcW w:w="884" w:type="pct"/>
          </w:tcPr>
          <w:p w14:paraId="2F2F53B2" w14:textId="77777777" w:rsidR="00AD1F54" w:rsidRPr="00264D5D" w:rsidRDefault="00941227">
            <w:pPr>
              <w:pStyle w:val="GOSTTablenorm"/>
              <w:rPr>
                <w:szCs w:val="22"/>
              </w:rPr>
            </w:pPr>
            <w:r w:rsidRPr="00264D5D">
              <w:rPr>
                <w:szCs w:val="22"/>
              </w:rPr>
              <w:t>Nm</w:t>
            </w:r>
          </w:p>
        </w:tc>
        <w:tc>
          <w:tcPr>
            <w:tcW w:w="294" w:type="pct"/>
          </w:tcPr>
          <w:p w14:paraId="45AAA795" w14:textId="77777777" w:rsidR="00AD1F54" w:rsidRPr="00264D5D" w:rsidRDefault="00941227">
            <w:pPr>
              <w:pStyle w:val="GOSTTablenorm"/>
              <w:jc w:val="center"/>
              <w:rPr>
                <w:szCs w:val="22"/>
              </w:rPr>
            </w:pPr>
            <w:r w:rsidRPr="00264D5D">
              <w:rPr>
                <w:szCs w:val="22"/>
              </w:rPr>
              <w:t>П</w:t>
            </w:r>
          </w:p>
        </w:tc>
        <w:tc>
          <w:tcPr>
            <w:tcW w:w="589" w:type="pct"/>
          </w:tcPr>
          <w:p w14:paraId="3EEBE9C1" w14:textId="77777777" w:rsidR="00AD1F54" w:rsidRPr="00264D5D" w:rsidRDefault="00941227">
            <w:pPr>
              <w:pStyle w:val="GOSTTablenorm"/>
              <w:rPr>
                <w:szCs w:val="22"/>
              </w:rPr>
            </w:pPr>
            <w:r w:rsidRPr="00264D5D">
              <w:rPr>
                <w:szCs w:val="22"/>
              </w:rPr>
              <w:t>Т(1-160)</w:t>
            </w:r>
          </w:p>
        </w:tc>
        <w:tc>
          <w:tcPr>
            <w:tcW w:w="294" w:type="pct"/>
          </w:tcPr>
          <w:p w14:paraId="7B7356CB" w14:textId="77777777" w:rsidR="00AD1F54" w:rsidRPr="00264D5D" w:rsidRDefault="00941227">
            <w:pPr>
              <w:pStyle w:val="GOSTTablenorm"/>
              <w:jc w:val="center"/>
              <w:rPr>
                <w:szCs w:val="22"/>
              </w:rPr>
            </w:pPr>
            <w:r w:rsidRPr="00264D5D">
              <w:rPr>
                <w:szCs w:val="22"/>
              </w:rPr>
              <w:t>О</w:t>
            </w:r>
          </w:p>
        </w:tc>
        <w:tc>
          <w:tcPr>
            <w:tcW w:w="2056" w:type="pct"/>
          </w:tcPr>
          <w:p w14:paraId="12D5A71B" w14:textId="77777777" w:rsidR="00AD1F54" w:rsidRPr="00264D5D" w:rsidRDefault="00941227">
            <w:pPr>
              <w:pStyle w:val="GOSTTablenorm"/>
              <w:rPr>
                <w:szCs w:val="22"/>
              </w:rPr>
            </w:pPr>
            <w:r w:rsidRPr="00264D5D">
              <w:rPr>
                <w:szCs w:val="22"/>
              </w:rPr>
              <w:t>Наименование (либо фамилия, имя, отчество – для физического лица) контрагента.</w:t>
            </w:r>
          </w:p>
          <w:p w14:paraId="297865F1" w14:textId="77777777" w:rsidR="00AD1F54" w:rsidRPr="00264D5D" w:rsidRDefault="00941227">
            <w:pPr>
              <w:pStyle w:val="GOSTTablenorm"/>
              <w:rPr>
                <w:szCs w:val="22"/>
              </w:rPr>
            </w:pPr>
            <w:r w:rsidRPr="00264D5D">
              <w:rPr>
                <w:szCs w:val="22"/>
              </w:rPr>
              <w:t xml:space="preserve">Если банковский счет контрагента открыт ТОФК, и банковский счет отправителя не равен банковскому счету получателя, то значение указывается в соответствии с </w:t>
            </w:r>
            <w:r w:rsidRPr="00264D5D">
              <w:rPr>
                <w:szCs w:val="22"/>
              </w:rPr>
              <w:lastRenderedPageBreak/>
              <w:t>требованиями ЦБ России и Минфина России к реквизиту «Наименование получателя» расчетного документа.</w:t>
            </w:r>
          </w:p>
          <w:p w14:paraId="0AEB8BB2" w14:textId="77777777" w:rsidR="00AD1F54" w:rsidRPr="00264D5D" w:rsidRDefault="00941227">
            <w:pPr>
              <w:pStyle w:val="GOSTTablenorm"/>
              <w:rPr>
                <w:szCs w:val="22"/>
              </w:rPr>
            </w:pPr>
            <w:r w:rsidRPr="00264D5D">
              <w:rPr>
                <w:szCs w:val="22"/>
              </w:rPr>
              <w:t xml:space="preserve">Если банковский счет контрагента открыт ТОФК и банковский счет отправителя равен банковскому счету получателя, </w:t>
            </w:r>
            <w:r w:rsidR="00BA58C1" w:rsidRPr="00264D5D">
              <w:rPr>
                <w:szCs w:val="22"/>
              </w:rPr>
              <w:t>то указывается наименование УБП</w:t>
            </w:r>
          </w:p>
        </w:tc>
      </w:tr>
      <w:tr w:rsidR="00AD1F54" w:rsidRPr="00264D5D" w14:paraId="54C4DEA7"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3" w:type="pct"/>
          </w:tcPr>
          <w:p w14:paraId="7F712B43" w14:textId="77777777" w:rsidR="00AD1F54" w:rsidRPr="00264D5D" w:rsidRDefault="00941227">
            <w:pPr>
              <w:pStyle w:val="GOSTTablenorm"/>
              <w:rPr>
                <w:szCs w:val="22"/>
              </w:rPr>
            </w:pPr>
            <w:r w:rsidRPr="00264D5D">
              <w:rPr>
                <w:szCs w:val="22"/>
              </w:rPr>
              <w:lastRenderedPageBreak/>
              <w:t>ИНН контрагента</w:t>
            </w:r>
          </w:p>
        </w:tc>
        <w:tc>
          <w:tcPr>
            <w:tcW w:w="884" w:type="pct"/>
          </w:tcPr>
          <w:p w14:paraId="3395A7E5" w14:textId="77777777" w:rsidR="00AD1F54" w:rsidRPr="00264D5D" w:rsidRDefault="00941227">
            <w:pPr>
              <w:pStyle w:val="GOSTTablenorm"/>
              <w:rPr>
                <w:szCs w:val="22"/>
              </w:rPr>
            </w:pPr>
            <w:r w:rsidRPr="00264D5D">
              <w:rPr>
                <w:szCs w:val="22"/>
              </w:rPr>
              <w:t>INN</w:t>
            </w:r>
          </w:p>
        </w:tc>
        <w:tc>
          <w:tcPr>
            <w:tcW w:w="294" w:type="pct"/>
          </w:tcPr>
          <w:p w14:paraId="0F56CE17" w14:textId="77777777" w:rsidR="00AD1F54" w:rsidRPr="00264D5D" w:rsidRDefault="00941227">
            <w:pPr>
              <w:pStyle w:val="GOSTTablenorm"/>
              <w:jc w:val="center"/>
              <w:rPr>
                <w:szCs w:val="22"/>
              </w:rPr>
            </w:pPr>
            <w:r w:rsidRPr="00264D5D">
              <w:rPr>
                <w:szCs w:val="22"/>
              </w:rPr>
              <w:t>П</w:t>
            </w:r>
          </w:p>
        </w:tc>
        <w:tc>
          <w:tcPr>
            <w:tcW w:w="589" w:type="pct"/>
          </w:tcPr>
          <w:p w14:paraId="102D104A" w14:textId="77777777" w:rsidR="00AD1F54" w:rsidRPr="00264D5D" w:rsidRDefault="00941227">
            <w:pPr>
              <w:pStyle w:val="GOSTTablenorm"/>
              <w:rPr>
                <w:szCs w:val="22"/>
              </w:rPr>
            </w:pPr>
            <w:r w:rsidRPr="00264D5D">
              <w:rPr>
                <w:szCs w:val="22"/>
              </w:rPr>
              <w:t>Т(1-12)</w:t>
            </w:r>
          </w:p>
        </w:tc>
        <w:tc>
          <w:tcPr>
            <w:tcW w:w="294" w:type="pct"/>
          </w:tcPr>
          <w:p w14:paraId="2BD6A8BF" w14:textId="77777777" w:rsidR="00AD1F54" w:rsidRPr="00264D5D" w:rsidRDefault="00941227">
            <w:pPr>
              <w:pStyle w:val="GOSTTablenorm"/>
              <w:jc w:val="center"/>
              <w:rPr>
                <w:szCs w:val="22"/>
              </w:rPr>
            </w:pPr>
            <w:r w:rsidRPr="00264D5D">
              <w:rPr>
                <w:szCs w:val="22"/>
              </w:rPr>
              <w:t>О</w:t>
            </w:r>
          </w:p>
        </w:tc>
        <w:tc>
          <w:tcPr>
            <w:tcW w:w="2056" w:type="pct"/>
          </w:tcPr>
          <w:p w14:paraId="65147443" w14:textId="77777777" w:rsidR="00AD1F54" w:rsidRPr="00264D5D" w:rsidRDefault="00941227">
            <w:pPr>
              <w:pStyle w:val="GOSTTablenorm"/>
              <w:rPr>
                <w:szCs w:val="22"/>
              </w:rPr>
            </w:pPr>
            <w:r w:rsidRPr="00264D5D">
              <w:rPr>
                <w:szCs w:val="22"/>
              </w:rPr>
              <w:t>ИНН контрагента.</w:t>
            </w:r>
          </w:p>
          <w:p w14:paraId="5CBD161D" w14:textId="77777777" w:rsidR="00AD1F54" w:rsidRPr="00264D5D" w:rsidRDefault="00941227">
            <w:pPr>
              <w:pStyle w:val="GOSTTablenorm"/>
              <w:rPr>
                <w:szCs w:val="22"/>
              </w:rPr>
            </w:pPr>
            <w:r w:rsidRPr="00264D5D">
              <w:rPr>
                <w:szCs w:val="22"/>
              </w:rPr>
              <w:t>При отсутствии у получателя – физического лица ИНН, проставляется значение «0».</w:t>
            </w:r>
          </w:p>
          <w:p w14:paraId="5D064654" w14:textId="77777777" w:rsidR="00AD1F54" w:rsidRPr="00264D5D" w:rsidRDefault="00941227">
            <w:pPr>
              <w:pStyle w:val="GOSTTablenorm"/>
              <w:rPr>
                <w:szCs w:val="22"/>
              </w:rPr>
            </w:pPr>
            <w:r w:rsidRPr="00264D5D">
              <w:rPr>
                <w:szCs w:val="22"/>
              </w:rPr>
              <w:t>Если указан счет №№ 03100, 03212, 03222; 03232; 03242; 03262; 03272; 03214; 03224; 03234; 03244 или в реквизите «БИК банка контрагента/ТОФК» указан БИК ПБР и при этом счет контрагента соответствует балансовому счету № 40503/40603/40703 с признаком «4» в 14 разряде, то длина поля должна быть равна 10 цифрам, при этом первый и второй знаки (цифры) не могут одновременн</w:t>
            </w:r>
            <w:r w:rsidR="00BA58C1" w:rsidRPr="00264D5D">
              <w:rPr>
                <w:szCs w:val="22"/>
              </w:rPr>
              <w:t>о принимать значение ноль («0»)</w:t>
            </w:r>
          </w:p>
        </w:tc>
      </w:tr>
      <w:tr w:rsidR="00AD1F54" w:rsidRPr="00264D5D" w14:paraId="1ADD2117"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1F9E9A37" w14:textId="77777777" w:rsidR="00AD1F54" w:rsidRPr="00264D5D" w:rsidRDefault="00941227">
            <w:pPr>
              <w:pStyle w:val="GOSTTablenorm"/>
              <w:rPr>
                <w:szCs w:val="22"/>
              </w:rPr>
            </w:pPr>
            <w:r w:rsidRPr="00264D5D">
              <w:rPr>
                <w:szCs w:val="22"/>
              </w:rPr>
              <w:t>КПП контрагента</w:t>
            </w:r>
          </w:p>
        </w:tc>
        <w:tc>
          <w:tcPr>
            <w:tcW w:w="884" w:type="pct"/>
          </w:tcPr>
          <w:p w14:paraId="228EF8E3" w14:textId="77777777" w:rsidR="00AD1F54" w:rsidRPr="00264D5D" w:rsidRDefault="00941227">
            <w:pPr>
              <w:pStyle w:val="GOSTTablenorm"/>
              <w:rPr>
                <w:szCs w:val="22"/>
              </w:rPr>
            </w:pPr>
            <w:r w:rsidRPr="00264D5D">
              <w:rPr>
                <w:szCs w:val="22"/>
              </w:rPr>
              <w:t>KPP</w:t>
            </w:r>
          </w:p>
        </w:tc>
        <w:tc>
          <w:tcPr>
            <w:tcW w:w="294" w:type="pct"/>
          </w:tcPr>
          <w:p w14:paraId="61EEEC30" w14:textId="77777777" w:rsidR="00AD1F54" w:rsidRPr="00264D5D" w:rsidRDefault="00941227">
            <w:pPr>
              <w:pStyle w:val="GOSTTablenorm"/>
              <w:jc w:val="center"/>
              <w:rPr>
                <w:szCs w:val="22"/>
              </w:rPr>
            </w:pPr>
            <w:r w:rsidRPr="00264D5D">
              <w:rPr>
                <w:szCs w:val="22"/>
              </w:rPr>
              <w:t>П</w:t>
            </w:r>
          </w:p>
        </w:tc>
        <w:tc>
          <w:tcPr>
            <w:tcW w:w="589" w:type="pct"/>
          </w:tcPr>
          <w:p w14:paraId="25E7D178" w14:textId="77777777" w:rsidR="00AD1F54" w:rsidRPr="00264D5D" w:rsidRDefault="00941227">
            <w:pPr>
              <w:pStyle w:val="GOSTTablenorm"/>
              <w:rPr>
                <w:szCs w:val="22"/>
              </w:rPr>
            </w:pPr>
            <w:r w:rsidRPr="00264D5D">
              <w:rPr>
                <w:szCs w:val="22"/>
              </w:rPr>
              <w:t>Т(1-9)</w:t>
            </w:r>
          </w:p>
        </w:tc>
        <w:tc>
          <w:tcPr>
            <w:tcW w:w="294" w:type="pct"/>
          </w:tcPr>
          <w:p w14:paraId="495BAEE0" w14:textId="77777777" w:rsidR="00AD1F54" w:rsidRPr="00264D5D" w:rsidRDefault="00941227">
            <w:pPr>
              <w:pStyle w:val="GOSTTablenorm"/>
              <w:jc w:val="center"/>
              <w:rPr>
                <w:szCs w:val="22"/>
              </w:rPr>
            </w:pPr>
            <w:r w:rsidRPr="00264D5D">
              <w:rPr>
                <w:szCs w:val="22"/>
              </w:rPr>
              <w:t>О</w:t>
            </w:r>
          </w:p>
        </w:tc>
        <w:tc>
          <w:tcPr>
            <w:tcW w:w="2056" w:type="pct"/>
          </w:tcPr>
          <w:p w14:paraId="5D50AFC0" w14:textId="77777777" w:rsidR="00BA58C1" w:rsidRPr="00264D5D" w:rsidRDefault="00941227">
            <w:pPr>
              <w:pStyle w:val="GOSTTablenorm"/>
              <w:rPr>
                <w:szCs w:val="22"/>
              </w:rPr>
            </w:pPr>
            <w:r w:rsidRPr="00264D5D">
              <w:rPr>
                <w:szCs w:val="22"/>
              </w:rPr>
              <w:t xml:space="preserve">КПП контрагента. </w:t>
            </w:r>
          </w:p>
          <w:p w14:paraId="7B73338F" w14:textId="77777777" w:rsidR="00AD1F54" w:rsidRPr="00264D5D" w:rsidRDefault="00941227">
            <w:pPr>
              <w:pStyle w:val="GOSTTablenorm"/>
              <w:rPr>
                <w:szCs w:val="22"/>
              </w:rPr>
            </w:pPr>
            <w:r w:rsidRPr="00264D5D">
              <w:rPr>
                <w:szCs w:val="22"/>
              </w:rPr>
              <w:t>При отсутствии у получателя – физического лица КПП, проставляется значение «0».</w:t>
            </w:r>
          </w:p>
          <w:p w14:paraId="0D8DFAD9" w14:textId="77777777" w:rsidR="00AD1F54" w:rsidRPr="00264D5D" w:rsidRDefault="00941227">
            <w:pPr>
              <w:pStyle w:val="GOSTTablenorm"/>
              <w:rPr>
                <w:szCs w:val="22"/>
              </w:rPr>
            </w:pPr>
            <w:r w:rsidRPr="00264D5D">
              <w:rPr>
                <w:szCs w:val="22"/>
              </w:rPr>
              <w:t xml:space="preserve">Если указан счет №№ 03100, 03212, 03222; 03232; 03242; 03262; 03272; 03214; 03224; 03234; 03244 или в реквизите «БИК банка контрагента/ТОФК» указан БИК ПБР и при этом счет контрагента соответствует балансовому счету № 40503/40603/40703 с признаком «4» в 14 разряде, то длина поля должна быть равна 9 символам, при этом первый-четвертый и седьмой-девятый знаки должны принимать цифровое значение, пятый и шестой знаки – могут соответствовать цифре или заглавной букве латинского алфавита, первый и второй знаки (цифры) не могут </w:t>
            </w:r>
            <w:r w:rsidRPr="00264D5D">
              <w:rPr>
                <w:szCs w:val="22"/>
              </w:rPr>
              <w:lastRenderedPageBreak/>
              <w:t>одновременн</w:t>
            </w:r>
            <w:r w:rsidR="00BA58C1" w:rsidRPr="00264D5D">
              <w:rPr>
                <w:szCs w:val="22"/>
              </w:rPr>
              <w:t>о принимать значение ноль («0»)</w:t>
            </w:r>
          </w:p>
        </w:tc>
      </w:tr>
      <w:tr w:rsidR="00AD1F54" w:rsidRPr="00264D5D" w14:paraId="6888CAA5"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3" w:type="pct"/>
          </w:tcPr>
          <w:p w14:paraId="304B230F" w14:textId="77777777" w:rsidR="00AD1F54" w:rsidRPr="00264D5D" w:rsidRDefault="00941227">
            <w:pPr>
              <w:pStyle w:val="GOSTTablenorm"/>
              <w:rPr>
                <w:szCs w:val="22"/>
              </w:rPr>
            </w:pPr>
            <w:r w:rsidRPr="00264D5D">
              <w:rPr>
                <w:szCs w:val="22"/>
              </w:rPr>
              <w:lastRenderedPageBreak/>
              <w:t>Лицевой счет контрагента</w:t>
            </w:r>
          </w:p>
        </w:tc>
        <w:tc>
          <w:tcPr>
            <w:tcW w:w="884" w:type="pct"/>
          </w:tcPr>
          <w:p w14:paraId="4D8CB6AA" w14:textId="77777777" w:rsidR="00AD1F54" w:rsidRPr="00264D5D" w:rsidRDefault="00941227">
            <w:pPr>
              <w:pStyle w:val="GOSTTablenorm"/>
              <w:rPr>
                <w:szCs w:val="22"/>
              </w:rPr>
            </w:pPr>
            <w:r w:rsidRPr="00264D5D">
              <w:rPr>
                <w:szCs w:val="22"/>
              </w:rPr>
              <w:t>AcntNm</w:t>
            </w:r>
          </w:p>
        </w:tc>
        <w:tc>
          <w:tcPr>
            <w:tcW w:w="294" w:type="pct"/>
          </w:tcPr>
          <w:p w14:paraId="2A4864C9" w14:textId="77777777" w:rsidR="00AD1F54" w:rsidRPr="00264D5D" w:rsidRDefault="00941227">
            <w:pPr>
              <w:pStyle w:val="GOSTTablenorm"/>
              <w:jc w:val="center"/>
              <w:rPr>
                <w:szCs w:val="22"/>
              </w:rPr>
            </w:pPr>
            <w:r w:rsidRPr="00264D5D">
              <w:rPr>
                <w:szCs w:val="22"/>
              </w:rPr>
              <w:t>П</w:t>
            </w:r>
          </w:p>
        </w:tc>
        <w:tc>
          <w:tcPr>
            <w:tcW w:w="589" w:type="pct"/>
          </w:tcPr>
          <w:p w14:paraId="364F425F" w14:textId="77777777" w:rsidR="00AD1F54" w:rsidRPr="00264D5D" w:rsidRDefault="00941227">
            <w:pPr>
              <w:pStyle w:val="GOSTTablenorm"/>
              <w:rPr>
                <w:szCs w:val="22"/>
              </w:rPr>
            </w:pPr>
            <w:r w:rsidRPr="00264D5D">
              <w:rPr>
                <w:szCs w:val="22"/>
              </w:rPr>
              <w:t>Т(11)</w:t>
            </w:r>
          </w:p>
        </w:tc>
        <w:tc>
          <w:tcPr>
            <w:tcW w:w="294" w:type="pct"/>
          </w:tcPr>
          <w:p w14:paraId="19B1F7B4" w14:textId="77777777" w:rsidR="00AD1F54" w:rsidRPr="00264D5D" w:rsidRDefault="00941227">
            <w:pPr>
              <w:pStyle w:val="GOSTTablenorm"/>
              <w:jc w:val="center"/>
              <w:rPr>
                <w:szCs w:val="22"/>
              </w:rPr>
            </w:pPr>
            <w:r w:rsidRPr="00264D5D">
              <w:rPr>
                <w:szCs w:val="22"/>
              </w:rPr>
              <w:t>Н</w:t>
            </w:r>
          </w:p>
        </w:tc>
        <w:tc>
          <w:tcPr>
            <w:tcW w:w="2056" w:type="pct"/>
          </w:tcPr>
          <w:p w14:paraId="5B7868EA" w14:textId="77777777" w:rsidR="00AD1F54" w:rsidRPr="00264D5D" w:rsidRDefault="00941227">
            <w:pPr>
              <w:pStyle w:val="GOSTTablenorm"/>
              <w:rPr>
                <w:szCs w:val="22"/>
              </w:rPr>
            </w:pPr>
            <w:r w:rsidRPr="00264D5D">
              <w:rPr>
                <w:szCs w:val="22"/>
              </w:rPr>
              <w:t>Заполняется только если документ исполняется внебанковской операцией на счетах ТОФК, отличных от счета по учету поступлений.</w:t>
            </w:r>
          </w:p>
          <w:p w14:paraId="355DBF83" w14:textId="77777777" w:rsidR="00AD1F54" w:rsidRPr="00264D5D" w:rsidRDefault="00941227">
            <w:pPr>
              <w:pStyle w:val="GOSTTablenorm"/>
              <w:rPr>
                <w:szCs w:val="22"/>
              </w:rPr>
            </w:pPr>
            <w:r w:rsidRPr="00264D5D">
              <w:rPr>
                <w:szCs w:val="22"/>
              </w:rPr>
              <w:t>Не заполняется в и</w:t>
            </w:r>
            <w:r w:rsidR="00BA58C1" w:rsidRPr="00264D5D">
              <w:rPr>
                <w:szCs w:val="22"/>
              </w:rPr>
              <w:t>ных случаях</w:t>
            </w:r>
          </w:p>
        </w:tc>
      </w:tr>
      <w:tr w:rsidR="00AD1F54" w:rsidRPr="00264D5D" w14:paraId="2E3C7CFB"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62D315C6" w14:textId="77777777" w:rsidR="00AD1F54" w:rsidRPr="00264D5D" w:rsidRDefault="00941227">
            <w:pPr>
              <w:pStyle w:val="GOSTTablenorm"/>
              <w:rPr>
                <w:szCs w:val="22"/>
              </w:rPr>
            </w:pPr>
            <w:r w:rsidRPr="00264D5D">
              <w:rPr>
                <w:szCs w:val="22"/>
              </w:rPr>
              <w:t>Банк/ТОФК</w:t>
            </w:r>
          </w:p>
        </w:tc>
        <w:tc>
          <w:tcPr>
            <w:tcW w:w="884" w:type="pct"/>
          </w:tcPr>
          <w:p w14:paraId="56F7341B" w14:textId="77777777" w:rsidR="00AD1F54" w:rsidRPr="00264D5D" w:rsidRDefault="00941227">
            <w:pPr>
              <w:pStyle w:val="GOSTTablenorm"/>
              <w:rPr>
                <w:szCs w:val="22"/>
              </w:rPr>
            </w:pPr>
            <w:r w:rsidRPr="00264D5D">
              <w:rPr>
                <w:szCs w:val="22"/>
              </w:rPr>
              <w:t>MSC_Bnk</w:t>
            </w:r>
          </w:p>
        </w:tc>
        <w:tc>
          <w:tcPr>
            <w:tcW w:w="294" w:type="pct"/>
          </w:tcPr>
          <w:p w14:paraId="6496CE37" w14:textId="77777777" w:rsidR="00AD1F54" w:rsidRPr="00264D5D" w:rsidRDefault="00941227">
            <w:pPr>
              <w:pStyle w:val="GOSTTablenorm"/>
              <w:jc w:val="center"/>
              <w:rPr>
                <w:szCs w:val="22"/>
              </w:rPr>
            </w:pPr>
            <w:r w:rsidRPr="00264D5D">
              <w:rPr>
                <w:szCs w:val="22"/>
              </w:rPr>
              <w:t>С</w:t>
            </w:r>
          </w:p>
        </w:tc>
        <w:tc>
          <w:tcPr>
            <w:tcW w:w="589" w:type="pct"/>
          </w:tcPr>
          <w:p w14:paraId="08720F17" w14:textId="77777777" w:rsidR="00AD1F54" w:rsidRPr="00264D5D" w:rsidRDefault="00941227">
            <w:pPr>
              <w:pStyle w:val="GOSTTablenorm"/>
              <w:rPr>
                <w:szCs w:val="22"/>
              </w:rPr>
            </w:pPr>
            <w:r w:rsidRPr="00264D5D">
              <w:rPr>
                <w:szCs w:val="22"/>
              </w:rPr>
              <w:t>tMSC_Bnk</w:t>
            </w:r>
          </w:p>
        </w:tc>
        <w:tc>
          <w:tcPr>
            <w:tcW w:w="294" w:type="pct"/>
          </w:tcPr>
          <w:p w14:paraId="1AB9A98B" w14:textId="77777777" w:rsidR="00AD1F54" w:rsidRPr="00264D5D" w:rsidRDefault="00941227">
            <w:pPr>
              <w:pStyle w:val="GOSTTablenorm"/>
              <w:jc w:val="center"/>
              <w:rPr>
                <w:szCs w:val="22"/>
              </w:rPr>
            </w:pPr>
            <w:r w:rsidRPr="00264D5D">
              <w:rPr>
                <w:szCs w:val="22"/>
              </w:rPr>
              <w:t>О</w:t>
            </w:r>
          </w:p>
        </w:tc>
        <w:tc>
          <w:tcPr>
            <w:tcW w:w="2056" w:type="pct"/>
          </w:tcPr>
          <w:p w14:paraId="5FA9F836" w14:textId="77777777" w:rsidR="00AD1F54" w:rsidRPr="00264D5D" w:rsidRDefault="00941227">
            <w:pPr>
              <w:pStyle w:val="GOSTTablenorm"/>
              <w:rPr>
                <w:szCs w:val="22"/>
              </w:rPr>
            </w:pPr>
            <w:r w:rsidRPr="00264D5D">
              <w:rPr>
                <w:szCs w:val="22"/>
              </w:rPr>
              <w:t>Информация о данных контрагента.</w:t>
            </w:r>
          </w:p>
          <w:p w14:paraId="16A40ABC" w14:textId="41609037" w:rsidR="00AD1F54" w:rsidRPr="00264D5D" w:rsidRDefault="00941227">
            <w:pPr>
              <w:pStyle w:val="GOSTTablenorm"/>
              <w:rPr>
                <w:szCs w:val="22"/>
              </w:rPr>
            </w:pPr>
            <w:r w:rsidRPr="00264D5D">
              <w:rPr>
                <w:szCs w:val="22"/>
              </w:rPr>
              <w:t xml:space="preserve">Состав элемента представлен в таблице </w:t>
            </w:r>
            <w:r w:rsidRPr="00264D5D">
              <w:rPr>
                <w:b/>
              </w:rPr>
              <w:fldChar w:fldCharType="begin"/>
            </w:r>
            <w:r w:rsidRPr="00264D5D">
              <w:rPr>
                <w:b/>
              </w:rPr>
              <w:instrText xml:space="preserve"> REF _Ref503526428 \h  \* MERGEFORMAT </w:instrText>
            </w:r>
            <w:r w:rsidRPr="00264D5D">
              <w:rPr>
                <w:b/>
              </w:rPr>
            </w:r>
            <w:r w:rsidRPr="00264D5D">
              <w:rPr>
                <w:b/>
              </w:rPr>
              <w:fldChar w:fldCharType="separate"/>
            </w:r>
            <w:r w:rsidR="008D797C" w:rsidRPr="008D797C">
              <w:rPr>
                <w:b/>
                <w:szCs w:val="22"/>
              </w:rPr>
              <w:t>59</w:t>
            </w:r>
            <w:r w:rsidRPr="00264D5D">
              <w:rPr>
                <w:b/>
              </w:rPr>
              <w:fldChar w:fldCharType="end"/>
            </w:r>
          </w:p>
        </w:tc>
      </w:tr>
    </w:tbl>
    <w:p w14:paraId="619362E0" w14:textId="77777777" w:rsidR="00AD1F54" w:rsidRPr="00264D5D" w:rsidRDefault="00941227">
      <w:pPr>
        <w:pStyle w:val="31"/>
      </w:pPr>
      <w:bookmarkStart w:id="816" w:name="_Toc508712667"/>
      <w:bookmarkStart w:id="817" w:name="_Toc18509230"/>
      <w:r w:rsidRPr="00264D5D">
        <w:t xml:space="preserve"> </w:t>
      </w:r>
      <w:bookmarkStart w:id="818" w:name="_Toc219309497"/>
      <w:r w:rsidRPr="00264D5D">
        <w:t>Описание комплексного типа «tMSC_Bnk»</w:t>
      </w:r>
      <w:bookmarkEnd w:id="816"/>
      <w:bookmarkEnd w:id="817"/>
      <w:bookmarkEnd w:id="818"/>
    </w:p>
    <w:p w14:paraId="6E452654" w14:textId="77777777" w:rsidR="00AD1F54" w:rsidRPr="00264D5D" w:rsidRDefault="00941227">
      <w:pPr>
        <w:pStyle w:val="GOSTNormal"/>
      </w:pPr>
      <w:r w:rsidRPr="00264D5D">
        <w:t>Описание комплексного типа «tMSC_Bnk» блока «Банк</w:t>
      </w:r>
      <w:r w:rsidRPr="00264D5D">
        <w:rPr>
          <w:szCs w:val="22"/>
        </w:rPr>
        <w:t>/ТОФК</w:t>
      </w:r>
      <w:r w:rsidRPr="00264D5D">
        <w:t>».</w:t>
      </w:r>
    </w:p>
    <w:p w14:paraId="6DDC677D" w14:textId="399A7DA2"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819" w:name="_Ref503526428"/>
      <w:bookmarkStart w:id="820" w:name="_Toc18509518"/>
      <w:bookmarkStart w:id="821" w:name="_Toc219309089"/>
      <w:r w:rsidR="008D797C">
        <w:rPr>
          <w:noProof/>
        </w:rPr>
        <w:t>59</w:t>
      </w:r>
      <w:bookmarkEnd w:id="819"/>
      <w:r w:rsidRPr="00264D5D">
        <w:fldChar w:fldCharType="end"/>
      </w:r>
      <w:r w:rsidRPr="00264D5D">
        <w:rPr>
          <w:rFonts w:eastAsia="Calibri"/>
          <w:szCs w:val="24"/>
        </w:rPr>
        <w:t xml:space="preserve"> –</w:t>
      </w:r>
      <w:r w:rsidRPr="00264D5D">
        <w:t xml:space="preserve"> Описание комплексного типа «tMSC_Bnk»</w:t>
      </w:r>
      <w:bookmarkEnd w:id="820"/>
      <w:bookmarkEnd w:id="821"/>
    </w:p>
    <w:tbl>
      <w:tblPr>
        <w:tblStyle w:val="GOSTTable"/>
        <w:tblW w:w="5003" w:type="pct"/>
        <w:tblLayout w:type="fixed"/>
        <w:tblLook w:val="04A0" w:firstRow="1" w:lastRow="0" w:firstColumn="1" w:lastColumn="0" w:noHBand="0" w:noVBand="1"/>
      </w:tblPr>
      <w:tblGrid>
        <w:gridCol w:w="1708"/>
        <w:gridCol w:w="1717"/>
        <w:gridCol w:w="568"/>
        <w:gridCol w:w="1128"/>
        <w:gridCol w:w="564"/>
        <w:gridCol w:w="3971"/>
      </w:tblGrid>
      <w:tr w:rsidR="00AD1F54" w:rsidRPr="00264D5D" w14:paraId="5C5C19F7"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5" w:type="pct"/>
          </w:tcPr>
          <w:p w14:paraId="3B7B13BB" w14:textId="77777777" w:rsidR="00AD1F54" w:rsidRPr="00264D5D" w:rsidRDefault="00941227">
            <w:pPr>
              <w:pStyle w:val="ASFKTableHead"/>
            </w:pPr>
            <w:r w:rsidRPr="00264D5D">
              <w:t>Наименование элемента</w:t>
            </w:r>
          </w:p>
        </w:tc>
        <w:tc>
          <w:tcPr>
            <w:tcW w:w="889" w:type="pct"/>
          </w:tcPr>
          <w:p w14:paraId="7BB0C75E" w14:textId="77777777" w:rsidR="00AD1F54" w:rsidRPr="00264D5D" w:rsidRDefault="00941227">
            <w:pPr>
              <w:pStyle w:val="ASFKTableHead"/>
            </w:pPr>
            <w:r w:rsidRPr="00264D5D">
              <w:t>Сокращенное наименование (код) элемента</w:t>
            </w:r>
          </w:p>
        </w:tc>
        <w:tc>
          <w:tcPr>
            <w:tcW w:w="294" w:type="pct"/>
          </w:tcPr>
          <w:p w14:paraId="47DD6A91" w14:textId="77777777" w:rsidR="00AD1F54" w:rsidRPr="00264D5D" w:rsidRDefault="00941227">
            <w:pPr>
              <w:pStyle w:val="ASFKTableHead"/>
            </w:pPr>
            <w:r w:rsidRPr="00264D5D">
              <w:t>Тип</w:t>
            </w:r>
          </w:p>
        </w:tc>
        <w:tc>
          <w:tcPr>
            <w:tcW w:w="584" w:type="pct"/>
          </w:tcPr>
          <w:p w14:paraId="144E1B9D" w14:textId="77777777" w:rsidR="00AD1F54" w:rsidRPr="00264D5D" w:rsidRDefault="00941227">
            <w:pPr>
              <w:pStyle w:val="ASFKTableHead"/>
            </w:pPr>
            <w:r w:rsidRPr="00264D5D">
              <w:t>Формат элемента</w:t>
            </w:r>
          </w:p>
        </w:tc>
        <w:tc>
          <w:tcPr>
            <w:tcW w:w="292" w:type="pct"/>
          </w:tcPr>
          <w:p w14:paraId="13860ED5" w14:textId="77777777" w:rsidR="00AD1F54" w:rsidRPr="00264D5D" w:rsidRDefault="00941227">
            <w:pPr>
              <w:pStyle w:val="ASFKTableHead"/>
            </w:pPr>
            <w:r w:rsidRPr="00264D5D">
              <w:t>Обязательность</w:t>
            </w:r>
          </w:p>
        </w:tc>
        <w:tc>
          <w:tcPr>
            <w:tcW w:w="2057" w:type="pct"/>
          </w:tcPr>
          <w:p w14:paraId="18F3CF15" w14:textId="77777777" w:rsidR="00AD1F54" w:rsidRPr="00264D5D" w:rsidRDefault="00941227">
            <w:pPr>
              <w:pStyle w:val="ASFKTableHead"/>
            </w:pPr>
            <w:r w:rsidRPr="00264D5D">
              <w:t>Дополнительная информация</w:t>
            </w:r>
          </w:p>
        </w:tc>
      </w:tr>
      <w:tr w:rsidR="00AD1F54" w:rsidRPr="00264D5D" w14:paraId="6C7D94BE"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5" w:type="pct"/>
          </w:tcPr>
          <w:p w14:paraId="545D018E" w14:textId="77777777" w:rsidR="00AD1F54" w:rsidRPr="00264D5D" w:rsidRDefault="00941227">
            <w:pPr>
              <w:pStyle w:val="GOSTTablenorm"/>
            </w:pPr>
            <w:r w:rsidRPr="00264D5D">
              <w:t>Счет контрагента</w:t>
            </w:r>
          </w:p>
        </w:tc>
        <w:tc>
          <w:tcPr>
            <w:tcW w:w="889" w:type="pct"/>
          </w:tcPr>
          <w:p w14:paraId="0F1182D9" w14:textId="77777777" w:rsidR="00AD1F54" w:rsidRPr="00264D5D" w:rsidRDefault="00941227">
            <w:pPr>
              <w:pStyle w:val="GOSTTablenorm"/>
            </w:pPr>
            <w:r w:rsidRPr="00264D5D">
              <w:t>AcNm</w:t>
            </w:r>
          </w:p>
        </w:tc>
        <w:tc>
          <w:tcPr>
            <w:tcW w:w="294" w:type="pct"/>
          </w:tcPr>
          <w:p w14:paraId="2DD585A4" w14:textId="77777777" w:rsidR="00AD1F54" w:rsidRPr="00264D5D" w:rsidRDefault="00941227">
            <w:pPr>
              <w:pStyle w:val="GOSTTablenorm"/>
              <w:jc w:val="center"/>
            </w:pPr>
            <w:r w:rsidRPr="00264D5D">
              <w:t>П</w:t>
            </w:r>
          </w:p>
        </w:tc>
        <w:tc>
          <w:tcPr>
            <w:tcW w:w="584" w:type="pct"/>
          </w:tcPr>
          <w:p w14:paraId="7374B101" w14:textId="77777777" w:rsidR="00AD1F54" w:rsidRPr="00264D5D" w:rsidRDefault="00941227">
            <w:pPr>
              <w:pStyle w:val="GOSTTablenorm"/>
            </w:pPr>
            <w:r w:rsidRPr="00264D5D">
              <w:t>Т(1-3</w:t>
            </w:r>
            <w:r w:rsidRPr="00264D5D">
              <w:rPr>
                <w:lang w:val="en-US"/>
              </w:rPr>
              <w:t>4</w:t>
            </w:r>
            <w:r w:rsidRPr="00264D5D">
              <w:t>)</w:t>
            </w:r>
          </w:p>
        </w:tc>
        <w:tc>
          <w:tcPr>
            <w:tcW w:w="292" w:type="pct"/>
          </w:tcPr>
          <w:p w14:paraId="5EB757B1" w14:textId="77777777" w:rsidR="00AD1F54" w:rsidRPr="00264D5D" w:rsidRDefault="00941227">
            <w:pPr>
              <w:pStyle w:val="GOSTTablenorm"/>
              <w:jc w:val="center"/>
            </w:pPr>
            <w:r w:rsidRPr="00264D5D">
              <w:t>Н</w:t>
            </w:r>
          </w:p>
        </w:tc>
        <w:tc>
          <w:tcPr>
            <w:tcW w:w="2057" w:type="pct"/>
          </w:tcPr>
          <w:p w14:paraId="3AAC0388" w14:textId="77777777" w:rsidR="00AD1F54" w:rsidRPr="00264D5D" w:rsidRDefault="00941227">
            <w:pPr>
              <w:pStyle w:val="GOSTTablenorm"/>
              <w:rPr>
                <w:szCs w:val="22"/>
              </w:rPr>
            </w:pPr>
            <w:r w:rsidRPr="00264D5D">
              <w:rPr>
                <w:szCs w:val="22"/>
              </w:rPr>
              <w:t>Номер счета контрагента:</w:t>
            </w:r>
          </w:p>
          <w:p w14:paraId="74105743" w14:textId="77777777" w:rsidR="00AD1F54" w:rsidRPr="00264D5D" w:rsidRDefault="00941227" w:rsidP="00E7460C">
            <w:pPr>
              <w:pStyle w:val="af5"/>
              <w:numPr>
                <w:ilvl w:val="0"/>
                <w:numId w:val="86"/>
              </w:numPr>
              <w:spacing w:before="60" w:after="60"/>
              <w:ind w:left="284" w:hanging="227"/>
              <w:contextualSpacing/>
              <w:jc w:val="both"/>
              <w:rPr>
                <w:sz w:val="22"/>
                <w:szCs w:val="22"/>
              </w:rPr>
            </w:pPr>
            <w:r w:rsidRPr="00264D5D">
              <w:rPr>
                <w:sz w:val="22"/>
                <w:szCs w:val="22"/>
              </w:rPr>
              <w:t>казначейский счет в ТОФК, если получатель денежных средств обслуживается в ТОФК;</w:t>
            </w:r>
          </w:p>
          <w:p w14:paraId="31F0A3E5" w14:textId="77777777" w:rsidR="00AD1F54" w:rsidRPr="00264D5D" w:rsidRDefault="00941227" w:rsidP="00E7460C">
            <w:pPr>
              <w:pStyle w:val="af5"/>
              <w:numPr>
                <w:ilvl w:val="0"/>
                <w:numId w:val="86"/>
              </w:numPr>
              <w:spacing w:before="60" w:after="60"/>
              <w:ind w:left="284" w:hanging="227"/>
              <w:contextualSpacing/>
              <w:jc w:val="both"/>
              <w:rPr>
                <w:szCs w:val="22"/>
              </w:rPr>
            </w:pPr>
            <w:r w:rsidRPr="00264D5D">
              <w:rPr>
                <w:sz w:val="22"/>
                <w:szCs w:val="22"/>
              </w:rPr>
              <w:t xml:space="preserve">расчетный счет – в иных случаях. </w:t>
            </w:r>
          </w:p>
          <w:p w14:paraId="77CC5A16" w14:textId="77777777" w:rsidR="00AD1F54" w:rsidRPr="00264D5D" w:rsidRDefault="00941227">
            <w:pPr>
              <w:pStyle w:val="GOSTTablenorm"/>
              <w:rPr>
                <w:szCs w:val="22"/>
              </w:rPr>
            </w:pPr>
            <w:r w:rsidRPr="00264D5D">
              <w:rPr>
                <w:szCs w:val="22"/>
              </w:rPr>
              <w:t xml:space="preserve">В случае, когда получателем выступает кредитная организация, расчетный счет может не указываться. </w:t>
            </w:r>
          </w:p>
          <w:p w14:paraId="75A8EC49" w14:textId="77777777" w:rsidR="00AD1F54" w:rsidRPr="00264D5D" w:rsidRDefault="00941227">
            <w:pPr>
              <w:pStyle w:val="GOSTTablenorm"/>
              <w:rPr>
                <w:szCs w:val="22"/>
              </w:rPr>
            </w:pPr>
            <w:r w:rsidRPr="00264D5D">
              <w:rPr>
                <w:szCs w:val="22"/>
              </w:rPr>
              <w:t>Если реквизит «Код валюты» имеет значение рав</w:t>
            </w:r>
            <w:r w:rsidR="00BA58C1" w:rsidRPr="00264D5D">
              <w:rPr>
                <w:szCs w:val="22"/>
              </w:rPr>
              <w:t>ное «643», то длина поля = 20</w:t>
            </w:r>
          </w:p>
        </w:tc>
      </w:tr>
      <w:tr w:rsidR="00AD1F54" w:rsidRPr="00264D5D" w14:paraId="178EA712"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5" w:type="pct"/>
          </w:tcPr>
          <w:p w14:paraId="28C03057" w14:textId="77777777" w:rsidR="00AD1F54" w:rsidRPr="00264D5D" w:rsidRDefault="00941227">
            <w:pPr>
              <w:pStyle w:val="GOSTTablenorm"/>
            </w:pPr>
            <w:r w:rsidRPr="00264D5D">
              <w:t>Наименование банка контрагента</w:t>
            </w:r>
          </w:p>
        </w:tc>
        <w:tc>
          <w:tcPr>
            <w:tcW w:w="889" w:type="pct"/>
          </w:tcPr>
          <w:p w14:paraId="700B420F" w14:textId="77777777" w:rsidR="00AD1F54" w:rsidRPr="00264D5D" w:rsidRDefault="00941227">
            <w:pPr>
              <w:pStyle w:val="GOSTTablenorm"/>
            </w:pPr>
            <w:r w:rsidRPr="00264D5D">
              <w:t>Nm</w:t>
            </w:r>
          </w:p>
        </w:tc>
        <w:tc>
          <w:tcPr>
            <w:tcW w:w="294" w:type="pct"/>
          </w:tcPr>
          <w:p w14:paraId="7AF22C16" w14:textId="77777777" w:rsidR="00AD1F54" w:rsidRPr="00264D5D" w:rsidRDefault="00941227">
            <w:pPr>
              <w:pStyle w:val="GOSTTablenorm"/>
              <w:jc w:val="center"/>
            </w:pPr>
            <w:r w:rsidRPr="00264D5D">
              <w:t>П</w:t>
            </w:r>
          </w:p>
        </w:tc>
        <w:tc>
          <w:tcPr>
            <w:tcW w:w="584" w:type="pct"/>
          </w:tcPr>
          <w:p w14:paraId="379244E6" w14:textId="77777777" w:rsidR="00AD1F54" w:rsidRPr="00264D5D" w:rsidRDefault="00941227">
            <w:pPr>
              <w:pStyle w:val="GOSTTablenorm"/>
            </w:pPr>
            <w:r w:rsidRPr="00264D5D">
              <w:t>Т(1-160)</w:t>
            </w:r>
          </w:p>
        </w:tc>
        <w:tc>
          <w:tcPr>
            <w:tcW w:w="292" w:type="pct"/>
          </w:tcPr>
          <w:p w14:paraId="0169FD9B" w14:textId="77777777" w:rsidR="00AD1F54" w:rsidRPr="00264D5D" w:rsidRDefault="00941227">
            <w:pPr>
              <w:pStyle w:val="GOSTTablenorm"/>
              <w:jc w:val="center"/>
            </w:pPr>
            <w:r w:rsidRPr="00264D5D">
              <w:t>О</w:t>
            </w:r>
          </w:p>
        </w:tc>
        <w:tc>
          <w:tcPr>
            <w:tcW w:w="2057" w:type="pct"/>
          </w:tcPr>
          <w:p w14:paraId="5A32D2D0" w14:textId="77777777" w:rsidR="00AD1F54" w:rsidRPr="00264D5D" w:rsidRDefault="00941227">
            <w:pPr>
              <w:rPr>
                <w:sz w:val="22"/>
                <w:szCs w:val="22"/>
              </w:rPr>
            </w:pPr>
            <w:r w:rsidRPr="00264D5D">
              <w:rPr>
                <w:sz w:val="22"/>
                <w:szCs w:val="22"/>
              </w:rPr>
              <w:t>Указывается:</w:t>
            </w:r>
          </w:p>
          <w:p w14:paraId="6ACE558B" w14:textId="77777777" w:rsidR="00AD1F54" w:rsidRPr="00264D5D" w:rsidRDefault="00941227" w:rsidP="00E7460C">
            <w:pPr>
              <w:pStyle w:val="af5"/>
              <w:numPr>
                <w:ilvl w:val="0"/>
                <w:numId w:val="86"/>
              </w:numPr>
              <w:spacing w:before="60" w:after="60"/>
              <w:ind w:left="284" w:hanging="227"/>
              <w:contextualSpacing/>
              <w:jc w:val="both"/>
              <w:rPr>
                <w:sz w:val="22"/>
                <w:szCs w:val="22"/>
              </w:rPr>
            </w:pPr>
            <w:r w:rsidRPr="00264D5D">
              <w:rPr>
                <w:sz w:val="22"/>
                <w:szCs w:val="22"/>
              </w:rPr>
              <w:t>наименование банка, обслуживающего ТОФК получателя, знак «//», сокращенное наименование и место нахождения ТОФК получателя, если получатель платежа является участником СКП;</w:t>
            </w:r>
          </w:p>
          <w:p w14:paraId="08B4B4F4" w14:textId="77777777" w:rsidR="00AD1F54" w:rsidRPr="00264D5D" w:rsidRDefault="00941227" w:rsidP="00E7460C">
            <w:pPr>
              <w:pStyle w:val="af5"/>
              <w:numPr>
                <w:ilvl w:val="0"/>
                <w:numId w:val="86"/>
              </w:numPr>
              <w:spacing w:before="60" w:after="60"/>
              <w:ind w:left="284" w:hanging="227"/>
              <w:contextualSpacing/>
              <w:jc w:val="both"/>
              <w:rPr>
                <w:sz w:val="22"/>
                <w:szCs w:val="22"/>
              </w:rPr>
            </w:pPr>
            <w:r w:rsidRPr="00264D5D">
              <w:rPr>
                <w:sz w:val="22"/>
                <w:szCs w:val="22"/>
              </w:rPr>
              <w:t xml:space="preserve">наименование банка, в </w:t>
            </w:r>
            <w:r w:rsidR="00BA58C1" w:rsidRPr="00264D5D">
              <w:rPr>
                <w:sz w:val="22"/>
                <w:szCs w:val="22"/>
              </w:rPr>
              <w:t>котором открыт счет контрагента</w:t>
            </w:r>
          </w:p>
        </w:tc>
      </w:tr>
      <w:tr w:rsidR="00AD1F54" w:rsidRPr="00264D5D" w14:paraId="0EBBDB0F"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5" w:type="pct"/>
          </w:tcPr>
          <w:p w14:paraId="56AC1A61" w14:textId="77777777" w:rsidR="00AD1F54" w:rsidRPr="00264D5D" w:rsidRDefault="00941227">
            <w:pPr>
              <w:pStyle w:val="GOSTTablenorm"/>
            </w:pPr>
            <w:r w:rsidRPr="00264D5D">
              <w:rPr>
                <w:szCs w:val="22"/>
              </w:rPr>
              <w:t>БИК банка контрагента/ТОФК</w:t>
            </w:r>
          </w:p>
        </w:tc>
        <w:tc>
          <w:tcPr>
            <w:tcW w:w="889" w:type="pct"/>
          </w:tcPr>
          <w:p w14:paraId="237CE7F6" w14:textId="77777777" w:rsidR="00AD1F54" w:rsidRPr="00264D5D" w:rsidRDefault="00941227">
            <w:pPr>
              <w:pStyle w:val="GOSTTablenorm"/>
            </w:pPr>
            <w:r w:rsidRPr="00264D5D">
              <w:t>BIK</w:t>
            </w:r>
          </w:p>
        </w:tc>
        <w:tc>
          <w:tcPr>
            <w:tcW w:w="294" w:type="pct"/>
          </w:tcPr>
          <w:p w14:paraId="09DB915A" w14:textId="77777777" w:rsidR="00AD1F54" w:rsidRPr="00264D5D" w:rsidRDefault="00941227">
            <w:pPr>
              <w:pStyle w:val="GOSTTablenorm"/>
              <w:jc w:val="center"/>
            </w:pPr>
            <w:r w:rsidRPr="00264D5D">
              <w:t>П</w:t>
            </w:r>
          </w:p>
        </w:tc>
        <w:tc>
          <w:tcPr>
            <w:tcW w:w="584" w:type="pct"/>
          </w:tcPr>
          <w:p w14:paraId="4763DA06" w14:textId="77777777" w:rsidR="00AD1F54" w:rsidRPr="00264D5D" w:rsidRDefault="00941227">
            <w:pPr>
              <w:pStyle w:val="GOSTTablenorm"/>
            </w:pPr>
            <w:r w:rsidRPr="00264D5D">
              <w:t>Т(9)</w:t>
            </w:r>
          </w:p>
        </w:tc>
        <w:tc>
          <w:tcPr>
            <w:tcW w:w="292" w:type="pct"/>
          </w:tcPr>
          <w:p w14:paraId="5CAFF816" w14:textId="77777777" w:rsidR="00AD1F54" w:rsidRPr="00264D5D" w:rsidRDefault="00941227">
            <w:pPr>
              <w:pStyle w:val="GOSTTablenorm"/>
              <w:jc w:val="center"/>
            </w:pPr>
            <w:r w:rsidRPr="00264D5D">
              <w:t>Н</w:t>
            </w:r>
          </w:p>
        </w:tc>
        <w:tc>
          <w:tcPr>
            <w:tcW w:w="2057" w:type="pct"/>
          </w:tcPr>
          <w:p w14:paraId="65CD5103" w14:textId="77777777" w:rsidR="00AD1F54" w:rsidRPr="00264D5D" w:rsidRDefault="00941227">
            <w:pPr>
              <w:pStyle w:val="GOSTTablenorm"/>
              <w:rPr>
                <w:szCs w:val="22"/>
              </w:rPr>
            </w:pPr>
            <w:r w:rsidRPr="00264D5D">
              <w:rPr>
                <w:szCs w:val="22"/>
              </w:rPr>
              <w:t>Указывается:</w:t>
            </w:r>
          </w:p>
          <w:p w14:paraId="10A9C4F2" w14:textId="77777777" w:rsidR="00AD1F54" w:rsidRPr="00264D5D" w:rsidRDefault="00941227" w:rsidP="00E7460C">
            <w:pPr>
              <w:pStyle w:val="af5"/>
              <w:numPr>
                <w:ilvl w:val="0"/>
                <w:numId w:val="86"/>
              </w:numPr>
              <w:spacing w:before="60" w:after="60"/>
              <w:ind w:left="284" w:hanging="227"/>
              <w:contextualSpacing/>
              <w:jc w:val="both"/>
              <w:rPr>
                <w:sz w:val="22"/>
                <w:szCs w:val="22"/>
              </w:rPr>
            </w:pPr>
            <w:r w:rsidRPr="00264D5D">
              <w:rPr>
                <w:sz w:val="22"/>
                <w:szCs w:val="22"/>
              </w:rPr>
              <w:t xml:space="preserve">БИК ТОФК, если получатель денежных средств обслуживается в </w:t>
            </w:r>
            <w:r w:rsidRPr="00264D5D">
              <w:rPr>
                <w:sz w:val="22"/>
                <w:szCs w:val="22"/>
              </w:rPr>
              <w:lastRenderedPageBreak/>
              <w:t>ТОФК;</w:t>
            </w:r>
          </w:p>
          <w:p w14:paraId="5BF53E1F" w14:textId="77777777" w:rsidR="00AD1F54" w:rsidRPr="00264D5D" w:rsidRDefault="00941227" w:rsidP="00E7460C">
            <w:pPr>
              <w:pStyle w:val="af5"/>
              <w:numPr>
                <w:ilvl w:val="0"/>
                <w:numId w:val="86"/>
              </w:numPr>
              <w:spacing w:before="60" w:after="60"/>
              <w:ind w:left="284" w:hanging="227"/>
              <w:contextualSpacing/>
              <w:jc w:val="both"/>
              <w:rPr>
                <w:sz w:val="22"/>
                <w:szCs w:val="22"/>
              </w:rPr>
            </w:pPr>
            <w:r w:rsidRPr="00264D5D">
              <w:rPr>
                <w:sz w:val="22"/>
                <w:szCs w:val="22"/>
              </w:rPr>
              <w:t>БИК банка, в котором открыт счет контрагента, в иных случаях.</w:t>
            </w:r>
          </w:p>
          <w:p w14:paraId="6A5D0CAB" w14:textId="77777777" w:rsidR="00AD1F54" w:rsidRPr="00264D5D" w:rsidRDefault="00941227">
            <w:pPr>
              <w:pStyle w:val="GOSTTablenorm"/>
              <w:rPr>
                <w:szCs w:val="22"/>
              </w:rPr>
            </w:pPr>
            <w:r w:rsidRPr="00264D5D">
              <w:rPr>
                <w:szCs w:val="22"/>
              </w:rPr>
              <w:t>Обязательно для заполнения при оформле</w:t>
            </w:r>
            <w:r w:rsidR="00BA58C1" w:rsidRPr="00264D5D">
              <w:rPr>
                <w:szCs w:val="22"/>
              </w:rPr>
              <w:t>нии Заявки в валюте РФ (рублях)</w:t>
            </w:r>
          </w:p>
        </w:tc>
      </w:tr>
      <w:tr w:rsidR="00AD1F54" w:rsidRPr="00264D5D" w14:paraId="017A3328"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5" w:type="pct"/>
          </w:tcPr>
          <w:p w14:paraId="57CF873E" w14:textId="77777777" w:rsidR="00AD1F54" w:rsidRPr="00264D5D" w:rsidRDefault="00941227">
            <w:pPr>
              <w:pStyle w:val="GOSTTablenorm"/>
            </w:pPr>
            <w:r w:rsidRPr="00264D5D">
              <w:rPr>
                <w:szCs w:val="22"/>
              </w:rPr>
              <w:lastRenderedPageBreak/>
              <w:t>Корсчет банка контрагента/ТОФК</w:t>
            </w:r>
          </w:p>
        </w:tc>
        <w:tc>
          <w:tcPr>
            <w:tcW w:w="889" w:type="pct"/>
          </w:tcPr>
          <w:p w14:paraId="4F844996" w14:textId="77777777" w:rsidR="00AD1F54" w:rsidRPr="00264D5D" w:rsidRDefault="00941227">
            <w:pPr>
              <w:pStyle w:val="GOSTTablenorm"/>
            </w:pPr>
            <w:r w:rsidRPr="00264D5D">
              <w:t>CrAccNm</w:t>
            </w:r>
          </w:p>
        </w:tc>
        <w:tc>
          <w:tcPr>
            <w:tcW w:w="294" w:type="pct"/>
          </w:tcPr>
          <w:p w14:paraId="2107E732" w14:textId="77777777" w:rsidR="00AD1F54" w:rsidRPr="00264D5D" w:rsidRDefault="00941227">
            <w:pPr>
              <w:pStyle w:val="GOSTTablenorm"/>
              <w:jc w:val="center"/>
            </w:pPr>
            <w:r w:rsidRPr="00264D5D">
              <w:t>П</w:t>
            </w:r>
          </w:p>
        </w:tc>
        <w:tc>
          <w:tcPr>
            <w:tcW w:w="584" w:type="pct"/>
          </w:tcPr>
          <w:p w14:paraId="473D2BA0" w14:textId="77777777" w:rsidR="00AD1F54" w:rsidRPr="00264D5D" w:rsidRDefault="00941227">
            <w:pPr>
              <w:pStyle w:val="GOSTTablenorm"/>
            </w:pPr>
            <w:r w:rsidRPr="00264D5D">
              <w:t>Т(1-3</w:t>
            </w:r>
            <w:r w:rsidRPr="00264D5D">
              <w:rPr>
                <w:lang w:val="en-US"/>
              </w:rPr>
              <w:t>4</w:t>
            </w:r>
            <w:r w:rsidRPr="00264D5D">
              <w:t>)</w:t>
            </w:r>
          </w:p>
        </w:tc>
        <w:tc>
          <w:tcPr>
            <w:tcW w:w="292" w:type="pct"/>
          </w:tcPr>
          <w:p w14:paraId="10BF7763" w14:textId="77777777" w:rsidR="00AD1F54" w:rsidRPr="00264D5D" w:rsidRDefault="00941227">
            <w:pPr>
              <w:pStyle w:val="GOSTTablenorm"/>
              <w:jc w:val="center"/>
            </w:pPr>
            <w:r w:rsidRPr="00264D5D">
              <w:t>Н</w:t>
            </w:r>
          </w:p>
        </w:tc>
        <w:tc>
          <w:tcPr>
            <w:tcW w:w="2057" w:type="pct"/>
          </w:tcPr>
          <w:p w14:paraId="1C53D7C6" w14:textId="77777777" w:rsidR="00AD1F54" w:rsidRPr="00264D5D" w:rsidRDefault="00941227">
            <w:pPr>
              <w:rPr>
                <w:sz w:val="22"/>
                <w:szCs w:val="22"/>
              </w:rPr>
            </w:pPr>
            <w:r w:rsidRPr="00264D5D">
              <w:rPr>
                <w:sz w:val="22"/>
                <w:szCs w:val="22"/>
              </w:rPr>
              <w:t>Указывается:</w:t>
            </w:r>
          </w:p>
          <w:p w14:paraId="5789935B" w14:textId="77777777" w:rsidR="00AD1F54" w:rsidRPr="00264D5D" w:rsidRDefault="00941227" w:rsidP="00E7460C">
            <w:pPr>
              <w:pStyle w:val="af5"/>
              <w:numPr>
                <w:ilvl w:val="0"/>
                <w:numId w:val="86"/>
              </w:numPr>
              <w:spacing w:before="60" w:after="60"/>
              <w:ind w:left="284" w:hanging="227"/>
              <w:contextualSpacing/>
              <w:jc w:val="both"/>
              <w:rPr>
                <w:sz w:val="22"/>
                <w:szCs w:val="22"/>
              </w:rPr>
            </w:pPr>
            <w:r w:rsidRPr="00264D5D">
              <w:rPr>
                <w:sz w:val="22"/>
                <w:szCs w:val="22"/>
              </w:rPr>
              <w:t>корсчет ТОФК, в котором обслуживается получатель денежных средств;</w:t>
            </w:r>
          </w:p>
          <w:p w14:paraId="53E6EE63" w14:textId="77777777" w:rsidR="00AD1F54" w:rsidRPr="00264D5D" w:rsidRDefault="00941227" w:rsidP="00E7460C">
            <w:pPr>
              <w:pStyle w:val="af5"/>
              <w:numPr>
                <w:ilvl w:val="0"/>
                <w:numId w:val="86"/>
              </w:numPr>
              <w:spacing w:before="60" w:after="60"/>
              <w:ind w:left="284" w:hanging="227"/>
              <w:contextualSpacing/>
              <w:jc w:val="both"/>
              <w:rPr>
                <w:sz w:val="22"/>
                <w:szCs w:val="22"/>
              </w:rPr>
            </w:pPr>
            <w:r w:rsidRPr="00264D5D">
              <w:rPr>
                <w:sz w:val="22"/>
                <w:szCs w:val="22"/>
              </w:rPr>
              <w:t xml:space="preserve">корсчет банка контрагента, в иных случаях.  </w:t>
            </w:r>
          </w:p>
          <w:p w14:paraId="5D542E1F" w14:textId="77777777" w:rsidR="00AD1F54" w:rsidRPr="00264D5D" w:rsidRDefault="00941227" w:rsidP="00BA58C1">
            <w:pPr>
              <w:rPr>
                <w:sz w:val="22"/>
                <w:szCs w:val="22"/>
              </w:rPr>
            </w:pPr>
            <w:r w:rsidRPr="00264D5D">
              <w:rPr>
                <w:sz w:val="22"/>
                <w:szCs w:val="22"/>
              </w:rPr>
              <w:t xml:space="preserve">Поле заполняется, если банк контрагента не является ГРКЦ/РКЦ. Если реквизит «Код валюты» имеет значение равное «643», </w:t>
            </w:r>
            <w:r w:rsidR="00BA58C1" w:rsidRPr="00264D5D">
              <w:rPr>
                <w:sz w:val="22"/>
                <w:szCs w:val="22"/>
              </w:rPr>
              <w:t>то длина поля равна 20 символам</w:t>
            </w:r>
          </w:p>
        </w:tc>
      </w:tr>
    </w:tbl>
    <w:p w14:paraId="48093B7B" w14:textId="77777777" w:rsidR="00AD1F54" w:rsidRPr="00264D5D" w:rsidRDefault="00941227">
      <w:pPr>
        <w:pStyle w:val="31"/>
      </w:pPr>
      <w:bookmarkStart w:id="822" w:name="_Toc528144445"/>
      <w:bookmarkStart w:id="823" w:name="_Toc528584430"/>
      <w:bookmarkStart w:id="824" w:name="_Toc528144446"/>
      <w:bookmarkStart w:id="825" w:name="_Toc528584431"/>
      <w:bookmarkStart w:id="826" w:name="_Toc528144447"/>
      <w:bookmarkStart w:id="827" w:name="_Toc528584432"/>
      <w:bookmarkStart w:id="828" w:name="_Toc508712669"/>
      <w:bookmarkStart w:id="829" w:name="_Toc18509231"/>
      <w:bookmarkEnd w:id="822"/>
      <w:bookmarkEnd w:id="823"/>
      <w:bookmarkEnd w:id="824"/>
      <w:bookmarkEnd w:id="825"/>
      <w:bookmarkEnd w:id="826"/>
      <w:bookmarkEnd w:id="827"/>
      <w:r w:rsidRPr="00264D5D">
        <w:t xml:space="preserve"> </w:t>
      </w:r>
      <w:bookmarkStart w:id="830" w:name="_Toc219309498"/>
      <w:r w:rsidRPr="00264D5D">
        <w:t>Описание комплексного типа «tSGNNmPs»</w:t>
      </w:r>
      <w:bookmarkEnd w:id="828"/>
      <w:bookmarkEnd w:id="829"/>
      <w:bookmarkEnd w:id="830"/>
    </w:p>
    <w:p w14:paraId="253BAF22" w14:textId="77777777" w:rsidR="00AD1F54" w:rsidRPr="00264D5D" w:rsidRDefault="00941227">
      <w:pPr>
        <w:pStyle w:val="GOSTNormal"/>
      </w:pPr>
      <w:r w:rsidRPr="00264D5D">
        <w:t>Описание комплексного типа «tSGNNmPs» блоков «Информация о руководителе» и «Информация о главном бухгалтере (уполномоченном руководителем лице)».</w:t>
      </w:r>
    </w:p>
    <w:p w14:paraId="7DBA7B4C" w14:textId="72BA7C6C"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831" w:name="_Ref503530256"/>
      <w:bookmarkStart w:id="832" w:name="_Toc18509519"/>
      <w:bookmarkStart w:id="833" w:name="_Toc219309090"/>
      <w:r w:rsidR="008D797C">
        <w:rPr>
          <w:noProof/>
        </w:rPr>
        <w:t>60</w:t>
      </w:r>
      <w:bookmarkEnd w:id="831"/>
      <w:r w:rsidRPr="00264D5D">
        <w:fldChar w:fldCharType="end"/>
      </w:r>
      <w:r w:rsidRPr="00264D5D">
        <w:rPr>
          <w:rFonts w:eastAsia="Calibri"/>
          <w:szCs w:val="24"/>
        </w:rPr>
        <w:t xml:space="preserve"> –</w:t>
      </w:r>
      <w:r w:rsidRPr="00264D5D">
        <w:t xml:space="preserve"> Описание комплексного типа «tSGNNmPs»</w:t>
      </w:r>
      <w:bookmarkEnd w:id="832"/>
      <w:bookmarkEnd w:id="833"/>
    </w:p>
    <w:tbl>
      <w:tblPr>
        <w:tblStyle w:val="GOSTTable"/>
        <w:tblW w:w="5000" w:type="pct"/>
        <w:tblLayout w:type="fixed"/>
        <w:tblLook w:val="01E0" w:firstRow="1" w:lastRow="1" w:firstColumn="1" w:lastColumn="1" w:noHBand="0" w:noVBand="0"/>
      </w:tblPr>
      <w:tblGrid>
        <w:gridCol w:w="1707"/>
        <w:gridCol w:w="1703"/>
        <w:gridCol w:w="567"/>
        <w:gridCol w:w="1134"/>
        <w:gridCol w:w="567"/>
        <w:gridCol w:w="3972"/>
      </w:tblGrid>
      <w:tr w:rsidR="00AD1F54" w:rsidRPr="00264D5D" w14:paraId="0E2F6CC3"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3" w:type="dxa"/>
          </w:tcPr>
          <w:p w14:paraId="76190B8A" w14:textId="77777777" w:rsidR="00AD1F54" w:rsidRPr="00264D5D" w:rsidRDefault="00941227">
            <w:pPr>
              <w:pStyle w:val="ASFKTableHead"/>
            </w:pPr>
            <w:r w:rsidRPr="00264D5D">
              <w:t>Наименование элемента</w:t>
            </w:r>
          </w:p>
        </w:tc>
        <w:tc>
          <w:tcPr>
            <w:tcW w:w="1699" w:type="dxa"/>
          </w:tcPr>
          <w:p w14:paraId="39DCB3EE" w14:textId="77777777" w:rsidR="00AD1F54" w:rsidRPr="00264D5D" w:rsidRDefault="00941227">
            <w:pPr>
              <w:pStyle w:val="ASFKTableHead"/>
            </w:pPr>
            <w:r w:rsidRPr="00264D5D">
              <w:t>Сокращенное наименование (код) элемента</w:t>
            </w:r>
          </w:p>
        </w:tc>
        <w:tc>
          <w:tcPr>
            <w:tcW w:w="566" w:type="dxa"/>
          </w:tcPr>
          <w:p w14:paraId="62EF829B" w14:textId="77777777" w:rsidR="00AD1F54" w:rsidRPr="00264D5D" w:rsidRDefault="00941227">
            <w:pPr>
              <w:pStyle w:val="ASFKTableHead"/>
            </w:pPr>
            <w:r w:rsidRPr="00264D5D">
              <w:t>Тип</w:t>
            </w:r>
          </w:p>
        </w:tc>
        <w:tc>
          <w:tcPr>
            <w:tcW w:w="1132" w:type="dxa"/>
          </w:tcPr>
          <w:p w14:paraId="197269A6" w14:textId="77777777" w:rsidR="00AD1F54" w:rsidRPr="00264D5D" w:rsidRDefault="00941227">
            <w:pPr>
              <w:pStyle w:val="ASFKTableHead"/>
            </w:pPr>
            <w:r w:rsidRPr="00264D5D">
              <w:t>Формат элемента</w:t>
            </w:r>
          </w:p>
        </w:tc>
        <w:tc>
          <w:tcPr>
            <w:tcW w:w="566" w:type="dxa"/>
          </w:tcPr>
          <w:p w14:paraId="554BCA03" w14:textId="77777777" w:rsidR="00AD1F54" w:rsidRPr="00264D5D" w:rsidRDefault="00941227">
            <w:pPr>
              <w:pStyle w:val="ASFKTableHead"/>
            </w:pPr>
            <w:r w:rsidRPr="00264D5D">
              <w:t>Обязательность</w:t>
            </w:r>
          </w:p>
        </w:tc>
        <w:tc>
          <w:tcPr>
            <w:tcW w:w="3963" w:type="dxa"/>
          </w:tcPr>
          <w:p w14:paraId="5791C495" w14:textId="77777777" w:rsidR="00AD1F54" w:rsidRPr="00264D5D" w:rsidRDefault="00941227">
            <w:pPr>
              <w:pStyle w:val="ASFKTableHead"/>
            </w:pPr>
            <w:r w:rsidRPr="00264D5D">
              <w:t>Дополнительная информация</w:t>
            </w:r>
          </w:p>
        </w:tc>
      </w:tr>
      <w:tr w:rsidR="00AD1F54" w:rsidRPr="00264D5D" w14:paraId="0FE5C36C" w14:textId="77777777" w:rsidTr="00AD1F54">
        <w:trPr>
          <w:cnfStyle w:val="000000100000" w:firstRow="0" w:lastRow="0" w:firstColumn="0" w:lastColumn="0" w:oddVBand="0" w:evenVBand="0" w:oddHBand="1" w:evenHBand="0" w:firstRowFirstColumn="0" w:firstRowLastColumn="0" w:lastRowFirstColumn="0" w:lastRowLastColumn="0"/>
        </w:trPr>
        <w:tc>
          <w:tcPr>
            <w:tcW w:w="1703" w:type="dxa"/>
          </w:tcPr>
          <w:p w14:paraId="4C6C2624" w14:textId="77777777" w:rsidR="00AD1F54" w:rsidRPr="00264D5D" w:rsidRDefault="00941227">
            <w:pPr>
              <w:pStyle w:val="GOSTTablenorm"/>
              <w:rPr>
                <w:szCs w:val="22"/>
              </w:rPr>
            </w:pPr>
            <w:r w:rsidRPr="00264D5D">
              <w:t xml:space="preserve">Должность </w:t>
            </w:r>
          </w:p>
        </w:tc>
        <w:tc>
          <w:tcPr>
            <w:tcW w:w="1699" w:type="dxa"/>
          </w:tcPr>
          <w:p w14:paraId="6C0020D9" w14:textId="77777777" w:rsidR="00AD1F54" w:rsidRPr="00264D5D" w:rsidRDefault="00941227">
            <w:pPr>
              <w:pStyle w:val="GOSTTablenorm"/>
              <w:rPr>
                <w:lang w:val="en-US"/>
              </w:rPr>
            </w:pPr>
            <w:r w:rsidRPr="00264D5D">
              <w:rPr>
                <w:lang w:val="en-US"/>
              </w:rPr>
              <w:t>Pst</w:t>
            </w:r>
          </w:p>
        </w:tc>
        <w:tc>
          <w:tcPr>
            <w:tcW w:w="566" w:type="dxa"/>
          </w:tcPr>
          <w:p w14:paraId="5BF902A4" w14:textId="77777777" w:rsidR="00AD1F54" w:rsidRPr="00264D5D" w:rsidRDefault="00941227">
            <w:pPr>
              <w:pStyle w:val="GOSTTablenorm"/>
              <w:jc w:val="center"/>
            </w:pPr>
            <w:r w:rsidRPr="00264D5D">
              <w:t>П</w:t>
            </w:r>
          </w:p>
        </w:tc>
        <w:tc>
          <w:tcPr>
            <w:tcW w:w="1132" w:type="dxa"/>
          </w:tcPr>
          <w:p w14:paraId="7AE7374C" w14:textId="77777777" w:rsidR="00AD1F54" w:rsidRPr="00264D5D" w:rsidRDefault="00941227">
            <w:pPr>
              <w:pStyle w:val="GOSTTablenorm"/>
            </w:pPr>
            <w:r w:rsidRPr="00264D5D">
              <w:t>Т(1-100)</w:t>
            </w:r>
          </w:p>
        </w:tc>
        <w:tc>
          <w:tcPr>
            <w:tcW w:w="566" w:type="dxa"/>
          </w:tcPr>
          <w:p w14:paraId="13416A21" w14:textId="77777777" w:rsidR="00AD1F54" w:rsidRPr="00264D5D" w:rsidRDefault="00941227">
            <w:pPr>
              <w:pStyle w:val="GOSTTablenorm"/>
              <w:jc w:val="center"/>
            </w:pPr>
            <w:r w:rsidRPr="00264D5D">
              <w:t>Н</w:t>
            </w:r>
          </w:p>
        </w:tc>
        <w:tc>
          <w:tcPr>
            <w:tcW w:w="3963" w:type="dxa"/>
          </w:tcPr>
          <w:p w14:paraId="4F912FDB" w14:textId="77777777" w:rsidR="00AD1F54" w:rsidRPr="00264D5D" w:rsidRDefault="00BA58C1">
            <w:pPr>
              <w:pStyle w:val="GOSTTablenorm"/>
            </w:pPr>
            <w:r w:rsidRPr="00264D5D">
              <w:t>Указывается должность</w:t>
            </w:r>
          </w:p>
        </w:tc>
      </w:tr>
      <w:tr w:rsidR="00AD1F54" w:rsidRPr="00264D5D" w14:paraId="3BA4879F" w14:textId="77777777" w:rsidTr="00AD1F54">
        <w:trPr>
          <w:cnfStyle w:val="000000010000" w:firstRow="0" w:lastRow="0" w:firstColumn="0" w:lastColumn="0" w:oddVBand="0" w:evenVBand="0" w:oddHBand="0" w:evenHBand="1" w:firstRowFirstColumn="0" w:firstRowLastColumn="0" w:lastRowFirstColumn="0" w:lastRowLastColumn="0"/>
        </w:trPr>
        <w:tc>
          <w:tcPr>
            <w:tcW w:w="1703" w:type="dxa"/>
          </w:tcPr>
          <w:p w14:paraId="7C86B80F" w14:textId="77777777" w:rsidR="00AD1F54" w:rsidRPr="00264D5D" w:rsidRDefault="00941227">
            <w:pPr>
              <w:pStyle w:val="GOSTTablenorm"/>
              <w:rPr>
                <w:szCs w:val="22"/>
              </w:rPr>
            </w:pPr>
            <w:r w:rsidRPr="00264D5D">
              <w:t>ФИО</w:t>
            </w:r>
          </w:p>
        </w:tc>
        <w:tc>
          <w:tcPr>
            <w:tcW w:w="1699" w:type="dxa"/>
          </w:tcPr>
          <w:p w14:paraId="57500FA2" w14:textId="77777777" w:rsidR="00AD1F54" w:rsidRPr="00264D5D" w:rsidRDefault="00941227">
            <w:pPr>
              <w:pStyle w:val="GOSTTablenorm"/>
            </w:pPr>
            <w:r w:rsidRPr="00264D5D">
              <w:rPr>
                <w:lang w:val="en-US"/>
              </w:rPr>
              <w:t>FIO</w:t>
            </w:r>
          </w:p>
        </w:tc>
        <w:tc>
          <w:tcPr>
            <w:tcW w:w="566" w:type="dxa"/>
          </w:tcPr>
          <w:p w14:paraId="3574A12E" w14:textId="77777777" w:rsidR="00AD1F54" w:rsidRPr="00264D5D" w:rsidRDefault="00941227">
            <w:pPr>
              <w:pStyle w:val="GOSTTablenorm"/>
              <w:jc w:val="center"/>
            </w:pPr>
            <w:r w:rsidRPr="00264D5D">
              <w:t>П</w:t>
            </w:r>
          </w:p>
        </w:tc>
        <w:tc>
          <w:tcPr>
            <w:tcW w:w="1132" w:type="dxa"/>
          </w:tcPr>
          <w:p w14:paraId="565827B1" w14:textId="77777777" w:rsidR="00AD1F54" w:rsidRPr="00264D5D" w:rsidRDefault="00941227">
            <w:pPr>
              <w:pStyle w:val="GOSTTablenorm"/>
            </w:pPr>
            <w:r w:rsidRPr="00264D5D">
              <w:t>Т(1-50)</w:t>
            </w:r>
          </w:p>
        </w:tc>
        <w:tc>
          <w:tcPr>
            <w:tcW w:w="566" w:type="dxa"/>
          </w:tcPr>
          <w:p w14:paraId="0EF7A42B" w14:textId="77777777" w:rsidR="00AD1F54" w:rsidRPr="00264D5D" w:rsidRDefault="00941227">
            <w:pPr>
              <w:pStyle w:val="GOSTTablenorm"/>
              <w:jc w:val="center"/>
            </w:pPr>
            <w:r w:rsidRPr="00264D5D">
              <w:t>О</w:t>
            </w:r>
          </w:p>
        </w:tc>
        <w:tc>
          <w:tcPr>
            <w:tcW w:w="3963" w:type="dxa"/>
          </w:tcPr>
          <w:p w14:paraId="4D61CA8E" w14:textId="77777777" w:rsidR="00AD1F54" w:rsidRPr="00264D5D" w:rsidRDefault="00941227">
            <w:pPr>
              <w:pStyle w:val="GOSTTablenorm"/>
              <w:rPr>
                <w:szCs w:val="22"/>
              </w:rPr>
            </w:pPr>
            <w:r w:rsidRPr="00264D5D">
              <w:t xml:space="preserve">Указывается расшифровка подписи </w:t>
            </w:r>
            <w:r w:rsidR="00BA58C1" w:rsidRPr="00264D5D">
              <w:t>с указанием инициалов и фамилии</w:t>
            </w:r>
          </w:p>
        </w:tc>
      </w:tr>
    </w:tbl>
    <w:p w14:paraId="31F3B707" w14:textId="77777777" w:rsidR="00AD1F54" w:rsidRPr="00264D5D" w:rsidRDefault="00941227">
      <w:pPr>
        <w:pStyle w:val="31"/>
      </w:pPr>
      <w:bookmarkStart w:id="834" w:name="_Toc508712671"/>
      <w:bookmarkStart w:id="835" w:name="_Toc18509232"/>
      <w:bookmarkStart w:id="836" w:name="_Toc499635942"/>
      <w:bookmarkEnd w:id="743"/>
      <w:r w:rsidRPr="00264D5D">
        <w:t xml:space="preserve"> </w:t>
      </w:r>
      <w:bookmarkStart w:id="837" w:name="_Toc219309499"/>
      <w:r w:rsidRPr="00264D5D">
        <w:t>Описание комплексного типа «tMSC_MrkOrFK»</w:t>
      </w:r>
      <w:bookmarkEnd w:id="834"/>
      <w:bookmarkEnd w:id="835"/>
      <w:bookmarkEnd w:id="837"/>
    </w:p>
    <w:p w14:paraId="6DC16055" w14:textId="77777777" w:rsidR="00AD1F54" w:rsidRPr="00264D5D" w:rsidRDefault="00941227">
      <w:pPr>
        <w:pStyle w:val="GOSTNormal"/>
      </w:pPr>
      <w:r w:rsidRPr="00264D5D">
        <w:t>Описание комплексного типа «tMSC_MrkOrFK» блока «Отметка ТОФК».</w:t>
      </w:r>
    </w:p>
    <w:p w14:paraId="2E998016" w14:textId="209EA671"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838" w:name="_Ref503530413"/>
      <w:bookmarkStart w:id="839" w:name="_Toc18509520"/>
      <w:bookmarkStart w:id="840" w:name="_Toc219309091"/>
      <w:r w:rsidR="008D797C">
        <w:rPr>
          <w:noProof/>
        </w:rPr>
        <w:t>61</w:t>
      </w:r>
      <w:bookmarkEnd w:id="838"/>
      <w:r w:rsidRPr="00264D5D">
        <w:fldChar w:fldCharType="end"/>
      </w:r>
      <w:r w:rsidRPr="00264D5D">
        <w:rPr>
          <w:rFonts w:eastAsia="Calibri"/>
          <w:szCs w:val="24"/>
        </w:rPr>
        <w:t xml:space="preserve"> –</w:t>
      </w:r>
      <w:r w:rsidRPr="00264D5D">
        <w:t xml:space="preserve"> Описание комплексного типа «tMSC_MrkOrFK»</w:t>
      </w:r>
      <w:bookmarkEnd w:id="839"/>
      <w:bookmarkEnd w:id="840"/>
    </w:p>
    <w:tbl>
      <w:tblPr>
        <w:tblStyle w:val="GOSTTable"/>
        <w:tblW w:w="5000" w:type="pct"/>
        <w:tblLayout w:type="fixed"/>
        <w:tblLook w:val="04A0" w:firstRow="1" w:lastRow="0" w:firstColumn="1" w:lastColumn="0" w:noHBand="0" w:noVBand="1"/>
      </w:tblPr>
      <w:tblGrid>
        <w:gridCol w:w="1703"/>
        <w:gridCol w:w="1705"/>
        <w:gridCol w:w="570"/>
        <w:gridCol w:w="1137"/>
        <w:gridCol w:w="567"/>
        <w:gridCol w:w="3968"/>
      </w:tblGrid>
      <w:tr w:rsidR="00AD1F54" w:rsidRPr="00264D5D" w14:paraId="02D1220B"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2" w:type="pct"/>
          </w:tcPr>
          <w:p w14:paraId="51D39259" w14:textId="77777777" w:rsidR="00AD1F54" w:rsidRPr="00264D5D" w:rsidRDefault="00941227">
            <w:pPr>
              <w:pStyle w:val="ASFKTableHead"/>
            </w:pPr>
            <w:r w:rsidRPr="00264D5D">
              <w:t>Наименование элемента</w:t>
            </w:r>
          </w:p>
        </w:tc>
        <w:tc>
          <w:tcPr>
            <w:tcW w:w="883" w:type="pct"/>
          </w:tcPr>
          <w:p w14:paraId="3CA24FAD" w14:textId="77777777" w:rsidR="00AD1F54" w:rsidRPr="00264D5D" w:rsidRDefault="00941227">
            <w:pPr>
              <w:pStyle w:val="ASFKTableHead"/>
            </w:pPr>
            <w:r w:rsidRPr="00264D5D">
              <w:t>Сокращенное наименование (код) элемента</w:t>
            </w:r>
          </w:p>
        </w:tc>
        <w:tc>
          <w:tcPr>
            <w:tcW w:w="295" w:type="pct"/>
          </w:tcPr>
          <w:p w14:paraId="39D7768A" w14:textId="77777777" w:rsidR="00AD1F54" w:rsidRPr="00264D5D" w:rsidRDefault="00941227">
            <w:pPr>
              <w:pStyle w:val="ASFKTableHead"/>
            </w:pPr>
            <w:r w:rsidRPr="00264D5D">
              <w:t>Тип</w:t>
            </w:r>
          </w:p>
        </w:tc>
        <w:tc>
          <w:tcPr>
            <w:tcW w:w="589" w:type="pct"/>
          </w:tcPr>
          <w:p w14:paraId="19EB6C0B" w14:textId="77777777" w:rsidR="00AD1F54" w:rsidRPr="00264D5D" w:rsidRDefault="00941227">
            <w:pPr>
              <w:pStyle w:val="ASFKTableHead"/>
            </w:pPr>
            <w:r w:rsidRPr="00264D5D">
              <w:t>Формат элемента</w:t>
            </w:r>
          </w:p>
        </w:tc>
        <w:tc>
          <w:tcPr>
            <w:tcW w:w="294" w:type="pct"/>
          </w:tcPr>
          <w:p w14:paraId="779CA8A7" w14:textId="77777777" w:rsidR="00AD1F54" w:rsidRPr="00264D5D" w:rsidRDefault="00941227">
            <w:pPr>
              <w:pStyle w:val="ASFKTableHead"/>
            </w:pPr>
            <w:r w:rsidRPr="00264D5D">
              <w:t>Обязательность</w:t>
            </w:r>
          </w:p>
        </w:tc>
        <w:tc>
          <w:tcPr>
            <w:tcW w:w="2056" w:type="pct"/>
          </w:tcPr>
          <w:p w14:paraId="4FFEF385" w14:textId="77777777" w:rsidR="00AD1F54" w:rsidRPr="00264D5D" w:rsidRDefault="00941227">
            <w:pPr>
              <w:pStyle w:val="ASFKTableHead"/>
            </w:pPr>
            <w:r w:rsidRPr="00264D5D">
              <w:t>Дополнительная информация</w:t>
            </w:r>
          </w:p>
        </w:tc>
      </w:tr>
      <w:tr w:rsidR="00AD1F54" w:rsidRPr="00264D5D" w14:paraId="6B144297"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2" w:type="pct"/>
          </w:tcPr>
          <w:p w14:paraId="2C13A29D" w14:textId="77777777" w:rsidR="00AD1F54" w:rsidRPr="00264D5D" w:rsidRDefault="00941227">
            <w:pPr>
              <w:pStyle w:val="GOSTTablenorm"/>
            </w:pPr>
            <w:r w:rsidRPr="00264D5D">
              <w:t>Отметка ТОФК о постановке на учет/Номер документа</w:t>
            </w:r>
          </w:p>
        </w:tc>
        <w:tc>
          <w:tcPr>
            <w:tcW w:w="883" w:type="pct"/>
          </w:tcPr>
          <w:p w14:paraId="085237BC" w14:textId="77777777" w:rsidR="00AD1F54" w:rsidRPr="00264D5D" w:rsidRDefault="00941227">
            <w:pPr>
              <w:pStyle w:val="GOSTTablenorm"/>
            </w:pPr>
            <w:r w:rsidRPr="00264D5D">
              <w:t>RqstNm</w:t>
            </w:r>
          </w:p>
        </w:tc>
        <w:tc>
          <w:tcPr>
            <w:tcW w:w="295" w:type="pct"/>
          </w:tcPr>
          <w:p w14:paraId="5530D17B" w14:textId="77777777" w:rsidR="00AD1F54" w:rsidRPr="00264D5D" w:rsidRDefault="00941227">
            <w:pPr>
              <w:pStyle w:val="GOSTTablenorm"/>
              <w:jc w:val="center"/>
            </w:pPr>
            <w:r w:rsidRPr="00264D5D">
              <w:t>П</w:t>
            </w:r>
          </w:p>
        </w:tc>
        <w:tc>
          <w:tcPr>
            <w:tcW w:w="589" w:type="pct"/>
          </w:tcPr>
          <w:p w14:paraId="4CE13FA3" w14:textId="77777777" w:rsidR="00AD1F54" w:rsidRPr="00264D5D" w:rsidRDefault="00941227">
            <w:pPr>
              <w:pStyle w:val="GOSTTablenorm"/>
            </w:pPr>
            <w:r w:rsidRPr="00264D5D">
              <w:t>Т(1-15)</w:t>
            </w:r>
          </w:p>
        </w:tc>
        <w:tc>
          <w:tcPr>
            <w:tcW w:w="294" w:type="pct"/>
          </w:tcPr>
          <w:p w14:paraId="785335E4" w14:textId="77777777" w:rsidR="00AD1F54" w:rsidRPr="00264D5D" w:rsidRDefault="00941227">
            <w:pPr>
              <w:pStyle w:val="GOSTTablenorm"/>
              <w:jc w:val="center"/>
            </w:pPr>
            <w:r w:rsidRPr="00264D5D">
              <w:t>О</w:t>
            </w:r>
          </w:p>
        </w:tc>
        <w:tc>
          <w:tcPr>
            <w:tcW w:w="2056" w:type="pct"/>
          </w:tcPr>
          <w:p w14:paraId="2B475853" w14:textId="77777777" w:rsidR="00AD1F54" w:rsidRPr="00264D5D" w:rsidRDefault="00941227">
            <w:pPr>
              <w:pStyle w:val="GOSTTablenorm"/>
            </w:pPr>
            <w:r w:rsidRPr="00264D5D">
              <w:t>Номер докум</w:t>
            </w:r>
            <w:r w:rsidR="00BA58C1" w:rsidRPr="00264D5D">
              <w:t>ента, присвоенный в ФК или ТОФК</w:t>
            </w:r>
          </w:p>
        </w:tc>
      </w:tr>
      <w:tr w:rsidR="00AD1F54" w:rsidRPr="00264D5D" w14:paraId="70E31BD2"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2" w:type="pct"/>
          </w:tcPr>
          <w:p w14:paraId="034B7DEA" w14:textId="77777777" w:rsidR="00AD1F54" w:rsidRPr="00264D5D" w:rsidRDefault="00941227">
            <w:pPr>
              <w:pStyle w:val="GOSTTablenorm"/>
            </w:pPr>
            <w:r w:rsidRPr="00264D5D">
              <w:lastRenderedPageBreak/>
              <w:t>Отметка ТОФК о постановке на учет/Дата постановки на учет</w:t>
            </w:r>
          </w:p>
        </w:tc>
        <w:tc>
          <w:tcPr>
            <w:tcW w:w="883" w:type="pct"/>
          </w:tcPr>
          <w:p w14:paraId="022A3295" w14:textId="77777777" w:rsidR="00AD1F54" w:rsidRPr="00264D5D" w:rsidRDefault="00941227">
            <w:pPr>
              <w:pStyle w:val="GOSTTablenorm"/>
            </w:pPr>
            <w:r w:rsidRPr="00264D5D">
              <w:t>RgsDt</w:t>
            </w:r>
          </w:p>
        </w:tc>
        <w:tc>
          <w:tcPr>
            <w:tcW w:w="295" w:type="pct"/>
          </w:tcPr>
          <w:p w14:paraId="27E336EE" w14:textId="77777777" w:rsidR="00AD1F54" w:rsidRPr="00264D5D" w:rsidRDefault="00941227">
            <w:pPr>
              <w:pStyle w:val="GOSTTablenorm"/>
              <w:jc w:val="center"/>
            </w:pPr>
            <w:r w:rsidRPr="00264D5D">
              <w:t>П</w:t>
            </w:r>
          </w:p>
        </w:tc>
        <w:tc>
          <w:tcPr>
            <w:tcW w:w="589" w:type="pct"/>
          </w:tcPr>
          <w:p w14:paraId="52BF06CC" w14:textId="77777777" w:rsidR="00AD1F54" w:rsidRPr="00264D5D" w:rsidRDefault="00941227">
            <w:pPr>
              <w:pStyle w:val="GOSTTablenorm"/>
            </w:pPr>
            <w:r w:rsidRPr="00264D5D">
              <w:rPr>
                <w:lang w:val="en-US"/>
              </w:rPr>
              <w:t>Date</w:t>
            </w:r>
          </w:p>
        </w:tc>
        <w:tc>
          <w:tcPr>
            <w:tcW w:w="294" w:type="pct"/>
          </w:tcPr>
          <w:p w14:paraId="0574971B" w14:textId="77777777" w:rsidR="00AD1F54" w:rsidRPr="00264D5D" w:rsidRDefault="00941227">
            <w:pPr>
              <w:pStyle w:val="GOSTTablenorm"/>
              <w:jc w:val="center"/>
              <w:rPr>
                <w:lang w:val="en-US"/>
              </w:rPr>
            </w:pPr>
            <w:r w:rsidRPr="00264D5D">
              <w:t>О</w:t>
            </w:r>
          </w:p>
        </w:tc>
        <w:tc>
          <w:tcPr>
            <w:tcW w:w="2056" w:type="pct"/>
          </w:tcPr>
          <w:p w14:paraId="64D595DD" w14:textId="77777777" w:rsidR="00AD1F54" w:rsidRPr="00264D5D" w:rsidRDefault="00BA58C1">
            <w:pPr>
              <w:pStyle w:val="GOSTTablenorm"/>
            </w:pPr>
            <w:r w:rsidRPr="00264D5D">
              <w:t>Дата регистрации документа</w:t>
            </w:r>
          </w:p>
        </w:tc>
      </w:tr>
      <w:tr w:rsidR="00AD1F54" w:rsidRPr="00264D5D" w14:paraId="3EC3F082"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2" w:type="pct"/>
          </w:tcPr>
          <w:p w14:paraId="53AF2DA4" w14:textId="77777777" w:rsidR="00AD1F54" w:rsidRPr="00264D5D" w:rsidRDefault="00941227">
            <w:pPr>
              <w:pStyle w:val="GOSTTablenorm"/>
            </w:pPr>
            <w:r w:rsidRPr="00264D5D">
              <w:t>Отметка ТОФК о постановке на учет/Должность ответственного исполнителя</w:t>
            </w:r>
          </w:p>
        </w:tc>
        <w:tc>
          <w:tcPr>
            <w:tcW w:w="883" w:type="pct"/>
          </w:tcPr>
          <w:p w14:paraId="0276CB37" w14:textId="77777777" w:rsidR="00AD1F54" w:rsidRPr="00264D5D" w:rsidRDefault="00941227">
            <w:pPr>
              <w:pStyle w:val="GOSTTablenorm"/>
            </w:pPr>
            <w:r w:rsidRPr="00264D5D">
              <w:t>Pstn</w:t>
            </w:r>
          </w:p>
        </w:tc>
        <w:tc>
          <w:tcPr>
            <w:tcW w:w="295" w:type="pct"/>
          </w:tcPr>
          <w:p w14:paraId="225EC045" w14:textId="77777777" w:rsidR="00AD1F54" w:rsidRPr="00264D5D" w:rsidRDefault="00941227">
            <w:pPr>
              <w:pStyle w:val="GOSTTablenorm"/>
              <w:jc w:val="center"/>
            </w:pPr>
            <w:r w:rsidRPr="00264D5D">
              <w:t>П</w:t>
            </w:r>
          </w:p>
        </w:tc>
        <w:tc>
          <w:tcPr>
            <w:tcW w:w="589" w:type="pct"/>
          </w:tcPr>
          <w:p w14:paraId="2802CEE4" w14:textId="77777777" w:rsidR="00AD1F54" w:rsidRPr="00264D5D" w:rsidRDefault="00941227">
            <w:pPr>
              <w:pStyle w:val="GOSTTablenorm"/>
            </w:pPr>
            <w:r w:rsidRPr="00264D5D">
              <w:t>Т(</w:t>
            </w:r>
            <w:r w:rsidRPr="00264D5D">
              <w:rPr>
                <w:lang w:val="en-US"/>
              </w:rPr>
              <w:t>1-100</w:t>
            </w:r>
            <w:r w:rsidRPr="00264D5D">
              <w:t>)</w:t>
            </w:r>
          </w:p>
        </w:tc>
        <w:tc>
          <w:tcPr>
            <w:tcW w:w="294" w:type="pct"/>
          </w:tcPr>
          <w:p w14:paraId="0EC7D7AC" w14:textId="77777777" w:rsidR="00AD1F54" w:rsidRPr="00264D5D" w:rsidRDefault="00941227">
            <w:pPr>
              <w:pStyle w:val="GOSTTablenorm"/>
              <w:jc w:val="center"/>
            </w:pPr>
            <w:r w:rsidRPr="00264D5D">
              <w:t>О</w:t>
            </w:r>
          </w:p>
        </w:tc>
        <w:tc>
          <w:tcPr>
            <w:tcW w:w="2056" w:type="pct"/>
          </w:tcPr>
          <w:p w14:paraId="23A9A8F8" w14:textId="77777777" w:rsidR="00AD1F54" w:rsidRPr="00264D5D" w:rsidRDefault="00941227">
            <w:pPr>
              <w:pStyle w:val="GOSTTablenorm"/>
            </w:pPr>
            <w:r w:rsidRPr="00264D5D">
              <w:t>Должность работника, ответс</w:t>
            </w:r>
            <w:r w:rsidR="00BA58C1" w:rsidRPr="00264D5D">
              <w:t>твенного за обработку документа</w:t>
            </w:r>
          </w:p>
        </w:tc>
      </w:tr>
      <w:tr w:rsidR="00AD1F54" w:rsidRPr="00264D5D" w14:paraId="746B8686"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2" w:type="pct"/>
          </w:tcPr>
          <w:p w14:paraId="7DEE90D3" w14:textId="77777777" w:rsidR="00AD1F54" w:rsidRPr="00264D5D" w:rsidRDefault="00941227">
            <w:pPr>
              <w:pStyle w:val="GOSTTablenorm"/>
            </w:pPr>
            <w:r w:rsidRPr="00264D5D">
              <w:t>Отметка ТОФК о постановке на учет/ФИО ответственного исполнителя</w:t>
            </w:r>
          </w:p>
        </w:tc>
        <w:tc>
          <w:tcPr>
            <w:tcW w:w="883" w:type="pct"/>
          </w:tcPr>
          <w:p w14:paraId="4436FA8B" w14:textId="77777777" w:rsidR="00AD1F54" w:rsidRPr="00264D5D" w:rsidRDefault="00941227">
            <w:pPr>
              <w:pStyle w:val="GOSTTablenorm"/>
            </w:pPr>
            <w:r w:rsidRPr="00264D5D">
              <w:t>FllNm</w:t>
            </w:r>
          </w:p>
        </w:tc>
        <w:tc>
          <w:tcPr>
            <w:tcW w:w="295" w:type="pct"/>
          </w:tcPr>
          <w:p w14:paraId="0C368522" w14:textId="77777777" w:rsidR="00AD1F54" w:rsidRPr="00264D5D" w:rsidRDefault="00941227">
            <w:pPr>
              <w:pStyle w:val="GOSTTablenorm"/>
              <w:jc w:val="center"/>
            </w:pPr>
            <w:r w:rsidRPr="00264D5D">
              <w:t>П</w:t>
            </w:r>
          </w:p>
        </w:tc>
        <w:tc>
          <w:tcPr>
            <w:tcW w:w="589" w:type="pct"/>
          </w:tcPr>
          <w:p w14:paraId="229E2CA4" w14:textId="77777777" w:rsidR="00AD1F54" w:rsidRPr="00264D5D" w:rsidRDefault="00941227">
            <w:pPr>
              <w:pStyle w:val="GOSTTablenorm"/>
              <w:rPr>
                <w:lang w:val="en-US"/>
              </w:rPr>
            </w:pPr>
            <w:r w:rsidRPr="00264D5D">
              <w:t>Т(1-</w:t>
            </w:r>
            <w:r w:rsidRPr="00264D5D">
              <w:rPr>
                <w:lang w:val="en-US"/>
              </w:rPr>
              <w:t>50)</w:t>
            </w:r>
          </w:p>
        </w:tc>
        <w:tc>
          <w:tcPr>
            <w:tcW w:w="294" w:type="pct"/>
          </w:tcPr>
          <w:p w14:paraId="29234767" w14:textId="77777777" w:rsidR="00AD1F54" w:rsidRPr="00264D5D" w:rsidRDefault="00941227">
            <w:pPr>
              <w:pStyle w:val="GOSTTablenorm"/>
              <w:jc w:val="center"/>
            </w:pPr>
            <w:r w:rsidRPr="00264D5D">
              <w:t>О</w:t>
            </w:r>
          </w:p>
        </w:tc>
        <w:tc>
          <w:tcPr>
            <w:tcW w:w="2056" w:type="pct"/>
          </w:tcPr>
          <w:p w14:paraId="4976FA42" w14:textId="77777777" w:rsidR="00AD1F54" w:rsidRPr="00264D5D" w:rsidRDefault="00941227">
            <w:pPr>
              <w:pStyle w:val="GOSTTablenorm"/>
            </w:pPr>
            <w:r w:rsidRPr="00264D5D">
              <w:t xml:space="preserve">Расшифровка подписи работника, ответственного за обработку документа, </w:t>
            </w:r>
            <w:r w:rsidR="00BA58C1" w:rsidRPr="00264D5D">
              <w:t>с указанием инициалов и фамилии</w:t>
            </w:r>
          </w:p>
        </w:tc>
      </w:tr>
      <w:tr w:rsidR="00AD1F54" w:rsidRPr="00264D5D" w14:paraId="2ED93BE6"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2" w:type="pct"/>
          </w:tcPr>
          <w:p w14:paraId="5C14A6A2" w14:textId="77777777" w:rsidR="00AD1F54" w:rsidRPr="00264D5D" w:rsidRDefault="00941227">
            <w:pPr>
              <w:pStyle w:val="GOSTTablenorm"/>
            </w:pPr>
            <w:r w:rsidRPr="00264D5D">
              <w:t>Отметка ТОФК о постановке на учет/Телефон ответственного исполнителя</w:t>
            </w:r>
          </w:p>
        </w:tc>
        <w:tc>
          <w:tcPr>
            <w:tcW w:w="883" w:type="pct"/>
          </w:tcPr>
          <w:p w14:paraId="1F497AAE" w14:textId="77777777" w:rsidR="00AD1F54" w:rsidRPr="00264D5D" w:rsidRDefault="00941227">
            <w:pPr>
              <w:pStyle w:val="GOSTTablenorm"/>
            </w:pPr>
            <w:r w:rsidRPr="00264D5D">
              <w:t>Tlphn</w:t>
            </w:r>
          </w:p>
        </w:tc>
        <w:tc>
          <w:tcPr>
            <w:tcW w:w="295" w:type="pct"/>
          </w:tcPr>
          <w:p w14:paraId="60F43947" w14:textId="77777777" w:rsidR="00AD1F54" w:rsidRPr="00264D5D" w:rsidRDefault="00941227">
            <w:pPr>
              <w:pStyle w:val="GOSTTablenorm"/>
              <w:jc w:val="center"/>
            </w:pPr>
            <w:r w:rsidRPr="00264D5D">
              <w:t>П</w:t>
            </w:r>
          </w:p>
        </w:tc>
        <w:tc>
          <w:tcPr>
            <w:tcW w:w="589" w:type="pct"/>
          </w:tcPr>
          <w:p w14:paraId="1446515B" w14:textId="77777777" w:rsidR="00AD1F54" w:rsidRPr="00264D5D" w:rsidRDefault="00941227">
            <w:pPr>
              <w:pStyle w:val="GOSTTablenorm"/>
            </w:pPr>
            <w:r w:rsidRPr="00264D5D">
              <w:t>Т(1-50)</w:t>
            </w:r>
          </w:p>
        </w:tc>
        <w:tc>
          <w:tcPr>
            <w:tcW w:w="294" w:type="pct"/>
          </w:tcPr>
          <w:p w14:paraId="68ABCD7F" w14:textId="77777777" w:rsidR="00AD1F54" w:rsidRPr="00264D5D" w:rsidRDefault="00941227">
            <w:pPr>
              <w:pStyle w:val="GOSTTablenorm"/>
              <w:jc w:val="center"/>
            </w:pPr>
            <w:r w:rsidRPr="00264D5D">
              <w:t>Н</w:t>
            </w:r>
          </w:p>
        </w:tc>
        <w:tc>
          <w:tcPr>
            <w:tcW w:w="2056" w:type="pct"/>
          </w:tcPr>
          <w:p w14:paraId="21F77F3E" w14:textId="77777777" w:rsidR="00AD1F54" w:rsidRPr="00264D5D" w:rsidRDefault="00941227">
            <w:pPr>
              <w:pStyle w:val="GOSTTablenorm"/>
            </w:pPr>
            <w:r w:rsidRPr="00264D5D">
              <w:t>Тел</w:t>
            </w:r>
            <w:r w:rsidR="00BA58C1" w:rsidRPr="00264D5D">
              <w:t>ефон ответственного исполнителя</w:t>
            </w:r>
          </w:p>
        </w:tc>
      </w:tr>
    </w:tbl>
    <w:p w14:paraId="5EDBC03E" w14:textId="77777777" w:rsidR="00AD1F54" w:rsidRPr="00264D5D" w:rsidRDefault="00941227">
      <w:pPr>
        <w:pStyle w:val="31"/>
      </w:pPr>
      <w:bookmarkStart w:id="841" w:name="_Toc508712654"/>
      <w:bookmarkStart w:id="842" w:name="_Toc18509233"/>
      <w:bookmarkStart w:id="843" w:name="_Toc508712672"/>
      <w:r w:rsidRPr="00264D5D">
        <w:t xml:space="preserve"> </w:t>
      </w:r>
      <w:bookmarkStart w:id="844" w:name="_Toc219309500"/>
      <w:r w:rsidRPr="00264D5D">
        <w:t>Описание комплексного типа «tMSC_InfrmtnZKR»</w:t>
      </w:r>
      <w:bookmarkEnd w:id="841"/>
      <w:bookmarkEnd w:id="842"/>
      <w:bookmarkEnd w:id="844"/>
    </w:p>
    <w:p w14:paraId="2F6AF4A0" w14:textId="77777777" w:rsidR="00AD1F54" w:rsidRPr="00264D5D" w:rsidRDefault="00941227">
      <w:pPr>
        <w:pStyle w:val="GOSTNormal"/>
      </w:pPr>
      <w:r w:rsidRPr="00264D5D">
        <w:t>Описание комплексного типа «tMSC_Infrmtn</w:t>
      </w:r>
      <w:r w:rsidRPr="00264D5D">
        <w:rPr>
          <w:lang w:val="en-US"/>
        </w:rPr>
        <w:t>ZKR</w:t>
      </w:r>
      <w:r w:rsidRPr="00264D5D">
        <w:t xml:space="preserve">» блока «Системная информация». </w:t>
      </w:r>
    </w:p>
    <w:p w14:paraId="35375965" w14:textId="61E8A758"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845" w:name="_Ref503521414"/>
      <w:bookmarkStart w:id="846" w:name="_Toc18509521"/>
      <w:bookmarkStart w:id="847" w:name="_Toc219309092"/>
      <w:r w:rsidR="008D797C">
        <w:rPr>
          <w:noProof/>
        </w:rPr>
        <w:t>62</w:t>
      </w:r>
      <w:bookmarkEnd w:id="845"/>
      <w:r w:rsidRPr="00264D5D">
        <w:fldChar w:fldCharType="end"/>
      </w:r>
      <w:r w:rsidRPr="00264D5D">
        <w:rPr>
          <w:rFonts w:eastAsia="Calibri"/>
          <w:szCs w:val="24"/>
        </w:rPr>
        <w:t xml:space="preserve"> –</w:t>
      </w:r>
      <w:r w:rsidRPr="00264D5D">
        <w:t xml:space="preserve"> Описание комплексного типа «tMSC_Infrmtn</w:t>
      </w:r>
      <w:r w:rsidRPr="00264D5D">
        <w:rPr>
          <w:lang w:val="en-US"/>
        </w:rPr>
        <w:t>ZKR</w:t>
      </w:r>
      <w:r w:rsidRPr="00264D5D">
        <w:t>»</w:t>
      </w:r>
      <w:bookmarkEnd w:id="846"/>
      <w:bookmarkEnd w:id="847"/>
    </w:p>
    <w:tbl>
      <w:tblPr>
        <w:tblStyle w:val="GOSTTable"/>
        <w:tblW w:w="5000" w:type="pct"/>
        <w:tblLayout w:type="fixed"/>
        <w:tblLook w:val="01E0" w:firstRow="1" w:lastRow="1" w:firstColumn="1" w:lastColumn="1" w:noHBand="0" w:noVBand="0"/>
      </w:tblPr>
      <w:tblGrid>
        <w:gridCol w:w="1705"/>
        <w:gridCol w:w="1704"/>
        <w:gridCol w:w="568"/>
        <w:gridCol w:w="1136"/>
        <w:gridCol w:w="568"/>
        <w:gridCol w:w="3969"/>
      </w:tblGrid>
      <w:tr w:rsidR="00AD1F54" w:rsidRPr="00264D5D" w14:paraId="3F0C64C8"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276D452B" w14:textId="77777777" w:rsidR="00AD1F54" w:rsidRPr="00264D5D" w:rsidRDefault="00941227">
            <w:pPr>
              <w:pStyle w:val="ASFKTableHead"/>
            </w:pPr>
            <w:r w:rsidRPr="00264D5D">
              <w:t>Наименование элемента</w:t>
            </w:r>
          </w:p>
        </w:tc>
        <w:tc>
          <w:tcPr>
            <w:tcW w:w="1700" w:type="dxa"/>
          </w:tcPr>
          <w:p w14:paraId="2603556B" w14:textId="77777777" w:rsidR="00AD1F54" w:rsidRPr="00264D5D" w:rsidRDefault="00941227">
            <w:pPr>
              <w:pStyle w:val="ASFKTableHead"/>
            </w:pPr>
            <w:r w:rsidRPr="00264D5D">
              <w:t>Сокращенное наименование (код) элемента</w:t>
            </w:r>
          </w:p>
        </w:tc>
        <w:tc>
          <w:tcPr>
            <w:tcW w:w="567" w:type="dxa"/>
          </w:tcPr>
          <w:p w14:paraId="68F0B8B2" w14:textId="77777777" w:rsidR="00AD1F54" w:rsidRPr="00264D5D" w:rsidRDefault="00941227">
            <w:pPr>
              <w:pStyle w:val="ASFKTableHead"/>
            </w:pPr>
            <w:r w:rsidRPr="00264D5D">
              <w:t>Тип</w:t>
            </w:r>
          </w:p>
        </w:tc>
        <w:tc>
          <w:tcPr>
            <w:tcW w:w="1133" w:type="dxa"/>
          </w:tcPr>
          <w:p w14:paraId="75EA61CC" w14:textId="77777777" w:rsidR="00AD1F54" w:rsidRPr="00264D5D" w:rsidRDefault="00941227">
            <w:pPr>
              <w:pStyle w:val="ASFKTableHead"/>
            </w:pPr>
            <w:r w:rsidRPr="00264D5D">
              <w:t>Формат элемента</w:t>
            </w:r>
          </w:p>
        </w:tc>
        <w:tc>
          <w:tcPr>
            <w:tcW w:w="567" w:type="dxa"/>
          </w:tcPr>
          <w:p w14:paraId="3BB6C6D8" w14:textId="77777777" w:rsidR="00AD1F54" w:rsidRPr="00264D5D" w:rsidRDefault="00941227">
            <w:pPr>
              <w:pStyle w:val="ASFKTableHead"/>
            </w:pPr>
            <w:r w:rsidRPr="00264D5D">
              <w:t>Обязательность</w:t>
            </w:r>
          </w:p>
        </w:tc>
        <w:tc>
          <w:tcPr>
            <w:tcW w:w="3960" w:type="dxa"/>
          </w:tcPr>
          <w:p w14:paraId="6DF7307F" w14:textId="77777777" w:rsidR="00AD1F54" w:rsidRPr="00264D5D" w:rsidRDefault="00941227">
            <w:pPr>
              <w:pStyle w:val="ASFKTableHead"/>
            </w:pPr>
            <w:r w:rsidRPr="00264D5D">
              <w:t>Дополнительная информация</w:t>
            </w:r>
          </w:p>
        </w:tc>
      </w:tr>
      <w:tr w:rsidR="00AD1F54" w:rsidRPr="00264D5D" w14:paraId="040115DF" w14:textId="77777777" w:rsidTr="00AD1F54">
        <w:trPr>
          <w:cnfStyle w:val="000000100000" w:firstRow="0" w:lastRow="0" w:firstColumn="0" w:lastColumn="0" w:oddVBand="0" w:evenVBand="0" w:oddHBand="1" w:evenHBand="0" w:firstRowFirstColumn="0" w:firstRowLastColumn="0" w:lastRowFirstColumn="0" w:lastRowLastColumn="0"/>
          <w:trHeight w:val="300"/>
        </w:trPr>
        <w:tc>
          <w:tcPr>
            <w:tcW w:w="1701" w:type="dxa"/>
            <w:noWrap/>
          </w:tcPr>
          <w:p w14:paraId="5983352E" w14:textId="77777777" w:rsidR="00AD1F54" w:rsidRPr="00264D5D" w:rsidRDefault="00941227">
            <w:pPr>
              <w:pStyle w:val="GOSTTablenorm"/>
              <w:rPr>
                <w:lang w:val="en-US"/>
              </w:rPr>
            </w:pPr>
            <w:r w:rsidRPr="00264D5D">
              <w:rPr>
                <w:lang w:val="en-US"/>
              </w:rPr>
              <w:t>Глобальный уникальный идентификатор</w:t>
            </w:r>
          </w:p>
        </w:tc>
        <w:tc>
          <w:tcPr>
            <w:tcW w:w="1700" w:type="dxa"/>
            <w:noWrap/>
          </w:tcPr>
          <w:p w14:paraId="199C0E77" w14:textId="77777777" w:rsidR="00AD1F54" w:rsidRPr="00264D5D" w:rsidRDefault="00941227">
            <w:pPr>
              <w:pStyle w:val="GOSTTablenorm"/>
              <w:rPr>
                <w:lang w:val="en-US"/>
              </w:rPr>
            </w:pPr>
            <w:r w:rsidRPr="00264D5D">
              <w:rPr>
                <w:lang w:val="en-US"/>
              </w:rPr>
              <w:t>GUID</w:t>
            </w:r>
          </w:p>
        </w:tc>
        <w:tc>
          <w:tcPr>
            <w:tcW w:w="567" w:type="dxa"/>
            <w:noWrap/>
          </w:tcPr>
          <w:p w14:paraId="12E39C29" w14:textId="77777777" w:rsidR="00AD1F54" w:rsidRPr="00264D5D" w:rsidRDefault="00941227">
            <w:pPr>
              <w:pStyle w:val="GOSTTablenorm"/>
              <w:jc w:val="center"/>
            </w:pPr>
            <w:r w:rsidRPr="00264D5D">
              <w:t>П</w:t>
            </w:r>
          </w:p>
        </w:tc>
        <w:tc>
          <w:tcPr>
            <w:tcW w:w="1133" w:type="dxa"/>
            <w:noWrap/>
          </w:tcPr>
          <w:p w14:paraId="40EA9BD3" w14:textId="77777777" w:rsidR="00AD1F54" w:rsidRPr="00264D5D" w:rsidRDefault="00941227">
            <w:pPr>
              <w:pStyle w:val="GOSTTablenorm"/>
              <w:rPr>
                <w:lang w:val="en-US"/>
              </w:rPr>
            </w:pPr>
            <w:r w:rsidRPr="00264D5D">
              <w:t>GUID</w:t>
            </w:r>
          </w:p>
        </w:tc>
        <w:tc>
          <w:tcPr>
            <w:tcW w:w="567" w:type="dxa"/>
          </w:tcPr>
          <w:p w14:paraId="0368B9B5" w14:textId="77777777" w:rsidR="00AD1F54" w:rsidRPr="00264D5D" w:rsidRDefault="00941227">
            <w:pPr>
              <w:pStyle w:val="GOSTTablenorm"/>
              <w:jc w:val="center"/>
            </w:pPr>
            <w:r w:rsidRPr="00264D5D">
              <w:t>О</w:t>
            </w:r>
          </w:p>
        </w:tc>
        <w:tc>
          <w:tcPr>
            <w:tcW w:w="3960" w:type="dxa"/>
            <w:noWrap/>
          </w:tcPr>
          <w:p w14:paraId="63A9163D" w14:textId="77777777" w:rsidR="00AD1F54" w:rsidRPr="00264D5D" w:rsidRDefault="00941227">
            <w:pPr>
              <w:pStyle w:val="GOSTTablenorm"/>
            </w:pPr>
            <w:r w:rsidRPr="00264D5D">
              <w:t>Служебное поле, может заполняться клиентом или ТОФК.</w:t>
            </w:r>
          </w:p>
          <w:p w14:paraId="68C718EB" w14:textId="77777777" w:rsidR="00AD1F54" w:rsidRPr="00264D5D" w:rsidRDefault="00941227">
            <w:pPr>
              <w:pStyle w:val="GOSTTablenorm"/>
            </w:pPr>
            <w:r w:rsidRPr="00264D5D">
              <w:t>Обязательно для заполнения при передаче документа из ПУР ЭБ в ТОФК.</w:t>
            </w:r>
          </w:p>
          <w:p w14:paraId="3913EBC1" w14:textId="77777777" w:rsidR="00AD1F54" w:rsidRPr="00264D5D" w:rsidRDefault="00941227">
            <w:pPr>
              <w:pStyle w:val="GOSTTablenorm"/>
            </w:pPr>
            <w:r w:rsidRPr="00264D5D">
              <w:t>Заполняется ТОФК в случае отсутствия значения, присвоенного клиентом.</w:t>
            </w:r>
          </w:p>
          <w:p w14:paraId="4C4812AB" w14:textId="77777777" w:rsidR="00AD1F54" w:rsidRPr="00264D5D" w:rsidRDefault="00941227">
            <w:pPr>
              <w:pStyle w:val="GOSTTablenorm"/>
            </w:pPr>
            <w:r w:rsidRPr="00264D5D">
              <w:t>При поступлении в ТОФК документа с неуникальным значением идентификатора документа, документ не принимается к исполнению в сис</w:t>
            </w:r>
            <w:r w:rsidR="00BA58C1" w:rsidRPr="00264D5D">
              <w:t>теме Федерального казначейства</w:t>
            </w:r>
          </w:p>
        </w:tc>
      </w:tr>
      <w:tr w:rsidR="00AD1F54" w:rsidRPr="00264D5D" w14:paraId="762D2B68" w14:textId="77777777" w:rsidTr="00AD1F54">
        <w:trPr>
          <w:cnfStyle w:val="000000010000" w:firstRow="0" w:lastRow="0" w:firstColumn="0" w:lastColumn="0" w:oddVBand="0" w:evenVBand="0" w:oddHBand="0" w:evenHBand="1" w:firstRowFirstColumn="0" w:firstRowLastColumn="0" w:lastRowFirstColumn="0" w:lastRowLastColumn="0"/>
          <w:trHeight w:val="300"/>
        </w:trPr>
        <w:tc>
          <w:tcPr>
            <w:tcW w:w="1701" w:type="dxa"/>
            <w:noWrap/>
          </w:tcPr>
          <w:p w14:paraId="38B0C722" w14:textId="77777777" w:rsidR="00AD1F54" w:rsidRPr="00264D5D" w:rsidRDefault="00941227">
            <w:pPr>
              <w:pStyle w:val="GOSTTablenorm"/>
            </w:pPr>
            <w:r w:rsidRPr="00264D5D">
              <w:t>Дата заявки</w:t>
            </w:r>
          </w:p>
        </w:tc>
        <w:tc>
          <w:tcPr>
            <w:tcW w:w="1700" w:type="dxa"/>
            <w:noWrap/>
          </w:tcPr>
          <w:p w14:paraId="70D422E3" w14:textId="77777777" w:rsidR="00AD1F54" w:rsidRPr="00264D5D" w:rsidRDefault="00941227">
            <w:pPr>
              <w:pStyle w:val="GOSTTablenorm"/>
            </w:pPr>
            <w:r w:rsidRPr="00264D5D">
              <w:t>CrtnDt</w:t>
            </w:r>
          </w:p>
        </w:tc>
        <w:tc>
          <w:tcPr>
            <w:tcW w:w="567" w:type="dxa"/>
            <w:noWrap/>
          </w:tcPr>
          <w:p w14:paraId="154B5FDE" w14:textId="77777777" w:rsidR="00AD1F54" w:rsidRPr="00264D5D" w:rsidRDefault="00941227">
            <w:pPr>
              <w:pStyle w:val="GOSTTablenorm"/>
              <w:jc w:val="center"/>
            </w:pPr>
            <w:r w:rsidRPr="00264D5D">
              <w:t>П</w:t>
            </w:r>
          </w:p>
        </w:tc>
        <w:tc>
          <w:tcPr>
            <w:tcW w:w="1133" w:type="dxa"/>
            <w:noWrap/>
          </w:tcPr>
          <w:p w14:paraId="07A995CD" w14:textId="77777777" w:rsidR="00AD1F54" w:rsidRPr="00264D5D" w:rsidRDefault="00941227">
            <w:pPr>
              <w:pStyle w:val="GOSTTablenorm"/>
            </w:pPr>
            <w:r w:rsidRPr="00264D5D">
              <w:rPr>
                <w:lang w:val="en-US"/>
              </w:rPr>
              <w:t>D</w:t>
            </w:r>
            <w:r w:rsidRPr="00264D5D">
              <w:t>ate</w:t>
            </w:r>
          </w:p>
        </w:tc>
        <w:tc>
          <w:tcPr>
            <w:tcW w:w="567" w:type="dxa"/>
          </w:tcPr>
          <w:p w14:paraId="0FE49E43" w14:textId="77777777" w:rsidR="00AD1F54" w:rsidRPr="00264D5D" w:rsidRDefault="00941227">
            <w:pPr>
              <w:pStyle w:val="GOSTTablenorm"/>
              <w:jc w:val="center"/>
            </w:pPr>
            <w:r w:rsidRPr="00264D5D">
              <w:t>О</w:t>
            </w:r>
          </w:p>
        </w:tc>
        <w:tc>
          <w:tcPr>
            <w:tcW w:w="3960" w:type="dxa"/>
            <w:noWrap/>
          </w:tcPr>
          <w:p w14:paraId="50981A13" w14:textId="77777777" w:rsidR="00AD1F54" w:rsidRPr="00264D5D" w:rsidRDefault="00BA58C1">
            <w:pPr>
              <w:pStyle w:val="GOSTTablenorm"/>
            </w:pPr>
            <w:r w:rsidRPr="00264D5D">
              <w:t>Дата документа</w:t>
            </w:r>
          </w:p>
        </w:tc>
      </w:tr>
      <w:tr w:rsidR="00AD1F54" w:rsidRPr="00264D5D" w14:paraId="631DD8AF" w14:textId="77777777" w:rsidTr="00AD1F54">
        <w:trPr>
          <w:cnfStyle w:val="000000100000" w:firstRow="0" w:lastRow="0" w:firstColumn="0" w:lastColumn="0" w:oddVBand="0" w:evenVBand="0" w:oddHBand="1" w:evenHBand="0" w:firstRowFirstColumn="0" w:firstRowLastColumn="0" w:lastRowFirstColumn="0" w:lastRowLastColumn="0"/>
          <w:trHeight w:val="300"/>
        </w:trPr>
        <w:tc>
          <w:tcPr>
            <w:tcW w:w="1701" w:type="dxa"/>
            <w:noWrap/>
          </w:tcPr>
          <w:p w14:paraId="3DE73330" w14:textId="77777777" w:rsidR="00AD1F54" w:rsidRPr="00264D5D" w:rsidRDefault="00941227">
            <w:pPr>
              <w:pStyle w:val="GOSTTablenorm"/>
            </w:pPr>
            <w:r w:rsidRPr="00264D5D">
              <w:rPr>
                <w:szCs w:val="22"/>
              </w:rPr>
              <w:lastRenderedPageBreak/>
              <w:t>Контроль ЗКР</w:t>
            </w:r>
          </w:p>
        </w:tc>
        <w:tc>
          <w:tcPr>
            <w:tcW w:w="1700" w:type="dxa"/>
            <w:noWrap/>
          </w:tcPr>
          <w:p w14:paraId="69A37C65" w14:textId="77777777" w:rsidR="00AD1F54" w:rsidRPr="00264D5D" w:rsidRDefault="00941227">
            <w:pPr>
              <w:pStyle w:val="GOSTTablenorm"/>
            </w:pPr>
            <w:r w:rsidRPr="00264D5D">
              <w:rPr>
                <w:szCs w:val="22"/>
                <w:lang w:val="en-US"/>
              </w:rPr>
              <w:t>CntrlNf</w:t>
            </w:r>
          </w:p>
        </w:tc>
        <w:tc>
          <w:tcPr>
            <w:tcW w:w="567" w:type="dxa"/>
            <w:noWrap/>
          </w:tcPr>
          <w:p w14:paraId="3FE8253A" w14:textId="77777777" w:rsidR="00AD1F54" w:rsidRPr="00264D5D" w:rsidRDefault="00941227">
            <w:pPr>
              <w:pStyle w:val="GOSTTablenorm"/>
              <w:jc w:val="center"/>
            </w:pPr>
            <w:r w:rsidRPr="00264D5D">
              <w:rPr>
                <w:szCs w:val="22"/>
              </w:rPr>
              <w:t>С</w:t>
            </w:r>
          </w:p>
        </w:tc>
        <w:tc>
          <w:tcPr>
            <w:tcW w:w="1133" w:type="dxa"/>
            <w:noWrap/>
          </w:tcPr>
          <w:p w14:paraId="47E9098C" w14:textId="77777777" w:rsidR="00AD1F54" w:rsidRPr="00264D5D" w:rsidRDefault="00941227">
            <w:pPr>
              <w:pStyle w:val="GOSTTablenorm"/>
              <w:rPr>
                <w:lang w:val="en-US"/>
              </w:rPr>
            </w:pPr>
            <w:r w:rsidRPr="00264D5D">
              <w:rPr>
                <w:szCs w:val="22"/>
                <w:lang w:val="en-US"/>
              </w:rPr>
              <w:t>tCntrlNf</w:t>
            </w:r>
          </w:p>
        </w:tc>
        <w:tc>
          <w:tcPr>
            <w:tcW w:w="567" w:type="dxa"/>
          </w:tcPr>
          <w:p w14:paraId="522013C7" w14:textId="77777777" w:rsidR="00AD1F54" w:rsidRPr="00264D5D" w:rsidRDefault="00BA58C1">
            <w:pPr>
              <w:pStyle w:val="GOSTTablenorm"/>
              <w:jc w:val="center"/>
            </w:pPr>
            <w:r w:rsidRPr="00264D5D">
              <w:rPr>
                <w:szCs w:val="22"/>
              </w:rPr>
              <w:t>Н</w:t>
            </w:r>
          </w:p>
        </w:tc>
        <w:tc>
          <w:tcPr>
            <w:tcW w:w="3960" w:type="dxa"/>
            <w:noWrap/>
          </w:tcPr>
          <w:p w14:paraId="33A3A3EB" w14:textId="77777777" w:rsidR="00AD1F54" w:rsidRPr="00264D5D" w:rsidRDefault="00941227">
            <w:pPr>
              <w:spacing w:before="60" w:after="60"/>
              <w:rPr>
                <w:sz w:val="22"/>
                <w:szCs w:val="22"/>
              </w:rPr>
            </w:pPr>
            <w:r w:rsidRPr="00264D5D">
              <w:rPr>
                <w:sz w:val="22"/>
                <w:szCs w:val="22"/>
              </w:rPr>
              <w:t>Контроль ЗКР.</w:t>
            </w:r>
          </w:p>
          <w:p w14:paraId="27D4340E" w14:textId="77777777" w:rsidR="00AD1F54" w:rsidRPr="00264D5D" w:rsidRDefault="00941227">
            <w:pPr>
              <w:pStyle w:val="GOSTTablenorm"/>
              <w:spacing w:line="256" w:lineRule="auto"/>
              <w:rPr>
                <w:szCs w:val="22"/>
              </w:rPr>
            </w:pPr>
            <w:r w:rsidRPr="00264D5D">
              <w:rPr>
                <w:szCs w:val="22"/>
              </w:rPr>
              <w:t>Блок заполняется только при внутреннем взаимодействии ИС ФК (при необходимости, в соответствии с отдельным регламентом).</w:t>
            </w:r>
          </w:p>
          <w:p w14:paraId="12DDD415" w14:textId="4C08E1BA" w:rsidR="00AD1F54" w:rsidRPr="00264D5D" w:rsidRDefault="00941227">
            <w:pPr>
              <w:pStyle w:val="GOSTTablenorm"/>
            </w:pPr>
            <w:r w:rsidRPr="00264D5D">
              <w:rPr>
                <w:szCs w:val="22"/>
              </w:rPr>
              <w:t xml:space="preserve">Состав элемента представлен в таблице </w:t>
            </w:r>
            <w:r w:rsidRPr="00264D5D">
              <w:rPr>
                <w:b/>
                <w:bCs/>
                <w:szCs w:val="22"/>
              </w:rPr>
              <w:fldChar w:fldCharType="begin"/>
            </w:r>
            <w:r w:rsidRPr="00264D5D">
              <w:rPr>
                <w:b/>
                <w:bCs/>
                <w:szCs w:val="22"/>
              </w:rPr>
              <w:instrText xml:space="preserve"> REF _Ref106288961 \h  \* MERGEFORMAT </w:instrText>
            </w:r>
            <w:r w:rsidRPr="00264D5D">
              <w:rPr>
                <w:b/>
                <w:bCs/>
                <w:szCs w:val="22"/>
              </w:rPr>
            </w:r>
            <w:r w:rsidRPr="00264D5D">
              <w:rPr>
                <w:b/>
                <w:bCs/>
                <w:szCs w:val="22"/>
              </w:rPr>
              <w:fldChar w:fldCharType="separate"/>
            </w:r>
            <w:r w:rsidR="008D797C" w:rsidRPr="008D797C">
              <w:rPr>
                <w:b/>
                <w:bCs/>
              </w:rPr>
              <w:t>72</w:t>
            </w:r>
            <w:r w:rsidRPr="00264D5D">
              <w:rPr>
                <w:b/>
                <w:bCs/>
                <w:szCs w:val="22"/>
              </w:rPr>
              <w:fldChar w:fldCharType="end"/>
            </w:r>
          </w:p>
        </w:tc>
      </w:tr>
    </w:tbl>
    <w:p w14:paraId="0B0E8E1D" w14:textId="77777777" w:rsidR="00AD1F54" w:rsidRPr="00264D5D" w:rsidRDefault="00941227">
      <w:pPr>
        <w:pStyle w:val="31"/>
      </w:pPr>
      <w:bookmarkStart w:id="848" w:name="_Toc18509234"/>
      <w:bookmarkStart w:id="849" w:name="_Toc219309501"/>
      <w:r w:rsidRPr="00264D5D">
        <w:t>Описание комплексного типа «tZROSN»</w:t>
      </w:r>
      <w:bookmarkEnd w:id="836"/>
      <w:bookmarkEnd w:id="843"/>
      <w:bookmarkEnd w:id="848"/>
      <w:bookmarkEnd w:id="849"/>
    </w:p>
    <w:p w14:paraId="486EAE86" w14:textId="77777777" w:rsidR="00AD1F54" w:rsidRPr="00264D5D" w:rsidRDefault="00941227">
      <w:pPr>
        <w:pStyle w:val="GOSTNormal"/>
      </w:pPr>
      <w:r w:rsidRPr="00264D5D">
        <w:t>Описание комплексного типа «tZROSN» блока «Реквизиты документов-оснований».</w:t>
      </w:r>
    </w:p>
    <w:p w14:paraId="592A292A" w14:textId="6C41C77C"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850" w:name="_Ref503530482"/>
      <w:bookmarkStart w:id="851" w:name="_Toc18509522"/>
      <w:bookmarkStart w:id="852" w:name="_Toc219309093"/>
      <w:r w:rsidR="008D797C">
        <w:rPr>
          <w:noProof/>
        </w:rPr>
        <w:t>63</w:t>
      </w:r>
      <w:bookmarkEnd w:id="850"/>
      <w:r w:rsidRPr="00264D5D">
        <w:fldChar w:fldCharType="end"/>
      </w:r>
      <w:r w:rsidRPr="00264D5D">
        <w:rPr>
          <w:rFonts w:eastAsia="Calibri"/>
          <w:szCs w:val="24"/>
        </w:rPr>
        <w:t xml:space="preserve"> –</w:t>
      </w:r>
      <w:r w:rsidRPr="00264D5D">
        <w:t xml:space="preserve"> Описание комплексного типа «tZROSN»</w:t>
      </w:r>
      <w:bookmarkEnd w:id="851"/>
      <w:bookmarkEnd w:id="852"/>
    </w:p>
    <w:tbl>
      <w:tblPr>
        <w:tblStyle w:val="GOSTTable"/>
        <w:tblW w:w="5000" w:type="pct"/>
        <w:tblLayout w:type="fixed"/>
        <w:tblLook w:val="04A0" w:firstRow="1" w:lastRow="0" w:firstColumn="1" w:lastColumn="0" w:noHBand="0" w:noVBand="1"/>
      </w:tblPr>
      <w:tblGrid>
        <w:gridCol w:w="1703"/>
        <w:gridCol w:w="1705"/>
        <w:gridCol w:w="570"/>
        <w:gridCol w:w="1137"/>
        <w:gridCol w:w="567"/>
        <w:gridCol w:w="3968"/>
      </w:tblGrid>
      <w:tr w:rsidR="00AD1F54" w:rsidRPr="00264D5D" w14:paraId="27671522"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2" w:type="pct"/>
          </w:tcPr>
          <w:p w14:paraId="417A0BF8" w14:textId="77777777" w:rsidR="00AD1F54" w:rsidRPr="00264D5D" w:rsidRDefault="00941227">
            <w:pPr>
              <w:pStyle w:val="ASFKTableHead"/>
            </w:pPr>
            <w:r w:rsidRPr="00264D5D">
              <w:t>Наименование комплексного типа</w:t>
            </w:r>
          </w:p>
        </w:tc>
        <w:tc>
          <w:tcPr>
            <w:tcW w:w="883" w:type="pct"/>
          </w:tcPr>
          <w:p w14:paraId="022A0F86" w14:textId="77777777" w:rsidR="00AD1F54" w:rsidRPr="00264D5D" w:rsidRDefault="00941227">
            <w:pPr>
              <w:pStyle w:val="ASFKTableHead"/>
            </w:pPr>
            <w:r w:rsidRPr="00264D5D">
              <w:t>Текущий элемент/ атрибут</w:t>
            </w:r>
          </w:p>
        </w:tc>
        <w:tc>
          <w:tcPr>
            <w:tcW w:w="295" w:type="pct"/>
          </w:tcPr>
          <w:p w14:paraId="22A246C5" w14:textId="77777777" w:rsidR="00AD1F54" w:rsidRPr="00264D5D" w:rsidRDefault="00941227">
            <w:pPr>
              <w:pStyle w:val="ASFKTableHead"/>
            </w:pPr>
            <w:r w:rsidRPr="00264D5D">
              <w:t>Тип</w:t>
            </w:r>
          </w:p>
        </w:tc>
        <w:tc>
          <w:tcPr>
            <w:tcW w:w="589" w:type="pct"/>
          </w:tcPr>
          <w:p w14:paraId="4681CB29" w14:textId="77777777" w:rsidR="00AD1F54" w:rsidRPr="00264D5D" w:rsidRDefault="00941227">
            <w:pPr>
              <w:pStyle w:val="ASFKTableHead"/>
            </w:pPr>
            <w:r w:rsidRPr="00264D5D">
              <w:t>Формат элемента</w:t>
            </w:r>
          </w:p>
        </w:tc>
        <w:tc>
          <w:tcPr>
            <w:tcW w:w="294" w:type="pct"/>
          </w:tcPr>
          <w:p w14:paraId="7C5BBB55" w14:textId="77777777" w:rsidR="00AD1F54" w:rsidRPr="00264D5D" w:rsidRDefault="00941227">
            <w:pPr>
              <w:pStyle w:val="ASFKTableHead"/>
            </w:pPr>
            <w:r w:rsidRPr="00264D5D">
              <w:t>Обязательность</w:t>
            </w:r>
          </w:p>
        </w:tc>
        <w:tc>
          <w:tcPr>
            <w:tcW w:w="2056" w:type="pct"/>
          </w:tcPr>
          <w:p w14:paraId="662EAB1B" w14:textId="77777777" w:rsidR="00AD1F54" w:rsidRPr="00264D5D" w:rsidRDefault="00941227">
            <w:pPr>
              <w:pStyle w:val="ASFKTableHead"/>
            </w:pPr>
            <w:r w:rsidRPr="00264D5D">
              <w:t>Дополнительная информация</w:t>
            </w:r>
          </w:p>
        </w:tc>
      </w:tr>
      <w:tr w:rsidR="00AD1F54" w:rsidRPr="00264D5D" w14:paraId="0CB3E253" w14:textId="77777777" w:rsidTr="00AD1F54">
        <w:trPr>
          <w:cnfStyle w:val="000000100000" w:firstRow="0" w:lastRow="0" w:firstColumn="0" w:lastColumn="0" w:oddVBand="0" w:evenVBand="0" w:oddHBand="1" w:evenHBand="0" w:firstRowFirstColumn="0" w:firstRowLastColumn="0" w:lastRowFirstColumn="0" w:lastRowLastColumn="0"/>
          <w:trHeight w:val="361"/>
        </w:trPr>
        <w:tc>
          <w:tcPr>
            <w:tcW w:w="882" w:type="pct"/>
          </w:tcPr>
          <w:p w14:paraId="38A28987" w14:textId="77777777" w:rsidR="00AD1F54" w:rsidRPr="00264D5D" w:rsidRDefault="00941227">
            <w:pPr>
              <w:pStyle w:val="GOSTTablenorm"/>
            </w:pPr>
            <w:r w:rsidRPr="00264D5D">
              <w:t>tZROSN</w:t>
            </w:r>
          </w:p>
        </w:tc>
        <w:tc>
          <w:tcPr>
            <w:tcW w:w="883" w:type="pct"/>
          </w:tcPr>
          <w:p w14:paraId="4E82C128" w14:textId="77777777" w:rsidR="00AD1F54" w:rsidRPr="00264D5D" w:rsidRDefault="00941227">
            <w:pPr>
              <w:pStyle w:val="GOSTTablenorm"/>
              <w:rPr>
                <w:lang w:val="en-US"/>
              </w:rPr>
            </w:pPr>
            <w:r w:rsidRPr="00264D5D">
              <w:t>ZROSN_ITEM</w:t>
            </w:r>
          </w:p>
        </w:tc>
        <w:tc>
          <w:tcPr>
            <w:tcW w:w="295" w:type="pct"/>
          </w:tcPr>
          <w:p w14:paraId="0938EF74" w14:textId="77777777" w:rsidR="00AD1F54" w:rsidRPr="00264D5D" w:rsidRDefault="00941227">
            <w:pPr>
              <w:pStyle w:val="GOSTTablenorm"/>
              <w:jc w:val="center"/>
              <w:rPr>
                <w:lang w:val="en-US"/>
              </w:rPr>
            </w:pPr>
            <w:r w:rsidRPr="00264D5D">
              <w:rPr>
                <w:lang w:val="en-US"/>
              </w:rPr>
              <w:t>C</w:t>
            </w:r>
          </w:p>
        </w:tc>
        <w:tc>
          <w:tcPr>
            <w:tcW w:w="589" w:type="pct"/>
          </w:tcPr>
          <w:p w14:paraId="6846F966" w14:textId="77777777" w:rsidR="00AD1F54" w:rsidRPr="00264D5D" w:rsidRDefault="00941227">
            <w:pPr>
              <w:pStyle w:val="GOSTTablenorm"/>
              <w:rPr>
                <w:lang w:val="en-US"/>
              </w:rPr>
            </w:pPr>
            <w:r w:rsidRPr="00264D5D">
              <w:rPr>
                <w:lang w:val="en-US"/>
              </w:rPr>
              <w:t>t</w:t>
            </w:r>
            <w:r w:rsidRPr="00264D5D">
              <w:t>ZROSN_ITEM</w:t>
            </w:r>
          </w:p>
        </w:tc>
        <w:tc>
          <w:tcPr>
            <w:tcW w:w="294" w:type="pct"/>
          </w:tcPr>
          <w:p w14:paraId="05DAAA1B" w14:textId="77777777" w:rsidR="00AD1F54" w:rsidRPr="00264D5D" w:rsidRDefault="00941227">
            <w:pPr>
              <w:pStyle w:val="GOSTTablenorm"/>
              <w:jc w:val="center"/>
            </w:pPr>
            <w:r w:rsidRPr="00264D5D">
              <w:t>НМ</w:t>
            </w:r>
          </w:p>
        </w:tc>
        <w:tc>
          <w:tcPr>
            <w:tcW w:w="2056" w:type="pct"/>
          </w:tcPr>
          <w:p w14:paraId="30BC7E70" w14:textId="77777777" w:rsidR="00AD1F54" w:rsidRPr="00264D5D" w:rsidRDefault="00941227">
            <w:pPr>
              <w:pStyle w:val="GOSTTablenorm"/>
            </w:pPr>
            <w:r w:rsidRPr="00264D5D">
              <w:t>Реквизиты документов-оснований</w:t>
            </w:r>
            <w:r w:rsidRPr="00264D5D">
              <w:rPr>
                <w:b/>
              </w:rPr>
              <w:t>.</w:t>
            </w:r>
          </w:p>
          <w:p w14:paraId="4A4B641B" w14:textId="77777777" w:rsidR="00AD1F54" w:rsidRPr="00264D5D" w:rsidRDefault="00941227">
            <w:pPr>
              <w:pStyle w:val="GOSTTablenorm"/>
            </w:pPr>
            <w:r w:rsidRPr="00264D5D">
              <w:t>Блок заполняется при наличии документа-основания, подтверждающего возникновение денежного обязательства, для оплаты которого представляется данная Заявка.</w:t>
            </w:r>
          </w:p>
          <w:p w14:paraId="494C3C58" w14:textId="0A062D87" w:rsidR="00AD1F54" w:rsidRPr="00264D5D" w:rsidRDefault="00941227">
            <w:pPr>
              <w:pStyle w:val="GOSTTablenorm"/>
            </w:pPr>
            <w:r w:rsidRPr="00264D5D">
              <w:t xml:space="preserve">Состав элемента представлен в таблице </w:t>
            </w:r>
            <w:r w:rsidRPr="00264D5D">
              <w:rPr>
                <w:b/>
              </w:rPr>
              <w:fldChar w:fldCharType="begin"/>
            </w:r>
            <w:r w:rsidRPr="00264D5D">
              <w:rPr>
                <w:b/>
              </w:rPr>
              <w:instrText xml:space="preserve"> REF _Ref503530559 \h  \* MERGEFORMAT </w:instrText>
            </w:r>
            <w:r w:rsidRPr="00264D5D">
              <w:rPr>
                <w:b/>
              </w:rPr>
            </w:r>
            <w:r w:rsidRPr="00264D5D">
              <w:rPr>
                <w:b/>
              </w:rPr>
              <w:fldChar w:fldCharType="separate"/>
            </w:r>
            <w:r w:rsidR="008D797C" w:rsidRPr="008D797C">
              <w:rPr>
                <w:b/>
              </w:rPr>
              <w:t>64</w:t>
            </w:r>
            <w:r w:rsidRPr="00264D5D">
              <w:rPr>
                <w:b/>
              </w:rPr>
              <w:fldChar w:fldCharType="end"/>
            </w:r>
          </w:p>
        </w:tc>
      </w:tr>
    </w:tbl>
    <w:p w14:paraId="6BFE4245" w14:textId="77777777" w:rsidR="00AD1F54" w:rsidRPr="00264D5D" w:rsidRDefault="00941227">
      <w:pPr>
        <w:pStyle w:val="31"/>
      </w:pPr>
      <w:bookmarkStart w:id="853" w:name="_Toc499635943"/>
      <w:bookmarkStart w:id="854" w:name="_Toc508712673"/>
      <w:bookmarkStart w:id="855" w:name="_Toc18509235"/>
      <w:r w:rsidRPr="00264D5D">
        <w:t xml:space="preserve"> </w:t>
      </w:r>
      <w:bookmarkStart w:id="856" w:name="_Toc219309502"/>
      <w:r w:rsidRPr="00264D5D">
        <w:t>Описание комплексного типа «tZROSN_ITEM»</w:t>
      </w:r>
      <w:bookmarkEnd w:id="853"/>
      <w:bookmarkEnd w:id="854"/>
      <w:bookmarkEnd w:id="855"/>
      <w:bookmarkEnd w:id="856"/>
    </w:p>
    <w:p w14:paraId="14415325" w14:textId="77777777" w:rsidR="00AD1F54" w:rsidRPr="00264D5D" w:rsidRDefault="00941227">
      <w:pPr>
        <w:pStyle w:val="GOSTNormal"/>
      </w:pPr>
      <w:r w:rsidRPr="00264D5D">
        <w:t>Описание комплексного типа «tZROSN_ITEM» строк блока «Реквизиты документов-оснований (строки)».</w:t>
      </w:r>
    </w:p>
    <w:p w14:paraId="291F7282" w14:textId="6EFFDCA4"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857" w:name="_Ref503530559"/>
      <w:bookmarkStart w:id="858" w:name="_Toc18509523"/>
      <w:bookmarkStart w:id="859" w:name="_Toc219309094"/>
      <w:r w:rsidR="008D797C">
        <w:rPr>
          <w:noProof/>
        </w:rPr>
        <w:t>64</w:t>
      </w:r>
      <w:bookmarkEnd w:id="857"/>
      <w:r w:rsidRPr="00264D5D">
        <w:fldChar w:fldCharType="end"/>
      </w:r>
      <w:r w:rsidRPr="00264D5D">
        <w:t xml:space="preserve"> – Описание комплексного типа «tZROSN_ITEM»</w:t>
      </w:r>
      <w:bookmarkEnd w:id="858"/>
      <w:bookmarkEnd w:id="859"/>
    </w:p>
    <w:tbl>
      <w:tblPr>
        <w:tblStyle w:val="GOSTTable"/>
        <w:tblW w:w="5000" w:type="pct"/>
        <w:tblLayout w:type="fixed"/>
        <w:tblLook w:val="04A0" w:firstRow="1" w:lastRow="0" w:firstColumn="1" w:lastColumn="0" w:noHBand="0" w:noVBand="1"/>
      </w:tblPr>
      <w:tblGrid>
        <w:gridCol w:w="1707"/>
        <w:gridCol w:w="1705"/>
        <w:gridCol w:w="568"/>
        <w:gridCol w:w="1133"/>
        <w:gridCol w:w="565"/>
        <w:gridCol w:w="3972"/>
      </w:tblGrid>
      <w:tr w:rsidR="00AD1F54" w:rsidRPr="00264D5D" w14:paraId="44C089D7"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4" w:type="pct"/>
          </w:tcPr>
          <w:p w14:paraId="3678A451" w14:textId="77777777" w:rsidR="00AD1F54" w:rsidRPr="00264D5D" w:rsidRDefault="00941227">
            <w:pPr>
              <w:pStyle w:val="ASFKTableHead"/>
            </w:pPr>
            <w:r w:rsidRPr="00264D5D">
              <w:t>Наименование элемента</w:t>
            </w:r>
          </w:p>
        </w:tc>
        <w:tc>
          <w:tcPr>
            <w:tcW w:w="883" w:type="pct"/>
          </w:tcPr>
          <w:p w14:paraId="4D448F04" w14:textId="77777777" w:rsidR="00AD1F54" w:rsidRPr="00264D5D" w:rsidRDefault="00941227">
            <w:pPr>
              <w:pStyle w:val="ASFKTableHead"/>
            </w:pPr>
            <w:r w:rsidRPr="00264D5D">
              <w:t>Сокращенное наименование (код) элемента</w:t>
            </w:r>
          </w:p>
        </w:tc>
        <w:tc>
          <w:tcPr>
            <w:tcW w:w="294" w:type="pct"/>
          </w:tcPr>
          <w:p w14:paraId="5A2F7341" w14:textId="77777777" w:rsidR="00AD1F54" w:rsidRPr="00264D5D" w:rsidRDefault="00941227">
            <w:pPr>
              <w:pStyle w:val="ASFKTableHead"/>
            </w:pPr>
            <w:r w:rsidRPr="00264D5D">
              <w:t>Тип</w:t>
            </w:r>
          </w:p>
        </w:tc>
        <w:tc>
          <w:tcPr>
            <w:tcW w:w="587" w:type="pct"/>
          </w:tcPr>
          <w:p w14:paraId="6965668B" w14:textId="77777777" w:rsidR="00AD1F54" w:rsidRPr="00264D5D" w:rsidRDefault="00941227">
            <w:pPr>
              <w:pStyle w:val="ASFKTableHead"/>
            </w:pPr>
            <w:r w:rsidRPr="00264D5D">
              <w:t>Формат элемента</w:t>
            </w:r>
          </w:p>
        </w:tc>
        <w:tc>
          <w:tcPr>
            <w:tcW w:w="293" w:type="pct"/>
          </w:tcPr>
          <w:p w14:paraId="721BCBD8" w14:textId="77777777" w:rsidR="00AD1F54" w:rsidRPr="00264D5D" w:rsidRDefault="00941227">
            <w:pPr>
              <w:pStyle w:val="ASFKTableHead"/>
            </w:pPr>
            <w:r w:rsidRPr="00264D5D">
              <w:t>Обязательность</w:t>
            </w:r>
          </w:p>
        </w:tc>
        <w:tc>
          <w:tcPr>
            <w:tcW w:w="2058" w:type="pct"/>
          </w:tcPr>
          <w:p w14:paraId="2F680625" w14:textId="77777777" w:rsidR="00AD1F54" w:rsidRPr="00264D5D" w:rsidRDefault="00941227">
            <w:pPr>
              <w:pStyle w:val="ASFKTableHead"/>
            </w:pPr>
            <w:r w:rsidRPr="00264D5D">
              <w:t>Дополнительная информация</w:t>
            </w:r>
          </w:p>
        </w:tc>
      </w:tr>
      <w:tr w:rsidR="00AD1F54" w:rsidRPr="00264D5D" w14:paraId="0A3F386F"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2974D320" w14:textId="77777777" w:rsidR="00AD1F54" w:rsidRPr="00264D5D" w:rsidRDefault="00941227">
            <w:pPr>
              <w:pStyle w:val="GOSTTablenorm"/>
            </w:pPr>
            <w:r w:rsidRPr="00264D5D">
              <w:t>Документ-основание</w:t>
            </w:r>
          </w:p>
        </w:tc>
        <w:tc>
          <w:tcPr>
            <w:tcW w:w="883" w:type="pct"/>
          </w:tcPr>
          <w:p w14:paraId="01D43A30" w14:textId="77777777" w:rsidR="00AD1F54" w:rsidRPr="00264D5D" w:rsidRDefault="00941227">
            <w:pPr>
              <w:pStyle w:val="GOSTTablenorm"/>
            </w:pPr>
            <w:r w:rsidRPr="00264D5D">
              <w:t>MSC_DcBs</w:t>
            </w:r>
          </w:p>
        </w:tc>
        <w:tc>
          <w:tcPr>
            <w:tcW w:w="294" w:type="pct"/>
          </w:tcPr>
          <w:p w14:paraId="45C8E275" w14:textId="77777777" w:rsidR="00AD1F54" w:rsidRPr="00264D5D" w:rsidRDefault="00941227">
            <w:pPr>
              <w:pStyle w:val="GOSTTablenorm"/>
              <w:jc w:val="center"/>
            </w:pPr>
            <w:r w:rsidRPr="00264D5D">
              <w:t>С</w:t>
            </w:r>
          </w:p>
        </w:tc>
        <w:tc>
          <w:tcPr>
            <w:tcW w:w="587" w:type="pct"/>
          </w:tcPr>
          <w:p w14:paraId="46A483FD" w14:textId="77777777" w:rsidR="00AD1F54" w:rsidRPr="00264D5D" w:rsidRDefault="00941227">
            <w:pPr>
              <w:pStyle w:val="GOSTTablenorm"/>
            </w:pPr>
            <w:r w:rsidRPr="00264D5D">
              <w:t>tMSC_DcBs</w:t>
            </w:r>
          </w:p>
        </w:tc>
        <w:tc>
          <w:tcPr>
            <w:tcW w:w="293" w:type="pct"/>
          </w:tcPr>
          <w:p w14:paraId="30685774" w14:textId="77777777" w:rsidR="00AD1F54" w:rsidRPr="00264D5D" w:rsidRDefault="00941227">
            <w:pPr>
              <w:pStyle w:val="GOSTTablenorm"/>
              <w:jc w:val="center"/>
            </w:pPr>
            <w:r w:rsidRPr="00264D5D">
              <w:t>Н</w:t>
            </w:r>
          </w:p>
        </w:tc>
        <w:tc>
          <w:tcPr>
            <w:tcW w:w="2058" w:type="pct"/>
          </w:tcPr>
          <w:p w14:paraId="2DEFCF1D" w14:textId="77777777" w:rsidR="00AD1F54" w:rsidRPr="00264D5D" w:rsidRDefault="00941227">
            <w:pPr>
              <w:pStyle w:val="GOSTTablenorm"/>
            </w:pPr>
            <w:r w:rsidRPr="00264D5D">
              <w:t>Документ-основание.</w:t>
            </w:r>
          </w:p>
          <w:p w14:paraId="63E95A6F" w14:textId="63364C1A" w:rsidR="00AD1F54" w:rsidRPr="00264D5D" w:rsidRDefault="00941227">
            <w:pPr>
              <w:pStyle w:val="GOSTTablenorm"/>
              <w:rPr>
                <w:szCs w:val="22"/>
              </w:rPr>
            </w:pPr>
            <w:r w:rsidRPr="00264D5D">
              <w:t xml:space="preserve">Состав элемента представлен в таблице </w:t>
            </w:r>
            <w:r w:rsidRPr="00264D5D">
              <w:rPr>
                <w:b/>
              </w:rPr>
              <w:fldChar w:fldCharType="begin"/>
            </w:r>
            <w:r w:rsidRPr="00264D5D">
              <w:rPr>
                <w:b/>
              </w:rPr>
              <w:instrText xml:space="preserve"> REF _Ref503530642 \h  \* MERGEFORMAT </w:instrText>
            </w:r>
            <w:r w:rsidRPr="00264D5D">
              <w:rPr>
                <w:b/>
              </w:rPr>
            </w:r>
            <w:r w:rsidRPr="00264D5D">
              <w:rPr>
                <w:b/>
              </w:rPr>
              <w:fldChar w:fldCharType="separate"/>
            </w:r>
            <w:r w:rsidR="008D797C" w:rsidRPr="008D797C">
              <w:rPr>
                <w:b/>
              </w:rPr>
              <w:t>65</w:t>
            </w:r>
            <w:r w:rsidRPr="00264D5D">
              <w:rPr>
                <w:b/>
              </w:rPr>
              <w:fldChar w:fldCharType="end"/>
            </w:r>
          </w:p>
        </w:tc>
      </w:tr>
    </w:tbl>
    <w:p w14:paraId="3664A137" w14:textId="77777777" w:rsidR="00AD1F54" w:rsidRPr="00264D5D" w:rsidRDefault="00941227">
      <w:pPr>
        <w:pStyle w:val="31"/>
      </w:pPr>
      <w:bookmarkStart w:id="860" w:name="_Toc508712674"/>
      <w:bookmarkStart w:id="861" w:name="_Toc18509236"/>
      <w:r w:rsidRPr="00264D5D">
        <w:t xml:space="preserve"> </w:t>
      </w:r>
      <w:bookmarkStart w:id="862" w:name="_Toc219309503"/>
      <w:r w:rsidRPr="00264D5D">
        <w:t>Описание комплексного типа «tMSC_DcBs»</w:t>
      </w:r>
      <w:bookmarkEnd w:id="860"/>
      <w:bookmarkEnd w:id="861"/>
      <w:bookmarkEnd w:id="862"/>
    </w:p>
    <w:p w14:paraId="4D8978DF" w14:textId="77777777" w:rsidR="00AD1F54" w:rsidRPr="00264D5D" w:rsidRDefault="00941227">
      <w:pPr>
        <w:pStyle w:val="GOSTNormal"/>
      </w:pPr>
      <w:r w:rsidRPr="00264D5D">
        <w:t>Описание комплексного типа «tMSC_DcBs» блока «Документ-основание».</w:t>
      </w:r>
    </w:p>
    <w:p w14:paraId="2DEEDE33" w14:textId="6491CC0B" w:rsidR="00AD1F54" w:rsidRPr="00264D5D" w:rsidRDefault="00941227">
      <w:pPr>
        <w:pStyle w:val="GOSTNameTable"/>
        <w:numPr>
          <w:ilvl w:val="0"/>
          <w:numId w:val="2"/>
        </w:numPr>
        <w:ind w:left="425" w:hanging="357"/>
      </w:pPr>
      <w:r w:rsidRPr="00264D5D">
        <w:lastRenderedPageBreak/>
        <w:fldChar w:fldCharType="begin"/>
      </w:r>
      <w:r w:rsidRPr="00264D5D">
        <w:instrText>SEQ Таблица \* ARABIC</w:instrText>
      </w:r>
      <w:r w:rsidRPr="00264D5D">
        <w:fldChar w:fldCharType="separate"/>
      </w:r>
      <w:bookmarkStart w:id="863" w:name="_Ref503530642"/>
      <w:bookmarkStart w:id="864" w:name="_Toc18509524"/>
      <w:bookmarkStart w:id="865" w:name="_Toc219309095"/>
      <w:r w:rsidR="008D797C">
        <w:rPr>
          <w:noProof/>
        </w:rPr>
        <w:t>65</w:t>
      </w:r>
      <w:bookmarkEnd w:id="863"/>
      <w:r w:rsidRPr="00264D5D">
        <w:fldChar w:fldCharType="end"/>
      </w:r>
      <w:r w:rsidRPr="00264D5D">
        <w:t xml:space="preserve"> – Описание комплексного типа «tMSC_DcBs»</w:t>
      </w:r>
      <w:bookmarkEnd w:id="864"/>
      <w:bookmarkEnd w:id="865"/>
    </w:p>
    <w:tbl>
      <w:tblPr>
        <w:tblStyle w:val="GOSTTable"/>
        <w:tblW w:w="5000" w:type="pct"/>
        <w:tblLayout w:type="fixed"/>
        <w:tblLook w:val="04A0" w:firstRow="1" w:lastRow="0" w:firstColumn="1" w:lastColumn="0" w:noHBand="0" w:noVBand="1"/>
      </w:tblPr>
      <w:tblGrid>
        <w:gridCol w:w="1703"/>
        <w:gridCol w:w="1704"/>
        <w:gridCol w:w="567"/>
        <w:gridCol w:w="1139"/>
        <w:gridCol w:w="567"/>
        <w:gridCol w:w="3970"/>
      </w:tblGrid>
      <w:tr w:rsidR="00AD1F54" w:rsidRPr="00264D5D" w14:paraId="72C9B9E7"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2" w:type="pct"/>
          </w:tcPr>
          <w:p w14:paraId="3FCF268A" w14:textId="77777777" w:rsidR="00AD1F54" w:rsidRPr="00264D5D" w:rsidRDefault="00941227">
            <w:pPr>
              <w:pStyle w:val="ASFKTableHead"/>
            </w:pPr>
            <w:r w:rsidRPr="00264D5D">
              <w:t>Наименование элемента</w:t>
            </w:r>
          </w:p>
        </w:tc>
        <w:tc>
          <w:tcPr>
            <w:tcW w:w="883" w:type="pct"/>
          </w:tcPr>
          <w:p w14:paraId="09065813" w14:textId="77777777" w:rsidR="00AD1F54" w:rsidRPr="00264D5D" w:rsidRDefault="00941227">
            <w:pPr>
              <w:pStyle w:val="ASFKTableHead"/>
            </w:pPr>
            <w:r w:rsidRPr="00264D5D">
              <w:t>Сокращенное наименование (код) элемента</w:t>
            </w:r>
          </w:p>
        </w:tc>
        <w:tc>
          <w:tcPr>
            <w:tcW w:w="294" w:type="pct"/>
          </w:tcPr>
          <w:p w14:paraId="536D7F82" w14:textId="77777777" w:rsidR="00AD1F54" w:rsidRPr="00264D5D" w:rsidRDefault="00941227">
            <w:pPr>
              <w:pStyle w:val="ASFKTableHead"/>
            </w:pPr>
            <w:r w:rsidRPr="00264D5D">
              <w:t>Тип</w:t>
            </w:r>
          </w:p>
        </w:tc>
        <w:tc>
          <w:tcPr>
            <w:tcW w:w="590" w:type="pct"/>
          </w:tcPr>
          <w:p w14:paraId="2AC17751" w14:textId="77777777" w:rsidR="00AD1F54" w:rsidRPr="00264D5D" w:rsidRDefault="00941227">
            <w:pPr>
              <w:pStyle w:val="ASFKTableHead"/>
            </w:pPr>
            <w:r w:rsidRPr="00264D5D">
              <w:t>Формат элемента</w:t>
            </w:r>
          </w:p>
        </w:tc>
        <w:tc>
          <w:tcPr>
            <w:tcW w:w="294" w:type="pct"/>
          </w:tcPr>
          <w:p w14:paraId="5B0B3724" w14:textId="77777777" w:rsidR="00AD1F54" w:rsidRPr="00264D5D" w:rsidRDefault="00941227">
            <w:pPr>
              <w:pStyle w:val="ASFKTableHead"/>
            </w:pPr>
            <w:r w:rsidRPr="00264D5D">
              <w:t>Обязательность</w:t>
            </w:r>
          </w:p>
        </w:tc>
        <w:tc>
          <w:tcPr>
            <w:tcW w:w="2058" w:type="pct"/>
          </w:tcPr>
          <w:p w14:paraId="584F3C50" w14:textId="77777777" w:rsidR="00AD1F54" w:rsidRPr="00264D5D" w:rsidRDefault="00941227">
            <w:pPr>
              <w:pStyle w:val="ASFKTableHead"/>
            </w:pPr>
            <w:r w:rsidRPr="00264D5D">
              <w:t>Дополнительная информация</w:t>
            </w:r>
          </w:p>
        </w:tc>
      </w:tr>
      <w:tr w:rsidR="00AD1F54" w:rsidRPr="00264D5D" w14:paraId="4A57FBFC"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2" w:type="pct"/>
          </w:tcPr>
          <w:p w14:paraId="3FEDC1E3" w14:textId="77777777" w:rsidR="00AD1F54" w:rsidRPr="00264D5D" w:rsidRDefault="00941227">
            <w:pPr>
              <w:pStyle w:val="GOSTTablenorm"/>
            </w:pPr>
            <w:r w:rsidRPr="00264D5D">
              <w:t>Вид документа-основания</w:t>
            </w:r>
          </w:p>
        </w:tc>
        <w:tc>
          <w:tcPr>
            <w:tcW w:w="883" w:type="pct"/>
          </w:tcPr>
          <w:p w14:paraId="1F33FBC1" w14:textId="77777777" w:rsidR="00AD1F54" w:rsidRPr="00264D5D" w:rsidRDefault="00941227">
            <w:pPr>
              <w:pStyle w:val="GOSTTablenorm"/>
            </w:pPr>
            <w:r w:rsidRPr="00264D5D">
              <w:t>Knd</w:t>
            </w:r>
          </w:p>
        </w:tc>
        <w:tc>
          <w:tcPr>
            <w:tcW w:w="294" w:type="pct"/>
          </w:tcPr>
          <w:p w14:paraId="284DF03C" w14:textId="77777777" w:rsidR="00AD1F54" w:rsidRPr="00264D5D" w:rsidRDefault="00941227">
            <w:pPr>
              <w:pStyle w:val="GOSTTablenorm"/>
              <w:jc w:val="center"/>
            </w:pPr>
            <w:r w:rsidRPr="00264D5D">
              <w:t>П</w:t>
            </w:r>
          </w:p>
        </w:tc>
        <w:tc>
          <w:tcPr>
            <w:tcW w:w="590" w:type="pct"/>
          </w:tcPr>
          <w:p w14:paraId="5105EE76" w14:textId="77777777" w:rsidR="00AD1F54" w:rsidRPr="00264D5D" w:rsidRDefault="00941227">
            <w:pPr>
              <w:pStyle w:val="GOSTTablenorm"/>
              <w:rPr>
                <w:lang w:val="en-US"/>
              </w:rPr>
            </w:pPr>
            <w:r w:rsidRPr="00264D5D">
              <w:t>Т(1-</w:t>
            </w:r>
            <w:r w:rsidRPr="00264D5D">
              <w:rPr>
                <w:lang w:val="en-US"/>
              </w:rPr>
              <w:t>50)</w:t>
            </w:r>
          </w:p>
        </w:tc>
        <w:tc>
          <w:tcPr>
            <w:tcW w:w="294" w:type="pct"/>
          </w:tcPr>
          <w:p w14:paraId="6B99F556" w14:textId="77777777" w:rsidR="00AD1F54" w:rsidRPr="00264D5D" w:rsidRDefault="00941227">
            <w:pPr>
              <w:pStyle w:val="GOSTTablenorm"/>
              <w:jc w:val="center"/>
              <w:rPr>
                <w:lang w:val="en-US"/>
              </w:rPr>
            </w:pPr>
            <w:r w:rsidRPr="00264D5D">
              <w:t>О</w:t>
            </w:r>
          </w:p>
        </w:tc>
        <w:tc>
          <w:tcPr>
            <w:tcW w:w="2058" w:type="pct"/>
          </w:tcPr>
          <w:p w14:paraId="0C65E798" w14:textId="77777777" w:rsidR="00AD1F54" w:rsidRPr="00264D5D" w:rsidRDefault="00941227">
            <w:pPr>
              <w:pStyle w:val="GOSTTablenorm"/>
            </w:pPr>
            <w:r w:rsidRPr="00264D5D">
              <w:t>Документ-основание (государственный контракт, муниципальный контракт, договор, счет, накладная, акт выполненных работ, другое). Также может указываться текстовое значение:</w:t>
            </w:r>
          </w:p>
          <w:p w14:paraId="3C7275BB" w14:textId="77777777" w:rsidR="00AD1F54" w:rsidRPr="00264D5D" w:rsidRDefault="00941227" w:rsidP="00E7460C">
            <w:pPr>
              <w:pStyle w:val="GOSTTablenorm"/>
              <w:numPr>
                <w:ilvl w:val="0"/>
                <w:numId w:val="80"/>
              </w:numPr>
              <w:ind w:left="284" w:hanging="227"/>
            </w:pPr>
            <w:r w:rsidRPr="00264D5D">
              <w:t>«УИН» при осуществлении платежей в бюджетную систему, либо при необходимости указания идентификатора платежа, код НПА;</w:t>
            </w:r>
          </w:p>
          <w:p w14:paraId="0E1B53AA" w14:textId="77777777" w:rsidR="00AD1F54" w:rsidRPr="00264D5D" w:rsidRDefault="00941227" w:rsidP="00E7460C">
            <w:pPr>
              <w:pStyle w:val="GOSTTablenorm"/>
              <w:numPr>
                <w:ilvl w:val="0"/>
                <w:numId w:val="80"/>
              </w:numPr>
              <w:ind w:left="284" w:hanging="227"/>
            </w:pPr>
            <w:r w:rsidRPr="00264D5D">
              <w:t>«ДО» при осуществлении платежей по ранее уч</w:t>
            </w:r>
            <w:r w:rsidR="00BA58C1" w:rsidRPr="00264D5D">
              <w:t>тенному денежному обязательству;</w:t>
            </w:r>
          </w:p>
          <w:p w14:paraId="4965543C" w14:textId="77777777" w:rsidR="00AD1F54" w:rsidRPr="00264D5D" w:rsidRDefault="00941227" w:rsidP="00E7460C">
            <w:pPr>
              <w:pStyle w:val="GOSTTablenorm"/>
              <w:numPr>
                <w:ilvl w:val="0"/>
                <w:numId w:val="80"/>
              </w:numPr>
              <w:ind w:left="284" w:hanging="227"/>
            </w:pPr>
            <w:r w:rsidRPr="00264D5D">
              <w:t>«Казначейское обеспечение обязательств» при осуществлении платежей по КОО;</w:t>
            </w:r>
          </w:p>
          <w:p w14:paraId="4F5D5378" w14:textId="77777777" w:rsidR="00AD1F54" w:rsidRPr="00264D5D" w:rsidRDefault="00941227" w:rsidP="00E7460C">
            <w:pPr>
              <w:pStyle w:val="GOSTTablenorm"/>
              <w:numPr>
                <w:ilvl w:val="0"/>
                <w:numId w:val="80"/>
              </w:numPr>
              <w:ind w:left="284" w:hanging="227"/>
            </w:pPr>
            <w:r w:rsidRPr="00264D5D">
              <w:t xml:space="preserve"> «ИГК» при необходимости указания идентификатора государственного к</w:t>
            </w:r>
            <w:r w:rsidR="00BA58C1" w:rsidRPr="00264D5D">
              <w:t>онтракта (договора, соглашения)</w:t>
            </w:r>
          </w:p>
        </w:tc>
      </w:tr>
      <w:tr w:rsidR="00AD1F54" w:rsidRPr="00264D5D" w14:paraId="7E2922F9"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2" w:type="pct"/>
          </w:tcPr>
          <w:p w14:paraId="2C6AC0C6" w14:textId="77777777" w:rsidR="00AD1F54" w:rsidRPr="00264D5D" w:rsidRDefault="00941227">
            <w:pPr>
              <w:pStyle w:val="GOSTTablenorm"/>
            </w:pPr>
            <w:r w:rsidRPr="00264D5D">
              <w:t>Номер документа-основания</w:t>
            </w:r>
          </w:p>
        </w:tc>
        <w:tc>
          <w:tcPr>
            <w:tcW w:w="883" w:type="pct"/>
          </w:tcPr>
          <w:p w14:paraId="167237AF" w14:textId="77777777" w:rsidR="00AD1F54" w:rsidRPr="00264D5D" w:rsidRDefault="00941227">
            <w:pPr>
              <w:pStyle w:val="GOSTTablenorm"/>
            </w:pPr>
            <w:r w:rsidRPr="00264D5D">
              <w:t>DcNmbr</w:t>
            </w:r>
          </w:p>
        </w:tc>
        <w:tc>
          <w:tcPr>
            <w:tcW w:w="294" w:type="pct"/>
          </w:tcPr>
          <w:p w14:paraId="36CF008D" w14:textId="77777777" w:rsidR="00AD1F54" w:rsidRPr="00264D5D" w:rsidRDefault="00941227">
            <w:pPr>
              <w:pStyle w:val="GOSTTablenorm"/>
              <w:jc w:val="center"/>
            </w:pPr>
            <w:r w:rsidRPr="00264D5D">
              <w:t>П</w:t>
            </w:r>
          </w:p>
        </w:tc>
        <w:tc>
          <w:tcPr>
            <w:tcW w:w="590" w:type="pct"/>
          </w:tcPr>
          <w:p w14:paraId="3E55021B" w14:textId="77777777" w:rsidR="00AD1F54" w:rsidRPr="00264D5D" w:rsidRDefault="00941227">
            <w:pPr>
              <w:pStyle w:val="GOSTTablenorm"/>
            </w:pPr>
            <w:r w:rsidRPr="00264D5D">
              <w:t>Т(</w:t>
            </w:r>
            <w:r w:rsidRPr="00264D5D">
              <w:rPr>
                <w:lang w:val="en-US"/>
              </w:rPr>
              <w:t>1-</w:t>
            </w:r>
            <w:r w:rsidRPr="00264D5D">
              <w:rPr>
                <w:szCs w:val="22"/>
              </w:rPr>
              <w:t>100</w:t>
            </w:r>
            <w:r w:rsidRPr="00264D5D">
              <w:t>)</w:t>
            </w:r>
          </w:p>
        </w:tc>
        <w:tc>
          <w:tcPr>
            <w:tcW w:w="294" w:type="pct"/>
          </w:tcPr>
          <w:p w14:paraId="5E3E9A54" w14:textId="77777777" w:rsidR="00AD1F54" w:rsidRPr="00264D5D" w:rsidRDefault="00941227">
            <w:pPr>
              <w:pStyle w:val="GOSTTablenorm"/>
              <w:jc w:val="center"/>
            </w:pPr>
            <w:r w:rsidRPr="00264D5D">
              <w:t>О</w:t>
            </w:r>
          </w:p>
        </w:tc>
        <w:tc>
          <w:tcPr>
            <w:tcW w:w="2058" w:type="pct"/>
          </w:tcPr>
          <w:p w14:paraId="22B35E29" w14:textId="77777777" w:rsidR="00AD1F54" w:rsidRPr="00264D5D" w:rsidRDefault="00941227">
            <w:pPr>
              <w:pStyle w:val="GOSTTablenorm"/>
            </w:pPr>
            <w:r w:rsidRPr="00264D5D">
              <w:t>Номер документа–основания. Заполняется значением УИН, кода НПА при указании в поле «Вид документа-основания» текстового значения «УИН».</w:t>
            </w:r>
          </w:p>
          <w:p w14:paraId="563015F9" w14:textId="77777777" w:rsidR="00AD1F54" w:rsidRPr="00264D5D" w:rsidRDefault="00941227" w:rsidP="00E7460C">
            <w:pPr>
              <w:pStyle w:val="GOSTTablenorm"/>
              <w:numPr>
                <w:ilvl w:val="0"/>
                <w:numId w:val="80"/>
              </w:numPr>
              <w:ind w:left="57" w:hanging="227"/>
              <w:rPr>
                <w:szCs w:val="22"/>
              </w:rPr>
            </w:pPr>
            <w:r w:rsidRPr="00264D5D">
              <w:rPr>
                <w:szCs w:val="22"/>
              </w:rPr>
              <w:t>Если указан счет контрагента №№ 03100, 03212, 03222; 03232; 03242; 03262; 03272; 03214; 03224; 03234; 03244 или в реквизите «БИК банка контрагента/ТОФК» указан БИК ПБР и при этом счет контрагента соответствует балансовому счету «40503», «40603», «40703» с признаком 4 в 14 разряде, «40204», то количество символов реквизита УИН должно быть равно 4, 20 или 25 цифрам. При невозможности указания поле заполняется значением «0».</w:t>
            </w:r>
          </w:p>
          <w:p w14:paraId="0DC7CB73" w14:textId="77777777" w:rsidR="00AD1F54" w:rsidRPr="00264D5D" w:rsidRDefault="00941227">
            <w:pPr>
              <w:pStyle w:val="GOSTTablenorm"/>
            </w:pPr>
            <w:r w:rsidRPr="00264D5D">
              <w:t>Не может быть указано 4, 20 или 25 цифр ноль («0»).</w:t>
            </w:r>
          </w:p>
          <w:p w14:paraId="44D4B406" w14:textId="77777777" w:rsidR="00AD1F54" w:rsidRPr="00264D5D" w:rsidRDefault="00941227">
            <w:pPr>
              <w:pStyle w:val="GOSTTablenorm"/>
            </w:pPr>
            <w:r w:rsidRPr="00264D5D">
              <w:t>Если указан счет № 40822, то количество символов реквизита УИН должно быть равно 25 символов.</w:t>
            </w:r>
          </w:p>
          <w:p w14:paraId="2F0B1B54" w14:textId="77777777" w:rsidR="00AD1F54" w:rsidRPr="00264D5D" w:rsidRDefault="00941227">
            <w:pPr>
              <w:pStyle w:val="GOSTTablenorm"/>
            </w:pPr>
            <w:r w:rsidRPr="00264D5D">
              <w:t xml:space="preserve">При перечислении на счет № 03212 указывается уникальный идентификатор </w:t>
            </w:r>
            <w:r w:rsidRPr="00264D5D">
              <w:lastRenderedPageBreak/>
              <w:t>начисления или код нормативного правового акта.</w:t>
            </w:r>
          </w:p>
          <w:p w14:paraId="5824347D" w14:textId="77777777" w:rsidR="00AD1F54" w:rsidRPr="00264D5D" w:rsidRDefault="00941227">
            <w:pPr>
              <w:pStyle w:val="GOSTTablenorm"/>
            </w:pPr>
            <w:r w:rsidRPr="00264D5D">
              <w:t>Заполняется значением ИГК размерностью 20 или 25 символов при указании в поле «Вид документа-основания» текстового значения «ИГК».</w:t>
            </w:r>
          </w:p>
          <w:p w14:paraId="7FFE8A7B" w14:textId="77777777" w:rsidR="00AD1F54" w:rsidRPr="00264D5D" w:rsidRDefault="00941227">
            <w:pPr>
              <w:pStyle w:val="GOSTTablenorm"/>
            </w:pPr>
            <w:r w:rsidRPr="00264D5D">
              <w:t>В остальных случая</w:t>
            </w:r>
            <w:r w:rsidRPr="00264D5D">
              <w:rPr>
                <w:lang w:val="en-US"/>
              </w:rPr>
              <w:t>x</w:t>
            </w:r>
            <w:r w:rsidRPr="00264D5D">
              <w:t xml:space="preserve"> значение реквизита УИН не должно превышать 25 символов. Заполняется значением учетного номера денежного обязательства при указании в поле «Вид документа-основания» текстового значения «ДО». В этом случае размерность учетного номера денежного обязательства составляет 22 или 25 знаков.</w:t>
            </w:r>
          </w:p>
          <w:p w14:paraId="6313802D" w14:textId="77777777" w:rsidR="00AD1F54" w:rsidRPr="00264D5D" w:rsidRDefault="00941227">
            <w:pPr>
              <w:pStyle w:val="GOSTTablenorm"/>
            </w:pPr>
            <w:r w:rsidRPr="00264D5D">
              <w:t>Заполняется значением номера КОО при указании в поле «Вид документа-основания» текстового значения «Казначе</w:t>
            </w:r>
            <w:r w:rsidR="00BA58C1" w:rsidRPr="00264D5D">
              <w:t>йское обеспечение обязательств»</w:t>
            </w:r>
          </w:p>
        </w:tc>
      </w:tr>
      <w:tr w:rsidR="00AD1F54" w:rsidRPr="00264D5D" w14:paraId="5501B9A8"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2" w:type="pct"/>
          </w:tcPr>
          <w:p w14:paraId="0B2FA87D" w14:textId="77777777" w:rsidR="00AD1F54" w:rsidRPr="00264D5D" w:rsidRDefault="00941227">
            <w:pPr>
              <w:pStyle w:val="GOSTTablenorm"/>
            </w:pPr>
            <w:r w:rsidRPr="00264D5D">
              <w:lastRenderedPageBreak/>
              <w:t>Дата документа-основания</w:t>
            </w:r>
          </w:p>
        </w:tc>
        <w:tc>
          <w:tcPr>
            <w:tcW w:w="883" w:type="pct"/>
          </w:tcPr>
          <w:p w14:paraId="3E5F8AF8" w14:textId="77777777" w:rsidR="00AD1F54" w:rsidRPr="00264D5D" w:rsidRDefault="00941227">
            <w:pPr>
              <w:pStyle w:val="GOSTTablenorm"/>
            </w:pPr>
            <w:r w:rsidRPr="00264D5D">
              <w:t>DctDt</w:t>
            </w:r>
          </w:p>
        </w:tc>
        <w:tc>
          <w:tcPr>
            <w:tcW w:w="294" w:type="pct"/>
          </w:tcPr>
          <w:p w14:paraId="72631179" w14:textId="77777777" w:rsidR="00AD1F54" w:rsidRPr="00264D5D" w:rsidRDefault="00941227">
            <w:pPr>
              <w:pStyle w:val="GOSTTablenorm"/>
              <w:jc w:val="center"/>
            </w:pPr>
            <w:r w:rsidRPr="00264D5D">
              <w:t>П</w:t>
            </w:r>
          </w:p>
        </w:tc>
        <w:tc>
          <w:tcPr>
            <w:tcW w:w="590" w:type="pct"/>
          </w:tcPr>
          <w:p w14:paraId="5DA256CD" w14:textId="77777777" w:rsidR="00AD1F54" w:rsidRPr="00264D5D" w:rsidRDefault="00941227">
            <w:pPr>
              <w:pStyle w:val="GOSTTablenorm"/>
              <w:rPr>
                <w:lang w:val="en-US"/>
              </w:rPr>
            </w:pPr>
            <w:r w:rsidRPr="00264D5D">
              <w:rPr>
                <w:lang w:val="en-US"/>
              </w:rPr>
              <w:t>Date</w:t>
            </w:r>
          </w:p>
        </w:tc>
        <w:tc>
          <w:tcPr>
            <w:tcW w:w="294" w:type="pct"/>
          </w:tcPr>
          <w:p w14:paraId="37E8DC73" w14:textId="77777777" w:rsidR="00AD1F54" w:rsidRPr="00264D5D" w:rsidRDefault="00941227">
            <w:pPr>
              <w:pStyle w:val="GOSTTablenorm"/>
              <w:jc w:val="center"/>
            </w:pPr>
            <w:r w:rsidRPr="00264D5D">
              <w:t>Н</w:t>
            </w:r>
          </w:p>
        </w:tc>
        <w:tc>
          <w:tcPr>
            <w:tcW w:w="2058" w:type="pct"/>
          </w:tcPr>
          <w:p w14:paraId="7B5E09C8" w14:textId="77777777" w:rsidR="00AD1F54" w:rsidRPr="00264D5D" w:rsidRDefault="00941227">
            <w:pPr>
              <w:pStyle w:val="GOSTTablenorm"/>
            </w:pPr>
            <w:r w:rsidRPr="00264D5D">
              <w:t>Дата документа–основания.</w:t>
            </w:r>
          </w:p>
          <w:p w14:paraId="61AA2DF9" w14:textId="77777777" w:rsidR="00AD1F54" w:rsidRPr="00264D5D" w:rsidRDefault="00941227">
            <w:pPr>
              <w:pStyle w:val="GOSTTablenorm"/>
            </w:pPr>
            <w:r w:rsidRPr="00264D5D">
              <w:t>Заполняется значением даты КОО при указании в поле «Вид документа-основания» текстового значения «Казначейское обеспечение обязательств».</w:t>
            </w:r>
          </w:p>
          <w:p w14:paraId="58B28E16" w14:textId="77777777" w:rsidR="00AD1F54" w:rsidRPr="00264D5D" w:rsidRDefault="00941227">
            <w:pPr>
              <w:pStyle w:val="GOSTTablenorm"/>
            </w:pPr>
            <w:r w:rsidRPr="00264D5D">
              <w:t>Не заполняется при указании в поле «Вид документа-основания» текстовых значений «УИН», «ДО»</w:t>
            </w:r>
            <w:r w:rsidR="00BA58C1" w:rsidRPr="00264D5D">
              <w:t>, «ИГК»</w:t>
            </w:r>
          </w:p>
        </w:tc>
      </w:tr>
      <w:tr w:rsidR="00AD1F54" w:rsidRPr="00264D5D" w14:paraId="62C4BA1B"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2" w:type="pct"/>
          </w:tcPr>
          <w:p w14:paraId="3E3C4FCD" w14:textId="77777777" w:rsidR="00AD1F54" w:rsidRPr="00264D5D" w:rsidRDefault="00941227">
            <w:pPr>
              <w:pStyle w:val="GOSTTablenorm"/>
            </w:pPr>
            <w:r w:rsidRPr="00264D5D">
              <w:t>Предмет документа-основания</w:t>
            </w:r>
          </w:p>
        </w:tc>
        <w:tc>
          <w:tcPr>
            <w:tcW w:w="883" w:type="pct"/>
          </w:tcPr>
          <w:p w14:paraId="2ACE4949" w14:textId="77777777" w:rsidR="00AD1F54" w:rsidRPr="00264D5D" w:rsidRDefault="00941227">
            <w:pPr>
              <w:pStyle w:val="GOSTTablenorm"/>
            </w:pPr>
            <w:r w:rsidRPr="00264D5D">
              <w:t>Sbjct</w:t>
            </w:r>
          </w:p>
        </w:tc>
        <w:tc>
          <w:tcPr>
            <w:tcW w:w="294" w:type="pct"/>
          </w:tcPr>
          <w:p w14:paraId="46DE38E1" w14:textId="77777777" w:rsidR="00AD1F54" w:rsidRPr="00264D5D" w:rsidRDefault="00941227">
            <w:pPr>
              <w:pStyle w:val="GOSTTablenorm"/>
              <w:jc w:val="center"/>
            </w:pPr>
            <w:r w:rsidRPr="00264D5D">
              <w:t>П</w:t>
            </w:r>
          </w:p>
        </w:tc>
        <w:tc>
          <w:tcPr>
            <w:tcW w:w="590" w:type="pct"/>
          </w:tcPr>
          <w:p w14:paraId="5638F4E4" w14:textId="77777777" w:rsidR="00AD1F54" w:rsidRPr="00264D5D" w:rsidRDefault="00941227">
            <w:pPr>
              <w:pStyle w:val="GOSTTablenorm"/>
            </w:pPr>
            <w:r w:rsidRPr="00264D5D">
              <w:t>Т(1-512)</w:t>
            </w:r>
          </w:p>
        </w:tc>
        <w:tc>
          <w:tcPr>
            <w:tcW w:w="294" w:type="pct"/>
          </w:tcPr>
          <w:p w14:paraId="6217B0E8" w14:textId="77777777" w:rsidR="00AD1F54" w:rsidRPr="00264D5D" w:rsidRDefault="00941227">
            <w:pPr>
              <w:pStyle w:val="GOSTTablenorm"/>
              <w:jc w:val="center"/>
            </w:pPr>
            <w:r w:rsidRPr="00264D5D">
              <w:t>Н</w:t>
            </w:r>
          </w:p>
        </w:tc>
        <w:tc>
          <w:tcPr>
            <w:tcW w:w="2058" w:type="pct"/>
          </w:tcPr>
          <w:p w14:paraId="41EAAB91" w14:textId="77777777" w:rsidR="00AD1F54" w:rsidRPr="00264D5D" w:rsidRDefault="00941227">
            <w:pPr>
              <w:pStyle w:val="GOSTTablenorm"/>
            </w:pPr>
            <w:r w:rsidRPr="00264D5D">
              <w:t xml:space="preserve">Поле обязательно для заполнения, кроме случая, когда в поле «Вид документа-основания» </w:t>
            </w:r>
            <w:r w:rsidR="00BA58C1" w:rsidRPr="00264D5D">
              <w:t>указано текстовое значение «ДО»</w:t>
            </w:r>
          </w:p>
        </w:tc>
      </w:tr>
    </w:tbl>
    <w:p w14:paraId="3024953F" w14:textId="77777777" w:rsidR="00AD1F54" w:rsidRPr="00264D5D" w:rsidRDefault="00941227">
      <w:pPr>
        <w:pStyle w:val="31"/>
      </w:pPr>
      <w:bookmarkStart w:id="866" w:name="_Toc527666286"/>
      <w:bookmarkStart w:id="867" w:name="_Toc527716978"/>
      <w:bookmarkStart w:id="868" w:name="_Toc528144485"/>
      <w:bookmarkStart w:id="869" w:name="_Toc528584470"/>
      <w:bookmarkStart w:id="870" w:name="_Toc527666287"/>
      <w:bookmarkStart w:id="871" w:name="_Toc527716979"/>
      <w:bookmarkStart w:id="872" w:name="_Toc528144486"/>
      <w:bookmarkStart w:id="873" w:name="_Toc528584471"/>
      <w:bookmarkStart w:id="874" w:name="_Toc527666288"/>
      <w:bookmarkStart w:id="875" w:name="_Toc527716980"/>
      <w:bookmarkStart w:id="876" w:name="_Toc528144487"/>
      <w:bookmarkStart w:id="877" w:name="_Toc528584472"/>
      <w:bookmarkStart w:id="878" w:name="_Toc508712676"/>
      <w:bookmarkStart w:id="879" w:name="_Toc18509237"/>
      <w:bookmarkEnd w:id="866"/>
      <w:bookmarkEnd w:id="867"/>
      <w:bookmarkEnd w:id="868"/>
      <w:bookmarkEnd w:id="869"/>
      <w:bookmarkEnd w:id="870"/>
      <w:bookmarkEnd w:id="871"/>
      <w:bookmarkEnd w:id="872"/>
      <w:bookmarkEnd w:id="873"/>
      <w:bookmarkEnd w:id="874"/>
      <w:bookmarkEnd w:id="875"/>
      <w:bookmarkEnd w:id="876"/>
      <w:bookmarkEnd w:id="877"/>
      <w:r w:rsidRPr="00264D5D">
        <w:t xml:space="preserve"> </w:t>
      </w:r>
      <w:bookmarkStart w:id="880" w:name="_Toc219309504"/>
      <w:r w:rsidRPr="00264D5D">
        <w:t>Описание комплексного типа «tZRST»</w:t>
      </w:r>
      <w:bookmarkEnd w:id="878"/>
      <w:bookmarkEnd w:id="879"/>
      <w:bookmarkEnd w:id="880"/>
    </w:p>
    <w:p w14:paraId="067E59E6" w14:textId="77777777" w:rsidR="00AD1F54" w:rsidRPr="00264D5D" w:rsidRDefault="00941227">
      <w:pPr>
        <w:pStyle w:val="GOSTNormal"/>
      </w:pPr>
      <w:r w:rsidRPr="00264D5D">
        <w:t>Описание комплексного типа «tZRST» блока «Расшифровка заявки на кассовый расход по бюджетной классификации».</w:t>
      </w:r>
    </w:p>
    <w:p w14:paraId="384B6F06" w14:textId="5DF38E51" w:rsidR="00AD1F54" w:rsidRPr="00264D5D" w:rsidRDefault="00941227">
      <w:pPr>
        <w:pStyle w:val="GOSTNameTable"/>
        <w:numPr>
          <w:ilvl w:val="0"/>
          <w:numId w:val="2"/>
        </w:numPr>
        <w:ind w:left="425" w:hanging="357"/>
      </w:pPr>
      <w:r w:rsidRPr="00264D5D">
        <w:lastRenderedPageBreak/>
        <w:fldChar w:fldCharType="begin"/>
      </w:r>
      <w:r w:rsidRPr="00264D5D">
        <w:instrText>SEQ Таблица \* ARABIC</w:instrText>
      </w:r>
      <w:r w:rsidRPr="00264D5D">
        <w:fldChar w:fldCharType="separate"/>
      </w:r>
      <w:bookmarkStart w:id="881" w:name="_Ref503530938"/>
      <w:bookmarkStart w:id="882" w:name="_Toc18509525"/>
      <w:bookmarkStart w:id="883" w:name="_Toc219309096"/>
      <w:r w:rsidR="008D797C">
        <w:rPr>
          <w:noProof/>
        </w:rPr>
        <w:t>66</w:t>
      </w:r>
      <w:bookmarkEnd w:id="881"/>
      <w:r w:rsidRPr="00264D5D">
        <w:fldChar w:fldCharType="end"/>
      </w:r>
      <w:r w:rsidRPr="00264D5D">
        <w:t xml:space="preserve"> – Описание комплексного типа «tZRST»</w:t>
      </w:r>
      <w:bookmarkEnd w:id="882"/>
      <w:bookmarkEnd w:id="883"/>
    </w:p>
    <w:tbl>
      <w:tblPr>
        <w:tblStyle w:val="GOSTTable"/>
        <w:tblW w:w="5000" w:type="pct"/>
        <w:tblLayout w:type="fixed"/>
        <w:tblLook w:val="04A0" w:firstRow="1" w:lastRow="0" w:firstColumn="1" w:lastColumn="0" w:noHBand="0" w:noVBand="1"/>
      </w:tblPr>
      <w:tblGrid>
        <w:gridCol w:w="1705"/>
        <w:gridCol w:w="1704"/>
        <w:gridCol w:w="567"/>
        <w:gridCol w:w="1137"/>
        <w:gridCol w:w="567"/>
        <w:gridCol w:w="3970"/>
      </w:tblGrid>
      <w:tr w:rsidR="00AD1F54" w:rsidRPr="00264D5D" w14:paraId="01BDD086"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3" w:type="pct"/>
          </w:tcPr>
          <w:p w14:paraId="40EF01EF" w14:textId="77777777" w:rsidR="00AD1F54" w:rsidRPr="00264D5D" w:rsidRDefault="00941227">
            <w:pPr>
              <w:pStyle w:val="ASFKTableHead"/>
            </w:pPr>
            <w:r w:rsidRPr="00264D5D">
              <w:t>Наименование комплексного типа</w:t>
            </w:r>
          </w:p>
        </w:tc>
        <w:tc>
          <w:tcPr>
            <w:tcW w:w="883" w:type="pct"/>
          </w:tcPr>
          <w:p w14:paraId="2C2A15FA" w14:textId="77777777" w:rsidR="00AD1F54" w:rsidRPr="00264D5D" w:rsidRDefault="00941227">
            <w:pPr>
              <w:pStyle w:val="ASFKTableHead"/>
            </w:pPr>
            <w:r w:rsidRPr="00264D5D">
              <w:t>Текущий элемент/ атрибут</w:t>
            </w:r>
          </w:p>
        </w:tc>
        <w:tc>
          <w:tcPr>
            <w:tcW w:w="294" w:type="pct"/>
          </w:tcPr>
          <w:p w14:paraId="6599DDBA" w14:textId="77777777" w:rsidR="00AD1F54" w:rsidRPr="00264D5D" w:rsidRDefault="00941227">
            <w:pPr>
              <w:pStyle w:val="ASFKTableHead"/>
            </w:pPr>
            <w:r w:rsidRPr="00264D5D">
              <w:t>Тип</w:t>
            </w:r>
          </w:p>
        </w:tc>
        <w:tc>
          <w:tcPr>
            <w:tcW w:w="589" w:type="pct"/>
          </w:tcPr>
          <w:p w14:paraId="5ADC1477" w14:textId="77777777" w:rsidR="00AD1F54" w:rsidRPr="00264D5D" w:rsidRDefault="00941227">
            <w:pPr>
              <w:pStyle w:val="ASFKTableHead"/>
            </w:pPr>
            <w:r w:rsidRPr="00264D5D">
              <w:t>Формат элемента</w:t>
            </w:r>
          </w:p>
        </w:tc>
        <w:tc>
          <w:tcPr>
            <w:tcW w:w="294" w:type="pct"/>
          </w:tcPr>
          <w:p w14:paraId="480A08A6" w14:textId="77777777" w:rsidR="00AD1F54" w:rsidRPr="00264D5D" w:rsidRDefault="00941227">
            <w:pPr>
              <w:pStyle w:val="ASFKTableHead"/>
            </w:pPr>
            <w:r w:rsidRPr="00264D5D">
              <w:t>Обязательность</w:t>
            </w:r>
          </w:p>
        </w:tc>
        <w:tc>
          <w:tcPr>
            <w:tcW w:w="2058" w:type="pct"/>
          </w:tcPr>
          <w:p w14:paraId="43FAA5F7" w14:textId="77777777" w:rsidR="00AD1F54" w:rsidRPr="00264D5D" w:rsidRDefault="00941227">
            <w:pPr>
              <w:pStyle w:val="ASFKTableHead"/>
            </w:pPr>
            <w:r w:rsidRPr="00264D5D">
              <w:t>Дополнительная информация</w:t>
            </w:r>
          </w:p>
        </w:tc>
      </w:tr>
      <w:tr w:rsidR="00AD1F54" w:rsidRPr="00264D5D" w14:paraId="6DF4F1F7" w14:textId="77777777" w:rsidTr="00AD1F54">
        <w:trPr>
          <w:cnfStyle w:val="000000100000" w:firstRow="0" w:lastRow="0" w:firstColumn="0" w:lastColumn="0" w:oddVBand="0" w:evenVBand="0" w:oddHBand="1" w:evenHBand="0" w:firstRowFirstColumn="0" w:firstRowLastColumn="0" w:lastRowFirstColumn="0" w:lastRowLastColumn="0"/>
          <w:trHeight w:val="361"/>
        </w:trPr>
        <w:tc>
          <w:tcPr>
            <w:tcW w:w="883" w:type="pct"/>
          </w:tcPr>
          <w:p w14:paraId="69F54559" w14:textId="77777777" w:rsidR="00AD1F54" w:rsidRPr="00264D5D" w:rsidRDefault="00941227">
            <w:pPr>
              <w:pStyle w:val="GOSTTablenorm"/>
            </w:pPr>
            <w:r w:rsidRPr="00264D5D">
              <w:t>tZRST</w:t>
            </w:r>
          </w:p>
        </w:tc>
        <w:tc>
          <w:tcPr>
            <w:tcW w:w="883" w:type="pct"/>
          </w:tcPr>
          <w:p w14:paraId="017248AC" w14:textId="77777777" w:rsidR="00AD1F54" w:rsidRPr="00264D5D" w:rsidRDefault="00941227">
            <w:pPr>
              <w:pStyle w:val="GOSTTablenorm"/>
              <w:rPr>
                <w:lang w:val="en-US"/>
              </w:rPr>
            </w:pPr>
            <w:r w:rsidRPr="00264D5D">
              <w:t>ZRS</w:t>
            </w:r>
            <w:r w:rsidRPr="00264D5D">
              <w:rPr>
                <w:lang w:val="en-US"/>
              </w:rPr>
              <w:t>T</w:t>
            </w:r>
            <w:r w:rsidRPr="00264D5D">
              <w:t>_ITEM</w:t>
            </w:r>
          </w:p>
        </w:tc>
        <w:tc>
          <w:tcPr>
            <w:tcW w:w="294" w:type="pct"/>
          </w:tcPr>
          <w:p w14:paraId="185A90BB" w14:textId="77777777" w:rsidR="00AD1F54" w:rsidRPr="00264D5D" w:rsidRDefault="00941227">
            <w:pPr>
              <w:pStyle w:val="GOSTTablenorm"/>
              <w:jc w:val="center"/>
              <w:rPr>
                <w:lang w:val="en-US"/>
              </w:rPr>
            </w:pPr>
            <w:r w:rsidRPr="00264D5D">
              <w:rPr>
                <w:lang w:val="en-US"/>
              </w:rPr>
              <w:t>C</w:t>
            </w:r>
          </w:p>
        </w:tc>
        <w:tc>
          <w:tcPr>
            <w:tcW w:w="589" w:type="pct"/>
          </w:tcPr>
          <w:p w14:paraId="656F09C8" w14:textId="77777777" w:rsidR="00AD1F54" w:rsidRPr="00264D5D" w:rsidRDefault="00941227">
            <w:pPr>
              <w:pStyle w:val="GOSTTablenorm"/>
              <w:rPr>
                <w:lang w:val="en-US"/>
              </w:rPr>
            </w:pPr>
            <w:r w:rsidRPr="00264D5D">
              <w:rPr>
                <w:lang w:val="en-US"/>
              </w:rPr>
              <w:t>t</w:t>
            </w:r>
            <w:r w:rsidRPr="00264D5D">
              <w:t>ZRS</w:t>
            </w:r>
            <w:r w:rsidRPr="00264D5D">
              <w:rPr>
                <w:lang w:val="en-US"/>
              </w:rPr>
              <w:t>T</w:t>
            </w:r>
            <w:r w:rsidRPr="00264D5D">
              <w:t>_ITEM</w:t>
            </w:r>
          </w:p>
        </w:tc>
        <w:tc>
          <w:tcPr>
            <w:tcW w:w="294" w:type="pct"/>
          </w:tcPr>
          <w:p w14:paraId="6FD73DAB" w14:textId="77777777" w:rsidR="00AD1F54" w:rsidRPr="00264D5D" w:rsidRDefault="00941227">
            <w:pPr>
              <w:pStyle w:val="GOSTTablenorm"/>
              <w:jc w:val="center"/>
            </w:pPr>
            <w:r w:rsidRPr="00264D5D">
              <w:t>ОМ</w:t>
            </w:r>
          </w:p>
        </w:tc>
        <w:tc>
          <w:tcPr>
            <w:tcW w:w="2058" w:type="pct"/>
          </w:tcPr>
          <w:p w14:paraId="2F65C2F5" w14:textId="1955B7F8" w:rsidR="00AD1F54" w:rsidRPr="00264D5D" w:rsidRDefault="00941227">
            <w:pPr>
              <w:pStyle w:val="GOSTTablenorm"/>
            </w:pPr>
            <w:r w:rsidRPr="00264D5D">
              <w:t xml:space="preserve">Состав элемента представлен в таблице </w:t>
            </w:r>
            <w:r w:rsidRPr="00264D5D">
              <w:rPr>
                <w:b/>
              </w:rPr>
              <w:fldChar w:fldCharType="begin"/>
            </w:r>
            <w:r w:rsidRPr="00264D5D">
              <w:rPr>
                <w:b/>
              </w:rPr>
              <w:instrText xml:space="preserve"> REF _Ref503531046 \h  \* MERGEFORMAT </w:instrText>
            </w:r>
            <w:r w:rsidRPr="00264D5D">
              <w:rPr>
                <w:b/>
              </w:rPr>
            </w:r>
            <w:r w:rsidRPr="00264D5D">
              <w:rPr>
                <w:b/>
              </w:rPr>
              <w:fldChar w:fldCharType="separate"/>
            </w:r>
            <w:r w:rsidR="008D797C" w:rsidRPr="008D797C">
              <w:rPr>
                <w:b/>
              </w:rPr>
              <w:t>67</w:t>
            </w:r>
            <w:r w:rsidRPr="00264D5D">
              <w:rPr>
                <w:b/>
              </w:rPr>
              <w:fldChar w:fldCharType="end"/>
            </w:r>
          </w:p>
        </w:tc>
      </w:tr>
    </w:tbl>
    <w:p w14:paraId="68F37D13" w14:textId="77777777" w:rsidR="00AD1F54" w:rsidRPr="00264D5D" w:rsidRDefault="00941227">
      <w:pPr>
        <w:pStyle w:val="31"/>
      </w:pPr>
      <w:bookmarkStart w:id="884" w:name="_Toc508712677"/>
      <w:bookmarkStart w:id="885" w:name="_Toc18509238"/>
      <w:r w:rsidRPr="00264D5D">
        <w:t xml:space="preserve"> </w:t>
      </w:r>
      <w:bookmarkStart w:id="886" w:name="_Toc219309505"/>
      <w:r w:rsidRPr="00264D5D">
        <w:t>Описание комплексного типа «tZRST_ITEM»</w:t>
      </w:r>
      <w:bookmarkEnd w:id="884"/>
      <w:bookmarkEnd w:id="885"/>
      <w:bookmarkEnd w:id="886"/>
    </w:p>
    <w:p w14:paraId="601234EA" w14:textId="77777777" w:rsidR="00AD1F54" w:rsidRPr="00264D5D" w:rsidRDefault="00941227">
      <w:pPr>
        <w:pStyle w:val="GOSTNormal"/>
      </w:pPr>
      <w:r w:rsidRPr="00264D5D">
        <w:t>Описание комплексного типа «tZRST_ITEM» блока «Расшифровка заявки на кассовый расход по бюджетной классификации (строки)».</w:t>
      </w:r>
    </w:p>
    <w:p w14:paraId="3584EE3E" w14:textId="37178C26"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887" w:name="_Ref503531046"/>
      <w:bookmarkStart w:id="888" w:name="_Toc18509526"/>
      <w:bookmarkStart w:id="889" w:name="_Toc219309097"/>
      <w:r w:rsidR="008D797C">
        <w:rPr>
          <w:noProof/>
        </w:rPr>
        <w:t>67</w:t>
      </w:r>
      <w:bookmarkEnd w:id="887"/>
      <w:r w:rsidRPr="00264D5D">
        <w:fldChar w:fldCharType="end"/>
      </w:r>
      <w:r w:rsidRPr="00264D5D">
        <w:t xml:space="preserve"> – Описание комплексного типа «tZRST_ITEM»</w:t>
      </w:r>
      <w:bookmarkEnd w:id="888"/>
      <w:bookmarkEnd w:id="889"/>
    </w:p>
    <w:tbl>
      <w:tblPr>
        <w:tblStyle w:val="GOSTTable"/>
        <w:tblW w:w="5000" w:type="pct"/>
        <w:tblLayout w:type="fixed"/>
        <w:tblLook w:val="04A0" w:firstRow="1" w:lastRow="0" w:firstColumn="1" w:lastColumn="0" w:noHBand="0" w:noVBand="1"/>
      </w:tblPr>
      <w:tblGrid>
        <w:gridCol w:w="1705"/>
        <w:gridCol w:w="1704"/>
        <w:gridCol w:w="567"/>
        <w:gridCol w:w="1137"/>
        <w:gridCol w:w="567"/>
        <w:gridCol w:w="3970"/>
      </w:tblGrid>
      <w:tr w:rsidR="00AD1F54" w:rsidRPr="00264D5D" w14:paraId="451E7331"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3" w:type="pct"/>
          </w:tcPr>
          <w:p w14:paraId="47B49651" w14:textId="77777777" w:rsidR="00AD1F54" w:rsidRPr="00264D5D" w:rsidRDefault="00941227">
            <w:pPr>
              <w:pStyle w:val="ASFKTableHead"/>
            </w:pPr>
            <w:r w:rsidRPr="00264D5D">
              <w:t>Наименование элемента</w:t>
            </w:r>
          </w:p>
        </w:tc>
        <w:tc>
          <w:tcPr>
            <w:tcW w:w="883" w:type="pct"/>
          </w:tcPr>
          <w:p w14:paraId="75F77A70" w14:textId="77777777" w:rsidR="00AD1F54" w:rsidRPr="00264D5D" w:rsidRDefault="00941227">
            <w:pPr>
              <w:pStyle w:val="ASFKTableHead"/>
            </w:pPr>
            <w:r w:rsidRPr="00264D5D">
              <w:t>Сокращенное наименование (код) элемента</w:t>
            </w:r>
          </w:p>
        </w:tc>
        <w:tc>
          <w:tcPr>
            <w:tcW w:w="294" w:type="pct"/>
          </w:tcPr>
          <w:p w14:paraId="322112CC" w14:textId="77777777" w:rsidR="00AD1F54" w:rsidRPr="00264D5D" w:rsidRDefault="00941227">
            <w:pPr>
              <w:pStyle w:val="ASFKTableHead"/>
            </w:pPr>
            <w:r w:rsidRPr="00264D5D">
              <w:t>Тип</w:t>
            </w:r>
          </w:p>
        </w:tc>
        <w:tc>
          <w:tcPr>
            <w:tcW w:w="589" w:type="pct"/>
          </w:tcPr>
          <w:p w14:paraId="39DAFC8B" w14:textId="77777777" w:rsidR="00AD1F54" w:rsidRPr="00264D5D" w:rsidRDefault="00941227">
            <w:pPr>
              <w:pStyle w:val="ASFKTableHead"/>
            </w:pPr>
            <w:r w:rsidRPr="00264D5D">
              <w:t>Формат элемента</w:t>
            </w:r>
          </w:p>
        </w:tc>
        <w:tc>
          <w:tcPr>
            <w:tcW w:w="294" w:type="pct"/>
          </w:tcPr>
          <w:p w14:paraId="21173192" w14:textId="77777777" w:rsidR="00AD1F54" w:rsidRPr="00264D5D" w:rsidRDefault="00941227">
            <w:pPr>
              <w:pStyle w:val="ASFKTableHead"/>
            </w:pPr>
            <w:r w:rsidRPr="00264D5D">
              <w:t>Обязательность</w:t>
            </w:r>
          </w:p>
        </w:tc>
        <w:tc>
          <w:tcPr>
            <w:tcW w:w="2058" w:type="pct"/>
          </w:tcPr>
          <w:p w14:paraId="11D5760C" w14:textId="77777777" w:rsidR="00AD1F54" w:rsidRPr="00264D5D" w:rsidRDefault="00941227">
            <w:pPr>
              <w:pStyle w:val="ASFKTableHead"/>
            </w:pPr>
            <w:r w:rsidRPr="00264D5D">
              <w:t>Дополнительная информация</w:t>
            </w:r>
          </w:p>
        </w:tc>
      </w:tr>
      <w:tr w:rsidR="00AD1F54" w:rsidRPr="00264D5D" w14:paraId="17692724"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3C35E78F" w14:textId="77777777" w:rsidR="00AD1F54" w:rsidRPr="00264D5D" w:rsidRDefault="00941227">
            <w:pPr>
              <w:pStyle w:val="GOSTTablenorm"/>
            </w:pPr>
            <w:r w:rsidRPr="00264D5D">
              <w:rPr>
                <w:szCs w:val="22"/>
              </w:rPr>
              <w:t>№ п/п</w:t>
            </w:r>
          </w:p>
        </w:tc>
        <w:tc>
          <w:tcPr>
            <w:tcW w:w="883" w:type="pct"/>
          </w:tcPr>
          <w:p w14:paraId="7B011ABC" w14:textId="77777777" w:rsidR="00AD1F54" w:rsidRPr="00264D5D" w:rsidRDefault="00941227">
            <w:pPr>
              <w:pStyle w:val="GOSTTablenorm"/>
              <w:rPr>
                <w:lang w:val="en-US"/>
              </w:rPr>
            </w:pPr>
            <w:r w:rsidRPr="00264D5D">
              <w:rPr>
                <w:szCs w:val="22"/>
              </w:rPr>
              <w:t>RcrdNm</w:t>
            </w:r>
          </w:p>
        </w:tc>
        <w:tc>
          <w:tcPr>
            <w:tcW w:w="294" w:type="pct"/>
          </w:tcPr>
          <w:p w14:paraId="746B8A91" w14:textId="77777777" w:rsidR="00AD1F54" w:rsidRPr="00264D5D" w:rsidRDefault="00941227">
            <w:pPr>
              <w:pStyle w:val="GOSTTablenorm"/>
              <w:jc w:val="center"/>
            </w:pPr>
            <w:r w:rsidRPr="00264D5D">
              <w:t>П</w:t>
            </w:r>
          </w:p>
        </w:tc>
        <w:tc>
          <w:tcPr>
            <w:tcW w:w="589" w:type="pct"/>
          </w:tcPr>
          <w:p w14:paraId="5CAFC8A5" w14:textId="77777777" w:rsidR="00AD1F54" w:rsidRPr="00264D5D" w:rsidRDefault="00941227">
            <w:pPr>
              <w:pStyle w:val="GOSTTablenorm"/>
            </w:pPr>
            <w:r w:rsidRPr="00264D5D">
              <w:rPr>
                <w:szCs w:val="22"/>
              </w:rPr>
              <w:t>N</w:t>
            </w:r>
            <w:r w:rsidRPr="00264D5D">
              <w:rPr>
                <w:szCs w:val="22"/>
                <w:lang w:val="en-US"/>
              </w:rPr>
              <w:t>(</w:t>
            </w:r>
            <w:r w:rsidRPr="00264D5D">
              <w:rPr>
                <w:szCs w:val="22"/>
              </w:rPr>
              <w:t>1-4</w:t>
            </w:r>
            <w:r w:rsidRPr="00264D5D">
              <w:rPr>
                <w:szCs w:val="22"/>
                <w:lang w:val="en-US"/>
              </w:rPr>
              <w:t>)</w:t>
            </w:r>
          </w:p>
        </w:tc>
        <w:tc>
          <w:tcPr>
            <w:tcW w:w="294" w:type="pct"/>
          </w:tcPr>
          <w:p w14:paraId="5EB15867" w14:textId="77777777" w:rsidR="00AD1F54" w:rsidRPr="00264D5D" w:rsidRDefault="00941227">
            <w:pPr>
              <w:pStyle w:val="GOSTTablenorm"/>
              <w:jc w:val="center"/>
            </w:pPr>
            <w:r w:rsidRPr="00264D5D">
              <w:t>О</w:t>
            </w:r>
          </w:p>
        </w:tc>
        <w:tc>
          <w:tcPr>
            <w:tcW w:w="2058" w:type="pct"/>
          </w:tcPr>
          <w:p w14:paraId="549947ED" w14:textId="77777777" w:rsidR="00AD1F54" w:rsidRPr="00264D5D" w:rsidRDefault="00941227">
            <w:pPr>
              <w:pStyle w:val="GOSTTablenorm"/>
            </w:pPr>
            <w:r w:rsidRPr="00264D5D">
              <w:rPr>
                <w:szCs w:val="22"/>
              </w:rPr>
              <w:t>Порядковый номер строк</w:t>
            </w:r>
            <w:r w:rsidR="00BA58C1" w:rsidRPr="00264D5D">
              <w:rPr>
                <w:szCs w:val="22"/>
              </w:rPr>
              <w:t>и</w:t>
            </w:r>
          </w:p>
        </w:tc>
      </w:tr>
      <w:tr w:rsidR="00AD1F54" w:rsidRPr="00264D5D" w14:paraId="64727836"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3" w:type="pct"/>
          </w:tcPr>
          <w:p w14:paraId="380F53F7" w14:textId="77777777" w:rsidR="00AD1F54" w:rsidRPr="00264D5D" w:rsidRDefault="00941227">
            <w:pPr>
              <w:pStyle w:val="GOSTTablenorm"/>
            </w:pPr>
            <w:r w:rsidRPr="00264D5D">
              <w:t>Вид средств</w:t>
            </w:r>
          </w:p>
        </w:tc>
        <w:tc>
          <w:tcPr>
            <w:tcW w:w="883" w:type="pct"/>
          </w:tcPr>
          <w:p w14:paraId="3F14F3F0" w14:textId="77777777" w:rsidR="00AD1F54" w:rsidRPr="00264D5D" w:rsidRDefault="00941227">
            <w:pPr>
              <w:pStyle w:val="GOSTTablenorm"/>
            </w:pPr>
            <w:r w:rsidRPr="00264D5D">
              <w:t>MSC_FndsSrc</w:t>
            </w:r>
          </w:p>
        </w:tc>
        <w:tc>
          <w:tcPr>
            <w:tcW w:w="294" w:type="pct"/>
          </w:tcPr>
          <w:p w14:paraId="21DF036C" w14:textId="77777777" w:rsidR="00AD1F54" w:rsidRPr="00264D5D" w:rsidRDefault="00941227">
            <w:pPr>
              <w:pStyle w:val="GOSTTablenorm"/>
              <w:jc w:val="center"/>
              <w:rPr>
                <w:lang w:val="en-US"/>
              </w:rPr>
            </w:pPr>
            <w:r w:rsidRPr="00264D5D">
              <w:rPr>
                <w:lang w:val="en-US"/>
              </w:rPr>
              <w:t>C</w:t>
            </w:r>
          </w:p>
        </w:tc>
        <w:tc>
          <w:tcPr>
            <w:tcW w:w="589" w:type="pct"/>
          </w:tcPr>
          <w:p w14:paraId="039319C9" w14:textId="77777777" w:rsidR="00AD1F54" w:rsidRPr="00264D5D" w:rsidRDefault="00941227">
            <w:pPr>
              <w:pStyle w:val="GOSTTablenorm"/>
            </w:pPr>
            <w:r w:rsidRPr="00264D5D">
              <w:t>tMSC_SrcTypeComplex6</w:t>
            </w:r>
          </w:p>
        </w:tc>
        <w:tc>
          <w:tcPr>
            <w:tcW w:w="294" w:type="pct"/>
          </w:tcPr>
          <w:p w14:paraId="3D50D570" w14:textId="77777777" w:rsidR="00AD1F54" w:rsidRPr="00264D5D" w:rsidRDefault="00941227">
            <w:pPr>
              <w:pStyle w:val="GOSTTablenorm"/>
              <w:jc w:val="center"/>
            </w:pPr>
            <w:r w:rsidRPr="00264D5D">
              <w:t>О</w:t>
            </w:r>
          </w:p>
        </w:tc>
        <w:tc>
          <w:tcPr>
            <w:tcW w:w="2058" w:type="pct"/>
          </w:tcPr>
          <w:p w14:paraId="611903F9" w14:textId="77777777" w:rsidR="00AD1F54" w:rsidRPr="00264D5D" w:rsidRDefault="00941227">
            <w:pPr>
              <w:pStyle w:val="GOSTTablenorm"/>
            </w:pPr>
            <w:r w:rsidRPr="00264D5D">
              <w:t>Вид средств.</w:t>
            </w:r>
          </w:p>
          <w:p w14:paraId="17BA62F1" w14:textId="6344C627" w:rsidR="00AD1F54" w:rsidRPr="00264D5D" w:rsidRDefault="00941227">
            <w:pPr>
              <w:pStyle w:val="GOSTTablenorm"/>
            </w:pPr>
            <w:r w:rsidRPr="00264D5D">
              <w:t xml:space="preserve">Состав элемента представлен в таблице </w:t>
            </w:r>
            <w:r w:rsidRPr="00264D5D">
              <w:rPr>
                <w:b/>
              </w:rPr>
              <w:fldChar w:fldCharType="begin"/>
            </w:r>
            <w:r w:rsidRPr="00264D5D">
              <w:rPr>
                <w:b/>
              </w:rPr>
              <w:instrText xml:space="preserve"> REF _Ref524616130 \h  \* MERGEFORMAT </w:instrText>
            </w:r>
            <w:r w:rsidRPr="00264D5D">
              <w:rPr>
                <w:b/>
              </w:rPr>
            </w:r>
            <w:r w:rsidRPr="00264D5D">
              <w:rPr>
                <w:b/>
              </w:rPr>
              <w:fldChar w:fldCharType="separate"/>
            </w:r>
            <w:r w:rsidR="008D797C" w:rsidRPr="008D797C">
              <w:rPr>
                <w:b/>
              </w:rPr>
              <w:t>68</w:t>
            </w:r>
            <w:r w:rsidRPr="00264D5D">
              <w:rPr>
                <w:b/>
              </w:rPr>
              <w:fldChar w:fldCharType="end"/>
            </w:r>
          </w:p>
        </w:tc>
      </w:tr>
      <w:tr w:rsidR="00AD1F54" w:rsidRPr="00264D5D" w14:paraId="44D32A23"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167AA675" w14:textId="77777777" w:rsidR="00AD1F54" w:rsidRPr="00264D5D" w:rsidRDefault="00941227">
            <w:pPr>
              <w:pStyle w:val="GOSTTablenorm"/>
            </w:pPr>
            <w:r w:rsidRPr="00264D5D">
              <w:t>КБК плательщика</w:t>
            </w:r>
          </w:p>
        </w:tc>
        <w:tc>
          <w:tcPr>
            <w:tcW w:w="883" w:type="pct"/>
          </w:tcPr>
          <w:p w14:paraId="7A508D20" w14:textId="77777777" w:rsidR="00AD1F54" w:rsidRPr="00264D5D" w:rsidRDefault="00941227">
            <w:pPr>
              <w:pStyle w:val="GOSTTablenorm"/>
            </w:pPr>
            <w:r w:rsidRPr="00264D5D">
              <w:t>MSC_KBKPyr</w:t>
            </w:r>
          </w:p>
        </w:tc>
        <w:tc>
          <w:tcPr>
            <w:tcW w:w="294" w:type="pct"/>
          </w:tcPr>
          <w:p w14:paraId="7F42EE6C" w14:textId="77777777" w:rsidR="00AD1F54" w:rsidRPr="00264D5D" w:rsidRDefault="00941227">
            <w:pPr>
              <w:pStyle w:val="GOSTTablenorm"/>
              <w:jc w:val="center"/>
              <w:rPr>
                <w:lang w:val="en-US"/>
              </w:rPr>
            </w:pPr>
            <w:r w:rsidRPr="00264D5D">
              <w:t>С</w:t>
            </w:r>
          </w:p>
        </w:tc>
        <w:tc>
          <w:tcPr>
            <w:tcW w:w="589" w:type="pct"/>
          </w:tcPr>
          <w:p w14:paraId="45C1915B" w14:textId="77777777" w:rsidR="00AD1F54" w:rsidRPr="00264D5D" w:rsidRDefault="00D26607">
            <w:pPr>
              <w:pStyle w:val="GOSTTablenorm"/>
            </w:pPr>
            <w:r w:rsidRPr="00264D5D">
              <w:rPr>
                <w:szCs w:val="22"/>
              </w:rPr>
              <w:t>tMSC_KBK10_20_31_32_1</w:t>
            </w:r>
          </w:p>
        </w:tc>
        <w:tc>
          <w:tcPr>
            <w:tcW w:w="294" w:type="pct"/>
          </w:tcPr>
          <w:p w14:paraId="2DF22E18" w14:textId="77777777" w:rsidR="00AD1F54" w:rsidRPr="00264D5D" w:rsidRDefault="00941227">
            <w:pPr>
              <w:pStyle w:val="GOSTTablenorm"/>
              <w:jc w:val="center"/>
            </w:pPr>
            <w:r w:rsidRPr="00264D5D">
              <w:t>Н</w:t>
            </w:r>
          </w:p>
        </w:tc>
        <w:tc>
          <w:tcPr>
            <w:tcW w:w="2058" w:type="pct"/>
          </w:tcPr>
          <w:p w14:paraId="3EDF26FC" w14:textId="77777777" w:rsidR="00AD1F54" w:rsidRPr="00264D5D" w:rsidRDefault="00941227">
            <w:pPr>
              <w:pStyle w:val="GOSTTablenorm"/>
            </w:pPr>
            <w:r w:rsidRPr="00264D5D">
              <w:t>КБК плательщика.</w:t>
            </w:r>
          </w:p>
          <w:p w14:paraId="11E76A57" w14:textId="77777777" w:rsidR="00AD1F54" w:rsidRPr="00264D5D" w:rsidRDefault="00941227">
            <w:pPr>
              <w:pStyle w:val="GOSTTablenorm"/>
            </w:pPr>
            <w:r w:rsidRPr="00264D5D">
              <w:t>Для средств, поступающих во временное распоряжение учреждений коды не указываются.</w:t>
            </w:r>
          </w:p>
          <w:p w14:paraId="75E74872" w14:textId="4A0C1366" w:rsidR="00AD1F54" w:rsidRPr="00264D5D" w:rsidRDefault="00941227" w:rsidP="004D6C77">
            <w:pPr>
              <w:pStyle w:val="GOSTTablenorm"/>
            </w:pPr>
            <w:r w:rsidRPr="00264D5D">
              <w:t>Состав элемента представлен в таблице</w:t>
            </w:r>
            <w:r w:rsidR="004D6C77" w:rsidRPr="00264D5D">
              <w:t xml:space="preserve"> </w:t>
            </w:r>
            <w:r w:rsidR="004D6C77" w:rsidRPr="00264D5D">
              <w:fldChar w:fldCharType="begin"/>
            </w:r>
            <w:r w:rsidR="004D6C77" w:rsidRPr="00264D5D">
              <w:instrText xml:space="preserve"> REF _Ref158283106 \h </w:instrText>
            </w:r>
            <w:r w:rsidR="00264D5D">
              <w:instrText xml:space="preserve"> \* MERGEFORMAT </w:instrText>
            </w:r>
            <w:r w:rsidR="004D6C77" w:rsidRPr="00264D5D">
              <w:fldChar w:fldCharType="separate"/>
            </w:r>
            <w:r w:rsidR="008D797C">
              <w:rPr>
                <w:noProof/>
              </w:rPr>
              <w:t>70</w:t>
            </w:r>
            <w:r w:rsidR="004D6C77" w:rsidRPr="00264D5D">
              <w:fldChar w:fldCharType="end"/>
            </w:r>
          </w:p>
        </w:tc>
      </w:tr>
      <w:tr w:rsidR="00AD1F54" w:rsidRPr="00264D5D" w14:paraId="24EB4480"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3" w:type="pct"/>
          </w:tcPr>
          <w:p w14:paraId="740449C4" w14:textId="77777777" w:rsidR="00AD1F54" w:rsidRPr="00264D5D" w:rsidRDefault="00941227">
            <w:pPr>
              <w:pStyle w:val="GOSTTablenorm"/>
            </w:pPr>
            <w:r w:rsidRPr="00264D5D">
              <w:t>КБК получателя</w:t>
            </w:r>
          </w:p>
        </w:tc>
        <w:tc>
          <w:tcPr>
            <w:tcW w:w="883" w:type="pct"/>
          </w:tcPr>
          <w:p w14:paraId="638EE83A" w14:textId="77777777" w:rsidR="00AD1F54" w:rsidRPr="00264D5D" w:rsidRDefault="00941227">
            <w:pPr>
              <w:pStyle w:val="GOSTTablenorm"/>
            </w:pPr>
            <w:r w:rsidRPr="00264D5D">
              <w:t>MSC_KBKRcpnt</w:t>
            </w:r>
          </w:p>
        </w:tc>
        <w:tc>
          <w:tcPr>
            <w:tcW w:w="294" w:type="pct"/>
          </w:tcPr>
          <w:p w14:paraId="7C6FD501" w14:textId="77777777" w:rsidR="00AD1F54" w:rsidRPr="00264D5D" w:rsidRDefault="00941227">
            <w:pPr>
              <w:pStyle w:val="GOSTTablenorm"/>
              <w:jc w:val="center"/>
              <w:rPr>
                <w:lang w:val="en-US"/>
              </w:rPr>
            </w:pPr>
            <w:r w:rsidRPr="00264D5D">
              <w:t>С</w:t>
            </w:r>
          </w:p>
        </w:tc>
        <w:tc>
          <w:tcPr>
            <w:tcW w:w="589" w:type="pct"/>
          </w:tcPr>
          <w:p w14:paraId="694B82B1" w14:textId="77777777" w:rsidR="00AD1F54" w:rsidRPr="00264D5D" w:rsidRDefault="00941227">
            <w:pPr>
              <w:pStyle w:val="GOSTTablenorm"/>
            </w:pPr>
            <w:r w:rsidRPr="00264D5D">
              <w:t>tMSC_KBK10_20_31_32</w:t>
            </w:r>
          </w:p>
        </w:tc>
        <w:tc>
          <w:tcPr>
            <w:tcW w:w="294" w:type="pct"/>
          </w:tcPr>
          <w:p w14:paraId="10E1BFE8" w14:textId="77777777" w:rsidR="00AD1F54" w:rsidRPr="00264D5D" w:rsidRDefault="00941227">
            <w:pPr>
              <w:pStyle w:val="GOSTTablenorm"/>
              <w:jc w:val="center"/>
            </w:pPr>
            <w:r w:rsidRPr="00264D5D">
              <w:t>Н</w:t>
            </w:r>
          </w:p>
        </w:tc>
        <w:tc>
          <w:tcPr>
            <w:tcW w:w="2058" w:type="pct"/>
          </w:tcPr>
          <w:p w14:paraId="3F8BE792" w14:textId="77777777" w:rsidR="00AD1F54" w:rsidRPr="00264D5D" w:rsidRDefault="00941227">
            <w:pPr>
              <w:pStyle w:val="GOSTTablenorm"/>
            </w:pPr>
            <w:r w:rsidRPr="00264D5D">
              <w:t>КБК получателя.</w:t>
            </w:r>
          </w:p>
          <w:p w14:paraId="753FA008" w14:textId="178EAD6D" w:rsidR="00AD1F54" w:rsidRPr="00264D5D" w:rsidRDefault="00941227">
            <w:pPr>
              <w:pStyle w:val="GOSTTablenorm"/>
            </w:pPr>
            <w:r w:rsidRPr="00264D5D">
              <w:t xml:space="preserve">Состав элемента представлен в таблице </w:t>
            </w:r>
            <w:r w:rsidRPr="00264D5D">
              <w:rPr>
                <w:b/>
              </w:rPr>
              <w:fldChar w:fldCharType="begin"/>
            </w:r>
            <w:r w:rsidRPr="00264D5D">
              <w:rPr>
                <w:b/>
              </w:rPr>
              <w:instrText xml:space="preserve"> REF _Ref503531390 \h  \* MERGEFORMAT </w:instrText>
            </w:r>
            <w:r w:rsidRPr="00264D5D">
              <w:rPr>
                <w:b/>
              </w:rPr>
            </w:r>
            <w:r w:rsidRPr="00264D5D">
              <w:rPr>
                <w:b/>
              </w:rPr>
              <w:fldChar w:fldCharType="separate"/>
            </w:r>
            <w:r w:rsidR="008D797C" w:rsidRPr="008D797C">
              <w:rPr>
                <w:b/>
              </w:rPr>
              <w:t>69</w:t>
            </w:r>
            <w:r w:rsidRPr="00264D5D">
              <w:rPr>
                <w:b/>
              </w:rPr>
              <w:fldChar w:fldCharType="end"/>
            </w:r>
          </w:p>
        </w:tc>
      </w:tr>
      <w:tr w:rsidR="00AD1F54" w:rsidRPr="00264D5D" w14:paraId="6A37794E" w14:textId="77777777" w:rsidTr="00AD1F54">
        <w:trPr>
          <w:cnfStyle w:val="000000100000" w:firstRow="0" w:lastRow="0" w:firstColumn="0" w:lastColumn="0" w:oddVBand="0" w:evenVBand="0" w:oddHBand="1" w:evenHBand="0" w:firstRowFirstColumn="0" w:firstRowLastColumn="0" w:lastRowFirstColumn="0" w:lastRowLastColumn="0"/>
          <w:trHeight w:val="487"/>
        </w:trPr>
        <w:tc>
          <w:tcPr>
            <w:tcW w:w="883" w:type="pct"/>
          </w:tcPr>
          <w:p w14:paraId="70AFA40F" w14:textId="77777777" w:rsidR="00AD1F54" w:rsidRPr="00264D5D" w:rsidRDefault="00941227">
            <w:pPr>
              <w:pStyle w:val="GOSTTablenorm"/>
            </w:pPr>
            <w:r w:rsidRPr="00264D5D">
              <w:t>Сумма в валюте заявки</w:t>
            </w:r>
          </w:p>
        </w:tc>
        <w:tc>
          <w:tcPr>
            <w:tcW w:w="883" w:type="pct"/>
          </w:tcPr>
          <w:p w14:paraId="1D35D12E" w14:textId="77777777" w:rsidR="00AD1F54" w:rsidRPr="00264D5D" w:rsidRDefault="00941227">
            <w:pPr>
              <w:pStyle w:val="GOSTTablenorm"/>
            </w:pPr>
            <w:r w:rsidRPr="00264D5D">
              <w:t>AmntCrrPrpsl</w:t>
            </w:r>
          </w:p>
        </w:tc>
        <w:tc>
          <w:tcPr>
            <w:tcW w:w="294" w:type="pct"/>
          </w:tcPr>
          <w:p w14:paraId="34A6A3C2" w14:textId="77777777" w:rsidR="00AD1F54" w:rsidRPr="00264D5D" w:rsidRDefault="00941227">
            <w:pPr>
              <w:pStyle w:val="GOSTTablenorm"/>
              <w:jc w:val="center"/>
            </w:pPr>
            <w:r w:rsidRPr="00264D5D">
              <w:t>П</w:t>
            </w:r>
          </w:p>
        </w:tc>
        <w:tc>
          <w:tcPr>
            <w:tcW w:w="589" w:type="pct"/>
          </w:tcPr>
          <w:p w14:paraId="77E51F57" w14:textId="77777777" w:rsidR="00AD1F54" w:rsidRPr="00264D5D" w:rsidRDefault="00941227">
            <w:pPr>
              <w:pStyle w:val="GOSTTablenorm"/>
            </w:pPr>
            <w:r w:rsidRPr="00264D5D">
              <w:t>N(20.2)</w:t>
            </w:r>
          </w:p>
        </w:tc>
        <w:tc>
          <w:tcPr>
            <w:tcW w:w="294" w:type="pct"/>
          </w:tcPr>
          <w:p w14:paraId="2BF052F4" w14:textId="77777777" w:rsidR="00AD1F54" w:rsidRPr="00264D5D" w:rsidRDefault="00941227">
            <w:pPr>
              <w:pStyle w:val="GOSTTablenorm"/>
              <w:jc w:val="center"/>
            </w:pPr>
            <w:r w:rsidRPr="00264D5D">
              <w:t>О</w:t>
            </w:r>
          </w:p>
        </w:tc>
        <w:tc>
          <w:tcPr>
            <w:tcW w:w="2058" w:type="pct"/>
          </w:tcPr>
          <w:p w14:paraId="3DAB2857" w14:textId="77777777" w:rsidR="00AD1F54" w:rsidRPr="00264D5D" w:rsidRDefault="00941227">
            <w:pPr>
              <w:pStyle w:val="GOSTTablenorm"/>
            </w:pPr>
            <w:r w:rsidRPr="00264D5D">
              <w:t>Сумма в ва</w:t>
            </w:r>
            <w:r w:rsidR="00BA58C1" w:rsidRPr="00264D5D">
              <w:t>люте по соответствующему КБК РФ</w:t>
            </w:r>
          </w:p>
        </w:tc>
      </w:tr>
      <w:tr w:rsidR="00AD1F54" w:rsidRPr="00264D5D" w14:paraId="4DC6A50D"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3" w:type="pct"/>
          </w:tcPr>
          <w:p w14:paraId="6D358E28" w14:textId="77777777" w:rsidR="00AD1F54" w:rsidRPr="00264D5D" w:rsidRDefault="00941227">
            <w:pPr>
              <w:pStyle w:val="GOSTTablenorm"/>
            </w:pPr>
            <w:r w:rsidRPr="00264D5D">
              <w:t>Сумма в рублях</w:t>
            </w:r>
          </w:p>
        </w:tc>
        <w:tc>
          <w:tcPr>
            <w:tcW w:w="883" w:type="pct"/>
          </w:tcPr>
          <w:p w14:paraId="3A9B9928" w14:textId="77777777" w:rsidR="00AD1F54" w:rsidRPr="00264D5D" w:rsidRDefault="00941227">
            <w:pPr>
              <w:pStyle w:val="GOSTTablenorm"/>
            </w:pPr>
            <w:r w:rsidRPr="00264D5D">
              <w:t>AmntRb</w:t>
            </w:r>
          </w:p>
        </w:tc>
        <w:tc>
          <w:tcPr>
            <w:tcW w:w="294" w:type="pct"/>
          </w:tcPr>
          <w:p w14:paraId="7E4F5A7C" w14:textId="77777777" w:rsidR="00AD1F54" w:rsidRPr="00264D5D" w:rsidRDefault="00941227">
            <w:pPr>
              <w:pStyle w:val="GOSTTablenorm"/>
              <w:jc w:val="center"/>
            </w:pPr>
            <w:r w:rsidRPr="00264D5D">
              <w:t>П</w:t>
            </w:r>
          </w:p>
        </w:tc>
        <w:tc>
          <w:tcPr>
            <w:tcW w:w="589" w:type="pct"/>
          </w:tcPr>
          <w:p w14:paraId="454F47C6" w14:textId="77777777" w:rsidR="00AD1F54" w:rsidRPr="00264D5D" w:rsidRDefault="00941227">
            <w:pPr>
              <w:pStyle w:val="GOSTTablenorm"/>
            </w:pPr>
            <w:r w:rsidRPr="00264D5D">
              <w:t>N(20.2)</w:t>
            </w:r>
          </w:p>
        </w:tc>
        <w:tc>
          <w:tcPr>
            <w:tcW w:w="294" w:type="pct"/>
          </w:tcPr>
          <w:p w14:paraId="0D81532B" w14:textId="77777777" w:rsidR="00AD1F54" w:rsidRPr="00264D5D" w:rsidRDefault="00941227">
            <w:pPr>
              <w:pStyle w:val="GOSTTablenorm"/>
              <w:jc w:val="center"/>
            </w:pPr>
            <w:r w:rsidRPr="00264D5D">
              <w:t>О</w:t>
            </w:r>
          </w:p>
        </w:tc>
        <w:tc>
          <w:tcPr>
            <w:tcW w:w="2058" w:type="pct"/>
          </w:tcPr>
          <w:p w14:paraId="3560631A" w14:textId="77777777" w:rsidR="00AD1F54" w:rsidRPr="00264D5D" w:rsidRDefault="00941227">
            <w:pPr>
              <w:pStyle w:val="GOSTTablenorm"/>
            </w:pPr>
            <w:r w:rsidRPr="00264D5D">
              <w:t>Сумма в ру</w:t>
            </w:r>
            <w:r w:rsidR="00BA58C1" w:rsidRPr="00264D5D">
              <w:t>блях по соответствующему КБК РФ</w:t>
            </w:r>
          </w:p>
        </w:tc>
      </w:tr>
      <w:tr w:rsidR="00AD1F54" w:rsidRPr="00264D5D" w14:paraId="61FD3992"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58B6BDEF" w14:textId="77777777" w:rsidR="00AD1F54" w:rsidRPr="00264D5D" w:rsidRDefault="00941227">
            <w:pPr>
              <w:pStyle w:val="GOSTTablenorm"/>
            </w:pPr>
            <w:r w:rsidRPr="00264D5D">
              <w:t>Назначение платежа</w:t>
            </w:r>
          </w:p>
        </w:tc>
        <w:tc>
          <w:tcPr>
            <w:tcW w:w="883" w:type="pct"/>
          </w:tcPr>
          <w:p w14:paraId="75A16E56" w14:textId="77777777" w:rsidR="00AD1F54" w:rsidRPr="00264D5D" w:rsidRDefault="00941227">
            <w:pPr>
              <w:pStyle w:val="GOSTTablenorm"/>
            </w:pPr>
            <w:r w:rsidRPr="00264D5D">
              <w:t>PyPrps</w:t>
            </w:r>
          </w:p>
        </w:tc>
        <w:tc>
          <w:tcPr>
            <w:tcW w:w="294" w:type="pct"/>
          </w:tcPr>
          <w:p w14:paraId="4D12C464" w14:textId="77777777" w:rsidR="00AD1F54" w:rsidRPr="00264D5D" w:rsidRDefault="00941227">
            <w:pPr>
              <w:pStyle w:val="GOSTTablenorm"/>
              <w:jc w:val="center"/>
            </w:pPr>
            <w:r w:rsidRPr="00264D5D">
              <w:t>П</w:t>
            </w:r>
          </w:p>
        </w:tc>
        <w:tc>
          <w:tcPr>
            <w:tcW w:w="589" w:type="pct"/>
          </w:tcPr>
          <w:p w14:paraId="64050093" w14:textId="77777777" w:rsidR="00AD1F54" w:rsidRPr="00264D5D" w:rsidRDefault="00941227">
            <w:pPr>
              <w:pStyle w:val="GOSTTablenorm"/>
            </w:pPr>
            <w:r w:rsidRPr="00264D5D">
              <w:t>Т(1-210)</w:t>
            </w:r>
          </w:p>
        </w:tc>
        <w:tc>
          <w:tcPr>
            <w:tcW w:w="294" w:type="pct"/>
          </w:tcPr>
          <w:p w14:paraId="2EF3F5D9" w14:textId="77777777" w:rsidR="00AD1F54" w:rsidRPr="00264D5D" w:rsidRDefault="00941227">
            <w:pPr>
              <w:pStyle w:val="GOSTTablenorm"/>
              <w:jc w:val="center"/>
            </w:pPr>
            <w:r w:rsidRPr="00264D5D">
              <w:t>Н</w:t>
            </w:r>
          </w:p>
        </w:tc>
        <w:tc>
          <w:tcPr>
            <w:tcW w:w="2058" w:type="pct"/>
          </w:tcPr>
          <w:p w14:paraId="602B55A1" w14:textId="77777777" w:rsidR="00AD1F54" w:rsidRPr="00264D5D" w:rsidRDefault="00941227">
            <w:pPr>
              <w:pStyle w:val="GOSTTablenorm"/>
            </w:pPr>
            <w:r w:rsidRPr="00264D5D">
              <w:t>Назначение платежа по соответствующему КБК РФ в соответствии с документом-основанием, подтверждающим возникновение денежного обязательства.</w:t>
            </w:r>
          </w:p>
          <w:p w14:paraId="7980EC7C" w14:textId="77777777" w:rsidR="00AD1F54" w:rsidRPr="00264D5D" w:rsidRDefault="00941227">
            <w:pPr>
              <w:pStyle w:val="GOSTTablenorm"/>
            </w:pPr>
            <w:r w:rsidRPr="00264D5D">
              <w:t>Заполняется, если назначение платежа меняется в зависимости от КБК РФ или сумм, указан</w:t>
            </w:r>
            <w:r w:rsidR="00BA58C1" w:rsidRPr="00264D5D">
              <w:t>ных в Заявке на кассовый расход</w:t>
            </w:r>
          </w:p>
        </w:tc>
      </w:tr>
      <w:tr w:rsidR="00AD1F54" w:rsidRPr="00264D5D" w14:paraId="4385E41C"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3" w:type="pct"/>
          </w:tcPr>
          <w:p w14:paraId="4A967EDD" w14:textId="77777777" w:rsidR="00AD1F54" w:rsidRPr="00264D5D" w:rsidRDefault="00941227">
            <w:pPr>
              <w:pStyle w:val="GOSTTablenorm"/>
            </w:pPr>
            <w:r w:rsidRPr="00264D5D">
              <w:t>Примечание</w:t>
            </w:r>
          </w:p>
        </w:tc>
        <w:tc>
          <w:tcPr>
            <w:tcW w:w="883" w:type="pct"/>
          </w:tcPr>
          <w:p w14:paraId="0A8DC28C" w14:textId="77777777" w:rsidR="00AD1F54" w:rsidRPr="00264D5D" w:rsidRDefault="00941227">
            <w:pPr>
              <w:pStyle w:val="GOSTTablenorm"/>
              <w:rPr>
                <w:lang w:val="en-US"/>
              </w:rPr>
            </w:pPr>
            <w:r w:rsidRPr="00264D5D">
              <w:rPr>
                <w:lang w:val="en-US"/>
              </w:rPr>
              <w:t>Nt</w:t>
            </w:r>
          </w:p>
        </w:tc>
        <w:tc>
          <w:tcPr>
            <w:tcW w:w="294" w:type="pct"/>
          </w:tcPr>
          <w:p w14:paraId="7B6D3BAA" w14:textId="77777777" w:rsidR="00AD1F54" w:rsidRPr="00264D5D" w:rsidRDefault="00941227">
            <w:pPr>
              <w:pStyle w:val="GOSTTablenorm"/>
              <w:jc w:val="center"/>
            </w:pPr>
            <w:r w:rsidRPr="00264D5D">
              <w:t>П</w:t>
            </w:r>
          </w:p>
        </w:tc>
        <w:tc>
          <w:tcPr>
            <w:tcW w:w="589" w:type="pct"/>
          </w:tcPr>
          <w:p w14:paraId="2896DB8D" w14:textId="77777777" w:rsidR="00AD1F54" w:rsidRPr="00264D5D" w:rsidRDefault="00941227">
            <w:pPr>
              <w:pStyle w:val="GOSTTablenorm"/>
            </w:pPr>
            <w:r w:rsidRPr="00264D5D">
              <w:t>Т(1-254)</w:t>
            </w:r>
          </w:p>
        </w:tc>
        <w:tc>
          <w:tcPr>
            <w:tcW w:w="294" w:type="pct"/>
          </w:tcPr>
          <w:p w14:paraId="3E716E30" w14:textId="77777777" w:rsidR="00AD1F54" w:rsidRPr="00264D5D" w:rsidRDefault="00941227">
            <w:pPr>
              <w:pStyle w:val="GOSTTablenorm"/>
              <w:jc w:val="center"/>
              <w:rPr>
                <w:lang w:val="en-US"/>
              </w:rPr>
            </w:pPr>
            <w:r w:rsidRPr="00264D5D">
              <w:t>Н</w:t>
            </w:r>
          </w:p>
        </w:tc>
        <w:tc>
          <w:tcPr>
            <w:tcW w:w="2058" w:type="pct"/>
          </w:tcPr>
          <w:p w14:paraId="209D0999" w14:textId="77777777" w:rsidR="00AD1F54" w:rsidRPr="00264D5D" w:rsidRDefault="00BA58C1">
            <w:pPr>
              <w:pStyle w:val="GOSTTablenorm"/>
            </w:pPr>
            <w:r w:rsidRPr="00264D5D">
              <w:t>Указывается примечание</w:t>
            </w:r>
          </w:p>
        </w:tc>
      </w:tr>
    </w:tbl>
    <w:p w14:paraId="028CE27D" w14:textId="77777777" w:rsidR="00AD1F54" w:rsidRPr="00264D5D" w:rsidRDefault="00941227">
      <w:pPr>
        <w:pStyle w:val="31"/>
      </w:pPr>
      <w:bookmarkStart w:id="890" w:name="_Toc18509239"/>
      <w:r w:rsidRPr="00264D5D">
        <w:lastRenderedPageBreak/>
        <w:t xml:space="preserve"> </w:t>
      </w:r>
      <w:bookmarkStart w:id="891" w:name="_Toc219309506"/>
      <w:r w:rsidRPr="00264D5D">
        <w:t>Описание комплексного типа «tMSC_SrcTypeComplex6»</w:t>
      </w:r>
      <w:bookmarkEnd w:id="890"/>
      <w:bookmarkEnd w:id="891"/>
    </w:p>
    <w:p w14:paraId="71D9807E" w14:textId="77777777" w:rsidR="00AD1F54" w:rsidRPr="00264D5D" w:rsidRDefault="00941227">
      <w:pPr>
        <w:pStyle w:val="GOSTNormal"/>
      </w:pPr>
      <w:r w:rsidRPr="00264D5D">
        <w:t>Описание комплексного типа «tMSC_SrcTypeComplex6» блока «Вид средств».</w:t>
      </w:r>
    </w:p>
    <w:p w14:paraId="40234CA0" w14:textId="175313E4"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892" w:name="_Ref524616130"/>
      <w:bookmarkStart w:id="893" w:name="_Toc18509527"/>
      <w:bookmarkStart w:id="894" w:name="_Toc219309098"/>
      <w:r w:rsidR="008D797C">
        <w:rPr>
          <w:noProof/>
        </w:rPr>
        <w:t>68</w:t>
      </w:r>
      <w:bookmarkEnd w:id="892"/>
      <w:r w:rsidRPr="00264D5D">
        <w:fldChar w:fldCharType="end"/>
      </w:r>
      <w:r w:rsidRPr="00264D5D">
        <w:t xml:space="preserve"> – Описание комплексного типа «tMSC_SrcTypeComplex6»</w:t>
      </w:r>
      <w:bookmarkEnd w:id="893"/>
      <w:bookmarkEnd w:id="894"/>
    </w:p>
    <w:tbl>
      <w:tblPr>
        <w:tblStyle w:val="GOSTTable"/>
        <w:tblW w:w="5000" w:type="pct"/>
        <w:tblLayout w:type="fixed"/>
        <w:tblLook w:val="04A0" w:firstRow="1" w:lastRow="0" w:firstColumn="1" w:lastColumn="0" w:noHBand="0" w:noVBand="1"/>
      </w:tblPr>
      <w:tblGrid>
        <w:gridCol w:w="1700"/>
        <w:gridCol w:w="1700"/>
        <w:gridCol w:w="567"/>
        <w:gridCol w:w="16"/>
        <w:gridCol w:w="1117"/>
        <w:gridCol w:w="16"/>
        <w:gridCol w:w="551"/>
        <w:gridCol w:w="16"/>
        <w:gridCol w:w="3951"/>
        <w:gridCol w:w="16"/>
      </w:tblGrid>
      <w:tr w:rsidR="00AD1F54" w:rsidRPr="00264D5D" w14:paraId="1399E947" w14:textId="77777777" w:rsidTr="00AD1F54">
        <w:trPr>
          <w:gridAfter w:val="1"/>
          <w:cnfStyle w:val="100000000000" w:firstRow="1" w:lastRow="0" w:firstColumn="0" w:lastColumn="0" w:oddVBand="0" w:evenVBand="0" w:oddHBand="0" w:evenHBand="0" w:firstRowFirstColumn="0" w:firstRowLastColumn="0" w:lastRowFirstColumn="0" w:lastRowLastColumn="0"/>
          <w:wAfter w:w="16" w:type="dxa"/>
          <w:tblHeader/>
        </w:trPr>
        <w:tc>
          <w:tcPr>
            <w:tcW w:w="1702" w:type="dxa"/>
          </w:tcPr>
          <w:p w14:paraId="253F616E" w14:textId="77777777" w:rsidR="00AD1F54" w:rsidRPr="00264D5D" w:rsidRDefault="00941227">
            <w:pPr>
              <w:pStyle w:val="ASFKTableHead"/>
            </w:pPr>
            <w:r w:rsidRPr="00264D5D">
              <w:t>Наименование элемента</w:t>
            </w:r>
          </w:p>
        </w:tc>
        <w:tc>
          <w:tcPr>
            <w:tcW w:w="1701" w:type="dxa"/>
          </w:tcPr>
          <w:p w14:paraId="0B89817F" w14:textId="77777777" w:rsidR="00AD1F54" w:rsidRPr="00264D5D" w:rsidRDefault="00941227">
            <w:pPr>
              <w:pStyle w:val="ASFKTableHead"/>
            </w:pPr>
            <w:r w:rsidRPr="00264D5D">
              <w:t>Сокращенное наименование (код) элемента</w:t>
            </w:r>
          </w:p>
        </w:tc>
        <w:tc>
          <w:tcPr>
            <w:tcW w:w="567" w:type="dxa"/>
          </w:tcPr>
          <w:p w14:paraId="35399205" w14:textId="77777777" w:rsidR="00AD1F54" w:rsidRPr="00264D5D" w:rsidRDefault="00941227">
            <w:pPr>
              <w:pStyle w:val="ASFKTableHead"/>
            </w:pPr>
            <w:r w:rsidRPr="00264D5D">
              <w:t>Тип</w:t>
            </w:r>
          </w:p>
        </w:tc>
        <w:tc>
          <w:tcPr>
            <w:tcW w:w="1134" w:type="dxa"/>
            <w:gridSpan w:val="2"/>
          </w:tcPr>
          <w:p w14:paraId="7CA39C16" w14:textId="77777777" w:rsidR="00AD1F54" w:rsidRPr="00264D5D" w:rsidRDefault="00941227">
            <w:pPr>
              <w:pStyle w:val="ASFKTableHead"/>
            </w:pPr>
            <w:r w:rsidRPr="00264D5D">
              <w:t>Формат элемента</w:t>
            </w:r>
          </w:p>
        </w:tc>
        <w:tc>
          <w:tcPr>
            <w:tcW w:w="567" w:type="dxa"/>
            <w:gridSpan w:val="2"/>
          </w:tcPr>
          <w:p w14:paraId="2BA7E2C4" w14:textId="77777777" w:rsidR="00AD1F54" w:rsidRPr="00264D5D" w:rsidRDefault="00941227">
            <w:pPr>
              <w:pStyle w:val="ASFKTableHead"/>
            </w:pPr>
            <w:r w:rsidRPr="00264D5D">
              <w:t>Обязательность</w:t>
            </w:r>
          </w:p>
        </w:tc>
        <w:tc>
          <w:tcPr>
            <w:tcW w:w="3969" w:type="dxa"/>
            <w:gridSpan w:val="2"/>
          </w:tcPr>
          <w:p w14:paraId="62B34CE5" w14:textId="77777777" w:rsidR="00AD1F54" w:rsidRPr="00264D5D" w:rsidRDefault="00941227">
            <w:pPr>
              <w:pStyle w:val="ASFKTableHead"/>
            </w:pPr>
            <w:r w:rsidRPr="00264D5D">
              <w:t>Дополнительная информация</w:t>
            </w:r>
          </w:p>
        </w:tc>
      </w:tr>
      <w:tr w:rsidR="00AD1F54" w:rsidRPr="00264D5D" w14:paraId="0E32498B" w14:textId="77777777" w:rsidTr="00AD1F54">
        <w:trPr>
          <w:cnfStyle w:val="000000100000" w:firstRow="0" w:lastRow="0" w:firstColumn="0" w:lastColumn="0" w:oddVBand="0" w:evenVBand="0" w:oddHBand="1" w:evenHBand="0" w:firstRowFirstColumn="0" w:firstRowLastColumn="0" w:lastRowFirstColumn="0" w:lastRowLastColumn="0"/>
        </w:trPr>
        <w:tc>
          <w:tcPr>
            <w:tcW w:w="1702" w:type="dxa"/>
          </w:tcPr>
          <w:p w14:paraId="1296F47B" w14:textId="77777777" w:rsidR="00AD1F54" w:rsidRPr="00264D5D" w:rsidRDefault="00941227">
            <w:pPr>
              <w:pStyle w:val="GOSTTablenorm"/>
            </w:pPr>
            <w:r w:rsidRPr="00264D5D">
              <w:t>Код источника средств</w:t>
            </w:r>
          </w:p>
        </w:tc>
        <w:tc>
          <w:tcPr>
            <w:tcW w:w="1701" w:type="dxa"/>
          </w:tcPr>
          <w:p w14:paraId="442DC230" w14:textId="77777777" w:rsidR="00AD1F54" w:rsidRPr="00264D5D" w:rsidRDefault="00941227">
            <w:pPr>
              <w:pStyle w:val="GOSTTablenorm"/>
              <w:rPr>
                <w:lang w:val="en-US"/>
              </w:rPr>
            </w:pPr>
            <w:r w:rsidRPr="00264D5D">
              <w:t>с</w:t>
            </w:r>
            <w:r w:rsidRPr="00264D5D">
              <w:rPr>
                <w:lang w:val="en-US"/>
              </w:rPr>
              <w:t>ode</w:t>
            </w:r>
          </w:p>
        </w:tc>
        <w:tc>
          <w:tcPr>
            <w:tcW w:w="583" w:type="dxa"/>
            <w:gridSpan w:val="2"/>
          </w:tcPr>
          <w:p w14:paraId="2A7F8B6C" w14:textId="77777777" w:rsidR="00AD1F54" w:rsidRPr="00264D5D" w:rsidRDefault="00941227">
            <w:pPr>
              <w:pStyle w:val="GOSTTablenorm"/>
              <w:jc w:val="center"/>
            </w:pPr>
            <w:r w:rsidRPr="00264D5D">
              <w:t>А</w:t>
            </w:r>
          </w:p>
        </w:tc>
        <w:tc>
          <w:tcPr>
            <w:tcW w:w="1134" w:type="dxa"/>
            <w:gridSpan w:val="2"/>
          </w:tcPr>
          <w:p w14:paraId="7A147BDB" w14:textId="77777777" w:rsidR="00AD1F54" w:rsidRPr="00264D5D" w:rsidRDefault="00941227">
            <w:pPr>
              <w:pStyle w:val="GOSTTablenorm"/>
            </w:pPr>
            <w:r w:rsidRPr="00264D5D">
              <w:t>-</w:t>
            </w:r>
          </w:p>
        </w:tc>
        <w:tc>
          <w:tcPr>
            <w:tcW w:w="567" w:type="dxa"/>
            <w:gridSpan w:val="2"/>
          </w:tcPr>
          <w:p w14:paraId="7EE087A7" w14:textId="77777777" w:rsidR="00AD1F54" w:rsidRPr="00264D5D" w:rsidRDefault="00941227">
            <w:pPr>
              <w:pStyle w:val="GOSTTablenorm"/>
              <w:jc w:val="center"/>
            </w:pPr>
            <w:r w:rsidRPr="00264D5D">
              <w:t>О</w:t>
            </w:r>
          </w:p>
        </w:tc>
        <w:tc>
          <w:tcPr>
            <w:tcW w:w="3969" w:type="dxa"/>
            <w:gridSpan w:val="2"/>
          </w:tcPr>
          <w:p w14:paraId="06C0FEB1" w14:textId="77777777" w:rsidR="00AD1F54" w:rsidRPr="00264D5D" w:rsidRDefault="00941227">
            <w:pPr>
              <w:pStyle w:val="GOSTTablenorm"/>
            </w:pPr>
            <w:r w:rsidRPr="00264D5D">
              <w:t xml:space="preserve">Источник средств, за счет которого должна быть произведена выплата. </w:t>
            </w:r>
          </w:p>
          <w:p w14:paraId="34F78ADE" w14:textId="77777777" w:rsidR="00AD1F54" w:rsidRPr="00264D5D" w:rsidRDefault="00941227">
            <w:pPr>
              <w:pStyle w:val="GOSTTablenorm"/>
            </w:pPr>
            <w:r w:rsidRPr="00264D5D">
              <w:t>Возможные значения:</w:t>
            </w:r>
          </w:p>
          <w:p w14:paraId="179733D4" w14:textId="77777777" w:rsidR="00AD1F54" w:rsidRPr="00264D5D" w:rsidRDefault="00941227" w:rsidP="00E7460C">
            <w:pPr>
              <w:pStyle w:val="GOSTTablenorm"/>
              <w:numPr>
                <w:ilvl w:val="0"/>
                <w:numId w:val="80"/>
              </w:numPr>
              <w:ind w:left="284" w:hanging="227"/>
            </w:pPr>
            <w:r w:rsidRPr="00264D5D">
              <w:t>1 – Средства бюджета;</w:t>
            </w:r>
          </w:p>
          <w:p w14:paraId="1EAC02F1" w14:textId="77777777" w:rsidR="00AD1F54" w:rsidRPr="00264D5D" w:rsidRDefault="00941227" w:rsidP="00E7460C">
            <w:pPr>
              <w:pStyle w:val="GOSTTablenorm"/>
              <w:numPr>
                <w:ilvl w:val="0"/>
                <w:numId w:val="80"/>
              </w:numPr>
              <w:ind w:left="284" w:hanging="227"/>
            </w:pPr>
            <w:r w:rsidRPr="00264D5D">
              <w:t>4 – Средства для финансирования мероприятий по оперативно-розыскной деятельности;</w:t>
            </w:r>
          </w:p>
          <w:p w14:paraId="47F9907F" w14:textId="77777777" w:rsidR="00AD1F54" w:rsidRPr="00264D5D" w:rsidRDefault="00941227" w:rsidP="00E7460C">
            <w:pPr>
              <w:pStyle w:val="GOSTTablenorm"/>
              <w:numPr>
                <w:ilvl w:val="0"/>
                <w:numId w:val="80"/>
              </w:numPr>
              <w:ind w:left="284" w:hanging="227"/>
            </w:pPr>
            <w:r w:rsidRPr="00264D5D">
              <w:t>5 – Средства, поступающие во временное распоряжение казенных учреждений;</w:t>
            </w:r>
          </w:p>
          <w:p w14:paraId="4C2933C6" w14:textId="77777777" w:rsidR="00AD1F54" w:rsidRPr="00264D5D" w:rsidRDefault="00941227" w:rsidP="00E7460C">
            <w:pPr>
              <w:pStyle w:val="GOSTTablenorm"/>
              <w:numPr>
                <w:ilvl w:val="0"/>
                <w:numId w:val="80"/>
              </w:numPr>
              <w:ind w:left="284" w:hanging="227"/>
            </w:pPr>
            <w:r w:rsidRPr="00264D5D">
              <w:t>6 – Средства юридических лиц.</w:t>
            </w:r>
          </w:p>
          <w:p w14:paraId="63B41263" w14:textId="77777777" w:rsidR="00AD1F54" w:rsidRPr="00264D5D" w:rsidRDefault="00941227">
            <w:pPr>
              <w:pStyle w:val="GOSTTablenorm"/>
            </w:pPr>
            <w:r w:rsidRPr="00264D5D">
              <w:t>В документе допускается указание не боле</w:t>
            </w:r>
            <w:r w:rsidR="00BA58C1" w:rsidRPr="00264D5D">
              <w:t>е одного вида источника средств</w:t>
            </w:r>
          </w:p>
        </w:tc>
      </w:tr>
      <w:tr w:rsidR="00AD1F54" w:rsidRPr="00264D5D" w14:paraId="04AE36A5" w14:textId="77777777" w:rsidTr="00AD1F54">
        <w:trPr>
          <w:cnfStyle w:val="000000010000" w:firstRow="0" w:lastRow="0" w:firstColumn="0" w:lastColumn="0" w:oddVBand="0" w:evenVBand="0" w:oddHBand="0" w:evenHBand="1" w:firstRowFirstColumn="0" w:firstRowLastColumn="0" w:lastRowFirstColumn="0" w:lastRowLastColumn="0"/>
        </w:trPr>
        <w:tc>
          <w:tcPr>
            <w:tcW w:w="1702" w:type="dxa"/>
          </w:tcPr>
          <w:p w14:paraId="3A3C0A5A" w14:textId="77777777" w:rsidR="00AD1F54" w:rsidRPr="00264D5D" w:rsidRDefault="00941227">
            <w:pPr>
              <w:pStyle w:val="GOSTTablenorm"/>
            </w:pPr>
            <w:r w:rsidRPr="00264D5D">
              <w:t>Значение источника средств</w:t>
            </w:r>
          </w:p>
        </w:tc>
        <w:tc>
          <w:tcPr>
            <w:tcW w:w="1701" w:type="dxa"/>
          </w:tcPr>
          <w:p w14:paraId="2C65E2A8" w14:textId="77777777" w:rsidR="00AD1F54" w:rsidRPr="00264D5D" w:rsidRDefault="00941227">
            <w:pPr>
              <w:pStyle w:val="GOSTTablenorm"/>
            </w:pPr>
            <w:r w:rsidRPr="00264D5D">
              <w:rPr>
                <w:lang w:val="en-US"/>
              </w:rPr>
              <w:t>value</w:t>
            </w:r>
          </w:p>
        </w:tc>
        <w:tc>
          <w:tcPr>
            <w:tcW w:w="583" w:type="dxa"/>
            <w:gridSpan w:val="2"/>
          </w:tcPr>
          <w:p w14:paraId="5BB51734" w14:textId="77777777" w:rsidR="00AD1F54" w:rsidRPr="00264D5D" w:rsidRDefault="00941227">
            <w:pPr>
              <w:pStyle w:val="GOSTTablenorm"/>
              <w:jc w:val="center"/>
            </w:pPr>
            <w:r w:rsidRPr="00264D5D">
              <w:t>А</w:t>
            </w:r>
          </w:p>
        </w:tc>
        <w:tc>
          <w:tcPr>
            <w:tcW w:w="1134" w:type="dxa"/>
            <w:gridSpan w:val="2"/>
          </w:tcPr>
          <w:p w14:paraId="4D480D5E" w14:textId="77777777" w:rsidR="00AD1F54" w:rsidRPr="00264D5D" w:rsidRDefault="00941227">
            <w:pPr>
              <w:pStyle w:val="GOSTTablenorm"/>
            </w:pPr>
            <w:r w:rsidRPr="00264D5D">
              <w:t>-</w:t>
            </w:r>
          </w:p>
        </w:tc>
        <w:tc>
          <w:tcPr>
            <w:tcW w:w="567" w:type="dxa"/>
            <w:gridSpan w:val="2"/>
          </w:tcPr>
          <w:p w14:paraId="6035A311" w14:textId="77777777" w:rsidR="00AD1F54" w:rsidRPr="00264D5D" w:rsidRDefault="00941227">
            <w:pPr>
              <w:pStyle w:val="GOSTTablenorm"/>
              <w:jc w:val="center"/>
            </w:pPr>
            <w:r w:rsidRPr="00264D5D">
              <w:t>Н</w:t>
            </w:r>
          </w:p>
        </w:tc>
        <w:tc>
          <w:tcPr>
            <w:tcW w:w="3969" w:type="dxa"/>
            <w:gridSpan w:val="2"/>
          </w:tcPr>
          <w:p w14:paraId="04BDADCD" w14:textId="77777777" w:rsidR="00AD1F54" w:rsidRPr="00264D5D" w:rsidRDefault="00941227">
            <w:pPr>
              <w:pStyle w:val="GOSTTablenorm"/>
            </w:pPr>
            <w:r w:rsidRPr="00264D5D">
              <w:t>Соответствующие возможные значения:</w:t>
            </w:r>
          </w:p>
          <w:p w14:paraId="7BC15727" w14:textId="77777777" w:rsidR="00AD1F54" w:rsidRPr="00264D5D" w:rsidRDefault="00941227" w:rsidP="00E7460C">
            <w:pPr>
              <w:pStyle w:val="GOSTTablenorm"/>
              <w:numPr>
                <w:ilvl w:val="0"/>
                <w:numId w:val="80"/>
              </w:numPr>
              <w:ind w:left="284" w:hanging="227"/>
            </w:pPr>
            <w:r w:rsidRPr="00264D5D">
              <w:t>Средства бюджета;</w:t>
            </w:r>
          </w:p>
          <w:p w14:paraId="43397086" w14:textId="77777777" w:rsidR="00AD1F54" w:rsidRPr="00264D5D" w:rsidRDefault="00941227" w:rsidP="00E7460C">
            <w:pPr>
              <w:pStyle w:val="GOSTTablenorm"/>
              <w:numPr>
                <w:ilvl w:val="0"/>
                <w:numId w:val="80"/>
              </w:numPr>
              <w:ind w:left="284" w:hanging="227"/>
            </w:pPr>
            <w:r w:rsidRPr="00264D5D">
              <w:t>Средства для финансирования мероприятий по оперативно-розыскной деятельности;</w:t>
            </w:r>
          </w:p>
          <w:p w14:paraId="0D9E9A2D" w14:textId="77777777" w:rsidR="00AD1F54" w:rsidRPr="00264D5D" w:rsidRDefault="00941227" w:rsidP="00E7460C">
            <w:pPr>
              <w:pStyle w:val="GOSTTablenorm"/>
              <w:numPr>
                <w:ilvl w:val="0"/>
                <w:numId w:val="80"/>
              </w:numPr>
              <w:ind w:left="284" w:hanging="227"/>
            </w:pPr>
            <w:r w:rsidRPr="00264D5D">
              <w:t xml:space="preserve">Средства, поступающие во временное распоряжение казенных учреждений; </w:t>
            </w:r>
          </w:p>
          <w:p w14:paraId="188D6D7E" w14:textId="77777777" w:rsidR="00AD1F54" w:rsidRPr="00264D5D" w:rsidRDefault="00941227" w:rsidP="00E7460C">
            <w:pPr>
              <w:pStyle w:val="GOSTTablenorm"/>
              <w:numPr>
                <w:ilvl w:val="0"/>
                <w:numId w:val="80"/>
              </w:numPr>
              <w:ind w:left="284" w:hanging="227"/>
            </w:pPr>
            <w:r w:rsidRPr="00264D5D">
              <w:t>Средства юридически</w:t>
            </w:r>
            <w:r w:rsidR="00BA58C1" w:rsidRPr="00264D5D">
              <w:t>х лиц</w:t>
            </w:r>
          </w:p>
        </w:tc>
      </w:tr>
    </w:tbl>
    <w:p w14:paraId="2A731070" w14:textId="77777777" w:rsidR="00AD1F54" w:rsidRPr="00264D5D" w:rsidRDefault="00941227">
      <w:pPr>
        <w:pStyle w:val="31"/>
      </w:pPr>
      <w:bookmarkStart w:id="895" w:name="_Toc508712679"/>
      <w:bookmarkStart w:id="896" w:name="_Toc18509240"/>
      <w:r w:rsidRPr="00264D5D">
        <w:t xml:space="preserve"> </w:t>
      </w:r>
      <w:bookmarkStart w:id="897" w:name="_Toc219309507"/>
      <w:r w:rsidRPr="00264D5D">
        <w:t>Описание комплексного типа «tMSC_KBK10_20_31_32»</w:t>
      </w:r>
      <w:bookmarkEnd w:id="895"/>
      <w:bookmarkEnd w:id="896"/>
      <w:bookmarkEnd w:id="897"/>
    </w:p>
    <w:p w14:paraId="1B4A70E1" w14:textId="77777777" w:rsidR="00AD1F54" w:rsidRPr="00264D5D" w:rsidRDefault="00941227">
      <w:pPr>
        <w:pStyle w:val="GOSTNormal"/>
      </w:pPr>
      <w:r w:rsidRPr="00264D5D">
        <w:t>Описание комплексного типа «tMSC_KBK10_20_31_32» блока «КБК получателя».</w:t>
      </w:r>
    </w:p>
    <w:p w14:paraId="11D93990" w14:textId="49C4E696"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898" w:name="_Ref503531390"/>
      <w:bookmarkStart w:id="899" w:name="_Toc18509528"/>
      <w:bookmarkStart w:id="900" w:name="_Toc219309099"/>
      <w:r w:rsidR="008D797C">
        <w:rPr>
          <w:noProof/>
        </w:rPr>
        <w:t>69</w:t>
      </w:r>
      <w:bookmarkEnd w:id="898"/>
      <w:r w:rsidRPr="00264D5D">
        <w:fldChar w:fldCharType="end"/>
      </w:r>
      <w:r w:rsidRPr="00264D5D">
        <w:t xml:space="preserve"> – Описание комплексного типа «tMSC_KBK10_20_31_32»</w:t>
      </w:r>
      <w:bookmarkEnd w:id="899"/>
      <w:bookmarkEnd w:id="900"/>
    </w:p>
    <w:tbl>
      <w:tblPr>
        <w:tblStyle w:val="GOSTTable"/>
        <w:tblW w:w="5000" w:type="pct"/>
        <w:tblLayout w:type="fixed"/>
        <w:tblLook w:val="01E0" w:firstRow="1" w:lastRow="1" w:firstColumn="1" w:lastColumn="1" w:noHBand="0" w:noVBand="0"/>
      </w:tblPr>
      <w:tblGrid>
        <w:gridCol w:w="1704"/>
        <w:gridCol w:w="1702"/>
        <w:gridCol w:w="568"/>
        <w:gridCol w:w="1135"/>
        <w:gridCol w:w="568"/>
        <w:gridCol w:w="3973"/>
      </w:tblGrid>
      <w:tr w:rsidR="00AD1F54" w:rsidRPr="00264D5D" w14:paraId="7DBE43F9"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3" w:type="dxa"/>
          </w:tcPr>
          <w:p w14:paraId="55820A46" w14:textId="77777777" w:rsidR="00AD1F54" w:rsidRPr="00264D5D" w:rsidRDefault="00941227">
            <w:pPr>
              <w:pStyle w:val="ASFKTableHead"/>
            </w:pPr>
            <w:r w:rsidRPr="00264D5D">
              <w:t>Наименование элемента</w:t>
            </w:r>
          </w:p>
        </w:tc>
        <w:tc>
          <w:tcPr>
            <w:tcW w:w="1701" w:type="dxa"/>
          </w:tcPr>
          <w:p w14:paraId="78D10BC6" w14:textId="77777777" w:rsidR="00AD1F54" w:rsidRPr="00264D5D" w:rsidRDefault="00941227">
            <w:pPr>
              <w:pStyle w:val="ASFKTableHead"/>
            </w:pPr>
            <w:r w:rsidRPr="00264D5D">
              <w:t>Сокращенное наименование (код) элемента</w:t>
            </w:r>
          </w:p>
        </w:tc>
        <w:tc>
          <w:tcPr>
            <w:tcW w:w="567" w:type="dxa"/>
          </w:tcPr>
          <w:p w14:paraId="06BD9DCC" w14:textId="77777777" w:rsidR="00AD1F54" w:rsidRPr="00264D5D" w:rsidRDefault="00941227">
            <w:pPr>
              <w:pStyle w:val="ASFKTableHead"/>
            </w:pPr>
            <w:r w:rsidRPr="00264D5D">
              <w:t>Тип</w:t>
            </w:r>
          </w:p>
        </w:tc>
        <w:tc>
          <w:tcPr>
            <w:tcW w:w="1134" w:type="dxa"/>
          </w:tcPr>
          <w:p w14:paraId="335B601F" w14:textId="77777777" w:rsidR="00AD1F54" w:rsidRPr="00264D5D" w:rsidRDefault="00941227">
            <w:pPr>
              <w:pStyle w:val="ASFKTableHead"/>
            </w:pPr>
            <w:r w:rsidRPr="00264D5D">
              <w:t>Формат элемента</w:t>
            </w:r>
          </w:p>
        </w:tc>
        <w:tc>
          <w:tcPr>
            <w:tcW w:w="567" w:type="dxa"/>
          </w:tcPr>
          <w:p w14:paraId="538343E7" w14:textId="77777777" w:rsidR="00AD1F54" w:rsidRPr="00264D5D" w:rsidRDefault="00941227">
            <w:pPr>
              <w:pStyle w:val="ASFKTableHead"/>
            </w:pPr>
            <w:r w:rsidRPr="00264D5D">
              <w:t>Обязательность</w:t>
            </w:r>
          </w:p>
        </w:tc>
        <w:tc>
          <w:tcPr>
            <w:tcW w:w="3969" w:type="dxa"/>
          </w:tcPr>
          <w:p w14:paraId="6DD0C90F" w14:textId="77777777" w:rsidR="00AD1F54" w:rsidRPr="00264D5D" w:rsidRDefault="00941227">
            <w:pPr>
              <w:pStyle w:val="ASFKTableHead"/>
            </w:pPr>
            <w:r w:rsidRPr="00264D5D">
              <w:t>Дополнительная информация</w:t>
            </w:r>
          </w:p>
        </w:tc>
      </w:tr>
      <w:tr w:rsidR="00AD1F54" w:rsidRPr="00264D5D" w14:paraId="0F3E0704" w14:textId="77777777" w:rsidTr="00AD1F54">
        <w:trPr>
          <w:cnfStyle w:val="000000100000" w:firstRow="0" w:lastRow="0" w:firstColumn="0" w:lastColumn="0" w:oddVBand="0" w:evenVBand="0" w:oddHBand="1" w:evenHBand="0" w:firstRowFirstColumn="0" w:firstRowLastColumn="0" w:lastRowFirstColumn="0" w:lastRowLastColumn="0"/>
        </w:trPr>
        <w:tc>
          <w:tcPr>
            <w:tcW w:w="1703" w:type="dxa"/>
          </w:tcPr>
          <w:p w14:paraId="0742ADA8" w14:textId="77777777" w:rsidR="00AD1F54" w:rsidRPr="00264D5D" w:rsidRDefault="00941227">
            <w:pPr>
              <w:pStyle w:val="GOSTTablenorm"/>
            </w:pPr>
            <w:r w:rsidRPr="00264D5D">
              <w:t>КБК</w:t>
            </w:r>
          </w:p>
        </w:tc>
        <w:tc>
          <w:tcPr>
            <w:tcW w:w="1701" w:type="dxa"/>
          </w:tcPr>
          <w:p w14:paraId="240CC5CC" w14:textId="77777777" w:rsidR="00AD1F54" w:rsidRPr="00264D5D" w:rsidRDefault="00941227">
            <w:pPr>
              <w:pStyle w:val="GOSTTablenorm"/>
              <w:rPr>
                <w:lang w:val="en-US"/>
              </w:rPr>
            </w:pPr>
            <w:r w:rsidRPr="00264D5D">
              <w:rPr>
                <w:lang w:val="en-US"/>
              </w:rPr>
              <w:t>KBK</w:t>
            </w:r>
          </w:p>
        </w:tc>
        <w:tc>
          <w:tcPr>
            <w:tcW w:w="567" w:type="dxa"/>
          </w:tcPr>
          <w:p w14:paraId="190CECB1" w14:textId="77777777" w:rsidR="00AD1F54" w:rsidRPr="00264D5D" w:rsidRDefault="00941227">
            <w:pPr>
              <w:pStyle w:val="GOSTTablenorm"/>
              <w:jc w:val="center"/>
              <w:rPr>
                <w:lang w:val="en-US"/>
              </w:rPr>
            </w:pPr>
            <w:r w:rsidRPr="00264D5D">
              <w:t>П</w:t>
            </w:r>
          </w:p>
        </w:tc>
        <w:tc>
          <w:tcPr>
            <w:tcW w:w="1134" w:type="dxa"/>
          </w:tcPr>
          <w:p w14:paraId="1FE10404" w14:textId="77777777" w:rsidR="00AD1F54" w:rsidRPr="00264D5D" w:rsidRDefault="00941227">
            <w:pPr>
              <w:pStyle w:val="GOSTTablenorm"/>
            </w:pPr>
            <w:r w:rsidRPr="00264D5D">
              <w:t>Т(</w:t>
            </w:r>
            <w:r w:rsidRPr="00264D5D">
              <w:rPr>
                <w:lang w:val="en-US"/>
              </w:rPr>
              <w:t>20</w:t>
            </w:r>
            <w:r w:rsidRPr="00264D5D">
              <w:t>)</w:t>
            </w:r>
          </w:p>
        </w:tc>
        <w:tc>
          <w:tcPr>
            <w:tcW w:w="567" w:type="dxa"/>
          </w:tcPr>
          <w:p w14:paraId="1663CC65" w14:textId="77777777" w:rsidR="00AD1F54" w:rsidRPr="00264D5D" w:rsidRDefault="00941227">
            <w:pPr>
              <w:pStyle w:val="GOSTTablenorm"/>
              <w:jc w:val="center"/>
            </w:pPr>
            <w:r w:rsidRPr="00264D5D">
              <w:t>Н</w:t>
            </w:r>
          </w:p>
        </w:tc>
        <w:tc>
          <w:tcPr>
            <w:tcW w:w="3969" w:type="dxa"/>
          </w:tcPr>
          <w:p w14:paraId="0DA50859" w14:textId="77777777" w:rsidR="00AD1F54" w:rsidRPr="00264D5D" w:rsidRDefault="00D26607">
            <w:pPr>
              <w:pStyle w:val="GOSTTablenorm"/>
            </w:pPr>
            <w:r w:rsidRPr="00264D5D">
              <w:t>У</w:t>
            </w:r>
            <w:r w:rsidR="00941227" w:rsidRPr="00264D5D">
              <w:t xml:space="preserve">казывается КБК в соответствии </w:t>
            </w:r>
            <w:r w:rsidR="00BA58C1" w:rsidRPr="00264D5D">
              <w:t>с действующими Указаниями по БК</w:t>
            </w:r>
          </w:p>
        </w:tc>
      </w:tr>
      <w:tr w:rsidR="00AD1F54" w:rsidRPr="00264D5D" w14:paraId="6110594A" w14:textId="77777777" w:rsidTr="00AD1F54">
        <w:trPr>
          <w:cnfStyle w:val="000000010000" w:firstRow="0" w:lastRow="0" w:firstColumn="0" w:lastColumn="0" w:oddVBand="0" w:evenVBand="0" w:oddHBand="0" w:evenHBand="1" w:firstRowFirstColumn="0" w:firstRowLastColumn="0" w:lastRowFirstColumn="0" w:lastRowLastColumn="0"/>
        </w:trPr>
        <w:tc>
          <w:tcPr>
            <w:tcW w:w="1703" w:type="dxa"/>
          </w:tcPr>
          <w:p w14:paraId="599FDF45" w14:textId="77777777" w:rsidR="00AD1F54" w:rsidRPr="00264D5D" w:rsidRDefault="00941227">
            <w:pPr>
              <w:pStyle w:val="GOSTTablenorm"/>
              <w:rPr>
                <w:szCs w:val="22"/>
              </w:rPr>
            </w:pPr>
            <w:r w:rsidRPr="00264D5D">
              <w:t xml:space="preserve">Код цели </w:t>
            </w:r>
            <w:r w:rsidRPr="00264D5D">
              <w:rPr>
                <w:szCs w:val="22"/>
              </w:rPr>
              <w:t>(аналитический код)</w:t>
            </w:r>
          </w:p>
        </w:tc>
        <w:tc>
          <w:tcPr>
            <w:tcW w:w="1701" w:type="dxa"/>
          </w:tcPr>
          <w:p w14:paraId="65454A75" w14:textId="77777777" w:rsidR="00AD1F54" w:rsidRPr="00264D5D" w:rsidRDefault="00941227">
            <w:pPr>
              <w:pStyle w:val="GOSTTablenorm"/>
              <w:rPr>
                <w:lang w:val="en-US"/>
              </w:rPr>
            </w:pPr>
            <w:r w:rsidRPr="00264D5D">
              <w:rPr>
                <w:lang w:val="en-US"/>
              </w:rPr>
              <w:t>TrgtCd</w:t>
            </w:r>
          </w:p>
        </w:tc>
        <w:tc>
          <w:tcPr>
            <w:tcW w:w="567" w:type="dxa"/>
          </w:tcPr>
          <w:p w14:paraId="2E465607" w14:textId="77777777" w:rsidR="00AD1F54" w:rsidRPr="00264D5D" w:rsidRDefault="00941227">
            <w:pPr>
              <w:pStyle w:val="GOSTTablenorm"/>
              <w:jc w:val="center"/>
            </w:pPr>
            <w:r w:rsidRPr="00264D5D">
              <w:t>П</w:t>
            </w:r>
          </w:p>
        </w:tc>
        <w:tc>
          <w:tcPr>
            <w:tcW w:w="1134" w:type="dxa"/>
          </w:tcPr>
          <w:p w14:paraId="5B5F171E" w14:textId="77777777" w:rsidR="00AD1F54" w:rsidRPr="00264D5D" w:rsidRDefault="00941227">
            <w:pPr>
              <w:pStyle w:val="GOSTTablenorm"/>
            </w:pPr>
            <w:r w:rsidRPr="00264D5D">
              <w:t>Т(1-</w:t>
            </w:r>
            <w:r w:rsidRPr="00264D5D">
              <w:rPr>
                <w:lang w:val="en-US"/>
              </w:rPr>
              <w:t>2</w:t>
            </w:r>
            <w:r w:rsidRPr="00264D5D">
              <w:t>5)</w:t>
            </w:r>
          </w:p>
        </w:tc>
        <w:tc>
          <w:tcPr>
            <w:tcW w:w="567" w:type="dxa"/>
          </w:tcPr>
          <w:p w14:paraId="6A06CC29" w14:textId="77777777" w:rsidR="00AD1F54" w:rsidRPr="00264D5D" w:rsidRDefault="00941227">
            <w:pPr>
              <w:pStyle w:val="GOSTTablenorm"/>
              <w:jc w:val="center"/>
            </w:pPr>
            <w:r w:rsidRPr="00264D5D">
              <w:t>Н</w:t>
            </w:r>
          </w:p>
        </w:tc>
        <w:tc>
          <w:tcPr>
            <w:tcW w:w="3969" w:type="dxa"/>
          </w:tcPr>
          <w:p w14:paraId="21D3412D" w14:textId="77777777" w:rsidR="00AD1F54" w:rsidRPr="00264D5D" w:rsidRDefault="00D26607">
            <w:pPr>
              <w:pStyle w:val="GOSTTablenorm"/>
            </w:pPr>
            <w:r w:rsidRPr="00264D5D">
              <w:t>У</w:t>
            </w:r>
            <w:r w:rsidR="00941227" w:rsidRPr="00264D5D">
              <w:t>казывается код цели субсидии/субвенции, предоставленной из бюджета.</w:t>
            </w:r>
          </w:p>
          <w:p w14:paraId="40780DA0" w14:textId="77777777" w:rsidR="00AD1F54" w:rsidRPr="00264D5D" w:rsidRDefault="00941227">
            <w:pPr>
              <w:pStyle w:val="GOSTTablenorm"/>
            </w:pPr>
            <w:r w:rsidRPr="00264D5D">
              <w:t>Поле заполняется в соответствии с перечнем кодов целей.</w:t>
            </w:r>
          </w:p>
          <w:p w14:paraId="58AF8864" w14:textId="77777777" w:rsidR="00AD1F54" w:rsidRPr="00264D5D" w:rsidRDefault="00941227">
            <w:pPr>
              <w:spacing w:before="60" w:after="60"/>
            </w:pPr>
            <w:r w:rsidRPr="00264D5D">
              <w:rPr>
                <w:sz w:val="22"/>
              </w:rPr>
              <w:lastRenderedPageBreak/>
              <w:t>Указывается Код цели субсидии (аналитический код), идентификационный код выплат, предусмотренный Порядком санкционирования операций со средствами, поступающими во временное распоряжение получателей средс</w:t>
            </w:r>
            <w:r w:rsidR="00BA58C1" w:rsidRPr="00264D5D">
              <w:rPr>
                <w:sz w:val="22"/>
              </w:rPr>
              <w:t>тв федерального бюджета</w:t>
            </w:r>
          </w:p>
        </w:tc>
      </w:tr>
      <w:tr w:rsidR="00AD1F54" w:rsidRPr="00264D5D" w14:paraId="7306186E" w14:textId="77777777" w:rsidTr="00AD1F54">
        <w:trPr>
          <w:cnfStyle w:val="000000100000" w:firstRow="0" w:lastRow="0" w:firstColumn="0" w:lastColumn="0" w:oddVBand="0" w:evenVBand="0" w:oddHBand="1" w:evenHBand="0" w:firstRowFirstColumn="0" w:firstRowLastColumn="0" w:lastRowFirstColumn="0" w:lastRowLastColumn="0"/>
        </w:trPr>
        <w:tc>
          <w:tcPr>
            <w:tcW w:w="1703" w:type="dxa"/>
          </w:tcPr>
          <w:p w14:paraId="4B3E5A7A" w14:textId="77777777" w:rsidR="00AD1F54" w:rsidRPr="00264D5D" w:rsidRDefault="00941227">
            <w:pPr>
              <w:pStyle w:val="GOSTTablenorm"/>
            </w:pPr>
            <w:r w:rsidRPr="00264D5D">
              <w:lastRenderedPageBreak/>
              <w:t>Тип КБК</w:t>
            </w:r>
          </w:p>
        </w:tc>
        <w:tc>
          <w:tcPr>
            <w:tcW w:w="1701" w:type="dxa"/>
          </w:tcPr>
          <w:p w14:paraId="3221D80F" w14:textId="77777777" w:rsidR="00AD1F54" w:rsidRPr="00264D5D" w:rsidRDefault="00941227">
            <w:pPr>
              <w:pStyle w:val="GOSTTablenorm"/>
              <w:rPr>
                <w:lang w:val="en-US"/>
              </w:rPr>
            </w:pPr>
            <w:r w:rsidRPr="00264D5D">
              <w:rPr>
                <w:lang w:val="en-US"/>
              </w:rPr>
              <w:t>BKTp</w:t>
            </w:r>
          </w:p>
        </w:tc>
        <w:tc>
          <w:tcPr>
            <w:tcW w:w="567" w:type="dxa"/>
          </w:tcPr>
          <w:p w14:paraId="576A73D7" w14:textId="77777777" w:rsidR="00AD1F54" w:rsidRPr="00264D5D" w:rsidRDefault="00941227">
            <w:pPr>
              <w:pStyle w:val="GOSTTablenorm"/>
              <w:jc w:val="center"/>
            </w:pPr>
            <w:r w:rsidRPr="00264D5D">
              <w:rPr>
                <w:lang w:val="en-US"/>
              </w:rPr>
              <w:t>C</w:t>
            </w:r>
          </w:p>
        </w:tc>
        <w:tc>
          <w:tcPr>
            <w:tcW w:w="1134" w:type="dxa"/>
          </w:tcPr>
          <w:p w14:paraId="29EAE862" w14:textId="77777777" w:rsidR="00AD1F54" w:rsidRPr="00264D5D" w:rsidRDefault="00941227">
            <w:pPr>
              <w:pStyle w:val="GOSTTablenorm"/>
            </w:pPr>
            <w:r w:rsidRPr="00264D5D">
              <w:t>tMSC_BKTp10_20_31_32Complex</w:t>
            </w:r>
          </w:p>
        </w:tc>
        <w:tc>
          <w:tcPr>
            <w:tcW w:w="567" w:type="dxa"/>
          </w:tcPr>
          <w:p w14:paraId="33E1B2F2" w14:textId="77777777" w:rsidR="00AD1F54" w:rsidRPr="00264D5D" w:rsidRDefault="00941227">
            <w:pPr>
              <w:pStyle w:val="GOSTTablenorm"/>
              <w:jc w:val="center"/>
            </w:pPr>
            <w:r w:rsidRPr="00264D5D">
              <w:t>Н</w:t>
            </w:r>
          </w:p>
        </w:tc>
        <w:tc>
          <w:tcPr>
            <w:tcW w:w="3969" w:type="dxa"/>
          </w:tcPr>
          <w:p w14:paraId="749AC25B" w14:textId="77777777" w:rsidR="00AD1F54" w:rsidRPr="00264D5D" w:rsidRDefault="00941227">
            <w:pPr>
              <w:pStyle w:val="GOSTTablenorm"/>
            </w:pPr>
            <w:r w:rsidRPr="00264D5D">
              <w:t>Тип КБК.</w:t>
            </w:r>
          </w:p>
          <w:p w14:paraId="701F1218" w14:textId="224BDF6E" w:rsidR="00AD1F54" w:rsidRPr="00264D5D" w:rsidRDefault="00D26607">
            <w:pPr>
              <w:pStyle w:val="GOSTTablenorm"/>
            </w:pPr>
            <w:r w:rsidRPr="00264D5D">
              <w:t>С</w:t>
            </w:r>
            <w:r w:rsidR="00941227" w:rsidRPr="00264D5D">
              <w:t>остав элемента представлен в таблице </w:t>
            </w:r>
            <w:r w:rsidR="00941227" w:rsidRPr="00264D5D">
              <w:rPr>
                <w:b/>
              </w:rPr>
              <w:fldChar w:fldCharType="begin"/>
            </w:r>
            <w:r w:rsidR="00941227" w:rsidRPr="00264D5D">
              <w:rPr>
                <w:b/>
              </w:rPr>
              <w:instrText xml:space="preserve"> REF _Ref503531472 \h  \* MERGEFORMAT </w:instrText>
            </w:r>
            <w:r w:rsidR="00941227" w:rsidRPr="00264D5D">
              <w:rPr>
                <w:b/>
              </w:rPr>
            </w:r>
            <w:r w:rsidR="00941227" w:rsidRPr="00264D5D">
              <w:rPr>
                <w:b/>
              </w:rPr>
              <w:fldChar w:fldCharType="separate"/>
            </w:r>
            <w:r w:rsidR="008D797C" w:rsidRPr="008D797C">
              <w:rPr>
                <w:b/>
              </w:rPr>
              <w:t>71</w:t>
            </w:r>
            <w:r w:rsidR="00941227" w:rsidRPr="00264D5D">
              <w:rPr>
                <w:b/>
              </w:rPr>
              <w:fldChar w:fldCharType="end"/>
            </w:r>
          </w:p>
        </w:tc>
      </w:tr>
    </w:tbl>
    <w:p w14:paraId="4BE41B96" w14:textId="77777777" w:rsidR="00D26607" w:rsidRPr="00264D5D" w:rsidRDefault="00941227" w:rsidP="00D26607">
      <w:pPr>
        <w:pStyle w:val="31"/>
        <w:suppressAutoHyphens/>
      </w:pPr>
      <w:bookmarkStart w:id="901" w:name="_Toc508712680"/>
      <w:bookmarkStart w:id="902" w:name="_Toc18509241"/>
      <w:r w:rsidRPr="00264D5D">
        <w:t xml:space="preserve"> </w:t>
      </w:r>
      <w:bookmarkStart w:id="903" w:name="_Toc158643288"/>
      <w:bookmarkStart w:id="904" w:name="_Toc219309508"/>
      <w:r w:rsidR="00D26607" w:rsidRPr="00264D5D">
        <w:t>Описание комплексного типа «tMSC_KBK10_20_31_32_1»</w:t>
      </w:r>
      <w:bookmarkEnd w:id="903"/>
      <w:bookmarkEnd w:id="904"/>
    </w:p>
    <w:p w14:paraId="09032B6D" w14:textId="77777777" w:rsidR="00D26607" w:rsidRPr="00264D5D" w:rsidRDefault="00D26607" w:rsidP="00D26607">
      <w:pPr>
        <w:pStyle w:val="GOSTNormal"/>
      </w:pPr>
      <w:r w:rsidRPr="00264D5D">
        <w:t>Описание комплексного типа «tMSC_KBK10_20_31_32_1» блока «КБК плательщика».</w:t>
      </w:r>
    </w:p>
    <w:p w14:paraId="59A5B795" w14:textId="36A3EC74" w:rsidR="00D26607" w:rsidRPr="00264D5D" w:rsidRDefault="00D26607" w:rsidP="00101F62">
      <w:pPr>
        <w:pStyle w:val="GOSTNameTable"/>
        <w:numPr>
          <w:ilvl w:val="0"/>
          <w:numId w:val="152"/>
        </w:numPr>
        <w:ind w:left="425" w:hanging="357"/>
      </w:pPr>
      <w:r w:rsidRPr="00264D5D">
        <w:fldChar w:fldCharType="begin"/>
      </w:r>
      <w:r w:rsidRPr="00264D5D">
        <w:instrText>SEQ Таблица \* ARABIC</w:instrText>
      </w:r>
      <w:r w:rsidRPr="00264D5D">
        <w:fldChar w:fldCharType="separate"/>
      </w:r>
      <w:bookmarkStart w:id="905" w:name="_Ref158283106"/>
      <w:bookmarkStart w:id="906" w:name="_Toc219309100"/>
      <w:r w:rsidR="008D797C">
        <w:rPr>
          <w:noProof/>
        </w:rPr>
        <w:t>70</w:t>
      </w:r>
      <w:bookmarkEnd w:id="905"/>
      <w:r w:rsidRPr="00264D5D">
        <w:fldChar w:fldCharType="end"/>
      </w:r>
      <w:r w:rsidRPr="00264D5D">
        <w:t xml:space="preserve"> – Описание комплексного типа «tMSC_KBK10_20_31_32_1»</w:t>
      </w:r>
      <w:bookmarkEnd w:id="906"/>
    </w:p>
    <w:tbl>
      <w:tblPr>
        <w:tblStyle w:val="GOSTTable"/>
        <w:tblW w:w="5000" w:type="pct"/>
        <w:tblLayout w:type="fixed"/>
        <w:tblLook w:val="01E0" w:firstRow="1" w:lastRow="1" w:firstColumn="1" w:lastColumn="1" w:noHBand="0" w:noVBand="0"/>
      </w:tblPr>
      <w:tblGrid>
        <w:gridCol w:w="1704"/>
        <w:gridCol w:w="1702"/>
        <w:gridCol w:w="568"/>
        <w:gridCol w:w="1135"/>
        <w:gridCol w:w="568"/>
        <w:gridCol w:w="3973"/>
      </w:tblGrid>
      <w:tr w:rsidR="00D26607" w:rsidRPr="00264D5D" w14:paraId="1CDDF741" w14:textId="77777777" w:rsidTr="00D71925">
        <w:trPr>
          <w:cnfStyle w:val="100000000000" w:firstRow="1" w:lastRow="0" w:firstColumn="0" w:lastColumn="0" w:oddVBand="0" w:evenVBand="0" w:oddHBand="0" w:evenHBand="0" w:firstRowFirstColumn="0" w:firstRowLastColumn="0" w:lastRowFirstColumn="0" w:lastRowLastColumn="0"/>
          <w:tblHeader/>
        </w:trPr>
        <w:tc>
          <w:tcPr>
            <w:tcW w:w="1713" w:type="dxa"/>
          </w:tcPr>
          <w:p w14:paraId="4580B7CE" w14:textId="77777777" w:rsidR="00D26607" w:rsidRPr="00264D5D" w:rsidRDefault="00D26607" w:rsidP="00D26607">
            <w:pPr>
              <w:pStyle w:val="ASFKTableHead"/>
            </w:pPr>
            <w:r w:rsidRPr="00264D5D">
              <w:t>Наименование элемента</w:t>
            </w:r>
          </w:p>
        </w:tc>
        <w:tc>
          <w:tcPr>
            <w:tcW w:w="1710" w:type="dxa"/>
          </w:tcPr>
          <w:p w14:paraId="76182A28" w14:textId="77777777" w:rsidR="00D26607" w:rsidRPr="00264D5D" w:rsidRDefault="00D26607" w:rsidP="00D26607">
            <w:pPr>
              <w:pStyle w:val="ASFKTableHead"/>
            </w:pPr>
            <w:r w:rsidRPr="00264D5D">
              <w:t>Сокращенное наименование (код) элемента</w:t>
            </w:r>
          </w:p>
        </w:tc>
        <w:tc>
          <w:tcPr>
            <w:tcW w:w="570" w:type="dxa"/>
          </w:tcPr>
          <w:p w14:paraId="181635F2" w14:textId="77777777" w:rsidR="00D26607" w:rsidRPr="00264D5D" w:rsidRDefault="00D26607" w:rsidP="00D26607">
            <w:pPr>
              <w:pStyle w:val="ASFKTableHead"/>
            </w:pPr>
            <w:r w:rsidRPr="00264D5D">
              <w:t>Тип</w:t>
            </w:r>
          </w:p>
        </w:tc>
        <w:tc>
          <w:tcPr>
            <w:tcW w:w="1140" w:type="dxa"/>
          </w:tcPr>
          <w:p w14:paraId="272050AB" w14:textId="77777777" w:rsidR="00D26607" w:rsidRPr="00264D5D" w:rsidRDefault="00D26607" w:rsidP="00D26607">
            <w:pPr>
              <w:pStyle w:val="ASFKTableHead"/>
            </w:pPr>
            <w:r w:rsidRPr="00264D5D">
              <w:t>Формат элемента</w:t>
            </w:r>
          </w:p>
        </w:tc>
        <w:tc>
          <w:tcPr>
            <w:tcW w:w="570" w:type="dxa"/>
          </w:tcPr>
          <w:p w14:paraId="1DC37C1A" w14:textId="77777777" w:rsidR="00D26607" w:rsidRPr="00264D5D" w:rsidRDefault="00D26607" w:rsidP="00D26607">
            <w:pPr>
              <w:pStyle w:val="ASFKTableHead"/>
            </w:pPr>
            <w:r w:rsidRPr="00264D5D">
              <w:t>Обязательность</w:t>
            </w:r>
          </w:p>
        </w:tc>
        <w:tc>
          <w:tcPr>
            <w:tcW w:w="3991" w:type="dxa"/>
          </w:tcPr>
          <w:p w14:paraId="6F7CABF6" w14:textId="77777777" w:rsidR="00D26607" w:rsidRPr="00264D5D" w:rsidRDefault="00D26607" w:rsidP="00D26607">
            <w:pPr>
              <w:pStyle w:val="ASFKTableHead"/>
            </w:pPr>
            <w:r w:rsidRPr="00264D5D">
              <w:t>Дополнительная информация</w:t>
            </w:r>
          </w:p>
        </w:tc>
      </w:tr>
      <w:tr w:rsidR="00D26607" w:rsidRPr="00264D5D" w14:paraId="5FE0C948" w14:textId="77777777" w:rsidTr="00D26607">
        <w:trPr>
          <w:cnfStyle w:val="000000100000" w:firstRow="0" w:lastRow="0" w:firstColumn="0" w:lastColumn="0" w:oddVBand="0" w:evenVBand="0" w:oddHBand="1" w:evenHBand="0" w:firstRowFirstColumn="0" w:firstRowLastColumn="0" w:lastRowFirstColumn="0" w:lastRowLastColumn="0"/>
        </w:trPr>
        <w:tc>
          <w:tcPr>
            <w:tcW w:w="1713" w:type="dxa"/>
          </w:tcPr>
          <w:p w14:paraId="0A6327E6" w14:textId="77777777" w:rsidR="00D26607" w:rsidRPr="00264D5D" w:rsidRDefault="00D26607" w:rsidP="00D26607">
            <w:pPr>
              <w:pStyle w:val="GOSTTablenorm"/>
              <w:rPr>
                <w:szCs w:val="22"/>
              </w:rPr>
            </w:pPr>
            <w:r w:rsidRPr="00264D5D">
              <w:rPr>
                <w:szCs w:val="22"/>
              </w:rPr>
              <w:t>КБК</w:t>
            </w:r>
          </w:p>
        </w:tc>
        <w:tc>
          <w:tcPr>
            <w:tcW w:w="1710" w:type="dxa"/>
          </w:tcPr>
          <w:p w14:paraId="18FE4746" w14:textId="77777777" w:rsidR="00D26607" w:rsidRPr="00264D5D" w:rsidRDefault="00D26607" w:rsidP="00D26607">
            <w:pPr>
              <w:pStyle w:val="GOSTTablenorm"/>
              <w:rPr>
                <w:szCs w:val="22"/>
                <w:lang w:val="en-US"/>
              </w:rPr>
            </w:pPr>
            <w:r w:rsidRPr="00264D5D">
              <w:rPr>
                <w:szCs w:val="22"/>
                <w:lang w:val="en-US"/>
              </w:rPr>
              <w:t>KBK</w:t>
            </w:r>
          </w:p>
        </w:tc>
        <w:tc>
          <w:tcPr>
            <w:tcW w:w="570" w:type="dxa"/>
          </w:tcPr>
          <w:p w14:paraId="6E00FC0E" w14:textId="77777777" w:rsidR="00D26607" w:rsidRPr="00264D5D" w:rsidRDefault="00D26607" w:rsidP="00D26607">
            <w:pPr>
              <w:pStyle w:val="GOSTTablenorm"/>
              <w:jc w:val="center"/>
              <w:rPr>
                <w:szCs w:val="22"/>
                <w:lang w:val="en-US"/>
              </w:rPr>
            </w:pPr>
            <w:r w:rsidRPr="00264D5D">
              <w:rPr>
                <w:szCs w:val="22"/>
              </w:rPr>
              <w:t>П</w:t>
            </w:r>
          </w:p>
        </w:tc>
        <w:tc>
          <w:tcPr>
            <w:tcW w:w="1140" w:type="dxa"/>
          </w:tcPr>
          <w:p w14:paraId="36D284B2" w14:textId="77777777" w:rsidR="00D26607" w:rsidRPr="00264D5D" w:rsidRDefault="00D26607" w:rsidP="00D26607">
            <w:pPr>
              <w:pStyle w:val="GOSTTablenorm"/>
              <w:rPr>
                <w:szCs w:val="22"/>
              </w:rPr>
            </w:pPr>
            <w:r w:rsidRPr="00264D5D">
              <w:rPr>
                <w:szCs w:val="22"/>
              </w:rPr>
              <w:t>Т(</w:t>
            </w:r>
            <w:r w:rsidRPr="00264D5D">
              <w:rPr>
                <w:szCs w:val="22"/>
                <w:lang w:val="en-US"/>
              </w:rPr>
              <w:t>20</w:t>
            </w:r>
            <w:r w:rsidRPr="00264D5D">
              <w:rPr>
                <w:szCs w:val="22"/>
              </w:rPr>
              <w:t>)</w:t>
            </w:r>
          </w:p>
        </w:tc>
        <w:tc>
          <w:tcPr>
            <w:tcW w:w="570" w:type="dxa"/>
          </w:tcPr>
          <w:p w14:paraId="453971D0" w14:textId="77777777" w:rsidR="00D26607" w:rsidRPr="00264D5D" w:rsidRDefault="00D26607" w:rsidP="00D26607">
            <w:pPr>
              <w:pStyle w:val="GOSTTablenorm"/>
              <w:jc w:val="center"/>
              <w:rPr>
                <w:szCs w:val="22"/>
              </w:rPr>
            </w:pPr>
            <w:r w:rsidRPr="00264D5D">
              <w:rPr>
                <w:szCs w:val="22"/>
              </w:rPr>
              <w:t>Н</w:t>
            </w:r>
          </w:p>
        </w:tc>
        <w:tc>
          <w:tcPr>
            <w:tcW w:w="3991" w:type="dxa"/>
          </w:tcPr>
          <w:p w14:paraId="47D00789" w14:textId="77777777" w:rsidR="00D26607" w:rsidRPr="00264D5D" w:rsidRDefault="00D26607" w:rsidP="00D26607">
            <w:pPr>
              <w:pStyle w:val="GOSTTablenorm"/>
              <w:rPr>
                <w:szCs w:val="22"/>
              </w:rPr>
            </w:pPr>
            <w:r w:rsidRPr="00264D5D">
              <w:rPr>
                <w:szCs w:val="22"/>
              </w:rPr>
              <w:t>Указывается КБК в соответствии с действующими Указаниями по БК.</w:t>
            </w:r>
          </w:p>
          <w:p w14:paraId="12BDFDD8" w14:textId="77777777" w:rsidR="00D26607" w:rsidRPr="00264D5D" w:rsidRDefault="00D26607" w:rsidP="00D26607">
            <w:pPr>
              <w:pStyle w:val="GOSTTablenorm"/>
              <w:rPr>
                <w:szCs w:val="22"/>
              </w:rPr>
            </w:pPr>
            <w:r w:rsidRPr="00264D5D">
              <w:rPr>
                <w:szCs w:val="22"/>
              </w:rPr>
              <w:t>Для средств, поступающих во временное распоряжение учреждений, коды не указываются.</w:t>
            </w:r>
          </w:p>
          <w:p w14:paraId="1DC0109A" w14:textId="77777777" w:rsidR="00D26607" w:rsidRPr="00264D5D" w:rsidRDefault="00D26607" w:rsidP="00D26607">
            <w:pPr>
              <w:pStyle w:val="GOSTTablenorm"/>
              <w:rPr>
                <w:szCs w:val="22"/>
              </w:rPr>
            </w:pPr>
            <w:r w:rsidRPr="00264D5D">
              <w:rPr>
                <w:szCs w:val="22"/>
              </w:rPr>
              <w:t>Для БУ в позициях с 18 по 20 указывается код по бюджетной классификации.</w:t>
            </w:r>
          </w:p>
          <w:p w14:paraId="6C49A235" w14:textId="77777777" w:rsidR="00D26607" w:rsidRPr="00264D5D" w:rsidRDefault="00D26607" w:rsidP="00D26607">
            <w:pPr>
              <w:pStyle w:val="GOSTTablenorm"/>
              <w:rPr>
                <w:szCs w:val="22"/>
              </w:rPr>
            </w:pPr>
            <w:r w:rsidRPr="00264D5D">
              <w:rPr>
                <w:szCs w:val="22"/>
              </w:rPr>
              <w:t>Для АУ, ФГУП, ГУП, МУП в случаях, предусмотренных НПА, в позициях с 18 по 20 указывается</w:t>
            </w:r>
            <w:r w:rsidR="004D6C77" w:rsidRPr="00264D5D">
              <w:rPr>
                <w:szCs w:val="22"/>
              </w:rPr>
              <w:t xml:space="preserve"> код по бюджетной классификации</w:t>
            </w:r>
          </w:p>
        </w:tc>
      </w:tr>
      <w:tr w:rsidR="00D26607" w:rsidRPr="00264D5D" w14:paraId="7B49C69D" w14:textId="77777777" w:rsidTr="00D26607">
        <w:trPr>
          <w:cnfStyle w:val="000000010000" w:firstRow="0" w:lastRow="0" w:firstColumn="0" w:lastColumn="0" w:oddVBand="0" w:evenVBand="0" w:oddHBand="0" w:evenHBand="1" w:firstRowFirstColumn="0" w:firstRowLastColumn="0" w:lastRowFirstColumn="0" w:lastRowLastColumn="0"/>
        </w:trPr>
        <w:tc>
          <w:tcPr>
            <w:tcW w:w="1713" w:type="dxa"/>
          </w:tcPr>
          <w:p w14:paraId="4D96BD13" w14:textId="77777777" w:rsidR="00D26607" w:rsidRPr="00264D5D" w:rsidRDefault="00D26607" w:rsidP="00D26607">
            <w:pPr>
              <w:pStyle w:val="GOSTTablenorm"/>
              <w:rPr>
                <w:szCs w:val="22"/>
              </w:rPr>
            </w:pPr>
            <w:r w:rsidRPr="00264D5D">
              <w:rPr>
                <w:szCs w:val="22"/>
              </w:rPr>
              <w:t>Код цели (аналитический код)</w:t>
            </w:r>
          </w:p>
        </w:tc>
        <w:tc>
          <w:tcPr>
            <w:tcW w:w="1710" w:type="dxa"/>
          </w:tcPr>
          <w:p w14:paraId="2AE06DA7" w14:textId="77777777" w:rsidR="00D26607" w:rsidRPr="00264D5D" w:rsidRDefault="00D26607" w:rsidP="00D26607">
            <w:pPr>
              <w:pStyle w:val="GOSTTablenorm"/>
              <w:rPr>
                <w:szCs w:val="22"/>
                <w:lang w:val="en-US"/>
              </w:rPr>
            </w:pPr>
            <w:r w:rsidRPr="00264D5D">
              <w:rPr>
                <w:szCs w:val="22"/>
                <w:lang w:val="en-US"/>
              </w:rPr>
              <w:t>TrgtCd</w:t>
            </w:r>
          </w:p>
        </w:tc>
        <w:tc>
          <w:tcPr>
            <w:tcW w:w="570" w:type="dxa"/>
          </w:tcPr>
          <w:p w14:paraId="7EDB5AC8" w14:textId="77777777" w:rsidR="00D26607" w:rsidRPr="00264D5D" w:rsidRDefault="00D26607" w:rsidP="00D26607">
            <w:pPr>
              <w:pStyle w:val="GOSTTablenorm"/>
              <w:jc w:val="center"/>
              <w:rPr>
                <w:szCs w:val="22"/>
              </w:rPr>
            </w:pPr>
            <w:r w:rsidRPr="00264D5D">
              <w:rPr>
                <w:szCs w:val="22"/>
              </w:rPr>
              <w:t>П</w:t>
            </w:r>
          </w:p>
        </w:tc>
        <w:tc>
          <w:tcPr>
            <w:tcW w:w="1140" w:type="dxa"/>
          </w:tcPr>
          <w:p w14:paraId="4036B6EC" w14:textId="77777777" w:rsidR="00D26607" w:rsidRPr="00264D5D" w:rsidRDefault="00D26607" w:rsidP="00D26607">
            <w:pPr>
              <w:pStyle w:val="GOSTTablenorm"/>
              <w:rPr>
                <w:szCs w:val="22"/>
              </w:rPr>
            </w:pPr>
            <w:r w:rsidRPr="00264D5D">
              <w:rPr>
                <w:szCs w:val="22"/>
              </w:rPr>
              <w:t>Т(1-</w:t>
            </w:r>
            <w:r w:rsidRPr="00264D5D">
              <w:rPr>
                <w:szCs w:val="22"/>
                <w:lang w:val="en-US"/>
              </w:rPr>
              <w:t>2</w:t>
            </w:r>
            <w:r w:rsidRPr="00264D5D">
              <w:rPr>
                <w:szCs w:val="22"/>
              </w:rPr>
              <w:t>5)</w:t>
            </w:r>
          </w:p>
        </w:tc>
        <w:tc>
          <w:tcPr>
            <w:tcW w:w="570" w:type="dxa"/>
          </w:tcPr>
          <w:p w14:paraId="0E1456C7" w14:textId="77777777" w:rsidR="00D26607" w:rsidRPr="00264D5D" w:rsidRDefault="00D26607" w:rsidP="00D26607">
            <w:pPr>
              <w:pStyle w:val="GOSTTablenorm"/>
              <w:jc w:val="center"/>
              <w:rPr>
                <w:szCs w:val="22"/>
              </w:rPr>
            </w:pPr>
            <w:r w:rsidRPr="00264D5D">
              <w:rPr>
                <w:szCs w:val="22"/>
              </w:rPr>
              <w:t>Н</w:t>
            </w:r>
          </w:p>
        </w:tc>
        <w:tc>
          <w:tcPr>
            <w:tcW w:w="3991" w:type="dxa"/>
          </w:tcPr>
          <w:p w14:paraId="3D51B801" w14:textId="77777777" w:rsidR="00D26607" w:rsidRPr="00264D5D" w:rsidRDefault="00D26607" w:rsidP="00D26607">
            <w:pPr>
              <w:pStyle w:val="GOSTTablenorm"/>
              <w:rPr>
                <w:szCs w:val="22"/>
              </w:rPr>
            </w:pPr>
            <w:r w:rsidRPr="00264D5D">
              <w:rPr>
                <w:szCs w:val="22"/>
              </w:rPr>
              <w:t>Указывается код цели (аналитический код).</w:t>
            </w:r>
          </w:p>
          <w:p w14:paraId="030CE28C" w14:textId="77777777" w:rsidR="00D26607" w:rsidRPr="00264D5D" w:rsidRDefault="00D26607" w:rsidP="00D26607">
            <w:pPr>
              <w:pStyle w:val="GOSTTablenorm"/>
              <w:rPr>
                <w:szCs w:val="22"/>
              </w:rPr>
            </w:pPr>
            <w:r w:rsidRPr="00264D5D">
              <w:rPr>
                <w:szCs w:val="22"/>
              </w:rPr>
              <w:t>По расходам бюджетов, источником финансового обеспечения которых являются субсидии, субвенции, иные целевые межбюджетные трансферты из ФБ, поле заполняется в соответствии с перечнем кодов целей, присвоенных ФК.</w:t>
            </w:r>
          </w:p>
          <w:p w14:paraId="205BC2B8" w14:textId="77777777" w:rsidR="00D26607" w:rsidRPr="00264D5D" w:rsidRDefault="00D26607" w:rsidP="00D26607">
            <w:pPr>
              <w:pStyle w:val="GOSTTablenorm"/>
              <w:rPr>
                <w:szCs w:val="22"/>
              </w:rPr>
            </w:pPr>
            <w:r w:rsidRPr="00264D5D">
              <w:rPr>
                <w:szCs w:val="22"/>
              </w:rPr>
              <w:t xml:space="preserve">При оформлении Заявки на кассовый расход по л/с федерального бюджета с </w:t>
            </w:r>
            <w:r w:rsidRPr="00264D5D">
              <w:rPr>
                <w:szCs w:val="22"/>
              </w:rPr>
              <w:lastRenderedPageBreak/>
              <w:t>кодом «05» указывается идентификационный код выплат, предусмотренный Порядком санкционирования операций со средствами, поступающими во временное распоряжение получателе</w:t>
            </w:r>
            <w:r w:rsidR="004D6C77" w:rsidRPr="00264D5D">
              <w:rPr>
                <w:szCs w:val="22"/>
              </w:rPr>
              <w:t>й средств федерального бюджета</w:t>
            </w:r>
          </w:p>
        </w:tc>
      </w:tr>
      <w:tr w:rsidR="00D26607" w:rsidRPr="00264D5D" w14:paraId="2334AF66" w14:textId="77777777" w:rsidTr="00D26607">
        <w:trPr>
          <w:cnfStyle w:val="000000100000" w:firstRow="0" w:lastRow="0" w:firstColumn="0" w:lastColumn="0" w:oddVBand="0" w:evenVBand="0" w:oddHBand="1" w:evenHBand="0" w:firstRowFirstColumn="0" w:firstRowLastColumn="0" w:lastRowFirstColumn="0" w:lastRowLastColumn="0"/>
        </w:trPr>
        <w:tc>
          <w:tcPr>
            <w:tcW w:w="1713" w:type="dxa"/>
          </w:tcPr>
          <w:p w14:paraId="58556799" w14:textId="77777777" w:rsidR="00D26607" w:rsidRPr="00264D5D" w:rsidRDefault="00D26607" w:rsidP="00D26607">
            <w:pPr>
              <w:pStyle w:val="GOSTTablenorm"/>
              <w:rPr>
                <w:szCs w:val="22"/>
              </w:rPr>
            </w:pPr>
            <w:r w:rsidRPr="00264D5D">
              <w:rPr>
                <w:szCs w:val="22"/>
              </w:rPr>
              <w:lastRenderedPageBreak/>
              <w:t>Тип КБК</w:t>
            </w:r>
          </w:p>
        </w:tc>
        <w:tc>
          <w:tcPr>
            <w:tcW w:w="1710" w:type="dxa"/>
          </w:tcPr>
          <w:p w14:paraId="5F744E71" w14:textId="77777777" w:rsidR="00D26607" w:rsidRPr="00264D5D" w:rsidRDefault="00D26607" w:rsidP="00D26607">
            <w:pPr>
              <w:pStyle w:val="GOSTTablenorm"/>
              <w:rPr>
                <w:szCs w:val="22"/>
                <w:lang w:val="en-US"/>
              </w:rPr>
            </w:pPr>
            <w:r w:rsidRPr="00264D5D">
              <w:rPr>
                <w:szCs w:val="22"/>
                <w:lang w:val="en-US"/>
              </w:rPr>
              <w:t>BKTp</w:t>
            </w:r>
          </w:p>
        </w:tc>
        <w:tc>
          <w:tcPr>
            <w:tcW w:w="570" w:type="dxa"/>
          </w:tcPr>
          <w:p w14:paraId="0BF23A8B" w14:textId="77777777" w:rsidR="00D26607" w:rsidRPr="00264D5D" w:rsidRDefault="00D26607" w:rsidP="00D26607">
            <w:pPr>
              <w:pStyle w:val="GOSTTablenorm"/>
              <w:jc w:val="center"/>
              <w:rPr>
                <w:szCs w:val="22"/>
              </w:rPr>
            </w:pPr>
            <w:r w:rsidRPr="00264D5D">
              <w:rPr>
                <w:szCs w:val="22"/>
                <w:lang w:val="en-US"/>
              </w:rPr>
              <w:t>C</w:t>
            </w:r>
          </w:p>
        </w:tc>
        <w:tc>
          <w:tcPr>
            <w:tcW w:w="1140" w:type="dxa"/>
          </w:tcPr>
          <w:p w14:paraId="66BC92C7" w14:textId="77777777" w:rsidR="00D26607" w:rsidRPr="00264D5D" w:rsidRDefault="00D26607" w:rsidP="00D26607">
            <w:pPr>
              <w:pStyle w:val="GOSTTablenorm"/>
              <w:rPr>
                <w:szCs w:val="22"/>
              </w:rPr>
            </w:pPr>
            <w:r w:rsidRPr="00264D5D">
              <w:rPr>
                <w:szCs w:val="22"/>
              </w:rPr>
              <w:t>tMSC_BKTp10_20_31_32Complex</w:t>
            </w:r>
          </w:p>
        </w:tc>
        <w:tc>
          <w:tcPr>
            <w:tcW w:w="570" w:type="dxa"/>
          </w:tcPr>
          <w:p w14:paraId="6B57C38B" w14:textId="77777777" w:rsidR="00D26607" w:rsidRPr="00264D5D" w:rsidRDefault="00D26607" w:rsidP="00D26607">
            <w:pPr>
              <w:pStyle w:val="GOSTTablenorm"/>
              <w:jc w:val="center"/>
              <w:rPr>
                <w:szCs w:val="22"/>
              </w:rPr>
            </w:pPr>
            <w:r w:rsidRPr="00264D5D">
              <w:rPr>
                <w:szCs w:val="22"/>
              </w:rPr>
              <w:t>Н</w:t>
            </w:r>
          </w:p>
        </w:tc>
        <w:tc>
          <w:tcPr>
            <w:tcW w:w="3991" w:type="dxa"/>
          </w:tcPr>
          <w:p w14:paraId="20F590E0" w14:textId="77777777" w:rsidR="00D26607" w:rsidRPr="00264D5D" w:rsidRDefault="00D26607" w:rsidP="00D26607">
            <w:pPr>
              <w:pStyle w:val="GOSTTablenorm"/>
              <w:rPr>
                <w:szCs w:val="22"/>
              </w:rPr>
            </w:pPr>
            <w:r w:rsidRPr="00264D5D">
              <w:rPr>
                <w:szCs w:val="22"/>
              </w:rPr>
              <w:t>Тип КБК.</w:t>
            </w:r>
          </w:p>
          <w:p w14:paraId="07C3B214" w14:textId="77777777" w:rsidR="00D26607" w:rsidRPr="00264D5D" w:rsidRDefault="00D26607" w:rsidP="00D26607">
            <w:pPr>
              <w:pStyle w:val="GOSTTablenorm"/>
              <w:rPr>
                <w:szCs w:val="22"/>
              </w:rPr>
            </w:pPr>
            <w:r w:rsidRPr="00264D5D">
              <w:rPr>
                <w:szCs w:val="22"/>
              </w:rPr>
              <w:t>Для средств, поступающих во временное распоряжение учреждений, типы КБК не указываются.</w:t>
            </w:r>
          </w:p>
          <w:p w14:paraId="79934E6D" w14:textId="184069D4" w:rsidR="00D26607" w:rsidRPr="00264D5D" w:rsidRDefault="00D26607" w:rsidP="00D26607">
            <w:pPr>
              <w:pStyle w:val="GOSTTablenorm"/>
              <w:rPr>
                <w:szCs w:val="22"/>
              </w:rPr>
            </w:pPr>
            <w:r w:rsidRPr="00264D5D">
              <w:rPr>
                <w:szCs w:val="22"/>
              </w:rPr>
              <w:t>Состав элемента представлен в таблице </w:t>
            </w:r>
            <w:r w:rsidRPr="00264D5D">
              <w:rPr>
                <w:b/>
                <w:szCs w:val="22"/>
              </w:rPr>
              <w:fldChar w:fldCharType="begin"/>
            </w:r>
            <w:r w:rsidRPr="00264D5D">
              <w:rPr>
                <w:b/>
                <w:szCs w:val="22"/>
              </w:rPr>
              <w:instrText xml:space="preserve"> REF _Ref503531472 \h  \* MERGEFORMAT </w:instrText>
            </w:r>
            <w:r w:rsidRPr="00264D5D">
              <w:rPr>
                <w:b/>
                <w:szCs w:val="22"/>
              </w:rPr>
            </w:r>
            <w:r w:rsidRPr="00264D5D">
              <w:rPr>
                <w:b/>
                <w:szCs w:val="22"/>
              </w:rPr>
              <w:fldChar w:fldCharType="separate"/>
            </w:r>
            <w:r w:rsidR="008D797C" w:rsidRPr="008D797C">
              <w:rPr>
                <w:b/>
                <w:szCs w:val="22"/>
              </w:rPr>
              <w:t>71</w:t>
            </w:r>
            <w:r w:rsidRPr="00264D5D">
              <w:rPr>
                <w:b/>
                <w:szCs w:val="22"/>
              </w:rPr>
              <w:fldChar w:fldCharType="end"/>
            </w:r>
          </w:p>
        </w:tc>
      </w:tr>
      <w:tr w:rsidR="00D26607" w:rsidRPr="00264D5D" w14:paraId="14FDA666" w14:textId="77777777" w:rsidTr="00D26607">
        <w:trPr>
          <w:cnfStyle w:val="000000010000" w:firstRow="0" w:lastRow="0" w:firstColumn="0" w:lastColumn="0" w:oddVBand="0" w:evenVBand="0" w:oddHBand="0" w:evenHBand="1" w:firstRowFirstColumn="0" w:firstRowLastColumn="0" w:lastRowFirstColumn="0" w:lastRowLastColumn="0"/>
        </w:trPr>
        <w:tc>
          <w:tcPr>
            <w:tcW w:w="1713" w:type="dxa"/>
          </w:tcPr>
          <w:p w14:paraId="3739A303" w14:textId="77777777" w:rsidR="00D26607" w:rsidRPr="00264D5D" w:rsidRDefault="00D26607" w:rsidP="00D26607">
            <w:pPr>
              <w:pStyle w:val="GOSTTablenorm"/>
              <w:rPr>
                <w:szCs w:val="22"/>
              </w:rPr>
            </w:pPr>
            <w:r w:rsidRPr="00264D5D">
              <w:rPr>
                <w:szCs w:val="22"/>
              </w:rPr>
              <w:t>Код поступлений</w:t>
            </w:r>
          </w:p>
        </w:tc>
        <w:tc>
          <w:tcPr>
            <w:tcW w:w="1710" w:type="dxa"/>
          </w:tcPr>
          <w:p w14:paraId="392F8474" w14:textId="77777777" w:rsidR="00D26607" w:rsidRPr="00264D5D" w:rsidRDefault="00D26607" w:rsidP="00D26607">
            <w:pPr>
              <w:pStyle w:val="GOSTTablenorm"/>
              <w:rPr>
                <w:szCs w:val="22"/>
                <w:lang w:val="en-US"/>
              </w:rPr>
            </w:pPr>
            <w:r w:rsidRPr="00264D5D">
              <w:rPr>
                <w:szCs w:val="22"/>
                <w:lang w:val="en-US"/>
              </w:rPr>
              <w:t>R</w:t>
            </w:r>
            <w:r w:rsidRPr="00264D5D">
              <w:rPr>
                <w:szCs w:val="22"/>
              </w:rPr>
              <w:t>eceiptCode</w:t>
            </w:r>
          </w:p>
        </w:tc>
        <w:tc>
          <w:tcPr>
            <w:tcW w:w="570" w:type="dxa"/>
          </w:tcPr>
          <w:p w14:paraId="6EF9323A" w14:textId="77777777" w:rsidR="00D26607" w:rsidRPr="00264D5D" w:rsidRDefault="00D26607" w:rsidP="00D26607">
            <w:pPr>
              <w:pStyle w:val="GOSTTablenorm"/>
              <w:jc w:val="center"/>
              <w:rPr>
                <w:szCs w:val="22"/>
                <w:lang w:val="en-US"/>
              </w:rPr>
            </w:pPr>
            <w:r w:rsidRPr="00264D5D">
              <w:rPr>
                <w:szCs w:val="22"/>
              </w:rPr>
              <w:t>П</w:t>
            </w:r>
          </w:p>
        </w:tc>
        <w:tc>
          <w:tcPr>
            <w:tcW w:w="1140" w:type="dxa"/>
          </w:tcPr>
          <w:p w14:paraId="6908BDF9" w14:textId="77777777" w:rsidR="00D26607" w:rsidRPr="00264D5D" w:rsidRDefault="00D26607" w:rsidP="00D26607">
            <w:pPr>
              <w:pStyle w:val="GOSTTablenorm"/>
              <w:rPr>
                <w:szCs w:val="22"/>
              </w:rPr>
            </w:pPr>
            <w:r w:rsidRPr="00264D5D">
              <w:rPr>
                <w:szCs w:val="22"/>
                <w:lang w:val="en-US"/>
              </w:rPr>
              <w:t>T (2)</w:t>
            </w:r>
          </w:p>
        </w:tc>
        <w:tc>
          <w:tcPr>
            <w:tcW w:w="570" w:type="dxa"/>
          </w:tcPr>
          <w:p w14:paraId="0F6CF0AC" w14:textId="77777777" w:rsidR="00D26607" w:rsidRPr="00264D5D" w:rsidRDefault="00D26607" w:rsidP="00D26607">
            <w:pPr>
              <w:pStyle w:val="GOSTTablenorm"/>
              <w:jc w:val="center"/>
              <w:rPr>
                <w:szCs w:val="22"/>
              </w:rPr>
            </w:pPr>
            <w:r w:rsidRPr="00264D5D">
              <w:rPr>
                <w:szCs w:val="22"/>
              </w:rPr>
              <w:t>Н</w:t>
            </w:r>
          </w:p>
        </w:tc>
        <w:tc>
          <w:tcPr>
            <w:tcW w:w="3991" w:type="dxa"/>
          </w:tcPr>
          <w:p w14:paraId="6159A995" w14:textId="77777777" w:rsidR="00D26607" w:rsidRPr="00264D5D" w:rsidRDefault="00D26607" w:rsidP="00D26607">
            <w:pPr>
              <w:pStyle w:val="GOSTTablenorm"/>
              <w:rPr>
                <w:i/>
                <w:szCs w:val="22"/>
              </w:rPr>
            </w:pPr>
            <w:r w:rsidRPr="00264D5D">
              <w:rPr>
                <w:szCs w:val="22"/>
              </w:rPr>
              <w:t>Код поступлений</w:t>
            </w:r>
          </w:p>
          <w:p w14:paraId="47CBB4AF" w14:textId="77777777" w:rsidR="00D26607" w:rsidRPr="00264D5D" w:rsidRDefault="00D26607" w:rsidP="00D26607">
            <w:pPr>
              <w:pStyle w:val="GOSTTablenorm"/>
              <w:rPr>
                <w:szCs w:val="22"/>
              </w:rPr>
            </w:pPr>
            <w:r w:rsidRPr="00264D5D">
              <w:rPr>
                <w:szCs w:val="22"/>
              </w:rPr>
              <w:t>Заполняется при формировании Заявки на кассовый расход по АУ/БУ по л/с с кодом 80, 90.</w:t>
            </w:r>
          </w:p>
          <w:p w14:paraId="6CDF8B91" w14:textId="77777777" w:rsidR="00D26607" w:rsidRPr="00264D5D" w:rsidRDefault="00D26607" w:rsidP="00D26607">
            <w:pPr>
              <w:pStyle w:val="GOSTTablenorm"/>
              <w:rPr>
                <w:szCs w:val="22"/>
              </w:rPr>
            </w:pPr>
            <w:r w:rsidRPr="00264D5D">
              <w:rPr>
                <w:szCs w:val="22"/>
              </w:rPr>
              <w:t>Допустимые значения:</w:t>
            </w:r>
          </w:p>
          <w:p w14:paraId="56FA2C64" w14:textId="77777777" w:rsidR="00D26607" w:rsidRPr="00264D5D" w:rsidRDefault="00D26607" w:rsidP="00101F62">
            <w:pPr>
              <w:pStyle w:val="GOSTTablenorm"/>
              <w:numPr>
                <w:ilvl w:val="0"/>
                <w:numId w:val="153"/>
              </w:numPr>
              <w:ind w:left="284" w:hanging="227"/>
              <w:rPr>
                <w:szCs w:val="22"/>
              </w:rPr>
            </w:pPr>
            <w:r w:rsidRPr="00264D5D">
              <w:rPr>
                <w:szCs w:val="22"/>
              </w:rPr>
              <w:t>«ГЗ» – Субсидии на финансовое обеспечение выполнения государственного (муниципального) задания;</w:t>
            </w:r>
          </w:p>
          <w:p w14:paraId="5685D5C3" w14:textId="77777777" w:rsidR="00D26607" w:rsidRPr="00264D5D" w:rsidRDefault="00D26607" w:rsidP="00101F62">
            <w:pPr>
              <w:pStyle w:val="GOSTTablenorm"/>
              <w:numPr>
                <w:ilvl w:val="0"/>
                <w:numId w:val="153"/>
              </w:numPr>
              <w:ind w:left="284" w:hanging="227"/>
              <w:rPr>
                <w:szCs w:val="22"/>
              </w:rPr>
            </w:pPr>
            <w:r w:rsidRPr="00264D5D">
              <w:rPr>
                <w:szCs w:val="22"/>
              </w:rPr>
              <w:t>«ЦС» – Субсидии на иные цели и на осуществление капитальных вложений в объекты капитального строительства государственной (муниципальной) собственности или приобретение объектов недвижимого имущества в государственную (муниципальную) собственность;</w:t>
            </w:r>
          </w:p>
          <w:p w14:paraId="67668715" w14:textId="77777777" w:rsidR="00D26607" w:rsidRPr="00264D5D" w:rsidRDefault="00D26607" w:rsidP="00101F62">
            <w:pPr>
              <w:pStyle w:val="GOSTTablenorm"/>
              <w:numPr>
                <w:ilvl w:val="0"/>
                <w:numId w:val="153"/>
              </w:numPr>
              <w:ind w:left="284" w:hanging="227"/>
              <w:rPr>
                <w:szCs w:val="22"/>
              </w:rPr>
            </w:pPr>
            <w:r w:rsidRPr="00264D5D">
              <w:rPr>
                <w:szCs w:val="22"/>
              </w:rPr>
              <w:t>«ГР» – Гранты в форме субсидий;</w:t>
            </w:r>
          </w:p>
          <w:p w14:paraId="63592A63" w14:textId="77777777" w:rsidR="00D26607" w:rsidRPr="00264D5D" w:rsidRDefault="00D26607" w:rsidP="00101F62">
            <w:pPr>
              <w:pStyle w:val="GOSTTablenorm"/>
              <w:numPr>
                <w:ilvl w:val="0"/>
                <w:numId w:val="153"/>
              </w:numPr>
              <w:ind w:left="284" w:hanging="227"/>
              <w:rPr>
                <w:szCs w:val="22"/>
              </w:rPr>
            </w:pPr>
            <w:r w:rsidRPr="00264D5D">
              <w:rPr>
                <w:szCs w:val="22"/>
              </w:rPr>
              <w:t>«МС» – Средства обязательного медицинского страхования;</w:t>
            </w:r>
          </w:p>
          <w:p w14:paraId="6EBBF82C" w14:textId="77777777" w:rsidR="00D26607" w:rsidRPr="00264D5D" w:rsidRDefault="00D26607" w:rsidP="00101F62">
            <w:pPr>
              <w:pStyle w:val="GOSTTablenorm"/>
              <w:numPr>
                <w:ilvl w:val="0"/>
                <w:numId w:val="153"/>
              </w:numPr>
              <w:ind w:left="284" w:hanging="227"/>
              <w:rPr>
                <w:szCs w:val="22"/>
              </w:rPr>
            </w:pPr>
            <w:r w:rsidRPr="00264D5D">
              <w:rPr>
                <w:szCs w:val="22"/>
              </w:rPr>
              <w:t>«ПД» – Средства бюджетного (автономного) учреждения от приносящей доход деятельности и иные средства;</w:t>
            </w:r>
          </w:p>
          <w:p w14:paraId="3C2C9284" w14:textId="77777777" w:rsidR="00D26607" w:rsidRPr="00264D5D" w:rsidRDefault="00D26607" w:rsidP="00101F62">
            <w:pPr>
              <w:pStyle w:val="GOSTTablenorm"/>
              <w:numPr>
                <w:ilvl w:val="0"/>
                <w:numId w:val="153"/>
              </w:numPr>
              <w:ind w:left="284" w:hanging="227"/>
              <w:rPr>
                <w:szCs w:val="22"/>
              </w:rPr>
            </w:pPr>
            <w:r w:rsidRPr="00264D5D">
              <w:rPr>
                <w:szCs w:val="22"/>
              </w:rPr>
              <w:t>«ОБ» – Средства, поступившие в рамках обеспечения заявок, исполнения контракта (догов</w:t>
            </w:r>
            <w:r w:rsidR="004D6C77" w:rsidRPr="00264D5D">
              <w:rPr>
                <w:szCs w:val="22"/>
              </w:rPr>
              <w:t>ора), гарантийных обязательства</w:t>
            </w:r>
          </w:p>
        </w:tc>
      </w:tr>
    </w:tbl>
    <w:p w14:paraId="61E565BA" w14:textId="77777777" w:rsidR="00AD1F54" w:rsidRPr="00264D5D" w:rsidRDefault="00941227">
      <w:pPr>
        <w:pStyle w:val="31"/>
      </w:pPr>
      <w:bookmarkStart w:id="907" w:name="_Toc219309509"/>
      <w:r w:rsidRPr="00264D5D">
        <w:lastRenderedPageBreak/>
        <w:t>Описание комплексного типа «tMSC_BKTp10_20_31_32Complex»</w:t>
      </w:r>
      <w:bookmarkEnd w:id="901"/>
      <w:bookmarkEnd w:id="902"/>
      <w:bookmarkEnd w:id="907"/>
    </w:p>
    <w:p w14:paraId="387C8622" w14:textId="77777777" w:rsidR="00AD1F54" w:rsidRPr="00264D5D" w:rsidRDefault="00941227">
      <w:pPr>
        <w:pStyle w:val="GOSTNormal"/>
      </w:pPr>
      <w:r w:rsidRPr="00264D5D">
        <w:t>Описание комплексного типа «tMSC_BKTp10_20_31_32Complex» блока «Тип КБК».</w:t>
      </w:r>
    </w:p>
    <w:p w14:paraId="1C329FF8" w14:textId="7AA75BB4"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908" w:name="_Ref503531472"/>
      <w:bookmarkStart w:id="909" w:name="_Toc18509529"/>
      <w:bookmarkStart w:id="910" w:name="_Toc219309101"/>
      <w:r w:rsidR="008D797C">
        <w:rPr>
          <w:noProof/>
        </w:rPr>
        <w:t>71</w:t>
      </w:r>
      <w:bookmarkEnd w:id="908"/>
      <w:r w:rsidRPr="00264D5D">
        <w:fldChar w:fldCharType="end"/>
      </w:r>
      <w:r w:rsidRPr="00264D5D">
        <w:t xml:space="preserve"> – Описание комплексного типа «tMSC_BKTp10_20_31_32Complex»</w:t>
      </w:r>
      <w:bookmarkEnd w:id="909"/>
      <w:bookmarkEnd w:id="910"/>
    </w:p>
    <w:tbl>
      <w:tblPr>
        <w:tblStyle w:val="GOSTTable"/>
        <w:tblW w:w="5000" w:type="pct"/>
        <w:tblLayout w:type="fixed"/>
        <w:tblLook w:val="01E0" w:firstRow="1" w:lastRow="1" w:firstColumn="1" w:lastColumn="1" w:noHBand="0" w:noVBand="0"/>
      </w:tblPr>
      <w:tblGrid>
        <w:gridCol w:w="1707"/>
        <w:gridCol w:w="1702"/>
        <w:gridCol w:w="567"/>
        <w:gridCol w:w="1135"/>
        <w:gridCol w:w="567"/>
        <w:gridCol w:w="3972"/>
      </w:tblGrid>
      <w:tr w:rsidR="00AD1F54" w:rsidRPr="00264D5D" w14:paraId="59D769A8"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5" w:type="dxa"/>
          </w:tcPr>
          <w:p w14:paraId="5D2FA9DC" w14:textId="77777777" w:rsidR="00AD1F54" w:rsidRPr="00264D5D" w:rsidRDefault="00941227">
            <w:pPr>
              <w:pStyle w:val="ASFKTableHead"/>
            </w:pPr>
            <w:r w:rsidRPr="00264D5D">
              <w:t>Наименование элемента</w:t>
            </w:r>
          </w:p>
        </w:tc>
        <w:tc>
          <w:tcPr>
            <w:tcW w:w="1701" w:type="dxa"/>
          </w:tcPr>
          <w:p w14:paraId="089442AE" w14:textId="77777777" w:rsidR="00AD1F54" w:rsidRPr="00264D5D" w:rsidRDefault="00941227">
            <w:pPr>
              <w:pStyle w:val="ASFKTableHead"/>
            </w:pPr>
            <w:r w:rsidRPr="00264D5D">
              <w:t>Сокращенное наименование (код) элемента</w:t>
            </w:r>
          </w:p>
        </w:tc>
        <w:tc>
          <w:tcPr>
            <w:tcW w:w="567" w:type="dxa"/>
          </w:tcPr>
          <w:p w14:paraId="3ACEB3F3" w14:textId="77777777" w:rsidR="00AD1F54" w:rsidRPr="00264D5D" w:rsidRDefault="00941227">
            <w:pPr>
              <w:pStyle w:val="ASFKTableHead"/>
            </w:pPr>
            <w:r w:rsidRPr="00264D5D">
              <w:t>Тип</w:t>
            </w:r>
          </w:p>
        </w:tc>
        <w:tc>
          <w:tcPr>
            <w:tcW w:w="1134" w:type="dxa"/>
          </w:tcPr>
          <w:p w14:paraId="26DA4799" w14:textId="77777777" w:rsidR="00AD1F54" w:rsidRPr="00264D5D" w:rsidRDefault="00941227">
            <w:pPr>
              <w:pStyle w:val="ASFKTableHead"/>
            </w:pPr>
            <w:r w:rsidRPr="00264D5D">
              <w:t>Формат элемента</w:t>
            </w:r>
          </w:p>
        </w:tc>
        <w:tc>
          <w:tcPr>
            <w:tcW w:w="567" w:type="dxa"/>
          </w:tcPr>
          <w:p w14:paraId="1EF975A7" w14:textId="77777777" w:rsidR="00AD1F54" w:rsidRPr="00264D5D" w:rsidRDefault="00941227">
            <w:pPr>
              <w:pStyle w:val="ASFKTableHead"/>
            </w:pPr>
            <w:r w:rsidRPr="00264D5D">
              <w:t>Обязательность</w:t>
            </w:r>
          </w:p>
        </w:tc>
        <w:tc>
          <w:tcPr>
            <w:tcW w:w="3969" w:type="dxa"/>
          </w:tcPr>
          <w:p w14:paraId="63233C91" w14:textId="77777777" w:rsidR="00AD1F54" w:rsidRPr="00264D5D" w:rsidRDefault="00941227">
            <w:pPr>
              <w:pStyle w:val="ASFKTableHead"/>
            </w:pPr>
            <w:r w:rsidRPr="00264D5D">
              <w:t>Дополнительная информация</w:t>
            </w:r>
          </w:p>
        </w:tc>
      </w:tr>
      <w:tr w:rsidR="00AD1F54" w:rsidRPr="00264D5D" w14:paraId="7DB5339D" w14:textId="77777777" w:rsidTr="00AD1F54">
        <w:trPr>
          <w:cnfStyle w:val="000000100000" w:firstRow="0" w:lastRow="0" w:firstColumn="0" w:lastColumn="0" w:oddVBand="0" w:evenVBand="0" w:oddHBand="1" w:evenHBand="0" w:firstRowFirstColumn="0" w:firstRowLastColumn="0" w:lastRowFirstColumn="0" w:lastRowLastColumn="0"/>
        </w:trPr>
        <w:tc>
          <w:tcPr>
            <w:tcW w:w="1705" w:type="dxa"/>
          </w:tcPr>
          <w:p w14:paraId="37FD29D9" w14:textId="77777777" w:rsidR="00AD1F54" w:rsidRPr="00264D5D" w:rsidRDefault="00941227">
            <w:pPr>
              <w:pStyle w:val="GOSTTablenorm"/>
              <w:rPr>
                <w:szCs w:val="22"/>
              </w:rPr>
            </w:pPr>
            <w:r w:rsidRPr="00264D5D">
              <w:rPr>
                <w:szCs w:val="22"/>
              </w:rPr>
              <w:t>Код типа КБК</w:t>
            </w:r>
          </w:p>
        </w:tc>
        <w:tc>
          <w:tcPr>
            <w:tcW w:w="1701" w:type="dxa"/>
          </w:tcPr>
          <w:p w14:paraId="063B3F2E" w14:textId="77777777" w:rsidR="00AD1F54" w:rsidRPr="00264D5D" w:rsidRDefault="00941227">
            <w:pPr>
              <w:pStyle w:val="GOSTTablenorm"/>
              <w:rPr>
                <w:szCs w:val="22"/>
                <w:lang w:val="en-US"/>
              </w:rPr>
            </w:pPr>
            <w:r w:rsidRPr="00264D5D">
              <w:rPr>
                <w:szCs w:val="22"/>
                <w:lang w:val="en-US"/>
              </w:rPr>
              <w:t>code</w:t>
            </w:r>
          </w:p>
        </w:tc>
        <w:tc>
          <w:tcPr>
            <w:tcW w:w="567" w:type="dxa"/>
          </w:tcPr>
          <w:p w14:paraId="29F376EB" w14:textId="77777777" w:rsidR="00AD1F54" w:rsidRPr="00264D5D" w:rsidRDefault="00941227">
            <w:pPr>
              <w:pStyle w:val="GOSTTablenorm"/>
              <w:jc w:val="center"/>
              <w:rPr>
                <w:szCs w:val="22"/>
              </w:rPr>
            </w:pPr>
            <w:r w:rsidRPr="00264D5D">
              <w:rPr>
                <w:szCs w:val="22"/>
              </w:rPr>
              <w:t>А</w:t>
            </w:r>
          </w:p>
        </w:tc>
        <w:tc>
          <w:tcPr>
            <w:tcW w:w="1134" w:type="dxa"/>
          </w:tcPr>
          <w:p w14:paraId="7C25D97A" w14:textId="77777777" w:rsidR="00AD1F54" w:rsidRPr="00264D5D" w:rsidRDefault="00941227">
            <w:pPr>
              <w:pStyle w:val="GOSTTablenorm"/>
              <w:rPr>
                <w:szCs w:val="22"/>
              </w:rPr>
            </w:pPr>
            <w:r w:rsidRPr="00264D5D">
              <w:rPr>
                <w:szCs w:val="22"/>
              </w:rPr>
              <w:t>-</w:t>
            </w:r>
          </w:p>
        </w:tc>
        <w:tc>
          <w:tcPr>
            <w:tcW w:w="567" w:type="dxa"/>
          </w:tcPr>
          <w:p w14:paraId="531521CB" w14:textId="77777777" w:rsidR="00AD1F54" w:rsidRPr="00264D5D" w:rsidRDefault="00941227">
            <w:pPr>
              <w:pStyle w:val="GOSTTablenorm"/>
              <w:jc w:val="center"/>
              <w:rPr>
                <w:szCs w:val="22"/>
              </w:rPr>
            </w:pPr>
            <w:r w:rsidRPr="00264D5D">
              <w:rPr>
                <w:szCs w:val="22"/>
              </w:rPr>
              <w:t>О</w:t>
            </w:r>
          </w:p>
        </w:tc>
        <w:tc>
          <w:tcPr>
            <w:tcW w:w="3969" w:type="dxa"/>
          </w:tcPr>
          <w:p w14:paraId="6CBE47FA" w14:textId="77777777" w:rsidR="00AD1F54" w:rsidRPr="00264D5D" w:rsidRDefault="00941227">
            <w:pPr>
              <w:pStyle w:val="GOSTTablenorm"/>
              <w:rPr>
                <w:szCs w:val="22"/>
              </w:rPr>
            </w:pPr>
            <w:r w:rsidRPr="00264D5D">
              <w:rPr>
                <w:szCs w:val="22"/>
              </w:rPr>
              <w:t>Допустимые значения:</w:t>
            </w:r>
          </w:p>
          <w:p w14:paraId="5ADC3CDA" w14:textId="77777777" w:rsidR="00AD1F54" w:rsidRPr="00264D5D" w:rsidRDefault="00941227" w:rsidP="00E7460C">
            <w:pPr>
              <w:pStyle w:val="GOSTTablenorm"/>
              <w:numPr>
                <w:ilvl w:val="0"/>
                <w:numId w:val="80"/>
              </w:numPr>
              <w:ind w:left="284" w:hanging="227"/>
            </w:pPr>
            <w:r w:rsidRPr="00264D5D">
              <w:t>10 – Расходы;</w:t>
            </w:r>
          </w:p>
          <w:p w14:paraId="4E175AED" w14:textId="77777777" w:rsidR="00AD1F54" w:rsidRPr="00264D5D" w:rsidRDefault="00941227" w:rsidP="00E7460C">
            <w:pPr>
              <w:pStyle w:val="GOSTTablenorm"/>
              <w:numPr>
                <w:ilvl w:val="0"/>
                <w:numId w:val="80"/>
              </w:numPr>
              <w:ind w:left="284" w:hanging="227"/>
            </w:pPr>
            <w:r w:rsidRPr="00264D5D">
              <w:t>20 – Доходы;</w:t>
            </w:r>
          </w:p>
          <w:p w14:paraId="710806DE" w14:textId="77777777" w:rsidR="00AD1F54" w:rsidRPr="00264D5D" w:rsidRDefault="00941227" w:rsidP="00E7460C">
            <w:pPr>
              <w:pStyle w:val="GOSTTablenorm"/>
              <w:numPr>
                <w:ilvl w:val="0"/>
                <w:numId w:val="80"/>
              </w:numPr>
              <w:ind w:left="284" w:hanging="227"/>
            </w:pPr>
            <w:r w:rsidRPr="00264D5D">
              <w:t>31 – ИВФДБ;</w:t>
            </w:r>
          </w:p>
          <w:p w14:paraId="5BFC6B82" w14:textId="77777777" w:rsidR="00AD1F54" w:rsidRPr="00264D5D" w:rsidRDefault="00BA58C1" w:rsidP="00E7460C">
            <w:pPr>
              <w:pStyle w:val="GOSTTablenorm"/>
              <w:numPr>
                <w:ilvl w:val="0"/>
                <w:numId w:val="80"/>
              </w:numPr>
              <w:ind w:left="284" w:hanging="227"/>
              <w:rPr>
                <w:szCs w:val="22"/>
              </w:rPr>
            </w:pPr>
            <w:r w:rsidRPr="00264D5D">
              <w:t>32 – ИВнФДБ</w:t>
            </w:r>
          </w:p>
        </w:tc>
      </w:tr>
      <w:tr w:rsidR="00AD1F54" w:rsidRPr="00264D5D" w14:paraId="156F5D5C" w14:textId="77777777" w:rsidTr="00AD1F54">
        <w:trPr>
          <w:cnfStyle w:val="000000010000" w:firstRow="0" w:lastRow="0" w:firstColumn="0" w:lastColumn="0" w:oddVBand="0" w:evenVBand="0" w:oddHBand="0" w:evenHBand="1" w:firstRowFirstColumn="0" w:firstRowLastColumn="0" w:lastRowFirstColumn="0" w:lastRowLastColumn="0"/>
        </w:trPr>
        <w:tc>
          <w:tcPr>
            <w:tcW w:w="1705" w:type="dxa"/>
          </w:tcPr>
          <w:p w14:paraId="2B8A02A0" w14:textId="77777777" w:rsidR="00AD1F54" w:rsidRPr="00264D5D" w:rsidRDefault="00941227">
            <w:pPr>
              <w:pStyle w:val="GOSTTablenorm"/>
              <w:rPr>
                <w:szCs w:val="22"/>
              </w:rPr>
            </w:pPr>
            <w:r w:rsidRPr="00264D5D">
              <w:rPr>
                <w:szCs w:val="22"/>
              </w:rPr>
              <w:t>Значение типа КБК</w:t>
            </w:r>
          </w:p>
        </w:tc>
        <w:tc>
          <w:tcPr>
            <w:tcW w:w="1701" w:type="dxa"/>
          </w:tcPr>
          <w:p w14:paraId="68937FE0" w14:textId="77777777" w:rsidR="00AD1F54" w:rsidRPr="00264D5D" w:rsidRDefault="00941227">
            <w:pPr>
              <w:pStyle w:val="GOSTTablenorm"/>
              <w:rPr>
                <w:szCs w:val="22"/>
                <w:lang w:val="en-US"/>
              </w:rPr>
            </w:pPr>
            <w:r w:rsidRPr="00264D5D">
              <w:rPr>
                <w:szCs w:val="22"/>
                <w:lang w:val="en-US"/>
              </w:rPr>
              <w:t>value</w:t>
            </w:r>
          </w:p>
        </w:tc>
        <w:tc>
          <w:tcPr>
            <w:tcW w:w="567" w:type="dxa"/>
          </w:tcPr>
          <w:p w14:paraId="7D9DA6B6" w14:textId="77777777" w:rsidR="00AD1F54" w:rsidRPr="00264D5D" w:rsidRDefault="00941227">
            <w:pPr>
              <w:pStyle w:val="GOSTTablenorm"/>
              <w:jc w:val="center"/>
              <w:rPr>
                <w:szCs w:val="22"/>
              </w:rPr>
            </w:pPr>
            <w:r w:rsidRPr="00264D5D">
              <w:rPr>
                <w:szCs w:val="22"/>
              </w:rPr>
              <w:t>А</w:t>
            </w:r>
          </w:p>
        </w:tc>
        <w:tc>
          <w:tcPr>
            <w:tcW w:w="1134" w:type="dxa"/>
          </w:tcPr>
          <w:p w14:paraId="24119B5D" w14:textId="77777777" w:rsidR="00AD1F54" w:rsidRPr="00264D5D" w:rsidRDefault="00941227">
            <w:pPr>
              <w:pStyle w:val="GOSTTablenorm"/>
              <w:rPr>
                <w:szCs w:val="22"/>
              </w:rPr>
            </w:pPr>
            <w:r w:rsidRPr="00264D5D">
              <w:rPr>
                <w:szCs w:val="22"/>
              </w:rPr>
              <w:t>-</w:t>
            </w:r>
          </w:p>
        </w:tc>
        <w:tc>
          <w:tcPr>
            <w:tcW w:w="567" w:type="dxa"/>
          </w:tcPr>
          <w:p w14:paraId="52821361" w14:textId="77777777" w:rsidR="00AD1F54" w:rsidRPr="00264D5D" w:rsidRDefault="00941227">
            <w:pPr>
              <w:pStyle w:val="GOSTTablenorm"/>
              <w:jc w:val="center"/>
              <w:rPr>
                <w:szCs w:val="22"/>
              </w:rPr>
            </w:pPr>
            <w:r w:rsidRPr="00264D5D">
              <w:rPr>
                <w:szCs w:val="22"/>
              </w:rPr>
              <w:t>Н</w:t>
            </w:r>
          </w:p>
        </w:tc>
        <w:tc>
          <w:tcPr>
            <w:tcW w:w="3969" w:type="dxa"/>
          </w:tcPr>
          <w:p w14:paraId="632E4CD9" w14:textId="77777777" w:rsidR="00AD1F54" w:rsidRPr="00264D5D" w:rsidRDefault="00941227">
            <w:pPr>
              <w:pStyle w:val="GOSTTablenorm"/>
              <w:rPr>
                <w:szCs w:val="22"/>
              </w:rPr>
            </w:pPr>
            <w:r w:rsidRPr="00264D5D">
              <w:rPr>
                <w:szCs w:val="22"/>
              </w:rPr>
              <w:t>Соответствующие допустимые значения:</w:t>
            </w:r>
          </w:p>
          <w:p w14:paraId="02470E28" w14:textId="77777777" w:rsidR="00AD1F54" w:rsidRPr="00264D5D" w:rsidRDefault="00941227" w:rsidP="00E7460C">
            <w:pPr>
              <w:pStyle w:val="GOSTTablenorm"/>
              <w:numPr>
                <w:ilvl w:val="0"/>
                <w:numId w:val="80"/>
              </w:numPr>
              <w:ind w:left="284" w:hanging="227"/>
              <w:rPr>
                <w:szCs w:val="22"/>
              </w:rPr>
            </w:pPr>
            <w:r w:rsidRPr="00264D5D">
              <w:rPr>
                <w:szCs w:val="22"/>
              </w:rPr>
              <w:t>Расходы;</w:t>
            </w:r>
          </w:p>
          <w:p w14:paraId="7AF6C887" w14:textId="77777777" w:rsidR="00AD1F54" w:rsidRPr="00264D5D" w:rsidRDefault="00941227" w:rsidP="00E7460C">
            <w:pPr>
              <w:pStyle w:val="GOSTTablenorm"/>
              <w:numPr>
                <w:ilvl w:val="0"/>
                <w:numId w:val="80"/>
              </w:numPr>
              <w:ind w:left="284" w:hanging="227"/>
              <w:rPr>
                <w:szCs w:val="22"/>
              </w:rPr>
            </w:pPr>
            <w:r w:rsidRPr="00264D5D">
              <w:rPr>
                <w:szCs w:val="22"/>
              </w:rPr>
              <w:t>Доходы;</w:t>
            </w:r>
          </w:p>
          <w:p w14:paraId="6877E57E" w14:textId="77777777" w:rsidR="00AD1F54" w:rsidRPr="00264D5D" w:rsidRDefault="00941227" w:rsidP="00E7460C">
            <w:pPr>
              <w:pStyle w:val="GOSTTablenorm"/>
              <w:numPr>
                <w:ilvl w:val="0"/>
                <w:numId w:val="80"/>
              </w:numPr>
              <w:ind w:left="284" w:hanging="227"/>
              <w:rPr>
                <w:szCs w:val="22"/>
              </w:rPr>
            </w:pPr>
            <w:r w:rsidRPr="00264D5D">
              <w:rPr>
                <w:szCs w:val="22"/>
              </w:rPr>
              <w:t>ИВФДБ;</w:t>
            </w:r>
          </w:p>
          <w:p w14:paraId="5AAC0CAE" w14:textId="77777777" w:rsidR="00AD1F54" w:rsidRPr="00264D5D" w:rsidRDefault="00BA58C1" w:rsidP="00E7460C">
            <w:pPr>
              <w:pStyle w:val="GOSTTablenorm"/>
              <w:numPr>
                <w:ilvl w:val="0"/>
                <w:numId w:val="80"/>
              </w:numPr>
              <w:ind w:left="284" w:hanging="227"/>
              <w:rPr>
                <w:szCs w:val="22"/>
              </w:rPr>
            </w:pPr>
            <w:r w:rsidRPr="00264D5D">
              <w:rPr>
                <w:szCs w:val="22"/>
              </w:rPr>
              <w:t>ИВнФДБ</w:t>
            </w:r>
          </w:p>
        </w:tc>
      </w:tr>
    </w:tbl>
    <w:p w14:paraId="6C5D4658" w14:textId="77777777" w:rsidR="00AD1F54" w:rsidRPr="00264D5D" w:rsidRDefault="00941227">
      <w:pPr>
        <w:pStyle w:val="31"/>
      </w:pPr>
      <w:r w:rsidRPr="00264D5D">
        <w:t xml:space="preserve"> </w:t>
      </w:r>
      <w:bookmarkStart w:id="911" w:name="_Toc111480294"/>
      <w:bookmarkStart w:id="912" w:name="_Toc115357141"/>
      <w:bookmarkStart w:id="913" w:name="_Toc219309510"/>
      <w:r w:rsidRPr="00264D5D">
        <w:t>Описание комплексного типа «tCntrlNf»</w:t>
      </w:r>
      <w:bookmarkEnd w:id="911"/>
      <w:bookmarkEnd w:id="912"/>
      <w:bookmarkEnd w:id="913"/>
    </w:p>
    <w:p w14:paraId="51609973" w14:textId="77777777" w:rsidR="00AD1F54" w:rsidRPr="00264D5D" w:rsidRDefault="00941227">
      <w:pPr>
        <w:pStyle w:val="ASFKNormal"/>
        <w:spacing w:before="60" w:after="120"/>
        <w:contextualSpacing w:val="0"/>
        <w:jc w:val="both"/>
        <w:rPr>
          <w:sz w:val="24"/>
          <w:szCs w:val="24"/>
        </w:rPr>
      </w:pPr>
      <w:r w:rsidRPr="00264D5D">
        <w:rPr>
          <w:sz w:val="24"/>
          <w:szCs w:val="24"/>
        </w:rPr>
        <w:t xml:space="preserve">Описание комплексного типа «tCntrlNf» блока «Контроль ЗКР». </w:t>
      </w:r>
    </w:p>
    <w:p w14:paraId="01EBB7CF" w14:textId="04674133" w:rsidR="00AD1F54" w:rsidRPr="00264D5D" w:rsidRDefault="001E5517">
      <w:pPr>
        <w:pStyle w:val="GOSTNameTable"/>
        <w:numPr>
          <w:ilvl w:val="0"/>
          <w:numId w:val="2"/>
        </w:numPr>
        <w:tabs>
          <w:tab w:val="clear" w:pos="567"/>
          <w:tab w:val="num" w:pos="993"/>
        </w:tabs>
        <w:ind w:left="425" w:hanging="357"/>
      </w:pPr>
      <w:r w:rsidRPr="00264D5D">
        <w:rPr>
          <w:noProof/>
        </w:rPr>
        <w:fldChar w:fldCharType="begin"/>
      </w:r>
      <w:r w:rsidRPr="00264D5D">
        <w:rPr>
          <w:noProof/>
        </w:rPr>
        <w:instrText xml:space="preserve"> SEQ Таблица \* ARABIC </w:instrText>
      </w:r>
      <w:r w:rsidRPr="00264D5D">
        <w:rPr>
          <w:noProof/>
        </w:rPr>
        <w:fldChar w:fldCharType="separate"/>
      </w:r>
      <w:bookmarkStart w:id="914" w:name="_Ref106288961"/>
      <w:bookmarkStart w:id="915" w:name="_Toc219309102"/>
      <w:r w:rsidR="008D797C">
        <w:rPr>
          <w:noProof/>
        </w:rPr>
        <w:t>72</w:t>
      </w:r>
      <w:bookmarkEnd w:id="914"/>
      <w:r w:rsidRPr="00264D5D">
        <w:rPr>
          <w:noProof/>
        </w:rPr>
        <w:fldChar w:fldCharType="end"/>
      </w:r>
      <w:r w:rsidR="00941227" w:rsidRPr="00264D5D">
        <w:rPr>
          <w:rFonts w:eastAsia="Calibri"/>
          <w:szCs w:val="24"/>
        </w:rPr>
        <w:t xml:space="preserve"> – </w:t>
      </w:r>
      <w:r w:rsidR="00941227" w:rsidRPr="00264D5D">
        <w:t>Описание комплексного типа «tCntrlNf»</w:t>
      </w:r>
      <w:bookmarkEnd w:id="915"/>
    </w:p>
    <w:tbl>
      <w:tblPr>
        <w:tblStyle w:val="GOSTTable"/>
        <w:tblW w:w="5000" w:type="pct"/>
        <w:tblLayout w:type="fixed"/>
        <w:tblLook w:val="04A0" w:firstRow="1" w:lastRow="0" w:firstColumn="1" w:lastColumn="0" w:noHBand="0" w:noVBand="1"/>
      </w:tblPr>
      <w:tblGrid>
        <w:gridCol w:w="1705"/>
        <w:gridCol w:w="1705"/>
        <w:gridCol w:w="568"/>
        <w:gridCol w:w="1137"/>
        <w:gridCol w:w="567"/>
        <w:gridCol w:w="3968"/>
      </w:tblGrid>
      <w:tr w:rsidR="00AD1F54" w:rsidRPr="00264D5D" w14:paraId="6695171D"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3" w:type="pct"/>
          </w:tcPr>
          <w:p w14:paraId="4AF72A4F" w14:textId="77777777" w:rsidR="00AD1F54" w:rsidRPr="00264D5D" w:rsidRDefault="00941227">
            <w:pPr>
              <w:spacing w:before="60" w:after="60"/>
              <w:jc w:val="center"/>
              <w:rPr>
                <w:b/>
                <w:bCs/>
                <w:sz w:val="22"/>
                <w:szCs w:val="22"/>
              </w:rPr>
            </w:pPr>
            <w:r w:rsidRPr="00264D5D">
              <w:rPr>
                <w:b/>
                <w:bCs/>
                <w:sz w:val="22"/>
                <w:szCs w:val="22"/>
              </w:rPr>
              <w:t>Наименование элемента</w:t>
            </w:r>
          </w:p>
        </w:tc>
        <w:tc>
          <w:tcPr>
            <w:tcW w:w="883" w:type="pct"/>
          </w:tcPr>
          <w:p w14:paraId="071EF5B1" w14:textId="77777777" w:rsidR="00AD1F54" w:rsidRPr="00264D5D" w:rsidRDefault="00941227">
            <w:pPr>
              <w:spacing w:before="60" w:after="60"/>
              <w:jc w:val="center"/>
              <w:rPr>
                <w:b/>
                <w:bCs/>
                <w:sz w:val="22"/>
                <w:szCs w:val="22"/>
              </w:rPr>
            </w:pPr>
            <w:r w:rsidRPr="00264D5D">
              <w:rPr>
                <w:b/>
                <w:bCs/>
                <w:sz w:val="22"/>
                <w:szCs w:val="22"/>
              </w:rPr>
              <w:t>Сокращенное наименование (код) элемента</w:t>
            </w:r>
          </w:p>
        </w:tc>
        <w:tc>
          <w:tcPr>
            <w:tcW w:w="294" w:type="pct"/>
          </w:tcPr>
          <w:p w14:paraId="49C43B60" w14:textId="77777777" w:rsidR="00AD1F54" w:rsidRPr="00264D5D" w:rsidRDefault="00941227">
            <w:pPr>
              <w:spacing w:before="60" w:after="60"/>
              <w:jc w:val="center"/>
              <w:rPr>
                <w:b/>
                <w:bCs/>
                <w:sz w:val="22"/>
                <w:szCs w:val="22"/>
              </w:rPr>
            </w:pPr>
            <w:r w:rsidRPr="00264D5D">
              <w:rPr>
                <w:b/>
                <w:bCs/>
                <w:sz w:val="22"/>
                <w:szCs w:val="22"/>
              </w:rPr>
              <w:t>Тип</w:t>
            </w:r>
          </w:p>
        </w:tc>
        <w:tc>
          <w:tcPr>
            <w:tcW w:w="589" w:type="pct"/>
          </w:tcPr>
          <w:p w14:paraId="0826B4EF" w14:textId="77777777" w:rsidR="00AD1F54" w:rsidRPr="00264D5D" w:rsidRDefault="00941227">
            <w:pPr>
              <w:spacing w:before="60" w:after="60"/>
              <w:jc w:val="center"/>
              <w:rPr>
                <w:b/>
                <w:bCs/>
                <w:sz w:val="22"/>
                <w:szCs w:val="22"/>
              </w:rPr>
            </w:pPr>
            <w:r w:rsidRPr="00264D5D">
              <w:rPr>
                <w:b/>
                <w:bCs/>
                <w:sz w:val="22"/>
                <w:szCs w:val="22"/>
              </w:rPr>
              <w:t>Формат элемента</w:t>
            </w:r>
          </w:p>
        </w:tc>
        <w:tc>
          <w:tcPr>
            <w:tcW w:w="294" w:type="pct"/>
          </w:tcPr>
          <w:p w14:paraId="4FF7ED3F" w14:textId="77777777" w:rsidR="00AD1F54" w:rsidRPr="00264D5D" w:rsidRDefault="00941227">
            <w:pPr>
              <w:spacing w:before="60" w:after="60"/>
              <w:jc w:val="center"/>
              <w:rPr>
                <w:b/>
                <w:bCs/>
                <w:sz w:val="22"/>
                <w:szCs w:val="22"/>
              </w:rPr>
            </w:pPr>
            <w:r w:rsidRPr="00264D5D">
              <w:rPr>
                <w:b/>
                <w:bCs/>
                <w:sz w:val="22"/>
                <w:szCs w:val="22"/>
              </w:rPr>
              <w:t>Обязательность</w:t>
            </w:r>
          </w:p>
        </w:tc>
        <w:tc>
          <w:tcPr>
            <w:tcW w:w="2056" w:type="pct"/>
          </w:tcPr>
          <w:p w14:paraId="75555B1B" w14:textId="77777777" w:rsidR="00AD1F54" w:rsidRPr="00264D5D" w:rsidRDefault="00941227">
            <w:pPr>
              <w:spacing w:before="60" w:after="60"/>
              <w:jc w:val="center"/>
              <w:rPr>
                <w:b/>
                <w:bCs/>
                <w:sz w:val="22"/>
                <w:szCs w:val="22"/>
              </w:rPr>
            </w:pPr>
            <w:r w:rsidRPr="00264D5D">
              <w:rPr>
                <w:b/>
                <w:bCs/>
                <w:sz w:val="22"/>
                <w:szCs w:val="22"/>
              </w:rPr>
              <w:t>Дополнительная информация</w:t>
            </w:r>
          </w:p>
        </w:tc>
      </w:tr>
      <w:tr w:rsidR="00AD1F54" w:rsidRPr="00264D5D" w14:paraId="5344507B"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00A49A91" w14:textId="77777777" w:rsidR="00AD1F54" w:rsidRPr="00264D5D" w:rsidRDefault="00941227">
            <w:pPr>
              <w:spacing w:before="60" w:after="60"/>
              <w:rPr>
                <w:sz w:val="22"/>
                <w:szCs w:val="22"/>
              </w:rPr>
            </w:pPr>
            <w:r w:rsidRPr="00264D5D">
              <w:rPr>
                <w:sz w:val="22"/>
                <w:szCs w:val="22"/>
              </w:rPr>
              <w:t>Результаты контроля</w:t>
            </w:r>
          </w:p>
        </w:tc>
        <w:tc>
          <w:tcPr>
            <w:tcW w:w="883" w:type="pct"/>
          </w:tcPr>
          <w:p w14:paraId="45CA56C9" w14:textId="77777777" w:rsidR="00AD1F54" w:rsidRPr="00264D5D" w:rsidRDefault="00941227">
            <w:pPr>
              <w:spacing w:before="60" w:after="60"/>
              <w:rPr>
                <w:sz w:val="22"/>
                <w:szCs w:val="22"/>
              </w:rPr>
            </w:pPr>
            <w:r w:rsidRPr="00264D5D">
              <w:rPr>
                <w:sz w:val="22"/>
                <w:szCs w:val="22"/>
                <w:lang w:val="en-US"/>
              </w:rPr>
              <w:t>CntrlRslts</w:t>
            </w:r>
          </w:p>
        </w:tc>
        <w:tc>
          <w:tcPr>
            <w:tcW w:w="294" w:type="pct"/>
          </w:tcPr>
          <w:p w14:paraId="7E703A01" w14:textId="77777777" w:rsidR="00AD1F54" w:rsidRPr="00264D5D" w:rsidRDefault="00941227">
            <w:pPr>
              <w:spacing w:before="60" w:after="60"/>
              <w:jc w:val="center"/>
              <w:rPr>
                <w:sz w:val="22"/>
                <w:szCs w:val="22"/>
              </w:rPr>
            </w:pPr>
            <w:r w:rsidRPr="00264D5D">
              <w:rPr>
                <w:sz w:val="22"/>
                <w:szCs w:val="22"/>
              </w:rPr>
              <w:t>С</w:t>
            </w:r>
          </w:p>
        </w:tc>
        <w:tc>
          <w:tcPr>
            <w:tcW w:w="589" w:type="pct"/>
          </w:tcPr>
          <w:p w14:paraId="326E2DA1" w14:textId="77777777" w:rsidR="00AD1F54" w:rsidRPr="00264D5D" w:rsidRDefault="00941227">
            <w:pPr>
              <w:spacing w:before="60" w:after="60"/>
              <w:jc w:val="left"/>
              <w:rPr>
                <w:sz w:val="22"/>
                <w:szCs w:val="22"/>
              </w:rPr>
            </w:pPr>
            <w:r w:rsidRPr="00264D5D">
              <w:rPr>
                <w:sz w:val="22"/>
                <w:szCs w:val="22"/>
              </w:rPr>
              <w:t>tCntrRslts</w:t>
            </w:r>
          </w:p>
        </w:tc>
        <w:tc>
          <w:tcPr>
            <w:tcW w:w="294" w:type="pct"/>
          </w:tcPr>
          <w:p w14:paraId="47D9374E" w14:textId="77777777" w:rsidR="00AD1F54" w:rsidRPr="00264D5D" w:rsidRDefault="00941227">
            <w:pPr>
              <w:spacing w:before="60" w:after="60"/>
              <w:jc w:val="center"/>
              <w:rPr>
                <w:sz w:val="22"/>
                <w:szCs w:val="22"/>
              </w:rPr>
            </w:pPr>
            <w:r w:rsidRPr="00264D5D">
              <w:rPr>
                <w:sz w:val="22"/>
                <w:szCs w:val="22"/>
              </w:rPr>
              <w:t>О</w:t>
            </w:r>
          </w:p>
        </w:tc>
        <w:tc>
          <w:tcPr>
            <w:tcW w:w="2056" w:type="pct"/>
          </w:tcPr>
          <w:p w14:paraId="732B7F8D" w14:textId="77777777" w:rsidR="00AD1F54" w:rsidRPr="00264D5D" w:rsidRDefault="00941227">
            <w:pPr>
              <w:spacing w:before="60" w:after="60"/>
              <w:rPr>
                <w:sz w:val="22"/>
                <w:szCs w:val="22"/>
              </w:rPr>
            </w:pPr>
            <w:r w:rsidRPr="00264D5D">
              <w:rPr>
                <w:sz w:val="22"/>
                <w:szCs w:val="22"/>
              </w:rPr>
              <w:t>Результаты контроля.</w:t>
            </w:r>
          </w:p>
          <w:p w14:paraId="66C94AB8" w14:textId="49B68352" w:rsidR="00AD1F54" w:rsidRPr="00264D5D" w:rsidRDefault="00941227">
            <w:pPr>
              <w:spacing w:before="60" w:after="60"/>
              <w:rPr>
                <w:sz w:val="22"/>
                <w:szCs w:val="22"/>
              </w:rPr>
            </w:pPr>
            <w:r w:rsidRPr="00264D5D">
              <w:rPr>
                <w:sz w:val="22"/>
                <w:szCs w:val="22"/>
              </w:rPr>
              <w:t xml:space="preserve">Состав элемента представлен в таблице </w:t>
            </w:r>
            <w:r w:rsidRPr="00264D5D">
              <w:rPr>
                <w:b/>
                <w:bCs/>
                <w:sz w:val="22"/>
                <w:szCs w:val="22"/>
              </w:rPr>
              <w:fldChar w:fldCharType="begin"/>
            </w:r>
            <w:r w:rsidRPr="00264D5D">
              <w:rPr>
                <w:b/>
                <w:bCs/>
                <w:sz w:val="22"/>
                <w:szCs w:val="22"/>
              </w:rPr>
              <w:instrText xml:space="preserve"> REF _Ref106288893 \h  \* MERGEFORMAT </w:instrText>
            </w:r>
            <w:r w:rsidRPr="00264D5D">
              <w:rPr>
                <w:b/>
                <w:bCs/>
                <w:sz w:val="22"/>
                <w:szCs w:val="22"/>
              </w:rPr>
            </w:r>
            <w:r w:rsidRPr="00264D5D">
              <w:rPr>
                <w:b/>
                <w:bCs/>
                <w:sz w:val="22"/>
                <w:szCs w:val="22"/>
              </w:rPr>
              <w:fldChar w:fldCharType="separate"/>
            </w:r>
            <w:r w:rsidR="008D797C" w:rsidRPr="008D797C">
              <w:rPr>
                <w:b/>
                <w:bCs/>
                <w:sz w:val="22"/>
                <w:szCs w:val="22"/>
              </w:rPr>
              <w:t>73</w:t>
            </w:r>
            <w:r w:rsidRPr="00264D5D">
              <w:rPr>
                <w:b/>
                <w:bCs/>
                <w:sz w:val="22"/>
                <w:szCs w:val="22"/>
              </w:rPr>
              <w:fldChar w:fldCharType="end"/>
            </w:r>
          </w:p>
        </w:tc>
      </w:tr>
      <w:tr w:rsidR="00AD1F54" w:rsidRPr="00264D5D" w14:paraId="18A593B1"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3" w:type="pct"/>
          </w:tcPr>
          <w:p w14:paraId="7ED05E24" w14:textId="77777777" w:rsidR="00AD1F54" w:rsidRPr="00264D5D" w:rsidRDefault="00941227">
            <w:pPr>
              <w:spacing w:before="60" w:after="60"/>
              <w:rPr>
                <w:sz w:val="22"/>
                <w:szCs w:val="22"/>
              </w:rPr>
            </w:pPr>
            <w:r w:rsidRPr="00264D5D">
              <w:rPr>
                <w:sz w:val="22"/>
                <w:szCs w:val="22"/>
              </w:rPr>
              <w:t>Информация о рисках</w:t>
            </w:r>
          </w:p>
        </w:tc>
        <w:tc>
          <w:tcPr>
            <w:tcW w:w="883" w:type="pct"/>
          </w:tcPr>
          <w:p w14:paraId="1AB874A8" w14:textId="77777777" w:rsidR="00AD1F54" w:rsidRPr="00264D5D" w:rsidRDefault="00941227">
            <w:pPr>
              <w:spacing w:before="60" w:after="60"/>
              <w:rPr>
                <w:rFonts w:eastAsia="Calibri"/>
                <w:color w:val="000000"/>
                <w:sz w:val="22"/>
                <w:szCs w:val="22"/>
              </w:rPr>
            </w:pPr>
            <w:r w:rsidRPr="00264D5D">
              <w:rPr>
                <w:rFonts w:eastAsia="Calibri"/>
                <w:color w:val="000000"/>
                <w:sz w:val="22"/>
                <w:szCs w:val="22"/>
              </w:rPr>
              <w:t>RsksNf</w:t>
            </w:r>
          </w:p>
        </w:tc>
        <w:tc>
          <w:tcPr>
            <w:tcW w:w="294" w:type="pct"/>
          </w:tcPr>
          <w:p w14:paraId="316001F6" w14:textId="77777777" w:rsidR="00AD1F54" w:rsidRPr="00264D5D" w:rsidRDefault="00941227">
            <w:pPr>
              <w:spacing w:before="60" w:after="60"/>
              <w:jc w:val="center"/>
              <w:rPr>
                <w:sz w:val="22"/>
                <w:szCs w:val="22"/>
              </w:rPr>
            </w:pPr>
            <w:r w:rsidRPr="00264D5D">
              <w:rPr>
                <w:sz w:val="22"/>
                <w:szCs w:val="22"/>
              </w:rPr>
              <w:t>С</w:t>
            </w:r>
          </w:p>
        </w:tc>
        <w:tc>
          <w:tcPr>
            <w:tcW w:w="589" w:type="pct"/>
          </w:tcPr>
          <w:p w14:paraId="4B38054C" w14:textId="77777777" w:rsidR="00AD1F54" w:rsidRPr="00264D5D" w:rsidRDefault="00941227">
            <w:pPr>
              <w:spacing w:before="60" w:after="60"/>
              <w:jc w:val="left"/>
              <w:rPr>
                <w:sz w:val="22"/>
                <w:szCs w:val="22"/>
              </w:rPr>
            </w:pPr>
            <w:r w:rsidRPr="00264D5D">
              <w:rPr>
                <w:sz w:val="22"/>
                <w:szCs w:val="22"/>
              </w:rPr>
              <w:t>tRskNfs</w:t>
            </w:r>
          </w:p>
        </w:tc>
        <w:tc>
          <w:tcPr>
            <w:tcW w:w="294" w:type="pct"/>
          </w:tcPr>
          <w:p w14:paraId="3F3000A9" w14:textId="77777777" w:rsidR="00AD1F54" w:rsidRPr="00264D5D" w:rsidRDefault="00941227">
            <w:pPr>
              <w:spacing w:before="60" w:after="60"/>
              <w:jc w:val="center"/>
              <w:rPr>
                <w:sz w:val="22"/>
                <w:szCs w:val="22"/>
              </w:rPr>
            </w:pPr>
            <w:r w:rsidRPr="00264D5D">
              <w:rPr>
                <w:sz w:val="22"/>
                <w:szCs w:val="22"/>
              </w:rPr>
              <w:t>Н</w:t>
            </w:r>
          </w:p>
        </w:tc>
        <w:tc>
          <w:tcPr>
            <w:tcW w:w="2056" w:type="pct"/>
          </w:tcPr>
          <w:p w14:paraId="2F963B3F" w14:textId="77777777" w:rsidR="00AD1F54" w:rsidRPr="00264D5D" w:rsidRDefault="00941227">
            <w:pPr>
              <w:spacing w:before="60" w:after="60"/>
              <w:rPr>
                <w:sz w:val="22"/>
                <w:szCs w:val="22"/>
              </w:rPr>
            </w:pPr>
            <w:r w:rsidRPr="00264D5D">
              <w:rPr>
                <w:sz w:val="22"/>
                <w:szCs w:val="22"/>
              </w:rPr>
              <w:t>Информация о рисках.</w:t>
            </w:r>
          </w:p>
          <w:p w14:paraId="316BB049" w14:textId="77777777" w:rsidR="00AD1F54" w:rsidRPr="00264D5D" w:rsidRDefault="00941227">
            <w:pPr>
              <w:spacing w:before="60" w:after="60"/>
              <w:rPr>
                <w:sz w:val="22"/>
                <w:szCs w:val="22"/>
              </w:rPr>
            </w:pPr>
            <w:r w:rsidRPr="00264D5D">
              <w:rPr>
                <w:sz w:val="22"/>
                <w:szCs w:val="22"/>
              </w:rPr>
              <w:t>Заполняется в случае формирования ЗКР ПБС ФБ.</w:t>
            </w:r>
          </w:p>
          <w:p w14:paraId="0B56B68A" w14:textId="43A51663" w:rsidR="00AD1F54" w:rsidRPr="00264D5D" w:rsidRDefault="00941227">
            <w:pPr>
              <w:spacing w:before="60" w:after="60"/>
              <w:rPr>
                <w:sz w:val="22"/>
                <w:szCs w:val="22"/>
              </w:rPr>
            </w:pPr>
            <w:r w:rsidRPr="00264D5D">
              <w:rPr>
                <w:sz w:val="22"/>
                <w:szCs w:val="22"/>
              </w:rPr>
              <w:t xml:space="preserve">Состав элемента представлен в таблице </w:t>
            </w:r>
            <w:r w:rsidRPr="00264D5D">
              <w:rPr>
                <w:b/>
                <w:bCs/>
                <w:sz w:val="22"/>
                <w:szCs w:val="22"/>
              </w:rPr>
              <w:fldChar w:fldCharType="begin"/>
            </w:r>
            <w:r w:rsidRPr="00264D5D">
              <w:rPr>
                <w:b/>
                <w:bCs/>
                <w:sz w:val="22"/>
                <w:szCs w:val="22"/>
              </w:rPr>
              <w:instrText xml:space="preserve"> REF _Ref111545773 \h  \* MERGEFORMAT </w:instrText>
            </w:r>
            <w:r w:rsidRPr="00264D5D">
              <w:rPr>
                <w:b/>
                <w:bCs/>
                <w:sz w:val="22"/>
                <w:szCs w:val="22"/>
              </w:rPr>
            </w:r>
            <w:r w:rsidRPr="00264D5D">
              <w:rPr>
                <w:b/>
                <w:bCs/>
                <w:sz w:val="22"/>
                <w:szCs w:val="22"/>
              </w:rPr>
              <w:fldChar w:fldCharType="separate"/>
            </w:r>
            <w:r w:rsidR="008D797C" w:rsidRPr="008D797C">
              <w:rPr>
                <w:b/>
                <w:bCs/>
                <w:sz w:val="22"/>
                <w:szCs w:val="22"/>
              </w:rPr>
              <w:t>75</w:t>
            </w:r>
            <w:r w:rsidRPr="00264D5D">
              <w:rPr>
                <w:b/>
                <w:bCs/>
                <w:sz w:val="22"/>
                <w:szCs w:val="22"/>
              </w:rPr>
              <w:fldChar w:fldCharType="end"/>
            </w:r>
          </w:p>
        </w:tc>
      </w:tr>
      <w:tr w:rsidR="00AD1F54" w:rsidRPr="00264D5D" w14:paraId="504DD098"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231FB2B0" w14:textId="77777777" w:rsidR="00AD1F54" w:rsidRPr="00264D5D" w:rsidRDefault="00941227">
            <w:pPr>
              <w:spacing w:before="60" w:after="60"/>
              <w:rPr>
                <w:sz w:val="22"/>
                <w:szCs w:val="22"/>
              </w:rPr>
            </w:pPr>
            <w:r w:rsidRPr="00264D5D">
              <w:rPr>
                <w:sz w:val="22"/>
                <w:szCs w:val="22"/>
              </w:rPr>
              <w:t>Номер версии БО</w:t>
            </w:r>
          </w:p>
        </w:tc>
        <w:tc>
          <w:tcPr>
            <w:tcW w:w="883" w:type="pct"/>
          </w:tcPr>
          <w:p w14:paraId="1216C50F" w14:textId="77777777" w:rsidR="00AD1F54" w:rsidRPr="00264D5D" w:rsidRDefault="00941227">
            <w:pPr>
              <w:spacing w:before="60" w:after="60"/>
              <w:rPr>
                <w:rFonts w:eastAsia="Calibri"/>
                <w:color w:val="000000"/>
                <w:sz w:val="22"/>
                <w:szCs w:val="22"/>
              </w:rPr>
            </w:pPr>
            <w:r w:rsidRPr="00264D5D">
              <w:rPr>
                <w:rFonts w:eastAsia="Calibri"/>
                <w:color w:val="000000"/>
                <w:sz w:val="22"/>
                <w:szCs w:val="22"/>
              </w:rPr>
              <w:t>BdgtOblgtnsInf_NmChng</w:t>
            </w:r>
          </w:p>
        </w:tc>
        <w:tc>
          <w:tcPr>
            <w:tcW w:w="294" w:type="pct"/>
          </w:tcPr>
          <w:p w14:paraId="0E928FFE" w14:textId="77777777" w:rsidR="00AD1F54" w:rsidRPr="00264D5D" w:rsidRDefault="00941227">
            <w:pPr>
              <w:spacing w:before="60" w:after="60"/>
              <w:jc w:val="center"/>
              <w:rPr>
                <w:sz w:val="22"/>
                <w:szCs w:val="22"/>
              </w:rPr>
            </w:pPr>
            <w:r w:rsidRPr="00264D5D">
              <w:rPr>
                <w:sz w:val="22"/>
                <w:szCs w:val="22"/>
              </w:rPr>
              <w:t>П</w:t>
            </w:r>
          </w:p>
        </w:tc>
        <w:tc>
          <w:tcPr>
            <w:tcW w:w="589" w:type="pct"/>
          </w:tcPr>
          <w:p w14:paraId="27AAB7F3" w14:textId="77777777" w:rsidR="00AD1F54" w:rsidRPr="00264D5D" w:rsidRDefault="00941227">
            <w:pPr>
              <w:spacing w:before="60" w:after="60"/>
              <w:jc w:val="left"/>
              <w:rPr>
                <w:sz w:val="22"/>
                <w:szCs w:val="22"/>
              </w:rPr>
            </w:pPr>
            <w:r w:rsidRPr="00264D5D">
              <w:rPr>
                <w:sz w:val="22"/>
                <w:szCs w:val="22"/>
              </w:rPr>
              <w:t>Т(1-</w:t>
            </w:r>
            <w:r w:rsidRPr="00264D5D">
              <w:rPr>
                <w:sz w:val="22"/>
                <w:szCs w:val="22"/>
                <w:lang w:val="en-US"/>
              </w:rPr>
              <w:t>7</w:t>
            </w:r>
            <w:r w:rsidRPr="00264D5D">
              <w:rPr>
                <w:sz w:val="22"/>
                <w:szCs w:val="22"/>
              </w:rPr>
              <w:t>)</w:t>
            </w:r>
          </w:p>
        </w:tc>
        <w:tc>
          <w:tcPr>
            <w:tcW w:w="294" w:type="pct"/>
          </w:tcPr>
          <w:p w14:paraId="5B5FB35A" w14:textId="77777777" w:rsidR="00AD1F54" w:rsidRPr="00264D5D" w:rsidRDefault="00941227">
            <w:pPr>
              <w:spacing w:before="60" w:after="60"/>
              <w:jc w:val="center"/>
              <w:rPr>
                <w:sz w:val="22"/>
                <w:szCs w:val="22"/>
              </w:rPr>
            </w:pPr>
            <w:r w:rsidRPr="00264D5D">
              <w:rPr>
                <w:sz w:val="22"/>
                <w:szCs w:val="22"/>
              </w:rPr>
              <w:t>Н</w:t>
            </w:r>
          </w:p>
        </w:tc>
        <w:tc>
          <w:tcPr>
            <w:tcW w:w="2056" w:type="pct"/>
          </w:tcPr>
          <w:p w14:paraId="017067E1" w14:textId="77777777" w:rsidR="00AD1F54" w:rsidRPr="00264D5D" w:rsidRDefault="00941227" w:rsidP="00BA58C1">
            <w:pPr>
              <w:pStyle w:val="GOSTTableListMark1"/>
              <w:spacing w:before="60" w:after="60"/>
              <w:ind w:left="57" w:firstLine="0"/>
              <w:jc w:val="both"/>
              <w:rPr>
                <w:szCs w:val="22"/>
              </w:rPr>
            </w:pPr>
            <w:r w:rsidRPr="00264D5D">
              <w:rPr>
                <w:szCs w:val="22"/>
              </w:rPr>
              <w:t>Указывается номер версии БО, на</w:t>
            </w:r>
            <w:r w:rsidR="00BA58C1" w:rsidRPr="00264D5D">
              <w:rPr>
                <w:szCs w:val="22"/>
              </w:rPr>
              <w:t xml:space="preserve"> основании которого создана ЗКР</w:t>
            </w:r>
          </w:p>
        </w:tc>
      </w:tr>
      <w:tr w:rsidR="00AD1F54" w:rsidRPr="00264D5D" w14:paraId="2E0CC3C8"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3" w:type="pct"/>
          </w:tcPr>
          <w:p w14:paraId="5448375A" w14:textId="77777777" w:rsidR="00AD1F54" w:rsidRPr="00264D5D" w:rsidRDefault="00941227">
            <w:pPr>
              <w:spacing w:before="60" w:after="60"/>
              <w:rPr>
                <w:sz w:val="22"/>
                <w:szCs w:val="22"/>
              </w:rPr>
            </w:pPr>
            <w:r w:rsidRPr="00264D5D">
              <w:rPr>
                <w:sz w:val="22"/>
                <w:szCs w:val="22"/>
              </w:rPr>
              <w:t>Номер версии ДО</w:t>
            </w:r>
          </w:p>
        </w:tc>
        <w:tc>
          <w:tcPr>
            <w:tcW w:w="883" w:type="pct"/>
          </w:tcPr>
          <w:p w14:paraId="71805EB8" w14:textId="77777777" w:rsidR="00AD1F54" w:rsidRPr="00264D5D" w:rsidRDefault="00941227">
            <w:pPr>
              <w:spacing w:before="60" w:after="60"/>
              <w:rPr>
                <w:rFonts w:eastAsia="Calibri"/>
                <w:color w:val="000000"/>
                <w:sz w:val="22"/>
                <w:szCs w:val="22"/>
              </w:rPr>
            </w:pPr>
            <w:r w:rsidRPr="00264D5D">
              <w:rPr>
                <w:rFonts w:eastAsia="Calibri"/>
                <w:color w:val="000000"/>
                <w:sz w:val="22"/>
                <w:szCs w:val="22"/>
              </w:rPr>
              <w:t>DOInf_NmChng</w:t>
            </w:r>
          </w:p>
        </w:tc>
        <w:tc>
          <w:tcPr>
            <w:tcW w:w="294" w:type="pct"/>
          </w:tcPr>
          <w:p w14:paraId="64BEAFAE" w14:textId="77777777" w:rsidR="00AD1F54" w:rsidRPr="00264D5D" w:rsidRDefault="00941227">
            <w:pPr>
              <w:spacing w:before="60" w:after="60"/>
              <w:jc w:val="center"/>
              <w:rPr>
                <w:sz w:val="22"/>
                <w:szCs w:val="22"/>
              </w:rPr>
            </w:pPr>
            <w:r w:rsidRPr="00264D5D">
              <w:rPr>
                <w:sz w:val="22"/>
                <w:szCs w:val="22"/>
              </w:rPr>
              <w:t>П</w:t>
            </w:r>
          </w:p>
        </w:tc>
        <w:tc>
          <w:tcPr>
            <w:tcW w:w="589" w:type="pct"/>
          </w:tcPr>
          <w:p w14:paraId="0266835A" w14:textId="77777777" w:rsidR="00AD1F54" w:rsidRPr="00264D5D" w:rsidRDefault="00941227">
            <w:pPr>
              <w:spacing w:before="60" w:after="60"/>
              <w:jc w:val="left"/>
              <w:rPr>
                <w:sz w:val="22"/>
                <w:szCs w:val="22"/>
              </w:rPr>
            </w:pPr>
            <w:r w:rsidRPr="00264D5D">
              <w:rPr>
                <w:sz w:val="22"/>
                <w:szCs w:val="22"/>
              </w:rPr>
              <w:t>Т(1-</w:t>
            </w:r>
            <w:r w:rsidRPr="00264D5D">
              <w:rPr>
                <w:sz w:val="22"/>
                <w:szCs w:val="22"/>
                <w:lang w:val="en-US"/>
              </w:rPr>
              <w:t>7</w:t>
            </w:r>
            <w:r w:rsidRPr="00264D5D">
              <w:rPr>
                <w:sz w:val="22"/>
                <w:szCs w:val="22"/>
              </w:rPr>
              <w:t>)</w:t>
            </w:r>
          </w:p>
        </w:tc>
        <w:tc>
          <w:tcPr>
            <w:tcW w:w="294" w:type="pct"/>
          </w:tcPr>
          <w:p w14:paraId="31C9BEB5" w14:textId="77777777" w:rsidR="00AD1F54" w:rsidRPr="00264D5D" w:rsidRDefault="00941227">
            <w:pPr>
              <w:spacing w:before="60" w:after="60"/>
              <w:jc w:val="center"/>
              <w:rPr>
                <w:sz w:val="22"/>
                <w:szCs w:val="22"/>
              </w:rPr>
            </w:pPr>
            <w:r w:rsidRPr="00264D5D">
              <w:rPr>
                <w:sz w:val="22"/>
                <w:szCs w:val="22"/>
              </w:rPr>
              <w:t>Н</w:t>
            </w:r>
          </w:p>
        </w:tc>
        <w:tc>
          <w:tcPr>
            <w:tcW w:w="2056" w:type="pct"/>
          </w:tcPr>
          <w:p w14:paraId="23A5E346" w14:textId="77777777" w:rsidR="00AD1F54" w:rsidRPr="00264D5D" w:rsidRDefault="00941227" w:rsidP="00BA58C1">
            <w:pPr>
              <w:pStyle w:val="GOSTTableListMark1"/>
              <w:spacing w:before="60" w:after="60"/>
              <w:ind w:left="57" w:firstLine="0"/>
              <w:jc w:val="both"/>
              <w:rPr>
                <w:szCs w:val="22"/>
              </w:rPr>
            </w:pPr>
            <w:r w:rsidRPr="00264D5D">
              <w:rPr>
                <w:szCs w:val="22"/>
              </w:rPr>
              <w:t>Указывается номер версии ДО, на</w:t>
            </w:r>
            <w:r w:rsidR="00BA58C1" w:rsidRPr="00264D5D">
              <w:rPr>
                <w:szCs w:val="22"/>
              </w:rPr>
              <w:t xml:space="preserve"> основании которого создана ЗКР</w:t>
            </w:r>
          </w:p>
        </w:tc>
      </w:tr>
    </w:tbl>
    <w:p w14:paraId="3ABF90D8" w14:textId="77777777" w:rsidR="00AD1F54" w:rsidRPr="00264D5D" w:rsidRDefault="00941227">
      <w:pPr>
        <w:pStyle w:val="31"/>
      </w:pPr>
      <w:bookmarkStart w:id="916" w:name="_Toc106288741"/>
      <w:bookmarkStart w:id="917" w:name="_Toc111480295"/>
      <w:bookmarkStart w:id="918" w:name="_Toc115357142"/>
      <w:bookmarkStart w:id="919" w:name="_Toc219309511"/>
      <w:r w:rsidRPr="00264D5D">
        <w:lastRenderedPageBreak/>
        <w:t>Описание комплексного типа «tCntrRslts»</w:t>
      </w:r>
      <w:bookmarkEnd w:id="916"/>
      <w:bookmarkEnd w:id="917"/>
      <w:bookmarkEnd w:id="918"/>
      <w:bookmarkEnd w:id="919"/>
    </w:p>
    <w:p w14:paraId="6224895B" w14:textId="77777777" w:rsidR="00AD1F54" w:rsidRPr="00264D5D" w:rsidRDefault="00941227">
      <w:pPr>
        <w:pStyle w:val="ASFKNormal"/>
        <w:spacing w:before="60" w:after="120"/>
        <w:contextualSpacing w:val="0"/>
        <w:jc w:val="both"/>
        <w:rPr>
          <w:sz w:val="24"/>
          <w:szCs w:val="24"/>
        </w:rPr>
      </w:pPr>
      <w:r w:rsidRPr="00264D5D">
        <w:rPr>
          <w:sz w:val="24"/>
          <w:szCs w:val="24"/>
        </w:rPr>
        <w:t xml:space="preserve">Описание комплексного типа «tCntrRslts» блока «Результаты контроля». </w:t>
      </w:r>
    </w:p>
    <w:p w14:paraId="2EB64E90" w14:textId="62890070" w:rsidR="00AD1F54" w:rsidRPr="00264D5D" w:rsidRDefault="001E5517">
      <w:pPr>
        <w:pStyle w:val="GOSTNameTable"/>
        <w:numPr>
          <w:ilvl w:val="0"/>
          <w:numId w:val="2"/>
        </w:numPr>
        <w:tabs>
          <w:tab w:val="clear" w:pos="567"/>
          <w:tab w:val="num" w:pos="993"/>
        </w:tabs>
        <w:ind w:left="425" w:hanging="357"/>
      </w:pPr>
      <w:r w:rsidRPr="00264D5D">
        <w:rPr>
          <w:noProof/>
        </w:rPr>
        <w:fldChar w:fldCharType="begin"/>
      </w:r>
      <w:r w:rsidRPr="00264D5D">
        <w:rPr>
          <w:noProof/>
        </w:rPr>
        <w:instrText xml:space="preserve"> SEQ Таблица \* ARABIC </w:instrText>
      </w:r>
      <w:r w:rsidRPr="00264D5D">
        <w:rPr>
          <w:noProof/>
        </w:rPr>
        <w:fldChar w:fldCharType="separate"/>
      </w:r>
      <w:bookmarkStart w:id="920" w:name="_Ref106288893"/>
      <w:bookmarkStart w:id="921" w:name="_Toc219309103"/>
      <w:r w:rsidR="008D797C">
        <w:rPr>
          <w:noProof/>
        </w:rPr>
        <w:t>73</w:t>
      </w:r>
      <w:bookmarkEnd w:id="920"/>
      <w:r w:rsidRPr="00264D5D">
        <w:rPr>
          <w:noProof/>
        </w:rPr>
        <w:fldChar w:fldCharType="end"/>
      </w:r>
      <w:r w:rsidR="00941227" w:rsidRPr="00264D5D">
        <w:rPr>
          <w:rFonts w:eastAsia="Calibri"/>
          <w:szCs w:val="24"/>
        </w:rPr>
        <w:t xml:space="preserve"> – </w:t>
      </w:r>
      <w:r w:rsidR="00941227" w:rsidRPr="00264D5D">
        <w:t>Описание комплексного типа «tCntrRslts»</w:t>
      </w:r>
      <w:bookmarkEnd w:id="921"/>
    </w:p>
    <w:tbl>
      <w:tblPr>
        <w:tblStyle w:val="GOSTTable"/>
        <w:tblW w:w="5000" w:type="pct"/>
        <w:tblLayout w:type="fixed"/>
        <w:tblLook w:val="04A0" w:firstRow="1" w:lastRow="0" w:firstColumn="1" w:lastColumn="0" w:noHBand="0" w:noVBand="1"/>
      </w:tblPr>
      <w:tblGrid>
        <w:gridCol w:w="1709"/>
        <w:gridCol w:w="1703"/>
        <w:gridCol w:w="568"/>
        <w:gridCol w:w="1135"/>
        <w:gridCol w:w="567"/>
        <w:gridCol w:w="3968"/>
      </w:tblGrid>
      <w:tr w:rsidR="00AD1F54" w:rsidRPr="00264D5D" w14:paraId="4392B76D"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5" w:type="pct"/>
          </w:tcPr>
          <w:p w14:paraId="22F0B05F" w14:textId="77777777" w:rsidR="00AD1F54" w:rsidRPr="00264D5D" w:rsidRDefault="00941227">
            <w:pPr>
              <w:spacing w:before="60" w:after="60"/>
              <w:jc w:val="center"/>
              <w:rPr>
                <w:b/>
                <w:bCs/>
                <w:sz w:val="22"/>
                <w:szCs w:val="22"/>
              </w:rPr>
            </w:pPr>
            <w:r w:rsidRPr="00264D5D">
              <w:rPr>
                <w:b/>
                <w:bCs/>
                <w:sz w:val="22"/>
                <w:szCs w:val="22"/>
              </w:rPr>
              <w:t>Наименование комплексного типа</w:t>
            </w:r>
          </w:p>
        </w:tc>
        <w:tc>
          <w:tcPr>
            <w:tcW w:w="882" w:type="pct"/>
          </w:tcPr>
          <w:p w14:paraId="06AAFFFC" w14:textId="77777777" w:rsidR="00AD1F54" w:rsidRPr="00264D5D" w:rsidRDefault="00941227">
            <w:pPr>
              <w:spacing w:before="60" w:after="60"/>
              <w:jc w:val="center"/>
              <w:rPr>
                <w:b/>
                <w:bCs/>
                <w:sz w:val="22"/>
                <w:szCs w:val="22"/>
              </w:rPr>
            </w:pPr>
            <w:r w:rsidRPr="00264D5D">
              <w:rPr>
                <w:b/>
                <w:bCs/>
                <w:sz w:val="22"/>
                <w:szCs w:val="22"/>
              </w:rPr>
              <w:t>Сокращенное наименование (код) элемента</w:t>
            </w:r>
          </w:p>
        </w:tc>
        <w:tc>
          <w:tcPr>
            <w:tcW w:w="294" w:type="pct"/>
          </w:tcPr>
          <w:p w14:paraId="692B275C" w14:textId="77777777" w:rsidR="00AD1F54" w:rsidRPr="00264D5D" w:rsidRDefault="00941227">
            <w:pPr>
              <w:spacing w:before="60" w:after="60"/>
              <w:jc w:val="center"/>
              <w:rPr>
                <w:b/>
                <w:bCs/>
                <w:sz w:val="22"/>
                <w:szCs w:val="22"/>
              </w:rPr>
            </w:pPr>
            <w:r w:rsidRPr="00264D5D">
              <w:rPr>
                <w:b/>
                <w:bCs/>
                <w:sz w:val="22"/>
                <w:szCs w:val="22"/>
              </w:rPr>
              <w:t>Тип</w:t>
            </w:r>
          </w:p>
        </w:tc>
        <w:tc>
          <w:tcPr>
            <w:tcW w:w="588" w:type="pct"/>
          </w:tcPr>
          <w:p w14:paraId="3791D2D5" w14:textId="77777777" w:rsidR="00AD1F54" w:rsidRPr="00264D5D" w:rsidRDefault="00941227">
            <w:pPr>
              <w:spacing w:before="60" w:after="60"/>
              <w:jc w:val="center"/>
              <w:rPr>
                <w:b/>
                <w:bCs/>
                <w:sz w:val="22"/>
                <w:szCs w:val="22"/>
              </w:rPr>
            </w:pPr>
            <w:r w:rsidRPr="00264D5D">
              <w:rPr>
                <w:b/>
                <w:bCs/>
                <w:sz w:val="22"/>
                <w:szCs w:val="22"/>
              </w:rPr>
              <w:t>Формат элемента</w:t>
            </w:r>
          </w:p>
        </w:tc>
        <w:tc>
          <w:tcPr>
            <w:tcW w:w="294" w:type="pct"/>
          </w:tcPr>
          <w:p w14:paraId="70520A1F" w14:textId="77777777" w:rsidR="00AD1F54" w:rsidRPr="00264D5D" w:rsidRDefault="00941227">
            <w:pPr>
              <w:spacing w:before="60" w:after="60"/>
              <w:jc w:val="center"/>
              <w:rPr>
                <w:b/>
                <w:bCs/>
                <w:sz w:val="22"/>
                <w:szCs w:val="22"/>
              </w:rPr>
            </w:pPr>
            <w:r w:rsidRPr="00264D5D">
              <w:rPr>
                <w:b/>
                <w:bCs/>
                <w:sz w:val="22"/>
                <w:szCs w:val="22"/>
              </w:rPr>
              <w:t>Обязательность</w:t>
            </w:r>
          </w:p>
        </w:tc>
        <w:tc>
          <w:tcPr>
            <w:tcW w:w="2056" w:type="pct"/>
          </w:tcPr>
          <w:p w14:paraId="165B31D0" w14:textId="77777777" w:rsidR="00AD1F54" w:rsidRPr="00264D5D" w:rsidRDefault="00941227">
            <w:pPr>
              <w:spacing w:before="60" w:after="60"/>
              <w:jc w:val="center"/>
              <w:rPr>
                <w:b/>
                <w:bCs/>
                <w:sz w:val="22"/>
                <w:szCs w:val="22"/>
              </w:rPr>
            </w:pPr>
            <w:r w:rsidRPr="00264D5D">
              <w:rPr>
                <w:b/>
                <w:bCs/>
                <w:sz w:val="22"/>
                <w:szCs w:val="22"/>
              </w:rPr>
              <w:t>Дополнительная информация</w:t>
            </w:r>
          </w:p>
        </w:tc>
      </w:tr>
      <w:tr w:rsidR="00AD1F54" w:rsidRPr="00264D5D" w14:paraId="737A1AE3"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5" w:type="pct"/>
          </w:tcPr>
          <w:p w14:paraId="6E93B9A5" w14:textId="77777777" w:rsidR="00AD1F54" w:rsidRPr="00264D5D" w:rsidRDefault="00941227">
            <w:pPr>
              <w:spacing w:before="60" w:after="60"/>
              <w:rPr>
                <w:sz w:val="22"/>
                <w:szCs w:val="22"/>
              </w:rPr>
            </w:pPr>
            <w:r w:rsidRPr="00264D5D">
              <w:rPr>
                <w:sz w:val="22"/>
                <w:szCs w:val="22"/>
              </w:rPr>
              <w:t>tCntrRslts</w:t>
            </w:r>
          </w:p>
        </w:tc>
        <w:tc>
          <w:tcPr>
            <w:tcW w:w="882" w:type="pct"/>
          </w:tcPr>
          <w:p w14:paraId="3445E21B" w14:textId="77777777" w:rsidR="00AD1F54" w:rsidRPr="00264D5D" w:rsidRDefault="00941227">
            <w:pPr>
              <w:spacing w:before="60" w:after="60"/>
              <w:rPr>
                <w:sz w:val="22"/>
                <w:szCs w:val="22"/>
              </w:rPr>
            </w:pPr>
            <w:r w:rsidRPr="00264D5D">
              <w:rPr>
                <w:sz w:val="22"/>
                <w:szCs w:val="22"/>
              </w:rPr>
              <w:t>CntrRslts_ITEM</w:t>
            </w:r>
          </w:p>
        </w:tc>
        <w:tc>
          <w:tcPr>
            <w:tcW w:w="294" w:type="pct"/>
          </w:tcPr>
          <w:p w14:paraId="780006B0" w14:textId="77777777" w:rsidR="00AD1F54" w:rsidRPr="00264D5D" w:rsidRDefault="00941227">
            <w:pPr>
              <w:spacing w:before="60" w:after="60"/>
              <w:jc w:val="center"/>
              <w:rPr>
                <w:sz w:val="22"/>
                <w:szCs w:val="22"/>
              </w:rPr>
            </w:pPr>
            <w:r w:rsidRPr="00264D5D">
              <w:rPr>
                <w:sz w:val="22"/>
                <w:szCs w:val="22"/>
              </w:rPr>
              <w:t>С</w:t>
            </w:r>
          </w:p>
        </w:tc>
        <w:tc>
          <w:tcPr>
            <w:tcW w:w="588" w:type="pct"/>
          </w:tcPr>
          <w:p w14:paraId="340D88D2" w14:textId="77777777" w:rsidR="00AD1F54" w:rsidRPr="00264D5D" w:rsidRDefault="00941227">
            <w:pPr>
              <w:spacing w:before="60" w:after="60"/>
              <w:jc w:val="left"/>
              <w:rPr>
                <w:sz w:val="22"/>
                <w:szCs w:val="22"/>
              </w:rPr>
            </w:pPr>
            <w:r w:rsidRPr="00264D5D">
              <w:rPr>
                <w:sz w:val="22"/>
                <w:szCs w:val="22"/>
              </w:rPr>
              <w:t>tCntrRslts_ITEM</w:t>
            </w:r>
          </w:p>
        </w:tc>
        <w:tc>
          <w:tcPr>
            <w:tcW w:w="294" w:type="pct"/>
          </w:tcPr>
          <w:p w14:paraId="0646B5F0" w14:textId="77777777" w:rsidR="00AD1F54" w:rsidRPr="00264D5D" w:rsidRDefault="00941227">
            <w:pPr>
              <w:spacing w:before="60" w:after="60"/>
              <w:jc w:val="center"/>
              <w:rPr>
                <w:sz w:val="22"/>
                <w:szCs w:val="22"/>
              </w:rPr>
            </w:pPr>
            <w:r w:rsidRPr="00264D5D">
              <w:rPr>
                <w:sz w:val="22"/>
                <w:szCs w:val="22"/>
              </w:rPr>
              <w:t>ОМ</w:t>
            </w:r>
          </w:p>
        </w:tc>
        <w:tc>
          <w:tcPr>
            <w:tcW w:w="2056" w:type="pct"/>
          </w:tcPr>
          <w:p w14:paraId="61BE5CE7" w14:textId="77777777" w:rsidR="00AD1F54" w:rsidRPr="00264D5D" w:rsidRDefault="00941227">
            <w:pPr>
              <w:spacing w:before="60" w:after="60"/>
              <w:rPr>
                <w:sz w:val="22"/>
                <w:szCs w:val="22"/>
              </w:rPr>
            </w:pPr>
            <w:r w:rsidRPr="00264D5D">
              <w:rPr>
                <w:sz w:val="22"/>
                <w:szCs w:val="22"/>
              </w:rPr>
              <w:t>Результаты контроля.</w:t>
            </w:r>
          </w:p>
          <w:p w14:paraId="5EFEE3E8" w14:textId="3CE714FA" w:rsidR="00AD1F54" w:rsidRPr="00264D5D" w:rsidRDefault="00941227">
            <w:pPr>
              <w:spacing w:before="60" w:after="60"/>
              <w:rPr>
                <w:sz w:val="22"/>
                <w:szCs w:val="22"/>
              </w:rPr>
            </w:pPr>
            <w:r w:rsidRPr="00264D5D">
              <w:rPr>
                <w:sz w:val="22"/>
                <w:szCs w:val="22"/>
              </w:rPr>
              <w:t xml:space="preserve">Состав элемента представлен в таблице </w:t>
            </w:r>
            <w:r w:rsidRPr="00264D5D">
              <w:rPr>
                <w:b/>
                <w:bCs/>
                <w:sz w:val="22"/>
                <w:szCs w:val="22"/>
              </w:rPr>
              <w:fldChar w:fldCharType="begin"/>
            </w:r>
            <w:r w:rsidRPr="00264D5D">
              <w:rPr>
                <w:b/>
                <w:bCs/>
                <w:sz w:val="22"/>
                <w:szCs w:val="22"/>
              </w:rPr>
              <w:instrText xml:space="preserve"> REF _Ref106288894 \h  \* MERGEFORMAT </w:instrText>
            </w:r>
            <w:r w:rsidRPr="00264D5D">
              <w:rPr>
                <w:b/>
                <w:bCs/>
                <w:sz w:val="22"/>
                <w:szCs w:val="22"/>
              </w:rPr>
            </w:r>
            <w:r w:rsidRPr="00264D5D">
              <w:rPr>
                <w:b/>
                <w:bCs/>
                <w:sz w:val="22"/>
                <w:szCs w:val="22"/>
              </w:rPr>
              <w:fldChar w:fldCharType="separate"/>
            </w:r>
            <w:r w:rsidR="008D797C" w:rsidRPr="008D797C">
              <w:rPr>
                <w:b/>
                <w:bCs/>
                <w:sz w:val="22"/>
                <w:szCs w:val="22"/>
              </w:rPr>
              <w:t>74</w:t>
            </w:r>
            <w:r w:rsidRPr="00264D5D">
              <w:rPr>
                <w:b/>
                <w:bCs/>
                <w:sz w:val="22"/>
                <w:szCs w:val="22"/>
              </w:rPr>
              <w:fldChar w:fldCharType="end"/>
            </w:r>
          </w:p>
        </w:tc>
      </w:tr>
    </w:tbl>
    <w:p w14:paraId="2E666DFA" w14:textId="77777777" w:rsidR="00AD1F54" w:rsidRPr="00264D5D" w:rsidRDefault="00941227">
      <w:pPr>
        <w:pStyle w:val="31"/>
      </w:pPr>
      <w:bookmarkStart w:id="922" w:name="_Toc106288742"/>
      <w:bookmarkStart w:id="923" w:name="_Toc111480296"/>
      <w:bookmarkStart w:id="924" w:name="_Toc115357143"/>
      <w:bookmarkStart w:id="925" w:name="_Toc219309512"/>
      <w:r w:rsidRPr="00264D5D">
        <w:t>Описание комплексного типа «tCntrRslts_ITEM»</w:t>
      </w:r>
      <w:bookmarkEnd w:id="922"/>
      <w:bookmarkEnd w:id="923"/>
      <w:bookmarkEnd w:id="924"/>
      <w:bookmarkEnd w:id="925"/>
    </w:p>
    <w:p w14:paraId="2A95DEDF" w14:textId="77777777" w:rsidR="00AD1F54" w:rsidRPr="00264D5D" w:rsidRDefault="00941227">
      <w:pPr>
        <w:pStyle w:val="ASFKNormal"/>
        <w:spacing w:before="60" w:after="120"/>
        <w:contextualSpacing w:val="0"/>
        <w:jc w:val="both"/>
        <w:rPr>
          <w:sz w:val="24"/>
          <w:szCs w:val="24"/>
        </w:rPr>
      </w:pPr>
      <w:r w:rsidRPr="00264D5D">
        <w:rPr>
          <w:sz w:val="24"/>
          <w:szCs w:val="24"/>
        </w:rPr>
        <w:t xml:space="preserve">Описание комплексного типа «tCntrRslts_ITEM» блока «Результаты контроля» </w:t>
      </w:r>
    </w:p>
    <w:p w14:paraId="5293DCB0" w14:textId="10F1286A" w:rsidR="00AD1F54" w:rsidRPr="00264D5D" w:rsidRDefault="001E5517">
      <w:pPr>
        <w:pStyle w:val="GOSTNameTable"/>
        <w:numPr>
          <w:ilvl w:val="0"/>
          <w:numId w:val="2"/>
        </w:numPr>
        <w:tabs>
          <w:tab w:val="clear" w:pos="567"/>
          <w:tab w:val="num" w:pos="993"/>
        </w:tabs>
        <w:ind w:left="425" w:hanging="357"/>
      </w:pPr>
      <w:r w:rsidRPr="00264D5D">
        <w:rPr>
          <w:noProof/>
        </w:rPr>
        <w:fldChar w:fldCharType="begin"/>
      </w:r>
      <w:r w:rsidRPr="00264D5D">
        <w:rPr>
          <w:noProof/>
        </w:rPr>
        <w:instrText xml:space="preserve"> SEQ Таблица \* ARABIC </w:instrText>
      </w:r>
      <w:r w:rsidRPr="00264D5D">
        <w:rPr>
          <w:noProof/>
        </w:rPr>
        <w:fldChar w:fldCharType="separate"/>
      </w:r>
      <w:bookmarkStart w:id="926" w:name="_Ref106288894"/>
      <w:bookmarkStart w:id="927" w:name="_Toc219309104"/>
      <w:r w:rsidR="008D797C">
        <w:rPr>
          <w:noProof/>
        </w:rPr>
        <w:t>74</w:t>
      </w:r>
      <w:bookmarkEnd w:id="926"/>
      <w:r w:rsidRPr="00264D5D">
        <w:rPr>
          <w:noProof/>
        </w:rPr>
        <w:fldChar w:fldCharType="end"/>
      </w:r>
      <w:r w:rsidR="00941227" w:rsidRPr="00264D5D">
        <w:rPr>
          <w:rFonts w:eastAsia="Calibri"/>
          <w:szCs w:val="24"/>
        </w:rPr>
        <w:t xml:space="preserve"> – </w:t>
      </w:r>
      <w:r w:rsidR="00941227" w:rsidRPr="00264D5D">
        <w:t>Описание комплексного типа «tCntrRslts_ITEM»</w:t>
      </w:r>
      <w:bookmarkEnd w:id="927"/>
    </w:p>
    <w:tbl>
      <w:tblPr>
        <w:tblStyle w:val="GOSTTable"/>
        <w:tblW w:w="5000" w:type="pct"/>
        <w:tblLayout w:type="fixed"/>
        <w:tblLook w:val="04A0" w:firstRow="1" w:lastRow="0" w:firstColumn="1" w:lastColumn="0" w:noHBand="0" w:noVBand="1"/>
      </w:tblPr>
      <w:tblGrid>
        <w:gridCol w:w="1709"/>
        <w:gridCol w:w="1703"/>
        <w:gridCol w:w="568"/>
        <w:gridCol w:w="1135"/>
        <w:gridCol w:w="567"/>
        <w:gridCol w:w="3968"/>
      </w:tblGrid>
      <w:tr w:rsidR="00AD1F54" w:rsidRPr="00264D5D" w14:paraId="35455D1A"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5" w:type="pct"/>
          </w:tcPr>
          <w:p w14:paraId="0D863750" w14:textId="77777777" w:rsidR="00AD1F54" w:rsidRPr="00264D5D" w:rsidRDefault="00941227">
            <w:pPr>
              <w:spacing w:before="60" w:after="60"/>
              <w:jc w:val="center"/>
              <w:rPr>
                <w:b/>
                <w:bCs/>
                <w:sz w:val="22"/>
                <w:szCs w:val="22"/>
              </w:rPr>
            </w:pPr>
            <w:r w:rsidRPr="00264D5D">
              <w:rPr>
                <w:b/>
                <w:bCs/>
                <w:sz w:val="22"/>
                <w:szCs w:val="22"/>
              </w:rPr>
              <w:t>Наименование элемента</w:t>
            </w:r>
          </w:p>
        </w:tc>
        <w:tc>
          <w:tcPr>
            <w:tcW w:w="882" w:type="pct"/>
          </w:tcPr>
          <w:p w14:paraId="7104B6B3" w14:textId="77777777" w:rsidR="00AD1F54" w:rsidRPr="00264D5D" w:rsidRDefault="00941227">
            <w:pPr>
              <w:spacing w:before="60" w:after="60"/>
              <w:jc w:val="center"/>
              <w:rPr>
                <w:b/>
                <w:bCs/>
                <w:sz w:val="22"/>
                <w:szCs w:val="22"/>
              </w:rPr>
            </w:pPr>
            <w:r w:rsidRPr="00264D5D">
              <w:rPr>
                <w:b/>
                <w:bCs/>
                <w:sz w:val="22"/>
                <w:szCs w:val="22"/>
              </w:rPr>
              <w:t>Сокращенное наименование (код) элемента</w:t>
            </w:r>
          </w:p>
        </w:tc>
        <w:tc>
          <w:tcPr>
            <w:tcW w:w="294" w:type="pct"/>
          </w:tcPr>
          <w:p w14:paraId="5CE1EB89" w14:textId="77777777" w:rsidR="00AD1F54" w:rsidRPr="00264D5D" w:rsidRDefault="00941227">
            <w:pPr>
              <w:spacing w:before="60" w:after="60"/>
              <w:jc w:val="center"/>
              <w:rPr>
                <w:b/>
                <w:bCs/>
                <w:sz w:val="22"/>
                <w:szCs w:val="22"/>
              </w:rPr>
            </w:pPr>
            <w:r w:rsidRPr="00264D5D">
              <w:rPr>
                <w:b/>
                <w:bCs/>
                <w:sz w:val="22"/>
                <w:szCs w:val="22"/>
              </w:rPr>
              <w:t>Тип</w:t>
            </w:r>
          </w:p>
        </w:tc>
        <w:tc>
          <w:tcPr>
            <w:tcW w:w="588" w:type="pct"/>
          </w:tcPr>
          <w:p w14:paraId="6215C002" w14:textId="77777777" w:rsidR="00AD1F54" w:rsidRPr="00264D5D" w:rsidRDefault="00941227">
            <w:pPr>
              <w:spacing w:before="60" w:after="60"/>
              <w:jc w:val="center"/>
              <w:rPr>
                <w:b/>
                <w:bCs/>
                <w:sz w:val="22"/>
                <w:szCs w:val="22"/>
              </w:rPr>
            </w:pPr>
            <w:r w:rsidRPr="00264D5D">
              <w:rPr>
                <w:b/>
                <w:bCs/>
                <w:sz w:val="22"/>
                <w:szCs w:val="22"/>
              </w:rPr>
              <w:t>Формат элемента</w:t>
            </w:r>
          </w:p>
        </w:tc>
        <w:tc>
          <w:tcPr>
            <w:tcW w:w="294" w:type="pct"/>
          </w:tcPr>
          <w:p w14:paraId="7773F360" w14:textId="77777777" w:rsidR="00AD1F54" w:rsidRPr="00264D5D" w:rsidRDefault="00941227">
            <w:pPr>
              <w:spacing w:before="60" w:after="60"/>
              <w:jc w:val="center"/>
              <w:rPr>
                <w:b/>
                <w:bCs/>
                <w:sz w:val="22"/>
                <w:szCs w:val="22"/>
              </w:rPr>
            </w:pPr>
            <w:r w:rsidRPr="00264D5D">
              <w:rPr>
                <w:b/>
                <w:bCs/>
                <w:sz w:val="22"/>
                <w:szCs w:val="22"/>
              </w:rPr>
              <w:t>Обязательность</w:t>
            </w:r>
          </w:p>
        </w:tc>
        <w:tc>
          <w:tcPr>
            <w:tcW w:w="2056" w:type="pct"/>
          </w:tcPr>
          <w:p w14:paraId="364CA43C" w14:textId="77777777" w:rsidR="00AD1F54" w:rsidRPr="00264D5D" w:rsidRDefault="00941227">
            <w:pPr>
              <w:spacing w:before="60" w:after="60"/>
              <w:jc w:val="center"/>
              <w:rPr>
                <w:b/>
                <w:bCs/>
                <w:sz w:val="22"/>
                <w:szCs w:val="22"/>
              </w:rPr>
            </w:pPr>
            <w:r w:rsidRPr="00264D5D">
              <w:rPr>
                <w:b/>
                <w:bCs/>
                <w:sz w:val="22"/>
                <w:szCs w:val="22"/>
              </w:rPr>
              <w:t>Дополнительная информация</w:t>
            </w:r>
          </w:p>
        </w:tc>
      </w:tr>
      <w:tr w:rsidR="00AD1F54" w:rsidRPr="00264D5D" w14:paraId="350EEA43"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5" w:type="pct"/>
          </w:tcPr>
          <w:p w14:paraId="411176FA" w14:textId="77777777" w:rsidR="00AD1F54" w:rsidRPr="00264D5D" w:rsidRDefault="00941227">
            <w:pPr>
              <w:spacing w:before="60" w:after="60"/>
              <w:rPr>
                <w:sz w:val="22"/>
                <w:szCs w:val="22"/>
              </w:rPr>
            </w:pPr>
            <w:r w:rsidRPr="00264D5D">
              <w:rPr>
                <w:sz w:val="22"/>
                <w:szCs w:val="22"/>
              </w:rPr>
              <w:t>Код группы контролей</w:t>
            </w:r>
          </w:p>
        </w:tc>
        <w:tc>
          <w:tcPr>
            <w:tcW w:w="882" w:type="pct"/>
          </w:tcPr>
          <w:p w14:paraId="560E2811" w14:textId="77777777" w:rsidR="00AD1F54" w:rsidRPr="00264D5D" w:rsidRDefault="00941227">
            <w:pPr>
              <w:spacing w:before="60" w:after="60"/>
              <w:rPr>
                <w:sz w:val="22"/>
                <w:szCs w:val="22"/>
              </w:rPr>
            </w:pPr>
            <w:r w:rsidRPr="00264D5D">
              <w:rPr>
                <w:sz w:val="22"/>
                <w:szCs w:val="22"/>
              </w:rPr>
              <w:t>Grp_code</w:t>
            </w:r>
          </w:p>
        </w:tc>
        <w:tc>
          <w:tcPr>
            <w:tcW w:w="294" w:type="pct"/>
          </w:tcPr>
          <w:p w14:paraId="7823E672" w14:textId="77777777" w:rsidR="00AD1F54" w:rsidRPr="00264D5D" w:rsidRDefault="00941227">
            <w:pPr>
              <w:spacing w:before="60" w:after="60"/>
              <w:jc w:val="center"/>
              <w:rPr>
                <w:sz w:val="22"/>
                <w:szCs w:val="22"/>
              </w:rPr>
            </w:pPr>
            <w:r w:rsidRPr="00264D5D">
              <w:rPr>
                <w:sz w:val="22"/>
                <w:szCs w:val="22"/>
              </w:rPr>
              <w:t>П</w:t>
            </w:r>
          </w:p>
        </w:tc>
        <w:tc>
          <w:tcPr>
            <w:tcW w:w="588" w:type="pct"/>
          </w:tcPr>
          <w:p w14:paraId="144C8E31" w14:textId="77777777" w:rsidR="00AD1F54" w:rsidRPr="00264D5D" w:rsidRDefault="00941227">
            <w:pPr>
              <w:spacing w:before="60" w:after="60"/>
              <w:jc w:val="left"/>
              <w:rPr>
                <w:sz w:val="22"/>
                <w:szCs w:val="22"/>
              </w:rPr>
            </w:pPr>
            <w:r w:rsidRPr="00264D5D">
              <w:rPr>
                <w:sz w:val="22"/>
                <w:szCs w:val="22"/>
              </w:rPr>
              <w:t>Т(1-</w:t>
            </w:r>
            <w:r w:rsidRPr="00264D5D">
              <w:rPr>
                <w:sz w:val="22"/>
                <w:szCs w:val="22"/>
                <w:lang w:val="en-US"/>
              </w:rPr>
              <w:t>25</w:t>
            </w:r>
            <w:r w:rsidRPr="00264D5D">
              <w:rPr>
                <w:sz w:val="22"/>
                <w:szCs w:val="22"/>
              </w:rPr>
              <w:t>)</w:t>
            </w:r>
          </w:p>
        </w:tc>
        <w:tc>
          <w:tcPr>
            <w:tcW w:w="294" w:type="pct"/>
          </w:tcPr>
          <w:p w14:paraId="57F79B22" w14:textId="77777777" w:rsidR="00AD1F54" w:rsidRPr="00264D5D" w:rsidRDefault="00941227">
            <w:pPr>
              <w:spacing w:before="60" w:after="60"/>
              <w:jc w:val="center"/>
              <w:rPr>
                <w:sz w:val="22"/>
                <w:szCs w:val="22"/>
              </w:rPr>
            </w:pPr>
            <w:r w:rsidRPr="00264D5D">
              <w:rPr>
                <w:sz w:val="22"/>
                <w:szCs w:val="22"/>
              </w:rPr>
              <w:t>О</w:t>
            </w:r>
          </w:p>
        </w:tc>
        <w:tc>
          <w:tcPr>
            <w:tcW w:w="2056" w:type="pct"/>
          </w:tcPr>
          <w:p w14:paraId="51073D12" w14:textId="77777777" w:rsidR="00AD1F54" w:rsidRPr="00264D5D" w:rsidRDefault="00941227">
            <w:pPr>
              <w:spacing w:before="60" w:after="60"/>
              <w:rPr>
                <w:sz w:val="22"/>
                <w:szCs w:val="22"/>
              </w:rPr>
            </w:pPr>
            <w:r w:rsidRPr="00264D5D">
              <w:rPr>
                <w:sz w:val="22"/>
                <w:szCs w:val="22"/>
              </w:rPr>
              <w:t>Код группы контролей.</w:t>
            </w:r>
          </w:p>
          <w:p w14:paraId="1DBEAD97" w14:textId="77777777" w:rsidR="00AD1F54" w:rsidRPr="00264D5D" w:rsidRDefault="00941227">
            <w:pPr>
              <w:spacing w:before="60" w:after="60"/>
              <w:rPr>
                <w:sz w:val="22"/>
                <w:szCs w:val="22"/>
              </w:rPr>
            </w:pPr>
            <w:r w:rsidRPr="00264D5D">
              <w:rPr>
                <w:sz w:val="22"/>
                <w:szCs w:val="22"/>
              </w:rPr>
              <w:t>Указываются значения:</w:t>
            </w:r>
          </w:p>
          <w:p w14:paraId="3716295C" w14:textId="77777777" w:rsidR="00AD1F54" w:rsidRPr="00264D5D" w:rsidRDefault="00941227" w:rsidP="00E7460C">
            <w:pPr>
              <w:pStyle w:val="af5"/>
              <w:numPr>
                <w:ilvl w:val="0"/>
                <w:numId w:val="120"/>
              </w:numPr>
              <w:spacing w:before="60" w:after="60"/>
              <w:ind w:left="284" w:hanging="227"/>
              <w:contextualSpacing/>
              <w:jc w:val="both"/>
              <w:rPr>
                <w:sz w:val="22"/>
                <w:szCs w:val="22"/>
              </w:rPr>
            </w:pPr>
            <w:r w:rsidRPr="00264D5D">
              <w:rPr>
                <w:sz w:val="22"/>
                <w:szCs w:val="22"/>
              </w:rPr>
              <w:t xml:space="preserve">CTRL_257N_BO </w:t>
            </w:r>
            <w:r w:rsidR="00BA58C1" w:rsidRPr="00264D5D">
              <w:rPr>
                <w:sz w:val="22"/>
                <w:szCs w:val="22"/>
              </w:rPr>
              <w:t>– Группа</w:t>
            </w:r>
            <w:r w:rsidRPr="00264D5D">
              <w:rPr>
                <w:sz w:val="22"/>
                <w:szCs w:val="22"/>
              </w:rPr>
              <w:t xml:space="preserve"> 1.  Контроль на соответствие БО. Заполняется в случае формирования ЗКР ПБС ФБ.</w:t>
            </w:r>
          </w:p>
          <w:p w14:paraId="683D8E67" w14:textId="77777777" w:rsidR="00AD1F54" w:rsidRPr="00264D5D" w:rsidRDefault="00941227" w:rsidP="00E7460C">
            <w:pPr>
              <w:pStyle w:val="af5"/>
              <w:numPr>
                <w:ilvl w:val="0"/>
                <w:numId w:val="120"/>
              </w:numPr>
              <w:spacing w:before="60" w:after="60"/>
              <w:ind w:left="284" w:hanging="227"/>
              <w:contextualSpacing/>
              <w:jc w:val="both"/>
              <w:rPr>
                <w:sz w:val="22"/>
                <w:szCs w:val="22"/>
              </w:rPr>
            </w:pPr>
            <w:r w:rsidRPr="00264D5D">
              <w:rPr>
                <w:sz w:val="22"/>
                <w:szCs w:val="22"/>
              </w:rPr>
              <w:t xml:space="preserve">CTRL_257N_DO </w:t>
            </w:r>
            <w:r w:rsidR="00BA58C1" w:rsidRPr="00264D5D">
              <w:rPr>
                <w:sz w:val="22"/>
                <w:szCs w:val="22"/>
              </w:rPr>
              <w:t>– Группа</w:t>
            </w:r>
            <w:r w:rsidRPr="00264D5D">
              <w:rPr>
                <w:sz w:val="22"/>
                <w:szCs w:val="22"/>
              </w:rPr>
              <w:t xml:space="preserve"> 2. Контроль на соответствие ДО. Заполняется в случае формирования ЗКР ПБС ФБ.</w:t>
            </w:r>
          </w:p>
          <w:p w14:paraId="1C8CF969" w14:textId="77777777" w:rsidR="00AD1F54" w:rsidRPr="00264D5D" w:rsidRDefault="00941227" w:rsidP="00E7460C">
            <w:pPr>
              <w:pStyle w:val="af5"/>
              <w:numPr>
                <w:ilvl w:val="0"/>
                <w:numId w:val="120"/>
              </w:numPr>
              <w:spacing w:before="60" w:after="60"/>
              <w:ind w:left="284" w:hanging="227"/>
              <w:contextualSpacing/>
              <w:jc w:val="both"/>
              <w:rPr>
                <w:sz w:val="22"/>
                <w:szCs w:val="22"/>
              </w:rPr>
            </w:pPr>
            <w:r w:rsidRPr="00264D5D">
              <w:rPr>
                <w:sz w:val="22"/>
                <w:szCs w:val="22"/>
                <w:lang w:val="en-US"/>
              </w:rPr>
              <w:t xml:space="preserve">CTRL_DOC_FOUND_PURP </w:t>
            </w:r>
            <w:r w:rsidR="00BA58C1" w:rsidRPr="00264D5D">
              <w:rPr>
                <w:sz w:val="22"/>
                <w:szCs w:val="22"/>
                <w:lang w:val="en-US"/>
              </w:rPr>
              <w:t>– Группа</w:t>
            </w:r>
            <w:r w:rsidRPr="00264D5D">
              <w:rPr>
                <w:sz w:val="22"/>
                <w:szCs w:val="22"/>
                <w:lang w:val="en-US"/>
              </w:rPr>
              <w:t xml:space="preserve"> 3. </w:t>
            </w:r>
            <w:r w:rsidRPr="00264D5D">
              <w:rPr>
                <w:sz w:val="22"/>
                <w:szCs w:val="22"/>
              </w:rPr>
              <w:t>Контроль на соответствие документу-основанию (документу о приемке, условиям контракта) в части назначения платежа.</w:t>
            </w:r>
          </w:p>
          <w:p w14:paraId="6748EB83" w14:textId="77777777" w:rsidR="00AD1F54" w:rsidRPr="00264D5D" w:rsidRDefault="00941227" w:rsidP="00E7460C">
            <w:pPr>
              <w:pStyle w:val="af5"/>
              <w:numPr>
                <w:ilvl w:val="0"/>
                <w:numId w:val="120"/>
              </w:numPr>
              <w:spacing w:before="60" w:after="60"/>
              <w:ind w:left="284" w:hanging="227"/>
              <w:contextualSpacing/>
              <w:jc w:val="both"/>
              <w:rPr>
                <w:sz w:val="22"/>
                <w:szCs w:val="22"/>
              </w:rPr>
            </w:pPr>
            <w:r w:rsidRPr="00264D5D">
              <w:rPr>
                <w:sz w:val="22"/>
                <w:szCs w:val="22"/>
                <w:lang w:val="en-US"/>
              </w:rPr>
              <w:t xml:space="preserve">CTRL_DOC_FOUND_AMOUNT – </w:t>
            </w:r>
            <w:r w:rsidRPr="00264D5D">
              <w:rPr>
                <w:sz w:val="22"/>
                <w:szCs w:val="22"/>
              </w:rPr>
              <w:t>Группа</w:t>
            </w:r>
            <w:r w:rsidRPr="00264D5D">
              <w:rPr>
                <w:sz w:val="22"/>
                <w:szCs w:val="22"/>
                <w:lang w:val="en-US"/>
              </w:rPr>
              <w:t xml:space="preserve"> 4. </w:t>
            </w:r>
            <w:r w:rsidRPr="00264D5D">
              <w:rPr>
                <w:sz w:val="22"/>
                <w:szCs w:val="22"/>
              </w:rPr>
              <w:t>Контроль на соответствие документу-основанию (документу о приемке, условиям контракта) в части суммы.</w:t>
            </w:r>
          </w:p>
          <w:p w14:paraId="737FED88" w14:textId="77777777" w:rsidR="00AD1F54" w:rsidRPr="00264D5D" w:rsidRDefault="00941227" w:rsidP="00E7460C">
            <w:pPr>
              <w:pStyle w:val="af5"/>
              <w:numPr>
                <w:ilvl w:val="0"/>
                <w:numId w:val="120"/>
              </w:numPr>
              <w:spacing w:before="60" w:after="60"/>
              <w:ind w:left="284" w:hanging="227"/>
              <w:contextualSpacing/>
              <w:jc w:val="both"/>
              <w:rPr>
                <w:sz w:val="22"/>
                <w:szCs w:val="22"/>
              </w:rPr>
            </w:pPr>
            <w:r w:rsidRPr="00264D5D">
              <w:rPr>
                <w:sz w:val="22"/>
                <w:szCs w:val="22"/>
                <w:lang w:val="en-US"/>
              </w:rPr>
              <w:t xml:space="preserve">CTRL_DOC_FOUND_DET </w:t>
            </w:r>
            <w:r w:rsidR="00BA58C1" w:rsidRPr="00264D5D">
              <w:rPr>
                <w:sz w:val="22"/>
                <w:szCs w:val="22"/>
                <w:lang w:val="en-US"/>
              </w:rPr>
              <w:t>– Группа</w:t>
            </w:r>
            <w:r w:rsidRPr="00264D5D">
              <w:rPr>
                <w:sz w:val="22"/>
                <w:szCs w:val="22"/>
                <w:lang w:val="en-US"/>
              </w:rPr>
              <w:t xml:space="preserve"> 5. </w:t>
            </w:r>
            <w:r w:rsidRPr="00264D5D">
              <w:rPr>
                <w:sz w:val="22"/>
                <w:szCs w:val="22"/>
              </w:rPr>
              <w:t>Контроль на соответствие документу-основанию (документу о приемке, условиям контракта) в части реквизитов документов-оснований.</w:t>
            </w:r>
          </w:p>
          <w:p w14:paraId="0DC87EA8" w14:textId="77777777" w:rsidR="00AD1F54" w:rsidRPr="00264D5D" w:rsidRDefault="00941227" w:rsidP="00E7460C">
            <w:pPr>
              <w:pStyle w:val="af5"/>
              <w:numPr>
                <w:ilvl w:val="0"/>
                <w:numId w:val="120"/>
              </w:numPr>
              <w:spacing w:before="60" w:after="60"/>
              <w:ind w:left="284" w:hanging="227"/>
              <w:contextualSpacing/>
              <w:jc w:val="both"/>
              <w:rPr>
                <w:sz w:val="22"/>
                <w:szCs w:val="22"/>
              </w:rPr>
            </w:pPr>
            <w:r w:rsidRPr="00264D5D">
              <w:rPr>
                <w:sz w:val="22"/>
                <w:szCs w:val="22"/>
                <w:lang w:val="en-US"/>
              </w:rPr>
              <w:t xml:space="preserve">CTRL_DOC_FOUND_CNTR_DET </w:t>
            </w:r>
            <w:r w:rsidR="00BA58C1" w:rsidRPr="00264D5D">
              <w:rPr>
                <w:sz w:val="22"/>
                <w:szCs w:val="22"/>
                <w:lang w:val="en-US"/>
              </w:rPr>
              <w:t>– Группа</w:t>
            </w:r>
            <w:r w:rsidRPr="00264D5D">
              <w:rPr>
                <w:sz w:val="22"/>
                <w:szCs w:val="22"/>
                <w:lang w:val="en-US"/>
              </w:rPr>
              <w:t xml:space="preserve"> 6. </w:t>
            </w:r>
            <w:r w:rsidRPr="00264D5D">
              <w:rPr>
                <w:sz w:val="22"/>
                <w:szCs w:val="22"/>
              </w:rPr>
              <w:t xml:space="preserve">Контроль на соответствие </w:t>
            </w:r>
            <w:r w:rsidRPr="00264D5D">
              <w:rPr>
                <w:sz w:val="22"/>
                <w:szCs w:val="22"/>
              </w:rPr>
              <w:lastRenderedPageBreak/>
              <w:t>документу-основанию в части реквизитов контрагента</w:t>
            </w:r>
          </w:p>
          <w:p w14:paraId="5FAFBD6F" w14:textId="77777777" w:rsidR="00AD1F54" w:rsidRPr="00264D5D" w:rsidRDefault="00941227" w:rsidP="00E7460C">
            <w:pPr>
              <w:pStyle w:val="af5"/>
              <w:numPr>
                <w:ilvl w:val="0"/>
                <w:numId w:val="120"/>
              </w:numPr>
              <w:spacing w:before="60" w:after="60"/>
              <w:ind w:left="284" w:hanging="227"/>
              <w:contextualSpacing/>
              <w:jc w:val="both"/>
              <w:rPr>
                <w:sz w:val="22"/>
                <w:szCs w:val="22"/>
              </w:rPr>
            </w:pPr>
            <w:r w:rsidRPr="00264D5D">
              <w:rPr>
                <w:sz w:val="22"/>
                <w:szCs w:val="22"/>
                <w:lang w:val="en-US"/>
              </w:rPr>
              <w:t xml:space="preserve">CTRL_257N_DO_PURP </w:t>
            </w:r>
            <w:r w:rsidR="00BA58C1" w:rsidRPr="00264D5D">
              <w:rPr>
                <w:sz w:val="22"/>
                <w:szCs w:val="22"/>
                <w:lang w:val="en-US"/>
              </w:rPr>
              <w:t>– Группа</w:t>
            </w:r>
            <w:r w:rsidRPr="00264D5D">
              <w:rPr>
                <w:sz w:val="22"/>
                <w:szCs w:val="22"/>
                <w:lang w:val="en-US"/>
              </w:rPr>
              <w:t xml:space="preserve"> 7. </w:t>
            </w:r>
            <w:r w:rsidRPr="00264D5D">
              <w:rPr>
                <w:sz w:val="22"/>
                <w:szCs w:val="22"/>
              </w:rPr>
              <w:t>Содержания текста назначения платежа операции, исходя из документа, подтверждающего возникновение денежного обязательства.</w:t>
            </w:r>
          </w:p>
          <w:p w14:paraId="74033352" w14:textId="77777777" w:rsidR="00AD1F54" w:rsidRPr="00264D5D" w:rsidRDefault="00941227" w:rsidP="00E7460C">
            <w:pPr>
              <w:pStyle w:val="af5"/>
              <w:numPr>
                <w:ilvl w:val="0"/>
                <w:numId w:val="120"/>
              </w:numPr>
              <w:spacing w:before="60" w:after="60"/>
              <w:ind w:left="284" w:hanging="227"/>
              <w:contextualSpacing/>
              <w:jc w:val="both"/>
              <w:rPr>
                <w:sz w:val="22"/>
                <w:szCs w:val="22"/>
              </w:rPr>
            </w:pPr>
            <w:r w:rsidRPr="00264D5D">
              <w:rPr>
                <w:sz w:val="22"/>
                <w:szCs w:val="22"/>
                <w:lang w:val="en-US"/>
              </w:rPr>
              <w:t xml:space="preserve">CTRL_226N_TARG_SUBS </w:t>
            </w:r>
            <w:r w:rsidR="00BA58C1" w:rsidRPr="00264D5D">
              <w:rPr>
                <w:sz w:val="22"/>
                <w:szCs w:val="22"/>
                <w:lang w:val="en-US"/>
              </w:rPr>
              <w:t>– Группа</w:t>
            </w:r>
            <w:r w:rsidRPr="00264D5D">
              <w:rPr>
                <w:sz w:val="22"/>
                <w:szCs w:val="22"/>
                <w:lang w:val="en-US"/>
              </w:rPr>
              <w:t xml:space="preserve"> 8. </w:t>
            </w:r>
            <w:r w:rsidRPr="00264D5D">
              <w:rPr>
                <w:sz w:val="22"/>
                <w:szCs w:val="22"/>
              </w:rPr>
              <w:t xml:space="preserve">Контроль соответствия КБК и </w:t>
            </w:r>
            <w:r w:rsidR="00BA58C1" w:rsidRPr="00264D5D">
              <w:rPr>
                <w:sz w:val="22"/>
                <w:szCs w:val="22"/>
              </w:rPr>
              <w:t>текстового назначения платежа.</w:t>
            </w:r>
          </w:p>
          <w:p w14:paraId="39D4D57D" w14:textId="77777777" w:rsidR="00AD1F54" w:rsidRPr="00264D5D" w:rsidRDefault="00941227" w:rsidP="00E7460C">
            <w:pPr>
              <w:pStyle w:val="af5"/>
              <w:numPr>
                <w:ilvl w:val="0"/>
                <w:numId w:val="120"/>
              </w:numPr>
              <w:spacing w:before="60" w:after="60"/>
              <w:ind w:left="284" w:hanging="227"/>
              <w:contextualSpacing/>
              <w:jc w:val="both"/>
              <w:rPr>
                <w:sz w:val="22"/>
                <w:szCs w:val="22"/>
              </w:rPr>
            </w:pPr>
            <w:r w:rsidRPr="00264D5D">
              <w:rPr>
                <w:sz w:val="22"/>
                <w:szCs w:val="22"/>
              </w:rPr>
              <w:t>CTRL_FLK – Группа 9. Формат</w:t>
            </w:r>
            <w:r w:rsidR="00BA58C1" w:rsidRPr="00264D5D">
              <w:rPr>
                <w:sz w:val="22"/>
                <w:szCs w:val="22"/>
              </w:rPr>
              <w:t>но-логические контроли</w:t>
            </w:r>
          </w:p>
        </w:tc>
      </w:tr>
      <w:tr w:rsidR="00AD1F54" w:rsidRPr="00264D5D" w14:paraId="00A117FF"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5" w:type="pct"/>
          </w:tcPr>
          <w:p w14:paraId="183DDB9E" w14:textId="77777777" w:rsidR="00AD1F54" w:rsidRPr="00264D5D" w:rsidRDefault="00941227">
            <w:pPr>
              <w:spacing w:before="60" w:after="60"/>
              <w:rPr>
                <w:sz w:val="22"/>
                <w:szCs w:val="22"/>
              </w:rPr>
            </w:pPr>
            <w:r w:rsidRPr="00264D5D">
              <w:rPr>
                <w:sz w:val="22"/>
                <w:szCs w:val="22"/>
              </w:rPr>
              <w:lastRenderedPageBreak/>
              <w:t>Результат контроля</w:t>
            </w:r>
          </w:p>
        </w:tc>
        <w:tc>
          <w:tcPr>
            <w:tcW w:w="882" w:type="pct"/>
          </w:tcPr>
          <w:p w14:paraId="181EF69F" w14:textId="77777777" w:rsidR="00AD1F54" w:rsidRPr="00264D5D" w:rsidRDefault="00941227">
            <w:pPr>
              <w:spacing w:before="60" w:after="60"/>
              <w:rPr>
                <w:sz w:val="22"/>
                <w:szCs w:val="22"/>
              </w:rPr>
            </w:pPr>
            <w:r w:rsidRPr="00264D5D">
              <w:rPr>
                <w:sz w:val="22"/>
                <w:szCs w:val="22"/>
              </w:rPr>
              <w:t>Cntr_Rslt</w:t>
            </w:r>
          </w:p>
        </w:tc>
        <w:tc>
          <w:tcPr>
            <w:tcW w:w="294" w:type="pct"/>
          </w:tcPr>
          <w:p w14:paraId="76E7EA68" w14:textId="77777777" w:rsidR="00AD1F54" w:rsidRPr="00264D5D" w:rsidRDefault="00941227">
            <w:pPr>
              <w:spacing w:before="60" w:after="60"/>
              <w:jc w:val="center"/>
              <w:rPr>
                <w:sz w:val="22"/>
                <w:szCs w:val="22"/>
              </w:rPr>
            </w:pPr>
            <w:r w:rsidRPr="00264D5D">
              <w:rPr>
                <w:sz w:val="22"/>
                <w:szCs w:val="22"/>
              </w:rPr>
              <w:t>П</w:t>
            </w:r>
          </w:p>
        </w:tc>
        <w:tc>
          <w:tcPr>
            <w:tcW w:w="588" w:type="pct"/>
          </w:tcPr>
          <w:p w14:paraId="3A187DE9" w14:textId="77777777" w:rsidR="00AD1F54" w:rsidRPr="00264D5D" w:rsidRDefault="00941227">
            <w:pPr>
              <w:spacing w:before="60" w:after="60"/>
              <w:jc w:val="left"/>
              <w:rPr>
                <w:sz w:val="22"/>
                <w:szCs w:val="22"/>
              </w:rPr>
            </w:pPr>
            <w:r w:rsidRPr="00264D5D">
              <w:rPr>
                <w:sz w:val="22"/>
                <w:szCs w:val="22"/>
              </w:rPr>
              <w:t>Т(1-2000)</w:t>
            </w:r>
          </w:p>
        </w:tc>
        <w:tc>
          <w:tcPr>
            <w:tcW w:w="294" w:type="pct"/>
          </w:tcPr>
          <w:p w14:paraId="58A31D4C" w14:textId="77777777" w:rsidR="00AD1F54" w:rsidRPr="00264D5D" w:rsidRDefault="00941227">
            <w:pPr>
              <w:spacing w:before="60" w:after="60"/>
              <w:jc w:val="center"/>
              <w:rPr>
                <w:sz w:val="22"/>
                <w:szCs w:val="22"/>
              </w:rPr>
            </w:pPr>
            <w:r w:rsidRPr="00264D5D">
              <w:rPr>
                <w:sz w:val="22"/>
                <w:szCs w:val="22"/>
              </w:rPr>
              <w:t>О</w:t>
            </w:r>
          </w:p>
        </w:tc>
        <w:tc>
          <w:tcPr>
            <w:tcW w:w="2056" w:type="pct"/>
          </w:tcPr>
          <w:p w14:paraId="04A7DBA8" w14:textId="77777777" w:rsidR="00AD1F54" w:rsidRPr="00264D5D" w:rsidRDefault="00941227">
            <w:pPr>
              <w:spacing w:before="60" w:after="60"/>
              <w:rPr>
                <w:sz w:val="22"/>
                <w:szCs w:val="22"/>
              </w:rPr>
            </w:pPr>
            <w:r w:rsidRPr="00264D5D">
              <w:rPr>
                <w:sz w:val="22"/>
                <w:szCs w:val="22"/>
              </w:rPr>
              <w:t>Результат контроля.</w:t>
            </w:r>
          </w:p>
          <w:p w14:paraId="36A276DA" w14:textId="77777777" w:rsidR="00AD1F54" w:rsidRPr="00264D5D" w:rsidRDefault="00941227">
            <w:pPr>
              <w:spacing w:before="60" w:after="60"/>
              <w:rPr>
                <w:sz w:val="22"/>
                <w:szCs w:val="22"/>
              </w:rPr>
            </w:pPr>
            <w:r w:rsidRPr="00264D5D">
              <w:rPr>
                <w:sz w:val="22"/>
                <w:szCs w:val="22"/>
              </w:rPr>
              <w:t>Возможные значения:</w:t>
            </w:r>
          </w:p>
          <w:p w14:paraId="11B6533A" w14:textId="77777777" w:rsidR="00AD1F54" w:rsidRPr="00264D5D" w:rsidRDefault="00941227" w:rsidP="00E7460C">
            <w:pPr>
              <w:pStyle w:val="af5"/>
              <w:numPr>
                <w:ilvl w:val="0"/>
                <w:numId w:val="120"/>
              </w:numPr>
              <w:spacing w:before="60" w:after="60"/>
              <w:ind w:left="284" w:hanging="227"/>
              <w:contextualSpacing/>
              <w:jc w:val="both"/>
              <w:rPr>
                <w:sz w:val="22"/>
                <w:szCs w:val="22"/>
              </w:rPr>
            </w:pPr>
            <w:r w:rsidRPr="00264D5D">
              <w:rPr>
                <w:sz w:val="22"/>
                <w:szCs w:val="22"/>
              </w:rPr>
              <w:t>PASSED – контроль пройден;</w:t>
            </w:r>
          </w:p>
          <w:p w14:paraId="1AA39D3B" w14:textId="77777777" w:rsidR="00AD1F54" w:rsidRPr="00264D5D" w:rsidRDefault="00941227" w:rsidP="00E7460C">
            <w:pPr>
              <w:pStyle w:val="af5"/>
              <w:numPr>
                <w:ilvl w:val="0"/>
                <w:numId w:val="120"/>
              </w:numPr>
              <w:spacing w:before="60" w:after="60"/>
              <w:ind w:left="284" w:hanging="227"/>
              <w:contextualSpacing/>
              <w:jc w:val="both"/>
              <w:rPr>
                <w:sz w:val="22"/>
                <w:szCs w:val="22"/>
              </w:rPr>
            </w:pPr>
            <w:r w:rsidRPr="00264D5D">
              <w:rPr>
                <w:sz w:val="22"/>
                <w:szCs w:val="22"/>
              </w:rPr>
              <w:t>ADD_VER – контроль пройден, но требует дополнительной проверки;</w:t>
            </w:r>
          </w:p>
          <w:p w14:paraId="11D3AD03" w14:textId="77777777" w:rsidR="00AD1F54" w:rsidRPr="00264D5D" w:rsidRDefault="00941227" w:rsidP="00E7460C">
            <w:pPr>
              <w:pStyle w:val="af5"/>
              <w:numPr>
                <w:ilvl w:val="0"/>
                <w:numId w:val="120"/>
              </w:numPr>
              <w:spacing w:before="60" w:after="60"/>
              <w:ind w:left="284" w:hanging="227"/>
              <w:contextualSpacing/>
              <w:jc w:val="both"/>
              <w:rPr>
                <w:sz w:val="22"/>
                <w:szCs w:val="22"/>
              </w:rPr>
            </w:pPr>
            <w:r w:rsidRPr="00264D5D">
              <w:rPr>
                <w:sz w:val="22"/>
                <w:szCs w:val="22"/>
              </w:rPr>
              <w:t>NO</w:t>
            </w:r>
            <w:r w:rsidR="00BA58C1" w:rsidRPr="00264D5D">
              <w:rPr>
                <w:sz w:val="22"/>
                <w:szCs w:val="22"/>
              </w:rPr>
              <w:t>T_COND – контроль не проводился</w:t>
            </w:r>
          </w:p>
        </w:tc>
      </w:tr>
    </w:tbl>
    <w:p w14:paraId="3F224530" w14:textId="77777777" w:rsidR="00AD1F54" w:rsidRPr="00264D5D" w:rsidRDefault="00941227">
      <w:pPr>
        <w:pStyle w:val="31"/>
      </w:pPr>
      <w:bookmarkStart w:id="928" w:name="_Toc111480297"/>
      <w:bookmarkStart w:id="929" w:name="_Toc115357144"/>
      <w:bookmarkStart w:id="930" w:name="_Toc219309513"/>
      <w:r w:rsidRPr="00264D5D">
        <w:t>Описание комплексного типа «tRskNfs»</w:t>
      </w:r>
      <w:bookmarkEnd w:id="928"/>
      <w:bookmarkEnd w:id="929"/>
      <w:bookmarkEnd w:id="930"/>
    </w:p>
    <w:p w14:paraId="20C51B15" w14:textId="77777777" w:rsidR="00AD1F54" w:rsidRPr="00264D5D" w:rsidRDefault="00941227">
      <w:pPr>
        <w:pStyle w:val="ASFKNormal"/>
        <w:spacing w:before="60" w:after="120"/>
        <w:contextualSpacing w:val="0"/>
        <w:jc w:val="both"/>
        <w:rPr>
          <w:sz w:val="24"/>
          <w:szCs w:val="24"/>
        </w:rPr>
      </w:pPr>
      <w:r w:rsidRPr="00264D5D">
        <w:rPr>
          <w:sz w:val="24"/>
          <w:szCs w:val="24"/>
        </w:rPr>
        <w:t xml:space="preserve">Описание комплексного типа «tRskNfs» блока «Информация о рисках» </w:t>
      </w:r>
    </w:p>
    <w:p w14:paraId="44ACAF00" w14:textId="3969546B" w:rsidR="00AD1F54" w:rsidRPr="00264D5D" w:rsidRDefault="001E5517">
      <w:pPr>
        <w:pStyle w:val="GOSTNameTable"/>
        <w:numPr>
          <w:ilvl w:val="0"/>
          <w:numId w:val="2"/>
        </w:numPr>
        <w:tabs>
          <w:tab w:val="clear" w:pos="567"/>
          <w:tab w:val="num" w:pos="993"/>
        </w:tabs>
        <w:ind w:left="425" w:hanging="357"/>
      </w:pPr>
      <w:r w:rsidRPr="00264D5D">
        <w:rPr>
          <w:noProof/>
        </w:rPr>
        <w:fldChar w:fldCharType="begin"/>
      </w:r>
      <w:r w:rsidRPr="00264D5D">
        <w:rPr>
          <w:noProof/>
        </w:rPr>
        <w:instrText xml:space="preserve"> SEQ Таблица \* ARABIC </w:instrText>
      </w:r>
      <w:r w:rsidRPr="00264D5D">
        <w:rPr>
          <w:noProof/>
        </w:rPr>
        <w:fldChar w:fldCharType="separate"/>
      </w:r>
      <w:bookmarkStart w:id="931" w:name="_Ref111545773"/>
      <w:bookmarkStart w:id="932" w:name="_Toc219309105"/>
      <w:r w:rsidR="008D797C">
        <w:rPr>
          <w:noProof/>
        </w:rPr>
        <w:t>75</w:t>
      </w:r>
      <w:bookmarkEnd w:id="931"/>
      <w:r w:rsidRPr="00264D5D">
        <w:rPr>
          <w:noProof/>
        </w:rPr>
        <w:fldChar w:fldCharType="end"/>
      </w:r>
      <w:r w:rsidR="00941227" w:rsidRPr="00264D5D">
        <w:rPr>
          <w:rFonts w:eastAsia="Calibri"/>
          <w:szCs w:val="24"/>
        </w:rPr>
        <w:t xml:space="preserve"> – </w:t>
      </w:r>
      <w:r w:rsidR="00941227" w:rsidRPr="00264D5D">
        <w:t>Описание комплексного типа «tRskNfs»</w:t>
      </w:r>
      <w:bookmarkEnd w:id="932"/>
    </w:p>
    <w:tbl>
      <w:tblPr>
        <w:tblStyle w:val="GOSTTable"/>
        <w:tblW w:w="5000" w:type="pct"/>
        <w:tblLayout w:type="fixed"/>
        <w:tblLook w:val="04A0" w:firstRow="1" w:lastRow="0" w:firstColumn="1" w:lastColumn="0" w:noHBand="0" w:noVBand="1"/>
      </w:tblPr>
      <w:tblGrid>
        <w:gridCol w:w="1709"/>
        <w:gridCol w:w="1703"/>
        <w:gridCol w:w="568"/>
        <w:gridCol w:w="1135"/>
        <w:gridCol w:w="567"/>
        <w:gridCol w:w="3968"/>
      </w:tblGrid>
      <w:tr w:rsidR="00AD1F54" w:rsidRPr="00264D5D" w14:paraId="1E1C718C"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5" w:type="pct"/>
          </w:tcPr>
          <w:p w14:paraId="2FC25995" w14:textId="77777777" w:rsidR="00AD1F54" w:rsidRPr="00264D5D" w:rsidRDefault="00941227">
            <w:pPr>
              <w:spacing w:before="60" w:after="60"/>
              <w:jc w:val="center"/>
              <w:rPr>
                <w:b/>
                <w:bCs/>
                <w:sz w:val="22"/>
                <w:szCs w:val="22"/>
              </w:rPr>
            </w:pPr>
            <w:r w:rsidRPr="00264D5D">
              <w:rPr>
                <w:b/>
                <w:bCs/>
                <w:sz w:val="22"/>
                <w:szCs w:val="22"/>
              </w:rPr>
              <w:t>Наименование элемента</w:t>
            </w:r>
          </w:p>
        </w:tc>
        <w:tc>
          <w:tcPr>
            <w:tcW w:w="882" w:type="pct"/>
          </w:tcPr>
          <w:p w14:paraId="4DF38703" w14:textId="77777777" w:rsidR="00AD1F54" w:rsidRPr="00264D5D" w:rsidRDefault="00941227">
            <w:pPr>
              <w:spacing w:before="60" w:after="60"/>
              <w:jc w:val="center"/>
              <w:rPr>
                <w:b/>
                <w:bCs/>
                <w:sz w:val="22"/>
                <w:szCs w:val="22"/>
              </w:rPr>
            </w:pPr>
            <w:r w:rsidRPr="00264D5D">
              <w:rPr>
                <w:b/>
                <w:bCs/>
                <w:sz w:val="22"/>
                <w:szCs w:val="22"/>
              </w:rPr>
              <w:t>Сокращенное наименование (код) элемента</w:t>
            </w:r>
          </w:p>
        </w:tc>
        <w:tc>
          <w:tcPr>
            <w:tcW w:w="294" w:type="pct"/>
          </w:tcPr>
          <w:p w14:paraId="128F6EC9" w14:textId="77777777" w:rsidR="00AD1F54" w:rsidRPr="00264D5D" w:rsidRDefault="00941227">
            <w:pPr>
              <w:spacing w:before="60" w:after="60"/>
              <w:jc w:val="center"/>
              <w:rPr>
                <w:b/>
                <w:bCs/>
                <w:sz w:val="22"/>
                <w:szCs w:val="22"/>
              </w:rPr>
            </w:pPr>
            <w:r w:rsidRPr="00264D5D">
              <w:rPr>
                <w:b/>
                <w:bCs/>
                <w:sz w:val="22"/>
                <w:szCs w:val="22"/>
              </w:rPr>
              <w:t>Тип</w:t>
            </w:r>
          </w:p>
        </w:tc>
        <w:tc>
          <w:tcPr>
            <w:tcW w:w="588" w:type="pct"/>
          </w:tcPr>
          <w:p w14:paraId="2399CFB1" w14:textId="77777777" w:rsidR="00AD1F54" w:rsidRPr="00264D5D" w:rsidRDefault="00941227">
            <w:pPr>
              <w:spacing w:before="60" w:after="60"/>
              <w:jc w:val="center"/>
              <w:rPr>
                <w:b/>
                <w:bCs/>
                <w:sz w:val="22"/>
                <w:szCs w:val="22"/>
              </w:rPr>
            </w:pPr>
            <w:r w:rsidRPr="00264D5D">
              <w:rPr>
                <w:b/>
                <w:bCs/>
                <w:sz w:val="22"/>
                <w:szCs w:val="22"/>
              </w:rPr>
              <w:t>Формат элемента</w:t>
            </w:r>
          </w:p>
        </w:tc>
        <w:tc>
          <w:tcPr>
            <w:tcW w:w="294" w:type="pct"/>
          </w:tcPr>
          <w:p w14:paraId="5EC17564" w14:textId="77777777" w:rsidR="00AD1F54" w:rsidRPr="00264D5D" w:rsidRDefault="00941227">
            <w:pPr>
              <w:spacing w:before="60" w:after="60"/>
              <w:jc w:val="center"/>
              <w:rPr>
                <w:b/>
                <w:bCs/>
                <w:sz w:val="22"/>
                <w:szCs w:val="22"/>
              </w:rPr>
            </w:pPr>
            <w:r w:rsidRPr="00264D5D">
              <w:rPr>
                <w:b/>
                <w:bCs/>
                <w:sz w:val="22"/>
                <w:szCs w:val="22"/>
              </w:rPr>
              <w:t>Обязательность</w:t>
            </w:r>
          </w:p>
        </w:tc>
        <w:tc>
          <w:tcPr>
            <w:tcW w:w="2056" w:type="pct"/>
          </w:tcPr>
          <w:p w14:paraId="3EC17118" w14:textId="77777777" w:rsidR="00AD1F54" w:rsidRPr="00264D5D" w:rsidRDefault="00941227">
            <w:pPr>
              <w:spacing w:before="60" w:after="60"/>
              <w:jc w:val="center"/>
              <w:rPr>
                <w:b/>
                <w:bCs/>
                <w:sz w:val="22"/>
                <w:szCs w:val="22"/>
              </w:rPr>
            </w:pPr>
            <w:r w:rsidRPr="00264D5D">
              <w:rPr>
                <w:b/>
                <w:bCs/>
                <w:sz w:val="22"/>
                <w:szCs w:val="22"/>
              </w:rPr>
              <w:t>Дополнительная информация</w:t>
            </w:r>
          </w:p>
        </w:tc>
      </w:tr>
      <w:tr w:rsidR="00AD1F54" w:rsidRPr="00264D5D" w14:paraId="0F6B8809"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5" w:type="pct"/>
          </w:tcPr>
          <w:p w14:paraId="443CDACE" w14:textId="77777777" w:rsidR="00AD1F54" w:rsidRPr="00264D5D" w:rsidRDefault="00941227">
            <w:pPr>
              <w:spacing w:before="60" w:after="60"/>
              <w:rPr>
                <w:sz w:val="22"/>
                <w:szCs w:val="22"/>
              </w:rPr>
            </w:pPr>
            <w:r w:rsidRPr="00264D5D">
              <w:rPr>
                <w:sz w:val="22"/>
                <w:szCs w:val="22"/>
              </w:rPr>
              <w:t>Группа рискоемкости</w:t>
            </w:r>
          </w:p>
        </w:tc>
        <w:tc>
          <w:tcPr>
            <w:tcW w:w="882" w:type="pct"/>
          </w:tcPr>
          <w:p w14:paraId="6DA2ED98" w14:textId="77777777" w:rsidR="00AD1F54" w:rsidRPr="00264D5D" w:rsidRDefault="00941227">
            <w:pPr>
              <w:spacing w:before="60" w:after="60"/>
              <w:rPr>
                <w:sz w:val="22"/>
                <w:szCs w:val="22"/>
              </w:rPr>
            </w:pPr>
            <w:r w:rsidRPr="00264D5D">
              <w:rPr>
                <w:sz w:val="22"/>
                <w:szCs w:val="22"/>
              </w:rPr>
              <w:t>Rsk_lvl</w:t>
            </w:r>
          </w:p>
        </w:tc>
        <w:tc>
          <w:tcPr>
            <w:tcW w:w="294" w:type="pct"/>
          </w:tcPr>
          <w:p w14:paraId="1E81DB7A" w14:textId="77777777" w:rsidR="00AD1F54" w:rsidRPr="00264D5D" w:rsidRDefault="00941227">
            <w:pPr>
              <w:spacing w:before="60" w:after="60"/>
              <w:jc w:val="center"/>
              <w:rPr>
                <w:sz w:val="22"/>
                <w:szCs w:val="22"/>
              </w:rPr>
            </w:pPr>
            <w:r w:rsidRPr="00264D5D">
              <w:rPr>
                <w:sz w:val="22"/>
                <w:szCs w:val="22"/>
              </w:rPr>
              <w:t>П</w:t>
            </w:r>
          </w:p>
        </w:tc>
        <w:tc>
          <w:tcPr>
            <w:tcW w:w="588" w:type="pct"/>
          </w:tcPr>
          <w:p w14:paraId="76CDA983" w14:textId="77777777" w:rsidR="00AD1F54" w:rsidRPr="00264D5D" w:rsidRDefault="00941227">
            <w:pPr>
              <w:spacing w:before="60" w:after="60"/>
              <w:jc w:val="center"/>
              <w:rPr>
                <w:sz w:val="22"/>
                <w:szCs w:val="22"/>
              </w:rPr>
            </w:pPr>
            <w:r w:rsidRPr="00264D5D">
              <w:rPr>
                <w:sz w:val="22"/>
                <w:szCs w:val="22"/>
                <w:lang w:val="en-US"/>
              </w:rPr>
              <w:t>N</w:t>
            </w:r>
            <w:r w:rsidRPr="00264D5D">
              <w:rPr>
                <w:sz w:val="22"/>
                <w:szCs w:val="22"/>
              </w:rPr>
              <w:t>(1)</w:t>
            </w:r>
          </w:p>
        </w:tc>
        <w:tc>
          <w:tcPr>
            <w:tcW w:w="294" w:type="pct"/>
          </w:tcPr>
          <w:p w14:paraId="4AED10C2" w14:textId="77777777" w:rsidR="00AD1F54" w:rsidRPr="00264D5D" w:rsidRDefault="00941227">
            <w:pPr>
              <w:spacing w:before="60" w:after="60"/>
              <w:jc w:val="center"/>
              <w:rPr>
                <w:sz w:val="22"/>
                <w:szCs w:val="22"/>
              </w:rPr>
            </w:pPr>
            <w:r w:rsidRPr="00264D5D">
              <w:rPr>
                <w:sz w:val="22"/>
                <w:szCs w:val="22"/>
              </w:rPr>
              <w:t>О</w:t>
            </w:r>
          </w:p>
        </w:tc>
        <w:tc>
          <w:tcPr>
            <w:tcW w:w="2056" w:type="pct"/>
          </w:tcPr>
          <w:p w14:paraId="03A8BA39" w14:textId="77777777" w:rsidR="00AD1F54" w:rsidRPr="00264D5D" w:rsidRDefault="00941227">
            <w:pPr>
              <w:spacing w:before="60" w:after="60"/>
              <w:rPr>
                <w:sz w:val="22"/>
                <w:szCs w:val="22"/>
              </w:rPr>
            </w:pPr>
            <w:r w:rsidRPr="00264D5D">
              <w:rPr>
                <w:sz w:val="22"/>
                <w:szCs w:val="22"/>
              </w:rPr>
              <w:t>Группа рискоемкости.</w:t>
            </w:r>
          </w:p>
          <w:p w14:paraId="7AFCC4B7" w14:textId="77777777" w:rsidR="00AD1F54" w:rsidRPr="00264D5D" w:rsidRDefault="00941227">
            <w:pPr>
              <w:spacing w:before="60" w:after="60"/>
              <w:rPr>
                <w:sz w:val="22"/>
                <w:szCs w:val="22"/>
              </w:rPr>
            </w:pPr>
            <w:r w:rsidRPr="00264D5D">
              <w:rPr>
                <w:sz w:val="22"/>
                <w:szCs w:val="22"/>
              </w:rPr>
              <w:t>Возможные значения:</w:t>
            </w:r>
          </w:p>
          <w:p w14:paraId="4E13A088" w14:textId="77777777" w:rsidR="00AD1F54" w:rsidRPr="00264D5D" w:rsidRDefault="00941227" w:rsidP="00E7460C">
            <w:pPr>
              <w:pStyle w:val="af5"/>
              <w:numPr>
                <w:ilvl w:val="0"/>
                <w:numId w:val="120"/>
              </w:numPr>
              <w:spacing w:before="60" w:after="60"/>
              <w:ind w:left="284" w:hanging="227"/>
              <w:contextualSpacing/>
              <w:jc w:val="both"/>
              <w:rPr>
                <w:sz w:val="22"/>
                <w:szCs w:val="22"/>
              </w:rPr>
            </w:pPr>
            <w:r w:rsidRPr="00264D5D">
              <w:rPr>
                <w:sz w:val="22"/>
                <w:szCs w:val="22"/>
              </w:rPr>
              <w:t>1 – особой важности;</w:t>
            </w:r>
          </w:p>
          <w:p w14:paraId="62026B94" w14:textId="77777777" w:rsidR="00AD1F54" w:rsidRPr="00264D5D" w:rsidRDefault="00941227" w:rsidP="00E7460C">
            <w:pPr>
              <w:pStyle w:val="af5"/>
              <w:numPr>
                <w:ilvl w:val="0"/>
                <w:numId w:val="120"/>
              </w:numPr>
              <w:spacing w:before="60" w:after="60"/>
              <w:ind w:left="284" w:hanging="227"/>
              <w:contextualSpacing/>
              <w:jc w:val="both"/>
              <w:rPr>
                <w:sz w:val="22"/>
                <w:szCs w:val="22"/>
              </w:rPr>
            </w:pPr>
            <w:r w:rsidRPr="00264D5D">
              <w:rPr>
                <w:sz w:val="22"/>
                <w:szCs w:val="22"/>
              </w:rPr>
              <w:t>2 – высокий;</w:t>
            </w:r>
          </w:p>
          <w:p w14:paraId="11E5F55E" w14:textId="77777777" w:rsidR="00AD1F54" w:rsidRPr="00264D5D" w:rsidRDefault="00941227" w:rsidP="00E7460C">
            <w:pPr>
              <w:pStyle w:val="af5"/>
              <w:numPr>
                <w:ilvl w:val="0"/>
                <w:numId w:val="120"/>
              </w:numPr>
              <w:spacing w:before="60" w:after="60"/>
              <w:ind w:left="284" w:hanging="227"/>
              <w:contextualSpacing/>
              <w:jc w:val="both"/>
              <w:rPr>
                <w:sz w:val="22"/>
                <w:szCs w:val="22"/>
              </w:rPr>
            </w:pPr>
            <w:r w:rsidRPr="00264D5D">
              <w:rPr>
                <w:sz w:val="22"/>
                <w:szCs w:val="22"/>
              </w:rPr>
              <w:t>3 – средний;</w:t>
            </w:r>
          </w:p>
          <w:p w14:paraId="3E02E081" w14:textId="77777777" w:rsidR="00AD1F54" w:rsidRPr="00264D5D" w:rsidRDefault="00BA58C1" w:rsidP="00E7460C">
            <w:pPr>
              <w:pStyle w:val="af5"/>
              <w:numPr>
                <w:ilvl w:val="0"/>
                <w:numId w:val="120"/>
              </w:numPr>
              <w:spacing w:before="60" w:after="60"/>
              <w:ind w:left="284" w:hanging="227"/>
              <w:contextualSpacing/>
              <w:jc w:val="both"/>
              <w:rPr>
                <w:sz w:val="22"/>
                <w:szCs w:val="22"/>
              </w:rPr>
            </w:pPr>
            <w:r w:rsidRPr="00264D5D">
              <w:rPr>
                <w:sz w:val="22"/>
                <w:szCs w:val="22"/>
              </w:rPr>
              <w:t>4 – низкий</w:t>
            </w:r>
          </w:p>
        </w:tc>
      </w:tr>
      <w:tr w:rsidR="00AD1F54" w:rsidRPr="00264D5D" w14:paraId="67A5A037"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5" w:type="pct"/>
          </w:tcPr>
          <w:p w14:paraId="2B4E8C93" w14:textId="77777777" w:rsidR="00AD1F54" w:rsidRPr="00264D5D" w:rsidRDefault="00941227">
            <w:pPr>
              <w:spacing w:before="60" w:after="60"/>
              <w:rPr>
                <w:sz w:val="22"/>
                <w:szCs w:val="22"/>
              </w:rPr>
            </w:pPr>
            <w:r w:rsidRPr="00264D5D">
              <w:rPr>
                <w:sz w:val="22"/>
                <w:szCs w:val="22"/>
              </w:rPr>
              <w:t>Специализация</w:t>
            </w:r>
          </w:p>
        </w:tc>
        <w:tc>
          <w:tcPr>
            <w:tcW w:w="882" w:type="pct"/>
          </w:tcPr>
          <w:p w14:paraId="7F73ABEE" w14:textId="77777777" w:rsidR="00AD1F54" w:rsidRPr="00264D5D" w:rsidRDefault="00941227">
            <w:pPr>
              <w:spacing w:before="60" w:after="60"/>
              <w:rPr>
                <w:sz w:val="22"/>
                <w:szCs w:val="22"/>
              </w:rPr>
            </w:pPr>
            <w:r w:rsidRPr="00264D5D">
              <w:rPr>
                <w:sz w:val="22"/>
                <w:szCs w:val="22"/>
              </w:rPr>
              <w:t>Rsk_crt</w:t>
            </w:r>
          </w:p>
        </w:tc>
        <w:tc>
          <w:tcPr>
            <w:tcW w:w="294" w:type="pct"/>
          </w:tcPr>
          <w:p w14:paraId="1397C313" w14:textId="77777777" w:rsidR="00AD1F54" w:rsidRPr="00264D5D" w:rsidRDefault="00941227">
            <w:pPr>
              <w:spacing w:before="60" w:after="60"/>
              <w:jc w:val="center"/>
              <w:rPr>
                <w:sz w:val="22"/>
                <w:szCs w:val="22"/>
              </w:rPr>
            </w:pPr>
            <w:r w:rsidRPr="00264D5D">
              <w:rPr>
                <w:sz w:val="22"/>
                <w:szCs w:val="22"/>
              </w:rPr>
              <w:t>С</w:t>
            </w:r>
          </w:p>
        </w:tc>
        <w:tc>
          <w:tcPr>
            <w:tcW w:w="588" w:type="pct"/>
          </w:tcPr>
          <w:p w14:paraId="40235BE3" w14:textId="77777777" w:rsidR="00AD1F54" w:rsidRPr="00264D5D" w:rsidRDefault="00941227">
            <w:pPr>
              <w:spacing w:before="60" w:after="60"/>
              <w:jc w:val="center"/>
              <w:rPr>
                <w:sz w:val="22"/>
                <w:szCs w:val="22"/>
              </w:rPr>
            </w:pPr>
            <w:r w:rsidRPr="00264D5D">
              <w:rPr>
                <w:sz w:val="22"/>
                <w:szCs w:val="22"/>
              </w:rPr>
              <w:t>tRsk_crt</w:t>
            </w:r>
          </w:p>
        </w:tc>
        <w:tc>
          <w:tcPr>
            <w:tcW w:w="294" w:type="pct"/>
          </w:tcPr>
          <w:p w14:paraId="2788DED8" w14:textId="77777777" w:rsidR="00AD1F54" w:rsidRPr="00264D5D" w:rsidRDefault="00941227">
            <w:pPr>
              <w:spacing w:before="60" w:after="60"/>
              <w:jc w:val="center"/>
              <w:rPr>
                <w:sz w:val="22"/>
                <w:szCs w:val="22"/>
              </w:rPr>
            </w:pPr>
            <w:r w:rsidRPr="00264D5D">
              <w:rPr>
                <w:sz w:val="22"/>
                <w:szCs w:val="22"/>
              </w:rPr>
              <w:t>О</w:t>
            </w:r>
          </w:p>
        </w:tc>
        <w:tc>
          <w:tcPr>
            <w:tcW w:w="2056" w:type="pct"/>
          </w:tcPr>
          <w:p w14:paraId="48D9D3F8" w14:textId="6159F2C6" w:rsidR="00AD1F54" w:rsidRPr="00264D5D" w:rsidRDefault="00941227">
            <w:pPr>
              <w:spacing w:before="60" w:after="60"/>
              <w:rPr>
                <w:sz w:val="22"/>
                <w:szCs w:val="22"/>
              </w:rPr>
            </w:pPr>
            <w:r w:rsidRPr="00264D5D">
              <w:rPr>
                <w:sz w:val="22"/>
                <w:szCs w:val="22"/>
              </w:rPr>
              <w:t xml:space="preserve">Состав элемента представлен в таблице </w:t>
            </w:r>
            <w:r w:rsidRPr="00264D5D">
              <w:rPr>
                <w:b/>
                <w:bCs/>
                <w:sz w:val="22"/>
                <w:szCs w:val="22"/>
              </w:rPr>
              <w:fldChar w:fldCharType="begin"/>
            </w:r>
            <w:r w:rsidRPr="00264D5D">
              <w:rPr>
                <w:b/>
                <w:bCs/>
                <w:sz w:val="22"/>
                <w:szCs w:val="22"/>
              </w:rPr>
              <w:instrText xml:space="preserve"> REF _Ref111480590 \h  \* MERGEFORMAT </w:instrText>
            </w:r>
            <w:r w:rsidRPr="00264D5D">
              <w:rPr>
                <w:b/>
                <w:bCs/>
                <w:sz w:val="22"/>
                <w:szCs w:val="22"/>
              </w:rPr>
            </w:r>
            <w:r w:rsidRPr="00264D5D">
              <w:rPr>
                <w:b/>
                <w:bCs/>
                <w:sz w:val="22"/>
                <w:szCs w:val="22"/>
              </w:rPr>
              <w:fldChar w:fldCharType="separate"/>
            </w:r>
            <w:r w:rsidR="008D797C" w:rsidRPr="008D797C">
              <w:rPr>
                <w:b/>
                <w:bCs/>
                <w:sz w:val="22"/>
                <w:szCs w:val="22"/>
              </w:rPr>
              <w:t>76</w:t>
            </w:r>
            <w:r w:rsidRPr="00264D5D">
              <w:rPr>
                <w:b/>
                <w:bCs/>
                <w:sz w:val="22"/>
                <w:szCs w:val="22"/>
              </w:rPr>
              <w:fldChar w:fldCharType="end"/>
            </w:r>
          </w:p>
        </w:tc>
      </w:tr>
    </w:tbl>
    <w:p w14:paraId="580056FD" w14:textId="77777777" w:rsidR="00AD1F54" w:rsidRPr="00264D5D" w:rsidRDefault="00941227">
      <w:pPr>
        <w:pStyle w:val="31"/>
      </w:pPr>
      <w:bookmarkStart w:id="933" w:name="_Toc111480298"/>
      <w:bookmarkStart w:id="934" w:name="_Toc115357145"/>
      <w:bookmarkStart w:id="935" w:name="_Toc219309514"/>
      <w:r w:rsidRPr="00264D5D">
        <w:t>Описание комплексного типа «tRsk_crt»</w:t>
      </w:r>
      <w:bookmarkEnd w:id="933"/>
      <w:bookmarkEnd w:id="934"/>
      <w:bookmarkEnd w:id="935"/>
    </w:p>
    <w:p w14:paraId="20160F2A" w14:textId="77777777" w:rsidR="00AD1F54" w:rsidRPr="00264D5D" w:rsidRDefault="00941227">
      <w:pPr>
        <w:pStyle w:val="ASFKNormal"/>
        <w:spacing w:before="60" w:after="120"/>
        <w:contextualSpacing w:val="0"/>
        <w:jc w:val="both"/>
        <w:rPr>
          <w:sz w:val="24"/>
          <w:szCs w:val="24"/>
        </w:rPr>
      </w:pPr>
      <w:r w:rsidRPr="00264D5D">
        <w:rPr>
          <w:sz w:val="24"/>
          <w:szCs w:val="24"/>
        </w:rPr>
        <w:t xml:space="preserve">Описание комплексного типа «tRsk_crt» блока «Специализация» </w:t>
      </w:r>
    </w:p>
    <w:p w14:paraId="09507D47" w14:textId="64969768" w:rsidR="00AD1F54" w:rsidRPr="00264D5D" w:rsidRDefault="001E5517">
      <w:pPr>
        <w:pStyle w:val="GOSTNameTable"/>
        <w:numPr>
          <w:ilvl w:val="0"/>
          <w:numId w:val="2"/>
        </w:numPr>
        <w:tabs>
          <w:tab w:val="clear" w:pos="567"/>
          <w:tab w:val="num" w:pos="993"/>
        </w:tabs>
        <w:ind w:left="425" w:hanging="357"/>
      </w:pPr>
      <w:r w:rsidRPr="00264D5D">
        <w:rPr>
          <w:noProof/>
        </w:rPr>
        <w:lastRenderedPageBreak/>
        <w:fldChar w:fldCharType="begin"/>
      </w:r>
      <w:r w:rsidRPr="00264D5D">
        <w:rPr>
          <w:noProof/>
        </w:rPr>
        <w:instrText xml:space="preserve"> SEQ Таблица \* ARABIC </w:instrText>
      </w:r>
      <w:r w:rsidRPr="00264D5D">
        <w:rPr>
          <w:noProof/>
        </w:rPr>
        <w:fldChar w:fldCharType="separate"/>
      </w:r>
      <w:bookmarkStart w:id="936" w:name="_Ref111480590"/>
      <w:bookmarkStart w:id="937" w:name="_Toc219309106"/>
      <w:r w:rsidR="008D797C">
        <w:rPr>
          <w:noProof/>
        </w:rPr>
        <w:t>76</w:t>
      </w:r>
      <w:bookmarkEnd w:id="936"/>
      <w:r w:rsidRPr="00264D5D">
        <w:rPr>
          <w:noProof/>
        </w:rPr>
        <w:fldChar w:fldCharType="end"/>
      </w:r>
      <w:r w:rsidR="00941227" w:rsidRPr="00264D5D">
        <w:rPr>
          <w:rFonts w:eastAsia="Calibri"/>
          <w:szCs w:val="24"/>
        </w:rPr>
        <w:t xml:space="preserve"> – </w:t>
      </w:r>
      <w:r w:rsidR="00941227" w:rsidRPr="00264D5D">
        <w:t>Описание комплексного типа «tRsk_crt»</w:t>
      </w:r>
      <w:bookmarkEnd w:id="937"/>
    </w:p>
    <w:tbl>
      <w:tblPr>
        <w:tblStyle w:val="GOSTTable"/>
        <w:tblW w:w="5000" w:type="pct"/>
        <w:tblLayout w:type="fixed"/>
        <w:tblLook w:val="04A0" w:firstRow="1" w:lastRow="0" w:firstColumn="1" w:lastColumn="0" w:noHBand="0" w:noVBand="1"/>
      </w:tblPr>
      <w:tblGrid>
        <w:gridCol w:w="1709"/>
        <w:gridCol w:w="1703"/>
        <w:gridCol w:w="568"/>
        <w:gridCol w:w="1135"/>
        <w:gridCol w:w="567"/>
        <w:gridCol w:w="3968"/>
      </w:tblGrid>
      <w:tr w:rsidR="00AD1F54" w:rsidRPr="00264D5D" w14:paraId="18B1635B"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5" w:type="pct"/>
          </w:tcPr>
          <w:p w14:paraId="6FE2B70D" w14:textId="77777777" w:rsidR="00AD1F54" w:rsidRPr="00264D5D" w:rsidRDefault="00941227">
            <w:pPr>
              <w:spacing w:before="60" w:after="60"/>
              <w:jc w:val="center"/>
              <w:rPr>
                <w:b/>
                <w:bCs/>
                <w:sz w:val="22"/>
                <w:szCs w:val="22"/>
              </w:rPr>
            </w:pPr>
            <w:r w:rsidRPr="00264D5D">
              <w:rPr>
                <w:b/>
                <w:bCs/>
                <w:sz w:val="22"/>
                <w:szCs w:val="22"/>
              </w:rPr>
              <w:t>Наименование комплексного типа</w:t>
            </w:r>
          </w:p>
        </w:tc>
        <w:tc>
          <w:tcPr>
            <w:tcW w:w="882" w:type="pct"/>
          </w:tcPr>
          <w:p w14:paraId="679558A5" w14:textId="77777777" w:rsidR="00AD1F54" w:rsidRPr="00264D5D" w:rsidRDefault="00941227">
            <w:pPr>
              <w:spacing w:before="60" w:after="60"/>
              <w:jc w:val="center"/>
              <w:rPr>
                <w:b/>
                <w:bCs/>
                <w:sz w:val="22"/>
                <w:szCs w:val="22"/>
              </w:rPr>
            </w:pPr>
            <w:r w:rsidRPr="00264D5D">
              <w:rPr>
                <w:b/>
                <w:bCs/>
                <w:sz w:val="22"/>
                <w:szCs w:val="22"/>
              </w:rPr>
              <w:t>Сокращенное наименование (код) элемента</w:t>
            </w:r>
          </w:p>
        </w:tc>
        <w:tc>
          <w:tcPr>
            <w:tcW w:w="294" w:type="pct"/>
          </w:tcPr>
          <w:p w14:paraId="67769392" w14:textId="77777777" w:rsidR="00AD1F54" w:rsidRPr="00264D5D" w:rsidRDefault="00941227">
            <w:pPr>
              <w:spacing w:before="60" w:after="60"/>
              <w:jc w:val="center"/>
              <w:rPr>
                <w:b/>
                <w:bCs/>
                <w:sz w:val="22"/>
                <w:szCs w:val="22"/>
              </w:rPr>
            </w:pPr>
            <w:r w:rsidRPr="00264D5D">
              <w:rPr>
                <w:b/>
                <w:bCs/>
                <w:sz w:val="22"/>
                <w:szCs w:val="22"/>
              </w:rPr>
              <w:t>Тип</w:t>
            </w:r>
          </w:p>
        </w:tc>
        <w:tc>
          <w:tcPr>
            <w:tcW w:w="588" w:type="pct"/>
          </w:tcPr>
          <w:p w14:paraId="4B083BE1" w14:textId="77777777" w:rsidR="00AD1F54" w:rsidRPr="00264D5D" w:rsidRDefault="00941227">
            <w:pPr>
              <w:spacing w:before="60" w:after="60"/>
              <w:jc w:val="center"/>
              <w:rPr>
                <w:b/>
                <w:bCs/>
                <w:sz w:val="22"/>
                <w:szCs w:val="22"/>
              </w:rPr>
            </w:pPr>
            <w:r w:rsidRPr="00264D5D">
              <w:rPr>
                <w:b/>
                <w:bCs/>
                <w:sz w:val="22"/>
                <w:szCs w:val="22"/>
              </w:rPr>
              <w:t>Формат элемента</w:t>
            </w:r>
          </w:p>
        </w:tc>
        <w:tc>
          <w:tcPr>
            <w:tcW w:w="294" w:type="pct"/>
          </w:tcPr>
          <w:p w14:paraId="15EDF989" w14:textId="77777777" w:rsidR="00AD1F54" w:rsidRPr="00264D5D" w:rsidRDefault="00941227">
            <w:pPr>
              <w:spacing w:before="60" w:after="60"/>
              <w:jc w:val="center"/>
              <w:rPr>
                <w:b/>
                <w:bCs/>
                <w:sz w:val="22"/>
                <w:szCs w:val="22"/>
              </w:rPr>
            </w:pPr>
            <w:r w:rsidRPr="00264D5D">
              <w:rPr>
                <w:b/>
                <w:bCs/>
                <w:sz w:val="22"/>
                <w:szCs w:val="22"/>
              </w:rPr>
              <w:t>Обязательность</w:t>
            </w:r>
          </w:p>
        </w:tc>
        <w:tc>
          <w:tcPr>
            <w:tcW w:w="2056" w:type="pct"/>
          </w:tcPr>
          <w:p w14:paraId="658ACB98" w14:textId="77777777" w:rsidR="00AD1F54" w:rsidRPr="00264D5D" w:rsidRDefault="00941227">
            <w:pPr>
              <w:spacing w:before="60" w:after="60"/>
              <w:jc w:val="center"/>
              <w:rPr>
                <w:b/>
                <w:bCs/>
                <w:sz w:val="22"/>
                <w:szCs w:val="22"/>
              </w:rPr>
            </w:pPr>
            <w:r w:rsidRPr="00264D5D">
              <w:rPr>
                <w:b/>
                <w:bCs/>
                <w:sz w:val="22"/>
                <w:szCs w:val="22"/>
              </w:rPr>
              <w:t>Дополнительная информация</w:t>
            </w:r>
          </w:p>
        </w:tc>
      </w:tr>
      <w:tr w:rsidR="00AD1F54" w:rsidRPr="00264D5D" w14:paraId="04D354F7"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5" w:type="pct"/>
          </w:tcPr>
          <w:p w14:paraId="683D6B6E" w14:textId="77777777" w:rsidR="00AD1F54" w:rsidRPr="00264D5D" w:rsidRDefault="00941227">
            <w:pPr>
              <w:spacing w:before="60" w:after="60"/>
              <w:rPr>
                <w:sz w:val="22"/>
                <w:szCs w:val="22"/>
              </w:rPr>
            </w:pPr>
            <w:r w:rsidRPr="00264D5D">
              <w:rPr>
                <w:sz w:val="22"/>
                <w:szCs w:val="22"/>
              </w:rPr>
              <w:t>tRsk_crt</w:t>
            </w:r>
          </w:p>
        </w:tc>
        <w:tc>
          <w:tcPr>
            <w:tcW w:w="882" w:type="pct"/>
          </w:tcPr>
          <w:p w14:paraId="174F3ED8" w14:textId="77777777" w:rsidR="00AD1F54" w:rsidRPr="00264D5D" w:rsidRDefault="00941227">
            <w:pPr>
              <w:spacing w:before="60" w:after="60"/>
              <w:rPr>
                <w:sz w:val="22"/>
                <w:szCs w:val="22"/>
              </w:rPr>
            </w:pPr>
            <w:r w:rsidRPr="00264D5D">
              <w:rPr>
                <w:sz w:val="22"/>
                <w:szCs w:val="22"/>
              </w:rPr>
              <w:t>Rsk_crt_ITEM</w:t>
            </w:r>
          </w:p>
        </w:tc>
        <w:tc>
          <w:tcPr>
            <w:tcW w:w="294" w:type="pct"/>
          </w:tcPr>
          <w:p w14:paraId="562A9CD0" w14:textId="77777777" w:rsidR="00AD1F54" w:rsidRPr="00264D5D" w:rsidRDefault="00941227">
            <w:pPr>
              <w:spacing w:before="60" w:after="60"/>
              <w:jc w:val="center"/>
              <w:rPr>
                <w:sz w:val="22"/>
                <w:szCs w:val="22"/>
              </w:rPr>
            </w:pPr>
            <w:r w:rsidRPr="00264D5D">
              <w:rPr>
                <w:sz w:val="22"/>
                <w:szCs w:val="22"/>
              </w:rPr>
              <w:t>С</w:t>
            </w:r>
          </w:p>
        </w:tc>
        <w:tc>
          <w:tcPr>
            <w:tcW w:w="588" w:type="pct"/>
          </w:tcPr>
          <w:p w14:paraId="3BCEC82E" w14:textId="77777777" w:rsidR="00AD1F54" w:rsidRPr="00264D5D" w:rsidRDefault="00941227">
            <w:pPr>
              <w:spacing w:before="60" w:after="60"/>
              <w:jc w:val="left"/>
              <w:rPr>
                <w:sz w:val="22"/>
                <w:szCs w:val="22"/>
              </w:rPr>
            </w:pPr>
            <w:r w:rsidRPr="00264D5D">
              <w:rPr>
                <w:sz w:val="22"/>
                <w:szCs w:val="22"/>
              </w:rPr>
              <w:t>tRsk_crt_ITEM</w:t>
            </w:r>
          </w:p>
        </w:tc>
        <w:tc>
          <w:tcPr>
            <w:tcW w:w="294" w:type="pct"/>
          </w:tcPr>
          <w:p w14:paraId="06E266C7" w14:textId="77777777" w:rsidR="00AD1F54" w:rsidRPr="00264D5D" w:rsidRDefault="00941227">
            <w:pPr>
              <w:spacing w:before="60" w:after="60"/>
              <w:jc w:val="center"/>
              <w:rPr>
                <w:sz w:val="22"/>
                <w:szCs w:val="22"/>
              </w:rPr>
            </w:pPr>
            <w:r w:rsidRPr="00264D5D">
              <w:rPr>
                <w:sz w:val="22"/>
                <w:szCs w:val="22"/>
              </w:rPr>
              <w:t>ОМ</w:t>
            </w:r>
          </w:p>
        </w:tc>
        <w:tc>
          <w:tcPr>
            <w:tcW w:w="2056" w:type="pct"/>
          </w:tcPr>
          <w:p w14:paraId="368DA082" w14:textId="77777777" w:rsidR="00AD1F54" w:rsidRPr="00264D5D" w:rsidRDefault="00941227">
            <w:pPr>
              <w:spacing w:before="60" w:after="60"/>
              <w:rPr>
                <w:sz w:val="22"/>
                <w:szCs w:val="22"/>
              </w:rPr>
            </w:pPr>
            <w:r w:rsidRPr="00264D5D">
              <w:rPr>
                <w:sz w:val="22"/>
                <w:szCs w:val="22"/>
              </w:rPr>
              <w:t>Специализация.</w:t>
            </w:r>
          </w:p>
          <w:p w14:paraId="72536840" w14:textId="3D9E38BC" w:rsidR="00AD1F54" w:rsidRPr="00264D5D" w:rsidRDefault="00941227">
            <w:pPr>
              <w:spacing w:before="60" w:after="60"/>
              <w:rPr>
                <w:sz w:val="22"/>
                <w:szCs w:val="22"/>
              </w:rPr>
            </w:pPr>
            <w:r w:rsidRPr="00264D5D">
              <w:rPr>
                <w:sz w:val="22"/>
                <w:szCs w:val="22"/>
              </w:rPr>
              <w:t xml:space="preserve">Состав элемента представлен в таблице </w:t>
            </w:r>
            <w:r w:rsidRPr="00264D5D">
              <w:rPr>
                <w:b/>
                <w:bCs/>
                <w:sz w:val="22"/>
                <w:szCs w:val="22"/>
              </w:rPr>
              <w:fldChar w:fldCharType="begin"/>
            </w:r>
            <w:r w:rsidRPr="00264D5D">
              <w:rPr>
                <w:b/>
                <w:bCs/>
                <w:sz w:val="22"/>
                <w:szCs w:val="22"/>
              </w:rPr>
              <w:instrText xml:space="preserve"> REF _Ref111480591 \h  \* MERGEFORMAT </w:instrText>
            </w:r>
            <w:r w:rsidRPr="00264D5D">
              <w:rPr>
                <w:b/>
                <w:bCs/>
                <w:sz w:val="22"/>
                <w:szCs w:val="22"/>
              </w:rPr>
            </w:r>
            <w:r w:rsidRPr="00264D5D">
              <w:rPr>
                <w:b/>
                <w:bCs/>
                <w:sz w:val="22"/>
                <w:szCs w:val="22"/>
              </w:rPr>
              <w:fldChar w:fldCharType="separate"/>
            </w:r>
            <w:r w:rsidR="008D797C" w:rsidRPr="008D797C">
              <w:rPr>
                <w:b/>
                <w:bCs/>
                <w:sz w:val="22"/>
                <w:szCs w:val="22"/>
              </w:rPr>
              <w:t>77</w:t>
            </w:r>
            <w:r w:rsidRPr="00264D5D">
              <w:rPr>
                <w:b/>
                <w:bCs/>
                <w:sz w:val="22"/>
                <w:szCs w:val="22"/>
              </w:rPr>
              <w:fldChar w:fldCharType="end"/>
            </w:r>
          </w:p>
        </w:tc>
      </w:tr>
    </w:tbl>
    <w:p w14:paraId="3A6F48FE" w14:textId="77777777" w:rsidR="00AD1F54" w:rsidRPr="00264D5D" w:rsidRDefault="00941227">
      <w:pPr>
        <w:pStyle w:val="31"/>
      </w:pPr>
      <w:bookmarkStart w:id="938" w:name="_Toc111480299"/>
      <w:bookmarkStart w:id="939" w:name="_Toc115357146"/>
      <w:bookmarkStart w:id="940" w:name="_Toc219309515"/>
      <w:r w:rsidRPr="00264D5D">
        <w:t>Описание комплексного типа «tRsk_crt_ITEM»</w:t>
      </w:r>
      <w:bookmarkEnd w:id="938"/>
      <w:bookmarkEnd w:id="939"/>
      <w:bookmarkEnd w:id="940"/>
    </w:p>
    <w:p w14:paraId="5A501A21" w14:textId="77777777" w:rsidR="00AD1F54" w:rsidRPr="00264D5D" w:rsidRDefault="00941227">
      <w:pPr>
        <w:pStyle w:val="ASFKNormal"/>
        <w:spacing w:before="60" w:after="120"/>
        <w:contextualSpacing w:val="0"/>
        <w:jc w:val="both"/>
        <w:rPr>
          <w:sz w:val="24"/>
          <w:szCs w:val="24"/>
        </w:rPr>
      </w:pPr>
      <w:r w:rsidRPr="00264D5D">
        <w:rPr>
          <w:sz w:val="24"/>
          <w:szCs w:val="24"/>
        </w:rPr>
        <w:t xml:space="preserve">Описание комплексного типа «tRsk_crt_ITEM» блока «Специализация» </w:t>
      </w:r>
    </w:p>
    <w:p w14:paraId="4E07465E" w14:textId="6C4C8879" w:rsidR="00AD1F54" w:rsidRPr="00264D5D" w:rsidRDefault="001E5517">
      <w:pPr>
        <w:pStyle w:val="GOSTNameTable"/>
        <w:numPr>
          <w:ilvl w:val="0"/>
          <w:numId w:val="2"/>
        </w:numPr>
        <w:tabs>
          <w:tab w:val="clear" w:pos="567"/>
          <w:tab w:val="num" w:pos="993"/>
        </w:tabs>
        <w:ind w:left="425" w:hanging="357"/>
      </w:pPr>
      <w:r w:rsidRPr="00264D5D">
        <w:rPr>
          <w:noProof/>
        </w:rPr>
        <w:fldChar w:fldCharType="begin"/>
      </w:r>
      <w:r w:rsidRPr="00264D5D">
        <w:rPr>
          <w:noProof/>
        </w:rPr>
        <w:instrText xml:space="preserve"> SEQ Таблица \* ARABIC </w:instrText>
      </w:r>
      <w:r w:rsidRPr="00264D5D">
        <w:rPr>
          <w:noProof/>
        </w:rPr>
        <w:fldChar w:fldCharType="separate"/>
      </w:r>
      <w:bookmarkStart w:id="941" w:name="_Ref111480591"/>
      <w:bookmarkStart w:id="942" w:name="_Toc219309107"/>
      <w:r w:rsidR="008D797C">
        <w:rPr>
          <w:noProof/>
        </w:rPr>
        <w:t>77</w:t>
      </w:r>
      <w:bookmarkEnd w:id="941"/>
      <w:r w:rsidRPr="00264D5D">
        <w:rPr>
          <w:noProof/>
        </w:rPr>
        <w:fldChar w:fldCharType="end"/>
      </w:r>
      <w:r w:rsidR="00941227" w:rsidRPr="00264D5D">
        <w:rPr>
          <w:rFonts w:eastAsia="Calibri"/>
          <w:szCs w:val="24"/>
        </w:rPr>
        <w:t xml:space="preserve"> – </w:t>
      </w:r>
      <w:r w:rsidR="00941227" w:rsidRPr="00264D5D">
        <w:t>Описание комплексного типа «</w:t>
      </w:r>
      <w:r w:rsidR="00941227" w:rsidRPr="00264D5D">
        <w:rPr>
          <w:szCs w:val="24"/>
        </w:rPr>
        <w:t>tRsk_crt_ITEM</w:t>
      </w:r>
      <w:r w:rsidR="00941227" w:rsidRPr="00264D5D">
        <w:t>»</w:t>
      </w:r>
      <w:bookmarkEnd w:id="942"/>
    </w:p>
    <w:tbl>
      <w:tblPr>
        <w:tblStyle w:val="GOSTTable"/>
        <w:tblW w:w="5000" w:type="pct"/>
        <w:tblLayout w:type="fixed"/>
        <w:tblLook w:val="04A0" w:firstRow="1" w:lastRow="0" w:firstColumn="1" w:lastColumn="0" w:noHBand="0" w:noVBand="1"/>
      </w:tblPr>
      <w:tblGrid>
        <w:gridCol w:w="1705"/>
        <w:gridCol w:w="1705"/>
        <w:gridCol w:w="568"/>
        <w:gridCol w:w="1137"/>
        <w:gridCol w:w="567"/>
        <w:gridCol w:w="3968"/>
      </w:tblGrid>
      <w:tr w:rsidR="00AD1F54" w:rsidRPr="00264D5D" w14:paraId="4797AD08"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3" w:type="pct"/>
          </w:tcPr>
          <w:p w14:paraId="082370F3" w14:textId="77777777" w:rsidR="00AD1F54" w:rsidRPr="00264D5D" w:rsidRDefault="00941227">
            <w:pPr>
              <w:spacing w:before="60" w:after="60"/>
              <w:jc w:val="center"/>
              <w:rPr>
                <w:b/>
                <w:bCs/>
                <w:sz w:val="22"/>
                <w:szCs w:val="22"/>
              </w:rPr>
            </w:pPr>
            <w:r w:rsidRPr="00264D5D">
              <w:rPr>
                <w:b/>
                <w:bCs/>
                <w:sz w:val="22"/>
                <w:szCs w:val="22"/>
              </w:rPr>
              <w:t>Наименование элемента</w:t>
            </w:r>
          </w:p>
        </w:tc>
        <w:tc>
          <w:tcPr>
            <w:tcW w:w="883" w:type="pct"/>
          </w:tcPr>
          <w:p w14:paraId="52B0C3DD" w14:textId="77777777" w:rsidR="00AD1F54" w:rsidRPr="00264D5D" w:rsidRDefault="00941227">
            <w:pPr>
              <w:spacing w:before="60" w:after="60"/>
              <w:jc w:val="center"/>
              <w:rPr>
                <w:b/>
                <w:bCs/>
                <w:sz w:val="22"/>
                <w:szCs w:val="22"/>
              </w:rPr>
            </w:pPr>
            <w:r w:rsidRPr="00264D5D">
              <w:rPr>
                <w:b/>
                <w:bCs/>
                <w:sz w:val="22"/>
                <w:szCs w:val="22"/>
              </w:rPr>
              <w:t>Сокращенное наименование (код) элемента</w:t>
            </w:r>
          </w:p>
        </w:tc>
        <w:tc>
          <w:tcPr>
            <w:tcW w:w="294" w:type="pct"/>
          </w:tcPr>
          <w:p w14:paraId="6256C7DB" w14:textId="77777777" w:rsidR="00AD1F54" w:rsidRPr="00264D5D" w:rsidRDefault="00941227">
            <w:pPr>
              <w:spacing w:before="60" w:after="60"/>
              <w:jc w:val="center"/>
              <w:rPr>
                <w:b/>
                <w:bCs/>
                <w:sz w:val="22"/>
                <w:szCs w:val="22"/>
              </w:rPr>
            </w:pPr>
            <w:r w:rsidRPr="00264D5D">
              <w:rPr>
                <w:b/>
                <w:bCs/>
                <w:sz w:val="22"/>
                <w:szCs w:val="22"/>
              </w:rPr>
              <w:t>Тип</w:t>
            </w:r>
          </w:p>
        </w:tc>
        <w:tc>
          <w:tcPr>
            <w:tcW w:w="589" w:type="pct"/>
          </w:tcPr>
          <w:p w14:paraId="363DFCD8" w14:textId="77777777" w:rsidR="00AD1F54" w:rsidRPr="00264D5D" w:rsidRDefault="00941227">
            <w:pPr>
              <w:spacing w:before="60" w:after="60"/>
              <w:jc w:val="center"/>
              <w:rPr>
                <w:b/>
                <w:bCs/>
                <w:sz w:val="22"/>
                <w:szCs w:val="22"/>
              </w:rPr>
            </w:pPr>
            <w:r w:rsidRPr="00264D5D">
              <w:rPr>
                <w:b/>
                <w:bCs/>
                <w:sz w:val="22"/>
                <w:szCs w:val="22"/>
              </w:rPr>
              <w:t>Формат элемента</w:t>
            </w:r>
          </w:p>
        </w:tc>
        <w:tc>
          <w:tcPr>
            <w:tcW w:w="294" w:type="pct"/>
          </w:tcPr>
          <w:p w14:paraId="0319AD9C" w14:textId="77777777" w:rsidR="00AD1F54" w:rsidRPr="00264D5D" w:rsidRDefault="00941227">
            <w:pPr>
              <w:spacing w:before="60" w:after="60"/>
              <w:jc w:val="center"/>
              <w:rPr>
                <w:b/>
                <w:bCs/>
                <w:sz w:val="22"/>
                <w:szCs w:val="22"/>
              </w:rPr>
            </w:pPr>
            <w:r w:rsidRPr="00264D5D">
              <w:rPr>
                <w:b/>
                <w:bCs/>
                <w:sz w:val="22"/>
                <w:szCs w:val="22"/>
              </w:rPr>
              <w:t>Обязательность</w:t>
            </w:r>
          </w:p>
        </w:tc>
        <w:tc>
          <w:tcPr>
            <w:tcW w:w="2056" w:type="pct"/>
          </w:tcPr>
          <w:p w14:paraId="0B25E38F" w14:textId="77777777" w:rsidR="00AD1F54" w:rsidRPr="00264D5D" w:rsidRDefault="00941227">
            <w:pPr>
              <w:spacing w:before="60" w:after="60"/>
              <w:jc w:val="center"/>
              <w:rPr>
                <w:b/>
                <w:bCs/>
                <w:sz w:val="22"/>
                <w:szCs w:val="22"/>
              </w:rPr>
            </w:pPr>
            <w:r w:rsidRPr="00264D5D">
              <w:rPr>
                <w:b/>
                <w:bCs/>
                <w:sz w:val="22"/>
                <w:szCs w:val="22"/>
              </w:rPr>
              <w:t>Дополнительная информация</w:t>
            </w:r>
          </w:p>
        </w:tc>
      </w:tr>
      <w:tr w:rsidR="00AD1F54" w:rsidRPr="00264D5D" w14:paraId="1E199183"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20D5F2B3" w14:textId="77777777" w:rsidR="00AD1F54" w:rsidRPr="00264D5D" w:rsidRDefault="00941227">
            <w:pPr>
              <w:spacing w:before="60" w:after="60"/>
              <w:rPr>
                <w:sz w:val="22"/>
                <w:szCs w:val="22"/>
              </w:rPr>
            </w:pPr>
            <w:r w:rsidRPr="00264D5D">
              <w:rPr>
                <w:sz w:val="22"/>
                <w:szCs w:val="22"/>
              </w:rPr>
              <w:t>Код специализации</w:t>
            </w:r>
          </w:p>
        </w:tc>
        <w:tc>
          <w:tcPr>
            <w:tcW w:w="883" w:type="pct"/>
          </w:tcPr>
          <w:p w14:paraId="4ACC8FAC" w14:textId="77777777" w:rsidR="00AD1F54" w:rsidRPr="00264D5D" w:rsidRDefault="00941227">
            <w:pPr>
              <w:spacing w:before="60" w:after="60"/>
              <w:rPr>
                <w:sz w:val="22"/>
                <w:szCs w:val="22"/>
              </w:rPr>
            </w:pPr>
            <w:r w:rsidRPr="00264D5D">
              <w:rPr>
                <w:sz w:val="22"/>
                <w:szCs w:val="22"/>
              </w:rPr>
              <w:t>Specialization</w:t>
            </w:r>
          </w:p>
        </w:tc>
        <w:tc>
          <w:tcPr>
            <w:tcW w:w="294" w:type="pct"/>
          </w:tcPr>
          <w:p w14:paraId="24B0A0BD" w14:textId="77777777" w:rsidR="00AD1F54" w:rsidRPr="00264D5D" w:rsidRDefault="00941227">
            <w:pPr>
              <w:spacing w:before="60" w:after="60"/>
              <w:jc w:val="center"/>
              <w:rPr>
                <w:sz w:val="22"/>
                <w:szCs w:val="22"/>
              </w:rPr>
            </w:pPr>
            <w:r w:rsidRPr="00264D5D">
              <w:rPr>
                <w:sz w:val="22"/>
                <w:szCs w:val="22"/>
              </w:rPr>
              <w:t>П</w:t>
            </w:r>
          </w:p>
        </w:tc>
        <w:tc>
          <w:tcPr>
            <w:tcW w:w="589" w:type="pct"/>
          </w:tcPr>
          <w:p w14:paraId="271331AD" w14:textId="77777777" w:rsidR="00AD1F54" w:rsidRPr="00264D5D" w:rsidRDefault="00941227">
            <w:pPr>
              <w:spacing w:before="60" w:after="60"/>
              <w:jc w:val="center"/>
              <w:rPr>
                <w:sz w:val="22"/>
                <w:szCs w:val="22"/>
              </w:rPr>
            </w:pPr>
            <w:r w:rsidRPr="00264D5D">
              <w:rPr>
                <w:sz w:val="22"/>
                <w:szCs w:val="22"/>
              </w:rPr>
              <w:t>Т(3)</w:t>
            </w:r>
          </w:p>
        </w:tc>
        <w:tc>
          <w:tcPr>
            <w:tcW w:w="294" w:type="pct"/>
          </w:tcPr>
          <w:p w14:paraId="26658A79" w14:textId="77777777" w:rsidR="00AD1F54" w:rsidRPr="00264D5D" w:rsidRDefault="00941227">
            <w:pPr>
              <w:spacing w:before="60" w:after="60"/>
              <w:jc w:val="center"/>
              <w:rPr>
                <w:sz w:val="22"/>
                <w:szCs w:val="22"/>
              </w:rPr>
            </w:pPr>
            <w:r w:rsidRPr="00264D5D">
              <w:rPr>
                <w:sz w:val="22"/>
                <w:szCs w:val="22"/>
              </w:rPr>
              <w:t>О</w:t>
            </w:r>
          </w:p>
        </w:tc>
        <w:tc>
          <w:tcPr>
            <w:tcW w:w="2056" w:type="pct"/>
          </w:tcPr>
          <w:p w14:paraId="207E0885" w14:textId="77777777" w:rsidR="00AD1F54" w:rsidRPr="00264D5D" w:rsidRDefault="00BA58C1">
            <w:pPr>
              <w:spacing w:before="60" w:after="60"/>
              <w:rPr>
                <w:sz w:val="22"/>
                <w:szCs w:val="22"/>
              </w:rPr>
            </w:pPr>
            <w:r w:rsidRPr="00264D5D">
              <w:rPr>
                <w:sz w:val="22"/>
                <w:szCs w:val="22"/>
              </w:rPr>
              <w:t>Указывается код специализации</w:t>
            </w:r>
          </w:p>
        </w:tc>
      </w:tr>
    </w:tbl>
    <w:p w14:paraId="55F01519" w14:textId="77777777" w:rsidR="00AD1F54" w:rsidRPr="00264D5D" w:rsidRDefault="00941227">
      <w:pPr>
        <w:pStyle w:val="31"/>
      </w:pPr>
      <w:bookmarkStart w:id="943" w:name="_Toc219309516"/>
      <w:r w:rsidRPr="00264D5D">
        <w:t>Пример XML</w:t>
      </w:r>
      <w:bookmarkEnd w:id="943"/>
    </w:p>
    <w:p w14:paraId="766636FF"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&lt;?xml version="1.0" encoding="UTF-8"?&gt;</w:t>
      </w:r>
    </w:p>
    <w:p w14:paraId="4A58C973"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&lt;soapenv:Envelope xmlns:soapenv="http://schemas.xmlsoap.org/soap/envelope/" xmlns:wsu="http://docs.oasis-open.org/wss/2004/01/oasis-200401-wss-wssecurity-utility-1.0.xsd" xmlns:wsse="http://docs.oasis-open.org/wss/2004/01/oasis-200401-wss-wssecurity-secext-1.0.xsd"&gt;</w:t>
      </w:r>
    </w:p>
    <w:p w14:paraId="4B352182"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&lt;soapenv:Header xmlns:env="http://schemas.xmlsoap.org/soap/envelope/"&gt;&lt;wsse:Security wsu:Id="Id-sec-f9cb3040b7ca31cd7876d625c632e1aed304"&gt;</w:t>
      </w:r>
    </w:p>
    <w:p w14:paraId="5053652C"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 xmlns="http://www.w3.org/2000/09/xmldsig#" Id="Id-sig-b9199ca934cfa91bcff69e807d7b0dbd26f6"&gt;</w:t>
      </w:r>
    </w:p>
    <w:p w14:paraId="2A5D26DF"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52A90357"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&lt;CanonicalizationMethod Algorithm="http://www.w3.org/2001/10/xml-exc-c14n#"/&gt;</w:t>
      </w:r>
    </w:p>
    <w:p w14:paraId="38F201A3"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&lt;SignatureMethod Algorithm="http://www.w3.org/2001/04/xmldsig-more#gostr34102001-gostr3411"/&gt;</w:t>
      </w:r>
    </w:p>
    <w:p w14:paraId="3735ACAC"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URI="#Id-wssecdata-29cef34e3106063e64fead91c94aeda97ff4" Id="Id-dataref-ea575c0bb2c994b98298d2c77dcd5a7dbaa1"&gt;</w:t>
      </w:r>
    </w:p>
    <w:p w14:paraId="212E0FE3"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7F24434A"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2D366731"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1B219FA4"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73F60C13"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&lt;DigestValue&gt;4bqC9/3OSJqEHDz00XLzUf29YFcetigx2jr08qUp7fQ=&lt;/DigestValue&gt;</w:t>
      </w:r>
    </w:p>
    <w:p w14:paraId="413A2944"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6F4DF2FC"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Type="http://www.w3.org/TR/2002/REC-xmldsig-core-20020212/xmldsig-core-schema.xsd#X509Data" URI="#Id-keyinfo-11712390bc17243d110193ac033f54873ad8" Id="Id-keyinforef-ac3c6eb29c9af1964819db52ec661b26c339"&gt;</w:t>
      </w:r>
    </w:p>
    <w:p w14:paraId="1C6FB339"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043B46FC"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711EEAA4"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4A1C7F27"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4246D276"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&lt;DigestValue&gt;+0q515JTexjW0go5SdPl7+ydqXUKST91N44lIbXt8Yo=&lt;/DigestValue&gt;</w:t>
      </w:r>
    </w:p>
    <w:p w14:paraId="3204C3CC"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7BD83529"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URI="#Id-sp-4179cfd1e4ba9c0aaed70450fc3c741c9c08" Id="Id-ref-</w:t>
      </w:r>
      <w:r w:rsidRPr="00264D5D">
        <w:rPr>
          <w:rFonts w:cs="Courier New"/>
          <w:sz w:val="20"/>
        </w:rPr>
        <w:lastRenderedPageBreak/>
        <w:t>cb8cc265f168034494eca1c25ec74bf9433c"&gt;</w:t>
      </w:r>
    </w:p>
    <w:p w14:paraId="307C4DBF"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2BBF68F0"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69297CC7"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77A4C3F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06FEED9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&lt;DigestValue&gt;f10/P/MZ5W1AwvdMPGkqpWfYGkK10xUw6SycuQIgFIc=&lt;/DigestValue&gt;</w:t>
      </w:r>
    </w:p>
    <w:p w14:paraId="7CED944A"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415EE44D"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70693CE7"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&lt;SignatureValue&gt;Xg8mlCU46QdjuUgHR/GFI13DKE7tfRDOphsVyNpFnxC/Sa2XnEuGBKeW7azroY19</w:t>
      </w:r>
    </w:p>
    <w:p w14:paraId="10526F72"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3u7EHXe4dKfnrJ7k7Eq5+A==&lt;/SignatureValue&gt;</w:t>
      </w:r>
    </w:p>
    <w:p w14:paraId="458A0FE7"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5C90E031"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3CF59862"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 xmlns="http://uri.etsi.org/01903/v1.4.1#" Target="Id-sig-b9199ca934cfa91bcff69e807d7b0dbd26f6"&gt;</w:t>
      </w:r>
    </w:p>
    <w:p w14:paraId="34E3C69D"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 Id="Id-sp-4179cfd1e4ba9c0aaed70450fc3c741c9c08"&gt;</w:t>
      </w:r>
    </w:p>
    <w:p w14:paraId="214734CD"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&lt;SignedSignatureProperties Id="Id-ssp-408cecc6a155b8a0f2850e81d5f57496bb2b"/&gt;</w:t>
      </w:r>
    </w:p>
    <w:p w14:paraId="43C1660D"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&lt;/SignedProperties&gt;</w:t>
      </w:r>
    </w:p>
    <w:p w14:paraId="6D74E8CC"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&lt;/QualifyingProperties&gt;</w:t>
      </w:r>
    </w:p>
    <w:p w14:paraId="3913BF6A"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45A30F2A"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1B8986F1"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CVNlcnZlciBDQTEgMB4GCSqGSIb3DQEJARYRdWNfZmtAcm9za2F6bmEucnUxHDAa</w:t>
      </w:r>
    </w:p>
    <w:p w14:paraId="060A8660"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BgNVBAgMEzc3INCzLiDQnNC+0YHQutCy0LAxGjAYBggqhQMDgQMBARIMMDA3NzEw</w:t>
      </w:r>
    </w:p>
    <w:p w14:paraId="5CD1B48A"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NTY4NzYwMRgwFgYFKoUDZAESDTEwNDc3OTcwMTk4MzAxLDAqBgNVBAkMI9GD0LvQ</w:t>
      </w:r>
    </w:p>
    <w:p w14:paraId="7407FDA7"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uNGG0LAg0JjQu9GM0LjQvdC60LAsINC00L7QvCA3MRUwEwYDVQQHDAzQnNC+0YHQ</w:t>
      </w:r>
    </w:p>
    <w:p w14:paraId="719AE29B"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utCy0LAxCzAJBgNVBAYTAlJVMTgwNgYDVQQKDC/QpNC10LTQtdGA0LDQu9GM0L3Q</w:t>
      </w:r>
    </w:p>
    <w:p w14:paraId="5DF446B9"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vtC1INC60LDQt9C90LDRh9C10LnRgdGC0LLQvjE/MD0GA1UEAww20KPQpiDQpNC1</w:t>
      </w:r>
    </w:p>
    <w:p w14:paraId="7F4A0F21"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0LTQtdGA0LDQu9GM0L3QvtCz0L4g0LrQsNC30L3QsNGH0LXQudGB0YLQstCwMB4X</w:t>
      </w:r>
    </w:p>
    <w:p w14:paraId="573362B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DTE2MDQwNzA4MTExMFoXDTE3MDcwNzA4MTExMFowggITMRYwFAYFKoUDZAMSCzEy</w:t>
      </w:r>
    </w:p>
    <w:p w14:paraId="695EFEE3"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MzQ1Njc4OTAxMRgwFgYFKoUDZAESDTAxMjM0NTY3ODkxMjMxGjAYBggqhQMDgQMB</w:t>
      </w:r>
    </w:p>
    <w:p w14:paraId="7C6546B1"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ARIMMDAxMjM0NTY3ODkwMSYwJAYJKoZIhvcNAQkBFhduLm5hZ292aXRzeW5AaW5m</w:t>
      </w:r>
    </w:p>
    <w:p w14:paraId="5455FAA5"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b3NlYy5ydTELMAkGA1UEBhMCUlUxHDAaBgNVBAgMEzc3INCzLiDQnNC+0YHQutCy</w:t>
      </w:r>
    </w:p>
    <w:p w14:paraId="017D8002"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0LAxFTATBgNVBAcMDNCc0L7RgdC60LLQsDE4MDYGA1UECgwv0KTQtdC00LXRgNCw</w:t>
      </w:r>
    </w:p>
    <w:p w14:paraId="46A48E10"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0LvRjNC90L7QtSDQutCw0LfQvdCw0YfQtdC50YHRgtCy0L4xNDAyBgNVBAsMK9GC</w:t>
      </w:r>
    </w:p>
    <w:p w14:paraId="31EAE4A4"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0LXRgdGC0L7QstC+0LUg0L/QvtC00YDQsNC30LTQtdC70LXQvdC40LUxHDAaBgNV</w:t>
      </w:r>
    </w:p>
    <w:p w14:paraId="1B522AF1"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BCoME2PQtdGA0YLQuNGE0LjQutCw0YIxGTAXBgNVBAQMENCi0LXRgdGC0L7QstGL</w:t>
      </w:r>
    </w:p>
    <w:p w14:paraId="3A461E57"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0LkxPTA7BgNVBAwMNNCi0LXRgdGC0L7QstGL0Lkg0YHQtdGA0YLQuNGE0LjQutCw</w:t>
      </w:r>
    </w:p>
    <w:p w14:paraId="2F06D1B0"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0YIg0L/QvtC00L/QuNGB0LgxQTA/BgkqhkiG9w0BCQIMMklOTlw9MDEyMzQ1Njc4</w:t>
      </w:r>
    </w:p>
    <w:p w14:paraId="33A71DDC"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OS9LUFBcPTEyMzQ1Njc4OS9PR1JOXD0wMTIzNDU2Nzg5MTIzMS4wLAYDVQQDDCXQ</w:t>
      </w:r>
    </w:p>
    <w:p w14:paraId="2D31615B"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otC10YHRgtC+0LLRi9C5INGB0LXRgNGC0LjRhNC40LrQsNGCMGMwHAYGKoUDAgIT</w:t>
      </w:r>
    </w:p>
    <w:p w14:paraId="5A70B121"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MBIGByqFAwICJAAGByqFAwICHgEDQwAEQM/mE38gcSmh2U183WL3aPaP3tJu0vTq</w:t>
      </w:r>
    </w:p>
    <w:p w14:paraId="30482D5C"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CndMDcb72IGcv8nO7QkaqnFwXrkt6zScdQlQgUX78ct0+jNJa7ZIdLGjggRJMIIE</w:t>
      </w:r>
    </w:p>
    <w:p w14:paraId="5C00EB40"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RTAMBgNVHRMBAf8EAjAAMB0GA1UdIAQWMBQwCAYGKoUDZHEBMAgGBiqFA2RxAjBN</w:t>
      </w:r>
    </w:p>
    <w:p w14:paraId="2A4DE55F"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BgUqhQNkbwREDELQmtGA0LjQv9GC0L7Qn9GA0L4gQ1NQICjQstC10YDRgdC40Y8g</w:t>
      </w:r>
    </w:p>
    <w:p w14:paraId="09652F4D"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My42KSAo0LjRgdC/0L7Qu9C90LXQvdC40LUgMikwggFhBgUqhQNkcASCAVYwggFS</w:t>
      </w:r>
    </w:p>
    <w:p w14:paraId="09D462E2"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DEQi0JrRgNC40L/RgtC+0J/RgNC+IENTUCIgKNCy0LXRgNGB0LjRjyAzLjYpICjQ</w:t>
      </w:r>
    </w:p>
    <w:p w14:paraId="33E23DA3"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uNGB0L/QvtC70L3QtdC90LjQtSAyKQxoItCf0YDQvtCz0YDQsNC80LzQvdC+LdCw</w:t>
      </w:r>
    </w:p>
    <w:p w14:paraId="09635F46"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0L/Qv9Cw0YDQsNGC0L3Ri9C5INC60L7QvNC/0LvQtdC60YEgItCu0L3QuNGB0LXR</w:t>
      </w:r>
    </w:p>
    <w:p w14:paraId="444AB7BA"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gNGCLdCT0J7QodCiIi4g0JLQtdGA0YHQuNGPIDIuMSIMT9Ch0LXRgNGC0LjRhNC4</w:t>
      </w:r>
    </w:p>
    <w:p w14:paraId="0177365D"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0LrQsNGCINGB0L7QvtGC0LLQtdGC0YHRgtCy0LjRjyDihJYg0KHQpC8xMjQtMjcz</w:t>
      </w:r>
    </w:p>
    <w:p w14:paraId="556D2E74"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OCDQvtGCIDAxLjA3LjIwMTUMT9Ch0LXRgNGC0LjRhNC40LrQsNGCINGB0L7QvtGC</w:t>
      </w:r>
    </w:p>
    <w:p w14:paraId="589BF979"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0LLQtdGC0YHRgtCy0LjRjyDihJYg0KHQpC8xMjgtMjE3NSDQvtGCIDIwLjA2LjIw</w:t>
      </w:r>
    </w:p>
    <w:p w14:paraId="72BE7A62"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MTMwDgYDVR0PAQH/BAQDAgTwMBMGA1UdJQQMMAoGCCsGAQUFBwMDMCsGA1UdEAQk</w:t>
      </w:r>
    </w:p>
    <w:p w14:paraId="106A033B"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MCKADzIwMTYwNDA3MDgwNDI4WoEPMjAxNzA3MDcwODA0MjhaMIIBjwYDVR0jBIIB</w:t>
      </w:r>
    </w:p>
    <w:p w14:paraId="4E0AAB33"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hjCCAYKAFJ5xDg/atAEoXz/iy49lFZcCR4yroYIBZaSCAWEwggFdMRgwFgYJKoZI</w:t>
      </w:r>
    </w:p>
    <w:p w14:paraId="0A56A949"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hvcNAQkCEwlTZXJ2ZXIgQ0ExIDAeBgkqhkiG9w0BCQEWEXVjX2ZrQHJvc2them5h</w:t>
      </w:r>
    </w:p>
    <w:p w14:paraId="39A8FC42"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LnJ1MRwwGgYDVQQIDBM3NyDQsy4g0JzQvtGB0LrQstCwMRowGAYIKoUDA4EDAQES</w:t>
      </w:r>
    </w:p>
    <w:p w14:paraId="22E2464C"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DDAwNzcxMDU2ODc2MDEYMBYGBSqFA2QBEg0xMDQ3Nzk3MDE5ODMwMSwwKgYDVQQJ</w:t>
      </w:r>
    </w:p>
    <w:p w14:paraId="5DAF8EAD"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DCPRg9C70LjRhtCwINCY0LvRjNC40L3QutCwLCDQtNC+0LwgNzEVMBMGA1UEBwwM</w:t>
      </w:r>
    </w:p>
    <w:p w14:paraId="33015E1D"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0JzQvtGB0LrQstCwMQswCQYDVQQGEwJSVTE4MDYGA1UECgwv0KTQtdC00LXRgNCw</w:t>
      </w:r>
    </w:p>
    <w:p w14:paraId="56843B27"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0LvRjNC90L7QtSDQutCw0LfQvdCw0YfQtdC50YHRgtCy0L4xPzA9BgNVBAMMNtCj</w:t>
      </w:r>
    </w:p>
    <w:p w14:paraId="29DE1EFC"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0KYg0KTQtdC00LXRgNCw0LvRjNC90L7Qs9C+INC60LDQt9C90LDRh9C10LnRgdGC</w:t>
      </w:r>
    </w:p>
    <w:p w14:paraId="49577EE4"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0LLQsIIBATBeBgNVHR8EVzBVMCmgJ6AlhiNodHRwOi8vY3JsLnJvc2them5hLnJ1</w:t>
      </w:r>
    </w:p>
    <w:p w14:paraId="3CABC666"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L2NybC9mazAxLmNybDAooCagJIYiaHR0cDovL2NybC5mc2ZrLmxvY2FsL2NybC9m</w:t>
      </w:r>
    </w:p>
    <w:p w14:paraId="24E6FB2B"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azAxLmNybDAdBgNVHQ4EFgQUt0m7wwTPyJQ+5TDMkq5Z0WnD5vQwCAYGKoUDAgID</w:t>
      </w:r>
    </w:p>
    <w:p w14:paraId="4C3E585E"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A0EAReUQeQpqERyFF5XRWG8RnguKCWvPIQOt26PZmVTccxOXVHwZyI0rqdcQ2i4L</w:t>
      </w:r>
    </w:p>
    <w:p w14:paraId="0ED0ED63"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p87xs4bqOAO1BwhmKL/TsoC4pA==&lt;/wsse:BinarySecurityToken&gt;&lt;/wsse:Security&gt;&lt;/soapenv:Header&gt;</w:t>
      </w:r>
    </w:p>
    <w:p w14:paraId="002F9D46"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&lt;soapenv:Body xmlns:env="http://schemas.xmlsoap.org/soap/envelope/" wsu:Id="Id-wssecdata-29cef34e3106063e64fead91c94aeda97ff4"&gt;</w:t>
      </w:r>
    </w:p>
    <w:p w14:paraId="3DB143A6"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&lt;transferDocumentRequest xmlns:typ="http://www.roskazna.ru/eb/services/transferDocumentService/types" xmlns="http://www.roskazna.ru/eb/services/transferDocumentService/types" versionId="1.0"&gt;</w:t>
      </w:r>
    </w:p>
    <w:p w14:paraId="547CFA24"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&lt;typ:header&gt;</w:t>
      </w:r>
    </w:p>
    <w:p w14:paraId="59952034"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&lt;typ:packageId&gt;e8bf66bf-9cf1-47f1-a48b-394d18467fe3&lt;/typ:packageId&gt;</w:t>
      </w:r>
    </w:p>
    <w:p w14:paraId="49013EA9"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&lt;typ:senderSystemId&gt;PFHD&lt;/typ:senderSystemId&gt;</w:t>
      </w:r>
    </w:p>
    <w:p w14:paraId="4FCDB615"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&lt;typ:targetSystemId&gt;EXP&lt;/typ:targetSystemId&gt;</w:t>
      </w:r>
    </w:p>
    <w:p w14:paraId="21CF118E"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&lt;typ:documentType&gt;MSC_ApplCashFlow&lt;/typ:documentType&gt;</w:t>
      </w:r>
    </w:p>
    <w:p w14:paraId="1FE14AD5"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&lt;typ:documentGuid&gt;a2e4e9b1-753d-4e55-d111-a46db4ac956a&lt;/typ:documentGuid&gt;</w:t>
      </w:r>
    </w:p>
    <w:p w14:paraId="2100837B"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&lt;typ:creationDateTime&gt;2024-01-24T16:46:07.689+04:00&lt;/typ:creationDateTime&gt;</w:t>
      </w:r>
    </w:p>
    <w:p w14:paraId="2BC0BEB5"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&lt;typ:params&gt;</w:t>
      </w:r>
    </w:p>
    <w:p w14:paraId="1C60E200"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 name="tofkCode" value="3200"/&gt;</w:t>
      </w:r>
    </w:p>
    <w:p w14:paraId="4BCACEF9"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 name="versionId" value="4.0"/&gt;</w:t>
      </w:r>
    </w:p>
    <w:p w14:paraId="3E73106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&lt;/typ:params&gt;</w:t>
      </w:r>
    </w:p>
    <w:p w14:paraId="5F493979"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&lt;/typ:header&gt;</w:t>
      </w:r>
    </w:p>
    <w:p w14:paraId="172ED30B"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&lt;typ:document&gt;</w:t>
      </w:r>
    </w:p>
    <w:p w14:paraId="7A62F8AD"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&lt;self:MSC_ApplCashFlow metaType="formular" versionID="4.0" Id="Id-xadesdata-eaf97d94646411e9b78d005056834f23" xsi:schemaLocation="http://www.roskazna.ru/eb/domain/MSC_ApplCashFlow/formular formulars.xsd" xmlns:self="http://www.roskazna.ru/eb/domain/MSC_ApplCashFlow/formular" xmlns:xsi="http://www.w3.org/2001/XMLSchema-instance"&gt;</w:t>
      </w:r>
    </w:p>
    <w:p w14:paraId="41EB0114"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&lt;ZR_RqstNm xmlns=""&gt;101&lt;/ZR_RqstNm&gt;</w:t>
      </w:r>
    </w:p>
    <w:p w14:paraId="6F953C65"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&lt;ZR_MSC_Cstmr xmlns=""&gt;</w:t>
      </w:r>
    </w:p>
    <w:p w14:paraId="4B3AF09E"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&lt;Cd&gt;32185743&lt;/Cd&gt;</w:t>
      </w:r>
    </w:p>
    <w:p w14:paraId="2F2DB60A"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FullNm</w:t>
      </w:r>
      <w:r w:rsidRPr="00264D5D">
        <w:rPr>
          <w:rFonts w:cs="Courier New"/>
          <w:sz w:val="20"/>
          <w:lang w:val="ru-RU"/>
        </w:rPr>
        <w:t>&gt;ДЕПАРТАМЕНТ ЛЕСНОГО ХОЗЯЙСТВА ПО ПРИВОЛЖСКОМУ ФЕДЕРАЛЬНОМУ ОКРУГУ&lt;/</w:t>
      </w:r>
      <w:r w:rsidRPr="00264D5D">
        <w:rPr>
          <w:rFonts w:cs="Courier New"/>
          <w:sz w:val="20"/>
        </w:rPr>
        <w:t>FullNm</w:t>
      </w:r>
      <w:r w:rsidRPr="00264D5D">
        <w:rPr>
          <w:rFonts w:cs="Courier New"/>
          <w:sz w:val="20"/>
          <w:lang w:val="ru-RU"/>
        </w:rPr>
        <w:t>&gt;</w:t>
      </w:r>
    </w:p>
    <w:p w14:paraId="07AD72E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&lt;AcntNmbr&gt;03321857430&lt;/AcntNmbr&gt;</w:t>
      </w:r>
    </w:p>
    <w:p w14:paraId="241DD685"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&lt;/ZR_MSC_Cstmr&gt;</w:t>
      </w:r>
    </w:p>
    <w:p w14:paraId="27BB748D"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&lt;ZR_MSC_GRBS xmlns=""&gt;</w:t>
      </w:r>
    </w:p>
    <w:p w14:paraId="5D72FC9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&lt;Cd&gt;053&lt;/Cd&gt;</w:t>
      </w:r>
    </w:p>
    <w:p w14:paraId="1F5135FA"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Nm</w:t>
      </w:r>
      <w:r w:rsidRPr="00264D5D">
        <w:rPr>
          <w:rFonts w:cs="Courier New"/>
          <w:sz w:val="20"/>
          <w:lang w:val="ru-RU"/>
        </w:rPr>
        <w:t>&gt;ФЕДЕРАЛЬНОЕ АГЕНТСТВО ЛЕСНОГО ХОЗЯЙСТВА&lt;/</w:t>
      </w:r>
      <w:r w:rsidRPr="00264D5D">
        <w:rPr>
          <w:rFonts w:cs="Courier New"/>
          <w:sz w:val="20"/>
        </w:rPr>
        <w:t>Nm</w:t>
      </w:r>
      <w:r w:rsidRPr="00264D5D">
        <w:rPr>
          <w:rFonts w:cs="Courier New"/>
          <w:sz w:val="20"/>
          <w:lang w:val="ru-RU"/>
        </w:rPr>
        <w:t>&gt;</w:t>
      </w:r>
    </w:p>
    <w:p w14:paraId="09907ABC"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ZR</w:t>
      </w:r>
      <w:r w:rsidRPr="00264D5D">
        <w:rPr>
          <w:rFonts w:cs="Courier New"/>
          <w:sz w:val="20"/>
          <w:lang w:val="ru-RU"/>
        </w:rPr>
        <w:t>_</w:t>
      </w:r>
      <w:r w:rsidRPr="00264D5D">
        <w:rPr>
          <w:rFonts w:cs="Courier New"/>
          <w:sz w:val="20"/>
        </w:rPr>
        <w:t>MSC</w:t>
      </w:r>
      <w:r w:rsidRPr="00264D5D">
        <w:rPr>
          <w:rFonts w:cs="Courier New"/>
          <w:sz w:val="20"/>
          <w:lang w:val="ru-RU"/>
        </w:rPr>
        <w:t>_</w:t>
      </w:r>
      <w:r w:rsidRPr="00264D5D">
        <w:rPr>
          <w:rFonts w:cs="Courier New"/>
          <w:sz w:val="20"/>
        </w:rPr>
        <w:t>GRBS</w:t>
      </w:r>
      <w:r w:rsidRPr="00264D5D">
        <w:rPr>
          <w:rFonts w:cs="Courier New"/>
          <w:sz w:val="20"/>
          <w:lang w:val="ru-RU"/>
        </w:rPr>
        <w:t>&gt;</w:t>
      </w:r>
    </w:p>
    <w:p w14:paraId="06C139A5"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ZR</w:t>
      </w:r>
      <w:r w:rsidRPr="00264D5D">
        <w:rPr>
          <w:rFonts w:cs="Courier New"/>
          <w:sz w:val="20"/>
          <w:lang w:val="ru-RU"/>
        </w:rPr>
        <w:t>_</w:t>
      </w:r>
      <w:r w:rsidRPr="00264D5D">
        <w:rPr>
          <w:rFonts w:cs="Courier New"/>
          <w:sz w:val="20"/>
        </w:rPr>
        <w:t>MSC</w:t>
      </w:r>
      <w:r w:rsidRPr="00264D5D">
        <w:rPr>
          <w:rFonts w:cs="Courier New"/>
          <w:sz w:val="20"/>
          <w:lang w:val="ru-RU"/>
        </w:rPr>
        <w:t>_</w:t>
      </w:r>
      <w:r w:rsidRPr="00264D5D">
        <w:rPr>
          <w:rFonts w:cs="Courier New"/>
          <w:sz w:val="20"/>
        </w:rPr>
        <w:t>Orgnztn</w:t>
      </w:r>
      <w:r w:rsidRPr="00264D5D">
        <w:rPr>
          <w:rFonts w:cs="Courier New"/>
          <w:sz w:val="20"/>
          <w:lang w:val="ru-RU"/>
        </w:rPr>
        <w:t xml:space="preserve"> </w:t>
      </w:r>
      <w:r w:rsidRPr="00264D5D">
        <w:rPr>
          <w:rFonts w:cs="Courier New"/>
          <w:sz w:val="20"/>
        </w:rPr>
        <w:t>xmlns</w:t>
      </w:r>
      <w:r w:rsidRPr="00264D5D">
        <w:rPr>
          <w:rFonts w:cs="Courier New"/>
          <w:sz w:val="20"/>
          <w:lang w:val="ru-RU"/>
        </w:rPr>
        <w:t>=""&gt;</w:t>
      </w:r>
    </w:p>
    <w:p w14:paraId="3DCD1D06"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MSC</w:t>
      </w:r>
      <w:r w:rsidRPr="00264D5D">
        <w:rPr>
          <w:rFonts w:cs="Courier New"/>
          <w:sz w:val="20"/>
          <w:lang w:val="ru-RU"/>
        </w:rPr>
        <w:t>_</w:t>
      </w:r>
      <w:r w:rsidRPr="00264D5D">
        <w:rPr>
          <w:rFonts w:cs="Courier New"/>
          <w:sz w:val="20"/>
        </w:rPr>
        <w:t>OrFK</w:t>
      </w:r>
      <w:r w:rsidRPr="00264D5D">
        <w:rPr>
          <w:rFonts w:cs="Courier New"/>
          <w:sz w:val="20"/>
          <w:lang w:val="ru-RU"/>
        </w:rPr>
        <w:t xml:space="preserve"> </w:t>
      </w:r>
      <w:r w:rsidRPr="00264D5D">
        <w:rPr>
          <w:rFonts w:cs="Courier New"/>
          <w:sz w:val="20"/>
        </w:rPr>
        <w:t>xmlns</w:t>
      </w:r>
      <w:r w:rsidRPr="00264D5D">
        <w:rPr>
          <w:rFonts w:cs="Courier New"/>
          <w:sz w:val="20"/>
          <w:lang w:val="ru-RU"/>
        </w:rPr>
        <w:t>=""&gt;</w:t>
      </w:r>
    </w:p>
    <w:p w14:paraId="00DF3DDC"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Nm</w:t>
      </w:r>
      <w:r w:rsidRPr="00264D5D">
        <w:rPr>
          <w:rFonts w:cs="Courier New"/>
          <w:sz w:val="20"/>
          <w:lang w:val="ru-RU"/>
        </w:rPr>
        <w:t>&gt;УФК по Нижегородской области&lt;/</w:t>
      </w:r>
      <w:r w:rsidRPr="00264D5D">
        <w:rPr>
          <w:rFonts w:cs="Courier New"/>
          <w:sz w:val="20"/>
        </w:rPr>
        <w:t>Nm</w:t>
      </w:r>
      <w:r w:rsidRPr="00264D5D">
        <w:rPr>
          <w:rFonts w:cs="Courier New"/>
          <w:sz w:val="20"/>
          <w:lang w:val="ru-RU"/>
        </w:rPr>
        <w:t>&gt;</w:t>
      </w:r>
    </w:p>
    <w:p w14:paraId="0F54C9C3"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Cd</w:t>
      </w:r>
      <w:r w:rsidRPr="00264D5D">
        <w:rPr>
          <w:rFonts w:cs="Courier New"/>
          <w:sz w:val="20"/>
          <w:lang w:val="ru-RU"/>
        </w:rPr>
        <w:t>&gt;3200&lt;/</w:t>
      </w:r>
      <w:r w:rsidRPr="00264D5D">
        <w:rPr>
          <w:rFonts w:cs="Courier New"/>
          <w:sz w:val="20"/>
        </w:rPr>
        <w:t>Cd</w:t>
      </w:r>
      <w:r w:rsidRPr="00264D5D">
        <w:rPr>
          <w:rFonts w:cs="Courier New"/>
          <w:sz w:val="20"/>
          <w:lang w:val="ru-RU"/>
        </w:rPr>
        <w:t>&gt;</w:t>
      </w:r>
    </w:p>
    <w:p w14:paraId="42CCF11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MSC</w:t>
      </w:r>
      <w:r w:rsidRPr="00264D5D">
        <w:rPr>
          <w:rFonts w:cs="Courier New"/>
          <w:sz w:val="20"/>
          <w:lang w:val="ru-RU"/>
        </w:rPr>
        <w:t>_</w:t>
      </w:r>
      <w:r w:rsidRPr="00264D5D">
        <w:rPr>
          <w:rFonts w:cs="Courier New"/>
          <w:sz w:val="20"/>
        </w:rPr>
        <w:t>OrFK</w:t>
      </w:r>
      <w:r w:rsidRPr="00264D5D">
        <w:rPr>
          <w:rFonts w:cs="Courier New"/>
          <w:sz w:val="20"/>
          <w:lang w:val="ru-RU"/>
        </w:rPr>
        <w:t>&gt;</w:t>
      </w:r>
    </w:p>
    <w:p w14:paraId="4B49EDFD"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NmBdgt</w:t>
      </w:r>
      <w:r w:rsidRPr="00264D5D">
        <w:rPr>
          <w:rFonts w:cs="Courier New"/>
          <w:sz w:val="20"/>
          <w:lang w:val="ru-RU"/>
        </w:rPr>
        <w:t>&gt;Федеральный бюджет&lt;/</w:t>
      </w:r>
      <w:r w:rsidRPr="00264D5D">
        <w:rPr>
          <w:rFonts w:cs="Courier New"/>
          <w:sz w:val="20"/>
        </w:rPr>
        <w:t>NmBdgt</w:t>
      </w:r>
      <w:r w:rsidRPr="00264D5D">
        <w:rPr>
          <w:rFonts w:cs="Courier New"/>
          <w:sz w:val="20"/>
          <w:lang w:val="ru-RU"/>
        </w:rPr>
        <w:t>&gt;</w:t>
      </w:r>
    </w:p>
    <w:p w14:paraId="6E3BD0FC"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FnclInst</w:t>
      </w:r>
      <w:r w:rsidRPr="00264D5D">
        <w:rPr>
          <w:rFonts w:cs="Courier New"/>
          <w:sz w:val="20"/>
          <w:lang w:val="ru-RU"/>
        </w:rPr>
        <w:t xml:space="preserve"> </w:t>
      </w:r>
      <w:r w:rsidRPr="00264D5D">
        <w:rPr>
          <w:rFonts w:cs="Courier New"/>
          <w:sz w:val="20"/>
        </w:rPr>
        <w:t>xmlns</w:t>
      </w:r>
      <w:r w:rsidRPr="00264D5D">
        <w:rPr>
          <w:rFonts w:cs="Courier New"/>
          <w:sz w:val="20"/>
          <w:lang w:val="ru-RU"/>
        </w:rPr>
        <w:t>=""&gt;</w:t>
      </w:r>
    </w:p>
    <w:p w14:paraId="07CD37BB"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FnclInst</w:t>
      </w:r>
      <w:r w:rsidRPr="00264D5D">
        <w:rPr>
          <w:rFonts w:cs="Courier New"/>
          <w:sz w:val="20"/>
          <w:lang w:val="ru-RU"/>
        </w:rPr>
        <w:t>&gt;Министерство финансов Российской Федерации&lt;/</w:t>
      </w:r>
      <w:r w:rsidRPr="00264D5D">
        <w:rPr>
          <w:rFonts w:cs="Courier New"/>
          <w:sz w:val="20"/>
        </w:rPr>
        <w:t>FnclInst</w:t>
      </w:r>
      <w:r w:rsidRPr="00264D5D">
        <w:rPr>
          <w:rFonts w:cs="Courier New"/>
          <w:sz w:val="20"/>
          <w:lang w:val="ru-RU"/>
        </w:rPr>
        <w:t>&gt;</w:t>
      </w:r>
    </w:p>
    <w:p w14:paraId="66DFAEDD"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OKPOCd</w:t>
      </w:r>
      <w:r w:rsidRPr="00264D5D">
        <w:rPr>
          <w:rFonts w:cs="Courier New"/>
          <w:sz w:val="20"/>
          <w:lang w:val="ru-RU"/>
        </w:rPr>
        <w:t>&gt;00013474&lt;/</w:t>
      </w:r>
      <w:r w:rsidRPr="00264D5D">
        <w:rPr>
          <w:rFonts w:cs="Courier New"/>
          <w:sz w:val="20"/>
        </w:rPr>
        <w:t>OKPOCd</w:t>
      </w:r>
      <w:r w:rsidRPr="00264D5D">
        <w:rPr>
          <w:rFonts w:cs="Courier New"/>
          <w:sz w:val="20"/>
          <w:lang w:val="ru-RU"/>
        </w:rPr>
        <w:t>&gt;</w:t>
      </w:r>
    </w:p>
    <w:p w14:paraId="2E443B63"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lastRenderedPageBreak/>
        <w:t>&lt;/</w:t>
      </w:r>
      <w:r w:rsidRPr="00264D5D">
        <w:rPr>
          <w:rFonts w:cs="Courier New"/>
          <w:sz w:val="20"/>
        </w:rPr>
        <w:t>FnclInst</w:t>
      </w:r>
      <w:r w:rsidRPr="00264D5D">
        <w:rPr>
          <w:rFonts w:cs="Courier New"/>
          <w:sz w:val="20"/>
          <w:lang w:val="ru-RU"/>
        </w:rPr>
        <w:t>&gt;</w:t>
      </w:r>
    </w:p>
    <w:p w14:paraId="0AA71C69"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ZR</w:t>
      </w:r>
      <w:r w:rsidRPr="00264D5D">
        <w:rPr>
          <w:rFonts w:cs="Courier New"/>
          <w:sz w:val="20"/>
          <w:lang w:val="ru-RU"/>
        </w:rPr>
        <w:t>_</w:t>
      </w:r>
      <w:r w:rsidRPr="00264D5D">
        <w:rPr>
          <w:rFonts w:cs="Courier New"/>
          <w:sz w:val="20"/>
        </w:rPr>
        <w:t>MSC</w:t>
      </w:r>
      <w:r w:rsidRPr="00264D5D">
        <w:rPr>
          <w:rFonts w:cs="Courier New"/>
          <w:sz w:val="20"/>
          <w:lang w:val="ru-RU"/>
        </w:rPr>
        <w:t>_</w:t>
      </w:r>
      <w:r w:rsidRPr="00264D5D">
        <w:rPr>
          <w:rFonts w:cs="Courier New"/>
          <w:sz w:val="20"/>
        </w:rPr>
        <w:t>Orgnztn</w:t>
      </w:r>
      <w:r w:rsidRPr="00264D5D">
        <w:rPr>
          <w:rFonts w:cs="Courier New"/>
          <w:sz w:val="20"/>
          <w:lang w:val="ru-RU"/>
        </w:rPr>
        <w:t>&gt;</w:t>
      </w:r>
    </w:p>
    <w:p w14:paraId="47F99AA5"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ZR</w:t>
      </w:r>
      <w:r w:rsidRPr="00264D5D">
        <w:rPr>
          <w:rFonts w:cs="Courier New"/>
          <w:sz w:val="20"/>
          <w:lang w:val="ru-RU"/>
        </w:rPr>
        <w:t>_</w:t>
      </w:r>
      <w:r w:rsidRPr="00264D5D">
        <w:rPr>
          <w:rFonts w:cs="Courier New"/>
          <w:sz w:val="20"/>
        </w:rPr>
        <w:t>DctDtISP</w:t>
      </w:r>
      <w:r w:rsidRPr="00264D5D">
        <w:rPr>
          <w:rFonts w:cs="Courier New"/>
          <w:sz w:val="20"/>
          <w:lang w:val="ru-RU"/>
        </w:rPr>
        <w:t xml:space="preserve"> </w:t>
      </w:r>
      <w:r w:rsidRPr="00264D5D">
        <w:rPr>
          <w:rFonts w:cs="Courier New"/>
          <w:sz w:val="20"/>
        </w:rPr>
        <w:t>xmlns</w:t>
      </w:r>
      <w:r w:rsidRPr="00264D5D">
        <w:rPr>
          <w:rFonts w:cs="Courier New"/>
          <w:sz w:val="20"/>
          <w:lang w:val="ru-RU"/>
        </w:rPr>
        <w:t>=""&gt;2024-01-24&lt;/</w:t>
      </w:r>
      <w:r w:rsidRPr="00264D5D">
        <w:rPr>
          <w:rFonts w:cs="Courier New"/>
          <w:sz w:val="20"/>
        </w:rPr>
        <w:t>ZR</w:t>
      </w:r>
      <w:r w:rsidRPr="00264D5D">
        <w:rPr>
          <w:rFonts w:cs="Courier New"/>
          <w:sz w:val="20"/>
          <w:lang w:val="ru-RU"/>
        </w:rPr>
        <w:t>_</w:t>
      </w:r>
      <w:r w:rsidRPr="00264D5D">
        <w:rPr>
          <w:rFonts w:cs="Courier New"/>
          <w:sz w:val="20"/>
        </w:rPr>
        <w:t>DctDtISP</w:t>
      </w:r>
      <w:r w:rsidRPr="00264D5D">
        <w:rPr>
          <w:rFonts w:cs="Courier New"/>
          <w:sz w:val="20"/>
          <w:lang w:val="ru-RU"/>
        </w:rPr>
        <w:t>&gt;</w:t>
      </w:r>
    </w:p>
    <w:p w14:paraId="4DAE961D"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&lt;ZR_GUIDSV xmlns=""&gt;a2e4e9b1-753d-4e55-a382-a46db4ac956a&lt;/ZR_GUIDSV&gt;</w:t>
      </w:r>
    </w:p>
    <w:p w14:paraId="3DC1BF23"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&lt;ZR_OblgtNm xmlns=""&gt;1234567890123456789&lt;/ZR_OblgtNm&gt;</w:t>
      </w:r>
    </w:p>
    <w:p w14:paraId="4CCE6B12"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&lt;ZR_MSC_PrtExctn xmlns=""&gt;</w:t>
      </w:r>
    </w:p>
    <w:p w14:paraId="25EE64B6"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&lt;Cd&gt;1&lt;/Cd&gt;</w:t>
      </w:r>
    </w:p>
    <w:p w14:paraId="459A656C"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&lt;Exctn&gt;первый&lt;/Exctn&gt;</w:t>
      </w:r>
    </w:p>
    <w:p w14:paraId="4F31A8C4"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&lt;/ZR_MSC_PrtExctn&gt;</w:t>
      </w:r>
    </w:p>
    <w:p w14:paraId="3F243A73"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&lt;ZR_FAIPObjCd xmlns=""&gt;100002321520003456&lt;/ZR_FAIPObjCd&gt;</w:t>
      </w:r>
    </w:p>
    <w:p w14:paraId="6BE3200C"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&lt;ZR_AmntV xmlns=""&gt;125.33&lt;/ZR_AmntV&gt;</w:t>
      </w:r>
    </w:p>
    <w:p w14:paraId="03515723"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&lt;ZR_CdOKV xmlns=""&gt;643&lt;/ZR_CdOKV&gt;</w:t>
      </w:r>
    </w:p>
    <w:p w14:paraId="6288870B"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&lt;ZR_AmntDc xmlns=""&gt;125.33&lt;/ZR_AmntDc&gt;</w:t>
      </w:r>
    </w:p>
    <w:p w14:paraId="2AB1AD15"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&lt;ZR_IncTypeCode xmlns=""&gt;1&lt;/ZR_IncTypeCode&gt;</w:t>
      </w:r>
    </w:p>
    <w:p w14:paraId="7D49C150"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&lt;ZR_MSC_Cntrctr xmlns=""&gt;</w:t>
      </w:r>
    </w:p>
    <w:p w14:paraId="118A0D3B"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&lt;Nm&gt;ОАО "Волга-Телеком"&lt;/Nm&gt;</w:t>
      </w:r>
    </w:p>
    <w:p w14:paraId="782A4AF3"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&lt;INN&gt;5244009279&lt;/INN&gt;</w:t>
      </w:r>
    </w:p>
    <w:p w14:paraId="098A472A"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&lt;KPP&gt;524401001&lt;/KPP&gt;</w:t>
      </w:r>
    </w:p>
    <w:p w14:paraId="18D8C58A"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&lt;AcntNm&gt;04341900607&lt;/AcntNm&gt;</w:t>
      </w:r>
    </w:p>
    <w:p w14:paraId="4F1F0A36"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 xml:space="preserve"> &lt;MSC_Bnk xmlns=""&gt;</w:t>
      </w:r>
    </w:p>
    <w:p w14:paraId="74D7939A"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&lt;AcNm&gt;03234643700010000712&lt;/AcNm&gt;</w:t>
      </w:r>
    </w:p>
    <w:p w14:paraId="0D4680EC"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Nm</w:t>
      </w:r>
      <w:r w:rsidRPr="00264D5D">
        <w:rPr>
          <w:rFonts w:cs="Courier New"/>
          <w:sz w:val="20"/>
          <w:lang w:val="ru-RU"/>
        </w:rPr>
        <w:t>&gt;Отделение Нижний Новгород Банка России//УФК по Нижегородской области, г.Нижний Новгород&lt;/</w:t>
      </w:r>
      <w:r w:rsidRPr="00264D5D">
        <w:rPr>
          <w:rFonts w:cs="Courier New"/>
          <w:sz w:val="20"/>
        </w:rPr>
        <w:t>Nm</w:t>
      </w:r>
      <w:r w:rsidRPr="00264D5D">
        <w:rPr>
          <w:rFonts w:cs="Courier New"/>
          <w:sz w:val="20"/>
          <w:lang w:val="ru-RU"/>
        </w:rPr>
        <w:t>&gt;</w:t>
      </w:r>
    </w:p>
    <w:p w14:paraId="64CC8884"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&lt;BIK&gt;042202824&lt;/BIK&gt;</w:t>
      </w:r>
    </w:p>
    <w:p w14:paraId="159E254B"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&lt;CrAccNm&gt;40102810200000000824&lt;/CrAccNm&gt;</w:t>
      </w:r>
    </w:p>
    <w:p w14:paraId="6F0972F4"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&lt;/MSC_Bnk&gt;</w:t>
      </w:r>
    </w:p>
    <w:p w14:paraId="588BEA22"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&lt;/ZR_MSC_Cntrctr&gt;</w:t>
      </w:r>
    </w:p>
    <w:p w14:paraId="0AA1FEFC"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&lt;ZR_TxprSts xmlns=""&gt;01&lt;/ZR_TxprSts&gt;</w:t>
      </w:r>
    </w:p>
    <w:p w14:paraId="03BFBADB"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&lt;ZR_KBK xmlns=""&gt;05211103010014600120&lt;/ZR_KBK&gt;</w:t>
      </w:r>
    </w:p>
    <w:p w14:paraId="6D700499"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&lt;ZR_OKTMO xmlns=""&gt;22701000&lt;/ZR_OKTMO&gt;</w:t>
      </w:r>
    </w:p>
    <w:p w14:paraId="7D6D65C1"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&lt;ZR_IndxBsPmnt xmlns=""&gt;ТП&lt;/ZR_IndxBsPmnt&gt;</w:t>
      </w:r>
    </w:p>
    <w:p w14:paraId="68E586D6"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&lt;ZR_IndxTxPrd xmlns=""&gt;MC.04.2023&lt;/ZR_IndxTxPrd&gt;</w:t>
      </w:r>
    </w:p>
    <w:p w14:paraId="4872A4F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&lt;ZR_IndxNmDc xmlns=""&gt;1&lt;/ZR_IndxNmDc&gt;</w:t>
      </w:r>
    </w:p>
    <w:p w14:paraId="712FA724"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&lt;ZR_IndxDtDc xmlns=""&gt;24.01.2024&lt;/ZR_IndxDtDc&gt;</w:t>
      </w:r>
    </w:p>
    <w:p w14:paraId="4C2C033E"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&lt;InfoPayZHKU_IdPd xmlns=""&gt;23АА467855-00-0001&lt;/InfoPayZHKU_IdPd&gt;</w:t>
      </w:r>
    </w:p>
    <w:p w14:paraId="4F85426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&lt;InfoPayZHKU_PayPeriod xmlns=""&gt;04.2024&lt;/InfoPayZHKU_PayPeriod&gt;</w:t>
      </w:r>
    </w:p>
    <w:p w14:paraId="4651644D"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&lt;InfoPayZHKU_SingleAcc xmlns=""&gt;03АА000034&lt;/InfoPayZHKU_SingleAcc&gt;</w:t>
      </w:r>
    </w:p>
    <w:p w14:paraId="3B81B39E"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&lt;InfoPayZHKU_IdZHKU xmlns=""&gt;03АА000034-23&lt;/InfoPayZHKU_IdZHKU&gt;</w:t>
      </w:r>
    </w:p>
    <w:p w14:paraId="79D47F79"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&lt;ZR_MSC_Hd xmlns=""&gt;</w:t>
      </w:r>
    </w:p>
    <w:p w14:paraId="682B454F"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&lt;Pst&gt;Руководитель&lt;/Pst&gt;</w:t>
      </w:r>
    </w:p>
    <w:p w14:paraId="5F0EC762"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FIO</w:t>
      </w:r>
      <w:r w:rsidRPr="00264D5D">
        <w:rPr>
          <w:rFonts w:cs="Courier New"/>
          <w:sz w:val="20"/>
          <w:lang w:val="ru-RU"/>
        </w:rPr>
        <w:t>&gt;Петров А. Н.&lt;/</w:t>
      </w:r>
      <w:r w:rsidRPr="00264D5D">
        <w:rPr>
          <w:rFonts w:cs="Courier New"/>
          <w:sz w:val="20"/>
        </w:rPr>
        <w:t>FIO</w:t>
      </w:r>
      <w:r w:rsidRPr="00264D5D">
        <w:rPr>
          <w:rFonts w:cs="Courier New"/>
          <w:sz w:val="20"/>
          <w:lang w:val="ru-RU"/>
        </w:rPr>
        <w:t>&gt;</w:t>
      </w:r>
    </w:p>
    <w:p w14:paraId="5503D2B7"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ZR</w:t>
      </w:r>
      <w:r w:rsidRPr="00264D5D">
        <w:rPr>
          <w:rFonts w:cs="Courier New"/>
          <w:sz w:val="20"/>
          <w:lang w:val="ru-RU"/>
        </w:rPr>
        <w:t>_</w:t>
      </w:r>
      <w:r w:rsidRPr="00264D5D">
        <w:rPr>
          <w:rFonts w:cs="Courier New"/>
          <w:sz w:val="20"/>
        </w:rPr>
        <w:t>MSC</w:t>
      </w:r>
      <w:r w:rsidRPr="00264D5D">
        <w:rPr>
          <w:rFonts w:cs="Courier New"/>
          <w:sz w:val="20"/>
          <w:lang w:val="ru-RU"/>
        </w:rPr>
        <w:t>_</w:t>
      </w:r>
      <w:r w:rsidRPr="00264D5D">
        <w:rPr>
          <w:rFonts w:cs="Courier New"/>
          <w:sz w:val="20"/>
        </w:rPr>
        <w:t>Hd</w:t>
      </w:r>
      <w:r w:rsidRPr="00264D5D">
        <w:rPr>
          <w:rFonts w:cs="Courier New"/>
          <w:sz w:val="20"/>
          <w:lang w:val="ru-RU"/>
        </w:rPr>
        <w:t>&gt;</w:t>
      </w:r>
    </w:p>
    <w:p w14:paraId="0EB7A7B3"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ZR</w:t>
      </w:r>
      <w:r w:rsidRPr="00264D5D">
        <w:rPr>
          <w:rFonts w:cs="Courier New"/>
          <w:sz w:val="20"/>
          <w:lang w:val="ru-RU"/>
        </w:rPr>
        <w:t>_</w:t>
      </w:r>
      <w:r w:rsidRPr="00264D5D">
        <w:rPr>
          <w:rFonts w:cs="Courier New"/>
          <w:sz w:val="20"/>
        </w:rPr>
        <w:t>SgngDtPOD</w:t>
      </w:r>
      <w:r w:rsidRPr="00264D5D">
        <w:rPr>
          <w:rFonts w:cs="Courier New"/>
          <w:sz w:val="20"/>
          <w:lang w:val="ru-RU"/>
        </w:rPr>
        <w:t xml:space="preserve"> </w:t>
      </w:r>
      <w:r w:rsidRPr="00264D5D">
        <w:rPr>
          <w:rFonts w:cs="Courier New"/>
          <w:sz w:val="20"/>
        </w:rPr>
        <w:t>xmlns</w:t>
      </w:r>
      <w:r w:rsidRPr="00264D5D">
        <w:rPr>
          <w:rFonts w:cs="Courier New"/>
          <w:sz w:val="20"/>
          <w:lang w:val="ru-RU"/>
        </w:rPr>
        <w:t>=""&gt;2024-01-24&lt;/</w:t>
      </w:r>
      <w:r w:rsidRPr="00264D5D">
        <w:rPr>
          <w:rFonts w:cs="Courier New"/>
          <w:sz w:val="20"/>
        </w:rPr>
        <w:t>ZR</w:t>
      </w:r>
      <w:r w:rsidRPr="00264D5D">
        <w:rPr>
          <w:rFonts w:cs="Courier New"/>
          <w:sz w:val="20"/>
          <w:lang w:val="ru-RU"/>
        </w:rPr>
        <w:t>_</w:t>
      </w:r>
      <w:r w:rsidRPr="00264D5D">
        <w:rPr>
          <w:rFonts w:cs="Courier New"/>
          <w:sz w:val="20"/>
        </w:rPr>
        <w:t>SgngDtPOD</w:t>
      </w:r>
      <w:r w:rsidRPr="00264D5D">
        <w:rPr>
          <w:rFonts w:cs="Courier New"/>
          <w:sz w:val="20"/>
          <w:lang w:val="ru-RU"/>
        </w:rPr>
        <w:t>&gt;</w:t>
      </w:r>
    </w:p>
    <w:p w14:paraId="36A9431D"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ZR</w:t>
      </w:r>
      <w:r w:rsidRPr="00264D5D">
        <w:rPr>
          <w:rFonts w:cs="Courier New"/>
          <w:sz w:val="20"/>
          <w:lang w:val="ru-RU"/>
        </w:rPr>
        <w:t>_</w:t>
      </w:r>
      <w:r w:rsidRPr="00264D5D">
        <w:rPr>
          <w:rFonts w:cs="Courier New"/>
          <w:sz w:val="20"/>
        </w:rPr>
        <w:t>MSC</w:t>
      </w:r>
      <w:r w:rsidRPr="00264D5D">
        <w:rPr>
          <w:rFonts w:cs="Courier New"/>
          <w:sz w:val="20"/>
          <w:lang w:val="ru-RU"/>
        </w:rPr>
        <w:t>_</w:t>
      </w:r>
      <w:r w:rsidRPr="00264D5D">
        <w:rPr>
          <w:rFonts w:cs="Courier New"/>
          <w:sz w:val="20"/>
        </w:rPr>
        <w:t>RspnExctr</w:t>
      </w:r>
      <w:r w:rsidRPr="00264D5D">
        <w:rPr>
          <w:rFonts w:cs="Courier New"/>
          <w:sz w:val="20"/>
          <w:lang w:val="ru-RU"/>
        </w:rPr>
        <w:t xml:space="preserve"> </w:t>
      </w:r>
      <w:r w:rsidRPr="00264D5D">
        <w:rPr>
          <w:rFonts w:cs="Courier New"/>
          <w:sz w:val="20"/>
        </w:rPr>
        <w:t>xmlns</w:t>
      </w:r>
      <w:r w:rsidRPr="00264D5D">
        <w:rPr>
          <w:rFonts w:cs="Courier New"/>
          <w:sz w:val="20"/>
          <w:lang w:val="ru-RU"/>
        </w:rPr>
        <w:t>=""&gt;</w:t>
      </w:r>
    </w:p>
    <w:p w14:paraId="16807525"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Pst</w:t>
      </w:r>
      <w:r w:rsidRPr="00264D5D">
        <w:rPr>
          <w:rFonts w:cs="Courier New"/>
          <w:sz w:val="20"/>
          <w:lang w:val="ru-RU"/>
        </w:rPr>
        <w:t>&gt;Главный бухгалтер&lt;/</w:t>
      </w:r>
      <w:r w:rsidRPr="00264D5D">
        <w:rPr>
          <w:rFonts w:cs="Courier New"/>
          <w:sz w:val="20"/>
        </w:rPr>
        <w:t>Pst</w:t>
      </w:r>
      <w:r w:rsidRPr="00264D5D">
        <w:rPr>
          <w:rFonts w:cs="Courier New"/>
          <w:sz w:val="20"/>
          <w:lang w:val="ru-RU"/>
        </w:rPr>
        <w:t>&gt;</w:t>
      </w:r>
    </w:p>
    <w:p w14:paraId="591ADC77"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FIO</w:t>
      </w:r>
      <w:r w:rsidRPr="00264D5D">
        <w:rPr>
          <w:rFonts w:cs="Courier New"/>
          <w:sz w:val="20"/>
          <w:lang w:val="ru-RU"/>
        </w:rPr>
        <w:t>&gt;Иванова Т. С.&lt;/</w:t>
      </w:r>
      <w:r w:rsidRPr="00264D5D">
        <w:rPr>
          <w:rFonts w:cs="Courier New"/>
          <w:sz w:val="20"/>
        </w:rPr>
        <w:t>FIO</w:t>
      </w:r>
      <w:r w:rsidRPr="00264D5D">
        <w:rPr>
          <w:rFonts w:cs="Courier New"/>
          <w:sz w:val="20"/>
          <w:lang w:val="ru-RU"/>
        </w:rPr>
        <w:t>&gt;</w:t>
      </w:r>
    </w:p>
    <w:p w14:paraId="76889AC4"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ZR</w:t>
      </w:r>
      <w:r w:rsidRPr="00264D5D">
        <w:rPr>
          <w:rFonts w:cs="Courier New"/>
          <w:sz w:val="20"/>
          <w:lang w:val="ru-RU"/>
        </w:rPr>
        <w:t>_</w:t>
      </w:r>
      <w:r w:rsidRPr="00264D5D">
        <w:rPr>
          <w:rFonts w:cs="Courier New"/>
          <w:sz w:val="20"/>
        </w:rPr>
        <w:t>MSC</w:t>
      </w:r>
      <w:r w:rsidRPr="00264D5D">
        <w:rPr>
          <w:rFonts w:cs="Courier New"/>
          <w:sz w:val="20"/>
          <w:lang w:val="ru-RU"/>
        </w:rPr>
        <w:t>_</w:t>
      </w:r>
      <w:r w:rsidRPr="00264D5D">
        <w:rPr>
          <w:rFonts w:cs="Courier New"/>
          <w:sz w:val="20"/>
        </w:rPr>
        <w:t>RspnExctr</w:t>
      </w:r>
      <w:r w:rsidRPr="00264D5D">
        <w:rPr>
          <w:rFonts w:cs="Courier New"/>
          <w:sz w:val="20"/>
          <w:lang w:val="ru-RU"/>
        </w:rPr>
        <w:t>&gt;</w:t>
      </w:r>
    </w:p>
    <w:p w14:paraId="71A653BA"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ZR</w:t>
      </w:r>
      <w:r w:rsidRPr="00264D5D">
        <w:rPr>
          <w:rFonts w:cs="Courier New"/>
          <w:sz w:val="20"/>
          <w:lang w:val="ru-RU"/>
        </w:rPr>
        <w:t>_</w:t>
      </w:r>
      <w:r w:rsidRPr="00264D5D">
        <w:rPr>
          <w:rFonts w:cs="Courier New"/>
          <w:sz w:val="20"/>
        </w:rPr>
        <w:t>MSC</w:t>
      </w:r>
      <w:r w:rsidRPr="00264D5D">
        <w:rPr>
          <w:rFonts w:cs="Courier New"/>
          <w:sz w:val="20"/>
          <w:lang w:val="ru-RU"/>
        </w:rPr>
        <w:t>_</w:t>
      </w:r>
      <w:r w:rsidRPr="00264D5D">
        <w:rPr>
          <w:rFonts w:cs="Courier New"/>
          <w:sz w:val="20"/>
        </w:rPr>
        <w:t>MrkOrFK</w:t>
      </w:r>
      <w:r w:rsidRPr="00264D5D">
        <w:rPr>
          <w:rFonts w:cs="Courier New"/>
          <w:sz w:val="20"/>
          <w:lang w:val="ru-RU"/>
        </w:rPr>
        <w:t xml:space="preserve"> </w:t>
      </w:r>
      <w:r w:rsidRPr="00264D5D">
        <w:rPr>
          <w:rFonts w:cs="Courier New"/>
          <w:sz w:val="20"/>
        </w:rPr>
        <w:t>xmlns</w:t>
      </w:r>
      <w:r w:rsidRPr="00264D5D">
        <w:rPr>
          <w:rFonts w:cs="Courier New"/>
          <w:sz w:val="20"/>
          <w:lang w:val="ru-RU"/>
        </w:rPr>
        <w:t>=""&gt;</w:t>
      </w:r>
    </w:p>
    <w:p w14:paraId="14E6F099"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RqstNm</w:t>
      </w:r>
      <w:r w:rsidRPr="00264D5D">
        <w:rPr>
          <w:rFonts w:cs="Courier New"/>
          <w:sz w:val="20"/>
          <w:lang w:val="ru-RU"/>
        </w:rPr>
        <w:t>&gt;030102019&lt;/</w:t>
      </w:r>
      <w:r w:rsidRPr="00264D5D">
        <w:rPr>
          <w:rFonts w:cs="Courier New"/>
          <w:sz w:val="20"/>
        </w:rPr>
        <w:t>RqstNm</w:t>
      </w:r>
      <w:r w:rsidRPr="00264D5D">
        <w:rPr>
          <w:rFonts w:cs="Courier New"/>
          <w:sz w:val="20"/>
          <w:lang w:val="ru-RU"/>
        </w:rPr>
        <w:t>&gt;</w:t>
      </w:r>
    </w:p>
    <w:p w14:paraId="7AA8D1F4"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RgsDt</w:t>
      </w:r>
      <w:r w:rsidRPr="00264D5D">
        <w:rPr>
          <w:rFonts w:cs="Courier New"/>
          <w:sz w:val="20"/>
          <w:lang w:val="ru-RU"/>
        </w:rPr>
        <w:t>&gt;2024-01-24&lt;/</w:t>
      </w:r>
      <w:r w:rsidRPr="00264D5D">
        <w:rPr>
          <w:rFonts w:cs="Courier New"/>
          <w:sz w:val="20"/>
        </w:rPr>
        <w:t>RgsDt</w:t>
      </w:r>
      <w:r w:rsidRPr="00264D5D">
        <w:rPr>
          <w:rFonts w:cs="Courier New"/>
          <w:sz w:val="20"/>
          <w:lang w:val="ru-RU"/>
        </w:rPr>
        <w:t>&gt;</w:t>
      </w:r>
    </w:p>
    <w:p w14:paraId="398B7C92"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Pstn</w:t>
      </w:r>
      <w:r w:rsidRPr="00264D5D">
        <w:rPr>
          <w:rFonts w:cs="Courier New"/>
          <w:sz w:val="20"/>
          <w:lang w:val="ru-RU"/>
        </w:rPr>
        <w:t>&gt;Казначей&lt;/</w:t>
      </w:r>
      <w:r w:rsidRPr="00264D5D">
        <w:rPr>
          <w:rFonts w:cs="Courier New"/>
          <w:sz w:val="20"/>
        </w:rPr>
        <w:t>Pstn</w:t>
      </w:r>
      <w:r w:rsidRPr="00264D5D">
        <w:rPr>
          <w:rFonts w:cs="Courier New"/>
          <w:sz w:val="20"/>
          <w:lang w:val="ru-RU"/>
        </w:rPr>
        <w:t>&gt;</w:t>
      </w:r>
    </w:p>
    <w:p w14:paraId="3736BB7D"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FllNm</w:t>
      </w:r>
      <w:r w:rsidRPr="00264D5D">
        <w:rPr>
          <w:rFonts w:cs="Courier New"/>
          <w:sz w:val="20"/>
          <w:lang w:val="ru-RU"/>
        </w:rPr>
        <w:t>&gt;Ковалев М. В.&lt;/</w:t>
      </w:r>
      <w:r w:rsidRPr="00264D5D">
        <w:rPr>
          <w:rFonts w:cs="Courier New"/>
          <w:sz w:val="20"/>
        </w:rPr>
        <w:t>FllNm</w:t>
      </w:r>
      <w:r w:rsidRPr="00264D5D">
        <w:rPr>
          <w:rFonts w:cs="Courier New"/>
          <w:sz w:val="20"/>
          <w:lang w:val="ru-RU"/>
        </w:rPr>
        <w:t>&gt;</w:t>
      </w:r>
    </w:p>
    <w:p w14:paraId="49C38B11"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&lt;Tlphn&gt;8(916)999-45-67&lt;/Tlphn&gt;</w:t>
      </w:r>
    </w:p>
    <w:p w14:paraId="6DBAF127"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&lt;/ZR_MSC_MrkOrFK&gt;</w:t>
      </w:r>
    </w:p>
    <w:p w14:paraId="37C2472D"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&lt;ZROSN xmlns=""&gt;</w:t>
      </w:r>
    </w:p>
    <w:p w14:paraId="3331534E"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&lt;ZROSN_ITEM xmlns=""&gt;</w:t>
      </w:r>
    </w:p>
    <w:p w14:paraId="0655958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&lt;MSC_DcBs xmlns=""&gt;</w:t>
      </w:r>
    </w:p>
    <w:p w14:paraId="1C562CBE"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&lt;Knd&gt;Договор&lt;/Knd&gt;</w:t>
      </w:r>
    </w:p>
    <w:p w14:paraId="30FF408D"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lastRenderedPageBreak/>
        <w:t>&lt;</w:t>
      </w:r>
      <w:r w:rsidRPr="00264D5D">
        <w:rPr>
          <w:rFonts w:cs="Courier New"/>
          <w:sz w:val="20"/>
        </w:rPr>
        <w:t>DcNmbr</w:t>
      </w:r>
      <w:r w:rsidRPr="00264D5D">
        <w:rPr>
          <w:rFonts w:cs="Courier New"/>
          <w:sz w:val="20"/>
          <w:lang w:val="ru-RU"/>
        </w:rPr>
        <w:t>&gt;15-2020&lt;/</w:t>
      </w:r>
      <w:r w:rsidRPr="00264D5D">
        <w:rPr>
          <w:rFonts w:cs="Courier New"/>
          <w:sz w:val="20"/>
        </w:rPr>
        <w:t>DcNmbr</w:t>
      </w:r>
      <w:r w:rsidRPr="00264D5D">
        <w:rPr>
          <w:rFonts w:cs="Courier New"/>
          <w:sz w:val="20"/>
          <w:lang w:val="ru-RU"/>
        </w:rPr>
        <w:t>&gt;</w:t>
      </w:r>
    </w:p>
    <w:p w14:paraId="4B5C3EA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DctDt</w:t>
      </w:r>
      <w:r w:rsidRPr="00264D5D">
        <w:rPr>
          <w:rFonts w:cs="Courier New"/>
          <w:sz w:val="20"/>
          <w:lang w:val="ru-RU"/>
        </w:rPr>
        <w:t>&gt;2024-01-24&lt;/</w:t>
      </w:r>
      <w:r w:rsidRPr="00264D5D">
        <w:rPr>
          <w:rFonts w:cs="Courier New"/>
          <w:sz w:val="20"/>
        </w:rPr>
        <w:t>DctDt</w:t>
      </w:r>
      <w:r w:rsidRPr="00264D5D">
        <w:rPr>
          <w:rFonts w:cs="Courier New"/>
          <w:sz w:val="20"/>
          <w:lang w:val="ru-RU"/>
        </w:rPr>
        <w:t>&gt;</w:t>
      </w:r>
    </w:p>
    <w:p w14:paraId="2CDCA047"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Sbjct</w:t>
      </w:r>
      <w:r w:rsidRPr="00264D5D">
        <w:rPr>
          <w:rFonts w:cs="Courier New"/>
          <w:sz w:val="20"/>
          <w:lang w:val="ru-RU"/>
        </w:rPr>
        <w:t>&gt;Договор на предоставление услуг связи&lt;/</w:t>
      </w:r>
      <w:r w:rsidRPr="00264D5D">
        <w:rPr>
          <w:rFonts w:cs="Courier New"/>
          <w:sz w:val="20"/>
        </w:rPr>
        <w:t>Sbjct</w:t>
      </w:r>
      <w:r w:rsidRPr="00264D5D">
        <w:rPr>
          <w:rFonts w:cs="Courier New"/>
          <w:sz w:val="20"/>
          <w:lang w:val="ru-RU"/>
        </w:rPr>
        <w:t>&gt;</w:t>
      </w:r>
    </w:p>
    <w:p w14:paraId="26FD9731"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&lt;/MSC_DcBs&gt;</w:t>
      </w:r>
    </w:p>
    <w:p w14:paraId="699DECA5"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&lt;/ZROSN_ITEM&gt;</w:t>
      </w:r>
    </w:p>
    <w:p w14:paraId="6A8C587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&lt;/ZROSN&gt;</w:t>
      </w:r>
    </w:p>
    <w:p w14:paraId="252AEE54"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&lt;ZRST xmlns=""&gt;</w:t>
      </w:r>
    </w:p>
    <w:p w14:paraId="7B05D43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&lt;ZRST_ITEM xmlns=""&gt;</w:t>
      </w:r>
    </w:p>
    <w:p w14:paraId="29AB6207"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RcrdNm</w:t>
      </w:r>
      <w:r w:rsidRPr="00264D5D">
        <w:rPr>
          <w:rFonts w:cs="Courier New"/>
          <w:sz w:val="20"/>
          <w:lang w:val="ru-RU"/>
        </w:rPr>
        <w:t>&gt;1234&lt;/</w:t>
      </w:r>
      <w:r w:rsidRPr="00264D5D">
        <w:rPr>
          <w:rFonts w:cs="Courier New"/>
          <w:sz w:val="20"/>
        </w:rPr>
        <w:t>RcrdNm</w:t>
      </w:r>
      <w:r w:rsidRPr="00264D5D">
        <w:rPr>
          <w:rFonts w:cs="Courier New"/>
          <w:sz w:val="20"/>
          <w:lang w:val="ru-RU"/>
        </w:rPr>
        <w:t>&gt;</w:t>
      </w:r>
    </w:p>
    <w:p w14:paraId="2EDC7FC9"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MSC</w:t>
      </w:r>
      <w:r w:rsidRPr="00264D5D">
        <w:rPr>
          <w:rFonts w:cs="Courier New"/>
          <w:sz w:val="20"/>
          <w:lang w:val="ru-RU"/>
        </w:rPr>
        <w:t>_</w:t>
      </w:r>
      <w:r w:rsidRPr="00264D5D">
        <w:rPr>
          <w:rFonts w:cs="Courier New"/>
          <w:sz w:val="20"/>
        </w:rPr>
        <w:t>FndsSrc</w:t>
      </w:r>
      <w:r w:rsidRPr="00264D5D">
        <w:rPr>
          <w:rFonts w:cs="Courier New"/>
          <w:sz w:val="20"/>
          <w:lang w:val="ru-RU"/>
        </w:rPr>
        <w:t xml:space="preserve"> </w:t>
      </w:r>
      <w:r w:rsidRPr="00264D5D">
        <w:rPr>
          <w:rFonts w:cs="Courier New"/>
          <w:sz w:val="20"/>
        </w:rPr>
        <w:t>code</w:t>
      </w:r>
      <w:r w:rsidRPr="00264D5D">
        <w:rPr>
          <w:rFonts w:cs="Courier New"/>
          <w:sz w:val="20"/>
          <w:lang w:val="ru-RU"/>
        </w:rPr>
        <w:t xml:space="preserve">="5" </w:t>
      </w:r>
      <w:r w:rsidRPr="00264D5D">
        <w:rPr>
          <w:rFonts w:cs="Courier New"/>
          <w:sz w:val="20"/>
        </w:rPr>
        <w:t>value</w:t>
      </w:r>
      <w:r w:rsidRPr="00264D5D">
        <w:rPr>
          <w:rFonts w:cs="Courier New"/>
          <w:sz w:val="20"/>
          <w:lang w:val="ru-RU"/>
        </w:rPr>
        <w:t>="Средства, поступающие во временное распоряжение казенных учреждений"/&gt;</w:t>
      </w:r>
    </w:p>
    <w:p w14:paraId="5C1F024E"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MSC</w:t>
      </w:r>
      <w:r w:rsidRPr="00264D5D">
        <w:rPr>
          <w:rFonts w:cs="Courier New"/>
          <w:sz w:val="20"/>
          <w:lang w:val="ru-RU"/>
        </w:rPr>
        <w:t>_</w:t>
      </w:r>
      <w:r w:rsidRPr="00264D5D">
        <w:rPr>
          <w:rFonts w:cs="Courier New"/>
          <w:sz w:val="20"/>
        </w:rPr>
        <w:t>KBKPyr</w:t>
      </w:r>
      <w:r w:rsidRPr="00264D5D">
        <w:rPr>
          <w:rFonts w:cs="Courier New"/>
          <w:sz w:val="20"/>
          <w:lang w:val="ru-RU"/>
        </w:rPr>
        <w:t xml:space="preserve"> </w:t>
      </w:r>
      <w:r w:rsidRPr="00264D5D">
        <w:rPr>
          <w:rFonts w:cs="Courier New"/>
          <w:sz w:val="20"/>
        </w:rPr>
        <w:t>xmlns</w:t>
      </w:r>
      <w:r w:rsidRPr="00264D5D">
        <w:rPr>
          <w:rFonts w:cs="Courier New"/>
          <w:sz w:val="20"/>
          <w:lang w:val="ru-RU"/>
        </w:rPr>
        <w:t>=""&gt;</w:t>
      </w:r>
    </w:p>
    <w:p w14:paraId="2CA864B2"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KBK</w:t>
      </w:r>
      <w:r w:rsidRPr="00264D5D">
        <w:rPr>
          <w:rFonts w:cs="Courier New"/>
          <w:sz w:val="20"/>
          <w:lang w:val="ru-RU"/>
        </w:rPr>
        <w:t>&gt;05310064270000755221&lt;/</w:t>
      </w:r>
      <w:r w:rsidRPr="00264D5D">
        <w:rPr>
          <w:rFonts w:cs="Courier New"/>
          <w:sz w:val="20"/>
        </w:rPr>
        <w:t>KBK</w:t>
      </w:r>
      <w:r w:rsidRPr="00264D5D">
        <w:rPr>
          <w:rFonts w:cs="Courier New"/>
          <w:sz w:val="20"/>
          <w:lang w:val="ru-RU"/>
        </w:rPr>
        <w:t>&gt;</w:t>
      </w:r>
    </w:p>
    <w:p w14:paraId="532BCBE4"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TrgtCd</w:t>
      </w:r>
      <w:r w:rsidRPr="00264D5D">
        <w:rPr>
          <w:rFonts w:cs="Courier New"/>
          <w:sz w:val="20"/>
          <w:lang w:val="ru-RU"/>
        </w:rPr>
        <w:t>&gt;18040&lt;/</w:t>
      </w:r>
      <w:r w:rsidRPr="00264D5D">
        <w:rPr>
          <w:rFonts w:cs="Courier New"/>
          <w:sz w:val="20"/>
        </w:rPr>
        <w:t>TrgtCd</w:t>
      </w:r>
      <w:r w:rsidRPr="00264D5D">
        <w:rPr>
          <w:rFonts w:cs="Courier New"/>
          <w:sz w:val="20"/>
          <w:lang w:val="ru-RU"/>
        </w:rPr>
        <w:t>&gt;</w:t>
      </w:r>
    </w:p>
    <w:p w14:paraId="5239D1C1"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BKTp</w:t>
      </w:r>
      <w:r w:rsidRPr="00264D5D">
        <w:rPr>
          <w:rFonts w:cs="Courier New"/>
          <w:sz w:val="20"/>
          <w:lang w:val="ru-RU"/>
        </w:rPr>
        <w:t xml:space="preserve"> </w:t>
      </w:r>
      <w:r w:rsidRPr="00264D5D">
        <w:rPr>
          <w:rFonts w:cs="Courier New"/>
          <w:sz w:val="20"/>
        </w:rPr>
        <w:t>value</w:t>
      </w:r>
      <w:r w:rsidRPr="00264D5D">
        <w:rPr>
          <w:rFonts w:cs="Courier New"/>
          <w:sz w:val="20"/>
          <w:lang w:val="ru-RU"/>
        </w:rPr>
        <w:t xml:space="preserve">="Расходы" </w:t>
      </w:r>
      <w:r w:rsidRPr="00264D5D">
        <w:rPr>
          <w:rFonts w:cs="Courier New"/>
          <w:sz w:val="20"/>
        </w:rPr>
        <w:t>code</w:t>
      </w:r>
      <w:r w:rsidRPr="00264D5D">
        <w:rPr>
          <w:rFonts w:cs="Courier New"/>
          <w:sz w:val="20"/>
          <w:lang w:val="ru-RU"/>
        </w:rPr>
        <w:t>="10"/&gt;</w:t>
      </w:r>
    </w:p>
    <w:p w14:paraId="0F30B07C"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MSC</w:t>
      </w:r>
      <w:r w:rsidRPr="00264D5D">
        <w:rPr>
          <w:rFonts w:cs="Courier New"/>
          <w:sz w:val="20"/>
          <w:lang w:val="ru-RU"/>
        </w:rPr>
        <w:t>_</w:t>
      </w:r>
      <w:r w:rsidRPr="00264D5D">
        <w:rPr>
          <w:rFonts w:cs="Courier New"/>
          <w:sz w:val="20"/>
        </w:rPr>
        <w:t>KBKPyr</w:t>
      </w:r>
      <w:r w:rsidRPr="00264D5D">
        <w:rPr>
          <w:rFonts w:cs="Courier New"/>
          <w:sz w:val="20"/>
          <w:lang w:val="ru-RU"/>
        </w:rPr>
        <w:t>&gt;</w:t>
      </w:r>
    </w:p>
    <w:p w14:paraId="59EF3094"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MSC</w:t>
      </w:r>
      <w:r w:rsidRPr="00264D5D">
        <w:rPr>
          <w:rFonts w:cs="Courier New"/>
          <w:sz w:val="20"/>
          <w:lang w:val="ru-RU"/>
        </w:rPr>
        <w:t>_</w:t>
      </w:r>
      <w:r w:rsidRPr="00264D5D">
        <w:rPr>
          <w:rFonts w:cs="Courier New"/>
          <w:sz w:val="20"/>
        </w:rPr>
        <w:t>KBKRcpnt</w:t>
      </w:r>
      <w:r w:rsidRPr="00264D5D">
        <w:rPr>
          <w:rFonts w:cs="Courier New"/>
          <w:sz w:val="20"/>
          <w:lang w:val="ru-RU"/>
        </w:rPr>
        <w:t xml:space="preserve"> </w:t>
      </w:r>
      <w:r w:rsidRPr="00264D5D">
        <w:rPr>
          <w:rFonts w:cs="Courier New"/>
          <w:sz w:val="20"/>
        </w:rPr>
        <w:t>xmlns</w:t>
      </w:r>
      <w:r w:rsidRPr="00264D5D">
        <w:rPr>
          <w:rFonts w:cs="Courier New"/>
          <w:sz w:val="20"/>
          <w:lang w:val="ru-RU"/>
        </w:rPr>
        <w:t>=""&gt;</w:t>
      </w:r>
    </w:p>
    <w:p w14:paraId="48278C0F"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KBK</w:t>
      </w:r>
      <w:r w:rsidRPr="00264D5D">
        <w:rPr>
          <w:rFonts w:cs="Courier New"/>
          <w:sz w:val="20"/>
          <w:lang w:val="ru-RU"/>
        </w:rPr>
        <w:t>&gt;18210102010010000110&lt;/</w:t>
      </w:r>
      <w:r w:rsidRPr="00264D5D">
        <w:rPr>
          <w:rFonts w:cs="Courier New"/>
          <w:sz w:val="20"/>
        </w:rPr>
        <w:t>KBK</w:t>
      </w:r>
      <w:r w:rsidRPr="00264D5D">
        <w:rPr>
          <w:rFonts w:cs="Courier New"/>
          <w:sz w:val="20"/>
          <w:lang w:val="ru-RU"/>
        </w:rPr>
        <w:t>&gt;</w:t>
      </w:r>
    </w:p>
    <w:p w14:paraId="303503AD"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TrgtCd</w:t>
      </w:r>
      <w:r w:rsidRPr="00264D5D">
        <w:rPr>
          <w:rFonts w:cs="Courier New"/>
          <w:sz w:val="20"/>
          <w:lang w:val="ru-RU"/>
        </w:rPr>
        <w:t>&gt;18040&lt;/</w:t>
      </w:r>
      <w:r w:rsidRPr="00264D5D">
        <w:rPr>
          <w:rFonts w:cs="Courier New"/>
          <w:sz w:val="20"/>
        </w:rPr>
        <w:t>TrgtCd</w:t>
      </w:r>
      <w:r w:rsidRPr="00264D5D">
        <w:rPr>
          <w:rFonts w:cs="Courier New"/>
          <w:sz w:val="20"/>
          <w:lang w:val="ru-RU"/>
        </w:rPr>
        <w:t>&gt;</w:t>
      </w:r>
    </w:p>
    <w:p w14:paraId="7CDAD0B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BKTp</w:t>
      </w:r>
      <w:r w:rsidRPr="00264D5D">
        <w:rPr>
          <w:rFonts w:cs="Courier New"/>
          <w:sz w:val="20"/>
          <w:lang w:val="ru-RU"/>
        </w:rPr>
        <w:t xml:space="preserve"> </w:t>
      </w:r>
      <w:r w:rsidRPr="00264D5D">
        <w:rPr>
          <w:rFonts w:cs="Courier New"/>
          <w:sz w:val="20"/>
        </w:rPr>
        <w:t>value</w:t>
      </w:r>
      <w:r w:rsidRPr="00264D5D">
        <w:rPr>
          <w:rFonts w:cs="Courier New"/>
          <w:sz w:val="20"/>
          <w:lang w:val="ru-RU"/>
        </w:rPr>
        <w:t xml:space="preserve">="Доходы" </w:t>
      </w:r>
      <w:r w:rsidRPr="00264D5D">
        <w:rPr>
          <w:rFonts w:cs="Courier New"/>
          <w:sz w:val="20"/>
        </w:rPr>
        <w:t>code</w:t>
      </w:r>
      <w:r w:rsidRPr="00264D5D">
        <w:rPr>
          <w:rFonts w:cs="Courier New"/>
          <w:sz w:val="20"/>
          <w:lang w:val="ru-RU"/>
        </w:rPr>
        <w:t>="20"/&gt;</w:t>
      </w:r>
    </w:p>
    <w:p w14:paraId="718630FB"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MSC</w:t>
      </w:r>
      <w:r w:rsidRPr="00264D5D">
        <w:rPr>
          <w:rFonts w:cs="Courier New"/>
          <w:sz w:val="20"/>
          <w:lang w:val="ru-RU"/>
        </w:rPr>
        <w:t>_</w:t>
      </w:r>
      <w:r w:rsidRPr="00264D5D">
        <w:rPr>
          <w:rFonts w:cs="Courier New"/>
          <w:sz w:val="20"/>
        </w:rPr>
        <w:t>KBKRcpnt</w:t>
      </w:r>
      <w:r w:rsidRPr="00264D5D">
        <w:rPr>
          <w:rFonts w:cs="Courier New"/>
          <w:sz w:val="20"/>
          <w:lang w:val="ru-RU"/>
        </w:rPr>
        <w:t>&gt;</w:t>
      </w:r>
    </w:p>
    <w:p w14:paraId="4411FD0D"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AmntCrrPrpsl</w:t>
      </w:r>
      <w:r w:rsidRPr="00264D5D">
        <w:rPr>
          <w:rFonts w:cs="Courier New"/>
          <w:sz w:val="20"/>
          <w:lang w:val="ru-RU"/>
        </w:rPr>
        <w:t>&gt;125.33&lt;/</w:t>
      </w:r>
      <w:r w:rsidRPr="00264D5D">
        <w:rPr>
          <w:rFonts w:cs="Courier New"/>
          <w:sz w:val="20"/>
        </w:rPr>
        <w:t>AmntCrrPrpsl</w:t>
      </w:r>
      <w:r w:rsidRPr="00264D5D">
        <w:rPr>
          <w:rFonts w:cs="Courier New"/>
          <w:sz w:val="20"/>
          <w:lang w:val="ru-RU"/>
        </w:rPr>
        <w:t>&gt;</w:t>
      </w:r>
    </w:p>
    <w:p w14:paraId="0125BCE9"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AmntRb</w:t>
      </w:r>
      <w:r w:rsidRPr="00264D5D">
        <w:rPr>
          <w:rFonts w:cs="Courier New"/>
          <w:sz w:val="20"/>
          <w:lang w:val="ru-RU"/>
        </w:rPr>
        <w:t>&gt;125.33&lt;/</w:t>
      </w:r>
      <w:r w:rsidRPr="00264D5D">
        <w:rPr>
          <w:rFonts w:cs="Courier New"/>
          <w:sz w:val="20"/>
        </w:rPr>
        <w:t>AmntRb</w:t>
      </w:r>
      <w:r w:rsidRPr="00264D5D">
        <w:rPr>
          <w:rFonts w:cs="Courier New"/>
          <w:sz w:val="20"/>
          <w:lang w:val="ru-RU"/>
        </w:rPr>
        <w:t>&gt;</w:t>
      </w:r>
    </w:p>
    <w:p w14:paraId="1FCCDA50"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PyPrps</w:t>
      </w:r>
      <w:r w:rsidRPr="00264D5D">
        <w:rPr>
          <w:rFonts w:cs="Courier New"/>
          <w:sz w:val="20"/>
          <w:lang w:val="ru-RU"/>
        </w:rPr>
        <w:t>&gt;1&lt;/</w:t>
      </w:r>
      <w:r w:rsidRPr="00264D5D">
        <w:rPr>
          <w:rFonts w:cs="Courier New"/>
          <w:sz w:val="20"/>
        </w:rPr>
        <w:t>PyPrps</w:t>
      </w:r>
      <w:r w:rsidRPr="00264D5D">
        <w:rPr>
          <w:rFonts w:cs="Courier New"/>
          <w:sz w:val="20"/>
          <w:lang w:val="ru-RU"/>
        </w:rPr>
        <w:t>&gt;</w:t>
      </w:r>
    </w:p>
    <w:p w14:paraId="10DFF43A"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Nt</w:t>
      </w:r>
      <w:r w:rsidRPr="00264D5D">
        <w:rPr>
          <w:rFonts w:cs="Courier New"/>
          <w:sz w:val="20"/>
          <w:lang w:val="ru-RU"/>
        </w:rPr>
        <w:t>&gt;Оплата услуг связи&lt;/</w:t>
      </w:r>
      <w:r w:rsidRPr="00264D5D">
        <w:rPr>
          <w:rFonts w:cs="Courier New"/>
          <w:sz w:val="20"/>
        </w:rPr>
        <w:t>Nt</w:t>
      </w:r>
      <w:r w:rsidRPr="00264D5D">
        <w:rPr>
          <w:rFonts w:cs="Courier New"/>
          <w:sz w:val="20"/>
          <w:lang w:val="ru-RU"/>
        </w:rPr>
        <w:t>&gt;</w:t>
      </w:r>
    </w:p>
    <w:p w14:paraId="7AA906C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&lt;/ZRST_ITEM&gt;</w:t>
      </w:r>
    </w:p>
    <w:p w14:paraId="41762792"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&lt;/ZRST&gt;</w:t>
      </w:r>
    </w:p>
    <w:p w14:paraId="6CD8E67A"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&lt;ZR_MSC_Pmnt xmlns=""&gt;</w:t>
      </w:r>
    </w:p>
    <w:p w14:paraId="580EB960"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AdvnPySgn</w:t>
      </w:r>
      <w:r w:rsidRPr="00264D5D">
        <w:rPr>
          <w:rFonts w:cs="Courier New"/>
          <w:sz w:val="20"/>
          <w:lang w:val="ru-RU"/>
        </w:rPr>
        <w:t xml:space="preserve"> </w:t>
      </w:r>
      <w:r w:rsidRPr="00264D5D">
        <w:rPr>
          <w:rFonts w:cs="Courier New"/>
          <w:sz w:val="20"/>
        </w:rPr>
        <w:t>value</w:t>
      </w:r>
      <w:r w:rsidRPr="00264D5D">
        <w:rPr>
          <w:rFonts w:cs="Courier New"/>
          <w:sz w:val="20"/>
          <w:lang w:val="ru-RU"/>
        </w:rPr>
        <w:t xml:space="preserve">="Платеж не является авансовым" </w:t>
      </w:r>
      <w:r w:rsidRPr="00264D5D">
        <w:rPr>
          <w:rFonts w:cs="Courier New"/>
          <w:sz w:val="20"/>
        </w:rPr>
        <w:t>code</w:t>
      </w:r>
      <w:r w:rsidRPr="00264D5D">
        <w:rPr>
          <w:rFonts w:cs="Courier New"/>
          <w:sz w:val="20"/>
          <w:lang w:val="ru-RU"/>
        </w:rPr>
        <w:t>="0"/&gt;</w:t>
      </w:r>
    </w:p>
    <w:p w14:paraId="47EA76CF"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&lt;Prt&gt;6&lt;/Prt&gt;</w:t>
      </w:r>
    </w:p>
    <w:p w14:paraId="08DCC25D"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&lt;Knd value="Пусто" code="0"/&gt;</w:t>
      </w:r>
    </w:p>
    <w:p w14:paraId="18191120"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Prps</w:t>
      </w:r>
      <w:r w:rsidRPr="00264D5D">
        <w:rPr>
          <w:rFonts w:cs="Courier New"/>
          <w:sz w:val="20"/>
          <w:lang w:val="ru-RU"/>
        </w:rPr>
        <w:t>&gt;Оплата услуг связи&lt;/</w:t>
      </w:r>
      <w:r w:rsidRPr="00264D5D">
        <w:rPr>
          <w:rFonts w:cs="Courier New"/>
          <w:sz w:val="20"/>
        </w:rPr>
        <w:t>Prps</w:t>
      </w:r>
      <w:r w:rsidRPr="00264D5D">
        <w:rPr>
          <w:rFonts w:cs="Courier New"/>
          <w:sz w:val="20"/>
          <w:lang w:val="ru-RU"/>
        </w:rPr>
        <w:t>&gt;</w:t>
      </w:r>
    </w:p>
    <w:p w14:paraId="14B2B9F7"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&lt;Tp&gt;НС&lt;/Tp&gt;</w:t>
      </w:r>
    </w:p>
    <w:p w14:paraId="2794FB32"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&lt;/ZR_MSC_Pmnt&gt;</w:t>
      </w:r>
    </w:p>
    <w:p w14:paraId="19756510"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&lt;TtlPrt_SECRECY xmlns=""&gt;0&lt;/TtlPrt_SECRECY&gt;</w:t>
      </w:r>
    </w:p>
    <w:p w14:paraId="47B2DD9F"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&lt;ZR_MSC_Infrmtn xmlns=""&gt;</w:t>
      </w:r>
    </w:p>
    <w:p w14:paraId="33ECE931"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&lt;GUID&gt;a2e4e9b1-753d-4e55-d111-a46db4ac956a&lt;/GUID&gt;</w:t>
      </w:r>
    </w:p>
    <w:p w14:paraId="22BABAC5"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&lt;CrtnDt&gt;2024-01-24&lt;/CrtnDt&gt;</w:t>
      </w:r>
    </w:p>
    <w:p w14:paraId="709BD35B"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&lt;/ZR_MSC_Infrmtn&gt;</w:t>
      </w:r>
    </w:p>
    <w:p w14:paraId="25084851"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 xmlns="http://www.w3.org/2000/09/xmldsig#" Id="Id-sig-d373256b5942f08343bc8d034aadd7158f61"&gt;</w:t>
      </w:r>
    </w:p>
    <w:p w14:paraId="49CB0173"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0C037132"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&lt;CanonicalizationMethod Algorithm="http://www.w3.org/2001/10/xml-exc-c14n#"/&gt;</w:t>
      </w:r>
    </w:p>
    <w:p w14:paraId="7B1A4B86"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&lt;SignatureMethod Algorithm="http://www.w3.org/2001/04/xmldsig-more#gostr34102001-gostr3411"/&gt;</w:t>
      </w:r>
    </w:p>
    <w:p w14:paraId="3AD05502"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URI="Id-xadesdata-eaf97d94646411e9b78d005056834f23" Id="Id-dataref-dfd24e85a456a1a342553e99c27fd5695cff"&gt;</w:t>
      </w:r>
    </w:p>
    <w:p w14:paraId="6559F4FB"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4718376C"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Algorithm="http://www.w3.org/2000/09/xmldsig#enveloped-signature"/&gt;</w:t>
      </w:r>
    </w:p>
    <w:p w14:paraId="0712F5D7"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7D6DF725"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7EAF2F90"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&lt;DigestValue&gt;tuuoIThRLrpmXrL14i8lPFRl0pwMCiUsBbH5BypOA0I=&lt;/DigestValue&gt;</w:t>
      </w:r>
    </w:p>
    <w:p w14:paraId="21C0A186"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76014F0B"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&lt;Reference Type="http://www.w3.org/TR/2002/REC-xmldsig-core-20020212/xmldsig-core-schema.xsd#X509Data" URI="#Id-keyinfo-3dfe71fe8d5a7f7591dd337029c400ccf286" Id="Id-keyinforef-9674835ee89ca1067673b6fbb04db381a2a6"&gt;</w:t>
      </w:r>
    </w:p>
    <w:p w14:paraId="2B425022"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2A08FB00"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&lt;Transform Algorithm="http://www.w3.org/2001/10/xml-exc-c14n#"/&gt;</w:t>
      </w:r>
    </w:p>
    <w:p w14:paraId="3591EFE4"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3AACBCD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0FD57B1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&lt;DigestValue&gt;fIKSx5SIme2CRgDvDzflubM+Qqh4IkAWCXPpzXWD/AQ=&lt;/DigestValue&gt;</w:t>
      </w:r>
    </w:p>
    <w:p w14:paraId="0BE00C4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2D43E15A"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&lt;Reference URI="#Id-sp-c353e147090ff61f2f90dcd64635bcf70055" Id="Id-ref-dbee882997a09b88ec14dafcd7da585e2467"&gt;</w:t>
      </w:r>
    </w:p>
    <w:p w14:paraId="20290035"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5FF9A1CE"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06C150A7"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413FD0F6"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4840535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&lt;DigestValue&gt;ffi2NrwgQYkFPoTAefkLKH2wMBSNjwN3zzDBV+mhwQg=&lt;/DigestValue&gt;</w:t>
      </w:r>
    </w:p>
    <w:p w14:paraId="66CA38F9"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76F898C6"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3A09C87C"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&lt;SignatureValue&gt;zolZ5HI+TT6shtnB1YnAZeMq9mcqWLWAZlSR+MuKJXXN2NRZS/zapvyY4rW+I5gM</w:t>
      </w:r>
    </w:p>
    <w:p w14:paraId="245D0DE6"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py5+uThVv9x8n5TApPOJCg==&lt;/SignatureValue&gt;</w:t>
      </w:r>
    </w:p>
    <w:p w14:paraId="20EAE3A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&lt;KeyInfo Id="Id-keyinfo-3dfe71fe8d5a7f7591dd337029c400ccf286"&gt;</w:t>
      </w:r>
    </w:p>
    <w:p w14:paraId="6E2C7939"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&lt;X509Data&gt;</w:t>
      </w:r>
    </w:p>
    <w:p w14:paraId="3B336DB4"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&lt;X509Certificate&gt;MIIHbzCCBx6gAwIBAgIUCw+9bFynffs/n08sYLaljBr5oXAwCAYGKoUDAgIDMIIB</w:t>
      </w:r>
    </w:p>
    <w:p w14:paraId="3F045EBE"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OTEgMB4GCSqGSIb3DQEJARYRdWNfZmtAcm9za2F6bmEucnUxGTAXBgNVBAgMENCz</w:t>
      </w:r>
    </w:p>
    <w:p w14:paraId="25B37C63"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LiDQnNC+0YHQutCy0LAxGjAYBggqhQMDgQMBARIMMDA3NzEwNTY4NzYwMRgwFgYF</w:t>
      </w:r>
    </w:p>
    <w:p w14:paraId="71B7A1E0"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KoUDZAESDTEwNDc3OTcwMTk4MzAxLDAqBgNVBAkMI9GD0LvQuNGG0LAg0JjQu9GM</w:t>
      </w:r>
    </w:p>
    <w:p w14:paraId="2CCA0C42"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0LjQvdC60LAsINC00L7QvCA3MRUwEwYDVQQHDAzQnNC+0YHQutCy0LAxCzAJBgNV</w:t>
      </w:r>
    </w:p>
    <w:p w14:paraId="5E44F972"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BAYTAlJVMTgwNgYDVQQKDC/QpNC10LTQtdGA0LDQu9GM0L3QvtC1INC60LDQt9C9</w:t>
      </w:r>
    </w:p>
    <w:p w14:paraId="1722707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0LDRh9C10LnRgdGC0LLQvjE4MDYGA1UEAwwv0KTQtdC00LXRgNCw0LvRjNC90L7Q</w:t>
      </w:r>
    </w:p>
    <w:p w14:paraId="1F416E35"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tSDQutCw0LfQvdCw0YfQtdC50YHRgtCy0L4wHhcNMTgwNDA1MTMzNDQ3WhcNMTkw</w:t>
      </w:r>
    </w:p>
    <w:p w14:paraId="2C2DAD17"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NzA1MTMzNDQ3WjCCAS0xGjAYBggqhQMDgQMBARIMMDA3NzEwNTY4NzYwMRgwFgYF</w:t>
      </w:r>
    </w:p>
    <w:p w14:paraId="6F5609EB"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KoUDZAESDTEwNDc3OTcwMTk4MzAxIzAhBgNVBAkMGtGD0LsuINCY0LvRjNC40L3Q</w:t>
      </w:r>
    </w:p>
    <w:p w14:paraId="52C76FE9"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utCwLCDQtC43MR4wHAYJKoZIhvcNAQkBFg83NzdAcm9za2F6bmEucnUxCzAJBgNV</w:t>
      </w:r>
    </w:p>
    <w:p w14:paraId="481D1B14"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BAYTAlJVMRgwFgYDVQQIDA/Qsy7QnNC+0YHQutCy0LAxFTATBgNVBAcMDNCc0L7R</w:t>
      </w:r>
    </w:p>
    <w:p w14:paraId="1FA4BB83"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gdC60LLQsDE4MDYGA1UECgwv0KTQtdC00LXRgNCw0LvRjNC90L7QtSDQutCw0LfQ</w:t>
      </w:r>
    </w:p>
    <w:p w14:paraId="0DBA63FD"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vdCw0YfQtdC50YHRgtCy0L4xODA2BgNVBAMML9Ck0LXQtNC10YDQsNC70YzQvdC+</w:t>
      </w:r>
    </w:p>
    <w:p w14:paraId="429A9AC1"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0LUg0LrQsNC30L3QsNGH0LXQudGB0YLQstC+MGMwHAYGKoUDAgITMBIGByqFAwIC</w:t>
      </w:r>
    </w:p>
    <w:p w14:paraId="402FC0A5"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IwEGByqFAwICHgEDQwAEQDmzpZ5HcFrSdwi3/h6QJ/jU0i6sTgtJqrYL/Tr+gxBg</w:t>
      </w:r>
    </w:p>
    <w:p w14:paraId="02FE4E51"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Ud3B/sLCyhk3sR3aCrZ0K4YlsFHVmbBhDYe62UsOcnOjggQCMIID/jAMBgNVHRMB</w:t>
      </w:r>
    </w:p>
    <w:p w14:paraId="710F1AC4"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Af8EAjAAMB0GA1UdIAQWMBQwCAYGKoUDZHEBMAgGBiqFA2RxAjA2BgUqhQNkbwQt</w:t>
      </w:r>
    </w:p>
    <w:p w14:paraId="6B82CAE3"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DCsi0JrRgNC40L/RgtC+0J/RgNC+IENTUCIgKNCy0LXRgNGB0LjRjyA0LjApMIIB</w:t>
      </w:r>
    </w:p>
    <w:p w14:paraId="13AE56C9"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MQYFKoUDZHAEggEmMIIBIgxEItCa0YDQuNC/0YLQvtCf0YDQviBDU1AiICjQstC1</w:t>
      </w:r>
    </w:p>
    <w:p w14:paraId="22441B49"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0YDRgdC40Y8gMy42KSAo0LjRgdC/0L7Qu9C90LXQvdC40LUgMikMaCLQn9GA0L7Q</w:t>
      </w:r>
    </w:p>
    <w:p w14:paraId="29D79730"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s9GA0LDQvNC80L3Qvi3QsNC/0L/QsNGA0LDRgtC90YvQuSDQutC+0LzQv9C70LXQ</w:t>
      </w:r>
    </w:p>
    <w:p w14:paraId="4ECFD3D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utGBICLQrtC90LjRgdC10YDRgi3Qk9Ce0KHQoiIuINCS0LXRgNGB0LjRjyAyLjEi</w:t>
      </w:r>
    </w:p>
    <w:p w14:paraId="15FEE34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DB/ihJYgMTQ5LzcvNi01Njkg0L7RgiAyMS4xMi4yMDE3DE/QodC10YDRgtC40YTQ</w:t>
      </w:r>
    </w:p>
    <w:p w14:paraId="6E620484"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uNC60LDRgiDRgdC+0L7RgtCy0LXRgtGB0YLQstC40Y8g4oSWINCh0KQvMTI4LTI4</w:t>
      </w:r>
    </w:p>
    <w:p w14:paraId="4154211B"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Nzgg0L7RgiAyMC4wNi4yMDE2MA4GA1UdDwEB/wQEAwID+DAdBgNVHSUEFjAUBggr</w:t>
      </w:r>
    </w:p>
    <w:p w14:paraId="5386EB0A"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BgEFBQcDAgYIKwYBBQUHAwMwKwYDVR0QBCQwIoAPMjAxODA0MDUxMzM0NDVagQ8y</w:t>
      </w:r>
    </w:p>
    <w:p w14:paraId="79F3BD7D"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MDE5MDcwNTEzMzQ0NVowggGFBgNVHSMEggF8MIIBeIAUFlWRplFYxIksa1Fb0oUZ</w:t>
      </w:r>
    </w:p>
    <w:p w14:paraId="16B962F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CgFESCKhggFSpIIBTjCCAUoxHjAcBgkqhkiG9w0BCQEWD2RpdEBtaW5zdnlhei5y</w:t>
      </w:r>
    </w:p>
    <w:p w14:paraId="61166FA0"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dTELMAkGA1UEBhMCUlUxHDAaBgNVBAgMEzc3INCzLiDQnNC+0YHQutCy0LAxFTAT</w:t>
      </w:r>
    </w:p>
    <w:p w14:paraId="34C53B6C"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BgNVBAcMDNCc0L7RgdC60LLQsDE/MD0GA1UECQw2MTI1Mzc1INCzLiDQnNC+0YHQ</w:t>
      </w:r>
    </w:p>
    <w:p w14:paraId="0D85601A"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utCy0LAsINGD0LsuINCi0LLQtdGA0YHQutCw0Y8sINC0LiA3MSwwKgYDVQQKDCPQ</w:t>
      </w:r>
    </w:p>
    <w:p w14:paraId="50C46BF5"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nNC40L3QutC+0LzRgdCy0Y/Qt9GMINCg0L7RgdGB0LjQuDEYMBYGBSqFA2QBEg0x</w:t>
      </w:r>
    </w:p>
    <w:p w14:paraId="1A6E7DC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MDQ3NzAyMDI2NzAxMRowGAYIKoUDA4EDAQESDDAwNzcxMDQ3NDM3NTFBMD8GA1UE</w:t>
      </w:r>
    </w:p>
    <w:p w14:paraId="1BDC2B17"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Aww40JPQvtC70L7QstC90L7QuSDRg9C00L7RgdGC0L7QstC10YDRj9GO0YnQuNC5</w:t>
      </w:r>
    </w:p>
    <w:p w14:paraId="686DC521"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INGG0LXQvdGC0YCCCjas1FUAAAAAAS8wXgYDVR0fBFcwVTApoCegJYYjaHR0cDov</w:t>
      </w:r>
    </w:p>
    <w:p w14:paraId="56307088"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L2NybC5yb3NrYXpuYS5ydS9jcmwvdWNmay5jcmwwKKAmoCSGImh0dHA6Ly9jcmwu</w:t>
      </w:r>
    </w:p>
    <w:p w14:paraId="1B5A00AD"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ZnNmay5sb2NhbC9jcmwvdWNmay5jcmwwHQYDVR0OBBYEFLkvJG7Rfzg6F53wdndv</w:t>
      </w:r>
    </w:p>
    <w:p w14:paraId="66D8BC92"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NLDQ/i3nMAgGBiqFAwICAwNBAH1LMUVqEV/HRyesHDkB5eBUk6qDOJwnOBHil2Y1</w:t>
      </w:r>
    </w:p>
    <w:p w14:paraId="23C71112"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qNiUhWK7AqT93ErNsumpe8dDCswJmvps2nbQA7xwIJjzJjk=&lt;/X509Certificate&gt;</w:t>
      </w:r>
    </w:p>
    <w:p w14:paraId="26E6A5D3"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&lt;/X509Data&gt;</w:t>
      </w:r>
    </w:p>
    <w:p w14:paraId="797451A9"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&lt;/KeyInfo&gt;</w:t>
      </w:r>
    </w:p>
    <w:p w14:paraId="7E6DC191"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53A7DD92"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 xmlns="http://uri.etsi.org/01903/v1.4.1#" Target="Id-sig-d373256b5942f08343bc8d034aadd7158f61"&gt;</w:t>
      </w:r>
    </w:p>
    <w:p w14:paraId="69EC1AA7"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 Id="Id-sp-c353e147090ff61f2f90dcd64635bcf70055"&gt;</w:t>
      </w:r>
    </w:p>
    <w:p w14:paraId="21C77919"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&lt;SignedSignatureProperties Id="Id-ssp-7fd861712d758e7e3004067202146d020fd2"/&gt;</w:t>
      </w:r>
    </w:p>
    <w:p w14:paraId="7C7D744B"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&lt;/SignedProperties&gt;</w:t>
      </w:r>
    </w:p>
    <w:p w14:paraId="73E354A2"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&lt;/QualifyingProperties&gt;</w:t>
      </w:r>
    </w:p>
    <w:p w14:paraId="7332C090"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7D123BEF"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&lt;/Signature&gt;&lt;/self:MSC_ApplCashFlow&gt;</w:t>
      </w:r>
    </w:p>
    <w:p w14:paraId="3F92481E"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&lt;/typ:document&gt;</w:t>
      </w:r>
    </w:p>
    <w:p w14:paraId="69E59052"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&lt;/transferDocumentRequest&gt;</w:t>
      </w:r>
    </w:p>
    <w:p w14:paraId="26DE896F"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&lt;/soapenv:Body&gt;</w:t>
      </w:r>
    </w:p>
    <w:p w14:paraId="424B3387" w14:textId="77777777" w:rsidR="00AD1F54" w:rsidRPr="00264D5D" w:rsidRDefault="00941227" w:rsidP="003D7242">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264D5D">
        <w:rPr>
          <w:rFonts w:cs="Courier New"/>
          <w:sz w:val="20"/>
        </w:rPr>
        <w:t>&lt;/soapenv:Envelope&gt;</w:t>
      </w:r>
      <w:bookmarkStart w:id="944" w:name="OLE_LINK917"/>
      <w:bookmarkEnd w:id="944"/>
    </w:p>
    <w:p w14:paraId="5A049177" w14:textId="77777777" w:rsidR="00AD1F54" w:rsidRPr="00256D3F" w:rsidRDefault="00941227">
      <w:pPr>
        <w:pStyle w:val="22"/>
        <w:rPr>
          <w:highlight w:val="green"/>
          <w:lang w:val="ru-RU"/>
        </w:rPr>
      </w:pPr>
      <w:bookmarkStart w:id="945" w:name="OLE_LINK916"/>
      <w:bookmarkStart w:id="946" w:name="_Ref46776784"/>
      <w:bookmarkStart w:id="947" w:name="_Toc219309517"/>
      <w:bookmarkEnd w:id="945"/>
      <w:r w:rsidRPr="00256D3F">
        <w:rPr>
          <w:highlight w:val="green"/>
          <w:lang w:val="ru-RU"/>
        </w:rPr>
        <w:t>Описание документа «Заявка на кассовый расход (сокращенная)» (ф. 0531851)</w:t>
      </w:r>
      <w:bookmarkEnd w:id="946"/>
      <w:bookmarkEnd w:id="947"/>
    </w:p>
    <w:p w14:paraId="7C4D70BF" w14:textId="77777777" w:rsidR="00AD1F54" w:rsidRPr="00256D3F" w:rsidRDefault="00941227">
      <w:pPr>
        <w:pStyle w:val="31"/>
        <w:rPr>
          <w:highlight w:val="green"/>
        </w:rPr>
      </w:pPr>
      <w:bookmarkStart w:id="948" w:name="_Toc219309518"/>
      <w:r w:rsidRPr="00256D3F">
        <w:rPr>
          <w:highlight w:val="green"/>
        </w:rPr>
        <w:t>Назначение и маршрут документа</w:t>
      </w:r>
      <w:bookmarkEnd w:id="948"/>
    </w:p>
    <w:p w14:paraId="41EB4C84" w14:textId="77777777" w:rsidR="00AD1F54" w:rsidRPr="00264D5D" w:rsidRDefault="00941227">
      <w:pPr>
        <w:pStyle w:val="ASFKNormal"/>
        <w:widowControl w:val="0"/>
        <w:spacing w:before="60" w:after="120"/>
        <w:contextualSpacing w:val="0"/>
        <w:jc w:val="both"/>
        <w:rPr>
          <w:rFonts w:eastAsia="Calibri"/>
          <w:sz w:val="24"/>
        </w:rPr>
      </w:pPr>
      <w:r w:rsidRPr="00264D5D">
        <w:rPr>
          <w:rFonts w:eastAsia="Calibri"/>
          <w:sz w:val="24"/>
        </w:rPr>
        <w:t>Документ «Заявка на кассовый расход (сокращенная)» (ф. 0531851) представляется клиентом в ТОФК по месту его обслуживания для осуществления операций по кассовым выплатам из бюджетов.</w:t>
      </w:r>
    </w:p>
    <w:bookmarkStart w:id="949" w:name="_Toc86145958"/>
    <w:bookmarkStart w:id="950" w:name="_Toc86423498"/>
    <w:bookmarkStart w:id="951" w:name="_Toc86424151"/>
    <w:bookmarkStart w:id="952" w:name="_Toc86437566"/>
    <w:bookmarkStart w:id="953" w:name="_Toc87281907"/>
    <w:bookmarkStart w:id="954" w:name="_Toc87609663"/>
    <w:bookmarkEnd w:id="949"/>
    <w:bookmarkEnd w:id="950"/>
    <w:bookmarkEnd w:id="951"/>
    <w:bookmarkEnd w:id="952"/>
    <w:bookmarkEnd w:id="953"/>
    <w:bookmarkEnd w:id="954"/>
    <w:p w14:paraId="7AE34AFA" w14:textId="021FE1EB" w:rsidR="00AD1F54" w:rsidRPr="00256D3F" w:rsidRDefault="00941227">
      <w:pPr>
        <w:pStyle w:val="GOSTNameTable"/>
        <w:numPr>
          <w:ilvl w:val="0"/>
          <w:numId w:val="2"/>
        </w:numPr>
        <w:ind w:left="425" w:hanging="357"/>
        <w:rPr>
          <w:highlight w:val="green"/>
        </w:rPr>
      </w:pPr>
      <w:r w:rsidRPr="00256D3F">
        <w:rPr>
          <w:highlight w:val="green"/>
        </w:rPr>
        <w:fldChar w:fldCharType="begin"/>
      </w:r>
      <w:r w:rsidRPr="00256D3F">
        <w:rPr>
          <w:highlight w:val="green"/>
        </w:rPr>
        <w:instrText xml:space="preserve"> SEQ Таблица \* ARABIC </w:instrText>
      </w:r>
      <w:r w:rsidRPr="00256D3F">
        <w:rPr>
          <w:highlight w:val="green"/>
        </w:rPr>
        <w:fldChar w:fldCharType="separate"/>
      </w:r>
      <w:bookmarkStart w:id="955" w:name="_Toc219309108"/>
      <w:r w:rsidR="008D797C">
        <w:rPr>
          <w:noProof/>
          <w:highlight w:val="green"/>
        </w:rPr>
        <w:t>78</w:t>
      </w:r>
      <w:r w:rsidRPr="00256D3F">
        <w:rPr>
          <w:highlight w:val="green"/>
        </w:rPr>
        <w:fldChar w:fldCharType="end"/>
      </w:r>
      <w:r w:rsidRPr="00256D3F">
        <w:rPr>
          <w:rFonts w:eastAsia="Calibri"/>
          <w:szCs w:val="24"/>
          <w:highlight w:val="green"/>
        </w:rPr>
        <w:t xml:space="preserve"> – </w:t>
      </w:r>
      <w:r w:rsidRPr="00256D3F">
        <w:rPr>
          <w:highlight w:val="green"/>
        </w:rPr>
        <w:t>Маршрут документа «</w:t>
      </w:r>
      <w:r w:rsidRPr="00256D3F">
        <w:rPr>
          <w:rFonts w:eastAsia="Calibri"/>
          <w:highlight w:val="green"/>
        </w:rPr>
        <w:t>Заявка на кассовый расход (сокращенная)» (ф. 0531851)</w:t>
      </w:r>
      <w:bookmarkEnd w:id="955"/>
    </w:p>
    <w:tbl>
      <w:tblPr>
        <w:tblStyle w:val="GOSTTable"/>
        <w:tblW w:w="5004" w:type="pct"/>
        <w:tblLayout w:type="fixed"/>
        <w:tblLook w:val="01E0" w:firstRow="1" w:lastRow="1" w:firstColumn="1" w:lastColumn="1" w:noHBand="0" w:noVBand="0"/>
      </w:tblPr>
      <w:tblGrid>
        <w:gridCol w:w="2555"/>
        <w:gridCol w:w="2557"/>
        <w:gridCol w:w="4546"/>
      </w:tblGrid>
      <w:tr w:rsidR="00AD1F54" w:rsidRPr="00264D5D" w14:paraId="73BA3318" w14:textId="77777777" w:rsidTr="005056E2">
        <w:trPr>
          <w:cnfStyle w:val="100000000000" w:firstRow="1" w:lastRow="0" w:firstColumn="0" w:lastColumn="0" w:oddVBand="0" w:evenVBand="0" w:oddHBand="0" w:evenHBand="0" w:firstRowFirstColumn="0" w:firstRowLastColumn="0" w:lastRowFirstColumn="0" w:lastRowLastColumn="0"/>
          <w:trHeight w:val="96"/>
          <w:tblHeader/>
        </w:trPr>
        <w:tc>
          <w:tcPr>
            <w:tcW w:w="2555" w:type="dxa"/>
          </w:tcPr>
          <w:p w14:paraId="7CC04FA7" w14:textId="77777777" w:rsidR="00AD1F54" w:rsidRPr="00264D5D" w:rsidRDefault="00941227">
            <w:pPr>
              <w:pStyle w:val="ASFKTableHead"/>
            </w:pPr>
            <w:r w:rsidRPr="00264D5D">
              <w:t>Отправитель</w:t>
            </w:r>
          </w:p>
        </w:tc>
        <w:tc>
          <w:tcPr>
            <w:tcW w:w="2557" w:type="dxa"/>
          </w:tcPr>
          <w:p w14:paraId="78BCBD2A" w14:textId="77777777" w:rsidR="00AD1F54" w:rsidRPr="00264D5D" w:rsidRDefault="00941227">
            <w:pPr>
              <w:pStyle w:val="ASFKTableHead"/>
            </w:pPr>
            <w:r w:rsidRPr="00264D5D">
              <w:t>Получатель</w:t>
            </w:r>
          </w:p>
        </w:tc>
        <w:tc>
          <w:tcPr>
            <w:tcW w:w="4546" w:type="dxa"/>
          </w:tcPr>
          <w:p w14:paraId="7BB1EC11" w14:textId="77777777" w:rsidR="00AD1F54" w:rsidRPr="00264D5D" w:rsidRDefault="00941227">
            <w:pPr>
              <w:pStyle w:val="ASFKTableHead"/>
            </w:pPr>
            <w:r w:rsidRPr="00264D5D">
              <w:t>Примечание</w:t>
            </w:r>
          </w:p>
        </w:tc>
      </w:tr>
      <w:tr w:rsidR="00AD1F54" w:rsidRPr="00264D5D" w14:paraId="7A4C3A2F" w14:textId="77777777" w:rsidTr="005056E2">
        <w:trPr>
          <w:cnfStyle w:val="000000100000" w:firstRow="0" w:lastRow="0" w:firstColumn="0" w:lastColumn="0" w:oddVBand="0" w:evenVBand="0" w:oddHBand="1" w:evenHBand="0" w:firstRowFirstColumn="0" w:firstRowLastColumn="0" w:lastRowFirstColumn="0" w:lastRowLastColumn="0"/>
        </w:trPr>
        <w:tc>
          <w:tcPr>
            <w:tcW w:w="2555" w:type="dxa"/>
          </w:tcPr>
          <w:p w14:paraId="494727B7" w14:textId="77777777" w:rsidR="00AD1F54" w:rsidRPr="00264D5D" w:rsidRDefault="00941227">
            <w:pPr>
              <w:pStyle w:val="GOSTTablenorm"/>
              <w:rPr>
                <w:szCs w:val="22"/>
              </w:rPr>
            </w:pPr>
            <w:r w:rsidRPr="00264D5D">
              <w:rPr>
                <w:szCs w:val="22"/>
              </w:rPr>
              <w:t>ПБС (ПФХД)</w:t>
            </w:r>
          </w:p>
        </w:tc>
        <w:tc>
          <w:tcPr>
            <w:tcW w:w="2557" w:type="dxa"/>
          </w:tcPr>
          <w:p w14:paraId="49CB6508" w14:textId="77777777" w:rsidR="00AD1F54" w:rsidRPr="00264D5D" w:rsidRDefault="00941227">
            <w:pPr>
              <w:pStyle w:val="GOSTTablenorm"/>
              <w:rPr>
                <w:szCs w:val="22"/>
              </w:rPr>
            </w:pPr>
            <w:r w:rsidRPr="00264D5D">
              <w:rPr>
                <w:szCs w:val="22"/>
              </w:rPr>
              <w:t>ТОФК (ПУР ЭБ)</w:t>
            </w:r>
          </w:p>
        </w:tc>
        <w:tc>
          <w:tcPr>
            <w:tcW w:w="4546" w:type="dxa"/>
          </w:tcPr>
          <w:p w14:paraId="1AEFBDAC" w14:textId="77777777" w:rsidR="00AD1F54" w:rsidRPr="00264D5D" w:rsidRDefault="00AD1F54">
            <w:pPr>
              <w:pStyle w:val="ASFKTablenorm"/>
              <w:rPr>
                <w:sz w:val="22"/>
              </w:rPr>
            </w:pPr>
          </w:p>
        </w:tc>
      </w:tr>
      <w:tr w:rsidR="00AD1F54" w:rsidRPr="00264D5D" w14:paraId="0B12A013" w14:textId="77777777" w:rsidTr="005056E2">
        <w:trPr>
          <w:cnfStyle w:val="000000010000" w:firstRow="0" w:lastRow="0" w:firstColumn="0" w:lastColumn="0" w:oddVBand="0" w:evenVBand="0" w:oddHBand="0" w:evenHBand="1" w:firstRowFirstColumn="0" w:firstRowLastColumn="0" w:lastRowFirstColumn="0" w:lastRowLastColumn="0"/>
        </w:trPr>
        <w:tc>
          <w:tcPr>
            <w:tcW w:w="2555" w:type="dxa"/>
          </w:tcPr>
          <w:p w14:paraId="596120F2" w14:textId="77777777" w:rsidR="00AD1F54" w:rsidRPr="00256D3F" w:rsidRDefault="00256D3F">
            <w:pPr>
              <w:pStyle w:val="GOSTTablenorm"/>
              <w:rPr>
                <w:szCs w:val="22"/>
                <w:highlight w:val="green"/>
              </w:rPr>
            </w:pPr>
            <w:r w:rsidRPr="00256D3F">
              <w:rPr>
                <w:szCs w:val="22"/>
                <w:highlight w:val="green"/>
              </w:rPr>
              <w:t>ПБС</w:t>
            </w:r>
          </w:p>
        </w:tc>
        <w:tc>
          <w:tcPr>
            <w:tcW w:w="2557" w:type="dxa"/>
          </w:tcPr>
          <w:p w14:paraId="7E39D820" w14:textId="77777777" w:rsidR="00AD1F54" w:rsidRPr="00256D3F" w:rsidRDefault="00941227">
            <w:pPr>
              <w:pStyle w:val="GOSTTablenorm"/>
              <w:rPr>
                <w:szCs w:val="22"/>
                <w:highlight w:val="green"/>
              </w:rPr>
            </w:pPr>
            <w:r w:rsidRPr="00256D3F">
              <w:rPr>
                <w:highlight w:val="green"/>
              </w:rPr>
              <w:t>ТОФК (ПУР ЭБ)</w:t>
            </w:r>
          </w:p>
        </w:tc>
        <w:tc>
          <w:tcPr>
            <w:tcW w:w="4546" w:type="dxa"/>
          </w:tcPr>
          <w:p w14:paraId="0C253944" w14:textId="77777777" w:rsidR="00AD1F54" w:rsidRPr="00264D5D" w:rsidRDefault="00AD1F54">
            <w:pPr>
              <w:pStyle w:val="ASFKTablenorm"/>
              <w:rPr>
                <w:sz w:val="22"/>
              </w:rPr>
            </w:pPr>
          </w:p>
        </w:tc>
      </w:tr>
    </w:tbl>
    <w:p w14:paraId="6493BF7C" w14:textId="77777777" w:rsidR="00AD1F54" w:rsidRPr="00264D5D" w:rsidRDefault="00941227">
      <w:pPr>
        <w:pStyle w:val="31"/>
      </w:pPr>
      <w:bookmarkStart w:id="956" w:name="_Toc219309519"/>
      <w:r w:rsidRPr="00264D5D">
        <w:t>Описание комплексного типа «tMSC_ApplCashFlowShrt»</w:t>
      </w:r>
      <w:bookmarkEnd w:id="956"/>
    </w:p>
    <w:p w14:paraId="1325D5EF" w14:textId="226EC99C" w:rsidR="00AD1F54" w:rsidRPr="00264D5D" w:rsidRDefault="001E5517">
      <w:pPr>
        <w:pStyle w:val="GOSTNameTable"/>
        <w:numPr>
          <w:ilvl w:val="0"/>
          <w:numId w:val="2"/>
        </w:numPr>
        <w:ind w:left="425" w:hanging="357"/>
      </w:pPr>
      <w:r w:rsidRPr="00264D5D">
        <w:rPr>
          <w:noProof/>
        </w:rPr>
        <w:fldChar w:fldCharType="begin"/>
      </w:r>
      <w:r w:rsidRPr="00264D5D">
        <w:rPr>
          <w:noProof/>
        </w:rPr>
        <w:instrText xml:space="preserve"> SEQ Таблица \* ARABIC </w:instrText>
      </w:r>
      <w:r w:rsidRPr="00264D5D">
        <w:rPr>
          <w:noProof/>
        </w:rPr>
        <w:fldChar w:fldCharType="separate"/>
      </w:r>
      <w:bookmarkStart w:id="957" w:name="_Toc219309109"/>
      <w:r w:rsidR="008D797C">
        <w:rPr>
          <w:noProof/>
        </w:rPr>
        <w:t>79</w:t>
      </w:r>
      <w:r w:rsidRPr="00264D5D">
        <w:rPr>
          <w:noProof/>
        </w:rPr>
        <w:fldChar w:fldCharType="end"/>
      </w:r>
      <w:r w:rsidR="00941227" w:rsidRPr="00264D5D">
        <w:rPr>
          <w:rFonts w:eastAsia="Calibri"/>
          <w:szCs w:val="24"/>
        </w:rPr>
        <w:t xml:space="preserve"> – </w:t>
      </w:r>
      <w:r w:rsidR="00941227" w:rsidRPr="00264D5D">
        <w:t>Описание комплексного типа «</w:t>
      </w:r>
      <w:r w:rsidR="00941227" w:rsidRPr="00264D5D">
        <w:rPr>
          <w:szCs w:val="24"/>
          <w:lang w:val="en-US"/>
        </w:rPr>
        <w:t>t</w:t>
      </w:r>
      <w:r w:rsidR="00941227" w:rsidRPr="00264D5D">
        <w:rPr>
          <w:rFonts w:eastAsia="Calibri"/>
        </w:rPr>
        <w:t>MSC_ApplCashFlowShrt</w:t>
      </w:r>
      <w:r w:rsidR="00941227" w:rsidRPr="00264D5D">
        <w:t>»</w:t>
      </w:r>
      <w:bookmarkEnd w:id="957"/>
    </w:p>
    <w:tbl>
      <w:tblPr>
        <w:tblStyle w:val="GOSTTable"/>
        <w:tblW w:w="5000" w:type="pct"/>
        <w:tblLayout w:type="fixed"/>
        <w:tblLook w:val="01E0" w:firstRow="1" w:lastRow="1" w:firstColumn="1" w:lastColumn="1" w:noHBand="0" w:noVBand="0"/>
      </w:tblPr>
      <w:tblGrid>
        <w:gridCol w:w="1705"/>
        <w:gridCol w:w="1703"/>
        <w:gridCol w:w="567"/>
        <w:gridCol w:w="1135"/>
        <w:gridCol w:w="567"/>
        <w:gridCol w:w="3973"/>
      </w:tblGrid>
      <w:tr w:rsidR="00AD1F54" w:rsidRPr="00264D5D" w14:paraId="399DEBF3"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5" w:type="dxa"/>
          </w:tcPr>
          <w:p w14:paraId="2D8CFC28" w14:textId="77777777" w:rsidR="00AD1F54" w:rsidRPr="00264D5D" w:rsidRDefault="00941227">
            <w:pPr>
              <w:pStyle w:val="ASFKTableHead"/>
            </w:pPr>
            <w:r w:rsidRPr="00264D5D">
              <w:t>Наименование элемента</w:t>
            </w:r>
          </w:p>
        </w:tc>
        <w:tc>
          <w:tcPr>
            <w:tcW w:w="1703" w:type="dxa"/>
          </w:tcPr>
          <w:p w14:paraId="14B24534" w14:textId="77777777" w:rsidR="00AD1F54" w:rsidRPr="00264D5D" w:rsidRDefault="00941227">
            <w:pPr>
              <w:pStyle w:val="ASFKTableHead"/>
            </w:pPr>
            <w:r w:rsidRPr="00264D5D">
              <w:t>Сокращенное наименование (код) элемента</w:t>
            </w:r>
          </w:p>
        </w:tc>
        <w:tc>
          <w:tcPr>
            <w:tcW w:w="567" w:type="dxa"/>
          </w:tcPr>
          <w:p w14:paraId="161597FC" w14:textId="77777777" w:rsidR="00AD1F54" w:rsidRPr="00264D5D" w:rsidRDefault="00941227">
            <w:pPr>
              <w:pStyle w:val="ASFKTableHead"/>
            </w:pPr>
            <w:r w:rsidRPr="00264D5D">
              <w:t>Тип</w:t>
            </w:r>
          </w:p>
        </w:tc>
        <w:tc>
          <w:tcPr>
            <w:tcW w:w="1135" w:type="dxa"/>
          </w:tcPr>
          <w:p w14:paraId="55746BF2" w14:textId="77777777" w:rsidR="00AD1F54" w:rsidRPr="00264D5D" w:rsidRDefault="00941227">
            <w:pPr>
              <w:pStyle w:val="ASFKTableHead"/>
            </w:pPr>
            <w:r w:rsidRPr="00264D5D">
              <w:t>Формат элемента</w:t>
            </w:r>
          </w:p>
        </w:tc>
        <w:tc>
          <w:tcPr>
            <w:tcW w:w="567" w:type="dxa"/>
          </w:tcPr>
          <w:p w14:paraId="6E5E151A" w14:textId="77777777" w:rsidR="00AD1F54" w:rsidRPr="00264D5D" w:rsidRDefault="00941227">
            <w:pPr>
              <w:pStyle w:val="ASFKTableHead"/>
            </w:pPr>
            <w:r w:rsidRPr="00264D5D">
              <w:t>Обязательность</w:t>
            </w:r>
          </w:p>
        </w:tc>
        <w:tc>
          <w:tcPr>
            <w:tcW w:w="3973" w:type="dxa"/>
          </w:tcPr>
          <w:p w14:paraId="2A5C7FC2" w14:textId="77777777" w:rsidR="00AD1F54" w:rsidRPr="00264D5D" w:rsidRDefault="00941227">
            <w:pPr>
              <w:pStyle w:val="ASFKTableHead"/>
            </w:pPr>
            <w:r w:rsidRPr="00264D5D">
              <w:t>Дополнительная информация</w:t>
            </w:r>
          </w:p>
        </w:tc>
      </w:tr>
      <w:tr w:rsidR="00AD1F54" w:rsidRPr="00264D5D" w14:paraId="2127C1EB" w14:textId="77777777" w:rsidTr="00AD1F54">
        <w:trPr>
          <w:cnfStyle w:val="000000100000" w:firstRow="0" w:lastRow="0" w:firstColumn="0" w:lastColumn="0" w:oddVBand="0" w:evenVBand="0" w:oddHBand="1" w:evenHBand="0" w:firstRowFirstColumn="0" w:firstRowLastColumn="0" w:lastRowFirstColumn="0" w:lastRowLastColumn="0"/>
        </w:trPr>
        <w:tc>
          <w:tcPr>
            <w:tcW w:w="1705" w:type="dxa"/>
          </w:tcPr>
          <w:p w14:paraId="7A71A523" w14:textId="77777777" w:rsidR="00AD1F54" w:rsidRPr="00264D5D" w:rsidRDefault="00941227">
            <w:pPr>
              <w:pStyle w:val="GOSTTablenorm"/>
            </w:pPr>
            <w:r w:rsidRPr="00264D5D">
              <w:t>Версия структуры формуляра</w:t>
            </w:r>
          </w:p>
        </w:tc>
        <w:tc>
          <w:tcPr>
            <w:tcW w:w="1703" w:type="dxa"/>
          </w:tcPr>
          <w:p w14:paraId="74D92413" w14:textId="77777777" w:rsidR="00AD1F54" w:rsidRPr="00264D5D" w:rsidRDefault="00941227">
            <w:pPr>
              <w:pStyle w:val="GOSTTablenorm"/>
            </w:pPr>
            <w:r w:rsidRPr="00264D5D">
              <w:t>versionID</w:t>
            </w:r>
          </w:p>
        </w:tc>
        <w:tc>
          <w:tcPr>
            <w:tcW w:w="567" w:type="dxa"/>
          </w:tcPr>
          <w:p w14:paraId="4949F08D" w14:textId="77777777" w:rsidR="00AD1F54" w:rsidRPr="00264D5D" w:rsidRDefault="00941227">
            <w:pPr>
              <w:pStyle w:val="GOSTTablenorm"/>
              <w:jc w:val="center"/>
            </w:pPr>
            <w:r w:rsidRPr="00264D5D">
              <w:rPr>
                <w:lang w:val="en-US"/>
              </w:rPr>
              <w:t>А</w:t>
            </w:r>
          </w:p>
        </w:tc>
        <w:tc>
          <w:tcPr>
            <w:tcW w:w="1135" w:type="dxa"/>
          </w:tcPr>
          <w:p w14:paraId="349E309B" w14:textId="77777777" w:rsidR="00AD1F54" w:rsidRPr="00264D5D" w:rsidRDefault="00941227">
            <w:pPr>
              <w:pStyle w:val="GOSTTablenorm"/>
            </w:pPr>
            <w:r w:rsidRPr="00264D5D">
              <w:t>-</w:t>
            </w:r>
          </w:p>
        </w:tc>
        <w:tc>
          <w:tcPr>
            <w:tcW w:w="567" w:type="dxa"/>
          </w:tcPr>
          <w:p w14:paraId="33BB8CEA" w14:textId="77777777" w:rsidR="00AD1F54" w:rsidRPr="00264D5D" w:rsidRDefault="00941227">
            <w:pPr>
              <w:pStyle w:val="GOSTTablenorm"/>
              <w:jc w:val="center"/>
            </w:pPr>
            <w:r w:rsidRPr="00264D5D">
              <w:t>О</w:t>
            </w:r>
          </w:p>
        </w:tc>
        <w:tc>
          <w:tcPr>
            <w:tcW w:w="3973" w:type="dxa"/>
          </w:tcPr>
          <w:p w14:paraId="3D19C859" w14:textId="0B7D661A" w:rsidR="00AD1F54" w:rsidRPr="00264D5D" w:rsidRDefault="00941227">
            <w:pPr>
              <w:pStyle w:val="GOSTTablenorm"/>
              <w:rPr>
                <w:b/>
                <w:bCs/>
              </w:rPr>
            </w:pPr>
            <w:r w:rsidRPr="00264D5D">
              <w:rPr>
                <w:szCs w:val="22"/>
                <w:lang w:eastAsia="en-US"/>
              </w:rPr>
              <w:t xml:space="preserve">Указывается значение версии, соответствующее таблице </w:t>
            </w:r>
            <w:r w:rsidRPr="00264D5D">
              <w:rPr>
                <w:szCs w:val="22"/>
              </w:rPr>
              <w:fldChar w:fldCharType="begin"/>
            </w:r>
            <w:r w:rsidRPr="00264D5D">
              <w:rPr>
                <w:szCs w:val="22"/>
                <w:lang w:eastAsia="en-US"/>
              </w:rPr>
              <w:instrText xml:space="preserve"> REF _Ref19881821 \h </w:instrText>
            </w:r>
            <w:r w:rsidRPr="00264D5D">
              <w:rPr>
                <w:szCs w:val="22"/>
              </w:rPr>
              <w:instrText xml:space="preserve"> \* MERGEFORMAT </w:instrText>
            </w:r>
            <w:r w:rsidRPr="00264D5D">
              <w:rPr>
                <w:szCs w:val="22"/>
              </w:rPr>
            </w:r>
            <w:r w:rsidRPr="00264D5D">
              <w:rPr>
                <w:szCs w:val="22"/>
              </w:rPr>
              <w:fldChar w:fldCharType="separate"/>
            </w:r>
            <w:r w:rsidR="008D797C" w:rsidRPr="008D797C">
              <w:rPr>
                <w:rFonts w:eastAsia="Calibri"/>
                <w:szCs w:val="24"/>
              </w:rPr>
              <w:t>2</w:t>
            </w:r>
            <w:r w:rsidRPr="00264D5D">
              <w:rPr>
                <w:szCs w:val="22"/>
              </w:rPr>
              <w:fldChar w:fldCharType="end"/>
            </w:r>
          </w:p>
        </w:tc>
      </w:tr>
      <w:tr w:rsidR="00AD1F54" w:rsidRPr="00264D5D" w14:paraId="24A7F562" w14:textId="77777777" w:rsidTr="00AD1F54">
        <w:trPr>
          <w:cnfStyle w:val="000000010000" w:firstRow="0" w:lastRow="0" w:firstColumn="0" w:lastColumn="0" w:oddVBand="0" w:evenVBand="0" w:oddHBand="0" w:evenHBand="1" w:firstRowFirstColumn="0" w:firstRowLastColumn="0" w:lastRowFirstColumn="0" w:lastRowLastColumn="0"/>
        </w:trPr>
        <w:tc>
          <w:tcPr>
            <w:tcW w:w="1705" w:type="dxa"/>
          </w:tcPr>
          <w:p w14:paraId="0D472812" w14:textId="77777777" w:rsidR="00AD1F54" w:rsidRPr="00264D5D" w:rsidRDefault="00941227">
            <w:pPr>
              <w:pStyle w:val="GOSTTablenorm"/>
            </w:pPr>
            <w:r w:rsidRPr="00264D5D">
              <w:t>Номер заявки</w:t>
            </w:r>
          </w:p>
        </w:tc>
        <w:tc>
          <w:tcPr>
            <w:tcW w:w="1703" w:type="dxa"/>
          </w:tcPr>
          <w:p w14:paraId="7DD8E9E4" w14:textId="77777777" w:rsidR="00AD1F54" w:rsidRPr="00264D5D" w:rsidRDefault="00941227">
            <w:pPr>
              <w:pStyle w:val="GOSTTablenorm"/>
            </w:pPr>
            <w:r w:rsidRPr="00264D5D">
              <w:t>ZR_RqstNm</w:t>
            </w:r>
          </w:p>
        </w:tc>
        <w:tc>
          <w:tcPr>
            <w:tcW w:w="567" w:type="dxa"/>
          </w:tcPr>
          <w:p w14:paraId="0591C83E" w14:textId="77777777" w:rsidR="00AD1F54" w:rsidRPr="00264D5D" w:rsidRDefault="00941227">
            <w:pPr>
              <w:pStyle w:val="GOSTTablenorm"/>
              <w:jc w:val="center"/>
            </w:pPr>
            <w:r w:rsidRPr="00264D5D">
              <w:t>П</w:t>
            </w:r>
          </w:p>
        </w:tc>
        <w:tc>
          <w:tcPr>
            <w:tcW w:w="1135" w:type="dxa"/>
          </w:tcPr>
          <w:p w14:paraId="44BBA21A" w14:textId="77777777" w:rsidR="00AD1F54" w:rsidRPr="00264D5D" w:rsidRDefault="00941227">
            <w:pPr>
              <w:pStyle w:val="GOSTTablenorm"/>
            </w:pPr>
            <w:r w:rsidRPr="00264D5D">
              <w:t>Т(1-15)</w:t>
            </w:r>
          </w:p>
        </w:tc>
        <w:tc>
          <w:tcPr>
            <w:tcW w:w="567" w:type="dxa"/>
          </w:tcPr>
          <w:p w14:paraId="6D46A665" w14:textId="77777777" w:rsidR="00AD1F54" w:rsidRPr="00264D5D" w:rsidRDefault="00941227">
            <w:pPr>
              <w:pStyle w:val="GOSTTablenorm"/>
              <w:jc w:val="center"/>
            </w:pPr>
            <w:r w:rsidRPr="00264D5D">
              <w:t>O</w:t>
            </w:r>
          </w:p>
        </w:tc>
        <w:tc>
          <w:tcPr>
            <w:tcW w:w="3973" w:type="dxa"/>
          </w:tcPr>
          <w:p w14:paraId="4A6A608F" w14:textId="77777777" w:rsidR="00AD1F54" w:rsidRPr="00264D5D" w:rsidRDefault="00941227">
            <w:pPr>
              <w:pStyle w:val="GOSTTablenorm"/>
            </w:pPr>
            <w:r w:rsidRPr="00264D5D">
              <w:t>Номер документа.</w:t>
            </w:r>
          </w:p>
          <w:p w14:paraId="6E072F21" w14:textId="77777777" w:rsidR="00AD1F54" w:rsidRPr="00264D5D" w:rsidRDefault="00941227">
            <w:pPr>
              <w:pStyle w:val="GOSTTablenorm"/>
            </w:pPr>
            <w:r w:rsidRPr="00264D5D">
              <w:t xml:space="preserve">Нумерация должна быть уникальна в пределах даты, </w:t>
            </w:r>
            <w:r w:rsidR="00B31FB3" w:rsidRPr="00264D5D">
              <w:t>за которую сформирован документ</w:t>
            </w:r>
          </w:p>
        </w:tc>
      </w:tr>
      <w:tr w:rsidR="00AD1F54" w:rsidRPr="00264D5D" w14:paraId="6894B8A3" w14:textId="77777777" w:rsidTr="00AD1F54">
        <w:trPr>
          <w:cnfStyle w:val="000000100000" w:firstRow="0" w:lastRow="0" w:firstColumn="0" w:lastColumn="0" w:oddVBand="0" w:evenVBand="0" w:oddHBand="1" w:evenHBand="0" w:firstRowFirstColumn="0" w:firstRowLastColumn="0" w:lastRowFirstColumn="0" w:lastRowLastColumn="0"/>
        </w:trPr>
        <w:tc>
          <w:tcPr>
            <w:tcW w:w="1705" w:type="dxa"/>
          </w:tcPr>
          <w:p w14:paraId="5A7D75C2" w14:textId="77777777" w:rsidR="00AD1F54" w:rsidRPr="00264D5D" w:rsidRDefault="00941227">
            <w:pPr>
              <w:pStyle w:val="GOSTTablenorm"/>
            </w:pPr>
            <w:r w:rsidRPr="00264D5D">
              <w:t>Информация о клиенте</w:t>
            </w:r>
          </w:p>
        </w:tc>
        <w:tc>
          <w:tcPr>
            <w:tcW w:w="1703" w:type="dxa"/>
          </w:tcPr>
          <w:p w14:paraId="1A1B866B" w14:textId="77777777" w:rsidR="00AD1F54" w:rsidRPr="00264D5D" w:rsidRDefault="00941227">
            <w:pPr>
              <w:pStyle w:val="GOSTTablenorm"/>
            </w:pPr>
            <w:r w:rsidRPr="00264D5D">
              <w:t>ZR_MSC_Cstmr</w:t>
            </w:r>
          </w:p>
        </w:tc>
        <w:tc>
          <w:tcPr>
            <w:tcW w:w="567" w:type="dxa"/>
          </w:tcPr>
          <w:p w14:paraId="2D0082C6" w14:textId="77777777" w:rsidR="00AD1F54" w:rsidRPr="00264D5D" w:rsidRDefault="00941227">
            <w:pPr>
              <w:pStyle w:val="GOSTTablenorm"/>
              <w:jc w:val="center"/>
            </w:pPr>
            <w:r w:rsidRPr="00264D5D">
              <w:t>С</w:t>
            </w:r>
          </w:p>
        </w:tc>
        <w:tc>
          <w:tcPr>
            <w:tcW w:w="1135" w:type="dxa"/>
          </w:tcPr>
          <w:p w14:paraId="07A5BFD9" w14:textId="77777777" w:rsidR="00AD1F54" w:rsidRPr="00264D5D" w:rsidRDefault="00941227">
            <w:pPr>
              <w:pStyle w:val="GOSTTablenorm"/>
            </w:pPr>
            <w:r w:rsidRPr="00264D5D">
              <w:t>tMSC_Cstmr4</w:t>
            </w:r>
          </w:p>
        </w:tc>
        <w:tc>
          <w:tcPr>
            <w:tcW w:w="567" w:type="dxa"/>
          </w:tcPr>
          <w:p w14:paraId="7CBD9A1B" w14:textId="77777777" w:rsidR="00AD1F54" w:rsidRPr="00264D5D" w:rsidRDefault="00941227">
            <w:pPr>
              <w:pStyle w:val="GOSTTablenorm"/>
              <w:jc w:val="center"/>
            </w:pPr>
            <w:r w:rsidRPr="00264D5D">
              <w:t>О</w:t>
            </w:r>
          </w:p>
        </w:tc>
        <w:tc>
          <w:tcPr>
            <w:tcW w:w="3973" w:type="dxa"/>
          </w:tcPr>
          <w:p w14:paraId="10CDF972" w14:textId="77777777" w:rsidR="00AD1F54" w:rsidRPr="00264D5D" w:rsidRDefault="00941227">
            <w:pPr>
              <w:pStyle w:val="GOSTTablenorm"/>
            </w:pPr>
            <w:r w:rsidRPr="00264D5D">
              <w:t>Информация о клиенте.</w:t>
            </w:r>
          </w:p>
          <w:p w14:paraId="48E732CD" w14:textId="306728C1" w:rsidR="00AD1F54" w:rsidRPr="00264D5D" w:rsidRDefault="00941227">
            <w:pPr>
              <w:pStyle w:val="GOSTTablenorm"/>
            </w:pPr>
            <w:r w:rsidRPr="00264D5D">
              <w:t xml:space="preserve">Состав элемента представлен в таблице </w:t>
            </w:r>
            <w:r w:rsidRPr="00264D5D">
              <w:rPr>
                <w:b/>
              </w:rPr>
              <w:lastRenderedPageBreak/>
              <w:fldChar w:fldCharType="begin"/>
            </w:r>
            <w:r w:rsidRPr="00264D5D">
              <w:rPr>
                <w:b/>
              </w:rPr>
              <w:instrText xml:space="preserve"> REF _Ref526861093 \h  \* MERGEFORMAT </w:instrText>
            </w:r>
            <w:r w:rsidRPr="00264D5D">
              <w:rPr>
                <w:b/>
              </w:rPr>
            </w:r>
            <w:r w:rsidRPr="00264D5D">
              <w:rPr>
                <w:b/>
              </w:rPr>
              <w:fldChar w:fldCharType="separate"/>
            </w:r>
            <w:r w:rsidR="008D797C" w:rsidRPr="008D797C">
              <w:rPr>
                <w:b/>
              </w:rPr>
              <w:t>80</w:t>
            </w:r>
            <w:r w:rsidRPr="00264D5D">
              <w:rPr>
                <w:b/>
              </w:rPr>
              <w:fldChar w:fldCharType="end"/>
            </w:r>
          </w:p>
        </w:tc>
      </w:tr>
      <w:tr w:rsidR="00AD1F54" w:rsidRPr="00264D5D" w14:paraId="54EBA498" w14:textId="77777777" w:rsidTr="00AD1F54">
        <w:trPr>
          <w:cnfStyle w:val="000000010000" w:firstRow="0" w:lastRow="0" w:firstColumn="0" w:lastColumn="0" w:oddVBand="0" w:evenVBand="0" w:oddHBand="0" w:evenHBand="1" w:firstRowFirstColumn="0" w:firstRowLastColumn="0" w:lastRowFirstColumn="0" w:lastRowLastColumn="0"/>
        </w:trPr>
        <w:tc>
          <w:tcPr>
            <w:tcW w:w="1705" w:type="dxa"/>
          </w:tcPr>
          <w:p w14:paraId="2C7C4113" w14:textId="77777777" w:rsidR="00AD1F54" w:rsidRPr="00264D5D" w:rsidRDefault="00941227">
            <w:pPr>
              <w:pStyle w:val="GOSTTablenorm"/>
            </w:pPr>
            <w:r w:rsidRPr="00264D5D">
              <w:lastRenderedPageBreak/>
              <w:t>ИНН клиента</w:t>
            </w:r>
          </w:p>
        </w:tc>
        <w:tc>
          <w:tcPr>
            <w:tcW w:w="1703" w:type="dxa"/>
          </w:tcPr>
          <w:p w14:paraId="35D9330B" w14:textId="77777777" w:rsidR="00AD1F54" w:rsidRPr="00264D5D" w:rsidRDefault="00941227">
            <w:pPr>
              <w:pStyle w:val="GOSTTablenorm"/>
            </w:pPr>
            <w:r w:rsidRPr="00264D5D">
              <w:t>ZR_INN</w:t>
            </w:r>
          </w:p>
        </w:tc>
        <w:tc>
          <w:tcPr>
            <w:tcW w:w="567" w:type="dxa"/>
          </w:tcPr>
          <w:p w14:paraId="68880F3A" w14:textId="77777777" w:rsidR="00AD1F54" w:rsidRPr="00264D5D" w:rsidRDefault="00941227">
            <w:pPr>
              <w:pStyle w:val="GOSTTablenorm"/>
              <w:jc w:val="center"/>
            </w:pPr>
            <w:r w:rsidRPr="00264D5D">
              <w:t>П</w:t>
            </w:r>
          </w:p>
        </w:tc>
        <w:tc>
          <w:tcPr>
            <w:tcW w:w="1135" w:type="dxa"/>
          </w:tcPr>
          <w:p w14:paraId="46BD02EE" w14:textId="77777777" w:rsidR="00AD1F54" w:rsidRPr="00264D5D" w:rsidRDefault="00941227">
            <w:pPr>
              <w:pStyle w:val="GOSTTablenorm"/>
            </w:pPr>
            <w:r w:rsidRPr="00264D5D">
              <w:t>Т(1-12)</w:t>
            </w:r>
          </w:p>
        </w:tc>
        <w:tc>
          <w:tcPr>
            <w:tcW w:w="567" w:type="dxa"/>
          </w:tcPr>
          <w:p w14:paraId="5C263CA6" w14:textId="77777777" w:rsidR="00AD1F54" w:rsidRPr="00264D5D" w:rsidRDefault="00941227">
            <w:pPr>
              <w:pStyle w:val="GOSTTablenorm"/>
              <w:jc w:val="center"/>
            </w:pPr>
            <w:r w:rsidRPr="00264D5D">
              <w:t>Н</w:t>
            </w:r>
          </w:p>
        </w:tc>
        <w:tc>
          <w:tcPr>
            <w:tcW w:w="3973" w:type="dxa"/>
          </w:tcPr>
          <w:p w14:paraId="41F1A47D" w14:textId="77777777" w:rsidR="00AD1F54" w:rsidRPr="00264D5D" w:rsidRDefault="00941227">
            <w:pPr>
              <w:pStyle w:val="GOSTTablenorm"/>
            </w:pPr>
            <w:r w:rsidRPr="00264D5D">
              <w:t>ИНН клиента.</w:t>
            </w:r>
          </w:p>
          <w:p w14:paraId="6E4036BC" w14:textId="77777777" w:rsidR="00AD1F54" w:rsidRPr="00264D5D" w:rsidRDefault="00941227">
            <w:pPr>
              <w:pStyle w:val="GOSTTablenorm"/>
            </w:pPr>
            <w:r w:rsidRPr="00264D5D">
              <w:t>Поле заполняется в случаях, предусмотренных НПА*.</w:t>
            </w:r>
          </w:p>
          <w:p w14:paraId="3080B6A5" w14:textId="77777777" w:rsidR="00AD1F54" w:rsidRPr="00264D5D" w:rsidRDefault="00941227">
            <w:pPr>
              <w:pStyle w:val="GOSTTablenorm"/>
            </w:pPr>
            <w:r w:rsidRPr="00264D5D">
              <w:t xml:space="preserve">Указывается значение «0» при перечислении платежа </w:t>
            </w:r>
            <w:r w:rsidR="00B31FB3" w:rsidRPr="00264D5D">
              <w:t>за физическое лицо</w:t>
            </w:r>
          </w:p>
        </w:tc>
      </w:tr>
      <w:tr w:rsidR="00AD1F54" w:rsidRPr="00264D5D" w14:paraId="435699B2" w14:textId="77777777" w:rsidTr="00AD1F54">
        <w:trPr>
          <w:cnfStyle w:val="000000100000" w:firstRow="0" w:lastRow="0" w:firstColumn="0" w:lastColumn="0" w:oddVBand="0" w:evenVBand="0" w:oddHBand="1" w:evenHBand="0" w:firstRowFirstColumn="0" w:firstRowLastColumn="0" w:lastRowFirstColumn="0" w:lastRowLastColumn="0"/>
        </w:trPr>
        <w:tc>
          <w:tcPr>
            <w:tcW w:w="1705" w:type="dxa"/>
          </w:tcPr>
          <w:p w14:paraId="6F162E16" w14:textId="77777777" w:rsidR="00AD1F54" w:rsidRPr="00264D5D" w:rsidRDefault="00941227">
            <w:pPr>
              <w:pStyle w:val="GOSTTablenorm"/>
            </w:pPr>
            <w:r w:rsidRPr="00264D5D">
              <w:t>Глава по БК</w:t>
            </w:r>
          </w:p>
        </w:tc>
        <w:tc>
          <w:tcPr>
            <w:tcW w:w="1703" w:type="dxa"/>
          </w:tcPr>
          <w:p w14:paraId="40F2FE26" w14:textId="77777777" w:rsidR="00AD1F54" w:rsidRPr="00264D5D" w:rsidRDefault="00941227">
            <w:pPr>
              <w:pStyle w:val="GOSTTablenorm"/>
            </w:pPr>
            <w:r w:rsidRPr="00264D5D">
              <w:t>ZR_CdGRBS</w:t>
            </w:r>
          </w:p>
        </w:tc>
        <w:tc>
          <w:tcPr>
            <w:tcW w:w="567" w:type="dxa"/>
          </w:tcPr>
          <w:p w14:paraId="450CD0E5" w14:textId="77777777" w:rsidR="00AD1F54" w:rsidRPr="00264D5D" w:rsidRDefault="00941227">
            <w:pPr>
              <w:pStyle w:val="GOSTTablenorm"/>
              <w:jc w:val="center"/>
            </w:pPr>
            <w:r w:rsidRPr="00264D5D">
              <w:t>П</w:t>
            </w:r>
          </w:p>
        </w:tc>
        <w:tc>
          <w:tcPr>
            <w:tcW w:w="1135" w:type="dxa"/>
          </w:tcPr>
          <w:p w14:paraId="17B6B9E9" w14:textId="77777777" w:rsidR="00AD1F54" w:rsidRPr="00264D5D" w:rsidRDefault="00941227">
            <w:pPr>
              <w:pStyle w:val="GOSTTablenorm"/>
            </w:pPr>
            <w:r w:rsidRPr="00264D5D">
              <w:t>Т(3)</w:t>
            </w:r>
          </w:p>
        </w:tc>
        <w:tc>
          <w:tcPr>
            <w:tcW w:w="567" w:type="dxa"/>
          </w:tcPr>
          <w:p w14:paraId="5806D584" w14:textId="77777777" w:rsidR="00AD1F54" w:rsidRPr="00264D5D" w:rsidRDefault="00941227">
            <w:pPr>
              <w:pStyle w:val="GOSTTablenorm"/>
              <w:jc w:val="center"/>
            </w:pPr>
            <w:r w:rsidRPr="00264D5D">
              <w:t>Н</w:t>
            </w:r>
          </w:p>
        </w:tc>
        <w:tc>
          <w:tcPr>
            <w:tcW w:w="3973" w:type="dxa"/>
          </w:tcPr>
          <w:p w14:paraId="193A19CC" w14:textId="77777777" w:rsidR="00AD1F54" w:rsidRPr="00264D5D" w:rsidRDefault="00941227">
            <w:pPr>
              <w:pStyle w:val="GOSTTablenorm"/>
            </w:pPr>
            <w:r w:rsidRPr="00264D5D">
              <w:t>Код ГРБС/ГАИФДБ по перечню ГРБС/ГАИФДБ, утвержденному законом (решением) о соответствующем бюджете.</w:t>
            </w:r>
          </w:p>
          <w:p w14:paraId="64FC6FB7" w14:textId="77777777" w:rsidR="00AD1F54" w:rsidRPr="00264D5D" w:rsidRDefault="00B31FB3">
            <w:pPr>
              <w:pStyle w:val="GOSTTablenorm"/>
            </w:pPr>
            <w:r w:rsidRPr="00264D5D">
              <w:t>Не указывается для АУ, БУ</w:t>
            </w:r>
          </w:p>
        </w:tc>
      </w:tr>
      <w:tr w:rsidR="00AD1F54" w:rsidRPr="00264D5D" w14:paraId="1EFD63CD" w14:textId="77777777" w:rsidTr="00AD1F54">
        <w:trPr>
          <w:cnfStyle w:val="000000010000" w:firstRow="0" w:lastRow="0" w:firstColumn="0" w:lastColumn="0" w:oddVBand="0" w:evenVBand="0" w:oddHBand="0" w:evenHBand="1" w:firstRowFirstColumn="0" w:firstRowLastColumn="0" w:lastRowFirstColumn="0" w:lastRowLastColumn="0"/>
        </w:trPr>
        <w:tc>
          <w:tcPr>
            <w:tcW w:w="1705" w:type="dxa"/>
          </w:tcPr>
          <w:p w14:paraId="6C530FD0" w14:textId="77777777" w:rsidR="00AD1F54" w:rsidRPr="00264D5D" w:rsidRDefault="00941227">
            <w:pPr>
              <w:pStyle w:val="GOSTTablenorm"/>
            </w:pPr>
            <w:r w:rsidRPr="00264D5D">
              <w:t>Организация</w:t>
            </w:r>
          </w:p>
        </w:tc>
        <w:tc>
          <w:tcPr>
            <w:tcW w:w="1703" w:type="dxa"/>
          </w:tcPr>
          <w:p w14:paraId="499289B6" w14:textId="77777777" w:rsidR="00AD1F54" w:rsidRPr="00264D5D" w:rsidRDefault="00941227">
            <w:pPr>
              <w:pStyle w:val="GOSTTablenorm"/>
            </w:pPr>
            <w:r w:rsidRPr="00264D5D">
              <w:t>ZR_MSC_Orgnztn</w:t>
            </w:r>
          </w:p>
        </w:tc>
        <w:tc>
          <w:tcPr>
            <w:tcW w:w="567" w:type="dxa"/>
          </w:tcPr>
          <w:p w14:paraId="15B9DB5E" w14:textId="77777777" w:rsidR="00AD1F54" w:rsidRPr="00264D5D" w:rsidRDefault="00941227">
            <w:pPr>
              <w:pStyle w:val="GOSTTablenorm"/>
              <w:jc w:val="center"/>
            </w:pPr>
            <w:r w:rsidRPr="00264D5D">
              <w:t>С</w:t>
            </w:r>
          </w:p>
        </w:tc>
        <w:tc>
          <w:tcPr>
            <w:tcW w:w="1135" w:type="dxa"/>
          </w:tcPr>
          <w:p w14:paraId="16216D3B" w14:textId="77777777" w:rsidR="00AD1F54" w:rsidRPr="00264D5D" w:rsidRDefault="00941227">
            <w:pPr>
              <w:pStyle w:val="GOSTTablenorm"/>
            </w:pPr>
            <w:r w:rsidRPr="00264D5D">
              <w:t>tMSC_Orgnztn5</w:t>
            </w:r>
          </w:p>
        </w:tc>
        <w:tc>
          <w:tcPr>
            <w:tcW w:w="567" w:type="dxa"/>
          </w:tcPr>
          <w:p w14:paraId="1B68403C" w14:textId="77777777" w:rsidR="00AD1F54" w:rsidRPr="00264D5D" w:rsidRDefault="00941227">
            <w:pPr>
              <w:pStyle w:val="GOSTTablenorm"/>
              <w:jc w:val="center"/>
            </w:pPr>
            <w:r w:rsidRPr="00264D5D">
              <w:t>О</w:t>
            </w:r>
          </w:p>
        </w:tc>
        <w:tc>
          <w:tcPr>
            <w:tcW w:w="3973" w:type="dxa"/>
          </w:tcPr>
          <w:p w14:paraId="0975026F" w14:textId="77777777" w:rsidR="00AD1F54" w:rsidRPr="00264D5D" w:rsidRDefault="00941227">
            <w:pPr>
              <w:pStyle w:val="GOSTTablenorm"/>
            </w:pPr>
            <w:r w:rsidRPr="00264D5D">
              <w:t xml:space="preserve">Информация об организациях. </w:t>
            </w:r>
          </w:p>
          <w:p w14:paraId="68EB1E7C" w14:textId="3099DE45" w:rsidR="00AD1F54" w:rsidRPr="00264D5D" w:rsidRDefault="00941227">
            <w:pPr>
              <w:pStyle w:val="GOSTTablenorm"/>
            </w:pPr>
            <w:r w:rsidRPr="00264D5D">
              <w:t xml:space="preserve">Состав элемента представлен в таблице </w:t>
            </w:r>
            <w:r w:rsidRPr="00264D5D">
              <w:rPr>
                <w:b/>
              </w:rPr>
              <w:fldChar w:fldCharType="begin"/>
            </w:r>
            <w:r w:rsidRPr="00264D5D">
              <w:rPr>
                <w:b/>
              </w:rPr>
              <w:instrText xml:space="preserve"> REF _Ref526861118 \h  \* MERGEFORMAT </w:instrText>
            </w:r>
            <w:r w:rsidRPr="00264D5D">
              <w:rPr>
                <w:b/>
              </w:rPr>
            </w:r>
            <w:r w:rsidRPr="00264D5D">
              <w:rPr>
                <w:b/>
              </w:rPr>
              <w:fldChar w:fldCharType="separate"/>
            </w:r>
            <w:r w:rsidR="008D797C" w:rsidRPr="008D797C">
              <w:rPr>
                <w:b/>
              </w:rPr>
              <w:t>81</w:t>
            </w:r>
            <w:r w:rsidRPr="00264D5D">
              <w:rPr>
                <w:b/>
              </w:rPr>
              <w:fldChar w:fldCharType="end"/>
            </w:r>
          </w:p>
        </w:tc>
      </w:tr>
      <w:tr w:rsidR="00AD1F54" w:rsidRPr="00264D5D" w14:paraId="37999CBA" w14:textId="77777777" w:rsidTr="00AD1F54">
        <w:trPr>
          <w:cnfStyle w:val="000000100000" w:firstRow="0" w:lastRow="0" w:firstColumn="0" w:lastColumn="0" w:oddVBand="0" w:evenVBand="0" w:oddHBand="1" w:evenHBand="0" w:firstRowFirstColumn="0" w:firstRowLastColumn="0" w:lastRowFirstColumn="0" w:lastRowLastColumn="0"/>
        </w:trPr>
        <w:tc>
          <w:tcPr>
            <w:tcW w:w="1705" w:type="dxa"/>
          </w:tcPr>
          <w:p w14:paraId="79EA6066" w14:textId="77777777" w:rsidR="00AD1F54" w:rsidRPr="00264D5D" w:rsidRDefault="00941227">
            <w:pPr>
              <w:pStyle w:val="GOSTTablenorm"/>
            </w:pPr>
            <w:r w:rsidRPr="00264D5D">
              <w:t>Предельная дата исполнения</w:t>
            </w:r>
          </w:p>
        </w:tc>
        <w:tc>
          <w:tcPr>
            <w:tcW w:w="1703" w:type="dxa"/>
          </w:tcPr>
          <w:p w14:paraId="2F811A59" w14:textId="77777777" w:rsidR="00AD1F54" w:rsidRPr="00264D5D" w:rsidRDefault="00941227">
            <w:pPr>
              <w:pStyle w:val="GOSTTablenorm"/>
            </w:pPr>
            <w:r w:rsidRPr="00264D5D">
              <w:t>ZR_DctDtISP</w:t>
            </w:r>
          </w:p>
        </w:tc>
        <w:tc>
          <w:tcPr>
            <w:tcW w:w="567" w:type="dxa"/>
          </w:tcPr>
          <w:p w14:paraId="06DC9463" w14:textId="77777777" w:rsidR="00AD1F54" w:rsidRPr="00264D5D" w:rsidRDefault="00941227">
            <w:pPr>
              <w:pStyle w:val="GOSTTablenorm"/>
              <w:jc w:val="center"/>
            </w:pPr>
            <w:r w:rsidRPr="00264D5D">
              <w:t>П</w:t>
            </w:r>
          </w:p>
        </w:tc>
        <w:tc>
          <w:tcPr>
            <w:tcW w:w="1135" w:type="dxa"/>
          </w:tcPr>
          <w:p w14:paraId="57355B73" w14:textId="77777777" w:rsidR="00AD1F54" w:rsidRPr="00264D5D" w:rsidRDefault="00941227">
            <w:pPr>
              <w:pStyle w:val="GOSTTablenorm"/>
            </w:pPr>
            <w:r w:rsidRPr="00264D5D">
              <w:rPr>
                <w:lang w:val="en-US"/>
              </w:rPr>
              <w:t>D</w:t>
            </w:r>
            <w:r w:rsidRPr="00264D5D">
              <w:t>ate</w:t>
            </w:r>
          </w:p>
        </w:tc>
        <w:tc>
          <w:tcPr>
            <w:tcW w:w="567" w:type="dxa"/>
          </w:tcPr>
          <w:p w14:paraId="3502418A" w14:textId="77777777" w:rsidR="00AD1F54" w:rsidRPr="00264D5D" w:rsidRDefault="00941227">
            <w:pPr>
              <w:pStyle w:val="GOSTTablenorm"/>
              <w:jc w:val="center"/>
            </w:pPr>
            <w:r w:rsidRPr="00264D5D">
              <w:t>Н</w:t>
            </w:r>
          </w:p>
        </w:tc>
        <w:tc>
          <w:tcPr>
            <w:tcW w:w="3973" w:type="dxa"/>
          </w:tcPr>
          <w:p w14:paraId="32992127" w14:textId="77777777" w:rsidR="00AD1F54" w:rsidRPr="00264D5D" w:rsidRDefault="00941227">
            <w:pPr>
              <w:pStyle w:val="GOSTTablenorm"/>
            </w:pPr>
            <w:r w:rsidRPr="00264D5D">
              <w:t xml:space="preserve">Дата не должна быть ранее даты рабочего дня, следующего за </w:t>
            </w:r>
            <w:r w:rsidR="00B31FB3" w:rsidRPr="00264D5D">
              <w:t>текущим</w:t>
            </w:r>
          </w:p>
        </w:tc>
      </w:tr>
      <w:tr w:rsidR="00AD1F54" w:rsidRPr="00264D5D" w14:paraId="060A2350" w14:textId="77777777" w:rsidTr="00AD1F54">
        <w:trPr>
          <w:cnfStyle w:val="000000010000" w:firstRow="0" w:lastRow="0" w:firstColumn="0" w:lastColumn="0" w:oddVBand="0" w:evenVBand="0" w:oddHBand="0" w:evenHBand="1" w:firstRowFirstColumn="0" w:firstRowLastColumn="0" w:lastRowFirstColumn="0" w:lastRowLastColumn="0"/>
        </w:trPr>
        <w:tc>
          <w:tcPr>
            <w:tcW w:w="1705" w:type="dxa"/>
          </w:tcPr>
          <w:p w14:paraId="1B1E50F5" w14:textId="77777777" w:rsidR="00AD1F54" w:rsidRPr="00264D5D" w:rsidRDefault="00941227">
            <w:pPr>
              <w:pStyle w:val="GOSTTablenorm"/>
            </w:pPr>
            <w:r w:rsidRPr="00264D5D">
              <w:t>Идентификатор документа «Сведения о бюджетном обязательстве», «Сведения о соглашении», предоставленного в ТОФК</w:t>
            </w:r>
          </w:p>
        </w:tc>
        <w:tc>
          <w:tcPr>
            <w:tcW w:w="1703" w:type="dxa"/>
          </w:tcPr>
          <w:p w14:paraId="7514821F" w14:textId="77777777" w:rsidR="00AD1F54" w:rsidRPr="00264D5D" w:rsidRDefault="00941227">
            <w:pPr>
              <w:pStyle w:val="GOSTTablenorm"/>
            </w:pPr>
            <w:r w:rsidRPr="00264D5D">
              <w:t>ZR_GUIDSV</w:t>
            </w:r>
          </w:p>
        </w:tc>
        <w:tc>
          <w:tcPr>
            <w:tcW w:w="567" w:type="dxa"/>
          </w:tcPr>
          <w:p w14:paraId="2ED0C52A" w14:textId="77777777" w:rsidR="00AD1F54" w:rsidRPr="00264D5D" w:rsidRDefault="00941227">
            <w:pPr>
              <w:pStyle w:val="GOSTTablenorm"/>
              <w:jc w:val="center"/>
            </w:pPr>
            <w:r w:rsidRPr="00264D5D">
              <w:t>П</w:t>
            </w:r>
          </w:p>
        </w:tc>
        <w:tc>
          <w:tcPr>
            <w:tcW w:w="1135" w:type="dxa"/>
          </w:tcPr>
          <w:p w14:paraId="1A28B74C" w14:textId="77777777" w:rsidR="00AD1F54" w:rsidRPr="00264D5D" w:rsidRDefault="00941227">
            <w:pPr>
              <w:pStyle w:val="GOSTTablenorm"/>
            </w:pPr>
            <w:r w:rsidRPr="00264D5D">
              <w:t>GUID</w:t>
            </w:r>
          </w:p>
        </w:tc>
        <w:tc>
          <w:tcPr>
            <w:tcW w:w="567" w:type="dxa"/>
          </w:tcPr>
          <w:p w14:paraId="270CACB0" w14:textId="77777777" w:rsidR="00AD1F54" w:rsidRPr="00264D5D" w:rsidRDefault="00941227">
            <w:pPr>
              <w:pStyle w:val="GOSTTablenorm"/>
              <w:jc w:val="center"/>
            </w:pPr>
            <w:r w:rsidRPr="00264D5D">
              <w:t>Н</w:t>
            </w:r>
          </w:p>
        </w:tc>
        <w:tc>
          <w:tcPr>
            <w:tcW w:w="3973" w:type="dxa"/>
          </w:tcPr>
          <w:p w14:paraId="2C4999C1" w14:textId="77777777" w:rsidR="00AD1F54" w:rsidRPr="00264D5D" w:rsidRDefault="00941227">
            <w:pPr>
              <w:pStyle w:val="GOSTTablenorm"/>
            </w:pPr>
            <w:r w:rsidRPr="00264D5D">
              <w:t>Уникальный в системе Федерального казначейства идентификатор документа «Сведения о бюджетном обязательстве», «Сведения о соглашении», предоставляемого одновременно с ЗКР сокращенной.</w:t>
            </w:r>
          </w:p>
          <w:p w14:paraId="1E9C5556" w14:textId="77777777" w:rsidR="00AD1F54" w:rsidRPr="00264D5D" w:rsidRDefault="00941227">
            <w:pPr>
              <w:pStyle w:val="GOSTTablenorm"/>
            </w:pPr>
            <w:r w:rsidRPr="00264D5D">
              <w:t>Поле может быть заполнено, если не заполнено поле «Номер обязательства».</w:t>
            </w:r>
          </w:p>
          <w:p w14:paraId="6E827E02" w14:textId="77777777" w:rsidR="00AD1F54" w:rsidRPr="00264D5D" w:rsidRDefault="00941227">
            <w:pPr>
              <w:pStyle w:val="GOSTTablenorm"/>
            </w:pPr>
            <w:r w:rsidRPr="00264D5D">
              <w:t>Если «Номер обязательства» заполнено – поле не заполняется.</w:t>
            </w:r>
          </w:p>
          <w:p w14:paraId="1F2914A8" w14:textId="77777777" w:rsidR="00AD1F54" w:rsidRPr="00264D5D" w:rsidRDefault="00B31FB3">
            <w:pPr>
              <w:pStyle w:val="GOSTTablenorm"/>
            </w:pPr>
            <w:r w:rsidRPr="00264D5D">
              <w:t>Не указывается для АУ, БУ</w:t>
            </w:r>
          </w:p>
        </w:tc>
      </w:tr>
      <w:tr w:rsidR="00AD1F54" w:rsidRPr="00264D5D" w14:paraId="1F6E1A10" w14:textId="77777777" w:rsidTr="00AD1F54">
        <w:trPr>
          <w:cnfStyle w:val="000000100000" w:firstRow="0" w:lastRow="0" w:firstColumn="0" w:lastColumn="0" w:oddVBand="0" w:evenVBand="0" w:oddHBand="1" w:evenHBand="0" w:firstRowFirstColumn="0" w:firstRowLastColumn="0" w:lastRowFirstColumn="0" w:lastRowLastColumn="0"/>
        </w:trPr>
        <w:tc>
          <w:tcPr>
            <w:tcW w:w="1705" w:type="dxa"/>
          </w:tcPr>
          <w:p w14:paraId="4DF962F8" w14:textId="77777777" w:rsidR="00AD1F54" w:rsidRPr="00264D5D" w:rsidRDefault="00941227">
            <w:pPr>
              <w:pStyle w:val="GOSTTablenorm"/>
            </w:pPr>
            <w:r w:rsidRPr="00264D5D">
              <w:t>Номер обязательства</w:t>
            </w:r>
          </w:p>
        </w:tc>
        <w:tc>
          <w:tcPr>
            <w:tcW w:w="1703" w:type="dxa"/>
          </w:tcPr>
          <w:p w14:paraId="735692B1" w14:textId="77777777" w:rsidR="00AD1F54" w:rsidRPr="00264D5D" w:rsidRDefault="00941227">
            <w:pPr>
              <w:pStyle w:val="GOSTTablenorm"/>
            </w:pPr>
            <w:r w:rsidRPr="00264D5D">
              <w:t>ZR_OblgtNm</w:t>
            </w:r>
          </w:p>
        </w:tc>
        <w:tc>
          <w:tcPr>
            <w:tcW w:w="567" w:type="dxa"/>
          </w:tcPr>
          <w:p w14:paraId="5B467EE5" w14:textId="77777777" w:rsidR="00AD1F54" w:rsidRPr="00264D5D" w:rsidRDefault="00941227">
            <w:pPr>
              <w:pStyle w:val="GOSTTablenorm"/>
              <w:jc w:val="center"/>
            </w:pPr>
            <w:r w:rsidRPr="00264D5D">
              <w:t>П</w:t>
            </w:r>
          </w:p>
        </w:tc>
        <w:tc>
          <w:tcPr>
            <w:tcW w:w="1135" w:type="dxa"/>
          </w:tcPr>
          <w:p w14:paraId="3A7EF4ED" w14:textId="77777777" w:rsidR="00AD1F54" w:rsidRPr="00264D5D" w:rsidRDefault="00941227">
            <w:pPr>
              <w:pStyle w:val="GOSTTablenorm"/>
            </w:pPr>
            <w:r w:rsidRPr="00264D5D">
              <w:t>Т(1-19)</w:t>
            </w:r>
          </w:p>
        </w:tc>
        <w:tc>
          <w:tcPr>
            <w:tcW w:w="567" w:type="dxa"/>
          </w:tcPr>
          <w:p w14:paraId="33870ADB" w14:textId="77777777" w:rsidR="00AD1F54" w:rsidRPr="00264D5D" w:rsidRDefault="00941227">
            <w:pPr>
              <w:pStyle w:val="GOSTTablenorm"/>
              <w:jc w:val="center"/>
            </w:pPr>
            <w:r w:rsidRPr="00264D5D">
              <w:t>Н</w:t>
            </w:r>
          </w:p>
        </w:tc>
        <w:tc>
          <w:tcPr>
            <w:tcW w:w="3973" w:type="dxa"/>
          </w:tcPr>
          <w:p w14:paraId="5EB83678" w14:textId="77777777" w:rsidR="00AD1F54" w:rsidRPr="00264D5D" w:rsidRDefault="00941227">
            <w:pPr>
              <w:pStyle w:val="GOSTTablenorm"/>
            </w:pPr>
            <w:r w:rsidRPr="00264D5D">
              <w:t xml:space="preserve">Номер, присвоенный ТОФК обязательству при постановке его на учет или тип первичного бюджетного обязательства. Номер обязательства должен соответствовать номеру обязательства, учтенному на л/с ПБС ФБ, для исполнения которого формируется ЗКР сокращенная. В случае первичного присвоения номера обязательству при регистрации ЗКР сокращенной (без предварительной регистрации самого обязательства) размерность поля устанавливается как «=1», при этом реквизит может </w:t>
            </w:r>
            <w:r w:rsidRPr="00264D5D">
              <w:lastRenderedPageBreak/>
              <w:t>принимать значения «1» (закупка) или «2» (прочее). После присвоения номера бюджетному обязательству данное поле заполняется ТОФК учетным номером бюджетного обязательства.</w:t>
            </w:r>
          </w:p>
          <w:p w14:paraId="5C0E7B4D" w14:textId="77777777" w:rsidR="00AD1F54" w:rsidRPr="00264D5D" w:rsidRDefault="00941227">
            <w:pPr>
              <w:pStyle w:val="GOSTTablenorm"/>
            </w:pPr>
            <w:r w:rsidRPr="00264D5D">
              <w:t>Для обязательств, принятых на учет до 31.12.2015, размерность поля устанавливается как «=16».</w:t>
            </w:r>
          </w:p>
          <w:p w14:paraId="329D0D6B" w14:textId="77777777" w:rsidR="00AD1F54" w:rsidRPr="00264D5D" w:rsidRDefault="00941227">
            <w:pPr>
              <w:pStyle w:val="GOSTTablenorm"/>
            </w:pPr>
            <w:r w:rsidRPr="00264D5D">
              <w:t>Для обязательств, принятых на учет после 01.01.2016, размерность поля устанавливается как «=19».</w:t>
            </w:r>
          </w:p>
          <w:p w14:paraId="4E18908C" w14:textId="77777777" w:rsidR="00AD1F54" w:rsidRPr="00264D5D" w:rsidRDefault="00B31FB3">
            <w:pPr>
              <w:pStyle w:val="GOSTTablenorm"/>
            </w:pPr>
            <w:r w:rsidRPr="00264D5D">
              <w:t>Не указывается для АУ, БУ</w:t>
            </w:r>
          </w:p>
        </w:tc>
      </w:tr>
      <w:tr w:rsidR="00AD1F54" w:rsidRPr="00264D5D" w14:paraId="0CFA69B6" w14:textId="77777777" w:rsidTr="00AD1F54">
        <w:trPr>
          <w:cnfStyle w:val="000000010000" w:firstRow="0" w:lastRow="0" w:firstColumn="0" w:lastColumn="0" w:oddVBand="0" w:evenVBand="0" w:oddHBand="0" w:evenHBand="1" w:firstRowFirstColumn="0" w:firstRowLastColumn="0" w:lastRowFirstColumn="0" w:lastRowLastColumn="0"/>
        </w:trPr>
        <w:tc>
          <w:tcPr>
            <w:tcW w:w="1705" w:type="dxa"/>
          </w:tcPr>
          <w:p w14:paraId="5DEA8B10" w14:textId="77777777" w:rsidR="00AD1F54" w:rsidRPr="00264D5D" w:rsidRDefault="00941227">
            <w:pPr>
              <w:pStyle w:val="GOSTTablenorm"/>
            </w:pPr>
            <w:r w:rsidRPr="00264D5D">
              <w:lastRenderedPageBreak/>
              <w:t>Код объекта по ФАИП (КМИ)</w:t>
            </w:r>
          </w:p>
        </w:tc>
        <w:tc>
          <w:tcPr>
            <w:tcW w:w="1703" w:type="dxa"/>
          </w:tcPr>
          <w:p w14:paraId="09E5C7F2" w14:textId="77777777" w:rsidR="00AD1F54" w:rsidRPr="00264D5D" w:rsidRDefault="00941227">
            <w:pPr>
              <w:pStyle w:val="GOSTTablenorm"/>
            </w:pPr>
            <w:r w:rsidRPr="00264D5D">
              <w:t>ZR_FAIPObjCd</w:t>
            </w:r>
          </w:p>
        </w:tc>
        <w:tc>
          <w:tcPr>
            <w:tcW w:w="567" w:type="dxa"/>
          </w:tcPr>
          <w:p w14:paraId="4F344E4E" w14:textId="77777777" w:rsidR="00AD1F54" w:rsidRPr="00264D5D" w:rsidRDefault="00941227">
            <w:pPr>
              <w:pStyle w:val="GOSTTablenorm"/>
              <w:jc w:val="center"/>
            </w:pPr>
            <w:r w:rsidRPr="00264D5D">
              <w:t>П</w:t>
            </w:r>
          </w:p>
        </w:tc>
        <w:tc>
          <w:tcPr>
            <w:tcW w:w="1135" w:type="dxa"/>
          </w:tcPr>
          <w:p w14:paraId="24ACD370" w14:textId="77777777" w:rsidR="00AD1F54" w:rsidRPr="00264D5D" w:rsidRDefault="00941227">
            <w:pPr>
              <w:pStyle w:val="GOSTTablenorm"/>
            </w:pPr>
            <w:r w:rsidRPr="00264D5D">
              <w:t>Т(1-24)</w:t>
            </w:r>
          </w:p>
        </w:tc>
        <w:tc>
          <w:tcPr>
            <w:tcW w:w="567" w:type="dxa"/>
          </w:tcPr>
          <w:p w14:paraId="15384602" w14:textId="77777777" w:rsidR="00AD1F54" w:rsidRPr="00264D5D" w:rsidRDefault="00941227">
            <w:pPr>
              <w:pStyle w:val="GOSTTablenorm"/>
              <w:jc w:val="center"/>
            </w:pPr>
            <w:r w:rsidRPr="00264D5D">
              <w:t>Н</w:t>
            </w:r>
          </w:p>
        </w:tc>
        <w:tc>
          <w:tcPr>
            <w:tcW w:w="3973" w:type="dxa"/>
          </w:tcPr>
          <w:p w14:paraId="2AE277CB" w14:textId="77777777" w:rsidR="00AD1F54" w:rsidRPr="00264D5D" w:rsidRDefault="00941227">
            <w:pPr>
              <w:pStyle w:val="GOSTTablenorm"/>
              <w:rPr>
                <w:szCs w:val="22"/>
              </w:rPr>
            </w:pPr>
            <w:r w:rsidRPr="00264D5D">
              <w:rPr>
                <w:szCs w:val="22"/>
              </w:rPr>
              <w:t>Может указываться уникальный код объекта капитального строительства или объекта недвижимости, код мероприятия по информатизации.</w:t>
            </w:r>
          </w:p>
          <w:p w14:paraId="4D1A8202" w14:textId="77777777" w:rsidR="00AD1F54" w:rsidRPr="00264D5D" w:rsidRDefault="00941227">
            <w:pPr>
              <w:pStyle w:val="GOSTTablenorm"/>
            </w:pPr>
            <w:r w:rsidRPr="00264D5D">
              <w:rPr>
                <w:szCs w:val="22"/>
              </w:rPr>
              <w:t>Поле не заполняется для ПБС, осуществляющих операции со средс</w:t>
            </w:r>
            <w:r w:rsidR="00B31FB3" w:rsidRPr="00264D5D">
              <w:rPr>
                <w:szCs w:val="22"/>
              </w:rPr>
              <w:t>твами во временном распоряжении</w:t>
            </w:r>
          </w:p>
        </w:tc>
      </w:tr>
      <w:tr w:rsidR="00AD1F54" w:rsidRPr="00264D5D" w14:paraId="7BE01849" w14:textId="77777777" w:rsidTr="00AD1F54">
        <w:trPr>
          <w:cnfStyle w:val="000000100000" w:firstRow="0" w:lastRow="0" w:firstColumn="0" w:lastColumn="0" w:oddVBand="0" w:evenVBand="0" w:oddHBand="1" w:evenHBand="0" w:firstRowFirstColumn="0" w:firstRowLastColumn="0" w:lastRowFirstColumn="0" w:lastRowLastColumn="0"/>
        </w:trPr>
        <w:tc>
          <w:tcPr>
            <w:tcW w:w="1705" w:type="dxa"/>
          </w:tcPr>
          <w:p w14:paraId="7DB61C91" w14:textId="77777777" w:rsidR="00AD1F54" w:rsidRPr="00264D5D" w:rsidRDefault="00941227">
            <w:pPr>
              <w:pStyle w:val="GOSTTablenorm"/>
            </w:pPr>
            <w:r w:rsidRPr="00264D5D">
              <w:t>Сумма документа в валюте выплаты</w:t>
            </w:r>
          </w:p>
        </w:tc>
        <w:tc>
          <w:tcPr>
            <w:tcW w:w="1703" w:type="dxa"/>
          </w:tcPr>
          <w:p w14:paraId="4E72E262" w14:textId="77777777" w:rsidR="00AD1F54" w:rsidRPr="00264D5D" w:rsidRDefault="00941227">
            <w:pPr>
              <w:pStyle w:val="GOSTTablenorm"/>
            </w:pPr>
            <w:r w:rsidRPr="00264D5D">
              <w:t>ZR_AmntV</w:t>
            </w:r>
          </w:p>
        </w:tc>
        <w:tc>
          <w:tcPr>
            <w:tcW w:w="567" w:type="dxa"/>
          </w:tcPr>
          <w:p w14:paraId="28639F3F" w14:textId="77777777" w:rsidR="00AD1F54" w:rsidRPr="00264D5D" w:rsidRDefault="00941227">
            <w:pPr>
              <w:pStyle w:val="GOSTTablenorm"/>
              <w:jc w:val="center"/>
            </w:pPr>
            <w:r w:rsidRPr="00264D5D">
              <w:t>П</w:t>
            </w:r>
          </w:p>
        </w:tc>
        <w:tc>
          <w:tcPr>
            <w:tcW w:w="1135" w:type="dxa"/>
          </w:tcPr>
          <w:p w14:paraId="10E0FEF8" w14:textId="77777777" w:rsidR="00AD1F54" w:rsidRPr="00264D5D" w:rsidRDefault="00941227">
            <w:pPr>
              <w:pStyle w:val="GOSTTablenorm"/>
            </w:pPr>
            <w:r w:rsidRPr="00264D5D">
              <w:t>N(20.2)</w:t>
            </w:r>
          </w:p>
        </w:tc>
        <w:tc>
          <w:tcPr>
            <w:tcW w:w="567" w:type="dxa"/>
          </w:tcPr>
          <w:p w14:paraId="22A223B9" w14:textId="77777777" w:rsidR="00AD1F54" w:rsidRPr="00264D5D" w:rsidRDefault="00941227">
            <w:pPr>
              <w:pStyle w:val="GOSTTablenorm"/>
              <w:jc w:val="center"/>
            </w:pPr>
            <w:r w:rsidRPr="00264D5D">
              <w:t>О</w:t>
            </w:r>
          </w:p>
        </w:tc>
        <w:tc>
          <w:tcPr>
            <w:tcW w:w="3973" w:type="dxa"/>
          </w:tcPr>
          <w:p w14:paraId="41412974" w14:textId="77777777" w:rsidR="00AD1F54" w:rsidRPr="00264D5D" w:rsidRDefault="00941227">
            <w:pPr>
              <w:pStyle w:val="GOSTTablenorm"/>
            </w:pPr>
            <w:r w:rsidRPr="00264D5D">
              <w:t>Сумма в валюте, в которой д</w:t>
            </w:r>
            <w:r w:rsidR="00B31FB3" w:rsidRPr="00264D5D">
              <w:t>олжна быть осуществлена выплата</w:t>
            </w:r>
          </w:p>
        </w:tc>
      </w:tr>
      <w:tr w:rsidR="00AD1F54" w:rsidRPr="00264D5D" w14:paraId="6BB281BB" w14:textId="77777777" w:rsidTr="00AD1F54">
        <w:trPr>
          <w:cnfStyle w:val="000000010000" w:firstRow="0" w:lastRow="0" w:firstColumn="0" w:lastColumn="0" w:oddVBand="0" w:evenVBand="0" w:oddHBand="0" w:evenHBand="1" w:firstRowFirstColumn="0" w:firstRowLastColumn="0" w:lastRowFirstColumn="0" w:lastRowLastColumn="0"/>
        </w:trPr>
        <w:tc>
          <w:tcPr>
            <w:tcW w:w="1705" w:type="dxa"/>
          </w:tcPr>
          <w:p w14:paraId="5F109DDB" w14:textId="77777777" w:rsidR="00AD1F54" w:rsidRPr="00264D5D" w:rsidRDefault="00941227">
            <w:pPr>
              <w:pStyle w:val="GOSTTablenorm"/>
            </w:pPr>
            <w:r w:rsidRPr="00264D5D">
              <w:t xml:space="preserve">Код валюты </w:t>
            </w:r>
          </w:p>
        </w:tc>
        <w:tc>
          <w:tcPr>
            <w:tcW w:w="1703" w:type="dxa"/>
          </w:tcPr>
          <w:p w14:paraId="1B84C5C9" w14:textId="77777777" w:rsidR="00AD1F54" w:rsidRPr="00264D5D" w:rsidRDefault="00941227">
            <w:pPr>
              <w:pStyle w:val="GOSTTablenorm"/>
            </w:pPr>
            <w:r w:rsidRPr="00264D5D">
              <w:t>ZR_CdOKV</w:t>
            </w:r>
          </w:p>
        </w:tc>
        <w:tc>
          <w:tcPr>
            <w:tcW w:w="567" w:type="dxa"/>
          </w:tcPr>
          <w:p w14:paraId="4FA460B9" w14:textId="77777777" w:rsidR="00AD1F54" w:rsidRPr="00264D5D" w:rsidRDefault="00941227">
            <w:pPr>
              <w:pStyle w:val="GOSTTablenorm"/>
              <w:jc w:val="center"/>
            </w:pPr>
            <w:r w:rsidRPr="00264D5D">
              <w:t>П</w:t>
            </w:r>
          </w:p>
        </w:tc>
        <w:tc>
          <w:tcPr>
            <w:tcW w:w="1135" w:type="dxa"/>
          </w:tcPr>
          <w:p w14:paraId="701F7597" w14:textId="77777777" w:rsidR="00AD1F54" w:rsidRPr="00264D5D" w:rsidRDefault="00941227">
            <w:pPr>
              <w:pStyle w:val="GOSTTablenorm"/>
            </w:pPr>
            <w:r w:rsidRPr="00264D5D">
              <w:t>Т(3)</w:t>
            </w:r>
          </w:p>
        </w:tc>
        <w:tc>
          <w:tcPr>
            <w:tcW w:w="567" w:type="dxa"/>
          </w:tcPr>
          <w:p w14:paraId="01EF20A3" w14:textId="77777777" w:rsidR="00AD1F54" w:rsidRPr="00264D5D" w:rsidRDefault="00941227">
            <w:pPr>
              <w:pStyle w:val="GOSTTablenorm"/>
              <w:jc w:val="center"/>
            </w:pPr>
            <w:r w:rsidRPr="00264D5D">
              <w:t>О</w:t>
            </w:r>
          </w:p>
        </w:tc>
        <w:tc>
          <w:tcPr>
            <w:tcW w:w="3973" w:type="dxa"/>
          </w:tcPr>
          <w:p w14:paraId="4DC3CD94" w14:textId="77777777" w:rsidR="00AD1F54" w:rsidRPr="00264D5D" w:rsidRDefault="00B31FB3">
            <w:pPr>
              <w:pStyle w:val="GOSTTablenorm"/>
            </w:pPr>
            <w:r w:rsidRPr="00264D5D">
              <w:t>Указывается значение «643»</w:t>
            </w:r>
          </w:p>
        </w:tc>
      </w:tr>
      <w:tr w:rsidR="00AD1F54" w:rsidRPr="00264D5D" w14:paraId="2E86E58E" w14:textId="77777777" w:rsidTr="00AD1F54">
        <w:trPr>
          <w:cnfStyle w:val="000000100000" w:firstRow="0" w:lastRow="0" w:firstColumn="0" w:lastColumn="0" w:oddVBand="0" w:evenVBand="0" w:oddHBand="1" w:evenHBand="0" w:firstRowFirstColumn="0" w:firstRowLastColumn="0" w:lastRowFirstColumn="0" w:lastRowLastColumn="0"/>
        </w:trPr>
        <w:tc>
          <w:tcPr>
            <w:tcW w:w="1705" w:type="dxa"/>
          </w:tcPr>
          <w:p w14:paraId="3A27C10B" w14:textId="77777777" w:rsidR="00AD1F54" w:rsidRPr="00264D5D" w:rsidRDefault="00941227">
            <w:pPr>
              <w:pStyle w:val="GOSTTablenorm"/>
            </w:pPr>
            <w:r w:rsidRPr="00264D5D">
              <w:rPr>
                <w:szCs w:val="22"/>
              </w:rPr>
              <w:t>Код вида дохода</w:t>
            </w:r>
          </w:p>
        </w:tc>
        <w:tc>
          <w:tcPr>
            <w:tcW w:w="1703" w:type="dxa"/>
          </w:tcPr>
          <w:p w14:paraId="2225A23B" w14:textId="77777777" w:rsidR="00AD1F54" w:rsidRPr="00264D5D" w:rsidRDefault="00941227">
            <w:pPr>
              <w:pStyle w:val="GOSTTablenorm"/>
            </w:pPr>
            <w:r w:rsidRPr="00264D5D">
              <w:rPr>
                <w:szCs w:val="22"/>
              </w:rPr>
              <w:t>ZR_IncTypeCode</w:t>
            </w:r>
          </w:p>
        </w:tc>
        <w:tc>
          <w:tcPr>
            <w:tcW w:w="567" w:type="dxa"/>
          </w:tcPr>
          <w:p w14:paraId="18CD861B" w14:textId="77777777" w:rsidR="00AD1F54" w:rsidRPr="00264D5D" w:rsidRDefault="00941227">
            <w:pPr>
              <w:pStyle w:val="GOSTTablenorm"/>
              <w:jc w:val="center"/>
            </w:pPr>
            <w:r w:rsidRPr="00264D5D">
              <w:rPr>
                <w:szCs w:val="22"/>
              </w:rPr>
              <w:t>П</w:t>
            </w:r>
          </w:p>
        </w:tc>
        <w:tc>
          <w:tcPr>
            <w:tcW w:w="1135" w:type="dxa"/>
          </w:tcPr>
          <w:p w14:paraId="1F9E7707" w14:textId="77777777" w:rsidR="00AD1F54" w:rsidRPr="00264D5D" w:rsidRDefault="00941227">
            <w:pPr>
              <w:pStyle w:val="GOSTTablenorm"/>
            </w:pPr>
            <w:r w:rsidRPr="00264D5D">
              <w:rPr>
                <w:szCs w:val="22"/>
              </w:rPr>
              <w:t>Т(1)</w:t>
            </w:r>
          </w:p>
        </w:tc>
        <w:tc>
          <w:tcPr>
            <w:tcW w:w="567" w:type="dxa"/>
          </w:tcPr>
          <w:p w14:paraId="1D490A62" w14:textId="77777777" w:rsidR="00AD1F54" w:rsidRPr="00264D5D" w:rsidRDefault="00941227">
            <w:pPr>
              <w:pStyle w:val="GOSTTablenorm"/>
              <w:jc w:val="center"/>
            </w:pPr>
            <w:r w:rsidRPr="00264D5D">
              <w:rPr>
                <w:szCs w:val="22"/>
              </w:rPr>
              <w:t>Н</w:t>
            </w:r>
          </w:p>
        </w:tc>
        <w:tc>
          <w:tcPr>
            <w:tcW w:w="3973" w:type="dxa"/>
          </w:tcPr>
          <w:p w14:paraId="162005FB" w14:textId="77777777" w:rsidR="00AD1F54" w:rsidRPr="00264D5D" w:rsidRDefault="00941227">
            <w:pPr>
              <w:pStyle w:val="GOSTTablenorm"/>
              <w:rPr>
                <w:szCs w:val="22"/>
              </w:rPr>
            </w:pPr>
            <w:r w:rsidRPr="00264D5D">
              <w:rPr>
                <w:szCs w:val="22"/>
              </w:rPr>
              <w:t>Указывается код вида дохода.</w:t>
            </w:r>
          </w:p>
          <w:p w14:paraId="65922062" w14:textId="77777777" w:rsidR="00AD1F54" w:rsidRPr="00264D5D" w:rsidRDefault="00941227">
            <w:pPr>
              <w:pStyle w:val="GOSTTablenorm"/>
              <w:rPr>
                <w:szCs w:val="22"/>
              </w:rPr>
            </w:pPr>
            <w:r w:rsidRPr="00264D5D">
              <w:rPr>
                <w:szCs w:val="22"/>
              </w:rPr>
              <w:t xml:space="preserve">Заполняется в соответствии с частью 5.1 статьи 70 ФЗ от 02.10.2007 № 229-ФЗ и указанием Банка России от 29.06.2021 №762-П в документах, предусматривающих перечисление средств гражданам. </w:t>
            </w:r>
          </w:p>
          <w:p w14:paraId="31F14444" w14:textId="77777777" w:rsidR="00B31FB3" w:rsidRPr="00264D5D" w:rsidRDefault="00941227" w:rsidP="00B31FB3">
            <w:pPr>
              <w:pStyle w:val="GOSTTablenorm"/>
              <w:rPr>
                <w:szCs w:val="22"/>
              </w:rPr>
            </w:pPr>
            <w:r w:rsidRPr="00264D5D">
              <w:rPr>
                <w:szCs w:val="22"/>
              </w:rPr>
              <w:t>Возможные значения:</w:t>
            </w:r>
          </w:p>
          <w:p w14:paraId="0FD4B76D" w14:textId="77777777" w:rsidR="00B31FB3" w:rsidRPr="00264D5D" w:rsidRDefault="00941227" w:rsidP="00101F62">
            <w:pPr>
              <w:pStyle w:val="afff8"/>
              <w:numPr>
                <w:ilvl w:val="0"/>
                <w:numId w:val="136"/>
              </w:numPr>
              <w:spacing w:before="60" w:after="60"/>
              <w:ind w:left="284" w:hanging="227"/>
              <w:rPr>
                <w:sz w:val="22"/>
                <w:szCs w:val="22"/>
              </w:rPr>
            </w:pPr>
            <w:r w:rsidRPr="00264D5D">
              <w:rPr>
                <w:sz w:val="22"/>
                <w:szCs w:val="22"/>
              </w:rPr>
              <w:t>«1» – при перечислении заработной платы и (или) иных доходов, в отношении которых статьей 99 ФЗ от 02.10.2007 № 229-ФЗ установлены ограничения размеров удержания;</w:t>
            </w:r>
          </w:p>
          <w:p w14:paraId="6E8D9874" w14:textId="77777777" w:rsidR="00B31FB3" w:rsidRPr="00264D5D" w:rsidRDefault="00941227" w:rsidP="00101F62">
            <w:pPr>
              <w:pStyle w:val="afff8"/>
              <w:numPr>
                <w:ilvl w:val="0"/>
                <w:numId w:val="136"/>
              </w:numPr>
              <w:spacing w:before="60" w:after="60"/>
              <w:ind w:left="284" w:hanging="227"/>
              <w:rPr>
                <w:sz w:val="22"/>
                <w:szCs w:val="22"/>
              </w:rPr>
            </w:pPr>
            <w:r w:rsidRPr="00264D5D">
              <w:rPr>
                <w:sz w:val="22"/>
                <w:szCs w:val="22"/>
              </w:rPr>
              <w:t xml:space="preserve">«2» – при перечислении денежных средств, являющихся доходами, на которые в соответствии со статьей 101 ФЗ от 02.10.2007 № 229-ФЗ не может быть обращено взыскание и которые имеют характер периодических </w:t>
            </w:r>
            <w:r w:rsidR="00B31FB3" w:rsidRPr="00264D5D">
              <w:rPr>
                <w:sz w:val="22"/>
                <w:szCs w:val="22"/>
              </w:rPr>
              <w:t>выплат, за</w:t>
            </w:r>
            <w:r w:rsidRPr="00264D5D">
              <w:rPr>
                <w:sz w:val="22"/>
                <w:szCs w:val="22"/>
              </w:rPr>
              <w:t xml:space="preserve"> </w:t>
            </w:r>
            <w:r w:rsidRPr="00264D5D">
              <w:rPr>
                <w:sz w:val="22"/>
                <w:szCs w:val="22"/>
              </w:rPr>
              <w:lastRenderedPageBreak/>
              <w:t>исключением доходов, к которым в соответствии с частью 2 статьи 101 ФЗ от 02.10.2007 № 229-ФЗ ограничения по обращению взыскания не применяются;</w:t>
            </w:r>
          </w:p>
          <w:p w14:paraId="491E7B66" w14:textId="77777777" w:rsidR="00AD1F54" w:rsidRPr="00264D5D" w:rsidRDefault="00941227" w:rsidP="00101F62">
            <w:pPr>
              <w:pStyle w:val="afff8"/>
              <w:numPr>
                <w:ilvl w:val="0"/>
                <w:numId w:val="136"/>
              </w:numPr>
              <w:spacing w:before="60" w:after="60"/>
              <w:ind w:left="284" w:hanging="227"/>
              <w:rPr>
                <w:sz w:val="22"/>
                <w:szCs w:val="22"/>
              </w:rPr>
            </w:pPr>
            <w:r w:rsidRPr="00264D5D">
              <w:rPr>
                <w:sz w:val="22"/>
                <w:szCs w:val="22"/>
              </w:rPr>
              <w:t>«3» – при перечислении денежных средств, являющихся доходами, к которым в соответствии с частью 2 статьи 101 ФЗ от 02.10.2007 № 229-ФЗ ограничения по обращению взыскания не применяются и которые имеют характер периодических выплат;</w:t>
            </w:r>
          </w:p>
          <w:p w14:paraId="3170C934" w14:textId="77777777" w:rsidR="00AD1F54" w:rsidRPr="00264D5D" w:rsidRDefault="00941227" w:rsidP="00101F62">
            <w:pPr>
              <w:pStyle w:val="OTRTableNorm2"/>
              <w:numPr>
                <w:ilvl w:val="0"/>
                <w:numId w:val="136"/>
              </w:numPr>
              <w:spacing w:after="60"/>
              <w:ind w:left="284" w:hanging="227"/>
              <w:rPr>
                <w:sz w:val="22"/>
                <w:szCs w:val="22"/>
              </w:rPr>
            </w:pPr>
            <w:r w:rsidRPr="00264D5D">
              <w:rPr>
                <w:sz w:val="22"/>
                <w:szCs w:val="22"/>
              </w:rPr>
              <w:t>«4» – при перечислении денежных средств, являющихся доходами, на которые в соответствии с частью 1 статьи 101 Федерального закона от 02.10.2007 № 229-ФЗ не может быть обращено взыскание и которые имеют характер единовременных выплат, за исключением доходов, к которым в соответствии с частью 2 статьи 101 Федерального закона от 02.10.2007 № 229-ФЗ ограничения по обращению взыскания не применяются;</w:t>
            </w:r>
          </w:p>
          <w:p w14:paraId="4EE39EDD" w14:textId="77777777" w:rsidR="00B31FB3" w:rsidRPr="00264D5D" w:rsidRDefault="00941227" w:rsidP="00101F62">
            <w:pPr>
              <w:pStyle w:val="GOSTTablenorm"/>
              <w:numPr>
                <w:ilvl w:val="0"/>
                <w:numId w:val="136"/>
              </w:numPr>
              <w:ind w:left="284" w:hanging="227"/>
            </w:pPr>
            <w:r w:rsidRPr="00264D5D">
              <w:rPr>
                <w:szCs w:val="22"/>
              </w:rPr>
              <w:t>«5» – при перечислении денежных средств, являющихся доходами, к которым в соответствии с частью 2 статьи 101 Федерального закона от 02.10.2007 № 229-ФЗ ограничения по обращению взыскания не применяются и которые имеют характер единовременных выплат.</w:t>
            </w:r>
          </w:p>
          <w:p w14:paraId="0D526F5C" w14:textId="77777777" w:rsidR="00AD1F54" w:rsidRPr="00264D5D" w:rsidRDefault="00941227" w:rsidP="00B31FB3">
            <w:pPr>
              <w:pStyle w:val="GOSTTablenorm"/>
            </w:pPr>
            <w:r w:rsidRPr="00264D5D">
              <w:rPr>
                <w:szCs w:val="22"/>
              </w:rPr>
              <w:t>В о</w:t>
            </w:r>
            <w:r w:rsidR="00B31FB3" w:rsidRPr="00264D5D">
              <w:rPr>
                <w:szCs w:val="22"/>
              </w:rPr>
              <w:t>стальных случаях не заполняется</w:t>
            </w:r>
          </w:p>
        </w:tc>
      </w:tr>
      <w:tr w:rsidR="00AD1F54" w:rsidRPr="00264D5D" w14:paraId="1C00274B" w14:textId="77777777" w:rsidTr="00AD1F54">
        <w:trPr>
          <w:cnfStyle w:val="000000010000" w:firstRow="0" w:lastRow="0" w:firstColumn="0" w:lastColumn="0" w:oddVBand="0" w:evenVBand="0" w:oddHBand="0" w:evenHBand="1" w:firstRowFirstColumn="0" w:firstRowLastColumn="0" w:lastRowFirstColumn="0" w:lastRowLastColumn="0"/>
        </w:trPr>
        <w:tc>
          <w:tcPr>
            <w:tcW w:w="1705" w:type="dxa"/>
          </w:tcPr>
          <w:p w14:paraId="082136DB" w14:textId="77777777" w:rsidR="00AD1F54" w:rsidRPr="00264D5D" w:rsidRDefault="00941227">
            <w:pPr>
              <w:pStyle w:val="GOSTTablenorm"/>
              <w:rPr>
                <w:szCs w:val="22"/>
              </w:rPr>
            </w:pPr>
            <w:r w:rsidRPr="00264D5D">
              <w:rPr>
                <w:szCs w:val="22"/>
              </w:rPr>
              <w:lastRenderedPageBreak/>
              <w:t>Номер реестровой записи</w:t>
            </w:r>
          </w:p>
        </w:tc>
        <w:tc>
          <w:tcPr>
            <w:tcW w:w="1703" w:type="dxa"/>
          </w:tcPr>
          <w:p w14:paraId="7D4220DC" w14:textId="77777777" w:rsidR="00AD1F54" w:rsidRPr="00264D5D" w:rsidRDefault="00941227">
            <w:pPr>
              <w:pStyle w:val="GOSTTablenorm"/>
              <w:rPr>
                <w:szCs w:val="22"/>
              </w:rPr>
            </w:pPr>
            <w:r w:rsidRPr="00264D5D">
              <w:rPr>
                <w:rFonts w:eastAsiaTheme="minorHAnsi"/>
                <w:color w:val="000000"/>
                <w:szCs w:val="22"/>
                <w:lang w:val="en-US"/>
              </w:rPr>
              <w:t>Z</w:t>
            </w:r>
            <w:r w:rsidRPr="00264D5D">
              <w:rPr>
                <w:rFonts w:eastAsiaTheme="minorHAnsi"/>
                <w:color w:val="000000"/>
                <w:szCs w:val="22"/>
              </w:rPr>
              <w:t>R_NumReestrEntry</w:t>
            </w:r>
          </w:p>
        </w:tc>
        <w:tc>
          <w:tcPr>
            <w:tcW w:w="567" w:type="dxa"/>
          </w:tcPr>
          <w:p w14:paraId="6CF385B0" w14:textId="77777777" w:rsidR="00AD1F54" w:rsidRPr="00264D5D" w:rsidRDefault="00941227">
            <w:pPr>
              <w:pStyle w:val="GOSTTablenorm"/>
              <w:jc w:val="center"/>
              <w:rPr>
                <w:szCs w:val="22"/>
              </w:rPr>
            </w:pPr>
            <w:r w:rsidRPr="00264D5D">
              <w:rPr>
                <w:szCs w:val="22"/>
              </w:rPr>
              <w:t>П</w:t>
            </w:r>
          </w:p>
        </w:tc>
        <w:tc>
          <w:tcPr>
            <w:tcW w:w="1135" w:type="dxa"/>
          </w:tcPr>
          <w:p w14:paraId="555CB52F" w14:textId="77777777" w:rsidR="00AD1F54" w:rsidRPr="00264D5D" w:rsidRDefault="00941227">
            <w:pPr>
              <w:pStyle w:val="GOSTTablenorm"/>
              <w:rPr>
                <w:szCs w:val="22"/>
              </w:rPr>
            </w:pPr>
            <w:r w:rsidRPr="00264D5D">
              <w:rPr>
                <w:szCs w:val="22"/>
              </w:rPr>
              <w:t>Т(1-27)</w:t>
            </w:r>
          </w:p>
        </w:tc>
        <w:tc>
          <w:tcPr>
            <w:tcW w:w="567" w:type="dxa"/>
          </w:tcPr>
          <w:p w14:paraId="609FBCD7" w14:textId="77777777" w:rsidR="00AD1F54" w:rsidRPr="00264D5D" w:rsidRDefault="00B31FB3">
            <w:pPr>
              <w:pStyle w:val="GOSTTablenorm"/>
              <w:jc w:val="center"/>
              <w:rPr>
                <w:szCs w:val="22"/>
              </w:rPr>
            </w:pPr>
            <w:r w:rsidRPr="00264D5D">
              <w:rPr>
                <w:szCs w:val="22"/>
              </w:rPr>
              <w:t>Н</w:t>
            </w:r>
          </w:p>
        </w:tc>
        <w:tc>
          <w:tcPr>
            <w:tcW w:w="3973" w:type="dxa"/>
          </w:tcPr>
          <w:p w14:paraId="6B1C6C1B" w14:textId="77777777" w:rsidR="00AD1F54" w:rsidRPr="00264D5D" w:rsidRDefault="00941227">
            <w:pPr>
              <w:pStyle w:val="GOSTTablenorm"/>
              <w:rPr>
                <w:szCs w:val="22"/>
              </w:rPr>
            </w:pPr>
            <w:r w:rsidRPr="00264D5D">
              <w:rPr>
                <w:szCs w:val="22"/>
              </w:rPr>
              <w:t>Указывается номер записи в реестре.</w:t>
            </w:r>
          </w:p>
          <w:p w14:paraId="3C6C2625" w14:textId="77777777" w:rsidR="00AD1F54" w:rsidRPr="00264D5D" w:rsidRDefault="00941227">
            <w:pPr>
              <w:pStyle w:val="GOSTTablenorm"/>
              <w:rPr>
                <w:szCs w:val="22"/>
              </w:rPr>
            </w:pPr>
            <w:r w:rsidRPr="00264D5D">
              <w:rPr>
                <w:szCs w:val="22"/>
              </w:rPr>
              <w:t>Поле обязательно к заполнению, если знач</w:t>
            </w:r>
            <w:r w:rsidR="00B31FB3" w:rsidRPr="00264D5D">
              <w:rPr>
                <w:szCs w:val="22"/>
              </w:rPr>
              <w:t>ение поля «Вид реестра» = 02</w:t>
            </w:r>
          </w:p>
        </w:tc>
      </w:tr>
      <w:tr w:rsidR="00AD1F54" w:rsidRPr="00264D5D" w14:paraId="0768250F" w14:textId="77777777" w:rsidTr="00AD1F54">
        <w:trPr>
          <w:cnfStyle w:val="000000100000" w:firstRow="0" w:lastRow="0" w:firstColumn="0" w:lastColumn="0" w:oddVBand="0" w:evenVBand="0" w:oddHBand="1" w:evenHBand="0" w:firstRowFirstColumn="0" w:firstRowLastColumn="0" w:lastRowFirstColumn="0" w:lastRowLastColumn="0"/>
        </w:trPr>
        <w:tc>
          <w:tcPr>
            <w:tcW w:w="1705" w:type="dxa"/>
          </w:tcPr>
          <w:p w14:paraId="4CF03785" w14:textId="77777777" w:rsidR="00AD1F54" w:rsidRPr="00264D5D" w:rsidRDefault="00941227">
            <w:pPr>
              <w:pStyle w:val="GOSTTablenorm"/>
              <w:rPr>
                <w:szCs w:val="22"/>
              </w:rPr>
            </w:pPr>
            <w:r w:rsidRPr="00264D5D">
              <w:rPr>
                <w:szCs w:val="22"/>
              </w:rPr>
              <w:t>Идентификатор документа о приемке/этапа</w:t>
            </w:r>
          </w:p>
        </w:tc>
        <w:tc>
          <w:tcPr>
            <w:tcW w:w="1703" w:type="dxa"/>
          </w:tcPr>
          <w:p w14:paraId="368EC9E6" w14:textId="77777777" w:rsidR="00AD1F54" w:rsidRPr="00264D5D" w:rsidRDefault="00941227">
            <w:pPr>
              <w:pStyle w:val="GOSTTablenorm"/>
              <w:rPr>
                <w:szCs w:val="22"/>
              </w:rPr>
            </w:pPr>
            <w:r w:rsidRPr="00264D5D">
              <w:rPr>
                <w:rFonts w:eastAsiaTheme="minorHAnsi"/>
                <w:color w:val="000000"/>
                <w:szCs w:val="22"/>
              </w:rPr>
              <w:t>ZR_NumDocAcceptStage</w:t>
            </w:r>
          </w:p>
        </w:tc>
        <w:tc>
          <w:tcPr>
            <w:tcW w:w="567" w:type="dxa"/>
          </w:tcPr>
          <w:p w14:paraId="1EE45B91" w14:textId="77777777" w:rsidR="00AD1F54" w:rsidRPr="00264D5D" w:rsidRDefault="00941227">
            <w:pPr>
              <w:pStyle w:val="GOSTTablenorm"/>
              <w:jc w:val="center"/>
              <w:rPr>
                <w:szCs w:val="22"/>
              </w:rPr>
            </w:pPr>
            <w:r w:rsidRPr="00264D5D">
              <w:rPr>
                <w:szCs w:val="22"/>
              </w:rPr>
              <w:t>П</w:t>
            </w:r>
          </w:p>
        </w:tc>
        <w:tc>
          <w:tcPr>
            <w:tcW w:w="1135" w:type="dxa"/>
          </w:tcPr>
          <w:p w14:paraId="39998971" w14:textId="77777777" w:rsidR="00AD1F54" w:rsidRPr="00264D5D" w:rsidRDefault="00941227">
            <w:pPr>
              <w:pStyle w:val="GOSTTablenorm"/>
              <w:rPr>
                <w:szCs w:val="22"/>
              </w:rPr>
            </w:pPr>
            <w:r w:rsidRPr="00264D5D">
              <w:rPr>
                <w:szCs w:val="22"/>
                <w:lang w:val="en-US"/>
              </w:rPr>
              <w:t>T(</w:t>
            </w:r>
            <w:r w:rsidRPr="00264D5D">
              <w:rPr>
                <w:szCs w:val="22"/>
              </w:rPr>
              <w:t>1-</w:t>
            </w:r>
            <w:r w:rsidRPr="00264D5D">
              <w:rPr>
                <w:szCs w:val="22"/>
                <w:lang w:val="en-US"/>
              </w:rPr>
              <w:t>2</w:t>
            </w:r>
            <w:r w:rsidRPr="00264D5D">
              <w:rPr>
                <w:szCs w:val="22"/>
              </w:rPr>
              <w:t>0</w:t>
            </w:r>
            <w:r w:rsidRPr="00264D5D">
              <w:rPr>
                <w:szCs w:val="22"/>
                <w:lang w:val="en-US"/>
              </w:rPr>
              <w:t>)</w:t>
            </w:r>
          </w:p>
        </w:tc>
        <w:tc>
          <w:tcPr>
            <w:tcW w:w="567" w:type="dxa"/>
          </w:tcPr>
          <w:p w14:paraId="523A7DA1" w14:textId="77777777" w:rsidR="00AD1F54" w:rsidRPr="00264D5D" w:rsidRDefault="00B31FB3">
            <w:pPr>
              <w:pStyle w:val="GOSTTablenorm"/>
              <w:jc w:val="center"/>
              <w:rPr>
                <w:szCs w:val="22"/>
              </w:rPr>
            </w:pPr>
            <w:r w:rsidRPr="00264D5D">
              <w:rPr>
                <w:szCs w:val="22"/>
              </w:rPr>
              <w:t>Н</w:t>
            </w:r>
          </w:p>
        </w:tc>
        <w:tc>
          <w:tcPr>
            <w:tcW w:w="3973" w:type="dxa"/>
          </w:tcPr>
          <w:p w14:paraId="28F27191" w14:textId="77777777" w:rsidR="00AD1F54" w:rsidRPr="00264D5D" w:rsidRDefault="00941227">
            <w:pPr>
              <w:pStyle w:val="GOSTTablenorm"/>
              <w:rPr>
                <w:szCs w:val="22"/>
              </w:rPr>
            </w:pPr>
            <w:r w:rsidRPr="00264D5D">
              <w:rPr>
                <w:szCs w:val="22"/>
              </w:rPr>
              <w:t>Указывается идентификатор документа о приемке или идентификатор этапа.</w:t>
            </w:r>
          </w:p>
          <w:p w14:paraId="77FB869D" w14:textId="77777777" w:rsidR="00AD1F54" w:rsidRPr="00264D5D" w:rsidRDefault="00941227">
            <w:pPr>
              <w:pStyle w:val="GOSTTablenorm"/>
              <w:rPr>
                <w:szCs w:val="22"/>
              </w:rPr>
            </w:pPr>
            <w:r w:rsidRPr="00264D5D">
              <w:rPr>
                <w:szCs w:val="22"/>
              </w:rPr>
              <w:t>Поле обязательно к заполнению, если з</w:t>
            </w:r>
            <w:r w:rsidR="00B31FB3" w:rsidRPr="00264D5D">
              <w:rPr>
                <w:szCs w:val="22"/>
              </w:rPr>
              <w:t>начение поля «Вид реестра» = 02</w:t>
            </w:r>
          </w:p>
        </w:tc>
      </w:tr>
      <w:tr w:rsidR="00AD1F54" w:rsidRPr="00264D5D" w14:paraId="13BF7B2A" w14:textId="77777777" w:rsidTr="00AD1F54">
        <w:trPr>
          <w:cnfStyle w:val="000000010000" w:firstRow="0" w:lastRow="0" w:firstColumn="0" w:lastColumn="0" w:oddVBand="0" w:evenVBand="0" w:oddHBand="0" w:evenHBand="1" w:firstRowFirstColumn="0" w:firstRowLastColumn="0" w:lastRowFirstColumn="0" w:lastRowLastColumn="0"/>
          <w:trHeight w:val="1534"/>
        </w:trPr>
        <w:tc>
          <w:tcPr>
            <w:tcW w:w="1705" w:type="dxa"/>
          </w:tcPr>
          <w:p w14:paraId="416252D7" w14:textId="77777777" w:rsidR="00AD1F54" w:rsidRPr="00264D5D" w:rsidRDefault="00941227">
            <w:pPr>
              <w:pStyle w:val="GOSTTablenorm"/>
              <w:rPr>
                <w:szCs w:val="22"/>
              </w:rPr>
            </w:pPr>
            <w:r w:rsidRPr="00264D5D">
              <w:rPr>
                <w:szCs w:val="22"/>
              </w:rPr>
              <w:lastRenderedPageBreak/>
              <w:t>Вид реестра</w:t>
            </w:r>
          </w:p>
        </w:tc>
        <w:tc>
          <w:tcPr>
            <w:tcW w:w="1703" w:type="dxa"/>
          </w:tcPr>
          <w:p w14:paraId="7410EA41" w14:textId="77777777" w:rsidR="00AD1F54" w:rsidRPr="00264D5D" w:rsidRDefault="00941227">
            <w:pPr>
              <w:pStyle w:val="GOSTTablenorm"/>
              <w:rPr>
                <w:szCs w:val="22"/>
              </w:rPr>
            </w:pPr>
            <w:r w:rsidRPr="00264D5D">
              <w:rPr>
                <w:rFonts w:eastAsiaTheme="minorHAnsi"/>
                <w:color w:val="000000"/>
                <w:szCs w:val="22"/>
              </w:rPr>
              <w:t>ZR_ReestrType</w:t>
            </w:r>
          </w:p>
        </w:tc>
        <w:tc>
          <w:tcPr>
            <w:tcW w:w="567" w:type="dxa"/>
          </w:tcPr>
          <w:p w14:paraId="47F7ABE2" w14:textId="77777777" w:rsidR="00AD1F54" w:rsidRPr="00264D5D" w:rsidRDefault="00941227">
            <w:pPr>
              <w:pStyle w:val="GOSTTablenorm"/>
              <w:jc w:val="center"/>
              <w:rPr>
                <w:szCs w:val="22"/>
              </w:rPr>
            </w:pPr>
            <w:r w:rsidRPr="00264D5D">
              <w:rPr>
                <w:szCs w:val="22"/>
              </w:rPr>
              <w:t>П</w:t>
            </w:r>
          </w:p>
        </w:tc>
        <w:tc>
          <w:tcPr>
            <w:tcW w:w="1135" w:type="dxa"/>
          </w:tcPr>
          <w:p w14:paraId="0389E914" w14:textId="77777777" w:rsidR="00AD1F54" w:rsidRPr="00264D5D" w:rsidRDefault="00941227">
            <w:pPr>
              <w:pStyle w:val="GOSTTablenorm"/>
              <w:rPr>
                <w:szCs w:val="22"/>
              </w:rPr>
            </w:pPr>
            <w:r w:rsidRPr="00264D5D">
              <w:rPr>
                <w:szCs w:val="22"/>
                <w:lang w:val="en-US"/>
              </w:rPr>
              <w:t>T(2)</w:t>
            </w:r>
          </w:p>
        </w:tc>
        <w:tc>
          <w:tcPr>
            <w:tcW w:w="567" w:type="dxa"/>
          </w:tcPr>
          <w:p w14:paraId="5CBF4DED" w14:textId="77777777" w:rsidR="00AD1F54" w:rsidRPr="00264D5D" w:rsidRDefault="00B31FB3">
            <w:pPr>
              <w:pStyle w:val="GOSTTablenorm"/>
              <w:jc w:val="center"/>
              <w:rPr>
                <w:szCs w:val="22"/>
              </w:rPr>
            </w:pPr>
            <w:r w:rsidRPr="00264D5D">
              <w:rPr>
                <w:szCs w:val="22"/>
              </w:rPr>
              <w:t>Н</w:t>
            </w:r>
          </w:p>
        </w:tc>
        <w:tc>
          <w:tcPr>
            <w:tcW w:w="3973" w:type="dxa"/>
          </w:tcPr>
          <w:p w14:paraId="321D56A3" w14:textId="77777777" w:rsidR="00AD1F54" w:rsidRPr="00264D5D" w:rsidRDefault="00941227">
            <w:pPr>
              <w:pStyle w:val="GOSTTablenorm"/>
              <w:spacing w:line="256" w:lineRule="auto"/>
              <w:rPr>
                <w:szCs w:val="22"/>
              </w:rPr>
            </w:pPr>
            <w:r w:rsidRPr="00264D5D">
              <w:rPr>
                <w:szCs w:val="22"/>
              </w:rPr>
              <w:t>Указывается код вида реестра. Возможные значения:</w:t>
            </w:r>
          </w:p>
          <w:p w14:paraId="2A918761" w14:textId="77777777" w:rsidR="00AD1F54" w:rsidRPr="00264D5D" w:rsidRDefault="00941227" w:rsidP="00101F62">
            <w:pPr>
              <w:pStyle w:val="GOSTTablenorm"/>
              <w:numPr>
                <w:ilvl w:val="0"/>
                <w:numId w:val="136"/>
              </w:numPr>
              <w:ind w:left="284" w:hanging="227"/>
              <w:rPr>
                <w:szCs w:val="22"/>
              </w:rPr>
            </w:pPr>
            <w:r w:rsidRPr="00264D5D">
              <w:rPr>
                <w:szCs w:val="22"/>
              </w:rPr>
              <w:t xml:space="preserve">«01» – Реестр соглашений; </w:t>
            </w:r>
          </w:p>
          <w:p w14:paraId="2C0357C0" w14:textId="77777777" w:rsidR="00AD1F54" w:rsidRPr="00264D5D" w:rsidRDefault="00941227" w:rsidP="00101F62">
            <w:pPr>
              <w:pStyle w:val="GOSTTablenorm"/>
              <w:numPr>
                <w:ilvl w:val="0"/>
                <w:numId w:val="136"/>
              </w:numPr>
              <w:ind w:left="284" w:hanging="227"/>
              <w:rPr>
                <w:szCs w:val="22"/>
              </w:rPr>
            </w:pPr>
            <w:r w:rsidRPr="00264D5D">
              <w:rPr>
                <w:szCs w:val="22"/>
              </w:rPr>
              <w:t>«02» – Реестр контрактов (открытый);</w:t>
            </w:r>
          </w:p>
          <w:p w14:paraId="174A2D7B" w14:textId="77777777" w:rsidR="00AD1F54" w:rsidRPr="00264D5D" w:rsidRDefault="00941227" w:rsidP="00101F62">
            <w:pPr>
              <w:pStyle w:val="GOSTTablenorm"/>
              <w:numPr>
                <w:ilvl w:val="0"/>
                <w:numId w:val="136"/>
              </w:numPr>
              <w:ind w:left="284" w:hanging="227"/>
              <w:rPr>
                <w:szCs w:val="22"/>
              </w:rPr>
            </w:pPr>
            <w:r w:rsidRPr="00264D5D">
              <w:rPr>
                <w:szCs w:val="22"/>
              </w:rPr>
              <w:t>«03»</w:t>
            </w:r>
            <w:r w:rsidR="00B31FB3" w:rsidRPr="00264D5D">
              <w:rPr>
                <w:szCs w:val="22"/>
              </w:rPr>
              <w:t xml:space="preserve"> – Реестр контрактов (закрытый)</w:t>
            </w:r>
          </w:p>
        </w:tc>
      </w:tr>
      <w:tr w:rsidR="00AD1F54" w:rsidRPr="00264D5D" w14:paraId="31A2D136" w14:textId="77777777" w:rsidTr="00AD1F54">
        <w:trPr>
          <w:cnfStyle w:val="000000100000" w:firstRow="0" w:lastRow="0" w:firstColumn="0" w:lastColumn="0" w:oddVBand="0" w:evenVBand="0" w:oddHBand="1" w:evenHBand="0" w:firstRowFirstColumn="0" w:firstRowLastColumn="0" w:lastRowFirstColumn="0" w:lastRowLastColumn="0"/>
        </w:trPr>
        <w:tc>
          <w:tcPr>
            <w:tcW w:w="1705" w:type="dxa"/>
          </w:tcPr>
          <w:p w14:paraId="33E4A591" w14:textId="77777777" w:rsidR="00AD1F54" w:rsidRPr="00264D5D" w:rsidRDefault="00941227">
            <w:pPr>
              <w:pStyle w:val="GOSTTablenorm"/>
            </w:pPr>
            <w:r w:rsidRPr="00264D5D">
              <w:t>Платеж</w:t>
            </w:r>
          </w:p>
        </w:tc>
        <w:tc>
          <w:tcPr>
            <w:tcW w:w="1703" w:type="dxa"/>
          </w:tcPr>
          <w:p w14:paraId="65B08510" w14:textId="77777777" w:rsidR="00AD1F54" w:rsidRPr="00264D5D" w:rsidRDefault="00941227">
            <w:pPr>
              <w:pStyle w:val="GOSTTablenorm"/>
            </w:pPr>
            <w:r w:rsidRPr="00264D5D">
              <w:t>ZR_MSC_Pmnt</w:t>
            </w:r>
          </w:p>
        </w:tc>
        <w:tc>
          <w:tcPr>
            <w:tcW w:w="567" w:type="dxa"/>
          </w:tcPr>
          <w:p w14:paraId="3FEDAB67" w14:textId="77777777" w:rsidR="00AD1F54" w:rsidRPr="00264D5D" w:rsidRDefault="00941227">
            <w:pPr>
              <w:pStyle w:val="GOSTTablenorm"/>
              <w:jc w:val="center"/>
            </w:pPr>
            <w:r w:rsidRPr="00264D5D">
              <w:t>С</w:t>
            </w:r>
          </w:p>
        </w:tc>
        <w:tc>
          <w:tcPr>
            <w:tcW w:w="1135" w:type="dxa"/>
          </w:tcPr>
          <w:p w14:paraId="1BD55A2C" w14:textId="77777777" w:rsidR="00AD1F54" w:rsidRPr="00264D5D" w:rsidRDefault="00941227">
            <w:pPr>
              <w:pStyle w:val="GOSTTablenorm"/>
            </w:pPr>
            <w:r w:rsidRPr="00264D5D">
              <w:t>tMSC_Pmnt1</w:t>
            </w:r>
          </w:p>
        </w:tc>
        <w:tc>
          <w:tcPr>
            <w:tcW w:w="567" w:type="dxa"/>
          </w:tcPr>
          <w:p w14:paraId="62F115F6" w14:textId="77777777" w:rsidR="00AD1F54" w:rsidRPr="00264D5D" w:rsidRDefault="00941227">
            <w:pPr>
              <w:pStyle w:val="GOSTTablenorm"/>
              <w:jc w:val="center"/>
            </w:pPr>
            <w:r w:rsidRPr="00264D5D">
              <w:t>О</w:t>
            </w:r>
          </w:p>
        </w:tc>
        <w:tc>
          <w:tcPr>
            <w:tcW w:w="3973" w:type="dxa"/>
          </w:tcPr>
          <w:p w14:paraId="55E45F40" w14:textId="77777777" w:rsidR="00AD1F54" w:rsidRPr="00264D5D" w:rsidRDefault="00941227">
            <w:pPr>
              <w:pStyle w:val="GOSTTablenorm"/>
            </w:pPr>
            <w:r w:rsidRPr="00264D5D">
              <w:t>Платеж.</w:t>
            </w:r>
          </w:p>
          <w:p w14:paraId="3526EEC5" w14:textId="07C28734" w:rsidR="00AD1F54" w:rsidRPr="00264D5D" w:rsidRDefault="00941227">
            <w:pPr>
              <w:pStyle w:val="GOSTTablenorm"/>
            </w:pPr>
            <w:r w:rsidRPr="00264D5D">
              <w:t xml:space="preserve">Состав элемента представлен в таблице </w:t>
            </w:r>
            <w:r w:rsidRPr="00264D5D">
              <w:fldChar w:fldCharType="begin"/>
            </w:r>
            <w:r w:rsidRPr="00264D5D">
              <w:instrText xml:space="preserve"> REF _Ref39763120 \h  \* MERGEFORMAT </w:instrText>
            </w:r>
            <w:r w:rsidRPr="00264D5D">
              <w:fldChar w:fldCharType="separate"/>
            </w:r>
            <w:r w:rsidR="008D797C">
              <w:t>83</w:t>
            </w:r>
            <w:r w:rsidRPr="00264D5D">
              <w:fldChar w:fldCharType="end"/>
            </w:r>
          </w:p>
        </w:tc>
      </w:tr>
      <w:tr w:rsidR="00AD1F54" w:rsidRPr="00264D5D" w14:paraId="7E587626" w14:textId="77777777" w:rsidTr="00AD1F54">
        <w:trPr>
          <w:cnfStyle w:val="000000010000" w:firstRow="0" w:lastRow="0" w:firstColumn="0" w:lastColumn="0" w:oddVBand="0" w:evenVBand="0" w:oddHBand="0" w:evenHBand="1" w:firstRowFirstColumn="0" w:firstRowLastColumn="0" w:lastRowFirstColumn="0" w:lastRowLastColumn="0"/>
        </w:trPr>
        <w:tc>
          <w:tcPr>
            <w:tcW w:w="1705" w:type="dxa"/>
          </w:tcPr>
          <w:p w14:paraId="4E40CFB2" w14:textId="77777777" w:rsidR="00AD1F54" w:rsidRPr="00264D5D" w:rsidRDefault="00941227">
            <w:pPr>
              <w:pStyle w:val="GOSTTablenorm"/>
            </w:pPr>
            <w:r w:rsidRPr="00264D5D">
              <w:t>Контрагент</w:t>
            </w:r>
          </w:p>
        </w:tc>
        <w:tc>
          <w:tcPr>
            <w:tcW w:w="1703" w:type="dxa"/>
          </w:tcPr>
          <w:p w14:paraId="276CB9A8" w14:textId="77777777" w:rsidR="00AD1F54" w:rsidRPr="00264D5D" w:rsidRDefault="00941227">
            <w:pPr>
              <w:pStyle w:val="GOSTTablenorm"/>
            </w:pPr>
            <w:r w:rsidRPr="00264D5D">
              <w:t>ZR_MSC_Cntrctr</w:t>
            </w:r>
          </w:p>
        </w:tc>
        <w:tc>
          <w:tcPr>
            <w:tcW w:w="567" w:type="dxa"/>
          </w:tcPr>
          <w:p w14:paraId="111B1B48" w14:textId="77777777" w:rsidR="00AD1F54" w:rsidRPr="00264D5D" w:rsidRDefault="00941227">
            <w:pPr>
              <w:pStyle w:val="GOSTTablenorm"/>
              <w:jc w:val="center"/>
            </w:pPr>
            <w:r w:rsidRPr="00264D5D">
              <w:t>С</w:t>
            </w:r>
          </w:p>
        </w:tc>
        <w:tc>
          <w:tcPr>
            <w:tcW w:w="1135" w:type="dxa"/>
          </w:tcPr>
          <w:p w14:paraId="57F243F0" w14:textId="77777777" w:rsidR="00AD1F54" w:rsidRPr="00264D5D" w:rsidRDefault="00941227">
            <w:pPr>
              <w:pStyle w:val="GOSTTablenorm"/>
            </w:pPr>
            <w:r w:rsidRPr="00264D5D">
              <w:t>tMSC_Cntrctr1</w:t>
            </w:r>
          </w:p>
        </w:tc>
        <w:tc>
          <w:tcPr>
            <w:tcW w:w="567" w:type="dxa"/>
          </w:tcPr>
          <w:p w14:paraId="04254387" w14:textId="77777777" w:rsidR="00AD1F54" w:rsidRPr="00264D5D" w:rsidRDefault="00941227">
            <w:pPr>
              <w:pStyle w:val="GOSTTablenorm"/>
              <w:jc w:val="center"/>
            </w:pPr>
            <w:r w:rsidRPr="00264D5D">
              <w:t>О</w:t>
            </w:r>
          </w:p>
        </w:tc>
        <w:tc>
          <w:tcPr>
            <w:tcW w:w="3973" w:type="dxa"/>
          </w:tcPr>
          <w:p w14:paraId="249C56C1" w14:textId="77777777" w:rsidR="00AD1F54" w:rsidRPr="00264D5D" w:rsidRDefault="00941227">
            <w:pPr>
              <w:pStyle w:val="GOSTTablenorm"/>
            </w:pPr>
            <w:r w:rsidRPr="00264D5D">
              <w:t>Информация о контрагенте.</w:t>
            </w:r>
          </w:p>
          <w:p w14:paraId="1CB8F33F" w14:textId="1D41B547" w:rsidR="00AD1F54" w:rsidRPr="00264D5D" w:rsidRDefault="00941227">
            <w:pPr>
              <w:pStyle w:val="GOSTTablenorm"/>
            </w:pPr>
            <w:r w:rsidRPr="00264D5D">
              <w:t xml:space="preserve">Состав элемента представлен в таблице </w:t>
            </w:r>
            <w:r w:rsidRPr="00264D5D">
              <w:rPr>
                <w:b/>
              </w:rPr>
              <w:fldChar w:fldCharType="begin"/>
            </w:r>
            <w:r w:rsidRPr="00264D5D">
              <w:rPr>
                <w:b/>
              </w:rPr>
              <w:instrText xml:space="preserve"> REF _Ref526861287 \h  \* MERGEFORMAT </w:instrText>
            </w:r>
            <w:r w:rsidRPr="00264D5D">
              <w:rPr>
                <w:b/>
              </w:rPr>
            </w:r>
            <w:r w:rsidRPr="00264D5D">
              <w:rPr>
                <w:b/>
              </w:rPr>
              <w:fldChar w:fldCharType="separate"/>
            </w:r>
            <w:r w:rsidR="008D797C" w:rsidRPr="008D797C">
              <w:rPr>
                <w:b/>
              </w:rPr>
              <w:t>82</w:t>
            </w:r>
            <w:r w:rsidRPr="00264D5D">
              <w:rPr>
                <w:b/>
              </w:rPr>
              <w:fldChar w:fldCharType="end"/>
            </w:r>
          </w:p>
        </w:tc>
      </w:tr>
      <w:tr w:rsidR="00AD1F54" w:rsidRPr="00264D5D" w14:paraId="4383124C" w14:textId="77777777" w:rsidTr="00AD1F54">
        <w:trPr>
          <w:cnfStyle w:val="000000100000" w:firstRow="0" w:lastRow="0" w:firstColumn="0" w:lastColumn="0" w:oddVBand="0" w:evenVBand="0" w:oddHBand="1" w:evenHBand="0" w:firstRowFirstColumn="0" w:firstRowLastColumn="0" w:lastRowFirstColumn="0" w:lastRowLastColumn="0"/>
        </w:trPr>
        <w:tc>
          <w:tcPr>
            <w:tcW w:w="9650" w:type="dxa"/>
            <w:gridSpan w:val="6"/>
          </w:tcPr>
          <w:p w14:paraId="22B98DD6" w14:textId="77777777" w:rsidR="00AD1F54" w:rsidRPr="00264D5D" w:rsidRDefault="00941227">
            <w:pPr>
              <w:pStyle w:val="GOSTTablenorm"/>
            </w:pPr>
            <w:r w:rsidRPr="00264D5D">
              <w:rPr>
                <w:b/>
                <w:szCs w:val="22"/>
              </w:rPr>
              <w:t>Реквизиты налогового платежа</w:t>
            </w:r>
          </w:p>
        </w:tc>
      </w:tr>
      <w:tr w:rsidR="00AD1F54" w:rsidRPr="00264D5D" w14:paraId="14A47777" w14:textId="77777777" w:rsidTr="00AD1F54">
        <w:trPr>
          <w:cnfStyle w:val="000000010000" w:firstRow="0" w:lastRow="0" w:firstColumn="0" w:lastColumn="0" w:oddVBand="0" w:evenVBand="0" w:oddHBand="0" w:evenHBand="1" w:firstRowFirstColumn="0" w:firstRowLastColumn="0" w:lastRowFirstColumn="0" w:lastRowLastColumn="0"/>
        </w:trPr>
        <w:tc>
          <w:tcPr>
            <w:tcW w:w="1705" w:type="dxa"/>
          </w:tcPr>
          <w:p w14:paraId="1661D95C" w14:textId="77777777" w:rsidR="00AD1F54" w:rsidRPr="00264D5D" w:rsidRDefault="00941227">
            <w:pPr>
              <w:pStyle w:val="GOSTTablenorm"/>
            </w:pPr>
            <w:r w:rsidRPr="00264D5D">
              <w:t>Статус налогоплательщика</w:t>
            </w:r>
          </w:p>
        </w:tc>
        <w:tc>
          <w:tcPr>
            <w:tcW w:w="1703" w:type="dxa"/>
          </w:tcPr>
          <w:p w14:paraId="42DC598A" w14:textId="77777777" w:rsidR="00AD1F54" w:rsidRPr="00264D5D" w:rsidRDefault="00941227">
            <w:pPr>
              <w:pStyle w:val="GOSTTablenorm"/>
            </w:pPr>
            <w:r w:rsidRPr="00264D5D">
              <w:t>ZR_TxprSts</w:t>
            </w:r>
          </w:p>
        </w:tc>
        <w:tc>
          <w:tcPr>
            <w:tcW w:w="567" w:type="dxa"/>
          </w:tcPr>
          <w:p w14:paraId="1A63E90A" w14:textId="77777777" w:rsidR="00AD1F54" w:rsidRPr="00264D5D" w:rsidRDefault="00941227">
            <w:pPr>
              <w:pStyle w:val="GOSTTablenorm"/>
              <w:jc w:val="center"/>
            </w:pPr>
            <w:r w:rsidRPr="00264D5D">
              <w:t>П</w:t>
            </w:r>
          </w:p>
        </w:tc>
        <w:tc>
          <w:tcPr>
            <w:tcW w:w="1135" w:type="dxa"/>
          </w:tcPr>
          <w:p w14:paraId="05EFD950" w14:textId="77777777" w:rsidR="00AD1F54" w:rsidRPr="00264D5D" w:rsidRDefault="00941227">
            <w:pPr>
              <w:pStyle w:val="GOSTTablenorm"/>
            </w:pPr>
            <w:r w:rsidRPr="00264D5D">
              <w:t>Т(2)</w:t>
            </w:r>
          </w:p>
        </w:tc>
        <w:tc>
          <w:tcPr>
            <w:tcW w:w="567" w:type="dxa"/>
          </w:tcPr>
          <w:p w14:paraId="5D7079C6" w14:textId="77777777" w:rsidR="00AD1F54" w:rsidRPr="00264D5D" w:rsidRDefault="00941227">
            <w:pPr>
              <w:pStyle w:val="GOSTTablenorm"/>
              <w:jc w:val="center"/>
            </w:pPr>
            <w:r w:rsidRPr="00264D5D">
              <w:t>Н</w:t>
            </w:r>
          </w:p>
        </w:tc>
        <w:tc>
          <w:tcPr>
            <w:tcW w:w="3973" w:type="dxa"/>
          </w:tcPr>
          <w:p w14:paraId="3EFC851C" w14:textId="77777777" w:rsidR="00AD1F54" w:rsidRPr="00264D5D" w:rsidRDefault="00941227">
            <w:pPr>
              <w:pStyle w:val="GOSTTablenorm"/>
              <w:rPr>
                <w:szCs w:val="22"/>
              </w:rPr>
            </w:pPr>
            <w:r w:rsidRPr="00264D5D">
              <w:rPr>
                <w:szCs w:val="22"/>
              </w:rPr>
              <w:t>Указывается статус налогоплательщика.</w:t>
            </w:r>
          </w:p>
          <w:p w14:paraId="788B5763" w14:textId="77777777" w:rsidR="00AD1F54" w:rsidRPr="00264D5D" w:rsidRDefault="00941227">
            <w:pPr>
              <w:spacing w:before="60" w:after="60"/>
              <w:rPr>
                <w:sz w:val="22"/>
                <w:szCs w:val="22"/>
              </w:rPr>
            </w:pPr>
            <w:r w:rsidRPr="00264D5D">
              <w:rPr>
                <w:sz w:val="22"/>
                <w:szCs w:val="22"/>
              </w:rPr>
              <w:t xml:space="preserve">Поле обязательно для заполнения, если в поле «Счет контрагента» указан счет, соответствующий казначейскому счету №№ 03100, 03212, 03222; 03232; 03242; 03262; 03272; 03214; 03224; 03234; 03244 или в реквизите «БИК банка контрагента/ТОФК» указан БИК ПБР и при этом счет контрагента соответствует балансовому счету № 40503/40603/40703 с признаком «4» в 14 </w:t>
            </w:r>
            <w:r w:rsidR="00B31FB3" w:rsidRPr="00264D5D">
              <w:rPr>
                <w:sz w:val="22"/>
                <w:szCs w:val="22"/>
              </w:rPr>
              <w:t>разряде, № 40204</w:t>
            </w:r>
          </w:p>
        </w:tc>
      </w:tr>
      <w:tr w:rsidR="00AD1F54" w:rsidRPr="00264D5D" w14:paraId="5A629717" w14:textId="77777777" w:rsidTr="00AD1F54">
        <w:trPr>
          <w:cnfStyle w:val="000000100000" w:firstRow="0" w:lastRow="0" w:firstColumn="0" w:lastColumn="0" w:oddVBand="0" w:evenVBand="0" w:oddHBand="1" w:evenHBand="0" w:firstRowFirstColumn="0" w:firstRowLastColumn="0" w:lastRowFirstColumn="0" w:lastRowLastColumn="0"/>
        </w:trPr>
        <w:tc>
          <w:tcPr>
            <w:tcW w:w="1705" w:type="dxa"/>
          </w:tcPr>
          <w:p w14:paraId="0487C582" w14:textId="77777777" w:rsidR="00AD1F54" w:rsidRPr="00264D5D" w:rsidRDefault="00941227">
            <w:pPr>
              <w:pStyle w:val="GOSTTablenorm"/>
            </w:pPr>
            <w:r w:rsidRPr="00264D5D">
              <w:t>Код бюджетной классификации</w:t>
            </w:r>
          </w:p>
        </w:tc>
        <w:tc>
          <w:tcPr>
            <w:tcW w:w="1703" w:type="dxa"/>
          </w:tcPr>
          <w:p w14:paraId="67B0C552" w14:textId="77777777" w:rsidR="00AD1F54" w:rsidRPr="00264D5D" w:rsidRDefault="00941227">
            <w:pPr>
              <w:pStyle w:val="GOSTTablenorm"/>
            </w:pPr>
            <w:r w:rsidRPr="00264D5D">
              <w:t>ZR_KBK</w:t>
            </w:r>
          </w:p>
        </w:tc>
        <w:tc>
          <w:tcPr>
            <w:tcW w:w="567" w:type="dxa"/>
          </w:tcPr>
          <w:p w14:paraId="038EC45E" w14:textId="77777777" w:rsidR="00AD1F54" w:rsidRPr="00264D5D" w:rsidRDefault="00941227">
            <w:pPr>
              <w:pStyle w:val="GOSTTablenorm"/>
              <w:jc w:val="center"/>
            </w:pPr>
            <w:r w:rsidRPr="00264D5D">
              <w:t>П</w:t>
            </w:r>
          </w:p>
        </w:tc>
        <w:tc>
          <w:tcPr>
            <w:tcW w:w="1135" w:type="dxa"/>
          </w:tcPr>
          <w:p w14:paraId="170FFB01" w14:textId="77777777" w:rsidR="00AD1F54" w:rsidRPr="00264D5D" w:rsidRDefault="00941227">
            <w:pPr>
              <w:pStyle w:val="GOSTTablenorm"/>
            </w:pPr>
            <w:r w:rsidRPr="00264D5D">
              <w:t>Т(1-20)</w:t>
            </w:r>
          </w:p>
        </w:tc>
        <w:tc>
          <w:tcPr>
            <w:tcW w:w="567" w:type="dxa"/>
          </w:tcPr>
          <w:p w14:paraId="5B1D1952" w14:textId="77777777" w:rsidR="00AD1F54" w:rsidRPr="00264D5D" w:rsidRDefault="00941227">
            <w:pPr>
              <w:pStyle w:val="GOSTTablenorm"/>
              <w:jc w:val="center"/>
            </w:pPr>
            <w:r w:rsidRPr="00264D5D">
              <w:t>Н</w:t>
            </w:r>
          </w:p>
        </w:tc>
        <w:tc>
          <w:tcPr>
            <w:tcW w:w="3973" w:type="dxa"/>
          </w:tcPr>
          <w:p w14:paraId="06615554" w14:textId="77777777" w:rsidR="00AD1F54" w:rsidRPr="00264D5D" w:rsidRDefault="00941227">
            <w:pPr>
              <w:pStyle w:val="GOSTTablenorm"/>
              <w:rPr>
                <w:szCs w:val="22"/>
              </w:rPr>
            </w:pPr>
            <w:r w:rsidRPr="00264D5D">
              <w:rPr>
                <w:szCs w:val="22"/>
              </w:rPr>
              <w:t>Указывается КБК в соответствии с действующими Указаниями по БК.</w:t>
            </w:r>
          </w:p>
          <w:p w14:paraId="5F1338A0" w14:textId="77777777" w:rsidR="00AD1F54" w:rsidRPr="00264D5D" w:rsidRDefault="00941227">
            <w:pPr>
              <w:pStyle w:val="GOSTTablenorm"/>
              <w:rPr>
                <w:szCs w:val="22"/>
              </w:rPr>
            </w:pPr>
            <w:r w:rsidRPr="00264D5D">
              <w:rPr>
                <w:szCs w:val="22"/>
              </w:rPr>
              <w:t>Обязательно для заполнения, если заполнено поле «Статус налогоплательщика».</w:t>
            </w:r>
          </w:p>
          <w:p w14:paraId="7F704C68" w14:textId="77777777" w:rsidR="00AD1F54" w:rsidRPr="00264D5D" w:rsidRDefault="00941227">
            <w:pPr>
              <w:pStyle w:val="GOSTTablenorm"/>
              <w:rPr>
                <w:szCs w:val="22"/>
              </w:rPr>
            </w:pPr>
            <w:r w:rsidRPr="00264D5D">
              <w:rPr>
                <w:szCs w:val="22"/>
              </w:rPr>
              <w:t>В случае заполнения длина поля строго ограничена количеством символов равным 1 знаку, принимающему значение ноль («0»), либо 20 знакам, при этом все знаки одновременно не могут принимать значение ноль («0»).</w:t>
            </w:r>
          </w:p>
          <w:p w14:paraId="12301C68" w14:textId="77777777" w:rsidR="00AD1F54" w:rsidRPr="00264D5D" w:rsidRDefault="00941227">
            <w:pPr>
              <w:pStyle w:val="GOSTTablenorm"/>
              <w:rPr>
                <w:szCs w:val="22"/>
              </w:rPr>
            </w:pPr>
            <w:r w:rsidRPr="00264D5D">
              <w:rPr>
                <w:szCs w:val="22"/>
              </w:rPr>
              <w:t>Если в поле «Счет контрагента» указан счет № 03100, то обязательно для заполнения значением, состоящим из 20 знаков.</w:t>
            </w:r>
          </w:p>
          <w:p w14:paraId="5ABE878A" w14:textId="77777777" w:rsidR="00AD1F54" w:rsidRPr="00264D5D" w:rsidRDefault="00941227">
            <w:pPr>
              <w:pStyle w:val="GOSTTablenorm"/>
              <w:rPr>
                <w:szCs w:val="22"/>
              </w:rPr>
            </w:pPr>
            <w:r w:rsidRPr="00264D5D">
              <w:rPr>
                <w:szCs w:val="22"/>
              </w:rPr>
              <w:t xml:space="preserve">Если в поле «Счет контрагента» указан иной счет, открытый ТОФК, то обязательно для заполнения значением, </w:t>
            </w:r>
            <w:r w:rsidRPr="00264D5D">
              <w:rPr>
                <w:szCs w:val="22"/>
              </w:rPr>
              <w:lastRenderedPageBreak/>
              <w:t>состо</w:t>
            </w:r>
            <w:r w:rsidR="00B31FB3" w:rsidRPr="00264D5D">
              <w:rPr>
                <w:szCs w:val="22"/>
              </w:rPr>
              <w:t>ящим из 1 знака, либо 20 знаков</w:t>
            </w:r>
          </w:p>
        </w:tc>
      </w:tr>
      <w:tr w:rsidR="00AD1F54" w:rsidRPr="00264D5D" w14:paraId="082FDE69" w14:textId="77777777" w:rsidTr="00AD1F54">
        <w:trPr>
          <w:cnfStyle w:val="000000010000" w:firstRow="0" w:lastRow="0" w:firstColumn="0" w:lastColumn="0" w:oddVBand="0" w:evenVBand="0" w:oddHBand="0" w:evenHBand="1" w:firstRowFirstColumn="0" w:firstRowLastColumn="0" w:lastRowFirstColumn="0" w:lastRowLastColumn="0"/>
        </w:trPr>
        <w:tc>
          <w:tcPr>
            <w:tcW w:w="1705" w:type="dxa"/>
          </w:tcPr>
          <w:p w14:paraId="134B4505" w14:textId="77777777" w:rsidR="00AD1F54" w:rsidRPr="00264D5D" w:rsidRDefault="00941227">
            <w:pPr>
              <w:pStyle w:val="GOSTTablenorm"/>
            </w:pPr>
            <w:r w:rsidRPr="00264D5D">
              <w:lastRenderedPageBreak/>
              <w:t>Код ОКТМО</w:t>
            </w:r>
          </w:p>
        </w:tc>
        <w:tc>
          <w:tcPr>
            <w:tcW w:w="1703" w:type="dxa"/>
          </w:tcPr>
          <w:p w14:paraId="49A3875D" w14:textId="77777777" w:rsidR="00AD1F54" w:rsidRPr="00264D5D" w:rsidRDefault="00941227">
            <w:pPr>
              <w:pStyle w:val="GOSTTablenorm"/>
            </w:pPr>
            <w:r w:rsidRPr="00264D5D">
              <w:t>ZR_OKTMO</w:t>
            </w:r>
          </w:p>
        </w:tc>
        <w:tc>
          <w:tcPr>
            <w:tcW w:w="567" w:type="dxa"/>
          </w:tcPr>
          <w:p w14:paraId="218CDD9E" w14:textId="77777777" w:rsidR="00AD1F54" w:rsidRPr="00264D5D" w:rsidRDefault="00941227">
            <w:pPr>
              <w:pStyle w:val="GOSTTablenorm"/>
              <w:jc w:val="center"/>
            </w:pPr>
            <w:r w:rsidRPr="00264D5D">
              <w:t>П</w:t>
            </w:r>
          </w:p>
        </w:tc>
        <w:tc>
          <w:tcPr>
            <w:tcW w:w="1135" w:type="dxa"/>
          </w:tcPr>
          <w:p w14:paraId="341EC047" w14:textId="77777777" w:rsidR="00AD1F54" w:rsidRPr="00264D5D" w:rsidRDefault="00941227">
            <w:pPr>
              <w:pStyle w:val="GOSTTablenorm"/>
            </w:pPr>
            <w:r w:rsidRPr="00264D5D">
              <w:t>Т(1-8)</w:t>
            </w:r>
          </w:p>
        </w:tc>
        <w:tc>
          <w:tcPr>
            <w:tcW w:w="567" w:type="dxa"/>
          </w:tcPr>
          <w:p w14:paraId="1AC34162" w14:textId="77777777" w:rsidR="00AD1F54" w:rsidRPr="00264D5D" w:rsidRDefault="00941227">
            <w:pPr>
              <w:pStyle w:val="GOSTTablenorm"/>
              <w:jc w:val="center"/>
            </w:pPr>
            <w:r w:rsidRPr="00264D5D">
              <w:t>Н</w:t>
            </w:r>
          </w:p>
        </w:tc>
        <w:tc>
          <w:tcPr>
            <w:tcW w:w="3973" w:type="dxa"/>
          </w:tcPr>
          <w:p w14:paraId="4FAFFB0E" w14:textId="77777777" w:rsidR="00AD1F54" w:rsidRPr="00264D5D" w:rsidRDefault="00941227">
            <w:pPr>
              <w:pStyle w:val="GOSTTablenorm"/>
              <w:rPr>
                <w:szCs w:val="22"/>
              </w:rPr>
            </w:pPr>
            <w:r w:rsidRPr="00264D5D">
              <w:rPr>
                <w:szCs w:val="22"/>
              </w:rPr>
              <w:t>Указывается код ОКТМО.</w:t>
            </w:r>
          </w:p>
          <w:p w14:paraId="2D3F399B" w14:textId="77777777" w:rsidR="00AD1F54" w:rsidRPr="00264D5D" w:rsidRDefault="00941227">
            <w:pPr>
              <w:pStyle w:val="GOSTTablenorm"/>
              <w:rPr>
                <w:szCs w:val="22"/>
              </w:rPr>
            </w:pPr>
            <w:r w:rsidRPr="00264D5D">
              <w:rPr>
                <w:szCs w:val="22"/>
              </w:rPr>
              <w:t>Обязательно для заполнения, если заполнено поле «Статус налогоплательщика».</w:t>
            </w:r>
          </w:p>
          <w:p w14:paraId="6D91A9E6" w14:textId="77777777" w:rsidR="00AD1F54" w:rsidRPr="00264D5D" w:rsidRDefault="00941227">
            <w:pPr>
              <w:pStyle w:val="GOSTTablenorm"/>
              <w:rPr>
                <w:szCs w:val="22"/>
              </w:rPr>
            </w:pPr>
            <w:r w:rsidRPr="00264D5D">
              <w:rPr>
                <w:szCs w:val="22"/>
              </w:rPr>
              <w:t>В случае заполнения указывается значение ноль («0»), либо 8 знаков, при этом три нуля не могут быть впереди и все знаки одновременно не могут принимат</w:t>
            </w:r>
            <w:r w:rsidR="00B31FB3" w:rsidRPr="00264D5D">
              <w:rPr>
                <w:szCs w:val="22"/>
              </w:rPr>
              <w:t>ь значение ноль («0»)</w:t>
            </w:r>
          </w:p>
        </w:tc>
      </w:tr>
      <w:tr w:rsidR="00AD1F54" w:rsidRPr="00264D5D" w14:paraId="16E5B6E9" w14:textId="77777777" w:rsidTr="00AD1F54">
        <w:trPr>
          <w:cnfStyle w:val="000000100000" w:firstRow="0" w:lastRow="0" w:firstColumn="0" w:lastColumn="0" w:oddVBand="0" w:evenVBand="0" w:oddHBand="1" w:evenHBand="0" w:firstRowFirstColumn="0" w:firstRowLastColumn="0" w:lastRowFirstColumn="0" w:lastRowLastColumn="0"/>
        </w:trPr>
        <w:tc>
          <w:tcPr>
            <w:tcW w:w="1705" w:type="dxa"/>
          </w:tcPr>
          <w:p w14:paraId="2F740D61" w14:textId="77777777" w:rsidR="00AD1F54" w:rsidRPr="00264D5D" w:rsidRDefault="00941227">
            <w:pPr>
              <w:pStyle w:val="GOSTTablenorm"/>
            </w:pPr>
            <w:r w:rsidRPr="00264D5D">
              <w:t>Показатель основания платежа</w:t>
            </w:r>
          </w:p>
        </w:tc>
        <w:tc>
          <w:tcPr>
            <w:tcW w:w="1703" w:type="dxa"/>
          </w:tcPr>
          <w:p w14:paraId="123214AA" w14:textId="77777777" w:rsidR="00AD1F54" w:rsidRPr="00264D5D" w:rsidRDefault="00941227">
            <w:pPr>
              <w:pStyle w:val="GOSTTablenorm"/>
            </w:pPr>
            <w:r w:rsidRPr="00264D5D">
              <w:t>ZR_IndxBsPmnt</w:t>
            </w:r>
          </w:p>
        </w:tc>
        <w:tc>
          <w:tcPr>
            <w:tcW w:w="567" w:type="dxa"/>
          </w:tcPr>
          <w:p w14:paraId="264F69BE" w14:textId="77777777" w:rsidR="00AD1F54" w:rsidRPr="00264D5D" w:rsidRDefault="00941227">
            <w:pPr>
              <w:pStyle w:val="GOSTTablenorm"/>
              <w:jc w:val="center"/>
            </w:pPr>
            <w:r w:rsidRPr="00264D5D">
              <w:t>П</w:t>
            </w:r>
          </w:p>
        </w:tc>
        <w:tc>
          <w:tcPr>
            <w:tcW w:w="1135" w:type="dxa"/>
          </w:tcPr>
          <w:p w14:paraId="4F986967" w14:textId="77777777" w:rsidR="00AD1F54" w:rsidRPr="00264D5D" w:rsidRDefault="00941227">
            <w:pPr>
              <w:pStyle w:val="GOSTTablenorm"/>
            </w:pPr>
            <w:r w:rsidRPr="00264D5D">
              <w:t>Т(1-2)</w:t>
            </w:r>
          </w:p>
        </w:tc>
        <w:tc>
          <w:tcPr>
            <w:tcW w:w="567" w:type="dxa"/>
          </w:tcPr>
          <w:p w14:paraId="251063EB" w14:textId="77777777" w:rsidR="00AD1F54" w:rsidRPr="00264D5D" w:rsidRDefault="00941227">
            <w:pPr>
              <w:pStyle w:val="GOSTTablenorm"/>
              <w:jc w:val="center"/>
            </w:pPr>
            <w:r w:rsidRPr="00264D5D">
              <w:t>Н</w:t>
            </w:r>
          </w:p>
        </w:tc>
        <w:tc>
          <w:tcPr>
            <w:tcW w:w="3973" w:type="dxa"/>
          </w:tcPr>
          <w:p w14:paraId="00D5FD80" w14:textId="77777777" w:rsidR="00AD1F54" w:rsidRPr="00264D5D" w:rsidRDefault="00941227">
            <w:pPr>
              <w:pStyle w:val="GOSTTablenorm"/>
            </w:pPr>
            <w:r w:rsidRPr="00264D5D">
              <w:t>Указывается показатель основания платежа.</w:t>
            </w:r>
          </w:p>
          <w:p w14:paraId="2C6AC3C9" w14:textId="77777777" w:rsidR="00AD1F54" w:rsidRPr="00264D5D" w:rsidRDefault="00941227">
            <w:pPr>
              <w:pStyle w:val="GOSTTablenorm"/>
            </w:pPr>
            <w:r w:rsidRPr="00264D5D">
              <w:t xml:space="preserve">Обязательно для заполнения если, заполнено </w:t>
            </w:r>
            <w:r w:rsidR="00B31FB3" w:rsidRPr="00264D5D">
              <w:t>поле «Статус налогоплательщика»</w:t>
            </w:r>
          </w:p>
        </w:tc>
      </w:tr>
      <w:tr w:rsidR="00AD1F54" w:rsidRPr="00264D5D" w14:paraId="1AFD79A4" w14:textId="77777777" w:rsidTr="00AD1F54">
        <w:trPr>
          <w:cnfStyle w:val="000000010000" w:firstRow="0" w:lastRow="0" w:firstColumn="0" w:lastColumn="0" w:oddVBand="0" w:evenVBand="0" w:oddHBand="0" w:evenHBand="1" w:firstRowFirstColumn="0" w:firstRowLastColumn="0" w:lastRowFirstColumn="0" w:lastRowLastColumn="0"/>
        </w:trPr>
        <w:tc>
          <w:tcPr>
            <w:tcW w:w="1705" w:type="dxa"/>
          </w:tcPr>
          <w:p w14:paraId="05A6D32A" w14:textId="77777777" w:rsidR="00AD1F54" w:rsidRPr="00264D5D" w:rsidRDefault="00941227">
            <w:pPr>
              <w:pStyle w:val="GOSTTablenorm"/>
            </w:pPr>
            <w:r w:rsidRPr="00264D5D">
              <w:t>Показатель налогового периода / кода таможенного органа</w:t>
            </w:r>
          </w:p>
        </w:tc>
        <w:tc>
          <w:tcPr>
            <w:tcW w:w="1703" w:type="dxa"/>
          </w:tcPr>
          <w:p w14:paraId="6BFFAB2A" w14:textId="77777777" w:rsidR="00AD1F54" w:rsidRPr="00264D5D" w:rsidRDefault="00941227">
            <w:pPr>
              <w:pStyle w:val="GOSTTablenorm"/>
            </w:pPr>
            <w:r w:rsidRPr="00264D5D">
              <w:t>ZR_IndxTxPrd</w:t>
            </w:r>
          </w:p>
        </w:tc>
        <w:tc>
          <w:tcPr>
            <w:tcW w:w="567" w:type="dxa"/>
          </w:tcPr>
          <w:p w14:paraId="4A565598" w14:textId="77777777" w:rsidR="00AD1F54" w:rsidRPr="00264D5D" w:rsidRDefault="00941227">
            <w:pPr>
              <w:pStyle w:val="GOSTTablenorm"/>
              <w:jc w:val="center"/>
            </w:pPr>
            <w:r w:rsidRPr="00264D5D">
              <w:t>П</w:t>
            </w:r>
          </w:p>
        </w:tc>
        <w:tc>
          <w:tcPr>
            <w:tcW w:w="1135" w:type="dxa"/>
          </w:tcPr>
          <w:p w14:paraId="6D1E76AB" w14:textId="77777777" w:rsidR="00AD1F54" w:rsidRPr="00264D5D" w:rsidRDefault="00941227">
            <w:pPr>
              <w:pStyle w:val="GOSTTablenorm"/>
            </w:pPr>
            <w:r w:rsidRPr="00264D5D">
              <w:t>Т(1-10)</w:t>
            </w:r>
          </w:p>
        </w:tc>
        <w:tc>
          <w:tcPr>
            <w:tcW w:w="567" w:type="dxa"/>
          </w:tcPr>
          <w:p w14:paraId="44BB5EC7" w14:textId="77777777" w:rsidR="00AD1F54" w:rsidRPr="00264D5D" w:rsidRDefault="00941227">
            <w:pPr>
              <w:pStyle w:val="GOSTTablenorm"/>
              <w:jc w:val="center"/>
            </w:pPr>
            <w:r w:rsidRPr="00264D5D">
              <w:t>Н</w:t>
            </w:r>
          </w:p>
        </w:tc>
        <w:tc>
          <w:tcPr>
            <w:tcW w:w="3973" w:type="dxa"/>
          </w:tcPr>
          <w:p w14:paraId="632FDE6B" w14:textId="77777777" w:rsidR="00AD1F54" w:rsidRPr="00264D5D" w:rsidRDefault="00941227">
            <w:pPr>
              <w:pStyle w:val="GOSTTablenorm"/>
            </w:pPr>
            <w:r w:rsidRPr="00264D5D">
              <w:t>Указывается показатель налогового периода равный 10 знакам или код таможенного органа равный 8 знакам.</w:t>
            </w:r>
          </w:p>
          <w:p w14:paraId="3E749ED0" w14:textId="77777777" w:rsidR="00AD1F54" w:rsidRPr="00264D5D" w:rsidRDefault="00941227">
            <w:pPr>
              <w:pStyle w:val="GOSTTablenorm"/>
            </w:pPr>
            <w:r w:rsidRPr="00264D5D">
              <w:t>Обязательно для заполнения если, заполнено п</w:t>
            </w:r>
            <w:r w:rsidR="00B31FB3" w:rsidRPr="00264D5D">
              <w:t>оле «Статус налогоплательщика»</w:t>
            </w:r>
          </w:p>
        </w:tc>
      </w:tr>
      <w:tr w:rsidR="00AD1F54" w:rsidRPr="00264D5D" w14:paraId="1ECBC5F1" w14:textId="77777777" w:rsidTr="00AD1F54">
        <w:trPr>
          <w:cnfStyle w:val="000000100000" w:firstRow="0" w:lastRow="0" w:firstColumn="0" w:lastColumn="0" w:oddVBand="0" w:evenVBand="0" w:oddHBand="1" w:evenHBand="0" w:firstRowFirstColumn="0" w:firstRowLastColumn="0" w:lastRowFirstColumn="0" w:lastRowLastColumn="0"/>
        </w:trPr>
        <w:tc>
          <w:tcPr>
            <w:tcW w:w="1705" w:type="dxa"/>
          </w:tcPr>
          <w:p w14:paraId="09304786" w14:textId="77777777" w:rsidR="00AD1F54" w:rsidRPr="00264D5D" w:rsidRDefault="00941227">
            <w:pPr>
              <w:pStyle w:val="GOSTTablenorm"/>
            </w:pPr>
            <w:r w:rsidRPr="00264D5D">
              <w:t>Показатель номера документа</w:t>
            </w:r>
          </w:p>
        </w:tc>
        <w:tc>
          <w:tcPr>
            <w:tcW w:w="1703" w:type="dxa"/>
          </w:tcPr>
          <w:p w14:paraId="1C3482F9" w14:textId="77777777" w:rsidR="00AD1F54" w:rsidRPr="00264D5D" w:rsidRDefault="00941227">
            <w:pPr>
              <w:pStyle w:val="GOSTTablenorm"/>
            </w:pPr>
            <w:r w:rsidRPr="00264D5D">
              <w:t>ZR_IndxNmDc</w:t>
            </w:r>
          </w:p>
        </w:tc>
        <w:tc>
          <w:tcPr>
            <w:tcW w:w="567" w:type="dxa"/>
          </w:tcPr>
          <w:p w14:paraId="25915324" w14:textId="77777777" w:rsidR="00AD1F54" w:rsidRPr="00264D5D" w:rsidRDefault="00941227">
            <w:pPr>
              <w:pStyle w:val="GOSTTablenorm"/>
              <w:jc w:val="center"/>
            </w:pPr>
            <w:r w:rsidRPr="00264D5D">
              <w:t>П</w:t>
            </w:r>
          </w:p>
        </w:tc>
        <w:tc>
          <w:tcPr>
            <w:tcW w:w="1135" w:type="dxa"/>
          </w:tcPr>
          <w:p w14:paraId="532F46E5" w14:textId="77777777" w:rsidR="00AD1F54" w:rsidRPr="00264D5D" w:rsidRDefault="00941227">
            <w:pPr>
              <w:pStyle w:val="GOSTTablenorm"/>
            </w:pPr>
            <w:r w:rsidRPr="00264D5D">
              <w:t>Т(1-15)</w:t>
            </w:r>
          </w:p>
        </w:tc>
        <w:tc>
          <w:tcPr>
            <w:tcW w:w="567" w:type="dxa"/>
          </w:tcPr>
          <w:p w14:paraId="57BFAF95" w14:textId="77777777" w:rsidR="00AD1F54" w:rsidRPr="00264D5D" w:rsidRDefault="00941227">
            <w:pPr>
              <w:pStyle w:val="GOSTTablenorm"/>
              <w:jc w:val="center"/>
            </w:pPr>
            <w:r w:rsidRPr="00264D5D">
              <w:t>Н</w:t>
            </w:r>
          </w:p>
        </w:tc>
        <w:tc>
          <w:tcPr>
            <w:tcW w:w="3973" w:type="dxa"/>
          </w:tcPr>
          <w:p w14:paraId="6FBFD2A6" w14:textId="77777777" w:rsidR="00AD1F54" w:rsidRPr="00264D5D" w:rsidRDefault="00941227">
            <w:pPr>
              <w:pStyle w:val="GOSTTablenorm"/>
            </w:pPr>
            <w:r w:rsidRPr="00264D5D">
              <w:t>Указывается показатель номера документа-основания.</w:t>
            </w:r>
          </w:p>
          <w:p w14:paraId="2D011D3F" w14:textId="77777777" w:rsidR="00AD1F54" w:rsidRPr="00264D5D" w:rsidRDefault="00941227">
            <w:pPr>
              <w:pStyle w:val="GOSTTablenorm"/>
            </w:pPr>
            <w:r w:rsidRPr="00264D5D">
              <w:t xml:space="preserve">Обязательно для заполнения если, заполнено </w:t>
            </w:r>
            <w:r w:rsidR="00B31FB3" w:rsidRPr="00264D5D">
              <w:t>поле «Статус налогоплательщика»</w:t>
            </w:r>
          </w:p>
        </w:tc>
      </w:tr>
      <w:tr w:rsidR="00AD1F54" w:rsidRPr="00264D5D" w14:paraId="2E9B89F8" w14:textId="77777777" w:rsidTr="00AD1F54">
        <w:trPr>
          <w:cnfStyle w:val="000000010000" w:firstRow="0" w:lastRow="0" w:firstColumn="0" w:lastColumn="0" w:oddVBand="0" w:evenVBand="0" w:oddHBand="0" w:evenHBand="1" w:firstRowFirstColumn="0" w:firstRowLastColumn="0" w:lastRowFirstColumn="0" w:lastRowLastColumn="0"/>
        </w:trPr>
        <w:tc>
          <w:tcPr>
            <w:tcW w:w="1705" w:type="dxa"/>
          </w:tcPr>
          <w:p w14:paraId="0A75700B" w14:textId="77777777" w:rsidR="00AD1F54" w:rsidRPr="00264D5D" w:rsidRDefault="00941227">
            <w:pPr>
              <w:pStyle w:val="GOSTTablenorm"/>
            </w:pPr>
            <w:r w:rsidRPr="00264D5D">
              <w:t>Показатель даты документа</w:t>
            </w:r>
          </w:p>
        </w:tc>
        <w:tc>
          <w:tcPr>
            <w:tcW w:w="1703" w:type="dxa"/>
          </w:tcPr>
          <w:p w14:paraId="56580008" w14:textId="77777777" w:rsidR="00AD1F54" w:rsidRPr="00264D5D" w:rsidRDefault="00941227">
            <w:pPr>
              <w:pStyle w:val="GOSTTablenorm"/>
            </w:pPr>
            <w:r w:rsidRPr="00264D5D">
              <w:t>ZR_IndxDtDc</w:t>
            </w:r>
          </w:p>
        </w:tc>
        <w:tc>
          <w:tcPr>
            <w:tcW w:w="567" w:type="dxa"/>
          </w:tcPr>
          <w:p w14:paraId="090608ED" w14:textId="77777777" w:rsidR="00AD1F54" w:rsidRPr="00264D5D" w:rsidRDefault="00941227">
            <w:pPr>
              <w:pStyle w:val="GOSTTablenorm"/>
              <w:jc w:val="center"/>
            </w:pPr>
            <w:r w:rsidRPr="00264D5D">
              <w:t>П</w:t>
            </w:r>
          </w:p>
        </w:tc>
        <w:tc>
          <w:tcPr>
            <w:tcW w:w="1135" w:type="dxa"/>
          </w:tcPr>
          <w:p w14:paraId="479133A7" w14:textId="77777777" w:rsidR="00AD1F54" w:rsidRPr="00264D5D" w:rsidRDefault="00941227">
            <w:pPr>
              <w:pStyle w:val="GOSTTablenorm"/>
            </w:pPr>
            <w:r w:rsidRPr="00264D5D">
              <w:t>Т(1-10)</w:t>
            </w:r>
          </w:p>
        </w:tc>
        <w:tc>
          <w:tcPr>
            <w:tcW w:w="567" w:type="dxa"/>
          </w:tcPr>
          <w:p w14:paraId="2877796B" w14:textId="77777777" w:rsidR="00AD1F54" w:rsidRPr="00264D5D" w:rsidRDefault="00941227">
            <w:pPr>
              <w:pStyle w:val="GOSTTablenorm"/>
              <w:jc w:val="center"/>
            </w:pPr>
            <w:r w:rsidRPr="00264D5D">
              <w:t>Н</w:t>
            </w:r>
          </w:p>
        </w:tc>
        <w:tc>
          <w:tcPr>
            <w:tcW w:w="3973" w:type="dxa"/>
          </w:tcPr>
          <w:p w14:paraId="0A79B8FE" w14:textId="77777777" w:rsidR="00AD1F54" w:rsidRPr="00264D5D" w:rsidRDefault="00941227">
            <w:pPr>
              <w:pStyle w:val="GOSTTablenorm"/>
            </w:pPr>
            <w:r w:rsidRPr="00264D5D">
              <w:t>Указывается показатель даты документа-основания.</w:t>
            </w:r>
          </w:p>
          <w:p w14:paraId="7ABAA7CF" w14:textId="77777777" w:rsidR="00B31FB3" w:rsidRPr="00264D5D" w:rsidRDefault="00941227">
            <w:pPr>
              <w:pStyle w:val="GOSTTablenorm"/>
              <w:rPr>
                <w:szCs w:val="22"/>
              </w:rPr>
            </w:pPr>
            <w:r w:rsidRPr="00264D5D">
              <w:rPr>
                <w:szCs w:val="22"/>
              </w:rPr>
              <w:t xml:space="preserve">Поле обязательно для заполнения, если заполнено поле «Статус налогоплательщика». </w:t>
            </w:r>
          </w:p>
          <w:p w14:paraId="65C4B199" w14:textId="77777777" w:rsidR="00AD1F54" w:rsidRPr="00264D5D" w:rsidRDefault="00941227">
            <w:pPr>
              <w:pStyle w:val="GOSTTablenorm"/>
              <w:rPr>
                <w:szCs w:val="22"/>
              </w:rPr>
            </w:pPr>
            <w:r w:rsidRPr="00264D5D">
              <w:rPr>
                <w:szCs w:val="22"/>
              </w:rPr>
              <w:t>При этом поле может принимать значение:</w:t>
            </w:r>
          </w:p>
          <w:p w14:paraId="45DE2F18" w14:textId="77777777" w:rsidR="00AD1F54" w:rsidRPr="00264D5D" w:rsidRDefault="00941227" w:rsidP="00101F62">
            <w:pPr>
              <w:pStyle w:val="GOSTTablenorm"/>
              <w:numPr>
                <w:ilvl w:val="0"/>
                <w:numId w:val="137"/>
              </w:numPr>
              <w:ind w:left="284" w:hanging="227"/>
              <w:rPr>
                <w:szCs w:val="22"/>
              </w:rPr>
            </w:pPr>
            <w:r w:rsidRPr="00264D5D">
              <w:rPr>
                <w:szCs w:val="22"/>
              </w:rPr>
              <w:t>состоящее из 1 знака, принимающего значение ноль («0»);</w:t>
            </w:r>
          </w:p>
          <w:p w14:paraId="77C196DD" w14:textId="77777777" w:rsidR="00AD1F54" w:rsidRPr="00264D5D" w:rsidRDefault="00941227" w:rsidP="00101F62">
            <w:pPr>
              <w:pStyle w:val="GOSTTablenorm"/>
              <w:numPr>
                <w:ilvl w:val="0"/>
                <w:numId w:val="137"/>
              </w:numPr>
              <w:ind w:left="284" w:hanging="227"/>
              <w:rPr>
                <w:szCs w:val="22"/>
              </w:rPr>
            </w:pPr>
            <w:r w:rsidRPr="00264D5D">
              <w:rPr>
                <w:szCs w:val="22"/>
              </w:rPr>
              <w:t>состоящее из 2 знаков, принимающих одновременно значение ноль («00»);</w:t>
            </w:r>
          </w:p>
          <w:p w14:paraId="58C592BF" w14:textId="77777777" w:rsidR="00AD1F54" w:rsidRPr="00264D5D" w:rsidRDefault="00941227" w:rsidP="00101F62">
            <w:pPr>
              <w:pStyle w:val="GOSTTablenorm"/>
              <w:numPr>
                <w:ilvl w:val="0"/>
                <w:numId w:val="137"/>
              </w:numPr>
              <w:ind w:left="284" w:hanging="227"/>
            </w:pPr>
            <w:r w:rsidRPr="00264D5D">
              <w:rPr>
                <w:szCs w:val="22"/>
              </w:rPr>
              <w:t>состоящее из 10 знаков, при этом все знаки одновременно не могу</w:t>
            </w:r>
            <w:r w:rsidR="00B31FB3" w:rsidRPr="00264D5D">
              <w:rPr>
                <w:szCs w:val="22"/>
              </w:rPr>
              <w:t>т принимать значение ноль («0»)</w:t>
            </w:r>
          </w:p>
        </w:tc>
      </w:tr>
      <w:tr w:rsidR="00AD1F54" w:rsidRPr="00264D5D" w14:paraId="0CD7A193" w14:textId="77777777" w:rsidTr="00AD1F54">
        <w:trPr>
          <w:cnfStyle w:val="000000100000" w:firstRow="0" w:lastRow="0" w:firstColumn="0" w:lastColumn="0" w:oddVBand="0" w:evenVBand="0" w:oddHBand="1" w:evenHBand="0" w:firstRowFirstColumn="0" w:firstRowLastColumn="0" w:lastRowFirstColumn="0" w:lastRowLastColumn="0"/>
        </w:trPr>
        <w:tc>
          <w:tcPr>
            <w:tcW w:w="9650" w:type="dxa"/>
            <w:gridSpan w:val="6"/>
          </w:tcPr>
          <w:p w14:paraId="2008CE1B" w14:textId="77777777" w:rsidR="00AD1F54" w:rsidRPr="00264D5D" w:rsidRDefault="00941227">
            <w:pPr>
              <w:pStyle w:val="GOSTTablenorm"/>
            </w:pPr>
            <w:r w:rsidRPr="00264D5D">
              <w:rPr>
                <w:b/>
              </w:rPr>
              <w:t>Информация о платеже ЖКУ</w:t>
            </w:r>
          </w:p>
        </w:tc>
      </w:tr>
      <w:tr w:rsidR="00AD1F54" w:rsidRPr="00264D5D" w14:paraId="5A3BBADB" w14:textId="77777777" w:rsidTr="00AD1F54">
        <w:trPr>
          <w:cnfStyle w:val="000000010000" w:firstRow="0" w:lastRow="0" w:firstColumn="0" w:lastColumn="0" w:oddVBand="0" w:evenVBand="0" w:oddHBand="0" w:evenHBand="1" w:firstRowFirstColumn="0" w:firstRowLastColumn="0" w:lastRowFirstColumn="0" w:lastRowLastColumn="0"/>
        </w:trPr>
        <w:tc>
          <w:tcPr>
            <w:tcW w:w="1705" w:type="dxa"/>
          </w:tcPr>
          <w:p w14:paraId="475E4DFB" w14:textId="77777777" w:rsidR="00AD1F54" w:rsidRPr="00264D5D" w:rsidRDefault="00941227">
            <w:pPr>
              <w:pStyle w:val="GOSTTablenorm"/>
            </w:pPr>
            <w:r w:rsidRPr="00264D5D">
              <w:lastRenderedPageBreak/>
              <w:t>Идентификатор ПД</w:t>
            </w:r>
          </w:p>
        </w:tc>
        <w:tc>
          <w:tcPr>
            <w:tcW w:w="1703" w:type="dxa"/>
          </w:tcPr>
          <w:p w14:paraId="07E27E43" w14:textId="77777777" w:rsidR="00AD1F54" w:rsidRPr="00264D5D" w:rsidRDefault="00941227">
            <w:pPr>
              <w:pStyle w:val="GOSTTablenorm"/>
            </w:pPr>
            <w:r w:rsidRPr="00264D5D">
              <w:rPr>
                <w:szCs w:val="22"/>
              </w:rPr>
              <w:t>InfoPayZHKU_IdPd</w:t>
            </w:r>
          </w:p>
        </w:tc>
        <w:tc>
          <w:tcPr>
            <w:tcW w:w="567" w:type="dxa"/>
          </w:tcPr>
          <w:p w14:paraId="17128F48" w14:textId="77777777" w:rsidR="00AD1F54" w:rsidRPr="00264D5D" w:rsidRDefault="00941227">
            <w:pPr>
              <w:pStyle w:val="GOSTTablenorm"/>
              <w:jc w:val="center"/>
            </w:pPr>
            <w:r w:rsidRPr="00264D5D">
              <w:rPr>
                <w:szCs w:val="22"/>
              </w:rPr>
              <w:t>П</w:t>
            </w:r>
          </w:p>
        </w:tc>
        <w:tc>
          <w:tcPr>
            <w:tcW w:w="1135" w:type="dxa"/>
          </w:tcPr>
          <w:p w14:paraId="3E0F86D0" w14:textId="77777777" w:rsidR="00AD1F54" w:rsidRPr="00264D5D" w:rsidRDefault="00941227">
            <w:pPr>
              <w:pStyle w:val="GOSTTablenorm"/>
            </w:pPr>
            <w:r w:rsidRPr="00264D5D">
              <w:t>Т(18)</w:t>
            </w:r>
          </w:p>
        </w:tc>
        <w:tc>
          <w:tcPr>
            <w:tcW w:w="567" w:type="dxa"/>
          </w:tcPr>
          <w:p w14:paraId="74B3A23D" w14:textId="77777777" w:rsidR="00AD1F54" w:rsidRPr="00264D5D" w:rsidRDefault="00941227">
            <w:pPr>
              <w:pStyle w:val="GOSTTablenorm"/>
              <w:jc w:val="center"/>
            </w:pPr>
            <w:r w:rsidRPr="00264D5D">
              <w:rPr>
                <w:szCs w:val="22"/>
              </w:rPr>
              <w:t>Н</w:t>
            </w:r>
          </w:p>
        </w:tc>
        <w:tc>
          <w:tcPr>
            <w:tcW w:w="3973" w:type="dxa"/>
          </w:tcPr>
          <w:p w14:paraId="2A6405B5" w14:textId="77777777" w:rsidR="00AD1F54" w:rsidRPr="00264D5D" w:rsidRDefault="00941227">
            <w:pPr>
              <w:pStyle w:val="GOSTTablenorm"/>
            </w:pPr>
            <w:r w:rsidRPr="00264D5D">
              <w:t xml:space="preserve">Указывается идентификатор платежного документа в формате 00АА000000-00-0000, </w:t>
            </w:r>
            <w:r w:rsidRPr="00264D5D">
              <w:rPr>
                <w:szCs w:val="28"/>
                <w:lang w:eastAsia="en-US"/>
              </w:rPr>
              <w:t xml:space="preserve">где </w:t>
            </w:r>
            <w:r w:rsidRPr="00264D5D">
              <w:t>знак «0» означает цифру, а знак «А» означает букву рус</w:t>
            </w:r>
            <w:r w:rsidR="00B31FB3" w:rsidRPr="00264D5D">
              <w:t>ского алфавита в любом регистре</w:t>
            </w:r>
          </w:p>
        </w:tc>
      </w:tr>
      <w:tr w:rsidR="00AD1F54" w:rsidRPr="00264D5D" w14:paraId="4C197A6E" w14:textId="77777777" w:rsidTr="00AD1F54">
        <w:trPr>
          <w:cnfStyle w:val="000000100000" w:firstRow="0" w:lastRow="0" w:firstColumn="0" w:lastColumn="0" w:oddVBand="0" w:evenVBand="0" w:oddHBand="1" w:evenHBand="0" w:firstRowFirstColumn="0" w:firstRowLastColumn="0" w:lastRowFirstColumn="0" w:lastRowLastColumn="0"/>
        </w:trPr>
        <w:tc>
          <w:tcPr>
            <w:tcW w:w="1705" w:type="dxa"/>
          </w:tcPr>
          <w:p w14:paraId="407C560D" w14:textId="77777777" w:rsidR="00AD1F54" w:rsidRPr="00264D5D" w:rsidRDefault="00941227">
            <w:pPr>
              <w:pStyle w:val="GOSTTablenorm"/>
            </w:pPr>
            <w:r w:rsidRPr="00264D5D">
              <w:t>Период оплаты</w:t>
            </w:r>
          </w:p>
        </w:tc>
        <w:tc>
          <w:tcPr>
            <w:tcW w:w="1703" w:type="dxa"/>
          </w:tcPr>
          <w:p w14:paraId="7CFDF92D" w14:textId="77777777" w:rsidR="00AD1F54" w:rsidRPr="00264D5D" w:rsidRDefault="00941227">
            <w:pPr>
              <w:pStyle w:val="GOSTTablenorm"/>
            </w:pPr>
            <w:r w:rsidRPr="00264D5D">
              <w:rPr>
                <w:szCs w:val="22"/>
              </w:rPr>
              <w:t>InfoPayZHKU_PayPeriod</w:t>
            </w:r>
          </w:p>
        </w:tc>
        <w:tc>
          <w:tcPr>
            <w:tcW w:w="567" w:type="dxa"/>
          </w:tcPr>
          <w:p w14:paraId="364D25FD" w14:textId="77777777" w:rsidR="00AD1F54" w:rsidRPr="00264D5D" w:rsidRDefault="00941227">
            <w:pPr>
              <w:pStyle w:val="GOSTTablenorm"/>
              <w:jc w:val="center"/>
            </w:pPr>
            <w:r w:rsidRPr="00264D5D">
              <w:rPr>
                <w:szCs w:val="22"/>
              </w:rPr>
              <w:t>П</w:t>
            </w:r>
          </w:p>
        </w:tc>
        <w:tc>
          <w:tcPr>
            <w:tcW w:w="1135" w:type="dxa"/>
          </w:tcPr>
          <w:p w14:paraId="48B73174" w14:textId="77777777" w:rsidR="00AD1F54" w:rsidRPr="00264D5D" w:rsidRDefault="00941227">
            <w:pPr>
              <w:pStyle w:val="GOSTTablenorm"/>
            </w:pPr>
            <w:r w:rsidRPr="00264D5D">
              <w:t>Т(7)</w:t>
            </w:r>
          </w:p>
        </w:tc>
        <w:tc>
          <w:tcPr>
            <w:tcW w:w="567" w:type="dxa"/>
          </w:tcPr>
          <w:p w14:paraId="36F1011D" w14:textId="77777777" w:rsidR="00AD1F54" w:rsidRPr="00264D5D" w:rsidRDefault="00941227">
            <w:pPr>
              <w:pStyle w:val="GOSTTablenorm"/>
              <w:jc w:val="center"/>
            </w:pPr>
            <w:r w:rsidRPr="00264D5D">
              <w:rPr>
                <w:szCs w:val="22"/>
              </w:rPr>
              <w:t>Н</w:t>
            </w:r>
          </w:p>
        </w:tc>
        <w:tc>
          <w:tcPr>
            <w:tcW w:w="3973" w:type="dxa"/>
          </w:tcPr>
          <w:p w14:paraId="56C4846F" w14:textId="77777777" w:rsidR="00AD1F54" w:rsidRPr="00264D5D" w:rsidRDefault="00941227">
            <w:pPr>
              <w:pStyle w:val="GOSTTablenorm"/>
            </w:pPr>
            <w:r w:rsidRPr="00264D5D">
              <w:t xml:space="preserve">Указывается </w:t>
            </w:r>
            <w:r w:rsidR="00B31FB3" w:rsidRPr="00264D5D">
              <w:t>период оплаты в формате ММ.ГГГГ</w:t>
            </w:r>
          </w:p>
        </w:tc>
      </w:tr>
      <w:tr w:rsidR="00AD1F54" w:rsidRPr="00264D5D" w14:paraId="6C06E150" w14:textId="77777777" w:rsidTr="00AD1F54">
        <w:trPr>
          <w:cnfStyle w:val="000000010000" w:firstRow="0" w:lastRow="0" w:firstColumn="0" w:lastColumn="0" w:oddVBand="0" w:evenVBand="0" w:oddHBand="0" w:evenHBand="1" w:firstRowFirstColumn="0" w:firstRowLastColumn="0" w:lastRowFirstColumn="0" w:lastRowLastColumn="0"/>
        </w:trPr>
        <w:tc>
          <w:tcPr>
            <w:tcW w:w="1705" w:type="dxa"/>
          </w:tcPr>
          <w:p w14:paraId="087A9B37" w14:textId="77777777" w:rsidR="00AD1F54" w:rsidRPr="00264D5D" w:rsidRDefault="00941227">
            <w:pPr>
              <w:pStyle w:val="GOSTTablenorm"/>
            </w:pPr>
            <w:r w:rsidRPr="00264D5D">
              <w:t>Единый л/с</w:t>
            </w:r>
          </w:p>
        </w:tc>
        <w:tc>
          <w:tcPr>
            <w:tcW w:w="1703" w:type="dxa"/>
          </w:tcPr>
          <w:p w14:paraId="62A14ADF" w14:textId="77777777" w:rsidR="00AD1F54" w:rsidRPr="00264D5D" w:rsidRDefault="00941227">
            <w:pPr>
              <w:pStyle w:val="GOSTTablenorm"/>
            </w:pPr>
            <w:r w:rsidRPr="00264D5D">
              <w:rPr>
                <w:szCs w:val="22"/>
              </w:rPr>
              <w:t>InfoPayZHKU_SingleAcc</w:t>
            </w:r>
          </w:p>
        </w:tc>
        <w:tc>
          <w:tcPr>
            <w:tcW w:w="567" w:type="dxa"/>
          </w:tcPr>
          <w:p w14:paraId="60C22833" w14:textId="77777777" w:rsidR="00AD1F54" w:rsidRPr="00264D5D" w:rsidRDefault="00941227">
            <w:pPr>
              <w:pStyle w:val="GOSTTablenorm"/>
              <w:jc w:val="center"/>
            </w:pPr>
            <w:r w:rsidRPr="00264D5D">
              <w:rPr>
                <w:szCs w:val="22"/>
              </w:rPr>
              <w:t>П</w:t>
            </w:r>
          </w:p>
        </w:tc>
        <w:tc>
          <w:tcPr>
            <w:tcW w:w="1135" w:type="dxa"/>
          </w:tcPr>
          <w:p w14:paraId="138D088B" w14:textId="77777777" w:rsidR="00AD1F54" w:rsidRPr="00264D5D" w:rsidRDefault="00941227">
            <w:pPr>
              <w:pStyle w:val="GOSTTablenorm"/>
            </w:pPr>
            <w:r w:rsidRPr="00264D5D">
              <w:t>Т(10)</w:t>
            </w:r>
          </w:p>
        </w:tc>
        <w:tc>
          <w:tcPr>
            <w:tcW w:w="567" w:type="dxa"/>
          </w:tcPr>
          <w:p w14:paraId="248D7212" w14:textId="77777777" w:rsidR="00AD1F54" w:rsidRPr="00264D5D" w:rsidRDefault="00941227">
            <w:pPr>
              <w:pStyle w:val="GOSTTablenorm"/>
              <w:jc w:val="center"/>
            </w:pPr>
            <w:r w:rsidRPr="00264D5D">
              <w:rPr>
                <w:szCs w:val="22"/>
              </w:rPr>
              <w:t>Н</w:t>
            </w:r>
          </w:p>
        </w:tc>
        <w:tc>
          <w:tcPr>
            <w:tcW w:w="3973" w:type="dxa"/>
          </w:tcPr>
          <w:p w14:paraId="615DF182" w14:textId="77777777" w:rsidR="00AD1F54" w:rsidRPr="00264D5D" w:rsidRDefault="00941227">
            <w:pPr>
              <w:pStyle w:val="GOSTTablenorm"/>
            </w:pPr>
            <w:r w:rsidRPr="00264D5D">
              <w:t xml:space="preserve">Указывается единый лицевой счет в формате 00АА000000, </w:t>
            </w:r>
            <w:r w:rsidRPr="00264D5D">
              <w:rPr>
                <w:szCs w:val="28"/>
                <w:lang w:eastAsia="en-US"/>
              </w:rPr>
              <w:t xml:space="preserve">где </w:t>
            </w:r>
            <w:r w:rsidRPr="00264D5D">
              <w:t>знак «0» означает цифру, а знак «А» означает букву рус</w:t>
            </w:r>
            <w:r w:rsidR="00B31FB3" w:rsidRPr="00264D5D">
              <w:t>ского алфавита в любом регистре</w:t>
            </w:r>
          </w:p>
        </w:tc>
      </w:tr>
      <w:tr w:rsidR="00AD1F54" w:rsidRPr="00264D5D" w14:paraId="2FBFD6FA" w14:textId="77777777" w:rsidTr="00AD1F54">
        <w:trPr>
          <w:cnfStyle w:val="000000100000" w:firstRow="0" w:lastRow="0" w:firstColumn="0" w:lastColumn="0" w:oddVBand="0" w:evenVBand="0" w:oddHBand="1" w:evenHBand="0" w:firstRowFirstColumn="0" w:firstRowLastColumn="0" w:lastRowFirstColumn="0" w:lastRowLastColumn="0"/>
        </w:trPr>
        <w:tc>
          <w:tcPr>
            <w:tcW w:w="1705" w:type="dxa"/>
          </w:tcPr>
          <w:p w14:paraId="5EFEB924" w14:textId="77777777" w:rsidR="00AD1F54" w:rsidRPr="00264D5D" w:rsidRDefault="00941227">
            <w:pPr>
              <w:pStyle w:val="GOSTTablenorm"/>
            </w:pPr>
            <w:r w:rsidRPr="00264D5D">
              <w:t>Идентификатор ЖКУ</w:t>
            </w:r>
          </w:p>
        </w:tc>
        <w:tc>
          <w:tcPr>
            <w:tcW w:w="1703" w:type="dxa"/>
          </w:tcPr>
          <w:p w14:paraId="6D117650" w14:textId="77777777" w:rsidR="00AD1F54" w:rsidRPr="00264D5D" w:rsidRDefault="00941227">
            <w:pPr>
              <w:pStyle w:val="GOSTTablenorm"/>
            </w:pPr>
            <w:r w:rsidRPr="00264D5D">
              <w:rPr>
                <w:szCs w:val="22"/>
              </w:rPr>
              <w:t>InfoPayZHKU_IdZHKU</w:t>
            </w:r>
          </w:p>
        </w:tc>
        <w:tc>
          <w:tcPr>
            <w:tcW w:w="567" w:type="dxa"/>
          </w:tcPr>
          <w:p w14:paraId="51F4CBE7" w14:textId="77777777" w:rsidR="00AD1F54" w:rsidRPr="00264D5D" w:rsidRDefault="00941227">
            <w:pPr>
              <w:pStyle w:val="GOSTTablenorm"/>
              <w:jc w:val="center"/>
            </w:pPr>
            <w:r w:rsidRPr="00264D5D">
              <w:rPr>
                <w:szCs w:val="22"/>
              </w:rPr>
              <w:t>П</w:t>
            </w:r>
          </w:p>
        </w:tc>
        <w:tc>
          <w:tcPr>
            <w:tcW w:w="1135" w:type="dxa"/>
          </w:tcPr>
          <w:p w14:paraId="373F4C0A" w14:textId="77777777" w:rsidR="00AD1F54" w:rsidRPr="00264D5D" w:rsidRDefault="00941227">
            <w:pPr>
              <w:pStyle w:val="GOSTTablenorm"/>
            </w:pPr>
            <w:r w:rsidRPr="00264D5D">
              <w:t>Т(13)</w:t>
            </w:r>
          </w:p>
        </w:tc>
        <w:tc>
          <w:tcPr>
            <w:tcW w:w="567" w:type="dxa"/>
          </w:tcPr>
          <w:p w14:paraId="1254DD6C" w14:textId="77777777" w:rsidR="00AD1F54" w:rsidRPr="00264D5D" w:rsidRDefault="00941227">
            <w:pPr>
              <w:pStyle w:val="GOSTTablenorm"/>
              <w:jc w:val="center"/>
            </w:pPr>
            <w:r w:rsidRPr="00264D5D">
              <w:rPr>
                <w:szCs w:val="22"/>
              </w:rPr>
              <w:t>Н</w:t>
            </w:r>
          </w:p>
        </w:tc>
        <w:tc>
          <w:tcPr>
            <w:tcW w:w="3973" w:type="dxa"/>
          </w:tcPr>
          <w:p w14:paraId="5CBF3E24" w14:textId="77777777" w:rsidR="00AD1F54" w:rsidRPr="00264D5D" w:rsidRDefault="00941227">
            <w:pPr>
              <w:pStyle w:val="GOSTTablenorm"/>
            </w:pPr>
            <w:r w:rsidRPr="00264D5D">
              <w:t xml:space="preserve">Указывается идентификатор жилищно-коммунальной услуги в формате 00АА000000-00, </w:t>
            </w:r>
            <w:r w:rsidRPr="00264D5D">
              <w:rPr>
                <w:szCs w:val="28"/>
                <w:lang w:eastAsia="en-US"/>
              </w:rPr>
              <w:t xml:space="preserve">где </w:t>
            </w:r>
            <w:r w:rsidRPr="00264D5D">
              <w:t>знак «0» означает цифру, а знак «А» означает букву рус</w:t>
            </w:r>
            <w:r w:rsidR="00B31FB3" w:rsidRPr="00264D5D">
              <w:t>ского алфавита в любом регистре</w:t>
            </w:r>
          </w:p>
        </w:tc>
      </w:tr>
      <w:tr w:rsidR="00AD1F54" w:rsidRPr="00264D5D" w14:paraId="3A665809" w14:textId="77777777" w:rsidTr="00AD1F54">
        <w:trPr>
          <w:cnfStyle w:val="000000010000" w:firstRow="0" w:lastRow="0" w:firstColumn="0" w:lastColumn="0" w:oddVBand="0" w:evenVBand="0" w:oddHBand="0" w:evenHBand="1" w:firstRowFirstColumn="0" w:firstRowLastColumn="0" w:lastRowFirstColumn="0" w:lastRowLastColumn="0"/>
        </w:trPr>
        <w:tc>
          <w:tcPr>
            <w:tcW w:w="9650" w:type="dxa"/>
            <w:gridSpan w:val="6"/>
          </w:tcPr>
          <w:p w14:paraId="6DA6FDDF" w14:textId="77777777" w:rsidR="00AD1F54" w:rsidRPr="00264D5D" w:rsidRDefault="00941227">
            <w:pPr>
              <w:pStyle w:val="GOSTTablenorm"/>
            </w:pPr>
            <w:r w:rsidRPr="00264D5D">
              <w:rPr>
                <w:b/>
                <w:szCs w:val="22"/>
              </w:rPr>
              <w:t>Подписи</w:t>
            </w:r>
          </w:p>
        </w:tc>
      </w:tr>
      <w:tr w:rsidR="00AD1F54" w:rsidRPr="00264D5D" w14:paraId="5662DB1C" w14:textId="77777777" w:rsidTr="00AD1F54">
        <w:trPr>
          <w:cnfStyle w:val="000000100000" w:firstRow="0" w:lastRow="0" w:firstColumn="0" w:lastColumn="0" w:oddVBand="0" w:evenVBand="0" w:oddHBand="1" w:evenHBand="0" w:firstRowFirstColumn="0" w:firstRowLastColumn="0" w:lastRowFirstColumn="0" w:lastRowLastColumn="0"/>
        </w:trPr>
        <w:tc>
          <w:tcPr>
            <w:tcW w:w="1705" w:type="dxa"/>
          </w:tcPr>
          <w:p w14:paraId="034C2D36" w14:textId="77777777" w:rsidR="00AD1F54" w:rsidRPr="00264D5D" w:rsidRDefault="00941227">
            <w:pPr>
              <w:pStyle w:val="GOSTTablenorm"/>
            </w:pPr>
            <w:r w:rsidRPr="00264D5D">
              <w:rPr>
                <w:color w:val="000000"/>
                <w:szCs w:val="22"/>
              </w:rPr>
              <w:t>Данные о подписях</w:t>
            </w:r>
          </w:p>
        </w:tc>
        <w:tc>
          <w:tcPr>
            <w:tcW w:w="1703" w:type="dxa"/>
          </w:tcPr>
          <w:p w14:paraId="1C6F1F3A" w14:textId="77777777" w:rsidR="00AD1F54" w:rsidRPr="00264D5D" w:rsidRDefault="00941227">
            <w:pPr>
              <w:pStyle w:val="GOSTTablenorm"/>
            </w:pPr>
            <w:r w:rsidRPr="00264D5D">
              <w:rPr>
                <w:color w:val="000000"/>
                <w:szCs w:val="22"/>
              </w:rPr>
              <w:t>SGN</w:t>
            </w:r>
          </w:p>
        </w:tc>
        <w:tc>
          <w:tcPr>
            <w:tcW w:w="567" w:type="dxa"/>
          </w:tcPr>
          <w:p w14:paraId="6E0DA6CC" w14:textId="77777777" w:rsidR="00AD1F54" w:rsidRPr="00264D5D" w:rsidRDefault="00941227">
            <w:pPr>
              <w:pStyle w:val="GOSTTablenorm"/>
              <w:jc w:val="center"/>
            </w:pPr>
            <w:r w:rsidRPr="00264D5D">
              <w:rPr>
                <w:rFonts w:eastAsia="Calibri"/>
                <w:szCs w:val="22"/>
              </w:rPr>
              <w:t>С</w:t>
            </w:r>
          </w:p>
        </w:tc>
        <w:tc>
          <w:tcPr>
            <w:tcW w:w="1135" w:type="dxa"/>
          </w:tcPr>
          <w:p w14:paraId="1CC4CFD4" w14:textId="77777777" w:rsidR="00AD1F54" w:rsidRPr="00264D5D" w:rsidRDefault="00941227">
            <w:pPr>
              <w:pStyle w:val="GOSTTablenorm"/>
            </w:pPr>
            <w:r w:rsidRPr="00264D5D">
              <w:rPr>
                <w:szCs w:val="22"/>
                <w:lang w:val="en-US"/>
              </w:rPr>
              <w:t>t</w:t>
            </w:r>
            <w:r w:rsidRPr="00264D5D">
              <w:rPr>
                <w:color w:val="000000"/>
                <w:szCs w:val="22"/>
              </w:rPr>
              <w:t>SGN</w:t>
            </w:r>
          </w:p>
        </w:tc>
        <w:tc>
          <w:tcPr>
            <w:tcW w:w="567" w:type="dxa"/>
          </w:tcPr>
          <w:p w14:paraId="4565CB43" w14:textId="77777777" w:rsidR="00AD1F54" w:rsidRPr="00264D5D" w:rsidRDefault="00941227">
            <w:pPr>
              <w:pStyle w:val="GOSTTablenorm"/>
              <w:jc w:val="center"/>
            </w:pPr>
            <w:r w:rsidRPr="00264D5D">
              <w:rPr>
                <w:szCs w:val="22"/>
              </w:rPr>
              <w:t>Н</w:t>
            </w:r>
          </w:p>
        </w:tc>
        <w:tc>
          <w:tcPr>
            <w:tcW w:w="3973" w:type="dxa"/>
          </w:tcPr>
          <w:p w14:paraId="6D339B9C" w14:textId="77777777" w:rsidR="00AD1F54" w:rsidRPr="00264D5D" w:rsidRDefault="00941227">
            <w:pPr>
              <w:pStyle w:val="GOSTTablenorm"/>
              <w:rPr>
                <w:szCs w:val="22"/>
                <w:lang w:eastAsia="en-US"/>
              </w:rPr>
            </w:pPr>
            <w:r w:rsidRPr="00264D5D">
              <w:rPr>
                <w:szCs w:val="22"/>
                <w:lang w:eastAsia="en-US"/>
              </w:rPr>
              <w:t xml:space="preserve">Указывается информация о подписях клиента в случае их формирования во внешней системе (с применением сертификат ЭП, </w:t>
            </w:r>
            <w:r w:rsidR="00B31FB3" w:rsidRPr="00264D5D">
              <w:rPr>
                <w:szCs w:val="22"/>
                <w:lang w:eastAsia="en-US"/>
              </w:rPr>
              <w:t>выданных УЦ, отличным от УЦ ФК).</w:t>
            </w:r>
          </w:p>
          <w:p w14:paraId="6FE59A71" w14:textId="4F955548" w:rsidR="00AD1F54" w:rsidRPr="00264D5D" w:rsidRDefault="00941227">
            <w:pPr>
              <w:pStyle w:val="GOSTTablenorm"/>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_Ref68855787 \h  \* MERGEFORMAT </w:instrText>
            </w:r>
            <w:r w:rsidRPr="00264D5D">
              <w:rPr>
                <w:b/>
                <w:szCs w:val="22"/>
              </w:rPr>
            </w:r>
            <w:r w:rsidRPr="00264D5D">
              <w:rPr>
                <w:b/>
                <w:szCs w:val="22"/>
              </w:rPr>
              <w:fldChar w:fldCharType="separate"/>
            </w:r>
            <w:r w:rsidR="008D797C" w:rsidRPr="008D797C">
              <w:rPr>
                <w:b/>
              </w:rPr>
              <w:t>94</w:t>
            </w:r>
            <w:r w:rsidRPr="00264D5D">
              <w:rPr>
                <w:b/>
                <w:szCs w:val="22"/>
              </w:rPr>
              <w:fldChar w:fldCharType="end"/>
            </w:r>
          </w:p>
        </w:tc>
      </w:tr>
      <w:tr w:rsidR="00AD1F54" w:rsidRPr="00264D5D" w14:paraId="5C3057CE" w14:textId="77777777" w:rsidTr="00AD1F54">
        <w:trPr>
          <w:cnfStyle w:val="000000010000" w:firstRow="0" w:lastRow="0" w:firstColumn="0" w:lastColumn="0" w:oddVBand="0" w:evenVBand="0" w:oddHBand="0" w:evenHBand="1" w:firstRowFirstColumn="0" w:firstRowLastColumn="0" w:lastRowFirstColumn="0" w:lastRowLastColumn="0"/>
        </w:trPr>
        <w:tc>
          <w:tcPr>
            <w:tcW w:w="1705" w:type="dxa"/>
          </w:tcPr>
          <w:p w14:paraId="297C96F7" w14:textId="77777777" w:rsidR="00AD1F54" w:rsidRPr="00264D5D" w:rsidRDefault="00941227">
            <w:pPr>
              <w:pStyle w:val="GOSTTablenorm"/>
            </w:pPr>
            <w:r w:rsidRPr="00264D5D">
              <w:t>ФИО руководителя</w:t>
            </w:r>
          </w:p>
        </w:tc>
        <w:tc>
          <w:tcPr>
            <w:tcW w:w="1703" w:type="dxa"/>
          </w:tcPr>
          <w:p w14:paraId="2BB85ABF" w14:textId="77777777" w:rsidR="00AD1F54" w:rsidRPr="00264D5D" w:rsidRDefault="00941227">
            <w:pPr>
              <w:pStyle w:val="GOSTTablenorm"/>
            </w:pPr>
            <w:r w:rsidRPr="00264D5D">
              <w:t>ZR_FllNm_Hd</w:t>
            </w:r>
          </w:p>
        </w:tc>
        <w:tc>
          <w:tcPr>
            <w:tcW w:w="567" w:type="dxa"/>
          </w:tcPr>
          <w:p w14:paraId="5A7E2322" w14:textId="77777777" w:rsidR="00AD1F54" w:rsidRPr="00264D5D" w:rsidRDefault="00941227">
            <w:pPr>
              <w:pStyle w:val="GOSTTablenorm"/>
              <w:jc w:val="center"/>
            </w:pPr>
            <w:r w:rsidRPr="00264D5D">
              <w:t>П</w:t>
            </w:r>
          </w:p>
        </w:tc>
        <w:tc>
          <w:tcPr>
            <w:tcW w:w="1135" w:type="dxa"/>
          </w:tcPr>
          <w:p w14:paraId="3416AFB6" w14:textId="77777777" w:rsidR="00AD1F54" w:rsidRPr="00264D5D" w:rsidRDefault="00941227">
            <w:pPr>
              <w:pStyle w:val="GOSTTablenorm"/>
            </w:pPr>
            <w:r w:rsidRPr="00264D5D">
              <w:t>Т(1-50)</w:t>
            </w:r>
          </w:p>
        </w:tc>
        <w:tc>
          <w:tcPr>
            <w:tcW w:w="567" w:type="dxa"/>
          </w:tcPr>
          <w:p w14:paraId="655FA338" w14:textId="77777777" w:rsidR="00AD1F54" w:rsidRPr="00264D5D" w:rsidRDefault="00941227">
            <w:pPr>
              <w:pStyle w:val="GOSTTablenorm"/>
              <w:jc w:val="center"/>
            </w:pPr>
            <w:r w:rsidRPr="00264D5D">
              <w:t>Н</w:t>
            </w:r>
          </w:p>
        </w:tc>
        <w:tc>
          <w:tcPr>
            <w:tcW w:w="3973" w:type="dxa"/>
          </w:tcPr>
          <w:p w14:paraId="21058DD6" w14:textId="77777777" w:rsidR="00AD1F54" w:rsidRPr="00264D5D" w:rsidRDefault="00941227">
            <w:pPr>
              <w:pStyle w:val="GOSTTablenorm"/>
            </w:pPr>
            <w:r w:rsidRPr="00264D5D">
              <w:t>Расшифровка подписи руководителя (уполномоченного лица) клиента с указанием инициалов и фамилии.</w:t>
            </w:r>
          </w:p>
          <w:p w14:paraId="6D1F1332" w14:textId="77777777" w:rsidR="00AD1F54" w:rsidRPr="00264D5D" w:rsidRDefault="00941227">
            <w:pPr>
              <w:pStyle w:val="GOSTTablenorm"/>
            </w:pPr>
            <w:r w:rsidRPr="00264D5D">
              <w:rPr>
                <w:szCs w:val="22"/>
              </w:rPr>
              <w:t xml:space="preserve">Поле не заполняется </w:t>
            </w:r>
            <w:r w:rsidRPr="00264D5D">
              <w:rPr>
                <w:szCs w:val="22"/>
                <w:lang w:eastAsia="en-US"/>
              </w:rPr>
              <w:t>если за</w:t>
            </w:r>
            <w:r w:rsidR="00B31FB3" w:rsidRPr="00264D5D">
              <w:rPr>
                <w:szCs w:val="22"/>
                <w:lang w:eastAsia="en-US"/>
              </w:rPr>
              <w:t>полнен блок «Данные о подписях»</w:t>
            </w:r>
          </w:p>
        </w:tc>
      </w:tr>
      <w:tr w:rsidR="00AD1F54" w:rsidRPr="00264D5D" w14:paraId="440DDC8D" w14:textId="77777777" w:rsidTr="00AD1F54">
        <w:trPr>
          <w:cnfStyle w:val="000000100000" w:firstRow="0" w:lastRow="0" w:firstColumn="0" w:lastColumn="0" w:oddVBand="0" w:evenVBand="0" w:oddHBand="1" w:evenHBand="0" w:firstRowFirstColumn="0" w:firstRowLastColumn="0" w:lastRowFirstColumn="0" w:lastRowLastColumn="0"/>
        </w:trPr>
        <w:tc>
          <w:tcPr>
            <w:tcW w:w="1705" w:type="dxa"/>
          </w:tcPr>
          <w:p w14:paraId="45A55061" w14:textId="77777777" w:rsidR="00AD1F54" w:rsidRPr="00264D5D" w:rsidRDefault="00941227">
            <w:pPr>
              <w:pStyle w:val="GOSTTablenorm"/>
            </w:pPr>
            <w:r w:rsidRPr="00264D5D">
              <w:t>Дата подписания заявки</w:t>
            </w:r>
          </w:p>
        </w:tc>
        <w:tc>
          <w:tcPr>
            <w:tcW w:w="1703" w:type="dxa"/>
          </w:tcPr>
          <w:p w14:paraId="72096B35" w14:textId="77777777" w:rsidR="00AD1F54" w:rsidRPr="00264D5D" w:rsidRDefault="00941227">
            <w:pPr>
              <w:pStyle w:val="GOSTTablenorm"/>
            </w:pPr>
            <w:r w:rsidRPr="00264D5D">
              <w:t>ZR_SgngDtPOD</w:t>
            </w:r>
          </w:p>
        </w:tc>
        <w:tc>
          <w:tcPr>
            <w:tcW w:w="567" w:type="dxa"/>
          </w:tcPr>
          <w:p w14:paraId="6E62C584" w14:textId="77777777" w:rsidR="00AD1F54" w:rsidRPr="00264D5D" w:rsidRDefault="00941227">
            <w:pPr>
              <w:pStyle w:val="GOSTTablenorm"/>
              <w:jc w:val="center"/>
            </w:pPr>
            <w:r w:rsidRPr="00264D5D">
              <w:t>П</w:t>
            </w:r>
          </w:p>
        </w:tc>
        <w:tc>
          <w:tcPr>
            <w:tcW w:w="1135" w:type="dxa"/>
          </w:tcPr>
          <w:p w14:paraId="5E403D21" w14:textId="77777777" w:rsidR="00AD1F54" w:rsidRPr="00264D5D" w:rsidRDefault="00941227">
            <w:pPr>
              <w:pStyle w:val="GOSTTablenorm"/>
            </w:pPr>
            <w:r w:rsidRPr="00264D5D">
              <w:rPr>
                <w:lang w:val="en-US"/>
              </w:rPr>
              <w:t>D</w:t>
            </w:r>
            <w:r w:rsidRPr="00264D5D">
              <w:t>ate</w:t>
            </w:r>
          </w:p>
        </w:tc>
        <w:tc>
          <w:tcPr>
            <w:tcW w:w="567" w:type="dxa"/>
          </w:tcPr>
          <w:p w14:paraId="617615A5" w14:textId="77777777" w:rsidR="00AD1F54" w:rsidRPr="00264D5D" w:rsidRDefault="00941227">
            <w:pPr>
              <w:pStyle w:val="GOSTTablenorm"/>
              <w:jc w:val="center"/>
            </w:pPr>
            <w:r w:rsidRPr="00264D5D">
              <w:t>Н</w:t>
            </w:r>
          </w:p>
        </w:tc>
        <w:tc>
          <w:tcPr>
            <w:tcW w:w="3973" w:type="dxa"/>
          </w:tcPr>
          <w:p w14:paraId="0A29420C" w14:textId="77777777" w:rsidR="00AD1F54" w:rsidRPr="00264D5D" w:rsidRDefault="00941227">
            <w:pPr>
              <w:pStyle w:val="GOSTTablenorm"/>
            </w:pPr>
            <w:r w:rsidRPr="00264D5D">
              <w:t>Дата подписания заявки.</w:t>
            </w:r>
          </w:p>
          <w:p w14:paraId="6BD7776F" w14:textId="77777777" w:rsidR="00AD1F54" w:rsidRPr="00264D5D" w:rsidRDefault="00941227">
            <w:pPr>
              <w:pStyle w:val="GOSTTablenorm"/>
            </w:pPr>
            <w:r w:rsidRPr="00264D5D">
              <w:rPr>
                <w:szCs w:val="22"/>
              </w:rPr>
              <w:t xml:space="preserve">Поле не заполняется </w:t>
            </w:r>
            <w:r w:rsidRPr="00264D5D">
              <w:rPr>
                <w:szCs w:val="22"/>
                <w:lang w:eastAsia="en-US"/>
              </w:rPr>
              <w:t>если за</w:t>
            </w:r>
            <w:r w:rsidR="00B31FB3" w:rsidRPr="00264D5D">
              <w:rPr>
                <w:szCs w:val="22"/>
                <w:lang w:eastAsia="en-US"/>
              </w:rPr>
              <w:t>полнен блок «Данные о подписях»</w:t>
            </w:r>
          </w:p>
        </w:tc>
      </w:tr>
      <w:tr w:rsidR="00AD1F54" w:rsidRPr="00264D5D" w14:paraId="2403ACCE" w14:textId="77777777" w:rsidTr="00AD1F54">
        <w:trPr>
          <w:cnfStyle w:val="000000010000" w:firstRow="0" w:lastRow="0" w:firstColumn="0" w:lastColumn="0" w:oddVBand="0" w:evenVBand="0" w:oddHBand="0" w:evenHBand="1" w:firstRowFirstColumn="0" w:firstRowLastColumn="0" w:lastRowFirstColumn="0" w:lastRowLastColumn="0"/>
        </w:trPr>
        <w:tc>
          <w:tcPr>
            <w:tcW w:w="1705" w:type="dxa"/>
          </w:tcPr>
          <w:p w14:paraId="62D2F78B" w14:textId="77777777" w:rsidR="00AD1F54" w:rsidRPr="00264D5D" w:rsidRDefault="00941227">
            <w:pPr>
              <w:pStyle w:val="GOSTTablenorm"/>
            </w:pPr>
            <w:r w:rsidRPr="00264D5D">
              <w:t>ФИО главного бухгалтера (уполномоченного руководителем лица)</w:t>
            </w:r>
          </w:p>
        </w:tc>
        <w:tc>
          <w:tcPr>
            <w:tcW w:w="1703" w:type="dxa"/>
          </w:tcPr>
          <w:p w14:paraId="526F8608" w14:textId="77777777" w:rsidR="00AD1F54" w:rsidRPr="00264D5D" w:rsidRDefault="00941227">
            <w:pPr>
              <w:pStyle w:val="GOSTTablenorm"/>
            </w:pPr>
            <w:r w:rsidRPr="00264D5D">
              <w:t>ZR_FllNm_RspnExctr</w:t>
            </w:r>
          </w:p>
        </w:tc>
        <w:tc>
          <w:tcPr>
            <w:tcW w:w="567" w:type="dxa"/>
          </w:tcPr>
          <w:p w14:paraId="1B75C863" w14:textId="77777777" w:rsidR="00AD1F54" w:rsidRPr="00264D5D" w:rsidRDefault="00941227">
            <w:pPr>
              <w:pStyle w:val="GOSTTablenorm"/>
              <w:jc w:val="center"/>
            </w:pPr>
            <w:r w:rsidRPr="00264D5D">
              <w:t>П</w:t>
            </w:r>
          </w:p>
        </w:tc>
        <w:tc>
          <w:tcPr>
            <w:tcW w:w="1135" w:type="dxa"/>
          </w:tcPr>
          <w:p w14:paraId="10952B86" w14:textId="77777777" w:rsidR="00AD1F54" w:rsidRPr="00264D5D" w:rsidRDefault="00941227">
            <w:pPr>
              <w:pStyle w:val="GOSTTablenorm"/>
            </w:pPr>
            <w:r w:rsidRPr="00264D5D">
              <w:t>Т(1-50)</w:t>
            </w:r>
          </w:p>
        </w:tc>
        <w:tc>
          <w:tcPr>
            <w:tcW w:w="567" w:type="dxa"/>
          </w:tcPr>
          <w:p w14:paraId="45B377F0" w14:textId="77777777" w:rsidR="00AD1F54" w:rsidRPr="00264D5D" w:rsidRDefault="00941227">
            <w:pPr>
              <w:pStyle w:val="GOSTTablenorm"/>
              <w:jc w:val="center"/>
            </w:pPr>
            <w:r w:rsidRPr="00264D5D">
              <w:t>Н</w:t>
            </w:r>
          </w:p>
        </w:tc>
        <w:tc>
          <w:tcPr>
            <w:tcW w:w="3973" w:type="dxa"/>
          </w:tcPr>
          <w:p w14:paraId="110D1E3D" w14:textId="77777777" w:rsidR="00AD1F54" w:rsidRPr="00264D5D" w:rsidRDefault="00941227">
            <w:pPr>
              <w:pStyle w:val="GOSTTablenorm"/>
            </w:pPr>
            <w:r w:rsidRPr="00264D5D">
              <w:t xml:space="preserve">Расшифровка подписи главного бухгалтера (уполномоченного руководителем лица), с указанием инициалов и фамилии. </w:t>
            </w:r>
          </w:p>
          <w:p w14:paraId="3F4DBACA" w14:textId="77777777" w:rsidR="00AD1F54" w:rsidRPr="00264D5D" w:rsidRDefault="00941227">
            <w:pPr>
              <w:pStyle w:val="GOSTTablenorm"/>
            </w:pPr>
            <w:r w:rsidRPr="00264D5D">
              <w:rPr>
                <w:szCs w:val="22"/>
              </w:rPr>
              <w:t xml:space="preserve">Поле не заполняется </w:t>
            </w:r>
            <w:r w:rsidRPr="00264D5D">
              <w:rPr>
                <w:szCs w:val="22"/>
                <w:lang w:eastAsia="en-US"/>
              </w:rPr>
              <w:t>если за</w:t>
            </w:r>
            <w:r w:rsidR="00B31FB3" w:rsidRPr="00264D5D">
              <w:rPr>
                <w:szCs w:val="22"/>
                <w:lang w:eastAsia="en-US"/>
              </w:rPr>
              <w:t>полнен блок «Данные о подписях»</w:t>
            </w:r>
          </w:p>
        </w:tc>
      </w:tr>
      <w:tr w:rsidR="00AD1F54" w:rsidRPr="00264D5D" w14:paraId="184D5B34" w14:textId="77777777" w:rsidTr="00AD1F54">
        <w:trPr>
          <w:cnfStyle w:val="000000100000" w:firstRow="0" w:lastRow="0" w:firstColumn="0" w:lastColumn="0" w:oddVBand="0" w:evenVBand="0" w:oddHBand="1" w:evenHBand="0" w:firstRowFirstColumn="0" w:firstRowLastColumn="0" w:lastRowFirstColumn="0" w:lastRowLastColumn="0"/>
        </w:trPr>
        <w:tc>
          <w:tcPr>
            <w:tcW w:w="1705" w:type="dxa"/>
          </w:tcPr>
          <w:p w14:paraId="3C091102" w14:textId="77777777" w:rsidR="00AD1F54" w:rsidRPr="00264D5D" w:rsidRDefault="00941227">
            <w:pPr>
              <w:pStyle w:val="GOSTTablenorm"/>
            </w:pPr>
            <w:r w:rsidRPr="00264D5D">
              <w:t>Отметка ТОФК</w:t>
            </w:r>
          </w:p>
        </w:tc>
        <w:tc>
          <w:tcPr>
            <w:tcW w:w="1703" w:type="dxa"/>
          </w:tcPr>
          <w:p w14:paraId="42DE6014" w14:textId="77777777" w:rsidR="00AD1F54" w:rsidRPr="00264D5D" w:rsidRDefault="00941227">
            <w:pPr>
              <w:pStyle w:val="GOSTTablenorm"/>
            </w:pPr>
            <w:r w:rsidRPr="00264D5D">
              <w:t>ZR_MSC_MrkOrFK</w:t>
            </w:r>
          </w:p>
        </w:tc>
        <w:tc>
          <w:tcPr>
            <w:tcW w:w="567" w:type="dxa"/>
          </w:tcPr>
          <w:p w14:paraId="6818BDC0" w14:textId="77777777" w:rsidR="00AD1F54" w:rsidRPr="00264D5D" w:rsidRDefault="00941227">
            <w:pPr>
              <w:pStyle w:val="GOSTTablenorm"/>
              <w:jc w:val="center"/>
            </w:pPr>
            <w:r w:rsidRPr="00264D5D">
              <w:t>С</w:t>
            </w:r>
          </w:p>
        </w:tc>
        <w:tc>
          <w:tcPr>
            <w:tcW w:w="1135" w:type="dxa"/>
          </w:tcPr>
          <w:p w14:paraId="18344A77" w14:textId="77777777" w:rsidR="00AD1F54" w:rsidRPr="00264D5D" w:rsidRDefault="00941227">
            <w:pPr>
              <w:pStyle w:val="GOSTTablenorm"/>
            </w:pPr>
            <w:r w:rsidRPr="00264D5D">
              <w:t>tMSC_MrkOrFK</w:t>
            </w:r>
          </w:p>
        </w:tc>
        <w:tc>
          <w:tcPr>
            <w:tcW w:w="567" w:type="dxa"/>
          </w:tcPr>
          <w:p w14:paraId="2919774C" w14:textId="77777777" w:rsidR="00AD1F54" w:rsidRPr="00264D5D" w:rsidRDefault="00941227">
            <w:pPr>
              <w:pStyle w:val="GOSTTablenorm"/>
              <w:jc w:val="center"/>
            </w:pPr>
            <w:r w:rsidRPr="00264D5D">
              <w:t>Н</w:t>
            </w:r>
          </w:p>
        </w:tc>
        <w:tc>
          <w:tcPr>
            <w:tcW w:w="3973" w:type="dxa"/>
          </w:tcPr>
          <w:p w14:paraId="51025DB3" w14:textId="77777777" w:rsidR="00AD1F54" w:rsidRPr="00264D5D" w:rsidRDefault="00941227">
            <w:pPr>
              <w:pStyle w:val="GOSTTablenorm"/>
            </w:pPr>
            <w:r w:rsidRPr="00264D5D">
              <w:t>Обязательно для заполнения при принятии ТОФК заявки.</w:t>
            </w:r>
          </w:p>
          <w:p w14:paraId="62D1739E" w14:textId="3636B5E4" w:rsidR="00AD1F54" w:rsidRPr="00264D5D" w:rsidRDefault="00941227">
            <w:pPr>
              <w:pStyle w:val="GOSTTablenorm"/>
            </w:pPr>
            <w:r w:rsidRPr="00264D5D">
              <w:lastRenderedPageBreak/>
              <w:t xml:space="preserve">Состав элемента представлен в таблице </w:t>
            </w:r>
            <w:r w:rsidRPr="00264D5D">
              <w:rPr>
                <w:b/>
              </w:rPr>
              <w:fldChar w:fldCharType="begin"/>
            </w:r>
            <w:r w:rsidRPr="00264D5D">
              <w:rPr>
                <w:b/>
              </w:rPr>
              <w:instrText xml:space="preserve"> REF _Ref503530413 \h  \* MERGEFORMAT </w:instrText>
            </w:r>
            <w:r w:rsidRPr="00264D5D">
              <w:rPr>
                <w:b/>
              </w:rPr>
            </w:r>
            <w:r w:rsidRPr="00264D5D">
              <w:rPr>
                <w:b/>
              </w:rPr>
              <w:fldChar w:fldCharType="separate"/>
            </w:r>
            <w:r w:rsidR="008D797C" w:rsidRPr="008D797C">
              <w:rPr>
                <w:b/>
              </w:rPr>
              <w:t>61</w:t>
            </w:r>
            <w:r w:rsidRPr="00264D5D">
              <w:rPr>
                <w:b/>
              </w:rPr>
              <w:fldChar w:fldCharType="end"/>
            </w:r>
          </w:p>
        </w:tc>
      </w:tr>
      <w:tr w:rsidR="00AD1F54" w:rsidRPr="00264D5D" w14:paraId="136292DB" w14:textId="77777777" w:rsidTr="00AD1F54">
        <w:trPr>
          <w:cnfStyle w:val="000000010000" w:firstRow="0" w:lastRow="0" w:firstColumn="0" w:lastColumn="0" w:oddVBand="0" w:evenVBand="0" w:oddHBand="0" w:evenHBand="1" w:firstRowFirstColumn="0" w:firstRowLastColumn="0" w:lastRowFirstColumn="0" w:lastRowLastColumn="0"/>
        </w:trPr>
        <w:tc>
          <w:tcPr>
            <w:tcW w:w="9650" w:type="dxa"/>
            <w:gridSpan w:val="6"/>
          </w:tcPr>
          <w:p w14:paraId="6AB09575" w14:textId="77777777" w:rsidR="00AD1F54" w:rsidRPr="00264D5D" w:rsidRDefault="00941227">
            <w:pPr>
              <w:pStyle w:val="GOSTTablenorm"/>
            </w:pPr>
            <w:r w:rsidRPr="00264D5D">
              <w:rPr>
                <w:b/>
                <w:szCs w:val="22"/>
              </w:rPr>
              <w:lastRenderedPageBreak/>
              <w:t>Реквизиты документов-оснований и Заявки</w:t>
            </w:r>
          </w:p>
        </w:tc>
      </w:tr>
      <w:tr w:rsidR="00AD1F54" w:rsidRPr="00264D5D" w14:paraId="42876EFE" w14:textId="77777777" w:rsidTr="00AD1F54">
        <w:trPr>
          <w:cnfStyle w:val="000000100000" w:firstRow="0" w:lastRow="0" w:firstColumn="0" w:lastColumn="0" w:oddVBand="0" w:evenVBand="0" w:oddHBand="1" w:evenHBand="0" w:firstRowFirstColumn="0" w:firstRowLastColumn="0" w:lastRowFirstColumn="0" w:lastRowLastColumn="0"/>
        </w:trPr>
        <w:tc>
          <w:tcPr>
            <w:tcW w:w="1705" w:type="dxa"/>
          </w:tcPr>
          <w:p w14:paraId="47A89DDF" w14:textId="77777777" w:rsidR="00AD1F54" w:rsidRPr="00264D5D" w:rsidRDefault="00941227">
            <w:pPr>
              <w:pStyle w:val="GOSTTablenorm"/>
            </w:pPr>
            <w:r w:rsidRPr="00264D5D">
              <w:t>Реквизиты документов-оснований</w:t>
            </w:r>
          </w:p>
        </w:tc>
        <w:tc>
          <w:tcPr>
            <w:tcW w:w="1703" w:type="dxa"/>
          </w:tcPr>
          <w:p w14:paraId="2ABD4456" w14:textId="77777777" w:rsidR="00AD1F54" w:rsidRPr="00264D5D" w:rsidRDefault="00941227">
            <w:pPr>
              <w:pStyle w:val="GOSTTablenorm"/>
            </w:pPr>
            <w:r w:rsidRPr="00264D5D">
              <w:t>ZROSN</w:t>
            </w:r>
          </w:p>
        </w:tc>
        <w:tc>
          <w:tcPr>
            <w:tcW w:w="567" w:type="dxa"/>
          </w:tcPr>
          <w:p w14:paraId="39F3664B" w14:textId="77777777" w:rsidR="00AD1F54" w:rsidRPr="00264D5D" w:rsidRDefault="00941227">
            <w:pPr>
              <w:pStyle w:val="GOSTTablenorm"/>
              <w:jc w:val="center"/>
            </w:pPr>
            <w:r w:rsidRPr="00264D5D">
              <w:t>С</w:t>
            </w:r>
          </w:p>
        </w:tc>
        <w:tc>
          <w:tcPr>
            <w:tcW w:w="1135" w:type="dxa"/>
          </w:tcPr>
          <w:p w14:paraId="49A816EC" w14:textId="77777777" w:rsidR="00AD1F54" w:rsidRPr="00264D5D" w:rsidRDefault="00941227">
            <w:pPr>
              <w:pStyle w:val="GOSTTablenorm"/>
            </w:pPr>
            <w:r w:rsidRPr="00264D5D">
              <w:t>tZROSN</w:t>
            </w:r>
          </w:p>
        </w:tc>
        <w:tc>
          <w:tcPr>
            <w:tcW w:w="567" w:type="dxa"/>
          </w:tcPr>
          <w:p w14:paraId="5084471B" w14:textId="77777777" w:rsidR="00AD1F54" w:rsidRPr="00264D5D" w:rsidRDefault="00941227">
            <w:pPr>
              <w:pStyle w:val="GOSTTablenorm"/>
              <w:jc w:val="center"/>
            </w:pPr>
            <w:r w:rsidRPr="00264D5D">
              <w:t>Н</w:t>
            </w:r>
          </w:p>
        </w:tc>
        <w:tc>
          <w:tcPr>
            <w:tcW w:w="3973" w:type="dxa"/>
          </w:tcPr>
          <w:p w14:paraId="7DA8BBCF" w14:textId="77777777" w:rsidR="00AD1F54" w:rsidRPr="00264D5D" w:rsidRDefault="00941227">
            <w:pPr>
              <w:pStyle w:val="GOSTTablenorm"/>
            </w:pPr>
            <w:r w:rsidRPr="00264D5D">
              <w:t>Реквизиты документов-оснований.</w:t>
            </w:r>
          </w:p>
          <w:p w14:paraId="4D39EEB5" w14:textId="24EB8CE2" w:rsidR="00AD1F54" w:rsidRPr="00264D5D" w:rsidRDefault="00941227">
            <w:pPr>
              <w:pStyle w:val="GOSTTablenorm"/>
            </w:pPr>
            <w:r w:rsidRPr="00264D5D">
              <w:t xml:space="preserve">Состав элемента представлен в таблице </w:t>
            </w:r>
            <w:r w:rsidRPr="00264D5D">
              <w:rPr>
                <w:b/>
              </w:rPr>
              <w:fldChar w:fldCharType="begin"/>
            </w:r>
            <w:r w:rsidRPr="00264D5D">
              <w:rPr>
                <w:b/>
              </w:rPr>
              <w:instrText xml:space="preserve"> REF _Ref526861476 \h  \* MERGEFORMAT </w:instrText>
            </w:r>
            <w:r w:rsidRPr="00264D5D">
              <w:rPr>
                <w:b/>
              </w:rPr>
            </w:r>
            <w:r w:rsidRPr="00264D5D">
              <w:rPr>
                <w:b/>
              </w:rPr>
              <w:fldChar w:fldCharType="separate"/>
            </w:r>
            <w:r w:rsidR="008D797C" w:rsidRPr="008D797C">
              <w:rPr>
                <w:b/>
              </w:rPr>
              <w:t>87</w:t>
            </w:r>
            <w:r w:rsidRPr="00264D5D">
              <w:rPr>
                <w:b/>
              </w:rPr>
              <w:fldChar w:fldCharType="end"/>
            </w:r>
          </w:p>
        </w:tc>
      </w:tr>
      <w:tr w:rsidR="00AD1F54" w:rsidRPr="00264D5D" w14:paraId="7F9D54E9" w14:textId="77777777" w:rsidTr="00AD1F54">
        <w:trPr>
          <w:cnfStyle w:val="000000010000" w:firstRow="0" w:lastRow="0" w:firstColumn="0" w:lastColumn="0" w:oddVBand="0" w:evenVBand="0" w:oddHBand="0" w:evenHBand="1" w:firstRowFirstColumn="0" w:firstRowLastColumn="0" w:lastRowFirstColumn="0" w:lastRowLastColumn="0"/>
        </w:trPr>
        <w:tc>
          <w:tcPr>
            <w:tcW w:w="1705" w:type="dxa"/>
          </w:tcPr>
          <w:p w14:paraId="60B9ECEC" w14:textId="77777777" w:rsidR="00AD1F54" w:rsidRPr="00264D5D" w:rsidRDefault="00941227">
            <w:pPr>
              <w:pStyle w:val="GOSTTablenorm"/>
            </w:pPr>
            <w:r w:rsidRPr="00264D5D">
              <w:t>Расшифровка заявки на кассовый расход по бюджетной классификации</w:t>
            </w:r>
          </w:p>
        </w:tc>
        <w:tc>
          <w:tcPr>
            <w:tcW w:w="1703" w:type="dxa"/>
          </w:tcPr>
          <w:p w14:paraId="57C31417" w14:textId="77777777" w:rsidR="00AD1F54" w:rsidRPr="00264D5D" w:rsidRDefault="00941227">
            <w:pPr>
              <w:pStyle w:val="GOSTTablenorm"/>
            </w:pPr>
            <w:r w:rsidRPr="00264D5D">
              <w:t>ZRST</w:t>
            </w:r>
          </w:p>
        </w:tc>
        <w:tc>
          <w:tcPr>
            <w:tcW w:w="567" w:type="dxa"/>
          </w:tcPr>
          <w:p w14:paraId="71E6A7F2" w14:textId="77777777" w:rsidR="00AD1F54" w:rsidRPr="00264D5D" w:rsidRDefault="00941227">
            <w:pPr>
              <w:pStyle w:val="GOSTTablenorm"/>
              <w:jc w:val="center"/>
            </w:pPr>
            <w:r w:rsidRPr="00264D5D">
              <w:t>С</w:t>
            </w:r>
          </w:p>
        </w:tc>
        <w:tc>
          <w:tcPr>
            <w:tcW w:w="1135" w:type="dxa"/>
          </w:tcPr>
          <w:p w14:paraId="38C5D6D7" w14:textId="77777777" w:rsidR="00AD1F54" w:rsidRPr="00264D5D" w:rsidRDefault="00941227">
            <w:pPr>
              <w:pStyle w:val="GOSTTablenorm"/>
            </w:pPr>
            <w:r w:rsidRPr="00264D5D">
              <w:t>tZRST</w:t>
            </w:r>
          </w:p>
        </w:tc>
        <w:tc>
          <w:tcPr>
            <w:tcW w:w="567" w:type="dxa"/>
          </w:tcPr>
          <w:p w14:paraId="18CFCD8D" w14:textId="77777777" w:rsidR="00AD1F54" w:rsidRPr="00264D5D" w:rsidRDefault="00941227">
            <w:pPr>
              <w:pStyle w:val="GOSTTablenorm"/>
              <w:jc w:val="center"/>
            </w:pPr>
            <w:r w:rsidRPr="00264D5D">
              <w:t>О</w:t>
            </w:r>
          </w:p>
        </w:tc>
        <w:tc>
          <w:tcPr>
            <w:tcW w:w="3973" w:type="dxa"/>
          </w:tcPr>
          <w:p w14:paraId="770D4CB9" w14:textId="77777777" w:rsidR="00AD1F54" w:rsidRPr="00264D5D" w:rsidRDefault="00941227">
            <w:pPr>
              <w:pStyle w:val="GOSTTablenorm"/>
            </w:pPr>
            <w:r w:rsidRPr="00264D5D">
              <w:t>Расшифровка заявки на кассовый расход сокращенной по бюджетной классификации.</w:t>
            </w:r>
          </w:p>
          <w:p w14:paraId="54453F61" w14:textId="26C437B7" w:rsidR="00AD1F54" w:rsidRPr="00264D5D" w:rsidRDefault="00941227">
            <w:pPr>
              <w:pStyle w:val="GOSTTablenorm"/>
            </w:pPr>
            <w:r w:rsidRPr="00264D5D">
              <w:t xml:space="preserve">Состав элемента представлен в таблице </w:t>
            </w:r>
            <w:r w:rsidRPr="00264D5D">
              <w:rPr>
                <w:b/>
              </w:rPr>
              <w:fldChar w:fldCharType="begin"/>
            </w:r>
            <w:r w:rsidRPr="00264D5D">
              <w:rPr>
                <w:b/>
              </w:rPr>
              <w:instrText xml:space="preserve"> REF _Ref526861487 \h  \* MERGEFORMAT </w:instrText>
            </w:r>
            <w:r w:rsidRPr="00264D5D">
              <w:rPr>
                <w:b/>
              </w:rPr>
            </w:r>
            <w:r w:rsidRPr="00264D5D">
              <w:rPr>
                <w:b/>
              </w:rPr>
              <w:fldChar w:fldCharType="separate"/>
            </w:r>
            <w:r w:rsidR="008D797C" w:rsidRPr="008D797C">
              <w:rPr>
                <w:b/>
              </w:rPr>
              <w:t>91</w:t>
            </w:r>
            <w:r w:rsidRPr="00264D5D">
              <w:rPr>
                <w:b/>
              </w:rPr>
              <w:fldChar w:fldCharType="end"/>
            </w:r>
          </w:p>
        </w:tc>
      </w:tr>
      <w:tr w:rsidR="00AD1F54" w:rsidRPr="00264D5D" w14:paraId="1C6F3CEE" w14:textId="77777777" w:rsidTr="00AD1F54">
        <w:trPr>
          <w:cnfStyle w:val="000000100000" w:firstRow="0" w:lastRow="0" w:firstColumn="0" w:lastColumn="0" w:oddVBand="0" w:evenVBand="0" w:oddHBand="1" w:evenHBand="0" w:firstRowFirstColumn="0" w:firstRowLastColumn="0" w:lastRowFirstColumn="0" w:lastRowLastColumn="0"/>
        </w:trPr>
        <w:tc>
          <w:tcPr>
            <w:tcW w:w="9650" w:type="dxa"/>
            <w:gridSpan w:val="6"/>
          </w:tcPr>
          <w:p w14:paraId="51CF6555" w14:textId="77777777" w:rsidR="00AD1F54" w:rsidRPr="00264D5D" w:rsidRDefault="00941227">
            <w:pPr>
              <w:pStyle w:val="GOSTTablenorm"/>
            </w:pPr>
            <w:r w:rsidRPr="00264D5D">
              <w:rPr>
                <w:b/>
                <w:szCs w:val="22"/>
              </w:rPr>
              <w:t>Дополнительная информация</w:t>
            </w:r>
          </w:p>
        </w:tc>
      </w:tr>
      <w:tr w:rsidR="00AD1F54" w:rsidRPr="00264D5D" w14:paraId="3B78C3F6" w14:textId="77777777" w:rsidTr="00AD1F54">
        <w:trPr>
          <w:cnfStyle w:val="000000010000" w:firstRow="0" w:lastRow="0" w:firstColumn="0" w:lastColumn="0" w:oddVBand="0" w:evenVBand="0" w:oddHBand="0" w:evenHBand="1" w:firstRowFirstColumn="0" w:firstRowLastColumn="0" w:lastRowFirstColumn="0" w:lastRowLastColumn="0"/>
        </w:trPr>
        <w:tc>
          <w:tcPr>
            <w:tcW w:w="1705" w:type="dxa"/>
          </w:tcPr>
          <w:p w14:paraId="72814223" w14:textId="77777777" w:rsidR="00AD1F54" w:rsidRPr="00264D5D" w:rsidRDefault="00941227">
            <w:pPr>
              <w:pStyle w:val="GOSTTablenorm"/>
            </w:pPr>
            <w:r w:rsidRPr="00264D5D">
              <w:t>Уровень конфиденциальности</w:t>
            </w:r>
          </w:p>
        </w:tc>
        <w:tc>
          <w:tcPr>
            <w:tcW w:w="1703" w:type="dxa"/>
          </w:tcPr>
          <w:p w14:paraId="63D32416" w14:textId="77777777" w:rsidR="00AD1F54" w:rsidRPr="00264D5D" w:rsidRDefault="00941227">
            <w:pPr>
              <w:pStyle w:val="GOSTTablenorm"/>
            </w:pPr>
            <w:r w:rsidRPr="00264D5D">
              <w:t>TtlPrt_SECRECY</w:t>
            </w:r>
          </w:p>
        </w:tc>
        <w:tc>
          <w:tcPr>
            <w:tcW w:w="567" w:type="dxa"/>
          </w:tcPr>
          <w:p w14:paraId="361C4512" w14:textId="77777777" w:rsidR="00AD1F54" w:rsidRPr="00264D5D" w:rsidRDefault="00941227">
            <w:pPr>
              <w:pStyle w:val="GOSTTablenorm"/>
              <w:jc w:val="center"/>
            </w:pPr>
            <w:r w:rsidRPr="00264D5D">
              <w:rPr>
                <w:szCs w:val="22"/>
              </w:rPr>
              <w:t>П</w:t>
            </w:r>
          </w:p>
        </w:tc>
        <w:tc>
          <w:tcPr>
            <w:tcW w:w="1135" w:type="dxa"/>
          </w:tcPr>
          <w:p w14:paraId="75929EA6" w14:textId="77777777" w:rsidR="00AD1F54" w:rsidRPr="00264D5D" w:rsidRDefault="00941227">
            <w:pPr>
              <w:pStyle w:val="GOSTTablenorm"/>
            </w:pPr>
            <w:r w:rsidRPr="00264D5D">
              <w:rPr>
                <w:szCs w:val="22"/>
              </w:rPr>
              <w:t>Т(1)</w:t>
            </w:r>
          </w:p>
        </w:tc>
        <w:tc>
          <w:tcPr>
            <w:tcW w:w="567" w:type="dxa"/>
          </w:tcPr>
          <w:p w14:paraId="14DD41B7" w14:textId="77777777" w:rsidR="00AD1F54" w:rsidRPr="00264D5D" w:rsidRDefault="00941227">
            <w:pPr>
              <w:pStyle w:val="GOSTTablenorm"/>
              <w:jc w:val="center"/>
            </w:pPr>
            <w:r w:rsidRPr="00264D5D">
              <w:rPr>
                <w:szCs w:val="22"/>
              </w:rPr>
              <w:t>Н</w:t>
            </w:r>
          </w:p>
        </w:tc>
        <w:tc>
          <w:tcPr>
            <w:tcW w:w="3973" w:type="dxa"/>
          </w:tcPr>
          <w:p w14:paraId="072EC341" w14:textId="77777777" w:rsidR="00AD1F54" w:rsidRPr="00264D5D" w:rsidRDefault="00941227">
            <w:pPr>
              <w:pStyle w:val="GOSTTablenorm"/>
              <w:widowControl w:val="0"/>
              <w:rPr>
                <w:szCs w:val="22"/>
              </w:rPr>
            </w:pPr>
            <w:r w:rsidRPr="00264D5D">
              <w:rPr>
                <w:szCs w:val="22"/>
              </w:rPr>
              <w:t>Указывается уровень конфиденциальности.</w:t>
            </w:r>
          </w:p>
          <w:p w14:paraId="280549D0" w14:textId="77777777" w:rsidR="00AD1F54" w:rsidRPr="00264D5D" w:rsidRDefault="00941227">
            <w:pPr>
              <w:pStyle w:val="GOSTTablenorm"/>
              <w:widowControl w:val="0"/>
              <w:rPr>
                <w:szCs w:val="22"/>
              </w:rPr>
            </w:pPr>
            <w:r w:rsidRPr="00264D5D">
              <w:rPr>
                <w:szCs w:val="22"/>
              </w:rPr>
              <w:t>Возможные значения:</w:t>
            </w:r>
          </w:p>
          <w:p w14:paraId="6DED890D" w14:textId="77777777" w:rsidR="00AD1F54" w:rsidRPr="00264D5D" w:rsidRDefault="00941227" w:rsidP="00B31FB3">
            <w:pPr>
              <w:pStyle w:val="GOSTTableListMark1"/>
              <w:widowControl w:val="0"/>
              <w:numPr>
                <w:ilvl w:val="0"/>
                <w:numId w:val="65"/>
              </w:numPr>
              <w:tabs>
                <w:tab w:val="clear" w:pos="340"/>
                <w:tab w:val="num" w:pos="227"/>
              </w:tabs>
              <w:spacing w:before="60" w:after="60"/>
              <w:ind w:left="284"/>
              <w:jc w:val="both"/>
              <w:rPr>
                <w:szCs w:val="22"/>
              </w:rPr>
            </w:pPr>
            <w:r w:rsidRPr="00264D5D">
              <w:t>«0» – Несекретно;</w:t>
            </w:r>
          </w:p>
          <w:p w14:paraId="4CAFA56B" w14:textId="77777777" w:rsidR="00AD1F54" w:rsidRPr="00264D5D" w:rsidRDefault="00941227" w:rsidP="00B31FB3">
            <w:pPr>
              <w:pStyle w:val="GOSTTableListMark1"/>
              <w:widowControl w:val="0"/>
              <w:numPr>
                <w:ilvl w:val="0"/>
                <w:numId w:val="65"/>
              </w:numPr>
              <w:tabs>
                <w:tab w:val="clear" w:pos="340"/>
                <w:tab w:val="num" w:pos="227"/>
              </w:tabs>
              <w:spacing w:before="60" w:after="60"/>
              <w:ind w:left="284"/>
              <w:jc w:val="both"/>
              <w:rPr>
                <w:szCs w:val="22"/>
              </w:rPr>
            </w:pPr>
            <w:r w:rsidRPr="00264D5D">
              <w:t>«1» – Для служебного пользования.</w:t>
            </w:r>
          </w:p>
          <w:p w14:paraId="0969D0B7" w14:textId="77777777" w:rsidR="00AD1F54" w:rsidRPr="00264D5D" w:rsidRDefault="00941227">
            <w:pPr>
              <w:pStyle w:val="GOSTTablenorm"/>
            </w:pPr>
            <w:r w:rsidRPr="00264D5D">
              <w:rPr>
                <w:szCs w:val="22"/>
              </w:rPr>
              <w:t>Обязателен для заполнения в случае взаимодействия по марш</w:t>
            </w:r>
            <w:r w:rsidR="00B31FB3" w:rsidRPr="00264D5D">
              <w:rPr>
                <w:szCs w:val="22"/>
              </w:rPr>
              <w:t>руту ПБС (ПФХД) – ТОФК (ПУР ЭБ)</w:t>
            </w:r>
          </w:p>
        </w:tc>
      </w:tr>
      <w:tr w:rsidR="00AD1F54" w:rsidRPr="00264D5D" w14:paraId="35BA060C" w14:textId="77777777" w:rsidTr="00AD1F54">
        <w:trPr>
          <w:cnfStyle w:val="000000100000" w:firstRow="0" w:lastRow="0" w:firstColumn="0" w:lastColumn="0" w:oddVBand="0" w:evenVBand="0" w:oddHBand="1" w:evenHBand="0" w:firstRowFirstColumn="0" w:firstRowLastColumn="0" w:lastRowFirstColumn="0" w:lastRowLastColumn="0"/>
        </w:trPr>
        <w:tc>
          <w:tcPr>
            <w:tcW w:w="9650" w:type="dxa"/>
            <w:gridSpan w:val="6"/>
          </w:tcPr>
          <w:p w14:paraId="23029926" w14:textId="77777777" w:rsidR="00AD1F54" w:rsidRPr="00264D5D" w:rsidRDefault="00941227">
            <w:pPr>
              <w:pStyle w:val="GOSTTablenorm"/>
              <w:widowControl w:val="0"/>
              <w:rPr>
                <w:szCs w:val="22"/>
              </w:rPr>
            </w:pPr>
            <w:r w:rsidRPr="00264D5D">
              <w:rPr>
                <w:b/>
                <w:szCs w:val="22"/>
              </w:rPr>
              <w:t>Системная информация</w:t>
            </w:r>
          </w:p>
        </w:tc>
      </w:tr>
      <w:tr w:rsidR="00AD1F54" w:rsidRPr="00264D5D" w14:paraId="4F3499B5" w14:textId="77777777" w:rsidTr="00AD1F54">
        <w:trPr>
          <w:cnfStyle w:val="000000010000" w:firstRow="0" w:lastRow="0" w:firstColumn="0" w:lastColumn="0" w:oddVBand="0" w:evenVBand="0" w:oddHBand="0" w:evenHBand="1" w:firstRowFirstColumn="0" w:firstRowLastColumn="0" w:lastRowFirstColumn="0" w:lastRowLastColumn="0"/>
        </w:trPr>
        <w:tc>
          <w:tcPr>
            <w:tcW w:w="1705" w:type="dxa"/>
          </w:tcPr>
          <w:p w14:paraId="3C86B986" w14:textId="77777777" w:rsidR="00AD1F54" w:rsidRPr="00264D5D" w:rsidRDefault="00941227">
            <w:pPr>
              <w:pStyle w:val="GOSTTablenorm"/>
            </w:pPr>
            <w:r w:rsidRPr="00264D5D">
              <w:t>Системная информация</w:t>
            </w:r>
          </w:p>
        </w:tc>
        <w:tc>
          <w:tcPr>
            <w:tcW w:w="1703" w:type="dxa"/>
          </w:tcPr>
          <w:p w14:paraId="1788283E" w14:textId="77777777" w:rsidR="00AD1F54" w:rsidRPr="00264D5D" w:rsidRDefault="00941227">
            <w:pPr>
              <w:pStyle w:val="GOSTTablenorm"/>
            </w:pPr>
            <w:r w:rsidRPr="00264D5D">
              <w:t>ZR_MSC_Infrmtn</w:t>
            </w:r>
          </w:p>
        </w:tc>
        <w:tc>
          <w:tcPr>
            <w:tcW w:w="567" w:type="dxa"/>
          </w:tcPr>
          <w:p w14:paraId="5D7C8ED7" w14:textId="77777777" w:rsidR="00AD1F54" w:rsidRPr="00264D5D" w:rsidRDefault="00941227">
            <w:pPr>
              <w:pStyle w:val="GOSTTablenorm"/>
              <w:jc w:val="center"/>
            </w:pPr>
            <w:r w:rsidRPr="00264D5D">
              <w:t>С</w:t>
            </w:r>
          </w:p>
        </w:tc>
        <w:tc>
          <w:tcPr>
            <w:tcW w:w="1135" w:type="dxa"/>
          </w:tcPr>
          <w:p w14:paraId="0E80B06A" w14:textId="77777777" w:rsidR="00AD1F54" w:rsidRPr="00264D5D" w:rsidRDefault="00941227">
            <w:pPr>
              <w:pStyle w:val="GOSTTablenorm"/>
            </w:pPr>
            <w:r w:rsidRPr="00264D5D">
              <w:t>tMSC_Infrmtn</w:t>
            </w:r>
          </w:p>
        </w:tc>
        <w:tc>
          <w:tcPr>
            <w:tcW w:w="567" w:type="dxa"/>
          </w:tcPr>
          <w:p w14:paraId="79FC91F8" w14:textId="77777777" w:rsidR="00AD1F54" w:rsidRPr="00264D5D" w:rsidRDefault="00941227">
            <w:pPr>
              <w:pStyle w:val="GOSTTablenorm"/>
              <w:jc w:val="center"/>
            </w:pPr>
            <w:r w:rsidRPr="00264D5D">
              <w:t>О</w:t>
            </w:r>
          </w:p>
        </w:tc>
        <w:tc>
          <w:tcPr>
            <w:tcW w:w="3973" w:type="dxa"/>
          </w:tcPr>
          <w:p w14:paraId="6978D186" w14:textId="77777777" w:rsidR="00AD1F54" w:rsidRPr="00264D5D" w:rsidRDefault="00941227">
            <w:pPr>
              <w:pStyle w:val="GOSTTablenorm"/>
            </w:pPr>
            <w:r w:rsidRPr="00264D5D">
              <w:t>Системная информация документа.</w:t>
            </w:r>
          </w:p>
          <w:p w14:paraId="5B0AFA63" w14:textId="35878527" w:rsidR="00AD1F54" w:rsidRPr="00264D5D" w:rsidRDefault="00941227">
            <w:pPr>
              <w:pStyle w:val="GOSTTablenorm"/>
            </w:pPr>
            <w:r w:rsidRPr="00264D5D">
              <w:t>Состав элемента представлен в таблице</w:t>
            </w:r>
            <w:r w:rsidRPr="00264D5D">
              <w:rPr>
                <w:b/>
              </w:rPr>
              <w:t xml:space="preserve"> </w:t>
            </w:r>
            <w:r w:rsidRPr="00264D5D">
              <w:rPr>
                <w:b/>
              </w:rPr>
              <w:fldChar w:fldCharType="begin"/>
            </w:r>
            <w:r w:rsidRPr="00264D5D">
              <w:rPr>
                <w:b/>
              </w:rPr>
              <w:instrText xml:space="preserve"> REF _Ref117461601 \h  \* MERGEFORMAT </w:instrText>
            </w:r>
            <w:r w:rsidRPr="00264D5D">
              <w:rPr>
                <w:b/>
              </w:rPr>
            </w:r>
            <w:r w:rsidRPr="00264D5D">
              <w:rPr>
                <w:b/>
              </w:rPr>
              <w:fldChar w:fldCharType="separate"/>
            </w:r>
            <w:r w:rsidR="008D797C" w:rsidRPr="008D797C">
              <w:rPr>
                <w:b/>
              </w:rPr>
              <w:t>95</w:t>
            </w:r>
            <w:r w:rsidRPr="00264D5D">
              <w:rPr>
                <w:b/>
              </w:rPr>
              <w:fldChar w:fldCharType="end"/>
            </w:r>
          </w:p>
        </w:tc>
      </w:tr>
      <w:tr w:rsidR="00AD1F54" w:rsidRPr="00264D5D" w14:paraId="125380BE" w14:textId="77777777" w:rsidTr="00AD1F54">
        <w:trPr>
          <w:cnfStyle w:val="000000100000" w:firstRow="0" w:lastRow="0" w:firstColumn="0" w:lastColumn="0" w:oddVBand="0" w:evenVBand="0" w:oddHBand="1" w:evenHBand="0" w:firstRowFirstColumn="0" w:firstRowLastColumn="0" w:lastRowFirstColumn="0" w:lastRowLastColumn="0"/>
        </w:trPr>
        <w:tc>
          <w:tcPr>
            <w:tcW w:w="9650" w:type="dxa"/>
            <w:gridSpan w:val="6"/>
          </w:tcPr>
          <w:p w14:paraId="2FF98441" w14:textId="77777777" w:rsidR="00AD1F54" w:rsidRPr="00264D5D" w:rsidRDefault="00941227">
            <w:pPr>
              <w:pStyle w:val="GOSTTablenorm"/>
            </w:pPr>
            <w:r w:rsidRPr="00264D5D">
              <w:rPr>
                <w:b/>
                <w:szCs w:val="22"/>
              </w:rPr>
              <w:t>ЭП</w:t>
            </w:r>
          </w:p>
        </w:tc>
      </w:tr>
      <w:tr w:rsidR="00AD1F54" w:rsidRPr="00264D5D" w14:paraId="797AC7FC" w14:textId="77777777" w:rsidTr="00AD1F54">
        <w:trPr>
          <w:cnfStyle w:val="000000010000" w:firstRow="0" w:lastRow="0" w:firstColumn="0" w:lastColumn="0" w:oddVBand="0" w:evenVBand="0" w:oddHBand="0" w:evenHBand="1" w:firstRowFirstColumn="0" w:firstRowLastColumn="0" w:lastRowFirstColumn="0" w:lastRowLastColumn="0"/>
        </w:trPr>
        <w:tc>
          <w:tcPr>
            <w:tcW w:w="1705" w:type="dxa"/>
          </w:tcPr>
          <w:p w14:paraId="287EA54F" w14:textId="77777777" w:rsidR="00AD1F54" w:rsidRPr="00264D5D" w:rsidRDefault="00941227">
            <w:pPr>
              <w:pStyle w:val="GOSTTablenorm"/>
            </w:pPr>
            <w:r w:rsidRPr="00264D5D">
              <w:t>Электронная подпись</w:t>
            </w:r>
          </w:p>
        </w:tc>
        <w:tc>
          <w:tcPr>
            <w:tcW w:w="1703" w:type="dxa"/>
          </w:tcPr>
          <w:p w14:paraId="1D988897" w14:textId="77777777" w:rsidR="00AD1F54" w:rsidRPr="00264D5D" w:rsidRDefault="00941227">
            <w:pPr>
              <w:pStyle w:val="GOSTTablenorm"/>
            </w:pPr>
            <w:r w:rsidRPr="00264D5D">
              <w:t>Signature</w:t>
            </w:r>
          </w:p>
        </w:tc>
        <w:tc>
          <w:tcPr>
            <w:tcW w:w="567" w:type="dxa"/>
          </w:tcPr>
          <w:p w14:paraId="7FBCC7DE" w14:textId="77777777" w:rsidR="00AD1F54" w:rsidRPr="00264D5D" w:rsidRDefault="00941227">
            <w:pPr>
              <w:pStyle w:val="GOSTTablenorm"/>
              <w:jc w:val="center"/>
            </w:pPr>
            <w:r w:rsidRPr="00264D5D">
              <w:t>С</w:t>
            </w:r>
          </w:p>
        </w:tc>
        <w:tc>
          <w:tcPr>
            <w:tcW w:w="1135" w:type="dxa"/>
          </w:tcPr>
          <w:p w14:paraId="084C86A3" w14:textId="77777777" w:rsidR="00AD1F54" w:rsidRPr="00264D5D" w:rsidRDefault="00941227">
            <w:pPr>
              <w:pStyle w:val="GOSTTablenorm"/>
            </w:pPr>
            <w:r w:rsidRPr="00264D5D">
              <w:t>SignatureType</w:t>
            </w:r>
          </w:p>
        </w:tc>
        <w:tc>
          <w:tcPr>
            <w:tcW w:w="567" w:type="dxa"/>
          </w:tcPr>
          <w:p w14:paraId="7AD5DFC5" w14:textId="77777777" w:rsidR="00AD1F54" w:rsidRPr="00264D5D" w:rsidRDefault="00941227">
            <w:pPr>
              <w:pStyle w:val="GOSTTablenorm"/>
              <w:jc w:val="center"/>
            </w:pPr>
            <w:r w:rsidRPr="00264D5D">
              <w:t>НМ</w:t>
            </w:r>
          </w:p>
        </w:tc>
        <w:tc>
          <w:tcPr>
            <w:tcW w:w="3973" w:type="dxa"/>
          </w:tcPr>
          <w:p w14:paraId="79F6907C" w14:textId="77777777" w:rsidR="00AD1F54" w:rsidRPr="00264D5D" w:rsidRDefault="00941227">
            <w:pPr>
              <w:pStyle w:val="GOSTTablenorm"/>
            </w:pPr>
            <w:r w:rsidRPr="00264D5D">
              <w:t>Блок подписи в формате XAdes. Указывается как референс согласно формату подписи XAdes.</w:t>
            </w:r>
          </w:p>
          <w:p w14:paraId="0311D212" w14:textId="77777777" w:rsidR="00AD1F54" w:rsidRPr="00264D5D" w:rsidRDefault="00941227">
            <w:pPr>
              <w:spacing w:before="60" w:after="60"/>
              <w:rPr>
                <w:sz w:val="22"/>
                <w:szCs w:val="22"/>
              </w:rPr>
            </w:pPr>
            <w:r w:rsidRPr="00264D5D">
              <w:rPr>
                <w:sz w:val="22"/>
                <w:szCs w:val="22"/>
              </w:rPr>
              <w:t>Заполняется согласно п.3.5.3 Тома 1 настоящего альбома.</w:t>
            </w:r>
          </w:p>
          <w:p w14:paraId="5DB4BB1A" w14:textId="77777777" w:rsidR="00AD1F54" w:rsidRPr="00264D5D" w:rsidRDefault="00941227">
            <w:pPr>
              <w:pStyle w:val="GOSTTablenorm"/>
            </w:pPr>
            <w:r w:rsidRPr="00264D5D">
              <w:rPr>
                <w:szCs w:val="22"/>
              </w:rPr>
              <w:t>Обязателен для заполнения при сервисн</w:t>
            </w:r>
            <w:r w:rsidR="00B31FB3" w:rsidRPr="00264D5D">
              <w:rPr>
                <w:szCs w:val="22"/>
              </w:rPr>
              <w:t>ом взаимодействии ПФХД и ПУР ЭБ</w:t>
            </w:r>
          </w:p>
        </w:tc>
      </w:tr>
    </w:tbl>
    <w:p w14:paraId="765702D5" w14:textId="77777777" w:rsidR="00AD1F54" w:rsidRPr="00264D5D" w:rsidRDefault="00941227">
      <w:pPr>
        <w:pStyle w:val="GOSTTablenorm"/>
        <w:rPr>
          <w:sz w:val="20"/>
        </w:rPr>
      </w:pPr>
      <w:r w:rsidRPr="00264D5D">
        <w:rPr>
          <w:sz w:val="20"/>
        </w:rPr>
        <w:t>* – Заполнение поля приказом Федерального казначейства от 14.05.2020 г. N 21н «О порядке казначейского обслуживания»</w:t>
      </w:r>
    </w:p>
    <w:p w14:paraId="0314A1FD" w14:textId="77777777" w:rsidR="00AD1F54" w:rsidRPr="00264D5D" w:rsidRDefault="00941227">
      <w:pPr>
        <w:pStyle w:val="31"/>
      </w:pPr>
      <w:bookmarkStart w:id="958" w:name="_Toc18509245"/>
      <w:bookmarkStart w:id="959" w:name="_Toc219309520"/>
      <w:r w:rsidRPr="00264D5D">
        <w:t>Описание комплексного типа «tMSC_Cstmr4»</w:t>
      </w:r>
      <w:bookmarkEnd w:id="958"/>
      <w:bookmarkEnd w:id="959"/>
    </w:p>
    <w:p w14:paraId="49971D15" w14:textId="77777777" w:rsidR="00AD1F54" w:rsidRPr="00264D5D" w:rsidRDefault="00941227">
      <w:pPr>
        <w:pStyle w:val="GOSTNormal"/>
      </w:pPr>
      <w:r w:rsidRPr="00264D5D">
        <w:t>Описание комплексного типа «</w:t>
      </w:r>
      <w:r w:rsidRPr="00264D5D">
        <w:rPr>
          <w:szCs w:val="24"/>
          <w:lang w:val="en-US"/>
        </w:rPr>
        <w:t>tMSC</w:t>
      </w:r>
      <w:r w:rsidRPr="00264D5D">
        <w:rPr>
          <w:szCs w:val="24"/>
        </w:rPr>
        <w:t>_</w:t>
      </w:r>
      <w:r w:rsidRPr="00264D5D">
        <w:rPr>
          <w:szCs w:val="24"/>
          <w:lang w:val="en-US"/>
        </w:rPr>
        <w:t>Cstmr</w:t>
      </w:r>
      <w:r w:rsidRPr="00264D5D">
        <w:rPr>
          <w:szCs w:val="24"/>
        </w:rPr>
        <w:t>4</w:t>
      </w:r>
      <w:r w:rsidRPr="00264D5D">
        <w:t>» блока «</w:t>
      </w:r>
      <w:r w:rsidRPr="00264D5D">
        <w:rPr>
          <w:szCs w:val="24"/>
        </w:rPr>
        <w:t>Информация о клиенте</w:t>
      </w:r>
      <w:r w:rsidRPr="00264D5D">
        <w:t xml:space="preserve">». </w:t>
      </w:r>
    </w:p>
    <w:p w14:paraId="454394FC" w14:textId="707B285A" w:rsidR="00AD1F54" w:rsidRPr="00264D5D" w:rsidRDefault="00941227">
      <w:pPr>
        <w:pStyle w:val="GOSTNameTable"/>
        <w:numPr>
          <w:ilvl w:val="0"/>
          <w:numId w:val="2"/>
        </w:numPr>
        <w:ind w:left="425" w:hanging="357"/>
      </w:pPr>
      <w:r w:rsidRPr="00264D5D">
        <w:lastRenderedPageBreak/>
        <w:fldChar w:fldCharType="begin"/>
      </w:r>
      <w:r w:rsidRPr="00264D5D">
        <w:instrText>SEQ Таблица \* ARABIC</w:instrText>
      </w:r>
      <w:r w:rsidRPr="00264D5D">
        <w:fldChar w:fldCharType="separate"/>
      </w:r>
      <w:bookmarkStart w:id="960" w:name="_Ref526861093"/>
      <w:bookmarkStart w:id="961" w:name="_Toc18509532"/>
      <w:bookmarkStart w:id="962" w:name="_Toc219309110"/>
      <w:r w:rsidR="008D797C">
        <w:rPr>
          <w:noProof/>
        </w:rPr>
        <w:t>80</w:t>
      </w:r>
      <w:bookmarkEnd w:id="960"/>
      <w:r w:rsidRPr="00264D5D">
        <w:fldChar w:fldCharType="end"/>
      </w:r>
      <w:r w:rsidRPr="00264D5D">
        <w:t xml:space="preserve"> – Описание комплексного типа «tMSC_Cstmr4»</w:t>
      </w:r>
      <w:bookmarkEnd w:id="961"/>
      <w:bookmarkEnd w:id="962"/>
    </w:p>
    <w:tbl>
      <w:tblPr>
        <w:tblStyle w:val="GOSTTable"/>
        <w:tblW w:w="5000" w:type="pct"/>
        <w:tblLayout w:type="fixed"/>
        <w:tblLook w:val="04A0" w:firstRow="1" w:lastRow="0" w:firstColumn="1" w:lastColumn="0" w:noHBand="0" w:noVBand="1"/>
      </w:tblPr>
      <w:tblGrid>
        <w:gridCol w:w="1705"/>
        <w:gridCol w:w="1707"/>
        <w:gridCol w:w="568"/>
        <w:gridCol w:w="1133"/>
        <w:gridCol w:w="565"/>
        <w:gridCol w:w="3972"/>
      </w:tblGrid>
      <w:tr w:rsidR="00AD1F54" w:rsidRPr="00264D5D" w14:paraId="52FA0EB7"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3" w:type="pct"/>
          </w:tcPr>
          <w:p w14:paraId="4CB756AC" w14:textId="77777777" w:rsidR="00AD1F54" w:rsidRPr="00264D5D" w:rsidRDefault="00941227">
            <w:pPr>
              <w:pStyle w:val="ASFKTableHead"/>
            </w:pPr>
            <w:r w:rsidRPr="00264D5D">
              <w:t>Наименование элемента</w:t>
            </w:r>
          </w:p>
        </w:tc>
        <w:tc>
          <w:tcPr>
            <w:tcW w:w="884" w:type="pct"/>
          </w:tcPr>
          <w:p w14:paraId="3084D722" w14:textId="77777777" w:rsidR="00AD1F54" w:rsidRPr="00264D5D" w:rsidRDefault="00941227">
            <w:pPr>
              <w:pStyle w:val="ASFKTableHead"/>
            </w:pPr>
            <w:r w:rsidRPr="00264D5D">
              <w:t>Сокращенное наименование (код) элемента</w:t>
            </w:r>
          </w:p>
        </w:tc>
        <w:tc>
          <w:tcPr>
            <w:tcW w:w="294" w:type="pct"/>
          </w:tcPr>
          <w:p w14:paraId="733DF43D" w14:textId="77777777" w:rsidR="00AD1F54" w:rsidRPr="00264D5D" w:rsidRDefault="00941227">
            <w:pPr>
              <w:pStyle w:val="ASFKTableHead"/>
            </w:pPr>
            <w:r w:rsidRPr="00264D5D">
              <w:t>Тип</w:t>
            </w:r>
          </w:p>
        </w:tc>
        <w:tc>
          <w:tcPr>
            <w:tcW w:w="587" w:type="pct"/>
          </w:tcPr>
          <w:p w14:paraId="2ACFAD8A" w14:textId="77777777" w:rsidR="00AD1F54" w:rsidRPr="00264D5D" w:rsidRDefault="00941227">
            <w:pPr>
              <w:pStyle w:val="ASFKTableHead"/>
            </w:pPr>
            <w:r w:rsidRPr="00264D5D">
              <w:t>Формат элемента</w:t>
            </w:r>
          </w:p>
        </w:tc>
        <w:tc>
          <w:tcPr>
            <w:tcW w:w="293" w:type="pct"/>
          </w:tcPr>
          <w:p w14:paraId="7C4157D4" w14:textId="77777777" w:rsidR="00AD1F54" w:rsidRPr="00264D5D" w:rsidRDefault="00941227">
            <w:pPr>
              <w:pStyle w:val="ASFKTableHead"/>
            </w:pPr>
            <w:r w:rsidRPr="00264D5D">
              <w:t>Обязательность</w:t>
            </w:r>
          </w:p>
        </w:tc>
        <w:tc>
          <w:tcPr>
            <w:tcW w:w="2058" w:type="pct"/>
          </w:tcPr>
          <w:p w14:paraId="71D351E7" w14:textId="77777777" w:rsidR="00AD1F54" w:rsidRPr="00264D5D" w:rsidRDefault="00941227">
            <w:pPr>
              <w:pStyle w:val="ASFKTableHead"/>
            </w:pPr>
            <w:r w:rsidRPr="00264D5D">
              <w:t>Дополнительная информация</w:t>
            </w:r>
          </w:p>
        </w:tc>
      </w:tr>
      <w:tr w:rsidR="00AD1F54" w:rsidRPr="00264D5D" w14:paraId="6666D469"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5E136FCD" w14:textId="77777777" w:rsidR="00AD1F54" w:rsidRPr="00264D5D" w:rsidRDefault="00941227">
            <w:pPr>
              <w:pStyle w:val="GOSTTablenorm"/>
            </w:pPr>
            <w:r w:rsidRPr="00264D5D">
              <w:t>Код клиента</w:t>
            </w:r>
          </w:p>
        </w:tc>
        <w:tc>
          <w:tcPr>
            <w:tcW w:w="884" w:type="pct"/>
          </w:tcPr>
          <w:p w14:paraId="2AB4E5D6" w14:textId="77777777" w:rsidR="00AD1F54" w:rsidRPr="00264D5D" w:rsidRDefault="00941227">
            <w:pPr>
              <w:pStyle w:val="GOSTTablenorm"/>
              <w:rPr>
                <w:lang w:val="en-US"/>
              </w:rPr>
            </w:pPr>
            <w:r w:rsidRPr="00264D5D">
              <w:rPr>
                <w:lang w:val="en-US"/>
              </w:rPr>
              <w:t>Cd</w:t>
            </w:r>
          </w:p>
        </w:tc>
        <w:tc>
          <w:tcPr>
            <w:tcW w:w="294" w:type="pct"/>
          </w:tcPr>
          <w:p w14:paraId="78E21ED3" w14:textId="77777777" w:rsidR="00AD1F54" w:rsidRPr="00264D5D" w:rsidRDefault="00941227">
            <w:pPr>
              <w:pStyle w:val="GOSTTablenorm"/>
              <w:jc w:val="center"/>
            </w:pPr>
            <w:r w:rsidRPr="00264D5D">
              <w:t>П</w:t>
            </w:r>
          </w:p>
        </w:tc>
        <w:tc>
          <w:tcPr>
            <w:tcW w:w="587" w:type="pct"/>
          </w:tcPr>
          <w:p w14:paraId="15C58DED" w14:textId="77777777" w:rsidR="00AD1F54" w:rsidRPr="00264D5D" w:rsidRDefault="00941227">
            <w:pPr>
              <w:pStyle w:val="GOSTTablenorm"/>
            </w:pPr>
            <w:r w:rsidRPr="00264D5D">
              <w:t>Т(8)</w:t>
            </w:r>
          </w:p>
        </w:tc>
        <w:tc>
          <w:tcPr>
            <w:tcW w:w="293" w:type="pct"/>
          </w:tcPr>
          <w:p w14:paraId="56E26795" w14:textId="77777777" w:rsidR="00AD1F54" w:rsidRPr="00264D5D" w:rsidRDefault="00941227">
            <w:pPr>
              <w:pStyle w:val="GOSTTablenorm"/>
              <w:jc w:val="center"/>
            </w:pPr>
            <w:r w:rsidRPr="00264D5D">
              <w:t>О</w:t>
            </w:r>
          </w:p>
        </w:tc>
        <w:tc>
          <w:tcPr>
            <w:tcW w:w="2058" w:type="pct"/>
          </w:tcPr>
          <w:p w14:paraId="46AC9898" w14:textId="77777777" w:rsidR="00AD1F54" w:rsidRPr="00264D5D" w:rsidRDefault="00941227">
            <w:pPr>
              <w:pStyle w:val="GOSTTablenorm"/>
              <w:rPr>
                <w:b/>
                <w:bCs/>
              </w:rPr>
            </w:pPr>
            <w:r w:rsidRPr="00264D5D">
              <w:t xml:space="preserve">Код клиента по Сводному </w:t>
            </w:r>
            <w:r w:rsidR="007E4E7F" w:rsidRPr="00264D5D">
              <w:t>реестру</w:t>
            </w:r>
          </w:p>
        </w:tc>
      </w:tr>
      <w:tr w:rsidR="00AD1F54" w:rsidRPr="00264D5D" w14:paraId="2C56254C"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3" w:type="pct"/>
          </w:tcPr>
          <w:p w14:paraId="11EFAE24" w14:textId="77777777" w:rsidR="00AD1F54" w:rsidRPr="00264D5D" w:rsidRDefault="00941227">
            <w:pPr>
              <w:pStyle w:val="GOSTTablenorm"/>
            </w:pPr>
            <w:r w:rsidRPr="00264D5D">
              <w:t>Наименование клиента</w:t>
            </w:r>
          </w:p>
        </w:tc>
        <w:tc>
          <w:tcPr>
            <w:tcW w:w="884" w:type="pct"/>
          </w:tcPr>
          <w:p w14:paraId="32F8676E" w14:textId="77777777" w:rsidR="00AD1F54" w:rsidRPr="00264D5D" w:rsidRDefault="00941227">
            <w:pPr>
              <w:pStyle w:val="GOSTTablenorm"/>
            </w:pPr>
            <w:r w:rsidRPr="00264D5D">
              <w:t>FullNm</w:t>
            </w:r>
          </w:p>
        </w:tc>
        <w:tc>
          <w:tcPr>
            <w:tcW w:w="294" w:type="pct"/>
          </w:tcPr>
          <w:p w14:paraId="7EA4C451" w14:textId="77777777" w:rsidR="00AD1F54" w:rsidRPr="00264D5D" w:rsidRDefault="00941227">
            <w:pPr>
              <w:pStyle w:val="GOSTTablenorm"/>
              <w:jc w:val="center"/>
            </w:pPr>
            <w:r w:rsidRPr="00264D5D">
              <w:t>П</w:t>
            </w:r>
          </w:p>
        </w:tc>
        <w:tc>
          <w:tcPr>
            <w:tcW w:w="587" w:type="pct"/>
          </w:tcPr>
          <w:p w14:paraId="120C6412" w14:textId="77777777" w:rsidR="00AD1F54" w:rsidRPr="00264D5D" w:rsidRDefault="00941227">
            <w:pPr>
              <w:pStyle w:val="GOSTTablenorm"/>
            </w:pPr>
            <w:r w:rsidRPr="00264D5D">
              <w:t>Т(1-2000)</w:t>
            </w:r>
          </w:p>
        </w:tc>
        <w:tc>
          <w:tcPr>
            <w:tcW w:w="293" w:type="pct"/>
          </w:tcPr>
          <w:p w14:paraId="0067B7C5" w14:textId="77777777" w:rsidR="00AD1F54" w:rsidRPr="00264D5D" w:rsidRDefault="00941227">
            <w:pPr>
              <w:pStyle w:val="GOSTTablenorm"/>
              <w:jc w:val="center"/>
            </w:pPr>
            <w:r w:rsidRPr="00264D5D">
              <w:t>О</w:t>
            </w:r>
          </w:p>
        </w:tc>
        <w:tc>
          <w:tcPr>
            <w:tcW w:w="2058" w:type="pct"/>
          </w:tcPr>
          <w:p w14:paraId="2601C102" w14:textId="77777777" w:rsidR="00AD1F54" w:rsidRPr="00264D5D" w:rsidRDefault="00941227">
            <w:pPr>
              <w:pStyle w:val="GOSTTablenorm"/>
            </w:pPr>
            <w:r w:rsidRPr="00264D5D">
              <w:t>Наименование клиента в с</w:t>
            </w:r>
            <w:r w:rsidR="007E4E7F" w:rsidRPr="00264D5D">
              <w:t>оответствии со Сводным реестром</w:t>
            </w:r>
          </w:p>
        </w:tc>
      </w:tr>
      <w:tr w:rsidR="00AD1F54" w:rsidRPr="00264D5D" w14:paraId="7ED18763"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7FE1A5FA" w14:textId="77777777" w:rsidR="00AD1F54" w:rsidRPr="00264D5D" w:rsidRDefault="00941227">
            <w:pPr>
              <w:pStyle w:val="GOSTTablenorm"/>
            </w:pPr>
            <w:r w:rsidRPr="00264D5D">
              <w:t>Номер лицевого счета</w:t>
            </w:r>
          </w:p>
        </w:tc>
        <w:tc>
          <w:tcPr>
            <w:tcW w:w="884" w:type="pct"/>
          </w:tcPr>
          <w:p w14:paraId="0EA97211" w14:textId="77777777" w:rsidR="00AD1F54" w:rsidRPr="00264D5D" w:rsidRDefault="00941227">
            <w:pPr>
              <w:pStyle w:val="GOSTTablenorm"/>
            </w:pPr>
            <w:r w:rsidRPr="00264D5D">
              <w:t>AcntNmbr</w:t>
            </w:r>
          </w:p>
        </w:tc>
        <w:tc>
          <w:tcPr>
            <w:tcW w:w="294" w:type="pct"/>
          </w:tcPr>
          <w:p w14:paraId="1589AE9A" w14:textId="77777777" w:rsidR="00AD1F54" w:rsidRPr="00264D5D" w:rsidRDefault="00941227">
            <w:pPr>
              <w:pStyle w:val="GOSTTablenorm"/>
              <w:jc w:val="center"/>
            </w:pPr>
            <w:r w:rsidRPr="00264D5D">
              <w:t>П</w:t>
            </w:r>
          </w:p>
        </w:tc>
        <w:tc>
          <w:tcPr>
            <w:tcW w:w="587" w:type="pct"/>
          </w:tcPr>
          <w:p w14:paraId="5DFBF4CE" w14:textId="77777777" w:rsidR="00AD1F54" w:rsidRPr="00264D5D" w:rsidRDefault="00941227">
            <w:pPr>
              <w:pStyle w:val="GOSTTablenorm"/>
            </w:pPr>
            <w:r w:rsidRPr="00264D5D">
              <w:t>Т(11)</w:t>
            </w:r>
          </w:p>
        </w:tc>
        <w:tc>
          <w:tcPr>
            <w:tcW w:w="293" w:type="pct"/>
          </w:tcPr>
          <w:p w14:paraId="25EB58C8" w14:textId="77777777" w:rsidR="00AD1F54" w:rsidRPr="00264D5D" w:rsidRDefault="00941227">
            <w:pPr>
              <w:pStyle w:val="GOSTTablenorm"/>
              <w:jc w:val="center"/>
            </w:pPr>
            <w:r w:rsidRPr="00264D5D">
              <w:t>О</w:t>
            </w:r>
          </w:p>
        </w:tc>
        <w:tc>
          <w:tcPr>
            <w:tcW w:w="2058" w:type="pct"/>
          </w:tcPr>
          <w:p w14:paraId="50B9B13E" w14:textId="77777777" w:rsidR="00AD1F54" w:rsidRPr="00264D5D" w:rsidRDefault="007E4E7F">
            <w:pPr>
              <w:pStyle w:val="GOSTTablenorm"/>
            </w:pPr>
            <w:r w:rsidRPr="00264D5D">
              <w:t>Номер л/с клиента</w:t>
            </w:r>
          </w:p>
        </w:tc>
      </w:tr>
      <w:tr w:rsidR="00AD1F54" w:rsidRPr="00264D5D" w14:paraId="3DDDBADB"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3" w:type="pct"/>
          </w:tcPr>
          <w:p w14:paraId="4743E86F" w14:textId="77777777" w:rsidR="00AD1F54" w:rsidRPr="00264D5D" w:rsidRDefault="00941227">
            <w:pPr>
              <w:pStyle w:val="GOSTTablenorm"/>
            </w:pPr>
            <w:r w:rsidRPr="00264D5D">
              <w:t>КПП клиента</w:t>
            </w:r>
          </w:p>
        </w:tc>
        <w:tc>
          <w:tcPr>
            <w:tcW w:w="884" w:type="pct"/>
          </w:tcPr>
          <w:p w14:paraId="1338D3C0" w14:textId="77777777" w:rsidR="00AD1F54" w:rsidRPr="00264D5D" w:rsidRDefault="00941227">
            <w:pPr>
              <w:pStyle w:val="GOSTTablenorm"/>
            </w:pPr>
            <w:r w:rsidRPr="00264D5D">
              <w:t>KPP</w:t>
            </w:r>
          </w:p>
        </w:tc>
        <w:tc>
          <w:tcPr>
            <w:tcW w:w="294" w:type="pct"/>
          </w:tcPr>
          <w:p w14:paraId="06203609" w14:textId="77777777" w:rsidR="00AD1F54" w:rsidRPr="00264D5D" w:rsidRDefault="00941227">
            <w:pPr>
              <w:pStyle w:val="GOSTTablenorm"/>
              <w:jc w:val="center"/>
            </w:pPr>
            <w:r w:rsidRPr="00264D5D">
              <w:t>П</w:t>
            </w:r>
          </w:p>
        </w:tc>
        <w:tc>
          <w:tcPr>
            <w:tcW w:w="587" w:type="pct"/>
          </w:tcPr>
          <w:p w14:paraId="1CC59D1C" w14:textId="77777777" w:rsidR="00AD1F54" w:rsidRPr="00264D5D" w:rsidRDefault="00941227">
            <w:pPr>
              <w:pStyle w:val="GOSTTablenorm"/>
            </w:pPr>
            <w:r w:rsidRPr="00264D5D">
              <w:t>Т(1-9)</w:t>
            </w:r>
          </w:p>
        </w:tc>
        <w:tc>
          <w:tcPr>
            <w:tcW w:w="293" w:type="pct"/>
          </w:tcPr>
          <w:p w14:paraId="64290A98" w14:textId="77777777" w:rsidR="00AD1F54" w:rsidRPr="00264D5D" w:rsidRDefault="00941227">
            <w:pPr>
              <w:pStyle w:val="GOSTTablenorm"/>
              <w:jc w:val="center"/>
            </w:pPr>
            <w:r w:rsidRPr="00264D5D">
              <w:t>Н</w:t>
            </w:r>
          </w:p>
        </w:tc>
        <w:tc>
          <w:tcPr>
            <w:tcW w:w="2058" w:type="pct"/>
          </w:tcPr>
          <w:p w14:paraId="158857BE" w14:textId="77777777" w:rsidR="00AD1F54" w:rsidRPr="00264D5D" w:rsidRDefault="00941227">
            <w:pPr>
              <w:pStyle w:val="GOSTTablenorm"/>
            </w:pPr>
            <w:r w:rsidRPr="00264D5D">
              <w:t>КПП клиента.</w:t>
            </w:r>
          </w:p>
          <w:p w14:paraId="2A9AC46E" w14:textId="77777777" w:rsidR="00AD1F54" w:rsidRPr="00264D5D" w:rsidRDefault="00941227">
            <w:pPr>
              <w:pStyle w:val="GOSTTablenorm"/>
            </w:pPr>
            <w:r w:rsidRPr="00264D5D">
              <w:t>Поле заполняется в случаях, предусмотренных НПА*.</w:t>
            </w:r>
          </w:p>
          <w:p w14:paraId="0E6E707A" w14:textId="77777777" w:rsidR="00AD1F54" w:rsidRPr="00264D5D" w:rsidRDefault="00941227">
            <w:pPr>
              <w:pStyle w:val="GOSTTablenorm"/>
            </w:pPr>
            <w:r w:rsidRPr="00264D5D">
              <w:t>Указывается значение «0» при перечисл</w:t>
            </w:r>
            <w:r w:rsidR="007E4E7F" w:rsidRPr="00264D5D">
              <w:t>ении платежа за физическое лицо</w:t>
            </w:r>
          </w:p>
        </w:tc>
      </w:tr>
    </w:tbl>
    <w:p w14:paraId="7E5648C9" w14:textId="77777777" w:rsidR="00AD1F54" w:rsidRPr="00264D5D" w:rsidRDefault="00941227">
      <w:pPr>
        <w:pStyle w:val="GOSTTablenorm"/>
        <w:rPr>
          <w:sz w:val="20"/>
        </w:rPr>
      </w:pPr>
      <w:r w:rsidRPr="00264D5D">
        <w:rPr>
          <w:sz w:val="20"/>
        </w:rPr>
        <w:t>* – Заполнение поля регламентируется приказом Федерального казначейства от 14.05.2020 г. N 21н «О поря</w:t>
      </w:r>
      <w:r w:rsidR="007E4E7F" w:rsidRPr="00264D5D">
        <w:rPr>
          <w:sz w:val="20"/>
        </w:rPr>
        <w:t>дке казначейского обслуживания»</w:t>
      </w:r>
    </w:p>
    <w:p w14:paraId="4F333012" w14:textId="77777777" w:rsidR="00AD1F54" w:rsidRPr="00264D5D" w:rsidRDefault="00941227">
      <w:pPr>
        <w:pStyle w:val="31"/>
      </w:pPr>
      <w:bookmarkStart w:id="963" w:name="_Toc528144528"/>
      <w:bookmarkStart w:id="964" w:name="_Toc528584513"/>
      <w:bookmarkStart w:id="965" w:name="_Toc18509246"/>
      <w:bookmarkStart w:id="966" w:name="_Toc219309521"/>
      <w:bookmarkEnd w:id="963"/>
      <w:bookmarkEnd w:id="964"/>
      <w:r w:rsidRPr="00264D5D">
        <w:t>Описание комплексного типа «tMSC_Orgnztn5»</w:t>
      </w:r>
      <w:bookmarkEnd w:id="965"/>
      <w:bookmarkEnd w:id="966"/>
    </w:p>
    <w:p w14:paraId="79C7EF7D" w14:textId="77777777" w:rsidR="00AD1F54" w:rsidRPr="00264D5D" w:rsidRDefault="00941227">
      <w:pPr>
        <w:pStyle w:val="GOSTNormal"/>
      </w:pPr>
      <w:r w:rsidRPr="00264D5D">
        <w:t>Описание комплексного типа «tMSC_Orgnztn5» блока «Организация».</w:t>
      </w:r>
    </w:p>
    <w:p w14:paraId="063B7D28" w14:textId="20F0EFAF"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967" w:name="_Ref526861118"/>
      <w:bookmarkStart w:id="968" w:name="_Toc18509533"/>
      <w:bookmarkStart w:id="969" w:name="_Toc219309111"/>
      <w:r w:rsidR="008D797C">
        <w:rPr>
          <w:noProof/>
        </w:rPr>
        <w:t>81</w:t>
      </w:r>
      <w:bookmarkEnd w:id="967"/>
      <w:r w:rsidRPr="00264D5D">
        <w:fldChar w:fldCharType="end"/>
      </w:r>
      <w:r w:rsidRPr="00264D5D">
        <w:t xml:space="preserve"> – Описание комплексного типа «tMSC_Orgnztn5»</w:t>
      </w:r>
      <w:bookmarkEnd w:id="968"/>
      <w:bookmarkEnd w:id="969"/>
    </w:p>
    <w:tbl>
      <w:tblPr>
        <w:tblStyle w:val="GOSTTable"/>
        <w:tblW w:w="5000" w:type="pct"/>
        <w:tblLayout w:type="fixed"/>
        <w:tblLook w:val="01E0" w:firstRow="1" w:lastRow="1" w:firstColumn="1" w:lastColumn="1" w:noHBand="0" w:noVBand="0"/>
      </w:tblPr>
      <w:tblGrid>
        <w:gridCol w:w="1704"/>
        <w:gridCol w:w="1702"/>
        <w:gridCol w:w="568"/>
        <w:gridCol w:w="1135"/>
        <w:gridCol w:w="568"/>
        <w:gridCol w:w="3973"/>
      </w:tblGrid>
      <w:tr w:rsidR="00AD1F54" w:rsidRPr="00264D5D" w14:paraId="563A7082"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3" w:type="dxa"/>
          </w:tcPr>
          <w:p w14:paraId="333D2CFE" w14:textId="77777777" w:rsidR="00AD1F54" w:rsidRPr="00264D5D" w:rsidRDefault="00941227">
            <w:pPr>
              <w:pStyle w:val="ASFKTableHead"/>
            </w:pPr>
            <w:r w:rsidRPr="00264D5D">
              <w:t>Наименование элемента</w:t>
            </w:r>
          </w:p>
        </w:tc>
        <w:tc>
          <w:tcPr>
            <w:tcW w:w="1701" w:type="dxa"/>
          </w:tcPr>
          <w:p w14:paraId="4CF3CE5C" w14:textId="77777777" w:rsidR="00AD1F54" w:rsidRPr="00264D5D" w:rsidRDefault="00941227">
            <w:pPr>
              <w:pStyle w:val="ASFKTableHead"/>
            </w:pPr>
            <w:r w:rsidRPr="00264D5D">
              <w:t>Сокращенное наименование (код) элемента</w:t>
            </w:r>
          </w:p>
        </w:tc>
        <w:tc>
          <w:tcPr>
            <w:tcW w:w="567" w:type="dxa"/>
          </w:tcPr>
          <w:p w14:paraId="40408134" w14:textId="77777777" w:rsidR="00AD1F54" w:rsidRPr="00264D5D" w:rsidRDefault="00941227">
            <w:pPr>
              <w:pStyle w:val="ASFKTableHead"/>
            </w:pPr>
            <w:r w:rsidRPr="00264D5D">
              <w:t>Тип</w:t>
            </w:r>
          </w:p>
        </w:tc>
        <w:tc>
          <w:tcPr>
            <w:tcW w:w="1134" w:type="dxa"/>
          </w:tcPr>
          <w:p w14:paraId="05A9834F" w14:textId="77777777" w:rsidR="00AD1F54" w:rsidRPr="00264D5D" w:rsidRDefault="00941227">
            <w:pPr>
              <w:pStyle w:val="ASFKTableHead"/>
            </w:pPr>
            <w:r w:rsidRPr="00264D5D">
              <w:t>Формат элемента</w:t>
            </w:r>
          </w:p>
        </w:tc>
        <w:tc>
          <w:tcPr>
            <w:tcW w:w="567" w:type="dxa"/>
          </w:tcPr>
          <w:p w14:paraId="531F11E4" w14:textId="77777777" w:rsidR="00AD1F54" w:rsidRPr="00264D5D" w:rsidRDefault="00941227">
            <w:pPr>
              <w:pStyle w:val="ASFKTableHead"/>
            </w:pPr>
            <w:r w:rsidRPr="00264D5D">
              <w:t>Обязательность</w:t>
            </w:r>
          </w:p>
        </w:tc>
        <w:tc>
          <w:tcPr>
            <w:tcW w:w="3969" w:type="dxa"/>
          </w:tcPr>
          <w:p w14:paraId="69FE2766" w14:textId="77777777" w:rsidR="00AD1F54" w:rsidRPr="00264D5D" w:rsidRDefault="00941227">
            <w:pPr>
              <w:pStyle w:val="ASFKTableHead"/>
            </w:pPr>
            <w:r w:rsidRPr="00264D5D">
              <w:t>Дополнительная информация</w:t>
            </w:r>
          </w:p>
        </w:tc>
      </w:tr>
      <w:tr w:rsidR="00AD1F54" w:rsidRPr="00264D5D" w14:paraId="6ED2B88E" w14:textId="77777777" w:rsidTr="00AD1F54">
        <w:trPr>
          <w:cnfStyle w:val="000000100000" w:firstRow="0" w:lastRow="0" w:firstColumn="0" w:lastColumn="0" w:oddVBand="0" w:evenVBand="0" w:oddHBand="1" w:evenHBand="0" w:firstRowFirstColumn="0" w:firstRowLastColumn="0" w:lastRowFirstColumn="0" w:lastRowLastColumn="0"/>
        </w:trPr>
        <w:tc>
          <w:tcPr>
            <w:tcW w:w="1703" w:type="dxa"/>
          </w:tcPr>
          <w:p w14:paraId="1AFB201E" w14:textId="77777777" w:rsidR="00AD1F54" w:rsidRPr="00264D5D" w:rsidRDefault="00941227">
            <w:pPr>
              <w:pStyle w:val="GOSTTablenorm"/>
            </w:pPr>
            <w:r w:rsidRPr="00264D5D">
              <w:t>Информация об органе ФК</w:t>
            </w:r>
          </w:p>
        </w:tc>
        <w:tc>
          <w:tcPr>
            <w:tcW w:w="1701" w:type="dxa"/>
          </w:tcPr>
          <w:p w14:paraId="2F0BE02A" w14:textId="77777777" w:rsidR="00AD1F54" w:rsidRPr="00264D5D" w:rsidRDefault="00941227">
            <w:pPr>
              <w:pStyle w:val="GOSTTablenorm"/>
            </w:pPr>
            <w:r w:rsidRPr="00264D5D">
              <w:t>MSC_OrFK</w:t>
            </w:r>
          </w:p>
        </w:tc>
        <w:tc>
          <w:tcPr>
            <w:tcW w:w="567" w:type="dxa"/>
          </w:tcPr>
          <w:p w14:paraId="75A366BF" w14:textId="77777777" w:rsidR="00AD1F54" w:rsidRPr="00264D5D" w:rsidRDefault="00941227">
            <w:pPr>
              <w:pStyle w:val="GOSTTablenorm"/>
              <w:jc w:val="center"/>
            </w:pPr>
            <w:r w:rsidRPr="00264D5D">
              <w:t>С</w:t>
            </w:r>
          </w:p>
        </w:tc>
        <w:tc>
          <w:tcPr>
            <w:tcW w:w="1134" w:type="dxa"/>
          </w:tcPr>
          <w:p w14:paraId="18A9B622" w14:textId="77777777" w:rsidR="00AD1F54" w:rsidRPr="00264D5D" w:rsidRDefault="00941227">
            <w:pPr>
              <w:pStyle w:val="GOSTTablenorm"/>
            </w:pPr>
            <w:r w:rsidRPr="00264D5D">
              <w:t>tMSC_TOFK</w:t>
            </w:r>
          </w:p>
        </w:tc>
        <w:tc>
          <w:tcPr>
            <w:tcW w:w="567" w:type="dxa"/>
          </w:tcPr>
          <w:p w14:paraId="41BCFCDC" w14:textId="77777777" w:rsidR="00AD1F54" w:rsidRPr="00264D5D" w:rsidRDefault="00941227">
            <w:pPr>
              <w:pStyle w:val="GOSTTablenorm"/>
              <w:jc w:val="center"/>
            </w:pPr>
            <w:r w:rsidRPr="00264D5D">
              <w:t>О</w:t>
            </w:r>
          </w:p>
        </w:tc>
        <w:tc>
          <w:tcPr>
            <w:tcW w:w="3969" w:type="dxa"/>
          </w:tcPr>
          <w:p w14:paraId="0A3D5AD8" w14:textId="5155F0D9" w:rsidR="00AD1F54" w:rsidRPr="00264D5D" w:rsidRDefault="00941227">
            <w:pPr>
              <w:pStyle w:val="GOSTTablenorm"/>
            </w:pPr>
            <w:r w:rsidRPr="00264D5D">
              <w:t xml:space="preserve">Состав элемента представлен в таблице </w:t>
            </w:r>
            <w:r w:rsidRPr="00264D5D">
              <w:rPr>
                <w:b/>
              </w:rPr>
              <w:fldChar w:fldCharType="begin"/>
            </w:r>
            <w:r w:rsidRPr="00264D5D">
              <w:rPr>
                <w:b/>
              </w:rPr>
              <w:instrText xml:space="preserve"> REF _Ref524614769 \h  \* MERGEFORMAT </w:instrText>
            </w:r>
            <w:r w:rsidRPr="00264D5D">
              <w:rPr>
                <w:b/>
              </w:rPr>
            </w:r>
            <w:r w:rsidRPr="00264D5D">
              <w:rPr>
                <w:b/>
              </w:rPr>
              <w:fldChar w:fldCharType="separate"/>
            </w:r>
            <w:r w:rsidR="008D797C" w:rsidRPr="008D797C">
              <w:rPr>
                <w:b/>
              </w:rPr>
              <w:t>53</w:t>
            </w:r>
            <w:r w:rsidRPr="00264D5D">
              <w:rPr>
                <w:b/>
              </w:rPr>
              <w:fldChar w:fldCharType="end"/>
            </w:r>
          </w:p>
        </w:tc>
      </w:tr>
      <w:tr w:rsidR="00AD1F54" w:rsidRPr="00264D5D" w14:paraId="620F3EA8" w14:textId="77777777" w:rsidTr="00AD1F54">
        <w:trPr>
          <w:cnfStyle w:val="000000010000" w:firstRow="0" w:lastRow="0" w:firstColumn="0" w:lastColumn="0" w:oddVBand="0" w:evenVBand="0" w:oddHBand="0" w:evenHBand="1" w:firstRowFirstColumn="0" w:firstRowLastColumn="0" w:lastRowFirstColumn="0" w:lastRowLastColumn="0"/>
        </w:trPr>
        <w:tc>
          <w:tcPr>
            <w:tcW w:w="1703" w:type="dxa"/>
          </w:tcPr>
          <w:p w14:paraId="24FF003F" w14:textId="77777777" w:rsidR="00AD1F54" w:rsidRPr="00264D5D" w:rsidRDefault="00941227">
            <w:pPr>
              <w:pStyle w:val="GOSTTablenorm"/>
            </w:pPr>
            <w:r w:rsidRPr="00264D5D">
              <w:t>Наименование бюджета</w:t>
            </w:r>
          </w:p>
        </w:tc>
        <w:tc>
          <w:tcPr>
            <w:tcW w:w="1701" w:type="dxa"/>
          </w:tcPr>
          <w:p w14:paraId="65B930A6" w14:textId="77777777" w:rsidR="00AD1F54" w:rsidRPr="00264D5D" w:rsidRDefault="00941227">
            <w:pPr>
              <w:pStyle w:val="GOSTTablenorm"/>
            </w:pPr>
            <w:r w:rsidRPr="00264D5D">
              <w:rPr>
                <w:lang w:val="en-US"/>
              </w:rPr>
              <w:t>Nm</w:t>
            </w:r>
            <w:r w:rsidRPr="00264D5D">
              <w:t>Bdgt</w:t>
            </w:r>
          </w:p>
        </w:tc>
        <w:tc>
          <w:tcPr>
            <w:tcW w:w="567" w:type="dxa"/>
          </w:tcPr>
          <w:p w14:paraId="0C8C4040" w14:textId="77777777" w:rsidR="00AD1F54" w:rsidRPr="00264D5D" w:rsidRDefault="00941227">
            <w:pPr>
              <w:pStyle w:val="GOSTTablenorm"/>
              <w:jc w:val="center"/>
            </w:pPr>
            <w:r w:rsidRPr="00264D5D">
              <w:t>П</w:t>
            </w:r>
          </w:p>
        </w:tc>
        <w:tc>
          <w:tcPr>
            <w:tcW w:w="1134" w:type="dxa"/>
          </w:tcPr>
          <w:p w14:paraId="7B8998F5" w14:textId="77777777" w:rsidR="00AD1F54" w:rsidRPr="00264D5D" w:rsidRDefault="00941227">
            <w:pPr>
              <w:pStyle w:val="GOSTTablenorm"/>
            </w:pPr>
            <w:r w:rsidRPr="00264D5D">
              <w:t>Т(1-512)</w:t>
            </w:r>
          </w:p>
        </w:tc>
        <w:tc>
          <w:tcPr>
            <w:tcW w:w="567" w:type="dxa"/>
          </w:tcPr>
          <w:p w14:paraId="68BDFAAB" w14:textId="77777777" w:rsidR="00AD1F54" w:rsidRPr="00264D5D" w:rsidRDefault="00941227">
            <w:pPr>
              <w:pStyle w:val="GOSTTablenorm"/>
              <w:jc w:val="center"/>
            </w:pPr>
            <w:r w:rsidRPr="00264D5D">
              <w:t>Н</w:t>
            </w:r>
          </w:p>
        </w:tc>
        <w:tc>
          <w:tcPr>
            <w:tcW w:w="3969" w:type="dxa"/>
          </w:tcPr>
          <w:p w14:paraId="5B466223" w14:textId="77777777" w:rsidR="00AD1F54" w:rsidRPr="00264D5D" w:rsidRDefault="00941227">
            <w:pPr>
              <w:pStyle w:val="GOSTTablenorm"/>
            </w:pPr>
            <w:r w:rsidRPr="00264D5D">
              <w:t>Для УБП федерального уровня указывается «Федеральный бюджет».</w:t>
            </w:r>
          </w:p>
          <w:p w14:paraId="362FC7C2" w14:textId="77777777" w:rsidR="00AD1F54" w:rsidRPr="00264D5D" w:rsidRDefault="00B31FB3">
            <w:pPr>
              <w:pStyle w:val="GOSTTablenorm"/>
            </w:pPr>
            <w:r w:rsidRPr="00264D5D">
              <w:t>Не указывается для АУ, БУ</w:t>
            </w:r>
          </w:p>
        </w:tc>
      </w:tr>
    </w:tbl>
    <w:p w14:paraId="7DE3A36C" w14:textId="77777777" w:rsidR="00AD1F54" w:rsidRPr="00264D5D" w:rsidRDefault="00941227">
      <w:pPr>
        <w:pStyle w:val="31"/>
      </w:pPr>
      <w:bookmarkStart w:id="970" w:name="_Toc528144566"/>
      <w:bookmarkStart w:id="971" w:name="_Toc528584551"/>
      <w:bookmarkStart w:id="972" w:name="_Toc18509247"/>
      <w:bookmarkStart w:id="973" w:name="_Toc219309522"/>
      <w:bookmarkEnd w:id="970"/>
      <w:bookmarkEnd w:id="971"/>
      <w:r w:rsidRPr="00264D5D">
        <w:t>Описание комплексного типа «tMSC_Cntrctr1»</w:t>
      </w:r>
      <w:bookmarkEnd w:id="972"/>
      <w:bookmarkEnd w:id="973"/>
    </w:p>
    <w:p w14:paraId="210151C2" w14:textId="77777777" w:rsidR="00AD1F54" w:rsidRPr="00264D5D" w:rsidRDefault="00941227">
      <w:pPr>
        <w:pStyle w:val="GOSTNormal"/>
      </w:pPr>
      <w:r w:rsidRPr="00264D5D">
        <w:t>Описание комплексного типа «tMSC_Cntrctr1» блока «Контрагент».</w:t>
      </w:r>
    </w:p>
    <w:p w14:paraId="4AAA4C21" w14:textId="3C04D9AE"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974" w:name="_Ref526861287"/>
      <w:bookmarkStart w:id="975" w:name="_Toc18509534"/>
      <w:bookmarkStart w:id="976" w:name="_Toc219309112"/>
      <w:r w:rsidR="008D797C">
        <w:rPr>
          <w:noProof/>
        </w:rPr>
        <w:t>82</w:t>
      </w:r>
      <w:bookmarkEnd w:id="974"/>
      <w:r w:rsidRPr="00264D5D">
        <w:fldChar w:fldCharType="end"/>
      </w:r>
      <w:r w:rsidRPr="00264D5D">
        <w:t xml:space="preserve"> – Описание комплексного типа «tMSC_Cntrctr1»</w:t>
      </w:r>
      <w:bookmarkEnd w:id="975"/>
      <w:bookmarkEnd w:id="976"/>
    </w:p>
    <w:tbl>
      <w:tblPr>
        <w:tblStyle w:val="GOSTTable"/>
        <w:tblW w:w="5000" w:type="pct"/>
        <w:tblLayout w:type="fixed"/>
        <w:tblLook w:val="04A0" w:firstRow="1" w:lastRow="0" w:firstColumn="1" w:lastColumn="0" w:noHBand="0" w:noVBand="1"/>
      </w:tblPr>
      <w:tblGrid>
        <w:gridCol w:w="1705"/>
        <w:gridCol w:w="1704"/>
        <w:gridCol w:w="567"/>
        <w:gridCol w:w="1137"/>
        <w:gridCol w:w="567"/>
        <w:gridCol w:w="3970"/>
      </w:tblGrid>
      <w:tr w:rsidR="00AD1F54" w:rsidRPr="00264D5D" w14:paraId="06B9ABB5"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3" w:type="pct"/>
          </w:tcPr>
          <w:p w14:paraId="023760DD" w14:textId="77777777" w:rsidR="00AD1F54" w:rsidRPr="00264D5D" w:rsidRDefault="00941227">
            <w:pPr>
              <w:pStyle w:val="ASFKTableHead"/>
            </w:pPr>
            <w:r w:rsidRPr="00264D5D">
              <w:t>Наименование элемента</w:t>
            </w:r>
          </w:p>
        </w:tc>
        <w:tc>
          <w:tcPr>
            <w:tcW w:w="883" w:type="pct"/>
          </w:tcPr>
          <w:p w14:paraId="218BADB8" w14:textId="77777777" w:rsidR="00AD1F54" w:rsidRPr="00264D5D" w:rsidRDefault="00941227">
            <w:pPr>
              <w:pStyle w:val="ASFKTableHead"/>
            </w:pPr>
            <w:r w:rsidRPr="00264D5D">
              <w:t>Сокращенное наименование (код) элемента</w:t>
            </w:r>
          </w:p>
        </w:tc>
        <w:tc>
          <w:tcPr>
            <w:tcW w:w="294" w:type="pct"/>
          </w:tcPr>
          <w:p w14:paraId="06941E80" w14:textId="77777777" w:rsidR="00AD1F54" w:rsidRPr="00264D5D" w:rsidRDefault="00941227">
            <w:pPr>
              <w:pStyle w:val="ASFKTableHead"/>
            </w:pPr>
            <w:r w:rsidRPr="00264D5D">
              <w:t>Тип</w:t>
            </w:r>
          </w:p>
        </w:tc>
        <w:tc>
          <w:tcPr>
            <w:tcW w:w="589" w:type="pct"/>
          </w:tcPr>
          <w:p w14:paraId="7B62D6E2" w14:textId="77777777" w:rsidR="00AD1F54" w:rsidRPr="00264D5D" w:rsidRDefault="00941227">
            <w:pPr>
              <w:pStyle w:val="ASFKTableHead"/>
            </w:pPr>
            <w:r w:rsidRPr="00264D5D">
              <w:t>Формат элемента</w:t>
            </w:r>
          </w:p>
        </w:tc>
        <w:tc>
          <w:tcPr>
            <w:tcW w:w="294" w:type="pct"/>
          </w:tcPr>
          <w:p w14:paraId="19DA99C2" w14:textId="77777777" w:rsidR="00AD1F54" w:rsidRPr="00264D5D" w:rsidRDefault="00941227">
            <w:pPr>
              <w:pStyle w:val="ASFKTableHead"/>
            </w:pPr>
            <w:r w:rsidRPr="00264D5D">
              <w:t>Обязательность</w:t>
            </w:r>
          </w:p>
        </w:tc>
        <w:tc>
          <w:tcPr>
            <w:tcW w:w="2057" w:type="pct"/>
          </w:tcPr>
          <w:p w14:paraId="7249727A" w14:textId="77777777" w:rsidR="00AD1F54" w:rsidRPr="00264D5D" w:rsidRDefault="00941227">
            <w:pPr>
              <w:pStyle w:val="ASFKTableHead"/>
            </w:pPr>
            <w:r w:rsidRPr="00264D5D">
              <w:t>Дополнительная информация</w:t>
            </w:r>
          </w:p>
        </w:tc>
      </w:tr>
      <w:tr w:rsidR="00AD1F54" w:rsidRPr="00264D5D" w14:paraId="5FED40B6"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1BFCFC1F" w14:textId="77777777" w:rsidR="00AD1F54" w:rsidRPr="00264D5D" w:rsidRDefault="00941227">
            <w:pPr>
              <w:pStyle w:val="GOSTTablenorm"/>
              <w:rPr>
                <w:szCs w:val="22"/>
              </w:rPr>
            </w:pPr>
            <w:r w:rsidRPr="00264D5D">
              <w:rPr>
                <w:szCs w:val="22"/>
              </w:rPr>
              <w:t>Наименование/ФИО контрагента</w:t>
            </w:r>
          </w:p>
        </w:tc>
        <w:tc>
          <w:tcPr>
            <w:tcW w:w="883" w:type="pct"/>
          </w:tcPr>
          <w:p w14:paraId="53610209" w14:textId="77777777" w:rsidR="00AD1F54" w:rsidRPr="00264D5D" w:rsidRDefault="00941227">
            <w:pPr>
              <w:pStyle w:val="GOSTTablenorm"/>
              <w:rPr>
                <w:szCs w:val="22"/>
              </w:rPr>
            </w:pPr>
            <w:r w:rsidRPr="00264D5D">
              <w:rPr>
                <w:szCs w:val="22"/>
              </w:rPr>
              <w:t>Nm</w:t>
            </w:r>
          </w:p>
        </w:tc>
        <w:tc>
          <w:tcPr>
            <w:tcW w:w="294" w:type="pct"/>
          </w:tcPr>
          <w:p w14:paraId="4B97E5C4" w14:textId="77777777" w:rsidR="00AD1F54" w:rsidRPr="00264D5D" w:rsidRDefault="00941227">
            <w:pPr>
              <w:pStyle w:val="GOSTTablenorm"/>
              <w:jc w:val="center"/>
              <w:rPr>
                <w:szCs w:val="22"/>
              </w:rPr>
            </w:pPr>
            <w:r w:rsidRPr="00264D5D">
              <w:rPr>
                <w:szCs w:val="22"/>
              </w:rPr>
              <w:t>П</w:t>
            </w:r>
          </w:p>
        </w:tc>
        <w:tc>
          <w:tcPr>
            <w:tcW w:w="589" w:type="pct"/>
          </w:tcPr>
          <w:p w14:paraId="1D566985" w14:textId="77777777" w:rsidR="00AD1F54" w:rsidRPr="00264D5D" w:rsidRDefault="00941227">
            <w:pPr>
              <w:pStyle w:val="GOSTTablenorm"/>
              <w:rPr>
                <w:szCs w:val="22"/>
              </w:rPr>
            </w:pPr>
            <w:r w:rsidRPr="00264D5D">
              <w:rPr>
                <w:szCs w:val="22"/>
              </w:rPr>
              <w:t>Т(1-160)</w:t>
            </w:r>
          </w:p>
        </w:tc>
        <w:tc>
          <w:tcPr>
            <w:tcW w:w="294" w:type="pct"/>
          </w:tcPr>
          <w:p w14:paraId="171ADA93" w14:textId="77777777" w:rsidR="00AD1F54" w:rsidRPr="00264D5D" w:rsidRDefault="00941227">
            <w:pPr>
              <w:pStyle w:val="GOSTTablenorm"/>
              <w:jc w:val="center"/>
              <w:rPr>
                <w:szCs w:val="22"/>
              </w:rPr>
            </w:pPr>
            <w:r w:rsidRPr="00264D5D">
              <w:rPr>
                <w:szCs w:val="22"/>
              </w:rPr>
              <w:t>О</w:t>
            </w:r>
          </w:p>
        </w:tc>
        <w:tc>
          <w:tcPr>
            <w:tcW w:w="2057" w:type="pct"/>
          </w:tcPr>
          <w:p w14:paraId="7C400946" w14:textId="77777777" w:rsidR="00AD1F54" w:rsidRPr="00264D5D" w:rsidRDefault="00941227">
            <w:pPr>
              <w:pStyle w:val="GOSTTablenorm"/>
              <w:rPr>
                <w:szCs w:val="22"/>
              </w:rPr>
            </w:pPr>
            <w:r w:rsidRPr="00264D5D">
              <w:rPr>
                <w:szCs w:val="22"/>
              </w:rPr>
              <w:t>Наименование (либо фамилия, имя, отчество – для физического лица) контрагента.</w:t>
            </w:r>
          </w:p>
          <w:p w14:paraId="3FB0B465" w14:textId="77777777" w:rsidR="00AD1F54" w:rsidRPr="00264D5D" w:rsidRDefault="00941227">
            <w:pPr>
              <w:pStyle w:val="GOSTTablenorm"/>
              <w:rPr>
                <w:szCs w:val="22"/>
              </w:rPr>
            </w:pPr>
            <w:r w:rsidRPr="00264D5D">
              <w:rPr>
                <w:szCs w:val="22"/>
              </w:rPr>
              <w:t xml:space="preserve">Если счет контрагента открыт ТОФК, и </w:t>
            </w:r>
            <w:r w:rsidRPr="00264D5D">
              <w:rPr>
                <w:szCs w:val="22"/>
              </w:rPr>
              <w:lastRenderedPageBreak/>
              <w:t>счет отправителя не равен счету получателя, то значение указывается в соответствии с требованиями ЦБ России и Минфина России к реквизиту «Наименование получателя» расчетного документа.</w:t>
            </w:r>
          </w:p>
          <w:p w14:paraId="79056B2B" w14:textId="77777777" w:rsidR="00AD1F54" w:rsidRPr="00264D5D" w:rsidRDefault="00941227">
            <w:pPr>
              <w:pStyle w:val="GOSTTablenorm"/>
              <w:rPr>
                <w:szCs w:val="22"/>
              </w:rPr>
            </w:pPr>
            <w:r w:rsidRPr="00264D5D">
              <w:rPr>
                <w:szCs w:val="22"/>
              </w:rPr>
              <w:t xml:space="preserve">Если счет контрагента открыт ТОФК и счет отправителя равен счету получателя, </w:t>
            </w:r>
            <w:r w:rsidR="007E4E7F" w:rsidRPr="00264D5D">
              <w:rPr>
                <w:szCs w:val="22"/>
              </w:rPr>
              <w:t>то указывается наименование УБП</w:t>
            </w:r>
          </w:p>
        </w:tc>
      </w:tr>
      <w:tr w:rsidR="00AD1F54" w:rsidRPr="00264D5D" w14:paraId="61B4597D"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3" w:type="pct"/>
          </w:tcPr>
          <w:p w14:paraId="2BD87C21" w14:textId="77777777" w:rsidR="00AD1F54" w:rsidRPr="00264D5D" w:rsidRDefault="00941227">
            <w:pPr>
              <w:pStyle w:val="GOSTTablenorm"/>
              <w:rPr>
                <w:szCs w:val="22"/>
              </w:rPr>
            </w:pPr>
            <w:r w:rsidRPr="00264D5D">
              <w:rPr>
                <w:szCs w:val="22"/>
              </w:rPr>
              <w:lastRenderedPageBreak/>
              <w:t>ИНН контрагента</w:t>
            </w:r>
          </w:p>
        </w:tc>
        <w:tc>
          <w:tcPr>
            <w:tcW w:w="883" w:type="pct"/>
          </w:tcPr>
          <w:p w14:paraId="2B1EDB0D" w14:textId="77777777" w:rsidR="00AD1F54" w:rsidRPr="00264D5D" w:rsidRDefault="00941227">
            <w:pPr>
              <w:pStyle w:val="GOSTTablenorm"/>
              <w:rPr>
                <w:szCs w:val="22"/>
              </w:rPr>
            </w:pPr>
            <w:r w:rsidRPr="00264D5D">
              <w:rPr>
                <w:szCs w:val="22"/>
              </w:rPr>
              <w:t>INN</w:t>
            </w:r>
          </w:p>
        </w:tc>
        <w:tc>
          <w:tcPr>
            <w:tcW w:w="294" w:type="pct"/>
          </w:tcPr>
          <w:p w14:paraId="59C64C20" w14:textId="77777777" w:rsidR="00AD1F54" w:rsidRPr="00264D5D" w:rsidRDefault="00941227">
            <w:pPr>
              <w:pStyle w:val="GOSTTablenorm"/>
              <w:jc w:val="center"/>
              <w:rPr>
                <w:szCs w:val="22"/>
              </w:rPr>
            </w:pPr>
            <w:r w:rsidRPr="00264D5D">
              <w:rPr>
                <w:szCs w:val="22"/>
              </w:rPr>
              <w:t>П</w:t>
            </w:r>
          </w:p>
        </w:tc>
        <w:tc>
          <w:tcPr>
            <w:tcW w:w="589" w:type="pct"/>
          </w:tcPr>
          <w:p w14:paraId="27634FA1" w14:textId="77777777" w:rsidR="00AD1F54" w:rsidRPr="00264D5D" w:rsidRDefault="00941227">
            <w:pPr>
              <w:pStyle w:val="GOSTTablenorm"/>
              <w:rPr>
                <w:szCs w:val="22"/>
              </w:rPr>
            </w:pPr>
            <w:r w:rsidRPr="00264D5D">
              <w:rPr>
                <w:szCs w:val="22"/>
              </w:rPr>
              <w:t>Т(1-12)</w:t>
            </w:r>
          </w:p>
        </w:tc>
        <w:tc>
          <w:tcPr>
            <w:tcW w:w="294" w:type="pct"/>
          </w:tcPr>
          <w:p w14:paraId="27F28B76" w14:textId="77777777" w:rsidR="00AD1F54" w:rsidRPr="00264D5D" w:rsidRDefault="00941227">
            <w:pPr>
              <w:pStyle w:val="GOSTTablenorm"/>
              <w:jc w:val="center"/>
              <w:rPr>
                <w:szCs w:val="22"/>
              </w:rPr>
            </w:pPr>
            <w:r w:rsidRPr="00264D5D">
              <w:rPr>
                <w:szCs w:val="22"/>
              </w:rPr>
              <w:t>О</w:t>
            </w:r>
          </w:p>
        </w:tc>
        <w:tc>
          <w:tcPr>
            <w:tcW w:w="2057" w:type="pct"/>
          </w:tcPr>
          <w:p w14:paraId="1EDCFBA5" w14:textId="77777777" w:rsidR="00AD1F54" w:rsidRPr="00264D5D" w:rsidRDefault="00941227">
            <w:pPr>
              <w:pStyle w:val="GOSTTablenorm"/>
            </w:pPr>
            <w:r w:rsidRPr="00264D5D">
              <w:t>ИНН контрагента.</w:t>
            </w:r>
          </w:p>
          <w:p w14:paraId="1EAEB140" w14:textId="77777777" w:rsidR="00AD1F54" w:rsidRPr="00264D5D" w:rsidRDefault="00941227">
            <w:pPr>
              <w:pStyle w:val="GOSTTablenorm"/>
            </w:pPr>
            <w:r w:rsidRPr="00264D5D">
              <w:t>При отсутствии у получателя – физического лица ИНН, проставляется значение «0».</w:t>
            </w:r>
          </w:p>
          <w:p w14:paraId="2ED2A297" w14:textId="77777777" w:rsidR="00AD1F54" w:rsidRPr="00264D5D" w:rsidRDefault="00941227">
            <w:pPr>
              <w:pStyle w:val="GOSTTablenorm"/>
              <w:rPr>
                <w:szCs w:val="22"/>
              </w:rPr>
            </w:pPr>
            <w:r w:rsidRPr="00264D5D">
              <w:t>Если указан счет №№ 03100, 03212, 03222; 03232; 03242; 03262; 03272; 03214; 03224; 03234; 03244 или в реквизите «БИК банка контрагента/ТОФК» указан БИК ПБР и при этом счет контрагента соответствует балансовому счету № 40503/40603/40703 с признаком «4» в 14 разряде, № 40204, то длина поля должна быть равна 10 цифрам, при этом первый и второй знаки (цифры) не могут одновременн</w:t>
            </w:r>
            <w:r w:rsidR="007E4E7F" w:rsidRPr="00264D5D">
              <w:t>о принимать значение ноль («0»)</w:t>
            </w:r>
          </w:p>
        </w:tc>
      </w:tr>
      <w:tr w:rsidR="00AD1F54" w:rsidRPr="00264D5D" w14:paraId="1F05AB6F"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5ED9FA0F" w14:textId="77777777" w:rsidR="00AD1F54" w:rsidRPr="00264D5D" w:rsidRDefault="00941227">
            <w:pPr>
              <w:pStyle w:val="GOSTTablenorm"/>
              <w:rPr>
                <w:szCs w:val="22"/>
              </w:rPr>
            </w:pPr>
            <w:r w:rsidRPr="00264D5D">
              <w:rPr>
                <w:szCs w:val="22"/>
              </w:rPr>
              <w:t>КПП контрагента</w:t>
            </w:r>
          </w:p>
        </w:tc>
        <w:tc>
          <w:tcPr>
            <w:tcW w:w="883" w:type="pct"/>
          </w:tcPr>
          <w:p w14:paraId="6B5AEFA2" w14:textId="77777777" w:rsidR="00AD1F54" w:rsidRPr="00264D5D" w:rsidRDefault="00941227">
            <w:pPr>
              <w:pStyle w:val="GOSTTablenorm"/>
              <w:rPr>
                <w:szCs w:val="22"/>
              </w:rPr>
            </w:pPr>
            <w:r w:rsidRPr="00264D5D">
              <w:rPr>
                <w:szCs w:val="22"/>
              </w:rPr>
              <w:t>KPP</w:t>
            </w:r>
          </w:p>
        </w:tc>
        <w:tc>
          <w:tcPr>
            <w:tcW w:w="294" w:type="pct"/>
          </w:tcPr>
          <w:p w14:paraId="1AA8000E" w14:textId="77777777" w:rsidR="00AD1F54" w:rsidRPr="00264D5D" w:rsidRDefault="00941227">
            <w:pPr>
              <w:pStyle w:val="GOSTTablenorm"/>
              <w:jc w:val="center"/>
              <w:rPr>
                <w:szCs w:val="22"/>
              </w:rPr>
            </w:pPr>
            <w:r w:rsidRPr="00264D5D">
              <w:rPr>
                <w:szCs w:val="22"/>
              </w:rPr>
              <w:t>П</w:t>
            </w:r>
          </w:p>
        </w:tc>
        <w:tc>
          <w:tcPr>
            <w:tcW w:w="589" w:type="pct"/>
          </w:tcPr>
          <w:p w14:paraId="3A16E9A2" w14:textId="77777777" w:rsidR="00AD1F54" w:rsidRPr="00264D5D" w:rsidRDefault="00941227">
            <w:pPr>
              <w:pStyle w:val="GOSTTablenorm"/>
              <w:rPr>
                <w:szCs w:val="22"/>
              </w:rPr>
            </w:pPr>
            <w:r w:rsidRPr="00264D5D">
              <w:rPr>
                <w:szCs w:val="22"/>
              </w:rPr>
              <w:t>Т(1-9)</w:t>
            </w:r>
          </w:p>
        </w:tc>
        <w:tc>
          <w:tcPr>
            <w:tcW w:w="294" w:type="pct"/>
          </w:tcPr>
          <w:p w14:paraId="1C0DCFCF" w14:textId="77777777" w:rsidR="00AD1F54" w:rsidRPr="00264D5D" w:rsidRDefault="00941227">
            <w:pPr>
              <w:pStyle w:val="GOSTTablenorm"/>
              <w:jc w:val="center"/>
              <w:rPr>
                <w:szCs w:val="22"/>
              </w:rPr>
            </w:pPr>
            <w:r w:rsidRPr="00264D5D">
              <w:rPr>
                <w:szCs w:val="22"/>
              </w:rPr>
              <w:t>О</w:t>
            </w:r>
          </w:p>
        </w:tc>
        <w:tc>
          <w:tcPr>
            <w:tcW w:w="2057" w:type="pct"/>
          </w:tcPr>
          <w:p w14:paraId="58E9F783" w14:textId="77777777" w:rsidR="00AD1F54" w:rsidRPr="00264D5D" w:rsidRDefault="00941227">
            <w:pPr>
              <w:pStyle w:val="GOSTTablenorm"/>
            </w:pPr>
            <w:r w:rsidRPr="00264D5D">
              <w:t>КПП контрагента. При отсутствии у получателя – физического лица КПП, проставляется значение «0».</w:t>
            </w:r>
          </w:p>
          <w:p w14:paraId="22C94917" w14:textId="77777777" w:rsidR="00AD1F54" w:rsidRPr="00264D5D" w:rsidRDefault="00941227" w:rsidP="00E7460C">
            <w:pPr>
              <w:pStyle w:val="GOSTTablenorm"/>
              <w:numPr>
                <w:ilvl w:val="0"/>
                <w:numId w:val="80"/>
              </w:numPr>
              <w:ind w:left="57" w:hanging="227"/>
              <w:rPr>
                <w:szCs w:val="22"/>
              </w:rPr>
            </w:pPr>
            <w:r w:rsidRPr="00264D5D">
              <w:t xml:space="preserve">Если указан счет №№ 03100, 03212, 03222; 03232; 03242; 03262; 03272; 03214; 03224; 03234; 03244 или в реквизите «БИК банка контрагента/ТОФК» указан БИК ПБР и при этом счет контрагента соответствует балансовому счету № 40503/40603/40703 с признаком «4» в 14 разряде, № 40204, то длина поля должна быть равна 9 символов, при этом первый-четвертый и седьмой-девятый знаки (цифры) должны принимать цифровое значение, пятый и шестой знаки – могут соответствовать цифре или заглавной букве латинского </w:t>
            </w:r>
            <w:r w:rsidRPr="00264D5D">
              <w:lastRenderedPageBreak/>
              <w:t>алфавита, первый и второй знаки (цифры) не могут одновременн</w:t>
            </w:r>
            <w:r w:rsidR="007E4E7F" w:rsidRPr="00264D5D">
              <w:t>о принимать значение ноль («0»)</w:t>
            </w:r>
          </w:p>
        </w:tc>
      </w:tr>
      <w:tr w:rsidR="00AD1F54" w:rsidRPr="00264D5D" w14:paraId="2AB31AC4"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3" w:type="pct"/>
          </w:tcPr>
          <w:p w14:paraId="378E7E04" w14:textId="77777777" w:rsidR="00AD1F54" w:rsidRPr="00264D5D" w:rsidRDefault="00941227">
            <w:pPr>
              <w:pStyle w:val="GOSTTablenorm"/>
              <w:rPr>
                <w:szCs w:val="22"/>
              </w:rPr>
            </w:pPr>
            <w:r w:rsidRPr="00264D5D">
              <w:rPr>
                <w:szCs w:val="22"/>
              </w:rPr>
              <w:lastRenderedPageBreak/>
              <w:t>Банк/ТОФК</w:t>
            </w:r>
          </w:p>
        </w:tc>
        <w:tc>
          <w:tcPr>
            <w:tcW w:w="883" w:type="pct"/>
          </w:tcPr>
          <w:p w14:paraId="70853E3C" w14:textId="77777777" w:rsidR="00AD1F54" w:rsidRPr="00264D5D" w:rsidRDefault="00941227">
            <w:pPr>
              <w:pStyle w:val="GOSTTablenorm"/>
              <w:rPr>
                <w:szCs w:val="22"/>
              </w:rPr>
            </w:pPr>
            <w:r w:rsidRPr="00264D5D">
              <w:rPr>
                <w:szCs w:val="22"/>
              </w:rPr>
              <w:t>MSC_Bnk</w:t>
            </w:r>
          </w:p>
        </w:tc>
        <w:tc>
          <w:tcPr>
            <w:tcW w:w="294" w:type="pct"/>
          </w:tcPr>
          <w:p w14:paraId="42B17B62" w14:textId="77777777" w:rsidR="00AD1F54" w:rsidRPr="00264D5D" w:rsidRDefault="00941227">
            <w:pPr>
              <w:pStyle w:val="GOSTTablenorm"/>
              <w:jc w:val="center"/>
              <w:rPr>
                <w:szCs w:val="22"/>
              </w:rPr>
            </w:pPr>
            <w:r w:rsidRPr="00264D5D">
              <w:rPr>
                <w:szCs w:val="22"/>
              </w:rPr>
              <w:t>С</w:t>
            </w:r>
          </w:p>
        </w:tc>
        <w:tc>
          <w:tcPr>
            <w:tcW w:w="589" w:type="pct"/>
          </w:tcPr>
          <w:p w14:paraId="2DD7348C" w14:textId="77777777" w:rsidR="00AD1F54" w:rsidRPr="00264D5D" w:rsidRDefault="00941227">
            <w:pPr>
              <w:pStyle w:val="GOSTTablenorm"/>
              <w:rPr>
                <w:szCs w:val="22"/>
              </w:rPr>
            </w:pPr>
            <w:r w:rsidRPr="00264D5D">
              <w:rPr>
                <w:szCs w:val="22"/>
              </w:rPr>
              <w:t>tMSC_Bnk</w:t>
            </w:r>
          </w:p>
        </w:tc>
        <w:tc>
          <w:tcPr>
            <w:tcW w:w="294" w:type="pct"/>
          </w:tcPr>
          <w:p w14:paraId="34079F73" w14:textId="77777777" w:rsidR="00AD1F54" w:rsidRPr="00264D5D" w:rsidRDefault="00941227">
            <w:pPr>
              <w:pStyle w:val="GOSTTablenorm"/>
              <w:jc w:val="center"/>
              <w:rPr>
                <w:szCs w:val="22"/>
              </w:rPr>
            </w:pPr>
            <w:r w:rsidRPr="00264D5D">
              <w:rPr>
                <w:szCs w:val="22"/>
              </w:rPr>
              <w:t>О</w:t>
            </w:r>
          </w:p>
        </w:tc>
        <w:tc>
          <w:tcPr>
            <w:tcW w:w="2057" w:type="pct"/>
          </w:tcPr>
          <w:p w14:paraId="237CC849" w14:textId="77777777" w:rsidR="00AD1F54" w:rsidRPr="00264D5D" w:rsidRDefault="00941227">
            <w:pPr>
              <w:pStyle w:val="GOSTTablenorm"/>
              <w:rPr>
                <w:szCs w:val="22"/>
              </w:rPr>
            </w:pPr>
            <w:r w:rsidRPr="00264D5D">
              <w:rPr>
                <w:szCs w:val="22"/>
              </w:rPr>
              <w:t>Информация о данных контрагента.</w:t>
            </w:r>
          </w:p>
          <w:p w14:paraId="051C5344" w14:textId="4C579586" w:rsidR="00AD1F54" w:rsidRPr="00264D5D" w:rsidRDefault="00941227">
            <w:pPr>
              <w:pStyle w:val="GOSTTablenorm"/>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_Ref20215145 \h  \* MERGEFORMAT </w:instrText>
            </w:r>
            <w:r w:rsidRPr="00264D5D">
              <w:rPr>
                <w:b/>
                <w:szCs w:val="22"/>
              </w:rPr>
            </w:r>
            <w:r w:rsidRPr="00264D5D">
              <w:rPr>
                <w:b/>
                <w:szCs w:val="22"/>
              </w:rPr>
              <w:fldChar w:fldCharType="separate"/>
            </w:r>
            <w:r w:rsidR="008D797C" w:rsidRPr="008D797C">
              <w:rPr>
                <w:b/>
              </w:rPr>
              <w:t>86</w:t>
            </w:r>
            <w:r w:rsidRPr="00264D5D">
              <w:rPr>
                <w:b/>
                <w:szCs w:val="22"/>
              </w:rPr>
              <w:fldChar w:fldCharType="end"/>
            </w:r>
          </w:p>
        </w:tc>
      </w:tr>
    </w:tbl>
    <w:p w14:paraId="34169A7C" w14:textId="77777777" w:rsidR="00AD1F54" w:rsidRPr="00264D5D" w:rsidRDefault="00941227">
      <w:pPr>
        <w:pStyle w:val="31"/>
      </w:pPr>
      <w:bookmarkStart w:id="977" w:name="_Toc39766114"/>
      <w:bookmarkStart w:id="978" w:name="_Toc18509248"/>
      <w:bookmarkStart w:id="979" w:name="_Toc219309523"/>
      <w:r w:rsidRPr="00264D5D">
        <w:t>Описание комплексного типа «tMSC_Pmnt1»</w:t>
      </w:r>
      <w:bookmarkEnd w:id="977"/>
      <w:bookmarkEnd w:id="979"/>
    </w:p>
    <w:p w14:paraId="6231533F" w14:textId="77777777" w:rsidR="00AD1F54" w:rsidRPr="00264D5D" w:rsidRDefault="00941227">
      <w:pPr>
        <w:pStyle w:val="GOSTNormal"/>
      </w:pPr>
      <w:r w:rsidRPr="00264D5D">
        <w:t>Описание комплексного типа «tMSC_Pmnt1» блока «Платеж».</w:t>
      </w:r>
    </w:p>
    <w:p w14:paraId="19538DAD" w14:textId="4A940CB3"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980" w:name="_Ref39763120"/>
      <w:bookmarkStart w:id="981" w:name="_Toc219309113"/>
      <w:r w:rsidR="008D797C">
        <w:rPr>
          <w:noProof/>
        </w:rPr>
        <w:t>83</w:t>
      </w:r>
      <w:bookmarkEnd w:id="980"/>
      <w:r w:rsidRPr="00264D5D">
        <w:fldChar w:fldCharType="end"/>
      </w:r>
      <w:r w:rsidRPr="00264D5D">
        <w:rPr>
          <w:rFonts w:eastAsia="Calibri"/>
          <w:szCs w:val="24"/>
        </w:rPr>
        <w:t xml:space="preserve"> –</w:t>
      </w:r>
      <w:r w:rsidRPr="00264D5D">
        <w:t xml:space="preserve"> Описание комплексного типа «tMSC_Pmnt1»</w:t>
      </w:r>
      <w:bookmarkEnd w:id="981"/>
    </w:p>
    <w:tbl>
      <w:tblPr>
        <w:tblStyle w:val="GOSTTable"/>
        <w:tblW w:w="5000" w:type="pct"/>
        <w:tblLayout w:type="fixed"/>
        <w:tblLook w:val="04A0" w:firstRow="1" w:lastRow="0" w:firstColumn="1" w:lastColumn="0" w:noHBand="0" w:noVBand="1"/>
      </w:tblPr>
      <w:tblGrid>
        <w:gridCol w:w="1709"/>
        <w:gridCol w:w="1705"/>
        <w:gridCol w:w="566"/>
        <w:gridCol w:w="1133"/>
        <w:gridCol w:w="565"/>
        <w:gridCol w:w="3972"/>
      </w:tblGrid>
      <w:tr w:rsidR="00AD1F54" w:rsidRPr="00264D5D" w14:paraId="36042C2F"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5" w:type="pct"/>
          </w:tcPr>
          <w:p w14:paraId="356EEE01" w14:textId="77777777" w:rsidR="00AD1F54" w:rsidRPr="00264D5D" w:rsidRDefault="00941227">
            <w:pPr>
              <w:pStyle w:val="ASFKTableHead"/>
            </w:pPr>
            <w:r w:rsidRPr="00264D5D">
              <w:t>Наименование элемента</w:t>
            </w:r>
          </w:p>
        </w:tc>
        <w:tc>
          <w:tcPr>
            <w:tcW w:w="883" w:type="pct"/>
          </w:tcPr>
          <w:p w14:paraId="7BAD7320" w14:textId="77777777" w:rsidR="00AD1F54" w:rsidRPr="00264D5D" w:rsidRDefault="00941227">
            <w:pPr>
              <w:pStyle w:val="ASFKTableHead"/>
            </w:pPr>
            <w:r w:rsidRPr="00264D5D">
              <w:t>Сокращенное наименование (код) элемента</w:t>
            </w:r>
          </w:p>
        </w:tc>
        <w:tc>
          <w:tcPr>
            <w:tcW w:w="293" w:type="pct"/>
          </w:tcPr>
          <w:p w14:paraId="48269FDD" w14:textId="77777777" w:rsidR="00AD1F54" w:rsidRPr="00264D5D" w:rsidRDefault="00941227">
            <w:pPr>
              <w:pStyle w:val="ASFKTableHead"/>
            </w:pPr>
            <w:r w:rsidRPr="00264D5D">
              <w:t>Тип</w:t>
            </w:r>
          </w:p>
        </w:tc>
        <w:tc>
          <w:tcPr>
            <w:tcW w:w="587" w:type="pct"/>
          </w:tcPr>
          <w:p w14:paraId="0CCFCA43" w14:textId="77777777" w:rsidR="00AD1F54" w:rsidRPr="00264D5D" w:rsidRDefault="00941227">
            <w:pPr>
              <w:pStyle w:val="ASFKTableHead"/>
            </w:pPr>
            <w:r w:rsidRPr="00264D5D">
              <w:t>Формат элемента</w:t>
            </w:r>
          </w:p>
        </w:tc>
        <w:tc>
          <w:tcPr>
            <w:tcW w:w="293" w:type="pct"/>
          </w:tcPr>
          <w:p w14:paraId="1A8F322D" w14:textId="77777777" w:rsidR="00AD1F54" w:rsidRPr="00264D5D" w:rsidRDefault="00941227">
            <w:pPr>
              <w:pStyle w:val="ASFKTableHead"/>
            </w:pPr>
            <w:r w:rsidRPr="00264D5D">
              <w:t>Обязательность</w:t>
            </w:r>
          </w:p>
        </w:tc>
        <w:tc>
          <w:tcPr>
            <w:tcW w:w="2058" w:type="pct"/>
          </w:tcPr>
          <w:p w14:paraId="0284A6EB" w14:textId="77777777" w:rsidR="00AD1F54" w:rsidRPr="00264D5D" w:rsidRDefault="00941227">
            <w:pPr>
              <w:pStyle w:val="ASFKTableHead"/>
            </w:pPr>
            <w:r w:rsidRPr="00264D5D">
              <w:t>Дополнительная информация</w:t>
            </w:r>
          </w:p>
        </w:tc>
      </w:tr>
      <w:tr w:rsidR="00AD1F54" w:rsidRPr="00264D5D" w14:paraId="05A9587C"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5" w:type="pct"/>
          </w:tcPr>
          <w:p w14:paraId="591FE45C" w14:textId="77777777" w:rsidR="00AD1F54" w:rsidRPr="00264D5D" w:rsidRDefault="00941227">
            <w:pPr>
              <w:pStyle w:val="GOSTTablenorm"/>
              <w:widowControl w:val="0"/>
              <w:rPr>
                <w:szCs w:val="22"/>
              </w:rPr>
            </w:pPr>
            <w:r w:rsidRPr="00264D5D">
              <w:rPr>
                <w:szCs w:val="22"/>
              </w:rPr>
              <w:t>Признак авансового платежа</w:t>
            </w:r>
          </w:p>
        </w:tc>
        <w:tc>
          <w:tcPr>
            <w:tcW w:w="883" w:type="pct"/>
          </w:tcPr>
          <w:p w14:paraId="378893BC" w14:textId="77777777" w:rsidR="00AD1F54" w:rsidRPr="00264D5D" w:rsidRDefault="00941227">
            <w:pPr>
              <w:pStyle w:val="GOSTTablenorm"/>
              <w:widowControl w:val="0"/>
              <w:rPr>
                <w:szCs w:val="22"/>
              </w:rPr>
            </w:pPr>
            <w:r w:rsidRPr="00264D5D">
              <w:rPr>
                <w:szCs w:val="22"/>
              </w:rPr>
              <w:t>AdvnPySgn</w:t>
            </w:r>
          </w:p>
        </w:tc>
        <w:tc>
          <w:tcPr>
            <w:tcW w:w="293" w:type="pct"/>
          </w:tcPr>
          <w:p w14:paraId="0D9865DF" w14:textId="77777777" w:rsidR="00AD1F54" w:rsidRPr="00264D5D" w:rsidRDefault="00941227">
            <w:pPr>
              <w:pStyle w:val="GOSTTablenorm"/>
              <w:widowControl w:val="0"/>
              <w:jc w:val="center"/>
              <w:rPr>
                <w:szCs w:val="22"/>
              </w:rPr>
            </w:pPr>
            <w:r w:rsidRPr="00264D5D">
              <w:rPr>
                <w:szCs w:val="22"/>
              </w:rPr>
              <w:t>С</w:t>
            </w:r>
          </w:p>
        </w:tc>
        <w:tc>
          <w:tcPr>
            <w:tcW w:w="587" w:type="pct"/>
          </w:tcPr>
          <w:p w14:paraId="2A88D5EF" w14:textId="77777777" w:rsidR="00AD1F54" w:rsidRPr="00264D5D" w:rsidRDefault="00941227">
            <w:pPr>
              <w:pStyle w:val="GOSTTablenorm"/>
              <w:widowControl w:val="0"/>
              <w:rPr>
                <w:szCs w:val="22"/>
              </w:rPr>
            </w:pPr>
            <w:r w:rsidRPr="00264D5D">
              <w:rPr>
                <w:szCs w:val="22"/>
              </w:rPr>
              <w:t>tMSC_AdvnPySgnComplex</w:t>
            </w:r>
          </w:p>
        </w:tc>
        <w:tc>
          <w:tcPr>
            <w:tcW w:w="293" w:type="pct"/>
          </w:tcPr>
          <w:p w14:paraId="5E83F4F5" w14:textId="77777777" w:rsidR="00AD1F54" w:rsidRPr="00264D5D" w:rsidRDefault="00941227">
            <w:pPr>
              <w:pStyle w:val="GOSTTablenorm"/>
              <w:widowControl w:val="0"/>
              <w:jc w:val="center"/>
              <w:rPr>
                <w:szCs w:val="22"/>
              </w:rPr>
            </w:pPr>
            <w:r w:rsidRPr="00264D5D">
              <w:rPr>
                <w:szCs w:val="22"/>
              </w:rPr>
              <w:t>О</w:t>
            </w:r>
          </w:p>
        </w:tc>
        <w:tc>
          <w:tcPr>
            <w:tcW w:w="2058" w:type="pct"/>
          </w:tcPr>
          <w:p w14:paraId="0759519F" w14:textId="77777777" w:rsidR="00AD1F54" w:rsidRPr="00264D5D" w:rsidRDefault="00941227">
            <w:pPr>
              <w:pStyle w:val="GOSTTablenorm"/>
              <w:widowControl w:val="0"/>
              <w:rPr>
                <w:szCs w:val="22"/>
              </w:rPr>
            </w:pPr>
            <w:r w:rsidRPr="00264D5D">
              <w:t>Признак</w:t>
            </w:r>
            <w:r w:rsidRPr="00264D5D">
              <w:rPr>
                <w:szCs w:val="22"/>
              </w:rPr>
              <w:t xml:space="preserve"> авансового платежа.</w:t>
            </w:r>
          </w:p>
          <w:p w14:paraId="089CE27C" w14:textId="3B85E828" w:rsidR="00AD1F54" w:rsidRPr="00264D5D" w:rsidRDefault="00941227">
            <w:pPr>
              <w:pStyle w:val="GOSTTablenorm"/>
              <w:widowControl w:val="0"/>
              <w:rPr>
                <w:szCs w:val="22"/>
              </w:rPr>
            </w:pPr>
            <w:r w:rsidRPr="00264D5D">
              <w:rPr>
                <w:szCs w:val="22"/>
              </w:rPr>
              <w:t>Состав элемента представлен в таблице</w:t>
            </w:r>
            <w:r w:rsidRPr="00264D5D">
              <w:rPr>
                <w:b/>
              </w:rPr>
              <w:t xml:space="preserve"> </w:t>
            </w:r>
            <w:r w:rsidRPr="00264D5D">
              <w:rPr>
                <w:b/>
              </w:rPr>
              <w:fldChar w:fldCharType="begin"/>
            </w:r>
            <w:r w:rsidRPr="00264D5D">
              <w:rPr>
                <w:b/>
              </w:rPr>
              <w:instrText xml:space="preserve"> REF _Ref39763160 \h  \* MERGEFORMAT </w:instrText>
            </w:r>
            <w:r w:rsidRPr="00264D5D">
              <w:rPr>
                <w:b/>
              </w:rPr>
            </w:r>
            <w:r w:rsidRPr="00264D5D">
              <w:rPr>
                <w:b/>
              </w:rPr>
              <w:fldChar w:fldCharType="separate"/>
            </w:r>
            <w:r w:rsidR="008D797C" w:rsidRPr="008D797C">
              <w:rPr>
                <w:b/>
              </w:rPr>
              <w:t>84</w:t>
            </w:r>
            <w:r w:rsidRPr="00264D5D">
              <w:rPr>
                <w:b/>
              </w:rPr>
              <w:fldChar w:fldCharType="end"/>
            </w:r>
          </w:p>
        </w:tc>
      </w:tr>
      <w:tr w:rsidR="00AD1F54" w:rsidRPr="00264D5D" w14:paraId="050818B5"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5" w:type="pct"/>
          </w:tcPr>
          <w:p w14:paraId="4CB451AE" w14:textId="77777777" w:rsidR="00AD1F54" w:rsidRPr="00264D5D" w:rsidRDefault="00941227">
            <w:pPr>
              <w:pStyle w:val="GOSTTablenorm"/>
              <w:widowControl w:val="0"/>
              <w:rPr>
                <w:szCs w:val="22"/>
              </w:rPr>
            </w:pPr>
            <w:r w:rsidRPr="00264D5D">
              <w:rPr>
                <w:szCs w:val="22"/>
              </w:rPr>
              <w:t>Очередность платежа</w:t>
            </w:r>
          </w:p>
        </w:tc>
        <w:tc>
          <w:tcPr>
            <w:tcW w:w="883" w:type="pct"/>
          </w:tcPr>
          <w:p w14:paraId="3CAE68BD" w14:textId="77777777" w:rsidR="00AD1F54" w:rsidRPr="00264D5D" w:rsidRDefault="00941227">
            <w:pPr>
              <w:pStyle w:val="GOSTTablenorm"/>
              <w:widowControl w:val="0"/>
              <w:rPr>
                <w:szCs w:val="22"/>
              </w:rPr>
            </w:pPr>
            <w:r w:rsidRPr="00264D5D">
              <w:rPr>
                <w:szCs w:val="22"/>
              </w:rPr>
              <w:t>Prt</w:t>
            </w:r>
          </w:p>
        </w:tc>
        <w:tc>
          <w:tcPr>
            <w:tcW w:w="293" w:type="pct"/>
          </w:tcPr>
          <w:p w14:paraId="09F4DD0D" w14:textId="77777777" w:rsidR="00AD1F54" w:rsidRPr="00264D5D" w:rsidRDefault="00941227">
            <w:pPr>
              <w:pStyle w:val="GOSTTablenorm"/>
              <w:widowControl w:val="0"/>
              <w:jc w:val="center"/>
              <w:rPr>
                <w:szCs w:val="22"/>
              </w:rPr>
            </w:pPr>
            <w:r w:rsidRPr="00264D5D">
              <w:rPr>
                <w:szCs w:val="22"/>
              </w:rPr>
              <w:t>П</w:t>
            </w:r>
          </w:p>
        </w:tc>
        <w:tc>
          <w:tcPr>
            <w:tcW w:w="587" w:type="pct"/>
          </w:tcPr>
          <w:p w14:paraId="11D0ECA7" w14:textId="77777777" w:rsidR="00AD1F54" w:rsidRPr="00264D5D" w:rsidRDefault="00941227">
            <w:pPr>
              <w:pStyle w:val="GOSTTablenorm"/>
              <w:widowControl w:val="0"/>
              <w:rPr>
                <w:szCs w:val="22"/>
              </w:rPr>
            </w:pPr>
            <w:r w:rsidRPr="00264D5D">
              <w:rPr>
                <w:szCs w:val="22"/>
              </w:rPr>
              <w:t>Т(1)</w:t>
            </w:r>
          </w:p>
        </w:tc>
        <w:tc>
          <w:tcPr>
            <w:tcW w:w="293" w:type="pct"/>
          </w:tcPr>
          <w:p w14:paraId="17138D99" w14:textId="77777777" w:rsidR="00AD1F54" w:rsidRPr="00264D5D" w:rsidRDefault="00941227">
            <w:pPr>
              <w:pStyle w:val="GOSTTablenorm"/>
              <w:widowControl w:val="0"/>
              <w:jc w:val="center"/>
              <w:rPr>
                <w:szCs w:val="22"/>
              </w:rPr>
            </w:pPr>
            <w:r w:rsidRPr="00264D5D">
              <w:rPr>
                <w:szCs w:val="22"/>
              </w:rPr>
              <w:t>О</w:t>
            </w:r>
          </w:p>
        </w:tc>
        <w:tc>
          <w:tcPr>
            <w:tcW w:w="2058" w:type="pct"/>
          </w:tcPr>
          <w:p w14:paraId="642BF2A2" w14:textId="77777777" w:rsidR="00AD1F54" w:rsidRPr="00264D5D" w:rsidRDefault="007E4E7F">
            <w:pPr>
              <w:pStyle w:val="GOSTTablenorm"/>
              <w:widowControl w:val="0"/>
              <w:rPr>
                <w:szCs w:val="22"/>
              </w:rPr>
            </w:pPr>
            <w:r w:rsidRPr="00264D5D">
              <w:rPr>
                <w:szCs w:val="22"/>
              </w:rPr>
              <w:t>Указывается очередность платежа</w:t>
            </w:r>
          </w:p>
        </w:tc>
      </w:tr>
      <w:tr w:rsidR="00AD1F54" w:rsidRPr="00264D5D" w14:paraId="44D8FD8C"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5" w:type="pct"/>
          </w:tcPr>
          <w:p w14:paraId="22A881CA" w14:textId="77777777" w:rsidR="00AD1F54" w:rsidRPr="00264D5D" w:rsidRDefault="00941227">
            <w:pPr>
              <w:pStyle w:val="GOSTTablenorm"/>
              <w:widowControl w:val="0"/>
              <w:rPr>
                <w:szCs w:val="22"/>
              </w:rPr>
            </w:pPr>
            <w:r w:rsidRPr="00264D5D">
              <w:rPr>
                <w:szCs w:val="22"/>
              </w:rPr>
              <w:t>Вид платежа</w:t>
            </w:r>
          </w:p>
        </w:tc>
        <w:tc>
          <w:tcPr>
            <w:tcW w:w="883" w:type="pct"/>
          </w:tcPr>
          <w:p w14:paraId="3587F867" w14:textId="77777777" w:rsidR="00AD1F54" w:rsidRPr="00264D5D" w:rsidRDefault="00941227">
            <w:pPr>
              <w:pStyle w:val="GOSTTablenorm"/>
              <w:widowControl w:val="0"/>
              <w:rPr>
                <w:szCs w:val="22"/>
              </w:rPr>
            </w:pPr>
            <w:r w:rsidRPr="00264D5D">
              <w:rPr>
                <w:szCs w:val="22"/>
              </w:rPr>
              <w:t>Knd</w:t>
            </w:r>
          </w:p>
        </w:tc>
        <w:tc>
          <w:tcPr>
            <w:tcW w:w="293" w:type="pct"/>
          </w:tcPr>
          <w:p w14:paraId="3C514EFA" w14:textId="77777777" w:rsidR="00AD1F54" w:rsidRPr="00264D5D" w:rsidRDefault="00941227">
            <w:pPr>
              <w:pStyle w:val="GOSTTablenorm"/>
              <w:widowControl w:val="0"/>
              <w:jc w:val="center"/>
              <w:rPr>
                <w:szCs w:val="22"/>
              </w:rPr>
            </w:pPr>
            <w:r w:rsidRPr="00264D5D">
              <w:rPr>
                <w:szCs w:val="22"/>
              </w:rPr>
              <w:t>С</w:t>
            </w:r>
          </w:p>
        </w:tc>
        <w:tc>
          <w:tcPr>
            <w:tcW w:w="587" w:type="pct"/>
          </w:tcPr>
          <w:p w14:paraId="164F9235" w14:textId="77777777" w:rsidR="00AD1F54" w:rsidRPr="00264D5D" w:rsidRDefault="00941227">
            <w:pPr>
              <w:pStyle w:val="GOSTTablenorm"/>
              <w:widowControl w:val="0"/>
              <w:rPr>
                <w:szCs w:val="22"/>
              </w:rPr>
            </w:pPr>
            <w:r w:rsidRPr="00264D5D">
              <w:rPr>
                <w:szCs w:val="22"/>
              </w:rPr>
              <w:t>tMSC_ShrtPyKndComplex</w:t>
            </w:r>
          </w:p>
        </w:tc>
        <w:tc>
          <w:tcPr>
            <w:tcW w:w="293" w:type="pct"/>
          </w:tcPr>
          <w:p w14:paraId="05A8B660" w14:textId="77777777" w:rsidR="00AD1F54" w:rsidRPr="00264D5D" w:rsidRDefault="00941227">
            <w:pPr>
              <w:pStyle w:val="GOSTTablenorm"/>
              <w:widowControl w:val="0"/>
              <w:jc w:val="center"/>
              <w:rPr>
                <w:szCs w:val="22"/>
              </w:rPr>
            </w:pPr>
            <w:r w:rsidRPr="00264D5D">
              <w:rPr>
                <w:szCs w:val="22"/>
              </w:rPr>
              <w:t>О</w:t>
            </w:r>
          </w:p>
        </w:tc>
        <w:tc>
          <w:tcPr>
            <w:tcW w:w="2058" w:type="pct"/>
          </w:tcPr>
          <w:p w14:paraId="3469406A" w14:textId="41AB738A" w:rsidR="00AD1F54" w:rsidRPr="00264D5D" w:rsidRDefault="00941227">
            <w:pPr>
              <w:pStyle w:val="GOSTTablenorm"/>
              <w:widowControl w:val="0"/>
            </w:pPr>
            <w:r w:rsidRPr="00264D5D">
              <w:t>Состав элемента представлен в таблице</w:t>
            </w:r>
            <w:r w:rsidRPr="00264D5D">
              <w:rPr>
                <w:b/>
              </w:rPr>
              <w:t xml:space="preserve"> </w:t>
            </w:r>
            <w:r w:rsidRPr="00264D5D">
              <w:rPr>
                <w:b/>
              </w:rPr>
              <w:fldChar w:fldCharType="begin"/>
            </w:r>
            <w:r w:rsidRPr="00264D5D">
              <w:rPr>
                <w:b/>
              </w:rPr>
              <w:instrText xml:space="preserve"> REF _Ref39763177 \h  \* MERGEFORMAT </w:instrText>
            </w:r>
            <w:r w:rsidRPr="00264D5D">
              <w:rPr>
                <w:b/>
              </w:rPr>
            </w:r>
            <w:r w:rsidRPr="00264D5D">
              <w:rPr>
                <w:b/>
              </w:rPr>
              <w:fldChar w:fldCharType="separate"/>
            </w:r>
            <w:r w:rsidR="008D797C" w:rsidRPr="008D797C">
              <w:rPr>
                <w:b/>
              </w:rPr>
              <w:t>85</w:t>
            </w:r>
            <w:r w:rsidRPr="00264D5D">
              <w:rPr>
                <w:b/>
              </w:rPr>
              <w:fldChar w:fldCharType="end"/>
            </w:r>
          </w:p>
        </w:tc>
      </w:tr>
      <w:tr w:rsidR="00AD1F54" w:rsidRPr="00264D5D" w14:paraId="572BED29"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5" w:type="pct"/>
          </w:tcPr>
          <w:p w14:paraId="5383B1EF" w14:textId="77777777" w:rsidR="00AD1F54" w:rsidRPr="00264D5D" w:rsidRDefault="00941227">
            <w:pPr>
              <w:pStyle w:val="GOSTTablenorm"/>
              <w:widowControl w:val="0"/>
              <w:rPr>
                <w:szCs w:val="22"/>
              </w:rPr>
            </w:pPr>
            <w:r w:rsidRPr="00264D5D">
              <w:rPr>
                <w:szCs w:val="22"/>
              </w:rPr>
              <w:t>Назначение платежа</w:t>
            </w:r>
          </w:p>
        </w:tc>
        <w:tc>
          <w:tcPr>
            <w:tcW w:w="883" w:type="pct"/>
          </w:tcPr>
          <w:p w14:paraId="7E4E0200" w14:textId="77777777" w:rsidR="00AD1F54" w:rsidRPr="00264D5D" w:rsidRDefault="00941227">
            <w:pPr>
              <w:pStyle w:val="GOSTTablenorm"/>
              <w:widowControl w:val="0"/>
              <w:rPr>
                <w:szCs w:val="22"/>
              </w:rPr>
            </w:pPr>
            <w:r w:rsidRPr="00264D5D">
              <w:rPr>
                <w:szCs w:val="22"/>
              </w:rPr>
              <w:t>Prps</w:t>
            </w:r>
          </w:p>
        </w:tc>
        <w:tc>
          <w:tcPr>
            <w:tcW w:w="293" w:type="pct"/>
          </w:tcPr>
          <w:p w14:paraId="11AFB496" w14:textId="77777777" w:rsidR="00AD1F54" w:rsidRPr="00264D5D" w:rsidRDefault="00941227">
            <w:pPr>
              <w:pStyle w:val="GOSTTablenorm"/>
              <w:widowControl w:val="0"/>
              <w:jc w:val="center"/>
              <w:rPr>
                <w:szCs w:val="22"/>
              </w:rPr>
            </w:pPr>
            <w:r w:rsidRPr="00264D5D">
              <w:rPr>
                <w:szCs w:val="22"/>
              </w:rPr>
              <w:t>П</w:t>
            </w:r>
          </w:p>
        </w:tc>
        <w:tc>
          <w:tcPr>
            <w:tcW w:w="587" w:type="pct"/>
          </w:tcPr>
          <w:p w14:paraId="1CAF9844" w14:textId="77777777" w:rsidR="00AD1F54" w:rsidRPr="00264D5D" w:rsidRDefault="00941227">
            <w:pPr>
              <w:pStyle w:val="GOSTTablenorm"/>
              <w:widowControl w:val="0"/>
              <w:rPr>
                <w:szCs w:val="22"/>
              </w:rPr>
            </w:pPr>
            <w:r w:rsidRPr="00264D5D">
              <w:rPr>
                <w:szCs w:val="22"/>
              </w:rPr>
              <w:t>Т(1-210)</w:t>
            </w:r>
          </w:p>
        </w:tc>
        <w:tc>
          <w:tcPr>
            <w:tcW w:w="293" w:type="pct"/>
          </w:tcPr>
          <w:p w14:paraId="17711DE8" w14:textId="77777777" w:rsidR="00AD1F54" w:rsidRPr="00264D5D" w:rsidRDefault="00941227">
            <w:pPr>
              <w:pStyle w:val="GOSTTablenorm"/>
              <w:widowControl w:val="0"/>
              <w:jc w:val="center"/>
              <w:rPr>
                <w:szCs w:val="22"/>
              </w:rPr>
            </w:pPr>
            <w:r w:rsidRPr="00264D5D">
              <w:rPr>
                <w:szCs w:val="22"/>
              </w:rPr>
              <w:t>О</w:t>
            </w:r>
          </w:p>
        </w:tc>
        <w:tc>
          <w:tcPr>
            <w:tcW w:w="2058" w:type="pct"/>
          </w:tcPr>
          <w:p w14:paraId="6994FF68" w14:textId="77777777" w:rsidR="00AD1F54" w:rsidRPr="00264D5D" w:rsidRDefault="00941227">
            <w:pPr>
              <w:pStyle w:val="GOSTTablenorm"/>
              <w:widowControl w:val="0"/>
            </w:pPr>
            <w:r w:rsidRPr="00264D5D">
              <w:t>Указывается назначение платежа. При необходимости указываются данные первичных документов, на основании которых осуществляется кассовый расход (вид, номер, дата).</w:t>
            </w:r>
          </w:p>
          <w:p w14:paraId="1417267B" w14:textId="77777777" w:rsidR="00AD1F54" w:rsidRPr="00264D5D" w:rsidRDefault="00941227">
            <w:pPr>
              <w:pStyle w:val="GOSTTablenorm"/>
              <w:widowControl w:val="0"/>
            </w:pPr>
            <w:r w:rsidRPr="00264D5D">
              <w:t>В документах, предусматривающих перечисление средств гражданам, которые являются должниками по исполнительному документу, указывается сумма, взысканная по исполнительному документу, в соответствии с частью 3 статьи 98 ФЗ от 02.10.2007 № 229-ФЗ и письмом Банка Рос</w:t>
            </w:r>
            <w:r w:rsidR="007E4E7F" w:rsidRPr="00264D5D">
              <w:t>сии от 27.02.2020 № ИН-05-45/10</w:t>
            </w:r>
          </w:p>
        </w:tc>
      </w:tr>
      <w:tr w:rsidR="00AD1F54" w:rsidRPr="00264D5D" w14:paraId="7AB482D7" w14:textId="77777777" w:rsidTr="00AD1F54">
        <w:trPr>
          <w:cnfStyle w:val="000000100000" w:firstRow="0" w:lastRow="0" w:firstColumn="0" w:lastColumn="0" w:oddVBand="0" w:evenVBand="0" w:oddHBand="1" w:evenHBand="0" w:firstRowFirstColumn="0" w:firstRowLastColumn="0" w:lastRowFirstColumn="0" w:lastRowLastColumn="0"/>
          <w:trHeight w:val="279"/>
        </w:trPr>
        <w:tc>
          <w:tcPr>
            <w:tcW w:w="885" w:type="pct"/>
          </w:tcPr>
          <w:p w14:paraId="4B362BBD" w14:textId="77777777" w:rsidR="00AD1F54" w:rsidRPr="00264D5D" w:rsidRDefault="00941227">
            <w:pPr>
              <w:pStyle w:val="GOSTTablenorm"/>
              <w:widowControl w:val="0"/>
            </w:pPr>
            <w:r w:rsidRPr="00264D5D">
              <w:t>Тип платежа</w:t>
            </w:r>
          </w:p>
        </w:tc>
        <w:tc>
          <w:tcPr>
            <w:tcW w:w="883" w:type="pct"/>
          </w:tcPr>
          <w:p w14:paraId="7838D670" w14:textId="77777777" w:rsidR="00AD1F54" w:rsidRPr="00264D5D" w:rsidRDefault="00941227">
            <w:pPr>
              <w:pStyle w:val="GOSTTablenorm"/>
              <w:widowControl w:val="0"/>
            </w:pPr>
            <w:r w:rsidRPr="00264D5D">
              <w:t>Tp</w:t>
            </w:r>
          </w:p>
        </w:tc>
        <w:tc>
          <w:tcPr>
            <w:tcW w:w="293" w:type="pct"/>
          </w:tcPr>
          <w:p w14:paraId="37876C4B" w14:textId="77777777" w:rsidR="00AD1F54" w:rsidRPr="00264D5D" w:rsidRDefault="00941227">
            <w:pPr>
              <w:pStyle w:val="GOSTTablenorm"/>
              <w:widowControl w:val="0"/>
              <w:jc w:val="center"/>
            </w:pPr>
            <w:r w:rsidRPr="00264D5D">
              <w:t>П</w:t>
            </w:r>
          </w:p>
        </w:tc>
        <w:tc>
          <w:tcPr>
            <w:tcW w:w="587" w:type="pct"/>
          </w:tcPr>
          <w:p w14:paraId="61523869" w14:textId="77777777" w:rsidR="00AD1F54" w:rsidRPr="00264D5D" w:rsidRDefault="00941227">
            <w:pPr>
              <w:pStyle w:val="GOSTTablenorm"/>
              <w:widowControl w:val="0"/>
            </w:pPr>
            <w:r w:rsidRPr="00264D5D">
              <w:t>Т(1-2)</w:t>
            </w:r>
          </w:p>
        </w:tc>
        <w:tc>
          <w:tcPr>
            <w:tcW w:w="293" w:type="pct"/>
          </w:tcPr>
          <w:p w14:paraId="2A4AF2B5" w14:textId="77777777" w:rsidR="00AD1F54" w:rsidRPr="00264D5D" w:rsidRDefault="00941227">
            <w:pPr>
              <w:pStyle w:val="GOSTTablenorm"/>
              <w:widowControl w:val="0"/>
              <w:jc w:val="center"/>
            </w:pPr>
            <w:r w:rsidRPr="00264D5D">
              <w:t>Н</w:t>
            </w:r>
          </w:p>
        </w:tc>
        <w:tc>
          <w:tcPr>
            <w:tcW w:w="2058" w:type="pct"/>
          </w:tcPr>
          <w:p w14:paraId="184DC613" w14:textId="77777777" w:rsidR="00AD1F54" w:rsidRPr="00264D5D" w:rsidRDefault="007E4E7F">
            <w:pPr>
              <w:pStyle w:val="GOSTTablenorm"/>
              <w:widowControl w:val="0"/>
            </w:pPr>
            <w:r w:rsidRPr="00264D5D">
              <w:t>Указывается тип платежа</w:t>
            </w:r>
          </w:p>
        </w:tc>
      </w:tr>
    </w:tbl>
    <w:p w14:paraId="7A0C7E4B" w14:textId="77777777" w:rsidR="00AD1F54" w:rsidRPr="00264D5D" w:rsidRDefault="00941227">
      <w:pPr>
        <w:pStyle w:val="31"/>
      </w:pPr>
      <w:bookmarkStart w:id="982" w:name="_Toc39766115"/>
      <w:bookmarkStart w:id="983" w:name="_Toc219309524"/>
      <w:r w:rsidRPr="00264D5D">
        <w:lastRenderedPageBreak/>
        <w:t>Описание комплексного типа «tMSC_AdvnPySgnComplex»</w:t>
      </w:r>
      <w:bookmarkEnd w:id="982"/>
      <w:bookmarkEnd w:id="983"/>
    </w:p>
    <w:p w14:paraId="4C55FDC1" w14:textId="77777777" w:rsidR="00AD1F54" w:rsidRPr="00264D5D" w:rsidRDefault="00941227">
      <w:pPr>
        <w:pStyle w:val="GOSTNormal"/>
      </w:pPr>
      <w:r w:rsidRPr="00264D5D">
        <w:t>Описание комплексного типа «tMSC_AdvnPySgnComplex» блока «Признак авансового платежа».</w:t>
      </w:r>
    </w:p>
    <w:p w14:paraId="19F4AE5B" w14:textId="4868F630"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984" w:name="_Ref39763160"/>
      <w:bookmarkStart w:id="985" w:name="_Toc219309114"/>
      <w:r w:rsidR="008D797C">
        <w:rPr>
          <w:noProof/>
        </w:rPr>
        <w:t>84</w:t>
      </w:r>
      <w:bookmarkEnd w:id="984"/>
      <w:r w:rsidRPr="00264D5D">
        <w:fldChar w:fldCharType="end"/>
      </w:r>
      <w:r w:rsidRPr="00264D5D">
        <w:rPr>
          <w:rFonts w:eastAsia="Calibri"/>
          <w:szCs w:val="24"/>
        </w:rPr>
        <w:t xml:space="preserve"> –</w:t>
      </w:r>
      <w:r w:rsidRPr="00264D5D">
        <w:t xml:space="preserve"> Описание комплексного типа «tMSC_AdvnPySgnComplex»</w:t>
      </w:r>
      <w:bookmarkEnd w:id="985"/>
    </w:p>
    <w:tbl>
      <w:tblPr>
        <w:tblStyle w:val="GOSTTable"/>
        <w:tblW w:w="5000" w:type="pct"/>
        <w:tblLayout w:type="fixed"/>
        <w:tblLook w:val="04A0" w:firstRow="1" w:lastRow="0" w:firstColumn="1" w:lastColumn="0" w:noHBand="0" w:noVBand="1"/>
      </w:tblPr>
      <w:tblGrid>
        <w:gridCol w:w="1707"/>
        <w:gridCol w:w="1702"/>
        <w:gridCol w:w="567"/>
        <w:gridCol w:w="1135"/>
        <w:gridCol w:w="567"/>
        <w:gridCol w:w="3972"/>
      </w:tblGrid>
      <w:tr w:rsidR="00AD1F54" w:rsidRPr="00264D5D" w14:paraId="32826C0A"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5" w:type="dxa"/>
          </w:tcPr>
          <w:p w14:paraId="5AD19959" w14:textId="77777777" w:rsidR="00AD1F54" w:rsidRPr="00264D5D" w:rsidRDefault="00941227">
            <w:pPr>
              <w:pStyle w:val="ASFKTableHead"/>
            </w:pPr>
            <w:r w:rsidRPr="00264D5D">
              <w:t>Наименование элемента</w:t>
            </w:r>
          </w:p>
        </w:tc>
        <w:tc>
          <w:tcPr>
            <w:tcW w:w="1701" w:type="dxa"/>
          </w:tcPr>
          <w:p w14:paraId="35F4BF54" w14:textId="77777777" w:rsidR="00AD1F54" w:rsidRPr="00264D5D" w:rsidRDefault="00941227">
            <w:pPr>
              <w:pStyle w:val="ASFKTableHead"/>
            </w:pPr>
            <w:r w:rsidRPr="00264D5D">
              <w:t>Сокращенное наименование (код) элемента</w:t>
            </w:r>
          </w:p>
        </w:tc>
        <w:tc>
          <w:tcPr>
            <w:tcW w:w="567" w:type="dxa"/>
          </w:tcPr>
          <w:p w14:paraId="095CC4BF" w14:textId="77777777" w:rsidR="00AD1F54" w:rsidRPr="00264D5D" w:rsidRDefault="00941227">
            <w:pPr>
              <w:pStyle w:val="ASFKTableHead"/>
            </w:pPr>
            <w:r w:rsidRPr="00264D5D">
              <w:t>Тип</w:t>
            </w:r>
          </w:p>
        </w:tc>
        <w:tc>
          <w:tcPr>
            <w:tcW w:w="1134" w:type="dxa"/>
          </w:tcPr>
          <w:p w14:paraId="46F494F3" w14:textId="77777777" w:rsidR="00AD1F54" w:rsidRPr="00264D5D" w:rsidRDefault="00941227">
            <w:pPr>
              <w:pStyle w:val="ASFKTableHead"/>
            </w:pPr>
            <w:r w:rsidRPr="00264D5D">
              <w:t>Формат элемента</w:t>
            </w:r>
          </w:p>
        </w:tc>
        <w:tc>
          <w:tcPr>
            <w:tcW w:w="567" w:type="dxa"/>
          </w:tcPr>
          <w:p w14:paraId="300305A5" w14:textId="77777777" w:rsidR="00AD1F54" w:rsidRPr="00264D5D" w:rsidRDefault="00941227">
            <w:pPr>
              <w:pStyle w:val="ASFKTableHead"/>
            </w:pPr>
            <w:r w:rsidRPr="00264D5D">
              <w:t>Обязательность</w:t>
            </w:r>
          </w:p>
        </w:tc>
        <w:tc>
          <w:tcPr>
            <w:tcW w:w="3969" w:type="dxa"/>
          </w:tcPr>
          <w:p w14:paraId="7EFC5CD6" w14:textId="77777777" w:rsidR="00AD1F54" w:rsidRPr="00264D5D" w:rsidRDefault="00941227">
            <w:pPr>
              <w:pStyle w:val="ASFKTableHead"/>
            </w:pPr>
            <w:r w:rsidRPr="00264D5D">
              <w:t>Дополнительная информация</w:t>
            </w:r>
          </w:p>
        </w:tc>
      </w:tr>
      <w:tr w:rsidR="00AD1F54" w:rsidRPr="00264D5D" w14:paraId="19527E2A" w14:textId="77777777" w:rsidTr="00AD1F54">
        <w:trPr>
          <w:cnfStyle w:val="000000100000" w:firstRow="0" w:lastRow="0" w:firstColumn="0" w:lastColumn="0" w:oddVBand="0" w:evenVBand="0" w:oddHBand="1" w:evenHBand="0" w:firstRowFirstColumn="0" w:firstRowLastColumn="0" w:lastRowFirstColumn="0" w:lastRowLastColumn="0"/>
        </w:trPr>
        <w:tc>
          <w:tcPr>
            <w:tcW w:w="1705" w:type="dxa"/>
          </w:tcPr>
          <w:p w14:paraId="50777D7E" w14:textId="77777777" w:rsidR="00AD1F54" w:rsidRPr="00264D5D" w:rsidRDefault="00941227">
            <w:pPr>
              <w:pStyle w:val="GOSTTablenorm"/>
              <w:rPr>
                <w:szCs w:val="22"/>
              </w:rPr>
            </w:pPr>
            <w:r w:rsidRPr="00264D5D">
              <w:rPr>
                <w:szCs w:val="22"/>
              </w:rPr>
              <w:t>Код признака авансового платежа</w:t>
            </w:r>
          </w:p>
        </w:tc>
        <w:tc>
          <w:tcPr>
            <w:tcW w:w="1701" w:type="dxa"/>
          </w:tcPr>
          <w:p w14:paraId="13163E04" w14:textId="77777777" w:rsidR="00AD1F54" w:rsidRPr="00264D5D" w:rsidRDefault="00941227">
            <w:pPr>
              <w:pStyle w:val="GOSTTablenorm"/>
              <w:rPr>
                <w:szCs w:val="22"/>
              </w:rPr>
            </w:pPr>
            <w:r w:rsidRPr="00264D5D">
              <w:rPr>
                <w:szCs w:val="22"/>
              </w:rPr>
              <w:t>сode</w:t>
            </w:r>
          </w:p>
        </w:tc>
        <w:tc>
          <w:tcPr>
            <w:tcW w:w="567" w:type="dxa"/>
          </w:tcPr>
          <w:p w14:paraId="5755E0DD" w14:textId="77777777" w:rsidR="00AD1F54" w:rsidRPr="00264D5D" w:rsidRDefault="00941227">
            <w:pPr>
              <w:pStyle w:val="GOSTTablenorm"/>
              <w:jc w:val="center"/>
              <w:rPr>
                <w:szCs w:val="22"/>
              </w:rPr>
            </w:pPr>
            <w:r w:rsidRPr="00264D5D">
              <w:rPr>
                <w:szCs w:val="22"/>
              </w:rPr>
              <w:t>А</w:t>
            </w:r>
          </w:p>
        </w:tc>
        <w:tc>
          <w:tcPr>
            <w:tcW w:w="1134" w:type="dxa"/>
          </w:tcPr>
          <w:p w14:paraId="14A06E15" w14:textId="77777777" w:rsidR="00AD1F54" w:rsidRPr="00264D5D" w:rsidRDefault="00941227">
            <w:pPr>
              <w:pStyle w:val="GOSTTablenorm"/>
              <w:rPr>
                <w:szCs w:val="22"/>
              </w:rPr>
            </w:pPr>
            <w:r w:rsidRPr="00264D5D">
              <w:rPr>
                <w:szCs w:val="22"/>
              </w:rPr>
              <w:t>-</w:t>
            </w:r>
          </w:p>
        </w:tc>
        <w:tc>
          <w:tcPr>
            <w:tcW w:w="567" w:type="dxa"/>
          </w:tcPr>
          <w:p w14:paraId="69ABCF67" w14:textId="77777777" w:rsidR="00AD1F54" w:rsidRPr="00264D5D" w:rsidRDefault="00941227">
            <w:pPr>
              <w:pStyle w:val="GOSTTablenorm"/>
              <w:jc w:val="center"/>
              <w:rPr>
                <w:szCs w:val="22"/>
              </w:rPr>
            </w:pPr>
            <w:r w:rsidRPr="00264D5D">
              <w:rPr>
                <w:szCs w:val="22"/>
              </w:rPr>
              <w:t>О</w:t>
            </w:r>
          </w:p>
        </w:tc>
        <w:tc>
          <w:tcPr>
            <w:tcW w:w="3969" w:type="dxa"/>
          </w:tcPr>
          <w:p w14:paraId="7F408FF6" w14:textId="77777777" w:rsidR="00AD1F54" w:rsidRPr="00264D5D" w:rsidRDefault="00941227">
            <w:pPr>
              <w:pStyle w:val="GOSTTableNum"/>
              <w:tabs>
                <w:tab w:val="clear" w:pos="114"/>
              </w:tabs>
              <w:ind w:firstLine="0"/>
              <w:rPr>
                <w:rFonts w:cs="Times New Roman"/>
                <w:szCs w:val="22"/>
              </w:rPr>
            </w:pPr>
            <w:r w:rsidRPr="00264D5D">
              <w:rPr>
                <w:rFonts w:cs="Times New Roman"/>
                <w:szCs w:val="22"/>
              </w:rPr>
              <w:t>Допустимые значения:</w:t>
            </w:r>
          </w:p>
          <w:p w14:paraId="6ADFBFA2" w14:textId="77777777" w:rsidR="00AD1F54" w:rsidRPr="00264D5D" w:rsidRDefault="00941227" w:rsidP="00E7460C">
            <w:pPr>
              <w:pStyle w:val="GOSTTablenorm"/>
              <w:numPr>
                <w:ilvl w:val="0"/>
                <w:numId w:val="79"/>
              </w:numPr>
              <w:ind w:left="284" w:hanging="227"/>
            </w:pPr>
            <w:r w:rsidRPr="00264D5D">
              <w:t>0 – Платеж не является авансовым;</w:t>
            </w:r>
          </w:p>
          <w:p w14:paraId="24C7A004" w14:textId="77777777" w:rsidR="00AD1F54" w:rsidRPr="00264D5D" w:rsidRDefault="007E4E7F" w:rsidP="00E7460C">
            <w:pPr>
              <w:pStyle w:val="GOSTTablenorm"/>
              <w:numPr>
                <w:ilvl w:val="0"/>
                <w:numId w:val="79"/>
              </w:numPr>
              <w:ind w:left="284" w:hanging="227"/>
              <w:rPr>
                <w:szCs w:val="22"/>
              </w:rPr>
            </w:pPr>
            <w:r w:rsidRPr="00264D5D">
              <w:t>1 – Платеж является авансовым</w:t>
            </w:r>
          </w:p>
        </w:tc>
      </w:tr>
      <w:tr w:rsidR="00AD1F54" w:rsidRPr="00264D5D" w14:paraId="124449FA" w14:textId="77777777" w:rsidTr="00AD1F54">
        <w:trPr>
          <w:cnfStyle w:val="000000010000" w:firstRow="0" w:lastRow="0" w:firstColumn="0" w:lastColumn="0" w:oddVBand="0" w:evenVBand="0" w:oddHBand="0" w:evenHBand="1" w:firstRowFirstColumn="0" w:firstRowLastColumn="0" w:lastRowFirstColumn="0" w:lastRowLastColumn="0"/>
        </w:trPr>
        <w:tc>
          <w:tcPr>
            <w:tcW w:w="1705" w:type="dxa"/>
          </w:tcPr>
          <w:p w14:paraId="0CBEDA64" w14:textId="77777777" w:rsidR="00AD1F54" w:rsidRPr="00264D5D" w:rsidRDefault="00941227">
            <w:pPr>
              <w:pStyle w:val="GOSTTablenorm"/>
            </w:pPr>
            <w:r w:rsidRPr="00264D5D">
              <w:t>Значение признака авансового платежа</w:t>
            </w:r>
          </w:p>
        </w:tc>
        <w:tc>
          <w:tcPr>
            <w:tcW w:w="1701" w:type="dxa"/>
          </w:tcPr>
          <w:p w14:paraId="10CCEC99" w14:textId="77777777" w:rsidR="00AD1F54" w:rsidRPr="00264D5D" w:rsidRDefault="00941227">
            <w:pPr>
              <w:pStyle w:val="GOSTTablenorm"/>
              <w:rPr>
                <w:szCs w:val="22"/>
              </w:rPr>
            </w:pPr>
            <w:r w:rsidRPr="00264D5D">
              <w:rPr>
                <w:szCs w:val="22"/>
              </w:rPr>
              <w:t>value</w:t>
            </w:r>
          </w:p>
        </w:tc>
        <w:tc>
          <w:tcPr>
            <w:tcW w:w="567" w:type="dxa"/>
          </w:tcPr>
          <w:p w14:paraId="209D5AE3" w14:textId="77777777" w:rsidR="00AD1F54" w:rsidRPr="00264D5D" w:rsidRDefault="00941227">
            <w:pPr>
              <w:pStyle w:val="GOSTTablenorm"/>
              <w:jc w:val="center"/>
              <w:rPr>
                <w:szCs w:val="22"/>
              </w:rPr>
            </w:pPr>
            <w:r w:rsidRPr="00264D5D">
              <w:rPr>
                <w:szCs w:val="22"/>
              </w:rPr>
              <w:t>А</w:t>
            </w:r>
          </w:p>
        </w:tc>
        <w:tc>
          <w:tcPr>
            <w:tcW w:w="1134" w:type="dxa"/>
          </w:tcPr>
          <w:p w14:paraId="4FB47DDF" w14:textId="77777777" w:rsidR="00AD1F54" w:rsidRPr="00264D5D" w:rsidRDefault="00941227">
            <w:pPr>
              <w:pStyle w:val="GOSTTablenorm"/>
              <w:rPr>
                <w:szCs w:val="22"/>
              </w:rPr>
            </w:pPr>
            <w:r w:rsidRPr="00264D5D">
              <w:rPr>
                <w:szCs w:val="22"/>
              </w:rPr>
              <w:t>-</w:t>
            </w:r>
          </w:p>
        </w:tc>
        <w:tc>
          <w:tcPr>
            <w:tcW w:w="567" w:type="dxa"/>
          </w:tcPr>
          <w:p w14:paraId="5A4DB1D2" w14:textId="77777777" w:rsidR="00AD1F54" w:rsidRPr="00264D5D" w:rsidRDefault="00941227">
            <w:pPr>
              <w:pStyle w:val="GOSTTablenorm"/>
              <w:jc w:val="center"/>
              <w:rPr>
                <w:szCs w:val="22"/>
              </w:rPr>
            </w:pPr>
            <w:r w:rsidRPr="00264D5D">
              <w:rPr>
                <w:szCs w:val="22"/>
              </w:rPr>
              <w:t>Н</w:t>
            </w:r>
          </w:p>
        </w:tc>
        <w:tc>
          <w:tcPr>
            <w:tcW w:w="3969" w:type="dxa"/>
          </w:tcPr>
          <w:p w14:paraId="71ABAF03" w14:textId="77777777" w:rsidR="00AD1F54" w:rsidRPr="00264D5D" w:rsidRDefault="00941227">
            <w:pPr>
              <w:pStyle w:val="GOSTTableNum"/>
              <w:tabs>
                <w:tab w:val="clear" w:pos="114"/>
              </w:tabs>
              <w:ind w:firstLine="0"/>
            </w:pPr>
            <w:r w:rsidRPr="00264D5D">
              <w:t>Соответствующие допустимые значения:</w:t>
            </w:r>
          </w:p>
          <w:p w14:paraId="6265EB3E" w14:textId="77777777" w:rsidR="00AD1F54" w:rsidRPr="00264D5D" w:rsidRDefault="00941227" w:rsidP="00E7460C">
            <w:pPr>
              <w:pStyle w:val="GOSTTablenorm"/>
              <w:numPr>
                <w:ilvl w:val="0"/>
                <w:numId w:val="79"/>
              </w:numPr>
              <w:ind w:left="284" w:hanging="227"/>
            </w:pPr>
            <w:r w:rsidRPr="00264D5D">
              <w:t xml:space="preserve"> Платеж не является авансовым;</w:t>
            </w:r>
          </w:p>
          <w:p w14:paraId="7AFE8BC0" w14:textId="77777777" w:rsidR="00AD1F54" w:rsidRPr="00264D5D" w:rsidRDefault="007E4E7F" w:rsidP="00E7460C">
            <w:pPr>
              <w:pStyle w:val="GOSTTablenorm"/>
              <w:numPr>
                <w:ilvl w:val="0"/>
                <w:numId w:val="79"/>
              </w:numPr>
              <w:ind w:left="284" w:hanging="227"/>
              <w:rPr>
                <w:szCs w:val="22"/>
              </w:rPr>
            </w:pPr>
            <w:r w:rsidRPr="00264D5D">
              <w:t xml:space="preserve"> Платеж является авансовым</w:t>
            </w:r>
          </w:p>
        </w:tc>
      </w:tr>
    </w:tbl>
    <w:p w14:paraId="60D6ADCC" w14:textId="77777777" w:rsidR="00AD1F54" w:rsidRPr="00264D5D" w:rsidRDefault="00941227">
      <w:pPr>
        <w:pStyle w:val="31"/>
      </w:pPr>
      <w:r w:rsidRPr="00264D5D">
        <w:t xml:space="preserve"> </w:t>
      </w:r>
      <w:bookmarkStart w:id="986" w:name="_Toc39766116"/>
      <w:bookmarkStart w:id="987" w:name="_Toc219309525"/>
      <w:r w:rsidRPr="00264D5D">
        <w:t>Описание комплексного типа «tMSC_ShrtPyKndComplex»</w:t>
      </w:r>
      <w:bookmarkEnd w:id="986"/>
      <w:bookmarkEnd w:id="987"/>
    </w:p>
    <w:p w14:paraId="26D64ADF" w14:textId="77777777" w:rsidR="00AD1F54" w:rsidRPr="00264D5D" w:rsidRDefault="00941227">
      <w:pPr>
        <w:pStyle w:val="GOSTNormal"/>
      </w:pPr>
      <w:r w:rsidRPr="00264D5D">
        <w:t>Описание комплексного типа «tMSC_ShrtPyKndComplex» блока «Вид платежа».</w:t>
      </w:r>
    </w:p>
    <w:p w14:paraId="060305BC" w14:textId="092E66B6"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988" w:name="_Ref39763177"/>
      <w:bookmarkStart w:id="989" w:name="_Toc219309115"/>
      <w:r w:rsidR="008D797C">
        <w:rPr>
          <w:noProof/>
        </w:rPr>
        <w:t>85</w:t>
      </w:r>
      <w:bookmarkEnd w:id="988"/>
      <w:r w:rsidRPr="00264D5D">
        <w:fldChar w:fldCharType="end"/>
      </w:r>
      <w:r w:rsidRPr="00264D5D">
        <w:rPr>
          <w:rFonts w:eastAsia="Calibri"/>
          <w:szCs w:val="24"/>
        </w:rPr>
        <w:t xml:space="preserve"> –</w:t>
      </w:r>
      <w:r w:rsidRPr="00264D5D">
        <w:t xml:space="preserve"> Описание комплексного типа «tMSC_ShrtPyKndComplex»</w:t>
      </w:r>
      <w:bookmarkEnd w:id="989"/>
    </w:p>
    <w:tbl>
      <w:tblPr>
        <w:tblStyle w:val="GOSTTable"/>
        <w:tblW w:w="5000" w:type="pct"/>
        <w:tblLayout w:type="fixed"/>
        <w:tblLook w:val="04A0" w:firstRow="1" w:lastRow="0" w:firstColumn="1" w:lastColumn="0" w:noHBand="0" w:noVBand="1"/>
      </w:tblPr>
      <w:tblGrid>
        <w:gridCol w:w="1707"/>
        <w:gridCol w:w="1702"/>
        <w:gridCol w:w="567"/>
        <w:gridCol w:w="1135"/>
        <w:gridCol w:w="567"/>
        <w:gridCol w:w="3972"/>
      </w:tblGrid>
      <w:tr w:rsidR="00AD1F54" w:rsidRPr="00264D5D" w14:paraId="7D657D2A"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5" w:type="dxa"/>
          </w:tcPr>
          <w:p w14:paraId="3CFFC408" w14:textId="77777777" w:rsidR="00AD1F54" w:rsidRPr="00264D5D" w:rsidRDefault="00941227">
            <w:pPr>
              <w:pStyle w:val="ASFKTableHead"/>
            </w:pPr>
            <w:r w:rsidRPr="00264D5D">
              <w:t>Наименование элемента</w:t>
            </w:r>
          </w:p>
        </w:tc>
        <w:tc>
          <w:tcPr>
            <w:tcW w:w="1701" w:type="dxa"/>
          </w:tcPr>
          <w:p w14:paraId="3B102C5E" w14:textId="77777777" w:rsidR="00AD1F54" w:rsidRPr="00264D5D" w:rsidRDefault="00941227">
            <w:pPr>
              <w:pStyle w:val="ASFKTableHead"/>
            </w:pPr>
            <w:r w:rsidRPr="00264D5D">
              <w:t>Сокращенное наименование (код) элемента</w:t>
            </w:r>
          </w:p>
        </w:tc>
        <w:tc>
          <w:tcPr>
            <w:tcW w:w="567" w:type="dxa"/>
          </w:tcPr>
          <w:p w14:paraId="7682D43B" w14:textId="77777777" w:rsidR="00AD1F54" w:rsidRPr="00264D5D" w:rsidRDefault="00941227">
            <w:pPr>
              <w:pStyle w:val="ASFKTableHead"/>
            </w:pPr>
            <w:r w:rsidRPr="00264D5D">
              <w:t>Тип</w:t>
            </w:r>
          </w:p>
        </w:tc>
        <w:tc>
          <w:tcPr>
            <w:tcW w:w="1134" w:type="dxa"/>
          </w:tcPr>
          <w:p w14:paraId="1414E395" w14:textId="77777777" w:rsidR="00AD1F54" w:rsidRPr="00264D5D" w:rsidRDefault="00941227">
            <w:pPr>
              <w:pStyle w:val="ASFKTableHead"/>
            </w:pPr>
            <w:r w:rsidRPr="00264D5D">
              <w:t>Формат элемента</w:t>
            </w:r>
          </w:p>
        </w:tc>
        <w:tc>
          <w:tcPr>
            <w:tcW w:w="567" w:type="dxa"/>
          </w:tcPr>
          <w:p w14:paraId="006B8042" w14:textId="77777777" w:rsidR="00AD1F54" w:rsidRPr="00264D5D" w:rsidRDefault="00941227">
            <w:pPr>
              <w:pStyle w:val="ASFKTableHead"/>
            </w:pPr>
            <w:r w:rsidRPr="00264D5D">
              <w:t>Обязательность</w:t>
            </w:r>
          </w:p>
        </w:tc>
        <w:tc>
          <w:tcPr>
            <w:tcW w:w="3969" w:type="dxa"/>
          </w:tcPr>
          <w:p w14:paraId="37240F23" w14:textId="77777777" w:rsidR="00AD1F54" w:rsidRPr="00264D5D" w:rsidRDefault="00941227">
            <w:pPr>
              <w:pStyle w:val="ASFKTableHead"/>
            </w:pPr>
            <w:r w:rsidRPr="00264D5D">
              <w:t>Дополнительная информация</w:t>
            </w:r>
          </w:p>
        </w:tc>
      </w:tr>
      <w:tr w:rsidR="00AD1F54" w:rsidRPr="00264D5D" w14:paraId="01B1F78A" w14:textId="77777777" w:rsidTr="00AD1F54">
        <w:trPr>
          <w:cnfStyle w:val="000000100000" w:firstRow="0" w:lastRow="0" w:firstColumn="0" w:lastColumn="0" w:oddVBand="0" w:evenVBand="0" w:oddHBand="1" w:evenHBand="0" w:firstRowFirstColumn="0" w:firstRowLastColumn="0" w:lastRowFirstColumn="0" w:lastRowLastColumn="0"/>
        </w:trPr>
        <w:tc>
          <w:tcPr>
            <w:tcW w:w="1705" w:type="dxa"/>
          </w:tcPr>
          <w:p w14:paraId="397FBC8E" w14:textId="77777777" w:rsidR="00AD1F54" w:rsidRPr="00264D5D" w:rsidRDefault="00941227">
            <w:pPr>
              <w:pStyle w:val="GOSTTablenorm"/>
              <w:rPr>
                <w:szCs w:val="22"/>
              </w:rPr>
            </w:pPr>
            <w:r w:rsidRPr="00264D5D">
              <w:rPr>
                <w:szCs w:val="22"/>
              </w:rPr>
              <w:t>Код вида платежа</w:t>
            </w:r>
          </w:p>
        </w:tc>
        <w:tc>
          <w:tcPr>
            <w:tcW w:w="1701" w:type="dxa"/>
          </w:tcPr>
          <w:p w14:paraId="747156A5" w14:textId="77777777" w:rsidR="00AD1F54" w:rsidRPr="00264D5D" w:rsidRDefault="00941227">
            <w:pPr>
              <w:pStyle w:val="GOSTTablenorm"/>
              <w:rPr>
                <w:szCs w:val="22"/>
              </w:rPr>
            </w:pPr>
            <w:r w:rsidRPr="00264D5D">
              <w:rPr>
                <w:szCs w:val="22"/>
              </w:rPr>
              <w:t>сode</w:t>
            </w:r>
          </w:p>
        </w:tc>
        <w:tc>
          <w:tcPr>
            <w:tcW w:w="567" w:type="dxa"/>
          </w:tcPr>
          <w:p w14:paraId="3B15E796" w14:textId="77777777" w:rsidR="00AD1F54" w:rsidRPr="00264D5D" w:rsidRDefault="00941227">
            <w:pPr>
              <w:pStyle w:val="GOSTTablenorm"/>
              <w:jc w:val="center"/>
            </w:pPr>
            <w:r w:rsidRPr="00264D5D">
              <w:t>А</w:t>
            </w:r>
          </w:p>
        </w:tc>
        <w:tc>
          <w:tcPr>
            <w:tcW w:w="1134" w:type="dxa"/>
          </w:tcPr>
          <w:p w14:paraId="526231D8" w14:textId="77777777" w:rsidR="00AD1F54" w:rsidRPr="00264D5D" w:rsidRDefault="00941227">
            <w:pPr>
              <w:pStyle w:val="GOSTTablenorm"/>
            </w:pPr>
            <w:r w:rsidRPr="00264D5D">
              <w:t>-</w:t>
            </w:r>
          </w:p>
        </w:tc>
        <w:tc>
          <w:tcPr>
            <w:tcW w:w="567" w:type="dxa"/>
          </w:tcPr>
          <w:p w14:paraId="1C1F08D5" w14:textId="77777777" w:rsidR="00AD1F54" w:rsidRPr="00264D5D" w:rsidRDefault="00941227">
            <w:pPr>
              <w:pStyle w:val="GOSTTablenorm"/>
              <w:jc w:val="center"/>
            </w:pPr>
            <w:r w:rsidRPr="00264D5D">
              <w:t>О</w:t>
            </w:r>
          </w:p>
        </w:tc>
        <w:tc>
          <w:tcPr>
            <w:tcW w:w="3969" w:type="dxa"/>
          </w:tcPr>
          <w:p w14:paraId="6DA2934A" w14:textId="77777777" w:rsidR="00AD1F54" w:rsidRPr="00264D5D" w:rsidRDefault="00941227">
            <w:pPr>
              <w:pStyle w:val="GOSTTablenorm"/>
            </w:pPr>
            <w:r w:rsidRPr="00264D5D">
              <w:t>Допустимые значения:</w:t>
            </w:r>
          </w:p>
          <w:p w14:paraId="10F97BC4" w14:textId="77777777" w:rsidR="00AD1F54" w:rsidRPr="00264D5D" w:rsidRDefault="00941227" w:rsidP="00E7460C">
            <w:pPr>
              <w:pStyle w:val="GOSTTablenorm"/>
              <w:numPr>
                <w:ilvl w:val="0"/>
                <w:numId w:val="80"/>
              </w:numPr>
              <w:ind w:left="284" w:hanging="227"/>
            </w:pPr>
            <w:r w:rsidRPr="00264D5D">
              <w:t>0 – Пусто;</w:t>
            </w:r>
          </w:p>
          <w:p w14:paraId="4E0DC7AC" w14:textId="77777777" w:rsidR="00AD1F54" w:rsidRPr="00264D5D" w:rsidRDefault="007E4E7F" w:rsidP="00E7460C">
            <w:pPr>
              <w:pStyle w:val="GOSTTablenorm"/>
              <w:numPr>
                <w:ilvl w:val="0"/>
                <w:numId w:val="80"/>
              </w:numPr>
              <w:ind w:left="284" w:hanging="227"/>
            </w:pPr>
            <w:r w:rsidRPr="00264D5D">
              <w:t>4 – Срочно</w:t>
            </w:r>
          </w:p>
        </w:tc>
      </w:tr>
      <w:tr w:rsidR="00AD1F54" w:rsidRPr="00264D5D" w14:paraId="2973F4B0" w14:textId="77777777" w:rsidTr="00AD1F54">
        <w:trPr>
          <w:cnfStyle w:val="000000010000" w:firstRow="0" w:lastRow="0" w:firstColumn="0" w:lastColumn="0" w:oddVBand="0" w:evenVBand="0" w:oddHBand="0" w:evenHBand="1" w:firstRowFirstColumn="0" w:firstRowLastColumn="0" w:lastRowFirstColumn="0" w:lastRowLastColumn="0"/>
          <w:trHeight w:val="1028"/>
        </w:trPr>
        <w:tc>
          <w:tcPr>
            <w:tcW w:w="1705" w:type="dxa"/>
          </w:tcPr>
          <w:p w14:paraId="23722BBF" w14:textId="77777777" w:rsidR="00AD1F54" w:rsidRPr="00264D5D" w:rsidRDefault="00941227">
            <w:pPr>
              <w:pStyle w:val="GOSTTablenorm"/>
              <w:rPr>
                <w:szCs w:val="22"/>
              </w:rPr>
            </w:pPr>
            <w:r w:rsidRPr="00264D5D">
              <w:rPr>
                <w:szCs w:val="22"/>
              </w:rPr>
              <w:t>Значение вида платежа</w:t>
            </w:r>
          </w:p>
        </w:tc>
        <w:tc>
          <w:tcPr>
            <w:tcW w:w="1701" w:type="dxa"/>
          </w:tcPr>
          <w:p w14:paraId="6E050438" w14:textId="77777777" w:rsidR="00AD1F54" w:rsidRPr="00264D5D" w:rsidRDefault="00941227">
            <w:pPr>
              <w:pStyle w:val="GOSTTablenorm"/>
              <w:rPr>
                <w:szCs w:val="22"/>
              </w:rPr>
            </w:pPr>
            <w:r w:rsidRPr="00264D5D">
              <w:rPr>
                <w:szCs w:val="22"/>
              </w:rPr>
              <w:t xml:space="preserve"> value</w:t>
            </w:r>
          </w:p>
        </w:tc>
        <w:tc>
          <w:tcPr>
            <w:tcW w:w="567" w:type="dxa"/>
          </w:tcPr>
          <w:p w14:paraId="517FD446" w14:textId="77777777" w:rsidR="00AD1F54" w:rsidRPr="00264D5D" w:rsidRDefault="00941227">
            <w:pPr>
              <w:pStyle w:val="GOSTTablenorm"/>
              <w:jc w:val="center"/>
            </w:pPr>
            <w:r w:rsidRPr="00264D5D">
              <w:t>А</w:t>
            </w:r>
          </w:p>
        </w:tc>
        <w:tc>
          <w:tcPr>
            <w:tcW w:w="1134" w:type="dxa"/>
          </w:tcPr>
          <w:p w14:paraId="2FFF6C0E" w14:textId="77777777" w:rsidR="00AD1F54" w:rsidRPr="00264D5D" w:rsidRDefault="00941227">
            <w:pPr>
              <w:pStyle w:val="GOSTTablenorm"/>
            </w:pPr>
            <w:r w:rsidRPr="00264D5D">
              <w:t>-</w:t>
            </w:r>
          </w:p>
        </w:tc>
        <w:tc>
          <w:tcPr>
            <w:tcW w:w="567" w:type="dxa"/>
          </w:tcPr>
          <w:p w14:paraId="74E11AC4" w14:textId="77777777" w:rsidR="00AD1F54" w:rsidRPr="00264D5D" w:rsidRDefault="00941227">
            <w:pPr>
              <w:pStyle w:val="GOSTTablenorm"/>
              <w:jc w:val="center"/>
            </w:pPr>
            <w:r w:rsidRPr="00264D5D">
              <w:t>Н</w:t>
            </w:r>
          </w:p>
        </w:tc>
        <w:tc>
          <w:tcPr>
            <w:tcW w:w="3969" w:type="dxa"/>
          </w:tcPr>
          <w:p w14:paraId="7ACCCE8E" w14:textId="77777777" w:rsidR="00AD1F54" w:rsidRPr="00264D5D" w:rsidRDefault="00941227">
            <w:pPr>
              <w:pStyle w:val="GOSTTablenorm"/>
            </w:pPr>
            <w:r w:rsidRPr="00264D5D">
              <w:t>Соответствующие допустимые значения:</w:t>
            </w:r>
          </w:p>
          <w:p w14:paraId="1E1D1972" w14:textId="77777777" w:rsidR="00AD1F54" w:rsidRPr="00264D5D" w:rsidRDefault="00941227" w:rsidP="00E7460C">
            <w:pPr>
              <w:pStyle w:val="GOSTTablenorm"/>
              <w:numPr>
                <w:ilvl w:val="0"/>
                <w:numId w:val="80"/>
              </w:numPr>
              <w:ind w:left="284" w:hanging="227"/>
            </w:pPr>
            <w:r w:rsidRPr="00264D5D">
              <w:t xml:space="preserve"> Пусто</w:t>
            </w:r>
          </w:p>
          <w:p w14:paraId="5D65E7A1" w14:textId="77777777" w:rsidR="00AD1F54" w:rsidRPr="00264D5D" w:rsidRDefault="007E4E7F" w:rsidP="00E7460C">
            <w:pPr>
              <w:pStyle w:val="GOSTTablenorm"/>
              <w:numPr>
                <w:ilvl w:val="0"/>
                <w:numId w:val="80"/>
              </w:numPr>
              <w:ind w:left="284" w:hanging="227"/>
            </w:pPr>
            <w:r w:rsidRPr="00264D5D">
              <w:t xml:space="preserve"> Срочно</w:t>
            </w:r>
          </w:p>
        </w:tc>
      </w:tr>
    </w:tbl>
    <w:p w14:paraId="607EDEAD" w14:textId="77777777" w:rsidR="00AD1F54" w:rsidRPr="00264D5D" w:rsidRDefault="00941227">
      <w:pPr>
        <w:pStyle w:val="31"/>
      </w:pPr>
      <w:bookmarkStart w:id="990" w:name="_Toc219309526"/>
      <w:r w:rsidRPr="00264D5D">
        <w:t>Описание комплексного типа «tMSC_Bnk»</w:t>
      </w:r>
      <w:bookmarkEnd w:id="990"/>
    </w:p>
    <w:p w14:paraId="7E316B69" w14:textId="77777777" w:rsidR="00AD1F54" w:rsidRPr="00264D5D" w:rsidRDefault="00941227">
      <w:pPr>
        <w:pStyle w:val="GOSTNormal"/>
      </w:pPr>
      <w:r w:rsidRPr="00264D5D">
        <w:t>Описание комплексного типа «tMSC_Bnk» блока «Банк</w:t>
      </w:r>
      <w:r w:rsidRPr="00264D5D">
        <w:rPr>
          <w:szCs w:val="22"/>
        </w:rPr>
        <w:t>/ТОФК</w:t>
      </w:r>
      <w:r w:rsidRPr="00264D5D">
        <w:t>».</w:t>
      </w:r>
    </w:p>
    <w:p w14:paraId="48F28FCF" w14:textId="0C2AD572"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991" w:name="_Ref20215145"/>
      <w:bookmarkStart w:id="992" w:name="_Toc219309116"/>
      <w:r w:rsidR="008D797C">
        <w:rPr>
          <w:noProof/>
        </w:rPr>
        <w:t>86</w:t>
      </w:r>
      <w:bookmarkEnd w:id="991"/>
      <w:r w:rsidRPr="00264D5D">
        <w:fldChar w:fldCharType="end"/>
      </w:r>
      <w:r w:rsidRPr="00264D5D">
        <w:t xml:space="preserve"> – Описание комплексного типа «tMSC_Bnk»</w:t>
      </w:r>
      <w:bookmarkEnd w:id="992"/>
    </w:p>
    <w:tbl>
      <w:tblPr>
        <w:tblStyle w:val="GOSTTable"/>
        <w:tblW w:w="5000" w:type="pct"/>
        <w:tblLayout w:type="fixed"/>
        <w:tblLook w:val="04A0" w:firstRow="1" w:lastRow="0" w:firstColumn="1" w:lastColumn="0" w:noHBand="0" w:noVBand="1"/>
      </w:tblPr>
      <w:tblGrid>
        <w:gridCol w:w="1705"/>
        <w:gridCol w:w="1704"/>
        <w:gridCol w:w="567"/>
        <w:gridCol w:w="1137"/>
        <w:gridCol w:w="567"/>
        <w:gridCol w:w="3970"/>
      </w:tblGrid>
      <w:tr w:rsidR="00AD1F54" w:rsidRPr="00264D5D" w14:paraId="517AF07C"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3" w:type="pct"/>
          </w:tcPr>
          <w:p w14:paraId="1C83CAFF" w14:textId="77777777" w:rsidR="00AD1F54" w:rsidRPr="00264D5D" w:rsidRDefault="00941227">
            <w:pPr>
              <w:pStyle w:val="ASFKTableHead"/>
            </w:pPr>
            <w:r w:rsidRPr="00264D5D">
              <w:t>Наименование элемента</w:t>
            </w:r>
          </w:p>
        </w:tc>
        <w:tc>
          <w:tcPr>
            <w:tcW w:w="883" w:type="pct"/>
          </w:tcPr>
          <w:p w14:paraId="070F6777" w14:textId="77777777" w:rsidR="00AD1F54" w:rsidRPr="00264D5D" w:rsidRDefault="00941227">
            <w:pPr>
              <w:pStyle w:val="ASFKTableHead"/>
            </w:pPr>
            <w:r w:rsidRPr="00264D5D">
              <w:t>Сокращенное наименование (код) элемента</w:t>
            </w:r>
          </w:p>
        </w:tc>
        <w:tc>
          <w:tcPr>
            <w:tcW w:w="294" w:type="pct"/>
          </w:tcPr>
          <w:p w14:paraId="7500F700" w14:textId="77777777" w:rsidR="00AD1F54" w:rsidRPr="00264D5D" w:rsidRDefault="00941227">
            <w:pPr>
              <w:pStyle w:val="ASFKTableHead"/>
            </w:pPr>
            <w:r w:rsidRPr="00264D5D">
              <w:t>Тип</w:t>
            </w:r>
          </w:p>
        </w:tc>
        <w:tc>
          <w:tcPr>
            <w:tcW w:w="589" w:type="pct"/>
          </w:tcPr>
          <w:p w14:paraId="4110B2BC" w14:textId="77777777" w:rsidR="00AD1F54" w:rsidRPr="00264D5D" w:rsidRDefault="00941227">
            <w:pPr>
              <w:pStyle w:val="ASFKTableHead"/>
            </w:pPr>
            <w:r w:rsidRPr="00264D5D">
              <w:t>Формат элемента</w:t>
            </w:r>
          </w:p>
        </w:tc>
        <w:tc>
          <w:tcPr>
            <w:tcW w:w="294" w:type="pct"/>
          </w:tcPr>
          <w:p w14:paraId="38A5BA54" w14:textId="77777777" w:rsidR="00AD1F54" w:rsidRPr="00264D5D" w:rsidRDefault="00941227">
            <w:pPr>
              <w:pStyle w:val="ASFKTableHead"/>
            </w:pPr>
            <w:r w:rsidRPr="00264D5D">
              <w:t>Обязательность</w:t>
            </w:r>
          </w:p>
        </w:tc>
        <w:tc>
          <w:tcPr>
            <w:tcW w:w="2058" w:type="pct"/>
          </w:tcPr>
          <w:p w14:paraId="48E9EECC" w14:textId="77777777" w:rsidR="00AD1F54" w:rsidRPr="00264D5D" w:rsidRDefault="00941227">
            <w:pPr>
              <w:pStyle w:val="ASFKTableHead"/>
            </w:pPr>
            <w:r w:rsidRPr="00264D5D">
              <w:t>Дополнительная информация</w:t>
            </w:r>
          </w:p>
        </w:tc>
      </w:tr>
      <w:tr w:rsidR="00AD1F54" w:rsidRPr="00264D5D" w14:paraId="2403E79F"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74689FDB" w14:textId="77777777" w:rsidR="00AD1F54" w:rsidRPr="00264D5D" w:rsidRDefault="00941227">
            <w:pPr>
              <w:pStyle w:val="GOSTTablenorm"/>
              <w:widowControl w:val="0"/>
            </w:pPr>
            <w:r w:rsidRPr="00264D5D">
              <w:t>Счет контрагента</w:t>
            </w:r>
          </w:p>
        </w:tc>
        <w:tc>
          <w:tcPr>
            <w:tcW w:w="883" w:type="pct"/>
          </w:tcPr>
          <w:p w14:paraId="6CC99A74" w14:textId="77777777" w:rsidR="00AD1F54" w:rsidRPr="00264D5D" w:rsidRDefault="00941227">
            <w:pPr>
              <w:pStyle w:val="GOSTTablenorm"/>
              <w:widowControl w:val="0"/>
            </w:pPr>
            <w:r w:rsidRPr="00264D5D">
              <w:t>AcNm</w:t>
            </w:r>
          </w:p>
        </w:tc>
        <w:tc>
          <w:tcPr>
            <w:tcW w:w="294" w:type="pct"/>
          </w:tcPr>
          <w:p w14:paraId="0D3744C3" w14:textId="77777777" w:rsidR="00AD1F54" w:rsidRPr="00264D5D" w:rsidRDefault="00941227">
            <w:pPr>
              <w:pStyle w:val="GOSTTablenorm"/>
              <w:widowControl w:val="0"/>
              <w:jc w:val="center"/>
            </w:pPr>
            <w:r w:rsidRPr="00264D5D">
              <w:t>П</w:t>
            </w:r>
          </w:p>
        </w:tc>
        <w:tc>
          <w:tcPr>
            <w:tcW w:w="589" w:type="pct"/>
          </w:tcPr>
          <w:p w14:paraId="1C55A09E" w14:textId="77777777" w:rsidR="00AD1F54" w:rsidRPr="00264D5D" w:rsidRDefault="00941227">
            <w:pPr>
              <w:pStyle w:val="GOSTTablenorm"/>
              <w:widowControl w:val="0"/>
            </w:pPr>
            <w:r w:rsidRPr="00264D5D">
              <w:t>Т(1-3</w:t>
            </w:r>
            <w:r w:rsidRPr="00264D5D">
              <w:rPr>
                <w:lang w:val="en-US"/>
              </w:rPr>
              <w:t>4</w:t>
            </w:r>
            <w:r w:rsidRPr="00264D5D">
              <w:t>)</w:t>
            </w:r>
          </w:p>
        </w:tc>
        <w:tc>
          <w:tcPr>
            <w:tcW w:w="294" w:type="pct"/>
          </w:tcPr>
          <w:p w14:paraId="1BFF9495" w14:textId="77777777" w:rsidR="00AD1F54" w:rsidRPr="00264D5D" w:rsidRDefault="00941227">
            <w:pPr>
              <w:pStyle w:val="GOSTTablenorm"/>
              <w:widowControl w:val="0"/>
              <w:jc w:val="center"/>
            </w:pPr>
            <w:r w:rsidRPr="00264D5D">
              <w:t>Н</w:t>
            </w:r>
          </w:p>
        </w:tc>
        <w:tc>
          <w:tcPr>
            <w:tcW w:w="2058" w:type="pct"/>
          </w:tcPr>
          <w:p w14:paraId="36F3E109" w14:textId="77777777" w:rsidR="00AD1F54" w:rsidRPr="00264D5D" w:rsidRDefault="00941227">
            <w:pPr>
              <w:widowControl w:val="0"/>
              <w:spacing w:before="60" w:after="60"/>
              <w:rPr>
                <w:sz w:val="22"/>
                <w:szCs w:val="22"/>
              </w:rPr>
            </w:pPr>
            <w:r w:rsidRPr="00264D5D">
              <w:rPr>
                <w:sz w:val="22"/>
                <w:szCs w:val="22"/>
              </w:rPr>
              <w:t>Указывается:</w:t>
            </w:r>
          </w:p>
          <w:p w14:paraId="450CE5FE" w14:textId="77777777" w:rsidR="00AD1F54" w:rsidRPr="00264D5D" w:rsidRDefault="00941227" w:rsidP="00E7460C">
            <w:pPr>
              <w:pStyle w:val="af5"/>
              <w:widowControl w:val="0"/>
              <w:numPr>
                <w:ilvl w:val="0"/>
                <w:numId w:val="86"/>
              </w:numPr>
              <w:spacing w:before="60" w:after="60"/>
              <w:ind w:left="284" w:hanging="227"/>
              <w:contextualSpacing/>
              <w:jc w:val="both"/>
              <w:rPr>
                <w:sz w:val="22"/>
                <w:szCs w:val="22"/>
              </w:rPr>
            </w:pPr>
            <w:r w:rsidRPr="00264D5D">
              <w:rPr>
                <w:sz w:val="22"/>
                <w:szCs w:val="22"/>
              </w:rPr>
              <w:t xml:space="preserve">казначейский счет, в ТОФК, если получатель денежных средств </w:t>
            </w:r>
            <w:r w:rsidRPr="00264D5D">
              <w:rPr>
                <w:sz w:val="22"/>
                <w:szCs w:val="22"/>
              </w:rPr>
              <w:lastRenderedPageBreak/>
              <w:t>обслуживается в ТОФК;</w:t>
            </w:r>
          </w:p>
          <w:p w14:paraId="1AE0254E" w14:textId="77777777" w:rsidR="00AD1F54" w:rsidRPr="00264D5D" w:rsidRDefault="00941227" w:rsidP="00E7460C">
            <w:pPr>
              <w:pStyle w:val="af5"/>
              <w:widowControl w:val="0"/>
              <w:numPr>
                <w:ilvl w:val="0"/>
                <w:numId w:val="86"/>
              </w:numPr>
              <w:spacing w:before="60" w:after="60"/>
              <w:ind w:left="284" w:hanging="227"/>
              <w:contextualSpacing/>
              <w:jc w:val="both"/>
              <w:rPr>
                <w:sz w:val="22"/>
                <w:szCs w:val="22"/>
              </w:rPr>
            </w:pPr>
            <w:r w:rsidRPr="00264D5D">
              <w:rPr>
                <w:sz w:val="22"/>
                <w:szCs w:val="22"/>
              </w:rPr>
              <w:t xml:space="preserve">расчетный счет – в иных случаях. Если реквизит «Код валюты» имеет значение равное </w:t>
            </w:r>
            <w:r w:rsidR="007E4E7F" w:rsidRPr="00264D5D">
              <w:rPr>
                <w:sz w:val="22"/>
                <w:szCs w:val="22"/>
              </w:rPr>
              <w:t>«643», то длина поля = 20</w:t>
            </w:r>
          </w:p>
        </w:tc>
      </w:tr>
      <w:tr w:rsidR="00AD1F54" w:rsidRPr="00264D5D" w14:paraId="2D98BC16"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3" w:type="pct"/>
          </w:tcPr>
          <w:p w14:paraId="44D980C6" w14:textId="77777777" w:rsidR="00AD1F54" w:rsidRPr="00264D5D" w:rsidRDefault="00941227">
            <w:pPr>
              <w:pStyle w:val="GOSTTablenorm"/>
              <w:widowControl w:val="0"/>
            </w:pPr>
            <w:r w:rsidRPr="00264D5D">
              <w:lastRenderedPageBreak/>
              <w:t>Наименование банка контрагента</w:t>
            </w:r>
          </w:p>
        </w:tc>
        <w:tc>
          <w:tcPr>
            <w:tcW w:w="883" w:type="pct"/>
          </w:tcPr>
          <w:p w14:paraId="672E06BE" w14:textId="77777777" w:rsidR="00AD1F54" w:rsidRPr="00264D5D" w:rsidRDefault="00941227">
            <w:pPr>
              <w:pStyle w:val="GOSTTablenorm"/>
              <w:widowControl w:val="0"/>
            </w:pPr>
            <w:r w:rsidRPr="00264D5D">
              <w:t>Nm</w:t>
            </w:r>
          </w:p>
        </w:tc>
        <w:tc>
          <w:tcPr>
            <w:tcW w:w="294" w:type="pct"/>
          </w:tcPr>
          <w:p w14:paraId="6BC5868E" w14:textId="77777777" w:rsidR="00AD1F54" w:rsidRPr="00264D5D" w:rsidRDefault="00941227">
            <w:pPr>
              <w:pStyle w:val="GOSTTablenorm"/>
              <w:widowControl w:val="0"/>
              <w:jc w:val="center"/>
            </w:pPr>
            <w:r w:rsidRPr="00264D5D">
              <w:t>П</w:t>
            </w:r>
          </w:p>
        </w:tc>
        <w:tc>
          <w:tcPr>
            <w:tcW w:w="589" w:type="pct"/>
          </w:tcPr>
          <w:p w14:paraId="13C7E622" w14:textId="77777777" w:rsidR="00AD1F54" w:rsidRPr="00264D5D" w:rsidRDefault="00941227">
            <w:pPr>
              <w:pStyle w:val="GOSTTablenorm"/>
              <w:widowControl w:val="0"/>
            </w:pPr>
            <w:r w:rsidRPr="00264D5D">
              <w:t>Т(1-160)</w:t>
            </w:r>
          </w:p>
        </w:tc>
        <w:tc>
          <w:tcPr>
            <w:tcW w:w="294" w:type="pct"/>
          </w:tcPr>
          <w:p w14:paraId="76D4533B" w14:textId="77777777" w:rsidR="00AD1F54" w:rsidRPr="00264D5D" w:rsidRDefault="00941227">
            <w:pPr>
              <w:pStyle w:val="GOSTTablenorm"/>
              <w:widowControl w:val="0"/>
              <w:jc w:val="center"/>
            </w:pPr>
            <w:r w:rsidRPr="00264D5D">
              <w:t>О</w:t>
            </w:r>
          </w:p>
        </w:tc>
        <w:tc>
          <w:tcPr>
            <w:tcW w:w="2058" w:type="pct"/>
          </w:tcPr>
          <w:p w14:paraId="4A89F711" w14:textId="77777777" w:rsidR="00AD1F54" w:rsidRPr="00264D5D" w:rsidRDefault="00941227">
            <w:pPr>
              <w:widowControl w:val="0"/>
              <w:spacing w:before="60" w:after="60"/>
              <w:rPr>
                <w:sz w:val="22"/>
                <w:szCs w:val="22"/>
              </w:rPr>
            </w:pPr>
            <w:r w:rsidRPr="00264D5D">
              <w:rPr>
                <w:sz w:val="22"/>
                <w:szCs w:val="22"/>
              </w:rPr>
              <w:t>Указывается:</w:t>
            </w:r>
          </w:p>
          <w:p w14:paraId="29D8321A" w14:textId="77777777" w:rsidR="00AD1F54" w:rsidRPr="00264D5D" w:rsidRDefault="00941227" w:rsidP="00E7460C">
            <w:pPr>
              <w:pStyle w:val="af5"/>
              <w:widowControl w:val="0"/>
              <w:numPr>
                <w:ilvl w:val="0"/>
                <w:numId w:val="86"/>
              </w:numPr>
              <w:ind w:left="284" w:hanging="227"/>
              <w:contextualSpacing/>
              <w:jc w:val="both"/>
              <w:rPr>
                <w:sz w:val="22"/>
                <w:szCs w:val="22"/>
              </w:rPr>
            </w:pPr>
            <w:r w:rsidRPr="00264D5D">
              <w:rPr>
                <w:sz w:val="22"/>
                <w:szCs w:val="22"/>
              </w:rPr>
              <w:t>наименование банка, обслуживающего ТОФК получателя, знак «//», сокращенное наименование и место нахождения ТОФК получателя, если получатель платежа является участником СКП;</w:t>
            </w:r>
          </w:p>
          <w:p w14:paraId="6606CAA3" w14:textId="77777777" w:rsidR="00AD1F54" w:rsidRPr="00264D5D" w:rsidRDefault="00941227" w:rsidP="00E7460C">
            <w:pPr>
              <w:pStyle w:val="af5"/>
              <w:widowControl w:val="0"/>
              <w:numPr>
                <w:ilvl w:val="0"/>
                <w:numId w:val="86"/>
              </w:numPr>
              <w:spacing w:before="60" w:after="60"/>
              <w:ind w:left="284" w:hanging="227"/>
              <w:contextualSpacing/>
              <w:jc w:val="both"/>
              <w:rPr>
                <w:sz w:val="22"/>
                <w:szCs w:val="22"/>
              </w:rPr>
            </w:pPr>
            <w:r w:rsidRPr="00264D5D">
              <w:rPr>
                <w:sz w:val="22"/>
                <w:szCs w:val="22"/>
              </w:rPr>
              <w:t>наименование банка, в котором открыт сч</w:t>
            </w:r>
            <w:r w:rsidR="007E4E7F" w:rsidRPr="00264D5D">
              <w:rPr>
                <w:sz w:val="22"/>
                <w:szCs w:val="22"/>
              </w:rPr>
              <w:t>ет контрагента, в иных случаях.</w:t>
            </w:r>
          </w:p>
        </w:tc>
      </w:tr>
      <w:tr w:rsidR="00AD1F54" w:rsidRPr="00264D5D" w14:paraId="434D4B15"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57746EE8" w14:textId="77777777" w:rsidR="00AD1F54" w:rsidRPr="00264D5D" w:rsidRDefault="00941227">
            <w:pPr>
              <w:pStyle w:val="GOSTTablenorm"/>
              <w:widowControl w:val="0"/>
            </w:pPr>
            <w:r w:rsidRPr="00264D5D">
              <w:t>БИК банка контрагента/ТОФК</w:t>
            </w:r>
          </w:p>
        </w:tc>
        <w:tc>
          <w:tcPr>
            <w:tcW w:w="883" w:type="pct"/>
          </w:tcPr>
          <w:p w14:paraId="28CFAF19" w14:textId="77777777" w:rsidR="00AD1F54" w:rsidRPr="00264D5D" w:rsidRDefault="00941227">
            <w:pPr>
              <w:pStyle w:val="GOSTTablenorm"/>
              <w:widowControl w:val="0"/>
            </w:pPr>
            <w:r w:rsidRPr="00264D5D">
              <w:t>BIK</w:t>
            </w:r>
          </w:p>
        </w:tc>
        <w:tc>
          <w:tcPr>
            <w:tcW w:w="294" w:type="pct"/>
          </w:tcPr>
          <w:p w14:paraId="427D0C60" w14:textId="77777777" w:rsidR="00AD1F54" w:rsidRPr="00264D5D" w:rsidRDefault="00941227">
            <w:pPr>
              <w:pStyle w:val="GOSTTablenorm"/>
              <w:widowControl w:val="0"/>
              <w:jc w:val="center"/>
            </w:pPr>
            <w:r w:rsidRPr="00264D5D">
              <w:t>П</w:t>
            </w:r>
          </w:p>
        </w:tc>
        <w:tc>
          <w:tcPr>
            <w:tcW w:w="589" w:type="pct"/>
          </w:tcPr>
          <w:p w14:paraId="5250A4DA" w14:textId="77777777" w:rsidR="00AD1F54" w:rsidRPr="00264D5D" w:rsidRDefault="00941227">
            <w:pPr>
              <w:pStyle w:val="GOSTTablenorm"/>
              <w:widowControl w:val="0"/>
            </w:pPr>
            <w:r w:rsidRPr="00264D5D">
              <w:t>Т(9)</w:t>
            </w:r>
          </w:p>
        </w:tc>
        <w:tc>
          <w:tcPr>
            <w:tcW w:w="294" w:type="pct"/>
          </w:tcPr>
          <w:p w14:paraId="7AD12133" w14:textId="77777777" w:rsidR="00AD1F54" w:rsidRPr="00264D5D" w:rsidRDefault="00941227">
            <w:pPr>
              <w:pStyle w:val="GOSTTablenorm"/>
              <w:widowControl w:val="0"/>
              <w:jc w:val="center"/>
            </w:pPr>
            <w:r w:rsidRPr="00264D5D">
              <w:t>Н</w:t>
            </w:r>
          </w:p>
        </w:tc>
        <w:tc>
          <w:tcPr>
            <w:tcW w:w="2058" w:type="pct"/>
          </w:tcPr>
          <w:p w14:paraId="43F391D8" w14:textId="77777777" w:rsidR="00AD1F54" w:rsidRPr="00264D5D" w:rsidRDefault="00941227">
            <w:pPr>
              <w:widowControl w:val="0"/>
              <w:spacing w:before="60" w:after="60"/>
              <w:rPr>
                <w:sz w:val="22"/>
                <w:szCs w:val="22"/>
              </w:rPr>
            </w:pPr>
            <w:r w:rsidRPr="00264D5D">
              <w:rPr>
                <w:sz w:val="22"/>
                <w:szCs w:val="22"/>
              </w:rPr>
              <w:t>Указывается:</w:t>
            </w:r>
          </w:p>
          <w:p w14:paraId="722EF018" w14:textId="77777777" w:rsidR="00AD1F54" w:rsidRPr="00264D5D" w:rsidRDefault="00941227" w:rsidP="00E7460C">
            <w:pPr>
              <w:pStyle w:val="af5"/>
              <w:widowControl w:val="0"/>
              <w:numPr>
                <w:ilvl w:val="0"/>
                <w:numId w:val="86"/>
              </w:numPr>
              <w:spacing w:before="60" w:after="60"/>
              <w:ind w:left="284" w:hanging="227"/>
              <w:contextualSpacing/>
              <w:jc w:val="both"/>
              <w:rPr>
                <w:sz w:val="22"/>
                <w:szCs w:val="22"/>
              </w:rPr>
            </w:pPr>
            <w:r w:rsidRPr="00264D5D">
              <w:rPr>
                <w:sz w:val="22"/>
                <w:szCs w:val="22"/>
              </w:rPr>
              <w:t>БИК ТОФК, если получатель денежных средств обслуживается в ТОФК;</w:t>
            </w:r>
          </w:p>
          <w:p w14:paraId="0DBDC6C0" w14:textId="77777777" w:rsidR="00AD1F54" w:rsidRPr="00264D5D" w:rsidRDefault="00941227" w:rsidP="00E7460C">
            <w:pPr>
              <w:pStyle w:val="af5"/>
              <w:widowControl w:val="0"/>
              <w:numPr>
                <w:ilvl w:val="0"/>
                <w:numId w:val="86"/>
              </w:numPr>
              <w:spacing w:before="60" w:after="60"/>
              <w:ind w:left="284" w:hanging="227"/>
              <w:contextualSpacing/>
              <w:jc w:val="both"/>
              <w:rPr>
                <w:sz w:val="22"/>
                <w:szCs w:val="22"/>
              </w:rPr>
            </w:pPr>
            <w:r w:rsidRPr="00264D5D">
              <w:rPr>
                <w:sz w:val="22"/>
                <w:szCs w:val="22"/>
              </w:rPr>
              <w:t>БИК банка, в котором открыт счет контрагента, в иных случаях.</w:t>
            </w:r>
          </w:p>
          <w:p w14:paraId="447E7B4E" w14:textId="77777777" w:rsidR="00AD1F54" w:rsidRPr="00264D5D" w:rsidRDefault="00941227">
            <w:pPr>
              <w:widowControl w:val="0"/>
              <w:spacing w:before="60" w:after="60"/>
              <w:rPr>
                <w:szCs w:val="22"/>
              </w:rPr>
            </w:pPr>
            <w:r w:rsidRPr="00264D5D">
              <w:rPr>
                <w:sz w:val="22"/>
                <w:szCs w:val="22"/>
              </w:rPr>
              <w:t>Обязательно для заполнения при оформле</w:t>
            </w:r>
            <w:r w:rsidR="007E4E7F" w:rsidRPr="00264D5D">
              <w:rPr>
                <w:sz w:val="22"/>
                <w:szCs w:val="22"/>
              </w:rPr>
              <w:t>нии Заявки в валюте РФ (рублях)</w:t>
            </w:r>
          </w:p>
        </w:tc>
      </w:tr>
      <w:tr w:rsidR="00AD1F54" w:rsidRPr="00264D5D" w14:paraId="6983F7CD"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3" w:type="pct"/>
          </w:tcPr>
          <w:p w14:paraId="0746461D" w14:textId="77777777" w:rsidR="00AD1F54" w:rsidRPr="00264D5D" w:rsidRDefault="00941227">
            <w:pPr>
              <w:pStyle w:val="GOSTTablenorm"/>
              <w:widowControl w:val="0"/>
            </w:pPr>
            <w:r w:rsidRPr="00264D5D">
              <w:t>Корсчет банка контрагента/ТОФК</w:t>
            </w:r>
          </w:p>
        </w:tc>
        <w:tc>
          <w:tcPr>
            <w:tcW w:w="883" w:type="pct"/>
          </w:tcPr>
          <w:p w14:paraId="2DFC8613" w14:textId="77777777" w:rsidR="00AD1F54" w:rsidRPr="00264D5D" w:rsidRDefault="00941227">
            <w:pPr>
              <w:pStyle w:val="GOSTTablenorm"/>
              <w:widowControl w:val="0"/>
            </w:pPr>
            <w:r w:rsidRPr="00264D5D">
              <w:t>CrAccNm</w:t>
            </w:r>
          </w:p>
        </w:tc>
        <w:tc>
          <w:tcPr>
            <w:tcW w:w="294" w:type="pct"/>
          </w:tcPr>
          <w:p w14:paraId="4BB061F1" w14:textId="77777777" w:rsidR="00AD1F54" w:rsidRPr="00264D5D" w:rsidRDefault="00941227">
            <w:pPr>
              <w:pStyle w:val="GOSTTablenorm"/>
              <w:widowControl w:val="0"/>
              <w:jc w:val="center"/>
            </w:pPr>
            <w:r w:rsidRPr="00264D5D">
              <w:t>П</w:t>
            </w:r>
          </w:p>
        </w:tc>
        <w:tc>
          <w:tcPr>
            <w:tcW w:w="589" w:type="pct"/>
          </w:tcPr>
          <w:p w14:paraId="48AA28A0" w14:textId="77777777" w:rsidR="00AD1F54" w:rsidRPr="00264D5D" w:rsidRDefault="00941227">
            <w:pPr>
              <w:pStyle w:val="GOSTTablenorm"/>
              <w:widowControl w:val="0"/>
            </w:pPr>
            <w:r w:rsidRPr="00264D5D">
              <w:t>Т(1-3</w:t>
            </w:r>
            <w:r w:rsidRPr="00264D5D">
              <w:rPr>
                <w:lang w:val="en-US"/>
              </w:rPr>
              <w:t>4</w:t>
            </w:r>
            <w:r w:rsidRPr="00264D5D">
              <w:t>)</w:t>
            </w:r>
          </w:p>
        </w:tc>
        <w:tc>
          <w:tcPr>
            <w:tcW w:w="294" w:type="pct"/>
          </w:tcPr>
          <w:p w14:paraId="42E5664E" w14:textId="77777777" w:rsidR="00AD1F54" w:rsidRPr="00264D5D" w:rsidRDefault="00941227">
            <w:pPr>
              <w:pStyle w:val="GOSTTablenorm"/>
              <w:widowControl w:val="0"/>
              <w:jc w:val="center"/>
            </w:pPr>
            <w:r w:rsidRPr="00264D5D">
              <w:t>Н</w:t>
            </w:r>
          </w:p>
        </w:tc>
        <w:tc>
          <w:tcPr>
            <w:tcW w:w="2058" w:type="pct"/>
          </w:tcPr>
          <w:p w14:paraId="7592928D" w14:textId="77777777" w:rsidR="00AD1F54" w:rsidRPr="00264D5D" w:rsidRDefault="00941227">
            <w:pPr>
              <w:widowControl w:val="0"/>
              <w:spacing w:before="60" w:after="60"/>
              <w:rPr>
                <w:sz w:val="22"/>
                <w:szCs w:val="22"/>
              </w:rPr>
            </w:pPr>
            <w:r w:rsidRPr="00264D5D">
              <w:rPr>
                <w:sz w:val="22"/>
                <w:szCs w:val="22"/>
              </w:rPr>
              <w:t>Указывается:</w:t>
            </w:r>
          </w:p>
          <w:p w14:paraId="130D31B9" w14:textId="77777777" w:rsidR="00AD1F54" w:rsidRPr="00264D5D" w:rsidRDefault="00941227" w:rsidP="00E7460C">
            <w:pPr>
              <w:pStyle w:val="af5"/>
              <w:widowControl w:val="0"/>
              <w:numPr>
                <w:ilvl w:val="0"/>
                <w:numId w:val="86"/>
              </w:numPr>
              <w:spacing w:before="60" w:after="60"/>
              <w:ind w:left="284" w:hanging="227"/>
              <w:contextualSpacing/>
              <w:jc w:val="both"/>
              <w:rPr>
                <w:sz w:val="22"/>
                <w:szCs w:val="22"/>
              </w:rPr>
            </w:pPr>
            <w:r w:rsidRPr="00264D5D">
              <w:rPr>
                <w:sz w:val="22"/>
                <w:szCs w:val="22"/>
              </w:rPr>
              <w:t>корсчет ТОФК, в котором обслуживается получатель денежных средств;</w:t>
            </w:r>
          </w:p>
          <w:p w14:paraId="7C393B7A" w14:textId="77777777" w:rsidR="00AD1F54" w:rsidRPr="00264D5D" w:rsidRDefault="00941227" w:rsidP="00E7460C">
            <w:pPr>
              <w:pStyle w:val="af5"/>
              <w:widowControl w:val="0"/>
              <w:numPr>
                <w:ilvl w:val="0"/>
                <w:numId w:val="86"/>
              </w:numPr>
              <w:spacing w:before="60" w:after="60"/>
              <w:ind w:left="284" w:hanging="227"/>
              <w:contextualSpacing/>
              <w:jc w:val="both"/>
              <w:rPr>
                <w:sz w:val="22"/>
                <w:szCs w:val="22"/>
              </w:rPr>
            </w:pPr>
            <w:r w:rsidRPr="00264D5D">
              <w:rPr>
                <w:sz w:val="22"/>
                <w:szCs w:val="22"/>
              </w:rPr>
              <w:t xml:space="preserve">корсчет банка контрагента, в иных случаях. Поле заполняется, если банк контрагента не является ГРКЦ/РКЦ. </w:t>
            </w:r>
          </w:p>
          <w:p w14:paraId="3AABBD25" w14:textId="77777777" w:rsidR="00AD1F54" w:rsidRPr="00264D5D" w:rsidRDefault="00941227">
            <w:pPr>
              <w:widowControl w:val="0"/>
              <w:spacing w:before="60" w:after="60"/>
              <w:rPr>
                <w:sz w:val="22"/>
                <w:szCs w:val="22"/>
              </w:rPr>
            </w:pPr>
            <w:r w:rsidRPr="00264D5D">
              <w:rPr>
                <w:sz w:val="22"/>
                <w:szCs w:val="22"/>
              </w:rPr>
              <w:t xml:space="preserve">Если реквизит «Код валюты» имеет значение </w:t>
            </w:r>
            <w:r w:rsidR="007E4E7F" w:rsidRPr="00264D5D">
              <w:rPr>
                <w:sz w:val="22"/>
                <w:szCs w:val="22"/>
              </w:rPr>
              <w:t>равное «643», то длина поля =20</w:t>
            </w:r>
          </w:p>
        </w:tc>
      </w:tr>
    </w:tbl>
    <w:p w14:paraId="06C658A1" w14:textId="77777777" w:rsidR="00AD1F54" w:rsidRPr="00264D5D" w:rsidRDefault="00941227">
      <w:pPr>
        <w:pStyle w:val="31"/>
      </w:pPr>
      <w:bookmarkStart w:id="993" w:name="_Toc219309527"/>
      <w:r w:rsidRPr="00264D5D">
        <w:t>Описание комплексного типа «tZROSN»</w:t>
      </w:r>
      <w:bookmarkEnd w:id="978"/>
      <w:bookmarkEnd w:id="993"/>
    </w:p>
    <w:p w14:paraId="0242D436" w14:textId="77777777" w:rsidR="00AD1F54" w:rsidRPr="00264D5D" w:rsidRDefault="00941227">
      <w:pPr>
        <w:pStyle w:val="GOSTNormal"/>
      </w:pPr>
      <w:r w:rsidRPr="00264D5D">
        <w:t>Описание комплексного типа «tZROSN» блока «Реквизиты документов-оснований».</w:t>
      </w:r>
    </w:p>
    <w:p w14:paraId="58D3C62D" w14:textId="0F0F9B4A" w:rsidR="00AD1F54" w:rsidRPr="00264D5D" w:rsidRDefault="00941227">
      <w:pPr>
        <w:pStyle w:val="GOSTNameTable"/>
        <w:numPr>
          <w:ilvl w:val="0"/>
          <w:numId w:val="2"/>
        </w:numPr>
        <w:ind w:left="425" w:hanging="357"/>
      </w:pPr>
      <w:r w:rsidRPr="00264D5D">
        <w:lastRenderedPageBreak/>
        <w:fldChar w:fldCharType="begin"/>
      </w:r>
      <w:r w:rsidRPr="00264D5D">
        <w:instrText>SEQ Таблица \* ARABIC</w:instrText>
      </w:r>
      <w:r w:rsidRPr="00264D5D">
        <w:fldChar w:fldCharType="separate"/>
      </w:r>
      <w:bookmarkStart w:id="994" w:name="_Ref526861476"/>
      <w:bookmarkStart w:id="995" w:name="_Toc18509535"/>
      <w:bookmarkStart w:id="996" w:name="_Toc219309117"/>
      <w:r w:rsidR="008D797C">
        <w:rPr>
          <w:noProof/>
        </w:rPr>
        <w:t>87</w:t>
      </w:r>
      <w:bookmarkEnd w:id="994"/>
      <w:r w:rsidRPr="00264D5D">
        <w:fldChar w:fldCharType="end"/>
      </w:r>
      <w:r w:rsidRPr="00264D5D">
        <w:t xml:space="preserve"> – Описание комплексного типа «tZROSN»</w:t>
      </w:r>
      <w:bookmarkEnd w:id="995"/>
      <w:bookmarkEnd w:id="996"/>
    </w:p>
    <w:tbl>
      <w:tblPr>
        <w:tblStyle w:val="GOSTTable"/>
        <w:tblW w:w="5000" w:type="pct"/>
        <w:tblLayout w:type="fixed"/>
        <w:tblLook w:val="04A0" w:firstRow="1" w:lastRow="0" w:firstColumn="1" w:lastColumn="0" w:noHBand="0" w:noVBand="1"/>
      </w:tblPr>
      <w:tblGrid>
        <w:gridCol w:w="1705"/>
        <w:gridCol w:w="1705"/>
        <w:gridCol w:w="568"/>
        <w:gridCol w:w="1133"/>
        <w:gridCol w:w="567"/>
        <w:gridCol w:w="3972"/>
      </w:tblGrid>
      <w:tr w:rsidR="00AD1F54" w:rsidRPr="00264D5D" w14:paraId="52916CCD"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3" w:type="pct"/>
          </w:tcPr>
          <w:p w14:paraId="4F668CC8" w14:textId="77777777" w:rsidR="00AD1F54" w:rsidRPr="00264D5D" w:rsidRDefault="00941227">
            <w:pPr>
              <w:pStyle w:val="ASFKTableHead"/>
            </w:pPr>
            <w:r w:rsidRPr="00264D5D">
              <w:t>Наименование комплексного типа</w:t>
            </w:r>
          </w:p>
        </w:tc>
        <w:tc>
          <w:tcPr>
            <w:tcW w:w="883" w:type="pct"/>
          </w:tcPr>
          <w:p w14:paraId="2C33BCBC" w14:textId="77777777" w:rsidR="00AD1F54" w:rsidRPr="00264D5D" w:rsidRDefault="00941227">
            <w:pPr>
              <w:pStyle w:val="ASFKTableHead"/>
            </w:pPr>
            <w:r w:rsidRPr="00264D5D">
              <w:t>Текущий элемент/ атрибут</w:t>
            </w:r>
          </w:p>
        </w:tc>
        <w:tc>
          <w:tcPr>
            <w:tcW w:w="294" w:type="pct"/>
          </w:tcPr>
          <w:p w14:paraId="57DC373C" w14:textId="77777777" w:rsidR="00AD1F54" w:rsidRPr="00264D5D" w:rsidRDefault="00941227">
            <w:pPr>
              <w:pStyle w:val="ASFKTableHead"/>
            </w:pPr>
            <w:r w:rsidRPr="00264D5D">
              <w:t>Тип</w:t>
            </w:r>
          </w:p>
        </w:tc>
        <w:tc>
          <w:tcPr>
            <w:tcW w:w="587" w:type="pct"/>
          </w:tcPr>
          <w:p w14:paraId="363FE8D1" w14:textId="77777777" w:rsidR="00AD1F54" w:rsidRPr="00264D5D" w:rsidRDefault="00941227">
            <w:pPr>
              <w:pStyle w:val="ASFKTableHead"/>
            </w:pPr>
            <w:r w:rsidRPr="00264D5D">
              <w:t>Формат элемента</w:t>
            </w:r>
          </w:p>
        </w:tc>
        <w:tc>
          <w:tcPr>
            <w:tcW w:w="294" w:type="pct"/>
          </w:tcPr>
          <w:p w14:paraId="4CD3629B" w14:textId="77777777" w:rsidR="00AD1F54" w:rsidRPr="00264D5D" w:rsidRDefault="00941227">
            <w:pPr>
              <w:pStyle w:val="ASFKTableHead"/>
            </w:pPr>
            <w:r w:rsidRPr="00264D5D">
              <w:t>Обязательность</w:t>
            </w:r>
          </w:p>
        </w:tc>
        <w:tc>
          <w:tcPr>
            <w:tcW w:w="2058" w:type="pct"/>
          </w:tcPr>
          <w:p w14:paraId="647AB57D" w14:textId="77777777" w:rsidR="00AD1F54" w:rsidRPr="00264D5D" w:rsidRDefault="00941227">
            <w:pPr>
              <w:pStyle w:val="ASFKTableHead"/>
            </w:pPr>
            <w:r w:rsidRPr="00264D5D">
              <w:t>Дополнительная информация</w:t>
            </w:r>
          </w:p>
        </w:tc>
      </w:tr>
      <w:tr w:rsidR="00AD1F54" w:rsidRPr="00264D5D" w14:paraId="187ADD07" w14:textId="77777777" w:rsidTr="00AD1F54">
        <w:trPr>
          <w:cnfStyle w:val="000000100000" w:firstRow="0" w:lastRow="0" w:firstColumn="0" w:lastColumn="0" w:oddVBand="0" w:evenVBand="0" w:oddHBand="1" w:evenHBand="0" w:firstRowFirstColumn="0" w:firstRowLastColumn="0" w:lastRowFirstColumn="0" w:lastRowLastColumn="0"/>
          <w:trHeight w:val="361"/>
        </w:trPr>
        <w:tc>
          <w:tcPr>
            <w:tcW w:w="883" w:type="pct"/>
          </w:tcPr>
          <w:p w14:paraId="3007DFFF" w14:textId="77777777" w:rsidR="00AD1F54" w:rsidRPr="00264D5D" w:rsidRDefault="00941227">
            <w:pPr>
              <w:pStyle w:val="GOSTTablenorm"/>
              <w:widowControl w:val="0"/>
            </w:pPr>
            <w:r w:rsidRPr="00264D5D">
              <w:t>tZROSN</w:t>
            </w:r>
          </w:p>
        </w:tc>
        <w:tc>
          <w:tcPr>
            <w:tcW w:w="883" w:type="pct"/>
          </w:tcPr>
          <w:p w14:paraId="39290637" w14:textId="77777777" w:rsidR="00AD1F54" w:rsidRPr="00264D5D" w:rsidRDefault="00941227">
            <w:pPr>
              <w:pStyle w:val="GOSTTablenorm"/>
              <w:widowControl w:val="0"/>
              <w:rPr>
                <w:lang w:val="en-US"/>
              </w:rPr>
            </w:pPr>
            <w:r w:rsidRPr="00264D5D">
              <w:t>ZROSN_ITEM</w:t>
            </w:r>
          </w:p>
        </w:tc>
        <w:tc>
          <w:tcPr>
            <w:tcW w:w="294" w:type="pct"/>
          </w:tcPr>
          <w:p w14:paraId="75E037E1" w14:textId="77777777" w:rsidR="00AD1F54" w:rsidRPr="00264D5D" w:rsidRDefault="00941227">
            <w:pPr>
              <w:pStyle w:val="GOSTTablenorm"/>
              <w:widowControl w:val="0"/>
              <w:jc w:val="center"/>
              <w:rPr>
                <w:lang w:val="en-US"/>
              </w:rPr>
            </w:pPr>
            <w:r w:rsidRPr="00264D5D">
              <w:rPr>
                <w:lang w:val="en-US"/>
              </w:rPr>
              <w:t>C</w:t>
            </w:r>
          </w:p>
        </w:tc>
        <w:tc>
          <w:tcPr>
            <w:tcW w:w="587" w:type="pct"/>
          </w:tcPr>
          <w:p w14:paraId="35CCB304" w14:textId="77777777" w:rsidR="00AD1F54" w:rsidRPr="00264D5D" w:rsidRDefault="00941227">
            <w:pPr>
              <w:pStyle w:val="GOSTTablenorm"/>
              <w:widowControl w:val="0"/>
              <w:rPr>
                <w:lang w:val="en-US"/>
              </w:rPr>
            </w:pPr>
            <w:r w:rsidRPr="00264D5D">
              <w:rPr>
                <w:lang w:val="en-US"/>
              </w:rPr>
              <w:t>t</w:t>
            </w:r>
            <w:r w:rsidRPr="00264D5D">
              <w:t>ZROSN_ITEM</w:t>
            </w:r>
          </w:p>
        </w:tc>
        <w:tc>
          <w:tcPr>
            <w:tcW w:w="294" w:type="pct"/>
          </w:tcPr>
          <w:p w14:paraId="08FC7919" w14:textId="77777777" w:rsidR="00AD1F54" w:rsidRPr="00264D5D" w:rsidRDefault="00941227">
            <w:pPr>
              <w:pStyle w:val="GOSTTablenorm"/>
              <w:widowControl w:val="0"/>
              <w:jc w:val="center"/>
            </w:pPr>
            <w:r w:rsidRPr="00264D5D">
              <w:t>НМ</w:t>
            </w:r>
          </w:p>
        </w:tc>
        <w:tc>
          <w:tcPr>
            <w:tcW w:w="2058" w:type="pct"/>
          </w:tcPr>
          <w:p w14:paraId="58BE62FC" w14:textId="77777777" w:rsidR="00AD1F54" w:rsidRPr="00264D5D" w:rsidRDefault="00941227">
            <w:pPr>
              <w:pStyle w:val="GOSTTablenorm"/>
              <w:widowControl w:val="0"/>
            </w:pPr>
            <w:r w:rsidRPr="00264D5D">
              <w:t>Реквизиты документов-оснований</w:t>
            </w:r>
            <w:r w:rsidRPr="00264D5D">
              <w:rPr>
                <w:b/>
              </w:rPr>
              <w:t>.</w:t>
            </w:r>
          </w:p>
          <w:p w14:paraId="1AE85283" w14:textId="77777777" w:rsidR="00AD1F54" w:rsidRPr="00264D5D" w:rsidRDefault="00941227">
            <w:pPr>
              <w:pStyle w:val="GOSTTablenorm"/>
              <w:widowControl w:val="0"/>
            </w:pPr>
            <w:r w:rsidRPr="00264D5D">
              <w:t>Блок заполняется при наличии документа-основания, подтверждающего возникновение денежного обязательства, для оплаты которого представляется данная Заявка.</w:t>
            </w:r>
          </w:p>
          <w:p w14:paraId="5DB233D2" w14:textId="4B455F65" w:rsidR="00AD1F54" w:rsidRPr="00264D5D" w:rsidRDefault="00941227">
            <w:pPr>
              <w:pStyle w:val="GOSTTablenorm"/>
              <w:widowControl w:val="0"/>
            </w:pPr>
            <w:r w:rsidRPr="00264D5D">
              <w:t xml:space="preserve">Состав элемента представлен в таблице </w:t>
            </w:r>
            <w:r w:rsidRPr="00264D5D">
              <w:rPr>
                <w:b/>
              </w:rPr>
              <w:fldChar w:fldCharType="begin"/>
            </w:r>
            <w:r w:rsidRPr="00264D5D">
              <w:rPr>
                <w:b/>
              </w:rPr>
              <w:instrText xml:space="preserve"> REF _Ref526862406 \h  \* MERGEFORMAT </w:instrText>
            </w:r>
            <w:r w:rsidRPr="00264D5D">
              <w:rPr>
                <w:b/>
              </w:rPr>
            </w:r>
            <w:r w:rsidRPr="00264D5D">
              <w:rPr>
                <w:b/>
              </w:rPr>
              <w:fldChar w:fldCharType="separate"/>
            </w:r>
            <w:r w:rsidR="008D797C" w:rsidRPr="008D797C">
              <w:rPr>
                <w:b/>
              </w:rPr>
              <w:t>88</w:t>
            </w:r>
            <w:r w:rsidRPr="00264D5D">
              <w:rPr>
                <w:b/>
              </w:rPr>
              <w:fldChar w:fldCharType="end"/>
            </w:r>
          </w:p>
        </w:tc>
      </w:tr>
    </w:tbl>
    <w:p w14:paraId="3C7E11F0" w14:textId="77777777" w:rsidR="00AD1F54" w:rsidRPr="00264D5D" w:rsidRDefault="00941227">
      <w:pPr>
        <w:pStyle w:val="31"/>
      </w:pPr>
      <w:bookmarkStart w:id="997" w:name="_Toc18509249"/>
      <w:bookmarkStart w:id="998" w:name="_Toc219309528"/>
      <w:r w:rsidRPr="00264D5D">
        <w:t>Описание комплексного типа «tZROSN_ITEM»</w:t>
      </w:r>
      <w:bookmarkEnd w:id="997"/>
      <w:bookmarkEnd w:id="998"/>
    </w:p>
    <w:p w14:paraId="4B82E719" w14:textId="77777777" w:rsidR="00AD1F54" w:rsidRPr="00264D5D" w:rsidRDefault="00941227">
      <w:pPr>
        <w:pStyle w:val="GOSTNormal"/>
      </w:pPr>
      <w:r w:rsidRPr="00264D5D">
        <w:t>Описание комплексного типа «tZROSN_ITEM» строк блока «Реквизиты документов-оснований (строки)».</w:t>
      </w:r>
    </w:p>
    <w:p w14:paraId="77E88BC9" w14:textId="4B1E7E1F"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999" w:name="_Ref526862406"/>
      <w:bookmarkStart w:id="1000" w:name="_Toc18509536"/>
      <w:bookmarkStart w:id="1001" w:name="_Toc219309118"/>
      <w:r w:rsidR="008D797C">
        <w:rPr>
          <w:noProof/>
        </w:rPr>
        <w:t>88</w:t>
      </w:r>
      <w:bookmarkEnd w:id="999"/>
      <w:r w:rsidRPr="00264D5D">
        <w:fldChar w:fldCharType="end"/>
      </w:r>
      <w:r w:rsidRPr="00264D5D">
        <w:t xml:space="preserve"> – Описание комплексного типа «tZROSN_ITEM»</w:t>
      </w:r>
      <w:bookmarkEnd w:id="1000"/>
      <w:bookmarkEnd w:id="1001"/>
    </w:p>
    <w:tbl>
      <w:tblPr>
        <w:tblStyle w:val="GOSTTable"/>
        <w:tblW w:w="5000" w:type="pct"/>
        <w:tblLayout w:type="fixed"/>
        <w:tblLook w:val="04A0" w:firstRow="1" w:lastRow="0" w:firstColumn="1" w:lastColumn="0" w:noHBand="0" w:noVBand="1"/>
      </w:tblPr>
      <w:tblGrid>
        <w:gridCol w:w="1705"/>
        <w:gridCol w:w="1705"/>
        <w:gridCol w:w="568"/>
        <w:gridCol w:w="1133"/>
        <w:gridCol w:w="567"/>
        <w:gridCol w:w="3972"/>
      </w:tblGrid>
      <w:tr w:rsidR="00AD1F54" w:rsidRPr="00264D5D" w14:paraId="32D36D7D"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3" w:type="pct"/>
          </w:tcPr>
          <w:p w14:paraId="2F4798D4" w14:textId="77777777" w:rsidR="00AD1F54" w:rsidRPr="00264D5D" w:rsidRDefault="00941227">
            <w:pPr>
              <w:pStyle w:val="ASFKTableHead"/>
            </w:pPr>
            <w:r w:rsidRPr="00264D5D">
              <w:t>Наименование элемента</w:t>
            </w:r>
          </w:p>
        </w:tc>
        <w:tc>
          <w:tcPr>
            <w:tcW w:w="883" w:type="pct"/>
          </w:tcPr>
          <w:p w14:paraId="68BECBC3" w14:textId="77777777" w:rsidR="00AD1F54" w:rsidRPr="00264D5D" w:rsidRDefault="00941227">
            <w:pPr>
              <w:pStyle w:val="ASFKTableHead"/>
            </w:pPr>
            <w:r w:rsidRPr="00264D5D">
              <w:t>Сокращенное наименование (код) элемента</w:t>
            </w:r>
          </w:p>
        </w:tc>
        <w:tc>
          <w:tcPr>
            <w:tcW w:w="294" w:type="pct"/>
          </w:tcPr>
          <w:p w14:paraId="7A9BF45E" w14:textId="77777777" w:rsidR="00AD1F54" w:rsidRPr="00264D5D" w:rsidRDefault="00941227">
            <w:pPr>
              <w:pStyle w:val="ASFKTableHead"/>
            </w:pPr>
            <w:r w:rsidRPr="00264D5D">
              <w:t>Тип</w:t>
            </w:r>
          </w:p>
        </w:tc>
        <w:tc>
          <w:tcPr>
            <w:tcW w:w="587" w:type="pct"/>
          </w:tcPr>
          <w:p w14:paraId="4BFAB601" w14:textId="77777777" w:rsidR="00AD1F54" w:rsidRPr="00264D5D" w:rsidRDefault="00941227">
            <w:pPr>
              <w:pStyle w:val="ASFKTableHead"/>
            </w:pPr>
            <w:r w:rsidRPr="00264D5D">
              <w:t>Формат элемента</w:t>
            </w:r>
          </w:p>
        </w:tc>
        <w:tc>
          <w:tcPr>
            <w:tcW w:w="294" w:type="pct"/>
          </w:tcPr>
          <w:p w14:paraId="6C2527F1" w14:textId="77777777" w:rsidR="00AD1F54" w:rsidRPr="00264D5D" w:rsidRDefault="00941227">
            <w:pPr>
              <w:pStyle w:val="ASFKTableHead"/>
            </w:pPr>
            <w:r w:rsidRPr="00264D5D">
              <w:t>Обязательность</w:t>
            </w:r>
          </w:p>
        </w:tc>
        <w:tc>
          <w:tcPr>
            <w:tcW w:w="2058" w:type="pct"/>
          </w:tcPr>
          <w:p w14:paraId="687A31BF" w14:textId="77777777" w:rsidR="00AD1F54" w:rsidRPr="00264D5D" w:rsidRDefault="00941227">
            <w:pPr>
              <w:pStyle w:val="ASFKTableHead"/>
            </w:pPr>
            <w:r w:rsidRPr="00264D5D">
              <w:t>Дополнительная информация</w:t>
            </w:r>
          </w:p>
        </w:tc>
      </w:tr>
      <w:tr w:rsidR="00AD1F54" w:rsidRPr="00264D5D" w14:paraId="4582573D"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741C2CF9" w14:textId="77777777" w:rsidR="00AD1F54" w:rsidRPr="00264D5D" w:rsidRDefault="00941227">
            <w:pPr>
              <w:pStyle w:val="GOSTTablenorm"/>
            </w:pPr>
            <w:r w:rsidRPr="00264D5D">
              <w:t>Документ-основание</w:t>
            </w:r>
          </w:p>
        </w:tc>
        <w:tc>
          <w:tcPr>
            <w:tcW w:w="883" w:type="pct"/>
          </w:tcPr>
          <w:p w14:paraId="77F6411E" w14:textId="77777777" w:rsidR="00AD1F54" w:rsidRPr="00264D5D" w:rsidRDefault="00941227">
            <w:pPr>
              <w:pStyle w:val="GOSTTablenorm"/>
            </w:pPr>
            <w:r w:rsidRPr="00264D5D">
              <w:t>MSC_DcBs</w:t>
            </w:r>
          </w:p>
        </w:tc>
        <w:tc>
          <w:tcPr>
            <w:tcW w:w="294" w:type="pct"/>
          </w:tcPr>
          <w:p w14:paraId="3D2D150F" w14:textId="77777777" w:rsidR="00AD1F54" w:rsidRPr="00264D5D" w:rsidRDefault="00941227">
            <w:pPr>
              <w:pStyle w:val="GOSTTablenorm"/>
              <w:jc w:val="center"/>
            </w:pPr>
            <w:r w:rsidRPr="00264D5D">
              <w:t>П</w:t>
            </w:r>
          </w:p>
        </w:tc>
        <w:tc>
          <w:tcPr>
            <w:tcW w:w="587" w:type="pct"/>
          </w:tcPr>
          <w:p w14:paraId="058DAF5A" w14:textId="77777777" w:rsidR="00AD1F54" w:rsidRPr="00264D5D" w:rsidRDefault="00941227">
            <w:pPr>
              <w:pStyle w:val="GOSTTablenorm"/>
              <w:rPr>
                <w:lang w:val="en-US"/>
              </w:rPr>
            </w:pPr>
            <w:r w:rsidRPr="00264D5D">
              <w:t>tMSC_DcBs</w:t>
            </w:r>
            <w:r w:rsidRPr="00264D5D">
              <w:rPr>
                <w:lang w:val="en-US"/>
              </w:rPr>
              <w:t>1</w:t>
            </w:r>
          </w:p>
        </w:tc>
        <w:tc>
          <w:tcPr>
            <w:tcW w:w="294" w:type="pct"/>
          </w:tcPr>
          <w:p w14:paraId="278CCD70" w14:textId="77777777" w:rsidR="00AD1F54" w:rsidRPr="00264D5D" w:rsidRDefault="00941227">
            <w:pPr>
              <w:pStyle w:val="GOSTTablenorm"/>
              <w:jc w:val="center"/>
            </w:pPr>
            <w:r w:rsidRPr="00264D5D">
              <w:t>Н</w:t>
            </w:r>
          </w:p>
        </w:tc>
        <w:tc>
          <w:tcPr>
            <w:tcW w:w="2058" w:type="pct"/>
          </w:tcPr>
          <w:p w14:paraId="5FB20EF0" w14:textId="77777777" w:rsidR="00AD1F54" w:rsidRPr="00264D5D" w:rsidRDefault="00941227">
            <w:pPr>
              <w:pStyle w:val="GOSTTablenorm"/>
            </w:pPr>
            <w:r w:rsidRPr="00264D5D">
              <w:t>Документ-основание.</w:t>
            </w:r>
          </w:p>
          <w:p w14:paraId="4CF3F171" w14:textId="31709176" w:rsidR="00AD1F54" w:rsidRPr="00264D5D" w:rsidRDefault="00941227">
            <w:pPr>
              <w:pStyle w:val="GOSTTablenorm"/>
              <w:rPr>
                <w:szCs w:val="22"/>
              </w:rPr>
            </w:pPr>
            <w:r w:rsidRPr="00264D5D">
              <w:t xml:space="preserve">Состав элемента представлен в таблице </w:t>
            </w:r>
            <w:r w:rsidRPr="00264D5D">
              <w:rPr>
                <w:b/>
              </w:rPr>
              <w:fldChar w:fldCharType="begin"/>
            </w:r>
            <w:r w:rsidRPr="00264D5D">
              <w:rPr>
                <w:b/>
              </w:rPr>
              <w:instrText xml:space="preserve"> REF _Ref526862433 \h  \* MERGEFORMAT </w:instrText>
            </w:r>
            <w:r w:rsidRPr="00264D5D">
              <w:rPr>
                <w:b/>
              </w:rPr>
            </w:r>
            <w:r w:rsidRPr="00264D5D">
              <w:rPr>
                <w:b/>
              </w:rPr>
              <w:fldChar w:fldCharType="separate"/>
            </w:r>
            <w:r w:rsidR="008D797C" w:rsidRPr="008D797C">
              <w:rPr>
                <w:b/>
              </w:rPr>
              <w:t>89</w:t>
            </w:r>
            <w:r w:rsidRPr="00264D5D">
              <w:rPr>
                <w:b/>
              </w:rPr>
              <w:fldChar w:fldCharType="end"/>
            </w:r>
          </w:p>
        </w:tc>
      </w:tr>
    </w:tbl>
    <w:p w14:paraId="34599B2C" w14:textId="77777777" w:rsidR="00AD1F54" w:rsidRPr="00264D5D" w:rsidRDefault="00941227">
      <w:pPr>
        <w:pStyle w:val="31"/>
      </w:pPr>
      <w:bookmarkStart w:id="1002" w:name="_Toc18509250"/>
      <w:bookmarkStart w:id="1003" w:name="_Toc219309529"/>
      <w:r w:rsidRPr="00264D5D">
        <w:t>Описание комплексного типа «tMSC_DcBs1»</w:t>
      </w:r>
      <w:bookmarkEnd w:id="1002"/>
      <w:bookmarkEnd w:id="1003"/>
    </w:p>
    <w:p w14:paraId="6CA2C2EB" w14:textId="77777777" w:rsidR="00AD1F54" w:rsidRPr="00264D5D" w:rsidRDefault="00941227">
      <w:pPr>
        <w:pStyle w:val="GOSTNormal"/>
      </w:pPr>
      <w:r w:rsidRPr="00264D5D">
        <w:t>Описание комплексного типа «tMSC_DcBs1» блока «Документ-основание».</w:t>
      </w:r>
    </w:p>
    <w:p w14:paraId="3B1CACB4" w14:textId="085AFF70"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1004" w:name="_Ref526862433"/>
      <w:bookmarkStart w:id="1005" w:name="_Toc18509537"/>
      <w:bookmarkStart w:id="1006" w:name="_Toc219309119"/>
      <w:r w:rsidR="008D797C">
        <w:rPr>
          <w:noProof/>
        </w:rPr>
        <w:t>89</w:t>
      </w:r>
      <w:bookmarkEnd w:id="1004"/>
      <w:r w:rsidRPr="00264D5D">
        <w:fldChar w:fldCharType="end"/>
      </w:r>
      <w:r w:rsidRPr="00264D5D">
        <w:t xml:space="preserve"> – Описание комплексного типа «tMSC_DcBs1»</w:t>
      </w:r>
      <w:bookmarkEnd w:id="1005"/>
      <w:bookmarkEnd w:id="1006"/>
    </w:p>
    <w:tbl>
      <w:tblPr>
        <w:tblStyle w:val="GOSTTable"/>
        <w:tblW w:w="5000" w:type="pct"/>
        <w:tblLayout w:type="fixed"/>
        <w:tblLook w:val="04A0" w:firstRow="1" w:lastRow="0" w:firstColumn="1" w:lastColumn="0" w:noHBand="0" w:noVBand="1"/>
      </w:tblPr>
      <w:tblGrid>
        <w:gridCol w:w="1705"/>
        <w:gridCol w:w="1707"/>
        <w:gridCol w:w="568"/>
        <w:gridCol w:w="1133"/>
        <w:gridCol w:w="567"/>
        <w:gridCol w:w="3970"/>
      </w:tblGrid>
      <w:tr w:rsidR="00AD1F54" w:rsidRPr="00264D5D" w14:paraId="49C5B3C5"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3" w:type="pct"/>
          </w:tcPr>
          <w:p w14:paraId="561A4EA1" w14:textId="77777777" w:rsidR="00AD1F54" w:rsidRPr="00264D5D" w:rsidRDefault="00941227">
            <w:pPr>
              <w:pStyle w:val="ASFKTableHead"/>
            </w:pPr>
            <w:r w:rsidRPr="00264D5D">
              <w:t>Наименование элемента</w:t>
            </w:r>
          </w:p>
        </w:tc>
        <w:tc>
          <w:tcPr>
            <w:tcW w:w="884" w:type="pct"/>
          </w:tcPr>
          <w:p w14:paraId="4A475D24" w14:textId="77777777" w:rsidR="00AD1F54" w:rsidRPr="00264D5D" w:rsidRDefault="00941227">
            <w:pPr>
              <w:pStyle w:val="ASFKTableHead"/>
            </w:pPr>
            <w:r w:rsidRPr="00264D5D">
              <w:t>Сокращенное наименование (код) элемента</w:t>
            </w:r>
          </w:p>
        </w:tc>
        <w:tc>
          <w:tcPr>
            <w:tcW w:w="294" w:type="pct"/>
          </w:tcPr>
          <w:p w14:paraId="2ECD0213" w14:textId="77777777" w:rsidR="00AD1F54" w:rsidRPr="00264D5D" w:rsidRDefault="00941227">
            <w:pPr>
              <w:pStyle w:val="ASFKTableHead"/>
            </w:pPr>
            <w:r w:rsidRPr="00264D5D">
              <w:t>Тип</w:t>
            </w:r>
          </w:p>
        </w:tc>
        <w:tc>
          <w:tcPr>
            <w:tcW w:w="587" w:type="pct"/>
          </w:tcPr>
          <w:p w14:paraId="09D55E22" w14:textId="77777777" w:rsidR="00AD1F54" w:rsidRPr="00264D5D" w:rsidRDefault="00941227">
            <w:pPr>
              <w:pStyle w:val="ASFKTableHead"/>
            </w:pPr>
            <w:r w:rsidRPr="00264D5D">
              <w:t>Формат элемента</w:t>
            </w:r>
          </w:p>
        </w:tc>
        <w:tc>
          <w:tcPr>
            <w:tcW w:w="294" w:type="pct"/>
          </w:tcPr>
          <w:p w14:paraId="5988FFEA" w14:textId="77777777" w:rsidR="00AD1F54" w:rsidRPr="00264D5D" w:rsidRDefault="00941227">
            <w:pPr>
              <w:pStyle w:val="ASFKTableHead"/>
            </w:pPr>
            <w:r w:rsidRPr="00264D5D">
              <w:t>Обязательность</w:t>
            </w:r>
          </w:p>
        </w:tc>
        <w:tc>
          <w:tcPr>
            <w:tcW w:w="2057" w:type="pct"/>
          </w:tcPr>
          <w:p w14:paraId="77CE8B5F" w14:textId="77777777" w:rsidR="00AD1F54" w:rsidRPr="00264D5D" w:rsidRDefault="00941227">
            <w:pPr>
              <w:pStyle w:val="ASFKTableHead"/>
            </w:pPr>
            <w:r w:rsidRPr="00264D5D">
              <w:t>Дополнительная информация</w:t>
            </w:r>
          </w:p>
        </w:tc>
      </w:tr>
      <w:tr w:rsidR="00AD1F54" w:rsidRPr="00264D5D" w14:paraId="49FFC0DE"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408E7AF0" w14:textId="77777777" w:rsidR="00AD1F54" w:rsidRPr="00264D5D" w:rsidRDefault="00941227">
            <w:pPr>
              <w:pStyle w:val="GOSTTablenorm"/>
            </w:pPr>
            <w:r w:rsidRPr="00264D5D">
              <w:t>Признак основания платежа</w:t>
            </w:r>
          </w:p>
        </w:tc>
        <w:tc>
          <w:tcPr>
            <w:tcW w:w="884" w:type="pct"/>
          </w:tcPr>
          <w:p w14:paraId="350F1205" w14:textId="77777777" w:rsidR="00AD1F54" w:rsidRPr="00264D5D" w:rsidRDefault="00941227">
            <w:pPr>
              <w:pStyle w:val="GOSTTablenorm"/>
            </w:pPr>
            <w:r w:rsidRPr="00264D5D">
              <w:t>BsPySgn</w:t>
            </w:r>
          </w:p>
        </w:tc>
        <w:tc>
          <w:tcPr>
            <w:tcW w:w="294" w:type="pct"/>
          </w:tcPr>
          <w:p w14:paraId="1E331293" w14:textId="77777777" w:rsidR="00AD1F54" w:rsidRPr="00264D5D" w:rsidRDefault="00941227">
            <w:pPr>
              <w:pStyle w:val="GOSTTablenorm"/>
              <w:jc w:val="center"/>
            </w:pPr>
            <w:r w:rsidRPr="00264D5D">
              <w:t>С</w:t>
            </w:r>
          </w:p>
        </w:tc>
        <w:tc>
          <w:tcPr>
            <w:tcW w:w="587" w:type="pct"/>
          </w:tcPr>
          <w:p w14:paraId="285C5331" w14:textId="77777777" w:rsidR="00AD1F54" w:rsidRPr="00264D5D" w:rsidRDefault="00941227">
            <w:pPr>
              <w:pStyle w:val="GOSTTablenorm"/>
            </w:pPr>
            <w:r w:rsidRPr="00264D5D">
              <w:t>tMSC_BsPySgnComplex</w:t>
            </w:r>
          </w:p>
        </w:tc>
        <w:tc>
          <w:tcPr>
            <w:tcW w:w="294" w:type="pct"/>
          </w:tcPr>
          <w:p w14:paraId="78F044B5" w14:textId="77777777" w:rsidR="00AD1F54" w:rsidRPr="00264D5D" w:rsidRDefault="00941227">
            <w:pPr>
              <w:pStyle w:val="GOSTTablenorm"/>
              <w:jc w:val="center"/>
            </w:pPr>
            <w:r w:rsidRPr="00264D5D">
              <w:t>О</w:t>
            </w:r>
          </w:p>
        </w:tc>
        <w:tc>
          <w:tcPr>
            <w:tcW w:w="2057" w:type="pct"/>
          </w:tcPr>
          <w:p w14:paraId="3488BFA7" w14:textId="77777777" w:rsidR="00AD1F54" w:rsidRPr="00264D5D" w:rsidRDefault="00941227">
            <w:pPr>
              <w:pStyle w:val="GOSTTablenorm"/>
            </w:pPr>
            <w:r w:rsidRPr="00264D5D">
              <w:t>Признак основания платежа.</w:t>
            </w:r>
          </w:p>
          <w:p w14:paraId="7D2D32B8" w14:textId="1FE598DC" w:rsidR="00AD1F54" w:rsidRPr="00264D5D" w:rsidRDefault="00941227">
            <w:pPr>
              <w:pStyle w:val="GOSTTablenorm"/>
            </w:pPr>
            <w:r w:rsidRPr="00264D5D">
              <w:t xml:space="preserve">Состав элемента представлен в таблице </w:t>
            </w:r>
            <w:r w:rsidRPr="00264D5D">
              <w:rPr>
                <w:b/>
              </w:rPr>
              <w:fldChar w:fldCharType="begin"/>
            </w:r>
            <w:r w:rsidRPr="00264D5D">
              <w:rPr>
                <w:b/>
              </w:rPr>
              <w:instrText xml:space="preserve"> REF _Ref526862572 \h  \* MERGEFORMAT </w:instrText>
            </w:r>
            <w:r w:rsidRPr="00264D5D">
              <w:rPr>
                <w:b/>
              </w:rPr>
            </w:r>
            <w:r w:rsidRPr="00264D5D">
              <w:rPr>
                <w:b/>
              </w:rPr>
              <w:fldChar w:fldCharType="separate"/>
            </w:r>
            <w:r w:rsidR="008D797C" w:rsidRPr="008D797C">
              <w:rPr>
                <w:b/>
              </w:rPr>
              <w:t>90</w:t>
            </w:r>
            <w:r w:rsidRPr="00264D5D">
              <w:rPr>
                <w:b/>
              </w:rPr>
              <w:fldChar w:fldCharType="end"/>
            </w:r>
          </w:p>
        </w:tc>
      </w:tr>
      <w:tr w:rsidR="00AD1F54" w:rsidRPr="00264D5D" w14:paraId="5F8B9EC7"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3" w:type="pct"/>
          </w:tcPr>
          <w:p w14:paraId="7396E095" w14:textId="77777777" w:rsidR="00AD1F54" w:rsidRPr="00264D5D" w:rsidRDefault="00941227">
            <w:pPr>
              <w:pStyle w:val="GOSTTablenorm"/>
            </w:pPr>
            <w:r w:rsidRPr="00264D5D">
              <w:t>Вид документа-основания</w:t>
            </w:r>
          </w:p>
        </w:tc>
        <w:tc>
          <w:tcPr>
            <w:tcW w:w="884" w:type="pct"/>
          </w:tcPr>
          <w:p w14:paraId="7E32AF75" w14:textId="77777777" w:rsidR="00AD1F54" w:rsidRPr="00264D5D" w:rsidRDefault="00941227">
            <w:pPr>
              <w:pStyle w:val="GOSTTablenorm"/>
            </w:pPr>
            <w:r w:rsidRPr="00264D5D">
              <w:t>Knd</w:t>
            </w:r>
          </w:p>
        </w:tc>
        <w:tc>
          <w:tcPr>
            <w:tcW w:w="294" w:type="pct"/>
          </w:tcPr>
          <w:p w14:paraId="79821B1B" w14:textId="77777777" w:rsidR="00AD1F54" w:rsidRPr="00264D5D" w:rsidRDefault="00941227">
            <w:pPr>
              <w:pStyle w:val="GOSTTablenorm"/>
              <w:jc w:val="center"/>
            </w:pPr>
            <w:r w:rsidRPr="00264D5D">
              <w:t>П</w:t>
            </w:r>
          </w:p>
        </w:tc>
        <w:tc>
          <w:tcPr>
            <w:tcW w:w="587" w:type="pct"/>
          </w:tcPr>
          <w:p w14:paraId="0F56C18A" w14:textId="77777777" w:rsidR="00AD1F54" w:rsidRPr="00264D5D" w:rsidRDefault="00941227">
            <w:pPr>
              <w:pStyle w:val="GOSTTablenorm"/>
            </w:pPr>
            <w:r w:rsidRPr="00264D5D">
              <w:t>Т(1-50)</w:t>
            </w:r>
          </w:p>
        </w:tc>
        <w:tc>
          <w:tcPr>
            <w:tcW w:w="294" w:type="pct"/>
          </w:tcPr>
          <w:p w14:paraId="0E4B7FD0" w14:textId="77777777" w:rsidR="00AD1F54" w:rsidRPr="00264D5D" w:rsidRDefault="00941227">
            <w:pPr>
              <w:pStyle w:val="GOSTTablenorm"/>
              <w:jc w:val="center"/>
            </w:pPr>
            <w:r w:rsidRPr="00264D5D">
              <w:t>О</w:t>
            </w:r>
          </w:p>
        </w:tc>
        <w:tc>
          <w:tcPr>
            <w:tcW w:w="2057" w:type="pct"/>
          </w:tcPr>
          <w:p w14:paraId="0172F647" w14:textId="77777777" w:rsidR="00AD1F54" w:rsidRPr="00264D5D" w:rsidRDefault="00941227">
            <w:pPr>
              <w:pStyle w:val="GOSTTablenorm"/>
            </w:pPr>
            <w:r w:rsidRPr="00264D5D">
              <w:t>Документ-основание. Возможные значения:</w:t>
            </w:r>
          </w:p>
          <w:p w14:paraId="325EBF9C" w14:textId="77777777" w:rsidR="00AD1F54" w:rsidRPr="00264D5D" w:rsidRDefault="00941227" w:rsidP="00E7460C">
            <w:pPr>
              <w:pStyle w:val="GOSTTablenorm"/>
              <w:numPr>
                <w:ilvl w:val="0"/>
                <w:numId w:val="80"/>
              </w:numPr>
              <w:ind w:left="284" w:hanging="227"/>
            </w:pPr>
            <w:r w:rsidRPr="00264D5D">
              <w:t>«государственный контракт»;</w:t>
            </w:r>
          </w:p>
          <w:p w14:paraId="77E997E4" w14:textId="77777777" w:rsidR="00AD1F54" w:rsidRPr="00264D5D" w:rsidRDefault="00941227" w:rsidP="00E7460C">
            <w:pPr>
              <w:pStyle w:val="GOSTTablenorm"/>
              <w:numPr>
                <w:ilvl w:val="0"/>
                <w:numId w:val="80"/>
              </w:numPr>
              <w:ind w:left="284" w:hanging="227"/>
            </w:pPr>
            <w:r w:rsidRPr="00264D5D">
              <w:t>«муниципальный контракт»;</w:t>
            </w:r>
          </w:p>
          <w:p w14:paraId="5774F176" w14:textId="77777777" w:rsidR="00AD1F54" w:rsidRPr="00264D5D" w:rsidRDefault="00941227" w:rsidP="00E7460C">
            <w:pPr>
              <w:pStyle w:val="GOSTTablenorm"/>
              <w:numPr>
                <w:ilvl w:val="0"/>
                <w:numId w:val="80"/>
              </w:numPr>
              <w:ind w:left="284" w:hanging="227"/>
            </w:pPr>
            <w:r w:rsidRPr="00264D5D">
              <w:t>«договор»;</w:t>
            </w:r>
          </w:p>
          <w:p w14:paraId="3C602631" w14:textId="77777777" w:rsidR="00AD1F54" w:rsidRPr="00264D5D" w:rsidRDefault="00941227" w:rsidP="00E7460C">
            <w:pPr>
              <w:pStyle w:val="GOSTTablenorm"/>
              <w:numPr>
                <w:ilvl w:val="0"/>
                <w:numId w:val="80"/>
              </w:numPr>
              <w:ind w:left="284" w:hanging="227"/>
            </w:pPr>
            <w:r w:rsidRPr="00264D5D">
              <w:t>«счет»;</w:t>
            </w:r>
          </w:p>
          <w:p w14:paraId="4FA5F5F9" w14:textId="77777777" w:rsidR="00AD1F54" w:rsidRPr="00264D5D" w:rsidRDefault="00941227" w:rsidP="00E7460C">
            <w:pPr>
              <w:pStyle w:val="GOSTTablenorm"/>
              <w:numPr>
                <w:ilvl w:val="0"/>
                <w:numId w:val="80"/>
              </w:numPr>
              <w:ind w:left="284" w:hanging="227"/>
            </w:pPr>
            <w:r w:rsidRPr="00264D5D">
              <w:t>«накладная»;</w:t>
            </w:r>
          </w:p>
          <w:p w14:paraId="2CDA38EF" w14:textId="77777777" w:rsidR="00AD1F54" w:rsidRPr="00264D5D" w:rsidRDefault="00941227" w:rsidP="00E7460C">
            <w:pPr>
              <w:pStyle w:val="GOSTTablenorm"/>
              <w:numPr>
                <w:ilvl w:val="0"/>
                <w:numId w:val="80"/>
              </w:numPr>
              <w:ind w:left="284" w:hanging="227"/>
            </w:pPr>
            <w:r w:rsidRPr="00264D5D">
              <w:lastRenderedPageBreak/>
              <w:t>«акт выполненных работ»;</w:t>
            </w:r>
          </w:p>
          <w:p w14:paraId="4AC6FCBE" w14:textId="77777777" w:rsidR="00AD1F54" w:rsidRPr="00264D5D" w:rsidRDefault="00941227" w:rsidP="00E7460C">
            <w:pPr>
              <w:pStyle w:val="GOSTTablenorm"/>
              <w:numPr>
                <w:ilvl w:val="0"/>
                <w:numId w:val="80"/>
              </w:numPr>
              <w:ind w:left="284" w:hanging="227"/>
            </w:pPr>
            <w:r w:rsidRPr="00264D5D">
              <w:t>«УИН»;</w:t>
            </w:r>
          </w:p>
          <w:p w14:paraId="4EDAEFA5" w14:textId="77777777" w:rsidR="00AD1F54" w:rsidRPr="00264D5D" w:rsidRDefault="00941227" w:rsidP="00E7460C">
            <w:pPr>
              <w:pStyle w:val="GOSTTablenorm"/>
              <w:numPr>
                <w:ilvl w:val="0"/>
                <w:numId w:val="80"/>
              </w:numPr>
              <w:ind w:left="284" w:hanging="227"/>
            </w:pPr>
            <w:r w:rsidRPr="00264D5D">
              <w:t>«ДО»;</w:t>
            </w:r>
          </w:p>
          <w:p w14:paraId="402878FD" w14:textId="77777777" w:rsidR="00AD1F54" w:rsidRPr="00264D5D" w:rsidRDefault="00941227" w:rsidP="00E7460C">
            <w:pPr>
              <w:pStyle w:val="GOSTTablenorm"/>
              <w:numPr>
                <w:ilvl w:val="0"/>
                <w:numId w:val="80"/>
              </w:numPr>
              <w:ind w:left="284" w:hanging="227"/>
            </w:pPr>
            <w:r w:rsidRPr="00264D5D">
              <w:t>«Казначейское обеспечение обязательств»;</w:t>
            </w:r>
          </w:p>
          <w:p w14:paraId="6BB658E6" w14:textId="77777777" w:rsidR="00AD1F54" w:rsidRPr="00264D5D" w:rsidRDefault="00941227" w:rsidP="00E7460C">
            <w:pPr>
              <w:pStyle w:val="GOSTTablenorm"/>
              <w:numPr>
                <w:ilvl w:val="0"/>
                <w:numId w:val="80"/>
              </w:numPr>
              <w:ind w:left="284" w:hanging="227"/>
            </w:pPr>
            <w:r w:rsidRPr="00264D5D">
              <w:t>«ИГК».</w:t>
            </w:r>
          </w:p>
          <w:p w14:paraId="4D7D6B56" w14:textId="77777777" w:rsidR="00AD1F54" w:rsidRPr="00264D5D" w:rsidRDefault="00941227">
            <w:pPr>
              <w:pStyle w:val="GOSTTablenorm"/>
            </w:pPr>
            <w:r w:rsidRPr="00264D5D">
              <w:t xml:space="preserve">При осуществлении платежей на банковский счет контрагента 40822 указание текстового </w:t>
            </w:r>
            <w:r w:rsidR="007E4E7F" w:rsidRPr="00264D5D">
              <w:t>значения «УИН» обязательно</w:t>
            </w:r>
          </w:p>
        </w:tc>
      </w:tr>
      <w:tr w:rsidR="00AD1F54" w:rsidRPr="00264D5D" w14:paraId="6BDFE82D"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0A571EA6" w14:textId="77777777" w:rsidR="00AD1F54" w:rsidRPr="00264D5D" w:rsidRDefault="00941227">
            <w:pPr>
              <w:pStyle w:val="GOSTTablenorm"/>
            </w:pPr>
            <w:r w:rsidRPr="00264D5D">
              <w:lastRenderedPageBreak/>
              <w:t>Номер документа-основания</w:t>
            </w:r>
          </w:p>
        </w:tc>
        <w:tc>
          <w:tcPr>
            <w:tcW w:w="884" w:type="pct"/>
          </w:tcPr>
          <w:p w14:paraId="4B3F7E6D" w14:textId="77777777" w:rsidR="00AD1F54" w:rsidRPr="00264D5D" w:rsidRDefault="00941227">
            <w:pPr>
              <w:pStyle w:val="GOSTTablenorm"/>
            </w:pPr>
            <w:r w:rsidRPr="00264D5D">
              <w:t>DcNmbr</w:t>
            </w:r>
          </w:p>
        </w:tc>
        <w:tc>
          <w:tcPr>
            <w:tcW w:w="294" w:type="pct"/>
          </w:tcPr>
          <w:p w14:paraId="5DE1F74F" w14:textId="77777777" w:rsidR="00AD1F54" w:rsidRPr="00264D5D" w:rsidRDefault="00941227">
            <w:pPr>
              <w:pStyle w:val="GOSTTablenorm"/>
              <w:jc w:val="center"/>
            </w:pPr>
            <w:r w:rsidRPr="00264D5D">
              <w:t>П</w:t>
            </w:r>
          </w:p>
        </w:tc>
        <w:tc>
          <w:tcPr>
            <w:tcW w:w="587" w:type="pct"/>
          </w:tcPr>
          <w:p w14:paraId="40D97820" w14:textId="77777777" w:rsidR="00AD1F54" w:rsidRPr="00264D5D" w:rsidRDefault="00941227">
            <w:pPr>
              <w:pStyle w:val="GOSTTablenorm"/>
            </w:pPr>
            <w:r w:rsidRPr="00264D5D">
              <w:t>Т(1-100)</w:t>
            </w:r>
          </w:p>
        </w:tc>
        <w:tc>
          <w:tcPr>
            <w:tcW w:w="294" w:type="pct"/>
          </w:tcPr>
          <w:p w14:paraId="71E24913" w14:textId="77777777" w:rsidR="00AD1F54" w:rsidRPr="00264D5D" w:rsidRDefault="00941227">
            <w:pPr>
              <w:pStyle w:val="GOSTTablenorm"/>
              <w:jc w:val="center"/>
            </w:pPr>
            <w:r w:rsidRPr="00264D5D">
              <w:t>О</w:t>
            </w:r>
          </w:p>
        </w:tc>
        <w:tc>
          <w:tcPr>
            <w:tcW w:w="2057" w:type="pct"/>
          </w:tcPr>
          <w:p w14:paraId="111A5BDC" w14:textId="77777777" w:rsidR="00AD1F54" w:rsidRPr="00264D5D" w:rsidRDefault="00941227">
            <w:pPr>
              <w:pStyle w:val="GOSTTablenorm"/>
            </w:pPr>
            <w:r w:rsidRPr="00264D5D">
              <w:t>Номер документа–основания. Указывается уникальный идентификатор начисления, или уникальный идентификатор платежа, или код НПА в соответствии с Приказом от 12.11.2013 № 107н, Приказом от 23.06.2020 №119н при указании в поле «VID_OSN» текстового значения «УИН». Не может быть указано 4, 20 или 25 цифр ноль («0»).</w:t>
            </w:r>
          </w:p>
          <w:p w14:paraId="3B42C770" w14:textId="77777777" w:rsidR="00AD1F54" w:rsidRPr="00264D5D" w:rsidRDefault="00941227">
            <w:pPr>
              <w:pStyle w:val="GOSTTablenorm"/>
            </w:pPr>
            <w:r w:rsidRPr="00264D5D">
              <w:t>Обязательно для заполнения значением уникального идентификатора платежа при перечислении на счета № 40822.</w:t>
            </w:r>
          </w:p>
          <w:p w14:paraId="0BE9D63A" w14:textId="77777777" w:rsidR="00AD1F54" w:rsidRPr="00264D5D" w:rsidRDefault="00941227">
            <w:pPr>
              <w:pStyle w:val="GOSTTablenorm"/>
            </w:pPr>
            <w:r w:rsidRPr="00264D5D">
              <w:t>Заполняется значением учетного номера денежного обязательства при указании в поле «VID_OSN» текстового значения «ДО». В этом случае размерность учетного номера денежного обязательства составляет 22 или 25 знаков.</w:t>
            </w:r>
          </w:p>
          <w:p w14:paraId="24CC2DF0" w14:textId="77777777" w:rsidR="00AD1F54" w:rsidRPr="00264D5D" w:rsidRDefault="00941227">
            <w:pPr>
              <w:pStyle w:val="GOSTTablenorm"/>
            </w:pPr>
            <w:r w:rsidRPr="00264D5D">
              <w:t>Заполняется значением номера КОО при указании в поле «VID_OSN» текстового значения «Казначейское обеспечение обязательств».</w:t>
            </w:r>
          </w:p>
          <w:p w14:paraId="480B12E0" w14:textId="77777777" w:rsidR="00AD1F54" w:rsidRPr="00264D5D" w:rsidRDefault="00941227">
            <w:pPr>
              <w:pStyle w:val="GOSTTablenorm"/>
            </w:pPr>
            <w:r w:rsidRPr="00264D5D">
              <w:t>Заполняется значением ИГК размерностью 20 или 25 символов при указании в поле «VID</w:t>
            </w:r>
            <w:r w:rsidR="007E4E7F" w:rsidRPr="00264D5D">
              <w:t>_OSN» текстового значения «ИГК»</w:t>
            </w:r>
          </w:p>
        </w:tc>
      </w:tr>
      <w:tr w:rsidR="00AD1F54" w:rsidRPr="00264D5D" w14:paraId="371643A0"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3" w:type="pct"/>
          </w:tcPr>
          <w:p w14:paraId="07DAE729" w14:textId="77777777" w:rsidR="00AD1F54" w:rsidRPr="00264D5D" w:rsidRDefault="00941227">
            <w:pPr>
              <w:pStyle w:val="GOSTTablenorm"/>
            </w:pPr>
            <w:r w:rsidRPr="00264D5D">
              <w:t>Дата документа-основания</w:t>
            </w:r>
          </w:p>
        </w:tc>
        <w:tc>
          <w:tcPr>
            <w:tcW w:w="884" w:type="pct"/>
          </w:tcPr>
          <w:p w14:paraId="73E2B714" w14:textId="77777777" w:rsidR="00AD1F54" w:rsidRPr="00264D5D" w:rsidRDefault="00941227">
            <w:pPr>
              <w:pStyle w:val="GOSTTablenorm"/>
            </w:pPr>
            <w:r w:rsidRPr="00264D5D">
              <w:t>DctDt</w:t>
            </w:r>
          </w:p>
        </w:tc>
        <w:tc>
          <w:tcPr>
            <w:tcW w:w="294" w:type="pct"/>
          </w:tcPr>
          <w:p w14:paraId="5B967A64" w14:textId="77777777" w:rsidR="00AD1F54" w:rsidRPr="00264D5D" w:rsidRDefault="00941227">
            <w:pPr>
              <w:pStyle w:val="GOSTTablenorm"/>
              <w:jc w:val="center"/>
            </w:pPr>
            <w:r w:rsidRPr="00264D5D">
              <w:t>П</w:t>
            </w:r>
          </w:p>
        </w:tc>
        <w:tc>
          <w:tcPr>
            <w:tcW w:w="587" w:type="pct"/>
          </w:tcPr>
          <w:p w14:paraId="36E23F8C" w14:textId="77777777" w:rsidR="00AD1F54" w:rsidRPr="00264D5D" w:rsidRDefault="00941227">
            <w:pPr>
              <w:pStyle w:val="GOSTTablenorm"/>
            </w:pPr>
            <w:r w:rsidRPr="00264D5D">
              <w:t>Date</w:t>
            </w:r>
          </w:p>
        </w:tc>
        <w:tc>
          <w:tcPr>
            <w:tcW w:w="294" w:type="pct"/>
          </w:tcPr>
          <w:p w14:paraId="20ACA2F2" w14:textId="77777777" w:rsidR="00AD1F54" w:rsidRPr="00264D5D" w:rsidRDefault="00941227">
            <w:pPr>
              <w:pStyle w:val="GOSTTablenorm"/>
              <w:jc w:val="center"/>
            </w:pPr>
            <w:r w:rsidRPr="00264D5D">
              <w:t>Н</w:t>
            </w:r>
          </w:p>
        </w:tc>
        <w:tc>
          <w:tcPr>
            <w:tcW w:w="2057" w:type="pct"/>
          </w:tcPr>
          <w:p w14:paraId="19F3E386" w14:textId="77777777" w:rsidR="00AD1F54" w:rsidRPr="00264D5D" w:rsidRDefault="00941227">
            <w:pPr>
              <w:pStyle w:val="GOSTTablenorm"/>
            </w:pPr>
            <w:r w:rsidRPr="00264D5D">
              <w:t>Дата документа–основания.</w:t>
            </w:r>
          </w:p>
          <w:p w14:paraId="3C6C5BB4" w14:textId="77777777" w:rsidR="00AD1F54" w:rsidRPr="00264D5D" w:rsidRDefault="00941227">
            <w:pPr>
              <w:pStyle w:val="GOSTTablenorm"/>
            </w:pPr>
            <w:r w:rsidRPr="00264D5D">
              <w:t xml:space="preserve">Заполняется значением даты КОО при указании в поле «Вид документа-основания» текстового значения «Казначейское обеспечение </w:t>
            </w:r>
            <w:r w:rsidRPr="00264D5D">
              <w:lastRenderedPageBreak/>
              <w:t>обязательств».</w:t>
            </w:r>
          </w:p>
          <w:p w14:paraId="2406E1EF" w14:textId="77777777" w:rsidR="00AD1F54" w:rsidRPr="00264D5D" w:rsidRDefault="00941227">
            <w:pPr>
              <w:pStyle w:val="GOSTTablenorm"/>
            </w:pPr>
            <w:r w:rsidRPr="00264D5D">
              <w:t>Не заполняется при указании в поле «Вид документа-основания» тексто</w:t>
            </w:r>
            <w:r w:rsidR="007E4E7F" w:rsidRPr="00264D5D">
              <w:t>вых значений «УИН», «ДО», «ИГК»</w:t>
            </w:r>
          </w:p>
        </w:tc>
      </w:tr>
    </w:tbl>
    <w:p w14:paraId="6C2D14A2" w14:textId="77777777" w:rsidR="00AD1F54" w:rsidRPr="00264D5D" w:rsidRDefault="00941227">
      <w:pPr>
        <w:pStyle w:val="31"/>
      </w:pPr>
      <w:bookmarkStart w:id="1007" w:name="_Toc18509251"/>
      <w:bookmarkStart w:id="1008" w:name="_Toc219309530"/>
      <w:r w:rsidRPr="00264D5D">
        <w:lastRenderedPageBreak/>
        <w:t>Описание комплексного типа «tMSC_BsPySgnComplex»</w:t>
      </w:r>
      <w:bookmarkEnd w:id="1007"/>
      <w:bookmarkEnd w:id="1008"/>
    </w:p>
    <w:p w14:paraId="187D7DF2" w14:textId="77777777" w:rsidR="00AD1F54" w:rsidRPr="00264D5D" w:rsidRDefault="00941227">
      <w:pPr>
        <w:pStyle w:val="GOSTNormal"/>
      </w:pPr>
      <w:r w:rsidRPr="00264D5D">
        <w:t>Описание комплексного типа «tMSC_BsPySgnComplex» блока «Признак основания платежа».</w:t>
      </w:r>
    </w:p>
    <w:p w14:paraId="21556064" w14:textId="6252C93C" w:rsidR="00AD1F54" w:rsidRPr="00264D5D" w:rsidRDefault="00941227">
      <w:pPr>
        <w:pStyle w:val="GOSTNameTable"/>
        <w:keepNext w:val="0"/>
        <w:widowControl w:val="0"/>
        <w:numPr>
          <w:ilvl w:val="0"/>
          <w:numId w:val="2"/>
        </w:numPr>
        <w:ind w:left="425" w:hanging="357"/>
      </w:pPr>
      <w:r w:rsidRPr="00264D5D">
        <w:fldChar w:fldCharType="begin"/>
      </w:r>
      <w:r w:rsidRPr="00264D5D">
        <w:instrText>SEQ Таблица \* ARABIC</w:instrText>
      </w:r>
      <w:r w:rsidRPr="00264D5D">
        <w:fldChar w:fldCharType="separate"/>
      </w:r>
      <w:bookmarkStart w:id="1009" w:name="_Ref526862572"/>
      <w:bookmarkStart w:id="1010" w:name="_Toc18509538"/>
      <w:bookmarkStart w:id="1011" w:name="_Toc219309120"/>
      <w:r w:rsidR="008D797C">
        <w:rPr>
          <w:noProof/>
        </w:rPr>
        <w:t>90</w:t>
      </w:r>
      <w:bookmarkEnd w:id="1009"/>
      <w:r w:rsidRPr="00264D5D">
        <w:fldChar w:fldCharType="end"/>
      </w:r>
      <w:r w:rsidRPr="00264D5D">
        <w:t xml:space="preserve"> – Описание комплексного типа «tMSC_BsPySgnComplex»</w:t>
      </w:r>
      <w:bookmarkEnd w:id="1010"/>
      <w:bookmarkEnd w:id="1011"/>
    </w:p>
    <w:tbl>
      <w:tblPr>
        <w:tblStyle w:val="GOSTTable"/>
        <w:tblW w:w="5000" w:type="pct"/>
        <w:tblLayout w:type="fixed"/>
        <w:tblLook w:val="04A0" w:firstRow="1" w:lastRow="0" w:firstColumn="1" w:lastColumn="0" w:noHBand="0" w:noVBand="1"/>
      </w:tblPr>
      <w:tblGrid>
        <w:gridCol w:w="1704"/>
        <w:gridCol w:w="1702"/>
        <w:gridCol w:w="568"/>
        <w:gridCol w:w="1135"/>
        <w:gridCol w:w="568"/>
        <w:gridCol w:w="3973"/>
      </w:tblGrid>
      <w:tr w:rsidR="00AD1F54" w:rsidRPr="00264D5D" w14:paraId="24AFF19C"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3" w:type="dxa"/>
          </w:tcPr>
          <w:p w14:paraId="635FAE00" w14:textId="77777777" w:rsidR="00AD1F54" w:rsidRPr="00264D5D" w:rsidRDefault="00941227">
            <w:pPr>
              <w:pStyle w:val="GOSTTablenorm"/>
              <w:jc w:val="center"/>
              <w:rPr>
                <w:b/>
              </w:rPr>
            </w:pPr>
            <w:r w:rsidRPr="00264D5D">
              <w:rPr>
                <w:b/>
              </w:rPr>
              <w:t>Наименование элемента</w:t>
            </w:r>
          </w:p>
        </w:tc>
        <w:tc>
          <w:tcPr>
            <w:tcW w:w="1701" w:type="dxa"/>
          </w:tcPr>
          <w:p w14:paraId="68A30F63" w14:textId="77777777" w:rsidR="00AD1F54" w:rsidRPr="00264D5D" w:rsidRDefault="00941227">
            <w:pPr>
              <w:pStyle w:val="GOSTTablenorm"/>
              <w:jc w:val="center"/>
              <w:rPr>
                <w:b/>
              </w:rPr>
            </w:pPr>
            <w:r w:rsidRPr="00264D5D">
              <w:rPr>
                <w:b/>
              </w:rPr>
              <w:t>Сокращенное наименование (код) элемента</w:t>
            </w:r>
          </w:p>
        </w:tc>
        <w:tc>
          <w:tcPr>
            <w:tcW w:w="567" w:type="dxa"/>
          </w:tcPr>
          <w:p w14:paraId="52923D8D" w14:textId="77777777" w:rsidR="00AD1F54" w:rsidRPr="00264D5D" w:rsidRDefault="00941227">
            <w:pPr>
              <w:pStyle w:val="GOSTTablenorm"/>
              <w:jc w:val="center"/>
              <w:rPr>
                <w:b/>
              </w:rPr>
            </w:pPr>
            <w:r w:rsidRPr="00264D5D">
              <w:rPr>
                <w:b/>
              </w:rPr>
              <w:t>Тип</w:t>
            </w:r>
          </w:p>
        </w:tc>
        <w:tc>
          <w:tcPr>
            <w:tcW w:w="1134" w:type="dxa"/>
          </w:tcPr>
          <w:p w14:paraId="4F503C56" w14:textId="77777777" w:rsidR="00AD1F54" w:rsidRPr="00264D5D" w:rsidRDefault="00941227">
            <w:pPr>
              <w:pStyle w:val="GOSTTablenorm"/>
              <w:jc w:val="center"/>
              <w:rPr>
                <w:b/>
              </w:rPr>
            </w:pPr>
            <w:r w:rsidRPr="00264D5D">
              <w:rPr>
                <w:b/>
              </w:rPr>
              <w:t>Формат элемента</w:t>
            </w:r>
          </w:p>
        </w:tc>
        <w:tc>
          <w:tcPr>
            <w:tcW w:w="567" w:type="dxa"/>
          </w:tcPr>
          <w:p w14:paraId="5427A195" w14:textId="77777777" w:rsidR="00AD1F54" w:rsidRPr="00264D5D" w:rsidRDefault="00941227">
            <w:pPr>
              <w:pStyle w:val="GOSTTablenorm"/>
              <w:jc w:val="center"/>
              <w:rPr>
                <w:b/>
              </w:rPr>
            </w:pPr>
            <w:r w:rsidRPr="00264D5D">
              <w:rPr>
                <w:b/>
              </w:rPr>
              <w:t>Обязательность</w:t>
            </w:r>
          </w:p>
        </w:tc>
        <w:tc>
          <w:tcPr>
            <w:tcW w:w="3969" w:type="dxa"/>
          </w:tcPr>
          <w:p w14:paraId="0F6EB204" w14:textId="77777777" w:rsidR="00AD1F54" w:rsidRPr="00264D5D" w:rsidRDefault="00941227">
            <w:pPr>
              <w:pStyle w:val="GOSTTablenorm"/>
              <w:jc w:val="center"/>
              <w:rPr>
                <w:szCs w:val="22"/>
              </w:rPr>
            </w:pPr>
            <w:r w:rsidRPr="00264D5D">
              <w:rPr>
                <w:b/>
              </w:rPr>
              <w:t>Дополнительная информация</w:t>
            </w:r>
          </w:p>
        </w:tc>
      </w:tr>
      <w:tr w:rsidR="00AD1F54" w:rsidRPr="00264D5D" w14:paraId="6D6B8121" w14:textId="77777777" w:rsidTr="00AD1F54">
        <w:trPr>
          <w:cnfStyle w:val="000000100000" w:firstRow="0" w:lastRow="0" w:firstColumn="0" w:lastColumn="0" w:oddVBand="0" w:evenVBand="0" w:oddHBand="1" w:evenHBand="0" w:firstRowFirstColumn="0" w:firstRowLastColumn="0" w:lastRowFirstColumn="0" w:lastRowLastColumn="0"/>
        </w:trPr>
        <w:tc>
          <w:tcPr>
            <w:tcW w:w="1703" w:type="dxa"/>
          </w:tcPr>
          <w:p w14:paraId="0CD4C352" w14:textId="77777777" w:rsidR="00AD1F54" w:rsidRPr="00264D5D" w:rsidRDefault="00941227">
            <w:pPr>
              <w:pStyle w:val="GOSTTablenorm"/>
            </w:pPr>
            <w:r w:rsidRPr="00264D5D">
              <w:t>Код признака основания платежа</w:t>
            </w:r>
          </w:p>
        </w:tc>
        <w:tc>
          <w:tcPr>
            <w:tcW w:w="1701" w:type="dxa"/>
          </w:tcPr>
          <w:p w14:paraId="5955C581" w14:textId="77777777" w:rsidR="00AD1F54" w:rsidRPr="00264D5D" w:rsidRDefault="00941227">
            <w:pPr>
              <w:pStyle w:val="GOSTTablenorm"/>
            </w:pPr>
            <w:r w:rsidRPr="00264D5D">
              <w:t>сode</w:t>
            </w:r>
          </w:p>
        </w:tc>
        <w:tc>
          <w:tcPr>
            <w:tcW w:w="567" w:type="dxa"/>
          </w:tcPr>
          <w:p w14:paraId="4A86BFDA" w14:textId="77777777" w:rsidR="00AD1F54" w:rsidRPr="00264D5D" w:rsidRDefault="00941227">
            <w:pPr>
              <w:pStyle w:val="GOSTTablenorm"/>
              <w:jc w:val="center"/>
            </w:pPr>
            <w:r w:rsidRPr="00264D5D">
              <w:t>А</w:t>
            </w:r>
          </w:p>
        </w:tc>
        <w:tc>
          <w:tcPr>
            <w:tcW w:w="1134" w:type="dxa"/>
          </w:tcPr>
          <w:p w14:paraId="2E7AEDCE" w14:textId="77777777" w:rsidR="00AD1F54" w:rsidRPr="00264D5D" w:rsidRDefault="00941227">
            <w:pPr>
              <w:pStyle w:val="GOSTTablenorm"/>
            </w:pPr>
            <w:r w:rsidRPr="00264D5D">
              <w:t>-</w:t>
            </w:r>
          </w:p>
        </w:tc>
        <w:tc>
          <w:tcPr>
            <w:tcW w:w="567" w:type="dxa"/>
          </w:tcPr>
          <w:p w14:paraId="3D01C8FC" w14:textId="77777777" w:rsidR="00AD1F54" w:rsidRPr="00264D5D" w:rsidRDefault="00941227">
            <w:pPr>
              <w:pStyle w:val="GOSTTablenorm"/>
              <w:jc w:val="center"/>
            </w:pPr>
            <w:r w:rsidRPr="00264D5D">
              <w:t>О</w:t>
            </w:r>
          </w:p>
        </w:tc>
        <w:tc>
          <w:tcPr>
            <w:tcW w:w="3969" w:type="dxa"/>
          </w:tcPr>
          <w:p w14:paraId="08883A86" w14:textId="77777777" w:rsidR="00AD1F54" w:rsidRPr="00264D5D" w:rsidRDefault="00941227">
            <w:pPr>
              <w:pStyle w:val="GOSTTablenorm"/>
            </w:pPr>
            <w:r w:rsidRPr="00264D5D">
              <w:t>Возможные значения:</w:t>
            </w:r>
          </w:p>
          <w:p w14:paraId="6D39EB63" w14:textId="77777777" w:rsidR="00AD1F54" w:rsidRPr="00264D5D" w:rsidRDefault="00941227" w:rsidP="00E7460C">
            <w:pPr>
              <w:pStyle w:val="GOSTTablenorm"/>
              <w:widowControl w:val="0"/>
              <w:numPr>
                <w:ilvl w:val="0"/>
                <w:numId w:val="80"/>
              </w:numPr>
              <w:ind w:left="284" w:hanging="227"/>
            </w:pPr>
            <w:r w:rsidRPr="00264D5D">
              <w:t>1 – Основание платежа;</w:t>
            </w:r>
          </w:p>
          <w:p w14:paraId="62082475" w14:textId="77777777" w:rsidR="00AD1F54" w:rsidRPr="00264D5D" w:rsidRDefault="007E4E7F" w:rsidP="00E7460C">
            <w:pPr>
              <w:pStyle w:val="GOSTTablenorm"/>
              <w:widowControl w:val="0"/>
              <w:numPr>
                <w:ilvl w:val="0"/>
                <w:numId w:val="80"/>
              </w:numPr>
              <w:ind w:left="284" w:hanging="227"/>
            </w:pPr>
            <w:r w:rsidRPr="00264D5D">
              <w:t>2 – Документ-основание</w:t>
            </w:r>
          </w:p>
        </w:tc>
      </w:tr>
      <w:tr w:rsidR="00AD1F54" w:rsidRPr="00264D5D" w14:paraId="2552E399" w14:textId="77777777" w:rsidTr="00AD1F54">
        <w:trPr>
          <w:cnfStyle w:val="000000010000" w:firstRow="0" w:lastRow="0" w:firstColumn="0" w:lastColumn="0" w:oddVBand="0" w:evenVBand="0" w:oddHBand="0" w:evenHBand="1" w:firstRowFirstColumn="0" w:firstRowLastColumn="0" w:lastRowFirstColumn="0" w:lastRowLastColumn="0"/>
        </w:trPr>
        <w:tc>
          <w:tcPr>
            <w:tcW w:w="1703" w:type="dxa"/>
          </w:tcPr>
          <w:p w14:paraId="5045CD04" w14:textId="77777777" w:rsidR="00AD1F54" w:rsidRPr="00264D5D" w:rsidRDefault="00941227">
            <w:pPr>
              <w:pStyle w:val="GOSTTablenorm"/>
            </w:pPr>
            <w:r w:rsidRPr="00264D5D">
              <w:t>Значение признака основания платежа</w:t>
            </w:r>
          </w:p>
        </w:tc>
        <w:tc>
          <w:tcPr>
            <w:tcW w:w="1701" w:type="dxa"/>
          </w:tcPr>
          <w:p w14:paraId="20D70060" w14:textId="77777777" w:rsidR="00AD1F54" w:rsidRPr="00264D5D" w:rsidRDefault="00941227">
            <w:pPr>
              <w:pStyle w:val="GOSTTablenorm"/>
            </w:pPr>
            <w:r w:rsidRPr="00264D5D">
              <w:t>value</w:t>
            </w:r>
          </w:p>
        </w:tc>
        <w:tc>
          <w:tcPr>
            <w:tcW w:w="567" w:type="dxa"/>
          </w:tcPr>
          <w:p w14:paraId="73362841" w14:textId="77777777" w:rsidR="00AD1F54" w:rsidRPr="00264D5D" w:rsidRDefault="00941227">
            <w:pPr>
              <w:pStyle w:val="GOSTTablenorm"/>
              <w:jc w:val="center"/>
            </w:pPr>
            <w:r w:rsidRPr="00264D5D">
              <w:t>А</w:t>
            </w:r>
          </w:p>
        </w:tc>
        <w:tc>
          <w:tcPr>
            <w:tcW w:w="1134" w:type="dxa"/>
          </w:tcPr>
          <w:p w14:paraId="7FB34D74" w14:textId="77777777" w:rsidR="00AD1F54" w:rsidRPr="00264D5D" w:rsidRDefault="00941227">
            <w:pPr>
              <w:pStyle w:val="GOSTTablenorm"/>
            </w:pPr>
            <w:r w:rsidRPr="00264D5D">
              <w:t>-</w:t>
            </w:r>
          </w:p>
        </w:tc>
        <w:tc>
          <w:tcPr>
            <w:tcW w:w="567" w:type="dxa"/>
          </w:tcPr>
          <w:p w14:paraId="1CAF677C" w14:textId="77777777" w:rsidR="00AD1F54" w:rsidRPr="00264D5D" w:rsidRDefault="00941227">
            <w:pPr>
              <w:pStyle w:val="GOSTTablenorm"/>
              <w:jc w:val="center"/>
            </w:pPr>
            <w:r w:rsidRPr="00264D5D">
              <w:t>Н</w:t>
            </w:r>
          </w:p>
        </w:tc>
        <w:tc>
          <w:tcPr>
            <w:tcW w:w="3969" w:type="dxa"/>
          </w:tcPr>
          <w:p w14:paraId="1021BBC5" w14:textId="77777777" w:rsidR="00AD1F54" w:rsidRPr="00264D5D" w:rsidRDefault="00941227">
            <w:pPr>
              <w:pStyle w:val="GOSTTablenorm"/>
              <w:widowControl w:val="0"/>
            </w:pPr>
            <w:r w:rsidRPr="00264D5D">
              <w:t>Соответствующие возможные значения:</w:t>
            </w:r>
          </w:p>
          <w:p w14:paraId="792D1F1F" w14:textId="77777777" w:rsidR="00AD1F54" w:rsidRPr="00264D5D" w:rsidRDefault="00941227" w:rsidP="00E7460C">
            <w:pPr>
              <w:pStyle w:val="GOSTTablenorm"/>
              <w:widowControl w:val="0"/>
              <w:numPr>
                <w:ilvl w:val="0"/>
                <w:numId w:val="80"/>
              </w:numPr>
              <w:ind w:left="284" w:hanging="227"/>
            </w:pPr>
            <w:r w:rsidRPr="00264D5D">
              <w:t>Основание платежа;</w:t>
            </w:r>
          </w:p>
          <w:p w14:paraId="530FEF0F" w14:textId="77777777" w:rsidR="00AD1F54" w:rsidRPr="00264D5D" w:rsidRDefault="007E4E7F" w:rsidP="00E7460C">
            <w:pPr>
              <w:pStyle w:val="GOSTTablenorm"/>
              <w:widowControl w:val="0"/>
              <w:numPr>
                <w:ilvl w:val="0"/>
                <w:numId w:val="80"/>
              </w:numPr>
              <w:ind w:left="284" w:hanging="227"/>
            </w:pPr>
            <w:r w:rsidRPr="00264D5D">
              <w:t>Документ-основание</w:t>
            </w:r>
          </w:p>
        </w:tc>
      </w:tr>
    </w:tbl>
    <w:p w14:paraId="77F2338E" w14:textId="77777777" w:rsidR="00AD1F54" w:rsidRPr="00264D5D" w:rsidRDefault="00941227">
      <w:pPr>
        <w:pStyle w:val="31"/>
      </w:pPr>
      <w:bookmarkStart w:id="1012" w:name="_Toc18509252"/>
      <w:r w:rsidRPr="00264D5D">
        <w:t xml:space="preserve"> </w:t>
      </w:r>
      <w:bookmarkStart w:id="1013" w:name="_Toc219309531"/>
      <w:r w:rsidRPr="00264D5D">
        <w:t>Описание комплексного типа «tZRST»</w:t>
      </w:r>
      <w:bookmarkEnd w:id="1012"/>
      <w:bookmarkEnd w:id="1013"/>
    </w:p>
    <w:p w14:paraId="21B0B9A9" w14:textId="77777777" w:rsidR="00AD1F54" w:rsidRPr="00264D5D" w:rsidRDefault="00941227">
      <w:pPr>
        <w:pStyle w:val="GOSTNormal"/>
        <w:widowControl w:val="0"/>
      </w:pPr>
      <w:r w:rsidRPr="00264D5D">
        <w:t>Описание комплексного типа «tZRST» блока «Расшифровка заявки на кассовый расход по бюджетной классификации».</w:t>
      </w:r>
    </w:p>
    <w:p w14:paraId="13CF519A" w14:textId="2A5DA3C8" w:rsidR="00AD1F54" w:rsidRPr="00264D5D" w:rsidRDefault="00941227">
      <w:pPr>
        <w:pStyle w:val="GOSTNameTable"/>
        <w:keepNext w:val="0"/>
        <w:widowControl w:val="0"/>
        <w:numPr>
          <w:ilvl w:val="0"/>
          <w:numId w:val="2"/>
        </w:numPr>
        <w:ind w:left="425" w:hanging="357"/>
      </w:pPr>
      <w:r w:rsidRPr="00264D5D">
        <w:fldChar w:fldCharType="begin"/>
      </w:r>
      <w:r w:rsidRPr="00264D5D">
        <w:instrText>SEQ Таблица \* ARABIC</w:instrText>
      </w:r>
      <w:r w:rsidRPr="00264D5D">
        <w:fldChar w:fldCharType="separate"/>
      </w:r>
      <w:bookmarkStart w:id="1014" w:name="_Ref526861487"/>
      <w:bookmarkStart w:id="1015" w:name="_Toc18509539"/>
      <w:bookmarkStart w:id="1016" w:name="_Toc219309121"/>
      <w:r w:rsidR="008D797C">
        <w:rPr>
          <w:noProof/>
        </w:rPr>
        <w:t>91</w:t>
      </w:r>
      <w:bookmarkEnd w:id="1014"/>
      <w:r w:rsidRPr="00264D5D">
        <w:fldChar w:fldCharType="end"/>
      </w:r>
      <w:r w:rsidRPr="00264D5D">
        <w:t xml:space="preserve"> – Описание комплексного типа «tZRST»</w:t>
      </w:r>
      <w:bookmarkEnd w:id="1015"/>
      <w:bookmarkEnd w:id="1016"/>
    </w:p>
    <w:tbl>
      <w:tblPr>
        <w:tblStyle w:val="GOSTTable"/>
        <w:tblW w:w="5000" w:type="pct"/>
        <w:tblLayout w:type="fixed"/>
        <w:tblLook w:val="04A0" w:firstRow="1" w:lastRow="0" w:firstColumn="1" w:lastColumn="0" w:noHBand="0" w:noVBand="1"/>
      </w:tblPr>
      <w:tblGrid>
        <w:gridCol w:w="1703"/>
        <w:gridCol w:w="1704"/>
        <w:gridCol w:w="569"/>
        <w:gridCol w:w="1137"/>
        <w:gridCol w:w="567"/>
        <w:gridCol w:w="3970"/>
      </w:tblGrid>
      <w:tr w:rsidR="00AD1F54" w:rsidRPr="00264D5D" w14:paraId="1BABE267"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2" w:type="pct"/>
          </w:tcPr>
          <w:p w14:paraId="137A462F" w14:textId="77777777" w:rsidR="00AD1F54" w:rsidRPr="00264D5D" w:rsidRDefault="00941227">
            <w:pPr>
              <w:pStyle w:val="ASFKTableHead"/>
            </w:pPr>
            <w:r w:rsidRPr="00264D5D">
              <w:t>Наименование комплексного типа</w:t>
            </w:r>
          </w:p>
        </w:tc>
        <w:tc>
          <w:tcPr>
            <w:tcW w:w="883" w:type="pct"/>
          </w:tcPr>
          <w:p w14:paraId="54E32641" w14:textId="77777777" w:rsidR="00AD1F54" w:rsidRPr="00264D5D" w:rsidRDefault="00941227">
            <w:pPr>
              <w:pStyle w:val="ASFKTableHead"/>
            </w:pPr>
            <w:r w:rsidRPr="00264D5D">
              <w:t>Текущий элемент/ атрибут</w:t>
            </w:r>
          </w:p>
        </w:tc>
        <w:tc>
          <w:tcPr>
            <w:tcW w:w="295" w:type="pct"/>
          </w:tcPr>
          <w:p w14:paraId="293F79C2" w14:textId="77777777" w:rsidR="00AD1F54" w:rsidRPr="00264D5D" w:rsidRDefault="00941227">
            <w:pPr>
              <w:pStyle w:val="ASFKTableHead"/>
            </w:pPr>
            <w:r w:rsidRPr="00264D5D">
              <w:t>Тип</w:t>
            </w:r>
          </w:p>
        </w:tc>
        <w:tc>
          <w:tcPr>
            <w:tcW w:w="589" w:type="pct"/>
          </w:tcPr>
          <w:p w14:paraId="032EE1C5" w14:textId="77777777" w:rsidR="00AD1F54" w:rsidRPr="00264D5D" w:rsidRDefault="00941227">
            <w:pPr>
              <w:pStyle w:val="ASFKTableHead"/>
            </w:pPr>
            <w:r w:rsidRPr="00264D5D">
              <w:t>Формат элемента</w:t>
            </w:r>
          </w:p>
        </w:tc>
        <w:tc>
          <w:tcPr>
            <w:tcW w:w="294" w:type="pct"/>
          </w:tcPr>
          <w:p w14:paraId="3897F153" w14:textId="77777777" w:rsidR="00AD1F54" w:rsidRPr="00264D5D" w:rsidRDefault="00941227">
            <w:pPr>
              <w:pStyle w:val="ASFKTableHead"/>
            </w:pPr>
            <w:r w:rsidRPr="00264D5D">
              <w:t>Обязательность</w:t>
            </w:r>
          </w:p>
        </w:tc>
        <w:tc>
          <w:tcPr>
            <w:tcW w:w="2058" w:type="pct"/>
          </w:tcPr>
          <w:p w14:paraId="3811BDD2" w14:textId="77777777" w:rsidR="00AD1F54" w:rsidRPr="00264D5D" w:rsidRDefault="00941227">
            <w:pPr>
              <w:pStyle w:val="ASFKTableHead"/>
            </w:pPr>
            <w:r w:rsidRPr="00264D5D">
              <w:t>Дополнительная информация</w:t>
            </w:r>
          </w:p>
        </w:tc>
      </w:tr>
      <w:tr w:rsidR="00AD1F54" w:rsidRPr="00264D5D" w14:paraId="56D052E5" w14:textId="77777777" w:rsidTr="00AD1F54">
        <w:trPr>
          <w:cnfStyle w:val="000000100000" w:firstRow="0" w:lastRow="0" w:firstColumn="0" w:lastColumn="0" w:oddVBand="0" w:evenVBand="0" w:oddHBand="1" w:evenHBand="0" w:firstRowFirstColumn="0" w:firstRowLastColumn="0" w:lastRowFirstColumn="0" w:lastRowLastColumn="0"/>
          <w:trHeight w:val="361"/>
        </w:trPr>
        <w:tc>
          <w:tcPr>
            <w:tcW w:w="882" w:type="pct"/>
          </w:tcPr>
          <w:p w14:paraId="2C195D57" w14:textId="77777777" w:rsidR="00AD1F54" w:rsidRPr="00264D5D" w:rsidRDefault="00941227">
            <w:pPr>
              <w:pStyle w:val="GOSTTablenorm"/>
              <w:widowControl w:val="0"/>
            </w:pPr>
            <w:r w:rsidRPr="00264D5D">
              <w:t>tZRST</w:t>
            </w:r>
          </w:p>
        </w:tc>
        <w:tc>
          <w:tcPr>
            <w:tcW w:w="883" w:type="pct"/>
          </w:tcPr>
          <w:p w14:paraId="641E96DD" w14:textId="77777777" w:rsidR="00AD1F54" w:rsidRPr="00264D5D" w:rsidRDefault="00941227">
            <w:pPr>
              <w:pStyle w:val="GOSTTablenorm"/>
              <w:widowControl w:val="0"/>
              <w:rPr>
                <w:lang w:val="en-US"/>
              </w:rPr>
            </w:pPr>
            <w:r w:rsidRPr="00264D5D">
              <w:t>ZRS</w:t>
            </w:r>
            <w:r w:rsidRPr="00264D5D">
              <w:rPr>
                <w:lang w:val="en-US"/>
              </w:rPr>
              <w:t>T</w:t>
            </w:r>
            <w:r w:rsidRPr="00264D5D">
              <w:t>_ITEM</w:t>
            </w:r>
          </w:p>
        </w:tc>
        <w:tc>
          <w:tcPr>
            <w:tcW w:w="295" w:type="pct"/>
          </w:tcPr>
          <w:p w14:paraId="048E8856" w14:textId="77777777" w:rsidR="00AD1F54" w:rsidRPr="00264D5D" w:rsidRDefault="00941227">
            <w:pPr>
              <w:pStyle w:val="GOSTTablenorm"/>
              <w:widowControl w:val="0"/>
              <w:jc w:val="center"/>
              <w:rPr>
                <w:lang w:val="en-US"/>
              </w:rPr>
            </w:pPr>
            <w:r w:rsidRPr="00264D5D">
              <w:rPr>
                <w:lang w:val="en-US"/>
              </w:rPr>
              <w:t>C</w:t>
            </w:r>
          </w:p>
        </w:tc>
        <w:tc>
          <w:tcPr>
            <w:tcW w:w="589" w:type="pct"/>
          </w:tcPr>
          <w:p w14:paraId="6B10FBDE" w14:textId="77777777" w:rsidR="00AD1F54" w:rsidRPr="00264D5D" w:rsidRDefault="00941227">
            <w:pPr>
              <w:pStyle w:val="GOSTTablenorm"/>
              <w:widowControl w:val="0"/>
              <w:rPr>
                <w:lang w:val="en-US"/>
              </w:rPr>
            </w:pPr>
            <w:r w:rsidRPr="00264D5D">
              <w:rPr>
                <w:lang w:val="en-US"/>
              </w:rPr>
              <w:t>t</w:t>
            </w:r>
            <w:r w:rsidRPr="00264D5D">
              <w:t>ZRS</w:t>
            </w:r>
            <w:r w:rsidRPr="00264D5D">
              <w:rPr>
                <w:lang w:val="en-US"/>
              </w:rPr>
              <w:t>T</w:t>
            </w:r>
            <w:r w:rsidRPr="00264D5D">
              <w:t>_ITEM</w:t>
            </w:r>
          </w:p>
        </w:tc>
        <w:tc>
          <w:tcPr>
            <w:tcW w:w="294" w:type="pct"/>
          </w:tcPr>
          <w:p w14:paraId="059B6F6F" w14:textId="77777777" w:rsidR="00AD1F54" w:rsidRPr="00264D5D" w:rsidRDefault="00941227">
            <w:pPr>
              <w:pStyle w:val="GOSTTablenorm"/>
              <w:widowControl w:val="0"/>
              <w:jc w:val="center"/>
            </w:pPr>
            <w:r w:rsidRPr="00264D5D">
              <w:t>ОМ</w:t>
            </w:r>
          </w:p>
        </w:tc>
        <w:tc>
          <w:tcPr>
            <w:tcW w:w="2058" w:type="pct"/>
          </w:tcPr>
          <w:p w14:paraId="370EAB80" w14:textId="77777777" w:rsidR="00AD1F54" w:rsidRPr="00264D5D" w:rsidRDefault="00941227">
            <w:pPr>
              <w:pStyle w:val="GOSTTablenorm"/>
              <w:widowControl w:val="0"/>
            </w:pPr>
            <w:r w:rsidRPr="00264D5D">
              <w:t>Для «Заявка на кассовый расход (сокращенная)» допустимо указывать только один КБК.</w:t>
            </w:r>
          </w:p>
          <w:p w14:paraId="48D60D7D" w14:textId="7EA09C97" w:rsidR="00AD1F54" w:rsidRPr="00264D5D" w:rsidRDefault="00941227">
            <w:pPr>
              <w:pStyle w:val="GOSTTablenorm"/>
              <w:widowControl w:val="0"/>
            </w:pPr>
            <w:r w:rsidRPr="00264D5D">
              <w:t xml:space="preserve">Состав элемента представлен в таблице </w:t>
            </w:r>
            <w:r w:rsidRPr="00264D5D">
              <w:rPr>
                <w:b/>
              </w:rPr>
              <w:fldChar w:fldCharType="begin"/>
            </w:r>
            <w:r w:rsidRPr="00264D5D">
              <w:rPr>
                <w:b/>
              </w:rPr>
              <w:instrText xml:space="preserve"> REF _Ref526862650 \h  \* MERGEFORMAT </w:instrText>
            </w:r>
            <w:r w:rsidRPr="00264D5D">
              <w:rPr>
                <w:b/>
              </w:rPr>
            </w:r>
            <w:r w:rsidRPr="00264D5D">
              <w:rPr>
                <w:b/>
              </w:rPr>
              <w:fldChar w:fldCharType="separate"/>
            </w:r>
            <w:r w:rsidR="008D797C" w:rsidRPr="008D797C">
              <w:rPr>
                <w:b/>
              </w:rPr>
              <w:t>92</w:t>
            </w:r>
            <w:r w:rsidRPr="00264D5D">
              <w:rPr>
                <w:b/>
              </w:rPr>
              <w:fldChar w:fldCharType="end"/>
            </w:r>
          </w:p>
        </w:tc>
      </w:tr>
    </w:tbl>
    <w:p w14:paraId="1108F6E8" w14:textId="77777777" w:rsidR="00AD1F54" w:rsidRPr="00264D5D" w:rsidRDefault="00941227">
      <w:pPr>
        <w:pStyle w:val="31"/>
      </w:pPr>
      <w:bookmarkStart w:id="1017" w:name="_Toc18509253"/>
      <w:r w:rsidRPr="00264D5D">
        <w:t xml:space="preserve"> </w:t>
      </w:r>
      <w:bookmarkStart w:id="1018" w:name="_Toc219309532"/>
      <w:r w:rsidRPr="00264D5D">
        <w:t>Описание комплексного типа «tZRST_ITEM»</w:t>
      </w:r>
      <w:bookmarkEnd w:id="1017"/>
      <w:bookmarkEnd w:id="1018"/>
    </w:p>
    <w:p w14:paraId="1FF4E259" w14:textId="77777777" w:rsidR="00AD1F54" w:rsidRPr="00264D5D" w:rsidRDefault="00941227">
      <w:pPr>
        <w:pStyle w:val="GOSTNormal"/>
      </w:pPr>
      <w:r w:rsidRPr="00264D5D">
        <w:t>Описание комплексного типа «tZRST_ITEM» блока «Расшифровка заявки на кассовый расход по бюджетной классификации (строки)».</w:t>
      </w:r>
    </w:p>
    <w:p w14:paraId="109C2F6D" w14:textId="3FA7D20C" w:rsidR="00AD1F54" w:rsidRPr="00264D5D" w:rsidRDefault="00941227">
      <w:pPr>
        <w:pStyle w:val="GOSTNameTable"/>
        <w:numPr>
          <w:ilvl w:val="0"/>
          <w:numId w:val="2"/>
        </w:numPr>
        <w:ind w:left="425" w:hanging="357"/>
      </w:pPr>
      <w:r w:rsidRPr="00264D5D">
        <w:lastRenderedPageBreak/>
        <w:fldChar w:fldCharType="begin"/>
      </w:r>
      <w:r w:rsidRPr="00264D5D">
        <w:instrText>SEQ Таблица \* ARABIC</w:instrText>
      </w:r>
      <w:r w:rsidRPr="00264D5D">
        <w:fldChar w:fldCharType="separate"/>
      </w:r>
      <w:bookmarkStart w:id="1019" w:name="_Ref526862650"/>
      <w:bookmarkStart w:id="1020" w:name="_Toc18509540"/>
      <w:bookmarkStart w:id="1021" w:name="_Toc219309122"/>
      <w:r w:rsidR="008D797C">
        <w:rPr>
          <w:noProof/>
        </w:rPr>
        <w:t>92</w:t>
      </w:r>
      <w:bookmarkEnd w:id="1019"/>
      <w:r w:rsidRPr="00264D5D">
        <w:fldChar w:fldCharType="end"/>
      </w:r>
      <w:r w:rsidRPr="00264D5D">
        <w:t xml:space="preserve"> – Описание комплексного типа «tZRST_ITEM»</w:t>
      </w:r>
      <w:bookmarkEnd w:id="1020"/>
      <w:bookmarkEnd w:id="1021"/>
    </w:p>
    <w:tbl>
      <w:tblPr>
        <w:tblStyle w:val="GOSTTable"/>
        <w:tblW w:w="5000" w:type="pct"/>
        <w:tblLayout w:type="fixed"/>
        <w:tblLook w:val="04A0" w:firstRow="1" w:lastRow="0" w:firstColumn="1" w:lastColumn="0" w:noHBand="0" w:noVBand="1"/>
      </w:tblPr>
      <w:tblGrid>
        <w:gridCol w:w="1705"/>
        <w:gridCol w:w="1706"/>
        <w:gridCol w:w="567"/>
        <w:gridCol w:w="1137"/>
        <w:gridCol w:w="567"/>
        <w:gridCol w:w="3968"/>
      </w:tblGrid>
      <w:tr w:rsidR="00AD1F54" w:rsidRPr="00264D5D" w14:paraId="66C9B177"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3" w:type="pct"/>
          </w:tcPr>
          <w:p w14:paraId="52D419D3" w14:textId="77777777" w:rsidR="00AD1F54" w:rsidRPr="00264D5D" w:rsidRDefault="00941227">
            <w:pPr>
              <w:pStyle w:val="ASFKTableHead"/>
            </w:pPr>
            <w:r w:rsidRPr="00264D5D">
              <w:t>Наименование элемента</w:t>
            </w:r>
          </w:p>
        </w:tc>
        <w:tc>
          <w:tcPr>
            <w:tcW w:w="884" w:type="pct"/>
          </w:tcPr>
          <w:p w14:paraId="2DEF9A75" w14:textId="77777777" w:rsidR="00AD1F54" w:rsidRPr="00264D5D" w:rsidRDefault="00941227">
            <w:pPr>
              <w:pStyle w:val="ASFKTableHead"/>
            </w:pPr>
            <w:r w:rsidRPr="00264D5D">
              <w:t>Сокращенное наименование (код) элемента</w:t>
            </w:r>
          </w:p>
        </w:tc>
        <w:tc>
          <w:tcPr>
            <w:tcW w:w="294" w:type="pct"/>
          </w:tcPr>
          <w:p w14:paraId="5C053612" w14:textId="77777777" w:rsidR="00AD1F54" w:rsidRPr="00264D5D" w:rsidRDefault="00941227">
            <w:pPr>
              <w:pStyle w:val="ASFKTableHead"/>
            </w:pPr>
            <w:r w:rsidRPr="00264D5D">
              <w:t>Тип</w:t>
            </w:r>
          </w:p>
        </w:tc>
        <w:tc>
          <w:tcPr>
            <w:tcW w:w="589" w:type="pct"/>
          </w:tcPr>
          <w:p w14:paraId="4EF839E3" w14:textId="77777777" w:rsidR="00AD1F54" w:rsidRPr="00264D5D" w:rsidRDefault="00941227">
            <w:pPr>
              <w:pStyle w:val="ASFKTableHead"/>
            </w:pPr>
            <w:r w:rsidRPr="00264D5D">
              <w:t>Формат элемента</w:t>
            </w:r>
          </w:p>
        </w:tc>
        <w:tc>
          <w:tcPr>
            <w:tcW w:w="294" w:type="pct"/>
          </w:tcPr>
          <w:p w14:paraId="23D1A224" w14:textId="77777777" w:rsidR="00AD1F54" w:rsidRPr="00264D5D" w:rsidRDefault="00941227">
            <w:pPr>
              <w:pStyle w:val="ASFKTableHead"/>
            </w:pPr>
            <w:r w:rsidRPr="00264D5D">
              <w:t>Обязательность</w:t>
            </w:r>
          </w:p>
        </w:tc>
        <w:tc>
          <w:tcPr>
            <w:tcW w:w="2058" w:type="pct"/>
          </w:tcPr>
          <w:p w14:paraId="3C460F67" w14:textId="77777777" w:rsidR="00AD1F54" w:rsidRPr="00264D5D" w:rsidRDefault="00941227">
            <w:pPr>
              <w:pStyle w:val="ASFKTableHead"/>
            </w:pPr>
            <w:r w:rsidRPr="00264D5D">
              <w:t>Дополнительная информация</w:t>
            </w:r>
          </w:p>
        </w:tc>
      </w:tr>
      <w:tr w:rsidR="00AD1F54" w:rsidRPr="00264D5D" w14:paraId="0672970C"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62AA1445" w14:textId="77777777" w:rsidR="00AD1F54" w:rsidRPr="00264D5D" w:rsidRDefault="00941227">
            <w:pPr>
              <w:pStyle w:val="GOSTTablenorm"/>
            </w:pPr>
            <w:r w:rsidRPr="00264D5D">
              <w:t>Вид средств</w:t>
            </w:r>
          </w:p>
        </w:tc>
        <w:tc>
          <w:tcPr>
            <w:tcW w:w="884" w:type="pct"/>
          </w:tcPr>
          <w:p w14:paraId="31D88671" w14:textId="77777777" w:rsidR="00AD1F54" w:rsidRPr="00264D5D" w:rsidRDefault="00941227">
            <w:pPr>
              <w:pStyle w:val="GOSTTablenorm"/>
            </w:pPr>
            <w:r w:rsidRPr="00264D5D">
              <w:t>MSC_FndsSrc</w:t>
            </w:r>
          </w:p>
        </w:tc>
        <w:tc>
          <w:tcPr>
            <w:tcW w:w="294" w:type="pct"/>
          </w:tcPr>
          <w:p w14:paraId="5AAA5BB1" w14:textId="77777777" w:rsidR="00AD1F54" w:rsidRPr="00264D5D" w:rsidRDefault="00941227">
            <w:pPr>
              <w:pStyle w:val="GOSTTablenorm"/>
              <w:jc w:val="center"/>
              <w:rPr>
                <w:lang w:val="en-US"/>
              </w:rPr>
            </w:pPr>
            <w:r w:rsidRPr="00264D5D">
              <w:rPr>
                <w:lang w:val="en-US"/>
              </w:rPr>
              <w:t>C</w:t>
            </w:r>
          </w:p>
        </w:tc>
        <w:tc>
          <w:tcPr>
            <w:tcW w:w="589" w:type="pct"/>
          </w:tcPr>
          <w:p w14:paraId="548C6972" w14:textId="77777777" w:rsidR="00AD1F54" w:rsidRPr="00264D5D" w:rsidRDefault="00941227">
            <w:pPr>
              <w:pStyle w:val="GOSTTablenorm"/>
            </w:pPr>
            <w:r w:rsidRPr="00264D5D">
              <w:t>tMSC_SrcTypeComplex6</w:t>
            </w:r>
          </w:p>
        </w:tc>
        <w:tc>
          <w:tcPr>
            <w:tcW w:w="294" w:type="pct"/>
          </w:tcPr>
          <w:p w14:paraId="29B61395" w14:textId="77777777" w:rsidR="00AD1F54" w:rsidRPr="00264D5D" w:rsidRDefault="00941227">
            <w:pPr>
              <w:pStyle w:val="GOSTTablenorm"/>
              <w:jc w:val="center"/>
            </w:pPr>
            <w:r w:rsidRPr="00264D5D">
              <w:t>О</w:t>
            </w:r>
          </w:p>
        </w:tc>
        <w:tc>
          <w:tcPr>
            <w:tcW w:w="2058" w:type="pct"/>
          </w:tcPr>
          <w:p w14:paraId="4919F473" w14:textId="77777777" w:rsidR="00AD1F54" w:rsidRPr="00264D5D" w:rsidRDefault="00941227">
            <w:pPr>
              <w:pStyle w:val="GOSTTablenorm"/>
            </w:pPr>
            <w:r w:rsidRPr="00264D5D">
              <w:t>Вид средств.</w:t>
            </w:r>
          </w:p>
          <w:p w14:paraId="03C3B7E6" w14:textId="25B4889E" w:rsidR="00AD1F54" w:rsidRPr="00264D5D" w:rsidRDefault="00941227">
            <w:pPr>
              <w:pStyle w:val="GOSTTablenorm"/>
            </w:pPr>
            <w:r w:rsidRPr="00264D5D">
              <w:t xml:space="preserve">Состав элемента представлен в таблице </w:t>
            </w:r>
            <w:r w:rsidRPr="00264D5D">
              <w:rPr>
                <w:b/>
              </w:rPr>
              <w:fldChar w:fldCharType="begin"/>
            </w:r>
            <w:r w:rsidRPr="00264D5D">
              <w:rPr>
                <w:b/>
              </w:rPr>
              <w:instrText xml:space="preserve"> REF _Ref524616130 \h  \* MERGEFORMAT </w:instrText>
            </w:r>
            <w:r w:rsidRPr="00264D5D">
              <w:rPr>
                <w:b/>
              </w:rPr>
            </w:r>
            <w:r w:rsidRPr="00264D5D">
              <w:rPr>
                <w:b/>
              </w:rPr>
              <w:fldChar w:fldCharType="separate"/>
            </w:r>
            <w:r w:rsidR="008D797C" w:rsidRPr="008D797C">
              <w:rPr>
                <w:b/>
              </w:rPr>
              <w:t>68</w:t>
            </w:r>
            <w:r w:rsidRPr="00264D5D">
              <w:rPr>
                <w:b/>
              </w:rPr>
              <w:fldChar w:fldCharType="end"/>
            </w:r>
          </w:p>
        </w:tc>
      </w:tr>
      <w:tr w:rsidR="00AD1F54" w:rsidRPr="00264D5D" w14:paraId="16C96AA3"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3" w:type="pct"/>
          </w:tcPr>
          <w:p w14:paraId="75196C71" w14:textId="77777777" w:rsidR="00AD1F54" w:rsidRPr="00264D5D" w:rsidRDefault="00941227">
            <w:pPr>
              <w:pStyle w:val="GOSTTablenorm"/>
            </w:pPr>
            <w:r w:rsidRPr="00264D5D">
              <w:t>КБК плательщика</w:t>
            </w:r>
          </w:p>
        </w:tc>
        <w:tc>
          <w:tcPr>
            <w:tcW w:w="884" w:type="pct"/>
          </w:tcPr>
          <w:p w14:paraId="6B621705" w14:textId="77777777" w:rsidR="00AD1F54" w:rsidRPr="00264D5D" w:rsidRDefault="00941227">
            <w:pPr>
              <w:pStyle w:val="GOSTTablenorm"/>
            </w:pPr>
            <w:r w:rsidRPr="00264D5D">
              <w:t>MSC_KBKPyr</w:t>
            </w:r>
          </w:p>
        </w:tc>
        <w:tc>
          <w:tcPr>
            <w:tcW w:w="294" w:type="pct"/>
          </w:tcPr>
          <w:p w14:paraId="2D1A1148" w14:textId="77777777" w:rsidR="00AD1F54" w:rsidRPr="00264D5D" w:rsidRDefault="00941227">
            <w:pPr>
              <w:pStyle w:val="GOSTTablenorm"/>
              <w:jc w:val="center"/>
              <w:rPr>
                <w:lang w:val="en-US"/>
              </w:rPr>
            </w:pPr>
            <w:r w:rsidRPr="00264D5D">
              <w:t>С</w:t>
            </w:r>
          </w:p>
        </w:tc>
        <w:tc>
          <w:tcPr>
            <w:tcW w:w="589" w:type="pct"/>
          </w:tcPr>
          <w:p w14:paraId="5C15B160" w14:textId="77777777" w:rsidR="00AD1F54" w:rsidRPr="00264D5D" w:rsidRDefault="00941227">
            <w:pPr>
              <w:pStyle w:val="GOSTTablenorm"/>
            </w:pPr>
            <w:r w:rsidRPr="00264D5D">
              <w:t>tMSC_KBK10_20_31_32</w:t>
            </w:r>
          </w:p>
        </w:tc>
        <w:tc>
          <w:tcPr>
            <w:tcW w:w="294" w:type="pct"/>
          </w:tcPr>
          <w:p w14:paraId="47428EE2" w14:textId="77777777" w:rsidR="00AD1F54" w:rsidRPr="00264D5D" w:rsidRDefault="00941227">
            <w:pPr>
              <w:pStyle w:val="GOSTTablenorm"/>
              <w:jc w:val="center"/>
            </w:pPr>
            <w:r w:rsidRPr="00264D5D">
              <w:t>Н</w:t>
            </w:r>
          </w:p>
        </w:tc>
        <w:tc>
          <w:tcPr>
            <w:tcW w:w="2058" w:type="pct"/>
          </w:tcPr>
          <w:p w14:paraId="5F705A3A" w14:textId="77777777" w:rsidR="00AD1F54" w:rsidRPr="00264D5D" w:rsidRDefault="00941227">
            <w:pPr>
              <w:pStyle w:val="GOSTTablenorm"/>
            </w:pPr>
            <w:r w:rsidRPr="00264D5D">
              <w:t>КБК плательщика.</w:t>
            </w:r>
          </w:p>
          <w:p w14:paraId="74425303" w14:textId="77777777" w:rsidR="00AD1F54" w:rsidRPr="00264D5D" w:rsidRDefault="00941227">
            <w:pPr>
              <w:pStyle w:val="GOSTTablenorm"/>
            </w:pPr>
            <w:r w:rsidRPr="00264D5D">
              <w:t>Для средств, поступающих во временное распоряжение учреждений не заполняется.</w:t>
            </w:r>
          </w:p>
          <w:p w14:paraId="2F77822B" w14:textId="09356734" w:rsidR="00AD1F54" w:rsidRPr="00264D5D" w:rsidRDefault="00941227">
            <w:pPr>
              <w:pStyle w:val="GOSTTablenorm"/>
            </w:pPr>
            <w:r w:rsidRPr="00264D5D">
              <w:t xml:space="preserve">Состав элемента представлен в таблице </w:t>
            </w:r>
            <w:r w:rsidRPr="00264D5D">
              <w:rPr>
                <w:b/>
              </w:rPr>
              <w:fldChar w:fldCharType="begin"/>
            </w:r>
            <w:r w:rsidRPr="00264D5D">
              <w:rPr>
                <w:b/>
              </w:rPr>
              <w:instrText xml:space="preserve"> REF _Ref526862673 \h  \* MERGEFORMAT </w:instrText>
            </w:r>
            <w:r w:rsidRPr="00264D5D">
              <w:rPr>
                <w:b/>
              </w:rPr>
            </w:r>
            <w:r w:rsidRPr="00264D5D">
              <w:rPr>
                <w:b/>
              </w:rPr>
              <w:fldChar w:fldCharType="separate"/>
            </w:r>
            <w:r w:rsidR="008D797C" w:rsidRPr="008D797C">
              <w:rPr>
                <w:b/>
              </w:rPr>
              <w:t>93</w:t>
            </w:r>
            <w:r w:rsidRPr="00264D5D">
              <w:rPr>
                <w:b/>
              </w:rPr>
              <w:fldChar w:fldCharType="end"/>
            </w:r>
          </w:p>
        </w:tc>
      </w:tr>
      <w:tr w:rsidR="00AD1F54" w:rsidRPr="00264D5D" w14:paraId="11BBB79E" w14:textId="77777777" w:rsidTr="00AD1F54">
        <w:trPr>
          <w:cnfStyle w:val="000000100000" w:firstRow="0" w:lastRow="0" w:firstColumn="0" w:lastColumn="0" w:oddVBand="0" w:evenVBand="0" w:oddHBand="1" w:evenHBand="0" w:firstRowFirstColumn="0" w:firstRowLastColumn="0" w:lastRowFirstColumn="0" w:lastRowLastColumn="0"/>
          <w:trHeight w:val="836"/>
        </w:trPr>
        <w:tc>
          <w:tcPr>
            <w:tcW w:w="883" w:type="pct"/>
          </w:tcPr>
          <w:p w14:paraId="480CBFD6" w14:textId="77777777" w:rsidR="00AD1F54" w:rsidRPr="00264D5D" w:rsidRDefault="00941227">
            <w:pPr>
              <w:pStyle w:val="GOSTTablenorm"/>
            </w:pPr>
            <w:r w:rsidRPr="00264D5D">
              <w:t>Сумма в валюте заявки</w:t>
            </w:r>
          </w:p>
        </w:tc>
        <w:tc>
          <w:tcPr>
            <w:tcW w:w="884" w:type="pct"/>
          </w:tcPr>
          <w:p w14:paraId="2C285FAB" w14:textId="77777777" w:rsidR="00AD1F54" w:rsidRPr="00264D5D" w:rsidRDefault="00941227">
            <w:pPr>
              <w:pStyle w:val="GOSTTablenorm"/>
            </w:pPr>
            <w:r w:rsidRPr="00264D5D">
              <w:t>AmntCrrPrpsl</w:t>
            </w:r>
          </w:p>
        </w:tc>
        <w:tc>
          <w:tcPr>
            <w:tcW w:w="294" w:type="pct"/>
          </w:tcPr>
          <w:p w14:paraId="23EADE51" w14:textId="77777777" w:rsidR="00AD1F54" w:rsidRPr="00264D5D" w:rsidRDefault="00941227">
            <w:pPr>
              <w:pStyle w:val="GOSTTablenorm"/>
              <w:jc w:val="center"/>
            </w:pPr>
            <w:r w:rsidRPr="00264D5D">
              <w:t>П</w:t>
            </w:r>
          </w:p>
        </w:tc>
        <w:tc>
          <w:tcPr>
            <w:tcW w:w="589" w:type="pct"/>
          </w:tcPr>
          <w:p w14:paraId="045F8FF0" w14:textId="77777777" w:rsidR="00AD1F54" w:rsidRPr="00264D5D" w:rsidRDefault="00941227">
            <w:pPr>
              <w:pStyle w:val="GOSTTablenorm"/>
            </w:pPr>
            <w:r w:rsidRPr="00264D5D">
              <w:t>N(20.2)</w:t>
            </w:r>
          </w:p>
        </w:tc>
        <w:tc>
          <w:tcPr>
            <w:tcW w:w="294" w:type="pct"/>
          </w:tcPr>
          <w:p w14:paraId="61219ABD" w14:textId="77777777" w:rsidR="00AD1F54" w:rsidRPr="00264D5D" w:rsidRDefault="00941227">
            <w:pPr>
              <w:pStyle w:val="GOSTTablenorm"/>
              <w:jc w:val="center"/>
            </w:pPr>
            <w:r w:rsidRPr="00264D5D">
              <w:t>О</w:t>
            </w:r>
          </w:p>
        </w:tc>
        <w:tc>
          <w:tcPr>
            <w:tcW w:w="2058" w:type="pct"/>
          </w:tcPr>
          <w:p w14:paraId="613A3979" w14:textId="77777777" w:rsidR="00AD1F54" w:rsidRPr="00264D5D" w:rsidRDefault="00941227">
            <w:pPr>
              <w:pStyle w:val="GOSTTablenorm"/>
            </w:pPr>
            <w:r w:rsidRPr="00264D5D">
              <w:t>Указывается значение, равное значению из поля «Су</w:t>
            </w:r>
            <w:r w:rsidR="007E4E7F" w:rsidRPr="00264D5D">
              <w:t>мма документа в валюте выплаты»</w:t>
            </w:r>
          </w:p>
        </w:tc>
      </w:tr>
    </w:tbl>
    <w:p w14:paraId="697FE803" w14:textId="77777777" w:rsidR="00AD1F54" w:rsidRPr="00264D5D" w:rsidRDefault="00941227">
      <w:pPr>
        <w:pStyle w:val="31"/>
      </w:pPr>
      <w:bookmarkStart w:id="1022" w:name="_Toc18509254"/>
      <w:r w:rsidRPr="00264D5D">
        <w:t xml:space="preserve"> </w:t>
      </w:r>
      <w:bookmarkStart w:id="1023" w:name="_Toc219309533"/>
      <w:r w:rsidRPr="00264D5D">
        <w:t>Описание комплексного типа «tMSC_KBK10_20_31_32»</w:t>
      </w:r>
      <w:bookmarkEnd w:id="1022"/>
      <w:bookmarkEnd w:id="1023"/>
    </w:p>
    <w:p w14:paraId="6AF49D18" w14:textId="77777777" w:rsidR="00AD1F54" w:rsidRPr="00264D5D" w:rsidRDefault="00941227">
      <w:pPr>
        <w:pStyle w:val="GOSTNormal"/>
      </w:pPr>
      <w:r w:rsidRPr="00264D5D">
        <w:t>Описание комплексного типа «tMSC_KBK10_20_31_32» блока «КБК плательщика».</w:t>
      </w:r>
    </w:p>
    <w:p w14:paraId="453B9209" w14:textId="1688CDF1"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1024" w:name="_Ref526862673"/>
      <w:bookmarkStart w:id="1025" w:name="_Toc18509541"/>
      <w:bookmarkStart w:id="1026" w:name="_Toc219309123"/>
      <w:r w:rsidR="008D797C">
        <w:rPr>
          <w:noProof/>
        </w:rPr>
        <w:t>93</w:t>
      </w:r>
      <w:bookmarkEnd w:id="1024"/>
      <w:r w:rsidRPr="00264D5D">
        <w:fldChar w:fldCharType="end"/>
      </w:r>
      <w:r w:rsidRPr="00264D5D">
        <w:t xml:space="preserve"> – Описание комплексного типа «tMSC_KBK10_20_31_32»</w:t>
      </w:r>
      <w:bookmarkEnd w:id="1025"/>
      <w:bookmarkEnd w:id="1026"/>
    </w:p>
    <w:tbl>
      <w:tblPr>
        <w:tblStyle w:val="GOSTTable"/>
        <w:tblW w:w="5000" w:type="pct"/>
        <w:tblLayout w:type="fixed"/>
        <w:tblLook w:val="01E0" w:firstRow="1" w:lastRow="1" w:firstColumn="1" w:lastColumn="1" w:noHBand="0" w:noVBand="0"/>
      </w:tblPr>
      <w:tblGrid>
        <w:gridCol w:w="1704"/>
        <w:gridCol w:w="1702"/>
        <w:gridCol w:w="568"/>
        <w:gridCol w:w="1135"/>
        <w:gridCol w:w="568"/>
        <w:gridCol w:w="3973"/>
      </w:tblGrid>
      <w:tr w:rsidR="00AD1F54" w:rsidRPr="00264D5D" w14:paraId="02E8B619"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3" w:type="dxa"/>
          </w:tcPr>
          <w:p w14:paraId="195E47E7" w14:textId="77777777" w:rsidR="00AD1F54" w:rsidRPr="00264D5D" w:rsidRDefault="00941227">
            <w:pPr>
              <w:pStyle w:val="ASFKTableHead"/>
            </w:pPr>
            <w:r w:rsidRPr="00264D5D">
              <w:t>Наименование элемента</w:t>
            </w:r>
          </w:p>
        </w:tc>
        <w:tc>
          <w:tcPr>
            <w:tcW w:w="1701" w:type="dxa"/>
          </w:tcPr>
          <w:p w14:paraId="50F91A38" w14:textId="77777777" w:rsidR="00AD1F54" w:rsidRPr="00264D5D" w:rsidRDefault="00941227">
            <w:pPr>
              <w:pStyle w:val="ASFKTableHead"/>
            </w:pPr>
            <w:r w:rsidRPr="00264D5D">
              <w:t>Сокращенное наименование (код) элемента</w:t>
            </w:r>
          </w:p>
        </w:tc>
        <w:tc>
          <w:tcPr>
            <w:tcW w:w="567" w:type="dxa"/>
          </w:tcPr>
          <w:p w14:paraId="7F6FC41C" w14:textId="77777777" w:rsidR="00AD1F54" w:rsidRPr="00264D5D" w:rsidRDefault="00941227">
            <w:pPr>
              <w:pStyle w:val="ASFKTableHead"/>
            </w:pPr>
            <w:r w:rsidRPr="00264D5D">
              <w:t>Тип</w:t>
            </w:r>
          </w:p>
        </w:tc>
        <w:tc>
          <w:tcPr>
            <w:tcW w:w="1134" w:type="dxa"/>
          </w:tcPr>
          <w:p w14:paraId="7DC36A58" w14:textId="77777777" w:rsidR="00AD1F54" w:rsidRPr="00264D5D" w:rsidRDefault="00941227">
            <w:pPr>
              <w:pStyle w:val="ASFKTableHead"/>
            </w:pPr>
            <w:r w:rsidRPr="00264D5D">
              <w:t>Формат элемента</w:t>
            </w:r>
          </w:p>
        </w:tc>
        <w:tc>
          <w:tcPr>
            <w:tcW w:w="567" w:type="dxa"/>
          </w:tcPr>
          <w:p w14:paraId="4CD39BB1" w14:textId="77777777" w:rsidR="00AD1F54" w:rsidRPr="00264D5D" w:rsidRDefault="00941227">
            <w:pPr>
              <w:pStyle w:val="ASFKTableHead"/>
            </w:pPr>
            <w:r w:rsidRPr="00264D5D">
              <w:t>Обязательность</w:t>
            </w:r>
          </w:p>
        </w:tc>
        <w:tc>
          <w:tcPr>
            <w:tcW w:w="3969" w:type="dxa"/>
          </w:tcPr>
          <w:p w14:paraId="6D08BA87" w14:textId="77777777" w:rsidR="00AD1F54" w:rsidRPr="00264D5D" w:rsidRDefault="00941227">
            <w:pPr>
              <w:pStyle w:val="ASFKTableHead"/>
            </w:pPr>
            <w:r w:rsidRPr="00264D5D">
              <w:t>Дополнительная информация</w:t>
            </w:r>
          </w:p>
        </w:tc>
      </w:tr>
      <w:tr w:rsidR="00AD1F54" w:rsidRPr="00264D5D" w14:paraId="2C2B1783" w14:textId="77777777" w:rsidTr="00AD1F54">
        <w:trPr>
          <w:cnfStyle w:val="000000100000" w:firstRow="0" w:lastRow="0" w:firstColumn="0" w:lastColumn="0" w:oddVBand="0" w:evenVBand="0" w:oddHBand="1" w:evenHBand="0" w:firstRowFirstColumn="0" w:firstRowLastColumn="0" w:lastRowFirstColumn="0" w:lastRowLastColumn="0"/>
        </w:trPr>
        <w:tc>
          <w:tcPr>
            <w:tcW w:w="1703" w:type="dxa"/>
          </w:tcPr>
          <w:p w14:paraId="349E83AC" w14:textId="77777777" w:rsidR="00AD1F54" w:rsidRPr="00264D5D" w:rsidRDefault="00941227">
            <w:pPr>
              <w:pStyle w:val="GOSTTablenorm"/>
            </w:pPr>
            <w:r w:rsidRPr="00264D5D">
              <w:t>КБК</w:t>
            </w:r>
          </w:p>
        </w:tc>
        <w:tc>
          <w:tcPr>
            <w:tcW w:w="1701" w:type="dxa"/>
          </w:tcPr>
          <w:p w14:paraId="402E25DE" w14:textId="77777777" w:rsidR="00AD1F54" w:rsidRPr="00264D5D" w:rsidRDefault="00941227">
            <w:pPr>
              <w:pStyle w:val="GOSTTablenorm"/>
              <w:rPr>
                <w:lang w:val="en-US"/>
              </w:rPr>
            </w:pPr>
            <w:r w:rsidRPr="00264D5D">
              <w:rPr>
                <w:lang w:val="en-US"/>
              </w:rPr>
              <w:t>KBK</w:t>
            </w:r>
          </w:p>
        </w:tc>
        <w:tc>
          <w:tcPr>
            <w:tcW w:w="567" w:type="dxa"/>
          </w:tcPr>
          <w:p w14:paraId="456F91F6" w14:textId="77777777" w:rsidR="00AD1F54" w:rsidRPr="00264D5D" w:rsidRDefault="00941227">
            <w:pPr>
              <w:pStyle w:val="GOSTTablenorm"/>
              <w:jc w:val="center"/>
              <w:rPr>
                <w:lang w:val="en-US"/>
              </w:rPr>
            </w:pPr>
            <w:r w:rsidRPr="00264D5D">
              <w:t>П</w:t>
            </w:r>
          </w:p>
        </w:tc>
        <w:tc>
          <w:tcPr>
            <w:tcW w:w="1134" w:type="dxa"/>
          </w:tcPr>
          <w:p w14:paraId="643F5BD0" w14:textId="77777777" w:rsidR="00AD1F54" w:rsidRPr="00264D5D" w:rsidRDefault="00941227">
            <w:pPr>
              <w:pStyle w:val="GOSTTablenorm"/>
            </w:pPr>
            <w:r w:rsidRPr="00264D5D">
              <w:t>Т(</w:t>
            </w:r>
            <w:r w:rsidRPr="00264D5D">
              <w:rPr>
                <w:lang w:val="en-US"/>
              </w:rPr>
              <w:t>20</w:t>
            </w:r>
            <w:r w:rsidRPr="00264D5D">
              <w:t>)</w:t>
            </w:r>
          </w:p>
        </w:tc>
        <w:tc>
          <w:tcPr>
            <w:tcW w:w="567" w:type="dxa"/>
          </w:tcPr>
          <w:p w14:paraId="6DB22568" w14:textId="77777777" w:rsidR="00AD1F54" w:rsidRPr="00264D5D" w:rsidRDefault="00941227">
            <w:pPr>
              <w:pStyle w:val="GOSTTablenorm"/>
              <w:jc w:val="center"/>
            </w:pPr>
            <w:r w:rsidRPr="00264D5D">
              <w:t>Н</w:t>
            </w:r>
          </w:p>
        </w:tc>
        <w:tc>
          <w:tcPr>
            <w:tcW w:w="3969" w:type="dxa"/>
          </w:tcPr>
          <w:p w14:paraId="665207BB" w14:textId="77777777" w:rsidR="00AD1F54" w:rsidRPr="00264D5D" w:rsidRDefault="00941227">
            <w:pPr>
              <w:pStyle w:val="GOSTTablenorm"/>
            </w:pPr>
            <w:r w:rsidRPr="00264D5D">
              <w:t>Указывается КБК в соответствии с действующими Указаниями по БК.</w:t>
            </w:r>
          </w:p>
          <w:p w14:paraId="73FF81FF" w14:textId="77777777" w:rsidR="00AD1F54" w:rsidRPr="00264D5D" w:rsidRDefault="00941227">
            <w:pPr>
              <w:pStyle w:val="GOSTTablenorm"/>
            </w:pPr>
            <w:r w:rsidRPr="00264D5D">
              <w:t xml:space="preserve">Для средств, поступающих во временное распоряжение </w:t>
            </w:r>
            <w:r w:rsidR="007E4E7F" w:rsidRPr="00264D5D">
              <w:t>учреждений, коды не указываются</w:t>
            </w:r>
          </w:p>
        </w:tc>
      </w:tr>
      <w:tr w:rsidR="00AD1F54" w:rsidRPr="00264D5D" w14:paraId="6C0E9B10" w14:textId="77777777" w:rsidTr="00AD1F54">
        <w:trPr>
          <w:cnfStyle w:val="000000010000" w:firstRow="0" w:lastRow="0" w:firstColumn="0" w:lastColumn="0" w:oddVBand="0" w:evenVBand="0" w:oddHBand="0" w:evenHBand="1" w:firstRowFirstColumn="0" w:firstRowLastColumn="0" w:lastRowFirstColumn="0" w:lastRowLastColumn="0"/>
        </w:trPr>
        <w:tc>
          <w:tcPr>
            <w:tcW w:w="1703" w:type="dxa"/>
          </w:tcPr>
          <w:p w14:paraId="0C31CA72" w14:textId="77777777" w:rsidR="00AD1F54" w:rsidRPr="00264D5D" w:rsidRDefault="00941227">
            <w:pPr>
              <w:pStyle w:val="GOSTTablenorm"/>
              <w:rPr>
                <w:szCs w:val="22"/>
              </w:rPr>
            </w:pPr>
            <w:r w:rsidRPr="00264D5D">
              <w:t>Код цели</w:t>
            </w:r>
          </w:p>
        </w:tc>
        <w:tc>
          <w:tcPr>
            <w:tcW w:w="1701" w:type="dxa"/>
          </w:tcPr>
          <w:p w14:paraId="6D302053" w14:textId="77777777" w:rsidR="00AD1F54" w:rsidRPr="00264D5D" w:rsidRDefault="00941227">
            <w:pPr>
              <w:pStyle w:val="GOSTTablenorm"/>
              <w:rPr>
                <w:lang w:val="en-US"/>
              </w:rPr>
            </w:pPr>
            <w:r w:rsidRPr="00264D5D">
              <w:rPr>
                <w:lang w:val="en-US"/>
              </w:rPr>
              <w:t>TrgtCd</w:t>
            </w:r>
          </w:p>
        </w:tc>
        <w:tc>
          <w:tcPr>
            <w:tcW w:w="567" w:type="dxa"/>
          </w:tcPr>
          <w:p w14:paraId="6A54F0BC" w14:textId="77777777" w:rsidR="00AD1F54" w:rsidRPr="00264D5D" w:rsidRDefault="00941227">
            <w:pPr>
              <w:pStyle w:val="GOSTTablenorm"/>
              <w:jc w:val="center"/>
            </w:pPr>
            <w:r w:rsidRPr="00264D5D">
              <w:t>П</w:t>
            </w:r>
          </w:p>
        </w:tc>
        <w:tc>
          <w:tcPr>
            <w:tcW w:w="1134" w:type="dxa"/>
          </w:tcPr>
          <w:p w14:paraId="57A43B61" w14:textId="77777777" w:rsidR="00AD1F54" w:rsidRPr="00264D5D" w:rsidRDefault="00941227">
            <w:pPr>
              <w:pStyle w:val="GOSTTablenorm"/>
            </w:pPr>
            <w:r w:rsidRPr="00264D5D">
              <w:t>Т(1-</w:t>
            </w:r>
            <w:r w:rsidRPr="00264D5D">
              <w:rPr>
                <w:lang w:val="en-US"/>
              </w:rPr>
              <w:t>2</w:t>
            </w:r>
            <w:r w:rsidRPr="00264D5D">
              <w:t>5)</w:t>
            </w:r>
          </w:p>
        </w:tc>
        <w:tc>
          <w:tcPr>
            <w:tcW w:w="567" w:type="dxa"/>
          </w:tcPr>
          <w:p w14:paraId="5286E555" w14:textId="77777777" w:rsidR="00AD1F54" w:rsidRPr="00264D5D" w:rsidRDefault="00941227">
            <w:pPr>
              <w:pStyle w:val="GOSTTablenorm"/>
              <w:jc w:val="center"/>
            </w:pPr>
            <w:r w:rsidRPr="00264D5D">
              <w:t>Н</w:t>
            </w:r>
          </w:p>
        </w:tc>
        <w:tc>
          <w:tcPr>
            <w:tcW w:w="3969" w:type="dxa"/>
          </w:tcPr>
          <w:p w14:paraId="1C18D9B4" w14:textId="77777777" w:rsidR="00AD1F54" w:rsidRPr="00264D5D" w:rsidRDefault="00941227">
            <w:pPr>
              <w:pStyle w:val="GOSTTablenorm"/>
            </w:pPr>
            <w:r w:rsidRPr="00264D5D">
              <w:t>Указывается код цели (аналитический код).</w:t>
            </w:r>
          </w:p>
          <w:p w14:paraId="0064907B" w14:textId="77777777" w:rsidR="00AD1F54" w:rsidRPr="00264D5D" w:rsidRDefault="00941227">
            <w:pPr>
              <w:pStyle w:val="GOSTTablenorm"/>
            </w:pPr>
            <w:r w:rsidRPr="00264D5D">
              <w:t>По расходам бюджетов, источником финансового обеспечения которых являются субсидии, субвенции, иные целевые межбюджетные трансферты из ФБ, поле заполняется в соответствии с перечнем кодов целей, присвоенных ФК.</w:t>
            </w:r>
          </w:p>
          <w:p w14:paraId="2D077A1A" w14:textId="77777777" w:rsidR="00AD1F54" w:rsidRPr="00264D5D" w:rsidRDefault="00941227">
            <w:pPr>
              <w:pStyle w:val="GOSTTablenorm"/>
            </w:pPr>
            <w:r w:rsidRPr="00264D5D">
              <w:t>Поле обязательно для заполнения при оформлении ЗКР по л/с с кодом «21», «31», «41».</w:t>
            </w:r>
          </w:p>
          <w:p w14:paraId="12E412DD" w14:textId="77777777" w:rsidR="00AD1F54" w:rsidRPr="00264D5D" w:rsidRDefault="00941227">
            <w:pPr>
              <w:pStyle w:val="GOSTTablenorm"/>
            </w:pPr>
            <w:r w:rsidRPr="00264D5D">
              <w:t>В случае представления ЗКР по л/с с кодом «21» / «</w:t>
            </w:r>
            <w:r w:rsidR="007E4E7F" w:rsidRPr="00264D5D">
              <w:t>31» /</w:t>
            </w:r>
            <w:r w:rsidRPr="00264D5D">
              <w:t xml:space="preserve"> «41» без указания кода субсидии, в поле указывается </w:t>
            </w:r>
            <w:r w:rsidRPr="00264D5D">
              <w:lastRenderedPageBreak/>
              <w:t>прочерк («-»).</w:t>
            </w:r>
          </w:p>
          <w:p w14:paraId="52B45ADC" w14:textId="77777777" w:rsidR="00AD1F54" w:rsidRPr="00264D5D" w:rsidRDefault="00941227">
            <w:pPr>
              <w:spacing w:before="60" w:after="60"/>
            </w:pPr>
            <w:r w:rsidRPr="00264D5D">
              <w:rPr>
                <w:sz w:val="22"/>
              </w:rPr>
              <w:t>При оформлении Заявки на кассовый расход (сокращенной) по л/с федерального бюджета с кодом «05» указывается идентификационный код выплат, предусмотренный Порядком санкционирования операций со средствами, поступающими во временное распоряжение получател</w:t>
            </w:r>
            <w:r w:rsidR="007E4E7F" w:rsidRPr="00264D5D">
              <w:rPr>
                <w:sz w:val="22"/>
              </w:rPr>
              <w:t>ей средств федерального бюджета</w:t>
            </w:r>
          </w:p>
        </w:tc>
      </w:tr>
      <w:tr w:rsidR="00AD1F54" w:rsidRPr="00264D5D" w14:paraId="512687AA" w14:textId="77777777" w:rsidTr="00AD1F54">
        <w:trPr>
          <w:cnfStyle w:val="000000100000" w:firstRow="0" w:lastRow="0" w:firstColumn="0" w:lastColumn="0" w:oddVBand="0" w:evenVBand="0" w:oddHBand="1" w:evenHBand="0" w:firstRowFirstColumn="0" w:firstRowLastColumn="0" w:lastRowFirstColumn="0" w:lastRowLastColumn="0"/>
        </w:trPr>
        <w:tc>
          <w:tcPr>
            <w:tcW w:w="1703" w:type="dxa"/>
          </w:tcPr>
          <w:p w14:paraId="075F994C" w14:textId="77777777" w:rsidR="00AD1F54" w:rsidRPr="00264D5D" w:rsidRDefault="00941227">
            <w:pPr>
              <w:pStyle w:val="GOSTTablenorm"/>
            </w:pPr>
            <w:r w:rsidRPr="00264D5D">
              <w:lastRenderedPageBreak/>
              <w:t>Тип КБК</w:t>
            </w:r>
          </w:p>
        </w:tc>
        <w:tc>
          <w:tcPr>
            <w:tcW w:w="1701" w:type="dxa"/>
          </w:tcPr>
          <w:p w14:paraId="79889C0C" w14:textId="77777777" w:rsidR="00AD1F54" w:rsidRPr="00264D5D" w:rsidRDefault="00941227">
            <w:pPr>
              <w:pStyle w:val="GOSTTablenorm"/>
              <w:rPr>
                <w:lang w:val="en-US"/>
              </w:rPr>
            </w:pPr>
            <w:r w:rsidRPr="00264D5D">
              <w:rPr>
                <w:lang w:val="en-US"/>
              </w:rPr>
              <w:t>BKTp</w:t>
            </w:r>
          </w:p>
        </w:tc>
        <w:tc>
          <w:tcPr>
            <w:tcW w:w="567" w:type="dxa"/>
          </w:tcPr>
          <w:p w14:paraId="08D77558" w14:textId="77777777" w:rsidR="00AD1F54" w:rsidRPr="00264D5D" w:rsidRDefault="00941227">
            <w:pPr>
              <w:pStyle w:val="GOSTTablenorm"/>
              <w:jc w:val="center"/>
            </w:pPr>
            <w:r w:rsidRPr="00264D5D">
              <w:rPr>
                <w:lang w:val="en-US"/>
              </w:rPr>
              <w:t>C</w:t>
            </w:r>
          </w:p>
        </w:tc>
        <w:tc>
          <w:tcPr>
            <w:tcW w:w="1134" w:type="dxa"/>
          </w:tcPr>
          <w:p w14:paraId="4CBD638B" w14:textId="77777777" w:rsidR="00AD1F54" w:rsidRPr="00264D5D" w:rsidRDefault="00941227">
            <w:pPr>
              <w:pStyle w:val="GOSTTablenorm"/>
            </w:pPr>
            <w:r w:rsidRPr="00264D5D">
              <w:t>tMSC_BKTp10_20_31_32Complex</w:t>
            </w:r>
          </w:p>
        </w:tc>
        <w:tc>
          <w:tcPr>
            <w:tcW w:w="567" w:type="dxa"/>
          </w:tcPr>
          <w:p w14:paraId="18A0BCA4" w14:textId="77777777" w:rsidR="00AD1F54" w:rsidRPr="00264D5D" w:rsidRDefault="00941227">
            <w:pPr>
              <w:pStyle w:val="GOSTTablenorm"/>
              <w:jc w:val="center"/>
            </w:pPr>
            <w:r w:rsidRPr="00264D5D">
              <w:t>Н</w:t>
            </w:r>
          </w:p>
        </w:tc>
        <w:tc>
          <w:tcPr>
            <w:tcW w:w="3969" w:type="dxa"/>
          </w:tcPr>
          <w:p w14:paraId="69719DB1" w14:textId="77777777" w:rsidR="00AD1F54" w:rsidRPr="00264D5D" w:rsidRDefault="00941227">
            <w:pPr>
              <w:pStyle w:val="GOSTTablenorm"/>
            </w:pPr>
            <w:r w:rsidRPr="00264D5D">
              <w:t>Тип КБК.</w:t>
            </w:r>
          </w:p>
          <w:p w14:paraId="46BB7F65" w14:textId="77777777" w:rsidR="00AD1F54" w:rsidRPr="00264D5D" w:rsidRDefault="00941227">
            <w:pPr>
              <w:pStyle w:val="GOSTTablenorm"/>
            </w:pPr>
            <w:r w:rsidRPr="00264D5D">
              <w:t>Для средств, поступающих во временное распоряжение учреждений, типы КБК не указываются.</w:t>
            </w:r>
          </w:p>
          <w:p w14:paraId="22131558" w14:textId="3DBCFF85" w:rsidR="00AD1F54" w:rsidRPr="00264D5D" w:rsidRDefault="00941227">
            <w:pPr>
              <w:pStyle w:val="GOSTTablenorm"/>
            </w:pPr>
            <w:r w:rsidRPr="00264D5D">
              <w:t>Состав элемента представлен в таблице </w:t>
            </w:r>
            <w:r w:rsidRPr="00264D5D">
              <w:rPr>
                <w:b/>
              </w:rPr>
              <w:fldChar w:fldCharType="begin"/>
            </w:r>
            <w:r w:rsidRPr="00264D5D">
              <w:rPr>
                <w:b/>
              </w:rPr>
              <w:instrText xml:space="preserve"> REF _Ref503531472 \h  \* MERGEFORMAT </w:instrText>
            </w:r>
            <w:r w:rsidRPr="00264D5D">
              <w:rPr>
                <w:b/>
              </w:rPr>
            </w:r>
            <w:r w:rsidRPr="00264D5D">
              <w:rPr>
                <w:b/>
              </w:rPr>
              <w:fldChar w:fldCharType="separate"/>
            </w:r>
            <w:r w:rsidR="008D797C" w:rsidRPr="008D797C">
              <w:rPr>
                <w:b/>
              </w:rPr>
              <w:t>71</w:t>
            </w:r>
            <w:r w:rsidRPr="00264D5D">
              <w:rPr>
                <w:b/>
              </w:rPr>
              <w:fldChar w:fldCharType="end"/>
            </w:r>
          </w:p>
        </w:tc>
      </w:tr>
    </w:tbl>
    <w:p w14:paraId="4E2F7586" w14:textId="77777777" w:rsidR="00AD1F54" w:rsidRPr="00264D5D" w:rsidRDefault="00941227">
      <w:pPr>
        <w:pStyle w:val="31"/>
      </w:pPr>
      <w:r w:rsidRPr="00264D5D">
        <w:t xml:space="preserve"> </w:t>
      </w:r>
      <w:bookmarkStart w:id="1027" w:name="_Toc84802264"/>
      <w:bookmarkStart w:id="1028" w:name="_Toc219309534"/>
      <w:r w:rsidRPr="00264D5D">
        <w:t>Описание комплексного типа «tSGN»</w:t>
      </w:r>
      <w:bookmarkEnd w:id="1027"/>
      <w:bookmarkEnd w:id="1028"/>
    </w:p>
    <w:p w14:paraId="0DBC7DAF" w14:textId="77777777" w:rsidR="00AD1F54" w:rsidRPr="00264D5D" w:rsidRDefault="00941227">
      <w:pPr>
        <w:pStyle w:val="GOSTNormal"/>
      </w:pPr>
      <w:r w:rsidRPr="00264D5D">
        <w:t>Описание комплексного типа «tSGN» блока «</w:t>
      </w:r>
      <w:r w:rsidRPr="00264D5D">
        <w:rPr>
          <w:color w:val="000000"/>
          <w:szCs w:val="22"/>
        </w:rPr>
        <w:t>Данные о подписях</w:t>
      </w:r>
      <w:r w:rsidRPr="00264D5D">
        <w:t>».</w:t>
      </w:r>
    </w:p>
    <w:bookmarkStart w:id="1029" w:name="_Ref68855774"/>
    <w:p w14:paraId="132E5A8C" w14:textId="341F7BEB"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1030" w:name="_Ref68855787"/>
      <w:bookmarkStart w:id="1031" w:name="_Toc219309124"/>
      <w:r w:rsidR="008D797C">
        <w:rPr>
          <w:noProof/>
        </w:rPr>
        <w:t>94</w:t>
      </w:r>
      <w:bookmarkEnd w:id="1030"/>
      <w:r w:rsidRPr="00264D5D">
        <w:fldChar w:fldCharType="end"/>
      </w:r>
      <w:r w:rsidRPr="00264D5D">
        <w:t xml:space="preserve"> – Описание комплексного типа «tSGN»</w:t>
      </w:r>
      <w:bookmarkEnd w:id="1029"/>
      <w:bookmarkEnd w:id="1031"/>
    </w:p>
    <w:tbl>
      <w:tblPr>
        <w:tblStyle w:val="GOSTTable"/>
        <w:tblW w:w="5000" w:type="pct"/>
        <w:tblLayout w:type="fixed"/>
        <w:tblLook w:val="01E0" w:firstRow="1" w:lastRow="1" w:firstColumn="1" w:lastColumn="1" w:noHBand="0" w:noVBand="0"/>
      </w:tblPr>
      <w:tblGrid>
        <w:gridCol w:w="1704"/>
        <w:gridCol w:w="1703"/>
        <w:gridCol w:w="567"/>
        <w:gridCol w:w="1136"/>
        <w:gridCol w:w="567"/>
        <w:gridCol w:w="3973"/>
      </w:tblGrid>
      <w:tr w:rsidR="00AD1F54" w:rsidRPr="00264D5D" w14:paraId="731B7E18"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0" w:type="dxa"/>
          </w:tcPr>
          <w:p w14:paraId="74547AA2" w14:textId="77777777" w:rsidR="00AD1F54" w:rsidRPr="00264D5D" w:rsidRDefault="00941227">
            <w:pPr>
              <w:pStyle w:val="OTRTableHead"/>
              <w:keepNext w:val="0"/>
              <w:widowControl w:val="0"/>
              <w:ind w:left="57" w:right="57"/>
              <w:rPr>
                <w:sz w:val="22"/>
                <w:szCs w:val="22"/>
              </w:rPr>
            </w:pPr>
            <w:r w:rsidRPr="00264D5D">
              <w:rPr>
                <w:sz w:val="22"/>
                <w:szCs w:val="22"/>
              </w:rPr>
              <w:t>Наименование элемента</w:t>
            </w:r>
          </w:p>
        </w:tc>
        <w:tc>
          <w:tcPr>
            <w:tcW w:w="1699" w:type="dxa"/>
          </w:tcPr>
          <w:p w14:paraId="67F18785" w14:textId="77777777" w:rsidR="00AD1F54" w:rsidRPr="00264D5D" w:rsidRDefault="00941227">
            <w:pPr>
              <w:pStyle w:val="OTRTableHead"/>
              <w:keepNext w:val="0"/>
              <w:widowControl w:val="0"/>
              <w:ind w:left="57" w:right="57"/>
              <w:rPr>
                <w:sz w:val="22"/>
                <w:szCs w:val="22"/>
              </w:rPr>
            </w:pPr>
            <w:r w:rsidRPr="00264D5D">
              <w:rPr>
                <w:sz w:val="22"/>
                <w:szCs w:val="22"/>
              </w:rPr>
              <w:t>Сокращенное наименование (код) элемента</w:t>
            </w:r>
          </w:p>
        </w:tc>
        <w:tc>
          <w:tcPr>
            <w:tcW w:w="566" w:type="dxa"/>
          </w:tcPr>
          <w:p w14:paraId="37E8DE19" w14:textId="77777777" w:rsidR="00AD1F54" w:rsidRPr="00264D5D" w:rsidRDefault="00941227">
            <w:pPr>
              <w:pStyle w:val="OTRTableHead"/>
              <w:keepNext w:val="0"/>
              <w:widowControl w:val="0"/>
              <w:ind w:left="57" w:right="57"/>
              <w:rPr>
                <w:sz w:val="22"/>
                <w:szCs w:val="22"/>
              </w:rPr>
            </w:pPr>
            <w:r w:rsidRPr="00264D5D">
              <w:rPr>
                <w:sz w:val="22"/>
                <w:szCs w:val="22"/>
              </w:rPr>
              <w:t>Тип</w:t>
            </w:r>
          </w:p>
        </w:tc>
        <w:tc>
          <w:tcPr>
            <w:tcW w:w="1133" w:type="dxa"/>
          </w:tcPr>
          <w:p w14:paraId="7B9D2451" w14:textId="77777777" w:rsidR="00AD1F54" w:rsidRPr="00264D5D" w:rsidRDefault="00941227">
            <w:pPr>
              <w:pStyle w:val="OTRTableHead"/>
              <w:keepNext w:val="0"/>
              <w:widowControl w:val="0"/>
              <w:ind w:left="57" w:right="57"/>
              <w:rPr>
                <w:sz w:val="22"/>
                <w:szCs w:val="22"/>
              </w:rPr>
            </w:pPr>
            <w:r w:rsidRPr="00264D5D">
              <w:rPr>
                <w:sz w:val="22"/>
                <w:szCs w:val="22"/>
              </w:rPr>
              <w:t>Формат элемента</w:t>
            </w:r>
          </w:p>
        </w:tc>
        <w:tc>
          <w:tcPr>
            <w:tcW w:w="566" w:type="dxa"/>
          </w:tcPr>
          <w:p w14:paraId="56874351" w14:textId="77777777" w:rsidR="00AD1F54" w:rsidRPr="00264D5D" w:rsidRDefault="00941227">
            <w:pPr>
              <w:pStyle w:val="OTRTableHead"/>
              <w:keepNext w:val="0"/>
              <w:widowControl w:val="0"/>
              <w:ind w:left="57" w:right="57"/>
              <w:rPr>
                <w:sz w:val="22"/>
                <w:szCs w:val="22"/>
              </w:rPr>
            </w:pPr>
            <w:r w:rsidRPr="00264D5D">
              <w:rPr>
                <w:sz w:val="22"/>
                <w:szCs w:val="22"/>
              </w:rPr>
              <w:t>Обязательность</w:t>
            </w:r>
          </w:p>
        </w:tc>
        <w:tc>
          <w:tcPr>
            <w:tcW w:w="3964" w:type="dxa"/>
          </w:tcPr>
          <w:p w14:paraId="1E2E5910" w14:textId="77777777" w:rsidR="00AD1F54" w:rsidRPr="00264D5D" w:rsidRDefault="00941227">
            <w:pPr>
              <w:pStyle w:val="OTRTableHead"/>
              <w:keepNext w:val="0"/>
              <w:widowControl w:val="0"/>
              <w:ind w:left="57" w:right="57"/>
              <w:rPr>
                <w:sz w:val="22"/>
                <w:szCs w:val="22"/>
              </w:rPr>
            </w:pPr>
            <w:r w:rsidRPr="00264D5D">
              <w:rPr>
                <w:sz w:val="22"/>
                <w:szCs w:val="22"/>
              </w:rPr>
              <w:t>Дополнительная информация</w:t>
            </w:r>
          </w:p>
        </w:tc>
      </w:tr>
      <w:tr w:rsidR="00AD1F54" w:rsidRPr="00264D5D" w14:paraId="21CB8059" w14:textId="77777777" w:rsidTr="00AD1F54">
        <w:trPr>
          <w:cnfStyle w:val="000000100000" w:firstRow="0" w:lastRow="0" w:firstColumn="0" w:lastColumn="0" w:oddVBand="0" w:evenVBand="0" w:oddHBand="1" w:evenHBand="0" w:firstRowFirstColumn="0" w:firstRowLastColumn="0" w:lastRowFirstColumn="0" w:lastRowLastColumn="0"/>
        </w:trPr>
        <w:tc>
          <w:tcPr>
            <w:tcW w:w="1700" w:type="dxa"/>
          </w:tcPr>
          <w:p w14:paraId="00C16345" w14:textId="77777777" w:rsidR="00AD1F54" w:rsidRPr="00264D5D" w:rsidRDefault="00941227">
            <w:pPr>
              <w:pStyle w:val="GOSTTablenorm"/>
              <w:rPr>
                <w:szCs w:val="22"/>
              </w:rPr>
            </w:pPr>
            <w:r w:rsidRPr="00264D5D">
              <w:rPr>
                <w:color w:val="000000"/>
                <w:szCs w:val="22"/>
              </w:rPr>
              <w:t>Должность руководителя</w:t>
            </w:r>
          </w:p>
        </w:tc>
        <w:tc>
          <w:tcPr>
            <w:tcW w:w="1699" w:type="dxa"/>
          </w:tcPr>
          <w:p w14:paraId="160A0DFC" w14:textId="77777777" w:rsidR="00AD1F54" w:rsidRPr="00264D5D" w:rsidRDefault="00941227">
            <w:pPr>
              <w:pStyle w:val="GOSTTablenorm"/>
              <w:rPr>
                <w:szCs w:val="22"/>
                <w:lang w:val="en-US"/>
              </w:rPr>
            </w:pPr>
            <w:r w:rsidRPr="00264D5D">
              <w:rPr>
                <w:color w:val="000000"/>
                <w:szCs w:val="22"/>
              </w:rPr>
              <w:t>Pst_</w:t>
            </w:r>
            <w:r w:rsidRPr="00264D5D">
              <w:rPr>
                <w:color w:val="000000"/>
                <w:szCs w:val="22"/>
                <w:lang w:val="en-US"/>
              </w:rPr>
              <w:t>Hr</w:t>
            </w:r>
          </w:p>
        </w:tc>
        <w:tc>
          <w:tcPr>
            <w:tcW w:w="566" w:type="dxa"/>
          </w:tcPr>
          <w:p w14:paraId="1AC72DB4" w14:textId="77777777" w:rsidR="00AD1F54" w:rsidRPr="00264D5D" w:rsidRDefault="00941227">
            <w:pPr>
              <w:pStyle w:val="GOSTTablenorm"/>
              <w:jc w:val="center"/>
              <w:rPr>
                <w:szCs w:val="22"/>
              </w:rPr>
            </w:pPr>
            <w:r w:rsidRPr="00264D5D">
              <w:rPr>
                <w:szCs w:val="22"/>
              </w:rPr>
              <w:t>П</w:t>
            </w:r>
          </w:p>
        </w:tc>
        <w:tc>
          <w:tcPr>
            <w:tcW w:w="1133" w:type="dxa"/>
          </w:tcPr>
          <w:p w14:paraId="6631175C" w14:textId="77777777" w:rsidR="00AD1F54" w:rsidRPr="00264D5D" w:rsidRDefault="00941227">
            <w:pPr>
              <w:pStyle w:val="GOSTTablenorm"/>
              <w:rPr>
                <w:szCs w:val="22"/>
              </w:rPr>
            </w:pPr>
            <w:r w:rsidRPr="00264D5D">
              <w:rPr>
                <w:color w:val="000000"/>
                <w:szCs w:val="22"/>
                <w:lang w:val="en-US"/>
              </w:rPr>
              <w:t>Т(1-</w:t>
            </w:r>
            <w:r w:rsidRPr="00264D5D">
              <w:rPr>
                <w:color w:val="000000"/>
                <w:szCs w:val="22"/>
              </w:rPr>
              <w:t>1</w:t>
            </w:r>
            <w:r w:rsidRPr="00264D5D">
              <w:rPr>
                <w:color w:val="000000"/>
                <w:szCs w:val="22"/>
                <w:lang w:val="en-US"/>
              </w:rPr>
              <w:t>00)</w:t>
            </w:r>
          </w:p>
        </w:tc>
        <w:tc>
          <w:tcPr>
            <w:tcW w:w="566" w:type="dxa"/>
          </w:tcPr>
          <w:p w14:paraId="045A1920" w14:textId="77777777" w:rsidR="00AD1F54" w:rsidRPr="00264D5D" w:rsidRDefault="00941227">
            <w:pPr>
              <w:pStyle w:val="GOSTTablenorm"/>
              <w:jc w:val="center"/>
              <w:rPr>
                <w:szCs w:val="22"/>
              </w:rPr>
            </w:pPr>
            <w:r w:rsidRPr="00264D5D">
              <w:rPr>
                <w:szCs w:val="22"/>
              </w:rPr>
              <w:t>О</w:t>
            </w:r>
          </w:p>
        </w:tc>
        <w:tc>
          <w:tcPr>
            <w:tcW w:w="3964" w:type="dxa"/>
          </w:tcPr>
          <w:p w14:paraId="0F82A39D" w14:textId="77777777" w:rsidR="00AD1F54" w:rsidRPr="00264D5D" w:rsidRDefault="00941227">
            <w:pPr>
              <w:pStyle w:val="GOSTTablenorm"/>
              <w:rPr>
                <w:szCs w:val="22"/>
              </w:rPr>
            </w:pPr>
            <w:r w:rsidRPr="00264D5D">
              <w:rPr>
                <w:szCs w:val="22"/>
              </w:rPr>
              <w:t xml:space="preserve">Указывается должность </w:t>
            </w:r>
            <w:r w:rsidRPr="00264D5D">
              <w:rPr>
                <w:color w:val="000000"/>
                <w:szCs w:val="22"/>
              </w:rPr>
              <w:t>руководителя</w:t>
            </w:r>
          </w:p>
        </w:tc>
      </w:tr>
      <w:tr w:rsidR="00AD1F54" w:rsidRPr="00264D5D" w14:paraId="3247A901" w14:textId="77777777" w:rsidTr="00AD1F54">
        <w:trPr>
          <w:cnfStyle w:val="000000010000" w:firstRow="0" w:lastRow="0" w:firstColumn="0" w:lastColumn="0" w:oddVBand="0" w:evenVBand="0" w:oddHBand="0" w:evenHBand="1" w:firstRowFirstColumn="0" w:firstRowLastColumn="0" w:lastRowFirstColumn="0" w:lastRowLastColumn="0"/>
        </w:trPr>
        <w:tc>
          <w:tcPr>
            <w:tcW w:w="1700" w:type="dxa"/>
          </w:tcPr>
          <w:p w14:paraId="1707A6A8" w14:textId="77777777" w:rsidR="00AD1F54" w:rsidRPr="00264D5D" w:rsidRDefault="00941227">
            <w:pPr>
              <w:pStyle w:val="GOSTTablenorm"/>
              <w:rPr>
                <w:color w:val="000000"/>
                <w:szCs w:val="22"/>
              </w:rPr>
            </w:pPr>
            <w:r w:rsidRPr="00264D5D">
              <w:rPr>
                <w:color w:val="000000"/>
                <w:szCs w:val="22"/>
              </w:rPr>
              <w:t>Расшифровка подписи руководителя</w:t>
            </w:r>
          </w:p>
        </w:tc>
        <w:tc>
          <w:tcPr>
            <w:tcW w:w="1699" w:type="dxa"/>
          </w:tcPr>
          <w:p w14:paraId="1B914A15" w14:textId="77777777" w:rsidR="00AD1F54" w:rsidRPr="00264D5D" w:rsidRDefault="00941227">
            <w:pPr>
              <w:pStyle w:val="GOSTTablenorm"/>
              <w:rPr>
                <w:color w:val="000000"/>
                <w:szCs w:val="22"/>
              </w:rPr>
            </w:pPr>
            <w:r w:rsidRPr="00264D5D">
              <w:rPr>
                <w:color w:val="000000"/>
                <w:szCs w:val="22"/>
              </w:rPr>
              <w:t>FIO</w:t>
            </w:r>
            <w:r w:rsidRPr="00264D5D">
              <w:rPr>
                <w:color w:val="000000"/>
                <w:szCs w:val="22"/>
                <w:lang w:val="en-US"/>
              </w:rPr>
              <w:t>_Hr</w:t>
            </w:r>
          </w:p>
        </w:tc>
        <w:tc>
          <w:tcPr>
            <w:tcW w:w="566" w:type="dxa"/>
          </w:tcPr>
          <w:p w14:paraId="2FD3D34F" w14:textId="77777777" w:rsidR="00AD1F54" w:rsidRPr="00264D5D" w:rsidRDefault="00941227">
            <w:pPr>
              <w:pStyle w:val="GOSTTablenorm"/>
              <w:jc w:val="center"/>
              <w:rPr>
                <w:szCs w:val="22"/>
              </w:rPr>
            </w:pPr>
            <w:r w:rsidRPr="00264D5D">
              <w:rPr>
                <w:szCs w:val="22"/>
              </w:rPr>
              <w:t>П</w:t>
            </w:r>
          </w:p>
        </w:tc>
        <w:tc>
          <w:tcPr>
            <w:tcW w:w="1133" w:type="dxa"/>
          </w:tcPr>
          <w:p w14:paraId="6C5E42B5" w14:textId="77777777" w:rsidR="00AD1F54" w:rsidRPr="00264D5D" w:rsidRDefault="00941227">
            <w:pPr>
              <w:pStyle w:val="GOSTTablenorm"/>
              <w:rPr>
                <w:color w:val="000000"/>
                <w:szCs w:val="22"/>
                <w:lang w:val="en-US"/>
              </w:rPr>
            </w:pPr>
            <w:r w:rsidRPr="00264D5D">
              <w:rPr>
                <w:color w:val="000000"/>
                <w:szCs w:val="22"/>
                <w:lang w:val="en-US"/>
              </w:rPr>
              <w:t>Т(1-</w:t>
            </w:r>
            <w:r w:rsidRPr="00264D5D">
              <w:rPr>
                <w:color w:val="000000"/>
                <w:szCs w:val="22"/>
              </w:rPr>
              <w:t>50</w:t>
            </w:r>
            <w:r w:rsidRPr="00264D5D">
              <w:rPr>
                <w:color w:val="000000"/>
                <w:szCs w:val="22"/>
                <w:lang w:val="en-US"/>
              </w:rPr>
              <w:t>)</w:t>
            </w:r>
          </w:p>
        </w:tc>
        <w:tc>
          <w:tcPr>
            <w:tcW w:w="566" w:type="dxa"/>
          </w:tcPr>
          <w:p w14:paraId="7731FEC1" w14:textId="77777777" w:rsidR="00AD1F54" w:rsidRPr="00264D5D" w:rsidRDefault="00941227">
            <w:pPr>
              <w:pStyle w:val="GOSTTablenorm"/>
              <w:jc w:val="center"/>
              <w:rPr>
                <w:szCs w:val="22"/>
              </w:rPr>
            </w:pPr>
            <w:r w:rsidRPr="00264D5D">
              <w:rPr>
                <w:szCs w:val="22"/>
              </w:rPr>
              <w:t>О</w:t>
            </w:r>
          </w:p>
        </w:tc>
        <w:tc>
          <w:tcPr>
            <w:tcW w:w="3964" w:type="dxa"/>
          </w:tcPr>
          <w:p w14:paraId="54072C9F" w14:textId="77777777" w:rsidR="00AD1F54" w:rsidRPr="00264D5D" w:rsidRDefault="00941227">
            <w:pPr>
              <w:pStyle w:val="GOSTTablenorm"/>
              <w:rPr>
                <w:szCs w:val="22"/>
              </w:rPr>
            </w:pPr>
            <w:r w:rsidRPr="00264D5D">
              <w:rPr>
                <w:szCs w:val="22"/>
              </w:rPr>
              <w:t xml:space="preserve">Указывается расшифровка подписи с указанием инициалов и фамилии </w:t>
            </w:r>
            <w:r w:rsidRPr="00264D5D">
              <w:rPr>
                <w:color w:val="000000"/>
                <w:szCs w:val="22"/>
              </w:rPr>
              <w:t>руководителя</w:t>
            </w:r>
          </w:p>
        </w:tc>
      </w:tr>
      <w:tr w:rsidR="00AD1F54" w:rsidRPr="00264D5D" w14:paraId="2A2E63E8" w14:textId="77777777" w:rsidTr="00AD1F54">
        <w:trPr>
          <w:cnfStyle w:val="000000100000" w:firstRow="0" w:lastRow="0" w:firstColumn="0" w:lastColumn="0" w:oddVBand="0" w:evenVBand="0" w:oddHBand="1" w:evenHBand="0" w:firstRowFirstColumn="0" w:firstRowLastColumn="0" w:lastRowFirstColumn="0" w:lastRowLastColumn="0"/>
        </w:trPr>
        <w:tc>
          <w:tcPr>
            <w:tcW w:w="1700" w:type="dxa"/>
          </w:tcPr>
          <w:p w14:paraId="022B4BA8" w14:textId="77777777" w:rsidR="00AD1F54" w:rsidRPr="00264D5D" w:rsidRDefault="00941227">
            <w:pPr>
              <w:pStyle w:val="GOSTTablenorm"/>
              <w:rPr>
                <w:color w:val="000000"/>
                <w:szCs w:val="22"/>
              </w:rPr>
            </w:pPr>
            <w:r w:rsidRPr="00264D5D">
              <w:rPr>
                <w:color w:val="000000"/>
                <w:szCs w:val="22"/>
              </w:rPr>
              <w:t>Должность</w:t>
            </w:r>
            <w:r w:rsidRPr="00264D5D">
              <w:rPr>
                <w:color w:val="000000"/>
                <w:szCs w:val="22"/>
                <w:lang w:val="en-US"/>
              </w:rPr>
              <w:t xml:space="preserve"> </w:t>
            </w:r>
            <w:r w:rsidRPr="00264D5D">
              <w:rPr>
                <w:color w:val="000000"/>
                <w:szCs w:val="22"/>
              </w:rPr>
              <w:t>главного бухгалтера</w:t>
            </w:r>
          </w:p>
        </w:tc>
        <w:tc>
          <w:tcPr>
            <w:tcW w:w="1699" w:type="dxa"/>
          </w:tcPr>
          <w:p w14:paraId="520219A9" w14:textId="77777777" w:rsidR="00AD1F54" w:rsidRPr="00264D5D" w:rsidRDefault="00941227">
            <w:pPr>
              <w:pStyle w:val="GOSTTablenorm"/>
              <w:rPr>
                <w:color w:val="000000"/>
                <w:szCs w:val="22"/>
              </w:rPr>
            </w:pPr>
            <w:r w:rsidRPr="00264D5D">
              <w:rPr>
                <w:color w:val="000000"/>
                <w:szCs w:val="22"/>
              </w:rPr>
              <w:t>Pst</w:t>
            </w:r>
            <w:r w:rsidRPr="00264D5D">
              <w:rPr>
                <w:color w:val="000000"/>
                <w:szCs w:val="22"/>
                <w:lang w:val="en-US"/>
              </w:rPr>
              <w:t>_Acc</w:t>
            </w:r>
          </w:p>
        </w:tc>
        <w:tc>
          <w:tcPr>
            <w:tcW w:w="566" w:type="dxa"/>
          </w:tcPr>
          <w:p w14:paraId="359F59FD" w14:textId="77777777" w:rsidR="00AD1F54" w:rsidRPr="00264D5D" w:rsidRDefault="00941227">
            <w:pPr>
              <w:pStyle w:val="GOSTTablenorm"/>
              <w:jc w:val="center"/>
              <w:rPr>
                <w:szCs w:val="22"/>
              </w:rPr>
            </w:pPr>
            <w:r w:rsidRPr="00264D5D">
              <w:rPr>
                <w:szCs w:val="22"/>
              </w:rPr>
              <w:t>П</w:t>
            </w:r>
          </w:p>
        </w:tc>
        <w:tc>
          <w:tcPr>
            <w:tcW w:w="1133" w:type="dxa"/>
          </w:tcPr>
          <w:p w14:paraId="3D4C177A" w14:textId="77777777" w:rsidR="00AD1F54" w:rsidRPr="00264D5D" w:rsidRDefault="00941227">
            <w:pPr>
              <w:pStyle w:val="GOSTTablenorm"/>
              <w:rPr>
                <w:color w:val="000000"/>
                <w:szCs w:val="22"/>
                <w:lang w:val="en-US"/>
              </w:rPr>
            </w:pPr>
            <w:r w:rsidRPr="00264D5D">
              <w:rPr>
                <w:color w:val="000000"/>
                <w:szCs w:val="22"/>
                <w:lang w:val="en-US"/>
              </w:rPr>
              <w:t>Т(1-</w:t>
            </w:r>
            <w:r w:rsidRPr="00264D5D">
              <w:rPr>
                <w:color w:val="000000"/>
                <w:szCs w:val="22"/>
              </w:rPr>
              <w:t>1</w:t>
            </w:r>
            <w:r w:rsidRPr="00264D5D">
              <w:rPr>
                <w:color w:val="000000"/>
                <w:szCs w:val="22"/>
                <w:lang w:val="en-US"/>
              </w:rPr>
              <w:t>00)</w:t>
            </w:r>
          </w:p>
        </w:tc>
        <w:tc>
          <w:tcPr>
            <w:tcW w:w="566" w:type="dxa"/>
          </w:tcPr>
          <w:p w14:paraId="2B2D719F" w14:textId="77777777" w:rsidR="00AD1F54" w:rsidRPr="00264D5D" w:rsidRDefault="00941227">
            <w:pPr>
              <w:pStyle w:val="GOSTTablenorm"/>
              <w:jc w:val="center"/>
              <w:rPr>
                <w:szCs w:val="22"/>
              </w:rPr>
            </w:pPr>
            <w:r w:rsidRPr="00264D5D">
              <w:rPr>
                <w:szCs w:val="22"/>
              </w:rPr>
              <w:t>Н</w:t>
            </w:r>
          </w:p>
        </w:tc>
        <w:tc>
          <w:tcPr>
            <w:tcW w:w="3964" w:type="dxa"/>
          </w:tcPr>
          <w:p w14:paraId="096CB37C" w14:textId="77777777" w:rsidR="00AD1F54" w:rsidRPr="00264D5D" w:rsidRDefault="00941227">
            <w:pPr>
              <w:pStyle w:val="GOSTTablenorm"/>
              <w:rPr>
                <w:szCs w:val="22"/>
              </w:rPr>
            </w:pPr>
            <w:r w:rsidRPr="00264D5D">
              <w:rPr>
                <w:szCs w:val="22"/>
              </w:rPr>
              <w:t xml:space="preserve">Указывается должность </w:t>
            </w:r>
            <w:r w:rsidRPr="00264D5D">
              <w:rPr>
                <w:color w:val="000000"/>
                <w:szCs w:val="22"/>
              </w:rPr>
              <w:t>главного бухгалтера</w:t>
            </w:r>
          </w:p>
        </w:tc>
      </w:tr>
      <w:tr w:rsidR="00AD1F54" w:rsidRPr="00264D5D" w14:paraId="13EED419" w14:textId="77777777" w:rsidTr="00AD1F54">
        <w:trPr>
          <w:cnfStyle w:val="000000010000" w:firstRow="0" w:lastRow="0" w:firstColumn="0" w:lastColumn="0" w:oddVBand="0" w:evenVBand="0" w:oddHBand="0" w:evenHBand="1" w:firstRowFirstColumn="0" w:firstRowLastColumn="0" w:lastRowFirstColumn="0" w:lastRowLastColumn="0"/>
        </w:trPr>
        <w:tc>
          <w:tcPr>
            <w:tcW w:w="1700" w:type="dxa"/>
          </w:tcPr>
          <w:p w14:paraId="50BB762D" w14:textId="77777777" w:rsidR="00AD1F54" w:rsidRPr="00264D5D" w:rsidRDefault="00941227">
            <w:pPr>
              <w:pStyle w:val="GOSTTablenorm"/>
              <w:rPr>
                <w:color w:val="000000"/>
                <w:szCs w:val="22"/>
              </w:rPr>
            </w:pPr>
            <w:r w:rsidRPr="00264D5D">
              <w:rPr>
                <w:color w:val="000000"/>
                <w:szCs w:val="22"/>
              </w:rPr>
              <w:t>Расшифровка подписи главного бухгалтера</w:t>
            </w:r>
          </w:p>
        </w:tc>
        <w:tc>
          <w:tcPr>
            <w:tcW w:w="1699" w:type="dxa"/>
          </w:tcPr>
          <w:p w14:paraId="42B16D58" w14:textId="77777777" w:rsidR="00AD1F54" w:rsidRPr="00264D5D" w:rsidRDefault="00941227">
            <w:pPr>
              <w:pStyle w:val="GOSTTablenorm"/>
              <w:rPr>
                <w:color w:val="000000"/>
                <w:szCs w:val="22"/>
              </w:rPr>
            </w:pPr>
            <w:r w:rsidRPr="00264D5D">
              <w:rPr>
                <w:color w:val="000000"/>
                <w:szCs w:val="22"/>
              </w:rPr>
              <w:t>FIO</w:t>
            </w:r>
            <w:r w:rsidRPr="00264D5D">
              <w:rPr>
                <w:color w:val="000000"/>
                <w:szCs w:val="22"/>
                <w:lang w:val="en-US"/>
              </w:rPr>
              <w:t>_Acc</w:t>
            </w:r>
          </w:p>
        </w:tc>
        <w:tc>
          <w:tcPr>
            <w:tcW w:w="566" w:type="dxa"/>
          </w:tcPr>
          <w:p w14:paraId="2BBCB05F" w14:textId="77777777" w:rsidR="00AD1F54" w:rsidRPr="00264D5D" w:rsidRDefault="00941227">
            <w:pPr>
              <w:pStyle w:val="GOSTTablenorm"/>
              <w:jc w:val="center"/>
              <w:rPr>
                <w:szCs w:val="22"/>
              </w:rPr>
            </w:pPr>
            <w:r w:rsidRPr="00264D5D">
              <w:rPr>
                <w:szCs w:val="22"/>
              </w:rPr>
              <w:t>П</w:t>
            </w:r>
          </w:p>
        </w:tc>
        <w:tc>
          <w:tcPr>
            <w:tcW w:w="1133" w:type="dxa"/>
          </w:tcPr>
          <w:p w14:paraId="00C6F978" w14:textId="77777777" w:rsidR="00AD1F54" w:rsidRPr="00264D5D" w:rsidRDefault="00941227">
            <w:pPr>
              <w:pStyle w:val="GOSTTablenorm"/>
              <w:rPr>
                <w:color w:val="000000"/>
                <w:szCs w:val="22"/>
                <w:lang w:val="en-US"/>
              </w:rPr>
            </w:pPr>
            <w:r w:rsidRPr="00264D5D">
              <w:rPr>
                <w:color w:val="000000"/>
                <w:szCs w:val="22"/>
                <w:lang w:val="en-US"/>
              </w:rPr>
              <w:t>Т(1-</w:t>
            </w:r>
            <w:r w:rsidRPr="00264D5D">
              <w:rPr>
                <w:color w:val="000000"/>
                <w:szCs w:val="22"/>
              </w:rPr>
              <w:t>50</w:t>
            </w:r>
            <w:r w:rsidRPr="00264D5D">
              <w:rPr>
                <w:color w:val="000000"/>
                <w:szCs w:val="22"/>
                <w:lang w:val="en-US"/>
              </w:rPr>
              <w:t>)</w:t>
            </w:r>
          </w:p>
        </w:tc>
        <w:tc>
          <w:tcPr>
            <w:tcW w:w="566" w:type="dxa"/>
          </w:tcPr>
          <w:p w14:paraId="6C5D129C" w14:textId="77777777" w:rsidR="00AD1F54" w:rsidRPr="00264D5D" w:rsidRDefault="00941227">
            <w:pPr>
              <w:pStyle w:val="GOSTTablenorm"/>
              <w:jc w:val="center"/>
              <w:rPr>
                <w:szCs w:val="22"/>
              </w:rPr>
            </w:pPr>
            <w:r w:rsidRPr="00264D5D">
              <w:rPr>
                <w:szCs w:val="22"/>
              </w:rPr>
              <w:t>Н</w:t>
            </w:r>
          </w:p>
        </w:tc>
        <w:tc>
          <w:tcPr>
            <w:tcW w:w="3964" w:type="dxa"/>
          </w:tcPr>
          <w:p w14:paraId="499FD658" w14:textId="77777777" w:rsidR="00AD1F54" w:rsidRPr="00264D5D" w:rsidRDefault="00941227">
            <w:pPr>
              <w:pStyle w:val="GOSTTablenorm"/>
              <w:rPr>
                <w:szCs w:val="22"/>
              </w:rPr>
            </w:pPr>
            <w:r w:rsidRPr="00264D5D">
              <w:rPr>
                <w:szCs w:val="22"/>
              </w:rPr>
              <w:t xml:space="preserve">Указывается расшифровка подписи с указанием инициалов и фамилии </w:t>
            </w:r>
            <w:r w:rsidRPr="00264D5D">
              <w:rPr>
                <w:color w:val="000000"/>
                <w:szCs w:val="22"/>
              </w:rPr>
              <w:t>главного бухгалтера</w:t>
            </w:r>
          </w:p>
        </w:tc>
      </w:tr>
      <w:tr w:rsidR="00AD1F54" w:rsidRPr="00264D5D" w14:paraId="50BA4563" w14:textId="77777777" w:rsidTr="00AD1F54">
        <w:trPr>
          <w:cnfStyle w:val="000000100000" w:firstRow="0" w:lastRow="0" w:firstColumn="0" w:lastColumn="0" w:oddVBand="0" w:evenVBand="0" w:oddHBand="1" w:evenHBand="0" w:firstRowFirstColumn="0" w:firstRowLastColumn="0" w:lastRowFirstColumn="0" w:lastRowLastColumn="0"/>
        </w:trPr>
        <w:tc>
          <w:tcPr>
            <w:tcW w:w="1700" w:type="dxa"/>
          </w:tcPr>
          <w:p w14:paraId="4C4B8CA9" w14:textId="77777777" w:rsidR="00AD1F54" w:rsidRPr="00264D5D" w:rsidRDefault="00941227">
            <w:pPr>
              <w:pStyle w:val="GOSTTablenorm"/>
              <w:rPr>
                <w:color w:val="000000"/>
                <w:szCs w:val="22"/>
              </w:rPr>
            </w:pPr>
            <w:r w:rsidRPr="00264D5D">
              <w:rPr>
                <w:color w:val="000000"/>
                <w:szCs w:val="22"/>
              </w:rPr>
              <w:t>Дата подписания</w:t>
            </w:r>
          </w:p>
        </w:tc>
        <w:tc>
          <w:tcPr>
            <w:tcW w:w="1699" w:type="dxa"/>
          </w:tcPr>
          <w:p w14:paraId="09601779" w14:textId="77777777" w:rsidR="00AD1F54" w:rsidRPr="00264D5D" w:rsidRDefault="00941227">
            <w:pPr>
              <w:pStyle w:val="GOSTTablenorm"/>
              <w:rPr>
                <w:color w:val="000000"/>
                <w:szCs w:val="22"/>
              </w:rPr>
            </w:pPr>
            <w:r w:rsidRPr="00264D5D">
              <w:rPr>
                <w:color w:val="000000"/>
                <w:szCs w:val="22"/>
              </w:rPr>
              <w:t>SGN_Dt</w:t>
            </w:r>
          </w:p>
        </w:tc>
        <w:tc>
          <w:tcPr>
            <w:tcW w:w="566" w:type="dxa"/>
          </w:tcPr>
          <w:p w14:paraId="46713BE6" w14:textId="77777777" w:rsidR="00AD1F54" w:rsidRPr="00264D5D" w:rsidRDefault="00941227">
            <w:pPr>
              <w:pStyle w:val="GOSTTablenorm"/>
              <w:jc w:val="center"/>
              <w:rPr>
                <w:szCs w:val="22"/>
              </w:rPr>
            </w:pPr>
            <w:r w:rsidRPr="00264D5D">
              <w:rPr>
                <w:szCs w:val="22"/>
              </w:rPr>
              <w:t>П</w:t>
            </w:r>
          </w:p>
        </w:tc>
        <w:tc>
          <w:tcPr>
            <w:tcW w:w="1133" w:type="dxa"/>
          </w:tcPr>
          <w:p w14:paraId="0113B037" w14:textId="77777777" w:rsidR="00AD1F54" w:rsidRPr="00264D5D" w:rsidRDefault="00941227">
            <w:pPr>
              <w:pStyle w:val="GOSTTablenorm"/>
              <w:rPr>
                <w:color w:val="000000"/>
                <w:szCs w:val="22"/>
                <w:lang w:val="en-US"/>
              </w:rPr>
            </w:pPr>
            <w:r w:rsidRPr="00264D5D">
              <w:rPr>
                <w:szCs w:val="22"/>
                <w:lang w:val="en-US"/>
              </w:rPr>
              <w:t>Date</w:t>
            </w:r>
          </w:p>
        </w:tc>
        <w:tc>
          <w:tcPr>
            <w:tcW w:w="566" w:type="dxa"/>
          </w:tcPr>
          <w:p w14:paraId="6B5BD04C" w14:textId="77777777" w:rsidR="00AD1F54" w:rsidRPr="00264D5D" w:rsidRDefault="00941227">
            <w:pPr>
              <w:pStyle w:val="GOSTTablenorm"/>
              <w:jc w:val="center"/>
              <w:rPr>
                <w:szCs w:val="22"/>
              </w:rPr>
            </w:pPr>
            <w:r w:rsidRPr="00264D5D">
              <w:rPr>
                <w:szCs w:val="22"/>
              </w:rPr>
              <w:t>О</w:t>
            </w:r>
          </w:p>
        </w:tc>
        <w:tc>
          <w:tcPr>
            <w:tcW w:w="3964" w:type="dxa"/>
          </w:tcPr>
          <w:p w14:paraId="3C52D4CB" w14:textId="77777777" w:rsidR="00AD1F54" w:rsidRPr="00264D5D" w:rsidRDefault="007E4E7F">
            <w:pPr>
              <w:pStyle w:val="GOSTTablenorm"/>
              <w:rPr>
                <w:szCs w:val="22"/>
              </w:rPr>
            </w:pPr>
            <w:r w:rsidRPr="00264D5D">
              <w:rPr>
                <w:color w:val="000000"/>
                <w:szCs w:val="22"/>
              </w:rPr>
              <w:t>Указывается дата подписания</w:t>
            </w:r>
          </w:p>
        </w:tc>
      </w:tr>
    </w:tbl>
    <w:p w14:paraId="1504D869" w14:textId="77777777" w:rsidR="00AD1F54" w:rsidRPr="00264D5D" w:rsidRDefault="00941227" w:rsidP="00E7460C">
      <w:pPr>
        <w:pStyle w:val="31"/>
        <w:numPr>
          <w:ilvl w:val="2"/>
          <w:numId w:val="85"/>
        </w:numPr>
      </w:pPr>
      <w:bookmarkStart w:id="1032" w:name="_Toc219309535"/>
      <w:r w:rsidRPr="00264D5D">
        <w:lastRenderedPageBreak/>
        <w:t>Описание комплексного типа «tMSC_Infrmtn»</w:t>
      </w:r>
      <w:bookmarkEnd w:id="1032"/>
    </w:p>
    <w:p w14:paraId="75EEE7C4" w14:textId="77777777" w:rsidR="00AD1F54" w:rsidRPr="00264D5D" w:rsidRDefault="00941227">
      <w:pPr>
        <w:pStyle w:val="GOSTNormal"/>
      </w:pPr>
      <w:r w:rsidRPr="00264D5D">
        <w:t xml:space="preserve">Описание комплексного типа «tMSC_Infrmtn» блока «Системная информация». </w:t>
      </w:r>
    </w:p>
    <w:p w14:paraId="693E502C" w14:textId="19D20B63"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1033" w:name="_Ref117461601"/>
      <w:bookmarkStart w:id="1034" w:name="_Toc219309125"/>
      <w:r w:rsidR="008D797C">
        <w:rPr>
          <w:noProof/>
        </w:rPr>
        <w:t>95</w:t>
      </w:r>
      <w:bookmarkEnd w:id="1033"/>
      <w:r w:rsidRPr="00264D5D">
        <w:fldChar w:fldCharType="end"/>
      </w:r>
      <w:r w:rsidRPr="00264D5D">
        <w:rPr>
          <w:rFonts w:eastAsia="Calibri"/>
          <w:szCs w:val="24"/>
        </w:rPr>
        <w:t xml:space="preserve"> –</w:t>
      </w:r>
      <w:r w:rsidRPr="00264D5D">
        <w:t xml:space="preserve"> Описание комплексного типа «tMSC_Infrmtn»</w:t>
      </w:r>
      <w:bookmarkEnd w:id="1034"/>
    </w:p>
    <w:tbl>
      <w:tblPr>
        <w:tblStyle w:val="GOSTTable"/>
        <w:tblW w:w="5000" w:type="pct"/>
        <w:tblLayout w:type="fixed"/>
        <w:tblLook w:val="01E0" w:firstRow="1" w:lastRow="1" w:firstColumn="1" w:lastColumn="1" w:noHBand="0" w:noVBand="0"/>
      </w:tblPr>
      <w:tblGrid>
        <w:gridCol w:w="1705"/>
        <w:gridCol w:w="1704"/>
        <w:gridCol w:w="568"/>
        <w:gridCol w:w="1136"/>
        <w:gridCol w:w="568"/>
        <w:gridCol w:w="3969"/>
      </w:tblGrid>
      <w:tr w:rsidR="00AD1F54" w:rsidRPr="00264D5D" w14:paraId="24B96305"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16969F7F" w14:textId="77777777" w:rsidR="00AD1F54" w:rsidRPr="00264D5D" w:rsidRDefault="00941227">
            <w:pPr>
              <w:pStyle w:val="ASFKTableHead"/>
            </w:pPr>
            <w:r w:rsidRPr="00264D5D">
              <w:t>Наименование элемента</w:t>
            </w:r>
          </w:p>
        </w:tc>
        <w:tc>
          <w:tcPr>
            <w:tcW w:w="1700" w:type="dxa"/>
          </w:tcPr>
          <w:p w14:paraId="2B719A1D" w14:textId="77777777" w:rsidR="00AD1F54" w:rsidRPr="00264D5D" w:rsidRDefault="00941227">
            <w:pPr>
              <w:pStyle w:val="ASFKTableHead"/>
            </w:pPr>
            <w:r w:rsidRPr="00264D5D">
              <w:t>Сокращенное наименование (код) элемента</w:t>
            </w:r>
          </w:p>
        </w:tc>
        <w:tc>
          <w:tcPr>
            <w:tcW w:w="567" w:type="dxa"/>
          </w:tcPr>
          <w:p w14:paraId="40320F3F" w14:textId="77777777" w:rsidR="00AD1F54" w:rsidRPr="00264D5D" w:rsidRDefault="00941227">
            <w:pPr>
              <w:pStyle w:val="ASFKTableHead"/>
            </w:pPr>
            <w:r w:rsidRPr="00264D5D">
              <w:t>Тип</w:t>
            </w:r>
          </w:p>
        </w:tc>
        <w:tc>
          <w:tcPr>
            <w:tcW w:w="1133" w:type="dxa"/>
          </w:tcPr>
          <w:p w14:paraId="5B7FAD04" w14:textId="77777777" w:rsidR="00AD1F54" w:rsidRPr="00264D5D" w:rsidRDefault="00941227">
            <w:pPr>
              <w:pStyle w:val="ASFKTableHead"/>
            </w:pPr>
            <w:r w:rsidRPr="00264D5D">
              <w:t>Формат элемента</w:t>
            </w:r>
          </w:p>
        </w:tc>
        <w:tc>
          <w:tcPr>
            <w:tcW w:w="567" w:type="dxa"/>
          </w:tcPr>
          <w:p w14:paraId="4C1D5715" w14:textId="77777777" w:rsidR="00AD1F54" w:rsidRPr="00264D5D" w:rsidRDefault="00941227">
            <w:pPr>
              <w:pStyle w:val="ASFKTableHead"/>
            </w:pPr>
            <w:r w:rsidRPr="00264D5D">
              <w:t>Обязательность</w:t>
            </w:r>
          </w:p>
        </w:tc>
        <w:tc>
          <w:tcPr>
            <w:tcW w:w="3960" w:type="dxa"/>
          </w:tcPr>
          <w:p w14:paraId="1CA2984C" w14:textId="77777777" w:rsidR="00AD1F54" w:rsidRPr="00264D5D" w:rsidRDefault="00941227">
            <w:pPr>
              <w:pStyle w:val="ASFKTableHead"/>
            </w:pPr>
            <w:r w:rsidRPr="00264D5D">
              <w:t>Дополнительная информация</w:t>
            </w:r>
          </w:p>
        </w:tc>
      </w:tr>
      <w:tr w:rsidR="00AD1F54" w:rsidRPr="00264D5D" w14:paraId="524468E2" w14:textId="77777777" w:rsidTr="00AD1F54">
        <w:trPr>
          <w:cnfStyle w:val="000000100000" w:firstRow="0" w:lastRow="0" w:firstColumn="0" w:lastColumn="0" w:oddVBand="0" w:evenVBand="0" w:oddHBand="1" w:evenHBand="0" w:firstRowFirstColumn="0" w:firstRowLastColumn="0" w:lastRowFirstColumn="0" w:lastRowLastColumn="0"/>
          <w:trHeight w:val="300"/>
        </w:trPr>
        <w:tc>
          <w:tcPr>
            <w:tcW w:w="1701" w:type="dxa"/>
            <w:noWrap/>
          </w:tcPr>
          <w:p w14:paraId="77186E43" w14:textId="77777777" w:rsidR="00AD1F54" w:rsidRPr="00264D5D" w:rsidRDefault="00941227">
            <w:pPr>
              <w:pStyle w:val="GOSTTablenorm"/>
              <w:rPr>
                <w:lang w:val="en-US"/>
              </w:rPr>
            </w:pPr>
            <w:r w:rsidRPr="00264D5D">
              <w:rPr>
                <w:lang w:val="en-US"/>
              </w:rPr>
              <w:t>Глобальный уникальный идентификатор</w:t>
            </w:r>
          </w:p>
        </w:tc>
        <w:tc>
          <w:tcPr>
            <w:tcW w:w="1700" w:type="dxa"/>
            <w:noWrap/>
          </w:tcPr>
          <w:p w14:paraId="7F4AEA0F" w14:textId="77777777" w:rsidR="00AD1F54" w:rsidRPr="00264D5D" w:rsidRDefault="00941227">
            <w:pPr>
              <w:pStyle w:val="GOSTTablenorm"/>
              <w:rPr>
                <w:lang w:val="en-US"/>
              </w:rPr>
            </w:pPr>
            <w:r w:rsidRPr="00264D5D">
              <w:rPr>
                <w:lang w:val="en-US"/>
              </w:rPr>
              <w:t>GUID</w:t>
            </w:r>
          </w:p>
        </w:tc>
        <w:tc>
          <w:tcPr>
            <w:tcW w:w="567" w:type="dxa"/>
            <w:noWrap/>
          </w:tcPr>
          <w:p w14:paraId="78024D0A" w14:textId="77777777" w:rsidR="00AD1F54" w:rsidRPr="00264D5D" w:rsidRDefault="00941227">
            <w:pPr>
              <w:pStyle w:val="GOSTTablenorm"/>
              <w:jc w:val="center"/>
            </w:pPr>
            <w:r w:rsidRPr="00264D5D">
              <w:t>П</w:t>
            </w:r>
          </w:p>
        </w:tc>
        <w:tc>
          <w:tcPr>
            <w:tcW w:w="1133" w:type="dxa"/>
            <w:noWrap/>
          </w:tcPr>
          <w:p w14:paraId="0B5261C3" w14:textId="77777777" w:rsidR="00AD1F54" w:rsidRPr="00264D5D" w:rsidRDefault="00941227">
            <w:pPr>
              <w:pStyle w:val="GOSTTablenorm"/>
              <w:rPr>
                <w:lang w:val="en-US"/>
              </w:rPr>
            </w:pPr>
            <w:r w:rsidRPr="00264D5D">
              <w:t>GUID</w:t>
            </w:r>
          </w:p>
        </w:tc>
        <w:tc>
          <w:tcPr>
            <w:tcW w:w="567" w:type="dxa"/>
          </w:tcPr>
          <w:p w14:paraId="727D2352" w14:textId="77777777" w:rsidR="00AD1F54" w:rsidRPr="00264D5D" w:rsidRDefault="00941227">
            <w:pPr>
              <w:pStyle w:val="GOSTTablenorm"/>
              <w:jc w:val="center"/>
            </w:pPr>
            <w:r w:rsidRPr="00264D5D">
              <w:t>О</w:t>
            </w:r>
          </w:p>
        </w:tc>
        <w:tc>
          <w:tcPr>
            <w:tcW w:w="3960" w:type="dxa"/>
            <w:noWrap/>
          </w:tcPr>
          <w:p w14:paraId="45C0E472" w14:textId="77777777" w:rsidR="00AD1F54" w:rsidRPr="00264D5D" w:rsidRDefault="00941227">
            <w:pPr>
              <w:pStyle w:val="GOSTTablenorm"/>
            </w:pPr>
            <w:r w:rsidRPr="00264D5D">
              <w:t>Служебное поле, может заполняться клиентом или ТОФК.</w:t>
            </w:r>
          </w:p>
          <w:p w14:paraId="1408B35F" w14:textId="77777777" w:rsidR="00AD1F54" w:rsidRPr="00264D5D" w:rsidRDefault="00941227">
            <w:pPr>
              <w:pStyle w:val="GOSTTablenorm"/>
            </w:pPr>
            <w:r w:rsidRPr="00264D5D">
              <w:t>Обязательно для заполнения при передаче документа из ПУР ЭБ в ТОФК.</w:t>
            </w:r>
          </w:p>
          <w:p w14:paraId="2CD601B4" w14:textId="77777777" w:rsidR="00AD1F54" w:rsidRPr="00264D5D" w:rsidRDefault="00941227">
            <w:pPr>
              <w:pStyle w:val="GOSTTablenorm"/>
            </w:pPr>
            <w:r w:rsidRPr="00264D5D">
              <w:t>Заполняется ТОФК в случае отсутствия значения, присвоенного клиентом.</w:t>
            </w:r>
          </w:p>
          <w:p w14:paraId="290C2717" w14:textId="77777777" w:rsidR="00AD1F54" w:rsidRPr="00264D5D" w:rsidRDefault="00941227">
            <w:pPr>
              <w:pStyle w:val="GOSTTablenorm"/>
            </w:pPr>
            <w:r w:rsidRPr="00264D5D">
              <w:t>При поступлении в ТОФК документа с неуникальным значением идентификатора документа, документ не принимается к исполнению в сис</w:t>
            </w:r>
            <w:r w:rsidR="007E4E7F" w:rsidRPr="00264D5D">
              <w:t>теме Федерального казначейства</w:t>
            </w:r>
          </w:p>
        </w:tc>
      </w:tr>
      <w:tr w:rsidR="00AD1F54" w:rsidRPr="00264D5D" w14:paraId="54A45E58" w14:textId="77777777" w:rsidTr="00AD1F54">
        <w:trPr>
          <w:cnfStyle w:val="000000010000" w:firstRow="0" w:lastRow="0" w:firstColumn="0" w:lastColumn="0" w:oddVBand="0" w:evenVBand="0" w:oddHBand="0" w:evenHBand="1" w:firstRowFirstColumn="0" w:firstRowLastColumn="0" w:lastRowFirstColumn="0" w:lastRowLastColumn="0"/>
          <w:trHeight w:val="300"/>
        </w:trPr>
        <w:tc>
          <w:tcPr>
            <w:tcW w:w="1701" w:type="dxa"/>
            <w:noWrap/>
          </w:tcPr>
          <w:p w14:paraId="2578838A" w14:textId="77777777" w:rsidR="00AD1F54" w:rsidRPr="00264D5D" w:rsidRDefault="00941227">
            <w:pPr>
              <w:pStyle w:val="GOSTTablenorm"/>
            </w:pPr>
            <w:r w:rsidRPr="00264D5D">
              <w:t>Дата заявки</w:t>
            </w:r>
          </w:p>
        </w:tc>
        <w:tc>
          <w:tcPr>
            <w:tcW w:w="1700" w:type="dxa"/>
            <w:noWrap/>
          </w:tcPr>
          <w:p w14:paraId="1B5B0C04" w14:textId="77777777" w:rsidR="00AD1F54" w:rsidRPr="00264D5D" w:rsidRDefault="00941227">
            <w:pPr>
              <w:pStyle w:val="GOSTTablenorm"/>
            </w:pPr>
            <w:r w:rsidRPr="00264D5D">
              <w:t>CrtnDt</w:t>
            </w:r>
          </w:p>
        </w:tc>
        <w:tc>
          <w:tcPr>
            <w:tcW w:w="567" w:type="dxa"/>
            <w:noWrap/>
          </w:tcPr>
          <w:p w14:paraId="0EE8C8DA" w14:textId="77777777" w:rsidR="00AD1F54" w:rsidRPr="00264D5D" w:rsidRDefault="00941227">
            <w:pPr>
              <w:pStyle w:val="GOSTTablenorm"/>
              <w:jc w:val="center"/>
            </w:pPr>
            <w:r w:rsidRPr="00264D5D">
              <w:t>П</w:t>
            </w:r>
          </w:p>
        </w:tc>
        <w:tc>
          <w:tcPr>
            <w:tcW w:w="1133" w:type="dxa"/>
            <w:noWrap/>
          </w:tcPr>
          <w:p w14:paraId="136E0D0B" w14:textId="77777777" w:rsidR="00AD1F54" w:rsidRPr="00264D5D" w:rsidRDefault="00941227">
            <w:pPr>
              <w:pStyle w:val="GOSTTablenorm"/>
            </w:pPr>
            <w:r w:rsidRPr="00264D5D">
              <w:rPr>
                <w:lang w:val="en-US"/>
              </w:rPr>
              <w:t>D</w:t>
            </w:r>
            <w:r w:rsidRPr="00264D5D">
              <w:t>ate</w:t>
            </w:r>
          </w:p>
        </w:tc>
        <w:tc>
          <w:tcPr>
            <w:tcW w:w="567" w:type="dxa"/>
          </w:tcPr>
          <w:p w14:paraId="7FF71B29" w14:textId="77777777" w:rsidR="00AD1F54" w:rsidRPr="00264D5D" w:rsidRDefault="00941227">
            <w:pPr>
              <w:pStyle w:val="GOSTTablenorm"/>
              <w:jc w:val="center"/>
            </w:pPr>
            <w:r w:rsidRPr="00264D5D">
              <w:t>О</w:t>
            </w:r>
          </w:p>
        </w:tc>
        <w:tc>
          <w:tcPr>
            <w:tcW w:w="3960" w:type="dxa"/>
            <w:noWrap/>
          </w:tcPr>
          <w:p w14:paraId="45D9EEA1" w14:textId="77777777" w:rsidR="00AD1F54" w:rsidRPr="00264D5D" w:rsidRDefault="007E4E7F">
            <w:pPr>
              <w:pStyle w:val="GOSTTablenorm"/>
            </w:pPr>
            <w:r w:rsidRPr="00264D5D">
              <w:t>Дата документа</w:t>
            </w:r>
          </w:p>
        </w:tc>
      </w:tr>
    </w:tbl>
    <w:p w14:paraId="40C4373A" w14:textId="77777777" w:rsidR="00AD1F54" w:rsidRPr="00264D5D" w:rsidRDefault="00941227">
      <w:pPr>
        <w:pStyle w:val="31"/>
      </w:pPr>
      <w:bookmarkStart w:id="1035" w:name="_Toc219309536"/>
      <w:r w:rsidRPr="00264D5D">
        <w:t>Пример XML</w:t>
      </w:r>
      <w:bookmarkEnd w:id="1035"/>
    </w:p>
    <w:p w14:paraId="42877D1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&lt;?xml version="1.0" encoding="UTF-8"?&gt;</w:t>
      </w:r>
    </w:p>
    <w:p w14:paraId="62D5DC9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&lt;soapenv:Envelope xmlns:soapenv="http://schemas.xmlsoap.org/soap/envelope/" xmlns:wsu="http://docs.oasis-open.org/wss/2004/01/oasis-200401-wss-wssecurity-utility-1.0.xsd" xmlns:wsse="http://docs.oasis-open.org/wss/2004/01/oasis-200401-wss-wssecurity-secext-1.0.xsd"&gt;</w:t>
      </w:r>
    </w:p>
    <w:p w14:paraId="417BE6B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&lt;soapenv:Header xmlns:env="http://schemas.xmlsoap.org/soap/envelope/"&gt;&lt;wsse:Security wsu:Id="Id-sec-f9cb3040b7ca31cd7876d625c632e1aed304"&gt;</w:t>
      </w:r>
    </w:p>
    <w:p w14:paraId="494EE93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 xmlns="http://www.w3.org/2000/09/xmldsig#" Id="Id-sig-b9199ca934cfa91bcff69e807d7b0dbd26f6"&gt;</w:t>
      </w:r>
    </w:p>
    <w:p w14:paraId="73561B6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496532C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&lt;CanonicalizationMethod Algorithm="http://www.w3.org/2001/10/xml-exc-c14n#"/&gt;</w:t>
      </w:r>
    </w:p>
    <w:p w14:paraId="4A58D9C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&lt;SignatureMethod Algorithm="http://www.w3.org/2001/04/xmldsig-more#gostr34102001-gostr3411"/&gt;</w:t>
      </w:r>
    </w:p>
    <w:p w14:paraId="4DA75B9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URI="#Id-wssecdata-29cef34e3106063e64fead91c94aeda97ff4" Id="Id-dataref-ea575c0bb2c994b98298d2c77dcd5a7dbaa1"&gt;</w:t>
      </w:r>
    </w:p>
    <w:p w14:paraId="2871A7D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2B3FCF5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4A025BA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5783ED9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7B3E895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&lt;DigestValue&gt;4bqC9/3OSJqEHDz00XLzUf29YFcetigx2jr08qUp7fQ=&lt;/DigestValue&gt;</w:t>
      </w:r>
    </w:p>
    <w:p w14:paraId="2928372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06D9D8B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Type="http://www.w3.org/TR/2002/REC-xmldsig-core-20020212/xmldsig-core-schema.xsd#X509Data" URI="#Id-keyinfo-11712390bc17243d110193ac033f54873ad8" Id="Id-keyinforef-ac3c6eb29c9af1964819db52ec661b26c339"&gt;</w:t>
      </w:r>
    </w:p>
    <w:p w14:paraId="6E5BF21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5863681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789D57C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473D5F2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18796B8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&lt;DigestValue&gt;+0q515JTexjW0go5SdPl7+ydqXUKST91N44lIbXt8Yo=&lt;/DigestValue&gt;</w:t>
      </w:r>
    </w:p>
    <w:p w14:paraId="051E477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&lt;/Reference&gt;</w:t>
      </w:r>
    </w:p>
    <w:p w14:paraId="75A8C05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URI="#Id-sp-4179cfd1e4ba9c0aaed70450fc3c741c9c08" Id="Id-ref-cb8cc265f168034494eca1c25ec74bf9433c"&gt;</w:t>
      </w:r>
    </w:p>
    <w:p w14:paraId="65E81CE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14A9AC7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4C498C2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3C92558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54E755E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&lt;DigestValue&gt;f10/P/MZ5W1AwvdMPGkqpWfYGkK10xUw6SycuQIgFIc=&lt;/DigestValue&gt;</w:t>
      </w:r>
    </w:p>
    <w:p w14:paraId="49D7A4E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70DD58C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76A2B81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&lt;SignatureValue&gt;Xg8mlCU46QdjuUgHR/GFI13DKE7tfRDOphsVyNpFnxC/Sa2XnEuGBKeW7azroY19</w:t>
      </w:r>
    </w:p>
    <w:p w14:paraId="5B7DD57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3u7EHXe4dKfnrJ7k7Eq5+A==&lt;/SignatureValue&gt;</w:t>
      </w:r>
    </w:p>
    <w:p w14:paraId="057371E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38E66B5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7AAFAA3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 xmlns="http://uri.etsi.org/01903/v1.4.1#" Target="Id-sig-b9199ca934cfa91bcff69e807d7b0dbd26f6"&gt;</w:t>
      </w:r>
    </w:p>
    <w:p w14:paraId="4021C4C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 Id="Id-sp-4179cfd1e4ba9c0aaed70450fc3c741c9c08"&gt;</w:t>
      </w:r>
    </w:p>
    <w:p w14:paraId="6A86637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&lt;SignedSignatureProperties Id="Id-ssp-408cecc6a155b8a0f2850e81d5f57496bb2b"/&gt;</w:t>
      </w:r>
    </w:p>
    <w:p w14:paraId="40A2213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&lt;/SignedProperties&gt;</w:t>
      </w:r>
    </w:p>
    <w:p w14:paraId="26E1578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&lt;/QualifyingProperties&gt;</w:t>
      </w:r>
    </w:p>
    <w:p w14:paraId="2DE6DAD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0C67127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693B882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CVNlcnZlciBDQTEgMB4GCSqGSIb3DQEJARYRdWNfZmtAcm9za2F6bmEucnUxHDAa</w:t>
      </w:r>
    </w:p>
    <w:p w14:paraId="2BE38A8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BgNVBAgMEzc3INCzLiDQnNC+0YHQutCy0LAxGjAYBggqhQMDgQMBARIMMDA3NzEw</w:t>
      </w:r>
    </w:p>
    <w:p w14:paraId="53470E2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NTY4NzYwMRgwFgYFKoUDZAESDTEwNDc3OTcwMTk4MzAxLDAqBgNVBAkMI9GD0LvQ</w:t>
      </w:r>
    </w:p>
    <w:p w14:paraId="67F6BA3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uNGG0LAg0JjQu9GM0LjQvdC60LAsINC00L7QvCA3MRUwEwYDVQQHDAzQnNC+0YHQ</w:t>
      </w:r>
    </w:p>
    <w:p w14:paraId="7F52DE3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utCy0LAxCzAJBgNVBAYTAlJVMTgwNgYDVQQKDC/QpNC10LTQtdGA0LDQu9GM0L3Q</w:t>
      </w:r>
    </w:p>
    <w:p w14:paraId="2922F49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vtC1INC60LDQt9C90LDRh9C10LnRgdGC0LLQvjE/MD0GA1UEAww20KPQpiDQpNC1</w:t>
      </w:r>
    </w:p>
    <w:p w14:paraId="3D0D0E6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0LTQtdGA0LDQu9GM0L3QvtCz0L4g0LrQsNC30L3QsNGH0LXQudGB0YLQstCwMB4X</w:t>
      </w:r>
    </w:p>
    <w:p w14:paraId="38EE7A4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DTE2MDQwNzA4MTExMFoXDTE3MDcwNzA4MTExMFowggITMRYwFAYFKoUDZAMSCzEy</w:t>
      </w:r>
    </w:p>
    <w:p w14:paraId="2FD6E9F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MzQ1Njc4OTAxMRgwFgYFKoUDZAESDTAxMjM0NTY3ODkxMjMxGjAYBggqhQMDgQMB</w:t>
      </w:r>
    </w:p>
    <w:p w14:paraId="62DA643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ARIMMDAxMjM0NTY3ODkwMSYwJAYJKoZIhvcNAQkBFhduLm5hZ292aXRzeW5AaW5m</w:t>
      </w:r>
    </w:p>
    <w:p w14:paraId="6F43C11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b3NlYy5ydTELMAkGA1UEBhMCUlUxHDAaBgNVBAgMEzc3INCzLiDQnNC+0YHQutCy</w:t>
      </w:r>
    </w:p>
    <w:p w14:paraId="155355C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0LAxFTATBgNVBAcMDNCc0L7RgdC60LLQsDE4MDYGA1UECgwv0KTQtdC00LXRgNCw</w:t>
      </w:r>
    </w:p>
    <w:p w14:paraId="390EF65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0LvRjNC90L7QtSDQutCw0LfQvdCw0YfQtdC50YHRgtCy0L4xNDAyBgNVBAsMK9GC</w:t>
      </w:r>
    </w:p>
    <w:p w14:paraId="0E0CED7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0LXRgdGC0L7QstC+0LUg0L/QvtC00YDQsNC30LTQtdC70LXQvdC40LUxHDAaBgNV</w:t>
      </w:r>
    </w:p>
    <w:p w14:paraId="20FE351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BCoME2PQtdGA0YLQuNGE0LjQutCw0YIxGTAXBgNVBAQMENCi0LXRgdGC0L7QstGL</w:t>
      </w:r>
    </w:p>
    <w:p w14:paraId="534669F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0LkxPTA7BgNVBAwMNNCi0LXRgdGC0L7QstGL0Lkg0YHQtdGA0YLQuNGE0LjQutCw</w:t>
      </w:r>
    </w:p>
    <w:p w14:paraId="4F5B5F8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0YIg0L/QvtC00L/QuNGB0LgxQTA/BgkqhkiG9w0BCQIMMklOTlw9MDEyMzQ1Njc4</w:t>
      </w:r>
    </w:p>
    <w:p w14:paraId="7F6C861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OS9LUFBcPTEyMzQ1Njc4OS9PR1JOXD0wMTIzNDU2Nzg5MTIzMS4wLAYDVQQDDCXQ</w:t>
      </w:r>
    </w:p>
    <w:p w14:paraId="0162496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otC10YHRgtC+0LLRi9C5INGB0LXRgNGC0LjRhNC40LrQsNGCMGMwHAYGKoUDAgIT</w:t>
      </w:r>
    </w:p>
    <w:p w14:paraId="32A79F4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MBIGByqFAwICJAAGByqFAwICHgEDQwAEQM/mE38gcSmh2U183WL3aPaP3tJu0vTq</w:t>
      </w:r>
    </w:p>
    <w:p w14:paraId="639762D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CndMDcb72IGcv8nO7QkaqnFwXrkt6zScdQlQgUX78ct0+jNJa7ZIdLGjggRJMIIE</w:t>
      </w:r>
    </w:p>
    <w:p w14:paraId="41B74F2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RTAMBgNVHRMBAf8EAjAAMB0GA1UdIAQWMBQwCAYGKoUDZHEBMAgGBiqFA2RxAjBN</w:t>
      </w:r>
    </w:p>
    <w:p w14:paraId="306424C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BgUqhQNkbwREDELQmtGA0LjQv9GC0L7Qn9GA0L4gQ1NQICjQstC10YDRgdC40Y8g</w:t>
      </w:r>
    </w:p>
    <w:p w14:paraId="0CE45E3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My42KSAo0LjRgdC/0L7Qu9C90LXQvdC40LUgMikwggFhBgUqhQNkcASCAVYwggFS</w:t>
      </w:r>
    </w:p>
    <w:p w14:paraId="2FFFD92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DEQi0JrRgNC40L/RgtC+0J/RgNC+IENTUCIgKNCy0LXRgNGB0LjRjyAzLjYpICjQ</w:t>
      </w:r>
    </w:p>
    <w:p w14:paraId="053A46D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uNGB0L/QvtC70L3QtdC90LjQtSAyKQxoItCf0YDQvtCz0YDQsNC80LzQvdC+LdCw</w:t>
      </w:r>
    </w:p>
    <w:p w14:paraId="27BD981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0L/Qv9Cw0YDQsNGC0L3Ri9C5INC60L7QvNC/0LvQtdC60YEgItCu0L3QuNGB0LXR</w:t>
      </w:r>
    </w:p>
    <w:p w14:paraId="2F80F50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gNGCLdCT0J7QodCiIi4g0JLQtdGA0YHQuNGPIDIuMSIMT9Ch0LXRgNGC0LjRhNC4</w:t>
      </w:r>
    </w:p>
    <w:p w14:paraId="0145411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0LrQsNGCINGB0L7QvtGC0LLQtdGC0YHRgtCy0LjRjyDihJYg0KHQpC8xMjQtMjcz</w:t>
      </w:r>
    </w:p>
    <w:p w14:paraId="58DE317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OCDQvtGCIDAxLjA3LjIwMTUMT9Ch0LXRgNGC0LjRhNC40LrQsNGCINGB0L7QvtGC</w:t>
      </w:r>
    </w:p>
    <w:p w14:paraId="5F1CB1F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0LLQtdGC0YHRgtCy0LjRjyDihJYg0KHQpC8xMjgtMjE3NSDQvtGCIDIwLjA2LjIw</w:t>
      </w:r>
    </w:p>
    <w:p w14:paraId="6AE35EB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MTMwDgYDVR0PAQH/BAQDAgTwMBMGA1UdJQQMMAoGCCsGAQUFBwMDMCsGA1UdEAQk</w:t>
      </w:r>
    </w:p>
    <w:p w14:paraId="2FB4749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MCKADzIwMTYwNDA3MDgwNDI4WoEPMjAxNzA3MDcwODA0MjhaMIIBjwYDVR0jBIIB</w:t>
      </w:r>
    </w:p>
    <w:p w14:paraId="38EA431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hjCCAYKAFJ5xDg/atAEoXz/iy49lFZcCR4yroYIBZaSCAWEwggFdMRgwFgYJKoZI</w:t>
      </w:r>
    </w:p>
    <w:p w14:paraId="0E1C889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hvcNAQkCEwlTZXJ2ZXIgQ0ExIDAeBgkqhkiG9w0BCQEWEXVjX2ZrQHJvc2them5h</w:t>
      </w:r>
    </w:p>
    <w:p w14:paraId="77B114B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LnJ1MRwwGgYDVQQIDBM3NyDQsy4g0JzQvtGB0LrQstCwMRowGAYIKoUDA4EDAQES</w:t>
      </w:r>
    </w:p>
    <w:p w14:paraId="5F75C1F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DDAwNzcxMDU2ODc2MDEYMBYGBSqFA2QBEg0xMDQ3Nzk3MDE5ODMwMSwwKgYDVQQJ</w:t>
      </w:r>
    </w:p>
    <w:p w14:paraId="439E43B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DCPRg9C70LjRhtCwINCY0LvRjNC40L3QutCwLCDQtNC+0LwgNzEVMBMGA1UEBwwM</w:t>
      </w:r>
    </w:p>
    <w:p w14:paraId="2999C04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0JzQvtGB0LrQstCwMQswCQYDVQQGEwJSVTE4MDYGA1UECgwv0KTQtdC00LXRgNCw</w:t>
      </w:r>
    </w:p>
    <w:p w14:paraId="0A71CE4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0LvRjNC90L7QtSDQutCw0LfQvdCw0YfQtdC50YHRgtCy0L4xPzA9BgNVBAMMNtCj</w:t>
      </w:r>
    </w:p>
    <w:p w14:paraId="4B03C1B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0KYg0KTQtdC00LXRgNCw0LvRjNC90L7Qs9C+INC60LDQt9C90LDRh9C10LnRgdGC</w:t>
      </w:r>
    </w:p>
    <w:p w14:paraId="6A2AE18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0LLQsIIBATBeBgNVHR8EVzBVMCmgJ6AlhiNodHRwOi8vY3JsLnJvc2them5hLnJ1</w:t>
      </w:r>
    </w:p>
    <w:p w14:paraId="0A1B727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L2NybC9mazAxLmNybDAooCagJIYiaHR0cDovL2NybC5mc2ZrLmxvY2FsL2NybC9m</w:t>
      </w:r>
    </w:p>
    <w:p w14:paraId="5A02A7A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azAxLmNybDAdBgNVHQ4EFgQUt0m7wwTPyJQ+5TDMkq5Z0WnD5vQwCAYGKoUDAgID</w:t>
      </w:r>
    </w:p>
    <w:p w14:paraId="32E59D0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A0EAReUQeQpqERyFF5XRWG8RnguKCWvPIQOt26PZmVTccxOXVHwZyI0rqdcQ2i4L</w:t>
      </w:r>
    </w:p>
    <w:p w14:paraId="2DC5478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p87xs4bqOAO1BwhmKL/TsoC4pA==&lt;/wsse:BinarySecurityToken&gt;&lt;/wsse:Security&gt;&lt;/soapenv:Header&gt;</w:t>
      </w:r>
    </w:p>
    <w:p w14:paraId="045675F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&lt;soapenv:Body xmlns:env="http://schemas.xmlsoap.org/soap/envelope/" wsu:Id="Id-wssecdata-29cef34e3106063e64fead91c94aeda97ff4"&gt;</w:t>
      </w:r>
    </w:p>
    <w:p w14:paraId="03F84FB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&lt;transferDocumentRequest xmlns:typ="http://www.roskazna.ru/eb/services/transferDocumentService/types" xmlns="http://www.roskazna.ru/eb/services/transferDocumentService/types" versionId="1.0"&gt;</w:t>
      </w:r>
    </w:p>
    <w:p w14:paraId="6817B25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&lt;typ:header&gt;</w:t>
      </w:r>
    </w:p>
    <w:p w14:paraId="7020B12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&lt;typ:packageId&gt;e8bf66bf-9cf1-47f1-a48b-394d18467fe3&lt;/typ:packageId&gt;</w:t>
      </w:r>
    </w:p>
    <w:p w14:paraId="31391C4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&lt;typ:senderSystemId&gt;PFHD&lt;/typ:senderSystemId&gt;</w:t>
      </w:r>
    </w:p>
    <w:p w14:paraId="76FFAEF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&lt;typ:targetSystemId&gt;EXP&lt;/typ:targetSystemId&gt;</w:t>
      </w:r>
    </w:p>
    <w:p w14:paraId="49E8BA6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&lt;typ:documentType&gt;MSC_ApplCashFlowShrt&lt;/typ:documentType&gt;</w:t>
      </w:r>
    </w:p>
    <w:p w14:paraId="004519D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&lt;typ:documentGuid&gt;a2e4e9b1-753d-4c55-d382-a46db4ac956a&lt;/typ:documentGuid&gt;</w:t>
      </w:r>
    </w:p>
    <w:p w14:paraId="75FD9EC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&lt;typ:creationDateTime&gt;2021-06-03T16:46:07.689+04:00&lt;/typ:creationDateTime&gt;</w:t>
      </w:r>
    </w:p>
    <w:p w14:paraId="1DC034C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&lt;typ:params&gt;</w:t>
      </w:r>
    </w:p>
    <w:p w14:paraId="71B6408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 name="tofkCode" value="3200"/&gt;</w:t>
      </w:r>
    </w:p>
    <w:p w14:paraId="77D5C99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 name="versionId" value="3.0"/&gt;</w:t>
      </w:r>
    </w:p>
    <w:p w14:paraId="5FA3843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&lt;/typ:params&gt;</w:t>
      </w:r>
    </w:p>
    <w:p w14:paraId="1F1319A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&lt;/typ:header&gt;</w:t>
      </w:r>
    </w:p>
    <w:p w14:paraId="3ACBEAF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&lt;typ:document&gt;</w:t>
      </w:r>
    </w:p>
    <w:p w14:paraId="3C01002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&lt;self:MSC_ApplCashFlowShrt metaType="formular" versionID="3.0" Id="Id-xadesdata-eaf97d94646411e9b78d005056834f23" xsi:schemaLocation="http://www.roskazna.ru/eb/domain/MSC_ApplCashFlowShrt/formular formulars.xsd" xmlns:self="http://www.roskazna.ru/eb/domain/MSC_ApplCashFlowShrt/formular" xmlns:xsi="http://www.w3.org/2001/XMLSchema-instance"&gt;</w:t>
      </w:r>
    </w:p>
    <w:p w14:paraId="0D6EF75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&lt;ZR_RqstNm xmlns=""&gt;102&lt;/ZR_RqstNm&gt;</w:t>
      </w:r>
    </w:p>
    <w:p w14:paraId="75146A8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&lt;ZR_MSC_Cstmr xmlns=""&gt;</w:t>
      </w:r>
    </w:p>
    <w:p w14:paraId="2B486CC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&lt;Cd&gt;32185743&lt;/Cd&gt;</w:t>
      </w:r>
    </w:p>
    <w:p w14:paraId="1482DCB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FullNm</w:t>
      </w:r>
      <w:r w:rsidRPr="00264D5D">
        <w:rPr>
          <w:rFonts w:cs="Courier New"/>
          <w:sz w:val="20"/>
          <w:lang w:val="ru-RU"/>
        </w:rPr>
        <w:t>&gt;ДЕПАРТАМЕНТ ЛЕСНОГО ХОЗЯЙСТВА ПО ПРИВОЛЖСКОМУ ФЕДЕРАЛЬНОМУ ОКРУГУ&lt;/</w:t>
      </w:r>
      <w:r w:rsidRPr="00264D5D">
        <w:rPr>
          <w:rFonts w:cs="Courier New"/>
          <w:sz w:val="20"/>
        </w:rPr>
        <w:t>FullNm</w:t>
      </w:r>
      <w:r w:rsidRPr="00264D5D">
        <w:rPr>
          <w:rFonts w:cs="Courier New"/>
          <w:sz w:val="20"/>
          <w:lang w:val="ru-RU"/>
        </w:rPr>
        <w:t>&gt;</w:t>
      </w:r>
    </w:p>
    <w:p w14:paraId="7B598BE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AcntNmbr</w:t>
      </w:r>
      <w:r w:rsidRPr="00264D5D">
        <w:rPr>
          <w:rFonts w:cs="Courier New"/>
          <w:sz w:val="20"/>
          <w:lang w:val="ru-RU"/>
        </w:rPr>
        <w:t>&gt;03321857430&lt;/</w:t>
      </w:r>
      <w:r w:rsidRPr="00264D5D">
        <w:rPr>
          <w:rFonts w:cs="Courier New"/>
          <w:sz w:val="20"/>
        </w:rPr>
        <w:t>AcntNmbr</w:t>
      </w:r>
      <w:r w:rsidRPr="00264D5D">
        <w:rPr>
          <w:rFonts w:cs="Courier New"/>
          <w:sz w:val="20"/>
          <w:lang w:val="ru-RU"/>
        </w:rPr>
        <w:t>&gt;</w:t>
      </w:r>
    </w:p>
    <w:p w14:paraId="355904B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KPP</w:t>
      </w:r>
      <w:r w:rsidRPr="00264D5D">
        <w:rPr>
          <w:rFonts w:cs="Courier New"/>
          <w:sz w:val="20"/>
          <w:lang w:val="ru-RU"/>
        </w:rPr>
        <w:t>&gt;526201001&lt;/</w:t>
      </w:r>
      <w:r w:rsidRPr="00264D5D">
        <w:rPr>
          <w:rFonts w:cs="Courier New"/>
          <w:sz w:val="20"/>
        </w:rPr>
        <w:t>KPP</w:t>
      </w:r>
      <w:r w:rsidRPr="00264D5D">
        <w:rPr>
          <w:rFonts w:cs="Courier New"/>
          <w:sz w:val="20"/>
          <w:lang w:val="ru-RU"/>
        </w:rPr>
        <w:t>&gt;</w:t>
      </w:r>
    </w:p>
    <w:p w14:paraId="3315EA2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ZR</w:t>
      </w:r>
      <w:r w:rsidRPr="00264D5D">
        <w:rPr>
          <w:rFonts w:cs="Courier New"/>
          <w:sz w:val="20"/>
          <w:lang w:val="ru-RU"/>
        </w:rPr>
        <w:t>_</w:t>
      </w:r>
      <w:r w:rsidRPr="00264D5D">
        <w:rPr>
          <w:rFonts w:cs="Courier New"/>
          <w:sz w:val="20"/>
        </w:rPr>
        <w:t>MSC</w:t>
      </w:r>
      <w:r w:rsidRPr="00264D5D">
        <w:rPr>
          <w:rFonts w:cs="Courier New"/>
          <w:sz w:val="20"/>
          <w:lang w:val="ru-RU"/>
        </w:rPr>
        <w:t>_</w:t>
      </w:r>
      <w:r w:rsidRPr="00264D5D">
        <w:rPr>
          <w:rFonts w:cs="Courier New"/>
          <w:sz w:val="20"/>
        </w:rPr>
        <w:t>Cstmr</w:t>
      </w:r>
      <w:r w:rsidRPr="00264D5D">
        <w:rPr>
          <w:rFonts w:cs="Courier New"/>
          <w:sz w:val="20"/>
          <w:lang w:val="ru-RU"/>
        </w:rPr>
        <w:t>&gt;</w:t>
      </w:r>
    </w:p>
    <w:p w14:paraId="6AC554B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&lt;ZR_INN xmlns=""&gt;5262209369&lt;/ZR_INN&gt;</w:t>
      </w:r>
    </w:p>
    <w:p w14:paraId="2F504CF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&lt;ZR_CdGRBS xmlns=""&gt;053&lt;/ZR_CdGRBS&gt;</w:t>
      </w:r>
    </w:p>
    <w:p w14:paraId="36A69BF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&lt;ZR_MSC_Orgnztn xmlns=""&gt;</w:t>
      </w:r>
    </w:p>
    <w:p w14:paraId="30BB327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&lt;MSC_OrFK xmlns=""&gt;</w:t>
      </w:r>
    </w:p>
    <w:p w14:paraId="188B0AB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Nm</w:t>
      </w:r>
      <w:r w:rsidRPr="00264D5D">
        <w:rPr>
          <w:rFonts w:cs="Courier New"/>
          <w:sz w:val="20"/>
          <w:lang w:val="ru-RU"/>
        </w:rPr>
        <w:t>&gt;УФК по Нижегородской области&lt;/</w:t>
      </w:r>
      <w:r w:rsidRPr="00264D5D">
        <w:rPr>
          <w:rFonts w:cs="Courier New"/>
          <w:sz w:val="20"/>
        </w:rPr>
        <w:t>Nm</w:t>
      </w:r>
      <w:r w:rsidRPr="00264D5D">
        <w:rPr>
          <w:rFonts w:cs="Courier New"/>
          <w:sz w:val="20"/>
          <w:lang w:val="ru-RU"/>
        </w:rPr>
        <w:t>&gt;</w:t>
      </w:r>
    </w:p>
    <w:p w14:paraId="2926FD6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Cd</w:t>
      </w:r>
      <w:r w:rsidRPr="00264D5D">
        <w:rPr>
          <w:rFonts w:cs="Courier New"/>
          <w:sz w:val="20"/>
          <w:lang w:val="ru-RU"/>
        </w:rPr>
        <w:t>&gt;3200&lt;/</w:t>
      </w:r>
      <w:r w:rsidRPr="00264D5D">
        <w:rPr>
          <w:rFonts w:cs="Courier New"/>
          <w:sz w:val="20"/>
        </w:rPr>
        <w:t>Cd</w:t>
      </w:r>
      <w:r w:rsidRPr="00264D5D">
        <w:rPr>
          <w:rFonts w:cs="Courier New"/>
          <w:sz w:val="20"/>
          <w:lang w:val="ru-RU"/>
        </w:rPr>
        <w:t>&gt;</w:t>
      </w:r>
    </w:p>
    <w:p w14:paraId="57D31F1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MSC</w:t>
      </w:r>
      <w:r w:rsidRPr="00264D5D">
        <w:rPr>
          <w:rFonts w:cs="Courier New"/>
          <w:sz w:val="20"/>
          <w:lang w:val="ru-RU"/>
        </w:rPr>
        <w:t>_</w:t>
      </w:r>
      <w:r w:rsidRPr="00264D5D">
        <w:rPr>
          <w:rFonts w:cs="Courier New"/>
          <w:sz w:val="20"/>
        </w:rPr>
        <w:t>OrFK</w:t>
      </w:r>
      <w:r w:rsidRPr="00264D5D">
        <w:rPr>
          <w:rFonts w:cs="Courier New"/>
          <w:sz w:val="20"/>
          <w:lang w:val="ru-RU"/>
        </w:rPr>
        <w:t>&gt;</w:t>
      </w:r>
    </w:p>
    <w:p w14:paraId="595DBA8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NmBdgt</w:t>
      </w:r>
      <w:r w:rsidRPr="00264D5D">
        <w:rPr>
          <w:rFonts w:cs="Courier New"/>
          <w:sz w:val="20"/>
          <w:lang w:val="ru-RU"/>
        </w:rPr>
        <w:t>&gt;Федеральный бюджет&lt;/</w:t>
      </w:r>
      <w:r w:rsidRPr="00264D5D">
        <w:rPr>
          <w:rFonts w:cs="Courier New"/>
          <w:sz w:val="20"/>
        </w:rPr>
        <w:t>NmBdgt</w:t>
      </w:r>
      <w:r w:rsidRPr="00264D5D">
        <w:rPr>
          <w:rFonts w:cs="Courier New"/>
          <w:sz w:val="20"/>
          <w:lang w:val="ru-RU"/>
        </w:rPr>
        <w:t>&gt;</w:t>
      </w:r>
    </w:p>
    <w:p w14:paraId="7BC9DE2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ZR</w:t>
      </w:r>
      <w:r w:rsidRPr="00264D5D">
        <w:rPr>
          <w:rFonts w:cs="Courier New"/>
          <w:sz w:val="20"/>
          <w:lang w:val="ru-RU"/>
        </w:rPr>
        <w:t>_</w:t>
      </w:r>
      <w:r w:rsidRPr="00264D5D">
        <w:rPr>
          <w:rFonts w:cs="Courier New"/>
          <w:sz w:val="20"/>
        </w:rPr>
        <w:t>MSC</w:t>
      </w:r>
      <w:r w:rsidRPr="00264D5D">
        <w:rPr>
          <w:rFonts w:cs="Courier New"/>
          <w:sz w:val="20"/>
          <w:lang w:val="ru-RU"/>
        </w:rPr>
        <w:t>_</w:t>
      </w:r>
      <w:r w:rsidRPr="00264D5D">
        <w:rPr>
          <w:rFonts w:cs="Courier New"/>
          <w:sz w:val="20"/>
        </w:rPr>
        <w:t>Orgnztn</w:t>
      </w:r>
      <w:r w:rsidRPr="00264D5D">
        <w:rPr>
          <w:rFonts w:cs="Courier New"/>
          <w:sz w:val="20"/>
          <w:lang w:val="ru-RU"/>
        </w:rPr>
        <w:t>&gt;</w:t>
      </w:r>
    </w:p>
    <w:p w14:paraId="0A5D5E5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ZR</w:t>
      </w:r>
      <w:r w:rsidRPr="00264D5D">
        <w:rPr>
          <w:rFonts w:cs="Courier New"/>
          <w:sz w:val="20"/>
          <w:lang w:val="ru-RU"/>
        </w:rPr>
        <w:t>_</w:t>
      </w:r>
      <w:r w:rsidRPr="00264D5D">
        <w:rPr>
          <w:rFonts w:cs="Courier New"/>
          <w:sz w:val="20"/>
        </w:rPr>
        <w:t>DctDtISP</w:t>
      </w:r>
      <w:r w:rsidRPr="00264D5D">
        <w:rPr>
          <w:rFonts w:cs="Courier New"/>
          <w:sz w:val="20"/>
          <w:lang w:val="ru-RU"/>
        </w:rPr>
        <w:t xml:space="preserve"> </w:t>
      </w:r>
      <w:r w:rsidRPr="00264D5D">
        <w:rPr>
          <w:rFonts w:cs="Courier New"/>
          <w:sz w:val="20"/>
        </w:rPr>
        <w:t>xmlns</w:t>
      </w:r>
      <w:r w:rsidRPr="00264D5D">
        <w:rPr>
          <w:rFonts w:cs="Courier New"/>
          <w:sz w:val="20"/>
          <w:lang w:val="ru-RU"/>
        </w:rPr>
        <w:t>=""&gt;2021-06-03&lt;/</w:t>
      </w:r>
      <w:r w:rsidRPr="00264D5D">
        <w:rPr>
          <w:rFonts w:cs="Courier New"/>
          <w:sz w:val="20"/>
        </w:rPr>
        <w:t>ZR</w:t>
      </w:r>
      <w:r w:rsidRPr="00264D5D">
        <w:rPr>
          <w:rFonts w:cs="Courier New"/>
          <w:sz w:val="20"/>
          <w:lang w:val="ru-RU"/>
        </w:rPr>
        <w:t>_</w:t>
      </w:r>
      <w:r w:rsidRPr="00264D5D">
        <w:rPr>
          <w:rFonts w:cs="Courier New"/>
          <w:sz w:val="20"/>
        </w:rPr>
        <w:t>DctDtISP</w:t>
      </w:r>
      <w:r w:rsidRPr="00264D5D">
        <w:rPr>
          <w:rFonts w:cs="Courier New"/>
          <w:sz w:val="20"/>
          <w:lang w:val="ru-RU"/>
        </w:rPr>
        <w:t>&gt;</w:t>
      </w:r>
    </w:p>
    <w:p w14:paraId="3AF8B1A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&lt;ZR_GUIDSV xmlns=""&gt;a2e4e9b1-753d-4e55-a382-a46db4ac956a&lt;/ZR_GUIDSV&gt;</w:t>
      </w:r>
    </w:p>
    <w:p w14:paraId="71C343A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&lt;ZR_AmntV xmlns=""&gt;125.33&lt;/ZR_AmntV&gt;</w:t>
      </w:r>
    </w:p>
    <w:p w14:paraId="6B07598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&lt;ZR_CdOKV&gt;643&lt;/ZR_CdOKV&gt;</w:t>
      </w:r>
    </w:p>
    <w:p w14:paraId="14024D4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&lt;ZR_IncTypeCode xmlns=""&gt;1&lt;/ZR_IncTypeCode&gt;</w:t>
      </w:r>
    </w:p>
    <w:p w14:paraId="375AC64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&lt;ZR_MSC_Pmnt xmlns=""&gt;</w:t>
      </w:r>
    </w:p>
    <w:p w14:paraId="307466F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&lt;AdvnPySgn value="Платеж не является авансовым" code="0"/&gt;</w:t>
      </w:r>
    </w:p>
    <w:p w14:paraId="7C9E997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&lt;Prt&gt;6&lt;/Prt&gt;</w:t>
      </w:r>
    </w:p>
    <w:p w14:paraId="6B719F7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&lt;Knd value="Пусто" code="0"/&gt;</w:t>
      </w:r>
    </w:p>
    <w:p w14:paraId="00FEF47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Prps</w:t>
      </w:r>
      <w:r w:rsidRPr="00264D5D">
        <w:rPr>
          <w:rFonts w:cs="Courier New"/>
          <w:sz w:val="20"/>
          <w:lang w:val="ru-RU"/>
        </w:rPr>
        <w:t>&gt;Оплата услуг связи&lt;/</w:t>
      </w:r>
      <w:r w:rsidRPr="00264D5D">
        <w:rPr>
          <w:rFonts w:cs="Courier New"/>
          <w:sz w:val="20"/>
        </w:rPr>
        <w:t>Prps</w:t>
      </w:r>
      <w:r w:rsidRPr="00264D5D">
        <w:rPr>
          <w:rFonts w:cs="Courier New"/>
          <w:sz w:val="20"/>
          <w:lang w:val="ru-RU"/>
        </w:rPr>
        <w:t>&gt;</w:t>
      </w:r>
    </w:p>
    <w:p w14:paraId="4FF6470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ZR</w:t>
      </w:r>
      <w:r w:rsidRPr="00264D5D">
        <w:rPr>
          <w:rFonts w:cs="Courier New"/>
          <w:sz w:val="20"/>
          <w:lang w:val="ru-RU"/>
        </w:rPr>
        <w:t>_</w:t>
      </w:r>
      <w:r w:rsidRPr="00264D5D">
        <w:rPr>
          <w:rFonts w:cs="Courier New"/>
          <w:sz w:val="20"/>
        </w:rPr>
        <w:t>MSC</w:t>
      </w:r>
      <w:r w:rsidRPr="00264D5D">
        <w:rPr>
          <w:rFonts w:cs="Courier New"/>
          <w:sz w:val="20"/>
          <w:lang w:val="ru-RU"/>
        </w:rPr>
        <w:t>_</w:t>
      </w:r>
      <w:r w:rsidRPr="00264D5D">
        <w:rPr>
          <w:rFonts w:cs="Courier New"/>
          <w:sz w:val="20"/>
        </w:rPr>
        <w:t>Pmnt</w:t>
      </w:r>
      <w:r w:rsidRPr="00264D5D">
        <w:rPr>
          <w:rFonts w:cs="Courier New"/>
          <w:sz w:val="20"/>
          <w:lang w:val="ru-RU"/>
        </w:rPr>
        <w:t>&gt;</w:t>
      </w:r>
    </w:p>
    <w:p w14:paraId="3610062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ZR</w:t>
      </w:r>
      <w:r w:rsidRPr="00264D5D">
        <w:rPr>
          <w:rFonts w:cs="Courier New"/>
          <w:sz w:val="20"/>
          <w:lang w:val="ru-RU"/>
        </w:rPr>
        <w:t>_</w:t>
      </w:r>
      <w:r w:rsidRPr="00264D5D">
        <w:rPr>
          <w:rFonts w:cs="Courier New"/>
          <w:sz w:val="20"/>
        </w:rPr>
        <w:t>MSC</w:t>
      </w:r>
      <w:r w:rsidRPr="00264D5D">
        <w:rPr>
          <w:rFonts w:cs="Courier New"/>
          <w:sz w:val="20"/>
          <w:lang w:val="ru-RU"/>
        </w:rPr>
        <w:t>_</w:t>
      </w:r>
      <w:r w:rsidRPr="00264D5D">
        <w:rPr>
          <w:rFonts w:cs="Courier New"/>
          <w:sz w:val="20"/>
        </w:rPr>
        <w:t>Cntrctr</w:t>
      </w:r>
      <w:r w:rsidRPr="00264D5D">
        <w:rPr>
          <w:rFonts w:cs="Courier New"/>
          <w:sz w:val="20"/>
          <w:lang w:val="ru-RU"/>
        </w:rPr>
        <w:t xml:space="preserve"> </w:t>
      </w:r>
      <w:r w:rsidRPr="00264D5D">
        <w:rPr>
          <w:rFonts w:cs="Courier New"/>
          <w:sz w:val="20"/>
        </w:rPr>
        <w:t>xmlns</w:t>
      </w:r>
      <w:r w:rsidRPr="00264D5D">
        <w:rPr>
          <w:rFonts w:cs="Courier New"/>
          <w:sz w:val="20"/>
          <w:lang w:val="ru-RU"/>
        </w:rPr>
        <w:t>=""&gt;</w:t>
      </w:r>
    </w:p>
    <w:p w14:paraId="1FC7E77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Nm</w:t>
      </w:r>
      <w:r w:rsidRPr="00264D5D">
        <w:rPr>
          <w:rFonts w:cs="Courier New"/>
          <w:sz w:val="20"/>
          <w:lang w:val="ru-RU"/>
        </w:rPr>
        <w:t xml:space="preserve"> </w:t>
      </w:r>
      <w:r w:rsidRPr="00264D5D">
        <w:rPr>
          <w:rFonts w:cs="Courier New"/>
          <w:sz w:val="20"/>
        </w:rPr>
        <w:t>xmlns</w:t>
      </w:r>
      <w:r w:rsidRPr="00264D5D">
        <w:rPr>
          <w:rFonts w:cs="Courier New"/>
          <w:sz w:val="20"/>
          <w:lang w:val="ru-RU"/>
        </w:rPr>
        <w:t>=""&gt;ОАО "Волга-Телеком"&lt;/</w:t>
      </w:r>
      <w:r w:rsidRPr="00264D5D">
        <w:rPr>
          <w:rFonts w:cs="Courier New"/>
          <w:sz w:val="20"/>
        </w:rPr>
        <w:t>Nm</w:t>
      </w:r>
      <w:r w:rsidRPr="00264D5D">
        <w:rPr>
          <w:rFonts w:cs="Courier New"/>
          <w:sz w:val="20"/>
          <w:lang w:val="ru-RU"/>
        </w:rPr>
        <w:t>&gt;</w:t>
      </w:r>
    </w:p>
    <w:p w14:paraId="5307CB5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&lt;INN xmlns=""&gt;5244009279&lt;/INN&gt;</w:t>
      </w:r>
    </w:p>
    <w:p w14:paraId="6D11E11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&lt;KPP xmlns=""&gt;524401001&lt;/KPP&gt;</w:t>
      </w:r>
    </w:p>
    <w:p w14:paraId="61F5FB1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&lt;MSC_Bnk xmlns=""&gt;</w:t>
      </w:r>
    </w:p>
    <w:p w14:paraId="34AD737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&lt;AcNm&gt;03234643700010000712&lt;/AcNm&gt;</w:t>
      </w:r>
    </w:p>
    <w:p w14:paraId="7D32C60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Nm</w:t>
      </w:r>
      <w:r w:rsidRPr="00264D5D">
        <w:rPr>
          <w:rFonts w:cs="Courier New"/>
          <w:sz w:val="20"/>
          <w:lang w:val="ru-RU"/>
        </w:rPr>
        <w:t>&gt;Отделение Нижний Новгород Банка России//УФК по Нижегородской области, г.Нижний Новгород&lt;/</w:t>
      </w:r>
      <w:r w:rsidRPr="00264D5D">
        <w:rPr>
          <w:rFonts w:cs="Courier New"/>
          <w:sz w:val="20"/>
        </w:rPr>
        <w:t>Nm</w:t>
      </w:r>
      <w:r w:rsidRPr="00264D5D">
        <w:rPr>
          <w:rFonts w:cs="Courier New"/>
          <w:sz w:val="20"/>
          <w:lang w:val="ru-RU"/>
        </w:rPr>
        <w:t>&gt;</w:t>
      </w:r>
    </w:p>
    <w:p w14:paraId="1FE5320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&lt;BIK&gt;042202824&lt;/BIK&gt;</w:t>
      </w:r>
    </w:p>
    <w:p w14:paraId="36BBE9E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&lt;CrAccNm&gt;40102810200000000824&lt;/CrAccNm&gt;</w:t>
      </w:r>
    </w:p>
    <w:p w14:paraId="62098D8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&lt;/MSC_Bnk&gt;</w:t>
      </w:r>
    </w:p>
    <w:p w14:paraId="23872D8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&lt;/ZR_MSC_Cntrctr&gt;</w:t>
      </w:r>
    </w:p>
    <w:p w14:paraId="13E9E0A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&lt;InfoPayZHKU_IdPd xmlns=""&gt;23АА467855-00-0001&lt;/InfoPayZHKU_IdPd&gt;</w:t>
      </w:r>
    </w:p>
    <w:p w14:paraId="0E5BDC8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&lt;InfoPayZHKU_PayPeriod xmlns=""&gt;01.2021&lt;/InfoPayZHKU_PayPeriod&gt;</w:t>
      </w:r>
    </w:p>
    <w:p w14:paraId="7528F96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&lt;InfoPayZHKU_SingleAcc xmlns=""&gt;03АА000034&lt;/InfoPayZHKU_SingleAcc&gt;</w:t>
      </w:r>
    </w:p>
    <w:p w14:paraId="3FF562C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&lt;InfoPayZHKU_IdZHKU xmlns=""&gt;03АА000034-23&lt;/InfoPayZHKU_IdZHKU&gt;</w:t>
      </w:r>
    </w:p>
    <w:p w14:paraId="43DC1FB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&lt;ZR_SgngDtPOD xmlns=""&gt;2021-06-03&lt;/ZR_SgngDtPOD&gt;</w:t>
      </w:r>
    </w:p>
    <w:p w14:paraId="6EB9E07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&lt;ZROSN xmlns=""&gt;</w:t>
      </w:r>
    </w:p>
    <w:p w14:paraId="6BE4EA0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&lt;ZROSN_ITEM xmlns=""&gt;</w:t>
      </w:r>
    </w:p>
    <w:p w14:paraId="47F3F72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&lt;MSC_DcBs xmlns=""&gt;</w:t>
      </w:r>
    </w:p>
    <w:p w14:paraId="755E35F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&lt;BsPySgn code="1" value="Основание платежа"/&gt;</w:t>
      </w:r>
    </w:p>
    <w:p w14:paraId="3A491C8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&lt;Knd&gt;Договор&lt;/Knd&gt;</w:t>
      </w:r>
    </w:p>
    <w:p w14:paraId="21D8FC3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&lt;DcNmbr&gt;15-2021&lt;/DcNmbr&gt;</w:t>
      </w:r>
    </w:p>
    <w:p w14:paraId="1C502C7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&lt;DctDt&gt;2021-06-03&lt;/DctDt&gt;</w:t>
      </w:r>
    </w:p>
    <w:p w14:paraId="4AC66EF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&lt;/MSC_DcBs&gt;</w:t>
      </w:r>
    </w:p>
    <w:p w14:paraId="399C4AE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&lt;/ZROSN_ITEM&gt;</w:t>
      </w:r>
    </w:p>
    <w:p w14:paraId="3BF36BB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&lt;/ZROSN&gt;</w:t>
      </w:r>
    </w:p>
    <w:p w14:paraId="0477605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&lt;ZRST xmlns=""&gt;</w:t>
      </w:r>
    </w:p>
    <w:p w14:paraId="72B7807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&lt;ZRST_ITEM xmlns=""&gt;</w:t>
      </w:r>
    </w:p>
    <w:p w14:paraId="04C7F1B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MSC</w:t>
      </w:r>
      <w:r w:rsidRPr="00264D5D">
        <w:rPr>
          <w:rFonts w:cs="Courier New"/>
          <w:sz w:val="20"/>
          <w:lang w:val="ru-RU"/>
        </w:rPr>
        <w:t>_</w:t>
      </w:r>
      <w:r w:rsidRPr="00264D5D">
        <w:rPr>
          <w:rFonts w:cs="Courier New"/>
          <w:sz w:val="20"/>
        </w:rPr>
        <w:t>FndsSrc</w:t>
      </w:r>
      <w:r w:rsidRPr="00264D5D">
        <w:rPr>
          <w:rFonts w:cs="Courier New"/>
          <w:sz w:val="20"/>
          <w:lang w:val="ru-RU"/>
        </w:rPr>
        <w:t xml:space="preserve"> </w:t>
      </w:r>
      <w:r w:rsidRPr="00264D5D">
        <w:rPr>
          <w:rFonts w:cs="Courier New"/>
          <w:sz w:val="20"/>
        </w:rPr>
        <w:t>xmlns</w:t>
      </w:r>
      <w:r w:rsidRPr="00264D5D">
        <w:rPr>
          <w:rFonts w:cs="Courier New"/>
          <w:sz w:val="20"/>
          <w:lang w:val="ru-RU"/>
        </w:rPr>
        <w:t xml:space="preserve">="" </w:t>
      </w:r>
      <w:r w:rsidRPr="00264D5D">
        <w:rPr>
          <w:rFonts w:cs="Courier New"/>
          <w:sz w:val="20"/>
        </w:rPr>
        <w:t>code</w:t>
      </w:r>
      <w:r w:rsidRPr="00264D5D">
        <w:rPr>
          <w:rFonts w:cs="Courier New"/>
          <w:sz w:val="20"/>
          <w:lang w:val="ru-RU"/>
        </w:rPr>
        <w:t xml:space="preserve">="5" </w:t>
      </w:r>
      <w:r w:rsidRPr="00264D5D">
        <w:rPr>
          <w:rFonts w:cs="Courier New"/>
          <w:sz w:val="20"/>
        </w:rPr>
        <w:t>value</w:t>
      </w:r>
      <w:r w:rsidRPr="00264D5D">
        <w:rPr>
          <w:rFonts w:cs="Courier New"/>
          <w:sz w:val="20"/>
          <w:lang w:val="ru-RU"/>
        </w:rPr>
        <w:t>="Средства, поступающие во временное распоряжение казенных учреждений"/&gt;</w:t>
      </w:r>
    </w:p>
    <w:p w14:paraId="0590612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MSC</w:t>
      </w:r>
      <w:r w:rsidRPr="00264D5D">
        <w:rPr>
          <w:rFonts w:cs="Courier New"/>
          <w:sz w:val="20"/>
          <w:lang w:val="ru-RU"/>
        </w:rPr>
        <w:t>_</w:t>
      </w:r>
      <w:r w:rsidRPr="00264D5D">
        <w:rPr>
          <w:rFonts w:cs="Courier New"/>
          <w:sz w:val="20"/>
        </w:rPr>
        <w:t>KBKPyr</w:t>
      </w:r>
      <w:r w:rsidRPr="00264D5D">
        <w:rPr>
          <w:rFonts w:cs="Courier New"/>
          <w:sz w:val="20"/>
          <w:lang w:val="ru-RU"/>
        </w:rPr>
        <w:t xml:space="preserve"> </w:t>
      </w:r>
      <w:r w:rsidRPr="00264D5D">
        <w:rPr>
          <w:rFonts w:cs="Courier New"/>
          <w:sz w:val="20"/>
        </w:rPr>
        <w:t>xmlns</w:t>
      </w:r>
      <w:r w:rsidRPr="00264D5D">
        <w:rPr>
          <w:rFonts w:cs="Courier New"/>
          <w:sz w:val="20"/>
          <w:lang w:val="ru-RU"/>
        </w:rPr>
        <w:t>=""&gt;</w:t>
      </w:r>
    </w:p>
    <w:p w14:paraId="0EEB078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BKTp</w:t>
      </w:r>
      <w:r w:rsidRPr="00264D5D">
        <w:rPr>
          <w:rFonts w:cs="Courier New"/>
          <w:sz w:val="20"/>
          <w:lang w:val="ru-RU"/>
        </w:rPr>
        <w:t xml:space="preserve"> </w:t>
      </w:r>
      <w:r w:rsidRPr="00264D5D">
        <w:rPr>
          <w:rFonts w:cs="Courier New"/>
          <w:sz w:val="20"/>
        </w:rPr>
        <w:t>value</w:t>
      </w:r>
      <w:r w:rsidRPr="00264D5D">
        <w:rPr>
          <w:rFonts w:cs="Courier New"/>
          <w:sz w:val="20"/>
          <w:lang w:val="ru-RU"/>
        </w:rPr>
        <w:t xml:space="preserve">="Расходы" </w:t>
      </w:r>
      <w:r w:rsidRPr="00264D5D">
        <w:rPr>
          <w:rFonts w:cs="Courier New"/>
          <w:sz w:val="20"/>
        </w:rPr>
        <w:t>code</w:t>
      </w:r>
      <w:r w:rsidRPr="00264D5D">
        <w:rPr>
          <w:rFonts w:cs="Courier New"/>
          <w:sz w:val="20"/>
          <w:lang w:val="ru-RU"/>
        </w:rPr>
        <w:t>="10"/&gt;</w:t>
      </w:r>
    </w:p>
    <w:p w14:paraId="698DA0E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MSC</w:t>
      </w:r>
      <w:r w:rsidRPr="00264D5D">
        <w:rPr>
          <w:rFonts w:cs="Courier New"/>
          <w:sz w:val="20"/>
          <w:lang w:val="ru-RU"/>
        </w:rPr>
        <w:t>_</w:t>
      </w:r>
      <w:r w:rsidRPr="00264D5D">
        <w:rPr>
          <w:rFonts w:cs="Courier New"/>
          <w:sz w:val="20"/>
        </w:rPr>
        <w:t>KBKPyr</w:t>
      </w:r>
      <w:r w:rsidRPr="00264D5D">
        <w:rPr>
          <w:rFonts w:cs="Courier New"/>
          <w:sz w:val="20"/>
          <w:lang w:val="ru-RU"/>
        </w:rPr>
        <w:t>&gt;</w:t>
      </w:r>
    </w:p>
    <w:p w14:paraId="7961F72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AmntCrrPrpsl</w:t>
      </w:r>
      <w:r w:rsidRPr="00264D5D">
        <w:rPr>
          <w:rFonts w:cs="Courier New"/>
          <w:sz w:val="20"/>
          <w:lang w:val="ru-RU"/>
        </w:rPr>
        <w:t xml:space="preserve"> </w:t>
      </w:r>
      <w:r w:rsidRPr="00264D5D">
        <w:rPr>
          <w:rFonts w:cs="Courier New"/>
          <w:sz w:val="20"/>
        </w:rPr>
        <w:t>xmlns</w:t>
      </w:r>
      <w:r w:rsidRPr="00264D5D">
        <w:rPr>
          <w:rFonts w:cs="Courier New"/>
          <w:sz w:val="20"/>
          <w:lang w:val="ru-RU"/>
        </w:rPr>
        <w:t>=""&gt;125.33&lt;/</w:t>
      </w:r>
      <w:r w:rsidRPr="00264D5D">
        <w:rPr>
          <w:rFonts w:cs="Courier New"/>
          <w:sz w:val="20"/>
        </w:rPr>
        <w:t>AmntCrrPrpsl</w:t>
      </w:r>
      <w:r w:rsidRPr="00264D5D">
        <w:rPr>
          <w:rFonts w:cs="Courier New"/>
          <w:sz w:val="20"/>
          <w:lang w:val="ru-RU"/>
        </w:rPr>
        <w:t>&gt;</w:t>
      </w:r>
    </w:p>
    <w:p w14:paraId="3E54B44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&lt;/ZRST_ITEM&gt;</w:t>
      </w:r>
    </w:p>
    <w:p w14:paraId="5295829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&lt;/ZRST&gt;</w:t>
      </w:r>
    </w:p>
    <w:p w14:paraId="4CBF3FB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&lt;TtlPrt_SECRECY xmlns=""&gt;0&lt;/TtlPrt_SECRECY&gt;</w:t>
      </w:r>
    </w:p>
    <w:p w14:paraId="5FFCCC3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&lt;ZR_MSC_Infrmtn xmlns=""&gt;</w:t>
      </w:r>
    </w:p>
    <w:p w14:paraId="0033275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&lt;GUID&gt;a2e4e9b1-753d-4c55-d382-a46db4ac956a&lt;/GUID&gt;</w:t>
      </w:r>
    </w:p>
    <w:p w14:paraId="4577C68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&lt;CrtnDt&gt;2021-06-03&lt;/CrtnDt&gt;</w:t>
      </w:r>
    </w:p>
    <w:p w14:paraId="1F09330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&lt;/ZR_MSC_Infrmtn&gt;</w:t>
      </w:r>
    </w:p>
    <w:p w14:paraId="3EF70B3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 xmlns="http://www.w3.org/2000/09/xmldsig#" Id="Id-sig-d373256b5942f08343bc8d034aadd7158f61"&gt;</w:t>
      </w:r>
    </w:p>
    <w:p w14:paraId="267683B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2BA6EC0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&lt;CanonicalizationMethod Algorithm="http://www.w3.org/2001/10/xml-exc-c14n#"/&gt;</w:t>
      </w:r>
    </w:p>
    <w:p w14:paraId="3DBA84E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&lt;SignatureMethod Algorithm="http://www.w3.org/2001/04/xmldsig-more#gostr34102001-gostr3411"/&gt;</w:t>
      </w:r>
    </w:p>
    <w:p w14:paraId="3788F45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&lt;Reference URI="Id-xadesdata-eaf97d94646411e9b78d005056834f23" Id="Id-dataref-dfd24e85a456a1a342553e99c27fd5695cff"&gt;</w:t>
      </w:r>
    </w:p>
    <w:p w14:paraId="1C11D14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72970C7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Algorithm="http://www.w3.org/2000/09/xmldsig#enveloped-signature"/&gt;</w:t>
      </w:r>
    </w:p>
    <w:p w14:paraId="27C6832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05A3540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65DC567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&lt;DigestValue&gt;tuuoIThRLrpmXrL14i8lPFRl0pwMCiUsBbH5BypOA0I=&lt;/DigestValue&gt;</w:t>
      </w:r>
    </w:p>
    <w:p w14:paraId="50EE8BC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6A74CB4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&lt;Reference Type="http://www.w3.org/TR/2002/REC-xmldsig-core-20020212/xmldsig-core-schema.xsd#X509Data" URI="#Id-keyinfo-3dfe71fe8d5a7f7591dd337029c400ccf286" Id="Id-keyinforef-9674835ee89ca1067673b6fbb04db381a2a6"&gt;</w:t>
      </w:r>
    </w:p>
    <w:p w14:paraId="1DA80E6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533E7A6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1EEAEFE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3603328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33B5962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&lt;DigestValue&gt;fIKSx5SIme2CRgDvDzflubM+Qqh4IkAWCXPpzXWD/AQ=&lt;/DigestValue&gt;</w:t>
      </w:r>
    </w:p>
    <w:p w14:paraId="584DD90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3D8B448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&lt;Reference URI="#Id-sp-c353e147090ff61f2f90dcd64635bcf70055" Id="Id-ref-dbee882997a09b88ec14dafcd7da585e2467"&gt;</w:t>
      </w:r>
    </w:p>
    <w:p w14:paraId="22D17D6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59C4003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4F4992E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5496707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2A65E51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&lt;DigestValue&gt;ffi2NrwgQYkFPoTAefkLKH2wMBSNjwN3zzDBV+mhwQg=&lt;/DigestValue&gt;</w:t>
      </w:r>
    </w:p>
    <w:p w14:paraId="22137FD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611C7A6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1C90A1B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&lt;SignatureValue&gt;zolZ5HI+TT6shtnB1YnAZeMq9mcqWLWAZlSR+MuKJXXN2NRZS/zapvyY4rW+I5gM</w:t>
      </w:r>
    </w:p>
    <w:p w14:paraId="7398398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py5+uThVv9x8n5TApPOJCg==&lt;/SignatureValue&gt;</w:t>
      </w:r>
    </w:p>
    <w:p w14:paraId="31E3C04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&lt;KeyInfo Id="Id-keyinfo-3dfe71fe8d5a7f7591dd337029c400ccf286"&gt;</w:t>
      </w:r>
    </w:p>
    <w:p w14:paraId="0954C56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&lt;X509Data&gt;</w:t>
      </w:r>
    </w:p>
    <w:p w14:paraId="1425D73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&lt;X509Certificate&gt;MIIHbzCCBx6gAwIBAgIUCw+9bFynffs/n08sYLaljBr5oXAwCAYGKoUDAgIDMIIB</w:t>
      </w:r>
    </w:p>
    <w:p w14:paraId="0ABD0CF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OTEgMB4GCSqGSIb3DQEJARYRdWNfZmtAcm9za2F6bmEucnUxGTAXBgNVBAgMENCz</w:t>
      </w:r>
    </w:p>
    <w:p w14:paraId="11A6AF2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LiDQnNC+0YHQutCy0LAxGjAYBggqhQMDgQMBARIMMDA3NzEwNTY4NzYwMRgwFgYF</w:t>
      </w:r>
    </w:p>
    <w:p w14:paraId="429B369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KoUDZAESDTEwNDc3OTcwMTk4MzAxLDAqBgNVBAkMI9GD0LvQuNGG0LAg0JjQu9GM</w:t>
      </w:r>
    </w:p>
    <w:p w14:paraId="57898E7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0LjQvdC60LAsINC00L7QvCA3MRUwEwYDVQQHDAzQnNC+0YHQutCy0LAxCzAJBgNV</w:t>
      </w:r>
    </w:p>
    <w:p w14:paraId="532AC4F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BAYTAlJVMTgwNgYDVQQKDC/QpNC10LTQtdGA0LDQu9GM0L3QvtC1INC60LDQt9C9</w:t>
      </w:r>
    </w:p>
    <w:p w14:paraId="2AD2325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0LDRh9C10LnRgdGC0LLQvjE4MDYGA1UEAwwv0KTQtdC00LXRgNCw0LvRjNC90L7Q</w:t>
      </w:r>
    </w:p>
    <w:p w14:paraId="5CE2C0F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tSDQutCw0LfQvdCw0YfQtdC50YHRgtCy0L4wHhcNMTgwNDA1MTMzNDQ3WhcNMTkw</w:t>
      </w:r>
    </w:p>
    <w:p w14:paraId="0211EA3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NzA1MTMzNDQ3WjCCAS0xGjAYBggqhQMDgQMBARIMMDA3NzEwNTY4NzYwMRgwFgYF</w:t>
      </w:r>
    </w:p>
    <w:p w14:paraId="0453576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KoUDZAESDTEwNDc3OTcwMTk4MzAxIzAhBgNVBAkMGtGD0LsuINCY0LvRjNC40L3Q</w:t>
      </w:r>
    </w:p>
    <w:p w14:paraId="0C4D34A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utCwLCDQtC43MR4wHAYJKoZIhvcNAQkBFg83NzdAcm9za2F6bmEucnUxCzAJBgNV</w:t>
      </w:r>
    </w:p>
    <w:p w14:paraId="08E9F5E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BAYTAlJVMRgwFgYDVQQIDA/Qsy7QnNC+0YHQutCy0LAxFTATBgNVBAcMDNCc0L7R</w:t>
      </w:r>
    </w:p>
    <w:p w14:paraId="128A6FB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gdC60LLQsDE4MDYGA1UECgwv0KTQtdC00LXRgNCw0LvRjNC90L7QtSDQutCw0LfQ</w:t>
      </w:r>
    </w:p>
    <w:p w14:paraId="63EB99A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vdCw0YfQtdC50YHRgtCy0L4xODA2BgNVBAMML9Ck0LXQtNC10YDQsNC70YzQvdC+</w:t>
      </w:r>
    </w:p>
    <w:p w14:paraId="60728DB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0LUg0LrQsNC30L3QsNGH0LXQudGB0YLQstC+MGMwHAYGKoUDAgITMBIGByqFAwIC</w:t>
      </w:r>
    </w:p>
    <w:p w14:paraId="25B4B41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IwEGByqFAwICHgEDQwAEQDmzpZ5HcFrSdwi3/h6QJ/jU0i6sTgtJqrYL/Tr+gxBg</w:t>
      </w:r>
    </w:p>
    <w:p w14:paraId="206E098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Ud3B/sLCyhk3sR3aCrZ0K4YlsFHVmbBhDYe62UsOcnOjggQCMIID/jAMBgNVHRMB</w:t>
      </w:r>
    </w:p>
    <w:p w14:paraId="386FA5A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Af8EAjAAMB0GA1UdIAQWMBQwCAYGKoUDZHEBMAgGBiqFA2RxAjA2BgUqhQNkbwQt</w:t>
      </w:r>
    </w:p>
    <w:p w14:paraId="2E33DBC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DCsi0JrRgNC40L/RgtC+0J/RgNC+IENTUCIgKNCy0LXRgNGB0LjRjyA0LjApMIIB</w:t>
      </w:r>
    </w:p>
    <w:p w14:paraId="16842E4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MQYFKoUDZHAEggEmMIIBIgxEItCa0YDQuNC/0YLQvtCf0YDQviBDU1AiICjQstC1</w:t>
      </w:r>
    </w:p>
    <w:p w14:paraId="67F0155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0YDRgdC40Y8gMy42KSAo0LjRgdC/0L7Qu9C90LXQvdC40LUgMikMaCLQn9GA0L7Q</w:t>
      </w:r>
    </w:p>
    <w:p w14:paraId="007053C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s9GA0LDQvNC80L3Qvi3QsNC/0L/QsNGA0LDRgtC90YvQuSDQutC+0LzQv9C70LXQ</w:t>
      </w:r>
    </w:p>
    <w:p w14:paraId="704A953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utGBICLQrtC90LjRgdC10YDRgi3Qk9Ce0KHQoiIuINCS0LXRgNGB0LjRjyAyLjEi</w:t>
      </w:r>
    </w:p>
    <w:p w14:paraId="784C3BD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DB/ihJYgMTQ5LzcvNi01Njkg0L7RgiAyMS4xMi4yMDE3DE/QodC10YDRgtC40YTQ</w:t>
      </w:r>
    </w:p>
    <w:p w14:paraId="1FA0CE6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uNC60LDRgiDRgdC+0L7RgtCy0LXRgtGB0YLQstC40Y8g4oSWINCh0KQvMTI4LTI4</w:t>
      </w:r>
    </w:p>
    <w:p w14:paraId="771BCFE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Nzgg0L7RgiAyMC4wNi4yMDE2MA4GA1UdDwEB/wQEAwID+DAdBgNVHSUEFjAUBggr</w:t>
      </w:r>
    </w:p>
    <w:p w14:paraId="010507B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BgEFBQcDAgYIKwYBBQUHAwMwKwYDVR0QBCQwIoAPMjAxODA0MDUxMzM0NDVagQ8y</w:t>
      </w:r>
    </w:p>
    <w:p w14:paraId="39052BE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MDE5MDcwNTEzMzQ0NVowggGFBgNVHSMEggF8MIIBeIAUFlWRplFYxIksa1Fb0oUZ</w:t>
      </w:r>
    </w:p>
    <w:p w14:paraId="1671260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CgFESCKhggFSpIIBTjCCAUoxHjAcBgkqhkiG9w0BCQEWD2RpdEBtaW5zdnlhei5y</w:t>
      </w:r>
    </w:p>
    <w:p w14:paraId="0DCC2D2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dTELMAkGA1UEBhMCUlUxHDAaBgNVBAgMEzc3INCzLiDQnNC+0YHQutCy0LAxFTAT</w:t>
      </w:r>
    </w:p>
    <w:p w14:paraId="6CEC6EB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BgNVBAcMDNCc0L7RgdC60LLQsDE/MD0GA1UECQw2MTI1Mzc1INCzLiDQnNC+0YHQ</w:t>
      </w:r>
    </w:p>
    <w:p w14:paraId="455FEB2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utCy0LAsINGD0LsuINCi0LLQtdGA0YHQutCw0Y8sINC0LiA3MSwwKgYDVQQKDCPQ</w:t>
      </w:r>
    </w:p>
    <w:p w14:paraId="0BCDD38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nNC40L3QutC+0LzRgdCy0Y/Qt9GMINCg0L7RgdGB0LjQuDEYMBYGBSqFA2QBEg0x</w:t>
      </w:r>
    </w:p>
    <w:p w14:paraId="72387BA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MDQ3NzAyMDI2NzAxMRowGAYIKoUDA4EDAQESDDAwNzcxMDQ3NDM3NTFBMD8GA1UE</w:t>
      </w:r>
    </w:p>
    <w:p w14:paraId="7BED2D9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Aww40JPQvtC70L7QstC90L7QuSDRg9C00L7RgdGC0L7QstC10YDRj9GO0YnQuNC5</w:t>
      </w:r>
    </w:p>
    <w:p w14:paraId="54FB6F1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INGG0LXQvdGC0YCCCjas1FUAAAAAAS8wXgYDVR0fBFcwVTApoCegJYYjaHR0cDov</w:t>
      </w:r>
    </w:p>
    <w:p w14:paraId="4CE1D93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L2NybC5yb3NrYXpuYS5ydS9jcmwvdWNmay5jcmwwKKAmoCSGImh0dHA6Ly9jcmwu</w:t>
      </w:r>
    </w:p>
    <w:p w14:paraId="0F55EEB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ZnNmay5sb2NhbC9jcmwvdWNmay5jcmwwHQYDVR0OBBYEFLkvJG7Rfzg6F53wdndv</w:t>
      </w:r>
    </w:p>
    <w:p w14:paraId="6EB49C8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NLDQ/i3nMAgGBiqFAwICAwNBAH1LMUVqEV/HRyesHDkB5eBUk6qDOJwnOBHil2Y1</w:t>
      </w:r>
    </w:p>
    <w:p w14:paraId="21E4E48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qNiUhWK7AqT93ErNsumpe8dDCswJmvps2nbQA7xwIJjzJjk=&lt;/X509Certificate&gt;</w:t>
      </w:r>
    </w:p>
    <w:p w14:paraId="651F8C4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&lt;/X509Data&gt;</w:t>
      </w:r>
    </w:p>
    <w:p w14:paraId="065517A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&lt;/KeyInfo&gt;</w:t>
      </w:r>
    </w:p>
    <w:p w14:paraId="0977FF7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5B901D6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 xmlns="http://uri.etsi.org/01903/v1.4.1#" Target="Id-sig-d373256b5942f08343bc8d034aadd7158f61"&gt;</w:t>
      </w:r>
    </w:p>
    <w:p w14:paraId="42C4892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 Id="Id-sp-c353e147090ff61f2f90dcd64635bcf70055"&gt;</w:t>
      </w:r>
    </w:p>
    <w:p w14:paraId="08CD7DE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&lt;SignedSignatureProperties Id="Id-ssp-7fd861712d758e7e3004067202146d020fd2"/&gt;</w:t>
      </w:r>
    </w:p>
    <w:p w14:paraId="4E62A76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&lt;/SignedProperties&gt;</w:t>
      </w:r>
    </w:p>
    <w:p w14:paraId="39BD20F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&lt;/QualifyingProperties&gt;</w:t>
      </w:r>
    </w:p>
    <w:p w14:paraId="27A76C7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5CF7FF6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&lt;/Signature&gt;&lt;/self:MSC_ApplCashFlowShrt&gt;</w:t>
      </w:r>
    </w:p>
    <w:p w14:paraId="310E99F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&lt;/typ:document&gt;</w:t>
      </w:r>
    </w:p>
    <w:p w14:paraId="183485E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&lt;/transferDocumentRequest&gt;</w:t>
      </w:r>
    </w:p>
    <w:p w14:paraId="3200954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&lt;/soapenv:Body&gt;</w:t>
      </w:r>
    </w:p>
    <w:p w14:paraId="5B6A9EE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pPr>
      <w:r w:rsidRPr="00264D5D">
        <w:rPr>
          <w:rFonts w:cs="Courier New"/>
          <w:sz w:val="20"/>
        </w:rPr>
        <w:t>&lt;/soapenv:Envelope&gt;</w:t>
      </w:r>
    </w:p>
    <w:p w14:paraId="245ED7EA" w14:textId="77777777" w:rsidR="00AD1F54" w:rsidRPr="00B13A12" w:rsidRDefault="00941227">
      <w:pPr>
        <w:pStyle w:val="22"/>
        <w:rPr>
          <w:highlight w:val="green"/>
          <w:lang w:val="ru-RU"/>
        </w:rPr>
      </w:pPr>
      <w:bookmarkStart w:id="1036" w:name="_Ref46776794"/>
      <w:bookmarkStart w:id="1037" w:name="_Toc219309537"/>
      <w:r w:rsidRPr="00B13A12">
        <w:rPr>
          <w:highlight w:val="green"/>
          <w:lang w:val="ru-RU"/>
        </w:rPr>
        <w:t>Описание документа «Сводная заявка на кассовый расход» (ф. 0531860)</w:t>
      </w:r>
      <w:bookmarkEnd w:id="1036"/>
      <w:bookmarkEnd w:id="1037"/>
    </w:p>
    <w:p w14:paraId="658DF73C" w14:textId="77777777" w:rsidR="00AD1F54" w:rsidRPr="00B13A12" w:rsidRDefault="00941227">
      <w:pPr>
        <w:pStyle w:val="31"/>
        <w:rPr>
          <w:highlight w:val="green"/>
        </w:rPr>
      </w:pPr>
      <w:r w:rsidRPr="00B13A12">
        <w:rPr>
          <w:highlight w:val="green"/>
        </w:rPr>
        <w:t xml:space="preserve"> </w:t>
      </w:r>
      <w:bookmarkStart w:id="1038" w:name="_Toc219309538"/>
      <w:r w:rsidRPr="00B13A12">
        <w:rPr>
          <w:highlight w:val="green"/>
        </w:rPr>
        <w:t>Назначение и маршрут документа</w:t>
      </w:r>
      <w:bookmarkEnd w:id="1038"/>
    </w:p>
    <w:p w14:paraId="1252A0BA" w14:textId="77777777" w:rsidR="00AD1F54" w:rsidRPr="00264D5D" w:rsidRDefault="00941227">
      <w:pPr>
        <w:pStyle w:val="ASFKNormal"/>
        <w:widowControl w:val="0"/>
        <w:spacing w:before="60" w:after="120"/>
        <w:contextualSpacing w:val="0"/>
        <w:jc w:val="both"/>
        <w:rPr>
          <w:sz w:val="24"/>
          <w:szCs w:val="24"/>
        </w:rPr>
      </w:pPr>
      <w:r w:rsidRPr="00264D5D">
        <w:rPr>
          <w:rFonts w:eastAsia="Calibri"/>
          <w:sz w:val="24"/>
        </w:rPr>
        <w:t>Документ «</w:t>
      </w:r>
      <w:r w:rsidRPr="00264D5D">
        <w:rPr>
          <w:rFonts w:eastAsia="Calibri"/>
          <w:sz w:val="24"/>
          <w:szCs w:val="24"/>
        </w:rPr>
        <w:t>Сводная заявка на кассовый расход» (ф. 0531860) предоставляется ПБС ФБ в ТОФК</w:t>
      </w:r>
      <w:r w:rsidRPr="00264D5D">
        <w:rPr>
          <w:rFonts w:eastAsia="Calibri"/>
          <w:sz w:val="24"/>
        </w:rPr>
        <w:t xml:space="preserve"> по месту обслуживания</w:t>
      </w:r>
      <w:r w:rsidRPr="00264D5D">
        <w:rPr>
          <w:rFonts w:eastAsia="Calibri"/>
        </w:rPr>
        <w:t>.</w:t>
      </w:r>
    </w:p>
    <w:p w14:paraId="06ECB094" w14:textId="05E47786" w:rsidR="00AD1F54" w:rsidRPr="00B13A12" w:rsidRDefault="001E5517">
      <w:pPr>
        <w:pStyle w:val="GOSTNameTable"/>
        <w:keepNext w:val="0"/>
        <w:widowControl w:val="0"/>
        <w:numPr>
          <w:ilvl w:val="0"/>
          <w:numId w:val="2"/>
        </w:numPr>
        <w:ind w:left="425" w:hanging="357"/>
        <w:rPr>
          <w:highlight w:val="green"/>
        </w:rPr>
      </w:pPr>
      <w:r w:rsidRPr="00B13A12">
        <w:rPr>
          <w:noProof/>
          <w:highlight w:val="green"/>
        </w:rPr>
        <w:fldChar w:fldCharType="begin"/>
      </w:r>
      <w:r w:rsidRPr="00B13A12">
        <w:rPr>
          <w:noProof/>
          <w:highlight w:val="green"/>
        </w:rPr>
        <w:instrText xml:space="preserve"> SEQ Таблица \* ARABIC </w:instrText>
      </w:r>
      <w:r w:rsidRPr="00B13A12">
        <w:rPr>
          <w:noProof/>
          <w:highlight w:val="green"/>
        </w:rPr>
        <w:fldChar w:fldCharType="separate"/>
      </w:r>
      <w:bookmarkStart w:id="1039" w:name="_Toc219309126"/>
      <w:r w:rsidR="008D797C">
        <w:rPr>
          <w:noProof/>
          <w:highlight w:val="green"/>
        </w:rPr>
        <w:t>96</w:t>
      </w:r>
      <w:r w:rsidRPr="00B13A12">
        <w:rPr>
          <w:noProof/>
          <w:highlight w:val="green"/>
        </w:rPr>
        <w:fldChar w:fldCharType="end"/>
      </w:r>
      <w:r w:rsidR="00941227" w:rsidRPr="00B13A12">
        <w:rPr>
          <w:rFonts w:eastAsia="Calibri"/>
          <w:szCs w:val="24"/>
          <w:highlight w:val="green"/>
        </w:rPr>
        <w:t xml:space="preserve"> – </w:t>
      </w:r>
      <w:r w:rsidR="00941227" w:rsidRPr="00B13A12">
        <w:rPr>
          <w:highlight w:val="green"/>
        </w:rPr>
        <w:t>Маршрут документа «</w:t>
      </w:r>
      <w:r w:rsidR="00941227" w:rsidRPr="00B13A12">
        <w:rPr>
          <w:rFonts w:eastAsia="Calibri"/>
          <w:highlight w:val="green"/>
        </w:rPr>
        <w:t>Сводная заявка на кассовый расход» (ф. 0531860)</w:t>
      </w:r>
      <w:bookmarkEnd w:id="1039"/>
    </w:p>
    <w:tbl>
      <w:tblPr>
        <w:tblStyle w:val="GOSTTable"/>
        <w:tblW w:w="9634" w:type="dxa"/>
        <w:tblLayout w:type="fixed"/>
        <w:tblLook w:val="01E0" w:firstRow="1" w:lastRow="1" w:firstColumn="1" w:lastColumn="1" w:noHBand="0" w:noVBand="0"/>
      </w:tblPr>
      <w:tblGrid>
        <w:gridCol w:w="2551"/>
        <w:gridCol w:w="2551"/>
        <w:gridCol w:w="4532"/>
      </w:tblGrid>
      <w:tr w:rsidR="00AD1F54" w:rsidRPr="00264D5D" w14:paraId="30608C52" w14:textId="77777777" w:rsidTr="00AD1F54">
        <w:trPr>
          <w:cnfStyle w:val="100000000000" w:firstRow="1" w:lastRow="0" w:firstColumn="0" w:lastColumn="0" w:oddVBand="0" w:evenVBand="0" w:oddHBand="0" w:evenHBand="0" w:firstRowFirstColumn="0" w:firstRowLastColumn="0" w:lastRowFirstColumn="0" w:lastRowLastColumn="0"/>
          <w:trHeight w:val="96"/>
          <w:tblHeader/>
        </w:trPr>
        <w:tc>
          <w:tcPr>
            <w:tcW w:w="2551" w:type="dxa"/>
          </w:tcPr>
          <w:p w14:paraId="413EC94D" w14:textId="77777777" w:rsidR="00AD1F54" w:rsidRPr="00264D5D" w:rsidRDefault="00941227">
            <w:pPr>
              <w:pStyle w:val="ASFKTableHead"/>
            </w:pPr>
            <w:r w:rsidRPr="00264D5D">
              <w:t>Отправитель</w:t>
            </w:r>
          </w:p>
        </w:tc>
        <w:tc>
          <w:tcPr>
            <w:tcW w:w="2551" w:type="dxa"/>
          </w:tcPr>
          <w:p w14:paraId="20BD56E8" w14:textId="77777777" w:rsidR="00AD1F54" w:rsidRPr="00264D5D" w:rsidRDefault="00941227">
            <w:pPr>
              <w:pStyle w:val="ASFKTableHead"/>
            </w:pPr>
            <w:r w:rsidRPr="00264D5D">
              <w:t>Получатель</w:t>
            </w:r>
          </w:p>
        </w:tc>
        <w:tc>
          <w:tcPr>
            <w:tcW w:w="4532" w:type="dxa"/>
          </w:tcPr>
          <w:p w14:paraId="1ABBC425" w14:textId="77777777" w:rsidR="00AD1F54" w:rsidRPr="00264D5D" w:rsidRDefault="00941227">
            <w:pPr>
              <w:pStyle w:val="ASFKTableHead"/>
            </w:pPr>
            <w:r w:rsidRPr="00264D5D">
              <w:t>Примечание</w:t>
            </w:r>
          </w:p>
        </w:tc>
      </w:tr>
      <w:tr w:rsidR="00AD1F54" w:rsidRPr="00264D5D" w14:paraId="0F2BF6A6" w14:textId="77777777" w:rsidTr="00AD1F54">
        <w:trPr>
          <w:cnfStyle w:val="000000100000" w:firstRow="0" w:lastRow="0" w:firstColumn="0" w:lastColumn="0" w:oddVBand="0" w:evenVBand="0" w:oddHBand="1" w:evenHBand="0" w:firstRowFirstColumn="0" w:firstRowLastColumn="0" w:lastRowFirstColumn="0" w:lastRowLastColumn="0"/>
        </w:trPr>
        <w:tc>
          <w:tcPr>
            <w:tcW w:w="2551" w:type="dxa"/>
          </w:tcPr>
          <w:p w14:paraId="02F3E735" w14:textId="77777777" w:rsidR="00AD1F54" w:rsidRPr="00264D5D" w:rsidRDefault="00941227">
            <w:pPr>
              <w:pStyle w:val="GOSTTablenorm"/>
              <w:widowControl w:val="0"/>
              <w:rPr>
                <w:szCs w:val="22"/>
              </w:rPr>
            </w:pPr>
            <w:r w:rsidRPr="00264D5D">
              <w:rPr>
                <w:szCs w:val="22"/>
              </w:rPr>
              <w:t>ПБС (ПФХД)</w:t>
            </w:r>
          </w:p>
        </w:tc>
        <w:tc>
          <w:tcPr>
            <w:tcW w:w="2551" w:type="dxa"/>
          </w:tcPr>
          <w:p w14:paraId="61F97F52" w14:textId="77777777" w:rsidR="00AD1F54" w:rsidRPr="00264D5D" w:rsidRDefault="00941227">
            <w:pPr>
              <w:pStyle w:val="GOSTTablenorm"/>
              <w:widowControl w:val="0"/>
              <w:rPr>
                <w:szCs w:val="22"/>
              </w:rPr>
            </w:pPr>
            <w:r w:rsidRPr="00264D5D">
              <w:rPr>
                <w:szCs w:val="22"/>
              </w:rPr>
              <w:t>ТОФК (ПУР ЭБ)</w:t>
            </w:r>
          </w:p>
        </w:tc>
        <w:tc>
          <w:tcPr>
            <w:tcW w:w="4532" w:type="dxa"/>
          </w:tcPr>
          <w:p w14:paraId="3B9646EE" w14:textId="77777777" w:rsidR="00AD1F54" w:rsidRPr="00264D5D" w:rsidRDefault="00AD1F54">
            <w:pPr>
              <w:pStyle w:val="ASFKTablenorm"/>
              <w:widowControl w:val="0"/>
              <w:rPr>
                <w:sz w:val="22"/>
              </w:rPr>
            </w:pPr>
          </w:p>
        </w:tc>
      </w:tr>
      <w:tr w:rsidR="00AD1F54" w:rsidRPr="00264D5D" w14:paraId="5A42E61D" w14:textId="77777777" w:rsidTr="00AD1F54">
        <w:trPr>
          <w:cnfStyle w:val="000000010000" w:firstRow="0" w:lastRow="0" w:firstColumn="0" w:lastColumn="0" w:oddVBand="0" w:evenVBand="0" w:oddHBand="0" w:evenHBand="1" w:firstRowFirstColumn="0" w:firstRowLastColumn="0" w:lastRowFirstColumn="0" w:lastRowLastColumn="0"/>
        </w:trPr>
        <w:tc>
          <w:tcPr>
            <w:tcW w:w="2551" w:type="dxa"/>
          </w:tcPr>
          <w:p w14:paraId="24A1FE25" w14:textId="77777777" w:rsidR="00AD1F54" w:rsidRPr="00B13A12" w:rsidRDefault="00B13A12">
            <w:pPr>
              <w:pStyle w:val="GOSTTablenorm"/>
              <w:widowControl w:val="0"/>
              <w:rPr>
                <w:szCs w:val="22"/>
                <w:highlight w:val="green"/>
              </w:rPr>
            </w:pPr>
            <w:r w:rsidRPr="00B13A12">
              <w:rPr>
                <w:szCs w:val="22"/>
                <w:highlight w:val="green"/>
              </w:rPr>
              <w:t>ПБС</w:t>
            </w:r>
          </w:p>
        </w:tc>
        <w:tc>
          <w:tcPr>
            <w:tcW w:w="2551" w:type="dxa"/>
          </w:tcPr>
          <w:p w14:paraId="759FA1FD" w14:textId="77777777" w:rsidR="00AD1F54" w:rsidRPr="00B13A12" w:rsidRDefault="00941227">
            <w:pPr>
              <w:pStyle w:val="GOSTTablenorm"/>
              <w:widowControl w:val="0"/>
              <w:rPr>
                <w:szCs w:val="22"/>
                <w:highlight w:val="green"/>
              </w:rPr>
            </w:pPr>
            <w:r w:rsidRPr="00B13A12">
              <w:rPr>
                <w:szCs w:val="22"/>
                <w:highlight w:val="green"/>
              </w:rPr>
              <w:t>ТОФК (ПУР ЭБ)</w:t>
            </w:r>
          </w:p>
        </w:tc>
        <w:tc>
          <w:tcPr>
            <w:tcW w:w="4532" w:type="dxa"/>
          </w:tcPr>
          <w:p w14:paraId="08164ADE" w14:textId="77777777" w:rsidR="00AD1F54" w:rsidRPr="00264D5D" w:rsidRDefault="00AD1F54">
            <w:pPr>
              <w:pStyle w:val="ASFKTablenorm"/>
              <w:widowControl w:val="0"/>
              <w:rPr>
                <w:sz w:val="22"/>
              </w:rPr>
            </w:pPr>
          </w:p>
        </w:tc>
      </w:tr>
    </w:tbl>
    <w:p w14:paraId="5382BA9B" w14:textId="77777777" w:rsidR="00AD1F54" w:rsidRPr="00264D5D" w:rsidRDefault="00941227">
      <w:pPr>
        <w:pStyle w:val="31"/>
      </w:pPr>
      <w:r w:rsidRPr="00264D5D">
        <w:t xml:space="preserve"> </w:t>
      </w:r>
      <w:bookmarkStart w:id="1040" w:name="_Toc219309539"/>
      <w:r w:rsidRPr="00264D5D">
        <w:t>Описание комплексного типа «tMSC_SmApplCshFlwTx»</w:t>
      </w:r>
      <w:bookmarkEnd w:id="1040"/>
    </w:p>
    <w:p w14:paraId="593D9E81" w14:textId="16974D36" w:rsidR="00AD1F54" w:rsidRPr="00264D5D" w:rsidRDefault="001E5517">
      <w:pPr>
        <w:pStyle w:val="GOSTNameTable"/>
        <w:keepNext w:val="0"/>
        <w:widowControl w:val="0"/>
        <w:numPr>
          <w:ilvl w:val="0"/>
          <w:numId w:val="2"/>
        </w:numPr>
        <w:ind w:left="425" w:hanging="357"/>
      </w:pPr>
      <w:r w:rsidRPr="00264D5D">
        <w:rPr>
          <w:noProof/>
        </w:rPr>
        <w:fldChar w:fldCharType="begin"/>
      </w:r>
      <w:r w:rsidRPr="00264D5D">
        <w:rPr>
          <w:noProof/>
        </w:rPr>
        <w:instrText xml:space="preserve"> SEQ Таблица \* ARABIC </w:instrText>
      </w:r>
      <w:r w:rsidRPr="00264D5D">
        <w:rPr>
          <w:noProof/>
        </w:rPr>
        <w:fldChar w:fldCharType="separate"/>
      </w:r>
      <w:bookmarkStart w:id="1041" w:name="_Toc219309127"/>
      <w:r w:rsidR="008D797C">
        <w:rPr>
          <w:noProof/>
        </w:rPr>
        <w:t>97</w:t>
      </w:r>
      <w:r w:rsidRPr="00264D5D">
        <w:rPr>
          <w:noProof/>
        </w:rPr>
        <w:fldChar w:fldCharType="end"/>
      </w:r>
      <w:r w:rsidR="00941227" w:rsidRPr="00264D5D">
        <w:rPr>
          <w:rFonts w:eastAsia="Calibri"/>
          <w:szCs w:val="24"/>
        </w:rPr>
        <w:t xml:space="preserve"> – </w:t>
      </w:r>
      <w:r w:rsidR="00941227" w:rsidRPr="00264D5D">
        <w:t>Описание комплексного типа «</w:t>
      </w:r>
      <w:r w:rsidR="00941227" w:rsidRPr="00264D5D">
        <w:rPr>
          <w:lang w:val="en-US"/>
        </w:rPr>
        <w:t>t</w:t>
      </w:r>
      <w:r w:rsidR="00941227" w:rsidRPr="00264D5D">
        <w:t>MSC_SmApplCshFlwTx»</w:t>
      </w:r>
      <w:bookmarkEnd w:id="1041"/>
    </w:p>
    <w:tbl>
      <w:tblPr>
        <w:tblStyle w:val="GOSTTable"/>
        <w:tblW w:w="5003" w:type="pct"/>
        <w:tblLayout w:type="fixed"/>
        <w:tblLook w:val="01E0" w:firstRow="1" w:lastRow="1" w:firstColumn="1" w:lastColumn="1" w:noHBand="0" w:noVBand="0"/>
      </w:tblPr>
      <w:tblGrid>
        <w:gridCol w:w="1704"/>
        <w:gridCol w:w="1704"/>
        <w:gridCol w:w="568"/>
        <w:gridCol w:w="1136"/>
        <w:gridCol w:w="568"/>
        <w:gridCol w:w="3970"/>
        <w:gridCol w:w="6"/>
      </w:tblGrid>
      <w:tr w:rsidR="00AD1F54" w:rsidRPr="00264D5D" w14:paraId="7305A270" w14:textId="77777777" w:rsidTr="00AD1F54">
        <w:trPr>
          <w:gridAfter w:val="1"/>
          <w:cnfStyle w:val="100000000000" w:firstRow="1" w:lastRow="0" w:firstColumn="0" w:lastColumn="0" w:oddVBand="0" w:evenVBand="0" w:oddHBand="0" w:evenHBand="0" w:firstRowFirstColumn="0" w:firstRowLastColumn="0" w:lastRowFirstColumn="0" w:lastRowLastColumn="0"/>
          <w:wAfter w:w="6" w:type="dxa"/>
          <w:tblHeader/>
        </w:trPr>
        <w:tc>
          <w:tcPr>
            <w:tcW w:w="1700" w:type="dxa"/>
          </w:tcPr>
          <w:p w14:paraId="2BF69EAB" w14:textId="77777777" w:rsidR="00AD1F54" w:rsidRPr="00264D5D" w:rsidRDefault="00941227">
            <w:pPr>
              <w:pStyle w:val="ASFKTableHead"/>
            </w:pPr>
            <w:r w:rsidRPr="00264D5D">
              <w:t>Наименование элемента</w:t>
            </w:r>
          </w:p>
        </w:tc>
        <w:tc>
          <w:tcPr>
            <w:tcW w:w="1700" w:type="dxa"/>
          </w:tcPr>
          <w:p w14:paraId="2F31DDDD" w14:textId="77777777" w:rsidR="00AD1F54" w:rsidRPr="00264D5D" w:rsidRDefault="00941227">
            <w:pPr>
              <w:pStyle w:val="ASFKTableHead"/>
            </w:pPr>
            <w:r w:rsidRPr="00264D5D">
              <w:t>Сокращенное наименование (код) элемента</w:t>
            </w:r>
          </w:p>
        </w:tc>
        <w:tc>
          <w:tcPr>
            <w:tcW w:w="567" w:type="dxa"/>
          </w:tcPr>
          <w:p w14:paraId="271935A9" w14:textId="77777777" w:rsidR="00AD1F54" w:rsidRPr="00264D5D" w:rsidRDefault="00941227">
            <w:pPr>
              <w:pStyle w:val="ASFKTableHead"/>
            </w:pPr>
            <w:r w:rsidRPr="00264D5D">
              <w:t>Тип</w:t>
            </w:r>
          </w:p>
        </w:tc>
        <w:tc>
          <w:tcPr>
            <w:tcW w:w="1133" w:type="dxa"/>
          </w:tcPr>
          <w:p w14:paraId="0D2C6E16" w14:textId="77777777" w:rsidR="00AD1F54" w:rsidRPr="00264D5D" w:rsidRDefault="00941227">
            <w:pPr>
              <w:pStyle w:val="ASFKTableHead"/>
            </w:pPr>
            <w:r w:rsidRPr="00264D5D">
              <w:t>Формат элемента</w:t>
            </w:r>
          </w:p>
        </w:tc>
        <w:tc>
          <w:tcPr>
            <w:tcW w:w="567" w:type="dxa"/>
          </w:tcPr>
          <w:p w14:paraId="7C8805B9" w14:textId="77777777" w:rsidR="00AD1F54" w:rsidRPr="00264D5D" w:rsidRDefault="00941227">
            <w:pPr>
              <w:pStyle w:val="ASFKTableHead"/>
            </w:pPr>
            <w:r w:rsidRPr="00264D5D">
              <w:t>Обязательность</w:t>
            </w:r>
          </w:p>
        </w:tc>
        <w:tc>
          <w:tcPr>
            <w:tcW w:w="3961" w:type="dxa"/>
          </w:tcPr>
          <w:p w14:paraId="09509235" w14:textId="77777777" w:rsidR="00AD1F54" w:rsidRPr="00264D5D" w:rsidRDefault="00941227">
            <w:pPr>
              <w:pStyle w:val="ASFKTableHead"/>
            </w:pPr>
            <w:r w:rsidRPr="00264D5D">
              <w:t>Дополнительная информация</w:t>
            </w:r>
          </w:p>
        </w:tc>
      </w:tr>
      <w:tr w:rsidR="00AD1F54" w:rsidRPr="00264D5D" w14:paraId="5594F62B" w14:textId="77777777" w:rsidTr="00AD1F54">
        <w:trPr>
          <w:gridAfter w:val="1"/>
          <w:cnfStyle w:val="000000100000" w:firstRow="0" w:lastRow="0" w:firstColumn="0" w:lastColumn="0" w:oddVBand="0" w:evenVBand="0" w:oddHBand="1" w:evenHBand="0" w:firstRowFirstColumn="0" w:firstRowLastColumn="0" w:lastRowFirstColumn="0" w:lastRowLastColumn="0"/>
          <w:wAfter w:w="6" w:type="dxa"/>
        </w:trPr>
        <w:tc>
          <w:tcPr>
            <w:tcW w:w="1700" w:type="dxa"/>
          </w:tcPr>
          <w:p w14:paraId="3A35A2D1" w14:textId="77777777" w:rsidR="00AD1F54" w:rsidRPr="00264D5D" w:rsidRDefault="00941227">
            <w:pPr>
              <w:pStyle w:val="GOSTTablenorm"/>
              <w:widowControl w:val="0"/>
            </w:pPr>
            <w:r w:rsidRPr="00264D5D">
              <w:t xml:space="preserve">Версия </w:t>
            </w:r>
            <w:r w:rsidRPr="00264D5D">
              <w:lastRenderedPageBreak/>
              <w:t>структуры формуляра</w:t>
            </w:r>
          </w:p>
        </w:tc>
        <w:tc>
          <w:tcPr>
            <w:tcW w:w="1700" w:type="dxa"/>
          </w:tcPr>
          <w:p w14:paraId="36B3F6C8" w14:textId="77777777" w:rsidR="00AD1F54" w:rsidRPr="00264D5D" w:rsidRDefault="00941227">
            <w:pPr>
              <w:pStyle w:val="GOSTTablenorm"/>
              <w:widowControl w:val="0"/>
            </w:pPr>
            <w:r w:rsidRPr="00264D5D">
              <w:lastRenderedPageBreak/>
              <w:t>versionID</w:t>
            </w:r>
          </w:p>
        </w:tc>
        <w:tc>
          <w:tcPr>
            <w:tcW w:w="567" w:type="dxa"/>
          </w:tcPr>
          <w:p w14:paraId="310F1BBE" w14:textId="77777777" w:rsidR="00AD1F54" w:rsidRPr="00264D5D" w:rsidRDefault="00941227">
            <w:pPr>
              <w:pStyle w:val="GOSTTablenorm"/>
              <w:widowControl w:val="0"/>
              <w:jc w:val="center"/>
            </w:pPr>
            <w:r w:rsidRPr="00264D5D">
              <w:rPr>
                <w:lang w:val="en-US"/>
              </w:rPr>
              <w:t>А</w:t>
            </w:r>
          </w:p>
        </w:tc>
        <w:tc>
          <w:tcPr>
            <w:tcW w:w="1133" w:type="dxa"/>
          </w:tcPr>
          <w:p w14:paraId="2BA80DA2" w14:textId="77777777" w:rsidR="00AD1F54" w:rsidRPr="00264D5D" w:rsidRDefault="00941227">
            <w:pPr>
              <w:pStyle w:val="GOSTTablenorm"/>
              <w:widowControl w:val="0"/>
            </w:pPr>
            <w:r w:rsidRPr="00264D5D">
              <w:t>-</w:t>
            </w:r>
          </w:p>
        </w:tc>
        <w:tc>
          <w:tcPr>
            <w:tcW w:w="567" w:type="dxa"/>
          </w:tcPr>
          <w:p w14:paraId="691FCFDF" w14:textId="77777777" w:rsidR="00AD1F54" w:rsidRPr="00264D5D" w:rsidRDefault="00941227">
            <w:pPr>
              <w:pStyle w:val="GOSTTablenorm"/>
              <w:widowControl w:val="0"/>
              <w:jc w:val="center"/>
            </w:pPr>
            <w:r w:rsidRPr="00264D5D">
              <w:t>О</w:t>
            </w:r>
          </w:p>
        </w:tc>
        <w:tc>
          <w:tcPr>
            <w:tcW w:w="3961" w:type="dxa"/>
          </w:tcPr>
          <w:p w14:paraId="04769DEB" w14:textId="68BDF495" w:rsidR="00AD1F54" w:rsidRPr="00264D5D" w:rsidRDefault="00941227">
            <w:pPr>
              <w:pStyle w:val="GOSTTablenorm"/>
              <w:widowControl w:val="0"/>
              <w:rPr>
                <w:b/>
                <w:bCs/>
              </w:rPr>
            </w:pPr>
            <w:r w:rsidRPr="00264D5D">
              <w:rPr>
                <w:szCs w:val="22"/>
                <w:lang w:eastAsia="en-US"/>
              </w:rPr>
              <w:t xml:space="preserve">Указывается значение версии, </w:t>
            </w:r>
            <w:r w:rsidRPr="00264D5D">
              <w:rPr>
                <w:szCs w:val="22"/>
                <w:lang w:eastAsia="en-US"/>
              </w:rPr>
              <w:lastRenderedPageBreak/>
              <w:t xml:space="preserve">соответствующее таблице </w:t>
            </w:r>
            <w:r w:rsidRPr="00264D5D">
              <w:rPr>
                <w:szCs w:val="22"/>
              </w:rPr>
              <w:fldChar w:fldCharType="begin"/>
            </w:r>
            <w:r w:rsidRPr="00264D5D">
              <w:rPr>
                <w:szCs w:val="22"/>
                <w:lang w:eastAsia="en-US"/>
              </w:rPr>
              <w:instrText xml:space="preserve"> REF _Ref19881821 \h </w:instrText>
            </w:r>
            <w:r w:rsidRPr="00264D5D">
              <w:rPr>
                <w:szCs w:val="22"/>
              </w:rPr>
              <w:instrText xml:space="preserve"> \* MERGEFORMAT </w:instrText>
            </w:r>
            <w:r w:rsidRPr="00264D5D">
              <w:rPr>
                <w:szCs w:val="22"/>
              </w:rPr>
            </w:r>
            <w:r w:rsidRPr="00264D5D">
              <w:rPr>
                <w:szCs w:val="22"/>
              </w:rPr>
              <w:fldChar w:fldCharType="separate"/>
            </w:r>
            <w:r w:rsidR="008D797C" w:rsidRPr="008D797C">
              <w:rPr>
                <w:rFonts w:eastAsia="Calibri"/>
                <w:szCs w:val="24"/>
              </w:rPr>
              <w:t>2</w:t>
            </w:r>
            <w:r w:rsidRPr="00264D5D">
              <w:rPr>
                <w:szCs w:val="22"/>
              </w:rPr>
              <w:fldChar w:fldCharType="end"/>
            </w:r>
          </w:p>
        </w:tc>
      </w:tr>
      <w:tr w:rsidR="00AD1F54" w:rsidRPr="00264D5D" w14:paraId="640715ED"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0" w:type="dxa"/>
          </w:tcPr>
          <w:p w14:paraId="4EB4B97F" w14:textId="77777777" w:rsidR="00AD1F54" w:rsidRPr="00264D5D" w:rsidRDefault="00941227">
            <w:pPr>
              <w:pStyle w:val="GOSTTablenorm"/>
              <w:widowControl w:val="0"/>
            </w:pPr>
            <w:r w:rsidRPr="00264D5D">
              <w:lastRenderedPageBreak/>
              <w:t>Номер заявки</w:t>
            </w:r>
          </w:p>
        </w:tc>
        <w:tc>
          <w:tcPr>
            <w:tcW w:w="1700" w:type="dxa"/>
          </w:tcPr>
          <w:p w14:paraId="063D09DE" w14:textId="77777777" w:rsidR="00AD1F54" w:rsidRPr="00264D5D" w:rsidRDefault="00941227">
            <w:pPr>
              <w:pStyle w:val="GOSTTablenorm"/>
              <w:widowControl w:val="0"/>
            </w:pPr>
            <w:r w:rsidRPr="00264D5D">
              <w:t>ZK_RqstNm</w:t>
            </w:r>
          </w:p>
        </w:tc>
        <w:tc>
          <w:tcPr>
            <w:tcW w:w="567" w:type="dxa"/>
          </w:tcPr>
          <w:p w14:paraId="6EB03D1F" w14:textId="77777777" w:rsidR="00AD1F54" w:rsidRPr="00264D5D" w:rsidRDefault="00941227">
            <w:pPr>
              <w:pStyle w:val="GOSTTablenorm"/>
              <w:widowControl w:val="0"/>
              <w:jc w:val="center"/>
            </w:pPr>
            <w:r w:rsidRPr="00264D5D">
              <w:t>П</w:t>
            </w:r>
          </w:p>
        </w:tc>
        <w:tc>
          <w:tcPr>
            <w:tcW w:w="1133" w:type="dxa"/>
          </w:tcPr>
          <w:p w14:paraId="7A25C64B" w14:textId="77777777" w:rsidR="00AD1F54" w:rsidRPr="00264D5D" w:rsidRDefault="00941227">
            <w:pPr>
              <w:pStyle w:val="GOSTTablenorm"/>
              <w:widowControl w:val="0"/>
            </w:pPr>
            <w:r w:rsidRPr="00264D5D">
              <w:t>Т(1-15)</w:t>
            </w:r>
          </w:p>
        </w:tc>
        <w:tc>
          <w:tcPr>
            <w:tcW w:w="567" w:type="dxa"/>
          </w:tcPr>
          <w:p w14:paraId="16352B27" w14:textId="77777777" w:rsidR="00AD1F54" w:rsidRPr="00264D5D" w:rsidRDefault="00941227">
            <w:pPr>
              <w:pStyle w:val="GOSTTablenorm"/>
              <w:widowControl w:val="0"/>
              <w:jc w:val="center"/>
            </w:pPr>
            <w:r w:rsidRPr="00264D5D">
              <w:t>О</w:t>
            </w:r>
          </w:p>
        </w:tc>
        <w:tc>
          <w:tcPr>
            <w:tcW w:w="3961" w:type="dxa"/>
          </w:tcPr>
          <w:p w14:paraId="10C52D0B" w14:textId="77777777" w:rsidR="00AD1F54" w:rsidRPr="00264D5D" w:rsidRDefault="00941227">
            <w:pPr>
              <w:pStyle w:val="GOSTTablenorm"/>
              <w:widowControl w:val="0"/>
            </w:pPr>
            <w:r w:rsidRPr="00264D5D">
              <w:t>Номер сводной заявки на кассовый расход.</w:t>
            </w:r>
          </w:p>
          <w:p w14:paraId="775DC979" w14:textId="77777777" w:rsidR="00AD1F54" w:rsidRPr="00264D5D" w:rsidRDefault="00941227">
            <w:pPr>
              <w:pStyle w:val="GOSTTablenorm"/>
              <w:widowControl w:val="0"/>
            </w:pPr>
            <w:r w:rsidRPr="00264D5D">
              <w:t>Нумерация должна быть уникальна в пределах даты, за которую сформирован документ, и единой для Сводной з</w:t>
            </w:r>
            <w:r w:rsidR="004A5918" w:rsidRPr="00264D5D">
              <w:t>аявки в разрезе каждого клиента</w:t>
            </w:r>
          </w:p>
        </w:tc>
      </w:tr>
      <w:tr w:rsidR="00AD1F54" w:rsidRPr="00264D5D" w14:paraId="741B6E9B" w14:textId="77777777" w:rsidTr="00AD1F54">
        <w:trPr>
          <w:gridAfter w:val="1"/>
          <w:cnfStyle w:val="000000100000" w:firstRow="0" w:lastRow="0" w:firstColumn="0" w:lastColumn="0" w:oddVBand="0" w:evenVBand="0" w:oddHBand="1" w:evenHBand="0" w:firstRowFirstColumn="0" w:firstRowLastColumn="0" w:lastRowFirstColumn="0" w:lastRowLastColumn="0"/>
          <w:wAfter w:w="6" w:type="dxa"/>
        </w:trPr>
        <w:tc>
          <w:tcPr>
            <w:tcW w:w="1700" w:type="dxa"/>
          </w:tcPr>
          <w:p w14:paraId="7EE0FF62" w14:textId="77777777" w:rsidR="00AD1F54" w:rsidRPr="00264D5D" w:rsidRDefault="00941227">
            <w:pPr>
              <w:pStyle w:val="GOSTTablenorm"/>
              <w:widowControl w:val="0"/>
            </w:pPr>
            <w:r w:rsidRPr="00264D5D">
              <w:rPr>
                <w:szCs w:val="22"/>
              </w:rPr>
              <w:t>Информация о клиенте</w:t>
            </w:r>
          </w:p>
        </w:tc>
        <w:tc>
          <w:tcPr>
            <w:tcW w:w="1700" w:type="dxa"/>
          </w:tcPr>
          <w:p w14:paraId="18B24E16" w14:textId="77777777" w:rsidR="00AD1F54" w:rsidRPr="00264D5D" w:rsidRDefault="00941227">
            <w:pPr>
              <w:pStyle w:val="GOSTTablenorm"/>
              <w:widowControl w:val="0"/>
            </w:pPr>
            <w:r w:rsidRPr="00264D5D">
              <w:t>ZK_MSC_Cstmr</w:t>
            </w:r>
          </w:p>
        </w:tc>
        <w:tc>
          <w:tcPr>
            <w:tcW w:w="567" w:type="dxa"/>
          </w:tcPr>
          <w:p w14:paraId="0B6A62A9" w14:textId="77777777" w:rsidR="00AD1F54" w:rsidRPr="00264D5D" w:rsidRDefault="00941227">
            <w:pPr>
              <w:pStyle w:val="GOSTTablenorm"/>
              <w:widowControl w:val="0"/>
              <w:jc w:val="center"/>
            </w:pPr>
            <w:r w:rsidRPr="00264D5D">
              <w:t>С</w:t>
            </w:r>
          </w:p>
        </w:tc>
        <w:tc>
          <w:tcPr>
            <w:tcW w:w="1133" w:type="dxa"/>
          </w:tcPr>
          <w:p w14:paraId="0B579782" w14:textId="77777777" w:rsidR="00AD1F54" w:rsidRPr="00264D5D" w:rsidRDefault="00941227">
            <w:pPr>
              <w:pStyle w:val="GOSTTablenorm"/>
              <w:widowControl w:val="0"/>
            </w:pPr>
            <w:r w:rsidRPr="00264D5D">
              <w:t>tMSC_Cstmr5</w:t>
            </w:r>
          </w:p>
        </w:tc>
        <w:tc>
          <w:tcPr>
            <w:tcW w:w="567" w:type="dxa"/>
          </w:tcPr>
          <w:p w14:paraId="3A5C0CDA" w14:textId="77777777" w:rsidR="00AD1F54" w:rsidRPr="00264D5D" w:rsidRDefault="00941227">
            <w:pPr>
              <w:pStyle w:val="GOSTTablenorm"/>
              <w:widowControl w:val="0"/>
              <w:jc w:val="center"/>
            </w:pPr>
            <w:r w:rsidRPr="00264D5D">
              <w:t>О</w:t>
            </w:r>
          </w:p>
        </w:tc>
        <w:tc>
          <w:tcPr>
            <w:tcW w:w="3961" w:type="dxa"/>
          </w:tcPr>
          <w:p w14:paraId="7865CAA1" w14:textId="754C9E75" w:rsidR="00AD1F54" w:rsidRPr="00264D5D" w:rsidRDefault="00941227">
            <w:pPr>
              <w:pStyle w:val="GOSTTablenorm"/>
              <w:widowControl w:val="0"/>
            </w:pPr>
            <w:r w:rsidRPr="00264D5D">
              <w:t xml:space="preserve">Состав элемента представлен в таблице </w:t>
            </w:r>
            <w:r w:rsidRPr="00264D5D">
              <w:rPr>
                <w:b/>
              </w:rPr>
              <w:fldChar w:fldCharType="begin"/>
            </w:r>
            <w:r w:rsidRPr="00264D5D">
              <w:rPr>
                <w:b/>
              </w:rPr>
              <w:instrText xml:space="preserve"> REF _Ref503521953 \h  \* MERGEFORMAT </w:instrText>
            </w:r>
            <w:r w:rsidRPr="00264D5D">
              <w:rPr>
                <w:b/>
              </w:rPr>
            </w:r>
            <w:r w:rsidRPr="00264D5D">
              <w:rPr>
                <w:b/>
              </w:rPr>
              <w:fldChar w:fldCharType="separate"/>
            </w:r>
            <w:r w:rsidR="008D797C" w:rsidRPr="008D797C">
              <w:rPr>
                <w:b/>
              </w:rPr>
              <w:t>49</w:t>
            </w:r>
            <w:r w:rsidRPr="00264D5D">
              <w:rPr>
                <w:b/>
              </w:rPr>
              <w:fldChar w:fldCharType="end"/>
            </w:r>
          </w:p>
        </w:tc>
      </w:tr>
      <w:tr w:rsidR="00AD1F54" w:rsidRPr="00264D5D" w14:paraId="3E188098"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0" w:type="dxa"/>
          </w:tcPr>
          <w:p w14:paraId="5B6F34B5" w14:textId="77777777" w:rsidR="00AD1F54" w:rsidRPr="00264D5D" w:rsidRDefault="00941227">
            <w:pPr>
              <w:pStyle w:val="GOSTTablenorm"/>
              <w:widowControl w:val="0"/>
              <w:rPr>
                <w:szCs w:val="22"/>
              </w:rPr>
            </w:pPr>
            <w:r w:rsidRPr="00264D5D">
              <w:t>Информация о ГРБС</w:t>
            </w:r>
          </w:p>
        </w:tc>
        <w:tc>
          <w:tcPr>
            <w:tcW w:w="1700" w:type="dxa"/>
          </w:tcPr>
          <w:p w14:paraId="5445DC18" w14:textId="77777777" w:rsidR="00AD1F54" w:rsidRPr="00264D5D" w:rsidRDefault="00941227">
            <w:pPr>
              <w:pStyle w:val="GOSTTablenorm"/>
              <w:widowControl w:val="0"/>
            </w:pPr>
            <w:r w:rsidRPr="00264D5D">
              <w:t>ZK_MSC_GRBS</w:t>
            </w:r>
          </w:p>
        </w:tc>
        <w:tc>
          <w:tcPr>
            <w:tcW w:w="567" w:type="dxa"/>
          </w:tcPr>
          <w:p w14:paraId="1719647B" w14:textId="77777777" w:rsidR="00AD1F54" w:rsidRPr="00264D5D" w:rsidRDefault="00941227">
            <w:pPr>
              <w:pStyle w:val="GOSTTablenorm"/>
              <w:widowControl w:val="0"/>
              <w:jc w:val="center"/>
            </w:pPr>
            <w:r w:rsidRPr="00264D5D">
              <w:t>С</w:t>
            </w:r>
          </w:p>
        </w:tc>
        <w:tc>
          <w:tcPr>
            <w:tcW w:w="1133" w:type="dxa"/>
          </w:tcPr>
          <w:p w14:paraId="44307B68" w14:textId="77777777" w:rsidR="00AD1F54" w:rsidRPr="00264D5D" w:rsidRDefault="00941227">
            <w:pPr>
              <w:pStyle w:val="GOSTTablenorm"/>
              <w:widowControl w:val="0"/>
            </w:pPr>
            <w:r w:rsidRPr="00264D5D">
              <w:t>tMSC_GRBS</w:t>
            </w:r>
          </w:p>
        </w:tc>
        <w:tc>
          <w:tcPr>
            <w:tcW w:w="567" w:type="dxa"/>
          </w:tcPr>
          <w:p w14:paraId="12FB0B84" w14:textId="77777777" w:rsidR="00AD1F54" w:rsidRPr="00264D5D" w:rsidRDefault="00941227">
            <w:pPr>
              <w:pStyle w:val="GOSTTablenorm"/>
              <w:widowControl w:val="0"/>
              <w:jc w:val="center"/>
            </w:pPr>
            <w:r w:rsidRPr="00264D5D">
              <w:t>О</w:t>
            </w:r>
          </w:p>
        </w:tc>
        <w:tc>
          <w:tcPr>
            <w:tcW w:w="3961" w:type="dxa"/>
          </w:tcPr>
          <w:p w14:paraId="43F58C69" w14:textId="30C74BC6" w:rsidR="00AD1F54" w:rsidRPr="00264D5D" w:rsidRDefault="00941227">
            <w:pPr>
              <w:pStyle w:val="GOSTTablenorm"/>
              <w:widowControl w:val="0"/>
            </w:pPr>
            <w:r w:rsidRPr="00264D5D">
              <w:t xml:space="preserve">Состав элемента представлен в таблице </w:t>
            </w:r>
            <w:r w:rsidRPr="00264D5D">
              <w:fldChar w:fldCharType="begin"/>
            </w:r>
            <w:r w:rsidRPr="00264D5D">
              <w:rPr>
                <w:b/>
                <w:szCs w:val="22"/>
              </w:rPr>
              <w:instrText xml:space="preserve"> REF _Ref52173920 \h </w:instrText>
            </w:r>
            <w:r w:rsidRPr="00264D5D">
              <w:instrText xml:space="preserve"> \* MERGEFORMAT </w:instrText>
            </w:r>
            <w:r w:rsidRPr="00264D5D">
              <w:fldChar w:fldCharType="separate"/>
            </w:r>
            <w:r w:rsidR="008D797C">
              <w:rPr>
                <w:rFonts w:eastAsia="Calibri"/>
                <w:szCs w:val="24"/>
              </w:rPr>
              <w:t>98</w:t>
            </w:r>
            <w:r w:rsidRPr="00264D5D">
              <w:fldChar w:fldCharType="end"/>
            </w:r>
          </w:p>
        </w:tc>
      </w:tr>
      <w:tr w:rsidR="00AD1F54" w:rsidRPr="00264D5D" w14:paraId="609BD6DD" w14:textId="77777777" w:rsidTr="00AD1F54">
        <w:trPr>
          <w:gridAfter w:val="1"/>
          <w:cnfStyle w:val="000000100000" w:firstRow="0" w:lastRow="0" w:firstColumn="0" w:lastColumn="0" w:oddVBand="0" w:evenVBand="0" w:oddHBand="1" w:evenHBand="0" w:firstRowFirstColumn="0" w:firstRowLastColumn="0" w:lastRowFirstColumn="0" w:lastRowLastColumn="0"/>
          <w:wAfter w:w="6" w:type="dxa"/>
        </w:trPr>
        <w:tc>
          <w:tcPr>
            <w:tcW w:w="1700" w:type="dxa"/>
          </w:tcPr>
          <w:p w14:paraId="4D0A2900" w14:textId="77777777" w:rsidR="00AD1F54" w:rsidRPr="00264D5D" w:rsidRDefault="00941227">
            <w:pPr>
              <w:pStyle w:val="GOSTTablenorm"/>
              <w:widowControl w:val="0"/>
            </w:pPr>
            <w:r w:rsidRPr="00264D5D">
              <w:t>Организация</w:t>
            </w:r>
          </w:p>
        </w:tc>
        <w:tc>
          <w:tcPr>
            <w:tcW w:w="1700" w:type="dxa"/>
          </w:tcPr>
          <w:p w14:paraId="19D3C06A" w14:textId="77777777" w:rsidR="00AD1F54" w:rsidRPr="00264D5D" w:rsidRDefault="00941227">
            <w:pPr>
              <w:pStyle w:val="GOSTTablenorm"/>
              <w:widowControl w:val="0"/>
            </w:pPr>
            <w:r w:rsidRPr="00264D5D">
              <w:t>ZK_MSC_Orgnztn</w:t>
            </w:r>
          </w:p>
        </w:tc>
        <w:tc>
          <w:tcPr>
            <w:tcW w:w="567" w:type="dxa"/>
          </w:tcPr>
          <w:p w14:paraId="6B896D0F" w14:textId="77777777" w:rsidR="00AD1F54" w:rsidRPr="00264D5D" w:rsidRDefault="00941227">
            <w:pPr>
              <w:pStyle w:val="GOSTTablenorm"/>
              <w:widowControl w:val="0"/>
              <w:jc w:val="center"/>
            </w:pPr>
            <w:r w:rsidRPr="00264D5D">
              <w:t>С</w:t>
            </w:r>
          </w:p>
        </w:tc>
        <w:tc>
          <w:tcPr>
            <w:tcW w:w="1133" w:type="dxa"/>
          </w:tcPr>
          <w:p w14:paraId="1229CE64" w14:textId="77777777" w:rsidR="00AD1F54" w:rsidRPr="00264D5D" w:rsidRDefault="00941227">
            <w:pPr>
              <w:pStyle w:val="GOSTTablenorm"/>
              <w:widowControl w:val="0"/>
            </w:pPr>
            <w:r w:rsidRPr="00264D5D">
              <w:t>tMSC_Orgnztn</w:t>
            </w:r>
          </w:p>
        </w:tc>
        <w:tc>
          <w:tcPr>
            <w:tcW w:w="567" w:type="dxa"/>
          </w:tcPr>
          <w:p w14:paraId="68DF8235" w14:textId="77777777" w:rsidR="00AD1F54" w:rsidRPr="00264D5D" w:rsidRDefault="00941227">
            <w:pPr>
              <w:pStyle w:val="GOSTTablenorm"/>
              <w:widowControl w:val="0"/>
              <w:jc w:val="center"/>
            </w:pPr>
            <w:r w:rsidRPr="00264D5D">
              <w:t>О</w:t>
            </w:r>
          </w:p>
        </w:tc>
        <w:tc>
          <w:tcPr>
            <w:tcW w:w="3961" w:type="dxa"/>
          </w:tcPr>
          <w:p w14:paraId="619307B7" w14:textId="29E8C6C9" w:rsidR="00AD1F54" w:rsidRPr="00264D5D" w:rsidRDefault="00941227">
            <w:pPr>
              <w:pStyle w:val="GOSTTablenorm"/>
              <w:widowControl w:val="0"/>
            </w:pPr>
            <w:r w:rsidRPr="00264D5D">
              <w:t xml:space="preserve">Состав элемента представлен в таблице </w:t>
            </w:r>
            <w:r w:rsidRPr="00264D5D">
              <w:fldChar w:fldCharType="begin"/>
            </w:r>
            <w:r w:rsidRPr="00264D5D">
              <w:instrText xml:space="preserve"> REF _Ref52173926 \h  \* MERGEFORMAT </w:instrText>
            </w:r>
            <w:r w:rsidRPr="00264D5D">
              <w:fldChar w:fldCharType="separate"/>
            </w:r>
            <w:r w:rsidR="008D797C">
              <w:rPr>
                <w:rFonts w:eastAsia="Calibri"/>
                <w:szCs w:val="24"/>
              </w:rPr>
              <w:t>99</w:t>
            </w:r>
            <w:r w:rsidRPr="00264D5D">
              <w:fldChar w:fldCharType="end"/>
            </w:r>
          </w:p>
        </w:tc>
      </w:tr>
      <w:tr w:rsidR="00AD1F54" w:rsidRPr="00264D5D" w14:paraId="59D8A371"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0" w:type="dxa"/>
          </w:tcPr>
          <w:p w14:paraId="558EBEE4" w14:textId="77777777" w:rsidR="00AD1F54" w:rsidRPr="00264D5D" w:rsidRDefault="00941227">
            <w:pPr>
              <w:pStyle w:val="GOSTTablenorm"/>
              <w:widowControl w:val="0"/>
            </w:pPr>
            <w:r w:rsidRPr="00264D5D">
              <w:t>Предельная дата исполнения</w:t>
            </w:r>
          </w:p>
        </w:tc>
        <w:tc>
          <w:tcPr>
            <w:tcW w:w="1700" w:type="dxa"/>
          </w:tcPr>
          <w:p w14:paraId="603E0C2A" w14:textId="77777777" w:rsidR="00AD1F54" w:rsidRPr="00264D5D" w:rsidRDefault="00941227">
            <w:pPr>
              <w:pStyle w:val="GOSTTablenorm"/>
              <w:widowControl w:val="0"/>
            </w:pPr>
            <w:r w:rsidRPr="00264D5D">
              <w:t>ZK_DctDtISP</w:t>
            </w:r>
          </w:p>
        </w:tc>
        <w:tc>
          <w:tcPr>
            <w:tcW w:w="567" w:type="dxa"/>
          </w:tcPr>
          <w:p w14:paraId="47659135" w14:textId="77777777" w:rsidR="00AD1F54" w:rsidRPr="00264D5D" w:rsidRDefault="00941227">
            <w:pPr>
              <w:pStyle w:val="GOSTTablenorm"/>
              <w:widowControl w:val="0"/>
              <w:jc w:val="center"/>
            </w:pPr>
            <w:r w:rsidRPr="00264D5D">
              <w:t>П</w:t>
            </w:r>
          </w:p>
        </w:tc>
        <w:tc>
          <w:tcPr>
            <w:tcW w:w="1133" w:type="dxa"/>
          </w:tcPr>
          <w:p w14:paraId="1E8071F4" w14:textId="77777777" w:rsidR="00AD1F54" w:rsidRPr="00264D5D" w:rsidRDefault="00941227">
            <w:pPr>
              <w:pStyle w:val="GOSTTablenorm"/>
              <w:widowControl w:val="0"/>
            </w:pPr>
            <w:r w:rsidRPr="00264D5D">
              <w:rPr>
                <w:lang w:val="en-US"/>
              </w:rPr>
              <w:t>D</w:t>
            </w:r>
            <w:r w:rsidRPr="00264D5D">
              <w:t>ate</w:t>
            </w:r>
          </w:p>
        </w:tc>
        <w:tc>
          <w:tcPr>
            <w:tcW w:w="567" w:type="dxa"/>
          </w:tcPr>
          <w:p w14:paraId="40A04CFF" w14:textId="77777777" w:rsidR="00AD1F54" w:rsidRPr="00264D5D" w:rsidRDefault="00941227">
            <w:pPr>
              <w:pStyle w:val="GOSTTablenorm"/>
              <w:widowControl w:val="0"/>
              <w:jc w:val="center"/>
            </w:pPr>
            <w:r w:rsidRPr="00264D5D">
              <w:t>Н</w:t>
            </w:r>
          </w:p>
        </w:tc>
        <w:tc>
          <w:tcPr>
            <w:tcW w:w="3961" w:type="dxa"/>
          </w:tcPr>
          <w:p w14:paraId="60B6A4AE" w14:textId="77777777" w:rsidR="00AD1F54" w:rsidRPr="00264D5D" w:rsidRDefault="004A5918">
            <w:pPr>
              <w:pStyle w:val="GOSTTablenorm"/>
              <w:widowControl w:val="0"/>
            </w:pPr>
            <w:r w:rsidRPr="00264D5D">
              <w:t>Поле не заполняется</w:t>
            </w:r>
          </w:p>
        </w:tc>
      </w:tr>
      <w:tr w:rsidR="00AD1F54" w:rsidRPr="00264D5D" w14:paraId="7A0B54E4" w14:textId="77777777" w:rsidTr="00AD1F54">
        <w:trPr>
          <w:cnfStyle w:val="000000100000" w:firstRow="0" w:lastRow="0" w:firstColumn="0" w:lastColumn="0" w:oddVBand="0" w:evenVBand="0" w:oddHBand="1" w:evenHBand="0" w:firstRowFirstColumn="0" w:firstRowLastColumn="0" w:lastRowFirstColumn="0" w:lastRowLastColumn="0"/>
        </w:trPr>
        <w:tc>
          <w:tcPr>
            <w:tcW w:w="9634" w:type="dxa"/>
            <w:gridSpan w:val="7"/>
          </w:tcPr>
          <w:p w14:paraId="67030608" w14:textId="77777777" w:rsidR="00AD1F54" w:rsidRPr="00264D5D" w:rsidRDefault="00941227">
            <w:pPr>
              <w:pStyle w:val="GOSTTablenorm"/>
              <w:widowControl w:val="0"/>
            </w:pPr>
            <w:r w:rsidRPr="00264D5D">
              <w:rPr>
                <w:b/>
                <w:szCs w:val="22"/>
              </w:rPr>
              <w:t>Подписи</w:t>
            </w:r>
          </w:p>
        </w:tc>
      </w:tr>
      <w:tr w:rsidR="00AD1F54" w:rsidRPr="00264D5D" w14:paraId="6741F124"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0" w:type="dxa"/>
          </w:tcPr>
          <w:p w14:paraId="1FC4B5ED" w14:textId="77777777" w:rsidR="00AD1F54" w:rsidRPr="00264D5D" w:rsidRDefault="00941227">
            <w:pPr>
              <w:pStyle w:val="GOSTTablenorm"/>
              <w:widowControl w:val="0"/>
              <w:rPr>
                <w:i/>
              </w:rPr>
            </w:pPr>
            <w:r w:rsidRPr="00264D5D">
              <w:t>Информация о руководителе</w:t>
            </w:r>
          </w:p>
        </w:tc>
        <w:tc>
          <w:tcPr>
            <w:tcW w:w="1700" w:type="dxa"/>
          </w:tcPr>
          <w:p w14:paraId="58840BC1" w14:textId="77777777" w:rsidR="00AD1F54" w:rsidRPr="00264D5D" w:rsidRDefault="00941227">
            <w:pPr>
              <w:pStyle w:val="GOSTTablenorm"/>
              <w:widowControl w:val="0"/>
            </w:pPr>
            <w:r w:rsidRPr="00264D5D">
              <w:t>ZK_MSC_Hd</w:t>
            </w:r>
          </w:p>
        </w:tc>
        <w:tc>
          <w:tcPr>
            <w:tcW w:w="567" w:type="dxa"/>
          </w:tcPr>
          <w:p w14:paraId="5CC3CFF7" w14:textId="77777777" w:rsidR="00AD1F54" w:rsidRPr="00264D5D" w:rsidRDefault="00941227">
            <w:pPr>
              <w:pStyle w:val="GOSTTablenorm"/>
              <w:widowControl w:val="0"/>
              <w:jc w:val="center"/>
            </w:pPr>
            <w:r w:rsidRPr="00264D5D">
              <w:t>С</w:t>
            </w:r>
          </w:p>
        </w:tc>
        <w:tc>
          <w:tcPr>
            <w:tcW w:w="1133" w:type="dxa"/>
          </w:tcPr>
          <w:p w14:paraId="5F0E234D" w14:textId="77777777" w:rsidR="00AD1F54" w:rsidRPr="00264D5D" w:rsidRDefault="00941227">
            <w:pPr>
              <w:pStyle w:val="GOSTTablenorm"/>
              <w:widowControl w:val="0"/>
            </w:pPr>
            <w:r w:rsidRPr="00264D5D">
              <w:t>tSGNNmPs1</w:t>
            </w:r>
          </w:p>
        </w:tc>
        <w:tc>
          <w:tcPr>
            <w:tcW w:w="567" w:type="dxa"/>
          </w:tcPr>
          <w:p w14:paraId="3C6D2261" w14:textId="77777777" w:rsidR="00AD1F54" w:rsidRPr="00264D5D" w:rsidRDefault="00941227">
            <w:pPr>
              <w:pStyle w:val="GOSTTablenorm"/>
              <w:widowControl w:val="0"/>
              <w:jc w:val="center"/>
            </w:pPr>
            <w:r w:rsidRPr="00264D5D">
              <w:t>Н</w:t>
            </w:r>
          </w:p>
        </w:tc>
        <w:tc>
          <w:tcPr>
            <w:tcW w:w="3961" w:type="dxa"/>
          </w:tcPr>
          <w:p w14:paraId="41CCC22C" w14:textId="4C6A9356" w:rsidR="00AD1F54" w:rsidRPr="00264D5D" w:rsidRDefault="00941227">
            <w:pPr>
              <w:pStyle w:val="GOSTTablenorm"/>
              <w:widowControl w:val="0"/>
            </w:pPr>
            <w:r w:rsidRPr="00264D5D">
              <w:t xml:space="preserve">Состав элемента представлен в таблице </w:t>
            </w:r>
            <w:r w:rsidRPr="00264D5D">
              <w:fldChar w:fldCharType="begin"/>
            </w:r>
            <w:r w:rsidRPr="00264D5D">
              <w:instrText xml:space="preserve"> REF _Ref52173873 \h  \* MERGEFORMAT </w:instrText>
            </w:r>
            <w:r w:rsidRPr="00264D5D">
              <w:fldChar w:fldCharType="separate"/>
            </w:r>
            <w:r w:rsidR="008D797C">
              <w:t>108</w:t>
            </w:r>
            <w:r w:rsidRPr="00264D5D">
              <w:fldChar w:fldCharType="end"/>
            </w:r>
          </w:p>
        </w:tc>
      </w:tr>
      <w:tr w:rsidR="00AD1F54" w:rsidRPr="00264D5D" w14:paraId="36DF41A9" w14:textId="77777777" w:rsidTr="00AD1F54">
        <w:trPr>
          <w:gridAfter w:val="1"/>
          <w:cnfStyle w:val="000000100000" w:firstRow="0" w:lastRow="0" w:firstColumn="0" w:lastColumn="0" w:oddVBand="0" w:evenVBand="0" w:oddHBand="1" w:evenHBand="0" w:firstRowFirstColumn="0" w:firstRowLastColumn="0" w:lastRowFirstColumn="0" w:lastRowLastColumn="0"/>
          <w:wAfter w:w="6" w:type="dxa"/>
        </w:trPr>
        <w:tc>
          <w:tcPr>
            <w:tcW w:w="1700" w:type="dxa"/>
          </w:tcPr>
          <w:p w14:paraId="67CCE624" w14:textId="77777777" w:rsidR="00AD1F54" w:rsidRPr="00264D5D" w:rsidRDefault="00941227">
            <w:pPr>
              <w:pStyle w:val="GOSTTablenorm"/>
              <w:widowControl w:val="0"/>
            </w:pPr>
            <w:r w:rsidRPr="00264D5D">
              <w:t>Информация о главном бухгалтере (уполномоченном руководителем лице)</w:t>
            </w:r>
          </w:p>
        </w:tc>
        <w:tc>
          <w:tcPr>
            <w:tcW w:w="1700" w:type="dxa"/>
          </w:tcPr>
          <w:p w14:paraId="3AA5DAC8" w14:textId="77777777" w:rsidR="00AD1F54" w:rsidRPr="00264D5D" w:rsidRDefault="00941227">
            <w:pPr>
              <w:pStyle w:val="GOSTTablenorm"/>
              <w:widowControl w:val="0"/>
            </w:pPr>
            <w:r w:rsidRPr="00264D5D">
              <w:t>ZK_MSC_RspnExctr</w:t>
            </w:r>
          </w:p>
        </w:tc>
        <w:tc>
          <w:tcPr>
            <w:tcW w:w="567" w:type="dxa"/>
          </w:tcPr>
          <w:p w14:paraId="07C6ED1F" w14:textId="77777777" w:rsidR="00AD1F54" w:rsidRPr="00264D5D" w:rsidRDefault="00941227">
            <w:pPr>
              <w:pStyle w:val="GOSTTablenorm"/>
              <w:widowControl w:val="0"/>
              <w:jc w:val="center"/>
            </w:pPr>
            <w:r w:rsidRPr="00264D5D">
              <w:t>С</w:t>
            </w:r>
          </w:p>
        </w:tc>
        <w:tc>
          <w:tcPr>
            <w:tcW w:w="1133" w:type="dxa"/>
          </w:tcPr>
          <w:p w14:paraId="75837628" w14:textId="77777777" w:rsidR="00AD1F54" w:rsidRPr="00264D5D" w:rsidRDefault="00941227">
            <w:pPr>
              <w:pStyle w:val="GOSTTablenorm"/>
              <w:widowControl w:val="0"/>
            </w:pPr>
            <w:r w:rsidRPr="00264D5D">
              <w:t>tSGNNmPs1</w:t>
            </w:r>
          </w:p>
        </w:tc>
        <w:tc>
          <w:tcPr>
            <w:tcW w:w="567" w:type="dxa"/>
          </w:tcPr>
          <w:p w14:paraId="4F58C9B3" w14:textId="77777777" w:rsidR="00AD1F54" w:rsidRPr="00264D5D" w:rsidRDefault="00941227">
            <w:pPr>
              <w:pStyle w:val="GOSTTablenorm"/>
              <w:widowControl w:val="0"/>
              <w:jc w:val="center"/>
            </w:pPr>
            <w:r w:rsidRPr="00264D5D">
              <w:t>Н</w:t>
            </w:r>
          </w:p>
        </w:tc>
        <w:tc>
          <w:tcPr>
            <w:tcW w:w="3961" w:type="dxa"/>
          </w:tcPr>
          <w:p w14:paraId="1C3ECAE5" w14:textId="77777777" w:rsidR="00AD1F54" w:rsidRPr="00264D5D" w:rsidRDefault="00941227">
            <w:pPr>
              <w:pStyle w:val="GOSTTablenorm"/>
              <w:widowControl w:val="0"/>
            </w:pPr>
            <w:r w:rsidRPr="00264D5D">
              <w:t>Информация о главном бухгалтере (уполномоченном руководителем лице).</w:t>
            </w:r>
          </w:p>
          <w:p w14:paraId="2FFA7820" w14:textId="30B18487" w:rsidR="00AD1F54" w:rsidRPr="00264D5D" w:rsidRDefault="00941227">
            <w:pPr>
              <w:pStyle w:val="GOSTTablenorm"/>
              <w:widowControl w:val="0"/>
            </w:pPr>
            <w:r w:rsidRPr="00264D5D">
              <w:t xml:space="preserve">Состав элемента представлен в таблице </w:t>
            </w:r>
            <w:r w:rsidRPr="00264D5D">
              <w:fldChar w:fldCharType="begin"/>
            </w:r>
            <w:r w:rsidRPr="00264D5D">
              <w:instrText xml:space="preserve"> REF _Ref52173873 \h  \* MERGEFORMAT </w:instrText>
            </w:r>
            <w:r w:rsidRPr="00264D5D">
              <w:fldChar w:fldCharType="separate"/>
            </w:r>
            <w:r w:rsidR="008D797C">
              <w:t>108</w:t>
            </w:r>
            <w:r w:rsidRPr="00264D5D">
              <w:fldChar w:fldCharType="end"/>
            </w:r>
          </w:p>
        </w:tc>
      </w:tr>
      <w:tr w:rsidR="00AD1F54" w:rsidRPr="00264D5D" w14:paraId="7425C4EF"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0" w:type="dxa"/>
          </w:tcPr>
          <w:p w14:paraId="2DE6C8A9" w14:textId="77777777" w:rsidR="00AD1F54" w:rsidRPr="00264D5D" w:rsidRDefault="00941227">
            <w:pPr>
              <w:pStyle w:val="GOSTTablenorm"/>
              <w:widowControl w:val="0"/>
            </w:pPr>
            <w:r w:rsidRPr="00264D5D">
              <w:t>Дата подписания заявки</w:t>
            </w:r>
          </w:p>
        </w:tc>
        <w:tc>
          <w:tcPr>
            <w:tcW w:w="1700" w:type="dxa"/>
          </w:tcPr>
          <w:p w14:paraId="09ACD430" w14:textId="77777777" w:rsidR="00AD1F54" w:rsidRPr="00264D5D" w:rsidRDefault="00941227">
            <w:pPr>
              <w:pStyle w:val="GOSTTablenorm"/>
              <w:widowControl w:val="0"/>
            </w:pPr>
            <w:r w:rsidRPr="00264D5D">
              <w:t>ZK_SgngDtPOD</w:t>
            </w:r>
          </w:p>
        </w:tc>
        <w:tc>
          <w:tcPr>
            <w:tcW w:w="567" w:type="dxa"/>
          </w:tcPr>
          <w:p w14:paraId="4654F247" w14:textId="77777777" w:rsidR="00AD1F54" w:rsidRPr="00264D5D" w:rsidRDefault="00941227">
            <w:pPr>
              <w:pStyle w:val="GOSTTablenorm"/>
              <w:widowControl w:val="0"/>
              <w:jc w:val="center"/>
            </w:pPr>
            <w:r w:rsidRPr="00264D5D">
              <w:t>П</w:t>
            </w:r>
          </w:p>
        </w:tc>
        <w:tc>
          <w:tcPr>
            <w:tcW w:w="1133" w:type="dxa"/>
          </w:tcPr>
          <w:p w14:paraId="43DF7A84" w14:textId="77777777" w:rsidR="00AD1F54" w:rsidRPr="00264D5D" w:rsidRDefault="00941227">
            <w:pPr>
              <w:pStyle w:val="GOSTTablenorm"/>
              <w:widowControl w:val="0"/>
            </w:pPr>
            <w:r w:rsidRPr="00264D5D">
              <w:rPr>
                <w:lang w:val="en-US"/>
              </w:rPr>
              <w:t>D</w:t>
            </w:r>
            <w:r w:rsidRPr="00264D5D">
              <w:t>ate</w:t>
            </w:r>
          </w:p>
        </w:tc>
        <w:tc>
          <w:tcPr>
            <w:tcW w:w="567" w:type="dxa"/>
          </w:tcPr>
          <w:p w14:paraId="6F6BE2EE" w14:textId="77777777" w:rsidR="00AD1F54" w:rsidRPr="00264D5D" w:rsidRDefault="00941227">
            <w:pPr>
              <w:pStyle w:val="GOSTTablenorm"/>
              <w:widowControl w:val="0"/>
              <w:jc w:val="center"/>
            </w:pPr>
            <w:r w:rsidRPr="00264D5D">
              <w:t>Н</w:t>
            </w:r>
          </w:p>
        </w:tc>
        <w:tc>
          <w:tcPr>
            <w:tcW w:w="3961" w:type="dxa"/>
          </w:tcPr>
          <w:p w14:paraId="18EDC185" w14:textId="77777777" w:rsidR="00AD1F54" w:rsidRPr="00264D5D" w:rsidRDefault="004A5918">
            <w:pPr>
              <w:pStyle w:val="GOSTTablenorm"/>
              <w:widowControl w:val="0"/>
            </w:pPr>
            <w:r w:rsidRPr="00264D5D">
              <w:t>Дата подписания заявки</w:t>
            </w:r>
          </w:p>
        </w:tc>
      </w:tr>
      <w:tr w:rsidR="00AD1F54" w:rsidRPr="00264D5D" w14:paraId="0856244C" w14:textId="77777777" w:rsidTr="00AD1F54">
        <w:trPr>
          <w:cnfStyle w:val="000000100000" w:firstRow="0" w:lastRow="0" w:firstColumn="0" w:lastColumn="0" w:oddVBand="0" w:evenVBand="0" w:oddHBand="1" w:evenHBand="0" w:firstRowFirstColumn="0" w:firstRowLastColumn="0" w:lastRowFirstColumn="0" w:lastRowLastColumn="0"/>
        </w:trPr>
        <w:tc>
          <w:tcPr>
            <w:tcW w:w="9634" w:type="dxa"/>
            <w:gridSpan w:val="7"/>
          </w:tcPr>
          <w:p w14:paraId="6800F8D0" w14:textId="77777777" w:rsidR="00AD1F54" w:rsidRPr="00264D5D" w:rsidRDefault="00941227">
            <w:pPr>
              <w:pStyle w:val="GOSTTablenorm"/>
              <w:widowControl w:val="0"/>
            </w:pPr>
            <w:r w:rsidRPr="00264D5D">
              <w:rPr>
                <w:b/>
                <w:szCs w:val="22"/>
              </w:rPr>
              <w:t>Реквизиты Раздела 1</w:t>
            </w:r>
          </w:p>
        </w:tc>
      </w:tr>
      <w:tr w:rsidR="00AD1F54" w:rsidRPr="00264D5D" w14:paraId="7EE06C65"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0" w:type="dxa"/>
          </w:tcPr>
          <w:p w14:paraId="6BBB3E31" w14:textId="77777777" w:rsidR="00AD1F54" w:rsidRPr="00264D5D" w:rsidRDefault="00941227">
            <w:pPr>
              <w:pStyle w:val="GOSTTablenorm"/>
              <w:widowControl w:val="0"/>
              <w:rPr>
                <w:i/>
              </w:rPr>
            </w:pPr>
            <w:r w:rsidRPr="00264D5D">
              <w:t>Код БК по расходам</w:t>
            </w:r>
          </w:p>
        </w:tc>
        <w:tc>
          <w:tcPr>
            <w:tcW w:w="1700" w:type="dxa"/>
          </w:tcPr>
          <w:p w14:paraId="094DBBB1" w14:textId="77777777" w:rsidR="00AD1F54" w:rsidRPr="00264D5D" w:rsidRDefault="00941227">
            <w:pPr>
              <w:pStyle w:val="GOSTTablenorm"/>
              <w:widowControl w:val="0"/>
            </w:pPr>
            <w:r w:rsidRPr="00264D5D">
              <w:t>ZK1_KBKExpns</w:t>
            </w:r>
          </w:p>
        </w:tc>
        <w:tc>
          <w:tcPr>
            <w:tcW w:w="567" w:type="dxa"/>
          </w:tcPr>
          <w:p w14:paraId="06261958" w14:textId="77777777" w:rsidR="00AD1F54" w:rsidRPr="00264D5D" w:rsidRDefault="00941227">
            <w:pPr>
              <w:pStyle w:val="GOSTTablenorm"/>
              <w:widowControl w:val="0"/>
              <w:jc w:val="center"/>
            </w:pPr>
            <w:r w:rsidRPr="00264D5D">
              <w:t>П</w:t>
            </w:r>
          </w:p>
        </w:tc>
        <w:tc>
          <w:tcPr>
            <w:tcW w:w="1133" w:type="dxa"/>
          </w:tcPr>
          <w:p w14:paraId="7EA7069A" w14:textId="77777777" w:rsidR="00AD1F54" w:rsidRPr="00264D5D" w:rsidRDefault="00941227">
            <w:pPr>
              <w:pStyle w:val="GOSTTablenorm"/>
              <w:widowControl w:val="0"/>
            </w:pPr>
            <w:r w:rsidRPr="00264D5D">
              <w:t>Т(20)</w:t>
            </w:r>
          </w:p>
        </w:tc>
        <w:tc>
          <w:tcPr>
            <w:tcW w:w="567" w:type="dxa"/>
          </w:tcPr>
          <w:p w14:paraId="68B546A4" w14:textId="77777777" w:rsidR="00AD1F54" w:rsidRPr="00264D5D" w:rsidRDefault="00941227">
            <w:pPr>
              <w:pStyle w:val="GOSTTablenorm"/>
              <w:widowControl w:val="0"/>
              <w:jc w:val="center"/>
            </w:pPr>
            <w:r w:rsidRPr="00264D5D">
              <w:t>Н</w:t>
            </w:r>
          </w:p>
        </w:tc>
        <w:tc>
          <w:tcPr>
            <w:tcW w:w="3961" w:type="dxa"/>
          </w:tcPr>
          <w:p w14:paraId="0D63F5CC" w14:textId="77777777" w:rsidR="00AD1F54" w:rsidRPr="00264D5D" w:rsidRDefault="00941227">
            <w:pPr>
              <w:pStyle w:val="GOSTTablenorm"/>
              <w:widowControl w:val="0"/>
            </w:pPr>
            <w:r w:rsidRPr="00264D5D">
              <w:t>Указывается КБК расходов, по которому осуществляется кассовая выплата, в соответствии с действующими Указаниями по БК.</w:t>
            </w:r>
          </w:p>
          <w:p w14:paraId="4ED93C05" w14:textId="77777777" w:rsidR="00AD1F54" w:rsidRPr="00264D5D" w:rsidRDefault="00941227">
            <w:pPr>
              <w:pStyle w:val="GOSTTablenorm"/>
              <w:widowControl w:val="0"/>
            </w:pPr>
            <w:r w:rsidRPr="00264D5D">
              <w:t xml:space="preserve">Для средств, поступающих во временное распоряжение </w:t>
            </w:r>
            <w:r w:rsidR="004A5918" w:rsidRPr="00264D5D">
              <w:t>учреждений, коды не указываются</w:t>
            </w:r>
          </w:p>
        </w:tc>
      </w:tr>
      <w:tr w:rsidR="00AD1F54" w:rsidRPr="00264D5D" w14:paraId="2ACB68DE" w14:textId="77777777" w:rsidTr="00AD1F54">
        <w:trPr>
          <w:gridAfter w:val="1"/>
          <w:cnfStyle w:val="000000100000" w:firstRow="0" w:lastRow="0" w:firstColumn="0" w:lastColumn="0" w:oddVBand="0" w:evenVBand="0" w:oddHBand="1" w:evenHBand="0" w:firstRowFirstColumn="0" w:firstRowLastColumn="0" w:lastRowFirstColumn="0" w:lastRowLastColumn="0"/>
          <w:wAfter w:w="6" w:type="dxa"/>
        </w:trPr>
        <w:tc>
          <w:tcPr>
            <w:tcW w:w="1700" w:type="dxa"/>
          </w:tcPr>
          <w:p w14:paraId="02AB6411" w14:textId="77777777" w:rsidR="00AD1F54" w:rsidRPr="00264D5D" w:rsidRDefault="00941227">
            <w:pPr>
              <w:pStyle w:val="GOSTTablenorm"/>
              <w:widowControl w:val="0"/>
            </w:pPr>
            <w:r w:rsidRPr="00264D5D">
              <w:t>Код БК по доходам</w:t>
            </w:r>
          </w:p>
        </w:tc>
        <w:tc>
          <w:tcPr>
            <w:tcW w:w="1700" w:type="dxa"/>
          </w:tcPr>
          <w:p w14:paraId="042A9FF2" w14:textId="77777777" w:rsidR="00AD1F54" w:rsidRPr="00264D5D" w:rsidRDefault="00941227">
            <w:pPr>
              <w:pStyle w:val="GOSTTablenorm"/>
              <w:widowControl w:val="0"/>
            </w:pPr>
            <w:r w:rsidRPr="00264D5D">
              <w:t>ZK1_KBKIncome</w:t>
            </w:r>
          </w:p>
        </w:tc>
        <w:tc>
          <w:tcPr>
            <w:tcW w:w="567" w:type="dxa"/>
          </w:tcPr>
          <w:p w14:paraId="7246AA21" w14:textId="77777777" w:rsidR="00AD1F54" w:rsidRPr="00264D5D" w:rsidRDefault="00941227">
            <w:pPr>
              <w:pStyle w:val="GOSTTablenorm"/>
              <w:widowControl w:val="0"/>
              <w:jc w:val="center"/>
            </w:pPr>
            <w:r w:rsidRPr="00264D5D">
              <w:t>П</w:t>
            </w:r>
          </w:p>
        </w:tc>
        <w:tc>
          <w:tcPr>
            <w:tcW w:w="1133" w:type="dxa"/>
          </w:tcPr>
          <w:p w14:paraId="1BF9B30F" w14:textId="77777777" w:rsidR="00AD1F54" w:rsidRPr="00264D5D" w:rsidRDefault="00941227">
            <w:pPr>
              <w:pStyle w:val="GOSTTablenorm"/>
              <w:widowControl w:val="0"/>
            </w:pPr>
            <w:r w:rsidRPr="00264D5D">
              <w:t>Т(1-20)</w:t>
            </w:r>
          </w:p>
        </w:tc>
        <w:tc>
          <w:tcPr>
            <w:tcW w:w="567" w:type="dxa"/>
          </w:tcPr>
          <w:p w14:paraId="5557138D" w14:textId="77777777" w:rsidR="00AD1F54" w:rsidRPr="00264D5D" w:rsidRDefault="00941227">
            <w:pPr>
              <w:pStyle w:val="GOSTTablenorm"/>
              <w:widowControl w:val="0"/>
              <w:jc w:val="center"/>
            </w:pPr>
            <w:r w:rsidRPr="00264D5D">
              <w:t>Н</w:t>
            </w:r>
          </w:p>
        </w:tc>
        <w:tc>
          <w:tcPr>
            <w:tcW w:w="3961" w:type="dxa"/>
          </w:tcPr>
          <w:p w14:paraId="0895DE8B" w14:textId="77777777" w:rsidR="00AD1F54" w:rsidRPr="00264D5D" w:rsidRDefault="00941227">
            <w:pPr>
              <w:pStyle w:val="GOSTTablenorm"/>
            </w:pPr>
            <w:r w:rsidRPr="00264D5D">
              <w:t>Указывается КБК в соответствии с действующими Указаниями по БК.</w:t>
            </w:r>
          </w:p>
          <w:p w14:paraId="7887378F" w14:textId="77777777" w:rsidR="00AD1F54" w:rsidRPr="00264D5D" w:rsidRDefault="00941227">
            <w:pPr>
              <w:pStyle w:val="GOSTTablenorm"/>
            </w:pPr>
            <w:r w:rsidRPr="00264D5D">
              <w:t xml:space="preserve">Обязательно для заполнения, если </w:t>
            </w:r>
            <w:r w:rsidRPr="00264D5D">
              <w:lastRenderedPageBreak/>
              <w:t>заполнено поле «Статус налогоплательщика».</w:t>
            </w:r>
          </w:p>
          <w:p w14:paraId="766B6A92" w14:textId="77777777" w:rsidR="00AD1F54" w:rsidRPr="00264D5D" w:rsidRDefault="00941227">
            <w:pPr>
              <w:pStyle w:val="GOSTTablenorm"/>
              <w:widowControl w:val="0"/>
            </w:pPr>
            <w:r w:rsidRPr="00264D5D">
              <w:t>В случае заполнения длина поля строго ограничена количеством символов равным 1 знаку, принимающему значение ноль («0»), либо 20 знакам, при этом все знаки одновременно не могут принимать значение ноль («0»).</w:t>
            </w:r>
          </w:p>
          <w:p w14:paraId="11E46C89" w14:textId="77777777" w:rsidR="00AD1F54" w:rsidRPr="00264D5D" w:rsidRDefault="00941227">
            <w:pPr>
              <w:pStyle w:val="GOSTTablenorm"/>
              <w:widowControl w:val="0"/>
            </w:pPr>
            <w:r w:rsidRPr="00264D5D">
              <w:t xml:space="preserve">Если в поле «Номер счета» указан счет </w:t>
            </w:r>
            <w:r w:rsidRPr="00264D5D">
              <w:rPr>
                <w:szCs w:val="22"/>
              </w:rPr>
              <w:t>№ 03100</w:t>
            </w:r>
            <w:r w:rsidRPr="00264D5D">
              <w:t>, то обязательно для заполнения значением, состоящим из 20 знаков.</w:t>
            </w:r>
          </w:p>
          <w:p w14:paraId="0324833D" w14:textId="77777777" w:rsidR="00AD1F54" w:rsidRPr="00264D5D" w:rsidRDefault="00941227">
            <w:pPr>
              <w:pStyle w:val="GOSTTablenorm"/>
              <w:widowControl w:val="0"/>
            </w:pPr>
            <w:r w:rsidRPr="00264D5D">
              <w:t>Если в поле «Номер счета» указан иной счет, открытый ТОФК, то обязательно для заполнения значением, состо</w:t>
            </w:r>
            <w:r w:rsidR="004A5918" w:rsidRPr="00264D5D">
              <w:t>ящим из 1 знака, либо 20 знаков</w:t>
            </w:r>
          </w:p>
        </w:tc>
      </w:tr>
      <w:tr w:rsidR="00AD1F54" w:rsidRPr="00264D5D" w14:paraId="148CC905"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0" w:type="dxa"/>
          </w:tcPr>
          <w:p w14:paraId="5882DED9" w14:textId="77777777" w:rsidR="00AD1F54" w:rsidRPr="00264D5D" w:rsidRDefault="00941227">
            <w:pPr>
              <w:pStyle w:val="GOSTTablenorm"/>
              <w:widowControl w:val="0"/>
            </w:pPr>
            <w:r w:rsidRPr="00264D5D">
              <w:lastRenderedPageBreak/>
              <w:t>Код цели (аналитический код) плательщика</w:t>
            </w:r>
          </w:p>
        </w:tc>
        <w:tc>
          <w:tcPr>
            <w:tcW w:w="1700" w:type="dxa"/>
          </w:tcPr>
          <w:p w14:paraId="2FABFF47" w14:textId="77777777" w:rsidR="00AD1F54" w:rsidRPr="00264D5D" w:rsidRDefault="00941227">
            <w:pPr>
              <w:pStyle w:val="GOSTTablenorm"/>
              <w:widowControl w:val="0"/>
            </w:pPr>
            <w:r w:rsidRPr="00264D5D">
              <w:t>ZK1_TrgtCdPr</w:t>
            </w:r>
          </w:p>
        </w:tc>
        <w:tc>
          <w:tcPr>
            <w:tcW w:w="567" w:type="dxa"/>
          </w:tcPr>
          <w:p w14:paraId="746D1577" w14:textId="77777777" w:rsidR="00AD1F54" w:rsidRPr="00264D5D" w:rsidRDefault="00941227">
            <w:pPr>
              <w:pStyle w:val="GOSTTablenorm"/>
              <w:widowControl w:val="0"/>
              <w:jc w:val="center"/>
            </w:pPr>
            <w:r w:rsidRPr="00264D5D">
              <w:t>П</w:t>
            </w:r>
          </w:p>
        </w:tc>
        <w:tc>
          <w:tcPr>
            <w:tcW w:w="1133" w:type="dxa"/>
          </w:tcPr>
          <w:p w14:paraId="17DD6BCC" w14:textId="77777777" w:rsidR="00AD1F54" w:rsidRPr="00264D5D" w:rsidRDefault="00941227">
            <w:pPr>
              <w:pStyle w:val="GOSTTablenorm"/>
              <w:widowControl w:val="0"/>
            </w:pPr>
            <w:r w:rsidRPr="00264D5D">
              <w:t>Т(1-25)</w:t>
            </w:r>
          </w:p>
        </w:tc>
        <w:tc>
          <w:tcPr>
            <w:tcW w:w="567" w:type="dxa"/>
          </w:tcPr>
          <w:p w14:paraId="247D2470" w14:textId="77777777" w:rsidR="00AD1F54" w:rsidRPr="00264D5D" w:rsidRDefault="00941227">
            <w:pPr>
              <w:pStyle w:val="GOSTTablenorm"/>
              <w:widowControl w:val="0"/>
              <w:jc w:val="center"/>
            </w:pPr>
            <w:r w:rsidRPr="00264D5D">
              <w:t>Н</w:t>
            </w:r>
          </w:p>
        </w:tc>
        <w:tc>
          <w:tcPr>
            <w:tcW w:w="3961" w:type="dxa"/>
          </w:tcPr>
          <w:p w14:paraId="6FEBA06C" w14:textId="77777777" w:rsidR="00AD1F54" w:rsidRPr="00264D5D" w:rsidRDefault="00941227">
            <w:pPr>
              <w:pStyle w:val="GOSTTablenorm"/>
              <w:widowControl w:val="0"/>
            </w:pPr>
            <w:r w:rsidRPr="00264D5D">
              <w:t>Указывается код цели (аналитический код) плательщика в случае, если кассовые выплаты осуществляются за счет целевых средств.</w:t>
            </w:r>
          </w:p>
          <w:p w14:paraId="3D7630DE" w14:textId="77777777" w:rsidR="00AD1F54" w:rsidRPr="00264D5D" w:rsidRDefault="00941227">
            <w:pPr>
              <w:pStyle w:val="GOSTTablenorm"/>
              <w:widowControl w:val="0"/>
            </w:pPr>
            <w:r w:rsidRPr="00264D5D">
              <w:t>По расходам бюджетов, источником финансового обеспечения которых являются субсидии, субвенции, иные целевые межбюджетные трансферты из ФБ, поле заполняется в соответствии с перечнем кодов целей, присвоенных ФК.</w:t>
            </w:r>
          </w:p>
          <w:p w14:paraId="7A3D8232" w14:textId="77777777" w:rsidR="00AD1F54" w:rsidRPr="00264D5D" w:rsidRDefault="00941227">
            <w:pPr>
              <w:pStyle w:val="GOSTTablenorm"/>
              <w:widowControl w:val="0"/>
            </w:pPr>
            <w:r w:rsidRPr="00264D5D">
              <w:t>Поле обязательно для заполнения при оформлении Сводной заявки по л/с с кодом «21», «31».</w:t>
            </w:r>
          </w:p>
          <w:p w14:paraId="24B8B84B" w14:textId="77777777" w:rsidR="00AD1F54" w:rsidRPr="00264D5D" w:rsidRDefault="00941227">
            <w:pPr>
              <w:pStyle w:val="GOSTTablenorm"/>
              <w:widowControl w:val="0"/>
            </w:pPr>
            <w:r w:rsidRPr="00264D5D">
              <w:t>В случае представления Сводной заявки по л/с с кодом «</w:t>
            </w:r>
            <w:r w:rsidR="004A5918" w:rsidRPr="00264D5D">
              <w:t>21» / «</w:t>
            </w:r>
            <w:r w:rsidRPr="00264D5D">
              <w:t>31» без указания кода субсидии, в поле указывается прочерк («-»).</w:t>
            </w:r>
          </w:p>
          <w:p w14:paraId="5D82E019" w14:textId="77777777" w:rsidR="00AD1F54" w:rsidRPr="00264D5D" w:rsidRDefault="00941227">
            <w:pPr>
              <w:pStyle w:val="GOSTTablenorm"/>
              <w:widowControl w:val="0"/>
            </w:pPr>
            <w:r w:rsidRPr="00264D5D">
              <w:t>При оформлении Сводной заявки на кассовый расход по л/с федерального бюджета с кодом «05» указывается идентификационный код выплат, предусмотренный Порядком санкционирования операций со средствами, поступающими во временное распоряжение получателей средств федерального бюджета.</w:t>
            </w:r>
          </w:p>
          <w:p w14:paraId="00DC0A89" w14:textId="77777777" w:rsidR="00AD1F54" w:rsidRPr="00264D5D" w:rsidRDefault="00941227">
            <w:pPr>
              <w:pStyle w:val="GOSTTablenorm"/>
              <w:widowControl w:val="0"/>
            </w:pPr>
            <w:r w:rsidRPr="00264D5D">
              <w:t>Не заполняется при указании кода цели субсидии (аналитического кода) или идентификац</w:t>
            </w:r>
            <w:r w:rsidR="004A5918" w:rsidRPr="00264D5D">
              <w:t xml:space="preserve">ионного кода выплат в </w:t>
            </w:r>
            <w:r w:rsidR="004A5918" w:rsidRPr="00264D5D">
              <w:lastRenderedPageBreak/>
              <w:t>разделе 2</w:t>
            </w:r>
          </w:p>
        </w:tc>
      </w:tr>
      <w:tr w:rsidR="00AD1F54" w:rsidRPr="00264D5D" w14:paraId="4F672712" w14:textId="77777777" w:rsidTr="00AD1F54">
        <w:trPr>
          <w:gridAfter w:val="1"/>
          <w:cnfStyle w:val="000000100000" w:firstRow="0" w:lastRow="0" w:firstColumn="0" w:lastColumn="0" w:oddVBand="0" w:evenVBand="0" w:oddHBand="1" w:evenHBand="0" w:firstRowFirstColumn="0" w:firstRowLastColumn="0" w:lastRowFirstColumn="0" w:lastRowLastColumn="0"/>
          <w:wAfter w:w="6" w:type="dxa"/>
        </w:trPr>
        <w:tc>
          <w:tcPr>
            <w:tcW w:w="1700" w:type="dxa"/>
          </w:tcPr>
          <w:p w14:paraId="78086E7A" w14:textId="77777777" w:rsidR="00AD1F54" w:rsidRPr="00264D5D" w:rsidRDefault="00941227">
            <w:pPr>
              <w:pStyle w:val="GOSTTablenorm"/>
              <w:widowControl w:val="0"/>
            </w:pPr>
            <w:r w:rsidRPr="00264D5D">
              <w:lastRenderedPageBreak/>
              <w:t>Статус налогоплательщика</w:t>
            </w:r>
          </w:p>
        </w:tc>
        <w:tc>
          <w:tcPr>
            <w:tcW w:w="1700" w:type="dxa"/>
          </w:tcPr>
          <w:p w14:paraId="7683235C" w14:textId="77777777" w:rsidR="00AD1F54" w:rsidRPr="00264D5D" w:rsidRDefault="00941227">
            <w:pPr>
              <w:pStyle w:val="GOSTTablenorm"/>
              <w:widowControl w:val="0"/>
            </w:pPr>
            <w:r w:rsidRPr="00264D5D">
              <w:t>ZK1_TxprSts</w:t>
            </w:r>
          </w:p>
        </w:tc>
        <w:tc>
          <w:tcPr>
            <w:tcW w:w="567" w:type="dxa"/>
          </w:tcPr>
          <w:p w14:paraId="1FF06B59" w14:textId="77777777" w:rsidR="00AD1F54" w:rsidRPr="00264D5D" w:rsidRDefault="00941227">
            <w:pPr>
              <w:pStyle w:val="GOSTTablenorm"/>
              <w:widowControl w:val="0"/>
              <w:jc w:val="center"/>
            </w:pPr>
            <w:r w:rsidRPr="00264D5D">
              <w:t>П</w:t>
            </w:r>
          </w:p>
        </w:tc>
        <w:tc>
          <w:tcPr>
            <w:tcW w:w="1133" w:type="dxa"/>
          </w:tcPr>
          <w:p w14:paraId="6552F099" w14:textId="77777777" w:rsidR="00AD1F54" w:rsidRPr="00264D5D" w:rsidRDefault="00941227">
            <w:pPr>
              <w:pStyle w:val="GOSTTablenorm"/>
              <w:widowControl w:val="0"/>
            </w:pPr>
            <w:r w:rsidRPr="00264D5D">
              <w:t>Т(2)</w:t>
            </w:r>
          </w:p>
        </w:tc>
        <w:tc>
          <w:tcPr>
            <w:tcW w:w="567" w:type="dxa"/>
          </w:tcPr>
          <w:p w14:paraId="39E5116C" w14:textId="77777777" w:rsidR="00AD1F54" w:rsidRPr="00264D5D" w:rsidRDefault="00941227">
            <w:pPr>
              <w:pStyle w:val="GOSTTablenorm"/>
              <w:widowControl w:val="0"/>
              <w:jc w:val="center"/>
            </w:pPr>
            <w:r w:rsidRPr="00264D5D">
              <w:t>Н</w:t>
            </w:r>
          </w:p>
        </w:tc>
        <w:tc>
          <w:tcPr>
            <w:tcW w:w="3961" w:type="dxa"/>
          </w:tcPr>
          <w:p w14:paraId="23DA2F08" w14:textId="77777777" w:rsidR="00AD1F54" w:rsidRPr="00264D5D" w:rsidRDefault="00941227">
            <w:pPr>
              <w:pStyle w:val="GOSTTablenorm"/>
              <w:rPr>
                <w:szCs w:val="22"/>
              </w:rPr>
            </w:pPr>
            <w:r w:rsidRPr="00264D5D">
              <w:rPr>
                <w:szCs w:val="22"/>
              </w:rPr>
              <w:t>Указывается статус налогоплательщика.</w:t>
            </w:r>
          </w:p>
          <w:p w14:paraId="044B14BC" w14:textId="77777777" w:rsidR="00AD1F54" w:rsidRPr="00264D5D" w:rsidRDefault="00941227">
            <w:pPr>
              <w:widowControl w:val="0"/>
              <w:spacing w:before="60" w:after="60"/>
            </w:pPr>
            <w:r w:rsidRPr="00264D5D">
              <w:rPr>
                <w:sz w:val="22"/>
                <w:szCs w:val="22"/>
              </w:rPr>
              <w:t>Поле обязательно для заполнения, если в поле «Номер счета» указан счет №№ 03100, 03212, 03222; 03232; 03242; 03262; 03272; 03214; 03224; 03234; 03244 или в реквизите «БИК банка/ТОФК» указан БИК ПБР и при этом счет получателя соответствует балансовому счету № 40503/40603/40703 с приз</w:t>
            </w:r>
            <w:r w:rsidR="004A5918" w:rsidRPr="00264D5D">
              <w:rPr>
                <w:sz w:val="22"/>
                <w:szCs w:val="22"/>
              </w:rPr>
              <w:t>наком «4» в 14 разряде, № 40204</w:t>
            </w:r>
          </w:p>
        </w:tc>
      </w:tr>
      <w:tr w:rsidR="00AD1F54" w:rsidRPr="00264D5D" w14:paraId="31220645"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0" w:type="dxa"/>
          </w:tcPr>
          <w:p w14:paraId="4352AEE9" w14:textId="77777777" w:rsidR="00AD1F54" w:rsidRPr="00264D5D" w:rsidRDefault="00941227">
            <w:pPr>
              <w:pStyle w:val="GOSTTablenorm"/>
              <w:widowControl w:val="0"/>
            </w:pPr>
            <w:r w:rsidRPr="00264D5D">
              <w:t>Информация о платеже (для раздела 1)</w:t>
            </w:r>
          </w:p>
        </w:tc>
        <w:tc>
          <w:tcPr>
            <w:tcW w:w="1700" w:type="dxa"/>
          </w:tcPr>
          <w:p w14:paraId="560D0486" w14:textId="77777777" w:rsidR="00AD1F54" w:rsidRPr="00264D5D" w:rsidRDefault="00941227">
            <w:pPr>
              <w:pStyle w:val="GOSTTablenorm"/>
              <w:widowControl w:val="0"/>
            </w:pPr>
            <w:r w:rsidRPr="00264D5D">
              <w:t>ZK1_MSC_Pmnt</w:t>
            </w:r>
          </w:p>
        </w:tc>
        <w:tc>
          <w:tcPr>
            <w:tcW w:w="567" w:type="dxa"/>
          </w:tcPr>
          <w:p w14:paraId="4C736763" w14:textId="77777777" w:rsidR="00AD1F54" w:rsidRPr="00264D5D" w:rsidRDefault="00941227">
            <w:pPr>
              <w:pStyle w:val="GOSTTablenorm"/>
              <w:widowControl w:val="0"/>
              <w:jc w:val="center"/>
            </w:pPr>
            <w:r w:rsidRPr="00264D5D">
              <w:t>С</w:t>
            </w:r>
          </w:p>
        </w:tc>
        <w:tc>
          <w:tcPr>
            <w:tcW w:w="1133" w:type="dxa"/>
          </w:tcPr>
          <w:p w14:paraId="02523196" w14:textId="77777777" w:rsidR="00AD1F54" w:rsidRPr="00264D5D" w:rsidRDefault="00941227">
            <w:pPr>
              <w:pStyle w:val="GOSTTablenorm"/>
              <w:widowControl w:val="0"/>
            </w:pPr>
            <w:r w:rsidRPr="00264D5D">
              <w:t>tMSC_Pmnt</w:t>
            </w:r>
          </w:p>
        </w:tc>
        <w:tc>
          <w:tcPr>
            <w:tcW w:w="567" w:type="dxa"/>
          </w:tcPr>
          <w:p w14:paraId="2644FB32" w14:textId="77777777" w:rsidR="00AD1F54" w:rsidRPr="00264D5D" w:rsidRDefault="00941227">
            <w:pPr>
              <w:pStyle w:val="GOSTTablenorm"/>
              <w:widowControl w:val="0"/>
              <w:jc w:val="center"/>
            </w:pPr>
            <w:r w:rsidRPr="00264D5D">
              <w:t>О</w:t>
            </w:r>
          </w:p>
        </w:tc>
        <w:tc>
          <w:tcPr>
            <w:tcW w:w="3961" w:type="dxa"/>
          </w:tcPr>
          <w:p w14:paraId="3F656D61" w14:textId="323D6896" w:rsidR="00AD1F54" w:rsidRPr="00264D5D" w:rsidRDefault="00941227">
            <w:pPr>
              <w:pStyle w:val="GOSTTablenorm"/>
              <w:widowControl w:val="0"/>
            </w:pPr>
            <w:r w:rsidRPr="00264D5D">
              <w:t xml:space="preserve">Состав элемента представлен в таблице </w:t>
            </w:r>
            <w:r w:rsidRPr="00264D5D">
              <w:rPr>
                <w:bCs/>
              </w:rPr>
              <w:fldChar w:fldCharType="begin"/>
            </w:r>
            <w:r w:rsidRPr="00264D5D">
              <w:instrText xml:space="preserve"> REF _Ref52174232 \h </w:instrText>
            </w:r>
            <w:r w:rsidRPr="00264D5D">
              <w:rPr>
                <w:bCs/>
              </w:rPr>
              <w:instrText xml:space="preserve"> \* MERGEFORMAT </w:instrText>
            </w:r>
            <w:r w:rsidRPr="00264D5D">
              <w:rPr>
                <w:bCs/>
              </w:rPr>
            </w:r>
            <w:r w:rsidRPr="00264D5D">
              <w:rPr>
                <w:bCs/>
              </w:rPr>
              <w:fldChar w:fldCharType="separate"/>
            </w:r>
            <w:r w:rsidR="008D797C">
              <w:rPr>
                <w:rFonts w:eastAsia="Calibri"/>
                <w:szCs w:val="24"/>
              </w:rPr>
              <w:t>100</w:t>
            </w:r>
            <w:r w:rsidRPr="00264D5D">
              <w:rPr>
                <w:bCs/>
              </w:rPr>
              <w:fldChar w:fldCharType="end"/>
            </w:r>
          </w:p>
        </w:tc>
      </w:tr>
      <w:tr w:rsidR="00AD1F54" w:rsidRPr="00264D5D" w14:paraId="6E3D30A8" w14:textId="77777777" w:rsidTr="00AD1F54">
        <w:trPr>
          <w:gridAfter w:val="1"/>
          <w:cnfStyle w:val="000000100000" w:firstRow="0" w:lastRow="0" w:firstColumn="0" w:lastColumn="0" w:oddVBand="0" w:evenVBand="0" w:oddHBand="1" w:evenHBand="0" w:firstRowFirstColumn="0" w:firstRowLastColumn="0" w:lastRowFirstColumn="0" w:lastRowLastColumn="0"/>
          <w:wAfter w:w="6" w:type="dxa"/>
        </w:trPr>
        <w:tc>
          <w:tcPr>
            <w:tcW w:w="1700" w:type="dxa"/>
          </w:tcPr>
          <w:p w14:paraId="01574B5A" w14:textId="77777777" w:rsidR="00AD1F54" w:rsidRPr="00264D5D" w:rsidRDefault="00941227">
            <w:pPr>
              <w:pStyle w:val="GOSTTablenorm"/>
              <w:widowControl w:val="0"/>
            </w:pPr>
            <w:r w:rsidRPr="00264D5D">
              <w:t>Сумма</w:t>
            </w:r>
          </w:p>
        </w:tc>
        <w:tc>
          <w:tcPr>
            <w:tcW w:w="1700" w:type="dxa"/>
          </w:tcPr>
          <w:p w14:paraId="0CF27DB6" w14:textId="77777777" w:rsidR="00AD1F54" w:rsidRPr="00264D5D" w:rsidRDefault="00941227">
            <w:pPr>
              <w:pStyle w:val="GOSTTablenorm"/>
              <w:widowControl w:val="0"/>
            </w:pPr>
            <w:r w:rsidRPr="00264D5D">
              <w:t>ZK1_Amnt</w:t>
            </w:r>
          </w:p>
        </w:tc>
        <w:tc>
          <w:tcPr>
            <w:tcW w:w="567" w:type="dxa"/>
          </w:tcPr>
          <w:p w14:paraId="4DCD6391" w14:textId="77777777" w:rsidR="00AD1F54" w:rsidRPr="00264D5D" w:rsidRDefault="00941227">
            <w:pPr>
              <w:pStyle w:val="GOSTTablenorm"/>
              <w:widowControl w:val="0"/>
              <w:jc w:val="center"/>
            </w:pPr>
            <w:r w:rsidRPr="00264D5D">
              <w:t>П</w:t>
            </w:r>
          </w:p>
        </w:tc>
        <w:tc>
          <w:tcPr>
            <w:tcW w:w="1133" w:type="dxa"/>
          </w:tcPr>
          <w:p w14:paraId="5B719CB6" w14:textId="77777777" w:rsidR="00AD1F54" w:rsidRPr="00264D5D" w:rsidRDefault="00941227">
            <w:pPr>
              <w:pStyle w:val="GOSTTablenorm"/>
              <w:widowControl w:val="0"/>
            </w:pPr>
            <w:r w:rsidRPr="00264D5D">
              <w:t>N(20.2)</w:t>
            </w:r>
          </w:p>
        </w:tc>
        <w:tc>
          <w:tcPr>
            <w:tcW w:w="567" w:type="dxa"/>
          </w:tcPr>
          <w:p w14:paraId="3095CAFC" w14:textId="77777777" w:rsidR="00AD1F54" w:rsidRPr="00264D5D" w:rsidRDefault="00941227">
            <w:pPr>
              <w:pStyle w:val="GOSTTablenorm"/>
              <w:widowControl w:val="0"/>
              <w:jc w:val="center"/>
            </w:pPr>
            <w:r w:rsidRPr="00264D5D">
              <w:t>О</w:t>
            </w:r>
          </w:p>
        </w:tc>
        <w:tc>
          <w:tcPr>
            <w:tcW w:w="3961" w:type="dxa"/>
          </w:tcPr>
          <w:p w14:paraId="7D98E95B" w14:textId="77777777" w:rsidR="00AD1F54" w:rsidRPr="00264D5D" w:rsidRDefault="00941227">
            <w:pPr>
              <w:pStyle w:val="GOSTTablenorm"/>
              <w:widowControl w:val="0"/>
            </w:pPr>
            <w:r w:rsidRPr="00264D5D">
              <w:t xml:space="preserve">Общая сумма выплат </w:t>
            </w:r>
            <w:r w:rsidR="004A5918" w:rsidRPr="00264D5D">
              <w:t>в рублях</w:t>
            </w:r>
          </w:p>
        </w:tc>
      </w:tr>
      <w:tr w:rsidR="00AD1F54" w:rsidRPr="00264D5D" w14:paraId="1A5282EF"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0" w:type="dxa"/>
          </w:tcPr>
          <w:p w14:paraId="3C808CC0" w14:textId="77777777" w:rsidR="00AD1F54" w:rsidRPr="00264D5D" w:rsidRDefault="00941227">
            <w:pPr>
              <w:pStyle w:val="GOSTTablenorm"/>
              <w:widowControl w:val="0"/>
            </w:pPr>
            <w:r w:rsidRPr="00264D5D">
              <w:t>Примечание</w:t>
            </w:r>
          </w:p>
        </w:tc>
        <w:tc>
          <w:tcPr>
            <w:tcW w:w="1700" w:type="dxa"/>
          </w:tcPr>
          <w:p w14:paraId="2AA474FF" w14:textId="77777777" w:rsidR="00AD1F54" w:rsidRPr="00264D5D" w:rsidRDefault="00941227">
            <w:pPr>
              <w:pStyle w:val="GOSTTablenorm"/>
              <w:widowControl w:val="0"/>
            </w:pPr>
            <w:r w:rsidRPr="00264D5D">
              <w:t>ZK1_Nt1</w:t>
            </w:r>
          </w:p>
        </w:tc>
        <w:tc>
          <w:tcPr>
            <w:tcW w:w="567" w:type="dxa"/>
          </w:tcPr>
          <w:p w14:paraId="02292CE9" w14:textId="77777777" w:rsidR="00AD1F54" w:rsidRPr="00264D5D" w:rsidRDefault="00941227">
            <w:pPr>
              <w:pStyle w:val="GOSTTablenorm"/>
              <w:widowControl w:val="0"/>
              <w:jc w:val="center"/>
            </w:pPr>
            <w:r w:rsidRPr="00264D5D">
              <w:t>П</w:t>
            </w:r>
          </w:p>
        </w:tc>
        <w:tc>
          <w:tcPr>
            <w:tcW w:w="1133" w:type="dxa"/>
          </w:tcPr>
          <w:p w14:paraId="00ACAB0F" w14:textId="77777777" w:rsidR="00AD1F54" w:rsidRPr="00264D5D" w:rsidRDefault="00941227">
            <w:pPr>
              <w:pStyle w:val="GOSTTablenorm"/>
              <w:widowControl w:val="0"/>
            </w:pPr>
            <w:r w:rsidRPr="00264D5D">
              <w:t>Т(1-2000)</w:t>
            </w:r>
          </w:p>
        </w:tc>
        <w:tc>
          <w:tcPr>
            <w:tcW w:w="567" w:type="dxa"/>
          </w:tcPr>
          <w:p w14:paraId="7B2B0BB4" w14:textId="77777777" w:rsidR="00AD1F54" w:rsidRPr="00264D5D" w:rsidRDefault="00941227">
            <w:pPr>
              <w:pStyle w:val="GOSTTablenorm"/>
              <w:widowControl w:val="0"/>
              <w:jc w:val="center"/>
            </w:pPr>
            <w:r w:rsidRPr="00264D5D">
              <w:t>Н</w:t>
            </w:r>
          </w:p>
        </w:tc>
        <w:tc>
          <w:tcPr>
            <w:tcW w:w="3961" w:type="dxa"/>
          </w:tcPr>
          <w:p w14:paraId="3D6D0480" w14:textId="77777777" w:rsidR="00AD1F54" w:rsidRPr="00264D5D" w:rsidRDefault="00941227">
            <w:pPr>
              <w:pStyle w:val="GOSTTablenorm"/>
              <w:widowControl w:val="0"/>
            </w:pPr>
            <w:r w:rsidRPr="00264D5D">
              <w:t>Указывается иная информация, нео</w:t>
            </w:r>
            <w:r w:rsidR="004A5918" w:rsidRPr="00264D5D">
              <w:t>бходимая для исполнения бюджета</w:t>
            </w:r>
          </w:p>
        </w:tc>
      </w:tr>
      <w:tr w:rsidR="00AD1F54" w:rsidRPr="00264D5D" w14:paraId="4681CE90" w14:textId="77777777" w:rsidTr="00AD1F54">
        <w:trPr>
          <w:cnfStyle w:val="000000100000" w:firstRow="0" w:lastRow="0" w:firstColumn="0" w:lastColumn="0" w:oddVBand="0" w:evenVBand="0" w:oddHBand="1" w:evenHBand="0" w:firstRowFirstColumn="0" w:firstRowLastColumn="0" w:lastRowFirstColumn="0" w:lastRowLastColumn="0"/>
        </w:trPr>
        <w:tc>
          <w:tcPr>
            <w:tcW w:w="9634" w:type="dxa"/>
            <w:gridSpan w:val="7"/>
          </w:tcPr>
          <w:p w14:paraId="6A75DBE5" w14:textId="77777777" w:rsidR="00AD1F54" w:rsidRPr="00264D5D" w:rsidRDefault="00941227">
            <w:pPr>
              <w:pStyle w:val="GOSTTablenorm"/>
              <w:widowControl w:val="0"/>
            </w:pPr>
            <w:r w:rsidRPr="00264D5D">
              <w:rPr>
                <w:b/>
                <w:szCs w:val="22"/>
              </w:rPr>
              <w:t>Дополнительная информация</w:t>
            </w:r>
          </w:p>
        </w:tc>
      </w:tr>
      <w:tr w:rsidR="00AD1F54" w:rsidRPr="00264D5D" w14:paraId="18576FFA"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0" w:type="dxa"/>
          </w:tcPr>
          <w:p w14:paraId="7CDE3324" w14:textId="77777777" w:rsidR="00AD1F54" w:rsidRPr="00264D5D" w:rsidRDefault="00941227">
            <w:pPr>
              <w:pStyle w:val="GOSTTablenorm"/>
              <w:widowControl w:val="0"/>
            </w:pPr>
            <w:r w:rsidRPr="00264D5D">
              <w:t>Уровень конфиденциальности</w:t>
            </w:r>
          </w:p>
        </w:tc>
        <w:tc>
          <w:tcPr>
            <w:tcW w:w="1700" w:type="dxa"/>
          </w:tcPr>
          <w:p w14:paraId="735CDB32" w14:textId="77777777" w:rsidR="00AD1F54" w:rsidRPr="00264D5D" w:rsidRDefault="00941227">
            <w:pPr>
              <w:pStyle w:val="GOSTTablenorm"/>
              <w:widowControl w:val="0"/>
            </w:pPr>
            <w:r w:rsidRPr="00264D5D">
              <w:t>TtlPrt_SECRECY</w:t>
            </w:r>
          </w:p>
        </w:tc>
        <w:tc>
          <w:tcPr>
            <w:tcW w:w="567" w:type="dxa"/>
          </w:tcPr>
          <w:p w14:paraId="4C51F564" w14:textId="77777777" w:rsidR="00AD1F54" w:rsidRPr="00264D5D" w:rsidRDefault="00941227">
            <w:pPr>
              <w:pStyle w:val="GOSTTablenorm"/>
              <w:widowControl w:val="0"/>
              <w:jc w:val="center"/>
            </w:pPr>
            <w:r w:rsidRPr="00264D5D">
              <w:rPr>
                <w:szCs w:val="22"/>
              </w:rPr>
              <w:t>П</w:t>
            </w:r>
          </w:p>
        </w:tc>
        <w:tc>
          <w:tcPr>
            <w:tcW w:w="1133" w:type="dxa"/>
          </w:tcPr>
          <w:p w14:paraId="7F3FCA47" w14:textId="77777777" w:rsidR="00AD1F54" w:rsidRPr="00264D5D" w:rsidRDefault="00941227">
            <w:pPr>
              <w:pStyle w:val="GOSTTablenorm"/>
              <w:widowControl w:val="0"/>
            </w:pPr>
            <w:r w:rsidRPr="00264D5D">
              <w:rPr>
                <w:szCs w:val="22"/>
              </w:rPr>
              <w:t>Т(1)</w:t>
            </w:r>
          </w:p>
        </w:tc>
        <w:tc>
          <w:tcPr>
            <w:tcW w:w="567" w:type="dxa"/>
          </w:tcPr>
          <w:p w14:paraId="4D3FF489" w14:textId="77777777" w:rsidR="00AD1F54" w:rsidRPr="00264D5D" w:rsidRDefault="00941227">
            <w:pPr>
              <w:pStyle w:val="GOSTTablenorm"/>
              <w:widowControl w:val="0"/>
              <w:jc w:val="center"/>
            </w:pPr>
            <w:r w:rsidRPr="00264D5D">
              <w:rPr>
                <w:szCs w:val="22"/>
              </w:rPr>
              <w:t>Н</w:t>
            </w:r>
          </w:p>
        </w:tc>
        <w:tc>
          <w:tcPr>
            <w:tcW w:w="3961" w:type="dxa"/>
          </w:tcPr>
          <w:p w14:paraId="29951798" w14:textId="77777777" w:rsidR="00AD1F54" w:rsidRPr="00264D5D" w:rsidRDefault="00941227">
            <w:pPr>
              <w:pStyle w:val="GOSTTablenorm"/>
              <w:widowControl w:val="0"/>
              <w:rPr>
                <w:szCs w:val="22"/>
              </w:rPr>
            </w:pPr>
            <w:r w:rsidRPr="00264D5D">
              <w:rPr>
                <w:szCs w:val="22"/>
              </w:rPr>
              <w:t>Указывается уровень конфиденциальности.</w:t>
            </w:r>
          </w:p>
          <w:p w14:paraId="57B6E44E" w14:textId="77777777" w:rsidR="00AD1F54" w:rsidRPr="00264D5D" w:rsidRDefault="00941227">
            <w:pPr>
              <w:pStyle w:val="GOSTTablenorm"/>
              <w:widowControl w:val="0"/>
              <w:rPr>
                <w:szCs w:val="22"/>
              </w:rPr>
            </w:pPr>
            <w:r w:rsidRPr="00264D5D">
              <w:rPr>
                <w:szCs w:val="22"/>
              </w:rPr>
              <w:t>Возможные значения:</w:t>
            </w:r>
          </w:p>
          <w:p w14:paraId="1E61661F" w14:textId="77777777" w:rsidR="00AD1F54" w:rsidRPr="00264D5D" w:rsidRDefault="00941227" w:rsidP="004A5918">
            <w:pPr>
              <w:pStyle w:val="GOSTTableListMark1"/>
              <w:widowControl w:val="0"/>
              <w:numPr>
                <w:ilvl w:val="0"/>
                <w:numId w:val="65"/>
              </w:numPr>
              <w:tabs>
                <w:tab w:val="clear" w:pos="340"/>
                <w:tab w:val="num" w:pos="227"/>
              </w:tabs>
              <w:spacing w:before="60" w:after="60"/>
              <w:ind w:left="284"/>
              <w:jc w:val="both"/>
              <w:rPr>
                <w:szCs w:val="22"/>
              </w:rPr>
            </w:pPr>
            <w:r w:rsidRPr="00264D5D">
              <w:t>«0» – Несекретно;</w:t>
            </w:r>
          </w:p>
          <w:p w14:paraId="19976850" w14:textId="77777777" w:rsidR="00AD1F54" w:rsidRPr="00264D5D" w:rsidRDefault="00941227" w:rsidP="004A5918">
            <w:pPr>
              <w:pStyle w:val="GOSTTableListMark1"/>
              <w:widowControl w:val="0"/>
              <w:numPr>
                <w:ilvl w:val="0"/>
                <w:numId w:val="65"/>
              </w:numPr>
              <w:tabs>
                <w:tab w:val="clear" w:pos="340"/>
                <w:tab w:val="num" w:pos="227"/>
              </w:tabs>
              <w:spacing w:before="60" w:after="60"/>
              <w:ind w:left="284"/>
              <w:jc w:val="both"/>
              <w:rPr>
                <w:szCs w:val="22"/>
              </w:rPr>
            </w:pPr>
            <w:r w:rsidRPr="00264D5D">
              <w:t>«1» – Для служебного пользования.</w:t>
            </w:r>
          </w:p>
          <w:p w14:paraId="60898F9D" w14:textId="77777777" w:rsidR="00AD1F54" w:rsidRPr="00264D5D" w:rsidRDefault="00941227">
            <w:pPr>
              <w:pStyle w:val="GOSTTablenorm"/>
              <w:widowControl w:val="0"/>
            </w:pPr>
            <w:r w:rsidRPr="00264D5D">
              <w:rPr>
                <w:szCs w:val="22"/>
              </w:rPr>
              <w:t>Обязателен для заполнения в случае взаимодействия по марш</w:t>
            </w:r>
            <w:r w:rsidR="004A5918" w:rsidRPr="00264D5D">
              <w:rPr>
                <w:szCs w:val="22"/>
              </w:rPr>
              <w:t>руту ПБС (ПФХД) – ТОФК (ПУР ЭБ)</w:t>
            </w:r>
          </w:p>
        </w:tc>
      </w:tr>
      <w:tr w:rsidR="00AD1F54" w:rsidRPr="00264D5D" w14:paraId="6896E4BF" w14:textId="77777777" w:rsidTr="00AD1F54">
        <w:trPr>
          <w:cnfStyle w:val="000000100000" w:firstRow="0" w:lastRow="0" w:firstColumn="0" w:lastColumn="0" w:oddVBand="0" w:evenVBand="0" w:oddHBand="1" w:evenHBand="0" w:firstRowFirstColumn="0" w:firstRowLastColumn="0" w:lastRowFirstColumn="0" w:lastRowLastColumn="0"/>
        </w:trPr>
        <w:tc>
          <w:tcPr>
            <w:tcW w:w="9634" w:type="dxa"/>
            <w:gridSpan w:val="7"/>
          </w:tcPr>
          <w:p w14:paraId="6D6F798C" w14:textId="77777777" w:rsidR="00AD1F54" w:rsidRPr="00264D5D" w:rsidRDefault="00941227">
            <w:pPr>
              <w:pStyle w:val="GOSTTablenorm"/>
              <w:widowControl w:val="0"/>
              <w:rPr>
                <w:szCs w:val="22"/>
              </w:rPr>
            </w:pPr>
            <w:r w:rsidRPr="00264D5D">
              <w:rPr>
                <w:b/>
                <w:szCs w:val="22"/>
              </w:rPr>
              <w:t>Системная информация</w:t>
            </w:r>
          </w:p>
        </w:tc>
      </w:tr>
      <w:tr w:rsidR="00AD1F54" w:rsidRPr="00264D5D" w14:paraId="3DF65200"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0" w:type="dxa"/>
          </w:tcPr>
          <w:p w14:paraId="7FD25B02" w14:textId="77777777" w:rsidR="00AD1F54" w:rsidRPr="00264D5D" w:rsidRDefault="00941227">
            <w:pPr>
              <w:pStyle w:val="GOSTTablenorm"/>
              <w:widowControl w:val="0"/>
              <w:rPr>
                <w:i/>
              </w:rPr>
            </w:pPr>
            <w:r w:rsidRPr="00264D5D">
              <w:t>Системная информация документа</w:t>
            </w:r>
          </w:p>
        </w:tc>
        <w:tc>
          <w:tcPr>
            <w:tcW w:w="1700" w:type="dxa"/>
          </w:tcPr>
          <w:p w14:paraId="43FA63F2" w14:textId="77777777" w:rsidR="00AD1F54" w:rsidRPr="00264D5D" w:rsidRDefault="00941227">
            <w:pPr>
              <w:pStyle w:val="GOSTTablenorm"/>
              <w:widowControl w:val="0"/>
            </w:pPr>
            <w:r w:rsidRPr="00264D5D">
              <w:t>ZK_MSC_Infrmtn</w:t>
            </w:r>
          </w:p>
        </w:tc>
        <w:tc>
          <w:tcPr>
            <w:tcW w:w="567" w:type="dxa"/>
          </w:tcPr>
          <w:p w14:paraId="77D91D71" w14:textId="77777777" w:rsidR="00AD1F54" w:rsidRPr="00264D5D" w:rsidRDefault="00941227">
            <w:pPr>
              <w:pStyle w:val="GOSTTablenorm"/>
              <w:widowControl w:val="0"/>
              <w:jc w:val="center"/>
            </w:pPr>
            <w:r w:rsidRPr="00264D5D">
              <w:t>С</w:t>
            </w:r>
          </w:p>
        </w:tc>
        <w:tc>
          <w:tcPr>
            <w:tcW w:w="1133" w:type="dxa"/>
          </w:tcPr>
          <w:p w14:paraId="5F4B72C8" w14:textId="77777777" w:rsidR="00AD1F54" w:rsidRPr="00264D5D" w:rsidRDefault="00941227">
            <w:pPr>
              <w:pStyle w:val="GOSTTablenorm"/>
              <w:widowControl w:val="0"/>
            </w:pPr>
            <w:r w:rsidRPr="00264D5D">
              <w:t>tMSC_Infrmtn</w:t>
            </w:r>
          </w:p>
        </w:tc>
        <w:tc>
          <w:tcPr>
            <w:tcW w:w="567" w:type="dxa"/>
          </w:tcPr>
          <w:p w14:paraId="6C7F50E0" w14:textId="77777777" w:rsidR="00AD1F54" w:rsidRPr="00264D5D" w:rsidRDefault="00941227">
            <w:pPr>
              <w:pStyle w:val="GOSTTablenorm"/>
              <w:widowControl w:val="0"/>
              <w:jc w:val="center"/>
            </w:pPr>
            <w:r w:rsidRPr="00264D5D">
              <w:t>О</w:t>
            </w:r>
          </w:p>
        </w:tc>
        <w:tc>
          <w:tcPr>
            <w:tcW w:w="3961" w:type="dxa"/>
          </w:tcPr>
          <w:p w14:paraId="6B4E82A1" w14:textId="44A1D2BC" w:rsidR="00AD1F54" w:rsidRPr="00264D5D" w:rsidRDefault="00941227">
            <w:pPr>
              <w:pStyle w:val="GOSTTablenorm"/>
              <w:widowControl w:val="0"/>
            </w:pPr>
            <w:r w:rsidRPr="00264D5D">
              <w:t xml:space="preserve">Состав элемента представлен в таблице </w:t>
            </w:r>
            <w:r w:rsidRPr="00264D5D">
              <w:rPr>
                <w:b/>
              </w:rPr>
              <w:fldChar w:fldCharType="begin"/>
            </w:r>
            <w:r w:rsidRPr="00264D5D">
              <w:rPr>
                <w:b/>
              </w:rPr>
              <w:instrText xml:space="preserve"> REF _Ref529351121 \h  \* MERGEFORMAT </w:instrText>
            </w:r>
            <w:r w:rsidRPr="00264D5D">
              <w:rPr>
                <w:b/>
              </w:rPr>
            </w:r>
            <w:r w:rsidRPr="00264D5D">
              <w:rPr>
                <w:b/>
              </w:rPr>
              <w:fldChar w:fldCharType="separate"/>
            </w:r>
            <w:r w:rsidR="008D797C" w:rsidRPr="008D797C">
              <w:rPr>
                <w:b/>
              </w:rPr>
              <w:t>135</w:t>
            </w:r>
            <w:r w:rsidRPr="00264D5D">
              <w:rPr>
                <w:b/>
              </w:rPr>
              <w:fldChar w:fldCharType="end"/>
            </w:r>
          </w:p>
        </w:tc>
      </w:tr>
      <w:tr w:rsidR="00AD1F54" w:rsidRPr="00264D5D" w14:paraId="04605367" w14:textId="77777777" w:rsidTr="00AD1F54">
        <w:trPr>
          <w:cnfStyle w:val="000000100000" w:firstRow="0" w:lastRow="0" w:firstColumn="0" w:lastColumn="0" w:oddVBand="0" w:evenVBand="0" w:oddHBand="1" w:evenHBand="0" w:firstRowFirstColumn="0" w:firstRowLastColumn="0" w:lastRowFirstColumn="0" w:lastRowLastColumn="0"/>
        </w:trPr>
        <w:tc>
          <w:tcPr>
            <w:tcW w:w="9634" w:type="dxa"/>
            <w:gridSpan w:val="7"/>
          </w:tcPr>
          <w:p w14:paraId="2DB4990D" w14:textId="77777777" w:rsidR="00AD1F54" w:rsidRPr="00264D5D" w:rsidRDefault="00941227">
            <w:pPr>
              <w:pStyle w:val="GOSTTablenorm"/>
              <w:widowControl w:val="0"/>
            </w:pPr>
            <w:r w:rsidRPr="00264D5D">
              <w:rPr>
                <w:b/>
                <w:szCs w:val="22"/>
              </w:rPr>
              <w:t>Реквизиты Раздела 2</w:t>
            </w:r>
          </w:p>
        </w:tc>
      </w:tr>
      <w:tr w:rsidR="00AD1F54" w:rsidRPr="00264D5D" w14:paraId="3DEDC789"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0" w:type="dxa"/>
          </w:tcPr>
          <w:p w14:paraId="7E6C5B6C" w14:textId="77777777" w:rsidR="00AD1F54" w:rsidRPr="00264D5D" w:rsidRDefault="00941227">
            <w:pPr>
              <w:pStyle w:val="GOSTTablenorm"/>
              <w:widowControl w:val="0"/>
              <w:rPr>
                <w:i/>
              </w:rPr>
            </w:pPr>
            <w:r w:rsidRPr="00264D5D">
              <w:t>Раздел 2</w:t>
            </w:r>
          </w:p>
        </w:tc>
        <w:tc>
          <w:tcPr>
            <w:tcW w:w="1700" w:type="dxa"/>
          </w:tcPr>
          <w:p w14:paraId="1DFC499A" w14:textId="77777777" w:rsidR="00AD1F54" w:rsidRPr="00264D5D" w:rsidRDefault="00941227">
            <w:pPr>
              <w:pStyle w:val="GOSTTablenorm"/>
              <w:widowControl w:val="0"/>
            </w:pPr>
            <w:r w:rsidRPr="00264D5D">
              <w:t>ZK2</w:t>
            </w:r>
          </w:p>
        </w:tc>
        <w:tc>
          <w:tcPr>
            <w:tcW w:w="567" w:type="dxa"/>
          </w:tcPr>
          <w:p w14:paraId="72A06D16" w14:textId="77777777" w:rsidR="00AD1F54" w:rsidRPr="00264D5D" w:rsidRDefault="00941227">
            <w:pPr>
              <w:pStyle w:val="GOSTTablenorm"/>
              <w:widowControl w:val="0"/>
              <w:jc w:val="center"/>
            </w:pPr>
            <w:r w:rsidRPr="00264D5D">
              <w:t>С</w:t>
            </w:r>
          </w:p>
        </w:tc>
        <w:tc>
          <w:tcPr>
            <w:tcW w:w="1133" w:type="dxa"/>
          </w:tcPr>
          <w:p w14:paraId="0F85E486" w14:textId="77777777" w:rsidR="00AD1F54" w:rsidRPr="00264D5D" w:rsidRDefault="00941227">
            <w:pPr>
              <w:pStyle w:val="GOSTTablenorm"/>
              <w:widowControl w:val="0"/>
            </w:pPr>
            <w:r w:rsidRPr="00264D5D">
              <w:t>tZK2</w:t>
            </w:r>
          </w:p>
        </w:tc>
        <w:tc>
          <w:tcPr>
            <w:tcW w:w="567" w:type="dxa"/>
          </w:tcPr>
          <w:p w14:paraId="1E9CA227" w14:textId="77777777" w:rsidR="00AD1F54" w:rsidRPr="00264D5D" w:rsidRDefault="00941227">
            <w:pPr>
              <w:pStyle w:val="GOSTTablenorm"/>
              <w:widowControl w:val="0"/>
              <w:jc w:val="center"/>
            </w:pPr>
            <w:r w:rsidRPr="00264D5D">
              <w:t>О</w:t>
            </w:r>
          </w:p>
        </w:tc>
        <w:tc>
          <w:tcPr>
            <w:tcW w:w="3961" w:type="dxa"/>
          </w:tcPr>
          <w:p w14:paraId="7A0571DB" w14:textId="49C808BF" w:rsidR="00AD1F54" w:rsidRPr="00264D5D" w:rsidRDefault="00941227">
            <w:pPr>
              <w:pStyle w:val="GOSTTablenorm"/>
              <w:widowControl w:val="0"/>
            </w:pPr>
            <w:r w:rsidRPr="00264D5D">
              <w:t xml:space="preserve">Состав элемента представлен в таблице </w:t>
            </w:r>
            <w:r w:rsidRPr="00264D5D">
              <w:rPr>
                <w:bCs/>
              </w:rPr>
              <w:fldChar w:fldCharType="begin"/>
            </w:r>
            <w:r w:rsidRPr="00264D5D">
              <w:instrText xml:space="preserve"> REF _Ref52174259 \h </w:instrText>
            </w:r>
            <w:r w:rsidRPr="00264D5D">
              <w:rPr>
                <w:bCs/>
              </w:rPr>
              <w:instrText xml:space="preserve"> \* MERGEFORMAT </w:instrText>
            </w:r>
            <w:r w:rsidRPr="00264D5D">
              <w:rPr>
                <w:bCs/>
              </w:rPr>
            </w:r>
            <w:r w:rsidRPr="00264D5D">
              <w:rPr>
                <w:bCs/>
              </w:rPr>
              <w:fldChar w:fldCharType="separate"/>
            </w:r>
            <w:r w:rsidR="008D797C">
              <w:rPr>
                <w:rFonts w:eastAsia="Calibri"/>
                <w:szCs w:val="24"/>
              </w:rPr>
              <w:t>102</w:t>
            </w:r>
            <w:r w:rsidRPr="00264D5D">
              <w:rPr>
                <w:bCs/>
              </w:rPr>
              <w:fldChar w:fldCharType="end"/>
            </w:r>
          </w:p>
        </w:tc>
      </w:tr>
      <w:tr w:rsidR="00AD1F54" w:rsidRPr="00264D5D" w14:paraId="0C4A10BF" w14:textId="77777777" w:rsidTr="00AD1F54">
        <w:trPr>
          <w:cnfStyle w:val="000000100000" w:firstRow="0" w:lastRow="0" w:firstColumn="0" w:lastColumn="0" w:oddVBand="0" w:evenVBand="0" w:oddHBand="1" w:evenHBand="0" w:firstRowFirstColumn="0" w:firstRowLastColumn="0" w:lastRowFirstColumn="0" w:lastRowLastColumn="0"/>
        </w:trPr>
        <w:tc>
          <w:tcPr>
            <w:tcW w:w="9634" w:type="dxa"/>
            <w:gridSpan w:val="7"/>
          </w:tcPr>
          <w:p w14:paraId="660C98AD" w14:textId="77777777" w:rsidR="00AD1F54" w:rsidRPr="00264D5D" w:rsidRDefault="00941227">
            <w:pPr>
              <w:pStyle w:val="GOSTTablenorm"/>
              <w:widowControl w:val="0"/>
            </w:pPr>
            <w:r w:rsidRPr="00264D5D">
              <w:rPr>
                <w:b/>
                <w:szCs w:val="22"/>
              </w:rPr>
              <w:t>ЭП</w:t>
            </w:r>
          </w:p>
        </w:tc>
      </w:tr>
      <w:tr w:rsidR="00AD1F54" w:rsidRPr="00264D5D" w14:paraId="04F68F10"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0" w:type="dxa"/>
          </w:tcPr>
          <w:p w14:paraId="10713872" w14:textId="77777777" w:rsidR="00AD1F54" w:rsidRPr="00264D5D" w:rsidRDefault="00941227">
            <w:pPr>
              <w:pStyle w:val="GOSTTablenorm"/>
              <w:widowControl w:val="0"/>
              <w:rPr>
                <w:i/>
              </w:rPr>
            </w:pPr>
            <w:r w:rsidRPr="00264D5D">
              <w:t>Электронная подпись</w:t>
            </w:r>
          </w:p>
        </w:tc>
        <w:tc>
          <w:tcPr>
            <w:tcW w:w="1700" w:type="dxa"/>
          </w:tcPr>
          <w:p w14:paraId="628F24B6" w14:textId="77777777" w:rsidR="00AD1F54" w:rsidRPr="00264D5D" w:rsidRDefault="00941227">
            <w:pPr>
              <w:pStyle w:val="GOSTTablenorm"/>
              <w:widowControl w:val="0"/>
            </w:pPr>
            <w:r w:rsidRPr="00264D5D">
              <w:t>Signature</w:t>
            </w:r>
          </w:p>
        </w:tc>
        <w:tc>
          <w:tcPr>
            <w:tcW w:w="567" w:type="dxa"/>
          </w:tcPr>
          <w:p w14:paraId="288035E8" w14:textId="77777777" w:rsidR="00AD1F54" w:rsidRPr="00264D5D" w:rsidRDefault="00941227">
            <w:pPr>
              <w:pStyle w:val="GOSTTablenorm"/>
              <w:widowControl w:val="0"/>
              <w:jc w:val="center"/>
            </w:pPr>
            <w:r w:rsidRPr="00264D5D">
              <w:t>С</w:t>
            </w:r>
          </w:p>
        </w:tc>
        <w:tc>
          <w:tcPr>
            <w:tcW w:w="1133" w:type="dxa"/>
          </w:tcPr>
          <w:p w14:paraId="59A0CC50" w14:textId="77777777" w:rsidR="00AD1F54" w:rsidRPr="00264D5D" w:rsidRDefault="00941227">
            <w:pPr>
              <w:pStyle w:val="GOSTTablenorm"/>
              <w:widowControl w:val="0"/>
            </w:pPr>
            <w:r w:rsidRPr="00264D5D">
              <w:t>SignatureType</w:t>
            </w:r>
          </w:p>
        </w:tc>
        <w:tc>
          <w:tcPr>
            <w:tcW w:w="567" w:type="dxa"/>
          </w:tcPr>
          <w:p w14:paraId="08CAFA66" w14:textId="77777777" w:rsidR="00AD1F54" w:rsidRPr="00264D5D" w:rsidRDefault="00941227">
            <w:pPr>
              <w:pStyle w:val="GOSTTablenorm"/>
              <w:widowControl w:val="0"/>
              <w:jc w:val="center"/>
            </w:pPr>
            <w:r w:rsidRPr="00264D5D">
              <w:t>НМ</w:t>
            </w:r>
          </w:p>
        </w:tc>
        <w:tc>
          <w:tcPr>
            <w:tcW w:w="3961" w:type="dxa"/>
          </w:tcPr>
          <w:p w14:paraId="6DF4CCA8" w14:textId="77777777" w:rsidR="00AD1F54" w:rsidRPr="00264D5D" w:rsidRDefault="00941227">
            <w:pPr>
              <w:pStyle w:val="GOSTTablenorm"/>
              <w:widowControl w:val="0"/>
            </w:pPr>
            <w:r w:rsidRPr="00264D5D">
              <w:t>Блок подписи в формате XAdes. Указывается как референс согласно формату подписи XAdes.</w:t>
            </w:r>
          </w:p>
          <w:p w14:paraId="635C2C4F" w14:textId="77777777" w:rsidR="00AD1F54" w:rsidRPr="00264D5D" w:rsidRDefault="00941227">
            <w:pPr>
              <w:widowControl w:val="0"/>
              <w:spacing w:before="60" w:after="60"/>
              <w:rPr>
                <w:sz w:val="22"/>
                <w:szCs w:val="22"/>
              </w:rPr>
            </w:pPr>
            <w:r w:rsidRPr="00264D5D">
              <w:rPr>
                <w:sz w:val="22"/>
                <w:szCs w:val="22"/>
              </w:rPr>
              <w:t xml:space="preserve">Заполняется согласно п.3.5.3 Тома 1 </w:t>
            </w:r>
            <w:r w:rsidRPr="00264D5D">
              <w:rPr>
                <w:sz w:val="22"/>
                <w:szCs w:val="22"/>
              </w:rPr>
              <w:lastRenderedPageBreak/>
              <w:t>настоящего альбома.</w:t>
            </w:r>
          </w:p>
          <w:p w14:paraId="621CC676" w14:textId="77777777" w:rsidR="00AD1F54" w:rsidRPr="00264D5D" w:rsidRDefault="00941227">
            <w:pPr>
              <w:pStyle w:val="GOSTTablenorm"/>
              <w:widowControl w:val="0"/>
            </w:pPr>
            <w:r w:rsidRPr="00264D5D">
              <w:rPr>
                <w:szCs w:val="22"/>
              </w:rPr>
              <w:t>Обязателен для заполнения при сервисн</w:t>
            </w:r>
            <w:r w:rsidR="004A5918" w:rsidRPr="00264D5D">
              <w:rPr>
                <w:szCs w:val="22"/>
              </w:rPr>
              <w:t>ом взаимодействии ПФХД и ПУР ЭБ</w:t>
            </w:r>
          </w:p>
        </w:tc>
      </w:tr>
    </w:tbl>
    <w:p w14:paraId="01DB0566" w14:textId="77777777" w:rsidR="00AD1F54" w:rsidRPr="00264D5D" w:rsidRDefault="00941227">
      <w:pPr>
        <w:pStyle w:val="31"/>
      </w:pPr>
      <w:r w:rsidRPr="00264D5D">
        <w:lastRenderedPageBreak/>
        <w:t xml:space="preserve"> </w:t>
      </w:r>
      <w:bookmarkStart w:id="1042" w:name="_Toc219309540"/>
      <w:r w:rsidRPr="00264D5D">
        <w:t>Описание комплексного типа «tMSC_GRBS»</w:t>
      </w:r>
      <w:bookmarkEnd w:id="1042"/>
    </w:p>
    <w:p w14:paraId="4A6AD074" w14:textId="77777777" w:rsidR="00AD1F54" w:rsidRPr="00264D5D" w:rsidRDefault="00941227">
      <w:pPr>
        <w:pStyle w:val="GOSTNormal"/>
      </w:pPr>
      <w:r w:rsidRPr="00264D5D">
        <w:t xml:space="preserve">Описание комплексного типа </w:t>
      </w:r>
      <w:r w:rsidRPr="00264D5D">
        <w:rPr>
          <w:rFonts w:eastAsia="Calibri"/>
        </w:rPr>
        <w:t>«</w:t>
      </w:r>
      <w:r w:rsidRPr="00264D5D">
        <w:t>tMSC_GRBS» блока «Информация о ГРБС».</w:t>
      </w:r>
    </w:p>
    <w:p w14:paraId="7ECBC709" w14:textId="12006997"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1043" w:name="_Ref52173920"/>
      <w:bookmarkStart w:id="1044" w:name="_Toc219309128"/>
      <w:r w:rsidR="008D797C">
        <w:rPr>
          <w:rFonts w:eastAsia="Calibri"/>
          <w:noProof/>
          <w:szCs w:val="24"/>
        </w:rPr>
        <w:t>98</w:t>
      </w:r>
      <w:bookmarkEnd w:id="1043"/>
      <w:r w:rsidRPr="00264D5D">
        <w:rPr>
          <w:rFonts w:eastAsia="Calibri"/>
          <w:szCs w:val="24"/>
        </w:rPr>
        <w:fldChar w:fldCharType="end"/>
      </w:r>
      <w:r w:rsidRPr="00264D5D">
        <w:rPr>
          <w:rFonts w:eastAsia="Calibri"/>
          <w:szCs w:val="24"/>
        </w:rPr>
        <w:t xml:space="preserve"> – Описание комплексного типа «tMSC_GRBS»</w:t>
      </w:r>
      <w:bookmarkEnd w:id="1044"/>
    </w:p>
    <w:tbl>
      <w:tblPr>
        <w:tblStyle w:val="GOSTTable"/>
        <w:tblW w:w="5000" w:type="pct"/>
        <w:tblLayout w:type="fixed"/>
        <w:tblLook w:val="01E0" w:firstRow="1" w:lastRow="1" w:firstColumn="1" w:lastColumn="1" w:noHBand="0" w:noVBand="0"/>
      </w:tblPr>
      <w:tblGrid>
        <w:gridCol w:w="1709"/>
        <w:gridCol w:w="1702"/>
        <w:gridCol w:w="567"/>
        <w:gridCol w:w="1134"/>
        <w:gridCol w:w="567"/>
        <w:gridCol w:w="3971"/>
      </w:tblGrid>
      <w:tr w:rsidR="00AD1F54" w:rsidRPr="00264D5D" w14:paraId="5D587B65"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5" w:type="dxa"/>
          </w:tcPr>
          <w:p w14:paraId="6A9F8D64" w14:textId="77777777" w:rsidR="00AD1F54" w:rsidRPr="00264D5D" w:rsidRDefault="00941227">
            <w:pPr>
              <w:pStyle w:val="GOSTTableHead"/>
            </w:pPr>
            <w:r w:rsidRPr="00264D5D">
              <w:t>Наименование элемента</w:t>
            </w:r>
          </w:p>
        </w:tc>
        <w:tc>
          <w:tcPr>
            <w:tcW w:w="1699" w:type="dxa"/>
          </w:tcPr>
          <w:p w14:paraId="06002F8A" w14:textId="77777777" w:rsidR="00AD1F54" w:rsidRPr="00264D5D" w:rsidRDefault="00941227">
            <w:pPr>
              <w:pStyle w:val="GOSTTableHead"/>
            </w:pPr>
            <w:r w:rsidRPr="00264D5D">
              <w:t>Сокращенное наименование (код) элемента</w:t>
            </w:r>
          </w:p>
        </w:tc>
        <w:tc>
          <w:tcPr>
            <w:tcW w:w="566" w:type="dxa"/>
          </w:tcPr>
          <w:p w14:paraId="502C7E6C" w14:textId="77777777" w:rsidR="00AD1F54" w:rsidRPr="00264D5D" w:rsidRDefault="00941227">
            <w:pPr>
              <w:pStyle w:val="GOSTTableHead"/>
            </w:pPr>
            <w:r w:rsidRPr="00264D5D">
              <w:t>Тип</w:t>
            </w:r>
          </w:p>
        </w:tc>
        <w:tc>
          <w:tcPr>
            <w:tcW w:w="1132" w:type="dxa"/>
          </w:tcPr>
          <w:p w14:paraId="55FAE567" w14:textId="77777777" w:rsidR="00AD1F54" w:rsidRPr="00264D5D" w:rsidRDefault="00941227">
            <w:pPr>
              <w:pStyle w:val="GOSTTableHead"/>
            </w:pPr>
            <w:r w:rsidRPr="00264D5D">
              <w:t>Формат элемента</w:t>
            </w:r>
          </w:p>
        </w:tc>
        <w:tc>
          <w:tcPr>
            <w:tcW w:w="566" w:type="dxa"/>
          </w:tcPr>
          <w:p w14:paraId="153F770A" w14:textId="77777777" w:rsidR="00AD1F54" w:rsidRPr="00264D5D" w:rsidRDefault="00941227">
            <w:pPr>
              <w:pStyle w:val="GOSTTableHead"/>
            </w:pPr>
            <w:r w:rsidRPr="00264D5D">
              <w:t>Обязательность</w:t>
            </w:r>
          </w:p>
        </w:tc>
        <w:tc>
          <w:tcPr>
            <w:tcW w:w="3963" w:type="dxa"/>
          </w:tcPr>
          <w:p w14:paraId="3EC66D36" w14:textId="77777777" w:rsidR="00AD1F54" w:rsidRPr="00264D5D" w:rsidRDefault="00941227">
            <w:pPr>
              <w:pStyle w:val="GOSTTableHead"/>
              <w:rPr>
                <w:szCs w:val="22"/>
              </w:rPr>
            </w:pPr>
            <w:r w:rsidRPr="00264D5D">
              <w:rPr>
                <w:szCs w:val="22"/>
              </w:rPr>
              <w:t>Дополнительная информация</w:t>
            </w:r>
          </w:p>
        </w:tc>
      </w:tr>
      <w:tr w:rsidR="00AD1F54" w:rsidRPr="00264D5D" w14:paraId="0AE9FA04" w14:textId="77777777" w:rsidTr="00AD1F54">
        <w:trPr>
          <w:cnfStyle w:val="000000100000" w:firstRow="0" w:lastRow="0" w:firstColumn="0" w:lastColumn="0" w:oddVBand="0" w:evenVBand="0" w:oddHBand="1" w:evenHBand="0" w:firstRowFirstColumn="0" w:firstRowLastColumn="0" w:lastRowFirstColumn="0" w:lastRowLastColumn="0"/>
        </w:trPr>
        <w:tc>
          <w:tcPr>
            <w:tcW w:w="1705" w:type="dxa"/>
          </w:tcPr>
          <w:p w14:paraId="2682B62C" w14:textId="77777777" w:rsidR="00AD1F54" w:rsidRPr="00264D5D" w:rsidRDefault="00941227">
            <w:pPr>
              <w:pStyle w:val="GOSTTablenorm"/>
              <w:rPr>
                <w:szCs w:val="22"/>
              </w:rPr>
            </w:pPr>
            <w:r w:rsidRPr="00264D5D">
              <w:rPr>
                <w:szCs w:val="22"/>
              </w:rPr>
              <w:t>Глава по БК</w:t>
            </w:r>
          </w:p>
        </w:tc>
        <w:tc>
          <w:tcPr>
            <w:tcW w:w="1699" w:type="dxa"/>
          </w:tcPr>
          <w:p w14:paraId="7F937FB6" w14:textId="77777777" w:rsidR="00AD1F54" w:rsidRPr="00264D5D" w:rsidRDefault="00941227">
            <w:pPr>
              <w:pStyle w:val="GOSTTablenorm"/>
              <w:rPr>
                <w:szCs w:val="22"/>
              </w:rPr>
            </w:pPr>
            <w:r w:rsidRPr="00264D5D">
              <w:rPr>
                <w:szCs w:val="22"/>
              </w:rPr>
              <w:t>Cd</w:t>
            </w:r>
          </w:p>
        </w:tc>
        <w:tc>
          <w:tcPr>
            <w:tcW w:w="566" w:type="dxa"/>
          </w:tcPr>
          <w:p w14:paraId="58975F21" w14:textId="77777777" w:rsidR="00AD1F54" w:rsidRPr="00264D5D" w:rsidRDefault="00941227">
            <w:pPr>
              <w:pStyle w:val="GOSTTablenorm"/>
              <w:jc w:val="center"/>
              <w:rPr>
                <w:szCs w:val="22"/>
              </w:rPr>
            </w:pPr>
            <w:r w:rsidRPr="00264D5D">
              <w:rPr>
                <w:szCs w:val="22"/>
              </w:rPr>
              <w:t>П</w:t>
            </w:r>
          </w:p>
        </w:tc>
        <w:tc>
          <w:tcPr>
            <w:tcW w:w="1132" w:type="dxa"/>
          </w:tcPr>
          <w:p w14:paraId="42295220" w14:textId="77777777" w:rsidR="00AD1F54" w:rsidRPr="00264D5D" w:rsidRDefault="00941227">
            <w:pPr>
              <w:pStyle w:val="GOSTTablenorm"/>
              <w:rPr>
                <w:szCs w:val="22"/>
                <w:lang w:val="en-US"/>
              </w:rPr>
            </w:pPr>
            <w:r w:rsidRPr="00264D5D">
              <w:rPr>
                <w:szCs w:val="22"/>
                <w:lang w:val="en-US"/>
              </w:rPr>
              <w:t>Т(</w:t>
            </w:r>
            <w:r w:rsidRPr="00264D5D">
              <w:rPr>
                <w:szCs w:val="22"/>
              </w:rPr>
              <w:t>3</w:t>
            </w:r>
            <w:r w:rsidRPr="00264D5D">
              <w:rPr>
                <w:szCs w:val="22"/>
                <w:lang w:val="en-US"/>
              </w:rPr>
              <w:t>)</w:t>
            </w:r>
          </w:p>
        </w:tc>
        <w:tc>
          <w:tcPr>
            <w:tcW w:w="566" w:type="dxa"/>
          </w:tcPr>
          <w:p w14:paraId="464066FF" w14:textId="77777777" w:rsidR="00AD1F54" w:rsidRPr="00264D5D" w:rsidRDefault="00941227">
            <w:pPr>
              <w:pStyle w:val="GOSTTablenorm"/>
              <w:jc w:val="center"/>
              <w:rPr>
                <w:szCs w:val="22"/>
              </w:rPr>
            </w:pPr>
            <w:r w:rsidRPr="00264D5D">
              <w:rPr>
                <w:szCs w:val="22"/>
              </w:rPr>
              <w:t>Н</w:t>
            </w:r>
          </w:p>
        </w:tc>
        <w:tc>
          <w:tcPr>
            <w:tcW w:w="3963" w:type="dxa"/>
          </w:tcPr>
          <w:p w14:paraId="2FBC2884" w14:textId="77777777" w:rsidR="00AD1F54" w:rsidRPr="00264D5D" w:rsidRDefault="00941227">
            <w:pPr>
              <w:pStyle w:val="GOSTTablenorm"/>
              <w:rPr>
                <w:szCs w:val="22"/>
              </w:rPr>
            </w:pPr>
            <w:r w:rsidRPr="00264D5D">
              <w:rPr>
                <w:szCs w:val="22"/>
              </w:rPr>
              <w:t>Код ГРБС/РБС по перечню ГРБС/ГАИФДБ, утвержденному законом (решением) о соответствующем бюджете.</w:t>
            </w:r>
          </w:p>
          <w:p w14:paraId="606B2EA9" w14:textId="77777777" w:rsidR="00AD1F54" w:rsidRPr="00264D5D" w:rsidRDefault="004A5918">
            <w:pPr>
              <w:pStyle w:val="GOSTTablenorm"/>
              <w:rPr>
                <w:szCs w:val="22"/>
              </w:rPr>
            </w:pPr>
            <w:r w:rsidRPr="00264D5D">
              <w:rPr>
                <w:szCs w:val="22"/>
              </w:rPr>
              <w:t>Не указывается для АУ, БУ</w:t>
            </w:r>
          </w:p>
        </w:tc>
      </w:tr>
      <w:tr w:rsidR="00AD1F54" w:rsidRPr="00264D5D" w14:paraId="550A2FB3" w14:textId="77777777" w:rsidTr="00AD1F54">
        <w:trPr>
          <w:cnfStyle w:val="000000010000" w:firstRow="0" w:lastRow="0" w:firstColumn="0" w:lastColumn="0" w:oddVBand="0" w:evenVBand="0" w:oddHBand="0" w:evenHBand="1" w:firstRowFirstColumn="0" w:firstRowLastColumn="0" w:lastRowFirstColumn="0" w:lastRowLastColumn="0"/>
        </w:trPr>
        <w:tc>
          <w:tcPr>
            <w:tcW w:w="1705" w:type="dxa"/>
          </w:tcPr>
          <w:p w14:paraId="4D291F27" w14:textId="77777777" w:rsidR="00AD1F54" w:rsidRPr="00264D5D" w:rsidRDefault="00941227">
            <w:pPr>
              <w:pStyle w:val="GOSTTablenorm"/>
              <w:rPr>
                <w:szCs w:val="22"/>
              </w:rPr>
            </w:pPr>
            <w:r w:rsidRPr="00264D5D">
              <w:rPr>
                <w:szCs w:val="22"/>
              </w:rPr>
              <w:t>Наименование ГРБС (РБС)</w:t>
            </w:r>
          </w:p>
        </w:tc>
        <w:tc>
          <w:tcPr>
            <w:tcW w:w="1699" w:type="dxa"/>
          </w:tcPr>
          <w:p w14:paraId="3D9D01BF" w14:textId="77777777" w:rsidR="00AD1F54" w:rsidRPr="00264D5D" w:rsidRDefault="00941227">
            <w:pPr>
              <w:pStyle w:val="GOSTTablenorm"/>
              <w:rPr>
                <w:szCs w:val="22"/>
              </w:rPr>
            </w:pPr>
            <w:r w:rsidRPr="00264D5D">
              <w:rPr>
                <w:szCs w:val="22"/>
              </w:rPr>
              <w:t>Nm</w:t>
            </w:r>
          </w:p>
        </w:tc>
        <w:tc>
          <w:tcPr>
            <w:tcW w:w="566" w:type="dxa"/>
          </w:tcPr>
          <w:p w14:paraId="4B58C96A" w14:textId="77777777" w:rsidR="00AD1F54" w:rsidRPr="00264D5D" w:rsidRDefault="00941227">
            <w:pPr>
              <w:pStyle w:val="GOSTTablenorm"/>
              <w:jc w:val="center"/>
              <w:rPr>
                <w:szCs w:val="22"/>
              </w:rPr>
            </w:pPr>
            <w:r w:rsidRPr="00264D5D">
              <w:rPr>
                <w:szCs w:val="22"/>
              </w:rPr>
              <w:t>П</w:t>
            </w:r>
          </w:p>
        </w:tc>
        <w:tc>
          <w:tcPr>
            <w:tcW w:w="1132" w:type="dxa"/>
          </w:tcPr>
          <w:p w14:paraId="2833B6DC" w14:textId="77777777" w:rsidR="00AD1F54" w:rsidRPr="00264D5D" w:rsidRDefault="00941227">
            <w:pPr>
              <w:pStyle w:val="GOSTTablenorm"/>
              <w:rPr>
                <w:szCs w:val="22"/>
              </w:rPr>
            </w:pPr>
            <w:r w:rsidRPr="00264D5D">
              <w:rPr>
                <w:szCs w:val="22"/>
                <w:lang w:val="en-US"/>
              </w:rPr>
              <w:t>Т(</w:t>
            </w:r>
            <w:r w:rsidRPr="00264D5D">
              <w:rPr>
                <w:szCs w:val="22"/>
              </w:rPr>
              <w:t>1-2000)</w:t>
            </w:r>
          </w:p>
        </w:tc>
        <w:tc>
          <w:tcPr>
            <w:tcW w:w="566" w:type="dxa"/>
          </w:tcPr>
          <w:p w14:paraId="62FAD71C" w14:textId="77777777" w:rsidR="00AD1F54" w:rsidRPr="00264D5D" w:rsidRDefault="00941227">
            <w:pPr>
              <w:pStyle w:val="GOSTTablenorm"/>
              <w:jc w:val="center"/>
              <w:rPr>
                <w:szCs w:val="22"/>
              </w:rPr>
            </w:pPr>
            <w:r w:rsidRPr="00264D5D">
              <w:rPr>
                <w:szCs w:val="22"/>
              </w:rPr>
              <w:t>Н</w:t>
            </w:r>
          </w:p>
        </w:tc>
        <w:tc>
          <w:tcPr>
            <w:tcW w:w="3963" w:type="dxa"/>
          </w:tcPr>
          <w:p w14:paraId="4C1B280F" w14:textId="77777777" w:rsidR="00AD1F54" w:rsidRPr="00264D5D" w:rsidRDefault="00941227">
            <w:pPr>
              <w:pStyle w:val="GOSTTablenorm"/>
              <w:rPr>
                <w:szCs w:val="22"/>
              </w:rPr>
            </w:pPr>
            <w:r w:rsidRPr="00264D5D">
              <w:rPr>
                <w:szCs w:val="22"/>
              </w:rPr>
              <w:t>Полное наименование ГРБС (РБС), в ведении которого находится клиент, формирующий Сводную заявку. Поле может не заполняться в соответствии с отдельными указаниями ФК в целях обеспечения режима секретности.</w:t>
            </w:r>
          </w:p>
          <w:p w14:paraId="48DCADF3" w14:textId="77777777" w:rsidR="00AD1F54" w:rsidRPr="00264D5D" w:rsidRDefault="00941227">
            <w:pPr>
              <w:pStyle w:val="GOSTTablenorm"/>
              <w:rPr>
                <w:szCs w:val="22"/>
              </w:rPr>
            </w:pPr>
            <w:r w:rsidRPr="00264D5D">
              <w:rPr>
                <w:szCs w:val="22"/>
              </w:rPr>
              <w:t>Для БУ, АУ указывается наименование органа, осуществляющего функции и полномочия</w:t>
            </w:r>
            <w:r w:rsidR="004A5918" w:rsidRPr="00264D5D">
              <w:rPr>
                <w:szCs w:val="22"/>
              </w:rPr>
              <w:t xml:space="preserve"> учредителя в отношении клиента</w:t>
            </w:r>
          </w:p>
        </w:tc>
      </w:tr>
    </w:tbl>
    <w:p w14:paraId="02D4B980" w14:textId="77777777" w:rsidR="00AD1F54" w:rsidRPr="00264D5D" w:rsidRDefault="00941227">
      <w:pPr>
        <w:pStyle w:val="31"/>
      </w:pPr>
      <w:r w:rsidRPr="00264D5D">
        <w:t xml:space="preserve"> </w:t>
      </w:r>
      <w:bookmarkStart w:id="1045" w:name="_Toc219309541"/>
      <w:r w:rsidRPr="00264D5D">
        <w:t>Описание комплексного типа «tMSC_Orgnztn»</w:t>
      </w:r>
      <w:bookmarkEnd w:id="1045"/>
    </w:p>
    <w:p w14:paraId="35DD2450" w14:textId="77777777" w:rsidR="00AD1F54" w:rsidRPr="00264D5D" w:rsidRDefault="00941227">
      <w:pPr>
        <w:pStyle w:val="GOSTNormal"/>
      </w:pPr>
      <w:r w:rsidRPr="00264D5D">
        <w:t xml:space="preserve">Описание комплексного типа </w:t>
      </w:r>
      <w:r w:rsidRPr="00264D5D">
        <w:rPr>
          <w:rFonts w:eastAsia="Calibri"/>
        </w:rPr>
        <w:t>«</w:t>
      </w:r>
      <w:r w:rsidRPr="00264D5D">
        <w:t>tMSC_Orgnztn» блока «Организация».</w:t>
      </w:r>
    </w:p>
    <w:p w14:paraId="7FC6EF79" w14:textId="2F2D4E77"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1046" w:name="_Ref52173926"/>
      <w:bookmarkStart w:id="1047" w:name="_Toc219309129"/>
      <w:r w:rsidR="008D797C">
        <w:rPr>
          <w:rFonts w:eastAsia="Calibri"/>
          <w:noProof/>
          <w:szCs w:val="24"/>
        </w:rPr>
        <w:t>99</w:t>
      </w:r>
      <w:bookmarkEnd w:id="1046"/>
      <w:r w:rsidRPr="00264D5D">
        <w:rPr>
          <w:rFonts w:eastAsia="Calibri"/>
          <w:szCs w:val="24"/>
        </w:rPr>
        <w:fldChar w:fldCharType="end"/>
      </w:r>
      <w:r w:rsidRPr="00264D5D">
        <w:rPr>
          <w:rFonts w:eastAsia="Calibri"/>
          <w:szCs w:val="24"/>
        </w:rPr>
        <w:t xml:space="preserve"> – Описание комплексного типа «tMSC_Orgnztn»</w:t>
      </w:r>
      <w:bookmarkEnd w:id="1047"/>
    </w:p>
    <w:tbl>
      <w:tblPr>
        <w:tblStyle w:val="GOSTTable"/>
        <w:tblW w:w="5000" w:type="pct"/>
        <w:tblLayout w:type="fixed"/>
        <w:tblLook w:val="01E0" w:firstRow="1" w:lastRow="1" w:firstColumn="1" w:lastColumn="1" w:noHBand="0" w:noVBand="0"/>
      </w:tblPr>
      <w:tblGrid>
        <w:gridCol w:w="1707"/>
        <w:gridCol w:w="1702"/>
        <w:gridCol w:w="567"/>
        <w:gridCol w:w="1135"/>
        <w:gridCol w:w="567"/>
        <w:gridCol w:w="3972"/>
      </w:tblGrid>
      <w:tr w:rsidR="00AD1F54" w:rsidRPr="00264D5D" w14:paraId="37A9E4E5"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5" w:type="dxa"/>
          </w:tcPr>
          <w:p w14:paraId="0DDDE0B5" w14:textId="77777777" w:rsidR="00AD1F54" w:rsidRPr="00264D5D" w:rsidRDefault="00941227">
            <w:pPr>
              <w:pStyle w:val="GOSTTableHead"/>
            </w:pPr>
            <w:r w:rsidRPr="00264D5D">
              <w:t>Наименование элемента</w:t>
            </w:r>
          </w:p>
        </w:tc>
        <w:tc>
          <w:tcPr>
            <w:tcW w:w="1701" w:type="dxa"/>
          </w:tcPr>
          <w:p w14:paraId="14023B06" w14:textId="77777777" w:rsidR="00AD1F54" w:rsidRPr="00264D5D" w:rsidRDefault="00941227">
            <w:pPr>
              <w:pStyle w:val="GOSTTableHead"/>
            </w:pPr>
            <w:r w:rsidRPr="00264D5D">
              <w:t>Сокращенное наименование (код) элемента</w:t>
            </w:r>
          </w:p>
        </w:tc>
        <w:tc>
          <w:tcPr>
            <w:tcW w:w="567" w:type="dxa"/>
          </w:tcPr>
          <w:p w14:paraId="349F22A8" w14:textId="77777777" w:rsidR="00AD1F54" w:rsidRPr="00264D5D" w:rsidRDefault="00941227">
            <w:pPr>
              <w:pStyle w:val="GOSTTableHead"/>
            </w:pPr>
            <w:r w:rsidRPr="00264D5D">
              <w:t>Тип</w:t>
            </w:r>
          </w:p>
        </w:tc>
        <w:tc>
          <w:tcPr>
            <w:tcW w:w="1134" w:type="dxa"/>
          </w:tcPr>
          <w:p w14:paraId="580159D3" w14:textId="77777777" w:rsidR="00AD1F54" w:rsidRPr="00264D5D" w:rsidRDefault="00941227">
            <w:pPr>
              <w:pStyle w:val="GOSTTableHead"/>
            </w:pPr>
            <w:r w:rsidRPr="00264D5D">
              <w:t>Формат элемента</w:t>
            </w:r>
          </w:p>
        </w:tc>
        <w:tc>
          <w:tcPr>
            <w:tcW w:w="567" w:type="dxa"/>
          </w:tcPr>
          <w:p w14:paraId="46DFE8D7" w14:textId="77777777" w:rsidR="00AD1F54" w:rsidRPr="00264D5D" w:rsidRDefault="00941227">
            <w:pPr>
              <w:pStyle w:val="GOSTTableHead"/>
            </w:pPr>
            <w:r w:rsidRPr="00264D5D">
              <w:t>Обязательность</w:t>
            </w:r>
          </w:p>
        </w:tc>
        <w:tc>
          <w:tcPr>
            <w:tcW w:w="3969" w:type="dxa"/>
          </w:tcPr>
          <w:p w14:paraId="16F45D3F" w14:textId="77777777" w:rsidR="00AD1F54" w:rsidRPr="00264D5D" w:rsidRDefault="00941227">
            <w:pPr>
              <w:pStyle w:val="GOSTTableHead"/>
              <w:rPr>
                <w:szCs w:val="22"/>
              </w:rPr>
            </w:pPr>
            <w:r w:rsidRPr="00264D5D">
              <w:rPr>
                <w:szCs w:val="22"/>
              </w:rPr>
              <w:t>Дополнительная информация</w:t>
            </w:r>
          </w:p>
        </w:tc>
      </w:tr>
      <w:tr w:rsidR="00AD1F54" w:rsidRPr="00264D5D" w14:paraId="578314C2" w14:textId="77777777" w:rsidTr="00AD1F54">
        <w:trPr>
          <w:cnfStyle w:val="000000100000" w:firstRow="0" w:lastRow="0" w:firstColumn="0" w:lastColumn="0" w:oddVBand="0" w:evenVBand="0" w:oddHBand="1" w:evenHBand="0" w:firstRowFirstColumn="0" w:firstRowLastColumn="0" w:lastRowFirstColumn="0" w:lastRowLastColumn="0"/>
        </w:trPr>
        <w:tc>
          <w:tcPr>
            <w:tcW w:w="1705" w:type="dxa"/>
          </w:tcPr>
          <w:p w14:paraId="0BBF0913" w14:textId="77777777" w:rsidR="00AD1F54" w:rsidRPr="00264D5D" w:rsidRDefault="00941227">
            <w:pPr>
              <w:pStyle w:val="GOSTTablenorm"/>
            </w:pPr>
            <w:r w:rsidRPr="00264D5D">
              <w:t>ТОФК</w:t>
            </w:r>
          </w:p>
        </w:tc>
        <w:tc>
          <w:tcPr>
            <w:tcW w:w="1701" w:type="dxa"/>
          </w:tcPr>
          <w:p w14:paraId="3ACBD640" w14:textId="77777777" w:rsidR="00AD1F54" w:rsidRPr="00264D5D" w:rsidRDefault="00941227">
            <w:pPr>
              <w:pStyle w:val="GOSTTablenorm"/>
            </w:pPr>
            <w:r w:rsidRPr="00264D5D">
              <w:t>MSC_OrFK</w:t>
            </w:r>
          </w:p>
        </w:tc>
        <w:tc>
          <w:tcPr>
            <w:tcW w:w="567" w:type="dxa"/>
          </w:tcPr>
          <w:p w14:paraId="38E71F81" w14:textId="77777777" w:rsidR="00AD1F54" w:rsidRPr="00264D5D" w:rsidRDefault="00941227">
            <w:pPr>
              <w:pStyle w:val="GOSTTablenorm"/>
              <w:jc w:val="center"/>
              <w:rPr>
                <w:b/>
                <w:bCs/>
              </w:rPr>
            </w:pPr>
            <w:r w:rsidRPr="00264D5D">
              <w:t>С</w:t>
            </w:r>
          </w:p>
        </w:tc>
        <w:tc>
          <w:tcPr>
            <w:tcW w:w="1134" w:type="dxa"/>
          </w:tcPr>
          <w:p w14:paraId="15B071EE" w14:textId="77777777" w:rsidR="00AD1F54" w:rsidRPr="00264D5D" w:rsidRDefault="00941227">
            <w:pPr>
              <w:pStyle w:val="GOSTTablenorm"/>
            </w:pPr>
            <w:r w:rsidRPr="00264D5D">
              <w:rPr>
                <w:lang w:val="en-US"/>
              </w:rPr>
              <w:t>tMSC</w:t>
            </w:r>
            <w:r w:rsidRPr="00264D5D">
              <w:t>_</w:t>
            </w:r>
            <w:r w:rsidRPr="00264D5D">
              <w:rPr>
                <w:lang w:val="en-US"/>
              </w:rPr>
              <w:t>TOFK</w:t>
            </w:r>
          </w:p>
        </w:tc>
        <w:tc>
          <w:tcPr>
            <w:tcW w:w="567" w:type="dxa"/>
          </w:tcPr>
          <w:p w14:paraId="2D0F77AD" w14:textId="77777777" w:rsidR="00AD1F54" w:rsidRPr="00264D5D" w:rsidRDefault="00941227">
            <w:pPr>
              <w:pStyle w:val="GOSTTablenorm"/>
              <w:jc w:val="center"/>
            </w:pPr>
            <w:r w:rsidRPr="00264D5D">
              <w:t>О</w:t>
            </w:r>
          </w:p>
        </w:tc>
        <w:tc>
          <w:tcPr>
            <w:tcW w:w="3969" w:type="dxa"/>
          </w:tcPr>
          <w:p w14:paraId="456EF4E0" w14:textId="77777777" w:rsidR="00AD1F54" w:rsidRPr="00264D5D" w:rsidRDefault="00941227">
            <w:pPr>
              <w:pStyle w:val="GOSTTablenorm"/>
            </w:pPr>
            <w:r w:rsidRPr="00264D5D">
              <w:t>ТОФК, в котором осуществляется обслуживание л/с клиента.</w:t>
            </w:r>
          </w:p>
          <w:p w14:paraId="4CB504B9" w14:textId="38D9E128" w:rsidR="00AD1F54" w:rsidRPr="00264D5D" w:rsidRDefault="00941227">
            <w:pPr>
              <w:spacing w:before="60" w:after="60"/>
              <w:rPr>
                <w:b/>
                <w:bCs/>
                <w:sz w:val="22"/>
                <w:szCs w:val="22"/>
              </w:rPr>
            </w:pPr>
            <w:r w:rsidRPr="00264D5D">
              <w:rPr>
                <w:sz w:val="22"/>
                <w:szCs w:val="22"/>
              </w:rPr>
              <w:t xml:space="preserve">Состав элемента представлен в таблице </w:t>
            </w:r>
            <w:r w:rsidRPr="00264D5D">
              <w:rPr>
                <w:b/>
                <w:sz w:val="22"/>
                <w:szCs w:val="22"/>
              </w:rPr>
              <w:fldChar w:fldCharType="begin"/>
            </w:r>
            <w:r w:rsidRPr="00264D5D">
              <w:rPr>
                <w:b/>
                <w:sz w:val="22"/>
                <w:szCs w:val="22"/>
              </w:rPr>
              <w:instrText xml:space="preserve"> REF _Ref524614769 \h  \* MERGEFORMAT </w:instrText>
            </w:r>
            <w:r w:rsidRPr="00264D5D">
              <w:rPr>
                <w:b/>
                <w:sz w:val="22"/>
                <w:szCs w:val="22"/>
              </w:rPr>
            </w:r>
            <w:r w:rsidRPr="00264D5D">
              <w:rPr>
                <w:b/>
                <w:sz w:val="22"/>
                <w:szCs w:val="22"/>
              </w:rPr>
              <w:fldChar w:fldCharType="separate"/>
            </w:r>
            <w:r w:rsidR="008D797C" w:rsidRPr="008D797C">
              <w:rPr>
                <w:b/>
                <w:sz w:val="22"/>
                <w:szCs w:val="22"/>
              </w:rPr>
              <w:t>53</w:t>
            </w:r>
            <w:r w:rsidRPr="00264D5D">
              <w:rPr>
                <w:b/>
                <w:sz w:val="22"/>
                <w:szCs w:val="22"/>
              </w:rPr>
              <w:fldChar w:fldCharType="end"/>
            </w:r>
          </w:p>
        </w:tc>
      </w:tr>
      <w:tr w:rsidR="00AD1F54" w:rsidRPr="00264D5D" w14:paraId="56F897F9" w14:textId="77777777" w:rsidTr="00AD1F54">
        <w:trPr>
          <w:cnfStyle w:val="000000010000" w:firstRow="0" w:lastRow="0" w:firstColumn="0" w:lastColumn="0" w:oddVBand="0" w:evenVBand="0" w:oddHBand="0" w:evenHBand="1" w:firstRowFirstColumn="0" w:firstRowLastColumn="0" w:lastRowFirstColumn="0" w:lastRowLastColumn="0"/>
        </w:trPr>
        <w:tc>
          <w:tcPr>
            <w:tcW w:w="1705" w:type="dxa"/>
          </w:tcPr>
          <w:p w14:paraId="5AC0315D" w14:textId="77777777" w:rsidR="00AD1F54" w:rsidRPr="00264D5D" w:rsidRDefault="00941227">
            <w:pPr>
              <w:pStyle w:val="GOSTTablenorm"/>
            </w:pPr>
            <w:r w:rsidRPr="00264D5D">
              <w:lastRenderedPageBreak/>
              <w:t>Наименование бюджета</w:t>
            </w:r>
          </w:p>
        </w:tc>
        <w:tc>
          <w:tcPr>
            <w:tcW w:w="1701" w:type="dxa"/>
          </w:tcPr>
          <w:p w14:paraId="1A32A34A" w14:textId="77777777" w:rsidR="00AD1F54" w:rsidRPr="00264D5D" w:rsidRDefault="00941227">
            <w:pPr>
              <w:pStyle w:val="GOSTTablenorm"/>
            </w:pPr>
            <w:r w:rsidRPr="00264D5D">
              <w:rPr>
                <w:lang w:val="en-US"/>
              </w:rPr>
              <w:t>Nm</w:t>
            </w:r>
            <w:r w:rsidRPr="00264D5D">
              <w:t>Bdgt</w:t>
            </w:r>
          </w:p>
        </w:tc>
        <w:tc>
          <w:tcPr>
            <w:tcW w:w="567" w:type="dxa"/>
          </w:tcPr>
          <w:p w14:paraId="23AF13F1" w14:textId="77777777" w:rsidR="00AD1F54" w:rsidRPr="00264D5D" w:rsidRDefault="00941227">
            <w:pPr>
              <w:pStyle w:val="GOSTTablenorm"/>
              <w:jc w:val="center"/>
            </w:pPr>
            <w:r w:rsidRPr="00264D5D">
              <w:t>П</w:t>
            </w:r>
          </w:p>
        </w:tc>
        <w:tc>
          <w:tcPr>
            <w:tcW w:w="1134" w:type="dxa"/>
          </w:tcPr>
          <w:p w14:paraId="0E9CD806" w14:textId="77777777" w:rsidR="00AD1F54" w:rsidRPr="00264D5D" w:rsidRDefault="00941227">
            <w:pPr>
              <w:pStyle w:val="GOSTTablenorm"/>
              <w:rPr>
                <w:szCs w:val="22"/>
                <w:lang w:val="en-US"/>
              </w:rPr>
            </w:pPr>
            <w:r w:rsidRPr="00264D5D">
              <w:rPr>
                <w:szCs w:val="22"/>
                <w:lang w:val="en-US"/>
              </w:rPr>
              <w:t>Т(</w:t>
            </w:r>
            <w:r w:rsidRPr="00264D5D">
              <w:rPr>
                <w:szCs w:val="22"/>
              </w:rPr>
              <w:t>1-512)</w:t>
            </w:r>
          </w:p>
        </w:tc>
        <w:tc>
          <w:tcPr>
            <w:tcW w:w="567" w:type="dxa"/>
          </w:tcPr>
          <w:p w14:paraId="32181EFE" w14:textId="77777777" w:rsidR="00AD1F54" w:rsidRPr="00264D5D" w:rsidRDefault="00941227">
            <w:pPr>
              <w:pStyle w:val="GOSTTablenorm"/>
              <w:jc w:val="center"/>
            </w:pPr>
            <w:r w:rsidRPr="00264D5D">
              <w:t>Н</w:t>
            </w:r>
          </w:p>
        </w:tc>
        <w:tc>
          <w:tcPr>
            <w:tcW w:w="3969" w:type="dxa"/>
          </w:tcPr>
          <w:p w14:paraId="6269D4AE" w14:textId="77777777" w:rsidR="00AD1F54" w:rsidRPr="00264D5D" w:rsidRDefault="00941227">
            <w:pPr>
              <w:spacing w:before="60" w:after="60"/>
              <w:rPr>
                <w:sz w:val="22"/>
                <w:szCs w:val="22"/>
              </w:rPr>
            </w:pPr>
            <w:r w:rsidRPr="00264D5D">
              <w:rPr>
                <w:sz w:val="22"/>
                <w:szCs w:val="22"/>
              </w:rPr>
              <w:t>Для УБП федерального уровня указывается значение «Федеральный бюджет».</w:t>
            </w:r>
          </w:p>
          <w:p w14:paraId="11111252" w14:textId="77777777" w:rsidR="00AD1F54" w:rsidRPr="00264D5D" w:rsidRDefault="004A5918">
            <w:pPr>
              <w:spacing w:before="60" w:after="60"/>
              <w:rPr>
                <w:sz w:val="22"/>
                <w:szCs w:val="22"/>
              </w:rPr>
            </w:pPr>
            <w:r w:rsidRPr="00264D5D">
              <w:rPr>
                <w:sz w:val="22"/>
                <w:szCs w:val="22"/>
              </w:rPr>
              <w:t>Не указывается для АУ, БУ</w:t>
            </w:r>
          </w:p>
        </w:tc>
      </w:tr>
      <w:tr w:rsidR="00AD1F54" w:rsidRPr="00264D5D" w14:paraId="592BDEE5" w14:textId="77777777" w:rsidTr="00AD1F54">
        <w:trPr>
          <w:cnfStyle w:val="000000100000" w:firstRow="0" w:lastRow="0" w:firstColumn="0" w:lastColumn="0" w:oddVBand="0" w:evenVBand="0" w:oddHBand="1" w:evenHBand="0" w:firstRowFirstColumn="0" w:firstRowLastColumn="0" w:lastRowFirstColumn="0" w:lastRowLastColumn="0"/>
        </w:trPr>
        <w:tc>
          <w:tcPr>
            <w:tcW w:w="1705" w:type="dxa"/>
          </w:tcPr>
          <w:p w14:paraId="19EB108A" w14:textId="77777777" w:rsidR="00AD1F54" w:rsidRPr="00264D5D" w:rsidRDefault="00941227">
            <w:pPr>
              <w:pStyle w:val="GOSTTablenorm"/>
            </w:pPr>
            <w:r w:rsidRPr="00264D5D">
              <w:t>Финансовый орган</w:t>
            </w:r>
          </w:p>
        </w:tc>
        <w:tc>
          <w:tcPr>
            <w:tcW w:w="1701" w:type="dxa"/>
          </w:tcPr>
          <w:p w14:paraId="69E632E1" w14:textId="77777777" w:rsidR="00AD1F54" w:rsidRPr="00264D5D" w:rsidRDefault="00941227">
            <w:pPr>
              <w:pStyle w:val="GOSTTablenorm"/>
            </w:pPr>
            <w:r w:rsidRPr="00264D5D">
              <w:t>FnclInst</w:t>
            </w:r>
          </w:p>
        </w:tc>
        <w:tc>
          <w:tcPr>
            <w:tcW w:w="567" w:type="dxa"/>
          </w:tcPr>
          <w:p w14:paraId="3F3ADD25" w14:textId="77777777" w:rsidR="00AD1F54" w:rsidRPr="00264D5D" w:rsidRDefault="00941227">
            <w:pPr>
              <w:pStyle w:val="GOSTTablenorm"/>
              <w:jc w:val="center"/>
            </w:pPr>
            <w:r w:rsidRPr="00264D5D">
              <w:t>С</w:t>
            </w:r>
          </w:p>
        </w:tc>
        <w:tc>
          <w:tcPr>
            <w:tcW w:w="1134" w:type="dxa"/>
          </w:tcPr>
          <w:p w14:paraId="5042B480" w14:textId="77777777" w:rsidR="00AD1F54" w:rsidRPr="00264D5D" w:rsidRDefault="00941227">
            <w:pPr>
              <w:pStyle w:val="GOSTTablenorm"/>
            </w:pPr>
            <w:r w:rsidRPr="00264D5D">
              <w:rPr>
                <w:lang w:val="en-US"/>
              </w:rPr>
              <w:t>tMSC</w:t>
            </w:r>
            <w:r w:rsidRPr="00264D5D">
              <w:t>_</w:t>
            </w:r>
            <w:r w:rsidRPr="00264D5D">
              <w:rPr>
                <w:lang w:val="en-US"/>
              </w:rPr>
              <w:t>FnclInst</w:t>
            </w:r>
          </w:p>
        </w:tc>
        <w:tc>
          <w:tcPr>
            <w:tcW w:w="567" w:type="dxa"/>
          </w:tcPr>
          <w:p w14:paraId="2A136719" w14:textId="77777777" w:rsidR="00AD1F54" w:rsidRPr="00264D5D" w:rsidRDefault="00941227">
            <w:pPr>
              <w:pStyle w:val="GOSTTablenorm"/>
              <w:jc w:val="center"/>
            </w:pPr>
            <w:r w:rsidRPr="00264D5D">
              <w:t>Н</w:t>
            </w:r>
          </w:p>
        </w:tc>
        <w:tc>
          <w:tcPr>
            <w:tcW w:w="3969" w:type="dxa"/>
          </w:tcPr>
          <w:p w14:paraId="4566E055" w14:textId="77777777" w:rsidR="00AD1F54" w:rsidRPr="00264D5D" w:rsidRDefault="00941227">
            <w:pPr>
              <w:pStyle w:val="GOSTTablenorm"/>
              <w:rPr>
                <w:szCs w:val="22"/>
              </w:rPr>
            </w:pPr>
            <w:r w:rsidRPr="00264D5D">
              <w:rPr>
                <w:szCs w:val="22"/>
              </w:rPr>
              <w:t>Финансовый орган.</w:t>
            </w:r>
          </w:p>
          <w:p w14:paraId="16B8E3D7" w14:textId="513EE33F" w:rsidR="00AD1F54" w:rsidRPr="00264D5D" w:rsidRDefault="00941227">
            <w:pPr>
              <w:pStyle w:val="GOSTTablenorm"/>
              <w:rPr>
                <w:szCs w:val="22"/>
              </w:rPr>
            </w:pPr>
            <w:r w:rsidRPr="00264D5D">
              <w:rPr>
                <w:szCs w:val="22"/>
              </w:rPr>
              <w:t>Состав элемента представлен в таблице</w:t>
            </w:r>
            <w:r w:rsidRPr="00264D5D">
              <w:t xml:space="preserve"> </w:t>
            </w:r>
            <w:r w:rsidRPr="00264D5D">
              <w:rPr>
                <w:b/>
              </w:rPr>
              <w:fldChar w:fldCharType="begin"/>
            </w:r>
            <w:r w:rsidRPr="00264D5D">
              <w:rPr>
                <w:b/>
              </w:rPr>
              <w:instrText xml:space="preserve"> REF _Ref532399915 \h  \* MERGEFORMAT </w:instrText>
            </w:r>
            <w:r w:rsidRPr="00264D5D">
              <w:rPr>
                <w:b/>
              </w:rPr>
            </w:r>
            <w:r w:rsidRPr="00264D5D">
              <w:rPr>
                <w:b/>
              </w:rPr>
              <w:fldChar w:fldCharType="separate"/>
            </w:r>
            <w:r w:rsidR="008D797C" w:rsidRPr="008D797C">
              <w:rPr>
                <w:rFonts w:eastAsia="Calibri"/>
                <w:b/>
              </w:rPr>
              <w:t>122</w:t>
            </w:r>
            <w:r w:rsidRPr="00264D5D">
              <w:rPr>
                <w:b/>
              </w:rPr>
              <w:fldChar w:fldCharType="end"/>
            </w:r>
            <w:r w:rsidRPr="00264D5D">
              <w:rPr>
                <w:szCs w:val="22"/>
              </w:rPr>
              <w:t>.</w:t>
            </w:r>
          </w:p>
          <w:p w14:paraId="4E09631B" w14:textId="77777777" w:rsidR="00AD1F54" w:rsidRPr="00264D5D" w:rsidRDefault="004A5918">
            <w:pPr>
              <w:pStyle w:val="GOSTTablenorm"/>
              <w:rPr>
                <w:szCs w:val="22"/>
              </w:rPr>
            </w:pPr>
            <w:r w:rsidRPr="00264D5D">
              <w:rPr>
                <w:szCs w:val="22"/>
              </w:rPr>
              <w:t>Не указывается для АУ, БУ</w:t>
            </w:r>
          </w:p>
        </w:tc>
      </w:tr>
    </w:tbl>
    <w:p w14:paraId="0312DA1A" w14:textId="77777777" w:rsidR="00AD1F54" w:rsidRPr="00264D5D" w:rsidRDefault="00941227">
      <w:pPr>
        <w:pStyle w:val="31"/>
      </w:pPr>
      <w:r w:rsidRPr="00264D5D">
        <w:t xml:space="preserve"> </w:t>
      </w:r>
      <w:bookmarkStart w:id="1048" w:name="_Toc219309542"/>
      <w:r w:rsidRPr="00264D5D">
        <w:t>Описание комплексного типа «tMSC_Pmnt»</w:t>
      </w:r>
      <w:bookmarkEnd w:id="1048"/>
    </w:p>
    <w:p w14:paraId="0545C1EF" w14:textId="77777777" w:rsidR="00AD1F54" w:rsidRPr="00264D5D" w:rsidRDefault="00941227">
      <w:pPr>
        <w:pStyle w:val="ASFKNormal"/>
        <w:jc w:val="both"/>
        <w:rPr>
          <w:rStyle w:val="GOSTNormal0"/>
        </w:rPr>
      </w:pPr>
      <w:r w:rsidRPr="00264D5D">
        <w:rPr>
          <w:rStyle w:val="GOSTNormal0"/>
        </w:rPr>
        <w:t xml:space="preserve">Описание комплексного типа «tMSC_Pmnt» блока «Информация о платеже (для раздела 1)». </w:t>
      </w:r>
    </w:p>
    <w:p w14:paraId="602DA0ED" w14:textId="7BC44164"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1049" w:name="_Ref52174232"/>
      <w:bookmarkStart w:id="1050" w:name="_Toc219309130"/>
      <w:r w:rsidR="008D797C">
        <w:rPr>
          <w:rFonts w:eastAsia="Calibri"/>
          <w:noProof/>
          <w:szCs w:val="24"/>
        </w:rPr>
        <w:t>100</w:t>
      </w:r>
      <w:bookmarkEnd w:id="1049"/>
      <w:r w:rsidRPr="00264D5D">
        <w:rPr>
          <w:rFonts w:eastAsia="Calibri"/>
          <w:szCs w:val="24"/>
        </w:rPr>
        <w:fldChar w:fldCharType="end"/>
      </w:r>
      <w:r w:rsidRPr="00264D5D">
        <w:rPr>
          <w:rFonts w:eastAsia="Calibri"/>
          <w:szCs w:val="24"/>
        </w:rPr>
        <w:t xml:space="preserve"> – Описание комплексного типа «</w:t>
      </w:r>
      <w:r w:rsidRPr="00264D5D">
        <w:rPr>
          <w:szCs w:val="24"/>
        </w:rPr>
        <w:t>tMSC_Pmnt</w:t>
      </w:r>
      <w:r w:rsidRPr="00264D5D">
        <w:rPr>
          <w:rFonts w:eastAsia="Calibri"/>
          <w:szCs w:val="24"/>
        </w:rPr>
        <w:t>»</w:t>
      </w:r>
      <w:bookmarkEnd w:id="1050"/>
    </w:p>
    <w:tbl>
      <w:tblPr>
        <w:tblStyle w:val="GOSTTable"/>
        <w:tblW w:w="5000" w:type="pct"/>
        <w:tblLayout w:type="fixed"/>
        <w:tblLook w:val="04A0" w:firstRow="1" w:lastRow="0" w:firstColumn="1" w:lastColumn="0" w:noHBand="0" w:noVBand="1"/>
      </w:tblPr>
      <w:tblGrid>
        <w:gridCol w:w="1705"/>
        <w:gridCol w:w="1704"/>
        <w:gridCol w:w="567"/>
        <w:gridCol w:w="1137"/>
        <w:gridCol w:w="567"/>
        <w:gridCol w:w="3970"/>
      </w:tblGrid>
      <w:tr w:rsidR="00AD1F54" w:rsidRPr="00264D5D" w14:paraId="2600496B"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3" w:type="pct"/>
          </w:tcPr>
          <w:p w14:paraId="51839049" w14:textId="77777777" w:rsidR="00AD1F54" w:rsidRPr="00264D5D" w:rsidRDefault="00941227">
            <w:pPr>
              <w:pStyle w:val="ASFKTableHead"/>
            </w:pPr>
            <w:r w:rsidRPr="00264D5D">
              <w:t>Наименование элемента</w:t>
            </w:r>
          </w:p>
        </w:tc>
        <w:tc>
          <w:tcPr>
            <w:tcW w:w="883" w:type="pct"/>
          </w:tcPr>
          <w:p w14:paraId="3F43162A" w14:textId="77777777" w:rsidR="00AD1F54" w:rsidRPr="00264D5D" w:rsidRDefault="00941227">
            <w:pPr>
              <w:pStyle w:val="ASFKTableHead"/>
            </w:pPr>
            <w:r w:rsidRPr="00264D5D">
              <w:t>Сокращенное наименование (код) элемента</w:t>
            </w:r>
          </w:p>
        </w:tc>
        <w:tc>
          <w:tcPr>
            <w:tcW w:w="294" w:type="pct"/>
          </w:tcPr>
          <w:p w14:paraId="0BB61457" w14:textId="77777777" w:rsidR="00AD1F54" w:rsidRPr="00264D5D" w:rsidRDefault="00941227">
            <w:pPr>
              <w:pStyle w:val="ASFKTableHead"/>
            </w:pPr>
            <w:r w:rsidRPr="00264D5D">
              <w:t>Тип</w:t>
            </w:r>
          </w:p>
        </w:tc>
        <w:tc>
          <w:tcPr>
            <w:tcW w:w="589" w:type="pct"/>
          </w:tcPr>
          <w:p w14:paraId="6337013B" w14:textId="77777777" w:rsidR="00AD1F54" w:rsidRPr="00264D5D" w:rsidRDefault="00941227">
            <w:pPr>
              <w:pStyle w:val="ASFKTableHead"/>
            </w:pPr>
            <w:r w:rsidRPr="00264D5D">
              <w:t>Формат элемента</w:t>
            </w:r>
          </w:p>
        </w:tc>
        <w:tc>
          <w:tcPr>
            <w:tcW w:w="294" w:type="pct"/>
          </w:tcPr>
          <w:p w14:paraId="5037140B" w14:textId="77777777" w:rsidR="00AD1F54" w:rsidRPr="00264D5D" w:rsidRDefault="00941227">
            <w:pPr>
              <w:pStyle w:val="ASFKTableHead"/>
            </w:pPr>
            <w:r w:rsidRPr="00264D5D">
              <w:t>Обязательность</w:t>
            </w:r>
          </w:p>
        </w:tc>
        <w:tc>
          <w:tcPr>
            <w:tcW w:w="2058" w:type="pct"/>
          </w:tcPr>
          <w:p w14:paraId="6C08BB24" w14:textId="77777777" w:rsidR="00AD1F54" w:rsidRPr="00264D5D" w:rsidRDefault="00941227">
            <w:pPr>
              <w:pStyle w:val="ASFKTableHead"/>
            </w:pPr>
            <w:r w:rsidRPr="00264D5D">
              <w:t>Дополнительная информация</w:t>
            </w:r>
          </w:p>
        </w:tc>
      </w:tr>
      <w:tr w:rsidR="00AD1F54" w:rsidRPr="00264D5D" w14:paraId="3D866C61"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740D52BA" w14:textId="77777777" w:rsidR="00AD1F54" w:rsidRPr="00264D5D" w:rsidRDefault="00941227">
            <w:pPr>
              <w:pStyle w:val="GOSTTablenorm"/>
              <w:rPr>
                <w:szCs w:val="22"/>
              </w:rPr>
            </w:pPr>
            <w:r w:rsidRPr="00264D5D">
              <w:rPr>
                <w:szCs w:val="22"/>
              </w:rPr>
              <w:t>Очередность платежа</w:t>
            </w:r>
          </w:p>
        </w:tc>
        <w:tc>
          <w:tcPr>
            <w:tcW w:w="883" w:type="pct"/>
          </w:tcPr>
          <w:p w14:paraId="3E2BA700" w14:textId="77777777" w:rsidR="00AD1F54" w:rsidRPr="00264D5D" w:rsidRDefault="00941227">
            <w:pPr>
              <w:pStyle w:val="GOSTTablenorm"/>
              <w:rPr>
                <w:szCs w:val="22"/>
              </w:rPr>
            </w:pPr>
            <w:r w:rsidRPr="00264D5D">
              <w:rPr>
                <w:szCs w:val="22"/>
              </w:rPr>
              <w:t>Prt</w:t>
            </w:r>
          </w:p>
        </w:tc>
        <w:tc>
          <w:tcPr>
            <w:tcW w:w="294" w:type="pct"/>
          </w:tcPr>
          <w:p w14:paraId="2BB2878A" w14:textId="77777777" w:rsidR="00AD1F54" w:rsidRPr="00264D5D" w:rsidRDefault="00941227">
            <w:pPr>
              <w:pStyle w:val="GOSTTablenorm"/>
              <w:jc w:val="center"/>
              <w:rPr>
                <w:szCs w:val="22"/>
              </w:rPr>
            </w:pPr>
            <w:r w:rsidRPr="00264D5D">
              <w:rPr>
                <w:szCs w:val="22"/>
              </w:rPr>
              <w:t>П</w:t>
            </w:r>
          </w:p>
        </w:tc>
        <w:tc>
          <w:tcPr>
            <w:tcW w:w="589" w:type="pct"/>
          </w:tcPr>
          <w:p w14:paraId="7B06791E" w14:textId="77777777" w:rsidR="00AD1F54" w:rsidRPr="00264D5D" w:rsidRDefault="00941227">
            <w:pPr>
              <w:pStyle w:val="GOSTTablenorm"/>
              <w:rPr>
                <w:szCs w:val="22"/>
                <w:lang w:val="en-US"/>
              </w:rPr>
            </w:pPr>
            <w:r w:rsidRPr="00264D5D">
              <w:rPr>
                <w:szCs w:val="22"/>
                <w:lang w:val="en-US"/>
              </w:rPr>
              <w:t>Т(1)</w:t>
            </w:r>
          </w:p>
        </w:tc>
        <w:tc>
          <w:tcPr>
            <w:tcW w:w="294" w:type="pct"/>
          </w:tcPr>
          <w:p w14:paraId="426178BF" w14:textId="77777777" w:rsidR="00AD1F54" w:rsidRPr="00264D5D" w:rsidRDefault="00941227">
            <w:pPr>
              <w:pStyle w:val="GOSTTablenorm"/>
              <w:jc w:val="center"/>
              <w:rPr>
                <w:szCs w:val="22"/>
                <w:lang w:val="en-US"/>
              </w:rPr>
            </w:pPr>
            <w:r w:rsidRPr="00264D5D">
              <w:rPr>
                <w:szCs w:val="22"/>
              </w:rPr>
              <w:t>О</w:t>
            </w:r>
          </w:p>
        </w:tc>
        <w:tc>
          <w:tcPr>
            <w:tcW w:w="2058" w:type="pct"/>
          </w:tcPr>
          <w:p w14:paraId="3062132D" w14:textId="77777777" w:rsidR="00AD1F54" w:rsidRPr="00264D5D" w:rsidRDefault="004A5918">
            <w:pPr>
              <w:pStyle w:val="GOSTTablenorm"/>
              <w:rPr>
                <w:szCs w:val="22"/>
              </w:rPr>
            </w:pPr>
            <w:r w:rsidRPr="00264D5D">
              <w:rPr>
                <w:szCs w:val="22"/>
              </w:rPr>
              <w:t>Очередность платежа</w:t>
            </w:r>
          </w:p>
        </w:tc>
      </w:tr>
      <w:tr w:rsidR="00AD1F54" w:rsidRPr="00264D5D" w14:paraId="2DD25C40"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3" w:type="pct"/>
          </w:tcPr>
          <w:p w14:paraId="68F8A691" w14:textId="77777777" w:rsidR="00AD1F54" w:rsidRPr="00264D5D" w:rsidRDefault="00941227">
            <w:pPr>
              <w:pStyle w:val="GOSTTablenorm"/>
              <w:rPr>
                <w:szCs w:val="22"/>
              </w:rPr>
            </w:pPr>
            <w:r w:rsidRPr="00264D5D">
              <w:rPr>
                <w:szCs w:val="22"/>
              </w:rPr>
              <w:t>Вид платежа</w:t>
            </w:r>
          </w:p>
        </w:tc>
        <w:tc>
          <w:tcPr>
            <w:tcW w:w="883" w:type="pct"/>
          </w:tcPr>
          <w:p w14:paraId="261B0702" w14:textId="77777777" w:rsidR="00AD1F54" w:rsidRPr="00264D5D" w:rsidRDefault="00941227">
            <w:pPr>
              <w:pStyle w:val="GOSTTablenorm"/>
              <w:rPr>
                <w:szCs w:val="22"/>
                <w:lang w:val="en-US"/>
              </w:rPr>
            </w:pPr>
            <w:r w:rsidRPr="00264D5D">
              <w:rPr>
                <w:szCs w:val="22"/>
                <w:lang w:val="en-US"/>
              </w:rPr>
              <w:t>Knd</w:t>
            </w:r>
          </w:p>
        </w:tc>
        <w:tc>
          <w:tcPr>
            <w:tcW w:w="294" w:type="pct"/>
          </w:tcPr>
          <w:p w14:paraId="75E894A4" w14:textId="77777777" w:rsidR="00AD1F54" w:rsidRPr="00264D5D" w:rsidRDefault="00941227">
            <w:pPr>
              <w:pStyle w:val="GOSTTablenorm"/>
              <w:jc w:val="center"/>
              <w:rPr>
                <w:szCs w:val="22"/>
              </w:rPr>
            </w:pPr>
            <w:r w:rsidRPr="00264D5D">
              <w:rPr>
                <w:szCs w:val="22"/>
              </w:rPr>
              <w:t>С</w:t>
            </w:r>
          </w:p>
        </w:tc>
        <w:tc>
          <w:tcPr>
            <w:tcW w:w="589" w:type="pct"/>
          </w:tcPr>
          <w:p w14:paraId="769B4B44" w14:textId="77777777" w:rsidR="00AD1F54" w:rsidRPr="00264D5D" w:rsidRDefault="00941227">
            <w:pPr>
              <w:pStyle w:val="GOSTTablenorm"/>
              <w:rPr>
                <w:szCs w:val="22"/>
              </w:rPr>
            </w:pPr>
            <w:r w:rsidRPr="00264D5D">
              <w:rPr>
                <w:szCs w:val="22"/>
              </w:rPr>
              <w:t>tMSC_ShrtPyKndComplex</w:t>
            </w:r>
          </w:p>
        </w:tc>
        <w:tc>
          <w:tcPr>
            <w:tcW w:w="294" w:type="pct"/>
          </w:tcPr>
          <w:p w14:paraId="3EA35AED" w14:textId="77777777" w:rsidR="00AD1F54" w:rsidRPr="00264D5D" w:rsidRDefault="00941227">
            <w:pPr>
              <w:pStyle w:val="GOSTTablenorm"/>
              <w:jc w:val="center"/>
              <w:rPr>
                <w:szCs w:val="22"/>
              </w:rPr>
            </w:pPr>
            <w:r w:rsidRPr="00264D5D">
              <w:rPr>
                <w:szCs w:val="22"/>
              </w:rPr>
              <w:t>О</w:t>
            </w:r>
          </w:p>
        </w:tc>
        <w:tc>
          <w:tcPr>
            <w:tcW w:w="2058" w:type="pct"/>
          </w:tcPr>
          <w:p w14:paraId="1BE40D3E" w14:textId="77777777" w:rsidR="00AD1F54" w:rsidRPr="00264D5D" w:rsidRDefault="00941227">
            <w:pPr>
              <w:pStyle w:val="GOSTTablenorm"/>
              <w:rPr>
                <w:szCs w:val="22"/>
              </w:rPr>
            </w:pPr>
            <w:r w:rsidRPr="00264D5D">
              <w:rPr>
                <w:szCs w:val="22"/>
              </w:rPr>
              <w:t>Вид платежа.</w:t>
            </w:r>
          </w:p>
          <w:p w14:paraId="16DCC085" w14:textId="5AB2B624" w:rsidR="00AD1F54" w:rsidRPr="00264D5D" w:rsidRDefault="00941227">
            <w:pPr>
              <w:pStyle w:val="GOSTTablenorm"/>
              <w:rPr>
                <w:szCs w:val="22"/>
              </w:rPr>
            </w:pPr>
            <w:r w:rsidRPr="00264D5D">
              <w:rPr>
                <w:szCs w:val="22"/>
              </w:rPr>
              <w:t xml:space="preserve">Состав элемента представлен в таблице </w:t>
            </w:r>
            <w:r w:rsidRPr="00264D5D">
              <w:rPr>
                <w:b/>
              </w:rPr>
              <w:fldChar w:fldCharType="begin"/>
            </w:r>
            <w:r w:rsidRPr="00264D5D">
              <w:rPr>
                <w:szCs w:val="22"/>
              </w:rPr>
              <w:instrText xml:space="preserve"> REF _Ref52174299 \h </w:instrText>
            </w:r>
            <w:r w:rsidRPr="00264D5D">
              <w:rPr>
                <w:b/>
              </w:rPr>
              <w:instrText xml:space="preserve"> \* MERGEFORMAT </w:instrText>
            </w:r>
            <w:r w:rsidRPr="00264D5D">
              <w:rPr>
                <w:b/>
              </w:rPr>
            </w:r>
            <w:r w:rsidRPr="00264D5D">
              <w:rPr>
                <w:b/>
              </w:rPr>
              <w:fldChar w:fldCharType="separate"/>
            </w:r>
            <w:r w:rsidR="008D797C">
              <w:rPr>
                <w:rFonts w:eastAsia="Calibri"/>
                <w:szCs w:val="24"/>
              </w:rPr>
              <w:t>101</w:t>
            </w:r>
            <w:r w:rsidRPr="00264D5D">
              <w:rPr>
                <w:b/>
              </w:rPr>
              <w:fldChar w:fldCharType="end"/>
            </w:r>
          </w:p>
        </w:tc>
      </w:tr>
      <w:tr w:rsidR="00AD1F54" w:rsidRPr="00264D5D" w14:paraId="0242CCDB"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7A29C3FC" w14:textId="77777777" w:rsidR="00AD1F54" w:rsidRPr="00264D5D" w:rsidRDefault="00941227">
            <w:pPr>
              <w:pStyle w:val="GOSTTablenorm"/>
              <w:rPr>
                <w:szCs w:val="22"/>
              </w:rPr>
            </w:pPr>
            <w:r w:rsidRPr="00264D5D">
              <w:rPr>
                <w:szCs w:val="22"/>
              </w:rPr>
              <w:t>Назначение платежа</w:t>
            </w:r>
          </w:p>
        </w:tc>
        <w:tc>
          <w:tcPr>
            <w:tcW w:w="883" w:type="pct"/>
          </w:tcPr>
          <w:p w14:paraId="2F50985A" w14:textId="77777777" w:rsidR="00AD1F54" w:rsidRPr="00264D5D" w:rsidRDefault="00941227">
            <w:pPr>
              <w:pStyle w:val="GOSTTablenorm"/>
              <w:rPr>
                <w:szCs w:val="22"/>
              </w:rPr>
            </w:pPr>
            <w:r w:rsidRPr="00264D5D">
              <w:rPr>
                <w:szCs w:val="22"/>
              </w:rPr>
              <w:t>Prps</w:t>
            </w:r>
          </w:p>
        </w:tc>
        <w:tc>
          <w:tcPr>
            <w:tcW w:w="294" w:type="pct"/>
          </w:tcPr>
          <w:p w14:paraId="41F18DA3" w14:textId="77777777" w:rsidR="00AD1F54" w:rsidRPr="00264D5D" w:rsidRDefault="00941227">
            <w:pPr>
              <w:pStyle w:val="GOSTTablenorm"/>
              <w:jc w:val="center"/>
              <w:rPr>
                <w:szCs w:val="22"/>
              </w:rPr>
            </w:pPr>
            <w:r w:rsidRPr="00264D5D">
              <w:rPr>
                <w:szCs w:val="22"/>
              </w:rPr>
              <w:t>П</w:t>
            </w:r>
          </w:p>
        </w:tc>
        <w:tc>
          <w:tcPr>
            <w:tcW w:w="589" w:type="pct"/>
          </w:tcPr>
          <w:p w14:paraId="6AD370FE" w14:textId="77777777" w:rsidR="00AD1F54" w:rsidRPr="00264D5D" w:rsidRDefault="00941227">
            <w:pPr>
              <w:pStyle w:val="GOSTTablenorm"/>
              <w:rPr>
                <w:szCs w:val="22"/>
                <w:lang w:val="en-US"/>
              </w:rPr>
            </w:pPr>
            <w:r w:rsidRPr="00264D5D">
              <w:rPr>
                <w:szCs w:val="22"/>
                <w:lang w:val="en-US"/>
              </w:rPr>
              <w:t>Т(1-</w:t>
            </w:r>
            <w:r w:rsidRPr="00264D5D">
              <w:rPr>
                <w:szCs w:val="22"/>
              </w:rPr>
              <w:t>210</w:t>
            </w:r>
            <w:r w:rsidRPr="00264D5D">
              <w:rPr>
                <w:szCs w:val="22"/>
                <w:lang w:val="en-US"/>
              </w:rPr>
              <w:t>)</w:t>
            </w:r>
          </w:p>
        </w:tc>
        <w:tc>
          <w:tcPr>
            <w:tcW w:w="294" w:type="pct"/>
          </w:tcPr>
          <w:p w14:paraId="4CA2A4C0" w14:textId="77777777" w:rsidR="00AD1F54" w:rsidRPr="00264D5D" w:rsidRDefault="00941227">
            <w:pPr>
              <w:pStyle w:val="GOSTTablenorm"/>
              <w:jc w:val="center"/>
              <w:rPr>
                <w:szCs w:val="22"/>
                <w:lang w:val="en-US"/>
              </w:rPr>
            </w:pPr>
            <w:r w:rsidRPr="00264D5D">
              <w:rPr>
                <w:szCs w:val="22"/>
              </w:rPr>
              <w:t>О</w:t>
            </w:r>
          </w:p>
        </w:tc>
        <w:tc>
          <w:tcPr>
            <w:tcW w:w="2058" w:type="pct"/>
          </w:tcPr>
          <w:p w14:paraId="169749EC" w14:textId="77777777" w:rsidR="00AD1F54" w:rsidRPr="00264D5D" w:rsidRDefault="00941227">
            <w:pPr>
              <w:pStyle w:val="GOSTTablenorm"/>
              <w:rPr>
                <w:szCs w:val="22"/>
              </w:rPr>
            </w:pPr>
            <w:r w:rsidRPr="00264D5D">
              <w:rPr>
                <w:szCs w:val="22"/>
              </w:rPr>
              <w:t xml:space="preserve">Указывается назначение платежа единое для всех расчетных документов, формируемых на основании Сводной ЗКР. </w:t>
            </w:r>
          </w:p>
          <w:p w14:paraId="44FB92FD" w14:textId="77777777" w:rsidR="00AD1F54" w:rsidRPr="00264D5D" w:rsidRDefault="00941227">
            <w:pPr>
              <w:pStyle w:val="GOSTTablenorm"/>
              <w:rPr>
                <w:szCs w:val="22"/>
              </w:rPr>
            </w:pPr>
            <w:r w:rsidRPr="00264D5D">
              <w:rPr>
                <w:szCs w:val="22"/>
              </w:rPr>
              <w:t>Кроме того, при необходимости, может быть указан код цели (аналитический код) получателя, код ОКС (ОКВ) или КМИ при условии, если они являются едиными для всех получателей платежа. Код ОКС (ОКВ)или КМИ указывается перед текстовым назначением платежа после признака «ОКС», «ОКВ» или «К</w:t>
            </w:r>
            <w:r w:rsidR="004A5918" w:rsidRPr="00264D5D">
              <w:rPr>
                <w:szCs w:val="22"/>
              </w:rPr>
              <w:t>МИ» без пробелов и разделителей</w:t>
            </w:r>
          </w:p>
        </w:tc>
      </w:tr>
    </w:tbl>
    <w:p w14:paraId="57B991F9" w14:textId="77777777" w:rsidR="00AD1F54" w:rsidRPr="00264D5D" w:rsidRDefault="00941227">
      <w:pPr>
        <w:pStyle w:val="31"/>
      </w:pPr>
      <w:r w:rsidRPr="00264D5D">
        <w:t xml:space="preserve"> </w:t>
      </w:r>
      <w:bookmarkStart w:id="1051" w:name="_Toc219309543"/>
      <w:r w:rsidRPr="00264D5D">
        <w:t>Описание комплексного типа «tMSC_ShrtPyKndComplex»</w:t>
      </w:r>
      <w:bookmarkEnd w:id="1051"/>
    </w:p>
    <w:p w14:paraId="0521E1F1" w14:textId="77777777" w:rsidR="00AD1F54" w:rsidRPr="00264D5D" w:rsidRDefault="00941227">
      <w:pPr>
        <w:pStyle w:val="GOSTNormal"/>
      </w:pPr>
      <w:r w:rsidRPr="00264D5D">
        <w:t>Описание комплексного типа «tMSC_ShrtPyKndComplex» блока «Вид платежа».</w:t>
      </w:r>
    </w:p>
    <w:p w14:paraId="7FE594EB" w14:textId="10FB8169" w:rsidR="00AD1F54" w:rsidRPr="00264D5D" w:rsidRDefault="00941227">
      <w:pPr>
        <w:pStyle w:val="GOSTNameTable"/>
        <w:numPr>
          <w:ilvl w:val="0"/>
          <w:numId w:val="2"/>
        </w:numPr>
        <w:ind w:left="425" w:hanging="357"/>
        <w:rPr>
          <w:rFonts w:eastAsia="Calibri"/>
          <w:szCs w:val="24"/>
        </w:rPr>
      </w:pPr>
      <w:r w:rsidRPr="00264D5D">
        <w:rPr>
          <w:rFonts w:eastAsia="Calibri"/>
          <w:szCs w:val="24"/>
        </w:rPr>
        <w:lastRenderedPageBreak/>
        <w:fldChar w:fldCharType="begin"/>
      </w:r>
      <w:r w:rsidRPr="00264D5D">
        <w:rPr>
          <w:rFonts w:eastAsia="Calibri"/>
          <w:szCs w:val="24"/>
        </w:rPr>
        <w:instrText>SEQ Таблица \* ARABIC</w:instrText>
      </w:r>
      <w:r w:rsidRPr="00264D5D">
        <w:rPr>
          <w:rFonts w:eastAsia="Calibri"/>
          <w:szCs w:val="24"/>
        </w:rPr>
        <w:fldChar w:fldCharType="separate"/>
      </w:r>
      <w:bookmarkStart w:id="1052" w:name="_Ref52174299"/>
      <w:bookmarkStart w:id="1053" w:name="_Toc219309131"/>
      <w:r w:rsidR="008D797C">
        <w:rPr>
          <w:rFonts w:eastAsia="Calibri"/>
          <w:noProof/>
          <w:szCs w:val="24"/>
        </w:rPr>
        <w:t>101</w:t>
      </w:r>
      <w:bookmarkEnd w:id="1052"/>
      <w:r w:rsidRPr="00264D5D">
        <w:rPr>
          <w:rFonts w:eastAsia="Calibri"/>
          <w:szCs w:val="24"/>
        </w:rPr>
        <w:fldChar w:fldCharType="end"/>
      </w:r>
      <w:r w:rsidRPr="00264D5D">
        <w:rPr>
          <w:rFonts w:eastAsia="Calibri"/>
          <w:szCs w:val="24"/>
        </w:rPr>
        <w:t xml:space="preserve"> – Описание комплексного типа «tMSC_ShrtPyKndComplex»</w:t>
      </w:r>
      <w:bookmarkEnd w:id="1053"/>
    </w:p>
    <w:tbl>
      <w:tblPr>
        <w:tblStyle w:val="GOSTTable"/>
        <w:tblW w:w="5000" w:type="pct"/>
        <w:tblLayout w:type="fixed"/>
        <w:tblLook w:val="04A0" w:firstRow="1" w:lastRow="0" w:firstColumn="1" w:lastColumn="0" w:noHBand="0" w:noVBand="1"/>
      </w:tblPr>
      <w:tblGrid>
        <w:gridCol w:w="1704"/>
        <w:gridCol w:w="1704"/>
        <w:gridCol w:w="568"/>
        <w:gridCol w:w="1136"/>
        <w:gridCol w:w="568"/>
        <w:gridCol w:w="3970"/>
      </w:tblGrid>
      <w:tr w:rsidR="00AD1F54" w:rsidRPr="00264D5D" w14:paraId="6220481F"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258EE852" w14:textId="77777777" w:rsidR="00AD1F54" w:rsidRPr="00264D5D" w:rsidRDefault="00941227">
            <w:pPr>
              <w:pStyle w:val="GOSTTableHead"/>
            </w:pPr>
            <w:r w:rsidRPr="00264D5D">
              <w:t>Наименование элемента</w:t>
            </w:r>
          </w:p>
        </w:tc>
        <w:tc>
          <w:tcPr>
            <w:tcW w:w="1701" w:type="dxa"/>
          </w:tcPr>
          <w:p w14:paraId="76734975" w14:textId="77777777" w:rsidR="00AD1F54" w:rsidRPr="00264D5D" w:rsidRDefault="00941227">
            <w:pPr>
              <w:pStyle w:val="GOSTTableHead"/>
            </w:pPr>
            <w:r w:rsidRPr="00264D5D">
              <w:t>Сокращенное наименование (код) элемента</w:t>
            </w:r>
          </w:p>
        </w:tc>
        <w:tc>
          <w:tcPr>
            <w:tcW w:w="567" w:type="dxa"/>
          </w:tcPr>
          <w:p w14:paraId="3FD60C22" w14:textId="77777777" w:rsidR="00AD1F54" w:rsidRPr="00264D5D" w:rsidRDefault="00941227">
            <w:pPr>
              <w:pStyle w:val="GOSTTableHead"/>
            </w:pPr>
            <w:r w:rsidRPr="00264D5D">
              <w:t>Тип</w:t>
            </w:r>
          </w:p>
        </w:tc>
        <w:tc>
          <w:tcPr>
            <w:tcW w:w="1134" w:type="dxa"/>
          </w:tcPr>
          <w:p w14:paraId="119C4D4B" w14:textId="77777777" w:rsidR="00AD1F54" w:rsidRPr="00264D5D" w:rsidRDefault="00941227">
            <w:pPr>
              <w:pStyle w:val="GOSTTableHead"/>
            </w:pPr>
            <w:r w:rsidRPr="00264D5D">
              <w:t>Формат элемента</w:t>
            </w:r>
          </w:p>
        </w:tc>
        <w:tc>
          <w:tcPr>
            <w:tcW w:w="567" w:type="dxa"/>
          </w:tcPr>
          <w:p w14:paraId="344E0107" w14:textId="77777777" w:rsidR="00AD1F54" w:rsidRPr="00264D5D" w:rsidRDefault="00941227">
            <w:pPr>
              <w:pStyle w:val="GOSTTableHead"/>
            </w:pPr>
            <w:r w:rsidRPr="00264D5D">
              <w:t>Обязательность</w:t>
            </w:r>
          </w:p>
        </w:tc>
        <w:tc>
          <w:tcPr>
            <w:tcW w:w="3963" w:type="dxa"/>
          </w:tcPr>
          <w:p w14:paraId="2F8A27A9" w14:textId="77777777" w:rsidR="00AD1F54" w:rsidRPr="00264D5D" w:rsidRDefault="00941227">
            <w:pPr>
              <w:pStyle w:val="GOSTTableHead"/>
            </w:pPr>
            <w:r w:rsidRPr="00264D5D">
              <w:t>Дополнительная информация</w:t>
            </w:r>
          </w:p>
        </w:tc>
      </w:tr>
      <w:tr w:rsidR="00AD1F54" w:rsidRPr="00264D5D" w14:paraId="05949FF7"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B7BC347" w14:textId="77777777" w:rsidR="00AD1F54" w:rsidRPr="00264D5D" w:rsidRDefault="00941227">
            <w:pPr>
              <w:pStyle w:val="GOSTTablenorm"/>
            </w:pPr>
            <w:r w:rsidRPr="00264D5D">
              <w:t>Код вида платежа</w:t>
            </w:r>
          </w:p>
        </w:tc>
        <w:tc>
          <w:tcPr>
            <w:tcW w:w="1701" w:type="dxa"/>
          </w:tcPr>
          <w:p w14:paraId="25FF317E" w14:textId="77777777" w:rsidR="00AD1F54" w:rsidRPr="00264D5D" w:rsidRDefault="00941227">
            <w:pPr>
              <w:pStyle w:val="GOSTTablenorm"/>
              <w:rPr>
                <w:lang w:val="en-US"/>
              </w:rPr>
            </w:pPr>
            <w:r w:rsidRPr="00264D5D">
              <w:t>с</w:t>
            </w:r>
            <w:r w:rsidRPr="00264D5D">
              <w:rPr>
                <w:lang w:val="en-US"/>
              </w:rPr>
              <w:t>ode</w:t>
            </w:r>
          </w:p>
        </w:tc>
        <w:tc>
          <w:tcPr>
            <w:tcW w:w="567" w:type="dxa"/>
          </w:tcPr>
          <w:p w14:paraId="4A1A792D" w14:textId="77777777" w:rsidR="00AD1F54" w:rsidRPr="00264D5D" w:rsidRDefault="00941227">
            <w:pPr>
              <w:pStyle w:val="GOSTTablenorm"/>
              <w:jc w:val="center"/>
            </w:pPr>
            <w:r w:rsidRPr="00264D5D">
              <w:t>А</w:t>
            </w:r>
          </w:p>
        </w:tc>
        <w:tc>
          <w:tcPr>
            <w:tcW w:w="1134" w:type="dxa"/>
          </w:tcPr>
          <w:p w14:paraId="74A79B58" w14:textId="77777777" w:rsidR="00AD1F54" w:rsidRPr="00264D5D" w:rsidRDefault="00941227">
            <w:pPr>
              <w:pStyle w:val="GOSTTablenorm"/>
            </w:pPr>
            <w:r w:rsidRPr="00264D5D">
              <w:t>-</w:t>
            </w:r>
          </w:p>
        </w:tc>
        <w:tc>
          <w:tcPr>
            <w:tcW w:w="567" w:type="dxa"/>
          </w:tcPr>
          <w:p w14:paraId="5CFF83AA" w14:textId="77777777" w:rsidR="00AD1F54" w:rsidRPr="00264D5D" w:rsidRDefault="00941227">
            <w:pPr>
              <w:pStyle w:val="GOSTTablenorm"/>
              <w:jc w:val="center"/>
            </w:pPr>
            <w:r w:rsidRPr="00264D5D">
              <w:t>О</w:t>
            </w:r>
          </w:p>
        </w:tc>
        <w:tc>
          <w:tcPr>
            <w:tcW w:w="3963" w:type="dxa"/>
          </w:tcPr>
          <w:p w14:paraId="516B04F9" w14:textId="77777777" w:rsidR="00AD1F54" w:rsidRPr="00264D5D" w:rsidRDefault="00941227">
            <w:pPr>
              <w:pStyle w:val="GOSTTablenorm"/>
            </w:pPr>
            <w:r w:rsidRPr="00264D5D">
              <w:t>Допустимые значения:</w:t>
            </w:r>
          </w:p>
          <w:p w14:paraId="11AA93BC" w14:textId="77777777" w:rsidR="00AD1F54" w:rsidRPr="00264D5D" w:rsidRDefault="00941227" w:rsidP="00E7460C">
            <w:pPr>
              <w:pStyle w:val="GOSTTablenorm"/>
              <w:numPr>
                <w:ilvl w:val="0"/>
                <w:numId w:val="80"/>
              </w:numPr>
              <w:ind w:left="284" w:hanging="227"/>
            </w:pPr>
            <w:r w:rsidRPr="00264D5D">
              <w:t>0 – Пусто;</w:t>
            </w:r>
          </w:p>
          <w:p w14:paraId="57F24D84" w14:textId="77777777" w:rsidR="00AD1F54" w:rsidRPr="00264D5D" w:rsidRDefault="004A5918" w:rsidP="00E7460C">
            <w:pPr>
              <w:pStyle w:val="GOSTTablenorm"/>
              <w:numPr>
                <w:ilvl w:val="0"/>
                <w:numId w:val="80"/>
              </w:numPr>
              <w:ind w:left="284" w:hanging="227"/>
            </w:pPr>
            <w:r w:rsidRPr="00264D5D">
              <w:t>4 – Срочно</w:t>
            </w:r>
          </w:p>
        </w:tc>
      </w:tr>
      <w:tr w:rsidR="00AD1F54" w:rsidRPr="00264D5D" w14:paraId="1C5A6262"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31C9867F" w14:textId="77777777" w:rsidR="00AD1F54" w:rsidRPr="00264D5D" w:rsidRDefault="00941227">
            <w:pPr>
              <w:pStyle w:val="GOSTTablenorm"/>
            </w:pPr>
            <w:r w:rsidRPr="00264D5D">
              <w:t>Значение вида платежа</w:t>
            </w:r>
          </w:p>
        </w:tc>
        <w:tc>
          <w:tcPr>
            <w:tcW w:w="1701" w:type="dxa"/>
          </w:tcPr>
          <w:p w14:paraId="1B397FB8" w14:textId="77777777" w:rsidR="00AD1F54" w:rsidRPr="00264D5D" w:rsidRDefault="00941227">
            <w:pPr>
              <w:pStyle w:val="GOSTTablenorm"/>
            </w:pPr>
            <w:r w:rsidRPr="00264D5D">
              <w:rPr>
                <w:lang w:val="en-US"/>
              </w:rPr>
              <w:t>value</w:t>
            </w:r>
          </w:p>
        </w:tc>
        <w:tc>
          <w:tcPr>
            <w:tcW w:w="567" w:type="dxa"/>
          </w:tcPr>
          <w:p w14:paraId="07E5778F" w14:textId="77777777" w:rsidR="00AD1F54" w:rsidRPr="00264D5D" w:rsidRDefault="00941227">
            <w:pPr>
              <w:pStyle w:val="GOSTTablenorm"/>
              <w:jc w:val="center"/>
            </w:pPr>
            <w:r w:rsidRPr="00264D5D">
              <w:t>А</w:t>
            </w:r>
          </w:p>
        </w:tc>
        <w:tc>
          <w:tcPr>
            <w:tcW w:w="1134" w:type="dxa"/>
          </w:tcPr>
          <w:p w14:paraId="092867E5" w14:textId="77777777" w:rsidR="00AD1F54" w:rsidRPr="00264D5D" w:rsidRDefault="00941227">
            <w:pPr>
              <w:pStyle w:val="GOSTTablenorm"/>
            </w:pPr>
            <w:r w:rsidRPr="00264D5D">
              <w:t>-</w:t>
            </w:r>
          </w:p>
        </w:tc>
        <w:tc>
          <w:tcPr>
            <w:tcW w:w="567" w:type="dxa"/>
          </w:tcPr>
          <w:p w14:paraId="6E265F7B" w14:textId="77777777" w:rsidR="00AD1F54" w:rsidRPr="00264D5D" w:rsidRDefault="00941227">
            <w:pPr>
              <w:pStyle w:val="GOSTTablenorm"/>
              <w:jc w:val="center"/>
            </w:pPr>
            <w:r w:rsidRPr="00264D5D">
              <w:t>Н</w:t>
            </w:r>
          </w:p>
        </w:tc>
        <w:tc>
          <w:tcPr>
            <w:tcW w:w="3963" w:type="dxa"/>
          </w:tcPr>
          <w:p w14:paraId="5129E0BA" w14:textId="77777777" w:rsidR="00AD1F54" w:rsidRPr="00264D5D" w:rsidRDefault="00941227">
            <w:pPr>
              <w:pStyle w:val="GOSTTablenorm"/>
            </w:pPr>
            <w:r w:rsidRPr="00264D5D">
              <w:t>Соответствующие допустимые значения:</w:t>
            </w:r>
          </w:p>
          <w:p w14:paraId="4E9F20E7" w14:textId="77777777" w:rsidR="00AD1F54" w:rsidRPr="00264D5D" w:rsidRDefault="00941227" w:rsidP="00E7460C">
            <w:pPr>
              <w:pStyle w:val="GOSTTablenorm"/>
              <w:numPr>
                <w:ilvl w:val="0"/>
                <w:numId w:val="80"/>
              </w:numPr>
              <w:ind w:left="284" w:hanging="227"/>
            </w:pPr>
            <w:r w:rsidRPr="00264D5D">
              <w:t xml:space="preserve"> Пусто;</w:t>
            </w:r>
          </w:p>
          <w:p w14:paraId="49BE15E2" w14:textId="77777777" w:rsidR="00AD1F54" w:rsidRPr="00264D5D" w:rsidRDefault="004A5918" w:rsidP="00E7460C">
            <w:pPr>
              <w:pStyle w:val="GOSTTablenorm"/>
              <w:numPr>
                <w:ilvl w:val="0"/>
                <w:numId w:val="80"/>
              </w:numPr>
              <w:ind w:left="284" w:hanging="227"/>
            </w:pPr>
            <w:r w:rsidRPr="00264D5D">
              <w:t xml:space="preserve"> Срочно</w:t>
            </w:r>
          </w:p>
        </w:tc>
      </w:tr>
    </w:tbl>
    <w:p w14:paraId="527D16ED" w14:textId="77777777" w:rsidR="00AD1F54" w:rsidRPr="00264D5D" w:rsidRDefault="00941227">
      <w:pPr>
        <w:pStyle w:val="31"/>
      </w:pPr>
      <w:r w:rsidRPr="00264D5D">
        <w:t xml:space="preserve"> </w:t>
      </w:r>
      <w:bookmarkStart w:id="1054" w:name="_Toc219309544"/>
      <w:r w:rsidRPr="00264D5D">
        <w:t>Описание комплексного типа «tZK2»</w:t>
      </w:r>
      <w:bookmarkEnd w:id="1054"/>
    </w:p>
    <w:p w14:paraId="23E56D52" w14:textId="77777777" w:rsidR="00AD1F54" w:rsidRPr="00264D5D" w:rsidRDefault="00941227">
      <w:pPr>
        <w:pStyle w:val="GOSTNormal"/>
      </w:pPr>
      <w:r w:rsidRPr="00264D5D">
        <w:t>Описание комплексного типа «t</w:t>
      </w:r>
      <w:r w:rsidRPr="00264D5D">
        <w:rPr>
          <w:lang w:val="en-US"/>
        </w:rPr>
        <w:t>ZK</w:t>
      </w:r>
      <w:r w:rsidRPr="00264D5D">
        <w:t>2» блока «Раздел 2».</w:t>
      </w:r>
    </w:p>
    <w:p w14:paraId="339FB9DB" w14:textId="48F5F389"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1055" w:name="_Ref52174259"/>
      <w:bookmarkStart w:id="1056" w:name="_Toc219309132"/>
      <w:r w:rsidR="008D797C">
        <w:rPr>
          <w:rFonts w:eastAsia="Calibri"/>
          <w:noProof/>
          <w:szCs w:val="24"/>
        </w:rPr>
        <w:t>102</w:t>
      </w:r>
      <w:bookmarkEnd w:id="1055"/>
      <w:r w:rsidRPr="00264D5D">
        <w:rPr>
          <w:rFonts w:eastAsia="Calibri"/>
          <w:szCs w:val="24"/>
        </w:rPr>
        <w:fldChar w:fldCharType="end"/>
      </w:r>
      <w:r w:rsidRPr="00264D5D">
        <w:rPr>
          <w:rFonts w:eastAsia="Calibri"/>
          <w:szCs w:val="24"/>
        </w:rPr>
        <w:t xml:space="preserve"> – Описание комплексного типа «tZK2»</w:t>
      </w:r>
      <w:bookmarkEnd w:id="1056"/>
    </w:p>
    <w:tbl>
      <w:tblPr>
        <w:tblStyle w:val="GOSTTable"/>
        <w:tblW w:w="5000" w:type="pct"/>
        <w:tblLayout w:type="fixed"/>
        <w:tblLook w:val="04A0" w:firstRow="1" w:lastRow="0" w:firstColumn="1" w:lastColumn="0" w:noHBand="0" w:noVBand="1"/>
      </w:tblPr>
      <w:tblGrid>
        <w:gridCol w:w="1705"/>
        <w:gridCol w:w="1704"/>
        <w:gridCol w:w="567"/>
        <w:gridCol w:w="1135"/>
        <w:gridCol w:w="565"/>
        <w:gridCol w:w="3974"/>
      </w:tblGrid>
      <w:tr w:rsidR="00AD1F54" w:rsidRPr="00264D5D" w14:paraId="217C5776"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3" w:type="pct"/>
          </w:tcPr>
          <w:p w14:paraId="11A9E2F3" w14:textId="77777777" w:rsidR="00AD1F54" w:rsidRPr="00264D5D" w:rsidRDefault="00941227">
            <w:pPr>
              <w:pStyle w:val="ASFKTableHead"/>
            </w:pPr>
            <w:r w:rsidRPr="00264D5D">
              <w:t>Наименование комплексного типа</w:t>
            </w:r>
          </w:p>
        </w:tc>
        <w:tc>
          <w:tcPr>
            <w:tcW w:w="883" w:type="pct"/>
          </w:tcPr>
          <w:p w14:paraId="3D743654" w14:textId="77777777" w:rsidR="00AD1F54" w:rsidRPr="00264D5D" w:rsidRDefault="00941227">
            <w:pPr>
              <w:pStyle w:val="ASFKTableHead"/>
            </w:pPr>
            <w:r w:rsidRPr="00264D5D">
              <w:t>Текущий элемент/ атрибут</w:t>
            </w:r>
          </w:p>
        </w:tc>
        <w:tc>
          <w:tcPr>
            <w:tcW w:w="294" w:type="pct"/>
          </w:tcPr>
          <w:p w14:paraId="2E551B3E" w14:textId="77777777" w:rsidR="00AD1F54" w:rsidRPr="00264D5D" w:rsidRDefault="00941227">
            <w:pPr>
              <w:pStyle w:val="ASFKTableHead"/>
            </w:pPr>
            <w:r w:rsidRPr="00264D5D">
              <w:t>Тип</w:t>
            </w:r>
          </w:p>
        </w:tc>
        <w:tc>
          <w:tcPr>
            <w:tcW w:w="588" w:type="pct"/>
          </w:tcPr>
          <w:p w14:paraId="1202F47D" w14:textId="77777777" w:rsidR="00AD1F54" w:rsidRPr="00264D5D" w:rsidRDefault="00941227">
            <w:pPr>
              <w:pStyle w:val="ASFKTableHead"/>
            </w:pPr>
            <w:r w:rsidRPr="00264D5D">
              <w:t>Формат элемента</w:t>
            </w:r>
          </w:p>
        </w:tc>
        <w:tc>
          <w:tcPr>
            <w:tcW w:w="293" w:type="pct"/>
          </w:tcPr>
          <w:p w14:paraId="166A2685" w14:textId="77777777" w:rsidR="00AD1F54" w:rsidRPr="00264D5D" w:rsidRDefault="00941227">
            <w:pPr>
              <w:pStyle w:val="ASFKTableHead"/>
            </w:pPr>
            <w:r w:rsidRPr="00264D5D">
              <w:t>Обязательность</w:t>
            </w:r>
          </w:p>
        </w:tc>
        <w:tc>
          <w:tcPr>
            <w:tcW w:w="2059" w:type="pct"/>
          </w:tcPr>
          <w:p w14:paraId="01547E42" w14:textId="77777777" w:rsidR="00AD1F54" w:rsidRPr="00264D5D" w:rsidRDefault="00941227">
            <w:pPr>
              <w:pStyle w:val="ASFKTableHead"/>
            </w:pPr>
            <w:r w:rsidRPr="00264D5D">
              <w:t>Дополнительная информация</w:t>
            </w:r>
          </w:p>
        </w:tc>
      </w:tr>
      <w:tr w:rsidR="00AD1F54" w:rsidRPr="00264D5D" w14:paraId="0757E9F4"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3A340729" w14:textId="77777777" w:rsidR="00AD1F54" w:rsidRPr="00264D5D" w:rsidRDefault="00941227">
            <w:pPr>
              <w:pStyle w:val="GOSTTablenorm"/>
            </w:pPr>
            <w:r w:rsidRPr="00264D5D">
              <w:rPr>
                <w:rFonts w:eastAsia="Calibri"/>
                <w:szCs w:val="24"/>
              </w:rPr>
              <w:t>tZK2</w:t>
            </w:r>
          </w:p>
        </w:tc>
        <w:tc>
          <w:tcPr>
            <w:tcW w:w="883" w:type="pct"/>
          </w:tcPr>
          <w:p w14:paraId="79038532" w14:textId="77777777" w:rsidR="00AD1F54" w:rsidRPr="00264D5D" w:rsidRDefault="00941227">
            <w:pPr>
              <w:pStyle w:val="GOSTTablenorm"/>
            </w:pPr>
            <w:r w:rsidRPr="00264D5D">
              <w:t>ZK2_ITEM</w:t>
            </w:r>
          </w:p>
        </w:tc>
        <w:tc>
          <w:tcPr>
            <w:tcW w:w="294" w:type="pct"/>
          </w:tcPr>
          <w:p w14:paraId="1719DAD5" w14:textId="77777777" w:rsidR="00AD1F54" w:rsidRPr="00264D5D" w:rsidRDefault="00941227">
            <w:pPr>
              <w:pStyle w:val="GOSTTablenorm"/>
              <w:jc w:val="center"/>
            </w:pPr>
            <w:r w:rsidRPr="00264D5D">
              <w:t>С</w:t>
            </w:r>
          </w:p>
        </w:tc>
        <w:tc>
          <w:tcPr>
            <w:tcW w:w="588" w:type="pct"/>
          </w:tcPr>
          <w:p w14:paraId="55ECE708" w14:textId="77777777" w:rsidR="00AD1F54" w:rsidRPr="00264D5D" w:rsidRDefault="00941227">
            <w:pPr>
              <w:pStyle w:val="GOSTTablenorm"/>
            </w:pPr>
            <w:r w:rsidRPr="00264D5D">
              <w:t>tZK2_ITEM</w:t>
            </w:r>
          </w:p>
        </w:tc>
        <w:tc>
          <w:tcPr>
            <w:tcW w:w="293" w:type="pct"/>
          </w:tcPr>
          <w:p w14:paraId="7C680CF2" w14:textId="77777777" w:rsidR="00AD1F54" w:rsidRPr="00264D5D" w:rsidRDefault="00941227">
            <w:pPr>
              <w:pStyle w:val="GOSTTablenorm"/>
              <w:jc w:val="center"/>
            </w:pPr>
            <w:r w:rsidRPr="00264D5D">
              <w:t>ОМ</w:t>
            </w:r>
          </w:p>
        </w:tc>
        <w:tc>
          <w:tcPr>
            <w:tcW w:w="2059" w:type="pct"/>
          </w:tcPr>
          <w:p w14:paraId="3EC5A776" w14:textId="77777777" w:rsidR="00AD1F54" w:rsidRPr="00264D5D" w:rsidRDefault="00941227">
            <w:pPr>
              <w:pStyle w:val="GOSTTablenorm"/>
            </w:pPr>
            <w:r w:rsidRPr="00264D5D">
              <w:t>Строки блока «Раздел 2».</w:t>
            </w:r>
          </w:p>
          <w:p w14:paraId="3FB623F9" w14:textId="77777777" w:rsidR="00AD1F54" w:rsidRPr="00264D5D" w:rsidRDefault="00941227">
            <w:pPr>
              <w:pStyle w:val="GOSTTablenorm"/>
            </w:pPr>
            <w:r w:rsidRPr="00264D5D">
              <w:rPr>
                <w:szCs w:val="22"/>
              </w:rPr>
              <w:t>Один документ может содержать не более 9999 строк.</w:t>
            </w:r>
          </w:p>
          <w:p w14:paraId="498ED395" w14:textId="32509811" w:rsidR="00AD1F54" w:rsidRPr="00264D5D" w:rsidRDefault="00941227">
            <w:pPr>
              <w:pStyle w:val="GOSTTablenorm"/>
            </w:pPr>
            <w:r w:rsidRPr="00264D5D">
              <w:t xml:space="preserve">Состав элемента представлен в таблице </w:t>
            </w:r>
            <w:r w:rsidRPr="00264D5D">
              <w:fldChar w:fldCharType="begin"/>
            </w:r>
            <w:r w:rsidRPr="00264D5D">
              <w:instrText xml:space="preserve"> REF _Ref52174312 \h  \* MERGEFORMAT </w:instrText>
            </w:r>
            <w:r w:rsidRPr="00264D5D">
              <w:fldChar w:fldCharType="separate"/>
            </w:r>
            <w:r w:rsidR="008D797C" w:rsidRPr="008D797C">
              <w:rPr>
                <w:rFonts w:eastAsia="Calibri"/>
                <w:szCs w:val="24"/>
              </w:rPr>
              <w:t>103</w:t>
            </w:r>
            <w:r w:rsidRPr="00264D5D">
              <w:fldChar w:fldCharType="end"/>
            </w:r>
          </w:p>
        </w:tc>
      </w:tr>
    </w:tbl>
    <w:p w14:paraId="52B6DB8E" w14:textId="77777777" w:rsidR="00AD1F54" w:rsidRPr="00264D5D" w:rsidRDefault="00941227">
      <w:pPr>
        <w:pStyle w:val="31"/>
      </w:pPr>
      <w:r w:rsidRPr="00264D5D">
        <w:t xml:space="preserve"> </w:t>
      </w:r>
      <w:bookmarkStart w:id="1057" w:name="_Toc219309545"/>
      <w:r w:rsidRPr="00264D5D">
        <w:t>Описание комплексного типа «tZK2_ITEM»</w:t>
      </w:r>
      <w:bookmarkEnd w:id="1057"/>
    </w:p>
    <w:p w14:paraId="4C11ACFA" w14:textId="77777777" w:rsidR="00AD1F54" w:rsidRPr="00264D5D" w:rsidRDefault="00941227">
      <w:pPr>
        <w:pStyle w:val="GOSTNormal"/>
      </w:pPr>
      <w:r w:rsidRPr="00264D5D">
        <w:t>Описание комплексного типа «tZK2_ITEM» блока «Раздел 2 (строки)».</w:t>
      </w:r>
    </w:p>
    <w:p w14:paraId="5D25DD38" w14:textId="1AEFE0AB" w:rsidR="00AD1F54" w:rsidRPr="00264D5D" w:rsidRDefault="00941227">
      <w:pPr>
        <w:pStyle w:val="GOSTNameTable"/>
        <w:numPr>
          <w:ilvl w:val="0"/>
          <w:numId w:val="2"/>
        </w:numPr>
        <w:ind w:left="425" w:hanging="357"/>
        <w:rPr>
          <w:rFonts w:eastAsia="Calibri"/>
          <w:color w:val="000000" w:themeColor="text1"/>
          <w:szCs w:val="24"/>
        </w:rPr>
      </w:pPr>
      <w:r w:rsidRPr="00264D5D">
        <w:rPr>
          <w:rFonts w:eastAsia="Calibri"/>
          <w:color w:val="000000" w:themeColor="text1"/>
          <w:szCs w:val="24"/>
        </w:rPr>
        <w:fldChar w:fldCharType="begin"/>
      </w:r>
      <w:r w:rsidRPr="00264D5D">
        <w:rPr>
          <w:rFonts w:eastAsia="Calibri"/>
          <w:color w:val="000000" w:themeColor="text1"/>
          <w:szCs w:val="24"/>
        </w:rPr>
        <w:instrText xml:space="preserve"> SEQ Таблица \* ARABIC </w:instrText>
      </w:r>
      <w:r w:rsidRPr="00264D5D">
        <w:rPr>
          <w:rFonts w:eastAsia="Calibri"/>
          <w:color w:val="000000" w:themeColor="text1"/>
          <w:szCs w:val="24"/>
        </w:rPr>
        <w:fldChar w:fldCharType="separate"/>
      </w:r>
      <w:bookmarkStart w:id="1058" w:name="_Ref52174312"/>
      <w:bookmarkStart w:id="1059" w:name="_Toc219309133"/>
      <w:r w:rsidR="008D797C">
        <w:rPr>
          <w:rFonts w:eastAsia="Calibri"/>
          <w:noProof/>
          <w:color w:val="000000" w:themeColor="text1"/>
          <w:szCs w:val="24"/>
        </w:rPr>
        <w:t>103</w:t>
      </w:r>
      <w:bookmarkEnd w:id="1058"/>
      <w:r w:rsidRPr="00264D5D">
        <w:rPr>
          <w:rFonts w:eastAsia="Calibri"/>
          <w:color w:val="000000" w:themeColor="text1"/>
          <w:szCs w:val="24"/>
        </w:rPr>
        <w:fldChar w:fldCharType="end"/>
      </w:r>
      <w:r w:rsidRPr="00264D5D">
        <w:rPr>
          <w:rFonts w:eastAsia="Calibri"/>
          <w:color w:val="000000" w:themeColor="text1"/>
          <w:szCs w:val="24"/>
        </w:rPr>
        <w:t xml:space="preserve"> – Описание комплексного типа «tZK2_ITEM»</w:t>
      </w:r>
      <w:bookmarkEnd w:id="1059"/>
    </w:p>
    <w:tbl>
      <w:tblPr>
        <w:tblStyle w:val="GOSTTable"/>
        <w:tblW w:w="5000" w:type="pct"/>
        <w:tblLayout w:type="fixed"/>
        <w:tblLook w:val="04A0" w:firstRow="1" w:lastRow="0" w:firstColumn="1" w:lastColumn="0" w:noHBand="0" w:noVBand="1"/>
      </w:tblPr>
      <w:tblGrid>
        <w:gridCol w:w="1703"/>
        <w:gridCol w:w="1707"/>
        <w:gridCol w:w="568"/>
        <w:gridCol w:w="1133"/>
        <w:gridCol w:w="567"/>
        <w:gridCol w:w="3972"/>
      </w:tblGrid>
      <w:tr w:rsidR="00AD1F54" w:rsidRPr="00264D5D" w14:paraId="5A3A6646"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2" w:type="pct"/>
          </w:tcPr>
          <w:p w14:paraId="10A4847D" w14:textId="77777777" w:rsidR="00AD1F54" w:rsidRPr="00264D5D" w:rsidRDefault="00941227">
            <w:pPr>
              <w:pStyle w:val="ASFKTableHead"/>
            </w:pPr>
            <w:r w:rsidRPr="00264D5D">
              <w:t>Наименование элемента</w:t>
            </w:r>
          </w:p>
        </w:tc>
        <w:tc>
          <w:tcPr>
            <w:tcW w:w="884" w:type="pct"/>
          </w:tcPr>
          <w:p w14:paraId="127B6C68" w14:textId="77777777" w:rsidR="00AD1F54" w:rsidRPr="00264D5D" w:rsidRDefault="00941227">
            <w:pPr>
              <w:pStyle w:val="ASFKTableHead"/>
            </w:pPr>
            <w:r w:rsidRPr="00264D5D">
              <w:t>Сокращенное наименование (код) элемента</w:t>
            </w:r>
          </w:p>
        </w:tc>
        <w:tc>
          <w:tcPr>
            <w:tcW w:w="294" w:type="pct"/>
          </w:tcPr>
          <w:p w14:paraId="23FA7FB7" w14:textId="77777777" w:rsidR="00AD1F54" w:rsidRPr="00264D5D" w:rsidRDefault="00941227">
            <w:pPr>
              <w:pStyle w:val="ASFKTableHead"/>
            </w:pPr>
            <w:r w:rsidRPr="00264D5D">
              <w:t>Тип</w:t>
            </w:r>
          </w:p>
        </w:tc>
        <w:tc>
          <w:tcPr>
            <w:tcW w:w="587" w:type="pct"/>
          </w:tcPr>
          <w:p w14:paraId="5C025038" w14:textId="77777777" w:rsidR="00AD1F54" w:rsidRPr="00264D5D" w:rsidRDefault="00941227">
            <w:pPr>
              <w:pStyle w:val="ASFKTableHead"/>
            </w:pPr>
            <w:r w:rsidRPr="00264D5D">
              <w:t>Формат элемента</w:t>
            </w:r>
          </w:p>
        </w:tc>
        <w:tc>
          <w:tcPr>
            <w:tcW w:w="294" w:type="pct"/>
          </w:tcPr>
          <w:p w14:paraId="5FCC4BC9" w14:textId="77777777" w:rsidR="00AD1F54" w:rsidRPr="00264D5D" w:rsidRDefault="00941227">
            <w:pPr>
              <w:pStyle w:val="ASFKTableHead"/>
            </w:pPr>
            <w:r w:rsidRPr="00264D5D">
              <w:t>Обязательность</w:t>
            </w:r>
          </w:p>
        </w:tc>
        <w:tc>
          <w:tcPr>
            <w:tcW w:w="2058" w:type="pct"/>
          </w:tcPr>
          <w:p w14:paraId="3B8436E3" w14:textId="77777777" w:rsidR="00AD1F54" w:rsidRPr="00264D5D" w:rsidRDefault="00941227">
            <w:pPr>
              <w:pStyle w:val="ASFKTableHead"/>
            </w:pPr>
            <w:r w:rsidRPr="00264D5D">
              <w:t>Дополнительная информация</w:t>
            </w:r>
          </w:p>
        </w:tc>
      </w:tr>
      <w:tr w:rsidR="00AD1F54" w:rsidRPr="00264D5D" w14:paraId="44B07AE4"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2" w:type="pct"/>
          </w:tcPr>
          <w:p w14:paraId="0D727408" w14:textId="77777777" w:rsidR="00AD1F54" w:rsidRPr="00264D5D" w:rsidRDefault="00941227">
            <w:pPr>
              <w:pStyle w:val="GOSTTablenorm"/>
              <w:rPr>
                <w:szCs w:val="22"/>
              </w:rPr>
            </w:pPr>
            <w:r w:rsidRPr="00264D5D">
              <w:rPr>
                <w:szCs w:val="22"/>
              </w:rPr>
              <w:t>№ п/п</w:t>
            </w:r>
          </w:p>
        </w:tc>
        <w:tc>
          <w:tcPr>
            <w:tcW w:w="884" w:type="pct"/>
          </w:tcPr>
          <w:p w14:paraId="7ADA2042" w14:textId="77777777" w:rsidR="00AD1F54" w:rsidRPr="00264D5D" w:rsidRDefault="00941227">
            <w:pPr>
              <w:pStyle w:val="GOSTTablenorm"/>
              <w:rPr>
                <w:szCs w:val="22"/>
              </w:rPr>
            </w:pPr>
            <w:r w:rsidRPr="00264D5D">
              <w:rPr>
                <w:szCs w:val="22"/>
              </w:rPr>
              <w:t>RcrdNm</w:t>
            </w:r>
          </w:p>
        </w:tc>
        <w:tc>
          <w:tcPr>
            <w:tcW w:w="294" w:type="pct"/>
          </w:tcPr>
          <w:p w14:paraId="1D147D83" w14:textId="77777777" w:rsidR="00AD1F54" w:rsidRPr="00264D5D" w:rsidRDefault="00941227">
            <w:pPr>
              <w:pStyle w:val="GOSTTablenorm"/>
              <w:jc w:val="center"/>
              <w:rPr>
                <w:szCs w:val="22"/>
              </w:rPr>
            </w:pPr>
            <w:r w:rsidRPr="00264D5D">
              <w:rPr>
                <w:szCs w:val="22"/>
              </w:rPr>
              <w:t>П</w:t>
            </w:r>
          </w:p>
        </w:tc>
        <w:tc>
          <w:tcPr>
            <w:tcW w:w="587" w:type="pct"/>
          </w:tcPr>
          <w:p w14:paraId="361FD60B" w14:textId="77777777" w:rsidR="00AD1F54" w:rsidRPr="00264D5D" w:rsidRDefault="00941227">
            <w:pPr>
              <w:pStyle w:val="GOSTTablenorm"/>
              <w:rPr>
                <w:szCs w:val="22"/>
              </w:rPr>
            </w:pPr>
            <w:r w:rsidRPr="00264D5D">
              <w:rPr>
                <w:szCs w:val="22"/>
              </w:rPr>
              <w:t>N</w:t>
            </w:r>
            <w:r w:rsidRPr="00264D5D">
              <w:rPr>
                <w:szCs w:val="22"/>
                <w:lang w:val="en-US"/>
              </w:rPr>
              <w:t>(</w:t>
            </w:r>
            <w:r w:rsidRPr="00264D5D">
              <w:rPr>
                <w:szCs w:val="22"/>
              </w:rPr>
              <w:t>1-4</w:t>
            </w:r>
            <w:r w:rsidRPr="00264D5D">
              <w:rPr>
                <w:szCs w:val="22"/>
                <w:lang w:val="en-US"/>
              </w:rPr>
              <w:t>)</w:t>
            </w:r>
          </w:p>
        </w:tc>
        <w:tc>
          <w:tcPr>
            <w:tcW w:w="294" w:type="pct"/>
          </w:tcPr>
          <w:p w14:paraId="7E633A76" w14:textId="77777777" w:rsidR="00AD1F54" w:rsidRPr="00264D5D" w:rsidRDefault="00941227">
            <w:pPr>
              <w:pStyle w:val="GOSTTablenorm"/>
              <w:jc w:val="center"/>
              <w:rPr>
                <w:szCs w:val="22"/>
              </w:rPr>
            </w:pPr>
            <w:r w:rsidRPr="00264D5D">
              <w:rPr>
                <w:szCs w:val="22"/>
              </w:rPr>
              <w:t>О</w:t>
            </w:r>
          </w:p>
        </w:tc>
        <w:tc>
          <w:tcPr>
            <w:tcW w:w="2058" w:type="pct"/>
          </w:tcPr>
          <w:p w14:paraId="3FC6B23C" w14:textId="77777777" w:rsidR="00AD1F54" w:rsidRPr="00264D5D" w:rsidRDefault="004A5918">
            <w:pPr>
              <w:pStyle w:val="GOSTTablenorm"/>
              <w:rPr>
                <w:szCs w:val="22"/>
              </w:rPr>
            </w:pPr>
            <w:r w:rsidRPr="00264D5D">
              <w:rPr>
                <w:szCs w:val="22"/>
              </w:rPr>
              <w:t>Порядковый номер строки</w:t>
            </w:r>
          </w:p>
        </w:tc>
      </w:tr>
      <w:tr w:rsidR="00AD1F54" w:rsidRPr="00264D5D" w14:paraId="4C700A22"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2" w:type="pct"/>
          </w:tcPr>
          <w:p w14:paraId="41676787" w14:textId="77777777" w:rsidR="00AD1F54" w:rsidRPr="00264D5D" w:rsidRDefault="00941227">
            <w:pPr>
              <w:pStyle w:val="GOSTTablenorm"/>
              <w:rPr>
                <w:szCs w:val="22"/>
              </w:rPr>
            </w:pPr>
            <w:r w:rsidRPr="00264D5D">
              <w:rPr>
                <w:szCs w:val="22"/>
              </w:rPr>
              <w:t>ИНН</w:t>
            </w:r>
          </w:p>
        </w:tc>
        <w:tc>
          <w:tcPr>
            <w:tcW w:w="884" w:type="pct"/>
          </w:tcPr>
          <w:p w14:paraId="36FB72B2" w14:textId="77777777" w:rsidR="00AD1F54" w:rsidRPr="00264D5D" w:rsidRDefault="00941227">
            <w:pPr>
              <w:pStyle w:val="GOSTTablenorm"/>
              <w:rPr>
                <w:szCs w:val="22"/>
              </w:rPr>
            </w:pPr>
            <w:r w:rsidRPr="00264D5D">
              <w:rPr>
                <w:szCs w:val="22"/>
              </w:rPr>
              <w:t>INN</w:t>
            </w:r>
          </w:p>
        </w:tc>
        <w:tc>
          <w:tcPr>
            <w:tcW w:w="294" w:type="pct"/>
          </w:tcPr>
          <w:p w14:paraId="676BE988" w14:textId="77777777" w:rsidR="00AD1F54" w:rsidRPr="00264D5D" w:rsidRDefault="00941227">
            <w:pPr>
              <w:pStyle w:val="GOSTTablenorm"/>
              <w:jc w:val="center"/>
              <w:rPr>
                <w:szCs w:val="22"/>
              </w:rPr>
            </w:pPr>
            <w:r w:rsidRPr="00264D5D">
              <w:rPr>
                <w:szCs w:val="22"/>
              </w:rPr>
              <w:t>П</w:t>
            </w:r>
          </w:p>
        </w:tc>
        <w:tc>
          <w:tcPr>
            <w:tcW w:w="587" w:type="pct"/>
          </w:tcPr>
          <w:p w14:paraId="31EB0290" w14:textId="77777777" w:rsidR="00AD1F54" w:rsidRPr="00264D5D" w:rsidRDefault="00941227">
            <w:pPr>
              <w:pStyle w:val="GOSTTablenorm"/>
              <w:rPr>
                <w:szCs w:val="22"/>
                <w:lang w:val="en-US"/>
              </w:rPr>
            </w:pPr>
            <w:r w:rsidRPr="00264D5D">
              <w:rPr>
                <w:szCs w:val="22"/>
                <w:lang w:val="en-US"/>
              </w:rPr>
              <w:t>Т(1-</w:t>
            </w:r>
            <w:r w:rsidRPr="00264D5D">
              <w:rPr>
                <w:szCs w:val="22"/>
              </w:rPr>
              <w:t>12</w:t>
            </w:r>
            <w:r w:rsidRPr="00264D5D">
              <w:rPr>
                <w:szCs w:val="22"/>
                <w:lang w:val="en-US"/>
              </w:rPr>
              <w:t>)</w:t>
            </w:r>
          </w:p>
        </w:tc>
        <w:tc>
          <w:tcPr>
            <w:tcW w:w="294" w:type="pct"/>
          </w:tcPr>
          <w:p w14:paraId="1FCE2754" w14:textId="77777777" w:rsidR="00AD1F54" w:rsidRPr="00264D5D" w:rsidRDefault="00941227">
            <w:pPr>
              <w:pStyle w:val="GOSTTablenorm"/>
              <w:jc w:val="center"/>
              <w:rPr>
                <w:szCs w:val="22"/>
              </w:rPr>
            </w:pPr>
            <w:r w:rsidRPr="00264D5D">
              <w:rPr>
                <w:szCs w:val="22"/>
              </w:rPr>
              <w:t>О</w:t>
            </w:r>
          </w:p>
        </w:tc>
        <w:tc>
          <w:tcPr>
            <w:tcW w:w="2058" w:type="pct"/>
          </w:tcPr>
          <w:p w14:paraId="42C79343" w14:textId="77777777" w:rsidR="00AD1F54" w:rsidRPr="00264D5D" w:rsidRDefault="00941227">
            <w:pPr>
              <w:pStyle w:val="GOSTTablenorm"/>
              <w:rPr>
                <w:szCs w:val="22"/>
              </w:rPr>
            </w:pPr>
            <w:r w:rsidRPr="00264D5D">
              <w:rPr>
                <w:szCs w:val="22"/>
              </w:rPr>
              <w:t>Указывается 10-значный ИНН плательщика, или 12-значный ИНН плательщика – физического лица, за которого перечисляется платеж.</w:t>
            </w:r>
          </w:p>
          <w:p w14:paraId="7D6951B2" w14:textId="77777777" w:rsidR="00AD1F54" w:rsidRPr="00264D5D" w:rsidRDefault="00941227">
            <w:pPr>
              <w:pStyle w:val="GOSTTablenorm"/>
              <w:rPr>
                <w:szCs w:val="22"/>
              </w:rPr>
            </w:pPr>
            <w:r w:rsidRPr="00264D5D">
              <w:rPr>
                <w:szCs w:val="22"/>
              </w:rPr>
              <w:t xml:space="preserve">При отсутствии ИНН у плательщика-физического лица, за которого перечисляется платеж, </w:t>
            </w:r>
            <w:r w:rsidR="004A5918" w:rsidRPr="00264D5D">
              <w:rPr>
                <w:szCs w:val="22"/>
              </w:rPr>
              <w:t>указывается значение «0» (ноль)</w:t>
            </w:r>
          </w:p>
        </w:tc>
      </w:tr>
      <w:tr w:rsidR="00AD1F54" w:rsidRPr="00264D5D" w14:paraId="3B883BE1"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2" w:type="pct"/>
          </w:tcPr>
          <w:p w14:paraId="0141868F" w14:textId="77777777" w:rsidR="00AD1F54" w:rsidRPr="00264D5D" w:rsidRDefault="00941227">
            <w:pPr>
              <w:pStyle w:val="GOSTTablenorm"/>
              <w:rPr>
                <w:szCs w:val="22"/>
              </w:rPr>
            </w:pPr>
            <w:r w:rsidRPr="00264D5D">
              <w:rPr>
                <w:szCs w:val="22"/>
              </w:rPr>
              <w:lastRenderedPageBreak/>
              <w:t>КПП</w:t>
            </w:r>
          </w:p>
        </w:tc>
        <w:tc>
          <w:tcPr>
            <w:tcW w:w="884" w:type="pct"/>
          </w:tcPr>
          <w:p w14:paraId="49D3C502" w14:textId="77777777" w:rsidR="00AD1F54" w:rsidRPr="00264D5D" w:rsidRDefault="00941227">
            <w:pPr>
              <w:pStyle w:val="GOSTTablenorm"/>
              <w:rPr>
                <w:szCs w:val="22"/>
              </w:rPr>
            </w:pPr>
            <w:r w:rsidRPr="00264D5D">
              <w:rPr>
                <w:szCs w:val="22"/>
              </w:rPr>
              <w:t>KPP</w:t>
            </w:r>
          </w:p>
        </w:tc>
        <w:tc>
          <w:tcPr>
            <w:tcW w:w="294" w:type="pct"/>
          </w:tcPr>
          <w:p w14:paraId="5C39CC3F" w14:textId="77777777" w:rsidR="00AD1F54" w:rsidRPr="00264D5D" w:rsidRDefault="00941227">
            <w:pPr>
              <w:pStyle w:val="GOSTTablenorm"/>
              <w:jc w:val="center"/>
              <w:rPr>
                <w:szCs w:val="22"/>
              </w:rPr>
            </w:pPr>
            <w:r w:rsidRPr="00264D5D">
              <w:rPr>
                <w:szCs w:val="22"/>
              </w:rPr>
              <w:t>П</w:t>
            </w:r>
          </w:p>
        </w:tc>
        <w:tc>
          <w:tcPr>
            <w:tcW w:w="587" w:type="pct"/>
          </w:tcPr>
          <w:p w14:paraId="305D6F1E" w14:textId="77777777" w:rsidR="00AD1F54" w:rsidRPr="00264D5D" w:rsidRDefault="00941227">
            <w:pPr>
              <w:pStyle w:val="GOSTTablenorm"/>
              <w:rPr>
                <w:szCs w:val="22"/>
                <w:lang w:val="en-US"/>
              </w:rPr>
            </w:pPr>
            <w:r w:rsidRPr="00264D5D">
              <w:rPr>
                <w:szCs w:val="22"/>
                <w:lang w:val="en-US"/>
              </w:rPr>
              <w:t>Т(1-</w:t>
            </w:r>
            <w:r w:rsidRPr="00264D5D">
              <w:rPr>
                <w:szCs w:val="22"/>
              </w:rPr>
              <w:t>9</w:t>
            </w:r>
            <w:r w:rsidRPr="00264D5D">
              <w:rPr>
                <w:szCs w:val="22"/>
                <w:lang w:val="en-US"/>
              </w:rPr>
              <w:t>)</w:t>
            </w:r>
          </w:p>
        </w:tc>
        <w:tc>
          <w:tcPr>
            <w:tcW w:w="294" w:type="pct"/>
          </w:tcPr>
          <w:p w14:paraId="0B7CB0C3" w14:textId="77777777" w:rsidR="00AD1F54" w:rsidRPr="00264D5D" w:rsidRDefault="00941227">
            <w:pPr>
              <w:pStyle w:val="GOSTTablenorm"/>
              <w:jc w:val="center"/>
              <w:rPr>
                <w:szCs w:val="22"/>
              </w:rPr>
            </w:pPr>
            <w:r w:rsidRPr="00264D5D">
              <w:rPr>
                <w:szCs w:val="22"/>
              </w:rPr>
              <w:t>О</w:t>
            </w:r>
          </w:p>
        </w:tc>
        <w:tc>
          <w:tcPr>
            <w:tcW w:w="2058" w:type="pct"/>
          </w:tcPr>
          <w:p w14:paraId="4995DAAB" w14:textId="77777777" w:rsidR="00AD1F54" w:rsidRPr="00264D5D" w:rsidRDefault="00941227">
            <w:pPr>
              <w:pStyle w:val="GOSTTablenorm"/>
              <w:rPr>
                <w:szCs w:val="22"/>
              </w:rPr>
            </w:pPr>
            <w:r w:rsidRPr="00264D5D">
              <w:rPr>
                <w:szCs w:val="22"/>
              </w:rPr>
              <w:t>Указывается 9-значный КПП плательщика.</w:t>
            </w:r>
          </w:p>
          <w:p w14:paraId="14F2A3F2" w14:textId="77777777" w:rsidR="00AD1F54" w:rsidRPr="00264D5D" w:rsidRDefault="00941227">
            <w:pPr>
              <w:pStyle w:val="GOSTTablenorm"/>
              <w:rPr>
                <w:szCs w:val="22"/>
              </w:rPr>
            </w:pPr>
            <w:r w:rsidRPr="00264D5D">
              <w:rPr>
                <w:szCs w:val="22"/>
              </w:rPr>
              <w:t xml:space="preserve">При отсутствии КПП у плательщика-физического лица, за которого перечисляется платеж, </w:t>
            </w:r>
            <w:r w:rsidR="004A5918" w:rsidRPr="00264D5D">
              <w:rPr>
                <w:szCs w:val="22"/>
              </w:rPr>
              <w:t>указывается значение «0» (ноль)</w:t>
            </w:r>
          </w:p>
        </w:tc>
      </w:tr>
      <w:tr w:rsidR="00AD1F54" w:rsidRPr="00264D5D" w14:paraId="6C5027E7"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2" w:type="pct"/>
          </w:tcPr>
          <w:p w14:paraId="746DECB8" w14:textId="77777777" w:rsidR="00AD1F54" w:rsidRPr="00264D5D" w:rsidRDefault="00941227">
            <w:pPr>
              <w:pStyle w:val="GOSTTablenorm"/>
              <w:rPr>
                <w:szCs w:val="22"/>
              </w:rPr>
            </w:pPr>
            <w:r w:rsidRPr="00264D5D">
              <w:rPr>
                <w:szCs w:val="22"/>
              </w:rPr>
              <w:t>Администратор поступлений</w:t>
            </w:r>
          </w:p>
        </w:tc>
        <w:tc>
          <w:tcPr>
            <w:tcW w:w="884" w:type="pct"/>
          </w:tcPr>
          <w:p w14:paraId="381F41B6" w14:textId="77777777" w:rsidR="00AD1F54" w:rsidRPr="00264D5D" w:rsidRDefault="00941227">
            <w:pPr>
              <w:pStyle w:val="GOSTTablenorm"/>
              <w:rPr>
                <w:szCs w:val="22"/>
              </w:rPr>
            </w:pPr>
            <w:r w:rsidRPr="00264D5D">
              <w:rPr>
                <w:szCs w:val="22"/>
              </w:rPr>
              <w:t>MSC_IncmAdmn</w:t>
            </w:r>
          </w:p>
        </w:tc>
        <w:tc>
          <w:tcPr>
            <w:tcW w:w="294" w:type="pct"/>
          </w:tcPr>
          <w:p w14:paraId="2228A821" w14:textId="77777777" w:rsidR="00AD1F54" w:rsidRPr="00264D5D" w:rsidRDefault="00941227">
            <w:pPr>
              <w:pStyle w:val="GOSTTablenorm"/>
              <w:jc w:val="center"/>
              <w:rPr>
                <w:szCs w:val="22"/>
              </w:rPr>
            </w:pPr>
            <w:r w:rsidRPr="00264D5D">
              <w:rPr>
                <w:szCs w:val="22"/>
              </w:rPr>
              <w:t>С</w:t>
            </w:r>
          </w:p>
        </w:tc>
        <w:tc>
          <w:tcPr>
            <w:tcW w:w="587" w:type="pct"/>
          </w:tcPr>
          <w:p w14:paraId="0CC6B8A2" w14:textId="77777777" w:rsidR="00AD1F54" w:rsidRPr="00264D5D" w:rsidRDefault="00941227">
            <w:pPr>
              <w:pStyle w:val="GOSTTablenorm"/>
              <w:rPr>
                <w:szCs w:val="22"/>
              </w:rPr>
            </w:pPr>
            <w:r w:rsidRPr="00264D5D">
              <w:rPr>
                <w:szCs w:val="22"/>
                <w:lang w:val="en-US"/>
              </w:rPr>
              <w:t>tMSC_IncmAdmn</w:t>
            </w:r>
            <w:r w:rsidRPr="00264D5D">
              <w:rPr>
                <w:szCs w:val="22"/>
              </w:rPr>
              <w:t>1</w:t>
            </w:r>
          </w:p>
        </w:tc>
        <w:tc>
          <w:tcPr>
            <w:tcW w:w="294" w:type="pct"/>
          </w:tcPr>
          <w:p w14:paraId="3EA5CCA2" w14:textId="77777777" w:rsidR="00AD1F54" w:rsidRPr="00264D5D" w:rsidRDefault="00941227">
            <w:pPr>
              <w:pStyle w:val="GOSTTablenorm"/>
              <w:jc w:val="center"/>
              <w:rPr>
                <w:szCs w:val="22"/>
              </w:rPr>
            </w:pPr>
            <w:r w:rsidRPr="00264D5D">
              <w:rPr>
                <w:szCs w:val="22"/>
              </w:rPr>
              <w:t>О</w:t>
            </w:r>
          </w:p>
        </w:tc>
        <w:tc>
          <w:tcPr>
            <w:tcW w:w="2058" w:type="pct"/>
          </w:tcPr>
          <w:p w14:paraId="79A83C03" w14:textId="77777777" w:rsidR="00AD1F54" w:rsidRPr="00264D5D" w:rsidRDefault="00941227">
            <w:pPr>
              <w:pStyle w:val="GOSTTablenorm"/>
              <w:rPr>
                <w:szCs w:val="22"/>
              </w:rPr>
            </w:pPr>
            <w:r w:rsidRPr="00264D5D">
              <w:rPr>
                <w:szCs w:val="22"/>
              </w:rPr>
              <w:t>Администратор поступлений.</w:t>
            </w:r>
          </w:p>
          <w:p w14:paraId="46134523" w14:textId="7E52DEFC" w:rsidR="00AD1F54" w:rsidRPr="00264D5D" w:rsidRDefault="00941227">
            <w:pPr>
              <w:pStyle w:val="GOSTTablenorm"/>
              <w:rPr>
                <w:szCs w:val="22"/>
              </w:rPr>
            </w:pPr>
            <w:r w:rsidRPr="00264D5D">
              <w:rPr>
                <w:szCs w:val="22"/>
              </w:rPr>
              <w:t xml:space="preserve">Состав элемента представлен в таблице </w:t>
            </w:r>
            <w:r w:rsidRPr="00264D5D">
              <w:rPr>
                <w:szCs w:val="22"/>
              </w:rPr>
              <w:fldChar w:fldCharType="begin"/>
            </w:r>
            <w:r w:rsidRPr="00264D5D">
              <w:rPr>
                <w:szCs w:val="22"/>
              </w:rPr>
              <w:instrText xml:space="preserve"> REF _Ref52174327 \h  \* MERGEFORMAT </w:instrText>
            </w:r>
            <w:r w:rsidRPr="00264D5D">
              <w:rPr>
                <w:szCs w:val="22"/>
              </w:rPr>
            </w:r>
            <w:r w:rsidRPr="00264D5D">
              <w:rPr>
                <w:szCs w:val="22"/>
              </w:rPr>
              <w:fldChar w:fldCharType="separate"/>
            </w:r>
            <w:r w:rsidR="008D797C">
              <w:rPr>
                <w:rFonts w:eastAsia="Calibri"/>
                <w:szCs w:val="24"/>
              </w:rPr>
              <w:t>104</w:t>
            </w:r>
            <w:r w:rsidRPr="00264D5D">
              <w:rPr>
                <w:szCs w:val="22"/>
              </w:rPr>
              <w:fldChar w:fldCharType="end"/>
            </w:r>
          </w:p>
        </w:tc>
      </w:tr>
      <w:tr w:rsidR="00AD1F54" w:rsidRPr="00264D5D" w14:paraId="3BE6F72D"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2" w:type="pct"/>
          </w:tcPr>
          <w:p w14:paraId="5A17C11A" w14:textId="77777777" w:rsidR="00AD1F54" w:rsidRPr="00264D5D" w:rsidRDefault="00941227">
            <w:pPr>
              <w:pStyle w:val="GOSTTablenorm"/>
              <w:rPr>
                <w:szCs w:val="22"/>
              </w:rPr>
            </w:pPr>
            <w:r w:rsidRPr="00264D5D">
              <w:rPr>
                <w:szCs w:val="22"/>
              </w:rPr>
              <w:t>Реквизиты ТОФК/Реквизиты банка контрагента</w:t>
            </w:r>
          </w:p>
        </w:tc>
        <w:tc>
          <w:tcPr>
            <w:tcW w:w="884" w:type="pct"/>
          </w:tcPr>
          <w:p w14:paraId="5C57E9C5" w14:textId="77777777" w:rsidR="00AD1F54" w:rsidRPr="00264D5D" w:rsidRDefault="00941227">
            <w:pPr>
              <w:pStyle w:val="GOSTTablenorm"/>
              <w:rPr>
                <w:szCs w:val="22"/>
              </w:rPr>
            </w:pPr>
            <w:r w:rsidRPr="00264D5D">
              <w:rPr>
                <w:szCs w:val="22"/>
              </w:rPr>
              <w:t>MSC_Bnk</w:t>
            </w:r>
          </w:p>
        </w:tc>
        <w:tc>
          <w:tcPr>
            <w:tcW w:w="294" w:type="pct"/>
          </w:tcPr>
          <w:p w14:paraId="33B016EA" w14:textId="77777777" w:rsidR="00AD1F54" w:rsidRPr="00264D5D" w:rsidRDefault="00941227">
            <w:pPr>
              <w:pStyle w:val="GOSTTablenorm"/>
              <w:jc w:val="center"/>
              <w:rPr>
                <w:szCs w:val="22"/>
              </w:rPr>
            </w:pPr>
            <w:r w:rsidRPr="00264D5D">
              <w:rPr>
                <w:szCs w:val="22"/>
              </w:rPr>
              <w:t>С</w:t>
            </w:r>
          </w:p>
        </w:tc>
        <w:tc>
          <w:tcPr>
            <w:tcW w:w="587" w:type="pct"/>
          </w:tcPr>
          <w:p w14:paraId="056BDB83" w14:textId="77777777" w:rsidR="00AD1F54" w:rsidRPr="00264D5D" w:rsidRDefault="00941227">
            <w:pPr>
              <w:pStyle w:val="GOSTTablenorm"/>
              <w:rPr>
                <w:szCs w:val="22"/>
              </w:rPr>
            </w:pPr>
            <w:r w:rsidRPr="00264D5D">
              <w:rPr>
                <w:szCs w:val="22"/>
                <w:lang w:val="en-US"/>
              </w:rPr>
              <w:t>tMSC_Bnk</w:t>
            </w:r>
            <w:r w:rsidRPr="00264D5D">
              <w:rPr>
                <w:szCs w:val="22"/>
              </w:rPr>
              <w:t>1</w:t>
            </w:r>
          </w:p>
        </w:tc>
        <w:tc>
          <w:tcPr>
            <w:tcW w:w="294" w:type="pct"/>
          </w:tcPr>
          <w:p w14:paraId="15D0F587" w14:textId="77777777" w:rsidR="00AD1F54" w:rsidRPr="00264D5D" w:rsidRDefault="00941227">
            <w:pPr>
              <w:pStyle w:val="GOSTTablenorm"/>
              <w:jc w:val="center"/>
              <w:rPr>
                <w:szCs w:val="22"/>
              </w:rPr>
            </w:pPr>
            <w:r w:rsidRPr="00264D5D">
              <w:rPr>
                <w:szCs w:val="22"/>
              </w:rPr>
              <w:t>О</w:t>
            </w:r>
          </w:p>
        </w:tc>
        <w:tc>
          <w:tcPr>
            <w:tcW w:w="2058" w:type="pct"/>
          </w:tcPr>
          <w:p w14:paraId="0C67F3B8" w14:textId="77777777" w:rsidR="00AD1F54" w:rsidRPr="00264D5D" w:rsidRDefault="00941227">
            <w:pPr>
              <w:pStyle w:val="GOSTTablenorm"/>
              <w:rPr>
                <w:szCs w:val="22"/>
              </w:rPr>
            </w:pPr>
            <w:r w:rsidRPr="00264D5D">
              <w:rPr>
                <w:szCs w:val="22"/>
              </w:rPr>
              <w:t>Реквизиты ТОФК/реквизиты банка контрагента.</w:t>
            </w:r>
          </w:p>
          <w:p w14:paraId="0AFD8BC0" w14:textId="69CA8C23" w:rsidR="00AD1F54" w:rsidRPr="00264D5D" w:rsidRDefault="00941227">
            <w:pPr>
              <w:pStyle w:val="GOSTTablenorm"/>
              <w:rPr>
                <w:szCs w:val="22"/>
              </w:rPr>
            </w:pPr>
            <w:r w:rsidRPr="00264D5D">
              <w:rPr>
                <w:szCs w:val="22"/>
              </w:rPr>
              <w:t xml:space="preserve">Состав элемента представлен в таблице </w:t>
            </w:r>
            <w:r w:rsidRPr="00264D5D">
              <w:rPr>
                <w:szCs w:val="22"/>
              </w:rPr>
              <w:fldChar w:fldCharType="begin"/>
            </w:r>
            <w:r w:rsidRPr="00264D5D">
              <w:rPr>
                <w:szCs w:val="22"/>
              </w:rPr>
              <w:instrText xml:space="preserve"> REF _Ref52174337 \h  \* MERGEFORMAT </w:instrText>
            </w:r>
            <w:r w:rsidRPr="00264D5D">
              <w:rPr>
                <w:szCs w:val="22"/>
              </w:rPr>
            </w:r>
            <w:r w:rsidRPr="00264D5D">
              <w:rPr>
                <w:szCs w:val="22"/>
              </w:rPr>
              <w:fldChar w:fldCharType="separate"/>
            </w:r>
            <w:r w:rsidR="008D797C">
              <w:rPr>
                <w:rFonts w:eastAsia="Calibri"/>
                <w:szCs w:val="24"/>
              </w:rPr>
              <w:t>105</w:t>
            </w:r>
            <w:r w:rsidRPr="00264D5D">
              <w:rPr>
                <w:szCs w:val="22"/>
              </w:rPr>
              <w:fldChar w:fldCharType="end"/>
            </w:r>
          </w:p>
        </w:tc>
      </w:tr>
      <w:tr w:rsidR="00AD1F54" w:rsidRPr="00264D5D" w14:paraId="4987343B"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2" w:type="pct"/>
          </w:tcPr>
          <w:p w14:paraId="26A55C8E" w14:textId="77777777" w:rsidR="00AD1F54" w:rsidRPr="00264D5D" w:rsidRDefault="00941227">
            <w:pPr>
              <w:pStyle w:val="GOSTTablenorm"/>
              <w:rPr>
                <w:szCs w:val="22"/>
              </w:rPr>
            </w:pPr>
            <w:r w:rsidRPr="00264D5D">
              <w:rPr>
                <w:szCs w:val="22"/>
              </w:rPr>
              <w:t>Код по ОКТМО</w:t>
            </w:r>
          </w:p>
        </w:tc>
        <w:tc>
          <w:tcPr>
            <w:tcW w:w="884" w:type="pct"/>
          </w:tcPr>
          <w:p w14:paraId="30DC79F2" w14:textId="77777777" w:rsidR="00AD1F54" w:rsidRPr="00264D5D" w:rsidRDefault="00941227">
            <w:pPr>
              <w:pStyle w:val="GOSTTablenorm"/>
              <w:rPr>
                <w:szCs w:val="22"/>
              </w:rPr>
            </w:pPr>
            <w:r w:rsidRPr="00264D5D">
              <w:rPr>
                <w:szCs w:val="22"/>
              </w:rPr>
              <w:t>OKTMO</w:t>
            </w:r>
          </w:p>
        </w:tc>
        <w:tc>
          <w:tcPr>
            <w:tcW w:w="294" w:type="pct"/>
          </w:tcPr>
          <w:p w14:paraId="153F01E6" w14:textId="77777777" w:rsidR="00AD1F54" w:rsidRPr="00264D5D" w:rsidRDefault="00941227">
            <w:pPr>
              <w:pStyle w:val="GOSTTablenorm"/>
              <w:jc w:val="center"/>
              <w:rPr>
                <w:szCs w:val="22"/>
              </w:rPr>
            </w:pPr>
            <w:r w:rsidRPr="00264D5D">
              <w:rPr>
                <w:szCs w:val="22"/>
              </w:rPr>
              <w:t>П</w:t>
            </w:r>
          </w:p>
        </w:tc>
        <w:tc>
          <w:tcPr>
            <w:tcW w:w="587" w:type="pct"/>
          </w:tcPr>
          <w:p w14:paraId="2D3884E3" w14:textId="77777777" w:rsidR="00AD1F54" w:rsidRPr="00264D5D" w:rsidRDefault="00941227">
            <w:pPr>
              <w:pStyle w:val="GOSTTablenorm"/>
              <w:rPr>
                <w:szCs w:val="22"/>
                <w:lang w:val="en-US"/>
              </w:rPr>
            </w:pPr>
            <w:r w:rsidRPr="00264D5D">
              <w:rPr>
                <w:szCs w:val="22"/>
                <w:lang w:val="en-US"/>
              </w:rPr>
              <w:t>Т(1-</w:t>
            </w:r>
            <w:r w:rsidRPr="00264D5D">
              <w:rPr>
                <w:szCs w:val="22"/>
              </w:rPr>
              <w:t>8</w:t>
            </w:r>
            <w:r w:rsidRPr="00264D5D">
              <w:rPr>
                <w:szCs w:val="22"/>
                <w:lang w:val="en-US"/>
              </w:rPr>
              <w:t>)</w:t>
            </w:r>
          </w:p>
        </w:tc>
        <w:tc>
          <w:tcPr>
            <w:tcW w:w="294" w:type="pct"/>
          </w:tcPr>
          <w:p w14:paraId="6C4EB202" w14:textId="77777777" w:rsidR="00AD1F54" w:rsidRPr="00264D5D" w:rsidRDefault="00941227">
            <w:pPr>
              <w:pStyle w:val="GOSTTablenorm"/>
              <w:jc w:val="center"/>
              <w:rPr>
                <w:szCs w:val="22"/>
              </w:rPr>
            </w:pPr>
            <w:r w:rsidRPr="00264D5D">
              <w:rPr>
                <w:szCs w:val="22"/>
              </w:rPr>
              <w:t>Н</w:t>
            </w:r>
          </w:p>
        </w:tc>
        <w:tc>
          <w:tcPr>
            <w:tcW w:w="2058" w:type="pct"/>
          </w:tcPr>
          <w:p w14:paraId="220FE3C0" w14:textId="77777777" w:rsidR="00AD1F54" w:rsidRPr="00264D5D" w:rsidRDefault="00941227">
            <w:pPr>
              <w:pStyle w:val="GOSTTablenorm"/>
            </w:pPr>
            <w:r w:rsidRPr="00264D5D">
              <w:t>Указывается код ОКТМО.</w:t>
            </w:r>
          </w:p>
          <w:p w14:paraId="56A0FB50" w14:textId="77777777" w:rsidR="00AD1F54" w:rsidRPr="00264D5D" w:rsidRDefault="00941227">
            <w:pPr>
              <w:pStyle w:val="GOSTTablenorm"/>
            </w:pPr>
            <w:r w:rsidRPr="00264D5D">
              <w:t>Обязательно для заполнения, если заполнено поле «Статус налогоплательщика».</w:t>
            </w:r>
          </w:p>
          <w:p w14:paraId="78D61F99" w14:textId="77777777" w:rsidR="00AD1F54" w:rsidRPr="00264D5D" w:rsidRDefault="00941227">
            <w:pPr>
              <w:pStyle w:val="GOSTTablenorm"/>
              <w:rPr>
                <w:szCs w:val="22"/>
              </w:rPr>
            </w:pPr>
            <w:r w:rsidRPr="00264D5D">
              <w:t>В случае заполнения указывается значение ноль («0»), либо 8 знаков, при этом три нуля не могут быть впереди и все знаки одновременно не могу</w:t>
            </w:r>
            <w:r w:rsidR="004A5918" w:rsidRPr="00264D5D">
              <w:t>т принимать значение ноль («0»)</w:t>
            </w:r>
          </w:p>
        </w:tc>
      </w:tr>
      <w:tr w:rsidR="00AD1F54" w:rsidRPr="00264D5D" w14:paraId="5457227C"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2" w:type="pct"/>
          </w:tcPr>
          <w:p w14:paraId="62EB9AD1" w14:textId="77777777" w:rsidR="00AD1F54" w:rsidRPr="00264D5D" w:rsidRDefault="00941227">
            <w:pPr>
              <w:pStyle w:val="GOSTTablenorm"/>
              <w:rPr>
                <w:szCs w:val="22"/>
              </w:rPr>
            </w:pPr>
            <w:r w:rsidRPr="00264D5D">
              <w:rPr>
                <w:szCs w:val="22"/>
              </w:rPr>
              <w:t>Основание платежа</w:t>
            </w:r>
          </w:p>
        </w:tc>
        <w:tc>
          <w:tcPr>
            <w:tcW w:w="884" w:type="pct"/>
          </w:tcPr>
          <w:p w14:paraId="039F2689" w14:textId="77777777" w:rsidR="00AD1F54" w:rsidRPr="00264D5D" w:rsidRDefault="00941227">
            <w:pPr>
              <w:pStyle w:val="GOSTTablenorm"/>
              <w:rPr>
                <w:szCs w:val="22"/>
              </w:rPr>
            </w:pPr>
            <w:r w:rsidRPr="00264D5D">
              <w:rPr>
                <w:szCs w:val="22"/>
              </w:rPr>
              <w:t>BsPmnt</w:t>
            </w:r>
          </w:p>
        </w:tc>
        <w:tc>
          <w:tcPr>
            <w:tcW w:w="294" w:type="pct"/>
          </w:tcPr>
          <w:p w14:paraId="0B960ABF" w14:textId="77777777" w:rsidR="00AD1F54" w:rsidRPr="00264D5D" w:rsidRDefault="00941227">
            <w:pPr>
              <w:pStyle w:val="GOSTTablenorm"/>
              <w:jc w:val="center"/>
              <w:rPr>
                <w:szCs w:val="22"/>
              </w:rPr>
            </w:pPr>
            <w:r w:rsidRPr="00264D5D">
              <w:rPr>
                <w:szCs w:val="22"/>
              </w:rPr>
              <w:t>П</w:t>
            </w:r>
          </w:p>
        </w:tc>
        <w:tc>
          <w:tcPr>
            <w:tcW w:w="587" w:type="pct"/>
          </w:tcPr>
          <w:p w14:paraId="162704FA" w14:textId="77777777" w:rsidR="00AD1F54" w:rsidRPr="00264D5D" w:rsidRDefault="00941227">
            <w:pPr>
              <w:pStyle w:val="GOSTTablenorm"/>
              <w:rPr>
                <w:szCs w:val="22"/>
                <w:lang w:val="en-US"/>
              </w:rPr>
            </w:pPr>
            <w:r w:rsidRPr="00264D5D">
              <w:rPr>
                <w:szCs w:val="22"/>
                <w:lang w:val="en-US"/>
              </w:rPr>
              <w:t>Т(1-</w:t>
            </w:r>
            <w:r w:rsidRPr="00264D5D">
              <w:rPr>
                <w:szCs w:val="22"/>
              </w:rPr>
              <w:t>2</w:t>
            </w:r>
            <w:r w:rsidRPr="00264D5D">
              <w:rPr>
                <w:szCs w:val="22"/>
                <w:lang w:val="en-US"/>
              </w:rPr>
              <w:t>)</w:t>
            </w:r>
          </w:p>
        </w:tc>
        <w:tc>
          <w:tcPr>
            <w:tcW w:w="294" w:type="pct"/>
          </w:tcPr>
          <w:p w14:paraId="71F69826" w14:textId="77777777" w:rsidR="00AD1F54" w:rsidRPr="00264D5D" w:rsidRDefault="00941227">
            <w:pPr>
              <w:pStyle w:val="GOSTTablenorm"/>
              <w:jc w:val="center"/>
              <w:rPr>
                <w:szCs w:val="22"/>
              </w:rPr>
            </w:pPr>
            <w:r w:rsidRPr="00264D5D">
              <w:rPr>
                <w:szCs w:val="22"/>
              </w:rPr>
              <w:t>Н</w:t>
            </w:r>
          </w:p>
        </w:tc>
        <w:tc>
          <w:tcPr>
            <w:tcW w:w="2058" w:type="pct"/>
          </w:tcPr>
          <w:p w14:paraId="1C37E5E3" w14:textId="77777777" w:rsidR="00AD1F54" w:rsidRPr="00264D5D" w:rsidRDefault="00941227">
            <w:pPr>
              <w:pStyle w:val="GOSTTablenorm"/>
              <w:rPr>
                <w:szCs w:val="22"/>
              </w:rPr>
            </w:pPr>
            <w:r w:rsidRPr="00264D5D">
              <w:rPr>
                <w:szCs w:val="22"/>
              </w:rPr>
              <w:t>Указывается показатель основания платежа.</w:t>
            </w:r>
          </w:p>
          <w:p w14:paraId="277B0783" w14:textId="77777777" w:rsidR="00AD1F54" w:rsidRPr="00264D5D" w:rsidRDefault="00941227">
            <w:pPr>
              <w:pStyle w:val="GOSTTablenorm"/>
              <w:rPr>
                <w:szCs w:val="22"/>
              </w:rPr>
            </w:pPr>
            <w:r w:rsidRPr="00264D5D">
              <w:rPr>
                <w:szCs w:val="22"/>
              </w:rPr>
              <w:t>При невозможности указать конкретное значение показателя указывается ноль «0».</w:t>
            </w:r>
          </w:p>
          <w:p w14:paraId="35DC0275" w14:textId="77777777" w:rsidR="00AD1F54" w:rsidRPr="00264D5D" w:rsidRDefault="00941227">
            <w:pPr>
              <w:pStyle w:val="GOSTTablenorm"/>
              <w:rPr>
                <w:szCs w:val="22"/>
              </w:rPr>
            </w:pPr>
            <w:r w:rsidRPr="00264D5D">
              <w:rPr>
                <w:szCs w:val="22"/>
              </w:rPr>
              <w:t xml:space="preserve">Обязательно для заполнения если, заполнено </w:t>
            </w:r>
            <w:r w:rsidR="004A5918" w:rsidRPr="00264D5D">
              <w:rPr>
                <w:szCs w:val="22"/>
              </w:rPr>
              <w:t>поле «Статус налогоплательщика»</w:t>
            </w:r>
          </w:p>
        </w:tc>
      </w:tr>
      <w:tr w:rsidR="00AD1F54" w:rsidRPr="00264D5D" w14:paraId="23B0AA72"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2" w:type="pct"/>
          </w:tcPr>
          <w:p w14:paraId="2DD2E30A" w14:textId="77777777" w:rsidR="00AD1F54" w:rsidRPr="00264D5D" w:rsidRDefault="00941227">
            <w:pPr>
              <w:pStyle w:val="GOSTTablenorm"/>
              <w:rPr>
                <w:szCs w:val="22"/>
              </w:rPr>
            </w:pPr>
            <w:r w:rsidRPr="00264D5D">
              <w:rPr>
                <w:szCs w:val="22"/>
              </w:rPr>
              <w:t>Налоговый период</w:t>
            </w:r>
          </w:p>
        </w:tc>
        <w:tc>
          <w:tcPr>
            <w:tcW w:w="884" w:type="pct"/>
          </w:tcPr>
          <w:p w14:paraId="0E5CB101" w14:textId="77777777" w:rsidR="00AD1F54" w:rsidRPr="00264D5D" w:rsidRDefault="00941227">
            <w:pPr>
              <w:pStyle w:val="GOSTTablenorm"/>
              <w:rPr>
                <w:szCs w:val="22"/>
              </w:rPr>
            </w:pPr>
            <w:r w:rsidRPr="00264D5D">
              <w:rPr>
                <w:szCs w:val="22"/>
              </w:rPr>
              <w:t>TxPrd</w:t>
            </w:r>
          </w:p>
        </w:tc>
        <w:tc>
          <w:tcPr>
            <w:tcW w:w="294" w:type="pct"/>
          </w:tcPr>
          <w:p w14:paraId="14FF39F3" w14:textId="77777777" w:rsidR="00AD1F54" w:rsidRPr="00264D5D" w:rsidRDefault="00941227">
            <w:pPr>
              <w:pStyle w:val="GOSTTablenorm"/>
              <w:jc w:val="center"/>
              <w:rPr>
                <w:szCs w:val="22"/>
              </w:rPr>
            </w:pPr>
            <w:r w:rsidRPr="00264D5D">
              <w:rPr>
                <w:szCs w:val="22"/>
              </w:rPr>
              <w:t>П</w:t>
            </w:r>
          </w:p>
        </w:tc>
        <w:tc>
          <w:tcPr>
            <w:tcW w:w="587" w:type="pct"/>
          </w:tcPr>
          <w:p w14:paraId="1E5ED6CD" w14:textId="77777777" w:rsidR="00AD1F54" w:rsidRPr="00264D5D" w:rsidRDefault="00941227">
            <w:pPr>
              <w:pStyle w:val="GOSTTablenorm"/>
              <w:rPr>
                <w:szCs w:val="22"/>
                <w:lang w:val="en-US"/>
              </w:rPr>
            </w:pPr>
            <w:r w:rsidRPr="00264D5D">
              <w:rPr>
                <w:szCs w:val="22"/>
                <w:lang w:val="en-US"/>
              </w:rPr>
              <w:t>Т(1-</w:t>
            </w:r>
            <w:r w:rsidRPr="00264D5D">
              <w:rPr>
                <w:szCs w:val="22"/>
              </w:rPr>
              <w:t>10</w:t>
            </w:r>
            <w:r w:rsidRPr="00264D5D">
              <w:rPr>
                <w:szCs w:val="22"/>
                <w:lang w:val="en-US"/>
              </w:rPr>
              <w:t>)</w:t>
            </w:r>
          </w:p>
        </w:tc>
        <w:tc>
          <w:tcPr>
            <w:tcW w:w="294" w:type="pct"/>
          </w:tcPr>
          <w:p w14:paraId="376340CD" w14:textId="77777777" w:rsidR="00AD1F54" w:rsidRPr="00264D5D" w:rsidRDefault="00941227">
            <w:pPr>
              <w:pStyle w:val="GOSTTablenorm"/>
              <w:jc w:val="center"/>
              <w:rPr>
                <w:szCs w:val="22"/>
              </w:rPr>
            </w:pPr>
            <w:r w:rsidRPr="00264D5D">
              <w:rPr>
                <w:szCs w:val="22"/>
              </w:rPr>
              <w:t>Н</w:t>
            </w:r>
          </w:p>
        </w:tc>
        <w:tc>
          <w:tcPr>
            <w:tcW w:w="2058" w:type="pct"/>
          </w:tcPr>
          <w:p w14:paraId="75B9D980" w14:textId="77777777" w:rsidR="00AD1F54" w:rsidRPr="00264D5D" w:rsidRDefault="00941227">
            <w:pPr>
              <w:pStyle w:val="GOSTTablenorm"/>
              <w:rPr>
                <w:szCs w:val="22"/>
              </w:rPr>
            </w:pPr>
            <w:r w:rsidRPr="00264D5D">
              <w:rPr>
                <w:szCs w:val="22"/>
              </w:rPr>
              <w:t>Указывается показатель налогового периода.</w:t>
            </w:r>
          </w:p>
          <w:p w14:paraId="75DA0C51" w14:textId="77777777" w:rsidR="00AD1F54" w:rsidRPr="00264D5D" w:rsidRDefault="00941227">
            <w:pPr>
              <w:pStyle w:val="GOSTTablenorm"/>
              <w:rPr>
                <w:szCs w:val="22"/>
              </w:rPr>
            </w:pPr>
            <w:r w:rsidRPr="00264D5D">
              <w:rPr>
                <w:szCs w:val="22"/>
              </w:rPr>
              <w:t>При невозможности указать конкретное значение показателя указывается ноль «0».</w:t>
            </w:r>
          </w:p>
          <w:p w14:paraId="49177357" w14:textId="77777777" w:rsidR="00AD1F54" w:rsidRPr="00264D5D" w:rsidRDefault="00941227">
            <w:pPr>
              <w:pStyle w:val="GOSTTablenorm"/>
              <w:rPr>
                <w:szCs w:val="22"/>
              </w:rPr>
            </w:pPr>
            <w:r w:rsidRPr="00264D5D">
              <w:rPr>
                <w:szCs w:val="22"/>
              </w:rPr>
              <w:t xml:space="preserve">Обязательно для заполнения, если заполнено </w:t>
            </w:r>
            <w:r w:rsidR="004A5918" w:rsidRPr="00264D5D">
              <w:rPr>
                <w:szCs w:val="22"/>
              </w:rPr>
              <w:t>поле «Статус налогоплательщика»</w:t>
            </w:r>
          </w:p>
        </w:tc>
      </w:tr>
      <w:tr w:rsidR="00AD1F54" w:rsidRPr="00264D5D" w14:paraId="7941A83A"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2" w:type="pct"/>
          </w:tcPr>
          <w:p w14:paraId="4B87A916" w14:textId="77777777" w:rsidR="00AD1F54" w:rsidRPr="00264D5D" w:rsidRDefault="00941227">
            <w:pPr>
              <w:pStyle w:val="GOSTTablenorm"/>
              <w:rPr>
                <w:szCs w:val="22"/>
              </w:rPr>
            </w:pPr>
            <w:r w:rsidRPr="00264D5D">
              <w:rPr>
                <w:szCs w:val="22"/>
              </w:rPr>
              <w:t>Документ-основание</w:t>
            </w:r>
          </w:p>
        </w:tc>
        <w:tc>
          <w:tcPr>
            <w:tcW w:w="884" w:type="pct"/>
          </w:tcPr>
          <w:p w14:paraId="2E6E8A62" w14:textId="77777777" w:rsidR="00AD1F54" w:rsidRPr="00264D5D" w:rsidRDefault="00941227">
            <w:pPr>
              <w:pStyle w:val="GOSTTablenorm"/>
              <w:rPr>
                <w:szCs w:val="22"/>
              </w:rPr>
            </w:pPr>
            <w:r w:rsidRPr="00264D5D">
              <w:rPr>
                <w:szCs w:val="22"/>
              </w:rPr>
              <w:t>MSC_ShrtDcBs</w:t>
            </w:r>
          </w:p>
        </w:tc>
        <w:tc>
          <w:tcPr>
            <w:tcW w:w="294" w:type="pct"/>
          </w:tcPr>
          <w:p w14:paraId="61BF9FD3" w14:textId="77777777" w:rsidR="00AD1F54" w:rsidRPr="00264D5D" w:rsidRDefault="00941227">
            <w:pPr>
              <w:pStyle w:val="GOSTTablenorm"/>
              <w:jc w:val="center"/>
              <w:rPr>
                <w:szCs w:val="22"/>
              </w:rPr>
            </w:pPr>
            <w:r w:rsidRPr="00264D5D">
              <w:rPr>
                <w:szCs w:val="22"/>
              </w:rPr>
              <w:t>С</w:t>
            </w:r>
          </w:p>
        </w:tc>
        <w:tc>
          <w:tcPr>
            <w:tcW w:w="587" w:type="pct"/>
          </w:tcPr>
          <w:p w14:paraId="0F6353C5" w14:textId="77777777" w:rsidR="00AD1F54" w:rsidRPr="00264D5D" w:rsidRDefault="00941227">
            <w:pPr>
              <w:pStyle w:val="GOSTTablenorm"/>
              <w:rPr>
                <w:szCs w:val="22"/>
              </w:rPr>
            </w:pPr>
            <w:r w:rsidRPr="00264D5D">
              <w:rPr>
                <w:szCs w:val="22"/>
                <w:lang w:val="en-US"/>
              </w:rPr>
              <w:t>tMSC_DcBs</w:t>
            </w:r>
            <w:r w:rsidRPr="00264D5D">
              <w:rPr>
                <w:szCs w:val="22"/>
              </w:rPr>
              <w:t>4</w:t>
            </w:r>
          </w:p>
        </w:tc>
        <w:tc>
          <w:tcPr>
            <w:tcW w:w="294" w:type="pct"/>
          </w:tcPr>
          <w:p w14:paraId="7091788B" w14:textId="77777777" w:rsidR="00AD1F54" w:rsidRPr="00264D5D" w:rsidRDefault="00941227">
            <w:pPr>
              <w:pStyle w:val="GOSTTablenorm"/>
              <w:jc w:val="center"/>
              <w:rPr>
                <w:szCs w:val="22"/>
              </w:rPr>
            </w:pPr>
            <w:r w:rsidRPr="00264D5D">
              <w:rPr>
                <w:szCs w:val="22"/>
              </w:rPr>
              <w:t>Н</w:t>
            </w:r>
          </w:p>
        </w:tc>
        <w:tc>
          <w:tcPr>
            <w:tcW w:w="2058" w:type="pct"/>
          </w:tcPr>
          <w:p w14:paraId="17CA4D62" w14:textId="77777777" w:rsidR="00AD1F54" w:rsidRPr="00264D5D" w:rsidRDefault="00941227">
            <w:pPr>
              <w:pStyle w:val="GOSTTablenorm"/>
            </w:pPr>
            <w:r w:rsidRPr="00264D5D">
              <w:t>Документ-основание кратко.</w:t>
            </w:r>
          </w:p>
          <w:p w14:paraId="470756D5" w14:textId="77777777" w:rsidR="00AD1F54" w:rsidRPr="00264D5D" w:rsidRDefault="00941227">
            <w:pPr>
              <w:pStyle w:val="GOSTTablenorm"/>
            </w:pPr>
            <w:r w:rsidRPr="00264D5D">
              <w:t xml:space="preserve">Обязательно для заполнения, если заполнено поле «Статус </w:t>
            </w:r>
            <w:r w:rsidRPr="00264D5D">
              <w:lastRenderedPageBreak/>
              <w:t>налогоплательщика».</w:t>
            </w:r>
          </w:p>
          <w:p w14:paraId="7F9B05FD" w14:textId="10A1CE02" w:rsidR="00AD1F54" w:rsidRPr="00264D5D" w:rsidRDefault="00941227">
            <w:pPr>
              <w:pStyle w:val="GOSTTablenorm"/>
              <w:rPr>
                <w:szCs w:val="22"/>
              </w:rPr>
            </w:pPr>
            <w:r w:rsidRPr="00264D5D">
              <w:rPr>
                <w:szCs w:val="22"/>
              </w:rPr>
              <w:t xml:space="preserve">Состав элемента представлен в таблице </w:t>
            </w:r>
            <w:r w:rsidRPr="00264D5D">
              <w:rPr>
                <w:szCs w:val="22"/>
              </w:rPr>
              <w:fldChar w:fldCharType="begin"/>
            </w:r>
            <w:r w:rsidRPr="00264D5D">
              <w:rPr>
                <w:szCs w:val="22"/>
              </w:rPr>
              <w:instrText xml:space="preserve"> REF _Ref52174350 \h  \* MERGEFORMAT </w:instrText>
            </w:r>
            <w:r w:rsidRPr="00264D5D">
              <w:rPr>
                <w:szCs w:val="22"/>
              </w:rPr>
            </w:r>
            <w:r w:rsidRPr="00264D5D">
              <w:rPr>
                <w:szCs w:val="22"/>
              </w:rPr>
              <w:fldChar w:fldCharType="separate"/>
            </w:r>
            <w:r w:rsidR="008D797C">
              <w:rPr>
                <w:rFonts w:eastAsia="Calibri"/>
                <w:szCs w:val="24"/>
              </w:rPr>
              <w:t>106</w:t>
            </w:r>
            <w:r w:rsidRPr="00264D5D">
              <w:rPr>
                <w:szCs w:val="22"/>
              </w:rPr>
              <w:fldChar w:fldCharType="end"/>
            </w:r>
          </w:p>
        </w:tc>
      </w:tr>
      <w:tr w:rsidR="00AD1F54" w:rsidRPr="00264D5D" w14:paraId="010921B1"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2" w:type="pct"/>
          </w:tcPr>
          <w:p w14:paraId="66DFB9DF" w14:textId="77777777" w:rsidR="00AD1F54" w:rsidRPr="00264D5D" w:rsidRDefault="00941227">
            <w:pPr>
              <w:pStyle w:val="GOSTTablenorm"/>
              <w:rPr>
                <w:szCs w:val="22"/>
              </w:rPr>
            </w:pPr>
            <w:r w:rsidRPr="00264D5D">
              <w:rPr>
                <w:szCs w:val="22"/>
              </w:rPr>
              <w:lastRenderedPageBreak/>
              <w:t>Информация о платеже (для Раздела 2)</w:t>
            </w:r>
          </w:p>
        </w:tc>
        <w:tc>
          <w:tcPr>
            <w:tcW w:w="884" w:type="pct"/>
          </w:tcPr>
          <w:p w14:paraId="2FEA8325" w14:textId="77777777" w:rsidR="00AD1F54" w:rsidRPr="00264D5D" w:rsidRDefault="00941227">
            <w:pPr>
              <w:pStyle w:val="GOSTTablenorm"/>
              <w:rPr>
                <w:szCs w:val="22"/>
              </w:rPr>
            </w:pPr>
            <w:r w:rsidRPr="00264D5D">
              <w:rPr>
                <w:szCs w:val="22"/>
              </w:rPr>
              <w:t>MSC_Pmnt</w:t>
            </w:r>
          </w:p>
        </w:tc>
        <w:tc>
          <w:tcPr>
            <w:tcW w:w="294" w:type="pct"/>
          </w:tcPr>
          <w:p w14:paraId="52B5E1D4" w14:textId="77777777" w:rsidR="00AD1F54" w:rsidRPr="00264D5D" w:rsidRDefault="00941227">
            <w:pPr>
              <w:pStyle w:val="GOSTTablenorm"/>
              <w:jc w:val="center"/>
              <w:rPr>
                <w:szCs w:val="22"/>
              </w:rPr>
            </w:pPr>
            <w:r w:rsidRPr="00264D5D">
              <w:rPr>
                <w:szCs w:val="22"/>
              </w:rPr>
              <w:t>С</w:t>
            </w:r>
          </w:p>
        </w:tc>
        <w:tc>
          <w:tcPr>
            <w:tcW w:w="587" w:type="pct"/>
          </w:tcPr>
          <w:p w14:paraId="26A5757B" w14:textId="77777777" w:rsidR="00AD1F54" w:rsidRPr="00264D5D" w:rsidRDefault="00941227">
            <w:pPr>
              <w:pStyle w:val="GOSTTablenorm"/>
              <w:rPr>
                <w:szCs w:val="22"/>
              </w:rPr>
            </w:pPr>
            <w:r w:rsidRPr="00264D5D">
              <w:rPr>
                <w:szCs w:val="22"/>
                <w:lang w:val="en-US"/>
              </w:rPr>
              <w:t>tMSC_Pmnt</w:t>
            </w:r>
            <w:r w:rsidRPr="00264D5D">
              <w:rPr>
                <w:szCs w:val="22"/>
              </w:rPr>
              <w:t>2</w:t>
            </w:r>
          </w:p>
        </w:tc>
        <w:tc>
          <w:tcPr>
            <w:tcW w:w="294" w:type="pct"/>
          </w:tcPr>
          <w:p w14:paraId="3498C601" w14:textId="77777777" w:rsidR="00AD1F54" w:rsidRPr="00264D5D" w:rsidRDefault="00941227">
            <w:pPr>
              <w:pStyle w:val="GOSTTablenorm"/>
              <w:jc w:val="center"/>
              <w:rPr>
                <w:szCs w:val="22"/>
              </w:rPr>
            </w:pPr>
            <w:r w:rsidRPr="00264D5D">
              <w:rPr>
                <w:szCs w:val="22"/>
              </w:rPr>
              <w:t>Н</w:t>
            </w:r>
          </w:p>
        </w:tc>
        <w:tc>
          <w:tcPr>
            <w:tcW w:w="2058" w:type="pct"/>
          </w:tcPr>
          <w:p w14:paraId="63F0D16E" w14:textId="77777777" w:rsidR="00AD1F54" w:rsidRPr="00264D5D" w:rsidRDefault="00941227">
            <w:pPr>
              <w:pStyle w:val="GOSTTablenorm"/>
              <w:rPr>
                <w:szCs w:val="22"/>
              </w:rPr>
            </w:pPr>
            <w:r w:rsidRPr="00264D5D">
              <w:rPr>
                <w:szCs w:val="22"/>
              </w:rPr>
              <w:t>Информация о платеже.</w:t>
            </w:r>
          </w:p>
          <w:p w14:paraId="289F443A" w14:textId="25590360" w:rsidR="00AD1F54" w:rsidRPr="00264D5D" w:rsidRDefault="00941227">
            <w:pPr>
              <w:pStyle w:val="GOSTTablenorm"/>
              <w:rPr>
                <w:szCs w:val="22"/>
              </w:rPr>
            </w:pPr>
            <w:r w:rsidRPr="00264D5D">
              <w:rPr>
                <w:szCs w:val="22"/>
              </w:rPr>
              <w:t xml:space="preserve">Состав элемента представлен в таблице </w:t>
            </w:r>
            <w:r w:rsidRPr="00264D5D">
              <w:rPr>
                <w:rStyle w:val="GOSTNormal0"/>
                <w:b/>
              </w:rPr>
              <w:fldChar w:fldCharType="begin"/>
            </w:r>
            <w:r w:rsidRPr="00264D5D">
              <w:rPr>
                <w:szCs w:val="22"/>
              </w:rPr>
              <w:instrText xml:space="preserve"> REF _Ref52174358 \h </w:instrText>
            </w:r>
            <w:r w:rsidRPr="00264D5D">
              <w:rPr>
                <w:rStyle w:val="GOSTNormal0"/>
                <w:b/>
              </w:rPr>
              <w:instrText xml:space="preserve"> \* MERGEFORMAT </w:instrText>
            </w:r>
            <w:r w:rsidRPr="00264D5D">
              <w:rPr>
                <w:rStyle w:val="GOSTNormal0"/>
                <w:b/>
              </w:rPr>
            </w:r>
            <w:r w:rsidRPr="00264D5D">
              <w:rPr>
                <w:rStyle w:val="GOSTNormal0"/>
                <w:b/>
              </w:rPr>
              <w:fldChar w:fldCharType="separate"/>
            </w:r>
            <w:r w:rsidR="008D797C">
              <w:rPr>
                <w:rFonts w:eastAsia="Calibri"/>
                <w:szCs w:val="24"/>
              </w:rPr>
              <w:t>107</w:t>
            </w:r>
            <w:r w:rsidRPr="00264D5D">
              <w:rPr>
                <w:rStyle w:val="GOSTNormal0"/>
                <w:b/>
              </w:rPr>
              <w:fldChar w:fldCharType="end"/>
            </w:r>
          </w:p>
        </w:tc>
      </w:tr>
      <w:tr w:rsidR="00AD1F54" w:rsidRPr="00264D5D" w14:paraId="3176DA15"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2" w:type="pct"/>
          </w:tcPr>
          <w:p w14:paraId="565E34C1" w14:textId="77777777" w:rsidR="00AD1F54" w:rsidRPr="00264D5D" w:rsidRDefault="00941227">
            <w:pPr>
              <w:pStyle w:val="GOSTTablenorm"/>
              <w:rPr>
                <w:szCs w:val="22"/>
              </w:rPr>
            </w:pPr>
            <w:r w:rsidRPr="00264D5D">
              <w:rPr>
                <w:szCs w:val="22"/>
              </w:rPr>
              <w:t>Уникальный идентификатор начисления (Код)</w:t>
            </w:r>
          </w:p>
        </w:tc>
        <w:tc>
          <w:tcPr>
            <w:tcW w:w="884" w:type="pct"/>
          </w:tcPr>
          <w:p w14:paraId="771AA574" w14:textId="77777777" w:rsidR="00AD1F54" w:rsidRPr="00264D5D" w:rsidRDefault="00941227">
            <w:pPr>
              <w:pStyle w:val="GOSTTablenorm"/>
              <w:rPr>
                <w:szCs w:val="22"/>
              </w:rPr>
            </w:pPr>
            <w:r w:rsidRPr="00264D5D">
              <w:rPr>
                <w:szCs w:val="22"/>
              </w:rPr>
              <w:t>IDCdAc</w:t>
            </w:r>
          </w:p>
        </w:tc>
        <w:tc>
          <w:tcPr>
            <w:tcW w:w="294" w:type="pct"/>
          </w:tcPr>
          <w:p w14:paraId="544A5A89" w14:textId="77777777" w:rsidR="00AD1F54" w:rsidRPr="00264D5D" w:rsidRDefault="00941227">
            <w:pPr>
              <w:pStyle w:val="GOSTTablenorm"/>
              <w:jc w:val="center"/>
              <w:rPr>
                <w:szCs w:val="22"/>
              </w:rPr>
            </w:pPr>
            <w:r w:rsidRPr="00264D5D">
              <w:rPr>
                <w:szCs w:val="22"/>
              </w:rPr>
              <w:t>П</w:t>
            </w:r>
          </w:p>
        </w:tc>
        <w:tc>
          <w:tcPr>
            <w:tcW w:w="587" w:type="pct"/>
          </w:tcPr>
          <w:p w14:paraId="43801C4D" w14:textId="77777777" w:rsidR="00AD1F54" w:rsidRPr="00264D5D" w:rsidRDefault="00941227">
            <w:pPr>
              <w:pStyle w:val="GOSTTablenorm"/>
              <w:rPr>
                <w:szCs w:val="22"/>
                <w:lang w:val="en-US"/>
              </w:rPr>
            </w:pPr>
            <w:r w:rsidRPr="00264D5D">
              <w:rPr>
                <w:szCs w:val="22"/>
                <w:lang w:val="en-US"/>
              </w:rPr>
              <w:t>Т(1-</w:t>
            </w:r>
            <w:r w:rsidRPr="00264D5D">
              <w:rPr>
                <w:szCs w:val="22"/>
              </w:rPr>
              <w:t>25</w:t>
            </w:r>
            <w:r w:rsidRPr="00264D5D">
              <w:rPr>
                <w:szCs w:val="22"/>
                <w:lang w:val="en-US"/>
              </w:rPr>
              <w:t>)</w:t>
            </w:r>
          </w:p>
        </w:tc>
        <w:tc>
          <w:tcPr>
            <w:tcW w:w="294" w:type="pct"/>
          </w:tcPr>
          <w:p w14:paraId="24CA8A58" w14:textId="77777777" w:rsidR="00AD1F54" w:rsidRPr="00264D5D" w:rsidRDefault="00941227">
            <w:pPr>
              <w:pStyle w:val="GOSTTablenorm"/>
              <w:jc w:val="center"/>
              <w:rPr>
                <w:szCs w:val="22"/>
              </w:rPr>
            </w:pPr>
            <w:r w:rsidRPr="00264D5D">
              <w:rPr>
                <w:szCs w:val="22"/>
              </w:rPr>
              <w:t>Н</w:t>
            </w:r>
          </w:p>
        </w:tc>
        <w:tc>
          <w:tcPr>
            <w:tcW w:w="2058" w:type="pct"/>
          </w:tcPr>
          <w:p w14:paraId="092A19AE" w14:textId="77777777" w:rsidR="00AD1F54" w:rsidRPr="00264D5D" w:rsidRDefault="00941227">
            <w:pPr>
              <w:pStyle w:val="GOSTTablenorm"/>
            </w:pPr>
            <w:r w:rsidRPr="00264D5D">
              <w:t>Поле заполняется значением уникального идентификатора начисления, кода НПА при осуществлении платежей в бюджетную систему, либо при необходимости указания идентификатора платежа.</w:t>
            </w:r>
          </w:p>
          <w:p w14:paraId="2F27D52B" w14:textId="77777777" w:rsidR="00AD1F54" w:rsidRPr="00264D5D" w:rsidRDefault="00941227">
            <w:pPr>
              <w:pStyle w:val="GOSTTablenorm"/>
            </w:pPr>
            <w:r w:rsidRPr="00264D5D">
              <w:t>Если в поле «Номер счета» указан счет: №№ 03100, 03212, 03222; 03232; 03242; 03262; 03272; 03214; 03224; 03234; 03244 или в реквизите «БИК банка/ТОФК» указан БИК ПБР и при этом счет получателя соответствует балансовому счету № 40503/40603/40703 с признаком «4» в 14 разряде, № 40204, то количество символов реквизита УИН должно быть равно 4, 20 или 25 цифрам. При невозможности указания поле заполняется значением «0».</w:t>
            </w:r>
          </w:p>
          <w:p w14:paraId="2629ABDD" w14:textId="77777777" w:rsidR="00AD1F54" w:rsidRPr="00264D5D" w:rsidRDefault="00941227">
            <w:pPr>
              <w:pStyle w:val="GOSTTablenorm"/>
            </w:pPr>
            <w:r w:rsidRPr="00264D5D">
              <w:t>Не может быть указано 4, 20 или 25 цифр ноль («0»).</w:t>
            </w:r>
          </w:p>
          <w:p w14:paraId="27B2FD93" w14:textId="77777777" w:rsidR="00AD1F54" w:rsidRPr="00264D5D" w:rsidRDefault="00941227">
            <w:pPr>
              <w:pStyle w:val="GOSTTablenorm"/>
            </w:pPr>
            <w:r w:rsidRPr="00264D5D">
              <w:t>Если указан счет №40822, то количество символов реквизита УИН должно быть равно 25 символов.</w:t>
            </w:r>
          </w:p>
          <w:p w14:paraId="18B6C466" w14:textId="77777777" w:rsidR="00AD1F54" w:rsidRPr="00264D5D" w:rsidRDefault="00941227">
            <w:pPr>
              <w:pStyle w:val="GOSTTablenorm"/>
            </w:pPr>
            <w:r w:rsidRPr="00264D5D">
              <w:t>При перечислении на счет № 03212 указывается уникальный идентификатор начисления или код нормативного правового акта.</w:t>
            </w:r>
          </w:p>
          <w:p w14:paraId="36994849" w14:textId="77777777" w:rsidR="00AD1F54" w:rsidRPr="00264D5D" w:rsidRDefault="00941227">
            <w:pPr>
              <w:pStyle w:val="GOSTTablenorm"/>
              <w:rPr>
                <w:szCs w:val="22"/>
              </w:rPr>
            </w:pPr>
            <w:r w:rsidRPr="00264D5D">
              <w:t xml:space="preserve">В остальных случаях значение реквизита УИН </w:t>
            </w:r>
            <w:r w:rsidR="004A5918" w:rsidRPr="00264D5D">
              <w:t>не должно превышать 25 символов</w:t>
            </w:r>
          </w:p>
        </w:tc>
      </w:tr>
      <w:tr w:rsidR="00AD1F54" w:rsidRPr="00264D5D" w14:paraId="07A597F2"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2" w:type="pct"/>
          </w:tcPr>
          <w:p w14:paraId="37992EFF" w14:textId="77777777" w:rsidR="00AD1F54" w:rsidRPr="00264D5D" w:rsidRDefault="00941227">
            <w:pPr>
              <w:pStyle w:val="GOSTTablenorm"/>
              <w:rPr>
                <w:szCs w:val="22"/>
              </w:rPr>
            </w:pPr>
            <w:r w:rsidRPr="00264D5D">
              <w:rPr>
                <w:szCs w:val="22"/>
              </w:rPr>
              <w:t>Сумма</w:t>
            </w:r>
          </w:p>
        </w:tc>
        <w:tc>
          <w:tcPr>
            <w:tcW w:w="884" w:type="pct"/>
          </w:tcPr>
          <w:p w14:paraId="0AACBE89" w14:textId="77777777" w:rsidR="00AD1F54" w:rsidRPr="00264D5D" w:rsidRDefault="00941227">
            <w:pPr>
              <w:pStyle w:val="GOSTTablenorm"/>
              <w:rPr>
                <w:szCs w:val="22"/>
              </w:rPr>
            </w:pPr>
            <w:r w:rsidRPr="00264D5D">
              <w:rPr>
                <w:szCs w:val="22"/>
              </w:rPr>
              <w:t>Smm</w:t>
            </w:r>
          </w:p>
        </w:tc>
        <w:tc>
          <w:tcPr>
            <w:tcW w:w="294" w:type="pct"/>
          </w:tcPr>
          <w:p w14:paraId="201655B4" w14:textId="77777777" w:rsidR="00AD1F54" w:rsidRPr="00264D5D" w:rsidRDefault="00941227">
            <w:pPr>
              <w:pStyle w:val="GOSTTablenorm"/>
              <w:jc w:val="center"/>
              <w:rPr>
                <w:szCs w:val="22"/>
              </w:rPr>
            </w:pPr>
            <w:r w:rsidRPr="00264D5D">
              <w:rPr>
                <w:szCs w:val="22"/>
              </w:rPr>
              <w:t>П</w:t>
            </w:r>
          </w:p>
        </w:tc>
        <w:tc>
          <w:tcPr>
            <w:tcW w:w="587" w:type="pct"/>
          </w:tcPr>
          <w:p w14:paraId="13E29C41" w14:textId="77777777" w:rsidR="00AD1F54" w:rsidRPr="00264D5D" w:rsidRDefault="00941227">
            <w:pPr>
              <w:pStyle w:val="GOSTTablenorm"/>
              <w:rPr>
                <w:szCs w:val="22"/>
              </w:rPr>
            </w:pPr>
            <w:r w:rsidRPr="00264D5D">
              <w:rPr>
                <w:szCs w:val="22"/>
                <w:lang w:val="en-US"/>
              </w:rPr>
              <w:t>N(</w:t>
            </w:r>
            <w:r w:rsidRPr="00264D5D">
              <w:rPr>
                <w:szCs w:val="22"/>
              </w:rPr>
              <w:t>20.2</w:t>
            </w:r>
            <w:r w:rsidRPr="00264D5D">
              <w:rPr>
                <w:szCs w:val="22"/>
                <w:lang w:val="en-US"/>
              </w:rPr>
              <w:t>)</w:t>
            </w:r>
          </w:p>
        </w:tc>
        <w:tc>
          <w:tcPr>
            <w:tcW w:w="294" w:type="pct"/>
          </w:tcPr>
          <w:p w14:paraId="7791367D" w14:textId="77777777" w:rsidR="00AD1F54" w:rsidRPr="00264D5D" w:rsidRDefault="00941227">
            <w:pPr>
              <w:pStyle w:val="GOSTTablenorm"/>
              <w:jc w:val="center"/>
              <w:rPr>
                <w:szCs w:val="22"/>
              </w:rPr>
            </w:pPr>
            <w:r w:rsidRPr="00264D5D">
              <w:rPr>
                <w:szCs w:val="22"/>
              </w:rPr>
              <w:t>О</w:t>
            </w:r>
          </w:p>
        </w:tc>
        <w:tc>
          <w:tcPr>
            <w:tcW w:w="2058" w:type="pct"/>
          </w:tcPr>
          <w:p w14:paraId="18E44130" w14:textId="77777777" w:rsidR="00AD1F54" w:rsidRPr="00264D5D" w:rsidRDefault="004A5918">
            <w:pPr>
              <w:pStyle w:val="GOSTTablenorm"/>
              <w:rPr>
                <w:szCs w:val="22"/>
              </w:rPr>
            </w:pPr>
            <w:r w:rsidRPr="00264D5D">
              <w:rPr>
                <w:szCs w:val="22"/>
              </w:rPr>
              <w:t>Сумма в рублях</w:t>
            </w:r>
          </w:p>
        </w:tc>
      </w:tr>
      <w:tr w:rsidR="00AD1F54" w:rsidRPr="00264D5D" w14:paraId="5824984C"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2" w:type="pct"/>
          </w:tcPr>
          <w:p w14:paraId="76C2D9A8" w14:textId="77777777" w:rsidR="00AD1F54" w:rsidRPr="00264D5D" w:rsidRDefault="00941227">
            <w:pPr>
              <w:pStyle w:val="GOSTTablenorm"/>
              <w:rPr>
                <w:szCs w:val="22"/>
              </w:rPr>
            </w:pPr>
            <w:r w:rsidRPr="00264D5D">
              <w:rPr>
                <w:szCs w:val="22"/>
              </w:rPr>
              <w:t>Код вида дохода</w:t>
            </w:r>
          </w:p>
        </w:tc>
        <w:tc>
          <w:tcPr>
            <w:tcW w:w="884" w:type="pct"/>
          </w:tcPr>
          <w:p w14:paraId="2C24EB75" w14:textId="77777777" w:rsidR="00AD1F54" w:rsidRPr="00264D5D" w:rsidRDefault="00941227">
            <w:pPr>
              <w:pStyle w:val="GOSTTablenorm"/>
              <w:rPr>
                <w:szCs w:val="22"/>
              </w:rPr>
            </w:pPr>
            <w:r w:rsidRPr="00264D5D">
              <w:rPr>
                <w:szCs w:val="22"/>
              </w:rPr>
              <w:t>IncTypeCode</w:t>
            </w:r>
          </w:p>
        </w:tc>
        <w:tc>
          <w:tcPr>
            <w:tcW w:w="294" w:type="pct"/>
          </w:tcPr>
          <w:p w14:paraId="1F69B0DC" w14:textId="77777777" w:rsidR="00AD1F54" w:rsidRPr="00264D5D" w:rsidRDefault="00941227">
            <w:pPr>
              <w:pStyle w:val="GOSTTablenorm"/>
              <w:jc w:val="center"/>
              <w:rPr>
                <w:szCs w:val="22"/>
              </w:rPr>
            </w:pPr>
            <w:r w:rsidRPr="00264D5D">
              <w:rPr>
                <w:szCs w:val="22"/>
              </w:rPr>
              <w:t>П</w:t>
            </w:r>
          </w:p>
        </w:tc>
        <w:tc>
          <w:tcPr>
            <w:tcW w:w="587" w:type="pct"/>
          </w:tcPr>
          <w:p w14:paraId="34B2BB18" w14:textId="77777777" w:rsidR="00AD1F54" w:rsidRPr="00264D5D" w:rsidRDefault="00941227">
            <w:pPr>
              <w:pStyle w:val="GOSTTablenorm"/>
              <w:rPr>
                <w:szCs w:val="22"/>
                <w:lang w:val="en-US"/>
              </w:rPr>
            </w:pPr>
            <w:r w:rsidRPr="00264D5D">
              <w:rPr>
                <w:szCs w:val="22"/>
              </w:rPr>
              <w:t>Т(1)</w:t>
            </w:r>
          </w:p>
        </w:tc>
        <w:tc>
          <w:tcPr>
            <w:tcW w:w="294" w:type="pct"/>
          </w:tcPr>
          <w:p w14:paraId="47C05306" w14:textId="77777777" w:rsidR="00AD1F54" w:rsidRPr="00264D5D" w:rsidRDefault="00941227">
            <w:pPr>
              <w:pStyle w:val="GOSTTablenorm"/>
              <w:jc w:val="center"/>
              <w:rPr>
                <w:szCs w:val="22"/>
              </w:rPr>
            </w:pPr>
            <w:r w:rsidRPr="00264D5D">
              <w:rPr>
                <w:szCs w:val="22"/>
              </w:rPr>
              <w:t>Н</w:t>
            </w:r>
          </w:p>
        </w:tc>
        <w:tc>
          <w:tcPr>
            <w:tcW w:w="2058" w:type="pct"/>
          </w:tcPr>
          <w:p w14:paraId="383DD5B6" w14:textId="77777777" w:rsidR="00AD1F54" w:rsidRPr="00264D5D" w:rsidRDefault="00941227">
            <w:pPr>
              <w:pStyle w:val="GOSTTablenorm"/>
              <w:rPr>
                <w:szCs w:val="22"/>
              </w:rPr>
            </w:pPr>
            <w:r w:rsidRPr="00264D5D">
              <w:rPr>
                <w:szCs w:val="22"/>
              </w:rPr>
              <w:t>Указывается код вида дохода.</w:t>
            </w:r>
          </w:p>
          <w:p w14:paraId="373C7A5D" w14:textId="77777777" w:rsidR="00AD1F54" w:rsidRPr="00264D5D" w:rsidRDefault="00941227">
            <w:pPr>
              <w:pStyle w:val="GOSTTablenorm"/>
              <w:rPr>
                <w:szCs w:val="22"/>
              </w:rPr>
            </w:pPr>
            <w:r w:rsidRPr="00264D5D">
              <w:rPr>
                <w:szCs w:val="22"/>
              </w:rPr>
              <w:t xml:space="preserve">Заполняется в соответствии с частью 5.1 статьи 70 ФЗ от 02.10.2007 № 229-ФЗ и указанием Банка России от 29.06.2021 №762-П в документах, </w:t>
            </w:r>
            <w:r w:rsidRPr="00264D5D">
              <w:rPr>
                <w:szCs w:val="22"/>
              </w:rPr>
              <w:lastRenderedPageBreak/>
              <w:t xml:space="preserve">предусматривающих перечисление средств гражданам. </w:t>
            </w:r>
          </w:p>
          <w:p w14:paraId="262F140F" w14:textId="77777777" w:rsidR="004A5918" w:rsidRPr="00264D5D" w:rsidRDefault="00941227">
            <w:pPr>
              <w:pStyle w:val="GOSTTablenorm"/>
              <w:rPr>
                <w:szCs w:val="22"/>
              </w:rPr>
            </w:pPr>
            <w:r w:rsidRPr="00264D5D">
              <w:rPr>
                <w:szCs w:val="22"/>
              </w:rPr>
              <w:t>Возможные значения:</w:t>
            </w:r>
          </w:p>
          <w:p w14:paraId="772147DB" w14:textId="77777777" w:rsidR="004A5918" w:rsidRPr="00264D5D" w:rsidRDefault="00941227" w:rsidP="00101F62">
            <w:pPr>
              <w:pStyle w:val="GOSTTablenorm"/>
              <w:numPr>
                <w:ilvl w:val="0"/>
                <w:numId w:val="138"/>
              </w:numPr>
              <w:ind w:left="284" w:hanging="227"/>
              <w:rPr>
                <w:szCs w:val="22"/>
              </w:rPr>
            </w:pPr>
            <w:r w:rsidRPr="00264D5D">
              <w:rPr>
                <w:szCs w:val="22"/>
              </w:rPr>
              <w:t>«1» – при перечислении заработной платы и (или) иных доходов, в отношении которых статьей 99 ФЗ от 02.10.2007 № 229-ФЗ установлены ограничения размеров удержания;</w:t>
            </w:r>
          </w:p>
          <w:p w14:paraId="52CE968B" w14:textId="77777777" w:rsidR="004A5918" w:rsidRPr="00264D5D" w:rsidRDefault="00941227" w:rsidP="00101F62">
            <w:pPr>
              <w:pStyle w:val="GOSTTablenorm"/>
              <w:numPr>
                <w:ilvl w:val="0"/>
                <w:numId w:val="138"/>
              </w:numPr>
              <w:ind w:left="284" w:hanging="227"/>
              <w:rPr>
                <w:szCs w:val="22"/>
              </w:rPr>
            </w:pPr>
            <w:r w:rsidRPr="00264D5D">
              <w:rPr>
                <w:szCs w:val="22"/>
              </w:rPr>
              <w:t>«2» – при перечислении денежных средств, являющихся доходами, на которые в соответствии со статьей 101 ФЗ от 02.10.2007 № 229-ФЗ не может быть обращено взыскание и которые имеют характер периодических выплат,  за исключением доходов, к которым в соответствии с частью 2 статьи 101 ФЗ от 02.10.2007 № 229-ФЗ ограничения по обращению взыскания не применяются;</w:t>
            </w:r>
          </w:p>
          <w:p w14:paraId="5A72213F" w14:textId="77777777" w:rsidR="00AD1F54" w:rsidRPr="00264D5D" w:rsidRDefault="00941227" w:rsidP="00101F62">
            <w:pPr>
              <w:pStyle w:val="GOSTTablenorm"/>
              <w:numPr>
                <w:ilvl w:val="0"/>
                <w:numId w:val="138"/>
              </w:numPr>
              <w:ind w:left="284" w:hanging="227"/>
              <w:rPr>
                <w:szCs w:val="22"/>
              </w:rPr>
            </w:pPr>
            <w:r w:rsidRPr="00264D5D">
              <w:rPr>
                <w:szCs w:val="22"/>
              </w:rPr>
              <w:t>«3» – при перечислении денежных средств, являющихся доходами, к которым в соответствии с частью 2 статьи 101 ФЗ от 02.10.2007 № 229-ФЗ ограничения по обращению взыскания не применяются и которые имеют характер периодических выплат;</w:t>
            </w:r>
          </w:p>
          <w:p w14:paraId="6772440D" w14:textId="77777777" w:rsidR="00AD1F54" w:rsidRPr="00264D5D" w:rsidRDefault="00941227" w:rsidP="00101F62">
            <w:pPr>
              <w:pStyle w:val="GOSTTablenorm"/>
              <w:numPr>
                <w:ilvl w:val="0"/>
                <w:numId w:val="138"/>
              </w:numPr>
              <w:ind w:left="284" w:hanging="227"/>
              <w:rPr>
                <w:szCs w:val="22"/>
              </w:rPr>
            </w:pPr>
            <w:r w:rsidRPr="00264D5D">
              <w:rPr>
                <w:szCs w:val="22"/>
              </w:rPr>
              <w:t>«4» – при перечислении денежных средств, являющихся доходами, на которые в соответствии с частью 1 статьи 101 Федерального закона от 02.10.2007 № 229-ФЗ не может быть обращено взыскание и которые имеют характер единовременных выплат, за исключением доходов, к которым в соответствии с частью 2 статьи 101 Федерального закона от 02.10.2007 № 229-ФЗ ограничения по обращению взыскания не применяются;</w:t>
            </w:r>
          </w:p>
          <w:p w14:paraId="25A9A295" w14:textId="77777777" w:rsidR="004A5918" w:rsidRPr="00264D5D" w:rsidRDefault="00941227" w:rsidP="00101F62">
            <w:pPr>
              <w:pStyle w:val="GOSTTablenorm"/>
              <w:numPr>
                <w:ilvl w:val="0"/>
                <w:numId w:val="138"/>
              </w:numPr>
              <w:ind w:left="284" w:hanging="227"/>
              <w:rPr>
                <w:szCs w:val="22"/>
              </w:rPr>
            </w:pPr>
            <w:r w:rsidRPr="00264D5D">
              <w:rPr>
                <w:szCs w:val="22"/>
              </w:rPr>
              <w:t xml:space="preserve">«5» – при перечислении денежных средств, являющихся доходами, к которым в соответствии с частью 2 статьи 101 Федерального закона от </w:t>
            </w:r>
            <w:r w:rsidRPr="00264D5D">
              <w:rPr>
                <w:szCs w:val="22"/>
              </w:rPr>
              <w:lastRenderedPageBreak/>
              <w:t>02.10.2007 № 229-ФЗ ограничения по обращению взыскания не применяются и которые имеют характер единовременных выплат.</w:t>
            </w:r>
          </w:p>
          <w:p w14:paraId="77CEEB44" w14:textId="77777777" w:rsidR="00AD1F54" w:rsidRPr="00264D5D" w:rsidRDefault="00941227" w:rsidP="004A5918">
            <w:pPr>
              <w:pStyle w:val="GOSTTablenorm"/>
              <w:rPr>
                <w:szCs w:val="22"/>
              </w:rPr>
            </w:pPr>
            <w:r w:rsidRPr="00264D5D">
              <w:rPr>
                <w:szCs w:val="22"/>
              </w:rPr>
              <w:t>В о</w:t>
            </w:r>
            <w:r w:rsidR="004A5918" w:rsidRPr="00264D5D">
              <w:rPr>
                <w:szCs w:val="22"/>
              </w:rPr>
              <w:t>стальных случаях не заполняется</w:t>
            </w:r>
          </w:p>
        </w:tc>
      </w:tr>
      <w:tr w:rsidR="00AD1F54" w:rsidRPr="00264D5D" w14:paraId="29E17F4A"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2" w:type="pct"/>
          </w:tcPr>
          <w:p w14:paraId="0EF37A8C" w14:textId="77777777" w:rsidR="00AD1F54" w:rsidRPr="00264D5D" w:rsidRDefault="00941227">
            <w:pPr>
              <w:pStyle w:val="GOSTTablenorm"/>
              <w:rPr>
                <w:szCs w:val="22"/>
              </w:rPr>
            </w:pPr>
            <w:r w:rsidRPr="00264D5D">
              <w:rPr>
                <w:szCs w:val="22"/>
              </w:rPr>
              <w:lastRenderedPageBreak/>
              <w:t xml:space="preserve">Код </w:t>
            </w:r>
            <w:r w:rsidRPr="00264D5D">
              <w:t>цели (аналитический код) плательщика</w:t>
            </w:r>
          </w:p>
        </w:tc>
        <w:tc>
          <w:tcPr>
            <w:tcW w:w="884" w:type="pct"/>
          </w:tcPr>
          <w:p w14:paraId="2DB105A8" w14:textId="77777777" w:rsidR="00AD1F54" w:rsidRPr="00264D5D" w:rsidRDefault="00941227">
            <w:pPr>
              <w:pStyle w:val="GOSTTablenorm"/>
              <w:rPr>
                <w:szCs w:val="22"/>
              </w:rPr>
            </w:pPr>
            <w:r w:rsidRPr="00264D5D">
              <w:rPr>
                <w:szCs w:val="22"/>
              </w:rPr>
              <w:t>TrgtCdPr</w:t>
            </w:r>
          </w:p>
        </w:tc>
        <w:tc>
          <w:tcPr>
            <w:tcW w:w="294" w:type="pct"/>
          </w:tcPr>
          <w:p w14:paraId="7B32CBBB" w14:textId="77777777" w:rsidR="00AD1F54" w:rsidRPr="00264D5D" w:rsidRDefault="00941227">
            <w:pPr>
              <w:pStyle w:val="GOSTTablenorm"/>
              <w:jc w:val="center"/>
              <w:rPr>
                <w:szCs w:val="22"/>
              </w:rPr>
            </w:pPr>
            <w:r w:rsidRPr="00264D5D">
              <w:t>П</w:t>
            </w:r>
          </w:p>
        </w:tc>
        <w:tc>
          <w:tcPr>
            <w:tcW w:w="587" w:type="pct"/>
          </w:tcPr>
          <w:p w14:paraId="66BEACA2" w14:textId="77777777" w:rsidR="00AD1F54" w:rsidRPr="00264D5D" w:rsidRDefault="00941227">
            <w:pPr>
              <w:pStyle w:val="GOSTTablenorm"/>
              <w:rPr>
                <w:szCs w:val="22"/>
              </w:rPr>
            </w:pPr>
            <w:r w:rsidRPr="00264D5D">
              <w:t>Т(1-25)</w:t>
            </w:r>
          </w:p>
        </w:tc>
        <w:tc>
          <w:tcPr>
            <w:tcW w:w="294" w:type="pct"/>
          </w:tcPr>
          <w:p w14:paraId="3BF1ABAD" w14:textId="77777777" w:rsidR="00AD1F54" w:rsidRPr="00264D5D" w:rsidRDefault="00941227">
            <w:pPr>
              <w:pStyle w:val="GOSTTablenorm"/>
              <w:jc w:val="center"/>
              <w:rPr>
                <w:szCs w:val="22"/>
              </w:rPr>
            </w:pPr>
            <w:r w:rsidRPr="00264D5D">
              <w:t>Н</w:t>
            </w:r>
          </w:p>
        </w:tc>
        <w:tc>
          <w:tcPr>
            <w:tcW w:w="2058" w:type="pct"/>
          </w:tcPr>
          <w:p w14:paraId="4153EA1C" w14:textId="77777777" w:rsidR="00AD1F54" w:rsidRPr="00264D5D" w:rsidRDefault="00941227">
            <w:pPr>
              <w:pStyle w:val="GOSTTablenorm"/>
              <w:widowControl w:val="0"/>
            </w:pPr>
            <w:r w:rsidRPr="00264D5D">
              <w:t>Указывается код цели (аналитический код) плательщика в случае, если кассовые выплаты осуществляются за счет целевых средств.</w:t>
            </w:r>
          </w:p>
          <w:p w14:paraId="4B48FAFB" w14:textId="77777777" w:rsidR="00AD1F54" w:rsidRPr="00264D5D" w:rsidRDefault="00941227">
            <w:pPr>
              <w:pStyle w:val="GOSTTablenorm"/>
              <w:widowControl w:val="0"/>
            </w:pPr>
            <w:r w:rsidRPr="00264D5D">
              <w:t>По расходам бюджетов, источником финансового обеспечения которых являются субсидии, субвенции, иные целевые межбюджетные трансферты из ФБ, поле заполняется в соответствии с перечнем кодов целей, присвоенных ФК.</w:t>
            </w:r>
          </w:p>
          <w:p w14:paraId="49D13B9C" w14:textId="77777777" w:rsidR="00AD1F54" w:rsidRPr="00264D5D" w:rsidRDefault="00941227">
            <w:pPr>
              <w:pStyle w:val="GOSTTablenorm"/>
              <w:widowControl w:val="0"/>
            </w:pPr>
            <w:r w:rsidRPr="00264D5D">
              <w:t>Поле обязательно для заполнения при оформлении Сводной заявки по л/с с кодом «21», «31».</w:t>
            </w:r>
          </w:p>
          <w:p w14:paraId="7AE8B3FF" w14:textId="77777777" w:rsidR="00AD1F54" w:rsidRPr="00264D5D" w:rsidRDefault="00941227">
            <w:pPr>
              <w:pStyle w:val="GOSTTablenorm"/>
              <w:widowControl w:val="0"/>
            </w:pPr>
            <w:r w:rsidRPr="00264D5D">
              <w:t>В случае представления Сводной заявки по л/с с кодом «</w:t>
            </w:r>
            <w:r w:rsidR="004A5918" w:rsidRPr="00264D5D">
              <w:t>21» / «</w:t>
            </w:r>
            <w:r w:rsidRPr="00264D5D">
              <w:t>31» без указания кода субсидии, в поле указывается прочерк («-»).</w:t>
            </w:r>
          </w:p>
          <w:p w14:paraId="4C4E4628" w14:textId="77777777" w:rsidR="00AD1F54" w:rsidRPr="00264D5D" w:rsidRDefault="00941227">
            <w:pPr>
              <w:pStyle w:val="GOSTTablenorm"/>
              <w:rPr>
                <w:szCs w:val="22"/>
              </w:rPr>
            </w:pPr>
            <w:r w:rsidRPr="00264D5D">
              <w:t>При оформлении Сводной заявки на кассовый расход по л/с федерального бюджета с кодом «05» указывается идентификационный код выплат, предусмотренный Порядком санкционирования операций со средствами, поступающими во временное распоряжение получателей средств федерального бюджета.</w:t>
            </w:r>
          </w:p>
          <w:p w14:paraId="71E64492" w14:textId="77777777" w:rsidR="00AD1F54" w:rsidRPr="00264D5D" w:rsidRDefault="00941227">
            <w:pPr>
              <w:pStyle w:val="GOSTTablenorm"/>
              <w:rPr>
                <w:szCs w:val="22"/>
              </w:rPr>
            </w:pPr>
            <w:r w:rsidRPr="00264D5D">
              <w:rPr>
                <w:szCs w:val="22"/>
              </w:rPr>
              <w:t>Не заполняется при указании кода цели субсидии (аналитического кода) или идентификац</w:t>
            </w:r>
            <w:r w:rsidR="004A5918" w:rsidRPr="00264D5D">
              <w:rPr>
                <w:szCs w:val="22"/>
              </w:rPr>
              <w:t>ионного кода выплат в разделе 1</w:t>
            </w:r>
          </w:p>
        </w:tc>
      </w:tr>
      <w:tr w:rsidR="00AD1F54" w:rsidRPr="00264D5D" w14:paraId="00B82356"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2" w:type="pct"/>
          </w:tcPr>
          <w:p w14:paraId="4ADD033D" w14:textId="77777777" w:rsidR="00AD1F54" w:rsidRPr="00264D5D" w:rsidRDefault="00941227">
            <w:pPr>
              <w:pStyle w:val="GOSTTablenorm"/>
              <w:rPr>
                <w:szCs w:val="22"/>
              </w:rPr>
            </w:pPr>
            <w:r w:rsidRPr="00264D5D">
              <w:rPr>
                <w:szCs w:val="22"/>
              </w:rPr>
              <w:t>Примечание</w:t>
            </w:r>
          </w:p>
        </w:tc>
        <w:tc>
          <w:tcPr>
            <w:tcW w:w="884" w:type="pct"/>
          </w:tcPr>
          <w:p w14:paraId="1BD20E55" w14:textId="77777777" w:rsidR="00AD1F54" w:rsidRPr="00264D5D" w:rsidRDefault="00941227">
            <w:pPr>
              <w:pStyle w:val="GOSTTablenorm"/>
              <w:rPr>
                <w:szCs w:val="22"/>
              </w:rPr>
            </w:pPr>
            <w:r w:rsidRPr="00264D5D">
              <w:rPr>
                <w:szCs w:val="22"/>
              </w:rPr>
              <w:t>Nt</w:t>
            </w:r>
          </w:p>
        </w:tc>
        <w:tc>
          <w:tcPr>
            <w:tcW w:w="294" w:type="pct"/>
          </w:tcPr>
          <w:p w14:paraId="647C9E2E" w14:textId="77777777" w:rsidR="00AD1F54" w:rsidRPr="00264D5D" w:rsidRDefault="00941227">
            <w:pPr>
              <w:pStyle w:val="GOSTTablenorm"/>
              <w:jc w:val="center"/>
              <w:rPr>
                <w:szCs w:val="22"/>
              </w:rPr>
            </w:pPr>
            <w:r w:rsidRPr="00264D5D">
              <w:rPr>
                <w:szCs w:val="22"/>
              </w:rPr>
              <w:t>П</w:t>
            </w:r>
          </w:p>
        </w:tc>
        <w:tc>
          <w:tcPr>
            <w:tcW w:w="587" w:type="pct"/>
          </w:tcPr>
          <w:p w14:paraId="1BCD399B" w14:textId="77777777" w:rsidR="00AD1F54" w:rsidRPr="00264D5D" w:rsidRDefault="00941227">
            <w:pPr>
              <w:pStyle w:val="GOSTTablenorm"/>
              <w:rPr>
                <w:szCs w:val="22"/>
                <w:lang w:val="en-US"/>
              </w:rPr>
            </w:pPr>
            <w:r w:rsidRPr="00264D5D">
              <w:rPr>
                <w:szCs w:val="22"/>
                <w:lang w:val="en-US"/>
              </w:rPr>
              <w:t>Т(1-</w:t>
            </w:r>
            <w:r w:rsidRPr="00264D5D">
              <w:rPr>
                <w:szCs w:val="22"/>
              </w:rPr>
              <w:t>254</w:t>
            </w:r>
            <w:r w:rsidRPr="00264D5D">
              <w:rPr>
                <w:szCs w:val="22"/>
                <w:lang w:val="en-US"/>
              </w:rPr>
              <w:t>)</w:t>
            </w:r>
          </w:p>
        </w:tc>
        <w:tc>
          <w:tcPr>
            <w:tcW w:w="294" w:type="pct"/>
          </w:tcPr>
          <w:p w14:paraId="2B27C28E" w14:textId="77777777" w:rsidR="00AD1F54" w:rsidRPr="00264D5D" w:rsidRDefault="00941227">
            <w:pPr>
              <w:pStyle w:val="GOSTTablenorm"/>
              <w:jc w:val="center"/>
              <w:rPr>
                <w:szCs w:val="22"/>
              </w:rPr>
            </w:pPr>
            <w:r w:rsidRPr="00264D5D">
              <w:rPr>
                <w:szCs w:val="22"/>
              </w:rPr>
              <w:t>Н</w:t>
            </w:r>
          </w:p>
        </w:tc>
        <w:tc>
          <w:tcPr>
            <w:tcW w:w="2058" w:type="pct"/>
          </w:tcPr>
          <w:p w14:paraId="2F5F93DC" w14:textId="77777777" w:rsidR="00AD1F54" w:rsidRPr="00264D5D" w:rsidRDefault="00941227">
            <w:pPr>
              <w:pStyle w:val="GOSTTablenorm"/>
              <w:rPr>
                <w:szCs w:val="22"/>
              </w:rPr>
            </w:pPr>
            <w:r w:rsidRPr="00264D5D">
              <w:rPr>
                <w:szCs w:val="22"/>
              </w:rPr>
              <w:t>Указывается иная информация, нео</w:t>
            </w:r>
            <w:r w:rsidR="004A5918" w:rsidRPr="00264D5D">
              <w:rPr>
                <w:szCs w:val="22"/>
              </w:rPr>
              <w:t>бходимая для исполнения бюджета</w:t>
            </w:r>
          </w:p>
        </w:tc>
      </w:tr>
    </w:tbl>
    <w:p w14:paraId="33304780" w14:textId="77777777" w:rsidR="00AD1F54" w:rsidRPr="00264D5D" w:rsidRDefault="00941227">
      <w:pPr>
        <w:pStyle w:val="31"/>
      </w:pPr>
      <w:r w:rsidRPr="00264D5D">
        <w:t xml:space="preserve"> </w:t>
      </w:r>
      <w:bookmarkStart w:id="1060" w:name="_Toc219309546"/>
      <w:r w:rsidRPr="00264D5D">
        <w:t>Описание комплексного типа «tMSC_IncmAdmn1»</w:t>
      </w:r>
      <w:bookmarkEnd w:id="1060"/>
    </w:p>
    <w:p w14:paraId="5E33C840" w14:textId="77777777" w:rsidR="00AD1F54" w:rsidRPr="00264D5D" w:rsidRDefault="00941227">
      <w:pPr>
        <w:pStyle w:val="GOSTNormal"/>
      </w:pPr>
      <w:r w:rsidRPr="00264D5D">
        <w:t>Описание комплексного типа «tMSC_IncmAdmn1» блока «Администратор поступлений».</w:t>
      </w:r>
    </w:p>
    <w:p w14:paraId="039620EC" w14:textId="0F3EE16C" w:rsidR="00AD1F54" w:rsidRPr="00264D5D" w:rsidRDefault="00941227">
      <w:pPr>
        <w:pStyle w:val="GOSTNameTable"/>
        <w:numPr>
          <w:ilvl w:val="0"/>
          <w:numId w:val="2"/>
        </w:numPr>
        <w:ind w:left="425" w:hanging="357"/>
        <w:rPr>
          <w:rFonts w:eastAsia="Calibri"/>
          <w:szCs w:val="24"/>
        </w:rPr>
      </w:pPr>
      <w:r w:rsidRPr="00264D5D">
        <w:rPr>
          <w:rFonts w:eastAsia="Calibri"/>
          <w:szCs w:val="24"/>
        </w:rPr>
        <w:lastRenderedPageBreak/>
        <w:fldChar w:fldCharType="begin"/>
      </w:r>
      <w:r w:rsidRPr="00264D5D">
        <w:rPr>
          <w:rFonts w:eastAsia="Calibri"/>
          <w:szCs w:val="24"/>
        </w:rPr>
        <w:instrText>SEQ Таблица \* ARABIC</w:instrText>
      </w:r>
      <w:r w:rsidRPr="00264D5D">
        <w:rPr>
          <w:rFonts w:eastAsia="Calibri"/>
          <w:szCs w:val="24"/>
        </w:rPr>
        <w:fldChar w:fldCharType="separate"/>
      </w:r>
      <w:bookmarkStart w:id="1061" w:name="_Ref52174327"/>
      <w:bookmarkStart w:id="1062" w:name="_Toc219309134"/>
      <w:r w:rsidR="008D797C">
        <w:rPr>
          <w:rFonts w:eastAsia="Calibri"/>
          <w:noProof/>
          <w:szCs w:val="24"/>
        </w:rPr>
        <w:t>104</w:t>
      </w:r>
      <w:bookmarkEnd w:id="1061"/>
      <w:r w:rsidRPr="00264D5D">
        <w:rPr>
          <w:rFonts w:eastAsia="Calibri"/>
          <w:szCs w:val="24"/>
        </w:rPr>
        <w:fldChar w:fldCharType="end"/>
      </w:r>
      <w:r w:rsidRPr="00264D5D">
        <w:rPr>
          <w:rFonts w:eastAsia="Calibri"/>
          <w:szCs w:val="24"/>
        </w:rPr>
        <w:t xml:space="preserve"> – Описание комплексного типа «tMSC_IncmAdmn1»</w:t>
      </w:r>
      <w:bookmarkEnd w:id="1062"/>
    </w:p>
    <w:tbl>
      <w:tblPr>
        <w:tblStyle w:val="GOSTTable"/>
        <w:tblW w:w="5000" w:type="pct"/>
        <w:tblLayout w:type="fixed"/>
        <w:tblLook w:val="01E0" w:firstRow="1" w:lastRow="1" w:firstColumn="1" w:lastColumn="1" w:noHBand="0" w:noVBand="0"/>
      </w:tblPr>
      <w:tblGrid>
        <w:gridCol w:w="1707"/>
        <w:gridCol w:w="1702"/>
        <w:gridCol w:w="567"/>
        <w:gridCol w:w="1135"/>
        <w:gridCol w:w="567"/>
        <w:gridCol w:w="3972"/>
      </w:tblGrid>
      <w:tr w:rsidR="00AD1F54" w:rsidRPr="00264D5D" w14:paraId="57DA0BAE"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7" w:type="dxa"/>
          </w:tcPr>
          <w:p w14:paraId="3179BB7A" w14:textId="77777777" w:rsidR="00AD1F54" w:rsidRPr="00264D5D" w:rsidRDefault="00941227">
            <w:pPr>
              <w:pStyle w:val="ASFKTableHead"/>
            </w:pPr>
            <w:r w:rsidRPr="00264D5D">
              <w:t>Наименование элемента</w:t>
            </w:r>
          </w:p>
        </w:tc>
        <w:tc>
          <w:tcPr>
            <w:tcW w:w="1702" w:type="dxa"/>
          </w:tcPr>
          <w:p w14:paraId="261A0493" w14:textId="77777777" w:rsidR="00AD1F54" w:rsidRPr="00264D5D" w:rsidRDefault="00941227">
            <w:pPr>
              <w:pStyle w:val="ASFKTableHead"/>
            </w:pPr>
            <w:r w:rsidRPr="00264D5D">
              <w:t>Сокращенное наименование (код) элемента</w:t>
            </w:r>
          </w:p>
        </w:tc>
        <w:tc>
          <w:tcPr>
            <w:tcW w:w="567" w:type="dxa"/>
          </w:tcPr>
          <w:p w14:paraId="4F2E394B" w14:textId="77777777" w:rsidR="00AD1F54" w:rsidRPr="00264D5D" w:rsidRDefault="00941227">
            <w:pPr>
              <w:pStyle w:val="ASFKTableHead"/>
            </w:pPr>
            <w:r w:rsidRPr="00264D5D">
              <w:t>Тип</w:t>
            </w:r>
          </w:p>
        </w:tc>
        <w:tc>
          <w:tcPr>
            <w:tcW w:w="1135" w:type="dxa"/>
          </w:tcPr>
          <w:p w14:paraId="3B58CD6F" w14:textId="77777777" w:rsidR="00AD1F54" w:rsidRPr="00264D5D" w:rsidRDefault="00941227">
            <w:pPr>
              <w:pStyle w:val="ASFKTableHead"/>
            </w:pPr>
            <w:r w:rsidRPr="00264D5D">
              <w:t>Формат элемента</w:t>
            </w:r>
          </w:p>
        </w:tc>
        <w:tc>
          <w:tcPr>
            <w:tcW w:w="567" w:type="dxa"/>
          </w:tcPr>
          <w:p w14:paraId="58CDF756" w14:textId="77777777" w:rsidR="00AD1F54" w:rsidRPr="00264D5D" w:rsidRDefault="00941227">
            <w:pPr>
              <w:pStyle w:val="ASFKTableHead"/>
            </w:pPr>
            <w:r w:rsidRPr="00264D5D">
              <w:t>Обязательность</w:t>
            </w:r>
          </w:p>
        </w:tc>
        <w:tc>
          <w:tcPr>
            <w:tcW w:w="3972" w:type="dxa"/>
          </w:tcPr>
          <w:p w14:paraId="70967A2D" w14:textId="77777777" w:rsidR="00AD1F54" w:rsidRPr="00264D5D" w:rsidRDefault="00941227">
            <w:pPr>
              <w:pStyle w:val="ASFKTableHead"/>
            </w:pPr>
            <w:r w:rsidRPr="00264D5D">
              <w:t>Дополнительная информация</w:t>
            </w:r>
          </w:p>
        </w:tc>
      </w:tr>
      <w:tr w:rsidR="00AD1F54" w:rsidRPr="00264D5D" w14:paraId="1CA08427" w14:textId="77777777" w:rsidTr="00AD1F54">
        <w:trPr>
          <w:cnfStyle w:val="000000100000" w:firstRow="0" w:lastRow="0" w:firstColumn="0" w:lastColumn="0" w:oddVBand="0" w:evenVBand="0" w:oddHBand="1" w:evenHBand="0" w:firstRowFirstColumn="0" w:firstRowLastColumn="0" w:lastRowFirstColumn="0" w:lastRowLastColumn="0"/>
          <w:trHeight w:val="300"/>
        </w:trPr>
        <w:tc>
          <w:tcPr>
            <w:tcW w:w="1707" w:type="dxa"/>
            <w:noWrap/>
          </w:tcPr>
          <w:p w14:paraId="62FEEB73" w14:textId="77777777" w:rsidR="00AD1F54" w:rsidRPr="00264D5D" w:rsidRDefault="00941227">
            <w:pPr>
              <w:pStyle w:val="GOSTTablenorm"/>
            </w:pPr>
            <w:r w:rsidRPr="00264D5D">
              <w:t>Наименование ТОФК (наименование администратора поступлений)</w:t>
            </w:r>
          </w:p>
        </w:tc>
        <w:tc>
          <w:tcPr>
            <w:tcW w:w="1702" w:type="dxa"/>
            <w:noWrap/>
          </w:tcPr>
          <w:p w14:paraId="689B816D" w14:textId="77777777" w:rsidR="00AD1F54" w:rsidRPr="00264D5D" w:rsidRDefault="00941227">
            <w:pPr>
              <w:pStyle w:val="GOSTTablenorm"/>
            </w:pPr>
            <w:r w:rsidRPr="00264D5D">
              <w:t>Nm</w:t>
            </w:r>
          </w:p>
        </w:tc>
        <w:tc>
          <w:tcPr>
            <w:tcW w:w="567" w:type="dxa"/>
            <w:noWrap/>
          </w:tcPr>
          <w:p w14:paraId="30C12CF5" w14:textId="77777777" w:rsidR="00AD1F54" w:rsidRPr="00264D5D" w:rsidRDefault="00941227">
            <w:pPr>
              <w:pStyle w:val="GOSTTablenorm"/>
              <w:jc w:val="center"/>
            </w:pPr>
            <w:r w:rsidRPr="00264D5D">
              <w:t>П</w:t>
            </w:r>
          </w:p>
        </w:tc>
        <w:tc>
          <w:tcPr>
            <w:tcW w:w="1135" w:type="dxa"/>
            <w:noWrap/>
          </w:tcPr>
          <w:p w14:paraId="7DE67E3A" w14:textId="77777777" w:rsidR="00AD1F54" w:rsidRPr="00264D5D" w:rsidRDefault="00941227">
            <w:pPr>
              <w:pStyle w:val="GOSTTablenorm"/>
              <w:rPr>
                <w:lang w:val="en-US"/>
              </w:rPr>
            </w:pPr>
            <w:r w:rsidRPr="00264D5D">
              <w:rPr>
                <w:lang w:val="en-US"/>
              </w:rPr>
              <w:t>Т(1-</w:t>
            </w:r>
            <w:r w:rsidRPr="00264D5D">
              <w:t>160</w:t>
            </w:r>
            <w:r w:rsidRPr="00264D5D">
              <w:rPr>
                <w:lang w:val="en-US"/>
              </w:rPr>
              <w:t>)</w:t>
            </w:r>
          </w:p>
        </w:tc>
        <w:tc>
          <w:tcPr>
            <w:tcW w:w="567" w:type="dxa"/>
          </w:tcPr>
          <w:p w14:paraId="0E85855D" w14:textId="77777777" w:rsidR="00AD1F54" w:rsidRPr="00264D5D" w:rsidRDefault="00941227">
            <w:pPr>
              <w:pStyle w:val="GOSTTablenorm"/>
              <w:jc w:val="center"/>
            </w:pPr>
            <w:r w:rsidRPr="00264D5D">
              <w:t>О</w:t>
            </w:r>
          </w:p>
        </w:tc>
        <w:tc>
          <w:tcPr>
            <w:tcW w:w="3972" w:type="dxa"/>
            <w:noWrap/>
          </w:tcPr>
          <w:p w14:paraId="3359F1DD" w14:textId="77777777" w:rsidR="00AD1F54" w:rsidRPr="00264D5D" w:rsidRDefault="00941227">
            <w:pPr>
              <w:pStyle w:val="GOSTTablenorm"/>
            </w:pPr>
            <w:r w:rsidRPr="00264D5D">
              <w:t>Наименование (либо фамилия, имя, отчество – для физического лица) контрагента. При перечислении платежей, получателями которых являются организации, лицевые счета которым открыты в ТОФК, указывается сокращенное наименование ТОФК, в скобках указывается сокращенное наименование организации, а также н</w:t>
            </w:r>
            <w:r w:rsidR="004A5918" w:rsidRPr="00264D5D">
              <w:t>омер лицевого счета организации</w:t>
            </w:r>
          </w:p>
        </w:tc>
      </w:tr>
      <w:tr w:rsidR="00AD1F54" w:rsidRPr="00264D5D" w14:paraId="6CDC9740" w14:textId="77777777" w:rsidTr="00AD1F54">
        <w:trPr>
          <w:cnfStyle w:val="000000010000" w:firstRow="0" w:lastRow="0" w:firstColumn="0" w:lastColumn="0" w:oddVBand="0" w:evenVBand="0" w:oddHBand="0" w:evenHBand="1" w:firstRowFirstColumn="0" w:firstRowLastColumn="0" w:lastRowFirstColumn="0" w:lastRowLastColumn="0"/>
          <w:trHeight w:val="300"/>
        </w:trPr>
        <w:tc>
          <w:tcPr>
            <w:tcW w:w="1707" w:type="dxa"/>
            <w:noWrap/>
          </w:tcPr>
          <w:p w14:paraId="54FA8FFA" w14:textId="77777777" w:rsidR="00AD1F54" w:rsidRPr="00264D5D" w:rsidRDefault="00941227">
            <w:pPr>
              <w:pStyle w:val="GOSTTablenorm"/>
            </w:pPr>
            <w:r w:rsidRPr="00264D5D">
              <w:t>ИНН администратора поступлений</w:t>
            </w:r>
          </w:p>
        </w:tc>
        <w:tc>
          <w:tcPr>
            <w:tcW w:w="1702" w:type="dxa"/>
            <w:noWrap/>
          </w:tcPr>
          <w:p w14:paraId="2B72526C" w14:textId="77777777" w:rsidR="00AD1F54" w:rsidRPr="00264D5D" w:rsidRDefault="00941227">
            <w:pPr>
              <w:pStyle w:val="GOSTTablenorm"/>
            </w:pPr>
            <w:r w:rsidRPr="00264D5D">
              <w:t>INN</w:t>
            </w:r>
          </w:p>
        </w:tc>
        <w:tc>
          <w:tcPr>
            <w:tcW w:w="567" w:type="dxa"/>
            <w:noWrap/>
          </w:tcPr>
          <w:p w14:paraId="5BD0C296" w14:textId="77777777" w:rsidR="00AD1F54" w:rsidRPr="00264D5D" w:rsidRDefault="00941227">
            <w:pPr>
              <w:pStyle w:val="GOSTTablenorm"/>
              <w:jc w:val="center"/>
            </w:pPr>
            <w:r w:rsidRPr="00264D5D">
              <w:t>П</w:t>
            </w:r>
          </w:p>
        </w:tc>
        <w:tc>
          <w:tcPr>
            <w:tcW w:w="1135" w:type="dxa"/>
            <w:noWrap/>
          </w:tcPr>
          <w:p w14:paraId="72C5EE06" w14:textId="77777777" w:rsidR="00AD1F54" w:rsidRPr="00264D5D" w:rsidRDefault="00941227">
            <w:pPr>
              <w:pStyle w:val="GOSTTablenorm"/>
              <w:rPr>
                <w:lang w:val="en-US"/>
              </w:rPr>
            </w:pPr>
            <w:r w:rsidRPr="00264D5D">
              <w:rPr>
                <w:lang w:val="en-US"/>
              </w:rPr>
              <w:t>Т(1-</w:t>
            </w:r>
            <w:r w:rsidRPr="00264D5D">
              <w:t>12</w:t>
            </w:r>
            <w:r w:rsidRPr="00264D5D">
              <w:rPr>
                <w:lang w:val="en-US"/>
              </w:rPr>
              <w:t>)</w:t>
            </w:r>
          </w:p>
        </w:tc>
        <w:tc>
          <w:tcPr>
            <w:tcW w:w="567" w:type="dxa"/>
          </w:tcPr>
          <w:p w14:paraId="2E494DD9" w14:textId="77777777" w:rsidR="00AD1F54" w:rsidRPr="00264D5D" w:rsidRDefault="00941227">
            <w:pPr>
              <w:pStyle w:val="GOSTTablenorm"/>
              <w:jc w:val="center"/>
            </w:pPr>
            <w:r w:rsidRPr="00264D5D">
              <w:t>О</w:t>
            </w:r>
          </w:p>
        </w:tc>
        <w:tc>
          <w:tcPr>
            <w:tcW w:w="3972" w:type="dxa"/>
            <w:noWrap/>
          </w:tcPr>
          <w:p w14:paraId="4D3C4670" w14:textId="77777777" w:rsidR="00AD1F54" w:rsidRPr="00264D5D" w:rsidRDefault="00941227">
            <w:pPr>
              <w:pStyle w:val="GOSTTablenorm"/>
              <w:rPr>
                <w:szCs w:val="22"/>
              </w:rPr>
            </w:pPr>
            <w:r w:rsidRPr="00264D5D">
              <w:rPr>
                <w:szCs w:val="22"/>
              </w:rPr>
              <w:t>ИНН контрагента.</w:t>
            </w:r>
          </w:p>
          <w:p w14:paraId="1C6710E7" w14:textId="77777777" w:rsidR="00AD1F54" w:rsidRPr="00264D5D" w:rsidRDefault="00941227">
            <w:pPr>
              <w:pStyle w:val="GOSTTablenorm"/>
              <w:rPr>
                <w:szCs w:val="22"/>
              </w:rPr>
            </w:pPr>
            <w:r w:rsidRPr="00264D5D">
              <w:rPr>
                <w:szCs w:val="22"/>
              </w:rPr>
              <w:t>При перечислении платежей, получателями которых являются организации, лицевые счета которым открыты в ТОФК, указывается ИНН организации.</w:t>
            </w:r>
          </w:p>
          <w:p w14:paraId="39003C12" w14:textId="77777777" w:rsidR="00AD1F54" w:rsidRPr="00264D5D" w:rsidRDefault="00941227">
            <w:pPr>
              <w:pStyle w:val="GOSTTablenorm"/>
              <w:rPr>
                <w:szCs w:val="22"/>
              </w:rPr>
            </w:pPr>
            <w:r w:rsidRPr="00264D5D">
              <w:rPr>
                <w:szCs w:val="22"/>
              </w:rPr>
              <w:t>При отсутствии у получателя – физического лица ИНН, проставляется значение ноль («0»).</w:t>
            </w:r>
          </w:p>
          <w:p w14:paraId="590D4352" w14:textId="77777777" w:rsidR="00AD1F54" w:rsidRPr="00264D5D" w:rsidRDefault="00941227">
            <w:pPr>
              <w:pStyle w:val="GOSTTablenorm"/>
            </w:pPr>
            <w:r w:rsidRPr="00264D5D">
              <w:rPr>
                <w:szCs w:val="22"/>
              </w:rPr>
              <w:t>Если в поле «Номер счета» указан счет: №№ 03100, 03212, 03222; 03232; 03242; 03262; 03272; 03214; 03224; 03234; 03244 или в реквизите «БИК банка/ТОФК» указан БИК ПБР и при этом счет получателя соответствует балансовому счету № 40503/40603/40703 с признаком «4» в 14 разряде, № 40204, то длина поля должна быть равна 10 цифрам, при этом первый и второй знаки (цифры) не могут одновременн</w:t>
            </w:r>
            <w:r w:rsidR="004A5918" w:rsidRPr="00264D5D">
              <w:rPr>
                <w:szCs w:val="22"/>
              </w:rPr>
              <w:t>о принимать значение ноль («0»)</w:t>
            </w:r>
          </w:p>
        </w:tc>
      </w:tr>
      <w:tr w:rsidR="00AD1F54" w:rsidRPr="00264D5D" w14:paraId="3B9FB0B5" w14:textId="77777777" w:rsidTr="00AD1F54">
        <w:trPr>
          <w:cnfStyle w:val="000000100000" w:firstRow="0" w:lastRow="0" w:firstColumn="0" w:lastColumn="0" w:oddVBand="0" w:evenVBand="0" w:oddHBand="1" w:evenHBand="0" w:firstRowFirstColumn="0" w:firstRowLastColumn="0" w:lastRowFirstColumn="0" w:lastRowLastColumn="0"/>
          <w:trHeight w:val="300"/>
        </w:trPr>
        <w:tc>
          <w:tcPr>
            <w:tcW w:w="1707" w:type="dxa"/>
            <w:noWrap/>
          </w:tcPr>
          <w:p w14:paraId="65A352C1" w14:textId="77777777" w:rsidR="00AD1F54" w:rsidRPr="00264D5D" w:rsidRDefault="00941227">
            <w:pPr>
              <w:pStyle w:val="GOSTTablenorm"/>
            </w:pPr>
            <w:r w:rsidRPr="00264D5D">
              <w:t>КПП администратора поступлений</w:t>
            </w:r>
          </w:p>
        </w:tc>
        <w:tc>
          <w:tcPr>
            <w:tcW w:w="1702" w:type="dxa"/>
            <w:noWrap/>
          </w:tcPr>
          <w:p w14:paraId="45AAB484" w14:textId="77777777" w:rsidR="00AD1F54" w:rsidRPr="00264D5D" w:rsidRDefault="00941227">
            <w:pPr>
              <w:pStyle w:val="GOSTTablenorm"/>
            </w:pPr>
            <w:r w:rsidRPr="00264D5D">
              <w:t>KPP</w:t>
            </w:r>
          </w:p>
        </w:tc>
        <w:tc>
          <w:tcPr>
            <w:tcW w:w="567" w:type="dxa"/>
            <w:noWrap/>
          </w:tcPr>
          <w:p w14:paraId="40DC1634" w14:textId="77777777" w:rsidR="00AD1F54" w:rsidRPr="00264D5D" w:rsidRDefault="00941227">
            <w:pPr>
              <w:pStyle w:val="GOSTTablenorm"/>
              <w:jc w:val="center"/>
            </w:pPr>
            <w:r w:rsidRPr="00264D5D">
              <w:t>П</w:t>
            </w:r>
          </w:p>
        </w:tc>
        <w:tc>
          <w:tcPr>
            <w:tcW w:w="1135" w:type="dxa"/>
            <w:noWrap/>
          </w:tcPr>
          <w:p w14:paraId="564C9218" w14:textId="77777777" w:rsidR="00AD1F54" w:rsidRPr="00264D5D" w:rsidRDefault="00941227">
            <w:pPr>
              <w:pStyle w:val="GOSTTablenorm"/>
              <w:rPr>
                <w:lang w:val="en-US"/>
              </w:rPr>
            </w:pPr>
            <w:r w:rsidRPr="00264D5D">
              <w:rPr>
                <w:lang w:val="en-US"/>
              </w:rPr>
              <w:t>Т(1-</w:t>
            </w:r>
            <w:r w:rsidRPr="00264D5D">
              <w:t>9</w:t>
            </w:r>
            <w:r w:rsidRPr="00264D5D">
              <w:rPr>
                <w:lang w:val="en-US"/>
              </w:rPr>
              <w:t>)</w:t>
            </w:r>
          </w:p>
        </w:tc>
        <w:tc>
          <w:tcPr>
            <w:tcW w:w="567" w:type="dxa"/>
          </w:tcPr>
          <w:p w14:paraId="528D8E51" w14:textId="77777777" w:rsidR="00AD1F54" w:rsidRPr="00264D5D" w:rsidRDefault="00941227">
            <w:pPr>
              <w:pStyle w:val="GOSTTablenorm"/>
              <w:jc w:val="center"/>
            </w:pPr>
            <w:r w:rsidRPr="00264D5D">
              <w:t>Н</w:t>
            </w:r>
          </w:p>
        </w:tc>
        <w:tc>
          <w:tcPr>
            <w:tcW w:w="3972" w:type="dxa"/>
            <w:noWrap/>
          </w:tcPr>
          <w:p w14:paraId="1B998CF9" w14:textId="77777777" w:rsidR="00AD1F54" w:rsidRPr="00264D5D" w:rsidRDefault="00941227">
            <w:pPr>
              <w:pStyle w:val="GOSTTablenorm"/>
              <w:rPr>
                <w:szCs w:val="22"/>
              </w:rPr>
            </w:pPr>
            <w:r w:rsidRPr="00264D5D">
              <w:rPr>
                <w:szCs w:val="22"/>
              </w:rPr>
              <w:t>КПП контрагента.</w:t>
            </w:r>
          </w:p>
          <w:p w14:paraId="6CC1F43C" w14:textId="77777777" w:rsidR="00AD1F54" w:rsidRPr="00264D5D" w:rsidRDefault="00941227">
            <w:pPr>
              <w:pStyle w:val="GOSTTablenorm"/>
              <w:rPr>
                <w:szCs w:val="22"/>
              </w:rPr>
            </w:pPr>
            <w:r w:rsidRPr="00264D5D">
              <w:rPr>
                <w:szCs w:val="22"/>
              </w:rPr>
              <w:t>При перечислении платежей, получателями которых являются организации, лицевые счета которым открыты в ТОФК, указывается КПП организации.</w:t>
            </w:r>
          </w:p>
          <w:p w14:paraId="67C3A272" w14:textId="77777777" w:rsidR="00AD1F54" w:rsidRPr="00264D5D" w:rsidRDefault="00941227">
            <w:pPr>
              <w:pStyle w:val="GOSTTablenorm"/>
              <w:rPr>
                <w:szCs w:val="22"/>
              </w:rPr>
            </w:pPr>
            <w:r w:rsidRPr="00264D5D">
              <w:rPr>
                <w:szCs w:val="22"/>
              </w:rPr>
              <w:t>При отсутствии у получателя – физического лица КПП поле не заполняется.</w:t>
            </w:r>
          </w:p>
          <w:p w14:paraId="573BEAF8" w14:textId="77777777" w:rsidR="00AD1F54" w:rsidRPr="00264D5D" w:rsidRDefault="00941227">
            <w:pPr>
              <w:pStyle w:val="GOSTTablenorm"/>
              <w:rPr>
                <w:szCs w:val="22"/>
              </w:rPr>
            </w:pPr>
            <w:r w:rsidRPr="00264D5D">
              <w:rPr>
                <w:szCs w:val="22"/>
              </w:rPr>
              <w:t xml:space="preserve">Обязательно при осуществлении платежей в бюджетную систему, если </w:t>
            </w:r>
            <w:r w:rsidRPr="00264D5D">
              <w:rPr>
                <w:szCs w:val="22"/>
              </w:rPr>
              <w:lastRenderedPageBreak/>
              <w:t>счет контрагента соответствует значению счета «03100» (при невозможности указания поле заполняется значением ноль («0»).</w:t>
            </w:r>
          </w:p>
          <w:p w14:paraId="30B21A17" w14:textId="77777777" w:rsidR="00AD1F54" w:rsidRPr="00264D5D" w:rsidRDefault="00941227">
            <w:pPr>
              <w:pStyle w:val="GOSTTablenorm"/>
            </w:pPr>
            <w:r w:rsidRPr="00264D5D">
              <w:rPr>
                <w:szCs w:val="22"/>
              </w:rPr>
              <w:t>Если в поле «Номер счета» указан счет: №№ 03100, 03212, 03222; 03232; 03242; 03262; 03272; 03214; 03224; 03234;   03254 или в реквизите «БИК банка/ТОФК» указан БИК ПБР и при этом счет получателя соответствует балансовому счету № 40503/40603/40703 с признаком «4» в 14 разряде, № 40204, то длина поля должна быть равна 9 символам, при этом первый-четвертый и седьмой-девятый знаки (цифры) должны принимать цифровое значение, пятый и шестой знаки – могут соответствовать цифре или заглавной букве латинского алфавита, первый и второй знаки (цифры) не могут одновременн</w:t>
            </w:r>
            <w:r w:rsidR="004A5918" w:rsidRPr="00264D5D">
              <w:rPr>
                <w:szCs w:val="22"/>
              </w:rPr>
              <w:t>о принимать значение ноль («0»)</w:t>
            </w:r>
          </w:p>
        </w:tc>
      </w:tr>
    </w:tbl>
    <w:p w14:paraId="784AED1D" w14:textId="77777777" w:rsidR="00AD1F54" w:rsidRPr="00264D5D" w:rsidRDefault="00941227">
      <w:pPr>
        <w:pStyle w:val="31"/>
      </w:pPr>
      <w:r w:rsidRPr="00264D5D">
        <w:lastRenderedPageBreak/>
        <w:t xml:space="preserve"> </w:t>
      </w:r>
      <w:bookmarkStart w:id="1063" w:name="_Toc219309547"/>
      <w:r w:rsidRPr="00264D5D">
        <w:t>Описание комплексного типа «tMSC_Bnk1»</w:t>
      </w:r>
      <w:bookmarkEnd w:id="1063"/>
    </w:p>
    <w:p w14:paraId="6D7757CF" w14:textId="77777777" w:rsidR="00AD1F54" w:rsidRPr="00264D5D" w:rsidRDefault="00941227">
      <w:pPr>
        <w:pStyle w:val="GOSTNormal"/>
      </w:pPr>
      <w:r w:rsidRPr="00264D5D">
        <w:t>Описание комплексного типа «tMSC_</w:t>
      </w:r>
      <w:r w:rsidRPr="00264D5D">
        <w:rPr>
          <w:lang w:val="en-US"/>
        </w:rPr>
        <w:t>Bnk</w:t>
      </w:r>
      <w:r w:rsidRPr="00264D5D">
        <w:t>1» блока «Реквизиты банка</w:t>
      </w:r>
      <w:r w:rsidRPr="00264D5D">
        <w:rPr>
          <w:szCs w:val="22"/>
        </w:rPr>
        <w:t>/ТОФК</w:t>
      </w:r>
      <w:r w:rsidRPr="00264D5D">
        <w:t xml:space="preserve"> контрагента».</w:t>
      </w:r>
    </w:p>
    <w:p w14:paraId="16709E28" w14:textId="38532A90"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SEQ Таблица \* ARABIC</w:instrText>
      </w:r>
      <w:r w:rsidRPr="00264D5D">
        <w:rPr>
          <w:rFonts w:eastAsia="Calibri"/>
          <w:szCs w:val="24"/>
        </w:rPr>
        <w:fldChar w:fldCharType="separate"/>
      </w:r>
      <w:bookmarkStart w:id="1064" w:name="_Ref52174337"/>
      <w:bookmarkStart w:id="1065" w:name="_Toc219309135"/>
      <w:r w:rsidR="008D797C">
        <w:rPr>
          <w:rFonts w:eastAsia="Calibri"/>
          <w:noProof/>
          <w:szCs w:val="24"/>
        </w:rPr>
        <w:t>105</w:t>
      </w:r>
      <w:bookmarkEnd w:id="1064"/>
      <w:r w:rsidRPr="00264D5D">
        <w:rPr>
          <w:rFonts w:eastAsia="Calibri"/>
          <w:szCs w:val="24"/>
        </w:rPr>
        <w:fldChar w:fldCharType="end"/>
      </w:r>
      <w:r w:rsidRPr="00264D5D">
        <w:rPr>
          <w:rFonts w:eastAsia="Calibri"/>
          <w:szCs w:val="24"/>
        </w:rPr>
        <w:t xml:space="preserve"> – Описание комплексного типа «tMSC_Bnk1»</w:t>
      </w:r>
      <w:bookmarkEnd w:id="1065"/>
    </w:p>
    <w:tbl>
      <w:tblPr>
        <w:tblStyle w:val="GOSTTable"/>
        <w:tblW w:w="5000" w:type="pct"/>
        <w:tblLayout w:type="fixed"/>
        <w:tblLook w:val="01E0" w:firstRow="1" w:lastRow="1" w:firstColumn="1" w:lastColumn="1" w:noHBand="0" w:noVBand="0"/>
      </w:tblPr>
      <w:tblGrid>
        <w:gridCol w:w="1704"/>
        <w:gridCol w:w="1704"/>
        <w:gridCol w:w="568"/>
        <w:gridCol w:w="1136"/>
        <w:gridCol w:w="568"/>
        <w:gridCol w:w="3970"/>
      </w:tblGrid>
      <w:tr w:rsidR="00AD1F54" w:rsidRPr="00264D5D" w14:paraId="546B9B51"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7970250B" w14:textId="77777777" w:rsidR="00AD1F54" w:rsidRPr="00264D5D" w:rsidRDefault="00941227">
            <w:pPr>
              <w:pStyle w:val="ASFKTableHead"/>
            </w:pPr>
            <w:r w:rsidRPr="00264D5D">
              <w:t>Наименование элемента</w:t>
            </w:r>
          </w:p>
        </w:tc>
        <w:tc>
          <w:tcPr>
            <w:tcW w:w="1701" w:type="dxa"/>
          </w:tcPr>
          <w:p w14:paraId="5E49FFE5" w14:textId="77777777" w:rsidR="00AD1F54" w:rsidRPr="00264D5D" w:rsidRDefault="00941227">
            <w:pPr>
              <w:pStyle w:val="ASFKTableHead"/>
            </w:pPr>
            <w:r w:rsidRPr="00264D5D">
              <w:t>Сокращенное наименование (код) элемента</w:t>
            </w:r>
          </w:p>
        </w:tc>
        <w:tc>
          <w:tcPr>
            <w:tcW w:w="567" w:type="dxa"/>
          </w:tcPr>
          <w:p w14:paraId="57EAD96B" w14:textId="77777777" w:rsidR="00AD1F54" w:rsidRPr="00264D5D" w:rsidRDefault="00941227">
            <w:pPr>
              <w:pStyle w:val="ASFKTableHead"/>
            </w:pPr>
            <w:r w:rsidRPr="00264D5D">
              <w:t>Тип</w:t>
            </w:r>
          </w:p>
        </w:tc>
        <w:tc>
          <w:tcPr>
            <w:tcW w:w="1134" w:type="dxa"/>
          </w:tcPr>
          <w:p w14:paraId="67A3C6EB" w14:textId="77777777" w:rsidR="00AD1F54" w:rsidRPr="00264D5D" w:rsidRDefault="00941227">
            <w:pPr>
              <w:pStyle w:val="ASFKTableHead"/>
            </w:pPr>
            <w:r w:rsidRPr="00264D5D">
              <w:t>Формат элемента</w:t>
            </w:r>
          </w:p>
        </w:tc>
        <w:tc>
          <w:tcPr>
            <w:tcW w:w="567" w:type="dxa"/>
          </w:tcPr>
          <w:p w14:paraId="1113188A" w14:textId="77777777" w:rsidR="00AD1F54" w:rsidRPr="00264D5D" w:rsidRDefault="00941227">
            <w:pPr>
              <w:pStyle w:val="ASFKTableHead"/>
            </w:pPr>
            <w:r w:rsidRPr="00264D5D">
              <w:t>Обязательнсть</w:t>
            </w:r>
          </w:p>
        </w:tc>
        <w:tc>
          <w:tcPr>
            <w:tcW w:w="3963" w:type="dxa"/>
          </w:tcPr>
          <w:p w14:paraId="24A12094" w14:textId="77777777" w:rsidR="00AD1F54" w:rsidRPr="00264D5D" w:rsidRDefault="00941227">
            <w:pPr>
              <w:pStyle w:val="ASFKTableHead"/>
            </w:pPr>
            <w:r w:rsidRPr="00264D5D">
              <w:t>Дополнительная информация</w:t>
            </w:r>
          </w:p>
        </w:tc>
      </w:tr>
      <w:tr w:rsidR="00AD1F54" w:rsidRPr="00264D5D" w14:paraId="32939F49" w14:textId="77777777" w:rsidTr="00AD1F54">
        <w:trPr>
          <w:cnfStyle w:val="000000100000" w:firstRow="0" w:lastRow="0" w:firstColumn="0" w:lastColumn="0" w:oddVBand="0" w:evenVBand="0" w:oddHBand="1" w:evenHBand="0" w:firstRowFirstColumn="0" w:firstRowLastColumn="0" w:lastRowFirstColumn="0" w:lastRowLastColumn="0"/>
          <w:trHeight w:val="300"/>
        </w:trPr>
        <w:tc>
          <w:tcPr>
            <w:tcW w:w="1701" w:type="dxa"/>
            <w:noWrap/>
          </w:tcPr>
          <w:p w14:paraId="3F324C31" w14:textId="77777777" w:rsidR="00AD1F54" w:rsidRPr="00264D5D" w:rsidRDefault="00941227">
            <w:pPr>
              <w:pStyle w:val="GOSTTablenorm"/>
              <w:rPr>
                <w:szCs w:val="22"/>
              </w:rPr>
            </w:pPr>
            <w:r w:rsidRPr="00264D5D">
              <w:rPr>
                <w:szCs w:val="22"/>
              </w:rPr>
              <w:t>Номер счета</w:t>
            </w:r>
          </w:p>
        </w:tc>
        <w:tc>
          <w:tcPr>
            <w:tcW w:w="1701" w:type="dxa"/>
            <w:noWrap/>
          </w:tcPr>
          <w:p w14:paraId="07A1BE82" w14:textId="77777777" w:rsidR="00AD1F54" w:rsidRPr="00264D5D" w:rsidRDefault="00941227">
            <w:pPr>
              <w:pStyle w:val="GOSTTablenorm"/>
              <w:rPr>
                <w:szCs w:val="22"/>
              </w:rPr>
            </w:pPr>
            <w:r w:rsidRPr="00264D5D">
              <w:rPr>
                <w:szCs w:val="22"/>
              </w:rPr>
              <w:t>AcNm</w:t>
            </w:r>
          </w:p>
        </w:tc>
        <w:tc>
          <w:tcPr>
            <w:tcW w:w="567" w:type="dxa"/>
            <w:noWrap/>
          </w:tcPr>
          <w:p w14:paraId="6316385F" w14:textId="77777777" w:rsidR="00AD1F54" w:rsidRPr="00264D5D" w:rsidRDefault="00941227">
            <w:pPr>
              <w:pStyle w:val="GOSTTablenorm"/>
              <w:jc w:val="center"/>
              <w:rPr>
                <w:szCs w:val="22"/>
              </w:rPr>
            </w:pPr>
            <w:r w:rsidRPr="00264D5D">
              <w:rPr>
                <w:szCs w:val="22"/>
              </w:rPr>
              <w:t>П</w:t>
            </w:r>
          </w:p>
        </w:tc>
        <w:tc>
          <w:tcPr>
            <w:tcW w:w="1134" w:type="dxa"/>
            <w:noWrap/>
          </w:tcPr>
          <w:p w14:paraId="667D88B9" w14:textId="77777777" w:rsidR="00AD1F54" w:rsidRPr="00264D5D" w:rsidRDefault="00941227">
            <w:pPr>
              <w:pStyle w:val="GOSTTablenorm"/>
              <w:rPr>
                <w:szCs w:val="22"/>
                <w:lang w:val="en-US"/>
              </w:rPr>
            </w:pPr>
            <w:r w:rsidRPr="00264D5D">
              <w:rPr>
                <w:szCs w:val="22"/>
                <w:lang w:val="en-US"/>
              </w:rPr>
              <w:t>Т(</w:t>
            </w:r>
            <w:r w:rsidRPr="00264D5D">
              <w:rPr>
                <w:szCs w:val="22"/>
              </w:rPr>
              <w:t>20</w:t>
            </w:r>
            <w:r w:rsidRPr="00264D5D">
              <w:rPr>
                <w:szCs w:val="22"/>
                <w:lang w:val="en-US"/>
              </w:rPr>
              <w:t>)</w:t>
            </w:r>
          </w:p>
        </w:tc>
        <w:tc>
          <w:tcPr>
            <w:tcW w:w="567" w:type="dxa"/>
          </w:tcPr>
          <w:p w14:paraId="78F316D7" w14:textId="77777777" w:rsidR="00AD1F54" w:rsidRPr="00264D5D" w:rsidRDefault="00941227">
            <w:pPr>
              <w:pStyle w:val="GOSTTablenorm"/>
              <w:jc w:val="center"/>
              <w:rPr>
                <w:szCs w:val="22"/>
              </w:rPr>
            </w:pPr>
            <w:r w:rsidRPr="00264D5D">
              <w:rPr>
                <w:szCs w:val="22"/>
              </w:rPr>
              <w:t>О</w:t>
            </w:r>
          </w:p>
        </w:tc>
        <w:tc>
          <w:tcPr>
            <w:tcW w:w="3963" w:type="dxa"/>
            <w:noWrap/>
          </w:tcPr>
          <w:p w14:paraId="20C03D0E" w14:textId="77777777" w:rsidR="00AD1F54" w:rsidRPr="00264D5D" w:rsidRDefault="00941227">
            <w:pPr>
              <w:pStyle w:val="GOSTTablenorm"/>
              <w:rPr>
                <w:szCs w:val="22"/>
              </w:rPr>
            </w:pPr>
            <w:r w:rsidRPr="00264D5D">
              <w:rPr>
                <w:szCs w:val="22"/>
              </w:rPr>
              <w:t>Указывается:</w:t>
            </w:r>
          </w:p>
          <w:p w14:paraId="09F2FACF" w14:textId="77777777" w:rsidR="00AD1F54" w:rsidRPr="00264D5D" w:rsidRDefault="00941227" w:rsidP="00E7460C">
            <w:pPr>
              <w:pStyle w:val="af5"/>
              <w:numPr>
                <w:ilvl w:val="0"/>
                <w:numId w:val="86"/>
              </w:numPr>
              <w:spacing w:before="60" w:after="60"/>
              <w:ind w:left="284" w:hanging="227"/>
              <w:contextualSpacing/>
              <w:jc w:val="both"/>
              <w:rPr>
                <w:sz w:val="22"/>
                <w:szCs w:val="22"/>
              </w:rPr>
            </w:pPr>
            <w:r w:rsidRPr="00264D5D">
              <w:rPr>
                <w:sz w:val="22"/>
                <w:szCs w:val="22"/>
              </w:rPr>
              <w:t>казначейский счет, в ТОФК, если получатель денежных средств обслуживается в ТОФК;</w:t>
            </w:r>
          </w:p>
          <w:p w14:paraId="498C9DEE" w14:textId="77777777" w:rsidR="00AD1F54" w:rsidRPr="00264D5D" w:rsidRDefault="004A5918" w:rsidP="00E7460C">
            <w:pPr>
              <w:pStyle w:val="af5"/>
              <w:numPr>
                <w:ilvl w:val="0"/>
                <w:numId w:val="86"/>
              </w:numPr>
              <w:spacing w:before="60" w:after="60"/>
              <w:ind w:left="284" w:hanging="227"/>
              <w:contextualSpacing/>
              <w:jc w:val="both"/>
              <w:rPr>
                <w:sz w:val="22"/>
                <w:szCs w:val="22"/>
              </w:rPr>
            </w:pPr>
            <w:r w:rsidRPr="00264D5D">
              <w:rPr>
                <w:sz w:val="22"/>
                <w:szCs w:val="22"/>
              </w:rPr>
              <w:t>расчетный счет – в иных случаях</w:t>
            </w:r>
          </w:p>
        </w:tc>
      </w:tr>
      <w:tr w:rsidR="00AD1F54" w:rsidRPr="00264D5D" w14:paraId="4EA135AB" w14:textId="77777777" w:rsidTr="00AD1F54">
        <w:trPr>
          <w:cnfStyle w:val="000000010000" w:firstRow="0" w:lastRow="0" w:firstColumn="0" w:lastColumn="0" w:oddVBand="0" w:evenVBand="0" w:oddHBand="0" w:evenHBand="1" w:firstRowFirstColumn="0" w:firstRowLastColumn="0" w:lastRowFirstColumn="0" w:lastRowLastColumn="0"/>
          <w:trHeight w:val="300"/>
        </w:trPr>
        <w:tc>
          <w:tcPr>
            <w:tcW w:w="1701" w:type="dxa"/>
            <w:noWrap/>
          </w:tcPr>
          <w:p w14:paraId="6452759B" w14:textId="77777777" w:rsidR="00AD1F54" w:rsidRPr="00264D5D" w:rsidRDefault="00941227">
            <w:pPr>
              <w:pStyle w:val="GOSTTablenorm"/>
              <w:rPr>
                <w:szCs w:val="22"/>
              </w:rPr>
            </w:pPr>
            <w:r w:rsidRPr="00264D5D">
              <w:rPr>
                <w:szCs w:val="22"/>
              </w:rPr>
              <w:t>Наименование банка</w:t>
            </w:r>
          </w:p>
        </w:tc>
        <w:tc>
          <w:tcPr>
            <w:tcW w:w="1701" w:type="dxa"/>
            <w:noWrap/>
          </w:tcPr>
          <w:p w14:paraId="4A769D17" w14:textId="77777777" w:rsidR="00AD1F54" w:rsidRPr="00264D5D" w:rsidRDefault="00941227">
            <w:pPr>
              <w:pStyle w:val="GOSTTablenorm"/>
              <w:rPr>
                <w:szCs w:val="22"/>
              </w:rPr>
            </w:pPr>
            <w:r w:rsidRPr="00264D5D">
              <w:rPr>
                <w:szCs w:val="22"/>
                <w:lang w:val="en-US"/>
              </w:rPr>
              <w:t>Nm</w:t>
            </w:r>
          </w:p>
        </w:tc>
        <w:tc>
          <w:tcPr>
            <w:tcW w:w="567" w:type="dxa"/>
            <w:noWrap/>
          </w:tcPr>
          <w:p w14:paraId="437556C5" w14:textId="77777777" w:rsidR="00AD1F54" w:rsidRPr="00264D5D" w:rsidRDefault="00941227">
            <w:pPr>
              <w:pStyle w:val="GOSTTablenorm"/>
              <w:jc w:val="center"/>
              <w:rPr>
                <w:szCs w:val="22"/>
              </w:rPr>
            </w:pPr>
            <w:r w:rsidRPr="00264D5D">
              <w:rPr>
                <w:szCs w:val="22"/>
              </w:rPr>
              <w:t>П</w:t>
            </w:r>
          </w:p>
        </w:tc>
        <w:tc>
          <w:tcPr>
            <w:tcW w:w="1134" w:type="dxa"/>
            <w:noWrap/>
          </w:tcPr>
          <w:p w14:paraId="078E8E20" w14:textId="77777777" w:rsidR="00AD1F54" w:rsidRPr="00264D5D" w:rsidRDefault="00941227">
            <w:pPr>
              <w:pStyle w:val="GOSTTablenorm"/>
              <w:rPr>
                <w:szCs w:val="22"/>
                <w:lang w:val="en-US"/>
              </w:rPr>
            </w:pPr>
            <w:r w:rsidRPr="00264D5D">
              <w:rPr>
                <w:szCs w:val="22"/>
                <w:lang w:val="en-US"/>
              </w:rPr>
              <w:t>Т(1-</w:t>
            </w:r>
            <w:r w:rsidRPr="00264D5D">
              <w:rPr>
                <w:szCs w:val="22"/>
              </w:rPr>
              <w:t>160</w:t>
            </w:r>
            <w:r w:rsidRPr="00264D5D">
              <w:rPr>
                <w:szCs w:val="22"/>
                <w:lang w:val="en-US"/>
              </w:rPr>
              <w:t>)</w:t>
            </w:r>
          </w:p>
        </w:tc>
        <w:tc>
          <w:tcPr>
            <w:tcW w:w="567" w:type="dxa"/>
          </w:tcPr>
          <w:p w14:paraId="02EF0AD7" w14:textId="77777777" w:rsidR="00AD1F54" w:rsidRPr="00264D5D" w:rsidRDefault="00941227">
            <w:pPr>
              <w:pStyle w:val="GOSTTablenorm"/>
              <w:jc w:val="center"/>
              <w:rPr>
                <w:szCs w:val="22"/>
              </w:rPr>
            </w:pPr>
            <w:r w:rsidRPr="00264D5D">
              <w:rPr>
                <w:szCs w:val="22"/>
              </w:rPr>
              <w:t>О</w:t>
            </w:r>
          </w:p>
        </w:tc>
        <w:tc>
          <w:tcPr>
            <w:tcW w:w="3963" w:type="dxa"/>
            <w:noWrap/>
          </w:tcPr>
          <w:p w14:paraId="277F89D6" w14:textId="77777777" w:rsidR="00AD1F54" w:rsidRPr="00264D5D" w:rsidRDefault="00941227">
            <w:pPr>
              <w:spacing w:before="60" w:after="60"/>
              <w:rPr>
                <w:sz w:val="22"/>
                <w:szCs w:val="22"/>
              </w:rPr>
            </w:pPr>
            <w:r w:rsidRPr="00264D5D">
              <w:rPr>
                <w:sz w:val="22"/>
                <w:szCs w:val="22"/>
              </w:rPr>
              <w:t>Указывается:</w:t>
            </w:r>
          </w:p>
          <w:p w14:paraId="62D7A545" w14:textId="77777777" w:rsidR="00AD1F54" w:rsidRPr="00264D5D" w:rsidRDefault="00941227" w:rsidP="00E7460C">
            <w:pPr>
              <w:pStyle w:val="af5"/>
              <w:numPr>
                <w:ilvl w:val="0"/>
                <w:numId w:val="86"/>
              </w:numPr>
              <w:spacing w:before="60" w:after="60"/>
              <w:ind w:left="284" w:hanging="227"/>
              <w:contextualSpacing/>
              <w:jc w:val="both"/>
              <w:rPr>
                <w:sz w:val="22"/>
                <w:szCs w:val="22"/>
              </w:rPr>
            </w:pPr>
            <w:r w:rsidRPr="00264D5D">
              <w:rPr>
                <w:sz w:val="22"/>
                <w:szCs w:val="22"/>
              </w:rPr>
              <w:t>наименование банка, обслуживающего ТОФК получателя, знак «//», сокращенное наименование и место нахождения ТОФК получателя, если получатель платежа является участником СКП;</w:t>
            </w:r>
          </w:p>
          <w:p w14:paraId="05EC2056" w14:textId="77777777" w:rsidR="00AD1F54" w:rsidRPr="00264D5D" w:rsidRDefault="00941227" w:rsidP="00E7460C">
            <w:pPr>
              <w:pStyle w:val="af5"/>
              <w:numPr>
                <w:ilvl w:val="0"/>
                <w:numId w:val="86"/>
              </w:numPr>
              <w:spacing w:before="60" w:after="60"/>
              <w:ind w:left="284" w:hanging="227"/>
              <w:contextualSpacing/>
              <w:jc w:val="both"/>
              <w:rPr>
                <w:sz w:val="22"/>
                <w:szCs w:val="22"/>
              </w:rPr>
            </w:pPr>
            <w:r w:rsidRPr="00264D5D">
              <w:rPr>
                <w:sz w:val="22"/>
                <w:szCs w:val="22"/>
              </w:rPr>
              <w:t xml:space="preserve">наименование банка, в </w:t>
            </w:r>
            <w:r w:rsidR="004A5918" w:rsidRPr="00264D5D">
              <w:rPr>
                <w:sz w:val="22"/>
                <w:szCs w:val="22"/>
              </w:rPr>
              <w:t xml:space="preserve">котором </w:t>
            </w:r>
            <w:r w:rsidR="004A5918" w:rsidRPr="00264D5D">
              <w:rPr>
                <w:sz w:val="22"/>
                <w:szCs w:val="22"/>
              </w:rPr>
              <w:lastRenderedPageBreak/>
              <w:t>открыт счет контрагента</w:t>
            </w:r>
          </w:p>
        </w:tc>
      </w:tr>
      <w:tr w:rsidR="00AD1F54" w:rsidRPr="00264D5D" w14:paraId="442A00E7" w14:textId="77777777" w:rsidTr="00AD1F54">
        <w:trPr>
          <w:cnfStyle w:val="000000100000" w:firstRow="0" w:lastRow="0" w:firstColumn="0" w:lastColumn="0" w:oddVBand="0" w:evenVBand="0" w:oddHBand="1" w:evenHBand="0" w:firstRowFirstColumn="0" w:firstRowLastColumn="0" w:lastRowFirstColumn="0" w:lastRowLastColumn="0"/>
          <w:trHeight w:val="300"/>
        </w:trPr>
        <w:tc>
          <w:tcPr>
            <w:tcW w:w="1701" w:type="dxa"/>
            <w:noWrap/>
          </w:tcPr>
          <w:p w14:paraId="1994C454" w14:textId="77777777" w:rsidR="00AD1F54" w:rsidRPr="00264D5D" w:rsidRDefault="00941227">
            <w:pPr>
              <w:pStyle w:val="GOSTTablenorm"/>
              <w:rPr>
                <w:szCs w:val="22"/>
              </w:rPr>
            </w:pPr>
            <w:r w:rsidRPr="00264D5D">
              <w:rPr>
                <w:szCs w:val="22"/>
              </w:rPr>
              <w:lastRenderedPageBreak/>
              <w:t>БИК банка/ТОФК</w:t>
            </w:r>
          </w:p>
        </w:tc>
        <w:tc>
          <w:tcPr>
            <w:tcW w:w="1701" w:type="dxa"/>
            <w:noWrap/>
          </w:tcPr>
          <w:p w14:paraId="7B3C90DF" w14:textId="77777777" w:rsidR="00AD1F54" w:rsidRPr="00264D5D" w:rsidRDefault="00941227">
            <w:pPr>
              <w:pStyle w:val="GOSTTablenorm"/>
              <w:rPr>
                <w:szCs w:val="22"/>
              </w:rPr>
            </w:pPr>
            <w:r w:rsidRPr="00264D5D">
              <w:rPr>
                <w:szCs w:val="22"/>
              </w:rPr>
              <w:t>BIK</w:t>
            </w:r>
          </w:p>
        </w:tc>
        <w:tc>
          <w:tcPr>
            <w:tcW w:w="567" w:type="dxa"/>
            <w:noWrap/>
          </w:tcPr>
          <w:p w14:paraId="5D8EAA5B" w14:textId="77777777" w:rsidR="00AD1F54" w:rsidRPr="00264D5D" w:rsidRDefault="00941227">
            <w:pPr>
              <w:pStyle w:val="GOSTTablenorm"/>
              <w:jc w:val="center"/>
              <w:rPr>
                <w:szCs w:val="22"/>
              </w:rPr>
            </w:pPr>
            <w:r w:rsidRPr="00264D5D">
              <w:rPr>
                <w:szCs w:val="22"/>
              </w:rPr>
              <w:t>П</w:t>
            </w:r>
          </w:p>
        </w:tc>
        <w:tc>
          <w:tcPr>
            <w:tcW w:w="1134" w:type="dxa"/>
            <w:noWrap/>
          </w:tcPr>
          <w:p w14:paraId="452A3BE7" w14:textId="77777777" w:rsidR="00AD1F54" w:rsidRPr="00264D5D" w:rsidRDefault="00941227">
            <w:pPr>
              <w:pStyle w:val="GOSTTablenorm"/>
              <w:rPr>
                <w:szCs w:val="22"/>
                <w:lang w:val="en-US"/>
              </w:rPr>
            </w:pPr>
            <w:r w:rsidRPr="00264D5D">
              <w:rPr>
                <w:szCs w:val="22"/>
                <w:lang w:val="en-US"/>
              </w:rPr>
              <w:t>Т(</w:t>
            </w:r>
            <w:r w:rsidRPr="00264D5D">
              <w:rPr>
                <w:szCs w:val="22"/>
              </w:rPr>
              <w:t>9</w:t>
            </w:r>
            <w:r w:rsidRPr="00264D5D">
              <w:rPr>
                <w:szCs w:val="22"/>
                <w:lang w:val="en-US"/>
              </w:rPr>
              <w:t>)</w:t>
            </w:r>
          </w:p>
        </w:tc>
        <w:tc>
          <w:tcPr>
            <w:tcW w:w="567" w:type="dxa"/>
          </w:tcPr>
          <w:p w14:paraId="0048D467" w14:textId="77777777" w:rsidR="00AD1F54" w:rsidRPr="00264D5D" w:rsidRDefault="00941227">
            <w:pPr>
              <w:pStyle w:val="GOSTTablenorm"/>
              <w:jc w:val="center"/>
              <w:rPr>
                <w:szCs w:val="22"/>
              </w:rPr>
            </w:pPr>
            <w:r w:rsidRPr="00264D5D">
              <w:rPr>
                <w:szCs w:val="22"/>
              </w:rPr>
              <w:t>О</w:t>
            </w:r>
          </w:p>
        </w:tc>
        <w:tc>
          <w:tcPr>
            <w:tcW w:w="3963" w:type="dxa"/>
            <w:noWrap/>
          </w:tcPr>
          <w:p w14:paraId="050931D6" w14:textId="77777777" w:rsidR="00AD1F54" w:rsidRPr="00264D5D" w:rsidRDefault="00941227">
            <w:pPr>
              <w:spacing w:before="60" w:after="60"/>
              <w:contextualSpacing/>
              <w:rPr>
                <w:sz w:val="22"/>
                <w:szCs w:val="22"/>
              </w:rPr>
            </w:pPr>
            <w:r w:rsidRPr="00264D5D">
              <w:rPr>
                <w:sz w:val="22"/>
                <w:szCs w:val="22"/>
              </w:rPr>
              <w:t>Указывается:</w:t>
            </w:r>
          </w:p>
          <w:p w14:paraId="4CC99DFC" w14:textId="77777777" w:rsidR="00AD1F54" w:rsidRPr="00264D5D" w:rsidRDefault="00941227" w:rsidP="00E7460C">
            <w:pPr>
              <w:pStyle w:val="af5"/>
              <w:numPr>
                <w:ilvl w:val="0"/>
                <w:numId w:val="86"/>
              </w:numPr>
              <w:spacing w:before="60" w:after="60"/>
              <w:ind w:left="284" w:hanging="227"/>
              <w:contextualSpacing/>
              <w:jc w:val="both"/>
              <w:rPr>
                <w:sz w:val="22"/>
                <w:szCs w:val="22"/>
              </w:rPr>
            </w:pPr>
            <w:r w:rsidRPr="00264D5D">
              <w:rPr>
                <w:sz w:val="22"/>
                <w:szCs w:val="22"/>
              </w:rPr>
              <w:t>БИК ТОФК, если получатель денежных средств обслуживается в ТОФК;</w:t>
            </w:r>
          </w:p>
          <w:p w14:paraId="6DBE9A15" w14:textId="77777777" w:rsidR="00AD1F54" w:rsidRPr="00264D5D" w:rsidRDefault="00941227" w:rsidP="00E7460C">
            <w:pPr>
              <w:pStyle w:val="af5"/>
              <w:numPr>
                <w:ilvl w:val="0"/>
                <w:numId w:val="86"/>
              </w:numPr>
              <w:spacing w:before="60" w:after="60"/>
              <w:ind w:left="284" w:hanging="227"/>
              <w:contextualSpacing/>
              <w:jc w:val="both"/>
              <w:rPr>
                <w:sz w:val="22"/>
                <w:szCs w:val="22"/>
              </w:rPr>
            </w:pPr>
            <w:r w:rsidRPr="00264D5D">
              <w:rPr>
                <w:sz w:val="22"/>
                <w:szCs w:val="22"/>
              </w:rPr>
              <w:t>БИК банка, в котором открыт сч</w:t>
            </w:r>
            <w:r w:rsidR="004A5918" w:rsidRPr="00264D5D">
              <w:rPr>
                <w:sz w:val="22"/>
                <w:szCs w:val="22"/>
              </w:rPr>
              <w:t>ет контрагента, в иных случаях.</w:t>
            </w:r>
          </w:p>
        </w:tc>
      </w:tr>
      <w:tr w:rsidR="00AD1F54" w:rsidRPr="00264D5D" w14:paraId="035BEC02" w14:textId="77777777" w:rsidTr="00AD1F54">
        <w:trPr>
          <w:cnfStyle w:val="000000010000" w:firstRow="0" w:lastRow="0" w:firstColumn="0" w:lastColumn="0" w:oddVBand="0" w:evenVBand="0" w:oddHBand="0" w:evenHBand="1" w:firstRowFirstColumn="0" w:firstRowLastColumn="0" w:lastRowFirstColumn="0" w:lastRowLastColumn="0"/>
          <w:trHeight w:val="300"/>
        </w:trPr>
        <w:tc>
          <w:tcPr>
            <w:tcW w:w="1701" w:type="dxa"/>
            <w:noWrap/>
          </w:tcPr>
          <w:p w14:paraId="1A717FB4" w14:textId="77777777" w:rsidR="00AD1F54" w:rsidRPr="00264D5D" w:rsidRDefault="00941227">
            <w:pPr>
              <w:pStyle w:val="GOSTTablenorm"/>
              <w:rPr>
                <w:szCs w:val="22"/>
              </w:rPr>
            </w:pPr>
            <w:r w:rsidRPr="00264D5D">
              <w:rPr>
                <w:szCs w:val="22"/>
              </w:rPr>
              <w:t>Корсчет банка контрагента/ТОФК</w:t>
            </w:r>
          </w:p>
        </w:tc>
        <w:tc>
          <w:tcPr>
            <w:tcW w:w="1701" w:type="dxa"/>
            <w:noWrap/>
          </w:tcPr>
          <w:p w14:paraId="0F3CD171" w14:textId="77777777" w:rsidR="00AD1F54" w:rsidRPr="00264D5D" w:rsidRDefault="00941227">
            <w:pPr>
              <w:pStyle w:val="GOSTTablenorm"/>
              <w:rPr>
                <w:szCs w:val="22"/>
              </w:rPr>
            </w:pPr>
            <w:r w:rsidRPr="00264D5D">
              <w:rPr>
                <w:szCs w:val="22"/>
              </w:rPr>
              <w:t>CrAccNm</w:t>
            </w:r>
          </w:p>
        </w:tc>
        <w:tc>
          <w:tcPr>
            <w:tcW w:w="567" w:type="dxa"/>
            <w:noWrap/>
          </w:tcPr>
          <w:p w14:paraId="2B3BA69B" w14:textId="77777777" w:rsidR="00AD1F54" w:rsidRPr="00264D5D" w:rsidRDefault="00941227">
            <w:pPr>
              <w:pStyle w:val="GOSTTablenorm"/>
              <w:jc w:val="center"/>
              <w:rPr>
                <w:szCs w:val="22"/>
              </w:rPr>
            </w:pPr>
            <w:r w:rsidRPr="00264D5D">
              <w:rPr>
                <w:szCs w:val="22"/>
              </w:rPr>
              <w:t>П</w:t>
            </w:r>
          </w:p>
        </w:tc>
        <w:tc>
          <w:tcPr>
            <w:tcW w:w="1134" w:type="dxa"/>
            <w:noWrap/>
          </w:tcPr>
          <w:p w14:paraId="2A7357E2" w14:textId="77777777" w:rsidR="00AD1F54" w:rsidRPr="00264D5D" w:rsidRDefault="00941227">
            <w:pPr>
              <w:pStyle w:val="GOSTTablenorm"/>
              <w:rPr>
                <w:szCs w:val="22"/>
                <w:lang w:val="en-US"/>
              </w:rPr>
            </w:pPr>
            <w:r w:rsidRPr="00264D5D">
              <w:rPr>
                <w:szCs w:val="22"/>
                <w:lang w:val="en-US"/>
              </w:rPr>
              <w:t>Т(</w:t>
            </w:r>
            <w:r w:rsidRPr="00264D5D">
              <w:rPr>
                <w:szCs w:val="22"/>
              </w:rPr>
              <w:t>20</w:t>
            </w:r>
            <w:r w:rsidRPr="00264D5D">
              <w:rPr>
                <w:szCs w:val="22"/>
                <w:lang w:val="en-US"/>
              </w:rPr>
              <w:t>)</w:t>
            </w:r>
          </w:p>
        </w:tc>
        <w:tc>
          <w:tcPr>
            <w:tcW w:w="567" w:type="dxa"/>
          </w:tcPr>
          <w:p w14:paraId="25FF4F32" w14:textId="77777777" w:rsidR="00AD1F54" w:rsidRPr="00264D5D" w:rsidRDefault="00941227">
            <w:pPr>
              <w:pStyle w:val="GOSTTablenorm"/>
              <w:jc w:val="center"/>
              <w:rPr>
                <w:szCs w:val="22"/>
              </w:rPr>
            </w:pPr>
            <w:r w:rsidRPr="00264D5D">
              <w:rPr>
                <w:szCs w:val="22"/>
              </w:rPr>
              <w:t>Н</w:t>
            </w:r>
          </w:p>
        </w:tc>
        <w:tc>
          <w:tcPr>
            <w:tcW w:w="3963" w:type="dxa"/>
            <w:noWrap/>
          </w:tcPr>
          <w:p w14:paraId="4E8DFFB0" w14:textId="77777777" w:rsidR="00AD1F54" w:rsidRPr="00264D5D" w:rsidRDefault="00941227">
            <w:pPr>
              <w:spacing w:before="60" w:after="60"/>
              <w:rPr>
                <w:sz w:val="22"/>
                <w:szCs w:val="22"/>
              </w:rPr>
            </w:pPr>
            <w:r w:rsidRPr="00264D5D">
              <w:rPr>
                <w:sz w:val="22"/>
                <w:szCs w:val="22"/>
              </w:rPr>
              <w:t>Указывается:</w:t>
            </w:r>
          </w:p>
          <w:p w14:paraId="3896EA90" w14:textId="77777777" w:rsidR="00AD1F54" w:rsidRPr="00264D5D" w:rsidRDefault="00941227" w:rsidP="00E7460C">
            <w:pPr>
              <w:pStyle w:val="af5"/>
              <w:numPr>
                <w:ilvl w:val="0"/>
                <w:numId w:val="86"/>
              </w:numPr>
              <w:spacing w:before="60" w:after="60"/>
              <w:ind w:left="284" w:hanging="227"/>
              <w:contextualSpacing/>
              <w:jc w:val="both"/>
              <w:rPr>
                <w:sz w:val="22"/>
                <w:szCs w:val="22"/>
              </w:rPr>
            </w:pPr>
            <w:r w:rsidRPr="00264D5D">
              <w:rPr>
                <w:sz w:val="22"/>
                <w:szCs w:val="22"/>
              </w:rPr>
              <w:t>корсчет ТОФК, в котором обслуживается получатель денежных средств;</w:t>
            </w:r>
          </w:p>
          <w:p w14:paraId="10B1782C" w14:textId="77777777" w:rsidR="00AD1F54" w:rsidRPr="00264D5D" w:rsidRDefault="00941227" w:rsidP="00E7460C">
            <w:pPr>
              <w:pStyle w:val="af5"/>
              <w:numPr>
                <w:ilvl w:val="0"/>
                <w:numId w:val="86"/>
              </w:numPr>
              <w:spacing w:before="60" w:after="60"/>
              <w:ind w:left="284" w:hanging="227"/>
              <w:contextualSpacing/>
              <w:jc w:val="both"/>
              <w:rPr>
                <w:sz w:val="22"/>
                <w:szCs w:val="22"/>
              </w:rPr>
            </w:pPr>
            <w:r w:rsidRPr="00264D5D">
              <w:rPr>
                <w:sz w:val="22"/>
                <w:szCs w:val="22"/>
              </w:rPr>
              <w:t>корсчет банка контрагента, в иных случаях, если банк к</w:t>
            </w:r>
            <w:r w:rsidR="004A5918" w:rsidRPr="00264D5D">
              <w:rPr>
                <w:sz w:val="22"/>
                <w:szCs w:val="22"/>
              </w:rPr>
              <w:t>онтрагента не является ГРКЦ/РКЦ</w:t>
            </w:r>
          </w:p>
        </w:tc>
      </w:tr>
    </w:tbl>
    <w:p w14:paraId="7879A8CB" w14:textId="77777777" w:rsidR="00AD1F54" w:rsidRPr="00264D5D" w:rsidRDefault="00941227">
      <w:pPr>
        <w:pStyle w:val="31"/>
      </w:pPr>
      <w:r w:rsidRPr="00264D5D">
        <w:t xml:space="preserve"> </w:t>
      </w:r>
      <w:bookmarkStart w:id="1066" w:name="_Toc219309548"/>
      <w:r w:rsidRPr="00264D5D">
        <w:t>Описание комплексного типа «tMSC_DcBs4»</w:t>
      </w:r>
      <w:bookmarkEnd w:id="1066"/>
    </w:p>
    <w:p w14:paraId="6E4D6A0E" w14:textId="77777777" w:rsidR="00AD1F54" w:rsidRPr="00264D5D" w:rsidRDefault="00941227">
      <w:pPr>
        <w:pStyle w:val="GOSTNormal"/>
      </w:pPr>
      <w:r w:rsidRPr="00264D5D">
        <w:t>Описание комплексного типа «tMSC_DcBs4» блока «Документ-основание».</w:t>
      </w:r>
    </w:p>
    <w:p w14:paraId="2AEA9419" w14:textId="664BF96E"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SEQ Таблица \* ARABIC</w:instrText>
      </w:r>
      <w:r w:rsidRPr="00264D5D">
        <w:rPr>
          <w:rFonts w:eastAsia="Calibri"/>
          <w:szCs w:val="24"/>
        </w:rPr>
        <w:fldChar w:fldCharType="separate"/>
      </w:r>
      <w:bookmarkStart w:id="1067" w:name="_Ref52174350"/>
      <w:bookmarkStart w:id="1068" w:name="_Toc219309136"/>
      <w:r w:rsidR="008D797C">
        <w:rPr>
          <w:rFonts w:eastAsia="Calibri"/>
          <w:noProof/>
          <w:szCs w:val="24"/>
        </w:rPr>
        <w:t>106</w:t>
      </w:r>
      <w:bookmarkEnd w:id="1067"/>
      <w:r w:rsidRPr="00264D5D">
        <w:rPr>
          <w:rFonts w:eastAsia="Calibri"/>
          <w:szCs w:val="24"/>
        </w:rPr>
        <w:fldChar w:fldCharType="end"/>
      </w:r>
      <w:r w:rsidRPr="00264D5D">
        <w:rPr>
          <w:rFonts w:eastAsia="Calibri"/>
          <w:szCs w:val="24"/>
        </w:rPr>
        <w:t xml:space="preserve"> – Описание комплексного типа «tMSC_DcBs4»</w:t>
      </w:r>
      <w:bookmarkEnd w:id="1068"/>
    </w:p>
    <w:tbl>
      <w:tblPr>
        <w:tblStyle w:val="GOSTTable"/>
        <w:tblW w:w="5000" w:type="pct"/>
        <w:tblLayout w:type="fixed"/>
        <w:tblLook w:val="01E0" w:firstRow="1" w:lastRow="1" w:firstColumn="1" w:lastColumn="1" w:noHBand="0" w:noVBand="0"/>
      </w:tblPr>
      <w:tblGrid>
        <w:gridCol w:w="1704"/>
        <w:gridCol w:w="1704"/>
        <w:gridCol w:w="568"/>
        <w:gridCol w:w="1136"/>
        <w:gridCol w:w="568"/>
        <w:gridCol w:w="3970"/>
      </w:tblGrid>
      <w:tr w:rsidR="00AD1F54" w:rsidRPr="00264D5D" w14:paraId="194EA804"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0440440D" w14:textId="77777777" w:rsidR="00AD1F54" w:rsidRPr="00264D5D" w:rsidRDefault="00941227">
            <w:pPr>
              <w:pStyle w:val="ASFKTableHead"/>
            </w:pPr>
            <w:r w:rsidRPr="00264D5D">
              <w:t>Наименование элемента</w:t>
            </w:r>
          </w:p>
        </w:tc>
        <w:tc>
          <w:tcPr>
            <w:tcW w:w="1701" w:type="dxa"/>
          </w:tcPr>
          <w:p w14:paraId="307F4658" w14:textId="77777777" w:rsidR="00AD1F54" w:rsidRPr="00264D5D" w:rsidRDefault="00941227">
            <w:pPr>
              <w:pStyle w:val="ASFKTableHead"/>
            </w:pPr>
            <w:r w:rsidRPr="00264D5D">
              <w:t>Сокращенное наименование (код) элемента</w:t>
            </w:r>
          </w:p>
        </w:tc>
        <w:tc>
          <w:tcPr>
            <w:tcW w:w="567" w:type="dxa"/>
          </w:tcPr>
          <w:p w14:paraId="1DBA6A79" w14:textId="77777777" w:rsidR="00AD1F54" w:rsidRPr="00264D5D" w:rsidRDefault="00941227">
            <w:pPr>
              <w:pStyle w:val="ASFKTableHead"/>
            </w:pPr>
            <w:r w:rsidRPr="00264D5D">
              <w:t>Тип</w:t>
            </w:r>
          </w:p>
        </w:tc>
        <w:tc>
          <w:tcPr>
            <w:tcW w:w="1134" w:type="dxa"/>
          </w:tcPr>
          <w:p w14:paraId="139368E5" w14:textId="77777777" w:rsidR="00AD1F54" w:rsidRPr="00264D5D" w:rsidRDefault="00941227">
            <w:pPr>
              <w:pStyle w:val="ASFKTableHead"/>
            </w:pPr>
            <w:r w:rsidRPr="00264D5D">
              <w:t>Формат элемента</w:t>
            </w:r>
          </w:p>
        </w:tc>
        <w:tc>
          <w:tcPr>
            <w:tcW w:w="567" w:type="dxa"/>
          </w:tcPr>
          <w:p w14:paraId="192BD0DE" w14:textId="77777777" w:rsidR="00AD1F54" w:rsidRPr="00264D5D" w:rsidRDefault="00941227">
            <w:pPr>
              <w:pStyle w:val="ASFKTableHead"/>
            </w:pPr>
            <w:r w:rsidRPr="00264D5D">
              <w:t>Обязательность</w:t>
            </w:r>
          </w:p>
        </w:tc>
        <w:tc>
          <w:tcPr>
            <w:tcW w:w="3963" w:type="dxa"/>
          </w:tcPr>
          <w:p w14:paraId="40F8868D" w14:textId="77777777" w:rsidR="00AD1F54" w:rsidRPr="00264D5D" w:rsidRDefault="00941227">
            <w:pPr>
              <w:pStyle w:val="ASFKTableHead"/>
            </w:pPr>
            <w:r w:rsidRPr="00264D5D">
              <w:t>Дополнительная информация</w:t>
            </w:r>
          </w:p>
        </w:tc>
      </w:tr>
      <w:tr w:rsidR="00AD1F54" w:rsidRPr="00264D5D" w14:paraId="64657EF1" w14:textId="77777777" w:rsidTr="00AD1F54">
        <w:trPr>
          <w:cnfStyle w:val="000000100000" w:firstRow="0" w:lastRow="0" w:firstColumn="0" w:lastColumn="0" w:oddVBand="0" w:evenVBand="0" w:oddHBand="1" w:evenHBand="0" w:firstRowFirstColumn="0" w:firstRowLastColumn="0" w:lastRowFirstColumn="0" w:lastRowLastColumn="0"/>
          <w:trHeight w:val="300"/>
        </w:trPr>
        <w:tc>
          <w:tcPr>
            <w:tcW w:w="1701" w:type="dxa"/>
            <w:noWrap/>
          </w:tcPr>
          <w:p w14:paraId="79905E4B" w14:textId="77777777" w:rsidR="00AD1F54" w:rsidRPr="00264D5D" w:rsidRDefault="00941227">
            <w:pPr>
              <w:pStyle w:val="GOSTTablenorm"/>
              <w:rPr>
                <w:szCs w:val="22"/>
              </w:rPr>
            </w:pPr>
            <w:r w:rsidRPr="00264D5D">
              <w:rPr>
                <w:szCs w:val="22"/>
              </w:rPr>
              <w:t>Номер документа-основания</w:t>
            </w:r>
          </w:p>
        </w:tc>
        <w:tc>
          <w:tcPr>
            <w:tcW w:w="1701" w:type="dxa"/>
            <w:noWrap/>
          </w:tcPr>
          <w:p w14:paraId="327E4FF8" w14:textId="77777777" w:rsidR="00AD1F54" w:rsidRPr="00264D5D" w:rsidRDefault="00941227">
            <w:pPr>
              <w:pStyle w:val="GOSTTablenorm"/>
              <w:rPr>
                <w:szCs w:val="22"/>
              </w:rPr>
            </w:pPr>
            <w:r w:rsidRPr="00264D5D">
              <w:rPr>
                <w:szCs w:val="22"/>
              </w:rPr>
              <w:t>DcNmbr</w:t>
            </w:r>
          </w:p>
        </w:tc>
        <w:tc>
          <w:tcPr>
            <w:tcW w:w="567" w:type="dxa"/>
            <w:noWrap/>
          </w:tcPr>
          <w:p w14:paraId="32CEA626" w14:textId="77777777" w:rsidR="00AD1F54" w:rsidRPr="00264D5D" w:rsidRDefault="00941227">
            <w:pPr>
              <w:pStyle w:val="GOSTTablenorm"/>
              <w:jc w:val="center"/>
              <w:rPr>
                <w:szCs w:val="22"/>
              </w:rPr>
            </w:pPr>
            <w:r w:rsidRPr="00264D5D">
              <w:rPr>
                <w:szCs w:val="22"/>
              </w:rPr>
              <w:t>П</w:t>
            </w:r>
          </w:p>
        </w:tc>
        <w:tc>
          <w:tcPr>
            <w:tcW w:w="1134" w:type="dxa"/>
            <w:noWrap/>
          </w:tcPr>
          <w:p w14:paraId="3CC8DD77" w14:textId="77777777" w:rsidR="00AD1F54" w:rsidRPr="00264D5D" w:rsidRDefault="00941227">
            <w:pPr>
              <w:pStyle w:val="GOSTTablenorm"/>
              <w:rPr>
                <w:szCs w:val="22"/>
                <w:lang w:val="en-US"/>
              </w:rPr>
            </w:pPr>
            <w:r w:rsidRPr="00264D5D">
              <w:rPr>
                <w:szCs w:val="22"/>
                <w:lang w:val="en-US"/>
              </w:rPr>
              <w:t>Т(1-</w:t>
            </w:r>
            <w:r w:rsidRPr="00264D5D">
              <w:rPr>
                <w:szCs w:val="22"/>
              </w:rPr>
              <w:t>15</w:t>
            </w:r>
            <w:r w:rsidRPr="00264D5D">
              <w:rPr>
                <w:szCs w:val="22"/>
                <w:lang w:val="en-US"/>
              </w:rPr>
              <w:t>)</w:t>
            </w:r>
          </w:p>
        </w:tc>
        <w:tc>
          <w:tcPr>
            <w:tcW w:w="567" w:type="dxa"/>
          </w:tcPr>
          <w:p w14:paraId="00E4FA06" w14:textId="77777777" w:rsidR="00AD1F54" w:rsidRPr="00264D5D" w:rsidRDefault="00941227">
            <w:pPr>
              <w:pStyle w:val="GOSTTablenorm"/>
              <w:jc w:val="center"/>
              <w:rPr>
                <w:szCs w:val="22"/>
              </w:rPr>
            </w:pPr>
            <w:r w:rsidRPr="00264D5D">
              <w:rPr>
                <w:szCs w:val="22"/>
              </w:rPr>
              <w:t>Н</w:t>
            </w:r>
          </w:p>
        </w:tc>
        <w:tc>
          <w:tcPr>
            <w:tcW w:w="3963" w:type="dxa"/>
            <w:noWrap/>
          </w:tcPr>
          <w:p w14:paraId="6B5858D9" w14:textId="77777777" w:rsidR="00AD1F54" w:rsidRPr="00264D5D" w:rsidRDefault="00941227">
            <w:pPr>
              <w:pStyle w:val="GOSTTablenorm"/>
            </w:pPr>
            <w:r w:rsidRPr="00264D5D">
              <w:t>Указывается номер документа-основания.</w:t>
            </w:r>
          </w:p>
          <w:p w14:paraId="37555E2A" w14:textId="77777777" w:rsidR="00AD1F54" w:rsidRPr="00264D5D" w:rsidRDefault="00941227">
            <w:pPr>
              <w:pStyle w:val="GOSTTablenorm"/>
            </w:pPr>
            <w:r w:rsidRPr="00264D5D">
              <w:t>При невозможности указать конкретное значение показателя указывается ноль «0».</w:t>
            </w:r>
          </w:p>
          <w:p w14:paraId="610A54D6" w14:textId="77777777" w:rsidR="00AD1F54" w:rsidRPr="00264D5D" w:rsidRDefault="00941227">
            <w:pPr>
              <w:pStyle w:val="GOSTTablenorm"/>
              <w:rPr>
                <w:szCs w:val="22"/>
              </w:rPr>
            </w:pPr>
            <w:r w:rsidRPr="00264D5D">
              <w:t xml:space="preserve">Обязательно для заполнения, если заполнено </w:t>
            </w:r>
            <w:r w:rsidR="004A5918" w:rsidRPr="00264D5D">
              <w:t>поле «Статус налогоплательщика»</w:t>
            </w:r>
          </w:p>
        </w:tc>
      </w:tr>
      <w:tr w:rsidR="00AD1F54" w:rsidRPr="00264D5D" w14:paraId="2EA99B90" w14:textId="77777777" w:rsidTr="00AD1F54">
        <w:trPr>
          <w:cnfStyle w:val="000000010000" w:firstRow="0" w:lastRow="0" w:firstColumn="0" w:lastColumn="0" w:oddVBand="0" w:evenVBand="0" w:oddHBand="0" w:evenHBand="1" w:firstRowFirstColumn="0" w:firstRowLastColumn="0" w:lastRowFirstColumn="0" w:lastRowLastColumn="0"/>
          <w:trHeight w:val="300"/>
        </w:trPr>
        <w:tc>
          <w:tcPr>
            <w:tcW w:w="1701" w:type="dxa"/>
            <w:noWrap/>
          </w:tcPr>
          <w:p w14:paraId="24C3BE4A" w14:textId="77777777" w:rsidR="00AD1F54" w:rsidRPr="00264D5D" w:rsidRDefault="00941227">
            <w:pPr>
              <w:pStyle w:val="GOSTTablenorm"/>
              <w:rPr>
                <w:szCs w:val="22"/>
              </w:rPr>
            </w:pPr>
            <w:r w:rsidRPr="00264D5D">
              <w:rPr>
                <w:szCs w:val="22"/>
              </w:rPr>
              <w:t>Дата документа-основания</w:t>
            </w:r>
          </w:p>
        </w:tc>
        <w:tc>
          <w:tcPr>
            <w:tcW w:w="1701" w:type="dxa"/>
            <w:noWrap/>
          </w:tcPr>
          <w:p w14:paraId="0467F574" w14:textId="77777777" w:rsidR="00AD1F54" w:rsidRPr="00264D5D" w:rsidRDefault="00941227">
            <w:pPr>
              <w:pStyle w:val="GOSTTablenorm"/>
              <w:rPr>
                <w:szCs w:val="22"/>
              </w:rPr>
            </w:pPr>
            <w:r w:rsidRPr="00264D5D">
              <w:rPr>
                <w:szCs w:val="22"/>
              </w:rPr>
              <w:t>DctDt</w:t>
            </w:r>
          </w:p>
        </w:tc>
        <w:tc>
          <w:tcPr>
            <w:tcW w:w="567" w:type="dxa"/>
            <w:noWrap/>
          </w:tcPr>
          <w:p w14:paraId="23400B14" w14:textId="77777777" w:rsidR="00AD1F54" w:rsidRPr="00264D5D" w:rsidRDefault="00941227">
            <w:pPr>
              <w:pStyle w:val="GOSTTablenorm"/>
              <w:jc w:val="center"/>
              <w:rPr>
                <w:szCs w:val="22"/>
              </w:rPr>
            </w:pPr>
            <w:r w:rsidRPr="00264D5D">
              <w:rPr>
                <w:szCs w:val="22"/>
              </w:rPr>
              <w:t>П</w:t>
            </w:r>
          </w:p>
        </w:tc>
        <w:tc>
          <w:tcPr>
            <w:tcW w:w="1134" w:type="dxa"/>
            <w:noWrap/>
          </w:tcPr>
          <w:p w14:paraId="6AF5D0FC" w14:textId="77777777" w:rsidR="00AD1F54" w:rsidRPr="00264D5D" w:rsidRDefault="00941227">
            <w:pPr>
              <w:pStyle w:val="GOSTTablenorm"/>
              <w:rPr>
                <w:szCs w:val="22"/>
                <w:lang w:val="en-US"/>
              </w:rPr>
            </w:pPr>
            <w:r w:rsidRPr="00264D5D">
              <w:rPr>
                <w:szCs w:val="22"/>
                <w:lang w:val="en-US"/>
              </w:rPr>
              <w:t>Т(1-</w:t>
            </w:r>
            <w:r w:rsidRPr="00264D5D">
              <w:rPr>
                <w:szCs w:val="22"/>
              </w:rPr>
              <w:t>10</w:t>
            </w:r>
            <w:r w:rsidRPr="00264D5D">
              <w:rPr>
                <w:szCs w:val="22"/>
                <w:lang w:val="en-US"/>
              </w:rPr>
              <w:t>)</w:t>
            </w:r>
          </w:p>
        </w:tc>
        <w:tc>
          <w:tcPr>
            <w:tcW w:w="567" w:type="dxa"/>
          </w:tcPr>
          <w:p w14:paraId="735F41C3" w14:textId="77777777" w:rsidR="00AD1F54" w:rsidRPr="00264D5D" w:rsidRDefault="00941227">
            <w:pPr>
              <w:pStyle w:val="GOSTTablenorm"/>
              <w:jc w:val="center"/>
              <w:rPr>
                <w:szCs w:val="22"/>
              </w:rPr>
            </w:pPr>
            <w:r w:rsidRPr="00264D5D">
              <w:rPr>
                <w:szCs w:val="22"/>
              </w:rPr>
              <w:t>Н</w:t>
            </w:r>
          </w:p>
        </w:tc>
        <w:tc>
          <w:tcPr>
            <w:tcW w:w="3963" w:type="dxa"/>
            <w:noWrap/>
          </w:tcPr>
          <w:p w14:paraId="286ADD89" w14:textId="77777777" w:rsidR="00AD1F54" w:rsidRPr="00264D5D" w:rsidRDefault="00941227">
            <w:pPr>
              <w:pStyle w:val="GOSTTablenorm"/>
              <w:rPr>
                <w:szCs w:val="22"/>
              </w:rPr>
            </w:pPr>
            <w:r w:rsidRPr="00264D5D">
              <w:rPr>
                <w:szCs w:val="22"/>
              </w:rPr>
              <w:t>Указывается дата документа-основания.</w:t>
            </w:r>
          </w:p>
          <w:p w14:paraId="26C1A8D0" w14:textId="77777777" w:rsidR="004A5918" w:rsidRPr="00264D5D" w:rsidRDefault="00941227">
            <w:pPr>
              <w:pStyle w:val="GOSTTablenorm"/>
              <w:rPr>
                <w:szCs w:val="22"/>
              </w:rPr>
            </w:pPr>
            <w:r w:rsidRPr="00264D5D">
              <w:rPr>
                <w:szCs w:val="22"/>
              </w:rPr>
              <w:t xml:space="preserve">Поле обязательно для заполнения, если заполнено поле «Статус налогоплательщика». </w:t>
            </w:r>
          </w:p>
          <w:p w14:paraId="6E75F772" w14:textId="77777777" w:rsidR="00AD1F54" w:rsidRPr="00264D5D" w:rsidRDefault="00941227">
            <w:pPr>
              <w:pStyle w:val="GOSTTablenorm"/>
              <w:rPr>
                <w:szCs w:val="22"/>
              </w:rPr>
            </w:pPr>
            <w:r w:rsidRPr="00264D5D">
              <w:rPr>
                <w:szCs w:val="22"/>
              </w:rPr>
              <w:t>При этом поле может принимать значение:</w:t>
            </w:r>
          </w:p>
          <w:p w14:paraId="3EA2BFFC" w14:textId="77777777" w:rsidR="00AD1F54" w:rsidRPr="00264D5D" w:rsidRDefault="00941227" w:rsidP="00101F62">
            <w:pPr>
              <w:pStyle w:val="GOSTTablenorm"/>
              <w:numPr>
                <w:ilvl w:val="0"/>
                <w:numId w:val="139"/>
              </w:numPr>
              <w:ind w:left="284" w:hanging="227"/>
              <w:rPr>
                <w:szCs w:val="22"/>
              </w:rPr>
            </w:pPr>
            <w:r w:rsidRPr="00264D5D">
              <w:rPr>
                <w:szCs w:val="22"/>
              </w:rPr>
              <w:t>состоящее из 1 знака, принимающего значение ноль («0»);</w:t>
            </w:r>
          </w:p>
          <w:p w14:paraId="04ABEBDC" w14:textId="77777777" w:rsidR="00AD1F54" w:rsidRPr="00264D5D" w:rsidRDefault="00941227" w:rsidP="00101F62">
            <w:pPr>
              <w:pStyle w:val="GOSTTablenorm"/>
              <w:numPr>
                <w:ilvl w:val="0"/>
                <w:numId w:val="139"/>
              </w:numPr>
              <w:ind w:left="284" w:hanging="227"/>
              <w:rPr>
                <w:szCs w:val="22"/>
              </w:rPr>
            </w:pPr>
            <w:r w:rsidRPr="00264D5D">
              <w:rPr>
                <w:szCs w:val="22"/>
              </w:rPr>
              <w:t>состоящее из 2 знаков, принимающих одновременно значение ноль («00»);</w:t>
            </w:r>
          </w:p>
          <w:p w14:paraId="52840B12" w14:textId="77777777" w:rsidR="00AD1F54" w:rsidRPr="00264D5D" w:rsidRDefault="00941227" w:rsidP="00101F62">
            <w:pPr>
              <w:pStyle w:val="GOSTTablenorm"/>
              <w:numPr>
                <w:ilvl w:val="0"/>
                <w:numId w:val="139"/>
              </w:numPr>
              <w:ind w:left="284" w:hanging="227"/>
              <w:rPr>
                <w:szCs w:val="22"/>
              </w:rPr>
            </w:pPr>
            <w:r w:rsidRPr="00264D5D">
              <w:rPr>
                <w:szCs w:val="22"/>
              </w:rPr>
              <w:t>состоящее из 10 знаков, при этом все знаки одновременно не могут</w:t>
            </w:r>
            <w:r w:rsidR="004A5918" w:rsidRPr="00264D5D">
              <w:rPr>
                <w:szCs w:val="22"/>
              </w:rPr>
              <w:t xml:space="preserve"> </w:t>
            </w:r>
            <w:r w:rsidR="004A5918" w:rsidRPr="00264D5D">
              <w:rPr>
                <w:szCs w:val="22"/>
              </w:rPr>
              <w:lastRenderedPageBreak/>
              <w:t>принимать значение ноль («0»)</w:t>
            </w:r>
          </w:p>
        </w:tc>
      </w:tr>
    </w:tbl>
    <w:p w14:paraId="3BC1BDFA" w14:textId="77777777" w:rsidR="00AD1F54" w:rsidRPr="00264D5D" w:rsidRDefault="00941227">
      <w:pPr>
        <w:pStyle w:val="31"/>
      </w:pPr>
      <w:r w:rsidRPr="00264D5D">
        <w:lastRenderedPageBreak/>
        <w:t xml:space="preserve"> </w:t>
      </w:r>
      <w:bookmarkStart w:id="1069" w:name="_Toc219309549"/>
      <w:r w:rsidRPr="00264D5D">
        <w:t>Описание комплексного типа «tMSC_Pmnt2»</w:t>
      </w:r>
      <w:bookmarkEnd w:id="1069"/>
    </w:p>
    <w:p w14:paraId="12A1F16C" w14:textId="77777777" w:rsidR="00AD1F54" w:rsidRPr="00264D5D" w:rsidRDefault="00941227">
      <w:pPr>
        <w:pStyle w:val="ASFKNormal"/>
        <w:jc w:val="both"/>
        <w:rPr>
          <w:rStyle w:val="GOSTNormal0"/>
        </w:rPr>
      </w:pPr>
      <w:r w:rsidRPr="00264D5D">
        <w:rPr>
          <w:rStyle w:val="GOSTNormal0"/>
        </w:rPr>
        <w:t xml:space="preserve">Описание </w:t>
      </w:r>
      <w:r w:rsidRPr="00264D5D">
        <w:rPr>
          <w:rStyle w:val="GOSTNormal0"/>
          <w:szCs w:val="24"/>
        </w:rPr>
        <w:t>комплексного типа «tMSC_Pmnt2» блока «Информация о платеже (для раздела 2)».</w:t>
      </w:r>
      <w:r w:rsidRPr="00264D5D">
        <w:rPr>
          <w:rStyle w:val="GOSTNormal0"/>
        </w:rPr>
        <w:t xml:space="preserve"> </w:t>
      </w:r>
    </w:p>
    <w:p w14:paraId="69B7684A" w14:textId="0FD2DCE4"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1070" w:name="_Ref52174358"/>
      <w:bookmarkStart w:id="1071" w:name="_Toc219309137"/>
      <w:r w:rsidR="008D797C">
        <w:rPr>
          <w:rFonts w:eastAsia="Calibri"/>
          <w:noProof/>
          <w:szCs w:val="24"/>
        </w:rPr>
        <w:t>107</w:t>
      </w:r>
      <w:bookmarkEnd w:id="1070"/>
      <w:r w:rsidRPr="00264D5D">
        <w:rPr>
          <w:rFonts w:eastAsia="Calibri"/>
          <w:szCs w:val="24"/>
        </w:rPr>
        <w:fldChar w:fldCharType="end"/>
      </w:r>
      <w:r w:rsidRPr="00264D5D">
        <w:rPr>
          <w:rFonts w:eastAsia="Calibri"/>
          <w:szCs w:val="24"/>
        </w:rPr>
        <w:t xml:space="preserve"> – Описание комплексного типа «tMSC_Pmnt2»</w:t>
      </w:r>
      <w:bookmarkEnd w:id="1071"/>
    </w:p>
    <w:tbl>
      <w:tblPr>
        <w:tblStyle w:val="GOSTTable"/>
        <w:tblW w:w="5000" w:type="pct"/>
        <w:tblLayout w:type="fixed"/>
        <w:tblLook w:val="04A0" w:firstRow="1" w:lastRow="0" w:firstColumn="1" w:lastColumn="0" w:noHBand="0" w:noVBand="1"/>
      </w:tblPr>
      <w:tblGrid>
        <w:gridCol w:w="1705"/>
        <w:gridCol w:w="1704"/>
        <w:gridCol w:w="567"/>
        <w:gridCol w:w="1137"/>
        <w:gridCol w:w="567"/>
        <w:gridCol w:w="3970"/>
      </w:tblGrid>
      <w:tr w:rsidR="00AD1F54" w:rsidRPr="00264D5D" w14:paraId="1B65A1F3"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3" w:type="pct"/>
          </w:tcPr>
          <w:p w14:paraId="3C28D798" w14:textId="77777777" w:rsidR="00AD1F54" w:rsidRPr="00264D5D" w:rsidRDefault="00941227">
            <w:pPr>
              <w:pStyle w:val="ASFKTableHead"/>
            </w:pPr>
            <w:r w:rsidRPr="00264D5D">
              <w:t>Наименование элемента</w:t>
            </w:r>
          </w:p>
        </w:tc>
        <w:tc>
          <w:tcPr>
            <w:tcW w:w="883" w:type="pct"/>
          </w:tcPr>
          <w:p w14:paraId="05E3AD9A" w14:textId="77777777" w:rsidR="00AD1F54" w:rsidRPr="00264D5D" w:rsidRDefault="00941227">
            <w:pPr>
              <w:pStyle w:val="ASFKTableHead"/>
            </w:pPr>
            <w:r w:rsidRPr="00264D5D">
              <w:t>Сокращенное наименование (код) элемента</w:t>
            </w:r>
          </w:p>
        </w:tc>
        <w:tc>
          <w:tcPr>
            <w:tcW w:w="294" w:type="pct"/>
          </w:tcPr>
          <w:p w14:paraId="0A879616" w14:textId="77777777" w:rsidR="00AD1F54" w:rsidRPr="00264D5D" w:rsidRDefault="00941227">
            <w:pPr>
              <w:pStyle w:val="ASFKTableHead"/>
            </w:pPr>
            <w:r w:rsidRPr="00264D5D">
              <w:t>Тип</w:t>
            </w:r>
          </w:p>
        </w:tc>
        <w:tc>
          <w:tcPr>
            <w:tcW w:w="589" w:type="pct"/>
          </w:tcPr>
          <w:p w14:paraId="0E9572C2" w14:textId="77777777" w:rsidR="00AD1F54" w:rsidRPr="00264D5D" w:rsidRDefault="00941227">
            <w:pPr>
              <w:pStyle w:val="ASFKTableHead"/>
            </w:pPr>
            <w:r w:rsidRPr="00264D5D">
              <w:t>Формат элемента</w:t>
            </w:r>
          </w:p>
        </w:tc>
        <w:tc>
          <w:tcPr>
            <w:tcW w:w="294" w:type="pct"/>
          </w:tcPr>
          <w:p w14:paraId="166028C3" w14:textId="77777777" w:rsidR="00AD1F54" w:rsidRPr="00264D5D" w:rsidRDefault="00941227">
            <w:pPr>
              <w:pStyle w:val="ASFKTableHead"/>
            </w:pPr>
            <w:r w:rsidRPr="00264D5D">
              <w:t>Обязательность</w:t>
            </w:r>
          </w:p>
        </w:tc>
        <w:tc>
          <w:tcPr>
            <w:tcW w:w="2058" w:type="pct"/>
          </w:tcPr>
          <w:p w14:paraId="020881BB" w14:textId="77777777" w:rsidR="00AD1F54" w:rsidRPr="00264D5D" w:rsidRDefault="00941227">
            <w:pPr>
              <w:pStyle w:val="ASFKTableHead"/>
            </w:pPr>
            <w:r w:rsidRPr="00264D5D">
              <w:t>Дополнительная информация</w:t>
            </w:r>
          </w:p>
        </w:tc>
      </w:tr>
      <w:tr w:rsidR="00AD1F54" w:rsidRPr="00264D5D" w14:paraId="64B5C188"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2502B7E8" w14:textId="77777777" w:rsidR="00AD1F54" w:rsidRPr="00264D5D" w:rsidRDefault="00941227">
            <w:pPr>
              <w:pStyle w:val="GOSTTablenorm"/>
              <w:widowControl w:val="0"/>
              <w:rPr>
                <w:szCs w:val="22"/>
              </w:rPr>
            </w:pPr>
            <w:r w:rsidRPr="00264D5D">
              <w:rPr>
                <w:szCs w:val="22"/>
              </w:rPr>
              <w:t>Назначение платежа</w:t>
            </w:r>
          </w:p>
        </w:tc>
        <w:tc>
          <w:tcPr>
            <w:tcW w:w="883" w:type="pct"/>
          </w:tcPr>
          <w:p w14:paraId="7455F47A" w14:textId="77777777" w:rsidR="00AD1F54" w:rsidRPr="00264D5D" w:rsidRDefault="00941227">
            <w:pPr>
              <w:pStyle w:val="GOSTTablenorm"/>
              <w:widowControl w:val="0"/>
              <w:rPr>
                <w:szCs w:val="22"/>
              </w:rPr>
            </w:pPr>
            <w:r w:rsidRPr="00264D5D">
              <w:rPr>
                <w:szCs w:val="22"/>
              </w:rPr>
              <w:t>Prps</w:t>
            </w:r>
          </w:p>
        </w:tc>
        <w:tc>
          <w:tcPr>
            <w:tcW w:w="294" w:type="pct"/>
          </w:tcPr>
          <w:p w14:paraId="2090EB2D" w14:textId="77777777" w:rsidR="00AD1F54" w:rsidRPr="00264D5D" w:rsidRDefault="00941227">
            <w:pPr>
              <w:pStyle w:val="GOSTTablenorm"/>
              <w:widowControl w:val="0"/>
              <w:jc w:val="center"/>
              <w:rPr>
                <w:szCs w:val="22"/>
              </w:rPr>
            </w:pPr>
            <w:r w:rsidRPr="00264D5D">
              <w:rPr>
                <w:szCs w:val="22"/>
              </w:rPr>
              <w:t>П</w:t>
            </w:r>
          </w:p>
        </w:tc>
        <w:tc>
          <w:tcPr>
            <w:tcW w:w="589" w:type="pct"/>
          </w:tcPr>
          <w:p w14:paraId="729AE4C0" w14:textId="77777777" w:rsidR="00AD1F54" w:rsidRPr="00264D5D" w:rsidRDefault="00941227">
            <w:pPr>
              <w:pStyle w:val="GOSTTablenorm"/>
              <w:widowControl w:val="0"/>
              <w:rPr>
                <w:szCs w:val="22"/>
                <w:lang w:val="en-US"/>
              </w:rPr>
            </w:pPr>
            <w:r w:rsidRPr="00264D5D">
              <w:rPr>
                <w:szCs w:val="22"/>
                <w:lang w:val="en-US"/>
              </w:rPr>
              <w:t>Т(1-</w:t>
            </w:r>
            <w:r w:rsidRPr="00264D5D">
              <w:rPr>
                <w:szCs w:val="22"/>
              </w:rPr>
              <w:t>210</w:t>
            </w:r>
            <w:r w:rsidRPr="00264D5D">
              <w:rPr>
                <w:szCs w:val="22"/>
                <w:lang w:val="en-US"/>
              </w:rPr>
              <w:t>)</w:t>
            </w:r>
          </w:p>
        </w:tc>
        <w:tc>
          <w:tcPr>
            <w:tcW w:w="294" w:type="pct"/>
          </w:tcPr>
          <w:p w14:paraId="3B469DED" w14:textId="77777777" w:rsidR="00AD1F54" w:rsidRPr="00264D5D" w:rsidRDefault="00941227">
            <w:pPr>
              <w:pStyle w:val="GOSTTablenorm"/>
              <w:widowControl w:val="0"/>
              <w:jc w:val="center"/>
              <w:rPr>
                <w:szCs w:val="22"/>
                <w:lang w:val="en-US"/>
              </w:rPr>
            </w:pPr>
            <w:r w:rsidRPr="00264D5D">
              <w:rPr>
                <w:szCs w:val="22"/>
              </w:rPr>
              <w:t>Н</w:t>
            </w:r>
          </w:p>
        </w:tc>
        <w:tc>
          <w:tcPr>
            <w:tcW w:w="2058" w:type="pct"/>
          </w:tcPr>
          <w:p w14:paraId="1F255076" w14:textId="77777777" w:rsidR="00AD1F54" w:rsidRPr="00264D5D" w:rsidRDefault="00941227">
            <w:pPr>
              <w:widowControl w:val="0"/>
              <w:spacing w:before="60" w:after="60"/>
              <w:rPr>
                <w:sz w:val="22"/>
                <w:szCs w:val="22"/>
              </w:rPr>
            </w:pPr>
            <w:r w:rsidRPr="00264D5D">
              <w:rPr>
                <w:sz w:val="22"/>
                <w:szCs w:val="22"/>
              </w:rPr>
              <w:t>Указывается назначение платежа в случае его отличия от значения, указанного в поле «Назначение платежа» (для блока «Информация о платеже (для Раздела 1)»).</w:t>
            </w:r>
          </w:p>
          <w:p w14:paraId="758C7DA7" w14:textId="77777777" w:rsidR="00AD1F54" w:rsidRPr="00264D5D" w:rsidRDefault="00941227">
            <w:pPr>
              <w:pStyle w:val="GOSTTablenorm"/>
              <w:widowControl w:val="0"/>
              <w:rPr>
                <w:szCs w:val="22"/>
              </w:rPr>
            </w:pPr>
            <w:r w:rsidRPr="00264D5D">
              <w:rPr>
                <w:szCs w:val="22"/>
              </w:rPr>
              <w:t>Может не заполняться в случае идентичности реквизиту «Назначение платежа» (для блока «Информация о платеже (для Раздела 1)»).</w:t>
            </w:r>
          </w:p>
          <w:p w14:paraId="29BD781D" w14:textId="77777777" w:rsidR="00AD1F54" w:rsidRPr="00264D5D" w:rsidRDefault="00941227">
            <w:pPr>
              <w:pStyle w:val="GOSTTablenorm"/>
              <w:widowControl w:val="0"/>
              <w:rPr>
                <w:szCs w:val="22"/>
              </w:rPr>
            </w:pPr>
            <w:r w:rsidRPr="00264D5D">
              <w:t>В документах, предусматривающих перечисление средств гражданам, которые являются должниками по исполнительному документу, указывается сумма, взысканная по исполнительному документу, в соответствии с частью 3 статьи 98 ФЗ от 02.10.2007 № 229-ФЗ и письмом Банка Рос</w:t>
            </w:r>
            <w:r w:rsidR="004A5918" w:rsidRPr="00264D5D">
              <w:t>сии от 27.02.2020 № ИН-05-45/10</w:t>
            </w:r>
          </w:p>
        </w:tc>
      </w:tr>
      <w:tr w:rsidR="00AD1F54" w:rsidRPr="00264D5D" w14:paraId="2D13B25B"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3" w:type="pct"/>
          </w:tcPr>
          <w:p w14:paraId="2BCE65CF" w14:textId="77777777" w:rsidR="00AD1F54" w:rsidRPr="00264D5D" w:rsidRDefault="00941227">
            <w:pPr>
              <w:pStyle w:val="GOSTTablenorm"/>
              <w:widowControl w:val="0"/>
              <w:rPr>
                <w:szCs w:val="22"/>
              </w:rPr>
            </w:pPr>
            <w:r w:rsidRPr="00264D5D">
              <w:rPr>
                <w:szCs w:val="22"/>
              </w:rPr>
              <w:t>Тип платежа</w:t>
            </w:r>
          </w:p>
        </w:tc>
        <w:tc>
          <w:tcPr>
            <w:tcW w:w="883" w:type="pct"/>
          </w:tcPr>
          <w:p w14:paraId="28248327" w14:textId="77777777" w:rsidR="00AD1F54" w:rsidRPr="00264D5D" w:rsidRDefault="00941227">
            <w:pPr>
              <w:pStyle w:val="GOSTTablenorm"/>
              <w:widowControl w:val="0"/>
              <w:rPr>
                <w:szCs w:val="22"/>
              </w:rPr>
            </w:pPr>
            <w:r w:rsidRPr="00264D5D">
              <w:rPr>
                <w:szCs w:val="22"/>
              </w:rPr>
              <w:t>Tp</w:t>
            </w:r>
          </w:p>
        </w:tc>
        <w:tc>
          <w:tcPr>
            <w:tcW w:w="294" w:type="pct"/>
          </w:tcPr>
          <w:p w14:paraId="1BC8378D" w14:textId="77777777" w:rsidR="00AD1F54" w:rsidRPr="00264D5D" w:rsidRDefault="00941227">
            <w:pPr>
              <w:pStyle w:val="GOSTTablenorm"/>
              <w:widowControl w:val="0"/>
              <w:jc w:val="center"/>
              <w:rPr>
                <w:szCs w:val="22"/>
              </w:rPr>
            </w:pPr>
            <w:r w:rsidRPr="00264D5D">
              <w:rPr>
                <w:szCs w:val="22"/>
              </w:rPr>
              <w:t>П</w:t>
            </w:r>
          </w:p>
        </w:tc>
        <w:tc>
          <w:tcPr>
            <w:tcW w:w="589" w:type="pct"/>
          </w:tcPr>
          <w:p w14:paraId="6B07E187" w14:textId="77777777" w:rsidR="00AD1F54" w:rsidRPr="00264D5D" w:rsidRDefault="00941227">
            <w:pPr>
              <w:pStyle w:val="GOSTTablenorm"/>
              <w:widowControl w:val="0"/>
              <w:rPr>
                <w:szCs w:val="22"/>
              </w:rPr>
            </w:pPr>
            <w:r w:rsidRPr="00264D5D">
              <w:rPr>
                <w:szCs w:val="22"/>
                <w:lang w:val="en-US"/>
              </w:rPr>
              <w:t>Т(1-</w:t>
            </w:r>
            <w:r w:rsidRPr="00264D5D">
              <w:rPr>
                <w:szCs w:val="22"/>
              </w:rPr>
              <w:t>2</w:t>
            </w:r>
            <w:r w:rsidRPr="00264D5D">
              <w:rPr>
                <w:szCs w:val="22"/>
                <w:lang w:val="en-US"/>
              </w:rPr>
              <w:t>)</w:t>
            </w:r>
          </w:p>
        </w:tc>
        <w:tc>
          <w:tcPr>
            <w:tcW w:w="294" w:type="pct"/>
          </w:tcPr>
          <w:p w14:paraId="2863F8EC" w14:textId="77777777" w:rsidR="00AD1F54" w:rsidRPr="00264D5D" w:rsidRDefault="00941227">
            <w:pPr>
              <w:pStyle w:val="GOSTTablenorm"/>
              <w:widowControl w:val="0"/>
              <w:jc w:val="center"/>
              <w:rPr>
                <w:szCs w:val="22"/>
              </w:rPr>
            </w:pPr>
            <w:r w:rsidRPr="00264D5D">
              <w:rPr>
                <w:szCs w:val="22"/>
              </w:rPr>
              <w:t>Н</w:t>
            </w:r>
          </w:p>
        </w:tc>
        <w:tc>
          <w:tcPr>
            <w:tcW w:w="2058" w:type="pct"/>
          </w:tcPr>
          <w:p w14:paraId="1E513966" w14:textId="77777777" w:rsidR="00AD1F54" w:rsidRPr="00264D5D" w:rsidRDefault="00941227">
            <w:pPr>
              <w:pStyle w:val="GOSTTablenorm"/>
              <w:widowControl w:val="0"/>
              <w:rPr>
                <w:szCs w:val="22"/>
              </w:rPr>
            </w:pPr>
            <w:r w:rsidRPr="00264D5D">
              <w:rPr>
                <w:szCs w:val="22"/>
              </w:rPr>
              <w:t xml:space="preserve">Указывается тип </w:t>
            </w:r>
            <w:r w:rsidR="004A5918" w:rsidRPr="00264D5D">
              <w:rPr>
                <w:szCs w:val="22"/>
              </w:rPr>
              <w:t>платежа</w:t>
            </w:r>
          </w:p>
        </w:tc>
      </w:tr>
    </w:tbl>
    <w:p w14:paraId="67AE1EA7" w14:textId="77777777" w:rsidR="00AD1F54" w:rsidRPr="00264D5D" w:rsidRDefault="00941227">
      <w:pPr>
        <w:pStyle w:val="31"/>
      </w:pPr>
      <w:r w:rsidRPr="00264D5D">
        <w:t xml:space="preserve"> </w:t>
      </w:r>
      <w:bookmarkStart w:id="1072" w:name="_Toc219309550"/>
      <w:r w:rsidRPr="00264D5D">
        <w:t>Описание комплексного типа «tSGNNmPs1»</w:t>
      </w:r>
      <w:bookmarkEnd w:id="1072"/>
    </w:p>
    <w:p w14:paraId="1DDAE574" w14:textId="77777777" w:rsidR="00AD1F54" w:rsidRPr="00264D5D" w:rsidRDefault="00941227">
      <w:pPr>
        <w:pStyle w:val="ASFKNormal"/>
        <w:spacing w:before="60" w:after="120"/>
        <w:jc w:val="both"/>
        <w:rPr>
          <w:sz w:val="24"/>
        </w:rPr>
      </w:pPr>
      <w:r w:rsidRPr="00264D5D">
        <w:rPr>
          <w:sz w:val="24"/>
        </w:rPr>
        <w:t xml:space="preserve">Описание комплексного типа </w:t>
      </w:r>
      <w:r w:rsidRPr="00264D5D">
        <w:rPr>
          <w:rFonts w:eastAsia="Calibri"/>
          <w:sz w:val="24"/>
        </w:rPr>
        <w:t>«</w:t>
      </w:r>
      <w:r w:rsidRPr="00264D5D">
        <w:rPr>
          <w:sz w:val="24"/>
        </w:rPr>
        <w:t>tSGNNmPs1» блоков «</w:t>
      </w:r>
      <w:r w:rsidRPr="00264D5D">
        <w:rPr>
          <w:sz w:val="24"/>
          <w:szCs w:val="22"/>
        </w:rPr>
        <w:t>Данные о руководителе</w:t>
      </w:r>
      <w:r w:rsidRPr="00264D5D">
        <w:rPr>
          <w:sz w:val="24"/>
        </w:rPr>
        <w:t>» и «</w:t>
      </w:r>
      <w:r w:rsidRPr="00264D5D">
        <w:rPr>
          <w:sz w:val="24"/>
          <w:szCs w:val="22"/>
        </w:rPr>
        <w:t>Данные о главном бухгалтере</w:t>
      </w:r>
      <w:r w:rsidRPr="00264D5D">
        <w:rPr>
          <w:sz w:val="24"/>
        </w:rPr>
        <w:t>».</w:t>
      </w:r>
    </w:p>
    <w:p w14:paraId="71A1657C" w14:textId="5A758ADD" w:rsidR="00AD1F54" w:rsidRPr="00264D5D" w:rsidRDefault="00941227">
      <w:pPr>
        <w:pStyle w:val="GOSTNameTable"/>
        <w:numPr>
          <w:ilvl w:val="0"/>
          <w:numId w:val="2"/>
        </w:numPr>
        <w:tabs>
          <w:tab w:val="num" w:pos="425"/>
        </w:tabs>
        <w:ind w:left="425" w:hanging="357"/>
      </w:pPr>
      <w:r w:rsidRPr="00264D5D">
        <w:fldChar w:fldCharType="begin"/>
      </w:r>
      <w:r w:rsidRPr="00264D5D">
        <w:instrText>SEQ Таблица \* ARABIC</w:instrText>
      </w:r>
      <w:r w:rsidRPr="00264D5D">
        <w:fldChar w:fldCharType="separate"/>
      </w:r>
      <w:bookmarkStart w:id="1073" w:name="_Ref52173873"/>
      <w:bookmarkStart w:id="1074" w:name="_Toc219309138"/>
      <w:r w:rsidR="008D797C">
        <w:rPr>
          <w:noProof/>
        </w:rPr>
        <w:t>108</w:t>
      </w:r>
      <w:bookmarkEnd w:id="1073"/>
      <w:r w:rsidRPr="00264D5D">
        <w:fldChar w:fldCharType="end"/>
      </w:r>
      <w:r w:rsidRPr="00264D5D">
        <w:rPr>
          <w:rFonts w:eastAsia="Calibri"/>
          <w:szCs w:val="24"/>
        </w:rPr>
        <w:t xml:space="preserve"> – </w:t>
      </w:r>
      <w:r w:rsidRPr="00264D5D">
        <w:t>Описание комплексного типа «</w:t>
      </w:r>
      <w:r w:rsidRPr="00264D5D">
        <w:rPr>
          <w:color w:val="000000"/>
          <w:szCs w:val="24"/>
        </w:rPr>
        <w:t>tSGNNmPs1</w:t>
      </w:r>
      <w:r w:rsidRPr="00264D5D">
        <w:t>»</w:t>
      </w:r>
      <w:bookmarkEnd w:id="1074"/>
    </w:p>
    <w:tbl>
      <w:tblPr>
        <w:tblStyle w:val="GOSTTable"/>
        <w:tblW w:w="5000" w:type="pct"/>
        <w:tblLayout w:type="fixed"/>
        <w:tblLook w:val="01E0" w:firstRow="1" w:lastRow="1" w:firstColumn="1" w:lastColumn="1" w:noHBand="0" w:noVBand="0"/>
      </w:tblPr>
      <w:tblGrid>
        <w:gridCol w:w="1704"/>
        <w:gridCol w:w="1704"/>
        <w:gridCol w:w="568"/>
        <w:gridCol w:w="1136"/>
        <w:gridCol w:w="568"/>
        <w:gridCol w:w="3970"/>
      </w:tblGrid>
      <w:tr w:rsidR="00AD1F54" w:rsidRPr="00264D5D" w14:paraId="5A42F663"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57BF37C9" w14:textId="77777777" w:rsidR="00AD1F54" w:rsidRPr="00264D5D" w:rsidRDefault="00941227">
            <w:pPr>
              <w:pStyle w:val="GOSTTableHead"/>
            </w:pPr>
            <w:r w:rsidRPr="00264D5D">
              <w:t>Наименование элемента</w:t>
            </w:r>
          </w:p>
        </w:tc>
        <w:tc>
          <w:tcPr>
            <w:tcW w:w="1701" w:type="dxa"/>
          </w:tcPr>
          <w:p w14:paraId="5DCC1008" w14:textId="77777777" w:rsidR="00AD1F54" w:rsidRPr="00264D5D" w:rsidRDefault="00941227">
            <w:pPr>
              <w:pStyle w:val="GOSTTableHead"/>
            </w:pPr>
            <w:r w:rsidRPr="00264D5D">
              <w:t>Сокращенное наименование (код) элемента</w:t>
            </w:r>
          </w:p>
        </w:tc>
        <w:tc>
          <w:tcPr>
            <w:tcW w:w="567" w:type="dxa"/>
          </w:tcPr>
          <w:p w14:paraId="788FDFF7" w14:textId="77777777" w:rsidR="00AD1F54" w:rsidRPr="00264D5D" w:rsidRDefault="00941227">
            <w:pPr>
              <w:pStyle w:val="GOSTTableHead"/>
            </w:pPr>
            <w:r w:rsidRPr="00264D5D">
              <w:t>Тип</w:t>
            </w:r>
          </w:p>
        </w:tc>
        <w:tc>
          <w:tcPr>
            <w:tcW w:w="1134" w:type="dxa"/>
          </w:tcPr>
          <w:p w14:paraId="428FF77F" w14:textId="77777777" w:rsidR="00AD1F54" w:rsidRPr="00264D5D" w:rsidRDefault="00941227">
            <w:pPr>
              <w:pStyle w:val="GOSTTableHead"/>
            </w:pPr>
            <w:r w:rsidRPr="00264D5D">
              <w:t>Формат элемента</w:t>
            </w:r>
          </w:p>
        </w:tc>
        <w:tc>
          <w:tcPr>
            <w:tcW w:w="567" w:type="dxa"/>
          </w:tcPr>
          <w:p w14:paraId="2816AB37" w14:textId="77777777" w:rsidR="00AD1F54" w:rsidRPr="00264D5D" w:rsidRDefault="00941227">
            <w:pPr>
              <w:pStyle w:val="GOSTTableHead"/>
            </w:pPr>
            <w:r w:rsidRPr="00264D5D">
              <w:t>Обязательность</w:t>
            </w:r>
          </w:p>
        </w:tc>
        <w:tc>
          <w:tcPr>
            <w:tcW w:w="3963" w:type="dxa"/>
          </w:tcPr>
          <w:p w14:paraId="08B31BED" w14:textId="77777777" w:rsidR="00AD1F54" w:rsidRPr="00264D5D" w:rsidRDefault="00941227">
            <w:pPr>
              <w:pStyle w:val="EBTableHead"/>
              <w:ind w:left="57" w:right="57"/>
              <w:rPr>
                <w:sz w:val="22"/>
                <w:szCs w:val="22"/>
              </w:rPr>
            </w:pPr>
            <w:r w:rsidRPr="00264D5D">
              <w:rPr>
                <w:bCs w:val="0"/>
                <w:sz w:val="22"/>
                <w:szCs w:val="22"/>
              </w:rPr>
              <w:t>Дополнительная информация</w:t>
            </w:r>
          </w:p>
        </w:tc>
      </w:tr>
      <w:tr w:rsidR="00AD1F54" w:rsidRPr="00264D5D" w14:paraId="5E0396F7"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55F32302" w14:textId="77777777" w:rsidR="00AD1F54" w:rsidRPr="00264D5D" w:rsidRDefault="00941227">
            <w:pPr>
              <w:pStyle w:val="GOSTTablenorm"/>
              <w:rPr>
                <w:szCs w:val="22"/>
              </w:rPr>
            </w:pPr>
            <w:r w:rsidRPr="00264D5D">
              <w:rPr>
                <w:color w:val="000000"/>
                <w:szCs w:val="22"/>
              </w:rPr>
              <w:t>Должность</w:t>
            </w:r>
          </w:p>
        </w:tc>
        <w:tc>
          <w:tcPr>
            <w:tcW w:w="1701" w:type="dxa"/>
          </w:tcPr>
          <w:p w14:paraId="6B92E4E8" w14:textId="77777777" w:rsidR="00AD1F54" w:rsidRPr="00264D5D" w:rsidRDefault="00941227">
            <w:pPr>
              <w:pStyle w:val="GOSTTablenorm"/>
              <w:rPr>
                <w:szCs w:val="22"/>
                <w:lang w:val="en-US"/>
              </w:rPr>
            </w:pPr>
            <w:r w:rsidRPr="00264D5D">
              <w:rPr>
                <w:color w:val="000000"/>
                <w:szCs w:val="22"/>
              </w:rPr>
              <w:t>Pst</w:t>
            </w:r>
          </w:p>
        </w:tc>
        <w:tc>
          <w:tcPr>
            <w:tcW w:w="567" w:type="dxa"/>
          </w:tcPr>
          <w:p w14:paraId="7D6488AC" w14:textId="77777777" w:rsidR="00AD1F54" w:rsidRPr="00264D5D" w:rsidRDefault="00941227">
            <w:pPr>
              <w:pStyle w:val="GOSTTablenorm"/>
              <w:jc w:val="center"/>
              <w:rPr>
                <w:szCs w:val="22"/>
              </w:rPr>
            </w:pPr>
            <w:r w:rsidRPr="00264D5D">
              <w:rPr>
                <w:szCs w:val="22"/>
              </w:rPr>
              <w:t>П</w:t>
            </w:r>
          </w:p>
        </w:tc>
        <w:tc>
          <w:tcPr>
            <w:tcW w:w="1134" w:type="dxa"/>
          </w:tcPr>
          <w:p w14:paraId="14DC1A02" w14:textId="77777777" w:rsidR="00AD1F54" w:rsidRPr="00264D5D" w:rsidRDefault="00941227">
            <w:pPr>
              <w:pStyle w:val="GOSTTablenorm"/>
              <w:rPr>
                <w:szCs w:val="22"/>
              </w:rPr>
            </w:pPr>
            <w:r w:rsidRPr="00264D5D">
              <w:rPr>
                <w:color w:val="000000"/>
                <w:szCs w:val="22"/>
                <w:lang w:val="en-US"/>
              </w:rPr>
              <w:t>Т(1-</w:t>
            </w:r>
            <w:r w:rsidRPr="00264D5D">
              <w:rPr>
                <w:color w:val="000000"/>
                <w:szCs w:val="22"/>
              </w:rPr>
              <w:t>1</w:t>
            </w:r>
            <w:r w:rsidRPr="00264D5D">
              <w:rPr>
                <w:color w:val="000000"/>
                <w:szCs w:val="22"/>
                <w:lang w:val="en-US"/>
              </w:rPr>
              <w:t>00)</w:t>
            </w:r>
          </w:p>
        </w:tc>
        <w:tc>
          <w:tcPr>
            <w:tcW w:w="567" w:type="dxa"/>
          </w:tcPr>
          <w:p w14:paraId="5ADE8B60" w14:textId="77777777" w:rsidR="00AD1F54" w:rsidRPr="00264D5D" w:rsidRDefault="00941227">
            <w:pPr>
              <w:pStyle w:val="GOSTTablenorm"/>
              <w:jc w:val="center"/>
              <w:rPr>
                <w:szCs w:val="22"/>
              </w:rPr>
            </w:pPr>
            <w:r w:rsidRPr="00264D5D">
              <w:rPr>
                <w:szCs w:val="22"/>
              </w:rPr>
              <w:t>Н</w:t>
            </w:r>
          </w:p>
        </w:tc>
        <w:tc>
          <w:tcPr>
            <w:tcW w:w="3963" w:type="dxa"/>
          </w:tcPr>
          <w:p w14:paraId="2695DB1C" w14:textId="77777777" w:rsidR="00AD1F54" w:rsidRPr="00264D5D" w:rsidRDefault="00941227">
            <w:pPr>
              <w:pStyle w:val="GOSTTablenorm"/>
              <w:rPr>
                <w:szCs w:val="22"/>
              </w:rPr>
            </w:pPr>
            <w:r w:rsidRPr="00264D5D">
              <w:rPr>
                <w:szCs w:val="22"/>
              </w:rPr>
              <w:t>Указывается</w:t>
            </w:r>
            <w:r w:rsidR="004A5918" w:rsidRPr="00264D5D">
              <w:rPr>
                <w:color w:val="000000"/>
                <w:szCs w:val="22"/>
              </w:rPr>
              <w:t xml:space="preserve"> должность</w:t>
            </w:r>
          </w:p>
        </w:tc>
      </w:tr>
      <w:tr w:rsidR="00AD1F54" w:rsidRPr="00264D5D" w14:paraId="544357CE"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4AC35ABF" w14:textId="77777777" w:rsidR="00AD1F54" w:rsidRPr="00264D5D" w:rsidRDefault="00941227">
            <w:pPr>
              <w:pStyle w:val="GOSTTablenorm"/>
              <w:rPr>
                <w:color w:val="000000"/>
                <w:szCs w:val="22"/>
              </w:rPr>
            </w:pPr>
            <w:r w:rsidRPr="00264D5D">
              <w:rPr>
                <w:color w:val="000000"/>
                <w:szCs w:val="22"/>
              </w:rPr>
              <w:t xml:space="preserve">Расшифровка </w:t>
            </w:r>
            <w:r w:rsidRPr="00264D5D">
              <w:rPr>
                <w:color w:val="000000"/>
                <w:szCs w:val="22"/>
              </w:rPr>
              <w:lastRenderedPageBreak/>
              <w:t>подписи</w:t>
            </w:r>
          </w:p>
        </w:tc>
        <w:tc>
          <w:tcPr>
            <w:tcW w:w="1701" w:type="dxa"/>
          </w:tcPr>
          <w:p w14:paraId="437D2322" w14:textId="77777777" w:rsidR="00AD1F54" w:rsidRPr="00264D5D" w:rsidRDefault="00941227">
            <w:pPr>
              <w:pStyle w:val="GOSTTablenorm"/>
              <w:rPr>
                <w:color w:val="000000"/>
                <w:szCs w:val="22"/>
              </w:rPr>
            </w:pPr>
            <w:r w:rsidRPr="00264D5D">
              <w:rPr>
                <w:color w:val="000000"/>
                <w:szCs w:val="22"/>
              </w:rPr>
              <w:lastRenderedPageBreak/>
              <w:t>FIO</w:t>
            </w:r>
          </w:p>
        </w:tc>
        <w:tc>
          <w:tcPr>
            <w:tcW w:w="567" w:type="dxa"/>
          </w:tcPr>
          <w:p w14:paraId="32B9AFB6" w14:textId="77777777" w:rsidR="00AD1F54" w:rsidRPr="00264D5D" w:rsidRDefault="00941227">
            <w:pPr>
              <w:pStyle w:val="GOSTTablenorm"/>
              <w:jc w:val="center"/>
              <w:rPr>
                <w:szCs w:val="22"/>
              </w:rPr>
            </w:pPr>
            <w:r w:rsidRPr="00264D5D">
              <w:rPr>
                <w:szCs w:val="22"/>
              </w:rPr>
              <w:t>П</w:t>
            </w:r>
          </w:p>
        </w:tc>
        <w:tc>
          <w:tcPr>
            <w:tcW w:w="1134" w:type="dxa"/>
          </w:tcPr>
          <w:p w14:paraId="1896A339" w14:textId="77777777" w:rsidR="00AD1F54" w:rsidRPr="00264D5D" w:rsidRDefault="00941227">
            <w:pPr>
              <w:pStyle w:val="GOSTTablenorm"/>
              <w:rPr>
                <w:color w:val="000000"/>
                <w:szCs w:val="22"/>
                <w:lang w:val="en-US"/>
              </w:rPr>
            </w:pPr>
            <w:r w:rsidRPr="00264D5D">
              <w:rPr>
                <w:color w:val="000000"/>
                <w:szCs w:val="22"/>
                <w:lang w:val="en-US"/>
              </w:rPr>
              <w:t>Т(1-</w:t>
            </w:r>
            <w:r w:rsidRPr="00264D5D">
              <w:rPr>
                <w:color w:val="000000"/>
                <w:szCs w:val="22"/>
              </w:rPr>
              <w:t>50</w:t>
            </w:r>
            <w:r w:rsidRPr="00264D5D">
              <w:rPr>
                <w:color w:val="000000"/>
                <w:szCs w:val="22"/>
                <w:lang w:val="en-US"/>
              </w:rPr>
              <w:t>)</w:t>
            </w:r>
          </w:p>
        </w:tc>
        <w:tc>
          <w:tcPr>
            <w:tcW w:w="567" w:type="dxa"/>
          </w:tcPr>
          <w:p w14:paraId="66008DD5" w14:textId="77777777" w:rsidR="00AD1F54" w:rsidRPr="00264D5D" w:rsidRDefault="00941227">
            <w:pPr>
              <w:pStyle w:val="GOSTTablenorm"/>
              <w:jc w:val="center"/>
              <w:rPr>
                <w:szCs w:val="22"/>
              </w:rPr>
            </w:pPr>
            <w:r w:rsidRPr="00264D5D">
              <w:rPr>
                <w:szCs w:val="22"/>
              </w:rPr>
              <w:t>Н</w:t>
            </w:r>
          </w:p>
        </w:tc>
        <w:tc>
          <w:tcPr>
            <w:tcW w:w="3963" w:type="dxa"/>
          </w:tcPr>
          <w:p w14:paraId="3E4E1333" w14:textId="77777777" w:rsidR="00AD1F54" w:rsidRPr="00264D5D" w:rsidRDefault="00941227">
            <w:pPr>
              <w:pStyle w:val="GOSTTablenorm"/>
              <w:rPr>
                <w:szCs w:val="22"/>
              </w:rPr>
            </w:pPr>
            <w:r w:rsidRPr="00264D5D">
              <w:rPr>
                <w:szCs w:val="22"/>
              </w:rPr>
              <w:t>Р</w:t>
            </w:r>
            <w:r w:rsidRPr="00264D5D">
              <w:t xml:space="preserve">асшифровка подписи </w:t>
            </w:r>
            <w:r w:rsidR="004A5918" w:rsidRPr="00264D5D">
              <w:t xml:space="preserve">с указанием </w:t>
            </w:r>
            <w:r w:rsidR="004A5918" w:rsidRPr="00264D5D">
              <w:lastRenderedPageBreak/>
              <w:t>инициалов и фамилии</w:t>
            </w:r>
          </w:p>
        </w:tc>
      </w:tr>
    </w:tbl>
    <w:p w14:paraId="368C503B" w14:textId="77777777" w:rsidR="00AD1F54" w:rsidRPr="00264D5D" w:rsidRDefault="00941227">
      <w:pPr>
        <w:pStyle w:val="31"/>
      </w:pPr>
      <w:bookmarkStart w:id="1075" w:name="_Toc219309551"/>
      <w:r w:rsidRPr="00264D5D">
        <w:lastRenderedPageBreak/>
        <w:t>Пример XML</w:t>
      </w:r>
      <w:bookmarkEnd w:id="1075"/>
    </w:p>
    <w:p w14:paraId="3FEEAB7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&lt;?xml version="1.0" encoding="UTF-8"?&gt;</w:t>
      </w:r>
    </w:p>
    <w:p w14:paraId="4234F1B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&lt;soapenv:Envelope xmlns:soapenv="http://schemas.xmlsoap.org/soap/envelope/" xmlns:wsu="http://docs.oasis-open.org/wss/2004/01/oasis-200401-wss-wssecurity-utility-1.0.xsd" xmlns:wsse="http://docs.oasis-open.org/wss/2004/01/oasis-200401-wss-wssecurity-secext-1.0.xsd"&gt;</w:t>
      </w:r>
    </w:p>
    <w:p w14:paraId="042A9CA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&lt;soapenv:Header xmlns:env="http://schemas.xmlsoap.org/soap/envelope/"&gt;&lt;wsse:Security wsu:Id="Id-sec-f9cb3040b7ca31cd7876d625c632e1aed304"&gt;</w:t>
      </w:r>
    </w:p>
    <w:p w14:paraId="71C886F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 xmlns="http://www.w3.org/2000/09/xmldsig#" Id="Id-sig-b9199ca934cfa91bcff69e807d7b0dbd26f6"&gt;</w:t>
      </w:r>
    </w:p>
    <w:p w14:paraId="34EE727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3AAA3D0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&lt;CanonicalizationMethod Algorithm="http://www.w3.org/2001/10/xml-exc-c14n#"/&gt;</w:t>
      </w:r>
    </w:p>
    <w:p w14:paraId="2FF45B2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&lt;SignatureMethod Algorithm="http://www.w3.org/2001/04/xmldsig-more#gostr34102001-gostr3411"/&gt;</w:t>
      </w:r>
    </w:p>
    <w:p w14:paraId="4C59118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URI="#Id-wssecdata-29cef34e3106063e64fead91c94aeda97ff4" Id="Id-dataref-ea575c0bb2c994b98298d2c77dcd5a7dbaa1"&gt;</w:t>
      </w:r>
    </w:p>
    <w:p w14:paraId="10022A4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3E1CD58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7337D5C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4010652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5005050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&lt;DigestValue&gt;4bqC9/3OSJqEHDz00XLzUf29YFcetigx2jr08qUp7fQ=&lt;/DigestValue&gt;</w:t>
      </w:r>
    </w:p>
    <w:p w14:paraId="6B9F779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5FBB108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Type="http://www.w3.org/TR/2002/REC-xmldsig-core-20020212/xmldsig-core-schema.xsd#X509Data" URI="#Id-keyinfo-11712390bc17243d110193ac033f54873ad8" Id="Id-keyinforef-ac3c6eb29c9af1964819db52ec661b26c339"&gt;</w:t>
      </w:r>
    </w:p>
    <w:p w14:paraId="2676DC7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38F3D87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7DC4C31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007C61F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3EC6B45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&lt;DigestValue&gt;+0q515JTexjW0go5SdPl7+ydqXUKST91N44lIbXt8Yo=&lt;/DigestValue&gt;</w:t>
      </w:r>
    </w:p>
    <w:p w14:paraId="6802551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3C880C1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URI="#Id-sp-4179cfd1e4ba9c0aaed70450fc3c741c9c08" Id="Id-ref-cb8cc265f168034494eca1c25ec74bf9433c"&gt;</w:t>
      </w:r>
    </w:p>
    <w:p w14:paraId="4A45481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5EEB83D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0C2E38C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6446254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72110AF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&lt;DigestValue&gt;f10/P/MZ5W1AwvdMPGkqpWfYGkK10xUw6SycuQIgFIc=&lt;/DigestValue&gt;</w:t>
      </w:r>
    </w:p>
    <w:p w14:paraId="12DE1DA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6E23DEB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7124E16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&lt;SignatureValue&gt;Xg8mlCU46QdjuUgHR/GFI13DKE7tfRDOphsVyNpFnxC/Sa2XnEuGBKeW7azroY19</w:t>
      </w:r>
    </w:p>
    <w:p w14:paraId="2EE8509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3u7EHXe4dKfnrJ7k7Eq5+A==&lt;/SignatureValue&gt;</w:t>
      </w:r>
    </w:p>
    <w:p w14:paraId="2168636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3CBB641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7BFC1DE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 xmlns="http://uri.etsi.org/01903/v1.4.1#" Target="Id-sig-b9199ca934cfa91bcff69e807d7b0dbd26f6"&gt;</w:t>
      </w:r>
    </w:p>
    <w:p w14:paraId="1214D6D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 Id="Id-sp-4179cfd1e4ba9c0aaed70450fc3c741c9c08"&gt;</w:t>
      </w:r>
    </w:p>
    <w:p w14:paraId="448252A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&lt;SignedSignatureProperties Id="Id-ssp-408cecc6a155b8a0f2850e81d5f57496bb2b"/&gt;</w:t>
      </w:r>
    </w:p>
    <w:p w14:paraId="56AA20D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&lt;/SignedProperties&gt;</w:t>
      </w:r>
    </w:p>
    <w:p w14:paraId="57B9E2B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&lt;/QualifyingProperties&gt;</w:t>
      </w:r>
    </w:p>
    <w:p w14:paraId="113A884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0D8BD05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47C3347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CVNlcnZlciBDQTEgMB4GCSqGSIb3DQEJARYRdWNfZmtAcm9za2F6bmEucnUxHDAa</w:t>
      </w:r>
    </w:p>
    <w:p w14:paraId="26C0F4A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BgNVBAgMEzc3INCzLiDQnNC+0YHQutCy0LAxGjAYBggqhQMDgQMBARIMMDA3NzEw</w:t>
      </w:r>
    </w:p>
    <w:p w14:paraId="537582D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NTY4NzYwMRgwFgYFKoUDZAESDTEwNDc3OTcwMTk4MzAxLDAqBgNVBAkMI9GD0LvQ</w:t>
      </w:r>
    </w:p>
    <w:p w14:paraId="5E28DDA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uNGG0LAg0JjQu9GM0LjQvdC60LAsINC00L7QvCA3MRUwEwYDVQQHDAzQnNC+0YHQ</w:t>
      </w:r>
    </w:p>
    <w:p w14:paraId="60CC12F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utCy0LAxCzAJBgNVBAYTAlJVMTgwNgYDVQQKDC/QpNC10LTQtdGA0LDQu9GM0L3Q</w:t>
      </w:r>
    </w:p>
    <w:p w14:paraId="0FFFF8D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vtC1INC60LDQt9C90LDRh9C10LnRgdGC0LLQvjE/MD0GA1UEAww20KPQpiDQpNC1</w:t>
      </w:r>
    </w:p>
    <w:p w14:paraId="69F99CD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0LTQtdGA0LDQu9GM0L3QvtCz0L4g0LrQsNC30L3QsNGH0LXQudGB0YLQstCwMB4X</w:t>
      </w:r>
    </w:p>
    <w:p w14:paraId="28034E1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DTE2MDQwNzA4MTExMFoXDTE3MDcwNzA4MTExMFowggITMRYwFAYFKoUDZAMSCzEy</w:t>
      </w:r>
    </w:p>
    <w:p w14:paraId="21D845C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MzQ1Njc4OTAxMRgwFgYFKoUDZAESDTAxMjM0NTY3ODkxMjMxGjAYBggqhQMDgQMB</w:t>
      </w:r>
    </w:p>
    <w:p w14:paraId="00F92F8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ARIMMDAxMjM0NTY3ODkwMSYwJAYJKoZIhvcNAQkBFhduLm5hZ292aXRzeW5AaW5m</w:t>
      </w:r>
    </w:p>
    <w:p w14:paraId="72A0C77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b3NlYy5ydTELMAkGA1UEBhMCUlUxHDAaBgNVBAgMEzc3INCzLiDQnNC+0YHQutCy</w:t>
      </w:r>
    </w:p>
    <w:p w14:paraId="1D10613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0LAxFTATBgNVBAcMDNCc0L7RgdC60LLQsDE4MDYGA1UECgwv0KTQtdC00LXRgNCw</w:t>
      </w:r>
    </w:p>
    <w:p w14:paraId="186E69A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0LvRjNC90L7QtSDQutCw0LfQvdCw0YfQtdC50YHRgtCy0L4xNDAyBgNVBAsMK9GC</w:t>
      </w:r>
    </w:p>
    <w:p w14:paraId="5ED7EA0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0LXRgdGC0L7QstC+0LUg0L/QvtC00YDQsNC30LTQtdC70LXQvdC40LUxHDAaBgNV</w:t>
      </w:r>
    </w:p>
    <w:p w14:paraId="1C392D5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BCoME2PQtdGA0YLQuNGE0LjQutCw0YIxGTAXBgNVBAQMENCi0LXRgdGC0L7QstGL</w:t>
      </w:r>
    </w:p>
    <w:p w14:paraId="588E0C1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0LkxPTA7BgNVBAwMNNCi0LXRgdGC0L7QstGL0Lkg0YHQtdGA0YLQuNGE0LjQutCw</w:t>
      </w:r>
    </w:p>
    <w:p w14:paraId="5C71ECB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0YIg0L/QvtC00L/QuNGB0LgxQTA/BgkqhkiG9w0BCQIMMklOTlw9MDEyMzQ1Njc4</w:t>
      </w:r>
    </w:p>
    <w:p w14:paraId="19935B6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OS9LUFBcPTEyMzQ1Njc4OS9PR1JOXD0wMTIzNDU2Nzg5MTIzMS4wLAYDVQQDDCXQ</w:t>
      </w:r>
    </w:p>
    <w:p w14:paraId="45269BB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otC10YHRgtC+0LLRi9C5INGB0LXRgNGC0LjRhNC40LrQsNGCMGMwHAYGKoUDAgIT</w:t>
      </w:r>
    </w:p>
    <w:p w14:paraId="752FB94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MBIGByqFAwICJAAGByqFAwICHgEDQwAEQM/mE38gcSmh2U183WL3aPaP3tJu0vTq</w:t>
      </w:r>
    </w:p>
    <w:p w14:paraId="42E2D84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CndMDcb72IGcv8nO7QkaqnFwXrkt6zScdQlQgUX78ct0+jNJa7ZIdLGjggRJMIIE</w:t>
      </w:r>
    </w:p>
    <w:p w14:paraId="13907B7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RTAMBgNVHRMBAf8EAjAAMB0GA1UdIAQWMBQwCAYGKoUDZHEBMAgGBiqFA2RxAjBN</w:t>
      </w:r>
    </w:p>
    <w:p w14:paraId="28DCF28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BgUqhQNkbwREDELQmtGA0LjQv9GC0L7Qn9GA0L4gQ1NQICjQstC10YDRgdC40Y8g</w:t>
      </w:r>
    </w:p>
    <w:p w14:paraId="3F51C3C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My42KSAo0LjRgdC/0L7Qu9C90LXQvdC40LUgMikwggFhBgUqhQNkcASCAVYwggFS</w:t>
      </w:r>
    </w:p>
    <w:p w14:paraId="3ED121E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DEQi0JrRgNC40L/RgtC+0J/RgNC+IENTUCIgKNCy0LXRgNGB0LjRjyAzLjYpICjQ</w:t>
      </w:r>
    </w:p>
    <w:p w14:paraId="780E8EF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uNGB0L/QvtC70L3QtdC90LjQtSAyKQxoItCf0YDQvtCz0YDQsNC80LzQvdC+LdCw</w:t>
      </w:r>
    </w:p>
    <w:p w14:paraId="61901AE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0L/Qv9Cw0YDQsNGC0L3Ri9C5INC60L7QvNC/0LvQtdC60YEgItCu0L3QuNGB0LXR</w:t>
      </w:r>
    </w:p>
    <w:p w14:paraId="706438E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gNGCLdCT0J7QodCiIi4g0JLQtdGA0YHQuNGPIDIuMSIMT9Ch0LXRgNGC0LjRhNC4</w:t>
      </w:r>
    </w:p>
    <w:p w14:paraId="4FE8BA5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0LrQsNGCINGB0L7QvtGC0LLQtdGC0YHRgtCy0LjRjyDihJYg0KHQpC8xMjQtMjcz</w:t>
      </w:r>
    </w:p>
    <w:p w14:paraId="2E42226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OCDQvtGCIDAxLjA3LjIwMTUMT9Ch0LXRgNGC0LjRhNC40LrQsNGCINGB0L7QvtGC</w:t>
      </w:r>
    </w:p>
    <w:p w14:paraId="3A2DBD9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0LLQtdGC0YHRgtCy0LjRjyDihJYg0KHQpC8xMjgtMjE3NSDQvtGCIDIwLjA2LjIw</w:t>
      </w:r>
    </w:p>
    <w:p w14:paraId="07CF990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MTMwDgYDVR0PAQH/BAQDAgTwMBMGA1UdJQQMMAoGCCsGAQUFBwMDMCsGA1UdEAQk</w:t>
      </w:r>
    </w:p>
    <w:p w14:paraId="422EAAD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MCKADzIwMTYwNDA3MDgwNDI4WoEPMjAxNzA3MDcwODA0MjhaMIIBjwYDVR0jBIIB</w:t>
      </w:r>
    </w:p>
    <w:p w14:paraId="135BBE6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hjCCAYKAFJ5xDg/atAEoXz/iy49lFZcCR4yroYIBZaSCAWEwggFdMRgwFgYJKoZI</w:t>
      </w:r>
    </w:p>
    <w:p w14:paraId="41A49B9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hvcNAQkCEwlTZXJ2ZXIgQ0ExIDAeBgkqhkiG9w0BCQEWEXVjX2ZrQHJvc2them5h</w:t>
      </w:r>
    </w:p>
    <w:p w14:paraId="62F284D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LnJ1MRwwGgYDVQQIDBM3NyDQsy4g0JzQvtGB0LrQstCwMRowGAYIKoUDA4EDAQES</w:t>
      </w:r>
    </w:p>
    <w:p w14:paraId="0CE0004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DDAwNzcxMDU2ODc2MDEYMBYGBSqFA2QBEg0xMDQ3Nzk3MDE5ODMwMSwwKgYDVQQJ</w:t>
      </w:r>
    </w:p>
    <w:p w14:paraId="0877968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DCPRg9C70LjRhtCwINCY0LvRjNC40L3QutCwLCDQtNC+0LwgNzEVMBMGA1UEBwwM</w:t>
      </w:r>
    </w:p>
    <w:p w14:paraId="6ED5D69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0JzQvtGB0LrQstCwMQswCQYDVQQGEwJSVTE4MDYGA1UECgwv0KTQtdC00LXRgNCw</w:t>
      </w:r>
    </w:p>
    <w:p w14:paraId="1C961EC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0LvRjNC90L7QtSDQutCw0LfQvdCw0YfQtdC50YHRgtCy0L4xPzA9BgNVBAMMNtCj</w:t>
      </w:r>
    </w:p>
    <w:p w14:paraId="4627432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0KYg0KTQtdC00LXRgNCw0LvRjNC90L7Qs9C+INC60LDQt9C90LDRh9C10LnRgdGC</w:t>
      </w:r>
    </w:p>
    <w:p w14:paraId="6B483C5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0LLQsIIBATBeBgNVHR8EVzBVMCmgJ6AlhiNodHRwOi8vY3JsLnJvc2them5hLnJ1</w:t>
      </w:r>
    </w:p>
    <w:p w14:paraId="4D3F6AC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L2NybC9mazAxLmNybDAooCagJIYiaHR0cDovL2NybC5mc2ZrLmxvY2FsL2NybC9m</w:t>
      </w:r>
    </w:p>
    <w:p w14:paraId="14F170A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azAxLmNybDAdBgNVHQ4EFgQUt0m7wwTPyJQ+5TDMkq5Z0WnD5vQwCAYGKoUDAgID</w:t>
      </w:r>
    </w:p>
    <w:p w14:paraId="0D7A736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A0EAReUQeQpqERyFF5XRWG8RnguKCWvPIQOt26PZmVTccxOXVHwZyI0rqdcQ2i4L</w:t>
      </w:r>
    </w:p>
    <w:p w14:paraId="2DAA28F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p87xs4bqOAO1BwhmKL/TsoC4pA==&lt;/wsse:BinarySecurityToken&gt;&lt;/wsse:Security&gt;&lt;/soapenv:Header&gt;</w:t>
      </w:r>
    </w:p>
    <w:p w14:paraId="73F31AF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&lt;soapenv:Body xmlns:env="http://schemas.xmlsoap.org/soap/envelope/" wsu:Id="Id-wssecdata-29cef34e3106063e64fead91c94aeda97ff4"&gt;</w:t>
      </w:r>
    </w:p>
    <w:p w14:paraId="505E8A9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 xml:space="preserve">&lt;transferDocumentRequest </w:t>
      </w:r>
      <w:r w:rsidRPr="00264D5D">
        <w:rPr>
          <w:rFonts w:cs="Courier New"/>
          <w:sz w:val="20"/>
        </w:rPr>
        <w:lastRenderedPageBreak/>
        <w:t>xmlns:typ="http://www.roskazna.ru/eb/services/transferDocumentService/types" xmlns="http://www.roskazna.ru/eb/services/transferDocumentService/types" versionId="1.0"&gt;</w:t>
      </w:r>
    </w:p>
    <w:p w14:paraId="55F87FE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&lt;typ:header&gt;</w:t>
      </w:r>
    </w:p>
    <w:p w14:paraId="394EA23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&lt;typ:packageId&gt;e8bf66bf-9cf1-47f1-a48b-394d18467fe3&lt;/typ:packageId&gt;</w:t>
      </w:r>
    </w:p>
    <w:p w14:paraId="18B2232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&lt;typ:senderSystemId&gt;PFHD&lt;/typ:senderSystemId&gt;</w:t>
      </w:r>
    </w:p>
    <w:p w14:paraId="04FA41D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&lt;typ:targetSystemId&gt;EXP&lt;/typ:targetSystemId&gt;</w:t>
      </w:r>
    </w:p>
    <w:p w14:paraId="0FBDA0D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&lt;typ:documentType&gt;MSC_SumApplCashFlowTax&lt;/typ:documentType&gt;</w:t>
      </w:r>
    </w:p>
    <w:p w14:paraId="78CF2A1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&lt;typ:documentGuid&gt;a2e4e9b1-753d-4c55-d382-d46db4ac956a&lt;/typ:documentGuid&gt;</w:t>
      </w:r>
    </w:p>
    <w:p w14:paraId="3E8FC9F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&lt;typ:creationDateTime&gt;2021-12-03T16:46:07.689+04:00&lt;/typ:creationDateTime&gt;</w:t>
      </w:r>
    </w:p>
    <w:p w14:paraId="2D4304E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&lt;typ:params&gt;</w:t>
      </w:r>
    </w:p>
    <w:p w14:paraId="7F210B4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 name="tofkCode" value="3200"/&gt;</w:t>
      </w:r>
    </w:p>
    <w:p w14:paraId="31B9B2E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 name="versionId" value="3.0"/&gt;</w:t>
      </w:r>
    </w:p>
    <w:p w14:paraId="3C1200B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&lt;/typ:params&gt;</w:t>
      </w:r>
    </w:p>
    <w:p w14:paraId="19B3604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&lt;/typ:header&gt;</w:t>
      </w:r>
    </w:p>
    <w:p w14:paraId="118142D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&lt;typ:document&gt;</w:t>
      </w:r>
    </w:p>
    <w:p w14:paraId="26ECCFD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&lt;self:MSC_SmApplCshFlwTx metaType="formular" versionID="3.0" Id="Id-xadesdata-eaf97d94646411e9b78d005056834f23" xsi:schemaLocation="http://www.roskazna.ru/eb/domain/MSC_SmApplCshFlwTx/formular formulars.xsd" xmlns:self="http://www.roskazna.ru/eb/domain/MSC_SmApplCshFlwTx/formular" xmlns:xsi="http://www.w3.org/2001/XMLSchema-instance"&gt;</w:t>
      </w:r>
    </w:p>
    <w:p w14:paraId="65ED963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&lt;ZK_RqstNm xmlns=""&gt;10&lt;/ZK_RqstNm&gt;</w:t>
      </w:r>
    </w:p>
    <w:p w14:paraId="66A8772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&lt;ZK_MSC_Cstmr xmlns=""&gt;</w:t>
      </w:r>
    </w:p>
    <w:p w14:paraId="67F0BFD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&lt;Cd&gt;98100187&lt;/Cd&gt;</w:t>
      </w:r>
    </w:p>
    <w:p w14:paraId="19FD0B7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FullNm</w:t>
      </w:r>
      <w:r w:rsidRPr="00264D5D">
        <w:rPr>
          <w:rFonts w:cs="Courier New"/>
          <w:sz w:val="20"/>
          <w:lang w:val="ru-RU"/>
        </w:rPr>
        <w:t>&gt;Единый расчетный центр Министерства обороны РФ&lt;/</w:t>
      </w:r>
      <w:r w:rsidRPr="00264D5D">
        <w:rPr>
          <w:rFonts w:cs="Courier New"/>
          <w:sz w:val="20"/>
        </w:rPr>
        <w:t>FullNm</w:t>
      </w:r>
      <w:r w:rsidRPr="00264D5D">
        <w:rPr>
          <w:rFonts w:cs="Courier New"/>
          <w:sz w:val="20"/>
          <w:lang w:val="ru-RU"/>
        </w:rPr>
        <w:t>&gt;</w:t>
      </w:r>
    </w:p>
    <w:p w14:paraId="1BAE15C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&lt;AcntNmbr&gt;03731001870&lt;/AcntNmbr&gt;</w:t>
      </w:r>
    </w:p>
    <w:p w14:paraId="0086073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&lt;/ZK_MSC_Cstmr&gt;</w:t>
      </w:r>
    </w:p>
    <w:p w14:paraId="30CFFBB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&lt;ZK_MSC_GRBS xmlns=""&gt;</w:t>
      </w:r>
    </w:p>
    <w:p w14:paraId="35F74A9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&lt;Cd&gt;187&lt;/Cd&gt;</w:t>
      </w:r>
    </w:p>
    <w:p w14:paraId="6AF50B9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Nm</w:t>
      </w:r>
      <w:r w:rsidRPr="00264D5D">
        <w:rPr>
          <w:rFonts w:cs="Courier New"/>
          <w:sz w:val="20"/>
          <w:lang w:val="ru-RU"/>
        </w:rPr>
        <w:t>&gt;Министерство обороны РФ&lt;/</w:t>
      </w:r>
      <w:r w:rsidRPr="00264D5D">
        <w:rPr>
          <w:rFonts w:cs="Courier New"/>
          <w:sz w:val="20"/>
        </w:rPr>
        <w:t>Nm</w:t>
      </w:r>
      <w:r w:rsidRPr="00264D5D">
        <w:rPr>
          <w:rFonts w:cs="Courier New"/>
          <w:sz w:val="20"/>
          <w:lang w:val="ru-RU"/>
        </w:rPr>
        <w:t>&gt;</w:t>
      </w:r>
    </w:p>
    <w:p w14:paraId="55CA465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ZK</w:t>
      </w:r>
      <w:r w:rsidRPr="00264D5D">
        <w:rPr>
          <w:rFonts w:cs="Courier New"/>
          <w:sz w:val="20"/>
          <w:lang w:val="ru-RU"/>
        </w:rPr>
        <w:t>_</w:t>
      </w:r>
      <w:r w:rsidRPr="00264D5D">
        <w:rPr>
          <w:rFonts w:cs="Courier New"/>
          <w:sz w:val="20"/>
        </w:rPr>
        <w:t>MSC</w:t>
      </w:r>
      <w:r w:rsidRPr="00264D5D">
        <w:rPr>
          <w:rFonts w:cs="Courier New"/>
          <w:sz w:val="20"/>
          <w:lang w:val="ru-RU"/>
        </w:rPr>
        <w:t>_</w:t>
      </w:r>
      <w:r w:rsidRPr="00264D5D">
        <w:rPr>
          <w:rFonts w:cs="Courier New"/>
          <w:sz w:val="20"/>
        </w:rPr>
        <w:t>GRBS</w:t>
      </w:r>
      <w:r w:rsidRPr="00264D5D">
        <w:rPr>
          <w:rFonts w:cs="Courier New"/>
          <w:sz w:val="20"/>
          <w:lang w:val="ru-RU"/>
        </w:rPr>
        <w:t>&gt;</w:t>
      </w:r>
    </w:p>
    <w:p w14:paraId="4BFA6C1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ZK</w:t>
      </w:r>
      <w:r w:rsidRPr="00264D5D">
        <w:rPr>
          <w:rFonts w:cs="Courier New"/>
          <w:sz w:val="20"/>
          <w:lang w:val="ru-RU"/>
        </w:rPr>
        <w:t>_</w:t>
      </w:r>
      <w:r w:rsidRPr="00264D5D">
        <w:rPr>
          <w:rFonts w:cs="Courier New"/>
          <w:sz w:val="20"/>
        </w:rPr>
        <w:t>MSC</w:t>
      </w:r>
      <w:r w:rsidRPr="00264D5D">
        <w:rPr>
          <w:rFonts w:cs="Courier New"/>
          <w:sz w:val="20"/>
          <w:lang w:val="ru-RU"/>
        </w:rPr>
        <w:t>_</w:t>
      </w:r>
      <w:r w:rsidRPr="00264D5D">
        <w:rPr>
          <w:rFonts w:cs="Courier New"/>
          <w:sz w:val="20"/>
        </w:rPr>
        <w:t>Orgnztn</w:t>
      </w:r>
      <w:r w:rsidRPr="00264D5D">
        <w:rPr>
          <w:rFonts w:cs="Courier New"/>
          <w:sz w:val="20"/>
          <w:lang w:val="ru-RU"/>
        </w:rPr>
        <w:t xml:space="preserve"> </w:t>
      </w:r>
      <w:r w:rsidRPr="00264D5D">
        <w:rPr>
          <w:rFonts w:cs="Courier New"/>
          <w:sz w:val="20"/>
        </w:rPr>
        <w:t>xmlns</w:t>
      </w:r>
      <w:r w:rsidRPr="00264D5D">
        <w:rPr>
          <w:rFonts w:cs="Courier New"/>
          <w:sz w:val="20"/>
          <w:lang w:val="ru-RU"/>
        </w:rPr>
        <w:t>=""&gt;</w:t>
      </w:r>
    </w:p>
    <w:p w14:paraId="6110EC4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MSC</w:t>
      </w:r>
      <w:r w:rsidRPr="00264D5D">
        <w:rPr>
          <w:rFonts w:cs="Courier New"/>
          <w:sz w:val="20"/>
          <w:lang w:val="ru-RU"/>
        </w:rPr>
        <w:t>_</w:t>
      </w:r>
      <w:r w:rsidRPr="00264D5D">
        <w:rPr>
          <w:rFonts w:cs="Courier New"/>
          <w:sz w:val="20"/>
        </w:rPr>
        <w:t>OrFK</w:t>
      </w:r>
      <w:r w:rsidRPr="00264D5D">
        <w:rPr>
          <w:rFonts w:cs="Courier New"/>
          <w:sz w:val="20"/>
          <w:lang w:val="ru-RU"/>
        </w:rPr>
        <w:t xml:space="preserve"> </w:t>
      </w:r>
      <w:r w:rsidRPr="00264D5D">
        <w:rPr>
          <w:rFonts w:cs="Courier New"/>
          <w:sz w:val="20"/>
        </w:rPr>
        <w:t>xmlns</w:t>
      </w:r>
      <w:r w:rsidRPr="00264D5D">
        <w:rPr>
          <w:rFonts w:cs="Courier New"/>
          <w:sz w:val="20"/>
          <w:lang w:val="ru-RU"/>
        </w:rPr>
        <w:t>=""&gt;</w:t>
      </w:r>
    </w:p>
    <w:p w14:paraId="6144E4F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Nm</w:t>
      </w:r>
      <w:r w:rsidRPr="00264D5D">
        <w:rPr>
          <w:rFonts w:cs="Courier New"/>
          <w:sz w:val="20"/>
          <w:lang w:val="ru-RU"/>
        </w:rPr>
        <w:t>&gt;Межрегиональное операционное управление ФК&lt;/</w:t>
      </w:r>
      <w:r w:rsidRPr="00264D5D">
        <w:rPr>
          <w:rFonts w:cs="Courier New"/>
          <w:sz w:val="20"/>
        </w:rPr>
        <w:t>Nm</w:t>
      </w:r>
      <w:r w:rsidRPr="00264D5D">
        <w:rPr>
          <w:rFonts w:cs="Courier New"/>
          <w:sz w:val="20"/>
          <w:lang w:val="ru-RU"/>
        </w:rPr>
        <w:t>&gt;</w:t>
      </w:r>
    </w:p>
    <w:p w14:paraId="2B109FA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Cd</w:t>
      </w:r>
      <w:r w:rsidRPr="00264D5D">
        <w:rPr>
          <w:rFonts w:cs="Courier New"/>
          <w:sz w:val="20"/>
          <w:lang w:val="ru-RU"/>
        </w:rPr>
        <w:t>&gt;9800&lt;/</w:t>
      </w:r>
      <w:r w:rsidRPr="00264D5D">
        <w:rPr>
          <w:rFonts w:cs="Courier New"/>
          <w:sz w:val="20"/>
        </w:rPr>
        <w:t>Cd</w:t>
      </w:r>
      <w:r w:rsidRPr="00264D5D">
        <w:rPr>
          <w:rFonts w:cs="Courier New"/>
          <w:sz w:val="20"/>
          <w:lang w:val="ru-RU"/>
        </w:rPr>
        <w:t>&gt;</w:t>
      </w:r>
    </w:p>
    <w:p w14:paraId="37C9FE9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MSC</w:t>
      </w:r>
      <w:r w:rsidRPr="00264D5D">
        <w:rPr>
          <w:rFonts w:cs="Courier New"/>
          <w:sz w:val="20"/>
          <w:lang w:val="ru-RU"/>
        </w:rPr>
        <w:t>_</w:t>
      </w:r>
      <w:r w:rsidRPr="00264D5D">
        <w:rPr>
          <w:rFonts w:cs="Courier New"/>
          <w:sz w:val="20"/>
        </w:rPr>
        <w:t>OrFK</w:t>
      </w:r>
      <w:r w:rsidRPr="00264D5D">
        <w:rPr>
          <w:rFonts w:cs="Courier New"/>
          <w:sz w:val="20"/>
          <w:lang w:val="ru-RU"/>
        </w:rPr>
        <w:t>&gt;</w:t>
      </w:r>
    </w:p>
    <w:p w14:paraId="5B39E6A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NmBdgt</w:t>
      </w:r>
      <w:r w:rsidRPr="00264D5D">
        <w:rPr>
          <w:rFonts w:cs="Courier New"/>
          <w:sz w:val="20"/>
          <w:lang w:val="ru-RU"/>
        </w:rPr>
        <w:t xml:space="preserve"> </w:t>
      </w:r>
      <w:r w:rsidRPr="00264D5D">
        <w:rPr>
          <w:rFonts w:cs="Courier New"/>
          <w:sz w:val="20"/>
        </w:rPr>
        <w:t>xmlns</w:t>
      </w:r>
      <w:r w:rsidRPr="00264D5D">
        <w:rPr>
          <w:rFonts w:cs="Courier New"/>
          <w:sz w:val="20"/>
          <w:lang w:val="ru-RU"/>
        </w:rPr>
        <w:t>=""&gt;Федеральный бюджет&lt;/</w:t>
      </w:r>
      <w:r w:rsidRPr="00264D5D">
        <w:rPr>
          <w:rFonts w:cs="Courier New"/>
          <w:sz w:val="20"/>
        </w:rPr>
        <w:t>NmBdgt</w:t>
      </w:r>
      <w:r w:rsidRPr="00264D5D">
        <w:rPr>
          <w:rFonts w:cs="Courier New"/>
          <w:sz w:val="20"/>
          <w:lang w:val="ru-RU"/>
        </w:rPr>
        <w:t>&gt;</w:t>
      </w:r>
    </w:p>
    <w:p w14:paraId="5751E2F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FnclInst</w:t>
      </w:r>
      <w:r w:rsidRPr="00264D5D">
        <w:rPr>
          <w:rFonts w:cs="Courier New"/>
          <w:sz w:val="20"/>
          <w:lang w:val="ru-RU"/>
        </w:rPr>
        <w:t xml:space="preserve"> </w:t>
      </w:r>
      <w:r w:rsidRPr="00264D5D">
        <w:rPr>
          <w:rFonts w:cs="Courier New"/>
          <w:sz w:val="20"/>
        </w:rPr>
        <w:t>xmlns</w:t>
      </w:r>
      <w:r w:rsidRPr="00264D5D">
        <w:rPr>
          <w:rFonts w:cs="Courier New"/>
          <w:sz w:val="20"/>
          <w:lang w:val="ru-RU"/>
        </w:rPr>
        <w:t>=""&gt;</w:t>
      </w:r>
    </w:p>
    <w:p w14:paraId="7B7DF3B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FnclInst</w:t>
      </w:r>
      <w:r w:rsidRPr="00264D5D">
        <w:rPr>
          <w:rFonts w:cs="Courier New"/>
          <w:sz w:val="20"/>
          <w:lang w:val="ru-RU"/>
        </w:rPr>
        <w:t>&gt;Министерство финансов Российской Федерации&lt;/</w:t>
      </w:r>
      <w:r w:rsidRPr="00264D5D">
        <w:rPr>
          <w:rFonts w:cs="Courier New"/>
          <w:sz w:val="20"/>
        </w:rPr>
        <w:t>FnclInst</w:t>
      </w:r>
      <w:r w:rsidRPr="00264D5D">
        <w:rPr>
          <w:rFonts w:cs="Courier New"/>
          <w:sz w:val="20"/>
          <w:lang w:val="ru-RU"/>
        </w:rPr>
        <w:t>&gt;</w:t>
      </w:r>
    </w:p>
    <w:p w14:paraId="29FB1A8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OKPOCd</w:t>
      </w:r>
      <w:r w:rsidRPr="00264D5D">
        <w:rPr>
          <w:rFonts w:cs="Courier New"/>
          <w:sz w:val="20"/>
          <w:lang w:val="ru-RU"/>
        </w:rPr>
        <w:t>&gt;12345678&lt;/</w:t>
      </w:r>
      <w:r w:rsidRPr="00264D5D">
        <w:rPr>
          <w:rFonts w:cs="Courier New"/>
          <w:sz w:val="20"/>
        </w:rPr>
        <w:t>OKPOCd</w:t>
      </w:r>
      <w:r w:rsidRPr="00264D5D">
        <w:rPr>
          <w:rFonts w:cs="Courier New"/>
          <w:sz w:val="20"/>
          <w:lang w:val="ru-RU"/>
        </w:rPr>
        <w:t>&gt;</w:t>
      </w:r>
    </w:p>
    <w:p w14:paraId="21359AA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FnclInst</w:t>
      </w:r>
      <w:r w:rsidRPr="00264D5D">
        <w:rPr>
          <w:rFonts w:cs="Courier New"/>
          <w:sz w:val="20"/>
          <w:lang w:val="ru-RU"/>
        </w:rPr>
        <w:t>&gt;</w:t>
      </w:r>
    </w:p>
    <w:p w14:paraId="207B3BA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ZK</w:t>
      </w:r>
      <w:r w:rsidRPr="00264D5D">
        <w:rPr>
          <w:rFonts w:cs="Courier New"/>
          <w:sz w:val="20"/>
          <w:lang w:val="ru-RU"/>
        </w:rPr>
        <w:t>_</w:t>
      </w:r>
      <w:r w:rsidRPr="00264D5D">
        <w:rPr>
          <w:rFonts w:cs="Courier New"/>
          <w:sz w:val="20"/>
        </w:rPr>
        <w:t>MSC</w:t>
      </w:r>
      <w:r w:rsidRPr="00264D5D">
        <w:rPr>
          <w:rFonts w:cs="Courier New"/>
          <w:sz w:val="20"/>
          <w:lang w:val="ru-RU"/>
        </w:rPr>
        <w:t>_</w:t>
      </w:r>
      <w:r w:rsidRPr="00264D5D">
        <w:rPr>
          <w:rFonts w:cs="Courier New"/>
          <w:sz w:val="20"/>
        </w:rPr>
        <w:t>Orgnztn</w:t>
      </w:r>
      <w:r w:rsidRPr="00264D5D">
        <w:rPr>
          <w:rFonts w:cs="Courier New"/>
          <w:sz w:val="20"/>
          <w:lang w:val="ru-RU"/>
        </w:rPr>
        <w:t>&gt;</w:t>
      </w:r>
    </w:p>
    <w:p w14:paraId="32AB817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ZK</w:t>
      </w:r>
      <w:r w:rsidRPr="00264D5D">
        <w:rPr>
          <w:rFonts w:cs="Courier New"/>
          <w:sz w:val="20"/>
          <w:lang w:val="ru-RU"/>
        </w:rPr>
        <w:t>_</w:t>
      </w:r>
      <w:r w:rsidRPr="00264D5D">
        <w:rPr>
          <w:rFonts w:cs="Courier New"/>
          <w:sz w:val="20"/>
        </w:rPr>
        <w:t>MSC</w:t>
      </w:r>
      <w:r w:rsidRPr="00264D5D">
        <w:rPr>
          <w:rFonts w:cs="Courier New"/>
          <w:sz w:val="20"/>
          <w:lang w:val="ru-RU"/>
        </w:rPr>
        <w:t>_</w:t>
      </w:r>
      <w:r w:rsidRPr="00264D5D">
        <w:rPr>
          <w:rFonts w:cs="Courier New"/>
          <w:sz w:val="20"/>
        </w:rPr>
        <w:t>Hd</w:t>
      </w:r>
      <w:r w:rsidRPr="00264D5D">
        <w:rPr>
          <w:rFonts w:cs="Courier New"/>
          <w:sz w:val="20"/>
          <w:lang w:val="ru-RU"/>
        </w:rPr>
        <w:t xml:space="preserve"> </w:t>
      </w:r>
      <w:r w:rsidRPr="00264D5D">
        <w:rPr>
          <w:rFonts w:cs="Courier New"/>
          <w:sz w:val="20"/>
        </w:rPr>
        <w:t>xmlns</w:t>
      </w:r>
      <w:r w:rsidRPr="00264D5D">
        <w:rPr>
          <w:rFonts w:cs="Courier New"/>
          <w:sz w:val="20"/>
          <w:lang w:val="ru-RU"/>
        </w:rPr>
        <w:t>=""&gt;</w:t>
      </w:r>
    </w:p>
    <w:p w14:paraId="7892238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FIO</w:t>
      </w:r>
      <w:r w:rsidRPr="00264D5D">
        <w:rPr>
          <w:rFonts w:cs="Courier New"/>
          <w:sz w:val="20"/>
          <w:lang w:val="ru-RU"/>
        </w:rPr>
        <w:t>&gt;Сидоров И.И.&lt;/</w:t>
      </w:r>
      <w:r w:rsidRPr="00264D5D">
        <w:rPr>
          <w:rFonts w:cs="Courier New"/>
          <w:sz w:val="20"/>
        </w:rPr>
        <w:t>FIO</w:t>
      </w:r>
      <w:r w:rsidRPr="00264D5D">
        <w:rPr>
          <w:rFonts w:cs="Courier New"/>
          <w:sz w:val="20"/>
          <w:lang w:val="ru-RU"/>
        </w:rPr>
        <w:t>&gt;</w:t>
      </w:r>
    </w:p>
    <w:p w14:paraId="196A74A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ZK</w:t>
      </w:r>
      <w:r w:rsidRPr="00264D5D">
        <w:rPr>
          <w:rFonts w:cs="Courier New"/>
          <w:sz w:val="20"/>
          <w:lang w:val="ru-RU"/>
        </w:rPr>
        <w:t>_</w:t>
      </w:r>
      <w:r w:rsidRPr="00264D5D">
        <w:rPr>
          <w:rFonts w:cs="Courier New"/>
          <w:sz w:val="20"/>
        </w:rPr>
        <w:t>MSC</w:t>
      </w:r>
      <w:r w:rsidRPr="00264D5D">
        <w:rPr>
          <w:rFonts w:cs="Courier New"/>
          <w:sz w:val="20"/>
          <w:lang w:val="ru-RU"/>
        </w:rPr>
        <w:t>_</w:t>
      </w:r>
      <w:r w:rsidRPr="00264D5D">
        <w:rPr>
          <w:rFonts w:cs="Courier New"/>
          <w:sz w:val="20"/>
        </w:rPr>
        <w:t>Hd</w:t>
      </w:r>
      <w:r w:rsidRPr="00264D5D">
        <w:rPr>
          <w:rFonts w:cs="Courier New"/>
          <w:sz w:val="20"/>
          <w:lang w:val="ru-RU"/>
        </w:rPr>
        <w:t>&gt;</w:t>
      </w:r>
    </w:p>
    <w:p w14:paraId="2408CB9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ZK</w:t>
      </w:r>
      <w:r w:rsidRPr="00264D5D">
        <w:rPr>
          <w:rFonts w:cs="Courier New"/>
          <w:sz w:val="20"/>
          <w:lang w:val="ru-RU"/>
        </w:rPr>
        <w:t>_</w:t>
      </w:r>
      <w:r w:rsidRPr="00264D5D">
        <w:rPr>
          <w:rFonts w:cs="Courier New"/>
          <w:sz w:val="20"/>
        </w:rPr>
        <w:t>SgngDtPOD</w:t>
      </w:r>
      <w:r w:rsidRPr="00264D5D">
        <w:rPr>
          <w:rFonts w:cs="Courier New"/>
          <w:sz w:val="20"/>
          <w:lang w:val="ru-RU"/>
        </w:rPr>
        <w:t xml:space="preserve"> </w:t>
      </w:r>
      <w:r w:rsidRPr="00264D5D">
        <w:rPr>
          <w:rFonts w:cs="Courier New"/>
          <w:sz w:val="20"/>
        </w:rPr>
        <w:t>xmlns</w:t>
      </w:r>
      <w:r w:rsidRPr="00264D5D">
        <w:rPr>
          <w:rFonts w:cs="Courier New"/>
          <w:sz w:val="20"/>
          <w:lang w:val="ru-RU"/>
        </w:rPr>
        <w:t>=""&gt;2021-12-03&lt;/</w:t>
      </w:r>
      <w:r w:rsidRPr="00264D5D">
        <w:rPr>
          <w:rFonts w:cs="Courier New"/>
          <w:sz w:val="20"/>
        </w:rPr>
        <w:t>ZK</w:t>
      </w:r>
      <w:r w:rsidRPr="00264D5D">
        <w:rPr>
          <w:rFonts w:cs="Courier New"/>
          <w:sz w:val="20"/>
          <w:lang w:val="ru-RU"/>
        </w:rPr>
        <w:t>_</w:t>
      </w:r>
      <w:r w:rsidRPr="00264D5D">
        <w:rPr>
          <w:rFonts w:cs="Courier New"/>
          <w:sz w:val="20"/>
        </w:rPr>
        <w:t>SgngDtPOD</w:t>
      </w:r>
      <w:r w:rsidRPr="00264D5D">
        <w:rPr>
          <w:rFonts w:cs="Courier New"/>
          <w:sz w:val="20"/>
          <w:lang w:val="ru-RU"/>
        </w:rPr>
        <w:t>&gt;</w:t>
      </w:r>
    </w:p>
    <w:p w14:paraId="0077DCF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ZK</w:t>
      </w:r>
      <w:r w:rsidRPr="00264D5D">
        <w:rPr>
          <w:rFonts w:cs="Courier New"/>
          <w:sz w:val="20"/>
          <w:lang w:val="ru-RU"/>
        </w:rPr>
        <w:t>1_</w:t>
      </w:r>
      <w:r w:rsidRPr="00264D5D">
        <w:rPr>
          <w:rFonts w:cs="Courier New"/>
          <w:sz w:val="20"/>
        </w:rPr>
        <w:t>KBKExpns</w:t>
      </w:r>
      <w:r w:rsidRPr="00264D5D">
        <w:rPr>
          <w:rFonts w:cs="Courier New"/>
          <w:sz w:val="20"/>
          <w:lang w:val="ru-RU"/>
        </w:rPr>
        <w:t xml:space="preserve"> </w:t>
      </w:r>
      <w:r w:rsidRPr="00264D5D">
        <w:rPr>
          <w:rFonts w:cs="Courier New"/>
          <w:sz w:val="20"/>
        </w:rPr>
        <w:t>xmlns</w:t>
      </w:r>
      <w:r w:rsidRPr="00264D5D">
        <w:rPr>
          <w:rFonts w:cs="Courier New"/>
          <w:sz w:val="20"/>
          <w:lang w:val="ru-RU"/>
        </w:rPr>
        <w:t>=""&gt;18702010303003842130&lt;/</w:t>
      </w:r>
      <w:r w:rsidRPr="00264D5D">
        <w:rPr>
          <w:rFonts w:cs="Courier New"/>
          <w:sz w:val="20"/>
        </w:rPr>
        <w:t>ZK</w:t>
      </w:r>
      <w:r w:rsidRPr="00264D5D">
        <w:rPr>
          <w:rFonts w:cs="Courier New"/>
          <w:sz w:val="20"/>
          <w:lang w:val="ru-RU"/>
        </w:rPr>
        <w:t>1_</w:t>
      </w:r>
      <w:r w:rsidRPr="00264D5D">
        <w:rPr>
          <w:rFonts w:cs="Courier New"/>
          <w:sz w:val="20"/>
        </w:rPr>
        <w:t>KBKExpns</w:t>
      </w:r>
      <w:r w:rsidRPr="00264D5D">
        <w:rPr>
          <w:rFonts w:cs="Courier New"/>
          <w:sz w:val="20"/>
          <w:lang w:val="ru-RU"/>
        </w:rPr>
        <w:t>&gt;</w:t>
      </w:r>
    </w:p>
    <w:p w14:paraId="1164B98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&lt;ZK1_KBKIncome xmlns=""&gt;18710202010060000160&lt;/ZK1_KBKIncome&gt;</w:t>
      </w:r>
    </w:p>
    <w:p w14:paraId="602E936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&lt;ZK1_TxprSts xmlns=""&gt;01&lt;/ZK1_TxprSts&gt;</w:t>
      </w:r>
    </w:p>
    <w:p w14:paraId="75D9216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&lt;ZK1_MSC_Pmnt xmlns=""&gt;</w:t>
      </w:r>
    </w:p>
    <w:p w14:paraId="25E36C3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&lt;Prt&gt;3&lt;/Prt&gt;</w:t>
      </w:r>
    </w:p>
    <w:p w14:paraId="20BC823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Knd</w:t>
      </w:r>
      <w:r w:rsidRPr="00264D5D">
        <w:rPr>
          <w:rFonts w:cs="Courier New"/>
          <w:sz w:val="20"/>
          <w:lang w:val="ru-RU"/>
        </w:rPr>
        <w:t xml:space="preserve"> </w:t>
      </w:r>
      <w:r w:rsidRPr="00264D5D">
        <w:rPr>
          <w:rFonts w:cs="Courier New"/>
          <w:sz w:val="20"/>
        </w:rPr>
        <w:t>value</w:t>
      </w:r>
      <w:r w:rsidRPr="00264D5D">
        <w:rPr>
          <w:rFonts w:cs="Courier New"/>
          <w:sz w:val="20"/>
          <w:lang w:val="ru-RU"/>
        </w:rPr>
        <w:t xml:space="preserve">="Пусто" </w:t>
      </w:r>
      <w:r w:rsidRPr="00264D5D">
        <w:rPr>
          <w:rFonts w:cs="Courier New"/>
          <w:sz w:val="20"/>
        </w:rPr>
        <w:t>code</w:t>
      </w:r>
      <w:r w:rsidRPr="00264D5D">
        <w:rPr>
          <w:rFonts w:cs="Courier New"/>
          <w:sz w:val="20"/>
          <w:lang w:val="ru-RU"/>
        </w:rPr>
        <w:t>="0"/&gt;</w:t>
      </w:r>
    </w:p>
    <w:p w14:paraId="7ADCE70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Prps</w:t>
      </w:r>
      <w:r w:rsidRPr="00264D5D">
        <w:rPr>
          <w:rFonts w:cs="Courier New"/>
          <w:sz w:val="20"/>
          <w:lang w:val="ru-RU"/>
        </w:rPr>
        <w:t>&gt;Страх. взносы на обязат. пенс. страх. в РФ, зачисляемые в ПФ РФ на накоп. часть труд. пенсии&lt;/</w:t>
      </w:r>
      <w:r w:rsidRPr="00264D5D">
        <w:rPr>
          <w:rFonts w:cs="Courier New"/>
          <w:sz w:val="20"/>
        </w:rPr>
        <w:t>Prps</w:t>
      </w:r>
      <w:r w:rsidRPr="00264D5D">
        <w:rPr>
          <w:rFonts w:cs="Courier New"/>
          <w:sz w:val="20"/>
          <w:lang w:val="ru-RU"/>
        </w:rPr>
        <w:t>&gt;</w:t>
      </w:r>
    </w:p>
    <w:p w14:paraId="0796D57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ZK</w:t>
      </w:r>
      <w:r w:rsidRPr="00264D5D">
        <w:rPr>
          <w:rFonts w:cs="Courier New"/>
          <w:sz w:val="20"/>
          <w:lang w:val="ru-RU"/>
        </w:rPr>
        <w:t>1_</w:t>
      </w:r>
      <w:r w:rsidRPr="00264D5D">
        <w:rPr>
          <w:rFonts w:cs="Courier New"/>
          <w:sz w:val="20"/>
        </w:rPr>
        <w:t>MSC</w:t>
      </w:r>
      <w:r w:rsidRPr="00264D5D">
        <w:rPr>
          <w:rFonts w:cs="Courier New"/>
          <w:sz w:val="20"/>
          <w:lang w:val="ru-RU"/>
        </w:rPr>
        <w:t>_</w:t>
      </w:r>
      <w:r w:rsidRPr="00264D5D">
        <w:rPr>
          <w:rFonts w:cs="Courier New"/>
          <w:sz w:val="20"/>
        </w:rPr>
        <w:t>Pmnt</w:t>
      </w:r>
      <w:r w:rsidRPr="00264D5D">
        <w:rPr>
          <w:rFonts w:cs="Courier New"/>
          <w:sz w:val="20"/>
          <w:lang w:val="ru-RU"/>
        </w:rPr>
        <w:t>&gt;</w:t>
      </w:r>
    </w:p>
    <w:p w14:paraId="4088612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ZK</w:t>
      </w:r>
      <w:r w:rsidRPr="00264D5D">
        <w:rPr>
          <w:rFonts w:cs="Courier New"/>
          <w:sz w:val="20"/>
          <w:lang w:val="ru-RU"/>
        </w:rPr>
        <w:t>1_</w:t>
      </w:r>
      <w:r w:rsidRPr="00264D5D">
        <w:rPr>
          <w:rFonts w:cs="Courier New"/>
          <w:sz w:val="20"/>
        </w:rPr>
        <w:t>Amnt</w:t>
      </w:r>
      <w:r w:rsidRPr="00264D5D">
        <w:rPr>
          <w:rFonts w:cs="Courier New"/>
          <w:sz w:val="20"/>
          <w:lang w:val="ru-RU"/>
        </w:rPr>
        <w:t xml:space="preserve"> </w:t>
      </w:r>
      <w:r w:rsidRPr="00264D5D">
        <w:rPr>
          <w:rFonts w:cs="Courier New"/>
          <w:sz w:val="20"/>
        </w:rPr>
        <w:t>xmlns</w:t>
      </w:r>
      <w:r w:rsidRPr="00264D5D">
        <w:rPr>
          <w:rFonts w:cs="Courier New"/>
          <w:sz w:val="20"/>
          <w:lang w:val="ru-RU"/>
        </w:rPr>
        <w:t>=""&gt;800.00&lt;/</w:t>
      </w:r>
      <w:r w:rsidRPr="00264D5D">
        <w:rPr>
          <w:rFonts w:cs="Courier New"/>
          <w:sz w:val="20"/>
        </w:rPr>
        <w:t>ZK</w:t>
      </w:r>
      <w:r w:rsidRPr="00264D5D">
        <w:rPr>
          <w:rFonts w:cs="Courier New"/>
          <w:sz w:val="20"/>
          <w:lang w:val="ru-RU"/>
        </w:rPr>
        <w:t>1_</w:t>
      </w:r>
      <w:r w:rsidRPr="00264D5D">
        <w:rPr>
          <w:rFonts w:cs="Courier New"/>
          <w:sz w:val="20"/>
        </w:rPr>
        <w:t>Amnt</w:t>
      </w:r>
      <w:r w:rsidRPr="00264D5D">
        <w:rPr>
          <w:rFonts w:cs="Courier New"/>
          <w:sz w:val="20"/>
          <w:lang w:val="ru-RU"/>
        </w:rPr>
        <w:t>&gt;</w:t>
      </w:r>
    </w:p>
    <w:p w14:paraId="4B03884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&lt;TtlPrt_SECRECY xmlns=""&gt;0&lt;/TtlPrt_SECRECY&gt;</w:t>
      </w:r>
    </w:p>
    <w:p w14:paraId="619002B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&lt;ZK_MSC_Infrmtn xmlns=""&gt;</w:t>
      </w:r>
    </w:p>
    <w:p w14:paraId="6CC4975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&lt;GUID&gt;a2e4e9b1-753d-4c55-d382-d46db4ac956a&lt;/GUID&gt;</w:t>
      </w:r>
    </w:p>
    <w:p w14:paraId="4CEEF0A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&lt;CrtnDt&gt;2021-12-03&lt;/CrtnDt&gt;</w:t>
      </w:r>
    </w:p>
    <w:p w14:paraId="0592D68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&lt;/ZK_MSC_Infrmtn&gt;</w:t>
      </w:r>
    </w:p>
    <w:p w14:paraId="6D3C40F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&lt;ZK2 xmlns=""&gt;</w:t>
      </w:r>
    </w:p>
    <w:p w14:paraId="3B96559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&lt;ZK2_ITEM xmlns=""&gt;</w:t>
      </w:r>
    </w:p>
    <w:p w14:paraId="115DA14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&lt;RcrdNm xmlns=""&gt;1&lt;/RcrdNm&gt;</w:t>
      </w:r>
    </w:p>
    <w:p w14:paraId="5000CF1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&lt;INN xmlns=""&gt;2132390225&lt;/INN&gt;</w:t>
      </w:r>
    </w:p>
    <w:p w14:paraId="4A15D5A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&lt;KPP xmlns=""&gt;213001001&lt;/KPP&gt;</w:t>
      </w:r>
    </w:p>
    <w:p w14:paraId="42B29D9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&lt;MSC_IncmAdmn xmlns=""&gt;</w:t>
      </w:r>
    </w:p>
    <w:p w14:paraId="5954AAF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Nm</w:t>
      </w:r>
      <w:r w:rsidRPr="00264D5D">
        <w:rPr>
          <w:rFonts w:cs="Courier New"/>
          <w:sz w:val="20"/>
          <w:lang w:val="ru-RU"/>
        </w:rPr>
        <w:t>&gt;УФК по Чувашской Республике (ИФНС России по г. Чебоксары)&lt;/</w:t>
      </w:r>
      <w:r w:rsidRPr="00264D5D">
        <w:rPr>
          <w:rFonts w:cs="Courier New"/>
          <w:sz w:val="20"/>
        </w:rPr>
        <w:t>Nm</w:t>
      </w:r>
      <w:r w:rsidRPr="00264D5D">
        <w:rPr>
          <w:rFonts w:cs="Courier New"/>
          <w:sz w:val="20"/>
          <w:lang w:val="ru-RU"/>
        </w:rPr>
        <w:t>&gt;</w:t>
      </w:r>
    </w:p>
    <w:p w14:paraId="202F519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&lt;INN&gt;2130000012&lt;/INN&gt;</w:t>
      </w:r>
    </w:p>
    <w:p w14:paraId="52591C5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&lt;KPP&gt;213001001&lt;/KPP&gt;</w:t>
      </w:r>
    </w:p>
    <w:p w14:paraId="3FA1085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&lt;/MSC_IncmAdmn&gt;</w:t>
      </w:r>
    </w:p>
    <w:p w14:paraId="1FC9466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&lt;MSC_Bnk xmlns=""&gt;</w:t>
      </w:r>
    </w:p>
    <w:p w14:paraId="079D8BC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&lt;AcNm&gt;03100643900000010005&lt;/AcNm&gt;</w:t>
      </w:r>
    </w:p>
    <w:p w14:paraId="4207D59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Nm</w:t>
      </w:r>
      <w:r w:rsidRPr="00264D5D">
        <w:rPr>
          <w:rFonts w:cs="Courier New"/>
          <w:sz w:val="20"/>
          <w:lang w:val="ru-RU"/>
        </w:rPr>
        <w:t>&gt;Отделение Чебоксары Банка России//УФК по Чувашской республике, г.Чебоксары&lt;/</w:t>
      </w:r>
      <w:r w:rsidRPr="00264D5D">
        <w:rPr>
          <w:rFonts w:cs="Courier New"/>
          <w:sz w:val="20"/>
        </w:rPr>
        <w:t>Nm</w:t>
      </w:r>
      <w:r w:rsidRPr="00264D5D">
        <w:rPr>
          <w:rFonts w:cs="Courier New"/>
          <w:sz w:val="20"/>
          <w:lang w:val="ru-RU"/>
        </w:rPr>
        <w:t>&gt;</w:t>
      </w:r>
    </w:p>
    <w:p w14:paraId="4198DCB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&lt;BIK&gt;049701001&lt;/BIK&gt;</w:t>
      </w:r>
    </w:p>
    <w:p w14:paraId="2058256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 xml:space="preserve">&lt;CrAccNm&gt;40102810600000010102&lt;/CrAccNm&gt; </w:t>
      </w:r>
    </w:p>
    <w:p w14:paraId="70A0DBB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&lt;/MSC_Bnk&gt;</w:t>
      </w:r>
    </w:p>
    <w:p w14:paraId="6619741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&lt;OKTMO xmlns=""&gt;97401000&lt;/OKTMO&gt;</w:t>
      </w:r>
    </w:p>
    <w:p w14:paraId="7986646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&lt;BsPmnt xmlns=""&gt;ТП&lt;/BsPmnt&gt;</w:t>
      </w:r>
    </w:p>
    <w:p w14:paraId="33C68E0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&lt;TxPrd xmlns=""&gt;МС.01.2021&lt;/TxPrd&gt;</w:t>
      </w:r>
    </w:p>
    <w:p w14:paraId="634438E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&lt;MSC_ShrtDcBs xmlns=""&gt;</w:t>
      </w:r>
    </w:p>
    <w:p w14:paraId="4B47C7E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&lt;DcNmbr&gt;0&lt;/DcNmbr&gt;</w:t>
      </w:r>
    </w:p>
    <w:p w14:paraId="1BCC44B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&lt;DctDt&gt;03.01.2021&lt;/DctDt&gt;</w:t>
      </w:r>
    </w:p>
    <w:p w14:paraId="067577A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&lt;/MSC_ShrtDcBs&gt;</w:t>
      </w:r>
    </w:p>
    <w:p w14:paraId="637CF51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MSC</w:t>
      </w:r>
      <w:r w:rsidRPr="00264D5D">
        <w:rPr>
          <w:rFonts w:cs="Courier New"/>
          <w:sz w:val="20"/>
          <w:lang w:val="ru-RU"/>
        </w:rPr>
        <w:t>_</w:t>
      </w:r>
      <w:r w:rsidRPr="00264D5D">
        <w:rPr>
          <w:rFonts w:cs="Courier New"/>
          <w:sz w:val="20"/>
        </w:rPr>
        <w:t>Pmnt</w:t>
      </w:r>
      <w:r w:rsidRPr="00264D5D">
        <w:rPr>
          <w:rFonts w:cs="Courier New"/>
          <w:sz w:val="20"/>
          <w:lang w:val="ru-RU"/>
        </w:rPr>
        <w:t xml:space="preserve"> </w:t>
      </w:r>
      <w:r w:rsidRPr="00264D5D">
        <w:rPr>
          <w:rFonts w:cs="Courier New"/>
          <w:sz w:val="20"/>
        </w:rPr>
        <w:t>xmlns</w:t>
      </w:r>
      <w:r w:rsidRPr="00264D5D">
        <w:rPr>
          <w:rFonts w:cs="Courier New"/>
          <w:sz w:val="20"/>
          <w:lang w:val="ru-RU"/>
        </w:rPr>
        <w:t>=""&gt;</w:t>
      </w:r>
    </w:p>
    <w:p w14:paraId="4BD3A45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Prps</w:t>
      </w:r>
      <w:r w:rsidRPr="00264D5D">
        <w:rPr>
          <w:rFonts w:cs="Courier New"/>
          <w:sz w:val="20"/>
          <w:lang w:val="ru-RU"/>
        </w:rPr>
        <w:t>&gt;Страх. взносы на обязат. пенс. страх. в РФ, зачисляемые в ПФ РФ на накоп. часть труд. пенсии&lt;/</w:t>
      </w:r>
      <w:r w:rsidRPr="00264D5D">
        <w:rPr>
          <w:rFonts w:cs="Courier New"/>
          <w:sz w:val="20"/>
        </w:rPr>
        <w:t>Prps</w:t>
      </w:r>
      <w:r w:rsidRPr="00264D5D">
        <w:rPr>
          <w:rFonts w:cs="Courier New"/>
          <w:sz w:val="20"/>
          <w:lang w:val="ru-RU"/>
        </w:rPr>
        <w:t>&gt;</w:t>
      </w:r>
    </w:p>
    <w:p w14:paraId="1154526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&lt;Tp&gt;НС&lt;/Tp&gt;</w:t>
      </w:r>
    </w:p>
    <w:p w14:paraId="6AEB21F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&lt;/MSC_Pmnt&gt;</w:t>
      </w:r>
    </w:p>
    <w:p w14:paraId="5983296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&lt;Smm xmlns=""&gt;800.00&lt;/Smm&gt;</w:t>
      </w:r>
    </w:p>
    <w:p w14:paraId="17D7DCB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&lt;IncTypeCode xmlns=""&gt;1&lt;/IncTypeCode&gt;</w:t>
      </w:r>
    </w:p>
    <w:p w14:paraId="4F3BF85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&lt;TrgtCdPr xmlns=""&gt;14-667&lt;/TrgtCdPr&gt;</w:t>
      </w:r>
    </w:p>
    <w:p w14:paraId="4AB38FA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&lt;/ZK2_ITEM&gt;</w:t>
      </w:r>
    </w:p>
    <w:p w14:paraId="659AD64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&lt;/ZK2&gt;</w:t>
      </w:r>
    </w:p>
    <w:p w14:paraId="001B4F1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 xmlns="http://www.w3.org/2000/09/xmldsig#" Id="Id-sig-d373256b5942f08343bc8d034aadd7158f61"&gt;</w:t>
      </w:r>
    </w:p>
    <w:p w14:paraId="32B6E5E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2D9E84A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&lt;CanonicalizationMethod Algorithm="http://www.w3.org/2001/10/xml-exc-c14n#"/&gt;</w:t>
      </w:r>
    </w:p>
    <w:p w14:paraId="355378D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&lt;SignatureMethod Algorithm="http://www.w3.org/2001/04/xmldsig-more#gostr34102001-gostr3411"/&gt;</w:t>
      </w:r>
    </w:p>
    <w:p w14:paraId="5E50CF1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URI="Id-xadesdata-eaf97d94646411e9b78d005056834f23" Id="Id-dataref-dfd24e85a456a1a342553e99c27fd5695cff"&gt;</w:t>
      </w:r>
    </w:p>
    <w:p w14:paraId="5D2480A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5C68CA2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Algorithm="http://www.w3.org/2000/09/xmldsig#enveloped-signature"/&gt;</w:t>
      </w:r>
    </w:p>
    <w:p w14:paraId="3B20368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5DD986C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7D146C0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&lt;DigestValue&gt;tuuoIThRLrpmXrL14i8lPFRl0pwMCiUsBbH5BypOA0I=&lt;/DigestValue&gt;</w:t>
      </w:r>
    </w:p>
    <w:p w14:paraId="13819D1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6E75478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&lt;Reference Type="http://www.w3.org/TR/2002/REC-xmldsig-core-20020212/xmldsig-core-schema.xsd#X509Data" URI="#Id-keyinfo-3dfe71fe8d5a7f7591dd337029c400ccf286" Id="Id-keyinforef-9674835ee89ca1067673b6fbb04db381a2a6"&gt;</w:t>
      </w:r>
    </w:p>
    <w:p w14:paraId="24454E9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11E50D8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1B45255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46B5B1D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4374C3B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&lt;DigestValue&gt;fIKSx5SIme2CRgDvDzflubM+Qqh4IkAWCXPpzXWD/AQ=&lt;/DigestValue&gt;</w:t>
      </w:r>
    </w:p>
    <w:p w14:paraId="71856DA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26CC19D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&lt;Reference URI="#Id-sp-c353e147090ff61f2f90dcd64635bcf70055" Id="Id-ref-dbee882997a09b88ec14dafcd7da585e2467"&gt;</w:t>
      </w:r>
    </w:p>
    <w:p w14:paraId="7F07873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5EDA774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7E1FEC2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29B2DDC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4DF2AD8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&lt;DigestValue&gt;ffi2NrwgQYkFPoTAefkLKH2wMBSNjwN3zzDBV+mhwQg=&lt;/DigestValue&gt;</w:t>
      </w:r>
    </w:p>
    <w:p w14:paraId="71F6E6A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27FBAF1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7D79137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&lt;SignatureValue&gt;zolZ5HI+TT6shtnB1YnAZeMq9mcqWLWAZlSR+MuKJXXN2NRZS/zapvyY4rW+I5gM</w:t>
      </w:r>
    </w:p>
    <w:p w14:paraId="28EDB89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py5+uThVv9x8n5TApPOJCg==&lt;/SignatureValue&gt;</w:t>
      </w:r>
    </w:p>
    <w:p w14:paraId="42CE6CD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&lt;KeyInfo Id="Id-keyinfo-3dfe71fe8d5a7f7591dd337029c400ccf286"&gt;</w:t>
      </w:r>
    </w:p>
    <w:p w14:paraId="0431551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&lt;X509Data&gt;</w:t>
      </w:r>
    </w:p>
    <w:p w14:paraId="739ADC1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&lt;X509Certificate&gt;MIIHbzCCBx6gAwIBAgIUCw+9bFynffs/n08sYLaljBr5oXAwCAYGKoUDAgIDMIIB</w:t>
      </w:r>
    </w:p>
    <w:p w14:paraId="16F9BAF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OTEgMB4GCSqGSIb3DQEJARYRdWNfZmtAcm9za2F6bmEucnUxGTAXBgNVBAgMENCz</w:t>
      </w:r>
    </w:p>
    <w:p w14:paraId="05875FF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LiDQnNC+0YHQutCy0LAxGjAYBggqhQMDgQMBARIMMDA3NzEwNTY4NzYwMRgwFgYF</w:t>
      </w:r>
    </w:p>
    <w:p w14:paraId="357866D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KoUDZAESDTEwNDc3OTcwMTk4MzAxLDAqBgNVBAkMI9GD0LvQuNGG0LAg0JjQu9GM</w:t>
      </w:r>
    </w:p>
    <w:p w14:paraId="670DE1C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0LjQvdC60LAsINC00L7QvCA3MRUwEwYDVQQHDAzQnNC+0YHQutCy0LAxCzAJBgNV</w:t>
      </w:r>
    </w:p>
    <w:p w14:paraId="1A9A83E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BAYTAlJVMTgwNgYDVQQKDC/QpNC10LTQtdGA0LDQu9GM0L3QvtC1INC60LDQt9C9</w:t>
      </w:r>
    </w:p>
    <w:p w14:paraId="34C3FAA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0LDRh9C10LnRgdGC0LLQvjE4MDYGA1UEAwwv0KTQtdC00LXRgNCw0LvRjNC90L7Q</w:t>
      </w:r>
    </w:p>
    <w:p w14:paraId="5D72E30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tSDQutCw0LfQvdCw0YfQtdC50YHRgtCy0L4wHhcNMTgwNDA1MTMzNDQ3WhcNMTkw</w:t>
      </w:r>
    </w:p>
    <w:p w14:paraId="1B7C7D0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NzA1MTMzNDQ3WjCCAS0xGjAYBggqhQMDgQMBARIMMDA3NzEwNTY4NzYwMRgwFgYF</w:t>
      </w:r>
    </w:p>
    <w:p w14:paraId="11D453B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KoUDZAESDTEwNDc3OTcwMTk4MzAxIzAhBgNVBAkMGtGD0LsuINCY0LvRjNC40L3Q</w:t>
      </w:r>
    </w:p>
    <w:p w14:paraId="199BC6A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utCwLCDQtC43MR4wHAYJKoZIhvcNAQkBFg83NzdAcm9za2F6bmEucnUxCzAJBgNV</w:t>
      </w:r>
    </w:p>
    <w:p w14:paraId="0821D41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BAYTAlJVMRgwFgYDVQQIDA/Qsy7QnNC+0YHQutCy0LAxFTATBgNVBAcMDNCc0L7R</w:t>
      </w:r>
    </w:p>
    <w:p w14:paraId="14D1FF6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gdC60LLQsDE4MDYGA1UECgwv0KTQtdC00LXRgNCw0LvRjNC90L7QtSDQutCw0LfQ</w:t>
      </w:r>
    </w:p>
    <w:p w14:paraId="5740AB4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vdCw0YfQtdC50YHRgtCy0L4xODA2BgNVBAMML9Ck0LXQtNC10YDQsNC70YzQvdC+</w:t>
      </w:r>
    </w:p>
    <w:p w14:paraId="66F687F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0LUg0LrQsNC30L3QsNGH0LXQudGB0YLQstC+MGMwHAYGKoUDAgITMBIGByqFAwIC</w:t>
      </w:r>
    </w:p>
    <w:p w14:paraId="1ACC21F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IwEGByqFAwICHgEDQwAEQDmzpZ5HcFrSdwi3/h6QJ/jU0i6sTgtJqrYL/Tr+gxBg</w:t>
      </w:r>
    </w:p>
    <w:p w14:paraId="2440FDB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Ud3B/sLCyhk3sR3aCrZ0K4YlsFHVmbBhDYe62UsOcnOjggQCMIID/jAMBgNVHRMB</w:t>
      </w:r>
    </w:p>
    <w:p w14:paraId="6C532E2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Af8EAjAAMB0GA1UdIAQWMBQwCAYGKoUDZHEBMAgGBiqFA2RxAjA2BgUqhQNkbwQt</w:t>
      </w:r>
    </w:p>
    <w:p w14:paraId="4E1E56A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DCsi0JrRgNC40L/RgtC+0J/RgNC+IENTUCIgKNCy0LXRgNGB0LjRjyA0LjApMIIB</w:t>
      </w:r>
    </w:p>
    <w:p w14:paraId="7CEE047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MQYFKoUDZHAEggEmMIIBIgxEItCa0YDQuNC/0YLQvtCf0YDQviBDU1AiICjQstC1</w:t>
      </w:r>
    </w:p>
    <w:p w14:paraId="522E99A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0YDRgdC40Y8gMy42KSAo0LjRgdC/0L7Qu9C90LXQvdC40LUgMikMaCLQn9GA0L7Q</w:t>
      </w:r>
    </w:p>
    <w:p w14:paraId="60CA8EA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s9GA0LDQvNC80L3Qvi3QsNC/0L/QsNGA0LDRgtC90YvQuSDQutC+0LzQv9C70LXQ</w:t>
      </w:r>
    </w:p>
    <w:p w14:paraId="55CEE8A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utGBICLQrtC90LjRgdC10YDRgi3Qk9Ce0KHQoiIuINCS0LXRgNGB0LjRjyAyLjEi</w:t>
      </w:r>
    </w:p>
    <w:p w14:paraId="7DC0BFB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DB/ihJYgMTQ5LzcvNi01Njkg0L7RgiAyMS4xMi4yMDE3DE/QodC10YDRgtC40YTQ</w:t>
      </w:r>
    </w:p>
    <w:p w14:paraId="66878FE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uNC60LDRgiDRgdC+0L7RgtCy0LXRgtGB0YLQstC40Y8g4oSWINCh0KQvMTI4LTI4</w:t>
      </w:r>
    </w:p>
    <w:p w14:paraId="79A90C4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Nzgg0L7RgiAyMC4wNi4yMDE2MA4GA1UdDwEB/wQEAwID+DAdBgNVHSUEFjAUBggr</w:t>
      </w:r>
    </w:p>
    <w:p w14:paraId="6549CF5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BgEFBQcDAgYIKwYBBQUHAwMwKwYDVR0QBCQwIoAPMjAxODA0MDUxMzM0NDVagQ8y</w:t>
      </w:r>
    </w:p>
    <w:p w14:paraId="5BA3659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MDE5MDcwNTEzMzQ0NVowggGFBgNVHSMEggF8MIIBeIAUFlWRplFYxIksa1Fb0oUZ</w:t>
      </w:r>
    </w:p>
    <w:p w14:paraId="267E164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CgFESCKhggFSpIIBTjCCAUoxHjAcBgkqhkiG9w0BCQEWD2RpdEBtaW5zdnlhei5y</w:t>
      </w:r>
    </w:p>
    <w:p w14:paraId="4E2A286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dTELMAkGA1UEBhMCUlUxHDAaBgNVBAgMEzc3INCzLiDQnNC+0YHQutCy0LAxFTAT</w:t>
      </w:r>
    </w:p>
    <w:p w14:paraId="425D5D4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BgNVBAcMDNCc0L7RgdC60LLQsDE/MD0GA1UECQw2MTI1Mzc1INCzLiDQnNC+0YHQ</w:t>
      </w:r>
    </w:p>
    <w:p w14:paraId="12D110F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utCy0LAsINGD0LsuINCi0LLQtdGA0YHQutCw0Y8sINC0LiA3MSwwKgYDVQQKDCPQ</w:t>
      </w:r>
    </w:p>
    <w:p w14:paraId="7983A95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nNC40L3QutC+0LzRgdCy0Y/Qt9GMINCg0L7RgdGB0LjQuDEYMBYGBSqFA2QBEg0x</w:t>
      </w:r>
    </w:p>
    <w:p w14:paraId="4B046CD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MDQ3NzAyMDI2NzAxMRowGAYIKoUDA4EDAQESDDAwNzcxMDQ3NDM3NTFBMD8GA1UE</w:t>
      </w:r>
    </w:p>
    <w:p w14:paraId="03D1105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Aww40JPQvtC70L7QstC90L7QuSDRg9C00L7RgdGC0L7QstC10YDRj9GO0YnQuNC5</w:t>
      </w:r>
    </w:p>
    <w:p w14:paraId="066B7F1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INGG0LXQvdGC0YCCCjas1FUAAAAAAS8wXgYDVR0fBFcwVTApoCegJYYjaHR0cDov</w:t>
      </w:r>
    </w:p>
    <w:p w14:paraId="64F8624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L2NybC5yb3NrYXpuYS5ydS9jcmwvdWNmay5jcmwwKKAmoCSGImh0dHA6Ly9jcmwu</w:t>
      </w:r>
    </w:p>
    <w:p w14:paraId="27DE7F4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ZnNmay5sb2NhbC9jcmwvdWNmay5jcmwwHQYDVR0OBBYEFLkvJG7Rfzg6F53wdndv</w:t>
      </w:r>
    </w:p>
    <w:p w14:paraId="1DC69A7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NLDQ/i3nMAgGBiqFAwICAwNBAH1LMUVqEV/HRyesHDkB5eBUk6qDOJwnOBHil2Y1</w:t>
      </w:r>
    </w:p>
    <w:p w14:paraId="671FC95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qNiUhWK7AqT93ErNsumpe8dDCswJmvps2nbQA7xwIJjzJjk=&lt;/X509Certificate&gt;</w:t>
      </w:r>
    </w:p>
    <w:p w14:paraId="497C558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&lt;/X509Data&gt;</w:t>
      </w:r>
    </w:p>
    <w:p w14:paraId="41EA72C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&lt;/KeyInfo&gt;</w:t>
      </w:r>
    </w:p>
    <w:p w14:paraId="5A42793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&lt;Object&gt;</w:t>
      </w:r>
    </w:p>
    <w:p w14:paraId="432FFD0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 xmlns="http://uri.etsi.org/01903/v1.4.1#" Target="Id-sig-d373256b5942f08343bc8d034aadd7158f61"&gt;</w:t>
      </w:r>
    </w:p>
    <w:p w14:paraId="230BDB0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 Id="Id-sp-c353e147090ff61f2f90dcd64635bcf70055"&gt;</w:t>
      </w:r>
    </w:p>
    <w:p w14:paraId="18DE665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&lt;SignedSignatureProperties Id="Id-ssp-7fd861712d758e7e3004067202146d020fd2"/&gt;</w:t>
      </w:r>
    </w:p>
    <w:p w14:paraId="27083C4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&lt;/SignedProperties&gt;</w:t>
      </w:r>
    </w:p>
    <w:p w14:paraId="01FCECC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&lt;/QualifyingProperties&gt;</w:t>
      </w:r>
    </w:p>
    <w:p w14:paraId="5F151DC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4823788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&lt;/Signature&gt;&lt;/self:MSC_SmApplCshFlwTx&gt;</w:t>
      </w:r>
    </w:p>
    <w:p w14:paraId="13D4278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&lt;/typ:document&gt;</w:t>
      </w:r>
    </w:p>
    <w:p w14:paraId="4CFDB81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&lt;/transferDocumentRequest&gt;</w:t>
      </w:r>
    </w:p>
    <w:p w14:paraId="3C8B435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&lt;/soapenv:Body&gt;</w:t>
      </w:r>
    </w:p>
    <w:p w14:paraId="45A307F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pPr>
      <w:r w:rsidRPr="00264D5D">
        <w:rPr>
          <w:rFonts w:cs="Courier New"/>
          <w:sz w:val="20"/>
        </w:rPr>
        <w:t>&lt;/soapenv:Envelope&gt;</w:t>
      </w:r>
    </w:p>
    <w:p w14:paraId="1A749041" w14:textId="77777777" w:rsidR="00AD1F54" w:rsidRPr="00552837" w:rsidRDefault="00941227">
      <w:pPr>
        <w:pStyle w:val="22"/>
        <w:rPr>
          <w:highlight w:val="green"/>
          <w:lang w:val="ru-RU"/>
        </w:rPr>
      </w:pPr>
      <w:bookmarkStart w:id="1076" w:name="_Ref2178663"/>
      <w:bookmarkStart w:id="1077" w:name="_Ref2706025"/>
      <w:bookmarkStart w:id="1078" w:name="_Toc219309552"/>
      <w:r w:rsidRPr="00552837">
        <w:rPr>
          <w:highlight w:val="green"/>
          <w:lang w:val="ru-RU"/>
        </w:rPr>
        <w:t>Описание документа «Запрос на отзыв распоряжения (запрос на аннулирование)»</w:t>
      </w:r>
      <w:bookmarkEnd w:id="1076"/>
      <w:bookmarkEnd w:id="1077"/>
      <w:bookmarkEnd w:id="1078"/>
    </w:p>
    <w:p w14:paraId="04CED014" w14:textId="77777777" w:rsidR="00AD1F54" w:rsidRPr="00552837" w:rsidRDefault="00941227">
      <w:pPr>
        <w:pStyle w:val="31"/>
        <w:rPr>
          <w:highlight w:val="green"/>
        </w:rPr>
      </w:pPr>
      <w:bookmarkStart w:id="1079" w:name="_Toc219309553"/>
      <w:r w:rsidRPr="00552837">
        <w:rPr>
          <w:highlight w:val="green"/>
        </w:rPr>
        <w:t>Назначение и маршрут документа</w:t>
      </w:r>
      <w:bookmarkEnd w:id="1079"/>
    </w:p>
    <w:p w14:paraId="0D11472A" w14:textId="77777777" w:rsidR="00AD1F54" w:rsidRPr="00264D5D" w:rsidRDefault="00941227">
      <w:pPr>
        <w:pStyle w:val="ASFKNormal"/>
        <w:spacing w:before="60" w:after="120"/>
        <w:jc w:val="both"/>
        <w:rPr>
          <w:sz w:val="24"/>
          <w:szCs w:val="24"/>
        </w:rPr>
      </w:pPr>
      <w:r w:rsidRPr="00264D5D">
        <w:rPr>
          <w:sz w:val="24"/>
          <w:szCs w:val="24"/>
        </w:rPr>
        <w:t>Документ «Запрос на отзыв распоряжения (запрос на аннулирование)» предназначен для отзыва документов:</w:t>
      </w:r>
    </w:p>
    <w:p w14:paraId="6AE3DD10" w14:textId="77777777" w:rsidR="00AD1F54" w:rsidRPr="00264D5D" w:rsidRDefault="00941227" w:rsidP="00E7460C">
      <w:pPr>
        <w:pStyle w:val="ASFKNormal"/>
        <w:numPr>
          <w:ilvl w:val="0"/>
          <w:numId w:val="125"/>
        </w:numPr>
        <w:spacing w:before="60"/>
        <w:ind w:left="851" w:right="57" w:hanging="227"/>
        <w:jc w:val="both"/>
        <w:rPr>
          <w:sz w:val="24"/>
          <w:szCs w:val="24"/>
        </w:rPr>
      </w:pPr>
      <w:r w:rsidRPr="00264D5D">
        <w:rPr>
          <w:sz w:val="24"/>
          <w:szCs w:val="24"/>
        </w:rPr>
        <w:t>«Заявка на кассовый расход» (ф. 0531801),</w:t>
      </w:r>
    </w:p>
    <w:p w14:paraId="42A4A19A" w14:textId="77777777" w:rsidR="00AD1F54" w:rsidRPr="00264D5D" w:rsidRDefault="00941227" w:rsidP="00E7460C">
      <w:pPr>
        <w:pStyle w:val="ASFKNormal"/>
        <w:numPr>
          <w:ilvl w:val="0"/>
          <w:numId w:val="125"/>
        </w:numPr>
        <w:spacing w:before="60"/>
        <w:ind w:left="851" w:right="57" w:hanging="227"/>
        <w:jc w:val="both"/>
        <w:rPr>
          <w:sz w:val="24"/>
          <w:szCs w:val="24"/>
        </w:rPr>
      </w:pPr>
      <w:r w:rsidRPr="00264D5D">
        <w:rPr>
          <w:sz w:val="24"/>
          <w:szCs w:val="24"/>
        </w:rPr>
        <w:t>«Заявка на кассовый расход (сокращенная)» (ф. 0531851),</w:t>
      </w:r>
    </w:p>
    <w:p w14:paraId="40D87546" w14:textId="77777777" w:rsidR="00AD1F54" w:rsidRPr="00264D5D" w:rsidRDefault="00941227" w:rsidP="00E7460C">
      <w:pPr>
        <w:pStyle w:val="ASFKNormal"/>
        <w:numPr>
          <w:ilvl w:val="0"/>
          <w:numId w:val="125"/>
        </w:numPr>
        <w:spacing w:before="60"/>
        <w:ind w:left="851" w:right="57" w:hanging="227"/>
        <w:jc w:val="both"/>
        <w:rPr>
          <w:sz w:val="24"/>
          <w:szCs w:val="24"/>
        </w:rPr>
      </w:pPr>
      <w:r w:rsidRPr="00264D5D">
        <w:rPr>
          <w:sz w:val="24"/>
          <w:szCs w:val="24"/>
        </w:rPr>
        <w:t>«Сводная заявка на кассовый расход» (ф. 0531860),</w:t>
      </w:r>
    </w:p>
    <w:p w14:paraId="4B17E096" w14:textId="77777777" w:rsidR="00AD1F54" w:rsidRPr="00264D5D" w:rsidRDefault="00941227" w:rsidP="00E7460C">
      <w:pPr>
        <w:pStyle w:val="ASFKNormal"/>
        <w:numPr>
          <w:ilvl w:val="0"/>
          <w:numId w:val="125"/>
        </w:numPr>
        <w:spacing w:before="60"/>
        <w:ind w:left="851" w:right="57" w:hanging="227"/>
        <w:jc w:val="both"/>
        <w:rPr>
          <w:sz w:val="24"/>
          <w:szCs w:val="24"/>
        </w:rPr>
      </w:pPr>
      <w:r w:rsidRPr="00264D5D">
        <w:rPr>
          <w:sz w:val="24"/>
          <w:szCs w:val="24"/>
        </w:rPr>
        <w:t xml:space="preserve">«Заявка на получение наличных денег (ф. 0531802), Заявка для обеспечения наличными денежными средствами </w:t>
      </w:r>
      <w:r w:rsidR="00C97F28" w:rsidRPr="00264D5D">
        <w:rPr>
          <w:sz w:val="24"/>
          <w:szCs w:val="24"/>
        </w:rPr>
        <w:t xml:space="preserve">в </w:t>
      </w:r>
      <w:r w:rsidRPr="00264D5D">
        <w:rPr>
          <w:sz w:val="24"/>
          <w:szCs w:val="24"/>
        </w:rPr>
        <w:t>электронном виде»,</w:t>
      </w:r>
    </w:p>
    <w:p w14:paraId="6E0FB261" w14:textId="77777777" w:rsidR="00AD1F54" w:rsidRPr="00264D5D" w:rsidRDefault="00941227" w:rsidP="00E7460C">
      <w:pPr>
        <w:pStyle w:val="ASFKNormal"/>
        <w:numPr>
          <w:ilvl w:val="0"/>
          <w:numId w:val="125"/>
        </w:numPr>
        <w:spacing w:before="60"/>
        <w:ind w:left="851" w:right="57" w:hanging="227"/>
        <w:jc w:val="both"/>
        <w:rPr>
          <w:sz w:val="24"/>
          <w:szCs w:val="24"/>
        </w:rPr>
      </w:pPr>
      <w:r w:rsidRPr="00264D5D">
        <w:rPr>
          <w:sz w:val="24"/>
          <w:szCs w:val="24"/>
        </w:rPr>
        <w:t>«Заявка на получение денежных средств, перечисляемых на карту» (ф. 0531243),</w:t>
      </w:r>
    </w:p>
    <w:p w14:paraId="6B3B35E9" w14:textId="77777777" w:rsidR="00AD1F54" w:rsidRPr="00264D5D" w:rsidRDefault="00941227" w:rsidP="00E7460C">
      <w:pPr>
        <w:pStyle w:val="ASFKNormal"/>
        <w:numPr>
          <w:ilvl w:val="0"/>
          <w:numId w:val="125"/>
        </w:numPr>
        <w:spacing w:before="60"/>
        <w:ind w:left="851" w:right="57" w:hanging="227"/>
        <w:jc w:val="both"/>
        <w:rPr>
          <w:sz w:val="24"/>
          <w:szCs w:val="24"/>
        </w:rPr>
      </w:pPr>
      <w:r w:rsidRPr="00264D5D">
        <w:rPr>
          <w:sz w:val="24"/>
          <w:szCs w:val="24"/>
        </w:rPr>
        <w:t>«Заявка на возврат» (ф. 0531803),</w:t>
      </w:r>
    </w:p>
    <w:p w14:paraId="59902374" w14:textId="77777777" w:rsidR="00AD1F54" w:rsidRPr="00264D5D" w:rsidRDefault="00941227" w:rsidP="00E7460C">
      <w:pPr>
        <w:pStyle w:val="ASFKNormal"/>
        <w:numPr>
          <w:ilvl w:val="0"/>
          <w:numId w:val="125"/>
        </w:numPr>
        <w:spacing w:before="60"/>
        <w:ind w:left="851" w:right="57" w:hanging="227"/>
        <w:jc w:val="both"/>
        <w:rPr>
          <w:sz w:val="24"/>
          <w:szCs w:val="24"/>
        </w:rPr>
      </w:pPr>
      <w:r w:rsidRPr="00264D5D">
        <w:rPr>
          <w:sz w:val="24"/>
          <w:szCs w:val="24"/>
        </w:rPr>
        <w:t>«Расшифровка сумм неиспользованных средств (ф.0531251), Заявка о внесении наличных денежных средств»,</w:t>
      </w:r>
    </w:p>
    <w:p w14:paraId="09AD0411" w14:textId="77777777" w:rsidR="00AD1F54" w:rsidRPr="00264D5D" w:rsidRDefault="00941227" w:rsidP="00E7460C">
      <w:pPr>
        <w:pStyle w:val="ASFKNormal"/>
        <w:numPr>
          <w:ilvl w:val="0"/>
          <w:numId w:val="125"/>
        </w:numPr>
        <w:spacing w:before="60"/>
        <w:ind w:left="851" w:right="57" w:hanging="227"/>
        <w:jc w:val="both"/>
        <w:rPr>
          <w:sz w:val="24"/>
          <w:szCs w:val="24"/>
        </w:rPr>
      </w:pPr>
      <w:r w:rsidRPr="00264D5D">
        <w:rPr>
          <w:sz w:val="24"/>
          <w:szCs w:val="24"/>
        </w:rPr>
        <w:t>«Уведомление об уточнении вида и принадлежности платежа» (ф. 0531809),</w:t>
      </w:r>
    </w:p>
    <w:p w14:paraId="4D81BB5E" w14:textId="77777777" w:rsidR="00AD1F54" w:rsidRPr="00264D5D" w:rsidRDefault="00941227" w:rsidP="00E7460C">
      <w:pPr>
        <w:pStyle w:val="ASFKNormal"/>
        <w:numPr>
          <w:ilvl w:val="0"/>
          <w:numId w:val="125"/>
        </w:numPr>
        <w:spacing w:before="60"/>
        <w:ind w:left="851" w:right="57" w:hanging="227"/>
        <w:jc w:val="both"/>
        <w:rPr>
          <w:sz w:val="24"/>
          <w:szCs w:val="24"/>
        </w:rPr>
      </w:pPr>
      <w:r w:rsidRPr="00264D5D">
        <w:rPr>
          <w:sz w:val="24"/>
          <w:szCs w:val="24"/>
        </w:rPr>
        <w:t>«Распоряжение о перечислении денежных средств на банковские карты «Мир» физических лиц»,</w:t>
      </w:r>
    </w:p>
    <w:p w14:paraId="04FDF206" w14:textId="77777777" w:rsidR="00AD1F54" w:rsidRPr="00264D5D" w:rsidRDefault="00941227" w:rsidP="00E7460C">
      <w:pPr>
        <w:pStyle w:val="ASFKNormal"/>
        <w:numPr>
          <w:ilvl w:val="0"/>
          <w:numId w:val="125"/>
        </w:numPr>
        <w:spacing w:before="60"/>
        <w:ind w:left="851" w:right="57" w:hanging="227"/>
        <w:jc w:val="both"/>
        <w:rPr>
          <w:szCs w:val="24"/>
        </w:rPr>
      </w:pPr>
      <w:r w:rsidRPr="00264D5D">
        <w:rPr>
          <w:sz w:val="24"/>
          <w:szCs w:val="24"/>
        </w:rPr>
        <w:t>«Платежное поручение»,</w:t>
      </w:r>
    </w:p>
    <w:p w14:paraId="1D3A80BC" w14:textId="77777777" w:rsidR="00AD1F54" w:rsidRPr="00264D5D" w:rsidRDefault="00941227" w:rsidP="00E7460C">
      <w:pPr>
        <w:pStyle w:val="ASFKNormal"/>
        <w:numPr>
          <w:ilvl w:val="0"/>
          <w:numId w:val="125"/>
        </w:numPr>
        <w:spacing w:before="60"/>
        <w:ind w:left="851" w:right="57" w:hanging="227"/>
        <w:jc w:val="both"/>
        <w:rPr>
          <w:szCs w:val="24"/>
        </w:rPr>
      </w:pPr>
      <w:r w:rsidRPr="00264D5D">
        <w:rPr>
          <w:sz w:val="24"/>
          <w:szCs w:val="24"/>
        </w:rPr>
        <w:t>«Уведомление об уточнении операций клиента»,</w:t>
      </w:r>
    </w:p>
    <w:p w14:paraId="4B2A9A5B" w14:textId="77777777" w:rsidR="00DA75C3" w:rsidRPr="008D797C" w:rsidRDefault="00941227" w:rsidP="00E7460C">
      <w:pPr>
        <w:pStyle w:val="ASFKNormal"/>
        <w:numPr>
          <w:ilvl w:val="0"/>
          <w:numId w:val="125"/>
        </w:numPr>
        <w:spacing w:before="60"/>
        <w:ind w:left="851" w:right="57" w:hanging="227"/>
        <w:jc w:val="both"/>
        <w:rPr>
          <w:szCs w:val="24"/>
        </w:rPr>
      </w:pPr>
      <w:r w:rsidRPr="00264D5D">
        <w:rPr>
          <w:sz w:val="24"/>
          <w:szCs w:val="24"/>
        </w:rPr>
        <w:t>«Распоряжение о совершении казначейского платежа (возврат)»,</w:t>
      </w:r>
    </w:p>
    <w:p w14:paraId="68697ABF" w14:textId="3B6DEFB2" w:rsidR="00AD1F54" w:rsidRPr="00264D5D" w:rsidRDefault="00941227" w:rsidP="00E7460C">
      <w:pPr>
        <w:pStyle w:val="ASFKNormal"/>
        <w:numPr>
          <w:ilvl w:val="0"/>
          <w:numId w:val="125"/>
        </w:numPr>
        <w:spacing w:before="60"/>
        <w:ind w:left="851" w:right="57" w:hanging="227"/>
        <w:jc w:val="both"/>
        <w:rPr>
          <w:szCs w:val="24"/>
        </w:rPr>
      </w:pPr>
      <w:r w:rsidRPr="00264D5D">
        <w:rPr>
          <w:sz w:val="24"/>
          <w:szCs w:val="24"/>
        </w:rPr>
        <w:t xml:space="preserve"> </w:t>
      </w:r>
      <w:r w:rsidR="00DA75C3" w:rsidRPr="008D797C">
        <w:rPr>
          <w:sz w:val="24"/>
          <w:szCs w:val="24"/>
          <w:highlight w:val="green"/>
        </w:rPr>
        <w:t>«Распоряжение о совершении казначейского платежа (возврат)</w:t>
      </w:r>
      <w:r w:rsidR="0088542F" w:rsidRPr="008D797C">
        <w:rPr>
          <w:sz w:val="24"/>
          <w:szCs w:val="24"/>
          <w:highlight w:val="green"/>
        </w:rPr>
        <w:t xml:space="preserve"> (многострочный)</w:t>
      </w:r>
      <w:r w:rsidR="00DA75C3" w:rsidRPr="008D797C">
        <w:rPr>
          <w:sz w:val="24"/>
          <w:szCs w:val="24"/>
          <w:highlight w:val="green"/>
        </w:rPr>
        <w:t>»</w:t>
      </w:r>
      <w:r w:rsidR="0088542F" w:rsidRPr="008D797C">
        <w:rPr>
          <w:sz w:val="24"/>
          <w:szCs w:val="24"/>
          <w:highlight w:val="green"/>
        </w:rPr>
        <w:t>,</w:t>
      </w:r>
    </w:p>
    <w:p w14:paraId="3196D20C" w14:textId="77777777" w:rsidR="00AD1F54" w:rsidRPr="00950D60" w:rsidRDefault="00941227" w:rsidP="00E7460C">
      <w:pPr>
        <w:pStyle w:val="ASFKNormal"/>
        <w:numPr>
          <w:ilvl w:val="0"/>
          <w:numId w:val="125"/>
        </w:numPr>
        <w:spacing w:before="60"/>
        <w:ind w:left="851" w:right="57" w:hanging="227"/>
        <w:jc w:val="both"/>
        <w:rPr>
          <w:sz w:val="24"/>
          <w:szCs w:val="24"/>
        </w:rPr>
      </w:pPr>
      <w:r w:rsidRPr="00264D5D">
        <w:rPr>
          <w:sz w:val="24"/>
          <w:szCs w:val="24"/>
        </w:rPr>
        <w:t>«</w:t>
      </w:r>
      <w:r w:rsidRPr="00950D60">
        <w:rPr>
          <w:sz w:val="24"/>
          <w:szCs w:val="24"/>
        </w:rPr>
        <w:t>Распоряжение о совершении казначейского платежа (уточнение)»,</w:t>
      </w:r>
    </w:p>
    <w:p w14:paraId="0204D5FA" w14:textId="77777777" w:rsidR="00950D60" w:rsidRPr="00950D60" w:rsidRDefault="00950D60" w:rsidP="00950D60">
      <w:pPr>
        <w:pStyle w:val="ASFKNormal"/>
        <w:numPr>
          <w:ilvl w:val="0"/>
          <w:numId w:val="125"/>
        </w:numPr>
        <w:spacing w:before="60"/>
        <w:ind w:left="851" w:right="57" w:hanging="227"/>
        <w:jc w:val="both"/>
        <w:rPr>
          <w:sz w:val="24"/>
          <w:szCs w:val="24"/>
          <w:highlight w:val="green"/>
        </w:rPr>
      </w:pPr>
      <w:r w:rsidRPr="00950D60">
        <w:rPr>
          <w:sz w:val="24"/>
          <w:szCs w:val="24"/>
          <w:highlight w:val="green"/>
        </w:rPr>
        <w:t>«Распоряжение о совершении казначейского платежа (перечисление)»,</w:t>
      </w:r>
    </w:p>
    <w:p w14:paraId="0E919377" w14:textId="77777777" w:rsidR="00AD1F54" w:rsidRPr="00950D60" w:rsidRDefault="00941227" w:rsidP="00E7460C">
      <w:pPr>
        <w:pStyle w:val="ASFKNormal"/>
        <w:numPr>
          <w:ilvl w:val="0"/>
          <w:numId w:val="125"/>
        </w:numPr>
        <w:spacing w:before="60"/>
        <w:ind w:left="851" w:right="57" w:hanging="227"/>
        <w:jc w:val="both"/>
        <w:rPr>
          <w:sz w:val="24"/>
          <w:szCs w:val="24"/>
        </w:rPr>
      </w:pPr>
      <w:r w:rsidRPr="00950D60">
        <w:rPr>
          <w:sz w:val="24"/>
          <w:szCs w:val="24"/>
        </w:rPr>
        <w:t>«Консолидированная заявка»,</w:t>
      </w:r>
    </w:p>
    <w:p w14:paraId="01D30631" w14:textId="77777777" w:rsidR="00AD1F54" w:rsidRPr="00264D5D" w:rsidRDefault="00941227" w:rsidP="00E7460C">
      <w:pPr>
        <w:pStyle w:val="ASFKNormal"/>
        <w:numPr>
          <w:ilvl w:val="0"/>
          <w:numId w:val="125"/>
        </w:numPr>
        <w:spacing w:before="60"/>
        <w:ind w:left="851" w:right="57" w:hanging="227"/>
        <w:jc w:val="both"/>
        <w:rPr>
          <w:szCs w:val="24"/>
        </w:rPr>
      </w:pPr>
      <w:r w:rsidRPr="00950D60">
        <w:rPr>
          <w:sz w:val="24"/>
          <w:szCs w:val="24"/>
        </w:rPr>
        <w:t>«Распоряжение налогового органа (зачет</w:t>
      </w:r>
      <w:r w:rsidRPr="00264D5D">
        <w:rPr>
          <w:sz w:val="24"/>
          <w:szCs w:val="24"/>
        </w:rPr>
        <w:t>)»</w:t>
      </w:r>
      <w:r w:rsidR="00950D60">
        <w:rPr>
          <w:sz w:val="24"/>
          <w:szCs w:val="24"/>
        </w:rPr>
        <w:t>,</w:t>
      </w:r>
    </w:p>
    <w:p w14:paraId="17A134A2" w14:textId="77777777" w:rsidR="00AD1F54" w:rsidRPr="00264D5D" w:rsidRDefault="00941227" w:rsidP="00E7460C">
      <w:pPr>
        <w:pStyle w:val="ASFKNormal"/>
        <w:numPr>
          <w:ilvl w:val="0"/>
          <w:numId w:val="125"/>
        </w:numPr>
        <w:spacing w:before="60"/>
        <w:ind w:left="851" w:right="57" w:hanging="227"/>
        <w:jc w:val="both"/>
        <w:rPr>
          <w:szCs w:val="24"/>
        </w:rPr>
      </w:pPr>
      <w:r w:rsidRPr="00264D5D">
        <w:rPr>
          <w:sz w:val="24"/>
          <w:szCs w:val="24"/>
        </w:rPr>
        <w:t>«Распоряжение</w:t>
      </w:r>
      <w:r w:rsidR="00950D60">
        <w:rPr>
          <w:sz w:val="24"/>
          <w:szCs w:val="24"/>
        </w:rPr>
        <w:t xml:space="preserve"> налогового органа (уточнение)».</w:t>
      </w:r>
    </w:p>
    <w:p w14:paraId="1E6CF27D" w14:textId="64A1F89F" w:rsidR="00AD1F54" w:rsidRPr="00950D60" w:rsidRDefault="00941227">
      <w:pPr>
        <w:pStyle w:val="GOSTNameTable"/>
        <w:numPr>
          <w:ilvl w:val="0"/>
          <w:numId w:val="2"/>
        </w:numPr>
        <w:ind w:left="425" w:hanging="357"/>
        <w:rPr>
          <w:highlight w:val="green"/>
        </w:rPr>
      </w:pPr>
      <w:r w:rsidRPr="00950D60">
        <w:rPr>
          <w:highlight w:val="green"/>
        </w:rPr>
        <w:fldChar w:fldCharType="begin"/>
      </w:r>
      <w:r w:rsidRPr="00950D60">
        <w:rPr>
          <w:highlight w:val="green"/>
        </w:rPr>
        <w:instrText>SEQ Таблица \* ARABIC</w:instrText>
      </w:r>
      <w:r w:rsidRPr="00950D60">
        <w:rPr>
          <w:highlight w:val="green"/>
        </w:rPr>
        <w:fldChar w:fldCharType="separate"/>
      </w:r>
      <w:bookmarkStart w:id="1080" w:name="_Toc776474"/>
      <w:bookmarkStart w:id="1081" w:name="_Toc219309139"/>
      <w:r w:rsidR="008D797C">
        <w:rPr>
          <w:noProof/>
          <w:highlight w:val="green"/>
        </w:rPr>
        <w:t>109</w:t>
      </w:r>
      <w:r w:rsidRPr="00950D60">
        <w:rPr>
          <w:highlight w:val="green"/>
        </w:rPr>
        <w:fldChar w:fldCharType="end"/>
      </w:r>
      <w:r w:rsidRPr="00950D60">
        <w:rPr>
          <w:rFonts w:eastAsia="Calibri"/>
          <w:szCs w:val="24"/>
          <w:highlight w:val="green"/>
        </w:rPr>
        <w:t xml:space="preserve"> – </w:t>
      </w:r>
      <w:r w:rsidRPr="00950D60">
        <w:rPr>
          <w:highlight w:val="green"/>
        </w:rPr>
        <w:t>Маршрут документа «Запрос на отзыв распоряжения (запрос на аннулирование)»</w:t>
      </w:r>
      <w:bookmarkEnd w:id="1080"/>
      <w:bookmarkEnd w:id="1081"/>
    </w:p>
    <w:tbl>
      <w:tblPr>
        <w:tblStyle w:val="GOSTTable"/>
        <w:tblW w:w="5000" w:type="pct"/>
        <w:tblLook w:val="01E0" w:firstRow="1" w:lastRow="1" w:firstColumn="1" w:lastColumn="1" w:noHBand="0" w:noVBand="0"/>
      </w:tblPr>
      <w:tblGrid>
        <w:gridCol w:w="2552"/>
        <w:gridCol w:w="2557"/>
        <w:gridCol w:w="4541"/>
      </w:tblGrid>
      <w:tr w:rsidR="00AD1F54" w:rsidRPr="00264D5D" w14:paraId="04B019CA"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322" w:type="pct"/>
          </w:tcPr>
          <w:p w14:paraId="549F6267" w14:textId="77777777" w:rsidR="00AD1F54" w:rsidRPr="00264D5D" w:rsidRDefault="00941227">
            <w:pPr>
              <w:pStyle w:val="GOSTTableHead"/>
            </w:pPr>
            <w:r w:rsidRPr="00264D5D">
              <w:t>Отправитель</w:t>
            </w:r>
          </w:p>
        </w:tc>
        <w:tc>
          <w:tcPr>
            <w:tcW w:w="1325" w:type="pct"/>
          </w:tcPr>
          <w:p w14:paraId="018EDDB7" w14:textId="77777777" w:rsidR="00AD1F54" w:rsidRPr="00264D5D" w:rsidRDefault="00941227">
            <w:pPr>
              <w:pStyle w:val="GOSTTableHead"/>
            </w:pPr>
            <w:r w:rsidRPr="00264D5D">
              <w:t>Получатель</w:t>
            </w:r>
          </w:p>
        </w:tc>
        <w:tc>
          <w:tcPr>
            <w:tcW w:w="2353" w:type="pct"/>
          </w:tcPr>
          <w:p w14:paraId="60DC7638" w14:textId="77777777" w:rsidR="00AD1F54" w:rsidRPr="00264D5D" w:rsidRDefault="00941227">
            <w:pPr>
              <w:pStyle w:val="GOSTTableHead"/>
            </w:pPr>
            <w:r w:rsidRPr="00264D5D">
              <w:t>Примечание</w:t>
            </w:r>
          </w:p>
        </w:tc>
      </w:tr>
      <w:tr w:rsidR="00AD1F54" w:rsidRPr="00264D5D" w14:paraId="7958FD06" w14:textId="77777777" w:rsidTr="00AD1F54">
        <w:trPr>
          <w:cnfStyle w:val="000000100000" w:firstRow="0" w:lastRow="0" w:firstColumn="0" w:lastColumn="0" w:oddVBand="0" w:evenVBand="0" w:oddHBand="1" w:evenHBand="0" w:firstRowFirstColumn="0" w:firstRowLastColumn="0" w:lastRowFirstColumn="0" w:lastRowLastColumn="0"/>
        </w:trPr>
        <w:tc>
          <w:tcPr>
            <w:tcW w:w="1322" w:type="pct"/>
          </w:tcPr>
          <w:p w14:paraId="72DA1859" w14:textId="77777777" w:rsidR="00AD1F54" w:rsidRPr="00264D5D" w:rsidRDefault="00941227">
            <w:pPr>
              <w:pStyle w:val="GOSTTablenorm"/>
              <w:rPr>
                <w:szCs w:val="22"/>
              </w:rPr>
            </w:pPr>
            <w:r w:rsidRPr="00264D5D">
              <w:rPr>
                <w:szCs w:val="22"/>
              </w:rPr>
              <w:t>ПБС (ПФХД)</w:t>
            </w:r>
          </w:p>
        </w:tc>
        <w:tc>
          <w:tcPr>
            <w:tcW w:w="1325" w:type="pct"/>
          </w:tcPr>
          <w:p w14:paraId="33E4F07D" w14:textId="77777777" w:rsidR="00AD1F54" w:rsidRPr="00264D5D" w:rsidRDefault="00941227">
            <w:pPr>
              <w:pStyle w:val="GOSTTablenorm"/>
            </w:pPr>
            <w:r w:rsidRPr="00264D5D">
              <w:t>ТОФК (ПУР ЭБ)</w:t>
            </w:r>
          </w:p>
        </w:tc>
        <w:tc>
          <w:tcPr>
            <w:tcW w:w="2353" w:type="pct"/>
          </w:tcPr>
          <w:p w14:paraId="70EAC373" w14:textId="77777777" w:rsidR="00AD1F54" w:rsidRPr="00264D5D" w:rsidRDefault="00AD1F54">
            <w:pPr>
              <w:pStyle w:val="GOSTTablenorm"/>
            </w:pPr>
          </w:p>
        </w:tc>
      </w:tr>
      <w:tr w:rsidR="00AD1F54" w:rsidRPr="00264D5D" w14:paraId="4C5855CC" w14:textId="77777777" w:rsidTr="00AD1F54">
        <w:trPr>
          <w:cnfStyle w:val="000000010000" w:firstRow="0" w:lastRow="0" w:firstColumn="0" w:lastColumn="0" w:oddVBand="0" w:evenVBand="0" w:oddHBand="0" w:evenHBand="1" w:firstRowFirstColumn="0" w:firstRowLastColumn="0" w:lastRowFirstColumn="0" w:lastRowLastColumn="0"/>
        </w:trPr>
        <w:tc>
          <w:tcPr>
            <w:tcW w:w="1322" w:type="pct"/>
          </w:tcPr>
          <w:p w14:paraId="65EFBEE5" w14:textId="77777777" w:rsidR="00AD1F54" w:rsidRPr="00264D5D" w:rsidRDefault="00D83D19">
            <w:pPr>
              <w:pStyle w:val="GOSTTablenorm"/>
              <w:rPr>
                <w:szCs w:val="22"/>
              </w:rPr>
            </w:pPr>
            <w:r>
              <w:lastRenderedPageBreak/>
              <w:t>ТОФК (ППО АСФК)</w:t>
            </w:r>
          </w:p>
        </w:tc>
        <w:tc>
          <w:tcPr>
            <w:tcW w:w="1325" w:type="pct"/>
          </w:tcPr>
          <w:p w14:paraId="397B50CD" w14:textId="77777777" w:rsidR="00AD1F54" w:rsidRPr="00264D5D" w:rsidRDefault="00D83D19">
            <w:pPr>
              <w:pStyle w:val="GOSTTablenorm"/>
            </w:pPr>
            <w:r>
              <w:t>ТОФК (ПУР ЭБ)</w:t>
            </w:r>
          </w:p>
        </w:tc>
        <w:tc>
          <w:tcPr>
            <w:tcW w:w="2353" w:type="pct"/>
          </w:tcPr>
          <w:p w14:paraId="4AD79ABE" w14:textId="77777777" w:rsidR="00AD1F54" w:rsidRPr="00264D5D" w:rsidRDefault="00AD1F54">
            <w:pPr>
              <w:pStyle w:val="GOSTTablenorm"/>
            </w:pPr>
          </w:p>
        </w:tc>
      </w:tr>
      <w:tr w:rsidR="00AD1F54" w:rsidRPr="00264D5D" w14:paraId="143A7377" w14:textId="77777777" w:rsidTr="00AD1F54">
        <w:trPr>
          <w:cnfStyle w:val="000000100000" w:firstRow="0" w:lastRow="0" w:firstColumn="0" w:lastColumn="0" w:oddVBand="0" w:evenVBand="0" w:oddHBand="1" w:evenHBand="0" w:firstRowFirstColumn="0" w:firstRowLastColumn="0" w:lastRowFirstColumn="0" w:lastRowLastColumn="0"/>
        </w:trPr>
        <w:tc>
          <w:tcPr>
            <w:tcW w:w="1322" w:type="pct"/>
          </w:tcPr>
          <w:p w14:paraId="73E046BA" w14:textId="77777777" w:rsidR="00AD1F54" w:rsidRPr="00264D5D" w:rsidRDefault="00D83D19">
            <w:pPr>
              <w:pStyle w:val="GOSTTablenorm"/>
              <w:rPr>
                <w:szCs w:val="22"/>
              </w:rPr>
            </w:pPr>
            <w:r>
              <w:t>ТОФК (ПУР ЭБ)</w:t>
            </w:r>
          </w:p>
        </w:tc>
        <w:tc>
          <w:tcPr>
            <w:tcW w:w="1325" w:type="pct"/>
          </w:tcPr>
          <w:p w14:paraId="7E0642AE" w14:textId="77777777" w:rsidR="00AD1F54" w:rsidRPr="00264D5D" w:rsidRDefault="00D83D19">
            <w:pPr>
              <w:pStyle w:val="GOSTTablenorm"/>
            </w:pPr>
            <w:r>
              <w:t>ТОФК (ППО АСФК)</w:t>
            </w:r>
          </w:p>
        </w:tc>
        <w:tc>
          <w:tcPr>
            <w:tcW w:w="2353" w:type="pct"/>
          </w:tcPr>
          <w:p w14:paraId="513909D1" w14:textId="77777777" w:rsidR="00AD1F54" w:rsidRPr="00264D5D" w:rsidRDefault="00AD1F54">
            <w:pPr>
              <w:pStyle w:val="GOSTTablenorm"/>
            </w:pPr>
          </w:p>
        </w:tc>
      </w:tr>
      <w:tr w:rsidR="00AD1F54" w:rsidRPr="00264D5D" w14:paraId="708783FF" w14:textId="77777777" w:rsidTr="00AD1F54">
        <w:trPr>
          <w:cnfStyle w:val="000000010000" w:firstRow="0" w:lastRow="0" w:firstColumn="0" w:lastColumn="0" w:oddVBand="0" w:evenVBand="0" w:oddHBand="0" w:evenHBand="1" w:firstRowFirstColumn="0" w:firstRowLastColumn="0" w:lastRowFirstColumn="0" w:lastRowLastColumn="0"/>
        </w:trPr>
        <w:tc>
          <w:tcPr>
            <w:tcW w:w="1322" w:type="pct"/>
          </w:tcPr>
          <w:p w14:paraId="216C5C39" w14:textId="77777777" w:rsidR="00AD1F54" w:rsidRPr="00264D5D" w:rsidRDefault="00D65AFB">
            <w:pPr>
              <w:pStyle w:val="GOSTTablenorm"/>
            </w:pPr>
            <w:r>
              <w:t>ТОФК (Компонент КС ПУР ЭБ)</w:t>
            </w:r>
          </w:p>
        </w:tc>
        <w:tc>
          <w:tcPr>
            <w:tcW w:w="1325" w:type="pct"/>
          </w:tcPr>
          <w:p w14:paraId="551AAED4" w14:textId="77777777" w:rsidR="00AD1F54" w:rsidRPr="00264D5D" w:rsidRDefault="00941227">
            <w:pPr>
              <w:pStyle w:val="GOSTTablenorm"/>
            </w:pPr>
            <w:r w:rsidRPr="00264D5D">
              <w:t>ПУДС ЭБ</w:t>
            </w:r>
          </w:p>
        </w:tc>
        <w:tc>
          <w:tcPr>
            <w:tcW w:w="2353" w:type="pct"/>
          </w:tcPr>
          <w:p w14:paraId="7BB1D6B9" w14:textId="77777777" w:rsidR="00AD1F54" w:rsidRPr="00264D5D" w:rsidRDefault="00AD1F54">
            <w:pPr>
              <w:pStyle w:val="GOSTTablenorm"/>
            </w:pPr>
          </w:p>
        </w:tc>
      </w:tr>
      <w:tr w:rsidR="00AD1F54" w:rsidRPr="00264D5D" w14:paraId="44B81A81" w14:textId="77777777" w:rsidTr="00AD1F54">
        <w:trPr>
          <w:cnfStyle w:val="000000100000" w:firstRow="0" w:lastRow="0" w:firstColumn="0" w:lastColumn="0" w:oddVBand="0" w:evenVBand="0" w:oddHBand="1" w:evenHBand="0" w:firstRowFirstColumn="0" w:firstRowLastColumn="0" w:lastRowFirstColumn="0" w:lastRowLastColumn="0"/>
        </w:trPr>
        <w:tc>
          <w:tcPr>
            <w:tcW w:w="1322" w:type="pct"/>
          </w:tcPr>
          <w:p w14:paraId="19DFB32B" w14:textId="77777777" w:rsidR="00AD1F54" w:rsidRPr="00264D5D" w:rsidRDefault="00D65AFB">
            <w:pPr>
              <w:pStyle w:val="GOSTTablenorm"/>
            </w:pPr>
            <w:r>
              <w:t>ТОФК (Компонент КС ПУР ЭБ)</w:t>
            </w:r>
          </w:p>
        </w:tc>
        <w:tc>
          <w:tcPr>
            <w:tcW w:w="1325" w:type="pct"/>
          </w:tcPr>
          <w:p w14:paraId="35E930E5" w14:textId="77777777" w:rsidR="00AD1F54" w:rsidRPr="00264D5D" w:rsidRDefault="00D83D19">
            <w:pPr>
              <w:pStyle w:val="GOSTTablenorm"/>
            </w:pPr>
            <w:r>
              <w:t>ТОФК (ППО АСФК)</w:t>
            </w:r>
          </w:p>
        </w:tc>
        <w:tc>
          <w:tcPr>
            <w:tcW w:w="2353" w:type="pct"/>
          </w:tcPr>
          <w:p w14:paraId="4E05847A" w14:textId="77777777" w:rsidR="00AD1F54" w:rsidRPr="00264D5D" w:rsidRDefault="00AD1F54">
            <w:pPr>
              <w:pStyle w:val="GOSTTablenorm"/>
            </w:pPr>
          </w:p>
        </w:tc>
      </w:tr>
      <w:tr w:rsidR="00AD1F54" w:rsidRPr="00264D5D" w14:paraId="7D99B092" w14:textId="77777777" w:rsidTr="00AD1F54">
        <w:trPr>
          <w:cnfStyle w:val="000000010000" w:firstRow="0" w:lastRow="0" w:firstColumn="0" w:lastColumn="0" w:oddVBand="0" w:evenVBand="0" w:oddHBand="0" w:evenHBand="1" w:firstRowFirstColumn="0" w:firstRowLastColumn="0" w:lastRowFirstColumn="0" w:lastRowLastColumn="0"/>
        </w:trPr>
        <w:tc>
          <w:tcPr>
            <w:tcW w:w="1322" w:type="pct"/>
          </w:tcPr>
          <w:p w14:paraId="65DDAD10" w14:textId="77777777" w:rsidR="00AD1F54" w:rsidRPr="00264D5D" w:rsidRDefault="00941227">
            <w:pPr>
              <w:pStyle w:val="GOSTTablenorm"/>
              <w:rPr>
                <w:szCs w:val="22"/>
              </w:rPr>
            </w:pPr>
            <w:r w:rsidRPr="00264D5D">
              <w:rPr>
                <w:szCs w:val="22"/>
              </w:rPr>
              <w:t>ТОФК (Компонент АУ, БУ ПУР ЭБ)</w:t>
            </w:r>
          </w:p>
        </w:tc>
        <w:tc>
          <w:tcPr>
            <w:tcW w:w="1325" w:type="pct"/>
          </w:tcPr>
          <w:p w14:paraId="044535BA" w14:textId="77777777" w:rsidR="00AD1F54" w:rsidRPr="00264D5D" w:rsidRDefault="00941227">
            <w:pPr>
              <w:pStyle w:val="GOSTTablenorm"/>
            </w:pPr>
            <w:r w:rsidRPr="00264D5D">
              <w:rPr>
                <w:szCs w:val="22"/>
              </w:rPr>
              <w:t>ТОФК (ППО АСФК)</w:t>
            </w:r>
          </w:p>
        </w:tc>
        <w:tc>
          <w:tcPr>
            <w:tcW w:w="2353" w:type="pct"/>
          </w:tcPr>
          <w:p w14:paraId="6E2ADE29" w14:textId="77777777" w:rsidR="00AD1F54" w:rsidRPr="00264D5D" w:rsidRDefault="00AD1F54">
            <w:pPr>
              <w:pStyle w:val="GOSTTablenorm"/>
              <w:rPr>
                <w:szCs w:val="22"/>
              </w:rPr>
            </w:pPr>
          </w:p>
        </w:tc>
      </w:tr>
      <w:tr w:rsidR="00AD1F54" w:rsidRPr="00264D5D" w14:paraId="1A631694" w14:textId="77777777" w:rsidTr="00AD1F54">
        <w:trPr>
          <w:cnfStyle w:val="000000100000" w:firstRow="0" w:lastRow="0" w:firstColumn="0" w:lastColumn="0" w:oddVBand="0" w:evenVBand="0" w:oddHBand="1" w:evenHBand="0" w:firstRowFirstColumn="0" w:firstRowLastColumn="0" w:lastRowFirstColumn="0" w:lastRowLastColumn="0"/>
        </w:trPr>
        <w:tc>
          <w:tcPr>
            <w:tcW w:w="1322" w:type="pct"/>
          </w:tcPr>
          <w:p w14:paraId="0C17BD9D" w14:textId="77777777" w:rsidR="00AD1F54" w:rsidRPr="00264D5D" w:rsidRDefault="00941227">
            <w:pPr>
              <w:pStyle w:val="GOSTTablenorm"/>
            </w:pPr>
            <w:r w:rsidRPr="00264D5D">
              <w:rPr>
                <w:szCs w:val="22"/>
              </w:rPr>
              <w:t>ЕИС</w:t>
            </w:r>
          </w:p>
        </w:tc>
        <w:tc>
          <w:tcPr>
            <w:tcW w:w="1325" w:type="pct"/>
          </w:tcPr>
          <w:p w14:paraId="05D1EB28" w14:textId="77777777" w:rsidR="00AD1F54" w:rsidRPr="00264D5D" w:rsidRDefault="00941227">
            <w:pPr>
              <w:pStyle w:val="GOSTTablenorm"/>
            </w:pPr>
            <w:r w:rsidRPr="00264D5D">
              <w:rPr>
                <w:szCs w:val="22"/>
              </w:rPr>
              <w:t>ТОФК (ПУР ЭБ)</w:t>
            </w:r>
          </w:p>
        </w:tc>
        <w:tc>
          <w:tcPr>
            <w:tcW w:w="2353" w:type="pct"/>
          </w:tcPr>
          <w:p w14:paraId="61371D12" w14:textId="77777777" w:rsidR="00AD1F54" w:rsidRPr="00264D5D" w:rsidRDefault="00AD1F54">
            <w:pPr>
              <w:pStyle w:val="GOSTTablenorm"/>
              <w:rPr>
                <w:szCs w:val="22"/>
              </w:rPr>
            </w:pPr>
          </w:p>
        </w:tc>
      </w:tr>
      <w:tr w:rsidR="00AD1F54" w:rsidRPr="00264D5D" w14:paraId="67803FCB" w14:textId="77777777" w:rsidTr="00AD1F54">
        <w:trPr>
          <w:cnfStyle w:val="000000010000" w:firstRow="0" w:lastRow="0" w:firstColumn="0" w:lastColumn="0" w:oddVBand="0" w:evenVBand="0" w:oddHBand="0" w:evenHBand="1" w:firstRowFirstColumn="0" w:firstRowLastColumn="0" w:lastRowFirstColumn="0" w:lastRowLastColumn="0"/>
        </w:trPr>
        <w:tc>
          <w:tcPr>
            <w:tcW w:w="1322" w:type="pct"/>
          </w:tcPr>
          <w:p w14:paraId="6665F9D7" w14:textId="77777777" w:rsidR="00AD1F54" w:rsidRPr="00264D5D" w:rsidRDefault="00941227">
            <w:pPr>
              <w:pStyle w:val="GOSTTablenorm"/>
            </w:pPr>
            <w:r w:rsidRPr="00264D5D">
              <w:rPr>
                <w:szCs w:val="22"/>
              </w:rPr>
              <w:t>ЕИС</w:t>
            </w:r>
          </w:p>
        </w:tc>
        <w:tc>
          <w:tcPr>
            <w:tcW w:w="1325" w:type="pct"/>
          </w:tcPr>
          <w:p w14:paraId="712E9148" w14:textId="77777777" w:rsidR="00AD1F54" w:rsidRPr="00264D5D" w:rsidRDefault="00941227">
            <w:pPr>
              <w:pStyle w:val="GOSTTablenorm"/>
            </w:pPr>
            <w:r w:rsidRPr="00264D5D">
              <w:t>ТОФК (ППО АСФК)</w:t>
            </w:r>
          </w:p>
        </w:tc>
        <w:tc>
          <w:tcPr>
            <w:tcW w:w="2353" w:type="pct"/>
          </w:tcPr>
          <w:p w14:paraId="228871BE" w14:textId="77777777" w:rsidR="00AD1F54" w:rsidRPr="00264D5D" w:rsidRDefault="00AD1F54">
            <w:pPr>
              <w:pStyle w:val="GOSTTablenorm"/>
              <w:rPr>
                <w:szCs w:val="22"/>
              </w:rPr>
            </w:pPr>
          </w:p>
        </w:tc>
      </w:tr>
      <w:tr w:rsidR="00AD1F54" w:rsidRPr="00264D5D" w14:paraId="53EC6B31" w14:textId="77777777" w:rsidTr="00AD1F54">
        <w:trPr>
          <w:cnfStyle w:val="000000100000" w:firstRow="0" w:lastRow="0" w:firstColumn="0" w:lastColumn="0" w:oddVBand="0" w:evenVBand="0" w:oddHBand="1" w:evenHBand="0" w:firstRowFirstColumn="0" w:firstRowLastColumn="0" w:lastRowFirstColumn="0" w:lastRowLastColumn="0"/>
        </w:trPr>
        <w:tc>
          <w:tcPr>
            <w:tcW w:w="1322" w:type="pct"/>
          </w:tcPr>
          <w:p w14:paraId="3E1C2A4F" w14:textId="77777777" w:rsidR="00AD1F54" w:rsidRPr="00264D5D" w:rsidRDefault="00941227">
            <w:pPr>
              <w:pStyle w:val="GOSTTablenorm"/>
            </w:pPr>
            <w:r w:rsidRPr="00264D5D">
              <w:rPr>
                <w:szCs w:val="22"/>
              </w:rPr>
              <w:t>ЕИС</w:t>
            </w:r>
          </w:p>
        </w:tc>
        <w:tc>
          <w:tcPr>
            <w:tcW w:w="1325" w:type="pct"/>
          </w:tcPr>
          <w:p w14:paraId="598FF130" w14:textId="77777777" w:rsidR="00AD1F54" w:rsidRPr="00264D5D" w:rsidRDefault="00941227">
            <w:pPr>
              <w:pStyle w:val="GOSTTablenorm"/>
            </w:pPr>
            <w:r w:rsidRPr="00264D5D">
              <w:rPr>
                <w:szCs w:val="22"/>
              </w:rPr>
              <w:t>ТОФК (Компонент АУ, БУ ПУР ЭБ)</w:t>
            </w:r>
          </w:p>
        </w:tc>
        <w:tc>
          <w:tcPr>
            <w:tcW w:w="2353" w:type="pct"/>
          </w:tcPr>
          <w:p w14:paraId="0224AC23" w14:textId="77777777" w:rsidR="00AD1F54" w:rsidRPr="00264D5D" w:rsidRDefault="00AD1F54">
            <w:pPr>
              <w:pStyle w:val="GOSTTablenorm"/>
              <w:rPr>
                <w:szCs w:val="22"/>
              </w:rPr>
            </w:pPr>
          </w:p>
        </w:tc>
      </w:tr>
      <w:tr w:rsidR="00AD1F54" w:rsidRPr="00264D5D" w14:paraId="709F515F" w14:textId="77777777" w:rsidTr="00AD1F54">
        <w:trPr>
          <w:cnfStyle w:val="000000010000" w:firstRow="0" w:lastRow="0" w:firstColumn="0" w:lastColumn="0" w:oddVBand="0" w:evenVBand="0" w:oddHBand="0" w:evenHBand="1" w:firstRowFirstColumn="0" w:firstRowLastColumn="0" w:lastRowFirstColumn="0" w:lastRowLastColumn="0"/>
        </w:trPr>
        <w:tc>
          <w:tcPr>
            <w:tcW w:w="1322" w:type="pct"/>
          </w:tcPr>
          <w:p w14:paraId="2FD924A6" w14:textId="77777777" w:rsidR="00AD1F54" w:rsidRPr="00264D5D" w:rsidRDefault="00941227">
            <w:pPr>
              <w:pStyle w:val="GOSTTablenorm"/>
              <w:rPr>
                <w:szCs w:val="22"/>
              </w:rPr>
            </w:pPr>
            <w:r w:rsidRPr="00264D5D">
              <w:rPr>
                <w:szCs w:val="22"/>
              </w:rPr>
              <w:t>АУ, БУ</w:t>
            </w:r>
          </w:p>
        </w:tc>
        <w:tc>
          <w:tcPr>
            <w:tcW w:w="1325" w:type="pct"/>
          </w:tcPr>
          <w:p w14:paraId="385FC9B9" w14:textId="77777777" w:rsidR="00AD1F54" w:rsidRPr="00264D5D" w:rsidRDefault="00941227">
            <w:pPr>
              <w:pStyle w:val="GOSTTablenorm"/>
              <w:rPr>
                <w:szCs w:val="22"/>
              </w:rPr>
            </w:pPr>
            <w:r w:rsidRPr="00264D5D">
              <w:rPr>
                <w:szCs w:val="22"/>
              </w:rPr>
              <w:t>ТОФК (Компонент АУ, БУ ПУР ЭБ)</w:t>
            </w:r>
          </w:p>
        </w:tc>
        <w:tc>
          <w:tcPr>
            <w:tcW w:w="2353" w:type="pct"/>
          </w:tcPr>
          <w:p w14:paraId="4DCA9ABE" w14:textId="77777777" w:rsidR="00AD1F54" w:rsidRPr="00264D5D" w:rsidRDefault="00AD1F54">
            <w:pPr>
              <w:pStyle w:val="GOSTTablenorm"/>
              <w:rPr>
                <w:szCs w:val="22"/>
              </w:rPr>
            </w:pPr>
          </w:p>
        </w:tc>
      </w:tr>
      <w:tr w:rsidR="00AD1F54" w:rsidRPr="00264D5D" w14:paraId="2A635AA3" w14:textId="77777777" w:rsidTr="00AD1F54">
        <w:trPr>
          <w:cnfStyle w:val="000000100000" w:firstRow="0" w:lastRow="0" w:firstColumn="0" w:lastColumn="0" w:oddVBand="0" w:evenVBand="0" w:oddHBand="1" w:evenHBand="0" w:firstRowFirstColumn="0" w:firstRowLastColumn="0" w:lastRowFirstColumn="0" w:lastRowLastColumn="0"/>
        </w:trPr>
        <w:tc>
          <w:tcPr>
            <w:tcW w:w="1322" w:type="pct"/>
          </w:tcPr>
          <w:p w14:paraId="2B01AE5C" w14:textId="77777777" w:rsidR="00AD1F54" w:rsidRPr="00264D5D" w:rsidRDefault="00941227">
            <w:pPr>
              <w:pStyle w:val="GOSTTablenorm"/>
              <w:rPr>
                <w:szCs w:val="22"/>
              </w:rPr>
            </w:pPr>
            <w:r w:rsidRPr="00264D5D">
              <w:rPr>
                <w:szCs w:val="22"/>
              </w:rPr>
              <w:t>Стороннее ППО</w:t>
            </w:r>
          </w:p>
        </w:tc>
        <w:tc>
          <w:tcPr>
            <w:tcW w:w="1325" w:type="pct"/>
          </w:tcPr>
          <w:p w14:paraId="7A8ADB35" w14:textId="77777777" w:rsidR="00AD1F54" w:rsidRPr="00264D5D" w:rsidRDefault="00941227">
            <w:pPr>
              <w:pStyle w:val="GOSTTablenorm"/>
              <w:rPr>
                <w:szCs w:val="22"/>
              </w:rPr>
            </w:pPr>
            <w:r w:rsidRPr="00264D5D">
              <w:t>ТОФК (ПУД ЭБ)</w:t>
            </w:r>
          </w:p>
        </w:tc>
        <w:tc>
          <w:tcPr>
            <w:tcW w:w="2353" w:type="pct"/>
          </w:tcPr>
          <w:p w14:paraId="3C086DA6" w14:textId="77777777" w:rsidR="00AD1F54" w:rsidRPr="00264D5D" w:rsidRDefault="00AD1F54">
            <w:pPr>
              <w:pStyle w:val="GOSTTablenorm"/>
              <w:rPr>
                <w:szCs w:val="22"/>
              </w:rPr>
            </w:pPr>
          </w:p>
        </w:tc>
      </w:tr>
      <w:tr w:rsidR="00AD1F54" w:rsidRPr="00264D5D" w14:paraId="37D333CE" w14:textId="77777777" w:rsidTr="00AD1F54">
        <w:trPr>
          <w:cnfStyle w:val="000000010000" w:firstRow="0" w:lastRow="0" w:firstColumn="0" w:lastColumn="0" w:oddVBand="0" w:evenVBand="0" w:oddHBand="0" w:evenHBand="1" w:firstRowFirstColumn="0" w:firstRowLastColumn="0" w:lastRowFirstColumn="0" w:lastRowLastColumn="0"/>
        </w:trPr>
        <w:tc>
          <w:tcPr>
            <w:tcW w:w="1322" w:type="pct"/>
          </w:tcPr>
          <w:p w14:paraId="4098F72E" w14:textId="77777777" w:rsidR="00AD1F54" w:rsidRPr="00264D5D" w:rsidRDefault="00C97F28">
            <w:pPr>
              <w:pStyle w:val="GOSTTablenorm"/>
              <w:rPr>
                <w:szCs w:val="22"/>
              </w:rPr>
            </w:pPr>
            <w:r w:rsidRPr="00264D5D">
              <w:rPr>
                <w:szCs w:val="22"/>
              </w:rPr>
              <w:t>АДБ,</w:t>
            </w:r>
            <w:r w:rsidRPr="00264D5D">
              <w:rPr>
                <w:szCs w:val="22"/>
                <w:lang w:eastAsia="en-US"/>
              </w:rPr>
              <w:t xml:space="preserve"> АИФДБ (</w:t>
            </w:r>
            <w:r w:rsidRPr="00264D5D">
              <w:rPr>
                <w:szCs w:val="22"/>
              </w:rPr>
              <w:t>ФНС, ФТС) (МВУ ПУиО (ПФХД))</w:t>
            </w:r>
          </w:p>
        </w:tc>
        <w:tc>
          <w:tcPr>
            <w:tcW w:w="1325" w:type="pct"/>
          </w:tcPr>
          <w:p w14:paraId="474F82FE" w14:textId="77777777" w:rsidR="00AD1F54" w:rsidRPr="00264D5D" w:rsidRDefault="00941227">
            <w:pPr>
              <w:pStyle w:val="GOSTTablenorm"/>
              <w:rPr>
                <w:szCs w:val="22"/>
              </w:rPr>
            </w:pPr>
            <w:r w:rsidRPr="00264D5D">
              <w:t>ТОФК (ПУД ЭБ)</w:t>
            </w:r>
          </w:p>
        </w:tc>
        <w:tc>
          <w:tcPr>
            <w:tcW w:w="2353" w:type="pct"/>
          </w:tcPr>
          <w:p w14:paraId="50611799" w14:textId="42AAD837" w:rsidR="00F05522" w:rsidRPr="00264D5D" w:rsidRDefault="00F05522">
            <w:pPr>
              <w:pStyle w:val="GOSTTablenorm"/>
              <w:rPr>
                <w:szCs w:val="22"/>
              </w:rPr>
            </w:pPr>
          </w:p>
        </w:tc>
      </w:tr>
      <w:tr w:rsidR="00AD1F54" w:rsidRPr="00264D5D" w14:paraId="4BD00A7A" w14:textId="77777777" w:rsidTr="00AD1F54">
        <w:trPr>
          <w:cnfStyle w:val="000000100000" w:firstRow="0" w:lastRow="0" w:firstColumn="0" w:lastColumn="0" w:oddVBand="0" w:evenVBand="0" w:oddHBand="1" w:evenHBand="0" w:firstRowFirstColumn="0" w:firstRowLastColumn="0" w:lastRowFirstColumn="0" w:lastRowLastColumn="0"/>
        </w:trPr>
        <w:tc>
          <w:tcPr>
            <w:tcW w:w="1322" w:type="pct"/>
          </w:tcPr>
          <w:p w14:paraId="3C773CE7" w14:textId="77777777" w:rsidR="00AD1F54" w:rsidRPr="00264D5D" w:rsidRDefault="00941227">
            <w:pPr>
              <w:pStyle w:val="GOSTTablenorm"/>
              <w:rPr>
                <w:szCs w:val="22"/>
              </w:rPr>
            </w:pPr>
            <w:r w:rsidRPr="00264D5D">
              <w:t>ТОФК (ПУД ЭБ)</w:t>
            </w:r>
          </w:p>
        </w:tc>
        <w:tc>
          <w:tcPr>
            <w:tcW w:w="1325" w:type="pct"/>
          </w:tcPr>
          <w:p w14:paraId="4568464E" w14:textId="77777777" w:rsidR="00AD1F54" w:rsidRPr="00264D5D" w:rsidRDefault="00941227">
            <w:pPr>
              <w:pStyle w:val="GOSTTablenorm"/>
              <w:rPr>
                <w:szCs w:val="22"/>
              </w:rPr>
            </w:pPr>
            <w:r w:rsidRPr="00264D5D">
              <w:t>ТОФК (ППО АСФК)</w:t>
            </w:r>
          </w:p>
        </w:tc>
        <w:tc>
          <w:tcPr>
            <w:tcW w:w="2353" w:type="pct"/>
          </w:tcPr>
          <w:p w14:paraId="4C5DF6C0" w14:textId="77777777" w:rsidR="00AD1F54" w:rsidRPr="00264D5D" w:rsidRDefault="00AD1F54">
            <w:pPr>
              <w:pStyle w:val="GOSTTablenorm"/>
              <w:rPr>
                <w:szCs w:val="22"/>
              </w:rPr>
            </w:pPr>
          </w:p>
        </w:tc>
      </w:tr>
      <w:tr w:rsidR="00D83D19" w:rsidRPr="00264D5D" w14:paraId="4E9ACB71" w14:textId="77777777" w:rsidTr="00AD1F54">
        <w:trPr>
          <w:cnfStyle w:val="000000010000" w:firstRow="0" w:lastRow="0" w:firstColumn="0" w:lastColumn="0" w:oddVBand="0" w:evenVBand="0" w:oddHBand="0" w:evenHBand="1" w:firstRowFirstColumn="0" w:firstRowLastColumn="0" w:lastRowFirstColumn="0" w:lastRowLastColumn="0"/>
        </w:trPr>
        <w:tc>
          <w:tcPr>
            <w:tcW w:w="1322" w:type="pct"/>
          </w:tcPr>
          <w:p w14:paraId="072EC549" w14:textId="77777777" w:rsidR="00D83D19" w:rsidRPr="006C7603" w:rsidRDefault="00D83D19" w:rsidP="00D83D19">
            <w:pPr>
              <w:pStyle w:val="GOSTTablenorm"/>
              <w:rPr>
                <w:szCs w:val="22"/>
                <w:highlight w:val="green"/>
              </w:rPr>
            </w:pPr>
            <w:r>
              <w:rPr>
                <w:szCs w:val="22"/>
                <w:highlight w:val="green"/>
              </w:rPr>
              <w:t>ПБС</w:t>
            </w:r>
          </w:p>
        </w:tc>
        <w:tc>
          <w:tcPr>
            <w:tcW w:w="1325" w:type="pct"/>
          </w:tcPr>
          <w:p w14:paraId="285348A1" w14:textId="77777777" w:rsidR="00D83D19" w:rsidRPr="006C7603" w:rsidRDefault="00D83D19" w:rsidP="00D83D19">
            <w:pPr>
              <w:pStyle w:val="GOSTTablenorm"/>
              <w:rPr>
                <w:szCs w:val="22"/>
                <w:highlight w:val="green"/>
              </w:rPr>
            </w:pPr>
            <w:r w:rsidRPr="00103F67">
              <w:rPr>
                <w:szCs w:val="22"/>
                <w:highlight w:val="green"/>
              </w:rPr>
              <w:t>ТОФК (ПУР ЭБ)</w:t>
            </w:r>
          </w:p>
        </w:tc>
        <w:tc>
          <w:tcPr>
            <w:tcW w:w="2353" w:type="pct"/>
          </w:tcPr>
          <w:p w14:paraId="1E160A6D" w14:textId="77777777" w:rsidR="00D83D19" w:rsidRPr="00264D5D" w:rsidRDefault="00D83D19" w:rsidP="00D83D19">
            <w:pPr>
              <w:pStyle w:val="GOSTTablenorm"/>
              <w:rPr>
                <w:szCs w:val="22"/>
              </w:rPr>
            </w:pPr>
          </w:p>
        </w:tc>
      </w:tr>
      <w:tr w:rsidR="00D83D19" w:rsidRPr="00264D5D" w14:paraId="6ABA0D9D" w14:textId="77777777" w:rsidTr="00AD1F54">
        <w:trPr>
          <w:cnfStyle w:val="000000100000" w:firstRow="0" w:lastRow="0" w:firstColumn="0" w:lastColumn="0" w:oddVBand="0" w:evenVBand="0" w:oddHBand="1" w:evenHBand="0" w:firstRowFirstColumn="0" w:firstRowLastColumn="0" w:lastRowFirstColumn="0" w:lastRowLastColumn="0"/>
        </w:trPr>
        <w:tc>
          <w:tcPr>
            <w:tcW w:w="1322" w:type="pct"/>
          </w:tcPr>
          <w:p w14:paraId="237B91B5" w14:textId="77777777" w:rsidR="00D83D19" w:rsidRPr="00264D5D" w:rsidRDefault="00D83D19" w:rsidP="00D83D19">
            <w:pPr>
              <w:pStyle w:val="GOSTTablenorm"/>
            </w:pPr>
            <w:r w:rsidRPr="009571B1">
              <w:rPr>
                <w:szCs w:val="22"/>
                <w:highlight w:val="green"/>
              </w:rPr>
              <w:t>Уполномоченный ТОФК (МУО СГ)</w:t>
            </w:r>
          </w:p>
        </w:tc>
        <w:tc>
          <w:tcPr>
            <w:tcW w:w="1325" w:type="pct"/>
          </w:tcPr>
          <w:p w14:paraId="5691968F" w14:textId="77777777" w:rsidR="00D83D19" w:rsidRPr="00264D5D" w:rsidRDefault="00D83D19" w:rsidP="00D83D19">
            <w:pPr>
              <w:pStyle w:val="GOSTTablenorm"/>
            </w:pPr>
            <w:r w:rsidRPr="009571B1">
              <w:rPr>
                <w:szCs w:val="22"/>
                <w:highlight w:val="green"/>
              </w:rPr>
              <w:t>ТОФК (ППО АСФК)</w:t>
            </w:r>
          </w:p>
        </w:tc>
        <w:tc>
          <w:tcPr>
            <w:tcW w:w="2353" w:type="pct"/>
          </w:tcPr>
          <w:p w14:paraId="2A49C291" w14:textId="77777777" w:rsidR="00D83D19" w:rsidRPr="00264D5D" w:rsidRDefault="00D83D19" w:rsidP="00D83D19">
            <w:pPr>
              <w:pStyle w:val="GOSTTablenorm"/>
              <w:rPr>
                <w:szCs w:val="22"/>
              </w:rPr>
            </w:pPr>
            <w:r w:rsidRPr="009571B1">
              <w:rPr>
                <w:szCs w:val="22"/>
                <w:highlight w:val="green"/>
              </w:rPr>
              <w:t>На первом этапе уполномоченным ТОФК по исполнению бюджета Союзного государства является МОУ ФК</w:t>
            </w:r>
          </w:p>
        </w:tc>
      </w:tr>
    </w:tbl>
    <w:p w14:paraId="7EA9312C" w14:textId="77777777" w:rsidR="00AD1F54" w:rsidRPr="008B26A8" w:rsidRDefault="00941227">
      <w:pPr>
        <w:pStyle w:val="31"/>
        <w:rPr>
          <w:highlight w:val="green"/>
        </w:rPr>
      </w:pPr>
      <w:bookmarkStart w:id="1082" w:name="_Ref524683561"/>
      <w:bookmarkStart w:id="1083" w:name="_Toc776923"/>
      <w:bookmarkStart w:id="1084" w:name="_Toc1469459"/>
      <w:bookmarkStart w:id="1085" w:name="_Toc219309554"/>
      <w:r w:rsidRPr="008B26A8">
        <w:rPr>
          <w:highlight w:val="green"/>
        </w:rPr>
        <w:t>Описание комплексного типа «tMSC_CANCDOC_REQ»</w:t>
      </w:r>
      <w:bookmarkEnd w:id="1082"/>
      <w:bookmarkEnd w:id="1083"/>
      <w:bookmarkEnd w:id="1084"/>
      <w:bookmarkEnd w:id="1085"/>
    </w:p>
    <w:p w14:paraId="3BD06FD4" w14:textId="7045BBE2" w:rsidR="00AD1F54" w:rsidRPr="008B26A8" w:rsidRDefault="006951CE">
      <w:pPr>
        <w:pStyle w:val="GOSTNameTable"/>
        <w:numPr>
          <w:ilvl w:val="0"/>
          <w:numId w:val="2"/>
        </w:numPr>
        <w:ind w:left="425" w:hanging="357"/>
        <w:rPr>
          <w:highlight w:val="green"/>
        </w:rPr>
      </w:pPr>
      <w:r w:rsidRPr="008B26A8">
        <w:rPr>
          <w:highlight w:val="green"/>
        </w:rPr>
        <w:fldChar w:fldCharType="begin"/>
      </w:r>
      <w:r w:rsidRPr="008B26A8">
        <w:rPr>
          <w:highlight w:val="green"/>
        </w:rPr>
        <w:instrText xml:space="preserve"> SEQ Таблица \* ARABIC </w:instrText>
      </w:r>
      <w:r w:rsidRPr="008B26A8">
        <w:rPr>
          <w:highlight w:val="green"/>
        </w:rPr>
        <w:fldChar w:fldCharType="separate"/>
      </w:r>
      <w:bookmarkStart w:id="1086" w:name="_Ref524683563"/>
      <w:bookmarkStart w:id="1087" w:name="_Toc776475"/>
      <w:bookmarkStart w:id="1088" w:name="_Toc219309140"/>
      <w:r w:rsidR="008D797C">
        <w:rPr>
          <w:noProof/>
          <w:highlight w:val="green"/>
        </w:rPr>
        <w:t>110</w:t>
      </w:r>
      <w:bookmarkEnd w:id="1086"/>
      <w:r w:rsidRPr="008B26A8">
        <w:rPr>
          <w:noProof/>
          <w:highlight w:val="green"/>
        </w:rPr>
        <w:fldChar w:fldCharType="end"/>
      </w:r>
      <w:r w:rsidR="00941227" w:rsidRPr="008B26A8">
        <w:rPr>
          <w:rFonts w:eastAsia="Calibri"/>
          <w:szCs w:val="24"/>
          <w:highlight w:val="green"/>
        </w:rPr>
        <w:t xml:space="preserve"> – </w:t>
      </w:r>
      <w:r w:rsidR="00941227" w:rsidRPr="008B26A8">
        <w:rPr>
          <w:highlight w:val="green"/>
        </w:rPr>
        <w:t>Описание комплексного типа «</w:t>
      </w:r>
      <w:r w:rsidR="00941227" w:rsidRPr="008B26A8">
        <w:rPr>
          <w:szCs w:val="24"/>
          <w:highlight w:val="green"/>
        </w:rPr>
        <w:t>tMSC_CANCDOC_REQ</w:t>
      </w:r>
      <w:r w:rsidR="00941227" w:rsidRPr="008B26A8">
        <w:rPr>
          <w:highlight w:val="green"/>
        </w:rPr>
        <w:t>»</w:t>
      </w:r>
      <w:bookmarkEnd w:id="1087"/>
      <w:bookmarkEnd w:id="1088"/>
    </w:p>
    <w:tbl>
      <w:tblPr>
        <w:tblStyle w:val="GOSTTable"/>
        <w:tblW w:w="5003" w:type="pct"/>
        <w:tblLayout w:type="fixed"/>
        <w:tblLook w:val="04A0" w:firstRow="1" w:lastRow="0" w:firstColumn="1" w:lastColumn="0" w:noHBand="0" w:noVBand="1"/>
      </w:tblPr>
      <w:tblGrid>
        <w:gridCol w:w="1704"/>
        <w:gridCol w:w="1704"/>
        <w:gridCol w:w="568"/>
        <w:gridCol w:w="1136"/>
        <w:gridCol w:w="568"/>
        <w:gridCol w:w="3970"/>
        <w:gridCol w:w="6"/>
      </w:tblGrid>
      <w:tr w:rsidR="00AD1F54" w:rsidRPr="00264D5D" w14:paraId="7708F593" w14:textId="77777777" w:rsidTr="00AD1F54">
        <w:trPr>
          <w:gridAfter w:val="1"/>
          <w:cnfStyle w:val="100000000000" w:firstRow="1" w:lastRow="0" w:firstColumn="0" w:lastColumn="0" w:oddVBand="0" w:evenVBand="0" w:oddHBand="0" w:evenHBand="0" w:firstRowFirstColumn="0" w:firstRowLastColumn="0" w:lastRowFirstColumn="0" w:lastRowLastColumn="0"/>
          <w:wAfter w:w="6" w:type="dxa"/>
          <w:trHeight w:val="283"/>
          <w:tblHeader/>
        </w:trPr>
        <w:tc>
          <w:tcPr>
            <w:tcW w:w="1704" w:type="dxa"/>
          </w:tcPr>
          <w:p w14:paraId="465EE1D2" w14:textId="77777777" w:rsidR="00AD1F54" w:rsidRPr="00264D5D" w:rsidRDefault="00941227">
            <w:pPr>
              <w:pStyle w:val="GOSTTableHead"/>
              <w:rPr>
                <w:szCs w:val="22"/>
              </w:rPr>
            </w:pPr>
            <w:r w:rsidRPr="00264D5D">
              <w:rPr>
                <w:szCs w:val="22"/>
              </w:rPr>
              <w:t>Наименование элемента</w:t>
            </w:r>
          </w:p>
        </w:tc>
        <w:tc>
          <w:tcPr>
            <w:tcW w:w="1704" w:type="dxa"/>
          </w:tcPr>
          <w:p w14:paraId="410A0BE8" w14:textId="77777777" w:rsidR="00AD1F54" w:rsidRPr="00264D5D" w:rsidRDefault="00941227">
            <w:pPr>
              <w:pStyle w:val="GOSTTableHead"/>
              <w:rPr>
                <w:szCs w:val="22"/>
              </w:rPr>
            </w:pPr>
            <w:r w:rsidRPr="00264D5D">
              <w:rPr>
                <w:szCs w:val="22"/>
              </w:rPr>
              <w:t>Сокращенное наименование (код) элемента</w:t>
            </w:r>
          </w:p>
        </w:tc>
        <w:tc>
          <w:tcPr>
            <w:tcW w:w="568" w:type="dxa"/>
          </w:tcPr>
          <w:p w14:paraId="39779C39" w14:textId="77777777" w:rsidR="00AD1F54" w:rsidRPr="00264D5D" w:rsidRDefault="00941227">
            <w:pPr>
              <w:pStyle w:val="GOSTTableHead"/>
              <w:rPr>
                <w:szCs w:val="22"/>
              </w:rPr>
            </w:pPr>
            <w:r w:rsidRPr="00264D5D">
              <w:rPr>
                <w:szCs w:val="22"/>
              </w:rPr>
              <w:t>Тип</w:t>
            </w:r>
          </w:p>
        </w:tc>
        <w:tc>
          <w:tcPr>
            <w:tcW w:w="1136" w:type="dxa"/>
          </w:tcPr>
          <w:p w14:paraId="3CB1017C" w14:textId="77777777" w:rsidR="00AD1F54" w:rsidRPr="00264D5D" w:rsidRDefault="00941227">
            <w:pPr>
              <w:pStyle w:val="GOSTTableHead"/>
              <w:rPr>
                <w:szCs w:val="22"/>
              </w:rPr>
            </w:pPr>
            <w:r w:rsidRPr="00264D5D">
              <w:rPr>
                <w:szCs w:val="22"/>
              </w:rPr>
              <w:t>Формат элемента</w:t>
            </w:r>
          </w:p>
        </w:tc>
        <w:tc>
          <w:tcPr>
            <w:tcW w:w="568" w:type="dxa"/>
          </w:tcPr>
          <w:p w14:paraId="6D92D686" w14:textId="77777777" w:rsidR="00AD1F54" w:rsidRPr="00264D5D" w:rsidRDefault="00941227">
            <w:pPr>
              <w:pStyle w:val="GOSTTableHead"/>
              <w:rPr>
                <w:szCs w:val="22"/>
              </w:rPr>
            </w:pPr>
            <w:r w:rsidRPr="00264D5D">
              <w:rPr>
                <w:szCs w:val="22"/>
              </w:rPr>
              <w:t>Обязательность</w:t>
            </w:r>
          </w:p>
        </w:tc>
        <w:tc>
          <w:tcPr>
            <w:tcW w:w="3970" w:type="dxa"/>
          </w:tcPr>
          <w:p w14:paraId="353CC2C6" w14:textId="77777777" w:rsidR="00AD1F54" w:rsidRPr="00264D5D" w:rsidRDefault="00941227">
            <w:pPr>
              <w:pStyle w:val="GOSTTableHead"/>
              <w:rPr>
                <w:szCs w:val="22"/>
              </w:rPr>
            </w:pPr>
            <w:r w:rsidRPr="00264D5D">
              <w:rPr>
                <w:szCs w:val="22"/>
              </w:rPr>
              <w:t>Дополнительная информация</w:t>
            </w:r>
          </w:p>
        </w:tc>
      </w:tr>
      <w:tr w:rsidR="00AD1F54" w:rsidRPr="00264D5D" w14:paraId="72DA05BA" w14:textId="77777777" w:rsidTr="00AD1F54">
        <w:trPr>
          <w:gridAfter w:val="1"/>
          <w:cnfStyle w:val="000000100000" w:firstRow="0" w:lastRow="0" w:firstColumn="0" w:lastColumn="0" w:oddVBand="0" w:evenVBand="0" w:oddHBand="1" w:evenHBand="0" w:firstRowFirstColumn="0" w:firstRowLastColumn="0" w:lastRowFirstColumn="0" w:lastRowLastColumn="0"/>
          <w:wAfter w:w="6" w:type="dxa"/>
        </w:trPr>
        <w:tc>
          <w:tcPr>
            <w:tcW w:w="1704" w:type="dxa"/>
          </w:tcPr>
          <w:p w14:paraId="2DC20BD4" w14:textId="77777777" w:rsidR="00AD1F54" w:rsidRPr="00264D5D" w:rsidRDefault="00941227">
            <w:pPr>
              <w:pStyle w:val="GOSTTablenorm"/>
              <w:rPr>
                <w:szCs w:val="22"/>
              </w:rPr>
            </w:pPr>
            <w:r w:rsidRPr="00264D5D">
              <w:t>Версия структуры формуляра</w:t>
            </w:r>
          </w:p>
        </w:tc>
        <w:tc>
          <w:tcPr>
            <w:tcW w:w="1704" w:type="dxa"/>
          </w:tcPr>
          <w:p w14:paraId="084C8E93" w14:textId="77777777" w:rsidR="00AD1F54" w:rsidRPr="00264D5D" w:rsidRDefault="00941227">
            <w:pPr>
              <w:pStyle w:val="GOSTTablenorm"/>
              <w:rPr>
                <w:szCs w:val="22"/>
              </w:rPr>
            </w:pPr>
            <w:r w:rsidRPr="00264D5D">
              <w:t>versionID</w:t>
            </w:r>
          </w:p>
        </w:tc>
        <w:tc>
          <w:tcPr>
            <w:tcW w:w="568" w:type="dxa"/>
          </w:tcPr>
          <w:p w14:paraId="7C06469C" w14:textId="77777777" w:rsidR="00AD1F54" w:rsidRPr="00264D5D" w:rsidRDefault="00941227">
            <w:pPr>
              <w:pStyle w:val="GOSTTablenorm"/>
              <w:jc w:val="center"/>
              <w:rPr>
                <w:szCs w:val="22"/>
              </w:rPr>
            </w:pPr>
            <w:r w:rsidRPr="00264D5D">
              <w:rPr>
                <w:lang w:val="en-US"/>
              </w:rPr>
              <w:t>А</w:t>
            </w:r>
          </w:p>
        </w:tc>
        <w:tc>
          <w:tcPr>
            <w:tcW w:w="1136" w:type="dxa"/>
          </w:tcPr>
          <w:p w14:paraId="17CFCB21" w14:textId="77777777" w:rsidR="00AD1F54" w:rsidRPr="00264D5D" w:rsidRDefault="00941227">
            <w:pPr>
              <w:pStyle w:val="GOSTTablenorm"/>
              <w:rPr>
                <w:szCs w:val="22"/>
              </w:rPr>
            </w:pPr>
            <w:r w:rsidRPr="00264D5D">
              <w:t>-</w:t>
            </w:r>
          </w:p>
        </w:tc>
        <w:tc>
          <w:tcPr>
            <w:tcW w:w="568" w:type="dxa"/>
          </w:tcPr>
          <w:p w14:paraId="19B07F97" w14:textId="77777777" w:rsidR="00AD1F54" w:rsidRPr="00264D5D" w:rsidRDefault="00941227">
            <w:pPr>
              <w:pStyle w:val="GOSTTablenorm"/>
              <w:jc w:val="center"/>
              <w:rPr>
                <w:szCs w:val="22"/>
              </w:rPr>
            </w:pPr>
            <w:r w:rsidRPr="00264D5D">
              <w:t>О</w:t>
            </w:r>
          </w:p>
        </w:tc>
        <w:tc>
          <w:tcPr>
            <w:tcW w:w="3970" w:type="dxa"/>
          </w:tcPr>
          <w:p w14:paraId="231B8C17" w14:textId="4807DF3D" w:rsidR="00AD1F54" w:rsidRPr="00264D5D" w:rsidRDefault="00941227">
            <w:pPr>
              <w:pStyle w:val="GOSTTablenorm"/>
              <w:rPr>
                <w:szCs w:val="22"/>
              </w:rPr>
            </w:pPr>
            <w:r w:rsidRPr="00264D5D">
              <w:rPr>
                <w:szCs w:val="22"/>
                <w:lang w:eastAsia="en-US"/>
              </w:rPr>
              <w:t xml:space="preserve">Указывается значение версии, соответствующее таблице </w:t>
            </w:r>
            <w:r w:rsidRPr="00264D5D">
              <w:rPr>
                <w:szCs w:val="22"/>
              </w:rPr>
              <w:fldChar w:fldCharType="begin"/>
            </w:r>
            <w:r w:rsidRPr="00264D5D">
              <w:rPr>
                <w:szCs w:val="22"/>
                <w:lang w:eastAsia="en-US"/>
              </w:rPr>
              <w:instrText xml:space="preserve"> REF _Ref19881821 \h </w:instrText>
            </w:r>
            <w:r w:rsidRPr="00264D5D">
              <w:rPr>
                <w:szCs w:val="22"/>
              </w:rPr>
              <w:instrText xml:space="preserve"> \* MERGEFORMAT </w:instrText>
            </w:r>
            <w:r w:rsidRPr="00264D5D">
              <w:rPr>
                <w:szCs w:val="22"/>
              </w:rPr>
            </w:r>
            <w:r w:rsidRPr="00264D5D">
              <w:rPr>
                <w:szCs w:val="22"/>
              </w:rPr>
              <w:fldChar w:fldCharType="separate"/>
            </w:r>
            <w:r w:rsidR="008D797C" w:rsidRPr="008D797C">
              <w:rPr>
                <w:rFonts w:eastAsia="Calibri"/>
                <w:szCs w:val="24"/>
              </w:rPr>
              <w:t>2</w:t>
            </w:r>
            <w:r w:rsidRPr="00264D5D">
              <w:rPr>
                <w:szCs w:val="22"/>
              </w:rPr>
              <w:fldChar w:fldCharType="end"/>
            </w:r>
          </w:p>
        </w:tc>
      </w:tr>
      <w:tr w:rsidR="00AD1F54" w:rsidRPr="00264D5D" w14:paraId="71C6D12D"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4" w:type="dxa"/>
          </w:tcPr>
          <w:p w14:paraId="311A9354" w14:textId="77777777" w:rsidR="00AD1F54" w:rsidRPr="00264D5D" w:rsidRDefault="00941227">
            <w:pPr>
              <w:pStyle w:val="GOSTTablenorm"/>
              <w:rPr>
                <w:szCs w:val="22"/>
              </w:rPr>
            </w:pPr>
            <w:r w:rsidRPr="00264D5D">
              <w:rPr>
                <w:szCs w:val="22"/>
              </w:rPr>
              <w:t>Номер запроса</w:t>
            </w:r>
          </w:p>
        </w:tc>
        <w:tc>
          <w:tcPr>
            <w:tcW w:w="1704" w:type="dxa"/>
          </w:tcPr>
          <w:p w14:paraId="6392C093" w14:textId="77777777" w:rsidR="00AD1F54" w:rsidRPr="00264D5D" w:rsidRDefault="00941227">
            <w:pPr>
              <w:pStyle w:val="GOSTTablenorm"/>
              <w:rPr>
                <w:szCs w:val="22"/>
              </w:rPr>
            </w:pPr>
            <w:r w:rsidRPr="00264D5D">
              <w:rPr>
                <w:szCs w:val="22"/>
              </w:rPr>
              <w:t>TtlPrt_DocNumber</w:t>
            </w:r>
          </w:p>
        </w:tc>
        <w:tc>
          <w:tcPr>
            <w:tcW w:w="568" w:type="dxa"/>
          </w:tcPr>
          <w:p w14:paraId="0FF2B70C" w14:textId="77777777" w:rsidR="00AD1F54" w:rsidRPr="00264D5D" w:rsidRDefault="00941227">
            <w:pPr>
              <w:pStyle w:val="GOSTTablenorm"/>
              <w:jc w:val="center"/>
              <w:rPr>
                <w:szCs w:val="22"/>
              </w:rPr>
            </w:pPr>
            <w:r w:rsidRPr="00264D5D">
              <w:rPr>
                <w:szCs w:val="22"/>
              </w:rPr>
              <w:t>П</w:t>
            </w:r>
          </w:p>
        </w:tc>
        <w:tc>
          <w:tcPr>
            <w:tcW w:w="1136" w:type="dxa"/>
          </w:tcPr>
          <w:p w14:paraId="6D65138F" w14:textId="77777777" w:rsidR="00AD1F54" w:rsidRPr="00264D5D" w:rsidRDefault="00941227">
            <w:pPr>
              <w:pStyle w:val="GOSTTablenorm"/>
              <w:rPr>
                <w:szCs w:val="22"/>
              </w:rPr>
            </w:pPr>
            <w:r w:rsidRPr="00264D5D">
              <w:rPr>
                <w:szCs w:val="22"/>
              </w:rPr>
              <w:t>Т(1-15)</w:t>
            </w:r>
          </w:p>
        </w:tc>
        <w:tc>
          <w:tcPr>
            <w:tcW w:w="568" w:type="dxa"/>
          </w:tcPr>
          <w:p w14:paraId="59AC4ABC" w14:textId="77777777" w:rsidR="00AD1F54" w:rsidRPr="00264D5D" w:rsidRDefault="00941227">
            <w:pPr>
              <w:pStyle w:val="GOSTTablenorm"/>
              <w:jc w:val="center"/>
              <w:rPr>
                <w:szCs w:val="22"/>
              </w:rPr>
            </w:pPr>
            <w:r w:rsidRPr="00264D5D">
              <w:rPr>
                <w:szCs w:val="22"/>
              </w:rPr>
              <w:t>О</w:t>
            </w:r>
          </w:p>
        </w:tc>
        <w:tc>
          <w:tcPr>
            <w:tcW w:w="3970" w:type="dxa"/>
          </w:tcPr>
          <w:p w14:paraId="41BBFCD1" w14:textId="77777777" w:rsidR="00AD1F54" w:rsidRPr="00264D5D" w:rsidRDefault="00941227">
            <w:pPr>
              <w:pStyle w:val="GOSTTablenorm"/>
              <w:rPr>
                <w:szCs w:val="22"/>
              </w:rPr>
            </w:pPr>
            <w:r w:rsidRPr="00264D5D">
              <w:rPr>
                <w:szCs w:val="22"/>
              </w:rPr>
              <w:t xml:space="preserve">Внутренний номер, присвоенный документу клиентом. </w:t>
            </w:r>
          </w:p>
          <w:p w14:paraId="63DEB4B1" w14:textId="77777777" w:rsidR="00AD1F54" w:rsidRPr="00264D5D" w:rsidRDefault="00941227">
            <w:pPr>
              <w:pStyle w:val="GOSTTablenorm"/>
              <w:rPr>
                <w:szCs w:val="22"/>
              </w:rPr>
            </w:pPr>
            <w:r w:rsidRPr="00264D5D">
              <w:rPr>
                <w:szCs w:val="22"/>
              </w:rPr>
              <w:t>Нумерация должна быть уникальна в пределах дат</w:t>
            </w:r>
            <w:r w:rsidR="00436C7D" w:rsidRPr="00264D5D">
              <w:rPr>
                <w:szCs w:val="22"/>
              </w:rPr>
              <w:t>ы, за которую оформлен документ</w:t>
            </w:r>
          </w:p>
        </w:tc>
      </w:tr>
      <w:tr w:rsidR="00AD1F54" w:rsidRPr="00264D5D" w14:paraId="439D7400" w14:textId="77777777" w:rsidTr="00AD1F54">
        <w:trPr>
          <w:gridAfter w:val="1"/>
          <w:cnfStyle w:val="000000100000" w:firstRow="0" w:lastRow="0" w:firstColumn="0" w:lastColumn="0" w:oddVBand="0" w:evenVBand="0" w:oddHBand="1" w:evenHBand="0" w:firstRowFirstColumn="0" w:firstRowLastColumn="0" w:lastRowFirstColumn="0" w:lastRowLastColumn="0"/>
          <w:wAfter w:w="6" w:type="dxa"/>
        </w:trPr>
        <w:tc>
          <w:tcPr>
            <w:tcW w:w="1704" w:type="dxa"/>
          </w:tcPr>
          <w:p w14:paraId="7353943F" w14:textId="77777777" w:rsidR="00AD1F54" w:rsidRPr="00264D5D" w:rsidRDefault="00941227">
            <w:pPr>
              <w:pStyle w:val="GOSTTablenorm"/>
              <w:rPr>
                <w:szCs w:val="22"/>
              </w:rPr>
            </w:pPr>
            <w:r w:rsidRPr="00264D5D">
              <w:rPr>
                <w:szCs w:val="22"/>
              </w:rPr>
              <w:t>Дата запроса</w:t>
            </w:r>
          </w:p>
        </w:tc>
        <w:tc>
          <w:tcPr>
            <w:tcW w:w="1704" w:type="dxa"/>
          </w:tcPr>
          <w:p w14:paraId="686B1A1D" w14:textId="77777777" w:rsidR="00AD1F54" w:rsidRPr="00264D5D" w:rsidRDefault="00941227">
            <w:pPr>
              <w:pStyle w:val="GOSTTablenorm"/>
              <w:rPr>
                <w:szCs w:val="22"/>
              </w:rPr>
            </w:pPr>
            <w:r w:rsidRPr="00264D5D">
              <w:rPr>
                <w:szCs w:val="22"/>
              </w:rPr>
              <w:t>TtlPrt_DateEnt</w:t>
            </w:r>
          </w:p>
        </w:tc>
        <w:tc>
          <w:tcPr>
            <w:tcW w:w="568" w:type="dxa"/>
          </w:tcPr>
          <w:p w14:paraId="6FD5B3A8" w14:textId="77777777" w:rsidR="00AD1F54" w:rsidRPr="00264D5D" w:rsidRDefault="00941227">
            <w:pPr>
              <w:pStyle w:val="GOSTTablenorm"/>
              <w:jc w:val="center"/>
              <w:rPr>
                <w:szCs w:val="22"/>
              </w:rPr>
            </w:pPr>
            <w:r w:rsidRPr="00264D5D">
              <w:rPr>
                <w:szCs w:val="22"/>
              </w:rPr>
              <w:t>П</w:t>
            </w:r>
          </w:p>
        </w:tc>
        <w:tc>
          <w:tcPr>
            <w:tcW w:w="1136" w:type="dxa"/>
          </w:tcPr>
          <w:p w14:paraId="745A2E29" w14:textId="77777777" w:rsidR="00AD1F54" w:rsidRPr="00264D5D" w:rsidRDefault="00941227">
            <w:pPr>
              <w:pStyle w:val="GOSTTablenorm"/>
              <w:rPr>
                <w:szCs w:val="22"/>
              </w:rPr>
            </w:pPr>
            <w:r w:rsidRPr="00264D5D">
              <w:rPr>
                <w:szCs w:val="22"/>
                <w:lang w:val="en-US"/>
              </w:rPr>
              <w:t>Date</w:t>
            </w:r>
          </w:p>
        </w:tc>
        <w:tc>
          <w:tcPr>
            <w:tcW w:w="568" w:type="dxa"/>
          </w:tcPr>
          <w:p w14:paraId="42A9DE18" w14:textId="77777777" w:rsidR="00AD1F54" w:rsidRPr="00264D5D" w:rsidRDefault="00941227">
            <w:pPr>
              <w:pStyle w:val="GOSTTablenorm"/>
              <w:jc w:val="center"/>
              <w:rPr>
                <w:szCs w:val="22"/>
              </w:rPr>
            </w:pPr>
            <w:r w:rsidRPr="00264D5D">
              <w:rPr>
                <w:szCs w:val="22"/>
              </w:rPr>
              <w:t>О</w:t>
            </w:r>
          </w:p>
        </w:tc>
        <w:tc>
          <w:tcPr>
            <w:tcW w:w="3970" w:type="dxa"/>
          </w:tcPr>
          <w:p w14:paraId="09BA1AA9" w14:textId="77777777" w:rsidR="00AD1F54" w:rsidRPr="00264D5D" w:rsidRDefault="00941227">
            <w:pPr>
              <w:pStyle w:val="GOSTTablenorm"/>
              <w:rPr>
                <w:szCs w:val="22"/>
              </w:rPr>
            </w:pPr>
            <w:r w:rsidRPr="00264D5D">
              <w:rPr>
                <w:szCs w:val="22"/>
              </w:rPr>
              <w:t>Дата</w:t>
            </w:r>
            <w:r w:rsidR="00436C7D" w:rsidRPr="00264D5D">
              <w:rPr>
                <w:szCs w:val="22"/>
              </w:rPr>
              <w:t>, на которую сформирован Запрос</w:t>
            </w:r>
          </w:p>
        </w:tc>
      </w:tr>
      <w:tr w:rsidR="00AD1F54" w:rsidRPr="00264D5D" w14:paraId="38353412" w14:textId="77777777" w:rsidTr="00AD1F54">
        <w:trPr>
          <w:cnfStyle w:val="000000010000" w:firstRow="0" w:lastRow="0" w:firstColumn="0" w:lastColumn="0" w:oddVBand="0" w:evenVBand="0" w:oddHBand="0" w:evenHBand="1" w:firstRowFirstColumn="0" w:firstRowLastColumn="0" w:lastRowFirstColumn="0" w:lastRowLastColumn="0"/>
        </w:trPr>
        <w:tc>
          <w:tcPr>
            <w:tcW w:w="9656" w:type="dxa"/>
            <w:gridSpan w:val="7"/>
          </w:tcPr>
          <w:p w14:paraId="0A77FD18" w14:textId="77777777" w:rsidR="00AD1F54" w:rsidRPr="00264D5D" w:rsidRDefault="00941227">
            <w:pPr>
              <w:pStyle w:val="GOSTTablenorm"/>
              <w:rPr>
                <w:szCs w:val="22"/>
              </w:rPr>
            </w:pPr>
            <w:r w:rsidRPr="00264D5D">
              <w:rPr>
                <w:b/>
                <w:szCs w:val="22"/>
              </w:rPr>
              <w:lastRenderedPageBreak/>
              <w:t>Реквизиты клиента</w:t>
            </w:r>
          </w:p>
        </w:tc>
      </w:tr>
      <w:tr w:rsidR="00AD1F54" w:rsidRPr="00264D5D" w14:paraId="253757A3" w14:textId="77777777" w:rsidTr="00AD1F54">
        <w:trPr>
          <w:gridAfter w:val="1"/>
          <w:cnfStyle w:val="000000100000" w:firstRow="0" w:lastRow="0" w:firstColumn="0" w:lastColumn="0" w:oddVBand="0" w:evenVBand="0" w:oddHBand="1" w:evenHBand="0" w:firstRowFirstColumn="0" w:firstRowLastColumn="0" w:lastRowFirstColumn="0" w:lastRowLastColumn="0"/>
          <w:wAfter w:w="6" w:type="dxa"/>
        </w:trPr>
        <w:tc>
          <w:tcPr>
            <w:tcW w:w="1704" w:type="dxa"/>
          </w:tcPr>
          <w:p w14:paraId="6C1B72C6" w14:textId="77777777" w:rsidR="00AD1F54" w:rsidRPr="00264D5D" w:rsidRDefault="00941227">
            <w:pPr>
              <w:pStyle w:val="GOSTTablenorm"/>
              <w:rPr>
                <w:szCs w:val="22"/>
              </w:rPr>
            </w:pPr>
            <w:r w:rsidRPr="00264D5D">
              <w:rPr>
                <w:szCs w:val="22"/>
              </w:rPr>
              <w:t>Информация о клиенте</w:t>
            </w:r>
          </w:p>
        </w:tc>
        <w:tc>
          <w:tcPr>
            <w:tcW w:w="1704" w:type="dxa"/>
          </w:tcPr>
          <w:p w14:paraId="740F06C5" w14:textId="77777777" w:rsidR="00AD1F54" w:rsidRPr="00264D5D" w:rsidRDefault="00941227">
            <w:pPr>
              <w:pStyle w:val="GOSTTablenorm"/>
              <w:rPr>
                <w:szCs w:val="22"/>
              </w:rPr>
            </w:pPr>
            <w:r w:rsidRPr="00264D5D">
              <w:rPr>
                <w:color w:val="000000"/>
                <w:szCs w:val="22"/>
              </w:rPr>
              <w:t>TtlPrt_UBP</w:t>
            </w:r>
          </w:p>
        </w:tc>
        <w:tc>
          <w:tcPr>
            <w:tcW w:w="568" w:type="dxa"/>
          </w:tcPr>
          <w:p w14:paraId="7F83A2AE" w14:textId="77777777" w:rsidR="00AD1F54" w:rsidRPr="00264D5D" w:rsidRDefault="00941227">
            <w:pPr>
              <w:pStyle w:val="GOSTTablenorm"/>
              <w:jc w:val="center"/>
              <w:rPr>
                <w:szCs w:val="22"/>
              </w:rPr>
            </w:pPr>
            <w:r w:rsidRPr="00264D5D">
              <w:rPr>
                <w:szCs w:val="22"/>
              </w:rPr>
              <w:t>С</w:t>
            </w:r>
          </w:p>
        </w:tc>
        <w:tc>
          <w:tcPr>
            <w:tcW w:w="1136" w:type="dxa"/>
          </w:tcPr>
          <w:p w14:paraId="7804FBCC" w14:textId="77777777" w:rsidR="00AD1F54" w:rsidRPr="00264D5D" w:rsidRDefault="002A2D58">
            <w:pPr>
              <w:pStyle w:val="GOSTTablenorm"/>
              <w:rPr>
                <w:szCs w:val="22"/>
              </w:rPr>
            </w:pPr>
            <w:r w:rsidRPr="00986A45">
              <w:rPr>
                <w:color w:val="000000"/>
              </w:rPr>
              <w:t>tMSC_PBS_UB</w:t>
            </w:r>
            <w:r w:rsidRPr="009571B1">
              <w:rPr>
                <w:color w:val="000000"/>
                <w:highlight w:val="green"/>
              </w:rPr>
              <w:t>P</w:t>
            </w:r>
          </w:p>
        </w:tc>
        <w:tc>
          <w:tcPr>
            <w:tcW w:w="568" w:type="dxa"/>
          </w:tcPr>
          <w:p w14:paraId="723CB46C" w14:textId="77777777" w:rsidR="00AD1F54" w:rsidRPr="00264D5D" w:rsidRDefault="00941227">
            <w:pPr>
              <w:spacing w:before="60" w:after="60"/>
              <w:jc w:val="center"/>
              <w:rPr>
                <w:sz w:val="22"/>
                <w:szCs w:val="22"/>
              </w:rPr>
            </w:pPr>
            <w:r w:rsidRPr="00264D5D">
              <w:rPr>
                <w:sz w:val="22"/>
                <w:szCs w:val="22"/>
              </w:rPr>
              <w:t>Н</w:t>
            </w:r>
          </w:p>
        </w:tc>
        <w:tc>
          <w:tcPr>
            <w:tcW w:w="3970" w:type="dxa"/>
          </w:tcPr>
          <w:p w14:paraId="1DE2820E" w14:textId="77777777" w:rsidR="00AD1F54" w:rsidRPr="00264D5D" w:rsidRDefault="00941227">
            <w:pPr>
              <w:pStyle w:val="GOSTTablenorm"/>
            </w:pPr>
            <w:r w:rsidRPr="00264D5D">
              <w:t>Не заполняется для типа аннулируемого документа (заявки) со значением «КНЗ», «КЗФ».</w:t>
            </w:r>
          </w:p>
          <w:p w14:paraId="15A41F71" w14:textId="77777777" w:rsidR="00AD1F54" w:rsidRPr="00264D5D" w:rsidRDefault="00941227">
            <w:pPr>
              <w:pStyle w:val="GOSTTablenorm"/>
            </w:pPr>
            <w:r w:rsidRPr="00264D5D">
              <w:t>Для остальных документов обязательно к заполнению.</w:t>
            </w:r>
          </w:p>
          <w:p w14:paraId="5456E90C" w14:textId="06F79470" w:rsidR="00AD1F54" w:rsidRPr="00264D5D" w:rsidRDefault="00941227">
            <w:pPr>
              <w:pStyle w:val="GOSTTablenorm"/>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_Ref524683606 \h  \* MERGEFORMAT </w:instrText>
            </w:r>
            <w:r w:rsidRPr="00264D5D">
              <w:rPr>
                <w:b/>
                <w:szCs w:val="22"/>
              </w:rPr>
            </w:r>
            <w:r w:rsidRPr="00264D5D">
              <w:rPr>
                <w:b/>
                <w:szCs w:val="22"/>
              </w:rPr>
              <w:fldChar w:fldCharType="separate"/>
            </w:r>
            <w:r w:rsidR="008D797C" w:rsidRPr="008D797C">
              <w:rPr>
                <w:b/>
                <w:szCs w:val="22"/>
              </w:rPr>
              <w:t>111</w:t>
            </w:r>
            <w:r w:rsidRPr="00264D5D">
              <w:rPr>
                <w:b/>
                <w:szCs w:val="22"/>
              </w:rPr>
              <w:fldChar w:fldCharType="end"/>
            </w:r>
          </w:p>
        </w:tc>
      </w:tr>
      <w:tr w:rsidR="00AD1F54" w:rsidRPr="00264D5D" w14:paraId="6ACEDB33"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4" w:type="dxa"/>
          </w:tcPr>
          <w:p w14:paraId="5729DFBB" w14:textId="77777777" w:rsidR="00AD1F54" w:rsidRPr="00264D5D" w:rsidRDefault="00941227">
            <w:pPr>
              <w:pStyle w:val="GOSTTablenorm"/>
              <w:rPr>
                <w:szCs w:val="22"/>
              </w:rPr>
            </w:pPr>
            <w:r w:rsidRPr="00264D5D">
              <w:rPr>
                <w:szCs w:val="22"/>
              </w:rPr>
              <w:t>Номер лицевого счета клиента</w:t>
            </w:r>
          </w:p>
        </w:tc>
        <w:tc>
          <w:tcPr>
            <w:tcW w:w="1704" w:type="dxa"/>
          </w:tcPr>
          <w:p w14:paraId="7C78E8C3" w14:textId="77777777" w:rsidR="00AD1F54" w:rsidRPr="00264D5D" w:rsidRDefault="00941227">
            <w:pPr>
              <w:pStyle w:val="GOSTTablenorm"/>
              <w:rPr>
                <w:szCs w:val="22"/>
              </w:rPr>
            </w:pPr>
            <w:r w:rsidRPr="00264D5D">
              <w:rPr>
                <w:color w:val="000000"/>
                <w:szCs w:val="22"/>
              </w:rPr>
              <w:t>TtlPrt_NumbLS</w:t>
            </w:r>
          </w:p>
        </w:tc>
        <w:tc>
          <w:tcPr>
            <w:tcW w:w="568" w:type="dxa"/>
          </w:tcPr>
          <w:p w14:paraId="45868D41" w14:textId="77777777" w:rsidR="00AD1F54" w:rsidRPr="00264D5D" w:rsidRDefault="00941227">
            <w:pPr>
              <w:pStyle w:val="GOSTTablenorm"/>
              <w:jc w:val="center"/>
              <w:rPr>
                <w:szCs w:val="22"/>
              </w:rPr>
            </w:pPr>
            <w:r w:rsidRPr="00264D5D">
              <w:rPr>
                <w:szCs w:val="22"/>
              </w:rPr>
              <w:t>П</w:t>
            </w:r>
          </w:p>
        </w:tc>
        <w:tc>
          <w:tcPr>
            <w:tcW w:w="1136" w:type="dxa"/>
          </w:tcPr>
          <w:p w14:paraId="55E5DFBD" w14:textId="77777777" w:rsidR="00AD1F54" w:rsidRPr="00264D5D" w:rsidRDefault="00941227">
            <w:pPr>
              <w:pStyle w:val="GOSTTablenorm"/>
              <w:rPr>
                <w:szCs w:val="22"/>
              </w:rPr>
            </w:pPr>
            <w:r w:rsidRPr="00264D5D">
              <w:rPr>
                <w:szCs w:val="22"/>
              </w:rPr>
              <w:t>Т(11)</w:t>
            </w:r>
          </w:p>
        </w:tc>
        <w:tc>
          <w:tcPr>
            <w:tcW w:w="568" w:type="dxa"/>
          </w:tcPr>
          <w:p w14:paraId="6EC5296D" w14:textId="77777777" w:rsidR="00AD1F54" w:rsidRPr="00264D5D" w:rsidRDefault="00941227">
            <w:pPr>
              <w:spacing w:before="60" w:after="60"/>
              <w:jc w:val="center"/>
              <w:rPr>
                <w:sz w:val="22"/>
                <w:szCs w:val="22"/>
              </w:rPr>
            </w:pPr>
            <w:r w:rsidRPr="00264D5D">
              <w:rPr>
                <w:sz w:val="22"/>
                <w:szCs w:val="22"/>
              </w:rPr>
              <w:t>Н</w:t>
            </w:r>
          </w:p>
        </w:tc>
        <w:tc>
          <w:tcPr>
            <w:tcW w:w="3970" w:type="dxa"/>
          </w:tcPr>
          <w:p w14:paraId="1CD33DA6" w14:textId="77777777" w:rsidR="00AD1F54" w:rsidRPr="00264D5D" w:rsidRDefault="00941227">
            <w:pPr>
              <w:pStyle w:val="GOSTTablenorm"/>
              <w:rPr>
                <w:szCs w:val="22"/>
              </w:rPr>
            </w:pPr>
            <w:r w:rsidRPr="00264D5D">
              <w:rPr>
                <w:szCs w:val="22"/>
              </w:rPr>
              <w:t>Указывается номер лицевого счета клиента.</w:t>
            </w:r>
          </w:p>
          <w:p w14:paraId="6EF0D74D" w14:textId="77777777" w:rsidR="00AD1F54" w:rsidRPr="00264D5D" w:rsidRDefault="00941227">
            <w:pPr>
              <w:pStyle w:val="GOSTTablenorm"/>
            </w:pPr>
            <w:r w:rsidRPr="00264D5D">
              <w:t>Не заполняется для типа аннулируемого документа (заявки) со значением «КНЗ», «КЗФ».</w:t>
            </w:r>
          </w:p>
          <w:p w14:paraId="2880A88C" w14:textId="77777777" w:rsidR="00AD1F54" w:rsidRPr="00264D5D" w:rsidRDefault="00941227">
            <w:pPr>
              <w:pStyle w:val="GOSTTablenorm"/>
              <w:rPr>
                <w:szCs w:val="22"/>
              </w:rPr>
            </w:pPr>
            <w:r w:rsidRPr="00264D5D">
              <w:t>Для остальных доку</w:t>
            </w:r>
            <w:r w:rsidR="00436C7D" w:rsidRPr="00264D5D">
              <w:t>ментов обязательно к заполнению</w:t>
            </w:r>
          </w:p>
        </w:tc>
      </w:tr>
      <w:tr w:rsidR="00AD1F54" w:rsidRPr="00264D5D" w14:paraId="4D21B01F" w14:textId="77777777" w:rsidTr="00AD1F54">
        <w:trPr>
          <w:gridAfter w:val="1"/>
          <w:cnfStyle w:val="000000100000" w:firstRow="0" w:lastRow="0" w:firstColumn="0" w:lastColumn="0" w:oddVBand="0" w:evenVBand="0" w:oddHBand="1" w:evenHBand="0" w:firstRowFirstColumn="0" w:firstRowLastColumn="0" w:lastRowFirstColumn="0" w:lastRowLastColumn="0"/>
          <w:wAfter w:w="6" w:type="dxa"/>
        </w:trPr>
        <w:tc>
          <w:tcPr>
            <w:tcW w:w="1704" w:type="dxa"/>
          </w:tcPr>
          <w:p w14:paraId="1CBC134A" w14:textId="77777777" w:rsidR="00AD1F54" w:rsidRPr="00264D5D" w:rsidRDefault="00941227">
            <w:pPr>
              <w:pStyle w:val="GOSTTablenorm"/>
              <w:rPr>
                <w:szCs w:val="22"/>
              </w:rPr>
            </w:pPr>
            <w:r w:rsidRPr="00264D5D">
              <w:rPr>
                <w:szCs w:val="22"/>
              </w:rPr>
              <w:t>Наименование ГРБС/ГАДБ/ГАИФДБ</w:t>
            </w:r>
          </w:p>
        </w:tc>
        <w:tc>
          <w:tcPr>
            <w:tcW w:w="1704" w:type="dxa"/>
          </w:tcPr>
          <w:p w14:paraId="763CB6C0" w14:textId="77777777" w:rsidR="00AD1F54" w:rsidRPr="00264D5D" w:rsidRDefault="00941227">
            <w:pPr>
              <w:pStyle w:val="GOSTTablenorm"/>
              <w:rPr>
                <w:szCs w:val="22"/>
              </w:rPr>
            </w:pPr>
            <w:r w:rsidRPr="00264D5D">
              <w:rPr>
                <w:color w:val="000000"/>
                <w:szCs w:val="22"/>
              </w:rPr>
              <w:t>TtlPrt_GRBSName</w:t>
            </w:r>
          </w:p>
        </w:tc>
        <w:tc>
          <w:tcPr>
            <w:tcW w:w="568" w:type="dxa"/>
          </w:tcPr>
          <w:p w14:paraId="123BDEC9" w14:textId="77777777" w:rsidR="00AD1F54" w:rsidRPr="00264D5D" w:rsidRDefault="00941227">
            <w:pPr>
              <w:pStyle w:val="GOSTTablenorm"/>
              <w:jc w:val="center"/>
              <w:rPr>
                <w:szCs w:val="22"/>
              </w:rPr>
            </w:pPr>
            <w:r w:rsidRPr="00264D5D">
              <w:rPr>
                <w:szCs w:val="22"/>
              </w:rPr>
              <w:t>П</w:t>
            </w:r>
          </w:p>
        </w:tc>
        <w:tc>
          <w:tcPr>
            <w:tcW w:w="1136" w:type="dxa"/>
          </w:tcPr>
          <w:p w14:paraId="1DDE8263" w14:textId="77777777" w:rsidR="00AD1F54" w:rsidRPr="00264D5D" w:rsidRDefault="00941227">
            <w:pPr>
              <w:pStyle w:val="GOSTTablenorm"/>
              <w:rPr>
                <w:szCs w:val="22"/>
              </w:rPr>
            </w:pPr>
            <w:r w:rsidRPr="00264D5D">
              <w:rPr>
                <w:szCs w:val="22"/>
              </w:rPr>
              <w:t>Т(1-2000)</w:t>
            </w:r>
          </w:p>
        </w:tc>
        <w:tc>
          <w:tcPr>
            <w:tcW w:w="568" w:type="dxa"/>
          </w:tcPr>
          <w:p w14:paraId="7C3CE0BC" w14:textId="77777777" w:rsidR="00AD1F54" w:rsidRPr="00264D5D" w:rsidRDefault="00941227">
            <w:pPr>
              <w:spacing w:before="60" w:after="60"/>
              <w:jc w:val="center"/>
              <w:rPr>
                <w:sz w:val="22"/>
                <w:szCs w:val="22"/>
              </w:rPr>
            </w:pPr>
            <w:r w:rsidRPr="00264D5D">
              <w:rPr>
                <w:sz w:val="22"/>
                <w:szCs w:val="22"/>
              </w:rPr>
              <w:t>Н</w:t>
            </w:r>
          </w:p>
        </w:tc>
        <w:tc>
          <w:tcPr>
            <w:tcW w:w="3970" w:type="dxa"/>
          </w:tcPr>
          <w:p w14:paraId="46868528" w14:textId="77777777" w:rsidR="00AD1F54" w:rsidRPr="00264D5D" w:rsidRDefault="00941227">
            <w:pPr>
              <w:pStyle w:val="GOSTTablenorm"/>
              <w:rPr>
                <w:szCs w:val="22"/>
              </w:rPr>
            </w:pPr>
            <w:r w:rsidRPr="00264D5D">
              <w:rPr>
                <w:szCs w:val="22"/>
              </w:rPr>
              <w:t>Указывается полное наименование ГРБС/ГАДБ/ГАИФДБ, в ведении которого находится клиент, формирующий Запрос.</w:t>
            </w:r>
          </w:p>
          <w:p w14:paraId="31AF28EC" w14:textId="77777777" w:rsidR="00AD1F54" w:rsidRPr="00264D5D" w:rsidRDefault="00941227">
            <w:pPr>
              <w:pStyle w:val="GOSTTablenorm"/>
              <w:rPr>
                <w:szCs w:val="22"/>
              </w:rPr>
            </w:pPr>
            <w:r w:rsidRPr="00264D5D">
              <w:rPr>
                <w:szCs w:val="22"/>
              </w:rPr>
              <w:t>Для АУ, БУ указывается полное наименование органа, осуществляющего функции и полномочия учредителя в отношении клиента.</w:t>
            </w:r>
          </w:p>
          <w:p w14:paraId="27C1B3F6" w14:textId="77777777" w:rsidR="00AD1F54" w:rsidRPr="00264D5D" w:rsidRDefault="00941227">
            <w:pPr>
              <w:spacing w:before="60" w:after="60"/>
              <w:rPr>
                <w:sz w:val="22"/>
                <w:szCs w:val="22"/>
              </w:rPr>
            </w:pPr>
            <w:r w:rsidRPr="00264D5D">
              <w:rPr>
                <w:sz w:val="22"/>
                <w:szCs w:val="22"/>
              </w:rPr>
              <w:t>Поле не заполняется АДБ, в остальных слу</w:t>
            </w:r>
            <w:r w:rsidR="00436C7D" w:rsidRPr="00264D5D">
              <w:rPr>
                <w:sz w:val="22"/>
                <w:szCs w:val="22"/>
              </w:rPr>
              <w:t>чаях обязательно для заполнения</w:t>
            </w:r>
          </w:p>
        </w:tc>
      </w:tr>
      <w:tr w:rsidR="00AD1F54" w:rsidRPr="00264D5D" w14:paraId="0FF459C5"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4" w:type="dxa"/>
          </w:tcPr>
          <w:p w14:paraId="206E613E" w14:textId="77777777" w:rsidR="00AD1F54" w:rsidRPr="00264D5D" w:rsidRDefault="00941227">
            <w:pPr>
              <w:pStyle w:val="GOSTTablenorm"/>
              <w:rPr>
                <w:szCs w:val="22"/>
              </w:rPr>
            </w:pPr>
            <w:r w:rsidRPr="00264D5D">
              <w:rPr>
                <w:szCs w:val="22"/>
              </w:rPr>
              <w:t>Глава по ГРБС/ ГАДБ/ГАИФДБ</w:t>
            </w:r>
          </w:p>
        </w:tc>
        <w:tc>
          <w:tcPr>
            <w:tcW w:w="1704" w:type="dxa"/>
          </w:tcPr>
          <w:p w14:paraId="4595420B" w14:textId="77777777" w:rsidR="00AD1F54" w:rsidRPr="00264D5D" w:rsidRDefault="00941227">
            <w:pPr>
              <w:pStyle w:val="GOSTTablenorm"/>
              <w:rPr>
                <w:szCs w:val="22"/>
              </w:rPr>
            </w:pPr>
            <w:r w:rsidRPr="00264D5D">
              <w:rPr>
                <w:color w:val="000000"/>
                <w:szCs w:val="22"/>
              </w:rPr>
              <w:t>TtlPrt_GRBSCode</w:t>
            </w:r>
          </w:p>
        </w:tc>
        <w:tc>
          <w:tcPr>
            <w:tcW w:w="568" w:type="dxa"/>
          </w:tcPr>
          <w:p w14:paraId="0A137485" w14:textId="77777777" w:rsidR="00AD1F54" w:rsidRPr="00264D5D" w:rsidRDefault="00941227">
            <w:pPr>
              <w:pStyle w:val="GOSTTablenorm"/>
              <w:jc w:val="center"/>
              <w:rPr>
                <w:szCs w:val="22"/>
              </w:rPr>
            </w:pPr>
            <w:r w:rsidRPr="00264D5D">
              <w:rPr>
                <w:szCs w:val="22"/>
              </w:rPr>
              <w:t>П</w:t>
            </w:r>
          </w:p>
        </w:tc>
        <w:tc>
          <w:tcPr>
            <w:tcW w:w="1136" w:type="dxa"/>
          </w:tcPr>
          <w:p w14:paraId="2769C199" w14:textId="77777777" w:rsidR="00AD1F54" w:rsidRPr="00264D5D" w:rsidRDefault="00941227">
            <w:pPr>
              <w:pStyle w:val="GOSTTablenorm"/>
              <w:rPr>
                <w:szCs w:val="22"/>
              </w:rPr>
            </w:pPr>
            <w:r w:rsidRPr="00264D5D">
              <w:rPr>
                <w:szCs w:val="22"/>
              </w:rPr>
              <w:t>Т(3)</w:t>
            </w:r>
          </w:p>
        </w:tc>
        <w:tc>
          <w:tcPr>
            <w:tcW w:w="568" w:type="dxa"/>
          </w:tcPr>
          <w:p w14:paraId="1F34D5AA" w14:textId="77777777" w:rsidR="00AD1F54" w:rsidRPr="00264D5D" w:rsidRDefault="00941227">
            <w:pPr>
              <w:spacing w:before="60" w:after="60"/>
              <w:jc w:val="center"/>
              <w:rPr>
                <w:sz w:val="22"/>
                <w:szCs w:val="22"/>
              </w:rPr>
            </w:pPr>
            <w:r w:rsidRPr="00264D5D">
              <w:rPr>
                <w:sz w:val="22"/>
                <w:szCs w:val="22"/>
              </w:rPr>
              <w:t>Н</w:t>
            </w:r>
          </w:p>
        </w:tc>
        <w:tc>
          <w:tcPr>
            <w:tcW w:w="3970" w:type="dxa"/>
          </w:tcPr>
          <w:p w14:paraId="48F58E62" w14:textId="77777777" w:rsidR="00AD1F54" w:rsidRPr="00264D5D" w:rsidRDefault="00941227">
            <w:pPr>
              <w:pStyle w:val="GOSTTablenorm"/>
              <w:rPr>
                <w:szCs w:val="22"/>
              </w:rPr>
            </w:pPr>
            <w:r w:rsidRPr="00264D5D">
              <w:rPr>
                <w:szCs w:val="22"/>
              </w:rPr>
              <w:t>Указывается код главы по БК.</w:t>
            </w:r>
          </w:p>
          <w:p w14:paraId="0F642537" w14:textId="77777777" w:rsidR="00AD1F54" w:rsidRPr="00264D5D" w:rsidRDefault="00436C7D">
            <w:pPr>
              <w:spacing w:before="60" w:after="60"/>
              <w:rPr>
                <w:sz w:val="22"/>
                <w:szCs w:val="22"/>
              </w:rPr>
            </w:pPr>
            <w:r w:rsidRPr="00264D5D">
              <w:rPr>
                <w:sz w:val="22"/>
                <w:szCs w:val="22"/>
              </w:rPr>
              <w:t>Не заполняется ФО, АУ, БУ, АДБ</w:t>
            </w:r>
          </w:p>
        </w:tc>
      </w:tr>
      <w:tr w:rsidR="00AD1F54" w:rsidRPr="00264D5D" w14:paraId="61F3FB1C" w14:textId="77777777" w:rsidTr="00AD1F54">
        <w:trPr>
          <w:gridAfter w:val="1"/>
          <w:cnfStyle w:val="000000100000" w:firstRow="0" w:lastRow="0" w:firstColumn="0" w:lastColumn="0" w:oddVBand="0" w:evenVBand="0" w:oddHBand="1" w:evenHBand="0" w:firstRowFirstColumn="0" w:firstRowLastColumn="0" w:lastRowFirstColumn="0" w:lastRowLastColumn="0"/>
          <w:wAfter w:w="6" w:type="dxa"/>
        </w:trPr>
        <w:tc>
          <w:tcPr>
            <w:tcW w:w="1704" w:type="dxa"/>
          </w:tcPr>
          <w:p w14:paraId="2C24832E" w14:textId="77777777" w:rsidR="00AD1F54" w:rsidRPr="00264D5D" w:rsidRDefault="00941227">
            <w:pPr>
              <w:pStyle w:val="GOSTTablenorm"/>
              <w:rPr>
                <w:szCs w:val="22"/>
              </w:rPr>
            </w:pPr>
            <w:r w:rsidRPr="00264D5D">
              <w:rPr>
                <w:color w:val="000000"/>
                <w:szCs w:val="22"/>
              </w:rPr>
              <w:t>Наименование бюджета</w:t>
            </w:r>
          </w:p>
        </w:tc>
        <w:tc>
          <w:tcPr>
            <w:tcW w:w="1704" w:type="dxa"/>
          </w:tcPr>
          <w:p w14:paraId="0FC9406C" w14:textId="77777777" w:rsidR="00AD1F54" w:rsidRPr="00264D5D" w:rsidRDefault="00941227">
            <w:pPr>
              <w:pStyle w:val="GOSTTablenorm"/>
              <w:rPr>
                <w:szCs w:val="22"/>
              </w:rPr>
            </w:pPr>
            <w:r w:rsidRPr="00264D5D">
              <w:rPr>
                <w:color w:val="000000"/>
                <w:szCs w:val="22"/>
              </w:rPr>
              <w:t>TtlPrt_Budget</w:t>
            </w:r>
          </w:p>
        </w:tc>
        <w:tc>
          <w:tcPr>
            <w:tcW w:w="568" w:type="dxa"/>
          </w:tcPr>
          <w:p w14:paraId="36B9385E" w14:textId="77777777" w:rsidR="00AD1F54" w:rsidRPr="00264D5D" w:rsidRDefault="00941227">
            <w:pPr>
              <w:pStyle w:val="GOSTTablenorm"/>
              <w:jc w:val="center"/>
              <w:rPr>
                <w:szCs w:val="22"/>
              </w:rPr>
            </w:pPr>
            <w:r w:rsidRPr="00264D5D">
              <w:rPr>
                <w:szCs w:val="22"/>
              </w:rPr>
              <w:t>П</w:t>
            </w:r>
          </w:p>
        </w:tc>
        <w:tc>
          <w:tcPr>
            <w:tcW w:w="1136" w:type="dxa"/>
          </w:tcPr>
          <w:p w14:paraId="7AB42C69" w14:textId="77777777" w:rsidR="00AD1F54" w:rsidRPr="00264D5D" w:rsidRDefault="00941227">
            <w:pPr>
              <w:pStyle w:val="GOSTTablenorm"/>
              <w:rPr>
                <w:szCs w:val="22"/>
              </w:rPr>
            </w:pPr>
            <w:r w:rsidRPr="00264D5D">
              <w:rPr>
                <w:szCs w:val="22"/>
              </w:rPr>
              <w:t>Т(1-512)</w:t>
            </w:r>
          </w:p>
        </w:tc>
        <w:tc>
          <w:tcPr>
            <w:tcW w:w="568" w:type="dxa"/>
          </w:tcPr>
          <w:p w14:paraId="6D18B62C" w14:textId="77777777" w:rsidR="00AD1F54" w:rsidRPr="00264D5D" w:rsidRDefault="00941227">
            <w:pPr>
              <w:spacing w:before="60" w:after="60"/>
              <w:jc w:val="center"/>
              <w:rPr>
                <w:sz w:val="22"/>
                <w:szCs w:val="22"/>
              </w:rPr>
            </w:pPr>
            <w:r w:rsidRPr="00264D5D">
              <w:rPr>
                <w:sz w:val="22"/>
                <w:szCs w:val="22"/>
              </w:rPr>
              <w:t>Н</w:t>
            </w:r>
          </w:p>
        </w:tc>
        <w:tc>
          <w:tcPr>
            <w:tcW w:w="3970" w:type="dxa"/>
          </w:tcPr>
          <w:p w14:paraId="6811A3E7" w14:textId="77777777" w:rsidR="00AD1F54" w:rsidRPr="00264D5D" w:rsidRDefault="00941227">
            <w:pPr>
              <w:pStyle w:val="GOSTTablenorm"/>
              <w:rPr>
                <w:szCs w:val="22"/>
              </w:rPr>
            </w:pPr>
            <w:r w:rsidRPr="00264D5D">
              <w:rPr>
                <w:szCs w:val="22"/>
              </w:rPr>
              <w:t>Указывается наименование бюджета.</w:t>
            </w:r>
          </w:p>
          <w:p w14:paraId="07C9C0BE" w14:textId="77777777" w:rsidR="00AD1F54" w:rsidRPr="00264D5D" w:rsidRDefault="00436C7D">
            <w:pPr>
              <w:spacing w:before="60" w:after="60"/>
              <w:rPr>
                <w:b/>
                <w:bCs/>
                <w:sz w:val="22"/>
                <w:szCs w:val="22"/>
              </w:rPr>
            </w:pPr>
            <w:r w:rsidRPr="00264D5D">
              <w:rPr>
                <w:sz w:val="22"/>
                <w:szCs w:val="22"/>
              </w:rPr>
              <w:t>Не заполняется АУ, БУ, АДБ</w:t>
            </w:r>
          </w:p>
        </w:tc>
      </w:tr>
      <w:tr w:rsidR="00AD1F54" w:rsidRPr="00264D5D" w14:paraId="1F418B81"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4" w:type="dxa"/>
          </w:tcPr>
          <w:p w14:paraId="67F542F4" w14:textId="77777777" w:rsidR="00AD1F54" w:rsidRPr="00264D5D" w:rsidRDefault="00941227">
            <w:pPr>
              <w:pStyle w:val="GOSTTablenorm"/>
              <w:rPr>
                <w:szCs w:val="22"/>
              </w:rPr>
            </w:pPr>
            <w:r w:rsidRPr="00264D5D">
              <w:rPr>
                <w:szCs w:val="22"/>
              </w:rPr>
              <w:t>Наименование финансового органа</w:t>
            </w:r>
          </w:p>
        </w:tc>
        <w:tc>
          <w:tcPr>
            <w:tcW w:w="1704" w:type="dxa"/>
          </w:tcPr>
          <w:p w14:paraId="4716660E" w14:textId="77777777" w:rsidR="00AD1F54" w:rsidRPr="00264D5D" w:rsidRDefault="00941227">
            <w:pPr>
              <w:pStyle w:val="GOSTTablenorm"/>
              <w:rPr>
                <w:szCs w:val="22"/>
              </w:rPr>
            </w:pPr>
            <w:r w:rsidRPr="00264D5D">
              <w:rPr>
                <w:color w:val="000000"/>
                <w:szCs w:val="22"/>
              </w:rPr>
              <w:t>TtlPrt_NameFO</w:t>
            </w:r>
          </w:p>
        </w:tc>
        <w:tc>
          <w:tcPr>
            <w:tcW w:w="568" w:type="dxa"/>
          </w:tcPr>
          <w:p w14:paraId="4155F1A4" w14:textId="77777777" w:rsidR="00AD1F54" w:rsidRPr="00264D5D" w:rsidRDefault="00941227">
            <w:pPr>
              <w:pStyle w:val="GOSTTablenorm"/>
              <w:jc w:val="center"/>
              <w:rPr>
                <w:szCs w:val="22"/>
              </w:rPr>
            </w:pPr>
            <w:r w:rsidRPr="00264D5D">
              <w:rPr>
                <w:szCs w:val="22"/>
              </w:rPr>
              <w:t>П</w:t>
            </w:r>
          </w:p>
        </w:tc>
        <w:tc>
          <w:tcPr>
            <w:tcW w:w="1136" w:type="dxa"/>
          </w:tcPr>
          <w:p w14:paraId="1923F028" w14:textId="77777777" w:rsidR="00AD1F54" w:rsidRPr="00264D5D" w:rsidRDefault="00941227">
            <w:pPr>
              <w:pStyle w:val="GOSTTablenorm"/>
              <w:rPr>
                <w:szCs w:val="22"/>
              </w:rPr>
            </w:pPr>
            <w:r w:rsidRPr="00264D5D">
              <w:rPr>
                <w:szCs w:val="22"/>
              </w:rPr>
              <w:t>Т(1-2000)</w:t>
            </w:r>
          </w:p>
        </w:tc>
        <w:tc>
          <w:tcPr>
            <w:tcW w:w="568" w:type="dxa"/>
          </w:tcPr>
          <w:p w14:paraId="12C0DE43" w14:textId="77777777" w:rsidR="00AD1F54" w:rsidRPr="00264D5D" w:rsidRDefault="00941227">
            <w:pPr>
              <w:pStyle w:val="GOSTTablenorm"/>
              <w:jc w:val="center"/>
              <w:rPr>
                <w:szCs w:val="22"/>
              </w:rPr>
            </w:pPr>
            <w:r w:rsidRPr="00264D5D">
              <w:rPr>
                <w:szCs w:val="22"/>
              </w:rPr>
              <w:t>Н</w:t>
            </w:r>
          </w:p>
        </w:tc>
        <w:tc>
          <w:tcPr>
            <w:tcW w:w="3970" w:type="dxa"/>
          </w:tcPr>
          <w:p w14:paraId="0C1B7EDE" w14:textId="77777777" w:rsidR="00AD1F54" w:rsidRPr="00264D5D" w:rsidRDefault="00941227">
            <w:pPr>
              <w:pStyle w:val="GOSTTablenorm"/>
              <w:rPr>
                <w:szCs w:val="22"/>
              </w:rPr>
            </w:pPr>
            <w:r w:rsidRPr="00264D5D">
              <w:rPr>
                <w:szCs w:val="22"/>
              </w:rPr>
              <w:t>Указывается наименование финансового органа.</w:t>
            </w:r>
          </w:p>
          <w:p w14:paraId="15DECBEA" w14:textId="77777777" w:rsidR="00AD1F54" w:rsidRPr="00264D5D" w:rsidRDefault="00941227">
            <w:pPr>
              <w:spacing w:before="60" w:after="60"/>
              <w:rPr>
                <w:sz w:val="22"/>
                <w:szCs w:val="22"/>
              </w:rPr>
            </w:pPr>
            <w:r w:rsidRPr="00264D5D">
              <w:rPr>
                <w:sz w:val="22"/>
                <w:szCs w:val="22"/>
              </w:rPr>
              <w:t>Не заполняется для УБ</w:t>
            </w:r>
            <w:r w:rsidR="00436C7D" w:rsidRPr="00264D5D">
              <w:rPr>
                <w:sz w:val="22"/>
                <w:szCs w:val="22"/>
              </w:rPr>
              <w:t>П ГВФ РФ, УБП ТГВФ, АУ, БУ, АДБ</w:t>
            </w:r>
          </w:p>
        </w:tc>
      </w:tr>
      <w:tr w:rsidR="00AD1F54" w:rsidRPr="00264D5D" w14:paraId="1B70815A" w14:textId="77777777" w:rsidTr="00AD1F54">
        <w:trPr>
          <w:gridAfter w:val="1"/>
          <w:cnfStyle w:val="000000100000" w:firstRow="0" w:lastRow="0" w:firstColumn="0" w:lastColumn="0" w:oddVBand="0" w:evenVBand="0" w:oddHBand="1" w:evenHBand="0" w:firstRowFirstColumn="0" w:firstRowLastColumn="0" w:lastRowFirstColumn="0" w:lastRowLastColumn="0"/>
          <w:wAfter w:w="6" w:type="dxa"/>
        </w:trPr>
        <w:tc>
          <w:tcPr>
            <w:tcW w:w="1704" w:type="dxa"/>
          </w:tcPr>
          <w:p w14:paraId="30918FE2" w14:textId="77777777" w:rsidR="00AD1F54" w:rsidRPr="00264D5D" w:rsidRDefault="00941227">
            <w:pPr>
              <w:pStyle w:val="GOSTTablenorm"/>
              <w:rPr>
                <w:szCs w:val="22"/>
              </w:rPr>
            </w:pPr>
            <w:r w:rsidRPr="00264D5D">
              <w:rPr>
                <w:color w:val="000000"/>
                <w:szCs w:val="22"/>
              </w:rPr>
              <w:t>ТОФК</w:t>
            </w:r>
          </w:p>
        </w:tc>
        <w:tc>
          <w:tcPr>
            <w:tcW w:w="1704" w:type="dxa"/>
          </w:tcPr>
          <w:p w14:paraId="5B499788" w14:textId="77777777" w:rsidR="00AD1F54" w:rsidRPr="00264D5D" w:rsidRDefault="00941227">
            <w:pPr>
              <w:pStyle w:val="GOSTTablenorm"/>
              <w:rPr>
                <w:szCs w:val="22"/>
              </w:rPr>
            </w:pPr>
            <w:r w:rsidRPr="00264D5D">
              <w:rPr>
                <w:color w:val="000000"/>
                <w:szCs w:val="22"/>
              </w:rPr>
              <w:t>TtlPrt_TOFK</w:t>
            </w:r>
          </w:p>
        </w:tc>
        <w:tc>
          <w:tcPr>
            <w:tcW w:w="568" w:type="dxa"/>
          </w:tcPr>
          <w:p w14:paraId="314732B8" w14:textId="77777777" w:rsidR="00AD1F54" w:rsidRPr="00264D5D" w:rsidRDefault="00941227">
            <w:pPr>
              <w:pStyle w:val="GOSTTablenorm"/>
              <w:jc w:val="center"/>
              <w:rPr>
                <w:szCs w:val="22"/>
              </w:rPr>
            </w:pPr>
            <w:r w:rsidRPr="00264D5D">
              <w:rPr>
                <w:szCs w:val="22"/>
              </w:rPr>
              <w:t>С</w:t>
            </w:r>
          </w:p>
        </w:tc>
        <w:tc>
          <w:tcPr>
            <w:tcW w:w="1136" w:type="dxa"/>
          </w:tcPr>
          <w:p w14:paraId="13718F6B" w14:textId="77777777" w:rsidR="00AD1F54" w:rsidRPr="00264D5D" w:rsidRDefault="00941227">
            <w:pPr>
              <w:pStyle w:val="GOSTTablenorm"/>
              <w:rPr>
                <w:szCs w:val="22"/>
              </w:rPr>
            </w:pPr>
            <w:r w:rsidRPr="00264D5D">
              <w:rPr>
                <w:color w:val="000000"/>
                <w:szCs w:val="22"/>
              </w:rPr>
              <w:t>tMSC_TOFK</w:t>
            </w:r>
          </w:p>
        </w:tc>
        <w:tc>
          <w:tcPr>
            <w:tcW w:w="568" w:type="dxa"/>
          </w:tcPr>
          <w:p w14:paraId="0697B5CB" w14:textId="77777777" w:rsidR="00AD1F54" w:rsidRPr="00264D5D" w:rsidRDefault="00941227">
            <w:pPr>
              <w:spacing w:before="60" w:after="60"/>
              <w:jc w:val="center"/>
              <w:rPr>
                <w:sz w:val="22"/>
                <w:szCs w:val="22"/>
                <w:lang w:val="en-US"/>
              </w:rPr>
            </w:pPr>
            <w:r w:rsidRPr="00264D5D">
              <w:rPr>
                <w:sz w:val="22"/>
                <w:szCs w:val="22"/>
              </w:rPr>
              <w:t>О</w:t>
            </w:r>
          </w:p>
        </w:tc>
        <w:tc>
          <w:tcPr>
            <w:tcW w:w="3970" w:type="dxa"/>
          </w:tcPr>
          <w:p w14:paraId="0525EFE3" w14:textId="0C653C47" w:rsidR="00AD1F54" w:rsidRPr="00264D5D" w:rsidRDefault="00941227" w:rsidP="00950D60">
            <w:pPr>
              <w:pStyle w:val="GOSTTablenorm"/>
              <w:rPr>
                <w:b/>
                <w:bCs/>
                <w:szCs w:val="22"/>
              </w:rPr>
            </w:pPr>
            <w:r w:rsidRPr="00264D5D">
              <w:rPr>
                <w:szCs w:val="22"/>
              </w:rPr>
              <w:t xml:space="preserve">Состав элемента представлен в таблице </w:t>
            </w:r>
            <w:r w:rsidR="00950D60">
              <w:rPr>
                <w:szCs w:val="22"/>
              </w:rPr>
              <w:fldChar w:fldCharType="begin"/>
            </w:r>
            <w:r w:rsidR="00950D60">
              <w:rPr>
                <w:szCs w:val="22"/>
              </w:rPr>
              <w:instrText xml:space="preserve"> REF _Ref216443425 \h </w:instrText>
            </w:r>
            <w:r w:rsidR="00950D60">
              <w:rPr>
                <w:szCs w:val="22"/>
              </w:rPr>
            </w:r>
            <w:r w:rsidR="00950D60">
              <w:rPr>
                <w:szCs w:val="22"/>
              </w:rPr>
              <w:fldChar w:fldCharType="separate"/>
            </w:r>
            <w:r w:rsidR="008D797C">
              <w:rPr>
                <w:noProof/>
              </w:rPr>
              <w:t>112</w:t>
            </w:r>
            <w:r w:rsidR="00950D60">
              <w:rPr>
                <w:szCs w:val="22"/>
              </w:rPr>
              <w:fldChar w:fldCharType="end"/>
            </w:r>
          </w:p>
        </w:tc>
      </w:tr>
      <w:tr w:rsidR="00AD1F54" w:rsidRPr="00264D5D" w14:paraId="092CB34A"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4" w:type="dxa"/>
          </w:tcPr>
          <w:p w14:paraId="461F21C7" w14:textId="77777777" w:rsidR="00AD1F54" w:rsidRPr="00264D5D" w:rsidRDefault="00941227">
            <w:pPr>
              <w:pStyle w:val="GOSTTablenorm"/>
              <w:rPr>
                <w:color w:val="000000"/>
                <w:szCs w:val="22"/>
              </w:rPr>
            </w:pPr>
            <w:r w:rsidRPr="00264D5D">
              <w:rPr>
                <w:szCs w:val="22"/>
              </w:rPr>
              <w:t>Уровень конфиденциальности</w:t>
            </w:r>
          </w:p>
        </w:tc>
        <w:tc>
          <w:tcPr>
            <w:tcW w:w="1704" w:type="dxa"/>
          </w:tcPr>
          <w:p w14:paraId="335F9F18" w14:textId="77777777" w:rsidR="00AD1F54" w:rsidRPr="00264D5D" w:rsidRDefault="00941227">
            <w:pPr>
              <w:pStyle w:val="GOSTTablenorm"/>
              <w:rPr>
                <w:color w:val="000000"/>
                <w:szCs w:val="22"/>
              </w:rPr>
            </w:pPr>
            <w:r w:rsidRPr="00264D5D">
              <w:rPr>
                <w:szCs w:val="22"/>
              </w:rPr>
              <w:t>TtlPrt_SECRECY</w:t>
            </w:r>
          </w:p>
        </w:tc>
        <w:tc>
          <w:tcPr>
            <w:tcW w:w="568" w:type="dxa"/>
          </w:tcPr>
          <w:p w14:paraId="7667205A" w14:textId="77777777" w:rsidR="00AD1F54" w:rsidRPr="00264D5D" w:rsidRDefault="00941227">
            <w:pPr>
              <w:pStyle w:val="GOSTTablenorm"/>
              <w:jc w:val="center"/>
              <w:rPr>
                <w:szCs w:val="22"/>
              </w:rPr>
            </w:pPr>
            <w:r w:rsidRPr="00264D5D">
              <w:rPr>
                <w:szCs w:val="22"/>
              </w:rPr>
              <w:t>П</w:t>
            </w:r>
          </w:p>
        </w:tc>
        <w:tc>
          <w:tcPr>
            <w:tcW w:w="1136" w:type="dxa"/>
          </w:tcPr>
          <w:p w14:paraId="6D510538" w14:textId="77777777" w:rsidR="00AD1F54" w:rsidRPr="00264D5D" w:rsidRDefault="00941227">
            <w:pPr>
              <w:pStyle w:val="GOSTTablenorm"/>
              <w:rPr>
                <w:color w:val="000000"/>
                <w:szCs w:val="22"/>
              </w:rPr>
            </w:pPr>
            <w:r w:rsidRPr="00264D5D">
              <w:rPr>
                <w:szCs w:val="22"/>
              </w:rPr>
              <w:t>Т(1)</w:t>
            </w:r>
          </w:p>
        </w:tc>
        <w:tc>
          <w:tcPr>
            <w:tcW w:w="568" w:type="dxa"/>
          </w:tcPr>
          <w:p w14:paraId="58421E2B" w14:textId="77777777" w:rsidR="00AD1F54" w:rsidRPr="00264D5D" w:rsidRDefault="00941227">
            <w:pPr>
              <w:spacing w:before="60" w:after="60"/>
              <w:jc w:val="center"/>
              <w:rPr>
                <w:sz w:val="22"/>
                <w:szCs w:val="22"/>
              </w:rPr>
            </w:pPr>
            <w:r w:rsidRPr="00264D5D">
              <w:rPr>
                <w:sz w:val="22"/>
                <w:szCs w:val="22"/>
              </w:rPr>
              <w:t>Н</w:t>
            </w:r>
          </w:p>
        </w:tc>
        <w:tc>
          <w:tcPr>
            <w:tcW w:w="3970" w:type="dxa"/>
          </w:tcPr>
          <w:p w14:paraId="7B8C35F4" w14:textId="77777777" w:rsidR="00AD1F54" w:rsidRPr="00264D5D" w:rsidRDefault="00941227">
            <w:pPr>
              <w:pStyle w:val="GOSTTablenorm"/>
              <w:widowControl w:val="0"/>
              <w:rPr>
                <w:szCs w:val="22"/>
              </w:rPr>
            </w:pPr>
            <w:r w:rsidRPr="00264D5D">
              <w:rPr>
                <w:szCs w:val="22"/>
              </w:rPr>
              <w:t>Указывается уровень конфиденциальности.</w:t>
            </w:r>
          </w:p>
          <w:p w14:paraId="4CFEC5C7" w14:textId="77777777" w:rsidR="00AD1F54" w:rsidRPr="00264D5D" w:rsidRDefault="00941227">
            <w:pPr>
              <w:pStyle w:val="GOSTTablenorm"/>
              <w:widowControl w:val="0"/>
              <w:rPr>
                <w:szCs w:val="22"/>
              </w:rPr>
            </w:pPr>
            <w:r w:rsidRPr="00264D5D">
              <w:rPr>
                <w:szCs w:val="22"/>
              </w:rPr>
              <w:t>Возможные значения:</w:t>
            </w:r>
          </w:p>
          <w:p w14:paraId="64F6521C" w14:textId="77777777" w:rsidR="00AD1F54" w:rsidRPr="00264D5D" w:rsidRDefault="00941227" w:rsidP="00436C7D">
            <w:pPr>
              <w:pStyle w:val="GOSTTableListMark1"/>
              <w:widowControl w:val="0"/>
              <w:numPr>
                <w:ilvl w:val="0"/>
                <w:numId w:val="65"/>
              </w:numPr>
              <w:tabs>
                <w:tab w:val="clear" w:pos="340"/>
                <w:tab w:val="num" w:pos="227"/>
              </w:tabs>
              <w:spacing w:before="60" w:after="60"/>
              <w:ind w:left="284"/>
              <w:jc w:val="both"/>
              <w:rPr>
                <w:szCs w:val="22"/>
              </w:rPr>
            </w:pPr>
            <w:r w:rsidRPr="00264D5D">
              <w:rPr>
                <w:szCs w:val="22"/>
              </w:rPr>
              <w:lastRenderedPageBreak/>
              <w:t>«0» – Несекретно;</w:t>
            </w:r>
          </w:p>
          <w:p w14:paraId="58B8EED0" w14:textId="77777777" w:rsidR="00AD1F54" w:rsidRPr="00264D5D" w:rsidRDefault="00941227" w:rsidP="00436C7D">
            <w:pPr>
              <w:pStyle w:val="GOSTTableListMark1"/>
              <w:widowControl w:val="0"/>
              <w:numPr>
                <w:ilvl w:val="0"/>
                <w:numId w:val="65"/>
              </w:numPr>
              <w:tabs>
                <w:tab w:val="clear" w:pos="340"/>
                <w:tab w:val="num" w:pos="227"/>
              </w:tabs>
              <w:spacing w:before="60" w:after="60"/>
              <w:ind w:left="284"/>
              <w:jc w:val="both"/>
              <w:rPr>
                <w:szCs w:val="22"/>
              </w:rPr>
            </w:pPr>
            <w:r w:rsidRPr="00264D5D">
              <w:rPr>
                <w:szCs w:val="22"/>
              </w:rPr>
              <w:t>«1» – Для служебного пользования.</w:t>
            </w:r>
          </w:p>
          <w:p w14:paraId="49AE77F4" w14:textId="77777777" w:rsidR="00AD1F54" w:rsidRPr="00264D5D" w:rsidRDefault="00941227">
            <w:pPr>
              <w:pStyle w:val="GOSTTablenorm"/>
              <w:rPr>
                <w:szCs w:val="22"/>
              </w:rPr>
            </w:pPr>
            <w:r w:rsidRPr="00264D5D">
              <w:rPr>
                <w:szCs w:val="22"/>
              </w:rPr>
              <w:t>Обязателен для заполнения в случае взаимодействия по маршруту ПБС (ПФХД) – ТОФК (ПУР ЭБ).</w:t>
            </w:r>
          </w:p>
          <w:p w14:paraId="453CB60A" w14:textId="77777777" w:rsidR="002A2D58" w:rsidRDefault="00941227" w:rsidP="002A2D58">
            <w:pPr>
              <w:pStyle w:val="GOSTTablenorm"/>
            </w:pPr>
            <w:r w:rsidRPr="00264D5D">
              <w:t>Поле не заполняется АДБ</w:t>
            </w:r>
            <w:r w:rsidR="002A2D58">
              <w:t>.</w:t>
            </w:r>
          </w:p>
          <w:p w14:paraId="452074C6" w14:textId="77777777" w:rsidR="00AD1F54" w:rsidRPr="00264D5D" w:rsidRDefault="002A2D58" w:rsidP="002A2D58">
            <w:pPr>
              <w:pStyle w:val="GOSTTablenorm"/>
              <w:rPr>
                <w:szCs w:val="22"/>
              </w:rPr>
            </w:pPr>
            <w:r w:rsidRPr="009571B1">
              <w:rPr>
                <w:highlight w:val="green"/>
              </w:rPr>
              <w:t>Для маршрута Уполномоченный ТОФК (МУО СГ) – ТОФК (ППО АСФК) указывается значение «0» – «Несекретно»</w:t>
            </w:r>
          </w:p>
        </w:tc>
      </w:tr>
      <w:tr w:rsidR="00AD1F54" w:rsidRPr="00264D5D" w14:paraId="3B25D1AA" w14:textId="77777777" w:rsidTr="00AD1F54">
        <w:trPr>
          <w:cnfStyle w:val="000000100000" w:firstRow="0" w:lastRow="0" w:firstColumn="0" w:lastColumn="0" w:oddVBand="0" w:evenVBand="0" w:oddHBand="1" w:evenHBand="0" w:firstRowFirstColumn="0" w:firstRowLastColumn="0" w:lastRowFirstColumn="0" w:lastRowLastColumn="0"/>
        </w:trPr>
        <w:tc>
          <w:tcPr>
            <w:tcW w:w="9656" w:type="dxa"/>
            <w:gridSpan w:val="7"/>
          </w:tcPr>
          <w:p w14:paraId="12E6CBD1" w14:textId="77777777" w:rsidR="00AD1F54" w:rsidRPr="00264D5D" w:rsidRDefault="00941227">
            <w:pPr>
              <w:pStyle w:val="GOSTTablenorm"/>
              <w:widowControl w:val="0"/>
              <w:rPr>
                <w:szCs w:val="22"/>
              </w:rPr>
            </w:pPr>
            <w:r w:rsidRPr="00264D5D">
              <w:rPr>
                <w:b/>
                <w:szCs w:val="22"/>
              </w:rPr>
              <w:lastRenderedPageBreak/>
              <w:t>Реквизиты аннулируемого документа</w:t>
            </w:r>
          </w:p>
        </w:tc>
      </w:tr>
      <w:tr w:rsidR="00AD1F54" w:rsidRPr="00264D5D" w14:paraId="21793AFE"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4" w:type="dxa"/>
          </w:tcPr>
          <w:p w14:paraId="34E93E33" w14:textId="77777777" w:rsidR="00AD1F54" w:rsidRPr="00264D5D" w:rsidRDefault="00941227">
            <w:pPr>
              <w:pStyle w:val="GOSTTablenorm"/>
              <w:rPr>
                <w:color w:val="000000"/>
                <w:szCs w:val="22"/>
              </w:rPr>
            </w:pPr>
            <w:r w:rsidRPr="00264D5D">
              <w:rPr>
                <w:color w:val="000000"/>
                <w:szCs w:val="22"/>
              </w:rPr>
              <w:t>ГУИД аннулируемого документа</w:t>
            </w:r>
          </w:p>
        </w:tc>
        <w:tc>
          <w:tcPr>
            <w:tcW w:w="1704" w:type="dxa"/>
          </w:tcPr>
          <w:p w14:paraId="73040364" w14:textId="77777777" w:rsidR="00AD1F54" w:rsidRPr="00264D5D" w:rsidRDefault="00941227">
            <w:pPr>
              <w:pStyle w:val="GOSTTablenorm"/>
              <w:rPr>
                <w:color w:val="000000"/>
                <w:szCs w:val="22"/>
              </w:rPr>
            </w:pPr>
            <w:r w:rsidRPr="00264D5D">
              <w:rPr>
                <w:color w:val="000000"/>
                <w:szCs w:val="22"/>
              </w:rPr>
              <w:t>TtlPrt_GUIDPrnt</w:t>
            </w:r>
          </w:p>
        </w:tc>
        <w:tc>
          <w:tcPr>
            <w:tcW w:w="568" w:type="dxa"/>
          </w:tcPr>
          <w:p w14:paraId="7C02FD80" w14:textId="77777777" w:rsidR="00AD1F54" w:rsidRPr="00264D5D" w:rsidRDefault="00941227">
            <w:pPr>
              <w:pStyle w:val="GOSTTablenorm"/>
              <w:jc w:val="center"/>
              <w:rPr>
                <w:szCs w:val="22"/>
              </w:rPr>
            </w:pPr>
            <w:r w:rsidRPr="00264D5D">
              <w:rPr>
                <w:szCs w:val="22"/>
              </w:rPr>
              <w:t>П</w:t>
            </w:r>
          </w:p>
        </w:tc>
        <w:tc>
          <w:tcPr>
            <w:tcW w:w="1136" w:type="dxa"/>
          </w:tcPr>
          <w:p w14:paraId="19C4002D" w14:textId="77777777" w:rsidR="00AD1F54" w:rsidRPr="00264D5D" w:rsidRDefault="00941227">
            <w:pPr>
              <w:pStyle w:val="GOSTTablenorm"/>
              <w:rPr>
                <w:color w:val="000000"/>
                <w:szCs w:val="22"/>
              </w:rPr>
            </w:pPr>
            <w:r w:rsidRPr="00264D5D">
              <w:rPr>
                <w:szCs w:val="22"/>
              </w:rPr>
              <w:t>GUID</w:t>
            </w:r>
          </w:p>
        </w:tc>
        <w:tc>
          <w:tcPr>
            <w:tcW w:w="568" w:type="dxa"/>
          </w:tcPr>
          <w:p w14:paraId="0F478EC0" w14:textId="77777777" w:rsidR="00AD1F54" w:rsidRPr="00264D5D" w:rsidRDefault="00941227">
            <w:pPr>
              <w:spacing w:before="60" w:after="60"/>
              <w:jc w:val="center"/>
              <w:rPr>
                <w:sz w:val="22"/>
                <w:szCs w:val="22"/>
              </w:rPr>
            </w:pPr>
            <w:r w:rsidRPr="00264D5D">
              <w:rPr>
                <w:sz w:val="22"/>
                <w:szCs w:val="22"/>
              </w:rPr>
              <w:t>Н</w:t>
            </w:r>
          </w:p>
        </w:tc>
        <w:tc>
          <w:tcPr>
            <w:tcW w:w="3970" w:type="dxa"/>
          </w:tcPr>
          <w:p w14:paraId="473C0B67" w14:textId="77777777" w:rsidR="00AD1F54" w:rsidRPr="00264D5D" w:rsidRDefault="00941227">
            <w:pPr>
              <w:pStyle w:val="GOSTTablenorm"/>
              <w:rPr>
                <w:szCs w:val="22"/>
              </w:rPr>
            </w:pPr>
            <w:r w:rsidRPr="00264D5D">
              <w:rPr>
                <w:szCs w:val="22"/>
              </w:rPr>
              <w:t xml:space="preserve">Глобальный уникальный идентификатор аннулируемого документа. </w:t>
            </w:r>
          </w:p>
          <w:p w14:paraId="658E5C56" w14:textId="77777777" w:rsidR="00AD1F54" w:rsidRPr="00264D5D" w:rsidRDefault="00941227">
            <w:pPr>
              <w:pStyle w:val="GOSTTablenorm"/>
              <w:rPr>
                <w:szCs w:val="22"/>
              </w:rPr>
            </w:pPr>
            <w:r w:rsidRPr="00264D5D">
              <w:rPr>
                <w:szCs w:val="22"/>
              </w:rPr>
              <w:t xml:space="preserve">Указывается ГУИД аннулируемого документа, присвоенный в ТОФК, либо ГУИД аннулируемого документа, присвоенный в системе клиента, при этом ГУИД документа </w:t>
            </w:r>
            <w:r w:rsidR="00436C7D" w:rsidRPr="00264D5D">
              <w:rPr>
                <w:szCs w:val="22"/>
              </w:rPr>
              <w:t>ранее был передан из ИС клиента</w:t>
            </w:r>
          </w:p>
        </w:tc>
      </w:tr>
      <w:tr w:rsidR="00AD1F54" w:rsidRPr="00264D5D" w14:paraId="77B077BF" w14:textId="77777777" w:rsidTr="00AD1F54">
        <w:trPr>
          <w:gridAfter w:val="1"/>
          <w:cnfStyle w:val="000000100000" w:firstRow="0" w:lastRow="0" w:firstColumn="0" w:lastColumn="0" w:oddVBand="0" w:evenVBand="0" w:oddHBand="1" w:evenHBand="0" w:firstRowFirstColumn="0" w:firstRowLastColumn="0" w:lastRowFirstColumn="0" w:lastRowLastColumn="0"/>
          <w:wAfter w:w="6" w:type="dxa"/>
        </w:trPr>
        <w:tc>
          <w:tcPr>
            <w:tcW w:w="1704" w:type="dxa"/>
          </w:tcPr>
          <w:p w14:paraId="42D8DD64" w14:textId="77777777" w:rsidR="00AD1F54" w:rsidRPr="00264D5D" w:rsidRDefault="00941227">
            <w:pPr>
              <w:pStyle w:val="GOSTTablenorm"/>
              <w:rPr>
                <w:szCs w:val="22"/>
              </w:rPr>
            </w:pPr>
            <w:r w:rsidRPr="00264D5D">
              <w:rPr>
                <w:szCs w:val="22"/>
              </w:rPr>
              <w:t>Тип аннулируемого документа (заявки)</w:t>
            </w:r>
          </w:p>
        </w:tc>
        <w:tc>
          <w:tcPr>
            <w:tcW w:w="1704" w:type="dxa"/>
          </w:tcPr>
          <w:p w14:paraId="14B22B3C" w14:textId="77777777" w:rsidR="00AD1F54" w:rsidRPr="00264D5D" w:rsidRDefault="00941227">
            <w:pPr>
              <w:pStyle w:val="GOSTTablenorm"/>
              <w:rPr>
                <w:szCs w:val="22"/>
                <w:lang w:val="en-US"/>
              </w:rPr>
            </w:pPr>
            <w:r w:rsidRPr="00264D5D">
              <w:rPr>
                <w:color w:val="000000"/>
                <w:szCs w:val="22"/>
              </w:rPr>
              <w:t>TtlPrt_ParentDocType</w:t>
            </w:r>
          </w:p>
        </w:tc>
        <w:tc>
          <w:tcPr>
            <w:tcW w:w="568" w:type="dxa"/>
          </w:tcPr>
          <w:p w14:paraId="12315179" w14:textId="77777777" w:rsidR="00AD1F54" w:rsidRPr="00264D5D" w:rsidRDefault="00941227">
            <w:pPr>
              <w:pStyle w:val="GOSTTablenorm"/>
              <w:jc w:val="center"/>
              <w:rPr>
                <w:szCs w:val="22"/>
              </w:rPr>
            </w:pPr>
            <w:r w:rsidRPr="00264D5D">
              <w:rPr>
                <w:szCs w:val="22"/>
              </w:rPr>
              <w:t>С</w:t>
            </w:r>
          </w:p>
        </w:tc>
        <w:tc>
          <w:tcPr>
            <w:tcW w:w="1136" w:type="dxa"/>
          </w:tcPr>
          <w:p w14:paraId="090F5D09" w14:textId="77777777" w:rsidR="00AD1F54" w:rsidRPr="00264D5D" w:rsidRDefault="00941227">
            <w:pPr>
              <w:pStyle w:val="GOSTTablenorm"/>
              <w:rPr>
                <w:szCs w:val="22"/>
              </w:rPr>
            </w:pPr>
            <w:r w:rsidRPr="00264D5D">
              <w:rPr>
                <w:color w:val="000000"/>
                <w:szCs w:val="22"/>
              </w:rPr>
              <w:t>tDocTypeDBDComplex1</w:t>
            </w:r>
          </w:p>
        </w:tc>
        <w:tc>
          <w:tcPr>
            <w:tcW w:w="568" w:type="dxa"/>
          </w:tcPr>
          <w:p w14:paraId="2D70E016" w14:textId="77777777" w:rsidR="00AD1F54" w:rsidRPr="00264D5D" w:rsidRDefault="00941227">
            <w:pPr>
              <w:spacing w:before="60" w:after="60"/>
              <w:jc w:val="center"/>
              <w:rPr>
                <w:sz w:val="22"/>
                <w:szCs w:val="22"/>
                <w:lang w:val="en-US"/>
              </w:rPr>
            </w:pPr>
            <w:r w:rsidRPr="00264D5D">
              <w:rPr>
                <w:sz w:val="22"/>
                <w:szCs w:val="22"/>
              </w:rPr>
              <w:t>О</w:t>
            </w:r>
          </w:p>
        </w:tc>
        <w:tc>
          <w:tcPr>
            <w:tcW w:w="3970" w:type="dxa"/>
          </w:tcPr>
          <w:p w14:paraId="5E518036" w14:textId="68B3D0B4" w:rsidR="00AD1F54" w:rsidRPr="00264D5D" w:rsidRDefault="00941227">
            <w:pPr>
              <w:pStyle w:val="GOSTTablenorm"/>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_Ref523412552 \h  \* MERGEFORMAT </w:instrText>
            </w:r>
            <w:r w:rsidRPr="00264D5D">
              <w:rPr>
                <w:b/>
                <w:szCs w:val="22"/>
              </w:rPr>
            </w:r>
            <w:r w:rsidRPr="00264D5D">
              <w:rPr>
                <w:b/>
                <w:szCs w:val="22"/>
              </w:rPr>
              <w:fldChar w:fldCharType="separate"/>
            </w:r>
            <w:r w:rsidR="008D797C" w:rsidRPr="008D797C">
              <w:rPr>
                <w:b/>
                <w:szCs w:val="22"/>
              </w:rPr>
              <w:t>114</w:t>
            </w:r>
            <w:r w:rsidRPr="00264D5D">
              <w:rPr>
                <w:b/>
                <w:szCs w:val="22"/>
              </w:rPr>
              <w:fldChar w:fldCharType="end"/>
            </w:r>
          </w:p>
        </w:tc>
      </w:tr>
      <w:tr w:rsidR="00AD1F54" w:rsidRPr="00264D5D" w14:paraId="47DDDA5B"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4" w:type="dxa"/>
          </w:tcPr>
          <w:p w14:paraId="47EEDC50" w14:textId="77777777" w:rsidR="00AD1F54" w:rsidRPr="00264D5D" w:rsidRDefault="00941227">
            <w:pPr>
              <w:pStyle w:val="GOSTTablenorm"/>
              <w:rPr>
                <w:szCs w:val="22"/>
              </w:rPr>
            </w:pPr>
            <w:r w:rsidRPr="00264D5D">
              <w:rPr>
                <w:szCs w:val="22"/>
              </w:rPr>
              <w:t>Внутренний номер аннулируемого документа</w:t>
            </w:r>
          </w:p>
        </w:tc>
        <w:tc>
          <w:tcPr>
            <w:tcW w:w="1704" w:type="dxa"/>
          </w:tcPr>
          <w:p w14:paraId="3186C1B4" w14:textId="77777777" w:rsidR="00AD1F54" w:rsidRPr="00264D5D" w:rsidRDefault="00941227">
            <w:pPr>
              <w:pStyle w:val="GOSTTablenorm"/>
              <w:rPr>
                <w:szCs w:val="22"/>
              </w:rPr>
            </w:pPr>
            <w:r w:rsidRPr="00264D5D">
              <w:rPr>
                <w:color w:val="000000"/>
                <w:szCs w:val="22"/>
              </w:rPr>
              <w:t>TtlPrt_ParentDocNumber</w:t>
            </w:r>
          </w:p>
        </w:tc>
        <w:tc>
          <w:tcPr>
            <w:tcW w:w="568" w:type="dxa"/>
          </w:tcPr>
          <w:p w14:paraId="19C1EBA9" w14:textId="77777777" w:rsidR="00AD1F54" w:rsidRPr="00264D5D" w:rsidRDefault="00941227">
            <w:pPr>
              <w:pStyle w:val="GOSTTablenorm"/>
              <w:jc w:val="center"/>
              <w:rPr>
                <w:szCs w:val="22"/>
              </w:rPr>
            </w:pPr>
            <w:r w:rsidRPr="00264D5D">
              <w:rPr>
                <w:szCs w:val="22"/>
              </w:rPr>
              <w:t>П</w:t>
            </w:r>
          </w:p>
        </w:tc>
        <w:tc>
          <w:tcPr>
            <w:tcW w:w="1136" w:type="dxa"/>
          </w:tcPr>
          <w:p w14:paraId="3F7A80FF" w14:textId="77777777" w:rsidR="00AD1F54" w:rsidRPr="00264D5D" w:rsidRDefault="00941227">
            <w:pPr>
              <w:pStyle w:val="GOSTTablenorm"/>
              <w:rPr>
                <w:szCs w:val="22"/>
              </w:rPr>
            </w:pPr>
            <w:r w:rsidRPr="00264D5D">
              <w:rPr>
                <w:szCs w:val="22"/>
              </w:rPr>
              <w:t>Т(1-15)</w:t>
            </w:r>
          </w:p>
        </w:tc>
        <w:tc>
          <w:tcPr>
            <w:tcW w:w="568" w:type="dxa"/>
          </w:tcPr>
          <w:p w14:paraId="59B37EDE" w14:textId="77777777" w:rsidR="00AD1F54" w:rsidRPr="00264D5D" w:rsidRDefault="00941227">
            <w:pPr>
              <w:spacing w:before="60" w:after="60"/>
              <w:jc w:val="center"/>
              <w:rPr>
                <w:sz w:val="22"/>
                <w:szCs w:val="22"/>
              </w:rPr>
            </w:pPr>
            <w:r w:rsidRPr="00264D5D">
              <w:rPr>
                <w:sz w:val="22"/>
                <w:szCs w:val="22"/>
              </w:rPr>
              <w:t>О</w:t>
            </w:r>
          </w:p>
        </w:tc>
        <w:tc>
          <w:tcPr>
            <w:tcW w:w="3970" w:type="dxa"/>
          </w:tcPr>
          <w:p w14:paraId="5616E862" w14:textId="77777777" w:rsidR="00AD1F54" w:rsidRPr="00264D5D" w:rsidRDefault="00941227">
            <w:pPr>
              <w:pStyle w:val="GOSTTablenorm"/>
              <w:rPr>
                <w:szCs w:val="22"/>
              </w:rPr>
            </w:pPr>
            <w:r w:rsidRPr="00264D5D">
              <w:rPr>
                <w:szCs w:val="22"/>
              </w:rPr>
              <w:t xml:space="preserve">Указывается номер аннулируемого </w:t>
            </w:r>
            <w:r w:rsidR="00436C7D" w:rsidRPr="00264D5D">
              <w:rPr>
                <w:szCs w:val="22"/>
              </w:rPr>
              <w:t>документа, присвоенный клиентом</w:t>
            </w:r>
          </w:p>
        </w:tc>
      </w:tr>
      <w:tr w:rsidR="00C97F28" w:rsidRPr="00264D5D" w14:paraId="451A7075" w14:textId="77777777" w:rsidTr="00AD1F54">
        <w:trPr>
          <w:gridAfter w:val="1"/>
          <w:cnfStyle w:val="000000100000" w:firstRow="0" w:lastRow="0" w:firstColumn="0" w:lastColumn="0" w:oddVBand="0" w:evenVBand="0" w:oddHBand="1" w:evenHBand="0" w:firstRowFirstColumn="0" w:firstRowLastColumn="0" w:lastRowFirstColumn="0" w:lastRowLastColumn="0"/>
          <w:wAfter w:w="6" w:type="dxa"/>
        </w:trPr>
        <w:tc>
          <w:tcPr>
            <w:tcW w:w="1704" w:type="dxa"/>
          </w:tcPr>
          <w:p w14:paraId="250EBE56" w14:textId="77777777" w:rsidR="00C97F28" w:rsidRPr="00264D5D" w:rsidRDefault="00C97F28" w:rsidP="00C97F28">
            <w:pPr>
              <w:pStyle w:val="GOSTTablenorm"/>
              <w:rPr>
                <w:szCs w:val="22"/>
              </w:rPr>
            </w:pPr>
            <w:r w:rsidRPr="00264D5D">
              <w:rPr>
                <w:color w:val="000000"/>
                <w:szCs w:val="22"/>
              </w:rPr>
              <w:t>Дата аннулируемого документа</w:t>
            </w:r>
          </w:p>
        </w:tc>
        <w:tc>
          <w:tcPr>
            <w:tcW w:w="1704" w:type="dxa"/>
          </w:tcPr>
          <w:p w14:paraId="41A8A496" w14:textId="77777777" w:rsidR="00C97F28" w:rsidRPr="00264D5D" w:rsidRDefault="00C97F28" w:rsidP="00C97F28">
            <w:pPr>
              <w:pStyle w:val="GOSTTablenorm"/>
              <w:rPr>
                <w:szCs w:val="22"/>
              </w:rPr>
            </w:pPr>
            <w:r w:rsidRPr="00264D5D">
              <w:rPr>
                <w:color w:val="000000"/>
                <w:szCs w:val="22"/>
              </w:rPr>
              <w:t>TtlPrt_ParentDocDate</w:t>
            </w:r>
          </w:p>
        </w:tc>
        <w:tc>
          <w:tcPr>
            <w:tcW w:w="568" w:type="dxa"/>
          </w:tcPr>
          <w:p w14:paraId="7DBEE2EF" w14:textId="77777777" w:rsidR="00C97F28" w:rsidRPr="00264D5D" w:rsidRDefault="00C97F28" w:rsidP="00C97F28">
            <w:pPr>
              <w:pStyle w:val="GOSTTablenorm"/>
              <w:jc w:val="center"/>
              <w:rPr>
                <w:szCs w:val="22"/>
              </w:rPr>
            </w:pPr>
            <w:r w:rsidRPr="00264D5D">
              <w:rPr>
                <w:szCs w:val="22"/>
              </w:rPr>
              <w:t>П</w:t>
            </w:r>
          </w:p>
        </w:tc>
        <w:tc>
          <w:tcPr>
            <w:tcW w:w="1136" w:type="dxa"/>
          </w:tcPr>
          <w:p w14:paraId="1F14DFDD" w14:textId="77777777" w:rsidR="00C97F28" w:rsidRPr="00264D5D" w:rsidRDefault="00C97F28" w:rsidP="00C97F28">
            <w:pPr>
              <w:pStyle w:val="GOSTTablenorm"/>
              <w:rPr>
                <w:szCs w:val="22"/>
              </w:rPr>
            </w:pPr>
            <w:r w:rsidRPr="00264D5D">
              <w:rPr>
                <w:szCs w:val="22"/>
                <w:lang w:val="en-US"/>
              </w:rPr>
              <w:t>Date</w:t>
            </w:r>
          </w:p>
        </w:tc>
        <w:tc>
          <w:tcPr>
            <w:tcW w:w="568" w:type="dxa"/>
          </w:tcPr>
          <w:p w14:paraId="7EDCF0A1" w14:textId="77777777" w:rsidR="00C97F28" w:rsidRPr="00264D5D" w:rsidRDefault="00C97F28" w:rsidP="00C97F28">
            <w:pPr>
              <w:spacing w:before="60" w:after="60"/>
              <w:ind w:hanging="20"/>
              <w:jc w:val="center"/>
              <w:rPr>
                <w:sz w:val="22"/>
                <w:szCs w:val="22"/>
              </w:rPr>
            </w:pPr>
            <w:r w:rsidRPr="00264D5D">
              <w:rPr>
                <w:sz w:val="22"/>
                <w:szCs w:val="22"/>
              </w:rPr>
              <w:t>О</w:t>
            </w:r>
          </w:p>
        </w:tc>
        <w:tc>
          <w:tcPr>
            <w:tcW w:w="3970" w:type="dxa"/>
          </w:tcPr>
          <w:p w14:paraId="7D085E66" w14:textId="77777777" w:rsidR="00C97F28" w:rsidRPr="00264D5D" w:rsidRDefault="00C97F28" w:rsidP="00C97F28">
            <w:pPr>
              <w:pStyle w:val="GOSTTablenorm"/>
              <w:rPr>
                <w:szCs w:val="22"/>
              </w:rPr>
            </w:pPr>
            <w:r w:rsidRPr="00264D5D">
              <w:rPr>
                <w:szCs w:val="22"/>
              </w:rPr>
              <w:t>Указывается дата аннулируемого документа, ранее представленного в ТОФК и подлежащего аннулированию</w:t>
            </w:r>
          </w:p>
        </w:tc>
      </w:tr>
      <w:tr w:rsidR="00C97F28" w:rsidRPr="00264D5D" w14:paraId="5F85854E"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4" w:type="dxa"/>
          </w:tcPr>
          <w:p w14:paraId="225906A8" w14:textId="77777777" w:rsidR="00C97F28" w:rsidRPr="00264D5D" w:rsidRDefault="00C97F28" w:rsidP="00C97F28">
            <w:pPr>
              <w:pStyle w:val="GOSTTablenorm"/>
              <w:rPr>
                <w:szCs w:val="22"/>
              </w:rPr>
            </w:pPr>
            <w:r w:rsidRPr="00264D5D">
              <w:rPr>
                <w:color w:val="000000"/>
                <w:szCs w:val="22"/>
              </w:rPr>
              <w:t>Примечание</w:t>
            </w:r>
          </w:p>
        </w:tc>
        <w:tc>
          <w:tcPr>
            <w:tcW w:w="1704" w:type="dxa"/>
          </w:tcPr>
          <w:p w14:paraId="4C611FD1" w14:textId="77777777" w:rsidR="00C97F28" w:rsidRPr="00264D5D" w:rsidRDefault="00C97F28" w:rsidP="00C97F28">
            <w:pPr>
              <w:pStyle w:val="GOSTTablenorm"/>
              <w:rPr>
                <w:szCs w:val="22"/>
              </w:rPr>
            </w:pPr>
            <w:r w:rsidRPr="00264D5D">
              <w:rPr>
                <w:color w:val="000000"/>
                <w:szCs w:val="22"/>
              </w:rPr>
              <w:t>TtlPrt_Note</w:t>
            </w:r>
          </w:p>
        </w:tc>
        <w:tc>
          <w:tcPr>
            <w:tcW w:w="568" w:type="dxa"/>
          </w:tcPr>
          <w:p w14:paraId="450E6506" w14:textId="77777777" w:rsidR="00C97F28" w:rsidRPr="00264D5D" w:rsidRDefault="00C97F28" w:rsidP="00C97F28">
            <w:pPr>
              <w:pStyle w:val="GOSTTablenorm"/>
              <w:jc w:val="center"/>
              <w:rPr>
                <w:szCs w:val="22"/>
              </w:rPr>
            </w:pPr>
            <w:r w:rsidRPr="00264D5D">
              <w:rPr>
                <w:szCs w:val="22"/>
              </w:rPr>
              <w:t>П</w:t>
            </w:r>
          </w:p>
        </w:tc>
        <w:tc>
          <w:tcPr>
            <w:tcW w:w="1136" w:type="dxa"/>
          </w:tcPr>
          <w:p w14:paraId="544677B0" w14:textId="77777777" w:rsidR="00C97F28" w:rsidRPr="00264D5D" w:rsidRDefault="00C97F28" w:rsidP="00C97F28">
            <w:pPr>
              <w:pStyle w:val="GOSTTablenorm"/>
              <w:rPr>
                <w:szCs w:val="22"/>
              </w:rPr>
            </w:pPr>
            <w:r w:rsidRPr="00264D5D">
              <w:rPr>
                <w:szCs w:val="22"/>
              </w:rPr>
              <w:t>Т(1-254)</w:t>
            </w:r>
          </w:p>
        </w:tc>
        <w:tc>
          <w:tcPr>
            <w:tcW w:w="568" w:type="dxa"/>
          </w:tcPr>
          <w:p w14:paraId="2E6A72FB" w14:textId="77777777" w:rsidR="00C97F28" w:rsidRPr="00264D5D" w:rsidRDefault="00C97F28" w:rsidP="00C97F28">
            <w:pPr>
              <w:spacing w:before="60" w:after="60"/>
              <w:ind w:hanging="20"/>
              <w:jc w:val="center"/>
              <w:rPr>
                <w:sz w:val="22"/>
                <w:szCs w:val="22"/>
              </w:rPr>
            </w:pPr>
            <w:r w:rsidRPr="00264D5D">
              <w:rPr>
                <w:sz w:val="22"/>
                <w:szCs w:val="22"/>
              </w:rPr>
              <w:t>Н</w:t>
            </w:r>
          </w:p>
        </w:tc>
        <w:tc>
          <w:tcPr>
            <w:tcW w:w="3970" w:type="dxa"/>
          </w:tcPr>
          <w:p w14:paraId="44C9CB12" w14:textId="77777777" w:rsidR="00C97F28" w:rsidRPr="00264D5D" w:rsidRDefault="00C97F28" w:rsidP="00C97F28">
            <w:pPr>
              <w:pStyle w:val="GOSTTablenorm"/>
              <w:rPr>
                <w:szCs w:val="22"/>
              </w:rPr>
            </w:pPr>
            <w:r w:rsidRPr="00264D5D">
              <w:rPr>
                <w:szCs w:val="22"/>
              </w:rPr>
              <w:t>Указывается примечание.</w:t>
            </w:r>
          </w:p>
          <w:p w14:paraId="0C803ABF" w14:textId="77777777" w:rsidR="00C97F28" w:rsidRPr="00264D5D" w:rsidRDefault="00C97F28" w:rsidP="00C97F28">
            <w:pPr>
              <w:pStyle w:val="GOSTTablenorm"/>
              <w:rPr>
                <w:szCs w:val="22"/>
              </w:rPr>
            </w:pPr>
            <w:r w:rsidRPr="00264D5D">
              <w:rPr>
                <w:szCs w:val="22"/>
              </w:rPr>
              <w:t>Может не заполняться АДБ,</w:t>
            </w:r>
            <w:r w:rsidRPr="00264D5D">
              <w:rPr>
                <w:szCs w:val="22"/>
                <w:lang w:eastAsia="en-US"/>
              </w:rPr>
              <w:t xml:space="preserve"> АИФДБ (</w:t>
            </w:r>
            <w:r w:rsidRPr="00264D5D">
              <w:rPr>
                <w:szCs w:val="22"/>
              </w:rPr>
              <w:t xml:space="preserve">ФНС, ФТС). </w:t>
            </w:r>
          </w:p>
          <w:p w14:paraId="2E5A769F" w14:textId="77777777" w:rsidR="00C97F28" w:rsidRPr="00264D5D" w:rsidRDefault="00C97F28" w:rsidP="00C97F28">
            <w:pPr>
              <w:pStyle w:val="GOSTTablenorm"/>
              <w:rPr>
                <w:szCs w:val="22"/>
              </w:rPr>
            </w:pPr>
            <w:r w:rsidRPr="00264D5D">
              <w:rPr>
                <w:szCs w:val="22"/>
              </w:rPr>
              <w:t>Для остальных клиентов обязательно к заполнению</w:t>
            </w:r>
          </w:p>
        </w:tc>
      </w:tr>
      <w:tr w:rsidR="00AD1F54" w:rsidRPr="00264D5D" w14:paraId="688B1BF8" w14:textId="77777777" w:rsidTr="00AD1F54">
        <w:trPr>
          <w:cnfStyle w:val="000000100000" w:firstRow="0" w:lastRow="0" w:firstColumn="0" w:lastColumn="0" w:oddVBand="0" w:evenVBand="0" w:oddHBand="1" w:evenHBand="0" w:firstRowFirstColumn="0" w:firstRowLastColumn="0" w:lastRowFirstColumn="0" w:lastRowLastColumn="0"/>
        </w:trPr>
        <w:tc>
          <w:tcPr>
            <w:tcW w:w="9656" w:type="dxa"/>
            <w:gridSpan w:val="7"/>
          </w:tcPr>
          <w:p w14:paraId="2057EF7C" w14:textId="77777777" w:rsidR="00AD1F54" w:rsidRPr="00264D5D" w:rsidRDefault="00941227">
            <w:pPr>
              <w:pStyle w:val="GOSTTablenorm"/>
              <w:rPr>
                <w:szCs w:val="22"/>
              </w:rPr>
            </w:pPr>
            <w:r w:rsidRPr="00264D5D">
              <w:rPr>
                <w:b/>
                <w:color w:val="000000"/>
                <w:szCs w:val="22"/>
              </w:rPr>
              <w:t>Подписи</w:t>
            </w:r>
          </w:p>
        </w:tc>
      </w:tr>
      <w:tr w:rsidR="00AD1F54" w:rsidRPr="00264D5D" w14:paraId="52CB1FF5"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4" w:type="dxa"/>
          </w:tcPr>
          <w:p w14:paraId="3BBCF493" w14:textId="77777777" w:rsidR="00AD1F54" w:rsidRPr="00264D5D" w:rsidRDefault="00941227">
            <w:pPr>
              <w:pStyle w:val="GOSTTablenorm"/>
              <w:rPr>
                <w:szCs w:val="22"/>
              </w:rPr>
            </w:pPr>
            <w:r w:rsidRPr="00264D5D">
              <w:rPr>
                <w:color w:val="000000"/>
                <w:szCs w:val="22"/>
              </w:rPr>
              <w:t>Данные о подписях</w:t>
            </w:r>
          </w:p>
        </w:tc>
        <w:tc>
          <w:tcPr>
            <w:tcW w:w="1704" w:type="dxa"/>
          </w:tcPr>
          <w:p w14:paraId="5AFF926D" w14:textId="77777777" w:rsidR="00AD1F54" w:rsidRPr="00264D5D" w:rsidRDefault="00941227">
            <w:pPr>
              <w:pStyle w:val="GOSTTablenorm"/>
              <w:rPr>
                <w:szCs w:val="22"/>
              </w:rPr>
            </w:pPr>
            <w:r w:rsidRPr="00264D5D">
              <w:rPr>
                <w:color w:val="000000"/>
                <w:szCs w:val="22"/>
              </w:rPr>
              <w:t>SGN</w:t>
            </w:r>
          </w:p>
        </w:tc>
        <w:tc>
          <w:tcPr>
            <w:tcW w:w="568" w:type="dxa"/>
          </w:tcPr>
          <w:p w14:paraId="19A15670" w14:textId="77777777" w:rsidR="00AD1F54" w:rsidRPr="00264D5D" w:rsidRDefault="00941227">
            <w:pPr>
              <w:pStyle w:val="GOSTTablenorm"/>
              <w:jc w:val="center"/>
              <w:rPr>
                <w:szCs w:val="22"/>
              </w:rPr>
            </w:pPr>
            <w:r w:rsidRPr="00264D5D">
              <w:rPr>
                <w:rFonts w:eastAsia="Calibri"/>
                <w:szCs w:val="22"/>
              </w:rPr>
              <w:t>С</w:t>
            </w:r>
          </w:p>
        </w:tc>
        <w:tc>
          <w:tcPr>
            <w:tcW w:w="1136" w:type="dxa"/>
          </w:tcPr>
          <w:p w14:paraId="5D7DBD4F" w14:textId="77777777" w:rsidR="00AD1F54" w:rsidRPr="00264D5D" w:rsidRDefault="00941227">
            <w:pPr>
              <w:pStyle w:val="GOSTTablenorm"/>
              <w:rPr>
                <w:szCs w:val="22"/>
              </w:rPr>
            </w:pPr>
            <w:r w:rsidRPr="00264D5D">
              <w:rPr>
                <w:szCs w:val="22"/>
                <w:lang w:val="en-US"/>
              </w:rPr>
              <w:t>t</w:t>
            </w:r>
            <w:r w:rsidRPr="00264D5D">
              <w:rPr>
                <w:color w:val="000000"/>
                <w:szCs w:val="22"/>
              </w:rPr>
              <w:t>SGN</w:t>
            </w:r>
          </w:p>
        </w:tc>
        <w:tc>
          <w:tcPr>
            <w:tcW w:w="568" w:type="dxa"/>
          </w:tcPr>
          <w:p w14:paraId="3BD46980" w14:textId="77777777" w:rsidR="00AD1F54" w:rsidRPr="00264D5D" w:rsidRDefault="00941227">
            <w:pPr>
              <w:spacing w:before="60" w:after="60"/>
              <w:jc w:val="center"/>
              <w:rPr>
                <w:sz w:val="22"/>
                <w:szCs w:val="22"/>
              </w:rPr>
            </w:pPr>
            <w:r w:rsidRPr="00264D5D">
              <w:rPr>
                <w:sz w:val="22"/>
                <w:szCs w:val="22"/>
              </w:rPr>
              <w:t>Н</w:t>
            </w:r>
          </w:p>
        </w:tc>
        <w:tc>
          <w:tcPr>
            <w:tcW w:w="3970" w:type="dxa"/>
          </w:tcPr>
          <w:p w14:paraId="5EE01942" w14:textId="77777777" w:rsidR="00AD1F54" w:rsidRPr="00264D5D" w:rsidRDefault="00941227">
            <w:pPr>
              <w:pStyle w:val="GOSTTablenorm"/>
            </w:pPr>
            <w:r w:rsidRPr="00264D5D">
              <w:rPr>
                <w:szCs w:val="22"/>
                <w:lang w:eastAsia="en-US"/>
              </w:rPr>
              <w:t>Указывается информация о подписях клиента в случае их формирования во внешней системе (с применением сертификат ЭП, выданных УЦ, отличным от УЦ ФК).</w:t>
            </w:r>
            <w:r w:rsidRPr="00264D5D">
              <w:t xml:space="preserve"> </w:t>
            </w:r>
          </w:p>
          <w:p w14:paraId="5635D6F0" w14:textId="77777777" w:rsidR="00AD1F54" w:rsidRPr="00264D5D" w:rsidRDefault="00941227">
            <w:pPr>
              <w:pStyle w:val="GOSTTablenorm"/>
            </w:pPr>
            <w:r w:rsidRPr="00264D5D">
              <w:lastRenderedPageBreak/>
              <w:t>ПУД ЭБ ограничений по применению сертификатов не накладывает, разграничения на уровне СОБИ.</w:t>
            </w:r>
          </w:p>
          <w:p w14:paraId="6A83867C" w14:textId="57988E4C" w:rsidR="00AD1F54" w:rsidRPr="00264D5D" w:rsidRDefault="00941227">
            <w:pPr>
              <w:pStyle w:val="GOSTTablenorm"/>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_Ref68853437 \h  \* MERGEFORMAT </w:instrText>
            </w:r>
            <w:r w:rsidRPr="00264D5D">
              <w:rPr>
                <w:b/>
                <w:szCs w:val="22"/>
              </w:rPr>
            </w:r>
            <w:r w:rsidRPr="00264D5D">
              <w:rPr>
                <w:b/>
                <w:szCs w:val="22"/>
              </w:rPr>
              <w:fldChar w:fldCharType="separate"/>
            </w:r>
            <w:r w:rsidR="008D797C" w:rsidRPr="008D797C">
              <w:rPr>
                <w:b/>
                <w:szCs w:val="22"/>
              </w:rPr>
              <w:t>116</w:t>
            </w:r>
            <w:r w:rsidRPr="00264D5D">
              <w:rPr>
                <w:b/>
                <w:szCs w:val="22"/>
              </w:rPr>
              <w:fldChar w:fldCharType="end"/>
            </w:r>
          </w:p>
        </w:tc>
      </w:tr>
      <w:tr w:rsidR="00AD1F54" w:rsidRPr="00264D5D" w14:paraId="55941C44" w14:textId="77777777" w:rsidTr="00AD1F54">
        <w:trPr>
          <w:gridAfter w:val="1"/>
          <w:cnfStyle w:val="000000100000" w:firstRow="0" w:lastRow="0" w:firstColumn="0" w:lastColumn="0" w:oddVBand="0" w:evenVBand="0" w:oddHBand="1" w:evenHBand="0" w:firstRowFirstColumn="0" w:firstRowLastColumn="0" w:lastRowFirstColumn="0" w:lastRowLastColumn="0"/>
          <w:wAfter w:w="6" w:type="dxa"/>
        </w:trPr>
        <w:tc>
          <w:tcPr>
            <w:tcW w:w="1704" w:type="dxa"/>
          </w:tcPr>
          <w:p w14:paraId="5595DCD5" w14:textId="77777777" w:rsidR="00AD1F54" w:rsidRPr="00264D5D" w:rsidRDefault="00941227">
            <w:pPr>
              <w:pStyle w:val="GOSTTablenorm"/>
              <w:rPr>
                <w:color w:val="000000"/>
                <w:szCs w:val="22"/>
              </w:rPr>
            </w:pPr>
            <w:r w:rsidRPr="00264D5D">
              <w:rPr>
                <w:color w:val="000000"/>
                <w:szCs w:val="22"/>
              </w:rPr>
              <w:lastRenderedPageBreak/>
              <w:t>Руководитель</w:t>
            </w:r>
          </w:p>
        </w:tc>
        <w:tc>
          <w:tcPr>
            <w:tcW w:w="1704" w:type="dxa"/>
          </w:tcPr>
          <w:p w14:paraId="7145C79E" w14:textId="77777777" w:rsidR="00AD1F54" w:rsidRPr="00264D5D" w:rsidRDefault="00941227">
            <w:pPr>
              <w:pStyle w:val="GOSTTablenorm"/>
              <w:rPr>
                <w:color w:val="000000"/>
                <w:szCs w:val="22"/>
              </w:rPr>
            </w:pPr>
            <w:r w:rsidRPr="00264D5D">
              <w:rPr>
                <w:color w:val="000000"/>
                <w:szCs w:val="22"/>
              </w:rPr>
              <w:t>SGN_Hr</w:t>
            </w:r>
          </w:p>
        </w:tc>
        <w:tc>
          <w:tcPr>
            <w:tcW w:w="568" w:type="dxa"/>
          </w:tcPr>
          <w:p w14:paraId="1D07FC5A" w14:textId="77777777" w:rsidR="00AD1F54" w:rsidRPr="00264D5D" w:rsidRDefault="00941227">
            <w:pPr>
              <w:pStyle w:val="GOSTTablenorm"/>
              <w:jc w:val="center"/>
              <w:rPr>
                <w:szCs w:val="22"/>
              </w:rPr>
            </w:pPr>
            <w:r w:rsidRPr="00264D5D">
              <w:rPr>
                <w:szCs w:val="22"/>
              </w:rPr>
              <w:t>С</w:t>
            </w:r>
          </w:p>
        </w:tc>
        <w:tc>
          <w:tcPr>
            <w:tcW w:w="1136" w:type="dxa"/>
          </w:tcPr>
          <w:p w14:paraId="5668B73A" w14:textId="77777777" w:rsidR="00AD1F54" w:rsidRPr="00264D5D" w:rsidRDefault="00941227">
            <w:pPr>
              <w:pStyle w:val="GOSTTablenorm"/>
              <w:rPr>
                <w:color w:val="000000"/>
                <w:szCs w:val="22"/>
              </w:rPr>
            </w:pPr>
            <w:r w:rsidRPr="00264D5D">
              <w:rPr>
                <w:color w:val="000000"/>
                <w:szCs w:val="22"/>
              </w:rPr>
              <w:t>tSGNNmPs</w:t>
            </w:r>
          </w:p>
        </w:tc>
        <w:tc>
          <w:tcPr>
            <w:tcW w:w="568" w:type="dxa"/>
          </w:tcPr>
          <w:p w14:paraId="0A49FE32" w14:textId="77777777" w:rsidR="00AD1F54" w:rsidRPr="00264D5D" w:rsidRDefault="00941227">
            <w:pPr>
              <w:spacing w:before="60" w:after="60"/>
              <w:jc w:val="center"/>
              <w:rPr>
                <w:sz w:val="22"/>
                <w:szCs w:val="22"/>
              </w:rPr>
            </w:pPr>
            <w:r w:rsidRPr="00264D5D">
              <w:rPr>
                <w:sz w:val="22"/>
                <w:szCs w:val="22"/>
              </w:rPr>
              <w:t>Н</w:t>
            </w:r>
          </w:p>
        </w:tc>
        <w:tc>
          <w:tcPr>
            <w:tcW w:w="3970" w:type="dxa"/>
          </w:tcPr>
          <w:p w14:paraId="53A97AA3" w14:textId="0EA8A640" w:rsidR="00AD1F54" w:rsidRPr="00264D5D" w:rsidRDefault="00941227">
            <w:pPr>
              <w:pStyle w:val="GOSTTablenorm"/>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_Ref527739480 \h  \* MERGEFORMAT </w:instrText>
            </w:r>
            <w:r w:rsidRPr="00264D5D">
              <w:rPr>
                <w:b/>
                <w:szCs w:val="22"/>
              </w:rPr>
            </w:r>
            <w:r w:rsidRPr="00264D5D">
              <w:rPr>
                <w:b/>
                <w:szCs w:val="22"/>
              </w:rPr>
              <w:fldChar w:fldCharType="separate"/>
            </w:r>
            <w:r w:rsidR="008D797C" w:rsidRPr="008D797C">
              <w:rPr>
                <w:b/>
                <w:szCs w:val="22"/>
              </w:rPr>
              <w:t>115</w:t>
            </w:r>
            <w:r w:rsidRPr="00264D5D">
              <w:rPr>
                <w:b/>
                <w:szCs w:val="22"/>
              </w:rPr>
              <w:fldChar w:fldCharType="end"/>
            </w:r>
            <w:r w:rsidRPr="00264D5D">
              <w:rPr>
                <w:szCs w:val="22"/>
              </w:rPr>
              <w:t>.</w:t>
            </w:r>
          </w:p>
          <w:p w14:paraId="27D29B14" w14:textId="77777777" w:rsidR="00AD1F54" w:rsidRPr="00264D5D" w:rsidRDefault="00941227">
            <w:pPr>
              <w:pStyle w:val="GOSTTablenorm"/>
              <w:rPr>
                <w:szCs w:val="22"/>
              </w:rPr>
            </w:pPr>
            <w:r w:rsidRPr="00264D5D">
              <w:rPr>
                <w:szCs w:val="22"/>
              </w:rPr>
              <w:t xml:space="preserve">Поле не заполняется </w:t>
            </w:r>
            <w:r w:rsidRPr="00264D5D">
              <w:rPr>
                <w:szCs w:val="22"/>
                <w:lang w:eastAsia="en-US"/>
              </w:rPr>
              <w:t>если за</w:t>
            </w:r>
            <w:r w:rsidR="00436C7D" w:rsidRPr="00264D5D">
              <w:rPr>
                <w:szCs w:val="22"/>
                <w:lang w:eastAsia="en-US"/>
              </w:rPr>
              <w:t>полнен блок «Данные о подписях»</w:t>
            </w:r>
          </w:p>
        </w:tc>
      </w:tr>
      <w:tr w:rsidR="00AD1F54" w:rsidRPr="00264D5D" w14:paraId="6F1BF158"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4" w:type="dxa"/>
          </w:tcPr>
          <w:p w14:paraId="2E0D39EA" w14:textId="77777777" w:rsidR="00AD1F54" w:rsidRPr="00264D5D" w:rsidRDefault="00941227">
            <w:pPr>
              <w:pStyle w:val="GOSTTablenorm"/>
              <w:rPr>
                <w:szCs w:val="22"/>
              </w:rPr>
            </w:pPr>
            <w:r w:rsidRPr="00264D5D">
              <w:rPr>
                <w:color w:val="000000"/>
                <w:szCs w:val="22"/>
              </w:rPr>
              <w:t>Главный бухгалтер</w:t>
            </w:r>
          </w:p>
        </w:tc>
        <w:tc>
          <w:tcPr>
            <w:tcW w:w="1704" w:type="dxa"/>
          </w:tcPr>
          <w:p w14:paraId="4C739E59" w14:textId="77777777" w:rsidR="00AD1F54" w:rsidRPr="00264D5D" w:rsidRDefault="00941227">
            <w:pPr>
              <w:pStyle w:val="GOSTTablenorm"/>
              <w:rPr>
                <w:szCs w:val="22"/>
                <w:lang w:val="en-US"/>
              </w:rPr>
            </w:pPr>
            <w:r w:rsidRPr="00264D5D">
              <w:rPr>
                <w:color w:val="000000"/>
                <w:szCs w:val="22"/>
              </w:rPr>
              <w:t>SGN_Acc</w:t>
            </w:r>
          </w:p>
        </w:tc>
        <w:tc>
          <w:tcPr>
            <w:tcW w:w="568" w:type="dxa"/>
          </w:tcPr>
          <w:p w14:paraId="0A8E9C18" w14:textId="77777777" w:rsidR="00AD1F54" w:rsidRPr="00264D5D" w:rsidRDefault="00941227">
            <w:pPr>
              <w:pStyle w:val="GOSTTablenorm"/>
              <w:jc w:val="center"/>
              <w:rPr>
                <w:szCs w:val="22"/>
              </w:rPr>
            </w:pPr>
            <w:r w:rsidRPr="00264D5D">
              <w:rPr>
                <w:szCs w:val="22"/>
              </w:rPr>
              <w:t>С</w:t>
            </w:r>
          </w:p>
        </w:tc>
        <w:tc>
          <w:tcPr>
            <w:tcW w:w="1136" w:type="dxa"/>
          </w:tcPr>
          <w:p w14:paraId="1C06FD71" w14:textId="77777777" w:rsidR="00AD1F54" w:rsidRPr="00264D5D" w:rsidRDefault="00941227">
            <w:pPr>
              <w:pStyle w:val="GOSTTablenorm"/>
              <w:rPr>
                <w:szCs w:val="22"/>
              </w:rPr>
            </w:pPr>
            <w:r w:rsidRPr="00264D5D">
              <w:rPr>
                <w:color w:val="000000"/>
                <w:szCs w:val="22"/>
              </w:rPr>
              <w:t>tSGNNmPs</w:t>
            </w:r>
          </w:p>
        </w:tc>
        <w:tc>
          <w:tcPr>
            <w:tcW w:w="568" w:type="dxa"/>
          </w:tcPr>
          <w:p w14:paraId="53359EC8" w14:textId="77777777" w:rsidR="00AD1F54" w:rsidRPr="00264D5D" w:rsidRDefault="00941227">
            <w:pPr>
              <w:spacing w:before="60" w:after="60"/>
              <w:jc w:val="center"/>
              <w:rPr>
                <w:sz w:val="22"/>
                <w:szCs w:val="22"/>
              </w:rPr>
            </w:pPr>
            <w:r w:rsidRPr="00264D5D">
              <w:rPr>
                <w:sz w:val="22"/>
                <w:szCs w:val="22"/>
              </w:rPr>
              <w:t>Н</w:t>
            </w:r>
          </w:p>
        </w:tc>
        <w:tc>
          <w:tcPr>
            <w:tcW w:w="3970" w:type="dxa"/>
          </w:tcPr>
          <w:p w14:paraId="4B194A7A" w14:textId="42C2201E" w:rsidR="00AD1F54" w:rsidRPr="00264D5D" w:rsidRDefault="00941227">
            <w:pPr>
              <w:pStyle w:val="GOSTTablenorm"/>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_Ref527739480 \h  \* MERGEFORMAT </w:instrText>
            </w:r>
            <w:r w:rsidRPr="00264D5D">
              <w:rPr>
                <w:b/>
                <w:szCs w:val="22"/>
              </w:rPr>
            </w:r>
            <w:r w:rsidRPr="00264D5D">
              <w:rPr>
                <w:b/>
                <w:szCs w:val="22"/>
              </w:rPr>
              <w:fldChar w:fldCharType="separate"/>
            </w:r>
            <w:r w:rsidR="008D797C" w:rsidRPr="008D797C">
              <w:rPr>
                <w:b/>
                <w:szCs w:val="22"/>
              </w:rPr>
              <w:t>115</w:t>
            </w:r>
            <w:r w:rsidRPr="00264D5D">
              <w:rPr>
                <w:b/>
                <w:szCs w:val="22"/>
              </w:rPr>
              <w:fldChar w:fldCharType="end"/>
            </w:r>
            <w:r w:rsidRPr="00264D5D">
              <w:rPr>
                <w:szCs w:val="22"/>
              </w:rPr>
              <w:t>.</w:t>
            </w:r>
          </w:p>
          <w:p w14:paraId="244B12C6" w14:textId="77777777" w:rsidR="00AD1F54" w:rsidRPr="00264D5D" w:rsidRDefault="00941227">
            <w:pPr>
              <w:pStyle w:val="GOSTTablenorm"/>
              <w:rPr>
                <w:szCs w:val="22"/>
              </w:rPr>
            </w:pPr>
            <w:r w:rsidRPr="00264D5D">
              <w:rPr>
                <w:szCs w:val="22"/>
              </w:rPr>
              <w:t xml:space="preserve">Поле не заполняется </w:t>
            </w:r>
            <w:r w:rsidRPr="00264D5D">
              <w:rPr>
                <w:szCs w:val="22"/>
                <w:lang w:eastAsia="en-US"/>
              </w:rPr>
              <w:t>если за</w:t>
            </w:r>
            <w:r w:rsidR="00436C7D" w:rsidRPr="00264D5D">
              <w:rPr>
                <w:szCs w:val="22"/>
                <w:lang w:eastAsia="en-US"/>
              </w:rPr>
              <w:t>полнен блок «Данные о подписях»</w:t>
            </w:r>
          </w:p>
        </w:tc>
      </w:tr>
      <w:tr w:rsidR="00AD1F54" w:rsidRPr="00264D5D" w14:paraId="20BA2F7F" w14:textId="77777777" w:rsidTr="00AD1F54">
        <w:trPr>
          <w:gridAfter w:val="1"/>
          <w:cnfStyle w:val="000000100000" w:firstRow="0" w:lastRow="0" w:firstColumn="0" w:lastColumn="0" w:oddVBand="0" w:evenVBand="0" w:oddHBand="1" w:evenHBand="0" w:firstRowFirstColumn="0" w:firstRowLastColumn="0" w:lastRowFirstColumn="0" w:lastRowLastColumn="0"/>
          <w:wAfter w:w="6" w:type="dxa"/>
        </w:trPr>
        <w:tc>
          <w:tcPr>
            <w:tcW w:w="1704" w:type="dxa"/>
          </w:tcPr>
          <w:p w14:paraId="1E06BEBF" w14:textId="77777777" w:rsidR="00AD1F54" w:rsidRPr="00264D5D" w:rsidRDefault="00941227">
            <w:pPr>
              <w:pStyle w:val="GOSTTablenorm"/>
              <w:rPr>
                <w:color w:val="000000"/>
                <w:szCs w:val="22"/>
              </w:rPr>
            </w:pPr>
            <w:r w:rsidRPr="00264D5D">
              <w:rPr>
                <w:color w:val="000000"/>
                <w:szCs w:val="22"/>
              </w:rPr>
              <w:t>Дата подписания</w:t>
            </w:r>
          </w:p>
        </w:tc>
        <w:tc>
          <w:tcPr>
            <w:tcW w:w="1704" w:type="dxa"/>
          </w:tcPr>
          <w:p w14:paraId="03D06FF2" w14:textId="77777777" w:rsidR="00AD1F54" w:rsidRPr="00264D5D" w:rsidRDefault="00941227">
            <w:pPr>
              <w:pStyle w:val="GOSTTablenorm"/>
              <w:rPr>
                <w:color w:val="000000"/>
                <w:szCs w:val="22"/>
              </w:rPr>
            </w:pPr>
            <w:r w:rsidRPr="00264D5D">
              <w:rPr>
                <w:color w:val="000000"/>
                <w:szCs w:val="22"/>
              </w:rPr>
              <w:t>SGN_Dt</w:t>
            </w:r>
          </w:p>
        </w:tc>
        <w:tc>
          <w:tcPr>
            <w:tcW w:w="568" w:type="dxa"/>
          </w:tcPr>
          <w:p w14:paraId="6E63401F" w14:textId="77777777" w:rsidR="00AD1F54" w:rsidRPr="00264D5D" w:rsidRDefault="00941227">
            <w:pPr>
              <w:pStyle w:val="GOSTTablenorm"/>
              <w:jc w:val="center"/>
              <w:rPr>
                <w:szCs w:val="22"/>
              </w:rPr>
            </w:pPr>
            <w:r w:rsidRPr="00264D5D">
              <w:rPr>
                <w:szCs w:val="22"/>
              </w:rPr>
              <w:t>П</w:t>
            </w:r>
          </w:p>
        </w:tc>
        <w:tc>
          <w:tcPr>
            <w:tcW w:w="1136" w:type="dxa"/>
          </w:tcPr>
          <w:p w14:paraId="709FE1B7" w14:textId="77777777" w:rsidR="00AD1F54" w:rsidRPr="00264D5D" w:rsidRDefault="00941227">
            <w:pPr>
              <w:pStyle w:val="GOSTTablenorm"/>
              <w:rPr>
                <w:color w:val="000000"/>
                <w:szCs w:val="22"/>
              </w:rPr>
            </w:pPr>
            <w:r w:rsidRPr="00264D5D">
              <w:rPr>
                <w:szCs w:val="22"/>
                <w:lang w:val="en-US"/>
              </w:rPr>
              <w:t>Date</w:t>
            </w:r>
          </w:p>
        </w:tc>
        <w:tc>
          <w:tcPr>
            <w:tcW w:w="568" w:type="dxa"/>
          </w:tcPr>
          <w:p w14:paraId="40A31E72" w14:textId="77777777" w:rsidR="00AD1F54" w:rsidRPr="00264D5D" w:rsidRDefault="00941227">
            <w:pPr>
              <w:spacing w:before="60" w:after="60"/>
              <w:jc w:val="center"/>
              <w:rPr>
                <w:sz w:val="22"/>
                <w:szCs w:val="22"/>
              </w:rPr>
            </w:pPr>
            <w:r w:rsidRPr="00264D5D">
              <w:rPr>
                <w:sz w:val="22"/>
                <w:szCs w:val="22"/>
              </w:rPr>
              <w:t>Н</w:t>
            </w:r>
          </w:p>
        </w:tc>
        <w:tc>
          <w:tcPr>
            <w:tcW w:w="3970" w:type="dxa"/>
          </w:tcPr>
          <w:p w14:paraId="4CD3C3B8" w14:textId="77777777" w:rsidR="00AD1F54" w:rsidRPr="00264D5D" w:rsidRDefault="00941227">
            <w:pPr>
              <w:pStyle w:val="GOSTTablenorm"/>
              <w:rPr>
                <w:szCs w:val="22"/>
              </w:rPr>
            </w:pPr>
            <w:r w:rsidRPr="00264D5D">
              <w:rPr>
                <w:szCs w:val="22"/>
              </w:rPr>
              <w:t>Указывается дата подписания.</w:t>
            </w:r>
          </w:p>
          <w:p w14:paraId="73084E8B" w14:textId="77777777" w:rsidR="00AD1F54" w:rsidRPr="00264D5D" w:rsidRDefault="00941227">
            <w:pPr>
              <w:pStyle w:val="GOSTTablenorm"/>
              <w:rPr>
                <w:szCs w:val="22"/>
              </w:rPr>
            </w:pPr>
            <w:r w:rsidRPr="00264D5D">
              <w:rPr>
                <w:szCs w:val="22"/>
              </w:rPr>
              <w:t xml:space="preserve">Поле не заполняется </w:t>
            </w:r>
            <w:r w:rsidRPr="00264D5D">
              <w:rPr>
                <w:szCs w:val="22"/>
                <w:lang w:eastAsia="en-US"/>
              </w:rPr>
              <w:t>если заполнен блок «Данные о подписях</w:t>
            </w:r>
            <w:r w:rsidR="00436C7D" w:rsidRPr="00264D5D">
              <w:rPr>
                <w:szCs w:val="22"/>
                <w:lang w:eastAsia="en-US"/>
              </w:rPr>
              <w:t>»</w:t>
            </w:r>
          </w:p>
        </w:tc>
      </w:tr>
      <w:tr w:rsidR="00AD1F54" w:rsidRPr="00264D5D" w14:paraId="7EB086B9"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4" w:type="dxa"/>
          </w:tcPr>
          <w:p w14:paraId="21BCDE80" w14:textId="77777777" w:rsidR="00AD1F54" w:rsidRPr="00264D5D" w:rsidRDefault="00941227">
            <w:pPr>
              <w:pStyle w:val="GOSTTablenorm"/>
              <w:rPr>
                <w:color w:val="000000"/>
                <w:szCs w:val="22"/>
              </w:rPr>
            </w:pPr>
            <w:r w:rsidRPr="00264D5D">
              <w:rPr>
                <w:szCs w:val="22"/>
              </w:rPr>
              <w:t>Отметка ТОФК</w:t>
            </w:r>
          </w:p>
        </w:tc>
        <w:tc>
          <w:tcPr>
            <w:tcW w:w="1704" w:type="dxa"/>
          </w:tcPr>
          <w:p w14:paraId="65B0934A" w14:textId="77777777" w:rsidR="00AD1F54" w:rsidRPr="00264D5D" w:rsidRDefault="00941227">
            <w:pPr>
              <w:pStyle w:val="GOSTTablenorm"/>
              <w:rPr>
                <w:color w:val="000000"/>
                <w:szCs w:val="22"/>
              </w:rPr>
            </w:pPr>
            <w:r w:rsidRPr="00264D5D">
              <w:rPr>
                <w:color w:val="000000"/>
                <w:szCs w:val="22"/>
              </w:rPr>
              <w:t>TtlPrt</w:t>
            </w:r>
            <w:r w:rsidRPr="00264D5D">
              <w:rPr>
                <w:szCs w:val="22"/>
              </w:rPr>
              <w:t>_MrkOrFK</w:t>
            </w:r>
          </w:p>
        </w:tc>
        <w:tc>
          <w:tcPr>
            <w:tcW w:w="568" w:type="dxa"/>
          </w:tcPr>
          <w:p w14:paraId="420F5FF7" w14:textId="77777777" w:rsidR="00AD1F54" w:rsidRPr="00264D5D" w:rsidRDefault="00941227">
            <w:pPr>
              <w:pStyle w:val="GOSTTablenorm"/>
              <w:jc w:val="center"/>
              <w:rPr>
                <w:szCs w:val="22"/>
              </w:rPr>
            </w:pPr>
            <w:r w:rsidRPr="00264D5D">
              <w:rPr>
                <w:szCs w:val="22"/>
              </w:rPr>
              <w:t>С</w:t>
            </w:r>
          </w:p>
        </w:tc>
        <w:tc>
          <w:tcPr>
            <w:tcW w:w="1136" w:type="dxa"/>
          </w:tcPr>
          <w:p w14:paraId="62E157A7" w14:textId="77777777" w:rsidR="00AD1F54" w:rsidRPr="00264D5D" w:rsidRDefault="00941227">
            <w:pPr>
              <w:pStyle w:val="GOSTTablenorm"/>
              <w:rPr>
                <w:color w:val="000000"/>
                <w:szCs w:val="22"/>
              </w:rPr>
            </w:pPr>
            <w:r w:rsidRPr="00264D5D">
              <w:rPr>
                <w:szCs w:val="22"/>
              </w:rPr>
              <w:t>tMSC_MrkOrFK</w:t>
            </w:r>
          </w:p>
        </w:tc>
        <w:tc>
          <w:tcPr>
            <w:tcW w:w="568" w:type="dxa"/>
          </w:tcPr>
          <w:p w14:paraId="79EC8219" w14:textId="77777777" w:rsidR="00AD1F54" w:rsidRPr="00264D5D" w:rsidRDefault="00941227">
            <w:pPr>
              <w:spacing w:before="60" w:after="60"/>
              <w:jc w:val="center"/>
              <w:rPr>
                <w:sz w:val="22"/>
                <w:szCs w:val="22"/>
              </w:rPr>
            </w:pPr>
            <w:r w:rsidRPr="00264D5D">
              <w:rPr>
                <w:sz w:val="22"/>
                <w:szCs w:val="22"/>
              </w:rPr>
              <w:t>Н</w:t>
            </w:r>
          </w:p>
        </w:tc>
        <w:tc>
          <w:tcPr>
            <w:tcW w:w="3970" w:type="dxa"/>
          </w:tcPr>
          <w:p w14:paraId="0147F086" w14:textId="77777777" w:rsidR="00AD1F54" w:rsidRPr="00264D5D" w:rsidRDefault="00941227">
            <w:pPr>
              <w:pStyle w:val="GOSTTablenorm"/>
              <w:rPr>
                <w:szCs w:val="22"/>
              </w:rPr>
            </w:pPr>
            <w:r w:rsidRPr="00264D5D">
              <w:rPr>
                <w:szCs w:val="22"/>
              </w:rPr>
              <w:t>Отметка ТОФК.</w:t>
            </w:r>
          </w:p>
          <w:p w14:paraId="3FE2E679" w14:textId="415862F1" w:rsidR="00AD1F54" w:rsidRPr="00264D5D" w:rsidRDefault="00941227">
            <w:pPr>
              <w:pStyle w:val="GOSTTablenorm"/>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_Ref503463077 \h  \* MERGEFORMAT </w:instrText>
            </w:r>
            <w:r w:rsidRPr="00264D5D">
              <w:rPr>
                <w:b/>
                <w:szCs w:val="22"/>
              </w:rPr>
            </w:r>
            <w:r w:rsidRPr="00264D5D">
              <w:rPr>
                <w:b/>
                <w:szCs w:val="22"/>
              </w:rPr>
              <w:fldChar w:fldCharType="separate"/>
            </w:r>
            <w:r w:rsidR="008D797C" w:rsidRPr="008D797C">
              <w:rPr>
                <w:rFonts w:eastAsia="Calibri"/>
                <w:b/>
                <w:szCs w:val="22"/>
              </w:rPr>
              <w:t>125</w:t>
            </w:r>
            <w:r w:rsidRPr="00264D5D">
              <w:rPr>
                <w:b/>
                <w:szCs w:val="22"/>
              </w:rPr>
              <w:fldChar w:fldCharType="end"/>
            </w:r>
          </w:p>
        </w:tc>
      </w:tr>
      <w:tr w:rsidR="00AD1F54" w:rsidRPr="00264D5D" w14:paraId="47D130E4" w14:textId="77777777" w:rsidTr="00AD1F54">
        <w:trPr>
          <w:cnfStyle w:val="000000100000" w:firstRow="0" w:lastRow="0" w:firstColumn="0" w:lastColumn="0" w:oddVBand="0" w:evenVBand="0" w:oddHBand="1" w:evenHBand="0" w:firstRowFirstColumn="0" w:firstRowLastColumn="0" w:lastRowFirstColumn="0" w:lastRowLastColumn="0"/>
        </w:trPr>
        <w:tc>
          <w:tcPr>
            <w:tcW w:w="9656" w:type="dxa"/>
            <w:gridSpan w:val="7"/>
          </w:tcPr>
          <w:p w14:paraId="552D598C" w14:textId="77777777" w:rsidR="00AD1F54" w:rsidRPr="00264D5D" w:rsidRDefault="00941227">
            <w:pPr>
              <w:pStyle w:val="GOSTTablenorm"/>
              <w:rPr>
                <w:szCs w:val="22"/>
              </w:rPr>
            </w:pPr>
            <w:r w:rsidRPr="00264D5D">
              <w:rPr>
                <w:b/>
                <w:szCs w:val="22"/>
              </w:rPr>
              <w:t>Системная информация</w:t>
            </w:r>
          </w:p>
        </w:tc>
      </w:tr>
      <w:tr w:rsidR="00AD1F54" w:rsidRPr="00264D5D" w14:paraId="7457AEB4"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4" w:type="dxa"/>
          </w:tcPr>
          <w:p w14:paraId="3F4D7D49" w14:textId="77777777" w:rsidR="00AD1F54" w:rsidRPr="00264D5D" w:rsidRDefault="00941227">
            <w:pPr>
              <w:pStyle w:val="GOSTTablenorm"/>
              <w:rPr>
                <w:color w:val="000000"/>
                <w:szCs w:val="22"/>
              </w:rPr>
            </w:pPr>
            <w:r w:rsidRPr="00264D5D">
              <w:rPr>
                <w:szCs w:val="22"/>
              </w:rPr>
              <w:t>Системная информация</w:t>
            </w:r>
          </w:p>
        </w:tc>
        <w:tc>
          <w:tcPr>
            <w:tcW w:w="1704" w:type="dxa"/>
          </w:tcPr>
          <w:p w14:paraId="1ACC26EC" w14:textId="77777777" w:rsidR="00AD1F54" w:rsidRPr="00264D5D" w:rsidRDefault="00941227">
            <w:pPr>
              <w:pStyle w:val="GOSTTablenorm"/>
              <w:rPr>
                <w:color w:val="000000"/>
                <w:szCs w:val="22"/>
              </w:rPr>
            </w:pPr>
            <w:r w:rsidRPr="00264D5D">
              <w:rPr>
                <w:szCs w:val="22"/>
              </w:rPr>
              <w:t>StmInfrmtn_TF</w:t>
            </w:r>
          </w:p>
        </w:tc>
        <w:tc>
          <w:tcPr>
            <w:tcW w:w="568" w:type="dxa"/>
          </w:tcPr>
          <w:p w14:paraId="24FDF790" w14:textId="77777777" w:rsidR="00AD1F54" w:rsidRPr="00264D5D" w:rsidRDefault="00941227">
            <w:pPr>
              <w:pStyle w:val="GOSTTablenorm"/>
              <w:jc w:val="center"/>
              <w:rPr>
                <w:szCs w:val="22"/>
              </w:rPr>
            </w:pPr>
            <w:r w:rsidRPr="00264D5D">
              <w:rPr>
                <w:szCs w:val="22"/>
              </w:rPr>
              <w:t>С</w:t>
            </w:r>
          </w:p>
        </w:tc>
        <w:tc>
          <w:tcPr>
            <w:tcW w:w="1136" w:type="dxa"/>
          </w:tcPr>
          <w:p w14:paraId="3E0F2242" w14:textId="77777777" w:rsidR="00AD1F54" w:rsidRPr="00264D5D" w:rsidRDefault="00941227">
            <w:pPr>
              <w:pStyle w:val="GOSTTablenorm"/>
              <w:rPr>
                <w:color w:val="000000"/>
                <w:szCs w:val="22"/>
              </w:rPr>
            </w:pPr>
            <w:r w:rsidRPr="00264D5D">
              <w:rPr>
                <w:szCs w:val="22"/>
              </w:rPr>
              <w:t>tTF</w:t>
            </w:r>
          </w:p>
        </w:tc>
        <w:tc>
          <w:tcPr>
            <w:tcW w:w="568" w:type="dxa"/>
          </w:tcPr>
          <w:p w14:paraId="65A21ABC" w14:textId="77777777" w:rsidR="00AD1F54" w:rsidRPr="00264D5D" w:rsidRDefault="00941227">
            <w:pPr>
              <w:spacing w:before="60" w:after="60"/>
              <w:jc w:val="center"/>
              <w:rPr>
                <w:sz w:val="22"/>
                <w:szCs w:val="22"/>
              </w:rPr>
            </w:pPr>
            <w:r w:rsidRPr="00264D5D">
              <w:rPr>
                <w:sz w:val="22"/>
                <w:szCs w:val="22"/>
              </w:rPr>
              <w:t>О</w:t>
            </w:r>
          </w:p>
        </w:tc>
        <w:tc>
          <w:tcPr>
            <w:tcW w:w="3970" w:type="dxa"/>
          </w:tcPr>
          <w:p w14:paraId="16E8998F" w14:textId="3E6F109A" w:rsidR="00AD1F54" w:rsidRPr="00264D5D" w:rsidRDefault="00941227">
            <w:pPr>
              <w:pStyle w:val="GOSTTablenorm"/>
              <w:rPr>
                <w:szCs w:val="22"/>
              </w:rPr>
            </w:pPr>
            <w:r w:rsidRPr="00264D5D">
              <w:rPr>
                <w:szCs w:val="22"/>
              </w:rPr>
              <w:t>Состав элемента представлен в таблице</w:t>
            </w:r>
            <w:r w:rsidRPr="00264D5D">
              <w:rPr>
                <w:b/>
                <w:szCs w:val="22"/>
              </w:rPr>
              <w:t xml:space="preserve"> </w:t>
            </w:r>
            <w:r w:rsidRPr="00264D5D">
              <w:rPr>
                <w:b/>
                <w:szCs w:val="22"/>
              </w:rPr>
              <w:fldChar w:fldCharType="begin"/>
            </w:r>
            <w:r w:rsidRPr="00264D5D">
              <w:rPr>
                <w:b/>
                <w:szCs w:val="22"/>
              </w:rPr>
              <w:instrText xml:space="preserve"> REF _Ref523763751 \h  \* MERGEFORMAT </w:instrText>
            </w:r>
            <w:r w:rsidRPr="00264D5D">
              <w:rPr>
                <w:b/>
                <w:szCs w:val="22"/>
              </w:rPr>
            </w:r>
            <w:r w:rsidRPr="00264D5D">
              <w:rPr>
                <w:b/>
                <w:szCs w:val="22"/>
              </w:rPr>
              <w:fldChar w:fldCharType="separate"/>
            </w:r>
            <w:r w:rsidR="008D797C" w:rsidRPr="008D797C">
              <w:rPr>
                <w:b/>
                <w:szCs w:val="22"/>
              </w:rPr>
              <w:t>113</w:t>
            </w:r>
            <w:r w:rsidRPr="00264D5D">
              <w:rPr>
                <w:b/>
                <w:szCs w:val="22"/>
              </w:rPr>
              <w:fldChar w:fldCharType="end"/>
            </w:r>
          </w:p>
        </w:tc>
      </w:tr>
      <w:tr w:rsidR="00AD1F54" w:rsidRPr="00264D5D" w14:paraId="4E5FA6CB" w14:textId="77777777" w:rsidTr="00AD1F54">
        <w:trPr>
          <w:cnfStyle w:val="000000100000" w:firstRow="0" w:lastRow="0" w:firstColumn="0" w:lastColumn="0" w:oddVBand="0" w:evenVBand="0" w:oddHBand="1" w:evenHBand="0" w:firstRowFirstColumn="0" w:firstRowLastColumn="0" w:lastRowFirstColumn="0" w:lastRowLastColumn="0"/>
        </w:trPr>
        <w:tc>
          <w:tcPr>
            <w:tcW w:w="9656" w:type="dxa"/>
            <w:gridSpan w:val="7"/>
          </w:tcPr>
          <w:p w14:paraId="62D63297" w14:textId="77777777" w:rsidR="00AD1F54" w:rsidRPr="00264D5D" w:rsidRDefault="00941227">
            <w:pPr>
              <w:pStyle w:val="GOSTTablenorm"/>
              <w:rPr>
                <w:szCs w:val="22"/>
              </w:rPr>
            </w:pPr>
            <w:r w:rsidRPr="00264D5D">
              <w:rPr>
                <w:b/>
                <w:szCs w:val="22"/>
              </w:rPr>
              <w:t>ЭП</w:t>
            </w:r>
          </w:p>
        </w:tc>
      </w:tr>
      <w:tr w:rsidR="00AD1F54" w:rsidRPr="00264D5D" w14:paraId="6A646D4E"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4" w:type="dxa"/>
          </w:tcPr>
          <w:p w14:paraId="468E8EB7" w14:textId="77777777" w:rsidR="00AD1F54" w:rsidRPr="00264D5D" w:rsidRDefault="00941227">
            <w:pPr>
              <w:pStyle w:val="GOSTTablenorm"/>
              <w:rPr>
                <w:szCs w:val="22"/>
              </w:rPr>
            </w:pPr>
            <w:r w:rsidRPr="00264D5D">
              <w:rPr>
                <w:szCs w:val="22"/>
              </w:rPr>
              <w:t>Электронная подпись</w:t>
            </w:r>
          </w:p>
        </w:tc>
        <w:tc>
          <w:tcPr>
            <w:tcW w:w="1704" w:type="dxa"/>
          </w:tcPr>
          <w:p w14:paraId="6605DB91" w14:textId="77777777" w:rsidR="00AD1F54" w:rsidRPr="00264D5D" w:rsidRDefault="00941227">
            <w:pPr>
              <w:pStyle w:val="GOSTTablenorm"/>
              <w:rPr>
                <w:szCs w:val="22"/>
              </w:rPr>
            </w:pPr>
            <w:r w:rsidRPr="00264D5D">
              <w:rPr>
                <w:szCs w:val="22"/>
              </w:rPr>
              <w:t>Signature</w:t>
            </w:r>
          </w:p>
        </w:tc>
        <w:tc>
          <w:tcPr>
            <w:tcW w:w="568" w:type="dxa"/>
          </w:tcPr>
          <w:p w14:paraId="09C548C2" w14:textId="77777777" w:rsidR="00AD1F54" w:rsidRPr="00264D5D" w:rsidRDefault="00941227">
            <w:pPr>
              <w:pStyle w:val="GOSTTablenorm"/>
              <w:jc w:val="center"/>
              <w:rPr>
                <w:szCs w:val="22"/>
              </w:rPr>
            </w:pPr>
            <w:r w:rsidRPr="00264D5D">
              <w:rPr>
                <w:szCs w:val="22"/>
              </w:rPr>
              <w:t>С</w:t>
            </w:r>
          </w:p>
        </w:tc>
        <w:tc>
          <w:tcPr>
            <w:tcW w:w="1136" w:type="dxa"/>
          </w:tcPr>
          <w:p w14:paraId="7084F059" w14:textId="77777777" w:rsidR="00AD1F54" w:rsidRPr="00264D5D" w:rsidRDefault="00941227">
            <w:pPr>
              <w:pStyle w:val="GOSTTablenorm"/>
              <w:rPr>
                <w:szCs w:val="22"/>
                <w:lang w:val="en-US"/>
              </w:rPr>
            </w:pPr>
            <w:r w:rsidRPr="00264D5D">
              <w:rPr>
                <w:rFonts w:eastAsia="Calibri"/>
                <w:szCs w:val="22"/>
              </w:rPr>
              <w:t>SignatureType</w:t>
            </w:r>
          </w:p>
        </w:tc>
        <w:tc>
          <w:tcPr>
            <w:tcW w:w="568" w:type="dxa"/>
          </w:tcPr>
          <w:p w14:paraId="3705772D" w14:textId="77777777" w:rsidR="00AD1F54" w:rsidRPr="00264D5D" w:rsidRDefault="00941227">
            <w:pPr>
              <w:spacing w:before="60" w:after="60"/>
              <w:jc w:val="center"/>
              <w:rPr>
                <w:sz w:val="22"/>
                <w:szCs w:val="22"/>
              </w:rPr>
            </w:pPr>
            <w:r w:rsidRPr="00264D5D">
              <w:rPr>
                <w:sz w:val="22"/>
                <w:szCs w:val="22"/>
              </w:rPr>
              <w:t>НМ</w:t>
            </w:r>
          </w:p>
        </w:tc>
        <w:tc>
          <w:tcPr>
            <w:tcW w:w="3970" w:type="dxa"/>
          </w:tcPr>
          <w:p w14:paraId="67B9C21A" w14:textId="77777777" w:rsidR="00AD1F54" w:rsidRPr="00264D5D" w:rsidRDefault="00941227">
            <w:pPr>
              <w:pStyle w:val="GOSTTablenorm"/>
              <w:rPr>
                <w:szCs w:val="22"/>
              </w:rPr>
            </w:pPr>
            <w:r w:rsidRPr="00264D5D">
              <w:rPr>
                <w:szCs w:val="22"/>
              </w:rPr>
              <w:t>Блок подписи в формате XAdes. Указывается как референс согласно формату подписи XAdes.</w:t>
            </w:r>
          </w:p>
          <w:p w14:paraId="5C584798" w14:textId="77777777" w:rsidR="00AD1F54" w:rsidRPr="00264D5D" w:rsidRDefault="00941227">
            <w:pPr>
              <w:spacing w:before="60" w:after="60"/>
              <w:rPr>
                <w:sz w:val="22"/>
                <w:szCs w:val="22"/>
              </w:rPr>
            </w:pPr>
            <w:r w:rsidRPr="00264D5D">
              <w:rPr>
                <w:sz w:val="22"/>
                <w:szCs w:val="22"/>
              </w:rPr>
              <w:t>Заполняется согласно п.3.5.3 Тома 1 настоящего альбома.</w:t>
            </w:r>
          </w:p>
          <w:p w14:paraId="41BF7E7E" w14:textId="77777777" w:rsidR="00AD1F54" w:rsidRPr="00264D5D" w:rsidRDefault="00941227">
            <w:pPr>
              <w:pStyle w:val="GOSTTablenorm"/>
              <w:rPr>
                <w:szCs w:val="22"/>
              </w:rPr>
            </w:pPr>
            <w:r w:rsidRPr="00264D5D">
              <w:rPr>
                <w:szCs w:val="22"/>
              </w:rPr>
              <w:t>Обязателен для заполнения при сервисн</w:t>
            </w:r>
            <w:r w:rsidR="00436C7D" w:rsidRPr="00264D5D">
              <w:rPr>
                <w:szCs w:val="22"/>
              </w:rPr>
              <w:t xml:space="preserve">ом взаимодействии ПФХД и </w:t>
            </w:r>
            <w:r w:rsidR="00D83D19">
              <w:rPr>
                <w:szCs w:val="22"/>
              </w:rPr>
              <w:t>ТОФК (ПУР ЭБ)</w:t>
            </w:r>
          </w:p>
        </w:tc>
      </w:tr>
    </w:tbl>
    <w:p w14:paraId="29C238C2" w14:textId="0A43249C" w:rsidR="00AD1F54" w:rsidRPr="00264D5D" w:rsidRDefault="00941227">
      <w:pPr>
        <w:pStyle w:val="31"/>
      </w:pPr>
      <w:bookmarkStart w:id="1089" w:name="_Toc776924"/>
      <w:bookmarkStart w:id="1090" w:name="_Toc1469460"/>
      <w:bookmarkStart w:id="1091" w:name="_Toc219309555"/>
      <w:r w:rsidRPr="00950D60">
        <w:rPr>
          <w:highlight w:val="green"/>
        </w:rPr>
        <w:t>Описание комплексного типа «tMSC_PBS_UB</w:t>
      </w:r>
      <w:r w:rsidRPr="008B26A8">
        <w:rPr>
          <w:highlight w:val="green"/>
        </w:rPr>
        <w:t>P</w:t>
      </w:r>
      <w:r w:rsidRPr="00264D5D">
        <w:t>»</w:t>
      </w:r>
      <w:bookmarkEnd w:id="1089"/>
      <w:bookmarkEnd w:id="1090"/>
      <w:bookmarkEnd w:id="1091"/>
    </w:p>
    <w:p w14:paraId="1B0821C7" w14:textId="4CE018DD" w:rsidR="00AD1F54" w:rsidRPr="00264D5D" w:rsidRDefault="00941227">
      <w:pPr>
        <w:pStyle w:val="ASFKNormal"/>
        <w:spacing w:before="60" w:after="120"/>
        <w:jc w:val="both"/>
        <w:rPr>
          <w:sz w:val="24"/>
        </w:rPr>
      </w:pPr>
      <w:r w:rsidRPr="00264D5D">
        <w:rPr>
          <w:sz w:val="24"/>
        </w:rPr>
        <w:t>Описание комплексного типа «tMSC_PBS_UB</w:t>
      </w:r>
      <w:r w:rsidRPr="008B26A8">
        <w:rPr>
          <w:sz w:val="24"/>
          <w:highlight w:val="green"/>
        </w:rPr>
        <w:t>P</w:t>
      </w:r>
      <w:r w:rsidRPr="00264D5D">
        <w:rPr>
          <w:sz w:val="24"/>
        </w:rPr>
        <w:t xml:space="preserve">» блока «Информация о клиенте». </w:t>
      </w:r>
    </w:p>
    <w:p w14:paraId="220484B8" w14:textId="4C26BCDA" w:rsidR="00AD1F54" w:rsidRPr="00950D60" w:rsidRDefault="00941227">
      <w:pPr>
        <w:pStyle w:val="GOSTNameTable"/>
        <w:numPr>
          <w:ilvl w:val="0"/>
          <w:numId w:val="2"/>
        </w:numPr>
        <w:ind w:left="425" w:hanging="357"/>
        <w:rPr>
          <w:highlight w:val="green"/>
        </w:rPr>
      </w:pPr>
      <w:r w:rsidRPr="00950D60">
        <w:rPr>
          <w:highlight w:val="green"/>
        </w:rPr>
        <w:lastRenderedPageBreak/>
        <w:fldChar w:fldCharType="begin"/>
      </w:r>
      <w:r w:rsidRPr="00950D60">
        <w:rPr>
          <w:highlight w:val="green"/>
        </w:rPr>
        <w:instrText>SEQ Таблица \* ARABIC</w:instrText>
      </w:r>
      <w:r w:rsidRPr="00950D60">
        <w:rPr>
          <w:highlight w:val="green"/>
        </w:rPr>
        <w:fldChar w:fldCharType="separate"/>
      </w:r>
      <w:bookmarkStart w:id="1092" w:name="_Ref524683606"/>
      <w:bookmarkStart w:id="1093" w:name="_Toc776476"/>
      <w:bookmarkStart w:id="1094" w:name="_Toc219309141"/>
      <w:r w:rsidR="008D797C">
        <w:rPr>
          <w:noProof/>
          <w:highlight w:val="green"/>
        </w:rPr>
        <w:t>111</w:t>
      </w:r>
      <w:bookmarkEnd w:id="1092"/>
      <w:r w:rsidRPr="00950D60">
        <w:rPr>
          <w:highlight w:val="green"/>
        </w:rPr>
        <w:fldChar w:fldCharType="end"/>
      </w:r>
      <w:r w:rsidRPr="00950D60">
        <w:rPr>
          <w:rFonts w:eastAsia="Calibri"/>
          <w:szCs w:val="24"/>
          <w:highlight w:val="green"/>
        </w:rPr>
        <w:t xml:space="preserve"> – </w:t>
      </w:r>
      <w:r w:rsidRPr="00950D60">
        <w:rPr>
          <w:highlight w:val="green"/>
        </w:rPr>
        <w:t xml:space="preserve">Описание комплексного типа </w:t>
      </w:r>
      <w:r w:rsidRPr="00950D60">
        <w:rPr>
          <w:szCs w:val="24"/>
          <w:highlight w:val="green"/>
        </w:rPr>
        <w:t>«</w:t>
      </w:r>
      <w:r w:rsidRPr="00950D60">
        <w:rPr>
          <w:color w:val="000000"/>
          <w:szCs w:val="24"/>
          <w:highlight w:val="green"/>
        </w:rPr>
        <w:t>tMSC_PBS_UB</w:t>
      </w:r>
      <w:r w:rsidRPr="008B26A8">
        <w:rPr>
          <w:color w:val="000000"/>
          <w:szCs w:val="24"/>
          <w:highlight w:val="green"/>
        </w:rPr>
        <w:t>P</w:t>
      </w:r>
      <w:r w:rsidRPr="00950D60">
        <w:rPr>
          <w:szCs w:val="24"/>
          <w:highlight w:val="green"/>
        </w:rPr>
        <w:t>»</w:t>
      </w:r>
      <w:bookmarkEnd w:id="1093"/>
      <w:bookmarkEnd w:id="1094"/>
    </w:p>
    <w:tbl>
      <w:tblPr>
        <w:tblStyle w:val="GOSTTable"/>
        <w:tblW w:w="5000" w:type="pct"/>
        <w:tblLayout w:type="fixed"/>
        <w:tblLook w:val="04A0" w:firstRow="1" w:lastRow="0" w:firstColumn="1" w:lastColumn="0" w:noHBand="0" w:noVBand="1"/>
      </w:tblPr>
      <w:tblGrid>
        <w:gridCol w:w="1705"/>
        <w:gridCol w:w="1704"/>
        <w:gridCol w:w="567"/>
        <w:gridCol w:w="1137"/>
        <w:gridCol w:w="567"/>
        <w:gridCol w:w="3970"/>
      </w:tblGrid>
      <w:tr w:rsidR="00AD1F54" w:rsidRPr="00264D5D" w14:paraId="1E59E30D" w14:textId="77777777" w:rsidTr="00950D60">
        <w:trPr>
          <w:cnfStyle w:val="100000000000" w:firstRow="1" w:lastRow="0" w:firstColumn="0" w:lastColumn="0" w:oddVBand="0" w:evenVBand="0" w:oddHBand="0" w:evenHBand="0" w:firstRowFirstColumn="0" w:firstRowLastColumn="0" w:lastRowFirstColumn="0" w:lastRowLastColumn="0"/>
          <w:trHeight w:val="283"/>
          <w:tblHeader/>
        </w:trPr>
        <w:tc>
          <w:tcPr>
            <w:tcW w:w="883" w:type="pct"/>
          </w:tcPr>
          <w:p w14:paraId="22644DE1" w14:textId="77777777" w:rsidR="00AD1F54" w:rsidRPr="00264D5D" w:rsidRDefault="00941227">
            <w:pPr>
              <w:pStyle w:val="GOSTTableHead"/>
            </w:pPr>
            <w:r w:rsidRPr="00264D5D">
              <w:t>Наименование элемента</w:t>
            </w:r>
          </w:p>
        </w:tc>
        <w:tc>
          <w:tcPr>
            <w:tcW w:w="883" w:type="pct"/>
          </w:tcPr>
          <w:p w14:paraId="7D0C6BB4" w14:textId="77777777" w:rsidR="00AD1F54" w:rsidRPr="00264D5D" w:rsidRDefault="00941227">
            <w:pPr>
              <w:pStyle w:val="GOSTTableHead"/>
            </w:pPr>
            <w:r w:rsidRPr="00264D5D">
              <w:t>Сокращенное наименование (код) элемента</w:t>
            </w:r>
          </w:p>
        </w:tc>
        <w:tc>
          <w:tcPr>
            <w:tcW w:w="294" w:type="pct"/>
          </w:tcPr>
          <w:p w14:paraId="608CD6B8" w14:textId="77777777" w:rsidR="00AD1F54" w:rsidRPr="00264D5D" w:rsidRDefault="00941227">
            <w:pPr>
              <w:pStyle w:val="GOSTTableHead"/>
            </w:pPr>
            <w:r w:rsidRPr="00264D5D">
              <w:t>Тип</w:t>
            </w:r>
          </w:p>
        </w:tc>
        <w:tc>
          <w:tcPr>
            <w:tcW w:w="589" w:type="pct"/>
          </w:tcPr>
          <w:p w14:paraId="16163447" w14:textId="77777777" w:rsidR="00AD1F54" w:rsidRPr="00264D5D" w:rsidRDefault="00941227">
            <w:pPr>
              <w:pStyle w:val="GOSTTableHead"/>
            </w:pPr>
            <w:r w:rsidRPr="00264D5D">
              <w:t>Формат элемента</w:t>
            </w:r>
          </w:p>
        </w:tc>
        <w:tc>
          <w:tcPr>
            <w:tcW w:w="294" w:type="pct"/>
          </w:tcPr>
          <w:p w14:paraId="6CE03CB1" w14:textId="77777777" w:rsidR="00AD1F54" w:rsidRPr="00264D5D" w:rsidRDefault="00941227">
            <w:pPr>
              <w:pStyle w:val="GOSTTableHead"/>
            </w:pPr>
            <w:r w:rsidRPr="00264D5D">
              <w:t>Обязательность</w:t>
            </w:r>
          </w:p>
        </w:tc>
        <w:tc>
          <w:tcPr>
            <w:tcW w:w="2057" w:type="pct"/>
          </w:tcPr>
          <w:p w14:paraId="71853547" w14:textId="77777777" w:rsidR="00AD1F54" w:rsidRPr="00264D5D" w:rsidRDefault="00941227">
            <w:pPr>
              <w:pStyle w:val="GOSTTableHead"/>
            </w:pPr>
            <w:r w:rsidRPr="00264D5D">
              <w:t>Дополнительная информация</w:t>
            </w:r>
          </w:p>
        </w:tc>
      </w:tr>
      <w:tr w:rsidR="00AD1F54" w:rsidRPr="00264D5D" w14:paraId="41C7AD91" w14:textId="77777777" w:rsidTr="00950D60">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79681FBE" w14:textId="77777777" w:rsidR="00AD1F54" w:rsidRPr="00264D5D" w:rsidRDefault="00941227">
            <w:pPr>
              <w:pStyle w:val="GOSTTablenorm"/>
              <w:rPr>
                <w:szCs w:val="22"/>
              </w:rPr>
            </w:pPr>
            <w:r w:rsidRPr="00264D5D">
              <w:rPr>
                <w:color w:val="000000"/>
                <w:szCs w:val="22"/>
              </w:rPr>
              <w:t>Код клиента</w:t>
            </w:r>
          </w:p>
        </w:tc>
        <w:tc>
          <w:tcPr>
            <w:tcW w:w="883" w:type="pct"/>
          </w:tcPr>
          <w:p w14:paraId="2A96BACE" w14:textId="77777777" w:rsidR="00AD1F54" w:rsidRPr="00264D5D" w:rsidRDefault="00941227">
            <w:pPr>
              <w:pStyle w:val="GOSTTablenorm"/>
              <w:rPr>
                <w:szCs w:val="22"/>
                <w:lang w:val="en-US"/>
              </w:rPr>
            </w:pPr>
            <w:r w:rsidRPr="00264D5D">
              <w:rPr>
                <w:szCs w:val="22"/>
                <w:lang w:val="en-US"/>
              </w:rPr>
              <w:t>Cd</w:t>
            </w:r>
          </w:p>
        </w:tc>
        <w:tc>
          <w:tcPr>
            <w:tcW w:w="294" w:type="pct"/>
          </w:tcPr>
          <w:p w14:paraId="73893132" w14:textId="77777777" w:rsidR="00AD1F54" w:rsidRPr="00264D5D" w:rsidRDefault="00941227">
            <w:pPr>
              <w:pStyle w:val="GOSTTablenorm"/>
              <w:jc w:val="center"/>
              <w:rPr>
                <w:szCs w:val="22"/>
              </w:rPr>
            </w:pPr>
            <w:r w:rsidRPr="00264D5D">
              <w:rPr>
                <w:szCs w:val="22"/>
              </w:rPr>
              <w:t>П</w:t>
            </w:r>
          </w:p>
        </w:tc>
        <w:tc>
          <w:tcPr>
            <w:tcW w:w="589" w:type="pct"/>
          </w:tcPr>
          <w:p w14:paraId="71314C7D" w14:textId="77777777" w:rsidR="00AD1F54" w:rsidRPr="00264D5D" w:rsidRDefault="00941227">
            <w:pPr>
              <w:pStyle w:val="GOSTTablenorm"/>
              <w:rPr>
                <w:szCs w:val="22"/>
              </w:rPr>
            </w:pPr>
            <w:r w:rsidRPr="00264D5D">
              <w:rPr>
                <w:szCs w:val="22"/>
              </w:rPr>
              <w:t>Т(8)</w:t>
            </w:r>
          </w:p>
        </w:tc>
        <w:tc>
          <w:tcPr>
            <w:tcW w:w="294" w:type="pct"/>
          </w:tcPr>
          <w:p w14:paraId="0B504509" w14:textId="0527DB4E" w:rsidR="00AD1F54" w:rsidRPr="00264D5D" w:rsidRDefault="00E34D23">
            <w:pPr>
              <w:pStyle w:val="GOSTTablenorm"/>
              <w:jc w:val="center"/>
              <w:rPr>
                <w:szCs w:val="22"/>
              </w:rPr>
            </w:pPr>
            <w:r w:rsidRPr="008B26A8">
              <w:rPr>
                <w:szCs w:val="22"/>
                <w:highlight w:val="green"/>
              </w:rPr>
              <w:t>Н</w:t>
            </w:r>
          </w:p>
        </w:tc>
        <w:tc>
          <w:tcPr>
            <w:tcW w:w="2057" w:type="pct"/>
          </w:tcPr>
          <w:p w14:paraId="217513DB" w14:textId="77777777" w:rsidR="00AD1F54" w:rsidRPr="00264D5D" w:rsidRDefault="00941227">
            <w:pPr>
              <w:spacing w:before="60" w:after="60"/>
              <w:rPr>
                <w:sz w:val="22"/>
                <w:szCs w:val="22"/>
              </w:rPr>
            </w:pPr>
            <w:r w:rsidRPr="00264D5D">
              <w:rPr>
                <w:sz w:val="22"/>
                <w:szCs w:val="22"/>
              </w:rPr>
              <w:t>Код клиента по Сводному реестру.</w:t>
            </w:r>
          </w:p>
          <w:p w14:paraId="23878B22" w14:textId="77777777" w:rsidR="00E34D23" w:rsidRPr="0021139B" w:rsidRDefault="00941227" w:rsidP="00E34D23">
            <w:pPr>
              <w:pStyle w:val="GOSTTablenorm"/>
              <w:rPr>
                <w:szCs w:val="22"/>
              </w:rPr>
            </w:pPr>
            <w:r w:rsidRPr="00264D5D">
              <w:rPr>
                <w:szCs w:val="22"/>
              </w:rPr>
              <w:t xml:space="preserve">Для </w:t>
            </w:r>
            <w:r w:rsidRPr="00E34D23">
              <w:rPr>
                <w:szCs w:val="22"/>
              </w:rPr>
              <w:t>налоговых органов указывает</w:t>
            </w:r>
            <w:r w:rsidR="00436C7D" w:rsidRPr="00E34D23">
              <w:rPr>
                <w:szCs w:val="22"/>
              </w:rPr>
              <w:t>ся код УФНС по Сводному реестру</w:t>
            </w:r>
            <w:r w:rsidR="00E34D23" w:rsidRPr="0021139B">
              <w:rPr>
                <w:szCs w:val="22"/>
              </w:rPr>
              <w:t>.</w:t>
            </w:r>
          </w:p>
          <w:p w14:paraId="21F15146" w14:textId="77777777" w:rsidR="00AD1F54" w:rsidRPr="00264D5D" w:rsidRDefault="00E34D23" w:rsidP="00E34D23">
            <w:pPr>
              <w:spacing w:before="60" w:after="60"/>
              <w:rPr>
                <w:sz w:val="22"/>
                <w:szCs w:val="22"/>
              </w:rPr>
            </w:pPr>
            <w:r w:rsidRPr="00E34D23">
              <w:rPr>
                <w:sz w:val="22"/>
                <w:szCs w:val="22"/>
                <w:highlight w:val="green"/>
              </w:rPr>
              <w:t>Поле обязательно к заполнению для всех маршрутов, кроме маршрута Уполномоченный ТОФК (МУО СГ) – ТОФК (ППО АСФК). Для маршрута Уполномоченный ТОФК (МУО СГ) – ТОФК (ППО АСФК) поле не заполняется</w:t>
            </w:r>
          </w:p>
        </w:tc>
      </w:tr>
      <w:tr w:rsidR="00AD1F54" w:rsidRPr="00264D5D" w14:paraId="2CC8442D" w14:textId="77777777" w:rsidTr="00950D60">
        <w:trPr>
          <w:cnfStyle w:val="000000010000" w:firstRow="0" w:lastRow="0" w:firstColumn="0" w:lastColumn="0" w:oddVBand="0" w:evenVBand="0" w:oddHBand="0" w:evenHBand="1" w:firstRowFirstColumn="0" w:firstRowLastColumn="0" w:lastRowFirstColumn="0" w:lastRowLastColumn="0"/>
          <w:trHeight w:val="283"/>
        </w:trPr>
        <w:tc>
          <w:tcPr>
            <w:tcW w:w="883" w:type="pct"/>
          </w:tcPr>
          <w:p w14:paraId="245A63ED" w14:textId="77777777" w:rsidR="00AD1F54" w:rsidRPr="00264D5D" w:rsidRDefault="00941227">
            <w:pPr>
              <w:pStyle w:val="GOSTTablenorm"/>
              <w:rPr>
                <w:color w:val="000000"/>
                <w:szCs w:val="22"/>
              </w:rPr>
            </w:pPr>
            <w:r w:rsidRPr="00264D5D">
              <w:rPr>
                <w:color w:val="000000"/>
                <w:szCs w:val="22"/>
              </w:rPr>
              <w:t>Наименование клиента</w:t>
            </w:r>
          </w:p>
        </w:tc>
        <w:tc>
          <w:tcPr>
            <w:tcW w:w="883" w:type="pct"/>
          </w:tcPr>
          <w:p w14:paraId="3AB8432E" w14:textId="77777777" w:rsidR="00AD1F54" w:rsidRPr="00264D5D" w:rsidRDefault="00941227">
            <w:pPr>
              <w:pStyle w:val="GOSTTablenorm"/>
              <w:rPr>
                <w:color w:val="000000"/>
                <w:szCs w:val="22"/>
              </w:rPr>
            </w:pPr>
            <w:r w:rsidRPr="00264D5D">
              <w:rPr>
                <w:color w:val="000000"/>
                <w:szCs w:val="22"/>
              </w:rPr>
              <w:t>Nm</w:t>
            </w:r>
          </w:p>
        </w:tc>
        <w:tc>
          <w:tcPr>
            <w:tcW w:w="294" w:type="pct"/>
          </w:tcPr>
          <w:p w14:paraId="49F60B82" w14:textId="77777777" w:rsidR="00AD1F54" w:rsidRPr="00264D5D" w:rsidRDefault="00941227">
            <w:pPr>
              <w:pStyle w:val="GOSTTablenorm"/>
              <w:jc w:val="center"/>
              <w:rPr>
                <w:szCs w:val="22"/>
              </w:rPr>
            </w:pPr>
            <w:r w:rsidRPr="00264D5D">
              <w:rPr>
                <w:szCs w:val="22"/>
              </w:rPr>
              <w:t>П</w:t>
            </w:r>
          </w:p>
        </w:tc>
        <w:tc>
          <w:tcPr>
            <w:tcW w:w="589" w:type="pct"/>
          </w:tcPr>
          <w:p w14:paraId="7F246538" w14:textId="77777777" w:rsidR="00AD1F54" w:rsidRPr="00264D5D" w:rsidRDefault="00941227">
            <w:pPr>
              <w:pStyle w:val="GOSTTablenorm"/>
              <w:rPr>
                <w:color w:val="000000"/>
                <w:szCs w:val="22"/>
                <w:lang w:val="en-US"/>
              </w:rPr>
            </w:pPr>
            <w:r w:rsidRPr="00264D5D">
              <w:rPr>
                <w:color w:val="000000"/>
                <w:szCs w:val="22"/>
                <w:lang w:val="en-US"/>
              </w:rPr>
              <w:t>Т(1-2000)</w:t>
            </w:r>
          </w:p>
        </w:tc>
        <w:tc>
          <w:tcPr>
            <w:tcW w:w="294" w:type="pct"/>
          </w:tcPr>
          <w:p w14:paraId="324C243C" w14:textId="77777777" w:rsidR="00AD1F54" w:rsidRPr="00264D5D" w:rsidRDefault="00941227">
            <w:pPr>
              <w:pStyle w:val="GOSTTablenorm"/>
              <w:jc w:val="center"/>
              <w:rPr>
                <w:szCs w:val="22"/>
              </w:rPr>
            </w:pPr>
            <w:r w:rsidRPr="00264D5D">
              <w:rPr>
                <w:szCs w:val="22"/>
              </w:rPr>
              <w:t>О</w:t>
            </w:r>
          </w:p>
        </w:tc>
        <w:tc>
          <w:tcPr>
            <w:tcW w:w="2057" w:type="pct"/>
          </w:tcPr>
          <w:p w14:paraId="2E16D442" w14:textId="77777777" w:rsidR="00C97F28" w:rsidRPr="00264D5D" w:rsidRDefault="00C97F28" w:rsidP="00C97F28">
            <w:pPr>
              <w:pStyle w:val="GOSTTablenorm"/>
            </w:pPr>
            <w:r w:rsidRPr="00264D5D">
              <w:t>Наименование клиента.</w:t>
            </w:r>
          </w:p>
          <w:p w14:paraId="3CD9C63D" w14:textId="77777777" w:rsidR="00C97F28" w:rsidRPr="00264D5D" w:rsidRDefault="00C97F28" w:rsidP="00C97F28">
            <w:pPr>
              <w:pStyle w:val="GOSTTablenorm"/>
            </w:pPr>
            <w:r w:rsidRPr="00264D5D">
              <w:t>Указывается наименование АДБ по Сводному реестру.</w:t>
            </w:r>
          </w:p>
          <w:p w14:paraId="0996D8F9" w14:textId="77777777" w:rsidR="00C97F28" w:rsidRPr="00264D5D" w:rsidRDefault="00C97F28" w:rsidP="00C97F28">
            <w:pPr>
              <w:pStyle w:val="GOSTTablenorm"/>
              <w:rPr>
                <w:szCs w:val="22"/>
              </w:rPr>
            </w:pPr>
            <w:r w:rsidRPr="00264D5D">
              <w:t xml:space="preserve">Для </w:t>
            </w:r>
            <w:r w:rsidRPr="00264D5D">
              <w:rPr>
                <w:szCs w:val="22"/>
              </w:rPr>
              <w:t>УБП указывается полное наименование.</w:t>
            </w:r>
          </w:p>
          <w:p w14:paraId="7B0E6E84" w14:textId="77777777" w:rsidR="00C97F28" w:rsidRPr="00264D5D" w:rsidRDefault="00C97F28" w:rsidP="00C97F28">
            <w:pPr>
              <w:pStyle w:val="GOSTTablenorm"/>
              <w:rPr>
                <w:szCs w:val="22"/>
              </w:rPr>
            </w:pPr>
            <w:r w:rsidRPr="00264D5D">
              <w:rPr>
                <w:szCs w:val="22"/>
              </w:rPr>
              <w:t>Для организаций, отсутствующих в Сводном реестре, указывается в соответствии с регистрационными данными, присвоенными ТОФК.</w:t>
            </w:r>
          </w:p>
          <w:p w14:paraId="73B2C8A4" w14:textId="77777777" w:rsidR="00AD1F54" w:rsidRPr="00264D5D" w:rsidRDefault="00C97F28" w:rsidP="00C97F28">
            <w:pPr>
              <w:spacing w:before="60" w:after="60"/>
              <w:rPr>
                <w:szCs w:val="22"/>
              </w:rPr>
            </w:pPr>
            <w:r w:rsidRPr="00264D5D">
              <w:rPr>
                <w:sz w:val="22"/>
                <w:szCs w:val="22"/>
              </w:rPr>
              <w:t>Для остальных клиентов указывается в соответствии со Сводным реестром</w:t>
            </w:r>
          </w:p>
        </w:tc>
      </w:tr>
    </w:tbl>
    <w:p w14:paraId="19EC2AEC" w14:textId="77777777" w:rsidR="00950D60" w:rsidRPr="009D2D00" w:rsidRDefault="00950D60" w:rsidP="00950D60">
      <w:pPr>
        <w:pStyle w:val="31"/>
      </w:pPr>
      <w:bookmarkStart w:id="1095" w:name="_Toc185883795"/>
      <w:bookmarkStart w:id="1096" w:name="_Toc207639723"/>
      <w:bookmarkStart w:id="1097" w:name="_Toc2068588"/>
      <w:bookmarkStart w:id="1098" w:name="_Toc2611434"/>
      <w:bookmarkStart w:id="1099" w:name="_Toc2762129"/>
      <w:bookmarkStart w:id="1100" w:name="_Toc776925"/>
      <w:bookmarkStart w:id="1101" w:name="_Toc1469461"/>
      <w:bookmarkStart w:id="1102" w:name="_Toc219309556"/>
      <w:r w:rsidRPr="009D2D00">
        <w:t>Описание комплексного типа «tMSC_TOFK»</w:t>
      </w:r>
      <w:bookmarkEnd w:id="1095"/>
      <w:bookmarkEnd w:id="1096"/>
      <w:bookmarkEnd w:id="1102"/>
    </w:p>
    <w:p w14:paraId="14375888" w14:textId="77777777" w:rsidR="00950D60" w:rsidRPr="009D2D00" w:rsidRDefault="00950D60" w:rsidP="00950D60">
      <w:pPr>
        <w:pStyle w:val="ASFKNormal"/>
        <w:spacing w:before="60" w:after="120"/>
        <w:jc w:val="both"/>
      </w:pPr>
      <w:r w:rsidRPr="009D2D00">
        <w:rPr>
          <w:sz w:val="24"/>
        </w:rPr>
        <w:t xml:space="preserve">Описание комплексного типа </w:t>
      </w:r>
      <w:r w:rsidRPr="009D2D00">
        <w:rPr>
          <w:rFonts w:eastAsia="Calibri"/>
          <w:sz w:val="24"/>
        </w:rPr>
        <w:t>«</w:t>
      </w:r>
      <w:r w:rsidRPr="009D2D00">
        <w:rPr>
          <w:color w:val="000000"/>
          <w:sz w:val="24"/>
          <w:szCs w:val="22"/>
        </w:rPr>
        <w:t>tMSC_TOFK</w:t>
      </w:r>
      <w:r w:rsidRPr="009D2D00">
        <w:rPr>
          <w:sz w:val="24"/>
        </w:rPr>
        <w:t>» блока «ТОФК».</w:t>
      </w:r>
    </w:p>
    <w:p w14:paraId="2A4C271C" w14:textId="1DB93B6E" w:rsidR="00950D60" w:rsidRPr="009D2D00" w:rsidRDefault="00950D60" w:rsidP="00950D60">
      <w:pPr>
        <w:pStyle w:val="GOSTNameTable"/>
        <w:numPr>
          <w:ilvl w:val="0"/>
          <w:numId w:val="2"/>
        </w:numPr>
        <w:ind w:left="425" w:hanging="357"/>
      </w:pPr>
      <w:r w:rsidRPr="009D2D00">
        <w:fldChar w:fldCharType="begin"/>
      </w:r>
      <w:r w:rsidRPr="009D2D00">
        <w:instrText>SEQ Таблица \* ARABIC</w:instrText>
      </w:r>
      <w:r w:rsidRPr="009D2D00">
        <w:fldChar w:fldCharType="separate"/>
      </w:r>
      <w:bookmarkStart w:id="1103" w:name="_Ref216443425"/>
      <w:bookmarkStart w:id="1104" w:name="_Toc185882448"/>
      <w:bookmarkStart w:id="1105" w:name="_Toc219309142"/>
      <w:r w:rsidR="008D797C">
        <w:rPr>
          <w:noProof/>
        </w:rPr>
        <w:t>112</w:t>
      </w:r>
      <w:bookmarkEnd w:id="1103"/>
      <w:r w:rsidRPr="009D2D00">
        <w:fldChar w:fldCharType="end"/>
      </w:r>
      <w:r w:rsidRPr="009D2D00">
        <w:rPr>
          <w:rFonts w:eastAsia="Calibri"/>
          <w:szCs w:val="24"/>
        </w:rPr>
        <w:t xml:space="preserve"> – </w:t>
      </w:r>
      <w:r w:rsidRPr="009D2D00">
        <w:t>Описание комплексного типа «</w:t>
      </w:r>
      <w:r w:rsidRPr="009D2D00">
        <w:rPr>
          <w:color w:val="000000"/>
          <w:szCs w:val="22"/>
        </w:rPr>
        <w:t>tMSC_TOFK</w:t>
      </w:r>
      <w:r w:rsidRPr="009D2D00">
        <w:t>»</w:t>
      </w:r>
      <w:bookmarkEnd w:id="1104"/>
      <w:bookmarkEnd w:id="1105"/>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950D60" w:rsidRPr="009D2D00" w14:paraId="132E0584" w14:textId="77777777" w:rsidTr="00950D60">
        <w:trPr>
          <w:cnfStyle w:val="100000000000" w:firstRow="1" w:lastRow="0" w:firstColumn="0" w:lastColumn="0" w:oddVBand="0" w:evenVBand="0" w:oddHBand="0" w:evenHBand="0" w:firstRowFirstColumn="0" w:firstRowLastColumn="0" w:lastRowFirstColumn="0" w:lastRowLastColumn="0"/>
          <w:tblHeader/>
        </w:trPr>
        <w:tc>
          <w:tcPr>
            <w:tcW w:w="1701" w:type="dxa"/>
          </w:tcPr>
          <w:p w14:paraId="46851E82" w14:textId="77777777" w:rsidR="00950D60" w:rsidRPr="009D2D00" w:rsidRDefault="00950D60" w:rsidP="00950D60">
            <w:pPr>
              <w:pStyle w:val="GOSTTableHead"/>
              <w:keepNext w:val="0"/>
              <w:widowControl w:val="0"/>
            </w:pPr>
            <w:r w:rsidRPr="009D2D00">
              <w:t>Наименование элемента</w:t>
            </w:r>
          </w:p>
        </w:tc>
        <w:tc>
          <w:tcPr>
            <w:tcW w:w="1701" w:type="dxa"/>
          </w:tcPr>
          <w:p w14:paraId="7BF04A0C" w14:textId="77777777" w:rsidR="00950D60" w:rsidRPr="009D2D00" w:rsidRDefault="00950D60" w:rsidP="00950D60">
            <w:pPr>
              <w:pStyle w:val="GOSTTableHead"/>
              <w:keepNext w:val="0"/>
              <w:widowControl w:val="0"/>
            </w:pPr>
            <w:r w:rsidRPr="009D2D00">
              <w:t>Сокращенное наименование (код) элемента</w:t>
            </w:r>
          </w:p>
        </w:tc>
        <w:tc>
          <w:tcPr>
            <w:tcW w:w="567" w:type="dxa"/>
          </w:tcPr>
          <w:p w14:paraId="4C55B2FB" w14:textId="77777777" w:rsidR="00950D60" w:rsidRPr="009D2D00" w:rsidRDefault="00950D60" w:rsidP="00950D60">
            <w:pPr>
              <w:pStyle w:val="GOSTTableHead"/>
              <w:keepNext w:val="0"/>
              <w:widowControl w:val="0"/>
            </w:pPr>
            <w:r w:rsidRPr="009D2D00">
              <w:t>Тип</w:t>
            </w:r>
          </w:p>
        </w:tc>
        <w:tc>
          <w:tcPr>
            <w:tcW w:w="1134" w:type="dxa"/>
          </w:tcPr>
          <w:p w14:paraId="0EC03482" w14:textId="77777777" w:rsidR="00950D60" w:rsidRPr="009D2D00" w:rsidRDefault="00950D60" w:rsidP="00950D60">
            <w:pPr>
              <w:pStyle w:val="GOSTTableHead"/>
              <w:keepNext w:val="0"/>
              <w:widowControl w:val="0"/>
            </w:pPr>
            <w:r w:rsidRPr="009D2D00">
              <w:t>Формат элемента</w:t>
            </w:r>
          </w:p>
        </w:tc>
        <w:tc>
          <w:tcPr>
            <w:tcW w:w="567" w:type="dxa"/>
          </w:tcPr>
          <w:p w14:paraId="7EAB1339" w14:textId="77777777" w:rsidR="00950D60" w:rsidRPr="009D2D00" w:rsidRDefault="00950D60" w:rsidP="00950D60">
            <w:pPr>
              <w:pStyle w:val="GOSTTableHead"/>
              <w:keepNext w:val="0"/>
              <w:widowControl w:val="0"/>
            </w:pPr>
            <w:r w:rsidRPr="009D2D00">
              <w:t>Обязательность</w:t>
            </w:r>
          </w:p>
        </w:tc>
        <w:tc>
          <w:tcPr>
            <w:tcW w:w="3963" w:type="dxa"/>
          </w:tcPr>
          <w:p w14:paraId="040D7429" w14:textId="77777777" w:rsidR="00950D60" w:rsidRPr="009D2D00" w:rsidRDefault="00950D60" w:rsidP="00950D60">
            <w:pPr>
              <w:pStyle w:val="GOSTTableHead"/>
              <w:keepNext w:val="0"/>
              <w:widowControl w:val="0"/>
              <w:rPr>
                <w:szCs w:val="22"/>
              </w:rPr>
            </w:pPr>
            <w:r w:rsidRPr="009D2D00">
              <w:rPr>
                <w:szCs w:val="22"/>
              </w:rPr>
              <w:t>Дополнительная информация</w:t>
            </w:r>
          </w:p>
        </w:tc>
      </w:tr>
      <w:tr w:rsidR="00950D60" w:rsidRPr="009D2D00" w14:paraId="25332782" w14:textId="77777777" w:rsidTr="00950D60">
        <w:trPr>
          <w:cnfStyle w:val="000000100000" w:firstRow="0" w:lastRow="0" w:firstColumn="0" w:lastColumn="0" w:oddVBand="0" w:evenVBand="0" w:oddHBand="1" w:evenHBand="0" w:firstRowFirstColumn="0" w:firstRowLastColumn="0" w:lastRowFirstColumn="0" w:lastRowLastColumn="0"/>
        </w:trPr>
        <w:tc>
          <w:tcPr>
            <w:tcW w:w="1701" w:type="dxa"/>
          </w:tcPr>
          <w:p w14:paraId="67964A67" w14:textId="77777777" w:rsidR="00950D60" w:rsidRPr="00E03AFC" w:rsidRDefault="00950D60" w:rsidP="00950D60">
            <w:pPr>
              <w:pStyle w:val="GOSTTablenorm"/>
              <w:widowControl w:val="0"/>
              <w:rPr>
                <w:color w:val="000000"/>
                <w:szCs w:val="22"/>
              </w:rPr>
            </w:pPr>
            <w:r w:rsidRPr="00E03AFC">
              <w:rPr>
                <w:color w:val="000000"/>
                <w:szCs w:val="22"/>
              </w:rPr>
              <w:t>Наименование ТОФК</w:t>
            </w:r>
          </w:p>
        </w:tc>
        <w:tc>
          <w:tcPr>
            <w:tcW w:w="1701" w:type="dxa"/>
          </w:tcPr>
          <w:p w14:paraId="0BB14D21" w14:textId="77777777" w:rsidR="00950D60" w:rsidRPr="00E03AFC" w:rsidRDefault="00950D60" w:rsidP="00950D60">
            <w:pPr>
              <w:widowControl w:val="0"/>
              <w:spacing w:before="60" w:after="60"/>
              <w:rPr>
                <w:sz w:val="22"/>
                <w:szCs w:val="22"/>
                <w:lang w:val="en-US"/>
              </w:rPr>
            </w:pPr>
            <w:r w:rsidRPr="00E03AFC">
              <w:rPr>
                <w:color w:val="000000"/>
                <w:sz w:val="22"/>
                <w:szCs w:val="22"/>
                <w:lang w:val="en-US"/>
              </w:rPr>
              <w:t>Nm</w:t>
            </w:r>
          </w:p>
        </w:tc>
        <w:tc>
          <w:tcPr>
            <w:tcW w:w="567" w:type="dxa"/>
          </w:tcPr>
          <w:p w14:paraId="2BE89A32" w14:textId="77777777" w:rsidR="00950D60" w:rsidRPr="00E03AFC" w:rsidRDefault="00950D60" w:rsidP="00950D60">
            <w:pPr>
              <w:pStyle w:val="GOSTTablenorm"/>
              <w:widowControl w:val="0"/>
              <w:jc w:val="center"/>
              <w:rPr>
                <w:szCs w:val="22"/>
              </w:rPr>
            </w:pPr>
            <w:r w:rsidRPr="00E03AFC">
              <w:rPr>
                <w:szCs w:val="22"/>
              </w:rPr>
              <w:t>П</w:t>
            </w:r>
          </w:p>
        </w:tc>
        <w:tc>
          <w:tcPr>
            <w:tcW w:w="1134" w:type="dxa"/>
          </w:tcPr>
          <w:p w14:paraId="15703447" w14:textId="77777777" w:rsidR="00950D60" w:rsidRPr="00E03AFC" w:rsidRDefault="00950D60" w:rsidP="00950D60">
            <w:pPr>
              <w:pStyle w:val="GOSTTablenorm"/>
              <w:widowControl w:val="0"/>
              <w:rPr>
                <w:color w:val="000000"/>
                <w:szCs w:val="22"/>
              </w:rPr>
            </w:pPr>
            <w:r w:rsidRPr="00E03AFC">
              <w:rPr>
                <w:color w:val="000000"/>
                <w:szCs w:val="22"/>
                <w:lang w:val="en-US"/>
              </w:rPr>
              <w:t>Т(1-2000)</w:t>
            </w:r>
          </w:p>
        </w:tc>
        <w:tc>
          <w:tcPr>
            <w:tcW w:w="567" w:type="dxa"/>
          </w:tcPr>
          <w:p w14:paraId="0C923F8B" w14:textId="77777777" w:rsidR="00950D60" w:rsidRPr="00E03AFC" w:rsidRDefault="00950D60" w:rsidP="00950D60">
            <w:pPr>
              <w:widowControl w:val="0"/>
              <w:spacing w:before="60" w:after="60"/>
              <w:jc w:val="center"/>
              <w:rPr>
                <w:sz w:val="22"/>
                <w:szCs w:val="22"/>
              </w:rPr>
            </w:pPr>
            <w:r w:rsidRPr="00E03AFC">
              <w:rPr>
                <w:sz w:val="22"/>
                <w:szCs w:val="22"/>
              </w:rPr>
              <w:t>О</w:t>
            </w:r>
          </w:p>
        </w:tc>
        <w:tc>
          <w:tcPr>
            <w:tcW w:w="3963" w:type="dxa"/>
          </w:tcPr>
          <w:p w14:paraId="619C705D" w14:textId="77777777" w:rsidR="00950D60" w:rsidRPr="00E03AFC" w:rsidRDefault="00950D60" w:rsidP="00950D60">
            <w:pPr>
              <w:pStyle w:val="GOSTTablenorm"/>
              <w:widowControl w:val="0"/>
              <w:rPr>
                <w:szCs w:val="22"/>
              </w:rPr>
            </w:pPr>
            <w:r w:rsidRPr="00E03AFC">
              <w:rPr>
                <w:szCs w:val="22"/>
              </w:rPr>
              <w:t>Полное наименование ТОФК.</w:t>
            </w:r>
          </w:p>
          <w:p w14:paraId="498F9AD1" w14:textId="77777777" w:rsidR="00950D60" w:rsidRPr="00E03AFC" w:rsidRDefault="00950D60" w:rsidP="00950D60">
            <w:pPr>
              <w:pStyle w:val="GOSTTablenorm"/>
              <w:widowControl w:val="0"/>
              <w:rPr>
                <w:szCs w:val="22"/>
              </w:rPr>
            </w:pPr>
            <w:r w:rsidRPr="00E03AFC">
              <w:rPr>
                <w:szCs w:val="22"/>
              </w:rPr>
              <w:t>Поле заполняется в соответствии с централизованным справочником ФК</w:t>
            </w:r>
          </w:p>
        </w:tc>
      </w:tr>
      <w:tr w:rsidR="00950D60" w:rsidRPr="009D2D00" w14:paraId="1146EA7E" w14:textId="77777777" w:rsidTr="00950D60">
        <w:trPr>
          <w:cnfStyle w:val="000000010000" w:firstRow="0" w:lastRow="0" w:firstColumn="0" w:lastColumn="0" w:oddVBand="0" w:evenVBand="0" w:oddHBand="0" w:evenHBand="1" w:firstRowFirstColumn="0" w:firstRowLastColumn="0" w:lastRowFirstColumn="0" w:lastRowLastColumn="0"/>
        </w:trPr>
        <w:tc>
          <w:tcPr>
            <w:tcW w:w="1701" w:type="dxa"/>
          </w:tcPr>
          <w:p w14:paraId="367F6910" w14:textId="77777777" w:rsidR="00950D60" w:rsidRPr="00E03AFC" w:rsidRDefault="00950D60" w:rsidP="00950D60">
            <w:pPr>
              <w:pStyle w:val="GOSTTablenorm"/>
              <w:widowControl w:val="0"/>
              <w:rPr>
                <w:color w:val="000000"/>
                <w:szCs w:val="22"/>
              </w:rPr>
            </w:pPr>
            <w:r w:rsidRPr="00E03AFC">
              <w:rPr>
                <w:color w:val="000000"/>
                <w:szCs w:val="22"/>
              </w:rPr>
              <w:t>Код ТОФК</w:t>
            </w:r>
          </w:p>
        </w:tc>
        <w:tc>
          <w:tcPr>
            <w:tcW w:w="1701" w:type="dxa"/>
          </w:tcPr>
          <w:p w14:paraId="50EE658D" w14:textId="77777777" w:rsidR="00950D60" w:rsidRPr="00E03AFC" w:rsidRDefault="00950D60" w:rsidP="00950D60">
            <w:pPr>
              <w:widowControl w:val="0"/>
              <w:spacing w:before="60" w:after="60"/>
              <w:rPr>
                <w:sz w:val="22"/>
                <w:szCs w:val="22"/>
                <w:lang w:val="en-US"/>
              </w:rPr>
            </w:pPr>
            <w:r w:rsidRPr="00E03AFC">
              <w:rPr>
                <w:color w:val="000000"/>
                <w:sz w:val="22"/>
                <w:szCs w:val="22"/>
                <w:lang w:val="en-US"/>
              </w:rPr>
              <w:t>Cd</w:t>
            </w:r>
          </w:p>
        </w:tc>
        <w:tc>
          <w:tcPr>
            <w:tcW w:w="567" w:type="dxa"/>
          </w:tcPr>
          <w:p w14:paraId="64BAAAC9" w14:textId="77777777" w:rsidR="00950D60" w:rsidRPr="00E03AFC" w:rsidRDefault="00950D60" w:rsidP="00950D60">
            <w:pPr>
              <w:pStyle w:val="GOSTTablenorm"/>
              <w:widowControl w:val="0"/>
              <w:jc w:val="center"/>
              <w:rPr>
                <w:szCs w:val="22"/>
              </w:rPr>
            </w:pPr>
            <w:r w:rsidRPr="00E03AFC">
              <w:rPr>
                <w:szCs w:val="22"/>
              </w:rPr>
              <w:t>П</w:t>
            </w:r>
          </w:p>
        </w:tc>
        <w:tc>
          <w:tcPr>
            <w:tcW w:w="1134" w:type="dxa"/>
          </w:tcPr>
          <w:p w14:paraId="6836D5AE" w14:textId="77777777" w:rsidR="00950D60" w:rsidRPr="00E03AFC" w:rsidRDefault="00950D60" w:rsidP="00950D60">
            <w:pPr>
              <w:pStyle w:val="GOSTTablenorm"/>
              <w:widowControl w:val="0"/>
              <w:rPr>
                <w:color w:val="000000"/>
                <w:szCs w:val="22"/>
              </w:rPr>
            </w:pPr>
            <w:r w:rsidRPr="00E03AFC">
              <w:rPr>
                <w:color w:val="000000"/>
                <w:szCs w:val="22"/>
                <w:lang w:val="en-US"/>
              </w:rPr>
              <w:t>Т(4)</w:t>
            </w:r>
          </w:p>
        </w:tc>
        <w:tc>
          <w:tcPr>
            <w:tcW w:w="567" w:type="dxa"/>
          </w:tcPr>
          <w:p w14:paraId="1AB06D4C" w14:textId="77777777" w:rsidR="00950D60" w:rsidRPr="00E03AFC" w:rsidRDefault="00950D60" w:rsidP="00950D60">
            <w:pPr>
              <w:widowControl w:val="0"/>
              <w:spacing w:before="60" w:after="60"/>
              <w:jc w:val="center"/>
              <w:rPr>
                <w:sz w:val="22"/>
                <w:szCs w:val="22"/>
              </w:rPr>
            </w:pPr>
            <w:r w:rsidRPr="00E03AFC">
              <w:rPr>
                <w:sz w:val="22"/>
                <w:szCs w:val="22"/>
              </w:rPr>
              <w:t>О</w:t>
            </w:r>
          </w:p>
        </w:tc>
        <w:tc>
          <w:tcPr>
            <w:tcW w:w="3963" w:type="dxa"/>
          </w:tcPr>
          <w:p w14:paraId="7D5DC476" w14:textId="77777777" w:rsidR="00950D60" w:rsidRPr="00E03AFC" w:rsidRDefault="00950D60" w:rsidP="00950D60">
            <w:pPr>
              <w:pStyle w:val="GOSTTablenorm"/>
              <w:widowControl w:val="0"/>
              <w:rPr>
                <w:szCs w:val="22"/>
              </w:rPr>
            </w:pPr>
            <w:r w:rsidRPr="00E03AFC">
              <w:rPr>
                <w:szCs w:val="22"/>
              </w:rPr>
              <w:t>Поле заполняется в соответствии с централизованным справочником ФК</w:t>
            </w:r>
          </w:p>
        </w:tc>
      </w:tr>
    </w:tbl>
    <w:p w14:paraId="689E8E8E" w14:textId="77777777" w:rsidR="00AD1F54" w:rsidRPr="00264D5D" w:rsidRDefault="00941227">
      <w:pPr>
        <w:pStyle w:val="31"/>
      </w:pPr>
      <w:bookmarkStart w:id="1106" w:name="_Toc219309557"/>
      <w:r w:rsidRPr="00264D5D">
        <w:t>Описание комплексного типа «tTF»</w:t>
      </w:r>
      <w:bookmarkEnd w:id="1097"/>
      <w:bookmarkEnd w:id="1098"/>
      <w:bookmarkEnd w:id="1099"/>
      <w:bookmarkEnd w:id="1106"/>
    </w:p>
    <w:p w14:paraId="25CFD2ED" w14:textId="77777777" w:rsidR="00AD1F54" w:rsidRPr="00264D5D" w:rsidRDefault="00941227">
      <w:pPr>
        <w:pStyle w:val="ASFKNormal"/>
        <w:spacing w:before="60" w:after="120"/>
        <w:jc w:val="both"/>
        <w:rPr>
          <w:sz w:val="24"/>
        </w:rPr>
      </w:pPr>
      <w:r w:rsidRPr="00264D5D">
        <w:rPr>
          <w:sz w:val="24"/>
        </w:rPr>
        <w:t>Описание комплексного типа «</w:t>
      </w:r>
      <w:r w:rsidRPr="00264D5D">
        <w:rPr>
          <w:sz w:val="24"/>
          <w:szCs w:val="22"/>
        </w:rPr>
        <w:t>tTF</w:t>
      </w:r>
      <w:r w:rsidRPr="00264D5D">
        <w:rPr>
          <w:sz w:val="24"/>
        </w:rPr>
        <w:t>» блока «Системная информация».</w:t>
      </w:r>
    </w:p>
    <w:p w14:paraId="30DB92CF" w14:textId="07CAD7F1" w:rsidR="00AD1F54" w:rsidRPr="00264D5D" w:rsidRDefault="00941227">
      <w:pPr>
        <w:pStyle w:val="GOSTNameTable"/>
        <w:numPr>
          <w:ilvl w:val="0"/>
          <w:numId w:val="2"/>
        </w:numPr>
        <w:ind w:left="425" w:hanging="357"/>
      </w:pPr>
      <w:r w:rsidRPr="00264D5D">
        <w:lastRenderedPageBreak/>
        <w:fldChar w:fldCharType="begin"/>
      </w:r>
      <w:r w:rsidRPr="00264D5D">
        <w:instrText>SEQ Таблица \* ARABIC</w:instrText>
      </w:r>
      <w:r w:rsidRPr="00264D5D">
        <w:fldChar w:fldCharType="separate"/>
      </w:r>
      <w:bookmarkStart w:id="1107" w:name="_Ref523763751"/>
      <w:bookmarkStart w:id="1108" w:name="_Toc2068877"/>
      <w:bookmarkStart w:id="1109" w:name="_Toc219309143"/>
      <w:r w:rsidR="008D797C">
        <w:rPr>
          <w:noProof/>
        </w:rPr>
        <w:t>113</w:t>
      </w:r>
      <w:bookmarkEnd w:id="1107"/>
      <w:r w:rsidRPr="00264D5D">
        <w:fldChar w:fldCharType="end"/>
      </w:r>
      <w:r w:rsidRPr="00264D5D">
        <w:rPr>
          <w:rFonts w:eastAsia="Calibri"/>
          <w:szCs w:val="24"/>
        </w:rPr>
        <w:t xml:space="preserve"> – </w:t>
      </w:r>
      <w:r w:rsidRPr="00264D5D">
        <w:t>Описание комплексного типа «</w:t>
      </w:r>
      <w:r w:rsidRPr="00264D5D">
        <w:rPr>
          <w:szCs w:val="22"/>
        </w:rPr>
        <w:t>tTF</w:t>
      </w:r>
      <w:r w:rsidRPr="00264D5D">
        <w:t>»</w:t>
      </w:r>
      <w:bookmarkEnd w:id="1108"/>
      <w:bookmarkEnd w:id="1109"/>
    </w:p>
    <w:tbl>
      <w:tblPr>
        <w:tblStyle w:val="GOSTTable"/>
        <w:tblW w:w="5000" w:type="pct"/>
        <w:tblLayout w:type="fixed"/>
        <w:tblLook w:val="04A0" w:firstRow="1" w:lastRow="0" w:firstColumn="1" w:lastColumn="0" w:noHBand="0" w:noVBand="1"/>
      </w:tblPr>
      <w:tblGrid>
        <w:gridCol w:w="1704"/>
        <w:gridCol w:w="1704"/>
        <w:gridCol w:w="568"/>
        <w:gridCol w:w="1136"/>
        <w:gridCol w:w="568"/>
        <w:gridCol w:w="3970"/>
      </w:tblGrid>
      <w:tr w:rsidR="00AD1F54" w:rsidRPr="00264D5D" w14:paraId="40B132EE"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729BD854" w14:textId="77777777" w:rsidR="00AD1F54" w:rsidRPr="00264D5D" w:rsidRDefault="00941227">
            <w:pPr>
              <w:pStyle w:val="GOSTTableHead"/>
            </w:pPr>
            <w:r w:rsidRPr="00264D5D">
              <w:t>Наименование элемента</w:t>
            </w:r>
          </w:p>
        </w:tc>
        <w:tc>
          <w:tcPr>
            <w:tcW w:w="1701" w:type="dxa"/>
          </w:tcPr>
          <w:p w14:paraId="5FC6F325" w14:textId="77777777" w:rsidR="00AD1F54" w:rsidRPr="00264D5D" w:rsidRDefault="00941227">
            <w:pPr>
              <w:pStyle w:val="GOSTTableHead"/>
            </w:pPr>
            <w:r w:rsidRPr="00264D5D">
              <w:t>Сокращенное наименование (код) элемента</w:t>
            </w:r>
          </w:p>
        </w:tc>
        <w:tc>
          <w:tcPr>
            <w:tcW w:w="567" w:type="dxa"/>
          </w:tcPr>
          <w:p w14:paraId="6E6AAA2E" w14:textId="77777777" w:rsidR="00AD1F54" w:rsidRPr="00264D5D" w:rsidRDefault="00941227">
            <w:pPr>
              <w:pStyle w:val="GOSTTableHead"/>
            </w:pPr>
            <w:r w:rsidRPr="00264D5D">
              <w:t>Тип</w:t>
            </w:r>
          </w:p>
        </w:tc>
        <w:tc>
          <w:tcPr>
            <w:tcW w:w="1134" w:type="dxa"/>
          </w:tcPr>
          <w:p w14:paraId="0D0F9B74" w14:textId="77777777" w:rsidR="00AD1F54" w:rsidRPr="00264D5D" w:rsidRDefault="00941227">
            <w:pPr>
              <w:pStyle w:val="GOSTTableHead"/>
            </w:pPr>
            <w:r w:rsidRPr="00264D5D">
              <w:t>Формат элемента</w:t>
            </w:r>
          </w:p>
        </w:tc>
        <w:tc>
          <w:tcPr>
            <w:tcW w:w="567" w:type="dxa"/>
          </w:tcPr>
          <w:p w14:paraId="2ACB649E" w14:textId="77777777" w:rsidR="00AD1F54" w:rsidRPr="00264D5D" w:rsidRDefault="00941227">
            <w:pPr>
              <w:pStyle w:val="GOSTTableHead"/>
            </w:pPr>
            <w:r w:rsidRPr="00264D5D">
              <w:t>Обязательность</w:t>
            </w:r>
          </w:p>
        </w:tc>
        <w:tc>
          <w:tcPr>
            <w:tcW w:w="3963" w:type="dxa"/>
          </w:tcPr>
          <w:p w14:paraId="57DFD312" w14:textId="77777777" w:rsidR="00AD1F54" w:rsidRPr="00264D5D" w:rsidRDefault="00941227">
            <w:pPr>
              <w:pStyle w:val="GOSTTableHead"/>
            </w:pPr>
            <w:r w:rsidRPr="00264D5D">
              <w:rPr>
                <w:bCs w:val="0"/>
                <w:szCs w:val="22"/>
              </w:rPr>
              <w:t>Дополнительная информация</w:t>
            </w:r>
          </w:p>
        </w:tc>
      </w:tr>
      <w:tr w:rsidR="00AD1F54" w:rsidRPr="00264D5D" w14:paraId="4E7645D3"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8FBA2AF" w14:textId="77777777" w:rsidR="00AD1F54" w:rsidRPr="00264D5D" w:rsidRDefault="00941227">
            <w:pPr>
              <w:pStyle w:val="GOSTTablenorm"/>
            </w:pPr>
            <w:r w:rsidRPr="00264D5D">
              <w:t>Глобальный уникальный идентификатор документа</w:t>
            </w:r>
          </w:p>
        </w:tc>
        <w:tc>
          <w:tcPr>
            <w:tcW w:w="1701" w:type="dxa"/>
          </w:tcPr>
          <w:p w14:paraId="189D05B1" w14:textId="77777777" w:rsidR="00AD1F54" w:rsidRPr="00264D5D" w:rsidRDefault="00941227">
            <w:pPr>
              <w:pStyle w:val="GOSTTablenorm"/>
            </w:pPr>
            <w:r w:rsidRPr="00264D5D">
              <w:t>GUID</w:t>
            </w:r>
          </w:p>
        </w:tc>
        <w:tc>
          <w:tcPr>
            <w:tcW w:w="567" w:type="dxa"/>
          </w:tcPr>
          <w:p w14:paraId="5AF02347" w14:textId="77777777" w:rsidR="00AD1F54" w:rsidRPr="00264D5D" w:rsidRDefault="00941227">
            <w:pPr>
              <w:pStyle w:val="GOSTTablenorm"/>
              <w:jc w:val="center"/>
            </w:pPr>
            <w:r w:rsidRPr="00264D5D">
              <w:t>П</w:t>
            </w:r>
          </w:p>
        </w:tc>
        <w:tc>
          <w:tcPr>
            <w:tcW w:w="1134" w:type="dxa"/>
          </w:tcPr>
          <w:p w14:paraId="49863BAD" w14:textId="77777777" w:rsidR="00AD1F54" w:rsidRPr="00264D5D" w:rsidRDefault="00941227">
            <w:pPr>
              <w:pStyle w:val="GOSTTablenorm"/>
              <w:rPr>
                <w:lang w:val="en-US"/>
              </w:rPr>
            </w:pPr>
            <w:r w:rsidRPr="00264D5D">
              <w:t>GUID</w:t>
            </w:r>
          </w:p>
        </w:tc>
        <w:tc>
          <w:tcPr>
            <w:tcW w:w="567" w:type="dxa"/>
          </w:tcPr>
          <w:p w14:paraId="3DAC305E" w14:textId="77777777" w:rsidR="00AD1F54" w:rsidRPr="00264D5D" w:rsidRDefault="00941227">
            <w:pPr>
              <w:pStyle w:val="GOSTTablenorm"/>
              <w:jc w:val="center"/>
            </w:pPr>
            <w:r w:rsidRPr="00264D5D">
              <w:t>О</w:t>
            </w:r>
          </w:p>
        </w:tc>
        <w:tc>
          <w:tcPr>
            <w:tcW w:w="3963" w:type="dxa"/>
          </w:tcPr>
          <w:p w14:paraId="11C85BCB" w14:textId="77777777" w:rsidR="00AD1F54" w:rsidRPr="00264D5D" w:rsidRDefault="00436C7D">
            <w:pPr>
              <w:pStyle w:val="GOSTTablenorm"/>
              <w:rPr>
                <w:szCs w:val="22"/>
              </w:rPr>
            </w:pPr>
            <w:r w:rsidRPr="00264D5D">
              <w:t>Служебное поле</w:t>
            </w:r>
          </w:p>
        </w:tc>
      </w:tr>
    </w:tbl>
    <w:p w14:paraId="2A6189A5" w14:textId="77777777" w:rsidR="00AD1F54" w:rsidRPr="008B26A8" w:rsidRDefault="00941227">
      <w:pPr>
        <w:pStyle w:val="31"/>
        <w:rPr>
          <w:highlight w:val="green"/>
        </w:rPr>
      </w:pPr>
      <w:bookmarkStart w:id="1110" w:name="_Toc219309558"/>
      <w:r w:rsidRPr="008B26A8">
        <w:rPr>
          <w:highlight w:val="green"/>
        </w:rPr>
        <w:t>Описание комплексного типа «tDocTypeDBDComplex1»</w:t>
      </w:r>
      <w:bookmarkEnd w:id="1100"/>
      <w:bookmarkEnd w:id="1101"/>
      <w:bookmarkEnd w:id="1110"/>
    </w:p>
    <w:p w14:paraId="7AEA382F" w14:textId="77777777" w:rsidR="00AD1F54" w:rsidRPr="00264D5D" w:rsidRDefault="00941227">
      <w:pPr>
        <w:pStyle w:val="ASFKNormal"/>
        <w:spacing w:before="60" w:after="120"/>
        <w:jc w:val="both"/>
        <w:rPr>
          <w:sz w:val="24"/>
        </w:rPr>
      </w:pPr>
      <w:r w:rsidRPr="00264D5D">
        <w:rPr>
          <w:sz w:val="24"/>
        </w:rPr>
        <w:t>Описание комплексного типа «tDocTypeDBDComplex1» блока «Тип аннулируемого документа».</w:t>
      </w:r>
    </w:p>
    <w:p w14:paraId="067A5A97" w14:textId="6CF45FE2" w:rsidR="00AD1F54" w:rsidRPr="008B26A8" w:rsidRDefault="00941227">
      <w:pPr>
        <w:pStyle w:val="GOSTNameTable"/>
        <w:numPr>
          <w:ilvl w:val="0"/>
          <w:numId w:val="2"/>
        </w:numPr>
        <w:ind w:left="425" w:hanging="357"/>
        <w:rPr>
          <w:highlight w:val="green"/>
        </w:rPr>
      </w:pPr>
      <w:r w:rsidRPr="008B26A8">
        <w:rPr>
          <w:highlight w:val="green"/>
        </w:rPr>
        <w:fldChar w:fldCharType="begin"/>
      </w:r>
      <w:r w:rsidRPr="008B26A8">
        <w:rPr>
          <w:highlight w:val="green"/>
        </w:rPr>
        <w:instrText>SEQ Таблица \* ARABIC</w:instrText>
      </w:r>
      <w:r w:rsidRPr="008B26A8">
        <w:rPr>
          <w:highlight w:val="green"/>
        </w:rPr>
        <w:fldChar w:fldCharType="separate"/>
      </w:r>
      <w:bookmarkStart w:id="1111" w:name="_Ref523412552"/>
      <w:bookmarkStart w:id="1112" w:name="_Toc776477"/>
      <w:bookmarkStart w:id="1113" w:name="_Toc219309144"/>
      <w:r w:rsidR="008D797C">
        <w:rPr>
          <w:noProof/>
          <w:highlight w:val="green"/>
        </w:rPr>
        <w:t>114</w:t>
      </w:r>
      <w:bookmarkEnd w:id="1111"/>
      <w:r w:rsidRPr="008B26A8">
        <w:rPr>
          <w:highlight w:val="green"/>
        </w:rPr>
        <w:fldChar w:fldCharType="end"/>
      </w:r>
      <w:r w:rsidRPr="008B26A8">
        <w:rPr>
          <w:rFonts w:eastAsia="Calibri"/>
          <w:szCs w:val="24"/>
          <w:highlight w:val="green"/>
        </w:rPr>
        <w:t xml:space="preserve"> – </w:t>
      </w:r>
      <w:r w:rsidRPr="008B26A8">
        <w:rPr>
          <w:highlight w:val="green"/>
        </w:rPr>
        <w:t>Описание комплексного типа «</w:t>
      </w:r>
      <w:r w:rsidRPr="008B26A8">
        <w:rPr>
          <w:color w:val="000000"/>
          <w:highlight w:val="green"/>
        </w:rPr>
        <w:t>tDocTypeDBDComplex1</w:t>
      </w:r>
      <w:r w:rsidRPr="008B26A8">
        <w:rPr>
          <w:highlight w:val="green"/>
        </w:rPr>
        <w:t>»</w:t>
      </w:r>
      <w:bookmarkEnd w:id="1112"/>
      <w:bookmarkEnd w:id="1113"/>
    </w:p>
    <w:tbl>
      <w:tblPr>
        <w:tblStyle w:val="GOSTTable"/>
        <w:tblW w:w="5000" w:type="pct"/>
        <w:tblLayout w:type="fixed"/>
        <w:tblLook w:val="04A0" w:firstRow="1" w:lastRow="0" w:firstColumn="1" w:lastColumn="0" w:noHBand="0" w:noVBand="1"/>
      </w:tblPr>
      <w:tblGrid>
        <w:gridCol w:w="1704"/>
        <w:gridCol w:w="1704"/>
        <w:gridCol w:w="568"/>
        <w:gridCol w:w="1136"/>
        <w:gridCol w:w="568"/>
        <w:gridCol w:w="3970"/>
      </w:tblGrid>
      <w:tr w:rsidR="00AD1F54" w:rsidRPr="00264D5D" w14:paraId="2117A075"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1EF1FB8B" w14:textId="77777777" w:rsidR="00AD1F54" w:rsidRPr="00264D5D" w:rsidRDefault="00941227">
            <w:pPr>
              <w:pStyle w:val="GOSTTableHead"/>
            </w:pPr>
            <w:r w:rsidRPr="00264D5D">
              <w:t>Наименование элемента</w:t>
            </w:r>
          </w:p>
        </w:tc>
        <w:tc>
          <w:tcPr>
            <w:tcW w:w="1701" w:type="dxa"/>
          </w:tcPr>
          <w:p w14:paraId="444BCF2C" w14:textId="77777777" w:rsidR="00AD1F54" w:rsidRPr="00264D5D" w:rsidRDefault="00941227">
            <w:pPr>
              <w:pStyle w:val="GOSTTableHead"/>
            </w:pPr>
            <w:r w:rsidRPr="00264D5D">
              <w:t>Сокращенное наименование (код) элемента</w:t>
            </w:r>
          </w:p>
        </w:tc>
        <w:tc>
          <w:tcPr>
            <w:tcW w:w="567" w:type="dxa"/>
          </w:tcPr>
          <w:p w14:paraId="2B57B65C" w14:textId="77777777" w:rsidR="00AD1F54" w:rsidRPr="00264D5D" w:rsidRDefault="00941227">
            <w:pPr>
              <w:pStyle w:val="GOSTTableHead"/>
            </w:pPr>
            <w:r w:rsidRPr="00264D5D">
              <w:t>Тип</w:t>
            </w:r>
          </w:p>
        </w:tc>
        <w:tc>
          <w:tcPr>
            <w:tcW w:w="1134" w:type="dxa"/>
          </w:tcPr>
          <w:p w14:paraId="5EFBA60F" w14:textId="77777777" w:rsidR="00AD1F54" w:rsidRPr="00264D5D" w:rsidRDefault="00941227">
            <w:pPr>
              <w:pStyle w:val="GOSTTableHead"/>
            </w:pPr>
            <w:r w:rsidRPr="00264D5D">
              <w:t>Формат элемента</w:t>
            </w:r>
          </w:p>
        </w:tc>
        <w:tc>
          <w:tcPr>
            <w:tcW w:w="567" w:type="dxa"/>
          </w:tcPr>
          <w:p w14:paraId="771E87F4" w14:textId="77777777" w:rsidR="00AD1F54" w:rsidRPr="00264D5D" w:rsidRDefault="00941227">
            <w:pPr>
              <w:pStyle w:val="GOSTTableHead"/>
            </w:pPr>
            <w:r w:rsidRPr="00264D5D">
              <w:t>Обязательность</w:t>
            </w:r>
          </w:p>
        </w:tc>
        <w:tc>
          <w:tcPr>
            <w:tcW w:w="3963" w:type="dxa"/>
          </w:tcPr>
          <w:p w14:paraId="69529B2B" w14:textId="77777777" w:rsidR="00AD1F54" w:rsidRPr="00264D5D" w:rsidRDefault="00941227">
            <w:pPr>
              <w:pStyle w:val="GOSTTableHead"/>
            </w:pPr>
            <w:r w:rsidRPr="00264D5D">
              <w:rPr>
                <w:bCs w:val="0"/>
                <w:szCs w:val="22"/>
              </w:rPr>
              <w:t>Дополнительная информация</w:t>
            </w:r>
          </w:p>
        </w:tc>
      </w:tr>
      <w:tr w:rsidR="00AD1F54" w:rsidRPr="00264D5D" w14:paraId="4099F1D3"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2736832" w14:textId="77777777" w:rsidR="00AD1F54" w:rsidRPr="00264D5D" w:rsidRDefault="00941227">
            <w:pPr>
              <w:pStyle w:val="GOSTTablenorm"/>
              <w:rPr>
                <w:szCs w:val="22"/>
              </w:rPr>
            </w:pPr>
            <w:r w:rsidRPr="00264D5D">
              <w:rPr>
                <w:szCs w:val="22"/>
              </w:rPr>
              <w:t>Код</w:t>
            </w:r>
          </w:p>
        </w:tc>
        <w:tc>
          <w:tcPr>
            <w:tcW w:w="1701" w:type="dxa"/>
          </w:tcPr>
          <w:p w14:paraId="407108C7" w14:textId="77777777" w:rsidR="00AD1F54" w:rsidRPr="00264D5D" w:rsidRDefault="00941227">
            <w:pPr>
              <w:pStyle w:val="GOSTTablenorm"/>
              <w:rPr>
                <w:szCs w:val="22"/>
              </w:rPr>
            </w:pPr>
            <w:r w:rsidRPr="00264D5D">
              <w:rPr>
                <w:szCs w:val="22"/>
              </w:rPr>
              <w:t>code</w:t>
            </w:r>
          </w:p>
        </w:tc>
        <w:tc>
          <w:tcPr>
            <w:tcW w:w="567" w:type="dxa"/>
          </w:tcPr>
          <w:p w14:paraId="4B6A8020" w14:textId="77777777" w:rsidR="00AD1F54" w:rsidRPr="00264D5D" w:rsidRDefault="00941227">
            <w:pPr>
              <w:pStyle w:val="GOSTTablenorm"/>
              <w:jc w:val="center"/>
              <w:rPr>
                <w:szCs w:val="22"/>
              </w:rPr>
            </w:pPr>
            <w:r w:rsidRPr="00264D5D">
              <w:rPr>
                <w:szCs w:val="22"/>
              </w:rPr>
              <w:t>А</w:t>
            </w:r>
          </w:p>
        </w:tc>
        <w:tc>
          <w:tcPr>
            <w:tcW w:w="1134" w:type="dxa"/>
          </w:tcPr>
          <w:p w14:paraId="4FC2308E" w14:textId="77777777" w:rsidR="00AD1F54" w:rsidRPr="00264D5D" w:rsidRDefault="00941227">
            <w:pPr>
              <w:pStyle w:val="GOSTTablenorm"/>
              <w:rPr>
                <w:szCs w:val="22"/>
              </w:rPr>
            </w:pPr>
            <w:r w:rsidRPr="00264D5D">
              <w:rPr>
                <w:szCs w:val="22"/>
              </w:rPr>
              <w:t>-</w:t>
            </w:r>
          </w:p>
        </w:tc>
        <w:tc>
          <w:tcPr>
            <w:tcW w:w="567" w:type="dxa"/>
          </w:tcPr>
          <w:p w14:paraId="67CD84C3" w14:textId="77777777" w:rsidR="00AD1F54" w:rsidRPr="00264D5D" w:rsidRDefault="00941227">
            <w:pPr>
              <w:pStyle w:val="GOSTTablenorm"/>
              <w:jc w:val="center"/>
              <w:rPr>
                <w:szCs w:val="22"/>
              </w:rPr>
            </w:pPr>
            <w:r w:rsidRPr="00264D5D">
              <w:rPr>
                <w:szCs w:val="22"/>
              </w:rPr>
              <w:t>О</w:t>
            </w:r>
          </w:p>
        </w:tc>
        <w:tc>
          <w:tcPr>
            <w:tcW w:w="3963" w:type="dxa"/>
          </w:tcPr>
          <w:p w14:paraId="526B0A20" w14:textId="77777777" w:rsidR="00AD1F54" w:rsidRPr="00264D5D" w:rsidRDefault="00941227">
            <w:pPr>
              <w:pStyle w:val="GOSTTablenorm"/>
              <w:rPr>
                <w:szCs w:val="22"/>
              </w:rPr>
            </w:pPr>
            <w:r w:rsidRPr="00264D5D">
              <w:rPr>
                <w:szCs w:val="22"/>
              </w:rPr>
              <w:t xml:space="preserve">Указывается код аннулируемого документа. </w:t>
            </w:r>
          </w:p>
          <w:p w14:paraId="6F704CEE" w14:textId="77777777" w:rsidR="00AD1F54" w:rsidRPr="00264D5D" w:rsidRDefault="00941227">
            <w:pPr>
              <w:pStyle w:val="GOSTTablenorm"/>
              <w:rPr>
                <w:szCs w:val="22"/>
              </w:rPr>
            </w:pPr>
            <w:r w:rsidRPr="00264D5D">
              <w:rPr>
                <w:szCs w:val="22"/>
              </w:rPr>
              <w:t xml:space="preserve">Возможные значения: </w:t>
            </w:r>
          </w:p>
          <w:p w14:paraId="42444876" w14:textId="77777777" w:rsidR="00AD1F54" w:rsidRPr="00264D5D" w:rsidRDefault="00E34D23" w:rsidP="00950D60">
            <w:pPr>
              <w:pStyle w:val="GOSTTableListMark1"/>
              <w:numPr>
                <w:ilvl w:val="0"/>
                <w:numId w:val="79"/>
              </w:numPr>
              <w:spacing w:before="60" w:after="60"/>
              <w:ind w:left="284" w:hanging="227"/>
              <w:jc w:val="both"/>
            </w:pPr>
            <w:r>
              <w:t>«</w:t>
            </w:r>
            <w:r w:rsidR="00941227" w:rsidRPr="00264D5D">
              <w:t>ЗНБ</w:t>
            </w:r>
            <w:r>
              <w:t>»</w:t>
            </w:r>
            <w:r w:rsidR="00941227" w:rsidRPr="00264D5D">
              <w:t xml:space="preserve"> – Заявка на получение денежных средств, перечисляемых на карту;</w:t>
            </w:r>
          </w:p>
          <w:p w14:paraId="509CB666" w14:textId="77777777" w:rsidR="00AD1F54" w:rsidRPr="00264D5D" w:rsidRDefault="00E34D23" w:rsidP="00950D60">
            <w:pPr>
              <w:pStyle w:val="GOSTTableListMark1"/>
              <w:numPr>
                <w:ilvl w:val="0"/>
                <w:numId w:val="79"/>
              </w:numPr>
              <w:spacing w:before="60" w:after="60"/>
              <w:ind w:left="284" w:hanging="227"/>
              <w:jc w:val="both"/>
            </w:pPr>
            <w:r>
              <w:t>«</w:t>
            </w:r>
            <w:r w:rsidR="00941227" w:rsidRPr="00264D5D">
              <w:t>ЗНП</w:t>
            </w:r>
            <w:r>
              <w:t>»</w:t>
            </w:r>
            <w:r w:rsidR="00941227" w:rsidRPr="00264D5D">
              <w:t xml:space="preserve"> – Заявка на получение наличных денег;</w:t>
            </w:r>
          </w:p>
          <w:p w14:paraId="270E5799" w14:textId="77777777" w:rsidR="00AD1F54" w:rsidRPr="00264D5D" w:rsidRDefault="00E34D23" w:rsidP="00950D60">
            <w:pPr>
              <w:pStyle w:val="GOSTTableListMark1"/>
              <w:numPr>
                <w:ilvl w:val="0"/>
                <w:numId w:val="79"/>
              </w:numPr>
              <w:spacing w:before="60" w:after="60"/>
              <w:ind w:left="284" w:hanging="227"/>
              <w:jc w:val="both"/>
            </w:pPr>
            <w:r>
              <w:t>«</w:t>
            </w:r>
            <w:r w:rsidR="00941227" w:rsidRPr="00264D5D">
              <w:t>РКД</w:t>
            </w:r>
            <w:r>
              <w:t>»</w:t>
            </w:r>
            <w:r w:rsidR="00941227" w:rsidRPr="00264D5D">
              <w:t xml:space="preserve"> – Расшифровка сумм неиспользованных (внесенных через банкомат или пункт выдачи наличных денежных средств) средств;</w:t>
            </w:r>
          </w:p>
          <w:p w14:paraId="6C435BAD" w14:textId="77777777" w:rsidR="00AD1F54" w:rsidRPr="00264D5D" w:rsidRDefault="00E34D23" w:rsidP="00950D60">
            <w:pPr>
              <w:pStyle w:val="GOSTTableListMark1"/>
              <w:numPr>
                <w:ilvl w:val="0"/>
                <w:numId w:val="79"/>
              </w:numPr>
              <w:spacing w:before="60" w:after="60"/>
              <w:ind w:left="284" w:hanging="227"/>
              <w:jc w:val="both"/>
            </w:pPr>
            <w:r>
              <w:t>«</w:t>
            </w:r>
            <w:r w:rsidR="00941227" w:rsidRPr="00264D5D">
              <w:t>ЗКР</w:t>
            </w:r>
            <w:r>
              <w:t>»</w:t>
            </w:r>
            <w:r w:rsidR="00941227" w:rsidRPr="00264D5D">
              <w:t xml:space="preserve"> – Заявка на кассовый расход;</w:t>
            </w:r>
          </w:p>
          <w:p w14:paraId="6F20E68B" w14:textId="77777777" w:rsidR="00AD1F54" w:rsidRPr="00264D5D" w:rsidRDefault="00941227" w:rsidP="00950D60">
            <w:pPr>
              <w:pStyle w:val="GOSTTableListMark1"/>
              <w:numPr>
                <w:ilvl w:val="0"/>
                <w:numId w:val="79"/>
              </w:numPr>
              <w:spacing w:before="60" w:after="60"/>
              <w:ind w:left="284" w:hanging="227"/>
              <w:jc w:val="both"/>
            </w:pPr>
            <w:r w:rsidRPr="00264D5D">
              <w:t>ЗКС – Заявка на кассовый расход (сокращенная);</w:t>
            </w:r>
          </w:p>
          <w:p w14:paraId="5C395582" w14:textId="77777777" w:rsidR="00AD1F54" w:rsidRPr="00264D5D" w:rsidRDefault="00E34D23" w:rsidP="00950D60">
            <w:pPr>
              <w:pStyle w:val="GOSTTableListMark1"/>
              <w:numPr>
                <w:ilvl w:val="0"/>
                <w:numId w:val="79"/>
              </w:numPr>
              <w:spacing w:before="60" w:after="60"/>
              <w:ind w:left="284" w:hanging="227"/>
              <w:jc w:val="both"/>
            </w:pPr>
            <w:r>
              <w:t>«</w:t>
            </w:r>
            <w:r w:rsidR="00941227" w:rsidRPr="00264D5D">
              <w:t>ЗСВ</w:t>
            </w:r>
            <w:r>
              <w:t>»</w:t>
            </w:r>
            <w:r w:rsidR="00941227" w:rsidRPr="00264D5D">
              <w:t xml:space="preserve"> – Сводная заявка на кассовый расход (для уплаты налогов);</w:t>
            </w:r>
          </w:p>
          <w:p w14:paraId="1E92558A" w14:textId="77777777" w:rsidR="00AD1F54" w:rsidRPr="00264D5D" w:rsidRDefault="00E34D23" w:rsidP="00950D60">
            <w:pPr>
              <w:pStyle w:val="GOSTTableListMark1"/>
              <w:numPr>
                <w:ilvl w:val="0"/>
                <w:numId w:val="79"/>
              </w:numPr>
              <w:spacing w:before="60" w:after="60"/>
              <w:ind w:left="284" w:hanging="227"/>
              <w:jc w:val="both"/>
            </w:pPr>
            <w:r>
              <w:t>«</w:t>
            </w:r>
            <w:r w:rsidR="00941227" w:rsidRPr="00264D5D">
              <w:t>ПЗВ</w:t>
            </w:r>
            <w:r>
              <w:t>»</w:t>
            </w:r>
            <w:r w:rsidR="00941227" w:rsidRPr="00264D5D">
              <w:t xml:space="preserve"> – Заявка на возврат;</w:t>
            </w:r>
          </w:p>
          <w:p w14:paraId="6EE84587" w14:textId="77777777" w:rsidR="00AD1F54" w:rsidRPr="00264D5D" w:rsidRDefault="00E34D23" w:rsidP="00950D60">
            <w:pPr>
              <w:pStyle w:val="GOSTTableListMark1"/>
              <w:numPr>
                <w:ilvl w:val="0"/>
                <w:numId w:val="79"/>
              </w:numPr>
              <w:spacing w:before="60" w:after="60"/>
              <w:ind w:left="284" w:hanging="227"/>
              <w:jc w:val="both"/>
            </w:pPr>
            <w:r>
              <w:t>«</w:t>
            </w:r>
            <w:r w:rsidR="00941227" w:rsidRPr="00264D5D">
              <w:t>УУК</w:t>
            </w:r>
            <w:r>
              <w:t>»</w:t>
            </w:r>
            <w:r w:rsidR="00941227" w:rsidRPr="00264D5D">
              <w:t xml:space="preserve"> – Уведомление об уточнении вида и принадлежности платежа;</w:t>
            </w:r>
          </w:p>
          <w:p w14:paraId="5FC0474C" w14:textId="77777777" w:rsidR="00AD1F54" w:rsidRPr="00264D5D" w:rsidRDefault="00E34D23" w:rsidP="00950D60">
            <w:pPr>
              <w:pStyle w:val="GOSTTableListMark1"/>
              <w:numPr>
                <w:ilvl w:val="0"/>
                <w:numId w:val="79"/>
              </w:numPr>
              <w:spacing w:before="60" w:after="60"/>
              <w:ind w:left="284" w:hanging="227"/>
              <w:jc w:val="both"/>
            </w:pPr>
            <w:r>
              <w:t>«</w:t>
            </w:r>
            <w:r w:rsidR="00941227" w:rsidRPr="00264D5D">
              <w:t>ЗМР</w:t>
            </w:r>
            <w:r>
              <w:t>»</w:t>
            </w:r>
            <w:r w:rsidR="00941227" w:rsidRPr="00264D5D">
              <w:t xml:space="preserve"> – Распоряжение о перечислении денежных средств на банковские карты «Мир» физических лиц;</w:t>
            </w:r>
          </w:p>
          <w:p w14:paraId="6E7C272B" w14:textId="77777777" w:rsidR="00AD1F54" w:rsidRPr="00264D5D" w:rsidRDefault="00E34D23" w:rsidP="00950D60">
            <w:pPr>
              <w:pStyle w:val="GOSTTableListMark1"/>
              <w:numPr>
                <w:ilvl w:val="0"/>
                <w:numId w:val="79"/>
              </w:numPr>
              <w:spacing w:before="60" w:after="60"/>
              <w:ind w:left="284" w:hanging="227"/>
              <w:jc w:val="both"/>
            </w:pPr>
            <w:r>
              <w:t>«</w:t>
            </w:r>
            <w:r w:rsidR="00941227" w:rsidRPr="00264D5D">
              <w:t>ЗПП</w:t>
            </w:r>
            <w:r>
              <w:t>»</w:t>
            </w:r>
            <w:r w:rsidR="00941227" w:rsidRPr="00264D5D">
              <w:t xml:space="preserve"> – Платежное поручение;</w:t>
            </w:r>
          </w:p>
          <w:p w14:paraId="2BF7806D" w14:textId="77777777" w:rsidR="00AD1F54" w:rsidRPr="00264D5D" w:rsidRDefault="00E34D23" w:rsidP="00950D60">
            <w:pPr>
              <w:pStyle w:val="GOSTTableListMark1"/>
              <w:numPr>
                <w:ilvl w:val="0"/>
                <w:numId w:val="79"/>
              </w:numPr>
              <w:spacing w:before="60" w:after="60"/>
              <w:ind w:left="284" w:hanging="227"/>
              <w:jc w:val="both"/>
            </w:pPr>
            <w:r>
              <w:t>«</w:t>
            </w:r>
            <w:r w:rsidR="00941227" w:rsidRPr="00264D5D">
              <w:t>УУН</w:t>
            </w:r>
            <w:r>
              <w:t>»</w:t>
            </w:r>
            <w:r w:rsidR="00941227" w:rsidRPr="00264D5D">
              <w:t xml:space="preserve"> – Уведомление об уточнении </w:t>
            </w:r>
            <w:r w:rsidR="00941227" w:rsidRPr="00264D5D">
              <w:lastRenderedPageBreak/>
              <w:t>операций клиента;</w:t>
            </w:r>
          </w:p>
          <w:p w14:paraId="5106AD57" w14:textId="77777777" w:rsidR="00AD1F54" w:rsidRPr="00264D5D" w:rsidRDefault="00E34D23" w:rsidP="00950D60">
            <w:pPr>
              <w:pStyle w:val="GOSTTableListMark1"/>
              <w:numPr>
                <w:ilvl w:val="0"/>
                <w:numId w:val="79"/>
              </w:numPr>
              <w:spacing w:before="60" w:after="60"/>
              <w:ind w:left="284" w:hanging="227"/>
              <w:jc w:val="both"/>
            </w:pPr>
            <w:r>
              <w:t>«</w:t>
            </w:r>
            <w:r w:rsidR="00941227" w:rsidRPr="00264D5D">
              <w:t>OC</w:t>
            </w:r>
            <w:r>
              <w:t>»</w:t>
            </w:r>
            <w:r w:rsidR="00941227" w:rsidRPr="00264D5D">
              <w:t xml:space="preserve"> – Заявка о внесении наличных денежных средств;</w:t>
            </w:r>
          </w:p>
          <w:p w14:paraId="0834B0FC" w14:textId="77777777" w:rsidR="00AD1F54" w:rsidRPr="00264D5D" w:rsidRDefault="00E34D23" w:rsidP="00950D60">
            <w:pPr>
              <w:pStyle w:val="GOSTTableListMark1"/>
              <w:numPr>
                <w:ilvl w:val="0"/>
                <w:numId w:val="79"/>
              </w:numPr>
              <w:spacing w:before="60" w:after="60"/>
              <w:ind w:left="284" w:hanging="227"/>
              <w:jc w:val="both"/>
            </w:pPr>
            <w:r>
              <w:t>«</w:t>
            </w:r>
            <w:r w:rsidR="00941227" w:rsidRPr="00264D5D">
              <w:t>ZP</w:t>
            </w:r>
            <w:r>
              <w:t>»</w:t>
            </w:r>
            <w:r w:rsidR="00941227" w:rsidRPr="00264D5D">
              <w:t xml:space="preserve"> – Заявка для обеспечения наличными денежными средствами в электронном виде;</w:t>
            </w:r>
          </w:p>
          <w:p w14:paraId="687666DF" w14:textId="0391632C" w:rsidR="00AD1F54" w:rsidRDefault="00E34D23" w:rsidP="00950D60">
            <w:pPr>
              <w:pStyle w:val="GOSTTableListMark1"/>
              <w:numPr>
                <w:ilvl w:val="0"/>
                <w:numId w:val="79"/>
              </w:numPr>
              <w:spacing w:before="60" w:after="60"/>
              <w:ind w:left="284" w:hanging="227"/>
              <w:jc w:val="both"/>
            </w:pPr>
            <w:r>
              <w:t>«</w:t>
            </w:r>
            <w:r w:rsidR="00941227" w:rsidRPr="00264D5D">
              <w:t>ПЗВ</w:t>
            </w:r>
            <w:r>
              <w:t>»</w:t>
            </w:r>
            <w:r w:rsidR="00941227" w:rsidRPr="00264D5D">
              <w:t xml:space="preserve"> – Распоряжение о совершении казначейского платежа (возврат); </w:t>
            </w:r>
          </w:p>
          <w:p w14:paraId="7B964AD9" w14:textId="29D13BA7" w:rsidR="0088542F" w:rsidRPr="008D797C" w:rsidRDefault="0088542F" w:rsidP="00950D60">
            <w:pPr>
              <w:pStyle w:val="GOSTTableListMark1"/>
              <w:numPr>
                <w:ilvl w:val="0"/>
                <w:numId w:val="79"/>
              </w:numPr>
              <w:spacing w:before="60" w:after="60"/>
              <w:ind w:left="284" w:hanging="227"/>
              <w:jc w:val="both"/>
              <w:rPr>
                <w:highlight w:val="green"/>
              </w:rPr>
            </w:pPr>
            <w:r w:rsidRPr="008D797C">
              <w:rPr>
                <w:highlight w:val="green"/>
              </w:rPr>
              <w:t>«ПЗМ»– Распоряжение о совершении казначейского платежа (возврат) (многострочный);</w:t>
            </w:r>
          </w:p>
          <w:p w14:paraId="2155631D" w14:textId="77777777" w:rsidR="00AD1F54" w:rsidRPr="00264D5D" w:rsidRDefault="00941227" w:rsidP="00950D60">
            <w:pPr>
              <w:pStyle w:val="GOSTTableListMark1"/>
              <w:numPr>
                <w:ilvl w:val="0"/>
                <w:numId w:val="79"/>
              </w:numPr>
              <w:spacing w:before="60" w:after="60"/>
              <w:ind w:left="284" w:hanging="227"/>
              <w:jc w:val="both"/>
            </w:pPr>
            <w:r w:rsidRPr="00264D5D">
              <w:t xml:space="preserve"> </w:t>
            </w:r>
            <w:r w:rsidR="00E34D23">
              <w:t>«</w:t>
            </w:r>
            <w:r w:rsidRPr="00264D5D">
              <w:t>ПДУ</w:t>
            </w:r>
            <w:r w:rsidR="00E34D23">
              <w:t>»</w:t>
            </w:r>
            <w:r w:rsidRPr="00264D5D">
              <w:t xml:space="preserve"> – Распоряжение о совершении казначейского платежа (уточнение);</w:t>
            </w:r>
          </w:p>
          <w:p w14:paraId="63C80ACD" w14:textId="77777777" w:rsidR="00AD1F54" w:rsidRPr="00264D5D" w:rsidRDefault="00E34D23" w:rsidP="00950D60">
            <w:pPr>
              <w:pStyle w:val="GOSTTableListMark1"/>
              <w:numPr>
                <w:ilvl w:val="0"/>
                <w:numId w:val="79"/>
              </w:numPr>
              <w:spacing w:before="60" w:after="60"/>
              <w:ind w:left="284" w:hanging="227"/>
              <w:jc w:val="both"/>
            </w:pPr>
            <w:r>
              <w:t>«</w:t>
            </w:r>
            <w:r w:rsidR="00941227" w:rsidRPr="00264D5D">
              <w:t>КНЗ</w:t>
            </w:r>
            <w:r>
              <w:t>»</w:t>
            </w:r>
            <w:r w:rsidR="00941227" w:rsidRPr="00264D5D">
              <w:t xml:space="preserve"> или </w:t>
            </w:r>
            <w:r>
              <w:t>«</w:t>
            </w:r>
            <w:r w:rsidR="00941227" w:rsidRPr="00264D5D">
              <w:t>КЗФ</w:t>
            </w:r>
            <w:r>
              <w:t>»</w:t>
            </w:r>
            <w:r w:rsidR="00941227" w:rsidRPr="00264D5D">
              <w:t xml:space="preserve"> – Консолидированная заявка;</w:t>
            </w:r>
          </w:p>
          <w:p w14:paraId="0C534E51" w14:textId="77777777" w:rsidR="00AD1F54" w:rsidRPr="00264D5D" w:rsidRDefault="00941227" w:rsidP="00950D60">
            <w:pPr>
              <w:pStyle w:val="GOSTTableListMark1"/>
              <w:numPr>
                <w:ilvl w:val="0"/>
                <w:numId w:val="79"/>
              </w:numPr>
              <w:spacing w:before="60" w:after="60"/>
              <w:ind w:left="284" w:hanging="227"/>
              <w:jc w:val="both"/>
            </w:pPr>
            <w:r w:rsidRPr="00264D5D">
              <w:t xml:space="preserve"> </w:t>
            </w:r>
            <w:r w:rsidR="00E34D23">
              <w:t>«</w:t>
            </w:r>
            <w:r w:rsidRPr="00264D5D">
              <w:t>ЕНП</w:t>
            </w:r>
            <w:r w:rsidR="00E34D23">
              <w:t>»</w:t>
            </w:r>
            <w:r w:rsidRPr="00264D5D">
              <w:t xml:space="preserve"> – Распоряжение налогового органа (зачет);</w:t>
            </w:r>
          </w:p>
          <w:p w14:paraId="72F025DB" w14:textId="77777777" w:rsidR="00AD1F54" w:rsidRDefault="00941227" w:rsidP="00950D60">
            <w:pPr>
              <w:pStyle w:val="GOSTTableListMark1"/>
              <w:numPr>
                <w:ilvl w:val="0"/>
                <w:numId w:val="79"/>
              </w:numPr>
              <w:spacing w:before="60" w:after="60"/>
              <w:ind w:left="284" w:hanging="227"/>
              <w:jc w:val="both"/>
            </w:pPr>
            <w:r w:rsidRPr="00264D5D">
              <w:t xml:space="preserve"> </w:t>
            </w:r>
            <w:r w:rsidR="00E34D23">
              <w:t>«</w:t>
            </w:r>
            <w:r w:rsidRPr="00264D5D">
              <w:t>ПДЗ</w:t>
            </w:r>
            <w:r w:rsidR="00E34D23">
              <w:t>»</w:t>
            </w:r>
            <w:r w:rsidRPr="00264D5D">
              <w:t xml:space="preserve"> – Распоряжени</w:t>
            </w:r>
            <w:r w:rsidR="00950D60">
              <w:t>е налогового органа (уточнение);</w:t>
            </w:r>
          </w:p>
          <w:p w14:paraId="01E937C0" w14:textId="6514E639" w:rsidR="00950D60" w:rsidRPr="00264D5D" w:rsidRDefault="00950D60" w:rsidP="00950D60">
            <w:pPr>
              <w:pStyle w:val="GOSTTableListMark1"/>
              <w:numPr>
                <w:ilvl w:val="0"/>
                <w:numId w:val="79"/>
              </w:numPr>
              <w:spacing w:before="60" w:after="60"/>
              <w:ind w:left="284" w:hanging="227"/>
              <w:jc w:val="both"/>
            </w:pPr>
            <w:r w:rsidRPr="00E03AFC">
              <w:rPr>
                <w:szCs w:val="22"/>
                <w:highlight w:val="green"/>
              </w:rPr>
              <w:t>«РСП» – Распоряжение о совершении казначейского платежа (перечисление)</w:t>
            </w:r>
            <w:r w:rsidRPr="00E03AFC">
              <w:rPr>
                <w:szCs w:val="22"/>
              </w:rPr>
              <w:t>.</w:t>
            </w:r>
          </w:p>
          <w:p w14:paraId="6B0C7785" w14:textId="77777777" w:rsidR="00C97F28" w:rsidRPr="00264D5D" w:rsidRDefault="00C97F28" w:rsidP="00C97F28">
            <w:pPr>
              <w:pStyle w:val="GOSTTablenorm"/>
              <w:rPr>
                <w:bCs/>
              </w:rPr>
            </w:pPr>
            <w:r w:rsidRPr="00264D5D">
              <w:rPr>
                <w:szCs w:val="22"/>
              </w:rPr>
              <w:t>При</w:t>
            </w:r>
            <w:r w:rsidRPr="00264D5D">
              <w:rPr>
                <w:bCs/>
              </w:rPr>
              <w:t xml:space="preserve"> передаче документа из </w:t>
            </w:r>
            <w:r w:rsidR="00D83D19">
              <w:rPr>
                <w:bCs/>
              </w:rPr>
              <w:t>ТОФК (ПУР ЭБ)</w:t>
            </w:r>
            <w:r w:rsidRPr="00264D5D">
              <w:rPr>
                <w:bCs/>
              </w:rPr>
              <w:t xml:space="preserve"> в </w:t>
            </w:r>
            <w:r w:rsidR="00D83D19">
              <w:rPr>
                <w:bCs/>
              </w:rPr>
              <w:t>ТОФК (ППО АСФК)</w:t>
            </w:r>
            <w:r w:rsidRPr="00264D5D">
              <w:rPr>
                <w:bCs/>
              </w:rPr>
              <w:t>, из ТОФК (Компонент АУ, БУ ПУР ЭБ) в ТОФК (ППО АСФК),</w:t>
            </w:r>
            <w:r w:rsidRPr="00264D5D">
              <w:t xml:space="preserve"> из </w:t>
            </w:r>
            <w:r w:rsidR="00950D60" w:rsidRPr="00264D5D">
              <w:rPr>
                <w:bCs/>
              </w:rPr>
              <w:t>ТОФК</w:t>
            </w:r>
            <w:r w:rsidR="00950D60" w:rsidRPr="00264D5D">
              <w:t xml:space="preserve"> </w:t>
            </w:r>
            <w:r w:rsidR="00950D60">
              <w:t>(</w:t>
            </w:r>
            <w:r w:rsidRPr="00264D5D">
              <w:t>Компонента КС ПУР ЭБ</w:t>
            </w:r>
            <w:r w:rsidR="00950D60">
              <w:t>)</w:t>
            </w:r>
            <w:r w:rsidRPr="00264D5D">
              <w:t xml:space="preserve"> в </w:t>
            </w:r>
            <w:r w:rsidR="00D83D19">
              <w:t>ТОФК (ППО АСФК)</w:t>
            </w:r>
            <w:r w:rsidR="00E34D23">
              <w:t xml:space="preserve">, </w:t>
            </w:r>
            <w:r w:rsidR="00E34D23" w:rsidRPr="009571B1">
              <w:rPr>
                <w:highlight w:val="green"/>
              </w:rPr>
              <w:t xml:space="preserve">из </w:t>
            </w:r>
            <w:r w:rsidR="00E34D23" w:rsidRPr="00F83CEC">
              <w:rPr>
                <w:highlight w:val="green"/>
              </w:rPr>
              <w:t xml:space="preserve">МУО СГ в </w:t>
            </w:r>
            <w:r w:rsidR="00D83D19">
              <w:rPr>
                <w:highlight w:val="green"/>
              </w:rPr>
              <w:t>ТОФК (ППО АСФК)</w:t>
            </w:r>
            <w:r w:rsidRPr="00264D5D">
              <w:rPr>
                <w:bCs/>
              </w:rPr>
              <w:t xml:space="preserve"> указывается значение:</w:t>
            </w:r>
          </w:p>
          <w:p w14:paraId="5852210E" w14:textId="77777777" w:rsidR="00C97F28" w:rsidRPr="00264D5D" w:rsidRDefault="00E34D23" w:rsidP="00950D60">
            <w:pPr>
              <w:pStyle w:val="GOSTTableListMark1"/>
              <w:numPr>
                <w:ilvl w:val="0"/>
                <w:numId w:val="79"/>
              </w:numPr>
              <w:spacing w:before="60" w:after="60"/>
              <w:jc w:val="both"/>
              <w:rPr>
                <w:bCs/>
              </w:rPr>
            </w:pPr>
            <w:r>
              <w:t>«</w:t>
            </w:r>
            <w:r w:rsidR="00C97F28" w:rsidRPr="00264D5D">
              <w:t>ЭВН</w:t>
            </w:r>
            <w:r>
              <w:t>»</w:t>
            </w:r>
            <w:r w:rsidR="00C97F28" w:rsidRPr="00264D5D">
              <w:rPr>
                <w:bCs/>
              </w:rPr>
              <w:t xml:space="preserve"> – </w:t>
            </w:r>
            <w:r w:rsidR="00C97F28" w:rsidRPr="00264D5D">
              <w:t>Заявка о внесении наличных денежных средств;</w:t>
            </w:r>
          </w:p>
          <w:p w14:paraId="61CAEAAE" w14:textId="77777777" w:rsidR="00AD1F54" w:rsidRPr="00264D5D" w:rsidRDefault="00E34D23" w:rsidP="00950D60">
            <w:pPr>
              <w:pStyle w:val="GOSTTableListMark1"/>
              <w:numPr>
                <w:ilvl w:val="0"/>
                <w:numId w:val="79"/>
              </w:numPr>
              <w:spacing w:before="60" w:after="60"/>
              <w:jc w:val="both"/>
              <w:rPr>
                <w:bCs/>
              </w:rPr>
            </w:pPr>
            <w:r>
              <w:rPr>
                <w:bCs/>
              </w:rPr>
              <w:t>«</w:t>
            </w:r>
            <w:r w:rsidR="00C97F28" w:rsidRPr="00264D5D">
              <w:rPr>
                <w:bCs/>
              </w:rPr>
              <w:t>ЗОН</w:t>
            </w:r>
            <w:r>
              <w:rPr>
                <w:bCs/>
              </w:rPr>
              <w:t>»</w:t>
            </w:r>
            <w:r w:rsidR="00C97F28" w:rsidRPr="00264D5D">
              <w:rPr>
                <w:bCs/>
              </w:rPr>
              <w:t xml:space="preserve"> – </w:t>
            </w:r>
            <w:r w:rsidR="00C97F28" w:rsidRPr="00264D5D">
              <w:t>Заявка для обеспечения наличными денежными средствами в электронном виде</w:t>
            </w:r>
          </w:p>
        </w:tc>
      </w:tr>
      <w:tr w:rsidR="00AD1F54" w:rsidRPr="00264D5D" w14:paraId="672F9E15" w14:textId="77777777" w:rsidTr="00AD1F54">
        <w:trPr>
          <w:cnfStyle w:val="000000010000" w:firstRow="0" w:lastRow="0" w:firstColumn="0" w:lastColumn="0" w:oddVBand="0" w:evenVBand="0" w:oddHBand="0" w:evenHBand="1" w:firstRowFirstColumn="0" w:firstRowLastColumn="0" w:lastRowFirstColumn="0" w:lastRowLastColumn="0"/>
          <w:trHeight w:val="537"/>
        </w:trPr>
        <w:tc>
          <w:tcPr>
            <w:tcW w:w="1701" w:type="dxa"/>
          </w:tcPr>
          <w:p w14:paraId="6CDEF29B" w14:textId="77777777" w:rsidR="00AD1F54" w:rsidRPr="00264D5D" w:rsidRDefault="00941227">
            <w:pPr>
              <w:pStyle w:val="GOSTTablenorm"/>
              <w:rPr>
                <w:szCs w:val="22"/>
              </w:rPr>
            </w:pPr>
            <w:r w:rsidRPr="00264D5D">
              <w:lastRenderedPageBreak/>
              <w:t>Тип аннулируемого документа</w:t>
            </w:r>
          </w:p>
        </w:tc>
        <w:tc>
          <w:tcPr>
            <w:tcW w:w="1701" w:type="dxa"/>
          </w:tcPr>
          <w:p w14:paraId="400E2509" w14:textId="77777777" w:rsidR="00AD1F54" w:rsidRPr="00264D5D" w:rsidRDefault="00941227">
            <w:pPr>
              <w:pStyle w:val="GOSTTablenorm"/>
              <w:rPr>
                <w:szCs w:val="22"/>
              </w:rPr>
            </w:pPr>
            <w:r w:rsidRPr="00264D5D">
              <w:rPr>
                <w:szCs w:val="22"/>
                <w:lang w:val="en-US"/>
              </w:rPr>
              <w:t>value</w:t>
            </w:r>
          </w:p>
        </w:tc>
        <w:tc>
          <w:tcPr>
            <w:tcW w:w="567" w:type="dxa"/>
          </w:tcPr>
          <w:p w14:paraId="79AFA681" w14:textId="77777777" w:rsidR="00AD1F54" w:rsidRPr="00264D5D" w:rsidRDefault="00941227">
            <w:pPr>
              <w:pStyle w:val="GOSTTablenorm"/>
              <w:jc w:val="center"/>
              <w:rPr>
                <w:szCs w:val="22"/>
              </w:rPr>
            </w:pPr>
            <w:r w:rsidRPr="00264D5D">
              <w:rPr>
                <w:szCs w:val="22"/>
              </w:rPr>
              <w:t>А</w:t>
            </w:r>
          </w:p>
        </w:tc>
        <w:tc>
          <w:tcPr>
            <w:tcW w:w="1134" w:type="dxa"/>
          </w:tcPr>
          <w:p w14:paraId="629393B4" w14:textId="77777777" w:rsidR="00AD1F54" w:rsidRPr="00264D5D" w:rsidRDefault="00941227">
            <w:pPr>
              <w:pStyle w:val="GOSTTablenorm"/>
              <w:rPr>
                <w:szCs w:val="22"/>
              </w:rPr>
            </w:pPr>
            <w:r w:rsidRPr="00264D5D">
              <w:rPr>
                <w:szCs w:val="22"/>
              </w:rPr>
              <w:t>-</w:t>
            </w:r>
          </w:p>
        </w:tc>
        <w:tc>
          <w:tcPr>
            <w:tcW w:w="567" w:type="dxa"/>
          </w:tcPr>
          <w:p w14:paraId="52964F82" w14:textId="77777777" w:rsidR="00AD1F54" w:rsidRPr="00264D5D" w:rsidRDefault="00941227">
            <w:pPr>
              <w:pStyle w:val="GOSTTablenorm"/>
              <w:jc w:val="center"/>
              <w:rPr>
                <w:szCs w:val="22"/>
              </w:rPr>
            </w:pPr>
            <w:r w:rsidRPr="00264D5D">
              <w:rPr>
                <w:szCs w:val="22"/>
              </w:rPr>
              <w:t>Н</w:t>
            </w:r>
          </w:p>
        </w:tc>
        <w:tc>
          <w:tcPr>
            <w:tcW w:w="3963" w:type="dxa"/>
          </w:tcPr>
          <w:p w14:paraId="6B751660" w14:textId="77777777" w:rsidR="00AD1F54" w:rsidRPr="00264D5D" w:rsidRDefault="00941227">
            <w:pPr>
              <w:pStyle w:val="GOSTTablenorm"/>
              <w:rPr>
                <w:szCs w:val="22"/>
              </w:rPr>
            </w:pPr>
            <w:r w:rsidRPr="00264D5D">
              <w:rPr>
                <w:szCs w:val="22"/>
              </w:rPr>
              <w:t xml:space="preserve">Указывается наименование аннулируемого документа. </w:t>
            </w:r>
          </w:p>
          <w:p w14:paraId="05E84D26" w14:textId="77777777" w:rsidR="00AD1F54" w:rsidRPr="00264D5D" w:rsidRDefault="00941227">
            <w:pPr>
              <w:pStyle w:val="GOSTTablenorm"/>
              <w:rPr>
                <w:szCs w:val="22"/>
              </w:rPr>
            </w:pPr>
            <w:r w:rsidRPr="00264D5D">
              <w:rPr>
                <w:szCs w:val="22"/>
              </w:rPr>
              <w:t xml:space="preserve">Возможные значения: </w:t>
            </w:r>
          </w:p>
          <w:p w14:paraId="3BE4706A" w14:textId="77777777" w:rsidR="00AD1F54" w:rsidRPr="00264D5D" w:rsidRDefault="00941227" w:rsidP="00E7460C">
            <w:pPr>
              <w:pStyle w:val="GOSTTablenorm"/>
              <w:numPr>
                <w:ilvl w:val="0"/>
                <w:numId w:val="79"/>
              </w:numPr>
              <w:ind w:left="284" w:hanging="227"/>
            </w:pPr>
            <w:r w:rsidRPr="00264D5D">
              <w:t>Заявка на получение денежных средств, перечисляемых на карту;</w:t>
            </w:r>
          </w:p>
          <w:p w14:paraId="45B96288" w14:textId="77777777" w:rsidR="00AD1F54" w:rsidRPr="00264D5D" w:rsidRDefault="00941227" w:rsidP="00E7460C">
            <w:pPr>
              <w:pStyle w:val="GOSTTablenorm"/>
              <w:numPr>
                <w:ilvl w:val="0"/>
                <w:numId w:val="79"/>
              </w:numPr>
              <w:ind w:left="284" w:hanging="227"/>
            </w:pPr>
            <w:r w:rsidRPr="00264D5D">
              <w:t>Заявка на получение наличных денег;</w:t>
            </w:r>
          </w:p>
          <w:p w14:paraId="7405D4F1" w14:textId="77777777" w:rsidR="00AD1F54" w:rsidRPr="00264D5D" w:rsidRDefault="00941227" w:rsidP="00E7460C">
            <w:pPr>
              <w:pStyle w:val="GOSTTablenorm"/>
              <w:numPr>
                <w:ilvl w:val="0"/>
                <w:numId w:val="79"/>
              </w:numPr>
              <w:ind w:left="284" w:hanging="227"/>
            </w:pPr>
            <w:r w:rsidRPr="00264D5D">
              <w:lastRenderedPageBreak/>
              <w:t>Расшифровка сумм неиспользованных (внесенных через банкомат или пункт выдачи наличных денежных средств) средств;</w:t>
            </w:r>
          </w:p>
          <w:p w14:paraId="1EC72414" w14:textId="77777777" w:rsidR="00AD1F54" w:rsidRPr="00264D5D" w:rsidRDefault="00941227" w:rsidP="00E7460C">
            <w:pPr>
              <w:pStyle w:val="GOSTTablenorm"/>
              <w:numPr>
                <w:ilvl w:val="0"/>
                <w:numId w:val="79"/>
              </w:numPr>
              <w:ind w:left="284" w:hanging="227"/>
            </w:pPr>
            <w:r w:rsidRPr="00264D5D">
              <w:t>Заявка на кассовый расход;</w:t>
            </w:r>
          </w:p>
          <w:p w14:paraId="58BFD6ED" w14:textId="77777777" w:rsidR="00AD1F54" w:rsidRPr="00264D5D" w:rsidRDefault="00941227" w:rsidP="00E7460C">
            <w:pPr>
              <w:pStyle w:val="GOSTTablenorm"/>
              <w:numPr>
                <w:ilvl w:val="0"/>
                <w:numId w:val="79"/>
              </w:numPr>
              <w:ind w:left="284" w:hanging="227"/>
            </w:pPr>
            <w:r w:rsidRPr="00264D5D">
              <w:t>Заявка на кассовый расход (сокращенная);</w:t>
            </w:r>
          </w:p>
          <w:p w14:paraId="52A51CC3" w14:textId="77777777" w:rsidR="00AD1F54" w:rsidRPr="00264D5D" w:rsidRDefault="00941227" w:rsidP="00E7460C">
            <w:pPr>
              <w:pStyle w:val="GOSTTablenorm"/>
              <w:numPr>
                <w:ilvl w:val="0"/>
                <w:numId w:val="79"/>
              </w:numPr>
              <w:ind w:left="284" w:hanging="227"/>
            </w:pPr>
            <w:r w:rsidRPr="00264D5D">
              <w:t>Сводная заявка на кассовый расход (для уплаты налогов);</w:t>
            </w:r>
          </w:p>
          <w:p w14:paraId="234D3670" w14:textId="77777777" w:rsidR="00AD1F54" w:rsidRPr="00264D5D" w:rsidRDefault="00941227" w:rsidP="00E7460C">
            <w:pPr>
              <w:pStyle w:val="GOSTTablenorm"/>
              <w:numPr>
                <w:ilvl w:val="0"/>
                <w:numId w:val="79"/>
              </w:numPr>
              <w:ind w:left="284" w:hanging="227"/>
            </w:pPr>
            <w:r w:rsidRPr="00264D5D">
              <w:t xml:space="preserve">Заявка на возврат; </w:t>
            </w:r>
          </w:p>
          <w:p w14:paraId="642E391B" w14:textId="77777777" w:rsidR="00AD1F54" w:rsidRPr="00264D5D" w:rsidRDefault="00941227" w:rsidP="00E7460C">
            <w:pPr>
              <w:pStyle w:val="GOSTTablenorm"/>
              <w:numPr>
                <w:ilvl w:val="0"/>
                <w:numId w:val="79"/>
              </w:numPr>
              <w:ind w:left="284" w:hanging="227"/>
            </w:pPr>
            <w:r w:rsidRPr="00264D5D">
              <w:t>Уведомление об уточнении вида и принадлежности платежа;</w:t>
            </w:r>
          </w:p>
          <w:p w14:paraId="5C51B984" w14:textId="77777777" w:rsidR="00AD1F54" w:rsidRPr="00264D5D" w:rsidRDefault="00941227" w:rsidP="00E7460C">
            <w:pPr>
              <w:pStyle w:val="GOSTTablenorm"/>
              <w:numPr>
                <w:ilvl w:val="0"/>
                <w:numId w:val="79"/>
              </w:numPr>
              <w:ind w:left="284" w:hanging="227"/>
            </w:pPr>
            <w:r w:rsidRPr="00264D5D">
              <w:t>Распоряжение о перечислении денежных средств на банковские карты «Мир» физических лиц;</w:t>
            </w:r>
          </w:p>
          <w:p w14:paraId="4646EEB2" w14:textId="77777777" w:rsidR="00AD1F54" w:rsidRPr="00264D5D" w:rsidRDefault="00941227" w:rsidP="00E7460C">
            <w:pPr>
              <w:pStyle w:val="GOSTTablenorm"/>
              <w:numPr>
                <w:ilvl w:val="0"/>
                <w:numId w:val="79"/>
              </w:numPr>
              <w:ind w:left="284" w:hanging="227"/>
            </w:pPr>
            <w:r w:rsidRPr="00264D5D">
              <w:t>Платежное поручение;</w:t>
            </w:r>
          </w:p>
          <w:p w14:paraId="2A3FF22A" w14:textId="77777777" w:rsidR="00AD1F54" w:rsidRPr="00264D5D" w:rsidRDefault="00941227" w:rsidP="00E7460C">
            <w:pPr>
              <w:pStyle w:val="GOSTTablenorm"/>
              <w:numPr>
                <w:ilvl w:val="0"/>
                <w:numId w:val="79"/>
              </w:numPr>
              <w:ind w:left="284" w:hanging="227"/>
            </w:pPr>
            <w:r w:rsidRPr="00264D5D">
              <w:rPr>
                <w:bCs/>
              </w:rPr>
              <w:t>Уведомление об уточнении операций клиента;</w:t>
            </w:r>
          </w:p>
          <w:p w14:paraId="723A0461" w14:textId="77777777" w:rsidR="00AD1F54" w:rsidRPr="00264D5D" w:rsidRDefault="00941227" w:rsidP="00E7460C">
            <w:pPr>
              <w:pStyle w:val="GOSTTableListMark1"/>
              <w:numPr>
                <w:ilvl w:val="0"/>
                <w:numId w:val="79"/>
              </w:numPr>
              <w:spacing w:before="60" w:after="60"/>
              <w:ind w:left="284" w:hanging="227"/>
              <w:jc w:val="both"/>
              <w:rPr>
                <w:bCs/>
              </w:rPr>
            </w:pPr>
            <w:r w:rsidRPr="00264D5D">
              <w:t>Заявка о внесении наличных денежных средств;</w:t>
            </w:r>
          </w:p>
          <w:p w14:paraId="36C6F640" w14:textId="77777777" w:rsidR="00AD1F54" w:rsidRPr="00264D5D" w:rsidRDefault="00941227" w:rsidP="00E7460C">
            <w:pPr>
              <w:pStyle w:val="GOSTTableListMark1"/>
              <w:numPr>
                <w:ilvl w:val="0"/>
                <w:numId w:val="79"/>
              </w:numPr>
              <w:spacing w:before="60" w:after="60"/>
              <w:ind w:left="284" w:hanging="227"/>
              <w:jc w:val="both"/>
            </w:pPr>
            <w:r w:rsidRPr="00264D5D">
              <w:t>Заявка для обеспечения наличными денежными средствами в электронном виде;</w:t>
            </w:r>
          </w:p>
          <w:p w14:paraId="09E1B637" w14:textId="569C4306" w:rsidR="00AD1F54" w:rsidRDefault="00941227" w:rsidP="00E7460C">
            <w:pPr>
              <w:pStyle w:val="GOSTTableListMark1"/>
              <w:numPr>
                <w:ilvl w:val="0"/>
                <w:numId w:val="79"/>
              </w:numPr>
              <w:spacing w:before="60" w:after="60"/>
              <w:ind w:left="284" w:hanging="227"/>
              <w:jc w:val="both"/>
            </w:pPr>
            <w:r w:rsidRPr="00264D5D">
              <w:t xml:space="preserve">Распоряжение о совершении казначейского платежа (возврат); </w:t>
            </w:r>
          </w:p>
          <w:p w14:paraId="43C41D63" w14:textId="287337EF" w:rsidR="0088542F" w:rsidRPr="008D797C" w:rsidRDefault="0088542F" w:rsidP="00E7460C">
            <w:pPr>
              <w:pStyle w:val="GOSTTableListMark1"/>
              <w:numPr>
                <w:ilvl w:val="0"/>
                <w:numId w:val="79"/>
              </w:numPr>
              <w:spacing w:before="60" w:after="60"/>
              <w:ind w:left="284" w:hanging="227"/>
              <w:jc w:val="both"/>
              <w:rPr>
                <w:highlight w:val="green"/>
              </w:rPr>
            </w:pPr>
            <w:r w:rsidRPr="008D797C">
              <w:rPr>
                <w:highlight w:val="green"/>
              </w:rPr>
              <w:t>Распоряжение о совершении казначейского платежа (возврат) (многострочный);</w:t>
            </w:r>
          </w:p>
          <w:p w14:paraId="331821F7" w14:textId="77777777" w:rsidR="00AD1F54" w:rsidRPr="00264D5D" w:rsidRDefault="00941227" w:rsidP="00E7460C">
            <w:pPr>
              <w:pStyle w:val="GOSTTableListMark1"/>
              <w:numPr>
                <w:ilvl w:val="0"/>
                <w:numId w:val="79"/>
              </w:numPr>
              <w:spacing w:before="60" w:after="60"/>
              <w:ind w:left="284" w:hanging="227"/>
              <w:jc w:val="both"/>
            </w:pPr>
            <w:r w:rsidRPr="00264D5D">
              <w:t xml:space="preserve"> Распоряжение о совершении казначейского платежа (уточнение);</w:t>
            </w:r>
          </w:p>
          <w:p w14:paraId="3FDBCD3C" w14:textId="77777777" w:rsidR="00AD1F54" w:rsidRPr="00264D5D" w:rsidRDefault="00941227" w:rsidP="00E7460C">
            <w:pPr>
              <w:pStyle w:val="GOSTTableListMark1"/>
              <w:numPr>
                <w:ilvl w:val="0"/>
                <w:numId w:val="79"/>
              </w:numPr>
              <w:spacing w:before="60" w:after="60"/>
              <w:ind w:left="284" w:hanging="227"/>
              <w:jc w:val="both"/>
            </w:pPr>
            <w:r w:rsidRPr="00264D5D">
              <w:t>Консолидированная заявка;</w:t>
            </w:r>
          </w:p>
          <w:p w14:paraId="6E5D3BBA" w14:textId="77777777" w:rsidR="00AD1F54" w:rsidRPr="00264D5D" w:rsidRDefault="00941227" w:rsidP="00E7460C">
            <w:pPr>
              <w:pStyle w:val="GOSTTableListMark1"/>
              <w:numPr>
                <w:ilvl w:val="0"/>
                <w:numId w:val="79"/>
              </w:numPr>
              <w:spacing w:before="60" w:after="60"/>
              <w:ind w:left="284" w:hanging="227"/>
              <w:jc w:val="both"/>
            </w:pPr>
            <w:r w:rsidRPr="00264D5D">
              <w:t xml:space="preserve"> Распоряжение налогового органа (зачет);</w:t>
            </w:r>
          </w:p>
          <w:p w14:paraId="09C952F9" w14:textId="77777777" w:rsidR="00AD1F54" w:rsidRPr="00950D60" w:rsidRDefault="00941227" w:rsidP="00C97F28">
            <w:pPr>
              <w:pStyle w:val="GOSTTableListMark1"/>
              <w:numPr>
                <w:ilvl w:val="0"/>
                <w:numId w:val="79"/>
              </w:numPr>
              <w:spacing w:before="60" w:after="60"/>
              <w:ind w:left="284" w:hanging="227"/>
              <w:jc w:val="both"/>
              <w:rPr>
                <w:b/>
                <w:bCs/>
              </w:rPr>
            </w:pPr>
            <w:r w:rsidRPr="00264D5D">
              <w:t xml:space="preserve"> Распоряжение налогового органа (уточнение)</w:t>
            </w:r>
            <w:r w:rsidR="00950D60">
              <w:t>;</w:t>
            </w:r>
          </w:p>
          <w:p w14:paraId="0B80CC70" w14:textId="77777777" w:rsidR="00950D60" w:rsidRPr="00264D5D" w:rsidRDefault="00950D60" w:rsidP="00C97F28">
            <w:pPr>
              <w:pStyle w:val="GOSTTableListMark1"/>
              <w:numPr>
                <w:ilvl w:val="0"/>
                <w:numId w:val="79"/>
              </w:numPr>
              <w:spacing w:before="60" w:after="60"/>
              <w:ind w:left="284" w:hanging="227"/>
              <w:jc w:val="both"/>
              <w:rPr>
                <w:b/>
                <w:bCs/>
              </w:rPr>
            </w:pPr>
            <w:r w:rsidRPr="00C3612A">
              <w:rPr>
                <w:highlight w:val="green"/>
              </w:rPr>
              <w:t>Распоряжение о совершении казначейского платежа (перечисление)</w:t>
            </w:r>
          </w:p>
        </w:tc>
      </w:tr>
    </w:tbl>
    <w:p w14:paraId="28D06AB7" w14:textId="77777777" w:rsidR="00AD1F54" w:rsidRPr="00264D5D" w:rsidRDefault="00941227">
      <w:pPr>
        <w:pStyle w:val="31"/>
      </w:pPr>
      <w:bookmarkStart w:id="1114" w:name="_Toc528566005"/>
      <w:bookmarkStart w:id="1115" w:name="_Toc528566270"/>
      <w:bookmarkStart w:id="1116" w:name="_Toc528659404"/>
      <w:bookmarkStart w:id="1117" w:name="_Toc528660562"/>
      <w:bookmarkStart w:id="1118" w:name="_Toc528663907"/>
      <w:bookmarkStart w:id="1119" w:name="_Toc528664180"/>
      <w:bookmarkStart w:id="1120" w:name="_Toc528754612"/>
      <w:bookmarkStart w:id="1121" w:name="_Toc528761866"/>
      <w:bookmarkStart w:id="1122" w:name="_Toc528763174"/>
      <w:bookmarkStart w:id="1123" w:name="_Toc528763739"/>
      <w:bookmarkStart w:id="1124" w:name="_Toc528919081"/>
      <w:bookmarkStart w:id="1125" w:name="_Toc528928213"/>
      <w:bookmarkStart w:id="1126" w:name="_Toc528929247"/>
      <w:bookmarkStart w:id="1127" w:name="_Toc528932556"/>
      <w:bookmarkStart w:id="1128" w:name="_Toc529350715"/>
      <w:bookmarkStart w:id="1129" w:name="_Toc529350993"/>
      <w:bookmarkStart w:id="1130" w:name="_Toc529365761"/>
      <w:bookmarkStart w:id="1131" w:name="_Toc529870734"/>
      <w:bookmarkStart w:id="1132" w:name="_Toc529871013"/>
      <w:bookmarkStart w:id="1133" w:name="_Toc529872149"/>
      <w:bookmarkStart w:id="1134" w:name="_Toc529872851"/>
      <w:bookmarkStart w:id="1135" w:name="_Toc529948715"/>
      <w:bookmarkStart w:id="1136" w:name="_Toc529953125"/>
      <w:bookmarkStart w:id="1137" w:name="_Toc529976920"/>
      <w:bookmarkStart w:id="1138" w:name="_Toc529977177"/>
      <w:bookmarkStart w:id="1139" w:name="_Toc529978164"/>
      <w:bookmarkStart w:id="1140" w:name="_Toc530140067"/>
      <w:bookmarkStart w:id="1141" w:name="_Toc530140578"/>
      <w:bookmarkStart w:id="1142" w:name="_Toc530141157"/>
      <w:bookmarkStart w:id="1143" w:name="_Toc530393623"/>
      <w:bookmarkStart w:id="1144" w:name="_Toc530398440"/>
      <w:bookmarkStart w:id="1145" w:name="_Toc530398700"/>
      <w:bookmarkStart w:id="1146" w:name="_Toc530402907"/>
      <w:bookmarkStart w:id="1147" w:name="_Toc530565670"/>
      <w:bookmarkStart w:id="1148" w:name="_Toc530570607"/>
      <w:bookmarkStart w:id="1149" w:name="_Toc776926"/>
      <w:bookmarkStart w:id="1150" w:name="_Toc1469462"/>
      <w:bookmarkStart w:id="1151" w:name="_Toc219309559"/>
      <w:r w:rsidRPr="00264D5D">
        <w:lastRenderedPageBreak/>
        <w:t>Описание комплексного типа «tSGNNmPs»</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14:paraId="5E9AB536" w14:textId="77777777" w:rsidR="00AD1F54" w:rsidRPr="00264D5D" w:rsidRDefault="00941227">
      <w:pPr>
        <w:pStyle w:val="ASFKNormal"/>
        <w:spacing w:before="60" w:after="120"/>
        <w:jc w:val="both"/>
        <w:rPr>
          <w:sz w:val="24"/>
        </w:rPr>
      </w:pPr>
      <w:r w:rsidRPr="00264D5D">
        <w:rPr>
          <w:sz w:val="24"/>
        </w:rPr>
        <w:t xml:space="preserve">Описание комплексного типа «tSGNNmPs» блока «Подписи». </w:t>
      </w:r>
    </w:p>
    <w:p w14:paraId="7026C470" w14:textId="47FDB9D2"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1152" w:name="_Ref527739480"/>
      <w:bookmarkStart w:id="1153" w:name="_Toc776478"/>
      <w:bookmarkStart w:id="1154" w:name="_Toc219309145"/>
      <w:r w:rsidR="008D797C">
        <w:rPr>
          <w:noProof/>
        </w:rPr>
        <w:t>115</w:t>
      </w:r>
      <w:bookmarkEnd w:id="1152"/>
      <w:r w:rsidRPr="00264D5D">
        <w:fldChar w:fldCharType="end"/>
      </w:r>
      <w:r w:rsidRPr="00264D5D">
        <w:rPr>
          <w:rFonts w:eastAsia="Calibri"/>
          <w:szCs w:val="24"/>
        </w:rPr>
        <w:t xml:space="preserve"> – </w:t>
      </w:r>
      <w:r w:rsidRPr="00264D5D">
        <w:t>Описание комплексного типа «</w:t>
      </w:r>
      <w:r w:rsidRPr="00264D5D">
        <w:rPr>
          <w:color w:val="000000"/>
          <w:szCs w:val="22"/>
        </w:rPr>
        <w:t>tSGNNmPs</w:t>
      </w:r>
      <w:r w:rsidRPr="00264D5D">
        <w:t>»</w:t>
      </w:r>
      <w:bookmarkEnd w:id="1153"/>
      <w:bookmarkEnd w:id="1154"/>
    </w:p>
    <w:tbl>
      <w:tblPr>
        <w:tblStyle w:val="GOSTTable"/>
        <w:tblW w:w="5000" w:type="pct"/>
        <w:tblLayout w:type="fixed"/>
        <w:tblLook w:val="01E0" w:firstRow="1" w:lastRow="1" w:firstColumn="1" w:lastColumn="1" w:noHBand="0" w:noVBand="0"/>
      </w:tblPr>
      <w:tblGrid>
        <w:gridCol w:w="1704"/>
        <w:gridCol w:w="1704"/>
        <w:gridCol w:w="568"/>
        <w:gridCol w:w="1136"/>
        <w:gridCol w:w="568"/>
        <w:gridCol w:w="3970"/>
      </w:tblGrid>
      <w:tr w:rsidR="00AD1F54" w:rsidRPr="00264D5D" w14:paraId="5373F941"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1A4AE524" w14:textId="77777777" w:rsidR="00AD1F54" w:rsidRPr="00264D5D" w:rsidRDefault="00941227">
            <w:pPr>
              <w:pStyle w:val="GOSTTableHead"/>
            </w:pPr>
            <w:r w:rsidRPr="00264D5D">
              <w:t>Наименование элемента</w:t>
            </w:r>
          </w:p>
        </w:tc>
        <w:tc>
          <w:tcPr>
            <w:tcW w:w="1701" w:type="dxa"/>
          </w:tcPr>
          <w:p w14:paraId="464551A5" w14:textId="77777777" w:rsidR="00AD1F54" w:rsidRPr="00264D5D" w:rsidRDefault="00941227">
            <w:pPr>
              <w:pStyle w:val="GOSTTableHead"/>
            </w:pPr>
            <w:r w:rsidRPr="00264D5D">
              <w:t>Сокращенное наименование (код) элемента</w:t>
            </w:r>
          </w:p>
        </w:tc>
        <w:tc>
          <w:tcPr>
            <w:tcW w:w="567" w:type="dxa"/>
          </w:tcPr>
          <w:p w14:paraId="6C5A104A" w14:textId="77777777" w:rsidR="00AD1F54" w:rsidRPr="00264D5D" w:rsidRDefault="00941227">
            <w:pPr>
              <w:pStyle w:val="GOSTTableHead"/>
            </w:pPr>
            <w:r w:rsidRPr="00264D5D">
              <w:t>Тип</w:t>
            </w:r>
          </w:p>
        </w:tc>
        <w:tc>
          <w:tcPr>
            <w:tcW w:w="1134" w:type="dxa"/>
          </w:tcPr>
          <w:p w14:paraId="562FCF8E" w14:textId="77777777" w:rsidR="00AD1F54" w:rsidRPr="00264D5D" w:rsidRDefault="00941227">
            <w:pPr>
              <w:pStyle w:val="GOSTTableHead"/>
            </w:pPr>
            <w:r w:rsidRPr="00264D5D">
              <w:t>Формат элемента</w:t>
            </w:r>
          </w:p>
        </w:tc>
        <w:tc>
          <w:tcPr>
            <w:tcW w:w="567" w:type="dxa"/>
          </w:tcPr>
          <w:p w14:paraId="033A715A" w14:textId="77777777" w:rsidR="00AD1F54" w:rsidRPr="00264D5D" w:rsidRDefault="00941227">
            <w:pPr>
              <w:pStyle w:val="GOSTTableHead"/>
            </w:pPr>
            <w:r w:rsidRPr="00264D5D">
              <w:t>Обязательность</w:t>
            </w:r>
          </w:p>
        </w:tc>
        <w:tc>
          <w:tcPr>
            <w:tcW w:w="3963" w:type="dxa"/>
          </w:tcPr>
          <w:p w14:paraId="741B3959" w14:textId="77777777" w:rsidR="00AD1F54" w:rsidRPr="00264D5D" w:rsidRDefault="00941227">
            <w:pPr>
              <w:pStyle w:val="EBTableHead"/>
              <w:ind w:left="57" w:right="57"/>
              <w:rPr>
                <w:sz w:val="22"/>
                <w:szCs w:val="22"/>
              </w:rPr>
            </w:pPr>
            <w:r w:rsidRPr="00264D5D">
              <w:rPr>
                <w:bCs w:val="0"/>
                <w:sz w:val="22"/>
                <w:szCs w:val="22"/>
              </w:rPr>
              <w:t>Дополнительная информация</w:t>
            </w:r>
          </w:p>
        </w:tc>
      </w:tr>
      <w:tr w:rsidR="00AD1F54" w:rsidRPr="00264D5D" w14:paraId="467604D3"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32E0F00" w14:textId="77777777" w:rsidR="00AD1F54" w:rsidRPr="00264D5D" w:rsidRDefault="00941227">
            <w:pPr>
              <w:pStyle w:val="GOSTTablenorm"/>
              <w:rPr>
                <w:szCs w:val="22"/>
              </w:rPr>
            </w:pPr>
            <w:r w:rsidRPr="00264D5D">
              <w:rPr>
                <w:color w:val="000000"/>
                <w:szCs w:val="22"/>
              </w:rPr>
              <w:t>Должность</w:t>
            </w:r>
          </w:p>
        </w:tc>
        <w:tc>
          <w:tcPr>
            <w:tcW w:w="1701" w:type="dxa"/>
          </w:tcPr>
          <w:p w14:paraId="39024B6B" w14:textId="77777777" w:rsidR="00AD1F54" w:rsidRPr="00264D5D" w:rsidRDefault="00941227">
            <w:pPr>
              <w:pStyle w:val="GOSTTablenorm"/>
              <w:rPr>
                <w:szCs w:val="22"/>
              </w:rPr>
            </w:pPr>
            <w:r w:rsidRPr="00264D5D">
              <w:rPr>
                <w:color w:val="000000"/>
                <w:szCs w:val="22"/>
              </w:rPr>
              <w:t>Pst</w:t>
            </w:r>
          </w:p>
        </w:tc>
        <w:tc>
          <w:tcPr>
            <w:tcW w:w="567" w:type="dxa"/>
          </w:tcPr>
          <w:p w14:paraId="2814083C" w14:textId="77777777" w:rsidR="00AD1F54" w:rsidRPr="00264D5D" w:rsidRDefault="00941227">
            <w:pPr>
              <w:pStyle w:val="GOSTTablenorm"/>
              <w:jc w:val="center"/>
              <w:rPr>
                <w:szCs w:val="22"/>
              </w:rPr>
            </w:pPr>
            <w:r w:rsidRPr="00264D5D">
              <w:rPr>
                <w:szCs w:val="22"/>
              </w:rPr>
              <w:t>П</w:t>
            </w:r>
          </w:p>
        </w:tc>
        <w:tc>
          <w:tcPr>
            <w:tcW w:w="1134" w:type="dxa"/>
          </w:tcPr>
          <w:p w14:paraId="238CC0C3" w14:textId="77777777" w:rsidR="00AD1F54" w:rsidRPr="00264D5D" w:rsidRDefault="00941227">
            <w:pPr>
              <w:pStyle w:val="GOSTTablenorm"/>
              <w:rPr>
                <w:szCs w:val="22"/>
              </w:rPr>
            </w:pPr>
            <w:r w:rsidRPr="00264D5D">
              <w:rPr>
                <w:color w:val="000000"/>
                <w:szCs w:val="22"/>
                <w:lang w:val="en-US"/>
              </w:rPr>
              <w:t>Т(</w:t>
            </w:r>
            <w:r w:rsidRPr="00264D5D">
              <w:rPr>
                <w:color w:val="000000"/>
                <w:szCs w:val="22"/>
              </w:rPr>
              <w:t>1-100)</w:t>
            </w:r>
          </w:p>
        </w:tc>
        <w:tc>
          <w:tcPr>
            <w:tcW w:w="567" w:type="dxa"/>
          </w:tcPr>
          <w:p w14:paraId="69CBBFF2" w14:textId="77777777" w:rsidR="00AD1F54" w:rsidRPr="00264D5D" w:rsidRDefault="00941227">
            <w:pPr>
              <w:pStyle w:val="GOSTTablenorm"/>
              <w:jc w:val="center"/>
              <w:rPr>
                <w:szCs w:val="22"/>
              </w:rPr>
            </w:pPr>
            <w:r w:rsidRPr="00264D5D">
              <w:rPr>
                <w:szCs w:val="22"/>
              </w:rPr>
              <w:t>Н</w:t>
            </w:r>
          </w:p>
        </w:tc>
        <w:tc>
          <w:tcPr>
            <w:tcW w:w="3963" w:type="dxa"/>
          </w:tcPr>
          <w:p w14:paraId="488F8F37" w14:textId="77777777" w:rsidR="00AD1F54" w:rsidRPr="00264D5D" w:rsidRDefault="00941227">
            <w:pPr>
              <w:pStyle w:val="GOSTTablenorm"/>
              <w:rPr>
                <w:szCs w:val="22"/>
              </w:rPr>
            </w:pPr>
            <w:r w:rsidRPr="00264D5D">
              <w:rPr>
                <w:szCs w:val="22"/>
              </w:rPr>
              <w:t>Указывается</w:t>
            </w:r>
            <w:r w:rsidR="00436C7D" w:rsidRPr="00264D5D">
              <w:rPr>
                <w:color w:val="000000"/>
                <w:szCs w:val="22"/>
              </w:rPr>
              <w:t xml:space="preserve"> должность</w:t>
            </w:r>
          </w:p>
        </w:tc>
      </w:tr>
      <w:tr w:rsidR="00AD1F54" w:rsidRPr="00264D5D" w14:paraId="250FD4C9"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38A3F64F" w14:textId="77777777" w:rsidR="00AD1F54" w:rsidRPr="00264D5D" w:rsidRDefault="00941227">
            <w:pPr>
              <w:pStyle w:val="GOSTTablenorm"/>
              <w:rPr>
                <w:color w:val="000000"/>
                <w:szCs w:val="22"/>
              </w:rPr>
            </w:pPr>
            <w:r w:rsidRPr="00264D5D">
              <w:rPr>
                <w:color w:val="000000"/>
                <w:szCs w:val="22"/>
              </w:rPr>
              <w:t>Расшифровка подписи</w:t>
            </w:r>
          </w:p>
        </w:tc>
        <w:tc>
          <w:tcPr>
            <w:tcW w:w="1701" w:type="dxa"/>
          </w:tcPr>
          <w:p w14:paraId="052CFE82" w14:textId="77777777" w:rsidR="00AD1F54" w:rsidRPr="00264D5D" w:rsidRDefault="00941227">
            <w:pPr>
              <w:pStyle w:val="GOSTTablenorm"/>
              <w:rPr>
                <w:color w:val="000000"/>
                <w:szCs w:val="22"/>
              </w:rPr>
            </w:pPr>
            <w:r w:rsidRPr="00264D5D">
              <w:rPr>
                <w:color w:val="000000"/>
                <w:szCs w:val="22"/>
              </w:rPr>
              <w:t>FIO</w:t>
            </w:r>
          </w:p>
        </w:tc>
        <w:tc>
          <w:tcPr>
            <w:tcW w:w="567" w:type="dxa"/>
          </w:tcPr>
          <w:p w14:paraId="2A2C717B" w14:textId="77777777" w:rsidR="00AD1F54" w:rsidRPr="00264D5D" w:rsidRDefault="00941227">
            <w:pPr>
              <w:pStyle w:val="GOSTTablenorm"/>
              <w:jc w:val="center"/>
              <w:rPr>
                <w:szCs w:val="22"/>
              </w:rPr>
            </w:pPr>
            <w:r w:rsidRPr="00264D5D">
              <w:rPr>
                <w:szCs w:val="22"/>
              </w:rPr>
              <w:t>П</w:t>
            </w:r>
          </w:p>
        </w:tc>
        <w:tc>
          <w:tcPr>
            <w:tcW w:w="1134" w:type="dxa"/>
          </w:tcPr>
          <w:p w14:paraId="060A54A1" w14:textId="77777777" w:rsidR="00AD1F54" w:rsidRPr="00264D5D" w:rsidRDefault="00941227">
            <w:pPr>
              <w:pStyle w:val="GOSTTablenorm"/>
              <w:rPr>
                <w:color w:val="000000"/>
                <w:szCs w:val="22"/>
                <w:lang w:val="en-US"/>
              </w:rPr>
            </w:pPr>
            <w:r w:rsidRPr="00264D5D">
              <w:rPr>
                <w:color w:val="000000"/>
                <w:szCs w:val="22"/>
                <w:lang w:val="en-US"/>
              </w:rPr>
              <w:t>Т(</w:t>
            </w:r>
            <w:r w:rsidRPr="00264D5D">
              <w:rPr>
                <w:color w:val="000000"/>
                <w:szCs w:val="22"/>
              </w:rPr>
              <w:t>1-50)</w:t>
            </w:r>
          </w:p>
        </w:tc>
        <w:tc>
          <w:tcPr>
            <w:tcW w:w="567" w:type="dxa"/>
          </w:tcPr>
          <w:p w14:paraId="555D48E7" w14:textId="77777777" w:rsidR="00AD1F54" w:rsidRPr="00264D5D" w:rsidRDefault="00941227">
            <w:pPr>
              <w:pStyle w:val="GOSTTablenorm"/>
              <w:jc w:val="center"/>
              <w:rPr>
                <w:szCs w:val="22"/>
              </w:rPr>
            </w:pPr>
            <w:r w:rsidRPr="00264D5D">
              <w:rPr>
                <w:szCs w:val="22"/>
              </w:rPr>
              <w:t>О</w:t>
            </w:r>
          </w:p>
        </w:tc>
        <w:tc>
          <w:tcPr>
            <w:tcW w:w="3963" w:type="dxa"/>
          </w:tcPr>
          <w:p w14:paraId="76C2AA65" w14:textId="77777777" w:rsidR="00AD1F54" w:rsidRPr="00264D5D" w:rsidRDefault="00941227">
            <w:pPr>
              <w:pStyle w:val="GOSTTablenorm"/>
              <w:rPr>
                <w:szCs w:val="22"/>
              </w:rPr>
            </w:pPr>
            <w:r w:rsidRPr="00264D5D">
              <w:rPr>
                <w:szCs w:val="22"/>
              </w:rPr>
              <w:t>Расшифровка подписи с указание инициалов и фамилии</w:t>
            </w:r>
          </w:p>
        </w:tc>
      </w:tr>
    </w:tbl>
    <w:p w14:paraId="6B62F2AA" w14:textId="77777777" w:rsidR="00AD1F54" w:rsidRPr="00264D5D" w:rsidRDefault="00941227">
      <w:pPr>
        <w:pStyle w:val="31"/>
      </w:pPr>
      <w:bookmarkStart w:id="1155" w:name="_Toc84802290"/>
      <w:bookmarkStart w:id="1156" w:name="_Toc1469463"/>
      <w:bookmarkStart w:id="1157" w:name="_Toc219309560"/>
      <w:r w:rsidRPr="00264D5D">
        <w:t>Описание комплексного типа «tSGN»</w:t>
      </w:r>
      <w:bookmarkEnd w:id="1155"/>
      <w:bookmarkEnd w:id="1157"/>
    </w:p>
    <w:p w14:paraId="4E04672E" w14:textId="77777777" w:rsidR="00AD1F54" w:rsidRPr="00264D5D" w:rsidRDefault="00941227">
      <w:pPr>
        <w:pStyle w:val="GOSTNormal"/>
      </w:pPr>
      <w:r w:rsidRPr="00264D5D">
        <w:t>Описание комплексного типа «tSGN» блока «</w:t>
      </w:r>
      <w:r w:rsidRPr="00264D5D">
        <w:rPr>
          <w:color w:val="000000"/>
          <w:szCs w:val="22"/>
        </w:rPr>
        <w:t>Данные о подписях</w:t>
      </w:r>
      <w:r w:rsidRPr="00264D5D">
        <w:t>».</w:t>
      </w:r>
    </w:p>
    <w:p w14:paraId="19F740A1" w14:textId="6E6BC2DB"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1158" w:name="_Ref68853437"/>
      <w:bookmarkStart w:id="1159" w:name="_Toc219309146"/>
      <w:r w:rsidR="008D797C">
        <w:rPr>
          <w:noProof/>
        </w:rPr>
        <w:t>116</w:t>
      </w:r>
      <w:bookmarkEnd w:id="1158"/>
      <w:r w:rsidRPr="00264D5D">
        <w:fldChar w:fldCharType="end"/>
      </w:r>
      <w:r w:rsidRPr="00264D5D">
        <w:t xml:space="preserve"> – Описание комплексного типа «tSGN»</w:t>
      </w:r>
      <w:bookmarkEnd w:id="1159"/>
    </w:p>
    <w:tbl>
      <w:tblPr>
        <w:tblStyle w:val="GOSTTable"/>
        <w:tblW w:w="5000" w:type="pct"/>
        <w:tblLayout w:type="fixed"/>
        <w:tblLook w:val="01E0" w:firstRow="1" w:lastRow="1" w:firstColumn="1" w:lastColumn="1" w:noHBand="0" w:noVBand="0"/>
      </w:tblPr>
      <w:tblGrid>
        <w:gridCol w:w="1704"/>
        <w:gridCol w:w="1704"/>
        <w:gridCol w:w="568"/>
        <w:gridCol w:w="1136"/>
        <w:gridCol w:w="568"/>
        <w:gridCol w:w="3970"/>
      </w:tblGrid>
      <w:tr w:rsidR="00AD1F54" w:rsidRPr="00264D5D" w14:paraId="6B6AE507"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3D773010" w14:textId="77777777" w:rsidR="00AD1F54" w:rsidRPr="00264D5D" w:rsidRDefault="00941227">
            <w:pPr>
              <w:pStyle w:val="OTRTableHead"/>
              <w:keepNext w:val="0"/>
              <w:widowControl w:val="0"/>
              <w:rPr>
                <w:sz w:val="22"/>
                <w:szCs w:val="22"/>
              </w:rPr>
            </w:pPr>
            <w:r w:rsidRPr="00264D5D">
              <w:rPr>
                <w:sz w:val="22"/>
                <w:szCs w:val="22"/>
              </w:rPr>
              <w:t>Наименование элемента</w:t>
            </w:r>
          </w:p>
        </w:tc>
        <w:tc>
          <w:tcPr>
            <w:tcW w:w="1701" w:type="dxa"/>
          </w:tcPr>
          <w:p w14:paraId="207BABE8" w14:textId="77777777" w:rsidR="00AD1F54" w:rsidRPr="00264D5D" w:rsidRDefault="00941227">
            <w:pPr>
              <w:pStyle w:val="OTRTableHead"/>
              <w:keepNext w:val="0"/>
              <w:widowControl w:val="0"/>
              <w:rPr>
                <w:sz w:val="22"/>
                <w:szCs w:val="22"/>
              </w:rPr>
            </w:pPr>
            <w:r w:rsidRPr="00264D5D">
              <w:rPr>
                <w:sz w:val="22"/>
                <w:szCs w:val="22"/>
              </w:rPr>
              <w:t>Сокращенное наименование (код) элемента</w:t>
            </w:r>
          </w:p>
        </w:tc>
        <w:tc>
          <w:tcPr>
            <w:tcW w:w="567" w:type="dxa"/>
          </w:tcPr>
          <w:p w14:paraId="437EB1CE" w14:textId="77777777" w:rsidR="00AD1F54" w:rsidRPr="00264D5D" w:rsidRDefault="00941227">
            <w:pPr>
              <w:pStyle w:val="OTRTableHead"/>
              <w:keepNext w:val="0"/>
              <w:widowControl w:val="0"/>
              <w:rPr>
                <w:sz w:val="22"/>
                <w:szCs w:val="22"/>
              </w:rPr>
            </w:pPr>
            <w:r w:rsidRPr="00264D5D">
              <w:rPr>
                <w:sz w:val="22"/>
                <w:szCs w:val="22"/>
              </w:rPr>
              <w:t>Тип</w:t>
            </w:r>
          </w:p>
        </w:tc>
        <w:tc>
          <w:tcPr>
            <w:tcW w:w="1134" w:type="dxa"/>
          </w:tcPr>
          <w:p w14:paraId="6E781376" w14:textId="77777777" w:rsidR="00AD1F54" w:rsidRPr="00264D5D" w:rsidRDefault="00941227">
            <w:pPr>
              <w:pStyle w:val="OTRTableHead"/>
              <w:keepNext w:val="0"/>
              <w:widowControl w:val="0"/>
              <w:rPr>
                <w:sz w:val="22"/>
                <w:szCs w:val="22"/>
              </w:rPr>
            </w:pPr>
            <w:r w:rsidRPr="00264D5D">
              <w:rPr>
                <w:sz w:val="22"/>
                <w:szCs w:val="22"/>
              </w:rPr>
              <w:t>Формат элемента</w:t>
            </w:r>
          </w:p>
        </w:tc>
        <w:tc>
          <w:tcPr>
            <w:tcW w:w="567" w:type="dxa"/>
          </w:tcPr>
          <w:p w14:paraId="0F8F77BA" w14:textId="77777777" w:rsidR="00AD1F54" w:rsidRPr="00264D5D" w:rsidRDefault="00941227">
            <w:pPr>
              <w:pStyle w:val="OTRTableHead"/>
              <w:keepNext w:val="0"/>
              <w:widowControl w:val="0"/>
              <w:rPr>
                <w:sz w:val="22"/>
                <w:szCs w:val="22"/>
              </w:rPr>
            </w:pPr>
            <w:r w:rsidRPr="00264D5D">
              <w:rPr>
                <w:sz w:val="22"/>
                <w:szCs w:val="22"/>
              </w:rPr>
              <w:t>Обязательность</w:t>
            </w:r>
          </w:p>
        </w:tc>
        <w:tc>
          <w:tcPr>
            <w:tcW w:w="3963" w:type="dxa"/>
          </w:tcPr>
          <w:p w14:paraId="0DF0D6BE" w14:textId="77777777" w:rsidR="00AD1F54" w:rsidRPr="00264D5D" w:rsidRDefault="00941227">
            <w:pPr>
              <w:pStyle w:val="OTRTableHead"/>
              <w:keepNext w:val="0"/>
              <w:widowControl w:val="0"/>
              <w:rPr>
                <w:sz w:val="22"/>
                <w:szCs w:val="22"/>
              </w:rPr>
            </w:pPr>
            <w:r w:rsidRPr="00264D5D">
              <w:rPr>
                <w:sz w:val="22"/>
                <w:szCs w:val="22"/>
              </w:rPr>
              <w:t>Дополнительная информация</w:t>
            </w:r>
          </w:p>
        </w:tc>
      </w:tr>
      <w:tr w:rsidR="00AD1F54" w:rsidRPr="00264D5D" w14:paraId="4FA494AB"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7EE12B9C" w14:textId="77777777" w:rsidR="00AD1F54" w:rsidRPr="00264D5D" w:rsidRDefault="00941227">
            <w:pPr>
              <w:pStyle w:val="GOSTTablenorm"/>
              <w:rPr>
                <w:szCs w:val="22"/>
              </w:rPr>
            </w:pPr>
            <w:r w:rsidRPr="00264D5D">
              <w:rPr>
                <w:color w:val="000000"/>
                <w:szCs w:val="22"/>
              </w:rPr>
              <w:t>Должность руководителя</w:t>
            </w:r>
          </w:p>
        </w:tc>
        <w:tc>
          <w:tcPr>
            <w:tcW w:w="1701" w:type="dxa"/>
          </w:tcPr>
          <w:p w14:paraId="1F52F96F" w14:textId="77777777" w:rsidR="00AD1F54" w:rsidRPr="00264D5D" w:rsidRDefault="00941227">
            <w:pPr>
              <w:pStyle w:val="GOSTTablenorm"/>
              <w:rPr>
                <w:szCs w:val="22"/>
                <w:lang w:val="en-US"/>
              </w:rPr>
            </w:pPr>
            <w:r w:rsidRPr="00264D5D">
              <w:rPr>
                <w:color w:val="000000"/>
                <w:szCs w:val="22"/>
              </w:rPr>
              <w:t>Pst_</w:t>
            </w:r>
            <w:r w:rsidRPr="00264D5D">
              <w:rPr>
                <w:color w:val="000000"/>
                <w:szCs w:val="22"/>
                <w:lang w:val="en-US"/>
              </w:rPr>
              <w:t>Hr</w:t>
            </w:r>
          </w:p>
        </w:tc>
        <w:tc>
          <w:tcPr>
            <w:tcW w:w="567" w:type="dxa"/>
          </w:tcPr>
          <w:p w14:paraId="4D37D13E" w14:textId="77777777" w:rsidR="00AD1F54" w:rsidRPr="00264D5D" w:rsidRDefault="00941227">
            <w:pPr>
              <w:pStyle w:val="GOSTTablenorm"/>
              <w:jc w:val="center"/>
              <w:rPr>
                <w:szCs w:val="22"/>
              </w:rPr>
            </w:pPr>
            <w:r w:rsidRPr="00264D5D">
              <w:rPr>
                <w:szCs w:val="22"/>
              </w:rPr>
              <w:t>П</w:t>
            </w:r>
          </w:p>
        </w:tc>
        <w:tc>
          <w:tcPr>
            <w:tcW w:w="1134" w:type="dxa"/>
          </w:tcPr>
          <w:p w14:paraId="71632105" w14:textId="77777777" w:rsidR="00AD1F54" w:rsidRPr="00264D5D" w:rsidRDefault="00941227">
            <w:pPr>
              <w:pStyle w:val="GOSTTablenorm"/>
              <w:rPr>
                <w:szCs w:val="22"/>
              </w:rPr>
            </w:pPr>
            <w:r w:rsidRPr="00264D5D">
              <w:rPr>
                <w:color w:val="000000"/>
                <w:szCs w:val="22"/>
                <w:lang w:val="en-US"/>
              </w:rPr>
              <w:t>Т(1-</w:t>
            </w:r>
            <w:r w:rsidRPr="00264D5D">
              <w:rPr>
                <w:color w:val="000000"/>
                <w:szCs w:val="22"/>
              </w:rPr>
              <w:t>1</w:t>
            </w:r>
            <w:r w:rsidRPr="00264D5D">
              <w:rPr>
                <w:color w:val="000000"/>
                <w:szCs w:val="22"/>
                <w:lang w:val="en-US"/>
              </w:rPr>
              <w:t>00)</w:t>
            </w:r>
          </w:p>
        </w:tc>
        <w:tc>
          <w:tcPr>
            <w:tcW w:w="567" w:type="dxa"/>
          </w:tcPr>
          <w:p w14:paraId="02F6B36F" w14:textId="77777777" w:rsidR="00AD1F54" w:rsidRPr="00264D5D" w:rsidRDefault="00941227">
            <w:pPr>
              <w:pStyle w:val="GOSTTablenorm"/>
              <w:jc w:val="center"/>
              <w:rPr>
                <w:szCs w:val="22"/>
              </w:rPr>
            </w:pPr>
            <w:r w:rsidRPr="00264D5D">
              <w:rPr>
                <w:szCs w:val="22"/>
              </w:rPr>
              <w:t>О</w:t>
            </w:r>
          </w:p>
        </w:tc>
        <w:tc>
          <w:tcPr>
            <w:tcW w:w="3963" w:type="dxa"/>
          </w:tcPr>
          <w:p w14:paraId="4D4E4B1E" w14:textId="77777777" w:rsidR="00AD1F54" w:rsidRPr="00264D5D" w:rsidRDefault="00941227">
            <w:pPr>
              <w:pStyle w:val="GOSTTablenorm"/>
              <w:rPr>
                <w:szCs w:val="22"/>
              </w:rPr>
            </w:pPr>
            <w:r w:rsidRPr="00264D5D">
              <w:rPr>
                <w:szCs w:val="22"/>
              </w:rPr>
              <w:t xml:space="preserve">Указывается должность </w:t>
            </w:r>
            <w:r w:rsidRPr="00264D5D">
              <w:rPr>
                <w:color w:val="000000"/>
                <w:szCs w:val="22"/>
              </w:rPr>
              <w:t>руководителя</w:t>
            </w:r>
          </w:p>
        </w:tc>
      </w:tr>
      <w:tr w:rsidR="00AD1F54" w:rsidRPr="00264D5D" w14:paraId="6BC487D9"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7E83BA2" w14:textId="77777777" w:rsidR="00AD1F54" w:rsidRPr="00264D5D" w:rsidRDefault="00941227">
            <w:pPr>
              <w:pStyle w:val="GOSTTablenorm"/>
              <w:rPr>
                <w:color w:val="000000"/>
                <w:szCs w:val="22"/>
              </w:rPr>
            </w:pPr>
            <w:r w:rsidRPr="00264D5D">
              <w:rPr>
                <w:color w:val="000000"/>
                <w:szCs w:val="22"/>
              </w:rPr>
              <w:t>Расшифровка подписи руководителя</w:t>
            </w:r>
          </w:p>
        </w:tc>
        <w:tc>
          <w:tcPr>
            <w:tcW w:w="1701" w:type="dxa"/>
          </w:tcPr>
          <w:p w14:paraId="2344BC0D" w14:textId="77777777" w:rsidR="00AD1F54" w:rsidRPr="00264D5D" w:rsidRDefault="00941227">
            <w:pPr>
              <w:pStyle w:val="GOSTTablenorm"/>
              <w:rPr>
                <w:color w:val="000000"/>
                <w:szCs w:val="22"/>
              </w:rPr>
            </w:pPr>
            <w:r w:rsidRPr="00264D5D">
              <w:rPr>
                <w:color w:val="000000"/>
                <w:szCs w:val="22"/>
              </w:rPr>
              <w:t>FIO</w:t>
            </w:r>
            <w:r w:rsidRPr="00264D5D">
              <w:rPr>
                <w:color w:val="000000"/>
                <w:szCs w:val="22"/>
                <w:lang w:val="en-US"/>
              </w:rPr>
              <w:t>_Hr</w:t>
            </w:r>
          </w:p>
        </w:tc>
        <w:tc>
          <w:tcPr>
            <w:tcW w:w="567" w:type="dxa"/>
          </w:tcPr>
          <w:p w14:paraId="1EEEFE7D" w14:textId="77777777" w:rsidR="00AD1F54" w:rsidRPr="00264D5D" w:rsidRDefault="00941227">
            <w:pPr>
              <w:pStyle w:val="GOSTTablenorm"/>
              <w:jc w:val="center"/>
              <w:rPr>
                <w:szCs w:val="22"/>
              </w:rPr>
            </w:pPr>
            <w:r w:rsidRPr="00264D5D">
              <w:rPr>
                <w:szCs w:val="22"/>
              </w:rPr>
              <w:t>П</w:t>
            </w:r>
          </w:p>
        </w:tc>
        <w:tc>
          <w:tcPr>
            <w:tcW w:w="1134" w:type="dxa"/>
          </w:tcPr>
          <w:p w14:paraId="51A5CAFD" w14:textId="77777777" w:rsidR="00AD1F54" w:rsidRPr="00264D5D" w:rsidRDefault="00941227">
            <w:pPr>
              <w:pStyle w:val="GOSTTablenorm"/>
              <w:rPr>
                <w:color w:val="000000"/>
                <w:szCs w:val="22"/>
                <w:lang w:val="en-US"/>
              </w:rPr>
            </w:pPr>
            <w:r w:rsidRPr="00264D5D">
              <w:rPr>
                <w:color w:val="000000"/>
                <w:szCs w:val="22"/>
                <w:lang w:val="en-US"/>
              </w:rPr>
              <w:t>Т(1-</w:t>
            </w:r>
            <w:r w:rsidRPr="00264D5D">
              <w:rPr>
                <w:color w:val="000000"/>
                <w:szCs w:val="22"/>
              </w:rPr>
              <w:t>50</w:t>
            </w:r>
            <w:r w:rsidRPr="00264D5D">
              <w:rPr>
                <w:color w:val="000000"/>
                <w:szCs w:val="22"/>
                <w:lang w:val="en-US"/>
              </w:rPr>
              <w:t>)</w:t>
            </w:r>
          </w:p>
        </w:tc>
        <w:tc>
          <w:tcPr>
            <w:tcW w:w="567" w:type="dxa"/>
          </w:tcPr>
          <w:p w14:paraId="606933FC" w14:textId="77777777" w:rsidR="00AD1F54" w:rsidRPr="00264D5D" w:rsidRDefault="00941227">
            <w:pPr>
              <w:pStyle w:val="GOSTTablenorm"/>
              <w:jc w:val="center"/>
              <w:rPr>
                <w:szCs w:val="22"/>
              </w:rPr>
            </w:pPr>
            <w:r w:rsidRPr="00264D5D">
              <w:rPr>
                <w:szCs w:val="22"/>
              </w:rPr>
              <w:t>О</w:t>
            </w:r>
          </w:p>
        </w:tc>
        <w:tc>
          <w:tcPr>
            <w:tcW w:w="3963" w:type="dxa"/>
          </w:tcPr>
          <w:p w14:paraId="3EFC2FDA" w14:textId="77777777" w:rsidR="00AD1F54" w:rsidRPr="00264D5D" w:rsidRDefault="00941227">
            <w:pPr>
              <w:pStyle w:val="GOSTTablenorm"/>
              <w:rPr>
                <w:szCs w:val="22"/>
              </w:rPr>
            </w:pPr>
            <w:r w:rsidRPr="00264D5D">
              <w:rPr>
                <w:szCs w:val="22"/>
              </w:rPr>
              <w:t xml:space="preserve">Указывается расшифровка подписи с указанием инициалов и фамилии </w:t>
            </w:r>
            <w:r w:rsidRPr="00264D5D">
              <w:rPr>
                <w:color w:val="000000"/>
                <w:szCs w:val="22"/>
              </w:rPr>
              <w:t>руководителя</w:t>
            </w:r>
          </w:p>
        </w:tc>
      </w:tr>
      <w:tr w:rsidR="00AD1F54" w:rsidRPr="00264D5D" w14:paraId="703BB6DD"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D9C7EE0" w14:textId="77777777" w:rsidR="00AD1F54" w:rsidRPr="00264D5D" w:rsidRDefault="00941227">
            <w:pPr>
              <w:pStyle w:val="GOSTTablenorm"/>
              <w:rPr>
                <w:color w:val="000000"/>
                <w:szCs w:val="22"/>
              </w:rPr>
            </w:pPr>
            <w:r w:rsidRPr="00264D5D">
              <w:rPr>
                <w:color w:val="000000"/>
                <w:szCs w:val="22"/>
              </w:rPr>
              <w:t>Должность</w:t>
            </w:r>
            <w:r w:rsidRPr="00264D5D">
              <w:rPr>
                <w:color w:val="000000"/>
                <w:szCs w:val="22"/>
                <w:lang w:val="en-US"/>
              </w:rPr>
              <w:t xml:space="preserve"> </w:t>
            </w:r>
            <w:r w:rsidRPr="00264D5D">
              <w:rPr>
                <w:color w:val="000000"/>
                <w:szCs w:val="22"/>
              </w:rPr>
              <w:t>главного бухгалтера</w:t>
            </w:r>
          </w:p>
        </w:tc>
        <w:tc>
          <w:tcPr>
            <w:tcW w:w="1701" w:type="dxa"/>
          </w:tcPr>
          <w:p w14:paraId="27BC38B5" w14:textId="77777777" w:rsidR="00AD1F54" w:rsidRPr="00264D5D" w:rsidRDefault="00941227">
            <w:pPr>
              <w:pStyle w:val="GOSTTablenorm"/>
              <w:rPr>
                <w:color w:val="000000"/>
                <w:szCs w:val="22"/>
              </w:rPr>
            </w:pPr>
            <w:r w:rsidRPr="00264D5D">
              <w:rPr>
                <w:color w:val="000000"/>
                <w:szCs w:val="22"/>
              </w:rPr>
              <w:t>Pst</w:t>
            </w:r>
            <w:r w:rsidRPr="00264D5D">
              <w:rPr>
                <w:color w:val="000000"/>
                <w:szCs w:val="22"/>
                <w:lang w:val="en-US"/>
              </w:rPr>
              <w:t>_Acc</w:t>
            </w:r>
          </w:p>
        </w:tc>
        <w:tc>
          <w:tcPr>
            <w:tcW w:w="567" w:type="dxa"/>
          </w:tcPr>
          <w:p w14:paraId="7AD84FCB" w14:textId="77777777" w:rsidR="00AD1F54" w:rsidRPr="00264D5D" w:rsidRDefault="00941227">
            <w:pPr>
              <w:pStyle w:val="GOSTTablenorm"/>
              <w:jc w:val="center"/>
              <w:rPr>
                <w:szCs w:val="22"/>
              </w:rPr>
            </w:pPr>
            <w:r w:rsidRPr="00264D5D">
              <w:rPr>
                <w:szCs w:val="22"/>
              </w:rPr>
              <w:t>П</w:t>
            </w:r>
          </w:p>
        </w:tc>
        <w:tc>
          <w:tcPr>
            <w:tcW w:w="1134" w:type="dxa"/>
          </w:tcPr>
          <w:p w14:paraId="577A08FE" w14:textId="77777777" w:rsidR="00AD1F54" w:rsidRPr="00264D5D" w:rsidRDefault="00941227">
            <w:pPr>
              <w:pStyle w:val="GOSTTablenorm"/>
              <w:rPr>
                <w:color w:val="000000"/>
                <w:szCs w:val="22"/>
                <w:lang w:val="en-US"/>
              </w:rPr>
            </w:pPr>
            <w:r w:rsidRPr="00264D5D">
              <w:rPr>
                <w:color w:val="000000"/>
                <w:szCs w:val="22"/>
                <w:lang w:val="en-US"/>
              </w:rPr>
              <w:t>Т(1-</w:t>
            </w:r>
            <w:r w:rsidRPr="00264D5D">
              <w:rPr>
                <w:color w:val="000000"/>
                <w:szCs w:val="22"/>
              </w:rPr>
              <w:t>1</w:t>
            </w:r>
            <w:r w:rsidRPr="00264D5D">
              <w:rPr>
                <w:color w:val="000000"/>
                <w:szCs w:val="22"/>
                <w:lang w:val="en-US"/>
              </w:rPr>
              <w:t>00)</w:t>
            </w:r>
          </w:p>
        </w:tc>
        <w:tc>
          <w:tcPr>
            <w:tcW w:w="567" w:type="dxa"/>
          </w:tcPr>
          <w:p w14:paraId="7FB7E7FD" w14:textId="77777777" w:rsidR="00AD1F54" w:rsidRPr="00264D5D" w:rsidRDefault="00941227">
            <w:pPr>
              <w:pStyle w:val="GOSTTablenorm"/>
              <w:jc w:val="center"/>
              <w:rPr>
                <w:szCs w:val="22"/>
              </w:rPr>
            </w:pPr>
            <w:r w:rsidRPr="00264D5D">
              <w:rPr>
                <w:szCs w:val="22"/>
              </w:rPr>
              <w:t>Н</w:t>
            </w:r>
          </w:p>
        </w:tc>
        <w:tc>
          <w:tcPr>
            <w:tcW w:w="3963" w:type="dxa"/>
          </w:tcPr>
          <w:p w14:paraId="4D4BCE72" w14:textId="77777777" w:rsidR="00AD1F54" w:rsidRPr="00264D5D" w:rsidRDefault="00941227">
            <w:pPr>
              <w:pStyle w:val="GOSTTablenorm"/>
              <w:rPr>
                <w:szCs w:val="22"/>
              </w:rPr>
            </w:pPr>
            <w:r w:rsidRPr="00264D5D">
              <w:rPr>
                <w:szCs w:val="22"/>
              </w:rPr>
              <w:t xml:space="preserve">Указывается должность </w:t>
            </w:r>
            <w:r w:rsidRPr="00264D5D">
              <w:rPr>
                <w:color w:val="000000"/>
                <w:szCs w:val="22"/>
              </w:rPr>
              <w:t>главного бухгалтера</w:t>
            </w:r>
          </w:p>
        </w:tc>
      </w:tr>
      <w:tr w:rsidR="00AD1F54" w:rsidRPr="00264D5D" w14:paraId="4F413F64"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3DE3391E" w14:textId="77777777" w:rsidR="00AD1F54" w:rsidRPr="00264D5D" w:rsidRDefault="00941227">
            <w:pPr>
              <w:pStyle w:val="GOSTTablenorm"/>
              <w:rPr>
                <w:color w:val="000000"/>
                <w:szCs w:val="22"/>
              </w:rPr>
            </w:pPr>
            <w:r w:rsidRPr="00264D5D">
              <w:rPr>
                <w:color w:val="000000"/>
                <w:szCs w:val="22"/>
              </w:rPr>
              <w:t>Расшифровка подписи главного бухгалтера</w:t>
            </w:r>
          </w:p>
        </w:tc>
        <w:tc>
          <w:tcPr>
            <w:tcW w:w="1701" w:type="dxa"/>
          </w:tcPr>
          <w:p w14:paraId="5112FF0D" w14:textId="77777777" w:rsidR="00AD1F54" w:rsidRPr="00264D5D" w:rsidRDefault="00941227">
            <w:pPr>
              <w:pStyle w:val="GOSTTablenorm"/>
              <w:rPr>
                <w:color w:val="000000"/>
                <w:szCs w:val="22"/>
              </w:rPr>
            </w:pPr>
            <w:r w:rsidRPr="00264D5D">
              <w:rPr>
                <w:color w:val="000000"/>
                <w:szCs w:val="22"/>
              </w:rPr>
              <w:t>FIO</w:t>
            </w:r>
            <w:r w:rsidRPr="00264D5D">
              <w:rPr>
                <w:color w:val="000000"/>
                <w:szCs w:val="22"/>
                <w:lang w:val="en-US"/>
              </w:rPr>
              <w:t>_Acc</w:t>
            </w:r>
          </w:p>
        </w:tc>
        <w:tc>
          <w:tcPr>
            <w:tcW w:w="567" w:type="dxa"/>
          </w:tcPr>
          <w:p w14:paraId="60CF76AE" w14:textId="77777777" w:rsidR="00AD1F54" w:rsidRPr="00264D5D" w:rsidRDefault="00941227">
            <w:pPr>
              <w:pStyle w:val="GOSTTablenorm"/>
              <w:jc w:val="center"/>
              <w:rPr>
                <w:szCs w:val="22"/>
              </w:rPr>
            </w:pPr>
            <w:r w:rsidRPr="00264D5D">
              <w:rPr>
                <w:szCs w:val="22"/>
              </w:rPr>
              <w:t>П</w:t>
            </w:r>
          </w:p>
        </w:tc>
        <w:tc>
          <w:tcPr>
            <w:tcW w:w="1134" w:type="dxa"/>
          </w:tcPr>
          <w:p w14:paraId="1208CCB4" w14:textId="77777777" w:rsidR="00AD1F54" w:rsidRPr="00264D5D" w:rsidRDefault="00941227">
            <w:pPr>
              <w:pStyle w:val="GOSTTablenorm"/>
              <w:rPr>
                <w:color w:val="000000"/>
                <w:szCs w:val="22"/>
                <w:lang w:val="en-US"/>
              </w:rPr>
            </w:pPr>
            <w:r w:rsidRPr="00264D5D">
              <w:rPr>
                <w:color w:val="000000"/>
                <w:szCs w:val="22"/>
                <w:lang w:val="en-US"/>
              </w:rPr>
              <w:t>Т(1-</w:t>
            </w:r>
            <w:r w:rsidRPr="00264D5D">
              <w:rPr>
                <w:color w:val="000000"/>
                <w:szCs w:val="22"/>
              </w:rPr>
              <w:t>50</w:t>
            </w:r>
            <w:r w:rsidRPr="00264D5D">
              <w:rPr>
                <w:color w:val="000000"/>
                <w:szCs w:val="22"/>
                <w:lang w:val="en-US"/>
              </w:rPr>
              <w:t>)</w:t>
            </w:r>
          </w:p>
        </w:tc>
        <w:tc>
          <w:tcPr>
            <w:tcW w:w="567" w:type="dxa"/>
          </w:tcPr>
          <w:p w14:paraId="76A1C08C" w14:textId="77777777" w:rsidR="00AD1F54" w:rsidRPr="00264D5D" w:rsidRDefault="00941227">
            <w:pPr>
              <w:pStyle w:val="GOSTTablenorm"/>
              <w:jc w:val="center"/>
              <w:rPr>
                <w:szCs w:val="22"/>
              </w:rPr>
            </w:pPr>
            <w:r w:rsidRPr="00264D5D">
              <w:rPr>
                <w:szCs w:val="22"/>
              </w:rPr>
              <w:t>Н</w:t>
            </w:r>
          </w:p>
        </w:tc>
        <w:tc>
          <w:tcPr>
            <w:tcW w:w="3963" w:type="dxa"/>
          </w:tcPr>
          <w:p w14:paraId="3664ACAD" w14:textId="77777777" w:rsidR="00AD1F54" w:rsidRPr="00264D5D" w:rsidRDefault="00941227">
            <w:pPr>
              <w:pStyle w:val="GOSTTablenorm"/>
              <w:rPr>
                <w:szCs w:val="22"/>
              </w:rPr>
            </w:pPr>
            <w:r w:rsidRPr="00264D5D">
              <w:rPr>
                <w:szCs w:val="22"/>
              </w:rPr>
              <w:t xml:space="preserve">Указывается расшифровка подписи с указанием инициалов и фамилии </w:t>
            </w:r>
            <w:r w:rsidRPr="00264D5D">
              <w:rPr>
                <w:color w:val="000000"/>
                <w:szCs w:val="22"/>
              </w:rPr>
              <w:t>главного бухгалтера</w:t>
            </w:r>
          </w:p>
        </w:tc>
      </w:tr>
      <w:tr w:rsidR="00AD1F54" w:rsidRPr="00264D5D" w14:paraId="1F2D3D3B"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529B14D" w14:textId="77777777" w:rsidR="00AD1F54" w:rsidRPr="00264D5D" w:rsidRDefault="00941227">
            <w:pPr>
              <w:pStyle w:val="GOSTTablenorm"/>
              <w:rPr>
                <w:color w:val="000000"/>
                <w:szCs w:val="22"/>
              </w:rPr>
            </w:pPr>
            <w:r w:rsidRPr="00264D5D">
              <w:rPr>
                <w:color w:val="000000"/>
                <w:szCs w:val="22"/>
              </w:rPr>
              <w:t>Дата подписания</w:t>
            </w:r>
          </w:p>
        </w:tc>
        <w:tc>
          <w:tcPr>
            <w:tcW w:w="1701" w:type="dxa"/>
          </w:tcPr>
          <w:p w14:paraId="7B83A5DE" w14:textId="77777777" w:rsidR="00AD1F54" w:rsidRPr="00264D5D" w:rsidRDefault="00941227">
            <w:pPr>
              <w:pStyle w:val="GOSTTablenorm"/>
              <w:rPr>
                <w:color w:val="000000"/>
                <w:szCs w:val="22"/>
              </w:rPr>
            </w:pPr>
            <w:r w:rsidRPr="00264D5D">
              <w:rPr>
                <w:color w:val="000000"/>
                <w:szCs w:val="22"/>
              </w:rPr>
              <w:t>SGN_Dt</w:t>
            </w:r>
          </w:p>
        </w:tc>
        <w:tc>
          <w:tcPr>
            <w:tcW w:w="567" w:type="dxa"/>
          </w:tcPr>
          <w:p w14:paraId="047F401F" w14:textId="77777777" w:rsidR="00AD1F54" w:rsidRPr="00264D5D" w:rsidRDefault="00941227">
            <w:pPr>
              <w:pStyle w:val="GOSTTablenorm"/>
              <w:jc w:val="center"/>
              <w:rPr>
                <w:szCs w:val="22"/>
              </w:rPr>
            </w:pPr>
            <w:r w:rsidRPr="00264D5D">
              <w:rPr>
                <w:szCs w:val="22"/>
              </w:rPr>
              <w:t>П</w:t>
            </w:r>
          </w:p>
        </w:tc>
        <w:tc>
          <w:tcPr>
            <w:tcW w:w="1134" w:type="dxa"/>
          </w:tcPr>
          <w:p w14:paraId="20CB8C27" w14:textId="77777777" w:rsidR="00AD1F54" w:rsidRPr="00264D5D" w:rsidRDefault="00941227">
            <w:pPr>
              <w:pStyle w:val="GOSTTablenorm"/>
              <w:rPr>
                <w:color w:val="000000"/>
                <w:szCs w:val="22"/>
                <w:lang w:val="en-US"/>
              </w:rPr>
            </w:pPr>
            <w:r w:rsidRPr="00264D5D">
              <w:rPr>
                <w:szCs w:val="22"/>
                <w:lang w:val="en-US"/>
              </w:rPr>
              <w:t>Date</w:t>
            </w:r>
          </w:p>
        </w:tc>
        <w:tc>
          <w:tcPr>
            <w:tcW w:w="567" w:type="dxa"/>
          </w:tcPr>
          <w:p w14:paraId="3BCC720F" w14:textId="77777777" w:rsidR="00AD1F54" w:rsidRPr="00264D5D" w:rsidRDefault="00941227">
            <w:pPr>
              <w:pStyle w:val="GOSTTablenorm"/>
              <w:jc w:val="center"/>
              <w:rPr>
                <w:szCs w:val="22"/>
              </w:rPr>
            </w:pPr>
            <w:r w:rsidRPr="00264D5D">
              <w:rPr>
                <w:szCs w:val="22"/>
              </w:rPr>
              <w:t>О</w:t>
            </w:r>
          </w:p>
        </w:tc>
        <w:tc>
          <w:tcPr>
            <w:tcW w:w="3963" w:type="dxa"/>
          </w:tcPr>
          <w:p w14:paraId="2D4084A3" w14:textId="77777777" w:rsidR="00AD1F54" w:rsidRPr="00264D5D" w:rsidRDefault="00436C7D">
            <w:pPr>
              <w:pStyle w:val="GOSTTablenorm"/>
              <w:rPr>
                <w:szCs w:val="22"/>
              </w:rPr>
            </w:pPr>
            <w:r w:rsidRPr="00264D5D">
              <w:rPr>
                <w:color w:val="000000"/>
                <w:szCs w:val="22"/>
              </w:rPr>
              <w:t>Указывается дата подписания</w:t>
            </w:r>
          </w:p>
        </w:tc>
      </w:tr>
    </w:tbl>
    <w:p w14:paraId="2592B602" w14:textId="77777777" w:rsidR="00AD1F54" w:rsidRPr="00264D5D" w:rsidRDefault="00941227">
      <w:pPr>
        <w:pStyle w:val="31"/>
      </w:pPr>
      <w:bookmarkStart w:id="1160" w:name="_Toc219309561"/>
      <w:r w:rsidRPr="00264D5D">
        <w:t>Пример XML</w:t>
      </w:r>
      <w:bookmarkEnd w:id="1156"/>
      <w:bookmarkEnd w:id="1160"/>
    </w:p>
    <w:p w14:paraId="085D3FB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&lt;?xml version="1.0" encoding="UTF-8"?&gt;</w:t>
      </w:r>
    </w:p>
    <w:p w14:paraId="7C6168C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&lt;self:MSC_CANCDOC_REQ metaType="formular" versionID="2.0" xsi:schemaLocation="http://www.roskazna.ru/eb/domain/MSC_CANCDOC_REQ/formular formulars.xsd" xmlns:self="http://www.roskazna.ru/eb/domain/MSC_CANCDOC_REQ/formular" xmlns:xsi="http://www.w3.org/2001/XMLSchema-instance"&gt;</w:t>
      </w:r>
    </w:p>
    <w:p w14:paraId="3FFC8CD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&lt;TtlPrt_DocNumber&gt;15&lt;/TtlPrt_DocNumber&gt;</w:t>
      </w:r>
    </w:p>
    <w:p w14:paraId="56B37D4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&lt;TtlPrt_DateEnt&gt;2021-01-03&lt;/TtlPrt_DateEnt&gt;</w:t>
      </w:r>
    </w:p>
    <w:p w14:paraId="3ED8F11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TtlPrt</w:t>
      </w:r>
      <w:r w:rsidRPr="00264D5D">
        <w:rPr>
          <w:rFonts w:cs="Courier New"/>
          <w:sz w:val="20"/>
          <w:lang w:val="ru-RU"/>
        </w:rPr>
        <w:t>_</w:t>
      </w:r>
      <w:r w:rsidRPr="00264D5D">
        <w:rPr>
          <w:rFonts w:cs="Courier New"/>
          <w:sz w:val="20"/>
        </w:rPr>
        <w:t>UBP</w:t>
      </w:r>
      <w:r w:rsidRPr="00264D5D">
        <w:rPr>
          <w:rFonts w:cs="Courier New"/>
          <w:sz w:val="20"/>
          <w:lang w:val="ru-RU"/>
        </w:rPr>
        <w:t>&gt;</w:t>
      </w:r>
    </w:p>
    <w:p w14:paraId="23A5EE5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Cd</w:t>
      </w:r>
      <w:r w:rsidRPr="00264D5D">
        <w:rPr>
          <w:rFonts w:cs="Courier New"/>
          <w:sz w:val="20"/>
          <w:lang w:val="ru-RU"/>
        </w:rPr>
        <w:t>&gt;28119006&lt;/</w:t>
      </w:r>
      <w:r w:rsidRPr="00264D5D">
        <w:rPr>
          <w:rFonts w:cs="Courier New"/>
          <w:sz w:val="20"/>
        </w:rPr>
        <w:t>Cd</w:t>
      </w:r>
      <w:r w:rsidRPr="00264D5D">
        <w:rPr>
          <w:rFonts w:cs="Courier New"/>
          <w:sz w:val="20"/>
          <w:lang w:val="ru-RU"/>
        </w:rPr>
        <w:t>&gt;</w:t>
      </w:r>
    </w:p>
    <w:p w14:paraId="2FB4C05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lastRenderedPageBreak/>
        <w:tab/>
        <w:t>&lt;</w:t>
      </w:r>
      <w:r w:rsidRPr="00264D5D">
        <w:rPr>
          <w:rFonts w:cs="Courier New"/>
          <w:sz w:val="20"/>
        </w:rPr>
        <w:t>Nm</w:t>
      </w:r>
      <w:r w:rsidRPr="00264D5D">
        <w:rPr>
          <w:rFonts w:cs="Courier New"/>
          <w:sz w:val="20"/>
          <w:lang w:val="ru-RU"/>
        </w:rPr>
        <w:t>&gt;ДЕПАРТАМЕНТ ОБРАЗОВАНИЯ ВЛАДИМИРСКОЙ ОБЛАСТИ&lt;/</w:t>
      </w:r>
      <w:r w:rsidRPr="00264D5D">
        <w:rPr>
          <w:rFonts w:cs="Courier New"/>
          <w:sz w:val="20"/>
        </w:rPr>
        <w:t>Nm</w:t>
      </w:r>
      <w:r w:rsidRPr="00264D5D">
        <w:rPr>
          <w:rFonts w:cs="Courier New"/>
          <w:sz w:val="20"/>
          <w:lang w:val="ru-RU"/>
        </w:rPr>
        <w:t>&gt;</w:t>
      </w:r>
    </w:p>
    <w:p w14:paraId="4444A44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&lt;/TtlPrt_UBP&gt;</w:t>
      </w:r>
    </w:p>
    <w:p w14:paraId="185FE2C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&lt;TtlPrt_NumbLS&gt;03281190060&lt;/TtlPrt_NumbLS&gt;</w:t>
      </w:r>
    </w:p>
    <w:p w14:paraId="318AFC9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TtlPrt</w:t>
      </w:r>
      <w:r w:rsidRPr="00264D5D">
        <w:rPr>
          <w:rFonts w:cs="Courier New"/>
          <w:sz w:val="20"/>
          <w:lang w:val="ru-RU"/>
        </w:rPr>
        <w:t>_</w:t>
      </w:r>
      <w:r w:rsidRPr="00264D5D">
        <w:rPr>
          <w:rFonts w:cs="Courier New"/>
          <w:sz w:val="20"/>
        </w:rPr>
        <w:t>GRBSName</w:t>
      </w:r>
      <w:r w:rsidRPr="00264D5D">
        <w:rPr>
          <w:rFonts w:cs="Courier New"/>
          <w:sz w:val="20"/>
          <w:lang w:val="ru-RU"/>
        </w:rPr>
        <w:t>&gt;ГЛАВНОЕ УПРАВЛЕНИЕ МИНИСТЕРСТВА РОССИЙСКОЙ ФЕДЕРАЦИИ ПО ДЕЛАМ ГРАЖДАНСКОЙ ОБОРОНЫ, ЧРЕЗВЫЧАЙНЫМ СИТУАЦИЯМ И ЛИКВИДАЦИИ ПОСЛЕДСТВИЙ СТИХИЙНЫХ БЕДСТВИЙ ПО БЕЛГОРОДСКОЙ ОБЛАСТИ&lt;/</w:t>
      </w:r>
      <w:r w:rsidRPr="00264D5D">
        <w:rPr>
          <w:rFonts w:cs="Courier New"/>
          <w:sz w:val="20"/>
        </w:rPr>
        <w:t>TtlPrt</w:t>
      </w:r>
      <w:r w:rsidRPr="00264D5D">
        <w:rPr>
          <w:rFonts w:cs="Courier New"/>
          <w:sz w:val="20"/>
          <w:lang w:val="ru-RU"/>
        </w:rPr>
        <w:t>_</w:t>
      </w:r>
      <w:r w:rsidRPr="00264D5D">
        <w:rPr>
          <w:rFonts w:cs="Courier New"/>
          <w:sz w:val="20"/>
        </w:rPr>
        <w:t>GRBSName</w:t>
      </w:r>
      <w:r w:rsidRPr="00264D5D">
        <w:rPr>
          <w:rFonts w:cs="Courier New"/>
          <w:sz w:val="20"/>
          <w:lang w:val="ru-RU"/>
        </w:rPr>
        <w:t>&gt;</w:t>
      </w:r>
    </w:p>
    <w:p w14:paraId="3C0873E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TtlPrt</w:t>
      </w:r>
      <w:r w:rsidRPr="00264D5D">
        <w:rPr>
          <w:rFonts w:cs="Courier New"/>
          <w:sz w:val="20"/>
          <w:lang w:val="ru-RU"/>
        </w:rPr>
        <w:t>_</w:t>
      </w:r>
      <w:r w:rsidRPr="00264D5D">
        <w:rPr>
          <w:rFonts w:cs="Courier New"/>
          <w:sz w:val="20"/>
        </w:rPr>
        <w:t>GRBSCode</w:t>
      </w:r>
      <w:r w:rsidRPr="00264D5D">
        <w:rPr>
          <w:rFonts w:cs="Courier New"/>
          <w:sz w:val="20"/>
          <w:lang w:val="ru-RU"/>
        </w:rPr>
        <w:t>&gt;177&lt;/</w:t>
      </w:r>
      <w:r w:rsidRPr="00264D5D">
        <w:rPr>
          <w:rFonts w:cs="Courier New"/>
          <w:sz w:val="20"/>
        </w:rPr>
        <w:t>TtlPrt</w:t>
      </w:r>
      <w:r w:rsidRPr="00264D5D">
        <w:rPr>
          <w:rFonts w:cs="Courier New"/>
          <w:sz w:val="20"/>
          <w:lang w:val="ru-RU"/>
        </w:rPr>
        <w:t>_</w:t>
      </w:r>
      <w:r w:rsidRPr="00264D5D">
        <w:rPr>
          <w:rFonts w:cs="Courier New"/>
          <w:sz w:val="20"/>
        </w:rPr>
        <w:t>GRBSCode</w:t>
      </w:r>
      <w:r w:rsidRPr="00264D5D">
        <w:rPr>
          <w:rFonts w:cs="Courier New"/>
          <w:sz w:val="20"/>
          <w:lang w:val="ru-RU"/>
        </w:rPr>
        <w:t>&gt;</w:t>
      </w:r>
    </w:p>
    <w:p w14:paraId="2B5389B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TtlPrt</w:t>
      </w:r>
      <w:r w:rsidRPr="00264D5D">
        <w:rPr>
          <w:rFonts w:cs="Courier New"/>
          <w:sz w:val="20"/>
          <w:lang w:val="ru-RU"/>
        </w:rPr>
        <w:t>_</w:t>
      </w:r>
      <w:r w:rsidRPr="00264D5D">
        <w:rPr>
          <w:rFonts w:cs="Courier New"/>
          <w:sz w:val="20"/>
        </w:rPr>
        <w:t>Budget</w:t>
      </w:r>
      <w:r w:rsidRPr="00264D5D">
        <w:rPr>
          <w:rFonts w:cs="Courier New"/>
          <w:sz w:val="20"/>
          <w:lang w:val="ru-RU"/>
        </w:rPr>
        <w:t>&gt;Федеральный бюджет&lt;/</w:t>
      </w:r>
      <w:r w:rsidRPr="00264D5D">
        <w:rPr>
          <w:rFonts w:cs="Courier New"/>
          <w:sz w:val="20"/>
        </w:rPr>
        <w:t>TtlPrt</w:t>
      </w:r>
      <w:r w:rsidRPr="00264D5D">
        <w:rPr>
          <w:rFonts w:cs="Courier New"/>
          <w:sz w:val="20"/>
          <w:lang w:val="ru-RU"/>
        </w:rPr>
        <w:t>_</w:t>
      </w:r>
      <w:r w:rsidRPr="00264D5D">
        <w:rPr>
          <w:rFonts w:cs="Courier New"/>
          <w:sz w:val="20"/>
        </w:rPr>
        <w:t>Budget</w:t>
      </w:r>
      <w:r w:rsidRPr="00264D5D">
        <w:rPr>
          <w:rFonts w:cs="Courier New"/>
          <w:sz w:val="20"/>
          <w:lang w:val="ru-RU"/>
        </w:rPr>
        <w:t>&gt;</w:t>
      </w:r>
    </w:p>
    <w:p w14:paraId="3ED5E8D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TtlPrt</w:t>
      </w:r>
      <w:r w:rsidRPr="00264D5D">
        <w:rPr>
          <w:rFonts w:cs="Courier New"/>
          <w:sz w:val="20"/>
          <w:lang w:val="ru-RU"/>
        </w:rPr>
        <w:t>_</w:t>
      </w:r>
      <w:r w:rsidRPr="00264D5D">
        <w:rPr>
          <w:rFonts w:cs="Courier New"/>
          <w:sz w:val="20"/>
        </w:rPr>
        <w:t>NameFO</w:t>
      </w:r>
      <w:r w:rsidRPr="00264D5D">
        <w:rPr>
          <w:rFonts w:cs="Courier New"/>
          <w:sz w:val="20"/>
          <w:lang w:val="ru-RU"/>
        </w:rPr>
        <w:t>&gt;Министерство финансов Российской Федерации&lt;/</w:t>
      </w:r>
      <w:r w:rsidRPr="00264D5D">
        <w:rPr>
          <w:rFonts w:cs="Courier New"/>
          <w:sz w:val="20"/>
        </w:rPr>
        <w:t>TtlPrt</w:t>
      </w:r>
      <w:r w:rsidRPr="00264D5D">
        <w:rPr>
          <w:rFonts w:cs="Courier New"/>
          <w:sz w:val="20"/>
          <w:lang w:val="ru-RU"/>
        </w:rPr>
        <w:t>_</w:t>
      </w:r>
      <w:r w:rsidRPr="00264D5D">
        <w:rPr>
          <w:rFonts w:cs="Courier New"/>
          <w:sz w:val="20"/>
        </w:rPr>
        <w:t>NameFO</w:t>
      </w:r>
      <w:r w:rsidRPr="00264D5D">
        <w:rPr>
          <w:rFonts w:cs="Courier New"/>
          <w:sz w:val="20"/>
          <w:lang w:val="ru-RU"/>
        </w:rPr>
        <w:t>&gt;</w:t>
      </w:r>
    </w:p>
    <w:p w14:paraId="2F51AFD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TtlPrt</w:t>
      </w:r>
      <w:r w:rsidRPr="00264D5D">
        <w:rPr>
          <w:rFonts w:cs="Courier New"/>
          <w:sz w:val="20"/>
          <w:lang w:val="ru-RU"/>
        </w:rPr>
        <w:t>_</w:t>
      </w:r>
      <w:r w:rsidRPr="00264D5D">
        <w:rPr>
          <w:rFonts w:cs="Courier New"/>
          <w:sz w:val="20"/>
        </w:rPr>
        <w:t>TOFK</w:t>
      </w:r>
      <w:r w:rsidRPr="00264D5D">
        <w:rPr>
          <w:rFonts w:cs="Courier New"/>
          <w:sz w:val="20"/>
          <w:lang w:val="ru-RU"/>
        </w:rPr>
        <w:t>&gt;</w:t>
      </w:r>
    </w:p>
    <w:p w14:paraId="6BD4502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Nm</w:t>
      </w:r>
      <w:r w:rsidRPr="00264D5D">
        <w:rPr>
          <w:rFonts w:cs="Courier New"/>
          <w:sz w:val="20"/>
          <w:lang w:val="ru-RU"/>
        </w:rPr>
        <w:t>&gt;УПРАВЛЕНИЕ ФЕДЕРАЛЬНОГО КАЗНАЧЕЙСТВА ПО ВЛАДИМИРСКОЙ ОБЛАСТИ&lt;/</w:t>
      </w:r>
      <w:r w:rsidRPr="00264D5D">
        <w:rPr>
          <w:rFonts w:cs="Courier New"/>
          <w:sz w:val="20"/>
        </w:rPr>
        <w:t>Nm</w:t>
      </w:r>
      <w:r w:rsidRPr="00264D5D">
        <w:rPr>
          <w:rFonts w:cs="Courier New"/>
          <w:sz w:val="20"/>
          <w:lang w:val="ru-RU"/>
        </w:rPr>
        <w:t>&gt;</w:t>
      </w:r>
    </w:p>
    <w:p w14:paraId="4B13E21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rPr>
        <w:t>&lt;Cd&gt;2800&lt;/Cd&gt;</w:t>
      </w:r>
    </w:p>
    <w:p w14:paraId="54D4E11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&lt;/TtlPrt_TOFK&gt;</w:t>
      </w:r>
    </w:p>
    <w:p w14:paraId="05CD438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&lt;TtlPrt_SECRECY&gt;0&lt;/TtlPrt_SECRECY&gt;</w:t>
      </w:r>
    </w:p>
    <w:p w14:paraId="2EA4165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&lt;TtlPrt_GUIDPrnt&gt;a2e4e9b1-753d-4c55-d382-d46db4ac674c&lt;/TtlPrt_GUIDPrnt&gt;</w:t>
      </w:r>
    </w:p>
    <w:p w14:paraId="67F8E27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&lt;TtlPrt_ParentDocType code="ZV"/&gt;</w:t>
      </w:r>
    </w:p>
    <w:p w14:paraId="5214BC2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&lt;TtlPrt_ParentDocNumber&gt;12243&lt;/TtlPrt_ParentDocNumber&gt;</w:t>
      </w:r>
    </w:p>
    <w:p w14:paraId="00841F7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&lt;TtlPrt_ParentDocDate&gt;2020-08-13&lt;/TtlPrt_ParentDocDate&gt;</w:t>
      </w:r>
    </w:p>
    <w:p w14:paraId="67B790C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&lt;TtlPrt_Note&gt;(Заявка на получение наличных денег) исполнению не подлежит&lt;/TtlPrt_Note&gt;</w:t>
      </w:r>
    </w:p>
    <w:p w14:paraId="083B561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SGN</w:t>
      </w:r>
      <w:r w:rsidRPr="00264D5D">
        <w:rPr>
          <w:rFonts w:cs="Courier New"/>
          <w:sz w:val="20"/>
          <w:lang w:val="ru-RU"/>
        </w:rPr>
        <w:t>_</w:t>
      </w:r>
      <w:r w:rsidRPr="00264D5D">
        <w:rPr>
          <w:rFonts w:cs="Courier New"/>
          <w:sz w:val="20"/>
        </w:rPr>
        <w:t>Hr</w:t>
      </w:r>
      <w:r w:rsidRPr="00264D5D">
        <w:rPr>
          <w:rFonts w:cs="Courier New"/>
          <w:sz w:val="20"/>
          <w:lang w:val="ru-RU"/>
        </w:rPr>
        <w:t>&gt;</w:t>
      </w:r>
    </w:p>
    <w:p w14:paraId="67620C6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Pst</w:t>
      </w:r>
      <w:r w:rsidRPr="00264D5D">
        <w:rPr>
          <w:rFonts w:cs="Courier New"/>
          <w:sz w:val="20"/>
          <w:lang w:val="ru-RU"/>
        </w:rPr>
        <w:t>&gt;Директор&lt;/</w:t>
      </w:r>
      <w:r w:rsidRPr="00264D5D">
        <w:rPr>
          <w:rFonts w:cs="Courier New"/>
          <w:sz w:val="20"/>
        </w:rPr>
        <w:t>Pst</w:t>
      </w:r>
      <w:r w:rsidRPr="00264D5D">
        <w:rPr>
          <w:rFonts w:cs="Courier New"/>
          <w:sz w:val="20"/>
          <w:lang w:val="ru-RU"/>
        </w:rPr>
        <w:t>&gt;</w:t>
      </w:r>
    </w:p>
    <w:p w14:paraId="37822AF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FIO</w:t>
      </w:r>
      <w:r w:rsidRPr="00264D5D">
        <w:rPr>
          <w:rFonts w:cs="Courier New"/>
          <w:sz w:val="20"/>
          <w:lang w:val="ru-RU"/>
        </w:rPr>
        <w:t>&gt;Иванов А.А.&lt;/</w:t>
      </w:r>
      <w:r w:rsidRPr="00264D5D">
        <w:rPr>
          <w:rFonts w:cs="Courier New"/>
          <w:sz w:val="20"/>
        </w:rPr>
        <w:t>FIO</w:t>
      </w:r>
      <w:r w:rsidRPr="00264D5D">
        <w:rPr>
          <w:rFonts w:cs="Courier New"/>
          <w:sz w:val="20"/>
          <w:lang w:val="ru-RU"/>
        </w:rPr>
        <w:t>&gt;</w:t>
      </w:r>
    </w:p>
    <w:p w14:paraId="17B779B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&lt;/SGN_Hr&gt;</w:t>
      </w:r>
    </w:p>
    <w:p w14:paraId="74C4FA2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&lt;SGN_Dt&gt;2021-01-03&lt;/SGN_Dt&gt;</w:t>
      </w:r>
    </w:p>
    <w:p w14:paraId="43BCBAF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&lt;StmInfrmtn_TF&gt;</w:t>
      </w:r>
    </w:p>
    <w:p w14:paraId="3A5DCD6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&lt;GUID&gt;d8bf66bf-1cf1-47f1-a48b-394d18461fe3&lt;/GUID&gt;</w:t>
      </w:r>
    </w:p>
    <w:p w14:paraId="3B9CE3C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&lt;/StmInfrmtn_TF&gt;</w:t>
      </w:r>
    </w:p>
    <w:p w14:paraId="0CDBCF9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szCs w:val="24"/>
        </w:rPr>
      </w:pPr>
      <w:r w:rsidRPr="00264D5D">
        <w:rPr>
          <w:rFonts w:cs="Courier New"/>
          <w:sz w:val="20"/>
        </w:rPr>
        <w:t>&lt;/self:MSC_CANCDOC_REQ&gt;</w:t>
      </w:r>
    </w:p>
    <w:p w14:paraId="67B8B750" w14:textId="77777777" w:rsidR="00AD1F54" w:rsidRPr="00264D5D" w:rsidRDefault="00941227">
      <w:pPr>
        <w:pStyle w:val="31"/>
      </w:pPr>
      <w:bookmarkStart w:id="1161" w:name="_Toc219309562"/>
      <w:r w:rsidRPr="00264D5D">
        <w:t>Пример XML (ЕСМВ)</w:t>
      </w:r>
      <w:bookmarkEnd w:id="1161"/>
    </w:p>
    <w:p w14:paraId="345D6CE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&lt;?xml version="1.0" encoding="UTF-8"?&gt;</w:t>
      </w:r>
    </w:p>
    <w:p w14:paraId="7F26AE0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&lt;soapenv:Envelope xmlns:soapenv="http://schemas.xmlsoap.org/soap/envelope/" xmlns:wsu="http://docs.oasis-open.org/wss/2004/01/oasis-200401-wss-wssecurity-utility-1.0.xsd" xmlns:wsse="http://docs.oasis-open.org/wss/2004/01/oasis-200401-wss-wssecurity-secext-1.0.xsd"&gt;</w:t>
      </w:r>
    </w:p>
    <w:p w14:paraId="09EF4EE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&lt;soapenv:Header xmlns:env="http://schemas.xmlsoap.org/soap/envelope/"&gt;&lt;wsse:Security wsu:Id="Id-sec-f9cb3040b7ca31cd7876d625c632e1aed304"&gt;</w:t>
      </w:r>
    </w:p>
    <w:p w14:paraId="3CB2162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 xmlns="http://www.w3.org/2000/09/xmldsig#" Id="Id-sig-b9199ca934cfa91bcff69e807d7b0dbd26f6"&gt;</w:t>
      </w:r>
    </w:p>
    <w:p w14:paraId="1709DA0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6FFCEC1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&lt;CanonicalizationMethod Algorithm="http://www.w3.org/2001/10/xml-exc-c14n#"/&gt;</w:t>
      </w:r>
    </w:p>
    <w:p w14:paraId="54F93F9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&lt;SignatureMethod Algorithm="http://www.w3.org/2001/04/xmldsig-more#gostr34102001-gostr3411"/&gt;</w:t>
      </w:r>
    </w:p>
    <w:p w14:paraId="790A323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URI="#Id-wssecdata-29cef34e3106063e64fead91c94aeda97ff4" Id="Id-dataref-ea575c0bb2c994b98298d2c77dcd5a7dbaa1"&gt;</w:t>
      </w:r>
    </w:p>
    <w:p w14:paraId="1734589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4E3699B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1FB35ED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3F4B214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40483DD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&lt;DigestValue&gt;4bqC9/3OSJqEHDz00XLzUf29YFcetigx2jr08qUp7fQ=&lt;/DigestValue&gt;</w:t>
      </w:r>
    </w:p>
    <w:p w14:paraId="2E7A336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2112FAB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Type="http://www.w3.org/TR/2002/REC-xmldsig-core-20020212/xmldsig-core-schema.xsd#X509Data" URI="#Id-keyinfo-11712390bc17243d110193ac033f54873ad8" Id="Id-keyinforef-ac3c6eb29c9af1964819db52ec661b26c339"&gt;</w:t>
      </w:r>
    </w:p>
    <w:p w14:paraId="702A1C5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1A8D52B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3AAA7FD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39F7E4C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&lt;DigestMethod Algorithm="http://www.w3.org/2001/04/xmldsig-more#gostr3411"/&gt;</w:t>
      </w:r>
    </w:p>
    <w:p w14:paraId="76116A0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&lt;DigestValue&gt;+0q515JTexjW0go5SdPl7+ydqXUKST91N44lIbXt8Yo=&lt;/DigestValue&gt;</w:t>
      </w:r>
    </w:p>
    <w:p w14:paraId="151E964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5177A03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URI="#Id-sp-4179cfd1e4ba9c0aaed70450fc3c741c9c08" Id="Id-ref-cb8cc265f168034494eca1c25ec74bf9433c"&gt;</w:t>
      </w:r>
    </w:p>
    <w:p w14:paraId="754A654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421D167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70F37E7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48476DA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7746720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&lt;DigestValue&gt;f10/P/MZ5W1AwvdMPGkqpWfYGkK10xUw6SycuQIgFIc=&lt;/DigestValue&gt;</w:t>
      </w:r>
    </w:p>
    <w:p w14:paraId="6490CED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225B910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2DD7969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&lt;SignatureValue&gt;Xg8mlCU46QdjuUgHR/GFI13DKE7tfRDOphsVyNpFnxC/Sa2XnEuGBKeW7azroY19</w:t>
      </w:r>
    </w:p>
    <w:p w14:paraId="42B982B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3u7EHXe4dKfnrJ7k7Eq5+A==&lt;/SignatureValue&gt;</w:t>
      </w:r>
    </w:p>
    <w:p w14:paraId="61D8681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461F253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33E43C9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 xmlns="http://uri.etsi.org/01903/v1.4.1#" Target="Id-sig-b9199ca934cfa91bcff69e807d7b0dbd26f6"&gt;</w:t>
      </w:r>
    </w:p>
    <w:p w14:paraId="55F49BB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 Id="Id-sp-4179cfd1e4ba9c0aaed70450fc3c741c9c08"&gt;</w:t>
      </w:r>
    </w:p>
    <w:p w14:paraId="2406537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&lt;SignedSignatureProperties Id="Id-ssp-408cecc6a155b8a0f2850e81d5f57496bb2b"/&gt;</w:t>
      </w:r>
    </w:p>
    <w:p w14:paraId="21BC8E2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&lt;/SignedProperties&gt;</w:t>
      </w:r>
    </w:p>
    <w:p w14:paraId="59A5BE5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&lt;/QualifyingProperties&gt;</w:t>
      </w:r>
    </w:p>
    <w:p w14:paraId="4684D3F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70C4B74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45B8AF2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CVNlcnZlciBDQTEgMB4GCSqGSIb3DQEJARYRdWNfZmtAcm9za2F6bmEucnUxHDAa</w:t>
      </w:r>
    </w:p>
    <w:p w14:paraId="5924758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BgNVBAgMEzc3INCzLiDQnNC+0YHQutCy0LAxGjAYBggqhQMDgQMBARIMMDA3NzEw</w:t>
      </w:r>
    </w:p>
    <w:p w14:paraId="66BEDB9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NTY4NzYwMRgwFgYFKoUDZAESDTEwNDc3OTcwMTk4MzAxLDAqBgNVBAkMI9GD0LvQ</w:t>
      </w:r>
    </w:p>
    <w:p w14:paraId="42FB3E9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uNGG0LAg0JjQu9GM0LjQvdC60LAsINC00L7QvCA3MRUwEwYDVQQHDAzQnNC+0YHQ</w:t>
      </w:r>
    </w:p>
    <w:p w14:paraId="3B9D280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utCy0LAxCzAJBgNVBAYTAlJVMTgwNgYDVQQKDC/QpNC10LTQtdGA0LDQu9GM0L3Q</w:t>
      </w:r>
    </w:p>
    <w:p w14:paraId="17159A7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vtC1INC60LDQt9C90LDRh9C10LnRgdGC0LLQvjE/MD0GA1UEAww20KPQpiDQpNC1</w:t>
      </w:r>
    </w:p>
    <w:p w14:paraId="32D2AB3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0LTQtdGA0LDQu9GM0L3QvtCz0L4g0LrQsNC30L3QsNGH0LXQudGB0YLQstCwMB4X</w:t>
      </w:r>
    </w:p>
    <w:p w14:paraId="56FFC98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DTE2MDQwNzA4MTExMFoXDTE3MDcwNzA4MTExMFowggITMRYwFAYFKoUDZAMSCzEy</w:t>
      </w:r>
    </w:p>
    <w:p w14:paraId="2DE32AB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MzQ1Njc4OTAxMRgwFgYFKoUDZAESDTAxMjM0NTY3ODkxMjMxGjAYBggqhQMDgQMB</w:t>
      </w:r>
    </w:p>
    <w:p w14:paraId="7EEB87A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ARIMMDAxMjM0NTY3ODkwMSYwJAYJKoZIhvcNAQkBFhduLm5hZ292aXRzeW5AaW5m</w:t>
      </w:r>
    </w:p>
    <w:p w14:paraId="2CC0CAB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b3NlYy5ydTELMAkGA1UEBhMCUlUxHDAaBgNVBAgMEzc3INCzLiDQnNC+0YHQutCy</w:t>
      </w:r>
    </w:p>
    <w:p w14:paraId="7B2DCAC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0LAxFTATBgNVBAcMDNCc0L7RgdC60LLQsDE4MDYGA1UECgwv0KTQtdC00LXRgNCw</w:t>
      </w:r>
    </w:p>
    <w:p w14:paraId="26C967F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0LvRjNC90L7QtSDQutCw0LfQvdCw0YfQtdC50YHRgtCy0L4xNDAyBgNVBAsMK9GC</w:t>
      </w:r>
    </w:p>
    <w:p w14:paraId="17A6851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0LXRgdGC0L7QstC+0LUg0L/QvtC00YDQsNC30LTQtdC70LXQvdC40LUxHDAaBgNV</w:t>
      </w:r>
    </w:p>
    <w:p w14:paraId="6A4D723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BCoME2PQtdGA0YLQuNGE0LjQutCw0YIxGTAXBgNVBAQMENCi0LXRgdGC0L7QstGL</w:t>
      </w:r>
    </w:p>
    <w:p w14:paraId="3823892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0LkxPTA7BgNVBAwMNNCi0LXRgdGC0L7QstGL0Lkg0YHQtdGA0YLQuNGE0LjQutCw</w:t>
      </w:r>
    </w:p>
    <w:p w14:paraId="4651DA4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0YIg0L/QvtC00L/QuNGB0LgxQTA/BgkqhkiG9w0BCQIMMklOTlw9MDEyMzQ1Njc4</w:t>
      </w:r>
    </w:p>
    <w:p w14:paraId="4D300E0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OS9LUFBcPTEyMzQ1Njc4OS9PR1JOXD0wMTIzNDU2Nzg5MTIzMS4wLAYDVQQDDCXQ</w:t>
      </w:r>
    </w:p>
    <w:p w14:paraId="4797889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otC10YHRgtC+0LLRi9C5INGB0LXRgNGC0LjRhNC40LrQsNGCMGMwHAYGKoUDAgIT</w:t>
      </w:r>
    </w:p>
    <w:p w14:paraId="1B5F3B4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MBIGByqFAwICJAAGByqFAwICHgEDQwAEQM/mE38gcSmh2U183WL3aPaP3tJu0vTq</w:t>
      </w:r>
    </w:p>
    <w:p w14:paraId="2F72F94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CndMDcb72IGcv8nO7QkaqnFwXrkt6zScdQlQgUX78ct0+jNJa7ZIdLGjggRJMIIE</w:t>
      </w:r>
    </w:p>
    <w:p w14:paraId="68D0E4E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RTAMBgNVHRMBAf8EAjAAMB0GA1UdIAQWMBQwCAYGKoUDZHEBMAgGBiqFA2RxAjBN</w:t>
      </w:r>
    </w:p>
    <w:p w14:paraId="30E9D41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BgUqhQNkbwREDELQmtGA0LjQv9GC0L7Qn9GA0L4gQ1NQICjQstC10YDRgdC40Y8g</w:t>
      </w:r>
    </w:p>
    <w:p w14:paraId="157A91A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My42KSAo0LjRgdC/0L7Qu9C90LXQvdC40LUgMikwggFhBgUqhQNkcASCAVYwggFS</w:t>
      </w:r>
    </w:p>
    <w:p w14:paraId="1A33AEC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DEQi0JrRgNC40L/RgtC+0J/RgNC+IENTUCIgKNCy0LXRgNGB0LjRjyAzLjYpICjQ</w:t>
      </w:r>
    </w:p>
    <w:p w14:paraId="4BC5F29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uNGB0L/QvtC70L3QtdC90LjQtSAyKQxoItCf0YDQvtCz0YDQsNC80LzQvdC+LdCw</w:t>
      </w:r>
    </w:p>
    <w:p w14:paraId="03F7ADC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0L/Qv9Cw0YDQsNGC0L3Ri9C5INC60L7QvNC/0LvQtdC60YEgItCu0L3QuNGB0LXR</w:t>
      </w:r>
    </w:p>
    <w:p w14:paraId="4FD32E0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gNGCLdCT0J7QodCiIi4g0JLQtdGA0YHQuNGPIDIuMSIMT9Ch0LXRgNGC0LjRhNC4</w:t>
      </w:r>
    </w:p>
    <w:p w14:paraId="7399578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0LrQsNGCINGB0L7QvtGC0LLQtdGC0YHRgtCy0LjRjyDihJYg0KHQpC8xMjQtMjcz</w:t>
      </w:r>
    </w:p>
    <w:p w14:paraId="5CBF841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OCDQvtGCIDAxLjA3LjIwMTUMT9Ch0LXRgNGC0LjRhNC40LrQsNGCINGB0L7QvtGC</w:t>
      </w:r>
    </w:p>
    <w:p w14:paraId="3A3C8E6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0LLQtdGC0YHRgtCy0LjRjyDihJYg0KHQpC8xMjgtMjE3NSDQvtGCIDIwLjA2LjIw</w:t>
      </w:r>
    </w:p>
    <w:p w14:paraId="402ECF0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MTMwDgYDVR0PAQH/BAQDAgTwMBMGA1UdJQQMMAoGCCsGAQUFBwMDMCsGA1UdEAQk</w:t>
      </w:r>
    </w:p>
    <w:p w14:paraId="5EC9AE7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MCKADzIwMTYwNDA3MDgwNDI4WoEPMjAxNzA3MDcwODA0MjhaMIIBjwYDVR0jBIIB</w:t>
      </w:r>
    </w:p>
    <w:p w14:paraId="7A37D4E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hjCCAYKAFJ5xDg/atAEoXz/iy49lFZcCR4yroYIBZaSCAWEwggFdMRgwFgYJKoZI</w:t>
      </w:r>
    </w:p>
    <w:p w14:paraId="4AEFF73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hvcNAQkCEwlTZXJ2ZXIgQ0ExIDAeBgkqhkiG9w0BCQEWEXVjX2ZrQHJvc2them5h</w:t>
      </w:r>
    </w:p>
    <w:p w14:paraId="72ECBE1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LnJ1MRwwGgYDVQQIDBM3NyDQsy4g0JzQvtGB0LrQstCwMRowGAYIKoUDA4EDAQES</w:t>
      </w:r>
    </w:p>
    <w:p w14:paraId="7F457DE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DDAwNzcxMDU2ODc2MDEYMBYGBSqFA2QBEg0xMDQ3Nzk3MDE5ODMwMSwwKgYDVQQJ</w:t>
      </w:r>
    </w:p>
    <w:p w14:paraId="27FAEE9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DCPRg9C70LjRhtCwINCY0LvRjNC40L3QutCwLCDQtNC+0LwgNzEVMBMGA1UEBwwM</w:t>
      </w:r>
    </w:p>
    <w:p w14:paraId="609FE63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0JzQvtGB0LrQstCwMQswCQYDVQQGEwJSVTE4MDYGA1UECgwv0KTQtdC00LXRgNCw</w:t>
      </w:r>
    </w:p>
    <w:p w14:paraId="714F407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0LvRjNC90L7QtSDQutCw0LfQvdCw0YfQtdC50YHRgtCy0L4xPzA9BgNVBAMMNtCj</w:t>
      </w:r>
    </w:p>
    <w:p w14:paraId="086809F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0KYg0KTQtdC00LXRgNCw0LvRjNC90L7Qs9C+INC60LDQt9C90LDRh9C10LnRgdGC</w:t>
      </w:r>
    </w:p>
    <w:p w14:paraId="1A5222C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0LLQsIIBATBeBgNVHR8EVzBVMCmgJ6AlhiNodHRwOi8vY3JsLnJvc2them5hLnJ1</w:t>
      </w:r>
    </w:p>
    <w:p w14:paraId="5C0C863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L2NybC9mazAxLmNybDAooCagJIYiaHR0cDovL2NybC5mc2ZrLmxvY2FsL2NybC9m</w:t>
      </w:r>
    </w:p>
    <w:p w14:paraId="678654C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azAxLmNybDAdBgNVHQ4EFgQUt0m7wwTPyJQ+5TDMkq5Z0WnD5vQwCAYGKoUDAgID</w:t>
      </w:r>
    </w:p>
    <w:p w14:paraId="276F643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A0EAReUQeQpqERyFF5XRWG8RnguKCWvPIQOt26PZmVTccxOXVHwZyI0rqdcQ2i4L</w:t>
      </w:r>
    </w:p>
    <w:p w14:paraId="7764202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p87xs4bqOAO1BwhmKL/TsoC4pA==&lt;/wsse:BinarySecurityToken&gt;&lt;/wsse:Security&gt;&lt;/soapenv:Header&gt;</w:t>
      </w:r>
    </w:p>
    <w:p w14:paraId="5731EB9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&lt;soapenv:Body xmlns:env="http://schemas.xmlsoap.org/soap/envelope/" wsu:Id="Id-wssecdata-29cef34e3106063e64fead91c94aeda97ff4"&gt;</w:t>
      </w:r>
    </w:p>
    <w:p w14:paraId="3127793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&lt;transferDocumentRequest xmlns:typ="http://www.roskazna.ru/eb/services/transferDocumentService/types" xmlns="http://www.roskazna.ru/eb/services/transferDocumentService/types" versionId="1.0"&gt;</w:t>
      </w:r>
    </w:p>
    <w:p w14:paraId="5260F9E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&lt;typ:header&gt;</w:t>
      </w:r>
    </w:p>
    <w:p w14:paraId="6D60207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&lt;typ:packageId&gt;e8bf66bf-9cf1-47f1-a48b-394d18467fe3&lt;/typ:packageId&gt;</w:t>
      </w:r>
    </w:p>
    <w:p w14:paraId="1BCA06E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&lt;typ:senderSystemId&gt;PFHD&lt;/typ:senderSystemId&gt;</w:t>
      </w:r>
    </w:p>
    <w:p w14:paraId="307813C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&lt;typ:targetSystemId&gt;EXP&lt;/typ:targetSystemId&gt;</w:t>
      </w:r>
    </w:p>
    <w:p w14:paraId="099A974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&lt;typ:documentType&gt;MSC_CANCDOC_REQ&lt;/typ:documentType&gt;</w:t>
      </w:r>
    </w:p>
    <w:p w14:paraId="0AAB23B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&lt;typ:documentGuid&gt;a2e4e9b1-753d-4e55-d111-a46db4ac956a&lt;/typ:documentGuid&gt;</w:t>
      </w:r>
    </w:p>
    <w:p w14:paraId="6284F20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&lt;typ:creationDateTime&gt;2021-01-03T16:46:07.689+04:00&lt;/typ:creationDateTime&gt;</w:t>
      </w:r>
    </w:p>
    <w:p w14:paraId="2146B1C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&lt;typ:params&gt;</w:t>
      </w:r>
    </w:p>
    <w:p w14:paraId="301E8C4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 name="tofkCode" value="3200"/&gt;</w:t>
      </w:r>
    </w:p>
    <w:p w14:paraId="1EF7BAF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 name="versionId" value="2.0"/&gt;</w:t>
      </w:r>
    </w:p>
    <w:p w14:paraId="20CB3F7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&lt;/typ:params&gt;</w:t>
      </w:r>
    </w:p>
    <w:p w14:paraId="304D72A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&lt;/typ:header&gt;</w:t>
      </w:r>
    </w:p>
    <w:p w14:paraId="2633FE4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&lt;typ:document&gt;</w:t>
      </w:r>
    </w:p>
    <w:p w14:paraId="33AFD26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&lt;self:MSC_CANCDOC_REQ xmlns="" metaType="formular" versionID="2.0" xsi:schemaLocation="http://www.roskazna.ru/eb/domain/MSC_CANCDOC_REQ/formular formulars.xsd" xmlns:self="http://www.roskazna.ru/eb/domain/MSC_CANCDOC_REQ/formular" xmlns:xsi="http://www.w3.org/2001/XMLSchema-instance"&gt;</w:t>
      </w:r>
    </w:p>
    <w:p w14:paraId="7B285C2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&lt;TtlPrt_DocNumber&gt;15&lt;/TtlPrt_DocNumber&gt;</w:t>
      </w:r>
    </w:p>
    <w:p w14:paraId="5663A1E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&lt;TtlPrt_DateEnt&gt;2021-01-03&lt;/TtlPrt_DateEnt&gt;</w:t>
      </w:r>
    </w:p>
    <w:p w14:paraId="4747DAA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TtlPrt</w:t>
      </w:r>
      <w:r w:rsidRPr="00264D5D">
        <w:rPr>
          <w:rFonts w:cs="Courier New"/>
          <w:sz w:val="20"/>
          <w:lang w:val="ru-RU"/>
        </w:rPr>
        <w:t>_</w:t>
      </w:r>
      <w:r w:rsidRPr="00264D5D">
        <w:rPr>
          <w:rFonts w:cs="Courier New"/>
          <w:sz w:val="20"/>
        </w:rPr>
        <w:t>UBP</w:t>
      </w:r>
      <w:r w:rsidRPr="00264D5D">
        <w:rPr>
          <w:rFonts w:cs="Courier New"/>
          <w:sz w:val="20"/>
          <w:lang w:val="ru-RU"/>
        </w:rPr>
        <w:t>&gt;</w:t>
      </w:r>
    </w:p>
    <w:p w14:paraId="2A9B7B6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Cd</w:t>
      </w:r>
      <w:r w:rsidRPr="00264D5D">
        <w:rPr>
          <w:rFonts w:cs="Courier New"/>
          <w:sz w:val="20"/>
          <w:lang w:val="ru-RU"/>
        </w:rPr>
        <w:t>&gt;28119006&lt;/</w:t>
      </w:r>
      <w:r w:rsidRPr="00264D5D">
        <w:rPr>
          <w:rFonts w:cs="Courier New"/>
          <w:sz w:val="20"/>
        </w:rPr>
        <w:t>Cd</w:t>
      </w:r>
      <w:r w:rsidRPr="00264D5D">
        <w:rPr>
          <w:rFonts w:cs="Courier New"/>
          <w:sz w:val="20"/>
          <w:lang w:val="ru-RU"/>
        </w:rPr>
        <w:t>&gt;</w:t>
      </w:r>
    </w:p>
    <w:p w14:paraId="29D8FBC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Nm</w:t>
      </w:r>
      <w:r w:rsidRPr="00264D5D">
        <w:rPr>
          <w:rFonts w:cs="Courier New"/>
          <w:sz w:val="20"/>
          <w:lang w:val="ru-RU"/>
        </w:rPr>
        <w:t>&gt;ДЕПАРТАМЕНТ ОБРАЗОВАНИЯ ВЛАДИМИРСКОЙ ОБЛАСТИ&lt;/</w:t>
      </w:r>
      <w:r w:rsidRPr="00264D5D">
        <w:rPr>
          <w:rFonts w:cs="Courier New"/>
          <w:sz w:val="20"/>
        </w:rPr>
        <w:t>Nm</w:t>
      </w:r>
      <w:r w:rsidRPr="00264D5D">
        <w:rPr>
          <w:rFonts w:cs="Courier New"/>
          <w:sz w:val="20"/>
          <w:lang w:val="ru-RU"/>
        </w:rPr>
        <w:t>&gt;</w:t>
      </w:r>
    </w:p>
    <w:p w14:paraId="043EC17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&lt;/TtlPrt_UBP&gt;</w:t>
      </w:r>
    </w:p>
    <w:p w14:paraId="76913F2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&lt;TtlPrt_NumbLS&gt;03281190060&lt;/TtlPrt_NumbLS&gt;</w:t>
      </w:r>
    </w:p>
    <w:p w14:paraId="3D30D99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TtlPrt</w:t>
      </w:r>
      <w:r w:rsidRPr="00264D5D">
        <w:rPr>
          <w:rFonts w:cs="Courier New"/>
          <w:sz w:val="20"/>
          <w:lang w:val="ru-RU"/>
        </w:rPr>
        <w:t>_</w:t>
      </w:r>
      <w:r w:rsidRPr="00264D5D">
        <w:rPr>
          <w:rFonts w:cs="Courier New"/>
          <w:sz w:val="20"/>
        </w:rPr>
        <w:t>GRBSName</w:t>
      </w:r>
      <w:r w:rsidRPr="00264D5D">
        <w:rPr>
          <w:rFonts w:cs="Courier New"/>
          <w:sz w:val="20"/>
          <w:lang w:val="ru-RU"/>
        </w:rPr>
        <w:t>&gt;ГЛАВНОЕ УПРАВЛЕНИЕ МИНИСТЕРСТВА РОССИЙСКОЙ ФЕДЕРАЦИИ ПО ДЕЛАМ ГРАЖДАНСКОЙ ОБОРОНЫ, ЧРЕЗВЫЧАЙНЫМ СИТУАЦИЯМ И ЛИКВИДАЦИИ ПОСЛЕДСТВИЙ СТИХИЙНЫХ БЕДСТВИЙ ПО БЕЛГОРОДСКОЙ ОБЛАСТИ&lt;/</w:t>
      </w:r>
      <w:r w:rsidRPr="00264D5D">
        <w:rPr>
          <w:rFonts w:cs="Courier New"/>
          <w:sz w:val="20"/>
        </w:rPr>
        <w:t>TtlPrt</w:t>
      </w:r>
      <w:r w:rsidRPr="00264D5D">
        <w:rPr>
          <w:rFonts w:cs="Courier New"/>
          <w:sz w:val="20"/>
          <w:lang w:val="ru-RU"/>
        </w:rPr>
        <w:t>_</w:t>
      </w:r>
      <w:r w:rsidRPr="00264D5D">
        <w:rPr>
          <w:rFonts w:cs="Courier New"/>
          <w:sz w:val="20"/>
        </w:rPr>
        <w:t>GRBSName</w:t>
      </w:r>
      <w:r w:rsidRPr="00264D5D">
        <w:rPr>
          <w:rFonts w:cs="Courier New"/>
          <w:sz w:val="20"/>
          <w:lang w:val="ru-RU"/>
        </w:rPr>
        <w:t>&gt;</w:t>
      </w:r>
    </w:p>
    <w:p w14:paraId="1617693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TtlPrt</w:t>
      </w:r>
      <w:r w:rsidRPr="00264D5D">
        <w:rPr>
          <w:rFonts w:cs="Courier New"/>
          <w:sz w:val="20"/>
          <w:lang w:val="ru-RU"/>
        </w:rPr>
        <w:t>_</w:t>
      </w:r>
      <w:r w:rsidRPr="00264D5D">
        <w:rPr>
          <w:rFonts w:cs="Courier New"/>
          <w:sz w:val="20"/>
        </w:rPr>
        <w:t>GRBSCode</w:t>
      </w:r>
      <w:r w:rsidRPr="00264D5D">
        <w:rPr>
          <w:rFonts w:cs="Courier New"/>
          <w:sz w:val="20"/>
          <w:lang w:val="ru-RU"/>
        </w:rPr>
        <w:t>&gt;177&lt;/</w:t>
      </w:r>
      <w:r w:rsidRPr="00264D5D">
        <w:rPr>
          <w:rFonts w:cs="Courier New"/>
          <w:sz w:val="20"/>
        </w:rPr>
        <w:t>TtlPrt</w:t>
      </w:r>
      <w:r w:rsidRPr="00264D5D">
        <w:rPr>
          <w:rFonts w:cs="Courier New"/>
          <w:sz w:val="20"/>
          <w:lang w:val="ru-RU"/>
        </w:rPr>
        <w:t>_</w:t>
      </w:r>
      <w:r w:rsidRPr="00264D5D">
        <w:rPr>
          <w:rFonts w:cs="Courier New"/>
          <w:sz w:val="20"/>
        </w:rPr>
        <w:t>GRBSCode</w:t>
      </w:r>
      <w:r w:rsidRPr="00264D5D">
        <w:rPr>
          <w:rFonts w:cs="Courier New"/>
          <w:sz w:val="20"/>
          <w:lang w:val="ru-RU"/>
        </w:rPr>
        <w:t>&gt;</w:t>
      </w:r>
    </w:p>
    <w:p w14:paraId="1B2C3F2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TtlPrt</w:t>
      </w:r>
      <w:r w:rsidRPr="00264D5D">
        <w:rPr>
          <w:rFonts w:cs="Courier New"/>
          <w:sz w:val="20"/>
          <w:lang w:val="ru-RU"/>
        </w:rPr>
        <w:t>_</w:t>
      </w:r>
      <w:r w:rsidRPr="00264D5D">
        <w:rPr>
          <w:rFonts w:cs="Courier New"/>
          <w:sz w:val="20"/>
        </w:rPr>
        <w:t>Budget</w:t>
      </w:r>
      <w:r w:rsidRPr="00264D5D">
        <w:rPr>
          <w:rFonts w:cs="Courier New"/>
          <w:sz w:val="20"/>
          <w:lang w:val="ru-RU"/>
        </w:rPr>
        <w:t>&gt;Федеральный бюджет&lt;/</w:t>
      </w:r>
      <w:r w:rsidRPr="00264D5D">
        <w:rPr>
          <w:rFonts w:cs="Courier New"/>
          <w:sz w:val="20"/>
        </w:rPr>
        <w:t>TtlPrt</w:t>
      </w:r>
      <w:r w:rsidRPr="00264D5D">
        <w:rPr>
          <w:rFonts w:cs="Courier New"/>
          <w:sz w:val="20"/>
          <w:lang w:val="ru-RU"/>
        </w:rPr>
        <w:t>_</w:t>
      </w:r>
      <w:r w:rsidRPr="00264D5D">
        <w:rPr>
          <w:rFonts w:cs="Courier New"/>
          <w:sz w:val="20"/>
        </w:rPr>
        <w:t>Budget</w:t>
      </w:r>
      <w:r w:rsidRPr="00264D5D">
        <w:rPr>
          <w:rFonts w:cs="Courier New"/>
          <w:sz w:val="20"/>
          <w:lang w:val="ru-RU"/>
        </w:rPr>
        <w:t>&gt;</w:t>
      </w:r>
    </w:p>
    <w:p w14:paraId="0B7F31F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TtlPrt</w:t>
      </w:r>
      <w:r w:rsidRPr="00264D5D">
        <w:rPr>
          <w:rFonts w:cs="Courier New"/>
          <w:sz w:val="20"/>
          <w:lang w:val="ru-RU"/>
        </w:rPr>
        <w:t>_</w:t>
      </w:r>
      <w:r w:rsidRPr="00264D5D">
        <w:rPr>
          <w:rFonts w:cs="Courier New"/>
          <w:sz w:val="20"/>
        </w:rPr>
        <w:t>NameFO</w:t>
      </w:r>
      <w:r w:rsidRPr="00264D5D">
        <w:rPr>
          <w:rFonts w:cs="Courier New"/>
          <w:sz w:val="20"/>
          <w:lang w:val="ru-RU"/>
        </w:rPr>
        <w:t>&gt;Министерство финансов Российской Федерации&lt;/</w:t>
      </w:r>
      <w:r w:rsidRPr="00264D5D">
        <w:rPr>
          <w:rFonts w:cs="Courier New"/>
          <w:sz w:val="20"/>
        </w:rPr>
        <w:t>TtlPrt</w:t>
      </w:r>
      <w:r w:rsidRPr="00264D5D">
        <w:rPr>
          <w:rFonts w:cs="Courier New"/>
          <w:sz w:val="20"/>
          <w:lang w:val="ru-RU"/>
        </w:rPr>
        <w:t>_</w:t>
      </w:r>
      <w:r w:rsidRPr="00264D5D">
        <w:rPr>
          <w:rFonts w:cs="Courier New"/>
          <w:sz w:val="20"/>
        </w:rPr>
        <w:t>NameFO</w:t>
      </w:r>
      <w:r w:rsidRPr="00264D5D">
        <w:rPr>
          <w:rFonts w:cs="Courier New"/>
          <w:sz w:val="20"/>
          <w:lang w:val="ru-RU"/>
        </w:rPr>
        <w:t>&gt;</w:t>
      </w:r>
    </w:p>
    <w:p w14:paraId="29AC2A5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TtlPrt</w:t>
      </w:r>
      <w:r w:rsidRPr="00264D5D">
        <w:rPr>
          <w:rFonts w:cs="Courier New"/>
          <w:sz w:val="20"/>
          <w:lang w:val="ru-RU"/>
        </w:rPr>
        <w:t>_</w:t>
      </w:r>
      <w:r w:rsidRPr="00264D5D">
        <w:rPr>
          <w:rFonts w:cs="Courier New"/>
          <w:sz w:val="20"/>
        </w:rPr>
        <w:t>TOFK</w:t>
      </w:r>
      <w:r w:rsidRPr="00264D5D">
        <w:rPr>
          <w:rFonts w:cs="Courier New"/>
          <w:sz w:val="20"/>
          <w:lang w:val="ru-RU"/>
        </w:rPr>
        <w:t>&gt;</w:t>
      </w:r>
    </w:p>
    <w:p w14:paraId="4CE231F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Nm</w:t>
      </w:r>
      <w:r w:rsidRPr="00264D5D">
        <w:rPr>
          <w:rFonts w:cs="Courier New"/>
          <w:sz w:val="20"/>
          <w:lang w:val="ru-RU"/>
        </w:rPr>
        <w:t>&gt;УПРАВЛЕНИЕ ФЕДЕРАЛЬНОГО КАЗНАЧЕЙСТВА ПО ВЛАДИМИРСКОЙ ОБЛАСТИ&lt;/</w:t>
      </w:r>
      <w:r w:rsidRPr="00264D5D">
        <w:rPr>
          <w:rFonts w:cs="Courier New"/>
          <w:sz w:val="20"/>
        </w:rPr>
        <w:t>Nm</w:t>
      </w:r>
      <w:r w:rsidRPr="00264D5D">
        <w:rPr>
          <w:rFonts w:cs="Courier New"/>
          <w:sz w:val="20"/>
          <w:lang w:val="ru-RU"/>
        </w:rPr>
        <w:t>&gt;</w:t>
      </w:r>
    </w:p>
    <w:p w14:paraId="1CA4889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rPr>
        <w:t>&lt;Cd&gt;2800&lt;/Cd&gt;</w:t>
      </w:r>
    </w:p>
    <w:p w14:paraId="6F18958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&lt;/TtlPrt_TOFK&gt;</w:t>
      </w:r>
    </w:p>
    <w:p w14:paraId="1D2CDD8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&lt;TtlPrt_SECRECY&gt;0&lt;/TtlPrt_SECRECY&gt;</w:t>
      </w:r>
    </w:p>
    <w:p w14:paraId="5D3BE93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&lt;TtlPrt_GUIDPrnt&gt;a2e4e9b1-753d-4c55-d382-d46db4ac674c&lt;/TtlPrt_GUIDPrnt&gt;</w:t>
      </w:r>
    </w:p>
    <w:p w14:paraId="5E70083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&lt;TtlPrt_ParentDocType code="ZV"/&gt;</w:t>
      </w:r>
    </w:p>
    <w:p w14:paraId="0AF879F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&lt;TtlPrt_ParentDocNumber&gt;12243&lt;/TtlPrt_ParentDocNumber&gt;</w:t>
      </w:r>
    </w:p>
    <w:p w14:paraId="796B5A2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&lt;TtlPrt_ParentDocDate&gt;2020-08-13&lt;/TtlPrt_ParentDocDate&gt;</w:t>
      </w:r>
    </w:p>
    <w:p w14:paraId="266EAC8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&lt;TtlPrt_Note&gt;(Заявка на получение наличных денег) исполнению не подлежит&lt;/TtlPrt_Note&gt;</w:t>
      </w:r>
    </w:p>
    <w:p w14:paraId="7EDDF54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SGN</w:t>
      </w:r>
      <w:r w:rsidRPr="00264D5D">
        <w:rPr>
          <w:rFonts w:cs="Courier New"/>
          <w:sz w:val="20"/>
          <w:lang w:val="ru-RU"/>
        </w:rPr>
        <w:t>_</w:t>
      </w:r>
      <w:r w:rsidRPr="00264D5D">
        <w:rPr>
          <w:rFonts w:cs="Courier New"/>
          <w:sz w:val="20"/>
        </w:rPr>
        <w:t>Hr</w:t>
      </w:r>
      <w:r w:rsidRPr="00264D5D">
        <w:rPr>
          <w:rFonts w:cs="Courier New"/>
          <w:sz w:val="20"/>
          <w:lang w:val="ru-RU"/>
        </w:rPr>
        <w:t>&gt;</w:t>
      </w:r>
    </w:p>
    <w:p w14:paraId="2417D27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Pst</w:t>
      </w:r>
      <w:r w:rsidRPr="00264D5D">
        <w:rPr>
          <w:rFonts w:cs="Courier New"/>
          <w:sz w:val="20"/>
          <w:lang w:val="ru-RU"/>
        </w:rPr>
        <w:t>&gt;Директор&lt;/</w:t>
      </w:r>
      <w:r w:rsidRPr="00264D5D">
        <w:rPr>
          <w:rFonts w:cs="Courier New"/>
          <w:sz w:val="20"/>
        </w:rPr>
        <w:t>Pst</w:t>
      </w:r>
      <w:r w:rsidRPr="00264D5D">
        <w:rPr>
          <w:rFonts w:cs="Courier New"/>
          <w:sz w:val="20"/>
          <w:lang w:val="ru-RU"/>
        </w:rPr>
        <w:t>&gt;</w:t>
      </w:r>
    </w:p>
    <w:p w14:paraId="40F26DF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FIO</w:t>
      </w:r>
      <w:r w:rsidRPr="00264D5D">
        <w:rPr>
          <w:rFonts w:cs="Courier New"/>
          <w:sz w:val="20"/>
          <w:lang w:val="ru-RU"/>
        </w:rPr>
        <w:t>&gt;Иванов А.А.&lt;/</w:t>
      </w:r>
      <w:r w:rsidRPr="00264D5D">
        <w:rPr>
          <w:rFonts w:cs="Courier New"/>
          <w:sz w:val="20"/>
        </w:rPr>
        <w:t>FIO</w:t>
      </w:r>
      <w:r w:rsidRPr="00264D5D">
        <w:rPr>
          <w:rFonts w:cs="Courier New"/>
          <w:sz w:val="20"/>
          <w:lang w:val="ru-RU"/>
        </w:rPr>
        <w:t>&gt;</w:t>
      </w:r>
    </w:p>
    <w:p w14:paraId="2F712F7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&lt;/SGN_Hr&gt;</w:t>
      </w:r>
    </w:p>
    <w:p w14:paraId="2436AB7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&lt;SGN_Dt&gt;2021-01-03&lt;/SGN_Dt&gt;</w:t>
      </w:r>
    </w:p>
    <w:p w14:paraId="605BE54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&lt;StmInfrmtn_TF&gt;</w:t>
      </w:r>
    </w:p>
    <w:p w14:paraId="40774C0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&lt;GUID&gt;d8bf66bf-1cf1-47f1-a48b-394d18461fe3&lt;/GUID&gt;</w:t>
      </w:r>
    </w:p>
    <w:p w14:paraId="3BAC78B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&lt;/StmInfrmtn_TF&gt;</w:t>
      </w:r>
    </w:p>
    <w:p w14:paraId="629FEBF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 xmlns="http://www.w3.org/2000/09/xmldsig#" Id="Id-sig-d373256b5942f08343bc8d034aadd7158f61"&gt;</w:t>
      </w:r>
    </w:p>
    <w:p w14:paraId="2C2BE9E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2BB9ED5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&lt;CanonicalizationMethod Algorithm="http://www.w3.org/2001/10/xml-exc-c14n#"/&gt;</w:t>
      </w:r>
    </w:p>
    <w:p w14:paraId="16D3A81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&lt;SignatureMethod Algorithm="http://www.w3.org/2001/04/xmldsig-more#gostr34102001-gostr3411"/&gt;</w:t>
      </w:r>
    </w:p>
    <w:p w14:paraId="50E4EAC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URI="Id-xadesdata-eaf97d94646411e9b78d005056834f23" Id="Id-dataref-dfd24e85a456a1a342553e99c27fd5695cff"&gt;</w:t>
      </w:r>
    </w:p>
    <w:p w14:paraId="79108FE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0B6CFA5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Algorithm="http://www.w3.org/2000/09/xmldsig#enveloped-signature"/&gt;</w:t>
      </w:r>
    </w:p>
    <w:p w14:paraId="6ECDA83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62BB051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3BBE5B4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&lt;DigestValue&gt;tuuoIThRLrpmXrL14i8lPFRl0pwMCiUsBbH5BypOA0I=&lt;/DigestValue&gt;</w:t>
      </w:r>
    </w:p>
    <w:p w14:paraId="10C0A78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49E7E61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&lt;Reference Type="http://www.w3.org/TR/2002/REC-xmldsig-core-20020212/xmldsig-core-schema.xsd#X509Data" URI="#Id-keyinfo-3dfe71fe8d5a7f7591dd337029c400ccf286" Id="Id-keyinforef-9674835ee89ca1067673b6fbb04db381a2a6"&gt;</w:t>
      </w:r>
    </w:p>
    <w:p w14:paraId="607310D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3959038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26EA526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0668F26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0327DB8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&lt;DigestValue&gt;fIKSx5SIme2CRgDvDzflubM+Qqh4IkAWCXPpzXWD/AQ=&lt;/DigestValue&gt;</w:t>
      </w:r>
    </w:p>
    <w:p w14:paraId="2B1D341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1A6427B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&lt;Reference URI="#Id-sp-c353e147090ff61f2f90dcd64635bcf70055" Id="Id-ref-dbee882997a09b88ec14dafcd7da585e2467"&gt;</w:t>
      </w:r>
    </w:p>
    <w:p w14:paraId="0F55057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4BBF08C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7AC0D21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5248E31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513C093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&lt;DigestValue&gt;ffi2NrwgQYkFPoTAefkLKH2wMBSNjwN3zzDBV+mhwQg=&lt;/DigestValue&gt;</w:t>
      </w:r>
    </w:p>
    <w:p w14:paraId="073AA7D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7045148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2530845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&lt;SignatureValue&gt;zolZ5HI+TT6shtnB1YnAZeMq9mcqWLWAZlSR+MuKJXXN2NRZS/zapvyY4rW+I5gM</w:t>
      </w:r>
    </w:p>
    <w:p w14:paraId="5150B6D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py5+uThVv9x8n5TApPOJCg==&lt;/SignatureValue&gt;</w:t>
      </w:r>
    </w:p>
    <w:p w14:paraId="2082744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&lt;KeyInfo Id="Id-keyinfo-3dfe71fe8d5a7f7591dd337029c400ccf286"&gt;</w:t>
      </w:r>
    </w:p>
    <w:p w14:paraId="47B28C8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&lt;X509Data&gt;</w:t>
      </w:r>
    </w:p>
    <w:p w14:paraId="27C6B3C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&lt;X509Certificate&gt;MIIHbzCCBx6gAwIBAgIUCw+9bFynffs/n08sYLaljBr5oXAwCAYGKoUDAgIDMIIB</w:t>
      </w:r>
    </w:p>
    <w:p w14:paraId="0CEB6F6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OTEgMB4GCSqGSIb3DQEJARYRdWNfZmtAcm9za2F6bmEucnUxGTAXBgNVBAgMENCz</w:t>
      </w:r>
    </w:p>
    <w:p w14:paraId="3F1D65E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LiDQnNC+0YHQutCy0LAxGjAYBggqhQMDgQMBARIMMDA3NzEwNTY4NzYwMRgwFgYF</w:t>
      </w:r>
    </w:p>
    <w:p w14:paraId="65DC5F6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KoUDZAESDTEwNDc3OTcwMTk4MzAxLDAqBgNVBAkMI9GD0LvQuNGG0LAg0JjQu9GM</w:t>
      </w:r>
    </w:p>
    <w:p w14:paraId="524513F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0LjQvdC60LAsINC00L7QvCA3MRUwEwYDVQQHDAzQnNC+0YHQutCy0LAxCzAJBgNV</w:t>
      </w:r>
    </w:p>
    <w:p w14:paraId="3F1BB5E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BAYTAlJVMTgwNgYDVQQKDC/QpNC10LTQtdGA0LDQu9GM0L3QvtC1INC60LDQt9C9</w:t>
      </w:r>
    </w:p>
    <w:p w14:paraId="251D801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0LDRh9C10LnRgdGC0LLQvjE4MDYGA1UEAwwv0KTQtdC00LXRgNCw0LvRjNC90L7Q</w:t>
      </w:r>
    </w:p>
    <w:p w14:paraId="77C69AE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tSDQutCw0LfQvdCw0YfQtdC50YHRgtCy0L4wHhcNMTgwNDA1MTMzNDQ3WhcNMTkw</w:t>
      </w:r>
    </w:p>
    <w:p w14:paraId="1932BAB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NzA1MTMzNDQ3WjCCAS0xGjAYBggqhQMDgQMBARIMMDA3NzEwNTY4NzYwMRgwFgYF</w:t>
      </w:r>
    </w:p>
    <w:p w14:paraId="4A31A39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KoUDZAESDTEwNDc3OTcwMTk4MzAxIzAhBgNVBAkMGtGD0LsuINCY0LvRjNC40L3Q</w:t>
      </w:r>
    </w:p>
    <w:p w14:paraId="6D5CEE8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utCwLCDQtC43MR4wHAYJKoZIhvcNAQkBFg83NzdAcm9za2F6bmEucnUxCzAJBgNV</w:t>
      </w:r>
    </w:p>
    <w:p w14:paraId="2136BC3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BAYTAlJVMRgwFgYDVQQIDA/Qsy7QnNC+0YHQutCy0LAxFTATBgNVBAcMDNCc0L7R</w:t>
      </w:r>
    </w:p>
    <w:p w14:paraId="4BDFF68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gdC60LLQsDE4MDYGA1UECgwv0KTQtdC00LXRgNCw0LvRjNC90L7QtSDQutCw0LfQ</w:t>
      </w:r>
    </w:p>
    <w:p w14:paraId="6A0183B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vdCw0YfQtdC50YHRgtCy0L4xODA2BgNVBAMML9Ck0LXQtNC10YDQsNC70YzQvdC+</w:t>
      </w:r>
    </w:p>
    <w:p w14:paraId="5727DCA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0LUg0LrQsNC30L3QsNGH0LXQudGB0YLQstC+MGMwHAYGKoUDAgITMBIGByqFAwIC</w:t>
      </w:r>
    </w:p>
    <w:p w14:paraId="2F49ABB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IwEGByqFAwICHgEDQwAEQDmzpZ5HcFrSdwi3/h6QJ/jU0i6sTgtJqrYL/Tr+gxBg</w:t>
      </w:r>
    </w:p>
    <w:p w14:paraId="384D87A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Ud3B/sLCyhk3sR3aCrZ0K4YlsFHVmbBhDYe62UsOcnOjggQCMIID/jAMBgNVHRMB</w:t>
      </w:r>
    </w:p>
    <w:p w14:paraId="1159513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Af8EAjAAMB0GA1UdIAQWMBQwCAYGKoUDZHEBMAgGBiqFA2RxAjA2BgUqhQNkbwQt</w:t>
      </w:r>
    </w:p>
    <w:p w14:paraId="2A8E162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DCsi0JrRgNC40L/RgtC+0J/RgNC+IENTUCIgKNCy0LXRgNGB0LjRjyA0LjApMIIB</w:t>
      </w:r>
    </w:p>
    <w:p w14:paraId="27F5C31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MQYFKoUDZHAEggEmMIIBIgxEItCa0YDQuNC/0YLQvtCf0YDQviBDU1AiICjQstC1</w:t>
      </w:r>
    </w:p>
    <w:p w14:paraId="1A4953A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0YDRgdC40Y8gMy42KSAo0LjRgdC/0L7Qu9C90LXQvdC40LUgMikMaCLQn9GA0L7Q</w:t>
      </w:r>
    </w:p>
    <w:p w14:paraId="0A1AAD1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s9GA0LDQvNC80L3Qvi3QsNC/0L/QsNGA0LDRgtC90YvQuSDQutC+0LzQv9C70LXQ</w:t>
      </w:r>
    </w:p>
    <w:p w14:paraId="3C6E53F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utGBICLQrtC90LjRgdC10YDRgi3Qk9Ce0KHQoiIuINCS0LXRgNGB0LjRjyAyLjEi</w:t>
      </w:r>
    </w:p>
    <w:p w14:paraId="6F9929E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DB/ihJYgMTQ5LzcvNi01Njkg0L7RgiAyMS4xMi4yMDE3DE/QodC10YDRgtC40YTQ</w:t>
      </w:r>
    </w:p>
    <w:p w14:paraId="61E9CC6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uNC60LDRgiDRgdC+0L7RgtCy0LXRgtGB0YLQstC40Y8g4oSWINCh0KQvMTI4LTI4</w:t>
      </w:r>
    </w:p>
    <w:p w14:paraId="61534F8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Nzgg0L7RgiAyMC4wNi4yMDE2MA4GA1UdDwEB/wQEAwID+DAdBgNVHSUEFjAUBggr</w:t>
      </w:r>
    </w:p>
    <w:p w14:paraId="541ECC2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BgEFBQcDAgYIKwYBBQUHAwMwKwYDVR0QBCQwIoAPMjAxODA0MDUxMzM0NDVagQ8y</w:t>
      </w:r>
    </w:p>
    <w:p w14:paraId="3C8AD36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MDE5MDcwNTEzMzQ0NVowggGFBgNVHSMEggF8MIIBeIAUFlWRplFYxIksa1Fb0oUZ</w:t>
      </w:r>
    </w:p>
    <w:p w14:paraId="34DCEB1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CgFESCKhggFSpIIBTjCCAUoxHjAcBgkqhkiG9w0BCQEWD2RpdEBtaW5zdnlhei5y</w:t>
      </w:r>
    </w:p>
    <w:p w14:paraId="1A338E9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dTELMAkGA1UEBhMCUlUxHDAaBgNVBAgMEzc3INCzLiDQnNC+0YHQutCy0LAxFTAT</w:t>
      </w:r>
    </w:p>
    <w:p w14:paraId="46F1603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BgNVBAcMDNCc0L7RgdC60LLQsDE/MD0GA1UECQw2MTI1Mzc1INCzLiDQnNC+0YHQ</w:t>
      </w:r>
    </w:p>
    <w:p w14:paraId="3505DEE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utCy0LAsINGD0LsuINCi0LLQtdGA0YHQutCw0Y8sINC0LiA3MSwwKgYDVQQKDCPQ</w:t>
      </w:r>
    </w:p>
    <w:p w14:paraId="3D44F61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nNC40L3QutC+0LzRgdCy0Y/Qt9GMINCg0L7RgdGB0LjQuDEYMBYGBSqFA2QBEg0x</w:t>
      </w:r>
    </w:p>
    <w:p w14:paraId="19A2D19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MDQ3NzAyMDI2NzAxMRowGAYIKoUDA4EDAQESDDAwNzcxMDQ3NDM3NTFBMD8GA1UE</w:t>
      </w:r>
    </w:p>
    <w:p w14:paraId="164E540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Aww40JPQvtC70L7QstC90L7QuSDRg9C00L7RgdGC0L7QstC10YDRj9GO0YnQuNC5</w:t>
      </w:r>
    </w:p>
    <w:p w14:paraId="55FAA52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INGG0LXQvdGC0YCCCjas1FUAAAAAAS8wXgYDVR0fBFcwVTApoCegJYYjaHR0cDov</w:t>
      </w:r>
    </w:p>
    <w:p w14:paraId="0B9D9DE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L2NybC5yb3NrYXpuYS5ydS9jcmwvdWNmay5jcmwwKKAmoCSGImh0dHA6Ly9jcmwu</w:t>
      </w:r>
    </w:p>
    <w:p w14:paraId="38BEB81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ZnNmay5sb2NhbC9jcmwvdWNmay5jcmwwHQYDVR0OBBYEFLkvJG7Rfzg6F53wdndv</w:t>
      </w:r>
    </w:p>
    <w:p w14:paraId="07A97E7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NLDQ/i3nMAgGBiqFAwICAwNBAH1LMUVqEV/HRyesHDkB5eBUk6qDOJwnOBHil2Y1</w:t>
      </w:r>
    </w:p>
    <w:p w14:paraId="0C66280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qNiUhWK7AqT93ErNsumpe8dDCswJmvps2nbQA7xwIJjzJjk=&lt;/X509Certificate&gt;</w:t>
      </w:r>
    </w:p>
    <w:p w14:paraId="4619506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&lt;/X509Data&gt;</w:t>
      </w:r>
    </w:p>
    <w:p w14:paraId="542D84E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&lt;/KeyInfo&gt;</w:t>
      </w:r>
    </w:p>
    <w:p w14:paraId="7150B92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40DC1D8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 xmlns="http://uri.etsi.org/01903/v1.4.1#" Target="Id-sig-d373256b5942f08343bc8d034aadd7158f61"&gt;</w:t>
      </w:r>
    </w:p>
    <w:p w14:paraId="5766AB5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 Id="Id-sp-c353e147090ff61f2f90dcd64635bcf70055"&gt;</w:t>
      </w:r>
    </w:p>
    <w:p w14:paraId="18C767B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&lt;SignedSignatureProperties Id="Id-ssp-7fd861712d758e7e3004067202146d020fd2"/&gt;</w:t>
      </w:r>
    </w:p>
    <w:p w14:paraId="34E2CC2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&lt;/SignedProperties&gt;</w:t>
      </w:r>
    </w:p>
    <w:p w14:paraId="7BBE7A2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&lt;/QualifyingProperties&gt;</w:t>
      </w:r>
    </w:p>
    <w:p w14:paraId="5561651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1470EAD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&lt;/Signature&gt;</w:t>
      </w:r>
    </w:p>
    <w:p w14:paraId="4AEF1E9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&lt;/self:MSC_CANCDOC_REQ&gt;</w:t>
      </w:r>
    </w:p>
    <w:p w14:paraId="5276505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&lt;/typ:document&gt;</w:t>
      </w:r>
    </w:p>
    <w:p w14:paraId="1FF400C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&lt;/transferDocumentRequest&gt;</w:t>
      </w:r>
    </w:p>
    <w:p w14:paraId="6ECDB0F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&lt;/soapenv:Body&gt;</w:t>
      </w:r>
    </w:p>
    <w:p w14:paraId="640B178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lang w:val="ru-RU"/>
        </w:rPr>
      </w:pPr>
      <w:r w:rsidRPr="00264D5D">
        <w:rPr>
          <w:rFonts w:cs="Courier New"/>
          <w:sz w:val="20"/>
        </w:rPr>
        <w:t>&lt;/soapenv:Envelope&gt;</w:t>
      </w:r>
    </w:p>
    <w:p w14:paraId="18924C38" w14:textId="77777777" w:rsidR="00AD1F54" w:rsidRPr="00456FAF" w:rsidRDefault="00941227">
      <w:pPr>
        <w:pStyle w:val="22"/>
        <w:rPr>
          <w:highlight w:val="green"/>
          <w:lang w:val="ru-RU"/>
        </w:rPr>
      </w:pPr>
      <w:bookmarkStart w:id="1162" w:name="_Ref46776829"/>
      <w:bookmarkStart w:id="1163" w:name="_Ref46778086"/>
      <w:bookmarkStart w:id="1164" w:name="_Toc219309563"/>
      <w:r w:rsidRPr="00456FAF">
        <w:rPr>
          <w:highlight w:val="green"/>
          <w:lang w:val="ru-RU"/>
        </w:rPr>
        <w:lastRenderedPageBreak/>
        <w:t>Описание документа «Заявка на возврат» (ф. 0531803)</w:t>
      </w:r>
      <w:bookmarkEnd w:id="1162"/>
      <w:bookmarkEnd w:id="1163"/>
      <w:bookmarkEnd w:id="1164"/>
    </w:p>
    <w:p w14:paraId="3F82C055" w14:textId="77777777" w:rsidR="00AD1F54" w:rsidRPr="00456FAF" w:rsidRDefault="00941227">
      <w:pPr>
        <w:pStyle w:val="31"/>
        <w:rPr>
          <w:highlight w:val="green"/>
        </w:rPr>
      </w:pPr>
      <w:bookmarkStart w:id="1165" w:name="_Toc219309564"/>
      <w:r w:rsidRPr="00456FAF">
        <w:rPr>
          <w:highlight w:val="green"/>
        </w:rPr>
        <w:t>Назначение и маршрут документа</w:t>
      </w:r>
      <w:bookmarkEnd w:id="1165"/>
    </w:p>
    <w:p w14:paraId="16195B5E" w14:textId="77777777" w:rsidR="00AD1F54" w:rsidRPr="00264D5D" w:rsidRDefault="00941227">
      <w:pPr>
        <w:pStyle w:val="ASFKNormal"/>
        <w:spacing w:before="60" w:after="120"/>
        <w:contextualSpacing w:val="0"/>
        <w:jc w:val="both"/>
        <w:rPr>
          <w:sz w:val="24"/>
        </w:rPr>
      </w:pPr>
      <w:r w:rsidRPr="00264D5D">
        <w:rPr>
          <w:sz w:val="24"/>
        </w:rPr>
        <w:t>Документ «Заявка на возврат» (ф. 0531803) предоставляется УБП в ТОФК для возвратов средств плательщикам.</w:t>
      </w:r>
    </w:p>
    <w:bookmarkStart w:id="1166" w:name="_Toc86145994"/>
    <w:bookmarkStart w:id="1167" w:name="_Toc86423534"/>
    <w:bookmarkStart w:id="1168" w:name="_Toc86424187"/>
    <w:bookmarkStart w:id="1169" w:name="_Toc86437602"/>
    <w:bookmarkStart w:id="1170" w:name="_Toc87281943"/>
    <w:bookmarkStart w:id="1171" w:name="_Toc87609699"/>
    <w:bookmarkEnd w:id="1166"/>
    <w:bookmarkEnd w:id="1167"/>
    <w:bookmarkEnd w:id="1168"/>
    <w:bookmarkEnd w:id="1169"/>
    <w:bookmarkEnd w:id="1170"/>
    <w:bookmarkEnd w:id="1171"/>
    <w:p w14:paraId="65D2DA7F" w14:textId="4BEF2744" w:rsidR="00AD1F54" w:rsidRPr="00456FAF" w:rsidRDefault="00941227">
      <w:pPr>
        <w:pStyle w:val="GOSTNameTable"/>
        <w:numPr>
          <w:ilvl w:val="0"/>
          <w:numId w:val="2"/>
        </w:numPr>
        <w:tabs>
          <w:tab w:val="num" w:pos="-5245"/>
          <w:tab w:val="left" w:pos="993"/>
        </w:tabs>
        <w:ind w:left="425" w:hanging="357"/>
        <w:rPr>
          <w:highlight w:val="green"/>
        </w:rPr>
      </w:pPr>
      <w:r w:rsidRPr="00456FAF">
        <w:rPr>
          <w:highlight w:val="green"/>
        </w:rPr>
        <w:fldChar w:fldCharType="begin"/>
      </w:r>
      <w:r w:rsidRPr="00456FAF">
        <w:rPr>
          <w:highlight w:val="green"/>
        </w:rPr>
        <w:instrText>SEQ Таблица \* ARABIC</w:instrText>
      </w:r>
      <w:r w:rsidRPr="00456FAF">
        <w:rPr>
          <w:highlight w:val="green"/>
        </w:rPr>
        <w:fldChar w:fldCharType="separate"/>
      </w:r>
      <w:bookmarkStart w:id="1172" w:name="_Toc776483"/>
      <w:bookmarkStart w:id="1173" w:name="_Toc219309147"/>
      <w:r w:rsidR="008D797C">
        <w:rPr>
          <w:noProof/>
          <w:highlight w:val="green"/>
        </w:rPr>
        <w:t>117</w:t>
      </w:r>
      <w:r w:rsidRPr="00456FAF">
        <w:rPr>
          <w:highlight w:val="green"/>
        </w:rPr>
        <w:fldChar w:fldCharType="end"/>
      </w:r>
      <w:r w:rsidRPr="00456FAF">
        <w:rPr>
          <w:rFonts w:eastAsia="Calibri"/>
          <w:szCs w:val="24"/>
          <w:highlight w:val="green"/>
        </w:rPr>
        <w:t xml:space="preserve"> – </w:t>
      </w:r>
      <w:r w:rsidRPr="00456FAF">
        <w:rPr>
          <w:highlight w:val="green"/>
        </w:rPr>
        <w:t>Маршрут документа «Заявка на возврат» (ф. 0531803)</w:t>
      </w:r>
      <w:bookmarkEnd w:id="1172"/>
      <w:bookmarkEnd w:id="1173"/>
    </w:p>
    <w:tbl>
      <w:tblPr>
        <w:tblStyle w:val="GOSTTable"/>
        <w:tblW w:w="5000" w:type="pct"/>
        <w:tblLook w:val="01E0" w:firstRow="1" w:lastRow="1" w:firstColumn="1" w:lastColumn="1" w:noHBand="0" w:noVBand="0"/>
      </w:tblPr>
      <w:tblGrid>
        <w:gridCol w:w="2554"/>
        <w:gridCol w:w="2555"/>
        <w:gridCol w:w="4541"/>
      </w:tblGrid>
      <w:tr w:rsidR="00AD1F54" w:rsidRPr="00264D5D" w14:paraId="205491A0"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323" w:type="pct"/>
          </w:tcPr>
          <w:p w14:paraId="65152090" w14:textId="77777777" w:rsidR="00AD1F54" w:rsidRPr="00264D5D" w:rsidRDefault="00941227">
            <w:pPr>
              <w:pStyle w:val="GOSTTableHead"/>
              <w:rPr>
                <w:szCs w:val="22"/>
              </w:rPr>
            </w:pPr>
            <w:r w:rsidRPr="00264D5D">
              <w:rPr>
                <w:szCs w:val="22"/>
              </w:rPr>
              <w:t>Отправитель</w:t>
            </w:r>
          </w:p>
        </w:tc>
        <w:tc>
          <w:tcPr>
            <w:tcW w:w="1324" w:type="pct"/>
          </w:tcPr>
          <w:p w14:paraId="768F19C3" w14:textId="77777777" w:rsidR="00AD1F54" w:rsidRPr="00264D5D" w:rsidRDefault="00941227">
            <w:pPr>
              <w:pStyle w:val="GOSTTableHead"/>
              <w:rPr>
                <w:szCs w:val="22"/>
              </w:rPr>
            </w:pPr>
            <w:r w:rsidRPr="00264D5D">
              <w:rPr>
                <w:szCs w:val="22"/>
              </w:rPr>
              <w:t>Получатель</w:t>
            </w:r>
          </w:p>
        </w:tc>
        <w:tc>
          <w:tcPr>
            <w:tcW w:w="2353" w:type="pct"/>
          </w:tcPr>
          <w:p w14:paraId="6ADC4BCB" w14:textId="77777777" w:rsidR="00AD1F54" w:rsidRPr="00264D5D" w:rsidRDefault="00941227">
            <w:pPr>
              <w:pStyle w:val="GOSTTableHead"/>
              <w:rPr>
                <w:szCs w:val="22"/>
              </w:rPr>
            </w:pPr>
            <w:r w:rsidRPr="00264D5D">
              <w:rPr>
                <w:szCs w:val="22"/>
              </w:rPr>
              <w:t>Примечание</w:t>
            </w:r>
          </w:p>
        </w:tc>
      </w:tr>
      <w:tr w:rsidR="00AD1F54" w:rsidRPr="00264D5D" w14:paraId="790B99A3" w14:textId="77777777" w:rsidTr="00AD1F54">
        <w:trPr>
          <w:cnfStyle w:val="000000100000" w:firstRow="0" w:lastRow="0" w:firstColumn="0" w:lastColumn="0" w:oddVBand="0" w:evenVBand="0" w:oddHBand="1" w:evenHBand="0" w:firstRowFirstColumn="0" w:firstRowLastColumn="0" w:lastRowFirstColumn="0" w:lastRowLastColumn="0"/>
        </w:trPr>
        <w:tc>
          <w:tcPr>
            <w:tcW w:w="1323" w:type="pct"/>
          </w:tcPr>
          <w:p w14:paraId="676369BC" w14:textId="77777777" w:rsidR="00AD1F54" w:rsidRPr="00264D5D" w:rsidRDefault="00941227">
            <w:pPr>
              <w:pStyle w:val="GOSTTablenorm"/>
              <w:rPr>
                <w:szCs w:val="22"/>
              </w:rPr>
            </w:pPr>
            <w:r w:rsidRPr="00264D5D">
              <w:rPr>
                <w:szCs w:val="22"/>
              </w:rPr>
              <w:t>ПБС (ПФХД)</w:t>
            </w:r>
          </w:p>
        </w:tc>
        <w:tc>
          <w:tcPr>
            <w:tcW w:w="1324" w:type="pct"/>
          </w:tcPr>
          <w:p w14:paraId="6BDC3D7E" w14:textId="77777777" w:rsidR="00AD1F54" w:rsidRPr="00264D5D" w:rsidRDefault="00941227">
            <w:pPr>
              <w:pStyle w:val="GOSTTablenorm"/>
              <w:rPr>
                <w:szCs w:val="22"/>
              </w:rPr>
            </w:pPr>
            <w:r w:rsidRPr="00264D5D">
              <w:rPr>
                <w:szCs w:val="22"/>
              </w:rPr>
              <w:t>ТОФК (ПУР ЭБ)</w:t>
            </w:r>
          </w:p>
        </w:tc>
        <w:tc>
          <w:tcPr>
            <w:tcW w:w="2353" w:type="pct"/>
          </w:tcPr>
          <w:p w14:paraId="7B2FEFB3" w14:textId="77777777" w:rsidR="00AD1F54" w:rsidRPr="00264D5D" w:rsidRDefault="00AD1F54">
            <w:pPr>
              <w:pStyle w:val="GOSTTablenorm"/>
              <w:rPr>
                <w:szCs w:val="22"/>
              </w:rPr>
            </w:pPr>
          </w:p>
        </w:tc>
      </w:tr>
      <w:tr w:rsidR="00B1704D" w:rsidRPr="00264D5D" w14:paraId="279E25F8" w14:textId="77777777" w:rsidTr="00AD1F54">
        <w:trPr>
          <w:cnfStyle w:val="000000010000" w:firstRow="0" w:lastRow="0" w:firstColumn="0" w:lastColumn="0" w:oddVBand="0" w:evenVBand="0" w:oddHBand="0" w:evenHBand="1" w:firstRowFirstColumn="0" w:firstRowLastColumn="0" w:lastRowFirstColumn="0" w:lastRowLastColumn="0"/>
        </w:trPr>
        <w:tc>
          <w:tcPr>
            <w:tcW w:w="1323" w:type="pct"/>
          </w:tcPr>
          <w:p w14:paraId="4D120CE8" w14:textId="77777777" w:rsidR="00B1704D" w:rsidRDefault="00B1704D" w:rsidP="00B1704D">
            <w:pPr>
              <w:pStyle w:val="GOSTTablenorm"/>
              <w:rPr>
                <w:highlight w:val="green"/>
              </w:rPr>
            </w:pPr>
            <w:r>
              <w:rPr>
                <w:highlight w:val="green"/>
              </w:rPr>
              <w:t>ПБС</w:t>
            </w:r>
          </w:p>
        </w:tc>
        <w:tc>
          <w:tcPr>
            <w:tcW w:w="1324" w:type="pct"/>
          </w:tcPr>
          <w:p w14:paraId="48860283" w14:textId="77777777" w:rsidR="00B1704D" w:rsidRDefault="00B1704D" w:rsidP="00B1704D">
            <w:pPr>
              <w:pStyle w:val="GOSTTablenorm"/>
              <w:rPr>
                <w:highlight w:val="green"/>
              </w:rPr>
            </w:pPr>
            <w:r w:rsidRPr="00BC6DE9">
              <w:rPr>
                <w:szCs w:val="22"/>
                <w:highlight w:val="green"/>
              </w:rPr>
              <w:t>ТОФК (ПУР ЭБ)</w:t>
            </w:r>
          </w:p>
        </w:tc>
        <w:tc>
          <w:tcPr>
            <w:tcW w:w="2353" w:type="pct"/>
          </w:tcPr>
          <w:p w14:paraId="581B3A73" w14:textId="77777777" w:rsidR="00B1704D" w:rsidRPr="00264D5D" w:rsidRDefault="00B1704D" w:rsidP="00B1704D">
            <w:pPr>
              <w:pStyle w:val="GOSTTablenorm"/>
              <w:rPr>
                <w:szCs w:val="22"/>
              </w:rPr>
            </w:pPr>
          </w:p>
        </w:tc>
      </w:tr>
      <w:tr w:rsidR="00B1704D" w:rsidRPr="00264D5D" w14:paraId="1B539672" w14:textId="77777777" w:rsidTr="00AD1F54">
        <w:trPr>
          <w:cnfStyle w:val="000000100000" w:firstRow="0" w:lastRow="0" w:firstColumn="0" w:lastColumn="0" w:oddVBand="0" w:evenVBand="0" w:oddHBand="1" w:evenHBand="0" w:firstRowFirstColumn="0" w:firstRowLastColumn="0" w:lastRowFirstColumn="0" w:lastRowLastColumn="0"/>
        </w:trPr>
        <w:tc>
          <w:tcPr>
            <w:tcW w:w="1323" w:type="pct"/>
          </w:tcPr>
          <w:p w14:paraId="79236CEA" w14:textId="77777777" w:rsidR="00B1704D" w:rsidRPr="00264D5D" w:rsidRDefault="00B1704D" w:rsidP="00B1704D">
            <w:pPr>
              <w:pStyle w:val="GOSTTablenorm"/>
              <w:rPr>
                <w:szCs w:val="22"/>
              </w:rPr>
            </w:pPr>
            <w:r w:rsidRPr="00264D5D">
              <w:rPr>
                <w:szCs w:val="22"/>
              </w:rPr>
              <w:t>ГИС ЭС</w:t>
            </w:r>
          </w:p>
        </w:tc>
        <w:tc>
          <w:tcPr>
            <w:tcW w:w="1324" w:type="pct"/>
          </w:tcPr>
          <w:p w14:paraId="5F163455" w14:textId="77777777" w:rsidR="00B1704D" w:rsidRPr="00264D5D" w:rsidRDefault="00B1704D" w:rsidP="00B1704D">
            <w:pPr>
              <w:pStyle w:val="GOSTTablenorm"/>
              <w:rPr>
                <w:szCs w:val="22"/>
              </w:rPr>
            </w:pPr>
            <w:r w:rsidRPr="00264D5D">
              <w:rPr>
                <w:szCs w:val="22"/>
              </w:rPr>
              <w:t>ТОФК (ПУР ЭБ)</w:t>
            </w:r>
          </w:p>
        </w:tc>
        <w:tc>
          <w:tcPr>
            <w:tcW w:w="2353" w:type="pct"/>
          </w:tcPr>
          <w:p w14:paraId="71E28D4C" w14:textId="77777777" w:rsidR="00B1704D" w:rsidRPr="00264D5D" w:rsidRDefault="00B1704D" w:rsidP="00B1704D">
            <w:pPr>
              <w:pStyle w:val="GOSTTablenorm"/>
              <w:rPr>
                <w:szCs w:val="22"/>
              </w:rPr>
            </w:pPr>
          </w:p>
        </w:tc>
      </w:tr>
    </w:tbl>
    <w:p w14:paraId="70BF5460" w14:textId="77777777" w:rsidR="00AD1F54" w:rsidRPr="00264D5D" w:rsidRDefault="00941227">
      <w:pPr>
        <w:pStyle w:val="31"/>
      </w:pPr>
      <w:bookmarkStart w:id="1174" w:name="_Ref524685819"/>
      <w:bookmarkStart w:id="1175" w:name="_Toc776934"/>
      <w:bookmarkStart w:id="1176" w:name="_Toc1469440"/>
      <w:bookmarkStart w:id="1177" w:name="_Toc219309565"/>
      <w:r w:rsidRPr="00264D5D">
        <w:t>Описание комплексного типа «tMSC_ApplRfnd»</w:t>
      </w:r>
      <w:bookmarkEnd w:id="1174"/>
      <w:bookmarkEnd w:id="1175"/>
      <w:bookmarkEnd w:id="1176"/>
      <w:bookmarkEnd w:id="1177"/>
    </w:p>
    <w:bookmarkStart w:id="1178" w:name="_Ref524685903"/>
    <w:p w14:paraId="7714D338" w14:textId="7E529403" w:rsidR="00AD1F54" w:rsidRPr="00264D5D" w:rsidRDefault="00941227">
      <w:pPr>
        <w:pStyle w:val="GOSTNameTable"/>
        <w:numPr>
          <w:ilvl w:val="0"/>
          <w:numId w:val="2"/>
        </w:numPr>
        <w:ind w:left="425" w:hanging="357"/>
        <w:rPr>
          <w:rFonts w:eastAsia="Calibri"/>
        </w:rPr>
      </w:pPr>
      <w:r w:rsidRPr="00264D5D">
        <w:rPr>
          <w:rFonts w:eastAsia="Calibri"/>
        </w:rPr>
        <w:fldChar w:fldCharType="begin"/>
      </w:r>
      <w:r w:rsidRPr="00264D5D">
        <w:rPr>
          <w:rFonts w:eastAsia="Calibri"/>
        </w:rPr>
        <w:instrText xml:space="preserve"> SEQ Таблица \* ARABIC </w:instrText>
      </w:r>
      <w:r w:rsidRPr="00264D5D">
        <w:rPr>
          <w:rFonts w:eastAsia="Calibri"/>
        </w:rPr>
        <w:fldChar w:fldCharType="separate"/>
      </w:r>
      <w:bookmarkStart w:id="1179" w:name="_Ref524685918"/>
      <w:bookmarkStart w:id="1180" w:name="_Toc776484"/>
      <w:bookmarkStart w:id="1181" w:name="_Toc219309148"/>
      <w:r w:rsidR="008D797C">
        <w:rPr>
          <w:rFonts w:eastAsia="Calibri"/>
          <w:noProof/>
        </w:rPr>
        <w:t>118</w:t>
      </w:r>
      <w:bookmarkEnd w:id="1179"/>
      <w:r w:rsidRPr="00264D5D">
        <w:rPr>
          <w:rFonts w:eastAsia="Calibri"/>
        </w:rPr>
        <w:fldChar w:fldCharType="end"/>
      </w:r>
      <w:r w:rsidRPr="00264D5D">
        <w:rPr>
          <w:rFonts w:eastAsia="Calibri"/>
          <w:szCs w:val="24"/>
        </w:rPr>
        <w:t xml:space="preserve"> – </w:t>
      </w:r>
      <w:r w:rsidRPr="00264D5D">
        <w:t>Описание</w:t>
      </w:r>
      <w:r w:rsidRPr="00264D5D">
        <w:rPr>
          <w:rFonts w:eastAsia="Calibri"/>
        </w:rPr>
        <w:t xml:space="preserve"> комплексного типа «</w:t>
      </w:r>
      <w:r w:rsidRPr="00264D5D">
        <w:rPr>
          <w:rFonts w:eastAsia="Calibri"/>
          <w:szCs w:val="24"/>
        </w:rPr>
        <w:t>tMSC_ApplRfnd</w:t>
      </w:r>
      <w:r w:rsidRPr="00264D5D">
        <w:rPr>
          <w:rFonts w:eastAsia="Calibri"/>
        </w:rPr>
        <w:t>»</w:t>
      </w:r>
      <w:bookmarkEnd w:id="1178"/>
      <w:bookmarkEnd w:id="1180"/>
      <w:bookmarkEnd w:id="1181"/>
      <w:r w:rsidRPr="00264D5D">
        <w:rPr>
          <w:rFonts w:eastAsia="Calibri"/>
        </w:rPr>
        <w:t xml:space="preserve"> </w:t>
      </w:r>
    </w:p>
    <w:tbl>
      <w:tblPr>
        <w:tblStyle w:val="GOSTTable"/>
        <w:tblW w:w="5000" w:type="pct"/>
        <w:tblLayout w:type="fixed"/>
        <w:tblLook w:val="04A0" w:firstRow="1" w:lastRow="0" w:firstColumn="1" w:lastColumn="0" w:noHBand="0" w:noVBand="1"/>
      </w:tblPr>
      <w:tblGrid>
        <w:gridCol w:w="1705"/>
        <w:gridCol w:w="1703"/>
        <w:gridCol w:w="567"/>
        <w:gridCol w:w="1135"/>
        <w:gridCol w:w="567"/>
        <w:gridCol w:w="3973"/>
      </w:tblGrid>
      <w:tr w:rsidR="00AD1F54" w:rsidRPr="00264D5D" w14:paraId="61ECE802"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1705" w:type="dxa"/>
          </w:tcPr>
          <w:p w14:paraId="74F7FE5B" w14:textId="77777777" w:rsidR="00AD1F54" w:rsidRPr="00264D5D" w:rsidRDefault="00941227">
            <w:pPr>
              <w:pStyle w:val="GOSTTableHead"/>
            </w:pPr>
            <w:r w:rsidRPr="00264D5D">
              <w:t>Наименование элемента</w:t>
            </w:r>
          </w:p>
        </w:tc>
        <w:tc>
          <w:tcPr>
            <w:tcW w:w="1703" w:type="dxa"/>
          </w:tcPr>
          <w:p w14:paraId="68E5E25E" w14:textId="77777777" w:rsidR="00AD1F54" w:rsidRPr="00264D5D" w:rsidRDefault="00941227">
            <w:pPr>
              <w:pStyle w:val="GOSTTableHead"/>
            </w:pPr>
            <w:r w:rsidRPr="00264D5D">
              <w:t>Сокращенное наименование (код) элемента</w:t>
            </w:r>
          </w:p>
        </w:tc>
        <w:tc>
          <w:tcPr>
            <w:tcW w:w="567" w:type="dxa"/>
          </w:tcPr>
          <w:p w14:paraId="562A0CFC" w14:textId="77777777" w:rsidR="00AD1F54" w:rsidRPr="00264D5D" w:rsidRDefault="00941227">
            <w:pPr>
              <w:pStyle w:val="GOSTTableHead"/>
            </w:pPr>
            <w:r w:rsidRPr="00264D5D">
              <w:t>Тип</w:t>
            </w:r>
          </w:p>
        </w:tc>
        <w:tc>
          <w:tcPr>
            <w:tcW w:w="1135" w:type="dxa"/>
          </w:tcPr>
          <w:p w14:paraId="2640FB69" w14:textId="77777777" w:rsidR="00AD1F54" w:rsidRPr="00264D5D" w:rsidRDefault="00941227">
            <w:pPr>
              <w:pStyle w:val="GOSTTableHead"/>
            </w:pPr>
            <w:r w:rsidRPr="00264D5D">
              <w:t>Формат элемента</w:t>
            </w:r>
          </w:p>
        </w:tc>
        <w:tc>
          <w:tcPr>
            <w:tcW w:w="567" w:type="dxa"/>
          </w:tcPr>
          <w:p w14:paraId="25F9B926" w14:textId="77777777" w:rsidR="00AD1F54" w:rsidRPr="00264D5D" w:rsidRDefault="00941227">
            <w:pPr>
              <w:pStyle w:val="GOSTTableHead"/>
            </w:pPr>
            <w:r w:rsidRPr="00264D5D">
              <w:t>Обязательность</w:t>
            </w:r>
          </w:p>
        </w:tc>
        <w:tc>
          <w:tcPr>
            <w:tcW w:w="3973" w:type="dxa"/>
          </w:tcPr>
          <w:p w14:paraId="78409DA6" w14:textId="77777777" w:rsidR="00AD1F54" w:rsidRPr="00264D5D" w:rsidRDefault="00941227">
            <w:pPr>
              <w:pStyle w:val="GOSTTableHead"/>
            </w:pPr>
            <w:r w:rsidRPr="00264D5D">
              <w:t>Дополнительная информация</w:t>
            </w:r>
          </w:p>
        </w:tc>
      </w:tr>
      <w:tr w:rsidR="00AD1F54" w:rsidRPr="00264D5D" w14:paraId="2F49B0C3"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705" w:type="dxa"/>
          </w:tcPr>
          <w:p w14:paraId="588D748F" w14:textId="77777777" w:rsidR="00AD1F54" w:rsidRPr="00264D5D" w:rsidRDefault="00941227">
            <w:pPr>
              <w:pStyle w:val="GOSTTablenorm"/>
              <w:rPr>
                <w:szCs w:val="22"/>
              </w:rPr>
            </w:pPr>
            <w:r w:rsidRPr="00264D5D">
              <w:t>Версия структуры формуляра</w:t>
            </w:r>
          </w:p>
        </w:tc>
        <w:tc>
          <w:tcPr>
            <w:tcW w:w="1703" w:type="dxa"/>
          </w:tcPr>
          <w:p w14:paraId="45BD7800" w14:textId="77777777" w:rsidR="00AD1F54" w:rsidRPr="00264D5D" w:rsidRDefault="00941227">
            <w:pPr>
              <w:pStyle w:val="GOSTTablenorm"/>
              <w:rPr>
                <w:szCs w:val="22"/>
              </w:rPr>
            </w:pPr>
            <w:r w:rsidRPr="00264D5D">
              <w:t>versionID</w:t>
            </w:r>
          </w:p>
        </w:tc>
        <w:tc>
          <w:tcPr>
            <w:tcW w:w="567" w:type="dxa"/>
          </w:tcPr>
          <w:p w14:paraId="10B180FA" w14:textId="77777777" w:rsidR="00AD1F54" w:rsidRPr="00264D5D" w:rsidRDefault="00941227">
            <w:pPr>
              <w:pStyle w:val="GOSTTablenorm"/>
              <w:jc w:val="center"/>
              <w:rPr>
                <w:szCs w:val="22"/>
              </w:rPr>
            </w:pPr>
            <w:r w:rsidRPr="00264D5D">
              <w:rPr>
                <w:lang w:val="en-US"/>
              </w:rPr>
              <w:t>А</w:t>
            </w:r>
          </w:p>
        </w:tc>
        <w:tc>
          <w:tcPr>
            <w:tcW w:w="1135" w:type="dxa"/>
          </w:tcPr>
          <w:p w14:paraId="04ADBCA8" w14:textId="77777777" w:rsidR="00AD1F54" w:rsidRPr="00264D5D" w:rsidRDefault="00941227">
            <w:pPr>
              <w:pStyle w:val="GOSTTablenorm"/>
              <w:rPr>
                <w:szCs w:val="22"/>
                <w:lang w:val="en-US"/>
              </w:rPr>
            </w:pPr>
            <w:r w:rsidRPr="00264D5D">
              <w:t>-</w:t>
            </w:r>
          </w:p>
        </w:tc>
        <w:tc>
          <w:tcPr>
            <w:tcW w:w="567" w:type="dxa"/>
          </w:tcPr>
          <w:p w14:paraId="182B3799" w14:textId="77777777" w:rsidR="00AD1F54" w:rsidRPr="00264D5D" w:rsidRDefault="00941227">
            <w:pPr>
              <w:pStyle w:val="GOSTTablenorm"/>
              <w:jc w:val="center"/>
              <w:rPr>
                <w:szCs w:val="22"/>
              </w:rPr>
            </w:pPr>
            <w:r w:rsidRPr="00264D5D">
              <w:t>О</w:t>
            </w:r>
          </w:p>
        </w:tc>
        <w:tc>
          <w:tcPr>
            <w:tcW w:w="3973" w:type="dxa"/>
          </w:tcPr>
          <w:p w14:paraId="4D00B5C2" w14:textId="62F9B9E4" w:rsidR="00AD1F54" w:rsidRPr="00264D5D" w:rsidRDefault="00941227">
            <w:pPr>
              <w:pStyle w:val="GOSTTablenorm"/>
              <w:rPr>
                <w:szCs w:val="22"/>
              </w:rPr>
            </w:pPr>
            <w:r w:rsidRPr="00264D5D">
              <w:rPr>
                <w:szCs w:val="22"/>
                <w:lang w:eastAsia="en-US"/>
              </w:rPr>
              <w:t xml:space="preserve">Указывается значение версии, соответствующее таблице </w:t>
            </w:r>
            <w:r w:rsidRPr="00264D5D">
              <w:rPr>
                <w:szCs w:val="22"/>
              </w:rPr>
              <w:fldChar w:fldCharType="begin"/>
            </w:r>
            <w:r w:rsidRPr="00264D5D">
              <w:rPr>
                <w:szCs w:val="22"/>
                <w:lang w:eastAsia="en-US"/>
              </w:rPr>
              <w:instrText xml:space="preserve"> REF _Ref19881821 \h </w:instrText>
            </w:r>
            <w:r w:rsidRPr="00264D5D">
              <w:rPr>
                <w:szCs w:val="22"/>
              </w:rPr>
              <w:instrText xml:space="preserve"> \* MERGEFORMAT </w:instrText>
            </w:r>
            <w:r w:rsidRPr="00264D5D">
              <w:rPr>
                <w:szCs w:val="22"/>
              </w:rPr>
            </w:r>
            <w:r w:rsidRPr="00264D5D">
              <w:rPr>
                <w:szCs w:val="22"/>
              </w:rPr>
              <w:fldChar w:fldCharType="separate"/>
            </w:r>
            <w:r w:rsidR="008D797C" w:rsidRPr="008D797C">
              <w:rPr>
                <w:rFonts w:eastAsia="Calibri"/>
                <w:szCs w:val="24"/>
              </w:rPr>
              <w:t>2</w:t>
            </w:r>
            <w:r w:rsidRPr="00264D5D">
              <w:rPr>
                <w:szCs w:val="22"/>
              </w:rPr>
              <w:fldChar w:fldCharType="end"/>
            </w:r>
          </w:p>
        </w:tc>
      </w:tr>
      <w:tr w:rsidR="00AD1F54" w:rsidRPr="00264D5D" w14:paraId="46776711"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705" w:type="dxa"/>
          </w:tcPr>
          <w:p w14:paraId="390F0826" w14:textId="77777777" w:rsidR="00AD1F54" w:rsidRPr="00264D5D" w:rsidRDefault="00941227">
            <w:pPr>
              <w:pStyle w:val="GOSTTablenorm"/>
              <w:rPr>
                <w:szCs w:val="22"/>
              </w:rPr>
            </w:pPr>
            <w:r w:rsidRPr="00264D5D">
              <w:rPr>
                <w:szCs w:val="22"/>
              </w:rPr>
              <w:t>Номер заявки</w:t>
            </w:r>
          </w:p>
        </w:tc>
        <w:tc>
          <w:tcPr>
            <w:tcW w:w="1703" w:type="dxa"/>
          </w:tcPr>
          <w:p w14:paraId="10B87572" w14:textId="77777777" w:rsidR="00AD1F54" w:rsidRPr="00264D5D" w:rsidRDefault="00941227">
            <w:pPr>
              <w:pStyle w:val="GOSTTablenorm"/>
              <w:rPr>
                <w:szCs w:val="22"/>
              </w:rPr>
            </w:pPr>
            <w:r w:rsidRPr="00264D5D">
              <w:rPr>
                <w:szCs w:val="22"/>
              </w:rPr>
              <w:t>ZV_ApplctnNm</w:t>
            </w:r>
          </w:p>
        </w:tc>
        <w:tc>
          <w:tcPr>
            <w:tcW w:w="567" w:type="dxa"/>
          </w:tcPr>
          <w:p w14:paraId="0F7E4F83" w14:textId="77777777" w:rsidR="00AD1F54" w:rsidRPr="00264D5D" w:rsidRDefault="00941227">
            <w:pPr>
              <w:pStyle w:val="GOSTTablenorm"/>
              <w:jc w:val="center"/>
              <w:rPr>
                <w:szCs w:val="22"/>
              </w:rPr>
            </w:pPr>
            <w:r w:rsidRPr="00264D5D">
              <w:rPr>
                <w:szCs w:val="22"/>
              </w:rPr>
              <w:t>П</w:t>
            </w:r>
          </w:p>
        </w:tc>
        <w:tc>
          <w:tcPr>
            <w:tcW w:w="1135" w:type="dxa"/>
          </w:tcPr>
          <w:p w14:paraId="7BBD17CC" w14:textId="77777777" w:rsidR="00AD1F54" w:rsidRPr="00264D5D" w:rsidRDefault="00941227">
            <w:pPr>
              <w:pStyle w:val="GOSTTablenorm"/>
              <w:rPr>
                <w:szCs w:val="22"/>
                <w:lang w:val="en-US"/>
              </w:rPr>
            </w:pPr>
            <w:r w:rsidRPr="00264D5D">
              <w:rPr>
                <w:szCs w:val="22"/>
              </w:rPr>
              <w:t>Т</w:t>
            </w:r>
            <w:r w:rsidRPr="00264D5D">
              <w:rPr>
                <w:szCs w:val="22"/>
                <w:lang w:val="en-US"/>
              </w:rPr>
              <w:t>(1-15)</w:t>
            </w:r>
          </w:p>
        </w:tc>
        <w:tc>
          <w:tcPr>
            <w:tcW w:w="567" w:type="dxa"/>
          </w:tcPr>
          <w:p w14:paraId="2046EAB1" w14:textId="77777777" w:rsidR="00AD1F54" w:rsidRPr="00264D5D" w:rsidRDefault="00941227">
            <w:pPr>
              <w:pStyle w:val="GOSTTablenorm"/>
              <w:jc w:val="center"/>
              <w:rPr>
                <w:szCs w:val="22"/>
              </w:rPr>
            </w:pPr>
            <w:r w:rsidRPr="00264D5D">
              <w:rPr>
                <w:szCs w:val="22"/>
              </w:rPr>
              <w:t>О</w:t>
            </w:r>
          </w:p>
        </w:tc>
        <w:tc>
          <w:tcPr>
            <w:tcW w:w="3973" w:type="dxa"/>
          </w:tcPr>
          <w:p w14:paraId="5BA64C42" w14:textId="77777777" w:rsidR="00A10DB3" w:rsidRPr="00264D5D" w:rsidRDefault="00941227">
            <w:pPr>
              <w:pStyle w:val="GOSTTablenorm"/>
              <w:rPr>
                <w:szCs w:val="22"/>
              </w:rPr>
            </w:pPr>
            <w:r w:rsidRPr="00264D5D">
              <w:rPr>
                <w:szCs w:val="22"/>
              </w:rPr>
              <w:t xml:space="preserve">Номер, присвоенный клиентом, оформляющим Заявку. </w:t>
            </w:r>
          </w:p>
          <w:p w14:paraId="15C87684" w14:textId="77777777" w:rsidR="00AD1F54" w:rsidRPr="00264D5D" w:rsidRDefault="00941227">
            <w:pPr>
              <w:pStyle w:val="GOSTTablenorm"/>
              <w:rPr>
                <w:szCs w:val="22"/>
              </w:rPr>
            </w:pPr>
            <w:r w:rsidRPr="00264D5D">
              <w:rPr>
                <w:szCs w:val="22"/>
              </w:rPr>
              <w:t xml:space="preserve">Номер уникален в пределах даты, </w:t>
            </w:r>
            <w:r w:rsidR="00A10DB3" w:rsidRPr="00264D5D">
              <w:rPr>
                <w:szCs w:val="22"/>
              </w:rPr>
              <w:t>за которую сформирован документ</w:t>
            </w:r>
          </w:p>
        </w:tc>
      </w:tr>
      <w:tr w:rsidR="00AD1F54" w:rsidRPr="00264D5D" w14:paraId="2F193CCE"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705" w:type="dxa"/>
          </w:tcPr>
          <w:p w14:paraId="6DB9CB18" w14:textId="77777777" w:rsidR="00AD1F54" w:rsidRPr="00264D5D" w:rsidRDefault="00941227">
            <w:pPr>
              <w:pStyle w:val="GOSTTablenorm"/>
              <w:rPr>
                <w:szCs w:val="22"/>
              </w:rPr>
            </w:pPr>
            <w:r w:rsidRPr="00264D5D">
              <w:rPr>
                <w:szCs w:val="22"/>
              </w:rPr>
              <w:t>Клиент</w:t>
            </w:r>
          </w:p>
        </w:tc>
        <w:tc>
          <w:tcPr>
            <w:tcW w:w="1703" w:type="dxa"/>
          </w:tcPr>
          <w:p w14:paraId="0BB14258" w14:textId="77777777" w:rsidR="00AD1F54" w:rsidRPr="00264D5D" w:rsidRDefault="00941227">
            <w:pPr>
              <w:pStyle w:val="GOSTTablenorm"/>
              <w:rPr>
                <w:szCs w:val="22"/>
              </w:rPr>
            </w:pPr>
            <w:r w:rsidRPr="00264D5D">
              <w:rPr>
                <w:szCs w:val="22"/>
              </w:rPr>
              <w:t>ZV_MSC_Cstmr</w:t>
            </w:r>
          </w:p>
        </w:tc>
        <w:tc>
          <w:tcPr>
            <w:tcW w:w="567" w:type="dxa"/>
          </w:tcPr>
          <w:p w14:paraId="2A4AEFBB" w14:textId="77777777" w:rsidR="00AD1F54" w:rsidRPr="00264D5D" w:rsidRDefault="00941227">
            <w:pPr>
              <w:pStyle w:val="GOSTTablenorm"/>
              <w:jc w:val="center"/>
              <w:rPr>
                <w:szCs w:val="22"/>
              </w:rPr>
            </w:pPr>
            <w:r w:rsidRPr="00264D5D">
              <w:rPr>
                <w:szCs w:val="22"/>
              </w:rPr>
              <w:t>С</w:t>
            </w:r>
          </w:p>
        </w:tc>
        <w:tc>
          <w:tcPr>
            <w:tcW w:w="1135" w:type="dxa"/>
          </w:tcPr>
          <w:p w14:paraId="17DB9088" w14:textId="77777777" w:rsidR="00AD1F54" w:rsidRPr="00264D5D" w:rsidRDefault="00941227">
            <w:pPr>
              <w:pStyle w:val="GOSTTablenorm"/>
              <w:rPr>
                <w:szCs w:val="22"/>
              </w:rPr>
            </w:pPr>
            <w:r w:rsidRPr="00264D5D">
              <w:rPr>
                <w:szCs w:val="22"/>
                <w:lang w:val="en-US"/>
              </w:rPr>
              <w:t>tMSC_Cstmr</w:t>
            </w:r>
            <w:r w:rsidRPr="00264D5D">
              <w:rPr>
                <w:szCs w:val="22"/>
              </w:rPr>
              <w:t>6</w:t>
            </w:r>
          </w:p>
        </w:tc>
        <w:tc>
          <w:tcPr>
            <w:tcW w:w="567" w:type="dxa"/>
          </w:tcPr>
          <w:p w14:paraId="5D4482B4" w14:textId="77777777" w:rsidR="00AD1F54" w:rsidRPr="00264D5D" w:rsidRDefault="00941227">
            <w:pPr>
              <w:pStyle w:val="GOSTTablenorm"/>
              <w:jc w:val="center"/>
              <w:rPr>
                <w:szCs w:val="22"/>
              </w:rPr>
            </w:pPr>
            <w:r w:rsidRPr="00264D5D">
              <w:rPr>
                <w:szCs w:val="22"/>
              </w:rPr>
              <w:t>О</w:t>
            </w:r>
          </w:p>
        </w:tc>
        <w:tc>
          <w:tcPr>
            <w:tcW w:w="3973" w:type="dxa"/>
          </w:tcPr>
          <w:p w14:paraId="2857104E" w14:textId="10B716CD" w:rsidR="00AD1F54" w:rsidRPr="00264D5D" w:rsidRDefault="00941227">
            <w:pPr>
              <w:pStyle w:val="GOSTTablenorm"/>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_Ref466497389 \h  \* MERGEFORMAT </w:instrText>
            </w:r>
            <w:r w:rsidRPr="00264D5D">
              <w:rPr>
                <w:b/>
                <w:szCs w:val="22"/>
              </w:rPr>
            </w:r>
            <w:r w:rsidRPr="00264D5D">
              <w:rPr>
                <w:b/>
                <w:szCs w:val="22"/>
              </w:rPr>
              <w:fldChar w:fldCharType="separate"/>
            </w:r>
            <w:r w:rsidR="008D797C" w:rsidRPr="008D797C">
              <w:rPr>
                <w:rFonts w:eastAsia="Calibri"/>
                <w:b/>
                <w:szCs w:val="22"/>
              </w:rPr>
              <w:t>119</w:t>
            </w:r>
            <w:r w:rsidRPr="00264D5D">
              <w:rPr>
                <w:b/>
                <w:szCs w:val="22"/>
              </w:rPr>
              <w:fldChar w:fldCharType="end"/>
            </w:r>
          </w:p>
        </w:tc>
      </w:tr>
      <w:tr w:rsidR="00AD1F54" w:rsidRPr="00264D5D" w14:paraId="6BF8839B"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705" w:type="dxa"/>
          </w:tcPr>
          <w:p w14:paraId="763E74B6" w14:textId="77777777" w:rsidR="00AD1F54" w:rsidRPr="00264D5D" w:rsidRDefault="00941227">
            <w:pPr>
              <w:pStyle w:val="GOSTTablenorm"/>
              <w:rPr>
                <w:szCs w:val="22"/>
              </w:rPr>
            </w:pPr>
            <w:r w:rsidRPr="00264D5D">
              <w:rPr>
                <w:szCs w:val="22"/>
              </w:rPr>
              <w:t>Организация</w:t>
            </w:r>
          </w:p>
        </w:tc>
        <w:tc>
          <w:tcPr>
            <w:tcW w:w="1703" w:type="dxa"/>
          </w:tcPr>
          <w:p w14:paraId="55106E11" w14:textId="77777777" w:rsidR="00AD1F54" w:rsidRPr="00264D5D" w:rsidRDefault="00941227">
            <w:pPr>
              <w:pStyle w:val="GOSTTablenorm"/>
              <w:rPr>
                <w:szCs w:val="22"/>
              </w:rPr>
            </w:pPr>
            <w:r w:rsidRPr="00264D5D">
              <w:rPr>
                <w:szCs w:val="22"/>
              </w:rPr>
              <w:t>ZV_MSC_Orgnztn</w:t>
            </w:r>
          </w:p>
        </w:tc>
        <w:tc>
          <w:tcPr>
            <w:tcW w:w="567" w:type="dxa"/>
          </w:tcPr>
          <w:p w14:paraId="725B5711" w14:textId="77777777" w:rsidR="00AD1F54" w:rsidRPr="00264D5D" w:rsidRDefault="00941227">
            <w:pPr>
              <w:pStyle w:val="GOSTTablenorm"/>
              <w:jc w:val="center"/>
              <w:rPr>
                <w:szCs w:val="22"/>
              </w:rPr>
            </w:pPr>
            <w:r w:rsidRPr="00264D5D">
              <w:rPr>
                <w:szCs w:val="22"/>
              </w:rPr>
              <w:t>С</w:t>
            </w:r>
          </w:p>
        </w:tc>
        <w:tc>
          <w:tcPr>
            <w:tcW w:w="1135" w:type="dxa"/>
          </w:tcPr>
          <w:p w14:paraId="35281FA9" w14:textId="77777777" w:rsidR="00AD1F54" w:rsidRPr="00264D5D" w:rsidRDefault="00941227">
            <w:pPr>
              <w:pStyle w:val="GOSTTablenorm"/>
              <w:rPr>
                <w:szCs w:val="22"/>
              </w:rPr>
            </w:pPr>
            <w:r w:rsidRPr="00264D5D">
              <w:rPr>
                <w:szCs w:val="22"/>
                <w:lang w:val="en-US"/>
              </w:rPr>
              <w:t>tMSC_Orgnztn</w:t>
            </w:r>
          </w:p>
        </w:tc>
        <w:tc>
          <w:tcPr>
            <w:tcW w:w="567" w:type="dxa"/>
          </w:tcPr>
          <w:p w14:paraId="5F53733B" w14:textId="77777777" w:rsidR="00AD1F54" w:rsidRPr="00264D5D" w:rsidRDefault="00941227">
            <w:pPr>
              <w:pStyle w:val="GOSTTablenorm"/>
              <w:jc w:val="center"/>
              <w:rPr>
                <w:szCs w:val="22"/>
              </w:rPr>
            </w:pPr>
            <w:r w:rsidRPr="00264D5D">
              <w:rPr>
                <w:szCs w:val="22"/>
              </w:rPr>
              <w:t>О</w:t>
            </w:r>
          </w:p>
        </w:tc>
        <w:tc>
          <w:tcPr>
            <w:tcW w:w="3973" w:type="dxa"/>
          </w:tcPr>
          <w:p w14:paraId="1F787A4C" w14:textId="58937F48" w:rsidR="00AD1F54" w:rsidRPr="00264D5D" w:rsidRDefault="00941227">
            <w:pPr>
              <w:pStyle w:val="GOSTTablenorm"/>
              <w:rPr>
                <w:szCs w:val="22"/>
              </w:rPr>
            </w:pPr>
            <w:r w:rsidRPr="00264D5D">
              <w:rPr>
                <w:szCs w:val="22"/>
              </w:rPr>
              <w:t xml:space="preserve">Состав элемента представлен в таблице </w:t>
            </w:r>
            <w:r w:rsidRPr="00264D5D">
              <w:rPr>
                <w:b/>
              </w:rPr>
              <w:fldChar w:fldCharType="begin"/>
            </w:r>
            <w:r w:rsidRPr="00264D5D">
              <w:rPr>
                <w:b/>
              </w:rPr>
              <w:instrText xml:space="preserve"> REF _Ref524685964 \h  \* MERGEFORMAT </w:instrText>
            </w:r>
            <w:r w:rsidRPr="00264D5D">
              <w:rPr>
                <w:b/>
              </w:rPr>
            </w:r>
            <w:r w:rsidRPr="00264D5D">
              <w:rPr>
                <w:b/>
              </w:rPr>
              <w:fldChar w:fldCharType="separate"/>
            </w:r>
            <w:r w:rsidR="008D797C" w:rsidRPr="008D797C">
              <w:rPr>
                <w:b/>
                <w:szCs w:val="22"/>
              </w:rPr>
              <w:t>120</w:t>
            </w:r>
            <w:r w:rsidRPr="00264D5D">
              <w:rPr>
                <w:b/>
              </w:rPr>
              <w:fldChar w:fldCharType="end"/>
            </w:r>
          </w:p>
        </w:tc>
      </w:tr>
      <w:tr w:rsidR="00AD1F54" w:rsidRPr="00264D5D" w14:paraId="3A6BB4FD"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705" w:type="dxa"/>
          </w:tcPr>
          <w:p w14:paraId="37DDD4E2" w14:textId="77777777" w:rsidR="00AD1F54" w:rsidRPr="00264D5D" w:rsidRDefault="00941227">
            <w:pPr>
              <w:pStyle w:val="GOSTTablenorm"/>
              <w:rPr>
                <w:szCs w:val="22"/>
              </w:rPr>
            </w:pPr>
            <w:r w:rsidRPr="00264D5D">
              <w:rPr>
                <w:szCs w:val="22"/>
              </w:rPr>
              <w:t xml:space="preserve">Данные </w:t>
            </w:r>
            <w:r w:rsidRPr="00264D5D">
              <w:t>ГАДБ/Данные ГРБС</w:t>
            </w:r>
          </w:p>
        </w:tc>
        <w:tc>
          <w:tcPr>
            <w:tcW w:w="1703" w:type="dxa"/>
          </w:tcPr>
          <w:p w14:paraId="543CBA71" w14:textId="77777777" w:rsidR="00AD1F54" w:rsidRPr="00264D5D" w:rsidRDefault="00941227">
            <w:pPr>
              <w:pStyle w:val="GOSTTablenorm"/>
              <w:rPr>
                <w:szCs w:val="22"/>
              </w:rPr>
            </w:pPr>
            <w:r w:rsidRPr="00264D5D">
              <w:rPr>
                <w:szCs w:val="22"/>
              </w:rPr>
              <w:t>ZV_MSC_GRBS</w:t>
            </w:r>
          </w:p>
        </w:tc>
        <w:tc>
          <w:tcPr>
            <w:tcW w:w="567" w:type="dxa"/>
          </w:tcPr>
          <w:p w14:paraId="38C960CF" w14:textId="77777777" w:rsidR="00AD1F54" w:rsidRPr="00264D5D" w:rsidRDefault="00941227">
            <w:pPr>
              <w:pStyle w:val="GOSTTablenorm"/>
              <w:jc w:val="center"/>
              <w:rPr>
                <w:szCs w:val="22"/>
              </w:rPr>
            </w:pPr>
            <w:r w:rsidRPr="00264D5D">
              <w:rPr>
                <w:szCs w:val="22"/>
              </w:rPr>
              <w:t>С</w:t>
            </w:r>
          </w:p>
        </w:tc>
        <w:tc>
          <w:tcPr>
            <w:tcW w:w="1135" w:type="dxa"/>
          </w:tcPr>
          <w:p w14:paraId="2093C449" w14:textId="77777777" w:rsidR="00AD1F54" w:rsidRPr="00264D5D" w:rsidRDefault="00941227">
            <w:pPr>
              <w:pStyle w:val="GOSTTablenorm"/>
              <w:rPr>
                <w:szCs w:val="22"/>
              </w:rPr>
            </w:pPr>
            <w:r w:rsidRPr="00264D5D">
              <w:rPr>
                <w:szCs w:val="22"/>
                <w:lang w:val="en-US"/>
              </w:rPr>
              <w:t>tMSC_GRBS</w:t>
            </w:r>
          </w:p>
        </w:tc>
        <w:tc>
          <w:tcPr>
            <w:tcW w:w="567" w:type="dxa"/>
          </w:tcPr>
          <w:p w14:paraId="5FDDEB40" w14:textId="77777777" w:rsidR="00AD1F54" w:rsidRPr="00264D5D" w:rsidRDefault="00941227">
            <w:pPr>
              <w:pStyle w:val="GOSTTablenorm"/>
              <w:jc w:val="center"/>
              <w:rPr>
                <w:szCs w:val="22"/>
              </w:rPr>
            </w:pPr>
            <w:r w:rsidRPr="00264D5D">
              <w:rPr>
                <w:szCs w:val="22"/>
              </w:rPr>
              <w:t>О</w:t>
            </w:r>
          </w:p>
        </w:tc>
        <w:tc>
          <w:tcPr>
            <w:tcW w:w="3973" w:type="dxa"/>
          </w:tcPr>
          <w:p w14:paraId="5F96E212" w14:textId="6104F492" w:rsidR="00AD1F54" w:rsidRPr="00264D5D" w:rsidRDefault="00941227">
            <w:pPr>
              <w:pStyle w:val="GOSTTablenorm"/>
              <w:rPr>
                <w:szCs w:val="22"/>
              </w:rPr>
            </w:pPr>
            <w:r w:rsidRPr="00264D5D">
              <w:rPr>
                <w:szCs w:val="22"/>
              </w:rPr>
              <w:t xml:space="preserve">Состав элемента представлен в таблице </w:t>
            </w:r>
            <w:r w:rsidRPr="00264D5D">
              <w:rPr>
                <w:b/>
              </w:rPr>
              <w:fldChar w:fldCharType="begin"/>
            </w:r>
            <w:r w:rsidRPr="00264D5D">
              <w:rPr>
                <w:b/>
              </w:rPr>
              <w:instrText xml:space="preserve"> REF _Ref524685974 \h  \* MERGEFORMAT </w:instrText>
            </w:r>
            <w:r w:rsidRPr="00264D5D">
              <w:rPr>
                <w:b/>
              </w:rPr>
            </w:r>
            <w:r w:rsidRPr="00264D5D">
              <w:rPr>
                <w:b/>
              </w:rPr>
              <w:fldChar w:fldCharType="separate"/>
            </w:r>
            <w:r w:rsidR="008D797C" w:rsidRPr="008D797C">
              <w:rPr>
                <w:b/>
                <w:szCs w:val="22"/>
              </w:rPr>
              <w:t>123</w:t>
            </w:r>
            <w:r w:rsidRPr="00264D5D">
              <w:rPr>
                <w:b/>
              </w:rPr>
              <w:fldChar w:fldCharType="end"/>
            </w:r>
          </w:p>
        </w:tc>
      </w:tr>
      <w:tr w:rsidR="00AD1F54" w:rsidRPr="00264D5D" w14:paraId="259C4A02"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705" w:type="dxa"/>
          </w:tcPr>
          <w:p w14:paraId="510B2FB1" w14:textId="77777777" w:rsidR="00AD1F54" w:rsidRPr="00264D5D" w:rsidRDefault="00941227">
            <w:pPr>
              <w:pStyle w:val="GOSTTablenorm"/>
              <w:rPr>
                <w:szCs w:val="22"/>
              </w:rPr>
            </w:pPr>
            <w:r w:rsidRPr="00264D5D">
              <w:t>Код объекта по ФАИП (КМИ)</w:t>
            </w:r>
          </w:p>
        </w:tc>
        <w:tc>
          <w:tcPr>
            <w:tcW w:w="1703" w:type="dxa"/>
          </w:tcPr>
          <w:p w14:paraId="353174B7" w14:textId="77777777" w:rsidR="00AD1F54" w:rsidRPr="00264D5D" w:rsidRDefault="00941227">
            <w:pPr>
              <w:pStyle w:val="GOSTTablenorm"/>
              <w:rPr>
                <w:lang w:val="en-US"/>
              </w:rPr>
            </w:pPr>
            <w:r w:rsidRPr="00264D5D">
              <w:rPr>
                <w:lang w:val="en-US"/>
              </w:rPr>
              <w:t>ZV_FAIPObjCd</w:t>
            </w:r>
          </w:p>
        </w:tc>
        <w:tc>
          <w:tcPr>
            <w:tcW w:w="567" w:type="dxa"/>
          </w:tcPr>
          <w:p w14:paraId="45575B09" w14:textId="77777777" w:rsidR="00AD1F54" w:rsidRPr="00264D5D" w:rsidRDefault="00941227">
            <w:pPr>
              <w:pStyle w:val="GOSTTablenorm"/>
              <w:jc w:val="center"/>
            </w:pPr>
            <w:r w:rsidRPr="00264D5D">
              <w:t>П</w:t>
            </w:r>
          </w:p>
        </w:tc>
        <w:tc>
          <w:tcPr>
            <w:tcW w:w="1135" w:type="dxa"/>
          </w:tcPr>
          <w:p w14:paraId="434C37D8" w14:textId="77777777" w:rsidR="00AD1F54" w:rsidRPr="00264D5D" w:rsidRDefault="00941227">
            <w:pPr>
              <w:pStyle w:val="GOSTTablenorm"/>
              <w:rPr>
                <w:lang w:val="en-US"/>
              </w:rPr>
            </w:pPr>
            <w:r w:rsidRPr="00264D5D">
              <w:rPr>
                <w:lang w:val="en-US"/>
              </w:rPr>
              <w:t>Т(1-24)</w:t>
            </w:r>
          </w:p>
        </w:tc>
        <w:tc>
          <w:tcPr>
            <w:tcW w:w="567" w:type="dxa"/>
          </w:tcPr>
          <w:p w14:paraId="5E072F8F" w14:textId="77777777" w:rsidR="00AD1F54" w:rsidRPr="00264D5D" w:rsidRDefault="00941227">
            <w:pPr>
              <w:pStyle w:val="GOSTTablenorm"/>
              <w:jc w:val="center"/>
            </w:pPr>
            <w:r w:rsidRPr="00264D5D">
              <w:t>Н</w:t>
            </w:r>
          </w:p>
        </w:tc>
        <w:tc>
          <w:tcPr>
            <w:tcW w:w="3973" w:type="dxa"/>
          </w:tcPr>
          <w:p w14:paraId="54B875D6" w14:textId="77777777" w:rsidR="00A10DB3" w:rsidRPr="00264D5D" w:rsidRDefault="00941227">
            <w:pPr>
              <w:pStyle w:val="GOSTTablenorm"/>
              <w:rPr>
                <w:szCs w:val="22"/>
              </w:rPr>
            </w:pPr>
            <w:r w:rsidRPr="00264D5D">
              <w:rPr>
                <w:szCs w:val="22"/>
              </w:rPr>
              <w:t>Может указываться уникальный код объекта капитального строительства или объекта недвижимости, код мероприятия по информатизации.</w:t>
            </w:r>
          </w:p>
          <w:p w14:paraId="438D7A5E" w14:textId="77777777" w:rsidR="00AD1F54" w:rsidRPr="00264D5D" w:rsidRDefault="00941227">
            <w:pPr>
              <w:pStyle w:val="GOSTTablenorm"/>
            </w:pPr>
            <w:r w:rsidRPr="00264D5D">
              <w:rPr>
                <w:szCs w:val="22"/>
              </w:rPr>
              <w:t xml:space="preserve">Поле не заполняется при возврате средств во </w:t>
            </w:r>
            <w:r w:rsidR="00A10DB3" w:rsidRPr="00264D5D">
              <w:rPr>
                <w:szCs w:val="22"/>
              </w:rPr>
              <w:t>временном распоряжении</w:t>
            </w:r>
          </w:p>
        </w:tc>
      </w:tr>
      <w:tr w:rsidR="00AD1F54" w:rsidRPr="00264D5D" w14:paraId="0E7E00E1"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705" w:type="dxa"/>
          </w:tcPr>
          <w:p w14:paraId="77CFEABE" w14:textId="77777777" w:rsidR="00AD1F54" w:rsidRPr="00264D5D" w:rsidRDefault="00941227">
            <w:pPr>
              <w:pStyle w:val="GOSTTablenorm"/>
            </w:pPr>
            <w:r w:rsidRPr="00264D5D">
              <w:t>Данные о руководителе</w:t>
            </w:r>
          </w:p>
        </w:tc>
        <w:tc>
          <w:tcPr>
            <w:tcW w:w="1703" w:type="dxa"/>
          </w:tcPr>
          <w:p w14:paraId="7E6D67D1" w14:textId="77777777" w:rsidR="00AD1F54" w:rsidRPr="00264D5D" w:rsidRDefault="00941227">
            <w:pPr>
              <w:pStyle w:val="GOSTTablenorm"/>
              <w:rPr>
                <w:lang w:val="en-US"/>
              </w:rPr>
            </w:pPr>
            <w:r w:rsidRPr="00264D5D">
              <w:t>ZV_MSC_Hd</w:t>
            </w:r>
          </w:p>
        </w:tc>
        <w:tc>
          <w:tcPr>
            <w:tcW w:w="567" w:type="dxa"/>
          </w:tcPr>
          <w:p w14:paraId="4634B33D" w14:textId="77777777" w:rsidR="00AD1F54" w:rsidRPr="00264D5D" w:rsidRDefault="00941227">
            <w:pPr>
              <w:pStyle w:val="GOSTTablenorm"/>
              <w:jc w:val="center"/>
            </w:pPr>
            <w:r w:rsidRPr="00264D5D">
              <w:t>С</w:t>
            </w:r>
          </w:p>
        </w:tc>
        <w:tc>
          <w:tcPr>
            <w:tcW w:w="1135" w:type="dxa"/>
          </w:tcPr>
          <w:p w14:paraId="6ECCFDCE" w14:textId="77777777" w:rsidR="00AD1F54" w:rsidRPr="00264D5D" w:rsidRDefault="00941227">
            <w:pPr>
              <w:pStyle w:val="GOSTTablenorm"/>
            </w:pPr>
            <w:r w:rsidRPr="00264D5D">
              <w:rPr>
                <w:lang w:val="en-US"/>
              </w:rPr>
              <w:t>tSGNNmPs</w:t>
            </w:r>
            <w:r w:rsidRPr="00264D5D">
              <w:t>1</w:t>
            </w:r>
          </w:p>
        </w:tc>
        <w:tc>
          <w:tcPr>
            <w:tcW w:w="567" w:type="dxa"/>
          </w:tcPr>
          <w:p w14:paraId="4931AF16" w14:textId="77777777" w:rsidR="00AD1F54" w:rsidRPr="00264D5D" w:rsidRDefault="00941227">
            <w:pPr>
              <w:pStyle w:val="GOSTTablenorm"/>
              <w:jc w:val="center"/>
            </w:pPr>
            <w:r w:rsidRPr="00264D5D">
              <w:t>Н</w:t>
            </w:r>
          </w:p>
        </w:tc>
        <w:tc>
          <w:tcPr>
            <w:tcW w:w="3973" w:type="dxa"/>
          </w:tcPr>
          <w:p w14:paraId="1216C486" w14:textId="3F20CD05" w:rsidR="00AD1F54" w:rsidRPr="00264D5D" w:rsidRDefault="00941227">
            <w:pPr>
              <w:pStyle w:val="GOSTTablenorm"/>
            </w:pPr>
            <w:r w:rsidRPr="00264D5D">
              <w:t>Состав элемента представлен в таблице</w:t>
            </w:r>
            <w:r w:rsidRPr="00264D5D">
              <w:rPr>
                <w:b/>
              </w:rPr>
              <w:t xml:space="preserve"> </w:t>
            </w:r>
            <w:r w:rsidRPr="00264D5D">
              <w:rPr>
                <w:b/>
              </w:rPr>
              <w:fldChar w:fldCharType="begin"/>
            </w:r>
            <w:r w:rsidRPr="00264D5D">
              <w:rPr>
                <w:b/>
              </w:rPr>
              <w:instrText xml:space="preserve"> REF _Ref531604040 \h  \* MERGEFORMAT </w:instrText>
            </w:r>
            <w:r w:rsidRPr="00264D5D">
              <w:rPr>
                <w:b/>
              </w:rPr>
            </w:r>
            <w:r w:rsidRPr="00264D5D">
              <w:rPr>
                <w:b/>
              </w:rPr>
              <w:fldChar w:fldCharType="separate"/>
            </w:r>
            <w:r w:rsidR="008D797C" w:rsidRPr="008D797C">
              <w:rPr>
                <w:b/>
              </w:rPr>
              <w:t>124</w:t>
            </w:r>
            <w:r w:rsidRPr="00264D5D">
              <w:rPr>
                <w:b/>
              </w:rPr>
              <w:fldChar w:fldCharType="end"/>
            </w:r>
          </w:p>
        </w:tc>
      </w:tr>
      <w:tr w:rsidR="00AD1F54" w:rsidRPr="00264D5D" w14:paraId="5FF1C2D7"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705" w:type="dxa"/>
          </w:tcPr>
          <w:p w14:paraId="12F4740F" w14:textId="77777777" w:rsidR="00AD1F54" w:rsidRPr="00264D5D" w:rsidRDefault="00941227">
            <w:pPr>
              <w:pStyle w:val="GOSTTablenorm"/>
            </w:pPr>
            <w:r w:rsidRPr="00264D5D">
              <w:t xml:space="preserve">Данные о главном </w:t>
            </w:r>
            <w:r w:rsidRPr="00264D5D">
              <w:lastRenderedPageBreak/>
              <w:t>бухгалтере</w:t>
            </w:r>
          </w:p>
        </w:tc>
        <w:tc>
          <w:tcPr>
            <w:tcW w:w="1703" w:type="dxa"/>
          </w:tcPr>
          <w:p w14:paraId="47151F64" w14:textId="77777777" w:rsidR="00AD1F54" w:rsidRPr="00264D5D" w:rsidRDefault="00941227">
            <w:pPr>
              <w:pStyle w:val="GOSTTablenorm"/>
              <w:rPr>
                <w:lang w:val="en-US"/>
              </w:rPr>
            </w:pPr>
            <w:r w:rsidRPr="00264D5D">
              <w:lastRenderedPageBreak/>
              <w:t>ZV_MSC_RspnExctr</w:t>
            </w:r>
          </w:p>
        </w:tc>
        <w:tc>
          <w:tcPr>
            <w:tcW w:w="567" w:type="dxa"/>
          </w:tcPr>
          <w:p w14:paraId="10622529" w14:textId="77777777" w:rsidR="00AD1F54" w:rsidRPr="00264D5D" w:rsidRDefault="00941227">
            <w:pPr>
              <w:pStyle w:val="GOSTTablenorm"/>
              <w:jc w:val="center"/>
            </w:pPr>
            <w:r w:rsidRPr="00264D5D">
              <w:t>С</w:t>
            </w:r>
          </w:p>
        </w:tc>
        <w:tc>
          <w:tcPr>
            <w:tcW w:w="1135" w:type="dxa"/>
          </w:tcPr>
          <w:p w14:paraId="2038439A" w14:textId="77777777" w:rsidR="00AD1F54" w:rsidRPr="00264D5D" w:rsidRDefault="00941227">
            <w:pPr>
              <w:pStyle w:val="GOSTTablenorm"/>
            </w:pPr>
            <w:r w:rsidRPr="00264D5D">
              <w:rPr>
                <w:lang w:val="en-US"/>
              </w:rPr>
              <w:t>tSGNNmPs</w:t>
            </w:r>
            <w:r w:rsidRPr="00264D5D">
              <w:t>1</w:t>
            </w:r>
          </w:p>
        </w:tc>
        <w:tc>
          <w:tcPr>
            <w:tcW w:w="567" w:type="dxa"/>
          </w:tcPr>
          <w:p w14:paraId="29863D25" w14:textId="77777777" w:rsidR="00AD1F54" w:rsidRPr="00264D5D" w:rsidRDefault="00941227">
            <w:pPr>
              <w:pStyle w:val="GOSTTablenorm"/>
              <w:jc w:val="center"/>
            </w:pPr>
            <w:r w:rsidRPr="00264D5D">
              <w:t>Н</w:t>
            </w:r>
          </w:p>
        </w:tc>
        <w:tc>
          <w:tcPr>
            <w:tcW w:w="3973" w:type="dxa"/>
          </w:tcPr>
          <w:p w14:paraId="1DE471E3" w14:textId="1FECAD20" w:rsidR="00AD1F54" w:rsidRPr="00264D5D" w:rsidRDefault="00941227">
            <w:pPr>
              <w:pStyle w:val="GOSTTablenorm"/>
            </w:pPr>
            <w:r w:rsidRPr="00264D5D">
              <w:t xml:space="preserve">Состав элемента представлен в таблице </w:t>
            </w:r>
            <w:r w:rsidRPr="00264D5D">
              <w:rPr>
                <w:b/>
              </w:rPr>
              <w:fldChar w:fldCharType="begin"/>
            </w:r>
            <w:r w:rsidRPr="00264D5D">
              <w:rPr>
                <w:b/>
              </w:rPr>
              <w:instrText xml:space="preserve"> REF _Ref531604040 \h  \* MERGEFORMAT </w:instrText>
            </w:r>
            <w:r w:rsidRPr="00264D5D">
              <w:rPr>
                <w:b/>
              </w:rPr>
            </w:r>
            <w:r w:rsidRPr="00264D5D">
              <w:rPr>
                <w:b/>
              </w:rPr>
              <w:fldChar w:fldCharType="separate"/>
            </w:r>
            <w:r w:rsidR="008D797C" w:rsidRPr="008D797C">
              <w:rPr>
                <w:b/>
              </w:rPr>
              <w:t>124</w:t>
            </w:r>
            <w:r w:rsidRPr="00264D5D">
              <w:rPr>
                <w:b/>
              </w:rPr>
              <w:fldChar w:fldCharType="end"/>
            </w:r>
          </w:p>
        </w:tc>
      </w:tr>
      <w:tr w:rsidR="00AD1F54" w:rsidRPr="00264D5D" w14:paraId="3054CA54"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705" w:type="dxa"/>
          </w:tcPr>
          <w:p w14:paraId="58CCA6D8" w14:textId="77777777" w:rsidR="00AD1F54" w:rsidRPr="00264D5D" w:rsidRDefault="00941227">
            <w:pPr>
              <w:pStyle w:val="GOSTTablenorm"/>
            </w:pPr>
            <w:r w:rsidRPr="00264D5D">
              <w:lastRenderedPageBreak/>
              <w:t>Дата подписания заявки</w:t>
            </w:r>
          </w:p>
        </w:tc>
        <w:tc>
          <w:tcPr>
            <w:tcW w:w="1703" w:type="dxa"/>
          </w:tcPr>
          <w:p w14:paraId="3E298629" w14:textId="77777777" w:rsidR="00AD1F54" w:rsidRPr="00264D5D" w:rsidRDefault="00941227">
            <w:pPr>
              <w:pStyle w:val="GOSTTablenorm"/>
              <w:rPr>
                <w:lang w:val="en-US"/>
              </w:rPr>
            </w:pPr>
            <w:r w:rsidRPr="00264D5D">
              <w:t>ZV_DtfSgn</w:t>
            </w:r>
          </w:p>
        </w:tc>
        <w:tc>
          <w:tcPr>
            <w:tcW w:w="567" w:type="dxa"/>
          </w:tcPr>
          <w:p w14:paraId="5A0C96A1" w14:textId="77777777" w:rsidR="00AD1F54" w:rsidRPr="00264D5D" w:rsidRDefault="00941227">
            <w:pPr>
              <w:pStyle w:val="GOSTTablenorm"/>
              <w:jc w:val="center"/>
            </w:pPr>
            <w:r w:rsidRPr="00264D5D">
              <w:t>П</w:t>
            </w:r>
          </w:p>
        </w:tc>
        <w:tc>
          <w:tcPr>
            <w:tcW w:w="1135" w:type="dxa"/>
          </w:tcPr>
          <w:p w14:paraId="2FFB801F" w14:textId="77777777" w:rsidR="00AD1F54" w:rsidRPr="00264D5D" w:rsidRDefault="00941227">
            <w:pPr>
              <w:pStyle w:val="GOSTTablenorm"/>
              <w:rPr>
                <w:lang w:val="en-US"/>
              </w:rPr>
            </w:pPr>
            <w:r w:rsidRPr="00264D5D">
              <w:rPr>
                <w:szCs w:val="22"/>
                <w:lang w:val="en-US"/>
              </w:rPr>
              <w:t>Date</w:t>
            </w:r>
          </w:p>
        </w:tc>
        <w:tc>
          <w:tcPr>
            <w:tcW w:w="567" w:type="dxa"/>
          </w:tcPr>
          <w:p w14:paraId="5E6EF2BC" w14:textId="77777777" w:rsidR="00AD1F54" w:rsidRPr="00264D5D" w:rsidRDefault="00941227">
            <w:pPr>
              <w:pStyle w:val="GOSTTablenorm"/>
              <w:jc w:val="center"/>
            </w:pPr>
            <w:r w:rsidRPr="00264D5D">
              <w:t>Н</w:t>
            </w:r>
          </w:p>
        </w:tc>
        <w:tc>
          <w:tcPr>
            <w:tcW w:w="3973" w:type="dxa"/>
          </w:tcPr>
          <w:p w14:paraId="61630F74" w14:textId="77777777" w:rsidR="00AD1F54" w:rsidRPr="00264D5D" w:rsidRDefault="00941227">
            <w:pPr>
              <w:pStyle w:val="GOSTTablenorm"/>
            </w:pPr>
            <w:r w:rsidRPr="00264D5D">
              <w:t>Указывается да</w:t>
            </w:r>
            <w:r w:rsidR="00A10DB3" w:rsidRPr="00264D5D">
              <w:t>та подписания заявки на возврат</w:t>
            </w:r>
          </w:p>
        </w:tc>
      </w:tr>
      <w:tr w:rsidR="00AD1F54" w:rsidRPr="00264D5D" w14:paraId="023DE1C5"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705" w:type="dxa"/>
          </w:tcPr>
          <w:p w14:paraId="3FE2D5A7" w14:textId="77777777" w:rsidR="00AD1F54" w:rsidRPr="00264D5D" w:rsidRDefault="00941227">
            <w:pPr>
              <w:pStyle w:val="GOSTTablenorm"/>
            </w:pPr>
            <w:r w:rsidRPr="00264D5D">
              <w:t>Отметка ТОФК</w:t>
            </w:r>
          </w:p>
        </w:tc>
        <w:tc>
          <w:tcPr>
            <w:tcW w:w="1703" w:type="dxa"/>
          </w:tcPr>
          <w:p w14:paraId="7C2B3909" w14:textId="77777777" w:rsidR="00AD1F54" w:rsidRPr="00264D5D" w:rsidRDefault="00941227">
            <w:pPr>
              <w:pStyle w:val="GOSTTablenorm"/>
              <w:rPr>
                <w:lang w:val="en-US"/>
              </w:rPr>
            </w:pPr>
            <w:r w:rsidRPr="00264D5D">
              <w:t>ZV_MSC_MrkOrFK</w:t>
            </w:r>
          </w:p>
        </w:tc>
        <w:tc>
          <w:tcPr>
            <w:tcW w:w="567" w:type="dxa"/>
          </w:tcPr>
          <w:p w14:paraId="21381884" w14:textId="77777777" w:rsidR="00AD1F54" w:rsidRPr="00264D5D" w:rsidRDefault="00941227">
            <w:pPr>
              <w:pStyle w:val="GOSTTablenorm"/>
              <w:jc w:val="center"/>
            </w:pPr>
            <w:r w:rsidRPr="00264D5D">
              <w:t>С</w:t>
            </w:r>
          </w:p>
        </w:tc>
        <w:tc>
          <w:tcPr>
            <w:tcW w:w="1135" w:type="dxa"/>
          </w:tcPr>
          <w:p w14:paraId="00113861" w14:textId="77777777" w:rsidR="00AD1F54" w:rsidRPr="00264D5D" w:rsidRDefault="00941227">
            <w:pPr>
              <w:pStyle w:val="GOSTTablenorm"/>
              <w:rPr>
                <w:lang w:val="en-US"/>
              </w:rPr>
            </w:pPr>
            <w:r w:rsidRPr="00264D5D">
              <w:rPr>
                <w:lang w:val="en-US"/>
              </w:rPr>
              <w:t>tMSC_MrkOrFK</w:t>
            </w:r>
          </w:p>
        </w:tc>
        <w:tc>
          <w:tcPr>
            <w:tcW w:w="567" w:type="dxa"/>
          </w:tcPr>
          <w:p w14:paraId="2FAC8C19" w14:textId="77777777" w:rsidR="00AD1F54" w:rsidRPr="00264D5D" w:rsidRDefault="00941227">
            <w:pPr>
              <w:pStyle w:val="GOSTTablenorm"/>
              <w:jc w:val="center"/>
            </w:pPr>
            <w:r w:rsidRPr="00264D5D">
              <w:t>Н</w:t>
            </w:r>
          </w:p>
        </w:tc>
        <w:tc>
          <w:tcPr>
            <w:tcW w:w="3973" w:type="dxa"/>
          </w:tcPr>
          <w:p w14:paraId="09877108" w14:textId="77777777" w:rsidR="00AD1F54" w:rsidRPr="00264D5D" w:rsidRDefault="00941227">
            <w:pPr>
              <w:pStyle w:val="GOSTTablenorm"/>
            </w:pPr>
            <w:r w:rsidRPr="00264D5D">
              <w:t>Блок заполняется в ТОФК.</w:t>
            </w:r>
          </w:p>
          <w:p w14:paraId="2C07E7C5" w14:textId="77777777" w:rsidR="00AD1F54" w:rsidRPr="00264D5D" w:rsidRDefault="00941227">
            <w:pPr>
              <w:pStyle w:val="GOSTTablenorm"/>
            </w:pPr>
            <w:r w:rsidRPr="00264D5D">
              <w:t>Обязательно для заполнения при принятии Заявки на возврат.</w:t>
            </w:r>
          </w:p>
          <w:p w14:paraId="46533C52" w14:textId="24845FA6" w:rsidR="00AD1F54" w:rsidRPr="00264D5D" w:rsidRDefault="00941227">
            <w:pPr>
              <w:pStyle w:val="GOSTTablenorm"/>
            </w:pPr>
            <w:r w:rsidRPr="00264D5D">
              <w:t xml:space="preserve">Состав элемента представлен в таблице </w:t>
            </w:r>
            <w:r w:rsidRPr="00264D5D">
              <w:rPr>
                <w:b/>
              </w:rPr>
              <w:fldChar w:fldCharType="begin"/>
            </w:r>
            <w:r w:rsidRPr="00264D5D">
              <w:rPr>
                <w:b/>
              </w:rPr>
              <w:instrText xml:space="preserve"> REF _Ref503463077 \h  \* MERGEFORMAT </w:instrText>
            </w:r>
            <w:r w:rsidRPr="00264D5D">
              <w:rPr>
                <w:b/>
              </w:rPr>
            </w:r>
            <w:r w:rsidRPr="00264D5D">
              <w:rPr>
                <w:b/>
              </w:rPr>
              <w:fldChar w:fldCharType="separate"/>
            </w:r>
            <w:r w:rsidR="008D797C" w:rsidRPr="008D797C">
              <w:rPr>
                <w:rFonts w:eastAsia="Calibri"/>
                <w:b/>
              </w:rPr>
              <w:t>125</w:t>
            </w:r>
            <w:r w:rsidRPr="00264D5D">
              <w:rPr>
                <w:b/>
              </w:rPr>
              <w:fldChar w:fldCharType="end"/>
            </w:r>
          </w:p>
        </w:tc>
      </w:tr>
      <w:tr w:rsidR="00AD1F54" w:rsidRPr="00264D5D" w14:paraId="103A3674"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705" w:type="dxa"/>
          </w:tcPr>
          <w:p w14:paraId="1B0AFD17" w14:textId="77777777" w:rsidR="00AD1F54" w:rsidRPr="00264D5D" w:rsidRDefault="00941227">
            <w:pPr>
              <w:pStyle w:val="GOSTTablenorm"/>
            </w:pPr>
            <w:r w:rsidRPr="00264D5D">
              <w:t>Информация о КБК</w:t>
            </w:r>
          </w:p>
        </w:tc>
        <w:tc>
          <w:tcPr>
            <w:tcW w:w="1703" w:type="dxa"/>
          </w:tcPr>
          <w:p w14:paraId="0F9C0984" w14:textId="77777777" w:rsidR="00AD1F54" w:rsidRPr="00264D5D" w:rsidRDefault="00941227">
            <w:pPr>
              <w:pStyle w:val="GOSTTablenorm"/>
            </w:pPr>
            <w:r w:rsidRPr="00264D5D">
              <w:t>ZVDOC_MSC_KBK</w:t>
            </w:r>
          </w:p>
        </w:tc>
        <w:tc>
          <w:tcPr>
            <w:tcW w:w="567" w:type="dxa"/>
          </w:tcPr>
          <w:p w14:paraId="7025D33C" w14:textId="77777777" w:rsidR="00AD1F54" w:rsidRPr="00264D5D" w:rsidRDefault="00941227">
            <w:pPr>
              <w:pStyle w:val="GOSTTablenorm"/>
              <w:jc w:val="center"/>
            </w:pPr>
            <w:r w:rsidRPr="00264D5D">
              <w:t>С</w:t>
            </w:r>
          </w:p>
        </w:tc>
        <w:tc>
          <w:tcPr>
            <w:tcW w:w="1135" w:type="dxa"/>
          </w:tcPr>
          <w:p w14:paraId="76258D2B" w14:textId="77777777" w:rsidR="00AD1F54" w:rsidRPr="00264D5D" w:rsidRDefault="00941227">
            <w:pPr>
              <w:pStyle w:val="GOSTTablenorm"/>
            </w:pPr>
            <w:r w:rsidRPr="00264D5D">
              <w:t>tMSC_KBK31_32</w:t>
            </w:r>
          </w:p>
        </w:tc>
        <w:tc>
          <w:tcPr>
            <w:tcW w:w="567" w:type="dxa"/>
          </w:tcPr>
          <w:p w14:paraId="19A5ABE0" w14:textId="77777777" w:rsidR="00AD1F54" w:rsidRPr="00264D5D" w:rsidRDefault="00941227">
            <w:pPr>
              <w:pStyle w:val="GOSTTablenorm"/>
              <w:jc w:val="center"/>
            </w:pPr>
            <w:r w:rsidRPr="00264D5D">
              <w:t>Н</w:t>
            </w:r>
          </w:p>
        </w:tc>
        <w:tc>
          <w:tcPr>
            <w:tcW w:w="3973" w:type="dxa"/>
          </w:tcPr>
          <w:p w14:paraId="03BF7098" w14:textId="2DA931A3" w:rsidR="00AD1F54" w:rsidRPr="00264D5D" w:rsidRDefault="00941227">
            <w:pPr>
              <w:pStyle w:val="GOSTTablenorm"/>
            </w:pPr>
            <w:r w:rsidRPr="00264D5D">
              <w:t xml:space="preserve">Состав элемента представлен в таблице </w:t>
            </w:r>
            <w:r w:rsidRPr="00264D5D">
              <w:rPr>
                <w:b/>
              </w:rPr>
              <w:fldChar w:fldCharType="begin"/>
            </w:r>
            <w:r w:rsidRPr="00264D5D">
              <w:rPr>
                <w:b/>
              </w:rPr>
              <w:instrText xml:space="preserve"> REF _Ref524686025 \h  \* MERGEFORMAT </w:instrText>
            </w:r>
            <w:r w:rsidRPr="00264D5D">
              <w:rPr>
                <w:b/>
              </w:rPr>
            </w:r>
            <w:r w:rsidRPr="00264D5D">
              <w:rPr>
                <w:b/>
              </w:rPr>
              <w:fldChar w:fldCharType="separate"/>
            </w:r>
            <w:r w:rsidR="008D797C" w:rsidRPr="008D797C">
              <w:rPr>
                <w:b/>
              </w:rPr>
              <w:t>126</w:t>
            </w:r>
            <w:r w:rsidRPr="00264D5D">
              <w:rPr>
                <w:b/>
              </w:rPr>
              <w:fldChar w:fldCharType="end"/>
            </w:r>
            <w:r w:rsidRPr="00264D5D">
              <w:t>.</w:t>
            </w:r>
          </w:p>
          <w:p w14:paraId="624F1DE1" w14:textId="77777777" w:rsidR="00AD1F54" w:rsidRPr="00264D5D" w:rsidRDefault="00941227">
            <w:pPr>
              <w:pStyle w:val="GOSTTablenorm"/>
            </w:pPr>
            <w:r w:rsidRPr="00264D5D">
              <w:t>Не заполняется при возврате ср</w:t>
            </w:r>
            <w:r w:rsidR="00A10DB3" w:rsidRPr="00264D5D">
              <w:t>едств во временном распоряжении</w:t>
            </w:r>
          </w:p>
        </w:tc>
      </w:tr>
      <w:tr w:rsidR="00AD1F54" w:rsidRPr="00264D5D" w14:paraId="2DAF4EF1"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705" w:type="dxa"/>
          </w:tcPr>
          <w:p w14:paraId="2447C155" w14:textId="77777777" w:rsidR="00AD1F54" w:rsidRPr="00264D5D" w:rsidRDefault="00941227">
            <w:pPr>
              <w:pStyle w:val="GOSTTablenorm"/>
            </w:pPr>
            <w:r w:rsidRPr="00264D5D">
              <w:t>Вид средств для осуществления возврата</w:t>
            </w:r>
          </w:p>
        </w:tc>
        <w:tc>
          <w:tcPr>
            <w:tcW w:w="1703" w:type="dxa"/>
          </w:tcPr>
          <w:p w14:paraId="6FD08E67" w14:textId="77777777" w:rsidR="00AD1F54" w:rsidRPr="00264D5D" w:rsidRDefault="00941227">
            <w:pPr>
              <w:pStyle w:val="GOSTTablenorm"/>
            </w:pPr>
            <w:r w:rsidRPr="00264D5D">
              <w:t>ZVDOC_KndMns</w:t>
            </w:r>
          </w:p>
        </w:tc>
        <w:tc>
          <w:tcPr>
            <w:tcW w:w="567" w:type="dxa"/>
          </w:tcPr>
          <w:p w14:paraId="2EF3EBEC" w14:textId="77777777" w:rsidR="00AD1F54" w:rsidRPr="00264D5D" w:rsidRDefault="00941227">
            <w:pPr>
              <w:pStyle w:val="GOSTTablenorm"/>
              <w:jc w:val="center"/>
            </w:pPr>
            <w:r w:rsidRPr="00264D5D">
              <w:t>С</w:t>
            </w:r>
          </w:p>
        </w:tc>
        <w:tc>
          <w:tcPr>
            <w:tcW w:w="1135" w:type="dxa"/>
          </w:tcPr>
          <w:p w14:paraId="5EAE82CA" w14:textId="77777777" w:rsidR="00AD1F54" w:rsidRPr="00264D5D" w:rsidRDefault="00941227">
            <w:pPr>
              <w:pStyle w:val="ASFKTablenorm"/>
              <w:rPr>
                <w:lang w:val="en-US"/>
              </w:rPr>
            </w:pPr>
            <w:r w:rsidRPr="00264D5D">
              <w:rPr>
                <w:sz w:val="22"/>
              </w:rPr>
              <w:t>tMSC_SrcTypeComplex2</w:t>
            </w:r>
          </w:p>
        </w:tc>
        <w:tc>
          <w:tcPr>
            <w:tcW w:w="567" w:type="dxa"/>
          </w:tcPr>
          <w:p w14:paraId="67DC7937" w14:textId="77777777" w:rsidR="00AD1F54" w:rsidRPr="00264D5D" w:rsidRDefault="00941227">
            <w:pPr>
              <w:pStyle w:val="ASFKTablenorm"/>
              <w:jc w:val="center"/>
              <w:rPr>
                <w:lang w:val="en-US"/>
              </w:rPr>
            </w:pPr>
            <w:r w:rsidRPr="00264D5D">
              <w:rPr>
                <w:sz w:val="22"/>
                <w:lang w:val="en-US"/>
              </w:rPr>
              <w:t>O</w:t>
            </w:r>
          </w:p>
        </w:tc>
        <w:tc>
          <w:tcPr>
            <w:tcW w:w="3973" w:type="dxa"/>
          </w:tcPr>
          <w:p w14:paraId="10231A29" w14:textId="4B9AB9F9" w:rsidR="00AD1F54" w:rsidRPr="00264D5D" w:rsidRDefault="00941227">
            <w:pPr>
              <w:pStyle w:val="ASFKTablenorm"/>
            </w:pPr>
            <w:r w:rsidRPr="00264D5D">
              <w:rPr>
                <w:sz w:val="22"/>
              </w:rPr>
              <w:t xml:space="preserve">Состав элемента представлен в таблице </w:t>
            </w:r>
            <w:r w:rsidRPr="00264D5D">
              <w:rPr>
                <w:b/>
                <w:sz w:val="22"/>
              </w:rPr>
              <w:fldChar w:fldCharType="begin"/>
            </w:r>
            <w:r w:rsidRPr="00264D5D">
              <w:rPr>
                <w:b/>
                <w:sz w:val="22"/>
              </w:rPr>
              <w:instrText xml:space="preserve"> REF _Ref524686046 \h  \* MERGEFORMAT </w:instrText>
            </w:r>
            <w:r w:rsidRPr="00264D5D">
              <w:rPr>
                <w:b/>
                <w:sz w:val="22"/>
              </w:rPr>
            </w:r>
            <w:r w:rsidRPr="00264D5D">
              <w:rPr>
                <w:b/>
                <w:sz w:val="22"/>
              </w:rPr>
              <w:fldChar w:fldCharType="separate"/>
            </w:r>
            <w:r w:rsidR="008D797C" w:rsidRPr="008D797C">
              <w:rPr>
                <w:b/>
                <w:sz w:val="22"/>
              </w:rPr>
              <w:t>128</w:t>
            </w:r>
            <w:r w:rsidRPr="00264D5D">
              <w:rPr>
                <w:b/>
                <w:sz w:val="22"/>
              </w:rPr>
              <w:fldChar w:fldCharType="end"/>
            </w:r>
          </w:p>
        </w:tc>
      </w:tr>
      <w:tr w:rsidR="00AD1F54" w:rsidRPr="00264D5D" w14:paraId="2878DDBB"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705" w:type="dxa"/>
          </w:tcPr>
          <w:p w14:paraId="3974484C" w14:textId="77777777" w:rsidR="00AD1F54" w:rsidRPr="00264D5D" w:rsidRDefault="00941227">
            <w:pPr>
              <w:pStyle w:val="GOSTTablenorm"/>
            </w:pPr>
            <w:r w:rsidRPr="00264D5D">
              <w:t xml:space="preserve">Код по ОКТМО </w:t>
            </w:r>
          </w:p>
        </w:tc>
        <w:tc>
          <w:tcPr>
            <w:tcW w:w="1703" w:type="dxa"/>
          </w:tcPr>
          <w:p w14:paraId="3D064FCB" w14:textId="77777777" w:rsidR="00AD1F54" w:rsidRPr="00264D5D" w:rsidRDefault="00941227">
            <w:pPr>
              <w:pStyle w:val="GOSTTablenorm"/>
            </w:pPr>
            <w:r w:rsidRPr="00264D5D">
              <w:t>ZVDOC_OKTMO</w:t>
            </w:r>
          </w:p>
        </w:tc>
        <w:tc>
          <w:tcPr>
            <w:tcW w:w="567" w:type="dxa"/>
          </w:tcPr>
          <w:p w14:paraId="363003D3" w14:textId="77777777" w:rsidR="00AD1F54" w:rsidRPr="00264D5D" w:rsidRDefault="00941227">
            <w:pPr>
              <w:pStyle w:val="GOSTTablenorm"/>
              <w:jc w:val="center"/>
            </w:pPr>
            <w:r w:rsidRPr="00264D5D">
              <w:t>П</w:t>
            </w:r>
          </w:p>
        </w:tc>
        <w:tc>
          <w:tcPr>
            <w:tcW w:w="1135" w:type="dxa"/>
          </w:tcPr>
          <w:p w14:paraId="6B0F90C3" w14:textId="77777777" w:rsidR="00AD1F54" w:rsidRPr="00264D5D" w:rsidRDefault="00941227">
            <w:pPr>
              <w:pStyle w:val="GOSTTablenorm"/>
              <w:rPr>
                <w:lang w:val="en-US"/>
              </w:rPr>
            </w:pPr>
            <w:r w:rsidRPr="00264D5D">
              <w:t>Т(8)</w:t>
            </w:r>
          </w:p>
        </w:tc>
        <w:tc>
          <w:tcPr>
            <w:tcW w:w="567" w:type="dxa"/>
          </w:tcPr>
          <w:p w14:paraId="4F31843F" w14:textId="77777777" w:rsidR="00AD1F54" w:rsidRPr="00264D5D" w:rsidRDefault="00941227">
            <w:pPr>
              <w:pStyle w:val="GOSTTablenorm"/>
              <w:jc w:val="center"/>
              <w:rPr>
                <w:lang w:val="en-US"/>
              </w:rPr>
            </w:pPr>
            <w:r w:rsidRPr="00264D5D">
              <w:t>Н</w:t>
            </w:r>
          </w:p>
        </w:tc>
        <w:tc>
          <w:tcPr>
            <w:tcW w:w="3973" w:type="dxa"/>
          </w:tcPr>
          <w:p w14:paraId="39AB4505" w14:textId="77777777" w:rsidR="00AD1F54" w:rsidRPr="00264D5D" w:rsidRDefault="00941227">
            <w:pPr>
              <w:pStyle w:val="GOSTTablenorm"/>
            </w:pPr>
            <w:r w:rsidRPr="00264D5D">
              <w:t>Указывается код в соответствии с ОКТМО.</w:t>
            </w:r>
          </w:p>
          <w:p w14:paraId="7A83AC60" w14:textId="77777777" w:rsidR="00AD1F54" w:rsidRPr="00264D5D" w:rsidRDefault="00941227">
            <w:pPr>
              <w:pStyle w:val="GOSTTablenorm"/>
            </w:pPr>
            <w:r w:rsidRPr="00264D5D">
              <w:t>Заполняется в случае пре</w:t>
            </w:r>
            <w:r w:rsidR="00A10DB3" w:rsidRPr="00264D5D">
              <w:t>доставления заявки АДБ или ПФХД</w:t>
            </w:r>
          </w:p>
        </w:tc>
      </w:tr>
      <w:tr w:rsidR="00AD1F54" w:rsidRPr="00264D5D" w14:paraId="6DF88DC9"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705" w:type="dxa"/>
          </w:tcPr>
          <w:p w14:paraId="3FDF1657" w14:textId="77777777" w:rsidR="00AD1F54" w:rsidRPr="00264D5D" w:rsidRDefault="00941227">
            <w:pPr>
              <w:pStyle w:val="GOSTTablenorm"/>
              <w:rPr>
                <w:szCs w:val="22"/>
              </w:rPr>
            </w:pPr>
            <w:r w:rsidRPr="00264D5D">
              <w:t>Сумма в валюте</w:t>
            </w:r>
          </w:p>
        </w:tc>
        <w:tc>
          <w:tcPr>
            <w:tcW w:w="1703" w:type="dxa"/>
          </w:tcPr>
          <w:p w14:paraId="6C68E56A" w14:textId="77777777" w:rsidR="00AD1F54" w:rsidRPr="00264D5D" w:rsidRDefault="00941227">
            <w:pPr>
              <w:pStyle w:val="GOSTTablenorm"/>
            </w:pPr>
            <w:r w:rsidRPr="00264D5D">
              <w:t>ZVDOC_SmVl</w:t>
            </w:r>
          </w:p>
        </w:tc>
        <w:tc>
          <w:tcPr>
            <w:tcW w:w="567" w:type="dxa"/>
          </w:tcPr>
          <w:p w14:paraId="0F35FD3C" w14:textId="77777777" w:rsidR="00AD1F54" w:rsidRPr="00264D5D" w:rsidRDefault="00941227">
            <w:pPr>
              <w:pStyle w:val="GOSTTablenorm"/>
              <w:jc w:val="center"/>
            </w:pPr>
            <w:r w:rsidRPr="00264D5D">
              <w:t>П</w:t>
            </w:r>
          </w:p>
        </w:tc>
        <w:tc>
          <w:tcPr>
            <w:tcW w:w="1135" w:type="dxa"/>
          </w:tcPr>
          <w:p w14:paraId="2540A5AA" w14:textId="77777777" w:rsidR="00AD1F54" w:rsidRPr="00264D5D" w:rsidRDefault="00941227">
            <w:pPr>
              <w:pStyle w:val="GOSTTablenorm"/>
            </w:pPr>
            <w:r w:rsidRPr="00264D5D">
              <w:t>N(20.2)</w:t>
            </w:r>
          </w:p>
        </w:tc>
        <w:tc>
          <w:tcPr>
            <w:tcW w:w="567" w:type="dxa"/>
          </w:tcPr>
          <w:p w14:paraId="3C202D72" w14:textId="77777777" w:rsidR="00AD1F54" w:rsidRPr="00264D5D" w:rsidRDefault="00941227">
            <w:pPr>
              <w:pStyle w:val="GOSTTablenorm"/>
              <w:jc w:val="center"/>
            </w:pPr>
            <w:r w:rsidRPr="00264D5D">
              <w:t>О</w:t>
            </w:r>
          </w:p>
        </w:tc>
        <w:tc>
          <w:tcPr>
            <w:tcW w:w="3973" w:type="dxa"/>
          </w:tcPr>
          <w:p w14:paraId="397C3B37" w14:textId="77777777" w:rsidR="00AD1F54" w:rsidRPr="00264D5D" w:rsidRDefault="00941227">
            <w:pPr>
              <w:pStyle w:val="GOSTTablenorm"/>
            </w:pPr>
            <w:r w:rsidRPr="00264D5D">
              <w:t xml:space="preserve">Указывается </w:t>
            </w:r>
            <w:r w:rsidR="00A10DB3" w:rsidRPr="00264D5D">
              <w:t>сумма выплаты в валюте возврата</w:t>
            </w:r>
          </w:p>
        </w:tc>
      </w:tr>
      <w:tr w:rsidR="00AD1F54" w:rsidRPr="00264D5D" w14:paraId="2FA6F6C2"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705" w:type="dxa"/>
          </w:tcPr>
          <w:p w14:paraId="73644BEE" w14:textId="77777777" w:rsidR="00AD1F54" w:rsidRPr="00264D5D" w:rsidRDefault="00941227">
            <w:pPr>
              <w:pStyle w:val="GOSTTablenorm"/>
            </w:pPr>
            <w:r w:rsidRPr="00264D5D">
              <w:t>Код валюты</w:t>
            </w:r>
          </w:p>
        </w:tc>
        <w:tc>
          <w:tcPr>
            <w:tcW w:w="1703" w:type="dxa"/>
          </w:tcPr>
          <w:p w14:paraId="69C1E9A9" w14:textId="77777777" w:rsidR="00AD1F54" w:rsidRPr="00264D5D" w:rsidRDefault="00941227">
            <w:pPr>
              <w:pStyle w:val="GOSTTablenorm"/>
            </w:pPr>
            <w:r w:rsidRPr="00264D5D">
              <w:t>ZVDOC_</w:t>
            </w:r>
            <w:r w:rsidRPr="00264D5D">
              <w:rPr>
                <w:lang w:val="en-US"/>
              </w:rPr>
              <w:t>Cd</w:t>
            </w:r>
            <w:r w:rsidRPr="00264D5D">
              <w:t>OKV</w:t>
            </w:r>
          </w:p>
        </w:tc>
        <w:tc>
          <w:tcPr>
            <w:tcW w:w="567" w:type="dxa"/>
          </w:tcPr>
          <w:p w14:paraId="4F2DF081" w14:textId="77777777" w:rsidR="00AD1F54" w:rsidRPr="00264D5D" w:rsidRDefault="00941227">
            <w:pPr>
              <w:pStyle w:val="GOSTTablenorm"/>
              <w:jc w:val="center"/>
            </w:pPr>
            <w:r w:rsidRPr="00264D5D">
              <w:t>П</w:t>
            </w:r>
          </w:p>
        </w:tc>
        <w:tc>
          <w:tcPr>
            <w:tcW w:w="1135" w:type="dxa"/>
          </w:tcPr>
          <w:p w14:paraId="30706539" w14:textId="77777777" w:rsidR="00AD1F54" w:rsidRPr="00264D5D" w:rsidRDefault="00941227">
            <w:pPr>
              <w:pStyle w:val="GOSTTablenorm"/>
            </w:pPr>
            <w:r w:rsidRPr="00264D5D">
              <w:t>Т(3)</w:t>
            </w:r>
          </w:p>
        </w:tc>
        <w:tc>
          <w:tcPr>
            <w:tcW w:w="567" w:type="dxa"/>
          </w:tcPr>
          <w:p w14:paraId="62E805CF" w14:textId="77777777" w:rsidR="00AD1F54" w:rsidRPr="00264D5D" w:rsidRDefault="00941227">
            <w:pPr>
              <w:pStyle w:val="GOSTTablenorm"/>
              <w:jc w:val="center"/>
            </w:pPr>
            <w:r w:rsidRPr="00264D5D">
              <w:t>О</w:t>
            </w:r>
          </w:p>
        </w:tc>
        <w:tc>
          <w:tcPr>
            <w:tcW w:w="3973" w:type="dxa"/>
          </w:tcPr>
          <w:p w14:paraId="7A33C8B0" w14:textId="77777777" w:rsidR="00AD1F54" w:rsidRPr="00264D5D" w:rsidRDefault="00941227">
            <w:pPr>
              <w:pStyle w:val="GOSTTablenorm"/>
            </w:pPr>
            <w:r w:rsidRPr="00264D5D">
              <w:t>Указывается цифр</w:t>
            </w:r>
            <w:r w:rsidR="00A10DB3" w:rsidRPr="00264D5D">
              <w:t>овой код валюты возврата по ОКВ</w:t>
            </w:r>
          </w:p>
        </w:tc>
      </w:tr>
      <w:tr w:rsidR="00AD1F54" w:rsidRPr="00264D5D" w14:paraId="1906FE5B"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705" w:type="dxa"/>
          </w:tcPr>
          <w:p w14:paraId="33553CD4" w14:textId="77777777" w:rsidR="00AD1F54" w:rsidRPr="00264D5D" w:rsidRDefault="00941227">
            <w:pPr>
              <w:pStyle w:val="GOSTTablenorm"/>
              <w:rPr>
                <w:szCs w:val="22"/>
              </w:rPr>
            </w:pPr>
            <w:r w:rsidRPr="00264D5D">
              <w:t>Сумма в рублях</w:t>
            </w:r>
          </w:p>
        </w:tc>
        <w:tc>
          <w:tcPr>
            <w:tcW w:w="1703" w:type="dxa"/>
          </w:tcPr>
          <w:p w14:paraId="680B6E60" w14:textId="77777777" w:rsidR="00AD1F54" w:rsidRPr="00264D5D" w:rsidRDefault="00941227">
            <w:pPr>
              <w:pStyle w:val="GOSTTablenorm"/>
            </w:pPr>
            <w:r w:rsidRPr="00264D5D">
              <w:t>ZVDOC_SmRb</w:t>
            </w:r>
          </w:p>
        </w:tc>
        <w:tc>
          <w:tcPr>
            <w:tcW w:w="567" w:type="dxa"/>
          </w:tcPr>
          <w:p w14:paraId="19963F28" w14:textId="77777777" w:rsidR="00AD1F54" w:rsidRPr="00264D5D" w:rsidRDefault="00941227">
            <w:pPr>
              <w:pStyle w:val="GOSTTablenorm"/>
              <w:jc w:val="center"/>
            </w:pPr>
            <w:r w:rsidRPr="00264D5D">
              <w:t>П</w:t>
            </w:r>
          </w:p>
        </w:tc>
        <w:tc>
          <w:tcPr>
            <w:tcW w:w="1135" w:type="dxa"/>
          </w:tcPr>
          <w:p w14:paraId="340192AF" w14:textId="77777777" w:rsidR="00AD1F54" w:rsidRPr="00264D5D" w:rsidRDefault="00941227">
            <w:pPr>
              <w:pStyle w:val="GOSTTablenorm"/>
            </w:pPr>
            <w:r w:rsidRPr="00264D5D">
              <w:t>N(20.2)</w:t>
            </w:r>
          </w:p>
        </w:tc>
        <w:tc>
          <w:tcPr>
            <w:tcW w:w="567" w:type="dxa"/>
          </w:tcPr>
          <w:p w14:paraId="3B652368" w14:textId="77777777" w:rsidR="00AD1F54" w:rsidRPr="00264D5D" w:rsidRDefault="00941227">
            <w:pPr>
              <w:pStyle w:val="GOSTTablenorm"/>
              <w:jc w:val="center"/>
            </w:pPr>
            <w:r w:rsidRPr="00264D5D">
              <w:t>Н</w:t>
            </w:r>
          </w:p>
        </w:tc>
        <w:tc>
          <w:tcPr>
            <w:tcW w:w="3973" w:type="dxa"/>
          </w:tcPr>
          <w:p w14:paraId="320C32D6" w14:textId="77777777" w:rsidR="00AD1F54" w:rsidRPr="00264D5D" w:rsidRDefault="00941227">
            <w:pPr>
              <w:pStyle w:val="GOSTTablenorm"/>
            </w:pPr>
            <w:r w:rsidRPr="00264D5D">
              <w:t xml:space="preserve">Указывается сумма </w:t>
            </w:r>
            <w:r w:rsidR="00A10DB3" w:rsidRPr="00264D5D">
              <w:t>возврата в валюте РФ (в рублях)</w:t>
            </w:r>
          </w:p>
        </w:tc>
      </w:tr>
      <w:tr w:rsidR="00AD1F54" w:rsidRPr="00264D5D" w14:paraId="59B28777"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705" w:type="dxa"/>
          </w:tcPr>
          <w:p w14:paraId="3C58AEE4" w14:textId="77777777" w:rsidR="00AD1F54" w:rsidRPr="00264D5D" w:rsidRDefault="00941227">
            <w:pPr>
              <w:pStyle w:val="GOSTTablenorm"/>
            </w:pPr>
            <w:r w:rsidRPr="00264D5D">
              <w:t>Информация о платеже</w:t>
            </w:r>
          </w:p>
        </w:tc>
        <w:tc>
          <w:tcPr>
            <w:tcW w:w="1703" w:type="dxa"/>
          </w:tcPr>
          <w:p w14:paraId="313A45C2" w14:textId="77777777" w:rsidR="00AD1F54" w:rsidRPr="00264D5D" w:rsidRDefault="00941227">
            <w:pPr>
              <w:pStyle w:val="GOSTTablenorm"/>
            </w:pPr>
            <w:r w:rsidRPr="00264D5D">
              <w:t>ZVDOC_MSC_Pmnt</w:t>
            </w:r>
          </w:p>
        </w:tc>
        <w:tc>
          <w:tcPr>
            <w:tcW w:w="567" w:type="dxa"/>
          </w:tcPr>
          <w:p w14:paraId="2392F0A8" w14:textId="77777777" w:rsidR="00AD1F54" w:rsidRPr="00264D5D" w:rsidRDefault="00941227">
            <w:pPr>
              <w:pStyle w:val="GOSTTablenorm"/>
              <w:jc w:val="center"/>
            </w:pPr>
            <w:r w:rsidRPr="00264D5D">
              <w:t>С</w:t>
            </w:r>
          </w:p>
        </w:tc>
        <w:tc>
          <w:tcPr>
            <w:tcW w:w="1135" w:type="dxa"/>
          </w:tcPr>
          <w:p w14:paraId="572713F4" w14:textId="77777777" w:rsidR="00AD1F54" w:rsidRPr="00264D5D" w:rsidRDefault="00941227">
            <w:pPr>
              <w:pStyle w:val="GOSTTablenorm"/>
            </w:pPr>
            <w:r w:rsidRPr="00264D5D">
              <w:t>tMSC_Pmnt</w:t>
            </w:r>
          </w:p>
        </w:tc>
        <w:tc>
          <w:tcPr>
            <w:tcW w:w="567" w:type="dxa"/>
          </w:tcPr>
          <w:p w14:paraId="113556F4" w14:textId="77777777" w:rsidR="00AD1F54" w:rsidRPr="00264D5D" w:rsidRDefault="00941227">
            <w:pPr>
              <w:pStyle w:val="GOSTTablenorm"/>
              <w:jc w:val="center"/>
            </w:pPr>
            <w:r w:rsidRPr="00264D5D">
              <w:t>О</w:t>
            </w:r>
          </w:p>
        </w:tc>
        <w:tc>
          <w:tcPr>
            <w:tcW w:w="3973" w:type="dxa"/>
          </w:tcPr>
          <w:p w14:paraId="465583EA" w14:textId="310F30DC" w:rsidR="00AD1F54" w:rsidRPr="00264D5D" w:rsidRDefault="00941227">
            <w:pPr>
              <w:pStyle w:val="GOSTTablenorm"/>
            </w:pPr>
            <w:r w:rsidRPr="00264D5D">
              <w:t xml:space="preserve">Состав элемента представлен в таблице </w:t>
            </w:r>
            <w:r w:rsidRPr="00264D5D">
              <w:rPr>
                <w:b/>
              </w:rPr>
              <w:fldChar w:fldCharType="begin"/>
            </w:r>
            <w:r w:rsidRPr="00264D5D">
              <w:rPr>
                <w:b/>
              </w:rPr>
              <w:instrText xml:space="preserve"> REF _Ref503567877 \h  \* MERGEFORMAT </w:instrText>
            </w:r>
            <w:r w:rsidRPr="00264D5D">
              <w:rPr>
                <w:b/>
              </w:rPr>
            </w:r>
            <w:r w:rsidRPr="00264D5D">
              <w:rPr>
                <w:b/>
              </w:rPr>
              <w:fldChar w:fldCharType="separate"/>
            </w:r>
            <w:r w:rsidR="008D797C" w:rsidRPr="008D797C">
              <w:rPr>
                <w:rFonts w:eastAsia="Calibri"/>
                <w:b/>
              </w:rPr>
              <w:t>129</w:t>
            </w:r>
            <w:r w:rsidRPr="00264D5D">
              <w:rPr>
                <w:b/>
              </w:rPr>
              <w:fldChar w:fldCharType="end"/>
            </w:r>
          </w:p>
        </w:tc>
      </w:tr>
      <w:tr w:rsidR="00AD1F54" w:rsidRPr="00264D5D" w14:paraId="7A0AC4A4"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705" w:type="dxa"/>
          </w:tcPr>
          <w:p w14:paraId="3103C9CE" w14:textId="77777777" w:rsidR="00AD1F54" w:rsidRPr="00264D5D" w:rsidRDefault="00941227">
            <w:pPr>
              <w:pStyle w:val="GOSTTablenorm"/>
            </w:pPr>
            <w:r w:rsidRPr="00264D5D">
              <w:t>Документ-основание</w:t>
            </w:r>
          </w:p>
        </w:tc>
        <w:tc>
          <w:tcPr>
            <w:tcW w:w="1703" w:type="dxa"/>
          </w:tcPr>
          <w:p w14:paraId="7961BB0D" w14:textId="77777777" w:rsidR="00AD1F54" w:rsidRPr="00264D5D" w:rsidRDefault="00941227">
            <w:pPr>
              <w:pStyle w:val="GOSTTablenorm"/>
            </w:pPr>
            <w:r w:rsidRPr="00264D5D">
              <w:t>ZVDOCOSN_MSC_ShrtDcBs</w:t>
            </w:r>
          </w:p>
        </w:tc>
        <w:tc>
          <w:tcPr>
            <w:tcW w:w="567" w:type="dxa"/>
          </w:tcPr>
          <w:p w14:paraId="3551CC0C" w14:textId="77777777" w:rsidR="00AD1F54" w:rsidRPr="00264D5D" w:rsidRDefault="00941227">
            <w:pPr>
              <w:pStyle w:val="GOSTTablenorm"/>
              <w:jc w:val="center"/>
            </w:pPr>
            <w:r w:rsidRPr="00264D5D">
              <w:t>С</w:t>
            </w:r>
          </w:p>
        </w:tc>
        <w:tc>
          <w:tcPr>
            <w:tcW w:w="1135" w:type="dxa"/>
          </w:tcPr>
          <w:p w14:paraId="1E0DB89C" w14:textId="77777777" w:rsidR="00AD1F54" w:rsidRPr="00264D5D" w:rsidRDefault="00941227">
            <w:pPr>
              <w:pStyle w:val="GOSTTablenorm"/>
            </w:pPr>
            <w:r w:rsidRPr="00264D5D">
              <w:t>tMSC_ShrtDcBs</w:t>
            </w:r>
          </w:p>
        </w:tc>
        <w:tc>
          <w:tcPr>
            <w:tcW w:w="567" w:type="dxa"/>
          </w:tcPr>
          <w:p w14:paraId="0F7000C2" w14:textId="77777777" w:rsidR="00AD1F54" w:rsidRPr="00264D5D" w:rsidRDefault="00941227">
            <w:pPr>
              <w:pStyle w:val="GOSTTablenorm"/>
              <w:jc w:val="center"/>
            </w:pPr>
            <w:r w:rsidRPr="00264D5D">
              <w:t>О</w:t>
            </w:r>
          </w:p>
        </w:tc>
        <w:tc>
          <w:tcPr>
            <w:tcW w:w="3973" w:type="dxa"/>
          </w:tcPr>
          <w:p w14:paraId="56D9BBE9" w14:textId="64A6951B" w:rsidR="00AD1F54" w:rsidRPr="00264D5D" w:rsidRDefault="00941227">
            <w:pPr>
              <w:pStyle w:val="GOSTTablenorm"/>
            </w:pPr>
            <w:r w:rsidRPr="00264D5D">
              <w:t xml:space="preserve">Состав элемента представлен в таблице </w:t>
            </w:r>
            <w:r w:rsidRPr="00264D5D">
              <w:rPr>
                <w:b/>
                <w:lang w:val="en-US"/>
              </w:rPr>
              <w:fldChar w:fldCharType="begin"/>
            </w:r>
            <w:r w:rsidRPr="00264D5D">
              <w:rPr>
                <w:b/>
              </w:rPr>
              <w:instrText xml:space="preserve"> </w:instrText>
            </w:r>
            <w:r w:rsidRPr="00264D5D">
              <w:rPr>
                <w:b/>
                <w:lang w:val="en-US"/>
              </w:rPr>
              <w:instrText>REF</w:instrText>
            </w:r>
            <w:r w:rsidRPr="00264D5D">
              <w:rPr>
                <w:b/>
              </w:rPr>
              <w:instrText xml:space="preserve"> _</w:instrText>
            </w:r>
            <w:r w:rsidRPr="00264D5D">
              <w:rPr>
                <w:b/>
                <w:lang w:val="en-US"/>
              </w:rPr>
              <w:instrText>Ref</w:instrText>
            </w:r>
            <w:r w:rsidRPr="00264D5D">
              <w:rPr>
                <w:b/>
              </w:rPr>
              <w:instrText>770692 \</w:instrText>
            </w:r>
            <w:r w:rsidRPr="00264D5D">
              <w:rPr>
                <w:b/>
                <w:lang w:val="en-US"/>
              </w:rPr>
              <w:instrText>h</w:instrText>
            </w:r>
            <w:r w:rsidRPr="00264D5D">
              <w:rPr>
                <w:b/>
              </w:rPr>
              <w:instrText xml:space="preserve">  \* </w:instrText>
            </w:r>
            <w:r w:rsidRPr="00264D5D">
              <w:rPr>
                <w:b/>
                <w:lang w:val="en-US"/>
              </w:rPr>
              <w:instrText>MERGEFORMAT</w:instrText>
            </w:r>
            <w:r w:rsidRPr="00264D5D">
              <w:rPr>
                <w:b/>
              </w:rPr>
              <w:instrText xml:space="preserve"> </w:instrText>
            </w:r>
            <w:r w:rsidRPr="00264D5D">
              <w:rPr>
                <w:b/>
                <w:lang w:val="en-US"/>
              </w:rPr>
            </w:r>
            <w:r w:rsidRPr="00264D5D">
              <w:rPr>
                <w:b/>
                <w:lang w:val="en-US"/>
              </w:rPr>
              <w:fldChar w:fldCharType="separate"/>
            </w:r>
            <w:r w:rsidR="008D797C" w:rsidRPr="008D797C">
              <w:rPr>
                <w:b/>
                <w:szCs w:val="24"/>
              </w:rPr>
              <w:t>130</w:t>
            </w:r>
            <w:r w:rsidRPr="00264D5D">
              <w:rPr>
                <w:b/>
                <w:lang w:val="en-US"/>
              </w:rPr>
              <w:fldChar w:fldCharType="end"/>
            </w:r>
          </w:p>
        </w:tc>
      </w:tr>
      <w:tr w:rsidR="00AD1F54" w:rsidRPr="00264D5D" w14:paraId="31A01CF3"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705" w:type="dxa"/>
          </w:tcPr>
          <w:p w14:paraId="0A26B01B" w14:textId="77777777" w:rsidR="00AD1F54" w:rsidRPr="00264D5D" w:rsidRDefault="00941227">
            <w:pPr>
              <w:pStyle w:val="GOSTTablenorm"/>
            </w:pPr>
            <w:r w:rsidRPr="00264D5D">
              <w:t>Получатель</w:t>
            </w:r>
          </w:p>
        </w:tc>
        <w:tc>
          <w:tcPr>
            <w:tcW w:w="1703" w:type="dxa"/>
          </w:tcPr>
          <w:p w14:paraId="093EBE46" w14:textId="77777777" w:rsidR="00AD1F54" w:rsidRPr="00264D5D" w:rsidRDefault="00941227">
            <w:pPr>
              <w:pStyle w:val="GOSTTablenorm"/>
            </w:pPr>
            <w:r w:rsidRPr="00264D5D">
              <w:t>ZVDOCPOL_MSC_Cntrctr</w:t>
            </w:r>
          </w:p>
        </w:tc>
        <w:tc>
          <w:tcPr>
            <w:tcW w:w="567" w:type="dxa"/>
          </w:tcPr>
          <w:p w14:paraId="47163B53" w14:textId="77777777" w:rsidR="00AD1F54" w:rsidRPr="00264D5D" w:rsidRDefault="00941227">
            <w:pPr>
              <w:pStyle w:val="GOSTTablenorm"/>
              <w:jc w:val="center"/>
            </w:pPr>
            <w:r w:rsidRPr="00264D5D">
              <w:t>С</w:t>
            </w:r>
          </w:p>
        </w:tc>
        <w:tc>
          <w:tcPr>
            <w:tcW w:w="1135" w:type="dxa"/>
          </w:tcPr>
          <w:p w14:paraId="3AEECC53" w14:textId="77777777" w:rsidR="00AD1F54" w:rsidRPr="00264D5D" w:rsidRDefault="00941227">
            <w:pPr>
              <w:pStyle w:val="GOSTTablenorm"/>
              <w:rPr>
                <w:lang w:val="en-US"/>
              </w:rPr>
            </w:pPr>
            <w:r w:rsidRPr="00264D5D">
              <w:t>tMSC_Cntrctr</w:t>
            </w:r>
          </w:p>
        </w:tc>
        <w:tc>
          <w:tcPr>
            <w:tcW w:w="567" w:type="dxa"/>
          </w:tcPr>
          <w:p w14:paraId="76215894" w14:textId="77777777" w:rsidR="00AD1F54" w:rsidRPr="00264D5D" w:rsidRDefault="00941227">
            <w:pPr>
              <w:pStyle w:val="GOSTTablenorm"/>
              <w:jc w:val="center"/>
            </w:pPr>
            <w:r w:rsidRPr="00264D5D">
              <w:t>О</w:t>
            </w:r>
          </w:p>
        </w:tc>
        <w:tc>
          <w:tcPr>
            <w:tcW w:w="3973" w:type="dxa"/>
          </w:tcPr>
          <w:p w14:paraId="78500A17" w14:textId="21C66E2C" w:rsidR="00AD1F54" w:rsidRPr="00264D5D" w:rsidRDefault="00941227">
            <w:pPr>
              <w:pStyle w:val="GOSTTablenorm"/>
            </w:pPr>
            <w:r w:rsidRPr="00264D5D">
              <w:t xml:space="preserve">Состав элемента представлен в таблице </w:t>
            </w:r>
            <w:r w:rsidRPr="00264D5D">
              <w:rPr>
                <w:b/>
                <w:lang w:val="en-US"/>
              </w:rPr>
              <w:fldChar w:fldCharType="begin"/>
            </w:r>
            <w:r w:rsidRPr="00264D5D">
              <w:rPr>
                <w:b/>
              </w:rPr>
              <w:instrText xml:space="preserve"> </w:instrText>
            </w:r>
            <w:r w:rsidRPr="00264D5D">
              <w:rPr>
                <w:b/>
                <w:lang w:val="en-US"/>
              </w:rPr>
              <w:instrText>REF</w:instrText>
            </w:r>
            <w:r w:rsidRPr="00264D5D">
              <w:rPr>
                <w:b/>
              </w:rPr>
              <w:instrText xml:space="preserve"> _</w:instrText>
            </w:r>
            <w:r w:rsidRPr="00264D5D">
              <w:rPr>
                <w:b/>
                <w:lang w:val="en-US"/>
              </w:rPr>
              <w:instrText>Ref</w:instrText>
            </w:r>
            <w:r w:rsidRPr="00264D5D">
              <w:rPr>
                <w:b/>
              </w:rPr>
              <w:instrText>503465527 \</w:instrText>
            </w:r>
            <w:r w:rsidRPr="00264D5D">
              <w:rPr>
                <w:b/>
                <w:lang w:val="en-US"/>
              </w:rPr>
              <w:instrText>h</w:instrText>
            </w:r>
            <w:r w:rsidRPr="00264D5D">
              <w:rPr>
                <w:b/>
              </w:rPr>
              <w:instrText xml:space="preserve">  \* </w:instrText>
            </w:r>
            <w:r w:rsidRPr="00264D5D">
              <w:rPr>
                <w:b/>
                <w:lang w:val="en-US"/>
              </w:rPr>
              <w:instrText>MERGEFORMAT</w:instrText>
            </w:r>
            <w:r w:rsidRPr="00264D5D">
              <w:rPr>
                <w:b/>
              </w:rPr>
              <w:instrText xml:space="preserve"> </w:instrText>
            </w:r>
            <w:r w:rsidRPr="00264D5D">
              <w:rPr>
                <w:b/>
                <w:lang w:val="en-US"/>
              </w:rPr>
            </w:r>
            <w:r w:rsidRPr="00264D5D">
              <w:rPr>
                <w:b/>
                <w:lang w:val="en-US"/>
              </w:rPr>
              <w:fldChar w:fldCharType="separate"/>
            </w:r>
            <w:r w:rsidR="008D797C" w:rsidRPr="008D797C">
              <w:rPr>
                <w:rFonts w:eastAsia="Calibri"/>
                <w:b/>
              </w:rPr>
              <w:t>132</w:t>
            </w:r>
            <w:r w:rsidRPr="00264D5D">
              <w:rPr>
                <w:b/>
                <w:lang w:val="en-US"/>
              </w:rPr>
              <w:fldChar w:fldCharType="end"/>
            </w:r>
          </w:p>
        </w:tc>
      </w:tr>
      <w:tr w:rsidR="00AD1F54" w:rsidRPr="00264D5D" w14:paraId="6E80FB42"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705" w:type="dxa"/>
          </w:tcPr>
          <w:p w14:paraId="66837536" w14:textId="77777777" w:rsidR="00AD1F54" w:rsidRPr="00264D5D" w:rsidRDefault="00941227">
            <w:pPr>
              <w:pStyle w:val="GOSTTablenorm"/>
            </w:pPr>
            <w:r w:rsidRPr="00264D5D">
              <w:t>КБК получателя</w:t>
            </w:r>
          </w:p>
        </w:tc>
        <w:tc>
          <w:tcPr>
            <w:tcW w:w="1703" w:type="dxa"/>
          </w:tcPr>
          <w:p w14:paraId="5C3477C6" w14:textId="77777777" w:rsidR="00AD1F54" w:rsidRPr="00264D5D" w:rsidRDefault="00941227">
            <w:pPr>
              <w:pStyle w:val="GOSTTablenorm"/>
            </w:pPr>
            <w:r w:rsidRPr="00264D5D">
              <w:t>ZVDOCPOL_KBK</w:t>
            </w:r>
          </w:p>
        </w:tc>
        <w:tc>
          <w:tcPr>
            <w:tcW w:w="567" w:type="dxa"/>
          </w:tcPr>
          <w:p w14:paraId="63E3DAFE" w14:textId="77777777" w:rsidR="00AD1F54" w:rsidRPr="00264D5D" w:rsidRDefault="00941227">
            <w:pPr>
              <w:pStyle w:val="GOSTTablenorm"/>
              <w:jc w:val="center"/>
            </w:pPr>
            <w:r w:rsidRPr="00264D5D">
              <w:t>П</w:t>
            </w:r>
          </w:p>
        </w:tc>
        <w:tc>
          <w:tcPr>
            <w:tcW w:w="1135" w:type="dxa"/>
          </w:tcPr>
          <w:p w14:paraId="375529FA" w14:textId="77777777" w:rsidR="00AD1F54" w:rsidRPr="00264D5D" w:rsidRDefault="00941227">
            <w:pPr>
              <w:pStyle w:val="GOSTTablenorm"/>
            </w:pPr>
            <w:r w:rsidRPr="00264D5D">
              <w:rPr>
                <w:lang w:val="en-US"/>
              </w:rPr>
              <w:t>Т(1-</w:t>
            </w:r>
            <w:r w:rsidRPr="00264D5D">
              <w:t>20</w:t>
            </w:r>
            <w:r w:rsidRPr="00264D5D">
              <w:rPr>
                <w:lang w:val="en-US"/>
              </w:rPr>
              <w:t>)</w:t>
            </w:r>
          </w:p>
        </w:tc>
        <w:tc>
          <w:tcPr>
            <w:tcW w:w="567" w:type="dxa"/>
          </w:tcPr>
          <w:p w14:paraId="59381E48" w14:textId="77777777" w:rsidR="00AD1F54" w:rsidRPr="00264D5D" w:rsidRDefault="00941227">
            <w:pPr>
              <w:pStyle w:val="GOSTTablenorm"/>
              <w:jc w:val="center"/>
            </w:pPr>
            <w:r w:rsidRPr="00264D5D">
              <w:t>Н</w:t>
            </w:r>
          </w:p>
        </w:tc>
        <w:tc>
          <w:tcPr>
            <w:tcW w:w="3973" w:type="dxa"/>
          </w:tcPr>
          <w:p w14:paraId="58EE8E6A" w14:textId="77777777" w:rsidR="00AD1F54" w:rsidRPr="00264D5D" w:rsidRDefault="00941227">
            <w:pPr>
              <w:pStyle w:val="GOSTTablenorm"/>
            </w:pPr>
            <w:r w:rsidRPr="00264D5D">
              <w:t>Указывается КБК в соответствии с действующими Указаниями по БК.</w:t>
            </w:r>
          </w:p>
          <w:p w14:paraId="52DA65AD" w14:textId="77777777" w:rsidR="00AD1F54" w:rsidRPr="00264D5D" w:rsidRDefault="00941227">
            <w:pPr>
              <w:pStyle w:val="GOSTTablenorm"/>
            </w:pPr>
            <w:r w:rsidRPr="00264D5D">
              <w:t>Графа заполняется в случае, если получателем платежа является контрагент, соответствующий лицевой счет которого открыт ТОФК или ФО, лицевой счет которого открыт ТОФК.</w:t>
            </w:r>
          </w:p>
          <w:p w14:paraId="1F7B90A4" w14:textId="77777777" w:rsidR="00AD1F54" w:rsidRPr="00264D5D" w:rsidRDefault="00941227">
            <w:pPr>
              <w:pStyle w:val="GOSTTablenorm"/>
            </w:pPr>
            <w:r w:rsidRPr="00264D5D">
              <w:lastRenderedPageBreak/>
              <w:t>Поле обязательно для заполнения в случае, если в поле «Счет получателя» указан счет: №№ 03100, 03212, 03222; 03232; 03242; 03262; 03272; 03214; 03224; 03234; 03244 или в реквизите «БИК банка/ТОФК» указан БИК ПБР и при этом, счет получателя соответствует балансовому счету № 40503/40603/40703 с признаком «4» в 14 разряде, № 40204.</w:t>
            </w:r>
          </w:p>
          <w:p w14:paraId="6268A18B" w14:textId="77777777" w:rsidR="00AD1F54" w:rsidRPr="00264D5D" w:rsidRDefault="00941227">
            <w:pPr>
              <w:pStyle w:val="GOSTTablenorm"/>
            </w:pPr>
            <w:r w:rsidRPr="00264D5D">
              <w:t>В случае заполнения длина поля строго ограничена количеством символов равным 1 знаку, принимающему значение ноль («0»), либо 20 знакам, при этом все знаки одновременно не могут принимать значение ноль («0»).</w:t>
            </w:r>
          </w:p>
          <w:p w14:paraId="630A33A6" w14:textId="77777777" w:rsidR="00AD1F54" w:rsidRPr="00264D5D" w:rsidRDefault="00941227">
            <w:pPr>
              <w:pStyle w:val="GOSTTablenorm"/>
            </w:pPr>
            <w:r w:rsidRPr="00264D5D">
              <w:t>Если в поле «Счет получателя» указан казначейский счет для осуществления и отражения операций по учету и распределению поступлений, то обязательно для заполнения значением, состоящим из 20 знаков.</w:t>
            </w:r>
          </w:p>
          <w:p w14:paraId="196C6590" w14:textId="77777777" w:rsidR="00AD1F54" w:rsidRPr="00264D5D" w:rsidRDefault="00941227">
            <w:pPr>
              <w:pStyle w:val="GOSTTablenorm"/>
            </w:pPr>
            <w:r w:rsidRPr="00264D5D">
              <w:t>Если в поле «Счет получателя» указан иной казначейский счет, то обязательно для заполнения значением, состо</w:t>
            </w:r>
            <w:r w:rsidR="00A10DB3" w:rsidRPr="00264D5D">
              <w:t>ящим из 1 знака, либо 20 знаков</w:t>
            </w:r>
          </w:p>
        </w:tc>
      </w:tr>
      <w:tr w:rsidR="00AD1F54" w:rsidRPr="00264D5D" w14:paraId="525A0AF2"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705" w:type="dxa"/>
          </w:tcPr>
          <w:p w14:paraId="65340AC9" w14:textId="77777777" w:rsidR="00AD1F54" w:rsidRPr="00264D5D" w:rsidRDefault="00941227">
            <w:pPr>
              <w:pStyle w:val="GOSTTablenorm"/>
            </w:pPr>
            <w:r w:rsidRPr="00264D5D">
              <w:lastRenderedPageBreak/>
              <w:t>Код по ОКТМО получателя</w:t>
            </w:r>
          </w:p>
        </w:tc>
        <w:tc>
          <w:tcPr>
            <w:tcW w:w="1703" w:type="dxa"/>
          </w:tcPr>
          <w:p w14:paraId="188EABF2" w14:textId="77777777" w:rsidR="00AD1F54" w:rsidRPr="00264D5D" w:rsidRDefault="00941227">
            <w:pPr>
              <w:pStyle w:val="GOSTTablenorm"/>
            </w:pPr>
            <w:r w:rsidRPr="00264D5D">
              <w:t>ZVDOCPOL_OKTMO</w:t>
            </w:r>
          </w:p>
        </w:tc>
        <w:tc>
          <w:tcPr>
            <w:tcW w:w="567" w:type="dxa"/>
          </w:tcPr>
          <w:p w14:paraId="34671E1C" w14:textId="77777777" w:rsidR="00AD1F54" w:rsidRPr="00264D5D" w:rsidRDefault="00941227">
            <w:pPr>
              <w:pStyle w:val="GOSTTablenorm"/>
              <w:jc w:val="center"/>
            </w:pPr>
            <w:r w:rsidRPr="00264D5D">
              <w:t>П</w:t>
            </w:r>
          </w:p>
        </w:tc>
        <w:tc>
          <w:tcPr>
            <w:tcW w:w="1135" w:type="dxa"/>
          </w:tcPr>
          <w:p w14:paraId="72FADEAD" w14:textId="77777777" w:rsidR="00AD1F54" w:rsidRPr="00264D5D" w:rsidRDefault="00941227">
            <w:pPr>
              <w:pStyle w:val="GOSTTablenorm"/>
              <w:rPr>
                <w:lang w:val="en-US"/>
              </w:rPr>
            </w:pPr>
            <w:r w:rsidRPr="00264D5D">
              <w:t>Т(1-8)</w:t>
            </w:r>
          </w:p>
        </w:tc>
        <w:tc>
          <w:tcPr>
            <w:tcW w:w="567" w:type="dxa"/>
          </w:tcPr>
          <w:p w14:paraId="1D3D9021" w14:textId="77777777" w:rsidR="00AD1F54" w:rsidRPr="00264D5D" w:rsidRDefault="00941227">
            <w:pPr>
              <w:pStyle w:val="GOSTTablenorm"/>
              <w:jc w:val="center"/>
            </w:pPr>
            <w:r w:rsidRPr="00264D5D">
              <w:t>Н</w:t>
            </w:r>
          </w:p>
        </w:tc>
        <w:tc>
          <w:tcPr>
            <w:tcW w:w="3973" w:type="dxa"/>
          </w:tcPr>
          <w:p w14:paraId="5DCF1070" w14:textId="77777777" w:rsidR="00AD1F54" w:rsidRPr="00264D5D" w:rsidRDefault="00941227">
            <w:pPr>
              <w:pStyle w:val="GOSTTablenorm"/>
            </w:pPr>
            <w:r w:rsidRPr="00264D5D">
              <w:t>В случае заполнения указывается значение ноль («0»), либо 8 знаков, при этом три нуля не могут быть впереди и все знаки одновременно не могут принимать значение ноль («0»).</w:t>
            </w:r>
          </w:p>
          <w:p w14:paraId="6BB67958" w14:textId="77777777" w:rsidR="00AD1F54" w:rsidRPr="00264D5D" w:rsidRDefault="00941227">
            <w:pPr>
              <w:pStyle w:val="GOSTTablenorm"/>
            </w:pPr>
            <w:r w:rsidRPr="00264D5D">
              <w:t>Поле обязательно для заполнения в случае если в поле «Счет получателя» указан счет: №№ 03100, 03212, 03222; 03232; 03242; 03262; 03272; 03214; 03224; 03234; 03244 или в реквизите «БИК банка/ТОФК» указан БИК ПБР и при этом счет получателя соответствует балансовому счету № 40503/40603/40703 с приз</w:t>
            </w:r>
            <w:r w:rsidR="00A10DB3" w:rsidRPr="00264D5D">
              <w:t>наком «4» в 14 разряде, № 40204</w:t>
            </w:r>
          </w:p>
        </w:tc>
      </w:tr>
      <w:tr w:rsidR="00AD1F54" w:rsidRPr="00264D5D" w14:paraId="446025E3"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705" w:type="dxa"/>
          </w:tcPr>
          <w:p w14:paraId="6362C7FE" w14:textId="77777777" w:rsidR="00AD1F54" w:rsidRPr="00264D5D" w:rsidRDefault="00941227">
            <w:pPr>
              <w:pStyle w:val="GOSTTablenorm"/>
            </w:pPr>
            <w:r w:rsidRPr="00264D5D">
              <w:t>Уровень конфиденциальности</w:t>
            </w:r>
          </w:p>
        </w:tc>
        <w:tc>
          <w:tcPr>
            <w:tcW w:w="1703" w:type="dxa"/>
          </w:tcPr>
          <w:p w14:paraId="5F9F528F" w14:textId="77777777" w:rsidR="00AD1F54" w:rsidRPr="00264D5D" w:rsidRDefault="00941227">
            <w:pPr>
              <w:pStyle w:val="GOSTTablenorm"/>
            </w:pPr>
            <w:r w:rsidRPr="00264D5D">
              <w:t>TtlPrt_SECRECY</w:t>
            </w:r>
          </w:p>
        </w:tc>
        <w:tc>
          <w:tcPr>
            <w:tcW w:w="567" w:type="dxa"/>
          </w:tcPr>
          <w:p w14:paraId="7E2F1861" w14:textId="77777777" w:rsidR="00AD1F54" w:rsidRPr="00264D5D" w:rsidRDefault="00941227">
            <w:pPr>
              <w:pStyle w:val="GOSTTablenorm"/>
              <w:jc w:val="center"/>
            </w:pPr>
            <w:r w:rsidRPr="00264D5D">
              <w:t>П</w:t>
            </w:r>
          </w:p>
        </w:tc>
        <w:tc>
          <w:tcPr>
            <w:tcW w:w="1135" w:type="dxa"/>
          </w:tcPr>
          <w:p w14:paraId="6FC738AC" w14:textId="77777777" w:rsidR="00AD1F54" w:rsidRPr="00264D5D" w:rsidRDefault="00941227">
            <w:pPr>
              <w:pStyle w:val="GOSTTablenorm"/>
            </w:pPr>
            <w:r w:rsidRPr="00264D5D">
              <w:t>Т(1)</w:t>
            </w:r>
          </w:p>
        </w:tc>
        <w:tc>
          <w:tcPr>
            <w:tcW w:w="567" w:type="dxa"/>
          </w:tcPr>
          <w:p w14:paraId="48D60D01" w14:textId="77777777" w:rsidR="00AD1F54" w:rsidRPr="00264D5D" w:rsidRDefault="00941227">
            <w:pPr>
              <w:pStyle w:val="GOSTTablenorm"/>
              <w:jc w:val="center"/>
            </w:pPr>
            <w:r w:rsidRPr="00264D5D">
              <w:t>Н</w:t>
            </w:r>
          </w:p>
        </w:tc>
        <w:tc>
          <w:tcPr>
            <w:tcW w:w="3973" w:type="dxa"/>
          </w:tcPr>
          <w:p w14:paraId="56BDB634" w14:textId="77777777" w:rsidR="00AD1F54" w:rsidRPr="00264D5D" w:rsidRDefault="00941227">
            <w:pPr>
              <w:pStyle w:val="GOSTTablenorm"/>
            </w:pPr>
            <w:r w:rsidRPr="00264D5D">
              <w:t>Указывается уровень конфиденциальности.</w:t>
            </w:r>
          </w:p>
          <w:p w14:paraId="4703D6BC" w14:textId="77777777" w:rsidR="00AD1F54" w:rsidRPr="00264D5D" w:rsidRDefault="00941227" w:rsidP="00A10DB3">
            <w:pPr>
              <w:pStyle w:val="GOSTTablenorm"/>
            </w:pPr>
            <w:r w:rsidRPr="00264D5D">
              <w:t>Возможные значения:</w:t>
            </w:r>
          </w:p>
          <w:p w14:paraId="7951CF12" w14:textId="77777777" w:rsidR="00AD1F54" w:rsidRPr="00264D5D" w:rsidRDefault="00941227" w:rsidP="00A10DB3">
            <w:pPr>
              <w:pStyle w:val="GOSTTableListMark1"/>
              <w:widowControl w:val="0"/>
              <w:numPr>
                <w:ilvl w:val="0"/>
                <w:numId w:val="65"/>
              </w:numPr>
              <w:tabs>
                <w:tab w:val="clear" w:pos="340"/>
                <w:tab w:val="num" w:pos="227"/>
              </w:tabs>
              <w:spacing w:before="60" w:after="60"/>
              <w:ind w:left="284"/>
              <w:jc w:val="both"/>
              <w:rPr>
                <w:szCs w:val="22"/>
              </w:rPr>
            </w:pPr>
            <w:r w:rsidRPr="00264D5D">
              <w:lastRenderedPageBreak/>
              <w:t>«0» – Несекретно;</w:t>
            </w:r>
          </w:p>
          <w:p w14:paraId="5281F181" w14:textId="77777777" w:rsidR="00AD1F54" w:rsidRPr="00264D5D" w:rsidRDefault="00941227" w:rsidP="00A10DB3">
            <w:pPr>
              <w:pStyle w:val="GOSTTableListMark1"/>
              <w:widowControl w:val="0"/>
              <w:numPr>
                <w:ilvl w:val="0"/>
                <w:numId w:val="65"/>
              </w:numPr>
              <w:tabs>
                <w:tab w:val="clear" w:pos="340"/>
                <w:tab w:val="num" w:pos="227"/>
              </w:tabs>
              <w:spacing w:before="60" w:after="60"/>
              <w:ind w:left="284"/>
              <w:jc w:val="both"/>
              <w:rPr>
                <w:szCs w:val="22"/>
              </w:rPr>
            </w:pPr>
            <w:r w:rsidRPr="00264D5D">
              <w:t>«1» – Для служебного пользования.</w:t>
            </w:r>
          </w:p>
          <w:p w14:paraId="5E1AC764" w14:textId="77777777" w:rsidR="00AD1F54" w:rsidRPr="00264D5D" w:rsidRDefault="00941227">
            <w:pPr>
              <w:pStyle w:val="GOSTTablenorm"/>
            </w:pPr>
            <w:r w:rsidRPr="00264D5D">
              <w:t>Обязателен для заполнения в случае взаимодействия по марш</w:t>
            </w:r>
            <w:r w:rsidR="00A10DB3" w:rsidRPr="00264D5D">
              <w:t>руту ПБС (ПФХД) – ТОФК (ПУР ЭБ)</w:t>
            </w:r>
          </w:p>
        </w:tc>
      </w:tr>
      <w:tr w:rsidR="00AD1F54" w:rsidRPr="00264D5D" w14:paraId="6DF78CDE"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705" w:type="dxa"/>
          </w:tcPr>
          <w:p w14:paraId="379A5825" w14:textId="77777777" w:rsidR="00AD1F54" w:rsidRPr="00264D5D" w:rsidRDefault="00941227">
            <w:pPr>
              <w:pStyle w:val="GOSTTablenorm"/>
            </w:pPr>
            <w:r w:rsidRPr="00264D5D">
              <w:lastRenderedPageBreak/>
              <w:t>Системная информация документа</w:t>
            </w:r>
          </w:p>
        </w:tc>
        <w:tc>
          <w:tcPr>
            <w:tcW w:w="1703" w:type="dxa"/>
          </w:tcPr>
          <w:p w14:paraId="373465C0" w14:textId="77777777" w:rsidR="00AD1F54" w:rsidRPr="00264D5D" w:rsidRDefault="00941227">
            <w:pPr>
              <w:pStyle w:val="GOSTTablenorm"/>
            </w:pPr>
            <w:r w:rsidRPr="00264D5D">
              <w:t>ZV_MSC_Infrmtn</w:t>
            </w:r>
          </w:p>
        </w:tc>
        <w:tc>
          <w:tcPr>
            <w:tcW w:w="567" w:type="dxa"/>
          </w:tcPr>
          <w:p w14:paraId="70303636" w14:textId="77777777" w:rsidR="00AD1F54" w:rsidRPr="00264D5D" w:rsidRDefault="00941227">
            <w:pPr>
              <w:pStyle w:val="GOSTTablenorm"/>
              <w:jc w:val="center"/>
            </w:pPr>
            <w:r w:rsidRPr="00264D5D">
              <w:t>С</w:t>
            </w:r>
          </w:p>
        </w:tc>
        <w:tc>
          <w:tcPr>
            <w:tcW w:w="1135" w:type="dxa"/>
          </w:tcPr>
          <w:p w14:paraId="049CB00E" w14:textId="77777777" w:rsidR="00AD1F54" w:rsidRPr="00264D5D" w:rsidRDefault="00941227">
            <w:pPr>
              <w:pStyle w:val="GOSTTablenorm"/>
            </w:pPr>
            <w:r w:rsidRPr="00264D5D">
              <w:t>tMSC_Infrmtn</w:t>
            </w:r>
          </w:p>
        </w:tc>
        <w:tc>
          <w:tcPr>
            <w:tcW w:w="567" w:type="dxa"/>
          </w:tcPr>
          <w:p w14:paraId="0A1AB513" w14:textId="77777777" w:rsidR="00AD1F54" w:rsidRPr="00264D5D" w:rsidRDefault="00941227">
            <w:pPr>
              <w:pStyle w:val="GOSTTablenorm"/>
              <w:jc w:val="center"/>
            </w:pPr>
            <w:r w:rsidRPr="00264D5D">
              <w:t>О</w:t>
            </w:r>
          </w:p>
        </w:tc>
        <w:tc>
          <w:tcPr>
            <w:tcW w:w="3973" w:type="dxa"/>
          </w:tcPr>
          <w:p w14:paraId="3DA13EEB" w14:textId="17112E1E" w:rsidR="00AD1F54" w:rsidRPr="00264D5D" w:rsidRDefault="00941227">
            <w:pPr>
              <w:pStyle w:val="GOSTTablenorm"/>
            </w:pPr>
            <w:r w:rsidRPr="00264D5D">
              <w:t xml:space="preserve">Состав элемента представлен в таблице </w:t>
            </w:r>
            <w:r w:rsidRPr="00264D5D">
              <w:fldChar w:fldCharType="begin"/>
            </w:r>
            <w:r w:rsidRPr="00264D5D">
              <w:instrText xml:space="preserve"> REF _Ref529351121 \h  \* MERGEFORMAT </w:instrText>
            </w:r>
            <w:r w:rsidRPr="00264D5D">
              <w:fldChar w:fldCharType="separate"/>
            </w:r>
            <w:r w:rsidR="008D797C" w:rsidRPr="008D797C">
              <w:t>135</w:t>
            </w:r>
            <w:r w:rsidRPr="00264D5D">
              <w:fldChar w:fldCharType="end"/>
            </w:r>
          </w:p>
        </w:tc>
      </w:tr>
      <w:tr w:rsidR="00AD1F54" w:rsidRPr="00264D5D" w14:paraId="65320F5C"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9650" w:type="dxa"/>
            <w:gridSpan w:val="6"/>
          </w:tcPr>
          <w:p w14:paraId="4CE41623" w14:textId="77777777" w:rsidR="00AD1F54" w:rsidRPr="00264D5D" w:rsidRDefault="00941227">
            <w:pPr>
              <w:pStyle w:val="GOSTTablenorm"/>
            </w:pPr>
            <w:r w:rsidRPr="00264D5D">
              <w:rPr>
                <w:b/>
              </w:rPr>
              <w:t>ЭП</w:t>
            </w:r>
          </w:p>
        </w:tc>
      </w:tr>
      <w:tr w:rsidR="00AD1F54" w:rsidRPr="00264D5D" w14:paraId="69C8B19C"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705" w:type="dxa"/>
          </w:tcPr>
          <w:p w14:paraId="4C8423AC" w14:textId="77777777" w:rsidR="00AD1F54" w:rsidRPr="00264D5D" w:rsidRDefault="00941227">
            <w:pPr>
              <w:pStyle w:val="GOSTTablenorm"/>
            </w:pPr>
            <w:r w:rsidRPr="00264D5D">
              <w:t>Электронная подпись</w:t>
            </w:r>
          </w:p>
        </w:tc>
        <w:tc>
          <w:tcPr>
            <w:tcW w:w="1703" w:type="dxa"/>
          </w:tcPr>
          <w:p w14:paraId="045962DE" w14:textId="77777777" w:rsidR="00AD1F54" w:rsidRPr="00264D5D" w:rsidRDefault="00941227">
            <w:pPr>
              <w:pStyle w:val="GOSTTablenorm"/>
            </w:pPr>
            <w:r w:rsidRPr="00264D5D">
              <w:t>Signature</w:t>
            </w:r>
          </w:p>
        </w:tc>
        <w:tc>
          <w:tcPr>
            <w:tcW w:w="567" w:type="dxa"/>
          </w:tcPr>
          <w:p w14:paraId="743288E8" w14:textId="77777777" w:rsidR="00AD1F54" w:rsidRPr="00264D5D" w:rsidRDefault="00941227">
            <w:pPr>
              <w:pStyle w:val="GOSTTablenorm"/>
              <w:jc w:val="center"/>
            </w:pPr>
            <w:r w:rsidRPr="00264D5D">
              <w:t>С</w:t>
            </w:r>
          </w:p>
        </w:tc>
        <w:tc>
          <w:tcPr>
            <w:tcW w:w="1135" w:type="dxa"/>
          </w:tcPr>
          <w:p w14:paraId="51BB1734" w14:textId="77777777" w:rsidR="00AD1F54" w:rsidRPr="00264D5D" w:rsidRDefault="00941227">
            <w:pPr>
              <w:pStyle w:val="GOSTTablenorm"/>
            </w:pPr>
            <w:r w:rsidRPr="00264D5D">
              <w:t>SignatureType</w:t>
            </w:r>
          </w:p>
        </w:tc>
        <w:tc>
          <w:tcPr>
            <w:tcW w:w="567" w:type="dxa"/>
          </w:tcPr>
          <w:p w14:paraId="11760786" w14:textId="77777777" w:rsidR="00AD1F54" w:rsidRPr="00264D5D" w:rsidRDefault="00941227">
            <w:pPr>
              <w:pStyle w:val="GOSTTablenorm"/>
              <w:jc w:val="center"/>
            </w:pPr>
            <w:r w:rsidRPr="00264D5D">
              <w:t>НМ</w:t>
            </w:r>
          </w:p>
        </w:tc>
        <w:tc>
          <w:tcPr>
            <w:tcW w:w="3973" w:type="dxa"/>
          </w:tcPr>
          <w:p w14:paraId="780B6D27" w14:textId="77777777" w:rsidR="00AD1F54" w:rsidRPr="00264D5D" w:rsidRDefault="00941227">
            <w:pPr>
              <w:pStyle w:val="GOSTTablenorm"/>
            </w:pPr>
            <w:r w:rsidRPr="00264D5D">
              <w:t>Блок подписи в формате XAdes. Указывается как референс согласно формату подписи XAdes.</w:t>
            </w:r>
          </w:p>
          <w:p w14:paraId="69676A53" w14:textId="77777777" w:rsidR="00AD1F54" w:rsidRPr="00264D5D" w:rsidRDefault="00941227">
            <w:pPr>
              <w:spacing w:before="60" w:after="60"/>
              <w:rPr>
                <w:sz w:val="22"/>
              </w:rPr>
            </w:pPr>
            <w:r w:rsidRPr="00264D5D">
              <w:rPr>
                <w:sz w:val="22"/>
              </w:rPr>
              <w:t>Заполняется согласно п.3.5.3 Тома 1 настоящего альбома.</w:t>
            </w:r>
          </w:p>
          <w:p w14:paraId="3F66E76A" w14:textId="77777777" w:rsidR="00AD1F54" w:rsidRPr="00264D5D" w:rsidRDefault="00941227">
            <w:pPr>
              <w:spacing w:before="60" w:after="60"/>
              <w:rPr>
                <w:sz w:val="22"/>
              </w:rPr>
            </w:pPr>
            <w:r w:rsidRPr="00264D5D">
              <w:rPr>
                <w:sz w:val="22"/>
              </w:rPr>
              <w:t>Обязателен для заполнения при сервисно</w:t>
            </w:r>
            <w:r w:rsidR="00A10DB3" w:rsidRPr="00264D5D">
              <w:rPr>
                <w:sz w:val="22"/>
              </w:rPr>
              <w:t>м взаимодействии ПФХД и ПУР ЭБ</w:t>
            </w:r>
          </w:p>
        </w:tc>
      </w:tr>
    </w:tbl>
    <w:p w14:paraId="5352A149" w14:textId="77777777" w:rsidR="00AD1F54" w:rsidRPr="00264D5D" w:rsidRDefault="00941227">
      <w:pPr>
        <w:pStyle w:val="31"/>
      </w:pPr>
      <w:bookmarkStart w:id="1182" w:name="_Toc508712705"/>
      <w:bookmarkStart w:id="1183" w:name="_Toc776935"/>
      <w:bookmarkStart w:id="1184" w:name="_Toc1469441"/>
      <w:bookmarkStart w:id="1185" w:name="_Toc219309566"/>
      <w:r w:rsidRPr="00264D5D">
        <w:t>Описание комплексного типа «tMSC_Cstmr6»</w:t>
      </w:r>
      <w:bookmarkEnd w:id="1182"/>
      <w:bookmarkEnd w:id="1183"/>
      <w:bookmarkEnd w:id="1184"/>
      <w:bookmarkEnd w:id="1185"/>
    </w:p>
    <w:p w14:paraId="240251C7" w14:textId="77777777" w:rsidR="00AD1F54" w:rsidRPr="00264D5D" w:rsidRDefault="00941227">
      <w:pPr>
        <w:pStyle w:val="ASFKNormal"/>
        <w:spacing w:before="60" w:after="120"/>
        <w:jc w:val="both"/>
      </w:pPr>
      <w:r w:rsidRPr="00264D5D">
        <w:rPr>
          <w:sz w:val="24"/>
        </w:rPr>
        <w:t>Описание комплексного типа «tMSC_Cstmr6» блока «Клиент».</w:t>
      </w:r>
    </w:p>
    <w:p w14:paraId="0807F41F" w14:textId="2E4B33A2" w:rsidR="00AD1F54" w:rsidRPr="00264D5D" w:rsidRDefault="00941227">
      <w:pPr>
        <w:pStyle w:val="GOSTNameTable"/>
        <w:numPr>
          <w:ilvl w:val="0"/>
          <w:numId w:val="2"/>
        </w:numPr>
        <w:ind w:left="425" w:hanging="357"/>
        <w:rPr>
          <w:rFonts w:eastAsia="Calibri"/>
        </w:rPr>
      </w:pPr>
      <w:r w:rsidRPr="00264D5D">
        <w:rPr>
          <w:rFonts w:eastAsia="Calibri"/>
        </w:rPr>
        <w:fldChar w:fldCharType="begin"/>
      </w:r>
      <w:r w:rsidRPr="00264D5D">
        <w:rPr>
          <w:rFonts w:eastAsia="Calibri"/>
        </w:rPr>
        <w:instrText xml:space="preserve"> SEQ Таблица \* ARABIC </w:instrText>
      </w:r>
      <w:r w:rsidRPr="00264D5D">
        <w:rPr>
          <w:rFonts w:eastAsia="Calibri"/>
        </w:rPr>
        <w:fldChar w:fldCharType="separate"/>
      </w:r>
      <w:bookmarkStart w:id="1186" w:name="_Ref466497389"/>
      <w:bookmarkStart w:id="1187" w:name="_Toc776485"/>
      <w:bookmarkStart w:id="1188" w:name="_Toc219309149"/>
      <w:r w:rsidR="008D797C">
        <w:rPr>
          <w:rFonts w:eastAsia="Calibri"/>
          <w:noProof/>
        </w:rPr>
        <w:t>119</w:t>
      </w:r>
      <w:bookmarkEnd w:id="1186"/>
      <w:r w:rsidRPr="00264D5D">
        <w:rPr>
          <w:rFonts w:eastAsia="Calibri"/>
        </w:rPr>
        <w:fldChar w:fldCharType="end"/>
      </w:r>
      <w:r w:rsidRPr="00264D5D">
        <w:rPr>
          <w:rFonts w:eastAsia="Calibri"/>
          <w:szCs w:val="24"/>
        </w:rPr>
        <w:t xml:space="preserve"> – </w:t>
      </w:r>
      <w:r w:rsidRPr="00264D5D">
        <w:rPr>
          <w:rFonts w:eastAsia="Calibri"/>
        </w:rPr>
        <w:t>Описание комплексного типа «</w:t>
      </w:r>
      <w:r w:rsidRPr="00264D5D">
        <w:t>tMSC_Cstmr6</w:t>
      </w:r>
      <w:r w:rsidRPr="00264D5D">
        <w:rPr>
          <w:rFonts w:eastAsia="Calibri"/>
        </w:rPr>
        <w:t>»</w:t>
      </w:r>
      <w:bookmarkEnd w:id="1187"/>
      <w:bookmarkEnd w:id="1188"/>
    </w:p>
    <w:tbl>
      <w:tblPr>
        <w:tblStyle w:val="GOSTTable"/>
        <w:tblW w:w="4998" w:type="pct"/>
        <w:tblLayout w:type="fixed"/>
        <w:tblLook w:val="01E0" w:firstRow="1" w:lastRow="1" w:firstColumn="1" w:lastColumn="1" w:noHBand="0" w:noVBand="0"/>
      </w:tblPr>
      <w:tblGrid>
        <w:gridCol w:w="1699"/>
        <w:gridCol w:w="1704"/>
        <w:gridCol w:w="568"/>
        <w:gridCol w:w="1135"/>
        <w:gridCol w:w="568"/>
        <w:gridCol w:w="3972"/>
      </w:tblGrid>
      <w:tr w:rsidR="00AD1F54" w:rsidRPr="00264D5D" w14:paraId="2D1C0B2F"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695" w:type="dxa"/>
          </w:tcPr>
          <w:p w14:paraId="342CFEE9" w14:textId="77777777" w:rsidR="00AD1F54" w:rsidRPr="00264D5D" w:rsidRDefault="00941227">
            <w:pPr>
              <w:pStyle w:val="GOSTTableHead"/>
            </w:pPr>
            <w:r w:rsidRPr="00264D5D">
              <w:t>Наименование элемента</w:t>
            </w:r>
          </w:p>
        </w:tc>
        <w:tc>
          <w:tcPr>
            <w:tcW w:w="1700" w:type="dxa"/>
          </w:tcPr>
          <w:p w14:paraId="3D3C0C95" w14:textId="77777777" w:rsidR="00AD1F54" w:rsidRPr="00264D5D" w:rsidRDefault="00941227">
            <w:pPr>
              <w:pStyle w:val="GOSTTableHead"/>
            </w:pPr>
            <w:r w:rsidRPr="00264D5D">
              <w:t>Сокращенное наименование (код) элемента</w:t>
            </w:r>
          </w:p>
        </w:tc>
        <w:tc>
          <w:tcPr>
            <w:tcW w:w="567" w:type="dxa"/>
          </w:tcPr>
          <w:p w14:paraId="43BB8519" w14:textId="77777777" w:rsidR="00AD1F54" w:rsidRPr="00264D5D" w:rsidRDefault="00941227">
            <w:pPr>
              <w:pStyle w:val="GOSTTableHead"/>
            </w:pPr>
            <w:r w:rsidRPr="00264D5D">
              <w:t>Тип</w:t>
            </w:r>
          </w:p>
        </w:tc>
        <w:tc>
          <w:tcPr>
            <w:tcW w:w="1133" w:type="dxa"/>
          </w:tcPr>
          <w:p w14:paraId="0BEDE92D" w14:textId="77777777" w:rsidR="00AD1F54" w:rsidRPr="00264D5D" w:rsidRDefault="00941227">
            <w:pPr>
              <w:pStyle w:val="GOSTTableHead"/>
            </w:pPr>
            <w:r w:rsidRPr="00264D5D">
              <w:t>Формат элемента</w:t>
            </w:r>
          </w:p>
        </w:tc>
        <w:tc>
          <w:tcPr>
            <w:tcW w:w="567" w:type="dxa"/>
          </w:tcPr>
          <w:p w14:paraId="411715B3" w14:textId="77777777" w:rsidR="00AD1F54" w:rsidRPr="00264D5D" w:rsidRDefault="00941227">
            <w:pPr>
              <w:pStyle w:val="GOSTTableHead"/>
            </w:pPr>
            <w:r w:rsidRPr="00264D5D">
              <w:t>Обязательность</w:t>
            </w:r>
          </w:p>
        </w:tc>
        <w:tc>
          <w:tcPr>
            <w:tcW w:w="3963" w:type="dxa"/>
          </w:tcPr>
          <w:p w14:paraId="2DA85044" w14:textId="77777777" w:rsidR="00AD1F54" w:rsidRPr="00264D5D" w:rsidRDefault="00941227">
            <w:pPr>
              <w:pStyle w:val="GOSTTableHead"/>
              <w:rPr>
                <w:szCs w:val="22"/>
              </w:rPr>
            </w:pPr>
            <w:r w:rsidRPr="00264D5D">
              <w:rPr>
                <w:szCs w:val="22"/>
              </w:rPr>
              <w:t>Дополнительная информация</w:t>
            </w:r>
          </w:p>
        </w:tc>
      </w:tr>
      <w:tr w:rsidR="00AD1F54" w:rsidRPr="00264D5D" w14:paraId="02EE9A5B" w14:textId="77777777" w:rsidTr="00AD1F54">
        <w:trPr>
          <w:cnfStyle w:val="000000100000" w:firstRow="0" w:lastRow="0" w:firstColumn="0" w:lastColumn="0" w:oddVBand="0" w:evenVBand="0" w:oddHBand="1" w:evenHBand="0" w:firstRowFirstColumn="0" w:firstRowLastColumn="0" w:lastRowFirstColumn="0" w:lastRowLastColumn="0"/>
        </w:trPr>
        <w:tc>
          <w:tcPr>
            <w:tcW w:w="1695" w:type="dxa"/>
          </w:tcPr>
          <w:p w14:paraId="27E5D2AE" w14:textId="77777777" w:rsidR="00AD1F54" w:rsidRPr="00264D5D" w:rsidRDefault="00941227">
            <w:pPr>
              <w:pStyle w:val="GOSTTablenorm"/>
            </w:pPr>
            <w:r w:rsidRPr="00264D5D">
              <w:t>Код по Сводному реестру</w:t>
            </w:r>
          </w:p>
        </w:tc>
        <w:tc>
          <w:tcPr>
            <w:tcW w:w="1700" w:type="dxa"/>
          </w:tcPr>
          <w:p w14:paraId="36D0376D" w14:textId="77777777" w:rsidR="00AD1F54" w:rsidRPr="00264D5D" w:rsidRDefault="00941227">
            <w:pPr>
              <w:pStyle w:val="GOSTTablenorm"/>
              <w:rPr>
                <w:lang w:val="en-US"/>
              </w:rPr>
            </w:pPr>
            <w:r w:rsidRPr="00264D5D">
              <w:rPr>
                <w:lang w:val="en-US"/>
              </w:rPr>
              <w:t>Cd</w:t>
            </w:r>
          </w:p>
        </w:tc>
        <w:tc>
          <w:tcPr>
            <w:tcW w:w="567" w:type="dxa"/>
          </w:tcPr>
          <w:p w14:paraId="6CEB1EBF" w14:textId="77777777" w:rsidR="00AD1F54" w:rsidRPr="00264D5D" w:rsidRDefault="00941227">
            <w:pPr>
              <w:pStyle w:val="GOSTTablenorm"/>
              <w:jc w:val="center"/>
            </w:pPr>
            <w:r w:rsidRPr="00264D5D">
              <w:t>П</w:t>
            </w:r>
          </w:p>
        </w:tc>
        <w:tc>
          <w:tcPr>
            <w:tcW w:w="1133" w:type="dxa"/>
          </w:tcPr>
          <w:p w14:paraId="1307708A" w14:textId="77777777" w:rsidR="00AD1F54" w:rsidRPr="00264D5D" w:rsidRDefault="00941227">
            <w:pPr>
              <w:pStyle w:val="GOSTTablenorm"/>
              <w:rPr>
                <w:lang w:val="en-US"/>
              </w:rPr>
            </w:pPr>
            <w:r w:rsidRPr="00264D5D">
              <w:rPr>
                <w:lang w:val="en-US"/>
              </w:rPr>
              <w:t>Т(</w:t>
            </w:r>
            <w:r w:rsidRPr="00264D5D">
              <w:t>8</w:t>
            </w:r>
            <w:r w:rsidRPr="00264D5D">
              <w:rPr>
                <w:lang w:val="en-US"/>
              </w:rPr>
              <w:t>)</w:t>
            </w:r>
          </w:p>
        </w:tc>
        <w:tc>
          <w:tcPr>
            <w:tcW w:w="567" w:type="dxa"/>
          </w:tcPr>
          <w:p w14:paraId="1F750805" w14:textId="77777777" w:rsidR="00AD1F54" w:rsidRPr="00264D5D" w:rsidRDefault="00941227">
            <w:pPr>
              <w:pStyle w:val="GOSTTablenorm"/>
              <w:jc w:val="center"/>
            </w:pPr>
            <w:r w:rsidRPr="00264D5D">
              <w:t>О</w:t>
            </w:r>
          </w:p>
        </w:tc>
        <w:tc>
          <w:tcPr>
            <w:tcW w:w="3963" w:type="dxa"/>
          </w:tcPr>
          <w:p w14:paraId="67C16FE5" w14:textId="77777777" w:rsidR="00AD1F54" w:rsidRPr="00264D5D" w:rsidRDefault="00941227">
            <w:pPr>
              <w:pStyle w:val="GOSTTablenorm"/>
              <w:rPr>
                <w:szCs w:val="22"/>
              </w:rPr>
            </w:pPr>
            <w:r w:rsidRPr="00264D5D">
              <w:t>К</w:t>
            </w:r>
            <w:r w:rsidR="00A10DB3" w:rsidRPr="00264D5D">
              <w:t>од клиента по Сводному реестру</w:t>
            </w:r>
          </w:p>
        </w:tc>
      </w:tr>
      <w:tr w:rsidR="00AD1F54" w:rsidRPr="00264D5D" w14:paraId="446C9747" w14:textId="77777777" w:rsidTr="00AD1F54">
        <w:trPr>
          <w:cnfStyle w:val="000000010000" w:firstRow="0" w:lastRow="0" w:firstColumn="0" w:lastColumn="0" w:oddVBand="0" w:evenVBand="0" w:oddHBand="0" w:evenHBand="1" w:firstRowFirstColumn="0" w:firstRowLastColumn="0" w:lastRowFirstColumn="0" w:lastRowLastColumn="0"/>
        </w:trPr>
        <w:tc>
          <w:tcPr>
            <w:tcW w:w="1695" w:type="dxa"/>
          </w:tcPr>
          <w:p w14:paraId="16A459B2" w14:textId="77777777" w:rsidR="00AD1F54" w:rsidRPr="00264D5D" w:rsidRDefault="00941227">
            <w:pPr>
              <w:pStyle w:val="GOSTTablenorm"/>
            </w:pPr>
            <w:r w:rsidRPr="00264D5D">
              <w:t>Наименование клиента</w:t>
            </w:r>
          </w:p>
        </w:tc>
        <w:tc>
          <w:tcPr>
            <w:tcW w:w="1700" w:type="dxa"/>
          </w:tcPr>
          <w:p w14:paraId="3A11C3D4" w14:textId="77777777" w:rsidR="00AD1F54" w:rsidRPr="00264D5D" w:rsidRDefault="00941227">
            <w:pPr>
              <w:pStyle w:val="GOSTTablenorm"/>
              <w:rPr>
                <w:lang w:val="en-US"/>
              </w:rPr>
            </w:pPr>
            <w:r w:rsidRPr="00264D5D">
              <w:rPr>
                <w:lang w:val="en-US"/>
              </w:rPr>
              <w:t>FullNm</w:t>
            </w:r>
          </w:p>
        </w:tc>
        <w:tc>
          <w:tcPr>
            <w:tcW w:w="567" w:type="dxa"/>
          </w:tcPr>
          <w:p w14:paraId="56927567" w14:textId="77777777" w:rsidR="00AD1F54" w:rsidRPr="00264D5D" w:rsidRDefault="00941227">
            <w:pPr>
              <w:pStyle w:val="GOSTTablenorm"/>
              <w:jc w:val="center"/>
            </w:pPr>
            <w:r w:rsidRPr="00264D5D">
              <w:t>П</w:t>
            </w:r>
          </w:p>
        </w:tc>
        <w:tc>
          <w:tcPr>
            <w:tcW w:w="1133" w:type="dxa"/>
          </w:tcPr>
          <w:p w14:paraId="4BAEE502" w14:textId="77777777" w:rsidR="00AD1F54" w:rsidRPr="00264D5D" w:rsidRDefault="00941227">
            <w:pPr>
              <w:pStyle w:val="GOSTTablenorm"/>
              <w:rPr>
                <w:lang w:val="en-US"/>
              </w:rPr>
            </w:pPr>
            <w:r w:rsidRPr="00264D5D">
              <w:rPr>
                <w:lang w:val="en-US"/>
              </w:rPr>
              <w:t>Т(1-</w:t>
            </w:r>
            <w:r w:rsidRPr="00264D5D">
              <w:t>2000</w:t>
            </w:r>
            <w:r w:rsidRPr="00264D5D">
              <w:rPr>
                <w:lang w:val="en-US"/>
              </w:rPr>
              <w:t>)</w:t>
            </w:r>
          </w:p>
        </w:tc>
        <w:tc>
          <w:tcPr>
            <w:tcW w:w="567" w:type="dxa"/>
          </w:tcPr>
          <w:p w14:paraId="0F94497B" w14:textId="77777777" w:rsidR="00AD1F54" w:rsidRPr="00264D5D" w:rsidRDefault="00941227">
            <w:pPr>
              <w:pStyle w:val="GOSTTablenorm"/>
              <w:jc w:val="center"/>
            </w:pPr>
            <w:r w:rsidRPr="00264D5D">
              <w:t>О</w:t>
            </w:r>
          </w:p>
        </w:tc>
        <w:tc>
          <w:tcPr>
            <w:tcW w:w="3963" w:type="dxa"/>
          </w:tcPr>
          <w:p w14:paraId="46D3BFA9" w14:textId="77777777" w:rsidR="00AD1F54" w:rsidRPr="00264D5D" w:rsidRDefault="00A10DB3">
            <w:pPr>
              <w:pStyle w:val="GOSTTablenorm"/>
            </w:pPr>
            <w:r w:rsidRPr="00264D5D">
              <w:t>Наименование клиента</w:t>
            </w:r>
          </w:p>
        </w:tc>
      </w:tr>
      <w:tr w:rsidR="00AD1F54" w:rsidRPr="00264D5D" w14:paraId="783E29E4" w14:textId="77777777" w:rsidTr="00AD1F54">
        <w:trPr>
          <w:cnfStyle w:val="000000100000" w:firstRow="0" w:lastRow="0" w:firstColumn="0" w:lastColumn="0" w:oddVBand="0" w:evenVBand="0" w:oddHBand="1" w:evenHBand="0" w:firstRowFirstColumn="0" w:firstRowLastColumn="0" w:lastRowFirstColumn="0" w:lastRowLastColumn="0"/>
        </w:trPr>
        <w:tc>
          <w:tcPr>
            <w:tcW w:w="1695" w:type="dxa"/>
          </w:tcPr>
          <w:p w14:paraId="14F45351" w14:textId="77777777" w:rsidR="00AD1F54" w:rsidRPr="00264D5D" w:rsidRDefault="00941227">
            <w:pPr>
              <w:pStyle w:val="GOSTTablenorm"/>
              <w:rPr>
                <w:szCs w:val="22"/>
              </w:rPr>
            </w:pPr>
            <w:r w:rsidRPr="00264D5D">
              <w:t>Номер лицевого счета</w:t>
            </w:r>
          </w:p>
        </w:tc>
        <w:tc>
          <w:tcPr>
            <w:tcW w:w="1700" w:type="dxa"/>
          </w:tcPr>
          <w:p w14:paraId="7C2CF9B4" w14:textId="77777777" w:rsidR="00AD1F54" w:rsidRPr="00264D5D" w:rsidRDefault="00941227">
            <w:pPr>
              <w:pStyle w:val="GOSTTablenorm"/>
              <w:rPr>
                <w:lang w:val="en-US"/>
              </w:rPr>
            </w:pPr>
            <w:r w:rsidRPr="00264D5D">
              <w:rPr>
                <w:lang w:val="en-US"/>
              </w:rPr>
              <w:t>AcntNmbr</w:t>
            </w:r>
          </w:p>
        </w:tc>
        <w:tc>
          <w:tcPr>
            <w:tcW w:w="567" w:type="dxa"/>
          </w:tcPr>
          <w:p w14:paraId="64745FD5" w14:textId="77777777" w:rsidR="00AD1F54" w:rsidRPr="00264D5D" w:rsidRDefault="00941227">
            <w:pPr>
              <w:pStyle w:val="GOSTTablenorm"/>
              <w:jc w:val="center"/>
            </w:pPr>
            <w:r w:rsidRPr="00264D5D">
              <w:t>П</w:t>
            </w:r>
          </w:p>
        </w:tc>
        <w:tc>
          <w:tcPr>
            <w:tcW w:w="1133" w:type="dxa"/>
          </w:tcPr>
          <w:p w14:paraId="5F8D4884" w14:textId="77777777" w:rsidR="00AD1F54" w:rsidRPr="00264D5D" w:rsidRDefault="00941227">
            <w:pPr>
              <w:pStyle w:val="GOSTTablenorm"/>
              <w:rPr>
                <w:lang w:val="en-US"/>
              </w:rPr>
            </w:pPr>
            <w:r w:rsidRPr="00264D5D">
              <w:rPr>
                <w:lang w:val="en-US"/>
              </w:rPr>
              <w:t>Т(</w:t>
            </w:r>
            <w:r w:rsidRPr="00264D5D">
              <w:t>11</w:t>
            </w:r>
            <w:r w:rsidRPr="00264D5D">
              <w:rPr>
                <w:lang w:val="en-US"/>
              </w:rPr>
              <w:t>)</w:t>
            </w:r>
          </w:p>
        </w:tc>
        <w:tc>
          <w:tcPr>
            <w:tcW w:w="567" w:type="dxa"/>
          </w:tcPr>
          <w:p w14:paraId="4A23DD7F" w14:textId="77777777" w:rsidR="00AD1F54" w:rsidRPr="00264D5D" w:rsidRDefault="00941227">
            <w:pPr>
              <w:pStyle w:val="GOSTTablenorm"/>
              <w:jc w:val="center"/>
            </w:pPr>
            <w:r w:rsidRPr="00264D5D">
              <w:t>О</w:t>
            </w:r>
          </w:p>
        </w:tc>
        <w:tc>
          <w:tcPr>
            <w:tcW w:w="3963" w:type="dxa"/>
          </w:tcPr>
          <w:p w14:paraId="5CF54067" w14:textId="77777777" w:rsidR="00AD1F54" w:rsidRPr="00264D5D" w:rsidRDefault="00941227">
            <w:pPr>
              <w:pStyle w:val="GOSTTablenorm"/>
            </w:pPr>
            <w:r w:rsidRPr="00264D5D">
              <w:t>Л/с клиента, формирующего Заявку.</w:t>
            </w:r>
          </w:p>
          <w:p w14:paraId="47B4A581" w14:textId="77777777" w:rsidR="00AD1F54" w:rsidRPr="00264D5D" w:rsidRDefault="00941227">
            <w:pPr>
              <w:pStyle w:val="GOSTTablenorm"/>
            </w:pPr>
            <w:r w:rsidRPr="00264D5D">
              <w:t>Для налоговых органов указывается номер л/с УФН</w:t>
            </w:r>
            <w:r w:rsidR="00A10DB3" w:rsidRPr="00264D5D">
              <w:t>С, передающего информацию в УФК</w:t>
            </w:r>
          </w:p>
        </w:tc>
      </w:tr>
      <w:tr w:rsidR="00AD1F54" w:rsidRPr="00264D5D" w14:paraId="30F42971" w14:textId="77777777" w:rsidTr="00AD1F54">
        <w:trPr>
          <w:cnfStyle w:val="000000010000" w:firstRow="0" w:lastRow="0" w:firstColumn="0" w:lastColumn="0" w:oddVBand="0" w:evenVBand="0" w:oddHBand="0" w:evenHBand="1" w:firstRowFirstColumn="0" w:firstRowLastColumn="0" w:lastRowFirstColumn="0" w:lastRowLastColumn="0"/>
        </w:trPr>
        <w:tc>
          <w:tcPr>
            <w:tcW w:w="1695" w:type="dxa"/>
          </w:tcPr>
          <w:p w14:paraId="03D9FC7A" w14:textId="77777777" w:rsidR="00AD1F54" w:rsidRPr="00264D5D" w:rsidRDefault="00941227">
            <w:pPr>
              <w:pStyle w:val="GOSTTablenorm"/>
            </w:pPr>
            <w:r w:rsidRPr="00264D5D">
              <w:t>ИНН клиента</w:t>
            </w:r>
          </w:p>
        </w:tc>
        <w:tc>
          <w:tcPr>
            <w:tcW w:w="1700" w:type="dxa"/>
          </w:tcPr>
          <w:p w14:paraId="5CB7967B" w14:textId="77777777" w:rsidR="00AD1F54" w:rsidRPr="00264D5D" w:rsidRDefault="00941227">
            <w:pPr>
              <w:pStyle w:val="GOSTTablenorm"/>
            </w:pPr>
            <w:r w:rsidRPr="00264D5D">
              <w:t>INN</w:t>
            </w:r>
          </w:p>
        </w:tc>
        <w:tc>
          <w:tcPr>
            <w:tcW w:w="567" w:type="dxa"/>
          </w:tcPr>
          <w:p w14:paraId="0A14D570" w14:textId="77777777" w:rsidR="00AD1F54" w:rsidRPr="00264D5D" w:rsidRDefault="00941227">
            <w:pPr>
              <w:pStyle w:val="GOSTTablenorm"/>
              <w:jc w:val="center"/>
            </w:pPr>
            <w:r w:rsidRPr="00264D5D">
              <w:t>П</w:t>
            </w:r>
          </w:p>
        </w:tc>
        <w:tc>
          <w:tcPr>
            <w:tcW w:w="1133" w:type="dxa"/>
          </w:tcPr>
          <w:p w14:paraId="5C4CDA9D" w14:textId="77777777" w:rsidR="00AD1F54" w:rsidRPr="00264D5D" w:rsidRDefault="00941227">
            <w:pPr>
              <w:pStyle w:val="GOSTTablenorm"/>
              <w:rPr>
                <w:lang w:val="en-US"/>
              </w:rPr>
            </w:pPr>
            <w:r w:rsidRPr="00264D5D">
              <w:rPr>
                <w:lang w:val="en-US"/>
              </w:rPr>
              <w:t>Т(</w:t>
            </w:r>
            <w:r w:rsidRPr="00264D5D">
              <w:t>10</w:t>
            </w:r>
            <w:r w:rsidRPr="00264D5D">
              <w:rPr>
                <w:lang w:val="en-US"/>
              </w:rPr>
              <w:t>)</w:t>
            </w:r>
          </w:p>
        </w:tc>
        <w:tc>
          <w:tcPr>
            <w:tcW w:w="567" w:type="dxa"/>
          </w:tcPr>
          <w:p w14:paraId="0B6BAA55" w14:textId="77777777" w:rsidR="00AD1F54" w:rsidRPr="00264D5D" w:rsidRDefault="00941227">
            <w:pPr>
              <w:pStyle w:val="GOSTTablenorm"/>
              <w:jc w:val="center"/>
            </w:pPr>
            <w:r w:rsidRPr="00264D5D">
              <w:t>О</w:t>
            </w:r>
          </w:p>
        </w:tc>
        <w:tc>
          <w:tcPr>
            <w:tcW w:w="3963" w:type="dxa"/>
          </w:tcPr>
          <w:p w14:paraId="3C722492" w14:textId="77777777" w:rsidR="00A10DB3" w:rsidRPr="00264D5D" w:rsidRDefault="00941227">
            <w:pPr>
              <w:pStyle w:val="GOSTTablenorm"/>
            </w:pPr>
            <w:r w:rsidRPr="00264D5D">
              <w:t xml:space="preserve">Указывается ИНН клиента, сформировавшего Заявку. </w:t>
            </w:r>
          </w:p>
          <w:p w14:paraId="01F1B688" w14:textId="77777777" w:rsidR="00AD1F54" w:rsidRPr="00264D5D" w:rsidRDefault="00941227">
            <w:pPr>
              <w:pStyle w:val="GOSTTablenorm"/>
            </w:pPr>
            <w:r w:rsidRPr="00264D5D">
              <w:t>Для налоговых органов указывается ИНН инспекции ФНС России (УФНС), формирующе</w:t>
            </w:r>
            <w:r w:rsidR="00A10DB3" w:rsidRPr="00264D5D">
              <w:t xml:space="preserve">й информацию для </w:t>
            </w:r>
            <w:r w:rsidR="00A10DB3" w:rsidRPr="00264D5D">
              <w:lastRenderedPageBreak/>
              <w:t>передачи в УФК</w:t>
            </w:r>
          </w:p>
        </w:tc>
      </w:tr>
      <w:tr w:rsidR="00AD1F54" w:rsidRPr="00264D5D" w14:paraId="6D48C972" w14:textId="77777777" w:rsidTr="00AD1F54">
        <w:trPr>
          <w:cnfStyle w:val="000000100000" w:firstRow="0" w:lastRow="0" w:firstColumn="0" w:lastColumn="0" w:oddVBand="0" w:evenVBand="0" w:oddHBand="1" w:evenHBand="0" w:firstRowFirstColumn="0" w:firstRowLastColumn="0" w:lastRowFirstColumn="0" w:lastRowLastColumn="0"/>
        </w:trPr>
        <w:tc>
          <w:tcPr>
            <w:tcW w:w="1695" w:type="dxa"/>
          </w:tcPr>
          <w:p w14:paraId="21E6AA13" w14:textId="77777777" w:rsidR="00AD1F54" w:rsidRPr="00264D5D" w:rsidRDefault="00941227">
            <w:pPr>
              <w:pStyle w:val="GOSTTablenorm"/>
            </w:pPr>
            <w:r w:rsidRPr="00264D5D">
              <w:lastRenderedPageBreak/>
              <w:t>КПП клиента</w:t>
            </w:r>
          </w:p>
        </w:tc>
        <w:tc>
          <w:tcPr>
            <w:tcW w:w="1700" w:type="dxa"/>
          </w:tcPr>
          <w:p w14:paraId="2917531A" w14:textId="77777777" w:rsidR="00AD1F54" w:rsidRPr="00264D5D" w:rsidRDefault="00941227">
            <w:pPr>
              <w:pStyle w:val="GOSTTablenorm"/>
            </w:pPr>
            <w:r w:rsidRPr="00264D5D">
              <w:t>KPP</w:t>
            </w:r>
          </w:p>
        </w:tc>
        <w:tc>
          <w:tcPr>
            <w:tcW w:w="567" w:type="dxa"/>
          </w:tcPr>
          <w:p w14:paraId="7EDBC8C2" w14:textId="77777777" w:rsidR="00AD1F54" w:rsidRPr="00264D5D" w:rsidRDefault="00941227">
            <w:pPr>
              <w:pStyle w:val="GOSTTablenorm"/>
              <w:jc w:val="center"/>
            </w:pPr>
            <w:r w:rsidRPr="00264D5D">
              <w:t>П</w:t>
            </w:r>
          </w:p>
        </w:tc>
        <w:tc>
          <w:tcPr>
            <w:tcW w:w="1133" w:type="dxa"/>
          </w:tcPr>
          <w:p w14:paraId="50B1C325" w14:textId="77777777" w:rsidR="00AD1F54" w:rsidRPr="00264D5D" w:rsidRDefault="00941227">
            <w:pPr>
              <w:pStyle w:val="GOSTTablenorm"/>
              <w:rPr>
                <w:lang w:val="en-US"/>
              </w:rPr>
            </w:pPr>
            <w:r w:rsidRPr="00264D5D">
              <w:rPr>
                <w:lang w:val="en-US"/>
              </w:rPr>
              <w:t>Т(</w:t>
            </w:r>
            <w:r w:rsidRPr="00264D5D">
              <w:t>9</w:t>
            </w:r>
            <w:r w:rsidRPr="00264D5D">
              <w:rPr>
                <w:lang w:val="en-US"/>
              </w:rPr>
              <w:t>)</w:t>
            </w:r>
          </w:p>
        </w:tc>
        <w:tc>
          <w:tcPr>
            <w:tcW w:w="567" w:type="dxa"/>
          </w:tcPr>
          <w:p w14:paraId="4E984845" w14:textId="77777777" w:rsidR="00AD1F54" w:rsidRPr="00264D5D" w:rsidRDefault="00941227">
            <w:pPr>
              <w:pStyle w:val="GOSTTablenorm"/>
              <w:jc w:val="center"/>
            </w:pPr>
            <w:r w:rsidRPr="00264D5D">
              <w:t>О</w:t>
            </w:r>
          </w:p>
        </w:tc>
        <w:tc>
          <w:tcPr>
            <w:tcW w:w="3963" w:type="dxa"/>
          </w:tcPr>
          <w:p w14:paraId="43195323" w14:textId="77777777" w:rsidR="00A10DB3" w:rsidRPr="00264D5D" w:rsidRDefault="00941227">
            <w:pPr>
              <w:pStyle w:val="GOSTTablenorm"/>
            </w:pPr>
            <w:r w:rsidRPr="00264D5D">
              <w:t xml:space="preserve">Указывается КПП клиента, сформировавшего Заявку. </w:t>
            </w:r>
          </w:p>
          <w:p w14:paraId="3D9737E9" w14:textId="77777777" w:rsidR="00AD1F54" w:rsidRPr="00264D5D" w:rsidRDefault="00941227">
            <w:pPr>
              <w:pStyle w:val="GOSTTablenorm"/>
            </w:pPr>
            <w:r w:rsidRPr="00264D5D">
              <w:t>Для налоговых органов указывается КПП инспекции ФНС России (УФНС), формирующе</w:t>
            </w:r>
            <w:r w:rsidR="00A10DB3" w:rsidRPr="00264D5D">
              <w:t>й информацию для передачи в УФК</w:t>
            </w:r>
          </w:p>
        </w:tc>
      </w:tr>
    </w:tbl>
    <w:p w14:paraId="1C651885" w14:textId="77777777" w:rsidR="00AD1F54" w:rsidRPr="00264D5D" w:rsidRDefault="00941227">
      <w:pPr>
        <w:pStyle w:val="31"/>
      </w:pPr>
      <w:bookmarkStart w:id="1189" w:name="_Toc776936"/>
      <w:bookmarkStart w:id="1190" w:name="_Toc1469442"/>
      <w:bookmarkStart w:id="1191" w:name="_Toc219309567"/>
      <w:r w:rsidRPr="00264D5D">
        <w:t>Описание комплексного типа «tMSC_Orgnztn»</w:t>
      </w:r>
      <w:bookmarkEnd w:id="1189"/>
      <w:bookmarkEnd w:id="1190"/>
      <w:bookmarkEnd w:id="1191"/>
    </w:p>
    <w:p w14:paraId="6D6A74C4" w14:textId="77777777" w:rsidR="00AD1F54" w:rsidRPr="00264D5D" w:rsidRDefault="00941227">
      <w:pPr>
        <w:pStyle w:val="ASFKNormal"/>
        <w:spacing w:before="60" w:after="120"/>
        <w:jc w:val="both"/>
        <w:rPr>
          <w:sz w:val="24"/>
          <w:szCs w:val="24"/>
        </w:rPr>
      </w:pPr>
      <w:r w:rsidRPr="00264D5D">
        <w:rPr>
          <w:sz w:val="24"/>
          <w:szCs w:val="24"/>
        </w:rPr>
        <w:t xml:space="preserve">Описание комплексного типа </w:t>
      </w:r>
      <w:r w:rsidRPr="00264D5D">
        <w:rPr>
          <w:rFonts w:eastAsia="Calibri"/>
          <w:sz w:val="24"/>
          <w:szCs w:val="24"/>
        </w:rPr>
        <w:t>«</w:t>
      </w:r>
      <w:r w:rsidRPr="00264D5D">
        <w:rPr>
          <w:sz w:val="24"/>
          <w:szCs w:val="24"/>
        </w:rPr>
        <w:t>tMSC_Orgnztn» блока «Организация».</w:t>
      </w:r>
    </w:p>
    <w:p w14:paraId="280E63DD" w14:textId="221F6C0D"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1192" w:name="_Ref524685964"/>
      <w:bookmarkStart w:id="1193" w:name="_Toc776486"/>
      <w:bookmarkStart w:id="1194" w:name="_Toc219309150"/>
      <w:r w:rsidR="008D797C">
        <w:rPr>
          <w:noProof/>
        </w:rPr>
        <w:t>120</w:t>
      </w:r>
      <w:bookmarkEnd w:id="1192"/>
      <w:r w:rsidRPr="00264D5D">
        <w:fldChar w:fldCharType="end"/>
      </w:r>
      <w:r w:rsidRPr="00264D5D">
        <w:rPr>
          <w:rFonts w:eastAsia="Calibri"/>
          <w:szCs w:val="24"/>
        </w:rPr>
        <w:t xml:space="preserve"> – </w:t>
      </w:r>
      <w:r w:rsidRPr="00264D5D">
        <w:t xml:space="preserve">Описание комплексного типа </w:t>
      </w:r>
      <w:r w:rsidRPr="00264D5D">
        <w:rPr>
          <w:szCs w:val="24"/>
        </w:rPr>
        <w:t>«tMSC_Orgnztn»</w:t>
      </w:r>
      <w:bookmarkEnd w:id="1193"/>
      <w:bookmarkEnd w:id="1194"/>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7F102C9E"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4B19D50C" w14:textId="77777777" w:rsidR="00AD1F54" w:rsidRPr="00264D5D" w:rsidRDefault="00941227">
            <w:pPr>
              <w:pStyle w:val="GOSTTableHead"/>
            </w:pPr>
            <w:r w:rsidRPr="00264D5D">
              <w:t>Наименование элемента</w:t>
            </w:r>
          </w:p>
        </w:tc>
        <w:tc>
          <w:tcPr>
            <w:tcW w:w="1701" w:type="dxa"/>
          </w:tcPr>
          <w:p w14:paraId="390F1D4E" w14:textId="77777777" w:rsidR="00AD1F54" w:rsidRPr="00264D5D" w:rsidRDefault="00941227">
            <w:pPr>
              <w:pStyle w:val="GOSTTableHead"/>
            </w:pPr>
            <w:r w:rsidRPr="00264D5D">
              <w:t>Сокращенное наименование (код) элемента</w:t>
            </w:r>
          </w:p>
        </w:tc>
        <w:tc>
          <w:tcPr>
            <w:tcW w:w="567" w:type="dxa"/>
          </w:tcPr>
          <w:p w14:paraId="13E3FB0D" w14:textId="77777777" w:rsidR="00AD1F54" w:rsidRPr="00264D5D" w:rsidRDefault="00941227">
            <w:pPr>
              <w:pStyle w:val="GOSTTableHead"/>
            </w:pPr>
            <w:r w:rsidRPr="00264D5D">
              <w:t>Тип</w:t>
            </w:r>
          </w:p>
        </w:tc>
        <w:tc>
          <w:tcPr>
            <w:tcW w:w="1134" w:type="dxa"/>
          </w:tcPr>
          <w:p w14:paraId="2C22E0AA" w14:textId="77777777" w:rsidR="00AD1F54" w:rsidRPr="00264D5D" w:rsidRDefault="00941227">
            <w:pPr>
              <w:pStyle w:val="GOSTTableHead"/>
            </w:pPr>
            <w:r w:rsidRPr="00264D5D">
              <w:t>Формат элемента</w:t>
            </w:r>
          </w:p>
        </w:tc>
        <w:tc>
          <w:tcPr>
            <w:tcW w:w="567" w:type="dxa"/>
          </w:tcPr>
          <w:p w14:paraId="5111A369" w14:textId="77777777" w:rsidR="00AD1F54" w:rsidRPr="00264D5D" w:rsidRDefault="00941227">
            <w:pPr>
              <w:pStyle w:val="GOSTTableHead"/>
            </w:pPr>
            <w:r w:rsidRPr="00264D5D">
              <w:t>Обязательность</w:t>
            </w:r>
          </w:p>
        </w:tc>
        <w:tc>
          <w:tcPr>
            <w:tcW w:w="3963" w:type="dxa"/>
          </w:tcPr>
          <w:p w14:paraId="2CB6E231" w14:textId="77777777" w:rsidR="00AD1F54" w:rsidRPr="00264D5D" w:rsidRDefault="00941227">
            <w:pPr>
              <w:pStyle w:val="GOSTTableHead"/>
              <w:rPr>
                <w:szCs w:val="22"/>
              </w:rPr>
            </w:pPr>
            <w:r w:rsidRPr="00264D5D">
              <w:rPr>
                <w:szCs w:val="22"/>
              </w:rPr>
              <w:t>Дополнительная информация</w:t>
            </w:r>
          </w:p>
        </w:tc>
      </w:tr>
      <w:tr w:rsidR="00AD1F54" w:rsidRPr="00264D5D" w14:paraId="06DCF82E"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A8C99CB" w14:textId="77777777" w:rsidR="00AD1F54" w:rsidRPr="00264D5D" w:rsidRDefault="00941227">
            <w:pPr>
              <w:pStyle w:val="GOSTTablenorm"/>
              <w:rPr>
                <w:szCs w:val="22"/>
              </w:rPr>
            </w:pPr>
            <w:r w:rsidRPr="00264D5D">
              <w:t>Информация о ТОФК</w:t>
            </w:r>
          </w:p>
        </w:tc>
        <w:tc>
          <w:tcPr>
            <w:tcW w:w="1701" w:type="dxa"/>
          </w:tcPr>
          <w:p w14:paraId="6EF4C5E7" w14:textId="77777777" w:rsidR="00AD1F54" w:rsidRPr="00264D5D" w:rsidRDefault="00941227">
            <w:pPr>
              <w:pStyle w:val="GOSTTablenorm"/>
              <w:rPr>
                <w:lang w:val="en-US"/>
              </w:rPr>
            </w:pPr>
            <w:r w:rsidRPr="00264D5D">
              <w:rPr>
                <w:lang w:val="en-US"/>
              </w:rPr>
              <w:t>MSC_OrFK</w:t>
            </w:r>
          </w:p>
        </w:tc>
        <w:tc>
          <w:tcPr>
            <w:tcW w:w="567" w:type="dxa"/>
          </w:tcPr>
          <w:p w14:paraId="3F5921DC" w14:textId="77777777" w:rsidR="00AD1F54" w:rsidRPr="00264D5D" w:rsidRDefault="00941227">
            <w:pPr>
              <w:pStyle w:val="GOSTTablenorm"/>
              <w:jc w:val="center"/>
            </w:pPr>
            <w:r w:rsidRPr="00264D5D">
              <w:t>С</w:t>
            </w:r>
          </w:p>
        </w:tc>
        <w:tc>
          <w:tcPr>
            <w:tcW w:w="1134" w:type="dxa"/>
          </w:tcPr>
          <w:p w14:paraId="5974C0F9" w14:textId="77777777" w:rsidR="00AD1F54" w:rsidRPr="00264D5D" w:rsidRDefault="00941227">
            <w:pPr>
              <w:pStyle w:val="GOSTTablenorm"/>
            </w:pPr>
            <w:r w:rsidRPr="00264D5D">
              <w:t>tMSC_TOFK</w:t>
            </w:r>
          </w:p>
        </w:tc>
        <w:tc>
          <w:tcPr>
            <w:tcW w:w="567" w:type="dxa"/>
          </w:tcPr>
          <w:p w14:paraId="6F1BF84E" w14:textId="77777777" w:rsidR="00AD1F54" w:rsidRPr="00264D5D" w:rsidRDefault="00941227">
            <w:pPr>
              <w:pStyle w:val="GOSTTablenorm"/>
              <w:jc w:val="center"/>
            </w:pPr>
            <w:r w:rsidRPr="00264D5D">
              <w:t>О</w:t>
            </w:r>
          </w:p>
        </w:tc>
        <w:tc>
          <w:tcPr>
            <w:tcW w:w="3963" w:type="dxa"/>
          </w:tcPr>
          <w:p w14:paraId="1F11BF1A" w14:textId="20D5954F" w:rsidR="00AD1F54" w:rsidRPr="00264D5D" w:rsidRDefault="00941227">
            <w:pPr>
              <w:pStyle w:val="GOSTTablenorm"/>
            </w:pPr>
            <w:r w:rsidRPr="00264D5D">
              <w:t xml:space="preserve">Состав элемента представлен в таблице </w:t>
            </w:r>
            <w:r w:rsidRPr="00264D5D">
              <w:rPr>
                <w:b/>
              </w:rPr>
              <w:fldChar w:fldCharType="begin"/>
            </w:r>
            <w:r w:rsidRPr="00264D5D">
              <w:rPr>
                <w:b/>
              </w:rPr>
              <w:instrText xml:space="preserve"> REF _Ref523937158 \h  \* MERGEFORMAT </w:instrText>
            </w:r>
            <w:r w:rsidRPr="00264D5D">
              <w:rPr>
                <w:b/>
              </w:rPr>
            </w:r>
            <w:r w:rsidRPr="00264D5D">
              <w:rPr>
                <w:b/>
              </w:rPr>
              <w:fldChar w:fldCharType="separate"/>
            </w:r>
            <w:r w:rsidR="008D797C" w:rsidRPr="008D797C">
              <w:rPr>
                <w:b/>
              </w:rPr>
              <w:t>121</w:t>
            </w:r>
            <w:r w:rsidRPr="00264D5D">
              <w:rPr>
                <w:b/>
              </w:rPr>
              <w:fldChar w:fldCharType="end"/>
            </w:r>
          </w:p>
        </w:tc>
      </w:tr>
      <w:tr w:rsidR="00AD1F54" w:rsidRPr="00264D5D" w14:paraId="1A7B71F5"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6629A4DF" w14:textId="77777777" w:rsidR="00AD1F54" w:rsidRPr="00264D5D" w:rsidRDefault="00941227">
            <w:pPr>
              <w:pStyle w:val="GOSTTablenorm"/>
            </w:pPr>
            <w:r w:rsidRPr="00264D5D">
              <w:t>Наименование бюджета</w:t>
            </w:r>
          </w:p>
        </w:tc>
        <w:tc>
          <w:tcPr>
            <w:tcW w:w="1701" w:type="dxa"/>
          </w:tcPr>
          <w:p w14:paraId="66A6E6A3" w14:textId="77777777" w:rsidR="00AD1F54" w:rsidRPr="00264D5D" w:rsidRDefault="00941227">
            <w:pPr>
              <w:pStyle w:val="GOSTTablenorm"/>
              <w:rPr>
                <w:lang w:val="en-US"/>
              </w:rPr>
            </w:pPr>
            <w:r w:rsidRPr="00264D5D">
              <w:rPr>
                <w:lang w:val="en-US"/>
              </w:rPr>
              <w:t>NmBdgt</w:t>
            </w:r>
          </w:p>
        </w:tc>
        <w:tc>
          <w:tcPr>
            <w:tcW w:w="567" w:type="dxa"/>
          </w:tcPr>
          <w:p w14:paraId="2BEADD13" w14:textId="77777777" w:rsidR="00AD1F54" w:rsidRPr="00264D5D" w:rsidRDefault="00941227">
            <w:pPr>
              <w:pStyle w:val="GOSTTablenorm"/>
              <w:jc w:val="center"/>
              <w:rPr>
                <w:lang w:val="en-US"/>
              </w:rPr>
            </w:pPr>
            <w:r w:rsidRPr="00264D5D">
              <w:t>П</w:t>
            </w:r>
          </w:p>
        </w:tc>
        <w:tc>
          <w:tcPr>
            <w:tcW w:w="1134" w:type="dxa"/>
          </w:tcPr>
          <w:p w14:paraId="6C2FDDEB" w14:textId="77777777" w:rsidR="00AD1F54" w:rsidRPr="00264D5D" w:rsidRDefault="00941227">
            <w:pPr>
              <w:pStyle w:val="GOSTTablenorm"/>
            </w:pPr>
            <w:r w:rsidRPr="00264D5D">
              <w:rPr>
                <w:lang w:val="en-US"/>
              </w:rPr>
              <w:t>Т(</w:t>
            </w:r>
            <w:r w:rsidRPr="00264D5D">
              <w:t>1-512</w:t>
            </w:r>
            <w:r w:rsidRPr="00264D5D">
              <w:rPr>
                <w:lang w:val="en-US"/>
              </w:rPr>
              <w:t>)</w:t>
            </w:r>
          </w:p>
        </w:tc>
        <w:tc>
          <w:tcPr>
            <w:tcW w:w="567" w:type="dxa"/>
          </w:tcPr>
          <w:p w14:paraId="03616D2C" w14:textId="77777777" w:rsidR="00AD1F54" w:rsidRPr="00264D5D" w:rsidRDefault="00941227">
            <w:pPr>
              <w:pStyle w:val="GOSTTablenorm"/>
              <w:jc w:val="center"/>
            </w:pPr>
            <w:r w:rsidRPr="00264D5D">
              <w:t>Н</w:t>
            </w:r>
          </w:p>
        </w:tc>
        <w:tc>
          <w:tcPr>
            <w:tcW w:w="3963" w:type="dxa"/>
          </w:tcPr>
          <w:p w14:paraId="4BA5DA92" w14:textId="77777777" w:rsidR="00AD1F54" w:rsidRPr="00264D5D" w:rsidRDefault="00941227">
            <w:pPr>
              <w:pStyle w:val="GOSTTablenorm"/>
            </w:pPr>
            <w:r w:rsidRPr="00264D5D">
              <w:t>Для УБП федерального уровня указывается «Федеральный бюджет».</w:t>
            </w:r>
          </w:p>
          <w:p w14:paraId="34BEE59C" w14:textId="77777777" w:rsidR="00AD1F54" w:rsidRPr="00264D5D" w:rsidRDefault="00941227">
            <w:pPr>
              <w:pStyle w:val="GOSTTablenorm"/>
            </w:pPr>
            <w:r w:rsidRPr="00264D5D">
              <w:t>Не</w:t>
            </w:r>
            <w:r w:rsidR="00A10DB3" w:rsidRPr="00264D5D">
              <w:t xml:space="preserve"> указывается для АУ, БУ</w:t>
            </w:r>
          </w:p>
        </w:tc>
      </w:tr>
      <w:tr w:rsidR="00AD1F54" w:rsidRPr="00264D5D" w14:paraId="25201C6D"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CCF8725" w14:textId="77777777" w:rsidR="00AD1F54" w:rsidRPr="00264D5D" w:rsidRDefault="00941227">
            <w:pPr>
              <w:pStyle w:val="GOSTTablenorm"/>
            </w:pPr>
            <w:r w:rsidRPr="00264D5D">
              <w:t>Финансовый орган</w:t>
            </w:r>
          </w:p>
        </w:tc>
        <w:tc>
          <w:tcPr>
            <w:tcW w:w="1701" w:type="dxa"/>
          </w:tcPr>
          <w:p w14:paraId="10804054" w14:textId="77777777" w:rsidR="00AD1F54" w:rsidRPr="00264D5D" w:rsidRDefault="00941227">
            <w:pPr>
              <w:pStyle w:val="GOSTTablenorm"/>
            </w:pPr>
            <w:r w:rsidRPr="00264D5D">
              <w:t>FnclInst</w:t>
            </w:r>
          </w:p>
        </w:tc>
        <w:tc>
          <w:tcPr>
            <w:tcW w:w="567" w:type="dxa"/>
          </w:tcPr>
          <w:p w14:paraId="23309E99" w14:textId="77777777" w:rsidR="00AD1F54" w:rsidRPr="00264D5D" w:rsidRDefault="00941227">
            <w:pPr>
              <w:pStyle w:val="GOSTTablenorm"/>
              <w:jc w:val="center"/>
            </w:pPr>
            <w:r w:rsidRPr="00264D5D">
              <w:t>С</w:t>
            </w:r>
          </w:p>
        </w:tc>
        <w:tc>
          <w:tcPr>
            <w:tcW w:w="1134" w:type="dxa"/>
          </w:tcPr>
          <w:p w14:paraId="1B412362" w14:textId="77777777" w:rsidR="00AD1F54" w:rsidRPr="00264D5D" w:rsidRDefault="00941227">
            <w:pPr>
              <w:pStyle w:val="GOSTTablenorm"/>
            </w:pPr>
            <w:r w:rsidRPr="00264D5D">
              <w:rPr>
                <w:lang w:val="en-US"/>
              </w:rPr>
              <w:t>tMSC_FnclInst</w:t>
            </w:r>
          </w:p>
        </w:tc>
        <w:tc>
          <w:tcPr>
            <w:tcW w:w="567" w:type="dxa"/>
          </w:tcPr>
          <w:p w14:paraId="2CF72B3D" w14:textId="77777777" w:rsidR="00AD1F54" w:rsidRPr="00264D5D" w:rsidRDefault="00941227">
            <w:pPr>
              <w:pStyle w:val="GOSTTablenorm"/>
              <w:jc w:val="center"/>
            </w:pPr>
            <w:r w:rsidRPr="00264D5D">
              <w:t>Н</w:t>
            </w:r>
          </w:p>
        </w:tc>
        <w:tc>
          <w:tcPr>
            <w:tcW w:w="3963" w:type="dxa"/>
          </w:tcPr>
          <w:p w14:paraId="21428553" w14:textId="37AC1FFA" w:rsidR="00AD1F54" w:rsidRPr="00264D5D" w:rsidRDefault="00941227">
            <w:pPr>
              <w:pStyle w:val="GOSTTablenorm"/>
            </w:pPr>
            <w:r w:rsidRPr="00264D5D">
              <w:t xml:space="preserve">Состав элемента представлен в таблице </w:t>
            </w:r>
            <w:r w:rsidRPr="00264D5D">
              <w:rPr>
                <w:b/>
              </w:rPr>
              <w:fldChar w:fldCharType="begin"/>
            </w:r>
            <w:r w:rsidRPr="00264D5D">
              <w:rPr>
                <w:b/>
              </w:rPr>
              <w:instrText xml:space="preserve"> REF _Ref532399915 \h  \* MERGEFORMAT </w:instrText>
            </w:r>
            <w:r w:rsidRPr="00264D5D">
              <w:rPr>
                <w:b/>
              </w:rPr>
            </w:r>
            <w:r w:rsidRPr="00264D5D">
              <w:rPr>
                <w:b/>
              </w:rPr>
              <w:fldChar w:fldCharType="separate"/>
            </w:r>
            <w:r w:rsidR="008D797C" w:rsidRPr="008D797C">
              <w:rPr>
                <w:rFonts w:eastAsia="Calibri"/>
                <w:b/>
              </w:rPr>
              <w:t>122</w:t>
            </w:r>
            <w:r w:rsidRPr="00264D5D">
              <w:rPr>
                <w:b/>
              </w:rPr>
              <w:fldChar w:fldCharType="end"/>
            </w:r>
            <w:r w:rsidRPr="00264D5D">
              <w:t>.</w:t>
            </w:r>
          </w:p>
          <w:p w14:paraId="1001838B" w14:textId="77777777" w:rsidR="00AD1F54" w:rsidRPr="00264D5D" w:rsidRDefault="00A10DB3">
            <w:pPr>
              <w:pStyle w:val="GOSTTablenorm"/>
            </w:pPr>
            <w:r w:rsidRPr="00264D5D">
              <w:t>Не указывается для АУ, БУ</w:t>
            </w:r>
          </w:p>
        </w:tc>
      </w:tr>
    </w:tbl>
    <w:p w14:paraId="5BEF4C86" w14:textId="77777777" w:rsidR="00AD1F54" w:rsidRPr="00264D5D" w:rsidRDefault="00941227">
      <w:pPr>
        <w:pStyle w:val="31"/>
      </w:pPr>
      <w:bookmarkStart w:id="1195" w:name="_Toc2068585"/>
      <w:bookmarkStart w:id="1196" w:name="_Toc2611428"/>
      <w:bookmarkStart w:id="1197" w:name="_Toc2762055"/>
      <w:bookmarkStart w:id="1198" w:name="_Toc2068627"/>
      <w:bookmarkStart w:id="1199" w:name="_Toc776937"/>
      <w:bookmarkStart w:id="1200" w:name="_Toc1469443"/>
      <w:bookmarkStart w:id="1201" w:name="_Toc219309568"/>
      <w:r w:rsidRPr="00264D5D">
        <w:t>Описание комплексного типа «tMSC_TOFK»</w:t>
      </w:r>
      <w:bookmarkEnd w:id="1195"/>
      <w:bookmarkEnd w:id="1196"/>
      <w:bookmarkEnd w:id="1197"/>
      <w:bookmarkEnd w:id="1201"/>
    </w:p>
    <w:p w14:paraId="0657A319" w14:textId="77777777" w:rsidR="00AD1F54" w:rsidRPr="00264D5D" w:rsidRDefault="00941227">
      <w:pPr>
        <w:pStyle w:val="ASFKNormal"/>
        <w:spacing w:before="60" w:after="120"/>
        <w:jc w:val="both"/>
      </w:pPr>
      <w:r w:rsidRPr="00264D5D">
        <w:rPr>
          <w:sz w:val="24"/>
        </w:rPr>
        <w:t xml:space="preserve">Описание комплексного типа </w:t>
      </w:r>
      <w:r w:rsidRPr="00264D5D">
        <w:rPr>
          <w:rFonts w:eastAsia="Calibri"/>
          <w:sz w:val="24"/>
        </w:rPr>
        <w:t>«</w:t>
      </w:r>
      <w:r w:rsidRPr="00264D5D">
        <w:rPr>
          <w:color w:val="000000"/>
          <w:sz w:val="24"/>
          <w:szCs w:val="22"/>
        </w:rPr>
        <w:t>tMSC_TOFK</w:t>
      </w:r>
      <w:r w:rsidRPr="00264D5D">
        <w:rPr>
          <w:sz w:val="24"/>
        </w:rPr>
        <w:t>» блока «ТОФК».</w:t>
      </w:r>
    </w:p>
    <w:p w14:paraId="6B18B791" w14:textId="6127B141"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1202" w:name="_Ref523937158"/>
      <w:bookmarkStart w:id="1203" w:name="_Toc2068874"/>
      <w:bookmarkStart w:id="1204" w:name="_Toc219309151"/>
      <w:r w:rsidR="008D797C">
        <w:rPr>
          <w:noProof/>
        </w:rPr>
        <w:t>121</w:t>
      </w:r>
      <w:bookmarkEnd w:id="1202"/>
      <w:r w:rsidRPr="00264D5D">
        <w:fldChar w:fldCharType="end"/>
      </w:r>
      <w:r w:rsidRPr="00264D5D">
        <w:rPr>
          <w:rFonts w:eastAsia="Calibri"/>
          <w:szCs w:val="24"/>
        </w:rPr>
        <w:t xml:space="preserve"> – </w:t>
      </w:r>
      <w:r w:rsidRPr="00264D5D">
        <w:t>Описание комплексного типа «</w:t>
      </w:r>
      <w:r w:rsidRPr="00264D5D">
        <w:rPr>
          <w:color w:val="000000"/>
          <w:szCs w:val="22"/>
        </w:rPr>
        <w:t>tMSC_TOFK</w:t>
      </w:r>
      <w:r w:rsidRPr="00264D5D">
        <w:t>»</w:t>
      </w:r>
      <w:bookmarkEnd w:id="1203"/>
      <w:bookmarkEnd w:id="1204"/>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0AA2CAAB"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2E472C70" w14:textId="77777777" w:rsidR="00AD1F54" w:rsidRPr="00264D5D" w:rsidRDefault="00941227">
            <w:pPr>
              <w:pStyle w:val="GOSTTableHead"/>
              <w:keepNext w:val="0"/>
              <w:widowControl w:val="0"/>
            </w:pPr>
            <w:r w:rsidRPr="00264D5D">
              <w:t>Наименование элемента</w:t>
            </w:r>
          </w:p>
        </w:tc>
        <w:tc>
          <w:tcPr>
            <w:tcW w:w="1701" w:type="dxa"/>
          </w:tcPr>
          <w:p w14:paraId="7B809AC7" w14:textId="77777777" w:rsidR="00AD1F54" w:rsidRPr="00264D5D" w:rsidRDefault="00941227">
            <w:pPr>
              <w:pStyle w:val="GOSTTableHead"/>
              <w:keepNext w:val="0"/>
              <w:widowControl w:val="0"/>
            </w:pPr>
            <w:r w:rsidRPr="00264D5D">
              <w:t>Сокращенное наименование (код) элемента</w:t>
            </w:r>
          </w:p>
        </w:tc>
        <w:tc>
          <w:tcPr>
            <w:tcW w:w="567" w:type="dxa"/>
          </w:tcPr>
          <w:p w14:paraId="0FBEB92F" w14:textId="77777777" w:rsidR="00AD1F54" w:rsidRPr="00264D5D" w:rsidRDefault="00941227">
            <w:pPr>
              <w:pStyle w:val="GOSTTableHead"/>
              <w:keepNext w:val="0"/>
              <w:widowControl w:val="0"/>
            </w:pPr>
            <w:r w:rsidRPr="00264D5D">
              <w:t>Тип</w:t>
            </w:r>
          </w:p>
        </w:tc>
        <w:tc>
          <w:tcPr>
            <w:tcW w:w="1134" w:type="dxa"/>
          </w:tcPr>
          <w:p w14:paraId="22D30157" w14:textId="77777777" w:rsidR="00AD1F54" w:rsidRPr="00264D5D" w:rsidRDefault="00941227">
            <w:pPr>
              <w:pStyle w:val="GOSTTableHead"/>
              <w:keepNext w:val="0"/>
              <w:widowControl w:val="0"/>
            </w:pPr>
            <w:r w:rsidRPr="00264D5D">
              <w:t>Формат элемента</w:t>
            </w:r>
          </w:p>
        </w:tc>
        <w:tc>
          <w:tcPr>
            <w:tcW w:w="567" w:type="dxa"/>
          </w:tcPr>
          <w:p w14:paraId="13E7221A" w14:textId="77777777" w:rsidR="00AD1F54" w:rsidRPr="00264D5D" w:rsidRDefault="00941227">
            <w:pPr>
              <w:pStyle w:val="GOSTTableHead"/>
              <w:keepNext w:val="0"/>
              <w:widowControl w:val="0"/>
            </w:pPr>
            <w:r w:rsidRPr="00264D5D">
              <w:t>Обязательность</w:t>
            </w:r>
          </w:p>
        </w:tc>
        <w:tc>
          <w:tcPr>
            <w:tcW w:w="3963" w:type="dxa"/>
          </w:tcPr>
          <w:p w14:paraId="2513FB77" w14:textId="77777777" w:rsidR="00AD1F54" w:rsidRPr="00264D5D" w:rsidRDefault="00941227">
            <w:pPr>
              <w:pStyle w:val="GOSTTableHead"/>
              <w:keepNext w:val="0"/>
              <w:widowControl w:val="0"/>
              <w:rPr>
                <w:szCs w:val="22"/>
              </w:rPr>
            </w:pPr>
            <w:r w:rsidRPr="00264D5D">
              <w:rPr>
                <w:szCs w:val="22"/>
              </w:rPr>
              <w:t>Дополнительная информация</w:t>
            </w:r>
          </w:p>
        </w:tc>
      </w:tr>
      <w:tr w:rsidR="00AD1F54" w:rsidRPr="00264D5D" w14:paraId="461D201B"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245ABB5" w14:textId="77777777" w:rsidR="00AD1F54" w:rsidRPr="00264D5D" w:rsidRDefault="00941227">
            <w:pPr>
              <w:pStyle w:val="GOSTTablenorm"/>
              <w:widowControl w:val="0"/>
              <w:rPr>
                <w:color w:val="000000"/>
                <w:szCs w:val="22"/>
              </w:rPr>
            </w:pPr>
            <w:r w:rsidRPr="00264D5D">
              <w:rPr>
                <w:color w:val="000000"/>
                <w:szCs w:val="22"/>
              </w:rPr>
              <w:t>Наименование ТОФК</w:t>
            </w:r>
          </w:p>
        </w:tc>
        <w:tc>
          <w:tcPr>
            <w:tcW w:w="1701" w:type="dxa"/>
          </w:tcPr>
          <w:p w14:paraId="65D91153" w14:textId="77777777" w:rsidR="00AD1F54" w:rsidRPr="00264D5D" w:rsidRDefault="00941227">
            <w:pPr>
              <w:widowControl w:val="0"/>
              <w:spacing w:before="60" w:after="60"/>
              <w:rPr>
                <w:sz w:val="22"/>
                <w:szCs w:val="22"/>
                <w:lang w:val="en-US"/>
              </w:rPr>
            </w:pPr>
            <w:r w:rsidRPr="00264D5D">
              <w:rPr>
                <w:color w:val="000000"/>
                <w:sz w:val="22"/>
                <w:szCs w:val="22"/>
                <w:lang w:val="en-US"/>
              </w:rPr>
              <w:t>Nm</w:t>
            </w:r>
          </w:p>
        </w:tc>
        <w:tc>
          <w:tcPr>
            <w:tcW w:w="567" w:type="dxa"/>
          </w:tcPr>
          <w:p w14:paraId="537A7D6F" w14:textId="77777777" w:rsidR="00AD1F54" w:rsidRPr="00264D5D" w:rsidRDefault="00941227">
            <w:pPr>
              <w:pStyle w:val="GOSTTablenorm"/>
              <w:widowControl w:val="0"/>
              <w:jc w:val="center"/>
              <w:rPr>
                <w:szCs w:val="22"/>
              </w:rPr>
            </w:pPr>
            <w:r w:rsidRPr="00264D5D">
              <w:rPr>
                <w:szCs w:val="22"/>
              </w:rPr>
              <w:t>П</w:t>
            </w:r>
          </w:p>
        </w:tc>
        <w:tc>
          <w:tcPr>
            <w:tcW w:w="1134" w:type="dxa"/>
          </w:tcPr>
          <w:p w14:paraId="1D2AF4D3" w14:textId="77777777" w:rsidR="00AD1F54" w:rsidRPr="00264D5D" w:rsidRDefault="00941227">
            <w:pPr>
              <w:pStyle w:val="GOSTTablenorm"/>
              <w:widowControl w:val="0"/>
              <w:rPr>
                <w:color w:val="000000"/>
                <w:szCs w:val="22"/>
              </w:rPr>
            </w:pPr>
            <w:r w:rsidRPr="00264D5D">
              <w:rPr>
                <w:color w:val="000000"/>
                <w:szCs w:val="22"/>
                <w:lang w:val="en-US"/>
              </w:rPr>
              <w:t>Т(1-2000)</w:t>
            </w:r>
          </w:p>
        </w:tc>
        <w:tc>
          <w:tcPr>
            <w:tcW w:w="567" w:type="dxa"/>
          </w:tcPr>
          <w:p w14:paraId="13FF12E7" w14:textId="77777777" w:rsidR="00AD1F54" w:rsidRPr="00264D5D" w:rsidRDefault="00941227">
            <w:pPr>
              <w:widowControl w:val="0"/>
              <w:spacing w:before="60" w:after="60"/>
              <w:jc w:val="center"/>
              <w:rPr>
                <w:sz w:val="22"/>
                <w:szCs w:val="22"/>
              </w:rPr>
            </w:pPr>
            <w:r w:rsidRPr="00264D5D">
              <w:rPr>
                <w:sz w:val="22"/>
                <w:szCs w:val="22"/>
              </w:rPr>
              <w:t>О</w:t>
            </w:r>
          </w:p>
        </w:tc>
        <w:tc>
          <w:tcPr>
            <w:tcW w:w="3963" w:type="dxa"/>
          </w:tcPr>
          <w:p w14:paraId="3B84F000" w14:textId="77777777" w:rsidR="00AD1F54" w:rsidRPr="00264D5D" w:rsidRDefault="00941227">
            <w:pPr>
              <w:pStyle w:val="GOSTTablenorm"/>
              <w:widowControl w:val="0"/>
              <w:rPr>
                <w:szCs w:val="22"/>
              </w:rPr>
            </w:pPr>
            <w:r w:rsidRPr="00264D5D">
              <w:rPr>
                <w:szCs w:val="22"/>
              </w:rPr>
              <w:t>Полное наименование ТОФК.</w:t>
            </w:r>
          </w:p>
          <w:p w14:paraId="75F7FFCC" w14:textId="77777777" w:rsidR="00AD1F54" w:rsidRPr="00264D5D" w:rsidRDefault="00941227">
            <w:pPr>
              <w:pStyle w:val="GOSTTablenorm"/>
              <w:widowControl w:val="0"/>
              <w:rPr>
                <w:szCs w:val="22"/>
              </w:rPr>
            </w:pPr>
            <w:r w:rsidRPr="00264D5D">
              <w:rPr>
                <w:szCs w:val="22"/>
              </w:rPr>
              <w:t>Поле заполняется в соответствии с ц</w:t>
            </w:r>
            <w:r w:rsidR="00A10DB3" w:rsidRPr="00264D5D">
              <w:rPr>
                <w:szCs w:val="22"/>
              </w:rPr>
              <w:t>ентрализованным справочником ФК</w:t>
            </w:r>
          </w:p>
        </w:tc>
      </w:tr>
      <w:tr w:rsidR="00AD1F54" w:rsidRPr="00264D5D" w14:paraId="1B7513BC"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66659455" w14:textId="77777777" w:rsidR="00AD1F54" w:rsidRPr="00264D5D" w:rsidRDefault="00941227">
            <w:pPr>
              <w:pStyle w:val="GOSTTablenorm"/>
              <w:widowControl w:val="0"/>
              <w:rPr>
                <w:color w:val="000000"/>
                <w:szCs w:val="22"/>
              </w:rPr>
            </w:pPr>
            <w:r w:rsidRPr="00264D5D">
              <w:rPr>
                <w:color w:val="000000"/>
                <w:szCs w:val="22"/>
              </w:rPr>
              <w:t>Код ТОФК</w:t>
            </w:r>
          </w:p>
        </w:tc>
        <w:tc>
          <w:tcPr>
            <w:tcW w:w="1701" w:type="dxa"/>
          </w:tcPr>
          <w:p w14:paraId="61F869A0" w14:textId="77777777" w:rsidR="00AD1F54" w:rsidRPr="00264D5D" w:rsidRDefault="00941227">
            <w:pPr>
              <w:widowControl w:val="0"/>
              <w:spacing w:before="60" w:after="60"/>
              <w:rPr>
                <w:sz w:val="22"/>
                <w:szCs w:val="22"/>
                <w:lang w:val="en-US"/>
              </w:rPr>
            </w:pPr>
            <w:r w:rsidRPr="00264D5D">
              <w:rPr>
                <w:color w:val="000000"/>
                <w:sz w:val="22"/>
                <w:szCs w:val="22"/>
                <w:lang w:val="en-US"/>
              </w:rPr>
              <w:t>Cd</w:t>
            </w:r>
          </w:p>
        </w:tc>
        <w:tc>
          <w:tcPr>
            <w:tcW w:w="567" w:type="dxa"/>
          </w:tcPr>
          <w:p w14:paraId="11F91CC8" w14:textId="77777777" w:rsidR="00AD1F54" w:rsidRPr="00264D5D" w:rsidRDefault="00941227">
            <w:pPr>
              <w:pStyle w:val="GOSTTablenorm"/>
              <w:widowControl w:val="0"/>
              <w:jc w:val="center"/>
              <w:rPr>
                <w:szCs w:val="22"/>
              </w:rPr>
            </w:pPr>
            <w:r w:rsidRPr="00264D5D">
              <w:rPr>
                <w:szCs w:val="22"/>
              </w:rPr>
              <w:t>П</w:t>
            </w:r>
          </w:p>
        </w:tc>
        <w:tc>
          <w:tcPr>
            <w:tcW w:w="1134" w:type="dxa"/>
          </w:tcPr>
          <w:p w14:paraId="1CD1EF96" w14:textId="77777777" w:rsidR="00AD1F54" w:rsidRPr="00264D5D" w:rsidRDefault="00941227">
            <w:pPr>
              <w:pStyle w:val="GOSTTablenorm"/>
              <w:widowControl w:val="0"/>
              <w:rPr>
                <w:color w:val="000000"/>
                <w:szCs w:val="22"/>
              </w:rPr>
            </w:pPr>
            <w:r w:rsidRPr="00264D5D">
              <w:rPr>
                <w:color w:val="000000"/>
                <w:szCs w:val="22"/>
                <w:lang w:val="en-US"/>
              </w:rPr>
              <w:t>Т(4)</w:t>
            </w:r>
          </w:p>
        </w:tc>
        <w:tc>
          <w:tcPr>
            <w:tcW w:w="567" w:type="dxa"/>
          </w:tcPr>
          <w:p w14:paraId="3CE1198B" w14:textId="77777777" w:rsidR="00AD1F54" w:rsidRPr="00264D5D" w:rsidRDefault="00941227">
            <w:pPr>
              <w:widowControl w:val="0"/>
              <w:spacing w:before="60" w:after="60"/>
              <w:jc w:val="center"/>
              <w:rPr>
                <w:sz w:val="22"/>
                <w:szCs w:val="22"/>
              </w:rPr>
            </w:pPr>
            <w:r w:rsidRPr="00264D5D">
              <w:rPr>
                <w:sz w:val="22"/>
                <w:szCs w:val="22"/>
              </w:rPr>
              <w:t>О</w:t>
            </w:r>
          </w:p>
        </w:tc>
        <w:tc>
          <w:tcPr>
            <w:tcW w:w="3963" w:type="dxa"/>
          </w:tcPr>
          <w:p w14:paraId="229DD159" w14:textId="77777777" w:rsidR="00AD1F54" w:rsidRPr="00264D5D" w:rsidRDefault="00941227">
            <w:pPr>
              <w:pStyle w:val="GOSTTablenorm"/>
              <w:widowControl w:val="0"/>
              <w:rPr>
                <w:szCs w:val="22"/>
              </w:rPr>
            </w:pPr>
            <w:r w:rsidRPr="00264D5D">
              <w:rPr>
                <w:szCs w:val="22"/>
              </w:rPr>
              <w:t>Поле заполняется в соответствии с ц</w:t>
            </w:r>
            <w:r w:rsidR="00A10DB3" w:rsidRPr="00264D5D">
              <w:rPr>
                <w:szCs w:val="22"/>
              </w:rPr>
              <w:t>ентрализованным справочником ФК</w:t>
            </w:r>
          </w:p>
        </w:tc>
      </w:tr>
    </w:tbl>
    <w:p w14:paraId="7582C2F3" w14:textId="77777777" w:rsidR="00AD1F54" w:rsidRPr="00264D5D" w:rsidRDefault="00941227">
      <w:pPr>
        <w:pStyle w:val="31"/>
      </w:pPr>
      <w:bookmarkStart w:id="1205" w:name="_Toc219309569"/>
      <w:r w:rsidRPr="00264D5D">
        <w:lastRenderedPageBreak/>
        <w:t>Описание комплексного типа «tMSC_FnclInst»</w:t>
      </w:r>
      <w:bookmarkEnd w:id="1198"/>
      <w:bookmarkEnd w:id="1205"/>
    </w:p>
    <w:p w14:paraId="347DD233" w14:textId="77777777" w:rsidR="00AD1F54" w:rsidRPr="00264D5D" w:rsidRDefault="00941227">
      <w:pPr>
        <w:pStyle w:val="ASFKNormal"/>
        <w:spacing w:before="60" w:after="120"/>
        <w:jc w:val="both"/>
        <w:rPr>
          <w:sz w:val="24"/>
        </w:rPr>
      </w:pPr>
      <w:r w:rsidRPr="00264D5D">
        <w:rPr>
          <w:sz w:val="24"/>
        </w:rPr>
        <w:t xml:space="preserve">Описание комплексного типа </w:t>
      </w:r>
      <w:r w:rsidRPr="00264D5D">
        <w:rPr>
          <w:rFonts w:eastAsia="Calibri"/>
          <w:sz w:val="24"/>
        </w:rPr>
        <w:t>«</w:t>
      </w:r>
      <w:r w:rsidRPr="00264D5D">
        <w:rPr>
          <w:sz w:val="24"/>
          <w:lang w:val="en-US"/>
        </w:rPr>
        <w:t>tMSC</w:t>
      </w:r>
      <w:r w:rsidRPr="00264D5D">
        <w:rPr>
          <w:sz w:val="24"/>
        </w:rPr>
        <w:t>_</w:t>
      </w:r>
      <w:r w:rsidRPr="00264D5D">
        <w:rPr>
          <w:sz w:val="24"/>
          <w:lang w:val="en-US"/>
        </w:rPr>
        <w:t>FnclInst</w:t>
      </w:r>
      <w:r w:rsidRPr="00264D5D">
        <w:rPr>
          <w:sz w:val="24"/>
        </w:rPr>
        <w:t>» блока «Финансовый орган».</w:t>
      </w:r>
    </w:p>
    <w:p w14:paraId="59F5B3FC" w14:textId="714A4509" w:rsidR="00AD1F54" w:rsidRPr="00264D5D" w:rsidRDefault="00941227">
      <w:pPr>
        <w:pStyle w:val="GOSTNameTable"/>
        <w:numPr>
          <w:ilvl w:val="0"/>
          <w:numId w:val="2"/>
        </w:numPr>
        <w:tabs>
          <w:tab w:val="left" w:pos="993"/>
        </w:tabs>
        <w:ind w:left="425" w:hanging="357"/>
        <w:rPr>
          <w:rFonts w:eastAsia="Calibri"/>
        </w:rPr>
      </w:pPr>
      <w:r w:rsidRPr="00264D5D">
        <w:rPr>
          <w:rFonts w:eastAsia="Calibri"/>
        </w:rPr>
        <w:fldChar w:fldCharType="begin"/>
      </w:r>
      <w:r w:rsidRPr="00264D5D">
        <w:rPr>
          <w:rFonts w:eastAsia="Calibri"/>
        </w:rPr>
        <w:instrText xml:space="preserve"> SEQ Таблица \* ARABIC </w:instrText>
      </w:r>
      <w:r w:rsidRPr="00264D5D">
        <w:rPr>
          <w:rFonts w:eastAsia="Calibri"/>
        </w:rPr>
        <w:fldChar w:fldCharType="separate"/>
      </w:r>
      <w:bookmarkStart w:id="1206" w:name="_Ref532399915"/>
      <w:bookmarkStart w:id="1207" w:name="_Toc2068913"/>
      <w:bookmarkStart w:id="1208" w:name="_Toc219309152"/>
      <w:r w:rsidR="008D797C">
        <w:rPr>
          <w:rFonts w:eastAsia="Calibri"/>
          <w:noProof/>
        </w:rPr>
        <w:t>122</w:t>
      </w:r>
      <w:bookmarkEnd w:id="1206"/>
      <w:r w:rsidRPr="00264D5D">
        <w:rPr>
          <w:rFonts w:eastAsia="Calibri"/>
        </w:rPr>
        <w:fldChar w:fldCharType="end"/>
      </w:r>
      <w:r w:rsidRPr="00264D5D">
        <w:rPr>
          <w:rFonts w:eastAsia="Calibri"/>
          <w:szCs w:val="24"/>
        </w:rPr>
        <w:t xml:space="preserve"> – </w:t>
      </w:r>
      <w:r w:rsidRPr="00264D5D">
        <w:rPr>
          <w:rFonts w:eastAsia="Calibri"/>
        </w:rPr>
        <w:t xml:space="preserve">Описание комплексного </w:t>
      </w:r>
      <w:r w:rsidRPr="00264D5D">
        <w:rPr>
          <w:rFonts w:eastAsia="Calibri"/>
          <w:szCs w:val="24"/>
        </w:rPr>
        <w:t>типа «</w:t>
      </w:r>
      <w:r w:rsidRPr="00264D5D">
        <w:rPr>
          <w:szCs w:val="24"/>
          <w:lang w:val="en-US"/>
        </w:rPr>
        <w:t>tMSC</w:t>
      </w:r>
      <w:r w:rsidRPr="00264D5D">
        <w:rPr>
          <w:szCs w:val="24"/>
        </w:rPr>
        <w:t>_</w:t>
      </w:r>
      <w:r w:rsidRPr="00264D5D">
        <w:rPr>
          <w:szCs w:val="24"/>
          <w:lang w:val="en-US"/>
        </w:rPr>
        <w:t>FnclInst</w:t>
      </w:r>
      <w:r w:rsidRPr="00264D5D">
        <w:rPr>
          <w:rFonts w:eastAsia="Calibri"/>
          <w:szCs w:val="24"/>
        </w:rPr>
        <w:t>»</w:t>
      </w:r>
      <w:bookmarkEnd w:id="1207"/>
      <w:bookmarkEnd w:id="1208"/>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104CA3C7"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4206B2FF" w14:textId="77777777" w:rsidR="00AD1F54" w:rsidRPr="00264D5D" w:rsidRDefault="00941227">
            <w:pPr>
              <w:pStyle w:val="GOSTTableHead"/>
            </w:pPr>
            <w:r w:rsidRPr="00264D5D">
              <w:t>Наименование элемента</w:t>
            </w:r>
          </w:p>
        </w:tc>
        <w:tc>
          <w:tcPr>
            <w:tcW w:w="1701" w:type="dxa"/>
          </w:tcPr>
          <w:p w14:paraId="160DC26C" w14:textId="77777777" w:rsidR="00AD1F54" w:rsidRPr="00264D5D" w:rsidRDefault="00941227">
            <w:pPr>
              <w:pStyle w:val="GOSTTableHead"/>
            </w:pPr>
            <w:r w:rsidRPr="00264D5D">
              <w:t>Сокращенное наименование (код) элемента</w:t>
            </w:r>
          </w:p>
        </w:tc>
        <w:tc>
          <w:tcPr>
            <w:tcW w:w="567" w:type="dxa"/>
          </w:tcPr>
          <w:p w14:paraId="28E85E49" w14:textId="77777777" w:rsidR="00AD1F54" w:rsidRPr="00264D5D" w:rsidRDefault="00941227">
            <w:pPr>
              <w:pStyle w:val="GOSTTableHead"/>
            </w:pPr>
            <w:r w:rsidRPr="00264D5D">
              <w:t>Тип</w:t>
            </w:r>
          </w:p>
        </w:tc>
        <w:tc>
          <w:tcPr>
            <w:tcW w:w="1134" w:type="dxa"/>
          </w:tcPr>
          <w:p w14:paraId="7575E112" w14:textId="77777777" w:rsidR="00AD1F54" w:rsidRPr="00264D5D" w:rsidRDefault="00941227">
            <w:pPr>
              <w:pStyle w:val="GOSTTableHead"/>
            </w:pPr>
            <w:r w:rsidRPr="00264D5D">
              <w:t>Формат элемента</w:t>
            </w:r>
          </w:p>
        </w:tc>
        <w:tc>
          <w:tcPr>
            <w:tcW w:w="567" w:type="dxa"/>
          </w:tcPr>
          <w:p w14:paraId="4648657A" w14:textId="77777777" w:rsidR="00AD1F54" w:rsidRPr="00264D5D" w:rsidRDefault="00941227">
            <w:pPr>
              <w:pStyle w:val="GOSTTableHead"/>
            </w:pPr>
            <w:r w:rsidRPr="00264D5D">
              <w:t>Обязательность</w:t>
            </w:r>
          </w:p>
        </w:tc>
        <w:tc>
          <w:tcPr>
            <w:tcW w:w="3963" w:type="dxa"/>
          </w:tcPr>
          <w:p w14:paraId="6269CF90" w14:textId="77777777" w:rsidR="00AD1F54" w:rsidRPr="00264D5D" w:rsidRDefault="00941227">
            <w:pPr>
              <w:pStyle w:val="GOSTTableHead"/>
              <w:rPr>
                <w:szCs w:val="22"/>
              </w:rPr>
            </w:pPr>
            <w:r w:rsidRPr="00264D5D">
              <w:rPr>
                <w:szCs w:val="22"/>
              </w:rPr>
              <w:t>Дополнительная информация</w:t>
            </w:r>
          </w:p>
        </w:tc>
      </w:tr>
      <w:tr w:rsidR="00AD1F54" w:rsidRPr="00264D5D" w14:paraId="6A7770E0"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733C250" w14:textId="77777777" w:rsidR="00AD1F54" w:rsidRPr="00264D5D" w:rsidRDefault="00941227">
            <w:pPr>
              <w:pStyle w:val="GOSTTablenorm"/>
            </w:pPr>
            <w:r w:rsidRPr="00264D5D">
              <w:t>Наименование финансового органа</w:t>
            </w:r>
          </w:p>
        </w:tc>
        <w:tc>
          <w:tcPr>
            <w:tcW w:w="1701" w:type="dxa"/>
          </w:tcPr>
          <w:p w14:paraId="47B259AB" w14:textId="77777777" w:rsidR="00AD1F54" w:rsidRPr="00264D5D" w:rsidRDefault="00941227">
            <w:pPr>
              <w:pStyle w:val="GOSTTablenorm"/>
            </w:pPr>
            <w:r w:rsidRPr="00264D5D">
              <w:t>FnclInst</w:t>
            </w:r>
          </w:p>
        </w:tc>
        <w:tc>
          <w:tcPr>
            <w:tcW w:w="567" w:type="dxa"/>
          </w:tcPr>
          <w:p w14:paraId="2026D076" w14:textId="77777777" w:rsidR="00AD1F54" w:rsidRPr="00264D5D" w:rsidRDefault="00941227">
            <w:pPr>
              <w:pStyle w:val="GOSTTablenorm"/>
              <w:jc w:val="center"/>
            </w:pPr>
            <w:r w:rsidRPr="00264D5D">
              <w:t>П</w:t>
            </w:r>
          </w:p>
        </w:tc>
        <w:tc>
          <w:tcPr>
            <w:tcW w:w="1134" w:type="dxa"/>
          </w:tcPr>
          <w:p w14:paraId="0C180275" w14:textId="77777777" w:rsidR="00AD1F54" w:rsidRPr="00264D5D" w:rsidRDefault="00941227">
            <w:pPr>
              <w:pStyle w:val="GOSTTablenorm"/>
              <w:rPr>
                <w:lang w:val="en-US"/>
              </w:rPr>
            </w:pPr>
            <w:r w:rsidRPr="00264D5D">
              <w:rPr>
                <w:lang w:val="en-US"/>
              </w:rPr>
              <w:t>Т(1-</w:t>
            </w:r>
            <w:r w:rsidRPr="00264D5D">
              <w:t>2000</w:t>
            </w:r>
            <w:r w:rsidRPr="00264D5D">
              <w:rPr>
                <w:lang w:val="en-US"/>
              </w:rPr>
              <w:t>)</w:t>
            </w:r>
          </w:p>
        </w:tc>
        <w:tc>
          <w:tcPr>
            <w:tcW w:w="567" w:type="dxa"/>
          </w:tcPr>
          <w:p w14:paraId="1022EFD7" w14:textId="77777777" w:rsidR="00AD1F54" w:rsidRPr="00264D5D" w:rsidRDefault="00941227">
            <w:pPr>
              <w:pStyle w:val="GOSTTablenorm"/>
              <w:jc w:val="center"/>
            </w:pPr>
            <w:r w:rsidRPr="00264D5D">
              <w:t>О</w:t>
            </w:r>
          </w:p>
        </w:tc>
        <w:tc>
          <w:tcPr>
            <w:tcW w:w="3963" w:type="dxa"/>
          </w:tcPr>
          <w:p w14:paraId="2757BA76" w14:textId="77777777" w:rsidR="00AD1F54" w:rsidRPr="00264D5D" w:rsidRDefault="00941227">
            <w:pPr>
              <w:pStyle w:val="GOSTTablenorm"/>
            </w:pPr>
            <w:r w:rsidRPr="00264D5D">
              <w:t>Полное наименование финансового органа.</w:t>
            </w:r>
          </w:p>
          <w:p w14:paraId="6B9912E9" w14:textId="77777777" w:rsidR="00AD1F54" w:rsidRPr="00264D5D" w:rsidRDefault="00941227">
            <w:pPr>
              <w:pStyle w:val="GOSTTablenorm"/>
              <w:rPr>
                <w:szCs w:val="22"/>
              </w:rPr>
            </w:pPr>
            <w:r w:rsidRPr="00264D5D">
              <w:rPr>
                <w:szCs w:val="22"/>
              </w:rPr>
              <w:t>Для УБП федерального уровня, указывается «Министерство</w:t>
            </w:r>
            <w:r w:rsidR="00A10DB3" w:rsidRPr="00264D5D">
              <w:rPr>
                <w:szCs w:val="22"/>
              </w:rPr>
              <w:t xml:space="preserve"> финансов Российской Федерации»</w:t>
            </w:r>
          </w:p>
        </w:tc>
      </w:tr>
      <w:tr w:rsidR="00AD1F54" w:rsidRPr="00264D5D" w14:paraId="00BA9BD8"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03322183" w14:textId="77777777" w:rsidR="00AD1F54" w:rsidRPr="00264D5D" w:rsidRDefault="00941227">
            <w:pPr>
              <w:pStyle w:val="GOSTTablenorm"/>
            </w:pPr>
            <w:r w:rsidRPr="00264D5D">
              <w:t>Код по ОКПО</w:t>
            </w:r>
          </w:p>
        </w:tc>
        <w:tc>
          <w:tcPr>
            <w:tcW w:w="1701" w:type="dxa"/>
          </w:tcPr>
          <w:p w14:paraId="353C53CA" w14:textId="77777777" w:rsidR="00AD1F54" w:rsidRPr="00264D5D" w:rsidRDefault="00941227">
            <w:pPr>
              <w:pStyle w:val="GOSTTablenorm"/>
            </w:pPr>
            <w:r w:rsidRPr="00264D5D">
              <w:t>OKPOCd</w:t>
            </w:r>
          </w:p>
        </w:tc>
        <w:tc>
          <w:tcPr>
            <w:tcW w:w="567" w:type="dxa"/>
          </w:tcPr>
          <w:p w14:paraId="666744E0" w14:textId="77777777" w:rsidR="00AD1F54" w:rsidRPr="00264D5D" w:rsidRDefault="00941227">
            <w:pPr>
              <w:pStyle w:val="GOSTTablenorm"/>
              <w:jc w:val="center"/>
            </w:pPr>
            <w:r w:rsidRPr="00264D5D">
              <w:t>П</w:t>
            </w:r>
          </w:p>
        </w:tc>
        <w:tc>
          <w:tcPr>
            <w:tcW w:w="1134" w:type="dxa"/>
          </w:tcPr>
          <w:p w14:paraId="22CA23B6" w14:textId="77777777" w:rsidR="00AD1F54" w:rsidRPr="00264D5D" w:rsidRDefault="00941227">
            <w:pPr>
              <w:pStyle w:val="GOSTTablenorm"/>
              <w:rPr>
                <w:lang w:val="en-US"/>
              </w:rPr>
            </w:pPr>
            <w:r w:rsidRPr="00264D5D">
              <w:rPr>
                <w:lang w:val="en-US"/>
              </w:rPr>
              <w:t>Т(</w:t>
            </w:r>
            <w:r w:rsidRPr="00264D5D">
              <w:t>8</w:t>
            </w:r>
            <w:r w:rsidRPr="00264D5D">
              <w:rPr>
                <w:lang w:val="en-US"/>
              </w:rPr>
              <w:t>)</w:t>
            </w:r>
          </w:p>
        </w:tc>
        <w:tc>
          <w:tcPr>
            <w:tcW w:w="567" w:type="dxa"/>
          </w:tcPr>
          <w:p w14:paraId="3FC8CAE5" w14:textId="77777777" w:rsidR="00AD1F54" w:rsidRPr="00264D5D" w:rsidRDefault="00941227">
            <w:pPr>
              <w:pStyle w:val="GOSTTablenorm"/>
              <w:jc w:val="center"/>
            </w:pPr>
            <w:r w:rsidRPr="00264D5D">
              <w:t>О</w:t>
            </w:r>
          </w:p>
        </w:tc>
        <w:tc>
          <w:tcPr>
            <w:tcW w:w="3963" w:type="dxa"/>
          </w:tcPr>
          <w:p w14:paraId="151C7B80" w14:textId="77777777" w:rsidR="00AD1F54" w:rsidRPr="00264D5D" w:rsidRDefault="00941227">
            <w:pPr>
              <w:pStyle w:val="GOSTTablenorm"/>
            </w:pPr>
            <w:r w:rsidRPr="00264D5D">
              <w:t>Указывается</w:t>
            </w:r>
            <w:r w:rsidR="00A10DB3" w:rsidRPr="00264D5D">
              <w:t xml:space="preserve"> код по ОКПО финансового органа</w:t>
            </w:r>
          </w:p>
        </w:tc>
      </w:tr>
    </w:tbl>
    <w:p w14:paraId="11F965BE" w14:textId="77777777" w:rsidR="00AD1F54" w:rsidRPr="00264D5D" w:rsidRDefault="00941227">
      <w:pPr>
        <w:pStyle w:val="31"/>
      </w:pPr>
      <w:bookmarkStart w:id="1209" w:name="_Toc219309570"/>
      <w:r w:rsidRPr="00264D5D">
        <w:t>Описание комплексного типа «tMSC_GRBS»</w:t>
      </w:r>
      <w:bookmarkEnd w:id="1199"/>
      <w:bookmarkEnd w:id="1200"/>
      <w:bookmarkEnd w:id="1209"/>
    </w:p>
    <w:p w14:paraId="27C0ED50" w14:textId="77777777" w:rsidR="00AD1F54" w:rsidRPr="00264D5D" w:rsidRDefault="00941227">
      <w:pPr>
        <w:pStyle w:val="ASFKNormal"/>
        <w:spacing w:before="60" w:after="120"/>
        <w:contextualSpacing w:val="0"/>
        <w:jc w:val="both"/>
        <w:rPr>
          <w:sz w:val="24"/>
          <w:szCs w:val="24"/>
        </w:rPr>
      </w:pPr>
      <w:r w:rsidRPr="00264D5D">
        <w:rPr>
          <w:sz w:val="24"/>
          <w:szCs w:val="24"/>
        </w:rPr>
        <w:t>Описание комплексного типа «</w:t>
      </w:r>
      <w:r w:rsidRPr="00264D5D">
        <w:rPr>
          <w:sz w:val="24"/>
          <w:szCs w:val="24"/>
          <w:lang w:val="en-US"/>
        </w:rPr>
        <w:t>tMSC</w:t>
      </w:r>
      <w:r w:rsidRPr="00264D5D">
        <w:rPr>
          <w:sz w:val="24"/>
          <w:szCs w:val="24"/>
        </w:rPr>
        <w:t>_</w:t>
      </w:r>
      <w:r w:rsidRPr="00264D5D">
        <w:rPr>
          <w:sz w:val="24"/>
          <w:szCs w:val="24"/>
          <w:lang w:val="en-US"/>
        </w:rPr>
        <w:t>GRBS</w:t>
      </w:r>
      <w:r w:rsidRPr="00264D5D">
        <w:rPr>
          <w:sz w:val="24"/>
          <w:szCs w:val="24"/>
        </w:rPr>
        <w:t>» блока «Информация о ГРБС/ГАДБ/ГАИФДБ».</w:t>
      </w:r>
    </w:p>
    <w:p w14:paraId="2F5CD963" w14:textId="63E4C6E9" w:rsidR="00AD1F54" w:rsidRPr="00264D5D" w:rsidRDefault="00941227">
      <w:pPr>
        <w:pStyle w:val="GOSTNameTable"/>
        <w:numPr>
          <w:ilvl w:val="0"/>
          <w:numId w:val="2"/>
        </w:numPr>
        <w:tabs>
          <w:tab w:val="left" w:pos="993"/>
        </w:tabs>
        <w:ind w:left="425" w:hanging="357"/>
        <w:rPr>
          <w:szCs w:val="24"/>
        </w:rPr>
      </w:pPr>
      <w:r w:rsidRPr="00264D5D">
        <w:fldChar w:fldCharType="begin"/>
      </w:r>
      <w:r w:rsidRPr="00264D5D">
        <w:instrText>SEQ Таблица \* ARABIC</w:instrText>
      </w:r>
      <w:r w:rsidRPr="00264D5D">
        <w:fldChar w:fldCharType="separate"/>
      </w:r>
      <w:bookmarkStart w:id="1210" w:name="_Ref524685974"/>
      <w:bookmarkStart w:id="1211" w:name="_Toc776487"/>
      <w:bookmarkStart w:id="1212" w:name="_Toc219309153"/>
      <w:r w:rsidR="008D797C">
        <w:rPr>
          <w:noProof/>
        </w:rPr>
        <w:t>123</w:t>
      </w:r>
      <w:bookmarkEnd w:id="1210"/>
      <w:r w:rsidRPr="00264D5D">
        <w:fldChar w:fldCharType="end"/>
      </w:r>
      <w:r w:rsidRPr="00264D5D">
        <w:rPr>
          <w:rFonts w:eastAsia="Calibri"/>
          <w:szCs w:val="24"/>
        </w:rPr>
        <w:t xml:space="preserve"> – </w:t>
      </w:r>
      <w:r w:rsidRPr="00264D5D">
        <w:rPr>
          <w:szCs w:val="24"/>
        </w:rPr>
        <w:t>Описание комплексного типа «</w:t>
      </w:r>
      <w:r w:rsidRPr="00264D5D">
        <w:rPr>
          <w:szCs w:val="24"/>
          <w:lang w:val="en-US"/>
        </w:rPr>
        <w:t>tMSC</w:t>
      </w:r>
      <w:r w:rsidRPr="00264D5D">
        <w:rPr>
          <w:szCs w:val="24"/>
        </w:rPr>
        <w:t>_</w:t>
      </w:r>
      <w:r w:rsidRPr="00264D5D">
        <w:rPr>
          <w:szCs w:val="24"/>
          <w:lang w:val="en-US"/>
        </w:rPr>
        <w:t>GRBS</w:t>
      </w:r>
      <w:r w:rsidRPr="00264D5D">
        <w:rPr>
          <w:szCs w:val="24"/>
        </w:rPr>
        <w:t>»</w:t>
      </w:r>
      <w:bookmarkEnd w:id="1211"/>
      <w:bookmarkEnd w:id="1212"/>
    </w:p>
    <w:tbl>
      <w:tblPr>
        <w:tblStyle w:val="GOSTTable"/>
        <w:tblW w:w="5000" w:type="pct"/>
        <w:tblLayout w:type="fixed"/>
        <w:tblLook w:val="04A0" w:firstRow="1" w:lastRow="0" w:firstColumn="1" w:lastColumn="0" w:noHBand="0" w:noVBand="1"/>
      </w:tblPr>
      <w:tblGrid>
        <w:gridCol w:w="1703"/>
        <w:gridCol w:w="1707"/>
        <w:gridCol w:w="568"/>
        <w:gridCol w:w="1133"/>
        <w:gridCol w:w="567"/>
        <w:gridCol w:w="3972"/>
      </w:tblGrid>
      <w:tr w:rsidR="00AD1F54" w:rsidRPr="00264D5D" w14:paraId="3854EC4B"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2" w:type="pct"/>
          </w:tcPr>
          <w:p w14:paraId="180C7974" w14:textId="77777777" w:rsidR="00AD1F54" w:rsidRPr="00264D5D" w:rsidRDefault="00941227">
            <w:pPr>
              <w:pStyle w:val="GOSTTableHead"/>
            </w:pPr>
            <w:r w:rsidRPr="00264D5D">
              <w:t>Наименование элемента</w:t>
            </w:r>
          </w:p>
        </w:tc>
        <w:tc>
          <w:tcPr>
            <w:tcW w:w="884" w:type="pct"/>
          </w:tcPr>
          <w:p w14:paraId="319C281A" w14:textId="77777777" w:rsidR="00AD1F54" w:rsidRPr="00264D5D" w:rsidRDefault="00941227">
            <w:pPr>
              <w:pStyle w:val="GOSTTableHead"/>
            </w:pPr>
            <w:r w:rsidRPr="00264D5D">
              <w:t>Сокращенное наименование (код) элемента</w:t>
            </w:r>
          </w:p>
        </w:tc>
        <w:tc>
          <w:tcPr>
            <w:tcW w:w="294" w:type="pct"/>
          </w:tcPr>
          <w:p w14:paraId="4EBB3E2E" w14:textId="77777777" w:rsidR="00AD1F54" w:rsidRPr="00264D5D" w:rsidRDefault="00941227">
            <w:pPr>
              <w:pStyle w:val="GOSTTableHead"/>
            </w:pPr>
            <w:r w:rsidRPr="00264D5D">
              <w:t>Тип</w:t>
            </w:r>
          </w:p>
        </w:tc>
        <w:tc>
          <w:tcPr>
            <w:tcW w:w="587" w:type="pct"/>
          </w:tcPr>
          <w:p w14:paraId="004D4CE9" w14:textId="77777777" w:rsidR="00AD1F54" w:rsidRPr="00264D5D" w:rsidRDefault="00941227">
            <w:pPr>
              <w:pStyle w:val="GOSTTableHead"/>
            </w:pPr>
            <w:r w:rsidRPr="00264D5D">
              <w:t>Формат элемента</w:t>
            </w:r>
          </w:p>
        </w:tc>
        <w:tc>
          <w:tcPr>
            <w:tcW w:w="294" w:type="pct"/>
          </w:tcPr>
          <w:p w14:paraId="308C2883" w14:textId="77777777" w:rsidR="00AD1F54" w:rsidRPr="00264D5D" w:rsidRDefault="00941227">
            <w:pPr>
              <w:pStyle w:val="GOSTTableHead"/>
            </w:pPr>
            <w:r w:rsidRPr="00264D5D">
              <w:t>Обязательность</w:t>
            </w:r>
          </w:p>
        </w:tc>
        <w:tc>
          <w:tcPr>
            <w:tcW w:w="2058" w:type="pct"/>
          </w:tcPr>
          <w:p w14:paraId="0BFB0755" w14:textId="77777777" w:rsidR="00AD1F54" w:rsidRPr="00264D5D" w:rsidRDefault="00941227">
            <w:pPr>
              <w:pStyle w:val="GOSTTableHead"/>
            </w:pPr>
            <w:r w:rsidRPr="00264D5D">
              <w:t>Дополнительная информация</w:t>
            </w:r>
          </w:p>
        </w:tc>
      </w:tr>
      <w:tr w:rsidR="00AD1F54" w:rsidRPr="00264D5D" w14:paraId="5644334A"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2" w:type="pct"/>
          </w:tcPr>
          <w:p w14:paraId="2CF9DDBA" w14:textId="77777777" w:rsidR="00AD1F54" w:rsidRPr="00264D5D" w:rsidRDefault="00941227">
            <w:pPr>
              <w:pStyle w:val="GOSTTablenorm"/>
            </w:pPr>
            <w:r w:rsidRPr="00264D5D">
              <w:t xml:space="preserve">Код </w:t>
            </w:r>
            <w:r w:rsidRPr="00264D5D">
              <w:rPr>
                <w:szCs w:val="22"/>
              </w:rPr>
              <w:t>ГРБС/ГАДБ/ГАИФДБ</w:t>
            </w:r>
          </w:p>
        </w:tc>
        <w:tc>
          <w:tcPr>
            <w:tcW w:w="884" w:type="pct"/>
          </w:tcPr>
          <w:p w14:paraId="08BBF24E" w14:textId="77777777" w:rsidR="00AD1F54" w:rsidRPr="00264D5D" w:rsidRDefault="00941227">
            <w:pPr>
              <w:pStyle w:val="GOSTTablenorm"/>
              <w:rPr>
                <w:lang w:val="en-US"/>
              </w:rPr>
            </w:pPr>
            <w:r w:rsidRPr="00264D5D">
              <w:rPr>
                <w:lang w:val="en-US"/>
              </w:rPr>
              <w:t>Cd</w:t>
            </w:r>
          </w:p>
        </w:tc>
        <w:tc>
          <w:tcPr>
            <w:tcW w:w="294" w:type="pct"/>
          </w:tcPr>
          <w:p w14:paraId="2D4B439F" w14:textId="77777777" w:rsidR="00AD1F54" w:rsidRPr="00264D5D" w:rsidRDefault="00941227">
            <w:pPr>
              <w:pStyle w:val="GOSTTablenorm"/>
              <w:jc w:val="center"/>
            </w:pPr>
            <w:r w:rsidRPr="00264D5D">
              <w:t>П</w:t>
            </w:r>
          </w:p>
        </w:tc>
        <w:tc>
          <w:tcPr>
            <w:tcW w:w="587" w:type="pct"/>
          </w:tcPr>
          <w:p w14:paraId="3B6E07D3" w14:textId="77777777" w:rsidR="00AD1F54" w:rsidRPr="00264D5D" w:rsidRDefault="00941227">
            <w:pPr>
              <w:pStyle w:val="GOSTTablenorm"/>
            </w:pPr>
            <w:r w:rsidRPr="00264D5D">
              <w:t>Т(3)</w:t>
            </w:r>
          </w:p>
        </w:tc>
        <w:tc>
          <w:tcPr>
            <w:tcW w:w="294" w:type="pct"/>
          </w:tcPr>
          <w:p w14:paraId="072EF40F" w14:textId="77777777" w:rsidR="00AD1F54" w:rsidRPr="00264D5D" w:rsidRDefault="00941227">
            <w:pPr>
              <w:pStyle w:val="GOSTTablenorm"/>
              <w:jc w:val="center"/>
            </w:pPr>
            <w:r w:rsidRPr="00264D5D">
              <w:t>Н</w:t>
            </w:r>
          </w:p>
        </w:tc>
        <w:tc>
          <w:tcPr>
            <w:tcW w:w="2058" w:type="pct"/>
          </w:tcPr>
          <w:p w14:paraId="2F55A516" w14:textId="77777777" w:rsidR="00AD1F54" w:rsidRPr="00264D5D" w:rsidRDefault="00941227">
            <w:pPr>
              <w:pStyle w:val="GOSTTablenorm"/>
            </w:pPr>
            <w:r w:rsidRPr="00264D5D">
              <w:t xml:space="preserve">Код главы </w:t>
            </w:r>
            <w:r w:rsidRPr="00264D5D">
              <w:rPr>
                <w:szCs w:val="22"/>
              </w:rPr>
              <w:t>ГРБС/ГАДБ/ГАИФДБ</w:t>
            </w:r>
            <w:r w:rsidRPr="00264D5D">
              <w:t xml:space="preserve"> по перечню ГАДБ, утвержденному законом (решением) о соответствующем бюджете.</w:t>
            </w:r>
          </w:p>
          <w:p w14:paraId="03AB1B55" w14:textId="77777777" w:rsidR="00AD1F54" w:rsidRPr="00264D5D" w:rsidRDefault="00A10DB3">
            <w:pPr>
              <w:pStyle w:val="GOSTTablenorm"/>
              <w:rPr>
                <w:b/>
                <w:bCs/>
              </w:rPr>
            </w:pPr>
            <w:r w:rsidRPr="00264D5D">
              <w:rPr>
                <w:bCs/>
              </w:rPr>
              <w:t>Не указывается для АУ, БУ</w:t>
            </w:r>
          </w:p>
        </w:tc>
      </w:tr>
      <w:tr w:rsidR="00AD1F54" w:rsidRPr="00264D5D" w14:paraId="08BD9433"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2" w:type="pct"/>
          </w:tcPr>
          <w:p w14:paraId="11708C8E" w14:textId="77777777" w:rsidR="00AD1F54" w:rsidRPr="00264D5D" w:rsidRDefault="00941227">
            <w:pPr>
              <w:pStyle w:val="GOSTTablenorm"/>
            </w:pPr>
            <w:r w:rsidRPr="00264D5D">
              <w:t xml:space="preserve">Наименование </w:t>
            </w:r>
            <w:r w:rsidRPr="00264D5D">
              <w:rPr>
                <w:szCs w:val="24"/>
              </w:rPr>
              <w:t>ГРБС/ГАДБ/ГАИФДБ</w:t>
            </w:r>
          </w:p>
        </w:tc>
        <w:tc>
          <w:tcPr>
            <w:tcW w:w="884" w:type="pct"/>
          </w:tcPr>
          <w:p w14:paraId="25CCE1EE" w14:textId="77777777" w:rsidR="00AD1F54" w:rsidRPr="00264D5D" w:rsidRDefault="00941227">
            <w:pPr>
              <w:pStyle w:val="GOSTTablenorm"/>
              <w:rPr>
                <w:lang w:val="en-US"/>
              </w:rPr>
            </w:pPr>
            <w:r w:rsidRPr="00264D5D">
              <w:t>Nm</w:t>
            </w:r>
          </w:p>
        </w:tc>
        <w:tc>
          <w:tcPr>
            <w:tcW w:w="294" w:type="pct"/>
          </w:tcPr>
          <w:p w14:paraId="40041FBB" w14:textId="77777777" w:rsidR="00AD1F54" w:rsidRPr="00264D5D" w:rsidRDefault="00941227">
            <w:pPr>
              <w:pStyle w:val="GOSTTablenorm"/>
              <w:jc w:val="center"/>
            </w:pPr>
            <w:r w:rsidRPr="00264D5D">
              <w:t>П</w:t>
            </w:r>
          </w:p>
        </w:tc>
        <w:tc>
          <w:tcPr>
            <w:tcW w:w="587" w:type="pct"/>
          </w:tcPr>
          <w:p w14:paraId="79423294" w14:textId="77777777" w:rsidR="00AD1F54" w:rsidRPr="00264D5D" w:rsidRDefault="00941227">
            <w:pPr>
              <w:pStyle w:val="GOSTTablenorm"/>
            </w:pPr>
            <w:r w:rsidRPr="00264D5D">
              <w:t>Т(1-2000)</w:t>
            </w:r>
          </w:p>
        </w:tc>
        <w:tc>
          <w:tcPr>
            <w:tcW w:w="294" w:type="pct"/>
          </w:tcPr>
          <w:p w14:paraId="7B9B5C4F" w14:textId="77777777" w:rsidR="00AD1F54" w:rsidRPr="00264D5D" w:rsidRDefault="00941227">
            <w:pPr>
              <w:pStyle w:val="GOSTTablenorm"/>
              <w:jc w:val="center"/>
            </w:pPr>
            <w:r w:rsidRPr="00264D5D">
              <w:t>Н</w:t>
            </w:r>
          </w:p>
        </w:tc>
        <w:tc>
          <w:tcPr>
            <w:tcW w:w="2058" w:type="pct"/>
          </w:tcPr>
          <w:p w14:paraId="12314F58" w14:textId="77777777" w:rsidR="00AD1F54" w:rsidRPr="00264D5D" w:rsidRDefault="00941227">
            <w:pPr>
              <w:pStyle w:val="GOSTTablenorm"/>
            </w:pPr>
            <w:r w:rsidRPr="00264D5D">
              <w:t xml:space="preserve">Полное наименование </w:t>
            </w:r>
            <w:r w:rsidRPr="00264D5D">
              <w:rPr>
                <w:szCs w:val="22"/>
              </w:rPr>
              <w:t>ГРБС/ГАДБ/ГАИФДБ</w:t>
            </w:r>
            <w:r w:rsidRPr="00264D5D">
              <w:t>, в ведении которого наход</w:t>
            </w:r>
            <w:r w:rsidR="00A10DB3" w:rsidRPr="00264D5D">
              <w:t>ится клиент, формирующий Заявку</w:t>
            </w:r>
          </w:p>
        </w:tc>
      </w:tr>
    </w:tbl>
    <w:p w14:paraId="6BEB28F7" w14:textId="77777777" w:rsidR="00AD1F54" w:rsidRPr="00264D5D" w:rsidRDefault="00941227">
      <w:pPr>
        <w:pStyle w:val="31"/>
      </w:pPr>
      <w:bookmarkStart w:id="1213" w:name="_Toc776938"/>
      <w:bookmarkStart w:id="1214" w:name="_Toc1469444"/>
      <w:bookmarkStart w:id="1215" w:name="_Toc219309571"/>
      <w:r w:rsidRPr="00264D5D">
        <w:t>Описание комплексного типа «tSGNNmPs1»</w:t>
      </w:r>
      <w:bookmarkEnd w:id="1213"/>
      <w:bookmarkEnd w:id="1214"/>
      <w:bookmarkEnd w:id="1215"/>
    </w:p>
    <w:p w14:paraId="378F6DAA" w14:textId="77777777" w:rsidR="00AD1F54" w:rsidRPr="00264D5D" w:rsidRDefault="00941227">
      <w:pPr>
        <w:pStyle w:val="ASFKNormal"/>
        <w:spacing w:before="60" w:after="120"/>
        <w:jc w:val="both"/>
        <w:rPr>
          <w:sz w:val="24"/>
        </w:rPr>
      </w:pPr>
      <w:r w:rsidRPr="00264D5D">
        <w:rPr>
          <w:sz w:val="24"/>
        </w:rPr>
        <w:t xml:space="preserve">Описание комплексного типа </w:t>
      </w:r>
      <w:r w:rsidRPr="00264D5D">
        <w:rPr>
          <w:rFonts w:eastAsia="Calibri"/>
          <w:sz w:val="24"/>
        </w:rPr>
        <w:t>«</w:t>
      </w:r>
      <w:r w:rsidRPr="00264D5D">
        <w:rPr>
          <w:sz w:val="24"/>
        </w:rPr>
        <w:t>tSGNNmPs1» блоков «</w:t>
      </w:r>
      <w:r w:rsidRPr="00264D5D">
        <w:rPr>
          <w:sz w:val="24"/>
          <w:szCs w:val="22"/>
        </w:rPr>
        <w:t>Данные о руководителе</w:t>
      </w:r>
      <w:r w:rsidRPr="00264D5D">
        <w:rPr>
          <w:sz w:val="24"/>
        </w:rPr>
        <w:t>» и «</w:t>
      </w:r>
      <w:r w:rsidRPr="00264D5D">
        <w:rPr>
          <w:sz w:val="24"/>
          <w:szCs w:val="22"/>
        </w:rPr>
        <w:t>Данные о главном бухгалтере</w:t>
      </w:r>
      <w:r w:rsidRPr="00264D5D">
        <w:rPr>
          <w:sz w:val="24"/>
        </w:rPr>
        <w:t>».</w:t>
      </w:r>
    </w:p>
    <w:p w14:paraId="146ED5D2" w14:textId="392C25DE" w:rsidR="00AD1F54" w:rsidRPr="00264D5D" w:rsidRDefault="00941227">
      <w:pPr>
        <w:pStyle w:val="GOSTNameTable"/>
        <w:numPr>
          <w:ilvl w:val="0"/>
          <w:numId w:val="2"/>
        </w:numPr>
        <w:ind w:left="425" w:hanging="357"/>
      </w:pPr>
      <w:r w:rsidRPr="00264D5D">
        <w:lastRenderedPageBreak/>
        <w:fldChar w:fldCharType="begin"/>
      </w:r>
      <w:r w:rsidRPr="00264D5D">
        <w:instrText>SEQ Таблица \* ARABIC</w:instrText>
      </w:r>
      <w:r w:rsidRPr="00264D5D">
        <w:fldChar w:fldCharType="separate"/>
      </w:r>
      <w:bookmarkStart w:id="1216" w:name="_Ref531604040"/>
      <w:bookmarkStart w:id="1217" w:name="_Toc776488"/>
      <w:bookmarkStart w:id="1218" w:name="_Toc219309154"/>
      <w:r w:rsidR="008D797C">
        <w:rPr>
          <w:noProof/>
        </w:rPr>
        <w:t>124</w:t>
      </w:r>
      <w:bookmarkEnd w:id="1216"/>
      <w:r w:rsidRPr="00264D5D">
        <w:fldChar w:fldCharType="end"/>
      </w:r>
      <w:r w:rsidRPr="00264D5D">
        <w:rPr>
          <w:rFonts w:eastAsia="Calibri"/>
          <w:szCs w:val="24"/>
        </w:rPr>
        <w:t xml:space="preserve"> – </w:t>
      </w:r>
      <w:r w:rsidRPr="00264D5D">
        <w:t>Описание комплексного типа «</w:t>
      </w:r>
      <w:r w:rsidRPr="00264D5D">
        <w:rPr>
          <w:color w:val="000000"/>
          <w:szCs w:val="24"/>
        </w:rPr>
        <w:t>tSGNNmPs1</w:t>
      </w:r>
      <w:r w:rsidRPr="00264D5D">
        <w:t>»</w:t>
      </w:r>
      <w:bookmarkEnd w:id="1217"/>
      <w:bookmarkEnd w:id="1218"/>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73904BB3"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7B0DA291" w14:textId="77777777" w:rsidR="00AD1F54" w:rsidRPr="00264D5D" w:rsidRDefault="00941227">
            <w:pPr>
              <w:pStyle w:val="GOSTTableHead"/>
            </w:pPr>
            <w:r w:rsidRPr="00264D5D">
              <w:t>Наименование элемента</w:t>
            </w:r>
          </w:p>
        </w:tc>
        <w:tc>
          <w:tcPr>
            <w:tcW w:w="1701" w:type="dxa"/>
          </w:tcPr>
          <w:p w14:paraId="5522873D" w14:textId="77777777" w:rsidR="00AD1F54" w:rsidRPr="00264D5D" w:rsidRDefault="00941227">
            <w:pPr>
              <w:pStyle w:val="GOSTTableHead"/>
            </w:pPr>
            <w:r w:rsidRPr="00264D5D">
              <w:t>Сокращенное наименование (код) элемента</w:t>
            </w:r>
          </w:p>
        </w:tc>
        <w:tc>
          <w:tcPr>
            <w:tcW w:w="567" w:type="dxa"/>
          </w:tcPr>
          <w:p w14:paraId="28AB2506" w14:textId="77777777" w:rsidR="00AD1F54" w:rsidRPr="00264D5D" w:rsidRDefault="00941227">
            <w:pPr>
              <w:pStyle w:val="GOSTTableHead"/>
            </w:pPr>
            <w:r w:rsidRPr="00264D5D">
              <w:t>Тип</w:t>
            </w:r>
          </w:p>
        </w:tc>
        <w:tc>
          <w:tcPr>
            <w:tcW w:w="1134" w:type="dxa"/>
          </w:tcPr>
          <w:p w14:paraId="48B8264E" w14:textId="77777777" w:rsidR="00AD1F54" w:rsidRPr="00264D5D" w:rsidRDefault="00941227">
            <w:pPr>
              <w:pStyle w:val="GOSTTableHead"/>
            </w:pPr>
            <w:r w:rsidRPr="00264D5D">
              <w:t>Формат элемента</w:t>
            </w:r>
          </w:p>
        </w:tc>
        <w:tc>
          <w:tcPr>
            <w:tcW w:w="567" w:type="dxa"/>
          </w:tcPr>
          <w:p w14:paraId="5BA250FB" w14:textId="77777777" w:rsidR="00AD1F54" w:rsidRPr="00264D5D" w:rsidRDefault="00941227">
            <w:pPr>
              <w:pStyle w:val="GOSTTableHead"/>
            </w:pPr>
            <w:r w:rsidRPr="00264D5D">
              <w:t>Обязательность</w:t>
            </w:r>
          </w:p>
        </w:tc>
        <w:tc>
          <w:tcPr>
            <w:tcW w:w="3963" w:type="dxa"/>
          </w:tcPr>
          <w:p w14:paraId="7D09946E" w14:textId="77777777" w:rsidR="00AD1F54" w:rsidRPr="00264D5D" w:rsidRDefault="00941227">
            <w:pPr>
              <w:pStyle w:val="EBTableHead"/>
              <w:ind w:left="0" w:right="0"/>
              <w:rPr>
                <w:sz w:val="22"/>
                <w:szCs w:val="22"/>
              </w:rPr>
            </w:pPr>
            <w:r w:rsidRPr="00264D5D">
              <w:rPr>
                <w:bCs w:val="0"/>
                <w:sz w:val="22"/>
                <w:szCs w:val="22"/>
              </w:rPr>
              <w:t>Дополнительная информация</w:t>
            </w:r>
          </w:p>
        </w:tc>
      </w:tr>
      <w:tr w:rsidR="00AD1F54" w:rsidRPr="00264D5D" w14:paraId="07027E32"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1B50918" w14:textId="77777777" w:rsidR="00AD1F54" w:rsidRPr="00264D5D" w:rsidRDefault="00941227">
            <w:pPr>
              <w:pStyle w:val="GOSTTablenorm"/>
              <w:rPr>
                <w:szCs w:val="22"/>
              </w:rPr>
            </w:pPr>
            <w:r w:rsidRPr="00264D5D">
              <w:rPr>
                <w:color w:val="000000"/>
                <w:szCs w:val="22"/>
              </w:rPr>
              <w:t>Должность</w:t>
            </w:r>
          </w:p>
        </w:tc>
        <w:tc>
          <w:tcPr>
            <w:tcW w:w="1701" w:type="dxa"/>
          </w:tcPr>
          <w:p w14:paraId="192A82F6" w14:textId="77777777" w:rsidR="00AD1F54" w:rsidRPr="00264D5D" w:rsidRDefault="00941227">
            <w:pPr>
              <w:pStyle w:val="GOSTTablenorm"/>
              <w:rPr>
                <w:szCs w:val="22"/>
                <w:lang w:val="en-US"/>
              </w:rPr>
            </w:pPr>
            <w:r w:rsidRPr="00264D5D">
              <w:rPr>
                <w:color w:val="000000"/>
                <w:szCs w:val="22"/>
              </w:rPr>
              <w:t>Pst</w:t>
            </w:r>
          </w:p>
        </w:tc>
        <w:tc>
          <w:tcPr>
            <w:tcW w:w="567" w:type="dxa"/>
          </w:tcPr>
          <w:p w14:paraId="0EEED56A" w14:textId="77777777" w:rsidR="00AD1F54" w:rsidRPr="00264D5D" w:rsidRDefault="00941227">
            <w:pPr>
              <w:pStyle w:val="GOSTTablenorm"/>
              <w:jc w:val="center"/>
              <w:rPr>
                <w:szCs w:val="22"/>
              </w:rPr>
            </w:pPr>
            <w:r w:rsidRPr="00264D5D">
              <w:rPr>
                <w:szCs w:val="22"/>
              </w:rPr>
              <w:t>П</w:t>
            </w:r>
          </w:p>
        </w:tc>
        <w:tc>
          <w:tcPr>
            <w:tcW w:w="1134" w:type="dxa"/>
          </w:tcPr>
          <w:p w14:paraId="7B7DF6E8" w14:textId="77777777" w:rsidR="00AD1F54" w:rsidRPr="00264D5D" w:rsidRDefault="00941227">
            <w:pPr>
              <w:pStyle w:val="GOSTTablenorm"/>
              <w:rPr>
                <w:szCs w:val="22"/>
              </w:rPr>
            </w:pPr>
            <w:r w:rsidRPr="00264D5D">
              <w:rPr>
                <w:color w:val="000000"/>
                <w:szCs w:val="22"/>
                <w:lang w:val="en-US"/>
              </w:rPr>
              <w:t>Т(1-</w:t>
            </w:r>
            <w:r w:rsidRPr="00264D5D">
              <w:rPr>
                <w:color w:val="000000"/>
                <w:szCs w:val="22"/>
              </w:rPr>
              <w:t>1</w:t>
            </w:r>
            <w:r w:rsidRPr="00264D5D">
              <w:rPr>
                <w:color w:val="000000"/>
                <w:szCs w:val="22"/>
                <w:lang w:val="en-US"/>
              </w:rPr>
              <w:t>00)</w:t>
            </w:r>
          </w:p>
        </w:tc>
        <w:tc>
          <w:tcPr>
            <w:tcW w:w="567" w:type="dxa"/>
          </w:tcPr>
          <w:p w14:paraId="2A76135A" w14:textId="77777777" w:rsidR="00AD1F54" w:rsidRPr="00264D5D" w:rsidRDefault="00941227">
            <w:pPr>
              <w:pStyle w:val="GOSTTablenorm"/>
              <w:jc w:val="center"/>
              <w:rPr>
                <w:szCs w:val="22"/>
              </w:rPr>
            </w:pPr>
            <w:r w:rsidRPr="00264D5D">
              <w:rPr>
                <w:szCs w:val="22"/>
              </w:rPr>
              <w:t>Н</w:t>
            </w:r>
          </w:p>
        </w:tc>
        <w:tc>
          <w:tcPr>
            <w:tcW w:w="3963" w:type="dxa"/>
          </w:tcPr>
          <w:p w14:paraId="0ED11AEC" w14:textId="77777777" w:rsidR="00AD1F54" w:rsidRPr="00264D5D" w:rsidRDefault="00941227">
            <w:pPr>
              <w:pStyle w:val="GOSTTablenorm"/>
              <w:rPr>
                <w:szCs w:val="22"/>
              </w:rPr>
            </w:pPr>
            <w:r w:rsidRPr="00264D5D">
              <w:rPr>
                <w:szCs w:val="22"/>
              </w:rPr>
              <w:t>Указывается</w:t>
            </w:r>
            <w:r w:rsidR="00A10DB3" w:rsidRPr="00264D5D">
              <w:rPr>
                <w:color w:val="000000"/>
                <w:szCs w:val="22"/>
              </w:rPr>
              <w:t xml:space="preserve"> должность</w:t>
            </w:r>
          </w:p>
        </w:tc>
      </w:tr>
      <w:tr w:rsidR="00AD1F54" w:rsidRPr="00264D5D" w14:paraId="4F8858FD"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05AFE8F5" w14:textId="77777777" w:rsidR="00AD1F54" w:rsidRPr="00264D5D" w:rsidRDefault="00941227">
            <w:pPr>
              <w:pStyle w:val="GOSTTablenorm"/>
              <w:rPr>
                <w:color w:val="000000"/>
                <w:szCs w:val="22"/>
              </w:rPr>
            </w:pPr>
            <w:r w:rsidRPr="00264D5D">
              <w:rPr>
                <w:color w:val="000000"/>
                <w:szCs w:val="22"/>
              </w:rPr>
              <w:t>Расшифровка подписи</w:t>
            </w:r>
          </w:p>
        </w:tc>
        <w:tc>
          <w:tcPr>
            <w:tcW w:w="1701" w:type="dxa"/>
          </w:tcPr>
          <w:p w14:paraId="4888B999" w14:textId="77777777" w:rsidR="00AD1F54" w:rsidRPr="00264D5D" w:rsidRDefault="00941227">
            <w:pPr>
              <w:pStyle w:val="GOSTTablenorm"/>
              <w:rPr>
                <w:color w:val="000000"/>
                <w:szCs w:val="22"/>
              </w:rPr>
            </w:pPr>
            <w:r w:rsidRPr="00264D5D">
              <w:rPr>
                <w:color w:val="000000"/>
                <w:szCs w:val="22"/>
              </w:rPr>
              <w:t>FIO</w:t>
            </w:r>
          </w:p>
        </w:tc>
        <w:tc>
          <w:tcPr>
            <w:tcW w:w="567" w:type="dxa"/>
          </w:tcPr>
          <w:p w14:paraId="4044FE12" w14:textId="77777777" w:rsidR="00AD1F54" w:rsidRPr="00264D5D" w:rsidRDefault="00941227">
            <w:pPr>
              <w:pStyle w:val="GOSTTablenorm"/>
              <w:jc w:val="center"/>
              <w:rPr>
                <w:szCs w:val="22"/>
              </w:rPr>
            </w:pPr>
            <w:r w:rsidRPr="00264D5D">
              <w:rPr>
                <w:szCs w:val="22"/>
              </w:rPr>
              <w:t>П</w:t>
            </w:r>
          </w:p>
        </w:tc>
        <w:tc>
          <w:tcPr>
            <w:tcW w:w="1134" w:type="dxa"/>
          </w:tcPr>
          <w:p w14:paraId="31D3CA10" w14:textId="77777777" w:rsidR="00AD1F54" w:rsidRPr="00264D5D" w:rsidRDefault="00941227">
            <w:pPr>
              <w:pStyle w:val="GOSTTablenorm"/>
              <w:rPr>
                <w:color w:val="000000"/>
                <w:szCs w:val="22"/>
                <w:lang w:val="en-US"/>
              </w:rPr>
            </w:pPr>
            <w:r w:rsidRPr="00264D5D">
              <w:rPr>
                <w:color w:val="000000"/>
                <w:szCs w:val="22"/>
                <w:lang w:val="en-US"/>
              </w:rPr>
              <w:t>Т(1-</w:t>
            </w:r>
            <w:r w:rsidRPr="00264D5D">
              <w:rPr>
                <w:color w:val="000000"/>
                <w:szCs w:val="22"/>
              </w:rPr>
              <w:t>50</w:t>
            </w:r>
            <w:r w:rsidRPr="00264D5D">
              <w:rPr>
                <w:color w:val="000000"/>
                <w:szCs w:val="22"/>
                <w:lang w:val="en-US"/>
              </w:rPr>
              <w:t>)</w:t>
            </w:r>
          </w:p>
        </w:tc>
        <w:tc>
          <w:tcPr>
            <w:tcW w:w="567" w:type="dxa"/>
          </w:tcPr>
          <w:p w14:paraId="24FB9344" w14:textId="77777777" w:rsidR="00AD1F54" w:rsidRPr="00264D5D" w:rsidRDefault="00941227">
            <w:pPr>
              <w:pStyle w:val="GOSTTablenorm"/>
              <w:jc w:val="center"/>
              <w:rPr>
                <w:szCs w:val="22"/>
              </w:rPr>
            </w:pPr>
            <w:r w:rsidRPr="00264D5D">
              <w:rPr>
                <w:szCs w:val="22"/>
              </w:rPr>
              <w:t>Н</w:t>
            </w:r>
          </w:p>
        </w:tc>
        <w:tc>
          <w:tcPr>
            <w:tcW w:w="3963" w:type="dxa"/>
          </w:tcPr>
          <w:p w14:paraId="624D6E2B" w14:textId="77777777" w:rsidR="00AD1F54" w:rsidRPr="00264D5D" w:rsidRDefault="00941227">
            <w:pPr>
              <w:pStyle w:val="GOSTTablenorm"/>
              <w:rPr>
                <w:szCs w:val="22"/>
              </w:rPr>
            </w:pPr>
            <w:r w:rsidRPr="00264D5D">
              <w:rPr>
                <w:szCs w:val="22"/>
              </w:rPr>
              <w:t>Р</w:t>
            </w:r>
            <w:r w:rsidRPr="00264D5D">
              <w:t xml:space="preserve">асшифровка подписи </w:t>
            </w:r>
            <w:r w:rsidR="00A10DB3" w:rsidRPr="00264D5D">
              <w:t>с указанием инициалов и фамилии</w:t>
            </w:r>
          </w:p>
        </w:tc>
      </w:tr>
    </w:tbl>
    <w:p w14:paraId="3CCAB4EE" w14:textId="77777777" w:rsidR="00AD1F54" w:rsidRPr="00264D5D" w:rsidRDefault="00941227">
      <w:pPr>
        <w:pStyle w:val="31"/>
      </w:pPr>
      <w:bookmarkStart w:id="1219" w:name="_Toc776939"/>
      <w:bookmarkStart w:id="1220" w:name="_Toc1469445"/>
      <w:bookmarkStart w:id="1221" w:name="_Toc219309572"/>
      <w:r w:rsidRPr="00264D5D">
        <w:t>Описание комплексного типа «tMSC_MrkOrFK»</w:t>
      </w:r>
      <w:bookmarkEnd w:id="1219"/>
      <w:bookmarkEnd w:id="1220"/>
      <w:bookmarkEnd w:id="1221"/>
    </w:p>
    <w:p w14:paraId="478BF231" w14:textId="77777777" w:rsidR="00AD1F54" w:rsidRPr="00264D5D" w:rsidRDefault="00941227">
      <w:pPr>
        <w:pStyle w:val="ASFKNormal"/>
        <w:spacing w:before="60" w:after="120"/>
        <w:jc w:val="both"/>
        <w:rPr>
          <w:sz w:val="24"/>
        </w:rPr>
      </w:pPr>
      <w:r w:rsidRPr="00264D5D">
        <w:rPr>
          <w:sz w:val="24"/>
        </w:rPr>
        <w:t>Описание комплексного типа «</w:t>
      </w:r>
      <w:r w:rsidRPr="00264D5D">
        <w:rPr>
          <w:rFonts w:eastAsia="Calibri"/>
          <w:sz w:val="24"/>
        </w:rPr>
        <w:t>tMSC_MrkOrFK</w:t>
      </w:r>
      <w:r w:rsidRPr="00264D5D">
        <w:rPr>
          <w:sz w:val="24"/>
        </w:rPr>
        <w:t>» блока «Отметка ТОФК».</w:t>
      </w:r>
    </w:p>
    <w:p w14:paraId="5ED71292" w14:textId="0A1DFB00" w:rsidR="00AD1F54" w:rsidRPr="00264D5D" w:rsidRDefault="00941227">
      <w:pPr>
        <w:pStyle w:val="GOSTNameTable"/>
        <w:numPr>
          <w:ilvl w:val="0"/>
          <w:numId w:val="2"/>
        </w:numPr>
        <w:ind w:left="425" w:hanging="357"/>
        <w:rPr>
          <w:rFonts w:eastAsia="Calibri"/>
        </w:rPr>
      </w:pPr>
      <w:r w:rsidRPr="00264D5D">
        <w:rPr>
          <w:rFonts w:eastAsia="Calibri"/>
        </w:rPr>
        <w:fldChar w:fldCharType="begin"/>
      </w:r>
      <w:r w:rsidRPr="00264D5D">
        <w:rPr>
          <w:rFonts w:eastAsia="Calibri"/>
        </w:rPr>
        <w:instrText xml:space="preserve"> SEQ Таблица \* ARABIC </w:instrText>
      </w:r>
      <w:r w:rsidRPr="00264D5D">
        <w:rPr>
          <w:rFonts w:eastAsia="Calibri"/>
        </w:rPr>
        <w:fldChar w:fldCharType="separate"/>
      </w:r>
      <w:bookmarkStart w:id="1222" w:name="_Ref503463077"/>
      <w:bookmarkStart w:id="1223" w:name="_Toc776489"/>
      <w:bookmarkStart w:id="1224" w:name="_Toc219309155"/>
      <w:r w:rsidR="008D797C">
        <w:rPr>
          <w:rFonts w:eastAsia="Calibri"/>
          <w:noProof/>
        </w:rPr>
        <w:t>125</w:t>
      </w:r>
      <w:bookmarkEnd w:id="1222"/>
      <w:r w:rsidRPr="00264D5D">
        <w:rPr>
          <w:rFonts w:eastAsia="Calibri"/>
        </w:rPr>
        <w:fldChar w:fldCharType="end"/>
      </w:r>
      <w:r w:rsidRPr="00264D5D">
        <w:rPr>
          <w:rFonts w:eastAsia="Calibri"/>
          <w:szCs w:val="24"/>
        </w:rPr>
        <w:t xml:space="preserve"> – Описание</w:t>
      </w:r>
      <w:r w:rsidRPr="00264D5D">
        <w:rPr>
          <w:rFonts w:eastAsia="Calibri"/>
        </w:rPr>
        <w:t xml:space="preserve"> комплексного типа «</w:t>
      </w:r>
      <w:r w:rsidRPr="00264D5D">
        <w:rPr>
          <w:rFonts w:eastAsia="Calibri"/>
          <w:szCs w:val="24"/>
        </w:rPr>
        <w:t>tMSC_MrkOrFK</w:t>
      </w:r>
      <w:r w:rsidRPr="00264D5D">
        <w:rPr>
          <w:rFonts w:eastAsia="Calibri"/>
        </w:rPr>
        <w:t>»</w:t>
      </w:r>
      <w:bookmarkEnd w:id="1223"/>
      <w:bookmarkEnd w:id="1224"/>
    </w:p>
    <w:tbl>
      <w:tblPr>
        <w:tblStyle w:val="GOSTTable"/>
        <w:tblW w:w="5000" w:type="pct"/>
        <w:tblLayout w:type="fixed"/>
        <w:tblLook w:val="01E0" w:firstRow="1" w:lastRow="1" w:firstColumn="1" w:lastColumn="1" w:noHBand="0" w:noVBand="0"/>
      </w:tblPr>
      <w:tblGrid>
        <w:gridCol w:w="1704"/>
        <w:gridCol w:w="1704"/>
        <w:gridCol w:w="568"/>
        <w:gridCol w:w="1136"/>
        <w:gridCol w:w="568"/>
        <w:gridCol w:w="3970"/>
      </w:tblGrid>
      <w:tr w:rsidR="00AD1F54" w:rsidRPr="00264D5D" w14:paraId="1EB4522A"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0" w:type="dxa"/>
          </w:tcPr>
          <w:p w14:paraId="7BF063E5" w14:textId="77777777" w:rsidR="00AD1F54" w:rsidRPr="00264D5D" w:rsidRDefault="00941227">
            <w:pPr>
              <w:pStyle w:val="GOSTTableHead"/>
            </w:pPr>
            <w:r w:rsidRPr="00264D5D">
              <w:t>Наименование элемента</w:t>
            </w:r>
          </w:p>
        </w:tc>
        <w:tc>
          <w:tcPr>
            <w:tcW w:w="1701" w:type="dxa"/>
          </w:tcPr>
          <w:p w14:paraId="503547DE" w14:textId="77777777" w:rsidR="00AD1F54" w:rsidRPr="00264D5D" w:rsidRDefault="00941227">
            <w:pPr>
              <w:pStyle w:val="GOSTTableHead"/>
            </w:pPr>
            <w:r w:rsidRPr="00264D5D">
              <w:t>Сокращенное наименование (код) элемента</w:t>
            </w:r>
          </w:p>
        </w:tc>
        <w:tc>
          <w:tcPr>
            <w:tcW w:w="567" w:type="dxa"/>
          </w:tcPr>
          <w:p w14:paraId="2712FD45" w14:textId="77777777" w:rsidR="00AD1F54" w:rsidRPr="00264D5D" w:rsidRDefault="00941227">
            <w:pPr>
              <w:pStyle w:val="GOSTTableHead"/>
            </w:pPr>
            <w:r w:rsidRPr="00264D5D">
              <w:t>Тип</w:t>
            </w:r>
          </w:p>
        </w:tc>
        <w:tc>
          <w:tcPr>
            <w:tcW w:w="1134" w:type="dxa"/>
          </w:tcPr>
          <w:p w14:paraId="1E8B0FF1" w14:textId="77777777" w:rsidR="00AD1F54" w:rsidRPr="00264D5D" w:rsidRDefault="00941227">
            <w:pPr>
              <w:pStyle w:val="GOSTTableHead"/>
            </w:pPr>
            <w:r w:rsidRPr="00264D5D">
              <w:t>Формат элемента</w:t>
            </w:r>
          </w:p>
        </w:tc>
        <w:tc>
          <w:tcPr>
            <w:tcW w:w="567" w:type="dxa"/>
          </w:tcPr>
          <w:p w14:paraId="57EF5C27" w14:textId="77777777" w:rsidR="00AD1F54" w:rsidRPr="00264D5D" w:rsidRDefault="00941227">
            <w:pPr>
              <w:pStyle w:val="GOSTTableHead"/>
            </w:pPr>
            <w:r w:rsidRPr="00264D5D">
              <w:t>Обязательность</w:t>
            </w:r>
          </w:p>
        </w:tc>
        <w:tc>
          <w:tcPr>
            <w:tcW w:w="3963" w:type="dxa"/>
          </w:tcPr>
          <w:p w14:paraId="14AF2893" w14:textId="77777777" w:rsidR="00AD1F54" w:rsidRPr="00264D5D" w:rsidRDefault="00941227">
            <w:pPr>
              <w:pStyle w:val="GOSTTableHead"/>
              <w:rPr>
                <w:szCs w:val="22"/>
              </w:rPr>
            </w:pPr>
            <w:r w:rsidRPr="00264D5D">
              <w:rPr>
                <w:szCs w:val="22"/>
              </w:rPr>
              <w:t>Дополнительная информация</w:t>
            </w:r>
          </w:p>
        </w:tc>
      </w:tr>
      <w:tr w:rsidR="00AD1F54" w:rsidRPr="00264D5D" w14:paraId="495AE540" w14:textId="77777777" w:rsidTr="00AD1F54">
        <w:trPr>
          <w:cnfStyle w:val="000000100000" w:firstRow="0" w:lastRow="0" w:firstColumn="0" w:lastColumn="0" w:oddVBand="0" w:evenVBand="0" w:oddHBand="1" w:evenHBand="0" w:firstRowFirstColumn="0" w:firstRowLastColumn="0" w:lastRowFirstColumn="0" w:lastRowLastColumn="0"/>
        </w:trPr>
        <w:tc>
          <w:tcPr>
            <w:tcW w:w="1700" w:type="dxa"/>
          </w:tcPr>
          <w:p w14:paraId="06C0E908" w14:textId="77777777" w:rsidR="00AD1F54" w:rsidRPr="00264D5D" w:rsidRDefault="00941227">
            <w:pPr>
              <w:pStyle w:val="GOSTTablenorm"/>
              <w:rPr>
                <w:szCs w:val="22"/>
              </w:rPr>
            </w:pPr>
            <w:r w:rsidRPr="00264D5D">
              <w:t>Номер документа</w:t>
            </w:r>
          </w:p>
        </w:tc>
        <w:tc>
          <w:tcPr>
            <w:tcW w:w="1701" w:type="dxa"/>
          </w:tcPr>
          <w:p w14:paraId="31B88E3B" w14:textId="77777777" w:rsidR="00AD1F54" w:rsidRPr="00264D5D" w:rsidRDefault="00941227">
            <w:pPr>
              <w:pStyle w:val="GOSTTablenorm"/>
              <w:rPr>
                <w:lang w:val="en-US"/>
              </w:rPr>
            </w:pPr>
            <w:r w:rsidRPr="00264D5D">
              <w:rPr>
                <w:lang w:val="en-US"/>
              </w:rPr>
              <w:t>RqstNm</w:t>
            </w:r>
          </w:p>
        </w:tc>
        <w:tc>
          <w:tcPr>
            <w:tcW w:w="567" w:type="dxa"/>
          </w:tcPr>
          <w:p w14:paraId="10353B5D" w14:textId="77777777" w:rsidR="00AD1F54" w:rsidRPr="00264D5D" w:rsidRDefault="00941227">
            <w:pPr>
              <w:pStyle w:val="GOSTTablenorm"/>
              <w:jc w:val="center"/>
            </w:pPr>
            <w:r w:rsidRPr="00264D5D">
              <w:t>П</w:t>
            </w:r>
          </w:p>
        </w:tc>
        <w:tc>
          <w:tcPr>
            <w:tcW w:w="1134" w:type="dxa"/>
          </w:tcPr>
          <w:p w14:paraId="65330EAA" w14:textId="77777777" w:rsidR="00AD1F54" w:rsidRPr="00264D5D" w:rsidRDefault="00941227">
            <w:pPr>
              <w:pStyle w:val="GOSTTablenorm"/>
            </w:pPr>
            <w:r w:rsidRPr="00264D5D">
              <w:t>Т(1-15)</w:t>
            </w:r>
          </w:p>
        </w:tc>
        <w:tc>
          <w:tcPr>
            <w:tcW w:w="567" w:type="dxa"/>
          </w:tcPr>
          <w:p w14:paraId="72C66C37" w14:textId="77777777" w:rsidR="00AD1F54" w:rsidRPr="00264D5D" w:rsidRDefault="00941227">
            <w:pPr>
              <w:pStyle w:val="GOSTTablenorm"/>
              <w:jc w:val="center"/>
            </w:pPr>
            <w:r w:rsidRPr="00264D5D">
              <w:t>О</w:t>
            </w:r>
          </w:p>
        </w:tc>
        <w:tc>
          <w:tcPr>
            <w:tcW w:w="3963" w:type="dxa"/>
          </w:tcPr>
          <w:p w14:paraId="41327FBA" w14:textId="77777777" w:rsidR="00AD1F54" w:rsidRPr="00264D5D" w:rsidRDefault="00941227">
            <w:pPr>
              <w:pStyle w:val="GOSTTablenorm"/>
            </w:pPr>
            <w:r w:rsidRPr="00264D5D">
              <w:t>Номер документа, присвое</w:t>
            </w:r>
            <w:r w:rsidR="00A10DB3" w:rsidRPr="00264D5D">
              <w:t>нный в ТОФК, принявшем документ</w:t>
            </w:r>
          </w:p>
        </w:tc>
      </w:tr>
      <w:tr w:rsidR="00AD1F54" w:rsidRPr="00264D5D" w14:paraId="07225DF3" w14:textId="77777777" w:rsidTr="00AD1F54">
        <w:trPr>
          <w:cnfStyle w:val="000000010000" w:firstRow="0" w:lastRow="0" w:firstColumn="0" w:lastColumn="0" w:oddVBand="0" w:evenVBand="0" w:oddHBand="0" w:evenHBand="1" w:firstRowFirstColumn="0" w:firstRowLastColumn="0" w:lastRowFirstColumn="0" w:lastRowLastColumn="0"/>
        </w:trPr>
        <w:tc>
          <w:tcPr>
            <w:tcW w:w="1700" w:type="dxa"/>
          </w:tcPr>
          <w:p w14:paraId="3F19AA8E" w14:textId="77777777" w:rsidR="00AD1F54" w:rsidRPr="00264D5D" w:rsidRDefault="00941227">
            <w:pPr>
              <w:pStyle w:val="GOSTTablenorm"/>
              <w:rPr>
                <w:szCs w:val="22"/>
              </w:rPr>
            </w:pPr>
            <w:r w:rsidRPr="00264D5D">
              <w:t>Дата отметки</w:t>
            </w:r>
          </w:p>
        </w:tc>
        <w:tc>
          <w:tcPr>
            <w:tcW w:w="1701" w:type="dxa"/>
          </w:tcPr>
          <w:p w14:paraId="56B0EF6A" w14:textId="77777777" w:rsidR="00AD1F54" w:rsidRPr="00264D5D" w:rsidRDefault="00941227">
            <w:pPr>
              <w:pStyle w:val="GOSTTablenorm"/>
              <w:rPr>
                <w:lang w:val="en-US"/>
              </w:rPr>
            </w:pPr>
            <w:r w:rsidRPr="00264D5D">
              <w:rPr>
                <w:lang w:val="en-US"/>
              </w:rPr>
              <w:t>RgsDt</w:t>
            </w:r>
          </w:p>
        </w:tc>
        <w:tc>
          <w:tcPr>
            <w:tcW w:w="567" w:type="dxa"/>
          </w:tcPr>
          <w:p w14:paraId="5CDD8993" w14:textId="77777777" w:rsidR="00AD1F54" w:rsidRPr="00264D5D" w:rsidRDefault="00941227">
            <w:pPr>
              <w:pStyle w:val="GOSTTablenorm"/>
              <w:jc w:val="center"/>
            </w:pPr>
            <w:r w:rsidRPr="00264D5D">
              <w:t>П</w:t>
            </w:r>
          </w:p>
        </w:tc>
        <w:tc>
          <w:tcPr>
            <w:tcW w:w="1134" w:type="dxa"/>
          </w:tcPr>
          <w:p w14:paraId="39F3C4F6" w14:textId="77777777" w:rsidR="00AD1F54" w:rsidRPr="00264D5D" w:rsidRDefault="00941227">
            <w:pPr>
              <w:pStyle w:val="GOSTTablenorm"/>
              <w:rPr>
                <w:lang w:val="en-US"/>
              </w:rPr>
            </w:pPr>
            <w:r w:rsidRPr="00264D5D">
              <w:rPr>
                <w:szCs w:val="22"/>
                <w:lang w:val="en-US"/>
              </w:rPr>
              <w:t>Date</w:t>
            </w:r>
          </w:p>
        </w:tc>
        <w:tc>
          <w:tcPr>
            <w:tcW w:w="567" w:type="dxa"/>
          </w:tcPr>
          <w:p w14:paraId="57D7F52C" w14:textId="77777777" w:rsidR="00AD1F54" w:rsidRPr="00264D5D" w:rsidRDefault="00941227">
            <w:pPr>
              <w:pStyle w:val="GOSTTablenorm"/>
              <w:jc w:val="center"/>
            </w:pPr>
            <w:r w:rsidRPr="00264D5D">
              <w:t>О</w:t>
            </w:r>
          </w:p>
        </w:tc>
        <w:tc>
          <w:tcPr>
            <w:tcW w:w="3963" w:type="dxa"/>
          </w:tcPr>
          <w:p w14:paraId="12E570BA" w14:textId="77777777" w:rsidR="00AD1F54" w:rsidRPr="00264D5D" w:rsidRDefault="00A10DB3">
            <w:pPr>
              <w:pStyle w:val="GOSTTablenorm"/>
            </w:pPr>
            <w:r w:rsidRPr="00264D5D">
              <w:t>Дата принятия документа ТОФК</w:t>
            </w:r>
          </w:p>
        </w:tc>
      </w:tr>
      <w:tr w:rsidR="00AD1F54" w:rsidRPr="00264D5D" w14:paraId="376BE0C9" w14:textId="77777777" w:rsidTr="00AD1F54">
        <w:trPr>
          <w:cnfStyle w:val="000000100000" w:firstRow="0" w:lastRow="0" w:firstColumn="0" w:lastColumn="0" w:oddVBand="0" w:evenVBand="0" w:oddHBand="1" w:evenHBand="0" w:firstRowFirstColumn="0" w:firstRowLastColumn="0" w:lastRowFirstColumn="0" w:lastRowLastColumn="0"/>
        </w:trPr>
        <w:tc>
          <w:tcPr>
            <w:tcW w:w="1700" w:type="dxa"/>
          </w:tcPr>
          <w:p w14:paraId="4C7AE69A" w14:textId="77777777" w:rsidR="00AD1F54" w:rsidRPr="00264D5D" w:rsidRDefault="00941227">
            <w:pPr>
              <w:pStyle w:val="GOSTTablenorm"/>
              <w:rPr>
                <w:szCs w:val="22"/>
                <w:lang w:val="en-US"/>
              </w:rPr>
            </w:pPr>
            <w:r w:rsidRPr="00264D5D">
              <w:t>Должность исполнителя ТОФК</w:t>
            </w:r>
          </w:p>
        </w:tc>
        <w:tc>
          <w:tcPr>
            <w:tcW w:w="1701" w:type="dxa"/>
          </w:tcPr>
          <w:p w14:paraId="21ED8C0C" w14:textId="77777777" w:rsidR="00AD1F54" w:rsidRPr="00264D5D" w:rsidRDefault="00941227">
            <w:pPr>
              <w:pStyle w:val="GOSTTablenorm"/>
              <w:rPr>
                <w:lang w:val="en-US"/>
              </w:rPr>
            </w:pPr>
            <w:r w:rsidRPr="00264D5D">
              <w:rPr>
                <w:lang w:val="en-US"/>
              </w:rPr>
              <w:t>Pstn</w:t>
            </w:r>
          </w:p>
        </w:tc>
        <w:tc>
          <w:tcPr>
            <w:tcW w:w="567" w:type="dxa"/>
          </w:tcPr>
          <w:p w14:paraId="312263A1" w14:textId="77777777" w:rsidR="00AD1F54" w:rsidRPr="00264D5D" w:rsidRDefault="00941227">
            <w:pPr>
              <w:pStyle w:val="GOSTTablenorm"/>
              <w:jc w:val="center"/>
            </w:pPr>
            <w:r w:rsidRPr="00264D5D">
              <w:t>П</w:t>
            </w:r>
          </w:p>
        </w:tc>
        <w:tc>
          <w:tcPr>
            <w:tcW w:w="1134" w:type="dxa"/>
          </w:tcPr>
          <w:p w14:paraId="0F54E4F8" w14:textId="77777777" w:rsidR="00AD1F54" w:rsidRPr="00264D5D" w:rsidRDefault="00941227">
            <w:pPr>
              <w:pStyle w:val="GOSTTablenorm"/>
            </w:pPr>
            <w:r w:rsidRPr="00264D5D">
              <w:t>Т(1-100)</w:t>
            </w:r>
          </w:p>
        </w:tc>
        <w:tc>
          <w:tcPr>
            <w:tcW w:w="567" w:type="dxa"/>
          </w:tcPr>
          <w:p w14:paraId="46E0AA87" w14:textId="77777777" w:rsidR="00AD1F54" w:rsidRPr="00264D5D" w:rsidRDefault="00941227">
            <w:pPr>
              <w:pStyle w:val="GOSTTablenorm"/>
              <w:jc w:val="center"/>
            </w:pPr>
            <w:r w:rsidRPr="00264D5D">
              <w:t>О</w:t>
            </w:r>
          </w:p>
        </w:tc>
        <w:tc>
          <w:tcPr>
            <w:tcW w:w="3963" w:type="dxa"/>
          </w:tcPr>
          <w:p w14:paraId="33FACBDE" w14:textId="77777777" w:rsidR="00AD1F54" w:rsidRPr="00264D5D" w:rsidRDefault="00941227">
            <w:pPr>
              <w:pStyle w:val="GOSTTablenorm"/>
            </w:pPr>
            <w:r w:rsidRPr="00264D5D">
              <w:t>Должность работника ТОФК, ответ</w:t>
            </w:r>
            <w:r w:rsidR="00A10DB3" w:rsidRPr="00264D5D">
              <w:t>ственного за принятие документа</w:t>
            </w:r>
          </w:p>
        </w:tc>
      </w:tr>
      <w:tr w:rsidR="00AD1F54" w:rsidRPr="00264D5D" w14:paraId="5954A446" w14:textId="77777777" w:rsidTr="00AD1F54">
        <w:trPr>
          <w:cnfStyle w:val="000000010000" w:firstRow="0" w:lastRow="0" w:firstColumn="0" w:lastColumn="0" w:oddVBand="0" w:evenVBand="0" w:oddHBand="0" w:evenHBand="1" w:firstRowFirstColumn="0" w:firstRowLastColumn="0" w:lastRowFirstColumn="0" w:lastRowLastColumn="0"/>
        </w:trPr>
        <w:tc>
          <w:tcPr>
            <w:tcW w:w="1700" w:type="dxa"/>
          </w:tcPr>
          <w:p w14:paraId="409B5064" w14:textId="77777777" w:rsidR="00AD1F54" w:rsidRPr="00264D5D" w:rsidRDefault="00941227">
            <w:pPr>
              <w:pStyle w:val="GOSTTablenorm"/>
            </w:pPr>
            <w:r w:rsidRPr="00264D5D">
              <w:t>Исполнитель</w:t>
            </w:r>
          </w:p>
        </w:tc>
        <w:tc>
          <w:tcPr>
            <w:tcW w:w="1701" w:type="dxa"/>
          </w:tcPr>
          <w:p w14:paraId="2167F036" w14:textId="77777777" w:rsidR="00AD1F54" w:rsidRPr="00264D5D" w:rsidRDefault="00941227">
            <w:pPr>
              <w:pStyle w:val="GOSTTablenorm"/>
            </w:pPr>
            <w:r w:rsidRPr="00264D5D">
              <w:t>FllNm</w:t>
            </w:r>
          </w:p>
        </w:tc>
        <w:tc>
          <w:tcPr>
            <w:tcW w:w="567" w:type="dxa"/>
          </w:tcPr>
          <w:p w14:paraId="2B76FFF7" w14:textId="77777777" w:rsidR="00AD1F54" w:rsidRPr="00264D5D" w:rsidRDefault="00941227">
            <w:pPr>
              <w:pStyle w:val="GOSTTablenorm"/>
              <w:jc w:val="center"/>
            </w:pPr>
            <w:r w:rsidRPr="00264D5D">
              <w:t>П</w:t>
            </w:r>
          </w:p>
        </w:tc>
        <w:tc>
          <w:tcPr>
            <w:tcW w:w="1134" w:type="dxa"/>
          </w:tcPr>
          <w:p w14:paraId="0F4670FD" w14:textId="77777777" w:rsidR="00AD1F54" w:rsidRPr="00264D5D" w:rsidRDefault="00941227">
            <w:pPr>
              <w:pStyle w:val="GOSTTablenorm"/>
            </w:pPr>
            <w:r w:rsidRPr="00264D5D">
              <w:t>Т(1-50)</w:t>
            </w:r>
          </w:p>
        </w:tc>
        <w:tc>
          <w:tcPr>
            <w:tcW w:w="567" w:type="dxa"/>
          </w:tcPr>
          <w:p w14:paraId="1C694D9D" w14:textId="77777777" w:rsidR="00AD1F54" w:rsidRPr="00264D5D" w:rsidRDefault="00941227">
            <w:pPr>
              <w:pStyle w:val="GOSTTablenorm"/>
              <w:jc w:val="center"/>
            </w:pPr>
            <w:r w:rsidRPr="00264D5D">
              <w:t>О</w:t>
            </w:r>
          </w:p>
        </w:tc>
        <w:tc>
          <w:tcPr>
            <w:tcW w:w="3963" w:type="dxa"/>
          </w:tcPr>
          <w:p w14:paraId="0ED34041" w14:textId="77777777" w:rsidR="00AD1F54" w:rsidRPr="00264D5D" w:rsidRDefault="00941227">
            <w:pPr>
              <w:pStyle w:val="GOSTTablenorm"/>
            </w:pPr>
            <w:r w:rsidRPr="00264D5D">
              <w:t xml:space="preserve">Расшифровка подписи работника ТОФК, ответственного за принятия документа, </w:t>
            </w:r>
            <w:r w:rsidR="00A10DB3" w:rsidRPr="00264D5D">
              <w:t>с указанием инициалов и фамилии</w:t>
            </w:r>
          </w:p>
        </w:tc>
      </w:tr>
      <w:tr w:rsidR="00AD1F54" w:rsidRPr="00264D5D" w14:paraId="67904B71" w14:textId="77777777" w:rsidTr="00AD1F54">
        <w:trPr>
          <w:cnfStyle w:val="000000100000" w:firstRow="0" w:lastRow="0" w:firstColumn="0" w:lastColumn="0" w:oddVBand="0" w:evenVBand="0" w:oddHBand="1" w:evenHBand="0" w:firstRowFirstColumn="0" w:firstRowLastColumn="0" w:lastRowFirstColumn="0" w:lastRowLastColumn="0"/>
        </w:trPr>
        <w:tc>
          <w:tcPr>
            <w:tcW w:w="1700" w:type="dxa"/>
          </w:tcPr>
          <w:p w14:paraId="1F2F0725" w14:textId="77777777" w:rsidR="00AD1F54" w:rsidRPr="00264D5D" w:rsidRDefault="00941227">
            <w:pPr>
              <w:pStyle w:val="GOSTTablenorm"/>
              <w:rPr>
                <w:szCs w:val="22"/>
              </w:rPr>
            </w:pPr>
            <w:r w:rsidRPr="00264D5D">
              <w:t>Телефон исполнителя ТОФК</w:t>
            </w:r>
          </w:p>
        </w:tc>
        <w:tc>
          <w:tcPr>
            <w:tcW w:w="1701" w:type="dxa"/>
          </w:tcPr>
          <w:p w14:paraId="6A31D7A0" w14:textId="77777777" w:rsidR="00AD1F54" w:rsidRPr="00264D5D" w:rsidRDefault="00941227">
            <w:pPr>
              <w:pStyle w:val="GOSTTablenorm"/>
            </w:pPr>
            <w:r w:rsidRPr="00264D5D">
              <w:t>Tlphn</w:t>
            </w:r>
          </w:p>
        </w:tc>
        <w:tc>
          <w:tcPr>
            <w:tcW w:w="567" w:type="dxa"/>
          </w:tcPr>
          <w:p w14:paraId="152A1661" w14:textId="77777777" w:rsidR="00AD1F54" w:rsidRPr="00264D5D" w:rsidRDefault="00941227">
            <w:pPr>
              <w:pStyle w:val="GOSTTablenorm"/>
              <w:jc w:val="center"/>
            </w:pPr>
            <w:r w:rsidRPr="00264D5D">
              <w:t>П</w:t>
            </w:r>
          </w:p>
        </w:tc>
        <w:tc>
          <w:tcPr>
            <w:tcW w:w="1134" w:type="dxa"/>
          </w:tcPr>
          <w:p w14:paraId="0AA94761" w14:textId="77777777" w:rsidR="00AD1F54" w:rsidRPr="00264D5D" w:rsidRDefault="00941227">
            <w:pPr>
              <w:pStyle w:val="GOSTTablenorm"/>
            </w:pPr>
            <w:r w:rsidRPr="00264D5D">
              <w:t>Т(1-50)</w:t>
            </w:r>
          </w:p>
        </w:tc>
        <w:tc>
          <w:tcPr>
            <w:tcW w:w="567" w:type="dxa"/>
          </w:tcPr>
          <w:p w14:paraId="1B241A4C" w14:textId="77777777" w:rsidR="00AD1F54" w:rsidRPr="00264D5D" w:rsidRDefault="00941227">
            <w:pPr>
              <w:pStyle w:val="GOSTTablenorm"/>
              <w:jc w:val="center"/>
            </w:pPr>
            <w:r w:rsidRPr="00264D5D">
              <w:t>Н</w:t>
            </w:r>
          </w:p>
        </w:tc>
        <w:tc>
          <w:tcPr>
            <w:tcW w:w="3963" w:type="dxa"/>
          </w:tcPr>
          <w:p w14:paraId="5311A914" w14:textId="77777777" w:rsidR="00AD1F54" w:rsidRPr="00264D5D" w:rsidRDefault="00941227">
            <w:pPr>
              <w:pStyle w:val="GOSTTablenorm"/>
            </w:pPr>
            <w:r w:rsidRPr="00264D5D">
              <w:t>Номер телефона работника ТОФК, ответственного за принятие док</w:t>
            </w:r>
            <w:r w:rsidR="00A10DB3" w:rsidRPr="00264D5D">
              <w:t>умента, с указанием кода города</w:t>
            </w:r>
          </w:p>
        </w:tc>
      </w:tr>
    </w:tbl>
    <w:p w14:paraId="25AB0C76" w14:textId="77777777" w:rsidR="00AD1F54" w:rsidRPr="00264D5D" w:rsidRDefault="00941227">
      <w:pPr>
        <w:pStyle w:val="31"/>
      </w:pPr>
      <w:bookmarkStart w:id="1225" w:name="_Toc776940"/>
      <w:bookmarkStart w:id="1226" w:name="_Toc1469446"/>
      <w:r w:rsidRPr="00264D5D">
        <w:t xml:space="preserve"> </w:t>
      </w:r>
      <w:bookmarkStart w:id="1227" w:name="_Toc219309573"/>
      <w:r w:rsidRPr="00264D5D">
        <w:t>Описание комплексного типа «tMSC_KBK31_32</w:t>
      </w:r>
      <w:bookmarkEnd w:id="1225"/>
      <w:bookmarkEnd w:id="1226"/>
      <w:r w:rsidRPr="00264D5D">
        <w:t>»</w:t>
      </w:r>
      <w:bookmarkEnd w:id="1227"/>
    </w:p>
    <w:p w14:paraId="2E09DF9D" w14:textId="77777777" w:rsidR="00AD1F54" w:rsidRPr="00264D5D" w:rsidRDefault="00941227">
      <w:pPr>
        <w:pStyle w:val="ASFKNormal"/>
        <w:spacing w:before="60" w:after="120"/>
        <w:jc w:val="both"/>
        <w:rPr>
          <w:sz w:val="24"/>
        </w:rPr>
      </w:pPr>
      <w:r w:rsidRPr="00264D5D">
        <w:rPr>
          <w:sz w:val="24"/>
        </w:rPr>
        <w:t xml:space="preserve">Описание комплексного типа </w:t>
      </w:r>
      <w:r w:rsidRPr="00264D5D">
        <w:rPr>
          <w:sz w:val="22"/>
          <w:szCs w:val="22"/>
        </w:rPr>
        <w:t>«</w:t>
      </w:r>
      <w:r w:rsidRPr="00264D5D">
        <w:rPr>
          <w:sz w:val="24"/>
        </w:rPr>
        <w:t>tMSC_KBK31_32» блока «Информация о КБК».</w:t>
      </w:r>
    </w:p>
    <w:p w14:paraId="4BD44E38" w14:textId="1F28185B" w:rsidR="00AD1F54" w:rsidRPr="00264D5D" w:rsidRDefault="001E5517">
      <w:pPr>
        <w:pStyle w:val="GOSTNameTable"/>
        <w:numPr>
          <w:ilvl w:val="0"/>
          <w:numId w:val="2"/>
        </w:numPr>
        <w:ind w:left="425" w:hanging="357"/>
      </w:pPr>
      <w:r w:rsidRPr="00264D5D">
        <w:rPr>
          <w:noProof/>
        </w:rPr>
        <w:fldChar w:fldCharType="begin"/>
      </w:r>
      <w:r w:rsidRPr="00264D5D">
        <w:rPr>
          <w:noProof/>
        </w:rPr>
        <w:instrText xml:space="preserve"> SEQ Таблица \* ARABIC </w:instrText>
      </w:r>
      <w:r w:rsidRPr="00264D5D">
        <w:rPr>
          <w:noProof/>
        </w:rPr>
        <w:fldChar w:fldCharType="separate"/>
      </w:r>
      <w:bookmarkStart w:id="1228" w:name="_Ref524686025"/>
      <w:bookmarkStart w:id="1229" w:name="_Toc776490"/>
      <w:bookmarkStart w:id="1230" w:name="_Toc219309156"/>
      <w:r w:rsidR="008D797C">
        <w:rPr>
          <w:noProof/>
        </w:rPr>
        <w:t>126</w:t>
      </w:r>
      <w:bookmarkEnd w:id="1228"/>
      <w:r w:rsidRPr="00264D5D">
        <w:rPr>
          <w:noProof/>
        </w:rPr>
        <w:fldChar w:fldCharType="end"/>
      </w:r>
      <w:r w:rsidR="00941227" w:rsidRPr="00264D5D">
        <w:rPr>
          <w:rFonts w:eastAsia="Calibri"/>
          <w:szCs w:val="24"/>
        </w:rPr>
        <w:t xml:space="preserve"> – </w:t>
      </w:r>
      <w:r w:rsidR="00941227" w:rsidRPr="00264D5D">
        <w:t>Описание комплексного типа «tMSC_KBK31_32»</w:t>
      </w:r>
      <w:bookmarkEnd w:id="1229"/>
      <w:bookmarkEnd w:id="1230"/>
    </w:p>
    <w:tbl>
      <w:tblPr>
        <w:tblStyle w:val="GOSTTable"/>
        <w:tblW w:w="5000" w:type="pct"/>
        <w:tblLayout w:type="fixed"/>
        <w:tblLook w:val="01E0" w:firstRow="1" w:lastRow="1" w:firstColumn="1" w:lastColumn="1" w:noHBand="0" w:noVBand="0"/>
      </w:tblPr>
      <w:tblGrid>
        <w:gridCol w:w="1705"/>
        <w:gridCol w:w="1704"/>
        <w:gridCol w:w="568"/>
        <w:gridCol w:w="1136"/>
        <w:gridCol w:w="568"/>
        <w:gridCol w:w="3969"/>
      </w:tblGrid>
      <w:tr w:rsidR="00AD1F54" w:rsidRPr="00264D5D" w14:paraId="307F27E0"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3" w:type="dxa"/>
          </w:tcPr>
          <w:p w14:paraId="2AC99F6C" w14:textId="77777777" w:rsidR="00AD1F54" w:rsidRPr="00264D5D" w:rsidRDefault="00941227">
            <w:pPr>
              <w:pStyle w:val="GOSTTableHead"/>
            </w:pPr>
            <w:r w:rsidRPr="00264D5D">
              <w:t>Наименование элемента</w:t>
            </w:r>
          </w:p>
        </w:tc>
        <w:tc>
          <w:tcPr>
            <w:tcW w:w="1701" w:type="dxa"/>
          </w:tcPr>
          <w:p w14:paraId="13F5CD5A" w14:textId="77777777" w:rsidR="00AD1F54" w:rsidRPr="00264D5D" w:rsidRDefault="00941227">
            <w:pPr>
              <w:pStyle w:val="GOSTTableHead"/>
            </w:pPr>
            <w:r w:rsidRPr="00264D5D">
              <w:t>Сокращенное наименование (код) элемента</w:t>
            </w:r>
          </w:p>
        </w:tc>
        <w:tc>
          <w:tcPr>
            <w:tcW w:w="567" w:type="dxa"/>
          </w:tcPr>
          <w:p w14:paraId="57D3A460" w14:textId="77777777" w:rsidR="00AD1F54" w:rsidRPr="00264D5D" w:rsidRDefault="00941227">
            <w:pPr>
              <w:pStyle w:val="GOSTTableHead"/>
            </w:pPr>
            <w:r w:rsidRPr="00264D5D">
              <w:t>Тип</w:t>
            </w:r>
          </w:p>
        </w:tc>
        <w:tc>
          <w:tcPr>
            <w:tcW w:w="1134" w:type="dxa"/>
          </w:tcPr>
          <w:p w14:paraId="6D55D6EE" w14:textId="77777777" w:rsidR="00AD1F54" w:rsidRPr="00264D5D" w:rsidRDefault="00941227">
            <w:pPr>
              <w:pStyle w:val="GOSTTableHead"/>
            </w:pPr>
            <w:r w:rsidRPr="00264D5D">
              <w:t>Формат элемента</w:t>
            </w:r>
          </w:p>
        </w:tc>
        <w:tc>
          <w:tcPr>
            <w:tcW w:w="567" w:type="dxa"/>
          </w:tcPr>
          <w:p w14:paraId="1123636C" w14:textId="77777777" w:rsidR="00AD1F54" w:rsidRPr="00264D5D" w:rsidRDefault="00941227">
            <w:pPr>
              <w:pStyle w:val="GOSTTableHead"/>
            </w:pPr>
            <w:r w:rsidRPr="00264D5D">
              <w:t>Обязательность</w:t>
            </w:r>
          </w:p>
        </w:tc>
        <w:tc>
          <w:tcPr>
            <w:tcW w:w="3963" w:type="dxa"/>
          </w:tcPr>
          <w:p w14:paraId="15A9DC8F" w14:textId="77777777" w:rsidR="00AD1F54" w:rsidRPr="00264D5D" w:rsidRDefault="00941227">
            <w:pPr>
              <w:pStyle w:val="GOSTTableHead"/>
              <w:rPr>
                <w:szCs w:val="22"/>
              </w:rPr>
            </w:pPr>
            <w:r w:rsidRPr="00264D5D">
              <w:rPr>
                <w:szCs w:val="22"/>
              </w:rPr>
              <w:t>Дополнительная информация</w:t>
            </w:r>
          </w:p>
        </w:tc>
      </w:tr>
      <w:tr w:rsidR="00AD1F54" w:rsidRPr="00264D5D" w14:paraId="1DE4E3FB" w14:textId="77777777" w:rsidTr="00AD1F54">
        <w:trPr>
          <w:cnfStyle w:val="000000100000" w:firstRow="0" w:lastRow="0" w:firstColumn="0" w:lastColumn="0" w:oddVBand="0" w:evenVBand="0" w:oddHBand="1" w:evenHBand="0" w:firstRowFirstColumn="0" w:firstRowLastColumn="0" w:lastRowFirstColumn="0" w:lastRowLastColumn="0"/>
        </w:trPr>
        <w:tc>
          <w:tcPr>
            <w:tcW w:w="1703" w:type="dxa"/>
          </w:tcPr>
          <w:p w14:paraId="1929929F" w14:textId="77777777" w:rsidR="00AD1F54" w:rsidRPr="00264D5D" w:rsidRDefault="00941227">
            <w:pPr>
              <w:pStyle w:val="GOSTTablenorm"/>
              <w:rPr>
                <w:szCs w:val="22"/>
              </w:rPr>
            </w:pPr>
            <w:r w:rsidRPr="00264D5D">
              <w:t>КБК, по которому осуществляется возврат</w:t>
            </w:r>
          </w:p>
        </w:tc>
        <w:tc>
          <w:tcPr>
            <w:tcW w:w="1701" w:type="dxa"/>
          </w:tcPr>
          <w:p w14:paraId="6AEA93DC" w14:textId="77777777" w:rsidR="00AD1F54" w:rsidRPr="00264D5D" w:rsidRDefault="00941227">
            <w:pPr>
              <w:pStyle w:val="GOSTTablenorm"/>
              <w:rPr>
                <w:lang w:val="en-US"/>
              </w:rPr>
            </w:pPr>
            <w:r w:rsidRPr="00264D5D">
              <w:rPr>
                <w:lang w:val="en-US"/>
              </w:rPr>
              <w:t>KBK</w:t>
            </w:r>
          </w:p>
        </w:tc>
        <w:tc>
          <w:tcPr>
            <w:tcW w:w="567" w:type="dxa"/>
          </w:tcPr>
          <w:p w14:paraId="44373E4E" w14:textId="77777777" w:rsidR="00AD1F54" w:rsidRPr="00264D5D" w:rsidRDefault="00941227">
            <w:pPr>
              <w:pStyle w:val="GOSTTablenorm"/>
              <w:jc w:val="center"/>
            </w:pPr>
            <w:r w:rsidRPr="00264D5D">
              <w:t>П</w:t>
            </w:r>
          </w:p>
        </w:tc>
        <w:tc>
          <w:tcPr>
            <w:tcW w:w="1134" w:type="dxa"/>
          </w:tcPr>
          <w:p w14:paraId="165E1905" w14:textId="77777777" w:rsidR="00AD1F54" w:rsidRPr="00264D5D" w:rsidRDefault="00941227">
            <w:pPr>
              <w:pStyle w:val="GOSTTablenorm"/>
            </w:pPr>
            <w:r w:rsidRPr="00264D5D">
              <w:t>Т(</w:t>
            </w:r>
            <w:r w:rsidRPr="00264D5D">
              <w:rPr>
                <w:lang w:val="en-US"/>
              </w:rPr>
              <w:t>20</w:t>
            </w:r>
            <w:r w:rsidRPr="00264D5D">
              <w:t>)</w:t>
            </w:r>
          </w:p>
        </w:tc>
        <w:tc>
          <w:tcPr>
            <w:tcW w:w="567" w:type="dxa"/>
          </w:tcPr>
          <w:p w14:paraId="32F290C3" w14:textId="77777777" w:rsidR="00AD1F54" w:rsidRPr="00264D5D" w:rsidRDefault="00941227">
            <w:pPr>
              <w:pStyle w:val="GOSTTablenorm"/>
              <w:jc w:val="center"/>
            </w:pPr>
            <w:r w:rsidRPr="00264D5D">
              <w:t>Н</w:t>
            </w:r>
          </w:p>
        </w:tc>
        <w:tc>
          <w:tcPr>
            <w:tcW w:w="3963" w:type="dxa"/>
          </w:tcPr>
          <w:p w14:paraId="1EA8484E" w14:textId="77777777" w:rsidR="00AD1F54" w:rsidRPr="00264D5D" w:rsidRDefault="00941227">
            <w:pPr>
              <w:spacing w:before="60" w:after="60"/>
              <w:rPr>
                <w:b/>
                <w:bCs/>
                <w:sz w:val="22"/>
              </w:rPr>
            </w:pPr>
            <w:r w:rsidRPr="00264D5D">
              <w:rPr>
                <w:sz w:val="22"/>
                <w:szCs w:val="22"/>
              </w:rPr>
              <w:t>Указывается КБК в соответствии с действующими Указаниями по БК</w:t>
            </w:r>
            <w:r w:rsidRPr="00264D5D">
              <w:rPr>
                <w:sz w:val="22"/>
              </w:rPr>
              <w:t>.</w:t>
            </w:r>
          </w:p>
          <w:p w14:paraId="38EAAC68" w14:textId="77777777" w:rsidR="00AD1F54" w:rsidRPr="00264D5D" w:rsidRDefault="00941227">
            <w:pPr>
              <w:pStyle w:val="GOSTTablenorm"/>
            </w:pPr>
            <w:r w:rsidRPr="00264D5D">
              <w:t>Поле не заполняется при возврате ср</w:t>
            </w:r>
            <w:r w:rsidR="00A10DB3" w:rsidRPr="00264D5D">
              <w:t>едств во временном распоряжении</w:t>
            </w:r>
          </w:p>
        </w:tc>
      </w:tr>
      <w:tr w:rsidR="00AD1F54" w:rsidRPr="00264D5D" w14:paraId="207ACEF3" w14:textId="77777777" w:rsidTr="00AD1F54">
        <w:trPr>
          <w:cnfStyle w:val="000000010000" w:firstRow="0" w:lastRow="0" w:firstColumn="0" w:lastColumn="0" w:oddVBand="0" w:evenVBand="0" w:oddHBand="0" w:evenHBand="1" w:firstRowFirstColumn="0" w:firstRowLastColumn="0" w:lastRowFirstColumn="0" w:lastRowLastColumn="0"/>
        </w:trPr>
        <w:tc>
          <w:tcPr>
            <w:tcW w:w="1703" w:type="dxa"/>
          </w:tcPr>
          <w:p w14:paraId="710AD19F" w14:textId="77777777" w:rsidR="00AD1F54" w:rsidRPr="00264D5D" w:rsidRDefault="00941227">
            <w:pPr>
              <w:pStyle w:val="GOSTTablenorm"/>
              <w:rPr>
                <w:szCs w:val="22"/>
              </w:rPr>
            </w:pPr>
            <w:r w:rsidRPr="00264D5D">
              <w:lastRenderedPageBreak/>
              <w:t>Код цели (аналитический код)</w:t>
            </w:r>
          </w:p>
        </w:tc>
        <w:tc>
          <w:tcPr>
            <w:tcW w:w="1701" w:type="dxa"/>
          </w:tcPr>
          <w:p w14:paraId="4718BEDE" w14:textId="77777777" w:rsidR="00AD1F54" w:rsidRPr="00264D5D" w:rsidRDefault="00941227">
            <w:pPr>
              <w:pStyle w:val="GOSTTablenorm"/>
              <w:rPr>
                <w:lang w:val="en-US"/>
              </w:rPr>
            </w:pPr>
            <w:r w:rsidRPr="00264D5D">
              <w:rPr>
                <w:lang w:val="en-US"/>
              </w:rPr>
              <w:t>TrgtCd</w:t>
            </w:r>
          </w:p>
        </w:tc>
        <w:tc>
          <w:tcPr>
            <w:tcW w:w="567" w:type="dxa"/>
          </w:tcPr>
          <w:p w14:paraId="1B5F191A" w14:textId="77777777" w:rsidR="00AD1F54" w:rsidRPr="00264D5D" w:rsidRDefault="00941227">
            <w:pPr>
              <w:pStyle w:val="GOSTTablenorm"/>
              <w:jc w:val="center"/>
            </w:pPr>
            <w:r w:rsidRPr="00264D5D">
              <w:t>П</w:t>
            </w:r>
          </w:p>
        </w:tc>
        <w:tc>
          <w:tcPr>
            <w:tcW w:w="1134" w:type="dxa"/>
          </w:tcPr>
          <w:p w14:paraId="2A52B4BE" w14:textId="77777777" w:rsidR="00AD1F54" w:rsidRPr="00264D5D" w:rsidRDefault="00941227">
            <w:pPr>
              <w:pStyle w:val="GOSTTablenorm"/>
            </w:pPr>
            <w:r w:rsidRPr="00264D5D">
              <w:t>Т(1-</w:t>
            </w:r>
            <w:r w:rsidRPr="00264D5D">
              <w:rPr>
                <w:lang w:val="en-US"/>
              </w:rPr>
              <w:t>2</w:t>
            </w:r>
            <w:r w:rsidRPr="00264D5D">
              <w:t>5)</w:t>
            </w:r>
          </w:p>
        </w:tc>
        <w:tc>
          <w:tcPr>
            <w:tcW w:w="567" w:type="dxa"/>
          </w:tcPr>
          <w:p w14:paraId="41EC9CA3" w14:textId="77777777" w:rsidR="00AD1F54" w:rsidRPr="00264D5D" w:rsidRDefault="00941227">
            <w:pPr>
              <w:pStyle w:val="GOSTTablenorm"/>
              <w:jc w:val="center"/>
            </w:pPr>
            <w:r w:rsidRPr="00264D5D">
              <w:t>Н</w:t>
            </w:r>
          </w:p>
        </w:tc>
        <w:tc>
          <w:tcPr>
            <w:tcW w:w="3963" w:type="dxa"/>
          </w:tcPr>
          <w:p w14:paraId="2D41FB39" w14:textId="77777777" w:rsidR="00AD1F54" w:rsidRPr="00264D5D" w:rsidRDefault="00941227">
            <w:pPr>
              <w:pStyle w:val="GOSTTablenorm"/>
            </w:pPr>
            <w:r w:rsidRPr="00264D5D">
              <w:t>Код цели субсидии (аналитический код).</w:t>
            </w:r>
          </w:p>
          <w:p w14:paraId="574F83A9" w14:textId="77777777" w:rsidR="00AD1F54" w:rsidRPr="00264D5D" w:rsidRDefault="00941227">
            <w:pPr>
              <w:pStyle w:val="GOSTTablenorm"/>
              <w:rPr>
                <w:szCs w:val="22"/>
              </w:rPr>
            </w:pPr>
            <w:r w:rsidRPr="00264D5D">
              <w:t>При оформлении Заявки на возврат по л/с федерального бюджета с кодом «05» указывается идентификационный код выплат, предусмотренный Порядком санкционирования операций со средствами, поступающими во временное распоряжение получател</w:t>
            </w:r>
            <w:r w:rsidR="00A10DB3" w:rsidRPr="00264D5D">
              <w:t>ей средств федерального бюджета</w:t>
            </w:r>
          </w:p>
        </w:tc>
      </w:tr>
      <w:tr w:rsidR="00AD1F54" w:rsidRPr="00264D5D" w14:paraId="0D05A38C" w14:textId="77777777" w:rsidTr="00AD1F54">
        <w:trPr>
          <w:cnfStyle w:val="000000100000" w:firstRow="0" w:lastRow="0" w:firstColumn="0" w:lastColumn="0" w:oddVBand="0" w:evenVBand="0" w:oddHBand="1" w:evenHBand="0" w:firstRowFirstColumn="0" w:firstRowLastColumn="0" w:lastRowFirstColumn="0" w:lastRowLastColumn="0"/>
        </w:trPr>
        <w:tc>
          <w:tcPr>
            <w:tcW w:w="1703" w:type="dxa"/>
          </w:tcPr>
          <w:p w14:paraId="226210FA" w14:textId="77777777" w:rsidR="00AD1F54" w:rsidRPr="00264D5D" w:rsidRDefault="00941227">
            <w:pPr>
              <w:pStyle w:val="GOSTTablenorm"/>
            </w:pPr>
            <w:r w:rsidRPr="00264D5D">
              <w:t>Тип КБК</w:t>
            </w:r>
          </w:p>
        </w:tc>
        <w:tc>
          <w:tcPr>
            <w:tcW w:w="1701" w:type="dxa"/>
          </w:tcPr>
          <w:p w14:paraId="2732125A" w14:textId="77777777" w:rsidR="00AD1F54" w:rsidRPr="00264D5D" w:rsidRDefault="00941227">
            <w:pPr>
              <w:pStyle w:val="GOSTTablenorm"/>
            </w:pPr>
            <w:r w:rsidRPr="00264D5D">
              <w:t>BKTp</w:t>
            </w:r>
          </w:p>
        </w:tc>
        <w:tc>
          <w:tcPr>
            <w:tcW w:w="567" w:type="dxa"/>
          </w:tcPr>
          <w:p w14:paraId="46F6BDC4" w14:textId="77777777" w:rsidR="00AD1F54" w:rsidRPr="00264D5D" w:rsidRDefault="00941227">
            <w:pPr>
              <w:pStyle w:val="GOSTTablenorm"/>
              <w:jc w:val="center"/>
            </w:pPr>
            <w:r w:rsidRPr="00264D5D">
              <w:t>C</w:t>
            </w:r>
          </w:p>
        </w:tc>
        <w:tc>
          <w:tcPr>
            <w:tcW w:w="1134" w:type="dxa"/>
          </w:tcPr>
          <w:p w14:paraId="02DAF574" w14:textId="77777777" w:rsidR="00AD1F54" w:rsidRPr="00264D5D" w:rsidRDefault="00941227">
            <w:pPr>
              <w:pStyle w:val="GOSTTablenorm"/>
            </w:pPr>
            <w:r w:rsidRPr="00264D5D">
              <w:t>tMSC_BKTpComplex</w:t>
            </w:r>
          </w:p>
        </w:tc>
        <w:tc>
          <w:tcPr>
            <w:tcW w:w="567" w:type="dxa"/>
          </w:tcPr>
          <w:p w14:paraId="2507102D" w14:textId="77777777" w:rsidR="00AD1F54" w:rsidRPr="00264D5D" w:rsidRDefault="00941227">
            <w:pPr>
              <w:pStyle w:val="GOSTTablenorm"/>
              <w:jc w:val="center"/>
            </w:pPr>
            <w:r w:rsidRPr="00264D5D">
              <w:t>Н</w:t>
            </w:r>
          </w:p>
        </w:tc>
        <w:tc>
          <w:tcPr>
            <w:tcW w:w="3963" w:type="dxa"/>
          </w:tcPr>
          <w:p w14:paraId="1B044832" w14:textId="72730768" w:rsidR="00AD1F54" w:rsidRPr="00264D5D" w:rsidRDefault="00941227">
            <w:pPr>
              <w:pStyle w:val="GOSTTablenorm"/>
            </w:pPr>
            <w:r w:rsidRPr="00264D5D">
              <w:t>Состав элемента представлен в таблице </w:t>
            </w:r>
            <w:r w:rsidRPr="00264D5D">
              <w:rPr>
                <w:b/>
              </w:rPr>
              <w:fldChar w:fldCharType="begin"/>
            </w:r>
            <w:r w:rsidRPr="00264D5D">
              <w:rPr>
                <w:b/>
              </w:rPr>
              <w:instrText xml:space="preserve"> REF _Ref528062194 \h  \* MERGEFORMAT </w:instrText>
            </w:r>
            <w:r w:rsidRPr="00264D5D">
              <w:rPr>
                <w:b/>
              </w:rPr>
            </w:r>
            <w:r w:rsidRPr="00264D5D">
              <w:rPr>
                <w:b/>
              </w:rPr>
              <w:fldChar w:fldCharType="separate"/>
            </w:r>
            <w:r w:rsidR="008D797C" w:rsidRPr="008D797C">
              <w:rPr>
                <w:b/>
              </w:rPr>
              <w:t>127</w:t>
            </w:r>
            <w:r w:rsidRPr="00264D5D">
              <w:rPr>
                <w:b/>
              </w:rPr>
              <w:fldChar w:fldCharType="end"/>
            </w:r>
            <w:r w:rsidRPr="00264D5D">
              <w:t>.</w:t>
            </w:r>
          </w:p>
          <w:p w14:paraId="0E527956" w14:textId="77777777" w:rsidR="00AD1F54" w:rsidRPr="00264D5D" w:rsidRDefault="00941227">
            <w:pPr>
              <w:pStyle w:val="GOSTTablenorm"/>
            </w:pPr>
            <w:r w:rsidRPr="00264D5D">
              <w:t>Не заполняется при возврате ср</w:t>
            </w:r>
            <w:r w:rsidR="00A10DB3" w:rsidRPr="00264D5D">
              <w:t>едств во временном распоряжении</w:t>
            </w:r>
          </w:p>
        </w:tc>
      </w:tr>
    </w:tbl>
    <w:p w14:paraId="2C5FFA64" w14:textId="77777777" w:rsidR="00AD1F54" w:rsidRPr="00264D5D" w:rsidRDefault="00941227">
      <w:pPr>
        <w:pStyle w:val="31"/>
      </w:pPr>
      <w:bookmarkStart w:id="1231" w:name="_Toc776941"/>
      <w:bookmarkStart w:id="1232" w:name="_Toc1469447"/>
      <w:bookmarkStart w:id="1233" w:name="_Toc219309574"/>
      <w:r w:rsidRPr="00264D5D">
        <w:t>Описание комплексного типа «tMSC_BKTpComplex»</w:t>
      </w:r>
      <w:bookmarkEnd w:id="1231"/>
      <w:bookmarkEnd w:id="1232"/>
      <w:bookmarkEnd w:id="1233"/>
    </w:p>
    <w:p w14:paraId="7915A192" w14:textId="77777777" w:rsidR="00AD1F54" w:rsidRPr="00264D5D" w:rsidRDefault="00941227">
      <w:pPr>
        <w:pStyle w:val="ASFKNormal"/>
        <w:spacing w:before="60" w:after="120"/>
        <w:jc w:val="both"/>
        <w:rPr>
          <w:sz w:val="24"/>
        </w:rPr>
      </w:pPr>
      <w:r w:rsidRPr="00264D5D">
        <w:rPr>
          <w:sz w:val="24"/>
        </w:rPr>
        <w:t xml:space="preserve">Описание комплексного </w:t>
      </w:r>
      <w:r w:rsidRPr="00264D5D">
        <w:rPr>
          <w:sz w:val="22"/>
          <w:szCs w:val="22"/>
        </w:rPr>
        <w:t xml:space="preserve">типа </w:t>
      </w:r>
      <w:r w:rsidRPr="00264D5D">
        <w:rPr>
          <w:rFonts w:eastAsia="Calibri"/>
          <w:sz w:val="22"/>
          <w:szCs w:val="22"/>
        </w:rPr>
        <w:t>«</w:t>
      </w:r>
      <w:r w:rsidRPr="00264D5D">
        <w:rPr>
          <w:sz w:val="22"/>
          <w:szCs w:val="22"/>
        </w:rPr>
        <w:t>tMSC</w:t>
      </w:r>
      <w:r w:rsidRPr="00264D5D">
        <w:rPr>
          <w:sz w:val="24"/>
          <w:szCs w:val="22"/>
        </w:rPr>
        <w:t>_BKTpComplex</w:t>
      </w:r>
      <w:r w:rsidRPr="00264D5D">
        <w:rPr>
          <w:sz w:val="24"/>
        </w:rPr>
        <w:t>» блока «Тип КБК».</w:t>
      </w:r>
    </w:p>
    <w:p w14:paraId="4DE456AC" w14:textId="1292D962" w:rsidR="00AD1F54" w:rsidRPr="00264D5D" w:rsidRDefault="001E5517">
      <w:pPr>
        <w:pStyle w:val="GOSTNameTable"/>
        <w:numPr>
          <w:ilvl w:val="0"/>
          <w:numId w:val="2"/>
        </w:numPr>
        <w:ind w:left="425" w:hanging="357"/>
      </w:pPr>
      <w:r w:rsidRPr="00264D5D">
        <w:rPr>
          <w:noProof/>
        </w:rPr>
        <w:fldChar w:fldCharType="begin"/>
      </w:r>
      <w:r w:rsidRPr="00264D5D">
        <w:rPr>
          <w:noProof/>
        </w:rPr>
        <w:instrText xml:space="preserve"> SEQ Таблица \* ARABIC </w:instrText>
      </w:r>
      <w:r w:rsidRPr="00264D5D">
        <w:rPr>
          <w:noProof/>
        </w:rPr>
        <w:fldChar w:fldCharType="separate"/>
      </w:r>
      <w:bookmarkStart w:id="1234" w:name="_Ref528062194"/>
      <w:bookmarkStart w:id="1235" w:name="_Toc776491"/>
      <w:bookmarkStart w:id="1236" w:name="_Toc219309157"/>
      <w:r w:rsidR="008D797C">
        <w:rPr>
          <w:noProof/>
        </w:rPr>
        <w:t>127</w:t>
      </w:r>
      <w:bookmarkEnd w:id="1234"/>
      <w:r w:rsidRPr="00264D5D">
        <w:rPr>
          <w:noProof/>
        </w:rPr>
        <w:fldChar w:fldCharType="end"/>
      </w:r>
      <w:r w:rsidR="00941227" w:rsidRPr="00264D5D">
        <w:rPr>
          <w:rFonts w:eastAsia="Calibri"/>
          <w:szCs w:val="24"/>
        </w:rPr>
        <w:t xml:space="preserve"> – </w:t>
      </w:r>
      <w:r w:rsidR="00941227" w:rsidRPr="00264D5D">
        <w:t>Описание комплексного типа «</w:t>
      </w:r>
      <w:r w:rsidR="00941227" w:rsidRPr="00264D5D">
        <w:rPr>
          <w:szCs w:val="24"/>
        </w:rPr>
        <w:t>tMSC_BKTpComplex</w:t>
      </w:r>
      <w:r w:rsidR="00941227" w:rsidRPr="00264D5D">
        <w:t>»</w:t>
      </w:r>
      <w:bookmarkEnd w:id="1235"/>
      <w:bookmarkEnd w:id="1236"/>
    </w:p>
    <w:tbl>
      <w:tblPr>
        <w:tblStyle w:val="GOSTTable"/>
        <w:tblW w:w="5000" w:type="pct"/>
        <w:tblLayout w:type="fixed"/>
        <w:tblLook w:val="01E0" w:firstRow="1" w:lastRow="1" w:firstColumn="1" w:lastColumn="1" w:noHBand="0" w:noVBand="0"/>
      </w:tblPr>
      <w:tblGrid>
        <w:gridCol w:w="1704"/>
        <w:gridCol w:w="1704"/>
        <w:gridCol w:w="568"/>
        <w:gridCol w:w="1136"/>
        <w:gridCol w:w="568"/>
        <w:gridCol w:w="3970"/>
      </w:tblGrid>
      <w:tr w:rsidR="00AD1F54" w:rsidRPr="00264D5D" w14:paraId="1CBB51B8"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4BDDEF68" w14:textId="77777777" w:rsidR="00AD1F54" w:rsidRPr="00264D5D" w:rsidRDefault="00941227">
            <w:pPr>
              <w:pStyle w:val="GOSTTableHead"/>
            </w:pPr>
            <w:r w:rsidRPr="00264D5D">
              <w:t>Наименование элемента</w:t>
            </w:r>
          </w:p>
        </w:tc>
        <w:tc>
          <w:tcPr>
            <w:tcW w:w="1701" w:type="dxa"/>
          </w:tcPr>
          <w:p w14:paraId="1C364A57" w14:textId="77777777" w:rsidR="00AD1F54" w:rsidRPr="00264D5D" w:rsidRDefault="00941227">
            <w:pPr>
              <w:pStyle w:val="GOSTTableHead"/>
            </w:pPr>
            <w:r w:rsidRPr="00264D5D">
              <w:t>Сокращенное наименование (код) элемента</w:t>
            </w:r>
          </w:p>
        </w:tc>
        <w:tc>
          <w:tcPr>
            <w:tcW w:w="567" w:type="dxa"/>
          </w:tcPr>
          <w:p w14:paraId="69CEB21C" w14:textId="77777777" w:rsidR="00AD1F54" w:rsidRPr="00264D5D" w:rsidRDefault="00941227">
            <w:pPr>
              <w:pStyle w:val="GOSTTableHead"/>
            </w:pPr>
            <w:r w:rsidRPr="00264D5D">
              <w:t>Тип</w:t>
            </w:r>
          </w:p>
        </w:tc>
        <w:tc>
          <w:tcPr>
            <w:tcW w:w="1134" w:type="dxa"/>
          </w:tcPr>
          <w:p w14:paraId="3993D974" w14:textId="77777777" w:rsidR="00AD1F54" w:rsidRPr="00264D5D" w:rsidRDefault="00941227">
            <w:pPr>
              <w:pStyle w:val="GOSTTableHead"/>
            </w:pPr>
            <w:r w:rsidRPr="00264D5D">
              <w:t>Формат элемента</w:t>
            </w:r>
          </w:p>
        </w:tc>
        <w:tc>
          <w:tcPr>
            <w:tcW w:w="567" w:type="dxa"/>
          </w:tcPr>
          <w:p w14:paraId="780A0596" w14:textId="77777777" w:rsidR="00AD1F54" w:rsidRPr="00264D5D" w:rsidRDefault="00941227">
            <w:pPr>
              <w:pStyle w:val="GOSTTableHead"/>
            </w:pPr>
            <w:r w:rsidRPr="00264D5D">
              <w:t>Обязательность</w:t>
            </w:r>
          </w:p>
        </w:tc>
        <w:tc>
          <w:tcPr>
            <w:tcW w:w="3963" w:type="dxa"/>
          </w:tcPr>
          <w:p w14:paraId="33855284" w14:textId="77777777" w:rsidR="00AD1F54" w:rsidRPr="00264D5D" w:rsidRDefault="00941227">
            <w:pPr>
              <w:pStyle w:val="EBTableHead"/>
              <w:ind w:left="0" w:right="0"/>
              <w:rPr>
                <w:sz w:val="22"/>
                <w:szCs w:val="22"/>
              </w:rPr>
            </w:pPr>
            <w:r w:rsidRPr="00264D5D">
              <w:rPr>
                <w:bCs w:val="0"/>
                <w:sz w:val="22"/>
                <w:szCs w:val="22"/>
              </w:rPr>
              <w:t>Дополнительная информация</w:t>
            </w:r>
          </w:p>
        </w:tc>
      </w:tr>
      <w:tr w:rsidR="00AD1F54" w:rsidRPr="00264D5D" w14:paraId="5A17F33E"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593AC96C" w14:textId="77777777" w:rsidR="00AD1F54" w:rsidRPr="00264D5D" w:rsidRDefault="00941227">
            <w:pPr>
              <w:pStyle w:val="GOSTTablenorm"/>
            </w:pPr>
            <w:r w:rsidRPr="00264D5D">
              <w:t>Код</w:t>
            </w:r>
          </w:p>
        </w:tc>
        <w:tc>
          <w:tcPr>
            <w:tcW w:w="1701" w:type="dxa"/>
          </w:tcPr>
          <w:p w14:paraId="3F4E1C4F" w14:textId="77777777" w:rsidR="00AD1F54" w:rsidRPr="00264D5D" w:rsidRDefault="00941227">
            <w:pPr>
              <w:pStyle w:val="GOSTTablenorm"/>
              <w:rPr>
                <w:lang w:val="en-US"/>
              </w:rPr>
            </w:pPr>
            <w:r w:rsidRPr="00264D5D">
              <w:rPr>
                <w:lang w:val="en-US"/>
              </w:rPr>
              <w:t>code</w:t>
            </w:r>
          </w:p>
        </w:tc>
        <w:tc>
          <w:tcPr>
            <w:tcW w:w="567" w:type="dxa"/>
          </w:tcPr>
          <w:p w14:paraId="32A0E801" w14:textId="77777777" w:rsidR="00AD1F54" w:rsidRPr="00264D5D" w:rsidRDefault="00941227">
            <w:pPr>
              <w:pStyle w:val="GOSTTablenorm"/>
              <w:jc w:val="center"/>
            </w:pPr>
            <w:r w:rsidRPr="00264D5D">
              <w:t>А</w:t>
            </w:r>
          </w:p>
        </w:tc>
        <w:tc>
          <w:tcPr>
            <w:tcW w:w="1134" w:type="dxa"/>
          </w:tcPr>
          <w:p w14:paraId="61F13804" w14:textId="77777777" w:rsidR="00AD1F54" w:rsidRPr="00264D5D" w:rsidRDefault="00941227">
            <w:pPr>
              <w:pStyle w:val="GOSTTablenorm"/>
            </w:pPr>
            <w:r w:rsidRPr="00264D5D">
              <w:t>-</w:t>
            </w:r>
          </w:p>
        </w:tc>
        <w:tc>
          <w:tcPr>
            <w:tcW w:w="567" w:type="dxa"/>
          </w:tcPr>
          <w:p w14:paraId="7DFEE07E" w14:textId="77777777" w:rsidR="00AD1F54" w:rsidRPr="00264D5D" w:rsidRDefault="00941227">
            <w:pPr>
              <w:pStyle w:val="GOSTTablenorm"/>
              <w:jc w:val="center"/>
            </w:pPr>
            <w:r w:rsidRPr="00264D5D">
              <w:t>О</w:t>
            </w:r>
          </w:p>
        </w:tc>
        <w:tc>
          <w:tcPr>
            <w:tcW w:w="3963" w:type="dxa"/>
          </w:tcPr>
          <w:p w14:paraId="35F74952" w14:textId="77777777" w:rsidR="00AD1F54" w:rsidRPr="00264D5D" w:rsidRDefault="00941227">
            <w:pPr>
              <w:pStyle w:val="GOSTTablenorm"/>
            </w:pPr>
            <w:r w:rsidRPr="00264D5D">
              <w:t>Указывается код типа КБК. Может принимать значения:</w:t>
            </w:r>
          </w:p>
          <w:p w14:paraId="6AC498E4" w14:textId="77777777" w:rsidR="00AD1F54" w:rsidRPr="00264D5D" w:rsidRDefault="00941227" w:rsidP="00E7460C">
            <w:pPr>
              <w:pStyle w:val="GOSTTablenorm"/>
              <w:numPr>
                <w:ilvl w:val="0"/>
                <w:numId w:val="79"/>
              </w:numPr>
              <w:ind w:left="284" w:hanging="227"/>
            </w:pPr>
            <w:r w:rsidRPr="00264D5D">
              <w:t>«31» – ИВФДБ;</w:t>
            </w:r>
          </w:p>
          <w:p w14:paraId="132A5552" w14:textId="77777777" w:rsidR="00AD1F54" w:rsidRPr="00264D5D" w:rsidRDefault="00A10DB3" w:rsidP="00E7460C">
            <w:pPr>
              <w:pStyle w:val="GOSTTablenorm"/>
              <w:numPr>
                <w:ilvl w:val="0"/>
                <w:numId w:val="79"/>
              </w:numPr>
              <w:ind w:left="284" w:hanging="227"/>
            </w:pPr>
            <w:r w:rsidRPr="00264D5D">
              <w:t>«32» – ИВнФДБ</w:t>
            </w:r>
          </w:p>
        </w:tc>
      </w:tr>
      <w:tr w:rsidR="00AD1F54" w:rsidRPr="00264D5D" w14:paraId="6CF15A72"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63DB8429" w14:textId="77777777" w:rsidR="00AD1F54" w:rsidRPr="00264D5D" w:rsidRDefault="00941227">
            <w:pPr>
              <w:pStyle w:val="GOSTTablenorm"/>
            </w:pPr>
            <w:r w:rsidRPr="00264D5D">
              <w:t>Тип КБК</w:t>
            </w:r>
          </w:p>
        </w:tc>
        <w:tc>
          <w:tcPr>
            <w:tcW w:w="1701" w:type="dxa"/>
          </w:tcPr>
          <w:p w14:paraId="776A15A6" w14:textId="77777777" w:rsidR="00AD1F54" w:rsidRPr="00264D5D" w:rsidRDefault="00941227">
            <w:pPr>
              <w:pStyle w:val="GOSTTablenorm"/>
            </w:pPr>
            <w:r w:rsidRPr="00264D5D">
              <w:rPr>
                <w:lang w:val="en-US"/>
              </w:rPr>
              <w:t>value</w:t>
            </w:r>
          </w:p>
        </w:tc>
        <w:tc>
          <w:tcPr>
            <w:tcW w:w="567" w:type="dxa"/>
          </w:tcPr>
          <w:p w14:paraId="3BCD6BB4" w14:textId="77777777" w:rsidR="00AD1F54" w:rsidRPr="00264D5D" w:rsidRDefault="00941227">
            <w:pPr>
              <w:pStyle w:val="GOSTTablenorm"/>
              <w:jc w:val="center"/>
            </w:pPr>
            <w:r w:rsidRPr="00264D5D">
              <w:t>А</w:t>
            </w:r>
          </w:p>
        </w:tc>
        <w:tc>
          <w:tcPr>
            <w:tcW w:w="1134" w:type="dxa"/>
          </w:tcPr>
          <w:p w14:paraId="52A9AF88" w14:textId="77777777" w:rsidR="00AD1F54" w:rsidRPr="00264D5D" w:rsidRDefault="00941227">
            <w:pPr>
              <w:pStyle w:val="GOSTTablenorm"/>
            </w:pPr>
            <w:r w:rsidRPr="00264D5D">
              <w:t>-</w:t>
            </w:r>
          </w:p>
        </w:tc>
        <w:tc>
          <w:tcPr>
            <w:tcW w:w="567" w:type="dxa"/>
          </w:tcPr>
          <w:p w14:paraId="52BFD7C3" w14:textId="77777777" w:rsidR="00AD1F54" w:rsidRPr="00264D5D" w:rsidRDefault="00941227">
            <w:pPr>
              <w:pStyle w:val="GOSTTablenorm"/>
              <w:jc w:val="center"/>
            </w:pPr>
            <w:r w:rsidRPr="00264D5D">
              <w:t>Н</w:t>
            </w:r>
          </w:p>
        </w:tc>
        <w:tc>
          <w:tcPr>
            <w:tcW w:w="3963" w:type="dxa"/>
          </w:tcPr>
          <w:p w14:paraId="24C52823" w14:textId="77777777" w:rsidR="00AD1F54" w:rsidRPr="00264D5D" w:rsidRDefault="00941227">
            <w:pPr>
              <w:pStyle w:val="GOSTTablenorm"/>
            </w:pPr>
            <w:r w:rsidRPr="00264D5D">
              <w:t xml:space="preserve">Указывается наименование типа КБК. </w:t>
            </w:r>
          </w:p>
          <w:p w14:paraId="3AA18774" w14:textId="77777777" w:rsidR="00AD1F54" w:rsidRPr="00264D5D" w:rsidRDefault="00941227">
            <w:pPr>
              <w:pStyle w:val="GOSTTablenorm"/>
            </w:pPr>
            <w:r w:rsidRPr="00264D5D">
              <w:t>Может принимать значения:</w:t>
            </w:r>
          </w:p>
          <w:p w14:paraId="61D64495" w14:textId="77777777" w:rsidR="00AD1F54" w:rsidRPr="00264D5D" w:rsidRDefault="00941227" w:rsidP="00E7460C">
            <w:pPr>
              <w:pStyle w:val="GOSTTablenorm"/>
              <w:numPr>
                <w:ilvl w:val="0"/>
                <w:numId w:val="79"/>
              </w:numPr>
              <w:ind w:left="284" w:hanging="227"/>
            </w:pPr>
            <w:r w:rsidRPr="00264D5D">
              <w:t>ИВФДБ;</w:t>
            </w:r>
          </w:p>
          <w:p w14:paraId="7411E0FE" w14:textId="77777777" w:rsidR="00AD1F54" w:rsidRPr="00264D5D" w:rsidRDefault="00A10DB3" w:rsidP="00E7460C">
            <w:pPr>
              <w:pStyle w:val="GOSTTablenorm"/>
              <w:numPr>
                <w:ilvl w:val="0"/>
                <w:numId w:val="79"/>
              </w:numPr>
              <w:ind w:left="284" w:hanging="227"/>
            </w:pPr>
            <w:r w:rsidRPr="00264D5D">
              <w:t>ИВнФДБ</w:t>
            </w:r>
          </w:p>
        </w:tc>
      </w:tr>
    </w:tbl>
    <w:p w14:paraId="0227B018" w14:textId="77777777" w:rsidR="00AD1F54" w:rsidRPr="00264D5D" w:rsidRDefault="00941227">
      <w:pPr>
        <w:pStyle w:val="31"/>
      </w:pPr>
      <w:bookmarkStart w:id="1237" w:name="_Toc776942"/>
      <w:bookmarkStart w:id="1238" w:name="_Toc1469448"/>
      <w:bookmarkStart w:id="1239" w:name="_Toc219309575"/>
      <w:r w:rsidRPr="00264D5D">
        <w:t>Описание комплексного типа «tMSC_SrcTypeComplex2»</w:t>
      </w:r>
      <w:bookmarkEnd w:id="1237"/>
      <w:bookmarkEnd w:id="1238"/>
      <w:bookmarkEnd w:id="1239"/>
    </w:p>
    <w:p w14:paraId="479B32C1" w14:textId="77777777" w:rsidR="00AD1F54" w:rsidRPr="00264D5D" w:rsidRDefault="00941227">
      <w:pPr>
        <w:pStyle w:val="ASFKNormal"/>
        <w:spacing w:before="60" w:after="120"/>
        <w:jc w:val="both"/>
        <w:rPr>
          <w:sz w:val="24"/>
        </w:rPr>
      </w:pPr>
      <w:r w:rsidRPr="00264D5D">
        <w:rPr>
          <w:sz w:val="24"/>
        </w:rPr>
        <w:t>Описание комплексного типа «tMSC_SrcTypeComplex2» блока «Вид средств для осуществления возврата».</w:t>
      </w:r>
    </w:p>
    <w:p w14:paraId="27F6EC23" w14:textId="10C0A8D8" w:rsidR="00AD1F54" w:rsidRPr="00264D5D" w:rsidRDefault="00941227">
      <w:pPr>
        <w:pStyle w:val="GOSTNameTable"/>
        <w:numPr>
          <w:ilvl w:val="0"/>
          <w:numId w:val="2"/>
        </w:numPr>
        <w:ind w:left="425" w:hanging="357"/>
        <w:rPr>
          <w:rFonts w:eastAsia="Calibri"/>
        </w:rPr>
      </w:pPr>
      <w:r w:rsidRPr="00264D5D">
        <w:rPr>
          <w:rFonts w:eastAsia="Calibri"/>
        </w:rPr>
        <w:lastRenderedPageBreak/>
        <w:fldChar w:fldCharType="begin"/>
      </w:r>
      <w:r w:rsidRPr="00264D5D">
        <w:rPr>
          <w:rFonts w:eastAsia="Calibri"/>
        </w:rPr>
        <w:instrText xml:space="preserve"> SEQ Таблица \* ARABIC </w:instrText>
      </w:r>
      <w:r w:rsidRPr="00264D5D">
        <w:rPr>
          <w:rFonts w:eastAsia="Calibri"/>
        </w:rPr>
        <w:fldChar w:fldCharType="separate"/>
      </w:r>
      <w:bookmarkStart w:id="1240" w:name="_Ref524686046"/>
      <w:bookmarkStart w:id="1241" w:name="_Toc776492"/>
      <w:bookmarkStart w:id="1242" w:name="_Toc219309158"/>
      <w:r w:rsidR="008D797C">
        <w:rPr>
          <w:rFonts w:eastAsia="Calibri"/>
          <w:noProof/>
        </w:rPr>
        <w:t>128</w:t>
      </w:r>
      <w:bookmarkEnd w:id="1240"/>
      <w:r w:rsidRPr="00264D5D">
        <w:rPr>
          <w:rFonts w:eastAsia="Calibri"/>
        </w:rPr>
        <w:fldChar w:fldCharType="end"/>
      </w:r>
      <w:r w:rsidRPr="00264D5D">
        <w:rPr>
          <w:rFonts w:eastAsia="Calibri"/>
          <w:szCs w:val="24"/>
        </w:rPr>
        <w:t xml:space="preserve"> – </w:t>
      </w:r>
      <w:r w:rsidRPr="00264D5D">
        <w:rPr>
          <w:rFonts w:eastAsia="Calibri"/>
        </w:rPr>
        <w:t>Описание комплексного типа «</w:t>
      </w:r>
      <w:r w:rsidRPr="00264D5D">
        <w:t>tMSC_SrcTypeComplex2</w:t>
      </w:r>
      <w:r w:rsidRPr="00264D5D">
        <w:rPr>
          <w:rFonts w:eastAsia="Calibri"/>
        </w:rPr>
        <w:t>»</w:t>
      </w:r>
      <w:bookmarkEnd w:id="1241"/>
      <w:bookmarkEnd w:id="1242"/>
    </w:p>
    <w:tbl>
      <w:tblPr>
        <w:tblStyle w:val="GOSTTable"/>
        <w:tblW w:w="5000" w:type="pct"/>
        <w:tblLayout w:type="fixed"/>
        <w:tblLook w:val="01E0" w:firstRow="1" w:lastRow="1" w:firstColumn="1" w:lastColumn="1" w:noHBand="0" w:noVBand="0"/>
      </w:tblPr>
      <w:tblGrid>
        <w:gridCol w:w="1705"/>
        <w:gridCol w:w="1704"/>
        <w:gridCol w:w="568"/>
        <w:gridCol w:w="1136"/>
        <w:gridCol w:w="568"/>
        <w:gridCol w:w="3969"/>
      </w:tblGrid>
      <w:tr w:rsidR="00AD1F54" w:rsidRPr="00264D5D" w14:paraId="090124C4"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3" w:type="dxa"/>
          </w:tcPr>
          <w:p w14:paraId="46CDB2E9" w14:textId="77777777" w:rsidR="00AD1F54" w:rsidRPr="00264D5D" w:rsidRDefault="00941227">
            <w:pPr>
              <w:pStyle w:val="GOSTTableHead"/>
            </w:pPr>
            <w:r w:rsidRPr="00264D5D">
              <w:t>Наименование элемента</w:t>
            </w:r>
          </w:p>
        </w:tc>
        <w:tc>
          <w:tcPr>
            <w:tcW w:w="1701" w:type="dxa"/>
          </w:tcPr>
          <w:p w14:paraId="5C557753" w14:textId="77777777" w:rsidR="00AD1F54" w:rsidRPr="00264D5D" w:rsidRDefault="00941227">
            <w:pPr>
              <w:pStyle w:val="GOSTTableHead"/>
            </w:pPr>
            <w:r w:rsidRPr="00264D5D">
              <w:t>Сокращенное наименование (код) элемента</w:t>
            </w:r>
          </w:p>
        </w:tc>
        <w:tc>
          <w:tcPr>
            <w:tcW w:w="567" w:type="dxa"/>
          </w:tcPr>
          <w:p w14:paraId="55CF8D75" w14:textId="77777777" w:rsidR="00AD1F54" w:rsidRPr="00264D5D" w:rsidRDefault="00941227">
            <w:pPr>
              <w:pStyle w:val="GOSTTableHead"/>
            </w:pPr>
            <w:r w:rsidRPr="00264D5D">
              <w:t>Тип</w:t>
            </w:r>
          </w:p>
        </w:tc>
        <w:tc>
          <w:tcPr>
            <w:tcW w:w="1134" w:type="dxa"/>
          </w:tcPr>
          <w:p w14:paraId="1672A756" w14:textId="77777777" w:rsidR="00AD1F54" w:rsidRPr="00264D5D" w:rsidRDefault="00941227">
            <w:pPr>
              <w:pStyle w:val="GOSTTableHead"/>
            </w:pPr>
            <w:r w:rsidRPr="00264D5D">
              <w:t>Формат элемента</w:t>
            </w:r>
          </w:p>
        </w:tc>
        <w:tc>
          <w:tcPr>
            <w:tcW w:w="567" w:type="dxa"/>
          </w:tcPr>
          <w:p w14:paraId="478A3BF3" w14:textId="77777777" w:rsidR="00AD1F54" w:rsidRPr="00264D5D" w:rsidRDefault="00941227">
            <w:pPr>
              <w:pStyle w:val="GOSTTableHead"/>
            </w:pPr>
            <w:r w:rsidRPr="00264D5D">
              <w:t>Обязательность</w:t>
            </w:r>
          </w:p>
        </w:tc>
        <w:tc>
          <w:tcPr>
            <w:tcW w:w="3963" w:type="dxa"/>
          </w:tcPr>
          <w:p w14:paraId="1D2AAB7A" w14:textId="77777777" w:rsidR="00AD1F54" w:rsidRPr="00264D5D" w:rsidRDefault="00941227">
            <w:pPr>
              <w:pStyle w:val="GOSTTableHead"/>
              <w:rPr>
                <w:szCs w:val="22"/>
              </w:rPr>
            </w:pPr>
            <w:r w:rsidRPr="00264D5D">
              <w:rPr>
                <w:szCs w:val="22"/>
              </w:rPr>
              <w:t>Дополнительная информация</w:t>
            </w:r>
          </w:p>
        </w:tc>
      </w:tr>
      <w:tr w:rsidR="00AD1F54" w:rsidRPr="00264D5D" w14:paraId="649E71D8" w14:textId="77777777" w:rsidTr="00AD1F54">
        <w:trPr>
          <w:cnfStyle w:val="000000100000" w:firstRow="0" w:lastRow="0" w:firstColumn="0" w:lastColumn="0" w:oddVBand="0" w:evenVBand="0" w:oddHBand="1" w:evenHBand="0" w:firstRowFirstColumn="0" w:firstRowLastColumn="0" w:lastRowFirstColumn="0" w:lastRowLastColumn="0"/>
        </w:trPr>
        <w:tc>
          <w:tcPr>
            <w:tcW w:w="1703" w:type="dxa"/>
          </w:tcPr>
          <w:p w14:paraId="0BEC2496" w14:textId="77777777" w:rsidR="00AD1F54" w:rsidRPr="00264D5D" w:rsidRDefault="00941227">
            <w:pPr>
              <w:pStyle w:val="GOSTTablenorm"/>
            </w:pPr>
            <w:r w:rsidRPr="00264D5D">
              <w:t>Код</w:t>
            </w:r>
          </w:p>
        </w:tc>
        <w:tc>
          <w:tcPr>
            <w:tcW w:w="1701" w:type="dxa"/>
          </w:tcPr>
          <w:p w14:paraId="7D443680" w14:textId="77777777" w:rsidR="00AD1F54" w:rsidRPr="00264D5D" w:rsidRDefault="00941227">
            <w:pPr>
              <w:pStyle w:val="GOSTTablenorm"/>
              <w:rPr>
                <w:lang w:val="en-US"/>
              </w:rPr>
            </w:pPr>
            <w:r w:rsidRPr="00264D5D">
              <w:rPr>
                <w:lang w:val="en-US"/>
              </w:rPr>
              <w:t>code</w:t>
            </w:r>
          </w:p>
        </w:tc>
        <w:tc>
          <w:tcPr>
            <w:tcW w:w="567" w:type="dxa"/>
          </w:tcPr>
          <w:p w14:paraId="3CEBCC8E" w14:textId="77777777" w:rsidR="00AD1F54" w:rsidRPr="00264D5D" w:rsidRDefault="00941227">
            <w:pPr>
              <w:pStyle w:val="GOSTTablenorm"/>
              <w:jc w:val="center"/>
            </w:pPr>
            <w:r w:rsidRPr="00264D5D">
              <w:t>А</w:t>
            </w:r>
          </w:p>
        </w:tc>
        <w:tc>
          <w:tcPr>
            <w:tcW w:w="1134" w:type="dxa"/>
          </w:tcPr>
          <w:p w14:paraId="3D132766" w14:textId="77777777" w:rsidR="00AD1F54" w:rsidRPr="00264D5D" w:rsidRDefault="00941227">
            <w:pPr>
              <w:pStyle w:val="GOSTTablenorm"/>
            </w:pPr>
            <w:r w:rsidRPr="00264D5D">
              <w:t>-</w:t>
            </w:r>
          </w:p>
        </w:tc>
        <w:tc>
          <w:tcPr>
            <w:tcW w:w="567" w:type="dxa"/>
          </w:tcPr>
          <w:p w14:paraId="22DB364B" w14:textId="77777777" w:rsidR="00AD1F54" w:rsidRPr="00264D5D" w:rsidRDefault="00941227">
            <w:pPr>
              <w:pStyle w:val="GOSTTablenorm"/>
              <w:jc w:val="center"/>
            </w:pPr>
            <w:r w:rsidRPr="00264D5D">
              <w:t>О</w:t>
            </w:r>
          </w:p>
        </w:tc>
        <w:tc>
          <w:tcPr>
            <w:tcW w:w="3963" w:type="dxa"/>
          </w:tcPr>
          <w:p w14:paraId="4EBEA49A" w14:textId="77777777" w:rsidR="00AD1F54" w:rsidRPr="00264D5D" w:rsidRDefault="00941227">
            <w:pPr>
              <w:pStyle w:val="GOSTTablenorm"/>
            </w:pPr>
            <w:r w:rsidRPr="00264D5D">
              <w:t>Возможные значения:</w:t>
            </w:r>
          </w:p>
          <w:p w14:paraId="02BD7B1F" w14:textId="77777777" w:rsidR="00AD1F54" w:rsidRPr="00264D5D" w:rsidRDefault="00941227" w:rsidP="00E7460C">
            <w:pPr>
              <w:pStyle w:val="GOSTTablenorm"/>
              <w:numPr>
                <w:ilvl w:val="0"/>
                <w:numId w:val="79"/>
              </w:numPr>
              <w:ind w:left="284" w:hanging="227"/>
            </w:pPr>
            <w:r w:rsidRPr="00264D5D">
              <w:t>«1» – Средства бюджета;</w:t>
            </w:r>
          </w:p>
          <w:p w14:paraId="3A28F934" w14:textId="77777777" w:rsidR="00AD1F54" w:rsidRPr="00264D5D" w:rsidRDefault="00941227" w:rsidP="00E7460C">
            <w:pPr>
              <w:pStyle w:val="GOSTTablenorm"/>
              <w:numPr>
                <w:ilvl w:val="0"/>
                <w:numId w:val="79"/>
              </w:numPr>
              <w:ind w:left="284" w:hanging="227"/>
            </w:pPr>
            <w:r w:rsidRPr="00264D5D">
              <w:t>«3» – Средства дополнительного бюджетного финансирования;</w:t>
            </w:r>
          </w:p>
          <w:p w14:paraId="50ED086C" w14:textId="77777777" w:rsidR="00AD1F54" w:rsidRPr="00264D5D" w:rsidRDefault="00941227" w:rsidP="00E7460C">
            <w:pPr>
              <w:pStyle w:val="GOSTTablenorm"/>
              <w:numPr>
                <w:ilvl w:val="0"/>
                <w:numId w:val="79"/>
              </w:numPr>
              <w:ind w:left="284" w:hanging="227"/>
            </w:pPr>
            <w:r w:rsidRPr="00264D5D">
              <w:t>«4» – Средства для финансирования мероприятий по оперативно-розыскной деятельности;</w:t>
            </w:r>
          </w:p>
          <w:p w14:paraId="3069017C" w14:textId="77777777" w:rsidR="00AD1F54" w:rsidRPr="00264D5D" w:rsidRDefault="00941227" w:rsidP="00E7460C">
            <w:pPr>
              <w:pStyle w:val="GOSTTablenorm"/>
              <w:numPr>
                <w:ilvl w:val="0"/>
                <w:numId w:val="79"/>
              </w:numPr>
              <w:ind w:left="284" w:hanging="227"/>
            </w:pPr>
            <w:r w:rsidRPr="00264D5D">
              <w:t>«5» – Средства, поступающие во временное распоряжение казенных учреждений;</w:t>
            </w:r>
          </w:p>
          <w:p w14:paraId="476ABB40" w14:textId="77777777" w:rsidR="00AD1F54" w:rsidRPr="00264D5D" w:rsidRDefault="00941227" w:rsidP="00E7460C">
            <w:pPr>
              <w:pStyle w:val="GOSTTablenorm"/>
              <w:numPr>
                <w:ilvl w:val="0"/>
                <w:numId w:val="79"/>
              </w:numPr>
              <w:ind w:left="284" w:hanging="227"/>
            </w:pPr>
            <w:r w:rsidRPr="00264D5D">
              <w:t>«6» – Средства ю</w:t>
            </w:r>
            <w:r w:rsidR="00A10DB3" w:rsidRPr="00264D5D">
              <w:t>ридических лиц</w:t>
            </w:r>
          </w:p>
        </w:tc>
      </w:tr>
      <w:tr w:rsidR="00AD1F54" w:rsidRPr="00264D5D" w14:paraId="683EE143" w14:textId="77777777" w:rsidTr="00AD1F54">
        <w:trPr>
          <w:cnfStyle w:val="000000010000" w:firstRow="0" w:lastRow="0" w:firstColumn="0" w:lastColumn="0" w:oddVBand="0" w:evenVBand="0" w:oddHBand="0" w:evenHBand="1" w:firstRowFirstColumn="0" w:firstRowLastColumn="0" w:lastRowFirstColumn="0" w:lastRowLastColumn="0"/>
        </w:trPr>
        <w:tc>
          <w:tcPr>
            <w:tcW w:w="1703" w:type="dxa"/>
          </w:tcPr>
          <w:p w14:paraId="2D826561" w14:textId="77777777" w:rsidR="00AD1F54" w:rsidRPr="00264D5D" w:rsidRDefault="00941227">
            <w:pPr>
              <w:pStyle w:val="GOSTTablenorm"/>
            </w:pPr>
            <w:r w:rsidRPr="00264D5D">
              <w:t>Вид средств</w:t>
            </w:r>
          </w:p>
        </w:tc>
        <w:tc>
          <w:tcPr>
            <w:tcW w:w="1701" w:type="dxa"/>
          </w:tcPr>
          <w:p w14:paraId="7E780204" w14:textId="77777777" w:rsidR="00AD1F54" w:rsidRPr="00264D5D" w:rsidRDefault="00941227">
            <w:pPr>
              <w:pStyle w:val="GOSTTablenorm"/>
              <w:rPr>
                <w:lang w:val="en-US"/>
              </w:rPr>
            </w:pPr>
            <w:r w:rsidRPr="00264D5D">
              <w:rPr>
                <w:lang w:val="en-US"/>
              </w:rPr>
              <w:t>value</w:t>
            </w:r>
          </w:p>
        </w:tc>
        <w:tc>
          <w:tcPr>
            <w:tcW w:w="567" w:type="dxa"/>
          </w:tcPr>
          <w:p w14:paraId="5CF2541B" w14:textId="77777777" w:rsidR="00AD1F54" w:rsidRPr="00264D5D" w:rsidRDefault="00941227">
            <w:pPr>
              <w:pStyle w:val="GOSTTablenorm"/>
              <w:jc w:val="center"/>
            </w:pPr>
            <w:r w:rsidRPr="00264D5D">
              <w:t>А</w:t>
            </w:r>
          </w:p>
        </w:tc>
        <w:tc>
          <w:tcPr>
            <w:tcW w:w="1134" w:type="dxa"/>
          </w:tcPr>
          <w:p w14:paraId="57916500" w14:textId="77777777" w:rsidR="00AD1F54" w:rsidRPr="00264D5D" w:rsidRDefault="00941227">
            <w:pPr>
              <w:pStyle w:val="GOSTTablenorm"/>
            </w:pPr>
            <w:r w:rsidRPr="00264D5D">
              <w:t>-</w:t>
            </w:r>
          </w:p>
        </w:tc>
        <w:tc>
          <w:tcPr>
            <w:tcW w:w="567" w:type="dxa"/>
          </w:tcPr>
          <w:p w14:paraId="7FDC9EFE" w14:textId="77777777" w:rsidR="00AD1F54" w:rsidRPr="00264D5D" w:rsidRDefault="00941227">
            <w:pPr>
              <w:pStyle w:val="GOSTTablenorm"/>
              <w:jc w:val="center"/>
            </w:pPr>
            <w:r w:rsidRPr="00264D5D">
              <w:t>Н</w:t>
            </w:r>
          </w:p>
        </w:tc>
        <w:tc>
          <w:tcPr>
            <w:tcW w:w="3963" w:type="dxa"/>
          </w:tcPr>
          <w:p w14:paraId="4DCC68FD" w14:textId="77777777" w:rsidR="00AD1F54" w:rsidRPr="00264D5D" w:rsidRDefault="00941227">
            <w:pPr>
              <w:pStyle w:val="GOSTTablenorm"/>
            </w:pPr>
            <w:r w:rsidRPr="00264D5D">
              <w:t>Возможные значения:</w:t>
            </w:r>
          </w:p>
          <w:p w14:paraId="35E48F59" w14:textId="77777777" w:rsidR="00AD1F54" w:rsidRPr="00264D5D" w:rsidRDefault="00941227" w:rsidP="00E7460C">
            <w:pPr>
              <w:pStyle w:val="GOSTTablenorm"/>
              <w:numPr>
                <w:ilvl w:val="0"/>
                <w:numId w:val="79"/>
              </w:numPr>
              <w:ind w:left="284" w:hanging="227"/>
            </w:pPr>
            <w:r w:rsidRPr="00264D5D">
              <w:t>Средства бюджета;</w:t>
            </w:r>
          </w:p>
          <w:p w14:paraId="1C5C1037" w14:textId="77777777" w:rsidR="00AD1F54" w:rsidRPr="00264D5D" w:rsidRDefault="00941227" w:rsidP="00E7460C">
            <w:pPr>
              <w:pStyle w:val="GOSTTablenorm"/>
              <w:numPr>
                <w:ilvl w:val="0"/>
                <w:numId w:val="79"/>
              </w:numPr>
              <w:ind w:left="284" w:hanging="227"/>
            </w:pPr>
            <w:r w:rsidRPr="00264D5D">
              <w:t>Средства дополнительного бюджетного финансирования;</w:t>
            </w:r>
          </w:p>
          <w:p w14:paraId="12E6E161" w14:textId="77777777" w:rsidR="00AD1F54" w:rsidRPr="00264D5D" w:rsidRDefault="00941227" w:rsidP="00E7460C">
            <w:pPr>
              <w:pStyle w:val="GOSTTablenorm"/>
              <w:numPr>
                <w:ilvl w:val="0"/>
                <w:numId w:val="79"/>
              </w:numPr>
              <w:ind w:left="284" w:hanging="227"/>
            </w:pPr>
            <w:r w:rsidRPr="00264D5D">
              <w:t>Средства для финансирования мероприятий по оперативно-розыскной деятельности;</w:t>
            </w:r>
          </w:p>
          <w:p w14:paraId="3E610015" w14:textId="77777777" w:rsidR="00AD1F54" w:rsidRPr="00264D5D" w:rsidRDefault="00941227" w:rsidP="00E7460C">
            <w:pPr>
              <w:pStyle w:val="GOSTTablenorm"/>
              <w:numPr>
                <w:ilvl w:val="0"/>
                <w:numId w:val="79"/>
              </w:numPr>
              <w:ind w:left="284" w:hanging="227"/>
            </w:pPr>
            <w:r w:rsidRPr="00264D5D">
              <w:t>Средства, поступающие во временное распоряжение казенных учреждений;</w:t>
            </w:r>
          </w:p>
          <w:p w14:paraId="2A4D0829" w14:textId="77777777" w:rsidR="00AD1F54" w:rsidRPr="00264D5D" w:rsidRDefault="00A10DB3" w:rsidP="00E7460C">
            <w:pPr>
              <w:pStyle w:val="GOSTTablenorm"/>
              <w:numPr>
                <w:ilvl w:val="0"/>
                <w:numId w:val="79"/>
              </w:numPr>
              <w:ind w:left="284" w:hanging="227"/>
              <w:rPr>
                <w:szCs w:val="22"/>
              </w:rPr>
            </w:pPr>
            <w:r w:rsidRPr="00264D5D">
              <w:t>Средства юридических лиц</w:t>
            </w:r>
          </w:p>
        </w:tc>
      </w:tr>
    </w:tbl>
    <w:p w14:paraId="4F54B569" w14:textId="77777777" w:rsidR="00AD1F54" w:rsidRPr="00264D5D" w:rsidRDefault="00941227">
      <w:pPr>
        <w:pStyle w:val="31"/>
      </w:pPr>
      <w:bookmarkStart w:id="1243" w:name="_Toc776943"/>
      <w:bookmarkStart w:id="1244" w:name="_Toc1469449"/>
      <w:bookmarkStart w:id="1245" w:name="_Toc219309576"/>
      <w:r w:rsidRPr="00264D5D">
        <w:t>Описание комплексного типа «tMSC_Pmnt»</w:t>
      </w:r>
      <w:bookmarkEnd w:id="1243"/>
      <w:bookmarkEnd w:id="1244"/>
      <w:bookmarkEnd w:id="1245"/>
    </w:p>
    <w:p w14:paraId="7FC05076" w14:textId="77777777" w:rsidR="00AD1F54" w:rsidRPr="00264D5D" w:rsidRDefault="00941227">
      <w:pPr>
        <w:pStyle w:val="ASFKNormal"/>
        <w:spacing w:before="60" w:after="120"/>
        <w:jc w:val="both"/>
        <w:rPr>
          <w:sz w:val="24"/>
        </w:rPr>
      </w:pPr>
      <w:r w:rsidRPr="00264D5D">
        <w:rPr>
          <w:sz w:val="24"/>
        </w:rPr>
        <w:t>Описание комплексного типа «tMSC_Pmnt» блока «Информация о платеже».</w:t>
      </w:r>
    </w:p>
    <w:bookmarkStart w:id="1246" w:name="_Ref503567873"/>
    <w:p w14:paraId="0FDBBE79" w14:textId="6A8BE4DD" w:rsidR="00AD1F54" w:rsidRPr="00264D5D" w:rsidRDefault="00941227">
      <w:pPr>
        <w:pStyle w:val="GOSTNameTable"/>
        <w:numPr>
          <w:ilvl w:val="0"/>
          <w:numId w:val="2"/>
        </w:numPr>
        <w:ind w:left="425" w:hanging="357"/>
        <w:rPr>
          <w:rFonts w:eastAsia="Calibri"/>
        </w:rPr>
      </w:pPr>
      <w:r w:rsidRPr="00264D5D">
        <w:rPr>
          <w:rFonts w:eastAsia="Calibri"/>
        </w:rPr>
        <w:fldChar w:fldCharType="begin"/>
      </w:r>
      <w:r w:rsidRPr="00264D5D">
        <w:rPr>
          <w:rFonts w:eastAsia="Calibri"/>
        </w:rPr>
        <w:instrText xml:space="preserve"> SEQ Таблица \* ARABIC </w:instrText>
      </w:r>
      <w:r w:rsidRPr="00264D5D">
        <w:rPr>
          <w:rFonts w:eastAsia="Calibri"/>
        </w:rPr>
        <w:fldChar w:fldCharType="separate"/>
      </w:r>
      <w:bookmarkStart w:id="1247" w:name="_Ref503567877"/>
      <w:bookmarkStart w:id="1248" w:name="_Toc776493"/>
      <w:bookmarkStart w:id="1249" w:name="_Toc219309159"/>
      <w:r w:rsidR="008D797C">
        <w:rPr>
          <w:rFonts w:eastAsia="Calibri"/>
          <w:noProof/>
        </w:rPr>
        <w:t>129</w:t>
      </w:r>
      <w:bookmarkEnd w:id="1247"/>
      <w:r w:rsidRPr="00264D5D">
        <w:rPr>
          <w:rFonts w:eastAsia="Calibri"/>
        </w:rPr>
        <w:fldChar w:fldCharType="end"/>
      </w:r>
      <w:r w:rsidRPr="00264D5D">
        <w:rPr>
          <w:rFonts w:eastAsia="Calibri"/>
          <w:szCs w:val="24"/>
        </w:rPr>
        <w:t xml:space="preserve"> – Описание</w:t>
      </w:r>
      <w:r w:rsidRPr="00264D5D">
        <w:rPr>
          <w:rFonts w:eastAsia="Calibri"/>
        </w:rPr>
        <w:t xml:space="preserve"> комплексного </w:t>
      </w:r>
      <w:r w:rsidRPr="00264D5D">
        <w:rPr>
          <w:rFonts w:eastAsia="Calibri"/>
          <w:szCs w:val="24"/>
        </w:rPr>
        <w:t>типа «</w:t>
      </w:r>
      <w:r w:rsidRPr="00264D5D">
        <w:rPr>
          <w:szCs w:val="24"/>
        </w:rPr>
        <w:t>tMSC_Pmnt</w:t>
      </w:r>
      <w:r w:rsidRPr="00264D5D">
        <w:rPr>
          <w:rFonts w:eastAsia="Calibri"/>
          <w:szCs w:val="24"/>
        </w:rPr>
        <w:t>»</w:t>
      </w:r>
      <w:bookmarkEnd w:id="1246"/>
      <w:bookmarkEnd w:id="1248"/>
      <w:bookmarkEnd w:id="1249"/>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10"/>
        <w:gridCol w:w="1711"/>
        <w:gridCol w:w="570"/>
        <w:gridCol w:w="1141"/>
        <w:gridCol w:w="570"/>
        <w:gridCol w:w="3992"/>
      </w:tblGrid>
      <w:tr w:rsidR="00AD1F54" w:rsidRPr="00264D5D" w14:paraId="035929A3" w14:textId="77777777">
        <w:trPr>
          <w:tblHeader/>
        </w:trPr>
        <w:tc>
          <w:tcPr>
            <w:tcW w:w="1700" w:type="dxa"/>
            <w:shd w:val="clear" w:color="auto" w:fill="E7E6E6" w:themeFill="background2"/>
            <w:tcMar>
              <w:left w:w="28" w:type="dxa"/>
              <w:right w:w="28" w:type="dxa"/>
            </w:tcMar>
            <w:vAlign w:val="center"/>
          </w:tcPr>
          <w:p w14:paraId="7C26E851" w14:textId="77777777" w:rsidR="00AD1F54" w:rsidRPr="00264D5D" w:rsidRDefault="00941227">
            <w:pPr>
              <w:pStyle w:val="GOSTTableHead"/>
            </w:pPr>
            <w:r w:rsidRPr="00264D5D">
              <w:t>Наименование элемента</w:t>
            </w:r>
          </w:p>
        </w:tc>
        <w:tc>
          <w:tcPr>
            <w:tcW w:w="1701" w:type="dxa"/>
            <w:shd w:val="clear" w:color="auto" w:fill="E7E6E6" w:themeFill="background2"/>
            <w:tcMar>
              <w:left w:w="28" w:type="dxa"/>
              <w:right w:w="28" w:type="dxa"/>
            </w:tcMar>
            <w:vAlign w:val="center"/>
          </w:tcPr>
          <w:p w14:paraId="7BAB6CC0" w14:textId="77777777" w:rsidR="00AD1F54" w:rsidRPr="00264D5D" w:rsidRDefault="00941227">
            <w:pPr>
              <w:pStyle w:val="GOSTTableHead"/>
            </w:pPr>
            <w:r w:rsidRPr="00264D5D">
              <w:t>Сокращенное наименование (код) элемента</w:t>
            </w:r>
          </w:p>
        </w:tc>
        <w:tc>
          <w:tcPr>
            <w:tcW w:w="567" w:type="dxa"/>
            <w:shd w:val="clear" w:color="auto" w:fill="E7E6E6" w:themeFill="background2"/>
            <w:tcMar>
              <w:left w:w="28" w:type="dxa"/>
              <w:right w:w="28" w:type="dxa"/>
            </w:tcMar>
            <w:vAlign w:val="center"/>
          </w:tcPr>
          <w:p w14:paraId="7A77EF5E" w14:textId="77777777" w:rsidR="00AD1F54" w:rsidRPr="00264D5D" w:rsidRDefault="00941227">
            <w:pPr>
              <w:pStyle w:val="GOSTTableHead"/>
            </w:pPr>
            <w:r w:rsidRPr="00264D5D">
              <w:t>Тип</w:t>
            </w:r>
          </w:p>
        </w:tc>
        <w:tc>
          <w:tcPr>
            <w:tcW w:w="1134" w:type="dxa"/>
            <w:shd w:val="clear" w:color="auto" w:fill="E7E6E6" w:themeFill="background2"/>
            <w:tcMar>
              <w:left w:w="28" w:type="dxa"/>
              <w:right w:w="28" w:type="dxa"/>
            </w:tcMar>
            <w:vAlign w:val="center"/>
          </w:tcPr>
          <w:p w14:paraId="6626DF75" w14:textId="77777777" w:rsidR="00AD1F54" w:rsidRPr="00264D5D" w:rsidRDefault="00941227">
            <w:pPr>
              <w:pStyle w:val="GOSTTableHead"/>
            </w:pPr>
            <w:r w:rsidRPr="00264D5D">
              <w:t>Формат элемента</w:t>
            </w:r>
          </w:p>
        </w:tc>
        <w:tc>
          <w:tcPr>
            <w:tcW w:w="567" w:type="dxa"/>
            <w:shd w:val="clear" w:color="auto" w:fill="E7E6E6" w:themeFill="background2"/>
            <w:tcMar>
              <w:left w:w="28" w:type="dxa"/>
              <w:right w:w="28" w:type="dxa"/>
            </w:tcMar>
            <w:vAlign w:val="center"/>
          </w:tcPr>
          <w:p w14:paraId="7C578482" w14:textId="77777777" w:rsidR="00AD1F54" w:rsidRPr="00264D5D" w:rsidRDefault="00941227">
            <w:pPr>
              <w:pStyle w:val="GOSTTableHead"/>
            </w:pPr>
            <w:r w:rsidRPr="00264D5D">
              <w:t>Обязательность</w:t>
            </w:r>
          </w:p>
        </w:tc>
        <w:tc>
          <w:tcPr>
            <w:tcW w:w="3969" w:type="dxa"/>
            <w:shd w:val="clear" w:color="auto" w:fill="E7E6E6" w:themeFill="background2"/>
            <w:tcMar>
              <w:left w:w="28" w:type="dxa"/>
              <w:right w:w="28" w:type="dxa"/>
            </w:tcMar>
            <w:vAlign w:val="center"/>
          </w:tcPr>
          <w:p w14:paraId="44837CD7" w14:textId="77777777" w:rsidR="00AD1F54" w:rsidRPr="00264D5D" w:rsidRDefault="00941227">
            <w:pPr>
              <w:pStyle w:val="GOSTTableHead"/>
              <w:rPr>
                <w:szCs w:val="22"/>
              </w:rPr>
            </w:pPr>
            <w:r w:rsidRPr="00264D5D">
              <w:rPr>
                <w:szCs w:val="22"/>
              </w:rPr>
              <w:t>Дополнительная информация</w:t>
            </w:r>
          </w:p>
        </w:tc>
      </w:tr>
      <w:tr w:rsidR="00AD1F54" w:rsidRPr="00264D5D" w14:paraId="190AB044" w14:textId="77777777">
        <w:tc>
          <w:tcPr>
            <w:tcW w:w="1700" w:type="dxa"/>
          </w:tcPr>
          <w:p w14:paraId="0E9F0A6A" w14:textId="77777777" w:rsidR="00AD1F54" w:rsidRPr="00264D5D" w:rsidRDefault="00941227">
            <w:pPr>
              <w:pStyle w:val="GOSTTablenorm"/>
            </w:pPr>
            <w:r w:rsidRPr="00264D5D">
              <w:t>Очередность платежа</w:t>
            </w:r>
          </w:p>
        </w:tc>
        <w:tc>
          <w:tcPr>
            <w:tcW w:w="1701" w:type="dxa"/>
            <w:tcMar>
              <w:left w:w="28" w:type="dxa"/>
              <w:right w:w="28" w:type="dxa"/>
            </w:tcMar>
          </w:tcPr>
          <w:p w14:paraId="065F40D4" w14:textId="77777777" w:rsidR="00AD1F54" w:rsidRPr="00264D5D" w:rsidRDefault="00941227">
            <w:pPr>
              <w:pStyle w:val="GOSTTablenorm"/>
            </w:pPr>
            <w:r w:rsidRPr="00264D5D">
              <w:t>Prt</w:t>
            </w:r>
          </w:p>
        </w:tc>
        <w:tc>
          <w:tcPr>
            <w:tcW w:w="567" w:type="dxa"/>
            <w:tcMar>
              <w:left w:w="28" w:type="dxa"/>
              <w:right w:w="28" w:type="dxa"/>
            </w:tcMar>
          </w:tcPr>
          <w:p w14:paraId="0F46C0F6" w14:textId="77777777" w:rsidR="00AD1F54" w:rsidRPr="00264D5D" w:rsidRDefault="00941227">
            <w:pPr>
              <w:pStyle w:val="GOSTTablenorm"/>
              <w:jc w:val="center"/>
            </w:pPr>
            <w:r w:rsidRPr="00264D5D">
              <w:t>П</w:t>
            </w:r>
          </w:p>
        </w:tc>
        <w:tc>
          <w:tcPr>
            <w:tcW w:w="1134" w:type="dxa"/>
            <w:tcMar>
              <w:left w:w="28" w:type="dxa"/>
              <w:right w:w="28" w:type="dxa"/>
            </w:tcMar>
          </w:tcPr>
          <w:p w14:paraId="28655CD5" w14:textId="77777777" w:rsidR="00AD1F54" w:rsidRPr="00264D5D" w:rsidRDefault="00941227">
            <w:pPr>
              <w:pStyle w:val="GOSTTablenorm"/>
            </w:pPr>
            <w:r w:rsidRPr="00264D5D">
              <w:rPr>
                <w:lang w:val="en-US"/>
              </w:rPr>
              <w:t>Т(1)</w:t>
            </w:r>
          </w:p>
        </w:tc>
        <w:tc>
          <w:tcPr>
            <w:tcW w:w="567" w:type="dxa"/>
            <w:tcMar>
              <w:left w:w="28" w:type="dxa"/>
              <w:right w:w="28" w:type="dxa"/>
            </w:tcMar>
          </w:tcPr>
          <w:p w14:paraId="53A72B73" w14:textId="77777777" w:rsidR="00AD1F54" w:rsidRPr="00264D5D" w:rsidRDefault="00941227">
            <w:pPr>
              <w:pStyle w:val="GOSTTablenorm"/>
              <w:jc w:val="center"/>
              <w:rPr>
                <w:lang w:val="en-US"/>
              </w:rPr>
            </w:pPr>
            <w:r w:rsidRPr="00264D5D">
              <w:t>О</w:t>
            </w:r>
          </w:p>
        </w:tc>
        <w:tc>
          <w:tcPr>
            <w:tcW w:w="3969" w:type="dxa"/>
            <w:tcMar>
              <w:left w:w="28" w:type="dxa"/>
              <w:right w:w="28" w:type="dxa"/>
            </w:tcMar>
          </w:tcPr>
          <w:p w14:paraId="4F3AACF9" w14:textId="77777777" w:rsidR="00AD1F54" w:rsidRPr="00264D5D" w:rsidRDefault="00A10DB3">
            <w:pPr>
              <w:pStyle w:val="GOSTTablenorm"/>
            </w:pPr>
            <w:r w:rsidRPr="00264D5D">
              <w:t>Принимает значение от 1 до 5</w:t>
            </w:r>
          </w:p>
        </w:tc>
      </w:tr>
      <w:tr w:rsidR="00AD1F54" w:rsidRPr="00264D5D" w14:paraId="56BCDD55" w14:textId="77777777">
        <w:tc>
          <w:tcPr>
            <w:tcW w:w="1700" w:type="dxa"/>
          </w:tcPr>
          <w:p w14:paraId="4A18D215" w14:textId="77777777" w:rsidR="00AD1F54" w:rsidRPr="00264D5D" w:rsidRDefault="00941227">
            <w:pPr>
              <w:pStyle w:val="GOSTTablenorm"/>
            </w:pPr>
            <w:r w:rsidRPr="00264D5D">
              <w:t>Вид платежа</w:t>
            </w:r>
          </w:p>
        </w:tc>
        <w:tc>
          <w:tcPr>
            <w:tcW w:w="1701" w:type="dxa"/>
            <w:tcMar>
              <w:left w:w="28" w:type="dxa"/>
              <w:right w:w="28" w:type="dxa"/>
            </w:tcMar>
          </w:tcPr>
          <w:p w14:paraId="35403E01" w14:textId="77777777" w:rsidR="00AD1F54" w:rsidRPr="00264D5D" w:rsidRDefault="00941227">
            <w:pPr>
              <w:pStyle w:val="GOSTTablenorm"/>
              <w:rPr>
                <w:lang w:val="en-US"/>
              </w:rPr>
            </w:pPr>
            <w:r w:rsidRPr="00264D5D">
              <w:rPr>
                <w:lang w:val="en-US"/>
              </w:rPr>
              <w:t>Knd</w:t>
            </w:r>
          </w:p>
        </w:tc>
        <w:tc>
          <w:tcPr>
            <w:tcW w:w="567" w:type="dxa"/>
            <w:tcMar>
              <w:left w:w="28" w:type="dxa"/>
              <w:right w:w="28" w:type="dxa"/>
            </w:tcMar>
          </w:tcPr>
          <w:p w14:paraId="7C97860D" w14:textId="77777777" w:rsidR="00AD1F54" w:rsidRPr="00264D5D" w:rsidRDefault="00941227">
            <w:pPr>
              <w:pStyle w:val="GOSTTablenorm"/>
              <w:jc w:val="center"/>
            </w:pPr>
            <w:r w:rsidRPr="00264D5D">
              <w:t>С</w:t>
            </w:r>
          </w:p>
        </w:tc>
        <w:tc>
          <w:tcPr>
            <w:tcW w:w="1134" w:type="dxa"/>
            <w:tcMar>
              <w:left w:w="28" w:type="dxa"/>
              <w:right w:w="28" w:type="dxa"/>
            </w:tcMar>
          </w:tcPr>
          <w:p w14:paraId="5BFE8AD2" w14:textId="77777777" w:rsidR="00AD1F54" w:rsidRPr="00264D5D" w:rsidRDefault="00941227">
            <w:pPr>
              <w:pStyle w:val="GOSTTablenorm"/>
            </w:pPr>
            <w:r w:rsidRPr="00264D5D">
              <w:t>tMSC_ShrtPyKndComplex</w:t>
            </w:r>
          </w:p>
        </w:tc>
        <w:tc>
          <w:tcPr>
            <w:tcW w:w="567" w:type="dxa"/>
            <w:tcMar>
              <w:left w:w="28" w:type="dxa"/>
              <w:right w:w="28" w:type="dxa"/>
            </w:tcMar>
          </w:tcPr>
          <w:p w14:paraId="4F207BEC" w14:textId="77777777" w:rsidR="00AD1F54" w:rsidRPr="00264D5D" w:rsidRDefault="00941227">
            <w:pPr>
              <w:pStyle w:val="GOSTTablenorm"/>
              <w:jc w:val="center"/>
            </w:pPr>
            <w:r w:rsidRPr="00264D5D">
              <w:t>О</w:t>
            </w:r>
          </w:p>
        </w:tc>
        <w:tc>
          <w:tcPr>
            <w:tcW w:w="3969" w:type="dxa"/>
            <w:tcMar>
              <w:left w:w="28" w:type="dxa"/>
              <w:right w:w="28" w:type="dxa"/>
            </w:tcMar>
          </w:tcPr>
          <w:p w14:paraId="2C3EDA36" w14:textId="77777777" w:rsidR="00AD1F54" w:rsidRPr="00264D5D" w:rsidRDefault="00941227">
            <w:pPr>
              <w:pStyle w:val="GOSTTablenorm"/>
            </w:pPr>
            <w:r w:rsidRPr="00264D5D">
              <w:t>Вид платежа.</w:t>
            </w:r>
          </w:p>
          <w:p w14:paraId="02461C6B" w14:textId="6406B443" w:rsidR="00AD1F54" w:rsidRPr="00264D5D" w:rsidRDefault="00941227">
            <w:pPr>
              <w:pStyle w:val="GOSTTablenorm"/>
            </w:pPr>
            <w:r w:rsidRPr="00264D5D">
              <w:t xml:space="preserve">Состав элемента представлен в таблице </w:t>
            </w:r>
            <w:r w:rsidRPr="00264D5D">
              <w:rPr>
                <w:b/>
              </w:rPr>
              <w:fldChar w:fldCharType="begin"/>
            </w:r>
            <w:r w:rsidRPr="00264D5D">
              <w:rPr>
                <w:b/>
              </w:rPr>
              <w:instrText xml:space="preserve"> REF _Ref524686905 \h  \* MERGEFORMAT </w:instrText>
            </w:r>
            <w:r w:rsidRPr="00264D5D">
              <w:rPr>
                <w:b/>
              </w:rPr>
            </w:r>
            <w:r w:rsidRPr="00264D5D">
              <w:rPr>
                <w:b/>
              </w:rPr>
              <w:fldChar w:fldCharType="separate"/>
            </w:r>
            <w:r w:rsidR="008D797C" w:rsidRPr="008D797C">
              <w:rPr>
                <w:b/>
              </w:rPr>
              <w:t>133</w:t>
            </w:r>
            <w:r w:rsidRPr="00264D5D">
              <w:rPr>
                <w:b/>
              </w:rPr>
              <w:fldChar w:fldCharType="end"/>
            </w:r>
          </w:p>
        </w:tc>
      </w:tr>
      <w:tr w:rsidR="00AD1F54" w:rsidRPr="00264D5D" w14:paraId="694A6407" w14:textId="77777777">
        <w:tc>
          <w:tcPr>
            <w:tcW w:w="1700" w:type="dxa"/>
          </w:tcPr>
          <w:p w14:paraId="2683E305" w14:textId="77777777" w:rsidR="00AD1F54" w:rsidRPr="00264D5D" w:rsidRDefault="00941227">
            <w:pPr>
              <w:pStyle w:val="GOSTTablenorm"/>
            </w:pPr>
            <w:r w:rsidRPr="00264D5D">
              <w:t>Назначение платежа</w:t>
            </w:r>
          </w:p>
        </w:tc>
        <w:tc>
          <w:tcPr>
            <w:tcW w:w="1701" w:type="dxa"/>
            <w:tcMar>
              <w:left w:w="28" w:type="dxa"/>
              <w:right w:w="28" w:type="dxa"/>
            </w:tcMar>
          </w:tcPr>
          <w:p w14:paraId="2CA8F8D4" w14:textId="77777777" w:rsidR="00AD1F54" w:rsidRPr="00264D5D" w:rsidRDefault="00941227">
            <w:pPr>
              <w:pStyle w:val="GOSTTablenorm"/>
            </w:pPr>
            <w:r w:rsidRPr="00264D5D">
              <w:t>Prps</w:t>
            </w:r>
          </w:p>
        </w:tc>
        <w:tc>
          <w:tcPr>
            <w:tcW w:w="567" w:type="dxa"/>
            <w:tcMar>
              <w:left w:w="28" w:type="dxa"/>
              <w:right w:w="28" w:type="dxa"/>
            </w:tcMar>
          </w:tcPr>
          <w:p w14:paraId="695EB7D4" w14:textId="77777777" w:rsidR="00AD1F54" w:rsidRPr="00264D5D" w:rsidRDefault="00941227">
            <w:pPr>
              <w:pStyle w:val="GOSTTablenorm"/>
              <w:jc w:val="center"/>
            </w:pPr>
            <w:r w:rsidRPr="00264D5D">
              <w:t>П</w:t>
            </w:r>
          </w:p>
        </w:tc>
        <w:tc>
          <w:tcPr>
            <w:tcW w:w="1134" w:type="dxa"/>
            <w:tcMar>
              <w:left w:w="28" w:type="dxa"/>
              <w:right w:w="28" w:type="dxa"/>
            </w:tcMar>
          </w:tcPr>
          <w:p w14:paraId="71BF1F8C" w14:textId="77777777" w:rsidR="00AD1F54" w:rsidRPr="00264D5D" w:rsidRDefault="00941227">
            <w:pPr>
              <w:pStyle w:val="GOSTTablenorm"/>
              <w:rPr>
                <w:lang w:val="en-US"/>
              </w:rPr>
            </w:pPr>
            <w:r w:rsidRPr="00264D5D">
              <w:rPr>
                <w:lang w:val="en-US"/>
              </w:rPr>
              <w:t>Т(1-</w:t>
            </w:r>
            <w:r w:rsidRPr="00264D5D">
              <w:t>210</w:t>
            </w:r>
            <w:r w:rsidRPr="00264D5D">
              <w:rPr>
                <w:lang w:val="en-US"/>
              </w:rPr>
              <w:t>)</w:t>
            </w:r>
          </w:p>
        </w:tc>
        <w:tc>
          <w:tcPr>
            <w:tcW w:w="567" w:type="dxa"/>
            <w:tcMar>
              <w:left w:w="28" w:type="dxa"/>
              <w:right w:w="28" w:type="dxa"/>
            </w:tcMar>
          </w:tcPr>
          <w:p w14:paraId="4C2A2E67" w14:textId="77777777" w:rsidR="00AD1F54" w:rsidRPr="00264D5D" w:rsidRDefault="00941227">
            <w:pPr>
              <w:pStyle w:val="GOSTTablenorm"/>
              <w:jc w:val="center"/>
              <w:rPr>
                <w:lang w:val="en-US"/>
              </w:rPr>
            </w:pPr>
            <w:r w:rsidRPr="00264D5D">
              <w:t>О</w:t>
            </w:r>
          </w:p>
        </w:tc>
        <w:tc>
          <w:tcPr>
            <w:tcW w:w="3969" w:type="dxa"/>
            <w:tcMar>
              <w:left w:w="28" w:type="dxa"/>
              <w:right w:w="28" w:type="dxa"/>
            </w:tcMar>
          </w:tcPr>
          <w:p w14:paraId="0942F8AB" w14:textId="77777777" w:rsidR="00AD1F54" w:rsidRPr="00264D5D" w:rsidRDefault="00A10DB3">
            <w:pPr>
              <w:pStyle w:val="GOSTTablenorm"/>
            </w:pPr>
            <w:r w:rsidRPr="00264D5D">
              <w:t>Указывается назначение платежа</w:t>
            </w:r>
          </w:p>
        </w:tc>
      </w:tr>
    </w:tbl>
    <w:p w14:paraId="65EC4B50" w14:textId="77777777" w:rsidR="00AD1F54" w:rsidRPr="00264D5D" w:rsidRDefault="00941227">
      <w:pPr>
        <w:pStyle w:val="31"/>
      </w:pPr>
      <w:bookmarkStart w:id="1250" w:name="_Toc776944"/>
      <w:bookmarkStart w:id="1251" w:name="_Toc1469450"/>
      <w:bookmarkStart w:id="1252" w:name="_Toc219309577"/>
      <w:r w:rsidRPr="00264D5D">
        <w:lastRenderedPageBreak/>
        <w:t>Описание комплексного типа «tMSC_ShrtDcBs»</w:t>
      </w:r>
      <w:bookmarkEnd w:id="1250"/>
      <w:bookmarkEnd w:id="1251"/>
      <w:bookmarkEnd w:id="1252"/>
    </w:p>
    <w:p w14:paraId="3512360C" w14:textId="77777777" w:rsidR="00AD1F54" w:rsidRPr="00264D5D" w:rsidRDefault="00941227">
      <w:pPr>
        <w:pStyle w:val="ASFKNormal"/>
        <w:spacing w:before="60" w:after="120"/>
        <w:jc w:val="both"/>
        <w:rPr>
          <w:sz w:val="24"/>
        </w:rPr>
      </w:pPr>
      <w:r w:rsidRPr="00264D5D">
        <w:rPr>
          <w:sz w:val="24"/>
        </w:rPr>
        <w:t>Описание комплексного типа «tMSC_ShrtDcBs» блока «Документ-основание».</w:t>
      </w:r>
    </w:p>
    <w:p w14:paraId="16B0391D" w14:textId="369AFA11"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1253" w:name="_Ref770692"/>
      <w:bookmarkStart w:id="1254" w:name="_Toc776494"/>
      <w:bookmarkStart w:id="1255" w:name="_Toc219309160"/>
      <w:r w:rsidR="008D797C">
        <w:rPr>
          <w:noProof/>
        </w:rPr>
        <w:t>130</w:t>
      </w:r>
      <w:bookmarkEnd w:id="1253"/>
      <w:r w:rsidRPr="00264D5D">
        <w:fldChar w:fldCharType="end"/>
      </w:r>
      <w:r w:rsidRPr="00264D5D">
        <w:rPr>
          <w:rFonts w:eastAsia="Calibri"/>
          <w:szCs w:val="24"/>
        </w:rPr>
        <w:t xml:space="preserve"> – </w:t>
      </w:r>
      <w:r w:rsidRPr="00264D5D">
        <w:t>Описание комплексного типа «tMSC_ShrtDcBs»</w:t>
      </w:r>
      <w:bookmarkEnd w:id="1254"/>
      <w:bookmarkEnd w:id="1255"/>
    </w:p>
    <w:tbl>
      <w:tblPr>
        <w:tblStyle w:val="GOSTTable"/>
        <w:tblW w:w="5000" w:type="pct"/>
        <w:tblLayout w:type="fixed"/>
        <w:tblLook w:val="04A0" w:firstRow="1" w:lastRow="0" w:firstColumn="1" w:lastColumn="0" w:noHBand="0" w:noVBand="1"/>
      </w:tblPr>
      <w:tblGrid>
        <w:gridCol w:w="1702"/>
        <w:gridCol w:w="1703"/>
        <w:gridCol w:w="568"/>
        <w:gridCol w:w="1135"/>
        <w:gridCol w:w="568"/>
        <w:gridCol w:w="3974"/>
      </w:tblGrid>
      <w:tr w:rsidR="00AD1F54" w:rsidRPr="00264D5D" w14:paraId="737D78FE"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018BBD58" w14:textId="77777777" w:rsidR="00AD1F54" w:rsidRPr="00264D5D" w:rsidRDefault="00941227">
            <w:pPr>
              <w:spacing w:before="60" w:after="60"/>
              <w:jc w:val="center"/>
              <w:rPr>
                <w:b/>
                <w:bCs/>
                <w:sz w:val="22"/>
                <w:szCs w:val="22"/>
                <w:lang w:val="en-US"/>
              </w:rPr>
            </w:pPr>
            <w:r w:rsidRPr="00264D5D">
              <w:rPr>
                <w:b/>
                <w:bCs/>
                <w:sz w:val="22"/>
                <w:szCs w:val="22"/>
              </w:rPr>
              <w:t>Наименование комплексного типа</w:t>
            </w:r>
          </w:p>
        </w:tc>
        <w:tc>
          <w:tcPr>
            <w:tcW w:w="1701" w:type="dxa"/>
          </w:tcPr>
          <w:p w14:paraId="68EB8819" w14:textId="77777777" w:rsidR="00AD1F54" w:rsidRPr="00264D5D" w:rsidRDefault="00941227">
            <w:pPr>
              <w:spacing w:before="60" w:after="60"/>
              <w:jc w:val="center"/>
              <w:rPr>
                <w:b/>
                <w:bCs/>
                <w:sz w:val="22"/>
                <w:szCs w:val="22"/>
              </w:rPr>
            </w:pPr>
            <w:r w:rsidRPr="00264D5D">
              <w:rPr>
                <w:b/>
                <w:bCs/>
                <w:sz w:val="22"/>
                <w:szCs w:val="22"/>
              </w:rPr>
              <w:t>Текущий элемент/</w:t>
            </w:r>
            <w:r w:rsidRPr="00264D5D">
              <w:rPr>
                <w:b/>
                <w:bCs/>
                <w:sz w:val="22"/>
                <w:szCs w:val="22"/>
                <w:lang w:val="en-US"/>
              </w:rPr>
              <w:t xml:space="preserve"> </w:t>
            </w:r>
            <w:r w:rsidRPr="00264D5D">
              <w:rPr>
                <w:b/>
                <w:bCs/>
                <w:sz w:val="22"/>
                <w:szCs w:val="22"/>
              </w:rPr>
              <w:t>атрибут</w:t>
            </w:r>
          </w:p>
        </w:tc>
        <w:tc>
          <w:tcPr>
            <w:tcW w:w="567" w:type="dxa"/>
          </w:tcPr>
          <w:p w14:paraId="2ED10A97" w14:textId="77777777" w:rsidR="00AD1F54" w:rsidRPr="00264D5D" w:rsidRDefault="00941227">
            <w:pPr>
              <w:spacing w:before="60" w:after="60"/>
              <w:jc w:val="center"/>
              <w:rPr>
                <w:b/>
                <w:sz w:val="22"/>
                <w:szCs w:val="22"/>
              </w:rPr>
            </w:pPr>
            <w:r w:rsidRPr="00264D5D">
              <w:rPr>
                <w:b/>
                <w:bCs/>
                <w:sz w:val="22"/>
                <w:szCs w:val="22"/>
              </w:rPr>
              <w:t>Тип</w:t>
            </w:r>
          </w:p>
        </w:tc>
        <w:tc>
          <w:tcPr>
            <w:tcW w:w="1134" w:type="dxa"/>
          </w:tcPr>
          <w:p w14:paraId="24900A30" w14:textId="77777777" w:rsidR="00AD1F54" w:rsidRPr="00264D5D" w:rsidRDefault="00941227">
            <w:pPr>
              <w:spacing w:before="60" w:after="60"/>
              <w:jc w:val="center"/>
              <w:rPr>
                <w:b/>
                <w:sz w:val="22"/>
                <w:szCs w:val="22"/>
              </w:rPr>
            </w:pPr>
            <w:r w:rsidRPr="00264D5D">
              <w:rPr>
                <w:b/>
                <w:bCs/>
                <w:sz w:val="22"/>
                <w:szCs w:val="22"/>
              </w:rPr>
              <w:t>Формат элемента</w:t>
            </w:r>
          </w:p>
        </w:tc>
        <w:tc>
          <w:tcPr>
            <w:tcW w:w="567" w:type="dxa"/>
          </w:tcPr>
          <w:p w14:paraId="44E3AA48" w14:textId="77777777" w:rsidR="00AD1F54" w:rsidRPr="00264D5D" w:rsidRDefault="00941227">
            <w:pPr>
              <w:spacing w:before="60" w:after="60"/>
              <w:jc w:val="center"/>
              <w:rPr>
                <w:b/>
                <w:sz w:val="22"/>
                <w:szCs w:val="22"/>
              </w:rPr>
            </w:pPr>
            <w:r w:rsidRPr="00264D5D">
              <w:rPr>
                <w:b/>
                <w:bCs/>
                <w:sz w:val="22"/>
                <w:szCs w:val="22"/>
              </w:rPr>
              <w:t>Обязательность</w:t>
            </w:r>
          </w:p>
        </w:tc>
        <w:tc>
          <w:tcPr>
            <w:tcW w:w="3969" w:type="dxa"/>
          </w:tcPr>
          <w:p w14:paraId="6D0853A3" w14:textId="77777777" w:rsidR="00AD1F54" w:rsidRPr="00264D5D" w:rsidRDefault="00941227">
            <w:pPr>
              <w:spacing w:before="60" w:after="60"/>
              <w:jc w:val="center"/>
              <w:rPr>
                <w:b/>
                <w:bCs/>
                <w:sz w:val="22"/>
                <w:szCs w:val="22"/>
              </w:rPr>
            </w:pPr>
            <w:r w:rsidRPr="00264D5D">
              <w:rPr>
                <w:b/>
                <w:bCs/>
                <w:sz w:val="22"/>
                <w:szCs w:val="22"/>
              </w:rPr>
              <w:t>Дополнительная информация</w:t>
            </w:r>
          </w:p>
        </w:tc>
      </w:tr>
      <w:tr w:rsidR="00AD1F54" w:rsidRPr="00264D5D" w14:paraId="5F9C2863"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F978DF4" w14:textId="77777777" w:rsidR="00AD1F54" w:rsidRPr="00264D5D" w:rsidRDefault="00941227">
            <w:pPr>
              <w:pStyle w:val="GOSTTablenorm"/>
            </w:pPr>
            <w:r w:rsidRPr="00264D5D">
              <w:t>tMSC_ShrtDcBs</w:t>
            </w:r>
          </w:p>
        </w:tc>
        <w:tc>
          <w:tcPr>
            <w:tcW w:w="1701" w:type="dxa"/>
          </w:tcPr>
          <w:p w14:paraId="642D8FD9" w14:textId="77777777" w:rsidR="00AD1F54" w:rsidRPr="00264D5D" w:rsidRDefault="00941227">
            <w:pPr>
              <w:pStyle w:val="GOSTTablenorm"/>
            </w:pPr>
            <w:r w:rsidRPr="00264D5D">
              <w:t>MSC_ShrtDcBs_ITEM</w:t>
            </w:r>
          </w:p>
        </w:tc>
        <w:tc>
          <w:tcPr>
            <w:tcW w:w="567" w:type="dxa"/>
          </w:tcPr>
          <w:p w14:paraId="42F4593D" w14:textId="77777777" w:rsidR="00AD1F54" w:rsidRPr="00264D5D" w:rsidRDefault="00941227">
            <w:pPr>
              <w:pStyle w:val="GOSTTablenorm"/>
              <w:jc w:val="center"/>
            </w:pPr>
            <w:r w:rsidRPr="00264D5D">
              <w:t>С</w:t>
            </w:r>
          </w:p>
        </w:tc>
        <w:tc>
          <w:tcPr>
            <w:tcW w:w="1134" w:type="dxa"/>
          </w:tcPr>
          <w:p w14:paraId="33105818" w14:textId="77777777" w:rsidR="00AD1F54" w:rsidRPr="00264D5D" w:rsidRDefault="00941227">
            <w:pPr>
              <w:pStyle w:val="GOSTTablenorm"/>
            </w:pPr>
            <w:r w:rsidRPr="00264D5D">
              <w:t>tMSC_ShrtDcBs_ITEM</w:t>
            </w:r>
          </w:p>
        </w:tc>
        <w:tc>
          <w:tcPr>
            <w:tcW w:w="567" w:type="dxa"/>
          </w:tcPr>
          <w:p w14:paraId="15106FE1" w14:textId="77777777" w:rsidR="00AD1F54" w:rsidRPr="00264D5D" w:rsidRDefault="00941227">
            <w:pPr>
              <w:pStyle w:val="GOSTTablenorm"/>
              <w:jc w:val="center"/>
            </w:pPr>
            <w:r w:rsidRPr="00264D5D">
              <w:t>ОМ</w:t>
            </w:r>
          </w:p>
        </w:tc>
        <w:tc>
          <w:tcPr>
            <w:tcW w:w="3969" w:type="dxa"/>
          </w:tcPr>
          <w:p w14:paraId="32A0D871" w14:textId="644B9499" w:rsidR="00AD1F54" w:rsidRPr="00264D5D" w:rsidRDefault="00941227">
            <w:pPr>
              <w:pStyle w:val="GOSTTablenorm"/>
            </w:pPr>
            <w:r w:rsidRPr="00264D5D">
              <w:t xml:space="preserve">Состав элемента представлен в таблице </w:t>
            </w:r>
            <w:r w:rsidRPr="00264D5D">
              <w:rPr>
                <w:b/>
              </w:rPr>
              <w:fldChar w:fldCharType="begin"/>
            </w:r>
            <w:r w:rsidRPr="00264D5D">
              <w:rPr>
                <w:b/>
              </w:rPr>
              <w:instrText xml:space="preserve"> REF _Ref503559148 \h  \* MERGEFORMAT </w:instrText>
            </w:r>
            <w:r w:rsidRPr="00264D5D">
              <w:rPr>
                <w:b/>
              </w:rPr>
            </w:r>
            <w:r w:rsidRPr="00264D5D">
              <w:rPr>
                <w:b/>
              </w:rPr>
              <w:fldChar w:fldCharType="separate"/>
            </w:r>
            <w:r w:rsidR="008D797C" w:rsidRPr="008D797C">
              <w:rPr>
                <w:rFonts w:eastAsia="Calibri"/>
                <w:b/>
              </w:rPr>
              <w:t>131</w:t>
            </w:r>
            <w:r w:rsidRPr="00264D5D">
              <w:rPr>
                <w:b/>
              </w:rPr>
              <w:fldChar w:fldCharType="end"/>
            </w:r>
          </w:p>
        </w:tc>
      </w:tr>
    </w:tbl>
    <w:p w14:paraId="04C646CB" w14:textId="77777777" w:rsidR="00AD1F54" w:rsidRPr="00264D5D" w:rsidRDefault="00941227">
      <w:pPr>
        <w:pStyle w:val="31"/>
      </w:pPr>
      <w:bookmarkStart w:id="1256" w:name="_Toc776945"/>
      <w:bookmarkStart w:id="1257" w:name="_Toc1469451"/>
      <w:bookmarkStart w:id="1258" w:name="_Toc219309578"/>
      <w:r w:rsidRPr="00264D5D">
        <w:t>Описание комплексного типа «tMSC_ShrtDcBs_ITEM»</w:t>
      </w:r>
      <w:bookmarkEnd w:id="1256"/>
      <w:bookmarkEnd w:id="1257"/>
      <w:bookmarkEnd w:id="1258"/>
    </w:p>
    <w:p w14:paraId="459691A5" w14:textId="77777777" w:rsidR="00AD1F54" w:rsidRPr="00264D5D" w:rsidRDefault="00941227">
      <w:pPr>
        <w:pStyle w:val="ASFKNormal"/>
        <w:spacing w:before="60" w:after="120"/>
        <w:jc w:val="both"/>
        <w:rPr>
          <w:sz w:val="24"/>
        </w:rPr>
      </w:pPr>
      <w:r w:rsidRPr="00264D5D">
        <w:rPr>
          <w:sz w:val="24"/>
        </w:rPr>
        <w:t>Описание комплексного типа «tMSC_ShrtDcBs_ITEM» строк блока «Документ-основание».</w:t>
      </w:r>
    </w:p>
    <w:p w14:paraId="3C5E2DC0" w14:textId="7C93DB3B" w:rsidR="00AD1F54" w:rsidRPr="00264D5D" w:rsidRDefault="00941227">
      <w:pPr>
        <w:pStyle w:val="GOSTNameTable"/>
        <w:numPr>
          <w:ilvl w:val="0"/>
          <w:numId w:val="2"/>
        </w:numPr>
        <w:ind w:left="425" w:hanging="357"/>
        <w:rPr>
          <w:rFonts w:eastAsia="Calibri"/>
          <w:szCs w:val="24"/>
        </w:rPr>
      </w:pPr>
      <w:r w:rsidRPr="00264D5D">
        <w:rPr>
          <w:rFonts w:eastAsia="Calibri"/>
        </w:rPr>
        <w:fldChar w:fldCharType="begin"/>
      </w:r>
      <w:r w:rsidRPr="00264D5D">
        <w:rPr>
          <w:rFonts w:eastAsia="Calibri"/>
        </w:rPr>
        <w:instrText xml:space="preserve"> SEQ Таблица \* ARABIC </w:instrText>
      </w:r>
      <w:r w:rsidRPr="00264D5D">
        <w:rPr>
          <w:rFonts w:eastAsia="Calibri"/>
        </w:rPr>
        <w:fldChar w:fldCharType="separate"/>
      </w:r>
      <w:bookmarkStart w:id="1259" w:name="_Ref503559148"/>
      <w:bookmarkStart w:id="1260" w:name="_Toc776495"/>
      <w:bookmarkStart w:id="1261" w:name="_Toc219309161"/>
      <w:r w:rsidR="008D797C">
        <w:rPr>
          <w:rFonts w:eastAsia="Calibri"/>
          <w:noProof/>
        </w:rPr>
        <w:t>131</w:t>
      </w:r>
      <w:bookmarkEnd w:id="1259"/>
      <w:r w:rsidRPr="00264D5D">
        <w:rPr>
          <w:rFonts w:eastAsia="Calibri"/>
        </w:rPr>
        <w:fldChar w:fldCharType="end"/>
      </w:r>
      <w:r w:rsidRPr="00264D5D">
        <w:rPr>
          <w:rFonts w:eastAsia="Calibri"/>
          <w:szCs w:val="24"/>
        </w:rPr>
        <w:t xml:space="preserve"> – </w:t>
      </w:r>
      <w:r w:rsidRPr="00264D5D">
        <w:rPr>
          <w:rFonts w:eastAsia="Calibri"/>
        </w:rPr>
        <w:t xml:space="preserve">Описание </w:t>
      </w:r>
      <w:r w:rsidRPr="00264D5D">
        <w:rPr>
          <w:rFonts w:eastAsia="Calibri"/>
          <w:szCs w:val="24"/>
        </w:rPr>
        <w:t>комплексного типа «</w:t>
      </w:r>
      <w:r w:rsidRPr="00264D5D">
        <w:t>tMSC_ShrtDcBs_ITEM</w:t>
      </w:r>
      <w:r w:rsidRPr="00264D5D">
        <w:rPr>
          <w:rFonts w:eastAsia="Calibri"/>
          <w:szCs w:val="24"/>
        </w:rPr>
        <w:t>»</w:t>
      </w:r>
      <w:bookmarkEnd w:id="1260"/>
      <w:bookmarkEnd w:id="1261"/>
    </w:p>
    <w:tbl>
      <w:tblPr>
        <w:tblStyle w:val="GOSTTable"/>
        <w:tblW w:w="5000" w:type="pct"/>
        <w:tblLayout w:type="fixed"/>
        <w:tblLook w:val="01E0" w:firstRow="1" w:lastRow="1" w:firstColumn="1" w:lastColumn="1" w:noHBand="0" w:noVBand="0"/>
      </w:tblPr>
      <w:tblGrid>
        <w:gridCol w:w="1704"/>
        <w:gridCol w:w="1704"/>
        <w:gridCol w:w="568"/>
        <w:gridCol w:w="1136"/>
        <w:gridCol w:w="568"/>
        <w:gridCol w:w="3970"/>
      </w:tblGrid>
      <w:tr w:rsidR="00AD1F54" w:rsidRPr="00264D5D" w14:paraId="561BA36B"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0" w:type="dxa"/>
          </w:tcPr>
          <w:p w14:paraId="040DEB2E" w14:textId="77777777" w:rsidR="00AD1F54" w:rsidRPr="00264D5D" w:rsidRDefault="00941227">
            <w:pPr>
              <w:pStyle w:val="GOSTTableHead"/>
            </w:pPr>
            <w:r w:rsidRPr="00264D5D">
              <w:t>Наименование элемента</w:t>
            </w:r>
          </w:p>
        </w:tc>
        <w:tc>
          <w:tcPr>
            <w:tcW w:w="1701" w:type="dxa"/>
          </w:tcPr>
          <w:p w14:paraId="250401AE" w14:textId="77777777" w:rsidR="00AD1F54" w:rsidRPr="00264D5D" w:rsidRDefault="00941227">
            <w:pPr>
              <w:pStyle w:val="GOSTTableHead"/>
            </w:pPr>
            <w:r w:rsidRPr="00264D5D">
              <w:t>Сокращенное наименование (код) элемента</w:t>
            </w:r>
          </w:p>
        </w:tc>
        <w:tc>
          <w:tcPr>
            <w:tcW w:w="567" w:type="dxa"/>
          </w:tcPr>
          <w:p w14:paraId="25C12C01" w14:textId="77777777" w:rsidR="00AD1F54" w:rsidRPr="00264D5D" w:rsidRDefault="00941227">
            <w:pPr>
              <w:pStyle w:val="GOSTTableHead"/>
            </w:pPr>
            <w:r w:rsidRPr="00264D5D">
              <w:t>Тип</w:t>
            </w:r>
          </w:p>
        </w:tc>
        <w:tc>
          <w:tcPr>
            <w:tcW w:w="1134" w:type="dxa"/>
          </w:tcPr>
          <w:p w14:paraId="7EC1FA40" w14:textId="77777777" w:rsidR="00AD1F54" w:rsidRPr="00264D5D" w:rsidRDefault="00941227">
            <w:pPr>
              <w:pStyle w:val="GOSTTableHead"/>
            </w:pPr>
            <w:r w:rsidRPr="00264D5D">
              <w:t>Формат элемента</w:t>
            </w:r>
          </w:p>
        </w:tc>
        <w:tc>
          <w:tcPr>
            <w:tcW w:w="567" w:type="dxa"/>
          </w:tcPr>
          <w:p w14:paraId="72AA6BEC" w14:textId="77777777" w:rsidR="00AD1F54" w:rsidRPr="00264D5D" w:rsidRDefault="00941227">
            <w:pPr>
              <w:pStyle w:val="GOSTTableHead"/>
            </w:pPr>
            <w:r w:rsidRPr="00264D5D">
              <w:t>Обязательность</w:t>
            </w:r>
          </w:p>
        </w:tc>
        <w:tc>
          <w:tcPr>
            <w:tcW w:w="3963" w:type="dxa"/>
          </w:tcPr>
          <w:p w14:paraId="0EFB348C" w14:textId="77777777" w:rsidR="00AD1F54" w:rsidRPr="00264D5D" w:rsidRDefault="00941227">
            <w:pPr>
              <w:pStyle w:val="GOSTTableHead"/>
              <w:rPr>
                <w:szCs w:val="22"/>
              </w:rPr>
            </w:pPr>
            <w:r w:rsidRPr="00264D5D">
              <w:rPr>
                <w:szCs w:val="22"/>
              </w:rPr>
              <w:t>Дополнительная информация</w:t>
            </w:r>
          </w:p>
        </w:tc>
      </w:tr>
      <w:tr w:rsidR="00AD1F54" w:rsidRPr="00264D5D" w14:paraId="3DF5722B" w14:textId="77777777" w:rsidTr="00AD1F54">
        <w:trPr>
          <w:cnfStyle w:val="000000100000" w:firstRow="0" w:lastRow="0" w:firstColumn="0" w:lastColumn="0" w:oddVBand="0" w:evenVBand="0" w:oddHBand="1" w:evenHBand="0" w:firstRowFirstColumn="0" w:firstRowLastColumn="0" w:lastRowFirstColumn="0" w:lastRowLastColumn="0"/>
        </w:trPr>
        <w:tc>
          <w:tcPr>
            <w:tcW w:w="1700" w:type="dxa"/>
          </w:tcPr>
          <w:p w14:paraId="7D59216D" w14:textId="77777777" w:rsidR="00AD1F54" w:rsidRPr="00264D5D" w:rsidRDefault="00941227">
            <w:pPr>
              <w:pStyle w:val="GOSTTablenorm"/>
              <w:rPr>
                <w:szCs w:val="22"/>
              </w:rPr>
            </w:pPr>
            <w:r w:rsidRPr="00264D5D">
              <w:t>№ п/п</w:t>
            </w:r>
          </w:p>
        </w:tc>
        <w:tc>
          <w:tcPr>
            <w:tcW w:w="1701" w:type="dxa"/>
          </w:tcPr>
          <w:p w14:paraId="5F643F78" w14:textId="77777777" w:rsidR="00AD1F54" w:rsidRPr="00264D5D" w:rsidRDefault="00941227">
            <w:pPr>
              <w:pStyle w:val="GOSTTablenorm"/>
              <w:rPr>
                <w:szCs w:val="22"/>
                <w:lang w:val="en-US"/>
              </w:rPr>
            </w:pPr>
            <w:r w:rsidRPr="00264D5D">
              <w:rPr>
                <w:szCs w:val="22"/>
                <w:lang w:val="en-US"/>
              </w:rPr>
              <w:t>RcrdNm</w:t>
            </w:r>
          </w:p>
        </w:tc>
        <w:tc>
          <w:tcPr>
            <w:tcW w:w="567" w:type="dxa"/>
          </w:tcPr>
          <w:p w14:paraId="23E3B596" w14:textId="77777777" w:rsidR="00AD1F54" w:rsidRPr="00264D5D" w:rsidRDefault="00941227">
            <w:pPr>
              <w:pStyle w:val="GOSTTablenorm"/>
              <w:jc w:val="center"/>
              <w:rPr>
                <w:szCs w:val="22"/>
              </w:rPr>
            </w:pPr>
            <w:r w:rsidRPr="00264D5D">
              <w:rPr>
                <w:szCs w:val="22"/>
              </w:rPr>
              <w:t>П</w:t>
            </w:r>
          </w:p>
        </w:tc>
        <w:tc>
          <w:tcPr>
            <w:tcW w:w="1134" w:type="dxa"/>
          </w:tcPr>
          <w:p w14:paraId="71BA10E8" w14:textId="77777777" w:rsidR="00AD1F54" w:rsidRPr="00264D5D" w:rsidRDefault="00941227">
            <w:pPr>
              <w:pStyle w:val="GOSTTablenorm"/>
              <w:rPr>
                <w:szCs w:val="22"/>
                <w:lang w:val="en-US"/>
              </w:rPr>
            </w:pPr>
            <w:r w:rsidRPr="00264D5D">
              <w:rPr>
                <w:szCs w:val="22"/>
                <w:lang w:val="en-US"/>
              </w:rPr>
              <w:t>Т(1-</w:t>
            </w:r>
            <w:r w:rsidRPr="00264D5D">
              <w:rPr>
                <w:szCs w:val="22"/>
              </w:rPr>
              <w:t>4</w:t>
            </w:r>
            <w:r w:rsidRPr="00264D5D">
              <w:rPr>
                <w:szCs w:val="22"/>
                <w:lang w:val="en-US"/>
              </w:rPr>
              <w:t>)</w:t>
            </w:r>
          </w:p>
        </w:tc>
        <w:tc>
          <w:tcPr>
            <w:tcW w:w="567" w:type="dxa"/>
          </w:tcPr>
          <w:p w14:paraId="0A27972F" w14:textId="77777777" w:rsidR="00AD1F54" w:rsidRPr="00264D5D" w:rsidRDefault="00941227">
            <w:pPr>
              <w:pStyle w:val="GOSTTablenorm"/>
              <w:jc w:val="center"/>
              <w:rPr>
                <w:szCs w:val="22"/>
              </w:rPr>
            </w:pPr>
            <w:r w:rsidRPr="00264D5D">
              <w:rPr>
                <w:szCs w:val="22"/>
              </w:rPr>
              <w:t>О</w:t>
            </w:r>
          </w:p>
        </w:tc>
        <w:tc>
          <w:tcPr>
            <w:tcW w:w="3963" w:type="dxa"/>
          </w:tcPr>
          <w:p w14:paraId="2BDFA624" w14:textId="77777777" w:rsidR="00AD1F54" w:rsidRPr="00264D5D" w:rsidRDefault="00A10DB3">
            <w:pPr>
              <w:pStyle w:val="OTRTableListMark"/>
              <w:numPr>
                <w:ilvl w:val="0"/>
                <w:numId w:val="0"/>
              </w:numPr>
              <w:ind w:left="57"/>
              <w:jc w:val="both"/>
              <w:rPr>
                <w:szCs w:val="22"/>
              </w:rPr>
            </w:pPr>
            <w:r w:rsidRPr="00264D5D">
              <w:rPr>
                <w:sz w:val="22"/>
                <w:szCs w:val="22"/>
              </w:rPr>
              <w:t>Порядковый номер записи</w:t>
            </w:r>
          </w:p>
        </w:tc>
      </w:tr>
      <w:tr w:rsidR="00AD1F54" w:rsidRPr="00264D5D" w14:paraId="141DD6CD" w14:textId="77777777" w:rsidTr="00AD1F54">
        <w:trPr>
          <w:cnfStyle w:val="000000010000" w:firstRow="0" w:lastRow="0" w:firstColumn="0" w:lastColumn="0" w:oddVBand="0" w:evenVBand="0" w:oddHBand="0" w:evenHBand="1" w:firstRowFirstColumn="0" w:firstRowLastColumn="0" w:lastRowFirstColumn="0" w:lastRowLastColumn="0"/>
        </w:trPr>
        <w:tc>
          <w:tcPr>
            <w:tcW w:w="1700" w:type="dxa"/>
          </w:tcPr>
          <w:p w14:paraId="0C29B337" w14:textId="77777777" w:rsidR="00AD1F54" w:rsidRPr="00264D5D" w:rsidRDefault="00941227">
            <w:pPr>
              <w:pStyle w:val="GOSTTablenorm"/>
              <w:rPr>
                <w:szCs w:val="22"/>
              </w:rPr>
            </w:pPr>
            <w:r w:rsidRPr="00264D5D">
              <w:t>Глобальный уникальный идентификатор распоряжения</w:t>
            </w:r>
          </w:p>
        </w:tc>
        <w:tc>
          <w:tcPr>
            <w:tcW w:w="1701" w:type="dxa"/>
          </w:tcPr>
          <w:p w14:paraId="36CD056B" w14:textId="77777777" w:rsidR="00AD1F54" w:rsidRPr="00264D5D" w:rsidRDefault="00941227">
            <w:pPr>
              <w:pStyle w:val="GOSTTablenorm"/>
              <w:rPr>
                <w:szCs w:val="22"/>
                <w:lang w:val="en-US"/>
              </w:rPr>
            </w:pPr>
            <w:r w:rsidRPr="00264D5D">
              <w:t>ZVDOCOSN_GUID</w:t>
            </w:r>
          </w:p>
        </w:tc>
        <w:tc>
          <w:tcPr>
            <w:tcW w:w="567" w:type="dxa"/>
          </w:tcPr>
          <w:p w14:paraId="7255BBCD" w14:textId="77777777" w:rsidR="00AD1F54" w:rsidRPr="00264D5D" w:rsidRDefault="00941227">
            <w:pPr>
              <w:pStyle w:val="GOSTTablenorm"/>
              <w:jc w:val="center"/>
              <w:rPr>
                <w:szCs w:val="22"/>
              </w:rPr>
            </w:pPr>
            <w:r w:rsidRPr="00264D5D">
              <w:t>П</w:t>
            </w:r>
          </w:p>
        </w:tc>
        <w:tc>
          <w:tcPr>
            <w:tcW w:w="1134" w:type="dxa"/>
          </w:tcPr>
          <w:p w14:paraId="5E1290D2" w14:textId="77777777" w:rsidR="00AD1F54" w:rsidRPr="00264D5D" w:rsidRDefault="00941227">
            <w:pPr>
              <w:pStyle w:val="GOSTTablenorm"/>
              <w:rPr>
                <w:szCs w:val="22"/>
                <w:lang w:val="en-US"/>
              </w:rPr>
            </w:pPr>
            <w:r w:rsidRPr="00264D5D">
              <w:rPr>
                <w:lang w:val="en-US"/>
              </w:rPr>
              <w:t>GUID</w:t>
            </w:r>
          </w:p>
        </w:tc>
        <w:tc>
          <w:tcPr>
            <w:tcW w:w="567" w:type="dxa"/>
          </w:tcPr>
          <w:p w14:paraId="094AB11E" w14:textId="77777777" w:rsidR="00AD1F54" w:rsidRPr="00264D5D" w:rsidRDefault="00941227">
            <w:pPr>
              <w:pStyle w:val="GOSTTablenorm"/>
              <w:jc w:val="center"/>
              <w:rPr>
                <w:szCs w:val="22"/>
              </w:rPr>
            </w:pPr>
            <w:r w:rsidRPr="00264D5D">
              <w:t>Н</w:t>
            </w:r>
          </w:p>
        </w:tc>
        <w:tc>
          <w:tcPr>
            <w:tcW w:w="3963" w:type="dxa"/>
          </w:tcPr>
          <w:p w14:paraId="117983CC" w14:textId="77777777" w:rsidR="00AD1F54" w:rsidRPr="00264D5D" w:rsidRDefault="00941227">
            <w:pPr>
              <w:pStyle w:val="GOSTTablenorm"/>
            </w:pPr>
            <w:r w:rsidRPr="00264D5D">
              <w:t xml:space="preserve">Указывается глобальный уникальный идентификатор платежного документа. </w:t>
            </w:r>
          </w:p>
          <w:p w14:paraId="7DC1EFEA" w14:textId="77777777" w:rsidR="00AD1F54" w:rsidRPr="00264D5D" w:rsidRDefault="00941227">
            <w:pPr>
              <w:pStyle w:val="GOSTTablenorm"/>
              <w:rPr>
                <w:szCs w:val="22"/>
              </w:rPr>
            </w:pPr>
            <w:r w:rsidRPr="00264D5D">
              <w:t>В случае возврата из бюджетов бюджетной системы Российской Федерации сумм платежей, порядок возврата которых не установлен федеральными законами, указывается уникальный электронный номер распоряжения-основания для осуществления возврата (документа, которым зачислен возвращ</w:t>
            </w:r>
            <w:r w:rsidR="00A10DB3" w:rsidRPr="00264D5D">
              <w:t>аемый платеж), присвоенный ТОФК</w:t>
            </w:r>
          </w:p>
        </w:tc>
      </w:tr>
      <w:tr w:rsidR="00AD1F54" w:rsidRPr="00264D5D" w14:paraId="3606F681" w14:textId="77777777" w:rsidTr="00AD1F54">
        <w:trPr>
          <w:cnfStyle w:val="000000100000" w:firstRow="0" w:lastRow="0" w:firstColumn="0" w:lastColumn="0" w:oddVBand="0" w:evenVBand="0" w:oddHBand="1" w:evenHBand="0" w:firstRowFirstColumn="0" w:firstRowLastColumn="0" w:lastRowFirstColumn="0" w:lastRowLastColumn="0"/>
        </w:trPr>
        <w:tc>
          <w:tcPr>
            <w:tcW w:w="1700" w:type="dxa"/>
          </w:tcPr>
          <w:p w14:paraId="57C63470" w14:textId="77777777" w:rsidR="00AD1F54" w:rsidRPr="00264D5D" w:rsidRDefault="00941227">
            <w:pPr>
              <w:pStyle w:val="GOSTTablenorm"/>
              <w:rPr>
                <w:b/>
                <w:szCs w:val="22"/>
              </w:rPr>
            </w:pPr>
            <w:r w:rsidRPr="00264D5D">
              <w:rPr>
                <w:szCs w:val="22"/>
              </w:rPr>
              <w:t>Вид документа – основания</w:t>
            </w:r>
          </w:p>
        </w:tc>
        <w:tc>
          <w:tcPr>
            <w:tcW w:w="1701" w:type="dxa"/>
          </w:tcPr>
          <w:p w14:paraId="69D68ED7" w14:textId="77777777" w:rsidR="00AD1F54" w:rsidRPr="00264D5D" w:rsidRDefault="00941227">
            <w:pPr>
              <w:pStyle w:val="GOSTTablenorm"/>
              <w:rPr>
                <w:szCs w:val="22"/>
              </w:rPr>
            </w:pPr>
            <w:r w:rsidRPr="00264D5D">
              <w:rPr>
                <w:szCs w:val="22"/>
                <w:lang w:val="en-US"/>
              </w:rPr>
              <w:t>Knd</w:t>
            </w:r>
          </w:p>
        </w:tc>
        <w:tc>
          <w:tcPr>
            <w:tcW w:w="567" w:type="dxa"/>
          </w:tcPr>
          <w:p w14:paraId="6732CC5C" w14:textId="77777777" w:rsidR="00AD1F54" w:rsidRPr="00264D5D" w:rsidRDefault="00941227">
            <w:pPr>
              <w:pStyle w:val="GOSTTablenorm"/>
              <w:jc w:val="center"/>
              <w:rPr>
                <w:szCs w:val="22"/>
              </w:rPr>
            </w:pPr>
            <w:r w:rsidRPr="00264D5D">
              <w:rPr>
                <w:szCs w:val="22"/>
              </w:rPr>
              <w:t>П</w:t>
            </w:r>
          </w:p>
        </w:tc>
        <w:tc>
          <w:tcPr>
            <w:tcW w:w="1134" w:type="dxa"/>
          </w:tcPr>
          <w:p w14:paraId="22D6C1BC" w14:textId="77777777" w:rsidR="00AD1F54" w:rsidRPr="00264D5D" w:rsidRDefault="00941227">
            <w:pPr>
              <w:pStyle w:val="GOSTTablenorm"/>
              <w:rPr>
                <w:szCs w:val="22"/>
              </w:rPr>
            </w:pPr>
            <w:r w:rsidRPr="00264D5D">
              <w:rPr>
                <w:szCs w:val="22"/>
                <w:lang w:val="en-US"/>
              </w:rPr>
              <w:t>Т(1-</w:t>
            </w:r>
            <w:r w:rsidRPr="00264D5D">
              <w:rPr>
                <w:szCs w:val="22"/>
              </w:rPr>
              <w:t>160</w:t>
            </w:r>
            <w:r w:rsidRPr="00264D5D">
              <w:rPr>
                <w:szCs w:val="22"/>
                <w:lang w:val="en-US"/>
              </w:rPr>
              <w:t>)</w:t>
            </w:r>
          </w:p>
        </w:tc>
        <w:tc>
          <w:tcPr>
            <w:tcW w:w="567" w:type="dxa"/>
          </w:tcPr>
          <w:p w14:paraId="23D31ABF" w14:textId="77777777" w:rsidR="00AD1F54" w:rsidRPr="00264D5D" w:rsidRDefault="00941227">
            <w:pPr>
              <w:pStyle w:val="GOSTTablenorm"/>
              <w:jc w:val="center"/>
              <w:rPr>
                <w:szCs w:val="22"/>
              </w:rPr>
            </w:pPr>
            <w:r w:rsidRPr="00264D5D">
              <w:rPr>
                <w:szCs w:val="22"/>
              </w:rPr>
              <w:t>О</w:t>
            </w:r>
          </w:p>
        </w:tc>
        <w:tc>
          <w:tcPr>
            <w:tcW w:w="3963" w:type="dxa"/>
          </w:tcPr>
          <w:p w14:paraId="74B5D5DE" w14:textId="77777777" w:rsidR="00AD1F54" w:rsidRPr="00264D5D" w:rsidRDefault="00941227">
            <w:pPr>
              <w:pStyle w:val="GOSTTablenorm"/>
              <w:rPr>
                <w:szCs w:val="22"/>
              </w:rPr>
            </w:pPr>
            <w:r w:rsidRPr="00264D5D">
              <w:rPr>
                <w:szCs w:val="22"/>
              </w:rPr>
              <w:t xml:space="preserve">Указывается вид документа-основания для осуществления возврата или вид документа, на основании которого был зачислен платеж. </w:t>
            </w:r>
          </w:p>
          <w:p w14:paraId="7EDAA699" w14:textId="77777777" w:rsidR="00AD1F54" w:rsidRPr="00264D5D" w:rsidRDefault="00941227">
            <w:pPr>
              <w:spacing w:before="60" w:after="60"/>
              <w:rPr>
                <w:sz w:val="22"/>
                <w:szCs w:val="22"/>
              </w:rPr>
            </w:pPr>
            <w:r w:rsidRPr="00264D5D">
              <w:rPr>
                <w:sz w:val="22"/>
                <w:szCs w:val="22"/>
              </w:rPr>
              <w:t xml:space="preserve">В случае возврата из бюджетов бюджетной системы Российской Федерации сумм платежей, порядок возврата которых не установлен федеральными законами, указывается наименование </w:t>
            </w:r>
            <w:r w:rsidRPr="00264D5D">
              <w:rPr>
                <w:sz w:val="22"/>
              </w:rPr>
              <w:t>документа, на основании которого был зачислен платеж:</w:t>
            </w:r>
          </w:p>
          <w:p w14:paraId="25362CA7" w14:textId="77777777" w:rsidR="00AD1F54" w:rsidRPr="00264D5D" w:rsidRDefault="00941227" w:rsidP="00E7460C">
            <w:pPr>
              <w:pStyle w:val="OTRTableListMark"/>
              <w:numPr>
                <w:ilvl w:val="0"/>
                <w:numId w:val="81"/>
              </w:numPr>
              <w:ind w:left="284" w:hanging="227"/>
              <w:jc w:val="both"/>
              <w:rPr>
                <w:sz w:val="22"/>
                <w:szCs w:val="22"/>
              </w:rPr>
            </w:pPr>
            <w:r w:rsidRPr="00264D5D">
              <w:rPr>
                <w:sz w:val="22"/>
                <w:szCs w:val="22"/>
              </w:rPr>
              <w:t xml:space="preserve">наименование расчетного документа </w:t>
            </w:r>
            <w:r w:rsidRPr="00264D5D">
              <w:rPr>
                <w:sz w:val="22"/>
                <w:szCs w:val="22"/>
              </w:rPr>
              <w:lastRenderedPageBreak/>
              <w:t xml:space="preserve">плательщика </w:t>
            </w:r>
            <w:r w:rsidRPr="00264D5D">
              <w:rPr>
                <w:sz w:val="22"/>
              </w:rPr>
              <w:t>или значение «Поручение о перечислении на счет»</w:t>
            </w:r>
            <w:r w:rsidRPr="00264D5D">
              <w:rPr>
                <w:sz w:val="22"/>
                <w:szCs w:val="22"/>
              </w:rPr>
              <w:t>;</w:t>
            </w:r>
          </w:p>
          <w:p w14:paraId="2A5BB9E4" w14:textId="77777777" w:rsidR="00AD1F54" w:rsidRPr="00264D5D" w:rsidRDefault="00941227" w:rsidP="00E7460C">
            <w:pPr>
              <w:pStyle w:val="OTRTableListMark"/>
              <w:numPr>
                <w:ilvl w:val="0"/>
                <w:numId w:val="81"/>
              </w:numPr>
              <w:ind w:left="284" w:hanging="227"/>
              <w:jc w:val="both"/>
              <w:rPr>
                <w:sz w:val="22"/>
                <w:szCs w:val="22"/>
              </w:rPr>
            </w:pPr>
            <w:r w:rsidRPr="00264D5D">
              <w:rPr>
                <w:sz w:val="22"/>
                <w:szCs w:val="22"/>
              </w:rPr>
              <w:t xml:space="preserve">значение «Заявка на возврат (ф. 0531803)» в случае перечисления (взыскания)/поступления </w:t>
            </w:r>
            <w:r w:rsidRPr="00264D5D">
              <w:rPr>
                <w:sz w:val="22"/>
              </w:rPr>
              <w:t xml:space="preserve">до 01.01.2021 </w:t>
            </w:r>
            <w:r w:rsidRPr="00264D5D">
              <w:rPr>
                <w:sz w:val="22"/>
                <w:szCs w:val="22"/>
              </w:rPr>
              <w:t>денежных средств в бюджетную систему в рамках одного счета территориального органа Федерального казначейства;</w:t>
            </w:r>
          </w:p>
          <w:p w14:paraId="1BF734A6" w14:textId="77777777" w:rsidR="00AD1F54" w:rsidRPr="00264D5D" w:rsidRDefault="00941227" w:rsidP="00E7460C">
            <w:pPr>
              <w:pStyle w:val="OTRTableListMark"/>
              <w:numPr>
                <w:ilvl w:val="0"/>
                <w:numId w:val="81"/>
              </w:numPr>
              <w:ind w:left="284" w:hanging="227"/>
              <w:jc w:val="both"/>
              <w:rPr>
                <w:szCs w:val="22"/>
              </w:rPr>
            </w:pPr>
            <w:r w:rsidRPr="00264D5D">
              <w:rPr>
                <w:sz w:val="22"/>
                <w:szCs w:val="22"/>
              </w:rPr>
              <w:t xml:space="preserve">значение «Справка </w:t>
            </w:r>
            <w:r w:rsidRPr="00264D5D">
              <w:rPr>
                <w:sz w:val="22"/>
              </w:rPr>
              <w:t>территориального</w:t>
            </w:r>
            <w:r w:rsidRPr="00264D5D">
              <w:rPr>
                <w:sz w:val="22"/>
                <w:szCs w:val="22"/>
              </w:rPr>
              <w:t xml:space="preserve"> органа Федерального казначейства (ф. 0531453)» в случае взыскания </w:t>
            </w:r>
            <w:r w:rsidRPr="00264D5D">
              <w:rPr>
                <w:sz w:val="22"/>
              </w:rPr>
              <w:t xml:space="preserve">до 01.01.2021 </w:t>
            </w:r>
            <w:r w:rsidRPr="00264D5D">
              <w:rPr>
                <w:sz w:val="22"/>
                <w:szCs w:val="22"/>
              </w:rPr>
              <w:t>без оформления Заявки на возврат.</w:t>
            </w:r>
          </w:p>
          <w:p w14:paraId="75AB8F74" w14:textId="77777777" w:rsidR="003B5630" w:rsidRPr="00264D5D" w:rsidRDefault="00941227" w:rsidP="003B5630">
            <w:pPr>
              <w:pStyle w:val="GOSTTablenorm"/>
              <w:rPr>
                <w:szCs w:val="22"/>
              </w:rPr>
            </w:pPr>
            <w:r w:rsidRPr="00264D5D">
              <w:rPr>
                <w:szCs w:val="22"/>
              </w:rPr>
              <w:t>При осуществлении платежей на № «03212», при отсутствии указания документа, на основании которого был зачислен платеж</w:t>
            </w:r>
            <w:r w:rsidR="00A10DB3" w:rsidRPr="00264D5D">
              <w:rPr>
                <w:szCs w:val="22"/>
              </w:rPr>
              <w:t>, указывается значение «УИН»</w:t>
            </w:r>
            <w:r w:rsidR="003B5630" w:rsidRPr="00264D5D">
              <w:rPr>
                <w:szCs w:val="22"/>
              </w:rPr>
              <w:t>.</w:t>
            </w:r>
          </w:p>
          <w:p w14:paraId="51AB5C76" w14:textId="77777777" w:rsidR="00AD1F54" w:rsidRPr="00264D5D" w:rsidRDefault="003B5630" w:rsidP="003B5630">
            <w:pPr>
              <w:pStyle w:val="OTRTableListMark"/>
              <w:numPr>
                <w:ilvl w:val="0"/>
                <w:numId w:val="0"/>
              </w:numPr>
              <w:ind w:left="57"/>
              <w:jc w:val="both"/>
              <w:rPr>
                <w:szCs w:val="22"/>
              </w:rPr>
            </w:pPr>
            <w:r w:rsidRPr="00264D5D">
              <w:rPr>
                <w:sz w:val="22"/>
                <w:szCs w:val="22"/>
              </w:rPr>
              <w:t>В случае возврата сумм платежей, поступивших в иностранной валюте, указывается значение «Извещение о поступлении в иностранной валюте»</w:t>
            </w:r>
          </w:p>
        </w:tc>
      </w:tr>
      <w:tr w:rsidR="00AD1F54" w:rsidRPr="00264D5D" w14:paraId="0D85ED69" w14:textId="77777777" w:rsidTr="00AD1F54">
        <w:trPr>
          <w:cnfStyle w:val="000000010000" w:firstRow="0" w:lastRow="0" w:firstColumn="0" w:lastColumn="0" w:oddVBand="0" w:evenVBand="0" w:oddHBand="0" w:evenHBand="1" w:firstRowFirstColumn="0" w:firstRowLastColumn="0" w:lastRowFirstColumn="0" w:lastRowLastColumn="0"/>
        </w:trPr>
        <w:tc>
          <w:tcPr>
            <w:tcW w:w="1700" w:type="dxa"/>
          </w:tcPr>
          <w:p w14:paraId="442B9252" w14:textId="77777777" w:rsidR="00AD1F54" w:rsidRPr="00264D5D" w:rsidRDefault="00941227">
            <w:pPr>
              <w:pStyle w:val="GOSTTablenorm"/>
              <w:rPr>
                <w:szCs w:val="22"/>
              </w:rPr>
            </w:pPr>
            <w:r w:rsidRPr="00264D5D">
              <w:rPr>
                <w:szCs w:val="22"/>
              </w:rPr>
              <w:lastRenderedPageBreak/>
              <w:t>Номер документа-основания</w:t>
            </w:r>
          </w:p>
        </w:tc>
        <w:tc>
          <w:tcPr>
            <w:tcW w:w="1701" w:type="dxa"/>
          </w:tcPr>
          <w:p w14:paraId="56993D5D" w14:textId="77777777" w:rsidR="00AD1F54" w:rsidRPr="00264D5D" w:rsidRDefault="00941227">
            <w:pPr>
              <w:pStyle w:val="GOSTTablenorm"/>
              <w:rPr>
                <w:szCs w:val="22"/>
              </w:rPr>
            </w:pPr>
            <w:r w:rsidRPr="00264D5D">
              <w:rPr>
                <w:szCs w:val="22"/>
              </w:rPr>
              <w:t>DcNmbr</w:t>
            </w:r>
          </w:p>
        </w:tc>
        <w:tc>
          <w:tcPr>
            <w:tcW w:w="567" w:type="dxa"/>
          </w:tcPr>
          <w:p w14:paraId="4FD3F000" w14:textId="77777777" w:rsidR="00AD1F54" w:rsidRPr="00264D5D" w:rsidRDefault="00941227">
            <w:pPr>
              <w:pStyle w:val="GOSTTablenorm"/>
              <w:jc w:val="center"/>
              <w:rPr>
                <w:szCs w:val="22"/>
              </w:rPr>
            </w:pPr>
            <w:r w:rsidRPr="00264D5D">
              <w:rPr>
                <w:szCs w:val="22"/>
              </w:rPr>
              <w:t>П</w:t>
            </w:r>
          </w:p>
        </w:tc>
        <w:tc>
          <w:tcPr>
            <w:tcW w:w="1134" w:type="dxa"/>
          </w:tcPr>
          <w:p w14:paraId="10AB1A54" w14:textId="77777777" w:rsidR="00AD1F54" w:rsidRPr="00264D5D" w:rsidRDefault="00941227">
            <w:pPr>
              <w:pStyle w:val="GOSTTablenorm"/>
              <w:rPr>
                <w:szCs w:val="22"/>
                <w:lang w:val="en-US"/>
              </w:rPr>
            </w:pPr>
            <w:r w:rsidRPr="00264D5D">
              <w:rPr>
                <w:szCs w:val="22"/>
                <w:lang w:val="en-US"/>
              </w:rPr>
              <w:t>Т(1-</w:t>
            </w:r>
            <w:r w:rsidRPr="00264D5D">
              <w:rPr>
                <w:szCs w:val="22"/>
              </w:rPr>
              <w:t>20</w:t>
            </w:r>
            <w:r w:rsidRPr="00264D5D">
              <w:rPr>
                <w:szCs w:val="22"/>
                <w:lang w:val="en-US"/>
              </w:rPr>
              <w:t>)</w:t>
            </w:r>
          </w:p>
        </w:tc>
        <w:tc>
          <w:tcPr>
            <w:tcW w:w="567" w:type="dxa"/>
          </w:tcPr>
          <w:p w14:paraId="0F1DB254" w14:textId="77777777" w:rsidR="00AD1F54" w:rsidRPr="00264D5D" w:rsidRDefault="00941227">
            <w:pPr>
              <w:pStyle w:val="GOSTTablenorm"/>
              <w:jc w:val="center"/>
              <w:rPr>
                <w:szCs w:val="22"/>
              </w:rPr>
            </w:pPr>
            <w:r w:rsidRPr="00264D5D">
              <w:rPr>
                <w:szCs w:val="22"/>
              </w:rPr>
              <w:t>О</w:t>
            </w:r>
          </w:p>
        </w:tc>
        <w:tc>
          <w:tcPr>
            <w:tcW w:w="3963" w:type="dxa"/>
          </w:tcPr>
          <w:p w14:paraId="014F01A2" w14:textId="77777777" w:rsidR="00AD1F54" w:rsidRPr="00264D5D" w:rsidRDefault="00941227">
            <w:pPr>
              <w:pStyle w:val="GOSTTablenorm"/>
              <w:rPr>
                <w:szCs w:val="22"/>
              </w:rPr>
            </w:pPr>
            <w:r w:rsidRPr="00264D5D">
              <w:rPr>
                <w:szCs w:val="22"/>
              </w:rPr>
              <w:t xml:space="preserve">Указывается номер документа-основания для осуществления возврата или документа, на основании которого был зачислен платеж. </w:t>
            </w:r>
          </w:p>
          <w:p w14:paraId="4EFE5168" w14:textId="77777777" w:rsidR="00AD1F54" w:rsidRPr="00264D5D" w:rsidRDefault="00941227">
            <w:pPr>
              <w:pStyle w:val="GOSTTablenorm"/>
              <w:rPr>
                <w:szCs w:val="22"/>
              </w:rPr>
            </w:pPr>
            <w:r w:rsidRPr="00264D5D">
              <w:rPr>
                <w:szCs w:val="22"/>
              </w:rPr>
              <w:t>Заполняется значением кода НПА при указании в поле «Вид документа-основания» текстового значения «УИН». Количество символов реквизита УИН должно быть равно 4 цифрам (до 01.07.2021 указывается код НПА размерностью 20 знаков, где 1 – 16 знаки принимают значение ноль «0», а с 17 по 20 знаки указывается код нормативного правового акта). Не может быть у</w:t>
            </w:r>
            <w:r w:rsidR="00851A12" w:rsidRPr="00264D5D">
              <w:rPr>
                <w:szCs w:val="22"/>
              </w:rPr>
              <w:t>казано 4 или 20 цифр ноль («0»)</w:t>
            </w:r>
          </w:p>
        </w:tc>
      </w:tr>
      <w:tr w:rsidR="00AD1F54" w:rsidRPr="00264D5D" w14:paraId="09EFEFE4" w14:textId="77777777" w:rsidTr="00AD1F54">
        <w:trPr>
          <w:cnfStyle w:val="000000100000" w:firstRow="0" w:lastRow="0" w:firstColumn="0" w:lastColumn="0" w:oddVBand="0" w:evenVBand="0" w:oddHBand="1" w:evenHBand="0" w:firstRowFirstColumn="0" w:firstRowLastColumn="0" w:lastRowFirstColumn="0" w:lastRowLastColumn="0"/>
        </w:trPr>
        <w:tc>
          <w:tcPr>
            <w:tcW w:w="1700" w:type="dxa"/>
          </w:tcPr>
          <w:p w14:paraId="65F17FED" w14:textId="77777777" w:rsidR="00AD1F54" w:rsidRPr="00264D5D" w:rsidRDefault="00941227">
            <w:pPr>
              <w:pStyle w:val="GOSTTablenorm"/>
              <w:rPr>
                <w:szCs w:val="22"/>
              </w:rPr>
            </w:pPr>
            <w:r w:rsidRPr="00264D5D">
              <w:rPr>
                <w:szCs w:val="22"/>
              </w:rPr>
              <w:t>Дата документа-основания</w:t>
            </w:r>
          </w:p>
        </w:tc>
        <w:tc>
          <w:tcPr>
            <w:tcW w:w="1701" w:type="dxa"/>
          </w:tcPr>
          <w:p w14:paraId="7CC59C6F" w14:textId="77777777" w:rsidR="00AD1F54" w:rsidRPr="00264D5D" w:rsidRDefault="00941227">
            <w:pPr>
              <w:pStyle w:val="GOSTTablenorm"/>
              <w:rPr>
                <w:szCs w:val="22"/>
              </w:rPr>
            </w:pPr>
            <w:r w:rsidRPr="00264D5D">
              <w:rPr>
                <w:szCs w:val="22"/>
              </w:rPr>
              <w:t>DctDt</w:t>
            </w:r>
          </w:p>
        </w:tc>
        <w:tc>
          <w:tcPr>
            <w:tcW w:w="567" w:type="dxa"/>
          </w:tcPr>
          <w:p w14:paraId="440F3966" w14:textId="77777777" w:rsidR="00AD1F54" w:rsidRPr="00264D5D" w:rsidRDefault="00941227">
            <w:pPr>
              <w:pStyle w:val="GOSTTablenorm"/>
              <w:jc w:val="center"/>
              <w:rPr>
                <w:szCs w:val="22"/>
              </w:rPr>
            </w:pPr>
            <w:r w:rsidRPr="00264D5D">
              <w:rPr>
                <w:szCs w:val="22"/>
              </w:rPr>
              <w:t>П</w:t>
            </w:r>
          </w:p>
        </w:tc>
        <w:tc>
          <w:tcPr>
            <w:tcW w:w="1134" w:type="dxa"/>
          </w:tcPr>
          <w:p w14:paraId="1719C743" w14:textId="77777777" w:rsidR="00AD1F54" w:rsidRPr="00264D5D" w:rsidRDefault="00941227">
            <w:pPr>
              <w:pStyle w:val="GOSTTablenorm"/>
              <w:rPr>
                <w:szCs w:val="22"/>
                <w:lang w:val="en-US"/>
              </w:rPr>
            </w:pPr>
            <w:r w:rsidRPr="00264D5D">
              <w:rPr>
                <w:szCs w:val="22"/>
                <w:lang w:val="en-US"/>
              </w:rPr>
              <w:t>Date</w:t>
            </w:r>
          </w:p>
        </w:tc>
        <w:tc>
          <w:tcPr>
            <w:tcW w:w="567" w:type="dxa"/>
          </w:tcPr>
          <w:p w14:paraId="52FE1A93" w14:textId="77777777" w:rsidR="00AD1F54" w:rsidRPr="00264D5D" w:rsidRDefault="00941227">
            <w:pPr>
              <w:pStyle w:val="GOSTTablenorm"/>
              <w:jc w:val="center"/>
              <w:rPr>
                <w:szCs w:val="22"/>
              </w:rPr>
            </w:pPr>
            <w:r w:rsidRPr="00264D5D">
              <w:rPr>
                <w:szCs w:val="22"/>
              </w:rPr>
              <w:t>Н</w:t>
            </w:r>
          </w:p>
        </w:tc>
        <w:tc>
          <w:tcPr>
            <w:tcW w:w="3963" w:type="dxa"/>
          </w:tcPr>
          <w:p w14:paraId="794E4CF2" w14:textId="77777777" w:rsidR="00AD1F54" w:rsidRPr="00264D5D" w:rsidRDefault="00941227">
            <w:pPr>
              <w:pStyle w:val="OTRTableListMark"/>
              <w:numPr>
                <w:ilvl w:val="0"/>
                <w:numId w:val="0"/>
              </w:numPr>
              <w:ind w:left="57"/>
              <w:jc w:val="both"/>
              <w:rPr>
                <w:sz w:val="22"/>
                <w:szCs w:val="22"/>
              </w:rPr>
            </w:pPr>
            <w:r w:rsidRPr="00264D5D">
              <w:rPr>
                <w:sz w:val="22"/>
              </w:rPr>
              <w:t>Указывается дата документа-</w:t>
            </w:r>
            <w:r w:rsidRPr="00264D5D">
              <w:rPr>
                <w:sz w:val="22"/>
                <w:szCs w:val="22"/>
              </w:rPr>
              <w:t>основания для осуществления возврата или документа, на основании которого был зачислен платеж.</w:t>
            </w:r>
          </w:p>
          <w:p w14:paraId="4BEACE0F" w14:textId="77777777" w:rsidR="00AD1F54" w:rsidRPr="00264D5D" w:rsidRDefault="00941227">
            <w:pPr>
              <w:pStyle w:val="OTRTableListMark"/>
              <w:numPr>
                <w:ilvl w:val="0"/>
                <w:numId w:val="0"/>
              </w:numPr>
              <w:ind w:left="57"/>
              <w:jc w:val="both"/>
              <w:rPr>
                <w:sz w:val="22"/>
                <w:szCs w:val="22"/>
              </w:rPr>
            </w:pPr>
            <w:r w:rsidRPr="00264D5D">
              <w:rPr>
                <w:sz w:val="22"/>
                <w:szCs w:val="22"/>
              </w:rPr>
              <w:t xml:space="preserve">Не заполняется при указании в поле </w:t>
            </w:r>
            <w:r w:rsidR="00851A12" w:rsidRPr="00264D5D">
              <w:rPr>
                <w:sz w:val="22"/>
                <w:szCs w:val="22"/>
              </w:rPr>
              <w:lastRenderedPageBreak/>
              <w:t>«Вид» текстового значения «УИН»</w:t>
            </w:r>
          </w:p>
        </w:tc>
      </w:tr>
      <w:tr w:rsidR="00AD1F54" w:rsidRPr="00264D5D" w14:paraId="0CF9CBAE" w14:textId="77777777" w:rsidTr="00AD1F54">
        <w:trPr>
          <w:cnfStyle w:val="000000010000" w:firstRow="0" w:lastRow="0" w:firstColumn="0" w:lastColumn="0" w:oddVBand="0" w:evenVBand="0" w:oddHBand="0" w:evenHBand="1" w:firstRowFirstColumn="0" w:firstRowLastColumn="0" w:lastRowFirstColumn="0" w:lastRowLastColumn="0"/>
        </w:trPr>
        <w:tc>
          <w:tcPr>
            <w:tcW w:w="1700" w:type="dxa"/>
          </w:tcPr>
          <w:p w14:paraId="54D2BA85" w14:textId="77777777" w:rsidR="00AD1F54" w:rsidRPr="00264D5D" w:rsidRDefault="00941227">
            <w:pPr>
              <w:pStyle w:val="GOSTTablenorm"/>
              <w:rPr>
                <w:szCs w:val="22"/>
              </w:rPr>
            </w:pPr>
            <w:r w:rsidRPr="00264D5D">
              <w:rPr>
                <w:szCs w:val="22"/>
              </w:rPr>
              <w:lastRenderedPageBreak/>
              <w:t>Сумма документа-основания</w:t>
            </w:r>
          </w:p>
        </w:tc>
        <w:tc>
          <w:tcPr>
            <w:tcW w:w="1701" w:type="dxa"/>
          </w:tcPr>
          <w:p w14:paraId="334A5F1A" w14:textId="77777777" w:rsidR="00AD1F54" w:rsidRPr="00264D5D" w:rsidRDefault="00941227">
            <w:pPr>
              <w:pStyle w:val="GOSTTablenorm"/>
              <w:rPr>
                <w:szCs w:val="22"/>
              </w:rPr>
            </w:pPr>
            <w:r w:rsidRPr="00264D5D">
              <w:rPr>
                <w:szCs w:val="22"/>
                <w:lang w:val="en-US"/>
              </w:rPr>
              <w:t>DcSum</w:t>
            </w:r>
          </w:p>
        </w:tc>
        <w:tc>
          <w:tcPr>
            <w:tcW w:w="567" w:type="dxa"/>
          </w:tcPr>
          <w:p w14:paraId="472F39AB" w14:textId="77777777" w:rsidR="00AD1F54" w:rsidRPr="00264D5D" w:rsidRDefault="00941227">
            <w:pPr>
              <w:pStyle w:val="GOSTTablenorm"/>
              <w:jc w:val="center"/>
              <w:rPr>
                <w:szCs w:val="22"/>
              </w:rPr>
            </w:pPr>
            <w:r w:rsidRPr="00264D5D">
              <w:rPr>
                <w:szCs w:val="22"/>
              </w:rPr>
              <w:t>П</w:t>
            </w:r>
          </w:p>
        </w:tc>
        <w:tc>
          <w:tcPr>
            <w:tcW w:w="1134" w:type="dxa"/>
          </w:tcPr>
          <w:p w14:paraId="79C42B10" w14:textId="77777777" w:rsidR="00AD1F54" w:rsidRPr="00264D5D" w:rsidRDefault="00941227">
            <w:pPr>
              <w:pStyle w:val="GOSTTablenorm"/>
              <w:rPr>
                <w:szCs w:val="22"/>
                <w:lang w:val="en-US"/>
              </w:rPr>
            </w:pPr>
            <w:r w:rsidRPr="00264D5D">
              <w:rPr>
                <w:szCs w:val="22"/>
              </w:rPr>
              <w:t>N(20.2)</w:t>
            </w:r>
          </w:p>
        </w:tc>
        <w:tc>
          <w:tcPr>
            <w:tcW w:w="567" w:type="dxa"/>
          </w:tcPr>
          <w:p w14:paraId="75B4EBC3" w14:textId="77777777" w:rsidR="00AD1F54" w:rsidRPr="00264D5D" w:rsidRDefault="00941227">
            <w:pPr>
              <w:pStyle w:val="GOSTTablenorm"/>
              <w:jc w:val="center"/>
              <w:rPr>
                <w:szCs w:val="22"/>
              </w:rPr>
            </w:pPr>
            <w:r w:rsidRPr="00264D5D">
              <w:rPr>
                <w:szCs w:val="22"/>
              </w:rPr>
              <w:t>Н</w:t>
            </w:r>
          </w:p>
        </w:tc>
        <w:tc>
          <w:tcPr>
            <w:tcW w:w="3963" w:type="dxa"/>
          </w:tcPr>
          <w:p w14:paraId="38C587DC" w14:textId="77777777" w:rsidR="00AD1F54" w:rsidRPr="00264D5D" w:rsidRDefault="00941227">
            <w:pPr>
              <w:pStyle w:val="OTRTableListMark"/>
              <w:numPr>
                <w:ilvl w:val="0"/>
                <w:numId w:val="0"/>
              </w:numPr>
              <w:ind w:left="57"/>
              <w:jc w:val="both"/>
              <w:rPr>
                <w:sz w:val="22"/>
                <w:szCs w:val="22"/>
              </w:rPr>
            </w:pPr>
            <w:r w:rsidRPr="00264D5D">
              <w:rPr>
                <w:sz w:val="22"/>
                <w:szCs w:val="22"/>
              </w:rPr>
              <w:t>Указывается сумма, подлежащая возврату</w:t>
            </w:r>
            <w:r w:rsidR="00851A12" w:rsidRPr="00264D5D">
              <w:rPr>
                <w:sz w:val="22"/>
                <w:szCs w:val="22"/>
              </w:rPr>
              <w:t xml:space="preserve"> по данному документу-основанию</w:t>
            </w:r>
          </w:p>
        </w:tc>
      </w:tr>
    </w:tbl>
    <w:p w14:paraId="660793FF" w14:textId="77777777" w:rsidR="00AD1F54" w:rsidRPr="00264D5D" w:rsidRDefault="00941227">
      <w:pPr>
        <w:pStyle w:val="31"/>
      </w:pPr>
      <w:bookmarkStart w:id="1262" w:name="_Toc776946"/>
      <w:bookmarkStart w:id="1263" w:name="_Toc1469452"/>
      <w:bookmarkStart w:id="1264" w:name="_Toc219309579"/>
      <w:r w:rsidRPr="00264D5D">
        <w:t>Описание комплексного типа «tMSC_Cntrctr»</w:t>
      </w:r>
      <w:bookmarkEnd w:id="1262"/>
      <w:bookmarkEnd w:id="1263"/>
      <w:bookmarkEnd w:id="1264"/>
    </w:p>
    <w:p w14:paraId="4BC589E8" w14:textId="77777777" w:rsidR="00AD1F54" w:rsidRPr="00264D5D" w:rsidRDefault="00941227">
      <w:pPr>
        <w:pStyle w:val="ASFKNormal"/>
        <w:spacing w:before="60" w:after="120"/>
        <w:jc w:val="both"/>
        <w:rPr>
          <w:sz w:val="24"/>
        </w:rPr>
      </w:pPr>
      <w:r w:rsidRPr="00264D5D">
        <w:rPr>
          <w:sz w:val="24"/>
        </w:rPr>
        <w:t>Описание комплексного типа «tMSC_Cntrctr» блока «Получатель».</w:t>
      </w:r>
    </w:p>
    <w:p w14:paraId="7448752D" w14:textId="10BAB28C" w:rsidR="00AD1F54" w:rsidRPr="00264D5D" w:rsidRDefault="00941227">
      <w:pPr>
        <w:pStyle w:val="GOSTNameTable"/>
        <w:numPr>
          <w:ilvl w:val="0"/>
          <w:numId w:val="2"/>
        </w:numPr>
        <w:ind w:left="425" w:hanging="357"/>
        <w:rPr>
          <w:rFonts w:eastAsia="Calibri"/>
        </w:rPr>
      </w:pPr>
      <w:r w:rsidRPr="00264D5D">
        <w:rPr>
          <w:rFonts w:eastAsia="Calibri"/>
        </w:rPr>
        <w:fldChar w:fldCharType="begin"/>
      </w:r>
      <w:r w:rsidRPr="00264D5D">
        <w:rPr>
          <w:rFonts w:eastAsia="Calibri"/>
        </w:rPr>
        <w:instrText xml:space="preserve"> SEQ Таблица \* ARABIC </w:instrText>
      </w:r>
      <w:r w:rsidRPr="00264D5D">
        <w:rPr>
          <w:rFonts w:eastAsia="Calibri"/>
        </w:rPr>
        <w:fldChar w:fldCharType="separate"/>
      </w:r>
      <w:bookmarkStart w:id="1265" w:name="_Ref503465527"/>
      <w:bookmarkStart w:id="1266" w:name="_Toc776496"/>
      <w:bookmarkStart w:id="1267" w:name="_Toc219309162"/>
      <w:r w:rsidR="008D797C">
        <w:rPr>
          <w:rFonts w:eastAsia="Calibri"/>
          <w:noProof/>
        </w:rPr>
        <w:t>132</w:t>
      </w:r>
      <w:bookmarkEnd w:id="1265"/>
      <w:r w:rsidRPr="00264D5D">
        <w:rPr>
          <w:rFonts w:eastAsia="Calibri"/>
        </w:rPr>
        <w:fldChar w:fldCharType="end"/>
      </w:r>
      <w:r w:rsidRPr="00264D5D">
        <w:rPr>
          <w:rFonts w:eastAsia="Calibri"/>
          <w:szCs w:val="24"/>
        </w:rPr>
        <w:t xml:space="preserve"> – </w:t>
      </w:r>
      <w:r w:rsidRPr="00264D5D">
        <w:rPr>
          <w:rFonts w:eastAsia="Calibri"/>
        </w:rPr>
        <w:t>Описание комплексного типа «tMSC_Cntrctr»</w:t>
      </w:r>
      <w:bookmarkEnd w:id="1266"/>
      <w:bookmarkEnd w:id="1267"/>
    </w:p>
    <w:tbl>
      <w:tblPr>
        <w:tblStyle w:val="GOSTTable"/>
        <w:tblW w:w="5000" w:type="pct"/>
        <w:tblLayout w:type="fixed"/>
        <w:tblLook w:val="01E0" w:firstRow="1" w:lastRow="1" w:firstColumn="1" w:lastColumn="1" w:noHBand="0" w:noVBand="0"/>
      </w:tblPr>
      <w:tblGrid>
        <w:gridCol w:w="1705"/>
        <w:gridCol w:w="1704"/>
        <w:gridCol w:w="568"/>
        <w:gridCol w:w="1136"/>
        <w:gridCol w:w="568"/>
        <w:gridCol w:w="3969"/>
      </w:tblGrid>
      <w:tr w:rsidR="00AD1F54" w:rsidRPr="00264D5D" w14:paraId="39B78DBB"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5" w:type="dxa"/>
          </w:tcPr>
          <w:p w14:paraId="1AC42EC5" w14:textId="77777777" w:rsidR="00AD1F54" w:rsidRPr="00264D5D" w:rsidRDefault="00941227">
            <w:pPr>
              <w:pStyle w:val="GOSTTableHead"/>
            </w:pPr>
            <w:r w:rsidRPr="00264D5D">
              <w:t>Наименование элемента</w:t>
            </w:r>
          </w:p>
        </w:tc>
        <w:tc>
          <w:tcPr>
            <w:tcW w:w="1704" w:type="dxa"/>
          </w:tcPr>
          <w:p w14:paraId="7342F2F0" w14:textId="77777777" w:rsidR="00AD1F54" w:rsidRPr="00264D5D" w:rsidRDefault="00941227">
            <w:pPr>
              <w:pStyle w:val="GOSTTableHead"/>
            </w:pPr>
            <w:r w:rsidRPr="00264D5D">
              <w:t>Сокращенное наименование (код) элемента</w:t>
            </w:r>
          </w:p>
        </w:tc>
        <w:tc>
          <w:tcPr>
            <w:tcW w:w="568" w:type="dxa"/>
          </w:tcPr>
          <w:p w14:paraId="6A6EC3F1" w14:textId="77777777" w:rsidR="00AD1F54" w:rsidRPr="00264D5D" w:rsidRDefault="00941227">
            <w:pPr>
              <w:pStyle w:val="GOSTTableHead"/>
            </w:pPr>
            <w:r w:rsidRPr="00264D5D">
              <w:t>Тип</w:t>
            </w:r>
          </w:p>
        </w:tc>
        <w:tc>
          <w:tcPr>
            <w:tcW w:w="1136" w:type="dxa"/>
          </w:tcPr>
          <w:p w14:paraId="365FDDFA" w14:textId="77777777" w:rsidR="00AD1F54" w:rsidRPr="00264D5D" w:rsidRDefault="00941227">
            <w:pPr>
              <w:pStyle w:val="GOSTTableHead"/>
            </w:pPr>
            <w:r w:rsidRPr="00264D5D">
              <w:t>Формат элемента</w:t>
            </w:r>
          </w:p>
        </w:tc>
        <w:tc>
          <w:tcPr>
            <w:tcW w:w="568" w:type="dxa"/>
          </w:tcPr>
          <w:p w14:paraId="16D3891A" w14:textId="77777777" w:rsidR="00AD1F54" w:rsidRPr="00264D5D" w:rsidRDefault="00941227">
            <w:pPr>
              <w:pStyle w:val="GOSTTableHead"/>
            </w:pPr>
            <w:r w:rsidRPr="00264D5D">
              <w:t>Обязательность</w:t>
            </w:r>
          </w:p>
        </w:tc>
        <w:tc>
          <w:tcPr>
            <w:tcW w:w="3969" w:type="dxa"/>
          </w:tcPr>
          <w:p w14:paraId="4C3F76A6" w14:textId="77777777" w:rsidR="00AD1F54" w:rsidRPr="00264D5D" w:rsidRDefault="00941227">
            <w:pPr>
              <w:pStyle w:val="GOSTTableHead"/>
              <w:rPr>
                <w:szCs w:val="22"/>
              </w:rPr>
            </w:pPr>
            <w:r w:rsidRPr="00264D5D">
              <w:rPr>
                <w:szCs w:val="22"/>
              </w:rPr>
              <w:t>Дополнительная информация</w:t>
            </w:r>
          </w:p>
        </w:tc>
      </w:tr>
      <w:tr w:rsidR="00AD1F54" w:rsidRPr="00264D5D" w14:paraId="491890A9" w14:textId="77777777" w:rsidTr="00AD1F54">
        <w:trPr>
          <w:cnfStyle w:val="000000100000" w:firstRow="0" w:lastRow="0" w:firstColumn="0" w:lastColumn="0" w:oddVBand="0" w:evenVBand="0" w:oddHBand="1" w:evenHBand="0" w:firstRowFirstColumn="0" w:firstRowLastColumn="0" w:lastRowFirstColumn="0" w:lastRowLastColumn="0"/>
        </w:trPr>
        <w:tc>
          <w:tcPr>
            <w:tcW w:w="1705" w:type="dxa"/>
          </w:tcPr>
          <w:p w14:paraId="51C50717" w14:textId="77777777" w:rsidR="00AD1F54" w:rsidRPr="00264D5D" w:rsidRDefault="00941227">
            <w:pPr>
              <w:pStyle w:val="GOSTTablenorm"/>
              <w:rPr>
                <w:szCs w:val="22"/>
              </w:rPr>
            </w:pPr>
            <w:r w:rsidRPr="00264D5D">
              <w:t>Наименование получателя</w:t>
            </w:r>
          </w:p>
        </w:tc>
        <w:tc>
          <w:tcPr>
            <w:tcW w:w="1704" w:type="dxa"/>
          </w:tcPr>
          <w:p w14:paraId="0EADD420" w14:textId="77777777" w:rsidR="00AD1F54" w:rsidRPr="00264D5D" w:rsidRDefault="00941227">
            <w:pPr>
              <w:pStyle w:val="GOSTTablenorm"/>
              <w:rPr>
                <w:lang w:val="en-US"/>
              </w:rPr>
            </w:pPr>
            <w:r w:rsidRPr="00264D5D">
              <w:rPr>
                <w:lang w:val="en-US"/>
              </w:rPr>
              <w:t>Nm</w:t>
            </w:r>
          </w:p>
        </w:tc>
        <w:tc>
          <w:tcPr>
            <w:tcW w:w="568" w:type="dxa"/>
          </w:tcPr>
          <w:p w14:paraId="3DAF9024" w14:textId="77777777" w:rsidR="00AD1F54" w:rsidRPr="00264D5D" w:rsidRDefault="00941227">
            <w:pPr>
              <w:pStyle w:val="GOSTTablenorm"/>
              <w:jc w:val="center"/>
            </w:pPr>
            <w:r w:rsidRPr="00264D5D">
              <w:t>П</w:t>
            </w:r>
          </w:p>
        </w:tc>
        <w:tc>
          <w:tcPr>
            <w:tcW w:w="1136" w:type="dxa"/>
          </w:tcPr>
          <w:p w14:paraId="1339779E" w14:textId="77777777" w:rsidR="00AD1F54" w:rsidRPr="00264D5D" w:rsidRDefault="00941227">
            <w:pPr>
              <w:pStyle w:val="GOSTTablenorm"/>
            </w:pPr>
            <w:r w:rsidRPr="00264D5D">
              <w:t>Т(1-160)</w:t>
            </w:r>
          </w:p>
        </w:tc>
        <w:tc>
          <w:tcPr>
            <w:tcW w:w="568" w:type="dxa"/>
          </w:tcPr>
          <w:p w14:paraId="1EAEA744" w14:textId="77777777" w:rsidR="00AD1F54" w:rsidRPr="00264D5D" w:rsidRDefault="00941227">
            <w:pPr>
              <w:pStyle w:val="GOSTTablenorm"/>
              <w:jc w:val="center"/>
            </w:pPr>
            <w:r w:rsidRPr="00264D5D">
              <w:t>О</w:t>
            </w:r>
          </w:p>
        </w:tc>
        <w:tc>
          <w:tcPr>
            <w:tcW w:w="3969" w:type="dxa"/>
          </w:tcPr>
          <w:p w14:paraId="2D539E64" w14:textId="77777777" w:rsidR="00AD1F54" w:rsidRPr="00264D5D" w:rsidRDefault="00941227" w:rsidP="00851A12">
            <w:pPr>
              <w:pStyle w:val="GOSTTablenorm"/>
            </w:pPr>
            <w:r w:rsidRPr="00264D5D">
              <w:t>Указывается наименование (фамилия, имя, отчество – для физического лица) получателя.</w:t>
            </w:r>
          </w:p>
          <w:p w14:paraId="7BF02F20" w14:textId="77777777" w:rsidR="00AD1F54" w:rsidRPr="00264D5D" w:rsidRDefault="00941227" w:rsidP="00851A12">
            <w:pPr>
              <w:pStyle w:val="GOSTTablenorm"/>
            </w:pPr>
            <w:r w:rsidRPr="00264D5D">
              <w:t>При перечислении на казначейский счет, отличный от казначейского счета отправителя, значение указывается в соответствии с требованиями ЦБ России и Минфина России к реквизиту «Наименование получателя» расчетного документа.</w:t>
            </w:r>
          </w:p>
          <w:p w14:paraId="484CE5CC" w14:textId="77777777" w:rsidR="00AD1F54" w:rsidRPr="00264D5D" w:rsidRDefault="00941227" w:rsidP="00851A12">
            <w:pPr>
              <w:pStyle w:val="GOSTTablenorm"/>
            </w:pPr>
            <w:r w:rsidRPr="00264D5D">
              <w:t>При перечислении на казначейский счет, равный казначейскому счету отправителя, указывается наименование УБ</w:t>
            </w:r>
            <w:r w:rsidR="00851A12" w:rsidRPr="00264D5D">
              <w:t>П, АУ, БУ, ФГУП, ГУП, МУП, НУБП</w:t>
            </w:r>
          </w:p>
        </w:tc>
      </w:tr>
      <w:tr w:rsidR="00AD1F54" w:rsidRPr="00264D5D" w14:paraId="0CEA4A68" w14:textId="77777777" w:rsidTr="00AD1F54">
        <w:trPr>
          <w:cnfStyle w:val="000000010000" w:firstRow="0" w:lastRow="0" w:firstColumn="0" w:lastColumn="0" w:oddVBand="0" w:evenVBand="0" w:oddHBand="0" w:evenHBand="1" w:firstRowFirstColumn="0" w:firstRowLastColumn="0" w:lastRowFirstColumn="0" w:lastRowLastColumn="0"/>
          <w:trHeight w:val="512"/>
        </w:trPr>
        <w:tc>
          <w:tcPr>
            <w:tcW w:w="1705" w:type="dxa"/>
          </w:tcPr>
          <w:p w14:paraId="4E727D28" w14:textId="77777777" w:rsidR="00AD1F54" w:rsidRPr="00264D5D" w:rsidRDefault="00941227">
            <w:pPr>
              <w:pStyle w:val="GOSTTablenorm"/>
              <w:rPr>
                <w:szCs w:val="22"/>
              </w:rPr>
            </w:pPr>
            <w:r w:rsidRPr="00264D5D">
              <w:t>ИНН получателя</w:t>
            </w:r>
          </w:p>
        </w:tc>
        <w:tc>
          <w:tcPr>
            <w:tcW w:w="1704" w:type="dxa"/>
          </w:tcPr>
          <w:p w14:paraId="1938589A" w14:textId="77777777" w:rsidR="00AD1F54" w:rsidRPr="00264D5D" w:rsidRDefault="00941227">
            <w:pPr>
              <w:pStyle w:val="GOSTTablenorm"/>
              <w:rPr>
                <w:lang w:val="en-US"/>
              </w:rPr>
            </w:pPr>
            <w:r w:rsidRPr="00264D5D">
              <w:rPr>
                <w:lang w:val="en-US"/>
              </w:rPr>
              <w:t>INN</w:t>
            </w:r>
          </w:p>
        </w:tc>
        <w:tc>
          <w:tcPr>
            <w:tcW w:w="568" w:type="dxa"/>
          </w:tcPr>
          <w:p w14:paraId="21ABC318" w14:textId="77777777" w:rsidR="00AD1F54" w:rsidRPr="00264D5D" w:rsidRDefault="00941227">
            <w:pPr>
              <w:pStyle w:val="GOSTTablenorm"/>
              <w:jc w:val="center"/>
            </w:pPr>
            <w:r w:rsidRPr="00264D5D">
              <w:t>П</w:t>
            </w:r>
          </w:p>
        </w:tc>
        <w:tc>
          <w:tcPr>
            <w:tcW w:w="1136" w:type="dxa"/>
          </w:tcPr>
          <w:p w14:paraId="55683D91" w14:textId="77777777" w:rsidR="00AD1F54" w:rsidRPr="00264D5D" w:rsidRDefault="00941227">
            <w:pPr>
              <w:pStyle w:val="GOSTTablenorm"/>
            </w:pPr>
            <w:r w:rsidRPr="00264D5D">
              <w:t>Т(1-12)</w:t>
            </w:r>
          </w:p>
        </w:tc>
        <w:tc>
          <w:tcPr>
            <w:tcW w:w="568" w:type="dxa"/>
          </w:tcPr>
          <w:p w14:paraId="1B0ED951" w14:textId="77777777" w:rsidR="00AD1F54" w:rsidRPr="00264D5D" w:rsidRDefault="00941227">
            <w:pPr>
              <w:pStyle w:val="GOSTTablenorm"/>
              <w:jc w:val="center"/>
            </w:pPr>
            <w:r w:rsidRPr="00264D5D">
              <w:t>О</w:t>
            </w:r>
          </w:p>
        </w:tc>
        <w:tc>
          <w:tcPr>
            <w:tcW w:w="3969" w:type="dxa"/>
          </w:tcPr>
          <w:p w14:paraId="23B3B2A6" w14:textId="77777777" w:rsidR="00AD1F54" w:rsidRPr="00264D5D" w:rsidRDefault="00941227" w:rsidP="00851A12">
            <w:pPr>
              <w:pStyle w:val="GOSTTablenorm"/>
              <w:rPr>
                <w:szCs w:val="22"/>
              </w:rPr>
            </w:pPr>
            <w:r w:rsidRPr="00264D5D">
              <w:rPr>
                <w:szCs w:val="22"/>
              </w:rPr>
              <w:t>Указывается ИНН получателя платежа. При отсутствии у получателя – физического лица ИНН, проставляется значение ноль («0»).</w:t>
            </w:r>
          </w:p>
          <w:p w14:paraId="3FD942F3" w14:textId="77777777" w:rsidR="00AD1F54" w:rsidRPr="00264D5D" w:rsidRDefault="00941227" w:rsidP="00851A12">
            <w:pPr>
              <w:pStyle w:val="GOSTTableListMark1"/>
              <w:spacing w:before="60" w:after="60"/>
              <w:ind w:left="57" w:firstLine="0"/>
              <w:jc w:val="both"/>
            </w:pPr>
            <w:r w:rsidRPr="00264D5D">
              <w:rPr>
                <w:szCs w:val="22"/>
              </w:rPr>
              <w:t xml:space="preserve">Если в поле «Счет получателя» указан счет: №№ 03100, 03212, 03222; 03232; 03242; 03262; 03272; 03214; 03224; 03234; 03244 или в реквизите «БИК банка/ТОФК» указан БИК ПБР и при этом счет получателя соответствует балансовому счету № 40503/40603/40703 с признаком «4» в 14 разряде, № 40204, то длина поля должна быть = 10 цифрам, при этом первый и второй знаки (цифры) не могут </w:t>
            </w:r>
            <w:r w:rsidRPr="00264D5D">
              <w:rPr>
                <w:szCs w:val="22"/>
              </w:rPr>
              <w:lastRenderedPageBreak/>
              <w:t>одновременн</w:t>
            </w:r>
            <w:r w:rsidR="00851A12" w:rsidRPr="00264D5D">
              <w:rPr>
                <w:szCs w:val="22"/>
              </w:rPr>
              <w:t>о принимать значение ноль («0»)</w:t>
            </w:r>
          </w:p>
        </w:tc>
      </w:tr>
      <w:tr w:rsidR="00AD1F54" w:rsidRPr="00264D5D" w14:paraId="79F9774A" w14:textId="77777777" w:rsidTr="00AD1F54">
        <w:trPr>
          <w:cnfStyle w:val="000000100000" w:firstRow="0" w:lastRow="0" w:firstColumn="0" w:lastColumn="0" w:oddVBand="0" w:evenVBand="0" w:oddHBand="1" w:evenHBand="0" w:firstRowFirstColumn="0" w:firstRowLastColumn="0" w:lastRowFirstColumn="0" w:lastRowLastColumn="0"/>
        </w:trPr>
        <w:tc>
          <w:tcPr>
            <w:tcW w:w="1705" w:type="dxa"/>
          </w:tcPr>
          <w:p w14:paraId="1335415D" w14:textId="77777777" w:rsidR="00AD1F54" w:rsidRPr="00264D5D" w:rsidRDefault="00941227">
            <w:pPr>
              <w:pStyle w:val="GOSTTablenorm"/>
              <w:rPr>
                <w:szCs w:val="22"/>
              </w:rPr>
            </w:pPr>
            <w:r w:rsidRPr="00264D5D">
              <w:lastRenderedPageBreak/>
              <w:t>КПП получателя</w:t>
            </w:r>
          </w:p>
        </w:tc>
        <w:tc>
          <w:tcPr>
            <w:tcW w:w="1704" w:type="dxa"/>
          </w:tcPr>
          <w:p w14:paraId="7D194E7E" w14:textId="77777777" w:rsidR="00AD1F54" w:rsidRPr="00264D5D" w:rsidRDefault="00941227">
            <w:pPr>
              <w:pStyle w:val="GOSTTablenorm"/>
              <w:rPr>
                <w:lang w:val="en-US"/>
              </w:rPr>
            </w:pPr>
            <w:r w:rsidRPr="00264D5D">
              <w:rPr>
                <w:lang w:val="en-US"/>
              </w:rPr>
              <w:t>KPP</w:t>
            </w:r>
          </w:p>
        </w:tc>
        <w:tc>
          <w:tcPr>
            <w:tcW w:w="568" w:type="dxa"/>
          </w:tcPr>
          <w:p w14:paraId="4EE54370" w14:textId="77777777" w:rsidR="00AD1F54" w:rsidRPr="00264D5D" w:rsidRDefault="00941227">
            <w:pPr>
              <w:pStyle w:val="GOSTTablenorm"/>
              <w:jc w:val="center"/>
            </w:pPr>
            <w:r w:rsidRPr="00264D5D">
              <w:t>П</w:t>
            </w:r>
          </w:p>
        </w:tc>
        <w:tc>
          <w:tcPr>
            <w:tcW w:w="1136" w:type="dxa"/>
          </w:tcPr>
          <w:p w14:paraId="4C590FB4" w14:textId="77777777" w:rsidR="00AD1F54" w:rsidRPr="00264D5D" w:rsidRDefault="00941227">
            <w:pPr>
              <w:pStyle w:val="GOSTTablenorm"/>
            </w:pPr>
            <w:r w:rsidRPr="00264D5D">
              <w:t>Т(1-9)</w:t>
            </w:r>
          </w:p>
        </w:tc>
        <w:tc>
          <w:tcPr>
            <w:tcW w:w="568" w:type="dxa"/>
          </w:tcPr>
          <w:p w14:paraId="0FBC5B70" w14:textId="77777777" w:rsidR="00AD1F54" w:rsidRPr="00264D5D" w:rsidRDefault="00941227">
            <w:pPr>
              <w:pStyle w:val="GOSTTablenorm"/>
              <w:jc w:val="center"/>
            </w:pPr>
            <w:r w:rsidRPr="00264D5D">
              <w:t>О</w:t>
            </w:r>
          </w:p>
        </w:tc>
        <w:tc>
          <w:tcPr>
            <w:tcW w:w="3969" w:type="dxa"/>
          </w:tcPr>
          <w:p w14:paraId="480C9282" w14:textId="77777777" w:rsidR="00AD1F54" w:rsidRPr="00264D5D" w:rsidRDefault="00941227">
            <w:pPr>
              <w:pStyle w:val="GOSTTablenorm"/>
              <w:rPr>
                <w:szCs w:val="22"/>
              </w:rPr>
            </w:pPr>
            <w:r w:rsidRPr="00264D5D">
              <w:rPr>
                <w:szCs w:val="22"/>
              </w:rPr>
              <w:t xml:space="preserve">Указывается КПП получателя платежа. </w:t>
            </w:r>
          </w:p>
          <w:p w14:paraId="255D4F42" w14:textId="77777777" w:rsidR="00AD1F54" w:rsidRPr="00264D5D" w:rsidRDefault="00941227">
            <w:pPr>
              <w:pStyle w:val="GOSTTablenorm"/>
              <w:rPr>
                <w:szCs w:val="22"/>
              </w:rPr>
            </w:pPr>
            <w:r w:rsidRPr="00264D5D">
              <w:rPr>
                <w:szCs w:val="22"/>
              </w:rPr>
              <w:t>При отсутствии у получателя – физического лица КПП, проставляется значение ноль («0»).</w:t>
            </w:r>
          </w:p>
          <w:p w14:paraId="07B65C24" w14:textId="77777777" w:rsidR="00AD1F54" w:rsidRPr="00264D5D" w:rsidRDefault="00941227">
            <w:pPr>
              <w:pStyle w:val="GOSTTablenorm"/>
            </w:pPr>
            <w:r w:rsidRPr="00264D5D">
              <w:rPr>
                <w:szCs w:val="22"/>
              </w:rPr>
              <w:t>Если в поле «Счет получателя» указан счет: №№ 03100, 03212, 03222; 03232; 03242; 03252; 03262; 03272; 03214; 03224; 03234; 03254  или в реквизите «БИК банка/ТОФК» указан БИК ПБР и при этом счет получателя соответствует балансовому счету № 40503/40603/40703 с признаком «4» в 14 разряде, № 40204, то длина поля должна быть = 9 символов, при этом: первый-четвертый и седьмой-девятый знаки (цифры) должны принимать цифровое значение, пятый и шестой знаки – могут соответствовать цифре или заглавной букве латинского алфавита, первый и второй знаки (цифры) не могут одновременн</w:t>
            </w:r>
            <w:r w:rsidR="00851A12" w:rsidRPr="00264D5D">
              <w:rPr>
                <w:szCs w:val="22"/>
              </w:rPr>
              <w:t>о принимать значение ноль («0»)</w:t>
            </w:r>
          </w:p>
        </w:tc>
      </w:tr>
      <w:tr w:rsidR="00AD1F54" w:rsidRPr="00264D5D" w14:paraId="5E6D1293" w14:textId="77777777" w:rsidTr="00AD1F54">
        <w:trPr>
          <w:cnfStyle w:val="000000010000" w:firstRow="0" w:lastRow="0" w:firstColumn="0" w:lastColumn="0" w:oddVBand="0" w:evenVBand="0" w:oddHBand="0" w:evenHBand="1" w:firstRowFirstColumn="0" w:firstRowLastColumn="0" w:lastRowFirstColumn="0" w:lastRowLastColumn="0"/>
        </w:trPr>
        <w:tc>
          <w:tcPr>
            <w:tcW w:w="1705" w:type="dxa"/>
          </w:tcPr>
          <w:p w14:paraId="72624425" w14:textId="77777777" w:rsidR="00AD1F54" w:rsidRPr="00264D5D" w:rsidRDefault="00941227">
            <w:pPr>
              <w:pStyle w:val="GOSTTablenorm"/>
              <w:rPr>
                <w:szCs w:val="22"/>
              </w:rPr>
            </w:pPr>
            <w:r w:rsidRPr="00264D5D">
              <w:t>Лицевой счет</w:t>
            </w:r>
          </w:p>
        </w:tc>
        <w:tc>
          <w:tcPr>
            <w:tcW w:w="1704" w:type="dxa"/>
          </w:tcPr>
          <w:p w14:paraId="3EDD3FCB" w14:textId="77777777" w:rsidR="00AD1F54" w:rsidRPr="00264D5D" w:rsidRDefault="00941227">
            <w:pPr>
              <w:pStyle w:val="GOSTTablenorm"/>
              <w:rPr>
                <w:lang w:val="en-US"/>
              </w:rPr>
            </w:pPr>
            <w:r w:rsidRPr="00264D5D">
              <w:rPr>
                <w:lang w:val="en-US"/>
              </w:rPr>
              <w:t>AcntNm</w:t>
            </w:r>
          </w:p>
        </w:tc>
        <w:tc>
          <w:tcPr>
            <w:tcW w:w="568" w:type="dxa"/>
          </w:tcPr>
          <w:p w14:paraId="48E52E6E" w14:textId="77777777" w:rsidR="00AD1F54" w:rsidRPr="00264D5D" w:rsidRDefault="00941227">
            <w:pPr>
              <w:pStyle w:val="GOSTTablenorm"/>
              <w:jc w:val="center"/>
            </w:pPr>
            <w:r w:rsidRPr="00264D5D">
              <w:t>П</w:t>
            </w:r>
          </w:p>
        </w:tc>
        <w:tc>
          <w:tcPr>
            <w:tcW w:w="1136" w:type="dxa"/>
          </w:tcPr>
          <w:p w14:paraId="1B330A14" w14:textId="77777777" w:rsidR="00AD1F54" w:rsidRPr="00264D5D" w:rsidRDefault="00941227">
            <w:pPr>
              <w:pStyle w:val="GOSTTablenorm"/>
            </w:pPr>
            <w:r w:rsidRPr="00264D5D">
              <w:t>Т(11)</w:t>
            </w:r>
          </w:p>
        </w:tc>
        <w:tc>
          <w:tcPr>
            <w:tcW w:w="568" w:type="dxa"/>
          </w:tcPr>
          <w:p w14:paraId="10166C1F" w14:textId="77777777" w:rsidR="00AD1F54" w:rsidRPr="00264D5D" w:rsidRDefault="00941227">
            <w:pPr>
              <w:pStyle w:val="GOSTTablenorm"/>
              <w:jc w:val="center"/>
            </w:pPr>
            <w:r w:rsidRPr="00264D5D">
              <w:t>Н</w:t>
            </w:r>
          </w:p>
        </w:tc>
        <w:tc>
          <w:tcPr>
            <w:tcW w:w="3969" w:type="dxa"/>
          </w:tcPr>
          <w:p w14:paraId="473EA658" w14:textId="77777777" w:rsidR="00AD1F54" w:rsidRPr="00264D5D" w:rsidRDefault="00941227">
            <w:pPr>
              <w:pStyle w:val="GOSTTablenorm"/>
            </w:pPr>
            <w:r w:rsidRPr="00264D5D">
              <w:t xml:space="preserve">Указывается л/с получателя, в случае, если документ исполняется внутриказначейской </w:t>
            </w:r>
            <w:r w:rsidR="00851A12" w:rsidRPr="00264D5D">
              <w:t>операцией на казначейских счетах,</w:t>
            </w:r>
            <w:r w:rsidRPr="00264D5D">
              <w:t xml:space="preserve"> и получатель не является АДБ.</w:t>
            </w:r>
          </w:p>
          <w:p w14:paraId="498069F1" w14:textId="77777777" w:rsidR="00AD1F54" w:rsidRPr="00264D5D" w:rsidRDefault="00851A12">
            <w:pPr>
              <w:pStyle w:val="GOSTTablenorm"/>
            </w:pPr>
            <w:r w:rsidRPr="00264D5D">
              <w:t>Не заполняется в иных случаях</w:t>
            </w:r>
          </w:p>
        </w:tc>
      </w:tr>
      <w:tr w:rsidR="00AD1F54" w:rsidRPr="00264D5D" w14:paraId="11A0E0B0" w14:textId="77777777" w:rsidTr="00AD1F54">
        <w:trPr>
          <w:cnfStyle w:val="000000100000" w:firstRow="0" w:lastRow="0" w:firstColumn="0" w:lastColumn="0" w:oddVBand="0" w:evenVBand="0" w:oddHBand="1" w:evenHBand="0" w:firstRowFirstColumn="0" w:firstRowLastColumn="0" w:lastRowFirstColumn="0" w:lastRowLastColumn="0"/>
        </w:trPr>
        <w:tc>
          <w:tcPr>
            <w:tcW w:w="1705" w:type="dxa"/>
          </w:tcPr>
          <w:p w14:paraId="196E6AF2" w14:textId="77777777" w:rsidR="00AD1F54" w:rsidRPr="00264D5D" w:rsidRDefault="00941227">
            <w:pPr>
              <w:pStyle w:val="GOSTTablenorm"/>
            </w:pPr>
            <w:r w:rsidRPr="00264D5D">
              <w:t>Банк/ТОФК</w:t>
            </w:r>
          </w:p>
        </w:tc>
        <w:tc>
          <w:tcPr>
            <w:tcW w:w="1704" w:type="dxa"/>
          </w:tcPr>
          <w:p w14:paraId="3C097BB7" w14:textId="77777777" w:rsidR="00AD1F54" w:rsidRPr="00264D5D" w:rsidRDefault="00941227">
            <w:pPr>
              <w:pStyle w:val="GOSTTablenorm"/>
              <w:rPr>
                <w:lang w:val="en-US"/>
              </w:rPr>
            </w:pPr>
            <w:r w:rsidRPr="00264D5D">
              <w:rPr>
                <w:lang w:val="en-US"/>
              </w:rPr>
              <w:t>MSC_Bnk</w:t>
            </w:r>
          </w:p>
        </w:tc>
        <w:tc>
          <w:tcPr>
            <w:tcW w:w="568" w:type="dxa"/>
          </w:tcPr>
          <w:p w14:paraId="52DBDEFD" w14:textId="77777777" w:rsidR="00AD1F54" w:rsidRPr="00264D5D" w:rsidRDefault="00941227">
            <w:pPr>
              <w:pStyle w:val="GOSTTablenorm"/>
              <w:jc w:val="center"/>
            </w:pPr>
            <w:r w:rsidRPr="00264D5D">
              <w:t>С</w:t>
            </w:r>
          </w:p>
        </w:tc>
        <w:tc>
          <w:tcPr>
            <w:tcW w:w="1136" w:type="dxa"/>
          </w:tcPr>
          <w:p w14:paraId="58068300" w14:textId="77777777" w:rsidR="00AD1F54" w:rsidRPr="00264D5D" w:rsidRDefault="00941227">
            <w:pPr>
              <w:pStyle w:val="GOSTTablenorm"/>
            </w:pPr>
            <w:r w:rsidRPr="00264D5D">
              <w:t>tMSC_Bnk</w:t>
            </w:r>
          </w:p>
        </w:tc>
        <w:tc>
          <w:tcPr>
            <w:tcW w:w="568" w:type="dxa"/>
          </w:tcPr>
          <w:p w14:paraId="0CDC70D8" w14:textId="77777777" w:rsidR="00AD1F54" w:rsidRPr="00264D5D" w:rsidRDefault="00941227">
            <w:pPr>
              <w:pStyle w:val="GOSTTablenorm"/>
              <w:jc w:val="center"/>
            </w:pPr>
            <w:r w:rsidRPr="00264D5D">
              <w:t>О</w:t>
            </w:r>
          </w:p>
        </w:tc>
        <w:tc>
          <w:tcPr>
            <w:tcW w:w="3969" w:type="dxa"/>
          </w:tcPr>
          <w:p w14:paraId="7FE1B9C6" w14:textId="33EC2899" w:rsidR="00AD1F54" w:rsidRPr="00264D5D" w:rsidRDefault="00941227">
            <w:pPr>
              <w:pStyle w:val="GOSTTablenorm"/>
            </w:pPr>
            <w:r w:rsidRPr="00264D5D">
              <w:t xml:space="preserve">Состав элемента представлен в таблице </w:t>
            </w:r>
            <w:r w:rsidRPr="00264D5D">
              <w:rPr>
                <w:b/>
              </w:rPr>
              <w:fldChar w:fldCharType="begin"/>
            </w:r>
            <w:r w:rsidRPr="00264D5D">
              <w:rPr>
                <w:b/>
              </w:rPr>
              <w:instrText xml:space="preserve"> REF _Ref524686974 \h  \* MERGEFORMAT </w:instrText>
            </w:r>
            <w:r w:rsidRPr="00264D5D">
              <w:rPr>
                <w:b/>
              </w:rPr>
            </w:r>
            <w:r w:rsidRPr="00264D5D">
              <w:rPr>
                <w:b/>
              </w:rPr>
              <w:fldChar w:fldCharType="separate"/>
            </w:r>
            <w:r w:rsidR="008D797C" w:rsidRPr="008D797C">
              <w:rPr>
                <w:b/>
              </w:rPr>
              <w:t>134</w:t>
            </w:r>
            <w:r w:rsidRPr="00264D5D">
              <w:rPr>
                <w:b/>
              </w:rPr>
              <w:fldChar w:fldCharType="end"/>
            </w:r>
          </w:p>
        </w:tc>
      </w:tr>
    </w:tbl>
    <w:p w14:paraId="63D867DF" w14:textId="77777777" w:rsidR="00AD1F54" w:rsidRPr="00264D5D" w:rsidRDefault="00941227">
      <w:pPr>
        <w:pStyle w:val="31"/>
      </w:pPr>
      <w:bookmarkStart w:id="1268" w:name="_Toc776947"/>
      <w:bookmarkStart w:id="1269" w:name="_Toc1469453"/>
      <w:bookmarkStart w:id="1270" w:name="_Toc219309580"/>
      <w:r w:rsidRPr="00264D5D">
        <w:t>Описание комплексного типа «tMSC_ShrtPyKndComplex»</w:t>
      </w:r>
      <w:bookmarkEnd w:id="1268"/>
      <w:bookmarkEnd w:id="1269"/>
      <w:bookmarkEnd w:id="1270"/>
    </w:p>
    <w:p w14:paraId="0015CF1A" w14:textId="77777777" w:rsidR="00AD1F54" w:rsidRPr="00264D5D" w:rsidRDefault="00941227">
      <w:pPr>
        <w:pStyle w:val="ASFKNormal"/>
        <w:spacing w:before="60" w:after="120"/>
        <w:jc w:val="both"/>
        <w:rPr>
          <w:sz w:val="24"/>
        </w:rPr>
      </w:pPr>
      <w:r w:rsidRPr="00264D5D">
        <w:rPr>
          <w:sz w:val="24"/>
        </w:rPr>
        <w:t>Описание комплексного типа «tMSC_ShrtPyKndComplex» блока «Вид платежа».</w:t>
      </w:r>
    </w:p>
    <w:p w14:paraId="5FB6B9F0" w14:textId="2F6E38EF" w:rsidR="00AD1F54" w:rsidRPr="00264D5D" w:rsidRDefault="00941227">
      <w:pPr>
        <w:pStyle w:val="GOSTNameTable"/>
        <w:numPr>
          <w:ilvl w:val="0"/>
          <w:numId w:val="2"/>
        </w:numPr>
        <w:ind w:left="425" w:hanging="357"/>
        <w:rPr>
          <w:szCs w:val="24"/>
        </w:rPr>
      </w:pPr>
      <w:r w:rsidRPr="00264D5D">
        <w:fldChar w:fldCharType="begin"/>
      </w:r>
      <w:r w:rsidRPr="00264D5D">
        <w:instrText>SEQ Таблица \* ARABIC</w:instrText>
      </w:r>
      <w:r w:rsidRPr="00264D5D">
        <w:fldChar w:fldCharType="separate"/>
      </w:r>
      <w:bookmarkStart w:id="1271" w:name="_Ref524686905"/>
      <w:bookmarkStart w:id="1272" w:name="_Toc776497"/>
      <w:bookmarkStart w:id="1273" w:name="_Toc219309163"/>
      <w:r w:rsidR="008D797C">
        <w:rPr>
          <w:noProof/>
        </w:rPr>
        <w:t>133</w:t>
      </w:r>
      <w:bookmarkEnd w:id="1271"/>
      <w:r w:rsidRPr="00264D5D">
        <w:fldChar w:fldCharType="end"/>
      </w:r>
      <w:r w:rsidRPr="00264D5D">
        <w:rPr>
          <w:rFonts w:eastAsia="Calibri"/>
          <w:szCs w:val="24"/>
        </w:rPr>
        <w:t xml:space="preserve"> – </w:t>
      </w:r>
      <w:r w:rsidRPr="00264D5D">
        <w:t>Описание комплексного тип</w:t>
      </w:r>
      <w:r w:rsidRPr="00264D5D">
        <w:rPr>
          <w:szCs w:val="24"/>
        </w:rPr>
        <w:t>а «tMSC_ShrtPyKndComplex»</w:t>
      </w:r>
      <w:bookmarkEnd w:id="1272"/>
      <w:bookmarkEnd w:id="1273"/>
    </w:p>
    <w:tbl>
      <w:tblPr>
        <w:tblStyle w:val="GOSTTable"/>
        <w:tblW w:w="5000" w:type="pct"/>
        <w:tblLayout w:type="fixed"/>
        <w:tblLook w:val="04A0" w:firstRow="1" w:lastRow="0" w:firstColumn="1" w:lastColumn="0" w:noHBand="0" w:noVBand="1"/>
      </w:tblPr>
      <w:tblGrid>
        <w:gridCol w:w="1704"/>
        <w:gridCol w:w="1704"/>
        <w:gridCol w:w="568"/>
        <w:gridCol w:w="1136"/>
        <w:gridCol w:w="568"/>
        <w:gridCol w:w="3970"/>
      </w:tblGrid>
      <w:tr w:rsidR="00AD1F54" w:rsidRPr="00264D5D" w14:paraId="511F3418"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2" w:type="dxa"/>
          </w:tcPr>
          <w:p w14:paraId="00080D73" w14:textId="77777777" w:rsidR="00AD1F54" w:rsidRPr="00264D5D" w:rsidRDefault="00941227">
            <w:pPr>
              <w:pStyle w:val="GOSTTableHead"/>
            </w:pPr>
            <w:r w:rsidRPr="00264D5D">
              <w:t>Наименование элемента</w:t>
            </w:r>
          </w:p>
        </w:tc>
        <w:tc>
          <w:tcPr>
            <w:tcW w:w="1701" w:type="dxa"/>
          </w:tcPr>
          <w:p w14:paraId="4FF8AD0C" w14:textId="77777777" w:rsidR="00AD1F54" w:rsidRPr="00264D5D" w:rsidRDefault="00941227">
            <w:pPr>
              <w:pStyle w:val="GOSTTableHead"/>
            </w:pPr>
            <w:r w:rsidRPr="00264D5D">
              <w:t>Сокращенное наименование (код) элемента</w:t>
            </w:r>
          </w:p>
        </w:tc>
        <w:tc>
          <w:tcPr>
            <w:tcW w:w="567" w:type="dxa"/>
          </w:tcPr>
          <w:p w14:paraId="12138F03" w14:textId="77777777" w:rsidR="00AD1F54" w:rsidRPr="00264D5D" w:rsidRDefault="00941227">
            <w:pPr>
              <w:pStyle w:val="GOSTTableHead"/>
            </w:pPr>
            <w:r w:rsidRPr="00264D5D">
              <w:t>Тип</w:t>
            </w:r>
          </w:p>
        </w:tc>
        <w:tc>
          <w:tcPr>
            <w:tcW w:w="1134" w:type="dxa"/>
          </w:tcPr>
          <w:p w14:paraId="13622B8D" w14:textId="77777777" w:rsidR="00AD1F54" w:rsidRPr="00264D5D" w:rsidRDefault="00941227">
            <w:pPr>
              <w:pStyle w:val="GOSTTableHead"/>
            </w:pPr>
            <w:r w:rsidRPr="00264D5D">
              <w:t>Формат элемента</w:t>
            </w:r>
          </w:p>
        </w:tc>
        <w:tc>
          <w:tcPr>
            <w:tcW w:w="567" w:type="dxa"/>
          </w:tcPr>
          <w:p w14:paraId="382D824F" w14:textId="77777777" w:rsidR="00AD1F54" w:rsidRPr="00264D5D" w:rsidRDefault="00941227">
            <w:pPr>
              <w:pStyle w:val="GOSTTableHead"/>
            </w:pPr>
            <w:r w:rsidRPr="00264D5D">
              <w:t>Обязательность</w:t>
            </w:r>
          </w:p>
        </w:tc>
        <w:tc>
          <w:tcPr>
            <w:tcW w:w="3963" w:type="dxa"/>
          </w:tcPr>
          <w:p w14:paraId="44ECF27B" w14:textId="77777777" w:rsidR="00AD1F54" w:rsidRPr="00264D5D" w:rsidRDefault="00941227">
            <w:pPr>
              <w:pStyle w:val="GOSTTableHead"/>
            </w:pPr>
            <w:r w:rsidRPr="00264D5D">
              <w:t>Дополнительная информация</w:t>
            </w:r>
          </w:p>
        </w:tc>
      </w:tr>
      <w:tr w:rsidR="00AD1F54" w:rsidRPr="00264D5D" w14:paraId="76AD504F" w14:textId="77777777" w:rsidTr="00AD1F54">
        <w:trPr>
          <w:cnfStyle w:val="000000100000" w:firstRow="0" w:lastRow="0" w:firstColumn="0" w:lastColumn="0" w:oddVBand="0" w:evenVBand="0" w:oddHBand="1" w:evenHBand="0" w:firstRowFirstColumn="0" w:firstRowLastColumn="0" w:lastRowFirstColumn="0" w:lastRowLastColumn="0"/>
        </w:trPr>
        <w:tc>
          <w:tcPr>
            <w:tcW w:w="1702" w:type="dxa"/>
          </w:tcPr>
          <w:p w14:paraId="351E6DA3" w14:textId="77777777" w:rsidR="00AD1F54" w:rsidRPr="00264D5D" w:rsidRDefault="00941227">
            <w:pPr>
              <w:pStyle w:val="GOSTTablenorm"/>
            </w:pPr>
            <w:r w:rsidRPr="00264D5D">
              <w:t>Код</w:t>
            </w:r>
          </w:p>
        </w:tc>
        <w:tc>
          <w:tcPr>
            <w:tcW w:w="1701" w:type="dxa"/>
          </w:tcPr>
          <w:p w14:paraId="6B60D5C9" w14:textId="77777777" w:rsidR="00AD1F54" w:rsidRPr="00264D5D" w:rsidRDefault="00941227">
            <w:pPr>
              <w:pStyle w:val="GOSTTablenorm"/>
              <w:rPr>
                <w:lang w:val="en-US"/>
              </w:rPr>
            </w:pPr>
            <w:r w:rsidRPr="00264D5D">
              <w:t>с</w:t>
            </w:r>
            <w:r w:rsidRPr="00264D5D">
              <w:rPr>
                <w:lang w:val="en-US"/>
              </w:rPr>
              <w:t>ode</w:t>
            </w:r>
          </w:p>
        </w:tc>
        <w:tc>
          <w:tcPr>
            <w:tcW w:w="567" w:type="dxa"/>
          </w:tcPr>
          <w:p w14:paraId="7CF67C79" w14:textId="77777777" w:rsidR="00AD1F54" w:rsidRPr="00264D5D" w:rsidRDefault="00941227">
            <w:pPr>
              <w:pStyle w:val="GOSTTablenorm"/>
              <w:jc w:val="center"/>
            </w:pPr>
            <w:r w:rsidRPr="00264D5D">
              <w:t>А</w:t>
            </w:r>
          </w:p>
        </w:tc>
        <w:tc>
          <w:tcPr>
            <w:tcW w:w="1134" w:type="dxa"/>
          </w:tcPr>
          <w:p w14:paraId="171222EC" w14:textId="77777777" w:rsidR="00AD1F54" w:rsidRPr="00264D5D" w:rsidRDefault="00941227">
            <w:pPr>
              <w:pStyle w:val="GOSTTablenorm"/>
            </w:pPr>
            <w:r w:rsidRPr="00264D5D">
              <w:t>-</w:t>
            </w:r>
          </w:p>
        </w:tc>
        <w:tc>
          <w:tcPr>
            <w:tcW w:w="567" w:type="dxa"/>
          </w:tcPr>
          <w:p w14:paraId="2DD2800B" w14:textId="77777777" w:rsidR="00AD1F54" w:rsidRPr="00264D5D" w:rsidRDefault="00941227">
            <w:pPr>
              <w:pStyle w:val="GOSTTablenorm"/>
              <w:jc w:val="center"/>
            </w:pPr>
            <w:r w:rsidRPr="00264D5D">
              <w:t>О</w:t>
            </w:r>
          </w:p>
        </w:tc>
        <w:tc>
          <w:tcPr>
            <w:tcW w:w="3963" w:type="dxa"/>
          </w:tcPr>
          <w:p w14:paraId="7F86E455" w14:textId="77777777" w:rsidR="00AD1F54" w:rsidRPr="00264D5D" w:rsidRDefault="00941227">
            <w:pPr>
              <w:pStyle w:val="GOSTTablenorm"/>
            </w:pPr>
            <w:r w:rsidRPr="00264D5D">
              <w:t>Возможные значения:</w:t>
            </w:r>
          </w:p>
          <w:p w14:paraId="74F295E0" w14:textId="77777777" w:rsidR="00AD1F54" w:rsidRPr="00264D5D" w:rsidRDefault="00941227" w:rsidP="00E7460C">
            <w:pPr>
              <w:pStyle w:val="GOSTTablenorm"/>
              <w:numPr>
                <w:ilvl w:val="0"/>
                <w:numId w:val="82"/>
              </w:numPr>
              <w:ind w:left="284" w:hanging="227"/>
            </w:pPr>
            <w:r w:rsidRPr="00264D5D">
              <w:lastRenderedPageBreak/>
              <w:t>«0» – Пусто;</w:t>
            </w:r>
          </w:p>
          <w:p w14:paraId="196C9C1A" w14:textId="77777777" w:rsidR="00AD1F54" w:rsidRPr="00264D5D" w:rsidRDefault="00CE031E" w:rsidP="00E7460C">
            <w:pPr>
              <w:pStyle w:val="GOSTTablenorm"/>
              <w:numPr>
                <w:ilvl w:val="0"/>
                <w:numId w:val="82"/>
              </w:numPr>
              <w:ind w:left="284" w:hanging="227"/>
            </w:pPr>
            <w:r w:rsidRPr="00264D5D">
              <w:t>«4» – Срочно</w:t>
            </w:r>
          </w:p>
        </w:tc>
      </w:tr>
      <w:tr w:rsidR="00AD1F54" w:rsidRPr="00264D5D" w14:paraId="58E4E127" w14:textId="77777777" w:rsidTr="00AD1F54">
        <w:trPr>
          <w:cnfStyle w:val="000000010000" w:firstRow="0" w:lastRow="0" w:firstColumn="0" w:lastColumn="0" w:oddVBand="0" w:evenVBand="0" w:oddHBand="0" w:evenHBand="1" w:firstRowFirstColumn="0" w:firstRowLastColumn="0" w:lastRowFirstColumn="0" w:lastRowLastColumn="0"/>
        </w:trPr>
        <w:tc>
          <w:tcPr>
            <w:tcW w:w="1702" w:type="dxa"/>
          </w:tcPr>
          <w:p w14:paraId="71EECFBF" w14:textId="77777777" w:rsidR="00AD1F54" w:rsidRPr="00264D5D" w:rsidRDefault="00941227">
            <w:pPr>
              <w:pStyle w:val="GOSTTablenorm"/>
            </w:pPr>
            <w:r w:rsidRPr="00264D5D">
              <w:lastRenderedPageBreak/>
              <w:t>Вид платежа</w:t>
            </w:r>
          </w:p>
        </w:tc>
        <w:tc>
          <w:tcPr>
            <w:tcW w:w="1701" w:type="dxa"/>
          </w:tcPr>
          <w:p w14:paraId="71A4C5B3" w14:textId="77777777" w:rsidR="00AD1F54" w:rsidRPr="00264D5D" w:rsidRDefault="00941227">
            <w:pPr>
              <w:pStyle w:val="GOSTTablenorm"/>
            </w:pPr>
            <w:r w:rsidRPr="00264D5D">
              <w:rPr>
                <w:lang w:val="en-US"/>
              </w:rPr>
              <w:t>value</w:t>
            </w:r>
          </w:p>
        </w:tc>
        <w:tc>
          <w:tcPr>
            <w:tcW w:w="567" w:type="dxa"/>
          </w:tcPr>
          <w:p w14:paraId="594152D8" w14:textId="77777777" w:rsidR="00AD1F54" w:rsidRPr="00264D5D" w:rsidRDefault="00941227">
            <w:pPr>
              <w:pStyle w:val="GOSTTablenorm"/>
              <w:jc w:val="center"/>
            </w:pPr>
            <w:r w:rsidRPr="00264D5D">
              <w:t>А</w:t>
            </w:r>
          </w:p>
        </w:tc>
        <w:tc>
          <w:tcPr>
            <w:tcW w:w="1134" w:type="dxa"/>
          </w:tcPr>
          <w:p w14:paraId="3A141B2F" w14:textId="77777777" w:rsidR="00AD1F54" w:rsidRPr="00264D5D" w:rsidRDefault="00941227">
            <w:pPr>
              <w:pStyle w:val="GOSTTablenorm"/>
            </w:pPr>
            <w:r w:rsidRPr="00264D5D">
              <w:t>-</w:t>
            </w:r>
          </w:p>
        </w:tc>
        <w:tc>
          <w:tcPr>
            <w:tcW w:w="567" w:type="dxa"/>
          </w:tcPr>
          <w:p w14:paraId="3063B770" w14:textId="77777777" w:rsidR="00AD1F54" w:rsidRPr="00264D5D" w:rsidRDefault="00941227">
            <w:pPr>
              <w:pStyle w:val="GOSTTablenorm"/>
              <w:jc w:val="center"/>
            </w:pPr>
            <w:r w:rsidRPr="00264D5D">
              <w:t>Н</w:t>
            </w:r>
          </w:p>
        </w:tc>
        <w:tc>
          <w:tcPr>
            <w:tcW w:w="3963" w:type="dxa"/>
          </w:tcPr>
          <w:p w14:paraId="7C810399" w14:textId="77777777" w:rsidR="00AD1F54" w:rsidRPr="00264D5D" w:rsidRDefault="00941227">
            <w:pPr>
              <w:pStyle w:val="GOSTTablenorm"/>
            </w:pPr>
            <w:r w:rsidRPr="00264D5D">
              <w:t>Возможные значения:</w:t>
            </w:r>
          </w:p>
          <w:p w14:paraId="7C740275" w14:textId="77777777" w:rsidR="00AD1F54" w:rsidRPr="00264D5D" w:rsidRDefault="00941227" w:rsidP="00E7460C">
            <w:pPr>
              <w:pStyle w:val="GOSTTablenorm"/>
              <w:numPr>
                <w:ilvl w:val="0"/>
                <w:numId w:val="82"/>
              </w:numPr>
              <w:ind w:left="284" w:hanging="227"/>
            </w:pPr>
            <w:r w:rsidRPr="00264D5D">
              <w:t>Пусто;</w:t>
            </w:r>
          </w:p>
          <w:p w14:paraId="098F48B4" w14:textId="77777777" w:rsidR="00AD1F54" w:rsidRPr="00264D5D" w:rsidRDefault="00CE031E" w:rsidP="00E7460C">
            <w:pPr>
              <w:pStyle w:val="GOSTTableListMark1"/>
              <w:numPr>
                <w:ilvl w:val="0"/>
                <w:numId w:val="82"/>
              </w:numPr>
              <w:spacing w:before="60" w:after="60"/>
              <w:ind w:left="284" w:hanging="227"/>
              <w:jc w:val="both"/>
            </w:pPr>
            <w:r w:rsidRPr="00264D5D">
              <w:t>Срочно</w:t>
            </w:r>
          </w:p>
        </w:tc>
      </w:tr>
    </w:tbl>
    <w:p w14:paraId="5F9E851C" w14:textId="77777777" w:rsidR="00AD1F54" w:rsidRPr="00264D5D" w:rsidRDefault="00941227">
      <w:pPr>
        <w:pStyle w:val="31"/>
      </w:pPr>
      <w:bookmarkStart w:id="1274" w:name="_Toc776948"/>
      <w:bookmarkStart w:id="1275" w:name="_Toc1469454"/>
      <w:bookmarkStart w:id="1276" w:name="_Toc219309581"/>
      <w:r w:rsidRPr="00264D5D">
        <w:t>Описание комплексного типа «tMSC_Bnk»</w:t>
      </w:r>
      <w:bookmarkEnd w:id="1274"/>
      <w:bookmarkEnd w:id="1275"/>
      <w:bookmarkEnd w:id="1276"/>
    </w:p>
    <w:p w14:paraId="5F656B3F" w14:textId="77777777" w:rsidR="00AD1F54" w:rsidRPr="00264D5D" w:rsidRDefault="00941227">
      <w:pPr>
        <w:pStyle w:val="ASFKNormal"/>
        <w:spacing w:before="60" w:after="120"/>
        <w:jc w:val="both"/>
        <w:rPr>
          <w:sz w:val="24"/>
        </w:rPr>
      </w:pPr>
      <w:r w:rsidRPr="00264D5D">
        <w:rPr>
          <w:sz w:val="24"/>
        </w:rPr>
        <w:t>Описание комплексного типа «tMSC_</w:t>
      </w:r>
      <w:r w:rsidRPr="00264D5D">
        <w:rPr>
          <w:sz w:val="24"/>
          <w:lang w:val="en-US"/>
        </w:rPr>
        <w:t>Bnk</w:t>
      </w:r>
      <w:r w:rsidRPr="00264D5D">
        <w:rPr>
          <w:sz w:val="24"/>
        </w:rPr>
        <w:t>» блока «</w:t>
      </w:r>
      <w:r w:rsidRPr="00264D5D">
        <w:rPr>
          <w:sz w:val="24"/>
          <w:szCs w:val="24"/>
        </w:rPr>
        <w:t>Банк/ТОФК</w:t>
      </w:r>
      <w:r w:rsidRPr="00264D5D">
        <w:rPr>
          <w:sz w:val="24"/>
        </w:rPr>
        <w:t>».</w:t>
      </w:r>
    </w:p>
    <w:p w14:paraId="50D03530" w14:textId="66950F1D"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1277" w:name="_Ref524686974"/>
      <w:bookmarkStart w:id="1278" w:name="_Toc776498"/>
      <w:bookmarkStart w:id="1279" w:name="_Toc219309164"/>
      <w:r w:rsidR="008D797C">
        <w:rPr>
          <w:noProof/>
        </w:rPr>
        <w:t>134</w:t>
      </w:r>
      <w:bookmarkEnd w:id="1277"/>
      <w:r w:rsidRPr="00264D5D">
        <w:fldChar w:fldCharType="end"/>
      </w:r>
      <w:r w:rsidRPr="00264D5D">
        <w:rPr>
          <w:rFonts w:eastAsia="Calibri"/>
          <w:szCs w:val="24"/>
        </w:rPr>
        <w:t xml:space="preserve"> – </w:t>
      </w:r>
      <w:r w:rsidRPr="00264D5D">
        <w:t>Описание комплексного типа «tMSC_</w:t>
      </w:r>
      <w:r w:rsidRPr="00264D5D">
        <w:rPr>
          <w:lang w:val="en-US"/>
        </w:rPr>
        <w:t>Bnk</w:t>
      </w:r>
      <w:r w:rsidRPr="00264D5D">
        <w:t>»</w:t>
      </w:r>
      <w:bookmarkEnd w:id="1278"/>
      <w:bookmarkEnd w:id="1279"/>
    </w:p>
    <w:tbl>
      <w:tblPr>
        <w:tblStyle w:val="GOSTTable"/>
        <w:tblW w:w="5000" w:type="pct"/>
        <w:tblLayout w:type="fixed"/>
        <w:tblLook w:val="01E0" w:firstRow="1" w:lastRow="1" w:firstColumn="1" w:lastColumn="1" w:noHBand="0" w:noVBand="0"/>
      </w:tblPr>
      <w:tblGrid>
        <w:gridCol w:w="1705"/>
        <w:gridCol w:w="1704"/>
        <w:gridCol w:w="568"/>
        <w:gridCol w:w="1136"/>
        <w:gridCol w:w="568"/>
        <w:gridCol w:w="3969"/>
      </w:tblGrid>
      <w:tr w:rsidR="00AD1F54" w:rsidRPr="00264D5D" w14:paraId="3B4258E6"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3" w:type="dxa"/>
          </w:tcPr>
          <w:p w14:paraId="5E956274" w14:textId="77777777" w:rsidR="00AD1F54" w:rsidRPr="00264D5D" w:rsidRDefault="00941227">
            <w:pPr>
              <w:pStyle w:val="GOSTTableHead"/>
            </w:pPr>
            <w:r w:rsidRPr="00264D5D">
              <w:t>Наименование элемента</w:t>
            </w:r>
          </w:p>
        </w:tc>
        <w:tc>
          <w:tcPr>
            <w:tcW w:w="1701" w:type="dxa"/>
          </w:tcPr>
          <w:p w14:paraId="23EEEB30" w14:textId="77777777" w:rsidR="00AD1F54" w:rsidRPr="00264D5D" w:rsidRDefault="00941227">
            <w:pPr>
              <w:pStyle w:val="GOSTTableHead"/>
            </w:pPr>
            <w:r w:rsidRPr="00264D5D">
              <w:t>Сокращенное наименование (код) элемента</w:t>
            </w:r>
          </w:p>
        </w:tc>
        <w:tc>
          <w:tcPr>
            <w:tcW w:w="567" w:type="dxa"/>
          </w:tcPr>
          <w:p w14:paraId="1FC14B42" w14:textId="77777777" w:rsidR="00AD1F54" w:rsidRPr="00264D5D" w:rsidRDefault="00941227">
            <w:pPr>
              <w:pStyle w:val="GOSTTableHead"/>
            </w:pPr>
            <w:r w:rsidRPr="00264D5D">
              <w:t>Тип</w:t>
            </w:r>
          </w:p>
        </w:tc>
        <w:tc>
          <w:tcPr>
            <w:tcW w:w="1134" w:type="dxa"/>
          </w:tcPr>
          <w:p w14:paraId="5570ED01" w14:textId="77777777" w:rsidR="00AD1F54" w:rsidRPr="00264D5D" w:rsidRDefault="00941227">
            <w:pPr>
              <w:pStyle w:val="GOSTTableHead"/>
            </w:pPr>
            <w:r w:rsidRPr="00264D5D">
              <w:t>Формат элемента</w:t>
            </w:r>
          </w:p>
        </w:tc>
        <w:tc>
          <w:tcPr>
            <w:tcW w:w="567" w:type="dxa"/>
          </w:tcPr>
          <w:p w14:paraId="68412AE2" w14:textId="77777777" w:rsidR="00AD1F54" w:rsidRPr="00264D5D" w:rsidRDefault="00941227">
            <w:pPr>
              <w:pStyle w:val="GOSTTableHead"/>
              <w:rPr>
                <w:szCs w:val="22"/>
              </w:rPr>
            </w:pPr>
            <w:r w:rsidRPr="00264D5D">
              <w:rPr>
                <w:szCs w:val="22"/>
              </w:rPr>
              <w:t>Обязательнсть</w:t>
            </w:r>
          </w:p>
        </w:tc>
        <w:tc>
          <w:tcPr>
            <w:tcW w:w="3963" w:type="dxa"/>
          </w:tcPr>
          <w:p w14:paraId="2717130B" w14:textId="77777777" w:rsidR="00AD1F54" w:rsidRPr="00264D5D" w:rsidRDefault="00941227">
            <w:pPr>
              <w:pStyle w:val="GOSTTableHead"/>
              <w:rPr>
                <w:szCs w:val="22"/>
              </w:rPr>
            </w:pPr>
            <w:r w:rsidRPr="00264D5D">
              <w:rPr>
                <w:szCs w:val="22"/>
              </w:rPr>
              <w:t>Дополнительная информация</w:t>
            </w:r>
          </w:p>
        </w:tc>
      </w:tr>
      <w:tr w:rsidR="00AD1F54" w:rsidRPr="00264D5D" w14:paraId="3EC79303" w14:textId="77777777" w:rsidTr="00AD1F54">
        <w:trPr>
          <w:cnfStyle w:val="000000100000" w:firstRow="0" w:lastRow="0" w:firstColumn="0" w:lastColumn="0" w:oddVBand="0" w:evenVBand="0" w:oddHBand="1" w:evenHBand="0" w:firstRowFirstColumn="0" w:firstRowLastColumn="0" w:lastRowFirstColumn="0" w:lastRowLastColumn="0"/>
          <w:trHeight w:val="300"/>
        </w:trPr>
        <w:tc>
          <w:tcPr>
            <w:tcW w:w="1703" w:type="dxa"/>
            <w:noWrap/>
          </w:tcPr>
          <w:p w14:paraId="7B594977" w14:textId="77777777" w:rsidR="00AD1F54" w:rsidRPr="00264D5D" w:rsidRDefault="00941227">
            <w:pPr>
              <w:pStyle w:val="GOSTTablenorm"/>
              <w:rPr>
                <w:szCs w:val="22"/>
              </w:rPr>
            </w:pPr>
            <w:r w:rsidRPr="00264D5D">
              <w:rPr>
                <w:szCs w:val="22"/>
              </w:rPr>
              <w:t>Счет получателя</w:t>
            </w:r>
          </w:p>
        </w:tc>
        <w:tc>
          <w:tcPr>
            <w:tcW w:w="1701" w:type="dxa"/>
            <w:noWrap/>
          </w:tcPr>
          <w:p w14:paraId="2B64593C" w14:textId="77777777" w:rsidR="00AD1F54" w:rsidRPr="00264D5D" w:rsidRDefault="00941227">
            <w:pPr>
              <w:pStyle w:val="GOSTTablenorm"/>
              <w:rPr>
                <w:szCs w:val="22"/>
              </w:rPr>
            </w:pPr>
            <w:r w:rsidRPr="00264D5D">
              <w:rPr>
                <w:szCs w:val="22"/>
              </w:rPr>
              <w:t>AcNm</w:t>
            </w:r>
          </w:p>
        </w:tc>
        <w:tc>
          <w:tcPr>
            <w:tcW w:w="567" w:type="dxa"/>
            <w:noWrap/>
          </w:tcPr>
          <w:p w14:paraId="43C02824" w14:textId="77777777" w:rsidR="00AD1F54" w:rsidRPr="00264D5D" w:rsidRDefault="00941227">
            <w:pPr>
              <w:pStyle w:val="GOSTTablenorm"/>
              <w:jc w:val="center"/>
              <w:rPr>
                <w:szCs w:val="22"/>
              </w:rPr>
            </w:pPr>
            <w:r w:rsidRPr="00264D5D">
              <w:rPr>
                <w:szCs w:val="22"/>
              </w:rPr>
              <w:t>П</w:t>
            </w:r>
          </w:p>
        </w:tc>
        <w:tc>
          <w:tcPr>
            <w:tcW w:w="1134" w:type="dxa"/>
            <w:noWrap/>
          </w:tcPr>
          <w:p w14:paraId="3DD0C2A6" w14:textId="77777777" w:rsidR="00AD1F54" w:rsidRPr="00264D5D" w:rsidRDefault="00941227">
            <w:pPr>
              <w:pStyle w:val="GOSTTablenorm"/>
              <w:rPr>
                <w:szCs w:val="22"/>
                <w:lang w:val="en-US"/>
              </w:rPr>
            </w:pPr>
            <w:r w:rsidRPr="00264D5D">
              <w:rPr>
                <w:szCs w:val="22"/>
                <w:lang w:val="en-US"/>
              </w:rPr>
              <w:t>Т(1-3</w:t>
            </w:r>
            <w:r w:rsidRPr="00264D5D">
              <w:rPr>
                <w:szCs w:val="22"/>
              </w:rPr>
              <w:t>4</w:t>
            </w:r>
            <w:r w:rsidRPr="00264D5D">
              <w:rPr>
                <w:szCs w:val="22"/>
                <w:lang w:val="en-US"/>
              </w:rPr>
              <w:t>)</w:t>
            </w:r>
          </w:p>
        </w:tc>
        <w:tc>
          <w:tcPr>
            <w:tcW w:w="567" w:type="dxa"/>
          </w:tcPr>
          <w:p w14:paraId="0CC81E6B" w14:textId="77777777" w:rsidR="00AD1F54" w:rsidRPr="00264D5D" w:rsidRDefault="00941227">
            <w:pPr>
              <w:pStyle w:val="GOSTTablenorm"/>
              <w:jc w:val="center"/>
              <w:rPr>
                <w:szCs w:val="22"/>
              </w:rPr>
            </w:pPr>
            <w:r w:rsidRPr="00264D5D">
              <w:rPr>
                <w:szCs w:val="22"/>
              </w:rPr>
              <w:t>Н</w:t>
            </w:r>
          </w:p>
        </w:tc>
        <w:tc>
          <w:tcPr>
            <w:tcW w:w="3963" w:type="dxa"/>
            <w:noWrap/>
          </w:tcPr>
          <w:p w14:paraId="7443A69D" w14:textId="77777777" w:rsidR="00AD1F54" w:rsidRPr="00264D5D" w:rsidRDefault="00941227">
            <w:pPr>
              <w:spacing w:before="60" w:after="60"/>
              <w:rPr>
                <w:sz w:val="22"/>
                <w:szCs w:val="22"/>
              </w:rPr>
            </w:pPr>
            <w:r w:rsidRPr="00264D5D">
              <w:rPr>
                <w:sz w:val="22"/>
                <w:szCs w:val="22"/>
              </w:rPr>
              <w:t>Указывается:</w:t>
            </w:r>
          </w:p>
          <w:p w14:paraId="625BDAA1" w14:textId="77777777" w:rsidR="00AD1F54" w:rsidRPr="00264D5D" w:rsidRDefault="00941227" w:rsidP="00E7460C">
            <w:pPr>
              <w:pStyle w:val="af5"/>
              <w:numPr>
                <w:ilvl w:val="0"/>
                <w:numId w:val="86"/>
              </w:numPr>
              <w:spacing w:before="60" w:after="60"/>
              <w:ind w:left="284" w:hanging="227"/>
              <w:contextualSpacing/>
              <w:jc w:val="both"/>
              <w:rPr>
                <w:sz w:val="22"/>
                <w:szCs w:val="22"/>
              </w:rPr>
            </w:pPr>
            <w:r w:rsidRPr="00264D5D">
              <w:rPr>
                <w:sz w:val="22"/>
                <w:szCs w:val="22"/>
              </w:rPr>
              <w:t>казначейский счет, если получатель денежных средств обслуживается в ТОФК;</w:t>
            </w:r>
          </w:p>
          <w:p w14:paraId="78DF4D98" w14:textId="77777777" w:rsidR="00AD1F54" w:rsidRPr="00264D5D" w:rsidRDefault="00941227" w:rsidP="00E7460C">
            <w:pPr>
              <w:pStyle w:val="af5"/>
              <w:numPr>
                <w:ilvl w:val="0"/>
                <w:numId w:val="86"/>
              </w:numPr>
              <w:spacing w:before="60" w:after="60"/>
              <w:ind w:left="284" w:hanging="227"/>
              <w:contextualSpacing/>
              <w:jc w:val="both"/>
              <w:rPr>
                <w:sz w:val="22"/>
                <w:szCs w:val="22"/>
              </w:rPr>
            </w:pPr>
            <w:r w:rsidRPr="00264D5D">
              <w:rPr>
                <w:sz w:val="22"/>
                <w:szCs w:val="22"/>
              </w:rPr>
              <w:t xml:space="preserve">расчетный счет – в иных случаях. </w:t>
            </w:r>
          </w:p>
          <w:p w14:paraId="29B0AAC5" w14:textId="77777777" w:rsidR="00AD1F54" w:rsidRPr="00264D5D" w:rsidRDefault="00941227">
            <w:pPr>
              <w:pStyle w:val="GOSTTablenorm"/>
              <w:rPr>
                <w:szCs w:val="22"/>
              </w:rPr>
            </w:pPr>
            <w:r w:rsidRPr="00264D5D">
              <w:rPr>
                <w:szCs w:val="22"/>
              </w:rPr>
              <w:t xml:space="preserve">В случае, когда получателем выступает кредитная организация, расчетный счет может не указываться. </w:t>
            </w:r>
          </w:p>
          <w:p w14:paraId="7994066E" w14:textId="77777777" w:rsidR="00AD1F54" w:rsidRPr="00264D5D" w:rsidRDefault="00941227">
            <w:pPr>
              <w:pStyle w:val="GOSTTablenorm"/>
              <w:rPr>
                <w:szCs w:val="22"/>
              </w:rPr>
            </w:pPr>
            <w:r w:rsidRPr="00264D5D">
              <w:rPr>
                <w:szCs w:val="22"/>
              </w:rPr>
              <w:t xml:space="preserve">Если реквизит «Код валюты» имеет значение </w:t>
            </w:r>
            <w:r w:rsidR="00CE031E" w:rsidRPr="00264D5D">
              <w:rPr>
                <w:szCs w:val="22"/>
              </w:rPr>
              <w:t>равное «643», то длина поля =20</w:t>
            </w:r>
          </w:p>
        </w:tc>
      </w:tr>
      <w:tr w:rsidR="00AD1F54" w:rsidRPr="00264D5D" w14:paraId="145F57E1" w14:textId="77777777" w:rsidTr="00AD1F54">
        <w:trPr>
          <w:cnfStyle w:val="000000010000" w:firstRow="0" w:lastRow="0" w:firstColumn="0" w:lastColumn="0" w:oddVBand="0" w:evenVBand="0" w:oddHBand="0" w:evenHBand="1" w:firstRowFirstColumn="0" w:firstRowLastColumn="0" w:lastRowFirstColumn="0" w:lastRowLastColumn="0"/>
          <w:trHeight w:val="300"/>
        </w:trPr>
        <w:tc>
          <w:tcPr>
            <w:tcW w:w="1703" w:type="dxa"/>
            <w:noWrap/>
          </w:tcPr>
          <w:p w14:paraId="095FA70B" w14:textId="77777777" w:rsidR="00AD1F54" w:rsidRPr="00264D5D" w:rsidRDefault="00941227">
            <w:pPr>
              <w:pStyle w:val="GOSTTablenorm"/>
              <w:rPr>
                <w:szCs w:val="22"/>
              </w:rPr>
            </w:pPr>
            <w:r w:rsidRPr="00264D5D">
              <w:rPr>
                <w:szCs w:val="22"/>
              </w:rPr>
              <w:t>Наименование банка</w:t>
            </w:r>
          </w:p>
        </w:tc>
        <w:tc>
          <w:tcPr>
            <w:tcW w:w="1701" w:type="dxa"/>
            <w:noWrap/>
          </w:tcPr>
          <w:p w14:paraId="35981961" w14:textId="77777777" w:rsidR="00AD1F54" w:rsidRPr="00264D5D" w:rsidRDefault="00941227">
            <w:pPr>
              <w:pStyle w:val="GOSTTablenorm"/>
              <w:rPr>
                <w:szCs w:val="22"/>
              </w:rPr>
            </w:pPr>
            <w:r w:rsidRPr="00264D5D">
              <w:rPr>
                <w:szCs w:val="22"/>
                <w:lang w:val="en-US"/>
              </w:rPr>
              <w:t>Nm</w:t>
            </w:r>
          </w:p>
        </w:tc>
        <w:tc>
          <w:tcPr>
            <w:tcW w:w="567" w:type="dxa"/>
            <w:noWrap/>
          </w:tcPr>
          <w:p w14:paraId="2712638C" w14:textId="77777777" w:rsidR="00AD1F54" w:rsidRPr="00264D5D" w:rsidRDefault="00941227">
            <w:pPr>
              <w:pStyle w:val="GOSTTablenorm"/>
              <w:jc w:val="center"/>
              <w:rPr>
                <w:szCs w:val="22"/>
              </w:rPr>
            </w:pPr>
            <w:r w:rsidRPr="00264D5D">
              <w:rPr>
                <w:szCs w:val="22"/>
              </w:rPr>
              <w:t>П</w:t>
            </w:r>
          </w:p>
        </w:tc>
        <w:tc>
          <w:tcPr>
            <w:tcW w:w="1134" w:type="dxa"/>
            <w:noWrap/>
          </w:tcPr>
          <w:p w14:paraId="0781CC60" w14:textId="77777777" w:rsidR="00AD1F54" w:rsidRPr="00264D5D" w:rsidRDefault="00941227">
            <w:pPr>
              <w:pStyle w:val="GOSTTablenorm"/>
              <w:rPr>
                <w:szCs w:val="22"/>
                <w:lang w:val="en-US"/>
              </w:rPr>
            </w:pPr>
            <w:r w:rsidRPr="00264D5D">
              <w:rPr>
                <w:szCs w:val="22"/>
                <w:lang w:val="en-US"/>
              </w:rPr>
              <w:t>Т(1-</w:t>
            </w:r>
            <w:r w:rsidRPr="00264D5D">
              <w:rPr>
                <w:szCs w:val="22"/>
              </w:rPr>
              <w:t>160</w:t>
            </w:r>
            <w:r w:rsidRPr="00264D5D">
              <w:rPr>
                <w:szCs w:val="22"/>
                <w:lang w:val="en-US"/>
              </w:rPr>
              <w:t>)</w:t>
            </w:r>
          </w:p>
        </w:tc>
        <w:tc>
          <w:tcPr>
            <w:tcW w:w="567" w:type="dxa"/>
          </w:tcPr>
          <w:p w14:paraId="198A428A" w14:textId="77777777" w:rsidR="00AD1F54" w:rsidRPr="00264D5D" w:rsidRDefault="00941227">
            <w:pPr>
              <w:pStyle w:val="GOSTTablenorm"/>
              <w:jc w:val="center"/>
              <w:rPr>
                <w:szCs w:val="22"/>
              </w:rPr>
            </w:pPr>
            <w:r w:rsidRPr="00264D5D">
              <w:rPr>
                <w:szCs w:val="22"/>
              </w:rPr>
              <w:t>О</w:t>
            </w:r>
          </w:p>
        </w:tc>
        <w:tc>
          <w:tcPr>
            <w:tcW w:w="3963" w:type="dxa"/>
            <w:noWrap/>
          </w:tcPr>
          <w:p w14:paraId="68275C6E" w14:textId="77777777" w:rsidR="00AD1F54" w:rsidRPr="00264D5D" w:rsidRDefault="00941227">
            <w:pPr>
              <w:pStyle w:val="GOSTTablenorm"/>
              <w:rPr>
                <w:szCs w:val="22"/>
              </w:rPr>
            </w:pPr>
            <w:r w:rsidRPr="00264D5D">
              <w:rPr>
                <w:szCs w:val="22"/>
              </w:rPr>
              <w:t>Указывается:</w:t>
            </w:r>
          </w:p>
          <w:p w14:paraId="4911DFEC" w14:textId="77777777" w:rsidR="00AD1F54" w:rsidRPr="00264D5D" w:rsidRDefault="00941227" w:rsidP="00E7460C">
            <w:pPr>
              <w:pStyle w:val="af5"/>
              <w:numPr>
                <w:ilvl w:val="0"/>
                <w:numId w:val="86"/>
              </w:numPr>
              <w:spacing w:before="60" w:after="60"/>
              <w:ind w:left="284" w:hanging="227"/>
              <w:contextualSpacing/>
              <w:jc w:val="both"/>
              <w:rPr>
                <w:sz w:val="22"/>
                <w:szCs w:val="22"/>
              </w:rPr>
            </w:pPr>
            <w:r w:rsidRPr="00264D5D">
              <w:rPr>
                <w:sz w:val="22"/>
                <w:szCs w:val="22"/>
              </w:rPr>
              <w:t>наименование банка, обслуживающего ТОФК получателя, знак «//», сокращенное наименование и место нахождения ТОФК получателя, если получатель платежа является участником СКП;</w:t>
            </w:r>
          </w:p>
          <w:p w14:paraId="4DC83328" w14:textId="77777777" w:rsidR="00AD1F54" w:rsidRPr="00264D5D" w:rsidRDefault="00941227" w:rsidP="00E7460C">
            <w:pPr>
              <w:pStyle w:val="af5"/>
              <w:numPr>
                <w:ilvl w:val="0"/>
                <w:numId w:val="86"/>
              </w:numPr>
              <w:spacing w:before="60" w:after="60"/>
              <w:ind w:left="284" w:hanging="227"/>
              <w:contextualSpacing/>
              <w:jc w:val="both"/>
              <w:rPr>
                <w:sz w:val="22"/>
                <w:szCs w:val="22"/>
              </w:rPr>
            </w:pPr>
            <w:r w:rsidRPr="00264D5D">
              <w:rPr>
                <w:sz w:val="22"/>
                <w:szCs w:val="22"/>
              </w:rPr>
              <w:t xml:space="preserve"> наименование банка, в котором</w:t>
            </w:r>
            <w:r w:rsidR="00CE031E" w:rsidRPr="00264D5D">
              <w:rPr>
                <w:sz w:val="22"/>
                <w:szCs w:val="22"/>
              </w:rPr>
              <w:t xml:space="preserve"> открыт счет получателя платежа</w:t>
            </w:r>
          </w:p>
        </w:tc>
      </w:tr>
      <w:tr w:rsidR="00AD1F54" w:rsidRPr="00264D5D" w14:paraId="7BEE2163" w14:textId="77777777" w:rsidTr="00AD1F54">
        <w:trPr>
          <w:cnfStyle w:val="000000100000" w:firstRow="0" w:lastRow="0" w:firstColumn="0" w:lastColumn="0" w:oddVBand="0" w:evenVBand="0" w:oddHBand="1" w:evenHBand="0" w:firstRowFirstColumn="0" w:firstRowLastColumn="0" w:lastRowFirstColumn="0" w:lastRowLastColumn="0"/>
          <w:trHeight w:val="300"/>
        </w:trPr>
        <w:tc>
          <w:tcPr>
            <w:tcW w:w="1703" w:type="dxa"/>
            <w:noWrap/>
          </w:tcPr>
          <w:p w14:paraId="28BB1E1E" w14:textId="77777777" w:rsidR="00AD1F54" w:rsidRPr="00264D5D" w:rsidRDefault="00941227">
            <w:pPr>
              <w:pStyle w:val="GOSTTablenorm"/>
              <w:rPr>
                <w:szCs w:val="22"/>
              </w:rPr>
            </w:pPr>
            <w:r w:rsidRPr="00264D5D">
              <w:rPr>
                <w:szCs w:val="22"/>
              </w:rPr>
              <w:t>БИК банка/ТОФК</w:t>
            </w:r>
          </w:p>
        </w:tc>
        <w:tc>
          <w:tcPr>
            <w:tcW w:w="1701" w:type="dxa"/>
            <w:noWrap/>
          </w:tcPr>
          <w:p w14:paraId="2D7F3466" w14:textId="77777777" w:rsidR="00AD1F54" w:rsidRPr="00264D5D" w:rsidRDefault="00941227">
            <w:pPr>
              <w:pStyle w:val="GOSTTablenorm"/>
              <w:rPr>
                <w:szCs w:val="22"/>
              </w:rPr>
            </w:pPr>
            <w:r w:rsidRPr="00264D5D">
              <w:rPr>
                <w:szCs w:val="22"/>
              </w:rPr>
              <w:t>BIK</w:t>
            </w:r>
          </w:p>
        </w:tc>
        <w:tc>
          <w:tcPr>
            <w:tcW w:w="567" w:type="dxa"/>
            <w:noWrap/>
          </w:tcPr>
          <w:p w14:paraId="0409FC2F" w14:textId="77777777" w:rsidR="00AD1F54" w:rsidRPr="00264D5D" w:rsidRDefault="00941227">
            <w:pPr>
              <w:pStyle w:val="GOSTTablenorm"/>
              <w:jc w:val="center"/>
              <w:rPr>
                <w:szCs w:val="22"/>
              </w:rPr>
            </w:pPr>
            <w:r w:rsidRPr="00264D5D">
              <w:rPr>
                <w:szCs w:val="22"/>
              </w:rPr>
              <w:t>П</w:t>
            </w:r>
          </w:p>
        </w:tc>
        <w:tc>
          <w:tcPr>
            <w:tcW w:w="1134" w:type="dxa"/>
            <w:noWrap/>
          </w:tcPr>
          <w:p w14:paraId="0E1C435C" w14:textId="77777777" w:rsidR="00AD1F54" w:rsidRPr="00264D5D" w:rsidRDefault="00941227">
            <w:pPr>
              <w:pStyle w:val="GOSTTablenorm"/>
              <w:rPr>
                <w:szCs w:val="22"/>
                <w:lang w:val="en-US"/>
              </w:rPr>
            </w:pPr>
            <w:r w:rsidRPr="00264D5D">
              <w:rPr>
                <w:szCs w:val="22"/>
                <w:lang w:val="en-US"/>
              </w:rPr>
              <w:t>Т(</w:t>
            </w:r>
            <w:r w:rsidRPr="00264D5D">
              <w:rPr>
                <w:szCs w:val="22"/>
              </w:rPr>
              <w:t>9</w:t>
            </w:r>
            <w:r w:rsidRPr="00264D5D">
              <w:rPr>
                <w:szCs w:val="22"/>
                <w:lang w:val="en-US"/>
              </w:rPr>
              <w:t>)</w:t>
            </w:r>
          </w:p>
        </w:tc>
        <w:tc>
          <w:tcPr>
            <w:tcW w:w="567" w:type="dxa"/>
          </w:tcPr>
          <w:p w14:paraId="6D50E14F" w14:textId="77777777" w:rsidR="00AD1F54" w:rsidRPr="00264D5D" w:rsidRDefault="00941227">
            <w:pPr>
              <w:pStyle w:val="GOSTTablenorm"/>
              <w:jc w:val="center"/>
              <w:rPr>
                <w:szCs w:val="22"/>
              </w:rPr>
            </w:pPr>
            <w:r w:rsidRPr="00264D5D">
              <w:rPr>
                <w:szCs w:val="22"/>
              </w:rPr>
              <w:t>Н</w:t>
            </w:r>
          </w:p>
        </w:tc>
        <w:tc>
          <w:tcPr>
            <w:tcW w:w="3963" w:type="dxa"/>
            <w:noWrap/>
          </w:tcPr>
          <w:p w14:paraId="52E07914" w14:textId="77777777" w:rsidR="00AD1F54" w:rsidRPr="00264D5D" w:rsidRDefault="00941227">
            <w:pPr>
              <w:spacing w:before="60" w:after="60"/>
              <w:rPr>
                <w:sz w:val="22"/>
                <w:szCs w:val="22"/>
              </w:rPr>
            </w:pPr>
            <w:r w:rsidRPr="00264D5D">
              <w:rPr>
                <w:sz w:val="22"/>
                <w:szCs w:val="22"/>
              </w:rPr>
              <w:t>Указывается:</w:t>
            </w:r>
          </w:p>
          <w:p w14:paraId="0891C4F8" w14:textId="77777777" w:rsidR="00AD1F54" w:rsidRPr="00264D5D" w:rsidRDefault="00941227" w:rsidP="00E7460C">
            <w:pPr>
              <w:pStyle w:val="af5"/>
              <w:numPr>
                <w:ilvl w:val="0"/>
                <w:numId w:val="86"/>
              </w:numPr>
              <w:spacing w:before="60" w:after="60"/>
              <w:ind w:left="284" w:hanging="227"/>
              <w:contextualSpacing/>
              <w:jc w:val="both"/>
              <w:rPr>
                <w:sz w:val="22"/>
                <w:szCs w:val="22"/>
              </w:rPr>
            </w:pPr>
            <w:r w:rsidRPr="00264D5D">
              <w:rPr>
                <w:sz w:val="22"/>
                <w:szCs w:val="22"/>
              </w:rPr>
              <w:t>БИК ТОФК, если получатель денежных средств обслуживается в ТОФК;</w:t>
            </w:r>
          </w:p>
          <w:p w14:paraId="5B3E0342" w14:textId="77777777" w:rsidR="00AD1F54" w:rsidRPr="00264D5D" w:rsidRDefault="00941227" w:rsidP="00E7460C">
            <w:pPr>
              <w:pStyle w:val="af5"/>
              <w:numPr>
                <w:ilvl w:val="0"/>
                <w:numId w:val="86"/>
              </w:numPr>
              <w:spacing w:before="60" w:after="60"/>
              <w:ind w:left="284" w:hanging="227"/>
              <w:contextualSpacing/>
              <w:jc w:val="both"/>
              <w:rPr>
                <w:sz w:val="22"/>
                <w:szCs w:val="22"/>
              </w:rPr>
            </w:pPr>
            <w:r w:rsidRPr="00264D5D">
              <w:rPr>
                <w:sz w:val="22"/>
                <w:szCs w:val="22"/>
              </w:rPr>
              <w:t>БИК банка, в котором открыт счет получателя платежа, в иных случаях.</w:t>
            </w:r>
          </w:p>
          <w:p w14:paraId="750FD869" w14:textId="77777777" w:rsidR="00AD1F54" w:rsidRPr="00264D5D" w:rsidRDefault="00941227">
            <w:pPr>
              <w:pStyle w:val="GOSTTablenorm"/>
              <w:rPr>
                <w:szCs w:val="22"/>
              </w:rPr>
            </w:pPr>
            <w:r w:rsidRPr="00264D5D">
              <w:rPr>
                <w:szCs w:val="22"/>
              </w:rPr>
              <w:t>Обязательно для заполнения при оформле</w:t>
            </w:r>
            <w:r w:rsidR="00CE031E" w:rsidRPr="00264D5D">
              <w:rPr>
                <w:szCs w:val="22"/>
              </w:rPr>
              <w:t xml:space="preserve">нии Заявки в валюте РФ </w:t>
            </w:r>
            <w:r w:rsidR="00CE031E" w:rsidRPr="00264D5D">
              <w:rPr>
                <w:szCs w:val="22"/>
              </w:rPr>
              <w:lastRenderedPageBreak/>
              <w:t>(рублях)</w:t>
            </w:r>
          </w:p>
        </w:tc>
      </w:tr>
      <w:tr w:rsidR="00AD1F54" w:rsidRPr="00264D5D" w14:paraId="530E363B" w14:textId="77777777" w:rsidTr="00AD1F54">
        <w:trPr>
          <w:cnfStyle w:val="000000010000" w:firstRow="0" w:lastRow="0" w:firstColumn="0" w:lastColumn="0" w:oddVBand="0" w:evenVBand="0" w:oddHBand="0" w:evenHBand="1" w:firstRowFirstColumn="0" w:firstRowLastColumn="0" w:lastRowFirstColumn="0" w:lastRowLastColumn="0"/>
          <w:trHeight w:val="300"/>
        </w:trPr>
        <w:tc>
          <w:tcPr>
            <w:tcW w:w="1703" w:type="dxa"/>
            <w:noWrap/>
          </w:tcPr>
          <w:p w14:paraId="7983CCDF" w14:textId="77777777" w:rsidR="00AD1F54" w:rsidRPr="00264D5D" w:rsidRDefault="00941227">
            <w:pPr>
              <w:pStyle w:val="GOSTTablenorm"/>
              <w:rPr>
                <w:szCs w:val="22"/>
              </w:rPr>
            </w:pPr>
            <w:r w:rsidRPr="00264D5D">
              <w:rPr>
                <w:szCs w:val="22"/>
              </w:rPr>
              <w:lastRenderedPageBreak/>
              <w:t>Корсчет банка контрагента/ТОФК</w:t>
            </w:r>
          </w:p>
        </w:tc>
        <w:tc>
          <w:tcPr>
            <w:tcW w:w="1701" w:type="dxa"/>
            <w:noWrap/>
          </w:tcPr>
          <w:p w14:paraId="5057753B" w14:textId="77777777" w:rsidR="00AD1F54" w:rsidRPr="00264D5D" w:rsidRDefault="00941227">
            <w:pPr>
              <w:pStyle w:val="GOSTTablenorm"/>
              <w:rPr>
                <w:szCs w:val="22"/>
              </w:rPr>
            </w:pPr>
            <w:r w:rsidRPr="00264D5D">
              <w:rPr>
                <w:szCs w:val="22"/>
              </w:rPr>
              <w:t>CrAccNm</w:t>
            </w:r>
          </w:p>
        </w:tc>
        <w:tc>
          <w:tcPr>
            <w:tcW w:w="567" w:type="dxa"/>
            <w:noWrap/>
          </w:tcPr>
          <w:p w14:paraId="463939C4" w14:textId="77777777" w:rsidR="00AD1F54" w:rsidRPr="00264D5D" w:rsidRDefault="00941227">
            <w:pPr>
              <w:pStyle w:val="GOSTTablenorm"/>
              <w:jc w:val="center"/>
              <w:rPr>
                <w:szCs w:val="22"/>
              </w:rPr>
            </w:pPr>
            <w:r w:rsidRPr="00264D5D">
              <w:rPr>
                <w:szCs w:val="22"/>
              </w:rPr>
              <w:t>П</w:t>
            </w:r>
          </w:p>
        </w:tc>
        <w:tc>
          <w:tcPr>
            <w:tcW w:w="1134" w:type="dxa"/>
            <w:noWrap/>
          </w:tcPr>
          <w:p w14:paraId="1C69EC2C" w14:textId="77777777" w:rsidR="00AD1F54" w:rsidRPr="00264D5D" w:rsidRDefault="00941227">
            <w:pPr>
              <w:pStyle w:val="GOSTTablenorm"/>
              <w:rPr>
                <w:szCs w:val="22"/>
                <w:lang w:val="en-US"/>
              </w:rPr>
            </w:pPr>
            <w:r w:rsidRPr="00264D5D">
              <w:rPr>
                <w:szCs w:val="22"/>
                <w:lang w:val="en-US"/>
              </w:rPr>
              <w:t>Т(1-3</w:t>
            </w:r>
            <w:r w:rsidRPr="00264D5D">
              <w:rPr>
                <w:szCs w:val="22"/>
              </w:rPr>
              <w:t>4</w:t>
            </w:r>
            <w:r w:rsidRPr="00264D5D">
              <w:rPr>
                <w:szCs w:val="22"/>
                <w:lang w:val="en-US"/>
              </w:rPr>
              <w:t>)</w:t>
            </w:r>
          </w:p>
        </w:tc>
        <w:tc>
          <w:tcPr>
            <w:tcW w:w="567" w:type="dxa"/>
          </w:tcPr>
          <w:p w14:paraId="269610E7" w14:textId="77777777" w:rsidR="00AD1F54" w:rsidRPr="00264D5D" w:rsidRDefault="00941227">
            <w:pPr>
              <w:pStyle w:val="GOSTTablenorm"/>
              <w:jc w:val="center"/>
              <w:rPr>
                <w:szCs w:val="22"/>
              </w:rPr>
            </w:pPr>
            <w:r w:rsidRPr="00264D5D">
              <w:rPr>
                <w:szCs w:val="22"/>
              </w:rPr>
              <w:t>Н</w:t>
            </w:r>
          </w:p>
        </w:tc>
        <w:tc>
          <w:tcPr>
            <w:tcW w:w="3963" w:type="dxa"/>
            <w:noWrap/>
          </w:tcPr>
          <w:p w14:paraId="66133B3E" w14:textId="77777777" w:rsidR="00AD1F54" w:rsidRPr="00264D5D" w:rsidRDefault="00941227">
            <w:pPr>
              <w:spacing w:before="60" w:after="60"/>
              <w:rPr>
                <w:sz w:val="22"/>
                <w:szCs w:val="22"/>
              </w:rPr>
            </w:pPr>
            <w:r w:rsidRPr="00264D5D">
              <w:rPr>
                <w:sz w:val="22"/>
                <w:szCs w:val="22"/>
              </w:rPr>
              <w:t>Указывается:</w:t>
            </w:r>
          </w:p>
          <w:p w14:paraId="0AD4A4C0" w14:textId="77777777" w:rsidR="00AD1F54" w:rsidRPr="00264D5D" w:rsidRDefault="00941227" w:rsidP="00E7460C">
            <w:pPr>
              <w:pStyle w:val="af5"/>
              <w:numPr>
                <w:ilvl w:val="0"/>
                <w:numId w:val="86"/>
              </w:numPr>
              <w:spacing w:before="60" w:after="60"/>
              <w:ind w:left="284" w:hanging="227"/>
              <w:contextualSpacing/>
              <w:jc w:val="both"/>
              <w:rPr>
                <w:sz w:val="22"/>
                <w:szCs w:val="22"/>
              </w:rPr>
            </w:pPr>
            <w:r w:rsidRPr="00264D5D">
              <w:rPr>
                <w:sz w:val="22"/>
                <w:szCs w:val="22"/>
              </w:rPr>
              <w:t>корсчет ТОФК, в котором обслуживается получатель денежных средств;</w:t>
            </w:r>
          </w:p>
          <w:p w14:paraId="1AC10A75" w14:textId="77777777" w:rsidR="00AD1F54" w:rsidRPr="00264D5D" w:rsidRDefault="00941227" w:rsidP="00E7460C">
            <w:pPr>
              <w:pStyle w:val="af5"/>
              <w:numPr>
                <w:ilvl w:val="0"/>
                <w:numId w:val="86"/>
              </w:numPr>
              <w:spacing w:before="60" w:after="60"/>
              <w:ind w:left="284" w:hanging="227"/>
              <w:contextualSpacing/>
              <w:jc w:val="both"/>
              <w:rPr>
                <w:sz w:val="22"/>
                <w:szCs w:val="22"/>
              </w:rPr>
            </w:pPr>
            <w:r w:rsidRPr="00264D5D">
              <w:rPr>
                <w:sz w:val="22"/>
                <w:szCs w:val="22"/>
              </w:rPr>
              <w:t xml:space="preserve">корсчет банка получателя платежа, в иных случаях. </w:t>
            </w:r>
          </w:p>
          <w:p w14:paraId="7ABAE086" w14:textId="77777777" w:rsidR="00AD1F54" w:rsidRPr="00264D5D" w:rsidRDefault="00941227">
            <w:pPr>
              <w:pStyle w:val="GOSTTablenorm"/>
              <w:rPr>
                <w:szCs w:val="22"/>
              </w:rPr>
            </w:pPr>
            <w:r w:rsidRPr="00264D5D">
              <w:rPr>
                <w:szCs w:val="22"/>
              </w:rPr>
              <w:t xml:space="preserve">Поле заполняется, если банк Получателя не является ГРКЦ/РКЦ. </w:t>
            </w:r>
          </w:p>
          <w:p w14:paraId="6E447375" w14:textId="77777777" w:rsidR="00AD1F54" w:rsidRPr="00264D5D" w:rsidRDefault="00941227">
            <w:pPr>
              <w:pStyle w:val="GOSTTablenorm"/>
              <w:rPr>
                <w:szCs w:val="22"/>
              </w:rPr>
            </w:pPr>
            <w:r w:rsidRPr="00264D5D">
              <w:rPr>
                <w:szCs w:val="22"/>
              </w:rPr>
              <w:t xml:space="preserve">Если реквизит «Код валюты» имеет значение </w:t>
            </w:r>
            <w:r w:rsidR="00CE031E" w:rsidRPr="00264D5D">
              <w:rPr>
                <w:szCs w:val="22"/>
              </w:rPr>
              <w:t>равное «643», то длина поля =20</w:t>
            </w:r>
          </w:p>
        </w:tc>
      </w:tr>
    </w:tbl>
    <w:p w14:paraId="63435078" w14:textId="77777777" w:rsidR="00AD1F54" w:rsidRPr="00264D5D" w:rsidRDefault="00941227">
      <w:pPr>
        <w:pStyle w:val="31"/>
      </w:pPr>
      <w:bookmarkStart w:id="1280" w:name="_Toc776857"/>
      <w:bookmarkStart w:id="1281" w:name="_Toc1469455"/>
      <w:bookmarkStart w:id="1282" w:name="_Toc219309582"/>
      <w:r w:rsidRPr="00264D5D">
        <w:t>Описание комплексного типа «tMSC_Infrmtn»</w:t>
      </w:r>
      <w:bookmarkEnd w:id="1280"/>
      <w:bookmarkEnd w:id="1281"/>
      <w:bookmarkEnd w:id="1282"/>
    </w:p>
    <w:p w14:paraId="28730009" w14:textId="77777777" w:rsidR="00AD1F54" w:rsidRPr="00264D5D" w:rsidRDefault="00941227">
      <w:pPr>
        <w:pStyle w:val="ASFKNormal"/>
        <w:spacing w:before="60" w:after="120"/>
        <w:jc w:val="both"/>
        <w:rPr>
          <w:sz w:val="24"/>
        </w:rPr>
      </w:pPr>
      <w:r w:rsidRPr="00264D5D">
        <w:rPr>
          <w:sz w:val="24"/>
        </w:rPr>
        <w:t>Описание комплексного типа «tMSC_Infrmtn» блока «Системная информация документа».</w:t>
      </w:r>
    </w:p>
    <w:p w14:paraId="5ED51715" w14:textId="39E5BB15" w:rsidR="00AD1F54" w:rsidRPr="00264D5D" w:rsidRDefault="00941227">
      <w:pPr>
        <w:pStyle w:val="GOSTNameTable"/>
        <w:numPr>
          <w:ilvl w:val="0"/>
          <w:numId w:val="2"/>
        </w:numPr>
        <w:ind w:left="425" w:hanging="357"/>
        <w:rPr>
          <w:rFonts w:eastAsia="Calibri"/>
        </w:rPr>
      </w:pPr>
      <w:r w:rsidRPr="00264D5D">
        <w:rPr>
          <w:rFonts w:eastAsia="Calibri"/>
        </w:rPr>
        <w:fldChar w:fldCharType="begin"/>
      </w:r>
      <w:r w:rsidRPr="00264D5D">
        <w:rPr>
          <w:rFonts w:eastAsia="Calibri"/>
        </w:rPr>
        <w:instrText xml:space="preserve"> SEQ Таблица \* ARABIC </w:instrText>
      </w:r>
      <w:r w:rsidRPr="00264D5D">
        <w:rPr>
          <w:rFonts w:eastAsia="Calibri"/>
        </w:rPr>
        <w:fldChar w:fldCharType="separate"/>
      </w:r>
      <w:bookmarkStart w:id="1283" w:name="_Ref529351121"/>
      <w:bookmarkStart w:id="1284" w:name="_Toc776414"/>
      <w:bookmarkStart w:id="1285" w:name="_Toc219309165"/>
      <w:r w:rsidR="008D797C">
        <w:rPr>
          <w:rFonts w:eastAsia="Calibri"/>
          <w:noProof/>
        </w:rPr>
        <w:t>135</w:t>
      </w:r>
      <w:bookmarkEnd w:id="1283"/>
      <w:r w:rsidRPr="00264D5D">
        <w:rPr>
          <w:rFonts w:eastAsia="Calibri"/>
        </w:rPr>
        <w:fldChar w:fldCharType="end"/>
      </w:r>
      <w:r w:rsidRPr="00264D5D">
        <w:rPr>
          <w:rFonts w:eastAsia="Calibri"/>
          <w:szCs w:val="24"/>
        </w:rPr>
        <w:t xml:space="preserve"> – </w:t>
      </w:r>
      <w:r w:rsidRPr="00264D5D">
        <w:rPr>
          <w:rFonts w:eastAsia="Calibri"/>
        </w:rPr>
        <w:t xml:space="preserve">Описание комплексного типа </w:t>
      </w:r>
      <w:r w:rsidRPr="00264D5D">
        <w:rPr>
          <w:rFonts w:eastAsia="Calibri"/>
          <w:szCs w:val="24"/>
        </w:rPr>
        <w:t>«</w:t>
      </w:r>
      <w:r w:rsidRPr="00264D5D">
        <w:rPr>
          <w:szCs w:val="24"/>
        </w:rPr>
        <w:t>tMSC_Infrmtn</w:t>
      </w:r>
      <w:r w:rsidRPr="00264D5D">
        <w:rPr>
          <w:rFonts w:eastAsia="Calibri"/>
          <w:szCs w:val="24"/>
        </w:rPr>
        <w:t>»</w:t>
      </w:r>
      <w:bookmarkEnd w:id="1284"/>
      <w:bookmarkEnd w:id="1285"/>
    </w:p>
    <w:tbl>
      <w:tblPr>
        <w:tblStyle w:val="GOSTTable"/>
        <w:tblW w:w="5000" w:type="pct"/>
        <w:tblLayout w:type="fixed"/>
        <w:tblLook w:val="01E0" w:firstRow="1" w:lastRow="1" w:firstColumn="1" w:lastColumn="1" w:noHBand="0" w:noVBand="0"/>
      </w:tblPr>
      <w:tblGrid>
        <w:gridCol w:w="1704"/>
        <w:gridCol w:w="1704"/>
        <w:gridCol w:w="568"/>
        <w:gridCol w:w="1136"/>
        <w:gridCol w:w="568"/>
        <w:gridCol w:w="3970"/>
      </w:tblGrid>
      <w:tr w:rsidR="00AD1F54" w:rsidRPr="00264D5D" w14:paraId="4D4C6176"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0" w:type="dxa"/>
          </w:tcPr>
          <w:p w14:paraId="2FE37B37" w14:textId="77777777" w:rsidR="00AD1F54" w:rsidRPr="00264D5D" w:rsidRDefault="00941227">
            <w:pPr>
              <w:pStyle w:val="GOSTTableHead"/>
            </w:pPr>
            <w:r w:rsidRPr="00264D5D">
              <w:t>Наименование элемента</w:t>
            </w:r>
          </w:p>
        </w:tc>
        <w:tc>
          <w:tcPr>
            <w:tcW w:w="1701" w:type="dxa"/>
          </w:tcPr>
          <w:p w14:paraId="44FAA6C0" w14:textId="77777777" w:rsidR="00AD1F54" w:rsidRPr="00264D5D" w:rsidRDefault="00941227">
            <w:pPr>
              <w:pStyle w:val="GOSTTableHead"/>
            </w:pPr>
            <w:r w:rsidRPr="00264D5D">
              <w:t>Сокращенное наименование (код) элемента</w:t>
            </w:r>
          </w:p>
        </w:tc>
        <w:tc>
          <w:tcPr>
            <w:tcW w:w="567" w:type="dxa"/>
          </w:tcPr>
          <w:p w14:paraId="5EDBEF50" w14:textId="77777777" w:rsidR="00AD1F54" w:rsidRPr="00264D5D" w:rsidRDefault="00941227">
            <w:pPr>
              <w:pStyle w:val="GOSTTableHead"/>
            </w:pPr>
            <w:r w:rsidRPr="00264D5D">
              <w:t>Тип</w:t>
            </w:r>
          </w:p>
        </w:tc>
        <w:tc>
          <w:tcPr>
            <w:tcW w:w="1134" w:type="dxa"/>
          </w:tcPr>
          <w:p w14:paraId="3678A88E" w14:textId="77777777" w:rsidR="00AD1F54" w:rsidRPr="00264D5D" w:rsidRDefault="00941227">
            <w:pPr>
              <w:pStyle w:val="GOSTTableHead"/>
            </w:pPr>
            <w:r w:rsidRPr="00264D5D">
              <w:t>Формат элемента</w:t>
            </w:r>
          </w:p>
        </w:tc>
        <w:tc>
          <w:tcPr>
            <w:tcW w:w="567" w:type="dxa"/>
          </w:tcPr>
          <w:p w14:paraId="4DE716EB" w14:textId="77777777" w:rsidR="00AD1F54" w:rsidRPr="00264D5D" w:rsidRDefault="00941227">
            <w:pPr>
              <w:pStyle w:val="GOSTTableHead"/>
            </w:pPr>
            <w:r w:rsidRPr="00264D5D">
              <w:t>Обязательность</w:t>
            </w:r>
          </w:p>
        </w:tc>
        <w:tc>
          <w:tcPr>
            <w:tcW w:w="3963" w:type="dxa"/>
          </w:tcPr>
          <w:p w14:paraId="35670C37" w14:textId="77777777" w:rsidR="00AD1F54" w:rsidRPr="00264D5D" w:rsidRDefault="00941227">
            <w:pPr>
              <w:pStyle w:val="GOSTTableHead"/>
            </w:pPr>
            <w:r w:rsidRPr="00264D5D">
              <w:t>Дополнительная информация</w:t>
            </w:r>
          </w:p>
        </w:tc>
      </w:tr>
      <w:tr w:rsidR="00AD1F54" w:rsidRPr="00264D5D" w14:paraId="013F4DAE" w14:textId="77777777" w:rsidTr="00AD1F54">
        <w:trPr>
          <w:cnfStyle w:val="000000100000" w:firstRow="0" w:lastRow="0" w:firstColumn="0" w:lastColumn="0" w:oddVBand="0" w:evenVBand="0" w:oddHBand="1" w:evenHBand="0" w:firstRowFirstColumn="0" w:firstRowLastColumn="0" w:lastRowFirstColumn="0" w:lastRowLastColumn="0"/>
        </w:trPr>
        <w:tc>
          <w:tcPr>
            <w:tcW w:w="1700" w:type="dxa"/>
          </w:tcPr>
          <w:p w14:paraId="0643D0A6" w14:textId="77777777" w:rsidR="00AD1F54" w:rsidRPr="00264D5D" w:rsidRDefault="00941227">
            <w:pPr>
              <w:pStyle w:val="GOSTTablenorm"/>
            </w:pPr>
            <w:r w:rsidRPr="00264D5D">
              <w:t>Глобальный уникальный идентификатор</w:t>
            </w:r>
          </w:p>
        </w:tc>
        <w:tc>
          <w:tcPr>
            <w:tcW w:w="1701" w:type="dxa"/>
          </w:tcPr>
          <w:p w14:paraId="72A82F8B" w14:textId="77777777" w:rsidR="00AD1F54" w:rsidRPr="00264D5D" w:rsidRDefault="00941227">
            <w:pPr>
              <w:pStyle w:val="GOSTTablenorm"/>
            </w:pPr>
            <w:r w:rsidRPr="00264D5D">
              <w:t xml:space="preserve"> GUID</w:t>
            </w:r>
          </w:p>
        </w:tc>
        <w:tc>
          <w:tcPr>
            <w:tcW w:w="567" w:type="dxa"/>
          </w:tcPr>
          <w:p w14:paraId="3934CD06" w14:textId="77777777" w:rsidR="00AD1F54" w:rsidRPr="00264D5D" w:rsidRDefault="00941227">
            <w:pPr>
              <w:pStyle w:val="GOSTTablenorm"/>
              <w:jc w:val="center"/>
            </w:pPr>
            <w:r w:rsidRPr="00264D5D">
              <w:t>П</w:t>
            </w:r>
          </w:p>
        </w:tc>
        <w:tc>
          <w:tcPr>
            <w:tcW w:w="1134" w:type="dxa"/>
          </w:tcPr>
          <w:p w14:paraId="39AA3DD1" w14:textId="77777777" w:rsidR="00AD1F54" w:rsidRPr="00264D5D" w:rsidRDefault="00941227">
            <w:pPr>
              <w:pStyle w:val="GOSTTablenorm"/>
              <w:rPr>
                <w:lang w:val="en-US"/>
              </w:rPr>
            </w:pPr>
            <w:r w:rsidRPr="00264D5D">
              <w:t>GUID</w:t>
            </w:r>
          </w:p>
        </w:tc>
        <w:tc>
          <w:tcPr>
            <w:tcW w:w="567" w:type="dxa"/>
          </w:tcPr>
          <w:p w14:paraId="53123E36" w14:textId="77777777" w:rsidR="00AD1F54" w:rsidRPr="00264D5D" w:rsidRDefault="00941227">
            <w:pPr>
              <w:pStyle w:val="GOSTTablenorm"/>
              <w:jc w:val="center"/>
              <w:rPr>
                <w:lang w:val="en-US"/>
              </w:rPr>
            </w:pPr>
            <w:r w:rsidRPr="00264D5D">
              <w:t>О</w:t>
            </w:r>
          </w:p>
        </w:tc>
        <w:tc>
          <w:tcPr>
            <w:tcW w:w="3963" w:type="dxa"/>
          </w:tcPr>
          <w:p w14:paraId="7DE97BCC" w14:textId="77777777" w:rsidR="00AD1F54" w:rsidRPr="00264D5D" w:rsidRDefault="00941227">
            <w:pPr>
              <w:pStyle w:val="GOSTTablenorm"/>
            </w:pPr>
            <w:r w:rsidRPr="00264D5D">
              <w:t>Слу</w:t>
            </w:r>
            <w:r w:rsidR="00CE031E" w:rsidRPr="00264D5D">
              <w:t>жебное поле, заполняется в ТОФК</w:t>
            </w:r>
          </w:p>
        </w:tc>
      </w:tr>
      <w:tr w:rsidR="00AD1F54" w:rsidRPr="00264D5D" w14:paraId="2BB10FE3" w14:textId="77777777" w:rsidTr="00AD1F54">
        <w:trPr>
          <w:cnfStyle w:val="000000010000" w:firstRow="0" w:lastRow="0" w:firstColumn="0" w:lastColumn="0" w:oddVBand="0" w:evenVBand="0" w:oddHBand="0" w:evenHBand="1" w:firstRowFirstColumn="0" w:firstRowLastColumn="0" w:lastRowFirstColumn="0" w:lastRowLastColumn="0"/>
          <w:trHeight w:val="77"/>
        </w:trPr>
        <w:tc>
          <w:tcPr>
            <w:tcW w:w="1700" w:type="dxa"/>
          </w:tcPr>
          <w:p w14:paraId="7493B665" w14:textId="77777777" w:rsidR="00AD1F54" w:rsidRPr="00264D5D" w:rsidRDefault="00941227">
            <w:pPr>
              <w:pStyle w:val="GOSTTablenorm"/>
            </w:pPr>
            <w:r w:rsidRPr="00264D5D">
              <w:t>Дата документа</w:t>
            </w:r>
          </w:p>
        </w:tc>
        <w:tc>
          <w:tcPr>
            <w:tcW w:w="1701" w:type="dxa"/>
          </w:tcPr>
          <w:p w14:paraId="61C924A5" w14:textId="77777777" w:rsidR="00AD1F54" w:rsidRPr="00264D5D" w:rsidRDefault="00941227">
            <w:pPr>
              <w:pStyle w:val="GOSTTablenorm"/>
            </w:pPr>
            <w:r w:rsidRPr="00264D5D">
              <w:rPr>
                <w:lang w:val="en-US"/>
              </w:rPr>
              <w:t>CrtnDt</w:t>
            </w:r>
          </w:p>
        </w:tc>
        <w:tc>
          <w:tcPr>
            <w:tcW w:w="567" w:type="dxa"/>
          </w:tcPr>
          <w:p w14:paraId="7C8FBF28" w14:textId="77777777" w:rsidR="00AD1F54" w:rsidRPr="00264D5D" w:rsidRDefault="00941227">
            <w:pPr>
              <w:pStyle w:val="GOSTTablenorm"/>
              <w:jc w:val="center"/>
            </w:pPr>
            <w:r w:rsidRPr="00264D5D">
              <w:t>П</w:t>
            </w:r>
          </w:p>
        </w:tc>
        <w:tc>
          <w:tcPr>
            <w:tcW w:w="1134" w:type="dxa"/>
          </w:tcPr>
          <w:p w14:paraId="31A54CFB" w14:textId="77777777" w:rsidR="00AD1F54" w:rsidRPr="00264D5D" w:rsidRDefault="00941227">
            <w:pPr>
              <w:pStyle w:val="GOSTTablenorm"/>
            </w:pPr>
            <w:r w:rsidRPr="00264D5D">
              <w:rPr>
                <w:szCs w:val="22"/>
                <w:lang w:val="en-US"/>
              </w:rPr>
              <w:t>Date</w:t>
            </w:r>
          </w:p>
        </w:tc>
        <w:tc>
          <w:tcPr>
            <w:tcW w:w="567" w:type="dxa"/>
          </w:tcPr>
          <w:p w14:paraId="2D86FEF1" w14:textId="77777777" w:rsidR="00AD1F54" w:rsidRPr="00264D5D" w:rsidRDefault="00941227">
            <w:pPr>
              <w:pStyle w:val="GOSTTablenorm"/>
              <w:jc w:val="center"/>
            </w:pPr>
            <w:r w:rsidRPr="00264D5D">
              <w:t>О</w:t>
            </w:r>
          </w:p>
        </w:tc>
        <w:tc>
          <w:tcPr>
            <w:tcW w:w="3963" w:type="dxa"/>
          </w:tcPr>
          <w:p w14:paraId="2EEF4183" w14:textId="77777777" w:rsidR="00AD1F54" w:rsidRPr="00264D5D" w:rsidRDefault="00CE031E">
            <w:pPr>
              <w:pStyle w:val="GOSTTablenorm"/>
            </w:pPr>
            <w:r w:rsidRPr="00264D5D">
              <w:t>Дата документа</w:t>
            </w:r>
          </w:p>
        </w:tc>
      </w:tr>
    </w:tbl>
    <w:p w14:paraId="42BB5460" w14:textId="77777777" w:rsidR="00AD1F54" w:rsidRPr="00264D5D" w:rsidRDefault="00941227">
      <w:pPr>
        <w:pStyle w:val="31"/>
      </w:pPr>
      <w:bookmarkStart w:id="1286" w:name="_Toc1469456"/>
      <w:bookmarkStart w:id="1287" w:name="_Toc219309583"/>
      <w:r w:rsidRPr="00264D5D">
        <w:t>Пример XML</w:t>
      </w:r>
      <w:bookmarkEnd w:id="1286"/>
      <w:bookmarkEnd w:id="1287"/>
    </w:p>
    <w:p w14:paraId="27A0C9B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&lt;?xml version="1.0" encoding="UTF-8"?&gt;</w:t>
      </w:r>
    </w:p>
    <w:p w14:paraId="5E66EEA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&lt;self:MSC_ApplRfnd metaType="formular" versionID="2.0" xsi:schemaLocation="http://www.roskazna.ru/eb/domain/MSC_ApplRfnd/formular formulars.xsd" xmlns:self="http://www.roskazna.ru/eb/domain/MSC_ApplRfnd/formular" xmlns:xsi="http://www.w3.org/2001/XMLSchema-instance"&gt;</w:t>
      </w:r>
    </w:p>
    <w:p w14:paraId="2DDD9A7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&lt;ZV_ApplctnNm&gt;2435463&lt;/ZV_ApplctnNm&gt;</w:t>
      </w:r>
    </w:p>
    <w:p w14:paraId="297A8F8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&lt;ZV_MSC_Cstmr&gt;</w:t>
      </w:r>
    </w:p>
    <w:p w14:paraId="5DE0396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lang w:val="ru-RU"/>
        </w:rPr>
        <w:t>&lt;</w:t>
      </w:r>
      <w:r w:rsidRPr="00264D5D">
        <w:rPr>
          <w:rFonts w:cs="Courier New"/>
          <w:sz w:val="20"/>
        </w:rPr>
        <w:t>Cd</w:t>
      </w:r>
      <w:r w:rsidRPr="00264D5D">
        <w:rPr>
          <w:rFonts w:cs="Courier New"/>
          <w:sz w:val="20"/>
          <w:lang w:val="ru-RU"/>
        </w:rPr>
        <w:t>&gt;00437578&lt;/</w:t>
      </w:r>
      <w:r w:rsidRPr="00264D5D">
        <w:rPr>
          <w:rFonts w:cs="Courier New"/>
          <w:sz w:val="20"/>
        </w:rPr>
        <w:t>Cd</w:t>
      </w:r>
      <w:r w:rsidRPr="00264D5D">
        <w:rPr>
          <w:rFonts w:cs="Courier New"/>
          <w:sz w:val="20"/>
          <w:lang w:val="ru-RU"/>
        </w:rPr>
        <w:t>&gt;</w:t>
      </w:r>
    </w:p>
    <w:p w14:paraId="7E061F3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FullNm</w:t>
      </w:r>
      <w:r w:rsidRPr="00264D5D">
        <w:rPr>
          <w:rFonts w:cs="Courier New"/>
          <w:sz w:val="20"/>
          <w:lang w:val="ru-RU"/>
        </w:rPr>
        <w:t>&gt;Верховный Суд Российской Федераци&lt;/</w:t>
      </w:r>
      <w:r w:rsidRPr="00264D5D">
        <w:rPr>
          <w:rFonts w:cs="Courier New"/>
          <w:sz w:val="20"/>
        </w:rPr>
        <w:t>FullNm</w:t>
      </w:r>
      <w:r w:rsidRPr="00264D5D">
        <w:rPr>
          <w:rFonts w:cs="Courier New"/>
          <w:sz w:val="20"/>
          <w:lang w:val="ru-RU"/>
        </w:rPr>
        <w:t>&gt;</w:t>
      </w:r>
    </w:p>
    <w:p w14:paraId="4BE79CA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rPr>
        <w:t>&lt;AcntNmbr&gt;03951004370&lt;/AcntNmbr&gt;</w:t>
      </w:r>
    </w:p>
    <w:p w14:paraId="0F71844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&lt;INN&gt;3400000001&lt;/INN&gt;</w:t>
      </w:r>
    </w:p>
    <w:p w14:paraId="10EBF72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&lt;KPP&gt;770401001&lt;/KPP&gt;</w:t>
      </w:r>
    </w:p>
    <w:p w14:paraId="477458F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&lt;/ZV_MSC_Cstmr&gt;</w:t>
      </w:r>
    </w:p>
    <w:p w14:paraId="558613D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&lt;ZV_MSC_Orgnztn&gt;</w:t>
      </w:r>
    </w:p>
    <w:p w14:paraId="13B3C83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MSC</w:t>
      </w:r>
      <w:r w:rsidRPr="00264D5D">
        <w:rPr>
          <w:rFonts w:cs="Courier New"/>
          <w:sz w:val="20"/>
          <w:lang w:val="ru-RU"/>
        </w:rPr>
        <w:t>_</w:t>
      </w:r>
      <w:r w:rsidRPr="00264D5D">
        <w:rPr>
          <w:rFonts w:cs="Courier New"/>
          <w:sz w:val="20"/>
        </w:rPr>
        <w:t>OrFK</w:t>
      </w:r>
      <w:r w:rsidRPr="00264D5D">
        <w:rPr>
          <w:rFonts w:cs="Courier New"/>
          <w:sz w:val="20"/>
          <w:lang w:val="ru-RU"/>
        </w:rPr>
        <w:t>&gt;</w:t>
      </w:r>
    </w:p>
    <w:p w14:paraId="7315C1A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Nm</w:t>
      </w:r>
      <w:r w:rsidRPr="00264D5D">
        <w:rPr>
          <w:rFonts w:cs="Courier New"/>
          <w:sz w:val="20"/>
          <w:lang w:val="ru-RU"/>
        </w:rPr>
        <w:t>&gt;Межрегиональное операционное управление Федерального казначейства&lt;/</w:t>
      </w:r>
      <w:r w:rsidRPr="00264D5D">
        <w:rPr>
          <w:rFonts w:cs="Courier New"/>
          <w:sz w:val="20"/>
        </w:rPr>
        <w:t>Nm</w:t>
      </w:r>
      <w:r w:rsidRPr="00264D5D">
        <w:rPr>
          <w:rFonts w:cs="Courier New"/>
          <w:sz w:val="20"/>
          <w:lang w:val="ru-RU"/>
        </w:rPr>
        <w:t>&gt;</w:t>
      </w:r>
    </w:p>
    <w:p w14:paraId="24B2CFF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lastRenderedPageBreak/>
        <w:tab/>
        <w:t>&lt;</w:t>
      </w:r>
      <w:r w:rsidRPr="00264D5D">
        <w:rPr>
          <w:rFonts w:cs="Courier New"/>
          <w:sz w:val="20"/>
        </w:rPr>
        <w:t>Cd</w:t>
      </w:r>
      <w:r w:rsidRPr="00264D5D">
        <w:rPr>
          <w:rFonts w:cs="Courier New"/>
          <w:sz w:val="20"/>
          <w:lang w:val="ru-RU"/>
        </w:rPr>
        <w:t>&gt;9500&lt;/</w:t>
      </w:r>
      <w:r w:rsidRPr="00264D5D">
        <w:rPr>
          <w:rFonts w:cs="Courier New"/>
          <w:sz w:val="20"/>
        </w:rPr>
        <w:t>Cd</w:t>
      </w:r>
      <w:r w:rsidRPr="00264D5D">
        <w:rPr>
          <w:rFonts w:cs="Courier New"/>
          <w:sz w:val="20"/>
          <w:lang w:val="ru-RU"/>
        </w:rPr>
        <w:t>&gt;</w:t>
      </w:r>
    </w:p>
    <w:p w14:paraId="7AE0849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MSC</w:t>
      </w:r>
      <w:r w:rsidRPr="00264D5D">
        <w:rPr>
          <w:rFonts w:cs="Courier New"/>
          <w:sz w:val="20"/>
          <w:lang w:val="ru-RU"/>
        </w:rPr>
        <w:t>_</w:t>
      </w:r>
      <w:r w:rsidRPr="00264D5D">
        <w:rPr>
          <w:rFonts w:cs="Courier New"/>
          <w:sz w:val="20"/>
        </w:rPr>
        <w:t>OrFK</w:t>
      </w:r>
      <w:r w:rsidRPr="00264D5D">
        <w:rPr>
          <w:rFonts w:cs="Courier New"/>
          <w:sz w:val="20"/>
          <w:lang w:val="ru-RU"/>
        </w:rPr>
        <w:t>&gt;</w:t>
      </w:r>
    </w:p>
    <w:p w14:paraId="124BF44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NmBdgt</w:t>
      </w:r>
      <w:r w:rsidRPr="00264D5D">
        <w:rPr>
          <w:rFonts w:cs="Courier New"/>
          <w:sz w:val="20"/>
          <w:lang w:val="ru-RU"/>
        </w:rPr>
        <w:t>&gt;Федеральный бюджет&lt;/</w:t>
      </w:r>
      <w:r w:rsidRPr="00264D5D">
        <w:rPr>
          <w:rFonts w:cs="Courier New"/>
          <w:sz w:val="20"/>
        </w:rPr>
        <w:t>NmBdgt</w:t>
      </w:r>
      <w:r w:rsidRPr="00264D5D">
        <w:rPr>
          <w:rFonts w:cs="Courier New"/>
          <w:sz w:val="20"/>
          <w:lang w:val="ru-RU"/>
        </w:rPr>
        <w:t>&gt;</w:t>
      </w:r>
    </w:p>
    <w:p w14:paraId="06E7ADE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FnclInst</w:t>
      </w:r>
      <w:r w:rsidRPr="00264D5D">
        <w:rPr>
          <w:rFonts w:cs="Courier New"/>
          <w:sz w:val="20"/>
          <w:lang w:val="ru-RU"/>
        </w:rPr>
        <w:t>&gt;</w:t>
      </w:r>
    </w:p>
    <w:p w14:paraId="0107236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FnclInst</w:t>
      </w:r>
      <w:r w:rsidRPr="00264D5D">
        <w:rPr>
          <w:rFonts w:cs="Courier New"/>
          <w:sz w:val="20"/>
          <w:lang w:val="ru-RU"/>
        </w:rPr>
        <w:t>&gt;Министерство финансов Российской Федерации&lt;/</w:t>
      </w:r>
      <w:r w:rsidRPr="00264D5D">
        <w:rPr>
          <w:rFonts w:cs="Courier New"/>
          <w:sz w:val="20"/>
        </w:rPr>
        <w:t>FnclInst</w:t>
      </w:r>
      <w:r w:rsidRPr="00264D5D">
        <w:rPr>
          <w:rFonts w:cs="Courier New"/>
          <w:sz w:val="20"/>
          <w:lang w:val="ru-RU"/>
        </w:rPr>
        <w:t>&gt;</w:t>
      </w:r>
    </w:p>
    <w:p w14:paraId="09E6E26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OKPOCd</w:t>
      </w:r>
      <w:r w:rsidRPr="00264D5D">
        <w:rPr>
          <w:rFonts w:cs="Courier New"/>
          <w:sz w:val="20"/>
          <w:lang w:val="ru-RU"/>
        </w:rPr>
        <w:t>&gt;00013474&lt;/</w:t>
      </w:r>
      <w:r w:rsidRPr="00264D5D">
        <w:rPr>
          <w:rFonts w:cs="Courier New"/>
          <w:sz w:val="20"/>
        </w:rPr>
        <w:t>OKPOCd</w:t>
      </w:r>
      <w:r w:rsidRPr="00264D5D">
        <w:rPr>
          <w:rFonts w:cs="Courier New"/>
          <w:sz w:val="20"/>
          <w:lang w:val="ru-RU"/>
        </w:rPr>
        <w:t>&gt;</w:t>
      </w:r>
    </w:p>
    <w:p w14:paraId="7987EF5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FnclInst</w:t>
      </w:r>
      <w:r w:rsidRPr="00264D5D">
        <w:rPr>
          <w:rFonts w:cs="Courier New"/>
          <w:sz w:val="20"/>
          <w:lang w:val="ru-RU"/>
        </w:rPr>
        <w:t>&gt;</w:t>
      </w:r>
    </w:p>
    <w:p w14:paraId="6EF5E03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ZV</w:t>
      </w:r>
      <w:r w:rsidRPr="00264D5D">
        <w:rPr>
          <w:rFonts w:cs="Courier New"/>
          <w:sz w:val="20"/>
          <w:lang w:val="ru-RU"/>
        </w:rPr>
        <w:t>_</w:t>
      </w:r>
      <w:r w:rsidRPr="00264D5D">
        <w:rPr>
          <w:rFonts w:cs="Courier New"/>
          <w:sz w:val="20"/>
        </w:rPr>
        <w:t>MSC</w:t>
      </w:r>
      <w:r w:rsidRPr="00264D5D">
        <w:rPr>
          <w:rFonts w:cs="Courier New"/>
          <w:sz w:val="20"/>
          <w:lang w:val="ru-RU"/>
        </w:rPr>
        <w:t>_</w:t>
      </w:r>
      <w:r w:rsidRPr="00264D5D">
        <w:rPr>
          <w:rFonts w:cs="Courier New"/>
          <w:sz w:val="20"/>
        </w:rPr>
        <w:t>Orgnztn</w:t>
      </w:r>
      <w:r w:rsidRPr="00264D5D">
        <w:rPr>
          <w:rFonts w:cs="Courier New"/>
          <w:sz w:val="20"/>
          <w:lang w:val="ru-RU"/>
        </w:rPr>
        <w:t>&gt;</w:t>
      </w:r>
    </w:p>
    <w:p w14:paraId="69A78D1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&lt;ZV_MSC_GRBS&gt;</w:t>
      </w:r>
    </w:p>
    <w:p w14:paraId="5BDCE04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&lt;Cd&gt;437&lt;/Cd&gt;</w:t>
      </w:r>
    </w:p>
    <w:p w14:paraId="4396039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lang w:val="ru-RU"/>
        </w:rPr>
        <w:t>&lt;</w:t>
      </w:r>
      <w:r w:rsidRPr="00264D5D">
        <w:rPr>
          <w:rFonts w:cs="Courier New"/>
          <w:sz w:val="20"/>
        </w:rPr>
        <w:t>Nm</w:t>
      </w:r>
      <w:r w:rsidRPr="00264D5D">
        <w:rPr>
          <w:rFonts w:cs="Courier New"/>
          <w:sz w:val="20"/>
          <w:lang w:val="ru-RU"/>
        </w:rPr>
        <w:t>&gt;Верховный Суд Российской Федерации&lt;/</w:t>
      </w:r>
      <w:r w:rsidRPr="00264D5D">
        <w:rPr>
          <w:rFonts w:cs="Courier New"/>
          <w:sz w:val="20"/>
        </w:rPr>
        <w:t>Nm</w:t>
      </w:r>
      <w:r w:rsidRPr="00264D5D">
        <w:rPr>
          <w:rFonts w:cs="Courier New"/>
          <w:sz w:val="20"/>
          <w:lang w:val="ru-RU"/>
        </w:rPr>
        <w:t>&gt;</w:t>
      </w:r>
    </w:p>
    <w:p w14:paraId="6D14062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&lt;/ZV_MSC_GRBS&gt;</w:t>
      </w:r>
    </w:p>
    <w:p w14:paraId="343DDC2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&lt;ZV_MSC_Hd&gt;</w:t>
      </w:r>
    </w:p>
    <w:p w14:paraId="44332B3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lang w:val="ru-RU"/>
        </w:rPr>
        <w:t>&lt;</w:t>
      </w:r>
      <w:r w:rsidRPr="00264D5D">
        <w:rPr>
          <w:rFonts w:cs="Courier New"/>
          <w:sz w:val="20"/>
        </w:rPr>
        <w:t>Pst</w:t>
      </w:r>
      <w:r w:rsidRPr="00264D5D">
        <w:rPr>
          <w:rFonts w:cs="Courier New"/>
          <w:sz w:val="20"/>
          <w:lang w:val="ru-RU"/>
        </w:rPr>
        <w:t>&gt;Первый заместитель Председателя&lt;/</w:t>
      </w:r>
      <w:r w:rsidRPr="00264D5D">
        <w:rPr>
          <w:rFonts w:cs="Courier New"/>
          <w:sz w:val="20"/>
        </w:rPr>
        <w:t>Pst</w:t>
      </w:r>
      <w:r w:rsidRPr="00264D5D">
        <w:rPr>
          <w:rFonts w:cs="Courier New"/>
          <w:sz w:val="20"/>
          <w:lang w:val="ru-RU"/>
        </w:rPr>
        <w:t>&gt;</w:t>
      </w:r>
    </w:p>
    <w:p w14:paraId="7A0DCA8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FIO</w:t>
      </w:r>
      <w:r w:rsidRPr="00264D5D">
        <w:rPr>
          <w:rFonts w:cs="Courier New"/>
          <w:sz w:val="20"/>
          <w:lang w:val="ru-RU"/>
        </w:rPr>
        <w:t>&gt;П.П. Серков&lt;/</w:t>
      </w:r>
      <w:r w:rsidRPr="00264D5D">
        <w:rPr>
          <w:rFonts w:cs="Courier New"/>
          <w:sz w:val="20"/>
        </w:rPr>
        <w:t>FIO</w:t>
      </w:r>
      <w:r w:rsidRPr="00264D5D">
        <w:rPr>
          <w:rFonts w:cs="Courier New"/>
          <w:sz w:val="20"/>
          <w:lang w:val="ru-RU"/>
        </w:rPr>
        <w:t>&gt;</w:t>
      </w:r>
    </w:p>
    <w:p w14:paraId="7E1F65F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&lt;/ZV_MSC_Hd&gt;</w:t>
      </w:r>
    </w:p>
    <w:p w14:paraId="1596EB1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&lt;ZV_MSC_RspnExctr&gt;</w:t>
      </w:r>
    </w:p>
    <w:p w14:paraId="59C522F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lang w:val="ru-RU"/>
        </w:rPr>
        <w:t>&lt;</w:t>
      </w:r>
      <w:r w:rsidRPr="00264D5D">
        <w:rPr>
          <w:rFonts w:cs="Courier New"/>
          <w:sz w:val="20"/>
        </w:rPr>
        <w:t>Pst</w:t>
      </w:r>
      <w:r w:rsidRPr="00264D5D">
        <w:rPr>
          <w:rFonts w:cs="Courier New"/>
          <w:sz w:val="20"/>
          <w:lang w:val="ru-RU"/>
        </w:rPr>
        <w:t>&gt;Начальник управления&lt;/</w:t>
      </w:r>
      <w:r w:rsidRPr="00264D5D">
        <w:rPr>
          <w:rFonts w:cs="Courier New"/>
          <w:sz w:val="20"/>
        </w:rPr>
        <w:t>Pst</w:t>
      </w:r>
      <w:r w:rsidRPr="00264D5D">
        <w:rPr>
          <w:rFonts w:cs="Courier New"/>
          <w:sz w:val="20"/>
          <w:lang w:val="ru-RU"/>
        </w:rPr>
        <w:t>&gt;</w:t>
      </w:r>
    </w:p>
    <w:p w14:paraId="7ADB99F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FIO</w:t>
      </w:r>
      <w:r w:rsidRPr="00264D5D">
        <w:rPr>
          <w:rFonts w:cs="Courier New"/>
          <w:sz w:val="20"/>
          <w:lang w:val="ru-RU"/>
        </w:rPr>
        <w:t>&gt;А.Б. Воронин&lt;/</w:t>
      </w:r>
      <w:r w:rsidRPr="00264D5D">
        <w:rPr>
          <w:rFonts w:cs="Courier New"/>
          <w:sz w:val="20"/>
        </w:rPr>
        <w:t>FIO</w:t>
      </w:r>
      <w:r w:rsidRPr="00264D5D">
        <w:rPr>
          <w:rFonts w:cs="Courier New"/>
          <w:sz w:val="20"/>
          <w:lang w:val="ru-RU"/>
        </w:rPr>
        <w:t>&gt;</w:t>
      </w:r>
    </w:p>
    <w:p w14:paraId="55ADE3E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ZV</w:t>
      </w:r>
      <w:r w:rsidRPr="00264D5D">
        <w:rPr>
          <w:rFonts w:cs="Courier New"/>
          <w:sz w:val="20"/>
          <w:lang w:val="ru-RU"/>
        </w:rPr>
        <w:t>_</w:t>
      </w:r>
      <w:r w:rsidRPr="00264D5D">
        <w:rPr>
          <w:rFonts w:cs="Courier New"/>
          <w:sz w:val="20"/>
        </w:rPr>
        <w:t>MSC</w:t>
      </w:r>
      <w:r w:rsidRPr="00264D5D">
        <w:rPr>
          <w:rFonts w:cs="Courier New"/>
          <w:sz w:val="20"/>
          <w:lang w:val="ru-RU"/>
        </w:rPr>
        <w:t>_</w:t>
      </w:r>
      <w:r w:rsidRPr="00264D5D">
        <w:rPr>
          <w:rFonts w:cs="Courier New"/>
          <w:sz w:val="20"/>
        </w:rPr>
        <w:t>RspnExctr</w:t>
      </w:r>
      <w:r w:rsidRPr="00264D5D">
        <w:rPr>
          <w:rFonts w:cs="Courier New"/>
          <w:sz w:val="20"/>
          <w:lang w:val="ru-RU"/>
        </w:rPr>
        <w:t>&gt;</w:t>
      </w:r>
    </w:p>
    <w:p w14:paraId="0B0D130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ZV</w:t>
      </w:r>
      <w:r w:rsidRPr="00264D5D">
        <w:rPr>
          <w:rFonts w:cs="Courier New"/>
          <w:sz w:val="20"/>
          <w:lang w:val="ru-RU"/>
        </w:rPr>
        <w:t>_</w:t>
      </w:r>
      <w:r w:rsidRPr="00264D5D">
        <w:rPr>
          <w:rFonts w:cs="Courier New"/>
          <w:sz w:val="20"/>
        </w:rPr>
        <w:t>DtfSgn</w:t>
      </w:r>
      <w:r w:rsidRPr="00264D5D">
        <w:rPr>
          <w:rFonts w:cs="Courier New"/>
          <w:sz w:val="20"/>
          <w:lang w:val="ru-RU"/>
        </w:rPr>
        <w:t>&gt;2021-01-03&lt;/</w:t>
      </w:r>
      <w:r w:rsidRPr="00264D5D">
        <w:rPr>
          <w:rFonts w:cs="Courier New"/>
          <w:sz w:val="20"/>
        </w:rPr>
        <w:t>ZV</w:t>
      </w:r>
      <w:r w:rsidRPr="00264D5D">
        <w:rPr>
          <w:rFonts w:cs="Courier New"/>
          <w:sz w:val="20"/>
          <w:lang w:val="ru-RU"/>
        </w:rPr>
        <w:t>_</w:t>
      </w:r>
      <w:r w:rsidRPr="00264D5D">
        <w:rPr>
          <w:rFonts w:cs="Courier New"/>
          <w:sz w:val="20"/>
        </w:rPr>
        <w:t>DtfSgn</w:t>
      </w:r>
      <w:r w:rsidRPr="00264D5D">
        <w:rPr>
          <w:rFonts w:cs="Courier New"/>
          <w:sz w:val="20"/>
          <w:lang w:val="ru-RU"/>
        </w:rPr>
        <w:t>&gt;</w:t>
      </w:r>
    </w:p>
    <w:p w14:paraId="0F9F9B8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ZV</w:t>
      </w:r>
      <w:r w:rsidRPr="00264D5D">
        <w:rPr>
          <w:rFonts w:cs="Courier New"/>
          <w:sz w:val="20"/>
          <w:lang w:val="ru-RU"/>
        </w:rPr>
        <w:t>_</w:t>
      </w:r>
      <w:r w:rsidRPr="00264D5D">
        <w:rPr>
          <w:rFonts w:cs="Courier New"/>
          <w:sz w:val="20"/>
        </w:rPr>
        <w:t>MSC</w:t>
      </w:r>
      <w:r w:rsidRPr="00264D5D">
        <w:rPr>
          <w:rFonts w:cs="Courier New"/>
          <w:sz w:val="20"/>
          <w:lang w:val="ru-RU"/>
        </w:rPr>
        <w:t>_</w:t>
      </w:r>
      <w:r w:rsidRPr="00264D5D">
        <w:rPr>
          <w:rFonts w:cs="Courier New"/>
          <w:sz w:val="20"/>
        </w:rPr>
        <w:t>MrkOrFK</w:t>
      </w:r>
      <w:r w:rsidRPr="00264D5D">
        <w:rPr>
          <w:rFonts w:cs="Courier New"/>
          <w:sz w:val="20"/>
          <w:lang w:val="ru-RU"/>
        </w:rPr>
        <w:t>&gt;</w:t>
      </w:r>
    </w:p>
    <w:p w14:paraId="791F704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RqstNm</w:t>
      </w:r>
      <w:r w:rsidRPr="00264D5D">
        <w:rPr>
          <w:rFonts w:cs="Courier New"/>
          <w:sz w:val="20"/>
          <w:lang w:val="ru-RU"/>
        </w:rPr>
        <w:t>&gt;ЗКР9500/16-4520&lt;/</w:t>
      </w:r>
      <w:r w:rsidRPr="00264D5D">
        <w:rPr>
          <w:rFonts w:cs="Courier New"/>
          <w:sz w:val="20"/>
        </w:rPr>
        <w:t>RqstNm</w:t>
      </w:r>
      <w:r w:rsidRPr="00264D5D">
        <w:rPr>
          <w:rFonts w:cs="Courier New"/>
          <w:sz w:val="20"/>
          <w:lang w:val="ru-RU"/>
        </w:rPr>
        <w:t>&gt;</w:t>
      </w:r>
    </w:p>
    <w:p w14:paraId="4623178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RgsDt</w:t>
      </w:r>
      <w:r w:rsidRPr="00264D5D">
        <w:rPr>
          <w:rFonts w:cs="Courier New"/>
          <w:sz w:val="20"/>
          <w:lang w:val="ru-RU"/>
        </w:rPr>
        <w:t>&gt;2021-01-03&lt;/</w:t>
      </w:r>
      <w:r w:rsidRPr="00264D5D">
        <w:rPr>
          <w:rFonts w:cs="Courier New"/>
          <w:sz w:val="20"/>
        </w:rPr>
        <w:t>RgsDt</w:t>
      </w:r>
      <w:r w:rsidRPr="00264D5D">
        <w:rPr>
          <w:rFonts w:cs="Courier New"/>
          <w:sz w:val="20"/>
          <w:lang w:val="ru-RU"/>
        </w:rPr>
        <w:t>&gt;</w:t>
      </w:r>
    </w:p>
    <w:p w14:paraId="4B4A77A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Pstn</w:t>
      </w:r>
      <w:r w:rsidRPr="00264D5D">
        <w:rPr>
          <w:rFonts w:cs="Courier New"/>
          <w:sz w:val="20"/>
          <w:lang w:val="ru-RU"/>
        </w:rPr>
        <w:t>&gt;Главный специалист эксперт&lt;/</w:t>
      </w:r>
      <w:r w:rsidRPr="00264D5D">
        <w:rPr>
          <w:rFonts w:cs="Courier New"/>
          <w:sz w:val="20"/>
        </w:rPr>
        <w:t>Pstn</w:t>
      </w:r>
      <w:r w:rsidRPr="00264D5D">
        <w:rPr>
          <w:rFonts w:cs="Courier New"/>
          <w:sz w:val="20"/>
          <w:lang w:val="ru-RU"/>
        </w:rPr>
        <w:t>&gt;</w:t>
      </w:r>
    </w:p>
    <w:p w14:paraId="02DDF55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FllNm</w:t>
      </w:r>
      <w:r w:rsidRPr="00264D5D">
        <w:rPr>
          <w:rFonts w:cs="Courier New"/>
          <w:sz w:val="20"/>
          <w:lang w:val="ru-RU"/>
        </w:rPr>
        <w:t>&gt;В.К. Иванова&lt;/</w:t>
      </w:r>
      <w:r w:rsidRPr="00264D5D">
        <w:rPr>
          <w:rFonts w:cs="Courier New"/>
          <w:sz w:val="20"/>
        </w:rPr>
        <w:t>FllNm</w:t>
      </w:r>
      <w:r w:rsidRPr="00264D5D">
        <w:rPr>
          <w:rFonts w:cs="Courier New"/>
          <w:sz w:val="20"/>
          <w:lang w:val="ru-RU"/>
        </w:rPr>
        <w:t>&gt;</w:t>
      </w:r>
    </w:p>
    <w:p w14:paraId="181943F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rPr>
        <w:t>&lt;Tlphn&gt;915-23-66&lt;/Tlphn&gt;</w:t>
      </w:r>
    </w:p>
    <w:p w14:paraId="1C50901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&lt;/ZV_MSC_MrkOrFK&gt;</w:t>
      </w:r>
    </w:p>
    <w:p w14:paraId="59B5299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&lt;ZVDOC_KndMns code="1"/&gt;</w:t>
      </w:r>
    </w:p>
    <w:p w14:paraId="160927C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&lt;ZVDOC_OKTMO&gt;45382000&lt;/ZVDOC_OKTMO&gt;</w:t>
      </w:r>
    </w:p>
    <w:p w14:paraId="7848A1C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&lt;ZVDOC_SmVl&gt;1000.00&lt;/ZVDOC_SmVl&gt;</w:t>
      </w:r>
    </w:p>
    <w:p w14:paraId="1574873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&lt;ZVDOC_CdOKV&gt;840&lt;/ZVDOC_CdOKV&gt;</w:t>
      </w:r>
    </w:p>
    <w:p w14:paraId="327372E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&lt;ZVDOC_MSC_Pmnt&gt;</w:t>
      </w:r>
    </w:p>
    <w:p w14:paraId="120B539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&lt;Prt&gt;5&lt;/Prt&gt;</w:t>
      </w:r>
    </w:p>
    <w:p w14:paraId="5793B67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lang w:val="ru-RU"/>
        </w:rPr>
        <w:t>&lt;</w:t>
      </w:r>
      <w:r w:rsidRPr="00264D5D">
        <w:rPr>
          <w:rFonts w:cs="Courier New"/>
          <w:sz w:val="20"/>
        </w:rPr>
        <w:t>Knd</w:t>
      </w:r>
      <w:r w:rsidRPr="00264D5D">
        <w:rPr>
          <w:rFonts w:cs="Courier New"/>
          <w:sz w:val="20"/>
          <w:lang w:val="ru-RU"/>
        </w:rPr>
        <w:t xml:space="preserve"> </w:t>
      </w:r>
      <w:r w:rsidRPr="00264D5D">
        <w:rPr>
          <w:rFonts w:cs="Courier New"/>
          <w:sz w:val="20"/>
        </w:rPr>
        <w:t>code</w:t>
      </w:r>
      <w:r w:rsidRPr="00264D5D">
        <w:rPr>
          <w:rFonts w:cs="Courier New"/>
          <w:sz w:val="20"/>
          <w:lang w:val="ru-RU"/>
        </w:rPr>
        <w:t>="4"/&gt;</w:t>
      </w:r>
    </w:p>
    <w:p w14:paraId="58CC5D9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Prps</w:t>
      </w:r>
      <w:r w:rsidRPr="00264D5D">
        <w:rPr>
          <w:rFonts w:cs="Courier New"/>
          <w:sz w:val="20"/>
          <w:lang w:val="ru-RU"/>
        </w:rPr>
        <w:t>&gt;Плата за негативное воздействие на окруж.среду&lt;/</w:t>
      </w:r>
      <w:r w:rsidRPr="00264D5D">
        <w:rPr>
          <w:rFonts w:cs="Courier New"/>
          <w:sz w:val="20"/>
        </w:rPr>
        <w:t>Prps</w:t>
      </w:r>
      <w:r w:rsidRPr="00264D5D">
        <w:rPr>
          <w:rFonts w:cs="Courier New"/>
          <w:sz w:val="20"/>
          <w:lang w:val="ru-RU"/>
        </w:rPr>
        <w:t>&gt;</w:t>
      </w:r>
    </w:p>
    <w:p w14:paraId="332FE3B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ZVDOC</w:t>
      </w:r>
      <w:r w:rsidRPr="00264D5D">
        <w:rPr>
          <w:rFonts w:cs="Courier New"/>
          <w:sz w:val="20"/>
          <w:lang w:val="ru-RU"/>
        </w:rPr>
        <w:t>_</w:t>
      </w:r>
      <w:r w:rsidRPr="00264D5D">
        <w:rPr>
          <w:rFonts w:cs="Courier New"/>
          <w:sz w:val="20"/>
        </w:rPr>
        <w:t>MSC</w:t>
      </w:r>
      <w:r w:rsidRPr="00264D5D">
        <w:rPr>
          <w:rFonts w:cs="Courier New"/>
          <w:sz w:val="20"/>
          <w:lang w:val="ru-RU"/>
        </w:rPr>
        <w:t>_</w:t>
      </w:r>
      <w:r w:rsidRPr="00264D5D">
        <w:rPr>
          <w:rFonts w:cs="Courier New"/>
          <w:sz w:val="20"/>
        </w:rPr>
        <w:t>Pmnt</w:t>
      </w:r>
      <w:r w:rsidRPr="00264D5D">
        <w:rPr>
          <w:rFonts w:cs="Courier New"/>
          <w:sz w:val="20"/>
          <w:lang w:val="ru-RU"/>
        </w:rPr>
        <w:t>&gt;</w:t>
      </w:r>
    </w:p>
    <w:p w14:paraId="4F40C11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ZVDOCOSN</w:t>
      </w:r>
      <w:r w:rsidRPr="00264D5D">
        <w:rPr>
          <w:rFonts w:cs="Courier New"/>
          <w:sz w:val="20"/>
          <w:lang w:val="ru-RU"/>
        </w:rPr>
        <w:t>_</w:t>
      </w:r>
      <w:r w:rsidRPr="00264D5D">
        <w:rPr>
          <w:rFonts w:cs="Courier New"/>
          <w:sz w:val="20"/>
        </w:rPr>
        <w:t>MSC</w:t>
      </w:r>
      <w:r w:rsidRPr="00264D5D">
        <w:rPr>
          <w:rFonts w:cs="Courier New"/>
          <w:sz w:val="20"/>
          <w:lang w:val="ru-RU"/>
        </w:rPr>
        <w:t>_</w:t>
      </w:r>
      <w:r w:rsidRPr="00264D5D">
        <w:rPr>
          <w:rFonts w:cs="Courier New"/>
          <w:sz w:val="20"/>
        </w:rPr>
        <w:t>ShrtDcBs</w:t>
      </w:r>
      <w:r w:rsidRPr="00264D5D">
        <w:rPr>
          <w:rFonts w:cs="Courier New"/>
          <w:sz w:val="20"/>
          <w:lang w:val="ru-RU"/>
        </w:rPr>
        <w:t>&gt;</w:t>
      </w:r>
    </w:p>
    <w:p w14:paraId="023CA41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&lt;MSC_ShrtDcBs_ITEM&gt;</w:t>
      </w:r>
    </w:p>
    <w:p w14:paraId="6B6FCF2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&lt;RcrdNm&gt;1&lt;/RcrdNm&gt;</w:t>
      </w:r>
    </w:p>
    <w:p w14:paraId="3B6C2D3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&lt;Knd&gt;ЗКР&lt;/Knd&gt;</w:t>
      </w:r>
    </w:p>
    <w:p w14:paraId="400EAFF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&lt;DcNmbr&gt;140021&lt;/DcNmbr&gt;</w:t>
      </w:r>
    </w:p>
    <w:p w14:paraId="0E8106D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&lt;DctDt&gt;2021-01-03&lt;/DctDt&gt;</w:t>
      </w:r>
    </w:p>
    <w:p w14:paraId="06F0793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&lt;/MSC_ShrtDcBs_ITEM&gt;</w:t>
      </w:r>
    </w:p>
    <w:p w14:paraId="526615C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&lt;/ZVDOCOSN_MSC_ShrtDcBs&gt;</w:t>
      </w:r>
    </w:p>
    <w:p w14:paraId="315E705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&lt;ZVDOCPOL_MSC_Cntrctr&gt;</w:t>
      </w:r>
    </w:p>
    <w:p w14:paraId="0F08E63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Nm</w:t>
      </w:r>
      <w:r w:rsidRPr="00264D5D">
        <w:rPr>
          <w:rFonts w:cs="Courier New"/>
          <w:sz w:val="20"/>
          <w:lang w:val="ru-RU"/>
        </w:rPr>
        <w:t>&gt;УФК по Московской области (Департамент Росприроднадзора по Центральному федеральному округу л/с 04481819180)&lt;/</w:t>
      </w:r>
      <w:r w:rsidRPr="00264D5D">
        <w:rPr>
          <w:rFonts w:cs="Courier New"/>
          <w:sz w:val="20"/>
        </w:rPr>
        <w:t>Nm</w:t>
      </w:r>
      <w:r w:rsidRPr="00264D5D">
        <w:rPr>
          <w:rFonts w:cs="Courier New"/>
          <w:sz w:val="20"/>
          <w:lang w:val="ru-RU"/>
        </w:rPr>
        <w:t>&gt;</w:t>
      </w:r>
    </w:p>
    <w:p w14:paraId="63759F2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&lt;INN&gt;7724559170&lt;/INN&gt;</w:t>
      </w:r>
    </w:p>
    <w:p w14:paraId="32688C9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&lt;KPP&gt;772401001&lt;/KPP&gt;</w:t>
      </w:r>
    </w:p>
    <w:p w14:paraId="6FE55CE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&lt;AcntNm&gt;04481819180&lt;/AcntNm&gt;</w:t>
      </w:r>
    </w:p>
    <w:p w14:paraId="4D292B8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MSC</w:t>
      </w:r>
      <w:r w:rsidRPr="00264D5D">
        <w:rPr>
          <w:rFonts w:cs="Courier New"/>
          <w:sz w:val="20"/>
          <w:lang w:val="ru-RU"/>
        </w:rPr>
        <w:t>_</w:t>
      </w:r>
      <w:r w:rsidRPr="00264D5D">
        <w:rPr>
          <w:rFonts w:cs="Courier New"/>
          <w:sz w:val="20"/>
        </w:rPr>
        <w:t>Bnk</w:t>
      </w:r>
      <w:r w:rsidRPr="00264D5D">
        <w:rPr>
          <w:rFonts w:cs="Courier New"/>
          <w:sz w:val="20"/>
          <w:lang w:val="ru-RU"/>
        </w:rPr>
        <w:t>&gt;</w:t>
      </w:r>
    </w:p>
    <w:p w14:paraId="3F76F92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AcNm</w:t>
      </w:r>
      <w:r w:rsidRPr="00264D5D">
        <w:rPr>
          <w:rFonts w:cs="Courier New"/>
          <w:sz w:val="20"/>
          <w:lang w:val="ru-RU"/>
        </w:rPr>
        <w:t>&gt;03100643600000010102&lt;/</w:t>
      </w:r>
      <w:r w:rsidRPr="00264D5D">
        <w:rPr>
          <w:rFonts w:cs="Courier New"/>
          <w:sz w:val="20"/>
        </w:rPr>
        <w:t>AcNm</w:t>
      </w:r>
      <w:r w:rsidRPr="00264D5D">
        <w:rPr>
          <w:rFonts w:cs="Courier New"/>
          <w:sz w:val="20"/>
          <w:lang w:val="ru-RU"/>
        </w:rPr>
        <w:t>&gt;</w:t>
      </w:r>
    </w:p>
    <w:p w14:paraId="5241790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Nm</w:t>
      </w:r>
      <w:r w:rsidRPr="00264D5D">
        <w:rPr>
          <w:rFonts w:cs="Courier New"/>
          <w:sz w:val="20"/>
          <w:lang w:val="ru-RU"/>
        </w:rPr>
        <w:t>&gt;ОТДЕЛЕНИЕ 1 МОСКВА Отделение 1 Москва Банка России//УФК по Московской, г. Москва&lt;/</w:t>
      </w:r>
      <w:r w:rsidRPr="00264D5D">
        <w:rPr>
          <w:rFonts w:cs="Courier New"/>
          <w:sz w:val="20"/>
        </w:rPr>
        <w:t>Nm</w:t>
      </w:r>
      <w:r w:rsidRPr="00264D5D">
        <w:rPr>
          <w:rFonts w:cs="Courier New"/>
          <w:sz w:val="20"/>
          <w:lang w:val="ru-RU"/>
        </w:rPr>
        <w:t>&gt;</w:t>
      </w:r>
    </w:p>
    <w:p w14:paraId="34CDDBC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rPr>
        <w:t>&lt;BIK&gt;044583001&lt;/BIK&gt;</w:t>
      </w:r>
    </w:p>
    <w:p w14:paraId="587595B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&lt;CrAccNm&gt;40102810600000010102&lt;/CrAccNm&gt;</w:t>
      </w:r>
    </w:p>
    <w:p w14:paraId="31FD9CA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&lt;/MSC_Bnk&gt;</w:t>
      </w:r>
    </w:p>
    <w:p w14:paraId="69702A6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&lt;/ZVDOCPOL_MSC_Cntrctr&gt;</w:t>
      </w:r>
    </w:p>
    <w:p w14:paraId="0F16B86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&lt;ZVDOCPOL_OKTMO&gt;45382000&lt;/ZVDOCPOL_OKTMO&gt;</w:t>
      </w:r>
    </w:p>
    <w:p w14:paraId="75AD609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&lt;TtlPrt_SECRECY&gt;0&lt;/TtlPrt_SECRECY&gt;</w:t>
      </w:r>
    </w:p>
    <w:p w14:paraId="175EA55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&lt;ZV_MSC_Infrmtn&gt;</w:t>
      </w:r>
    </w:p>
    <w:p w14:paraId="24FAE96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&lt;GUID&gt;f861b623-f376-еe31-901f-0044b1562e11&lt;/GUID&gt;</w:t>
      </w:r>
    </w:p>
    <w:p w14:paraId="48D80D1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&lt;CrtnDt&gt;2021-01-03&lt;/CrtnDt&gt;</w:t>
      </w:r>
    </w:p>
    <w:p w14:paraId="237B504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&lt;/ZV_MSC_Infrmtn&gt;</w:t>
      </w:r>
    </w:p>
    <w:p w14:paraId="4CC35F4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lang w:val="ru-RU"/>
        </w:rPr>
      </w:pPr>
      <w:r w:rsidRPr="00264D5D">
        <w:rPr>
          <w:rFonts w:cs="Courier New"/>
          <w:sz w:val="20"/>
        </w:rPr>
        <w:t>&lt;/self:MSC_ApplRfnd&gt;</w:t>
      </w:r>
    </w:p>
    <w:p w14:paraId="7E2A0193" w14:textId="77777777" w:rsidR="00AD1F54" w:rsidRPr="00264D5D" w:rsidRDefault="00941227">
      <w:pPr>
        <w:pStyle w:val="31"/>
      </w:pPr>
      <w:bookmarkStart w:id="1288" w:name="_Toc27401402"/>
      <w:bookmarkStart w:id="1289" w:name="_Toc219309584"/>
      <w:r w:rsidRPr="00264D5D">
        <w:t>Пример XML (ЕСМВ)</w:t>
      </w:r>
      <w:bookmarkEnd w:id="1288"/>
      <w:bookmarkEnd w:id="1289"/>
    </w:p>
    <w:p w14:paraId="2C8B50C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&lt;?xml version="1.0" encoding="UTF-8"?&gt;</w:t>
      </w:r>
    </w:p>
    <w:p w14:paraId="77A5A26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&lt;soapenv:Envelope xmlns:soapenv="http://schemas.xmlsoap.org/soap/envelope/" xmlns:wsu="http://docs.oasis-open.org/wss/2004/01/oasis-200401-wss-wssecurity-utility-1.0.xsd" xmlns:wsse="http://docs.oasis-open.org/wss/2004/01/oasis-200401-wss-wssecurity-secext-1.0.xsd"&gt;</w:t>
      </w:r>
    </w:p>
    <w:p w14:paraId="28541C4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&lt;soapenv:Header xmlns:env="http://schemas.xmlsoap.org/soap/envelope/"&gt;&lt;wsse:Security wsu:Id="Id-sec-f9cb3040b7ca31cd7876d625c632e1aed304"&gt;</w:t>
      </w:r>
    </w:p>
    <w:p w14:paraId="3DCE18D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 xmlns="http://www.w3.org/2000/09/xmldsig#" Id="Id-sig-b9199ca934cfa91bcff69e807d7b0dbd26f6"&gt;</w:t>
      </w:r>
    </w:p>
    <w:p w14:paraId="269B3D9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2C972CD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&lt;CanonicalizationMethod Algorithm="http://www.w3.org/2001/10/xml-exc-c14n#"/&gt;</w:t>
      </w:r>
    </w:p>
    <w:p w14:paraId="3E9F08A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&lt;SignatureMethod Algorithm="http://www.w3.org/2001/04/xmldsig-more#gostr34102001-gostr3411"/&gt;</w:t>
      </w:r>
    </w:p>
    <w:p w14:paraId="761C718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URI="#Id-wssecdata-29cef34e3106063e64fead91c94aeda97ff4" Id="Id-dataref-ea575c0bb2c994b98298d2c77dcd5a7dbaa1"&gt;</w:t>
      </w:r>
    </w:p>
    <w:p w14:paraId="3C3CD12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04301E6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450C3F5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01E6131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72764AB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&lt;DigestValue&gt;4bqC9/3OSJqEHDz00XLzUf29YFcetigx2jr08qUp7fQ=&lt;/DigestValue&gt;</w:t>
      </w:r>
    </w:p>
    <w:p w14:paraId="3F1C482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3B083D6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Type="http://www.w3.org/TR/2002/REC-xmldsig-core-20020212/xmldsig-core-schema.xsd#X509Data" URI="#Id-keyinfo-11712390bc17243d110193ac033f54873ad8" Id="Id-keyinforef-ac3c6eb29c9af1964819db52ec661b26c339"&gt;</w:t>
      </w:r>
    </w:p>
    <w:p w14:paraId="46289EB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1F5CB2F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424A45D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3666CF2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2125066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&lt;DigestValue&gt;+0q515JTexjW0go5SdPl7+ydqXUKST91N44lIbXt8Yo=&lt;/DigestValue&gt;</w:t>
      </w:r>
    </w:p>
    <w:p w14:paraId="24732FA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71F6EC4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URI="#Id-sp-4179cfd1e4ba9c0aaed70450fc3c741c9c08" Id="Id-ref-cb8cc265f168034494eca1c25ec74bf9433c"&gt;</w:t>
      </w:r>
    </w:p>
    <w:p w14:paraId="28D37A3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54049E1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5032D4B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4916647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7B180A3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&lt;DigestValue&gt;f10/P/MZ5W1AwvdMPGkqpWfYGkK10xUw6SycuQIgFIc=&lt;/DigestValue&gt;</w:t>
      </w:r>
    </w:p>
    <w:p w14:paraId="644D68B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08B6913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5EECC96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&lt;SignatureValue&gt;Xg8mlCU46QdjuUgHR/GFI13DKE7tfRDOphsVyNpFnxC/Sa2XnEuGBKeW7azroY19</w:t>
      </w:r>
    </w:p>
    <w:p w14:paraId="3CF88FD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3u7EHXe4dKfnrJ7k7Eq5+A==&lt;/SignatureValue&gt;</w:t>
      </w:r>
    </w:p>
    <w:p w14:paraId="26B3609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4A8D0B6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1FFBF92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 xmlns="http://uri.etsi.org/01903/v1.4.1#" Target="Id-sig-b9199ca934cfa91bcff69e807d7b0dbd26f6"&gt;</w:t>
      </w:r>
    </w:p>
    <w:p w14:paraId="20928C5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&lt;SignedProperties Id="Id-sp-4179cfd1e4ba9c0aaed70450fc3c741c9c08"&gt;</w:t>
      </w:r>
    </w:p>
    <w:p w14:paraId="311D9A8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&lt;SignedSignatureProperties Id="Id-ssp-408cecc6a155b8a0f2850e81d5f57496bb2b"/&gt;</w:t>
      </w:r>
    </w:p>
    <w:p w14:paraId="57BEE39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&lt;/SignedProperties&gt;</w:t>
      </w:r>
    </w:p>
    <w:p w14:paraId="512F20C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&lt;/QualifyingProperties&gt;</w:t>
      </w:r>
    </w:p>
    <w:p w14:paraId="1809603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3ABCE35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7B6B484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CVNlcnZlciBDQTEgMB4GCSqGSIb3DQEJARYRdWNfZmtAcm9za2F6bmEucnUxHDAa</w:t>
      </w:r>
    </w:p>
    <w:p w14:paraId="5DC03E9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BgNVBAgMEzc3INCzLiDQnNC+0YHQutCy0LAxGjAYBggqhQMDgQMBARIMMDA3NzEw</w:t>
      </w:r>
    </w:p>
    <w:p w14:paraId="332E9B5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NTY4NzYwMRgwFgYFKoUDZAESDTEwNDc3OTcwMTk4MzAxLDAqBgNVBAkMI9GD0LvQ</w:t>
      </w:r>
    </w:p>
    <w:p w14:paraId="1E0A736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uNGG0LAg0JjQu9GM0LjQvdC60LAsINC00L7QvCA3MRUwEwYDVQQHDAzQnNC+0YHQ</w:t>
      </w:r>
    </w:p>
    <w:p w14:paraId="11FA40F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utCy0LAxCzAJBgNVBAYTAlJVMTgwNgYDVQQKDC/QpNC10LTQtdGA0LDQu9GM0L3Q</w:t>
      </w:r>
    </w:p>
    <w:p w14:paraId="489AF19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vtC1INC60LDQt9C90LDRh9C10LnRgdGC0LLQvjE/MD0GA1UEAww20KPQpiDQpNC1</w:t>
      </w:r>
    </w:p>
    <w:p w14:paraId="7B32E79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0LTQtdGA0LDQu9GM0L3QvtCz0L4g0LrQsNC30L3QsNGH0LXQudGB0YLQstCwMB4X</w:t>
      </w:r>
    </w:p>
    <w:p w14:paraId="6AECC0A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DTE2MDQwNzA4MTExMFoXDTE3MDcwNzA4MTExMFowggITMRYwFAYFKoUDZAMSCzEy</w:t>
      </w:r>
    </w:p>
    <w:p w14:paraId="17A8F89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MzQ1Njc4OTAxMRgwFgYFKoUDZAESDTAxMjM0NTY3ODkxMjMxGjAYBggqhQMDgQMB</w:t>
      </w:r>
    </w:p>
    <w:p w14:paraId="48551B1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ARIMMDAxMjM0NTY3ODkwMSYwJAYJKoZIhvcNAQkBFhduLm5hZ292aXRzeW5AaW5m</w:t>
      </w:r>
    </w:p>
    <w:p w14:paraId="03FDD6B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b3NlYy5ydTELMAkGA1UEBhMCUlUxHDAaBgNVBAgMEzc3INCzLiDQnNC+0YHQutCy</w:t>
      </w:r>
    </w:p>
    <w:p w14:paraId="3C23FB2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0LAxFTATBgNVBAcMDNCc0L7RgdC60LLQsDE4MDYGA1UECgwv0KTQtdC00LXRgNCw</w:t>
      </w:r>
    </w:p>
    <w:p w14:paraId="4B66257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0LvRjNC90L7QtSDQutCw0LfQvdCw0YfQtdC50YHRgtCy0L4xNDAyBgNVBAsMK9GC</w:t>
      </w:r>
    </w:p>
    <w:p w14:paraId="28B7FF1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0LXRgdGC0L7QstC+0LUg0L/QvtC00YDQsNC30LTQtdC70LXQvdC40LUxHDAaBgNV</w:t>
      </w:r>
    </w:p>
    <w:p w14:paraId="35C25D1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BCoME2PQtdGA0YLQuNGE0LjQutCw0YIxGTAXBgNVBAQMENCi0LXRgdGC0L7QstGL</w:t>
      </w:r>
    </w:p>
    <w:p w14:paraId="7C7B051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0LkxPTA7BgNVBAwMNNCi0LXRgdGC0L7QstGL0Lkg0YHQtdGA0YLQuNGE0LjQutCw</w:t>
      </w:r>
    </w:p>
    <w:p w14:paraId="168012B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0YIg0L/QvtC00L/QuNGB0LgxQTA/BgkqhkiG9w0BCQIMMklOTlw9MDEyMzQ1Njc4</w:t>
      </w:r>
    </w:p>
    <w:p w14:paraId="4A5B910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OS9LUFBcPTEyMzQ1Njc4OS9PR1JOXD0wMTIzNDU2Nzg5MTIzMS4wLAYDVQQDDCXQ</w:t>
      </w:r>
    </w:p>
    <w:p w14:paraId="35D7DED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otC10YHRgtC+0LLRi9C5INGB0LXRgNGC0LjRhNC40LrQsNGCMGMwHAYGKoUDAgIT</w:t>
      </w:r>
    </w:p>
    <w:p w14:paraId="358C860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MBIGByqFAwICJAAGByqFAwICHgEDQwAEQM/mE38gcSmh2U183WL3aPaP3tJu0vTq</w:t>
      </w:r>
    </w:p>
    <w:p w14:paraId="6AFF26B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CndMDcb72IGcv8nO7QkaqnFwXrkt6zScdQlQgUX78ct0+jNJa7ZIdLGjggRJMIIE</w:t>
      </w:r>
    </w:p>
    <w:p w14:paraId="597D28B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RTAMBgNVHRMBAf8EAjAAMB0GA1UdIAQWMBQwCAYGKoUDZHEBMAgGBiqFA2RxAjBN</w:t>
      </w:r>
    </w:p>
    <w:p w14:paraId="318F3C5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BgUqhQNkbwREDELQmtGA0LjQv9GC0L7Qn9GA0L4gQ1NQICjQstC10YDRgdC40Y8g</w:t>
      </w:r>
    </w:p>
    <w:p w14:paraId="5F0B6D6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My42KSAo0LjRgdC/0L7Qu9C90LXQvdC40LUgMikwggFhBgUqhQNkcASCAVYwggFS</w:t>
      </w:r>
    </w:p>
    <w:p w14:paraId="5470523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DEQi0JrRgNC40L/RgtC+0J/RgNC+IENTUCIgKNCy0LXRgNGB0LjRjyAzLjYpICjQ</w:t>
      </w:r>
    </w:p>
    <w:p w14:paraId="7410083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uNGB0L/QvtC70L3QtdC90LjQtSAyKQxoItCf0YDQvtCz0YDQsNC80LzQvdC+LdCw</w:t>
      </w:r>
    </w:p>
    <w:p w14:paraId="2617EAD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0L/Qv9Cw0YDQsNGC0L3Ri9C5INC60L7QvNC/0LvQtdC60YEgItCu0L3QuNGB0LXR</w:t>
      </w:r>
    </w:p>
    <w:p w14:paraId="7E99113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gNGCLdCT0J7QodCiIi4g0JLQtdGA0YHQuNGPIDIuMSIMT9Ch0LXRgNGC0LjRhNC4</w:t>
      </w:r>
    </w:p>
    <w:p w14:paraId="5137813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0LrQsNGCINGB0L7QvtGC0LLQtdGC0YHRgtCy0LjRjyDihJYg0KHQpC8xMjQtMjcz</w:t>
      </w:r>
    </w:p>
    <w:p w14:paraId="5965FBF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OCDQvtGCIDAxLjA3LjIwMTUMT9Ch0LXRgNGC0LjRhNC40LrQsNGCINGB0L7QvtGC</w:t>
      </w:r>
    </w:p>
    <w:p w14:paraId="388027C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0LLQtdGC0YHRgtCy0LjRjyDihJYg0KHQpC8xMjgtMjE3NSDQvtGCIDIwLjA2LjIw</w:t>
      </w:r>
    </w:p>
    <w:p w14:paraId="27827FC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MTMwDgYDVR0PAQH/BAQDAgTwMBMGA1UdJQQMMAoGCCsGAQUFBwMDMCsGA1UdEAQk</w:t>
      </w:r>
    </w:p>
    <w:p w14:paraId="546C5BD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MCKADzIwMTYwNDA3MDgwNDI4WoEPMjAxNzA3MDcwODA0MjhaMIIBjwYDVR0jBIIB</w:t>
      </w:r>
    </w:p>
    <w:p w14:paraId="5C0B440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hjCCAYKAFJ5xDg/atAEoXz/iy49lFZcCR4yroYIBZaSCAWEwggFdMRgwFgYJKoZI</w:t>
      </w:r>
    </w:p>
    <w:p w14:paraId="373EB2D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hvcNAQkCEwlTZXJ2ZXIgQ0ExIDAeBgkqhkiG9w0BCQEWEXVjX2ZrQHJvc2them5h</w:t>
      </w:r>
    </w:p>
    <w:p w14:paraId="7B5FAF3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LnJ1MRwwGgYDVQQIDBM3NyDQsy4g0JzQvtGB0LrQstCwMRowGAYIKoUDA4EDAQES</w:t>
      </w:r>
    </w:p>
    <w:p w14:paraId="20D15A9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DDAwNzcxMDU2ODc2MDEYMBYGBSqFA2QBEg0xMDQ3Nzk3MDE5ODMwMSwwKgYDVQQJ</w:t>
      </w:r>
    </w:p>
    <w:p w14:paraId="1A8C767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DCPRg9C70LjRhtCwINCY0LvRjNC40L3QutCwLCDQtNC+0LwgNzEVMBMGA1UEBwwM</w:t>
      </w:r>
    </w:p>
    <w:p w14:paraId="19A9B4D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0JzQvtGB0LrQstCwMQswCQYDVQQGEwJSVTE4MDYGA1UECgwv0KTQtdC00LXRgNCw</w:t>
      </w:r>
    </w:p>
    <w:p w14:paraId="1E8C188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0LvRjNC90L7QtSDQutCw0LfQvdCw0YfQtdC50YHRgtCy0L4xPzA9BgNVBAMMNtCj</w:t>
      </w:r>
    </w:p>
    <w:p w14:paraId="7F963DF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0KYg0KTQtdC00LXRgNCw0LvRjNC90L7Qs9C+INC60LDQt9C90LDRh9C10LnRgdGC</w:t>
      </w:r>
    </w:p>
    <w:p w14:paraId="41D3689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0LLQsIIBATBeBgNVHR8EVzBVMCmgJ6AlhiNodHRwOi8vY3JsLnJvc2them5hLnJ1</w:t>
      </w:r>
    </w:p>
    <w:p w14:paraId="6661716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L2NybC9mazAxLmNybDAooCagJIYiaHR0cDovL2NybC5mc2ZrLmxvY2FsL2NybC9m</w:t>
      </w:r>
    </w:p>
    <w:p w14:paraId="43486DD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azAxLmNybDAdBgNVHQ4EFgQUt0m7wwTPyJQ+5TDMkq5Z0WnD5vQwCAYGKoUDAgID</w:t>
      </w:r>
    </w:p>
    <w:p w14:paraId="4CAB6AE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A0EAReUQeQpqERyFF5XRWG8RnguKCWvPIQOt26PZmVTccxOXVHwZyI0rqdcQ2i4L</w:t>
      </w:r>
    </w:p>
    <w:p w14:paraId="67314C4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p87xs4bqOAO1BwhmKL/TsoC4pA==&lt;/wsse:BinarySecurityToken&gt;&lt;/wsse:Security&gt;&lt;/soapenv:Header&gt;</w:t>
      </w:r>
    </w:p>
    <w:p w14:paraId="69472AC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&lt;soapenv:Body xmlns:env="http://schemas.xmlsoap.org/soap/envelope/" wsu:Id="Id-wssecdata-29cef34e3106063e64fead91c94aeda97ff4"&gt;</w:t>
      </w:r>
    </w:p>
    <w:p w14:paraId="6A4049D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&lt;transferDocumentRequest xmlns:typ="http://www.roskazna.ru/eb/services/transferDocumentService/types" xmlns="http://www.roskazna.ru/eb/services/transferDocumentService/types" versionId="1.0"&gt;</w:t>
      </w:r>
    </w:p>
    <w:p w14:paraId="3F5C9BA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&lt;typ:header&gt;</w:t>
      </w:r>
    </w:p>
    <w:p w14:paraId="5ECB855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&lt;typ:packageId&gt;e8bf66bf-9cf1-47f1-a48b-394d18467fe3&lt;/typ:packageId&gt;</w:t>
      </w:r>
    </w:p>
    <w:p w14:paraId="40C7659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&lt;typ:senderSystemId&gt;PFHD&lt;/typ:senderSystemId&gt;</w:t>
      </w:r>
    </w:p>
    <w:p w14:paraId="3C91764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&lt;typ:targetSystemId&gt;EXP&lt;/typ:targetSystemId&gt;</w:t>
      </w:r>
    </w:p>
    <w:p w14:paraId="33723CA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&lt;typ:documentType&gt;MSC_ApplRfnd&lt;/typ:documentType&gt;</w:t>
      </w:r>
    </w:p>
    <w:p w14:paraId="408DD6D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&lt;typ:documentGuid&gt;a2e4e9b1-753d-4e55-d111-a46db4ac956a&lt;/typ:documentGuid&gt;</w:t>
      </w:r>
    </w:p>
    <w:p w14:paraId="1C77DFD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&lt;typ:creationDateTime&gt;2021-01-03T16:46:07.689+04:00&lt;/typ:creationDateTime&gt;</w:t>
      </w:r>
    </w:p>
    <w:p w14:paraId="3DD2AD2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&lt;typ:params&gt;</w:t>
      </w:r>
    </w:p>
    <w:p w14:paraId="564A2CB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 name="tofkCode" value="3200"/&gt;</w:t>
      </w:r>
    </w:p>
    <w:p w14:paraId="76A1C64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 name="versionId" value="2.0"/&gt;</w:t>
      </w:r>
    </w:p>
    <w:p w14:paraId="3741CB7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&lt;/typ:params&gt;</w:t>
      </w:r>
    </w:p>
    <w:p w14:paraId="7228984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&lt;/typ:header&gt;</w:t>
      </w:r>
    </w:p>
    <w:p w14:paraId="1A66F77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&lt;typ:document&gt;</w:t>
      </w:r>
    </w:p>
    <w:p w14:paraId="7B3187F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&lt;self:MSC_ApplRfnd xmlns="" metaType="formular" versionID="2.0" xsi:schemaLocation="http://www.roskazna.ru/eb/domain/MSC_ApplRfnd/formular formulars.xsd" xmlns:self="http://www.roskazna.ru/eb/domain/MSC_ApplRfnd/formular" xmlns:xsi="http://www.w3.org/2001/XMLSchema-instance"&gt;</w:t>
      </w:r>
    </w:p>
    <w:p w14:paraId="363B18B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&lt;ZV_ApplctnNm&gt;2435463&lt;/ZV_ApplctnNm&gt;</w:t>
      </w:r>
    </w:p>
    <w:p w14:paraId="142F8DE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&lt;ZV_MSC_Cstmr&gt;</w:t>
      </w:r>
    </w:p>
    <w:p w14:paraId="7F64A37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lang w:val="ru-RU"/>
        </w:rPr>
        <w:t>&lt;</w:t>
      </w:r>
      <w:r w:rsidRPr="00264D5D">
        <w:rPr>
          <w:rFonts w:cs="Courier New"/>
          <w:sz w:val="20"/>
        </w:rPr>
        <w:t>Cd</w:t>
      </w:r>
      <w:r w:rsidRPr="00264D5D">
        <w:rPr>
          <w:rFonts w:cs="Courier New"/>
          <w:sz w:val="20"/>
          <w:lang w:val="ru-RU"/>
        </w:rPr>
        <w:t>&gt;00437578&lt;/</w:t>
      </w:r>
      <w:r w:rsidRPr="00264D5D">
        <w:rPr>
          <w:rFonts w:cs="Courier New"/>
          <w:sz w:val="20"/>
        </w:rPr>
        <w:t>Cd</w:t>
      </w:r>
      <w:r w:rsidRPr="00264D5D">
        <w:rPr>
          <w:rFonts w:cs="Courier New"/>
          <w:sz w:val="20"/>
          <w:lang w:val="ru-RU"/>
        </w:rPr>
        <w:t>&gt;</w:t>
      </w:r>
    </w:p>
    <w:p w14:paraId="52DF514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FullNm</w:t>
      </w:r>
      <w:r w:rsidRPr="00264D5D">
        <w:rPr>
          <w:rFonts w:cs="Courier New"/>
          <w:sz w:val="20"/>
          <w:lang w:val="ru-RU"/>
        </w:rPr>
        <w:t>&gt;Верховный Суд Российской Федераци&lt;/</w:t>
      </w:r>
      <w:r w:rsidRPr="00264D5D">
        <w:rPr>
          <w:rFonts w:cs="Courier New"/>
          <w:sz w:val="20"/>
        </w:rPr>
        <w:t>FullNm</w:t>
      </w:r>
      <w:r w:rsidRPr="00264D5D">
        <w:rPr>
          <w:rFonts w:cs="Courier New"/>
          <w:sz w:val="20"/>
          <w:lang w:val="ru-RU"/>
        </w:rPr>
        <w:t>&gt;</w:t>
      </w:r>
    </w:p>
    <w:p w14:paraId="5C3D532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rPr>
        <w:t>&lt;AcntNmbr&gt;03951004370&lt;/AcntNmbr&gt;</w:t>
      </w:r>
    </w:p>
    <w:p w14:paraId="37AAE00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&lt;INN&gt;3400000001&lt;/INN&gt;</w:t>
      </w:r>
    </w:p>
    <w:p w14:paraId="3161012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&lt;KPP&gt;770401001&lt;/KPP&gt;</w:t>
      </w:r>
    </w:p>
    <w:p w14:paraId="7175E6C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&lt;/ZV_MSC_Cstmr&gt;</w:t>
      </w:r>
    </w:p>
    <w:p w14:paraId="5322F6D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&lt;ZV_MSC_Orgnztn&gt;</w:t>
      </w:r>
    </w:p>
    <w:p w14:paraId="7F64B03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MSC</w:t>
      </w:r>
      <w:r w:rsidRPr="00264D5D">
        <w:rPr>
          <w:rFonts w:cs="Courier New"/>
          <w:sz w:val="20"/>
          <w:lang w:val="ru-RU"/>
        </w:rPr>
        <w:t>_</w:t>
      </w:r>
      <w:r w:rsidRPr="00264D5D">
        <w:rPr>
          <w:rFonts w:cs="Courier New"/>
          <w:sz w:val="20"/>
        </w:rPr>
        <w:t>OrFK</w:t>
      </w:r>
      <w:r w:rsidRPr="00264D5D">
        <w:rPr>
          <w:rFonts w:cs="Courier New"/>
          <w:sz w:val="20"/>
          <w:lang w:val="ru-RU"/>
        </w:rPr>
        <w:t>&gt;</w:t>
      </w:r>
    </w:p>
    <w:p w14:paraId="54C9B9A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Nm</w:t>
      </w:r>
      <w:r w:rsidRPr="00264D5D">
        <w:rPr>
          <w:rFonts w:cs="Courier New"/>
          <w:sz w:val="20"/>
          <w:lang w:val="ru-RU"/>
        </w:rPr>
        <w:t>&gt;Межрегиональное операционное управление Федерального казначейства&lt;/</w:t>
      </w:r>
      <w:r w:rsidRPr="00264D5D">
        <w:rPr>
          <w:rFonts w:cs="Courier New"/>
          <w:sz w:val="20"/>
        </w:rPr>
        <w:t>Nm</w:t>
      </w:r>
      <w:r w:rsidRPr="00264D5D">
        <w:rPr>
          <w:rFonts w:cs="Courier New"/>
          <w:sz w:val="20"/>
          <w:lang w:val="ru-RU"/>
        </w:rPr>
        <w:t>&gt;</w:t>
      </w:r>
    </w:p>
    <w:p w14:paraId="59E3021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Cd</w:t>
      </w:r>
      <w:r w:rsidRPr="00264D5D">
        <w:rPr>
          <w:rFonts w:cs="Courier New"/>
          <w:sz w:val="20"/>
          <w:lang w:val="ru-RU"/>
        </w:rPr>
        <w:t>&gt;9500&lt;/</w:t>
      </w:r>
      <w:r w:rsidRPr="00264D5D">
        <w:rPr>
          <w:rFonts w:cs="Courier New"/>
          <w:sz w:val="20"/>
        </w:rPr>
        <w:t>Cd</w:t>
      </w:r>
      <w:r w:rsidRPr="00264D5D">
        <w:rPr>
          <w:rFonts w:cs="Courier New"/>
          <w:sz w:val="20"/>
          <w:lang w:val="ru-RU"/>
        </w:rPr>
        <w:t>&gt;</w:t>
      </w:r>
    </w:p>
    <w:p w14:paraId="74D3494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MSC</w:t>
      </w:r>
      <w:r w:rsidRPr="00264D5D">
        <w:rPr>
          <w:rFonts w:cs="Courier New"/>
          <w:sz w:val="20"/>
          <w:lang w:val="ru-RU"/>
        </w:rPr>
        <w:t>_</w:t>
      </w:r>
      <w:r w:rsidRPr="00264D5D">
        <w:rPr>
          <w:rFonts w:cs="Courier New"/>
          <w:sz w:val="20"/>
        </w:rPr>
        <w:t>OrFK</w:t>
      </w:r>
      <w:r w:rsidRPr="00264D5D">
        <w:rPr>
          <w:rFonts w:cs="Courier New"/>
          <w:sz w:val="20"/>
          <w:lang w:val="ru-RU"/>
        </w:rPr>
        <w:t>&gt;</w:t>
      </w:r>
    </w:p>
    <w:p w14:paraId="68AFE3D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NmBdgt</w:t>
      </w:r>
      <w:r w:rsidRPr="00264D5D">
        <w:rPr>
          <w:rFonts w:cs="Courier New"/>
          <w:sz w:val="20"/>
          <w:lang w:val="ru-RU"/>
        </w:rPr>
        <w:t>&gt;Федеральный бюджет&lt;/</w:t>
      </w:r>
      <w:r w:rsidRPr="00264D5D">
        <w:rPr>
          <w:rFonts w:cs="Courier New"/>
          <w:sz w:val="20"/>
        </w:rPr>
        <w:t>NmBdgt</w:t>
      </w:r>
      <w:r w:rsidRPr="00264D5D">
        <w:rPr>
          <w:rFonts w:cs="Courier New"/>
          <w:sz w:val="20"/>
          <w:lang w:val="ru-RU"/>
        </w:rPr>
        <w:t>&gt;</w:t>
      </w:r>
    </w:p>
    <w:p w14:paraId="3EC58DD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FnclInst</w:t>
      </w:r>
      <w:r w:rsidRPr="00264D5D">
        <w:rPr>
          <w:rFonts w:cs="Courier New"/>
          <w:sz w:val="20"/>
          <w:lang w:val="ru-RU"/>
        </w:rPr>
        <w:t>&gt;</w:t>
      </w:r>
    </w:p>
    <w:p w14:paraId="3BDF7B4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FnclInst</w:t>
      </w:r>
      <w:r w:rsidRPr="00264D5D">
        <w:rPr>
          <w:rFonts w:cs="Courier New"/>
          <w:sz w:val="20"/>
          <w:lang w:val="ru-RU"/>
        </w:rPr>
        <w:t>&gt;Министерство финансов Российской Федерации&lt;/</w:t>
      </w:r>
      <w:r w:rsidRPr="00264D5D">
        <w:rPr>
          <w:rFonts w:cs="Courier New"/>
          <w:sz w:val="20"/>
        </w:rPr>
        <w:t>FnclInst</w:t>
      </w:r>
      <w:r w:rsidRPr="00264D5D">
        <w:rPr>
          <w:rFonts w:cs="Courier New"/>
          <w:sz w:val="20"/>
          <w:lang w:val="ru-RU"/>
        </w:rPr>
        <w:t>&gt;</w:t>
      </w:r>
    </w:p>
    <w:p w14:paraId="0789042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OKPOCd</w:t>
      </w:r>
      <w:r w:rsidRPr="00264D5D">
        <w:rPr>
          <w:rFonts w:cs="Courier New"/>
          <w:sz w:val="20"/>
          <w:lang w:val="ru-RU"/>
        </w:rPr>
        <w:t>&gt;00013474&lt;/</w:t>
      </w:r>
      <w:r w:rsidRPr="00264D5D">
        <w:rPr>
          <w:rFonts w:cs="Courier New"/>
          <w:sz w:val="20"/>
        </w:rPr>
        <w:t>OKPOCd</w:t>
      </w:r>
      <w:r w:rsidRPr="00264D5D">
        <w:rPr>
          <w:rFonts w:cs="Courier New"/>
          <w:sz w:val="20"/>
          <w:lang w:val="ru-RU"/>
        </w:rPr>
        <w:t>&gt;</w:t>
      </w:r>
    </w:p>
    <w:p w14:paraId="2E71DA5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FnclInst</w:t>
      </w:r>
      <w:r w:rsidRPr="00264D5D">
        <w:rPr>
          <w:rFonts w:cs="Courier New"/>
          <w:sz w:val="20"/>
          <w:lang w:val="ru-RU"/>
        </w:rPr>
        <w:t>&gt;</w:t>
      </w:r>
    </w:p>
    <w:p w14:paraId="60D2D51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ZV</w:t>
      </w:r>
      <w:r w:rsidRPr="00264D5D">
        <w:rPr>
          <w:rFonts w:cs="Courier New"/>
          <w:sz w:val="20"/>
          <w:lang w:val="ru-RU"/>
        </w:rPr>
        <w:t>_</w:t>
      </w:r>
      <w:r w:rsidRPr="00264D5D">
        <w:rPr>
          <w:rFonts w:cs="Courier New"/>
          <w:sz w:val="20"/>
        </w:rPr>
        <w:t>MSC</w:t>
      </w:r>
      <w:r w:rsidRPr="00264D5D">
        <w:rPr>
          <w:rFonts w:cs="Courier New"/>
          <w:sz w:val="20"/>
          <w:lang w:val="ru-RU"/>
        </w:rPr>
        <w:t>_</w:t>
      </w:r>
      <w:r w:rsidRPr="00264D5D">
        <w:rPr>
          <w:rFonts w:cs="Courier New"/>
          <w:sz w:val="20"/>
        </w:rPr>
        <w:t>Orgnztn</w:t>
      </w:r>
      <w:r w:rsidRPr="00264D5D">
        <w:rPr>
          <w:rFonts w:cs="Courier New"/>
          <w:sz w:val="20"/>
          <w:lang w:val="ru-RU"/>
        </w:rPr>
        <w:t>&gt;</w:t>
      </w:r>
    </w:p>
    <w:p w14:paraId="13467D4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&lt;ZV_MSC_GRBS&gt;</w:t>
      </w:r>
    </w:p>
    <w:p w14:paraId="1240A1B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&lt;Cd&gt;437&lt;/Cd&gt;</w:t>
      </w:r>
    </w:p>
    <w:p w14:paraId="54881D8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lang w:val="ru-RU"/>
        </w:rPr>
        <w:t>&lt;</w:t>
      </w:r>
      <w:r w:rsidRPr="00264D5D">
        <w:rPr>
          <w:rFonts w:cs="Courier New"/>
          <w:sz w:val="20"/>
        </w:rPr>
        <w:t>Nm</w:t>
      </w:r>
      <w:r w:rsidRPr="00264D5D">
        <w:rPr>
          <w:rFonts w:cs="Courier New"/>
          <w:sz w:val="20"/>
          <w:lang w:val="ru-RU"/>
        </w:rPr>
        <w:t>&gt;Верховный Суд Российской Федерации&lt;/</w:t>
      </w:r>
      <w:r w:rsidRPr="00264D5D">
        <w:rPr>
          <w:rFonts w:cs="Courier New"/>
          <w:sz w:val="20"/>
        </w:rPr>
        <w:t>Nm</w:t>
      </w:r>
      <w:r w:rsidRPr="00264D5D">
        <w:rPr>
          <w:rFonts w:cs="Courier New"/>
          <w:sz w:val="20"/>
          <w:lang w:val="ru-RU"/>
        </w:rPr>
        <w:t>&gt;</w:t>
      </w:r>
    </w:p>
    <w:p w14:paraId="04E0B0A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&lt;/ZV_MSC_GRBS&gt;</w:t>
      </w:r>
    </w:p>
    <w:p w14:paraId="3AE6123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&lt;ZV_MSC_Hd&gt;</w:t>
      </w:r>
    </w:p>
    <w:p w14:paraId="2755CB7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lang w:val="ru-RU"/>
        </w:rPr>
        <w:t>&lt;</w:t>
      </w:r>
      <w:r w:rsidRPr="00264D5D">
        <w:rPr>
          <w:rFonts w:cs="Courier New"/>
          <w:sz w:val="20"/>
        </w:rPr>
        <w:t>Pst</w:t>
      </w:r>
      <w:r w:rsidRPr="00264D5D">
        <w:rPr>
          <w:rFonts w:cs="Courier New"/>
          <w:sz w:val="20"/>
          <w:lang w:val="ru-RU"/>
        </w:rPr>
        <w:t>&gt;Первый заместитель Председателя&lt;/</w:t>
      </w:r>
      <w:r w:rsidRPr="00264D5D">
        <w:rPr>
          <w:rFonts w:cs="Courier New"/>
          <w:sz w:val="20"/>
        </w:rPr>
        <w:t>Pst</w:t>
      </w:r>
      <w:r w:rsidRPr="00264D5D">
        <w:rPr>
          <w:rFonts w:cs="Courier New"/>
          <w:sz w:val="20"/>
          <w:lang w:val="ru-RU"/>
        </w:rPr>
        <w:t>&gt;</w:t>
      </w:r>
    </w:p>
    <w:p w14:paraId="216BFF0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FIO</w:t>
      </w:r>
      <w:r w:rsidRPr="00264D5D">
        <w:rPr>
          <w:rFonts w:cs="Courier New"/>
          <w:sz w:val="20"/>
          <w:lang w:val="ru-RU"/>
        </w:rPr>
        <w:t>&gt;П.П. Серков&lt;/</w:t>
      </w:r>
      <w:r w:rsidRPr="00264D5D">
        <w:rPr>
          <w:rFonts w:cs="Courier New"/>
          <w:sz w:val="20"/>
        </w:rPr>
        <w:t>FIO</w:t>
      </w:r>
      <w:r w:rsidRPr="00264D5D">
        <w:rPr>
          <w:rFonts w:cs="Courier New"/>
          <w:sz w:val="20"/>
          <w:lang w:val="ru-RU"/>
        </w:rPr>
        <w:t>&gt;</w:t>
      </w:r>
    </w:p>
    <w:p w14:paraId="47249FF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&lt;/ZV_MSC_Hd&gt;</w:t>
      </w:r>
    </w:p>
    <w:p w14:paraId="6319A57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&lt;ZV_MSC_RspnExctr&gt;</w:t>
      </w:r>
    </w:p>
    <w:p w14:paraId="69ECAA4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lang w:val="ru-RU"/>
        </w:rPr>
        <w:t>&lt;</w:t>
      </w:r>
      <w:r w:rsidRPr="00264D5D">
        <w:rPr>
          <w:rFonts w:cs="Courier New"/>
          <w:sz w:val="20"/>
        </w:rPr>
        <w:t>Pst</w:t>
      </w:r>
      <w:r w:rsidRPr="00264D5D">
        <w:rPr>
          <w:rFonts w:cs="Courier New"/>
          <w:sz w:val="20"/>
          <w:lang w:val="ru-RU"/>
        </w:rPr>
        <w:t>&gt;Начальник управления&lt;/</w:t>
      </w:r>
      <w:r w:rsidRPr="00264D5D">
        <w:rPr>
          <w:rFonts w:cs="Courier New"/>
          <w:sz w:val="20"/>
        </w:rPr>
        <w:t>Pst</w:t>
      </w:r>
      <w:r w:rsidRPr="00264D5D">
        <w:rPr>
          <w:rFonts w:cs="Courier New"/>
          <w:sz w:val="20"/>
          <w:lang w:val="ru-RU"/>
        </w:rPr>
        <w:t>&gt;</w:t>
      </w:r>
    </w:p>
    <w:p w14:paraId="374E4C6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FIO</w:t>
      </w:r>
      <w:r w:rsidRPr="00264D5D">
        <w:rPr>
          <w:rFonts w:cs="Courier New"/>
          <w:sz w:val="20"/>
          <w:lang w:val="ru-RU"/>
        </w:rPr>
        <w:t>&gt;А.Б. Воронин&lt;/</w:t>
      </w:r>
      <w:r w:rsidRPr="00264D5D">
        <w:rPr>
          <w:rFonts w:cs="Courier New"/>
          <w:sz w:val="20"/>
        </w:rPr>
        <w:t>FIO</w:t>
      </w:r>
      <w:r w:rsidRPr="00264D5D">
        <w:rPr>
          <w:rFonts w:cs="Courier New"/>
          <w:sz w:val="20"/>
          <w:lang w:val="ru-RU"/>
        </w:rPr>
        <w:t>&gt;</w:t>
      </w:r>
    </w:p>
    <w:p w14:paraId="51D5CBA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ZV</w:t>
      </w:r>
      <w:r w:rsidRPr="00264D5D">
        <w:rPr>
          <w:rFonts w:cs="Courier New"/>
          <w:sz w:val="20"/>
          <w:lang w:val="ru-RU"/>
        </w:rPr>
        <w:t>_</w:t>
      </w:r>
      <w:r w:rsidRPr="00264D5D">
        <w:rPr>
          <w:rFonts w:cs="Courier New"/>
          <w:sz w:val="20"/>
        </w:rPr>
        <w:t>MSC</w:t>
      </w:r>
      <w:r w:rsidRPr="00264D5D">
        <w:rPr>
          <w:rFonts w:cs="Courier New"/>
          <w:sz w:val="20"/>
          <w:lang w:val="ru-RU"/>
        </w:rPr>
        <w:t>_</w:t>
      </w:r>
      <w:r w:rsidRPr="00264D5D">
        <w:rPr>
          <w:rFonts w:cs="Courier New"/>
          <w:sz w:val="20"/>
        </w:rPr>
        <w:t>RspnExctr</w:t>
      </w:r>
      <w:r w:rsidRPr="00264D5D">
        <w:rPr>
          <w:rFonts w:cs="Courier New"/>
          <w:sz w:val="20"/>
          <w:lang w:val="ru-RU"/>
        </w:rPr>
        <w:t>&gt;</w:t>
      </w:r>
    </w:p>
    <w:p w14:paraId="11F1D2E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ZV</w:t>
      </w:r>
      <w:r w:rsidRPr="00264D5D">
        <w:rPr>
          <w:rFonts w:cs="Courier New"/>
          <w:sz w:val="20"/>
          <w:lang w:val="ru-RU"/>
        </w:rPr>
        <w:t>_</w:t>
      </w:r>
      <w:r w:rsidRPr="00264D5D">
        <w:rPr>
          <w:rFonts w:cs="Courier New"/>
          <w:sz w:val="20"/>
        </w:rPr>
        <w:t>DtfSgn</w:t>
      </w:r>
      <w:r w:rsidRPr="00264D5D">
        <w:rPr>
          <w:rFonts w:cs="Courier New"/>
          <w:sz w:val="20"/>
          <w:lang w:val="ru-RU"/>
        </w:rPr>
        <w:t>&gt;2021-01-03&lt;/</w:t>
      </w:r>
      <w:r w:rsidRPr="00264D5D">
        <w:rPr>
          <w:rFonts w:cs="Courier New"/>
          <w:sz w:val="20"/>
        </w:rPr>
        <w:t>ZV</w:t>
      </w:r>
      <w:r w:rsidRPr="00264D5D">
        <w:rPr>
          <w:rFonts w:cs="Courier New"/>
          <w:sz w:val="20"/>
          <w:lang w:val="ru-RU"/>
        </w:rPr>
        <w:t>_</w:t>
      </w:r>
      <w:r w:rsidRPr="00264D5D">
        <w:rPr>
          <w:rFonts w:cs="Courier New"/>
          <w:sz w:val="20"/>
        </w:rPr>
        <w:t>DtfSgn</w:t>
      </w:r>
      <w:r w:rsidRPr="00264D5D">
        <w:rPr>
          <w:rFonts w:cs="Courier New"/>
          <w:sz w:val="20"/>
          <w:lang w:val="ru-RU"/>
        </w:rPr>
        <w:t>&gt;</w:t>
      </w:r>
    </w:p>
    <w:p w14:paraId="0533D11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ZV</w:t>
      </w:r>
      <w:r w:rsidRPr="00264D5D">
        <w:rPr>
          <w:rFonts w:cs="Courier New"/>
          <w:sz w:val="20"/>
          <w:lang w:val="ru-RU"/>
        </w:rPr>
        <w:t>_</w:t>
      </w:r>
      <w:r w:rsidRPr="00264D5D">
        <w:rPr>
          <w:rFonts w:cs="Courier New"/>
          <w:sz w:val="20"/>
        </w:rPr>
        <w:t>MSC</w:t>
      </w:r>
      <w:r w:rsidRPr="00264D5D">
        <w:rPr>
          <w:rFonts w:cs="Courier New"/>
          <w:sz w:val="20"/>
          <w:lang w:val="ru-RU"/>
        </w:rPr>
        <w:t>_</w:t>
      </w:r>
      <w:r w:rsidRPr="00264D5D">
        <w:rPr>
          <w:rFonts w:cs="Courier New"/>
          <w:sz w:val="20"/>
        </w:rPr>
        <w:t>MrkOrFK</w:t>
      </w:r>
      <w:r w:rsidRPr="00264D5D">
        <w:rPr>
          <w:rFonts w:cs="Courier New"/>
          <w:sz w:val="20"/>
          <w:lang w:val="ru-RU"/>
        </w:rPr>
        <w:t>&gt;</w:t>
      </w:r>
    </w:p>
    <w:p w14:paraId="2FE9208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RqstNm</w:t>
      </w:r>
      <w:r w:rsidRPr="00264D5D">
        <w:rPr>
          <w:rFonts w:cs="Courier New"/>
          <w:sz w:val="20"/>
          <w:lang w:val="ru-RU"/>
        </w:rPr>
        <w:t>&gt;ЗКР9500/16-4520&lt;/</w:t>
      </w:r>
      <w:r w:rsidRPr="00264D5D">
        <w:rPr>
          <w:rFonts w:cs="Courier New"/>
          <w:sz w:val="20"/>
        </w:rPr>
        <w:t>RqstNm</w:t>
      </w:r>
      <w:r w:rsidRPr="00264D5D">
        <w:rPr>
          <w:rFonts w:cs="Courier New"/>
          <w:sz w:val="20"/>
          <w:lang w:val="ru-RU"/>
        </w:rPr>
        <w:t>&gt;</w:t>
      </w:r>
    </w:p>
    <w:p w14:paraId="1D924F6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RgsDt</w:t>
      </w:r>
      <w:r w:rsidRPr="00264D5D">
        <w:rPr>
          <w:rFonts w:cs="Courier New"/>
          <w:sz w:val="20"/>
          <w:lang w:val="ru-RU"/>
        </w:rPr>
        <w:t>&gt;2021-01-03&lt;/</w:t>
      </w:r>
      <w:r w:rsidRPr="00264D5D">
        <w:rPr>
          <w:rFonts w:cs="Courier New"/>
          <w:sz w:val="20"/>
        </w:rPr>
        <w:t>RgsDt</w:t>
      </w:r>
      <w:r w:rsidRPr="00264D5D">
        <w:rPr>
          <w:rFonts w:cs="Courier New"/>
          <w:sz w:val="20"/>
          <w:lang w:val="ru-RU"/>
        </w:rPr>
        <w:t>&gt;</w:t>
      </w:r>
    </w:p>
    <w:p w14:paraId="10FC491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Pstn</w:t>
      </w:r>
      <w:r w:rsidRPr="00264D5D">
        <w:rPr>
          <w:rFonts w:cs="Courier New"/>
          <w:sz w:val="20"/>
          <w:lang w:val="ru-RU"/>
        </w:rPr>
        <w:t>&gt;Главный специалист эксперт&lt;/</w:t>
      </w:r>
      <w:r w:rsidRPr="00264D5D">
        <w:rPr>
          <w:rFonts w:cs="Courier New"/>
          <w:sz w:val="20"/>
        </w:rPr>
        <w:t>Pstn</w:t>
      </w:r>
      <w:r w:rsidRPr="00264D5D">
        <w:rPr>
          <w:rFonts w:cs="Courier New"/>
          <w:sz w:val="20"/>
          <w:lang w:val="ru-RU"/>
        </w:rPr>
        <w:t>&gt;</w:t>
      </w:r>
    </w:p>
    <w:p w14:paraId="398D56D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FllNm</w:t>
      </w:r>
      <w:r w:rsidRPr="00264D5D">
        <w:rPr>
          <w:rFonts w:cs="Courier New"/>
          <w:sz w:val="20"/>
          <w:lang w:val="ru-RU"/>
        </w:rPr>
        <w:t>&gt;В.К. Иванова&lt;/</w:t>
      </w:r>
      <w:r w:rsidRPr="00264D5D">
        <w:rPr>
          <w:rFonts w:cs="Courier New"/>
          <w:sz w:val="20"/>
        </w:rPr>
        <w:t>FllNm</w:t>
      </w:r>
      <w:r w:rsidRPr="00264D5D">
        <w:rPr>
          <w:rFonts w:cs="Courier New"/>
          <w:sz w:val="20"/>
          <w:lang w:val="ru-RU"/>
        </w:rPr>
        <w:t>&gt;</w:t>
      </w:r>
    </w:p>
    <w:p w14:paraId="7E4A561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lastRenderedPageBreak/>
        <w:tab/>
      </w:r>
      <w:r w:rsidRPr="00264D5D">
        <w:rPr>
          <w:rFonts w:cs="Courier New"/>
          <w:sz w:val="20"/>
        </w:rPr>
        <w:t>&lt;Tlphn&gt;915-23-66&lt;/Tlphn&gt;</w:t>
      </w:r>
    </w:p>
    <w:p w14:paraId="04D6A41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&lt;/ZV_MSC_MrkOrFK&gt;</w:t>
      </w:r>
    </w:p>
    <w:p w14:paraId="39614B6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&lt;ZVDOC_KndMns code="1"/&gt;</w:t>
      </w:r>
    </w:p>
    <w:p w14:paraId="6495F0A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&lt;ZVDOC_OKTMO&gt;45382000&lt;/ZVDOC_OKTMO&gt;</w:t>
      </w:r>
    </w:p>
    <w:p w14:paraId="673F034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&lt;ZVDOC_SmVl&gt;1000.00&lt;/ZVDOC_SmVl&gt;</w:t>
      </w:r>
    </w:p>
    <w:p w14:paraId="776D79E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&lt;ZVDOC_CdOKV&gt;840&lt;/ZVDOC_CdOKV&gt;</w:t>
      </w:r>
    </w:p>
    <w:p w14:paraId="3DE9AAB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&lt;ZVDOC_MSC_Pmnt&gt;</w:t>
      </w:r>
    </w:p>
    <w:p w14:paraId="48462F2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&lt;Prt&gt;5&lt;/Prt&gt;</w:t>
      </w:r>
    </w:p>
    <w:p w14:paraId="478CBA3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lang w:val="ru-RU"/>
        </w:rPr>
        <w:t>&lt;</w:t>
      </w:r>
      <w:r w:rsidRPr="00264D5D">
        <w:rPr>
          <w:rFonts w:cs="Courier New"/>
          <w:sz w:val="20"/>
        </w:rPr>
        <w:t>Knd</w:t>
      </w:r>
      <w:r w:rsidRPr="00264D5D">
        <w:rPr>
          <w:rFonts w:cs="Courier New"/>
          <w:sz w:val="20"/>
          <w:lang w:val="ru-RU"/>
        </w:rPr>
        <w:t xml:space="preserve"> </w:t>
      </w:r>
      <w:r w:rsidRPr="00264D5D">
        <w:rPr>
          <w:rFonts w:cs="Courier New"/>
          <w:sz w:val="20"/>
        </w:rPr>
        <w:t>code</w:t>
      </w:r>
      <w:r w:rsidRPr="00264D5D">
        <w:rPr>
          <w:rFonts w:cs="Courier New"/>
          <w:sz w:val="20"/>
          <w:lang w:val="ru-RU"/>
        </w:rPr>
        <w:t>="4"/&gt;</w:t>
      </w:r>
    </w:p>
    <w:p w14:paraId="7CD1E81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Prps</w:t>
      </w:r>
      <w:r w:rsidRPr="00264D5D">
        <w:rPr>
          <w:rFonts w:cs="Courier New"/>
          <w:sz w:val="20"/>
          <w:lang w:val="ru-RU"/>
        </w:rPr>
        <w:t>&gt;Плата за негативное воздействие на окруж.среду&lt;/</w:t>
      </w:r>
      <w:r w:rsidRPr="00264D5D">
        <w:rPr>
          <w:rFonts w:cs="Courier New"/>
          <w:sz w:val="20"/>
        </w:rPr>
        <w:t>Prps</w:t>
      </w:r>
      <w:r w:rsidRPr="00264D5D">
        <w:rPr>
          <w:rFonts w:cs="Courier New"/>
          <w:sz w:val="20"/>
          <w:lang w:val="ru-RU"/>
        </w:rPr>
        <w:t>&gt;</w:t>
      </w:r>
    </w:p>
    <w:p w14:paraId="1BC2899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ZVDOC</w:t>
      </w:r>
      <w:r w:rsidRPr="00264D5D">
        <w:rPr>
          <w:rFonts w:cs="Courier New"/>
          <w:sz w:val="20"/>
          <w:lang w:val="ru-RU"/>
        </w:rPr>
        <w:t>_</w:t>
      </w:r>
      <w:r w:rsidRPr="00264D5D">
        <w:rPr>
          <w:rFonts w:cs="Courier New"/>
          <w:sz w:val="20"/>
        </w:rPr>
        <w:t>MSC</w:t>
      </w:r>
      <w:r w:rsidRPr="00264D5D">
        <w:rPr>
          <w:rFonts w:cs="Courier New"/>
          <w:sz w:val="20"/>
          <w:lang w:val="ru-RU"/>
        </w:rPr>
        <w:t>_</w:t>
      </w:r>
      <w:r w:rsidRPr="00264D5D">
        <w:rPr>
          <w:rFonts w:cs="Courier New"/>
          <w:sz w:val="20"/>
        </w:rPr>
        <w:t>Pmnt</w:t>
      </w:r>
      <w:r w:rsidRPr="00264D5D">
        <w:rPr>
          <w:rFonts w:cs="Courier New"/>
          <w:sz w:val="20"/>
          <w:lang w:val="ru-RU"/>
        </w:rPr>
        <w:t>&gt;</w:t>
      </w:r>
    </w:p>
    <w:p w14:paraId="11250C7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ZVDOCOSN</w:t>
      </w:r>
      <w:r w:rsidRPr="00264D5D">
        <w:rPr>
          <w:rFonts w:cs="Courier New"/>
          <w:sz w:val="20"/>
          <w:lang w:val="ru-RU"/>
        </w:rPr>
        <w:t>_</w:t>
      </w:r>
      <w:r w:rsidRPr="00264D5D">
        <w:rPr>
          <w:rFonts w:cs="Courier New"/>
          <w:sz w:val="20"/>
        </w:rPr>
        <w:t>MSC</w:t>
      </w:r>
      <w:r w:rsidRPr="00264D5D">
        <w:rPr>
          <w:rFonts w:cs="Courier New"/>
          <w:sz w:val="20"/>
          <w:lang w:val="ru-RU"/>
        </w:rPr>
        <w:t>_</w:t>
      </w:r>
      <w:r w:rsidRPr="00264D5D">
        <w:rPr>
          <w:rFonts w:cs="Courier New"/>
          <w:sz w:val="20"/>
        </w:rPr>
        <w:t>ShrtDcBs</w:t>
      </w:r>
      <w:r w:rsidRPr="00264D5D">
        <w:rPr>
          <w:rFonts w:cs="Courier New"/>
          <w:sz w:val="20"/>
          <w:lang w:val="ru-RU"/>
        </w:rPr>
        <w:t>&gt;</w:t>
      </w:r>
    </w:p>
    <w:p w14:paraId="555B39C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&lt;MSC_ShrtDcBs_ITEM&gt;</w:t>
      </w:r>
    </w:p>
    <w:p w14:paraId="27C50C6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&lt;RcrdNm&gt;1&lt;/RcrdNm&gt;</w:t>
      </w:r>
    </w:p>
    <w:p w14:paraId="4D7A3F6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&lt;Knd&gt;ЗКР&lt;/Knd&gt;</w:t>
      </w:r>
    </w:p>
    <w:p w14:paraId="65DE7CA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&lt;DcNmbr&gt;140021&lt;/DcNmbr&gt;</w:t>
      </w:r>
    </w:p>
    <w:p w14:paraId="235FE0C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&lt;DctDt&gt;2021-01-03&lt;/DctDt&gt;</w:t>
      </w:r>
    </w:p>
    <w:p w14:paraId="303F76F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&lt;/MSC_ShrtDcBs_ITEM&gt;</w:t>
      </w:r>
    </w:p>
    <w:p w14:paraId="0DC44D9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&lt;/ZVDOCOSN_MSC_ShrtDcBs&gt;</w:t>
      </w:r>
    </w:p>
    <w:p w14:paraId="3EE205A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&lt;ZVDOCPOL_MSC_Cntrctr&gt;</w:t>
      </w:r>
    </w:p>
    <w:p w14:paraId="7FFFC96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Nm</w:t>
      </w:r>
      <w:r w:rsidRPr="00264D5D">
        <w:rPr>
          <w:rFonts w:cs="Courier New"/>
          <w:sz w:val="20"/>
          <w:lang w:val="ru-RU"/>
        </w:rPr>
        <w:t>&gt;УФК по Московской области (Департамент Росприроднадзора по Центральному федеральному округу л/с 04481819180)&lt;/</w:t>
      </w:r>
      <w:r w:rsidRPr="00264D5D">
        <w:rPr>
          <w:rFonts w:cs="Courier New"/>
          <w:sz w:val="20"/>
        </w:rPr>
        <w:t>Nm</w:t>
      </w:r>
      <w:r w:rsidRPr="00264D5D">
        <w:rPr>
          <w:rFonts w:cs="Courier New"/>
          <w:sz w:val="20"/>
          <w:lang w:val="ru-RU"/>
        </w:rPr>
        <w:t>&gt;</w:t>
      </w:r>
    </w:p>
    <w:p w14:paraId="12DE90A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&lt;INN&gt;7724559170&lt;/INN&gt;</w:t>
      </w:r>
    </w:p>
    <w:p w14:paraId="7F5FD92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&lt;KPP&gt;772401001&lt;/KPP&gt;</w:t>
      </w:r>
    </w:p>
    <w:p w14:paraId="1B1A13B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&lt;AcntNm&gt;04481819180&lt;/AcntNm&gt;</w:t>
      </w:r>
    </w:p>
    <w:p w14:paraId="5272506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&lt;MSC_Bnk&gt;</w:t>
      </w:r>
    </w:p>
    <w:p w14:paraId="068471B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&lt;AcNm&gt;40101810600000010102&lt;/AcNm&gt;</w:t>
      </w:r>
    </w:p>
    <w:p w14:paraId="220B469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&lt;Nm&gt;ОТДЕЛЕНИЕ 1 МОСКВА&lt;/Nm&gt;</w:t>
      </w:r>
    </w:p>
    <w:p w14:paraId="259F987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&lt;BIK&gt;044583001&lt;/BIK&gt;</w:t>
      </w:r>
    </w:p>
    <w:p w14:paraId="76A830D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&lt;CrAccNm&gt;40101810600000010102&lt;/CrAccNm&gt;</w:t>
      </w:r>
    </w:p>
    <w:p w14:paraId="2D66A9B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&lt;/MSC_Bnk&gt;</w:t>
      </w:r>
    </w:p>
    <w:p w14:paraId="568A4E1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&lt;/ZVDOCPOL_MSC_Cntrctr&gt;</w:t>
      </w:r>
    </w:p>
    <w:p w14:paraId="12E1A19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&lt;ZVDOCPOL_OKTMO&gt;45382000&lt;/ZVDOCPOL_OKTMO&gt;</w:t>
      </w:r>
    </w:p>
    <w:p w14:paraId="750004C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&lt;TtlPrt_SECRECY&gt;0&lt;/TtlPrt_SECRECY&gt;</w:t>
      </w:r>
    </w:p>
    <w:p w14:paraId="1CC41C9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&lt;ZV_MSC_Infrmtn&gt;</w:t>
      </w:r>
    </w:p>
    <w:p w14:paraId="2A8A701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&lt;GUID&gt;f861b623-f376-еe31-901f-0044b1562e11&lt;/GUID&gt;</w:t>
      </w:r>
    </w:p>
    <w:p w14:paraId="1BFB70B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&lt;CrtnDt&gt;2021-01-03&lt;/CrtnDt&gt;</w:t>
      </w:r>
    </w:p>
    <w:p w14:paraId="181FB2B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&lt;/ZV_MSC_Infrmtn&gt;</w:t>
      </w:r>
    </w:p>
    <w:p w14:paraId="1318AE1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 xmlns="http://www.w3.org/2000/09/xmldsig#" Id="Id-sig-d373256b5942f08343bc8d034aadd7158f61"&gt;</w:t>
      </w:r>
    </w:p>
    <w:p w14:paraId="34DC63E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05F0844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&lt;CanonicalizationMethod Algorithm="http://www.w3.org/2001/10/xml-exc-c14n#"/&gt;</w:t>
      </w:r>
    </w:p>
    <w:p w14:paraId="77108EC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&lt;SignatureMethod Algorithm="http://www.w3.org/2001/04/xmldsig-more#gostr34102001-gostr3411"/&gt;</w:t>
      </w:r>
    </w:p>
    <w:p w14:paraId="5143794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URI="Id-xadesdata-eaf97d94646411e9b78d005056834f23" Id="Id-dataref-dfd24e85a456a1a342553e99c27fd5695cff"&gt;</w:t>
      </w:r>
    </w:p>
    <w:p w14:paraId="2491AAE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0357677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Algorithm="http://www.w3.org/2000/09/xmldsig#enveloped-signature"/&gt;</w:t>
      </w:r>
    </w:p>
    <w:p w14:paraId="4B2A305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2C8DD5E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58538CE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&lt;DigestValue&gt;tuuoIThRLrpmXrL14i8lPFRl0pwMCiUsBbH5BypOA0I=&lt;/DigestValue&gt;</w:t>
      </w:r>
    </w:p>
    <w:p w14:paraId="18525F0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2B145DD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&lt;Reference Type="http://www.w3.org/TR/2002/REC-xmldsig-core-20020212/xmldsig-core-schema.xsd#X509Data" URI="#Id-keyinfo-3dfe71fe8d5a7f7591dd337029c400ccf286" Id="Id-keyinforef-9674835ee89ca1067673b6fbb04db381a2a6"&gt;</w:t>
      </w:r>
    </w:p>
    <w:p w14:paraId="4760FA3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6E6AF1A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17C59B4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&lt;/Transforms&gt;</w:t>
      </w:r>
    </w:p>
    <w:p w14:paraId="12E3370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31C2FCE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&lt;DigestValue&gt;fIKSx5SIme2CRgDvDzflubM+Qqh4IkAWCXPpzXWD/AQ=&lt;/DigestValue&gt;</w:t>
      </w:r>
    </w:p>
    <w:p w14:paraId="206C2ED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714CAAB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&lt;Reference URI="#Id-sp-c353e147090ff61f2f90dcd64635bcf70055" Id="Id-ref-dbee882997a09b88ec14dafcd7da585e2467"&gt;</w:t>
      </w:r>
    </w:p>
    <w:p w14:paraId="253D2CE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36F17E3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69835F4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6FEA8D6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143F1F6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&lt;DigestValue&gt;ffi2NrwgQYkFPoTAefkLKH2wMBSNjwN3zzDBV+mhwQg=&lt;/DigestValue&gt;</w:t>
      </w:r>
    </w:p>
    <w:p w14:paraId="54A57A3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6B4EF6E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4F631B7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&lt;SignatureValue&gt;zolZ5HI+TT6shtnB1YnAZeMq9mcqWLWAZlSR+MuKJXXN2NRZS/zapvyY4rW+I5gM</w:t>
      </w:r>
    </w:p>
    <w:p w14:paraId="28208CF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py5+uThVv9x8n5TApPOJCg==&lt;/SignatureValue&gt;</w:t>
      </w:r>
    </w:p>
    <w:p w14:paraId="03CC2A6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&lt;KeyInfo Id="Id-keyinfo-3dfe71fe8d5a7f7591dd337029c400ccf286"&gt;</w:t>
      </w:r>
    </w:p>
    <w:p w14:paraId="4A82BED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&lt;X509Data&gt;</w:t>
      </w:r>
    </w:p>
    <w:p w14:paraId="14E0957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&lt;X509Certificate&gt;MIIHbzCCBx6gAwIBAgIUCw+9bFynffs/n08sYLaljBr5oXAwCAYGKoUDAgIDMIIB</w:t>
      </w:r>
    </w:p>
    <w:p w14:paraId="06D237F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OTEgMB4GCSqGSIb3DQEJARYRdWNfZmtAcm9za2F6bmEucnUxGTAXBgNVBAgMENCz</w:t>
      </w:r>
    </w:p>
    <w:p w14:paraId="49B9DAB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LiDQnNC+0YHQutCy0LAxGjAYBggqhQMDgQMBARIMMDA3NzEwNTY4NzYwMRgwFgYF</w:t>
      </w:r>
    </w:p>
    <w:p w14:paraId="7A0986F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KoUDZAESDTEwNDc3OTcwMTk4MzAxLDAqBgNVBAkMI9GD0LvQuNGG0LAg0JjQu9GM</w:t>
      </w:r>
    </w:p>
    <w:p w14:paraId="5A8B605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0LjQvdC60LAsINC00L7QvCA3MRUwEwYDVQQHDAzQnNC+0YHQutCy0LAxCzAJBgNV</w:t>
      </w:r>
    </w:p>
    <w:p w14:paraId="2FFB9C7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BAYTAlJVMTgwNgYDVQQKDC/QpNC10LTQtdGA0LDQu9GM0L3QvtC1INC60LDQt9C9</w:t>
      </w:r>
    </w:p>
    <w:p w14:paraId="62AF015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0LDRh9C10LnRgdGC0LLQvjE4MDYGA1UEAwwv0KTQtdC00LXRgNCw0LvRjNC90L7Q</w:t>
      </w:r>
    </w:p>
    <w:p w14:paraId="6ED3143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tSDQutCw0LfQvdCw0YfQtdC50YHRgtCy0L4wHhcNMTgwNDA1MTMzNDQ3WhcNMTkw</w:t>
      </w:r>
    </w:p>
    <w:p w14:paraId="32BC336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NzA1MTMzNDQ3WjCCAS0xGjAYBggqhQMDgQMBARIMMDA3NzEwNTY4NzYwMRgwFgYF</w:t>
      </w:r>
    </w:p>
    <w:p w14:paraId="790C44E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KoUDZAESDTEwNDc3OTcwMTk4MzAxIzAhBgNVBAkMGtGD0LsuINCY0LvRjNC40L3Q</w:t>
      </w:r>
    </w:p>
    <w:p w14:paraId="66BBB63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utCwLCDQtC43MR4wHAYJKoZIhvcNAQkBFg83NzdAcm9za2F6bmEucnUxCzAJBgNV</w:t>
      </w:r>
    </w:p>
    <w:p w14:paraId="4A496E3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BAYTAlJVMRgwFgYDVQQIDA/Qsy7QnNC+0YHQutCy0LAxFTATBgNVBAcMDNCc0L7R</w:t>
      </w:r>
    </w:p>
    <w:p w14:paraId="7E15E37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gdC60LLQsDE4MDYGA1UECgwv0KTQtdC00LXRgNCw0LvRjNC90L7QtSDQutCw0LfQ</w:t>
      </w:r>
    </w:p>
    <w:p w14:paraId="28C4EC0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vdCw0YfQtdC50YHRgtCy0L4xODA2BgNVBAMML9Ck0LXQtNC10YDQsNC70YzQvdC+</w:t>
      </w:r>
    </w:p>
    <w:p w14:paraId="259FBC9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0LUg0LrQsNC30L3QsNGH0LXQudGB0YLQstC+MGMwHAYGKoUDAgITMBIGByqFAwIC</w:t>
      </w:r>
    </w:p>
    <w:p w14:paraId="7C136E0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IwEGByqFAwICHgEDQwAEQDmzpZ5HcFrSdwi3/h6QJ/jU0i6sTgtJqrYL/Tr+gxBg</w:t>
      </w:r>
    </w:p>
    <w:p w14:paraId="10702B8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Ud3B/sLCyhk3sR3aCrZ0K4YlsFHVmbBhDYe62UsOcnOjggQCMIID/jAMBgNVHRMB</w:t>
      </w:r>
    </w:p>
    <w:p w14:paraId="3A439E8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Af8EAjAAMB0GA1UdIAQWMBQwCAYGKoUDZHEBMAgGBiqFA2RxAjA2BgUqhQNkbwQt</w:t>
      </w:r>
    </w:p>
    <w:p w14:paraId="4F26A1B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DCsi0JrRgNC40L/RgtC+0J/RgNC+IENTUCIgKNCy0LXRgNGB0LjRjyA0LjApMIIB</w:t>
      </w:r>
    </w:p>
    <w:p w14:paraId="181724E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MQYFKoUDZHAEggEmMIIBIgxEItCa0YDQuNC/0YLQvtCf0YDQviBDU1AiICjQstC1</w:t>
      </w:r>
    </w:p>
    <w:p w14:paraId="4AEE8A1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0YDRgdC40Y8gMy42KSAo0LjRgdC/0L7Qu9C90LXQvdC40LUgMikMaCLQn9GA0L7Q</w:t>
      </w:r>
    </w:p>
    <w:p w14:paraId="3C33FFE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s9GA0LDQvNC80L3Qvi3QsNC/0L/QsNGA0LDRgtC90YvQuSDQutC+0LzQv9C70LXQ</w:t>
      </w:r>
    </w:p>
    <w:p w14:paraId="31ED043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utGBICLQrtC90LjRgdC10YDRgi3Qk9Ce0KHQoiIuINCS0LXRgNGB0LjRjyAyLjEi</w:t>
      </w:r>
    </w:p>
    <w:p w14:paraId="6CC71D1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DB/ihJYgMTQ5LzcvNi01Njkg0L7RgiAyMS4xMi4yMDE3DE/QodC10YDRgtC40YTQ</w:t>
      </w:r>
    </w:p>
    <w:p w14:paraId="2DB3481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uNC60LDRgiDRgdC+0L7RgtCy0LXRgtGB0YLQstC40Y8g4oSWINCh0KQvMTI4LTI4</w:t>
      </w:r>
    </w:p>
    <w:p w14:paraId="51E2045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Nzgg0L7RgiAyMC4wNi4yMDE2MA4GA1UdDwEB/wQEAwID+DAdBgNVHSUEFjAUBggr</w:t>
      </w:r>
    </w:p>
    <w:p w14:paraId="66CDFB0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BgEFBQcDAgYIKwYBBQUHAwMwKwYDVR0QBCQwIoAPMjAxODA0MDUxMzM0NDVagQ8y</w:t>
      </w:r>
    </w:p>
    <w:p w14:paraId="072387C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MDE5MDcwNTEzMzQ0NVowggGFBgNVHSMEggF8MIIBeIAUFlWRplFYxIksa1Fb0oUZ</w:t>
      </w:r>
    </w:p>
    <w:p w14:paraId="791C56B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CgFESCKhggFSpIIBTjCCAUoxHjAcBgkqhkiG9w0BCQEWD2RpdEBtaW5zdnlhei5y</w:t>
      </w:r>
    </w:p>
    <w:p w14:paraId="4F36EB7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dTELMAkGA1UEBhMCUlUxHDAaBgNVBAgMEzc3INCzLiDQnNC+0YHQutCy0LAxFTAT</w:t>
      </w:r>
    </w:p>
    <w:p w14:paraId="08F4175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BgNVBAcMDNCc0L7RgdC60LLQsDE/MD0GA1UECQw2MTI1Mzc1INCzLiDQnNC+0YHQ</w:t>
      </w:r>
    </w:p>
    <w:p w14:paraId="17310A2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utCy0LAsINGD0LsuINCi0LLQtdGA0YHQutCw0Y8sINC0LiA3MSwwKgYDVQQKDCPQ</w:t>
      </w:r>
    </w:p>
    <w:p w14:paraId="4F602D7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nNC40L3QutC+0LzRgdCy0Y/Qt9GMINCg0L7RgdGB0LjQuDEYMBYGBSqFA2QBEg0x</w:t>
      </w:r>
    </w:p>
    <w:p w14:paraId="37BC6B1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MDQ3NzAyMDI2NzAxMRowGAYIKoUDA4EDAQESDDAwNzcxMDQ3NDM3NTFBMD8GA1UE</w:t>
      </w:r>
    </w:p>
    <w:p w14:paraId="52655B2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Aww40JPQvtC70L7QstC90L7QuSDRg9C00L7RgdGC0L7QstC10YDRj9GO0YnQuNC5</w:t>
      </w:r>
    </w:p>
    <w:p w14:paraId="15669C1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INGG0LXQvdGC0YCCCjas1FUAAAAAAS8wXgYDVR0fBFcwVTApoCegJYYjaHR0cDov</w:t>
      </w:r>
    </w:p>
    <w:p w14:paraId="1C7E1B2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L2NybC5yb3NrYXpuYS5ydS9jcmwvdWNmay5jcmwwKKAmoCSGImh0dHA6Ly9jcmwu</w:t>
      </w:r>
    </w:p>
    <w:p w14:paraId="2CE4A55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ZnNmay5sb2NhbC9jcmwvdWNmay5jcmwwHQYDVR0OBBYEFLkvJG7Rfzg6F53wdndv</w:t>
      </w:r>
    </w:p>
    <w:p w14:paraId="5AA81CA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NLDQ/i3nMAgGBiqFAwICAwNBAH1LMUVqEV/HRyesHDkB5eBUk6qDOJwnOBHil2Y1</w:t>
      </w:r>
    </w:p>
    <w:p w14:paraId="7E60EE6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qNiUhWK7AqT93ErNsumpe8dDCswJmvps2nbQA7xwIJjzJjk=&lt;/X509Certificate&gt;</w:t>
      </w:r>
    </w:p>
    <w:p w14:paraId="67A742F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&lt;/X509Data&gt;</w:t>
      </w:r>
    </w:p>
    <w:p w14:paraId="16C1755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&lt;/KeyInfo&gt;</w:t>
      </w:r>
    </w:p>
    <w:p w14:paraId="16C07D5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7195B63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 xmlns="http://uri.etsi.org/01903/v1.4.1#" Target="Id-sig-d373256b5942f08343bc8d034aadd7158f61"&gt;</w:t>
      </w:r>
    </w:p>
    <w:p w14:paraId="177D4C7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 Id="Id-sp-c353e147090ff61f2f90dcd64635bcf70055"&gt;</w:t>
      </w:r>
    </w:p>
    <w:p w14:paraId="3CEBCA2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&lt;SignedSignatureProperties Id="Id-ssp-7fd861712d758e7e3004067202146d020fd2"/&gt;</w:t>
      </w:r>
    </w:p>
    <w:p w14:paraId="3CB6E7E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&lt;/SignedProperties&gt;</w:t>
      </w:r>
    </w:p>
    <w:p w14:paraId="4FEA4E9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&lt;/QualifyingProperties&gt;</w:t>
      </w:r>
    </w:p>
    <w:p w14:paraId="6AD51AD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0C73A83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&lt;/Signature&gt;</w:t>
      </w:r>
    </w:p>
    <w:p w14:paraId="4C08EE1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&lt;/self:MSC_ApplRfnd&gt;</w:t>
      </w:r>
    </w:p>
    <w:p w14:paraId="0DA1E2D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&lt;/typ:document&gt;</w:t>
      </w:r>
    </w:p>
    <w:p w14:paraId="1687EB5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&lt;/transferDocumentRequest&gt;</w:t>
      </w:r>
    </w:p>
    <w:p w14:paraId="775CE41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&lt;/soapenv:Body&gt;</w:t>
      </w:r>
    </w:p>
    <w:p w14:paraId="41A62A2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264D5D">
        <w:rPr>
          <w:rFonts w:cs="Courier New"/>
          <w:sz w:val="20"/>
        </w:rPr>
        <w:t>&lt;/soapenv:Envelope&gt;</w:t>
      </w:r>
    </w:p>
    <w:p w14:paraId="1EAB189F" w14:textId="77777777" w:rsidR="00AD1F54" w:rsidRPr="00AD28B5" w:rsidRDefault="00941227">
      <w:pPr>
        <w:pStyle w:val="22"/>
        <w:rPr>
          <w:highlight w:val="green"/>
          <w:lang w:val="ru-RU"/>
        </w:rPr>
      </w:pPr>
      <w:bookmarkStart w:id="1290" w:name="_Ref46776844"/>
      <w:bookmarkStart w:id="1291" w:name="_Toc219309585"/>
      <w:r w:rsidRPr="00AD28B5">
        <w:rPr>
          <w:highlight w:val="green"/>
          <w:lang w:val="ru-RU"/>
        </w:rPr>
        <w:t>Описание документа «Сведения о бюджетном обязательстве»</w:t>
      </w:r>
      <w:bookmarkEnd w:id="580"/>
      <w:bookmarkEnd w:id="581"/>
      <w:bookmarkEnd w:id="582"/>
      <w:bookmarkEnd w:id="1290"/>
      <w:bookmarkEnd w:id="1291"/>
    </w:p>
    <w:p w14:paraId="24DC3D11" w14:textId="77777777" w:rsidR="00AD1F54" w:rsidRPr="00F02C61" w:rsidRDefault="00941227">
      <w:pPr>
        <w:pStyle w:val="31"/>
        <w:rPr>
          <w:highlight w:val="green"/>
        </w:rPr>
      </w:pPr>
      <w:bookmarkStart w:id="1292" w:name="_Toc412044913"/>
      <w:bookmarkStart w:id="1293" w:name="_Toc412046703"/>
      <w:bookmarkStart w:id="1294" w:name="_Toc414434214"/>
      <w:bookmarkStart w:id="1295" w:name="_Toc415757416"/>
      <w:bookmarkStart w:id="1296" w:name="_Toc415758076"/>
      <w:bookmarkStart w:id="1297" w:name="_Toc415758222"/>
      <w:bookmarkStart w:id="1298" w:name="_Toc416168800"/>
      <w:bookmarkStart w:id="1299" w:name="_Toc416180785"/>
      <w:bookmarkStart w:id="1300" w:name="_Toc416181033"/>
      <w:bookmarkStart w:id="1301" w:name="_Toc416181155"/>
      <w:bookmarkStart w:id="1302" w:name="_Toc416181275"/>
      <w:bookmarkStart w:id="1303" w:name="_Toc416181396"/>
      <w:bookmarkStart w:id="1304" w:name="_Toc416181663"/>
      <w:bookmarkStart w:id="1305" w:name="_Toc416181784"/>
      <w:bookmarkStart w:id="1306" w:name="_Toc412044914"/>
      <w:bookmarkStart w:id="1307" w:name="_Toc412046704"/>
      <w:bookmarkStart w:id="1308" w:name="_Toc414434215"/>
      <w:bookmarkStart w:id="1309" w:name="_Toc415757417"/>
      <w:bookmarkStart w:id="1310" w:name="_Toc415758077"/>
      <w:bookmarkStart w:id="1311" w:name="_Toc415758223"/>
      <w:bookmarkStart w:id="1312" w:name="_Toc416168801"/>
      <w:bookmarkStart w:id="1313" w:name="_Toc416180786"/>
      <w:bookmarkStart w:id="1314" w:name="_Toc416181034"/>
      <w:bookmarkStart w:id="1315" w:name="_Toc416181156"/>
      <w:bookmarkStart w:id="1316" w:name="_Toc416181276"/>
      <w:bookmarkStart w:id="1317" w:name="_Toc416181397"/>
      <w:bookmarkStart w:id="1318" w:name="_Toc416181664"/>
      <w:bookmarkStart w:id="1319" w:name="_Toc416181785"/>
      <w:bookmarkStart w:id="1320" w:name="_Toc416192012"/>
      <w:bookmarkStart w:id="1321" w:name="_Toc416192096"/>
      <w:bookmarkStart w:id="1322" w:name="_Toc416192317"/>
      <w:bookmarkStart w:id="1323" w:name="_Toc416192417"/>
      <w:bookmarkStart w:id="1324" w:name="_Toc416434703"/>
      <w:bookmarkStart w:id="1325" w:name="_Toc419206147"/>
      <w:bookmarkStart w:id="1326" w:name="_Toc419206811"/>
      <w:bookmarkStart w:id="1327" w:name="_Toc419206883"/>
      <w:bookmarkStart w:id="1328" w:name="_Toc419206954"/>
      <w:bookmarkStart w:id="1329" w:name="_Toc416192013"/>
      <w:bookmarkStart w:id="1330" w:name="_Toc416192097"/>
      <w:bookmarkStart w:id="1331" w:name="_Toc416192318"/>
      <w:bookmarkStart w:id="1332" w:name="_Toc416192418"/>
      <w:bookmarkStart w:id="1333" w:name="_Toc416434704"/>
      <w:bookmarkStart w:id="1334" w:name="_Toc419206148"/>
      <w:bookmarkStart w:id="1335" w:name="_Toc419206812"/>
      <w:bookmarkStart w:id="1336" w:name="_Toc419206884"/>
      <w:bookmarkStart w:id="1337" w:name="_Toc419206955"/>
      <w:bookmarkStart w:id="1338" w:name="_Toc416192014"/>
      <w:bookmarkStart w:id="1339" w:name="_Toc416192098"/>
      <w:bookmarkStart w:id="1340" w:name="_Toc416192319"/>
      <w:bookmarkStart w:id="1341" w:name="_Toc416192419"/>
      <w:bookmarkStart w:id="1342" w:name="_Toc416434705"/>
      <w:bookmarkStart w:id="1343" w:name="_Toc419206149"/>
      <w:bookmarkStart w:id="1344" w:name="_Toc419206813"/>
      <w:bookmarkStart w:id="1345" w:name="_Toc419206885"/>
      <w:bookmarkStart w:id="1346" w:name="_Toc419206956"/>
      <w:bookmarkStart w:id="1347" w:name="_Toc416192015"/>
      <w:bookmarkStart w:id="1348" w:name="_Toc416192099"/>
      <w:bookmarkStart w:id="1349" w:name="_Toc416192320"/>
      <w:bookmarkStart w:id="1350" w:name="_Toc416192420"/>
      <w:bookmarkStart w:id="1351" w:name="_Toc416434706"/>
      <w:bookmarkStart w:id="1352" w:name="_Toc419206150"/>
      <w:bookmarkStart w:id="1353" w:name="_Toc419206814"/>
      <w:bookmarkStart w:id="1354" w:name="_Toc419206886"/>
      <w:bookmarkStart w:id="1355" w:name="_Toc419206957"/>
      <w:bookmarkStart w:id="1356" w:name="_Toc416192016"/>
      <w:bookmarkStart w:id="1357" w:name="_Toc416192100"/>
      <w:bookmarkStart w:id="1358" w:name="_Toc416192321"/>
      <w:bookmarkStart w:id="1359" w:name="_Toc416192421"/>
      <w:bookmarkStart w:id="1360" w:name="_Toc416434707"/>
      <w:bookmarkStart w:id="1361" w:name="_Toc419206151"/>
      <w:bookmarkStart w:id="1362" w:name="_Toc419206815"/>
      <w:bookmarkStart w:id="1363" w:name="_Toc419206887"/>
      <w:bookmarkStart w:id="1364" w:name="_Toc419206958"/>
      <w:bookmarkStart w:id="1365" w:name="_Toc416192017"/>
      <w:bookmarkStart w:id="1366" w:name="_Toc416192101"/>
      <w:bookmarkStart w:id="1367" w:name="_Toc416192322"/>
      <w:bookmarkStart w:id="1368" w:name="_Toc416192422"/>
      <w:bookmarkStart w:id="1369" w:name="_Toc416434708"/>
      <w:bookmarkStart w:id="1370" w:name="_Toc419206152"/>
      <w:bookmarkStart w:id="1371" w:name="_Toc419206816"/>
      <w:bookmarkStart w:id="1372" w:name="_Toc419206888"/>
      <w:bookmarkStart w:id="1373" w:name="_Toc419206959"/>
      <w:bookmarkStart w:id="1374" w:name="_Toc416192018"/>
      <w:bookmarkStart w:id="1375" w:name="_Toc416192102"/>
      <w:bookmarkStart w:id="1376" w:name="_Toc416192323"/>
      <w:bookmarkStart w:id="1377" w:name="_Toc416192423"/>
      <w:bookmarkStart w:id="1378" w:name="_Toc416434709"/>
      <w:bookmarkStart w:id="1379" w:name="_Toc419206153"/>
      <w:bookmarkStart w:id="1380" w:name="_Toc419206817"/>
      <w:bookmarkStart w:id="1381" w:name="_Toc419206889"/>
      <w:bookmarkStart w:id="1382" w:name="_Toc419206960"/>
      <w:bookmarkStart w:id="1383" w:name="_Toc416192424"/>
      <w:bookmarkStart w:id="1384" w:name="_Toc219309586"/>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r w:rsidRPr="00F02C61">
        <w:rPr>
          <w:highlight w:val="green"/>
        </w:rPr>
        <w:t>Назначение и маршрут документа</w:t>
      </w:r>
      <w:bookmarkEnd w:id="1383"/>
      <w:bookmarkEnd w:id="1384"/>
    </w:p>
    <w:p w14:paraId="301F7C95" w14:textId="77777777" w:rsidR="00AD1F54" w:rsidRPr="00264D5D" w:rsidRDefault="00941227">
      <w:pPr>
        <w:pStyle w:val="OTRNormal"/>
        <w:rPr>
          <w:sz w:val="24"/>
          <w:szCs w:val="24"/>
        </w:rPr>
      </w:pPr>
      <w:r w:rsidRPr="00264D5D">
        <w:rPr>
          <w:sz w:val="24"/>
          <w:szCs w:val="24"/>
        </w:rPr>
        <w:t xml:space="preserve">Документ «Сведения о бюджетном обязательстве» (далее – Сведения БО) является основанием для постановки на учет обязательств получателей средств бюджета по государственным (муниципальным) контрактам, договорам, соглашениям на предоставление межбюджетных трансфертов, соглашениям/НПА о предоставлении субсидии ЮЛ (далее – документ-основание), исполнительным документам и РНО, предусматривающим обращение взыскания на средства бюджета по денежным обязательствам ПБС, а также извещениям об осуществлении закупки и приглашениям принять участие в определении поставщика (подрядчика, исполнителя). </w:t>
      </w:r>
    </w:p>
    <w:p w14:paraId="42FB3DF0" w14:textId="77777777" w:rsidR="00AD1F54" w:rsidRPr="00264D5D" w:rsidRDefault="00941227">
      <w:pPr>
        <w:pStyle w:val="OTRNormal"/>
        <w:rPr>
          <w:sz w:val="24"/>
          <w:szCs w:val="24"/>
        </w:rPr>
      </w:pPr>
      <w:r w:rsidRPr="00264D5D">
        <w:rPr>
          <w:sz w:val="24"/>
          <w:szCs w:val="24"/>
        </w:rPr>
        <w:t>По обязательствам, возникающим по государственным (муниципальным) контрактам, договорам документ предоставляется клиентом в установленные сроки после заключения документа-основания с приложением электронной копии документа-основания.</w:t>
      </w:r>
    </w:p>
    <w:p w14:paraId="3B8409E9" w14:textId="77777777" w:rsidR="00AD1F54" w:rsidRPr="00264D5D" w:rsidRDefault="00941227">
      <w:pPr>
        <w:pStyle w:val="OTRNormal"/>
        <w:rPr>
          <w:sz w:val="24"/>
          <w:szCs w:val="24"/>
        </w:rPr>
      </w:pPr>
      <w:r w:rsidRPr="00264D5D">
        <w:rPr>
          <w:sz w:val="24"/>
          <w:szCs w:val="24"/>
        </w:rPr>
        <w:t>По обязательствам, возникающим на основании ИД/РНО, документ предоставляется клиентом в установленные сроки после поступления из ТОФК Уведомления о поступлении ИД/РНО.</w:t>
      </w:r>
    </w:p>
    <w:p w14:paraId="537D14CC" w14:textId="77777777" w:rsidR="00AD1F54" w:rsidRPr="00264D5D" w:rsidRDefault="00941227">
      <w:pPr>
        <w:pStyle w:val="OTRNormal"/>
        <w:rPr>
          <w:sz w:val="24"/>
          <w:szCs w:val="24"/>
        </w:rPr>
      </w:pPr>
      <w:r w:rsidRPr="00264D5D">
        <w:rPr>
          <w:sz w:val="24"/>
          <w:szCs w:val="24"/>
        </w:rPr>
        <w:t>По обязательствам, возникающим по соглашениям/НПА о предоставлении субсидии ЮЛ, о предоставлении межбюджетных трансфертов документ формируется ТОФК в соответствии со сведениями о соглашении, предоставленными клиентом с приложением электронной копии документа-основания.</w:t>
      </w:r>
    </w:p>
    <w:p w14:paraId="0093B832" w14:textId="77777777" w:rsidR="00AD1F54" w:rsidRPr="00264D5D" w:rsidRDefault="00941227">
      <w:pPr>
        <w:pStyle w:val="OTRNormal"/>
        <w:rPr>
          <w:sz w:val="24"/>
          <w:szCs w:val="24"/>
        </w:rPr>
      </w:pPr>
      <w:r w:rsidRPr="00264D5D">
        <w:rPr>
          <w:sz w:val="24"/>
          <w:szCs w:val="24"/>
        </w:rPr>
        <w:t>Клиент вправе в течение установленного срока предоставить «Сведения о бюджетном обязательстве» вместе с документами, представленными для оплаты денежных обязательств по соответствующему бюджетному обязательству.</w:t>
      </w:r>
    </w:p>
    <w:p w14:paraId="3E0E00B9" w14:textId="77777777" w:rsidR="00AD1F54" w:rsidRPr="00264D5D" w:rsidRDefault="00941227">
      <w:pPr>
        <w:pStyle w:val="OTRNormal"/>
        <w:rPr>
          <w:sz w:val="24"/>
          <w:szCs w:val="24"/>
        </w:rPr>
      </w:pPr>
      <w:r w:rsidRPr="00264D5D">
        <w:rPr>
          <w:sz w:val="24"/>
          <w:szCs w:val="24"/>
        </w:rPr>
        <w:t xml:space="preserve">Документ «Сведения о бюджетном обязательстве» также может передаваться в виде вложения в блоке «attachments» к </w:t>
      </w:r>
      <w:r w:rsidR="00CE031E" w:rsidRPr="00264D5D">
        <w:rPr>
          <w:sz w:val="24"/>
          <w:szCs w:val="24"/>
        </w:rPr>
        <w:t>документу «</w:t>
      </w:r>
      <w:r w:rsidRPr="00264D5D">
        <w:rPr>
          <w:sz w:val="24"/>
          <w:szCs w:val="24"/>
        </w:rPr>
        <w:t>Выписка из лицевого счета получателя бюджетных средств» в форматах, предусмотренных настоящим Альбомом ТФО.</w:t>
      </w:r>
    </w:p>
    <w:p w14:paraId="3A3E99A4" w14:textId="0A901A40" w:rsidR="00AD1F54" w:rsidRPr="00F02C61" w:rsidRDefault="00941227">
      <w:pPr>
        <w:pStyle w:val="GOSTNameTable"/>
        <w:numPr>
          <w:ilvl w:val="0"/>
          <w:numId w:val="2"/>
        </w:numPr>
        <w:ind w:left="425" w:hanging="357"/>
        <w:rPr>
          <w:rFonts w:eastAsia="Calibri"/>
          <w:szCs w:val="24"/>
          <w:highlight w:val="green"/>
        </w:rPr>
      </w:pPr>
      <w:r w:rsidRPr="00F02C61">
        <w:rPr>
          <w:rFonts w:eastAsia="Calibri"/>
          <w:szCs w:val="24"/>
          <w:highlight w:val="green"/>
        </w:rPr>
        <w:lastRenderedPageBreak/>
        <w:fldChar w:fldCharType="begin"/>
      </w:r>
      <w:r w:rsidRPr="00F02C61">
        <w:rPr>
          <w:rFonts w:eastAsia="Calibri"/>
          <w:szCs w:val="24"/>
          <w:highlight w:val="green"/>
        </w:rPr>
        <w:instrText xml:space="preserve"> SEQ Таблица \* ARABIC </w:instrText>
      </w:r>
      <w:r w:rsidRPr="00F02C61">
        <w:rPr>
          <w:rFonts w:eastAsia="Calibri"/>
          <w:szCs w:val="24"/>
          <w:highlight w:val="green"/>
        </w:rPr>
        <w:fldChar w:fldCharType="separate"/>
      </w:r>
      <w:bookmarkStart w:id="1385" w:name="_Toc30503352"/>
      <w:bookmarkStart w:id="1386" w:name="_Toc30507950"/>
      <w:bookmarkStart w:id="1387" w:name="_Toc219309166"/>
      <w:r w:rsidR="008D797C">
        <w:rPr>
          <w:rFonts w:eastAsia="Calibri"/>
          <w:noProof/>
          <w:szCs w:val="24"/>
          <w:highlight w:val="green"/>
        </w:rPr>
        <w:t>136</w:t>
      </w:r>
      <w:r w:rsidRPr="00F02C61">
        <w:rPr>
          <w:rFonts w:eastAsia="Calibri"/>
          <w:szCs w:val="24"/>
          <w:highlight w:val="green"/>
        </w:rPr>
        <w:fldChar w:fldCharType="end"/>
      </w:r>
      <w:r w:rsidRPr="00F02C61">
        <w:rPr>
          <w:rFonts w:eastAsia="Calibri"/>
          <w:szCs w:val="24"/>
          <w:highlight w:val="green"/>
        </w:rPr>
        <w:t xml:space="preserve"> – Маршрут документа «</w:t>
      </w:r>
      <w:r w:rsidRPr="00F02C61">
        <w:rPr>
          <w:szCs w:val="24"/>
          <w:highlight w:val="green"/>
        </w:rPr>
        <w:t>Сведения БО</w:t>
      </w:r>
      <w:r w:rsidRPr="00F02C61">
        <w:rPr>
          <w:rFonts w:eastAsia="Calibri"/>
          <w:szCs w:val="24"/>
          <w:highlight w:val="green"/>
        </w:rPr>
        <w:t>»</w:t>
      </w:r>
      <w:bookmarkEnd w:id="1385"/>
      <w:bookmarkEnd w:id="1386"/>
      <w:bookmarkEnd w:id="1387"/>
    </w:p>
    <w:tbl>
      <w:tblPr>
        <w:tblStyle w:val="GOSTTable"/>
        <w:tblW w:w="5006" w:type="pct"/>
        <w:tblLook w:val="01E0" w:firstRow="1" w:lastRow="1" w:firstColumn="1" w:lastColumn="1" w:noHBand="0" w:noVBand="0"/>
      </w:tblPr>
      <w:tblGrid>
        <w:gridCol w:w="2557"/>
        <w:gridCol w:w="2558"/>
        <w:gridCol w:w="4547"/>
      </w:tblGrid>
      <w:tr w:rsidR="00AD1F54" w:rsidRPr="00264D5D" w14:paraId="21FA26FE"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323" w:type="pct"/>
          </w:tcPr>
          <w:p w14:paraId="0E99051E" w14:textId="77777777" w:rsidR="00AD1F54" w:rsidRPr="00264D5D" w:rsidRDefault="00941227">
            <w:pPr>
              <w:pStyle w:val="OTRTableHead"/>
              <w:widowControl w:val="0"/>
              <w:rPr>
                <w:sz w:val="22"/>
                <w:szCs w:val="22"/>
              </w:rPr>
            </w:pPr>
            <w:r w:rsidRPr="00264D5D">
              <w:rPr>
                <w:sz w:val="22"/>
                <w:szCs w:val="22"/>
              </w:rPr>
              <w:t>Отправитель</w:t>
            </w:r>
          </w:p>
        </w:tc>
        <w:tc>
          <w:tcPr>
            <w:tcW w:w="1324" w:type="pct"/>
          </w:tcPr>
          <w:p w14:paraId="1F660FE4" w14:textId="77777777" w:rsidR="00AD1F54" w:rsidRPr="00264D5D" w:rsidRDefault="00941227">
            <w:pPr>
              <w:pStyle w:val="OTRTableHead"/>
              <w:widowControl w:val="0"/>
              <w:rPr>
                <w:sz w:val="22"/>
                <w:szCs w:val="22"/>
              </w:rPr>
            </w:pPr>
            <w:r w:rsidRPr="00264D5D">
              <w:rPr>
                <w:sz w:val="22"/>
                <w:szCs w:val="22"/>
              </w:rPr>
              <w:t>Получатель</w:t>
            </w:r>
          </w:p>
        </w:tc>
        <w:tc>
          <w:tcPr>
            <w:tcW w:w="2353" w:type="pct"/>
          </w:tcPr>
          <w:p w14:paraId="297C55F3" w14:textId="77777777" w:rsidR="00AD1F54" w:rsidRPr="00264D5D" w:rsidRDefault="00941227">
            <w:pPr>
              <w:pStyle w:val="OTRTableHead"/>
              <w:widowControl w:val="0"/>
              <w:rPr>
                <w:sz w:val="22"/>
                <w:szCs w:val="22"/>
              </w:rPr>
            </w:pPr>
            <w:r w:rsidRPr="00264D5D">
              <w:rPr>
                <w:sz w:val="22"/>
                <w:szCs w:val="22"/>
              </w:rPr>
              <w:t>Примечание</w:t>
            </w:r>
          </w:p>
        </w:tc>
      </w:tr>
      <w:tr w:rsidR="00AD28B5" w:rsidRPr="00264D5D" w14:paraId="2AF0B66B" w14:textId="77777777" w:rsidTr="00AD1F54">
        <w:trPr>
          <w:cnfStyle w:val="000000100000" w:firstRow="0" w:lastRow="0" w:firstColumn="0" w:lastColumn="0" w:oddVBand="0" w:evenVBand="0" w:oddHBand="1" w:evenHBand="0" w:firstRowFirstColumn="0" w:firstRowLastColumn="0" w:lastRowFirstColumn="0" w:lastRowLastColumn="0"/>
        </w:trPr>
        <w:tc>
          <w:tcPr>
            <w:tcW w:w="1323" w:type="pct"/>
          </w:tcPr>
          <w:p w14:paraId="14B69E57" w14:textId="77777777" w:rsidR="00AD28B5" w:rsidRPr="008C2B2B" w:rsidRDefault="00AD28B5" w:rsidP="00AD28B5">
            <w:pPr>
              <w:pStyle w:val="GOSTTablenorm"/>
            </w:pPr>
            <w:r>
              <w:t>ТОФК (</w:t>
            </w:r>
            <w:r w:rsidRPr="0000734D">
              <w:t>ПУР ЭБ</w:t>
            </w:r>
            <w:r>
              <w:t>)/ТОФК (ППО АСФК)</w:t>
            </w:r>
          </w:p>
        </w:tc>
        <w:tc>
          <w:tcPr>
            <w:tcW w:w="1324" w:type="pct"/>
          </w:tcPr>
          <w:p w14:paraId="3CE52EB2" w14:textId="77777777" w:rsidR="00AD28B5" w:rsidRPr="008C2B2B" w:rsidRDefault="00AD28B5" w:rsidP="00AD28B5">
            <w:pPr>
              <w:pStyle w:val="GOSTTablenorm"/>
            </w:pPr>
            <w:r w:rsidRPr="008C2B2B">
              <w:t>ПБС (УБП, НУБП, которому переданы полномочия ПБС)</w:t>
            </w:r>
          </w:p>
        </w:tc>
        <w:tc>
          <w:tcPr>
            <w:tcW w:w="2353" w:type="pct"/>
          </w:tcPr>
          <w:p w14:paraId="3F3D3A41" w14:textId="77777777" w:rsidR="00AD28B5" w:rsidRPr="00264D5D" w:rsidRDefault="00AD28B5" w:rsidP="00AD28B5">
            <w:pPr>
              <w:spacing w:before="60" w:after="60"/>
              <w:rPr>
                <w:sz w:val="22"/>
                <w:szCs w:val="22"/>
              </w:rPr>
            </w:pPr>
          </w:p>
        </w:tc>
      </w:tr>
      <w:tr w:rsidR="00AD28B5" w:rsidRPr="00264D5D" w14:paraId="46339D0E" w14:textId="77777777" w:rsidTr="00AD1F54">
        <w:trPr>
          <w:cnfStyle w:val="000000010000" w:firstRow="0" w:lastRow="0" w:firstColumn="0" w:lastColumn="0" w:oddVBand="0" w:evenVBand="0" w:oddHBand="0" w:evenHBand="1" w:firstRowFirstColumn="0" w:firstRowLastColumn="0" w:lastRowFirstColumn="0" w:lastRowLastColumn="0"/>
        </w:trPr>
        <w:tc>
          <w:tcPr>
            <w:tcW w:w="1323" w:type="pct"/>
          </w:tcPr>
          <w:p w14:paraId="6F92E270" w14:textId="77777777" w:rsidR="00AD28B5" w:rsidRPr="008C2B2B" w:rsidRDefault="00AD28B5" w:rsidP="00AD28B5">
            <w:pPr>
              <w:pStyle w:val="GOSTTablenorm"/>
            </w:pPr>
            <w:r w:rsidRPr="008C2B2B">
              <w:t>ПБС (УБП, НУБП, которому переданы полномочия ПБС)</w:t>
            </w:r>
          </w:p>
        </w:tc>
        <w:tc>
          <w:tcPr>
            <w:tcW w:w="1324" w:type="pct"/>
          </w:tcPr>
          <w:p w14:paraId="7105CC09" w14:textId="77777777" w:rsidR="00AD28B5" w:rsidRPr="008C2B2B" w:rsidRDefault="00AD28B5" w:rsidP="00AD28B5">
            <w:pPr>
              <w:pStyle w:val="GOSTTablenorm"/>
            </w:pPr>
            <w:r>
              <w:t>ТОФК (</w:t>
            </w:r>
            <w:r w:rsidRPr="0000734D">
              <w:t>ПУР ЭБ</w:t>
            </w:r>
            <w:r>
              <w:t>)/ТОФК (ППО АСФК)</w:t>
            </w:r>
          </w:p>
        </w:tc>
        <w:tc>
          <w:tcPr>
            <w:tcW w:w="2353" w:type="pct"/>
          </w:tcPr>
          <w:p w14:paraId="06715E19" w14:textId="77777777" w:rsidR="00AD28B5" w:rsidRPr="00264D5D" w:rsidRDefault="00AD28B5" w:rsidP="00AD28B5">
            <w:pPr>
              <w:spacing w:before="60" w:after="60"/>
              <w:rPr>
                <w:sz w:val="22"/>
                <w:szCs w:val="22"/>
              </w:rPr>
            </w:pPr>
          </w:p>
        </w:tc>
      </w:tr>
      <w:tr w:rsidR="00AD1F54" w:rsidRPr="00264D5D" w14:paraId="01E7DE97" w14:textId="77777777" w:rsidTr="00AD1F54">
        <w:trPr>
          <w:cnfStyle w:val="000000100000" w:firstRow="0" w:lastRow="0" w:firstColumn="0" w:lastColumn="0" w:oddVBand="0" w:evenVBand="0" w:oddHBand="1" w:evenHBand="0" w:firstRowFirstColumn="0" w:firstRowLastColumn="0" w:lastRowFirstColumn="0" w:lastRowLastColumn="0"/>
        </w:trPr>
        <w:tc>
          <w:tcPr>
            <w:tcW w:w="1323" w:type="pct"/>
          </w:tcPr>
          <w:p w14:paraId="451CEFDD" w14:textId="77777777" w:rsidR="00AD1F54" w:rsidRPr="00264D5D" w:rsidRDefault="00AD28B5">
            <w:pPr>
              <w:spacing w:before="60" w:after="60"/>
              <w:rPr>
                <w:sz w:val="22"/>
                <w:szCs w:val="22"/>
              </w:rPr>
            </w:pPr>
            <w:r>
              <w:rPr>
                <w:sz w:val="22"/>
                <w:szCs w:val="22"/>
              </w:rPr>
              <w:t>ТОФК (ПУР ЭБ)</w:t>
            </w:r>
          </w:p>
        </w:tc>
        <w:tc>
          <w:tcPr>
            <w:tcW w:w="1324" w:type="pct"/>
          </w:tcPr>
          <w:p w14:paraId="022AB998" w14:textId="77777777" w:rsidR="00AD1F54" w:rsidRPr="00264D5D" w:rsidRDefault="00941227">
            <w:pPr>
              <w:spacing w:before="60" w:after="60"/>
              <w:rPr>
                <w:sz w:val="22"/>
                <w:szCs w:val="22"/>
              </w:rPr>
            </w:pPr>
            <w:r w:rsidRPr="00264D5D">
              <w:rPr>
                <w:sz w:val="22"/>
                <w:szCs w:val="22"/>
              </w:rPr>
              <w:t>ТОФК (ППО АСФК)</w:t>
            </w:r>
          </w:p>
        </w:tc>
        <w:tc>
          <w:tcPr>
            <w:tcW w:w="2353" w:type="pct"/>
          </w:tcPr>
          <w:p w14:paraId="3C1EBA8F" w14:textId="77777777" w:rsidR="00AD1F54" w:rsidRPr="00264D5D" w:rsidRDefault="00AD1F54">
            <w:pPr>
              <w:spacing w:before="60" w:after="60"/>
              <w:rPr>
                <w:sz w:val="22"/>
                <w:szCs w:val="22"/>
              </w:rPr>
            </w:pPr>
          </w:p>
        </w:tc>
      </w:tr>
      <w:tr w:rsidR="00AD1F54" w:rsidRPr="00264D5D" w14:paraId="25A9E0C7" w14:textId="77777777" w:rsidTr="00AD1F54">
        <w:trPr>
          <w:cnfStyle w:val="000000010000" w:firstRow="0" w:lastRow="0" w:firstColumn="0" w:lastColumn="0" w:oddVBand="0" w:evenVBand="0" w:oddHBand="0" w:evenHBand="1" w:firstRowFirstColumn="0" w:firstRowLastColumn="0" w:lastRowFirstColumn="0" w:lastRowLastColumn="0"/>
        </w:trPr>
        <w:tc>
          <w:tcPr>
            <w:tcW w:w="1323" w:type="pct"/>
          </w:tcPr>
          <w:p w14:paraId="3752FAC8" w14:textId="77777777" w:rsidR="00AD1F54" w:rsidRPr="00264D5D" w:rsidRDefault="00941227">
            <w:pPr>
              <w:spacing w:before="60" w:after="60"/>
              <w:rPr>
                <w:sz w:val="22"/>
                <w:szCs w:val="22"/>
              </w:rPr>
            </w:pPr>
            <w:r w:rsidRPr="00264D5D">
              <w:rPr>
                <w:sz w:val="22"/>
                <w:szCs w:val="22"/>
              </w:rPr>
              <w:t>ТОФК (ППО АСФК)</w:t>
            </w:r>
          </w:p>
        </w:tc>
        <w:tc>
          <w:tcPr>
            <w:tcW w:w="1324" w:type="pct"/>
          </w:tcPr>
          <w:p w14:paraId="056B9FC8" w14:textId="77777777" w:rsidR="00AD1F54" w:rsidRPr="00264D5D" w:rsidRDefault="00AD28B5">
            <w:pPr>
              <w:spacing w:before="60" w:after="60"/>
              <w:rPr>
                <w:sz w:val="22"/>
                <w:szCs w:val="22"/>
              </w:rPr>
            </w:pPr>
            <w:r>
              <w:rPr>
                <w:sz w:val="22"/>
                <w:szCs w:val="22"/>
              </w:rPr>
              <w:t>ТОФК (ПУР ЭБ)</w:t>
            </w:r>
          </w:p>
        </w:tc>
        <w:tc>
          <w:tcPr>
            <w:tcW w:w="2353" w:type="pct"/>
          </w:tcPr>
          <w:p w14:paraId="0CDD6CF6" w14:textId="77777777" w:rsidR="00AD1F54" w:rsidRPr="00264D5D" w:rsidRDefault="00AD1F54">
            <w:pPr>
              <w:spacing w:before="60" w:after="60"/>
              <w:rPr>
                <w:sz w:val="22"/>
                <w:szCs w:val="22"/>
              </w:rPr>
            </w:pPr>
          </w:p>
        </w:tc>
      </w:tr>
      <w:tr w:rsidR="00AD1F54" w:rsidRPr="00264D5D" w14:paraId="5B7F46A8" w14:textId="77777777" w:rsidTr="00AD1F54">
        <w:trPr>
          <w:cnfStyle w:val="000000100000" w:firstRow="0" w:lastRow="0" w:firstColumn="0" w:lastColumn="0" w:oddVBand="0" w:evenVBand="0" w:oddHBand="1" w:evenHBand="0" w:firstRowFirstColumn="0" w:firstRowLastColumn="0" w:lastRowFirstColumn="0" w:lastRowLastColumn="0"/>
        </w:trPr>
        <w:tc>
          <w:tcPr>
            <w:tcW w:w="1323" w:type="pct"/>
          </w:tcPr>
          <w:p w14:paraId="0120E9BE" w14:textId="77777777" w:rsidR="00AD1F54" w:rsidRPr="00264D5D" w:rsidRDefault="00941227">
            <w:pPr>
              <w:spacing w:before="60" w:after="60"/>
              <w:rPr>
                <w:sz w:val="22"/>
                <w:szCs w:val="22"/>
              </w:rPr>
            </w:pPr>
            <w:r w:rsidRPr="00264D5D">
              <w:rPr>
                <w:sz w:val="22"/>
                <w:szCs w:val="22"/>
              </w:rPr>
              <w:t>ПБС (ПФХД)</w:t>
            </w:r>
          </w:p>
        </w:tc>
        <w:tc>
          <w:tcPr>
            <w:tcW w:w="1324" w:type="pct"/>
          </w:tcPr>
          <w:p w14:paraId="66B3E162" w14:textId="77777777" w:rsidR="00AD1F54" w:rsidRPr="00264D5D" w:rsidRDefault="00941227">
            <w:pPr>
              <w:spacing w:before="60" w:after="60"/>
              <w:rPr>
                <w:sz w:val="22"/>
                <w:szCs w:val="22"/>
              </w:rPr>
            </w:pPr>
            <w:r w:rsidRPr="00264D5D">
              <w:rPr>
                <w:sz w:val="22"/>
                <w:szCs w:val="22"/>
              </w:rPr>
              <w:t>ТОФК (ПУР ЭБ)</w:t>
            </w:r>
          </w:p>
        </w:tc>
        <w:tc>
          <w:tcPr>
            <w:tcW w:w="2353" w:type="pct"/>
          </w:tcPr>
          <w:p w14:paraId="1DDA51C2" w14:textId="77777777" w:rsidR="00AD1F54" w:rsidRPr="00264D5D" w:rsidRDefault="00AD1F54">
            <w:pPr>
              <w:spacing w:before="60" w:after="60"/>
              <w:rPr>
                <w:sz w:val="22"/>
                <w:szCs w:val="22"/>
              </w:rPr>
            </w:pPr>
          </w:p>
        </w:tc>
      </w:tr>
      <w:tr w:rsidR="00AD1F54" w:rsidRPr="00264D5D" w14:paraId="086A55F3" w14:textId="77777777" w:rsidTr="00AD1F54">
        <w:trPr>
          <w:cnfStyle w:val="000000010000" w:firstRow="0" w:lastRow="0" w:firstColumn="0" w:lastColumn="0" w:oddVBand="0" w:evenVBand="0" w:oddHBand="0" w:evenHBand="1" w:firstRowFirstColumn="0" w:firstRowLastColumn="0" w:lastRowFirstColumn="0" w:lastRowLastColumn="0"/>
        </w:trPr>
        <w:tc>
          <w:tcPr>
            <w:tcW w:w="1323" w:type="pct"/>
          </w:tcPr>
          <w:p w14:paraId="3CC68A4D" w14:textId="77777777" w:rsidR="00AD1F54" w:rsidRPr="00264D5D" w:rsidRDefault="00941227">
            <w:pPr>
              <w:spacing w:before="60" w:after="60"/>
              <w:rPr>
                <w:sz w:val="22"/>
                <w:szCs w:val="22"/>
              </w:rPr>
            </w:pPr>
            <w:r w:rsidRPr="00264D5D">
              <w:rPr>
                <w:sz w:val="22"/>
                <w:szCs w:val="22"/>
              </w:rPr>
              <w:t>ТОФК (ПУР ЭБ)</w:t>
            </w:r>
          </w:p>
        </w:tc>
        <w:tc>
          <w:tcPr>
            <w:tcW w:w="1324" w:type="pct"/>
          </w:tcPr>
          <w:p w14:paraId="27B47BB3" w14:textId="77777777" w:rsidR="00AD1F54" w:rsidRPr="00F02C61" w:rsidRDefault="00941227">
            <w:pPr>
              <w:spacing w:before="60" w:after="60"/>
              <w:rPr>
                <w:sz w:val="22"/>
                <w:szCs w:val="22"/>
              </w:rPr>
            </w:pPr>
            <w:r w:rsidRPr="00F02C61">
              <w:rPr>
                <w:sz w:val="22"/>
                <w:szCs w:val="22"/>
              </w:rPr>
              <w:t>ПБС (ПФХД)</w:t>
            </w:r>
          </w:p>
        </w:tc>
        <w:tc>
          <w:tcPr>
            <w:tcW w:w="2353" w:type="pct"/>
          </w:tcPr>
          <w:p w14:paraId="51FA3FB1" w14:textId="77777777" w:rsidR="00AD1F54" w:rsidRPr="00F02C61" w:rsidRDefault="00F02C61">
            <w:pPr>
              <w:spacing w:before="60" w:after="60"/>
              <w:rPr>
                <w:sz w:val="22"/>
                <w:szCs w:val="22"/>
              </w:rPr>
            </w:pPr>
            <w:r w:rsidRPr="00F02C61">
              <w:rPr>
                <w:sz w:val="22"/>
                <w:szCs w:val="22"/>
                <w:highlight w:val="green"/>
              </w:rPr>
              <w:t xml:space="preserve">Документ может содержать в себе в виде вложения в блоке «attachments» документы «Сведения о соглашении/об изменении соглашения» в формате </w:t>
            </w:r>
            <w:r w:rsidRPr="00F02C61">
              <w:rPr>
                <w:sz w:val="22"/>
                <w:szCs w:val="22"/>
                <w:highlight w:val="green"/>
                <w:lang w:val="en-US"/>
              </w:rPr>
              <w:t>xml</w:t>
            </w:r>
            <w:r w:rsidRPr="00F02C61">
              <w:rPr>
                <w:sz w:val="22"/>
                <w:szCs w:val="22"/>
                <w:highlight w:val="green"/>
              </w:rPr>
              <w:t xml:space="preserve"> (на основании которого создан документ «Сведения БО») и cкан-копия в формате </w:t>
            </w:r>
            <w:r w:rsidRPr="00F02C61">
              <w:rPr>
                <w:sz w:val="22"/>
                <w:szCs w:val="22"/>
                <w:highlight w:val="green"/>
                <w:lang w:val="en-US"/>
              </w:rPr>
              <w:t>pdf</w:t>
            </w:r>
            <w:r w:rsidRPr="00F02C61">
              <w:rPr>
                <w:sz w:val="22"/>
                <w:szCs w:val="22"/>
                <w:highlight w:val="green"/>
              </w:rPr>
              <w:t xml:space="preserve"> «Сведения о соглашении/об изменении соглашения»</w:t>
            </w:r>
          </w:p>
        </w:tc>
      </w:tr>
      <w:tr w:rsidR="00AD1F54" w:rsidRPr="00264D5D" w14:paraId="164BC4B6" w14:textId="77777777" w:rsidTr="00AD1F54">
        <w:trPr>
          <w:cnfStyle w:val="000000100000" w:firstRow="0" w:lastRow="0" w:firstColumn="0" w:lastColumn="0" w:oddVBand="0" w:evenVBand="0" w:oddHBand="1" w:evenHBand="0" w:firstRowFirstColumn="0" w:firstRowLastColumn="0" w:lastRowFirstColumn="0" w:lastRowLastColumn="0"/>
        </w:trPr>
        <w:tc>
          <w:tcPr>
            <w:tcW w:w="1323" w:type="pct"/>
          </w:tcPr>
          <w:p w14:paraId="72700D49" w14:textId="77777777" w:rsidR="00AD1F54" w:rsidRPr="00264D5D" w:rsidRDefault="00941227">
            <w:pPr>
              <w:spacing w:before="60" w:after="60"/>
              <w:rPr>
                <w:sz w:val="22"/>
                <w:szCs w:val="22"/>
              </w:rPr>
            </w:pPr>
            <w:r w:rsidRPr="00264D5D">
              <w:rPr>
                <w:sz w:val="22"/>
                <w:szCs w:val="22"/>
              </w:rPr>
              <w:t>ЕИС</w:t>
            </w:r>
          </w:p>
        </w:tc>
        <w:tc>
          <w:tcPr>
            <w:tcW w:w="1324" w:type="pct"/>
          </w:tcPr>
          <w:p w14:paraId="4FBAAAB2" w14:textId="77777777" w:rsidR="00AD1F54" w:rsidRPr="00264D5D" w:rsidRDefault="00941227">
            <w:pPr>
              <w:spacing w:before="60" w:after="60"/>
              <w:rPr>
                <w:sz w:val="22"/>
                <w:szCs w:val="22"/>
              </w:rPr>
            </w:pPr>
            <w:r w:rsidRPr="00264D5D">
              <w:rPr>
                <w:sz w:val="22"/>
                <w:szCs w:val="22"/>
              </w:rPr>
              <w:t>ТОФК (ПУР ЭБ)</w:t>
            </w:r>
          </w:p>
        </w:tc>
        <w:tc>
          <w:tcPr>
            <w:tcW w:w="2353" w:type="pct"/>
          </w:tcPr>
          <w:p w14:paraId="47334E33" w14:textId="77777777" w:rsidR="00AD1F54" w:rsidRPr="00264D5D" w:rsidRDefault="00AD1F54">
            <w:pPr>
              <w:spacing w:before="60" w:after="60"/>
              <w:rPr>
                <w:sz w:val="22"/>
                <w:szCs w:val="22"/>
              </w:rPr>
            </w:pPr>
          </w:p>
        </w:tc>
      </w:tr>
      <w:tr w:rsidR="00AD1F54" w:rsidRPr="00264D5D" w14:paraId="781EAD51" w14:textId="77777777" w:rsidTr="00AD1F54">
        <w:trPr>
          <w:cnfStyle w:val="000000010000" w:firstRow="0" w:lastRow="0" w:firstColumn="0" w:lastColumn="0" w:oddVBand="0" w:evenVBand="0" w:oddHBand="0" w:evenHBand="1" w:firstRowFirstColumn="0" w:firstRowLastColumn="0" w:lastRowFirstColumn="0" w:lastRowLastColumn="0"/>
        </w:trPr>
        <w:tc>
          <w:tcPr>
            <w:tcW w:w="1323" w:type="pct"/>
          </w:tcPr>
          <w:p w14:paraId="73C626D9" w14:textId="77777777" w:rsidR="00AD1F54" w:rsidRPr="00264D5D" w:rsidRDefault="00941227">
            <w:pPr>
              <w:spacing w:before="60" w:after="60"/>
              <w:rPr>
                <w:sz w:val="22"/>
                <w:szCs w:val="22"/>
              </w:rPr>
            </w:pPr>
            <w:r w:rsidRPr="00264D5D">
              <w:rPr>
                <w:sz w:val="22"/>
                <w:szCs w:val="22"/>
              </w:rPr>
              <w:t>ЕИС</w:t>
            </w:r>
          </w:p>
        </w:tc>
        <w:tc>
          <w:tcPr>
            <w:tcW w:w="1324" w:type="pct"/>
          </w:tcPr>
          <w:p w14:paraId="13CD3D88" w14:textId="77777777" w:rsidR="00AD1F54" w:rsidRPr="00264D5D" w:rsidRDefault="00941227">
            <w:pPr>
              <w:spacing w:before="60" w:after="60"/>
              <w:rPr>
                <w:sz w:val="22"/>
                <w:szCs w:val="22"/>
              </w:rPr>
            </w:pPr>
            <w:r w:rsidRPr="00264D5D">
              <w:rPr>
                <w:sz w:val="22"/>
                <w:szCs w:val="22"/>
              </w:rPr>
              <w:t>ТОФК (ППО АСФК)</w:t>
            </w:r>
          </w:p>
        </w:tc>
        <w:tc>
          <w:tcPr>
            <w:tcW w:w="2353" w:type="pct"/>
          </w:tcPr>
          <w:p w14:paraId="43BE570F" w14:textId="77777777" w:rsidR="00AD1F54" w:rsidRPr="00264D5D" w:rsidRDefault="00AD1F54">
            <w:pPr>
              <w:spacing w:before="60" w:after="60"/>
              <w:rPr>
                <w:sz w:val="22"/>
                <w:szCs w:val="22"/>
              </w:rPr>
            </w:pPr>
          </w:p>
        </w:tc>
      </w:tr>
    </w:tbl>
    <w:p w14:paraId="4BEBF895" w14:textId="77777777" w:rsidR="00AD1F54" w:rsidRPr="00AD28B5" w:rsidRDefault="00941227">
      <w:pPr>
        <w:pStyle w:val="31"/>
        <w:rPr>
          <w:highlight w:val="green"/>
        </w:rPr>
      </w:pPr>
      <w:bookmarkStart w:id="1388" w:name="_Toc421026739"/>
      <w:bookmarkStart w:id="1389" w:name="_Toc411507343"/>
      <w:bookmarkStart w:id="1390" w:name="_Toc416192426"/>
      <w:bookmarkStart w:id="1391" w:name="_Toc219309587"/>
      <w:bookmarkEnd w:id="1388"/>
      <w:r w:rsidRPr="00AD28B5">
        <w:rPr>
          <w:highlight w:val="green"/>
        </w:rPr>
        <w:t>Описание комплексного типа «</w:t>
      </w:r>
      <w:bookmarkStart w:id="1392" w:name="RgstrPblcSrvcs"/>
      <w:r w:rsidRPr="00AD28B5">
        <w:rPr>
          <w:highlight w:val="green"/>
        </w:rPr>
        <w:t>tInfrmtnBdgtOblgtns</w:t>
      </w:r>
      <w:bookmarkEnd w:id="1392"/>
      <w:r w:rsidRPr="00AD28B5">
        <w:rPr>
          <w:highlight w:val="green"/>
        </w:rPr>
        <w:t>»</w:t>
      </w:r>
      <w:bookmarkEnd w:id="1389"/>
      <w:bookmarkEnd w:id="1390"/>
      <w:bookmarkEnd w:id="1391"/>
    </w:p>
    <w:p w14:paraId="36AC4538" w14:textId="7FADB331" w:rsidR="00AD1F54" w:rsidRPr="00AD28B5" w:rsidRDefault="00941227">
      <w:pPr>
        <w:pStyle w:val="GOSTNameTable"/>
        <w:numPr>
          <w:ilvl w:val="0"/>
          <w:numId w:val="2"/>
        </w:numPr>
        <w:ind w:left="425" w:hanging="357"/>
        <w:rPr>
          <w:rFonts w:eastAsia="Calibri"/>
          <w:szCs w:val="24"/>
          <w:highlight w:val="green"/>
        </w:rPr>
      </w:pPr>
      <w:r w:rsidRPr="00AD28B5">
        <w:rPr>
          <w:rFonts w:eastAsia="Calibri"/>
          <w:szCs w:val="24"/>
          <w:highlight w:val="green"/>
        </w:rPr>
        <w:fldChar w:fldCharType="begin"/>
      </w:r>
      <w:r w:rsidRPr="00AD28B5">
        <w:rPr>
          <w:rFonts w:eastAsia="Calibri"/>
          <w:szCs w:val="24"/>
          <w:highlight w:val="green"/>
        </w:rPr>
        <w:instrText xml:space="preserve"> SEQ Таблица \* ARABIC </w:instrText>
      </w:r>
      <w:r w:rsidRPr="00AD28B5">
        <w:rPr>
          <w:rFonts w:eastAsia="Calibri"/>
          <w:szCs w:val="24"/>
          <w:highlight w:val="green"/>
        </w:rPr>
        <w:fldChar w:fldCharType="separate"/>
      </w:r>
      <w:bookmarkStart w:id="1393" w:name="_Toc30503353"/>
      <w:bookmarkStart w:id="1394" w:name="_Toc30507951"/>
      <w:bookmarkStart w:id="1395" w:name="_Toc219309167"/>
      <w:r w:rsidR="008D797C">
        <w:rPr>
          <w:rFonts w:eastAsia="Calibri"/>
          <w:noProof/>
          <w:szCs w:val="24"/>
          <w:highlight w:val="green"/>
        </w:rPr>
        <w:t>137</w:t>
      </w:r>
      <w:r w:rsidRPr="00AD28B5">
        <w:rPr>
          <w:rFonts w:eastAsia="Calibri"/>
          <w:szCs w:val="24"/>
          <w:highlight w:val="green"/>
        </w:rPr>
        <w:fldChar w:fldCharType="end"/>
      </w:r>
      <w:r w:rsidRPr="00AD28B5">
        <w:rPr>
          <w:rFonts w:eastAsia="Calibri"/>
          <w:szCs w:val="24"/>
          <w:highlight w:val="green"/>
        </w:rPr>
        <w:t xml:space="preserve"> – Описание комплексного типа «</w:t>
      </w:r>
      <w:r w:rsidRPr="00AD28B5">
        <w:rPr>
          <w:rFonts w:eastAsia="Calibri"/>
          <w:szCs w:val="24"/>
          <w:highlight w:val="green"/>
          <w:lang w:val="en-US"/>
        </w:rPr>
        <w:t>t</w:t>
      </w:r>
      <w:r w:rsidRPr="00AD28B5">
        <w:rPr>
          <w:rFonts w:eastAsia="Calibri"/>
          <w:szCs w:val="24"/>
          <w:highlight w:val="green"/>
        </w:rPr>
        <w:t>InfrmtnBdgtOblgtns»</w:t>
      </w:r>
      <w:bookmarkEnd w:id="1393"/>
      <w:bookmarkEnd w:id="1394"/>
      <w:bookmarkEnd w:id="1395"/>
    </w:p>
    <w:tbl>
      <w:tblPr>
        <w:tblStyle w:val="GOSTTable"/>
        <w:tblW w:w="5003" w:type="pct"/>
        <w:tblLayout w:type="fixed"/>
        <w:tblLook w:val="04A0" w:firstRow="1" w:lastRow="0" w:firstColumn="1" w:lastColumn="0" w:noHBand="0" w:noVBand="1"/>
      </w:tblPr>
      <w:tblGrid>
        <w:gridCol w:w="1704"/>
        <w:gridCol w:w="1704"/>
        <w:gridCol w:w="568"/>
        <w:gridCol w:w="1136"/>
        <w:gridCol w:w="568"/>
        <w:gridCol w:w="3970"/>
        <w:gridCol w:w="6"/>
      </w:tblGrid>
      <w:tr w:rsidR="00AD1F54" w:rsidRPr="00264D5D" w14:paraId="450CB185" w14:textId="77777777" w:rsidTr="00AD1F54">
        <w:trPr>
          <w:gridAfter w:val="1"/>
          <w:cnfStyle w:val="100000000000" w:firstRow="1" w:lastRow="0" w:firstColumn="0" w:lastColumn="0" w:oddVBand="0" w:evenVBand="0" w:oddHBand="0" w:evenHBand="0" w:firstRowFirstColumn="0" w:firstRowLastColumn="0" w:lastRowFirstColumn="0" w:lastRowLastColumn="0"/>
          <w:wAfter w:w="6" w:type="dxa"/>
          <w:tblHeader/>
        </w:trPr>
        <w:tc>
          <w:tcPr>
            <w:tcW w:w="1704" w:type="dxa"/>
          </w:tcPr>
          <w:p w14:paraId="09E84E10" w14:textId="77777777" w:rsidR="00AD1F54" w:rsidRPr="00264D5D" w:rsidRDefault="00941227">
            <w:pPr>
              <w:widowControl w:val="0"/>
              <w:spacing w:before="60" w:after="60"/>
              <w:jc w:val="center"/>
              <w:rPr>
                <w:b/>
                <w:bCs/>
                <w:sz w:val="22"/>
                <w:szCs w:val="22"/>
              </w:rPr>
            </w:pPr>
            <w:r w:rsidRPr="00264D5D">
              <w:rPr>
                <w:b/>
                <w:bCs/>
                <w:sz w:val="22"/>
                <w:szCs w:val="22"/>
              </w:rPr>
              <w:t>Наименование элемента</w:t>
            </w:r>
          </w:p>
        </w:tc>
        <w:tc>
          <w:tcPr>
            <w:tcW w:w="1704" w:type="dxa"/>
          </w:tcPr>
          <w:p w14:paraId="300771B0" w14:textId="77777777" w:rsidR="00AD1F54" w:rsidRPr="00264D5D" w:rsidRDefault="00941227">
            <w:pPr>
              <w:widowControl w:val="0"/>
              <w:spacing w:before="60" w:after="60"/>
              <w:jc w:val="center"/>
              <w:rPr>
                <w:b/>
                <w:bCs/>
                <w:sz w:val="22"/>
                <w:szCs w:val="22"/>
              </w:rPr>
            </w:pPr>
            <w:r w:rsidRPr="00264D5D">
              <w:rPr>
                <w:b/>
                <w:bCs/>
                <w:sz w:val="22"/>
                <w:szCs w:val="22"/>
              </w:rPr>
              <w:t>Сокращенное наименование (код) элемента</w:t>
            </w:r>
          </w:p>
        </w:tc>
        <w:tc>
          <w:tcPr>
            <w:tcW w:w="568" w:type="dxa"/>
          </w:tcPr>
          <w:p w14:paraId="28A1376B" w14:textId="77777777" w:rsidR="00AD1F54" w:rsidRPr="00264D5D" w:rsidRDefault="00941227">
            <w:pPr>
              <w:widowControl w:val="0"/>
              <w:spacing w:before="60" w:after="60"/>
              <w:jc w:val="center"/>
              <w:rPr>
                <w:b/>
                <w:bCs/>
                <w:sz w:val="22"/>
                <w:szCs w:val="22"/>
              </w:rPr>
            </w:pPr>
            <w:r w:rsidRPr="00264D5D">
              <w:rPr>
                <w:b/>
                <w:bCs/>
                <w:sz w:val="22"/>
                <w:szCs w:val="22"/>
              </w:rPr>
              <w:t>Тип</w:t>
            </w:r>
          </w:p>
        </w:tc>
        <w:tc>
          <w:tcPr>
            <w:tcW w:w="1136" w:type="dxa"/>
          </w:tcPr>
          <w:p w14:paraId="4BD7CC7A" w14:textId="77777777" w:rsidR="00AD1F54" w:rsidRPr="00264D5D" w:rsidRDefault="00941227">
            <w:pPr>
              <w:widowControl w:val="0"/>
              <w:spacing w:before="60" w:after="60"/>
              <w:jc w:val="center"/>
              <w:rPr>
                <w:b/>
                <w:bCs/>
                <w:sz w:val="22"/>
                <w:szCs w:val="22"/>
              </w:rPr>
            </w:pPr>
            <w:r w:rsidRPr="00264D5D">
              <w:rPr>
                <w:b/>
                <w:bCs/>
                <w:sz w:val="22"/>
                <w:szCs w:val="22"/>
              </w:rPr>
              <w:t>Формат элемента</w:t>
            </w:r>
          </w:p>
        </w:tc>
        <w:tc>
          <w:tcPr>
            <w:tcW w:w="568" w:type="dxa"/>
          </w:tcPr>
          <w:p w14:paraId="30CC3E89" w14:textId="77777777" w:rsidR="00AD1F54" w:rsidRPr="00264D5D" w:rsidRDefault="00941227">
            <w:pPr>
              <w:widowControl w:val="0"/>
              <w:spacing w:before="60" w:after="60"/>
              <w:jc w:val="center"/>
              <w:rPr>
                <w:b/>
                <w:bCs/>
                <w:sz w:val="22"/>
                <w:szCs w:val="22"/>
              </w:rPr>
            </w:pPr>
            <w:r w:rsidRPr="00264D5D">
              <w:rPr>
                <w:b/>
                <w:bCs/>
                <w:sz w:val="22"/>
                <w:szCs w:val="22"/>
              </w:rPr>
              <w:t>Обязательность</w:t>
            </w:r>
          </w:p>
        </w:tc>
        <w:tc>
          <w:tcPr>
            <w:tcW w:w="3970" w:type="dxa"/>
          </w:tcPr>
          <w:p w14:paraId="2687DBEC" w14:textId="77777777" w:rsidR="00AD1F54" w:rsidRPr="00264D5D" w:rsidRDefault="00941227">
            <w:pPr>
              <w:widowControl w:val="0"/>
              <w:spacing w:before="60" w:after="60"/>
              <w:jc w:val="center"/>
              <w:rPr>
                <w:b/>
                <w:bCs/>
                <w:sz w:val="22"/>
                <w:szCs w:val="22"/>
              </w:rPr>
            </w:pPr>
            <w:r w:rsidRPr="00264D5D">
              <w:rPr>
                <w:b/>
                <w:bCs/>
                <w:sz w:val="22"/>
                <w:szCs w:val="22"/>
              </w:rPr>
              <w:t>Дополнительная информация</w:t>
            </w:r>
          </w:p>
        </w:tc>
      </w:tr>
      <w:tr w:rsidR="00AD1F54" w:rsidRPr="00264D5D" w14:paraId="68DB5559" w14:textId="77777777" w:rsidTr="00AD1F54">
        <w:trPr>
          <w:gridAfter w:val="1"/>
          <w:cnfStyle w:val="000000100000" w:firstRow="0" w:lastRow="0" w:firstColumn="0" w:lastColumn="0" w:oddVBand="0" w:evenVBand="0" w:oddHBand="1" w:evenHBand="0" w:firstRowFirstColumn="0" w:firstRowLastColumn="0" w:lastRowFirstColumn="0" w:lastRowLastColumn="0"/>
          <w:wAfter w:w="6" w:type="dxa"/>
        </w:trPr>
        <w:tc>
          <w:tcPr>
            <w:tcW w:w="1704" w:type="dxa"/>
          </w:tcPr>
          <w:p w14:paraId="13030B6B" w14:textId="77777777" w:rsidR="00AD1F54" w:rsidRPr="00264D5D" w:rsidRDefault="00941227">
            <w:pPr>
              <w:widowControl w:val="0"/>
              <w:spacing w:before="60" w:after="60"/>
              <w:rPr>
                <w:sz w:val="22"/>
                <w:szCs w:val="22"/>
              </w:rPr>
            </w:pPr>
            <w:r w:rsidRPr="00264D5D">
              <w:rPr>
                <w:sz w:val="22"/>
                <w:szCs w:val="22"/>
              </w:rPr>
              <w:t>Версия структуры формуляра</w:t>
            </w:r>
          </w:p>
        </w:tc>
        <w:tc>
          <w:tcPr>
            <w:tcW w:w="1704" w:type="dxa"/>
          </w:tcPr>
          <w:p w14:paraId="76D9C203" w14:textId="77777777" w:rsidR="00AD1F54" w:rsidRPr="00264D5D" w:rsidRDefault="00941227">
            <w:pPr>
              <w:widowControl w:val="0"/>
              <w:spacing w:before="60" w:after="60"/>
              <w:jc w:val="left"/>
              <w:rPr>
                <w:sz w:val="22"/>
                <w:szCs w:val="22"/>
              </w:rPr>
            </w:pPr>
            <w:r w:rsidRPr="00264D5D">
              <w:rPr>
                <w:sz w:val="22"/>
                <w:szCs w:val="22"/>
              </w:rPr>
              <w:t>versionID</w:t>
            </w:r>
          </w:p>
        </w:tc>
        <w:tc>
          <w:tcPr>
            <w:tcW w:w="568" w:type="dxa"/>
          </w:tcPr>
          <w:p w14:paraId="1AF4EB7F" w14:textId="77777777" w:rsidR="00AD1F54" w:rsidRPr="00264D5D" w:rsidRDefault="00941227">
            <w:pPr>
              <w:widowControl w:val="0"/>
              <w:spacing w:before="60" w:after="60"/>
              <w:jc w:val="center"/>
              <w:rPr>
                <w:sz w:val="22"/>
                <w:szCs w:val="22"/>
              </w:rPr>
            </w:pPr>
            <w:r w:rsidRPr="00264D5D">
              <w:rPr>
                <w:sz w:val="22"/>
                <w:szCs w:val="22"/>
                <w:lang w:val="en-US"/>
              </w:rPr>
              <w:t>А</w:t>
            </w:r>
          </w:p>
        </w:tc>
        <w:tc>
          <w:tcPr>
            <w:tcW w:w="1136" w:type="dxa"/>
          </w:tcPr>
          <w:p w14:paraId="40FB2B19" w14:textId="77777777" w:rsidR="00AD1F54" w:rsidRPr="00264D5D" w:rsidRDefault="00941227">
            <w:pPr>
              <w:widowControl w:val="0"/>
              <w:spacing w:before="60" w:after="60"/>
              <w:jc w:val="left"/>
              <w:rPr>
                <w:sz w:val="22"/>
                <w:szCs w:val="22"/>
              </w:rPr>
            </w:pPr>
            <w:r w:rsidRPr="00264D5D">
              <w:rPr>
                <w:sz w:val="22"/>
                <w:szCs w:val="22"/>
              </w:rPr>
              <w:t>-</w:t>
            </w:r>
          </w:p>
        </w:tc>
        <w:tc>
          <w:tcPr>
            <w:tcW w:w="568" w:type="dxa"/>
          </w:tcPr>
          <w:p w14:paraId="7EB12E40" w14:textId="77777777" w:rsidR="00AD1F54" w:rsidRPr="00264D5D" w:rsidRDefault="00941227">
            <w:pPr>
              <w:widowControl w:val="0"/>
              <w:spacing w:before="60" w:after="60"/>
              <w:jc w:val="center"/>
              <w:rPr>
                <w:sz w:val="22"/>
                <w:szCs w:val="22"/>
              </w:rPr>
            </w:pPr>
            <w:r w:rsidRPr="00264D5D">
              <w:rPr>
                <w:sz w:val="22"/>
                <w:szCs w:val="22"/>
              </w:rPr>
              <w:t>О</w:t>
            </w:r>
          </w:p>
        </w:tc>
        <w:tc>
          <w:tcPr>
            <w:tcW w:w="3970" w:type="dxa"/>
          </w:tcPr>
          <w:p w14:paraId="6E485B16" w14:textId="3A90E755" w:rsidR="00AD1F54" w:rsidRPr="00264D5D" w:rsidRDefault="00941227">
            <w:pPr>
              <w:widowControl w:val="0"/>
              <w:spacing w:before="60" w:after="60"/>
              <w:rPr>
                <w:sz w:val="22"/>
                <w:szCs w:val="22"/>
              </w:rPr>
            </w:pPr>
            <w:r w:rsidRPr="00264D5D">
              <w:rPr>
                <w:sz w:val="22"/>
                <w:szCs w:val="22"/>
                <w:lang w:eastAsia="en-US"/>
              </w:rPr>
              <w:t xml:space="preserve">Указывается значение версии, соответствующее таблице </w:t>
            </w:r>
            <w:r w:rsidRPr="00264D5D">
              <w:rPr>
                <w:sz w:val="22"/>
                <w:szCs w:val="22"/>
              </w:rPr>
              <w:fldChar w:fldCharType="begin"/>
            </w:r>
            <w:r w:rsidRPr="00264D5D">
              <w:rPr>
                <w:sz w:val="22"/>
                <w:szCs w:val="22"/>
                <w:lang w:eastAsia="en-US"/>
              </w:rPr>
              <w:instrText xml:space="preserve"> REF _Ref19881821 \h </w:instrText>
            </w:r>
            <w:r w:rsidRPr="00264D5D">
              <w:rPr>
                <w:sz w:val="22"/>
                <w:szCs w:val="22"/>
              </w:rPr>
              <w:instrText xml:space="preserve"> \* MERGEFORMAT </w:instrText>
            </w:r>
            <w:r w:rsidRPr="00264D5D">
              <w:rPr>
                <w:sz w:val="22"/>
                <w:szCs w:val="22"/>
              </w:rPr>
            </w:r>
            <w:r w:rsidRPr="00264D5D">
              <w:rPr>
                <w:sz w:val="22"/>
                <w:szCs w:val="22"/>
              </w:rPr>
              <w:fldChar w:fldCharType="separate"/>
            </w:r>
            <w:r w:rsidR="008D797C" w:rsidRPr="008D797C">
              <w:rPr>
                <w:rFonts w:eastAsia="Calibri"/>
                <w:sz w:val="22"/>
                <w:szCs w:val="22"/>
              </w:rPr>
              <w:t>2</w:t>
            </w:r>
            <w:r w:rsidRPr="00264D5D">
              <w:rPr>
                <w:sz w:val="22"/>
                <w:szCs w:val="22"/>
              </w:rPr>
              <w:fldChar w:fldCharType="end"/>
            </w:r>
          </w:p>
        </w:tc>
      </w:tr>
      <w:tr w:rsidR="00AD1F54" w:rsidRPr="00264D5D" w14:paraId="073FAD89"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9650" w:type="dxa"/>
            <w:gridSpan w:val="6"/>
          </w:tcPr>
          <w:p w14:paraId="41662900" w14:textId="77777777" w:rsidR="00AD1F54" w:rsidRPr="00264D5D" w:rsidRDefault="00941227">
            <w:pPr>
              <w:widowControl w:val="0"/>
              <w:spacing w:before="60" w:after="60"/>
              <w:rPr>
                <w:sz w:val="22"/>
                <w:szCs w:val="22"/>
              </w:rPr>
            </w:pPr>
            <w:r w:rsidRPr="00264D5D">
              <w:rPr>
                <w:b/>
                <w:sz w:val="22"/>
                <w:szCs w:val="22"/>
              </w:rPr>
              <w:t>Основная информация</w:t>
            </w:r>
          </w:p>
        </w:tc>
      </w:tr>
      <w:tr w:rsidR="00AD1F54" w:rsidRPr="00264D5D" w14:paraId="3D6A24CE" w14:textId="77777777" w:rsidTr="00AD1F54">
        <w:trPr>
          <w:gridAfter w:val="1"/>
          <w:cnfStyle w:val="000000100000" w:firstRow="0" w:lastRow="0" w:firstColumn="0" w:lastColumn="0" w:oddVBand="0" w:evenVBand="0" w:oddHBand="1" w:evenHBand="0" w:firstRowFirstColumn="0" w:firstRowLastColumn="0" w:lastRowFirstColumn="0" w:lastRowLastColumn="0"/>
          <w:wAfter w:w="6" w:type="dxa"/>
        </w:trPr>
        <w:tc>
          <w:tcPr>
            <w:tcW w:w="1704" w:type="dxa"/>
          </w:tcPr>
          <w:p w14:paraId="30F10DA7" w14:textId="77777777" w:rsidR="00AD1F54" w:rsidRPr="00264D5D" w:rsidRDefault="00941227">
            <w:pPr>
              <w:widowControl w:val="0"/>
              <w:spacing w:before="60" w:after="60"/>
              <w:rPr>
                <w:sz w:val="22"/>
                <w:szCs w:val="22"/>
              </w:rPr>
            </w:pPr>
            <w:r w:rsidRPr="00264D5D">
              <w:rPr>
                <w:sz w:val="22"/>
                <w:szCs w:val="22"/>
              </w:rPr>
              <w:t>Номер документа</w:t>
            </w:r>
          </w:p>
        </w:tc>
        <w:tc>
          <w:tcPr>
            <w:tcW w:w="1704" w:type="dxa"/>
          </w:tcPr>
          <w:p w14:paraId="2AA591F1" w14:textId="77777777" w:rsidR="00AD1F54" w:rsidRPr="00264D5D" w:rsidRDefault="00941227">
            <w:pPr>
              <w:widowControl w:val="0"/>
              <w:spacing w:before="60" w:after="60"/>
              <w:jc w:val="left"/>
              <w:rPr>
                <w:sz w:val="22"/>
                <w:szCs w:val="22"/>
              </w:rPr>
            </w:pPr>
            <w:r w:rsidRPr="00264D5D">
              <w:rPr>
                <w:sz w:val="22"/>
                <w:szCs w:val="22"/>
              </w:rPr>
              <w:t>Inf_NmbrDcmnt</w:t>
            </w:r>
          </w:p>
        </w:tc>
        <w:tc>
          <w:tcPr>
            <w:tcW w:w="568" w:type="dxa"/>
          </w:tcPr>
          <w:p w14:paraId="2CDC8EF6" w14:textId="77777777" w:rsidR="00AD1F54" w:rsidRPr="00264D5D" w:rsidRDefault="00941227">
            <w:pPr>
              <w:widowControl w:val="0"/>
              <w:spacing w:before="60" w:after="60"/>
              <w:jc w:val="center"/>
              <w:rPr>
                <w:sz w:val="22"/>
                <w:szCs w:val="22"/>
              </w:rPr>
            </w:pPr>
            <w:r w:rsidRPr="00264D5D">
              <w:rPr>
                <w:sz w:val="22"/>
                <w:szCs w:val="22"/>
              </w:rPr>
              <w:t>П</w:t>
            </w:r>
          </w:p>
        </w:tc>
        <w:tc>
          <w:tcPr>
            <w:tcW w:w="1136" w:type="dxa"/>
          </w:tcPr>
          <w:p w14:paraId="246546FD" w14:textId="77777777" w:rsidR="00AD1F54" w:rsidRPr="00264D5D" w:rsidRDefault="00941227">
            <w:pPr>
              <w:widowControl w:val="0"/>
              <w:spacing w:before="60" w:after="60"/>
              <w:jc w:val="left"/>
              <w:rPr>
                <w:sz w:val="22"/>
                <w:szCs w:val="22"/>
              </w:rPr>
            </w:pPr>
            <w:r w:rsidRPr="00264D5D">
              <w:rPr>
                <w:sz w:val="22"/>
                <w:szCs w:val="22"/>
              </w:rPr>
              <w:t>Т(1-50)</w:t>
            </w:r>
          </w:p>
        </w:tc>
        <w:tc>
          <w:tcPr>
            <w:tcW w:w="568" w:type="dxa"/>
          </w:tcPr>
          <w:p w14:paraId="5C6126A9" w14:textId="77777777" w:rsidR="00AD1F54" w:rsidRPr="00264D5D" w:rsidRDefault="00941227">
            <w:pPr>
              <w:widowControl w:val="0"/>
              <w:spacing w:before="60" w:after="60"/>
              <w:jc w:val="center"/>
              <w:rPr>
                <w:sz w:val="22"/>
                <w:szCs w:val="22"/>
              </w:rPr>
            </w:pPr>
            <w:r w:rsidRPr="00264D5D">
              <w:rPr>
                <w:sz w:val="22"/>
                <w:szCs w:val="22"/>
              </w:rPr>
              <w:t>О</w:t>
            </w:r>
          </w:p>
        </w:tc>
        <w:tc>
          <w:tcPr>
            <w:tcW w:w="3970" w:type="dxa"/>
          </w:tcPr>
          <w:p w14:paraId="1614F791" w14:textId="77777777" w:rsidR="00AD1F54" w:rsidRPr="00264D5D" w:rsidRDefault="00941227">
            <w:pPr>
              <w:widowControl w:val="0"/>
              <w:spacing w:before="60" w:after="60"/>
              <w:rPr>
                <w:sz w:val="22"/>
                <w:szCs w:val="22"/>
              </w:rPr>
            </w:pPr>
            <w:r w:rsidRPr="00264D5D">
              <w:rPr>
                <w:sz w:val="22"/>
                <w:szCs w:val="22"/>
              </w:rPr>
              <w:t>Номер сведений об обяза</w:t>
            </w:r>
            <w:r w:rsidR="00CE031E" w:rsidRPr="00264D5D">
              <w:rPr>
                <w:sz w:val="22"/>
                <w:szCs w:val="22"/>
              </w:rPr>
              <w:t>тельстве, присвоенный клиентом</w:t>
            </w:r>
          </w:p>
        </w:tc>
      </w:tr>
      <w:tr w:rsidR="00AD1F54" w:rsidRPr="00264D5D" w14:paraId="2656CDF5"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4" w:type="dxa"/>
          </w:tcPr>
          <w:p w14:paraId="2C12D658" w14:textId="77777777" w:rsidR="00AD1F54" w:rsidRPr="00264D5D" w:rsidRDefault="00941227">
            <w:pPr>
              <w:widowControl w:val="0"/>
              <w:spacing w:before="60" w:after="60"/>
              <w:rPr>
                <w:sz w:val="22"/>
                <w:szCs w:val="22"/>
              </w:rPr>
            </w:pPr>
            <w:r w:rsidRPr="00264D5D">
              <w:rPr>
                <w:sz w:val="22"/>
                <w:szCs w:val="22"/>
              </w:rPr>
              <w:t>Дата составления</w:t>
            </w:r>
          </w:p>
        </w:tc>
        <w:tc>
          <w:tcPr>
            <w:tcW w:w="1704" w:type="dxa"/>
          </w:tcPr>
          <w:p w14:paraId="69B5A9D6" w14:textId="77777777" w:rsidR="00AD1F54" w:rsidRPr="00264D5D" w:rsidRDefault="00941227">
            <w:pPr>
              <w:widowControl w:val="0"/>
              <w:spacing w:before="60" w:after="60"/>
              <w:jc w:val="left"/>
              <w:rPr>
                <w:sz w:val="22"/>
                <w:szCs w:val="22"/>
              </w:rPr>
            </w:pPr>
            <w:r w:rsidRPr="00264D5D">
              <w:rPr>
                <w:sz w:val="22"/>
                <w:szCs w:val="22"/>
              </w:rPr>
              <w:t>Inf_DtDcmnt</w:t>
            </w:r>
          </w:p>
        </w:tc>
        <w:tc>
          <w:tcPr>
            <w:tcW w:w="568" w:type="dxa"/>
          </w:tcPr>
          <w:p w14:paraId="79415599" w14:textId="77777777" w:rsidR="00AD1F54" w:rsidRPr="00264D5D" w:rsidRDefault="00941227">
            <w:pPr>
              <w:widowControl w:val="0"/>
              <w:spacing w:before="60" w:after="60"/>
              <w:jc w:val="center"/>
              <w:rPr>
                <w:sz w:val="22"/>
                <w:szCs w:val="22"/>
              </w:rPr>
            </w:pPr>
            <w:r w:rsidRPr="00264D5D">
              <w:rPr>
                <w:sz w:val="22"/>
                <w:szCs w:val="22"/>
              </w:rPr>
              <w:t>П</w:t>
            </w:r>
          </w:p>
        </w:tc>
        <w:tc>
          <w:tcPr>
            <w:tcW w:w="1136" w:type="dxa"/>
          </w:tcPr>
          <w:p w14:paraId="5A7DCD22" w14:textId="77777777" w:rsidR="00AD1F54" w:rsidRPr="00264D5D" w:rsidRDefault="00941227">
            <w:pPr>
              <w:widowControl w:val="0"/>
              <w:spacing w:before="60" w:after="60"/>
              <w:jc w:val="left"/>
              <w:rPr>
                <w:sz w:val="22"/>
                <w:szCs w:val="22"/>
              </w:rPr>
            </w:pPr>
            <w:r w:rsidRPr="00264D5D">
              <w:rPr>
                <w:sz w:val="22"/>
                <w:szCs w:val="22"/>
                <w:lang w:val="en-US"/>
              </w:rPr>
              <w:t>D</w:t>
            </w:r>
            <w:r w:rsidRPr="00264D5D">
              <w:rPr>
                <w:sz w:val="22"/>
                <w:szCs w:val="22"/>
              </w:rPr>
              <w:t>ate</w:t>
            </w:r>
          </w:p>
        </w:tc>
        <w:tc>
          <w:tcPr>
            <w:tcW w:w="568" w:type="dxa"/>
          </w:tcPr>
          <w:p w14:paraId="2733899D" w14:textId="77777777" w:rsidR="00AD1F54" w:rsidRPr="00264D5D" w:rsidRDefault="00941227">
            <w:pPr>
              <w:widowControl w:val="0"/>
              <w:spacing w:before="60" w:after="60"/>
              <w:jc w:val="center"/>
              <w:rPr>
                <w:sz w:val="22"/>
                <w:szCs w:val="22"/>
              </w:rPr>
            </w:pPr>
            <w:r w:rsidRPr="00264D5D">
              <w:rPr>
                <w:sz w:val="22"/>
                <w:szCs w:val="22"/>
              </w:rPr>
              <w:t>О</w:t>
            </w:r>
          </w:p>
        </w:tc>
        <w:tc>
          <w:tcPr>
            <w:tcW w:w="3970" w:type="dxa"/>
          </w:tcPr>
          <w:p w14:paraId="7F3313F6" w14:textId="77777777" w:rsidR="00AD1F54" w:rsidRPr="00264D5D" w:rsidRDefault="00941227">
            <w:pPr>
              <w:widowControl w:val="0"/>
              <w:spacing w:before="60" w:after="60"/>
              <w:rPr>
                <w:sz w:val="22"/>
                <w:szCs w:val="22"/>
              </w:rPr>
            </w:pPr>
            <w:r w:rsidRPr="00264D5D">
              <w:rPr>
                <w:sz w:val="22"/>
                <w:szCs w:val="22"/>
              </w:rPr>
              <w:t xml:space="preserve">Дата подписания сведений клиентом. </w:t>
            </w:r>
          </w:p>
          <w:p w14:paraId="6591D2F4" w14:textId="77777777" w:rsidR="00AD1F54" w:rsidRPr="00264D5D" w:rsidRDefault="00941227">
            <w:pPr>
              <w:widowControl w:val="0"/>
              <w:spacing w:before="60" w:after="60"/>
              <w:rPr>
                <w:sz w:val="22"/>
                <w:szCs w:val="22"/>
              </w:rPr>
            </w:pPr>
            <w:r w:rsidRPr="00264D5D">
              <w:rPr>
                <w:sz w:val="22"/>
                <w:szCs w:val="22"/>
              </w:rPr>
              <w:t>Не должна быть больше даты передачи файла (посл</w:t>
            </w:r>
            <w:r w:rsidR="00CE031E" w:rsidRPr="00264D5D">
              <w:rPr>
                <w:sz w:val="22"/>
                <w:szCs w:val="22"/>
              </w:rPr>
              <w:t>едняя содержится в имени файла)</w:t>
            </w:r>
          </w:p>
        </w:tc>
      </w:tr>
      <w:tr w:rsidR="00AD1F54" w:rsidRPr="00264D5D" w14:paraId="4FE59553" w14:textId="77777777" w:rsidTr="00AD1F54">
        <w:trPr>
          <w:gridAfter w:val="1"/>
          <w:cnfStyle w:val="000000100000" w:firstRow="0" w:lastRow="0" w:firstColumn="0" w:lastColumn="0" w:oddVBand="0" w:evenVBand="0" w:oddHBand="1" w:evenHBand="0" w:firstRowFirstColumn="0" w:firstRowLastColumn="0" w:lastRowFirstColumn="0" w:lastRowLastColumn="0"/>
          <w:wAfter w:w="6" w:type="dxa"/>
        </w:trPr>
        <w:tc>
          <w:tcPr>
            <w:tcW w:w="1704" w:type="dxa"/>
          </w:tcPr>
          <w:p w14:paraId="6B27F862" w14:textId="77777777" w:rsidR="00AD1F54" w:rsidRPr="00264D5D" w:rsidRDefault="00941227">
            <w:pPr>
              <w:widowControl w:val="0"/>
              <w:spacing w:before="60" w:after="60"/>
              <w:rPr>
                <w:sz w:val="22"/>
                <w:szCs w:val="22"/>
              </w:rPr>
            </w:pPr>
            <w:r w:rsidRPr="00264D5D">
              <w:rPr>
                <w:sz w:val="22"/>
                <w:szCs w:val="22"/>
              </w:rPr>
              <w:t>Тип сведений</w:t>
            </w:r>
          </w:p>
        </w:tc>
        <w:tc>
          <w:tcPr>
            <w:tcW w:w="1704" w:type="dxa"/>
          </w:tcPr>
          <w:p w14:paraId="7770B345" w14:textId="77777777" w:rsidR="00AD1F54" w:rsidRPr="00264D5D" w:rsidRDefault="00941227">
            <w:pPr>
              <w:widowControl w:val="0"/>
              <w:spacing w:before="60" w:after="60"/>
              <w:jc w:val="left"/>
              <w:rPr>
                <w:sz w:val="22"/>
                <w:szCs w:val="22"/>
              </w:rPr>
            </w:pPr>
            <w:r w:rsidRPr="00264D5D">
              <w:rPr>
                <w:sz w:val="22"/>
                <w:szCs w:val="22"/>
              </w:rPr>
              <w:t>Inf_TpDcmnt</w:t>
            </w:r>
          </w:p>
        </w:tc>
        <w:tc>
          <w:tcPr>
            <w:tcW w:w="568" w:type="dxa"/>
          </w:tcPr>
          <w:p w14:paraId="399A5F05" w14:textId="77777777" w:rsidR="00AD1F54" w:rsidRPr="00264D5D" w:rsidRDefault="00941227">
            <w:pPr>
              <w:widowControl w:val="0"/>
              <w:spacing w:before="60" w:after="60"/>
              <w:jc w:val="center"/>
              <w:rPr>
                <w:sz w:val="22"/>
                <w:szCs w:val="22"/>
              </w:rPr>
            </w:pPr>
            <w:r w:rsidRPr="00264D5D">
              <w:rPr>
                <w:sz w:val="22"/>
                <w:szCs w:val="22"/>
              </w:rPr>
              <w:t>П</w:t>
            </w:r>
          </w:p>
        </w:tc>
        <w:tc>
          <w:tcPr>
            <w:tcW w:w="1136" w:type="dxa"/>
          </w:tcPr>
          <w:p w14:paraId="723C0D84" w14:textId="77777777" w:rsidR="00AD1F54" w:rsidRPr="00264D5D" w:rsidRDefault="00941227">
            <w:pPr>
              <w:widowControl w:val="0"/>
              <w:spacing w:before="60" w:after="60"/>
              <w:jc w:val="left"/>
              <w:rPr>
                <w:sz w:val="22"/>
                <w:szCs w:val="22"/>
              </w:rPr>
            </w:pPr>
            <w:r w:rsidRPr="00264D5D">
              <w:rPr>
                <w:sz w:val="22"/>
                <w:szCs w:val="22"/>
              </w:rPr>
              <w:t>Т(1)</w:t>
            </w:r>
          </w:p>
        </w:tc>
        <w:tc>
          <w:tcPr>
            <w:tcW w:w="568" w:type="dxa"/>
          </w:tcPr>
          <w:p w14:paraId="04DF84D5" w14:textId="77777777" w:rsidR="00AD1F54" w:rsidRPr="00264D5D" w:rsidRDefault="00941227">
            <w:pPr>
              <w:widowControl w:val="0"/>
              <w:spacing w:before="60" w:after="60"/>
              <w:jc w:val="center"/>
              <w:rPr>
                <w:sz w:val="22"/>
                <w:szCs w:val="22"/>
                <w:lang w:val="en-US"/>
              </w:rPr>
            </w:pPr>
            <w:r w:rsidRPr="00264D5D">
              <w:rPr>
                <w:sz w:val="22"/>
                <w:szCs w:val="22"/>
                <w:lang w:val="en-US"/>
              </w:rPr>
              <w:t>O</w:t>
            </w:r>
          </w:p>
        </w:tc>
        <w:tc>
          <w:tcPr>
            <w:tcW w:w="3970" w:type="dxa"/>
          </w:tcPr>
          <w:p w14:paraId="0DF786DF" w14:textId="77777777" w:rsidR="00AD1F54" w:rsidRPr="00264D5D" w:rsidRDefault="00941227" w:rsidP="00CE031E">
            <w:pPr>
              <w:widowControl w:val="0"/>
              <w:spacing w:before="60" w:after="60"/>
              <w:rPr>
                <w:sz w:val="22"/>
                <w:szCs w:val="22"/>
              </w:rPr>
            </w:pPr>
            <w:r w:rsidRPr="00264D5D">
              <w:rPr>
                <w:sz w:val="22"/>
                <w:szCs w:val="22"/>
              </w:rPr>
              <w:t xml:space="preserve">Указывается тип сведений. </w:t>
            </w:r>
          </w:p>
          <w:p w14:paraId="6BFDC1EC" w14:textId="77777777" w:rsidR="00AD1F54" w:rsidRPr="00264D5D" w:rsidRDefault="00941227" w:rsidP="00CE031E">
            <w:pPr>
              <w:widowControl w:val="0"/>
              <w:spacing w:before="60" w:after="60"/>
              <w:rPr>
                <w:sz w:val="22"/>
                <w:szCs w:val="22"/>
              </w:rPr>
            </w:pPr>
            <w:r w:rsidRPr="00264D5D">
              <w:rPr>
                <w:sz w:val="22"/>
                <w:szCs w:val="22"/>
              </w:rPr>
              <w:t>Допустимые значения:</w:t>
            </w:r>
          </w:p>
          <w:p w14:paraId="01055B52" w14:textId="77777777" w:rsidR="00AD1F54" w:rsidRPr="00264D5D" w:rsidRDefault="00941227" w:rsidP="00CE031E">
            <w:pPr>
              <w:pStyle w:val="GOSTTableListMark1"/>
              <w:widowControl w:val="0"/>
              <w:numPr>
                <w:ilvl w:val="0"/>
                <w:numId w:val="65"/>
              </w:numPr>
              <w:tabs>
                <w:tab w:val="clear" w:pos="340"/>
                <w:tab w:val="num" w:pos="227"/>
              </w:tabs>
              <w:spacing w:before="60" w:after="60"/>
              <w:ind w:left="284"/>
              <w:jc w:val="both"/>
              <w:rPr>
                <w:szCs w:val="22"/>
              </w:rPr>
            </w:pPr>
            <w:r w:rsidRPr="00264D5D">
              <w:rPr>
                <w:szCs w:val="22"/>
              </w:rPr>
              <w:t>«0» – первичные;</w:t>
            </w:r>
          </w:p>
          <w:p w14:paraId="458D1183" w14:textId="77777777" w:rsidR="00AD1F54" w:rsidRPr="00264D5D" w:rsidRDefault="00941227" w:rsidP="00CE031E">
            <w:pPr>
              <w:pStyle w:val="GOSTTableListMark1"/>
              <w:widowControl w:val="0"/>
              <w:numPr>
                <w:ilvl w:val="0"/>
                <w:numId w:val="65"/>
              </w:numPr>
              <w:tabs>
                <w:tab w:val="clear" w:pos="340"/>
                <w:tab w:val="num" w:pos="227"/>
              </w:tabs>
              <w:spacing w:before="60" w:after="60"/>
              <w:ind w:left="284"/>
              <w:jc w:val="both"/>
              <w:rPr>
                <w:szCs w:val="22"/>
              </w:rPr>
            </w:pPr>
            <w:r w:rsidRPr="00264D5D">
              <w:rPr>
                <w:szCs w:val="22"/>
              </w:rPr>
              <w:t>«1» – из</w:t>
            </w:r>
            <w:r w:rsidR="00CE031E" w:rsidRPr="00264D5D">
              <w:rPr>
                <w:szCs w:val="22"/>
              </w:rPr>
              <w:t>менения</w:t>
            </w:r>
          </w:p>
        </w:tc>
      </w:tr>
      <w:tr w:rsidR="00AD1F54" w:rsidRPr="00264D5D" w14:paraId="6EF64498"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4" w:type="dxa"/>
          </w:tcPr>
          <w:p w14:paraId="359E6213" w14:textId="77777777" w:rsidR="00AD1F54" w:rsidRPr="00264D5D" w:rsidRDefault="00941227">
            <w:pPr>
              <w:widowControl w:val="0"/>
              <w:spacing w:before="60" w:after="60"/>
              <w:rPr>
                <w:sz w:val="22"/>
                <w:szCs w:val="22"/>
              </w:rPr>
            </w:pPr>
            <w:r w:rsidRPr="00264D5D">
              <w:rPr>
                <w:sz w:val="22"/>
                <w:szCs w:val="22"/>
              </w:rPr>
              <w:lastRenderedPageBreak/>
              <w:t>Номер изменения</w:t>
            </w:r>
          </w:p>
        </w:tc>
        <w:tc>
          <w:tcPr>
            <w:tcW w:w="1704" w:type="dxa"/>
          </w:tcPr>
          <w:p w14:paraId="18255356" w14:textId="77777777" w:rsidR="00AD1F54" w:rsidRPr="00264D5D" w:rsidRDefault="00941227">
            <w:pPr>
              <w:widowControl w:val="0"/>
              <w:spacing w:before="60" w:after="60"/>
              <w:jc w:val="left"/>
              <w:rPr>
                <w:sz w:val="22"/>
                <w:szCs w:val="22"/>
              </w:rPr>
            </w:pPr>
            <w:r w:rsidRPr="00264D5D">
              <w:rPr>
                <w:sz w:val="22"/>
                <w:szCs w:val="22"/>
              </w:rPr>
              <w:t>Inf_NmbrChng</w:t>
            </w:r>
          </w:p>
        </w:tc>
        <w:tc>
          <w:tcPr>
            <w:tcW w:w="568" w:type="dxa"/>
          </w:tcPr>
          <w:p w14:paraId="6AFADB50" w14:textId="77777777" w:rsidR="00AD1F54" w:rsidRPr="00264D5D" w:rsidRDefault="00941227">
            <w:pPr>
              <w:widowControl w:val="0"/>
              <w:spacing w:before="60" w:after="60"/>
              <w:jc w:val="center"/>
              <w:rPr>
                <w:sz w:val="22"/>
                <w:szCs w:val="22"/>
              </w:rPr>
            </w:pPr>
            <w:r w:rsidRPr="00264D5D">
              <w:rPr>
                <w:sz w:val="22"/>
                <w:szCs w:val="22"/>
              </w:rPr>
              <w:t>П</w:t>
            </w:r>
          </w:p>
        </w:tc>
        <w:tc>
          <w:tcPr>
            <w:tcW w:w="1136" w:type="dxa"/>
          </w:tcPr>
          <w:p w14:paraId="34BC7A6F" w14:textId="77777777" w:rsidR="00AD1F54" w:rsidRPr="00264D5D" w:rsidRDefault="00941227">
            <w:pPr>
              <w:widowControl w:val="0"/>
              <w:spacing w:before="60" w:after="60"/>
              <w:jc w:val="left"/>
              <w:rPr>
                <w:sz w:val="22"/>
                <w:szCs w:val="22"/>
              </w:rPr>
            </w:pPr>
            <w:r w:rsidRPr="00264D5D">
              <w:rPr>
                <w:sz w:val="22"/>
                <w:szCs w:val="22"/>
              </w:rPr>
              <w:t>N(1-</w:t>
            </w:r>
            <w:r w:rsidRPr="00264D5D">
              <w:rPr>
                <w:sz w:val="22"/>
                <w:szCs w:val="22"/>
                <w:lang w:val="en-US"/>
              </w:rPr>
              <w:t>7</w:t>
            </w:r>
            <w:r w:rsidRPr="00264D5D">
              <w:rPr>
                <w:sz w:val="22"/>
                <w:szCs w:val="22"/>
              </w:rPr>
              <w:t>)</w:t>
            </w:r>
          </w:p>
        </w:tc>
        <w:tc>
          <w:tcPr>
            <w:tcW w:w="568" w:type="dxa"/>
          </w:tcPr>
          <w:p w14:paraId="3DB1BD3B" w14:textId="77777777" w:rsidR="00AD1F54" w:rsidRPr="00264D5D" w:rsidRDefault="00941227">
            <w:pPr>
              <w:widowControl w:val="0"/>
              <w:spacing w:before="60" w:after="60"/>
              <w:jc w:val="center"/>
              <w:rPr>
                <w:sz w:val="22"/>
                <w:szCs w:val="22"/>
              </w:rPr>
            </w:pPr>
            <w:r w:rsidRPr="00264D5D">
              <w:rPr>
                <w:sz w:val="22"/>
                <w:szCs w:val="22"/>
              </w:rPr>
              <w:t>Н</w:t>
            </w:r>
          </w:p>
        </w:tc>
        <w:tc>
          <w:tcPr>
            <w:tcW w:w="3970" w:type="dxa"/>
          </w:tcPr>
          <w:p w14:paraId="66B55028" w14:textId="77777777" w:rsidR="00AD1F54" w:rsidRPr="00264D5D" w:rsidRDefault="00941227">
            <w:pPr>
              <w:widowControl w:val="0"/>
              <w:spacing w:before="60" w:after="60"/>
              <w:rPr>
                <w:sz w:val="22"/>
                <w:szCs w:val="22"/>
              </w:rPr>
            </w:pPr>
            <w:r w:rsidRPr="00264D5D">
              <w:rPr>
                <w:sz w:val="22"/>
                <w:szCs w:val="22"/>
              </w:rPr>
              <w:t xml:space="preserve">Служебное поле. </w:t>
            </w:r>
          </w:p>
          <w:p w14:paraId="54D0F28F" w14:textId="77777777" w:rsidR="00AD1F54" w:rsidRPr="00264D5D" w:rsidRDefault="00941227">
            <w:pPr>
              <w:widowControl w:val="0"/>
              <w:spacing w:before="60" w:after="60"/>
              <w:rPr>
                <w:sz w:val="22"/>
                <w:szCs w:val="22"/>
              </w:rPr>
            </w:pPr>
            <w:r w:rsidRPr="00264D5D">
              <w:rPr>
                <w:sz w:val="22"/>
                <w:szCs w:val="22"/>
              </w:rPr>
              <w:t xml:space="preserve">Заполняется в ТОФК порядковым номером изменения в </w:t>
            </w:r>
            <w:r w:rsidR="00CE031E" w:rsidRPr="00264D5D">
              <w:rPr>
                <w:sz w:val="22"/>
                <w:szCs w:val="22"/>
              </w:rPr>
              <w:t>рамках бюджетного обязательства</w:t>
            </w:r>
          </w:p>
        </w:tc>
      </w:tr>
      <w:tr w:rsidR="00557BC4" w:rsidRPr="00264D5D" w14:paraId="7697D298" w14:textId="77777777" w:rsidTr="00AD1F54">
        <w:trPr>
          <w:gridAfter w:val="1"/>
          <w:cnfStyle w:val="000000100000" w:firstRow="0" w:lastRow="0" w:firstColumn="0" w:lastColumn="0" w:oddVBand="0" w:evenVBand="0" w:oddHBand="1" w:evenHBand="0" w:firstRowFirstColumn="0" w:firstRowLastColumn="0" w:lastRowFirstColumn="0" w:lastRowLastColumn="0"/>
          <w:wAfter w:w="6" w:type="dxa"/>
        </w:trPr>
        <w:tc>
          <w:tcPr>
            <w:tcW w:w="1704" w:type="dxa"/>
          </w:tcPr>
          <w:p w14:paraId="78B26397" w14:textId="77777777" w:rsidR="00557BC4" w:rsidRPr="00F502E9" w:rsidRDefault="00557BC4" w:rsidP="00557BC4">
            <w:pPr>
              <w:pStyle w:val="GOSTTablenorm"/>
            </w:pPr>
            <w:r w:rsidRPr="00F502E9">
              <w:t>Уровень конфиденциальности</w:t>
            </w:r>
          </w:p>
        </w:tc>
        <w:tc>
          <w:tcPr>
            <w:tcW w:w="1704" w:type="dxa"/>
          </w:tcPr>
          <w:p w14:paraId="6EA3991B" w14:textId="77777777" w:rsidR="00557BC4" w:rsidRPr="00F502E9" w:rsidRDefault="00557BC4" w:rsidP="00557BC4">
            <w:pPr>
              <w:pStyle w:val="GOSTTablenorm"/>
            </w:pPr>
            <w:r w:rsidRPr="00F502E9">
              <w:t>StmInfrmtn_AccessLevel</w:t>
            </w:r>
          </w:p>
        </w:tc>
        <w:tc>
          <w:tcPr>
            <w:tcW w:w="568" w:type="dxa"/>
          </w:tcPr>
          <w:p w14:paraId="15358763" w14:textId="77777777" w:rsidR="00557BC4" w:rsidRPr="00F502E9" w:rsidRDefault="00557BC4" w:rsidP="00557BC4">
            <w:pPr>
              <w:pStyle w:val="GOSTTablenorm"/>
            </w:pPr>
            <w:r w:rsidRPr="00F502E9">
              <w:t>П</w:t>
            </w:r>
          </w:p>
        </w:tc>
        <w:tc>
          <w:tcPr>
            <w:tcW w:w="1136" w:type="dxa"/>
          </w:tcPr>
          <w:p w14:paraId="4197AE11" w14:textId="77777777" w:rsidR="00557BC4" w:rsidRPr="00F502E9" w:rsidRDefault="00557BC4" w:rsidP="00557BC4">
            <w:pPr>
              <w:pStyle w:val="GOSTTablenorm"/>
            </w:pPr>
            <w:r w:rsidRPr="00F502E9">
              <w:t>Т(1)</w:t>
            </w:r>
          </w:p>
        </w:tc>
        <w:tc>
          <w:tcPr>
            <w:tcW w:w="568" w:type="dxa"/>
          </w:tcPr>
          <w:p w14:paraId="72FD987E" w14:textId="77777777" w:rsidR="00557BC4" w:rsidRPr="00F502E9" w:rsidRDefault="00557BC4" w:rsidP="00557BC4">
            <w:pPr>
              <w:pStyle w:val="GOSTTablenorm"/>
            </w:pPr>
            <w:r w:rsidRPr="00F502E9">
              <w:t>Н</w:t>
            </w:r>
          </w:p>
        </w:tc>
        <w:tc>
          <w:tcPr>
            <w:tcW w:w="3970" w:type="dxa"/>
          </w:tcPr>
          <w:p w14:paraId="05CFFD35" w14:textId="77777777" w:rsidR="00557BC4" w:rsidRPr="00F502E9" w:rsidRDefault="00557BC4" w:rsidP="00557BC4">
            <w:pPr>
              <w:pStyle w:val="GOSTTablenorm"/>
            </w:pPr>
            <w:r w:rsidRPr="00F502E9">
              <w:t>Указывается уровень конфиденциальности.</w:t>
            </w:r>
          </w:p>
          <w:p w14:paraId="17318F3B" w14:textId="77777777" w:rsidR="00557BC4" w:rsidRPr="00F502E9" w:rsidRDefault="00557BC4" w:rsidP="00557BC4">
            <w:pPr>
              <w:pStyle w:val="GOSTTablenorm"/>
            </w:pPr>
            <w:r w:rsidRPr="00F502E9">
              <w:t>Возможные значения:</w:t>
            </w:r>
          </w:p>
          <w:p w14:paraId="63508E04" w14:textId="77777777" w:rsidR="00557BC4" w:rsidRPr="00F502E9" w:rsidRDefault="00557BC4" w:rsidP="00557BC4">
            <w:pPr>
              <w:pStyle w:val="GOSTTableListMark1"/>
              <w:numPr>
                <w:ilvl w:val="0"/>
                <w:numId w:val="154"/>
              </w:numPr>
              <w:jc w:val="both"/>
            </w:pPr>
            <w:r w:rsidRPr="00F502E9">
              <w:t>«0» – Несекретно;</w:t>
            </w:r>
          </w:p>
          <w:p w14:paraId="24652983" w14:textId="77777777" w:rsidR="00557BC4" w:rsidRDefault="00557BC4" w:rsidP="00557BC4">
            <w:pPr>
              <w:pStyle w:val="GOSTTableListMark1"/>
              <w:numPr>
                <w:ilvl w:val="0"/>
                <w:numId w:val="154"/>
              </w:numPr>
              <w:jc w:val="both"/>
            </w:pPr>
            <w:r w:rsidRPr="00F502E9">
              <w:t>«1» – Для служебного пользования</w:t>
            </w:r>
            <w:r>
              <w:t>;</w:t>
            </w:r>
          </w:p>
          <w:p w14:paraId="57F65C4F" w14:textId="77777777" w:rsidR="00557BC4" w:rsidRPr="003B12B5" w:rsidRDefault="00557BC4" w:rsidP="00557BC4">
            <w:pPr>
              <w:pStyle w:val="GOSTTableListMark1"/>
              <w:numPr>
                <w:ilvl w:val="0"/>
                <w:numId w:val="154"/>
              </w:numPr>
              <w:ind w:left="369"/>
              <w:rPr>
                <w:szCs w:val="22"/>
                <w:highlight w:val="green"/>
              </w:rPr>
            </w:pPr>
            <w:r w:rsidRPr="003B12B5">
              <w:rPr>
                <w:szCs w:val="22"/>
                <w:highlight w:val="green"/>
              </w:rPr>
              <w:t>«2» – Секретно;</w:t>
            </w:r>
          </w:p>
          <w:p w14:paraId="214014BF" w14:textId="77777777" w:rsidR="00557BC4" w:rsidRPr="003B12B5" w:rsidRDefault="00557BC4" w:rsidP="00557BC4">
            <w:pPr>
              <w:pStyle w:val="GOSTTableListMark1"/>
              <w:numPr>
                <w:ilvl w:val="0"/>
                <w:numId w:val="154"/>
              </w:numPr>
              <w:ind w:left="369"/>
              <w:rPr>
                <w:szCs w:val="22"/>
                <w:highlight w:val="green"/>
              </w:rPr>
            </w:pPr>
            <w:r w:rsidRPr="003B12B5">
              <w:rPr>
                <w:szCs w:val="22"/>
                <w:highlight w:val="green"/>
              </w:rPr>
              <w:t>«3» – Совершенно секретно.</w:t>
            </w:r>
          </w:p>
          <w:p w14:paraId="3268B941" w14:textId="77777777" w:rsidR="00557BC4" w:rsidRPr="00F502E9" w:rsidRDefault="00557BC4" w:rsidP="00557BC4">
            <w:pPr>
              <w:pStyle w:val="GOSTTablenorm"/>
            </w:pPr>
            <w:r w:rsidRPr="00F502E9">
              <w:t xml:space="preserve">Поле не передается для маршрутов из </w:t>
            </w:r>
            <w:r w:rsidRPr="00F502E9">
              <w:rPr>
                <w:color w:val="000000"/>
              </w:rPr>
              <w:t>ТОФК (ПУР ЭБ)</w:t>
            </w:r>
            <w:r w:rsidRPr="00F502E9">
              <w:t xml:space="preserve"> в ТОФК (ППО АСФК), из </w:t>
            </w:r>
            <w:r w:rsidRPr="00F502E9">
              <w:rPr>
                <w:color w:val="000000"/>
              </w:rPr>
              <w:t>ТОФК (ПУР ЭБ)</w:t>
            </w:r>
            <w:r w:rsidRPr="00F502E9">
              <w:t xml:space="preserve"> в </w:t>
            </w:r>
            <w:r w:rsidRPr="00F502E9">
              <w:rPr>
                <w:szCs w:val="22"/>
              </w:rPr>
              <w:t>ПБС (ПФХД)</w:t>
            </w:r>
          </w:p>
        </w:tc>
      </w:tr>
      <w:tr w:rsidR="00557BC4" w:rsidRPr="00264D5D" w14:paraId="0619D4CE"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4" w:type="dxa"/>
          </w:tcPr>
          <w:p w14:paraId="39770535" w14:textId="77777777" w:rsidR="00557BC4" w:rsidRPr="003B12B5" w:rsidRDefault="00557BC4" w:rsidP="00557BC4">
            <w:pPr>
              <w:pStyle w:val="GOSTTablenorm"/>
              <w:rPr>
                <w:highlight w:val="green"/>
              </w:rPr>
            </w:pPr>
            <w:r w:rsidRPr="003B12B5">
              <w:rPr>
                <w:szCs w:val="22"/>
                <w:highlight w:val="green"/>
              </w:rPr>
              <w:t>Пункт перечня</w:t>
            </w:r>
          </w:p>
        </w:tc>
        <w:tc>
          <w:tcPr>
            <w:tcW w:w="1704" w:type="dxa"/>
          </w:tcPr>
          <w:p w14:paraId="260FA2FD" w14:textId="77777777" w:rsidR="00557BC4" w:rsidRPr="003B12B5" w:rsidRDefault="00557BC4" w:rsidP="00557BC4">
            <w:pPr>
              <w:pStyle w:val="GOSTTablenorm"/>
              <w:rPr>
                <w:highlight w:val="green"/>
                <w:lang w:val="en-US"/>
              </w:rPr>
            </w:pPr>
            <w:r w:rsidRPr="003B12B5">
              <w:rPr>
                <w:szCs w:val="22"/>
                <w:highlight w:val="green"/>
              </w:rPr>
              <w:t>C</w:t>
            </w:r>
            <w:r w:rsidRPr="003B12B5">
              <w:rPr>
                <w:szCs w:val="22"/>
                <w:highlight w:val="green"/>
                <w:lang w:val="en-US"/>
              </w:rPr>
              <w:t>ause</w:t>
            </w:r>
          </w:p>
        </w:tc>
        <w:tc>
          <w:tcPr>
            <w:tcW w:w="568" w:type="dxa"/>
          </w:tcPr>
          <w:p w14:paraId="40EC8A7E" w14:textId="77777777" w:rsidR="00557BC4" w:rsidRPr="003B12B5" w:rsidRDefault="00557BC4" w:rsidP="00557BC4">
            <w:pPr>
              <w:pStyle w:val="GOSTTablenorm"/>
              <w:rPr>
                <w:highlight w:val="green"/>
              </w:rPr>
            </w:pPr>
            <w:r w:rsidRPr="003B12B5">
              <w:rPr>
                <w:highlight w:val="green"/>
              </w:rPr>
              <w:t>П</w:t>
            </w:r>
          </w:p>
        </w:tc>
        <w:tc>
          <w:tcPr>
            <w:tcW w:w="1136" w:type="dxa"/>
          </w:tcPr>
          <w:p w14:paraId="4D89E1A8" w14:textId="77777777" w:rsidR="00557BC4" w:rsidRPr="003B12B5" w:rsidRDefault="00557BC4" w:rsidP="00557BC4">
            <w:pPr>
              <w:pStyle w:val="GOSTTablenorm"/>
              <w:rPr>
                <w:highlight w:val="green"/>
              </w:rPr>
            </w:pPr>
            <w:r w:rsidRPr="003B12B5">
              <w:rPr>
                <w:highlight w:val="green"/>
              </w:rPr>
              <w:t>Т(1-150)</w:t>
            </w:r>
          </w:p>
        </w:tc>
        <w:tc>
          <w:tcPr>
            <w:tcW w:w="568" w:type="dxa"/>
          </w:tcPr>
          <w:p w14:paraId="3DA2DAB9" w14:textId="77777777" w:rsidR="00557BC4" w:rsidRPr="003B12B5" w:rsidRDefault="00557BC4" w:rsidP="00557BC4">
            <w:pPr>
              <w:pStyle w:val="GOSTTablenorm"/>
              <w:rPr>
                <w:highlight w:val="green"/>
              </w:rPr>
            </w:pPr>
            <w:r w:rsidRPr="003B12B5">
              <w:rPr>
                <w:highlight w:val="green"/>
              </w:rPr>
              <w:t>Н</w:t>
            </w:r>
          </w:p>
        </w:tc>
        <w:tc>
          <w:tcPr>
            <w:tcW w:w="3970" w:type="dxa"/>
          </w:tcPr>
          <w:p w14:paraId="2BADCC3E" w14:textId="77777777" w:rsidR="00557BC4" w:rsidRPr="003B12B5" w:rsidRDefault="00557BC4" w:rsidP="00557BC4">
            <w:pPr>
              <w:pStyle w:val="GOSTTablenorm"/>
              <w:rPr>
                <w:highlight w:val="green"/>
              </w:rPr>
            </w:pPr>
            <w:r w:rsidRPr="003B12B5">
              <w:rPr>
                <w:highlight w:val="green"/>
              </w:rPr>
              <w:t>Указывается пункт перечня, на основании которого документ является конфиденциальным.</w:t>
            </w:r>
          </w:p>
          <w:p w14:paraId="4581229E" w14:textId="77777777" w:rsidR="00557BC4" w:rsidRPr="003B12B5" w:rsidRDefault="00557BC4" w:rsidP="00557BC4">
            <w:pPr>
              <w:pStyle w:val="GOSTTablenorm"/>
              <w:rPr>
                <w:highlight w:val="green"/>
              </w:rPr>
            </w:pPr>
            <w:r w:rsidRPr="003B12B5">
              <w:rPr>
                <w:highlight w:val="green"/>
              </w:rPr>
              <w:t>Обязателен для заполнения, если в реквизите «Уровень конфиденциальности» указано значение «2» или «3»</w:t>
            </w:r>
          </w:p>
        </w:tc>
      </w:tr>
      <w:tr w:rsidR="00AD1F54" w:rsidRPr="00264D5D" w14:paraId="0722765C" w14:textId="77777777" w:rsidTr="00AD1F54">
        <w:trPr>
          <w:gridAfter w:val="1"/>
          <w:cnfStyle w:val="000000100000" w:firstRow="0" w:lastRow="0" w:firstColumn="0" w:lastColumn="0" w:oddVBand="0" w:evenVBand="0" w:oddHBand="1" w:evenHBand="0" w:firstRowFirstColumn="0" w:firstRowLastColumn="0" w:lastRowFirstColumn="0" w:lastRowLastColumn="0"/>
          <w:wAfter w:w="6" w:type="dxa"/>
        </w:trPr>
        <w:tc>
          <w:tcPr>
            <w:tcW w:w="1704" w:type="dxa"/>
          </w:tcPr>
          <w:p w14:paraId="2805884D" w14:textId="77777777" w:rsidR="00AD1F54" w:rsidRPr="00264D5D" w:rsidRDefault="00941227">
            <w:pPr>
              <w:widowControl w:val="0"/>
              <w:spacing w:before="60" w:after="60"/>
              <w:rPr>
                <w:sz w:val="22"/>
                <w:szCs w:val="22"/>
              </w:rPr>
            </w:pPr>
            <w:r w:rsidRPr="00264D5D">
              <w:rPr>
                <w:sz w:val="22"/>
                <w:szCs w:val="22"/>
              </w:rPr>
              <w:t>Тип бюджетного обязательства</w:t>
            </w:r>
          </w:p>
        </w:tc>
        <w:tc>
          <w:tcPr>
            <w:tcW w:w="1704" w:type="dxa"/>
          </w:tcPr>
          <w:p w14:paraId="774AC4EA" w14:textId="77777777" w:rsidR="00AD1F54" w:rsidRPr="00264D5D" w:rsidRDefault="00941227">
            <w:pPr>
              <w:widowControl w:val="0"/>
              <w:spacing w:before="60" w:after="60"/>
              <w:jc w:val="left"/>
              <w:rPr>
                <w:sz w:val="22"/>
                <w:szCs w:val="22"/>
                <w:lang w:val="en-US"/>
              </w:rPr>
            </w:pPr>
            <w:r w:rsidRPr="00264D5D">
              <w:rPr>
                <w:sz w:val="22"/>
                <w:szCs w:val="22"/>
              </w:rPr>
              <w:t>Inf_Tp</w:t>
            </w:r>
            <w:r w:rsidRPr="00264D5D">
              <w:rPr>
                <w:sz w:val="22"/>
                <w:szCs w:val="22"/>
                <w:lang w:val="en-US"/>
              </w:rPr>
              <w:t>BOCd</w:t>
            </w:r>
          </w:p>
        </w:tc>
        <w:tc>
          <w:tcPr>
            <w:tcW w:w="568" w:type="dxa"/>
          </w:tcPr>
          <w:p w14:paraId="0A714823" w14:textId="77777777" w:rsidR="00AD1F54" w:rsidRPr="00264D5D" w:rsidRDefault="00941227">
            <w:pPr>
              <w:widowControl w:val="0"/>
              <w:spacing w:before="60" w:after="60"/>
              <w:jc w:val="center"/>
              <w:rPr>
                <w:sz w:val="22"/>
                <w:szCs w:val="22"/>
              </w:rPr>
            </w:pPr>
            <w:r w:rsidRPr="00264D5D">
              <w:rPr>
                <w:sz w:val="22"/>
                <w:szCs w:val="22"/>
              </w:rPr>
              <w:t>П</w:t>
            </w:r>
          </w:p>
        </w:tc>
        <w:tc>
          <w:tcPr>
            <w:tcW w:w="1136" w:type="dxa"/>
          </w:tcPr>
          <w:p w14:paraId="36E91565" w14:textId="77777777" w:rsidR="00AD1F54" w:rsidRPr="00264D5D" w:rsidRDefault="00941227">
            <w:pPr>
              <w:widowControl w:val="0"/>
              <w:spacing w:before="60" w:after="60"/>
              <w:jc w:val="left"/>
              <w:rPr>
                <w:sz w:val="22"/>
                <w:szCs w:val="22"/>
              </w:rPr>
            </w:pPr>
            <w:r w:rsidRPr="00264D5D">
              <w:rPr>
                <w:sz w:val="22"/>
                <w:szCs w:val="22"/>
              </w:rPr>
              <w:t>Т(1)</w:t>
            </w:r>
          </w:p>
        </w:tc>
        <w:tc>
          <w:tcPr>
            <w:tcW w:w="568" w:type="dxa"/>
          </w:tcPr>
          <w:p w14:paraId="26E6A3C0" w14:textId="77777777" w:rsidR="00AD1F54" w:rsidRPr="00264D5D" w:rsidRDefault="00941227">
            <w:pPr>
              <w:widowControl w:val="0"/>
              <w:spacing w:before="60" w:after="60"/>
              <w:jc w:val="center"/>
              <w:rPr>
                <w:sz w:val="22"/>
                <w:szCs w:val="22"/>
              </w:rPr>
            </w:pPr>
            <w:r w:rsidRPr="00264D5D">
              <w:rPr>
                <w:sz w:val="22"/>
                <w:szCs w:val="22"/>
              </w:rPr>
              <w:t>О</w:t>
            </w:r>
          </w:p>
        </w:tc>
        <w:tc>
          <w:tcPr>
            <w:tcW w:w="3970" w:type="dxa"/>
          </w:tcPr>
          <w:p w14:paraId="7924D157" w14:textId="77777777" w:rsidR="00AD1F54" w:rsidRPr="00264D5D" w:rsidRDefault="00941227" w:rsidP="00CE031E">
            <w:pPr>
              <w:widowControl w:val="0"/>
              <w:spacing w:before="60" w:after="60"/>
              <w:rPr>
                <w:sz w:val="22"/>
                <w:szCs w:val="22"/>
              </w:rPr>
            </w:pPr>
            <w:r w:rsidRPr="00264D5D">
              <w:rPr>
                <w:sz w:val="22"/>
                <w:szCs w:val="22"/>
              </w:rPr>
              <w:t>Указывается код типа бюджетного обязательства, исходя из следующего:</w:t>
            </w:r>
          </w:p>
          <w:p w14:paraId="147FF995" w14:textId="77777777" w:rsidR="00AD1F54" w:rsidRPr="00264D5D" w:rsidRDefault="00941227" w:rsidP="00CE031E">
            <w:pPr>
              <w:pStyle w:val="GOSTTableListMark1"/>
              <w:widowControl w:val="0"/>
              <w:numPr>
                <w:ilvl w:val="0"/>
                <w:numId w:val="65"/>
              </w:numPr>
              <w:tabs>
                <w:tab w:val="clear" w:pos="340"/>
                <w:tab w:val="num" w:pos="227"/>
              </w:tabs>
              <w:spacing w:before="60" w:after="60"/>
              <w:ind w:left="284"/>
              <w:jc w:val="both"/>
              <w:rPr>
                <w:szCs w:val="22"/>
              </w:rPr>
            </w:pPr>
            <w:r w:rsidRPr="00264D5D">
              <w:rPr>
                <w:szCs w:val="22"/>
              </w:rPr>
              <w:t>«1» – закупка, если бюджетное обязательство возникло в соответствии с планом закупок на текущий финансовый год и плановый период, сформированным в соответствии с законодательством Российской Федерации о контрактной системе в сфере закупок товаров, работ, услуг для обеспечения государственных и муниципальных нужд;</w:t>
            </w:r>
          </w:p>
          <w:p w14:paraId="0C969017" w14:textId="77777777" w:rsidR="00AD1F54" w:rsidRPr="00264D5D" w:rsidRDefault="00CE031E" w:rsidP="00CE031E">
            <w:pPr>
              <w:pStyle w:val="GOSTTableListMark1"/>
              <w:widowControl w:val="0"/>
              <w:numPr>
                <w:ilvl w:val="0"/>
                <w:numId w:val="65"/>
              </w:numPr>
              <w:tabs>
                <w:tab w:val="clear" w:pos="340"/>
                <w:tab w:val="num" w:pos="227"/>
              </w:tabs>
              <w:spacing w:before="60" w:after="60"/>
              <w:ind w:left="284"/>
              <w:jc w:val="both"/>
              <w:rPr>
                <w:szCs w:val="22"/>
              </w:rPr>
            </w:pPr>
            <w:r w:rsidRPr="00264D5D">
              <w:rPr>
                <w:szCs w:val="22"/>
              </w:rPr>
              <w:t>«2» – прочее</w:t>
            </w:r>
          </w:p>
        </w:tc>
      </w:tr>
      <w:tr w:rsidR="00AD1F54" w:rsidRPr="00264D5D" w14:paraId="2E7E99CE"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4" w:type="dxa"/>
          </w:tcPr>
          <w:p w14:paraId="50235D25" w14:textId="77777777" w:rsidR="00AD1F54" w:rsidRPr="00264D5D" w:rsidRDefault="00941227">
            <w:pPr>
              <w:widowControl w:val="0"/>
              <w:spacing w:before="60" w:after="60"/>
              <w:rPr>
                <w:sz w:val="22"/>
                <w:szCs w:val="22"/>
              </w:rPr>
            </w:pPr>
            <w:r w:rsidRPr="00264D5D">
              <w:rPr>
                <w:sz w:val="22"/>
                <w:szCs w:val="22"/>
              </w:rPr>
              <w:t>Дата принятия на учет/ отражения на лицевом счете</w:t>
            </w:r>
          </w:p>
        </w:tc>
        <w:tc>
          <w:tcPr>
            <w:tcW w:w="1704" w:type="dxa"/>
          </w:tcPr>
          <w:p w14:paraId="77B93758" w14:textId="77777777" w:rsidR="00AD1F54" w:rsidRPr="00264D5D" w:rsidRDefault="00941227">
            <w:pPr>
              <w:widowControl w:val="0"/>
              <w:spacing w:before="60" w:after="60"/>
              <w:jc w:val="left"/>
              <w:rPr>
                <w:sz w:val="22"/>
                <w:szCs w:val="22"/>
              </w:rPr>
            </w:pPr>
            <w:r w:rsidRPr="00264D5D">
              <w:rPr>
                <w:sz w:val="22"/>
                <w:szCs w:val="22"/>
              </w:rPr>
              <w:t>MrkAthrFK_DtRgs</w:t>
            </w:r>
          </w:p>
        </w:tc>
        <w:tc>
          <w:tcPr>
            <w:tcW w:w="568" w:type="dxa"/>
          </w:tcPr>
          <w:p w14:paraId="178D222F" w14:textId="77777777" w:rsidR="00AD1F54" w:rsidRPr="00264D5D" w:rsidRDefault="00941227">
            <w:pPr>
              <w:widowControl w:val="0"/>
              <w:spacing w:before="60" w:after="60"/>
              <w:jc w:val="center"/>
              <w:rPr>
                <w:sz w:val="22"/>
                <w:szCs w:val="22"/>
              </w:rPr>
            </w:pPr>
            <w:r w:rsidRPr="00264D5D">
              <w:rPr>
                <w:sz w:val="22"/>
                <w:szCs w:val="22"/>
              </w:rPr>
              <w:t>П</w:t>
            </w:r>
          </w:p>
        </w:tc>
        <w:tc>
          <w:tcPr>
            <w:tcW w:w="1136" w:type="dxa"/>
          </w:tcPr>
          <w:p w14:paraId="1C651841" w14:textId="77777777" w:rsidR="00AD1F54" w:rsidRPr="00264D5D" w:rsidRDefault="00941227">
            <w:pPr>
              <w:widowControl w:val="0"/>
              <w:spacing w:before="60" w:after="60"/>
              <w:jc w:val="left"/>
              <w:rPr>
                <w:sz w:val="22"/>
                <w:szCs w:val="22"/>
                <w:lang w:val="en-US"/>
              </w:rPr>
            </w:pPr>
            <w:r w:rsidRPr="00264D5D">
              <w:rPr>
                <w:sz w:val="22"/>
                <w:szCs w:val="22"/>
                <w:lang w:val="en-US"/>
              </w:rPr>
              <w:t>Date</w:t>
            </w:r>
          </w:p>
        </w:tc>
        <w:tc>
          <w:tcPr>
            <w:tcW w:w="568" w:type="dxa"/>
          </w:tcPr>
          <w:p w14:paraId="6D602B69" w14:textId="77777777" w:rsidR="00AD1F54" w:rsidRPr="00264D5D" w:rsidRDefault="00941227">
            <w:pPr>
              <w:widowControl w:val="0"/>
              <w:spacing w:before="60" w:after="60"/>
              <w:jc w:val="center"/>
              <w:rPr>
                <w:sz w:val="22"/>
                <w:szCs w:val="22"/>
              </w:rPr>
            </w:pPr>
            <w:r w:rsidRPr="00264D5D">
              <w:rPr>
                <w:sz w:val="22"/>
                <w:szCs w:val="22"/>
              </w:rPr>
              <w:t>Н</w:t>
            </w:r>
          </w:p>
        </w:tc>
        <w:tc>
          <w:tcPr>
            <w:tcW w:w="3970" w:type="dxa"/>
          </w:tcPr>
          <w:p w14:paraId="1D6E4505" w14:textId="77777777" w:rsidR="00AD1F54" w:rsidRPr="00264D5D" w:rsidRDefault="00941227">
            <w:pPr>
              <w:widowControl w:val="0"/>
              <w:spacing w:before="60" w:after="60"/>
              <w:rPr>
                <w:sz w:val="22"/>
                <w:szCs w:val="22"/>
              </w:rPr>
            </w:pPr>
            <w:r w:rsidRPr="00264D5D">
              <w:rPr>
                <w:sz w:val="22"/>
                <w:szCs w:val="22"/>
              </w:rPr>
              <w:t>Служебное поле. Заполняется на основании квитовочной информации от ТОФК.</w:t>
            </w:r>
          </w:p>
          <w:p w14:paraId="2A5A9D9F" w14:textId="77777777" w:rsidR="00AD1F54" w:rsidRPr="00264D5D" w:rsidRDefault="00941227">
            <w:pPr>
              <w:widowControl w:val="0"/>
              <w:spacing w:before="60" w:after="60"/>
              <w:rPr>
                <w:sz w:val="22"/>
                <w:szCs w:val="22"/>
              </w:rPr>
            </w:pPr>
            <w:r w:rsidRPr="00264D5D">
              <w:rPr>
                <w:sz w:val="22"/>
                <w:szCs w:val="22"/>
              </w:rPr>
              <w:t>При передаче от ТОФК в адрес клиента указывается дата принятия на учет БО.</w:t>
            </w:r>
          </w:p>
          <w:p w14:paraId="715D9734" w14:textId="77777777" w:rsidR="00AD1F54" w:rsidRPr="00264D5D" w:rsidRDefault="00941227">
            <w:pPr>
              <w:widowControl w:val="0"/>
              <w:spacing w:before="60" w:after="60"/>
              <w:rPr>
                <w:sz w:val="22"/>
                <w:szCs w:val="22"/>
              </w:rPr>
            </w:pPr>
            <w:r w:rsidRPr="00264D5D">
              <w:rPr>
                <w:sz w:val="22"/>
                <w:szCs w:val="22"/>
              </w:rPr>
              <w:t xml:space="preserve">При передаче из </w:t>
            </w:r>
            <w:r w:rsidR="00AD28B5">
              <w:rPr>
                <w:sz w:val="22"/>
                <w:szCs w:val="22"/>
              </w:rPr>
              <w:t>ТОФК (ПУР ЭБ)</w:t>
            </w:r>
            <w:r w:rsidRPr="00264D5D">
              <w:rPr>
                <w:sz w:val="22"/>
                <w:szCs w:val="22"/>
              </w:rPr>
              <w:t xml:space="preserve"> в </w:t>
            </w:r>
            <w:r w:rsidR="00AD28B5">
              <w:rPr>
                <w:sz w:val="22"/>
                <w:szCs w:val="22"/>
              </w:rPr>
              <w:t>ТОФК (ППО АСФК)</w:t>
            </w:r>
            <w:r w:rsidRPr="00264D5D">
              <w:rPr>
                <w:sz w:val="22"/>
                <w:szCs w:val="22"/>
              </w:rPr>
              <w:t xml:space="preserve"> указывается дата </w:t>
            </w:r>
            <w:r w:rsidRPr="00264D5D">
              <w:rPr>
                <w:sz w:val="22"/>
                <w:szCs w:val="22"/>
              </w:rPr>
              <w:lastRenderedPageBreak/>
              <w:t xml:space="preserve">отражения БО в </w:t>
            </w:r>
            <w:r w:rsidR="00AD28B5">
              <w:rPr>
                <w:sz w:val="22"/>
                <w:szCs w:val="22"/>
              </w:rPr>
              <w:t>ТОФК (ППО АСФК)</w:t>
            </w:r>
            <w:r w:rsidR="00CE031E" w:rsidRPr="00264D5D">
              <w:rPr>
                <w:sz w:val="22"/>
                <w:szCs w:val="22"/>
              </w:rPr>
              <w:t xml:space="preserve"> на лицевом счете клиента</w:t>
            </w:r>
          </w:p>
        </w:tc>
      </w:tr>
      <w:tr w:rsidR="00AD1F54" w:rsidRPr="00264D5D" w14:paraId="412C7619" w14:textId="77777777" w:rsidTr="00AD1F54">
        <w:trPr>
          <w:gridAfter w:val="1"/>
          <w:cnfStyle w:val="000000100000" w:firstRow="0" w:lastRow="0" w:firstColumn="0" w:lastColumn="0" w:oddVBand="0" w:evenVBand="0" w:oddHBand="1" w:evenHBand="0" w:firstRowFirstColumn="0" w:firstRowLastColumn="0" w:lastRowFirstColumn="0" w:lastRowLastColumn="0"/>
          <w:wAfter w:w="6" w:type="dxa"/>
        </w:trPr>
        <w:tc>
          <w:tcPr>
            <w:tcW w:w="1704" w:type="dxa"/>
          </w:tcPr>
          <w:p w14:paraId="49DF4DAD" w14:textId="77777777" w:rsidR="00AD1F54" w:rsidRPr="00264D5D" w:rsidRDefault="00941227">
            <w:pPr>
              <w:widowControl w:val="0"/>
              <w:spacing w:before="60" w:after="60"/>
              <w:rPr>
                <w:sz w:val="22"/>
                <w:szCs w:val="22"/>
              </w:rPr>
            </w:pPr>
            <w:r w:rsidRPr="00264D5D">
              <w:rPr>
                <w:sz w:val="22"/>
                <w:szCs w:val="22"/>
              </w:rPr>
              <w:lastRenderedPageBreak/>
              <w:t>Номер версии ЕИС</w:t>
            </w:r>
          </w:p>
        </w:tc>
        <w:tc>
          <w:tcPr>
            <w:tcW w:w="1704" w:type="dxa"/>
          </w:tcPr>
          <w:p w14:paraId="16B3B786" w14:textId="77777777" w:rsidR="00AD1F54" w:rsidRPr="00264D5D" w:rsidRDefault="00941227">
            <w:pPr>
              <w:widowControl w:val="0"/>
              <w:spacing w:before="60" w:after="60"/>
              <w:jc w:val="left"/>
              <w:rPr>
                <w:sz w:val="22"/>
                <w:szCs w:val="22"/>
              </w:rPr>
            </w:pPr>
            <w:r w:rsidRPr="00264D5D">
              <w:rPr>
                <w:sz w:val="22"/>
                <w:szCs w:val="22"/>
              </w:rPr>
              <w:t>StmInfrmtn_NUMVERSPUZ</w:t>
            </w:r>
          </w:p>
        </w:tc>
        <w:tc>
          <w:tcPr>
            <w:tcW w:w="568" w:type="dxa"/>
          </w:tcPr>
          <w:p w14:paraId="079442B6" w14:textId="77777777" w:rsidR="00AD1F54" w:rsidRPr="00264D5D" w:rsidRDefault="00941227">
            <w:pPr>
              <w:widowControl w:val="0"/>
              <w:spacing w:before="60" w:after="60"/>
              <w:jc w:val="center"/>
              <w:rPr>
                <w:sz w:val="22"/>
                <w:szCs w:val="22"/>
              </w:rPr>
            </w:pPr>
            <w:r w:rsidRPr="00264D5D">
              <w:rPr>
                <w:sz w:val="22"/>
                <w:szCs w:val="22"/>
              </w:rPr>
              <w:t>П</w:t>
            </w:r>
          </w:p>
        </w:tc>
        <w:tc>
          <w:tcPr>
            <w:tcW w:w="1136" w:type="dxa"/>
          </w:tcPr>
          <w:p w14:paraId="5DCFE7FA" w14:textId="77777777" w:rsidR="00AD1F54" w:rsidRPr="00264D5D" w:rsidRDefault="00941227">
            <w:pPr>
              <w:widowControl w:val="0"/>
              <w:spacing w:before="60" w:after="60"/>
              <w:jc w:val="left"/>
              <w:rPr>
                <w:sz w:val="22"/>
                <w:szCs w:val="22"/>
                <w:lang w:val="en-US"/>
              </w:rPr>
            </w:pPr>
            <w:r w:rsidRPr="00264D5D">
              <w:rPr>
                <w:sz w:val="22"/>
                <w:szCs w:val="22"/>
              </w:rPr>
              <w:t>N(1-20)</w:t>
            </w:r>
          </w:p>
        </w:tc>
        <w:tc>
          <w:tcPr>
            <w:tcW w:w="568" w:type="dxa"/>
          </w:tcPr>
          <w:p w14:paraId="0C0353F1" w14:textId="77777777" w:rsidR="00AD1F54" w:rsidRPr="00264D5D" w:rsidRDefault="00941227">
            <w:pPr>
              <w:widowControl w:val="0"/>
              <w:spacing w:before="60" w:after="60"/>
              <w:jc w:val="center"/>
              <w:rPr>
                <w:sz w:val="22"/>
                <w:szCs w:val="22"/>
              </w:rPr>
            </w:pPr>
            <w:r w:rsidRPr="00264D5D">
              <w:rPr>
                <w:sz w:val="22"/>
                <w:szCs w:val="22"/>
              </w:rPr>
              <w:t>Н</w:t>
            </w:r>
          </w:p>
        </w:tc>
        <w:tc>
          <w:tcPr>
            <w:tcW w:w="3970" w:type="dxa"/>
          </w:tcPr>
          <w:p w14:paraId="76B7EA29" w14:textId="77777777" w:rsidR="00AD1F54" w:rsidRPr="00264D5D" w:rsidRDefault="00941227" w:rsidP="00CE031E">
            <w:pPr>
              <w:widowControl w:val="0"/>
              <w:spacing w:before="60" w:after="60"/>
              <w:rPr>
                <w:sz w:val="22"/>
                <w:szCs w:val="22"/>
              </w:rPr>
            </w:pPr>
            <w:r w:rsidRPr="00264D5D">
              <w:rPr>
                <w:sz w:val="22"/>
                <w:szCs w:val="22"/>
              </w:rPr>
              <w:t xml:space="preserve">Служебное поле. </w:t>
            </w:r>
          </w:p>
          <w:p w14:paraId="089F2E25" w14:textId="77777777" w:rsidR="00AD1F54" w:rsidRPr="00264D5D" w:rsidRDefault="00941227" w:rsidP="00CE031E">
            <w:pPr>
              <w:widowControl w:val="0"/>
              <w:spacing w:before="60" w:after="60"/>
              <w:rPr>
                <w:sz w:val="22"/>
                <w:szCs w:val="22"/>
              </w:rPr>
            </w:pPr>
            <w:r w:rsidRPr="00264D5D">
              <w:rPr>
                <w:sz w:val="22"/>
                <w:szCs w:val="22"/>
              </w:rPr>
              <w:t xml:space="preserve">Обязательно для заполнения при передаче документа из ЕИС в </w:t>
            </w:r>
            <w:r w:rsidR="00AD28B5">
              <w:rPr>
                <w:sz w:val="22"/>
                <w:szCs w:val="22"/>
              </w:rPr>
              <w:t>ТОФК (ПУР ЭБ)</w:t>
            </w:r>
            <w:r w:rsidRPr="00264D5D">
              <w:rPr>
                <w:sz w:val="22"/>
                <w:szCs w:val="22"/>
              </w:rPr>
              <w:t xml:space="preserve"> и из ЕИС в </w:t>
            </w:r>
            <w:r w:rsidR="00AD28B5">
              <w:rPr>
                <w:sz w:val="22"/>
                <w:szCs w:val="22"/>
              </w:rPr>
              <w:t>ТОФК (ППО АСФК)</w:t>
            </w:r>
            <w:r w:rsidRPr="00264D5D">
              <w:rPr>
                <w:sz w:val="22"/>
                <w:szCs w:val="22"/>
              </w:rPr>
              <w:t>.</w:t>
            </w:r>
          </w:p>
          <w:p w14:paraId="5DB9EFAC" w14:textId="77777777" w:rsidR="00AD1F54" w:rsidRPr="00264D5D" w:rsidRDefault="00941227">
            <w:pPr>
              <w:widowControl w:val="0"/>
              <w:spacing w:before="60" w:after="60"/>
              <w:rPr>
                <w:sz w:val="22"/>
                <w:szCs w:val="22"/>
              </w:rPr>
            </w:pPr>
            <w:r w:rsidRPr="00264D5D">
              <w:rPr>
                <w:sz w:val="22"/>
                <w:szCs w:val="22"/>
              </w:rPr>
              <w:t>В о</w:t>
            </w:r>
            <w:r w:rsidR="00CE031E" w:rsidRPr="00264D5D">
              <w:rPr>
                <w:sz w:val="22"/>
                <w:szCs w:val="22"/>
              </w:rPr>
              <w:t>стальных случаях не заполняется</w:t>
            </w:r>
          </w:p>
        </w:tc>
      </w:tr>
      <w:tr w:rsidR="00AD1F54" w:rsidRPr="00264D5D" w14:paraId="19ABD20C"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4" w:type="dxa"/>
          </w:tcPr>
          <w:p w14:paraId="61BB640A" w14:textId="77777777" w:rsidR="00AD1F54" w:rsidRPr="00264D5D" w:rsidRDefault="00941227">
            <w:pPr>
              <w:widowControl w:val="0"/>
              <w:spacing w:before="60" w:after="60"/>
              <w:jc w:val="left"/>
              <w:rPr>
                <w:sz w:val="22"/>
                <w:szCs w:val="22"/>
                <w:lang w:eastAsia="en-US"/>
              </w:rPr>
            </w:pPr>
            <w:r w:rsidRPr="00264D5D">
              <w:rPr>
                <w:sz w:val="22"/>
                <w:szCs w:val="22"/>
                <w:lang w:eastAsia="en-US"/>
              </w:rPr>
              <w:t>Перерегистрация</w:t>
            </w:r>
          </w:p>
          <w:p w14:paraId="6CF9ADFE" w14:textId="77777777" w:rsidR="00AD1F54" w:rsidRPr="00264D5D" w:rsidRDefault="00AD1F54">
            <w:pPr>
              <w:widowControl w:val="0"/>
              <w:spacing w:before="60" w:after="60"/>
              <w:rPr>
                <w:sz w:val="22"/>
                <w:szCs w:val="22"/>
              </w:rPr>
            </w:pPr>
          </w:p>
        </w:tc>
        <w:tc>
          <w:tcPr>
            <w:tcW w:w="1704" w:type="dxa"/>
          </w:tcPr>
          <w:p w14:paraId="4194EBB9" w14:textId="77777777" w:rsidR="00AD1F54" w:rsidRPr="00264D5D" w:rsidRDefault="00941227">
            <w:pPr>
              <w:widowControl w:val="0"/>
              <w:spacing w:before="60" w:after="60"/>
              <w:jc w:val="left"/>
              <w:rPr>
                <w:sz w:val="22"/>
                <w:szCs w:val="22"/>
              </w:rPr>
            </w:pPr>
            <w:r w:rsidRPr="00264D5D">
              <w:rPr>
                <w:sz w:val="22"/>
                <w:szCs w:val="22"/>
                <w:lang w:val="en-US" w:eastAsia="en-US"/>
              </w:rPr>
              <w:t>Inf_Rereg</w:t>
            </w:r>
          </w:p>
        </w:tc>
        <w:tc>
          <w:tcPr>
            <w:tcW w:w="568" w:type="dxa"/>
          </w:tcPr>
          <w:p w14:paraId="0923FB31" w14:textId="77777777" w:rsidR="00AD1F54" w:rsidRPr="00264D5D" w:rsidRDefault="00941227">
            <w:pPr>
              <w:widowControl w:val="0"/>
              <w:spacing w:before="60" w:after="60"/>
              <w:jc w:val="center"/>
              <w:rPr>
                <w:sz w:val="22"/>
                <w:szCs w:val="22"/>
              </w:rPr>
            </w:pPr>
            <w:r w:rsidRPr="00264D5D">
              <w:rPr>
                <w:sz w:val="22"/>
                <w:szCs w:val="22"/>
                <w:lang w:eastAsia="en-US"/>
              </w:rPr>
              <w:t>П</w:t>
            </w:r>
          </w:p>
        </w:tc>
        <w:tc>
          <w:tcPr>
            <w:tcW w:w="1136" w:type="dxa"/>
          </w:tcPr>
          <w:p w14:paraId="44683841" w14:textId="77777777" w:rsidR="00AD1F54" w:rsidRPr="00264D5D" w:rsidRDefault="00941227">
            <w:pPr>
              <w:widowControl w:val="0"/>
              <w:spacing w:before="60" w:after="60"/>
              <w:jc w:val="left"/>
              <w:rPr>
                <w:sz w:val="22"/>
                <w:szCs w:val="22"/>
                <w:lang w:val="en-US"/>
              </w:rPr>
            </w:pPr>
            <w:r w:rsidRPr="00264D5D">
              <w:rPr>
                <w:sz w:val="22"/>
                <w:szCs w:val="22"/>
                <w:lang w:val="en-US" w:eastAsia="en-US"/>
              </w:rPr>
              <w:t>T(1)</w:t>
            </w:r>
          </w:p>
        </w:tc>
        <w:tc>
          <w:tcPr>
            <w:tcW w:w="568" w:type="dxa"/>
          </w:tcPr>
          <w:p w14:paraId="6D42EAF4" w14:textId="77777777" w:rsidR="00AD1F54" w:rsidRPr="00264D5D" w:rsidRDefault="00941227">
            <w:pPr>
              <w:widowControl w:val="0"/>
              <w:spacing w:before="60" w:after="60"/>
              <w:jc w:val="center"/>
              <w:rPr>
                <w:sz w:val="22"/>
                <w:szCs w:val="22"/>
              </w:rPr>
            </w:pPr>
            <w:r w:rsidRPr="00264D5D">
              <w:rPr>
                <w:sz w:val="22"/>
                <w:szCs w:val="22"/>
                <w:lang w:eastAsia="en-US"/>
              </w:rPr>
              <w:t>Н</w:t>
            </w:r>
          </w:p>
        </w:tc>
        <w:tc>
          <w:tcPr>
            <w:tcW w:w="3970" w:type="dxa"/>
          </w:tcPr>
          <w:p w14:paraId="3B3C8E93" w14:textId="77777777" w:rsidR="00AD1F54" w:rsidRPr="00264D5D" w:rsidRDefault="00941227">
            <w:pPr>
              <w:widowControl w:val="0"/>
              <w:spacing w:before="60" w:after="60"/>
              <w:rPr>
                <w:sz w:val="22"/>
                <w:szCs w:val="22"/>
              </w:rPr>
            </w:pPr>
            <w:r w:rsidRPr="00264D5D">
              <w:rPr>
                <w:sz w:val="22"/>
                <w:szCs w:val="22"/>
              </w:rPr>
              <w:t xml:space="preserve">Служебное поле. </w:t>
            </w:r>
          </w:p>
          <w:p w14:paraId="1D3661AA" w14:textId="77777777" w:rsidR="00AD1F54" w:rsidRPr="00264D5D" w:rsidRDefault="00941227">
            <w:pPr>
              <w:widowControl w:val="0"/>
              <w:spacing w:before="60" w:after="60"/>
              <w:rPr>
                <w:sz w:val="22"/>
                <w:szCs w:val="22"/>
              </w:rPr>
            </w:pPr>
            <w:r w:rsidRPr="00264D5D">
              <w:rPr>
                <w:sz w:val="22"/>
                <w:szCs w:val="22"/>
              </w:rPr>
              <w:t xml:space="preserve">Заполняется только ТОФК значением «1» в документе, сформированном в результате процедуры «Автоматическая перерегистрация БО и ДО», при передаче указанного документа между </w:t>
            </w:r>
            <w:r w:rsidR="00AD28B5">
              <w:rPr>
                <w:sz w:val="22"/>
                <w:szCs w:val="22"/>
              </w:rPr>
              <w:t>ТОФК (ППО АСФК)</w:t>
            </w:r>
            <w:r w:rsidRPr="00264D5D">
              <w:rPr>
                <w:sz w:val="22"/>
                <w:szCs w:val="22"/>
              </w:rPr>
              <w:t xml:space="preserve"> и </w:t>
            </w:r>
            <w:r w:rsidR="00AD28B5">
              <w:rPr>
                <w:sz w:val="22"/>
                <w:szCs w:val="22"/>
              </w:rPr>
              <w:t>ТОФК (ПУР ЭБ)</w:t>
            </w:r>
            <w:r w:rsidRPr="00264D5D">
              <w:rPr>
                <w:sz w:val="22"/>
                <w:szCs w:val="22"/>
              </w:rPr>
              <w:t xml:space="preserve">, </w:t>
            </w:r>
            <w:r w:rsidR="00AD28B5">
              <w:rPr>
                <w:sz w:val="22"/>
                <w:szCs w:val="22"/>
              </w:rPr>
              <w:t>ТОФК (ПУР ЭБ)</w:t>
            </w:r>
            <w:r w:rsidRPr="00264D5D">
              <w:rPr>
                <w:sz w:val="22"/>
                <w:szCs w:val="22"/>
              </w:rPr>
              <w:t xml:space="preserve"> и ПФХД.</w:t>
            </w:r>
          </w:p>
          <w:p w14:paraId="4A4D7C71" w14:textId="77777777" w:rsidR="00AD1F54" w:rsidRPr="00264D5D" w:rsidRDefault="00941227">
            <w:pPr>
              <w:widowControl w:val="0"/>
              <w:spacing w:before="60" w:after="60"/>
              <w:rPr>
                <w:sz w:val="22"/>
                <w:szCs w:val="22"/>
              </w:rPr>
            </w:pPr>
            <w:r w:rsidRPr="00264D5D">
              <w:rPr>
                <w:sz w:val="22"/>
                <w:szCs w:val="22"/>
              </w:rPr>
              <w:t>В о</w:t>
            </w:r>
            <w:r w:rsidR="00CE031E" w:rsidRPr="00264D5D">
              <w:rPr>
                <w:sz w:val="22"/>
                <w:szCs w:val="22"/>
              </w:rPr>
              <w:t>стальных случаях не заполняется</w:t>
            </w:r>
          </w:p>
        </w:tc>
      </w:tr>
      <w:tr w:rsidR="00AD1F54" w:rsidRPr="00264D5D" w14:paraId="5C027F0A" w14:textId="77777777" w:rsidTr="00AD1F54">
        <w:trPr>
          <w:gridAfter w:val="1"/>
          <w:cnfStyle w:val="000000100000" w:firstRow="0" w:lastRow="0" w:firstColumn="0" w:lastColumn="0" w:oddVBand="0" w:evenVBand="0" w:oddHBand="1" w:evenHBand="0" w:firstRowFirstColumn="0" w:firstRowLastColumn="0" w:lastRowFirstColumn="0" w:lastRowLastColumn="0"/>
          <w:wAfter w:w="6" w:type="dxa"/>
        </w:trPr>
        <w:tc>
          <w:tcPr>
            <w:tcW w:w="1704" w:type="dxa"/>
          </w:tcPr>
          <w:p w14:paraId="6FA5C569" w14:textId="77777777" w:rsidR="00AD1F54" w:rsidRPr="00264D5D" w:rsidRDefault="00941227">
            <w:pPr>
              <w:widowControl w:val="0"/>
              <w:spacing w:before="60" w:after="60"/>
              <w:jc w:val="left"/>
              <w:rPr>
                <w:sz w:val="22"/>
                <w:szCs w:val="22"/>
                <w:lang w:eastAsia="en-US"/>
              </w:rPr>
            </w:pPr>
            <w:r w:rsidRPr="00264D5D">
              <w:rPr>
                <w:sz w:val="22"/>
                <w:szCs w:val="22"/>
                <w:lang w:eastAsia="en-US"/>
              </w:rPr>
              <w:t xml:space="preserve">Признак автоматически </w:t>
            </w:r>
            <w:r w:rsidRPr="00264D5D">
              <w:rPr>
                <w:sz w:val="22"/>
                <w:szCs w:val="22"/>
              </w:rPr>
              <w:t xml:space="preserve">сформированного </w:t>
            </w:r>
            <w:r w:rsidRPr="00264D5D">
              <w:rPr>
                <w:sz w:val="22"/>
                <w:szCs w:val="22"/>
                <w:lang w:eastAsia="en-US"/>
              </w:rPr>
              <w:t>документа</w:t>
            </w:r>
          </w:p>
        </w:tc>
        <w:tc>
          <w:tcPr>
            <w:tcW w:w="1704" w:type="dxa"/>
          </w:tcPr>
          <w:p w14:paraId="4593500B" w14:textId="77777777" w:rsidR="00AD1F54" w:rsidRPr="00264D5D" w:rsidRDefault="00941227">
            <w:pPr>
              <w:widowControl w:val="0"/>
              <w:spacing w:before="60" w:after="60"/>
              <w:jc w:val="left"/>
              <w:rPr>
                <w:sz w:val="22"/>
                <w:szCs w:val="22"/>
                <w:lang w:val="en-US" w:eastAsia="en-US"/>
              </w:rPr>
            </w:pPr>
            <w:r w:rsidRPr="00264D5D">
              <w:rPr>
                <w:sz w:val="22"/>
                <w:szCs w:val="22"/>
                <w:lang w:val="en-US" w:eastAsia="en-US"/>
              </w:rPr>
              <w:t>Inf_AutoSBO</w:t>
            </w:r>
          </w:p>
        </w:tc>
        <w:tc>
          <w:tcPr>
            <w:tcW w:w="568" w:type="dxa"/>
          </w:tcPr>
          <w:p w14:paraId="3F729C6C" w14:textId="77777777" w:rsidR="00AD1F54" w:rsidRPr="00264D5D" w:rsidRDefault="00941227">
            <w:pPr>
              <w:widowControl w:val="0"/>
              <w:spacing w:before="60" w:after="60"/>
              <w:jc w:val="center"/>
              <w:rPr>
                <w:sz w:val="22"/>
                <w:szCs w:val="22"/>
                <w:lang w:eastAsia="en-US"/>
              </w:rPr>
            </w:pPr>
            <w:r w:rsidRPr="00264D5D">
              <w:rPr>
                <w:sz w:val="22"/>
                <w:szCs w:val="22"/>
                <w:lang w:eastAsia="en-US"/>
              </w:rPr>
              <w:t>П</w:t>
            </w:r>
          </w:p>
        </w:tc>
        <w:tc>
          <w:tcPr>
            <w:tcW w:w="1136" w:type="dxa"/>
          </w:tcPr>
          <w:p w14:paraId="2AE7C0B0" w14:textId="77777777" w:rsidR="00AD1F54" w:rsidRPr="00264D5D" w:rsidRDefault="00941227">
            <w:pPr>
              <w:widowControl w:val="0"/>
              <w:spacing w:before="60" w:after="60"/>
              <w:jc w:val="left"/>
              <w:rPr>
                <w:sz w:val="22"/>
                <w:szCs w:val="22"/>
                <w:lang w:val="en-US" w:eastAsia="en-US"/>
              </w:rPr>
            </w:pPr>
            <w:r w:rsidRPr="00264D5D">
              <w:rPr>
                <w:sz w:val="22"/>
                <w:szCs w:val="22"/>
                <w:lang w:val="en-US" w:eastAsia="en-US"/>
              </w:rPr>
              <w:t>T(1)</w:t>
            </w:r>
          </w:p>
        </w:tc>
        <w:tc>
          <w:tcPr>
            <w:tcW w:w="568" w:type="dxa"/>
          </w:tcPr>
          <w:p w14:paraId="17D7F788" w14:textId="77777777" w:rsidR="00AD1F54" w:rsidRPr="00264D5D" w:rsidRDefault="00941227">
            <w:pPr>
              <w:widowControl w:val="0"/>
              <w:spacing w:before="60" w:after="60"/>
              <w:jc w:val="center"/>
              <w:rPr>
                <w:sz w:val="22"/>
                <w:szCs w:val="22"/>
                <w:lang w:eastAsia="en-US"/>
              </w:rPr>
            </w:pPr>
            <w:r w:rsidRPr="00264D5D">
              <w:rPr>
                <w:sz w:val="22"/>
                <w:szCs w:val="22"/>
                <w:lang w:eastAsia="en-US"/>
              </w:rPr>
              <w:t>Н</w:t>
            </w:r>
          </w:p>
        </w:tc>
        <w:tc>
          <w:tcPr>
            <w:tcW w:w="3970" w:type="dxa"/>
          </w:tcPr>
          <w:p w14:paraId="533FDCD8" w14:textId="77777777" w:rsidR="00AD1F54" w:rsidRPr="00264D5D" w:rsidRDefault="00941227">
            <w:pPr>
              <w:widowControl w:val="0"/>
              <w:spacing w:before="60" w:after="60"/>
              <w:rPr>
                <w:sz w:val="22"/>
                <w:szCs w:val="22"/>
                <w:lang w:eastAsia="en-US"/>
              </w:rPr>
            </w:pPr>
            <w:r w:rsidRPr="00264D5D">
              <w:rPr>
                <w:sz w:val="22"/>
                <w:szCs w:val="22"/>
                <w:lang w:eastAsia="en-US"/>
              </w:rPr>
              <w:t xml:space="preserve">Служебное поле. </w:t>
            </w:r>
          </w:p>
          <w:p w14:paraId="54082C66" w14:textId="77777777" w:rsidR="00CE228A" w:rsidRPr="00264D5D" w:rsidRDefault="00941227">
            <w:pPr>
              <w:widowControl w:val="0"/>
              <w:spacing w:before="60" w:after="60"/>
              <w:rPr>
                <w:sz w:val="22"/>
                <w:szCs w:val="22"/>
                <w:lang w:eastAsia="en-US"/>
              </w:rPr>
            </w:pPr>
            <w:r w:rsidRPr="00264D5D">
              <w:rPr>
                <w:sz w:val="22"/>
                <w:szCs w:val="22"/>
                <w:lang w:eastAsia="en-US"/>
              </w:rPr>
              <w:t xml:space="preserve">Заполняется только при передаче из </w:t>
            </w:r>
            <w:r w:rsidR="00AD28B5">
              <w:rPr>
                <w:sz w:val="22"/>
                <w:szCs w:val="22"/>
                <w:lang w:eastAsia="en-US"/>
              </w:rPr>
              <w:t>ТОФК (ПУР ЭБ)</w:t>
            </w:r>
            <w:r w:rsidRPr="00264D5D">
              <w:rPr>
                <w:sz w:val="22"/>
                <w:szCs w:val="22"/>
                <w:lang w:eastAsia="en-US"/>
              </w:rPr>
              <w:t xml:space="preserve"> в </w:t>
            </w:r>
            <w:r w:rsidR="00AD28B5">
              <w:rPr>
                <w:sz w:val="22"/>
                <w:szCs w:val="22"/>
                <w:lang w:eastAsia="en-US"/>
              </w:rPr>
              <w:t>ТОФК (ППО АСФК)</w:t>
            </w:r>
            <w:r w:rsidRPr="00264D5D">
              <w:rPr>
                <w:sz w:val="22"/>
                <w:szCs w:val="22"/>
                <w:lang w:eastAsia="en-US"/>
              </w:rPr>
              <w:t xml:space="preserve">. </w:t>
            </w:r>
          </w:p>
          <w:p w14:paraId="589C2E67" w14:textId="77777777" w:rsidR="00AD1F54" w:rsidRPr="00264D5D" w:rsidRDefault="00941227">
            <w:pPr>
              <w:widowControl w:val="0"/>
              <w:spacing w:before="60" w:after="60"/>
              <w:rPr>
                <w:sz w:val="22"/>
                <w:szCs w:val="22"/>
                <w:lang w:eastAsia="en-US"/>
              </w:rPr>
            </w:pPr>
            <w:r w:rsidRPr="00264D5D">
              <w:rPr>
                <w:sz w:val="22"/>
                <w:szCs w:val="22"/>
                <w:lang w:eastAsia="en-US"/>
              </w:rPr>
              <w:t>Указывается значение «1» при формировании из документа «Универсальный передаточный документ» или документов-оснований.</w:t>
            </w:r>
          </w:p>
          <w:p w14:paraId="7AAD0E17" w14:textId="77777777" w:rsidR="00AD1F54" w:rsidRPr="00264D5D" w:rsidRDefault="00941227">
            <w:pPr>
              <w:widowControl w:val="0"/>
              <w:spacing w:before="60" w:after="60"/>
              <w:rPr>
                <w:sz w:val="22"/>
                <w:szCs w:val="22"/>
                <w:lang w:eastAsia="en-US"/>
              </w:rPr>
            </w:pPr>
            <w:r w:rsidRPr="00264D5D">
              <w:rPr>
                <w:sz w:val="22"/>
                <w:szCs w:val="22"/>
                <w:lang w:eastAsia="en-US"/>
              </w:rPr>
              <w:t>В о</w:t>
            </w:r>
            <w:r w:rsidR="00CE031E" w:rsidRPr="00264D5D">
              <w:rPr>
                <w:sz w:val="22"/>
                <w:szCs w:val="22"/>
                <w:lang w:eastAsia="en-US"/>
              </w:rPr>
              <w:t>стальных случаях не заполняется</w:t>
            </w:r>
          </w:p>
        </w:tc>
      </w:tr>
      <w:tr w:rsidR="00655168" w:rsidRPr="00264D5D" w14:paraId="2A1D258E"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4" w:type="dxa"/>
          </w:tcPr>
          <w:p w14:paraId="66D0980B" w14:textId="77777777" w:rsidR="00655168" w:rsidRPr="00264D5D" w:rsidRDefault="00655168" w:rsidP="00655168">
            <w:pPr>
              <w:widowControl w:val="0"/>
              <w:spacing w:before="60" w:after="60"/>
              <w:jc w:val="left"/>
              <w:rPr>
                <w:sz w:val="22"/>
                <w:szCs w:val="22"/>
                <w:lang w:eastAsia="en-US"/>
              </w:rPr>
            </w:pPr>
            <w:r w:rsidRPr="00264D5D">
              <w:rPr>
                <w:sz w:val="22"/>
                <w:szCs w:val="22"/>
                <w:lang w:eastAsia="en-US"/>
              </w:rPr>
              <w:t>Номер БО на аннулирование</w:t>
            </w:r>
          </w:p>
        </w:tc>
        <w:tc>
          <w:tcPr>
            <w:tcW w:w="1704" w:type="dxa"/>
          </w:tcPr>
          <w:p w14:paraId="6B65D009" w14:textId="77777777" w:rsidR="00655168" w:rsidRPr="00264D5D" w:rsidRDefault="00655168" w:rsidP="00655168">
            <w:pPr>
              <w:widowControl w:val="0"/>
              <w:spacing w:before="60" w:after="60"/>
              <w:jc w:val="left"/>
              <w:rPr>
                <w:sz w:val="22"/>
                <w:szCs w:val="22"/>
                <w:lang w:val="en-US" w:eastAsia="en-US"/>
              </w:rPr>
            </w:pPr>
            <w:r w:rsidRPr="00264D5D">
              <w:rPr>
                <w:sz w:val="22"/>
                <w:szCs w:val="22"/>
              </w:rPr>
              <w:t>Inf_</w:t>
            </w:r>
            <w:r w:rsidRPr="00264D5D">
              <w:rPr>
                <w:sz w:val="22"/>
                <w:szCs w:val="22"/>
                <w:lang w:val="en-US"/>
              </w:rPr>
              <w:t>CnclBO</w:t>
            </w:r>
          </w:p>
        </w:tc>
        <w:tc>
          <w:tcPr>
            <w:tcW w:w="568" w:type="dxa"/>
          </w:tcPr>
          <w:p w14:paraId="3BEAD4A4" w14:textId="77777777" w:rsidR="00655168" w:rsidRPr="00264D5D" w:rsidRDefault="00655168" w:rsidP="00655168">
            <w:pPr>
              <w:widowControl w:val="0"/>
              <w:spacing w:before="60" w:after="60"/>
              <w:jc w:val="center"/>
              <w:rPr>
                <w:sz w:val="22"/>
                <w:szCs w:val="22"/>
                <w:lang w:eastAsia="en-US"/>
              </w:rPr>
            </w:pPr>
            <w:r w:rsidRPr="00264D5D">
              <w:rPr>
                <w:sz w:val="22"/>
                <w:szCs w:val="22"/>
                <w:lang w:eastAsia="en-US"/>
              </w:rPr>
              <w:t>П</w:t>
            </w:r>
          </w:p>
        </w:tc>
        <w:tc>
          <w:tcPr>
            <w:tcW w:w="1136" w:type="dxa"/>
          </w:tcPr>
          <w:p w14:paraId="3AEC7CA8" w14:textId="77777777" w:rsidR="00655168" w:rsidRPr="00264D5D" w:rsidRDefault="00655168" w:rsidP="00655168">
            <w:pPr>
              <w:widowControl w:val="0"/>
              <w:spacing w:before="60" w:after="60"/>
              <w:jc w:val="left"/>
              <w:rPr>
                <w:sz w:val="22"/>
                <w:szCs w:val="22"/>
                <w:lang w:eastAsia="en-US"/>
              </w:rPr>
            </w:pPr>
            <w:r w:rsidRPr="00264D5D">
              <w:rPr>
                <w:sz w:val="22"/>
                <w:szCs w:val="22"/>
              </w:rPr>
              <w:t>Т(16) или Т(19)</w:t>
            </w:r>
          </w:p>
        </w:tc>
        <w:tc>
          <w:tcPr>
            <w:tcW w:w="568" w:type="dxa"/>
          </w:tcPr>
          <w:p w14:paraId="1D771426" w14:textId="77777777" w:rsidR="00655168" w:rsidRPr="00264D5D" w:rsidRDefault="00655168" w:rsidP="00655168">
            <w:pPr>
              <w:widowControl w:val="0"/>
              <w:spacing w:before="60" w:after="60"/>
              <w:jc w:val="center"/>
              <w:rPr>
                <w:sz w:val="22"/>
                <w:szCs w:val="22"/>
                <w:lang w:eastAsia="en-US"/>
              </w:rPr>
            </w:pPr>
            <w:r w:rsidRPr="00264D5D">
              <w:rPr>
                <w:sz w:val="22"/>
                <w:szCs w:val="22"/>
                <w:lang w:eastAsia="en-US"/>
              </w:rPr>
              <w:t>Н</w:t>
            </w:r>
          </w:p>
        </w:tc>
        <w:tc>
          <w:tcPr>
            <w:tcW w:w="3970" w:type="dxa"/>
          </w:tcPr>
          <w:p w14:paraId="7C4CA47B" w14:textId="77777777" w:rsidR="00655168" w:rsidRPr="00264D5D" w:rsidRDefault="00655168" w:rsidP="00655168">
            <w:pPr>
              <w:widowControl w:val="0"/>
              <w:spacing w:before="60" w:after="60"/>
              <w:rPr>
                <w:sz w:val="22"/>
                <w:szCs w:val="22"/>
                <w:lang w:eastAsia="en-US"/>
              </w:rPr>
            </w:pPr>
            <w:r w:rsidRPr="00264D5D">
              <w:rPr>
                <w:sz w:val="22"/>
                <w:szCs w:val="22"/>
                <w:lang w:eastAsia="en-US"/>
              </w:rPr>
              <w:t xml:space="preserve">Заполняется учетным номером БО, для которого автоматически формируется СБО на обнуление. </w:t>
            </w:r>
          </w:p>
          <w:p w14:paraId="234F091B" w14:textId="77777777" w:rsidR="00655168" w:rsidRPr="00264D5D" w:rsidRDefault="00655168" w:rsidP="00655168">
            <w:pPr>
              <w:widowControl w:val="0"/>
              <w:spacing w:before="60" w:after="60"/>
              <w:rPr>
                <w:sz w:val="22"/>
                <w:szCs w:val="22"/>
                <w:lang w:eastAsia="en-US"/>
              </w:rPr>
            </w:pPr>
            <w:r w:rsidRPr="00264D5D">
              <w:rPr>
                <w:sz w:val="22"/>
                <w:szCs w:val="22"/>
                <w:lang w:eastAsia="en-US"/>
              </w:rPr>
              <w:t>Указывается только для СБО, сформированных в ЕИС с типом «Изменения».</w:t>
            </w:r>
          </w:p>
        </w:tc>
      </w:tr>
      <w:tr w:rsidR="00AD28B5" w:rsidRPr="00264D5D" w14:paraId="1AA01AC1" w14:textId="77777777" w:rsidTr="00AD1F54">
        <w:trPr>
          <w:gridAfter w:val="1"/>
          <w:cnfStyle w:val="000000100000" w:firstRow="0" w:lastRow="0" w:firstColumn="0" w:lastColumn="0" w:oddVBand="0" w:evenVBand="0" w:oddHBand="1" w:evenHBand="0" w:firstRowFirstColumn="0" w:firstRowLastColumn="0" w:lastRowFirstColumn="0" w:lastRowLastColumn="0"/>
          <w:wAfter w:w="6" w:type="dxa"/>
        </w:trPr>
        <w:tc>
          <w:tcPr>
            <w:tcW w:w="1704" w:type="dxa"/>
          </w:tcPr>
          <w:p w14:paraId="3B367CC5" w14:textId="77777777" w:rsidR="00AD28B5" w:rsidRPr="00C905D8" w:rsidRDefault="00AD28B5" w:rsidP="00AD28B5">
            <w:pPr>
              <w:pStyle w:val="GOSTTablenorm"/>
              <w:rPr>
                <w:highlight w:val="green"/>
                <w:lang w:eastAsia="en-US"/>
              </w:rPr>
            </w:pPr>
            <w:r w:rsidRPr="00C905D8">
              <w:rPr>
                <w:highlight w:val="green"/>
                <w:lang w:eastAsia="en-US"/>
              </w:rPr>
              <w:t>Значение пункта исключения по ППРФ 1496</w:t>
            </w:r>
          </w:p>
        </w:tc>
        <w:tc>
          <w:tcPr>
            <w:tcW w:w="1704" w:type="dxa"/>
          </w:tcPr>
          <w:p w14:paraId="345D76A5" w14:textId="77777777" w:rsidR="00AD28B5" w:rsidRPr="00C905D8" w:rsidRDefault="00AD28B5" w:rsidP="00AD28B5">
            <w:pPr>
              <w:pStyle w:val="GOSTTablenorm"/>
              <w:rPr>
                <w:highlight w:val="green"/>
              </w:rPr>
            </w:pPr>
            <w:r w:rsidRPr="00C905D8">
              <w:rPr>
                <w:highlight w:val="green"/>
              </w:rPr>
              <w:t>ExcClausUndPPRF</w:t>
            </w:r>
          </w:p>
        </w:tc>
        <w:tc>
          <w:tcPr>
            <w:tcW w:w="568" w:type="dxa"/>
          </w:tcPr>
          <w:p w14:paraId="009D730F" w14:textId="77777777" w:rsidR="00AD28B5" w:rsidRPr="00C905D8" w:rsidRDefault="00AD28B5" w:rsidP="00AD28B5">
            <w:pPr>
              <w:pStyle w:val="GOSTTablenorm"/>
              <w:rPr>
                <w:highlight w:val="green"/>
                <w:lang w:eastAsia="en-US"/>
              </w:rPr>
            </w:pPr>
            <w:r w:rsidRPr="00C905D8">
              <w:rPr>
                <w:highlight w:val="green"/>
                <w:lang w:eastAsia="en-US"/>
              </w:rPr>
              <w:t>П</w:t>
            </w:r>
          </w:p>
        </w:tc>
        <w:tc>
          <w:tcPr>
            <w:tcW w:w="1136" w:type="dxa"/>
          </w:tcPr>
          <w:p w14:paraId="3353B521" w14:textId="77777777" w:rsidR="00AD28B5" w:rsidRPr="00C905D8" w:rsidRDefault="00AD28B5" w:rsidP="00AD28B5">
            <w:pPr>
              <w:pStyle w:val="GOSTTablenorm"/>
              <w:rPr>
                <w:highlight w:val="green"/>
              </w:rPr>
            </w:pPr>
            <w:r w:rsidRPr="00C905D8">
              <w:rPr>
                <w:highlight w:val="green"/>
              </w:rPr>
              <w:t>Т(1-100)</w:t>
            </w:r>
          </w:p>
        </w:tc>
        <w:tc>
          <w:tcPr>
            <w:tcW w:w="568" w:type="dxa"/>
          </w:tcPr>
          <w:p w14:paraId="2D58930D" w14:textId="77777777" w:rsidR="00AD28B5" w:rsidRPr="00C905D8" w:rsidRDefault="00AD28B5" w:rsidP="00AD28B5">
            <w:pPr>
              <w:pStyle w:val="GOSTTablenorm"/>
              <w:rPr>
                <w:highlight w:val="green"/>
                <w:lang w:eastAsia="en-US"/>
              </w:rPr>
            </w:pPr>
            <w:r w:rsidRPr="00C905D8">
              <w:rPr>
                <w:highlight w:val="green"/>
                <w:lang w:eastAsia="en-US"/>
              </w:rPr>
              <w:t>Н</w:t>
            </w:r>
          </w:p>
        </w:tc>
        <w:tc>
          <w:tcPr>
            <w:tcW w:w="3970" w:type="dxa"/>
          </w:tcPr>
          <w:p w14:paraId="3A0E1375" w14:textId="77777777" w:rsidR="00AD28B5" w:rsidRPr="00C905D8" w:rsidRDefault="00AD28B5" w:rsidP="00AD28B5">
            <w:pPr>
              <w:pStyle w:val="GOSTTablenorm"/>
              <w:rPr>
                <w:highlight w:val="green"/>
                <w:lang w:eastAsia="en-US"/>
              </w:rPr>
            </w:pPr>
            <w:r w:rsidRPr="00C905D8">
              <w:rPr>
                <w:highlight w:val="green"/>
                <w:lang w:eastAsia="en-US"/>
              </w:rPr>
              <w:t>Указывается значение пункта исключения по Постановлению Правительства РФ № 1496.</w:t>
            </w:r>
          </w:p>
          <w:p w14:paraId="490D3466" w14:textId="77777777" w:rsidR="00AD28B5" w:rsidRPr="00C905D8" w:rsidRDefault="00AD28B5" w:rsidP="00AD28B5">
            <w:pPr>
              <w:pStyle w:val="GOSTTablenorm"/>
              <w:rPr>
                <w:highlight w:val="green"/>
                <w:lang w:eastAsia="en-US"/>
              </w:rPr>
            </w:pPr>
            <w:r w:rsidRPr="00C905D8">
              <w:rPr>
                <w:highlight w:val="green"/>
                <w:lang w:eastAsia="en-US"/>
              </w:rPr>
              <w:t xml:space="preserve">Поле может заполняться только для сведений с типом «Изменения» на основании </w:t>
            </w:r>
            <w:r w:rsidRPr="00C905D8">
              <w:rPr>
                <w:highlight w:val="green"/>
              </w:rPr>
              <w:t>вида документа-основания</w:t>
            </w:r>
            <w:r w:rsidRPr="00C905D8">
              <w:rPr>
                <w:highlight w:val="green"/>
                <w:lang w:eastAsia="en-US"/>
              </w:rPr>
              <w:t xml:space="preserve"> </w:t>
            </w:r>
            <w:r w:rsidRPr="00C905D8">
              <w:rPr>
                <w:highlight w:val="green"/>
              </w:rPr>
              <w:t>«извещение об осуществлении закупки», «приглашение принять участие в определении поставщика (подрядчика, исполнителя)», «проект контракта»</w:t>
            </w:r>
          </w:p>
        </w:tc>
      </w:tr>
      <w:tr w:rsidR="00F02C61" w:rsidRPr="00264D5D" w14:paraId="3DEB69D0"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4" w:type="dxa"/>
          </w:tcPr>
          <w:p w14:paraId="0B2F0E98" w14:textId="77777777" w:rsidR="00F02C61" w:rsidRPr="00260A04" w:rsidRDefault="00F02C61" w:rsidP="00F02C61">
            <w:pPr>
              <w:pStyle w:val="GOSTTablenorm"/>
              <w:rPr>
                <w:highlight w:val="green"/>
                <w:lang w:eastAsia="en-US"/>
              </w:rPr>
            </w:pPr>
            <w:r w:rsidRPr="00260A04">
              <w:rPr>
                <w:highlight w:val="green"/>
                <w:lang w:eastAsia="en-US"/>
              </w:rPr>
              <w:lastRenderedPageBreak/>
              <w:t>Год ПГЗ</w:t>
            </w:r>
          </w:p>
        </w:tc>
        <w:tc>
          <w:tcPr>
            <w:tcW w:w="1704" w:type="dxa"/>
          </w:tcPr>
          <w:p w14:paraId="274FA4B4" w14:textId="77777777" w:rsidR="00F02C61" w:rsidRPr="00260A04" w:rsidRDefault="00F02C61" w:rsidP="00F02C61">
            <w:pPr>
              <w:pStyle w:val="GOSTTablenorm"/>
              <w:rPr>
                <w:highlight w:val="green"/>
              </w:rPr>
            </w:pPr>
            <w:r w:rsidRPr="00260A04">
              <w:rPr>
                <w:highlight w:val="green"/>
                <w:lang w:val="en-US"/>
              </w:rPr>
              <w:t>PGZ_year</w:t>
            </w:r>
          </w:p>
        </w:tc>
        <w:tc>
          <w:tcPr>
            <w:tcW w:w="568" w:type="dxa"/>
          </w:tcPr>
          <w:p w14:paraId="356E4BCF" w14:textId="77777777" w:rsidR="00F02C61" w:rsidRPr="00260A04" w:rsidRDefault="00F02C61" w:rsidP="00F02C61">
            <w:pPr>
              <w:pStyle w:val="GOSTTablenorm"/>
              <w:rPr>
                <w:highlight w:val="green"/>
                <w:lang w:eastAsia="en-US"/>
              </w:rPr>
            </w:pPr>
            <w:r w:rsidRPr="00260A04">
              <w:rPr>
                <w:highlight w:val="green"/>
              </w:rPr>
              <w:t>П</w:t>
            </w:r>
          </w:p>
        </w:tc>
        <w:tc>
          <w:tcPr>
            <w:tcW w:w="1136" w:type="dxa"/>
          </w:tcPr>
          <w:p w14:paraId="635F0370" w14:textId="77777777" w:rsidR="00F02C61" w:rsidRPr="00260A04" w:rsidRDefault="00F02C61" w:rsidP="00F02C61">
            <w:pPr>
              <w:pStyle w:val="GOSTTablenorm"/>
              <w:rPr>
                <w:highlight w:val="green"/>
              </w:rPr>
            </w:pPr>
            <w:r w:rsidRPr="00260A04">
              <w:rPr>
                <w:highlight w:val="green"/>
              </w:rPr>
              <w:t>Т(4)</w:t>
            </w:r>
          </w:p>
        </w:tc>
        <w:tc>
          <w:tcPr>
            <w:tcW w:w="568" w:type="dxa"/>
          </w:tcPr>
          <w:p w14:paraId="4F13C537" w14:textId="77777777" w:rsidR="00F02C61" w:rsidRPr="00260A04" w:rsidRDefault="00F02C61" w:rsidP="00F02C61">
            <w:pPr>
              <w:pStyle w:val="GOSTTablenorm"/>
              <w:rPr>
                <w:highlight w:val="green"/>
                <w:lang w:eastAsia="en-US"/>
              </w:rPr>
            </w:pPr>
            <w:r w:rsidRPr="00260A04">
              <w:rPr>
                <w:highlight w:val="green"/>
                <w:lang w:eastAsia="en-US"/>
              </w:rPr>
              <w:t>Н</w:t>
            </w:r>
          </w:p>
        </w:tc>
        <w:tc>
          <w:tcPr>
            <w:tcW w:w="3970" w:type="dxa"/>
          </w:tcPr>
          <w:p w14:paraId="4481AD8A" w14:textId="77777777" w:rsidR="00F02C61" w:rsidRPr="00260A04" w:rsidRDefault="00F02C61" w:rsidP="00F02C61">
            <w:pPr>
              <w:pStyle w:val="GOSTTablenorm"/>
              <w:rPr>
                <w:highlight w:val="green"/>
                <w:lang w:eastAsia="en-US"/>
              </w:rPr>
            </w:pPr>
            <w:r w:rsidRPr="00260A04">
              <w:rPr>
                <w:highlight w:val="green"/>
                <w:lang w:eastAsia="en-US"/>
              </w:rPr>
              <w:t>Указывается год плана-графика закупок, в который закупка по БО включена</w:t>
            </w:r>
          </w:p>
        </w:tc>
      </w:tr>
      <w:tr w:rsidR="00F02C61" w:rsidRPr="00264D5D" w14:paraId="4577547A" w14:textId="77777777" w:rsidTr="00AD1F54">
        <w:trPr>
          <w:cnfStyle w:val="000000100000" w:firstRow="0" w:lastRow="0" w:firstColumn="0" w:lastColumn="0" w:oddVBand="0" w:evenVBand="0" w:oddHBand="1" w:evenHBand="0" w:firstRowFirstColumn="0" w:firstRowLastColumn="0" w:lastRowFirstColumn="0" w:lastRowLastColumn="0"/>
        </w:trPr>
        <w:tc>
          <w:tcPr>
            <w:tcW w:w="9656" w:type="dxa"/>
            <w:gridSpan w:val="7"/>
          </w:tcPr>
          <w:p w14:paraId="0B4732DF" w14:textId="77777777" w:rsidR="00F02C61" w:rsidRPr="00264D5D" w:rsidRDefault="00F02C61" w:rsidP="00F02C61">
            <w:pPr>
              <w:widowControl w:val="0"/>
              <w:spacing w:before="60" w:after="60"/>
              <w:rPr>
                <w:sz w:val="22"/>
                <w:szCs w:val="22"/>
                <w:lang w:eastAsia="en-US"/>
              </w:rPr>
            </w:pPr>
            <w:r w:rsidRPr="00264D5D">
              <w:rPr>
                <w:b/>
                <w:sz w:val="22"/>
                <w:szCs w:val="22"/>
              </w:rPr>
              <w:t>Получатель бюджетных средств</w:t>
            </w:r>
          </w:p>
        </w:tc>
      </w:tr>
      <w:tr w:rsidR="00F02C61" w:rsidRPr="00264D5D" w14:paraId="0969861A"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4" w:type="dxa"/>
          </w:tcPr>
          <w:p w14:paraId="0DF0A065" w14:textId="77777777" w:rsidR="00F02C61" w:rsidRPr="00264D5D" w:rsidRDefault="00F02C61" w:rsidP="00F02C61">
            <w:pPr>
              <w:widowControl w:val="0"/>
              <w:spacing w:before="60" w:after="60"/>
              <w:rPr>
                <w:sz w:val="22"/>
                <w:szCs w:val="22"/>
              </w:rPr>
            </w:pPr>
            <w:r w:rsidRPr="00264D5D">
              <w:rPr>
                <w:sz w:val="22"/>
                <w:szCs w:val="22"/>
              </w:rPr>
              <w:t>Получатель бюджетных средств</w:t>
            </w:r>
          </w:p>
        </w:tc>
        <w:tc>
          <w:tcPr>
            <w:tcW w:w="1704" w:type="dxa"/>
          </w:tcPr>
          <w:p w14:paraId="6345EE86" w14:textId="77777777" w:rsidR="00F02C61" w:rsidRPr="00264D5D" w:rsidRDefault="00F02C61" w:rsidP="00F02C61">
            <w:pPr>
              <w:widowControl w:val="0"/>
              <w:spacing w:before="60" w:after="60"/>
              <w:jc w:val="left"/>
              <w:rPr>
                <w:sz w:val="22"/>
                <w:szCs w:val="22"/>
              </w:rPr>
            </w:pPr>
            <w:r w:rsidRPr="00264D5D">
              <w:rPr>
                <w:sz w:val="22"/>
                <w:szCs w:val="22"/>
              </w:rPr>
              <w:t>RcpBdjt_NmRcp</w:t>
            </w:r>
          </w:p>
        </w:tc>
        <w:tc>
          <w:tcPr>
            <w:tcW w:w="568" w:type="dxa"/>
          </w:tcPr>
          <w:p w14:paraId="0CDC6E7D" w14:textId="77777777" w:rsidR="00F02C61" w:rsidRPr="00264D5D" w:rsidRDefault="00F02C61" w:rsidP="00F02C61">
            <w:pPr>
              <w:widowControl w:val="0"/>
              <w:spacing w:before="60" w:after="60"/>
              <w:jc w:val="center"/>
              <w:rPr>
                <w:sz w:val="22"/>
                <w:szCs w:val="22"/>
              </w:rPr>
            </w:pPr>
            <w:r w:rsidRPr="00264D5D">
              <w:rPr>
                <w:sz w:val="22"/>
                <w:szCs w:val="22"/>
              </w:rPr>
              <w:t>П</w:t>
            </w:r>
          </w:p>
        </w:tc>
        <w:tc>
          <w:tcPr>
            <w:tcW w:w="1136" w:type="dxa"/>
          </w:tcPr>
          <w:p w14:paraId="7F8762C9" w14:textId="77777777" w:rsidR="00F02C61" w:rsidRPr="00264D5D" w:rsidRDefault="00F02C61" w:rsidP="00F02C61">
            <w:pPr>
              <w:widowControl w:val="0"/>
              <w:spacing w:before="60" w:after="60"/>
              <w:jc w:val="left"/>
              <w:rPr>
                <w:sz w:val="22"/>
                <w:szCs w:val="22"/>
              </w:rPr>
            </w:pPr>
            <w:r w:rsidRPr="00264D5D">
              <w:rPr>
                <w:sz w:val="22"/>
                <w:szCs w:val="22"/>
              </w:rPr>
              <w:t>Т(1-2000)</w:t>
            </w:r>
          </w:p>
        </w:tc>
        <w:tc>
          <w:tcPr>
            <w:tcW w:w="568" w:type="dxa"/>
          </w:tcPr>
          <w:p w14:paraId="07E5ADC3" w14:textId="77777777" w:rsidR="00F02C61" w:rsidRPr="00264D5D" w:rsidRDefault="00F02C61" w:rsidP="00F02C61">
            <w:pPr>
              <w:widowControl w:val="0"/>
              <w:spacing w:before="60" w:after="60"/>
              <w:jc w:val="center"/>
              <w:rPr>
                <w:sz w:val="22"/>
                <w:szCs w:val="22"/>
              </w:rPr>
            </w:pPr>
            <w:r w:rsidRPr="00264D5D">
              <w:rPr>
                <w:sz w:val="22"/>
                <w:szCs w:val="22"/>
              </w:rPr>
              <w:t>О</w:t>
            </w:r>
          </w:p>
        </w:tc>
        <w:tc>
          <w:tcPr>
            <w:tcW w:w="3970" w:type="dxa"/>
          </w:tcPr>
          <w:p w14:paraId="1147C552" w14:textId="77777777" w:rsidR="00F02C61" w:rsidRPr="00264D5D" w:rsidRDefault="00F02C61" w:rsidP="00F02C61">
            <w:pPr>
              <w:widowControl w:val="0"/>
              <w:spacing w:before="60" w:after="60"/>
              <w:rPr>
                <w:sz w:val="22"/>
                <w:szCs w:val="22"/>
              </w:rPr>
            </w:pPr>
            <w:r w:rsidRPr="00264D5D">
              <w:rPr>
                <w:sz w:val="22"/>
                <w:szCs w:val="22"/>
              </w:rPr>
              <w:t>Полное или краткое наименование ПБС (УБП, который передал полномочия ПБС по учредительным документам) по Сводному реестру</w:t>
            </w:r>
          </w:p>
        </w:tc>
      </w:tr>
      <w:tr w:rsidR="00F02C61" w:rsidRPr="00264D5D" w14:paraId="42D3345E" w14:textId="77777777" w:rsidTr="00AD1F54">
        <w:trPr>
          <w:gridAfter w:val="1"/>
          <w:cnfStyle w:val="000000100000" w:firstRow="0" w:lastRow="0" w:firstColumn="0" w:lastColumn="0" w:oddVBand="0" w:evenVBand="0" w:oddHBand="1" w:evenHBand="0" w:firstRowFirstColumn="0" w:firstRowLastColumn="0" w:lastRowFirstColumn="0" w:lastRowLastColumn="0"/>
          <w:wAfter w:w="6" w:type="dxa"/>
        </w:trPr>
        <w:tc>
          <w:tcPr>
            <w:tcW w:w="1704" w:type="dxa"/>
          </w:tcPr>
          <w:p w14:paraId="304A4679" w14:textId="77777777" w:rsidR="00F02C61" w:rsidRPr="00264D5D" w:rsidRDefault="00F02C61" w:rsidP="00F02C61">
            <w:pPr>
              <w:widowControl w:val="0"/>
              <w:spacing w:before="60" w:after="60"/>
              <w:rPr>
                <w:sz w:val="22"/>
                <w:szCs w:val="22"/>
              </w:rPr>
            </w:pPr>
            <w:r w:rsidRPr="00264D5D">
              <w:rPr>
                <w:sz w:val="22"/>
                <w:szCs w:val="22"/>
              </w:rPr>
              <w:t xml:space="preserve">Код ПБС по Сводному реестру </w:t>
            </w:r>
          </w:p>
        </w:tc>
        <w:tc>
          <w:tcPr>
            <w:tcW w:w="1704" w:type="dxa"/>
          </w:tcPr>
          <w:p w14:paraId="2C7E5E2F" w14:textId="77777777" w:rsidR="00F02C61" w:rsidRPr="00264D5D" w:rsidRDefault="00F02C61" w:rsidP="00F02C61">
            <w:pPr>
              <w:widowControl w:val="0"/>
              <w:spacing w:before="60" w:after="60"/>
              <w:jc w:val="left"/>
              <w:rPr>
                <w:sz w:val="22"/>
                <w:szCs w:val="22"/>
              </w:rPr>
            </w:pPr>
            <w:r w:rsidRPr="00264D5D">
              <w:rPr>
                <w:sz w:val="22"/>
                <w:szCs w:val="22"/>
              </w:rPr>
              <w:t>RcpBdjt_CdGRBS</w:t>
            </w:r>
          </w:p>
        </w:tc>
        <w:tc>
          <w:tcPr>
            <w:tcW w:w="568" w:type="dxa"/>
          </w:tcPr>
          <w:p w14:paraId="06EFFCD5" w14:textId="77777777" w:rsidR="00F02C61" w:rsidRPr="00264D5D" w:rsidRDefault="00F02C61" w:rsidP="00F02C61">
            <w:pPr>
              <w:widowControl w:val="0"/>
              <w:spacing w:before="60" w:after="60"/>
              <w:jc w:val="center"/>
              <w:rPr>
                <w:sz w:val="22"/>
                <w:szCs w:val="22"/>
              </w:rPr>
            </w:pPr>
            <w:r w:rsidRPr="00264D5D">
              <w:rPr>
                <w:sz w:val="22"/>
                <w:szCs w:val="22"/>
              </w:rPr>
              <w:t>П</w:t>
            </w:r>
          </w:p>
        </w:tc>
        <w:tc>
          <w:tcPr>
            <w:tcW w:w="1136" w:type="dxa"/>
          </w:tcPr>
          <w:p w14:paraId="3FC31CFE" w14:textId="77777777" w:rsidR="00F02C61" w:rsidRPr="00264D5D" w:rsidRDefault="00F02C61" w:rsidP="00F02C61">
            <w:pPr>
              <w:widowControl w:val="0"/>
              <w:spacing w:before="60" w:after="60"/>
              <w:jc w:val="left"/>
              <w:rPr>
                <w:sz w:val="22"/>
                <w:szCs w:val="22"/>
              </w:rPr>
            </w:pPr>
            <w:r w:rsidRPr="00264D5D">
              <w:rPr>
                <w:sz w:val="22"/>
                <w:szCs w:val="22"/>
              </w:rPr>
              <w:t>Т(8)</w:t>
            </w:r>
          </w:p>
        </w:tc>
        <w:tc>
          <w:tcPr>
            <w:tcW w:w="568" w:type="dxa"/>
          </w:tcPr>
          <w:p w14:paraId="3B3C1D28" w14:textId="77777777" w:rsidR="00F02C61" w:rsidRPr="00264D5D" w:rsidRDefault="00F02C61" w:rsidP="00F02C61">
            <w:pPr>
              <w:widowControl w:val="0"/>
              <w:spacing w:before="60" w:after="60"/>
              <w:jc w:val="center"/>
              <w:rPr>
                <w:sz w:val="22"/>
                <w:szCs w:val="22"/>
              </w:rPr>
            </w:pPr>
            <w:r w:rsidRPr="00264D5D">
              <w:rPr>
                <w:sz w:val="22"/>
                <w:szCs w:val="22"/>
              </w:rPr>
              <w:t>О</w:t>
            </w:r>
          </w:p>
        </w:tc>
        <w:tc>
          <w:tcPr>
            <w:tcW w:w="3970" w:type="dxa"/>
          </w:tcPr>
          <w:p w14:paraId="0C375C0E" w14:textId="77777777" w:rsidR="00F02C61" w:rsidRPr="00264D5D" w:rsidRDefault="00F02C61" w:rsidP="00F02C61">
            <w:pPr>
              <w:widowControl w:val="0"/>
              <w:spacing w:before="60" w:after="60"/>
              <w:rPr>
                <w:sz w:val="22"/>
                <w:szCs w:val="22"/>
              </w:rPr>
            </w:pPr>
            <w:r w:rsidRPr="00264D5D">
              <w:rPr>
                <w:sz w:val="22"/>
                <w:szCs w:val="22"/>
              </w:rPr>
              <w:t>Указывается уникальный код по Сводному реестру, равный 8 знакам</w:t>
            </w:r>
          </w:p>
        </w:tc>
      </w:tr>
      <w:tr w:rsidR="00F02C61" w:rsidRPr="00264D5D" w14:paraId="7258924E"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4" w:type="dxa"/>
          </w:tcPr>
          <w:p w14:paraId="3B8CC53A" w14:textId="77777777" w:rsidR="00F02C61" w:rsidRPr="00264D5D" w:rsidRDefault="00F02C61" w:rsidP="00F02C61">
            <w:pPr>
              <w:widowControl w:val="0"/>
              <w:spacing w:before="60" w:after="60"/>
              <w:rPr>
                <w:sz w:val="22"/>
                <w:szCs w:val="22"/>
              </w:rPr>
            </w:pPr>
            <w:r w:rsidRPr="00264D5D">
              <w:rPr>
                <w:sz w:val="22"/>
                <w:szCs w:val="22"/>
              </w:rPr>
              <w:t>Код по ОКПО</w:t>
            </w:r>
          </w:p>
        </w:tc>
        <w:tc>
          <w:tcPr>
            <w:tcW w:w="1704" w:type="dxa"/>
          </w:tcPr>
          <w:p w14:paraId="22771C10" w14:textId="77777777" w:rsidR="00F02C61" w:rsidRPr="00264D5D" w:rsidRDefault="00F02C61" w:rsidP="00F02C61">
            <w:pPr>
              <w:widowControl w:val="0"/>
              <w:spacing w:before="60" w:after="60"/>
              <w:jc w:val="left"/>
              <w:rPr>
                <w:sz w:val="22"/>
                <w:szCs w:val="22"/>
              </w:rPr>
            </w:pPr>
            <w:r w:rsidRPr="00264D5D">
              <w:rPr>
                <w:sz w:val="22"/>
                <w:szCs w:val="22"/>
              </w:rPr>
              <w:t>RcpBdjt_CdOKPO</w:t>
            </w:r>
          </w:p>
        </w:tc>
        <w:tc>
          <w:tcPr>
            <w:tcW w:w="568" w:type="dxa"/>
          </w:tcPr>
          <w:p w14:paraId="4E7C4B0F" w14:textId="77777777" w:rsidR="00F02C61" w:rsidRPr="00264D5D" w:rsidRDefault="00F02C61" w:rsidP="00F02C61">
            <w:pPr>
              <w:widowControl w:val="0"/>
              <w:spacing w:before="60" w:after="60"/>
              <w:jc w:val="center"/>
              <w:rPr>
                <w:sz w:val="22"/>
                <w:szCs w:val="22"/>
              </w:rPr>
            </w:pPr>
            <w:r w:rsidRPr="00264D5D">
              <w:rPr>
                <w:sz w:val="22"/>
                <w:szCs w:val="22"/>
              </w:rPr>
              <w:t>П</w:t>
            </w:r>
          </w:p>
        </w:tc>
        <w:tc>
          <w:tcPr>
            <w:tcW w:w="1136" w:type="dxa"/>
          </w:tcPr>
          <w:p w14:paraId="11584F9A" w14:textId="77777777" w:rsidR="00F02C61" w:rsidRPr="00264D5D" w:rsidRDefault="00F02C61" w:rsidP="00F02C61">
            <w:pPr>
              <w:widowControl w:val="0"/>
              <w:spacing w:before="60" w:after="60"/>
              <w:jc w:val="left"/>
              <w:rPr>
                <w:sz w:val="22"/>
                <w:szCs w:val="22"/>
              </w:rPr>
            </w:pPr>
            <w:r w:rsidRPr="00264D5D">
              <w:rPr>
                <w:sz w:val="22"/>
                <w:szCs w:val="22"/>
              </w:rPr>
              <w:t>Т(8)</w:t>
            </w:r>
          </w:p>
        </w:tc>
        <w:tc>
          <w:tcPr>
            <w:tcW w:w="568" w:type="dxa"/>
          </w:tcPr>
          <w:p w14:paraId="03F26F8F" w14:textId="77777777" w:rsidR="00F02C61" w:rsidRPr="00264D5D" w:rsidRDefault="00F02C61" w:rsidP="00F02C61">
            <w:pPr>
              <w:widowControl w:val="0"/>
              <w:spacing w:before="60" w:after="60"/>
              <w:jc w:val="center"/>
              <w:rPr>
                <w:sz w:val="22"/>
                <w:szCs w:val="22"/>
              </w:rPr>
            </w:pPr>
            <w:r w:rsidRPr="00264D5D">
              <w:rPr>
                <w:sz w:val="22"/>
                <w:szCs w:val="22"/>
              </w:rPr>
              <w:t>О</w:t>
            </w:r>
          </w:p>
        </w:tc>
        <w:tc>
          <w:tcPr>
            <w:tcW w:w="3970" w:type="dxa"/>
          </w:tcPr>
          <w:p w14:paraId="06AE85AA" w14:textId="77777777" w:rsidR="00F02C61" w:rsidRPr="00264D5D" w:rsidRDefault="00F02C61" w:rsidP="00F02C61">
            <w:pPr>
              <w:widowControl w:val="0"/>
              <w:spacing w:before="60" w:after="60"/>
              <w:rPr>
                <w:sz w:val="22"/>
                <w:szCs w:val="22"/>
              </w:rPr>
            </w:pPr>
            <w:r w:rsidRPr="00264D5D">
              <w:rPr>
                <w:sz w:val="22"/>
                <w:szCs w:val="22"/>
              </w:rPr>
              <w:t xml:space="preserve">Код по ОКПО. </w:t>
            </w:r>
          </w:p>
          <w:p w14:paraId="704A6D86" w14:textId="77777777" w:rsidR="00F02C61" w:rsidRPr="00264D5D" w:rsidRDefault="00F02C61" w:rsidP="00F02C61">
            <w:pPr>
              <w:widowControl w:val="0"/>
              <w:spacing w:before="60" w:after="60"/>
              <w:rPr>
                <w:sz w:val="22"/>
                <w:szCs w:val="22"/>
              </w:rPr>
            </w:pPr>
            <w:r w:rsidRPr="00264D5D">
              <w:rPr>
                <w:sz w:val="22"/>
                <w:szCs w:val="22"/>
              </w:rPr>
              <w:t>Указывается код по ОКПО получателя бюджетных средств</w:t>
            </w:r>
          </w:p>
        </w:tc>
      </w:tr>
      <w:tr w:rsidR="00F02C61" w:rsidRPr="00264D5D" w14:paraId="071AE812" w14:textId="77777777" w:rsidTr="00AD1F54">
        <w:trPr>
          <w:gridAfter w:val="1"/>
          <w:cnfStyle w:val="000000100000" w:firstRow="0" w:lastRow="0" w:firstColumn="0" w:lastColumn="0" w:oddVBand="0" w:evenVBand="0" w:oddHBand="1" w:evenHBand="0" w:firstRowFirstColumn="0" w:firstRowLastColumn="0" w:lastRowFirstColumn="0" w:lastRowLastColumn="0"/>
          <w:wAfter w:w="6" w:type="dxa"/>
        </w:trPr>
        <w:tc>
          <w:tcPr>
            <w:tcW w:w="1704" w:type="dxa"/>
          </w:tcPr>
          <w:p w14:paraId="4AF1B871" w14:textId="77777777" w:rsidR="00F02C61" w:rsidRPr="00264D5D" w:rsidRDefault="00F02C61" w:rsidP="00F02C61">
            <w:pPr>
              <w:widowControl w:val="0"/>
              <w:spacing w:before="60" w:after="60"/>
              <w:rPr>
                <w:sz w:val="22"/>
                <w:szCs w:val="22"/>
              </w:rPr>
            </w:pPr>
            <w:r w:rsidRPr="00264D5D">
              <w:rPr>
                <w:sz w:val="22"/>
                <w:szCs w:val="22"/>
              </w:rPr>
              <w:t>Номер лицевого счета получателя</w:t>
            </w:r>
          </w:p>
        </w:tc>
        <w:tc>
          <w:tcPr>
            <w:tcW w:w="1704" w:type="dxa"/>
          </w:tcPr>
          <w:p w14:paraId="363D9580" w14:textId="77777777" w:rsidR="00F02C61" w:rsidRPr="00264D5D" w:rsidRDefault="00F02C61" w:rsidP="00F02C61">
            <w:pPr>
              <w:widowControl w:val="0"/>
              <w:spacing w:before="60" w:after="60"/>
              <w:jc w:val="left"/>
              <w:rPr>
                <w:sz w:val="22"/>
                <w:szCs w:val="22"/>
              </w:rPr>
            </w:pPr>
            <w:r w:rsidRPr="00264D5D">
              <w:rPr>
                <w:sz w:val="22"/>
                <w:szCs w:val="22"/>
              </w:rPr>
              <w:t>RcpBdjt_NmbrAccnt</w:t>
            </w:r>
          </w:p>
        </w:tc>
        <w:tc>
          <w:tcPr>
            <w:tcW w:w="568" w:type="dxa"/>
          </w:tcPr>
          <w:p w14:paraId="739D3028" w14:textId="77777777" w:rsidR="00F02C61" w:rsidRPr="00264D5D" w:rsidRDefault="00F02C61" w:rsidP="00F02C61">
            <w:pPr>
              <w:widowControl w:val="0"/>
              <w:spacing w:before="60" w:after="60"/>
              <w:jc w:val="center"/>
              <w:rPr>
                <w:sz w:val="22"/>
                <w:szCs w:val="22"/>
              </w:rPr>
            </w:pPr>
            <w:r w:rsidRPr="00264D5D">
              <w:rPr>
                <w:sz w:val="22"/>
                <w:szCs w:val="22"/>
              </w:rPr>
              <w:t>П</w:t>
            </w:r>
          </w:p>
        </w:tc>
        <w:tc>
          <w:tcPr>
            <w:tcW w:w="1136" w:type="dxa"/>
          </w:tcPr>
          <w:p w14:paraId="704D5482" w14:textId="77777777" w:rsidR="00F02C61" w:rsidRPr="00264D5D" w:rsidRDefault="00F02C61" w:rsidP="00F02C61">
            <w:pPr>
              <w:widowControl w:val="0"/>
              <w:spacing w:before="60" w:after="60"/>
              <w:jc w:val="left"/>
              <w:rPr>
                <w:sz w:val="22"/>
                <w:szCs w:val="22"/>
              </w:rPr>
            </w:pPr>
            <w:r w:rsidRPr="00264D5D">
              <w:rPr>
                <w:sz w:val="22"/>
                <w:szCs w:val="22"/>
              </w:rPr>
              <w:t>Т(11)</w:t>
            </w:r>
          </w:p>
        </w:tc>
        <w:tc>
          <w:tcPr>
            <w:tcW w:w="568" w:type="dxa"/>
          </w:tcPr>
          <w:p w14:paraId="61AFE14E" w14:textId="77777777" w:rsidR="00F02C61" w:rsidRPr="00264D5D" w:rsidRDefault="00F02C61" w:rsidP="00F02C61">
            <w:pPr>
              <w:widowControl w:val="0"/>
              <w:spacing w:before="60" w:after="60"/>
              <w:jc w:val="center"/>
              <w:rPr>
                <w:sz w:val="22"/>
                <w:szCs w:val="22"/>
              </w:rPr>
            </w:pPr>
            <w:r w:rsidRPr="00264D5D">
              <w:rPr>
                <w:sz w:val="22"/>
                <w:szCs w:val="22"/>
              </w:rPr>
              <w:t>О</w:t>
            </w:r>
          </w:p>
        </w:tc>
        <w:tc>
          <w:tcPr>
            <w:tcW w:w="3970" w:type="dxa"/>
          </w:tcPr>
          <w:p w14:paraId="336364B3" w14:textId="77777777" w:rsidR="00F02C61" w:rsidRPr="00264D5D" w:rsidRDefault="00F02C61" w:rsidP="00F02C61">
            <w:pPr>
              <w:widowControl w:val="0"/>
              <w:spacing w:before="60" w:after="60"/>
              <w:rPr>
                <w:sz w:val="22"/>
                <w:szCs w:val="22"/>
              </w:rPr>
            </w:pPr>
            <w:r w:rsidRPr="00264D5D">
              <w:rPr>
                <w:sz w:val="22"/>
                <w:szCs w:val="22"/>
              </w:rPr>
              <w:t>Номер л/с ПБС (или лицевой счет по переданным полномочиям ПБС), соответствующий корреспонденту из поля «Получатель бюджетных средств»</w:t>
            </w:r>
          </w:p>
        </w:tc>
      </w:tr>
      <w:tr w:rsidR="00F02C61" w:rsidRPr="00264D5D" w14:paraId="34272C12"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4" w:type="dxa"/>
          </w:tcPr>
          <w:p w14:paraId="2E45A121" w14:textId="77777777" w:rsidR="00F02C61" w:rsidRPr="00264D5D" w:rsidRDefault="00F02C61" w:rsidP="00F02C61">
            <w:pPr>
              <w:widowControl w:val="0"/>
              <w:spacing w:before="60" w:after="60"/>
              <w:rPr>
                <w:sz w:val="22"/>
                <w:szCs w:val="22"/>
              </w:rPr>
            </w:pPr>
            <w:r w:rsidRPr="00264D5D">
              <w:rPr>
                <w:sz w:val="22"/>
                <w:szCs w:val="22"/>
              </w:rPr>
              <w:t>Глава по БК</w:t>
            </w:r>
          </w:p>
        </w:tc>
        <w:tc>
          <w:tcPr>
            <w:tcW w:w="1704" w:type="dxa"/>
          </w:tcPr>
          <w:p w14:paraId="4043375F" w14:textId="77777777" w:rsidR="00F02C61" w:rsidRPr="00264D5D" w:rsidRDefault="00F02C61" w:rsidP="00F02C61">
            <w:pPr>
              <w:widowControl w:val="0"/>
              <w:spacing w:before="60" w:after="60"/>
              <w:jc w:val="left"/>
              <w:rPr>
                <w:sz w:val="22"/>
                <w:szCs w:val="22"/>
              </w:rPr>
            </w:pPr>
            <w:r w:rsidRPr="00264D5D">
              <w:rPr>
                <w:sz w:val="22"/>
                <w:szCs w:val="22"/>
              </w:rPr>
              <w:t>RcpBdjt_GlavaBKCode</w:t>
            </w:r>
          </w:p>
        </w:tc>
        <w:tc>
          <w:tcPr>
            <w:tcW w:w="568" w:type="dxa"/>
          </w:tcPr>
          <w:p w14:paraId="6DAFFCD1" w14:textId="77777777" w:rsidR="00F02C61" w:rsidRPr="00264D5D" w:rsidRDefault="00F02C61" w:rsidP="00F02C61">
            <w:pPr>
              <w:widowControl w:val="0"/>
              <w:spacing w:before="60" w:after="60"/>
              <w:jc w:val="center"/>
              <w:rPr>
                <w:sz w:val="22"/>
                <w:szCs w:val="22"/>
              </w:rPr>
            </w:pPr>
            <w:r w:rsidRPr="00264D5D">
              <w:rPr>
                <w:sz w:val="22"/>
                <w:szCs w:val="22"/>
              </w:rPr>
              <w:t>П</w:t>
            </w:r>
          </w:p>
        </w:tc>
        <w:tc>
          <w:tcPr>
            <w:tcW w:w="1136" w:type="dxa"/>
          </w:tcPr>
          <w:p w14:paraId="1382DECE" w14:textId="77777777" w:rsidR="00F02C61" w:rsidRPr="00264D5D" w:rsidRDefault="00F02C61" w:rsidP="00F02C61">
            <w:pPr>
              <w:widowControl w:val="0"/>
              <w:spacing w:before="60" w:after="60"/>
              <w:jc w:val="left"/>
              <w:rPr>
                <w:sz w:val="22"/>
                <w:szCs w:val="22"/>
              </w:rPr>
            </w:pPr>
            <w:r w:rsidRPr="00264D5D">
              <w:rPr>
                <w:sz w:val="22"/>
                <w:szCs w:val="22"/>
              </w:rPr>
              <w:t>Т(3)</w:t>
            </w:r>
          </w:p>
        </w:tc>
        <w:tc>
          <w:tcPr>
            <w:tcW w:w="568" w:type="dxa"/>
          </w:tcPr>
          <w:p w14:paraId="1EAA4880" w14:textId="77777777" w:rsidR="00F02C61" w:rsidRPr="00264D5D" w:rsidRDefault="00F02C61" w:rsidP="00F02C61">
            <w:pPr>
              <w:widowControl w:val="0"/>
              <w:spacing w:before="60" w:after="60"/>
              <w:jc w:val="center"/>
              <w:rPr>
                <w:sz w:val="22"/>
                <w:szCs w:val="22"/>
              </w:rPr>
            </w:pPr>
            <w:r w:rsidRPr="00264D5D">
              <w:rPr>
                <w:sz w:val="22"/>
                <w:szCs w:val="22"/>
              </w:rPr>
              <w:t>О</w:t>
            </w:r>
          </w:p>
        </w:tc>
        <w:tc>
          <w:tcPr>
            <w:tcW w:w="3970" w:type="dxa"/>
          </w:tcPr>
          <w:p w14:paraId="05AC0ACE" w14:textId="77777777" w:rsidR="00F02C61" w:rsidRPr="00264D5D" w:rsidRDefault="00F02C61" w:rsidP="00F02C61">
            <w:pPr>
              <w:widowControl w:val="0"/>
              <w:spacing w:before="60" w:after="60"/>
              <w:rPr>
                <w:sz w:val="22"/>
                <w:szCs w:val="22"/>
              </w:rPr>
            </w:pPr>
            <w:r w:rsidRPr="00264D5D">
              <w:rPr>
                <w:sz w:val="22"/>
                <w:szCs w:val="22"/>
              </w:rPr>
              <w:t>Код главного распорядителя средств по бюджетной классификации</w:t>
            </w:r>
          </w:p>
        </w:tc>
      </w:tr>
      <w:tr w:rsidR="00F02C61" w:rsidRPr="00264D5D" w14:paraId="666EE4B9" w14:textId="77777777" w:rsidTr="00AD1F54">
        <w:trPr>
          <w:gridAfter w:val="1"/>
          <w:cnfStyle w:val="000000100000" w:firstRow="0" w:lastRow="0" w:firstColumn="0" w:lastColumn="0" w:oddVBand="0" w:evenVBand="0" w:oddHBand="1" w:evenHBand="0" w:firstRowFirstColumn="0" w:firstRowLastColumn="0" w:lastRowFirstColumn="0" w:lastRowLastColumn="0"/>
          <w:wAfter w:w="6" w:type="dxa"/>
        </w:trPr>
        <w:tc>
          <w:tcPr>
            <w:tcW w:w="1704" w:type="dxa"/>
          </w:tcPr>
          <w:p w14:paraId="5DD280F5" w14:textId="77777777" w:rsidR="00F02C61" w:rsidRPr="00264D5D" w:rsidRDefault="00F02C61" w:rsidP="00F02C61">
            <w:pPr>
              <w:widowControl w:val="0"/>
              <w:spacing w:before="60" w:after="60"/>
              <w:rPr>
                <w:sz w:val="22"/>
                <w:szCs w:val="22"/>
              </w:rPr>
            </w:pPr>
            <w:r w:rsidRPr="00264D5D">
              <w:rPr>
                <w:sz w:val="22"/>
                <w:szCs w:val="22"/>
              </w:rPr>
              <w:t>Главный распорядитель бюджетных средств</w:t>
            </w:r>
          </w:p>
        </w:tc>
        <w:tc>
          <w:tcPr>
            <w:tcW w:w="1704" w:type="dxa"/>
          </w:tcPr>
          <w:p w14:paraId="6FAA2FB6" w14:textId="77777777" w:rsidR="00F02C61" w:rsidRPr="00264D5D" w:rsidRDefault="00F02C61" w:rsidP="00F02C61">
            <w:pPr>
              <w:widowControl w:val="0"/>
              <w:spacing w:before="60" w:after="60"/>
              <w:jc w:val="left"/>
              <w:rPr>
                <w:sz w:val="22"/>
                <w:szCs w:val="22"/>
              </w:rPr>
            </w:pPr>
            <w:r w:rsidRPr="00264D5D">
              <w:rPr>
                <w:sz w:val="22"/>
                <w:szCs w:val="22"/>
              </w:rPr>
              <w:t>RcpBdjt_GRBS</w:t>
            </w:r>
          </w:p>
        </w:tc>
        <w:tc>
          <w:tcPr>
            <w:tcW w:w="568" w:type="dxa"/>
          </w:tcPr>
          <w:p w14:paraId="6EF54ADB" w14:textId="77777777" w:rsidR="00F02C61" w:rsidRPr="00264D5D" w:rsidRDefault="00F02C61" w:rsidP="00F02C61">
            <w:pPr>
              <w:widowControl w:val="0"/>
              <w:spacing w:before="60" w:after="60"/>
              <w:jc w:val="center"/>
              <w:rPr>
                <w:sz w:val="22"/>
                <w:szCs w:val="22"/>
              </w:rPr>
            </w:pPr>
            <w:r w:rsidRPr="00264D5D">
              <w:rPr>
                <w:sz w:val="22"/>
                <w:szCs w:val="22"/>
              </w:rPr>
              <w:t>П</w:t>
            </w:r>
          </w:p>
        </w:tc>
        <w:tc>
          <w:tcPr>
            <w:tcW w:w="1136" w:type="dxa"/>
          </w:tcPr>
          <w:p w14:paraId="5345A992" w14:textId="77777777" w:rsidR="00F02C61" w:rsidRPr="00264D5D" w:rsidRDefault="00F02C61" w:rsidP="00F02C61">
            <w:pPr>
              <w:widowControl w:val="0"/>
              <w:spacing w:before="60" w:after="60"/>
              <w:jc w:val="left"/>
              <w:rPr>
                <w:sz w:val="22"/>
                <w:szCs w:val="22"/>
              </w:rPr>
            </w:pPr>
            <w:r w:rsidRPr="00264D5D">
              <w:rPr>
                <w:sz w:val="22"/>
                <w:szCs w:val="22"/>
              </w:rPr>
              <w:t>Т(1-2000)</w:t>
            </w:r>
          </w:p>
        </w:tc>
        <w:tc>
          <w:tcPr>
            <w:tcW w:w="568" w:type="dxa"/>
          </w:tcPr>
          <w:p w14:paraId="3287232D" w14:textId="77777777" w:rsidR="00F02C61" w:rsidRPr="00264D5D" w:rsidRDefault="00F02C61" w:rsidP="00F02C61">
            <w:pPr>
              <w:widowControl w:val="0"/>
              <w:spacing w:before="60" w:after="60"/>
              <w:jc w:val="center"/>
              <w:rPr>
                <w:sz w:val="22"/>
                <w:szCs w:val="22"/>
              </w:rPr>
            </w:pPr>
            <w:r w:rsidRPr="00264D5D">
              <w:rPr>
                <w:sz w:val="22"/>
                <w:szCs w:val="22"/>
              </w:rPr>
              <w:t>О</w:t>
            </w:r>
          </w:p>
        </w:tc>
        <w:tc>
          <w:tcPr>
            <w:tcW w:w="3970" w:type="dxa"/>
          </w:tcPr>
          <w:p w14:paraId="055D46B9" w14:textId="77777777" w:rsidR="00F02C61" w:rsidRPr="00264D5D" w:rsidRDefault="00F02C61" w:rsidP="00F02C61">
            <w:pPr>
              <w:widowControl w:val="0"/>
              <w:spacing w:before="60" w:after="60"/>
              <w:rPr>
                <w:sz w:val="22"/>
                <w:szCs w:val="22"/>
              </w:rPr>
            </w:pPr>
            <w:r w:rsidRPr="00264D5D">
              <w:rPr>
                <w:sz w:val="22"/>
                <w:szCs w:val="22"/>
              </w:rPr>
              <w:t>Полное или краткое наименование вышестоящего ГРБС</w:t>
            </w:r>
          </w:p>
        </w:tc>
      </w:tr>
      <w:tr w:rsidR="00F02C61" w:rsidRPr="00264D5D" w14:paraId="5ABD3D64"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4" w:type="dxa"/>
          </w:tcPr>
          <w:p w14:paraId="47496BEB" w14:textId="77777777" w:rsidR="00F02C61" w:rsidRPr="00264D5D" w:rsidRDefault="00F02C61" w:rsidP="00F02C61">
            <w:pPr>
              <w:widowControl w:val="0"/>
              <w:spacing w:before="60" w:after="60"/>
              <w:rPr>
                <w:sz w:val="22"/>
                <w:szCs w:val="22"/>
              </w:rPr>
            </w:pPr>
            <w:r w:rsidRPr="00264D5D">
              <w:rPr>
                <w:sz w:val="22"/>
                <w:szCs w:val="22"/>
              </w:rPr>
              <w:t>Наименование бюджета</w:t>
            </w:r>
          </w:p>
        </w:tc>
        <w:tc>
          <w:tcPr>
            <w:tcW w:w="1704" w:type="dxa"/>
          </w:tcPr>
          <w:p w14:paraId="66BDE09F" w14:textId="77777777" w:rsidR="00F02C61" w:rsidRPr="00264D5D" w:rsidRDefault="00F02C61" w:rsidP="00F02C61">
            <w:pPr>
              <w:widowControl w:val="0"/>
              <w:spacing w:before="60" w:after="60"/>
              <w:jc w:val="left"/>
              <w:rPr>
                <w:sz w:val="22"/>
                <w:szCs w:val="22"/>
              </w:rPr>
            </w:pPr>
            <w:r w:rsidRPr="00264D5D">
              <w:rPr>
                <w:sz w:val="22"/>
                <w:szCs w:val="22"/>
              </w:rPr>
              <w:t>RcpBdjt_NmBdgt</w:t>
            </w:r>
          </w:p>
        </w:tc>
        <w:tc>
          <w:tcPr>
            <w:tcW w:w="568" w:type="dxa"/>
          </w:tcPr>
          <w:p w14:paraId="1D5F3431" w14:textId="77777777" w:rsidR="00F02C61" w:rsidRPr="00264D5D" w:rsidRDefault="00F02C61" w:rsidP="00F02C61">
            <w:pPr>
              <w:widowControl w:val="0"/>
              <w:spacing w:before="60" w:after="60"/>
              <w:jc w:val="center"/>
              <w:rPr>
                <w:sz w:val="22"/>
                <w:szCs w:val="22"/>
              </w:rPr>
            </w:pPr>
            <w:r w:rsidRPr="00264D5D">
              <w:rPr>
                <w:sz w:val="22"/>
                <w:szCs w:val="22"/>
              </w:rPr>
              <w:t>П</w:t>
            </w:r>
          </w:p>
        </w:tc>
        <w:tc>
          <w:tcPr>
            <w:tcW w:w="1136" w:type="dxa"/>
          </w:tcPr>
          <w:p w14:paraId="6861FC03" w14:textId="77777777" w:rsidR="00F02C61" w:rsidRPr="00264D5D" w:rsidRDefault="00F02C61" w:rsidP="00F02C61">
            <w:pPr>
              <w:widowControl w:val="0"/>
              <w:spacing w:before="60" w:after="60"/>
              <w:jc w:val="left"/>
              <w:rPr>
                <w:sz w:val="22"/>
                <w:szCs w:val="22"/>
              </w:rPr>
            </w:pPr>
            <w:r w:rsidRPr="00264D5D">
              <w:rPr>
                <w:sz w:val="22"/>
                <w:szCs w:val="22"/>
              </w:rPr>
              <w:t>Т(1-512)</w:t>
            </w:r>
          </w:p>
        </w:tc>
        <w:tc>
          <w:tcPr>
            <w:tcW w:w="568" w:type="dxa"/>
          </w:tcPr>
          <w:p w14:paraId="120DF27C" w14:textId="77777777" w:rsidR="00F02C61" w:rsidRPr="00264D5D" w:rsidRDefault="00F02C61" w:rsidP="00F02C61">
            <w:pPr>
              <w:widowControl w:val="0"/>
              <w:spacing w:before="60" w:after="60"/>
              <w:jc w:val="center"/>
              <w:rPr>
                <w:sz w:val="22"/>
                <w:szCs w:val="22"/>
              </w:rPr>
            </w:pPr>
            <w:r w:rsidRPr="00264D5D">
              <w:rPr>
                <w:sz w:val="22"/>
                <w:szCs w:val="22"/>
              </w:rPr>
              <w:t>О</w:t>
            </w:r>
          </w:p>
        </w:tc>
        <w:tc>
          <w:tcPr>
            <w:tcW w:w="3970" w:type="dxa"/>
          </w:tcPr>
          <w:p w14:paraId="3C1C2809" w14:textId="77777777" w:rsidR="00F02C61" w:rsidRPr="00264D5D" w:rsidRDefault="00F02C61" w:rsidP="00F02C61">
            <w:pPr>
              <w:widowControl w:val="0"/>
              <w:spacing w:before="60" w:after="60"/>
              <w:rPr>
                <w:sz w:val="22"/>
                <w:szCs w:val="22"/>
              </w:rPr>
            </w:pPr>
            <w:r w:rsidRPr="00264D5D">
              <w:rPr>
                <w:sz w:val="22"/>
                <w:szCs w:val="22"/>
              </w:rPr>
              <w:t xml:space="preserve">Наименование бюджета. </w:t>
            </w:r>
          </w:p>
          <w:p w14:paraId="1F38A276" w14:textId="77777777" w:rsidR="00F02C61" w:rsidRPr="00264D5D" w:rsidRDefault="00F02C61" w:rsidP="00F02C61">
            <w:pPr>
              <w:widowControl w:val="0"/>
              <w:spacing w:before="60" w:after="60"/>
              <w:rPr>
                <w:sz w:val="22"/>
                <w:szCs w:val="22"/>
              </w:rPr>
            </w:pPr>
            <w:r w:rsidRPr="00264D5D">
              <w:rPr>
                <w:sz w:val="22"/>
                <w:szCs w:val="22"/>
              </w:rPr>
              <w:t>Для УБП федерального уровня указывается наименование бюджета «Федеральный бюджет», для УБП субъекта РФ (МО) указывается полное наименование соответствующего бюджета</w:t>
            </w:r>
          </w:p>
        </w:tc>
      </w:tr>
      <w:tr w:rsidR="00F02C61" w:rsidRPr="00264D5D" w14:paraId="24F0D938" w14:textId="77777777" w:rsidTr="00AD1F54">
        <w:trPr>
          <w:gridAfter w:val="1"/>
          <w:cnfStyle w:val="000000100000" w:firstRow="0" w:lastRow="0" w:firstColumn="0" w:lastColumn="0" w:oddVBand="0" w:evenVBand="0" w:oddHBand="1" w:evenHBand="0" w:firstRowFirstColumn="0" w:firstRowLastColumn="0" w:lastRowFirstColumn="0" w:lastRowLastColumn="0"/>
          <w:wAfter w:w="6" w:type="dxa"/>
        </w:trPr>
        <w:tc>
          <w:tcPr>
            <w:tcW w:w="1704" w:type="dxa"/>
          </w:tcPr>
          <w:p w14:paraId="28E90BD5" w14:textId="77777777" w:rsidR="00F02C61" w:rsidRPr="00264D5D" w:rsidRDefault="00F02C61" w:rsidP="00F02C61">
            <w:pPr>
              <w:widowControl w:val="0"/>
              <w:spacing w:before="60" w:after="60"/>
              <w:rPr>
                <w:sz w:val="22"/>
                <w:szCs w:val="22"/>
              </w:rPr>
            </w:pPr>
            <w:r w:rsidRPr="00264D5D">
              <w:rPr>
                <w:sz w:val="22"/>
                <w:szCs w:val="22"/>
              </w:rPr>
              <w:t>Код по ОКТМО</w:t>
            </w:r>
          </w:p>
        </w:tc>
        <w:tc>
          <w:tcPr>
            <w:tcW w:w="1704" w:type="dxa"/>
          </w:tcPr>
          <w:p w14:paraId="0F77B071" w14:textId="77777777" w:rsidR="00F02C61" w:rsidRPr="00264D5D" w:rsidRDefault="00F02C61" w:rsidP="00F02C61">
            <w:pPr>
              <w:widowControl w:val="0"/>
              <w:spacing w:before="60" w:after="60"/>
              <w:jc w:val="left"/>
              <w:rPr>
                <w:sz w:val="22"/>
                <w:szCs w:val="22"/>
              </w:rPr>
            </w:pPr>
            <w:r w:rsidRPr="00264D5D">
              <w:rPr>
                <w:sz w:val="22"/>
                <w:szCs w:val="22"/>
              </w:rPr>
              <w:t>RcpBdjt_CdOKTMO</w:t>
            </w:r>
          </w:p>
        </w:tc>
        <w:tc>
          <w:tcPr>
            <w:tcW w:w="568" w:type="dxa"/>
          </w:tcPr>
          <w:p w14:paraId="7DB88C27" w14:textId="77777777" w:rsidR="00F02C61" w:rsidRPr="00264D5D" w:rsidRDefault="00F02C61" w:rsidP="00F02C61">
            <w:pPr>
              <w:widowControl w:val="0"/>
              <w:spacing w:before="60" w:after="60"/>
              <w:jc w:val="center"/>
              <w:rPr>
                <w:sz w:val="22"/>
                <w:szCs w:val="22"/>
              </w:rPr>
            </w:pPr>
            <w:r w:rsidRPr="00264D5D">
              <w:rPr>
                <w:sz w:val="22"/>
                <w:szCs w:val="22"/>
              </w:rPr>
              <w:t>П</w:t>
            </w:r>
          </w:p>
        </w:tc>
        <w:tc>
          <w:tcPr>
            <w:tcW w:w="1136" w:type="dxa"/>
          </w:tcPr>
          <w:p w14:paraId="2BE5C1B6" w14:textId="77777777" w:rsidR="00F02C61" w:rsidRPr="00264D5D" w:rsidRDefault="00F02C61" w:rsidP="00F02C61">
            <w:pPr>
              <w:widowControl w:val="0"/>
              <w:spacing w:before="60" w:after="60"/>
              <w:jc w:val="left"/>
              <w:rPr>
                <w:sz w:val="22"/>
                <w:szCs w:val="22"/>
              </w:rPr>
            </w:pPr>
            <w:r w:rsidRPr="00264D5D">
              <w:rPr>
                <w:sz w:val="22"/>
                <w:szCs w:val="22"/>
              </w:rPr>
              <w:t>Т(8) или Т(11)</w:t>
            </w:r>
          </w:p>
        </w:tc>
        <w:tc>
          <w:tcPr>
            <w:tcW w:w="568" w:type="dxa"/>
          </w:tcPr>
          <w:p w14:paraId="28451B3E" w14:textId="77777777" w:rsidR="00F02C61" w:rsidRPr="00264D5D" w:rsidRDefault="00F02C61" w:rsidP="00F02C61">
            <w:pPr>
              <w:widowControl w:val="0"/>
              <w:spacing w:before="60" w:after="60"/>
              <w:jc w:val="center"/>
              <w:rPr>
                <w:sz w:val="22"/>
                <w:szCs w:val="22"/>
              </w:rPr>
            </w:pPr>
            <w:r w:rsidRPr="00264D5D">
              <w:rPr>
                <w:sz w:val="22"/>
                <w:szCs w:val="22"/>
              </w:rPr>
              <w:t>О</w:t>
            </w:r>
          </w:p>
        </w:tc>
        <w:tc>
          <w:tcPr>
            <w:tcW w:w="3970" w:type="dxa"/>
          </w:tcPr>
          <w:p w14:paraId="7E32CEDE" w14:textId="77777777" w:rsidR="00F02C61" w:rsidRPr="00264D5D" w:rsidRDefault="00F02C61" w:rsidP="00F02C61">
            <w:pPr>
              <w:widowControl w:val="0"/>
              <w:spacing w:before="60" w:after="60"/>
              <w:rPr>
                <w:sz w:val="22"/>
                <w:szCs w:val="22"/>
              </w:rPr>
            </w:pPr>
            <w:r w:rsidRPr="00264D5D">
              <w:rPr>
                <w:sz w:val="22"/>
                <w:szCs w:val="22"/>
              </w:rPr>
              <w:t>Указывается код населенного пункта по ОКТМО.</w:t>
            </w:r>
          </w:p>
          <w:p w14:paraId="7E37276F" w14:textId="77777777" w:rsidR="00F02C61" w:rsidRPr="00264D5D" w:rsidRDefault="00F02C61" w:rsidP="00F02C61">
            <w:pPr>
              <w:widowControl w:val="0"/>
              <w:spacing w:before="60" w:after="60"/>
              <w:rPr>
                <w:sz w:val="22"/>
                <w:szCs w:val="22"/>
              </w:rPr>
            </w:pPr>
            <w:r w:rsidRPr="00264D5D">
              <w:rPr>
                <w:sz w:val="22"/>
                <w:szCs w:val="22"/>
              </w:rPr>
              <w:t>Длина поля строго ограничена количеством символов: или 8 или 11</w:t>
            </w:r>
          </w:p>
        </w:tc>
      </w:tr>
      <w:tr w:rsidR="00F02C61" w:rsidRPr="00264D5D" w14:paraId="4780A3B6"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4" w:type="dxa"/>
          </w:tcPr>
          <w:p w14:paraId="46C9F19D" w14:textId="77777777" w:rsidR="00F02C61" w:rsidRPr="00264D5D" w:rsidRDefault="00F02C61" w:rsidP="00F02C61">
            <w:pPr>
              <w:widowControl w:val="0"/>
              <w:spacing w:before="60" w:after="60"/>
              <w:rPr>
                <w:sz w:val="22"/>
                <w:szCs w:val="22"/>
              </w:rPr>
            </w:pPr>
            <w:r w:rsidRPr="00264D5D">
              <w:rPr>
                <w:sz w:val="22"/>
                <w:szCs w:val="22"/>
              </w:rPr>
              <w:t>Финансовый орган</w:t>
            </w:r>
          </w:p>
        </w:tc>
        <w:tc>
          <w:tcPr>
            <w:tcW w:w="1704" w:type="dxa"/>
          </w:tcPr>
          <w:p w14:paraId="4C46FDAF" w14:textId="77777777" w:rsidR="00F02C61" w:rsidRPr="00264D5D" w:rsidRDefault="00F02C61" w:rsidP="00F02C61">
            <w:pPr>
              <w:widowControl w:val="0"/>
              <w:spacing w:before="60" w:after="60"/>
              <w:jc w:val="left"/>
              <w:rPr>
                <w:sz w:val="22"/>
                <w:szCs w:val="22"/>
              </w:rPr>
            </w:pPr>
            <w:r w:rsidRPr="00264D5D">
              <w:rPr>
                <w:sz w:val="22"/>
                <w:szCs w:val="22"/>
              </w:rPr>
              <w:t>RcpBdjt_NmFnOrg</w:t>
            </w:r>
          </w:p>
        </w:tc>
        <w:tc>
          <w:tcPr>
            <w:tcW w:w="568" w:type="dxa"/>
          </w:tcPr>
          <w:p w14:paraId="5A7F00C2" w14:textId="77777777" w:rsidR="00F02C61" w:rsidRPr="00264D5D" w:rsidRDefault="00F02C61" w:rsidP="00F02C61">
            <w:pPr>
              <w:widowControl w:val="0"/>
              <w:spacing w:before="60" w:after="60"/>
              <w:jc w:val="center"/>
              <w:rPr>
                <w:sz w:val="22"/>
                <w:szCs w:val="22"/>
              </w:rPr>
            </w:pPr>
            <w:r w:rsidRPr="00264D5D">
              <w:rPr>
                <w:sz w:val="22"/>
                <w:szCs w:val="22"/>
              </w:rPr>
              <w:t>П</w:t>
            </w:r>
          </w:p>
        </w:tc>
        <w:tc>
          <w:tcPr>
            <w:tcW w:w="1136" w:type="dxa"/>
          </w:tcPr>
          <w:p w14:paraId="554CF8AE" w14:textId="77777777" w:rsidR="00F02C61" w:rsidRPr="00264D5D" w:rsidRDefault="00F02C61" w:rsidP="00F02C61">
            <w:pPr>
              <w:widowControl w:val="0"/>
              <w:spacing w:before="60" w:after="60"/>
              <w:jc w:val="left"/>
              <w:rPr>
                <w:sz w:val="22"/>
                <w:szCs w:val="22"/>
              </w:rPr>
            </w:pPr>
            <w:r w:rsidRPr="00264D5D">
              <w:rPr>
                <w:sz w:val="22"/>
                <w:szCs w:val="22"/>
              </w:rPr>
              <w:t>Т(1-2000)</w:t>
            </w:r>
          </w:p>
        </w:tc>
        <w:tc>
          <w:tcPr>
            <w:tcW w:w="568" w:type="dxa"/>
          </w:tcPr>
          <w:p w14:paraId="04ECFBC3" w14:textId="77777777" w:rsidR="00F02C61" w:rsidRPr="00264D5D" w:rsidRDefault="00F02C61" w:rsidP="00F02C61">
            <w:pPr>
              <w:widowControl w:val="0"/>
              <w:spacing w:before="60" w:after="60"/>
              <w:jc w:val="center"/>
              <w:rPr>
                <w:sz w:val="22"/>
                <w:szCs w:val="22"/>
              </w:rPr>
            </w:pPr>
            <w:r w:rsidRPr="00264D5D">
              <w:rPr>
                <w:sz w:val="22"/>
                <w:szCs w:val="22"/>
              </w:rPr>
              <w:t>О</w:t>
            </w:r>
          </w:p>
        </w:tc>
        <w:tc>
          <w:tcPr>
            <w:tcW w:w="3970" w:type="dxa"/>
          </w:tcPr>
          <w:p w14:paraId="1283256F" w14:textId="77777777" w:rsidR="00F02C61" w:rsidRPr="00264D5D" w:rsidRDefault="00F02C61" w:rsidP="00F02C61">
            <w:pPr>
              <w:widowControl w:val="0"/>
              <w:spacing w:before="60" w:after="60"/>
              <w:rPr>
                <w:sz w:val="22"/>
                <w:szCs w:val="22"/>
              </w:rPr>
            </w:pPr>
            <w:r w:rsidRPr="00264D5D">
              <w:rPr>
                <w:sz w:val="22"/>
                <w:szCs w:val="22"/>
              </w:rPr>
              <w:t>Для УБП федерального уровня указывается наименование ФО «Министерство финансов Российской Федерации», для УБП субъекта РФ (МО) указывается полное наименование ФО соответствующего бюджета.</w:t>
            </w:r>
          </w:p>
          <w:p w14:paraId="4C3FD2A3" w14:textId="77777777" w:rsidR="00F02C61" w:rsidRPr="00264D5D" w:rsidRDefault="00F02C61" w:rsidP="00F02C61">
            <w:pPr>
              <w:widowControl w:val="0"/>
              <w:spacing w:before="60" w:after="60"/>
              <w:rPr>
                <w:sz w:val="22"/>
                <w:szCs w:val="22"/>
              </w:rPr>
            </w:pPr>
            <w:r w:rsidRPr="00264D5D">
              <w:rPr>
                <w:sz w:val="22"/>
                <w:szCs w:val="22"/>
              </w:rPr>
              <w:lastRenderedPageBreak/>
              <w:t>Для бюджета Фонда пенсионного и социального страхования Российской Федерации указывается прочерк «-»</w:t>
            </w:r>
          </w:p>
        </w:tc>
      </w:tr>
      <w:tr w:rsidR="00F02C61" w:rsidRPr="00264D5D" w14:paraId="328351E4" w14:textId="77777777" w:rsidTr="00AD1F54">
        <w:trPr>
          <w:gridAfter w:val="1"/>
          <w:cnfStyle w:val="000000100000" w:firstRow="0" w:lastRow="0" w:firstColumn="0" w:lastColumn="0" w:oddVBand="0" w:evenVBand="0" w:oddHBand="1" w:evenHBand="0" w:firstRowFirstColumn="0" w:firstRowLastColumn="0" w:lastRowFirstColumn="0" w:lastRowLastColumn="0"/>
          <w:wAfter w:w="6" w:type="dxa"/>
        </w:trPr>
        <w:tc>
          <w:tcPr>
            <w:tcW w:w="1704" w:type="dxa"/>
          </w:tcPr>
          <w:p w14:paraId="2D15578F" w14:textId="77777777" w:rsidR="00F02C61" w:rsidRPr="00264D5D" w:rsidRDefault="00F02C61" w:rsidP="00F02C61">
            <w:pPr>
              <w:widowControl w:val="0"/>
              <w:spacing w:before="60" w:after="60"/>
              <w:rPr>
                <w:sz w:val="22"/>
                <w:szCs w:val="22"/>
              </w:rPr>
            </w:pPr>
            <w:r w:rsidRPr="00264D5D">
              <w:rPr>
                <w:sz w:val="22"/>
                <w:szCs w:val="22"/>
              </w:rPr>
              <w:lastRenderedPageBreak/>
              <w:t>Код ТОФК</w:t>
            </w:r>
          </w:p>
        </w:tc>
        <w:tc>
          <w:tcPr>
            <w:tcW w:w="1704" w:type="dxa"/>
          </w:tcPr>
          <w:p w14:paraId="26CCC5A5" w14:textId="77777777" w:rsidR="00F02C61" w:rsidRPr="00264D5D" w:rsidRDefault="00F02C61" w:rsidP="00F02C61">
            <w:pPr>
              <w:widowControl w:val="0"/>
              <w:spacing w:before="60" w:after="60"/>
              <w:jc w:val="left"/>
              <w:rPr>
                <w:sz w:val="22"/>
                <w:szCs w:val="22"/>
              </w:rPr>
            </w:pPr>
            <w:r w:rsidRPr="00264D5D">
              <w:rPr>
                <w:sz w:val="22"/>
                <w:szCs w:val="22"/>
              </w:rPr>
              <w:t>RcpBdjt_CdTOFK</w:t>
            </w:r>
          </w:p>
        </w:tc>
        <w:tc>
          <w:tcPr>
            <w:tcW w:w="568" w:type="dxa"/>
          </w:tcPr>
          <w:p w14:paraId="18C7035D" w14:textId="77777777" w:rsidR="00F02C61" w:rsidRPr="00264D5D" w:rsidRDefault="00F02C61" w:rsidP="00F02C61">
            <w:pPr>
              <w:widowControl w:val="0"/>
              <w:spacing w:before="60" w:after="60"/>
              <w:jc w:val="center"/>
              <w:rPr>
                <w:sz w:val="22"/>
                <w:szCs w:val="22"/>
              </w:rPr>
            </w:pPr>
            <w:r w:rsidRPr="00264D5D">
              <w:rPr>
                <w:sz w:val="22"/>
                <w:szCs w:val="22"/>
              </w:rPr>
              <w:t>П</w:t>
            </w:r>
          </w:p>
        </w:tc>
        <w:tc>
          <w:tcPr>
            <w:tcW w:w="1136" w:type="dxa"/>
          </w:tcPr>
          <w:p w14:paraId="25D8D802" w14:textId="77777777" w:rsidR="00F02C61" w:rsidRPr="00264D5D" w:rsidRDefault="00F02C61" w:rsidP="00F02C61">
            <w:pPr>
              <w:widowControl w:val="0"/>
              <w:spacing w:before="60" w:after="60"/>
              <w:jc w:val="left"/>
              <w:rPr>
                <w:sz w:val="22"/>
                <w:szCs w:val="22"/>
              </w:rPr>
            </w:pPr>
            <w:r w:rsidRPr="00264D5D">
              <w:rPr>
                <w:sz w:val="22"/>
                <w:szCs w:val="22"/>
              </w:rPr>
              <w:t>Т(4)</w:t>
            </w:r>
          </w:p>
        </w:tc>
        <w:tc>
          <w:tcPr>
            <w:tcW w:w="568" w:type="dxa"/>
          </w:tcPr>
          <w:p w14:paraId="0AE39AAC" w14:textId="77777777" w:rsidR="00F02C61" w:rsidRPr="00264D5D" w:rsidRDefault="00F02C61" w:rsidP="00F02C61">
            <w:pPr>
              <w:widowControl w:val="0"/>
              <w:spacing w:before="60" w:after="60"/>
              <w:jc w:val="center"/>
              <w:rPr>
                <w:sz w:val="22"/>
                <w:szCs w:val="22"/>
              </w:rPr>
            </w:pPr>
            <w:r w:rsidRPr="00264D5D">
              <w:rPr>
                <w:sz w:val="22"/>
                <w:szCs w:val="22"/>
              </w:rPr>
              <w:t>О</w:t>
            </w:r>
          </w:p>
        </w:tc>
        <w:tc>
          <w:tcPr>
            <w:tcW w:w="3970" w:type="dxa"/>
          </w:tcPr>
          <w:p w14:paraId="58B17912" w14:textId="77777777" w:rsidR="00F02C61" w:rsidRPr="00264D5D" w:rsidRDefault="00F02C61" w:rsidP="00F02C61">
            <w:pPr>
              <w:widowControl w:val="0"/>
              <w:spacing w:before="60" w:after="60"/>
              <w:rPr>
                <w:sz w:val="22"/>
                <w:szCs w:val="22"/>
              </w:rPr>
            </w:pPr>
            <w:r w:rsidRPr="00264D5D">
              <w:rPr>
                <w:sz w:val="22"/>
                <w:szCs w:val="22"/>
              </w:rPr>
              <w:t>Код территориального органа Федерального казначейства.</w:t>
            </w:r>
          </w:p>
          <w:p w14:paraId="2B7E9769" w14:textId="77777777" w:rsidR="00F02C61" w:rsidRPr="00264D5D" w:rsidRDefault="00F02C61" w:rsidP="00F02C61">
            <w:pPr>
              <w:widowControl w:val="0"/>
              <w:spacing w:before="60" w:after="60"/>
              <w:rPr>
                <w:sz w:val="22"/>
                <w:szCs w:val="22"/>
              </w:rPr>
            </w:pPr>
            <w:r w:rsidRPr="00264D5D">
              <w:rPr>
                <w:sz w:val="22"/>
                <w:szCs w:val="22"/>
              </w:rPr>
              <w:t>Поле заполняется в соответствии с централизованным справочником ФК</w:t>
            </w:r>
          </w:p>
        </w:tc>
      </w:tr>
      <w:tr w:rsidR="00F02C61" w:rsidRPr="00264D5D" w14:paraId="4ABAE201"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4" w:type="dxa"/>
          </w:tcPr>
          <w:p w14:paraId="72E95AE3" w14:textId="77777777" w:rsidR="00F02C61" w:rsidRPr="00264D5D" w:rsidRDefault="00F02C61" w:rsidP="00F02C61">
            <w:pPr>
              <w:widowControl w:val="0"/>
              <w:spacing w:before="60" w:after="60"/>
              <w:rPr>
                <w:sz w:val="22"/>
                <w:szCs w:val="22"/>
              </w:rPr>
            </w:pPr>
            <w:r w:rsidRPr="00264D5D">
              <w:rPr>
                <w:sz w:val="22"/>
                <w:szCs w:val="22"/>
              </w:rPr>
              <w:t>Наименование территориального органа Федерального казначейства</w:t>
            </w:r>
          </w:p>
        </w:tc>
        <w:tc>
          <w:tcPr>
            <w:tcW w:w="1704" w:type="dxa"/>
          </w:tcPr>
          <w:p w14:paraId="7D50A61B" w14:textId="77777777" w:rsidR="00F02C61" w:rsidRPr="00264D5D" w:rsidRDefault="00F02C61" w:rsidP="00F02C61">
            <w:pPr>
              <w:widowControl w:val="0"/>
              <w:spacing w:before="60" w:after="60"/>
              <w:jc w:val="left"/>
              <w:rPr>
                <w:sz w:val="22"/>
                <w:szCs w:val="22"/>
              </w:rPr>
            </w:pPr>
            <w:r w:rsidRPr="00264D5D">
              <w:rPr>
                <w:sz w:val="22"/>
                <w:szCs w:val="22"/>
              </w:rPr>
              <w:t>RcpBdjt_NmTOFK</w:t>
            </w:r>
          </w:p>
        </w:tc>
        <w:tc>
          <w:tcPr>
            <w:tcW w:w="568" w:type="dxa"/>
          </w:tcPr>
          <w:p w14:paraId="1A014C87" w14:textId="77777777" w:rsidR="00F02C61" w:rsidRPr="00264D5D" w:rsidRDefault="00F02C61" w:rsidP="00F02C61">
            <w:pPr>
              <w:widowControl w:val="0"/>
              <w:spacing w:before="60" w:after="60"/>
              <w:jc w:val="center"/>
              <w:rPr>
                <w:sz w:val="22"/>
                <w:szCs w:val="22"/>
              </w:rPr>
            </w:pPr>
            <w:r w:rsidRPr="00264D5D">
              <w:rPr>
                <w:sz w:val="22"/>
                <w:szCs w:val="22"/>
              </w:rPr>
              <w:t>П</w:t>
            </w:r>
          </w:p>
        </w:tc>
        <w:tc>
          <w:tcPr>
            <w:tcW w:w="1136" w:type="dxa"/>
          </w:tcPr>
          <w:p w14:paraId="3EE18E1E" w14:textId="77777777" w:rsidR="00F02C61" w:rsidRPr="00264D5D" w:rsidRDefault="00F02C61" w:rsidP="00F02C61">
            <w:pPr>
              <w:widowControl w:val="0"/>
              <w:spacing w:before="60" w:after="60"/>
              <w:jc w:val="left"/>
              <w:rPr>
                <w:sz w:val="22"/>
                <w:szCs w:val="22"/>
              </w:rPr>
            </w:pPr>
            <w:r w:rsidRPr="00264D5D">
              <w:rPr>
                <w:sz w:val="22"/>
                <w:szCs w:val="22"/>
              </w:rPr>
              <w:t>Т(1-2000)</w:t>
            </w:r>
          </w:p>
        </w:tc>
        <w:tc>
          <w:tcPr>
            <w:tcW w:w="568" w:type="dxa"/>
          </w:tcPr>
          <w:p w14:paraId="6E15DBC7" w14:textId="77777777" w:rsidR="00F02C61" w:rsidRPr="00264D5D" w:rsidRDefault="00F02C61" w:rsidP="00F02C61">
            <w:pPr>
              <w:widowControl w:val="0"/>
              <w:spacing w:before="60" w:after="60"/>
              <w:jc w:val="center"/>
              <w:rPr>
                <w:sz w:val="22"/>
                <w:szCs w:val="22"/>
              </w:rPr>
            </w:pPr>
            <w:r w:rsidRPr="00264D5D">
              <w:rPr>
                <w:sz w:val="22"/>
                <w:szCs w:val="22"/>
              </w:rPr>
              <w:t>О</w:t>
            </w:r>
          </w:p>
        </w:tc>
        <w:tc>
          <w:tcPr>
            <w:tcW w:w="3970" w:type="dxa"/>
          </w:tcPr>
          <w:p w14:paraId="579D5B0D" w14:textId="77777777" w:rsidR="00F02C61" w:rsidRPr="00264D5D" w:rsidRDefault="00F02C61" w:rsidP="00F02C61">
            <w:pPr>
              <w:widowControl w:val="0"/>
              <w:spacing w:before="60" w:after="60"/>
              <w:rPr>
                <w:sz w:val="22"/>
                <w:szCs w:val="22"/>
              </w:rPr>
            </w:pPr>
            <w:r w:rsidRPr="00264D5D">
              <w:rPr>
                <w:sz w:val="22"/>
                <w:szCs w:val="22"/>
              </w:rPr>
              <w:t>Полное или краткое наименование территориального органа Федерального казначейства, в котором открыт лицевой счет клиента. Поле заполняется в соответствии с централизованным справочником ФК</w:t>
            </w:r>
          </w:p>
        </w:tc>
      </w:tr>
      <w:tr w:rsidR="00F02C61" w:rsidRPr="00264D5D" w14:paraId="537BCF95" w14:textId="77777777" w:rsidTr="00AD1F54">
        <w:trPr>
          <w:gridAfter w:val="1"/>
          <w:cnfStyle w:val="000000100000" w:firstRow="0" w:lastRow="0" w:firstColumn="0" w:lastColumn="0" w:oddVBand="0" w:evenVBand="0" w:oddHBand="1" w:evenHBand="0" w:firstRowFirstColumn="0" w:firstRowLastColumn="0" w:lastRowFirstColumn="0" w:lastRowLastColumn="0"/>
          <w:wAfter w:w="6" w:type="dxa"/>
        </w:trPr>
        <w:tc>
          <w:tcPr>
            <w:tcW w:w="1704" w:type="dxa"/>
          </w:tcPr>
          <w:p w14:paraId="7E7D29DC" w14:textId="77777777" w:rsidR="00F02C61" w:rsidRPr="00264D5D" w:rsidRDefault="00F02C61" w:rsidP="00F02C61">
            <w:pPr>
              <w:widowControl w:val="0"/>
              <w:spacing w:before="60" w:after="60"/>
              <w:rPr>
                <w:sz w:val="22"/>
                <w:szCs w:val="22"/>
              </w:rPr>
            </w:pPr>
            <w:r w:rsidRPr="00264D5D">
              <w:rPr>
                <w:sz w:val="22"/>
                <w:szCs w:val="22"/>
              </w:rPr>
              <w:t xml:space="preserve">Код по ОКПО </w:t>
            </w:r>
          </w:p>
        </w:tc>
        <w:tc>
          <w:tcPr>
            <w:tcW w:w="1704" w:type="dxa"/>
          </w:tcPr>
          <w:p w14:paraId="22BBD389" w14:textId="77777777" w:rsidR="00F02C61" w:rsidRPr="00264D5D" w:rsidRDefault="00F02C61" w:rsidP="00F02C61">
            <w:pPr>
              <w:widowControl w:val="0"/>
              <w:spacing w:before="60" w:after="60"/>
              <w:jc w:val="left"/>
              <w:rPr>
                <w:sz w:val="22"/>
                <w:szCs w:val="22"/>
              </w:rPr>
            </w:pPr>
            <w:r w:rsidRPr="00264D5D">
              <w:rPr>
                <w:sz w:val="22"/>
                <w:szCs w:val="22"/>
              </w:rPr>
              <w:t>RcpBdjt_CdOKPOFn</w:t>
            </w:r>
          </w:p>
        </w:tc>
        <w:tc>
          <w:tcPr>
            <w:tcW w:w="568" w:type="dxa"/>
          </w:tcPr>
          <w:p w14:paraId="1AAEF6EE" w14:textId="77777777" w:rsidR="00F02C61" w:rsidRPr="00264D5D" w:rsidRDefault="00F02C61" w:rsidP="00F02C61">
            <w:pPr>
              <w:widowControl w:val="0"/>
              <w:spacing w:before="60" w:after="60"/>
              <w:jc w:val="center"/>
              <w:rPr>
                <w:sz w:val="22"/>
                <w:szCs w:val="22"/>
              </w:rPr>
            </w:pPr>
            <w:r w:rsidRPr="00264D5D">
              <w:rPr>
                <w:sz w:val="22"/>
                <w:szCs w:val="22"/>
              </w:rPr>
              <w:t>П</w:t>
            </w:r>
          </w:p>
        </w:tc>
        <w:tc>
          <w:tcPr>
            <w:tcW w:w="1136" w:type="dxa"/>
          </w:tcPr>
          <w:p w14:paraId="4543B8DD" w14:textId="77777777" w:rsidR="00F02C61" w:rsidRPr="00264D5D" w:rsidRDefault="00F02C61" w:rsidP="00F02C61">
            <w:pPr>
              <w:widowControl w:val="0"/>
              <w:spacing w:before="60" w:after="60"/>
              <w:jc w:val="left"/>
              <w:rPr>
                <w:sz w:val="22"/>
                <w:szCs w:val="22"/>
              </w:rPr>
            </w:pPr>
            <w:r w:rsidRPr="00264D5D">
              <w:rPr>
                <w:sz w:val="22"/>
                <w:szCs w:val="22"/>
              </w:rPr>
              <w:t>Т(1) или Т(8)</w:t>
            </w:r>
          </w:p>
        </w:tc>
        <w:tc>
          <w:tcPr>
            <w:tcW w:w="568" w:type="dxa"/>
          </w:tcPr>
          <w:p w14:paraId="5217DD29" w14:textId="77777777" w:rsidR="00F02C61" w:rsidRPr="00264D5D" w:rsidRDefault="00F02C61" w:rsidP="00F02C61">
            <w:pPr>
              <w:widowControl w:val="0"/>
              <w:spacing w:before="60" w:after="60"/>
              <w:jc w:val="center"/>
              <w:rPr>
                <w:sz w:val="22"/>
                <w:szCs w:val="22"/>
              </w:rPr>
            </w:pPr>
            <w:r w:rsidRPr="00264D5D">
              <w:rPr>
                <w:sz w:val="22"/>
                <w:szCs w:val="22"/>
              </w:rPr>
              <w:t>О</w:t>
            </w:r>
          </w:p>
        </w:tc>
        <w:tc>
          <w:tcPr>
            <w:tcW w:w="3970" w:type="dxa"/>
          </w:tcPr>
          <w:p w14:paraId="788C56CA" w14:textId="77777777" w:rsidR="00F02C61" w:rsidRPr="00264D5D" w:rsidRDefault="00F02C61" w:rsidP="00F02C61">
            <w:pPr>
              <w:widowControl w:val="0"/>
              <w:spacing w:before="60" w:after="60"/>
              <w:rPr>
                <w:sz w:val="22"/>
                <w:szCs w:val="22"/>
              </w:rPr>
            </w:pPr>
            <w:r w:rsidRPr="00264D5D">
              <w:rPr>
                <w:sz w:val="22"/>
                <w:szCs w:val="22"/>
              </w:rPr>
              <w:t>Указывается код по ОКПО финансового органа.</w:t>
            </w:r>
          </w:p>
          <w:p w14:paraId="3AEA8EFA" w14:textId="77777777" w:rsidR="00F02C61" w:rsidRPr="00264D5D" w:rsidRDefault="00F02C61" w:rsidP="00F02C61">
            <w:pPr>
              <w:widowControl w:val="0"/>
              <w:spacing w:before="60" w:after="60"/>
              <w:rPr>
                <w:sz w:val="22"/>
                <w:szCs w:val="22"/>
              </w:rPr>
            </w:pPr>
            <w:r w:rsidRPr="00264D5D">
              <w:rPr>
                <w:sz w:val="22"/>
                <w:szCs w:val="22"/>
              </w:rPr>
              <w:t>Для бюджета Фонда пенсионного и социального страхования Российской Федерации указывается прочерк «-»</w:t>
            </w:r>
          </w:p>
        </w:tc>
      </w:tr>
      <w:tr w:rsidR="00F02C61" w:rsidRPr="00264D5D" w14:paraId="13C7063E" w14:textId="77777777" w:rsidTr="00AD1F54">
        <w:trPr>
          <w:cnfStyle w:val="000000010000" w:firstRow="0" w:lastRow="0" w:firstColumn="0" w:lastColumn="0" w:oddVBand="0" w:evenVBand="0" w:oddHBand="0" w:evenHBand="1" w:firstRowFirstColumn="0" w:firstRowLastColumn="0" w:lastRowFirstColumn="0" w:lastRowLastColumn="0"/>
        </w:trPr>
        <w:tc>
          <w:tcPr>
            <w:tcW w:w="9656" w:type="dxa"/>
            <w:gridSpan w:val="7"/>
          </w:tcPr>
          <w:p w14:paraId="4FD75AE6" w14:textId="77777777" w:rsidR="00F02C61" w:rsidRPr="00264D5D" w:rsidRDefault="00F02C61" w:rsidP="00F02C61">
            <w:pPr>
              <w:widowControl w:val="0"/>
              <w:spacing w:before="60" w:after="60"/>
              <w:rPr>
                <w:sz w:val="22"/>
                <w:szCs w:val="22"/>
              </w:rPr>
            </w:pPr>
            <w:r w:rsidRPr="00264D5D">
              <w:rPr>
                <w:b/>
                <w:sz w:val="22"/>
                <w:szCs w:val="22"/>
              </w:rPr>
              <w:t>Реквизиты документа, являющегося основанием для принятия на учет бюджетного обязательства</w:t>
            </w:r>
          </w:p>
        </w:tc>
      </w:tr>
      <w:tr w:rsidR="00F02C61" w:rsidRPr="00264D5D" w14:paraId="4FF83B43" w14:textId="77777777" w:rsidTr="00AD1F54">
        <w:trPr>
          <w:gridAfter w:val="1"/>
          <w:cnfStyle w:val="000000100000" w:firstRow="0" w:lastRow="0" w:firstColumn="0" w:lastColumn="0" w:oddVBand="0" w:evenVBand="0" w:oddHBand="1" w:evenHBand="0" w:firstRowFirstColumn="0" w:firstRowLastColumn="0" w:lastRowFirstColumn="0" w:lastRowLastColumn="0"/>
          <w:wAfter w:w="6" w:type="dxa"/>
        </w:trPr>
        <w:tc>
          <w:tcPr>
            <w:tcW w:w="1704" w:type="dxa"/>
          </w:tcPr>
          <w:p w14:paraId="55474673" w14:textId="77777777" w:rsidR="00F02C61" w:rsidRPr="00264D5D" w:rsidRDefault="00F02C61" w:rsidP="00F02C61">
            <w:pPr>
              <w:widowControl w:val="0"/>
              <w:spacing w:before="60" w:after="60"/>
              <w:rPr>
                <w:sz w:val="22"/>
                <w:szCs w:val="22"/>
              </w:rPr>
            </w:pPr>
            <w:r w:rsidRPr="00264D5D">
              <w:rPr>
                <w:sz w:val="22"/>
                <w:szCs w:val="22"/>
              </w:rPr>
              <w:t xml:space="preserve">Вид </w:t>
            </w:r>
          </w:p>
        </w:tc>
        <w:tc>
          <w:tcPr>
            <w:tcW w:w="1704" w:type="dxa"/>
          </w:tcPr>
          <w:p w14:paraId="2A668005" w14:textId="77777777" w:rsidR="00F02C61" w:rsidRPr="00264D5D" w:rsidRDefault="00F02C61" w:rsidP="00F02C61">
            <w:pPr>
              <w:widowControl w:val="0"/>
              <w:spacing w:before="60" w:after="60"/>
              <w:jc w:val="left"/>
              <w:rPr>
                <w:sz w:val="22"/>
                <w:szCs w:val="22"/>
              </w:rPr>
            </w:pPr>
            <w:r w:rsidRPr="00264D5D">
              <w:rPr>
                <w:sz w:val="22"/>
                <w:szCs w:val="22"/>
              </w:rPr>
              <w:t>InfDcBs_TypeDcBs</w:t>
            </w:r>
          </w:p>
        </w:tc>
        <w:tc>
          <w:tcPr>
            <w:tcW w:w="568" w:type="dxa"/>
          </w:tcPr>
          <w:p w14:paraId="394A1C47" w14:textId="77777777" w:rsidR="00F02C61" w:rsidRPr="00264D5D" w:rsidRDefault="00F02C61" w:rsidP="00F02C61">
            <w:pPr>
              <w:widowControl w:val="0"/>
              <w:spacing w:before="60" w:after="60"/>
              <w:jc w:val="center"/>
              <w:rPr>
                <w:sz w:val="22"/>
                <w:szCs w:val="22"/>
              </w:rPr>
            </w:pPr>
            <w:r w:rsidRPr="00264D5D">
              <w:rPr>
                <w:sz w:val="22"/>
                <w:szCs w:val="22"/>
              </w:rPr>
              <w:t>П</w:t>
            </w:r>
          </w:p>
        </w:tc>
        <w:tc>
          <w:tcPr>
            <w:tcW w:w="1136" w:type="dxa"/>
          </w:tcPr>
          <w:p w14:paraId="6B2BAF2D" w14:textId="77777777" w:rsidR="00F02C61" w:rsidRPr="00264D5D" w:rsidRDefault="00F02C61" w:rsidP="00F02C61">
            <w:pPr>
              <w:widowControl w:val="0"/>
              <w:spacing w:before="60" w:after="60"/>
              <w:jc w:val="left"/>
              <w:rPr>
                <w:sz w:val="22"/>
                <w:szCs w:val="22"/>
              </w:rPr>
            </w:pPr>
            <w:r w:rsidRPr="00264D5D">
              <w:rPr>
                <w:sz w:val="22"/>
                <w:szCs w:val="22"/>
              </w:rPr>
              <w:t>Т(1-100)</w:t>
            </w:r>
          </w:p>
        </w:tc>
        <w:tc>
          <w:tcPr>
            <w:tcW w:w="568" w:type="dxa"/>
          </w:tcPr>
          <w:p w14:paraId="05EC33F5" w14:textId="77777777" w:rsidR="00F02C61" w:rsidRPr="00264D5D" w:rsidRDefault="00F02C61" w:rsidP="00F02C61">
            <w:pPr>
              <w:widowControl w:val="0"/>
              <w:spacing w:before="60" w:after="60"/>
              <w:jc w:val="center"/>
              <w:rPr>
                <w:sz w:val="22"/>
                <w:szCs w:val="22"/>
              </w:rPr>
            </w:pPr>
            <w:r w:rsidRPr="00264D5D">
              <w:rPr>
                <w:sz w:val="22"/>
                <w:szCs w:val="22"/>
              </w:rPr>
              <w:t>О</w:t>
            </w:r>
          </w:p>
        </w:tc>
        <w:tc>
          <w:tcPr>
            <w:tcW w:w="3970" w:type="dxa"/>
          </w:tcPr>
          <w:p w14:paraId="5191F2FA" w14:textId="77777777" w:rsidR="00F02C61" w:rsidRPr="00264D5D" w:rsidRDefault="00F02C61" w:rsidP="00F02C61">
            <w:pPr>
              <w:widowControl w:val="0"/>
              <w:spacing w:before="60" w:after="60"/>
              <w:rPr>
                <w:sz w:val="22"/>
                <w:szCs w:val="22"/>
              </w:rPr>
            </w:pPr>
            <w:r w:rsidRPr="00264D5D">
              <w:rPr>
                <w:sz w:val="22"/>
                <w:szCs w:val="22"/>
              </w:rPr>
              <w:t xml:space="preserve">Вид документа-основания для постановки на учет БО. </w:t>
            </w:r>
          </w:p>
          <w:p w14:paraId="67234AC4" w14:textId="77777777" w:rsidR="00F02C61" w:rsidRPr="00264D5D" w:rsidRDefault="00F02C61" w:rsidP="00F02C61">
            <w:pPr>
              <w:widowControl w:val="0"/>
              <w:spacing w:before="60" w:after="60"/>
              <w:rPr>
                <w:sz w:val="22"/>
                <w:szCs w:val="22"/>
              </w:rPr>
            </w:pPr>
            <w:r w:rsidRPr="00264D5D">
              <w:rPr>
                <w:sz w:val="22"/>
                <w:szCs w:val="22"/>
              </w:rPr>
              <w:t>Указывается одно из следующих значений: «контракт», «проект контракта», «договор», «соглашение», «нормативный правовой акт», «исполнительный документ», «решение налогового органа», «извещение об осуществлении закупки», «приглашение принять участие в определении поставщика (подрядчика, исполнителя)», «иное основание», «проект дополнительного соглашения к контракту» (для маршрута ЕИС – ТОФК (ПУР ЭБ))</w:t>
            </w:r>
          </w:p>
        </w:tc>
      </w:tr>
      <w:tr w:rsidR="00F02C61" w:rsidRPr="00264D5D" w14:paraId="2DE2C2DE"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4" w:type="dxa"/>
          </w:tcPr>
          <w:p w14:paraId="01064F10" w14:textId="77777777" w:rsidR="00F02C61" w:rsidRPr="00264D5D" w:rsidRDefault="00F02C61" w:rsidP="00F02C61">
            <w:pPr>
              <w:widowControl w:val="0"/>
              <w:spacing w:before="60" w:after="60"/>
              <w:rPr>
                <w:sz w:val="22"/>
                <w:szCs w:val="22"/>
              </w:rPr>
            </w:pPr>
            <w:r w:rsidRPr="00264D5D">
              <w:rPr>
                <w:sz w:val="22"/>
                <w:szCs w:val="22"/>
              </w:rPr>
              <w:t xml:space="preserve">Наименование </w:t>
            </w:r>
          </w:p>
        </w:tc>
        <w:tc>
          <w:tcPr>
            <w:tcW w:w="1704" w:type="dxa"/>
          </w:tcPr>
          <w:p w14:paraId="6A13C47E" w14:textId="77777777" w:rsidR="00F02C61" w:rsidRPr="00264D5D" w:rsidRDefault="00F02C61" w:rsidP="00F02C61">
            <w:pPr>
              <w:widowControl w:val="0"/>
              <w:spacing w:before="60" w:after="60"/>
              <w:jc w:val="left"/>
              <w:rPr>
                <w:sz w:val="22"/>
                <w:szCs w:val="22"/>
              </w:rPr>
            </w:pPr>
            <w:r w:rsidRPr="00264D5D">
              <w:rPr>
                <w:sz w:val="22"/>
                <w:szCs w:val="22"/>
              </w:rPr>
              <w:t>InfDcBs_NmDcBs</w:t>
            </w:r>
          </w:p>
        </w:tc>
        <w:tc>
          <w:tcPr>
            <w:tcW w:w="568" w:type="dxa"/>
          </w:tcPr>
          <w:p w14:paraId="13661202" w14:textId="77777777" w:rsidR="00F02C61" w:rsidRPr="00264D5D" w:rsidRDefault="00F02C61" w:rsidP="00F02C61">
            <w:pPr>
              <w:widowControl w:val="0"/>
              <w:spacing w:before="60" w:after="60"/>
              <w:jc w:val="center"/>
              <w:rPr>
                <w:sz w:val="22"/>
                <w:szCs w:val="22"/>
              </w:rPr>
            </w:pPr>
            <w:r w:rsidRPr="00264D5D">
              <w:rPr>
                <w:sz w:val="22"/>
                <w:szCs w:val="22"/>
              </w:rPr>
              <w:t>П</w:t>
            </w:r>
          </w:p>
        </w:tc>
        <w:tc>
          <w:tcPr>
            <w:tcW w:w="1136" w:type="dxa"/>
          </w:tcPr>
          <w:p w14:paraId="4DCD9BCF" w14:textId="77777777" w:rsidR="00F02C61" w:rsidRPr="00264D5D" w:rsidRDefault="00F02C61" w:rsidP="00F02C61">
            <w:pPr>
              <w:widowControl w:val="0"/>
              <w:spacing w:before="60" w:after="60"/>
              <w:jc w:val="left"/>
              <w:rPr>
                <w:sz w:val="22"/>
                <w:szCs w:val="22"/>
              </w:rPr>
            </w:pPr>
            <w:r w:rsidRPr="00264D5D">
              <w:rPr>
                <w:sz w:val="22"/>
                <w:szCs w:val="22"/>
              </w:rPr>
              <w:t>Т(1-2000)</w:t>
            </w:r>
          </w:p>
        </w:tc>
        <w:tc>
          <w:tcPr>
            <w:tcW w:w="568" w:type="dxa"/>
          </w:tcPr>
          <w:p w14:paraId="63DF402B" w14:textId="77777777" w:rsidR="00F02C61" w:rsidRPr="00264D5D" w:rsidRDefault="00F02C61" w:rsidP="00F02C61">
            <w:pPr>
              <w:widowControl w:val="0"/>
              <w:spacing w:before="60" w:after="60"/>
              <w:jc w:val="center"/>
              <w:rPr>
                <w:sz w:val="22"/>
                <w:szCs w:val="22"/>
              </w:rPr>
            </w:pPr>
            <w:r w:rsidRPr="00264D5D">
              <w:rPr>
                <w:sz w:val="22"/>
                <w:szCs w:val="22"/>
              </w:rPr>
              <w:t>Н</w:t>
            </w:r>
          </w:p>
        </w:tc>
        <w:tc>
          <w:tcPr>
            <w:tcW w:w="3970" w:type="dxa"/>
          </w:tcPr>
          <w:p w14:paraId="06ADA803" w14:textId="77777777" w:rsidR="00F02C61" w:rsidRPr="00264D5D" w:rsidRDefault="00F02C61" w:rsidP="00F02C61">
            <w:pPr>
              <w:widowControl w:val="0"/>
              <w:spacing w:before="60" w:after="60"/>
              <w:rPr>
                <w:sz w:val="22"/>
                <w:szCs w:val="22"/>
              </w:rPr>
            </w:pPr>
            <w:r w:rsidRPr="00264D5D">
              <w:rPr>
                <w:sz w:val="22"/>
                <w:szCs w:val="22"/>
              </w:rPr>
              <w:t xml:space="preserve">При заполнении в элементе «InfDcBs_TypeDcBs» значения «Нормативный правовой акт» указывается наименование нормативного правового акта. </w:t>
            </w:r>
          </w:p>
          <w:p w14:paraId="4F132E44" w14:textId="77777777" w:rsidR="00F02C61" w:rsidRPr="00264D5D" w:rsidRDefault="00F02C61" w:rsidP="00F02C61">
            <w:pPr>
              <w:widowControl w:val="0"/>
              <w:spacing w:before="60" w:after="60"/>
              <w:rPr>
                <w:sz w:val="22"/>
                <w:szCs w:val="22"/>
              </w:rPr>
            </w:pPr>
            <w:r w:rsidRPr="00264D5D">
              <w:rPr>
                <w:sz w:val="22"/>
                <w:szCs w:val="22"/>
              </w:rPr>
              <w:t>В остальных случаях не заполняется</w:t>
            </w:r>
          </w:p>
        </w:tc>
      </w:tr>
      <w:tr w:rsidR="00F02C61" w:rsidRPr="00264D5D" w14:paraId="27F06864" w14:textId="77777777" w:rsidTr="00AD1F54">
        <w:trPr>
          <w:gridAfter w:val="1"/>
          <w:cnfStyle w:val="000000100000" w:firstRow="0" w:lastRow="0" w:firstColumn="0" w:lastColumn="0" w:oddVBand="0" w:evenVBand="0" w:oddHBand="1" w:evenHBand="0" w:firstRowFirstColumn="0" w:firstRowLastColumn="0" w:lastRowFirstColumn="0" w:lastRowLastColumn="0"/>
          <w:wAfter w:w="6" w:type="dxa"/>
        </w:trPr>
        <w:tc>
          <w:tcPr>
            <w:tcW w:w="1704" w:type="dxa"/>
          </w:tcPr>
          <w:p w14:paraId="6F5A8228" w14:textId="77777777" w:rsidR="00F02C61" w:rsidRPr="00264D5D" w:rsidRDefault="00F02C61" w:rsidP="00F02C61">
            <w:pPr>
              <w:widowControl w:val="0"/>
              <w:spacing w:before="60" w:after="60"/>
              <w:rPr>
                <w:sz w:val="22"/>
                <w:szCs w:val="22"/>
              </w:rPr>
            </w:pPr>
            <w:r w:rsidRPr="00264D5D">
              <w:rPr>
                <w:sz w:val="22"/>
                <w:szCs w:val="22"/>
              </w:rPr>
              <w:t xml:space="preserve">Номер </w:t>
            </w:r>
          </w:p>
        </w:tc>
        <w:tc>
          <w:tcPr>
            <w:tcW w:w="1704" w:type="dxa"/>
          </w:tcPr>
          <w:p w14:paraId="7E402B9E" w14:textId="77777777" w:rsidR="00F02C61" w:rsidRPr="00264D5D" w:rsidRDefault="00F02C61" w:rsidP="00F02C61">
            <w:pPr>
              <w:widowControl w:val="0"/>
              <w:spacing w:before="60" w:after="60"/>
              <w:jc w:val="left"/>
              <w:rPr>
                <w:sz w:val="22"/>
                <w:szCs w:val="22"/>
              </w:rPr>
            </w:pPr>
            <w:r w:rsidRPr="00264D5D">
              <w:rPr>
                <w:sz w:val="22"/>
                <w:szCs w:val="22"/>
              </w:rPr>
              <w:t>InfDcBs_RmAct</w:t>
            </w:r>
          </w:p>
        </w:tc>
        <w:tc>
          <w:tcPr>
            <w:tcW w:w="568" w:type="dxa"/>
          </w:tcPr>
          <w:p w14:paraId="7ED64C99" w14:textId="77777777" w:rsidR="00F02C61" w:rsidRPr="00264D5D" w:rsidRDefault="00F02C61" w:rsidP="00F02C61">
            <w:pPr>
              <w:widowControl w:val="0"/>
              <w:spacing w:before="60" w:after="60"/>
              <w:jc w:val="center"/>
              <w:rPr>
                <w:sz w:val="22"/>
                <w:szCs w:val="22"/>
              </w:rPr>
            </w:pPr>
            <w:r w:rsidRPr="00264D5D">
              <w:rPr>
                <w:sz w:val="22"/>
                <w:szCs w:val="22"/>
              </w:rPr>
              <w:t>П</w:t>
            </w:r>
          </w:p>
        </w:tc>
        <w:tc>
          <w:tcPr>
            <w:tcW w:w="1136" w:type="dxa"/>
          </w:tcPr>
          <w:p w14:paraId="7E4581B0" w14:textId="77777777" w:rsidR="00F02C61" w:rsidRPr="00264D5D" w:rsidRDefault="00F02C61" w:rsidP="00F02C61">
            <w:pPr>
              <w:widowControl w:val="0"/>
              <w:spacing w:before="60" w:after="60"/>
              <w:jc w:val="left"/>
              <w:rPr>
                <w:sz w:val="22"/>
                <w:szCs w:val="22"/>
              </w:rPr>
            </w:pPr>
            <w:r w:rsidRPr="00264D5D">
              <w:rPr>
                <w:sz w:val="22"/>
                <w:szCs w:val="22"/>
              </w:rPr>
              <w:t>Т(1-100)</w:t>
            </w:r>
          </w:p>
        </w:tc>
        <w:tc>
          <w:tcPr>
            <w:tcW w:w="568" w:type="dxa"/>
          </w:tcPr>
          <w:p w14:paraId="4B8D43BC" w14:textId="77777777" w:rsidR="00F02C61" w:rsidRPr="00264D5D" w:rsidRDefault="00F02C61" w:rsidP="00F02C61">
            <w:pPr>
              <w:widowControl w:val="0"/>
              <w:spacing w:before="60" w:after="60"/>
              <w:jc w:val="center"/>
              <w:rPr>
                <w:sz w:val="22"/>
                <w:szCs w:val="22"/>
              </w:rPr>
            </w:pPr>
            <w:r w:rsidRPr="00264D5D">
              <w:rPr>
                <w:sz w:val="22"/>
                <w:szCs w:val="22"/>
              </w:rPr>
              <w:t>Н</w:t>
            </w:r>
          </w:p>
        </w:tc>
        <w:tc>
          <w:tcPr>
            <w:tcW w:w="3970" w:type="dxa"/>
          </w:tcPr>
          <w:p w14:paraId="056C5473" w14:textId="77777777" w:rsidR="00F02C61" w:rsidRPr="00264D5D" w:rsidRDefault="00F02C61" w:rsidP="00F02C61">
            <w:pPr>
              <w:widowControl w:val="0"/>
              <w:spacing w:before="60" w:after="60"/>
              <w:rPr>
                <w:sz w:val="22"/>
                <w:szCs w:val="22"/>
              </w:rPr>
            </w:pPr>
            <w:r w:rsidRPr="00264D5D">
              <w:rPr>
                <w:sz w:val="22"/>
                <w:szCs w:val="22"/>
              </w:rPr>
              <w:t>Указывается номер документа-</w:t>
            </w:r>
            <w:r w:rsidRPr="00264D5D">
              <w:rPr>
                <w:sz w:val="22"/>
                <w:szCs w:val="22"/>
              </w:rPr>
              <w:lastRenderedPageBreak/>
              <w:t>основания (при наличии)</w:t>
            </w:r>
          </w:p>
        </w:tc>
      </w:tr>
      <w:tr w:rsidR="00F02C61" w:rsidRPr="00264D5D" w14:paraId="7FCE15E1"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4" w:type="dxa"/>
          </w:tcPr>
          <w:p w14:paraId="4CE18909" w14:textId="77777777" w:rsidR="00F02C61" w:rsidRPr="00264D5D" w:rsidRDefault="00F02C61" w:rsidP="00F02C61">
            <w:pPr>
              <w:widowControl w:val="0"/>
              <w:spacing w:before="60" w:after="60"/>
              <w:rPr>
                <w:sz w:val="22"/>
                <w:szCs w:val="22"/>
              </w:rPr>
            </w:pPr>
            <w:r w:rsidRPr="00264D5D">
              <w:rPr>
                <w:sz w:val="22"/>
                <w:szCs w:val="22"/>
              </w:rPr>
              <w:lastRenderedPageBreak/>
              <w:t xml:space="preserve">Дата </w:t>
            </w:r>
          </w:p>
        </w:tc>
        <w:tc>
          <w:tcPr>
            <w:tcW w:w="1704" w:type="dxa"/>
          </w:tcPr>
          <w:p w14:paraId="03530DC4" w14:textId="77777777" w:rsidR="00F02C61" w:rsidRPr="00264D5D" w:rsidRDefault="00F02C61" w:rsidP="00F02C61">
            <w:pPr>
              <w:widowControl w:val="0"/>
              <w:spacing w:before="60" w:after="60"/>
              <w:jc w:val="left"/>
              <w:rPr>
                <w:sz w:val="22"/>
                <w:szCs w:val="22"/>
              </w:rPr>
            </w:pPr>
            <w:r w:rsidRPr="00264D5D">
              <w:rPr>
                <w:sz w:val="22"/>
                <w:szCs w:val="22"/>
              </w:rPr>
              <w:t>InfDcBs_DtCntrct</w:t>
            </w:r>
          </w:p>
          <w:p w14:paraId="2443D678" w14:textId="77777777" w:rsidR="00F02C61" w:rsidRPr="00264D5D" w:rsidRDefault="00F02C61" w:rsidP="00F02C61">
            <w:pPr>
              <w:widowControl w:val="0"/>
              <w:spacing w:before="60" w:after="60"/>
              <w:rPr>
                <w:sz w:val="22"/>
                <w:szCs w:val="22"/>
              </w:rPr>
            </w:pPr>
          </w:p>
        </w:tc>
        <w:tc>
          <w:tcPr>
            <w:tcW w:w="568" w:type="dxa"/>
          </w:tcPr>
          <w:p w14:paraId="59879143" w14:textId="77777777" w:rsidR="00F02C61" w:rsidRPr="00264D5D" w:rsidRDefault="00F02C61" w:rsidP="00F02C61">
            <w:pPr>
              <w:widowControl w:val="0"/>
              <w:spacing w:before="60" w:after="60"/>
              <w:jc w:val="center"/>
              <w:rPr>
                <w:sz w:val="22"/>
                <w:szCs w:val="22"/>
              </w:rPr>
            </w:pPr>
            <w:r w:rsidRPr="00264D5D">
              <w:rPr>
                <w:sz w:val="22"/>
                <w:szCs w:val="22"/>
              </w:rPr>
              <w:t>П</w:t>
            </w:r>
          </w:p>
        </w:tc>
        <w:tc>
          <w:tcPr>
            <w:tcW w:w="1136" w:type="dxa"/>
          </w:tcPr>
          <w:p w14:paraId="40DC95C0" w14:textId="77777777" w:rsidR="00F02C61" w:rsidRPr="00264D5D" w:rsidRDefault="00F02C61" w:rsidP="00F02C61">
            <w:pPr>
              <w:widowControl w:val="0"/>
              <w:spacing w:before="60" w:after="60"/>
              <w:jc w:val="left"/>
              <w:rPr>
                <w:sz w:val="22"/>
                <w:szCs w:val="22"/>
                <w:lang w:val="en-US"/>
              </w:rPr>
            </w:pPr>
            <w:r w:rsidRPr="00264D5D">
              <w:rPr>
                <w:sz w:val="22"/>
                <w:szCs w:val="22"/>
                <w:lang w:val="en-US"/>
              </w:rPr>
              <w:t>Date</w:t>
            </w:r>
          </w:p>
        </w:tc>
        <w:tc>
          <w:tcPr>
            <w:tcW w:w="568" w:type="dxa"/>
          </w:tcPr>
          <w:p w14:paraId="6969BB7E" w14:textId="77777777" w:rsidR="00F02C61" w:rsidRPr="00264D5D" w:rsidRDefault="00F02C61" w:rsidP="00F02C61">
            <w:pPr>
              <w:widowControl w:val="0"/>
              <w:spacing w:before="60" w:after="60"/>
              <w:jc w:val="center"/>
              <w:rPr>
                <w:sz w:val="22"/>
                <w:szCs w:val="22"/>
              </w:rPr>
            </w:pPr>
            <w:r w:rsidRPr="00264D5D">
              <w:rPr>
                <w:sz w:val="22"/>
                <w:szCs w:val="22"/>
              </w:rPr>
              <w:t>Н</w:t>
            </w:r>
          </w:p>
        </w:tc>
        <w:tc>
          <w:tcPr>
            <w:tcW w:w="3970" w:type="dxa"/>
          </w:tcPr>
          <w:p w14:paraId="184ABB53" w14:textId="77777777" w:rsidR="00F02C61" w:rsidRPr="00264D5D" w:rsidRDefault="00F02C61" w:rsidP="00F02C61">
            <w:pPr>
              <w:widowControl w:val="0"/>
              <w:spacing w:before="60" w:after="60"/>
              <w:rPr>
                <w:sz w:val="22"/>
                <w:szCs w:val="22"/>
              </w:rPr>
            </w:pPr>
            <w:r w:rsidRPr="00264D5D">
              <w:rPr>
                <w:sz w:val="22"/>
                <w:szCs w:val="22"/>
              </w:rPr>
              <w:t>Указывается дата заключения (принятия) документа-основания.</w:t>
            </w:r>
          </w:p>
          <w:p w14:paraId="06011DDF" w14:textId="77777777" w:rsidR="00F02C61" w:rsidRPr="00264D5D" w:rsidRDefault="00F02C61" w:rsidP="00F02C61">
            <w:pPr>
              <w:widowControl w:val="0"/>
              <w:spacing w:before="60" w:after="60"/>
              <w:rPr>
                <w:sz w:val="22"/>
                <w:szCs w:val="22"/>
              </w:rPr>
            </w:pPr>
            <w:r w:rsidRPr="00264D5D">
              <w:rPr>
                <w:sz w:val="22"/>
                <w:szCs w:val="22"/>
              </w:rPr>
              <w:t>Может не заполняться в случае, если реквизит «InfDcBs_TypeDcBs» содержит значение «извещение об осуществлении закупки», «приглашение принять участие в определении поставщика (подрядчика, исполнителя)», «проект контракта», «проект дополнительного соглашения к контракту».</w:t>
            </w:r>
          </w:p>
          <w:p w14:paraId="73E3A8C2" w14:textId="77777777" w:rsidR="00F02C61" w:rsidRPr="00264D5D" w:rsidRDefault="00F02C61" w:rsidP="00F02C61">
            <w:pPr>
              <w:widowControl w:val="0"/>
              <w:spacing w:before="60" w:after="60"/>
              <w:rPr>
                <w:sz w:val="22"/>
                <w:szCs w:val="22"/>
              </w:rPr>
            </w:pPr>
            <w:r w:rsidRPr="00264D5D">
              <w:rPr>
                <w:sz w:val="22"/>
                <w:szCs w:val="22"/>
              </w:rPr>
              <w:t>В остальных случаях обязателен к заполнению</w:t>
            </w:r>
          </w:p>
        </w:tc>
      </w:tr>
      <w:tr w:rsidR="00F02C61" w:rsidRPr="00264D5D" w14:paraId="3C9555DF" w14:textId="77777777" w:rsidTr="00AD1F54">
        <w:trPr>
          <w:gridAfter w:val="1"/>
          <w:cnfStyle w:val="000000100000" w:firstRow="0" w:lastRow="0" w:firstColumn="0" w:lastColumn="0" w:oddVBand="0" w:evenVBand="0" w:oddHBand="1" w:evenHBand="0" w:firstRowFirstColumn="0" w:firstRowLastColumn="0" w:lastRowFirstColumn="0" w:lastRowLastColumn="0"/>
          <w:wAfter w:w="6" w:type="dxa"/>
        </w:trPr>
        <w:tc>
          <w:tcPr>
            <w:tcW w:w="1704" w:type="dxa"/>
          </w:tcPr>
          <w:p w14:paraId="202A5F3D" w14:textId="77777777" w:rsidR="00F02C61" w:rsidRPr="00264D5D" w:rsidRDefault="00F02C61" w:rsidP="00F02C61">
            <w:pPr>
              <w:widowControl w:val="0"/>
              <w:spacing w:before="60" w:after="60"/>
              <w:rPr>
                <w:sz w:val="22"/>
                <w:szCs w:val="22"/>
              </w:rPr>
            </w:pPr>
            <w:r w:rsidRPr="00264D5D">
              <w:rPr>
                <w:sz w:val="22"/>
                <w:szCs w:val="22"/>
              </w:rPr>
              <w:t>Срок исполнения</w:t>
            </w:r>
          </w:p>
        </w:tc>
        <w:tc>
          <w:tcPr>
            <w:tcW w:w="1704" w:type="dxa"/>
          </w:tcPr>
          <w:p w14:paraId="14945C70" w14:textId="77777777" w:rsidR="00F02C61" w:rsidRPr="00264D5D" w:rsidRDefault="00F02C61" w:rsidP="00F02C61">
            <w:pPr>
              <w:widowControl w:val="0"/>
              <w:spacing w:before="60" w:after="60"/>
              <w:jc w:val="left"/>
              <w:rPr>
                <w:sz w:val="22"/>
                <w:szCs w:val="22"/>
                <w:lang w:val="en-US"/>
              </w:rPr>
            </w:pPr>
            <w:r w:rsidRPr="00264D5D">
              <w:rPr>
                <w:sz w:val="22"/>
                <w:szCs w:val="22"/>
              </w:rPr>
              <w:t>InfDcBs_</w:t>
            </w:r>
            <w:r w:rsidRPr="00264D5D">
              <w:rPr>
                <w:sz w:val="22"/>
                <w:szCs w:val="22"/>
                <w:lang w:val="en-US"/>
              </w:rPr>
              <w:t>DtExec</w:t>
            </w:r>
          </w:p>
        </w:tc>
        <w:tc>
          <w:tcPr>
            <w:tcW w:w="568" w:type="dxa"/>
          </w:tcPr>
          <w:p w14:paraId="1AAAEDC9" w14:textId="77777777" w:rsidR="00F02C61" w:rsidRPr="00264D5D" w:rsidRDefault="00F02C61" w:rsidP="00F02C61">
            <w:pPr>
              <w:widowControl w:val="0"/>
              <w:spacing w:before="60" w:after="60"/>
              <w:jc w:val="center"/>
              <w:rPr>
                <w:sz w:val="22"/>
                <w:szCs w:val="22"/>
              </w:rPr>
            </w:pPr>
            <w:r w:rsidRPr="00264D5D">
              <w:rPr>
                <w:sz w:val="22"/>
                <w:szCs w:val="22"/>
              </w:rPr>
              <w:t>П</w:t>
            </w:r>
          </w:p>
        </w:tc>
        <w:tc>
          <w:tcPr>
            <w:tcW w:w="1136" w:type="dxa"/>
          </w:tcPr>
          <w:p w14:paraId="2A70FB3B" w14:textId="77777777" w:rsidR="00F02C61" w:rsidRPr="00264D5D" w:rsidRDefault="00F02C61" w:rsidP="00F02C61">
            <w:pPr>
              <w:widowControl w:val="0"/>
              <w:spacing w:before="60" w:after="60"/>
              <w:jc w:val="left"/>
              <w:rPr>
                <w:sz w:val="22"/>
                <w:szCs w:val="22"/>
                <w:lang w:val="en-US"/>
              </w:rPr>
            </w:pPr>
            <w:r w:rsidRPr="00264D5D">
              <w:rPr>
                <w:sz w:val="22"/>
                <w:szCs w:val="22"/>
                <w:lang w:val="en-US"/>
              </w:rPr>
              <w:t>Date</w:t>
            </w:r>
          </w:p>
        </w:tc>
        <w:tc>
          <w:tcPr>
            <w:tcW w:w="568" w:type="dxa"/>
          </w:tcPr>
          <w:p w14:paraId="4B62DDA6" w14:textId="77777777" w:rsidR="00F02C61" w:rsidRPr="00264D5D" w:rsidRDefault="00F02C61" w:rsidP="00F02C61">
            <w:pPr>
              <w:widowControl w:val="0"/>
              <w:spacing w:before="60" w:after="60"/>
              <w:jc w:val="center"/>
              <w:rPr>
                <w:sz w:val="22"/>
                <w:szCs w:val="22"/>
              </w:rPr>
            </w:pPr>
            <w:r w:rsidRPr="00264D5D">
              <w:rPr>
                <w:sz w:val="22"/>
                <w:szCs w:val="22"/>
              </w:rPr>
              <w:t>Н</w:t>
            </w:r>
          </w:p>
        </w:tc>
        <w:tc>
          <w:tcPr>
            <w:tcW w:w="3970" w:type="dxa"/>
          </w:tcPr>
          <w:p w14:paraId="2ADE13A1" w14:textId="77777777" w:rsidR="00F02C61" w:rsidRPr="00264D5D" w:rsidRDefault="00F02C61" w:rsidP="00F02C61">
            <w:pPr>
              <w:widowControl w:val="0"/>
              <w:spacing w:before="60" w:after="60"/>
              <w:rPr>
                <w:sz w:val="22"/>
                <w:szCs w:val="22"/>
              </w:rPr>
            </w:pPr>
            <w:r w:rsidRPr="00264D5D">
              <w:rPr>
                <w:sz w:val="22"/>
                <w:szCs w:val="22"/>
              </w:rPr>
              <w:t>Указывается дата завершения исполнения обязательств по документу-основанию (кроме обязательств, возникших из извещения об осуществлении закупки, приглашения принять участие в определении поставщика (подрядчика, исполнителя), проекта контракта, проекта дополнительного соглашения к контракту).</w:t>
            </w:r>
          </w:p>
          <w:p w14:paraId="24A3D7AA" w14:textId="77777777" w:rsidR="00F02C61" w:rsidRPr="00264D5D" w:rsidRDefault="00F02C61" w:rsidP="00F02C61">
            <w:pPr>
              <w:widowControl w:val="0"/>
              <w:spacing w:before="60" w:after="60"/>
              <w:rPr>
                <w:sz w:val="22"/>
                <w:szCs w:val="22"/>
              </w:rPr>
            </w:pPr>
            <w:r w:rsidRPr="00264D5D">
              <w:rPr>
                <w:sz w:val="22"/>
                <w:szCs w:val="22"/>
              </w:rPr>
              <w:t>С 01.04.2021 поле обязательно для заполнения для документов-оснований отличных от «извещение об осуществлении закупки», «приглашение принять участие в определении поставщика (подрядчика, исполнителя)», «проект контракта», «проект дополнительного соглашения к контракту»</w:t>
            </w:r>
          </w:p>
        </w:tc>
      </w:tr>
      <w:tr w:rsidR="00F02C61" w:rsidRPr="00264D5D" w14:paraId="07BD9893"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4" w:type="dxa"/>
          </w:tcPr>
          <w:p w14:paraId="480C1FEE" w14:textId="77777777" w:rsidR="00F02C61" w:rsidRPr="00264D5D" w:rsidRDefault="00F02C61" w:rsidP="00F02C61">
            <w:pPr>
              <w:widowControl w:val="0"/>
              <w:spacing w:before="60" w:after="60"/>
              <w:rPr>
                <w:sz w:val="22"/>
                <w:szCs w:val="22"/>
              </w:rPr>
            </w:pPr>
            <w:r w:rsidRPr="00264D5D">
              <w:rPr>
                <w:sz w:val="22"/>
                <w:szCs w:val="22"/>
              </w:rPr>
              <w:t>Предмет по документу-основанию</w:t>
            </w:r>
          </w:p>
        </w:tc>
        <w:tc>
          <w:tcPr>
            <w:tcW w:w="1704" w:type="dxa"/>
          </w:tcPr>
          <w:p w14:paraId="1431D816" w14:textId="77777777" w:rsidR="00F02C61" w:rsidRPr="00264D5D" w:rsidRDefault="00F02C61" w:rsidP="00F02C61">
            <w:pPr>
              <w:widowControl w:val="0"/>
              <w:spacing w:before="60" w:after="60"/>
              <w:jc w:val="left"/>
              <w:rPr>
                <w:sz w:val="22"/>
                <w:szCs w:val="22"/>
              </w:rPr>
            </w:pPr>
            <w:r w:rsidRPr="00264D5D">
              <w:rPr>
                <w:sz w:val="22"/>
                <w:szCs w:val="22"/>
              </w:rPr>
              <w:t>InfDcBs_SbjctDcBs</w:t>
            </w:r>
          </w:p>
        </w:tc>
        <w:tc>
          <w:tcPr>
            <w:tcW w:w="568" w:type="dxa"/>
          </w:tcPr>
          <w:p w14:paraId="573B89AD" w14:textId="77777777" w:rsidR="00F02C61" w:rsidRPr="00264D5D" w:rsidRDefault="00F02C61" w:rsidP="00F02C61">
            <w:pPr>
              <w:widowControl w:val="0"/>
              <w:spacing w:before="60" w:after="60"/>
              <w:jc w:val="center"/>
              <w:rPr>
                <w:sz w:val="22"/>
                <w:szCs w:val="22"/>
              </w:rPr>
            </w:pPr>
            <w:r w:rsidRPr="00264D5D">
              <w:rPr>
                <w:sz w:val="22"/>
                <w:szCs w:val="22"/>
              </w:rPr>
              <w:t>П</w:t>
            </w:r>
          </w:p>
        </w:tc>
        <w:tc>
          <w:tcPr>
            <w:tcW w:w="1136" w:type="dxa"/>
          </w:tcPr>
          <w:p w14:paraId="221D88D7" w14:textId="77777777" w:rsidR="00F02C61" w:rsidRPr="00264D5D" w:rsidRDefault="00F02C61" w:rsidP="00F02C61">
            <w:pPr>
              <w:widowControl w:val="0"/>
              <w:spacing w:before="60" w:after="60"/>
              <w:jc w:val="left"/>
              <w:rPr>
                <w:sz w:val="22"/>
                <w:szCs w:val="22"/>
              </w:rPr>
            </w:pPr>
            <w:r w:rsidRPr="00264D5D">
              <w:rPr>
                <w:sz w:val="22"/>
                <w:szCs w:val="22"/>
              </w:rPr>
              <w:t>Т(1-2000)</w:t>
            </w:r>
          </w:p>
        </w:tc>
        <w:tc>
          <w:tcPr>
            <w:tcW w:w="568" w:type="dxa"/>
          </w:tcPr>
          <w:p w14:paraId="62177586" w14:textId="77777777" w:rsidR="00F02C61" w:rsidRPr="00264D5D" w:rsidRDefault="00F02C61" w:rsidP="00F02C61">
            <w:pPr>
              <w:widowControl w:val="0"/>
              <w:spacing w:before="60" w:after="60"/>
              <w:jc w:val="center"/>
              <w:rPr>
                <w:sz w:val="22"/>
                <w:szCs w:val="22"/>
              </w:rPr>
            </w:pPr>
            <w:r w:rsidRPr="00264D5D">
              <w:rPr>
                <w:sz w:val="22"/>
                <w:szCs w:val="22"/>
              </w:rPr>
              <w:t>О</w:t>
            </w:r>
          </w:p>
        </w:tc>
        <w:tc>
          <w:tcPr>
            <w:tcW w:w="3970" w:type="dxa"/>
          </w:tcPr>
          <w:p w14:paraId="39047238" w14:textId="77777777" w:rsidR="00F02C61" w:rsidRPr="00264D5D" w:rsidRDefault="00F02C61" w:rsidP="00F02C61">
            <w:pPr>
              <w:widowControl w:val="0"/>
              <w:spacing w:before="60" w:after="60"/>
              <w:rPr>
                <w:sz w:val="22"/>
                <w:szCs w:val="22"/>
              </w:rPr>
            </w:pPr>
            <w:r w:rsidRPr="00264D5D">
              <w:rPr>
                <w:sz w:val="22"/>
                <w:szCs w:val="22"/>
              </w:rPr>
              <w:t xml:space="preserve">Указывается предмет по документу-основанию. </w:t>
            </w:r>
          </w:p>
          <w:p w14:paraId="7A9E8E54" w14:textId="77777777" w:rsidR="00F02C61" w:rsidRPr="00264D5D" w:rsidRDefault="00F02C61" w:rsidP="00F02C61">
            <w:pPr>
              <w:widowControl w:val="0"/>
              <w:spacing w:before="60" w:after="60"/>
              <w:rPr>
                <w:sz w:val="22"/>
                <w:szCs w:val="22"/>
              </w:rPr>
            </w:pPr>
            <w:r w:rsidRPr="00264D5D">
              <w:rPr>
                <w:sz w:val="22"/>
                <w:szCs w:val="22"/>
              </w:rPr>
              <w:t xml:space="preserve">При заполнении в поле «Вид» значения «извещение об осуществлении закупки», «приглашение принять участие в определении поставщика (подрядчика, исполнителя)», «проект контракта», «проект дополнительного соглашения к контракту», «контракт» или «договор», указывается наименование(я) объекта закупки </w:t>
            </w:r>
            <w:r w:rsidRPr="00264D5D">
              <w:rPr>
                <w:sz w:val="22"/>
                <w:szCs w:val="22"/>
              </w:rPr>
              <w:lastRenderedPageBreak/>
              <w:t xml:space="preserve">(поставляемых товаров, выполняемых работ, оказываемых услуг), указанное(ые) в контракте (договоре), извещении об осуществлении закупки, приглашении принять участие в определении поставщика (подрядчика, исполнителя), проекте контракта, проекте дополнительного соглашения к контракту. </w:t>
            </w:r>
          </w:p>
          <w:p w14:paraId="2FC7315D" w14:textId="77777777" w:rsidR="00F02C61" w:rsidRPr="00264D5D" w:rsidRDefault="00F02C61" w:rsidP="00F02C61">
            <w:pPr>
              <w:widowControl w:val="0"/>
              <w:spacing w:before="60" w:after="60"/>
              <w:rPr>
                <w:sz w:val="22"/>
                <w:szCs w:val="22"/>
              </w:rPr>
            </w:pPr>
            <w:r w:rsidRPr="00264D5D">
              <w:rPr>
                <w:sz w:val="22"/>
                <w:szCs w:val="22"/>
              </w:rPr>
              <w:t>При заполнении в поле «Вид» значения «соглашение» или «нормативный правовой акт» указывается наименование(я) цели(ей) предоставления, целевого направления, направления(ий) расходования субсидии, бюджетных инвестиций, межбюджетного трансферта или средств</w:t>
            </w:r>
          </w:p>
        </w:tc>
      </w:tr>
      <w:tr w:rsidR="00F02C61" w:rsidRPr="00264D5D" w14:paraId="40663ABA" w14:textId="77777777" w:rsidTr="00AD1F54">
        <w:trPr>
          <w:gridAfter w:val="1"/>
          <w:cnfStyle w:val="000000100000" w:firstRow="0" w:lastRow="0" w:firstColumn="0" w:lastColumn="0" w:oddVBand="0" w:evenVBand="0" w:oddHBand="1" w:evenHBand="0" w:firstRowFirstColumn="0" w:firstRowLastColumn="0" w:lastRowFirstColumn="0" w:lastRowLastColumn="0"/>
          <w:wAfter w:w="6" w:type="dxa"/>
        </w:trPr>
        <w:tc>
          <w:tcPr>
            <w:tcW w:w="1704" w:type="dxa"/>
          </w:tcPr>
          <w:p w14:paraId="0F930670" w14:textId="77777777" w:rsidR="00F02C61" w:rsidRPr="00264D5D" w:rsidRDefault="00F02C61" w:rsidP="00F02C61">
            <w:pPr>
              <w:widowControl w:val="0"/>
              <w:spacing w:before="60" w:after="60"/>
              <w:rPr>
                <w:sz w:val="22"/>
                <w:szCs w:val="22"/>
              </w:rPr>
            </w:pPr>
            <w:r w:rsidRPr="00264D5D">
              <w:rPr>
                <w:sz w:val="22"/>
                <w:szCs w:val="22"/>
              </w:rPr>
              <w:lastRenderedPageBreak/>
              <w:t>Номер БО</w:t>
            </w:r>
          </w:p>
        </w:tc>
        <w:tc>
          <w:tcPr>
            <w:tcW w:w="1704" w:type="dxa"/>
          </w:tcPr>
          <w:p w14:paraId="166AB1A9" w14:textId="77777777" w:rsidR="00F02C61" w:rsidRPr="00264D5D" w:rsidRDefault="00F02C61" w:rsidP="00F02C61">
            <w:pPr>
              <w:widowControl w:val="0"/>
              <w:spacing w:before="60" w:after="60"/>
              <w:jc w:val="left"/>
              <w:rPr>
                <w:sz w:val="22"/>
                <w:szCs w:val="22"/>
              </w:rPr>
            </w:pPr>
            <w:r w:rsidRPr="00264D5D">
              <w:rPr>
                <w:sz w:val="22"/>
                <w:szCs w:val="22"/>
              </w:rPr>
              <w:t>InfDcBs_RegisNmbrBO</w:t>
            </w:r>
          </w:p>
        </w:tc>
        <w:tc>
          <w:tcPr>
            <w:tcW w:w="568" w:type="dxa"/>
          </w:tcPr>
          <w:p w14:paraId="162E5200" w14:textId="77777777" w:rsidR="00F02C61" w:rsidRPr="00264D5D" w:rsidRDefault="00F02C61" w:rsidP="00F02C61">
            <w:pPr>
              <w:widowControl w:val="0"/>
              <w:spacing w:before="60" w:after="60"/>
              <w:jc w:val="center"/>
              <w:rPr>
                <w:sz w:val="22"/>
                <w:szCs w:val="22"/>
              </w:rPr>
            </w:pPr>
            <w:r w:rsidRPr="00264D5D">
              <w:rPr>
                <w:sz w:val="22"/>
                <w:szCs w:val="22"/>
              </w:rPr>
              <w:t>П</w:t>
            </w:r>
          </w:p>
        </w:tc>
        <w:tc>
          <w:tcPr>
            <w:tcW w:w="1136" w:type="dxa"/>
          </w:tcPr>
          <w:p w14:paraId="0A0C86EC" w14:textId="77777777" w:rsidR="00F02C61" w:rsidRPr="00264D5D" w:rsidRDefault="00F02C61" w:rsidP="00F02C61">
            <w:pPr>
              <w:widowControl w:val="0"/>
              <w:spacing w:before="60" w:after="60"/>
              <w:jc w:val="left"/>
              <w:rPr>
                <w:sz w:val="22"/>
                <w:szCs w:val="22"/>
              </w:rPr>
            </w:pPr>
            <w:r w:rsidRPr="00264D5D">
              <w:rPr>
                <w:sz w:val="22"/>
                <w:szCs w:val="22"/>
              </w:rPr>
              <w:t>Т(16) или Т (19)</w:t>
            </w:r>
          </w:p>
        </w:tc>
        <w:tc>
          <w:tcPr>
            <w:tcW w:w="568" w:type="dxa"/>
          </w:tcPr>
          <w:p w14:paraId="1DA0B2B3" w14:textId="77777777" w:rsidR="00F02C61" w:rsidRPr="00264D5D" w:rsidRDefault="00F02C61" w:rsidP="00F02C61">
            <w:pPr>
              <w:widowControl w:val="0"/>
              <w:spacing w:before="60" w:after="60"/>
              <w:jc w:val="center"/>
              <w:rPr>
                <w:sz w:val="22"/>
                <w:szCs w:val="22"/>
              </w:rPr>
            </w:pPr>
            <w:r w:rsidRPr="00264D5D">
              <w:rPr>
                <w:sz w:val="22"/>
                <w:szCs w:val="22"/>
              </w:rPr>
              <w:t>Н</w:t>
            </w:r>
          </w:p>
        </w:tc>
        <w:tc>
          <w:tcPr>
            <w:tcW w:w="3970" w:type="dxa"/>
          </w:tcPr>
          <w:p w14:paraId="38F441E3" w14:textId="77777777" w:rsidR="00F02C61" w:rsidRPr="00264D5D" w:rsidRDefault="00F02C61" w:rsidP="00F02C61">
            <w:pPr>
              <w:widowControl w:val="0"/>
              <w:spacing w:before="60" w:after="60"/>
              <w:rPr>
                <w:sz w:val="22"/>
                <w:szCs w:val="22"/>
              </w:rPr>
            </w:pPr>
            <w:r w:rsidRPr="00264D5D">
              <w:rPr>
                <w:sz w:val="22"/>
                <w:szCs w:val="22"/>
              </w:rPr>
              <w:t>Указывается учетный номер бюджетного обязательства.</w:t>
            </w:r>
          </w:p>
          <w:p w14:paraId="0D907889" w14:textId="77777777" w:rsidR="00F02C61" w:rsidRPr="00264D5D" w:rsidRDefault="00F02C61" w:rsidP="00F02C61">
            <w:pPr>
              <w:widowControl w:val="0"/>
              <w:spacing w:before="60" w:after="60"/>
              <w:rPr>
                <w:sz w:val="22"/>
                <w:szCs w:val="22"/>
              </w:rPr>
            </w:pPr>
            <w:r w:rsidRPr="00264D5D">
              <w:rPr>
                <w:sz w:val="22"/>
                <w:szCs w:val="22"/>
              </w:rPr>
              <w:t>При указании в элементе «Тип документа» значения «первичный», реквизит заполняется ТОФК.При указании в элементе «Тип документа» значения «изменения», указывается учетный номер бюджетного обязательства, ранее присвоенный ТОФК.</w:t>
            </w:r>
          </w:p>
          <w:p w14:paraId="7A6CD5CA" w14:textId="77777777" w:rsidR="00F02C61" w:rsidRPr="00264D5D" w:rsidRDefault="00F02C61" w:rsidP="00F02C61">
            <w:pPr>
              <w:widowControl w:val="0"/>
              <w:spacing w:before="60" w:after="60"/>
              <w:rPr>
                <w:sz w:val="22"/>
                <w:szCs w:val="22"/>
              </w:rPr>
            </w:pPr>
            <w:r w:rsidRPr="00264D5D">
              <w:rPr>
                <w:sz w:val="22"/>
                <w:szCs w:val="22"/>
              </w:rPr>
              <w:t>Для БО, принятых на учет до 31.12.2015, размерность поля устанавливается как «=16».</w:t>
            </w:r>
          </w:p>
          <w:p w14:paraId="3C52A529" w14:textId="77777777" w:rsidR="00F02C61" w:rsidRPr="00264D5D" w:rsidRDefault="00F02C61" w:rsidP="00F02C61">
            <w:pPr>
              <w:widowControl w:val="0"/>
              <w:spacing w:before="60" w:after="60"/>
              <w:rPr>
                <w:sz w:val="22"/>
                <w:szCs w:val="22"/>
              </w:rPr>
            </w:pPr>
            <w:r w:rsidRPr="00264D5D">
              <w:rPr>
                <w:sz w:val="22"/>
                <w:szCs w:val="22"/>
              </w:rPr>
              <w:t>Для БО, принятых на учет после 01.01.2016, размерность поля устанавливается как «=19».</w:t>
            </w:r>
          </w:p>
          <w:p w14:paraId="4996FC9F" w14:textId="77777777" w:rsidR="00F02C61" w:rsidRPr="00264D5D" w:rsidRDefault="00F02C61" w:rsidP="00F02C61">
            <w:pPr>
              <w:pStyle w:val="ASFKTablenorm"/>
              <w:widowControl w:val="0"/>
              <w:contextualSpacing w:val="0"/>
              <w:rPr>
                <w:sz w:val="22"/>
                <w:szCs w:val="22"/>
              </w:rPr>
            </w:pPr>
            <w:r w:rsidRPr="00264D5D">
              <w:rPr>
                <w:sz w:val="22"/>
                <w:szCs w:val="22"/>
              </w:rPr>
              <w:t xml:space="preserve">Поле обязательно для заполнения при направлении документа из </w:t>
            </w:r>
            <w:r>
              <w:rPr>
                <w:sz w:val="22"/>
                <w:szCs w:val="22"/>
              </w:rPr>
              <w:t>ТОФК (ПУР ЭБ)</w:t>
            </w:r>
            <w:r w:rsidRPr="00264D5D">
              <w:rPr>
                <w:sz w:val="22"/>
                <w:szCs w:val="22"/>
              </w:rPr>
              <w:t xml:space="preserve"> в </w:t>
            </w:r>
            <w:r>
              <w:rPr>
                <w:sz w:val="22"/>
                <w:szCs w:val="22"/>
              </w:rPr>
              <w:t>ТОФК (ППО АСФК)</w:t>
            </w:r>
            <w:r w:rsidRPr="00264D5D">
              <w:rPr>
                <w:sz w:val="22"/>
                <w:szCs w:val="22"/>
              </w:rPr>
              <w:t xml:space="preserve"> и из </w:t>
            </w:r>
            <w:r>
              <w:rPr>
                <w:sz w:val="22"/>
                <w:szCs w:val="22"/>
              </w:rPr>
              <w:t>ТОФК (ПУР ЭБ)</w:t>
            </w:r>
            <w:r w:rsidRPr="00264D5D">
              <w:rPr>
                <w:sz w:val="22"/>
                <w:szCs w:val="22"/>
              </w:rPr>
              <w:t xml:space="preserve"> в ПФХД</w:t>
            </w:r>
          </w:p>
        </w:tc>
      </w:tr>
      <w:tr w:rsidR="00F02C61" w:rsidRPr="00264D5D" w14:paraId="6DEDE334"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4" w:type="dxa"/>
          </w:tcPr>
          <w:p w14:paraId="2CE7B8AE" w14:textId="77777777" w:rsidR="00F02C61" w:rsidRPr="00264D5D" w:rsidRDefault="00F02C61" w:rsidP="00F02C61">
            <w:pPr>
              <w:widowControl w:val="0"/>
              <w:spacing w:before="60" w:after="60"/>
              <w:rPr>
                <w:sz w:val="22"/>
                <w:szCs w:val="22"/>
              </w:rPr>
            </w:pPr>
            <w:r w:rsidRPr="00264D5D">
              <w:rPr>
                <w:sz w:val="22"/>
                <w:szCs w:val="22"/>
              </w:rPr>
              <w:t>Номер реестровой записи в реестре контрактов/ реестре соглашений</w:t>
            </w:r>
          </w:p>
        </w:tc>
        <w:tc>
          <w:tcPr>
            <w:tcW w:w="1704" w:type="dxa"/>
          </w:tcPr>
          <w:p w14:paraId="50A4AD26" w14:textId="77777777" w:rsidR="00F02C61" w:rsidRPr="00264D5D" w:rsidRDefault="00F02C61" w:rsidP="00F02C61">
            <w:pPr>
              <w:pStyle w:val="EBTablenorm"/>
              <w:widowControl w:val="0"/>
              <w:ind w:left="57" w:right="57"/>
              <w:contextualSpacing w:val="0"/>
              <w:jc w:val="left"/>
              <w:rPr>
                <w:sz w:val="22"/>
                <w:szCs w:val="22"/>
              </w:rPr>
            </w:pPr>
            <w:r w:rsidRPr="00264D5D">
              <w:rPr>
                <w:sz w:val="22"/>
                <w:szCs w:val="22"/>
              </w:rPr>
              <w:t>InfDcBs_RegisNmbRg</w:t>
            </w:r>
          </w:p>
        </w:tc>
        <w:tc>
          <w:tcPr>
            <w:tcW w:w="568" w:type="dxa"/>
          </w:tcPr>
          <w:p w14:paraId="58935EA6" w14:textId="77777777" w:rsidR="00F02C61" w:rsidRPr="00264D5D" w:rsidRDefault="00F02C61" w:rsidP="00F02C61">
            <w:pPr>
              <w:widowControl w:val="0"/>
              <w:spacing w:before="60" w:after="60"/>
              <w:jc w:val="center"/>
              <w:rPr>
                <w:sz w:val="22"/>
                <w:szCs w:val="22"/>
              </w:rPr>
            </w:pPr>
            <w:r w:rsidRPr="00264D5D">
              <w:rPr>
                <w:sz w:val="22"/>
                <w:szCs w:val="22"/>
              </w:rPr>
              <w:t>П</w:t>
            </w:r>
          </w:p>
        </w:tc>
        <w:tc>
          <w:tcPr>
            <w:tcW w:w="1136" w:type="dxa"/>
          </w:tcPr>
          <w:p w14:paraId="28A2E9F6" w14:textId="77777777" w:rsidR="00F02C61" w:rsidRPr="00264D5D" w:rsidRDefault="00F02C61" w:rsidP="00F02C61">
            <w:pPr>
              <w:widowControl w:val="0"/>
              <w:spacing w:before="60" w:after="60"/>
              <w:jc w:val="left"/>
              <w:rPr>
                <w:sz w:val="22"/>
                <w:szCs w:val="22"/>
              </w:rPr>
            </w:pPr>
            <w:r w:rsidRPr="00264D5D">
              <w:rPr>
                <w:sz w:val="22"/>
                <w:szCs w:val="22"/>
              </w:rPr>
              <w:t>Т(13) или Т(14) или Т(19) или Т(22)</w:t>
            </w:r>
          </w:p>
        </w:tc>
        <w:tc>
          <w:tcPr>
            <w:tcW w:w="568" w:type="dxa"/>
          </w:tcPr>
          <w:p w14:paraId="0CF64C2D" w14:textId="77777777" w:rsidR="00F02C61" w:rsidRPr="00264D5D" w:rsidRDefault="00F02C61" w:rsidP="00F02C61">
            <w:pPr>
              <w:widowControl w:val="0"/>
              <w:spacing w:before="60" w:after="60"/>
              <w:jc w:val="center"/>
              <w:rPr>
                <w:sz w:val="22"/>
                <w:szCs w:val="22"/>
              </w:rPr>
            </w:pPr>
            <w:r w:rsidRPr="00264D5D">
              <w:rPr>
                <w:sz w:val="22"/>
                <w:szCs w:val="22"/>
              </w:rPr>
              <w:t>Н</w:t>
            </w:r>
          </w:p>
        </w:tc>
        <w:tc>
          <w:tcPr>
            <w:tcW w:w="3970" w:type="dxa"/>
          </w:tcPr>
          <w:p w14:paraId="5FD50A9A" w14:textId="77777777" w:rsidR="00F02C61" w:rsidRPr="00264D5D" w:rsidRDefault="00F02C61" w:rsidP="00F02C61">
            <w:pPr>
              <w:widowControl w:val="0"/>
              <w:spacing w:before="60" w:after="60"/>
              <w:rPr>
                <w:sz w:val="22"/>
                <w:szCs w:val="22"/>
              </w:rPr>
            </w:pPr>
            <w:r w:rsidRPr="00264D5D">
              <w:rPr>
                <w:sz w:val="22"/>
                <w:szCs w:val="22"/>
              </w:rPr>
              <w:t>При указании в элементе «InfDcBs_TypeDcBs» значения «контракт» указывается уникальный номер реестровой записи, присвоенный уполномоченным органом при включении сведений о контракте в реестр контрактов.</w:t>
            </w:r>
          </w:p>
          <w:p w14:paraId="0B048EE4" w14:textId="77777777" w:rsidR="00F02C61" w:rsidRPr="00264D5D" w:rsidRDefault="00F02C61" w:rsidP="00F02C61">
            <w:pPr>
              <w:widowControl w:val="0"/>
              <w:spacing w:before="60" w:after="60"/>
              <w:rPr>
                <w:sz w:val="22"/>
                <w:szCs w:val="22"/>
              </w:rPr>
            </w:pPr>
            <w:r w:rsidRPr="00264D5D">
              <w:rPr>
                <w:sz w:val="22"/>
                <w:szCs w:val="22"/>
              </w:rPr>
              <w:lastRenderedPageBreak/>
              <w:t>При указании в элементе «InfDcBs_TypeDcBs» значений «соглашение» или «нормативный правовой акт», указывается учетный номер реестровой записи в реестре соглашений.</w:t>
            </w:r>
          </w:p>
          <w:p w14:paraId="48EA653E" w14:textId="77777777" w:rsidR="00F02C61" w:rsidRPr="00264D5D" w:rsidRDefault="00F02C61" w:rsidP="00F02C61">
            <w:pPr>
              <w:widowControl w:val="0"/>
              <w:spacing w:before="60" w:after="60"/>
              <w:rPr>
                <w:sz w:val="22"/>
                <w:szCs w:val="22"/>
              </w:rPr>
            </w:pPr>
            <w:r w:rsidRPr="00264D5D">
              <w:rPr>
                <w:sz w:val="22"/>
                <w:szCs w:val="22"/>
              </w:rPr>
              <w:t>Если бюджетное обязательство возникло из контракта, сведения о котором внесены в несекретную или в секретную часть реестра контрактов после 31.12.2013г., размерность поля устанавливается как «=19».</w:t>
            </w:r>
          </w:p>
          <w:p w14:paraId="633AE000" w14:textId="77777777" w:rsidR="00F02C61" w:rsidRPr="00264D5D" w:rsidRDefault="00F02C61" w:rsidP="00F02C61">
            <w:pPr>
              <w:widowControl w:val="0"/>
              <w:spacing w:before="60" w:after="60"/>
              <w:rPr>
                <w:sz w:val="22"/>
                <w:szCs w:val="22"/>
              </w:rPr>
            </w:pPr>
            <w:r w:rsidRPr="00264D5D">
              <w:rPr>
                <w:sz w:val="22"/>
                <w:szCs w:val="22"/>
              </w:rPr>
              <w:t>Если бюджетное обязательство возникло из контракта, сведения о котором внесены в несекретную часть реестра контрактов после 30.06.2014 г., размерность поля устанавливается как «=19», при этом указываются 1-19 разряды уникального реестрового номера в реестре ГК.</w:t>
            </w:r>
          </w:p>
          <w:p w14:paraId="64B05017" w14:textId="77777777" w:rsidR="00F02C61" w:rsidRPr="00264D5D" w:rsidRDefault="00F02C61" w:rsidP="00F02C61">
            <w:pPr>
              <w:widowControl w:val="0"/>
              <w:spacing w:before="60" w:after="60"/>
              <w:rPr>
                <w:sz w:val="22"/>
                <w:szCs w:val="22"/>
              </w:rPr>
            </w:pPr>
            <w:r w:rsidRPr="00264D5D">
              <w:rPr>
                <w:sz w:val="22"/>
                <w:szCs w:val="22"/>
              </w:rPr>
              <w:t>Если бюджетное обязательство возникло из контракта, сведения о котором внесены в секретную часть реестра контрактов до 01.01.2014г., размерность поля устанавливается как «=13».</w:t>
            </w:r>
          </w:p>
          <w:p w14:paraId="5AFD785E" w14:textId="77777777" w:rsidR="00F02C61" w:rsidRPr="00264D5D" w:rsidRDefault="00F02C61" w:rsidP="00F02C61">
            <w:pPr>
              <w:widowControl w:val="0"/>
              <w:spacing w:before="60" w:after="60"/>
              <w:rPr>
                <w:sz w:val="22"/>
                <w:szCs w:val="22"/>
              </w:rPr>
            </w:pPr>
            <w:r w:rsidRPr="00264D5D">
              <w:rPr>
                <w:sz w:val="22"/>
                <w:szCs w:val="22"/>
              </w:rPr>
              <w:t>Если бюджетное обязательство возникло из контракта, сведения о котором внесены в секретную часть реестра контрактов после 30.06.2014 г., размерность поля устанавливается как «=19», при этом указываются 9-27 разряды уникального реестрового номера в реестре ГК.</w:t>
            </w:r>
          </w:p>
          <w:p w14:paraId="48FF8B36" w14:textId="77777777" w:rsidR="00F02C61" w:rsidRPr="00264D5D" w:rsidRDefault="00F02C61" w:rsidP="00F02C61">
            <w:pPr>
              <w:widowControl w:val="0"/>
              <w:spacing w:before="60" w:after="60"/>
              <w:rPr>
                <w:sz w:val="22"/>
                <w:szCs w:val="22"/>
              </w:rPr>
            </w:pPr>
            <w:r w:rsidRPr="00264D5D">
              <w:rPr>
                <w:sz w:val="22"/>
                <w:szCs w:val="22"/>
              </w:rPr>
              <w:t>Если бюджетное обязательство возникло из соглашения или нормативного правового акта, размерность поля устанавливается как «=14» (для федерального бюджета), «=19» или «=22» (для бюджета субъектов РФ, муниципальных образований, соглашений между юридическими лицами и иными юридическими лицами).</w:t>
            </w:r>
          </w:p>
          <w:p w14:paraId="0E8C6106" w14:textId="77777777" w:rsidR="00F02C61" w:rsidRPr="00264D5D" w:rsidRDefault="00F02C61" w:rsidP="00F02C61">
            <w:pPr>
              <w:widowControl w:val="0"/>
              <w:spacing w:before="60" w:after="60"/>
              <w:rPr>
                <w:sz w:val="22"/>
                <w:szCs w:val="22"/>
              </w:rPr>
            </w:pPr>
            <w:r w:rsidRPr="00264D5D">
              <w:rPr>
                <w:sz w:val="22"/>
                <w:szCs w:val="22"/>
              </w:rPr>
              <w:t xml:space="preserve">Может не заполняться в следующих </w:t>
            </w:r>
            <w:r w:rsidRPr="00264D5D">
              <w:rPr>
                <w:sz w:val="22"/>
                <w:szCs w:val="22"/>
              </w:rPr>
              <w:lastRenderedPageBreak/>
              <w:t>случаях:</w:t>
            </w:r>
          </w:p>
          <w:p w14:paraId="3A72E4D1" w14:textId="77777777" w:rsidR="00F02C61" w:rsidRPr="00264D5D" w:rsidRDefault="00F02C61" w:rsidP="00F02C61">
            <w:pPr>
              <w:pStyle w:val="affffff"/>
              <w:widowControl w:val="0"/>
              <w:numPr>
                <w:ilvl w:val="0"/>
                <w:numId w:val="70"/>
              </w:numPr>
              <w:tabs>
                <w:tab w:val="left" w:pos="317"/>
              </w:tabs>
              <w:spacing w:before="60" w:after="60" w:line="240" w:lineRule="auto"/>
              <w:ind w:left="284" w:hanging="227"/>
              <w:rPr>
                <w:rStyle w:val="affffff0"/>
                <w:sz w:val="22"/>
                <w:szCs w:val="22"/>
              </w:rPr>
            </w:pPr>
            <w:r w:rsidRPr="00264D5D">
              <w:rPr>
                <w:rStyle w:val="affffff0"/>
                <w:sz w:val="22"/>
                <w:szCs w:val="22"/>
              </w:rPr>
              <w:t>для документа с типом «Первичные» при одновременном предоставлении в закрытый контур документов «Сведения о бюджетном обязательстве» и «Сведения о заключенном контракте (его изменении)» для включения в закрытую часть реестра контрактов;</w:t>
            </w:r>
          </w:p>
          <w:p w14:paraId="64C10442" w14:textId="77777777" w:rsidR="00F02C61" w:rsidRPr="00264D5D" w:rsidRDefault="00F02C61" w:rsidP="00F02C61">
            <w:pPr>
              <w:pStyle w:val="affffff"/>
              <w:widowControl w:val="0"/>
              <w:numPr>
                <w:ilvl w:val="0"/>
                <w:numId w:val="70"/>
              </w:numPr>
              <w:tabs>
                <w:tab w:val="left" w:pos="317"/>
              </w:tabs>
              <w:spacing w:before="60" w:after="60" w:line="240" w:lineRule="auto"/>
              <w:ind w:left="284" w:hanging="227"/>
              <w:rPr>
                <w:rStyle w:val="affffff0"/>
                <w:sz w:val="22"/>
                <w:szCs w:val="22"/>
              </w:rPr>
            </w:pPr>
            <w:r w:rsidRPr="00264D5D">
              <w:rPr>
                <w:rStyle w:val="affffff0"/>
                <w:sz w:val="22"/>
                <w:szCs w:val="22"/>
              </w:rPr>
              <w:t>для документа с типом «Изменения» при указании в элементе «InfDcBs_TypeDcBs» значения «контракт» при условии, что в документе с предыдущим номером изменения в элементе «InfDcBs_TypeDcBs» было указано значение «извещение об осуществлении закупки» или «приглашение принять участие в определении поставщика (подрядчика, исполнителя)» при одновременном предоставлении в закрытый контур документов «Сведения о бюджетном обязательстве» и «Сведения о заключенном контракте (его изменении)» для включения в закрытую часть реестра контрактов;</w:t>
            </w:r>
          </w:p>
          <w:p w14:paraId="5BCD4C1D" w14:textId="77777777" w:rsidR="00F02C61" w:rsidRPr="00264D5D" w:rsidRDefault="00F02C61" w:rsidP="00F02C61">
            <w:pPr>
              <w:pStyle w:val="affffff"/>
              <w:widowControl w:val="0"/>
              <w:numPr>
                <w:ilvl w:val="0"/>
                <w:numId w:val="70"/>
              </w:numPr>
              <w:tabs>
                <w:tab w:val="left" w:pos="317"/>
              </w:tabs>
              <w:spacing w:before="60" w:after="60" w:line="240" w:lineRule="auto"/>
              <w:ind w:left="284" w:hanging="227"/>
              <w:rPr>
                <w:color w:val="212121"/>
                <w:sz w:val="22"/>
                <w:szCs w:val="22"/>
              </w:rPr>
            </w:pPr>
            <w:r w:rsidRPr="00264D5D">
              <w:rPr>
                <w:rStyle w:val="affffff0"/>
                <w:sz w:val="22"/>
                <w:szCs w:val="22"/>
              </w:rPr>
              <w:t>в документе в элементе «RcpBdjt_NmBdgt» указан бюджет, отличный от федерального бюджета, схемой кассового обслуживания которого предусмотрен порядок учета бюджетных обязательств без осуществления сверки со сведениями в реестре контрактов</w:t>
            </w:r>
          </w:p>
        </w:tc>
      </w:tr>
      <w:tr w:rsidR="00F02C61" w:rsidRPr="00264D5D" w14:paraId="3362E1FF" w14:textId="77777777" w:rsidTr="00AD1F54">
        <w:trPr>
          <w:gridAfter w:val="1"/>
          <w:cnfStyle w:val="000000100000" w:firstRow="0" w:lastRow="0" w:firstColumn="0" w:lastColumn="0" w:oddVBand="0" w:evenVBand="0" w:oddHBand="1" w:evenHBand="0" w:firstRowFirstColumn="0" w:firstRowLastColumn="0" w:lastRowFirstColumn="0" w:lastRowLastColumn="0"/>
          <w:wAfter w:w="6" w:type="dxa"/>
        </w:trPr>
        <w:tc>
          <w:tcPr>
            <w:tcW w:w="1704" w:type="dxa"/>
          </w:tcPr>
          <w:p w14:paraId="5A322698" w14:textId="77777777" w:rsidR="00F02C61" w:rsidRPr="00264D5D" w:rsidRDefault="00F02C61" w:rsidP="00F02C61">
            <w:pPr>
              <w:pStyle w:val="EBTablenorm"/>
              <w:widowControl w:val="0"/>
              <w:ind w:left="57" w:right="57"/>
              <w:contextualSpacing w:val="0"/>
              <w:jc w:val="left"/>
              <w:rPr>
                <w:sz w:val="22"/>
                <w:szCs w:val="22"/>
              </w:rPr>
            </w:pPr>
            <w:r w:rsidRPr="00264D5D">
              <w:rPr>
                <w:sz w:val="22"/>
                <w:szCs w:val="22"/>
              </w:rPr>
              <w:lastRenderedPageBreak/>
              <w:t>Идентификатор</w:t>
            </w:r>
          </w:p>
        </w:tc>
        <w:tc>
          <w:tcPr>
            <w:tcW w:w="1704" w:type="dxa"/>
          </w:tcPr>
          <w:p w14:paraId="50FF73DA" w14:textId="77777777" w:rsidR="00F02C61" w:rsidRPr="00264D5D" w:rsidRDefault="00F02C61" w:rsidP="00F02C61">
            <w:pPr>
              <w:pStyle w:val="EBTablenorm"/>
              <w:widowControl w:val="0"/>
              <w:ind w:left="57" w:right="57"/>
              <w:contextualSpacing w:val="0"/>
              <w:jc w:val="left"/>
              <w:rPr>
                <w:sz w:val="22"/>
                <w:szCs w:val="22"/>
              </w:rPr>
            </w:pPr>
            <w:r w:rsidRPr="00264D5D">
              <w:rPr>
                <w:sz w:val="22"/>
                <w:szCs w:val="22"/>
              </w:rPr>
              <w:t>InfDcBs_</w:t>
            </w:r>
            <w:r w:rsidRPr="00264D5D">
              <w:rPr>
                <w:sz w:val="22"/>
                <w:szCs w:val="22"/>
                <w:lang w:val="en-US"/>
              </w:rPr>
              <w:t>Id</w:t>
            </w:r>
            <w:r w:rsidRPr="00264D5D">
              <w:rPr>
                <w:sz w:val="22"/>
                <w:szCs w:val="22"/>
              </w:rPr>
              <w:t>C</w:t>
            </w:r>
            <w:r w:rsidRPr="00264D5D">
              <w:rPr>
                <w:sz w:val="22"/>
                <w:szCs w:val="22"/>
                <w:lang w:val="en-US"/>
              </w:rPr>
              <w:t>d</w:t>
            </w:r>
            <w:r w:rsidRPr="00264D5D">
              <w:rPr>
                <w:sz w:val="22"/>
                <w:szCs w:val="22"/>
              </w:rPr>
              <w:t>G</w:t>
            </w:r>
            <w:r w:rsidRPr="00264D5D">
              <w:rPr>
                <w:sz w:val="22"/>
                <w:szCs w:val="22"/>
                <w:lang w:val="en-US"/>
              </w:rPr>
              <w:t>k</w:t>
            </w:r>
          </w:p>
        </w:tc>
        <w:tc>
          <w:tcPr>
            <w:tcW w:w="568" w:type="dxa"/>
          </w:tcPr>
          <w:p w14:paraId="730C5BD7" w14:textId="77777777" w:rsidR="00F02C61" w:rsidRPr="00264D5D" w:rsidRDefault="00F02C61" w:rsidP="00F02C61">
            <w:pPr>
              <w:widowControl w:val="0"/>
              <w:spacing w:before="60" w:after="60"/>
              <w:jc w:val="center"/>
              <w:rPr>
                <w:sz w:val="22"/>
                <w:szCs w:val="22"/>
              </w:rPr>
            </w:pPr>
            <w:r w:rsidRPr="00264D5D">
              <w:rPr>
                <w:sz w:val="22"/>
                <w:szCs w:val="22"/>
              </w:rPr>
              <w:t>П</w:t>
            </w:r>
          </w:p>
        </w:tc>
        <w:tc>
          <w:tcPr>
            <w:tcW w:w="1136" w:type="dxa"/>
          </w:tcPr>
          <w:p w14:paraId="3C2C4BA7" w14:textId="77777777" w:rsidR="00F02C61" w:rsidRPr="00264D5D" w:rsidRDefault="00F02C61" w:rsidP="00F02C61">
            <w:pPr>
              <w:widowControl w:val="0"/>
              <w:spacing w:before="60" w:after="60"/>
              <w:jc w:val="left"/>
              <w:rPr>
                <w:sz w:val="22"/>
                <w:szCs w:val="22"/>
                <w:lang w:val="en-US"/>
              </w:rPr>
            </w:pPr>
            <w:r w:rsidRPr="00264D5D">
              <w:rPr>
                <w:sz w:val="22"/>
                <w:szCs w:val="22"/>
              </w:rPr>
              <w:t>Т(</w:t>
            </w:r>
            <w:r w:rsidRPr="00264D5D">
              <w:rPr>
                <w:sz w:val="22"/>
                <w:szCs w:val="22"/>
                <w:lang w:val="en-US"/>
              </w:rPr>
              <w:t>20</w:t>
            </w:r>
            <w:r w:rsidRPr="00264D5D">
              <w:rPr>
                <w:sz w:val="22"/>
                <w:szCs w:val="22"/>
              </w:rPr>
              <w:t>) или</w:t>
            </w:r>
            <w:r w:rsidRPr="00264D5D">
              <w:rPr>
                <w:sz w:val="22"/>
                <w:szCs w:val="22"/>
                <w:lang w:val="en-US"/>
              </w:rPr>
              <w:t xml:space="preserve"> Т(25)</w:t>
            </w:r>
          </w:p>
        </w:tc>
        <w:tc>
          <w:tcPr>
            <w:tcW w:w="568" w:type="dxa"/>
          </w:tcPr>
          <w:p w14:paraId="0A5F2BF3" w14:textId="77777777" w:rsidR="00F02C61" w:rsidRPr="00264D5D" w:rsidRDefault="00F02C61" w:rsidP="00F02C61">
            <w:pPr>
              <w:widowControl w:val="0"/>
              <w:spacing w:before="60" w:after="60"/>
              <w:jc w:val="center"/>
              <w:rPr>
                <w:sz w:val="22"/>
                <w:szCs w:val="22"/>
                <w:lang w:val="en-US"/>
              </w:rPr>
            </w:pPr>
            <w:r w:rsidRPr="00264D5D">
              <w:rPr>
                <w:sz w:val="22"/>
                <w:szCs w:val="22"/>
              </w:rPr>
              <w:t>Н</w:t>
            </w:r>
          </w:p>
        </w:tc>
        <w:tc>
          <w:tcPr>
            <w:tcW w:w="3970" w:type="dxa"/>
          </w:tcPr>
          <w:p w14:paraId="0025BA6F" w14:textId="77777777" w:rsidR="00F02C61" w:rsidRPr="00264D5D" w:rsidRDefault="00F02C61" w:rsidP="00F02C61">
            <w:pPr>
              <w:pStyle w:val="affffff"/>
              <w:widowControl w:val="0"/>
              <w:spacing w:before="60" w:after="60" w:line="240" w:lineRule="auto"/>
              <w:ind w:firstLine="0"/>
              <w:rPr>
                <w:sz w:val="22"/>
                <w:szCs w:val="22"/>
              </w:rPr>
            </w:pPr>
            <w:r w:rsidRPr="00264D5D">
              <w:rPr>
                <w:sz w:val="22"/>
                <w:szCs w:val="22"/>
              </w:rPr>
              <w:t>Указывается идентификатор государственного контракта (контракта, проекта контракта, договора, соглашения) (при наличии).</w:t>
            </w:r>
          </w:p>
          <w:p w14:paraId="426DEDCB" w14:textId="77777777" w:rsidR="00F02C61" w:rsidRPr="00264D5D" w:rsidRDefault="00F02C61" w:rsidP="00F02C61">
            <w:pPr>
              <w:widowControl w:val="0"/>
              <w:spacing w:before="60" w:after="60"/>
              <w:rPr>
                <w:sz w:val="22"/>
                <w:szCs w:val="22"/>
              </w:rPr>
            </w:pPr>
            <w:r w:rsidRPr="00264D5D">
              <w:rPr>
                <w:sz w:val="22"/>
                <w:szCs w:val="22"/>
              </w:rPr>
              <w:t xml:space="preserve">Может заполняться, если в элементе «Вид» указаны значения «контракт», «договор», </w:t>
            </w:r>
            <w:r w:rsidRPr="00264D5D">
              <w:rPr>
                <w:sz w:val="22"/>
                <w:szCs w:val="22"/>
                <w:lang w:eastAsia="en-US"/>
              </w:rPr>
              <w:t>«проект контракта»,</w:t>
            </w:r>
            <w:r w:rsidRPr="00264D5D">
              <w:rPr>
                <w:sz w:val="22"/>
                <w:szCs w:val="22"/>
              </w:rPr>
              <w:t xml:space="preserve"> «соглашение», «нормативный правовой акт».</w:t>
            </w:r>
          </w:p>
          <w:p w14:paraId="0E486ACE" w14:textId="77777777" w:rsidR="00F02C61" w:rsidRPr="00264D5D" w:rsidRDefault="00F02C61" w:rsidP="00F02C61">
            <w:pPr>
              <w:widowControl w:val="0"/>
              <w:spacing w:before="60" w:after="60"/>
              <w:rPr>
                <w:sz w:val="22"/>
                <w:szCs w:val="22"/>
              </w:rPr>
            </w:pPr>
            <w:r w:rsidRPr="00264D5D">
              <w:rPr>
                <w:sz w:val="22"/>
                <w:szCs w:val="22"/>
              </w:rPr>
              <w:lastRenderedPageBreak/>
              <w:t>Заполняется значением 20 или 25 символов.</w:t>
            </w:r>
          </w:p>
          <w:p w14:paraId="0B360B79" w14:textId="77777777" w:rsidR="00F02C61" w:rsidRPr="00264D5D" w:rsidRDefault="00F02C61" w:rsidP="00F02C61">
            <w:pPr>
              <w:widowControl w:val="0"/>
              <w:spacing w:before="60" w:after="60"/>
              <w:rPr>
                <w:sz w:val="22"/>
                <w:szCs w:val="22"/>
              </w:rPr>
            </w:pPr>
            <w:r w:rsidRPr="00264D5D">
              <w:rPr>
                <w:sz w:val="22"/>
                <w:szCs w:val="22"/>
              </w:rPr>
              <w:t>Обязателен для заполнения, если значение поля «Тип сведений» равно «1» и значение поля «Признак казначейского сопровождения» равно «1»</w:t>
            </w:r>
          </w:p>
        </w:tc>
      </w:tr>
      <w:tr w:rsidR="00F02C61" w:rsidRPr="00264D5D" w14:paraId="6F18093B"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4" w:type="dxa"/>
          </w:tcPr>
          <w:p w14:paraId="7384C096" w14:textId="77777777" w:rsidR="00F02C61" w:rsidRPr="00264D5D" w:rsidRDefault="00F02C61" w:rsidP="00F02C61">
            <w:pPr>
              <w:pStyle w:val="EBTablenorm"/>
              <w:widowControl w:val="0"/>
              <w:ind w:left="57" w:right="57"/>
              <w:contextualSpacing w:val="0"/>
              <w:jc w:val="left"/>
              <w:rPr>
                <w:sz w:val="22"/>
                <w:szCs w:val="22"/>
              </w:rPr>
            </w:pPr>
            <w:r w:rsidRPr="00264D5D">
              <w:rPr>
                <w:sz w:val="22"/>
                <w:szCs w:val="22"/>
              </w:rPr>
              <w:lastRenderedPageBreak/>
              <w:t>Признак казначейского сопровождения</w:t>
            </w:r>
          </w:p>
        </w:tc>
        <w:tc>
          <w:tcPr>
            <w:tcW w:w="1704" w:type="dxa"/>
          </w:tcPr>
          <w:p w14:paraId="46DD293C" w14:textId="77777777" w:rsidR="00F02C61" w:rsidRPr="00264D5D" w:rsidRDefault="00F02C61" w:rsidP="00F02C61">
            <w:pPr>
              <w:pStyle w:val="EBTablenorm"/>
              <w:widowControl w:val="0"/>
              <w:ind w:left="57" w:right="57"/>
              <w:contextualSpacing w:val="0"/>
              <w:jc w:val="left"/>
              <w:rPr>
                <w:sz w:val="22"/>
                <w:szCs w:val="22"/>
                <w:lang w:val="en-US"/>
              </w:rPr>
            </w:pPr>
            <w:r w:rsidRPr="00264D5D">
              <w:rPr>
                <w:sz w:val="22"/>
                <w:szCs w:val="22"/>
              </w:rPr>
              <w:t>InfDcBs_</w:t>
            </w:r>
            <w:r w:rsidRPr="00264D5D">
              <w:rPr>
                <w:sz w:val="22"/>
                <w:szCs w:val="22"/>
                <w:lang w:val="en-US"/>
              </w:rPr>
              <w:t>SgnKS</w:t>
            </w:r>
          </w:p>
        </w:tc>
        <w:tc>
          <w:tcPr>
            <w:tcW w:w="568" w:type="dxa"/>
          </w:tcPr>
          <w:p w14:paraId="2D83CE9F" w14:textId="77777777" w:rsidR="00F02C61" w:rsidRPr="00264D5D" w:rsidRDefault="00F02C61" w:rsidP="00F02C61">
            <w:pPr>
              <w:widowControl w:val="0"/>
              <w:spacing w:before="60" w:after="60"/>
              <w:jc w:val="center"/>
              <w:rPr>
                <w:sz w:val="22"/>
                <w:szCs w:val="22"/>
              </w:rPr>
            </w:pPr>
            <w:r w:rsidRPr="00264D5D">
              <w:rPr>
                <w:sz w:val="22"/>
                <w:szCs w:val="22"/>
              </w:rPr>
              <w:t>П</w:t>
            </w:r>
          </w:p>
        </w:tc>
        <w:tc>
          <w:tcPr>
            <w:tcW w:w="1136" w:type="dxa"/>
          </w:tcPr>
          <w:p w14:paraId="349A6BD9" w14:textId="77777777" w:rsidR="00F02C61" w:rsidRPr="00264D5D" w:rsidRDefault="00F02C61" w:rsidP="00F02C61">
            <w:pPr>
              <w:widowControl w:val="0"/>
              <w:spacing w:before="60" w:after="60"/>
              <w:jc w:val="left"/>
              <w:rPr>
                <w:sz w:val="22"/>
                <w:szCs w:val="22"/>
              </w:rPr>
            </w:pPr>
            <w:r w:rsidRPr="00264D5D">
              <w:rPr>
                <w:sz w:val="22"/>
                <w:szCs w:val="22"/>
                <w:lang w:val="en-US"/>
              </w:rPr>
              <w:t>BOOLEAN</w:t>
            </w:r>
          </w:p>
        </w:tc>
        <w:tc>
          <w:tcPr>
            <w:tcW w:w="568" w:type="dxa"/>
          </w:tcPr>
          <w:p w14:paraId="2328459E" w14:textId="77777777" w:rsidR="00F02C61" w:rsidRPr="00264D5D" w:rsidRDefault="00F02C61" w:rsidP="00F02C61">
            <w:pPr>
              <w:widowControl w:val="0"/>
              <w:spacing w:before="60" w:after="60"/>
              <w:jc w:val="center"/>
              <w:rPr>
                <w:sz w:val="22"/>
                <w:szCs w:val="22"/>
              </w:rPr>
            </w:pPr>
            <w:r w:rsidRPr="00264D5D">
              <w:rPr>
                <w:sz w:val="22"/>
                <w:szCs w:val="22"/>
              </w:rPr>
              <w:t>О</w:t>
            </w:r>
          </w:p>
        </w:tc>
        <w:tc>
          <w:tcPr>
            <w:tcW w:w="3970" w:type="dxa"/>
          </w:tcPr>
          <w:p w14:paraId="5B037372" w14:textId="77777777" w:rsidR="00F02C61" w:rsidRPr="00264D5D" w:rsidRDefault="00F02C61" w:rsidP="00F02C61">
            <w:pPr>
              <w:pStyle w:val="affffff"/>
              <w:widowControl w:val="0"/>
              <w:spacing w:before="60" w:after="60" w:line="240" w:lineRule="auto"/>
              <w:ind w:firstLine="0"/>
              <w:rPr>
                <w:sz w:val="22"/>
                <w:szCs w:val="22"/>
              </w:rPr>
            </w:pPr>
            <w:r w:rsidRPr="00264D5D">
              <w:rPr>
                <w:sz w:val="22"/>
                <w:szCs w:val="22"/>
              </w:rPr>
              <w:t>Признак казначейского сопровождения контракта, проекта контракта, договора, соглашения, нормативного правового акта.</w:t>
            </w:r>
          </w:p>
          <w:p w14:paraId="2E70CD55" w14:textId="77777777" w:rsidR="00F02C61" w:rsidRPr="00264D5D" w:rsidRDefault="00F02C61" w:rsidP="00F02C61">
            <w:pPr>
              <w:pStyle w:val="affffff"/>
              <w:widowControl w:val="0"/>
              <w:spacing w:before="60" w:after="60" w:line="240" w:lineRule="auto"/>
              <w:ind w:firstLine="0"/>
              <w:rPr>
                <w:sz w:val="22"/>
                <w:szCs w:val="22"/>
              </w:rPr>
            </w:pPr>
            <w:r w:rsidRPr="00264D5D">
              <w:rPr>
                <w:sz w:val="22"/>
                <w:szCs w:val="22"/>
              </w:rPr>
              <w:t>В случае если исполнение документа-основания осуществляется по казначейскому сопровождению, то указывается значение «1» («Да»).</w:t>
            </w:r>
          </w:p>
          <w:p w14:paraId="38820574" w14:textId="77777777" w:rsidR="00F02C61" w:rsidRPr="00264D5D" w:rsidRDefault="00F02C61" w:rsidP="00F02C61">
            <w:pPr>
              <w:pStyle w:val="affffff"/>
              <w:widowControl w:val="0"/>
              <w:spacing w:before="60" w:after="60" w:line="240" w:lineRule="auto"/>
              <w:ind w:firstLine="0"/>
              <w:rPr>
                <w:sz w:val="22"/>
                <w:szCs w:val="22"/>
              </w:rPr>
            </w:pPr>
            <w:r w:rsidRPr="00264D5D">
              <w:rPr>
                <w:sz w:val="22"/>
                <w:szCs w:val="22"/>
              </w:rPr>
              <w:t>В остальных случаях указывается значение «0» («Нет»)</w:t>
            </w:r>
          </w:p>
        </w:tc>
      </w:tr>
      <w:tr w:rsidR="00F02C61" w:rsidRPr="00264D5D" w14:paraId="61ACC376" w14:textId="77777777" w:rsidTr="00AD1F54">
        <w:trPr>
          <w:gridAfter w:val="1"/>
          <w:cnfStyle w:val="000000100000" w:firstRow="0" w:lastRow="0" w:firstColumn="0" w:lastColumn="0" w:oddVBand="0" w:evenVBand="0" w:oddHBand="1" w:evenHBand="0" w:firstRowFirstColumn="0" w:firstRowLastColumn="0" w:lastRowFirstColumn="0" w:lastRowLastColumn="0"/>
          <w:wAfter w:w="6" w:type="dxa"/>
        </w:trPr>
        <w:tc>
          <w:tcPr>
            <w:tcW w:w="1704" w:type="dxa"/>
          </w:tcPr>
          <w:p w14:paraId="08271153" w14:textId="77777777" w:rsidR="00F02C61" w:rsidRPr="00260A04" w:rsidRDefault="00F02C61" w:rsidP="00F02C61">
            <w:pPr>
              <w:pStyle w:val="GOSTTablenorm"/>
              <w:rPr>
                <w:highlight w:val="green"/>
              </w:rPr>
            </w:pPr>
            <w:r w:rsidRPr="00260A04">
              <w:rPr>
                <w:highlight w:val="green"/>
              </w:rPr>
              <w:t>Признак закупки в соответствии с п.4 и п.5 ч.1 ст. 93 Федерального закона №44-ФЗ</w:t>
            </w:r>
          </w:p>
        </w:tc>
        <w:tc>
          <w:tcPr>
            <w:tcW w:w="1704" w:type="dxa"/>
          </w:tcPr>
          <w:p w14:paraId="5DD05E6A" w14:textId="77777777" w:rsidR="00F02C61" w:rsidRPr="00260A04" w:rsidRDefault="00F02C61" w:rsidP="00F02C61">
            <w:pPr>
              <w:pStyle w:val="GOSTTablenorm"/>
              <w:rPr>
                <w:highlight w:val="green"/>
              </w:rPr>
            </w:pPr>
            <w:r w:rsidRPr="00260A04">
              <w:rPr>
                <w:highlight w:val="green"/>
              </w:rPr>
              <w:t>InfDcBs_</w:t>
            </w:r>
            <w:r w:rsidRPr="00260A04">
              <w:rPr>
                <w:highlight w:val="green"/>
                <w:lang w:val="en-US"/>
              </w:rPr>
              <w:t>SmPr</w:t>
            </w:r>
          </w:p>
        </w:tc>
        <w:tc>
          <w:tcPr>
            <w:tcW w:w="568" w:type="dxa"/>
          </w:tcPr>
          <w:p w14:paraId="1DC2EA5E" w14:textId="77777777" w:rsidR="00F02C61" w:rsidRPr="00260A04" w:rsidRDefault="00F02C61" w:rsidP="00F02C61">
            <w:pPr>
              <w:pStyle w:val="GOSTTablenorm"/>
              <w:rPr>
                <w:highlight w:val="green"/>
              </w:rPr>
            </w:pPr>
            <w:r w:rsidRPr="00260A04">
              <w:rPr>
                <w:highlight w:val="green"/>
              </w:rPr>
              <w:t>П</w:t>
            </w:r>
          </w:p>
        </w:tc>
        <w:tc>
          <w:tcPr>
            <w:tcW w:w="1136" w:type="dxa"/>
          </w:tcPr>
          <w:p w14:paraId="59A5D42A" w14:textId="77777777" w:rsidR="00F02C61" w:rsidRPr="00260A04" w:rsidRDefault="00F02C61" w:rsidP="00F02C61">
            <w:pPr>
              <w:pStyle w:val="GOSTTablenorm"/>
              <w:rPr>
                <w:highlight w:val="green"/>
                <w:lang w:val="en-US"/>
              </w:rPr>
            </w:pPr>
            <w:r w:rsidRPr="00260A04">
              <w:rPr>
                <w:highlight w:val="green"/>
                <w:lang w:val="en-US"/>
              </w:rPr>
              <w:t>BOOLEAN</w:t>
            </w:r>
          </w:p>
        </w:tc>
        <w:tc>
          <w:tcPr>
            <w:tcW w:w="568" w:type="dxa"/>
          </w:tcPr>
          <w:p w14:paraId="49C93C0E" w14:textId="77777777" w:rsidR="00F02C61" w:rsidRPr="00260A04" w:rsidRDefault="00F02C61" w:rsidP="00F02C61">
            <w:pPr>
              <w:pStyle w:val="GOSTTablenorm"/>
              <w:rPr>
                <w:highlight w:val="green"/>
              </w:rPr>
            </w:pPr>
            <w:r w:rsidRPr="00260A04">
              <w:rPr>
                <w:highlight w:val="green"/>
              </w:rPr>
              <w:t>Н</w:t>
            </w:r>
          </w:p>
        </w:tc>
        <w:tc>
          <w:tcPr>
            <w:tcW w:w="3970" w:type="dxa"/>
          </w:tcPr>
          <w:p w14:paraId="4811B509" w14:textId="77777777" w:rsidR="00F02C61" w:rsidRPr="00260A04" w:rsidRDefault="00F02C61" w:rsidP="00F02C61">
            <w:pPr>
              <w:pStyle w:val="GOSTTablenorm"/>
              <w:rPr>
                <w:highlight w:val="green"/>
              </w:rPr>
            </w:pPr>
            <w:r w:rsidRPr="00260A04">
              <w:rPr>
                <w:highlight w:val="green"/>
              </w:rPr>
              <w:t>Признак закупки в соответствии с п.4 и п.5 ч.1 ст. 93 Федерального закона №44-ФЗ.</w:t>
            </w:r>
          </w:p>
          <w:p w14:paraId="6A5AECD7" w14:textId="77777777" w:rsidR="00F02C61" w:rsidRPr="00260A04" w:rsidRDefault="00F02C61" w:rsidP="00F02C61">
            <w:pPr>
              <w:pStyle w:val="GOSTTablenorm"/>
              <w:rPr>
                <w:highlight w:val="green"/>
              </w:rPr>
            </w:pPr>
            <w:r w:rsidRPr="00260A04">
              <w:rPr>
                <w:highlight w:val="green"/>
              </w:rPr>
              <w:t>В случае если контракт осуществляется по закупке в соответствии с п.4 и п.5 ч.1 ст. 93 Федерального закона №44-ФЗ, то указывается значение «1» («Да»).</w:t>
            </w:r>
          </w:p>
          <w:p w14:paraId="3D3CD464" w14:textId="77777777" w:rsidR="00F02C61" w:rsidRPr="00260A04" w:rsidRDefault="00F02C61" w:rsidP="00F02C61">
            <w:pPr>
              <w:pStyle w:val="GOSTTablenorm"/>
              <w:rPr>
                <w:highlight w:val="green"/>
              </w:rPr>
            </w:pPr>
            <w:r w:rsidRPr="00260A04">
              <w:rPr>
                <w:highlight w:val="green"/>
              </w:rPr>
              <w:t>В остальных случаях указывается значение «0» («Нет»)</w:t>
            </w:r>
          </w:p>
        </w:tc>
      </w:tr>
      <w:tr w:rsidR="00F02C61" w:rsidRPr="00264D5D" w14:paraId="55668C1A"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4" w:type="dxa"/>
          </w:tcPr>
          <w:p w14:paraId="3BD37C7B" w14:textId="77777777" w:rsidR="00F02C61" w:rsidRPr="00264D5D" w:rsidRDefault="00F02C61" w:rsidP="00F02C61">
            <w:pPr>
              <w:widowControl w:val="0"/>
              <w:spacing w:before="60" w:after="60"/>
              <w:rPr>
                <w:sz w:val="22"/>
                <w:szCs w:val="22"/>
              </w:rPr>
            </w:pPr>
            <w:r w:rsidRPr="00264D5D">
              <w:rPr>
                <w:sz w:val="22"/>
                <w:szCs w:val="22"/>
              </w:rPr>
              <w:t>Сумма в валюте обязательства</w:t>
            </w:r>
          </w:p>
        </w:tc>
        <w:tc>
          <w:tcPr>
            <w:tcW w:w="1704" w:type="dxa"/>
          </w:tcPr>
          <w:p w14:paraId="3B5B42C4" w14:textId="77777777" w:rsidR="00F02C61" w:rsidRPr="00264D5D" w:rsidRDefault="00F02C61" w:rsidP="00F02C61">
            <w:pPr>
              <w:widowControl w:val="0"/>
              <w:spacing w:before="60" w:after="60"/>
              <w:jc w:val="left"/>
              <w:rPr>
                <w:sz w:val="22"/>
                <w:szCs w:val="22"/>
              </w:rPr>
            </w:pPr>
            <w:r w:rsidRPr="00264D5D">
              <w:rPr>
                <w:sz w:val="22"/>
                <w:szCs w:val="22"/>
              </w:rPr>
              <w:t>InfDcBs_SmSbsds</w:t>
            </w:r>
          </w:p>
        </w:tc>
        <w:tc>
          <w:tcPr>
            <w:tcW w:w="568" w:type="dxa"/>
          </w:tcPr>
          <w:p w14:paraId="371D2901" w14:textId="77777777" w:rsidR="00F02C61" w:rsidRPr="00264D5D" w:rsidRDefault="00F02C61" w:rsidP="00F02C61">
            <w:pPr>
              <w:widowControl w:val="0"/>
              <w:spacing w:before="60" w:after="60"/>
              <w:jc w:val="center"/>
              <w:rPr>
                <w:sz w:val="22"/>
                <w:szCs w:val="22"/>
              </w:rPr>
            </w:pPr>
            <w:r w:rsidRPr="00264D5D">
              <w:rPr>
                <w:sz w:val="22"/>
                <w:szCs w:val="22"/>
              </w:rPr>
              <w:t>П</w:t>
            </w:r>
          </w:p>
        </w:tc>
        <w:tc>
          <w:tcPr>
            <w:tcW w:w="1136" w:type="dxa"/>
          </w:tcPr>
          <w:p w14:paraId="74BACFFF" w14:textId="77777777" w:rsidR="00F02C61" w:rsidRPr="00264D5D" w:rsidRDefault="00F02C61" w:rsidP="00F02C61">
            <w:pPr>
              <w:widowControl w:val="0"/>
              <w:spacing w:before="60" w:after="60"/>
              <w:jc w:val="left"/>
              <w:rPr>
                <w:sz w:val="22"/>
                <w:szCs w:val="22"/>
              </w:rPr>
            </w:pPr>
            <w:r w:rsidRPr="00264D5D">
              <w:rPr>
                <w:sz w:val="22"/>
                <w:szCs w:val="22"/>
              </w:rPr>
              <w:t>N(20.2)</w:t>
            </w:r>
          </w:p>
        </w:tc>
        <w:tc>
          <w:tcPr>
            <w:tcW w:w="568" w:type="dxa"/>
          </w:tcPr>
          <w:p w14:paraId="3DCA522A" w14:textId="77777777" w:rsidR="00F02C61" w:rsidRPr="00264D5D" w:rsidRDefault="00F02C61" w:rsidP="00F02C61">
            <w:pPr>
              <w:widowControl w:val="0"/>
              <w:spacing w:before="60" w:after="60"/>
              <w:jc w:val="center"/>
              <w:rPr>
                <w:sz w:val="22"/>
                <w:szCs w:val="22"/>
              </w:rPr>
            </w:pPr>
            <w:r w:rsidRPr="00264D5D">
              <w:rPr>
                <w:sz w:val="22"/>
                <w:szCs w:val="22"/>
              </w:rPr>
              <w:t>О</w:t>
            </w:r>
          </w:p>
        </w:tc>
        <w:tc>
          <w:tcPr>
            <w:tcW w:w="3970" w:type="dxa"/>
          </w:tcPr>
          <w:p w14:paraId="15BED7B9" w14:textId="77777777" w:rsidR="00F02C61" w:rsidRPr="00264D5D" w:rsidRDefault="00F02C61" w:rsidP="00F02C61">
            <w:pPr>
              <w:widowControl w:val="0"/>
              <w:spacing w:before="60" w:after="60"/>
              <w:rPr>
                <w:sz w:val="22"/>
                <w:szCs w:val="22"/>
              </w:rPr>
            </w:pPr>
            <w:r w:rsidRPr="00264D5D">
              <w:rPr>
                <w:sz w:val="22"/>
                <w:szCs w:val="22"/>
              </w:rPr>
              <w:t>Сумма по документу–основанию в валюте БО</w:t>
            </w:r>
          </w:p>
        </w:tc>
      </w:tr>
      <w:tr w:rsidR="00F02C61" w:rsidRPr="00264D5D" w14:paraId="2A552A3A" w14:textId="77777777" w:rsidTr="00AD1F54">
        <w:trPr>
          <w:gridAfter w:val="1"/>
          <w:cnfStyle w:val="000000100000" w:firstRow="0" w:lastRow="0" w:firstColumn="0" w:lastColumn="0" w:oddVBand="0" w:evenVBand="0" w:oddHBand="1" w:evenHBand="0" w:firstRowFirstColumn="0" w:firstRowLastColumn="0" w:lastRowFirstColumn="0" w:lastRowLastColumn="0"/>
          <w:wAfter w:w="6" w:type="dxa"/>
        </w:trPr>
        <w:tc>
          <w:tcPr>
            <w:tcW w:w="1704" w:type="dxa"/>
          </w:tcPr>
          <w:p w14:paraId="5A19AE9D" w14:textId="77777777" w:rsidR="00F02C61" w:rsidRPr="00264D5D" w:rsidRDefault="00F02C61" w:rsidP="00F02C61">
            <w:pPr>
              <w:widowControl w:val="0"/>
              <w:spacing w:before="60" w:after="60"/>
              <w:rPr>
                <w:sz w:val="22"/>
                <w:szCs w:val="22"/>
              </w:rPr>
            </w:pPr>
            <w:r w:rsidRPr="00264D5D">
              <w:rPr>
                <w:sz w:val="22"/>
                <w:szCs w:val="22"/>
              </w:rPr>
              <w:t>Код валюты по ОКВ</w:t>
            </w:r>
          </w:p>
        </w:tc>
        <w:tc>
          <w:tcPr>
            <w:tcW w:w="1704" w:type="dxa"/>
          </w:tcPr>
          <w:p w14:paraId="264CAFD4" w14:textId="77777777" w:rsidR="00F02C61" w:rsidRPr="00264D5D" w:rsidRDefault="00F02C61" w:rsidP="00F02C61">
            <w:pPr>
              <w:widowControl w:val="0"/>
              <w:spacing w:before="60" w:after="60"/>
              <w:jc w:val="left"/>
              <w:rPr>
                <w:sz w:val="22"/>
                <w:szCs w:val="22"/>
              </w:rPr>
            </w:pPr>
            <w:r w:rsidRPr="00264D5D">
              <w:rPr>
                <w:sz w:val="22"/>
                <w:szCs w:val="22"/>
              </w:rPr>
              <w:t>InfDcBs_CdCrrnc</w:t>
            </w:r>
          </w:p>
        </w:tc>
        <w:tc>
          <w:tcPr>
            <w:tcW w:w="568" w:type="dxa"/>
          </w:tcPr>
          <w:p w14:paraId="670215FB" w14:textId="77777777" w:rsidR="00F02C61" w:rsidRPr="00264D5D" w:rsidRDefault="00F02C61" w:rsidP="00F02C61">
            <w:pPr>
              <w:widowControl w:val="0"/>
              <w:spacing w:before="60" w:after="60"/>
              <w:jc w:val="center"/>
              <w:rPr>
                <w:sz w:val="22"/>
                <w:szCs w:val="22"/>
              </w:rPr>
            </w:pPr>
            <w:r w:rsidRPr="00264D5D">
              <w:rPr>
                <w:sz w:val="22"/>
                <w:szCs w:val="22"/>
              </w:rPr>
              <w:t>П</w:t>
            </w:r>
          </w:p>
        </w:tc>
        <w:tc>
          <w:tcPr>
            <w:tcW w:w="1136" w:type="dxa"/>
          </w:tcPr>
          <w:p w14:paraId="56122057" w14:textId="77777777" w:rsidR="00F02C61" w:rsidRPr="00264D5D" w:rsidRDefault="00F02C61" w:rsidP="00F02C61">
            <w:pPr>
              <w:widowControl w:val="0"/>
              <w:spacing w:before="60" w:after="60"/>
              <w:jc w:val="left"/>
              <w:rPr>
                <w:sz w:val="22"/>
                <w:szCs w:val="22"/>
              </w:rPr>
            </w:pPr>
            <w:r w:rsidRPr="00264D5D">
              <w:rPr>
                <w:sz w:val="22"/>
                <w:szCs w:val="22"/>
              </w:rPr>
              <w:t>Т(3)</w:t>
            </w:r>
          </w:p>
        </w:tc>
        <w:tc>
          <w:tcPr>
            <w:tcW w:w="568" w:type="dxa"/>
          </w:tcPr>
          <w:p w14:paraId="106F8180" w14:textId="77777777" w:rsidR="00F02C61" w:rsidRPr="00264D5D" w:rsidRDefault="00F02C61" w:rsidP="00F02C61">
            <w:pPr>
              <w:widowControl w:val="0"/>
              <w:spacing w:before="60" w:after="60"/>
              <w:jc w:val="center"/>
              <w:rPr>
                <w:sz w:val="22"/>
                <w:szCs w:val="22"/>
              </w:rPr>
            </w:pPr>
            <w:r w:rsidRPr="00264D5D">
              <w:rPr>
                <w:sz w:val="22"/>
                <w:szCs w:val="22"/>
              </w:rPr>
              <w:t>О</w:t>
            </w:r>
          </w:p>
        </w:tc>
        <w:tc>
          <w:tcPr>
            <w:tcW w:w="3970" w:type="dxa"/>
          </w:tcPr>
          <w:p w14:paraId="20C7C173" w14:textId="77777777" w:rsidR="00F02C61" w:rsidRPr="00264D5D" w:rsidRDefault="00F02C61" w:rsidP="00F02C61">
            <w:pPr>
              <w:widowControl w:val="0"/>
              <w:spacing w:before="60" w:after="60"/>
              <w:rPr>
                <w:sz w:val="22"/>
                <w:szCs w:val="22"/>
              </w:rPr>
            </w:pPr>
            <w:r w:rsidRPr="00264D5D">
              <w:rPr>
                <w:sz w:val="22"/>
                <w:szCs w:val="22"/>
              </w:rPr>
              <w:t>Цифровой код валюты по ОКВ</w:t>
            </w:r>
          </w:p>
        </w:tc>
      </w:tr>
      <w:tr w:rsidR="00F02C61" w:rsidRPr="00264D5D" w14:paraId="02A1404F"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4" w:type="dxa"/>
          </w:tcPr>
          <w:p w14:paraId="2041B78F" w14:textId="77777777" w:rsidR="00F02C61" w:rsidRPr="00264D5D" w:rsidRDefault="00F02C61" w:rsidP="00F02C61">
            <w:pPr>
              <w:widowControl w:val="0"/>
              <w:spacing w:before="60" w:after="60"/>
              <w:rPr>
                <w:sz w:val="22"/>
                <w:szCs w:val="22"/>
              </w:rPr>
            </w:pPr>
            <w:r w:rsidRPr="00264D5D">
              <w:rPr>
                <w:sz w:val="22"/>
                <w:szCs w:val="22"/>
              </w:rPr>
              <w:t>Сумма в валюте Российской Федерации, всего</w:t>
            </w:r>
          </w:p>
        </w:tc>
        <w:tc>
          <w:tcPr>
            <w:tcW w:w="1704" w:type="dxa"/>
          </w:tcPr>
          <w:p w14:paraId="142B9D2D" w14:textId="77777777" w:rsidR="00F02C61" w:rsidRPr="00264D5D" w:rsidRDefault="00F02C61" w:rsidP="00F02C61">
            <w:pPr>
              <w:widowControl w:val="0"/>
              <w:spacing w:before="60" w:after="60"/>
              <w:jc w:val="left"/>
              <w:rPr>
                <w:sz w:val="22"/>
                <w:szCs w:val="22"/>
              </w:rPr>
            </w:pPr>
            <w:r w:rsidRPr="00264D5D">
              <w:rPr>
                <w:sz w:val="22"/>
                <w:szCs w:val="22"/>
              </w:rPr>
              <w:t>InfDcBs_SmSbsdRUB</w:t>
            </w:r>
          </w:p>
        </w:tc>
        <w:tc>
          <w:tcPr>
            <w:tcW w:w="568" w:type="dxa"/>
          </w:tcPr>
          <w:p w14:paraId="683991F9" w14:textId="77777777" w:rsidR="00F02C61" w:rsidRPr="00264D5D" w:rsidRDefault="00F02C61" w:rsidP="00F02C61">
            <w:pPr>
              <w:widowControl w:val="0"/>
              <w:spacing w:before="60" w:after="60"/>
              <w:jc w:val="center"/>
              <w:rPr>
                <w:sz w:val="22"/>
                <w:szCs w:val="22"/>
              </w:rPr>
            </w:pPr>
            <w:r w:rsidRPr="00264D5D">
              <w:rPr>
                <w:sz w:val="22"/>
                <w:szCs w:val="22"/>
              </w:rPr>
              <w:t>П</w:t>
            </w:r>
          </w:p>
        </w:tc>
        <w:tc>
          <w:tcPr>
            <w:tcW w:w="1136" w:type="dxa"/>
          </w:tcPr>
          <w:p w14:paraId="03A1FA5E" w14:textId="77777777" w:rsidR="00F02C61" w:rsidRPr="00264D5D" w:rsidRDefault="00F02C61" w:rsidP="00F02C61">
            <w:pPr>
              <w:widowControl w:val="0"/>
              <w:spacing w:before="60" w:after="60"/>
              <w:jc w:val="left"/>
              <w:rPr>
                <w:sz w:val="22"/>
                <w:szCs w:val="22"/>
              </w:rPr>
            </w:pPr>
            <w:r w:rsidRPr="00264D5D">
              <w:rPr>
                <w:sz w:val="22"/>
                <w:szCs w:val="22"/>
              </w:rPr>
              <w:t>N(20.2)</w:t>
            </w:r>
          </w:p>
        </w:tc>
        <w:tc>
          <w:tcPr>
            <w:tcW w:w="568" w:type="dxa"/>
          </w:tcPr>
          <w:p w14:paraId="780E93C1" w14:textId="77777777" w:rsidR="00F02C61" w:rsidRPr="00264D5D" w:rsidRDefault="00F02C61" w:rsidP="00F02C61">
            <w:pPr>
              <w:widowControl w:val="0"/>
              <w:spacing w:before="60" w:after="60"/>
              <w:jc w:val="center"/>
              <w:rPr>
                <w:sz w:val="22"/>
                <w:szCs w:val="22"/>
              </w:rPr>
            </w:pPr>
            <w:r w:rsidRPr="00264D5D">
              <w:rPr>
                <w:sz w:val="22"/>
                <w:szCs w:val="22"/>
              </w:rPr>
              <w:t>О</w:t>
            </w:r>
          </w:p>
        </w:tc>
        <w:tc>
          <w:tcPr>
            <w:tcW w:w="3970" w:type="dxa"/>
          </w:tcPr>
          <w:p w14:paraId="62474860" w14:textId="77777777" w:rsidR="00F02C61" w:rsidRPr="00264D5D" w:rsidRDefault="00F02C61" w:rsidP="00F02C61">
            <w:pPr>
              <w:widowControl w:val="0"/>
              <w:spacing w:before="60" w:after="60"/>
              <w:rPr>
                <w:sz w:val="22"/>
                <w:szCs w:val="22"/>
              </w:rPr>
            </w:pPr>
            <w:r w:rsidRPr="00264D5D">
              <w:rPr>
                <w:sz w:val="22"/>
                <w:szCs w:val="22"/>
              </w:rPr>
              <w:t>Сумма по документу–основанию в валюте Российской Федерации (рублях).</w:t>
            </w:r>
          </w:p>
          <w:p w14:paraId="63B06F0D" w14:textId="77777777" w:rsidR="00F02C61" w:rsidRPr="00264D5D" w:rsidRDefault="00F02C61" w:rsidP="00F02C61">
            <w:pPr>
              <w:widowControl w:val="0"/>
              <w:spacing w:before="60" w:after="60"/>
              <w:rPr>
                <w:sz w:val="22"/>
                <w:szCs w:val="22"/>
              </w:rPr>
            </w:pPr>
            <w:r w:rsidRPr="00264D5D">
              <w:rPr>
                <w:sz w:val="22"/>
                <w:szCs w:val="22"/>
              </w:rPr>
              <w:t>Сумма в валюте Российской Федерации включает в себя сумму исполненного обязательства прошлых лет, а также сумму обязательства на текущий год и последующие годы</w:t>
            </w:r>
          </w:p>
        </w:tc>
      </w:tr>
      <w:tr w:rsidR="00F02C61" w:rsidRPr="00264D5D" w14:paraId="294EBA58" w14:textId="77777777" w:rsidTr="00AD1F54">
        <w:trPr>
          <w:gridAfter w:val="1"/>
          <w:cnfStyle w:val="000000100000" w:firstRow="0" w:lastRow="0" w:firstColumn="0" w:lastColumn="0" w:oddVBand="0" w:evenVBand="0" w:oddHBand="1" w:evenHBand="0" w:firstRowFirstColumn="0" w:firstRowLastColumn="0" w:lastRowFirstColumn="0" w:lastRowLastColumn="0"/>
          <w:wAfter w:w="6" w:type="dxa"/>
        </w:trPr>
        <w:tc>
          <w:tcPr>
            <w:tcW w:w="1704" w:type="dxa"/>
          </w:tcPr>
          <w:p w14:paraId="7F2CD077" w14:textId="77777777" w:rsidR="00F02C61" w:rsidRPr="00264D5D" w:rsidRDefault="00F02C61" w:rsidP="00F02C61">
            <w:pPr>
              <w:widowControl w:val="0"/>
              <w:spacing w:before="60" w:after="60"/>
              <w:jc w:val="left"/>
              <w:rPr>
                <w:sz w:val="22"/>
                <w:szCs w:val="22"/>
              </w:rPr>
            </w:pPr>
            <w:r w:rsidRPr="00264D5D">
              <w:rPr>
                <w:sz w:val="22"/>
                <w:szCs w:val="22"/>
              </w:rPr>
              <w:t xml:space="preserve">В том числе сумма казначейского обеспечения обязательств в </w:t>
            </w:r>
            <w:r w:rsidRPr="00264D5D">
              <w:rPr>
                <w:sz w:val="22"/>
                <w:szCs w:val="22"/>
              </w:rPr>
              <w:lastRenderedPageBreak/>
              <w:t>валюте Российской Федерации</w:t>
            </w:r>
          </w:p>
        </w:tc>
        <w:tc>
          <w:tcPr>
            <w:tcW w:w="1704" w:type="dxa"/>
          </w:tcPr>
          <w:p w14:paraId="75466728" w14:textId="77777777" w:rsidR="00F02C61" w:rsidRPr="00264D5D" w:rsidRDefault="00F02C61" w:rsidP="00F02C61">
            <w:pPr>
              <w:widowControl w:val="0"/>
              <w:spacing w:before="60" w:after="60"/>
              <w:jc w:val="left"/>
              <w:rPr>
                <w:sz w:val="22"/>
                <w:szCs w:val="22"/>
                <w:lang w:val="en-US"/>
              </w:rPr>
            </w:pPr>
            <w:r w:rsidRPr="00264D5D">
              <w:rPr>
                <w:sz w:val="22"/>
                <w:szCs w:val="22"/>
              </w:rPr>
              <w:lastRenderedPageBreak/>
              <w:t>InfDcBs</w:t>
            </w:r>
            <w:r w:rsidRPr="00264D5D">
              <w:rPr>
                <w:sz w:val="22"/>
                <w:szCs w:val="22"/>
                <w:lang w:val="en-US"/>
              </w:rPr>
              <w:t>_SmKOO</w:t>
            </w:r>
          </w:p>
        </w:tc>
        <w:tc>
          <w:tcPr>
            <w:tcW w:w="568" w:type="dxa"/>
          </w:tcPr>
          <w:p w14:paraId="28F0591A" w14:textId="77777777" w:rsidR="00F02C61" w:rsidRPr="00264D5D" w:rsidRDefault="00F02C61" w:rsidP="00F02C61">
            <w:pPr>
              <w:widowControl w:val="0"/>
              <w:spacing w:before="60" w:after="60"/>
              <w:jc w:val="center"/>
              <w:rPr>
                <w:sz w:val="22"/>
                <w:szCs w:val="22"/>
              </w:rPr>
            </w:pPr>
            <w:r w:rsidRPr="00264D5D">
              <w:rPr>
                <w:sz w:val="22"/>
                <w:szCs w:val="22"/>
              </w:rPr>
              <w:t>П</w:t>
            </w:r>
          </w:p>
        </w:tc>
        <w:tc>
          <w:tcPr>
            <w:tcW w:w="1136" w:type="dxa"/>
          </w:tcPr>
          <w:p w14:paraId="2796FFC1" w14:textId="77777777" w:rsidR="00F02C61" w:rsidRPr="00264D5D" w:rsidRDefault="00F02C61" w:rsidP="00F02C61">
            <w:pPr>
              <w:widowControl w:val="0"/>
              <w:spacing w:before="60" w:after="60"/>
              <w:jc w:val="left"/>
              <w:rPr>
                <w:sz w:val="22"/>
                <w:szCs w:val="22"/>
              </w:rPr>
            </w:pPr>
            <w:r w:rsidRPr="00264D5D">
              <w:rPr>
                <w:sz w:val="22"/>
                <w:szCs w:val="22"/>
              </w:rPr>
              <w:t>N(20.2)</w:t>
            </w:r>
          </w:p>
        </w:tc>
        <w:tc>
          <w:tcPr>
            <w:tcW w:w="568" w:type="dxa"/>
          </w:tcPr>
          <w:p w14:paraId="66DE69A0" w14:textId="77777777" w:rsidR="00F02C61" w:rsidRPr="00264D5D" w:rsidRDefault="00F02C61" w:rsidP="00F02C61">
            <w:pPr>
              <w:widowControl w:val="0"/>
              <w:spacing w:before="60" w:after="60"/>
              <w:jc w:val="center"/>
              <w:rPr>
                <w:sz w:val="22"/>
                <w:szCs w:val="22"/>
              </w:rPr>
            </w:pPr>
            <w:r w:rsidRPr="00264D5D">
              <w:rPr>
                <w:sz w:val="22"/>
                <w:szCs w:val="22"/>
              </w:rPr>
              <w:t>Н</w:t>
            </w:r>
          </w:p>
        </w:tc>
        <w:tc>
          <w:tcPr>
            <w:tcW w:w="3970" w:type="dxa"/>
          </w:tcPr>
          <w:p w14:paraId="7D870925" w14:textId="77777777" w:rsidR="00F02C61" w:rsidRPr="00264D5D" w:rsidRDefault="00F02C61" w:rsidP="00F02C61">
            <w:pPr>
              <w:widowControl w:val="0"/>
              <w:spacing w:before="60" w:after="60"/>
              <w:rPr>
                <w:sz w:val="22"/>
                <w:szCs w:val="22"/>
              </w:rPr>
            </w:pPr>
            <w:r w:rsidRPr="00264D5D">
              <w:rPr>
                <w:sz w:val="22"/>
                <w:szCs w:val="22"/>
              </w:rPr>
              <w:t xml:space="preserve">Указывается сумма казначейского обеспечения обязательств в валюте Российской Федерации (рублях), если расчеты по документу-основанию осуществляются с применением </w:t>
            </w:r>
            <w:r w:rsidRPr="00264D5D">
              <w:rPr>
                <w:sz w:val="22"/>
                <w:szCs w:val="22"/>
              </w:rPr>
              <w:lastRenderedPageBreak/>
              <w:t>казначейского обеспечения обязательств.</w:t>
            </w:r>
          </w:p>
          <w:p w14:paraId="4076D178" w14:textId="77777777" w:rsidR="00F02C61" w:rsidRPr="00264D5D" w:rsidRDefault="00F02C61" w:rsidP="00F02C61">
            <w:pPr>
              <w:widowControl w:val="0"/>
              <w:spacing w:before="60" w:after="60"/>
              <w:rPr>
                <w:sz w:val="22"/>
                <w:szCs w:val="22"/>
              </w:rPr>
            </w:pPr>
            <w:r w:rsidRPr="00264D5D">
              <w:rPr>
                <w:sz w:val="22"/>
                <w:szCs w:val="22"/>
              </w:rPr>
              <w:t>В остальных случаях не заполняется</w:t>
            </w:r>
          </w:p>
        </w:tc>
      </w:tr>
      <w:tr w:rsidR="00F02C61" w:rsidRPr="00264D5D" w14:paraId="51BEDAB3"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4" w:type="dxa"/>
          </w:tcPr>
          <w:p w14:paraId="4C4F7BF6" w14:textId="77777777" w:rsidR="00F02C61" w:rsidRPr="00264D5D" w:rsidRDefault="00F02C61" w:rsidP="00F02C61">
            <w:pPr>
              <w:widowControl w:val="0"/>
              <w:spacing w:before="60" w:after="60"/>
              <w:rPr>
                <w:sz w:val="22"/>
                <w:szCs w:val="22"/>
              </w:rPr>
            </w:pPr>
            <w:r w:rsidRPr="00264D5D">
              <w:rPr>
                <w:sz w:val="22"/>
                <w:szCs w:val="22"/>
              </w:rPr>
              <w:lastRenderedPageBreak/>
              <w:t>Процент платежа, требующего подтверждения, от общей суммы</w:t>
            </w:r>
            <w:r w:rsidRPr="00264D5D">
              <w:rPr>
                <w:color w:val="000000"/>
                <w:sz w:val="22"/>
                <w:szCs w:val="22"/>
              </w:rPr>
              <w:t xml:space="preserve"> </w:t>
            </w:r>
            <w:r w:rsidRPr="00264D5D">
              <w:rPr>
                <w:sz w:val="22"/>
                <w:szCs w:val="22"/>
              </w:rPr>
              <w:t>бюджетного обязательства</w:t>
            </w:r>
          </w:p>
        </w:tc>
        <w:tc>
          <w:tcPr>
            <w:tcW w:w="1704" w:type="dxa"/>
          </w:tcPr>
          <w:p w14:paraId="20537CD6" w14:textId="77777777" w:rsidR="00F02C61" w:rsidRPr="00264D5D" w:rsidRDefault="00F02C61" w:rsidP="00F02C61">
            <w:pPr>
              <w:widowControl w:val="0"/>
              <w:spacing w:before="60" w:after="60"/>
              <w:jc w:val="left"/>
              <w:rPr>
                <w:sz w:val="22"/>
                <w:szCs w:val="22"/>
                <w:lang w:val="en-US"/>
              </w:rPr>
            </w:pPr>
            <w:r w:rsidRPr="00264D5D">
              <w:rPr>
                <w:sz w:val="22"/>
                <w:szCs w:val="22"/>
              </w:rPr>
              <w:t>InfDcBs_AdvncPy</w:t>
            </w:r>
          </w:p>
        </w:tc>
        <w:tc>
          <w:tcPr>
            <w:tcW w:w="568" w:type="dxa"/>
          </w:tcPr>
          <w:p w14:paraId="3DE8E9DF" w14:textId="77777777" w:rsidR="00F02C61" w:rsidRPr="00264D5D" w:rsidRDefault="00F02C61" w:rsidP="00F02C61">
            <w:pPr>
              <w:widowControl w:val="0"/>
              <w:spacing w:before="60" w:after="60"/>
              <w:jc w:val="center"/>
              <w:rPr>
                <w:sz w:val="22"/>
                <w:szCs w:val="22"/>
              </w:rPr>
            </w:pPr>
            <w:r w:rsidRPr="00264D5D">
              <w:rPr>
                <w:sz w:val="22"/>
                <w:szCs w:val="22"/>
              </w:rPr>
              <w:t>П</w:t>
            </w:r>
          </w:p>
        </w:tc>
        <w:tc>
          <w:tcPr>
            <w:tcW w:w="1136" w:type="dxa"/>
          </w:tcPr>
          <w:p w14:paraId="2B60D878" w14:textId="77777777" w:rsidR="00F02C61" w:rsidRPr="00264D5D" w:rsidRDefault="00F02C61" w:rsidP="00F02C61">
            <w:pPr>
              <w:widowControl w:val="0"/>
              <w:spacing w:before="60" w:after="60"/>
              <w:jc w:val="left"/>
              <w:rPr>
                <w:sz w:val="22"/>
                <w:szCs w:val="22"/>
              </w:rPr>
            </w:pPr>
            <w:r w:rsidRPr="00264D5D">
              <w:rPr>
                <w:sz w:val="22"/>
                <w:szCs w:val="22"/>
              </w:rPr>
              <w:t>N(5.2)</w:t>
            </w:r>
          </w:p>
        </w:tc>
        <w:tc>
          <w:tcPr>
            <w:tcW w:w="568" w:type="dxa"/>
          </w:tcPr>
          <w:p w14:paraId="3D5D3FDF" w14:textId="77777777" w:rsidR="00F02C61" w:rsidRPr="00264D5D" w:rsidRDefault="00F02C61" w:rsidP="00F02C61">
            <w:pPr>
              <w:widowControl w:val="0"/>
              <w:spacing w:before="60" w:after="60"/>
              <w:jc w:val="center"/>
              <w:rPr>
                <w:sz w:val="22"/>
                <w:szCs w:val="22"/>
              </w:rPr>
            </w:pPr>
            <w:r w:rsidRPr="00264D5D">
              <w:rPr>
                <w:sz w:val="22"/>
                <w:szCs w:val="22"/>
              </w:rPr>
              <w:t>Н</w:t>
            </w:r>
          </w:p>
        </w:tc>
        <w:tc>
          <w:tcPr>
            <w:tcW w:w="3970" w:type="dxa"/>
          </w:tcPr>
          <w:p w14:paraId="3D682468" w14:textId="77777777" w:rsidR="00F02C61" w:rsidRPr="00264D5D" w:rsidRDefault="00F02C61" w:rsidP="00F02C61">
            <w:pPr>
              <w:widowControl w:val="0"/>
              <w:spacing w:before="60" w:after="60"/>
              <w:rPr>
                <w:sz w:val="22"/>
                <w:szCs w:val="22"/>
              </w:rPr>
            </w:pPr>
            <w:r w:rsidRPr="00264D5D">
              <w:rPr>
                <w:sz w:val="22"/>
                <w:szCs w:val="22"/>
              </w:rPr>
              <w:t xml:space="preserve">Указывается процент платежа (авансового платежа), требующего подтверждения, установленный документом-основанием или исчисленный от общей суммы бюджетного обязательства. </w:t>
            </w:r>
          </w:p>
          <w:p w14:paraId="5F496DD1" w14:textId="77777777" w:rsidR="00F02C61" w:rsidRPr="00264D5D" w:rsidRDefault="00F02C61" w:rsidP="00F02C61">
            <w:pPr>
              <w:widowControl w:val="0"/>
              <w:spacing w:before="60" w:after="60"/>
              <w:rPr>
                <w:sz w:val="22"/>
                <w:szCs w:val="22"/>
              </w:rPr>
            </w:pPr>
            <w:r w:rsidRPr="00264D5D">
              <w:rPr>
                <w:sz w:val="22"/>
                <w:szCs w:val="22"/>
              </w:rPr>
              <w:t>Может принимать значения от 0.01 до 100.00 включительно.</w:t>
            </w:r>
          </w:p>
          <w:p w14:paraId="1F06C212" w14:textId="77777777" w:rsidR="00F02C61" w:rsidRPr="00264D5D" w:rsidRDefault="00F02C61" w:rsidP="00F02C61">
            <w:pPr>
              <w:widowControl w:val="0"/>
              <w:spacing w:before="60" w:after="60"/>
              <w:rPr>
                <w:sz w:val="22"/>
                <w:szCs w:val="22"/>
              </w:rPr>
            </w:pPr>
            <w:r w:rsidRPr="00264D5D">
              <w:rPr>
                <w:sz w:val="22"/>
                <w:szCs w:val="22"/>
              </w:rPr>
              <w:t>Поле обязательно заполняется, если поле «Сумма платежа, требующего подтверждения» заполнено значением, отличным от «0.00».</w:t>
            </w:r>
          </w:p>
          <w:p w14:paraId="614FE987" w14:textId="77777777" w:rsidR="00F02C61" w:rsidRPr="00264D5D" w:rsidRDefault="00F02C61" w:rsidP="00F02C61">
            <w:pPr>
              <w:widowControl w:val="0"/>
              <w:spacing w:before="60" w:after="60"/>
              <w:rPr>
                <w:sz w:val="22"/>
                <w:szCs w:val="22"/>
              </w:rPr>
            </w:pPr>
            <w:r w:rsidRPr="00264D5D">
              <w:rPr>
                <w:sz w:val="22"/>
                <w:szCs w:val="22"/>
              </w:rPr>
              <w:t>Поле не заполняется, если поле «Сумма платежа, требующего подтверждения» заполнено значением «0.00» или «пусто»</w:t>
            </w:r>
          </w:p>
        </w:tc>
      </w:tr>
      <w:tr w:rsidR="00F02C61" w:rsidRPr="00264D5D" w14:paraId="6C5C372A" w14:textId="77777777" w:rsidTr="00AD1F54">
        <w:trPr>
          <w:gridAfter w:val="1"/>
          <w:cnfStyle w:val="000000100000" w:firstRow="0" w:lastRow="0" w:firstColumn="0" w:lastColumn="0" w:oddVBand="0" w:evenVBand="0" w:oddHBand="1" w:evenHBand="0" w:firstRowFirstColumn="0" w:firstRowLastColumn="0" w:lastRowFirstColumn="0" w:lastRowLastColumn="0"/>
          <w:wAfter w:w="6" w:type="dxa"/>
        </w:trPr>
        <w:tc>
          <w:tcPr>
            <w:tcW w:w="1704" w:type="dxa"/>
          </w:tcPr>
          <w:p w14:paraId="21D8EC21" w14:textId="77777777" w:rsidR="00F02C61" w:rsidRPr="00264D5D" w:rsidRDefault="00F02C61" w:rsidP="00F02C61">
            <w:pPr>
              <w:widowControl w:val="0"/>
              <w:spacing w:before="60" w:after="60"/>
              <w:rPr>
                <w:sz w:val="22"/>
                <w:szCs w:val="22"/>
              </w:rPr>
            </w:pPr>
            <w:r w:rsidRPr="00264D5D">
              <w:rPr>
                <w:sz w:val="22"/>
                <w:szCs w:val="22"/>
              </w:rPr>
              <w:t>Сумма платежа, требующего подтверждения</w:t>
            </w:r>
          </w:p>
        </w:tc>
        <w:tc>
          <w:tcPr>
            <w:tcW w:w="1704" w:type="dxa"/>
          </w:tcPr>
          <w:p w14:paraId="19E7856F" w14:textId="77777777" w:rsidR="00F02C61" w:rsidRPr="00264D5D" w:rsidRDefault="00F02C61" w:rsidP="00F02C61">
            <w:pPr>
              <w:widowControl w:val="0"/>
              <w:spacing w:before="60" w:after="60"/>
              <w:jc w:val="left"/>
              <w:rPr>
                <w:sz w:val="22"/>
                <w:szCs w:val="22"/>
                <w:lang w:val="en-US"/>
              </w:rPr>
            </w:pPr>
            <w:r w:rsidRPr="00264D5D">
              <w:rPr>
                <w:sz w:val="22"/>
                <w:szCs w:val="22"/>
              </w:rPr>
              <w:t>InfDcBs_AmntAdvPy</w:t>
            </w:r>
          </w:p>
        </w:tc>
        <w:tc>
          <w:tcPr>
            <w:tcW w:w="568" w:type="dxa"/>
          </w:tcPr>
          <w:p w14:paraId="61F6A5D3" w14:textId="77777777" w:rsidR="00F02C61" w:rsidRPr="00264D5D" w:rsidRDefault="00F02C61" w:rsidP="00F02C61">
            <w:pPr>
              <w:widowControl w:val="0"/>
              <w:spacing w:before="60" w:after="60"/>
              <w:jc w:val="center"/>
              <w:rPr>
                <w:sz w:val="22"/>
                <w:szCs w:val="22"/>
              </w:rPr>
            </w:pPr>
            <w:r w:rsidRPr="00264D5D">
              <w:rPr>
                <w:sz w:val="22"/>
                <w:szCs w:val="22"/>
              </w:rPr>
              <w:t>П</w:t>
            </w:r>
          </w:p>
        </w:tc>
        <w:tc>
          <w:tcPr>
            <w:tcW w:w="1136" w:type="dxa"/>
          </w:tcPr>
          <w:p w14:paraId="4E4479D3" w14:textId="77777777" w:rsidR="00F02C61" w:rsidRPr="00264D5D" w:rsidRDefault="00F02C61" w:rsidP="00F02C61">
            <w:pPr>
              <w:widowControl w:val="0"/>
              <w:spacing w:before="60" w:after="60"/>
              <w:jc w:val="left"/>
              <w:rPr>
                <w:sz w:val="22"/>
                <w:szCs w:val="22"/>
              </w:rPr>
            </w:pPr>
            <w:r w:rsidRPr="00264D5D">
              <w:rPr>
                <w:sz w:val="22"/>
                <w:szCs w:val="22"/>
              </w:rPr>
              <w:t>N(20.2)</w:t>
            </w:r>
          </w:p>
        </w:tc>
        <w:tc>
          <w:tcPr>
            <w:tcW w:w="568" w:type="dxa"/>
          </w:tcPr>
          <w:p w14:paraId="34027C41" w14:textId="77777777" w:rsidR="00F02C61" w:rsidRPr="00264D5D" w:rsidRDefault="00F02C61" w:rsidP="00F02C61">
            <w:pPr>
              <w:widowControl w:val="0"/>
              <w:spacing w:before="60" w:after="60"/>
              <w:jc w:val="center"/>
              <w:rPr>
                <w:sz w:val="22"/>
                <w:szCs w:val="22"/>
              </w:rPr>
            </w:pPr>
            <w:r w:rsidRPr="00264D5D">
              <w:rPr>
                <w:sz w:val="22"/>
                <w:szCs w:val="22"/>
              </w:rPr>
              <w:t>Н</w:t>
            </w:r>
          </w:p>
        </w:tc>
        <w:tc>
          <w:tcPr>
            <w:tcW w:w="3970" w:type="dxa"/>
          </w:tcPr>
          <w:p w14:paraId="5E6592F7" w14:textId="77777777" w:rsidR="00F02C61" w:rsidRPr="00264D5D" w:rsidRDefault="00F02C61" w:rsidP="00F02C61">
            <w:pPr>
              <w:widowControl w:val="0"/>
              <w:spacing w:before="60" w:after="60"/>
              <w:rPr>
                <w:sz w:val="22"/>
                <w:szCs w:val="22"/>
              </w:rPr>
            </w:pPr>
            <w:r w:rsidRPr="00264D5D">
              <w:rPr>
                <w:sz w:val="22"/>
                <w:szCs w:val="22"/>
              </w:rPr>
              <w:t>Указывается сумма авансового платежа, установленная документом-основанием или исчисленная от общей суммы бюджетного обязательства сумма авансового платежа в валюте РФ, либо сумма предварительной оплаты, требующая последующего подтверждения, установленная документом-основанием в валюте РФ.</w:t>
            </w:r>
          </w:p>
          <w:p w14:paraId="79C40743" w14:textId="77777777" w:rsidR="00F02C61" w:rsidRPr="00264D5D" w:rsidRDefault="00F02C61" w:rsidP="00F02C61">
            <w:pPr>
              <w:widowControl w:val="0"/>
              <w:spacing w:before="60" w:after="60"/>
              <w:rPr>
                <w:sz w:val="22"/>
                <w:szCs w:val="22"/>
              </w:rPr>
            </w:pPr>
            <w:r w:rsidRPr="00264D5D">
              <w:rPr>
                <w:sz w:val="22"/>
                <w:szCs w:val="22"/>
              </w:rPr>
              <w:t>Поле обязательно для заполнения, если в поле «Вид» указаны значения «контракт», «договор», «извещение об осуществлении закупки» или «приглашение принять участие в определении поставщика (подрядчика, исполнителя)», «проект контракта» или «проект дополнительного соглашения к контракту».</w:t>
            </w:r>
          </w:p>
          <w:p w14:paraId="70578701" w14:textId="77777777" w:rsidR="00F02C61" w:rsidRPr="00264D5D" w:rsidRDefault="00F02C61" w:rsidP="00F02C61">
            <w:pPr>
              <w:widowControl w:val="0"/>
              <w:spacing w:before="60" w:after="60"/>
              <w:rPr>
                <w:sz w:val="22"/>
                <w:szCs w:val="22"/>
              </w:rPr>
            </w:pPr>
            <w:r w:rsidRPr="00264D5D">
              <w:rPr>
                <w:sz w:val="22"/>
                <w:szCs w:val="22"/>
              </w:rPr>
              <w:t>Поле не заполняется при иных значениях поля «Вид».</w:t>
            </w:r>
          </w:p>
          <w:p w14:paraId="68E32054" w14:textId="77777777" w:rsidR="00F02C61" w:rsidRPr="00264D5D" w:rsidRDefault="00F02C61" w:rsidP="00F02C61">
            <w:pPr>
              <w:widowControl w:val="0"/>
              <w:spacing w:before="60" w:after="60"/>
              <w:rPr>
                <w:sz w:val="22"/>
                <w:szCs w:val="22"/>
              </w:rPr>
            </w:pPr>
            <w:r w:rsidRPr="00264D5D">
              <w:rPr>
                <w:sz w:val="22"/>
                <w:szCs w:val="22"/>
              </w:rPr>
              <w:t>Сумма платежа, требующего подтверждения, не может превышать сумму в валюте Российской Федерации, всего</w:t>
            </w:r>
          </w:p>
        </w:tc>
      </w:tr>
      <w:tr w:rsidR="00F02C61" w:rsidRPr="00264D5D" w14:paraId="54842425"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4" w:type="dxa"/>
          </w:tcPr>
          <w:p w14:paraId="28BD41BE" w14:textId="77777777" w:rsidR="00F02C61" w:rsidRPr="00264D5D" w:rsidRDefault="00F02C61" w:rsidP="00F02C61">
            <w:pPr>
              <w:pStyle w:val="EBTablenorm"/>
              <w:widowControl w:val="0"/>
              <w:ind w:left="57" w:right="57"/>
              <w:contextualSpacing w:val="0"/>
              <w:jc w:val="left"/>
              <w:rPr>
                <w:sz w:val="22"/>
                <w:szCs w:val="22"/>
              </w:rPr>
            </w:pPr>
            <w:r w:rsidRPr="00264D5D">
              <w:rPr>
                <w:sz w:val="22"/>
                <w:szCs w:val="22"/>
              </w:rPr>
              <w:lastRenderedPageBreak/>
              <w:t>Номер уведомления о поступлении исполнительного документа/ решения налогового органа</w:t>
            </w:r>
          </w:p>
        </w:tc>
        <w:tc>
          <w:tcPr>
            <w:tcW w:w="1704" w:type="dxa"/>
          </w:tcPr>
          <w:p w14:paraId="7F8FD6AF" w14:textId="77777777" w:rsidR="00F02C61" w:rsidRPr="00264D5D" w:rsidRDefault="00F02C61" w:rsidP="00F02C61">
            <w:pPr>
              <w:widowControl w:val="0"/>
              <w:spacing w:before="60" w:after="60"/>
              <w:jc w:val="left"/>
              <w:rPr>
                <w:sz w:val="22"/>
                <w:szCs w:val="22"/>
              </w:rPr>
            </w:pPr>
            <w:r w:rsidRPr="00264D5D">
              <w:rPr>
                <w:sz w:val="22"/>
                <w:szCs w:val="22"/>
              </w:rPr>
              <w:t>InfDcBs_NotificNmbr</w:t>
            </w:r>
          </w:p>
          <w:p w14:paraId="4C2BEE69" w14:textId="77777777" w:rsidR="00F02C61" w:rsidRPr="00264D5D" w:rsidRDefault="00F02C61" w:rsidP="00F02C61">
            <w:pPr>
              <w:widowControl w:val="0"/>
              <w:spacing w:before="60" w:after="60"/>
              <w:rPr>
                <w:sz w:val="22"/>
                <w:szCs w:val="22"/>
              </w:rPr>
            </w:pPr>
          </w:p>
          <w:p w14:paraId="4C660F48" w14:textId="77777777" w:rsidR="00F02C61" w:rsidRPr="00264D5D" w:rsidRDefault="00F02C61" w:rsidP="00F02C61">
            <w:pPr>
              <w:widowControl w:val="0"/>
              <w:spacing w:before="60" w:after="60"/>
              <w:rPr>
                <w:sz w:val="22"/>
                <w:szCs w:val="22"/>
              </w:rPr>
            </w:pPr>
          </w:p>
          <w:p w14:paraId="02650E88" w14:textId="77777777" w:rsidR="00F02C61" w:rsidRPr="00264D5D" w:rsidRDefault="00F02C61" w:rsidP="00F02C61">
            <w:pPr>
              <w:widowControl w:val="0"/>
              <w:spacing w:before="60" w:after="60"/>
              <w:rPr>
                <w:sz w:val="22"/>
                <w:szCs w:val="22"/>
              </w:rPr>
            </w:pPr>
          </w:p>
        </w:tc>
        <w:tc>
          <w:tcPr>
            <w:tcW w:w="568" w:type="dxa"/>
          </w:tcPr>
          <w:p w14:paraId="79EB34EB" w14:textId="77777777" w:rsidR="00F02C61" w:rsidRPr="00264D5D" w:rsidRDefault="00F02C61" w:rsidP="00F02C61">
            <w:pPr>
              <w:widowControl w:val="0"/>
              <w:spacing w:before="60" w:after="60"/>
              <w:jc w:val="center"/>
              <w:rPr>
                <w:sz w:val="22"/>
                <w:szCs w:val="22"/>
              </w:rPr>
            </w:pPr>
            <w:r w:rsidRPr="00264D5D">
              <w:rPr>
                <w:sz w:val="22"/>
                <w:szCs w:val="22"/>
              </w:rPr>
              <w:t>П</w:t>
            </w:r>
          </w:p>
        </w:tc>
        <w:tc>
          <w:tcPr>
            <w:tcW w:w="1136" w:type="dxa"/>
          </w:tcPr>
          <w:p w14:paraId="4F5A2072" w14:textId="77777777" w:rsidR="00F02C61" w:rsidRPr="00264D5D" w:rsidRDefault="00F02C61" w:rsidP="00F02C61">
            <w:pPr>
              <w:widowControl w:val="0"/>
              <w:spacing w:before="60" w:after="60"/>
              <w:jc w:val="left"/>
              <w:rPr>
                <w:sz w:val="22"/>
                <w:szCs w:val="22"/>
              </w:rPr>
            </w:pPr>
            <w:r w:rsidRPr="00264D5D">
              <w:rPr>
                <w:sz w:val="22"/>
                <w:szCs w:val="22"/>
              </w:rPr>
              <w:t>Т(1-50)</w:t>
            </w:r>
          </w:p>
        </w:tc>
        <w:tc>
          <w:tcPr>
            <w:tcW w:w="568" w:type="dxa"/>
          </w:tcPr>
          <w:p w14:paraId="4F9B96BF" w14:textId="77777777" w:rsidR="00F02C61" w:rsidRPr="00264D5D" w:rsidRDefault="00F02C61" w:rsidP="00F02C61">
            <w:pPr>
              <w:widowControl w:val="0"/>
              <w:spacing w:before="60" w:after="60"/>
              <w:jc w:val="center"/>
              <w:rPr>
                <w:sz w:val="22"/>
                <w:szCs w:val="22"/>
              </w:rPr>
            </w:pPr>
            <w:r w:rsidRPr="00264D5D">
              <w:rPr>
                <w:sz w:val="22"/>
                <w:szCs w:val="22"/>
              </w:rPr>
              <w:t>Н</w:t>
            </w:r>
          </w:p>
        </w:tc>
        <w:tc>
          <w:tcPr>
            <w:tcW w:w="3970" w:type="dxa"/>
          </w:tcPr>
          <w:p w14:paraId="1EF2F55B" w14:textId="77777777" w:rsidR="00F02C61" w:rsidRPr="00264D5D" w:rsidRDefault="00F02C61" w:rsidP="00F02C61">
            <w:pPr>
              <w:widowControl w:val="0"/>
              <w:spacing w:before="60" w:after="60"/>
              <w:rPr>
                <w:sz w:val="22"/>
                <w:szCs w:val="22"/>
              </w:rPr>
            </w:pPr>
            <w:r w:rsidRPr="00264D5D">
              <w:rPr>
                <w:sz w:val="22"/>
                <w:szCs w:val="22"/>
              </w:rPr>
              <w:t>Номер уведомления о поступлении исполнительного документа/решения налогового органа.</w:t>
            </w:r>
          </w:p>
          <w:p w14:paraId="69BB60F9" w14:textId="77777777" w:rsidR="00F02C61" w:rsidRPr="00264D5D" w:rsidRDefault="00F02C61" w:rsidP="00F02C61">
            <w:pPr>
              <w:widowControl w:val="0"/>
              <w:spacing w:before="60" w:after="60"/>
              <w:rPr>
                <w:sz w:val="22"/>
                <w:szCs w:val="22"/>
              </w:rPr>
            </w:pPr>
            <w:r w:rsidRPr="00264D5D">
              <w:rPr>
                <w:sz w:val="22"/>
                <w:szCs w:val="22"/>
              </w:rPr>
              <w:t>Заполняется только в случае указания в поле «InfDcBs_TypeDcBs» значений «исполнительный документ» или «решение налогового органа»</w:t>
            </w:r>
          </w:p>
        </w:tc>
      </w:tr>
      <w:tr w:rsidR="00F02C61" w:rsidRPr="00264D5D" w14:paraId="32D06BA8" w14:textId="77777777" w:rsidTr="00AD1F54">
        <w:trPr>
          <w:gridAfter w:val="1"/>
          <w:cnfStyle w:val="000000100000" w:firstRow="0" w:lastRow="0" w:firstColumn="0" w:lastColumn="0" w:oddVBand="0" w:evenVBand="0" w:oddHBand="1" w:evenHBand="0" w:firstRowFirstColumn="0" w:firstRowLastColumn="0" w:lastRowFirstColumn="0" w:lastRowLastColumn="0"/>
          <w:wAfter w:w="6" w:type="dxa"/>
        </w:trPr>
        <w:tc>
          <w:tcPr>
            <w:tcW w:w="1704" w:type="dxa"/>
          </w:tcPr>
          <w:p w14:paraId="6C6B8AA9" w14:textId="77777777" w:rsidR="00F02C61" w:rsidRPr="00264D5D" w:rsidRDefault="00F02C61" w:rsidP="00F02C61">
            <w:pPr>
              <w:pStyle w:val="EBTablenorm"/>
              <w:widowControl w:val="0"/>
              <w:ind w:left="57" w:right="57"/>
              <w:contextualSpacing w:val="0"/>
              <w:jc w:val="left"/>
              <w:rPr>
                <w:sz w:val="22"/>
                <w:szCs w:val="22"/>
              </w:rPr>
            </w:pPr>
            <w:r w:rsidRPr="00264D5D">
              <w:rPr>
                <w:sz w:val="22"/>
                <w:szCs w:val="22"/>
              </w:rPr>
              <w:t>Дата уведомления о поступлении исполнительного документа/ решения налогового органа</w:t>
            </w:r>
          </w:p>
        </w:tc>
        <w:tc>
          <w:tcPr>
            <w:tcW w:w="1704" w:type="dxa"/>
          </w:tcPr>
          <w:p w14:paraId="74B372D2" w14:textId="77777777" w:rsidR="00F02C61" w:rsidRPr="00264D5D" w:rsidRDefault="00F02C61" w:rsidP="00F02C61">
            <w:pPr>
              <w:widowControl w:val="0"/>
              <w:spacing w:before="60" w:after="60"/>
              <w:jc w:val="left"/>
              <w:rPr>
                <w:sz w:val="22"/>
                <w:szCs w:val="22"/>
              </w:rPr>
            </w:pPr>
            <w:r w:rsidRPr="00264D5D">
              <w:rPr>
                <w:sz w:val="22"/>
                <w:szCs w:val="22"/>
              </w:rPr>
              <w:t>InfDcBs_NotificDt</w:t>
            </w:r>
          </w:p>
        </w:tc>
        <w:tc>
          <w:tcPr>
            <w:tcW w:w="568" w:type="dxa"/>
          </w:tcPr>
          <w:p w14:paraId="2348E531" w14:textId="77777777" w:rsidR="00F02C61" w:rsidRPr="00264D5D" w:rsidRDefault="00F02C61" w:rsidP="00F02C61">
            <w:pPr>
              <w:widowControl w:val="0"/>
              <w:spacing w:before="60" w:after="60"/>
              <w:jc w:val="center"/>
              <w:rPr>
                <w:sz w:val="22"/>
                <w:szCs w:val="22"/>
              </w:rPr>
            </w:pPr>
            <w:r w:rsidRPr="00264D5D">
              <w:rPr>
                <w:sz w:val="22"/>
                <w:szCs w:val="22"/>
              </w:rPr>
              <w:t>П</w:t>
            </w:r>
          </w:p>
        </w:tc>
        <w:tc>
          <w:tcPr>
            <w:tcW w:w="1136" w:type="dxa"/>
          </w:tcPr>
          <w:p w14:paraId="3E8D48DD" w14:textId="77777777" w:rsidR="00F02C61" w:rsidRPr="00264D5D" w:rsidRDefault="00F02C61" w:rsidP="00F02C61">
            <w:pPr>
              <w:widowControl w:val="0"/>
              <w:spacing w:before="60" w:after="60"/>
              <w:jc w:val="left"/>
              <w:rPr>
                <w:sz w:val="22"/>
                <w:szCs w:val="22"/>
              </w:rPr>
            </w:pPr>
            <w:r w:rsidRPr="00264D5D">
              <w:rPr>
                <w:sz w:val="22"/>
                <w:szCs w:val="22"/>
                <w:lang w:val="en-US"/>
              </w:rPr>
              <w:t>Date</w:t>
            </w:r>
          </w:p>
        </w:tc>
        <w:tc>
          <w:tcPr>
            <w:tcW w:w="568" w:type="dxa"/>
          </w:tcPr>
          <w:p w14:paraId="4D312BBD" w14:textId="77777777" w:rsidR="00F02C61" w:rsidRPr="00264D5D" w:rsidRDefault="00F02C61" w:rsidP="00F02C61">
            <w:pPr>
              <w:widowControl w:val="0"/>
              <w:spacing w:before="60" w:after="60"/>
              <w:jc w:val="center"/>
              <w:rPr>
                <w:sz w:val="22"/>
                <w:szCs w:val="22"/>
              </w:rPr>
            </w:pPr>
            <w:r w:rsidRPr="00264D5D">
              <w:rPr>
                <w:sz w:val="22"/>
                <w:szCs w:val="22"/>
              </w:rPr>
              <w:t>Н</w:t>
            </w:r>
          </w:p>
        </w:tc>
        <w:tc>
          <w:tcPr>
            <w:tcW w:w="3970" w:type="dxa"/>
          </w:tcPr>
          <w:p w14:paraId="7267C940" w14:textId="77777777" w:rsidR="00F02C61" w:rsidRPr="00264D5D" w:rsidRDefault="00F02C61" w:rsidP="00F02C61">
            <w:pPr>
              <w:widowControl w:val="0"/>
              <w:spacing w:before="60" w:after="60"/>
              <w:rPr>
                <w:sz w:val="22"/>
                <w:szCs w:val="22"/>
              </w:rPr>
            </w:pPr>
            <w:r w:rsidRPr="00264D5D">
              <w:rPr>
                <w:sz w:val="22"/>
                <w:szCs w:val="22"/>
              </w:rPr>
              <w:t>Дата уведомления о поступлении исполнительного документа/решения налогового органа.</w:t>
            </w:r>
          </w:p>
          <w:p w14:paraId="12A0830E" w14:textId="77777777" w:rsidR="00F02C61" w:rsidRPr="00264D5D" w:rsidRDefault="00F02C61" w:rsidP="00F02C61">
            <w:pPr>
              <w:widowControl w:val="0"/>
              <w:spacing w:before="60" w:after="60"/>
              <w:rPr>
                <w:sz w:val="22"/>
                <w:szCs w:val="22"/>
              </w:rPr>
            </w:pPr>
            <w:r w:rsidRPr="00264D5D">
              <w:rPr>
                <w:sz w:val="22"/>
                <w:szCs w:val="22"/>
              </w:rPr>
              <w:t>Заполняется только в случае указания в поле «InfDcBs_TypeDcBs» значений «исполнительный документ» или «решение налогового органа»</w:t>
            </w:r>
          </w:p>
        </w:tc>
      </w:tr>
      <w:tr w:rsidR="00F02C61" w:rsidRPr="00264D5D" w14:paraId="22FFF354"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4" w:type="dxa"/>
          </w:tcPr>
          <w:p w14:paraId="00BECF05" w14:textId="77777777" w:rsidR="00F02C61" w:rsidRPr="00264D5D" w:rsidRDefault="00F02C61" w:rsidP="00F02C61">
            <w:pPr>
              <w:widowControl w:val="0"/>
              <w:spacing w:before="60" w:after="60"/>
              <w:rPr>
                <w:sz w:val="22"/>
                <w:szCs w:val="22"/>
              </w:rPr>
            </w:pPr>
            <w:r w:rsidRPr="00264D5D">
              <w:rPr>
                <w:sz w:val="22"/>
                <w:szCs w:val="22"/>
              </w:rPr>
              <w:t>Основание для невключения договора (государственного контракта) в реестр контрактов</w:t>
            </w:r>
          </w:p>
        </w:tc>
        <w:tc>
          <w:tcPr>
            <w:tcW w:w="1704" w:type="dxa"/>
          </w:tcPr>
          <w:p w14:paraId="3318B521" w14:textId="77777777" w:rsidR="00F02C61" w:rsidRPr="00264D5D" w:rsidRDefault="00F02C61" w:rsidP="00F02C61">
            <w:pPr>
              <w:widowControl w:val="0"/>
              <w:spacing w:before="60" w:after="60"/>
              <w:jc w:val="left"/>
              <w:rPr>
                <w:sz w:val="22"/>
                <w:szCs w:val="22"/>
              </w:rPr>
            </w:pPr>
            <w:r w:rsidRPr="00264D5D">
              <w:rPr>
                <w:sz w:val="22"/>
                <w:szCs w:val="22"/>
              </w:rPr>
              <w:t>InfDcBs_CnsdCntrct</w:t>
            </w:r>
          </w:p>
        </w:tc>
        <w:tc>
          <w:tcPr>
            <w:tcW w:w="568" w:type="dxa"/>
          </w:tcPr>
          <w:p w14:paraId="55E98350" w14:textId="77777777" w:rsidR="00F02C61" w:rsidRPr="00264D5D" w:rsidRDefault="00F02C61" w:rsidP="00F02C61">
            <w:pPr>
              <w:widowControl w:val="0"/>
              <w:spacing w:before="60" w:after="60"/>
              <w:jc w:val="center"/>
              <w:rPr>
                <w:sz w:val="22"/>
                <w:szCs w:val="22"/>
              </w:rPr>
            </w:pPr>
            <w:r w:rsidRPr="00264D5D">
              <w:rPr>
                <w:sz w:val="22"/>
                <w:szCs w:val="22"/>
              </w:rPr>
              <w:t>П</w:t>
            </w:r>
          </w:p>
        </w:tc>
        <w:tc>
          <w:tcPr>
            <w:tcW w:w="1136" w:type="dxa"/>
          </w:tcPr>
          <w:p w14:paraId="7A5F6E9C" w14:textId="77777777" w:rsidR="00F02C61" w:rsidRPr="00264D5D" w:rsidRDefault="00F02C61" w:rsidP="00F02C61">
            <w:pPr>
              <w:widowControl w:val="0"/>
              <w:spacing w:before="60" w:after="60"/>
              <w:jc w:val="left"/>
              <w:rPr>
                <w:sz w:val="22"/>
                <w:szCs w:val="22"/>
              </w:rPr>
            </w:pPr>
            <w:r w:rsidRPr="00264D5D">
              <w:rPr>
                <w:sz w:val="22"/>
                <w:szCs w:val="22"/>
              </w:rPr>
              <w:t>Т(1-2000)</w:t>
            </w:r>
          </w:p>
        </w:tc>
        <w:tc>
          <w:tcPr>
            <w:tcW w:w="568" w:type="dxa"/>
          </w:tcPr>
          <w:p w14:paraId="3A235766" w14:textId="77777777" w:rsidR="00F02C61" w:rsidRPr="00264D5D" w:rsidRDefault="00F02C61" w:rsidP="00F02C61">
            <w:pPr>
              <w:widowControl w:val="0"/>
              <w:spacing w:before="60" w:after="60"/>
              <w:jc w:val="center"/>
              <w:rPr>
                <w:sz w:val="22"/>
                <w:szCs w:val="22"/>
              </w:rPr>
            </w:pPr>
            <w:r w:rsidRPr="00264D5D">
              <w:rPr>
                <w:sz w:val="22"/>
                <w:szCs w:val="22"/>
              </w:rPr>
              <w:t>Н</w:t>
            </w:r>
          </w:p>
        </w:tc>
        <w:tc>
          <w:tcPr>
            <w:tcW w:w="3970" w:type="dxa"/>
          </w:tcPr>
          <w:p w14:paraId="78DCC04A" w14:textId="77777777" w:rsidR="00F02C61" w:rsidRPr="00264D5D" w:rsidRDefault="00F02C61" w:rsidP="00F02C61">
            <w:pPr>
              <w:widowControl w:val="0"/>
              <w:spacing w:before="60" w:after="60"/>
              <w:rPr>
                <w:sz w:val="22"/>
                <w:szCs w:val="22"/>
              </w:rPr>
            </w:pPr>
            <w:r w:rsidRPr="00264D5D">
              <w:rPr>
                <w:sz w:val="22"/>
                <w:szCs w:val="22"/>
              </w:rPr>
              <w:t xml:space="preserve">Основание для невключения договора (государственного контракта) в реестр контрактов. </w:t>
            </w:r>
          </w:p>
          <w:p w14:paraId="47C9C7BA" w14:textId="77777777" w:rsidR="00F02C61" w:rsidRPr="00264D5D" w:rsidRDefault="00F02C61" w:rsidP="00F02C61">
            <w:pPr>
              <w:widowControl w:val="0"/>
              <w:spacing w:before="60" w:after="60"/>
              <w:rPr>
                <w:sz w:val="22"/>
                <w:szCs w:val="22"/>
              </w:rPr>
            </w:pPr>
            <w:r w:rsidRPr="00264D5D">
              <w:rPr>
                <w:sz w:val="22"/>
                <w:szCs w:val="22"/>
              </w:rPr>
              <w:t>Может заполняться только в случае указания в поле «InfDcBs_TypeDcBs» значения «договор»</w:t>
            </w:r>
          </w:p>
        </w:tc>
      </w:tr>
      <w:tr w:rsidR="00F02C61" w:rsidRPr="00264D5D" w14:paraId="26890151" w14:textId="77777777" w:rsidTr="00AD1F54">
        <w:trPr>
          <w:gridAfter w:val="1"/>
          <w:cnfStyle w:val="000000100000" w:firstRow="0" w:lastRow="0" w:firstColumn="0" w:lastColumn="0" w:oddVBand="0" w:evenVBand="0" w:oddHBand="1" w:evenHBand="0" w:firstRowFirstColumn="0" w:firstRowLastColumn="0" w:lastRowFirstColumn="0" w:lastRowLastColumn="0"/>
          <w:wAfter w:w="6" w:type="dxa"/>
        </w:trPr>
        <w:tc>
          <w:tcPr>
            <w:tcW w:w="1704" w:type="dxa"/>
          </w:tcPr>
          <w:p w14:paraId="50269F4D" w14:textId="77777777" w:rsidR="00F02C61" w:rsidRPr="00264D5D" w:rsidRDefault="00F02C61" w:rsidP="00F02C61">
            <w:pPr>
              <w:widowControl w:val="0"/>
              <w:spacing w:before="60" w:after="60"/>
              <w:rPr>
                <w:sz w:val="22"/>
                <w:szCs w:val="22"/>
              </w:rPr>
            </w:pPr>
            <w:r w:rsidRPr="00264D5D">
              <w:rPr>
                <w:sz w:val="22"/>
                <w:szCs w:val="22"/>
              </w:rPr>
              <w:t>Вид расхода по авансу</w:t>
            </w:r>
          </w:p>
        </w:tc>
        <w:tc>
          <w:tcPr>
            <w:tcW w:w="1704" w:type="dxa"/>
          </w:tcPr>
          <w:p w14:paraId="74BA393E" w14:textId="77777777" w:rsidR="00F02C61" w:rsidRPr="00264D5D" w:rsidRDefault="00F02C61" w:rsidP="00F02C61">
            <w:pPr>
              <w:widowControl w:val="0"/>
              <w:spacing w:before="60" w:after="60"/>
              <w:jc w:val="left"/>
              <w:rPr>
                <w:sz w:val="22"/>
                <w:szCs w:val="22"/>
              </w:rPr>
            </w:pPr>
            <w:r w:rsidRPr="00264D5D">
              <w:rPr>
                <w:sz w:val="22"/>
                <w:szCs w:val="22"/>
              </w:rPr>
              <w:t>InfDcBs_TypeExpPay</w:t>
            </w:r>
          </w:p>
        </w:tc>
        <w:tc>
          <w:tcPr>
            <w:tcW w:w="568" w:type="dxa"/>
          </w:tcPr>
          <w:p w14:paraId="2732EB6C" w14:textId="77777777" w:rsidR="00F02C61" w:rsidRPr="00264D5D" w:rsidRDefault="00F02C61" w:rsidP="00F02C61">
            <w:pPr>
              <w:widowControl w:val="0"/>
              <w:spacing w:before="60" w:after="60"/>
              <w:jc w:val="center"/>
              <w:rPr>
                <w:sz w:val="22"/>
                <w:szCs w:val="22"/>
              </w:rPr>
            </w:pPr>
            <w:r w:rsidRPr="00264D5D">
              <w:rPr>
                <w:sz w:val="22"/>
                <w:szCs w:val="22"/>
              </w:rPr>
              <w:t>П</w:t>
            </w:r>
          </w:p>
        </w:tc>
        <w:tc>
          <w:tcPr>
            <w:tcW w:w="1136" w:type="dxa"/>
          </w:tcPr>
          <w:p w14:paraId="677E574A" w14:textId="77777777" w:rsidR="00F02C61" w:rsidRPr="00264D5D" w:rsidRDefault="00F02C61" w:rsidP="00F02C61">
            <w:pPr>
              <w:widowControl w:val="0"/>
              <w:spacing w:before="60" w:after="60"/>
              <w:jc w:val="left"/>
              <w:rPr>
                <w:sz w:val="22"/>
                <w:szCs w:val="22"/>
              </w:rPr>
            </w:pPr>
            <w:r w:rsidRPr="00264D5D">
              <w:rPr>
                <w:sz w:val="22"/>
                <w:szCs w:val="22"/>
              </w:rPr>
              <w:t>Т(1-150)</w:t>
            </w:r>
          </w:p>
        </w:tc>
        <w:tc>
          <w:tcPr>
            <w:tcW w:w="568" w:type="dxa"/>
          </w:tcPr>
          <w:p w14:paraId="74E78F8A" w14:textId="77777777" w:rsidR="00F02C61" w:rsidRPr="00264D5D" w:rsidRDefault="00F02C61" w:rsidP="00F02C61">
            <w:pPr>
              <w:widowControl w:val="0"/>
              <w:spacing w:before="60" w:after="60"/>
              <w:jc w:val="center"/>
              <w:rPr>
                <w:sz w:val="22"/>
                <w:szCs w:val="22"/>
              </w:rPr>
            </w:pPr>
            <w:r w:rsidRPr="00264D5D">
              <w:rPr>
                <w:sz w:val="22"/>
                <w:szCs w:val="22"/>
              </w:rPr>
              <w:t>Н</w:t>
            </w:r>
          </w:p>
        </w:tc>
        <w:tc>
          <w:tcPr>
            <w:tcW w:w="3970" w:type="dxa"/>
          </w:tcPr>
          <w:p w14:paraId="727AA348" w14:textId="77777777" w:rsidR="00F02C61" w:rsidRPr="00264D5D" w:rsidRDefault="00F02C61" w:rsidP="00F02C61">
            <w:pPr>
              <w:widowControl w:val="0"/>
              <w:spacing w:before="60" w:after="60"/>
              <w:rPr>
                <w:sz w:val="22"/>
                <w:szCs w:val="22"/>
              </w:rPr>
            </w:pPr>
            <w:r w:rsidRPr="00264D5D">
              <w:rPr>
                <w:sz w:val="22"/>
                <w:szCs w:val="22"/>
              </w:rPr>
              <w:t>Вид расхода по авансу.</w:t>
            </w:r>
          </w:p>
          <w:p w14:paraId="65D6EEA0" w14:textId="77777777" w:rsidR="00F02C61" w:rsidRPr="00264D5D" w:rsidRDefault="00F02C61" w:rsidP="00F02C61">
            <w:pPr>
              <w:widowControl w:val="0"/>
              <w:spacing w:before="60" w:after="60"/>
              <w:rPr>
                <w:sz w:val="22"/>
                <w:szCs w:val="22"/>
              </w:rPr>
            </w:pPr>
            <w:r w:rsidRPr="00264D5D">
              <w:rPr>
                <w:sz w:val="22"/>
                <w:szCs w:val="22"/>
              </w:rPr>
              <w:t>Поле заполняется только при взаимодействии между информационными системами казначейства.</w:t>
            </w:r>
          </w:p>
          <w:p w14:paraId="018D5881" w14:textId="77777777" w:rsidR="00F02C61" w:rsidRPr="00264D5D" w:rsidRDefault="00F02C61" w:rsidP="00F02C61">
            <w:pPr>
              <w:widowControl w:val="0"/>
              <w:spacing w:before="60" w:after="60"/>
              <w:rPr>
                <w:sz w:val="22"/>
                <w:szCs w:val="22"/>
              </w:rPr>
            </w:pPr>
            <w:r w:rsidRPr="00264D5D">
              <w:rPr>
                <w:sz w:val="22"/>
                <w:szCs w:val="22"/>
              </w:rPr>
              <w:t>При предоставлении документов клиентами поле не заполняется</w:t>
            </w:r>
          </w:p>
        </w:tc>
      </w:tr>
      <w:tr w:rsidR="00F02C61" w:rsidRPr="00264D5D" w14:paraId="4CCE191C"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4" w:type="dxa"/>
          </w:tcPr>
          <w:p w14:paraId="71043998" w14:textId="77777777" w:rsidR="00F02C61" w:rsidRPr="00264D5D" w:rsidRDefault="00F02C61" w:rsidP="00F02C61">
            <w:pPr>
              <w:widowControl w:val="0"/>
              <w:spacing w:before="60" w:after="60"/>
              <w:rPr>
                <w:sz w:val="22"/>
                <w:szCs w:val="22"/>
              </w:rPr>
            </w:pPr>
            <w:r w:rsidRPr="00264D5D">
              <w:rPr>
                <w:sz w:val="22"/>
                <w:szCs w:val="22"/>
              </w:rPr>
              <w:t>Контроль БО</w:t>
            </w:r>
          </w:p>
        </w:tc>
        <w:tc>
          <w:tcPr>
            <w:tcW w:w="1704" w:type="dxa"/>
          </w:tcPr>
          <w:p w14:paraId="4A227843" w14:textId="77777777" w:rsidR="00F02C61" w:rsidRPr="00264D5D" w:rsidRDefault="00F02C61" w:rsidP="00F02C61">
            <w:pPr>
              <w:widowControl w:val="0"/>
              <w:spacing w:before="60" w:after="60"/>
              <w:jc w:val="left"/>
              <w:rPr>
                <w:sz w:val="22"/>
                <w:szCs w:val="22"/>
              </w:rPr>
            </w:pPr>
            <w:r w:rsidRPr="00264D5D">
              <w:rPr>
                <w:sz w:val="22"/>
                <w:szCs w:val="22"/>
              </w:rPr>
              <w:t>CntrlNf</w:t>
            </w:r>
          </w:p>
        </w:tc>
        <w:tc>
          <w:tcPr>
            <w:tcW w:w="568" w:type="dxa"/>
          </w:tcPr>
          <w:p w14:paraId="276C8420" w14:textId="77777777" w:rsidR="00F02C61" w:rsidRPr="00264D5D" w:rsidRDefault="00F02C61" w:rsidP="00F02C61">
            <w:pPr>
              <w:widowControl w:val="0"/>
              <w:spacing w:before="60" w:after="60"/>
              <w:jc w:val="center"/>
              <w:rPr>
                <w:sz w:val="22"/>
                <w:szCs w:val="22"/>
              </w:rPr>
            </w:pPr>
            <w:r w:rsidRPr="00264D5D">
              <w:rPr>
                <w:sz w:val="22"/>
                <w:szCs w:val="22"/>
              </w:rPr>
              <w:t>С</w:t>
            </w:r>
          </w:p>
        </w:tc>
        <w:tc>
          <w:tcPr>
            <w:tcW w:w="1136" w:type="dxa"/>
          </w:tcPr>
          <w:p w14:paraId="091574AE" w14:textId="77777777" w:rsidR="00F02C61" w:rsidRPr="00264D5D" w:rsidRDefault="00F02C61" w:rsidP="00F02C61">
            <w:pPr>
              <w:widowControl w:val="0"/>
              <w:spacing w:before="60" w:after="60"/>
              <w:jc w:val="left"/>
              <w:rPr>
                <w:sz w:val="22"/>
                <w:szCs w:val="22"/>
              </w:rPr>
            </w:pPr>
            <w:r w:rsidRPr="00264D5D">
              <w:rPr>
                <w:sz w:val="22"/>
                <w:szCs w:val="22"/>
              </w:rPr>
              <w:t>tCntrlNf</w:t>
            </w:r>
          </w:p>
        </w:tc>
        <w:tc>
          <w:tcPr>
            <w:tcW w:w="568" w:type="dxa"/>
          </w:tcPr>
          <w:p w14:paraId="1729DB67" w14:textId="77777777" w:rsidR="00F02C61" w:rsidRPr="00264D5D" w:rsidRDefault="00F02C61" w:rsidP="00F02C61">
            <w:pPr>
              <w:widowControl w:val="0"/>
              <w:spacing w:before="60" w:after="60"/>
              <w:jc w:val="center"/>
              <w:rPr>
                <w:sz w:val="22"/>
                <w:szCs w:val="22"/>
              </w:rPr>
            </w:pPr>
            <w:r w:rsidRPr="00264D5D">
              <w:rPr>
                <w:sz w:val="22"/>
                <w:szCs w:val="22"/>
              </w:rPr>
              <w:t>Н</w:t>
            </w:r>
          </w:p>
        </w:tc>
        <w:tc>
          <w:tcPr>
            <w:tcW w:w="3970" w:type="dxa"/>
          </w:tcPr>
          <w:p w14:paraId="3BD2CDFE" w14:textId="77777777" w:rsidR="00F02C61" w:rsidRPr="00264D5D" w:rsidRDefault="00F02C61" w:rsidP="00F02C61">
            <w:pPr>
              <w:widowControl w:val="0"/>
              <w:spacing w:before="60" w:after="60"/>
              <w:ind w:left="29"/>
              <w:rPr>
                <w:sz w:val="22"/>
                <w:szCs w:val="22"/>
              </w:rPr>
            </w:pPr>
            <w:r w:rsidRPr="00264D5D">
              <w:rPr>
                <w:sz w:val="22"/>
                <w:szCs w:val="22"/>
              </w:rPr>
              <w:t>Контроль БО.</w:t>
            </w:r>
          </w:p>
          <w:p w14:paraId="21355F5E" w14:textId="77777777" w:rsidR="00F02C61" w:rsidRPr="00264D5D" w:rsidRDefault="00F02C61" w:rsidP="00F02C61">
            <w:pPr>
              <w:widowControl w:val="0"/>
              <w:spacing w:before="60" w:after="60"/>
              <w:ind w:left="29"/>
              <w:rPr>
                <w:sz w:val="22"/>
                <w:szCs w:val="22"/>
              </w:rPr>
            </w:pPr>
            <w:r w:rsidRPr="00264D5D">
              <w:rPr>
                <w:sz w:val="22"/>
                <w:szCs w:val="22"/>
              </w:rPr>
              <w:t>Блок заполняется только при внутреннем взаимодействии ИС ФК (при необходимости, в соответствии с отдельным регламентом).</w:t>
            </w:r>
          </w:p>
          <w:p w14:paraId="179867AD" w14:textId="3579A011" w:rsidR="00F02C61" w:rsidRPr="00264D5D" w:rsidRDefault="00F02C61" w:rsidP="00F02C61">
            <w:pPr>
              <w:widowControl w:val="0"/>
              <w:spacing w:before="60" w:after="60"/>
              <w:rPr>
                <w:sz w:val="22"/>
                <w:szCs w:val="22"/>
              </w:rPr>
            </w:pPr>
            <w:r w:rsidRPr="00264D5D">
              <w:rPr>
                <w:sz w:val="22"/>
                <w:szCs w:val="22"/>
              </w:rPr>
              <w:t xml:space="preserve">Состав элемента представлен в таблице </w:t>
            </w:r>
            <w:r w:rsidRPr="00264D5D">
              <w:rPr>
                <w:sz w:val="22"/>
                <w:szCs w:val="22"/>
              </w:rPr>
              <w:fldChar w:fldCharType="begin"/>
            </w:r>
            <w:r w:rsidRPr="00264D5D">
              <w:rPr>
                <w:sz w:val="22"/>
                <w:szCs w:val="22"/>
              </w:rPr>
              <w:instrText xml:space="preserve"> REF _Ref111627290 \h  \* MERGEFORMAT </w:instrText>
            </w:r>
            <w:r w:rsidRPr="00264D5D">
              <w:rPr>
                <w:sz w:val="22"/>
                <w:szCs w:val="22"/>
              </w:rPr>
            </w:r>
            <w:r w:rsidRPr="00264D5D">
              <w:rPr>
                <w:sz w:val="22"/>
                <w:szCs w:val="22"/>
              </w:rPr>
              <w:fldChar w:fldCharType="separate"/>
            </w:r>
            <w:r w:rsidR="008D797C" w:rsidRPr="008D797C">
              <w:rPr>
                <w:sz w:val="22"/>
                <w:szCs w:val="22"/>
              </w:rPr>
              <w:t>138</w:t>
            </w:r>
            <w:r w:rsidRPr="00264D5D">
              <w:rPr>
                <w:sz w:val="22"/>
                <w:szCs w:val="22"/>
              </w:rPr>
              <w:fldChar w:fldCharType="end"/>
            </w:r>
          </w:p>
        </w:tc>
      </w:tr>
      <w:tr w:rsidR="00F02C61" w:rsidRPr="00264D5D" w14:paraId="1680D3ED" w14:textId="77777777" w:rsidTr="00AD1F54">
        <w:trPr>
          <w:cnfStyle w:val="000000100000" w:firstRow="0" w:lastRow="0" w:firstColumn="0" w:lastColumn="0" w:oddVBand="0" w:evenVBand="0" w:oddHBand="1" w:evenHBand="0" w:firstRowFirstColumn="0" w:firstRowLastColumn="0" w:lastRowFirstColumn="0" w:lastRowLastColumn="0"/>
        </w:trPr>
        <w:tc>
          <w:tcPr>
            <w:tcW w:w="9656" w:type="dxa"/>
            <w:gridSpan w:val="7"/>
          </w:tcPr>
          <w:p w14:paraId="19A62908" w14:textId="77777777" w:rsidR="00F02C61" w:rsidRPr="00264D5D" w:rsidRDefault="00F02C61" w:rsidP="00F02C61">
            <w:pPr>
              <w:widowControl w:val="0"/>
              <w:spacing w:before="60" w:after="60"/>
              <w:rPr>
                <w:sz w:val="22"/>
                <w:szCs w:val="22"/>
              </w:rPr>
            </w:pPr>
            <w:r w:rsidRPr="00264D5D">
              <w:rPr>
                <w:b/>
                <w:sz w:val="22"/>
                <w:szCs w:val="22"/>
              </w:rPr>
              <w:t>Подписи</w:t>
            </w:r>
          </w:p>
        </w:tc>
      </w:tr>
      <w:tr w:rsidR="00F02C61" w:rsidRPr="00264D5D" w14:paraId="413F1BAE"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4" w:type="dxa"/>
          </w:tcPr>
          <w:p w14:paraId="674EF187" w14:textId="77777777" w:rsidR="00F02C61" w:rsidRPr="00264D5D" w:rsidRDefault="00F02C61" w:rsidP="00F02C61">
            <w:pPr>
              <w:pStyle w:val="EBTablenorm"/>
              <w:widowControl w:val="0"/>
              <w:ind w:left="57" w:right="57"/>
              <w:contextualSpacing w:val="0"/>
              <w:rPr>
                <w:sz w:val="22"/>
                <w:szCs w:val="22"/>
              </w:rPr>
            </w:pPr>
            <w:r w:rsidRPr="00264D5D">
              <w:rPr>
                <w:sz w:val="22"/>
                <w:szCs w:val="22"/>
              </w:rPr>
              <w:t xml:space="preserve">ФИО руководителя </w:t>
            </w:r>
          </w:p>
        </w:tc>
        <w:tc>
          <w:tcPr>
            <w:tcW w:w="1704" w:type="dxa"/>
          </w:tcPr>
          <w:p w14:paraId="5A94BE5A" w14:textId="77777777" w:rsidR="00F02C61" w:rsidRPr="00264D5D" w:rsidRDefault="00F02C61" w:rsidP="00F02C61">
            <w:pPr>
              <w:widowControl w:val="0"/>
              <w:spacing w:before="60" w:after="60"/>
              <w:jc w:val="left"/>
              <w:rPr>
                <w:sz w:val="22"/>
                <w:szCs w:val="22"/>
              </w:rPr>
            </w:pPr>
            <w:r w:rsidRPr="00264D5D">
              <w:rPr>
                <w:sz w:val="22"/>
                <w:szCs w:val="22"/>
              </w:rPr>
              <w:t>Sgnng_NmHd</w:t>
            </w:r>
          </w:p>
        </w:tc>
        <w:tc>
          <w:tcPr>
            <w:tcW w:w="568" w:type="dxa"/>
          </w:tcPr>
          <w:p w14:paraId="17577BA2" w14:textId="77777777" w:rsidR="00F02C61" w:rsidRPr="00264D5D" w:rsidRDefault="00F02C61" w:rsidP="00F02C61">
            <w:pPr>
              <w:widowControl w:val="0"/>
              <w:spacing w:before="60" w:after="60"/>
              <w:jc w:val="center"/>
              <w:rPr>
                <w:sz w:val="22"/>
                <w:szCs w:val="22"/>
              </w:rPr>
            </w:pPr>
            <w:r w:rsidRPr="00264D5D">
              <w:rPr>
                <w:sz w:val="22"/>
                <w:szCs w:val="22"/>
              </w:rPr>
              <w:t>П</w:t>
            </w:r>
          </w:p>
        </w:tc>
        <w:tc>
          <w:tcPr>
            <w:tcW w:w="1136" w:type="dxa"/>
          </w:tcPr>
          <w:p w14:paraId="122EAFC6" w14:textId="77777777" w:rsidR="00F02C61" w:rsidRPr="00264D5D" w:rsidRDefault="00F02C61" w:rsidP="00F02C61">
            <w:pPr>
              <w:widowControl w:val="0"/>
              <w:spacing w:before="60" w:after="60"/>
              <w:jc w:val="left"/>
              <w:rPr>
                <w:sz w:val="22"/>
                <w:szCs w:val="22"/>
              </w:rPr>
            </w:pPr>
            <w:r w:rsidRPr="00264D5D">
              <w:rPr>
                <w:sz w:val="22"/>
                <w:szCs w:val="22"/>
              </w:rPr>
              <w:t>Т(1-100)</w:t>
            </w:r>
          </w:p>
        </w:tc>
        <w:tc>
          <w:tcPr>
            <w:tcW w:w="568" w:type="dxa"/>
          </w:tcPr>
          <w:p w14:paraId="241A0211" w14:textId="77777777" w:rsidR="00F02C61" w:rsidRPr="00264D5D" w:rsidRDefault="00F02C61" w:rsidP="00F02C61">
            <w:pPr>
              <w:widowControl w:val="0"/>
              <w:spacing w:before="60" w:after="60"/>
              <w:jc w:val="center"/>
              <w:rPr>
                <w:sz w:val="22"/>
                <w:szCs w:val="22"/>
              </w:rPr>
            </w:pPr>
            <w:r w:rsidRPr="00264D5D">
              <w:rPr>
                <w:sz w:val="22"/>
                <w:szCs w:val="22"/>
              </w:rPr>
              <w:t>Н</w:t>
            </w:r>
          </w:p>
        </w:tc>
        <w:tc>
          <w:tcPr>
            <w:tcW w:w="3970" w:type="dxa"/>
          </w:tcPr>
          <w:p w14:paraId="14CE166D" w14:textId="77777777" w:rsidR="00F02C61" w:rsidRPr="00264D5D" w:rsidRDefault="00F02C61" w:rsidP="00F02C61">
            <w:pPr>
              <w:pStyle w:val="EBTablenorm"/>
              <w:widowControl w:val="0"/>
              <w:ind w:left="57" w:right="57"/>
              <w:contextualSpacing w:val="0"/>
              <w:rPr>
                <w:sz w:val="22"/>
                <w:szCs w:val="22"/>
              </w:rPr>
            </w:pPr>
            <w:r w:rsidRPr="00264D5D">
              <w:rPr>
                <w:sz w:val="22"/>
                <w:szCs w:val="22"/>
              </w:rPr>
              <w:t>Расшифровка подписи руководителя (уполномоченного им лица) клиента или ТОФК сформировавшего данный документ</w:t>
            </w:r>
          </w:p>
        </w:tc>
      </w:tr>
      <w:tr w:rsidR="00F02C61" w:rsidRPr="00264D5D" w14:paraId="5DA160D1" w14:textId="77777777" w:rsidTr="00AD1F54">
        <w:trPr>
          <w:gridAfter w:val="1"/>
          <w:cnfStyle w:val="000000100000" w:firstRow="0" w:lastRow="0" w:firstColumn="0" w:lastColumn="0" w:oddVBand="0" w:evenVBand="0" w:oddHBand="1" w:evenHBand="0" w:firstRowFirstColumn="0" w:firstRowLastColumn="0" w:lastRowFirstColumn="0" w:lastRowLastColumn="0"/>
          <w:wAfter w:w="6" w:type="dxa"/>
        </w:trPr>
        <w:tc>
          <w:tcPr>
            <w:tcW w:w="1704" w:type="dxa"/>
          </w:tcPr>
          <w:p w14:paraId="2D15B203" w14:textId="77777777" w:rsidR="00F02C61" w:rsidRPr="00264D5D" w:rsidRDefault="00F02C61" w:rsidP="00F02C61">
            <w:pPr>
              <w:pStyle w:val="EBTablenorm"/>
              <w:widowControl w:val="0"/>
              <w:ind w:left="57" w:right="57"/>
              <w:contextualSpacing w:val="0"/>
              <w:rPr>
                <w:sz w:val="22"/>
                <w:szCs w:val="22"/>
              </w:rPr>
            </w:pPr>
            <w:r w:rsidRPr="00264D5D">
              <w:rPr>
                <w:sz w:val="22"/>
                <w:szCs w:val="22"/>
              </w:rPr>
              <w:lastRenderedPageBreak/>
              <w:t xml:space="preserve">Должность руководителя </w:t>
            </w:r>
          </w:p>
        </w:tc>
        <w:tc>
          <w:tcPr>
            <w:tcW w:w="1704" w:type="dxa"/>
          </w:tcPr>
          <w:p w14:paraId="345AE1BA" w14:textId="77777777" w:rsidR="00F02C61" w:rsidRPr="00264D5D" w:rsidRDefault="00F02C61" w:rsidP="00F02C61">
            <w:pPr>
              <w:widowControl w:val="0"/>
              <w:spacing w:before="60" w:after="60"/>
              <w:jc w:val="left"/>
              <w:rPr>
                <w:sz w:val="22"/>
                <w:szCs w:val="22"/>
              </w:rPr>
            </w:pPr>
            <w:r w:rsidRPr="00264D5D">
              <w:rPr>
                <w:sz w:val="22"/>
                <w:szCs w:val="22"/>
              </w:rPr>
              <w:t>Sgnng_PstHd</w:t>
            </w:r>
          </w:p>
        </w:tc>
        <w:tc>
          <w:tcPr>
            <w:tcW w:w="568" w:type="dxa"/>
          </w:tcPr>
          <w:p w14:paraId="1D925EBC" w14:textId="77777777" w:rsidR="00F02C61" w:rsidRPr="00264D5D" w:rsidRDefault="00F02C61" w:rsidP="00F02C61">
            <w:pPr>
              <w:widowControl w:val="0"/>
              <w:spacing w:before="60" w:after="60"/>
              <w:jc w:val="center"/>
              <w:rPr>
                <w:sz w:val="22"/>
                <w:szCs w:val="22"/>
              </w:rPr>
            </w:pPr>
            <w:r w:rsidRPr="00264D5D">
              <w:rPr>
                <w:sz w:val="22"/>
                <w:szCs w:val="22"/>
              </w:rPr>
              <w:t>П</w:t>
            </w:r>
          </w:p>
        </w:tc>
        <w:tc>
          <w:tcPr>
            <w:tcW w:w="1136" w:type="dxa"/>
          </w:tcPr>
          <w:p w14:paraId="134914B0" w14:textId="77777777" w:rsidR="00F02C61" w:rsidRPr="00264D5D" w:rsidRDefault="00F02C61" w:rsidP="00F02C61">
            <w:pPr>
              <w:widowControl w:val="0"/>
              <w:spacing w:before="60" w:after="60"/>
              <w:jc w:val="left"/>
              <w:rPr>
                <w:sz w:val="22"/>
                <w:szCs w:val="22"/>
              </w:rPr>
            </w:pPr>
            <w:r w:rsidRPr="00264D5D">
              <w:rPr>
                <w:sz w:val="22"/>
                <w:szCs w:val="22"/>
              </w:rPr>
              <w:t>Т(1-100)</w:t>
            </w:r>
          </w:p>
        </w:tc>
        <w:tc>
          <w:tcPr>
            <w:tcW w:w="568" w:type="dxa"/>
          </w:tcPr>
          <w:p w14:paraId="75AB54DD" w14:textId="77777777" w:rsidR="00F02C61" w:rsidRPr="00264D5D" w:rsidRDefault="00F02C61" w:rsidP="00F02C61">
            <w:pPr>
              <w:widowControl w:val="0"/>
              <w:spacing w:before="60" w:after="60"/>
              <w:jc w:val="center"/>
              <w:rPr>
                <w:sz w:val="22"/>
                <w:szCs w:val="22"/>
              </w:rPr>
            </w:pPr>
            <w:r w:rsidRPr="00264D5D">
              <w:rPr>
                <w:sz w:val="22"/>
                <w:szCs w:val="22"/>
              </w:rPr>
              <w:t>Н</w:t>
            </w:r>
          </w:p>
        </w:tc>
        <w:tc>
          <w:tcPr>
            <w:tcW w:w="3970" w:type="dxa"/>
          </w:tcPr>
          <w:p w14:paraId="48E39394" w14:textId="77777777" w:rsidR="00F02C61" w:rsidRPr="00264D5D" w:rsidRDefault="00F02C61" w:rsidP="00F02C61">
            <w:pPr>
              <w:pStyle w:val="EBTablenorm"/>
              <w:widowControl w:val="0"/>
              <w:ind w:left="57" w:right="57"/>
              <w:contextualSpacing w:val="0"/>
              <w:rPr>
                <w:sz w:val="22"/>
                <w:szCs w:val="22"/>
              </w:rPr>
            </w:pPr>
            <w:r w:rsidRPr="00264D5D">
              <w:rPr>
                <w:sz w:val="22"/>
                <w:szCs w:val="22"/>
              </w:rPr>
              <w:t>Должность руководителя (уполномоченного им лица) клиента или ТОФК сформировавшего данный документ</w:t>
            </w:r>
          </w:p>
        </w:tc>
      </w:tr>
      <w:tr w:rsidR="00F02C61" w:rsidRPr="00264D5D" w14:paraId="068BCB46"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4" w:type="dxa"/>
          </w:tcPr>
          <w:p w14:paraId="130C19C8" w14:textId="77777777" w:rsidR="00F02C61" w:rsidRPr="00264D5D" w:rsidRDefault="00F02C61" w:rsidP="00F02C61">
            <w:pPr>
              <w:pStyle w:val="EBTablenorm"/>
              <w:widowControl w:val="0"/>
              <w:ind w:left="57" w:right="57"/>
              <w:contextualSpacing w:val="0"/>
              <w:rPr>
                <w:sz w:val="22"/>
                <w:szCs w:val="22"/>
              </w:rPr>
            </w:pPr>
            <w:r w:rsidRPr="00264D5D">
              <w:rPr>
                <w:sz w:val="22"/>
                <w:szCs w:val="22"/>
              </w:rPr>
              <w:t>Дата подписания документа</w:t>
            </w:r>
          </w:p>
        </w:tc>
        <w:tc>
          <w:tcPr>
            <w:tcW w:w="1704" w:type="dxa"/>
          </w:tcPr>
          <w:p w14:paraId="5245B7B1" w14:textId="77777777" w:rsidR="00F02C61" w:rsidRPr="00264D5D" w:rsidRDefault="00F02C61" w:rsidP="00F02C61">
            <w:pPr>
              <w:widowControl w:val="0"/>
              <w:spacing w:before="60" w:after="60"/>
              <w:jc w:val="left"/>
              <w:rPr>
                <w:sz w:val="22"/>
                <w:szCs w:val="22"/>
              </w:rPr>
            </w:pPr>
            <w:r w:rsidRPr="00264D5D">
              <w:rPr>
                <w:sz w:val="22"/>
                <w:szCs w:val="22"/>
              </w:rPr>
              <w:t>Sgnng_DtSgnng</w:t>
            </w:r>
          </w:p>
        </w:tc>
        <w:tc>
          <w:tcPr>
            <w:tcW w:w="568" w:type="dxa"/>
          </w:tcPr>
          <w:p w14:paraId="57A4D751" w14:textId="77777777" w:rsidR="00F02C61" w:rsidRPr="00264D5D" w:rsidRDefault="00F02C61" w:rsidP="00F02C61">
            <w:pPr>
              <w:widowControl w:val="0"/>
              <w:spacing w:before="60" w:after="60"/>
              <w:jc w:val="center"/>
              <w:rPr>
                <w:sz w:val="22"/>
                <w:szCs w:val="22"/>
              </w:rPr>
            </w:pPr>
            <w:r w:rsidRPr="00264D5D">
              <w:rPr>
                <w:sz w:val="22"/>
                <w:szCs w:val="22"/>
              </w:rPr>
              <w:t>П</w:t>
            </w:r>
          </w:p>
        </w:tc>
        <w:tc>
          <w:tcPr>
            <w:tcW w:w="1136" w:type="dxa"/>
          </w:tcPr>
          <w:p w14:paraId="69E52C58" w14:textId="77777777" w:rsidR="00F02C61" w:rsidRPr="00264D5D" w:rsidRDefault="00F02C61" w:rsidP="00F02C61">
            <w:pPr>
              <w:widowControl w:val="0"/>
              <w:spacing w:before="60" w:after="60"/>
              <w:jc w:val="left"/>
              <w:rPr>
                <w:sz w:val="22"/>
                <w:szCs w:val="22"/>
              </w:rPr>
            </w:pPr>
            <w:r w:rsidRPr="00264D5D">
              <w:rPr>
                <w:sz w:val="22"/>
                <w:szCs w:val="22"/>
                <w:lang w:val="en-US"/>
              </w:rPr>
              <w:t>D</w:t>
            </w:r>
            <w:r w:rsidRPr="00264D5D">
              <w:rPr>
                <w:sz w:val="22"/>
                <w:szCs w:val="22"/>
              </w:rPr>
              <w:t>ate</w:t>
            </w:r>
          </w:p>
        </w:tc>
        <w:tc>
          <w:tcPr>
            <w:tcW w:w="568" w:type="dxa"/>
          </w:tcPr>
          <w:p w14:paraId="17E317B8" w14:textId="77777777" w:rsidR="00F02C61" w:rsidRPr="00264D5D" w:rsidRDefault="00F02C61" w:rsidP="00F02C61">
            <w:pPr>
              <w:widowControl w:val="0"/>
              <w:spacing w:before="60" w:after="60"/>
              <w:jc w:val="center"/>
              <w:rPr>
                <w:sz w:val="22"/>
                <w:szCs w:val="22"/>
              </w:rPr>
            </w:pPr>
            <w:r w:rsidRPr="00264D5D">
              <w:rPr>
                <w:sz w:val="22"/>
                <w:szCs w:val="22"/>
              </w:rPr>
              <w:t>Н</w:t>
            </w:r>
          </w:p>
        </w:tc>
        <w:tc>
          <w:tcPr>
            <w:tcW w:w="3970" w:type="dxa"/>
          </w:tcPr>
          <w:p w14:paraId="7E11A8F5" w14:textId="77777777" w:rsidR="00F02C61" w:rsidRPr="00264D5D" w:rsidRDefault="00F02C61" w:rsidP="00F02C61">
            <w:pPr>
              <w:pStyle w:val="EBTablenorm"/>
              <w:widowControl w:val="0"/>
              <w:ind w:left="57" w:right="57"/>
              <w:contextualSpacing w:val="0"/>
              <w:rPr>
                <w:sz w:val="22"/>
                <w:szCs w:val="22"/>
              </w:rPr>
            </w:pPr>
            <w:r w:rsidRPr="00264D5D">
              <w:rPr>
                <w:sz w:val="22"/>
                <w:szCs w:val="22"/>
              </w:rPr>
              <w:t>Дата подписания документа руководителем (уполномоченным им лицом)</w:t>
            </w:r>
          </w:p>
        </w:tc>
      </w:tr>
      <w:tr w:rsidR="00F02C61" w:rsidRPr="00264D5D" w14:paraId="2C1C4DAC" w14:textId="77777777" w:rsidTr="00AD1F54">
        <w:trPr>
          <w:gridAfter w:val="1"/>
          <w:cnfStyle w:val="000000100000" w:firstRow="0" w:lastRow="0" w:firstColumn="0" w:lastColumn="0" w:oddVBand="0" w:evenVBand="0" w:oddHBand="1" w:evenHBand="0" w:firstRowFirstColumn="0" w:firstRowLastColumn="0" w:lastRowFirstColumn="0" w:lastRowLastColumn="0"/>
          <w:wAfter w:w="6" w:type="dxa"/>
        </w:trPr>
        <w:tc>
          <w:tcPr>
            <w:tcW w:w="1704" w:type="dxa"/>
          </w:tcPr>
          <w:p w14:paraId="3C01F11B" w14:textId="77777777" w:rsidR="00F02C61" w:rsidRPr="00264D5D" w:rsidRDefault="00F02C61" w:rsidP="00F02C61">
            <w:pPr>
              <w:pStyle w:val="EBTablenorm"/>
              <w:widowControl w:val="0"/>
              <w:ind w:left="57" w:right="57"/>
              <w:contextualSpacing w:val="0"/>
              <w:rPr>
                <w:sz w:val="22"/>
                <w:szCs w:val="22"/>
              </w:rPr>
            </w:pPr>
            <w:r w:rsidRPr="00264D5D">
              <w:rPr>
                <w:sz w:val="22"/>
                <w:szCs w:val="22"/>
              </w:rPr>
              <w:t>Служебная информация документа</w:t>
            </w:r>
          </w:p>
        </w:tc>
        <w:tc>
          <w:tcPr>
            <w:tcW w:w="1704" w:type="dxa"/>
          </w:tcPr>
          <w:p w14:paraId="318B66E3" w14:textId="77777777" w:rsidR="00F02C61" w:rsidRPr="00264D5D" w:rsidRDefault="00F02C61" w:rsidP="00F02C61">
            <w:pPr>
              <w:widowControl w:val="0"/>
              <w:spacing w:before="60" w:after="60"/>
              <w:jc w:val="left"/>
              <w:rPr>
                <w:sz w:val="22"/>
                <w:szCs w:val="22"/>
              </w:rPr>
            </w:pPr>
            <w:r w:rsidRPr="00264D5D">
              <w:rPr>
                <w:sz w:val="22"/>
                <w:szCs w:val="22"/>
              </w:rPr>
              <w:t>Inf_MSC_Infrmtn</w:t>
            </w:r>
          </w:p>
        </w:tc>
        <w:tc>
          <w:tcPr>
            <w:tcW w:w="568" w:type="dxa"/>
          </w:tcPr>
          <w:p w14:paraId="4BF6D048" w14:textId="77777777" w:rsidR="00F02C61" w:rsidRPr="00264D5D" w:rsidRDefault="00F02C61" w:rsidP="00F02C61">
            <w:pPr>
              <w:widowControl w:val="0"/>
              <w:spacing w:before="60" w:after="60"/>
              <w:jc w:val="center"/>
              <w:rPr>
                <w:sz w:val="22"/>
                <w:szCs w:val="22"/>
              </w:rPr>
            </w:pPr>
            <w:r w:rsidRPr="00264D5D">
              <w:rPr>
                <w:sz w:val="22"/>
                <w:szCs w:val="22"/>
              </w:rPr>
              <w:t>С</w:t>
            </w:r>
          </w:p>
        </w:tc>
        <w:tc>
          <w:tcPr>
            <w:tcW w:w="1136" w:type="dxa"/>
          </w:tcPr>
          <w:p w14:paraId="56A12E60" w14:textId="77777777" w:rsidR="00F02C61" w:rsidRPr="00264D5D" w:rsidRDefault="00F02C61" w:rsidP="00F02C61">
            <w:pPr>
              <w:widowControl w:val="0"/>
              <w:spacing w:before="60" w:after="60"/>
              <w:jc w:val="left"/>
              <w:rPr>
                <w:sz w:val="22"/>
                <w:szCs w:val="22"/>
              </w:rPr>
            </w:pPr>
            <w:r w:rsidRPr="00264D5D">
              <w:rPr>
                <w:sz w:val="22"/>
                <w:szCs w:val="22"/>
                <w:lang w:val="en-US"/>
              </w:rPr>
              <w:t>t</w:t>
            </w:r>
            <w:r w:rsidRPr="00264D5D">
              <w:rPr>
                <w:sz w:val="22"/>
                <w:szCs w:val="22"/>
              </w:rPr>
              <w:t>MSC_Infrmtn</w:t>
            </w:r>
          </w:p>
        </w:tc>
        <w:tc>
          <w:tcPr>
            <w:tcW w:w="568" w:type="dxa"/>
          </w:tcPr>
          <w:p w14:paraId="007CF903" w14:textId="77777777" w:rsidR="00F02C61" w:rsidRPr="00264D5D" w:rsidRDefault="00F02C61" w:rsidP="00F02C61">
            <w:pPr>
              <w:widowControl w:val="0"/>
              <w:spacing w:before="60" w:after="60"/>
              <w:jc w:val="center"/>
              <w:rPr>
                <w:sz w:val="22"/>
                <w:szCs w:val="22"/>
              </w:rPr>
            </w:pPr>
            <w:r w:rsidRPr="00264D5D">
              <w:rPr>
                <w:sz w:val="22"/>
                <w:szCs w:val="22"/>
              </w:rPr>
              <w:t>Н</w:t>
            </w:r>
          </w:p>
        </w:tc>
        <w:tc>
          <w:tcPr>
            <w:tcW w:w="3970" w:type="dxa"/>
          </w:tcPr>
          <w:p w14:paraId="55699D4A" w14:textId="77777777" w:rsidR="00F02C61" w:rsidRPr="00264D5D" w:rsidRDefault="00F02C61" w:rsidP="00F02C61">
            <w:pPr>
              <w:pStyle w:val="EBTablenorm"/>
              <w:widowControl w:val="0"/>
              <w:ind w:left="57" w:right="57"/>
              <w:contextualSpacing w:val="0"/>
              <w:rPr>
                <w:sz w:val="22"/>
                <w:szCs w:val="22"/>
              </w:rPr>
            </w:pPr>
            <w:r w:rsidRPr="00264D5D">
              <w:rPr>
                <w:sz w:val="22"/>
                <w:szCs w:val="22"/>
              </w:rPr>
              <w:t>Служебная информация документа. Заполняется в ТОФК.</w:t>
            </w:r>
          </w:p>
          <w:p w14:paraId="4FC3F860" w14:textId="13EAD816" w:rsidR="00F02C61" w:rsidRPr="00264D5D" w:rsidRDefault="00F02C61" w:rsidP="00F02C61">
            <w:pPr>
              <w:pStyle w:val="EBTablenorm"/>
              <w:widowControl w:val="0"/>
              <w:ind w:left="57" w:right="57"/>
              <w:contextualSpacing w:val="0"/>
              <w:rPr>
                <w:sz w:val="22"/>
                <w:szCs w:val="22"/>
              </w:rPr>
            </w:pPr>
            <w:r w:rsidRPr="00264D5D">
              <w:rPr>
                <w:sz w:val="22"/>
                <w:szCs w:val="22"/>
              </w:rPr>
              <w:t xml:space="preserve">Состав элемента представлен в таблице </w:t>
            </w:r>
            <w:r w:rsidRPr="00264D5D">
              <w:rPr>
                <w:b/>
                <w:sz w:val="22"/>
                <w:szCs w:val="22"/>
              </w:rPr>
              <w:fldChar w:fldCharType="begin"/>
            </w:r>
            <w:r w:rsidRPr="00264D5D">
              <w:rPr>
                <w:b/>
                <w:sz w:val="22"/>
                <w:szCs w:val="22"/>
              </w:rPr>
              <w:instrText xml:space="preserve"> REF _Ref465900120 \h  \* MERGEFORMAT </w:instrText>
            </w:r>
            <w:r w:rsidRPr="00264D5D">
              <w:rPr>
                <w:b/>
                <w:sz w:val="22"/>
                <w:szCs w:val="22"/>
              </w:rPr>
            </w:r>
            <w:r w:rsidRPr="00264D5D">
              <w:rPr>
                <w:b/>
                <w:sz w:val="22"/>
                <w:szCs w:val="22"/>
              </w:rPr>
              <w:fldChar w:fldCharType="separate"/>
            </w:r>
            <w:r w:rsidR="008D797C" w:rsidRPr="008D797C">
              <w:rPr>
                <w:b/>
                <w:sz w:val="22"/>
                <w:szCs w:val="22"/>
              </w:rPr>
              <w:t>144</w:t>
            </w:r>
            <w:r w:rsidRPr="00264D5D">
              <w:rPr>
                <w:b/>
                <w:sz w:val="22"/>
                <w:szCs w:val="22"/>
              </w:rPr>
              <w:fldChar w:fldCharType="end"/>
            </w:r>
          </w:p>
        </w:tc>
      </w:tr>
      <w:tr w:rsidR="00F02C61" w:rsidRPr="00264D5D" w14:paraId="01F5E290"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4" w:type="dxa"/>
          </w:tcPr>
          <w:p w14:paraId="54DC8E4F" w14:textId="77777777" w:rsidR="00F02C61" w:rsidRPr="00264D5D" w:rsidRDefault="00F02C61" w:rsidP="00F02C61">
            <w:pPr>
              <w:pStyle w:val="EBTablenorm"/>
              <w:widowControl w:val="0"/>
              <w:ind w:left="57" w:right="57"/>
              <w:contextualSpacing w:val="0"/>
              <w:rPr>
                <w:sz w:val="22"/>
                <w:szCs w:val="22"/>
              </w:rPr>
            </w:pPr>
            <w:r w:rsidRPr="00264D5D">
              <w:rPr>
                <w:sz w:val="22"/>
                <w:szCs w:val="22"/>
              </w:rPr>
              <w:t>Реквизиты контрагента/ взыскателя по исполнительному документу/ налогового органа</w:t>
            </w:r>
          </w:p>
        </w:tc>
        <w:tc>
          <w:tcPr>
            <w:tcW w:w="1704" w:type="dxa"/>
          </w:tcPr>
          <w:p w14:paraId="2C4C49D6" w14:textId="77777777" w:rsidR="00F02C61" w:rsidRPr="00264D5D" w:rsidRDefault="00F02C61" w:rsidP="00F02C61">
            <w:pPr>
              <w:pStyle w:val="EBTablenorm"/>
              <w:widowControl w:val="0"/>
              <w:ind w:left="57" w:right="57"/>
              <w:contextualSpacing w:val="0"/>
              <w:jc w:val="left"/>
              <w:rPr>
                <w:sz w:val="22"/>
                <w:szCs w:val="22"/>
              </w:rPr>
            </w:pPr>
            <w:r w:rsidRPr="00264D5D">
              <w:rPr>
                <w:sz w:val="22"/>
                <w:szCs w:val="22"/>
              </w:rPr>
              <w:t>Rqsts_TblSbsd</w:t>
            </w:r>
          </w:p>
        </w:tc>
        <w:tc>
          <w:tcPr>
            <w:tcW w:w="568" w:type="dxa"/>
          </w:tcPr>
          <w:p w14:paraId="05B9681E" w14:textId="77777777" w:rsidR="00F02C61" w:rsidRPr="00264D5D" w:rsidRDefault="00F02C61" w:rsidP="00F02C61">
            <w:pPr>
              <w:widowControl w:val="0"/>
              <w:spacing w:before="60" w:after="60"/>
              <w:jc w:val="center"/>
              <w:rPr>
                <w:sz w:val="22"/>
                <w:szCs w:val="22"/>
              </w:rPr>
            </w:pPr>
            <w:r w:rsidRPr="00264D5D">
              <w:rPr>
                <w:sz w:val="22"/>
                <w:szCs w:val="22"/>
              </w:rPr>
              <w:t>С</w:t>
            </w:r>
          </w:p>
        </w:tc>
        <w:tc>
          <w:tcPr>
            <w:tcW w:w="1136" w:type="dxa"/>
          </w:tcPr>
          <w:p w14:paraId="34DC046A" w14:textId="77777777" w:rsidR="00F02C61" w:rsidRPr="00264D5D" w:rsidRDefault="00F02C61" w:rsidP="00F02C61">
            <w:pPr>
              <w:widowControl w:val="0"/>
              <w:spacing w:before="60" w:after="60"/>
              <w:jc w:val="left"/>
              <w:rPr>
                <w:sz w:val="22"/>
                <w:szCs w:val="22"/>
              </w:rPr>
            </w:pPr>
            <w:r w:rsidRPr="00264D5D">
              <w:rPr>
                <w:sz w:val="22"/>
                <w:szCs w:val="22"/>
              </w:rPr>
              <w:t>tRqsts_TblSbsd</w:t>
            </w:r>
          </w:p>
        </w:tc>
        <w:tc>
          <w:tcPr>
            <w:tcW w:w="568" w:type="dxa"/>
          </w:tcPr>
          <w:p w14:paraId="77A23537" w14:textId="77777777" w:rsidR="00F02C61" w:rsidRPr="00264D5D" w:rsidRDefault="00F02C61" w:rsidP="00F02C61">
            <w:pPr>
              <w:widowControl w:val="0"/>
              <w:spacing w:before="60" w:after="60"/>
              <w:jc w:val="center"/>
              <w:rPr>
                <w:sz w:val="22"/>
                <w:szCs w:val="22"/>
              </w:rPr>
            </w:pPr>
            <w:r w:rsidRPr="00264D5D">
              <w:rPr>
                <w:sz w:val="22"/>
                <w:szCs w:val="22"/>
              </w:rPr>
              <w:t>Н</w:t>
            </w:r>
          </w:p>
        </w:tc>
        <w:tc>
          <w:tcPr>
            <w:tcW w:w="3970" w:type="dxa"/>
          </w:tcPr>
          <w:p w14:paraId="24E06F9A" w14:textId="77777777" w:rsidR="00F02C61" w:rsidRPr="00264D5D" w:rsidRDefault="00F02C61" w:rsidP="00F02C61">
            <w:pPr>
              <w:pStyle w:val="EBTablenorm"/>
              <w:widowControl w:val="0"/>
              <w:ind w:left="57" w:right="57"/>
              <w:contextualSpacing w:val="0"/>
              <w:rPr>
                <w:sz w:val="22"/>
                <w:szCs w:val="22"/>
              </w:rPr>
            </w:pPr>
            <w:r w:rsidRPr="00264D5D">
              <w:rPr>
                <w:sz w:val="22"/>
                <w:szCs w:val="22"/>
              </w:rPr>
              <w:t xml:space="preserve">Реквизиты контрагента/взыскателя по исполнительному документу/налогового органа. </w:t>
            </w:r>
          </w:p>
          <w:p w14:paraId="51261AB8" w14:textId="77777777" w:rsidR="00F02C61" w:rsidRPr="00264D5D" w:rsidRDefault="00F02C61" w:rsidP="00F02C61">
            <w:pPr>
              <w:pStyle w:val="EBTablenorm"/>
              <w:ind w:left="57" w:right="57"/>
              <w:contextualSpacing w:val="0"/>
              <w:rPr>
                <w:sz w:val="22"/>
                <w:szCs w:val="22"/>
              </w:rPr>
            </w:pPr>
            <w:r w:rsidRPr="00264D5D">
              <w:rPr>
                <w:sz w:val="22"/>
                <w:szCs w:val="22"/>
              </w:rPr>
              <w:t>Обязательно заполняется, если в элементе «InfDcBs_TypeDcBs» указано одно из значений:</w:t>
            </w:r>
          </w:p>
          <w:p w14:paraId="3DDBF264" w14:textId="77777777" w:rsidR="00F02C61" w:rsidRPr="00264D5D" w:rsidRDefault="00F02C61" w:rsidP="00F02C61">
            <w:pPr>
              <w:pStyle w:val="GOSTTableListMark1"/>
              <w:widowControl w:val="0"/>
              <w:numPr>
                <w:ilvl w:val="0"/>
                <w:numId w:val="163"/>
              </w:numPr>
              <w:tabs>
                <w:tab w:val="clear" w:pos="340"/>
                <w:tab w:val="num" w:pos="227"/>
              </w:tabs>
              <w:spacing w:before="60" w:after="60"/>
              <w:ind w:left="284"/>
              <w:jc w:val="both"/>
              <w:rPr>
                <w:szCs w:val="22"/>
              </w:rPr>
            </w:pPr>
            <w:r w:rsidRPr="00264D5D">
              <w:rPr>
                <w:szCs w:val="22"/>
              </w:rPr>
              <w:t>«иное основание», при этом в разделе «Oblgtns_Pmnts» в элементе «KBK» в 18 разряде указано значение, отличные от «1» (НЕ указаны КВР группы 100);</w:t>
            </w:r>
          </w:p>
          <w:p w14:paraId="39EEAF3C" w14:textId="77777777" w:rsidR="00F02C61" w:rsidRPr="00264D5D" w:rsidRDefault="00F02C61" w:rsidP="00F02C61">
            <w:pPr>
              <w:pStyle w:val="GOSTTableListMark1"/>
              <w:widowControl w:val="0"/>
              <w:numPr>
                <w:ilvl w:val="0"/>
                <w:numId w:val="163"/>
              </w:numPr>
              <w:tabs>
                <w:tab w:val="clear" w:pos="340"/>
                <w:tab w:val="num" w:pos="227"/>
              </w:tabs>
              <w:spacing w:before="60" w:after="60"/>
              <w:ind w:left="284"/>
              <w:jc w:val="both"/>
              <w:rPr>
                <w:szCs w:val="22"/>
              </w:rPr>
            </w:pPr>
            <w:r w:rsidRPr="00264D5D">
              <w:rPr>
                <w:szCs w:val="22"/>
              </w:rPr>
              <w:t>«контракт»;</w:t>
            </w:r>
          </w:p>
          <w:p w14:paraId="14C56086" w14:textId="77777777" w:rsidR="00F02C61" w:rsidRPr="00264D5D" w:rsidRDefault="00F02C61" w:rsidP="00F02C61">
            <w:pPr>
              <w:pStyle w:val="GOSTTableListMark1"/>
              <w:widowControl w:val="0"/>
              <w:numPr>
                <w:ilvl w:val="0"/>
                <w:numId w:val="163"/>
              </w:numPr>
              <w:tabs>
                <w:tab w:val="clear" w:pos="340"/>
                <w:tab w:val="num" w:pos="227"/>
              </w:tabs>
              <w:spacing w:before="60" w:after="60"/>
              <w:ind w:left="284"/>
              <w:jc w:val="both"/>
              <w:rPr>
                <w:szCs w:val="22"/>
              </w:rPr>
            </w:pPr>
            <w:r w:rsidRPr="00264D5D">
              <w:rPr>
                <w:szCs w:val="22"/>
              </w:rPr>
              <w:t>«договор»;</w:t>
            </w:r>
          </w:p>
          <w:p w14:paraId="7314B258" w14:textId="77777777" w:rsidR="00F02C61" w:rsidRPr="00264D5D" w:rsidRDefault="00F02C61" w:rsidP="00F02C61">
            <w:pPr>
              <w:pStyle w:val="GOSTTableListMark1"/>
              <w:widowControl w:val="0"/>
              <w:numPr>
                <w:ilvl w:val="0"/>
                <w:numId w:val="163"/>
              </w:numPr>
              <w:tabs>
                <w:tab w:val="clear" w:pos="340"/>
                <w:tab w:val="num" w:pos="227"/>
              </w:tabs>
              <w:spacing w:before="60" w:after="60"/>
              <w:ind w:left="284"/>
              <w:jc w:val="both"/>
              <w:rPr>
                <w:szCs w:val="22"/>
              </w:rPr>
            </w:pPr>
            <w:r w:rsidRPr="00264D5D">
              <w:rPr>
                <w:szCs w:val="22"/>
              </w:rPr>
              <w:t>«соглашение»;</w:t>
            </w:r>
          </w:p>
          <w:p w14:paraId="7C0AC69D" w14:textId="77777777" w:rsidR="00F02C61" w:rsidRPr="00264D5D" w:rsidRDefault="00F02C61" w:rsidP="00F02C61">
            <w:pPr>
              <w:pStyle w:val="GOSTTableListMark1"/>
              <w:widowControl w:val="0"/>
              <w:numPr>
                <w:ilvl w:val="0"/>
                <w:numId w:val="163"/>
              </w:numPr>
              <w:tabs>
                <w:tab w:val="clear" w:pos="340"/>
                <w:tab w:val="num" w:pos="227"/>
              </w:tabs>
              <w:spacing w:before="60" w:after="60"/>
              <w:ind w:left="284"/>
              <w:jc w:val="both"/>
              <w:rPr>
                <w:szCs w:val="22"/>
              </w:rPr>
            </w:pPr>
            <w:r w:rsidRPr="00264D5D">
              <w:rPr>
                <w:szCs w:val="22"/>
              </w:rPr>
              <w:t>«нормативный правовой акт»;</w:t>
            </w:r>
          </w:p>
          <w:p w14:paraId="44725D8F" w14:textId="77777777" w:rsidR="00F02C61" w:rsidRPr="00264D5D" w:rsidRDefault="00F02C61" w:rsidP="00F02C61">
            <w:pPr>
              <w:pStyle w:val="GOSTTableListMark1"/>
              <w:widowControl w:val="0"/>
              <w:numPr>
                <w:ilvl w:val="0"/>
                <w:numId w:val="163"/>
              </w:numPr>
              <w:tabs>
                <w:tab w:val="clear" w:pos="340"/>
                <w:tab w:val="num" w:pos="227"/>
              </w:tabs>
              <w:spacing w:before="60" w:after="60"/>
              <w:ind w:left="284"/>
              <w:jc w:val="both"/>
              <w:rPr>
                <w:szCs w:val="22"/>
              </w:rPr>
            </w:pPr>
            <w:r w:rsidRPr="00264D5D">
              <w:rPr>
                <w:szCs w:val="22"/>
              </w:rPr>
              <w:t>«исполнительный документ»;</w:t>
            </w:r>
          </w:p>
          <w:p w14:paraId="727C1FC5" w14:textId="77777777" w:rsidR="00F02C61" w:rsidRPr="00264D5D" w:rsidRDefault="00F02C61" w:rsidP="00F02C61">
            <w:pPr>
              <w:pStyle w:val="GOSTTableListMark1"/>
              <w:widowControl w:val="0"/>
              <w:numPr>
                <w:ilvl w:val="0"/>
                <w:numId w:val="163"/>
              </w:numPr>
              <w:tabs>
                <w:tab w:val="clear" w:pos="340"/>
                <w:tab w:val="num" w:pos="227"/>
              </w:tabs>
              <w:spacing w:before="60" w:after="60"/>
              <w:ind w:left="284"/>
              <w:jc w:val="both"/>
              <w:rPr>
                <w:szCs w:val="22"/>
              </w:rPr>
            </w:pPr>
            <w:r w:rsidRPr="00264D5D">
              <w:rPr>
                <w:szCs w:val="22"/>
              </w:rPr>
              <w:t>«решение налогового органа»;</w:t>
            </w:r>
          </w:p>
          <w:p w14:paraId="1EDBCD31" w14:textId="77777777" w:rsidR="00F02C61" w:rsidRPr="00264D5D" w:rsidRDefault="00F02C61" w:rsidP="00F02C61">
            <w:pPr>
              <w:pStyle w:val="GOSTTableListMark1"/>
              <w:widowControl w:val="0"/>
              <w:numPr>
                <w:ilvl w:val="0"/>
                <w:numId w:val="163"/>
              </w:numPr>
              <w:spacing w:before="60" w:after="60"/>
              <w:jc w:val="both"/>
              <w:rPr>
                <w:szCs w:val="22"/>
              </w:rPr>
            </w:pPr>
            <w:r w:rsidRPr="00264D5D">
              <w:rPr>
                <w:szCs w:val="22"/>
              </w:rPr>
              <w:t>«проект контракта»</w:t>
            </w:r>
          </w:p>
          <w:p w14:paraId="715B97C1" w14:textId="77777777" w:rsidR="00F02C61" w:rsidRPr="00264D5D" w:rsidRDefault="00F02C61" w:rsidP="00F02C61">
            <w:pPr>
              <w:pStyle w:val="EBTablenorm"/>
              <w:ind w:left="57" w:right="57"/>
              <w:contextualSpacing w:val="0"/>
              <w:rPr>
                <w:sz w:val="22"/>
                <w:szCs w:val="22"/>
              </w:rPr>
            </w:pPr>
            <w:r w:rsidRPr="00264D5D">
              <w:rPr>
                <w:sz w:val="22"/>
                <w:szCs w:val="22"/>
              </w:rPr>
              <w:t>Обязательно не заполняется, если в элементе «InfDcBs_TypeDcBs» указано одно из значений:</w:t>
            </w:r>
          </w:p>
          <w:p w14:paraId="61D9C7D7" w14:textId="77777777" w:rsidR="00F02C61" w:rsidRPr="00264D5D" w:rsidRDefault="00F02C61" w:rsidP="00F02C61">
            <w:pPr>
              <w:pStyle w:val="GOSTTableListMark1"/>
              <w:widowControl w:val="0"/>
              <w:numPr>
                <w:ilvl w:val="0"/>
                <w:numId w:val="163"/>
              </w:numPr>
              <w:tabs>
                <w:tab w:val="clear" w:pos="340"/>
                <w:tab w:val="num" w:pos="227"/>
              </w:tabs>
              <w:spacing w:before="60" w:after="60"/>
              <w:ind w:left="284"/>
              <w:jc w:val="both"/>
              <w:rPr>
                <w:szCs w:val="22"/>
              </w:rPr>
            </w:pPr>
            <w:r w:rsidRPr="00264D5D">
              <w:rPr>
                <w:szCs w:val="22"/>
              </w:rPr>
              <w:t>«извещение об осуществлении закупки»;</w:t>
            </w:r>
          </w:p>
          <w:p w14:paraId="7AD45F57" w14:textId="77777777" w:rsidR="00F02C61" w:rsidRPr="00264D5D" w:rsidRDefault="00F02C61" w:rsidP="00F02C61">
            <w:pPr>
              <w:pStyle w:val="GOSTTableListMark1"/>
              <w:widowControl w:val="0"/>
              <w:numPr>
                <w:ilvl w:val="0"/>
                <w:numId w:val="163"/>
              </w:numPr>
              <w:tabs>
                <w:tab w:val="clear" w:pos="340"/>
                <w:tab w:val="num" w:pos="227"/>
              </w:tabs>
              <w:spacing w:before="60" w:after="60"/>
              <w:ind w:left="284"/>
              <w:jc w:val="both"/>
              <w:rPr>
                <w:szCs w:val="22"/>
              </w:rPr>
            </w:pPr>
            <w:r w:rsidRPr="00264D5D">
              <w:rPr>
                <w:szCs w:val="22"/>
              </w:rPr>
              <w:t>«приглашение принять участие в определении поставщика (подрядчика, исполнителя).</w:t>
            </w:r>
          </w:p>
          <w:p w14:paraId="405A7D73" w14:textId="77777777" w:rsidR="00F02C61" w:rsidRPr="00264D5D" w:rsidRDefault="00F02C61" w:rsidP="00F02C61">
            <w:pPr>
              <w:pStyle w:val="EBTablenorm"/>
              <w:ind w:left="57" w:right="57"/>
              <w:contextualSpacing w:val="0"/>
              <w:rPr>
                <w:sz w:val="22"/>
                <w:szCs w:val="22"/>
              </w:rPr>
            </w:pPr>
            <w:r w:rsidRPr="00264D5D">
              <w:rPr>
                <w:sz w:val="22"/>
                <w:szCs w:val="22"/>
              </w:rPr>
              <w:t xml:space="preserve">Может не заполняться, если в элементе «InfDcBs_TypeDcBs» указано значение «иное основание», при этом в разделе «Oblgtns_Pmnts» в элементе «KBK» в 18 </w:t>
            </w:r>
            <w:r w:rsidRPr="00264D5D">
              <w:rPr>
                <w:sz w:val="22"/>
                <w:szCs w:val="22"/>
              </w:rPr>
              <w:lastRenderedPageBreak/>
              <w:t>разряде указано значение «1» (указан КВР группы 100).</w:t>
            </w:r>
          </w:p>
          <w:p w14:paraId="6A8B6D88" w14:textId="642881AE" w:rsidR="00F02C61" w:rsidRPr="00264D5D" w:rsidRDefault="00F02C61" w:rsidP="00F02C61">
            <w:pPr>
              <w:pStyle w:val="EBTablenorm"/>
              <w:widowControl w:val="0"/>
              <w:ind w:left="57" w:right="57"/>
              <w:contextualSpacing w:val="0"/>
              <w:rPr>
                <w:sz w:val="22"/>
                <w:szCs w:val="22"/>
              </w:rPr>
            </w:pPr>
            <w:r w:rsidRPr="00264D5D">
              <w:rPr>
                <w:sz w:val="22"/>
                <w:szCs w:val="22"/>
              </w:rPr>
              <w:t xml:space="preserve">Состав элемента представлен в таблице </w:t>
            </w:r>
            <w:r w:rsidRPr="00264D5D">
              <w:rPr>
                <w:b/>
                <w:sz w:val="22"/>
                <w:szCs w:val="22"/>
              </w:rPr>
              <w:fldChar w:fldCharType="begin"/>
            </w:r>
            <w:r w:rsidRPr="00264D5D">
              <w:rPr>
                <w:b/>
                <w:sz w:val="22"/>
                <w:szCs w:val="22"/>
              </w:rPr>
              <w:instrText xml:space="preserve"> REF _Ref412028063 \h  \* MERGEFORMAT </w:instrText>
            </w:r>
            <w:r w:rsidRPr="00264D5D">
              <w:rPr>
                <w:b/>
                <w:sz w:val="22"/>
                <w:szCs w:val="22"/>
              </w:rPr>
            </w:r>
            <w:r w:rsidRPr="00264D5D">
              <w:rPr>
                <w:b/>
                <w:sz w:val="22"/>
                <w:szCs w:val="22"/>
              </w:rPr>
              <w:fldChar w:fldCharType="separate"/>
            </w:r>
            <w:r w:rsidR="008D797C" w:rsidRPr="008D797C">
              <w:rPr>
                <w:b/>
                <w:sz w:val="22"/>
                <w:szCs w:val="22"/>
              </w:rPr>
              <w:t>145</w:t>
            </w:r>
            <w:r w:rsidRPr="00264D5D">
              <w:rPr>
                <w:b/>
                <w:sz w:val="22"/>
                <w:szCs w:val="22"/>
              </w:rPr>
              <w:fldChar w:fldCharType="end"/>
            </w:r>
          </w:p>
        </w:tc>
      </w:tr>
      <w:tr w:rsidR="00F02C61" w:rsidRPr="00264D5D" w14:paraId="7F9317B4" w14:textId="77777777" w:rsidTr="00AD1F54">
        <w:trPr>
          <w:gridAfter w:val="1"/>
          <w:cnfStyle w:val="000000100000" w:firstRow="0" w:lastRow="0" w:firstColumn="0" w:lastColumn="0" w:oddVBand="0" w:evenVBand="0" w:oddHBand="1" w:evenHBand="0" w:firstRowFirstColumn="0" w:firstRowLastColumn="0" w:lastRowFirstColumn="0" w:lastRowLastColumn="0"/>
          <w:wAfter w:w="6" w:type="dxa"/>
        </w:trPr>
        <w:tc>
          <w:tcPr>
            <w:tcW w:w="1704" w:type="dxa"/>
          </w:tcPr>
          <w:p w14:paraId="51014DDB" w14:textId="77777777" w:rsidR="00F02C61" w:rsidRPr="00264D5D" w:rsidRDefault="00F02C61" w:rsidP="00F02C61">
            <w:pPr>
              <w:pStyle w:val="EBTablenorm"/>
              <w:widowControl w:val="0"/>
              <w:ind w:left="57" w:right="57"/>
              <w:contextualSpacing w:val="0"/>
              <w:jc w:val="left"/>
              <w:rPr>
                <w:sz w:val="22"/>
                <w:szCs w:val="22"/>
              </w:rPr>
            </w:pPr>
            <w:r w:rsidRPr="00264D5D">
              <w:rPr>
                <w:sz w:val="22"/>
                <w:szCs w:val="22"/>
              </w:rPr>
              <w:lastRenderedPageBreak/>
              <w:t>Расшифровка обязательства</w:t>
            </w:r>
          </w:p>
        </w:tc>
        <w:tc>
          <w:tcPr>
            <w:tcW w:w="1704" w:type="dxa"/>
          </w:tcPr>
          <w:p w14:paraId="3A14B675" w14:textId="77777777" w:rsidR="00F02C61" w:rsidRPr="00264D5D" w:rsidRDefault="00F02C61" w:rsidP="00F02C61">
            <w:pPr>
              <w:pStyle w:val="EBTablenorm"/>
              <w:widowControl w:val="0"/>
              <w:ind w:left="57" w:right="57"/>
              <w:contextualSpacing w:val="0"/>
              <w:jc w:val="left"/>
              <w:rPr>
                <w:sz w:val="22"/>
                <w:szCs w:val="22"/>
              </w:rPr>
            </w:pPr>
            <w:r w:rsidRPr="00264D5D">
              <w:rPr>
                <w:sz w:val="22"/>
                <w:szCs w:val="22"/>
              </w:rPr>
              <w:t>Oblgtns_Pmnts</w:t>
            </w:r>
          </w:p>
        </w:tc>
        <w:tc>
          <w:tcPr>
            <w:tcW w:w="568" w:type="dxa"/>
          </w:tcPr>
          <w:p w14:paraId="47A88690" w14:textId="77777777" w:rsidR="00F02C61" w:rsidRPr="00264D5D" w:rsidRDefault="00F02C61" w:rsidP="00F02C61">
            <w:pPr>
              <w:widowControl w:val="0"/>
              <w:spacing w:before="60" w:after="60"/>
              <w:jc w:val="center"/>
              <w:rPr>
                <w:sz w:val="22"/>
                <w:szCs w:val="22"/>
              </w:rPr>
            </w:pPr>
            <w:r w:rsidRPr="00264D5D">
              <w:rPr>
                <w:sz w:val="22"/>
                <w:szCs w:val="22"/>
              </w:rPr>
              <w:t>С</w:t>
            </w:r>
          </w:p>
        </w:tc>
        <w:tc>
          <w:tcPr>
            <w:tcW w:w="1136" w:type="dxa"/>
          </w:tcPr>
          <w:p w14:paraId="273F16E9" w14:textId="77777777" w:rsidR="00F02C61" w:rsidRPr="00264D5D" w:rsidRDefault="00F02C61" w:rsidP="00F02C61">
            <w:pPr>
              <w:widowControl w:val="0"/>
              <w:spacing w:before="60" w:after="60"/>
              <w:jc w:val="left"/>
              <w:rPr>
                <w:sz w:val="22"/>
                <w:szCs w:val="22"/>
              </w:rPr>
            </w:pPr>
            <w:r w:rsidRPr="00264D5D">
              <w:rPr>
                <w:sz w:val="22"/>
                <w:szCs w:val="22"/>
              </w:rPr>
              <w:t>tOblgtns_Pmnts</w:t>
            </w:r>
          </w:p>
        </w:tc>
        <w:tc>
          <w:tcPr>
            <w:tcW w:w="568" w:type="dxa"/>
          </w:tcPr>
          <w:p w14:paraId="3A5E9EE5" w14:textId="77777777" w:rsidR="00F02C61" w:rsidRPr="00264D5D" w:rsidRDefault="00F02C61" w:rsidP="00F02C61">
            <w:pPr>
              <w:widowControl w:val="0"/>
              <w:spacing w:before="60" w:after="60"/>
              <w:jc w:val="center"/>
              <w:rPr>
                <w:sz w:val="22"/>
                <w:szCs w:val="22"/>
              </w:rPr>
            </w:pPr>
            <w:r w:rsidRPr="00264D5D">
              <w:rPr>
                <w:sz w:val="22"/>
                <w:szCs w:val="22"/>
              </w:rPr>
              <w:t>О</w:t>
            </w:r>
          </w:p>
        </w:tc>
        <w:tc>
          <w:tcPr>
            <w:tcW w:w="3970" w:type="dxa"/>
          </w:tcPr>
          <w:p w14:paraId="5B027E26" w14:textId="77777777" w:rsidR="00F02C61" w:rsidRPr="00264D5D" w:rsidRDefault="00F02C61" w:rsidP="00F02C61">
            <w:pPr>
              <w:pStyle w:val="EBTablenorm"/>
              <w:widowControl w:val="0"/>
              <w:ind w:left="57" w:right="57"/>
              <w:contextualSpacing w:val="0"/>
              <w:rPr>
                <w:sz w:val="22"/>
                <w:szCs w:val="22"/>
              </w:rPr>
            </w:pPr>
            <w:r w:rsidRPr="00264D5D">
              <w:rPr>
                <w:sz w:val="22"/>
                <w:szCs w:val="22"/>
              </w:rPr>
              <w:t>Расшифровка обязательства.</w:t>
            </w:r>
          </w:p>
          <w:p w14:paraId="09AE522C" w14:textId="205B02AB" w:rsidR="00F02C61" w:rsidRPr="00264D5D" w:rsidRDefault="00F02C61" w:rsidP="00F02C61">
            <w:pPr>
              <w:pStyle w:val="EBTablenorm"/>
              <w:widowControl w:val="0"/>
              <w:ind w:left="57" w:right="57"/>
              <w:contextualSpacing w:val="0"/>
              <w:rPr>
                <w:sz w:val="22"/>
                <w:szCs w:val="22"/>
              </w:rPr>
            </w:pPr>
            <w:r w:rsidRPr="00264D5D">
              <w:rPr>
                <w:sz w:val="22"/>
                <w:szCs w:val="22"/>
              </w:rPr>
              <w:t>Состав элемента представлен в таблице</w:t>
            </w:r>
            <w:r w:rsidRPr="00264D5D">
              <w:rPr>
                <w:b/>
                <w:sz w:val="22"/>
                <w:szCs w:val="22"/>
              </w:rPr>
              <w:t xml:space="preserve"> </w:t>
            </w:r>
            <w:r w:rsidRPr="00264D5D">
              <w:rPr>
                <w:b/>
                <w:sz w:val="22"/>
                <w:szCs w:val="22"/>
              </w:rPr>
              <w:fldChar w:fldCharType="begin"/>
            </w:r>
            <w:r w:rsidRPr="00264D5D">
              <w:rPr>
                <w:b/>
                <w:sz w:val="22"/>
                <w:szCs w:val="22"/>
              </w:rPr>
              <w:instrText xml:space="preserve"> REF _Ref466415525 \h  \* MERGEFORMAT </w:instrText>
            </w:r>
            <w:r w:rsidRPr="00264D5D">
              <w:rPr>
                <w:b/>
                <w:sz w:val="22"/>
                <w:szCs w:val="22"/>
              </w:rPr>
            </w:r>
            <w:r w:rsidRPr="00264D5D">
              <w:rPr>
                <w:b/>
                <w:sz w:val="22"/>
                <w:szCs w:val="22"/>
              </w:rPr>
              <w:fldChar w:fldCharType="separate"/>
            </w:r>
            <w:r w:rsidR="008D797C" w:rsidRPr="008D797C">
              <w:rPr>
                <w:rFonts w:eastAsia="Calibri"/>
                <w:b/>
                <w:sz w:val="22"/>
                <w:szCs w:val="22"/>
              </w:rPr>
              <w:t>147</w:t>
            </w:r>
            <w:r w:rsidRPr="00264D5D">
              <w:rPr>
                <w:b/>
                <w:sz w:val="22"/>
                <w:szCs w:val="22"/>
              </w:rPr>
              <w:fldChar w:fldCharType="end"/>
            </w:r>
          </w:p>
        </w:tc>
      </w:tr>
      <w:tr w:rsidR="00F02C61" w:rsidRPr="00264D5D" w14:paraId="5E8FC192"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4" w:type="dxa"/>
          </w:tcPr>
          <w:p w14:paraId="49015DA9" w14:textId="77777777" w:rsidR="00F02C61" w:rsidRPr="00264D5D" w:rsidRDefault="00F02C61" w:rsidP="00F02C61">
            <w:pPr>
              <w:pStyle w:val="EBTablenorm"/>
              <w:widowControl w:val="0"/>
              <w:ind w:left="57" w:right="57"/>
              <w:contextualSpacing w:val="0"/>
              <w:jc w:val="left"/>
              <w:rPr>
                <w:sz w:val="22"/>
                <w:szCs w:val="22"/>
              </w:rPr>
            </w:pPr>
            <w:r w:rsidRPr="00264D5D">
              <w:rPr>
                <w:sz w:val="22"/>
                <w:szCs w:val="22"/>
              </w:rPr>
              <w:t>Итоги по ОКС (ОКВ), КМИ</w:t>
            </w:r>
          </w:p>
        </w:tc>
        <w:tc>
          <w:tcPr>
            <w:tcW w:w="1704" w:type="dxa"/>
          </w:tcPr>
          <w:p w14:paraId="5472ED3E" w14:textId="77777777" w:rsidR="00F02C61" w:rsidRPr="00264D5D" w:rsidRDefault="00F02C61" w:rsidP="00F02C61">
            <w:pPr>
              <w:pStyle w:val="EBTablenorm"/>
              <w:widowControl w:val="0"/>
              <w:ind w:left="57" w:right="57"/>
              <w:contextualSpacing w:val="0"/>
              <w:jc w:val="left"/>
              <w:rPr>
                <w:sz w:val="22"/>
                <w:szCs w:val="22"/>
              </w:rPr>
            </w:pPr>
            <w:r w:rsidRPr="00264D5D">
              <w:rPr>
                <w:sz w:val="22"/>
                <w:szCs w:val="22"/>
              </w:rPr>
              <w:t>Oblgtns_Rslts</w:t>
            </w:r>
          </w:p>
        </w:tc>
        <w:tc>
          <w:tcPr>
            <w:tcW w:w="568" w:type="dxa"/>
          </w:tcPr>
          <w:p w14:paraId="58043CFD" w14:textId="77777777" w:rsidR="00F02C61" w:rsidRPr="00264D5D" w:rsidRDefault="00F02C61" w:rsidP="00F02C61">
            <w:pPr>
              <w:widowControl w:val="0"/>
              <w:spacing w:before="60" w:after="60"/>
              <w:jc w:val="center"/>
              <w:rPr>
                <w:sz w:val="22"/>
                <w:szCs w:val="22"/>
              </w:rPr>
            </w:pPr>
            <w:r w:rsidRPr="00264D5D">
              <w:rPr>
                <w:sz w:val="22"/>
                <w:szCs w:val="22"/>
              </w:rPr>
              <w:t>С</w:t>
            </w:r>
          </w:p>
        </w:tc>
        <w:tc>
          <w:tcPr>
            <w:tcW w:w="1136" w:type="dxa"/>
          </w:tcPr>
          <w:p w14:paraId="35A48B1B" w14:textId="77777777" w:rsidR="00F02C61" w:rsidRPr="00264D5D" w:rsidRDefault="00F02C61" w:rsidP="00F02C61">
            <w:pPr>
              <w:widowControl w:val="0"/>
              <w:spacing w:before="60" w:after="60"/>
              <w:jc w:val="left"/>
              <w:rPr>
                <w:sz w:val="22"/>
                <w:szCs w:val="22"/>
              </w:rPr>
            </w:pPr>
            <w:r w:rsidRPr="00264D5D">
              <w:rPr>
                <w:rFonts w:eastAsia="Calibri"/>
                <w:sz w:val="22"/>
                <w:szCs w:val="22"/>
              </w:rPr>
              <w:t>tOblgtns_Rslts</w:t>
            </w:r>
          </w:p>
        </w:tc>
        <w:tc>
          <w:tcPr>
            <w:tcW w:w="568" w:type="dxa"/>
          </w:tcPr>
          <w:p w14:paraId="04795272" w14:textId="77777777" w:rsidR="00F02C61" w:rsidRPr="00264D5D" w:rsidRDefault="00F02C61" w:rsidP="00F02C61">
            <w:pPr>
              <w:widowControl w:val="0"/>
              <w:spacing w:before="60" w:after="60"/>
              <w:jc w:val="center"/>
              <w:rPr>
                <w:sz w:val="22"/>
                <w:szCs w:val="22"/>
              </w:rPr>
            </w:pPr>
            <w:r w:rsidRPr="00264D5D">
              <w:rPr>
                <w:sz w:val="22"/>
                <w:szCs w:val="22"/>
              </w:rPr>
              <w:t>Н</w:t>
            </w:r>
          </w:p>
        </w:tc>
        <w:tc>
          <w:tcPr>
            <w:tcW w:w="3970" w:type="dxa"/>
          </w:tcPr>
          <w:p w14:paraId="3D5C8567" w14:textId="77777777" w:rsidR="00F02C61" w:rsidRPr="00264D5D" w:rsidRDefault="00F02C61" w:rsidP="00F02C61">
            <w:pPr>
              <w:pStyle w:val="EBTablenorm"/>
              <w:widowControl w:val="0"/>
              <w:ind w:left="57" w:right="57"/>
              <w:contextualSpacing w:val="0"/>
              <w:rPr>
                <w:sz w:val="22"/>
                <w:szCs w:val="22"/>
              </w:rPr>
            </w:pPr>
            <w:r w:rsidRPr="00264D5D">
              <w:rPr>
                <w:sz w:val="22"/>
                <w:szCs w:val="22"/>
              </w:rPr>
              <w:t xml:space="preserve">Итоги по ОКС (ОКВ), КМИ. </w:t>
            </w:r>
          </w:p>
          <w:p w14:paraId="21769DC8" w14:textId="431A34B7" w:rsidR="00F02C61" w:rsidRPr="00264D5D" w:rsidRDefault="00F02C61" w:rsidP="00F02C61">
            <w:pPr>
              <w:pStyle w:val="EBTablenorm"/>
              <w:widowControl w:val="0"/>
              <w:ind w:left="57" w:right="57"/>
              <w:contextualSpacing w:val="0"/>
              <w:rPr>
                <w:sz w:val="22"/>
                <w:szCs w:val="22"/>
              </w:rPr>
            </w:pPr>
            <w:r w:rsidRPr="00264D5D">
              <w:rPr>
                <w:sz w:val="22"/>
                <w:szCs w:val="22"/>
              </w:rPr>
              <w:t xml:space="preserve">Состав элемента представлен в таблице </w:t>
            </w:r>
            <w:r w:rsidRPr="00264D5D">
              <w:rPr>
                <w:sz w:val="22"/>
                <w:szCs w:val="22"/>
              </w:rPr>
              <w:fldChar w:fldCharType="begin"/>
            </w:r>
            <w:r w:rsidRPr="00264D5D">
              <w:rPr>
                <w:sz w:val="22"/>
                <w:szCs w:val="22"/>
              </w:rPr>
              <w:instrText xml:space="preserve"> REF _Ref412028105 \h  \* MERGEFORMAT </w:instrText>
            </w:r>
            <w:r w:rsidRPr="00264D5D">
              <w:rPr>
                <w:sz w:val="22"/>
                <w:szCs w:val="22"/>
              </w:rPr>
            </w:r>
            <w:r w:rsidRPr="00264D5D">
              <w:rPr>
                <w:sz w:val="22"/>
                <w:szCs w:val="22"/>
              </w:rPr>
              <w:fldChar w:fldCharType="separate"/>
            </w:r>
            <w:r w:rsidR="008D797C" w:rsidRPr="008D797C">
              <w:rPr>
                <w:rFonts w:eastAsia="Calibri"/>
                <w:b/>
                <w:sz w:val="22"/>
                <w:szCs w:val="22"/>
              </w:rPr>
              <w:t>149</w:t>
            </w:r>
            <w:r w:rsidRPr="00264D5D">
              <w:rPr>
                <w:sz w:val="22"/>
                <w:szCs w:val="22"/>
              </w:rPr>
              <w:fldChar w:fldCharType="end"/>
            </w:r>
          </w:p>
        </w:tc>
      </w:tr>
      <w:tr w:rsidR="00F02C61" w:rsidRPr="00264D5D" w14:paraId="7D6A886A" w14:textId="77777777" w:rsidTr="00AD1F54">
        <w:trPr>
          <w:cnfStyle w:val="000000100000" w:firstRow="0" w:lastRow="0" w:firstColumn="0" w:lastColumn="0" w:oddVBand="0" w:evenVBand="0" w:oddHBand="1" w:evenHBand="0" w:firstRowFirstColumn="0" w:firstRowLastColumn="0" w:lastRowFirstColumn="0" w:lastRowLastColumn="0"/>
        </w:trPr>
        <w:tc>
          <w:tcPr>
            <w:tcW w:w="9656" w:type="dxa"/>
            <w:gridSpan w:val="7"/>
          </w:tcPr>
          <w:p w14:paraId="4C01D58E" w14:textId="77777777" w:rsidR="00F02C61" w:rsidRPr="00264D5D" w:rsidRDefault="00F02C61" w:rsidP="00F02C61">
            <w:pPr>
              <w:pStyle w:val="EBTablenorm"/>
              <w:widowControl w:val="0"/>
              <w:ind w:left="57" w:right="57"/>
              <w:contextualSpacing w:val="0"/>
              <w:rPr>
                <w:b/>
                <w:sz w:val="22"/>
                <w:szCs w:val="22"/>
              </w:rPr>
            </w:pPr>
            <w:r w:rsidRPr="00264D5D">
              <w:rPr>
                <w:b/>
                <w:sz w:val="22"/>
                <w:szCs w:val="22"/>
              </w:rPr>
              <w:t>ЭП</w:t>
            </w:r>
          </w:p>
        </w:tc>
      </w:tr>
      <w:tr w:rsidR="00F02C61" w:rsidRPr="00264D5D" w14:paraId="7EAD898D" w14:textId="77777777" w:rsidTr="00AD1F54">
        <w:trPr>
          <w:gridAfter w:val="1"/>
          <w:cnfStyle w:val="000000010000" w:firstRow="0" w:lastRow="0" w:firstColumn="0" w:lastColumn="0" w:oddVBand="0" w:evenVBand="0" w:oddHBand="0" w:evenHBand="1" w:firstRowFirstColumn="0" w:firstRowLastColumn="0" w:lastRowFirstColumn="0" w:lastRowLastColumn="0"/>
          <w:wAfter w:w="6" w:type="dxa"/>
        </w:trPr>
        <w:tc>
          <w:tcPr>
            <w:tcW w:w="1704" w:type="dxa"/>
          </w:tcPr>
          <w:p w14:paraId="7B0056EC" w14:textId="77777777" w:rsidR="00F02C61" w:rsidRPr="00264D5D" w:rsidRDefault="00F02C61" w:rsidP="00F02C61">
            <w:pPr>
              <w:pStyle w:val="EBTablenorm"/>
              <w:widowControl w:val="0"/>
              <w:ind w:left="57" w:right="57"/>
              <w:contextualSpacing w:val="0"/>
              <w:jc w:val="left"/>
              <w:rPr>
                <w:sz w:val="22"/>
                <w:szCs w:val="22"/>
              </w:rPr>
            </w:pPr>
            <w:r w:rsidRPr="00264D5D">
              <w:rPr>
                <w:sz w:val="22"/>
                <w:szCs w:val="22"/>
              </w:rPr>
              <w:t>Электронная подпись</w:t>
            </w:r>
          </w:p>
        </w:tc>
        <w:tc>
          <w:tcPr>
            <w:tcW w:w="1704" w:type="dxa"/>
          </w:tcPr>
          <w:p w14:paraId="571384DC" w14:textId="77777777" w:rsidR="00F02C61" w:rsidRPr="00264D5D" w:rsidRDefault="00F02C61" w:rsidP="00F02C61">
            <w:pPr>
              <w:pStyle w:val="EBTablenorm"/>
              <w:widowControl w:val="0"/>
              <w:ind w:left="57" w:right="57"/>
              <w:contextualSpacing w:val="0"/>
              <w:jc w:val="left"/>
              <w:rPr>
                <w:sz w:val="22"/>
                <w:szCs w:val="22"/>
              </w:rPr>
            </w:pPr>
            <w:r w:rsidRPr="00264D5D">
              <w:rPr>
                <w:sz w:val="22"/>
                <w:szCs w:val="22"/>
              </w:rPr>
              <w:t>Signature</w:t>
            </w:r>
          </w:p>
        </w:tc>
        <w:tc>
          <w:tcPr>
            <w:tcW w:w="568" w:type="dxa"/>
          </w:tcPr>
          <w:p w14:paraId="22DCBFC5" w14:textId="77777777" w:rsidR="00F02C61" w:rsidRPr="00264D5D" w:rsidRDefault="00F02C61" w:rsidP="00F02C61">
            <w:pPr>
              <w:widowControl w:val="0"/>
              <w:spacing w:before="60" w:after="60"/>
              <w:jc w:val="center"/>
              <w:rPr>
                <w:sz w:val="22"/>
                <w:szCs w:val="22"/>
              </w:rPr>
            </w:pPr>
            <w:r w:rsidRPr="00264D5D">
              <w:rPr>
                <w:sz w:val="22"/>
                <w:szCs w:val="22"/>
                <w:lang w:val="en-US"/>
              </w:rPr>
              <w:t>C</w:t>
            </w:r>
          </w:p>
        </w:tc>
        <w:tc>
          <w:tcPr>
            <w:tcW w:w="1136" w:type="dxa"/>
          </w:tcPr>
          <w:p w14:paraId="09B5A5DD" w14:textId="77777777" w:rsidR="00F02C61" w:rsidRPr="00264D5D" w:rsidRDefault="00F02C61" w:rsidP="00F02C61">
            <w:pPr>
              <w:widowControl w:val="0"/>
              <w:spacing w:before="60" w:after="60"/>
              <w:jc w:val="left"/>
              <w:rPr>
                <w:rFonts w:eastAsia="Calibri"/>
                <w:sz w:val="22"/>
                <w:szCs w:val="22"/>
              </w:rPr>
            </w:pPr>
            <w:r w:rsidRPr="00264D5D">
              <w:rPr>
                <w:rFonts w:eastAsia="Calibri"/>
                <w:sz w:val="22"/>
                <w:szCs w:val="22"/>
              </w:rPr>
              <w:t>SignatureType</w:t>
            </w:r>
          </w:p>
        </w:tc>
        <w:tc>
          <w:tcPr>
            <w:tcW w:w="568" w:type="dxa"/>
          </w:tcPr>
          <w:p w14:paraId="18A8B2BB" w14:textId="77777777" w:rsidR="00F02C61" w:rsidRPr="00264D5D" w:rsidRDefault="00F02C61" w:rsidP="00F02C61">
            <w:pPr>
              <w:widowControl w:val="0"/>
              <w:spacing w:before="60" w:after="60"/>
              <w:jc w:val="center"/>
              <w:rPr>
                <w:sz w:val="22"/>
                <w:szCs w:val="22"/>
              </w:rPr>
            </w:pPr>
            <w:r w:rsidRPr="00264D5D">
              <w:rPr>
                <w:sz w:val="22"/>
                <w:szCs w:val="22"/>
              </w:rPr>
              <w:t>Н</w:t>
            </w:r>
          </w:p>
        </w:tc>
        <w:tc>
          <w:tcPr>
            <w:tcW w:w="3970" w:type="dxa"/>
          </w:tcPr>
          <w:p w14:paraId="1ADD6031" w14:textId="77777777" w:rsidR="00F02C61" w:rsidRPr="00264D5D" w:rsidRDefault="00F02C61" w:rsidP="00F02C61">
            <w:pPr>
              <w:pStyle w:val="GOSTTablenorm"/>
            </w:pPr>
            <w:r w:rsidRPr="00264D5D">
              <w:rPr>
                <w:szCs w:val="22"/>
              </w:rPr>
              <w:t>Блок подписи в формате XAdes. Указывается как рефренс, согласно формату подписи XAdes.</w:t>
            </w:r>
            <w:r w:rsidRPr="00264D5D">
              <w:t xml:space="preserve"> </w:t>
            </w:r>
          </w:p>
          <w:p w14:paraId="39BFEA61" w14:textId="77777777" w:rsidR="00F02C61" w:rsidRPr="00264D5D" w:rsidRDefault="00F02C61" w:rsidP="00F02C61">
            <w:pPr>
              <w:spacing w:before="60" w:after="60"/>
              <w:rPr>
                <w:sz w:val="22"/>
                <w:szCs w:val="22"/>
              </w:rPr>
            </w:pPr>
            <w:r w:rsidRPr="00264D5D">
              <w:rPr>
                <w:sz w:val="22"/>
                <w:szCs w:val="22"/>
              </w:rPr>
              <w:t xml:space="preserve">Обязателен для заполнения при сервисном взаимодействии ЕИС и </w:t>
            </w:r>
            <w:r>
              <w:rPr>
                <w:sz w:val="22"/>
                <w:szCs w:val="22"/>
              </w:rPr>
              <w:t>ТОФК (ПУР ЭБ)</w:t>
            </w:r>
            <w:r w:rsidRPr="00264D5D">
              <w:rPr>
                <w:sz w:val="22"/>
                <w:szCs w:val="22"/>
              </w:rPr>
              <w:t xml:space="preserve">. </w:t>
            </w:r>
          </w:p>
          <w:p w14:paraId="128F5605" w14:textId="77777777" w:rsidR="00F02C61" w:rsidRPr="00264D5D" w:rsidRDefault="00F02C61" w:rsidP="00F02C61">
            <w:pPr>
              <w:pStyle w:val="EBTablenorm"/>
              <w:widowControl w:val="0"/>
              <w:ind w:left="57" w:right="57"/>
              <w:contextualSpacing w:val="0"/>
              <w:rPr>
                <w:sz w:val="22"/>
                <w:szCs w:val="22"/>
              </w:rPr>
            </w:pPr>
            <w:r w:rsidRPr="00264D5D">
              <w:rPr>
                <w:sz w:val="22"/>
                <w:szCs w:val="22"/>
              </w:rPr>
              <w:t>Заполняется согласно п.3.5.3 Тома 1 настоящего альбома.</w:t>
            </w:r>
          </w:p>
          <w:p w14:paraId="1FE3BBEF" w14:textId="77777777" w:rsidR="00F02C61" w:rsidRPr="00264D5D" w:rsidRDefault="00F02C61" w:rsidP="00F02C61">
            <w:pPr>
              <w:pStyle w:val="EBTablenorm"/>
              <w:widowControl w:val="0"/>
              <w:ind w:left="57" w:right="57"/>
              <w:contextualSpacing w:val="0"/>
              <w:rPr>
                <w:sz w:val="22"/>
                <w:szCs w:val="22"/>
              </w:rPr>
            </w:pPr>
            <w:r w:rsidRPr="00264D5D">
              <w:rPr>
                <w:sz w:val="22"/>
                <w:szCs w:val="22"/>
              </w:rPr>
              <w:t>Подпись проставляется для документов, передаваемых посредством файлового взаимодействия, а также сервисного без использования элемента exchangePacket</w:t>
            </w:r>
          </w:p>
        </w:tc>
      </w:tr>
    </w:tbl>
    <w:p w14:paraId="6282DC3C" w14:textId="77777777" w:rsidR="00AD1F54" w:rsidRPr="00264D5D" w:rsidRDefault="00941227">
      <w:pPr>
        <w:pStyle w:val="31"/>
      </w:pPr>
      <w:bookmarkStart w:id="1396" w:name="_Toc415757463"/>
      <w:bookmarkStart w:id="1397" w:name="_Toc415758123"/>
      <w:bookmarkStart w:id="1398" w:name="_Toc415758269"/>
      <w:bookmarkStart w:id="1399" w:name="_Toc114739099"/>
      <w:bookmarkStart w:id="1400" w:name="_Toc455401716"/>
      <w:bookmarkStart w:id="1401" w:name="_Toc416192428"/>
      <w:bookmarkStart w:id="1402" w:name="_Toc219309588"/>
      <w:bookmarkEnd w:id="1396"/>
      <w:bookmarkEnd w:id="1397"/>
      <w:bookmarkEnd w:id="1398"/>
      <w:r w:rsidRPr="00264D5D">
        <w:t>Описание комплексного типа «tCntrlNf»</w:t>
      </w:r>
      <w:bookmarkEnd w:id="1399"/>
      <w:bookmarkEnd w:id="1402"/>
    </w:p>
    <w:p w14:paraId="5147C6EF" w14:textId="77777777" w:rsidR="00AD1F54" w:rsidRPr="00264D5D" w:rsidRDefault="00941227">
      <w:pPr>
        <w:pStyle w:val="GOSTNormal"/>
      </w:pPr>
      <w:r w:rsidRPr="00264D5D">
        <w:t xml:space="preserve">Описание комплексного типа «tCntrlNf» блока «Контроль БО». </w:t>
      </w:r>
    </w:p>
    <w:bookmarkStart w:id="1403" w:name="_Ref114826327"/>
    <w:p w14:paraId="49A79032" w14:textId="1266B9E1" w:rsidR="00AD1F54" w:rsidRPr="00264D5D" w:rsidRDefault="00941227" w:rsidP="00E7460C">
      <w:pPr>
        <w:pStyle w:val="GOSTNameTable"/>
        <w:numPr>
          <w:ilvl w:val="0"/>
          <w:numId w:val="116"/>
        </w:numPr>
        <w:ind w:left="425" w:hanging="357"/>
        <w:jc w:val="both"/>
      </w:pPr>
      <w:r w:rsidRPr="00264D5D">
        <w:fldChar w:fldCharType="begin"/>
      </w:r>
      <w:r w:rsidRPr="00264D5D">
        <w:instrText xml:space="preserve"> SEQ Таблица \* ARABIC </w:instrText>
      </w:r>
      <w:r w:rsidRPr="00264D5D">
        <w:fldChar w:fldCharType="separate"/>
      </w:r>
      <w:bookmarkStart w:id="1404" w:name="_Ref111627290"/>
      <w:bookmarkStart w:id="1405" w:name="_Toc219309168"/>
      <w:r w:rsidR="008D797C">
        <w:rPr>
          <w:noProof/>
        </w:rPr>
        <w:t>138</w:t>
      </w:r>
      <w:bookmarkEnd w:id="1404"/>
      <w:r w:rsidRPr="00264D5D">
        <w:fldChar w:fldCharType="end"/>
      </w:r>
      <w:r w:rsidRPr="00264D5D">
        <w:rPr>
          <w:rFonts w:eastAsia="Calibri"/>
          <w:szCs w:val="24"/>
        </w:rPr>
        <w:t xml:space="preserve"> – </w:t>
      </w:r>
      <w:r w:rsidRPr="00264D5D">
        <w:t>Описание комплексного типа «tCntrlNf»</w:t>
      </w:r>
      <w:bookmarkEnd w:id="1403"/>
      <w:bookmarkEnd w:id="1405"/>
    </w:p>
    <w:tbl>
      <w:tblPr>
        <w:tblStyle w:val="GOSTTable"/>
        <w:tblW w:w="5003" w:type="pct"/>
        <w:tblLayout w:type="fixed"/>
        <w:tblCellMar>
          <w:left w:w="57" w:type="dxa"/>
          <w:right w:w="57" w:type="dxa"/>
        </w:tblCellMar>
        <w:tblLook w:val="04A0" w:firstRow="1" w:lastRow="0" w:firstColumn="1" w:lastColumn="0" w:noHBand="0" w:noVBand="1"/>
      </w:tblPr>
      <w:tblGrid>
        <w:gridCol w:w="1724"/>
        <w:gridCol w:w="1723"/>
        <w:gridCol w:w="574"/>
        <w:gridCol w:w="1149"/>
        <w:gridCol w:w="574"/>
        <w:gridCol w:w="4014"/>
      </w:tblGrid>
      <w:tr w:rsidR="00AD1F54" w:rsidRPr="00264D5D" w14:paraId="0D2D253F"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3C53B20B" w14:textId="77777777" w:rsidR="00AD1F54" w:rsidRPr="00264D5D" w:rsidRDefault="00941227">
            <w:pPr>
              <w:widowControl w:val="0"/>
              <w:spacing w:before="60" w:after="60"/>
              <w:jc w:val="center"/>
              <w:rPr>
                <w:b/>
                <w:bCs/>
                <w:sz w:val="22"/>
                <w:szCs w:val="22"/>
              </w:rPr>
            </w:pPr>
            <w:r w:rsidRPr="00264D5D">
              <w:rPr>
                <w:b/>
                <w:bCs/>
                <w:sz w:val="22"/>
                <w:szCs w:val="22"/>
              </w:rPr>
              <w:t>Наименование элемента</w:t>
            </w:r>
          </w:p>
        </w:tc>
        <w:tc>
          <w:tcPr>
            <w:tcW w:w="1701" w:type="dxa"/>
          </w:tcPr>
          <w:p w14:paraId="71E22EB4" w14:textId="77777777" w:rsidR="00AD1F54" w:rsidRPr="00264D5D" w:rsidRDefault="00941227">
            <w:pPr>
              <w:widowControl w:val="0"/>
              <w:spacing w:before="60" w:after="60"/>
              <w:jc w:val="center"/>
              <w:rPr>
                <w:b/>
                <w:bCs/>
                <w:sz w:val="22"/>
                <w:szCs w:val="22"/>
              </w:rPr>
            </w:pPr>
            <w:r w:rsidRPr="00264D5D">
              <w:rPr>
                <w:b/>
                <w:bCs/>
                <w:sz w:val="22"/>
                <w:szCs w:val="22"/>
              </w:rPr>
              <w:t>Сокращенное наименование (код) элемента</w:t>
            </w:r>
          </w:p>
        </w:tc>
        <w:tc>
          <w:tcPr>
            <w:tcW w:w="567" w:type="dxa"/>
          </w:tcPr>
          <w:p w14:paraId="0D26A003" w14:textId="77777777" w:rsidR="00AD1F54" w:rsidRPr="00264D5D" w:rsidRDefault="00941227">
            <w:pPr>
              <w:widowControl w:val="0"/>
              <w:spacing w:before="60" w:after="60"/>
              <w:jc w:val="center"/>
              <w:rPr>
                <w:b/>
                <w:bCs/>
                <w:sz w:val="22"/>
                <w:szCs w:val="22"/>
              </w:rPr>
            </w:pPr>
            <w:r w:rsidRPr="00264D5D">
              <w:rPr>
                <w:b/>
                <w:bCs/>
                <w:sz w:val="22"/>
                <w:szCs w:val="22"/>
              </w:rPr>
              <w:t>Тип</w:t>
            </w:r>
          </w:p>
        </w:tc>
        <w:tc>
          <w:tcPr>
            <w:tcW w:w="1134" w:type="dxa"/>
          </w:tcPr>
          <w:p w14:paraId="1DD546DE" w14:textId="77777777" w:rsidR="00AD1F54" w:rsidRPr="00264D5D" w:rsidRDefault="00941227">
            <w:pPr>
              <w:widowControl w:val="0"/>
              <w:spacing w:before="60" w:after="60"/>
              <w:jc w:val="center"/>
              <w:rPr>
                <w:b/>
                <w:bCs/>
                <w:sz w:val="22"/>
                <w:szCs w:val="22"/>
              </w:rPr>
            </w:pPr>
            <w:r w:rsidRPr="00264D5D">
              <w:rPr>
                <w:b/>
                <w:bCs/>
                <w:sz w:val="22"/>
                <w:szCs w:val="22"/>
              </w:rPr>
              <w:t>Формат элемента</w:t>
            </w:r>
          </w:p>
        </w:tc>
        <w:tc>
          <w:tcPr>
            <w:tcW w:w="567" w:type="dxa"/>
          </w:tcPr>
          <w:p w14:paraId="1A0C79D5" w14:textId="77777777" w:rsidR="00AD1F54" w:rsidRPr="00264D5D" w:rsidRDefault="00941227">
            <w:pPr>
              <w:widowControl w:val="0"/>
              <w:spacing w:before="60" w:after="60"/>
              <w:jc w:val="center"/>
              <w:rPr>
                <w:b/>
                <w:bCs/>
                <w:sz w:val="22"/>
                <w:szCs w:val="22"/>
              </w:rPr>
            </w:pPr>
            <w:r w:rsidRPr="00264D5D">
              <w:rPr>
                <w:b/>
                <w:bCs/>
                <w:sz w:val="22"/>
                <w:szCs w:val="22"/>
              </w:rPr>
              <w:t>Обязательность</w:t>
            </w:r>
          </w:p>
        </w:tc>
        <w:tc>
          <w:tcPr>
            <w:tcW w:w="3963" w:type="dxa"/>
          </w:tcPr>
          <w:p w14:paraId="6BAAA948" w14:textId="77777777" w:rsidR="00AD1F54" w:rsidRPr="00264D5D" w:rsidRDefault="00941227">
            <w:pPr>
              <w:widowControl w:val="0"/>
              <w:spacing w:before="60" w:after="60"/>
              <w:jc w:val="center"/>
              <w:rPr>
                <w:b/>
                <w:bCs/>
                <w:sz w:val="22"/>
                <w:szCs w:val="22"/>
              </w:rPr>
            </w:pPr>
            <w:r w:rsidRPr="00264D5D">
              <w:rPr>
                <w:b/>
                <w:bCs/>
                <w:sz w:val="22"/>
                <w:szCs w:val="22"/>
              </w:rPr>
              <w:t>Дополнительная информация</w:t>
            </w:r>
          </w:p>
        </w:tc>
      </w:tr>
      <w:tr w:rsidR="00AD1F54" w:rsidRPr="00264D5D" w14:paraId="017F47DA"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701" w:type="dxa"/>
          </w:tcPr>
          <w:p w14:paraId="17FA9F8E" w14:textId="77777777" w:rsidR="00AD1F54" w:rsidRPr="00264D5D" w:rsidRDefault="00941227">
            <w:pPr>
              <w:pStyle w:val="GOSTTablenorm"/>
            </w:pPr>
            <w:r w:rsidRPr="00264D5D">
              <w:t>Результаты контроля</w:t>
            </w:r>
          </w:p>
        </w:tc>
        <w:tc>
          <w:tcPr>
            <w:tcW w:w="1701" w:type="dxa"/>
          </w:tcPr>
          <w:p w14:paraId="04C7D0DF" w14:textId="77777777" w:rsidR="00AD1F54" w:rsidRPr="00264D5D" w:rsidRDefault="00941227">
            <w:pPr>
              <w:pStyle w:val="GOSTTablenorm"/>
            </w:pPr>
            <w:r w:rsidRPr="00264D5D">
              <w:t>CntrlRslts</w:t>
            </w:r>
          </w:p>
        </w:tc>
        <w:tc>
          <w:tcPr>
            <w:tcW w:w="567" w:type="dxa"/>
          </w:tcPr>
          <w:p w14:paraId="00A4BD07" w14:textId="77777777" w:rsidR="00AD1F54" w:rsidRPr="00264D5D" w:rsidRDefault="00941227">
            <w:pPr>
              <w:pStyle w:val="GOSTTablenorm"/>
            </w:pPr>
            <w:r w:rsidRPr="00264D5D">
              <w:t>С</w:t>
            </w:r>
          </w:p>
        </w:tc>
        <w:tc>
          <w:tcPr>
            <w:tcW w:w="1134" w:type="dxa"/>
          </w:tcPr>
          <w:p w14:paraId="4AF469FE" w14:textId="77777777" w:rsidR="00AD1F54" w:rsidRPr="00264D5D" w:rsidRDefault="00941227">
            <w:pPr>
              <w:pStyle w:val="GOSTTablenorm"/>
            </w:pPr>
            <w:r w:rsidRPr="00264D5D">
              <w:t>tCntrRslts</w:t>
            </w:r>
          </w:p>
        </w:tc>
        <w:tc>
          <w:tcPr>
            <w:tcW w:w="567" w:type="dxa"/>
          </w:tcPr>
          <w:p w14:paraId="1D9314D0" w14:textId="77777777" w:rsidR="00AD1F54" w:rsidRPr="00264D5D" w:rsidRDefault="00941227">
            <w:pPr>
              <w:pStyle w:val="GOSTTablenorm"/>
            </w:pPr>
            <w:r w:rsidRPr="00264D5D">
              <w:t>О</w:t>
            </w:r>
          </w:p>
        </w:tc>
        <w:tc>
          <w:tcPr>
            <w:tcW w:w="3963" w:type="dxa"/>
          </w:tcPr>
          <w:p w14:paraId="2E921ED8" w14:textId="77777777" w:rsidR="00AD1F54" w:rsidRPr="00264D5D" w:rsidRDefault="00941227">
            <w:pPr>
              <w:pStyle w:val="GOSTTablenorm"/>
            </w:pPr>
            <w:r w:rsidRPr="00264D5D">
              <w:t>Результаты контроля.</w:t>
            </w:r>
          </w:p>
          <w:p w14:paraId="36B60F8C" w14:textId="13314D5C" w:rsidR="00AD1F54" w:rsidRPr="00264D5D" w:rsidRDefault="00941227">
            <w:pPr>
              <w:pStyle w:val="GOSTTablenorm"/>
            </w:pPr>
            <w:r w:rsidRPr="00264D5D">
              <w:t xml:space="preserve">Состав элемента представлен в таблице </w:t>
            </w:r>
            <w:r w:rsidRPr="00264D5D">
              <w:fldChar w:fldCharType="begin"/>
            </w:r>
            <w:r w:rsidRPr="00264D5D">
              <w:instrText xml:space="preserve"> REF _Ref111627285 \h  \* MERGEFORMAT </w:instrText>
            </w:r>
            <w:r w:rsidRPr="00264D5D">
              <w:fldChar w:fldCharType="separate"/>
            </w:r>
            <w:r w:rsidR="008D797C">
              <w:t>139</w:t>
            </w:r>
            <w:r w:rsidRPr="00264D5D">
              <w:fldChar w:fldCharType="end"/>
            </w:r>
          </w:p>
        </w:tc>
      </w:tr>
      <w:tr w:rsidR="00AD1F54" w:rsidRPr="00264D5D" w14:paraId="748B620C"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701" w:type="dxa"/>
          </w:tcPr>
          <w:p w14:paraId="0AF42F72" w14:textId="77777777" w:rsidR="00AD1F54" w:rsidRPr="00264D5D" w:rsidRDefault="00941227">
            <w:pPr>
              <w:pStyle w:val="GOSTTablenorm"/>
            </w:pPr>
            <w:r w:rsidRPr="00264D5D">
              <w:t>Информация о риске</w:t>
            </w:r>
          </w:p>
        </w:tc>
        <w:tc>
          <w:tcPr>
            <w:tcW w:w="1701" w:type="dxa"/>
          </w:tcPr>
          <w:p w14:paraId="54CCD333" w14:textId="77777777" w:rsidR="00AD1F54" w:rsidRPr="00264D5D" w:rsidRDefault="00941227">
            <w:pPr>
              <w:pStyle w:val="GOSTTablenorm"/>
              <w:rPr>
                <w:rFonts w:eastAsia="Calibri"/>
              </w:rPr>
            </w:pPr>
            <w:r w:rsidRPr="00264D5D">
              <w:rPr>
                <w:rFonts w:eastAsia="Calibri"/>
              </w:rPr>
              <w:t>RsksNf</w:t>
            </w:r>
          </w:p>
        </w:tc>
        <w:tc>
          <w:tcPr>
            <w:tcW w:w="567" w:type="dxa"/>
          </w:tcPr>
          <w:p w14:paraId="50CF2601" w14:textId="77777777" w:rsidR="00AD1F54" w:rsidRPr="00264D5D" w:rsidRDefault="00941227">
            <w:pPr>
              <w:pStyle w:val="GOSTTablenorm"/>
            </w:pPr>
            <w:r w:rsidRPr="00264D5D">
              <w:t>С</w:t>
            </w:r>
          </w:p>
        </w:tc>
        <w:tc>
          <w:tcPr>
            <w:tcW w:w="1134" w:type="dxa"/>
          </w:tcPr>
          <w:p w14:paraId="35F1C7AF" w14:textId="77777777" w:rsidR="00AD1F54" w:rsidRPr="00264D5D" w:rsidRDefault="00941227">
            <w:pPr>
              <w:pStyle w:val="GOSTTablenorm"/>
            </w:pPr>
            <w:r w:rsidRPr="00264D5D">
              <w:t>tRskNfs</w:t>
            </w:r>
          </w:p>
        </w:tc>
        <w:tc>
          <w:tcPr>
            <w:tcW w:w="567" w:type="dxa"/>
          </w:tcPr>
          <w:p w14:paraId="17865DD1" w14:textId="77777777" w:rsidR="00AD1F54" w:rsidRPr="00264D5D" w:rsidRDefault="00941227">
            <w:pPr>
              <w:pStyle w:val="GOSTTablenorm"/>
            </w:pPr>
            <w:r w:rsidRPr="00264D5D">
              <w:t>Н</w:t>
            </w:r>
          </w:p>
        </w:tc>
        <w:tc>
          <w:tcPr>
            <w:tcW w:w="3963" w:type="dxa"/>
          </w:tcPr>
          <w:p w14:paraId="18C9DB38" w14:textId="77777777" w:rsidR="00AD1F54" w:rsidRPr="00264D5D" w:rsidRDefault="00941227">
            <w:pPr>
              <w:pStyle w:val="GOSTTablenorm"/>
            </w:pPr>
            <w:r w:rsidRPr="00264D5D">
              <w:t>Информация о рисках.</w:t>
            </w:r>
          </w:p>
          <w:p w14:paraId="12EBA0FA" w14:textId="29FC9CC3" w:rsidR="00AD1F54" w:rsidRPr="00264D5D" w:rsidRDefault="00941227">
            <w:pPr>
              <w:pStyle w:val="GOSTTablenorm"/>
            </w:pPr>
            <w:r w:rsidRPr="00264D5D">
              <w:t xml:space="preserve">Состав элемента представлен в таблице </w:t>
            </w:r>
            <w:r w:rsidRPr="00264D5D">
              <w:fldChar w:fldCharType="begin"/>
            </w:r>
            <w:r w:rsidRPr="00264D5D">
              <w:instrText xml:space="preserve"> REF _Ref111627286 \h  \* MERGEFORMAT </w:instrText>
            </w:r>
            <w:r w:rsidRPr="00264D5D">
              <w:fldChar w:fldCharType="separate"/>
            </w:r>
            <w:r w:rsidR="008D797C">
              <w:t>141</w:t>
            </w:r>
            <w:r w:rsidRPr="00264D5D">
              <w:fldChar w:fldCharType="end"/>
            </w:r>
          </w:p>
        </w:tc>
      </w:tr>
    </w:tbl>
    <w:p w14:paraId="223D4E49" w14:textId="77777777" w:rsidR="00AD1F54" w:rsidRPr="00264D5D" w:rsidRDefault="00941227">
      <w:pPr>
        <w:pStyle w:val="31"/>
      </w:pPr>
      <w:bookmarkStart w:id="1406" w:name="_Toc114739100"/>
      <w:bookmarkStart w:id="1407" w:name="_Toc219309589"/>
      <w:r w:rsidRPr="00264D5D">
        <w:lastRenderedPageBreak/>
        <w:t>Описание комплексного типа «tCntrRslts»</w:t>
      </w:r>
      <w:bookmarkEnd w:id="1406"/>
      <w:bookmarkEnd w:id="1407"/>
    </w:p>
    <w:p w14:paraId="24F11DF6" w14:textId="77777777" w:rsidR="00AD1F54" w:rsidRPr="00264D5D" w:rsidRDefault="00941227">
      <w:pPr>
        <w:pStyle w:val="GOSTNormal"/>
      </w:pPr>
      <w:r w:rsidRPr="00264D5D">
        <w:t xml:space="preserve">Описание комплексного типа «tCntrRslts» блока «Результаты контроля». </w:t>
      </w:r>
    </w:p>
    <w:p w14:paraId="51173F3B" w14:textId="6CDDA904" w:rsidR="00AD1F54" w:rsidRPr="00264D5D" w:rsidRDefault="001E5517" w:rsidP="00E7460C">
      <w:pPr>
        <w:pStyle w:val="GOSTNameTable"/>
        <w:numPr>
          <w:ilvl w:val="0"/>
          <w:numId w:val="116"/>
        </w:numPr>
        <w:ind w:left="425" w:hanging="357"/>
        <w:jc w:val="both"/>
      </w:pPr>
      <w:r w:rsidRPr="00264D5D">
        <w:rPr>
          <w:noProof/>
        </w:rPr>
        <w:fldChar w:fldCharType="begin"/>
      </w:r>
      <w:r w:rsidRPr="00264D5D">
        <w:rPr>
          <w:noProof/>
        </w:rPr>
        <w:instrText xml:space="preserve"> SEQ Таблица \* ARABIC </w:instrText>
      </w:r>
      <w:r w:rsidRPr="00264D5D">
        <w:rPr>
          <w:noProof/>
        </w:rPr>
        <w:fldChar w:fldCharType="separate"/>
      </w:r>
      <w:bookmarkStart w:id="1408" w:name="_Ref111627285"/>
      <w:bookmarkStart w:id="1409" w:name="_Toc219309169"/>
      <w:r w:rsidR="008D797C">
        <w:rPr>
          <w:noProof/>
        </w:rPr>
        <w:t>139</w:t>
      </w:r>
      <w:bookmarkEnd w:id="1408"/>
      <w:r w:rsidRPr="00264D5D">
        <w:rPr>
          <w:noProof/>
        </w:rPr>
        <w:fldChar w:fldCharType="end"/>
      </w:r>
      <w:r w:rsidR="00941227" w:rsidRPr="00264D5D">
        <w:rPr>
          <w:rFonts w:eastAsia="Calibri"/>
          <w:szCs w:val="24"/>
        </w:rPr>
        <w:t xml:space="preserve"> – </w:t>
      </w:r>
      <w:r w:rsidR="00941227" w:rsidRPr="00264D5D">
        <w:t>Описание комплексного типа «tCntrRslts»</w:t>
      </w:r>
      <w:bookmarkEnd w:id="1409"/>
    </w:p>
    <w:tbl>
      <w:tblPr>
        <w:tblStyle w:val="GOSTTable"/>
        <w:tblW w:w="5001" w:type="pct"/>
        <w:tblLayout w:type="fixed"/>
        <w:tblCellMar>
          <w:left w:w="57" w:type="dxa"/>
          <w:right w:w="57" w:type="dxa"/>
        </w:tblCellMar>
        <w:tblLook w:val="04A0" w:firstRow="1" w:lastRow="0" w:firstColumn="1" w:lastColumn="0" w:noHBand="0" w:noVBand="1"/>
      </w:tblPr>
      <w:tblGrid>
        <w:gridCol w:w="1723"/>
        <w:gridCol w:w="1723"/>
        <w:gridCol w:w="573"/>
        <w:gridCol w:w="1148"/>
        <w:gridCol w:w="573"/>
        <w:gridCol w:w="4014"/>
      </w:tblGrid>
      <w:tr w:rsidR="00AD1F54" w:rsidRPr="00264D5D" w14:paraId="33CE0143"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03E1A49C" w14:textId="77777777" w:rsidR="00AD1F54" w:rsidRPr="00264D5D" w:rsidRDefault="00941227">
            <w:pPr>
              <w:pStyle w:val="GOSTTableHead"/>
            </w:pPr>
            <w:r w:rsidRPr="00264D5D">
              <w:t>Наименование комплексного типа</w:t>
            </w:r>
          </w:p>
        </w:tc>
        <w:tc>
          <w:tcPr>
            <w:tcW w:w="1701" w:type="dxa"/>
          </w:tcPr>
          <w:p w14:paraId="0274B6EA" w14:textId="77777777" w:rsidR="00AD1F54" w:rsidRPr="00264D5D" w:rsidRDefault="00941227">
            <w:pPr>
              <w:pStyle w:val="GOSTTableHead"/>
            </w:pPr>
            <w:r w:rsidRPr="00264D5D">
              <w:t>Сокращенное наименование (код) элемента</w:t>
            </w:r>
          </w:p>
        </w:tc>
        <w:tc>
          <w:tcPr>
            <w:tcW w:w="566" w:type="dxa"/>
          </w:tcPr>
          <w:p w14:paraId="5299D200" w14:textId="77777777" w:rsidR="00AD1F54" w:rsidRPr="00264D5D" w:rsidRDefault="00941227">
            <w:pPr>
              <w:pStyle w:val="GOSTTableHead"/>
            </w:pPr>
            <w:r w:rsidRPr="00264D5D">
              <w:t>Тип</w:t>
            </w:r>
          </w:p>
        </w:tc>
        <w:tc>
          <w:tcPr>
            <w:tcW w:w="1133" w:type="dxa"/>
          </w:tcPr>
          <w:p w14:paraId="721A1D2C" w14:textId="77777777" w:rsidR="00AD1F54" w:rsidRPr="00264D5D" w:rsidRDefault="00941227">
            <w:pPr>
              <w:pStyle w:val="GOSTTableHead"/>
            </w:pPr>
            <w:r w:rsidRPr="00264D5D">
              <w:t>Формат элемента</w:t>
            </w:r>
          </w:p>
        </w:tc>
        <w:tc>
          <w:tcPr>
            <w:tcW w:w="566" w:type="dxa"/>
          </w:tcPr>
          <w:p w14:paraId="6EDE034A" w14:textId="77777777" w:rsidR="00AD1F54" w:rsidRPr="00264D5D" w:rsidRDefault="00941227">
            <w:pPr>
              <w:pStyle w:val="GOSTTableHead"/>
            </w:pPr>
            <w:r w:rsidRPr="00264D5D">
              <w:t>Обязательность</w:t>
            </w:r>
          </w:p>
        </w:tc>
        <w:tc>
          <w:tcPr>
            <w:tcW w:w="3963" w:type="dxa"/>
          </w:tcPr>
          <w:p w14:paraId="563113B6" w14:textId="77777777" w:rsidR="00AD1F54" w:rsidRPr="00264D5D" w:rsidRDefault="00941227">
            <w:pPr>
              <w:pStyle w:val="GOSTTableHead"/>
            </w:pPr>
            <w:r w:rsidRPr="00264D5D">
              <w:t>Дополнительная информация</w:t>
            </w:r>
          </w:p>
        </w:tc>
      </w:tr>
      <w:tr w:rsidR="00AD1F54" w:rsidRPr="00264D5D" w14:paraId="29355B54"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700" w:type="dxa"/>
          </w:tcPr>
          <w:p w14:paraId="01134082" w14:textId="77777777" w:rsidR="00AD1F54" w:rsidRPr="00264D5D" w:rsidRDefault="00941227">
            <w:pPr>
              <w:pStyle w:val="GOSTTablenorm"/>
            </w:pPr>
            <w:r w:rsidRPr="00264D5D">
              <w:t>tCntrRslts</w:t>
            </w:r>
          </w:p>
        </w:tc>
        <w:tc>
          <w:tcPr>
            <w:tcW w:w="1701" w:type="dxa"/>
          </w:tcPr>
          <w:p w14:paraId="5A9E748C" w14:textId="77777777" w:rsidR="00AD1F54" w:rsidRPr="00264D5D" w:rsidRDefault="00941227">
            <w:pPr>
              <w:pStyle w:val="GOSTTablenorm"/>
            </w:pPr>
            <w:r w:rsidRPr="00264D5D">
              <w:t>CntrRslts_ITEM</w:t>
            </w:r>
          </w:p>
        </w:tc>
        <w:tc>
          <w:tcPr>
            <w:tcW w:w="566" w:type="dxa"/>
          </w:tcPr>
          <w:p w14:paraId="0BE9F6FB" w14:textId="77777777" w:rsidR="00AD1F54" w:rsidRPr="00264D5D" w:rsidRDefault="00941227">
            <w:pPr>
              <w:pStyle w:val="GOSTTablenorm"/>
            </w:pPr>
            <w:r w:rsidRPr="00264D5D">
              <w:t>С</w:t>
            </w:r>
          </w:p>
        </w:tc>
        <w:tc>
          <w:tcPr>
            <w:tcW w:w="1133" w:type="dxa"/>
          </w:tcPr>
          <w:p w14:paraId="29B4AB24" w14:textId="77777777" w:rsidR="00AD1F54" w:rsidRPr="00264D5D" w:rsidRDefault="00941227">
            <w:pPr>
              <w:pStyle w:val="GOSTTablenorm"/>
            </w:pPr>
            <w:r w:rsidRPr="00264D5D">
              <w:t>tCntrRslts_ITEM</w:t>
            </w:r>
          </w:p>
        </w:tc>
        <w:tc>
          <w:tcPr>
            <w:tcW w:w="566" w:type="dxa"/>
          </w:tcPr>
          <w:p w14:paraId="13164126" w14:textId="77777777" w:rsidR="00AD1F54" w:rsidRPr="00264D5D" w:rsidRDefault="00941227">
            <w:pPr>
              <w:pStyle w:val="GOSTTablenorm"/>
            </w:pPr>
            <w:r w:rsidRPr="00264D5D">
              <w:t>ОМ</w:t>
            </w:r>
          </w:p>
        </w:tc>
        <w:tc>
          <w:tcPr>
            <w:tcW w:w="3963" w:type="dxa"/>
          </w:tcPr>
          <w:p w14:paraId="57CE03B4" w14:textId="77777777" w:rsidR="00AD1F54" w:rsidRPr="00264D5D" w:rsidRDefault="00941227">
            <w:pPr>
              <w:pStyle w:val="GOSTTablenorm"/>
            </w:pPr>
            <w:r w:rsidRPr="00264D5D">
              <w:t>Результаты контроля.</w:t>
            </w:r>
          </w:p>
          <w:p w14:paraId="1570F360" w14:textId="0478B630" w:rsidR="00AD1F54" w:rsidRPr="00264D5D" w:rsidRDefault="00941227">
            <w:pPr>
              <w:pStyle w:val="GOSTTablenorm"/>
            </w:pPr>
            <w:r w:rsidRPr="00264D5D">
              <w:t xml:space="preserve">Состав элемента представлен в таблице </w:t>
            </w:r>
            <w:r w:rsidRPr="00264D5D">
              <w:fldChar w:fldCharType="begin"/>
            </w:r>
            <w:r w:rsidRPr="00264D5D">
              <w:instrText xml:space="preserve"> REF _Ref111627287 \h  \* MERGEFORMAT </w:instrText>
            </w:r>
            <w:r w:rsidRPr="00264D5D">
              <w:fldChar w:fldCharType="separate"/>
            </w:r>
            <w:r w:rsidR="008D797C">
              <w:t>140</w:t>
            </w:r>
            <w:r w:rsidRPr="00264D5D">
              <w:fldChar w:fldCharType="end"/>
            </w:r>
          </w:p>
        </w:tc>
      </w:tr>
    </w:tbl>
    <w:p w14:paraId="7EFD7ADB" w14:textId="77777777" w:rsidR="00AD1F54" w:rsidRPr="00264D5D" w:rsidRDefault="00941227">
      <w:pPr>
        <w:pStyle w:val="31"/>
      </w:pPr>
      <w:bookmarkStart w:id="1410" w:name="_Toc114739101"/>
      <w:bookmarkStart w:id="1411" w:name="_Toc114739102"/>
      <w:bookmarkStart w:id="1412" w:name="_Toc219309590"/>
      <w:r w:rsidRPr="00264D5D">
        <w:t>Описание комплексного типа «tCntrRslts_ITEM»</w:t>
      </w:r>
      <w:bookmarkEnd w:id="1410"/>
      <w:bookmarkEnd w:id="1412"/>
    </w:p>
    <w:p w14:paraId="5D5F1F7D" w14:textId="77777777" w:rsidR="00AD1F54" w:rsidRPr="00264D5D" w:rsidRDefault="00941227">
      <w:pPr>
        <w:pStyle w:val="GOSTNormal"/>
      </w:pPr>
      <w:r w:rsidRPr="00264D5D">
        <w:t xml:space="preserve">Описание комплексного типа «tCntrRslts_ITEM» блока «Результаты контроля» </w:t>
      </w:r>
    </w:p>
    <w:p w14:paraId="2547E909" w14:textId="45ED2713" w:rsidR="00AD1F54" w:rsidRPr="00264D5D" w:rsidRDefault="001E5517" w:rsidP="00E7460C">
      <w:pPr>
        <w:pStyle w:val="GOSTNameTable"/>
        <w:numPr>
          <w:ilvl w:val="0"/>
          <w:numId w:val="116"/>
        </w:numPr>
        <w:ind w:left="425" w:hanging="357"/>
        <w:jc w:val="both"/>
      </w:pPr>
      <w:r w:rsidRPr="00264D5D">
        <w:rPr>
          <w:noProof/>
        </w:rPr>
        <w:fldChar w:fldCharType="begin"/>
      </w:r>
      <w:r w:rsidRPr="00264D5D">
        <w:rPr>
          <w:noProof/>
        </w:rPr>
        <w:instrText xml:space="preserve"> SEQ Таблица \* ARABIC </w:instrText>
      </w:r>
      <w:r w:rsidRPr="00264D5D">
        <w:rPr>
          <w:noProof/>
        </w:rPr>
        <w:fldChar w:fldCharType="separate"/>
      </w:r>
      <w:bookmarkStart w:id="1413" w:name="_Ref111627287"/>
      <w:bookmarkStart w:id="1414" w:name="_Toc219309170"/>
      <w:r w:rsidR="008D797C">
        <w:rPr>
          <w:noProof/>
        </w:rPr>
        <w:t>140</w:t>
      </w:r>
      <w:bookmarkEnd w:id="1413"/>
      <w:r w:rsidRPr="00264D5D">
        <w:rPr>
          <w:noProof/>
        </w:rPr>
        <w:fldChar w:fldCharType="end"/>
      </w:r>
      <w:r w:rsidR="00941227" w:rsidRPr="00264D5D">
        <w:rPr>
          <w:rFonts w:eastAsia="Calibri"/>
          <w:szCs w:val="24"/>
        </w:rPr>
        <w:t xml:space="preserve"> – </w:t>
      </w:r>
      <w:r w:rsidR="00941227" w:rsidRPr="00264D5D">
        <w:t>Описание комплексного типа «tCntrRslts_ITEM»</w:t>
      </w:r>
      <w:bookmarkEnd w:id="1414"/>
    </w:p>
    <w:tbl>
      <w:tblPr>
        <w:tblStyle w:val="GOSTTable"/>
        <w:tblW w:w="5003" w:type="pct"/>
        <w:tblLayout w:type="fixed"/>
        <w:tblCellMar>
          <w:left w:w="57" w:type="dxa"/>
          <w:right w:w="57" w:type="dxa"/>
        </w:tblCellMar>
        <w:tblLook w:val="04A0" w:firstRow="1" w:lastRow="0" w:firstColumn="1" w:lastColumn="0" w:noHBand="0" w:noVBand="1"/>
      </w:tblPr>
      <w:tblGrid>
        <w:gridCol w:w="1724"/>
        <w:gridCol w:w="1723"/>
        <w:gridCol w:w="574"/>
        <w:gridCol w:w="1149"/>
        <w:gridCol w:w="574"/>
        <w:gridCol w:w="4014"/>
      </w:tblGrid>
      <w:tr w:rsidR="00AD1F54" w:rsidRPr="00264D5D" w14:paraId="224DB92D"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52C3C3F4" w14:textId="77777777" w:rsidR="00AD1F54" w:rsidRPr="00264D5D" w:rsidRDefault="00941227">
            <w:pPr>
              <w:pStyle w:val="GOSTTableHead"/>
            </w:pPr>
            <w:r w:rsidRPr="00264D5D">
              <w:t>Наименование элемента</w:t>
            </w:r>
          </w:p>
        </w:tc>
        <w:tc>
          <w:tcPr>
            <w:tcW w:w="1701" w:type="dxa"/>
          </w:tcPr>
          <w:p w14:paraId="3B413EA2" w14:textId="77777777" w:rsidR="00AD1F54" w:rsidRPr="00264D5D" w:rsidRDefault="00941227">
            <w:pPr>
              <w:pStyle w:val="GOSTTableHead"/>
            </w:pPr>
            <w:r w:rsidRPr="00264D5D">
              <w:t>Сокращенное наименование (код) элемента</w:t>
            </w:r>
          </w:p>
        </w:tc>
        <w:tc>
          <w:tcPr>
            <w:tcW w:w="567" w:type="dxa"/>
          </w:tcPr>
          <w:p w14:paraId="510CA245" w14:textId="77777777" w:rsidR="00AD1F54" w:rsidRPr="00264D5D" w:rsidRDefault="00941227">
            <w:pPr>
              <w:pStyle w:val="GOSTTableHead"/>
            </w:pPr>
            <w:r w:rsidRPr="00264D5D">
              <w:t>Тип</w:t>
            </w:r>
          </w:p>
        </w:tc>
        <w:tc>
          <w:tcPr>
            <w:tcW w:w="1134" w:type="dxa"/>
          </w:tcPr>
          <w:p w14:paraId="6CBA0D9A" w14:textId="77777777" w:rsidR="00AD1F54" w:rsidRPr="00264D5D" w:rsidRDefault="00941227">
            <w:pPr>
              <w:pStyle w:val="GOSTTableHead"/>
            </w:pPr>
            <w:r w:rsidRPr="00264D5D">
              <w:t>Формат элемента</w:t>
            </w:r>
          </w:p>
        </w:tc>
        <w:tc>
          <w:tcPr>
            <w:tcW w:w="567" w:type="dxa"/>
          </w:tcPr>
          <w:p w14:paraId="38A8B34C" w14:textId="77777777" w:rsidR="00AD1F54" w:rsidRPr="00264D5D" w:rsidRDefault="00941227">
            <w:pPr>
              <w:pStyle w:val="GOSTTableHead"/>
            </w:pPr>
            <w:r w:rsidRPr="00264D5D">
              <w:t>Обязательность</w:t>
            </w:r>
          </w:p>
        </w:tc>
        <w:tc>
          <w:tcPr>
            <w:tcW w:w="3963" w:type="dxa"/>
          </w:tcPr>
          <w:p w14:paraId="3AF3493F" w14:textId="77777777" w:rsidR="00AD1F54" w:rsidRPr="00264D5D" w:rsidRDefault="00941227">
            <w:pPr>
              <w:pStyle w:val="GOSTTableHead"/>
            </w:pPr>
            <w:r w:rsidRPr="00264D5D">
              <w:t>Дополнительная информация</w:t>
            </w:r>
          </w:p>
        </w:tc>
      </w:tr>
      <w:tr w:rsidR="00AD1F54" w:rsidRPr="00264D5D" w14:paraId="40AF2741"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701" w:type="dxa"/>
          </w:tcPr>
          <w:p w14:paraId="1AC5AB2C" w14:textId="77777777" w:rsidR="00AD1F54" w:rsidRPr="00264D5D" w:rsidRDefault="00941227">
            <w:pPr>
              <w:pStyle w:val="GOSTTablenorm"/>
            </w:pPr>
            <w:r w:rsidRPr="00264D5D">
              <w:t>Код группы контролей</w:t>
            </w:r>
          </w:p>
        </w:tc>
        <w:tc>
          <w:tcPr>
            <w:tcW w:w="1701" w:type="dxa"/>
          </w:tcPr>
          <w:p w14:paraId="2C4476D3" w14:textId="77777777" w:rsidR="00AD1F54" w:rsidRPr="00264D5D" w:rsidRDefault="00941227">
            <w:pPr>
              <w:pStyle w:val="GOSTTablenorm"/>
            </w:pPr>
            <w:r w:rsidRPr="00264D5D">
              <w:t>Grp_code</w:t>
            </w:r>
          </w:p>
        </w:tc>
        <w:tc>
          <w:tcPr>
            <w:tcW w:w="567" w:type="dxa"/>
          </w:tcPr>
          <w:p w14:paraId="598F4D33" w14:textId="77777777" w:rsidR="00AD1F54" w:rsidRPr="00264D5D" w:rsidRDefault="00941227">
            <w:pPr>
              <w:pStyle w:val="GOSTTablenorm"/>
            </w:pPr>
            <w:r w:rsidRPr="00264D5D">
              <w:t>П</w:t>
            </w:r>
          </w:p>
        </w:tc>
        <w:tc>
          <w:tcPr>
            <w:tcW w:w="1134" w:type="dxa"/>
          </w:tcPr>
          <w:p w14:paraId="6991817B" w14:textId="77777777" w:rsidR="00AD1F54" w:rsidRPr="00264D5D" w:rsidRDefault="00941227">
            <w:pPr>
              <w:pStyle w:val="GOSTTablenorm"/>
            </w:pPr>
            <w:r w:rsidRPr="00264D5D">
              <w:t>Т(1-25)</w:t>
            </w:r>
          </w:p>
        </w:tc>
        <w:tc>
          <w:tcPr>
            <w:tcW w:w="567" w:type="dxa"/>
          </w:tcPr>
          <w:p w14:paraId="0E21315D" w14:textId="77777777" w:rsidR="00AD1F54" w:rsidRPr="00264D5D" w:rsidRDefault="00941227">
            <w:pPr>
              <w:pStyle w:val="GOSTTablenorm"/>
            </w:pPr>
            <w:r w:rsidRPr="00264D5D">
              <w:t>О</w:t>
            </w:r>
          </w:p>
        </w:tc>
        <w:tc>
          <w:tcPr>
            <w:tcW w:w="3963" w:type="dxa"/>
          </w:tcPr>
          <w:p w14:paraId="2A6F82EB" w14:textId="77777777" w:rsidR="00AD1F54" w:rsidRPr="00264D5D" w:rsidRDefault="00941227">
            <w:pPr>
              <w:pStyle w:val="GOSTTablenorm"/>
            </w:pPr>
            <w:r w:rsidRPr="00264D5D">
              <w:t>Код группы контролей.</w:t>
            </w:r>
          </w:p>
          <w:p w14:paraId="12FE4BD0" w14:textId="77777777" w:rsidR="00AD1F54" w:rsidRPr="00264D5D" w:rsidRDefault="00941227">
            <w:pPr>
              <w:pStyle w:val="GOSTTablenorm"/>
            </w:pPr>
            <w:r w:rsidRPr="00264D5D">
              <w:t>Указывается з</w:t>
            </w:r>
            <w:r w:rsidR="00CE031E" w:rsidRPr="00264D5D">
              <w:t>начение «CTRL_258N_N_BDOC_APPR»</w:t>
            </w:r>
          </w:p>
        </w:tc>
      </w:tr>
      <w:tr w:rsidR="00AD1F54" w:rsidRPr="00264D5D" w14:paraId="2E9CC7BF"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701" w:type="dxa"/>
          </w:tcPr>
          <w:p w14:paraId="1A81C766" w14:textId="77777777" w:rsidR="00AD1F54" w:rsidRPr="00264D5D" w:rsidRDefault="00941227">
            <w:pPr>
              <w:pStyle w:val="GOSTTablenorm"/>
            </w:pPr>
            <w:r w:rsidRPr="00264D5D">
              <w:t>Результат контроля</w:t>
            </w:r>
          </w:p>
        </w:tc>
        <w:tc>
          <w:tcPr>
            <w:tcW w:w="1701" w:type="dxa"/>
          </w:tcPr>
          <w:p w14:paraId="7FCB6546" w14:textId="77777777" w:rsidR="00AD1F54" w:rsidRPr="00264D5D" w:rsidRDefault="00941227">
            <w:pPr>
              <w:pStyle w:val="GOSTTablenorm"/>
            </w:pPr>
            <w:r w:rsidRPr="00264D5D">
              <w:t>Cntr_Rslt</w:t>
            </w:r>
          </w:p>
        </w:tc>
        <w:tc>
          <w:tcPr>
            <w:tcW w:w="567" w:type="dxa"/>
          </w:tcPr>
          <w:p w14:paraId="38F92ABD" w14:textId="77777777" w:rsidR="00AD1F54" w:rsidRPr="00264D5D" w:rsidRDefault="00941227">
            <w:pPr>
              <w:pStyle w:val="GOSTTablenorm"/>
            </w:pPr>
            <w:r w:rsidRPr="00264D5D">
              <w:t>П</w:t>
            </w:r>
          </w:p>
        </w:tc>
        <w:tc>
          <w:tcPr>
            <w:tcW w:w="1134" w:type="dxa"/>
          </w:tcPr>
          <w:p w14:paraId="49E95553" w14:textId="77777777" w:rsidR="00AD1F54" w:rsidRPr="00264D5D" w:rsidRDefault="00941227">
            <w:pPr>
              <w:pStyle w:val="GOSTTablenorm"/>
            </w:pPr>
            <w:r w:rsidRPr="00264D5D">
              <w:t>Т(1-2000)</w:t>
            </w:r>
          </w:p>
        </w:tc>
        <w:tc>
          <w:tcPr>
            <w:tcW w:w="567" w:type="dxa"/>
          </w:tcPr>
          <w:p w14:paraId="177B21A1" w14:textId="77777777" w:rsidR="00AD1F54" w:rsidRPr="00264D5D" w:rsidRDefault="00941227">
            <w:pPr>
              <w:pStyle w:val="GOSTTablenorm"/>
            </w:pPr>
            <w:r w:rsidRPr="00264D5D">
              <w:t>О</w:t>
            </w:r>
          </w:p>
        </w:tc>
        <w:tc>
          <w:tcPr>
            <w:tcW w:w="3963" w:type="dxa"/>
          </w:tcPr>
          <w:p w14:paraId="69C5D41C" w14:textId="77777777" w:rsidR="00AD1F54" w:rsidRPr="00264D5D" w:rsidRDefault="00941227">
            <w:pPr>
              <w:pStyle w:val="GOSTTablenorm"/>
            </w:pPr>
            <w:r w:rsidRPr="00264D5D">
              <w:t>Результат контроля.</w:t>
            </w:r>
          </w:p>
          <w:p w14:paraId="65671FF8" w14:textId="77777777" w:rsidR="00AD1F54" w:rsidRPr="00264D5D" w:rsidRDefault="00941227">
            <w:pPr>
              <w:pStyle w:val="GOSTTablenorm"/>
            </w:pPr>
            <w:r w:rsidRPr="00264D5D">
              <w:t>Возможные значения:</w:t>
            </w:r>
          </w:p>
          <w:p w14:paraId="40425937" w14:textId="77777777" w:rsidR="00AD1F54" w:rsidRPr="00264D5D" w:rsidRDefault="00941227" w:rsidP="00101F62">
            <w:pPr>
              <w:pStyle w:val="GOSTTablenorm"/>
              <w:numPr>
                <w:ilvl w:val="0"/>
                <w:numId w:val="140"/>
              </w:numPr>
              <w:ind w:left="284" w:hanging="227"/>
            </w:pPr>
            <w:r w:rsidRPr="00264D5D">
              <w:t>PASSED – контроль пройден;</w:t>
            </w:r>
          </w:p>
          <w:p w14:paraId="4C6570F1" w14:textId="77777777" w:rsidR="00AD1F54" w:rsidRPr="00264D5D" w:rsidRDefault="00941227" w:rsidP="00101F62">
            <w:pPr>
              <w:pStyle w:val="GOSTTablenorm"/>
              <w:numPr>
                <w:ilvl w:val="0"/>
                <w:numId w:val="140"/>
              </w:numPr>
              <w:ind w:left="284" w:hanging="227"/>
            </w:pPr>
            <w:r w:rsidRPr="00264D5D">
              <w:t>NOT_COND – контроль не проводился;</w:t>
            </w:r>
          </w:p>
          <w:p w14:paraId="6AAA9ED8" w14:textId="77777777" w:rsidR="00AD1F54" w:rsidRPr="00264D5D" w:rsidRDefault="00941227" w:rsidP="00101F62">
            <w:pPr>
              <w:pStyle w:val="GOSTTablenorm"/>
              <w:numPr>
                <w:ilvl w:val="0"/>
                <w:numId w:val="140"/>
              </w:numPr>
              <w:ind w:left="284" w:hanging="227"/>
            </w:pPr>
            <w:r w:rsidRPr="00264D5D">
              <w:t>ADD_VER – контроль пройден, но</w:t>
            </w:r>
            <w:r w:rsidR="00CE031E" w:rsidRPr="00264D5D">
              <w:t xml:space="preserve"> требует дополнительной проверки</w:t>
            </w:r>
          </w:p>
        </w:tc>
      </w:tr>
    </w:tbl>
    <w:p w14:paraId="4FA7A6DA" w14:textId="77777777" w:rsidR="00AD1F54" w:rsidRPr="00264D5D" w:rsidRDefault="00941227">
      <w:pPr>
        <w:pStyle w:val="31"/>
      </w:pPr>
      <w:bookmarkStart w:id="1415" w:name="_Toc115776468"/>
      <w:bookmarkStart w:id="1416" w:name="_Toc115777344"/>
      <w:bookmarkStart w:id="1417" w:name="_Toc116492328"/>
      <w:bookmarkStart w:id="1418" w:name="_Toc116576412"/>
      <w:bookmarkStart w:id="1419" w:name="_Toc219309591"/>
      <w:bookmarkEnd w:id="1415"/>
      <w:bookmarkEnd w:id="1416"/>
      <w:bookmarkEnd w:id="1417"/>
      <w:bookmarkEnd w:id="1418"/>
      <w:r w:rsidRPr="00264D5D">
        <w:t>Описание комплексного типа «tRskNfs»</w:t>
      </w:r>
      <w:bookmarkEnd w:id="1411"/>
      <w:bookmarkEnd w:id="1419"/>
    </w:p>
    <w:p w14:paraId="6DB8E96F" w14:textId="77777777" w:rsidR="00AD1F54" w:rsidRPr="00264D5D" w:rsidRDefault="00941227">
      <w:pPr>
        <w:pStyle w:val="GOSTNormal"/>
      </w:pPr>
      <w:r w:rsidRPr="00264D5D">
        <w:t xml:space="preserve">Описание комплексного типа «tRskNfs» блока «Информация о риске» </w:t>
      </w:r>
    </w:p>
    <w:p w14:paraId="69E04B45" w14:textId="314267FB" w:rsidR="00AD1F54" w:rsidRPr="00264D5D" w:rsidRDefault="001E5517" w:rsidP="00E7460C">
      <w:pPr>
        <w:pStyle w:val="GOSTNameTable"/>
        <w:numPr>
          <w:ilvl w:val="0"/>
          <w:numId w:val="116"/>
        </w:numPr>
        <w:ind w:left="425" w:hanging="357"/>
      </w:pPr>
      <w:r w:rsidRPr="00264D5D">
        <w:rPr>
          <w:noProof/>
        </w:rPr>
        <w:fldChar w:fldCharType="begin"/>
      </w:r>
      <w:r w:rsidRPr="00264D5D">
        <w:rPr>
          <w:noProof/>
        </w:rPr>
        <w:instrText xml:space="preserve"> SEQ Таблица \* ARABIC </w:instrText>
      </w:r>
      <w:r w:rsidRPr="00264D5D">
        <w:rPr>
          <w:noProof/>
        </w:rPr>
        <w:fldChar w:fldCharType="separate"/>
      </w:r>
      <w:bookmarkStart w:id="1420" w:name="_Ref111627286"/>
      <w:bookmarkStart w:id="1421" w:name="_Toc219309171"/>
      <w:r w:rsidR="008D797C">
        <w:rPr>
          <w:noProof/>
        </w:rPr>
        <w:t>141</w:t>
      </w:r>
      <w:bookmarkEnd w:id="1420"/>
      <w:r w:rsidRPr="00264D5D">
        <w:rPr>
          <w:noProof/>
        </w:rPr>
        <w:fldChar w:fldCharType="end"/>
      </w:r>
      <w:r w:rsidR="00941227" w:rsidRPr="00264D5D">
        <w:rPr>
          <w:rFonts w:eastAsia="Calibri"/>
          <w:szCs w:val="24"/>
        </w:rPr>
        <w:t xml:space="preserve"> – </w:t>
      </w:r>
      <w:r w:rsidR="00941227" w:rsidRPr="00264D5D">
        <w:t>Описание комплексного типа «tRskNfs»</w:t>
      </w:r>
      <w:bookmarkEnd w:id="1421"/>
    </w:p>
    <w:tbl>
      <w:tblPr>
        <w:tblStyle w:val="GOSTTable"/>
        <w:tblW w:w="5000" w:type="pct"/>
        <w:tblLayout w:type="fixed"/>
        <w:tblCellMar>
          <w:left w:w="57" w:type="dxa"/>
          <w:right w:w="57" w:type="dxa"/>
        </w:tblCellMar>
        <w:tblLook w:val="04A0" w:firstRow="1" w:lastRow="0" w:firstColumn="1" w:lastColumn="0" w:noHBand="0" w:noVBand="1"/>
      </w:tblPr>
      <w:tblGrid>
        <w:gridCol w:w="1725"/>
        <w:gridCol w:w="1718"/>
        <w:gridCol w:w="575"/>
        <w:gridCol w:w="1149"/>
        <w:gridCol w:w="573"/>
        <w:gridCol w:w="4012"/>
      </w:tblGrid>
      <w:tr w:rsidR="00AD1F54" w:rsidRPr="00264D5D" w14:paraId="229CEE72"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4" w:type="pct"/>
          </w:tcPr>
          <w:p w14:paraId="5CB49152" w14:textId="77777777" w:rsidR="00AD1F54" w:rsidRPr="00264D5D" w:rsidRDefault="00941227">
            <w:pPr>
              <w:pStyle w:val="GOSTTableHead"/>
            </w:pPr>
            <w:r w:rsidRPr="00264D5D">
              <w:t>Наименование элемента</w:t>
            </w:r>
          </w:p>
        </w:tc>
        <w:tc>
          <w:tcPr>
            <w:tcW w:w="881" w:type="pct"/>
          </w:tcPr>
          <w:p w14:paraId="1637EF47" w14:textId="77777777" w:rsidR="00AD1F54" w:rsidRPr="00264D5D" w:rsidRDefault="00941227">
            <w:pPr>
              <w:pStyle w:val="GOSTTableHead"/>
            </w:pPr>
            <w:r w:rsidRPr="00264D5D">
              <w:t>Сокращенное наименование (код) элемента</w:t>
            </w:r>
          </w:p>
        </w:tc>
        <w:tc>
          <w:tcPr>
            <w:tcW w:w="295" w:type="pct"/>
          </w:tcPr>
          <w:p w14:paraId="7AE32D43" w14:textId="77777777" w:rsidR="00AD1F54" w:rsidRPr="00264D5D" w:rsidRDefault="00941227">
            <w:pPr>
              <w:pStyle w:val="GOSTTableHead"/>
            </w:pPr>
            <w:r w:rsidRPr="00264D5D">
              <w:t>Тип</w:t>
            </w:r>
          </w:p>
        </w:tc>
        <w:tc>
          <w:tcPr>
            <w:tcW w:w="589" w:type="pct"/>
          </w:tcPr>
          <w:p w14:paraId="784C6590" w14:textId="77777777" w:rsidR="00AD1F54" w:rsidRPr="00264D5D" w:rsidRDefault="00941227">
            <w:pPr>
              <w:pStyle w:val="GOSTTableHead"/>
            </w:pPr>
            <w:r w:rsidRPr="00264D5D">
              <w:t>Формат элемента</w:t>
            </w:r>
          </w:p>
        </w:tc>
        <w:tc>
          <w:tcPr>
            <w:tcW w:w="294" w:type="pct"/>
          </w:tcPr>
          <w:p w14:paraId="25E139D4" w14:textId="77777777" w:rsidR="00AD1F54" w:rsidRPr="00264D5D" w:rsidRDefault="00941227">
            <w:pPr>
              <w:pStyle w:val="GOSTTableHead"/>
            </w:pPr>
            <w:r w:rsidRPr="00264D5D">
              <w:t>Обязательность</w:t>
            </w:r>
          </w:p>
        </w:tc>
        <w:tc>
          <w:tcPr>
            <w:tcW w:w="2057" w:type="pct"/>
          </w:tcPr>
          <w:p w14:paraId="4C743EE0" w14:textId="77777777" w:rsidR="00AD1F54" w:rsidRPr="00264D5D" w:rsidRDefault="00941227">
            <w:pPr>
              <w:pStyle w:val="GOSTTableHead"/>
            </w:pPr>
            <w:r w:rsidRPr="00264D5D">
              <w:t>Дополнительная информация</w:t>
            </w:r>
          </w:p>
        </w:tc>
      </w:tr>
      <w:tr w:rsidR="00AD1F54" w:rsidRPr="00264D5D" w14:paraId="6238157C"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7974416F" w14:textId="77777777" w:rsidR="00AD1F54" w:rsidRPr="00264D5D" w:rsidRDefault="00941227">
            <w:pPr>
              <w:pStyle w:val="GOSTTablenorm"/>
            </w:pPr>
            <w:r w:rsidRPr="00264D5D">
              <w:t>Группа рискоемкости</w:t>
            </w:r>
          </w:p>
        </w:tc>
        <w:tc>
          <w:tcPr>
            <w:tcW w:w="881" w:type="pct"/>
          </w:tcPr>
          <w:p w14:paraId="7BFF3E19" w14:textId="77777777" w:rsidR="00AD1F54" w:rsidRPr="00264D5D" w:rsidRDefault="00941227">
            <w:pPr>
              <w:pStyle w:val="GOSTTablenorm"/>
            </w:pPr>
            <w:r w:rsidRPr="00264D5D">
              <w:t>Rsk_lvl</w:t>
            </w:r>
          </w:p>
        </w:tc>
        <w:tc>
          <w:tcPr>
            <w:tcW w:w="295" w:type="pct"/>
          </w:tcPr>
          <w:p w14:paraId="09FE522D" w14:textId="77777777" w:rsidR="00AD1F54" w:rsidRPr="00264D5D" w:rsidRDefault="00941227">
            <w:pPr>
              <w:pStyle w:val="GOSTTablenorm"/>
            </w:pPr>
            <w:r w:rsidRPr="00264D5D">
              <w:t>П</w:t>
            </w:r>
          </w:p>
        </w:tc>
        <w:tc>
          <w:tcPr>
            <w:tcW w:w="589" w:type="pct"/>
          </w:tcPr>
          <w:p w14:paraId="7CA33D05" w14:textId="77777777" w:rsidR="00AD1F54" w:rsidRPr="00264D5D" w:rsidRDefault="00941227">
            <w:pPr>
              <w:pStyle w:val="GOSTTablenorm"/>
            </w:pPr>
            <w:r w:rsidRPr="00264D5D">
              <w:t>N(1)</w:t>
            </w:r>
          </w:p>
        </w:tc>
        <w:tc>
          <w:tcPr>
            <w:tcW w:w="294" w:type="pct"/>
          </w:tcPr>
          <w:p w14:paraId="1D68DD42" w14:textId="77777777" w:rsidR="00AD1F54" w:rsidRPr="00264D5D" w:rsidRDefault="00941227">
            <w:pPr>
              <w:pStyle w:val="GOSTTablenorm"/>
            </w:pPr>
            <w:r w:rsidRPr="00264D5D">
              <w:t>О</w:t>
            </w:r>
          </w:p>
        </w:tc>
        <w:tc>
          <w:tcPr>
            <w:tcW w:w="2057" w:type="pct"/>
          </w:tcPr>
          <w:p w14:paraId="5AFCEAF1" w14:textId="77777777" w:rsidR="00AD1F54" w:rsidRPr="00264D5D" w:rsidRDefault="00941227">
            <w:pPr>
              <w:pStyle w:val="GOSTTablenorm"/>
            </w:pPr>
            <w:r w:rsidRPr="00264D5D">
              <w:t>Группа рискоемкости.</w:t>
            </w:r>
          </w:p>
          <w:p w14:paraId="33CE01B5" w14:textId="77777777" w:rsidR="00AD1F54" w:rsidRPr="00264D5D" w:rsidRDefault="00941227">
            <w:pPr>
              <w:pStyle w:val="GOSTTablenorm"/>
            </w:pPr>
            <w:r w:rsidRPr="00264D5D">
              <w:t>Возможные значения:</w:t>
            </w:r>
          </w:p>
          <w:p w14:paraId="012454A6" w14:textId="77777777" w:rsidR="00AD1F54" w:rsidRPr="00264D5D" w:rsidRDefault="00941227" w:rsidP="00101F62">
            <w:pPr>
              <w:pStyle w:val="GOSTTablenorm"/>
              <w:numPr>
                <w:ilvl w:val="0"/>
                <w:numId w:val="140"/>
              </w:numPr>
              <w:ind w:left="284" w:hanging="227"/>
            </w:pPr>
            <w:r w:rsidRPr="00264D5D">
              <w:t>1 – особой важности;</w:t>
            </w:r>
          </w:p>
          <w:p w14:paraId="69D01A40" w14:textId="77777777" w:rsidR="00AD1F54" w:rsidRPr="00264D5D" w:rsidRDefault="00941227" w:rsidP="00101F62">
            <w:pPr>
              <w:pStyle w:val="GOSTTablenorm"/>
              <w:numPr>
                <w:ilvl w:val="0"/>
                <w:numId w:val="140"/>
              </w:numPr>
              <w:ind w:left="284" w:hanging="227"/>
            </w:pPr>
            <w:r w:rsidRPr="00264D5D">
              <w:t>2 – высокий;</w:t>
            </w:r>
          </w:p>
          <w:p w14:paraId="6F8C010F" w14:textId="77777777" w:rsidR="00AD1F54" w:rsidRPr="00264D5D" w:rsidRDefault="00941227" w:rsidP="00101F62">
            <w:pPr>
              <w:pStyle w:val="GOSTTablenorm"/>
              <w:numPr>
                <w:ilvl w:val="0"/>
                <w:numId w:val="140"/>
              </w:numPr>
              <w:ind w:left="284" w:hanging="227"/>
            </w:pPr>
            <w:r w:rsidRPr="00264D5D">
              <w:lastRenderedPageBreak/>
              <w:t>3 – средний;</w:t>
            </w:r>
          </w:p>
          <w:p w14:paraId="691192C2" w14:textId="77777777" w:rsidR="00AD1F54" w:rsidRPr="00264D5D" w:rsidRDefault="00CE031E" w:rsidP="00101F62">
            <w:pPr>
              <w:pStyle w:val="GOSTTablenorm"/>
              <w:numPr>
                <w:ilvl w:val="0"/>
                <w:numId w:val="140"/>
              </w:numPr>
              <w:ind w:left="284" w:hanging="227"/>
            </w:pPr>
            <w:r w:rsidRPr="00264D5D">
              <w:t>4 – низкий</w:t>
            </w:r>
          </w:p>
        </w:tc>
      </w:tr>
      <w:tr w:rsidR="00AD1F54" w:rsidRPr="00264D5D" w14:paraId="48836110"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1C9D1D4D" w14:textId="77777777" w:rsidR="00AD1F54" w:rsidRPr="00264D5D" w:rsidRDefault="00941227">
            <w:pPr>
              <w:pStyle w:val="GOSTTablenorm"/>
            </w:pPr>
            <w:r w:rsidRPr="00264D5D">
              <w:lastRenderedPageBreak/>
              <w:t xml:space="preserve">Специализация </w:t>
            </w:r>
          </w:p>
        </w:tc>
        <w:tc>
          <w:tcPr>
            <w:tcW w:w="881" w:type="pct"/>
          </w:tcPr>
          <w:p w14:paraId="5279D1FD" w14:textId="77777777" w:rsidR="00AD1F54" w:rsidRPr="00264D5D" w:rsidRDefault="00941227">
            <w:pPr>
              <w:pStyle w:val="GOSTTablenorm"/>
            </w:pPr>
            <w:r w:rsidRPr="00264D5D">
              <w:t>Rsk_crt</w:t>
            </w:r>
          </w:p>
        </w:tc>
        <w:tc>
          <w:tcPr>
            <w:tcW w:w="295" w:type="pct"/>
          </w:tcPr>
          <w:p w14:paraId="2679A789" w14:textId="77777777" w:rsidR="00AD1F54" w:rsidRPr="00264D5D" w:rsidRDefault="00941227">
            <w:pPr>
              <w:pStyle w:val="GOSTTablenorm"/>
            </w:pPr>
            <w:r w:rsidRPr="00264D5D">
              <w:t>С</w:t>
            </w:r>
          </w:p>
        </w:tc>
        <w:tc>
          <w:tcPr>
            <w:tcW w:w="589" w:type="pct"/>
          </w:tcPr>
          <w:p w14:paraId="241CF755" w14:textId="77777777" w:rsidR="00AD1F54" w:rsidRPr="00264D5D" w:rsidRDefault="00941227">
            <w:pPr>
              <w:pStyle w:val="GOSTTablenorm"/>
            </w:pPr>
            <w:r w:rsidRPr="00264D5D">
              <w:t>tRsk_crt</w:t>
            </w:r>
          </w:p>
        </w:tc>
        <w:tc>
          <w:tcPr>
            <w:tcW w:w="294" w:type="pct"/>
          </w:tcPr>
          <w:p w14:paraId="06493313" w14:textId="77777777" w:rsidR="00AD1F54" w:rsidRPr="00264D5D" w:rsidRDefault="00941227">
            <w:pPr>
              <w:pStyle w:val="GOSTTablenorm"/>
            </w:pPr>
            <w:r w:rsidRPr="00264D5D">
              <w:t>О</w:t>
            </w:r>
          </w:p>
        </w:tc>
        <w:tc>
          <w:tcPr>
            <w:tcW w:w="2057" w:type="pct"/>
          </w:tcPr>
          <w:p w14:paraId="41392669" w14:textId="2A16F139" w:rsidR="00AD1F54" w:rsidRPr="00264D5D" w:rsidRDefault="00941227">
            <w:pPr>
              <w:pStyle w:val="GOSTTablenorm"/>
            </w:pPr>
            <w:r w:rsidRPr="00264D5D">
              <w:t xml:space="preserve">Состав элемента представлен в таблице </w:t>
            </w:r>
            <w:r w:rsidRPr="00264D5D">
              <w:fldChar w:fldCharType="begin"/>
            </w:r>
            <w:r w:rsidRPr="00264D5D">
              <w:instrText xml:space="preserve"> REF _Ref111627288 \h  \* MERGEFORMAT </w:instrText>
            </w:r>
            <w:r w:rsidRPr="00264D5D">
              <w:fldChar w:fldCharType="separate"/>
            </w:r>
            <w:r w:rsidR="008D797C">
              <w:t>142</w:t>
            </w:r>
            <w:r w:rsidRPr="00264D5D">
              <w:fldChar w:fldCharType="end"/>
            </w:r>
          </w:p>
        </w:tc>
      </w:tr>
    </w:tbl>
    <w:p w14:paraId="732F7142" w14:textId="77777777" w:rsidR="00AD1F54" w:rsidRPr="00264D5D" w:rsidRDefault="00941227">
      <w:pPr>
        <w:pStyle w:val="31"/>
      </w:pPr>
      <w:bookmarkStart w:id="1422" w:name="_Toc117205175"/>
      <w:bookmarkStart w:id="1423" w:name="_Toc117206007"/>
      <w:bookmarkStart w:id="1424" w:name="_Toc117270418"/>
      <w:bookmarkStart w:id="1425" w:name="_Toc117271274"/>
      <w:bookmarkStart w:id="1426" w:name="_Toc117272527"/>
      <w:bookmarkStart w:id="1427" w:name="_Toc117461848"/>
      <w:bookmarkStart w:id="1428" w:name="_Toc117462706"/>
      <w:bookmarkStart w:id="1429" w:name="_Toc114739103"/>
      <w:bookmarkStart w:id="1430" w:name="_Toc219309592"/>
      <w:bookmarkEnd w:id="1422"/>
      <w:bookmarkEnd w:id="1423"/>
      <w:bookmarkEnd w:id="1424"/>
      <w:bookmarkEnd w:id="1425"/>
      <w:bookmarkEnd w:id="1426"/>
      <w:bookmarkEnd w:id="1427"/>
      <w:bookmarkEnd w:id="1428"/>
      <w:r w:rsidRPr="00264D5D">
        <w:t>Описание комплексного типа «tRsk_crt»</w:t>
      </w:r>
      <w:bookmarkEnd w:id="1429"/>
      <w:bookmarkEnd w:id="1430"/>
    </w:p>
    <w:p w14:paraId="7E18F7FE" w14:textId="77777777" w:rsidR="00AD1F54" w:rsidRPr="00264D5D" w:rsidRDefault="00941227">
      <w:pPr>
        <w:pStyle w:val="GOSTNormal"/>
      </w:pPr>
      <w:r w:rsidRPr="00264D5D">
        <w:t xml:space="preserve">Описание комплексного типа «tRsk_crt» блока «Специализация» </w:t>
      </w:r>
    </w:p>
    <w:p w14:paraId="1EEED7C4" w14:textId="2A73FBBE" w:rsidR="00AD1F54" w:rsidRPr="00264D5D" w:rsidRDefault="001E5517" w:rsidP="00E7460C">
      <w:pPr>
        <w:pStyle w:val="GOSTNameTable"/>
        <w:numPr>
          <w:ilvl w:val="0"/>
          <w:numId w:val="116"/>
        </w:numPr>
        <w:ind w:left="425" w:hanging="357"/>
      </w:pPr>
      <w:r w:rsidRPr="00264D5D">
        <w:rPr>
          <w:noProof/>
        </w:rPr>
        <w:fldChar w:fldCharType="begin"/>
      </w:r>
      <w:r w:rsidRPr="00264D5D">
        <w:rPr>
          <w:noProof/>
        </w:rPr>
        <w:instrText xml:space="preserve"> SEQ Таблица \* ARABIC </w:instrText>
      </w:r>
      <w:r w:rsidRPr="00264D5D">
        <w:rPr>
          <w:noProof/>
        </w:rPr>
        <w:fldChar w:fldCharType="separate"/>
      </w:r>
      <w:bookmarkStart w:id="1431" w:name="_Ref111627288"/>
      <w:bookmarkStart w:id="1432" w:name="_Toc219309172"/>
      <w:r w:rsidR="008D797C">
        <w:rPr>
          <w:noProof/>
        </w:rPr>
        <w:t>142</w:t>
      </w:r>
      <w:bookmarkEnd w:id="1431"/>
      <w:r w:rsidRPr="00264D5D">
        <w:rPr>
          <w:noProof/>
        </w:rPr>
        <w:fldChar w:fldCharType="end"/>
      </w:r>
      <w:r w:rsidR="00941227" w:rsidRPr="00264D5D">
        <w:rPr>
          <w:rFonts w:eastAsia="Calibri"/>
          <w:szCs w:val="24"/>
        </w:rPr>
        <w:t xml:space="preserve"> – </w:t>
      </w:r>
      <w:r w:rsidR="00941227" w:rsidRPr="00264D5D">
        <w:t>Описание комплексного типа «tRsk_crt»</w:t>
      </w:r>
      <w:bookmarkEnd w:id="1432"/>
    </w:p>
    <w:tbl>
      <w:tblPr>
        <w:tblStyle w:val="GOSTTable"/>
        <w:tblW w:w="5002" w:type="pct"/>
        <w:tblLayout w:type="fixed"/>
        <w:tblCellMar>
          <w:left w:w="57" w:type="dxa"/>
          <w:right w:w="57" w:type="dxa"/>
        </w:tblCellMar>
        <w:tblLook w:val="04A0" w:firstRow="1" w:lastRow="0" w:firstColumn="1" w:lastColumn="0" w:noHBand="0" w:noVBand="1"/>
      </w:tblPr>
      <w:tblGrid>
        <w:gridCol w:w="1722"/>
        <w:gridCol w:w="1723"/>
        <w:gridCol w:w="574"/>
        <w:gridCol w:w="1149"/>
        <w:gridCol w:w="574"/>
        <w:gridCol w:w="4014"/>
      </w:tblGrid>
      <w:tr w:rsidR="00AD1F54" w:rsidRPr="00264D5D" w14:paraId="6C710BF4"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4BD843DB" w14:textId="77777777" w:rsidR="00AD1F54" w:rsidRPr="00264D5D" w:rsidRDefault="00941227">
            <w:pPr>
              <w:pStyle w:val="GOSTTableHead"/>
            </w:pPr>
            <w:r w:rsidRPr="00264D5D">
              <w:t>Наименование комплексного типа</w:t>
            </w:r>
          </w:p>
        </w:tc>
        <w:tc>
          <w:tcPr>
            <w:tcW w:w="1701" w:type="dxa"/>
          </w:tcPr>
          <w:p w14:paraId="42B0179A" w14:textId="77777777" w:rsidR="00AD1F54" w:rsidRPr="00264D5D" w:rsidRDefault="00941227">
            <w:pPr>
              <w:pStyle w:val="GOSTTableHead"/>
            </w:pPr>
            <w:r w:rsidRPr="00264D5D">
              <w:t>Сокращенное наименование (код) элемента</w:t>
            </w:r>
          </w:p>
        </w:tc>
        <w:tc>
          <w:tcPr>
            <w:tcW w:w="567" w:type="dxa"/>
          </w:tcPr>
          <w:p w14:paraId="78865020" w14:textId="77777777" w:rsidR="00AD1F54" w:rsidRPr="00264D5D" w:rsidRDefault="00941227">
            <w:pPr>
              <w:pStyle w:val="GOSTTableHead"/>
            </w:pPr>
            <w:r w:rsidRPr="00264D5D">
              <w:t>Тип</w:t>
            </w:r>
          </w:p>
        </w:tc>
        <w:tc>
          <w:tcPr>
            <w:tcW w:w="1134" w:type="dxa"/>
          </w:tcPr>
          <w:p w14:paraId="53BCCC04" w14:textId="77777777" w:rsidR="00AD1F54" w:rsidRPr="00264D5D" w:rsidRDefault="00941227">
            <w:pPr>
              <w:pStyle w:val="GOSTTableHead"/>
            </w:pPr>
            <w:r w:rsidRPr="00264D5D">
              <w:t>Формат элемента</w:t>
            </w:r>
          </w:p>
        </w:tc>
        <w:tc>
          <w:tcPr>
            <w:tcW w:w="567" w:type="dxa"/>
          </w:tcPr>
          <w:p w14:paraId="0CEBA0FB" w14:textId="77777777" w:rsidR="00AD1F54" w:rsidRPr="00264D5D" w:rsidRDefault="00941227">
            <w:pPr>
              <w:pStyle w:val="GOSTTableHead"/>
            </w:pPr>
            <w:r w:rsidRPr="00264D5D">
              <w:t>Обязательность</w:t>
            </w:r>
          </w:p>
        </w:tc>
        <w:tc>
          <w:tcPr>
            <w:tcW w:w="3963" w:type="dxa"/>
          </w:tcPr>
          <w:p w14:paraId="468B6366" w14:textId="77777777" w:rsidR="00AD1F54" w:rsidRPr="00264D5D" w:rsidRDefault="00941227">
            <w:pPr>
              <w:pStyle w:val="GOSTTableHead"/>
            </w:pPr>
            <w:r w:rsidRPr="00264D5D">
              <w:t>Дополнительная информация</w:t>
            </w:r>
          </w:p>
        </w:tc>
      </w:tr>
      <w:tr w:rsidR="00AD1F54" w:rsidRPr="00264D5D" w14:paraId="1C97866C"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700" w:type="dxa"/>
          </w:tcPr>
          <w:p w14:paraId="47E48FEB" w14:textId="77777777" w:rsidR="00AD1F54" w:rsidRPr="00264D5D" w:rsidRDefault="00941227">
            <w:pPr>
              <w:pStyle w:val="GOSTTablenorm"/>
            </w:pPr>
            <w:r w:rsidRPr="00264D5D">
              <w:t>tRsk_crt</w:t>
            </w:r>
          </w:p>
        </w:tc>
        <w:tc>
          <w:tcPr>
            <w:tcW w:w="1701" w:type="dxa"/>
          </w:tcPr>
          <w:p w14:paraId="26720303" w14:textId="77777777" w:rsidR="00AD1F54" w:rsidRPr="00264D5D" w:rsidRDefault="00941227">
            <w:pPr>
              <w:pStyle w:val="GOSTTablenorm"/>
            </w:pPr>
            <w:r w:rsidRPr="00264D5D">
              <w:t>Rsk_crt_ITEM</w:t>
            </w:r>
          </w:p>
        </w:tc>
        <w:tc>
          <w:tcPr>
            <w:tcW w:w="567" w:type="dxa"/>
          </w:tcPr>
          <w:p w14:paraId="7EEA5F5B" w14:textId="77777777" w:rsidR="00AD1F54" w:rsidRPr="00264D5D" w:rsidRDefault="00941227">
            <w:pPr>
              <w:pStyle w:val="GOSTTablenorm"/>
            </w:pPr>
            <w:r w:rsidRPr="00264D5D">
              <w:t>С</w:t>
            </w:r>
          </w:p>
        </w:tc>
        <w:tc>
          <w:tcPr>
            <w:tcW w:w="1134" w:type="dxa"/>
          </w:tcPr>
          <w:p w14:paraId="00591B07" w14:textId="77777777" w:rsidR="00AD1F54" w:rsidRPr="00264D5D" w:rsidRDefault="00941227">
            <w:pPr>
              <w:pStyle w:val="GOSTTablenorm"/>
            </w:pPr>
            <w:r w:rsidRPr="00264D5D">
              <w:t>tRsk_crt_ITEM</w:t>
            </w:r>
          </w:p>
        </w:tc>
        <w:tc>
          <w:tcPr>
            <w:tcW w:w="567" w:type="dxa"/>
          </w:tcPr>
          <w:p w14:paraId="756E7D7C" w14:textId="77777777" w:rsidR="00AD1F54" w:rsidRPr="00264D5D" w:rsidRDefault="00941227">
            <w:pPr>
              <w:pStyle w:val="GOSTTablenorm"/>
            </w:pPr>
            <w:r w:rsidRPr="00264D5D">
              <w:t>ОМ</w:t>
            </w:r>
          </w:p>
        </w:tc>
        <w:tc>
          <w:tcPr>
            <w:tcW w:w="3963" w:type="dxa"/>
          </w:tcPr>
          <w:p w14:paraId="2AD0E2C1" w14:textId="77777777" w:rsidR="00AD1F54" w:rsidRPr="00264D5D" w:rsidRDefault="00941227">
            <w:pPr>
              <w:pStyle w:val="GOSTTablenorm"/>
            </w:pPr>
            <w:r w:rsidRPr="00264D5D">
              <w:t>Специализация.</w:t>
            </w:r>
          </w:p>
          <w:p w14:paraId="2A97CCC6" w14:textId="510A631C" w:rsidR="00AD1F54" w:rsidRPr="00264D5D" w:rsidRDefault="00941227">
            <w:pPr>
              <w:pStyle w:val="GOSTTablenorm"/>
            </w:pPr>
            <w:r w:rsidRPr="00264D5D">
              <w:t xml:space="preserve">Состав элемента представлен в таблице </w:t>
            </w:r>
            <w:r w:rsidRPr="00264D5D">
              <w:fldChar w:fldCharType="begin"/>
            </w:r>
            <w:r w:rsidRPr="00264D5D">
              <w:instrText xml:space="preserve"> REF _Ref111627289 \h  \* MERGEFORMAT </w:instrText>
            </w:r>
            <w:r w:rsidRPr="00264D5D">
              <w:fldChar w:fldCharType="separate"/>
            </w:r>
            <w:r w:rsidR="008D797C">
              <w:t>143</w:t>
            </w:r>
            <w:r w:rsidRPr="00264D5D">
              <w:fldChar w:fldCharType="end"/>
            </w:r>
          </w:p>
        </w:tc>
      </w:tr>
    </w:tbl>
    <w:p w14:paraId="7C0CA370" w14:textId="77777777" w:rsidR="00AD1F54" w:rsidRPr="00264D5D" w:rsidRDefault="00941227">
      <w:pPr>
        <w:pStyle w:val="31"/>
      </w:pPr>
      <w:bookmarkStart w:id="1433" w:name="_Toc114739104"/>
      <w:bookmarkStart w:id="1434" w:name="_Toc219309593"/>
      <w:r w:rsidRPr="00264D5D">
        <w:t>Описание комплексного типа «tRsk_crt_ITEM»</w:t>
      </w:r>
      <w:bookmarkEnd w:id="1433"/>
      <w:bookmarkEnd w:id="1434"/>
    </w:p>
    <w:p w14:paraId="0BE70776" w14:textId="77777777" w:rsidR="00AD1F54" w:rsidRPr="00264D5D" w:rsidRDefault="00941227">
      <w:pPr>
        <w:pStyle w:val="GOSTNormal"/>
      </w:pPr>
      <w:r w:rsidRPr="00264D5D">
        <w:t xml:space="preserve">Описание комплексного типа «tRsk_crt_ITEM» блока «Специализация» </w:t>
      </w:r>
    </w:p>
    <w:p w14:paraId="3915F270" w14:textId="3FD52787" w:rsidR="00AD1F54" w:rsidRPr="00264D5D" w:rsidRDefault="001E5517" w:rsidP="00E7460C">
      <w:pPr>
        <w:pStyle w:val="GOSTNameTable"/>
        <w:numPr>
          <w:ilvl w:val="0"/>
          <w:numId w:val="116"/>
        </w:numPr>
        <w:ind w:left="425" w:hanging="357"/>
      </w:pPr>
      <w:r w:rsidRPr="00264D5D">
        <w:rPr>
          <w:noProof/>
        </w:rPr>
        <w:fldChar w:fldCharType="begin"/>
      </w:r>
      <w:r w:rsidRPr="00264D5D">
        <w:rPr>
          <w:noProof/>
        </w:rPr>
        <w:instrText xml:space="preserve"> SEQ Таблица \* ARABIC </w:instrText>
      </w:r>
      <w:r w:rsidRPr="00264D5D">
        <w:rPr>
          <w:noProof/>
        </w:rPr>
        <w:fldChar w:fldCharType="separate"/>
      </w:r>
      <w:bookmarkStart w:id="1435" w:name="_Ref111627289"/>
      <w:bookmarkStart w:id="1436" w:name="_Toc219309173"/>
      <w:r w:rsidR="008D797C">
        <w:rPr>
          <w:noProof/>
        </w:rPr>
        <w:t>143</w:t>
      </w:r>
      <w:bookmarkEnd w:id="1435"/>
      <w:r w:rsidRPr="00264D5D">
        <w:rPr>
          <w:noProof/>
        </w:rPr>
        <w:fldChar w:fldCharType="end"/>
      </w:r>
      <w:r w:rsidR="00941227" w:rsidRPr="00264D5D">
        <w:rPr>
          <w:rFonts w:eastAsia="Calibri"/>
          <w:szCs w:val="24"/>
        </w:rPr>
        <w:t xml:space="preserve"> – </w:t>
      </w:r>
      <w:r w:rsidR="00941227" w:rsidRPr="00264D5D">
        <w:t>Описание комплексного типа «</w:t>
      </w:r>
      <w:r w:rsidR="00941227" w:rsidRPr="00264D5D">
        <w:rPr>
          <w:szCs w:val="24"/>
        </w:rPr>
        <w:t>tRsk_crt_ITEM</w:t>
      </w:r>
      <w:r w:rsidR="00941227" w:rsidRPr="00264D5D">
        <w:t>»</w:t>
      </w:r>
      <w:bookmarkEnd w:id="1436"/>
    </w:p>
    <w:tbl>
      <w:tblPr>
        <w:tblStyle w:val="GOSTTable"/>
        <w:tblW w:w="5002" w:type="pct"/>
        <w:tblLayout w:type="fixed"/>
        <w:tblLook w:val="04A0" w:firstRow="1" w:lastRow="0" w:firstColumn="1" w:lastColumn="0" w:noHBand="0" w:noVBand="1"/>
      </w:tblPr>
      <w:tblGrid>
        <w:gridCol w:w="1704"/>
        <w:gridCol w:w="1705"/>
        <w:gridCol w:w="568"/>
        <w:gridCol w:w="1137"/>
        <w:gridCol w:w="568"/>
        <w:gridCol w:w="3972"/>
      </w:tblGrid>
      <w:tr w:rsidR="00AD1F54" w:rsidRPr="00264D5D" w14:paraId="0124BC66"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1A0291D9" w14:textId="77777777" w:rsidR="00AD1F54" w:rsidRPr="00264D5D" w:rsidRDefault="00941227">
            <w:pPr>
              <w:pStyle w:val="GOSTTableHead"/>
            </w:pPr>
            <w:r w:rsidRPr="00264D5D">
              <w:t>Наименование элемента</w:t>
            </w:r>
          </w:p>
        </w:tc>
        <w:tc>
          <w:tcPr>
            <w:tcW w:w="1701" w:type="dxa"/>
          </w:tcPr>
          <w:p w14:paraId="6FA1FF88" w14:textId="77777777" w:rsidR="00AD1F54" w:rsidRPr="00264D5D" w:rsidRDefault="00941227">
            <w:pPr>
              <w:pStyle w:val="GOSTTableHead"/>
            </w:pPr>
            <w:r w:rsidRPr="00264D5D">
              <w:t>Сокращенное наименование (код) элемента</w:t>
            </w:r>
          </w:p>
        </w:tc>
        <w:tc>
          <w:tcPr>
            <w:tcW w:w="567" w:type="dxa"/>
          </w:tcPr>
          <w:p w14:paraId="34D4EC1C" w14:textId="77777777" w:rsidR="00AD1F54" w:rsidRPr="00264D5D" w:rsidRDefault="00941227">
            <w:pPr>
              <w:pStyle w:val="GOSTTableHead"/>
            </w:pPr>
            <w:r w:rsidRPr="00264D5D">
              <w:t>Тип</w:t>
            </w:r>
          </w:p>
        </w:tc>
        <w:tc>
          <w:tcPr>
            <w:tcW w:w="1134" w:type="dxa"/>
          </w:tcPr>
          <w:p w14:paraId="6772B0A2" w14:textId="77777777" w:rsidR="00AD1F54" w:rsidRPr="00264D5D" w:rsidRDefault="00941227">
            <w:pPr>
              <w:pStyle w:val="GOSTTableHead"/>
            </w:pPr>
            <w:r w:rsidRPr="00264D5D">
              <w:t>Формат элемента</w:t>
            </w:r>
          </w:p>
        </w:tc>
        <w:tc>
          <w:tcPr>
            <w:tcW w:w="567" w:type="dxa"/>
          </w:tcPr>
          <w:p w14:paraId="35EF151D" w14:textId="77777777" w:rsidR="00AD1F54" w:rsidRPr="00264D5D" w:rsidRDefault="00941227">
            <w:pPr>
              <w:pStyle w:val="GOSTTableHead"/>
            </w:pPr>
            <w:r w:rsidRPr="00264D5D">
              <w:t>Обязательность</w:t>
            </w:r>
          </w:p>
        </w:tc>
        <w:tc>
          <w:tcPr>
            <w:tcW w:w="3963" w:type="dxa"/>
          </w:tcPr>
          <w:p w14:paraId="3009C058" w14:textId="77777777" w:rsidR="00AD1F54" w:rsidRPr="00264D5D" w:rsidRDefault="00941227">
            <w:pPr>
              <w:pStyle w:val="GOSTTableHead"/>
            </w:pPr>
            <w:r w:rsidRPr="00264D5D">
              <w:t>Дополнительная информация</w:t>
            </w:r>
          </w:p>
        </w:tc>
      </w:tr>
      <w:tr w:rsidR="00AD1F54" w:rsidRPr="00264D5D" w14:paraId="5B8741FA"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700" w:type="dxa"/>
          </w:tcPr>
          <w:p w14:paraId="795C5304" w14:textId="77777777" w:rsidR="00AD1F54" w:rsidRPr="00264D5D" w:rsidRDefault="00941227">
            <w:pPr>
              <w:pStyle w:val="GOSTTablenorm"/>
            </w:pPr>
            <w:r w:rsidRPr="00264D5D">
              <w:t>Код специализации</w:t>
            </w:r>
          </w:p>
        </w:tc>
        <w:tc>
          <w:tcPr>
            <w:tcW w:w="1701" w:type="dxa"/>
          </w:tcPr>
          <w:p w14:paraId="65E9C8F9" w14:textId="77777777" w:rsidR="00AD1F54" w:rsidRPr="00264D5D" w:rsidRDefault="00941227">
            <w:pPr>
              <w:pStyle w:val="GOSTTablenorm"/>
            </w:pPr>
            <w:r w:rsidRPr="00264D5D">
              <w:t>Specialization</w:t>
            </w:r>
          </w:p>
        </w:tc>
        <w:tc>
          <w:tcPr>
            <w:tcW w:w="567" w:type="dxa"/>
          </w:tcPr>
          <w:p w14:paraId="54CFDBE3" w14:textId="77777777" w:rsidR="00AD1F54" w:rsidRPr="00264D5D" w:rsidRDefault="00941227">
            <w:pPr>
              <w:pStyle w:val="GOSTTablenorm"/>
              <w:jc w:val="center"/>
            </w:pPr>
            <w:r w:rsidRPr="00264D5D">
              <w:t>П</w:t>
            </w:r>
          </w:p>
        </w:tc>
        <w:tc>
          <w:tcPr>
            <w:tcW w:w="1134" w:type="dxa"/>
          </w:tcPr>
          <w:p w14:paraId="45336EBA" w14:textId="77777777" w:rsidR="00AD1F54" w:rsidRPr="00264D5D" w:rsidRDefault="00941227">
            <w:pPr>
              <w:pStyle w:val="GOSTTablenorm"/>
            </w:pPr>
            <w:r w:rsidRPr="00264D5D">
              <w:t>Т(3)</w:t>
            </w:r>
          </w:p>
        </w:tc>
        <w:tc>
          <w:tcPr>
            <w:tcW w:w="567" w:type="dxa"/>
          </w:tcPr>
          <w:p w14:paraId="612BB88D" w14:textId="77777777" w:rsidR="00AD1F54" w:rsidRPr="00264D5D" w:rsidRDefault="00941227">
            <w:pPr>
              <w:pStyle w:val="GOSTTablenorm"/>
              <w:jc w:val="center"/>
            </w:pPr>
            <w:r w:rsidRPr="00264D5D">
              <w:t>О</w:t>
            </w:r>
          </w:p>
        </w:tc>
        <w:tc>
          <w:tcPr>
            <w:tcW w:w="3963" w:type="dxa"/>
          </w:tcPr>
          <w:p w14:paraId="6553D109" w14:textId="77777777" w:rsidR="00AD1F54" w:rsidRPr="00264D5D" w:rsidRDefault="00CE031E">
            <w:pPr>
              <w:pStyle w:val="GOSTTablenorm"/>
            </w:pPr>
            <w:r w:rsidRPr="00264D5D">
              <w:t>Указывается код специализации</w:t>
            </w:r>
          </w:p>
        </w:tc>
      </w:tr>
    </w:tbl>
    <w:p w14:paraId="6EFAE963" w14:textId="77777777" w:rsidR="00AD1F54" w:rsidRPr="00264D5D" w:rsidRDefault="00941227">
      <w:pPr>
        <w:pStyle w:val="31"/>
      </w:pPr>
      <w:bookmarkStart w:id="1437" w:name="_Toc219309594"/>
      <w:r w:rsidRPr="00264D5D">
        <w:t>Описание комплексного типа «tMSC_Infrmtn»</w:t>
      </w:r>
      <w:bookmarkEnd w:id="1400"/>
      <w:bookmarkEnd w:id="1437"/>
    </w:p>
    <w:p w14:paraId="2AD86571" w14:textId="77777777" w:rsidR="00AD1F54" w:rsidRPr="00264D5D" w:rsidRDefault="00941227">
      <w:pPr>
        <w:pStyle w:val="GOSTNormal"/>
      </w:pPr>
      <w:r w:rsidRPr="00264D5D">
        <w:t>Описание комплексного типа «tMSC_Infrmtn» блока «Служебная информация документа».</w:t>
      </w:r>
    </w:p>
    <w:p w14:paraId="4AB857DF" w14:textId="01194FA0" w:rsidR="00AD1F54" w:rsidRPr="00264D5D" w:rsidRDefault="00941227">
      <w:pPr>
        <w:pStyle w:val="GOSTNameTable"/>
        <w:numPr>
          <w:ilvl w:val="0"/>
          <w:numId w:val="2"/>
        </w:numPr>
        <w:ind w:left="425" w:hanging="357"/>
        <w:rPr>
          <w:szCs w:val="24"/>
        </w:rPr>
      </w:pPr>
      <w:r w:rsidRPr="00264D5D">
        <w:rPr>
          <w:szCs w:val="24"/>
        </w:rPr>
        <w:fldChar w:fldCharType="begin"/>
      </w:r>
      <w:r w:rsidRPr="00264D5D">
        <w:rPr>
          <w:szCs w:val="24"/>
        </w:rPr>
        <w:instrText>SEQ Таблица \* ARABIC</w:instrText>
      </w:r>
      <w:r w:rsidRPr="00264D5D">
        <w:rPr>
          <w:szCs w:val="24"/>
        </w:rPr>
        <w:fldChar w:fldCharType="separate"/>
      </w:r>
      <w:bookmarkStart w:id="1438" w:name="_Ref465900120"/>
      <w:bookmarkStart w:id="1439" w:name="_Toc219309174"/>
      <w:r w:rsidR="008D797C">
        <w:rPr>
          <w:noProof/>
          <w:szCs w:val="24"/>
        </w:rPr>
        <w:t>144</w:t>
      </w:r>
      <w:bookmarkEnd w:id="1438"/>
      <w:r w:rsidRPr="00264D5D">
        <w:rPr>
          <w:szCs w:val="24"/>
        </w:rPr>
        <w:fldChar w:fldCharType="end"/>
      </w:r>
      <w:r w:rsidRPr="00264D5D">
        <w:rPr>
          <w:szCs w:val="24"/>
        </w:rPr>
        <w:t xml:space="preserve"> – Описание комплексного типа «tMSC_Infrmtn»</w:t>
      </w:r>
      <w:bookmarkEnd w:id="1439"/>
    </w:p>
    <w:tbl>
      <w:tblPr>
        <w:tblStyle w:val="GOSTTable"/>
        <w:tblW w:w="5000" w:type="pct"/>
        <w:tblLayout w:type="fixed"/>
        <w:tblLook w:val="01E0" w:firstRow="1" w:lastRow="1" w:firstColumn="1" w:lastColumn="1" w:noHBand="0" w:noVBand="0"/>
      </w:tblPr>
      <w:tblGrid>
        <w:gridCol w:w="1704"/>
        <w:gridCol w:w="1704"/>
        <w:gridCol w:w="568"/>
        <w:gridCol w:w="1136"/>
        <w:gridCol w:w="568"/>
        <w:gridCol w:w="3970"/>
      </w:tblGrid>
      <w:tr w:rsidR="00AD1F54" w:rsidRPr="00264D5D" w14:paraId="40E2DE05"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1D0FEC37" w14:textId="77777777" w:rsidR="00AD1F54" w:rsidRPr="00264D5D" w:rsidRDefault="00941227">
            <w:pPr>
              <w:spacing w:before="60" w:after="60"/>
              <w:jc w:val="center"/>
              <w:rPr>
                <w:b/>
                <w:bCs/>
                <w:sz w:val="22"/>
                <w:szCs w:val="22"/>
              </w:rPr>
            </w:pPr>
            <w:r w:rsidRPr="00264D5D">
              <w:rPr>
                <w:b/>
                <w:bCs/>
                <w:sz w:val="22"/>
                <w:szCs w:val="22"/>
              </w:rPr>
              <w:t>Наименование элемента</w:t>
            </w:r>
          </w:p>
        </w:tc>
        <w:tc>
          <w:tcPr>
            <w:tcW w:w="1701" w:type="dxa"/>
          </w:tcPr>
          <w:p w14:paraId="06E5CA88" w14:textId="77777777" w:rsidR="00AD1F54" w:rsidRPr="00264D5D" w:rsidRDefault="00941227">
            <w:pPr>
              <w:spacing w:before="60" w:after="60"/>
              <w:jc w:val="center"/>
              <w:rPr>
                <w:b/>
                <w:bCs/>
                <w:sz w:val="22"/>
                <w:szCs w:val="22"/>
              </w:rPr>
            </w:pPr>
            <w:r w:rsidRPr="00264D5D">
              <w:rPr>
                <w:b/>
                <w:bCs/>
                <w:sz w:val="22"/>
                <w:szCs w:val="22"/>
              </w:rPr>
              <w:t>Сокращенное наименование (код) элемента</w:t>
            </w:r>
          </w:p>
        </w:tc>
        <w:tc>
          <w:tcPr>
            <w:tcW w:w="567" w:type="dxa"/>
          </w:tcPr>
          <w:p w14:paraId="38978100" w14:textId="77777777" w:rsidR="00AD1F54" w:rsidRPr="00264D5D" w:rsidRDefault="00941227">
            <w:pPr>
              <w:spacing w:before="60" w:after="60"/>
              <w:jc w:val="center"/>
              <w:rPr>
                <w:b/>
                <w:sz w:val="22"/>
                <w:szCs w:val="22"/>
              </w:rPr>
            </w:pPr>
            <w:r w:rsidRPr="00264D5D">
              <w:rPr>
                <w:b/>
                <w:bCs/>
                <w:sz w:val="22"/>
                <w:szCs w:val="22"/>
              </w:rPr>
              <w:t>Тип</w:t>
            </w:r>
          </w:p>
        </w:tc>
        <w:tc>
          <w:tcPr>
            <w:tcW w:w="1134" w:type="dxa"/>
          </w:tcPr>
          <w:p w14:paraId="273C9C51" w14:textId="77777777" w:rsidR="00AD1F54" w:rsidRPr="00264D5D" w:rsidRDefault="00941227">
            <w:pPr>
              <w:spacing w:before="60" w:after="60"/>
              <w:jc w:val="center"/>
              <w:rPr>
                <w:b/>
                <w:sz w:val="22"/>
                <w:szCs w:val="22"/>
              </w:rPr>
            </w:pPr>
            <w:r w:rsidRPr="00264D5D">
              <w:rPr>
                <w:b/>
                <w:bCs/>
                <w:sz w:val="22"/>
                <w:szCs w:val="22"/>
              </w:rPr>
              <w:t>Формат элемента</w:t>
            </w:r>
          </w:p>
        </w:tc>
        <w:tc>
          <w:tcPr>
            <w:tcW w:w="567" w:type="dxa"/>
          </w:tcPr>
          <w:p w14:paraId="5B45958F" w14:textId="77777777" w:rsidR="00AD1F54" w:rsidRPr="00264D5D" w:rsidRDefault="00941227">
            <w:pPr>
              <w:spacing w:before="60" w:after="60"/>
              <w:jc w:val="center"/>
              <w:rPr>
                <w:b/>
                <w:sz w:val="22"/>
                <w:szCs w:val="22"/>
              </w:rPr>
            </w:pPr>
            <w:r w:rsidRPr="00264D5D">
              <w:rPr>
                <w:b/>
                <w:bCs/>
                <w:sz w:val="22"/>
                <w:szCs w:val="22"/>
              </w:rPr>
              <w:t>Обязательность</w:t>
            </w:r>
          </w:p>
        </w:tc>
        <w:tc>
          <w:tcPr>
            <w:tcW w:w="3963" w:type="dxa"/>
          </w:tcPr>
          <w:p w14:paraId="17876964" w14:textId="77777777" w:rsidR="00AD1F54" w:rsidRPr="00264D5D" w:rsidRDefault="00941227">
            <w:pPr>
              <w:pStyle w:val="EBTableHead"/>
              <w:ind w:left="0" w:right="0"/>
              <w:contextualSpacing w:val="0"/>
              <w:rPr>
                <w:sz w:val="22"/>
                <w:szCs w:val="22"/>
              </w:rPr>
            </w:pPr>
            <w:r w:rsidRPr="00264D5D">
              <w:rPr>
                <w:bCs w:val="0"/>
                <w:sz w:val="22"/>
                <w:szCs w:val="22"/>
              </w:rPr>
              <w:t>Дополнительная информация</w:t>
            </w:r>
          </w:p>
        </w:tc>
      </w:tr>
      <w:tr w:rsidR="00AD1F54" w:rsidRPr="00264D5D" w14:paraId="289C519C" w14:textId="77777777" w:rsidTr="00AD1F54">
        <w:trPr>
          <w:cnfStyle w:val="000000100000" w:firstRow="0" w:lastRow="0" w:firstColumn="0" w:lastColumn="0" w:oddVBand="0" w:evenVBand="0" w:oddHBand="1" w:evenHBand="0" w:firstRowFirstColumn="0" w:firstRowLastColumn="0" w:lastRowFirstColumn="0" w:lastRowLastColumn="0"/>
          <w:trHeight w:val="300"/>
        </w:trPr>
        <w:tc>
          <w:tcPr>
            <w:tcW w:w="1701" w:type="dxa"/>
            <w:noWrap/>
          </w:tcPr>
          <w:p w14:paraId="5A6C4499" w14:textId="77777777" w:rsidR="00AD1F54" w:rsidRPr="00264D5D" w:rsidRDefault="00941227">
            <w:pPr>
              <w:pStyle w:val="EBTablenorm"/>
              <w:ind w:left="57" w:right="57"/>
              <w:contextualSpacing w:val="0"/>
              <w:rPr>
                <w:sz w:val="22"/>
                <w:szCs w:val="22"/>
                <w:lang w:val="en-US"/>
              </w:rPr>
            </w:pPr>
            <w:r w:rsidRPr="00264D5D">
              <w:rPr>
                <w:sz w:val="22"/>
                <w:szCs w:val="22"/>
                <w:lang w:val="en-US"/>
              </w:rPr>
              <w:t>Глобальный уникальный идентификатор</w:t>
            </w:r>
          </w:p>
        </w:tc>
        <w:tc>
          <w:tcPr>
            <w:tcW w:w="1701" w:type="dxa"/>
            <w:noWrap/>
          </w:tcPr>
          <w:p w14:paraId="0690992C" w14:textId="77777777" w:rsidR="00AD1F54" w:rsidRPr="00264D5D" w:rsidRDefault="00941227">
            <w:pPr>
              <w:pStyle w:val="EBTablenorm"/>
              <w:ind w:left="57" w:right="57"/>
              <w:contextualSpacing w:val="0"/>
              <w:rPr>
                <w:sz w:val="22"/>
                <w:szCs w:val="22"/>
                <w:lang w:val="en-US"/>
              </w:rPr>
            </w:pPr>
            <w:r w:rsidRPr="00264D5D">
              <w:rPr>
                <w:sz w:val="22"/>
                <w:szCs w:val="22"/>
                <w:lang w:val="en-US"/>
              </w:rPr>
              <w:t>GUID</w:t>
            </w:r>
          </w:p>
        </w:tc>
        <w:tc>
          <w:tcPr>
            <w:tcW w:w="567" w:type="dxa"/>
            <w:noWrap/>
          </w:tcPr>
          <w:p w14:paraId="7450DC90"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noWrap/>
          </w:tcPr>
          <w:p w14:paraId="5D2A6743" w14:textId="77777777" w:rsidR="00AD1F54" w:rsidRPr="00264D5D" w:rsidRDefault="00941227">
            <w:pPr>
              <w:pStyle w:val="EBTablenorm"/>
              <w:ind w:left="57" w:right="57"/>
              <w:contextualSpacing w:val="0"/>
              <w:jc w:val="left"/>
              <w:rPr>
                <w:sz w:val="22"/>
                <w:szCs w:val="22"/>
                <w:lang w:val="en-US"/>
              </w:rPr>
            </w:pPr>
            <w:r w:rsidRPr="00264D5D">
              <w:rPr>
                <w:sz w:val="22"/>
                <w:szCs w:val="22"/>
              </w:rPr>
              <w:t>Т(36)</w:t>
            </w:r>
          </w:p>
        </w:tc>
        <w:tc>
          <w:tcPr>
            <w:tcW w:w="567" w:type="dxa"/>
          </w:tcPr>
          <w:p w14:paraId="3EC8655C" w14:textId="77777777" w:rsidR="00AD1F54" w:rsidRPr="00264D5D" w:rsidRDefault="00941227">
            <w:pPr>
              <w:pStyle w:val="EBTablenorm"/>
              <w:ind w:left="57" w:right="57"/>
              <w:contextualSpacing w:val="0"/>
              <w:jc w:val="center"/>
              <w:rPr>
                <w:sz w:val="22"/>
                <w:szCs w:val="22"/>
              </w:rPr>
            </w:pPr>
            <w:r w:rsidRPr="00264D5D">
              <w:rPr>
                <w:sz w:val="22"/>
                <w:szCs w:val="22"/>
              </w:rPr>
              <w:t>Н</w:t>
            </w:r>
          </w:p>
        </w:tc>
        <w:tc>
          <w:tcPr>
            <w:tcW w:w="3963" w:type="dxa"/>
            <w:noWrap/>
          </w:tcPr>
          <w:p w14:paraId="28E5431B" w14:textId="77777777" w:rsidR="00AD1F54" w:rsidRPr="00264D5D" w:rsidRDefault="00941227">
            <w:pPr>
              <w:spacing w:before="60" w:after="60"/>
              <w:rPr>
                <w:sz w:val="22"/>
                <w:szCs w:val="22"/>
              </w:rPr>
            </w:pPr>
            <w:r w:rsidRPr="00264D5D">
              <w:rPr>
                <w:sz w:val="22"/>
                <w:szCs w:val="22"/>
              </w:rPr>
              <w:t>GUID – Глобальный уникальный идентификатор.</w:t>
            </w:r>
          </w:p>
          <w:p w14:paraId="7E4C1DA0" w14:textId="77777777" w:rsidR="00AD1F54" w:rsidRPr="00264D5D" w:rsidRDefault="00941227">
            <w:pPr>
              <w:spacing w:before="60" w:after="60"/>
              <w:rPr>
                <w:sz w:val="22"/>
                <w:szCs w:val="22"/>
              </w:rPr>
            </w:pPr>
            <w:r w:rsidRPr="00264D5D">
              <w:rPr>
                <w:sz w:val="22"/>
                <w:szCs w:val="22"/>
              </w:rPr>
              <w:t xml:space="preserve">Служебное поле, может заполняться </w:t>
            </w:r>
            <w:r w:rsidRPr="00264D5D">
              <w:rPr>
                <w:sz w:val="22"/>
                <w:szCs w:val="22"/>
              </w:rPr>
              <w:lastRenderedPageBreak/>
              <w:t>клиентом или ТОФК.</w:t>
            </w:r>
          </w:p>
          <w:p w14:paraId="49197384" w14:textId="77777777" w:rsidR="00AD1F54" w:rsidRPr="00264D5D" w:rsidRDefault="00941227">
            <w:pPr>
              <w:spacing w:before="60" w:after="60"/>
              <w:rPr>
                <w:sz w:val="22"/>
                <w:szCs w:val="22"/>
              </w:rPr>
            </w:pPr>
            <w:r w:rsidRPr="00264D5D">
              <w:rPr>
                <w:sz w:val="22"/>
                <w:szCs w:val="22"/>
              </w:rPr>
              <w:t xml:space="preserve">Обязательно для заполнения при передаче документа из </w:t>
            </w:r>
            <w:r w:rsidR="00AD28B5">
              <w:rPr>
                <w:sz w:val="22"/>
                <w:szCs w:val="22"/>
              </w:rPr>
              <w:t>ТОФК (ПУР ЭБ)</w:t>
            </w:r>
            <w:r w:rsidRPr="00264D5D">
              <w:rPr>
                <w:sz w:val="22"/>
                <w:szCs w:val="22"/>
              </w:rPr>
              <w:t xml:space="preserve"> в ТОФК и ЕИС с </w:t>
            </w:r>
            <w:r w:rsidR="00AD28B5">
              <w:rPr>
                <w:sz w:val="22"/>
                <w:szCs w:val="22"/>
              </w:rPr>
              <w:t>ТОФК (ППО АСФК)</w:t>
            </w:r>
            <w:r w:rsidRPr="00264D5D">
              <w:rPr>
                <w:sz w:val="22"/>
                <w:szCs w:val="22"/>
              </w:rPr>
              <w:t>.</w:t>
            </w:r>
          </w:p>
          <w:p w14:paraId="70717A79" w14:textId="77777777" w:rsidR="00AD1F54" w:rsidRPr="00264D5D" w:rsidRDefault="00941227">
            <w:pPr>
              <w:spacing w:before="60" w:after="60"/>
              <w:rPr>
                <w:sz w:val="22"/>
                <w:szCs w:val="22"/>
              </w:rPr>
            </w:pPr>
            <w:r w:rsidRPr="00264D5D">
              <w:rPr>
                <w:sz w:val="22"/>
                <w:szCs w:val="22"/>
              </w:rPr>
              <w:t>Заполняется ТОФК в случае отсутствия значения, присвоенного клиентом.</w:t>
            </w:r>
          </w:p>
          <w:p w14:paraId="4C7466E6" w14:textId="77777777" w:rsidR="00AD1F54" w:rsidRPr="00264D5D" w:rsidRDefault="00941227">
            <w:pPr>
              <w:pStyle w:val="EBTablenorm"/>
              <w:ind w:left="57" w:right="57"/>
              <w:contextualSpacing w:val="0"/>
              <w:rPr>
                <w:sz w:val="22"/>
                <w:szCs w:val="22"/>
              </w:rPr>
            </w:pPr>
            <w:r w:rsidRPr="00264D5D">
              <w:rPr>
                <w:sz w:val="22"/>
                <w:szCs w:val="22"/>
              </w:rPr>
              <w:t>При поступлении в ТОФК документа с неуникальным значением идентификатора документа, документ не принимается к исполнению в сис</w:t>
            </w:r>
            <w:r w:rsidR="00CE031E" w:rsidRPr="00264D5D">
              <w:rPr>
                <w:sz w:val="22"/>
                <w:szCs w:val="22"/>
              </w:rPr>
              <w:t>теме Федерального казначейства</w:t>
            </w:r>
          </w:p>
        </w:tc>
      </w:tr>
      <w:tr w:rsidR="00AD1F54" w:rsidRPr="00264D5D" w14:paraId="5C6FE1D7" w14:textId="77777777" w:rsidTr="00AD1F54">
        <w:trPr>
          <w:cnfStyle w:val="000000010000" w:firstRow="0" w:lastRow="0" w:firstColumn="0" w:lastColumn="0" w:oddVBand="0" w:evenVBand="0" w:oddHBand="0" w:evenHBand="1" w:firstRowFirstColumn="0" w:firstRowLastColumn="0" w:lastRowFirstColumn="0" w:lastRowLastColumn="0"/>
          <w:trHeight w:val="300"/>
        </w:trPr>
        <w:tc>
          <w:tcPr>
            <w:tcW w:w="1701" w:type="dxa"/>
            <w:noWrap/>
          </w:tcPr>
          <w:p w14:paraId="0FF38F2A" w14:textId="77777777" w:rsidR="00AD1F54" w:rsidRPr="00264D5D" w:rsidRDefault="00941227">
            <w:pPr>
              <w:pStyle w:val="EBTablenorm"/>
              <w:ind w:left="57" w:right="57"/>
              <w:contextualSpacing w:val="0"/>
              <w:rPr>
                <w:sz w:val="22"/>
                <w:szCs w:val="22"/>
                <w:lang w:val="en-US"/>
              </w:rPr>
            </w:pPr>
            <w:r w:rsidRPr="00264D5D">
              <w:rPr>
                <w:sz w:val="22"/>
                <w:szCs w:val="22"/>
                <w:lang w:val="en-US"/>
              </w:rPr>
              <w:lastRenderedPageBreak/>
              <w:t>Дата создания документа</w:t>
            </w:r>
          </w:p>
        </w:tc>
        <w:tc>
          <w:tcPr>
            <w:tcW w:w="1701" w:type="dxa"/>
            <w:noWrap/>
          </w:tcPr>
          <w:p w14:paraId="0DC7E84C" w14:textId="77777777" w:rsidR="00AD1F54" w:rsidRPr="00264D5D" w:rsidRDefault="00941227">
            <w:pPr>
              <w:pStyle w:val="EBTablenorm"/>
              <w:ind w:left="57" w:right="57"/>
              <w:contextualSpacing w:val="0"/>
              <w:rPr>
                <w:sz w:val="22"/>
                <w:szCs w:val="22"/>
                <w:lang w:val="en-US"/>
              </w:rPr>
            </w:pPr>
            <w:r w:rsidRPr="00264D5D">
              <w:rPr>
                <w:sz w:val="22"/>
                <w:szCs w:val="22"/>
                <w:lang w:val="en-US"/>
              </w:rPr>
              <w:t>CrtnDt</w:t>
            </w:r>
          </w:p>
        </w:tc>
        <w:tc>
          <w:tcPr>
            <w:tcW w:w="567" w:type="dxa"/>
            <w:noWrap/>
          </w:tcPr>
          <w:p w14:paraId="49275B43"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noWrap/>
          </w:tcPr>
          <w:p w14:paraId="05E50743" w14:textId="77777777" w:rsidR="00AD1F54" w:rsidRPr="00264D5D" w:rsidRDefault="00941227">
            <w:pPr>
              <w:pStyle w:val="EBTablenorm"/>
              <w:ind w:left="57" w:right="57"/>
              <w:contextualSpacing w:val="0"/>
              <w:jc w:val="left"/>
              <w:rPr>
                <w:sz w:val="22"/>
                <w:szCs w:val="22"/>
              </w:rPr>
            </w:pPr>
            <w:r w:rsidRPr="00264D5D">
              <w:rPr>
                <w:sz w:val="22"/>
                <w:szCs w:val="22"/>
                <w:lang w:val="en-US"/>
              </w:rPr>
              <w:t>Date</w:t>
            </w:r>
          </w:p>
        </w:tc>
        <w:tc>
          <w:tcPr>
            <w:tcW w:w="567" w:type="dxa"/>
          </w:tcPr>
          <w:p w14:paraId="3E545AB9" w14:textId="77777777" w:rsidR="00AD1F54" w:rsidRPr="00264D5D" w:rsidRDefault="00941227">
            <w:pPr>
              <w:pStyle w:val="EBTablenorm"/>
              <w:ind w:left="57" w:right="57"/>
              <w:contextualSpacing w:val="0"/>
              <w:jc w:val="center"/>
              <w:rPr>
                <w:sz w:val="22"/>
                <w:szCs w:val="22"/>
              </w:rPr>
            </w:pPr>
            <w:r w:rsidRPr="00264D5D">
              <w:rPr>
                <w:sz w:val="22"/>
                <w:szCs w:val="22"/>
              </w:rPr>
              <w:t>Н</w:t>
            </w:r>
          </w:p>
        </w:tc>
        <w:tc>
          <w:tcPr>
            <w:tcW w:w="3963" w:type="dxa"/>
            <w:noWrap/>
          </w:tcPr>
          <w:p w14:paraId="45294CB0" w14:textId="77777777" w:rsidR="00AD1F54" w:rsidRPr="00264D5D" w:rsidRDefault="00CE031E">
            <w:pPr>
              <w:pStyle w:val="EBTablenorm"/>
              <w:ind w:left="57" w:right="57"/>
              <w:contextualSpacing w:val="0"/>
              <w:rPr>
                <w:sz w:val="22"/>
                <w:szCs w:val="22"/>
              </w:rPr>
            </w:pPr>
            <w:r w:rsidRPr="00264D5D">
              <w:rPr>
                <w:sz w:val="22"/>
                <w:szCs w:val="22"/>
              </w:rPr>
              <w:t>Дата создания документа</w:t>
            </w:r>
          </w:p>
        </w:tc>
      </w:tr>
    </w:tbl>
    <w:p w14:paraId="4B37D025" w14:textId="77777777" w:rsidR="00AD1F54" w:rsidRPr="00264D5D" w:rsidRDefault="00941227">
      <w:pPr>
        <w:pStyle w:val="31"/>
      </w:pPr>
      <w:bookmarkStart w:id="1440" w:name="_Toc219309595"/>
      <w:r w:rsidRPr="00264D5D">
        <w:t>Описание комплексного типа «tRqsts_TblSbsd»</w:t>
      </w:r>
      <w:bookmarkEnd w:id="1401"/>
      <w:bookmarkEnd w:id="1440"/>
    </w:p>
    <w:p w14:paraId="3738E984" w14:textId="77777777" w:rsidR="00AD1F54" w:rsidRPr="00264D5D" w:rsidRDefault="00941227">
      <w:pPr>
        <w:pStyle w:val="ASFKNormal"/>
        <w:spacing w:before="60" w:after="120"/>
        <w:contextualSpacing w:val="0"/>
        <w:jc w:val="both"/>
        <w:rPr>
          <w:sz w:val="24"/>
          <w:szCs w:val="24"/>
        </w:rPr>
      </w:pPr>
      <w:r w:rsidRPr="00264D5D">
        <w:rPr>
          <w:sz w:val="24"/>
          <w:szCs w:val="24"/>
        </w:rPr>
        <w:t>Описание комплексного типа «tRqsts_TblSbsd» блока «Реквизиты контрагента/взыскателя по исполнительному документу/налогового органа».</w:t>
      </w:r>
    </w:p>
    <w:p w14:paraId="1D635122" w14:textId="745214CA"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1441" w:name="_Ref412028063"/>
      <w:bookmarkStart w:id="1442" w:name="_Toc30503354"/>
      <w:bookmarkStart w:id="1443" w:name="_Toc30507952"/>
      <w:bookmarkStart w:id="1444" w:name="_Toc219309175"/>
      <w:r w:rsidR="008D797C">
        <w:rPr>
          <w:rFonts w:eastAsia="Calibri"/>
          <w:noProof/>
          <w:szCs w:val="24"/>
        </w:rPr>
        <w:t>145</w:t>
      </w:r>
      <w:bookmarkEnd w:id="1441"/>
      <w:r w:rsidRPr="00264D5D">
        <w:rPr>
          <w:rFonts w:eastAsia="Calibri"/>
          <w:szCs w:val="24"/>
        </w:rPr>
        <w:fldChar w:fldCharType="end"/>
      </w:r>
      <w:r w:rsidRPr="00264D5D">
        <w:rPr>
          <w:rFonts w:eastAsia="Calibri"/>
          <w:szCs w:val="24"/>
        </w:rPr>
        <w:t xml:space="preserve"> – Описание комплексного типа «tRqsts_TblSbsd»</w:t>
      </w:r>
      <w:bookmarkEnd w:id="1442"/>
      <w:bookmarkEnd w:id="1443"/>
      <w:bookmarkEnd w:id="1444"/>
    </w:p>
    <w:tbl>
      <w:tblPr>
        <w:tblStyle w:val="GOSTTable"/>
        <w:tblW w:w="5000" w:type="pct"/>
        <w:tblLayout w:type="fixed"/>
        <w:tblLook w:val="04A0" w:firstRow="1" w:lastRow="0" w:firstColumn="1" w:lastColumn="0" w:noHBand="0" w:noVBand="1"/>
      </w:tblPr>
      <w:tblGrid>
        <w:gridCol w:w="1707"/>
        <w:gridCol w:w="1703"/>
        <w:gridCol w:w="566"/>
        <w:gridCol w:w="1135"/>
        <w:gridCol w:w="567"/>
        <w:gridCol w:w="3972"/>
      </w:tblGrid>
      <w:tr w:rsidR="00AD1F54" w:rsidRPr="00264D5D" w14:paraId="4B7978DA"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884" w:type="pct"/>
          </w:tcPr>
          <w:p w14:paraId="062C5993" w14:textId="77777777" w:rsidR="00AD1F54" w:rsidRPr="00264D5D" w:rsidRDefault="00941227">
            <w:pPr>
              <w:spacing w:before="60" w:after="60"/>
              <w:jc w:val="center"/>
              <w:rPr>
                <w:b/>
                <w:bCs/>
                <w:sz w:val="22"/>
                <w:szCs w:val="22"/>
              </w:rPr>
            </w:pPr>
            <w:r w:rsidRPr="00264D5D">
              <w:rPr>
                <w:b/>
                <w:bCs/>
                <w:sz w:val="22"/>
                <w:szCs w:val="22"/>
              </w:rPr>
              <w:t>Наименование комплексного типа</w:t>
            </w:r>
          </w:p>
        </w:tc>
        <w:tc>
          <w:tcPr>
            <w:tcW w:w="882" w:type="pct"/>
          </w:tcPr>
          <w:p w14:paraId="6E75162B" w14:textId="77777777" w:rsidR="00AD1F54" w:rsidRPr="00264D5D" w:rsidRDefault="00941227">
            <w:pPr>
              <w:spacing w:before="60" w:after="60"/>
              <w:jc w:val="center"/>
              <w:rPr>
                <w:b/>
                <w:bCs/>
                <w:sz w:val="22"/>
                <w:szCs w:val="22"/>
              </w:rPr>
            </w:pPr>
            <w:r w:rsidRPr="00264D5D">
              <w:rPr>
                <w:b/>
                <w:bCs/>
                <w:sz w:val="22"/>
                <w:szCs w:val="22"/>
              </w:rPr>
              <w:t>Текущий элемент/ атрибут</w:t>
            </w:r>
          </w:p>
        </w:tc>
        <w:tc>
          <w:tcPr>
            <w:tcW w:w="293" w:type="pct"/>
          </w:tcPr>
          <w:p w14:paraId="1CE0718D" w14:textId="77777777" w:rsidR="00AD1F54" w:rsidRPr="00264D5D" w:rsidRDefault="00941227">
            <w:pPr>
              <w:spacing w:before="60" w:after="60"/>
              <w:jc w:val="center"/>
              <w:rPr>
                <w:b/>
                <w:sz w:val="22"/>
                <w:szCs w:val="22"/>
              </w:rPr>
            </w:pPr>
            <w:r w:rsidRPr="00264D5D">
              <w:rPr>
                <w:b/>
                <w:bCs/>
                <w:sz w:val="22"/>
                <w:szCs w:val="22"/>
              </w:rPr>
              <w:t>Тип</w:t>
            </w:r>
          </w:p>
        </w:tc>
        <w:tc>
          <w:tcPr>
            <w:tcW w:w="588" w:type="pct"/>
          </w:tcPr>
          <w:p w14:paraId="6970E07F" w14:textId="77777777" w:rsidR="00AD1F54" w:rsidRPr="00264D5D" w:rsidRDefault="00941227">
            <w:pPr>
              <w:spacing w:before="60" w:after="60"/>
              <w:jc w:val="center"/>
              <w:rPr>
                <w:b/>
                <w:bCs/>
                <w:sz w:val="22"/>
                <w:szCs w:val="22"/>
              </w:rPr>
            </w:pPr>
            <w:r w:rsidRPr="00264D5D">
              <w:rPr>
                <w:b/>
                <w:bCs/>
                <w:sz w:val="22"/>
                <w:szCs w:val="22"/>
              </w:rPr>
              <w:t>Формат элемента</w:t>
            </w:r>
          </w:p>
        </w:tc>
        <w:tc>
          <w:tcPr>
            <w:tcW w:w="294" w:type="pct"/>
          </w:tcPr>
          <w:p w14:paraId="2A6163C5" w14:textId="77777777" w:rsidR="00AD1F54" w:rsidRPr="00264D5D" w:rsidRDefault="00941227">
            <w:pPr>
              <w:spacing w:before="60" w:after="60"/>
              <w:jc w:val="center"/>
              <w:rPr>
                <w:b/>
                <w:bCs/>
                <w:sz w:val="22"/>
                <w:szCs w:val="22"/>
              </w:rPr>
            </w:pPr>
            <w:r w:rsidRPr="00264D5D">
              <w:rPr>
                <w:b/>
                <w:bCs/>
                <w:sz w:val="22"/>
                <w:szCs w:val="22"/>
              </w:rPr>
              <w:t>Обязательность</w:t>
            </w:r>
          </w:p>
        </w:tc>
        <w:tc>
          <w:tcPr>
            <w:tcW w:w="2058" w:type="pct"/>
          </w:tcPr>
          <w:p w14:paraId="753D4B2A" w14:textId="77777777" w:rsidR="00AD1F54" w:rsidRPr="00264D5D" w:rsidRDefault="00941227">
            <w:pPr>
              <w:spacing w:before="60" w:after="60"/>
              <w:jc w:val="center"/>
              <w:rPr>
                <w:b/>
                <w:bCs/>
                <w:sz w:val="22"/>
                <w:szCs w:val="22"/>
              </w:rPr>
            </w:pPr>
            <w:r w:rsidRPr="00264D5D">
              <w:rPr>
                <w:b/>
                <w:bCs/>
                <w:sz w:val="22"/>
                <w:szCs w:val="22"/>
              </w:rPr>
              <w:t>Дополнительная информация</w:t>
            </w:r>
          </w:p>
        </w:tc>
      </w:tr>
      <w:tr w:rsidR="00AD1F54" w:rsidRPr="00264D5D" w14:paraId="020D7626" w14:textId="77777777" w:rsidTr="00AD1F54">
        <w:trPr>
          <w:cnfStyle w:val="000000100000" w:firstRow="0" w:lastRow="0" w:firstColumn="0" w:lastColumn="0" w:oddVBand="0" w:evenVBand="0" w:oddHBand="1" w:evenHBand="0" w:firstRowFirstColumn="0" w:firstRowLastColumn="0" w:lastRowFirstColumn="0" w:lastRowLastColumn="0"/>
        </w:trPr>
        <w:tc>
          <w:tcPr>
            <w:tcW w:w="884" w:type="pct"/>
          </w:tcPr>
          <w:p w14:paraId="0E1E20EF" w14:textId="77777777" w:rsidR="00AD1F54" w:rsidRPr="00264D5D" w:rsidRDefault="00941227">
            <w:pPr>
              <w:pStyle w:val="EBTablenorm"/>
              <w:ind w:left="57" w:right="57"/>
              <w:contextualSpacing w:val="0"/>
              <w:rPr>
                <w:sz w:val="22"/>
                <w:szCs w:val="22"/>
              </w:rPr>
            </w:pPr>
            <w:r w:rsidRPr="00264D5D">
              <w:rPr>
                <w:sz w:val="22"/>
                <w:szCs w:val="22"/>
              </w:rPr>
              <w:t>tRqsts_TblSbsd</w:t>
            </w:r>
          </w:p>
        </w:tc>
        <w:tc>
          <w:tcPr>
            <w:tcW w:w="882" w:type="pct"/>
          </w:tcPr>
          <w:p w14:paraId="34E22D38" w14:textId="77777777" w:rsidR="00AD1F54" w:rsidRPr="00264D5D" w:rsidRDefault="00941227">
            <w:pPr>
              <w:pStyle w:val="EBTablenorm"/>
              <w:ind w:left="57" w:right="57"/>
              <w:contextualSpacing w:val="0"/>
              <w:rPr>
                <w:sz w:val="22"/>
                <w:szCs w:val="22"/>
              </w:rPr>
            </w:pPr>
            <w:r w:rsidRPr="00264D5D">
              <w:rPr>
                <w:sz w:val="22"/>
                <w:szCs w:val="22"/>
              </w:rPr>
              <w:t>TblSbsd_ITEM</w:t>
            </w:r>
          </w:p>
        </w:tc>
        <w:tc>
          <w:tcPr>
            <w:tcW w:w="293" w:type="pct"/>
          </w:tcPr>
          <w:p w14:paraId="63ED8041" w14:textId="77777777" w:rsidR="00AD1F54" w:rsidRPr="00264D5D" w:rsidRDefault="00941227">
            <w:pPr>
              <w:pStyle w:val="EBTablenorm"/>
              <w:ind w:left="57" w:right="57"/>
              <w:contextualSpacing w:val="0"/>
              <w:rPr>
                <w:sz w:val="22"/>
                <w:szCs w:val="22"/>
              </w:rPr>
            </w:pPr>
            <w:r w:rsidRPr="00264D5D">
              <w:rPr>
                <w:sz w:val="22"/>
                <w:szCs w:val="22"/>
              </w:rPr>
              <w:t>C</w:t>
            </w:r>
          </w:p>
        </w:tc>
        <w:tc>
          <w:tcPr>
            <w:tcW w:w="588" w:type="pct"/>
          </w:tcPr>
          <w:p w14:paraId="295E1F52" w14:textId="77777777" w:rsidR="00AD1F54" w:rsidRPr="00264D5D" w:rsidRDefault="00941227">
            <w:pPr>
              <w:pStyle w:val="EBTablenorm"/>
              <w:ind w:left="57" w:right="57"/>
              <w:contextualSpacing w:val="0"/>
              <w:rPr>
                <w:sz w:val="22"/>
                <w:szCs w:val="22"/>
              </w:rPr>
            </w:pPr>
            <w:r w:rsidRPr="00264D5D">
              <w:rPr>
                <w:sz w:val="22"/>
                <w:szCs w:val="22"/>
              </w:rPr>
              <w:t>tRqsts_TblSbsd_ITEM</w:t>
            </w:r>
          </w:p>
        </w:tc>
        <w:tc>
          <w:tcPr>
            <w:tcW w:w="294" w:type="pct"/>
          </w:tcPr>
          <w:p w14:paraId="1AE4613C" w14:textId="77777777" w:rsidR="00AD1F54" w:rsidRPr="00264D5D" w:rsidRDefault="00941227">
            <w:pPr>
              <w:pStyle w:val="EBTablenorm"/>
              <w:ind w:left="57" w:right="57"/>
              <w:contextualSpacing w:val="0"/>
              <w:rPr>
                <w:sz w:val="22"/>
                <w:szCs w:val="22"/>
              </w:rPr>
            </w:pPr>
            <w:r w:rsidRPr="00264D5D">
              <w:rPr>
                <w:sz w:val="22"/>
                <w:szCs w:val="22"/>
              </w:rPr>
              <w:t>ОМ</w:t>
            </w:r>
          </w:p>
        </w:tc>
        <w:tc>
          <w:tcPr>
            <w:tcW w:w="2058" w:type="pct"/>
          </w:tcPr>
          <w:p w14:paraId="46730979" w14:textId="77777777" w:rsidR="00AD1F54" w:rsidRPr="00264D5D" w:rsidRDefault="00366248" w:rsidP="00366248">
            <w:pPr>
              <w:pStyle w:val="EBTablenorm"/>
              <w:ind w:left="57" w:right="57"/>
              <w:contextualSpacing w:val="0"/>
              <w:rPr>
                <w:sz w:val="22"/>
                <w:szCs w:val="22"/>
              </w:rPr>
            </w:pPr>
            <w:r w:rsidRPr="00264D5D">
              <w:rPr>
                <w:sz w:val="22"/>
                <w:szCs w:val="22"/>
              </w:rPr>
              <w:t>Реквизиты контрагента/взыскателя по исполнительному документу/налогового органа.</w:t>
            </w:r>
          </w:p>
          <w:p w14:paraId="463F3628" w14:textId="4428D9B2" w:rsidR="00AD1F54" w:rsidRPr="00264D5D" w:rsidRDefault="00941227" w:rsidP="00CE031E">
            <w:pPr>
              <w:pStyle w:val="EBTablenorm"/>
              <w:ind w:left="57" w:right="57"/>
              <w:contextualSpacing w:val="0"/>
              <w:rPr>
                <w:sz w:val="22"/>
                <w:szCs w:val="22"/>
              </w:rPr>
            </w:pPr>
            <w:r w:rsidRPr="00264D5D">
              <w:rPr>
                <w:sz w:val="22"/>
                <w:szCs w:val="22"/>
              </w:rPr>
              <w:t xml:space="preserve">Состав элемента представлен в таблице </w:t>
            </w:r>
            <w:r w:rsidRPr="00264D5D">
              <w:rPr>
                <w:sz w:val="22"/>
                <w:szCs w:val="22"/>
              </w:rPr>
              <w:fldChar w:fldCharType="begin"/>
            </w:r>
            <w:r w:rsidRPr="00264D5D">
              <w:rPr>
                <w:sz w:val="22"/>
                <w:szCs w:val="22"/>
              </w:rPr>
              <w:instrText xml:space="preserve"> REF _Ref412028086 \h  \* MERGEFORMAT </w:instrText>
            </w:r>
            <w:r w:rsidRPr="00264D5D">
              <w:rPr>
                <w:sz w:val="22"/>
                <w:szCs w:val="22"/>
              </w:rPr>
            </w:r>
            <w:r w:rsidRPr="00264D5D">
              <w:rPr>
                <w:sz w:val="22"/>
                <w:szCs w:val="22"/>
              </w:rPr>
              <w:fldChar w:fldCharType="separate"/>
            </w:r>
            <w:r w:rsidR="008D797C" w:rsidRPr="008D797C">
              <w:rPr>
                <w:sz w:val="22"/>
                <w:szCs w:val="22"/>
              </w:rPr>
              <w:t>146</w:t>
            </w:r>
            <w:r w:rsidRPr="00264D5D">
              <w:rPr>
                <w:sz w:val="22"/>
                <w:szCs w:val="22"/>
              </w:rPr>
              <w:fldChar w:fldCharType="end"/>
            </w:r>
          </w:p>
        </w:tc>
      </w:tr>
    </w:tbl>
    <w:p w14:paraId="597A4C92" w14:textId="77777777" w:rsidR="00AD1F54" w:rsidRPr="00264D5D" w:rsidRDefault="00941227">
      <w:pPr>
        <w:pStyle w:val="31"/>
      </w:pPr>
      <w:bookmarkStart w:id="1445" w:name="_Toc416192429"/>
      <w:bookmarkStart w:id="1446" w:name="_Toc219309596"/>
      <w:r w:rsidRPr="00264D5D">
        <w:t>Описание комплексного типа «tRqsts_TblSbsd_ITEM»</w:t>
      </w:r>
      <w:bookmarkEnd w:id="1445"/>
      <w:bookmarkEnd w:id="1446"/>
      <w:r w:rsidRPr="00264D5D">
        <w:t xml:space="preserve"> </w:t>
      </w:r>
    </w:p>
    <w:p w14:paraId="43D862CB" w14:textId="77777777" w:rsidR="00AD1F54" w:rsidRPr="00264D5D" w:rsidRDefault="00941227">
      <w:pPr>
        <w:pStyle w:val="ASFKNormal"/>
        <w:spacing w:before="60" w:after="120"/>
        <w:contextualSpacing w:val="0"/>
        <w:jc w:val="both"/>
        <w:rPr>
          <w:sz w:val="24"/>
          <w:szCs w:val="24"/>
        </w:rPr>
      </w:pPr>
      <w:r w:rsidRPr="00264D5D">
        <w:rPr>
          <w:sz w:val="24"/>
          <w:szCs w:val="24"/>
        </w:rPr>
        <w:t>Описание комплексного типа «tRqsts_TblSbsd_ITEM» строк блока «Реквизиты контрагента/взыскателя по исполнительному документу/налогового органа».</w:t>
      </w:r>
    </w:p>
    <w:p w14:paraId="5F52E9D9" w14:textId="6CF55D73"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1447" w:name="_Ref412028086"/>
      <w:bookmarkStart w:id="1448" w:name="_Toc30503355"/>
      <w:bookmarkStart w:id="1449" w:name="_Toc30507953"/>
      <w:bookmarkStart w:id="1450" w:name="_Toc219309176"/>
      <w:r w:rsidR="008D797C">
        <w:rPr>
          <w:rFonts w:eastAsia="Calibri"/>
          <w:noProof/>
          <w:szCs w:val="24"/>
        </w:rPr>
        <w:t>146</w:t>
      </w:r>
      <w:bookmarkEnd w:id="1447"/>
      <w:r w:rsidRPr="00264D5D">
        <w:rPr>
          <w:rFonts w:eastAsia="Calibri"/>
          <w:szCs w:val="24"/>
        </w:rPr>
        <w:fldChar w:fldCharType="end"/>
      </w:r>
      <w:r w:rsidRPr="00264D5D">
        <w:rPr>
          <w:rFonts w:eastAsia="Calibri"/>
          <w:szCs w:val="24"/>
        </w:rPr>
        <w:t xml:space="preserve"> – Описание комплексного типа «tRqsts_TblSbsd_ITEM»</w:t>
      </w:r>
      <w:bookmarkEnd w:id="1448"/>
      <w:bookmarkEnd w:id="1449"/>
      <w:bookmarkEnd w:id="1450"/>
    </w:p>
    <w:tbl>
      <w:tblPr>
        <w:tblStyle w:val="GOSTTable"/>
        <w:tblW w:w="5000" w:type="pct"/>
        <w:tblLayout w:type="fixed"/>
        <w:tblLook w:val="04A0" w:firstRow="1" w:lastRow="0" w:firstColumn="1" w:lastColumn="0" w:noHBand="0" w:noVBand="1"/>
      </w:tblPr>
      <w:tblGrid>
        <w:gridCol w:w="1707"/>
        <w:gridCol w:w="1703"/>
        <w:gridCol w:w="566"/>
        <w:gridCol w:w="1135"/>
        <w:gridCol w:w="567"/>
        <w:gridCol w:w="3972"/>
      </w:tblGrid>
      <w:tr w:rsidR="00AD1F54" w:rsidRPr="00264D5D" w14:paraId="3B1F592D"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884" w:type="pct"/>
          </w:tcPr>
          <w:p w14:paraId="0AE21D73" w14:textId="77777777" w:rsidR="00AD1F54" w:rsidRPr="00264D5D" w:rsidRDefault="00941227">
            <w:pPr>
              <w:spacing w:before="60" w:after="60"/>
              <w:jc w:val="center"/>
              <w:rPr>
                <w:b/>
                <w:bCs/>
                <w:sz w:val="22"/>
                <w:szCs w:val="22"/>
              </w:rPr>
            </w:pPr>
            <w:r w:rsidRPr="00264D5D">
              <w:rPr>
                <w:b/>
                <w:bCs/>
                <w:sz w:val="22"/>
                <w:szCs w:val="22"/>
              </w:rPr>
              <w:t>Наименование элемента</w:t>
            </w:r>
          </w:p>
        </w:tc>
        <w:tc>
          <w:tcPr>
            <w:tcW w:w="882" w:type="pct"/>
          </w:tcPr>
          <w:p w14:paraId="1F9082AC" w14:textId="77777777" w:rsidR="00AD1F54" w:rsidRPr="00264D5D" w:rsidRDefault="00941227">
            <w:pPr>
              <w:spacing w:before="60" w:after="60"/>
              <w:jc w:val="center"/>
              <w:rPr>
                <w:b/>
                <w:bCs/>
                <w:sz w:val="22"/>
                <w:szCs w:val="22"/>
              </w:rPr>
            </w:pPr>
            <w:r w:rsidRPr="00264D5D">
              <w:rPr>
                <w:b/>
                <w:bCs/>
                <w:sz w:val="22"/>
                <w:szCs w:val="22"/>
              </w:rPr>
              <w:t>Сокращенное наименование (код) элемента</w:t>
            </w:r>
          </w:p>
        </w:tc>
        <w:tc>
          <w:tcPr>
            <w:tcW w:w="293" w:type="pct"/>
          </w:tcPr>
          <w:p w14:paraId="05F1B550" w14:textId="77777777" w:rsidR="00AD1F54" w:rsidRPr="00264D5D" w:rsidRDefault="00941227">
            <w:pPr>
              <w:spacing w:before="60" w:after="60"/>
              <w:jc w:val="center"/>
              <w:rPr>
                <w:b/>
                <w:sz w:val="22"/>
                <w:szCs w:val="22"/>
              </w:rPr>
            </w:pPr>
            <w:r w:rsidRPr="00264D5D">
              <w:rPr>
                <w:b/>
                <w:bCs/>
                <w:sz w:val="22"/>
                <w:szCs w:val="22"/>
              </w:rPr>
              <w:t>Тип</w:t>
            </w:r>
          </w:p>
        </w:tc>
        <w:tc>
          <w:tcPr>
            <w:tcW w:w="588" w:type="pct"/>
          </w:tcPr>
          <w:p w14:paraId="24C573B7" w14:textId="77777777" w:rsidR="00AD1F54" w:rsidRPr="00264D5D" w:rsidRDefault="00941227">
            <w:pPr>
              <w:spacing w:before="60" w:after="60"/>
              <w:jc w:val="center"/>
              <w:rPr>
                <w:b/>
                <w:sz w:val="22"/>
                <w:szCs w:val="22"/>
              </w:rPr>
            </w:pPr>
            <w:r w:rsidRPr="00264D5D">
              <w:rPr>
                <w:b/>
                <w:bCs/>
                <w:sz w:val="22"/>
                <w:szCs w:val="22"/>
              </w:rPr>
              <w:t>Формат элемента</w:t>
            </w:r>
          </w:p>
        </w:tc>
        <w:tc>
          <w:tcPr>
            <w:tcW w:w="294" w:type="pct"/>
          </w:tcPr>
          <w:p w14:paraId="45F4E90E" w14:textId="77777777" w:rsidR="00AD1F54" w:rsidRPr="00264D5D" w:rsidRDefault="00941227">
            <w:pPr>
              <w:spacing w:before="60" w:after="60"/>
              <w:jc w:val="center"/>
              <w:rPr>
                <w:b/>
                <w:sz w:val="22"/>
                <w:szCs w:val="22"/>
              </w:rPr>
            </w:pPr>
            <w:r w:rsidRPr="00264D5D">
              <w:rPr>
                <w:b/>
                <w:bCs/>
                <w:sz w:val="22"/>
                <w:szCs w:val="22"/>
              </w:rPr>
              <w:t>Обязательность</w:t>
            </w:r>
          </w:p>
        </w:tc>
        <w:tc>
          <w:tcPr>
            <w:tcW w:w="2058" w:type="pct"/>
          </w:tcPr>
          <w:p w14:paraId="5F9D930E" w14:textId="77777777" w:rsidR="00AD1F54" w:rsidRPr="00264D5D" w:rsidRDefault="00941227">
            <w:pPr>
              <w:spacing w:before="60" w:after="60"/>
              <w:jc w:val="center"/>
              <w:rPr>
                <w:b/>
                <w:bCs/>
                <w:sz w:val="22"/>
                <w:szCs w:val="22"/>
              </w:rPr>
            </w:pPr>
            <w:r w:rsidRPr="00264D5D">
              <w:rPr>
                <w:b/>
                <w:bCs/>
                <w:sz w:val="22"/>
                <w:szCs w:val="22"/>
              </w:rPr>
              <w:t>Дополнительная информация</w:t>
            </w:r>
          </w:p>
        </w:tc>
      </w:tr>
      <w:tr w:rsidR="00AD1F54" w:rsidRPr="00264D5D" w14:paraId="5D25EF9D" w14:textId="77777777" w:rsidTr="00AD1F54">
        <w:trPr>
          <w:cnfStyle w:val="000000100000" w:firstRow="0" w:lastRow="0" w:firstColumn="0" w:lastColumn="0" w:oddVBand="0" w:evenVBand="0" w:oddHBand="1" w:evenHBand="0" w:firstRowFirstColumn="0" w:firstRowLastColumn="0" w:lastRowFirstColumn="0" w:lastRowLastColumn="0"/>
        </w:trPr>
        <w:tc>
          <w:tcPr>
            <w:tcW w:w="884" w:type="pct"/>
          </w:tcPr>
          <w:p w14:paraId="3CACEC10" w14:textId="77777777" w:rsidR="00AD1F54" w:rsidRPr="00264D5D" w:rsidRDefault="00941227">
            <w:pPr>
              <w:spacing w:before="60" w:after="60"/>
              <w:rPr>
                <w:sz w:val="22"/>
                <w:szCs w:val="22"/>
              </w:rPr>
            </w:pPr>
            <w:r w:rsidRPr="00264D5D">
              <w:rPr>
                <w:sz w:val="22"/>
                <w:szCs w:val="22"/>
              </w:rPr>
              <w:t xml:space="preserve">Полное наименование/ фамилия, имя, </w:t>
            </w:r>
            <w:r w:rsidRPr="00264D5D">
              <w:rPr>
                <w:sz w:val="22"/>
                <w:szCs w:val="22"/>
              </w:rPr>
              <w:lastRenderedPageBreak/>
              <w:t>отчество контрагента</w:t>
            </w:r>
          </w:p>
        </w:tc>
        <w:tc>
          <w:tcPr>
            <w:tcW w:w="882" w:type="pct"/>
          </w:tcPr>
          <w:p w14:paraId="50E8FE0C" w14:textId="77777777" w:rsidR="00AD1F54" w:rsidRPr="00264D5D" w:rsidRDefault="00941227">
            <w:pPr>
              <w:spacing w:before="60" w:after="60"/>
              <w:rPr>
                <w:sz w:val="22"/>
                <w:szCs w:val="22"/>
              </w:rPr>
            </w:pPr>
            <w:r w:rsidRPr="00264D5D">
              <w:rPr>
                <w:sz w:val="22"/>
                <w:szCs w:val="22"/>
              </w:rPr>
              <w:lastRenderedPageBreak/>
              <w:t>Nm</w:t>
            </w:r>
          </w:p>
        </w:tc>
        <w:tc>
          <w:tcPr>
            <w:tcW w:w="293" w:type="pct"/>
          </w:tcPr>
          <w:p w14:paraId="15670334" w14:textId="77777777" w:rsidR="00AD1F54" w:rsidRPr="00264D5D" w:rsidRDefault="00941227">
            <w:pPr>
              <w:spacing w:before="60" w:after="60"/>
              <w:jc w:val="center"/>
              <w:rPr>
                <w:sz w:val="22"/>
                <w:szCs w:val="22"/>
              </w:rPr>
            </w:pPr>
            <w:r w:rsidRPr="00264D5D">
              <w:rPr>
                <w:sz w:val="22"/>
                <w:szCs w:val="22"/>
              </w:rPr>
              <w:t>П</w:t>
            </w:r>
          </w:p>
        </w:tc>
        <w:tc>
          <w:tcPr>
            <w:tcW w:w="588" w:type="pct"/>
          </w:tcPr>
          <w:p w14:paraId="2BF2AA7F" w14:textId="77777777" w:rsidR="00AD1F54" w:rsidRPr="00264D5D" w:rsidRDefault="00941227">
            <w:pPr>
              <w:spacing w:before="60" w:after="60"/>
              <w:jc w:val="left"/>
              <w:rPr>
                <w:sz w:val="22"/>
                <w:szCs w:val="22"/>
              </w:rPr>
            </w:pPr>
            <w:r w:rsidRPr="00264D5D">
              <w:rPr>
                <w:sz w:val="22"/>
                <w:szCs w:val="22"/>
              </w:rPr>
              <w:t>Т(1-2000)</w:t>
            </w:r>
          </w:p>
        </w:tc>
        <w:tc>
          <w:tcPr>
            <w:tcW w:w="294" w:type="pct"/>
          </w:tcPr>
          <w:p w14:paraId="1783A45A" w14:textId="77777777" w:rsidR="00AD1F54" w:rsidRPr="00264D5D" w:rsidRDefault="00941227">
            <w:pPr>
              <w:spacing w:before="60" w:after="60"/>
              <w:jc w:val="center"/>
              <w:rPr>
                <w:sz w:val="22"/>
                <w:szCs w:val="22"/>
              </w:rPr>
            </w:pPr>
            <w:r w:rsidRPr="00264D5D">
              <w:rPr>
                <w:sz w:val="22"/>
                <w:szCs w:val="22"/>
              </w:rPr>
              <w:t>О</w:t>
            </w:r>
          </w:p>
        </w:tc>
        <w:tc>
          <w:tcPr>
            <w:tcW w:w="2058" w:type="pct"/>
          </w:tcPr>
          <w:p w14:paraId="3044DED9" w14:textId="77777777" w:rsidR="00AD1F54" w:rsidRPr="00264D5D" w:rsidRDefault="00941227">
            <w:pPr>
              <w:spacing w:before="60" w:after="60"/>
              <w:rPr>
                <w:sz w:val="22"/>
                <w:szCs w:val="22"/>
              </w:rPr>
            </w:pPr>
            <w:r w:rsidRPr="00264D5D">
              <w:rPr>
                <w:sz w:val="22"/>
                <w:szCs w:val="22"/>
              </w:rPr>
              <w:t xml:space="preserve">Полное наименование контрагента: наименование юридического лица или фамилия, имя, отчество физического </w:t>
            </w:r>
            <w:r w:rsidRPr="00264D5D">
              <w:rPr>
                <w:sz w:val="22"/>
                <w:szCs w:val="22"/>
              </w:rPr>
              <w:lastRenderedPageBreak/>
              <w:t>лица – поставщика товаров, работ, услуг в соответствии с государственным контрактом или договором (соглашением), получателя субсидии в соответствии с соглашением о предоставлении субсидий либо взыскате</w:t>
            </w:r>
            <w:r w:rsidR="00CE031E" w:rsidRPr="00264D5D">
              <w:rPr>
                <w:sz w:val="22"/>
                <w:szCs w:val="22"/>
              </w:rPr>
              <w:t>ля по исполнительному документу</w:t>
            </w:r>
          </w:p>
        </w:tc>
      </w:tr>
      <w:tr w:rsidR="00AD1F54" w:rsidRPr="00264D5D" w14:paraId="374AD420" w14:textId="77777777" w:rsidTr="00AD1F54">
        <w:trPr>
          <w:cnfStyle w:val="000000010000" w:firstRow="0" w:lastRow="0" w:firstColumn="0" w:lastColumn="0" w:oddVBand="0" w:evenVBand="0" w:oddHBand="0" w:evenHBand="1" w:firstRowFirstColumn="0" w:firstRowLastColumn="0" w:lastRowFirstColumn="0" w:lastRowLastColumn="0"/>
        </w:trPr>
        <w:tc>
          <w:tcPr>
            <w:tcW w:w="884" w:type="pct"/>
          </w:tcPr>
          <w:p w14:paraId="13665080" w14:textId="77777777" w:rsidR="00AD1F54" w:rsidRPr="00264D5D" w:rsidRDefault="00941227">
            <w:pPr>
              <w:spacing w:before="60" w:after="60"/>
              <w:rPr>
                <w:sz w:val="22"/>
                <w:szCs w:val="22"/>
              </w:rPr>
            </w:pPr>
            <w:r w:rsidRPr="00264D5D">
              <w:rPr>
                <w:sz w:val="22"/>
                <w:szCs w:val="22"/>
              </w:rPr>
              <w:lastRenderedPageBreak/>
              <w:t xml:space="preserve">ИНН </w:t>
            </w:r>
          </w:p>
        </w:tc>
        <w:tc>
          <w:tcPr>
            <w:tcW w:w="882" w:type="pct"/>
          </w:tcPr>
          <w:p w14:paraId="572AF8A5" w14:textId="77777777" w:rsidR="00AD1F54" w:rsidRPr="00264D5D" w:rsidRDefault="00941227">
            <w:pPr>
              <w:spacing w:before="60" w:after="60"/>
              <w:rPr>
                <w:sz w:val="22"/>
                <w:szCs w:val="22"/>
              </w:rPr>
            </w:pPr>
            <w:r w:rsidRPr="00264D5D">
              <w:rPr>
                <w:sz w:val="22"/>
                <w:szCs w:val="22"/>
              </w:rPr>
              <w:t>INN</w:t>
            </w:r>
          </w:p>
        </w:tc>
        <w:tc>
          <w:tcPr>
            <w:tcW w:w="293" w:type="pct"/>
          </w:tcPr>
          <w:p w14:paraId="2691A9FC" w14:textId="77777777" w:rsidR="00AD1F54" w:rsidRPr="00264D5D" w:rsidRDefault="00941227">
            <w:pPr>
              <w:spacing w:before="60" w:after="60"/>
              <w:jc w:val="center"/>
              <w:rPr>
                <w:sz w:val="22"/>
                <w:szCs w:val="22"/>
              </w:rPr>
            </w:pPr>
            <w:r w:rsidRPr="00264D5D">
              <w:rPr>
                <w:sz w:val="22"/>
                <w:szCs w:val="22"/>
              </w:rPr>
              <w:t>П</w:t>
            </w:r>
          </w:p>
        </w:tc>
        <w:tc>
          <w:tcPr>
            <w:tcW w:w="588" w:type="pct"/>
          </w:tcPr>
          <w:p w14:paraId="3D32EC6F" w14:textId="77777777" w:rsidR="00AD1F54" w:rsidRPr="00264D5D" w:rsidRDefault="00941227">
            <w:pPr>
              <w:spacing w:before="60" w:after="60"/>
              <w:jc w:val="left"/>
              <w:rPr>
                <w:sz w:val="22"/>
                <w:szCs w:val="22"/>
              </w:rPr>
            </w:pPr>
            <w:r w:rsidRPr="00264D5D">
              <w:rPr>
                <w:sz w:val="22"/>
                <w:szCs w:val="22"/>
              </w:rPr>
              <w:t>Т(10) или Т(12)</w:t>
            </w:r>
          </w:p>
        </w:tc>
        <w:tc>
          <w:tcPr>
            <w:tcW w:w="294" w:type="pct"/>
          </w:tcPr>
          <w:p w14:paraId="65A52787" w14:textId="77777777" w:rsidR="00AD1F54" w:rsidRPr="00264D5D" w:rsidRDefault="00941227">
            <w:pPr>
              <w:spacing w:before="60" w:after="60"/>
              <w:jc w:val="center"/>
              <w:rPr>
                <w:sz w:val="22"/>
                <w:szCs w:val="22"/>
              </w:rPr>
            </w:pPr>
            <w:r w:rsidRPr="00264D5D">
              <w:rPr>
                <w:sz w:val="22"/>
                <w:szCs w:val="22"/>
              </w:rPr>
              <w:t>Н</w:t>
            </w:r>
          </w:p>
        </w:tc>
        <w:tc>
          <w:tcPr>
            <w:tcW w:w="2058" w:type="pct"/>
          </w:tcPr>
          <w:p w14:paraId="0BEA51A5" w14:textId="77777777" w:rsidR="00AD1F54" w:rsidRPr="00264D5D" w:rsidRDefault="00941227">
            <w:pPr>
              <w:spacing w:before="60" w:after="60"/>
              <w:rPr>
                <w:sz w:val="22"/>
                <w:szCs w:val="22"/>
              </w:rPr>
            </w:pPr>
            <w:r w:rsidRPr="00264D5D">
              <w:rPr>
                <w:sz w:val="22"/>
                <w:szCs w:val="22"/>
              </w:rPr>
              <w:t>Указывается ИНН контрагента налогоплательщика по законодательству Российской Федерации – поставщика (исполнителя, подрядчика), получателя субсидии либо взыскателя. Указывается 10 или 12 символов. Если контрагент (получатель субсидии, взыскатель) не является налогоплательщиком по законодательству Российской Федерации, поле не заполняется</w:t>
            </w:r>
          </w:p>
        </w:tc>
      </w:tr>
      <w:tr w:rsidR="00AD1F54" w:rsidRPr="00264D5D" w14:paraId="33D65FA5" w14:textId="77777777" w:rsidTr="00AD1F54">
        <w:trPr>
          <w:cnfStyle w:val="000000100000" w:firstRow="0" w:lastRow="0" w:firstColumn="0" w:lastColumn="0" w:oddVBand="0" w:evenVBand="0" w:oddHBand="1" w:evenHBand="0" w:firstRowFirstColumn="0" w:firstRowLastColumn="0" w:lastRowFirstColumn="0" w:lastRowLastColumn="0"/>
        </w:trPr>
        <w:tc>
          <w:tcPr>
            <w:tcW w:w="884" w:type="pct"/>
          </w:tcPr>
          <w:p w14:paraId="4CB89768" w14:textId="77777777" w:rsidR="00AD1F54" w:rsidRPr="00264D5D" w:rsidRDefault="00941227">
            <w:pPr>
              <w:spacing w:before="60" w:after="60"/>
              <w:rPr>
                <w:sz w:val="22"/>
                <w:szCs w:val="22"/>
              </w:rPr>
            </w:pPr>
            <w:r w:rsidRPr="00264D5D">
              <w:rPr>
                <w:sz w:val="22"/>
                <w:szCs w:val="22"/>
              </w:rPr>
              <w:t>КПП</w:t>
            </w:r>
          </w:p>
        </w:tc>
        <w:tc>
          <w:tcPr>
            <w:tcW w:w="882" w:type="pct"/>
          </w:tcPr>
          <w:p w14:paraId="60954B11" w14:textId="77777777" w:rsidR="00AD1F54" w:rsidRPr="00264D5D" w:rsidRDefault="00941227">
            <w:pPr>
              <w:spacing w:before="60" w:after="60"/>
              <w:rPr>
                <w:sz w:val="22"/>
                <w:szCs w:val="22"/>
              </w:rPr>
            </w:pPr>
            <w:r w:rsidRPr="00264D5D">
              <w:rPr>
                <w:sz w:val="22"/>
                <w:szCs w:val="22"/>
              </w:rPr>
              <w:t>KPP</w:t>
            </w:r>
          </w:p>
        </w:tc>
        <w:tc>
          <w:tcPr>
            <w:tcW w:w="293" w:type="pct"/>
          </w:tcPr>
          <w:p w14:paraId="5A6DC6A8" w14:textId="77777777" w:rsidR="00AD1F54" w:rsidRPr="00264D5D" w:rsidRDefault="00941227">
            <w:pPr>
              <w:spacing w:before="60" w:after="60"/>
              <w:jc w:val="center"/>
              <w:rPr>
                <w:sz w:val="22"/>
                <w:szCs w:val="22"/>
              </w:rPr>
            </w:pPr>
            <w:r w:rsidRPr="00264D5D">
              <w:rPr>
                <w:sz w:val="22"/>
                <w:szCs w:val="22"/>
              </w:rPr>
              <w:t>П</w:t>
            </w:r>
          </w:p>
        </w:tc>
        <w:tc>
          <w:tcPr>
            <w:tcW w:w="588" w:type="pct"/>
          </w:tcPr>
          <w:p w14:paraId="406B020F" w14:textId="77777777" w:rsidR="00AD1F54" w:rsidRPr="00264D5D" w:rsidRDefault="00941227">
            <w:pPr>
              <w:spacing w:before="60" w:after="60"/>
              <w:jc w:val="left"/>
              <w:rPr>
                <w:sz w:val="22"/>
                <w:szCs w:val="22"/>
              </w:rPr>
            </w:pPr>
            <w:r w:rsidRPr="00264D5D">
              <w:rPr>
                <w:sz w:val="22"/>
                <w:szCs w:val="22"/>
              </w:rPr>
              <w:t>Т(9)</w:t>
            </w:r>
          </w:p>
        </w:tc>
        <w:tc>
          <w:tcPr>
            <w:tcW w:w="294" w:type="pct"/>
          </w:tcPr>
          <w:p w14:paraId="643AC9EC" w14:textId="77777777" w:rsidR="00AD1F54" w:rsidRPr="00264D5D" w:rsidRDefault="00941227">
            <w:pPr>
              <w:spacing w:before="60" w:after="60"/>
              <w:jc w:val="center"/>
              <w:rPr>
                <w:sz w:val="22"/>
                <w:szCs w:val="22"/>
              </w:rPr>
            </w:pPr>
            <w:r w:rsidRPr="00264D5D">
              <w:rPr>
                <w:sz w:val="22"/>
                <w:szCs w:val="22"/>
              </w:rPr>
              <w:t>Н</w:t>
            </w:r>
          </w:p>
        </w:tc>
        <w:tc>
          <w:tcPr>
            <w:tcW w:w="2058" w:type="pct"/>
          </w:tcPr>
          <w:p w14:paraId="3E613FB9" w14:textId="77777777" w:rsidR="00AD1F54" w:rsidRPr="00264D5D" w:rsidRDefault="00941227">
            <w:pPr>
              <w:spacing w:before="60" w:after="60"/>
              <w:rPr>
                <w:sz w:val="22"/>
                <w:szCs w:val="22"/>
              </w:rPr>
            </w:pPr>
            <w:r w:rsidRPr="00264D5D">
              <w:rPr>
                <w:sz w:val="22"/>
                <w:szCs w:val="22"/>
              </w:rPr>
              <w:t>КПП контрагента, получателя субсиди</w:t>
            </w:r>
            <w:r w:rsidR="00CE031E" w:rsidRPr="00264D5D">
              <w:rPr>
                <w:sz w:val="22"/>
                <w:szCs w:val="22"/>
              </w:rPr>
              <w:t>и либо взыскателя (при наличии)</w:t>
            </w:r>
          </w:p>
        </w:tc>
      </w:tr>
      <w:tr w:rsidR="00AD1F54" w:rsidRPr="00264D5D" w14:paraId="0FA69863" w14:textId="77777777" w:rsidTr="00AD1F54">
        <w:trPr>
          <w:cnfStyle w:val="000000010000" w:firstRow="0" w:lastRow="0" w:firstColumn="0" w:lastColumn="0" w:oddVBand="0" w:evenVBand="0" w:oddHBand="0" w:evenHBand="1" w:firstRowFirstColumn="0" w:firstRowLastColumn="0" w:lastRowFirstColumn="0" w:lastRowLastColumn="0"/>
        </w:trPr>
        <w:tc>
          <w:tcPr>
            <w:tcW w:w="884" w:type="pct"/>
          </w:tcPr>
          <w:p w14:paraId="422002B3" w14:textId="77777777" w:rsidR="00AD1F54" w:rsidRPr="00264D5D" w:rsidRDefault="00941227">
            <w:pPr>
              <w:spacing w:before="60" w:after="60"/>
              <w:rPr>
                <w:sz w:val="22"/>
                <w:szCs w:val="22"/>
              </w:rPr>
            </w:pPr>
            <w:r w:rsidRPr="00264D5D">
              <w:rPr>
                <w:sz w:val="22"/>
                <w:szCs w:val="22"/>
              </w:rPr>
              <w:t>КПП крупнейшего налогоплательщика</w:t>
            </w:r>
          </w:p>
        </w:tc>
        <w:tc>
          <w:tcPr>
            <w:tcW w:w="882" w:type="pct"/>
          </w:tcPr>
          <w:p w14:paraId="61146AFC" w14:textId="77777777" w:rsidR="00AD1F54" w:rsidRPr="00264D5D" w:rsidRDefault="00941227">
            <w:pPr>
              <w:spacing w:before="60" w:after="60"/>
              <w:rPr>
                <w:sz w:val="22"/>
                <w:szCs w:val="22"/>
              </w:rPr>
            </w:pPr>
            <w:r w:rsidRPr="00264D5D">
              <w:rPr>
                <w:sz w:val="22"/>
                <w:szCs w:val="22"/>
              </w:rPr>
              <w:t>KPPnlrgd</w:t>
            </w:r>
          </w:p>
        </w:tc>
        <w:tc>
          <w:tcPr>
            <w:tcW w:w="293" w:type="pct"/>
          </w:tcPr>
          <w:p w14:paraId="67593D35" w14:textId="77777777" w:rsidR="00AD1F54" w:rsidRPr="00264D5D" w:rsidRDefault="00941227">
            <w:pPr>
              <w:spacing w:before="60" w:after="60"/>
              <w:jc w:val="center"/>
              <w:rPr>
                <w:sz w:val="22"/>
                <w:szCs w:val="22"/>
              </w:rPr>
            </w:pPr>
            <w:r w:rsidRPr="00264D5D">
              <w:rPr>
                <w:sz w:val="22"/>
                <w:szCs w:val="22"/>
              </w:rPr>
              <w:t>П</w:t>
            </w:r>
          </w:p>
        </w:tc>
        <w:tc>
          <w:tcPr>
            <w:tcW w:w="588" w:type="pct"/>
          </w:tcPr>
          <w:p w14:paraId="658DF72A" w14:textId="77777777" w:rsidR="00AD1F54" w:rsidRPr="00264D5D" w:rsidRDefault="00941227">
            <w:pPr>
              <w:spacing w:before="60" w:after="60"/>
              <w:jc w:val="left"/>
              <w:rPr>
                <w:sz w:val="22"/>
                <w:szCs w:val="22"/>
              </w:rPr>
            </w:pPr>
            <w:r w:rsidRPr="00264D5D">
              <w:rPr>
                <w:sz w:val="22"/>
                <w:szCs w:val="22"/>
              </w:rPr>
              <w:t>Т(9)</w:t>
            </w:r>
          </w:p>
        </w:tc>
        <w:tc>
          <w:tcPr>
            <w:tcW w:w="294" w:type="pct"/>
          </w:tcPr>
          <w:p w14:paraId="124FE917" w14:textId="77777777" w:rsidR="00AD1F54" w:rsidRPr="00264D5D" w:rsidRDefault="00941227">
            <w:pPr>
              <w:spacing w:before="60" w:after="60"/>
              <w:jc w:val="center"/>
              <w:rPr>
                <w:sz w:val="22"/>
                <w:szCs w:val="22"/>
              </w:rPr>
            </w:pPr>
            <w:r w:rsidRPr="00264D5D">
              <w:rPr>
                <w:sz w:val="22"/>
                <w:szCs w:val="22"/>
              </w:rPr>
              <w:t>Н</w:t>
            </w:r>
          </w:p>
        </w:tc>
        <w:tc>
          <w:tcPr>
            <w:tcW w:w="2058" w:type="pct"/>
          </w:tcPr>
          <w:p w14:paraId="1EADE13D" w14:textId="77777777" w:rsidR="00AD1F54" w:rsidRPr="00264D5D" w:rsidRDefault="00941227">
            <w:pPr>
              <w:spacing w:before="60" w:after="60"/>
              <w:rPr>
                <w:sz w:val="22"/>
                <w:szCs w:val="22"/>
              </w:rPr>
            </w:pPr>
            <w:r w:rsidRPr="00264D5D">
              <w:rPr>
                <w:sz w:val="22"/>
                <w:szCs w:val="22"/>
              </w:rPr>
              <w:t>КП</w:t>
            </w:r>
            <w:r w:rsidR="00CE031E" w:rsidRPr="00264D5D">
              <w:rPr>
                <w:sz w:val="22"/>
                <w:szCs w:val="22"/>
              </w:rPr>
              <w:t>П крупнейшего налогоплательщика</w:t>
            </w:r>
          </w:p>
        </w:tc>
      </w:tr>
      <w:tr w:rsidR="00AD1F54" w:rsidRPr="00264D5D" w14:paraId="200871EF" w14:textId="77777777" w:rsidTr="00AD1F54">
        <w:trPr>
          <w:cnfStyle w:val="000000100000" w:firstRow="0" w:lastRow="0" w:firstColumn="0" w:lastColumn="0" w:oddVBand="0" w:evenVBand="0" w:oddHBand="1" w:evenHBand="0" w:firstRowFirstColumn="0" w:firstRowLastColumn="0" w:lastRowFirstColumn="0" w:lastRowLastColumn="0"/>
        </w:trPr>
        <w:tc>
          <w:tcPr>
            <w:tcW w:w="884" w:type="pct"/>
          </w:tcPr>
          <w:p w14:paraId="0530BC6D" w14:textId="77777777" w:rsidR="00AD1F54" w:rsidRPr="00264D5D" w:rsidRDefault="00941227">
            <w:pPr>
              <w:spacing w:before="60" w:after="60"/>
              <w:rPr>
                <w:sz w:val="22"/>
                <w:szCs w:val="22"/>
              </w:rPr>
            </w:pPr>
            <w:r w:rsidRPr="00264D5D">
              <w:rPr>
                <w:sz w:val="22"/>
                <w:szCs w:val="22"/>
              </w:rPr>
              <w:t>Код по Сводному реестру</w:t>
            </w:r>
          </w:p>
        </w:tc>
        <w:tc>
          <w:tcPr>
            <w:tcW w:w="882" w:type="pct"/>
          </w:tcPr>
          <w:p w14:paraId="39B94663" w14:textId="77777777" w:rsidR="00AD1F54" w:rsidRPr="00264D5D" w:rsidRDefault="00941227">
            <w:pPr>
              <w:spacing w:before="60" w:after="60"/>
              <w:rPr>
                <w:sz w:val="22"/>
                <w:szCs w:val="22"/>
              </w:rPr>
            </w:pPr>
            <w:r w:rsidRPr="00264D5D">
              <w:rPr>
                <w:sz w:val="22"/>
                <w:szCs w:val="22"/>
              </w:rPr>
              <w:t>CdRgs</w:t>
            </w:r>
          </w:p>
        </w:tc>
        <w:tc>
          <w:tcPr>
            <w:tcW w:w="293" w:type="pct"/>
          </w:tcPr>
          <w:p w14:paraId="13CE24ED" w14:textId="77777777" w:rsidR="00AD1F54" w:rsidRPr="00264D5D" w:rsidRDefault="00941227">
            <w:pPr>
              <w:spacing w:before="60" w:after="60"/>
              <w:jc w:val="center"/>
              <w:rPr>
                <w:sz w:val="22"/>
                <w:szCs w:val="22"/>
              </w:rPr>
            </w:pPr>
            <w:r w:rsidRPr="00264D5D">
              <w:rPr>
                <w:sz w:val="22"/>
                <w:szCs w:val="22"/>
              </w:rPr>
              <w:t>П</w:t>
            </w:r>
          </w:p>
        </w:tc>
        <w:tc>
          <w:tcPr>
            <w:tcW w:w="588" w:type="pct"/>
          </w:tcPr>
          <w:p w14:paraId="666B4D38" w14:textId="77777777" w:rsidR="00AD1F54" w:rsidRPr="00264D5D" w:rsidRDefault="00941227">
            <w:pPr>
              <w:spacing w:before="60" w:after="60"/>
              <w:jc w:val="left"/>
              <w:rPr>
                <w:sz w:val="22"/>
                <w:szCs w:val="22"/>
              </w:rPr>
            </w:pPr>
            <w:r w:rsidRPr="00264D5D">
              <w:rPr>
                <w:sz w:val="22"/>
                <w:szCs w:val="22"/>
              </w:rPr>
              <w:t>Т(8)</w:t>
            </w:r>
          </w:p>
        </w:tc>
        <w:tc>
          <w:tcPr>
            <w:tcW w:w="294" w:type="pct"/>
          </w:tcPr>
          <w:p w14:paraId="3D7E553B" w14:textId="77777777" w:rsidR="00AD1F54" w:rsidRPr="00264D5D" w:rsidRDefault="00941227">
            <w:pPr>
              <w:spacing w:before="60" w:after="60"/>
              <w:jc w:val="center"/>
              <w:rPr>
                <w:sz w:val="22"/>
                <w:szCs w:val="22"/>
              </w:rPr>
            </w:pPr>
            <w:r w:rsidRPr="00264D5D">
              <w:rPr>
                <w:sz w:val="22"/>
                <w:szCs w:val="22"/>
              </w:rPr>
              <w:t>Н</w:t>
            </w:r>
          </w:p>
        </w:tc>
        <w:tc>
          <w:tcPr>
            <w:tcW w:w="2058" w:type="pct"/>
          </w:tcPr>
          <w:p w14:paraId="329883E3" w14:textId="77777777" w:rsidR="00AD1F54" w:rsidRPr="00264D5D" w:rsidRDefault="00941227">
            <w:pPr>
              <w:spacing w:before="60" w:after="60"/>
              <w:rPr>
                <w:sz w:val="22"/>
                <w:szCs w:val="22"/>
              </w:rPr>
            </w:pPr>
            <w:r w:rsidRPr="00264D5D">
              <w:rPr>
                <w:sz w:val="22"/>
                <w:szCs w:val="22"/>
              </w:rPr>
              <w:t>Указывается код по Сводному реестру контрагента/взыскателя, в случае наличия информации о нем в Сводном рее</w:t>
            </w:r>
            <w:r w:rsidR="00CE031E" w:rsidRPr="00264D5D">
              <w:rPr>
                <w:sz w:val="22"/>
                <w:szCs w:val="22"/>
              </w:rPr>
              <w:t>стре в соответствии с ИНН и КПП</w:t>
            </w:r>
          </w:p>
        </w:tc>
      </w:tr>
      <w:tr w:rsidR="00AD1F54" w:rsidRPr="00264D5D" w14:paraId="0A137945" w14:textId="77777777" w:rsidTr="00AD1F54">
        <w:trPr>
          <w:cnfStyle w:val="000000010000" w:firstRow="0" w:lastRow="0" w:firstColumn="0" w:lastColumn="0" w:oddVBand="0" w:evenVBand="0" w:oddHBand="0" w:evenHBand="1" w:firstRowFirstColumn="0" w:firstRowLastColumn="0" w:lastRowFirstColumn="0" w:lastRowLastColumn="0"/>
        </w:trPr>
        <w:tc>
          <w:tcPr>
            <w:tcW w:w="884" w:type="pct"/>
          </w:tcPr>
          <w:p w14:paraId="7F07A8D3" w14:textId="77777777" w:rsidR="00AD1F54" w:rsidRPr="00264D5D" w:rsidRDefault="00941227">
            <w:pPr>
              <w:spacing w:before="60" w:after="60"/>
              <w:rPr>
                <w:sz w:val="22"/>
                <w:szCs w:val="22"/>
              </w:rPr>
            </w:pPr>
            <w:r w:rsidRPr="00264D5D">
              <w:rPr>
                <w:sz w:val="22"/>
                <w:szCs w:val="22"/>
              </w:rPr>
              <w:t xml:space="preserve">Номер лицевого счета </w:t>
            </w:r>
          </w:p>
        </w:tc>
        <w:tc>
          <w:tcPr>
            <w:tcW w:w="882" w:type="pct"/>
          </w:tcPr>
          <w:p w14:paraId="63E4A009" w14:textId="77777777" w:rsidR="00AD1F54" w:rsidRPr="00264D5D" w:rsidRDefault="00941227">
            <w:pPr>
              <w:spacing w:before="60" w:after="60"/>
              <w:rPr>
                <w:sz w:val="22"/>
                <w:szCs w:val="22"/>
              </w:rPr>
            </w:pPr>
            <w:r w:rsidRPr="00264D5D">
              <w:rPr>
                <w:sz w:val="22"/>
                <w:szCs w:val="22"/>
              </w:rPr>
              <w:t>NmbrAccnt</w:t>
            </w:r>
          </w:p>
        </w:tc>
        <w:tc>
          <w:tcPr>
            <w:tcW w:w="293" w:type="pct"/>
          </w:tcPr>
          <w:p w14:paraId="54DC5D00" w14:textId="77777777" w:rsidR="00AD1F54" w:rsidRPr="00264D5D" w:rsidRDefault="00941227">
            <w:pPr>
              <w:spacing w:before="60" w:after="60"/>
              <w:jc w:val="center"/>
              <w:rPr>
                <w:sz w:val="22"/>
                <w:szCs w:val="22"/>
              </w:rPr>
            </w:pPr>
            <w:r w:rsidRPr="00264D5D">
              <w:rPr>
                <w:sz w:val="22"/>
                <w:szCs w:val="22"/>
              </w:rPr>
              <w:t>П</w:t>
            </w:r>
          </w:p>
        </w:tc>
        <w:tc>
          <w:tcPr>
            <w:tcW w:w="588" w:type="pct"/>
          </w:tcPr>
          <w:p w14:paraId="24E899C6" w14:textId="77777777" w:rsidR="00AD1F54" w:rsidRPr="00264D5D" w:rsidRDefault="00941227">
            <w:pPr>
              <w:spacing w:before="60" w:after="60"/>
              <w:jc w:val="left"/>
              <w:rPr>
                <w:sz w:val="22"/>
                <w:szCs w:val="22"/>
              </w:rPr>
            </w:pPr>
            <w:r w:rsidRPr="00264D5D">
              <w:rPr>
                <w:sz w:val="22"/>
                <w:szCs w:val="22"/>
              </w:rPr>
              <w:t>Т(1-100)</w:t>
            </w:r>
          </w:p>
        </w:tc>
        <w:tc>
          <w:tcPr>
            <w:tcW w:w="294" w:type="pct"/>
          </w:tcPr>
          <w:p w14:paraId="0A60136E" w14:textId="77777777" w:rsidR="00AD1F54" w:rsidRPr="00264D5D" w:rsidRDefault="00941227">
            <w:pPr>
              <w:spacing w:before="60" w:after="60"/>
              <w:jc w:val="center"/>
              <w:rPr>
                <w:sz w:val="22"/>
                <w:szCs w:val="22"/>
              </w:rPr>
            </w:pPr>
            <w:r w:rsidRPr="00264D5D">
              <w:rPr>
                <w:sz w:val="22"/>
                <w:szCs w:val="22"/>
              </w:rPr>
              <w:t>Н</w:t>
            </w:r>
          </w:p>
        </w:tc>
        <w:tc>
          <w:tcPr>
            <w:tcW w:w="2058" w:type="pct"/>
          </w:tcPr>
          <w:p w14:paraId="22D615EA" w14:textId="77777777" w:rsidR="00AD1F54" w:rsidRPr="00264D5D" w:rsidRDefault="00941227">
            <w:pPr>
              <w:spacing w:before="60" w:after="60"/>
              <w:rPr>
                <w:sz w:val="22"/>
                <w:szCs w:val="22"/>
              </w:rPr>
            </w:pPr>
            <w:r w:rsidRPr="00264D5D">
              <w:rPr>
                <w:sz w:val="22"/>
                <w:szCs w:val="22"/>
              </w:rPr>
              <w:t>Указывается номер лицевого счета контрагента/взыскателя, открытый в ТОФК (финансовом органе субъекта РФ, финансовом органе муниципального образования, органе управления государственным вне</w:t>
            </w:r>
            <w:r w:rsidR="00CE031E" w:rsidRPr="00264D5D">
              <w:rPr>
                <w:sz w:val="22"/>
                <w:szCs w:val="22"/>
              </w:rPr>
              <w:t>бюджетным фондом) (при наличии)</w:t>
            </w:r>
            <w:r w:rsidRPr="00264D5D">
              <w:rPr>
                <w:sz w:val="22"/>
                <w:szCs w:val="22"/>
              </w:rPr>
              <w:t xml:space="preserve"> </w:t>
            </w:r>
          </w:p>
        </w:tc>
      </w:tr>
      <w:tr w:rsidR="00AD1F54" w:rsidRPr="00264D5D" w14:paraId="2C031847" w14:textId="77777777" w:rsidTr="00AD1F54">
        <w:trPr>
          <w:cnfStyle w:val="000000100000" w:firstRow="0" w:lastRow="0" w:firstColumn="0" w:lastColumn="0" w:oddVBand="0" w:evenVBand="0" w:oddHBand="1" w:evenHBand="0" w:firstRowFirstColumn="0" w:firstRowLastColumn="0" w:lastRowFirstColumn="0" w:lastRowLastColumn="0"/>
        </w:trPr>
        <w:tc>
          <w:tcPr>
            <w:tcW w:w="884" w:type="pct"/>
          </w:tcPr>
          <w:p w14:paraId="281FF594" w14:textId="77777777" w:rsidR="00AD1F54" w:rsidRPr="00264D5D" w:rsidRDefault="00941227">
            <w:pPr>
              <w:spacing w:before="60" w:after="60"/>
              <w:rPr>
                <w:sz w:val="22"/>
                <w:szCs w:val="22"/>
              </w:rPr>
            </w:pPr>
            <w:r w:rsidRPr="00264D5D">
              <w:rPr>
                <w:sz w:val="22"/>
                <w:szCs w:val="22"/>
              </w:rPr>
              <w:t>Раздел на лицевом счете</w:t>
            </w:r>
          </w:p>
        </w:tc>
        <w:tc>
          <w:tcPr>
            <w:tcW w:w="882" w:type="pct"/>
          </w:tcPr>
          <w:p w14:paraId="6D1CFA5E" w14:textId="77777777" w:rsidR="00AD1F54" w:rsidRPr="00264D5D" w:rsidRDefault="00941227">
            <w:pPr>
              <w:spacing w:before="60" w:after="60"/>
              <w:rPr>
                <w:sz w:val="22"/>
                <w:szCs w:val="22"/>
              </w:rPr>
            </w:pPr>
            <w:r w:rsidRPr="00264D5D">
              <w:rPr>
                <w:sz w:val="22"/>
                <w:szCs w:val="22"/>
                <w:lang w:val="en-US"/>
              </w:rPr>
              <w:t>Sctn</w:t>
            </w:r>
            <w:r w:rsidRPr="00264D5D">
              <w:rPr>
                <w:sz w:val="22"/>
                <w:szCs w:val="22"/>
              </w:rPr>
              <w:t>Accnt</w:t>
            </w:r>
          </w:p>
        </w:tc>
        <w:tc>
          <w:tcPr>
            <w:tcW w:w="293" w:type="pct"/>
          </w:tcPr>
          <w:p w14:paraId="0BBDCC8E" w14:textId="77777777" w:rsidR="00AD1F54" w:rsidRPr="00264D5D" w:rsidRDefault="00941227">
            <w:pPr>
              <w:spacing w:before="60" w:after="60"/>
              <w:jc w:val="center"/>
              <w:rPr>
                <w:sz w:val="22"/>
                <w:szCs w:val="22"/>
              </w:rPr>
            </w:pPr>
            <w:r w:rsidRPr="00264D5D">
              <w:rPr>
                <w:sz w:val="22"/>
                <w:szCs w:val="22"/>
              </w:rPr>
              <w:t>П</w:t>
            </w:r>
          </w:p>
        </w:tc>
        <w:tc>
          <w:tcPr>
            <w:tcW w:w="588" w:type="pct"/>
          </w:tcPr>
          <w:p w14:paraId="0B5D265A" w14:textId="77777777" w:rsidR="00AD1F54" w:rsidRPr="00264D5D" w:rsidRDefault="00941227">
            <w:pPr>
              <w:spacing w:before="60" w:after="60"/>
              <w:jc w:val="left"/>
              <w:rPr>
                <w:sz w:val="22"/>
                <w:szCs w:val="22"/>
              </w:rPr>
            </w:pPr>
            <w:r w:rsidRPr="00264D5D">
              <w:rPr>
                <w:sz w:val="22"/>
                <w:szCs w:val="22"/>
              </w:rPr>
              <w:t>Т(8)</w:t>
            </w:r>
          </w:p>
        </w:tc>
        <w:tc>
          <w:tcPr>
            <w:tcW w:w="294" w:type="pct"/>
          </w:tcPr>
          <w:p w14:paraId="0F94F81B" w14:textId="77777777" w:rsidR="00AD1F54" w:rsidRPr="00264D5D" w:rsidRDefault="00941227">
            <w:pPr>
              <w:spacing w:before="60" w:after="60"/>
              <w:jc w:val="center"/>
              <w:rPr>
                <w:sz w:val="22"/>
                <w:szCs w:val="22"/>
              </w:rPr>
            </w:pPr>
            <w:r w:rsidRPr="00264D5D">
              <w:rPr>
                <w:sz w:val="22"/>
                <w:szCs w:val="22"/>
              </w:rPr>
              <w:t>Н</w:t>
            </w:r>
          </w:p>
        </w:tc>
        <w:tc>
          <w:tcPr>
            <w:tcW w:w="2058" w:type="pct"/>
          </w:tcPr>
          <w:p w14:paraId="60FEDA21" w14:textId="77777777" w:rsidR="00AD1F54" w:rsidRPr="00264D5D" w:rsidRDefault="00941227">
            <w:pPr>
              <w:spacing w:before="60" w:after="60"/>
              <w:rPr>
                <w:sz w:val="22"/>
                <w:szCs w:val="22"/>
              </w:rPr>
            </w:pPr>
            <w:r w:rsidRPr="00264D5D">
              <w:rPr>
                <w:sz w:val="22"/>
                <w:szCs w:val="22"/>
              </w:rPr>
              <w:t xml:space="preserve">Аналитический номер раздела на лицевом счете указывается в случае если операции по исполнению бюджетного обязательства подлежат отражению на лицевом счете, открытом контрагенту в органе Федерального казначейства, для отражения средств, подлежащих в соответствии с законодательством Российской </w:t>
            </w:r>
            <w:r w:rsidRPr="00264D5D">
              <w:rPr>
                <w:sz w:val="22"/>
                <w:szCs w:val="22"/>
              </w:rPr>
              <w:lastRenderedPageBreak/>
              <w:t>Федерации казначейскому сопровождению, предоставляемых в соотве</w:t>
            </w:r>
            <w:r w:rsidR="00CE031E" w:rsidRPr="00264D5D">
              <w:rPr>
                <w:sz w:val="22"/>
                <w:szCs w:val="22"/>
              </w:rPr>
              <w:t>тствии с документом-основанием</w:t>
            </w:r>
          </w:p>
        </w:tc>
      </w:tr>
      <w:tr w:rsidR="00AD1F54" w:rsidRPr="00264D5D" w14:paraId="4123BD99" w14:textId="77777777" w:rsidTr="00AD1F54">
        <w:trPr>
          <w:cnfStyle w:val="000000010000" w:firstRow="0" w:lastRow="0" w:firstColumn="0" w:lastColumn="0" w:oddVBand="0" w:evenVBand="0" w:oddHBand="0" w:evenHBand="1" w:firstRowFirstColumn="0" w:firstRowLastColumn="0" w:lastRowFirstColumn="0" w:lastRowLastColumn="0"/>
        </w:trPr>
        <w:tc>
          <w:tcPr>
            <w:tcW w:w="884" w:type="pct"/>
          </w:tcPr>
          <w:p w14:paraId="0DC7320A" w14:textId="77777777" w:rsidR="00AD1F54" w:rsidRPr="00264D5D" w:rsidRDefault="00941227">
            <w:pPr>
              <w:spacing w:before="60" w:after="60"/>
              <w:rPr>
                <w:sz w:val="22"/>
                <w:szCs w:val="22"/>
              </w:rPr>
            </w:pPr>
            <w:r w:rsidRPr="00264D5D">
              <w:rPr>
                <w:sz w:val="22"/>
                <w:szCs w:val="22"/>
              </w:rPr>
              <w:lastRenderedPageBreak/>
              <w:t>Номер банковского счета</w:t>
            </w:r>
          </w:p>
        </w:tc>
        <w:tc>
          <w:tcPr>
            <w:tcW w:w="882" w:type="pct"/>
          </w:tcPr>
          <w:p w14:paraId="2DD75FBC" w14:textId="77777777" w:rsidR="00AD1F54" w:rsidRPr="00264D5D" w:rsidRDefault="00941227">
            <w:pPr>
              <w:spacing w:before="60" w:after="60"/>
              <w:rPr>
                <w:sz w:val="22"/>
                <w:szCs w:val="22"/>
              </w:rPr>
            </w:pPr>
            <w:r w:rsidRPr="00264D5D">
              <w:rPr>
                <w:sz w:val="22"/>
                <w:szCs w:val="22"/>
              </w:rPr>
              <w:t>NmbrBnkAccnt</w:t>
            </w:r>
          </w:p>
        </w:tc>
        <w:tc>
          <w:tcPr>
            <w:tcW w:w="293" w:type="pct"/>
          </w:tcPr>
          <w:p w14:paraId="3A806851" w14:textId="77777777" w:rsidR="00AD1F54" w:rsidRPr="00264D5D" w:rsidRDefault="00941227">
            <w:pPr>
              <w:spacing w:before="60" w:after="60"/>
              <w:jc w:val="center"/>
              <w:rPr>
                <w:sz w:val="22"/>
                <w:szCs w:val="22"/>
              </w:rPr>
            </w:pPr>
            <w:r w:rsidRPr="00264D5D">
              <w:rPr>
                <w:sz w:val="22"/>
                <w:szCs w:val="22"/>
              </w:rPr>
              <w:t>П</w:t>
            </w:r>
          </w:p>
        </w:tc>
        <w:tc>
          <w:tcPr>
            <w:tcW w:w="588" w:type="pct"/>
          </w:tcPr>
          <w:p w14:paraId="6B2ECE07" w14:textId="77777777" w:rsidR="00AD1F54" w:rsidRPr="00264D5D" w:rsidRDefault="00941227">
            <w:pPr>
              <w:spacing w:before="60" w:after="60"/>
              <w:jc w:val="left"/>
              <w:rPr>
                <w:sz w:val="22"/>
                <w:szCs w:val="22"/>
              </w:rPr>
            </w:pPr>
            <w:r w:rsidRPr="00264D5D">
              <w:rPr>
                <w:sz w:val="22"/>
                <w:szCs w:val="22"/>
              </w:rPr>
              <w:t>Т(20)</w:t>
            </w:r>
          </w:p>
        </w:tc>
        <w:tc>
          <w:tcPr>
            <w:tcW w:w="294" w:type="pct"/>
          </w:tcPr>
          <w:p w14:paraId="7DA2E43E" w14:textId="77777777" w:rsidR="00AD1F54" w:rsidRPr="00264D5D" w:rsidRDefault="00941227">
            <w:pPr>
              <w:spacing w:before="60" w:after="60"/>
              <w:jc w:val="center"/>
              <w:rPr>
                <w:sz w:val="22"/>
                <w:szCs w:val="22"/>
              </w:rPr>
            </w:pPr>
            <w:r w:rsidRPr="00264D5D">
              <w:rPr>
                <w:sz w:val="22"/>
                <w:szCs w:val="22"/>
              </w:rPr>
              <w:t>Н</w:t>
            </w:r>
          </w:p>
        </w:tc>
        <w:tc>
          <w:tcPr>
            <w:tcW w:w="2058" w:type="pct"/>
          </w:tcPr>
          <w:p w14:paraId="6D1B088B" w14:textId="77777777" w:rsidR="00AD1F54" w:rsidRPr="00264D5D" w:rsidRDefault="00941227">
            <w:pPr>
              <w:spacing w:before="60" w:after="60"/>
              <w:rPr>
                <w:sz w:val="22"/>
                <w:szCs w:val="22"/>
              </w:rPr>
            </w:pPr>
            <w:r w:rsidRPr="00264D5D">
              <w:rPr>
                <w:sz w:val="22"/>
                <w:szCs w:val="22"/>
              </w:rPr>
              <w:t>Номер банковского счета контрагента (получателя субс</w:t>
            </w:r>
            <w:r w:rsidR="00CE031E" w:rsidRPr="00264D5D">
              <w:rPr>
                <w:sz w:val="22"/>
                <w:szCs w:val="22"/>
              </w:rPr>
              <w:t>идии, взыскателя) (при наличии)</w:t>
            </w:r>
          </w:p>
        </w:tc>
      </w:tr>
      <w:tr w:rsidR="00AD1F54" w:rsidRPr="00264D5D" w14:paraId="3D6AC052" w14:textId="77777777" w:rsidTr="00AD1F54">
        <w:trPr>
          <w:cnfStyle w:val="000000100000" w:firstRow="0" w:lastRow="0" w:firstColumn="0" w:lastColumn="0" w:oddVBand="0" w:evenVBand="0" w:oddHBand="1" w:evenHBand="0" w:firstRowFirstColumn="0" w:firstRowLastColumn="0" w:lastRowFirstColumn="0" w:lastRowLastColumn="0"/>
        </w:trPr>
        <w:tc>
          <w:tcPr>
            <w:tcW w:w="884" w:type="pct"/>
          </w:tcPr>
          <w:p w14:paraId="132D6F3A" w14:textId="77777777" w:rsidR="00AD1F54" w:rsidRPr="00264D5D" w:rsidRDefault="00941227">
            <w:pPr>
              <w:spacing w:before="60" w:after="60"/>
              <w:rPr>
                <w:sz w:val="22"/>
                <w:szCs w:val="22"/>
              </w:rPr>
            </w:pPr>
            <w:r w:rsidRPr="00264D5D">
              <w:rPr>
                <w:sz w:val="22"/>
                <w:szCs w:val="22"/>
              </w:rPr>
              <w:t>Наименование банка (иной организации), в котором (-ой) открыт счет контрагенту</w:t>
            </w:r>
          </w:p>
        </w:tc>
        <w:tc>
          <w:tcPr>
            <w:tcW w:w="882" w:type="pct"/>
          </w:tcPr>
          <w:p w14:paraId="5110B2FA" w14:textId="77777777" w:rsidR="00AD1F54" w:rsidRPr="00264D5D" w:rsidRDefault="00941227">
            <w:pPr>
              <w:spacing w:before="60" w:after="60"/>
              <w:rPr>
                <w:sz w:val="22"/>
                <w:szCs w:val="22"/>
              </w:rPr>
            </w:pPr>
            <w:r w:rsidRPr="00264D5D">
              <w:rPr>
                <w:sz w:val="22"/>
                <w:szCs w:val="22"/>
              </w:rPr>
              <w:t>NmBnk</w:t>
            </w:r>
          </w:p>
        </w:tc>
        <w:tc>
          <w:tcPr>
            <w:tcW w:w="293" w:type="pct"/>
          </w:tcPr>
          <w:p w14:paraId="08AEEF6C" w14:textId="77777777" w:rsidR="00AD1F54" w:rsidRPr="00264D5D" w:rsidRDefault="00941227">
            <w:pPr>
              <w:spacing w:before="60" w:after="60"/>
              <w:jc w:val="center"/>
              <w:rPr>
                <w:sz w:val="22"/>
                <w:szCs w:val="22"/>
              </w:rPr>
            </w:pPr>
            <w:r w:rsidRPr="00264D5D">
              <w:rPr>
                <w:sz w:val="22"/>
                <w:szCs w:val="22"/>
              </w:rPr>
              <w:t>П</w:t>
            </w:r>
          </w:p>
        </w:tc>
        <w:tc>
          <w:tcPr>
            <w:tcW w:w="588" w:type="pct"/>
          </w:tcPr>
          <w:p w14:paraId="3A23CA77" w14:textId="77777777" w:rsidR="00AD1F54" w:rsidRPr="00264D5D" w:rsidRDefault="00941227">
            <w:pPr>
              <w:spacing w:before="60" w:after="60"/>
              <w:jc w:val="left"/>
              <w:rPr>
                <w:sz w:val="22"/>
                <w:szCs w:val="22"/>
              </w:rPr>
            </w:pPr>
            <w:r w:rsidRPr="00264D5D">
              <w:rPr>
                <w:sz w:val="22"/>
                <w:szCs w:val="22"/>
              </w:rPr>
              <w:t>Т(1-160)</w:t>
            </w:r>
          </w:p>
        </w:tc>
        <w:tc>
          <w:tcPr>
            <w:tcW w:w="294" w:type="pct"/>
          </w:tcPr>
          <w:p w14:paraId="0A1B14F8" w14:textId="77777777" w:rsidR="00AD1F54" w:rsidRPr="00264D5D" w:rsidRDefault="00941227">
            <w:pPr>
              <w:spacing w:before="60" w:after="60"/>
              <w:jc w:val="center"/>
              <w:rPr>
                <w:sz w:val="22"/>
                <w:szCs w:val="22"/>
              </w:rPr>
            </w:pPr>
            <w:r w:rsidRPr="00264D5D">
              <w:rPr>
                <w:sz w:val="22"/>
                <w:szCs w:val="22"/>
              </w:rPr>
              <w:t>Н</w:t>
            </w:r>
          </w:p>
        </w:tc>
        <w:tc>
          <w:tcPr>
            <w:tcW w:w="2058" w:type="pct"/>
          </w:tcPr>
          <w:p w14:paraId="4C002A7C" w14:textId="77777777" w:rsidR="00AD1F54" w:rsidRPr="00264D5D" w:rsidRDefault="00941227">
            <w:pPr>
              <w:spacing w:before="60" w:after="60"/>
              <w:rPr>
                <w:sz w:val="22"/>
                <w:szCs w:val="22"/>
              </w:rPr>
            </w:pPr>
            <w:r w:rsidRPr="00264D5D">
              <w:rPr>
                <w:sz w:val="22"/>
                <w:szCs w:val="22"/>
              </w:rPr>
              <w:t>Наименование банка (иной организации), в котором (-ой) открыт счет контрагенту (получателю субси</w:t>
            </w:r>
            <w:r w:rsidR="00CE031E" w:rsidRPr="00264D5D">
              <w:rPr>
                <w:sz w:val="22"/>
                <w:szCs w:val="22"/>
              </w:rPr>
              <w:t>дии, взыскателю) (при наличии)</w:t>
            </w:r>
          </w:p>
        </w:tc>
      </w:tr>
      <w:tr w:rsidR="00AD1F54" w:rsidRPr="00264D5D" w14:paraId="7842ED7B" w14:textId="77777777" w:rsidTr="00AD1F54">
        <w:trPr>
          <w:cnfStyle w:val="000000010000" w:firstRow="0" w:lastRow="0" w:firstColumn="0" w:lastColumn="0" w:oddVBand="0" w:evenVBand="0" w:oddHBand="0" w:evenHBand="1" w:firstRowFirstColumn="0" w:firstRowLastColumn="0" w:lastRowFirstColumn="0" w:lastRowLastColumn="0"/>
        </w:trPr>
        <w:tc>
          <w:tcPr>
            <w:tcW w:w="884" w:type="pct"/>
          </w:tcPr>
          <w:p w14:paraId="4360EB7F" w14:textId="77777777" w:rsidR="00AD1F54" w:rsidRPr="00264D5D" w:rsidRDefault="00941227">
            <w:pPr>
              <w:spacing w:before="60" w:after="60"/>
              <w:rPr>
                <w:sz w:val="22"/>
                <w:szCs w:val="22"/>
              </w:rPr>
            </w:pPr>
            <w:r w:rsidRPr="00264D5D">
              <w:rPr>
                <w:sz w:val="22"/>
                <w:szCs w:val="22"/>
              </w:rPr>
              <w:t xml:space="preserve">БИК банка </w:t>
            </w:r>
          </w:p>
        </w:tc>
        <w:tc>
          <w:tcPr>
            <w:tcW w:w="882" w:type="pct"/>
          </w:tcPr>
          <w:p w14:paraId="78373B94" w14:textId="77777777" w:rsidR="00AD1F54" w:rsidRPr="00264D5D" w:rsidRDefault="00941227">
            <w:pPr>
              <w:spacing w:before="60" w:after="60"/>
              <w:rPr>
                <w:sz w:val="22"/>
                <w:szCs w:val="22"/>
              </w:rPr>
            </w:pPr>
            <w:r w:rsidRPr="00264D5D">
              <w:rPr>
                <w:sz w:val="22"/>
                <w:szCs w:val="22"/>
              </w:rPr>
              <w:t>BIKBnk</w:t>
            </w:r>
          </w:p>
        </w:tc>
        <w:tc>
          <w:tcPr>
            <w:tcW w:w="293" w:type="pct"/>
          </w:tcPr>
          <w:p w14:paraId="79F591CD" w14:textId="77777777" w:rsidR="00AD1F54" w:rsidRPr="00264D5D" w:rsidRDefault="00941227">
            <w:pPr>
              <w:spacing w:before="60" w:after="60"/>
              <w:jc w:val="center"/>
              <w:rPr>
                <w:sz w:val="22"/>
                <w:szCs w:val="22"/>
              </w:rPr>
            </w:pPr>
            <w:r w:rsidRPr="00264D5D">
              <w:rPr>
                <w:sz w:val="22"/>
                <w:szCs w:val="22"/>
              </w:rPr>
              <w:t>П</w:t>
            </w:r>
          </w:p>
        </w:tc>
        <w:tc>
          <w:tcPr>
            <w:tcW w:w="588" w:type="pct"/>
          </w:tcPr>
          <w:p w14:paraId="5CE75B2F" w14:textId="77777777" w:rsidR="00AD1F54" w:rsidRPr="00264D5D" w:rsidRDefault="00941227">
            <w:pPr>
              <w:spacing w:before="60" w:after="60"/>
              <w:jc w:val="left"/>
              <w:rPr>
                <w:sz w:val="22"/>
                <w:szCs w:val="22"/>
              </w:rPr>
            </w:pPr>
            <w:r w:rsidRPr="00264D5D">
              <w:rPr>
                <w:sz w:val="22"/>
                <w:szCs w:val="22"/>
              </w:rPr>
              <w:t>Т(9)</w:t>
            </w:r>
          </w:p>
        </w:tc>
        <w:tc>
          <w:tcPr>
            <w:tcW w:w="294" w:type="pct"/>
          </w:tcPr>
          <w:p w14:paraId="32A201B4" w14:textId="77777777" w:rsidR="00AD1F54" w:rsidRPr="00264D5D" w:rsidRDefault="00941227">
            <w:pPr>
              <w:spacing w:before="60" w:after="60"/>
              <w:jc w:val="center"/>
              <w:rPr>
                <w:sz w:val="22"/>
                <w:szCs w:val="22"/>
              </w:rPr>
            </w:pPr>
            <w:r w:rsidRPr="00264D5D">
              <w:rPr>
                <w:sz w:val="22"/>
                <w:szCs w:val="22"/>
              </w:rPr>
              <w:t>Н</w:t>
            </w:r>
          </w:p>
        </w:tc>
        <w:tc>
          <w:tcPr>
            <w:tcW w:w="2058" w:type="pct"/>
          </w:tcPr>
          <w:p w14:paraId="0C2811E3" w14:textId="77777777" w:rsidR="00AD1F54" w:rsidRPr="00264D5D" w:rsidRDefault="00941227">
            <w:pPr>
              <w:spacing w:before="60" w:after="60"/>
              <w:rPr>
                <w:sz w:val="22"/>
                <w:szCs w:val="22"/>
              </w:rPr>
            </w:pPr>
            <w:r w:rsidRPr="00264D5D">
              <w:rPr>
                <w:sz w:val="22"/>
                <w:szCs w:val="22"/>
              </w:rPr>
              <w:t>БИК банка контрагента (получателя субси</w:t>
            </w:r>
            <w:r w:rsidR="00CE031E" w:rsidRPr="00264D5D">
              <w:rPr>
                <w:sz w:val="22"/>
                <w:szCs w:val="22"/>
              </w:rPr>
              <w:t>дии, взыскателя) (при наличии)</w:t>
            </w:r>
          </w:p>
        </w:tc>
      </w:tr>
      <w:tr w:rsidR="00AD1F54" w:rsidRPr="00264D5D" w14:paraId="5A8E5568" w14:textId="77777777" w:rsidTr="00AD1F54">
        <w:trPr>
          <w:cnfStyle w:val="000000100000" w:firstRow="0" w:lastRow="0" w:firstColumn="0" w:lastColumn="0" w:oddVBand="0" w:evenVBand="0" w:oddHBand="1" w:evenHBand="0" w:firstRowFirstColumn="0" w:firstRowLastColumn="0" w:lastRowFirstColumn="0" w:lastRowLastColumn="0"/>
        </w:trPr>
        <w:tc>
          <w:tcPr>
            <w:tcW w:w="884" w:type="pct"/>
          </w:tcPr>
          <w:p w14:paraId="3A9D747B" w14:textId="77777777" w:rsidR="00AD1F54" w:rsidRPr="00264D5D" w:rsidRDefault="00941227">
            <w:pPr>
              <w:spacing w:before="60" w:after="60"/>
              <w:rPr>
                <w:sz w:val="22"/>
                <w:szCs w:val="22"/>
              </w:rPr>
            </w:pPr>
            <w:r w:rsidRPr="00264D5D">
              <w:rPr>
                <w:sz w:val="22"/>
                <w:szCs w:val="22"/>
              </w:rPr>
              <w:t>Корреспондентский счет банка</w:t>
            </w:r>
          </w:p>
        </w:tc>
        <w:tc>
          <w:tcPr>
            <w:tcW w:w="882" w:type="pct"/>
          </w:tcPr>
          <w:p w14:paraId="458A62A2" w14:textId="77777777" w:rsidR="00AD1F54" w:rsidRPr="00264D5D" w:rsidRDefault="00941227">
            <w:pPr>
              <w:spacing w:before="60" w:after="60"/>
              <w:rPr>
                <w:sz w:val="22"/>
                <w:szCs w:val="22"/>
                <w:lang w:val="en-US"/>
              </w:rPr>
            </w:pPr>
            <w:r w:rsidRPr="00264D5D">
              <w:rPr>
                <w:sz w:val="22"/>
                <w:szCs w:val="22"/>
              </w:rPr>
              <w:t>CrrspndntAccnt</w:t>
            </w:r>
            <w:r w:rsidRPr="00264D5D">
              <w:rPr>
                <w:sz w:val="22"/>
                <w:szCs w:val="22"/>
                <w:lang w:val="en-US"/>
              </w:rPr>
              <w:t>s</w:t>
            </w:r>
          </w:p>
        </w:tc>
        <w:tc>
          <w:tcPr>
            <w:tcW w:w="293" w:type="pct"/>
          </w:tcPr>
          <w:p w14:paraId="68F6B36C" w14:textId="77777777" w:rsidR="00AD1F54" w:rsidRPr="00264D5D" w:rsidRDefault="00941227">
            <w:pPr>
              <w:spacing w:before="60" w:after="60"/>
              <w:jc w:val="center"/>
              <w:rPr>
                <w:sz w:val="22"/>
                <w:szCs w:val="22"/>
              </w:rPr>
            </w:pPr>
            <w:r w:rsidRPr="00264D5D">
              <w:rPr>
                <w:sz w:val="22"/>
                <w:szCs w:val="22"/>
              </w:rPr>
              <w:t>П</w:t>
            </w:r>
          </w:p>
        </w:tc>
        <w:tc>
          <w:tcPr>
            <w:tcW w:w="588" w:type="pct"/>
          </w:tcPr>
          <w:p w14:paraId="5B4E1684" w14:textId="77777777" w:rsidR="00AD1F54" w:rsidRPr="00264D5D" w:rsidRDefault="00941227">
            <w:pPr>
              <w:spacing w:before="60" w:after="60"/>
              <w:jc w:val="left"/>
              <w:rPr>
                <w:sz w:val="22"/>
                <w:szCs w:val="22"/>
              </w:rPr>
            </w:pPr>
            <w:r w:rsidRPr="00264D5D">
              <w:rPr>
                <w:sz w:val="22"/>
                <w:szCs w:val="22"/>
              </w:rPr>
              <w:t>Т(20)</w:t>
            </w:r>
          </w:p>
        </w:tc>
        <w:tc>
          <w:tcPr>
            <w:tcW w:w="294" w:type="pct"/>
          </w:tcPr>
          <w:p w14:paraId="5DC2AF73" w14:textId="77777777" w:rsidR="00AD1F54" w:rsidRPr="00264D5D" w:rsidRDefault="00941227">
            <w:pPr>
              <w:spacing w:before="60" w:after="60"/>
              <w:jc w:val="center"/>
              <w:rPr>
                <w:sz w:val="22"/>
                <w:szCs w:val="22"/>
              </w:rPr>
            </w:pPr>
            <w:r w:rsidRPr="00264D5D">
              <w:rPr>
                <w:sz w:val="22"/>
                <w:szCs w:val="22"/>
              </w:rPr>
              <w:t>Н</w:t>
            </w:r>
          </w:p>
        </w:tc>
        <w:tc>
          <w:tcPr>
            <w:tcW w:w="2058" w:type="pct"/>
          </w:tcPr>
          <w:p w14:paraId="10D1C564" w14:textId="77777777" w:rsidR="00AD1F54" w:rsidRPr="00264D5D" w:rsidRDefault="00941227">
            <w:pPr>
              <w:spacing w:before="60" w:after="60"/>
              <w:rPr>
                <w:sz w:val="22"/>
                <w:szCs w:val="22"/>
              </w:rPr>
            </w:pPr>
            <w:r w:rsidRPr="00264D5D">
              <w:rPr>
                <w:sz w:val="22"/>
                <w:szCs w:val="22"/>
              </w:rPr>
              <w:t>Корреспондентский счет банка контрагента (получателя субси</w:t>
            </w:r>
            <w:r w:rsidR="00CE031E" w:rsidRPr="00264D5D">
              <w:rPr>
                <w:sz w:val="22"/>
                <w:szCs w:val="22"/>
              </w:rPr>
              <w:t>дии, взыскателя) (при наличии)</w:t>
            </w:r>
          </w:p>
        </w:tc>
      </w:tr>
    </w:tbl>
    <w:p w14:paraId="216F6CF2" w14:textId="77777777" w:rsidR="00AD1F54" w:rsidRPr="00264D5D" w:rsidRDefault="00941227">
      <w:pPr>
        <w:pStyle w:val="31"/>
      </w:pPr>
      <w:bookmarkStart w:id="1451" w:name="_Toc416192430"/>
      <w:bookmarkStart w:id="1452" w:name="_Toc219309597"/>
      <w:r w:rsidRPr="00264D5D">
        <w:t>Описание комплексного типа «</w:t>
      </w:r>
      <w:bookmarkStart w:id="1453" w:name="tOblgtns_Pmnts"/>
      <w:r w:rsidRPr="00264D5D">
        <w:t>tOblgtns_Pmnts</w:t>
      </w:r>
      <w:bookmarkEnd w:id="1453"/>
      <w:r w:rsidRPr="00264D5D">
        <w:t>»</w:t>
      </w:r>
      <w:bookmarkEnd w:id="1451"/>
      <w:bookmarkEnd w:id="1452"/>
    </w:p>
    <w:p w14:paraId="4AB3448C" w14:textId="77777777" w:rsidR="00AD1F54" w:rsidRPr="00264D5D" w:rsidRDefault="00941227">
      <w:pPr>
        <w:pStyle w:val="ASFKNormal"/>
        <w:spacing w:before="60" w:after="120"/>
        <w:jc w:val="both"/>
        <w:rPr>
          <w:sz w:val="24"/>
          <w:szCs w:val="24"/>
        </w:rPr>
      </w:pPr>
      <w:r w:rsidRPr="00264D5D">
        <w:rPr>
          <w:sz w:val="24"/>
          <w:szCs w:val="24"/>
        </w:rPr>
        <w:t>Описание комплексного типа «tOblgtns_Pmnts» блока «Расшифровка обязательства».</w:t>
      </w:r>
    </w:p>
    <w:p w14:paraId="5A599762" w14:textId="21B8ECD7" w:rsidR="00AD1F54" w:rsidRPr="00264D5D" w:rsidRDefault="00941227">
      <w:pPr>
        <w:pStyle w:val="GOSTNameTable"/>
        <w:numPr>
          <w:ilvl w:val="0"/>
          <w:numId w:val="2"/>
        </w:numPr>
        <w:ind w:left="425" w:hanging="357"/>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1454" w:name="_Ref466415525"/>
      <w:bookmarkStart w:id="1455" w:name="_Toc30503356"/>
      <w:bookmarkStart w:id="1456" w:name="_Toc30507954"/>
      <w:bookmarkStart w:id="1457" w:name="_Toc219309177"/>
      <w:r w:rsidR="008D797C">
        <w:rPr>
          <w:rFonts w:eastAsia="Calibri"/>
          <w:noProof/>
          <w:szCs w:val="24"/>
        </w:rPr>
        <w:t>147</w:t>
      </w:r>
      <w:bookmarkEnd w:id="1454"/>
      <w:r w:rsidRPr="00264D5D">
        <w:rPr>
          <w:rFonts w:eastAsia="Calibri"/>
          <w:szCs w:val="24"/>
        </w:rPr>
        <w:fldChar w:fldCharType="end"/>
      </w:r>
      <w:r w:rsidRPr="00264D5D">
        <w:rPr>
          <w:rFonts w:eastAsia="Calibri"/>
          <w:szCs w:val="24"/>
        </w:rPr>
        <w:t xml:space="preserve"> – Описание комплексного типа «tOblgtns_Pmnts»</w:t>
      </w:r>
      <w:bookmarkEnd w:id="1455"/>
      <w:bookmarkEnd w:id="1456"/>
      <w:bookmarkEnd w:id="1457"/>
    </w:p>
    <w:tbl>
      <w:tblPr>
        <w:tblStyle w:val="GOSTTable"/>
        <w:tblW w:w="5000" w:type="pct"/>
        <w:tblLayout w:type="fixed"/>
        <w:tblLook w:val="04A0" w:firstRow="1" w:lastRow="0" w:firstColumn="1" w:lastColumn="0" w:noHBand="0" w:noVBand="1"/>
      </w:tblPr>
      <w:tblGrid>
        <w:gridCol w:w="1705"/>
        <w:gridCol w:w="1704"/>
        <w:gridCol w:w="565"/>
        <w:gridCol w:w="1137"/>
        <w:gridCol w:w="567"/>
        <w:gridCol w:w="3972"/>
      </w:tblGrid>
      <w:tr w:rsidR="00AD1F54" w:rsidRPr="00264D5D" w14:paraId="60F80604"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883" w:type="pct"/>
          </w:tcPr>
          <w:p w14:paraId="3A11735A" w14:textId="77777777" w:rsidR="00AD1F54" w:rsidRPr="00264D5D" w:rsidRDefault="00941227">
            <w:pPr>
              <w:spacing w:before="60" w:after="60"/>
              <w:jc w:val="center"/>
              <w:rPr>
                <w:b/>
                <w:bCs/>
                <w:sz w:val="22"/>
                <w:szCs w:val="22"/>
              </w:rPr>
            </w:pPr>
            <w:r w:rsidRPr="00264D5D">
              <w:rPr>
                <w:b/>
                <w:bCs/>
                <w:sz w:val="22"/>
                <w:szCs w:val="22"/>
              </w:rPr>
              <w:t>Наименование комплексного типа</w:t>
            </w:r>
          </w:p>
        </w:tc>
        <w:tc>
          <w:tcPr>
            <w:tcW w:w="883" w:type="pct"/>
          </w:tcPr>
          <w:p w14:paraId="4A831AFD" w14:textId="77777777" w:rsidR="00AD1F54" w:rsidRPr="00264D5D" w:rsidRDefault="00941227">
            <w:pPr>
              <w:spacing w:before="60" w:after="60"/>
              <w:jc w:val="center"/>
              <w:rPr>
                <w:b/>
                <w:bCs/>
                <w:sz w:val="22"/>
                <w:szCs w:val="22"/>
              </w:rPr>
            </w:pPr>
            <w:r w:rsidRPr="00264D5D">
              <w:rPr>
                <w:b/>
                <w:bCs/>
                <w:sz w:val="22"/>
                <w:szCs w:val="22"/>
              </w:rPr>
              <w:t>Текущий элемент/ атрибут</w:t>
            </w:r>
          </w:p>
        </w:tc>
        <w:tc>
          <w:tcPr>
            <w:tcW w:w="293" w:type="pct"/>
          </w:tcPr>
          <w:p w14:paraId="22AF26D7" w14:textId="77777777" w:rsidR="00AD1F54" w:rsidRPr="00264D5D" w:rsidRDefault="00941227">
            <w:pPr>
              <w:spacing w:before="60" w:after="60"/>
              <w:jc w:val="center"/>
              <w:rPr>
                <w:b/>
                <w:sz w:val="22"/>
                <w:szCs w:val="22"/>
              </w:rPr>
            </w:pPr>
            <w:r w:rsidRPr="00264D5D">
              <w:rPr>
                <w:b/>
                <w:bCs/>
                <w:sz w:val="22"/>
                <w:szCs w:val="22"/>
              </w:rPr>
              <w:t>Тип</w:t>
            </w:r>
          </w:p>
        </w:tc>
        <w:tc>
          <w:tcPr>
            <w:tcW w:w="589" w:type="pct"/>
          </w:tcPr>
          <w:p w14:paraId="3471D229" w14:textId="77777777" w:rsidR="00AD1F54" w:rsidRPr="00264D5D" w:rsidRDefault="00941227">
            <w:pPr>
              <w:spacing w:before="60" w:after="60"/>
              <w:jc w:val="center"/>
              <w:rPr>
                <w:b/>
                <w:bCs/>
                <w:sz w:val="22"/>
                <w:szCs w:val="22"/>
              </w:rPr>
            </w:pPr>
            <w:r w:rsidRPr="00264D5D">
              <w:rPr>
                <w:b/>
                <w:bCs/>
                <w:sz w:val="22"/>
                <w:szCs w:val="22"/>
              </w:rPr>
              <w:t>Формат элемента</w:t>
            </w:r>
          </w:p>
        </w:tc>
        <w:tc>
          <w:tcPr>
            <w:tcW w:w="294" w:type="pct"/>
          </w:tcPr>
          <w:p w14:paraId="0D983063" w14:textId="77777777" w:rsidR="00AD1F54" w:rsidRPr="00264D5D" w:rsidRDefault="00941227">
            <w:pPr>
              <w:spacing w:before="60" w:after="60"/>
              <w:jc w:val="center"/>
              <w:rPr>
                <w:b/>
                <w:bCs/>
                <w:sz w:val="22"/>
                <w:szCs w:val="22"/>
              </w:rPr>
            </w:pPr>
            <w:r w:rsidRPr="00264D5D">
              <w:rPr>
                <w:b/>
                <w:bCs/>
                <w:sz w:val="22"/>
                <w:szCs w:val="22"/>
              </w:rPr>
              <w:t>Обязательность</w:t>
            </w:r>
          </w:p>
        </w:tc>
        <w:tc>
          <w:tcPr>
            <w:tcW w:w="2058" w:type="pct"/>
          </w:tcPr>
          <w:p w14:paraId="2284F000" w14:textId="77777777" w:rsidR="00AD1F54" w:rsidRPr="00264D5D" w:rsidRDefault="00941227">
            <w:pPr>
              <w:spacing w:before="60" w:after="60"/>
              <w:jc w:val="center"/>
              <w:rPr>
                <w:b/>
                <w:bCs/>
                <w:sz w:val="22"/>
                <w:szCs w:val="22"/>
              </w:rPr>
            </w:pPr>
            <w:r w:rsidRPr="00264D5D">
              <w:rPr>
                <w:b/>
                <w:bCs/>
                <w:sz w:val="22"/>
                <w:szCs w:val="22"/>
              </w:rPr>
              <w:t>Дополнительная информация</w:t>
            </w:r>
          </w:p>
        </w:tc>
      </w:tr>
      <w:tr w:rsidR="00AD1F54" w:rsidRPr="00264D5D" w14:paraId="4C9394F3" w14:textId="77777777" w:rsidTr="00AD1F54">
        <w:trPr>
          <w:cnfStyle w:val="000000100000" w:firstRow="0" w:lastRow="0" w:firstColumn="0" w:lastColumn="0" w:oddVBand="0" w:evenVBand="0" w:oddHBand="1" w:evenHBand="0" w:firstRowFirstColumn="0" w:firstRowLastColumn="0" w:lastRowFirstColumn="0" w:lastRowLastColumn="0"/>
        </w:trPr>
        <w:tc>
          <w:tcPr>
            <w:tcW w:w="883" w:type="pct"/>
          </w:tcPr>
          <w:p w14:paraId="260BB560" w14:textId="77777777" w:rsidR="00AD1F54" w:rsidRPr="00264D5D" w:rsidRDefault="00941227">
            <w:pPr>
              <w:spacing w:before="60" w:after="60"/>
              <w:rPr>
                <w:sz w:val="22"/>
                <w:szCs w:val="22"/>
              </w:rPr>
            </w:pPr>
            <w:r w:rsidRPr="00264D5D">
              <w:rPr>
                <w:sz w:val="22"/>
                <w:szCs w:val="22"/>
              </w:rPr>
              <w:t>tOblgtns_Pmnts</w:t>
            </w:r>
          </w:p>
        </w:tc>
        <w:tc>
          <w:tcPr>
            <w:tcW w:w="883" w:type="pct"/>
          </w:tcPr>
          <w:p w14:paraId="2A39E943" w14:textId="77777777" w:rsidR="00AD1F54" w:rsidRPr="00264D5D" w:rsidRDefault="00941227">
            <w:pPr>
              <w:tabs>
                <w:tab w:val="left" w:pos="1122"/>
              </w:tabs>
              <w:spacing w:before="60" w:after="60"/>
              <w:rPr>
                <w:sz w:val="22"/>
                <w:szCs w:val="22"/>
                <w:lang w:val="en-US"/>
              </w:rPr>
            </w:pPr>
            <w:r w:rsidRPr="00264D5D">
              <w:rPr>
                <w:sz w:val="22"/>
                <w:szCs w:val="22"/>
              </w:rPr>
              <w:t>Pmnts_ITEM</w:t>
            </w:r>
          </w:p>
        </w:tc>
        <w:tc>
          <w:tcPr>
            <w:tcW w:w="293" w:type="pct"/>
          </w:tcPr>
          <w:p w14:paraId="0AB66A76" w14:textId="77777777" w:rsidR="00AD1F54" w:rsidRPr="00264D5D" w:rsidRDefault="00941227">
            <w:pPr>
              <w:spacing w:before="60" w:after="60"/>
              <w:jc w:val="center"/>
              <w:rPr>
                <w:sz w:val="22"/>
                <w:szCs w:val="22"/>
                <w:lang w:val="en-US"/>
              </w:rPr>
            </w:pPr>
            <w:r w:rsidRPr="00264D5D">
              <w:rPr>
                <w:sz w:val="22"/>
                <w:szCs w:val="22"/>
                <w:lang w:val="en-US"/>
              </w:rPr>
              <w:t>C</w:t>
            </w:r>
          </w:p>
        </w:tc>
        <w:tc>
          <w:tcPr>
            <w:tcW w:w="589" w:type="pct"/>
          </w:tcPr>
          <w:p w14:paraId="131EF069" w14:textId="77777777" w:rsidR="00AD1F54" w:rsidRPr="00264D5D" w:rsidRDefault="00941227">
            <w:pPr>
              <w:spacing w:before="60" w:after="60"/>
              <w:jc w:val="left"/>
              <w:rPr>
                <w:sz w:val="22"/>
                <w:szCs w:val="22"/>
                <w:lang w:val="en-US"/>
              </w:rPr>
            </w:pPr>
            <w:r w:rsidRPr="00264D5D">
              <w:rPr>
                <w:sz w:val="22"/>
                <w:szCs w:val="22"/>
              </w:rPr>
              <w:t>tOblgtns_Pmnts_ITEM</w:t>
            </w:r>
          </w:p>
        </w:tc>
        <w:tc>
          <w:tcPr>
            <w:tcW w:w="294" w:type="pct"/>
          </w:tcPr>
          <w:p w14:paraId="24F9A0D2" w14:textId="77777777" w:rsidR="00AD1F54" w:rsidRPr="00264D5D" w:rsidRDefault="00941227">
            <w:pPr>
              <w:spacing w:before="60" w:after="60"/>
              <w:jc w:val="center"/>
              <w:rPr>
                <w:sz w:val="22"/>
                <w:szCs w:val="22"/>
              </w:rPr>
            </w:pPr>
            <w:r w:rsidRPr="00264D5D">
              <w:rPr>
                <w:sz w:val="22"/>
                <w:szCs w:val="22"/>
              </w:rPr>
              <w:t>ОМ</w:t>
            </w:r>
          </w:p>
        </w:tc>
        <w:tc>
          <w:tcPr>
            <w:tcW w:w="2058" w:type="pct"/>
          </w:tcPr>
          <w:p w14:paraId="179B665E" w14:textId="77777777" w:rsidR="00AD1F54" w:rsidRPr="00264D5D" w:rsidRDefault="00941227">
            <w:pPr>
              <w:spacing w:before="60" w:after="60"/>
              <w:rPr>
                <w:sz w:val="22"/>
                <w:szCs w:val="22"/>
              </w:rPr>
            </w:pPr>
            <w:r w:rsidRPr="00264D5D">
              <w:rPr>
                <w:sz w:val="22"/>
                <w:szCs w:val="22"/>
              </w:rPr>
              <w:t>Расшифровка обязательства.</w:t>
            </w:r>
          </w:p>
          <w:p w14:paraId="3FB2E1F7" w14:textId="74540F9C" w:rsidR="00AD1F54" w:rsidRPr="00264D5D" w:rsidRDefault="00941227">
            <w:pPr>
              <w:spacing w:before="60" w:after="60"/>
              <w:rPr>
                <w:sz w:val="22"/>
                <w:szCs w:val="22"/>
              </w:rPr>
            </w:pPr>
            <w:r w:rsidRPr="00264D5D">
              <w:rPr>
                <w:sz w:val="22"/>
                <w:szCs w:val="22"/>
              </w:rPr>
              <w:t xml:space="preserve">Состав элемента представлен в таблице </w:t>
            </w:r>
            <w:r w:rsidRPr="00264D5D">
              <w:rPr>
                <w:sz w:val="22"/>
                <w:szCs w:val="22"/>
              </w:rPr>
              <w:fldChar w:fldCharType="begin"/>
            </w:r>
            <w:r w:rsidRPr="00264D5D">
              <w:rPr>
                <w:sz w:val="22"/>
                <w:szCs w:val="22"/>
              </w:rPr>
              <w:instrText xml:space="preserve"> REF _Ref415844062 \h  \* MERGEFORMAT </w:instrText>
            </w:r>
            <w:r w:rsidRPr="00264D5D">
              <w:rPr>
                <w:sz w:val="22"/>
                <w:szCs w:val="22"/>
              </w:rPr>
            </w:r>
            <w:r w:rsidRPr="00264D5D">
              <w:rPr>
                <w:sz w:val="22"/>
                <w:szCs w:val="22"/>
              </w:rPr>
              <w:fldChar w:fldCharType="separate"/>
            </w:r>
            <w:r w:rsidR="008D797C" w:rsidRPr="008D797C">
              <w:rPr>
                <w:rFonts w:eastAsia="Calibri"/>
                <w:b/>
                <w:sz w:val="22"/>
                <w:szCs w:val="22"/>
              </w:rPr>
              <w:t>148</w:t>
            </w:r>
            <w:r w:rsidRPr="00264D5D">
              <w:rPr>
                <w:sz w:val="22"/>
                <w:szCs w:val="22"/>
              </w:rPr>
              <w:fldChar w:fldCharType="end"/>
            </w:r>
          </w:p>
        </w:tc>
      </w:tr>
    </w:tbl>
    <w:p w14:paraId="54C60E69" w14:textId="77777777" w:rsidR="00AD1F54" w:rsidRPr="00F02C61" w:rsidRDefault="00941227">
      <w:pPr>
        <w:pStyle w:val="31"/>
      </w:pPr>
      <w:bookmarkStart w:id="1458" w:name="_Toc416192431"/>
      <w:bookmarkStart w:id="1459" w:name="_Toc219309598"/>
      <w:r w:rsidRPr="00F02C61">
        <w:t>Описание комплексного типа «</w:t>
      </w:r>
      <w:bookmarkStart w:id="1460" w:name="tOblgtns_Pmnts_ITEM"/>
      <w:r w:rsidRPr="00F02C61">
        <w:t>tOblgtns_Pmnts_ITEM</w:t>
      </w:r>
      <w:bookmarkEnd w:id="1460"/>
      <w:r w:rsidRPr="00F02C61">
        <w:t>»</w:t>
      </w:r>
      <w:bookmarkEnd w:id="1458"/>
      <w:bookmarkEnd w:id="1459"/>
    </w:p>
    <w:p w14:paraId="4D23ADB5" w14:textId="77777777" w:rsidR="00AD1F54" w:rsidRPr="00F02C61" w:rsidRDefault="00941227">
      <w:pPr>
        <w:pStyle w:val="ASFKNormal"/>
        <w:spacing w:before="60" w:after="120"/>
        <w:contextualSpacing w:val="0"/>
        <w:jc w:val="both"/>
        <w:rPr>
          <w:sz w:val="24"/>
          <w:szCs w:val="24"/>
        </w:rPr>
      </w:pPr>
      <w:r w:rsidRPr="00F02C61">
        <w:rPr>
          <w:sz w:val="24"/>
          <w:szCs w:val="24"/>
        </w:rPr>
        <w:t>Описание комплексного типа «tOblgtns_Pmnts_ITEM» строк блока «Расшифровка обязательства».</w:t>
      </w:r>
    </w:p>
    <w:p w14:paraId="6CCBD13E" w14:textId="56EB8865" w:rsidR="00AD1F54" w:rsidRPr="00F02C61" w:rsidRDefault="00941227">
      <w:pPr>
        <w:pStyle w:val="GOSTNameTable"/>
        <w:numPr>
          <w:ilvl w:val="0"/>
          <w:numId w:val="2"/>
        </w:numPr>
        <w:ind w:left="425" w:hanging="357"/>
        <w:rPr>
          <w:rFonts w:eastAsia="Calibri"/>
          <w:szCs w:val="24"/>
        </w:rPr>
      </w:pPr>
      <w:r w:rsidRPr="00F02C61">
        <w:rPr>
          <w:rFonts w:eastAsia="Calibri"/>
          <w:szCs w:val="24"/>
        </w:rPr>
        <w:fldChar w:fldCharType="begin"/>
      </w:r>
      <w:r w:rsidRPr="00F02C61">
        <w:rPr>
          <w:rFonts w:eastAsia="Calibri"/>
          <w:szCs w:val="24"/>
        </w:rPr>
        <w:instrText xml:space="preserve"> SEQ Таблица \* ARABIC </w:instrText>
      </w:r>
      <w:r w:rsidRPr="00F02C61">
        <w:rPr>
          <w:rFonts w:eastAsia="Calibri"/>
          <w:szCs w:val="24"/>
        </w:rPr>
        <w:fldChar w:fldCharType="separate"/>
      </w:r>
      <w:bookmarkStart w:id="1461" w:name="_Ref415844062"/>
      <w:bookmarkStart w:id="1462" w:name="_Toc30503357"/>
      <w:bookmarkStart w:id="1463" w:name="_Toc30507955"/>
      <w:bookmarkStart w:id="1464" w:name="_Toc219309178"/>
      <w:r w:rsidR="008D797C">
        <w:rPr>
          <w:rFonts w:eastAsia="Calibri"/>
          <w:noProof/>
          <w:szCs w:val="24"/>
        </w:rPr>
        <w:t>148</w:t>
      </w:r>
      <w:bookmarkEnd w:id="1461"/>
      <w:r w:rsidRPr="00F02C61">
        <w:rPr>
          <w:rFonts w:eastAsia="Calibri"/>
          <w:szCs w:val="24"/>
        </w:rPr>
        <w:fldChar w:fldCharType="end"/>
      </w:r>
      <w:r w:rsidRPr="00F02C61">
        <w:rPr>
          <w:rFonts w:eastAsia="Calibri"/>
          <w:szCs w:val="24"/>
        </w:rPr>
        <w:t xml:space="preserve"> – Описание комплексного типа «tOblgtns_Pmnts_ITEM»</w:t>
      </w:r>
      <w:bookmarkEnd w:id="1462"/>
      <w:bookmarkEnd w:id="1463"/>
      <w:bookmarkEnd w:id="1464"/>
    </w:p>
    <w:tbl>
      <w:tblPr>
        <w:tblStyle w:val="GOSTTable"/>
        <w:tblW w:w="5000" w:type="pct"/>
        <w:tblLayout w:type="fixed"/>
        <w:tblLook w:val="04A0" w:firstRow="1" w:lastRow="0" w:firstColumn="1" w:lastColumn="0" w:noHBand="0" w:noVBand="1"/>
      </w:tblPr>
      <w:tblGrid>
        <w:gridCol w:w="1707"/>
        <w:gridCol w:w="1703"/>
        <w:gridCol w:w="566"/>
        <w:gridCol w:w="1135"/>
        <w:gridCol w:w="567"/>
        <w:gridCol w:w="3972"/>
      </w:tblGrid>
      <w:tr w:rsidR="00AD1F54" w:rsidRPr="00264D5D" w14:paraId="098B3343"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4" w:type="pct"/>
          </w:tcPr>
          <w:p w14:paraId="62272537" w14:textId="77777777" w:rsidR="00AD1F54" w:rsidRPr="00264D5D" w:rsidRDefault="00941227">
            <w:pPr>
              <w:spacing w:before="60" w:after="60"/>
              <w:jc w:val="center"/>
              <w:rPr>
                <w:b/>
                <w:bCs/>
                <w:sz w:val="22"/>
                <w:szCs w:val="22"/>
              </w:rPr>
            </w:pPr>
            <w:r w:rsidRPr="00264D5D">
              <w:rPr>
                <w:b/>
                <w:bCs/>
                <w:sz w:val="22"/>
                <w:szCs w:val="22"/>
              </w:rPr>
              <w:t>Наименование элемента</w:t>
            </w:r>
          </w:p>
        </w:tc>
        <w:tc>
          <w:tcPr>
            <w:tcW w:w="882" w:type="pct"/>
          </w:tcPr>
          <w:p w14:paraId="12CBAC30" w14:textId="77777777" w:rsidR="00AD1F54" w:rsidRPr="00264D5D" w:rsidRDefault="00941227">
            <w:pPr>
              <w:spacing w:before="60" w:after="60"/>
              <w:jc w:val="center"/>
              <w:rPr>
                <w:b/>
                <w:bCs/>
                <w:sz w:val="22"/>
                <w:szCs w:val="22"/>
              </w:rPr>
            </w:pPr>
            <w:r w:rsidRPr="00264D5D">
              <w:rPr>
                <w:b/>
                <w:bCs/>
                <w:sz w:val="22"/>
                <w:szCs w:val="22"/>
              </w:rPr>
              <w:t>Сокращенное наименование (код) элемента</w:t>
            </w:r>
          </w:p>
        </w:tc>
        <w:tc>
          <w:tcPr>
            <w:tcW w:w="293" w:type="pct"/>
          </w:tcPr>
          <w:p w14:paraId="2A9974EC" w14:textId="77777777" w:rsidR="00AD1F54" w:rsidRPr="00264D5D" w:rsidRDefault="00941227">
            <w:pPr>
              <w:spacing w:before="60" w:after="60"/>
              <w:jc w:val="center"/>
              <w:rPr>
                <w:b/>
                <w:sz w:val="22"/>
                <w:szCs w:val="22"/>
              </w:rPr>
            </w:pPr>
            <w:r w:rsidRPr="00264D5D">
              <w:rPr>
                <w:b/>
                <w:bCs/>
                <w:sz w:val="22"/>
                <w:szCs w:val="22"/>
              </w:rPr>
              <w:t>Тип</w:t>
            </w:r>
          </w:p>
        </w:tc>
        <w:tc>
          <w:tcPr>
            <w:tcW w:w="588" w:type="pct"/>
          </w:tcPr>
          <w:p w14:paraId="5C274026" w14:textId="77777777" w:rsidR="00AD1F54" w:rsidRPr="00264D5D" w:rsidRDefault="00941227">
            <w:pPr>
              <w:spacing w:before="60" w:after="60"/>
              <w:jc w:val="center"/>
              <w:rPr>
                <w:b/>
                <w:sz w:val="22"/>
                <w:szCs w:val="22"/>
              </w:rPr>
            </w:pPr>
            <w:r w:rsidRPr="00264D5D">
              <w:rPr>
                <w:b/>
                <w:bCs/>
                <w:sz w:val="22"/>
                <w:szCs w:val="22"/>
              </w:rPr>
              <w:t>Формат элемента</w:t>
            </w:r>
          </w:p>
        </w:tc>
        <w:tc>
          <w:tcPr>
            <w:tcW w:w="294" w:type="pct"/>
          </w:tcPr>
          <w:p w14:paraId="68D4D768" w14:textId="77777777" w:rsidR="00AD1F54" w:rsidRPr="00264D5D" w:rsidRDefault="00941227">
            <w:pPr>
              <w:spacing w:before="60" w:after="60"/>
              <w:jc w:val="center"/>
              <w:rPr>
                <w:b/>
                <w:bCs/>
                <w:sz w:val="22"/>
                <w:szCs w:val="22"/>
              </w:rPr>
            </w:pPr>
            <w:r w:rsidRPr="00264D5D">
              <w:rPr>
                <w:b/>
                <w:bCs/>
                <w:sz w:val="22"/>
                <w:szCs w:val="22"/>
              </w:rPr>
              <w:t>Обязательность</w:t>
            </w:r>
          </w:p>
        </w:tc>
        <w:tc>
          <w:tcPr>
            <w:tcW w:w="2058" w:type="pct"/>
          </w:tcPr>
          <w:p w14:paraId="4858964F" w14:textId="77777777" w:rsidR="00AD1F54" w:rsidRPr="00264D5D" w:rsidRDefault="00941227">
            <w:pPr>
              <w:spacing w:before="60" w:after="60"/>
              <w:jc w:val="center"/>
              <w:rPr>
                <w:b/>
                <w:bCs/>
                <w:sz w:val="22"/>
                <w:szCs w:val="22"/>
              </w:rPr>
            </w:pPr>
            <w:r w:rsidRPr="00264D5D">
              <w:rPr>
                <w:b/>
                <w:bCs/>
                <w:sz w:val="22"/>
                <w:szCs w:val="22"/>
              </w:rPr>
              <w:t>Дополнительная информация</w:t>
            </w:r>
          </w:p>
        </w:tc>
      </w:tr>
      <w:tr w:rsidR="00AD1F54" w:rsidRPr="00264D5D" w14:paraId="6D9322E1"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3C3A4DA8" w14:textId="77777777" w:rsidR="00AD1F54" w:rsidRPr="00264D5D" w:rsidRDefault="00941227">
            <w:pPr>
              <w:spacing w:before="60" w:after="60"/>
              <w:rPr>
                <w:sz w:val="22"/>
                <w:szCs w:val="22"/>
              </w:rPr>
            </w:pPr>
            <w:r w:rsidRPr="00264D5D">
              <w:rPr>
                <w:sz w:val="22"/>
                <w:szCs w:val="22"/>
              </w:rPr>
              <w:t>Код строки</w:t>
            </w:r>
          </w:p>
        </w:tc>
        <w:tc>
          <w:tcPr>
            <w:tcW w:w="882" w:type="pct"/>
          </w:tcPr>
          <w:p w14:paraId="23C20857" w14:textId="77777777" w:rsidR="00AD1F54" w:rsidRPr="00264D5D" w:rsidRDefault="00941227">
            <w:pPr>
              <w:spacing w:before="60" w:after="60"/>
              <w:rPr>
                <w:sz w:val="22"/>
                <w:szCs w:val="22"/>
              </w:rPr>
            </w:pPr>
            <w:r w:rsidRPr="00264D5D">
              <w:rPr>
                <w:sz w:val="22"/>
                <w:szCs w:val="22"/>
              </w:rPr>
              <w:t>NmLn</w:t>
            </w:r>
          </w:p>
        </w:tc>
        <w:tc>
          <w:tcPr>
            <w:tcW w:w="293" w:type="pct"/>
          </w:tcPr>
          <w:p w14:paraId="65C6B111" w14:textId="77777777" w:rsidR="00AD1F54" w:rsidRPr="00264D5D" w:rsidRDefault="00941227">
            <w:pPr>
              <w:spacing w:before="60" w:after="60"/>
              <w:jc w:val="center"/>
              <w:rPr>
                <w:sz w:val="22"/>
                <w:szCs w:val="22"/>
              </w:rPr>
            </w:pPr>
            <w:r w:rsidRPr="00264D5D">
              <w:rPr>
                <w:sz w:val="22"/>
                <w:szCs w:val="22"/>
              </w:rPr>
              <w:t>П</w:t>
            </w:r>
          </w:p>
        </w:tc>
        <w:tc>
          <w:tcPr>
            <w:tcW w:w="588" w:type="pct"/>
          </w:tcPr>
          <w:p w14:paraId="1283D39D" w14:textId="77777777" w:rsidR="00AD1F54" w:rsidRPr="00264D5D" w:rsidRDefault="00941227">
            <w:pPr>
              <w:spacing w:before="60" w:after="60"/>
              <w:jc w:val="left"/>
              <w:rPr>
                <w:sz w:val="22"/>
                <w:szCs w:val="22"/>
              </w:rPr>
            </w:pPr>
            <w:r w:rsidRPr="00264D5D">
              <w:rPr>
                <w:sz w:val="22"/>
                <w:szCs w:val="22"/>
              </w:rPr>
              <w:t>Т(1-4)</w:t>
            </w:r>
          </w:p>
        </w:tc>
        <w:tc>
          <w:tcPr>
            <w:tcW w:w="294" w:type="pct"/>
          </w:tcPr>
          <w:p w14:paraId="6659D9DE" w14:textId="77777777" w:rsidR="00AD1F54" w:rsidRPr="00264D5D" w:rsidRDefault="00941227">
            <w:pPr>
              <w:spacing w:before="60" w:after="60"/>
              <w:jc w:val="center"/>
              <w:rPr>
                <w:sz w:val="22"/>
                <w:szCs w:val="22"/>
              </w:rPr>
            </w:pPr>
            <w:r w:rsidRPr="00264D5D">
              <w:rPr>
                <w:sz w:val="22"/>
                <w:szCs w:val="22"/>
              </w:rPr>
              <w:t>О</w:t>
            </w:r>
          </w:p>
        </w:tc>
        <w:tc>
          <w:tcPr>
            <w:tcW w:w="2058" w:type="pct"/>
          </w:tcPr>
          <w:p w14:paraId="2007FD75" w14:textId="77777777" w:rsidR="00AD1F54" w:rsidRPr="00264D5D" w:rsidRDefault="00941227">
            <w:pPr>
              <w:spacing w:before="60" w:after="60"/>
              <w:rPr>
                <w:sz w:val="22"/>
                <w:szCs w:val="22"/>
              </w:rPr>
            </w:pPr>
            <w:r w:rsidRPr="00264D5D">
              <w:rPr>
                <w:sz w:val="22"/>
                <w:szCs w:val="22"/>
              </w:rPr>
              <w:t xml:space="preserve">Служебное поле, используется для идентификации строк расшифровки </w:t>
            </w:r>
            <w:r w:rsidRPr="00264D5D">
              <w:rPr>
                <w:sz w:val="22"/>
                <w:szCs w:val="22"/>
              </w:rPr>
              <w:lastRenderedPageBreak/>
              <w:t>обязательства. Указ</w:t>
            </w:r>
            <w:r w:rsidR="00CE031E" w:rsidRPr="00264D5D">
              <w:rPr>
                <w:sz w:val="22"/>
                <w:szCs w:val="22"/>
              </w:rPr>
              <w:t>ывается порядковый номер строки</w:t>
            </w:r>
          </w:p>
        </w:tc>
      </w:tr>
      <w:tr w:rsidR="00AD1F54" w:rsidRPr="00264D5D" w14:paraId="5199E75E"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40AE067A" w14:textId="77777777" w:rsidR="00AD1F54" w:rsidRPr="00264D5D" w:rsidRDefault="00941227">
            <w:pPr>
              <w:spacing w:before="60" w:after="60"/>
              <w:rPr>
                <w:sz w:val="22"/>
                <w:szCs w:val="22"/>
              </w:rPr>
            </w:pPr>
            <w:r w:rsidRPr="00264D5D">
              <w:rPr>
                <w:sz w:val="22"/>
                <w:szCs w:val="22"/>
              </w:rPr>
              <w:lastRenderedPageBreak/>
              <w:t>Код ОКС (ОКВ), КМИ</w:t>
            </w:r>
          </w:p>
        </w:tc>
        <w:tc>
          <w:tcPr>
            <w:tcW w:w="882" w:type="pct"/>
          </w:tcPr>
          <w:p w14:paraId="6F3B5028" w14:textId="77777777" w:rsidR="00AD1F54" w:rsidRPr="00264D5D" w:rsidRDefault="00941227">
            <w:pPr>
              <w:spacing w:before="60" w:after="60"/>
              <w:rPr>
                <w:sz w:val="22"/>
                <w:szCs w:val="22"/>
              </w:rPr>
            </w:pPr>
            <w:r w:rsidRPr="00264D5D">
              <w:rPr>
                <w:sz w:val="22"/>
                <w:szCs w:val="22"/>
              </w:rPr>
              <w:t>RsltsR9</w:t>
            </w:r>
          </w:p>
        </w:tc>
        <w:tc>
          <w:tcPr>
            <w:tcW w:w="293" w:type="pct"/>
          </w:tcPr>
          <w:p w14:paraId="517F0691" w14:textId="77777777" w:rsidR="00AD1F54" w:rsidRPr="00264D5D" w:rsidRDefault="00941227">
            <w:pPr>
              <w:spacing w:before="60" w:after="60"/>
              <w:jc w:val="center"/>
              <w:rPr>
                <w:sz w:val="22"/>
                <w:szCs w:val="22"/>
              </w:rPr>
            </w:pPr>
            <w:r w:rsidRPr="00264D5D">
              <w:rPr>
                <w:sz w:val="22"/>
                <w:szCs w:val="22"/>
              </w:rPr>
              <w:t>П</w:t>
            </w:r>
          </w:p>
        </w:tc>
        <w:tc>
          <w:tcPr>
            <w:tcW w:w="588" w:type="pct"/>
          </w:tcPr>
          <w:p w14:paraId="112BC238" w14:textId="77777777" w:rsidR="00AD1F54" w:rsidRPr="00264D5D" w:rsidRDefault="00941227">
            <w:pPr>
              <w:spacing w:before="60" w:after="60"/>
              <w:jc w:val="left"/>
              <w:rPr>
                <w:sz w:val="22"/>
                <w:szCs w:val="22"/>
              </w:rPr>
            </w:pPr>
            <w:r w:rsidRPr="00264D5D">
              <w:rPr>
                <w:sz w:val="22"/>
                <w:szCs w:val="22"/>
              </w:rPr>
              <w:t>Т(1-24)</w:t>
            </w:r>
          </w:p>
        </w:tc>
        <w:tc>
          <w:tcPr>
            <w:tcW w:w="294" w:type="pct"/>
          </w:tcPr>
          <w:p w14:paraId="56C69424" w14:textId="77777777" w:rsidR="00AD1F54" w:rsidRPr="00264D5D" w:rsidRDefault="00941227">
            <w:pPr>
              <w:spacing w:before="60" w:after="60"/>
              <w:jc w:val="center"/>
              <w:rPr>
                <w:sz w:val="22"/>
                <w:szCs w:val="22"/>
              </w:rPr>
            </w:pPr>
            <w:r w:rsidRPr="00264D5D">
              <w:rPr>
                <w:sz w:val="22"/>
                <w:szCs w:val="22"/>
              </w:rPr>
              <w:t>Н</w:t>
            </w:r>
          </w:p>
        </w:tc>
        <w:tc>
          <w:tcPr>
            <w:tcW w:w="2058" w:type="pct"/>
          </w:tcPr>
          <w:p w14:paraId="1B2E12F4" w14:textId="77777777" w:rsidR="00AD1F54" w:rsidRPr="00264D5D" w:rsidRDefault="00941227">
            <w:pPr>
              <w:spacing w:before="60" w:after="60"/>
              <w:rPr>
                <w:sz w:val="22"/>
                <w:szCs w:val="22"/>
              </w:rPr>
            </w:pPr>
            <w:r w:rsidRPr="00264D5D">
              <w:rPr>
                <w:sz w:val="22"/>
                <w:szCs w:val="22"/>
              </w:rPr>
              <w:t>Может указываться уникальный код объекта капитального строительства или объекта недвижимости, ко</w:t>
            </w:r>
            <w:r w:rsidR="00CE031E" w:rsidRPr="00264D5D">
              <w:rPr>
                <w:sz w:val="22"/>
                <w:szCs w:val="22"/>
              </w:rPr>
              <w:t>д мероприятия по информатизации</w:t>
            </w:r>
          </w:p>
        </w:tc>
      </w:tr>
      <w:tr w:rsidR="00AD1F54" w:rsidRPr="00264D5D" w14:paraId="32184B28"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184DDAFD" w14:textId="77777777" w:rsidR="00AD1F54" w:rsidRPr="00264D5D" w:rsidRDefault="00941227">
            <w:pPr>
              <w:spacing w:before="60" w:after="60"/>
              <w:rPr>
                <w:sz w:val="22"/>
                <w:szCs w:val="22"/>
              </w:rPr>
            </w:pPr>
            <w:r w:rsidRPr="00264D5D">
              <w:rPr>
                <w:sz w:val="22"/>
                <w:szCs w:val="22"/>
              </w:rPr>
              <w:t>Наименование ОКС (ОКВ), КМИ</w:t>
            </w:r>
          </w:p>
        </w:tc>
        <w:tc>
          <w:tcPr>
            <w:tcW w:w="882" w:type="pct"/>
          </w:tcPr>
          <w:p w14:paraId="7DD6ED94" w14:textId="77777777" w:rsidR="00AD1F54" w:rsidRPr="00264D5D" w:rsidRDefault="00941227">
            <w:pPr>
              <w:spacing w:before="60" w:after="60"/>
              <w:rPr>
                <w:sz w:val="22"/>
                <w:szCs w:val="22"/>
              </w:rPr>
            </w:pPr>
            <w:r w:rsidRPr="00264D5D">
              <w:rPr>
                <w:sz w:val="22"/>
                <w:szCs w:val="22"/>
              </w:rPr>
              <w:t>RsltsR8</w:t>
            </w:r>
          </w:p>
        </w:tc>
        <w:tc>
          <w:tcPr>
            <w:tcW w:w="293" w:type="pct"/>
          </w:tcPr>
          <w:p w14:paraId="39654685" w14:textId="77777777" w:rsidR="00AD1F54" w:rsidRPr="00264D5D" w:rsidRDefault="00941227">
            <w:pPr>
              <w:spacing w:before="60" w:after="60"/>
              <w:jc w:val="center"/>
              <w:rPr>
                <w:sz w:val="22"/>
                <w:szCs w:val="22"/>
              </w:rPr>
            </w:pPr>
            <w:r w:rsidRPr="00264D5D">
              <w:rPr>
                <w:sz w:val="22"/>
                <w:szCs w:val="22"/>
              </w:rPr>
              <w:t>П</w:t>
            </w:r>
          </w:p>
        </w:tc>
        <w:tc>
          <w:tcPr>
            <w:tcW w:w="588" w:type="pct"/>
          </w:tcPr>
          <w:p w14:paraId="7D4F2A9D" w14:textId="77777777" w:rsidR="00AD1F54" w:rsidRPr="00264D5D" w:rsidRDefault="00941227">
            <w:pPr>
              <w:spacing w:before="60" w:after="60"/>
              <w:jc w:val="left"/>
              <w:rPr>
                <w:sz w:val="22"/>
                <w:szCs w:val="22"/>
              </w:rPr>
            </w:pPr>
            <w:r w:rsidRPr="00264D5D">
              <w:rPr>
                <w:sz w:val="22"/>
                <w:szCs w:val="22"/>
              </w:rPr>
              <w:t>Т(1-2000)</w:t>
            </w:r>
          </w:p>
        </w:tc>
        <w:tc>
          <w:tcPr>
            <w:tcW w:w="294" w:type="pct"/>
          </w:tcPr>
          <w:p w14:paraId="6122C21E" w14:textId="77777777" w:rsidR="00AD1F54" w:rsidRPr="00264D5D" w:rsidRDefault="00941227">
            <w:pPr>
              <w:spacing w:before="60" w:after="60"/>
              <w:jc w:val="center"/>
              <w:rPr>
                <w:sz w:val="22"/>
                <w:szCs w:val="22"/>
              </w:rPr>
            </w:pPr>
            <w:r w:rsidRPr="00264D5D">
              <w:rPr>
                <w:sz w:val="22"/>
                <w:szCs w:val="22"/>
              </w:rPr>
              <w:t>Н</w:t>
            </w:r>
          </w:p>
        </w:tc>
        <w:tc>
          <w:tcPr>
            <w:tcW w:w="2058" w:type="pct"/>
          </w:tcPr>
          <w:p w14:paraId="0D7DE71F" w14:textId="77777777" w:rsidR="00AD1F54" w:rsidRPr="00264D5D" w:rsidRDefault="00941227">
            <w:pPr>
              <w:spacing w:before="60" w:after="60"/>
              <w:rPr>
                <w:sz w:val="22"/>
                <w:szCs w:val="22"/>
              </w:rPr>
            </w:pPr>
            <w:r w:rsidRPr="00264D5D">
              <w:rPr>
                <w:sz w:val="22"/>
                <w:szCs w:val="22"/>
              </w:rPr>
              <w:t>Наименование объекта капитального строительства или объекта недвижимости, ко</w:t>
            </w:r>
            <w:r w:rsidR="00CE031E" w:rsidRPr="00264D5D">
              <w:rPr>
                <w:sz w:val="22"/>
                <w:szCs w:val="22"/>
              </w:rPr>
              <w:t>д мероприятия по информатизации</w:t>
            </w:r>
          </w:p>
        </w:tc>
      </w:tr>
      <w:tr w:rsidR="00AD1F54" w:rsidRPr="00264D5D" w14:paraId="680BA61E"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69080E87" w14:textId="77777777" w:rsidR="00AD1F54" w:rsidRPr="00264D5D" w:rsidRDefault="00941227">
            <w:pPr>
              <w:spacing w:before="60" w:after="60"/>
              <w:rPr>
                <w:sz w:val="22"/>
                <w:szCs w:val="22"/>
              </w:rPr>
            </w:pPr>
            <w:r w:rsidRPr="00264D5D">
              <w:rPr>
                <w:sz w:val="22"/>
                <w:szCs w:val="22"/>
              </w:rPr>
              <w:t>Вид средств для исполнения обязательства</w:t>
            </w:r>
          </w:p>
        </w:tc>
        <w:tc>
          <w:tcPr>
            <w:tcW w:w="882" w:type="pct"/>
          </w:tcPr>
          <w:p w14:paraId="75223871" w14:textId="77777777" w:rsidR="00AD1F54" w:rsidRPr="00264D5D" w:rsidRDefault="00941227">
            <w:pPr>
              <w:spacing w:before="60" w:after="60"/>
              <w:rPr>
                <w:sz w:val="22"/>
                <w:szCs w:val="22"/>
              </w:rPr>
            </w:pPr>
            <w:r w:rsidRPr="00264D5D">
              <w:rPr>
                <w:sz w:val="22"/>
                <w:szCs w:val="22"/>
              </w:rPr>
              <w:t>NmTpRsrcs</w:t>
            </w:r>
          </w:p>
        </w:tc>
        <w:tc>
          <w:tcPr>
            <w:tcW w:w="293" w:type="pct"/>
          </w:tcPr>
          <w:p w14:paraId="3CDC3A5E" w14:textId="77777777" w:rsidR="00AD1F54" w:rsidRPr="00264D5D" w:rsidRDefault="00941227">
            <w:pPr>
              <w:spacing w:before="60" w:after="60"/>
              <w:jc w:val="center"/>
              <w:rPr>
                <w:sz w:val="22"/>
                <w:szCs w:val="22"/>
              </w:rPr>
            </w:pPr>
            <w:r w:rsidRPr="00264D5D">
              <w:rPr>
                <w:sz w:val="22"/>
                <w:szCs w:val="22"/>
              </w:rPr>
              <w:t>П</w:t>
            </w:r>
          </w:p>
        </w:tc>
        <w:tc>
          <w:tcPr>
            <w:tcW w:w="588" w:type="pct"/>
          </w:tcPr>
          <w:p w14:paraId="67B7F09A" w14:textId="77777777" w:rsidR="00AD1F54" w:rsidRPr="00264D5D" w:rsidRDefault="00941227">
            <w:pPr>
              <w:spacing w:before="60" w:after="60"/>
              <w:jc w:val="left"/>
              <w:rPr>
                <w:sz w:val="22"/>
                <w:szCs w:val="22"/>
              </w:rPr>
            </w:pPr>
            <w:r w:rsidRPr="00264D5D">
              <w:rPr>
                <w:sz w:val="22"/>
                <w:szCs w:val="22"/>
              </w:rPr>
              <w:t>Т(1)</w:t>
            </w:r>
          </w:p>
        </w:tc>
        <w:tc>
          <w:tcPr>
            <w:tcW w:w="294" w:type="pct"/>
          </w:tcPr>
          <w:p w14:paraId="16963697" w14:textId="77777777" w:rsidR="00AD1F54" w:rsidRPr="00264D5D" w:rsidRDefault="00941227">
            <w:pPr>
              <w:spacing w:before="60" w:after="60"/>
              <w:jc w:val="center"/>
              <w:rPr>
                <w:sz w:val="22"/>
                <w:szCs w:val="22"/>
              </w:rPr>
            </w:pPr>
            <w:r w:rsidRPr="00264D5D">
              <w:rPr>
                <w:sz w:val="22"/>
                <w:szCs w:val="22"/>
              </w:rPr>
              <w:t>О</w:t>
            </w:r>
          </w:p>
        </w:tc>
        <w:tc>
          <w:tcPr>
            <w:tcW w:w="2058" w:type="pct"/>
          </w:tcPr>
          <w:p w14:paraId="1BB8EEE3" w14:textId="77777777" w:rsidR="00AD1F54" w:rsidRPr="00264D5D" w:rsidRDefault="00941227">
            <w:pPr>
              <w:spacing w:before="60" w:after="60"/>
              <w:rPr>
                <w:sz w:val="22"/>
                <w:szCs w:val="22"/>
              </w:rPr>
            </w:pPr>
            <w:r w:rsidRPr="00264D5D">
              <w:rPr>
                <w:sz w:val="22"/>
                <w:szCs w:val="22"/>
              </w:rPr>
              <w:t xml:space="preserve">Вид средств для исполнения БО. </w:t>
            </w:r>
          </w:p>
          <w:p w14:paraId="20B13E81" w14:textId="77777777" w:rsidR="00AD1F54" w:rsidRPr="00264D5D" w:rsidRDefault="00941227">
            <w:pPr>
              <w:spacing w:before="60" w:after="60"/>
              <w:rPr>
                <w:sz w:val="22"/>
                <w:szCs w:val="22"/>
              </w:rPr>
            </w:pPr>
            <w:r w:rsidRPr="00264D5D">
              <w:rPr>
                <w:sz w:val="22"/>
                <w:szCs w:val="22"/>
              </w:rPr>
              <w:t>Возможные значения:</w:t>
            </w:r>
          </w:p>
          <w:p w14:paraId="4AB78BA4" w14:textId="77777777" w:rsidR="00AD1F54" w:rsidRPr="00264D5D" w:rsidRDefault="00941227" w:rsidP="00CE031E">
            <w:pPr>
              <w:pStyle w:val="GOSTTableListMark1"/>
              <w:widowControl w:val="0"/>
              <w:numPr>
                <w:ilvl w:val="0"/>
                <w:numId w:val="65"/>
              </w:numPr>
              <w:tabs>
                <w:tab w:val="clear" w:pos="340"/>
                <w:tab w:val="num" w:pos="227"/>
              </w:tabs>
              <w:spacing w:before="60" w:after="60"/>
              <w:ind w:left="284"/>
              <w:jc w:val="both"/>
              <w:rPr>
                <w:szCs w:val="22"/>
              </w:rPr>
            </w:pPr>
            <w:r w:rsidRPr="00264D5D">
              <w:rPr>
                <w:szCs w:val="22"/>
              </w:rPr>
              <w:t>«1» – средства бюджета;</w:t>
            </w:r>
          </w:p>
          <w:p w14:paraId="7E74F5EE" w14:textId="77777777" w:rsidR="00AD1F54" w:rsidRPr="00264D5D" w:rsidRDefault="00941227" w:rsidP="00CE031E">
            <w:pPr>
              <w:pStyle w:val="GOSTTableListMark1"/>
              <w:widowControl w:val="0"/>
              <w:numPr>
                <w:ilvl w:val="0"/>
                <w:numId w:val="65"/>
              </w:numPr>
              <w:tabs>
                <w:tab w:val="clear" w:pos="340"/>
                <w:tab w:val="num" w:pos="227"/>
              </w:tabs>
              <w:spacing w:before="60" w:after="60"/>
              <w:ind w:left="284"/>
              <w:jc w:val="both"/>
              <w:rPr>
                <w:szCs w:val="22"/>
              </w:rPr>
            </w:pPr>
            <w:r w:rsidRPr="00264D5D">
              <w:rPr>
                <w:szCs w:val="22"/>
              </w:rPr>
              <w:t>«4» – средства для финансирования мероприятий по оп</w:t>
            </w:r>
            <w:r w:rsidR="00CE031E" w:rsidRPr="00264D5D">
              <w:rPr>
                <w:szCs w:val="22"/>
              </w:rPr>
              <w:t>еративно-розыскной деятельности</w:t>
            </w:r>
          </w:p>
        </w:tc>
      </w:tr>
      <w:tr w:rsidR="00AD1F54" w:rsidRPr="00264D5D" w14:paraId="30F84FFB"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21F0B414" w14:textId="77777777" w:rsidR="00AD1F54" w:rsidRPr="00264D5D" w:rsidRDefault="00941227">
            <w:pPr>
              <w:spacing w:before="60" w:after="60"/>
              <w:rPr>
                <w:sz w:val="22"/>
                <w:szCs w:val="22"/>
              </w:rPr>
            </w:pPr>
            <w:r w:rsidRPr="00264D5D">
              <w:rPr>
                <w:sz w:val="22"/>
                <w:szCs w:val="22"/>
              </w:rPr>
              <w:t>Код по КБК</w:t>
            </w:r>
          </w:p>
        </w:tc>
        <w:tc>
          <w:tcPr>
            <w:tcW w:w="882" w:type="pct"/>
          </w:tcPr>
          <w:p w14:paraId="2A391B50" w14:textId="77777777" w:rsidR="00AD1F54" w:rsidRPr="00264D5D" w:rsidRDefault="00941227">
            <w:pPr>
              <w:spacing w:before="60" w:after="60"/>
              <w:rPr>
                <w:sz w:val="22"/>
                <w:szCs w:val="22"/>
              </w:rPr>
            </w:pPr>
            <w:r w:rsidRPr="00264D5D">
              <w:rPr>
                <w:sz w:val="22"/>
                <w:szCs w:val="22"/>
              </w:rPr>
              <w:t>KBK</w:t>
            </w:r>
          </w:p>
        </w:tc>
        <w:tc>
          <w:tcPr>
            <w:tcW w:w="293" w:type="pct"/>
          </w:tcPr>
          <w:p w14:paraId="6BD9A0CE" w14:textId="77777777" w:rsidR="00AD1F54" w:rsidRPr="00264D5D" w:rsidRDefault="00941227">
            <w:pPr>
              <w:spacing w:before="60" w:after="60"/>
              <w:jc w:val="center"/>
              <w:rPr>
                <w:sz w:val="22"/>
                <w:szCs w:val="22"/>
              </w:rPr>
            </w:pPr>
            <w:r w:rsidRPr="00264D5D">
              <w:rPr>
                <w:sz w:val="22"/>
                <w:szCs w:val="22"/>
              </w:rPr>
              <w:t>П</w:t>
            </w:r>
          </w:p>
        </w:tc>
        <w:tc>
          <w:tcPr>
            <w:tcW w:w="588" w:type="pct"/>
          </w:tcPr>
          <w:p w14:paraId="16FAE963" w14:textId="77777777" w:rsidR="00AD1F54" w:rsidRPr="00264D5D" w:rsidRDefault="00941227">
            <w:pPr>
              <w:spacing w:before="60" w:after="60"/>
              <w:jc w:val="left"/>
              <w:rPr>
                <w:sz w:val="22"/>
                <w:szCs w:val="22"/>
              </w:rPr>
            </w:pPr>
            <w:r w:rsidRPr="00264D5D">
              <w:rPr>
                <w:sz w:val="22"/>
                <w:szCs w:val="22"/>
              </w:rPr>
              <w:t>Т(20)</w:t>
            </w:r>
          </w:p>
        </w:tc>
        <w:tc>
          <w:tcPr>
            <w:tcW w:w="294" w:type="pct"/>
          </w:tcPr>
          <w:p w14:paraId="32D839D5" w14:textId="77777777" w:rsidR="00AD1F54" w:rsidRPr="00264D5D" w:rsidRDefault="00941227">
            <w:pPr>
              <w:spacing w:before="60" w:after="60"/>
              <w:jc w:val="center"/>
              <w:rPr>
                <w:sz w:val="22"/>
                <w:szCs w:val="22"/>
              </w:rPr>
            </w:pPr>
            <w:r w:rsidRPr="00264D5D">
              <w:rPr>
                <w:sz w:val="22"/>
                <w:szCs w:val="22"/>
              </w:rPr>
              <w:t>О</w:t>
            </w:r>
          </w:p>
        </w:tc>
        <w:tc>
          <w:tcPr>
            <w:tcW w:w="2058" w:type="pct"/>
          </w:tcPr>
          <w:p w14:paraId="2C2F6311" w14:textId="77777777" w:rsidR="00AD1F54" w:rsidRPr="00264D5D" w:rsidRDefault="00941227">
            <w:pPr>
              <w:spacing w:before="60" w:after="60"/>
              <w:rPr>
                <w:sz w:val="22"/>
                <w:szCs w:val="22"/>
              </w:rPr>
            </w:pPr>
            <w:r w:rsidRPr="00264D5D">
              <w:rPr>
                <w:sz w:val="22"/>
                <w:szCs w:val="22"/>
              </w:rPr>
              <w:t xml:space="preserve">Указывается код бюджетной классификации в соответствии </w:t>
            </w:r>
            <w:r w:rsidR="00CE031E" w:rsidRPr="00264D5D">
              <w:rPr>
                <w:sz w:val="22"/>
                <w:szCs w:val="22"/>
              </w:rPr>
              <w:t>с действующими Указаниями по БК</w:t>
            </w:r>
          </w:p>
        </w:tc>
      </w:tr>
      <w:tr w:rsidR="00AD1F54" w:rsidRPr="00264D5D" w14:paraId="6CAC0150"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41210AA1" w14:textId="77777777" w:rsidR="00AD1F54" w:rsidRPr="00264D5D" w:rsidRDefault="00941227">
            <w:pPr>
              <w:spacing w:before="60" w:after="60"/>
              <w:rPr>
                <w:sz w:val="22"/>
                <w:szCs w:val="22"/>
              </w:rPr>
            </w:pPr>
            <w:r w:rsidRPr="00264D5D">
              <w:rPr>
                <w:sz w:val="22"/>
                <w:szCs w:val="22"/>
              </w:rPr>
              <w:t>Тип КБК</w:t>
            </w:r>
          </w:p>
        </w:tc>
        <w:tc>
          <w:tcPr>
            <w:tcW w:w="882" w:type="pct"/>
          </w:tcPr>
          <w:p w14:paraId="2BA1900A" w14:textId="77777777" w:rsidR="00AD1F54" w:rsidRPr="00264D5D" w:rsidRDefault="00941227">
            <w:pPr>
              <w:spacing w:before="60" w:after="60"/>
              <w:rPr>
                <w:sz w:val="22"/>
                <w:szCs w:val="22"/>
              </w:rPr>
            </w:pPr>
            <w:r w:rsidRPr="00264D5D">
              <w:rPr>
                <w:sz w:val="22"/>
                <w:szCs w:val="22"/>
              </w:rPr>
              <w:t>KBKType</w:t>
            </w:r>
          </w:p>
        </w:tc>
        <w:tc>
          <w:tcPr>
            <w:tcW w:w="293" w:type="pct"/>
          </w:tcPr>
          <w:p w14:paraId="701FA965" w14:textId="77777777" w:rsidR="00AD1F54" w:rsidRPr="00264D5D" w:rsidRDefault="00941227">
            <w:pPr>
              <w:spacing w:before="60" w:after="60"/>
              <w:jc w:val="center"/>
              <w:rPr>
                <w:sz w:val="22"/>
                <w:szCs w:val="22"/>
              </w:rPr>
            </w:pPr>
            <w:r w:rsidRPr="00264D5D">
              <w:rPr>
                <w:sz w:val="22"/>
                <w:szCs w:val="22"/>
              </w:rPr>
              <w:t>П</w:t>
            </w:r>
          </w:p>
        </w:tc>
        <w:tc>
          <w:tcPr>
            <w:tcW w:w="588" w:type="pct"/>
          </w:tcPr>
          <w:p w14:paraId="09B278C3" w14:textId="77777777" w:rsidR="00AD1F54" w:rsidRPr="00264D5D" w:rsidRDefault="00941227">
            <w:pPr>
              <w:spacing w:before="60" w:after="60"/>
              <w:jc w:val="left"/>
              <w:rPr>
                <w:sz w:val="22"/>
                <w:szCs w:val="22"/>
              </w:rPr>
            </w:pPr>
            <w:r w:rsidRPr="00264D5D">
              <w:rPr>
                <w:sz w:val="22"/>
                <w:szCs w:val="22"/>
              </w:rPr>
              <w:t>Т(2)</w:t>
            </w:r>
          </w:p>
        </w:tc>
        <w:tc>
          <w:tcPr>
            <w:tcW w:w="294" w:type="pct"/>
          </w:tcPr>
          <w:p w14:paraId="1ECF8810" w14:textId="77777777" w:rsidR="00AD1F54" w:rsidRPr="00264D5D" w:rsidRDefault="00941227">
            <w:pPr>
              <w:spacing w:before="60" w:after="60"/>
              <w:jc w:val="center"/>
              <w:rPr>
                <w:sz w:val="22"/>
                <w:szCs w:val="22"/>
              </w:rPr>
            </w:pPr>
            <w:r w:rsidRPr="00264D5D">
              <w:rPr>
                <w:sz w:val="22"/>
                <w:szCs w:val="22"/>
              </w:rPr>
              <w:t>О</w:t>
            </w:r>
          </w:p>
        </w:tc>
        <w:tc>
          <w:tcPr>
            <w:tcW w:w="2058" w:type="pct"/>
          </w:tcPr>
          <w:p w14:paraId="1AA3A2A2" w14:textId="77777777" w:rsidR="00AD1F54" w:rsidRPr="00264D5D" w:rsidRDefault="00941227" w:rsidP="00CE031E">
            <w:pPr>
              <w:spacing w:before="60" w:after="60"/>
              <w:rPr>
                <w:sz w:val="22"/>
                <w:szCs w:val="22"/>
              </w:rPr>
            </w:pPr>
            <w:r w:rsidRPr="00264D5D">
              <w:rPr>
                <w:sz w:val="22"/>
                <w:szCs w:val="22"/>
              </w:rPr>
              <w:t>Допустимые значения:</w:t>
            </w:r>
          </w:p>
          <w:p w14:paraId="12A2EC02" w14:textId="77777777" w:rsidR="00AD1F54" w:rsidRPr="00264D5D" w:rsidRDefault="00941227" w:rsidP="00CE031E">
            <w:pPr>
              <w:pStyle w:val="GOSTTableListMark1"/>
              <w:widowControl w:val="0"/>
              <w:numPr>
                <w:ilvl w:val="0"/>
                <w:numId w:val="65"/>
              </w:numPr>
              <w:tabs>
                <w:tab w:val="clear" w:pos="340"/>
                <w:tab w:val="num" w:pos="227"/>
              </w:tabs>
              <w:spacing w:before="60" w:after="60"/>
              <w:ind w:left="284"/>
              <w:jc w:val="both"/>
              <w:rPr>
                <w:szCs w:val="22"/>
              </w:rPr>
            </w:pPr>
            <w:r w:rsidRPr="00264D5D">
              <w:rPr>
                <w:szCs w:val="22"/>
              </w:rPr>
              <w:t>«10» – расходы;</w:t>
            </w:r>
          </w:p>
          <w:p w14:paraId="0F44C353" w14:textId="77777777" w:rsidR="00AD1F54" w:rsidRPr="00264D5D" w:rsidRDefault="00941227" w:rsidP="00CE031E">
            <w:pPr>
              <w:pStyle w:val="GOSTTableListMark1"/>
              <w:widowControl w:val="0"/>
              <w:numPr>
                <w:ilvl w:val="0"/>
                <w:numId w:val="65"/>
              </w:numPr>
              <w:tabs>
                <w:tab w:val="clear" w:pos="340"/>
                <w:tab w:val="num" w:pos="227"/>
              </w:tabs>
              <w:spacing w:before="60" w:after="60"/>
              <w:ind w:left="284"/>
              <w:jc w:val="both"/>
              <w:rPr>
                <w:szCs w:val="22"/>
              </w:rPr>
            </w:pPr>
            <w:r w:rsidRPr="00264D5D">
              <w:rPr>
                <w:szCs w:val="22"/>
              </w:rPr>
              <w:t>«31» – ИВФДБ;</w:t>
            </w:r>
          </w:p>
          <w:p w14:paraId="5C05FC46" w14:textId="77777777" w:rsidR="00AD1F54" w:rsidRPr="00264D5D" w:rsidRDefault="00CE031E" w:rsidP="00CE031E">
            <w:pPr>
              <w:pStyle w:val="GOSTTableListMark1"/>
              <w:widowControl w:val="0"/>
              <w:numPr>
                <w:ilvl w:val="0"/>
                <w:numId w:val="65"/>
              </w:numPr>
              <w:tabs>
                <w:tab w:val="clear" w:pos="340"/>
                <w:tab w:val="num" w:pos="227"/>
              </w:tabs>
              <w:spacing w:before="60" w:after="60"/>
              <w:ind w:left="284"/>
              <w:jc w:val="both"/>
              <w:rPr>
                <w:szCs w:val="22"/>
              </w:rPr>
            </w:pPr>
            <w:r w:rsidRPr="00264D5D">
              <w:rPr>
                <w:szCs w:val="22"/>
              </w:rPr>
              <w:t>«32» – ИВнФДБ</w:t>
            </w:r>
          </w:p>
        </w:tc>
      </w:tr>
      <w:tr w:rsidR="00AD1F54" w:rsidRPr="00264D5D" w14:paraId="2407954E"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1DBB4BE2" w14:textId="77777777" w:rsidR="00AD1F54" w:rsidRPr="00264D5D" w:rsidRDefault="00941227">
            <w:pPr>
              <w:spacing w:before="60" w:after="60"/>
              <w:rPr>
                <w:sz w:val="22"/>
                <w:szCs w:val="22"/>
              </w:rPr>
            </w:pPr>
            <w:r w:rsidRPr="00264D5D">
              <w:rPr>
                <w:sz w:val="22"/>
                <w:szCs w:val="22"/>
              </w:rPr>
              <w:t>Признак безусловности платежа</w:t>
            </w:r>
          </w:p>
        </w:tc>
        <w:tc>
          <w:tcPr>
            <w:tcW w:w="882" w:type="pct"/>
          </w:tcPr>
          <w:p w14:paraId="355ACD48" w14:textId="77777777" w:rsidR="00AD1F54" w:rsidRPr="00264D5D" w:rsidRDefault="00941227">
            <w:pPr>
              <w:tabs>
                <w:tab w:val="left" w:pos="1122"/>
              </w:tabs>
              <w:spacing w:before="60" w:after="60"/>
              <w:rPr>
                <w:sz w:val="22"/>
                <w:szCs w:val="22"/>
              </w:rPr>
            </w:pPr>
            <w:r w:rsidRPr="00264D5D">
              <w:rPr>
                <w:sz w:val="22"/>
                <w:szCs w:val="22"/>
              </w:rPr>
              <w:t>SympAbsltnssPmnt</w:t>
            </w:r>
          </w:p>
        </w:tc>
        <w:tc>
          <w:tcPr>
            <w:tcW w:w="293" w:type="pct"/>
          </w:tcPr>
          <w:p w14:paraId="77821520" w14:textId="77777777" w:rsidR="00AD1F54" w:rsidRPr="00264D5D" w:rsidRDefault="00941227">
            <w:pPr>
              <w:tabs>
                <w:tab w:val="left" w:pos="1122"/>
              </w:tabs>
              <w:spacing w:before="60" w:after="60"/>
              <w:jc w:val="center"/>
              <w:rPr>
                <w:sz w:val="22"/>
                <w:szCs w:val="22"/>
              </w:rPr>
            </w:pPr>
            <w:r w:rsidRPr="00264D5D">
              <w:rPr>
                <w:sz w:val="22"/>
                <w:szCs w:val="22"/>
              </w:rPr>
              <w:t>П</w:t>
            </w:r>
          </w:p>
        </w:tc>
        <w:tc>
          <w:tcPr>
            <w:tcW w:w="588" w:type="pct"/>
          </w:tcPr>
          <w:p w14:paraId="547161E3" w14:textId="77777777" w:rsidR="00AD1F54" w:rsidRPr="00264D5D" w:rsidRDefault="00941227">
            <w:pPr>
              <w:tabs>
                <w:tab w:val="left" w:pos="1122"/>
              </w:tabs>
              <w:spacing w:before="60" w:after="60"/>
              <w:jc w:val="left"/>
              <w:rPr>
                <w:sz w:val="22"/>
                <w:szCs w:val="22"/>
              </w:rPr>
            </w:pPr>
            <w:r w:rsidRPr="00264D5D">
              <w:rPr>
                <w:sz w:val="22"/>
                <w:szCs w:val="22"/>
              </w:rPr>
              <w:t>Т(1)</w:t>
            </w:r>
          </w:p>
        </w:tc>
        <w:tc>
          <w:tcPr>
            <w:tcW w:w="294" w:type="pct"/>
          </w:tcPr>
          <w:p w14:paraId="1CC525A5" w14:textId="77777777" w:rsidR="00AD1F54" w:rsidRPr="00264D5D" w:rsidRDefault="00941227">
            <w:pPr>
              <w:tabs>
                <w:tab w:val="left" w:pos="1122"/>
              </w:tabs>
              <w:spacing w:before="60" w:after="60"/>
              <w:jc w:val="center"/>
              <w:rPr>
                <w:sz w:val="22"/>
                <w:szCs w:val="22"/>
              </w:rPr>
            </w:pPr>
            <w:r w:rsidRPr="00264D5D">
              <w:rPr>
                <w:sz w:val="22"/>
                <w:szCs w:val="22"/>
              </w:rPr>
              <w:t>О</w:t>
            </w:r>
          </w:p>
        </w:tc>
        <w:tc>
          <w:tcPr>
            <w:tcW w:w="2058" w:type="pct"/>
          </w:tcPr>
          <w:p w14:paraId="5241FF29" w14:textId="77777777" w:rsidR="00AD1F54" w:rsidRPr="00264D5D" w:rsidRDefault="00941227" w:rsidP="00CE031E">
            <w:pPr>
              <w:spacing w:before="60" w:after="60"/>
              <w:rPr>
                <w:sz w:val="22"/>
                <w:szCs w:val="22"/>
              </w:rPr>
            </w:pPr>
            <w:r w:rsidRPr="00264D5D">
              <w:rPr>
                <w:sz w:val="22"/>
                <w:szCs w:val="22"/>
              </w:rPr>
              <w:t>Указывается признак безусловности платежа.</w:t>
            </w:r>
          </w:p>
          <w:p w14:paraId="48E6A807" w14:textId="77777777" w:rsidR="00AD1F54" w:rsidRPr="00264D5D" w:rsidRDefault="00941227" w:rsidP="00CE031E">
            <w:pPr>
              <w:spacing w:before="60" w:after="60"/>
              <w:rPr>
                <w:sz w:val="22"/>
                <w:szCs w:val="22"/>
              </w:rPr>
            </w:pPr>
            <w:r w:rsidRPr="00264D5D">
              <w:rPr>
                <w:sz w:val="22"/>
                <w:szCs w:val="22"/>
              </w:rPr>
              <w:t>Допустимые значения:</w:t>
            </w:r>
          </w:p>
          <w:p w14:paraId="53C8F01B" w14:textId="77777777" w:rsidR="00AD1F54" w:rsidRPr="00264D5D" w:rsidRDefault="00941227" w:rsidP="00CE031E">
            <w:pPr>
              <w:pStyle w:val="GOSTTableListMark1"/>
              <w:widowControl w:val="0"/>
              <w:numPr>
                <w:ilvl w:val="0"/>
                <w:numId w:val="65"/>
              </w:numPr>
              <w:tabs>
                <w:tab w:val="clear" w:pos="340"/>
                <w:tab w:val="num" w:pos="227"/>
              </w:tabs>
              <w:spacing w:before="60" w:after="60"/>
              <w:ind w:left="284"/>
              <w:jc w:val="both"/>
              <w:rPr>
                <w:szCs w:val="22"/>
              </w:rPr>
            </w:pPr>
            <w:r w:rsidRPr="00264D5D">
              <w:rPr>
                <w:szCs w:val="22"/>
              </w:rPr>
              <w:t>«0» – безусловное;</w:t>
            </w:r>
          </w:p>
          <w:p w14:paraId="5EB0144C" w14:textId="77777777" w:rsidR="00AD1F54" w:rsidRPr="00264D5D" w:rsidRDefault="00CE031E" w:rsidP="00CE031E">
            <w:pPr>
              <w:pStyle w:val="GOSTTableListMark1"/>
              <w:widowControl w:val="0"/>
              <w:numPr>
                <w:ilvl w:val="0"/>
                <w:numId w:val="65"/>
              </w:numPr>
              <w:tabs>
                <w:tab w:val="clear" w:pos="340"/>
                <w:tab w:val="num" w:pos="227"/>
              </w:tabs>
              <w:spacing w:before="60" w:after="60"/>
              <w:ind w:left="284"/>
              <w:jc w:val="both"/>
              <w:rPr>
                <w:szCs w:val="22"/>
              </w:rPr>
            </w:pPr>
            <w:r w:rsidRPr="00264D5D">
              <w:rPr>
                <w:szCs w:val="22"/>
              </w:rPr>
              <w:t>«1» – условное</w:t>
            </w:r>
          </w:p>
        </w:tc>
      </w:tr>
      <w:tr w:rsidR="00AD1F54" w:rsidRPr="00264D5D" w14:paraId="1A5C7BD1"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51F7A82D" w14:textId="77777777" w:rsidR="00AD1F54" w:rsidRPr="00264D5D" w:rsidRDefault="00941227">
            <w:pPr>
              <w:spacing w:before="60" w:after="60"/>
              <w:rPr>
                <w:sz w:val="22"/>
                <w:szCs w:val="22"/>
              </w:rPr>
            </w:pPr>
            <w:r w:rsidRPr="00264D5D">
              <w:rPr>
                <w:sz w:val="22"/>
                <w:szCs w:val="22"/>
              </w:rPr>
              <w:t>Сумма исполненного обязательства прошлых лет в рублях</w:t>
            </w:r>
          </w:p>
        </w:tc>
        <w:tc>
          <w:tcPr>
            <w:tcW w:w="882" w:type="pct"/>
          </w:tcPr>
          <w:p w14:paraId="24FBB432" w14:textId="77777777" w:rsidR="00AD1F54" w:rsidRPr="00264D5D" w:rsidRDefault="00941227">
            <w:pPr>
              <w:tabs>
                <w:tab w:val="left" w:pos="1122"/>
              </w:tabs>
              <w:spacing w:before="60" w:after="60"/>
              <w:rPr>
                <w:sz w:val="22"/>
                <w:szCs w:val="22"/>
              </w:rPr>
            </w:pPr>
            <w:r w:rsidRPr="00264D5D">
              <w:rPr>
                <w:sz w:val="22"/>
                <w:szCs w:val="22"/>
              </w:rPr>
              <w:t>SmLblt</w:t>
            </w:r>
          </w:p>
        </w:tc>
        <w:tc>
          <w:tcPr>
            <w:tcW w:w="293" w:type="pct"/>
          </w:tcPr>
          <w:p w14:paraId="673CA094" w14:textId="77777777" w:rsidR="00AD1F54" w:rsidRPr="00264D5D" w:rsidRDefault="00941227">
            <w:pPr>
              <w:tabs>
                <w:tab w:val="left" w:pos="1122"/>
              </w:tabs>
              <w:spacing w:before="60" w:after="60"/>
              <w:jc w:val="center"/>
              <w:rPr>
                <w:sz w:val="22"/>
                <w:szCs w:val="22"/>
              </w:rPr>
            </w:pPr>
            <w:r w:rsidRPr="00264D5D">
              <w:rPr>
                <w:sz w:val="22"/>
                <w:szCs w:val="22"/>
              </w:rPr>
              <w:t>П</w:t>
            </w:r>
          </w:p>
        </w:tc>
        <w:tc>
          <w:tcPr>
            <w:tcW w:w="588" w:type="pct"/>
          </w:tcPr>
          <w:p w14:paraId="1BE9335F" w14:textId="77777777" w:rsidR="00AD1F54" w:rsidRPr="00264D5D" w:rsidRDefault="00941227">
            <w:pPr>
              <w:tabs>
                <w:tab w:val="left" w:pos="1122"/>
              </w:tabs>
              <w:spacing w:before="60" w:after="60"/>
              <w:jc w:val="left"/>
              <w:rPr>
                <w:sz w:val="22"/>
                <w:szCs w:val="22"/>
              </w:rPr>
            </w:pPr>
            <w:r w:rsidRPr="00264D5D">
              <w:rPr>
                <w:sz w:val="22"/>
                <w:szCs w:val="22"/>
              </w:rPr>
              <w:t>N(20.2)</w:t>
            </w:r>
          </w:p>
        </w:tc>
        <w:tc>
          <w:tcPr>
            <w:tcW w:w="294" w:type="pct"/>
          </w:tcPr>
          <w:p w14:paraId="5C6482AD" w14:textId="77777777" w:rsidR="00AD1F54" w:rsidRPr="00264D5D" w:rsidRDefault="00941227">
            <w:pPr>
              <w:tabs>
                <w:tab w:val="left" w:pos="1122"/>
              </w:tabs>
              <w:spacing w:before="60" w:after="60"/>
              <w:jc w:val="center"/>
              <w:rPr>
                <w:sz w:val="22"/>
                <w:szCs w:val="22"/>
              </w:rPr>
            </w:pPr>
            <w:r w:rsidRPr="00264D5D">
              <w:rPr>
                <w:sz w:val="22"/>
                <w:szCs w:val="22"/>
              </w:rPr>
              <w:t>О</w:t>
            </w:r>
          </w:p>
        </w:tc>
        <w:tc>
          <w:tcPr>
            <w:tcW w:w="2058" w:type="pct"/>
          </w:tcPr>
          <w:p w14:paraId="16F60569" w14:textId="77777777" w:rsidR="00AD1F54" w:rsidRPr="00264D5D" w:rsidRDefault="00941227">
            <w:pPr>
              <w:spacing w:before="60" w:after="60"/>
              <w:rPr>
                <w:sz w:val="22"/>
                <w:szCs w:val="22"/>
              </w:rPr>
            </w:pPr>
            <w:r w:rsidRPr="00264D5D">
              <w:rPr>
                <w:sz w:val="22"/>
                <w:szCs w:val="22"/>
              </w:rPr>
              <w:t>Указывается исполненная сумма бюджетного обязательства прошлых лет.</w:t>
            </w:r>
          </w:p>
          <w:p w14:paraId="773A4975" w14:textId="77777777" w:rsidR="00AD1F54" w:rsidRPr="00264D5D" w:rsidRDefault="00941227">
            <w:pPr>
              <w:spacing w:before="60" w:after="60"/>
              <w:rPr>
                <w:sz w:val="22"/>
                <w:szCs w:val="22"/>
              </w:rPr>
            </w:pPr>
            <w:r w:rsidRPr="00264D5D">
              <w:rPr>
                <w:sz w:val="22"/>
                <w:szCs w:val="22"/>
              </w:rPr>
              <w:t>Для сведений о бюджетном обязательстве, на основании которого осуществляется перерегистрация бюджетного обязательства, поле должно иметь отличное от нуля значение, если значение каждого из полей AmntYr – SmThrdYr и SmNxtYr равно «0.00».</w:t>
            </w:r>
          </w:p>
          <w:p w14:paraId="1221162D" w14:textId="77777777" w:rsidR="00AD1F54" w:rsidRPr="00264D5D" w:rsidRDefault="00941227">
            <w:pPr>
              <w:spacing w:before="60" w:after="60"/>
              <w:rPr>
                <w:sz w:val="22"/>
                <w:szCs w:val="22"/>
              </w:rPr>
            </w:pPr>
            <w:r w:rsidRPr="00264D5D">
              <w:rPr>
                <w:sz w:val="22"/>
                <w:szCs w:val="22"/>
              </w:rPr>
              <w:t>При отсутс</w:t>
            </w:r>
            <w:r w:rsidR="00CE031E" w:rsidRPr="00264D5D">
              <w:rPr>
                <w:sz w:val="22"/>
                <w:szCs w:val="22"/>
              </w:rPr>
              <w:t>твии значения указывается 0.00</w:t>
            </w:r>
          </w:p>
        </w:tc>
      </w:tr>
      <w:tr w:rsidR="00AD1F54" w:rsidRPr="00264D5D" w14:paraId="27F49FA7"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6906AEA1" w14:textId="77777777" w:rsidR="00AD1F54" w:rsidRPr="00264D5D" w:rsidRDefault="00941227">
            <w:pPr>
              <w:spacing w:before="60" w:after="60"/>
              <w:rPr>
                <w:sz w:val="22"/>
                <w:szCs w:val="22"/>
              </w:rPr>
            </w:pPr>
            <w:r w:rsidRPr="00264D5D">
              <w:rPr>
                <w:sz w:val="22"/>
                <w:szCs w:val="22"/>
              </w:rPr>
              <w:lastRenderedPageBreak/>
              <w:t>Сумма неисполненного обязательства прошлых лет в рублях</w:t>
            </w:r>
          </w:p>
        </w:tc>
        <w:tc>
          <w:tcPr>
            <w:tcW w:w="882" w:type="pct"/>
          </w:tcPr>
          <w:p w14:paraId="40664F0C" w14:textId="77777777" w:rsidR="00AD1F54" w:rsidRPr="00264D5D" w:rsidRDefault="00941227">
            <w:pPr>
              <w:tabs>
                <w:tab w:val="left" w:pos="1122"/>
              </w:tabs>
              <w:spacing w:before="60" w:after="60"/>
              <w:rPr>
                <w:sz w:val="22"/>
                <w:szCs w:val="22"/>
              </w:rPr>
            </w:pPr>
            <w:r w:rsidRPr="00264D5D">
              <w:rPr>
                <w:sz w:val="22"/>
                <w:szCs w:val="22"/>
              </w:rPr>
              <w:t>SmLblts</w:t>
            </w:r>
          </w:p>
        </w:tc>
        <w:tc>
          <w:tcPr>
            <w:tcW w:w="293" w:type="pct"/>
          </w:tcPr>
          <w:p w14:paraId="2FF3632A" w14:textId="77777777" w:rsidR="00AD1F54" w:rsidRPr="00264D5D" w:rsidRDefault="00941227">
            <w:pPr>
              <w:tabs>
                <w:tab w:val="left" w:pos="1122"/>
              </w:tabs>
              <w:spacing w:before="60" w:after="60"/>
              <w:jc w:val="center"/>
              <w:rPr>
                <w:sz w:val="22"/>
                <w:szCs w:val="22"/>
              </w:rPr>
            </w:pPr>
            <w:r w:rsidRPr="00264D5D">
              <w:rPr>
                <w:sz w:val="22"/>
                <w:szCs w:val="22"/>
              </w:rPr>
              <w:t>П</w:t>
            </w:r>
          </w:p>
        </w:tc>
        <w:tc>
          <w:tcPr>
            <w:tcW w:w="588" w:type="pct"/>
          </w:tcPr>
          <w:p w14:paraId="27301A00" w14:textId="77777777" w:rsidR="00AD1F54" w:rsidRPr="00264D5D" w:rsidRDefault="00941227">
            <w:pPr>
              <w:tabs>
                <w:tab w:val="left" w:pos="1122"/>
              </w:tabs>
              <w:spacing w:before="60" w:after="60"/>
              <w:jc w:val="left"/>
              <w:rPr>
                <w:sz w:val="22"/>
                <w:szCs w:val="22"/>
              </w:rPr>
            </w:pPr>
            <w:r w:rsidRPr="00264D5D">
              <w:rPr>
                <w:sz w:val="22"/>
                <w:szCs w:val="22"/>
              </w:rPr>
              <w:t>N(20.2)</w:t>
            </w:r>
          </w:p>
        </w:tc>
        <w:tc>
          <w:tcPr>
            <w:tcW w:w="294" w:type="pct"/>
          </w:tcPr>
          <w:p w14:paraId="7B62405F" w14:textId="77777777" w:rsidR="00AD1F54" w:rsidRPr="00264D5D" w:rsidRDefault="00941227">
            <w:pPr>
              <w:tabs>
                <w:tab w:val="left" w:pos="1122"/>
              </w:tabs>
              <w:spacing w:before="60" w:after="60"/>
              <w:jc w:val="center"/>
              <w:rPr>
                <w:sz w:val="22"/>
                <w:szCs w:val="22"/>
              </w:rPr>
            </w:pPr>
            <w:r w:rsidRPr="00264D5D">
              <w:rPr>
                <w:sz w:val="22"/>
                <w:szCs w:val="22"/>
              </w:rPr>
              <w:t>О</w:t>
            </w:r>
          </w:p>
        </w:tc>
        <w:tc>
          <w:tcPr>
            <w:tcW w:w="2058" w:type="pct"/>
          </w:tcPr>
          <w:p w14:paraId="034C7C91" w14:textId="77777777" w:rsidR="00AD1F54" w:rsidRPr="00264D5D" w:rsidRDefault="00941227">
            <w:pPr>
              <w:spacing w:before="60" w:after="60"/>
              <w:rPr>
                <w:sz w:val="22"/>
                <w:szCs w:val="22"/>
              </w:rPr>
            </w:pPr>
            <w:r w:rsidRPr="00264D5D">
              <w:rPr>
                <w:sz w:val="22"/>
                <w:szCs w:val="22"/>
              </w:rPr>
              <w:t xml:space="preserve">Указывается неисполненная сумма бюджетного обязательства прошлых лет, подлежащая исполнению в текущем финансовом году. </w:t>
            </w:r>
          </w:p>
          <w:p w14:paraId="28538A7D" w14:textId="77777777" w:rsidR="00AD1F54" w:rsidRPr="00264D5D" w:rsidRDefault="00941227">
            <w:pPr>
              <w:spacing w:before="60" w:after="60"/>
              <w:rPr>
                <w:sz w:val="22"/>
                <w:szCs w:val="22"/>
              </w:rPr>
            </w:pPr>
            <w:r w:rsidRPr="00264D5D">
              <w:rPr>
                <w:sz w:val="22"/>
                <w:szCs w:val="22"/>
              </w:rPr>
              <w:t>При отсут</w:t>
            </w:r>
            <w:r w:rsidR="00CE031E" w:rsidRPr="00264D5D">
              <w:rPr>
                <w:sz w:val="22"/>
                <w:szCs w:val="22"/>
              </w:rPr>
              <w:t>ствии значения указывается 0.00</w:t>
            </w:r>
          </w:p>
        </w:tc>
      </w:tr>
      <w:tr w:rsidR="00AD1F54" w:rsidRPr="00264D5D" w14:paraId="49C975AA"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6E9D83A9" w14:textId="77777777" w:rsidR="00AD1F54" w:rsidRPr="00264D5D" w:rsidRDefault="00941227">
            <w:pPr>
              <w:spacing w:before="60" w:after="60"/>
              <w:rPr>
                <w:sz w:val="22"/>
                <w:szCs w:val="22"/>
              </w:rPr>
            </w:pPr>
            <w:r w:rsidRPr="00264D5D">
              <w:rPr>
                <w:sz w:val="22"/>
                <w:szCs w:val="22"/>
              </w:rPr>
              <w:t>Сумма на январь</w:t>
            </w:r>
          </w:p>
        </w:tc>
        <w:tc>
          <w:tcPr>
            <w:tcW w:w="882" w:type="pct"/>
          </w:tcPr>
          <w:p w14:paraId="2BD0DADD" w14:textId="77777777" w:rsidR="00AD1F54" w:rsidRPr="00264D5D" w:rsidRDefault="00941227">
            <w:pPr>
              <w:tabs>
                <w:tab w:val="left" w:pos="1122"/>
              </w:tabs>
              <w:spacing w:before="60" w:after="60"/>
              <w:rPr>
                <w:sz w:val="22"/>
                <w:szCs w:val="22"/>
              </w:rPr>
            </w:pPr>
            <w:r w:rsidRPr="00264D5D">
              <w:rPr>
                <w:sz w:val="22"/>
                <w:szCs w:val="22"/>
              </w:rPr>
              <w:t>SmJnr</w:t>
            </w:r>
          </w:p>
        </w:tc>
        <w:tc>
          <w:tcPr>
            <w:tcW w:w="293" w:type="pct"/>
          </w:tcPr>
          <w:p w14:paraId="06691C7E" w14:textId="77777777" w:rsidR="00AD1F54" w:rsidRPr="00264D5D" w:rsidRDefault="00941227">
            <w:pPr>
              <w:tabs>
                <w:tab w:val="left" w:pos="1122"/>
              </w:tabs>
              <w:spacing w:before="60" w:after="60"/>
              <w:jc w:val="center"/>
              <w:rPr>
                <w:sz w:val="22"/>
                <w:szCs w:val="22"/>
              </w:rPr>
            </w:pPr>
            <w:r w:rsidRPr="00264D5D">
              <w:rPr>
                <w:sz w:val="22"/>
                <w:szCs w:val="22"/>
              </w:rPr>
              <w:t>П</w:t>
            </w:r>
          </w:p>
        </w:tc>
        <w:tc>
          <w:tcPr>
            <w:tcW w:w="588" w:type="pct"/>
          </w:tcPr>
          <w:p w14:paraId="0976B6D6" w14:textId="77777777" w:rsidR="00AD1F54" w:rsidRPr="00264D5D" w:rsidRDefault="00941227">
            <w:pPr>
              <w:tabs>
                <w:tab w:val="left" w:pos="1122"/>
              </w:tabs>
              <w:spacing w:before="60" w:after="60"/>
              <w:rPr>
                <w:sz w:val="22"/>
                <w:szCs w:val="22"/>
              </w:rPr>
            </w:pPr>
            <w:r w:rsidRPr="00264D5D">
              <w:rPr>
                <w:sz w:val="22"/>
                <w:szCs w:val="22"/>
              </w:rPr>
              <w:t>N(20.2)</w:t>
            </w:r>
          </w:p>
        </w:tc>
        <w:tc>
          <w:tcPr>
            <w:tcW w:w="294" w:type="pct"/>
          </w:tcPr>
          <w:p w14:paraId="2A50F7E6" w14:textId="77777777" w:rsidR="00AD1F54" w:rsidRPr="00264D5D" w:rsidRDefault="00941227">
            <w:pPr>
              <w:tabs>
                <w:tab w:val="left" w:pos="1122"/>
              </w:tabs>
              <w:spacing w:before="60" w:after="60"/>
              <w:jc w:val="center"/>
              <w:rPr>
                <w:sz w:val="22"/>
                <w:szCs w:val="22"/>
              </w:rPr>
            </w:pPr>
            <w:r w:rsidRPr="00264D5D">
              <w:rPr>
                <w:sz w:val="22"/>
                <w:szCs w:val="22"/>
              </w:rPr>
              <w:t>О</w:t>
            </w:r>
          </w:p>
        </w:tc>
        <w:tc>
          <w:tcPr>
            <w:tcW w:w="2058" w:type="pct"/>
          </w:tcPr>
          <w:p w14:paraId="7F430951" w14:textId="77777777" w:rsidR="00AD1F54" w:rsidRPr="00264D5D" w:rsidRDefault="00941227">
            <w:pPr>
              <w:spacing w:before="60" w:after="60"/>
              <w:rPr>
                <w:sz w:val="22"/>
                <w:szCs w:val="22"/>
              </w:rPr>
            </w:pPr>
            <w:r w:rsidRPr="00264D5D">
              <w:rPr>
                <w:sz w:val="22"/>
                <w:szCs w:val="22"/>
              </w:rPr>
              <w:t>Сумма БО в разрезе каждого месяца текущего финансового года в валюте РФ. Хотя бы одно из полей SmJnr – SmDcmbr должно быть заполнено отличным от нуля значением, если значение поля AmntYr не равно 0.00. При отсут</w:t>
            </w:r>
            <w:r w:rsidR="00CE031E" w:rsidRPr="00264D5D">
              <w:rPr>
                <w:sz w:val="22"/>
                <w:szCs w:val="22"/>
              </w:rPr>
              <w:t>ствии значения указывается 0.00</w:t>
            </w:r>
          </w:p>
        </w:tc>
      </w:tr>
      <w:tr w:rsidR="00AD1F54" w:rsidRPr="00264D5D" w14:paraId="7F2A476C"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50B3E3BB" w14:textId="77777777" w:rsidR="00AD1F54" w:rsidRPr="00264D5D" w:rsidRDefault="00941227">
            <w:pPr>
              <w:spacing w:before="60" w:after="60"/>
              <w:rPr>
                <w:sz w:val="22"/>
                <w:szCs w:val="22"/>
              </w:rPr>
            </w:pPr>
            <w:r w:rsidRPr="00264D5D">
              <w:rPr>
                <w:sz w:val="22"/>
                <w:szCs w:val="22"/>
              </w:rPr>
              <w:t>Сумма на февраль</w:t>
            </w:r>
          </w:p>
        </w:tc>
        <w:tc>
          <w:tcPr>
            <w:tcW w:w="882" w:type="pct"/>
          </w:tcPr>
          <w:p w14:paraId="20346922" w14:textId="77777777" w:rsidR="00AD1F54" w:rsidRPr="00264D5D" w:rsidRDefault="00941227">
            <w:pPr>
              <w:tabs>
                <w:tab w:val="left" w:pos="1122"/>
              </w:tabs>
              <w:spacing w:before="60" w:after="60"/>
              <w:rPr>
                <w:sz w:val="22"/>
                <w:szCs w:val="22"/>
              </w:rPr>
            </w:pPr>
            <w:r w:rsidRPr="00264D5D">
              <w:rPr>
                <w:sz w:val="22"/>
                <w:szCs w:val="22"/>
              </w:rPr>
              <w:t>SmFbrr</w:t>
            </w:r>
          </w:p>
        </w:tc>
        <w:tc>
          <w:tcPr>
            <w:tcW w:w="293" w:type="pct"/>
          </w:tcPr>
          <w:p w14:paraId="15B1FBEB" w14:textId="77777777" w:rsidR="00AD1F54" w:rsidRPr="00264D5D" w:rsidRDefault="00941227">
            <w:pPr>
              <w:tabs>
                <w:tab w:val="left" w:pos="1122"/>
              </w:tabs>
              <w:spacing w:before="60" w:after="60"/>
              <w:jc w:val="center"/>
              <w:rPr>
                <w:sz w:val="22"/>
                <w:szCs w:val="22"/>
              </w:rPr>
            </w:pPr>
            <w:r w:rsidRPr="00264D5D">
              <w:rPr>
                <w:sz w:val="22"/>
                <w:szCs w:val="22"/>
              </w:rPr>
              <w:t>П</w:t>
            </w:r>
          </w:p>
        </w:tc>
        <w:tc>
          <w:tcPr>
            <w:tcW w:w="588" w:type="pct"/>
          </w:tcPr>
          <w:p w14:paraId="681A338C" w14:textId="77777777" w:rsidR="00AD1F54" w:rsidRPr="00264D5D" w:rsidRDefault="00941227">
            <w:pPr>
              <w:tabs>
                <w:tab w:val="left" w:pos="1122"/>
              </w:tabs>
              <w:spacing w:before="60" w:after="60"/>
              <w:rPr>
                <w:sz w:val="22"/>
                <w:szCs w:val="22"/>
              </w:rPr>
            </w:pPr>
            <w:r w:rsidRPr="00264D5D">
              <w:rPr>
                <w:sz w:val="22"/>
                <w:szCs w:val="22"/>
              </w:rPr>
              <w:t>N(20.2)</w:t>
            </w:r>
          </w:p>
        </w:tc>
        <w:tc>
          <w:tcPr>
            <w:tcW w:w="294" w:type="pct"/>
          </w:tcPr>
          <w:p w14:paraId="50385F25" w14:textId="77777777" w:rsidR="00AD1F54" w:rsidRPr="00264D5D" w:rsidRDefault="00941227">
            <w:pPr>
              <w:tabs>
                <w:tab w:val="left" w:pos="1122"/>
              </w:tabs>
              <w:spacing w:before="60" w:after="60"/>
              <w:jc w:val="center"/>
              <w:rPr>
                <w:sz w:val="22"/>
                <w:szCs w:val="22"/>
              </w:rPr>
            </w:pPr>
            <w:r w:rsidRPr="00264D5D">
              <w:rPr>
                <w:sz w:val="22"/>
                <w:szCs w:val="22"/>
              </w:rPr>
              <w:t>О</w:t>
            </w:r>
          </w:p>
        </w:tc>
        <w:tc>
          <w:tcPr>
            <w:tcW w:w="2058" w:type="pct"/>
          </w:tcPr>
          <w:p w14:paraId="1DA6EDC1" w14:textId="77777777" w:rsidR="00AD1F54" w:rsidRPr="00264D5D" w:rsidRDefault="00941227">
            <w:pPr>
              <w:spacing w:before="60" w:after="60"/>
              <w:rPr>
                <w:sz w:val="22"/>
                <w:szCs w:val="22"/>
              </w:rPr>
            </w:pPr>
            <w:r w:rsidRPr="00264D5D">
              <w:rPr>
                <w:sz w:val="22"/>
                <w:szCs w:val="22"/>
              </w:rPr>
              <w:t>Сумма на февраль.</w:t>
            </w:r>
          </w:p>
          <w:p w14:paraId="27FBBA64" w14:textId="77777777" w:rsidR="00AD1F54" w:rsidRPr="00264D5D" w:rsidRDefault="00941227">
            <w:pPr>
              <w:spacing w:before="60" w:after="60"/>
              <w:rPr>
                <w:sz w:val="22"/>
                <w:szCs w:val="22"/>
              </w:rPr>
            </w:pPr>
            <w:r w:rsidRPr="00264D5D">
              <w:rPr>
                <w:sz w:val="22"/>
                <w:szCs w:val="22"/>
              </w:rPr>
              <w:t>При отсут</w:t>
            </w:r>
            <w:r w:rsidR="00CE031E" w:rsidRPr="00264D5D">
              <w:rPr>
                <w:sz w:val="22"/>
                <w:szCs w:val="22"/>
              </w:rPr>
              <w:t>ствии значения указывается 0.00</w:t>
            </w:r>
          </w:p>
        </w:tc>
      </w:tr>
      <w:tr w:rsidR="00AD1F54" w:rsidRPr="00264D5D" w14:paraId="000E09FA"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1402E3D0" w14:textId="77777777" w:rsidR="00AD1F54" w:rsidRPr="00264D5D" w:rsidRDefault="00941227">
            <w:pPr>
              <w:spacing w:before="60" w:after="60"/>
              <w:rPr>
                <w:sz w:val="22"/>
                <w:szCs w:val="22"/>
              </w:rPr>
            </w:pPr>
            <w:r w:rsidRPr="00264D5D">
              <w:rPr>
                <w:sz w:val="22"/>
                <w:szCs w:val="22"/>
              </w:rPr>
              <w:t>Сумма на март</w:t>
            </w:r>
          </w:p>
        </w:tc>
        <w:tc>
          <w:tcPr>
            <w:tcW w:w="882" w:type="pct"/>
          </w:tcPr>
          <w:p w14:paraId="4DEA537D" w14:textId="77777777" w:rsidR="00AD1F54" w:rsidRPr="00264D5D" w:rsidRDefault="00941227">
            <w:pPr>
              <w:tabs>
                <w:tab w:val="left" w:pos="1122"/>
              </w:tabs>
              <w:spacing w:before="60" w:after="60"/>
              <w:rPr>
                <w:sz w:val="22"/>
                <w:szCs w:val="22"/>
              </w:rPr>
            </w:pPr>
            <w:r w:rsidRPr="00264D5D">
              <w:rPr>
                <w:sz w:val="22"/>
                <w:szCs w:val="22"/>
              </w:rPr>
              <w:t>SmMrch</w:t>
            </w:r>
          </w:p>
        </w:tc>
        <w:tc>
          <w:tcPr>
            <w:tcW w:w="293" w:type="pct"/>
          </w:tcPr>
          <w:p w14:paraId="3191D3B4" w14:textId="77777777" w:rsidR="00AD1F54" w:rsidRPr="00264D5D" w:rsidRDefault="00941227">
            <w:pPr>
              <w:tabs>
                <w:tab w:val="left" w:pos="1122"/>
              </w:tabs>
              <w:spacing w:before="60" w:after="60"/>
              <w:jc w:val="center"/>
              <w:rPr>
                <w:sz w:val="22"/>
                <w:szCs w:val="22"/>
              </w:rPr>
            </w:pPr>
            <w:r w:rsidRPr="00264D5D">
              <w:rPr>
                <w:sz w:val="22"/>
                <w:szCs w:val="22"/>
              </w:rPr>
              <w:t>П</w:t>
            </w:r>
          </w:p>
        </w:tc>
        <w:tc>
          <w:tcPr>
            <w:tcW w:w="588" w:type="pct"/>
          </w:tcPr>
          <w:p w14:paraId="42736C71" w14:textId="77777777" w:rsidR="00AD1F54" w:rsidRPr="00264D5D" w:rsidRDefault="00941227">
            <w:pPr>
              <w:tabs>
                <w:tab w:val="left" w:pos="1122"/>
              </w:tabs>
              <w:spacing w:before="60" w:after="60"/>
              <w:rPr>
                <w:sz w:val="22"/>
                <w:szCs w:val="22"/>
              </w:rPr>
            </w:pPr>
            <w:r w:rsidRPr="00264D5D">
              <w:rPr>
                <w:sz w:val="22"/>
                <w:szCs w:val="22"/>
              </w:rPr>
              <w:t>N(20.2)</w:t>
            </w:r>
          </w:p>
        </w:tc>
        <w:tc>
          <w:tcPr>
            <w:tcW w:w="294" w:type="pct"/>
          </w:tcPr>
          <w:p w14:paraId="611412E6" w14:textId="77777777" w:rsidR="00AD1F54" w:rsidRPr="00264D5D" w:rsidRDefault="00941227">
            <w:pPr>
              <w:tabs>
                <w:tab w:val="left" w:pos="1122"/>
              </w:tabs>
              <w:spacing w:before="60" w:after="60"/>
              <w:jc w:val="center"/>
              <w:rPr>
                <w:sz w:val="22"/>
                <w:szCs w:val="22"/>
              </w:rPr>
            </w:pPr>
            <w:r w:rsidRPr="00264D5D">
              <w:rPr>
                <w:sz w:val="22"/>
                <w:szCs w:val="22"/>
              </w:rPr>
              <w:t>О</w:t>
            </w:r>
          </w:p>
        </w:tc>
        <w:tc>
          <w:tcPr>
            <w:tcW w:w="2058" w:type="pct"/>
          </w:tcPr>
          <w:p w14:paraId="5A25F851" w14:textId="77777777" w:rsidR="00AD1F54" w:rsidRPr="00264D5D" w:rsidRDefault="00941227">
            <w:pPr>
              <w:spacing w:before="60" w:after="60"/>
              <w:rPr>
                <w:sz w:val="22"/>
                <w:szCs w:val="22"/>
              </w:rPr>
            </w:pPr>
            <w:r w:rsidRPr="00264D5D">
              <w:rPr>
                <w:sz w:val="22"/>
                <w:szCs w:val="22"/>
              </w:rPr>
              <w:t>Сумма на март.</w:t>
            </w:r>
          </w:p>
          <w:p w14:paraId="7DB41171" w14:textId="77777777" w:rsidR="00AD1F54" w:rsidRPr="00264D5D" w:rsidRDefault="00941227">
            <w:pPr>
              <w:spacing w:before="60" w:after="60"/>
              <w:rPr>
                <w:sz w:val="22"/>
                <w:szCs w:val="22"/>
              </w:rPr>
            </w:pPr>
            <w:r w:rsidRPr="00264D5D">
              <w:rPr>
                <w:sz w:val="22"/>
                <w:szCs w:val="22"/>
              </w:rPr>
              <w:t>При отсут</w:t>
            </w:r>
            <w:r w:rsidR="00CE031E" w:rsidRPr="00264D5D">
              <w:rPr>
                <w:sz w:val="22"/>
                <w:szCs w:val="22"/>
              </w:rPr>
              <w:t>ствии значения указывается 0.00</w:t>
            </w:r>
          </w:p>
        </w:tc>
      </w:tr>
      <w:tr w:rsidR="00AD1F54" w:rsidRPr="00264D5D" w14:paraId="222B3903"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35A15AEB" w14:textId="77777777" w:rsidR="00AD1F54" w:rsidRPr="00264D5D" w:rsidRDefault="00941227">
            <w:pPr>
              <w:spacing w:before="60" w:after="60"/>
              <w:rPr>
                <w:sz w:val="22"/>
                <w:szCs w:val="22"/>
              </w:rPr>
            </w:pPr>
            <w:r w:rsidRPr="00264D5D">
              <w:rPr>
                <w:sz w:val="22"/>
                <w:szCs w:val="22"/>
              </w:rPr>
              <w:t>Сумма на апрель</w:t>
            </w:r>
          </w:p>
        </w:tc>
        <w:tc>
          <w:tcPr>
            <w:tcW w:w="882" w:type="pct"/>
          </w:tcPr>
          <w:p w14:paraId="0A29AB76" w14:textId="77777777" w:rsidR="00AD1F54" w:rsidRPr="00264D5D" w:rsidRDefault="00941227">
            <w:pPr>
              <w:tabs>
                <w:tab w:val="left" w:pos="1122"/>
              </w:tabs>
              <w:spacing w:before="60" w:after="60"/>
              <w:rPr>
                <w:sz w:val="22"/>
                <w:szCs w:val="22"/>
              </w:rPr>
            </w:pPr>
            <w:r w:rsidRPr="00264D5D">
              <w:rPr>
                <w:sz w:val="22"/>
                <w:szCs w:val="22"/>
              </w:rPr>
              <w:t>SmAprl</w:t>
            </w:r>
          </w:p>
        </w:tc>
        <w:tc>
          <w:tcPr>
            <w:tcW w:w="293" w:type="pct"/>
          </w:tcPr>
          <w:p w14:paraId="7BA396EB" w14:textId="77777777" w:rsidR="00AD1F54" w:rsidRPr="00264D5D" w:rsidRDefault="00941227">
            <w:pPr>
              <w:tabs>
                <w:tab w:val="left" w:pos="1122"/>
              </w:tabs>
              <w:spacing w:before="60" w:after="60"/>
              <w:jc w:val="center"/>
              <w:rPr>
                <w:sz w:val="22"/>
                <w:szCs w:val="22"/>
              </w:rPr>
            </w:pPr>
            <w:r w:rsidRPr="00264D5D">
              <w:rPr>
                <w:sz w:val="22"/>
                <w:szCs w:val="22"/>
              </w:rPr>
              <w:t>П</w:t>
            </w:r>
          </w:p>
        </w:tc>
        <w:tc>
          <w:tcPr>
            <w:tcW w:w="588" w:type="pct"/>
          </w:tcPr>
          <w:p w14:paraId="4DE1B965" w14:textId="77777777" w:rsidR="00AD1F54" w:rsidRPr="00264D5D" w:rsidRDefault="00941227">
            <w:pPr>
              <w:tabs>
                <w:tab w:val="left" w:pos="1122"/>
              </w:tabs>
              <w:spacing w:before="60" w:after="60"/>
              <w:rPr>
                <w:sz w:val="22"/>
                <w:szCs w:val="22"/>
              </w:rPr>
            </w:pPr>
            <w:r w:rsidRPr="00264D5D">
              <w:rPr>
                <w:sz w:val="22"/>
                <w:szCs w:val="22"/>
              </w:rPr>
              <w:t>N(20.2)</w:t>
            </w:r>
          </w:p>
        </w:tc>
        <w:tc>
          <w:tcPr>
            <w:tcW w:w="294" w:type="pct"/>
          </w:tcPr>
          <w:p w14:paraId="679233A0" w14:textId="77777777" w:rsidR="00AD1F54" w:rsidRPr="00264D5D" w:rsidRDefault="00941227">
            <w:pPr>
              <w:tabs>
                <w:tab w:val="left" w:pos="1122"/>
              </w:tabs>
              <w:spacing w:before="60" w:after="60"/>
              <w:jc w:val="center"/>
              <w:rPr>
                <w:sz w:val="22"/>
                <w:szCs w:val="22"/>
              </w:rPr>
            </w:pPr>
            <w:r w:rsidRPr="00264D5D">
              <w:rPr>
                <w:sz w:val="22"/>
                <w:szCs w:val="22"/>
              </w:rPr>
              <w:t>О</w:t>
            </w:r>
          </w:p>
        </w:tc>
        <w:tc>
          <w:tcPr>
            <w:tcW w:w="2058" w:type="pct"/>
          </w:tcPr>
          <w:p w14:paraId="6ED37C74" w14:textId="77777777" w:rsidR="00AD1F54" w:rsidRPr="00264D5D" w:rsidRDefault="00941227">
            <w:pPr>
              <w:spacing w:before="60" w:after="60"/>
              <w:rPr>
                <w:sz w:val="22"/>
                <w:szCs w:val="22"/>
              </w:rPr>
            </w:pPr>
            <w:r w:rsidRPr="00264D5D">
              <w:rPr>
                <w:sz w:val="22"/>
                <w:szCs w:val="22"/>
              </w:rPr>
              <w:t>Сумма на апрель.</w:t>
            </w:r>
          </w:p>
          <w:p w14:paraId="425A6D98" w14:textId="77777777" w:rsidR="00AD1F54" w:rsidRPr="00264D5D" w:rsidRDefault="00941227">
            <w:pPr>
              <w:spacing w:before="60" w:after="60"/>
              <w:rPr>
                <w:sz w:val="22"/>
                <w:szCs w:val="22"/>
              </w:rPr>
            </w:pPr>
            <w:r w:rsidRPr="00264D5D">
              <w:rPr>
                <w:sz w:val="22"/>
                <w:szCs w:val="22"/>
              </w:rPr>
              <w:t>При отсутс</w:t>
            </w:r>
            <w:r w:rsidR="00CE031E" w:rsidRPr="00264D5D">
              <w:rPr>
                <w:sz w:val="22"/>
                <w:szCs w:val="22"/>
              </w:rPr>
              <w:t>твии значения указывается 0.00</w:t>
            </w:r>
          </w:p>
        </w:tc>
      </w:tr>
      <w:tr w:rsidR="00AD1F54" w:rsidRPr="00264D5D" w14:paraId="57BFA198"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6F36E4EE" w14:textId="77777777" w:rsidR="00AD1F54" w:rsidRPr="00264D5D" w:rsidRDefault="00941227">
            <w:pPr>
              <w:spacing w:before="60" w:after="60"/>
              <w:rPr>
                <w:sz w:val="22"/>
                <w:szCs w:val="22"/>
              </w:rPr>
            </w:pPr>
            <w:r w:rsidRPr="00264D5D">
              <w:rPr>
                <w:sz w:val="22"/>
                <w:szCs w:val="22"/>
              </w:rPr>
              <w:t>Сумма на май</w:t>
            </w:r>
          </w:p>
        </w:tc>
        <w:tc>
          <w:tcPr>
            <w:tcW w:w="882" w:type="pct"/>
          </w:tcPr>
          <w:p w14:paraId="27F96B2F" w14:textId="77777777" w:rsidR="00AD1F54" w:rsidRPr="00264D5D" w:rsidRDefault="00941227">
            <w:pPr>
              <w:tabs>
                <w:tab w:val="left" w:pos="1122"/>
              </w:tabs>
              <w:spacing w:before="60" w:after="60"/>
              <w:rPr>
                <w:sz w:val="22"/>
                <w:szCs w:val="22"/>
              </w:rPr>
            </w:pPr>
            <w:r w:rsidRPr="00264D5D">
              <w:rPr>
                <w:sz w:val="22"/>
                <w:szCs w:val="22"/>
              </w:rPr>
              <w:t>SmMay</w:t>
            </w:r>
          </w:p>
        </w:tc>
        <w:tc>
          <w:tcPr>
            <w:tcW w:w="293" w:type="pct"/>
          </w:tcPr>
          <w:p w14:paraId="2691B322" w14:textId="77777777" w:rsidR="00AD1F54" w:rsidRPr="00264D5D" w:rsidRDefault="00941227">
            <w:pPr>
              <w:tabs>
                <w:tab w:val="left" w:pos="1122"/>
              </w:tabs>
              <w:spacing w:before="60" w:after="60"/>
              <w:jc w:val="center"/>
              <w:rPr>
                <w:sz w:val="22"/>
                <w:szCs w:val="22"/>
              </w:rPr>
            </w:pPr>
            <w:r w:rsidRPr="00264D5D">
              <w:rPr>
                <w:sz w:val="22"/>
                <w:szCs w:val="22"/>
              </w:rPr>
              <w:t>П</w:t>
            </w:r>
          </w:p>
        </w:tc>
        <w:tc>
          <w:tcPr>
            <w:tcW w:w="588" w:type="pct"/>
          </w:tcPr>
          <w:p w14:paraId="3E91D6A6" w14:textId="77777777" w:rsidR="00AD1F54" w:rsidRPr="00264D5D" w:rsidRDefault="00941227">
            <w:pPr>
              <w:tabs>
                <w:tab w:val="left" w:pos="1122"/>
              </w:tabs>
              <w:spacing w:before="60" w:after="60"/>
              <w:rPr>
                <w:sz w:val="22"/>
                <w:szCs w:val="22"/>
              </w:rPr>
            </w:pPr>
            <w:r w:rsidRPr="00264D5D">
              <w:rPr>
                <w:sz w:val="22"/>
                <w:szCs w:val="22"/>
              </w:rPr>
              <w:t>N(20.2)</w:t>
            </w:r>
          </w:p>
        </w:tc>
        <w:tc>
          <w:tcPr>
            <w:tcW w:w="294" w:type="pct"/>
          </w:tcPr>
          <w:p w14:paraId="7BE47A17" w14:textId="77777777" w:rsidR="00AD1F54" w:rsidRPr="00264D5D" w:rsidRDefault="00941227">
            <w:pPr>
              <w:tabs>
                <w:tab w:val="left" w:pos="1122"/>
              </w:tabs>
              <w:spacing w:before="60" w:after="60"/>
              <w:jc w:val="center"/>
              <w:rPr>
                <w:sz w:val="22"/>
                <w:szCs w:val="22"/>
              </w:rPr>
            </w:pPr>
            <w:r w:rsidRPr="00264D5D">
              <w:rPr>
                <w:sz w:val="22"/>
                <w:szCs w:val="22"/>
              </w:rPr>
              <w:t>О</w:t>
            </w:r>
          </w:p>
        </w:tc>
        <w:tc>
          <w:tcPr>
            <w:tcW w:w="2058" w:type="pct"/>
          </w:tcPr>
          <w:p w14:paraId="072CB1C1" w14:textId="77777777" w:rsidR="00AD1F54" w:rsidRPr="00264D5D" w:rsidRDefault="00941227">
            <w:pPr>
              <w:spacing w:before="60" w:after="60"/>
              <w:rPr>
                <w:sz w:val="22"/>
                <w:szCs w:val="22"/>
              </w:rPr>
            </w:pPr>
            <w:r w:rsidRPr="00264D5D">
              <w:rPr>
                <w:sz w:val="22"/>
                <w:szCs w:val="22"/>
              </w:rPr>
              <w:t>Сумма на май.</w:t>
            </w:r>
          </w:p>
          <w:p w14:paraId="58ABF415" w14:textId="77777777" w:rsidR="00AD1F54" w:rsidRPr="00264D5D" w:rsidRDefault="00941227">
            <w:pPr>
              <w:spacing w:before="60" w:after="60"/>
              <w:rPr>
                <w:sz w:val="22"/>
                <w:szCs w:val="22"/>
              </w:rPr>
            </w:pPr>
            <w:r w:rsidRPr="00264D5D">
              <w:rPr>
                <w:sz w:val="22"/>
                <w:szCs w:val="22"/>
              </w:rPr>
              <w:t>При отсут</w:t>
            </w:r>
            <w:r w:rsidR="00CE031E" w:rsidRPr="00264D5D">
              <w:rPr>
                <w:sz w:val="22"/>
                <w:szCs w:val="22"/>
              </w:rPr>
              <w:t>ствии значения указывается 0.00</w:t>
            </w:r>
          </w:p>
        </w:tc>
      </w:tr>
      <w:tr w:rsidR="00AD1F54" w:rsidRPr="00264D5D" w14:paraId="4B236206"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6DA7277F" w14:textId="77777777" w:rsidR="00AD1F54" w:rsidRPr="00264D5D" w:rsidRDefault="00941227">
            <w:pPr>
              <w:spacing w:before="60" w:after="60"/>
              <w:rPr>
                <w:sz w:val="22"/>
                <w:szCs w:val="22"/>
              </w:rPr>
            </w:pPr>
            <w:r w:rsidRPr="00264D5D">
              <w:rPr>
                <w:sz w:val="22"/>
                <w:szCs w:val="22"/>
              </w:rPr>
              <w:t>Сумма на июнь</w:t>
            </w:r>
          </w:p>
        </w:tc>
        <w:tc>
          <w:tcPr>
            <w:tcW w:w="882" w:type="pct"/>
          </w:tcPr>
          <w:p w14:paraId="40A326D4" w14:textId="77777777" w:rsidR="00AD1F54" w:rsidRPr="00264D5D" w:rsidRDefault="00941227">
            <w:pPr>
              <w:tabs>
                <w:tab w:val="left" w:pos="1122"/>
              </w:tabs>
              <w:spacing w:before="60" w:after="60"/>
              <w:rPr>
                <w:sz w:val="22"/>
                <w:szCs w:val="22"/>
              </w:rPr>
            </w:pPr>
            <w:r w:rsidRPr="00264D5D">
              <w:rPr>
                <w:sz w:val="22"/>
                <w:szCs w:val="22"/>
              </w:rPr>
              <w:t>SmJne</w:t>
            </w:r>
          </w:p>
        </w:tc>
        <w:tc>
          <w:tcPr>
            <w:tcW w:w="293" w:type="pct"/>
          </w:tcPr>
          <w:p w14:paraId="4E1557E0" w14:textId="77777777" w:rsidR="00AD1F54" w:rsidRPr="00264D5D" w:rsidRDefault="00941227">
            <w:pPr>
              <w:tabs>
                <w:tab w:val="left" w:pos="1122"/>
              </w:tabs>
              <w:spacing w:before="60" w:after="60"/>
              <w:jc w:val="center"/>
              <w:rPr>
                <w:sz w:val="22"/>
                <w:szCs w:val="22"/>
              </w:rPr>
            </w:pPr>
            <w:r w:rsidRPr="00264D5D">
              <w:rPr>
                <w:sz w:val="22"/>
                <w:szCs w:val="22"/>
              </w:rPr>
              <w:t>П</w:t>
            </w:r>
          </w:p>
        </w:tc>
        <w:tc>
          <w:tcPr>
            <w:tcW w:w="588" w:type="pct"/>
          </w:tcPr>
          <w:p w14:paraId="23D90372" w14:textId="77777777" w:rsidR="00AD1F54" w:rsidRPr="00264D5D" w:rsidRDefault="00941227">
            <w:pPr>
              <w:tabs>
                <w:tab w:val="left" w:pos="1122"/>
              </w:tabs>
              <w:spacing w:before="60" w:after="60"/>
              <w:rPr>
                <w:sz w:val="22"/>
                <w:szCs w:val="22"/>
              </w:rPr>
            </w:pPr>
            <w:r w:rsidRPr="00264D5D">
              <w:rPr>
                <w:sz w:val="22"/>
                <w:szCs w:val="22"/>
              </w:rPr>
              <w:t>N(20.2)</w:t>
            </w:r>
          </w:p>
        </w:tc>
        <w:tc>
          <w:tcPr>
            <w:tcW w:w="294" w:type="pct"/>
          </w:tcPr>
          <w:p w14:paraId="5765E270" w14:textId="77777777" w:rsidR="00AD1F54" w:rsidRPr="00264D5D" w:rsidRDefault="00941227">
            <w:pPr>
              <w:tabs>
                <w:tab w:val="left" w:pos="1122"/>
              </w:tabs>
              <w:spacing w:before="60" w:after="60"/>
              <w:jc w:val="center"/>
              <w:rPr>
                <w:sz w:val="22"/>
                <w:szCs w:val="22"/>
              </w:rPr>
            </w:pPr>
            <w:r w:rsidRPr="00264D5D">
              <w:rPr>
                <w:sz w:val="22"/>
                <w:szCs w:val="22"/>
              </w:rPr>
              <w:t>О</w:t>
            </w:r>
          </w:p>
        </w:tc>
        <w:tc>
          <w:tcPr>
            <w:tcW w:w="2058" w:type="pct"/>
          </w:tcPr>
          <w:p w14:paraId="7AACBB1A" w14:textId="77777777" w:rsidR="00AD1F54" w:rsidRPr="00264D5D" w:rsidRDefault="00941227">
            <w:pPr>
              <w:spacing w:before="60" w:after="60"/>
              <w:rPr>
                <w:sz w:val="22"/>
                <w:szCs w:val="22"/>
              </w:rPr>
            </w:pPr>
            <w:r w:rsidRPr="00264D5D">
              <w:rPr>
                <w:sz w:val="22"/>
                <w:szCs w:val="22"/>
              </w:rPr>
              <w:t xml:space="preserve">Сумма на июнь. </w:t>
            </w:r>
          </w:p>
          <w:p w14:paraId="4F92BB2C" w14:textId="77777777" w:rsidR="00AD1F54" w:rsidRPr="00264D5D" w:rsidRDefault="00941227">
            <w:pPr>
              <w:spacing w:before="60" w:after="60"/>
              <w:rPr>
                <w:sz w:val="22"/>
                <w:szCs w:val="22"/>
              </w:rPr>
            </w:pPr>
            <w:r w:rsidRPr="00264D5D">
              <w:rPr>
                <w:sz w:val="22"/>
                <w:szCs w:val="22"/>
              </w:rPr>
              <w:t>При отсут</w:t>
            </w:r>
            <w:r w:rsidR="00CE031E" w:rsidRPr="00264D5D">
              <w:rPr>
                <w:sz w:val="22"/>
                <w:szCs w:val="22"/>
              </w:rPr>
              <w:t>ствии значения указывается 0.00</w:t>
            </w:r>
          </w:p>
        </w:tc>
      </w:tr>
      <w:tr w:rsidR="00AD1F54" w:rsidRPr="00264D5D" w14:paraId="45260DE4"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27744E42" w14:textId="77777777" w:rsidR="00AD1F54" w:rsidRPr="00264D5D" w:rsidRDefault="00941227">
            <w:pPr>
              <w:spacing w:before="60" w:after="60"/>
              <w:rPr>
                <w:sz w:val="22"/>
                <w:szCs w:val="22"/>
              </w:rPr>
            </w:pPr>
            <w:r w:rsidRPr="00264D5D">
              <w:rPr>
                <w:sz w:val="22"/>
                <w:szCs w:val="22"/>
              </w:rPr>
              <w:t>Сумма на июль</w:t>
            </w:r>
          </w:p>
        </w:tc>
        <w:tc>
          <w:tcPr>
            <w:tcW w:w="882" w:type="pct"/>
          </w:tcPr>
          <w:p w14:paraId="33EAF7CB" w14:textId="77777777" w:rsidR="00AD1F54" w:rsidRPr="00264D5D" w:rsidRDefault="00941227">
            <w:pPr>
              <w:tabs>
                <w:tab w:val="left" w:pos="1122"/>
              </w:tabs>
              <w:spacing w:before="60" w:after="60"/>
              <w:rPr>
                <w:sz w:val="22"/>
                <w:szCs w:val="22"/>
              </w:rPr>
            </w:pPr>
            <w:r w:rsidRPr="00264D5D">
              <w:rPr>
                <w:sz w:val="22"/>
                <w:szCs w:val="22"/>
              </w:rPr>
              <w:t>SmJl</w:t>
            </w:r>
          </w:p>
        </w:tc>
        <w:tc>
          <w:tcPr>
            <w:tcW w:w="293" w:type="pct"/>
          </w:tcPr>
          <w:p w14:paraId="5830FAF7" w14:textId="77777777" w:rsidR="00AD1F54" w:rsidRPr="00264D5D" w:rsidRDefault="00941227">
            <w:pPr>
              <w:tabs>
                <w:tab w:val="left" w:pos="1122"/>
              </w:tabs>
              <w:spacing w:before="60" w:after="60"/>
              <w:jc w:val="center"/>
              <w:rPr>
                <w:sz w:val="22"/>
                <w:szCs w:val="22"/>
              </w:rPr>
            </w:pPr>
            <w:r w:rsidRPr="00264D5D">
              <w:rPr>
                <w:sz w:val="22"/>
                <w:szCs w:val="22"/>
              </w:rPr>
              <w:t>П</w:t>
            </w:r>
          </w:p>
        </w:tc>
        <w:tc>
          <w:tcPr>
            <w:tcW w:w="588" w:type="pct"/>
          </w:tcPr>
          <w:p w14:paraId="6A18B5DC" w14:textId="77777777" w:rsidR="00AD1F54" w:rsidRPr="00264D5D" w:rsidRDefault="00941227">
            <w:pPr>
              <w:tabs>
                <w:tab w:val="left" w:pos="1122"/>
              </w:tabs>
              <w:spacing w:before="60" w:after="60"/>
              <w:rPr>
                <w:sz w:val="22"/>
                <w:szCs w:val="22"/>
              </w:rPr>
            </w:pPr>
            <w:r w:rsidRPr="00264D5D">
              <w:rPr>
                <w:sz w:val="22"/>
                <w:szCs w:val="22"/>
              </w:rPr>
              <w:t>N(20.2)</w:t>
            </w:r>
          </w:p>
        </w:tc>
        <w:tc>
          <w:tcPr>
            <w:tcW w:w="294" w:type="pct"/>
          </w:tcPr>
          <w:p w14:paraId="5105BAD9" w14:textId="77777777" w:rsidR="00AD1F54" w:rsidRPr="00264D5D" w:rsidRDefault="00941227">
            <w:pPr>
              <w:tabs>
                <w:tab w:val="left" w:pos="1122"/>
              </w:tabs>
              <w:spacing w:before="60" w:after="60"/>
              <w:jc w:val="center"/>
              <w:rPr>
                <w:sz w:val="22"/>
                <w:szCs w:val="22"/>
              </w:rPr>
            </w:pPr>
            <w:r w:rsidRPr="00264D5D">
              <w:rPr>
                <w:sz w:val="22"/>
                <w:szCs w:val="22"/>
              </w:rPr>
              <w:t>О</w:t>
            </w:r>
          </w:p>
        </w:tc>
        <w:tc>
          <w:tcPr>
            <w:tcW w:w="2058" w:type="pct"/>
          </w:tcPr>
          <w:p w14:paraId="63DDEF52" w14:textId="77777777" w:rsidR="00AD1F54" w:rsidRPr="00264D5D" w:rsidRDefault="00941227">
            <w:pPr>
              <w:spacing w:before="60" w:after="60"/>
              <w:rPr>
                <w:sz w:val="22"/>
                <w:szCs w:val="22"/>
              </w:rPr>
            </w:pPr>
            <w:r w:rsidRPr="00264D5D">
              <w:rPr>
                <w:sz w:val="22"/>
                <w:szCs w:val="22"/>
              </w:rPr>
              <w:t xml:space="preserve">Сумма на июль. </w:t>
            </w:r>
          </w:p>
          <w:p w14:paraId="54330A7C" w14:textId="77777777" w:rsidR="00AD1F54" w:rsidRPr="00264D5D" w:rsidRDefault="00941227">
            <w:pPr>
              <w:spacing w:before="60" w:after="60"/>
              <w:rPr>
                <w:sz w:val="22"/>
                <w:szCs w:val="22"/>
              </w:rPr>
            </w:pPr>
            <w:r w:rsidRPr="00264D5D">
              <w:rPr>
                <w:sz w:val="22"/>
                <w:szCs w:val="22"/>
              </w:rPr>
              <w:t>При отсут</w:t>
            </w:r>
            <w:r w:rsidR="00CE031E" w:rsidRPr="00264D5D">
              <w:rPr>
                <w:sz w:val="22"/>
                <w:szCs w:val="22"/>
              </w:rPr>
              <w:t>ствии значения указывается 0.00</w:t>
            </w:r>
          </w:p>
        </w:tc>
      </w:tr>
      <w:tr w:rsidR="00AD1F54" w:rsidRPr="00264D5D" w14:paraId="19EE537A"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5FEFAB4F" w14:textId="77777777" w:rsidR="00AD1F54" w:rsidRPr="00264D5D" w:rsidRDefault="00941227">
            <w:pPr>
              <w:spacing w:before="60" w:after="60"/>
              <w:rPr>
                <w:sz w:val="22"/>
                <w:szCs w:val="22"/>
              </w:rPr>
            </w:pPr>
            <w:r w:rsidRPr="00264D5D">
              <w:rPr>
                <w:sz w:val="22"/>
                <w:szCs w:val="22"/>
              </w:rPr>
              <w:t>Сумма на август</w:t>
            </w:r>
          </w:p>
        </w:tc>
        <w:tc>
          <w:tcPr>
            <w:tcW w:w="882" w:type="pct"/>
          </w:tcPr>
          <w:p w14:paraId="088BDA7B" w14:textId="77777777" w:rsidR="00AD1F54" w:rsidRPr="00264D5D" w:rsidRDefault="00941227">
            <w:pPr>
              <w:tabs>
                <w:tab w:val="left" w:pos="1122"/>
              </w:tabs>
              <w:spacing w:before="60" w:after="60"/>
              <w:rPr>
                <w:sz w:val="22"/>
                <w:szCs w:val="22"/>
              </w:rPr>
            </w:pPr>
            <w:r w:rsidRPr="00264D5D">
              <w:rPr>
                <w:sz w:val="22"/>
                <w:szCs w:val="22"/>
              </w:rPr>
              <w:t>SmAgst</w:t>
            </w:r>
          </w:p>
        </w:tc>
        <w:tc>
          <w:tcPr>
            <w:tcW w:w="293" w:type="pct"/>
          </w:tcPr>
          <w:p w14:paraId="78495FEC" w14:textId="77777777" w:rsidR="00AD1F54" w:rsidRPr="00264D5D" w:rsidRDefault="00941227">
            <w:pPr>
              <w:tabs>
                <w:tab w:val="left" w:pos="1122"/>
              </w:tabs>
              <w:spacing w:before="60" w:after="60"/>
              <w:jc w:val="center"/>
              <w:rPr>
                <w:sz w:val="22"/>
                <w:szCs w:val="22"/>
              </w:rPr>
            </w:pPr>
            <w:r w:rsidRPr="00264D5D">
              <w:rPr>
                <w:sz w:val="22"/>
                <w:szCs w:val="22"/>
              </w:rPr>
              <w:t>П</w:t>
            </w:r>
          </w:p>
        </w:tc>
        <w:tc>
          <w:tcPr>
            <w:tcW w:w="588" w:type="pct"/>
          </w:tcPr>
          <w:p w14:paraId="31F1C643" w14:textId="77777777" w:rsidR="00AD1F54" w:rsidRPr="00264D5D" w:rsidRDefault="00941227">
            <w:pPr>
              <w:tabs>
                <w:tab w:val="left" w:pos="1122"/>
              </w:tabs>
              <w:spacing w:before="60" w:after="60"/>
              <w:rPr>
                <w:sz w:val="22"/>
                <w:szCs w:val="22"/>
              </w:rPr>
            </w:pPr>
            <w:r w:rsidRPr="00264D5D">
              <w:rPr>
                <w:sz w:val="22"/>
                <w:szCs w:val="22"/>
              </w:rPr>
              <w:t>N(20.2)</w:t>
            </w:r>
          </w:p>
        </w:tc>
        <w:tc>
          <w:tcPr>
            <w:tcW w:w="294" w:type="pct"/>
          </w:tcPr>
          <w:p w14:paraId="234FD6FA" w14:textId="77777777" w:rsidR="00AD1F54" w:rsidRPr="00264D5D" w:rsidRDefault="00941227">
            <w:pPr>
              <w:tabs>
                <w:tab w:val="left" w:pos="1122"/>
              </w:tabs>
              <w:spacing w:before="60" w:after="60"/>
              <w:jc w:val="center"/>
              <w:rPr>
                <w:sz w:val="22"/>
                <w:szCs w:val="22"/>
              </w:rPr>
            </w:pPr>
            <w:r w:rsidRPr="00264D5D">
              <w:rPr>
                <w:sz w:val="22"/>
                <w:szCs w:val="22"/>
              </w:rPr>
              <w:t>О</w:t>
            </w:r>
          </w:p>
        </w:tc>
        <w:tc>
          <w:tcPr>
            <w:tcW w:w="2058" w:type="pct"/>
          </w:tcPr>
          <w:p w14:paraId="48F6F81B" w14:textId="77777777" w:rsidR="00AD1F54" w:rsidRPr="00264D5D" w:rsidRDefault="00941227">
            <w:pPr>
              <w:spacing w:before="60" w:after="60"/>
              <w:rPr>
                <w:sz w:val="22"/>
                <w:szCs w:val="22"/>
              </w:rPr>
            </w:pPr>
            <w:r w:rsidRPr="00264D5D">
              <w:rPr>
                <w:sz w:val="22"/>
                <w:szCs w:val="22"/>
              </w:rPr>
              <w:t>Сумма на август.</w:t>
            </w:r>
          </w:p>
          <w:p w14:paraId="459901FE" w14:textId="77777777" w:rsidR="00AD1F54" w:rsidRPr="00264D5D" w:rsidRDefault="00941227">
            <w:pPr>
              <w:spacing w:before="60" w:after="60"/>
              <w:rPr>
                <w:sz w:val="22"/>
                <w:szCs w:val="22"/>
              </w:rPr>
            </w:pPr>
            <w:r w:rsidRPr="00264D5D">
              <w:rPr>
                <w:sz w:val="22"/>
                <w:szCs w:val="22"/>
              </w:rPr>
              <w:t>При отсутствии значения ук</w:t>
            </w:r>
            <w:r w:rsidR="00CE031E" w:rsidRPr="00264D5D">
              <w:rPr>
                <w:sz w:val="22"/>
                <w:szCs w:val="22"/>
              </w:rPr>
              <w:t>азывается 0.00</w:t>
            </w:r>
          </w:p>
        </w:tc>
      </w:tr>
      <w:tr w:rsidR="00AD1F54" w:rsidRPr="00264D5D" w14:paraId="38DB124E"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67053FDE" w14:textId="77777777" w:rsidR="00AD1F54" w:rsidRPr="00264D5D" w:rsidRDefault="00941227">
            <w:pPr>
              <w:spacing w:before="60" w:after="60"/>
              <w:rPr>
                <w:sz w:val="22"/>
                <w:szCs w:val="22"/>
              </w:rPr>
            </w:pPr>
            <w:r w:rsidRPr="00264D5D">
              <w:rPr>
                <w:sz w:val="22"/>
                <w:szCs w:val="22"/>
              </w:rPr>
              <w:t>Сумма на сентябрь</w:t>
            </w:r>
          </w:p>
        </w:tc>
        <w:tc>
          <w:tcPr>
            <w:tcW w:w="882" w:type="pct"/>
          </w:tcPr>
          <w:p w14:paraId="4F700B9A" w14:textId="77777777" w:rsidR="00AD1F54" w:rsidRPr="00264D5D" w:rsidRDefault="00941227">
            <w:pPr>
              <w:tabs>
                <w:tab w:val="left" w:pos="1122"/>
              </w:tabs>
              <w:spacing w:before="60" w:after="60"/>
              <w:rPr>
                <w:sz w:val="22"/>
                <w:szCs w:val="22"/>
              </w:rPr>
            </w:pPr>
            <w:r w:rsidRPr="00264D5D">
              <w:rPr>
                <w:sz w:val="22"/>
                <w:szCs w:val="22"/>
              </w:rPr>
              <w:t>SmSptmbr</w:t>
            </w:r>
          </w:p>
        </w:tc>
        <w:tc>
          <w:tcPr>
            <w:tcW w:w="293" w:type="pct"/>
          </w:tcPr>
          <w:p w14:paraId="1879F8A0" w14:textId="77777777" w:rsidR="00AD1F54" w:rsidRPr="00264D5D" w:rsidRDefault="00941227">
            <w:pPr>
              <w:tabs>
                <w:tab w:val="left" w:pos="1122"/>
              </w:tabs>
              <w:spacing w:before="60" w:after="60"/>
              <w:jc w:val="center"/>
              <w:rPr>
                <w:sz w:val="22"/>
                <w:szCs w:val="22"/>
              </w:rPr>
            </w:pPr>
            <w:r w:rsidRPr="00264D5D">
              <w:rPr>
                <w:sz w:val="22"/>
                <w:szCs w:val="22"/>
              </w:rPr>
              <w:t>П</w:t>
            </w:r>
          </w:p>
        </w:tc>
        <w:tc>
          <w:tcPr>
            <w:tcW w:w="588" w:type="pct"/>
          </w:tcPr>
          <w:p w14:paraId="1A43D843" w14:textId="77777777" w:rsidR="00AD1F54" w:rsidRPr="00264D5D" w:rsidRDefault="00941227">
            <w:pPr>
              <w:tabs>
                <w:tab w:val="left" w:pos="1122"/>
              </w:tabs>
              <w:spacing w:before="60" w:after="60"/>
              <w:rPr>
                <w:sz w:val="22"/>
                <w:szCs w:val="22"/>
              </w:rPr>
            </w:pPr>
            <w:r w:rsidRPr="00264D5D">
              <w:rPr>
                <w:sz w:val="22"/>
                <w:szCs w:val="22"/>
              </w:rPr>
              <w:t>N(20.2)</w:t>
            </w:r>
          </w:p>
        </w:tc>
        <w:tc>
          <w:tcPr>
            <w:tcW w:w="294" w:type="pct"/>
          </w:tcPr>
          <w:p w14:paraId="37CC366A" w14:textId="77777777" w:rsidR="00AD1F54" w:rsidRPr="00264D5D" w:rsidRDefault="00941227">
            <w:pPr>
              <w:tabs>
                <w:tab w:val="left" w:pos="1122"/>
              </w:tabs>
              <w:spacing w:before="60" w:after="60"/>
              <w:jc w:val="center"/>
              <w:rPr>
                <w:sz w:val="22"/>
                <w:szCs w:val="22"/>
              </w:rPr>
            </w:pPr>
            <w:r w:rsidRPr="00264D5D">
              <w:rPr>
                <w:sz w:val="22"/>
                <w:szCs w:val="22"/>
              </w:rPr>
              <w:t>О</w:t>
            </w:r>
          </w:p>
        </w:tc>
        <w:tc>
          <w:tcPr>
            <w:tcW w:w="2058" w:type="pct"/>
          </w:tcPr>
          <w:p w14:paraId="30506390" w14:textId="77777777" w:rsidR="00AD1F54" w:rsidRPr="00264D5D" w:rsidRDefault="00941227">
            <w:pPr>
              <w:spacing w:before="60" w:after="60"/>
              <w:rPr>
                <w:sz w:val="22"/>
                <w:szCs w:val="22"/>
              </w:rPr>
            </w:pPr>
            <w:r w:rsidRPr="00264D5D">
              <w:rPr>
                <w:sz w:val="22"/>
                <w:szCs w:val="22"/>
              </w:rPr>
              <w:t>Сумма на сентябрь.</w:t>
            </w:r>
          </w:p>
          <w:p w14:paraId="17086A1A" w14:textId="77777777" w:rsidR="00AD1F54" w:rsidRPr="00264D5D" w:rsidRDefault="00941227">
            <w:pPr>
              <w:spacing w:before="60" w:after="60"/>
              <w:rPr>
                <w:sz w:val="22"/>
                <w:szCs w:val="22"/>
              </w:rPr>
            </w:pPr>
            <w:r w:rsidRPr="00264D5D">
              <w:rPr>
                <w:sz w:val="22"/>
                <w:szCs w:val="22"/>
              </w:rPr>
              <w:t>При отсутс</w:t>
            </w:r>
            <w:r w:rsidR="00CE031E" w:rsidRPr="00264D5D">
              <w:rPr>
                <w:sz w:val="22"/>
                <w:szCs w:val="22"/>
              </w:rPr>
              <w:t>твии значения указывается 0.00</w:t>
            </w:r>
          </w:p>
        </w:tc>
      </w:tr>
      <w:tr w:rsidR="00AD1F54" w:rsidRPr="00264D5D" w14:paraId="0CDE981A"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475A1047" w14:textId="77777777" w:rsidR="00AD1F54" w:rsidRPr="00264D5D" w:rsidRDefault="00941227">
            <w:pPr>
              <w:spacing w:before="60" w:after="60"/>
              <w:rPr>
                <w:sz w:val="22"/>
                <w:szCs w:val="22"/>
              </w:rPr>
            </w:pPr>
            <w:r w:rsidRPr="00264D5D">
              <w:rPr>
                <w:sz w:val="22"/>
                <w:szCs w:val="22"/>
              </w:rPr>
              <w:t xml:space="preserve">Сумма на </w:t>
            </w:r>
            <w:r w:rsidRPr="00264D5D">
              <w:rPr>
                <w:sz w:val="22"/>
                <w:szCs w:val="22"/>
              </w:rPr>
              <w:lastRenderedPageBreak/>
              <w:t>октябрь</w:t>
            </w:r>
          </w:p>
        </w:tc>
        <w:tc>
          <w:tcPr>
            <w:tcW w:w="882" w:type="pct"/>
          </w:tcPr>
          <w:p w14:paraId="652F5ABE" w14:textId="77777777" w:rsidR="00AD1F54" w:rsidRPr="00264D5D" w:rsidRDefault="00941227">
            <w:pPr>
              <w:tabs>
                <w:tab w:val="left" w:pos="1122"/>
              </w:tabs>
              <w:spacing w:before="60" w:after="60"/>
              <w:rPr>
                <w:sz w:val="22"/>
                <w:szCs w:val="22"/>
              </w:rPr>
            </w:pPr>
            <w:r w:rsidRPr="00264D5D">
              <w:rPr>
                <w:sz w:val="22"/>
                <w:szCs w:val="22"/>
              </w:rPr>
              <w:lastRenderedPageBreak/>
              <w:t>SmOctbr</w:t>
            </w:r>
          </w:p>
        </w:tc>
        <w:tc>
          <w:tcPr>
            <w:tcW w:w="293" w:type="pct"/>
          </w:tcPr>
          <w:p w14:paraId="64B91AE4" w14:textId="77777777" w:rsidR="00AD1F54" w:rsidRPr="00264D5D" w:rsidRDefault="00941227">
            <w:pPr>
              <w:tabs>
                <w:tab w:val="left" w:pos="1122"/>
              </w:tabs>
              <w:spacing w:before="60" w:after="60"/>
              <w:jc w:val="center"/>
              <w:rPr>
                <w:sz w:val="22"/>
                <w:szCs w:val="22"/>
              </w:rPr>
            </w:pPr>
            <w:r w:rsidRPr="00264D5D">
              <w:rPr>
                <w:sz w:val="22"/>
                <w:szCs w:val="22"/>
              </w:rPr>
              <w:t>П</w:t>
            </w:r>
          </w:p>
        </w:tc>
        <w:tc>
          <w:tcPr>
            <w:tcW w:w="588" w:type="pct"/>
          </w:tcPr>
          <w:p w14:paraId="2C497DF0" w14:textId="77777777" w:rsidR="00AD1F54" w:rsidRPr="00264D5D" w:rsidRDefault="00941227">
            <w:pPr>
              <w:tabs>
                <w:tab w:val="left" w:pos="1122"/>
              </w:tabs>
              <w:spacing w:before="60" w:after="60"/>
              <w:rPr>
                <w:sz w:val="22"/>
                <w:szCs w:val="22"/>
              </w:rPr>
            </w:pPr>
            <w:r w:rsidRPr="00264D5D">
              <w:rPr>
                <w:sz w:val="22"/>
                <w:szCs w:val="22"/>
              </w:rPr>
              <w:t>N(20.2)</w:t>
            </w:r>
          </w:p>
        </w:tc>
        <w:tc>
          <w:tcPr>
            <w:tcW w:w="294" w:type="pct"/>
          </w:tcPr>
          <w:p w14:paraId="1A712340" w14:textId="77777777" w:rsidR="00AD1F54" w:rsidRPr="00264D5D" w:rsidRDefault="00941227">
            <w:pPr>
              <w:tabs>
                <w:tab w:val="left" w:pos="1122"/>
              </w:tabs>
              <w:spacing w:before="60" w:after="60"/>
              <w:jc w:val="center"/>
              <w:rPr>
                <w:sz w:val="22"/>
                <w:szCs w:val="22"/>
              </w:rPr>
            </w:pPr>
            <w:r w:rsidRPr="00264D5D">
              <w:rPr>
                <w:sz w:val="22"/>
                <w:szCs w:val="22"/>
              </w:rPr>
              <w:t>О</w:t>
            </w:r>
          </w:p>
        </w:tc>
        <w:tc>
          <w:tcPr>
            <w:tcW w:w="2058" w:type="pct"/>
          </w:tcPr>
          <w:p w14:paraId="01621789" w14:textId="77777777" w:rsidR="00AD1F54" w:rsidRPr="00264D5D" w:rsidRDefault="00941227">
            <w:pPr>
              <w:spacing w:before="60" w:after="60"/>
              <w:rPr>
                <w:sz w:val="22"/>
                <w:szCs w:val="22"/>
              </w:rPr>
            </w:pPr>
            <w:r w:rsidRPr="00264D5D">
              <w:rPr>
                <w:sz w:val="22"/>
                <w:szCs w:val="22"/>
              </w:rPr>
              <w:t>Сумма на октябрь.</w:t>
            </w:r>
          </w:p>
          <w:p w14:paraId="2B2D889C" w14:textId="77777777" w:rsidR="00AD1F54" w:rsidRPr="00264D5D" w:rsidRDefault="00941227">
            <w:pPr>
              <w:spacing w:before="60" w:after="60"/>
              <w:rPr>
                <w:sz w:val="22"/>
                <w:szCs w:val="22"/>
              </w:rPr>
            </w:pPr>
            <w:r w:rsidRPr="00264D5D">
              <w:rPr>
                <w:sz w:val="22"/>
                <w:szCs w:val="22"/>
              </w:rPr>
              <w:lastRenderedPageBreak/>
              <w:t>При отсутс</w:t>
            </w:r>
            <w:r w:rsidR="00CE031E" w:rsidRPr="00264D5D">
              <w:rPr>
                <w:sz w:val="22"/>
                <w:szCs w:val="22"/>
              </w:rPr>
              <w:t>твии значения указывается 0.00</w:t>
            </w:r>
          </w:p>
        </w:tc>
      </w:tr>
      <w:tr w:rsidR="00AD1F54" w:rsidRPr="00264D5D" w14:paraId="22471970"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527DCABD" w14:textId="77777777" w:rsidR="00AD1F54" w:rsidRPr="00264D5D" w:rsidRDefault="00941227">
            <w:pPr>
              <w:spacing w:before="60" w:after="60"/>
              <w:rPr>
                <w:sz w:val="22"/>
                <w:szCs w:val="22"/>
              </w:rPr>
            </w:pPr>
            <w:r w:rsidRPr="00264D5D">
              <w:rPr>
                <w:sz w:val="22"/>
                <w:szCs w:val="22"/>
              </w:rPr>
              <w:lastRenderedPageBreak/>
              <w:t>Сумма на ноябрь</w:t>
            </w:r>
          </w:p>
        </w:tc>
        <w:tc>
          <w:tcPr>
            <w:tcW w:w="882" w:type="pct"/>
          </w:tcPr>
          <w:p w14:paraId="3ED79A13" w14:textId="77777777" w:rsidR="00AD1F54" w:rsidRPr="00264D5D" w:rsidRDefault="00941227">
            <w:pPr>
              <w:tabs>
                <w:tab w:val="left" w:pos="1122"/>
              </w:tabs>
              <w:spacing w:before="60" w:after="60"/>
              <w:rPr>
                <w:sz w:val="22"/>
                <w:szCs w:val="22"/>
              </w:rPr>
            </w:pPr>
            <w:r w:rsidRPr="00264D5D">
              <w:rPr>
                <w:sz w:val="22"/>
                <w:szCs w:val="22"/>
              </w:rPr>
              <w:t>SmNvmbr</w:t>
            </w:r>
          </w:p>
        </w:tc>
        <w:tc>
          <w:tcPr>
            <w:tcW w:w="293" w:type="pct"/>
          </w:tcPr>
          <w:p w14:paraId="703EB227" w14:textId="77777777" w:rsidR="00AD1F54" w:rsidRPr="00264D5D" w:rsidRDefault="00941227">
            <w:pPr>
              <w:tabs>
                <w:tab w:val="left" w:pos="1122"/>
              </w:tabs>
              <w:spacing w:before="60" w:after="60"/>
              <w:jc w:val="center"/>
              <w:rPr>
                <w:sz w:val="22"/>
                <w:szCs w:val="22"/>
              </w:rPr>
            </w:pPr>
            <w:r w:rsidRPr="00264D5D">
              <w:rPr>
                <w:sz w:val="22"/>
                <w:szCs w:val="22"/>
              </w:rPr>
              <w:t>П</w:t>
            </w:r>
          </w:p>
        </w:tc>
        <w:tc>
          <w:tcPr>
            <w:tcW w:w="588" w:type="pct"/>
          </w:tcPr>
          <w:p w14:paraId="3045678C" w14:textId="77777777" w:rsidR="00AD1F54" w:rsidRPr="00264D5D" w:rsidRDefault="00941227">
            <w:pPr>
              <w:tabs>
                <w:tab w:val="left" w:pos="1122"/>
              </w:tabs>
              <w:spacing w:before="60" w:after="60"/>
              <w:rPr>
                <w:sz w:val="22"/>
                <w:szCs w:val="22"/>
              </w:rPr>
            </w:pPr>
            <w:r w:rsidRPr="00264D5D">
              <w:rPr>
                <w:sz w:val="22"/>
                <w:szCs w:val="22"/>
              </w:rPr>
              <w:t>N(20.2)</w:t>
            </w:r>
          </w:p>
        </w:tc>
        <w:tc>
          <w:tcPr>
            <w:tcW w:w="294" w:type="pct"/>
          </w:tcPr>
          <w:p w14:paraId="71A2368E" w14:textId="77777777" w:rsidR="00AD1F54" w:rsidRPr="00264D5D" w:rsidRDefault="00941227">
            <w:pPr>
              <w:tabs>
                <w:tab w:val="left" w:pos="1122"/>
              </w:tabs>
              <w:spacing w:before="60" w:after="60"/>
              <w:jc w:val="center"/>
              <w:rPr>
                <w:sz w:val="22"/>
                <w:szCs w:val="22"/>
              </w:rPr>
            </w:pPr>
            <w:r w:rsidRPr="00264D5D">
              <w:rPr>
                <w:sz w:val="22"/>
                <w:szCs w:val="22"/>
              </w:rPr>
              <w:t>О</w:t>
            </w:r>
          </w:p>
        </w:tc>
        <w:tc>
          <w:tcPr>
            <w:tcW w:w="2058" w:type="pct"/>
          </w:tcPr>
          <w:p w14:paraId="7713D779" w14:textId="77777777" w:rsidR="00AD1F54" w:rsidRPr="00264D5D" w:rsidRDefault="00941227">
            <w:pPr>
              <w:spacing w:before="60" w:after="60"/>
              <w:rPr>
                <w:sz w:val="22"/>
                <w:szCs w:val="22"/>
              </w:rPr>
            </w:pPr>
            <w:r w:rsidRPr="00264D5D">
              <w:rPr>
                <w:sz w:val="22"/>
                <w:szCs w:val="22"/>
              </w:rPr>
              <w:t>Сумма на ноябрь.</w:t>
            </w:r>
          </w:p>
          <w:p w14:paraId="4F3E40C1" w14:textId="77777777" w:rsidR="00AD1F54" w:rsidRPr="00264D5D" w:rsidRDefault="00941227">
            <w:pPr>
              <w:spacing w:before="60" w:after="60"/>
              <w:rPr>
                <w:sz w:val="22"/>
                <w:szCs w:val="22"/>
              </w:rPr>
            </w:pPr>
            <w:r w:rsidRPr="00264D5D">
              <w:rPr>
                <w:sz w:val="22"/>
                <w:szCs w:val="22"/>
              </w:rPr>
              <w:t>При отсутс</w:t>
            </w:r>
            <w:r w:rsidR="00CE031E" w:rsidRPr="00264D5D">
              <w:rPr>
                <w:sz w:val="22"/>
                <w:szCs w:val="22"/>
              </w:rPr>
              <w:t>твии значения указывается 0.00</w:t>
            </w:r>
          </w:p>
        </w:tc>
      </w:tr>
      <w:tr w:rsidR="00AD1F54" w:rsidRPr="00264D5D" w14:paraId="45E8C650"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1CA791B1" w14:textId="77777777" w:rsidR="00AD1F54" w:rsidRPr="00264D5D" w:rsidRDefault="00941227">
            <w:pPr>
              <w:spacing w:before="60" w:after="60"/>
              <w:rPr>
                <w:sz w:val="22"/>
                <w:szCs w:val="22"/>
              </w:rPr>
            </w:pPr>
            <w:r w:rsidRPr="00264D5D">
              <w:rPr>
                <w:sz w:val="22"/>
                <w:szCs w:val="22"/>
              </w:rPr>
              <w:t>Сумма на декабрь</w:t>
            </w:r>
          </w:p>
        </w:tc>
        <w:tc>
          <w:tcPr>
            <w:tcW w:w="882" w:type="pct"/>
          </w:tcPr>
          <w:p w14:paraId="638CE906" w14:textId="77777777" w:rsidR="00AD1F54" w:rsidRPr="00264D5D" w:rsidRDefault="00941227">
            <w:pPr>
              <w:tabs>
                <w:tab w:val="left" w:pos="1122"/>
              </w:tabs>
              <w:spacing w:before="60" w:after="60"/>
              <w:rPr>
                <w:sz w:val="22"/>
                <w:szCs w:val="22"/>
              </w:rPr>
            </w:pPr>
            <w:r w:rsidRPr="00264D5D">
              <w:rPr>
                <w:sz w:val="22"/>
                <w:szCs w:val="22"/>
              </w:rPr>
              <w:t>SmDcmbr</w:t>
            </w:r>
          </w:p>
        </w:tc>
        <w:tc>
          <w:tcPr>
            <w:tcW w:w="293" w:type="pct"/>
          </w:tcPr>
          <w:p w14:paraId="2FD46E16" w14:textId="77777777" w:rsidR="00AD1F54" w:rsidRPr="00264D5D" w:rsidRDefault="00941227">
            <w:pPr>
              <w:tabs>
                <w:tab w:val="left" w:pos="1122"/>
              </w:tabs>
              <w:spacing w:before="60" w:after="60"/>
              <w:jc w:val="center"/>
              <w:rPr>
                <w:sz w:val="22"/>
                <w:szCs w:val="22"/>
              </w:rPr>
            </w:pPr>
            <w:r w:rsidRPr="00264D5D">
              <w:rPr>
                <w:sz w:val="22"/>
                <w:szCs w:val="22"/>
              </w:rPr>
              <w:t>П</w:t>
            </w:r>
          </w:p>
        </w:tc>
        <w:tc>
          <w:tcPr>
            <w:tcW w:w="588" w:type="pct"/>
          </w:tcPr>
          <w:p w14:paraId="039012D8" w14:textId="77777777" w:rsidR="00AD1F54" w:rsidRPr="00264D5D" w:rsidRDefault="00941227">
            <w:pPr>
              <w:tabs>
                <w:tab w:val="left" w:pos="1122"/>
              </w:tabs>
              <w:spacing w:before="60" w:after="60"/>
              <w:rPr>
                <w:sz w:val="22"/>
                <w:szCs w:val="22"/>
              </w:rPr>
            </w:pPr>
            <w:r w:rsidRPr="00264D5D">
              <w:rPr>
                <w:sz w:val="22"/>
                <w:szCs w:val="22"/>
              </w:rPr>
              <w:t>N(20.2)</w:t>
            </w:r>
          </w:p>
        </w:tc>
        <w:tc>
          <w:tcPr>
            <w:tcW w:w="294" w:type="pct"/>
          </w:tcPr>
          <w:p w14:paraId="492F9B92" w14:textId="77777777" w:rsidR="00AD1F54" w:rsidRPr="00264D5D" w:rsidRDefault="00941227">
            <w:pPr>
              <w:tabs>
                <w:tab w:val="left" w:pos="1122"/>
              </w:tabs>
              <w:spacing w:before="60" w:after="60"/>
              <w:jc w:val="center"/>
              <w:rPr>
                <w:sz w:val="22"/>
                <w:szCs w:val="22"/>
              </w:rPr>
            </w:pPr>
            <w:r w:rsidRPr="00264D5D">
              <w:rPr>
                <w:sz w:val="22"/>
                <w:szCs w:val="22"/>
              </w:rPr>
              <w:t>О</w:t>
            </w:r>
          </w:p>
        </w:tc>
        <w:tc>
          <w:tcPr>
            <w:tcW w:w="2058" w:type="pct"/>
          </w:tcPr>
          <w:p w14:paraId="4270053C" w14:textId="77777777" w:rsidR="00AD1F54" w:rsidRPr="00264D5D" w:rsidRDefault="00941227">
            <w:pPr>
              <w:spacing w:before="60" w:after="60"/>
              <w:rPr>
                <w:sz w:val="22"/>
                <w:szCs w:val="22"/>
              </w:rPr>
            </w:pPr>
            <w:r w:rsidRPr="00264D5D">
              <w:rPr>
                <w:sz w:val="22"/>
                <w:szCs w:val="22"/>
              </w:rPr>
              <w:t>Сумма на декабрь.</w:t>
            </w:r>
          </w:p>
          <w:p w14:paraId="5E85966D" w14:textId="77777777" w:rsidR="00AD1F54" w:rsidRPr="00264D5D" w:rsidRDefault="00941227">
            <w:pPr>
              <w:spacing w:before="60" w:after="60"/>
              <w:rPr>
                <w:sz w:val="22"/>
                <w:szCs w:val="22"/>
              </w:rPr>
            </w:pPr>
            <w:r w:rsidRPr="00264D5D">
              <w:rPr>
                <w:sz w:val="22"/>
                <w:szCs w:val="22"/>
              </w:rPr>
              <w:t>При отсутс</w:t>
            </w:r>
            <w:r w:rsidR="00CE031E" w:rsidRPr="00264D5D">
              <w:rPr>
                <w:sz w:val="22"/>
                <w:szCs w:val="22"/>
              </w:rPr>
              <w:t>твии значения указывается 0.00</w:t>
            </w:r>
          </w:p>
        </w:tc>
      </w:tr>
      <w:tr w:rsidR="00AD1F54" w:rsidRPr="00264D5D" w14:paraId="0F316EB9"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0E0CC86D" w14:textId="77777777" w:rsidR="00AD1F54" w:rsidRPr="00264D5D" w:rsidRDefault="00941227">
            <w:pPr>
              <w:spacing w:before="60" w:after="60"/>
              <w:rPr>
                <w:sz w:val="22"/>
                <w:szCs w:val="22"/>
              </w:rPr>
            </w:pPr>
            <w:r w:rsidRPr="00264D5D">
              <w:rPr>
                <w:sz w:val="22"/>
                <w:szCs w:val="22"/>
              </w:rPr>
              <w:t>Сумма в валюте РФ на текущий финансовый год</w:t>
            </w:r>
          </w:p>
        </w:tc>
        <w:tc>
          <w:tcPr>
            <w:tcW w:w="882" w:type="pct"/>
          </w:tcPr>
          <w:p w14:paraId="1B71BD84" w14:textId="77777777" w:rsidR="00AD1F54" w:rsidRPr="00264D5D" w:rsidRDefault="00941227">
            <w:pPr>
              <w:tabs>
                <w:tab w:val="left" w:pos="1122"/>
              </w:tabs>
              <w:spacing w:before="60" w:after="60"/>
              <w:rPr>
                <w:sz w:val="22"/>
                <w:szCs w:val="22"/>
              </w:rPr>
            </w:pPr>
            <w:r w:rsidRPr="00264D5D">
              <w:rPr>
                <w:sz w:val="22"/>
                <w:szCs w:val="22"/>
              </w:rPr>
              <w:t>AmntYr</w:t>
            </w:r>
          </w:p>
        </w:tc>
        <w:tc>
          <w:tcPr>
            <w:tcW w:w="293" w:type="pct"/>
          </w:tcPr>
          <w:p w14:paraId="7580221A" w14:textId="77777777" w:rsidR="00AD1F54" w:rsidRPr="00264D5D" w:rsidRDefault="00941227">
            <w:pPr>
              <w:tabs>
                <w:tab w:val="left" w:pos="1122"/>
              </w:tabs>
              <w:spacing w:before="60" w:after="60"/>
              <w:jc w:val="center"/>
              <w:rPr>
                <w:sz w:val="22"/>
                <w:szCs w:val="22"/>
              </w:rPr>
            </w:pPr>
            <w:r w:rsidRPr="00264D5D">
              <w:rPr>
                <w:sz w:val="22"/>
                <w:szCs w:val="22"/>
              </w:rPr>
              <w:t>П</w:t>
            </w:r>
          </w:p>
        </w:tc>
        <w:tc>
          <w:tcPr>
            <w:tcW w:w="588" w:type="pct"/>
          </w:tcPr>
          <w:p w14:paraId="4FA945A4" w14:textId="77777777" w:rsidR="00AD1F54" w:rsidRPr="00264D5D" w:rsidRDefault="00941227">
            <w:pPr>
              <w:tabs>
                <w:tab w:val="left" w:pos="1122"/>
              </w:tabs>
              <w:spacing w:before="60" w:after="60"/>
              <w:rPr>
                <w:sz w:val="22"/>
                <w:szCs w:val="22"/>
              </w:rPr>
            </w:pPr>
            <w:r w:rsidRPr="00264D5D">
              <w:rPr>
                <w:sz w:val="22"/>
                <w:szCs w:val="22"/>
              </w:rPr>
              <w:t>N(20.2)</w:t>
            </w:r>
          </w:p>
        </w:tc>
        <w:tc>
          <w:tcPr>
            <w:tcW w:w="294" w:type="pct"/>
          </w:tcPr>
          <w:p w14:paraId="2BE18AB5" w14:textId="77777777" w:rsidR="00AD1F54" w:rsidRPr="00264D5D" w:rsidRDefault="00941227">
            <w:pPr>
              <w:tabs>
                <w:tab w:val="left" w:pos="1122"/>
              </w:tabs>
              <w:spacing w:before="60" w:after="60"/>
              <w:jc w:val="center"/>
              <w:rPr>
                <w:sz w:val="22"/>
                <w:szCs w:val="22"/>
              </w:rPr>
            </w:pPr>
            <w:r w:rsidRPr="00264D5D">
              <w:rPr>
                <w:sz w:val="22"/>
                <w:szCs w:val="22"/>
              </w:rPr>
              <w:t>О</w:t>
            </w:r>
          </w:p>
        </w:tc>
        <w:tc>
          <w:tcPr>
            <w:tcW w:w="2058" w:type="pct"/>
          </w:tcPr>
          <w:p w14:paraId="06930B56" w14:textId="77777777" w:rsidR="00AD1F54" w:rsidRPr="00264D5D" w:rsidRDefault="00941227">
            <w:pPr>
              <w:spacing w:before="60" w:after="60"/>
              <w:rPr>
                <w:sz w:val="22"/>
                <w:szCs w:val="22"/>
              </w:rPr>
            </w:pPr>
            <w:r w:rsidRPr="00264D5D">
              <w:rPr>
                <w:sz w:val="22"/>
                <w:szCs w:val="22"/>
              </w:rPr>
              <w:t>Сумма БО в валюте РФ на текущий финансовый год.</w:t>
            </w:r>
          </w:p>
          <w:p w14:paraId="5226A3F4" w14:textId="77777777" w:rsidR="00AD1F54" w:rsidRPr="00264D5D" w:rsidRDefault="00941227">
            <w:pPr>
              <w:spacing w:before="60" w:after="60"/>
              <w:rPr>
                <w:sz w:val="22"/>
                <w:szCs w:val="22"/>
              </w:rPr>
            </w:pPr>
            <w:r w:rsidRPr="00264D5D">
              <w:rPr>
                <w:sz w:val="22"/>
                <w:szCs w:val="22"/>
              </w:rPr>
              <w:t>Поле должно иметь отличное от нуля значение, если значение хотя бы одного из полей SmJnr – SmDcmbr не равно «0.00».</w:t>
            </w:r>
          </w:p>
          <w:p w14:paraId="2F6CACF2" w14:textId="77777777" w:rsidR="00AD1F54" w:rsidRPr="00264D5D" w:rsidRDefault="00941227">
            <w:pPr>
              <w:spacing w:before="60" w:after="60"/>
              <w:rPr>
                <w:sz w:val="22"/>
                <w:szCs w:val="22"/>
              </w:rPr>
            </w:pPr>
            <w:r w:rsidRPr="00264D5D">
              <w:rPr>
                <w:sz w:val="22"/>
                <w:szCs w:val="22"/>
              </w:rPr>
              <w:t>Для первичных сведений о бюджетном обязательстве поле должно иметь отличное от нуля значение, если значение каждого из полей AmntYr – SmThrdYr и SmNxtYr равно «0.00».</w:t>
            </w:r>
          </w:p>
          <w:p w14:paraId="77338991" w14:textId="77777777" w:rsidR="00AD1F54" w:rsidRPr="00264D5D" w:rsidRDefault="00941227">
            <w:pPr>
              <w:spacing w:before="60" w:after="60"/>
              <w:rPr>
                <w:sz w:val="22"/>
                <w:szCs w:val="22"/>
              </w:rPr>
            </w:pPr>
            <w:r w:rsidRPr="00264D5D">
              <w:rPr>
                <w:sz w:val="22"/>
                <w:szCs w:val="22"/>
              </w:rPr>
              <w:t>При отсутс</w:t>
            </w:r>
            <w:r w:rsidR="00CE031E" w:rsidRPr="00264D5D">
              <w:rPr>
                <w:sz w:val="22"/>
                <w:szCs w:val="22"/>
              </w:rPr>
              <w:t>твии значения указывается 0.00</w:t>
            </w:r>
          </w:p>
        </w:tc>
      </w:tr>
      <w:tr w:rsidR="00AD1F54" w:rsidRPr="00264D5D" w14:paraId="47946D5F"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76716A2C" w14:textId="77777777" w:rsidR="00AD1F54" w:rsidRPr="00264D5D" w:rsidRDefault="00941227">
            <w:pPr>
              <w:spacing w:before="60" w:after="60"/>
              <w:rPr>
                <w:sz w:val="22"/>
                <w:szCs w:val="22"/>
              </w:rPr>
            </w:pPr>
            <w:r w:rsidRPr="00264D5D">
              <w:rPr>
                <w:sz w:val="22"/>
                <w:szCs w:val="22"/>
              </w:rPr>
              <w:t>Сумма в валюте РФ на первый год планового периода</w:t>
            </w:r>
          </w:p>
        </w:tc>
        <w:tc>
          <w:tcPr>
            <w:tcW w:w="882" w:type="pct"/>
          </w:tcPr>
          <w:p w14:paraId="7803184F" w14:textId="77777777" w:rsidR="00AD1F54" w:rsidRPr="00264D5D" w:rsidRDefault="00941227">
            <w:pPr>
              <w:tabs>
                <w:tab w:val="left" w:pos="1122"/>
              </w:tabs>
              <w:spacing w:before="60" w:after="60"/>
              <w:rPr>
                <w:sz w:val="22"/>
                <w:szCs w:val="22"/>
              </w:rPr>
            </w:pPr>
            <w:r w:rsidRPr="00264D5D">
              <w:rPr>
                <w:sz w:val="22"/>
                <w:szCs w:val="22"/>
              </w:rPr>
              <w:t>SmFrstYr</w:t>
            </w:r>
          </w:p>
        </w:tc>
        <w:tc>
          <w:tcPr>
            <w:tcW w:w="293" w:type="pct"/>
          </w:tcPr>
          <w:p w14:paraId="29C8987E" w14:textId="77777777" w:rsidR="00AD1F54" w:rsidRPr="00264D5D" w:rsidRDefault="00941227">
            <w:pPr>
              <w:tabs>
                <w:tab w:val="left" w:pos="1122"/>
              </w:tabs>
              <w:spacing w:before="60" w:after="60"/>
              <w:jc w:val="center"/>
              <w:rPr>
                <w:sz w:val="22"/>
                <w:szCs w:val="22"/>
              </w:rPr>
            </w:pPr>
            <w:r w:rsidRPr="00264D5D">
              <w:rPr>
                <w:sz w:val="22"/>
                <w:szCs w:val="22"/>
              </w:rPr>
              <w:t>П</w:t>
            </w:r>
          </w:p>
        </w:tc>
        <w:tc>
          <w:tcPr>
            <w:tcW w:w="588" w:type="pct"/>
          </w:tcPr>
          <w:p w14:paraId="0F8EF51D" w14:textId="77777777" w:rsidR="00AD1F54" w:rsidRPr="00264D5D" w:rsidRDefault="00941227">
            <w:pPr>
              <w:tabs>
                <w:tab w:val="left" w:pos="1122"/>
              </w:tabs>
              <w:spacing w:before="60" w:after="60"/>
              <w:rPr>
                <w:sz w:val="22"/>
                <w:szCs w:val="22"/>
              </w:rPr>
            </w:pPr>
            <w:r w:rsidRPr="00264D5D">
              <w:rPr>
                <w:sz w:val="22"/>
                <w:szCs w:val="22"/>
              </w:rPr>
              <w:t>N(20.2)</w:t>
            </w:r>
          </w:p>
        </w:tc>
        <w:tc>
          <w:tcPr>
            <w:tcW w:w="294" w:type="pct"/>
          </w:tcPr>
          <w:p w14:paraId="7A5E1D1E" w14:textId="77777777" w:rsidR="00AD1F54" w:rsidRPr="00264D5D" w:rsidRDefault="00941227">
            <w:pPr>
              <w:tabs>
                <w:tab w:val="left" w:pos="1122"/>
              </w:tabs>
              <w:spacing w:before="60" w:after="60"/>
              <w:jc w:val="center"/>
              <w:rPr>
                <w:sz w:val="22"/>
                <w:szCs w:val="22"/>
              </w:rPr>
            </w:pPr>
            <w:r w:rsidRPr="00264D5D">
              <w:rPr>
                <w:sz w:val="22"/>
                <w:szCs w:val="22"/>
              </w:rPr>
              <w:t>О</w:t>
            </w:r>
          </w:p>
        </w:tc>
        <w:tc>
          <w:tcPr>
            <w:tcW w:w="2058" w:type="pct"/>
          </w:tcPr>
          <w:p w14:paraId="079001F6" w14:textId="77777777" w:rsidR="00AD1F54" w:rsidRPr="00264D5D" w:rsidRDefault="00941227">
            <w:pPr>
              <w:spacing w:before="60" w:after="60"/>
              <w:rPr>
                <w:sz w:val="22"/>
                <w:szCs w:val="22"/>
              </w:rPr>
            </w:pPr>
            <w:r w:rsidRPr="00264D5D">
              <w:rPr>
                <w:sz w:val="22"/>
                <w:szCs w:val="22"/>
              </w:rPr>
              <w:t>Сумма БО в валюте РФ на первый год планового периода</w:t>
            </w:r>
          </w:p>
          <w:p w14:paraId="3AA7E9CC" w14:textId="77777777" w:rsidR="00AD1F54" w:rsidRPr="00264D5D" w:rsidRDefault="00941227">
            <w:pPr>
              <w:spacing w:before="60" w:after="60"/>
              <w:rPr>
                <w:sz w:val="22"/>
                <w:szCs w:val="22"/>
              </w:rPr>
            </w:pPr>
            <w:r w:rsidRPr="00264D5D">
              <w:rPr>
                <w:sz w:val="22"/>
                <w:szCs w:val="22"/>
              </w:rPr>
              <w:t>Для первичных сведений о бюджетном обязательстве поле должно иметь отличное от нуля значение, если значение каждого из полей AmntYr, SmScndYr, SmThrdYr, SmNxtYr равно «0.00».</w:t>
            </w:r>
          </w:p>
          <w:p w14:paraId="56C11020" w14:textId="77777777" w:rsidR="00AD1F54" w:rsidRPr="00264D5D" w:rsidRDefault="00941227">
            <w:pPr>
              <w:spacing w:before="60" w:after="60"/>
              <w:rPr>
                <w:sz w:val="22"/>
                <w:szCs w:val="22"/>
              </w:rPr>
            </w:pPr>
            <w:r w:rsidRPr="00264D5D">
              <w:rPr>
                <w:sz w:val="22"/>
                <w:szCs w:val="22"/>
              </w:rPr>
              <w:t>При отсут</w:t>
            </w:r>
            <w:r w:rsidR="00CE031E" w:rsidRPr="00264D5D">
              <w:rPr>
                <w:sz w:val="22"/>
                <w:szCs w:val="22"/>
              </w:rPr>
              <w:t>ствии значения указывается 0.00</w:t>
            </w:r>
          </w:p>
        </w:tc>
      </w:tr>
      <w:tr w:rsidR="00AD1F54" w:rsidRPr="00264D5D" w14:paraId="4AFD1470"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2434B5DF" w14:textId="77777777" w:rsidR="00AD1F54" w:rsidRPr="00264D5D" w:rsidRDefault="00941227">
            <w:pPr>
              <w:spacing w:before="60" w:after="60"/>
              <w:rPr>
                <w:sz w:val="22"/>
                <w:szCs w:val="22"/>
              </w:rPr>
            </w:pPr>
            <w:r w:rsidRPr="00264D5D">
              <w:rPr>
                <w:sz w:val="22"/>
                <w:szCs w:val="22"/>
              </w:rPr>
              <w:t>Сумма в валюте РФ на второй год планового периода</w:t>
            </w:r>
          </w:p>
        </w:tc>
        <w:tc>
          <w:tcPr>
            <w:tcW w:w="882" w:type="pct"/>
          </w:tcPr>
          <w:p w14:paraId="1531F61E" w14:textId="77777777" w:rsidR="00AD1F54" w:rsidRPr="00264D5D" w:rsidRDefault="00941227">
            <w:pPr>
              <w:tabs>
                <w:tab w:val="left" w:pos="1122"/>
              </w:tabs>
              <w:spacing w:before="60" w:after="60"/>
              <w:rPr>
                <w:sz w:val="22"/>
                <w:szCs w:val="22"/>
              </w:rPr>
            </w:pPr>
            <w:r w:rsidRPr="00264D5D">
              <w:rPr>
                <w:sz w:val="22"/>
                <w:szCs w:val="22"/>
              </w:rPr>
              <w:t>SmScndYr</w:t>
            </w:r>
          </w:p>
        </w:tc>
        <w:tc>
          <w:tcPr>
            <w:tcW w:w="293" w:type="pct"/>
          </w:tcPr>
          <w:p w14:paraId="38BBA907" w14:textId="77777777" w:rsidR="00AD1F54" w:rsidRPr="00264D5D" w:rsidRDefault="00941227">
            <w:pPr>
              <w:tabs>
                <w:tab w:val="left" w:pos="1122"/>
              </w:tabs>
              <w:spacing w:before="60" w:after="60"/>
              <w:jc w:val="center"/>
              <w:rPr>
                <w:sz w:val="22"/>
                <w:szCs w:val="22"/>
              </w:rPr>
            </w:pPr>
            <w:r w:rsidRPr="00264D5D">
              <w:rPr>
                <w:sz w:val="22"/>
                <w:szCs w:val="22"/>
              </w:rPr>
              <w:t>П</w:t>
            </w:r>
          </w:p>
        </w:tc>
        <w:tc>
          <w:tcPr>
            <w:tcW w:w="588" w:type="pct"/>
          </w:tcPr>
          <w:p w14:paraId="12503A00" w14:textId="77777777" w:rsidR="00AD1F54" w:rsidRPr="00264D5D" w:rsidRDefault="00941227">
            <w:pPr>
              <w:tabs>
                <w:tab w:val="left" w:pos="1122"/>
              </w:tabs>
              <w:spacing w:before="60" w:after="60"/>
              <w:rPr>
                <w:sz w:val="22"/>
                <w:szCs w:val="22"/>
              </w:rPr>
            </w:pPr>
            <w:r w:rsidRPr="00264D5D">
              <w:rPr>
                <w:sz w:val="22"/>
                <w:szCs w:val="22"/>
              </w:rPr>
              <w:t>N(20.2)</w:t>
            </w:r>
          </w:p>
        </w:tc>
        <w:tc>
          <w:tcPr>
            <w:tcW w:w="294" w:type="pct"/>
          </w:tcPr>
          <w:p w14:paraId="2ACDDE47" w14:textId="77777777" w:rsidR="00AD1F54" w:rsidRPr="00264D5D" w:rsidRDefault="00941227">
            <w:pPr>
              <w:tabs>
                <w:tab w:val="left" w:pos="1122"/>
              </w:tabs>
              <w:spacing w:before="60" w:after="60"/>
              <w:jc w:val="center"/>
              <w:rPr>
                <w:sz w:val="22"/>
                <w:szCs w:val="22"/>
              </w:rPr>
            </w:pPr>
            <w:r w:rsidRPr="00264D5D">
              <w:rPr>
                <w:sz w:val="22"/>
                <w:szCs w:val="22"/>
              </w:rPr>
              <w:t>О</w:t>
            </w:r>
          </w:p>
        </w:tc>
        <w:tc>
          <w:tcPr>
            <w:tcW w:w="2058" w:type="pct"/>
          </w:tcPr>
          <w:p w14:paraId="36D52030" w14:textId="77777777" w:rsidR="00AD1F54" w:rsidRPr="00264D5D" w:rsidRDefault="00941227">
            <w:pPr>
              <w:spacing w:before="60" w:after="60"/>
              <w:rPr>
                <w:sz w:val="22"/>
                <w:szCs w:val="22"/>
              </w:rPr>
            </w:pPr>
            <w:r w:rsidRPr="00264D5D">
              <w:rPr>
                <w:sz w:val="22"/>
                <w:szCs w:val="22"/>
              </w:rPr>
              <w:t xml:space="preserve">Сумма БО в валюте РФ на второй год планового периода. </w:t>
            </w:r>
          </w:p>
          <w:p w14:paraId="29409579" w14:textId="77777777" w:rsidR="00AD1F54" w:rsidRPr="00264D5D" w:rsidRDefault="00941227">
            <w:pPr>
              <w:spacing w:before="60" w:after="60"/>
              <w:rPr>
                <w:sz w:val="22"/>
                <w:szCs w:val="22"/>
              </w:rPr>
            </w:pPr>
            <w:r w:rsidRPr="00264D5D">
              <w:rPr>
                <w:sz w:val="22"/>
                <w:szCs w:val="22"/>
              </w:rPr>
              <w:t>Для первичных сведений о бюджетном обязательстве поле должно иметь отличное от нуля значение, если значение каждого из полей AmntYr, SmFrstYr, SmThrdYr, SmNxtYr равно «0.00».</w:t>
            </w:r>
          </w:p>
          <w:p w14:paraId="2DB31A1A" w14:textId="77777777" w:rsidR="00AD1F54" w:rsidRPr="00264D5D" w:rsidRDefault="00941227">
            <w:pPr>
              <w:spacing w:before="60" w:after="60"/>
              <w:rPr>
                <w:sz w:val="22"/>
                <w:szCs w:val="22"/>
              </w:rPr>
            </w:pPr>
            <w:r w:rsidRPr="00264D5D">
              <w:rPr>
                <w:sz w:val="22"/>
                <w:szCs w:val="22"/>
              </w:rPr>
              <w:t>При отсут</w:t>
            </w:r>
            <w:r w:rsidR="00CE031E" w:rsidRPr="00264D5D">
              <w:rPr>
                <w:sz w:val="22"/>
                <w:szCs w:val="22"/>
              </w:rPr>
              <w:t>ствии значения указывается 0.00</w:t>
            </w:r>
          </w:p>
        </w:tc>
      </w:tr>
      <w:tr w:rsidR="00AD1F54" w:rsidRPr="00264D5D" w14:paraId="51BD7D31"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6A05E0FB" w14:textId="77777777" w:rsidR="00AD1F54" w:rsidRPr="00264D5D" w:rsidRDefault="00941227">
            <w:pPr>
              <w:spacing w:before="60" w:after="60"/>
              <w:rPr>
                <w:sz w:val="22"/>
                <w:szCs w:val="22"/>
              </w:rPr>
            </w:pPr>
            <w:r w:rsidRPr="00264D5D">
              <w:rPr>
                <w:sz w:val="22"/>
                <w:szCs w:val="22"/>
              </w:rPr>
              <w:lastRenderedPageBreak/>
              <w:t>Сумма в валюте РФ на третий год планового периода</w:t>
            </w:r>
          </w:p>
        </w:tc>
        <w:tc>
          <w:tcPr>
            <w:tcW w:w="882" w:type="pct"/>
          </w:tcPr>
          <w:p w14:paraId="7E94E448" w14:textId="77777777" w:rsidR="00AD1F54" w:rsidRPr="00264D5D" w:rsidRDefault="00941227">
            <w:pPr>
              <w:tabs>
                <w:tab w:val="left" w:pos="1122"/>
              </w:tabs>
              <w:spacing w:before="60" w:after="60"/>
              <w:rPr>
                <w:sz w:val="22"/>
                <w:szCs w:val="22"/>
              </w:rPr>
            </w:pPr>
            <w:r w:rsidRPr="00264D5D">
              <w:rPr>
                <w:sz w:val="22"/>
                <w:szCs w:val="22"/>
              </w:rPr>
              <w:t>SmThrdYr</w:t>
            </w:r>
          </w:p>
        </w:tc>
        <w:tc>
          <w:tcPr>
            <w:tcW w:w="293" w:type="pct"/>
          </w:tcPr>
          <w:p w14:paraId="31069BF6" w14:textId="77777777" w:rsidR="00AD1F54" w:rsidRPr="00264D5D" w:rsidRDefault="00941227">
            <w:pPr>
              <w:tabs>
                <w:tab w:val="left" w:pos="1122"/>
              </w:tabs>
              <w:spacing w:before="60" w:after="60"/>
              <w:jc w:val="center"/>
              <w:rPr>
                <w:sz w:val="22"/>
                <w:szCs w:val="22"/>
              </w:rPr>
            </w:pPr>
            <w:r w:rsidRPr="00264D5D">
              <w:rPr>
                <w:sz w:val="22"/>
                <w:szCs w:val="22"/>
              </w:rPr>
              <w:t>П</w:t>
            </w:r>
          </w:p>
        </w:tc>
        <w:tc>
          <w:tcPr>
            <w:tcW w:w="588" w:type="pct"/>
          </w:tcPr>
          <w:p w14:paraId="659A054E" w14:textId="77777777" w:rsidR="00AD1F54" w:rsidRPr="00264D5D" w:rsidRDefault="00941227">
            <w:pPr>
              <w:tabs>
                <w:tab w:val="left" w:pos="1122"/>
              </w:tabs>
              <w:spacing w:before="60" w:after="60"/>
              <w:rPr>
                <w:sz w:val="22"/>
                <w:szCs w:val="22"/>
              </w:rPr>
            </w:pPr>
            <w:r w:rsidRPr="00264D5D">
              <w:rPr>
                <w:sz w:val="22"/>
                <w:szCs w:val="22"/>
              </w:rPr>
              <w:t>N(20.2)</w:t>
            </w:r>
          </w:p>
        </w:tc>
        <w:tc>
          <w:tcPr>
            <w:tcW w:w="294" w:type="pct"/>
          </w:tcPr>
          <w:p w14:paraId="60CA727A" w14:textId="77777777" w:rsidR="00AD1F54" w:rsidRPr="00264D5D" w:rsidRDefault="00941227">
            <w:pPr>
              <w:tabs>
                <w:tab w:val="left" w:pos="1122"/>
              </w:tabs>
              <w:spacing w:before="60" w:after="60"/>
              <w:jc w:val="center"/>
              <w:rPr>
                <w:sz w:val="22"/>
                <w:szCs w:val="22"/>
              </w:rPr>
            </w:pPr>
            <w:r w:rsidRPr="00264D5D">
              <w:rPr>
                <w:sz w:val="22"/>
                <w:szCs w:val="22"/>
              </w:rPr>
              <w:t>О</w:t>
            </w:r>
          </w:p>
        </w:tc>
        <w:tc>
          <w:tcPr>
            <w:tcW w:w="2058" w:type="pct"/>
          </w:tcPr>
          <w:p w14:paraId="519696CC" w14:textId="77777777" w:rsidR="00AD1F54" w:rsidRPr="00264D5D" w:rsidRDefault="00941227">
            <w:pPr>
              <w:spacing w:before="60" w:after="60"/>
              <w:rPr>
                <w:sz w:val="22"/>
                <w:szCs w:val="22"/>
              </w:rPr>
            </w:pPr>
            <w:r w:rsidRPr="00264D5D">
              <w:rPr>
                <w:sz w:val="22"/>
                <w:szCs w:val="22"/>
              </w:rPr>
              <w:t>Сумма БО в валюте РФ на третий год планового периода.</w:t>
            </w:r>
          </w:p>
          <w:p w14:paraId="19240034" w14:textId="77777777" w:rsidR="00AD1F54" w:rsidRPr="00264D5D" w:rsidRDefault="00941227">
            <w:pPr>
              <w:spacing w:before="60" w:after="60"/>
              <w:rPr>
                <w:sz w:val="22"/>
                <w:szCs w:val="22"/>
              </w:rPr>
            </w:pPr>
            <w:r w:rsidRPr="00264D5D">
              <w:rPr>
                <w:sz w:val="22"/>
                <w:szCs w:val="22"/>
              </w:rPr>
              <w:t xml:space="preserve">Для первичных сведений о бюджетном обязательстве поле должно иметь отличное от нуля значение, если значение каждого из полей AmntYr, SmFrstYr, SmScndYr, SmNxtYr равно «0.00». </w:t>
            </w:r>
          </w:p>
          <w:p w14:paraId="15289A8B" w14:textId="77777777" w:rsidR="00AD1F54" w:rsidRPr="00264D5D" w:rsidRDefault="00941227">
            <w:pPr>
              <w:spacing w:before="60" w:after="60"/>
              <w:rPr>
                <w:sz w:val="22"/>
                <w:szCs w:val="22"/>
              </w:rPr>
            </w:pPr>
            <w:r w:rsidRPr="00264D5D">
              <w:rPr>
                <w:sz w:val="22"/>
                <w:szCs w:val="22"/>
              </w:rPr>
              <w:t>При отсут</w:t>
            </w:r>
            <w:r w:rsidR="00CE031E" w:rsidRPr="00264D5D">
              <w:rPr>
                <w:sz w:val="22"/>
                <w:szCs w:val="22"/>
              </w:rPr>
              <w:t>ствии значения указывается 0.00</w:t>
            </w:r>
          </w:p>
        </w:tc>
      </w:tr>
      <w:tr w:rsidR="00AD1F54" w:rsidRPr="00264D5D" w14:paraId="476D13B4"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6D78B191" w14:textId="77777777" w:rsidR="00AD1F54" w:rsidRPr="00264D5D" w:rsidRDefault="00941227">
            <w:pPr>
              <w:spacing w:before="60" w:after="60"/>
              <w:rPr>
                <w:sz w:val="22"/>
                <w:szCs w:val="22"/>
              </w:rPr>
            </w:pPr>
            <w:r w:rsidRPr="00264D5D">
              <w:rPr>
                <w:sz w:val="22"/>
                <w:szCs w:val="22"/>
              </w:rPr>
              <w:t>Сумма в валюте РФ на последующие годы</w:t>
            </w:r>
          </w:p>
        </w:tc>
        <w:tc>
          <w:tcPr>
            <w:tcW w:w="882" w:type="pct"/>
          </w:tcPr>
          <w:p w14:paraId="4A40EFAD" w14:textId="77777777" w:rsidR="00AD1F54" w:rsidRPr="00264D5D" w:rsidRDefault="00941227">
            <w:pPr>
              <w:tabs>
                <w:tab w:val="left" w:pos="1122"/>
              </w:tabs>
              <w:spacing w:before="60" w:after="60"/>
              <w:rPr>
                <w:sz w:val="22"/>
                <w:szCs w:val="22"/>
              </w:rPr>
            </w:pPr>
            <w:r w:rsidRPr="00264D5D">
              <w:rPr>
                <w:sz w:val="22"/>
                <w:szCs w:val="22"/>
              </w:rPr>
              <w:t>SmNxtYr</w:t>
            </w:r>
          </w:p>
        </w:tc>
        <w:tc>
          <w:tcPr>
            <w:tcW w:w="293" w:type="pct"/>
          </w:tcPr>
          <w:p w14:paraId="38379E2F" w14:textId="77777777" w:rsidR="00AD1F54" w:rsidRPr="00264D5D" w:rsidRDefault="00941227">
            <w:pPr>
              <w:tabs>
                <w:tab w:val="left" w:pos="1122"/>
              </w:tabs>
              <w:spacing w:before="60" w:after="60"/>
              <w:jc w:val="center"/>
              <w:rPr>
                <w:sz w:val="22"/>
                <w:szCs w:val="22"/>
              </w:rPr>
            </w:pPr>
            <w:r w:rsidRPr="00264D5D">
              <w:rPr>
                <w:sz w:val="22"/>
                <w:szCs w:val="22"/>
              </w:rPr>
              <w:t>П</w:t>
            </w:r>
          </w:p>
        </w:tc>
        <w:tc>
          <w:tcPr>
            <w:tcW w:w="588" w:type="pct"/>
          </w:tcPr>
          <w:p w14:paraId="48BC3ED9" w14:textId="77777777" w:rsidR="00AD1F54" w:rsidRPr="00264D5D" w:rsidRDefault="00941227">
            <w:pPr>
              <w:tabs>
                <w:tab w:val="left" w:pos="1122"/>
              </w:tabs>
              <w:spacing w:before="60" w:after="60"/>
              <w:jc w:val="left"/>
              <w:rPr>
                <w:sz w:val="22"/>
                <w:szCs w:val="22"/>
              </w:rPr>
            </w:pPr>
            <w:r w:rsidRPr="00264D5D">
              <w:rPr>
                <w:sz w:val="22"/>
                <w:szCs w:val="22"/>
              </w:rPr>
              <w:t>N(20.2)</w:t>
            </w:r>
          </w:p>
        </w:tc>
        <w:tc>
          <w:tcPr>
            <w:tcW w:w="294" w:type="pct"/>
          </w:tcPr>
          <w:p w14:paraId="78C3F97F" w14:textId="77777777" w:rsidR="00AD1F54" w:rsidRPr="00264D5D" w:rsidRDefault="00941227">
            <w:pPr>
              <w:tabs>
                <w:tab w:val="left" w:pos="1122"/>
              </w:tabs>
              <w:spacing w:before="60" w:after="60"/>
              <w:jc w:val="center"/>
              <w:rPr>
                <w:sz w:val="22"/>
                <w:szCs w:val="22"/>
              </w:rPr>
            </w:pPr>
            <w:r w:rsidRPr="00264D5D">
              <w:rPr>
                <w:sz w:val="22"/>
                <w:szCs w:val="22"/>
              </w:rPr>
              <w:t>О</w:t>
            </w:r>
          </w:p>
        </w:tc>
        <w:tc>
          <w:tcPr>
            <w:tcW w:w="2058" w:type="pct"/>
          </w:tcPr>
          <w:p w14:paraId="11478835" w14:textId="77777777" w:rsidR="00AD1F54" w:rsidRPr="00264D5D" w:rsidRDefault="00941227">
            <w:pPr>
              <w:spacing w:before="60" w:after="60"/>
              <w:rPr>
                <w:sz w:val="22"/>
                <w:szCs w:val="22"/>
              </w:rPr>
            </w:pPr>
            <w:r w:rsidRPr="00264D5D">
              <w:rPr>
                <w:sz w:val="22"/>
                <w:szCs w:val="22"/>
              </w:rPr>
              <w:t>Сумма БО в валюте РФ на последующие годы после текущего финансового года.</w:t>
            </w:r>
          </w:p>
          <w:p w14:paraId="00411187" w14:textId="77777777" w:rsidR="00AD1F54" w:rsidRPr="00264D5D" w:rsidRDefault="00941227">
            <w:pPr>
              <w:spacing w:before="60" w:after="60"/>
              <w:rPr>
                <w:sz w:val="22"/>
                <w:szCs w:val="22"/>
              </w:rPr>
            </w:pPr>
            <w:r w:rsidRPr="00264D5D">
              <w:rPr>
                <w:sz w:val="22"/>
                <w:szCs w:val="22"/>
              </w:rPr>
              <w:t>Для первичных сведений о бюджетном обязательстве поле должно иметь отличное от нуля значение, если значение каждого из полей AmntYr – SmThrdYr равно «0.00».</w:t>
            </w:r>
          </w:p>
          <w:p w14:paraId="5B4A2B54" w14:textId="77777777" w:rsidR="00AD1F54" w:rsidRPr="00264D5D" w:rsidRDefault="00941227">
            <w:pPr>
              <w:spacing w:before="60" w:after="60"/>
              <w:rPr>
                <w:sz w:val="22"/>
                <w:szCs w:val="22"/>
              </w:rPr>
            </w:pPr>
            <w:r w:rsidRPr="00264D5D">
              <w:rPr>
                <w:sz w:val="22"/>
                <w:szCs w:val="22"/>
              </w:rPr>
              <w:t>При отсутс</w:t>
            </w:r>
            <w:r w:rsidR="00CE031E" w:rsidRPr="00264D5D">
              <w:rPr>
                <w:sz w:val="22"/>
                <w:szCs w:val="22"/>
              </w:rPr>
              <w:t>твии значения указывается 0.00</w:t>
            </w:r>
          </w:p>
        </w:tc>
      </w:tr>
      <w:tr w:rsidR="00AD1F54" w:rsidRPr="00264D5D" w14:paraId="0B09D61D"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3E99AE9E" w14:textId="77777777" w:rsidR="00AD1F54" w:rsidRPr="00264D5D" w:rsidRDefault="00941227">
            <w:pPr>
              <w:spacing w:before="60" w:after="60"/>
              <w:rPr>
                <w:sz w:val="22"/>
                <w:szCs w:val="22"/>
              </w:rPr>
            </w:pPr>
            <w:r w:rsidRPr="00264D5D">
              <w:rPr>
                <w:sz w:val="22"/>
                <w:szCs w:val="22"/>
              </w:rPr>
              <w:t>Дата выплаты по исполнительному документу</w:t>
            </w:r>
          </w:p>
        </w:tc>
        <w:tc>
          <w:tcPr>
            <w:tcW w:w="882" w:type="pct"/>
          </w:tcPr>
          <w:p w14:paraId="28CCAF27" w14:textId="77777777" w:rsidR="00AD1F54" w:rsidRPr="00264D5D" w:rsidRDefault="00941227">
            <w:pPr>
              <w:spacing w:before="60" w:after="60"/>
              <w:rPr>
                <w:sz w:val="22"/>
                <w:szCs w:val="22"/>
              </w:rPr>
            </w:pPr>
            <w:r w:rsidRPr="00264D5D">
              <w:rPr>
                <w:sz w:val="22"/>
                <w:szCs w:val="22"/>
              </w:rPr>
              <w:t>DtPyExDc</w:t>
            </w:r>
          </w:p>
        </w:tc>
        <w:tc>
          <w:tcPr>
            <w:tcW w:w="293" w:type="pct"/>
          </w:tcPr>
          <w:p w14:paraId="4F683725" w14:textId="77777777" w:rsidR="00AD1F54" w:rsidRPr="00264D5D" w:rsidRDefault="00941227">
            <w:pPr>
              <w:spacing w:before="60" w:after="60"/>
              <w:jc w:val="center"/>
              <w:rPr>
                <w:sz w:val="22"/>
                <w:szCs w:val="22"/>
              </w:rPr>
            </w:pPr>
            <w:r w:rsidRPr="00264D5D">
              <w:rPr>
                <w:sz w:val="22"/>
                <w:szCs w:val="22"/>
              </w:rPr>
              <w:t>П</w:t>
            </w:r>
          </w:p>
        </w:tc>
        <w:tc>
          <w:tcPr>
            <w:tcW w:w="588" w:type="pct"/>
          </w:tcPr>
          <w:p w14:paraId="6C186752" w14:textId="77777777" w:rsidR="00AD1F54" w:rsidRPr="00264D5D" w:rsidRDefault="00941227">
            <w:pPr>
              <w:spacing w:before="60" w:after="60"/>
              <w:jc w:val="left"/>
              <w:rPr>
                <w:sz w:val="22"/>
                <w:szCs w:val="22"/>
              </w:rPr>
            </w:pPr>
            <w:r w:rsidRPr="00264D5D">
              <w:rPr>
                <w:sz w:val="22"/>
                <w:szCs w:val="22"/>
              </w:rPr>
              <w:t>T(2)</w:t>
            </w:r>
          </w:p>
        </w:tc>
        <w:tc>
          <w:tcPr>
            <w:tcW w:w="294" w:type="pct"/>
          </w:tcPr>
          <w:p w14:paraId="7F40AFAB" w14:textId="77777777" w:rsidR="00AD1F54" w:rsidRPr="00264D5D" w:rsidRDefault="00941227">
            <w:pPr>
              <w:spacing w:before="60" w:after="60"/>
              <w:jc w:val="center"/>
              <w:rPr>
                <w:sz w:val="22"/>
                <w:szCs w:val="22"/>
              </w:rPr>
            </w:pPr>
            <w:r w:rsidRPr="00264D5D">
              <w:rPr>
                <w:sz w:val="22"/>
                <w:szCs w:val="22"/>
              </w:rPr>
              <w:t>Н</w:t>
            </w:r>
          </w:p>
        </w:tc>
        <w:tc>
          <w:tcPr>
            <w:tcW w:w="2058" w:type="pct"/>
          </w:tcPr>
          <w:p w14:paraId="6FA02F20" w14:textId="77777777" w:rsidR="00AD1F54" w:rsidRPr="00264D5D" w:rsidRDefault="00941227">
            <w:pPr>
              <w:spacing w:before="60" w:after="60"/>
              <w:rPr>
                <w:sz w:val="22"/>
                <w:szCs w:val="22"/>
              </w:rPr>
            </w:pPr>
            <w:r w:rsidRPr="00264D5D">
              <w:rPr>
                <w:sz w:val="22"/>
                <w:szCs w:val="22"/>
              </w:rPr>
              <w:t>Для каждой строки КБК указывается дата ежемесячной выплаты по исполнению исполнительного документа, если выплаты имеют периодический характер.</w:t>
            </w:r>
          </w:p>
          <w:p w14:paraId="6F3CD024" w14:textId="77777777" w:rsidR="00AD1F54" w:rsidRPr="00264D5D" w:rsidRDefault="00941227">
            <w:pPr>
              <w:spacing w:before="60" w:after="60"/>
              <w:rPr>
                <w:sz w:val="22"/>
                <w:szCs w:val="22"/>
              </w:rPr>
            </w:pPr>
            <w:r w:rsidRPr="00264D5D">
              <w:rPr>
                <w:sz w:val="22"/>
                <w:szCs w:val="22"/>
              </w:rPr>
              <w:t>Допустимы</w:t>
            </w:r>
            <w:r w:rsidR="00CE031E" w:rsidRPr="00264D5D">
              <w:rPr>
                <w:sz w:val="22"/>
                <w:szCs w:val="22"/>
              </w:rPr>
              <w:t>й диапазон значений «01» – «31»</w:t>
            </w:r>
          </w:p>
        </w:tc>
      </w:tr>
      <w:tr w:rsidR="00AD1F54" w:rsidRPr="00264D5D" w14:paraId="02112455"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1367D2B5" w14:textId="77777777" w:rsidR="00AD1F54" w:rsidRPr="00264D5D" w:rsidRDefault="00941227">
            <w:pPr>
              <w:spacing w:before="60" w:after="60"/>
              <w:rPr>
                <w:sz w:val="22"/>
                <w:szCs w:val="22"/>
              </w:rPr>
            </w:pPr>
            <w:r w:rsidRPr="00264D5D">
              <w:rPr>
                <w:sz w:val="22"/>
                <w:szCs w:val="22"/>
              </w:rPr>
              <w:t>Аналитический код</w:t>
            </w:r>
          </w:p>
        </w:tc>
        <w:tc>
          <w:tcPr>
            <w:tcW w:w="882" w:type="pct"/>
          </w:tcPr>
          <w:p w14:paraId="110B17C3" w14:textId="77777777" w:rsidR="00AD1F54" w:rsidRPr="00264D5D" w:rsidRDefault="00941227">
            <w:pPr>
              <w:spacing w:before="60" w:after="60"/>
              <w:rPr>
                <w:sz w:val="22"/>
                <w:szCs w:val="22"/>
              </w:rPr>
            </w:pPr>
            <w:r w:rsidRPr="00264D5D">
              <w:rPr>
                <w:sz w:val="22"/>
                <w:szCs w:val="22"/>
              </w:rPr>
              <w:t>AnltcCd</w:t>
            </w:r>
          </w:p>
        </w:tc>
        <w:tc>
          <w:tcPr>
            <w:tcW w:w="293" w:type="pct"/>
          </w:tcPr>
          <w:p w14:paraId="719B5B8B" w14:textId="77777777" w:rsidR="00AD1F54" w:rsidRPr="00264D5D" w:rsidRDefault="00941227">
            <w:pPr>
              <w:spacing w:before="60" w:after="60"/>
              <w:jc w:val="center"/>
              <w:rPr>
                <w:sz w:val="22"/>
                <w:szCs w:val="22"/>
              </w:rPr>
            </w:pPr>
            <w:r w:rsidRPr="00264D5D">
              <w:rPr>
                <w:sz w:val="22"/>
                <w:szCs w:val="22"/>
              </w:rPr>
              <w:t>П</w:t>
            </w:r>
          </w:p>
        </w:tc>
        <w:tc>
          <w:tcPr>
            <w:tcW w:w="588" w:type="pct"/>
          </w:tcPr>
          <w:p w14:paraId="7013DD2D" w14:textId="77777777" w:rsidR="00AD1F54" w:rsidRPr="00264D5D" w:rsidRDefault="00941227">
            <w:pPr>
              <w:spacing w:before="60" w:after="60"/>
              <w:jc w:val="left"/>
              <w:rPr>
                <w:sz w:val="22"/>
                <w:szCs w:val="22"/>
              </w:rPr>
            </w:pPr>
            <w:r w:rsidRPr="00264D5D">
              <w:rPr>
                <w:sz w:val="22"/>
                <w:szCs w:val="22"/>
              </w:rPr>
              <w:t>Т(1-20)</w:t>
            </w:r>
          </w:p>
        </w:tc>
        <w:tc>
          <w:tcPr>
            <w:tcW w:w="294" w:type="pct"/>
          </w:tcPr>
          <w:p w14:paraId="451906F3" w14:textId="77777777" w:rsidR="00AD1F54" w:rsidRPr="00264D5D" w:rsidRDefault="00941227">
            <w:pPr>
              <w:spacing w:before="60" w:after="60"/>
              <w:jc w:val="center"/>
              <w:rPr>
                <w:sz w:val="22"/>
                <w:szCs w:val="22"/>
              </w:rPr>
            </w:pPr>
            <w:r w:rsidRPr="00264D5D">
              <w:rPr>
                <w:sz w:val="22"/>
                <w:szCs w:val="22"/>
              </w:rPr>
              <w:t>Н</w:t>
            </w:r>
          </w:p>
        </w:tc>
        <w:tc>
          <w:tcPr>
            <w:tcW w:w="2058" w:type="pct"/>
          </w:tcPr>
          <w:p w14:paraId="6C2C7F00" w14:textId="77777777" w:rsidR="00AD1F54" w:rsidRPr="00264D5D" w:rsidRDefault="00941227">
            <w:pPr>
              <w:spacing w:before="60" w:after="60"/>
              <w:rPr>
                <w:sz w:val="22"/>
                <w:szCs w:val="22"/>
              </w:rPr>
            </w:pPr>
            <w:r w:rsidRPr="00264D5D">
              <w:rPr>
                <w:sz w:val="22"/>
                <w:szCs w:val="22"/>
              </w:rPr>
              <w:t>Указывается аналитический код (код цели), идентифицирующий операцию, связанную с субсидиями (субвенциями, иными межбюджетными трансфертами), полученными из федерального бюджета, в соответст</w:t>
            </w:r>
            <w:r w:rsidR="00CE031E" w:rsidRPr="00264D5D">
              <w:rPr>
                <w:sz w:val="22"/>
                <w:szCs w:val="22"/>
              </w:rPr>
              <w:t>вии с кодами, установленными ФК</w:t>
            </w:r>
          </w:p>
        </w:tc>
      </w:tr>
      <w:tr w:rsidR="00AD1F54" w:rsidRPr="00264D5D" w14:paraId="0FCCD539"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66AB71C5" w14:textId="77777777" w:rsidR="00AD1F54" w:rsidRPr="00264D5D" w:rsidRDefault="00941227">
            <w:pPr>
              <w:spacing w:before="60" w:after="60"/>
              <w:rPr>
                <w:sz w:val="22"/>
                <w:szCs w:val="22"/>
              </w:rPr>
            </w:pPr>
            <w:r w:rsidRPr="00264D5D">
              <w:rPr>
                <w:sz w:val="22"/>
                <w:szCs w:val="22"/>
              </w:rPr>
              <w:t>Примечание</w:t>
            </w:r>
          </w:p>
        </w:tc>
        <w:tc>
          <w:tcPr>
            <w:tcW w:w="882" w:type="pct"/>
          </w:tcPr>
          <w:p w14:paraId="5A3888CE" w14:textId="77777777" w:rsidR="00AD1F54" w:rsidRPr="00264D5D" w:rsidRDefault="00941227">
            <w:pPr>
              <w:tabs>
                <w:tab w:val="left" w:pos="1122"/>
              </w:tabs>
              <w:spacing w:before="60" w:after="60"/>
              <w:rPr>
                <w:sz w:val="22"/>
                <w:szCs w:val="22"/>
              </w:rPr>
            </w:pPr>
            <w:r w:rsidRPr="00264D5D">
              <w:rPr>
                <w:sz w:val="22"/>
                <w:szCs w:val="22"/>
              </w:rPr>
              <w:t>Note</w:t>
            </w:r>
          </w:p>
        </w:tc>
        <w:tc>
          <w:tcPr>
            <w:tcW w:w="293" w:type="pct"/>
          </w:tcPr>
          <w:p w14:paraId="45E52971" w14:textId="77777777" w:rsidR="00AD1F54" w:rsidRPr="00264D5D" w:rsidRDefault="00941227">
            <w:pPr>
              <w:tabs>
                <w:tab w:val="left" w:pos="1122"/>
              </w:tabs>
              <w:spacing w:before="60" w:after="60"/>
              <w:jc w:val="center"/>
              <w:rPr>
                <w:sz w:val="22"/>
                <w:szCs w:val="22"/>
              </w:rPr>
            </w:pPr>
            <w:r w:rsidRPr="00264D5D">
              <w:rPr>
                <w:sz w:val="22"/>
                <w:szCs w:val="22"/>
              </w:rPr>
              <w:t>П</w:t>
            </w:r>
          </w:p>
        </w:tc>
        <w:tc>
          <w:tcPr>
            <w:tcW w:w="588" w:type="pct"/>
          </w:tcPr>
          <w:p w14:paraId="0373AF64" w14:textId="77777777" w:rsidR="00AD1F54" w:rsidRPr="00264D5D" w:rsidRDefault="00941227">
            <w:pPr>
              <w:tabs>
                <w:tab w:val="left" w:pos="1122"/>
              </w:tabs>
              <w:spacing w:before="60" w:after="60"/>
              <w:jc w:val="left"/>
              <w:rPr>
                <w:sz w:val="22"/>
                <w:szCs w:val="22"/>
              </w:rPr>
            </w:pPr>
            <w:r w:rsidRPr="00264D5D">
              <w:rPr>
                <w:sz w:val="22"/>
                <w:szCs w:val="22"/>
              </w:rPr>
              <w:t>Т(1-254)</w:t>
            </w:r>
          </w:p>
        </w:tc>
        <w:tc>
          <w:tcPr>
            <w:tcW w:w="294" w:type="pct"/>
          </w:tcPr>
          <w:p w14:paraId="081C52EB" w14:textId="77777777" w:rsidR="00AD1F54" w:rsidRPr="00264D5D" w:rsidRDefault="00941227">
            <w:pPr>
              <w:tabs>
                <w:tab w:val="left" w:pos="1122"/>
              </w:tabs>
              <w:spacing w:before="60" w:after="60"/>
              <w:jc w:val="center"/>
              <w:rPr>
                <w:sz w:val="22"/>
                <w:szCs w:val="22"/>
              </w:rPr>
            </w:pPr>
            <w:r w:rsidRPr="00264D5D">
              <w:rPr>
                <w:sz w:val="22"/>
                <w:szCs w:val="22"/>
              </w:rPr>
              <w:t>Н</w:t>
            </w:r>
          </w:p>
        </w:tc>
        <w:tc>
          <w:tcPr>
            <w:tcW w:w="2058" w:type="pct"/>
          </w:tcPr>
          <w:p w14:paraId="41A5AEB4" w14:textId="77777777" w:rsidR="00CE031E" w:rsidRPr="00264D5D" w:rsidRDefault="00941227">
            <w:pPr>
              <w:pStyle w:val="aff6"/>
              <w:spacing w:before="60" w:after="60"/>
              <w:rPr>
                <w:sz w:val="22"/>
                <w:szCs w:val="22"/>
              </w:rPr>
            </w:pPr>
            <w:r w:rsidRPr="00264D5D">
              <w:rPr>
                <w:sz w:val="22"/>
                <w:szCs w:val="22"/>
              </w:rPr>
              <w:t xml:space="preserve">Отражается примечание (при необходимости). </w:t>
            </w:r>
          </w:p>
          <w:p w14:paraId="0C2C051D" w14:textId="77777777" w:rsidR="00AD1F54" w:rsidRPr="00264D5D" w:rsidRDefault="00941227">
            <w:pPr>
              <w:pStyle w:val="aff6"/>
              <w:spacing w:before="60" w:after="60"/>
              <w:rPr>
                <w:sz w:val="22"/>
                <w:szCs w:val="22"/>
              </w:rPr>
            </w:pPr>
            <w:r w:rsidRPr="00264D5D">
              <w:rPr>
                <w:sz w:val="22"/>
                <w:szCs w:val="22"/>
              </w:rPr>
              <w:t>В первой строке раздела указывается дата первой выплаты по ИД в формате ДД.ММ.ГГГГ, если БО возникло из ИД, предусмат</w:t>
            </w:r>
            <w:r w:rsidR="00CE031E" w:rsidRPr="00264D5D">
              <w:rPr>
                <w:sz w:val="22"/>
                <w:szCs w:val="22"/>
              </w:rPr>
              <w:t>ривающего периодические выплаты</w:t>
            </w:r>
          </w:p>
        </w:tc>
      </w:tr>
    </w:tbl>
    <w:p w14:paraId="401C9B36" w14:textId="77777777" w:rsidR="00AD1F54" w:rsidRPr="00264D5D" w:rsidRDefault="00941227">
      <w:pPr>
        <w:pStyle w:val="31"/>
      </w:pPr>
      <w:bookmarkStart w:id="1465" w:name="_Toc416192432"/>
      <w:bookmarkStart w:id="1466" w:name="_Toc219309599"/>
      <w:r w:rsidRPr="00264D5D">
        <w:lastRenderedPageBreak/>
        <w:t>Описание комплексного типа «tOblgtns_Rslts»</w:t>
      </w:r>
      <w:bookmarkEnd w:id="1465"/>
      <w:bookmarkEnd w:id="1466"/>
    </w:p>
    <w:p w14:paraId="247B469A" w14:textId="77777777" w:rsidR="00AD1F54" w:rsidRPr="00264D5D" w:rsidRDefault="00941227">
      <w:pPr>
        <w:pStyle w:val="ASFKNormal"/>
        <w:spacing w:before="60" w:after="120"/>
        <w:contextualSpacing w:val="0"/>
        <w:jc w:val="both"/>
        <w:rPr>
          <w:sz w:val="24"/>
          <w:szCs w:val="24"/>
        </w:rPr>
      </w:pPr>
      <w:r w:rsidRPr="00264D5D">
        <w:rPr>
          <w:sz w:val="24"/>
          <w:szCs w:val="24"/>
        </w:rPr>
        <w:t>Описание комплексного типа «tOblgtns_Rslts» блока «Итоги по ОКС (ОКВ), КМИ».</w:t>
      </w:r>
    </w:p>
    <w:p w14:paraId="28504F93" w14:textId="76E65934"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1467" w:name="_Ref412028105"/>
      <w:bookmarkStart w:id="1468" w:name="_Toc30503358"/>
      <w:bookmarkStart w:id="1469" w:name="_Toc30507956"/>
      <w:bookmarkStart w:id="1470" w:name="_Toc219309179"/>
      <w:r w:rsidR="008D797C">
        <w:rPr>
          <w:rFonts w:eastAsia="Calibri"/>
          <w:noProof/>
          <w:szCs w:val="24"/>
        </w:rPr>
        <w:t>149</w:t>
      </w:r>
      <w:bookmarkEnd w:id="1467"/>
      <w:r w:rsidRPr="00264D5D">
        <w:rPr>
          <w:rFonts w:eastAsia="Calibri"/>
          <w:szCs w:val="24"/>
        </w:rPr>
        <w:fldChar w:fldCharType="end"/>
      </w:r>
      <w:r w:rsidRPr="00264D5D">
        <w:rPr>
          <w:rFonts w:eastAsia="Calibri"/>
          <w:szCs w:val="24"/>
        </w:rPr>
        <w:t xml:space="preserve"> – Описание комплексного типа «tOblgtns_Rslts»</w:t>
      </w:r>
      <w:bookmarkEnd w:id="1468"/>
      <w:bookmarkEnd w:id="1469"/>
      <w:bookmarkEnd w:id="1470"/>
    </w:p>
    <w:tbl>
      <w:tblPr>
        <w:tblStyle w:val="GOSTTable"/>
        <w:tblW w:w="5000" w:type="pct"/>
        <w:tblLayout w:type="fixed"/>
        <w:tblLook w:val="04A0" w:firstRow="1" w:lastRow="0" w:firstColumn="1" w:lastColumn="0" w:noHBand="0" w:noVBand="1"/>
      </w:tblPr>
      <w:tblGrid>
        <w:gridCol w:w="1703"/>
        <w:gridCol w:w="1702"/>
        <w:gridCol w:w="567"/>
        <w:gridCol w:w="1137"/>
        <w:gridCol w:w="567"/>
        <w:gridCol w:w="3974"/>
      </w:tblGrid>
      <w:tr w:rsidR="00AD1F54" w:rsidRPr="00264D5D" w14:paraId="7DD09DDC"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882" w:type="pct"/>
          </w:tcPr>
          <w:p w14:paraId="2C0974C6" w14:textId="77777777" w:rsidR="00AD1F54" w:rsidRPr="00264D5D" w:rsidRDefault="00941227">
            <w:pPr>
              <w:spacing w:before="60" w:after="60"/>
              <w:jc w:val="center"/>
              <w:rPr>
                <w:b/>
                <w:bCs/>
                <w:sz w:val="22"/>
                <w:szCs w:val="22"/>
              </w:rPr>
            </w:pPr>
            <w:r w:rsidRPr="00264D5D">
              <w:rPr>
                <w:b/>
                <w:bCs/>
                <w:sz w:val="22"/>
                <w:szCs w:val="22"/>
              </w:rPr>
              <w:t>Наименование комплексного типа</w:t>
            </w:r>
          </w:p>
        </w:tc>
        <w:tc>
          <w:tcPr>
            <w:tcW w:w="882" w:type="pct"/>
          </w:tcPr>
          <w:p w14:paraId="01D19684" w14:textId="77777777" w:rsidR="00AD1F54" w:rsidRPr="00264D5D" w:rsidRDefault="00941227">
            <w:pPr>
              <w:spacing w:before="60" w:after="60"/>
              <w:jc w:val="center"/>
              <w:rPr>
                <w:b/>
                <w:bCs/>
                <w:sz w:val="22"/>
                <w:szCs w:val="22"/>
              </w:rPr>
            </w:pPr>
            <w:r w:rsidRPr="00264D5D">
              <w:rPr>
                <w:b/>
                <w:bCs/>
                <w:sz w:val="22"/>
                <w:szCs w:val="22"/>
              </w:rPr>
              <w:t>Текущий элемент/ атрибут</w:t>
            </w:r>
          </w:p>
        </w:tc>
        <w:tc>
          <w:tcPr>
            <w:tcW w:w="294" w:type="pct"/>
          </w:tcPr>
          <w:p w14:paraId="6087FD79" w14:textId="77777777" w:rsidR="00AD1F54" w:rsidRPr="00264D5D" w:rsidRDefault="00941227">
            <w:pPr>
              <w:spacing w:before="60" w:after="60"/>
              <w:jc w:val="center"/>
              <w:rPr>
                <w:b/>
                <w:sz w:val="22"/>
                <w:szCs w:val="22"/>
              </w:rPr>
            </w:pPr>
            <w:r w:rsidRPr="00264D5D">
              <w:rPr>
                <w:b/>
                <w:bCs/>
                <w:sz w:val="22"/>
                <w:szCs w:val="22"/>
              </w:rPr>
              <w:t>Тип</w:t>
            </w:r>
          </w:p>
        </w:tc>
        <w:tc>
          <w:tcPr>
            <w:tcW w:w="589" w:type="pct"/>
          </w:tcPr>
          <w:p w14:paraId="5C13FBA6" w14:textId="77777777" w:rsidR="00AD1F54" w:rsidRPr="00264D5D" w:rsidRDefault="00941227">
            <w:pPr>
              <w:spacing w:before="60" w:after="60"/>
              <w:jc w:val="center"/>
              <w:rPr>
                <w:b/>
                <w:bCs/>
                <w:sz w:val="22"/>
                <w:szCs w:val="22"/>
              </w:rPr>
            </w:pPr>
            <w:r w:rsidRPr="00264D5D">
              <w:rPr>
                <w:b/>
                <w:bCs/>
                <w:sz w:val="22"/>
                <w:szCs w:val="22"/>
              </w:rPr>
              <w:t>Формат элемента</w:t>
            </w:r>
          </w:p>
        </w:tc>
        <w:tc>
          <w:tcPr>
            <w:tcW w:w="294" w:type="pct"/>
          </w:tcPr>
          <w:p w14:paraId="05AA0758" w14:textId="77777777" w:rsidR="00AD1F54" w:rsidRPr="00264D5D" w:rsidRDefault="00941227">
            <w:pPr>
              <w:spacing w:before="60" w:after="60"/>
              <w:jc w:val="center"/>
              <w:rPr>
                <w:b/>
                <w:bCs/>
                <w:sz w:val="22"/>
                <w:szCs w:val="22"/>
              </w:rPr>
            </w:pPr>
            <w:r w:rsidRPr="00264D5D">
              <w:rPr>
                <w:b/>
                <w:bCs/>
                <w:sz w:val="22"/>
                <w:szCs w:val="22"/>
              </w:rPr>
              <w:t>Обязательность</w:t>
            </w:r>
          </w:p>
        </w:tc>
        <w:tc>
          <w:tcPr>
            <w:tcW w:w="2059" w:type="pct"/>
          </w:tcPr>
          <w:p w14:paraId="66E86DFE" w14:textId="77777777" w:rsidR="00AD1F54" w:rsidRPr="00264D5D" w:rsidRDefault="00941227">
            <w:pPr>
              <w:spacing w:before="60" w:after="60"/>
              <w:jc w:val="center"/>
              <w:rPr>
                <w:b/>
                <w:bCs/>
                <w:sz w:val="22"/>
                <w:szCs w:val="22"/>
              </w:rPr>
            </w:pPr>
            <w:r w:rsidRPr="00264D5D">
              <w:rPr>
                <w:b/>
                <w:bCs/>
                <w:sz w:val="22"/>
                <w:szCs w:val="22"/>
              </w:rPr>
              <w:t>Дополнительная информация</w:t>
            </w:r>
          </w:p>
        </w:tc>
      </w:tr>
      <w:tr w:rsidR="00AD1F54" w:rsidRPr="00264D5D" w14:paraId="12A0CE60" w14:textId="77777777" w:rsidTr="00AD1F54">
        <w:trPr>
          <w:cnfStyle w:val="000000100000" w:firstRow="0" w:lastRow="0" w:firstColumn="0" w:lastColumn="0" w:oddVBand="0" w:evenVBand="0" w:oddHBand="1" w:evenHBand="0" w:firstRowFirstColumn="0" w:firstRowLastColumn="0" w:lastRowFirstColumn="0" w:lastRowLastColumn="0"/>
        </w:trPr>
        <w:tc>
          <w:tcPr>
            <w:tcW w:w="882" w:type="pct"/>
          </w:tcPr>
          <w:p w14:paraId="4744F30A" w14:textId="77777777" w:rsidR="00AD1F54" w:rsidRPr="00264D5D" w:rsidRDefault="00941227">
            <w:pPr>
              <w:spacing w:before="60" w:after="60"/>
              <w:rPr>
                <w:sz w:val="22"/>
                <w:szCs w:val="22"/>
              </w:rPr>
            </w:pPr>
            <w:r w:rsidRPr="00264D5D">
              <w:rPr>
                <w:sz w:val="22"/>
                <w:szCs w:val="22"/>
              </w:rPr>
              <w:t>tOblgtns_Rslts</w:t>
            </w:r>
          </w:p>
        </w:tc>
        <w:tc>
          <w:tcPr>
            <w:tcW w:w="882" w:type="pct"/>
          </w:tcPr>
          <w:p w14:paraId="3B2C92B0" w14:textId="77777777" w:rsidR="00AD1F54" w:rsidRPr="00264D5D" w:rsidRDefault="00941227">
            <w:pPr>
              <w:spacing w:before="60" w:after="60"/>
              <w:rPr>
                <w:sz w:val="22"/>
                <w:szCs w:val="22"/>
                <w:lang w:val="en-US"/>
              </w:rPr>
            </w:pPr>
            <w:r w:rsidRPr="00264D5D">
              <w:rPr>
                <w:sz w:val="22"/>
                <w:szCs w:val="22"/>
              </w:rPr>
              <w:t>Rslts_ITEM</w:t>
            </w:r>
          </w:p>
        </w:tc>
        <w:tc>
          <w:tcPr>
            <w:tcW w:w="294" w:type="pct"/>
          </w:tcPr>
          <w:p w14:paraId="38042B6D" w14:textId="77777777" w:rsidR="00AD1F54" w:rsidRPr="00264D5D" w:rsidRDefault="00941227">
            <w:pPr>
              <w:spacing w:before="60" w:after="60"/>
              <w:jc w:val="center"/>
              <w:rPr>
                <w:sz w:val="22"/>
                <w:szCs w:val="22"/>
                <w:lang w:val="en-US"/>
              </w:rPr>
            </w:pPr>
            <w:r w:rsidRPr="00264D5D">
              <w:rPr>
                <w:sz w:val="22"/>
                <w:szCs w:val="22"/>
                <w:lang w:val="en-US"/>
              </w:rPr>
              <w:t>C</w:t>
            </w:r>
          </w:p>
        </w:tc>
        <w:tc>
          <w:tcPr>
            <w:tcW w:w="589" w:type="pct"/>
          </w:tcPr>
          <w:p w14:paraId="1302C500" w14:textId="77777777" w:rsidR="00AD1F54" w:rsidRPr="00264D5D" w:rsidRDefault="00941227">
            <w:pPr>
              <w:spacing w:before="60" w:after="60"/>
              <w:jc w:val="left"/>
              <w:rPr>
                <w:sz w:val="22"/>
                <w:szCs w:val="22"/>
                <w:lang w:val="en-US"/>
              </w:rPr>
            </w:pPr>
            <w:r w:rsidRPr="00264D5D">
              <w:rPr>
                <w:sz w:val="22"/>
                <w:szCs w:val="22"/>
              </w:rPr>
              <w:t>tOblgtns_Rslts_ITEM</w:t>
            </w:r>
          </w:p>
        </w:tc>
        <w:tc>
          <w:tcPr>
            <w:tcW w:w="294" w:type="pct"/>
          </w:tcPr>
          <w:p w14:paraId="6C4C40A7" w14:textId="77777777" w:rsidR="00AD1F54" w:rsidRPr="00264D5D" w:rsidRDefault="00941227">
            <w:pPr>
              <w:spacing w:before="60" w:after="60"/>
              <w:jc w:val="center"/>
              <w:rPr>
                <w:sz w:val="22"/>
                <w:szCs w:val="22"/>
              </w:rPr>
            </w:pPr>
            <w:r w:rsidRPr="00264D5D">
              <w:rPr>
                <w:sz w:val="22"/>
                <w:szCs w:val="22"/>
              </w:rPr>
              <w:t>ОМ</w:t>
            </w:r>
          </w:p>
        </w:tc>
        <w:tc>
          <w:tcPr>
            <w:tcW w:w="2059" w:type="pct"/>
          </w:tcPr>
          <w:p w14:paraId="44593496" w14:textId="77777777" w:rsidR="00AD1F54" w:rsidRPr="00264D5D" w:rsidRDefault="00941227">
            <w:pPr>
              <w:spacing w:before="60" w:after="60"/>
              <w:rPr>
                <w:sz w:val="22"/>
                <w:szCs w:val="22"/>
              </w:rPr>
            </w:pPr>
            <w:r w:rsidRPr="00264D5D">
              <w:rPr>
                <w:sz w:val="22"/>
                <w:szCs w:val="22"/>
              </w:rPr>
              <w:t>Итоги по ОКС (ОКВ), КМИ.</w:t>
            </w:r>
          </w:p>
          <w:p w14:paraId="2D434A51" w14:textId="77777777" w:rsidR="00AD1F54" w:rsidRPr="00264D5D" w:rsidRDefault="00941227">
            <w:pPr>
              <w:spacing w:before="60" w:after="60"/>
              <w:rPr>
                <w:sz w:val="22"/>
                <w:szCs w:val="22"/>
              </w:rPr>
            </w:pPr>
            <w:r w:rsidRPr="00264D5D">
              <w:rPr>
                <w:sz w:val="22"/>
                <w:szCs w:val="22"/>
              </w:rPr>
              <w:t>Блок обязателен к заполнению, если заполнены поля RsltsR9 и RsltsR8 в блоке «tOblgtns_Pmnts».</w:t>
            </w:r>
          </w:p>
          <w:p w14:paraId="0986C784" w14:textId="41322660" w:rsidR="00AD1F54" w:rsidRPr="00264D5D" w:rsidRDefault="00941227">
            <w:pPr>
              <w:spacing w:before="60" w:after="60"/>
              <w:rPr>
                <w:sz w:val="22"/>
                <w:szCs w:val="22"/>
              </w:rPr>
            </w:pPr>
            <w:r w:rsidRPr="00264D5D">
              <w:rPr>
                <w:sz w:val="22"/>
                <w:szCs w:val="22"/>
              </w:rPr>
              <w:t xml:space="preserve">Состав элемента представлен в таблице </w:t>
            </w:r>
            <w:r w:rsidRPr="00264D5D">
              <w:rPr>
                <w:sz w:val="22"/>
                <w:szCs w:val="22"/>
              </w:rPr>
              <w:fldChar w:fldCharType="begin"/>
            </w:r>
            <w:r w:rsidRPr="00264D5D">
              <w:rPr>
                <w:sz w:val="22"/>
                <w:szCs w:val="22"/>
              </w:rPr>
              <w:instrText xml:space="preserve"> REF _Ref415844547 \h  \* MERGEFORMAT </w:instrText>
            </w:r>
            <w:r w:rsidRPr="00264D5D">
              <w:rPr>
                <w:sz w:val="22"/>
                <w:szCs w:val="22"/>
              </w:rPr>
            </w:r>
            <w:r w:rsidRPr="00264D5D">
              <w:rPr>
                <w:sz w:val="22"/>
                <w:szCs w:val="22"/>
              </w:rPr>
              <w:fldChar w:fldCharType="separate"/>
            </w:r>
            <w:r w:rsidR="008D797C" w:rsidRPr="008D797C">
              <w:rPr>
                <w:rFonts w:eastAsia="Calibri"/>
                <w:b/>
                <w:sz w:val="22"/>
                <w:szCs w:val="22"/>
              </w:rPr>
              <w:t>150</w:t>
            </w:r>
            <w:r w:rsidRPr="00264D5D">
              <w:rPr>
                <w:sz w:val="22"/>
                <w:szCs w:val="22"/>
              </w:rPr>
              <w:fldChar w:fldCharType="end"/>
            </w:r>
          </w:p>
        </w:tc>
      </w:tr>
    </w:tbl>
    <w:p w14:paraId="3E19EDED" w14:textId="77777777" w:rsidR="00AD1F54" w:rsidRPr="00264D5D" w:rsidRDefault="00941227">
      <w:pPr>
        <w:pStyle w:val="31"/>
      </w:pPr>
      <w:bookmarkStart w:id="1471" w:name="_Toc416192433"/>
      <w:bookmarkStart w:id="1472" w:name="_Toc219309600"/>
      <w:r w:rsidRPr="00264D5D">
        <w:t>Описание комплексного типа «</w:t>
      </w:r>
      <w:bookmarkStart w:id="1473" w:name="tOblgtns_Rslts_ITEM"/>
      <w:r w:rsidRPr="00264D5D">
        <w:t>tOblgtns_Rslts_ITEM</w:t>
      </w:r>
      <w:bookmarkEnd w:id="1473"/>
      <w:r w:rsidRPr="00264D5D">
        <w:t>»</w:t>
      </w:r>
      <w:bookmarkEnd w:id="1471"/>
      <w:bookmarkEnd w:id="1472"/>
    </w:p>
    <w:p w14:paraId="03C967A8" w14:textId="77777777" w:rsidR="00AD1F54" w:rsidRPr="00264D5D" w:rsidRDefault="00941227">
      <w:pPr>
        <w:pStyle w:val="ASFKNormal"/>
        <w:spacing w:before="60" w:after="120"/>
        <w:contextualSpacing w:val="0"/>
        <w:jc w:val="both"/>
        <w:rPr>
          <w:sz w:val="24"/>
          <w:szCs w:val="24"/>
        </w:rPr>
      </w:pPr>
      <w:r w:rsidRPr="00264D5D">
        <w:rPr>
          <w:sz w:val="24"/>
          <w:szCs w:val="24"/>
        </w:rPr>
        <w:t>Описание комплексного типа «tOblgtns_Rslts_ITEM» строк блока «Итоги по ОКС (ОКВ), КМИ».</w:t>
      </w:r>
    </w:p>
    <w:p w14:paraId="609A413D" w14:textId="0C2F8B35"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1474" w:name="_Ref415844547"/>
      <w:bookmarkStart w:id="1475" w:name="_Toc30503359"/>
      <w:bookmarkStart w:id="1476" w:name="_Toc30507957"/>
      <w:bookmarkStart w:id="1477" w:name="_Toc219309180"/>
      <w:r w:rsidR="008D797C">
        <w:rPr>
          <w:rFonts w:eastAsia="Calibri"/>
          <w:noProof/>
          <w:szCs w:val="24"/>
        </w:rPr>
        <w:t>150</w:t>
      </w:r>
      <w:bookmarkEnd w:id="1474"/>
      <w:r w:rsidRPr="00264D5D">
        <w:rPr>
          <w:rFonts w:eastAsia="Calibri"/>
          <w:szCs w:val="24"/>
        </w:rPr>
        <w:fldChar w:fldCharType="end"/>
      </w:r>
      <w:r w:rsidRPr="00264D5D">
        <w:rPr>
          <w:rFonts w:eastAsia="Calibri"/>
          <w:szCs w:val="24"/>
        </w:rPr>
        <w:t xml:space="preserve"> – Описание комплексного типа «tOblgtns_Rslts_ITEM»</w:t>
      </w:r>
      <w:bookmarkEnd w:id="1475"/>
      <w:bookmarkEnd w:id="1476"/>
      <w:bookmarkEnd w:id="1477"/>
    </w:p>
    <w:tbl>
      <w:tblPr>
        <w:tblStyle w:val="GOSTTable"/>
        <w:tblW w:w="9636" w:type="dxa"/>
        <w:tblLayout w:type="fixed"/>
        <w:tblLook w:val="04A0" w:firstRow="1" w:lastRow="0" w:firstColumn="1" w:lastColumn="0" w:noHBand="0" w:noVBand="1"/>
      </w:tblPr>
      <w:tblGrid>
        <w:gridCol w:w="1701"/>
        <w:gridCol w:w="1704"/>
        <w:gridCol w:w="569"/>
        <w:gridCol w:w="1131"/>
        <w:gridCol w:w="569"/>
        <w:gridCol w:w="3962"/>
      </w:tblGrid>
      <w:tr w:rsidR="00AD1F54" w:rsidRPr="00264D5D" w14:paraId="4ECE42CF"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883" w:type="pct"/>
          </w:tcPr>
          <w:p w14:paraId="18C5BD9E" w14:textId="77777777" w:rsidR="00AD1F54" w:rsidRPr="00264D5D" w:rsidRDefault="00941227">
            <w:pPr>
              <w:spacing w:before="60" w:after="60"/>
              <w:jc w:val="center"/>
              <w:rPr>
                <w:b/>
                <w:bCs/>
                <w:sz w:val="22"/>
                <w:szCs w:val="22"/>
              </w:rPr>
            </w:pPr>
            <w:r w:rsidRPr="00264D5D">
              <w:rPr>
                <w:b/>
                <w:bCs/>
                <w:sz w:val="22"/>
                <w:szCs w:val="22"/>
              </w:rPr>
              <w:t>Наименование элемента</w:t>
            </w:r>
          </w:p>
        </w:tc>
        <w:tc>
          <w:tcPr>
            <w:tcW w:w="884" w:type="pct"/>
          </w:tcPr>
          <w:p w14:paraId="750824EC" w14:textId="77777777" w:rsidR="00AD1F54" w:rsidRPr="00264D5D" w:rsidRDefault="00941227">
            <w:pPr>
              <w:spacing w:before="60" w:after="60"/>
              <w:jc w:val="center"/>
              <w:rPr>
                <w:b/>
                <w:bCs/>
                <w:sz w:val="22"/>
                <w:szCs w:val="22"/>
              </w:rPr>
            </w:pPr>
            <w:r w:rsidRPr="00264D5D">
              <w:rPr>
                <w:b/>
                <w:bCs/>
                <w:sz w:val="22"/>
                <w:szCs w:val="22"/>
              </w:rPr>
              <w:t>Сокращенное наименование (код) элемента</w:t>
            </w:r>
          </w:p>
        </w:tc>
        <w:tc>
          <w:tcPr>
            <w:tcW w:w="295" w:type="pct"/>
          </w:tcPr>
          <w:p w14:paraId="547D595C" w14:textId="77777777" w:rsidR="00AD1F54" w:rsidRPr="00264D5D" w:rsidRDefault="00941227">
            <w:pPr>
              <w:spacing w:before="60" w:after="60"/>
              <w:jc w:val="center"/>
              <w:rPr>
                <w:b/>
                <w:sz w:val="22"/>
                <w:szCs w:val="22"/>
              </w:rPr>
            </w:pPr>
            <w:r w:rsidRPr="00264D5D">
              <w:rPr>
                <w:b/>
                <w:bCs/>
                <w:sz w:val="22"/>
                <w:szCs w:val="22"/>
              </w:rPr>
              <w:t>Тип</w:t>
            </w:r>
          </w:p>
        </w:tc>
        <w:tc>
          <w:tcPr>
            <w:tcW w:w="587" w:type="pct"/>
          </w:tcPr>
          <w:p w14:paraId="67DA005A" w14:textId="77777777" w:rsidR="00AD1F54" w:rsidRPr="00264D5D" w:rsidRDefault="00941227">
            <w:pPr>
              <w:spacing w:before="60" w:after="60"/>
              <w:jc w:val="center"/>
              <w:rPr>
                <w:b/>
                <w:bCs/>
                <w:sz w:val="22"/>
                <w:szCs w:val="22"/>
              </w:rPr>
            </w:pPr>
            <w:r w:rsidRPr="00264D5D">
              <w:rPr>
                <w:b/>
                <w:bCs/>
                <w:sz w:val="22"/>
                <w:szCs w:val="22"/>
              </w:rPr>
              <w:t>Формат элемента</w:t>
            </w:r>
          </w:p>
        </w:tc>
        <w:tc>
          <w:tcPr>
            <w:tcW w:w="295" w:type="pct"/>
          </w:tcPr>
          <w:p w14:paraId="314C660C" w14:textId="77777777" w:rsidR="00AD1F54" w:rsidRPr="00264D5D" w:rsidRDefault="00941227">
            <w:pPr>
              <w:spacing w:before="60" w:after="60"/>
              <w:jc w:val="center"/>
              <w:rPr>
                <w:b/>
                <w:bCs/>
                <w:sz w:val="22"/>
                <w:szCs w:val="22"/>
              </w:rPr>
            </w:pPr>
            <w:r w:rsidRPr="00264D5D">
              <w:rPr>
                <w:b/>
                <w:bCs/>
                <w:sz w:val="22"/>
                <w:szCs w:val="22"/>
              </w:rPr>
              <w:t>Обязательность</w:t>
            </w:r>
          </w:p>
        </w:tc>
        <w:tc>
          <w:tcPr>
            <w:tcW w:w="2056" w:type="pct"/>
          </w:tcPr>
          <w:p w14:paraId="5AF39CAB" w14:textId="77777777" w:rsidR="00AD1F54" w:rsidRPr="00264D5D" w:rsidRDefault="00941227">
            <w:pPr>
              <w:spacing w:before="60" w:after="60"/>
              <w:jc w:val="center"/>
              <w:rPr>
                <w:b/>
                <w:bCs/>
                <w:sz w:val="22"/>
                <w:szCs w:val="22"/>
              </w:rPr>
            </w:pPr>
            <w:r w:rsidRPr="00264D5D">
              <w:rPr>
                <w:b/>
                <w:bCs/>
                <w:sz w:val="22"/>
                <w:szCs w:val="22"/>
              </w:rPr>
              <w:t>Дополнительная информация</w:t>
            </w:r>
          </w:p>
        </w:tc>
      </w:tr>
      <w:tr w:rsidR="00AD1F54" w:rsidRPr="00264D5D" w14:paraId="322343FB" w14:textId="77777777" w:rsidTr="00AD1F54">
        <w:trPr>
          <w:cnfStyle w:val="000000100000" w:firstRow="0" w:lastRow="0" w:firstColumn="0" w:lastColumn="0" w:oddVBand="0" w:evenVBand="0" w:oddHBand="1" w:evenHBand="0" w:firstRowFirstColumn="0" w:firstRowLastColumn="0" w:lastRowFirstColumn="0" w:lastRowLastColumn="0"/>
        </w:trPr>
        <w:tc>
          <w:tcPr>
            <w:tcW w:w="883" w:type="pct"/>
          </w:tcPr>
          <w:p w14:paraId="59E5CE3F" w14:textId="77777777" w:rsidR="00AD1F54" w:rsidRPr="00264D5D" w:rsidRDefault="00941227">
            <w:pPr>
              <w:spacing w:before="60" w:after="60"/>
              <w:rPr>
                <w:sz w:val="22"/>
                <w:szCs w:val="22"/>
              </w:rPr>
            </w:pPr>
            <w:r w:rsidRPr="00264D5D">
              <w:rPr>
                <w:sz w:val="22"/>
                <w:szCs w:val="22"/>
              </w:rPr>
              <w:t>Номер строки п/п</w:t>
            </w:r>
          </w:p>
        </w:tc>
        <w:tc>
          <w:tcPr>
            <w:tcW w:w="884" w:type="pct"/>
          </w:tcPr>
          <w:p w14:paraId="602638ED" w14:textId="77777777" w:rsidR="00AD1F54" w:rsidRPr="00264D5D" w:rsidRDefault="00941227">
            <w:pPr>
              <w:spacing w:before="60" w:after="60"/>
              <w:rPr>
                <w:sz w:val="22"/>
                <w:szCs w:val="22"/>
              </w:rPr>
            </w:pPr>
            <w:r w:rsidRPr="00264D5D">
              <w:rPr>
                <w:sz w:val="22"/>
                <w:szCs w:val="22"/>
              </w:rPr>
              <w:t>RsltsR7</w:t>
            </w:r>
          </w:p>
        </w:tc>
        <w:tc>
          <w:tcPr>
            <w:tcW w:w="295" w:type="pct"/>
          </w:tcPr>
          <w:p w14:paraId="3562C779" w14:textId="77777777" w:rsidR="00AD1F54" w:rsidRPr="00264D5D" w:rsidRDefault="00941227">
            <w:pPr>
              <w:spacing w:before="60" w:after="60"/>
              <w:jc w:val="center"/>
              <w:rPr>
                <w:sz w:val="22"/>
                <w:szCs w:val="22"/>
              </w:rPr>
            </w:pPr>
            <w:r w:rsidRPr="00264D5D">
              <w:rPr>
                <w:sz w:val="22"/>
                <w:szCs w:val="22"/>
              </w:rPr>
              <w:t>П</w:t>
            </w:r>
          </w:p>
        </w:tc>
        <w:tc>
          <w:tcPr>
            <w:tcW w:w="587" w:type="pct"/>
          </w:tcPr>
          <w:p w14:paraId="298B2B99" w14:textId="77777777" w:rsidR="00AD1F54" w:rsidRPr="00264D5D" w:rsidRDefault="00941227">
            <w:pPr>
              <w:spacing w:before="60" w:after="60"/>
              <w:jc w:val="left"/>
              <w:rPr>
                <w:sz w:val="22"/>
                <w:szCs w:val="22"/>
              </w:rPr>
            </w:pPr>
            <w:r w:rsidRPr="00264D5D">
              <w:rPr>
                <w:sz w:val="22"/>
                <w:szCs w:val="22"/>
              </w:rPr>
              <w:t>Т(1-4)</w:t>
            </w:r>
          </w:p>
        </w:tc>
        <w:tc>
          <w:tcPr>
            <w:tcW w:w="295" w:type="pct"/>
          </w:tcPr>
          <w:p w14:paraId="5B1460BA" w14:textId="77777777" w:rsidR="00AD1F54" w:rsidRPr="00264D5D" w:rsidRDefault="00941227">
            <w:pPr>
              <w:spacing w:before="60" w:after="60"/>
              <w:jc w:val="center"/>
              <w:rPr>
                <w:sz w:val="22"/>
                <w:szCs w:val="22"/>
              </w:rPr>
            </w:pPr>
            <w:r w:rsidRPr="00264D5D">
              <w:rPr>
                <w:sz w:val="22"/>
                <w:szCs w:val="22"/>
              </w:rPr>
              <w:t>Н</w:t>
            </w:r>
          </w:p>
        </w:tc>
        <w:tc>
          <w:tcPr>
            <w:tcW w:w="2056" w:type="pct"/>
          </w:tcPr>
          <w:p w14:paraId="37CF98BC" w14:textId="77777777" w:rsidR="00AD1F54" w:rsidRPr="00264D5D" w:rsidRDefault="00CE031E">
            <w:pPr>
              <w:spacing w:before="60" w:after="60"/>
              <w:rPr>
                <w:sz w:val="22"/>
                <w:szCs w:val="22"/>
              </w:rPr>
            </w:pPr>
            <w:r w:rsidRPr="00264D5D">
              <w:rPr>
                <w:sz w:val="22"/>
                <w:szCs w:val="22"/>
              </w:rPr>
              <w:t>Номер строки п/п</w:t>
            </w:r>
          </w:p>
        </w:tc>
      </w:tr>
      <w:tr w:rsidR="00AD1F54" w:rsidRPr="00264D5D" w14:paraId="6247C347" w14:textId="77777777" w:rsidTr="00AD1F54">
        <w:trPr>
          <w:cnfStyle w:val="000000010000" w:firstRow="0" w:lastRow="0" w:firstColumn="0" w:lastColumn="0" w:oddVBand="0" w:evenVBand="0" w:oddHBand="0" w:evenHBand="1" w:firstRowFirstColumn="0" w:firstRowLastColumn="0" w:lastRowFirstColumn="0" w:lastRowLastColumn="0"/>
        </w:trPr>
        <w:tc>
          <w:tcPr>
            <w:tcW w:w="883" w:type="pct"/>
          </w:tcPr>
          <w:p w14:paraId="0DF3CC4D" w14:textId="77777777" w:rsidR="00AD1F54" w:rsidRPr="00264D5D" w:rsidRDefault="00941227">
            <w:pPr>
              <w:spacing w:before="60" w:after="60"/>
              <w:rPr>
                <w:sz w:val="22"/>
                <w:szCs w:val="22"/>
              </w:rPr>
            </w:pPr>
            <w:r w:rsidRPr="00264D5D">
              <w:rPr>
                <w:sz w:val="22"/>
                <w:szCs w:val="22"/>
              </w:rPr>
              <w:t>Наименование ОКС (ОКВ), КМИ</w:t>
            </w:r>
          </w:p>
        </w:tc>
        <w:tc>
          <w:tcPr>
            <w:tcW w:w="884" w:type="pct"/>
          </w:tcPr>
          <w:p w14:paraId="5CF170D3" w14:textId="77777777" w:rsidR="00AD1F54" w:rsidRPr="00264D5D" w:rsidRDefault="00941227">
            <w:pPr>
              <w:spacing w:before="60" w:after="60"/>
              <w:rPr>
                <w:sz w:val="22"/>
                <w:szCs w:val="22"/>
              </w:rPr>
            </w:pPr>
            <w:r w:rsidRPr="00264D5D">
              <w:rPr>
                <w:sz w:val="22"/>
                <w:szCs w:val="22"/>
              </w:rPr>
              <w:t>RsltsR8</w:t>
            </w:r>
          </w:p>
        </w:tc>
        <w:tc>
          <w:tcPr>
            <w:tcW w:w="295" w:type="pct"/>
          </w:tcPr>
          <w:p w14:paraId="35823A1A" w14:textId="77777777" w:rsidR="00AD1F54" w:rsidRPr="00264D5D" w:rsidRDefault="00941227">
            <w:pPr>
              <w:spacing w:before="60" w:after="60"/>
              <w:jc w:val="center"/>
              <w:rPr>
                <w:sz w:val="22"/>
                <w:szCs w:val="22"/>
              </w:rPr>
            </w:pPr>
            <w:r w:rsidRPr="00264D5D">
              <w:rPr>
                <w:sz w:val="22"/>
                <w:szCs w:val="22"/>
              </w:rPr>
              <w:t>П</w:t>
            </w:r>
          </w:p>
        </w:tc>
        <w:tc>
          <w:tcPr>
            <w:tcW w:w="587" w:type="pct"/>
          </w:tcPr>
          <w:p w14:paraId="5FFBBD0D" w14:textId="77777777" w:rsidR="00AD1F54" w:rsidRPr="00264D5D" w:rsidRDefault="00941227">
            <w:pPr>
              <w:spacing w:before="60" w:after="60"/>
              <w:jc w:val="left"/>
              <w:rPr>
                <w:sz w:val="22"/>
                <w:szCs w:val="22"/>
              </w:rPr>
            </w:pPr>
            <w:r w:rsidRPr="00264D5D">
              <w:rPr>
                <w:sz w:val="22"/>
                <w:szCs w:val="22"/>
              </w:rPr>
              <w:t>Т(1-2000)</w:t>
            </w:r>
          </w:p>
        </w:tc>
        <w:tc>
          <w:tcPr>
            <w:tcW w:w="295" w:type="pct"/>
          </w:tcPr>
          <w:p w14:paraId="5790921C" w14:textId="77777777" w:rsidR="00AD1F54" w:rsidRPr="00264D5D" w:rsidRDefault="00941227">
            <w:pPr>
              <w:spacing w:before="60" w:after="60"/>
              <w:jc w:val="center"/>
              <w:rPr>
                <w:sz w:val="22"/>
                <w:szCs w:val="22"/>
              </w:rPr>
            </w:pPr>
            <w:r w:rsidRPr="00264D5D">
              <w:rPr>
                <w:sz w:val="22"/>
                <w:szCs w:val="22"/>
              </w:rPr>
              <w:t>О</w:t>
            </w:r>
          </w:p>
        </w:tc>
        <w:tc>
          <w:tcPr>
            <w:tcW w:w="2056" w:type="pct"/>
          </w:tcPr>
          <w:p w14:paraId="604215B6" w14:textId="77777777" w:rsidR="00AD1F54" w:rsidRPr="00264D5D" w:rsidRDefault="00CE031E">
            <w:pPr>
              <w:spacing w:before="60" w:after="60"/>
              <w:rPr>
                <w:sz w:val="22"/>
                <w:szCs w:val="22"/>
              </w:rPr>
            </w:pPr>
            <w:r w:rsidRPr="00264D5D">
              <w:rPr>
                <w:sz w:val="22"/>
                <w:szCs w:val="22"/>
              </w:rPr>
              <w:t>Наименование ОКС (ОКВ), КМИ</w:t>
            </w:r>
          </w:p>
        </w:tc>
      </w:tr>
      <w:tr w:rsidR="00AD1F54" w:rsidRPr="00264D5D" w14:paraId="5CC48D1E" w14:textId="77777777" w:rsidTr="00AD1F54">
        <w:trPr>
          <w:cnfStyle w:val="000000100000" w:firstRow="0" w:lastRow="0" w:firstColumn="0" w:lastColumn="0" w:oddVBand="0" w:evenVBand="0" w:oddHBand="1" w:evenHBand="0" w:firstRowFirstColumn="0" w:firstRowLastColumn="0" w:lastRowFirstColumn="0" w:lastRowLastColumn="0"/>
        </w:trPr>
        <w:tc>
          <w:tcPr>
            <w:tcW w:w="883" w:type="pct"/>
          </w:tcPr>
          <w:p w14:paraId="761B64AA" w14:textId="77777777" w:rsidR="00AD1F54" w:rsidRPr="00264D5D" w:rsidRDefault="00941227">
            <w:pPr>
              <w:spacing w:before="60" w:after="60"/>
              <w:rPr>
                <w:sz w:val="22"/>
                <w:szCs w:val="22"/>
              </w:rPr>
            </w:pPr>
            <w:r w:rsidRPr="00264D5D">
              <w:rPr>
                <w:sz w:val="22"/>
                <w:szCs w:val="22"/>
              </w:rPr>
              <w:t>ОКС (ОКВ), КМИ</w:t>
            </w:r>
          </w:p>
        </w:tc>
        <w:tc>
          <w:tcPr>
            <w:tcW w:w="884" w:type="pct"/>
          </w:tcPr>
          <w:p w14:paraId="13F1C0DA" w14:textId="77777777" w:rsidR="00AD1F54" w:rsidRPr="00264D5D" w:rsidRDefault="00941227">
            <w:pPr>
              <w:spacing w:before="60" w:after="60"/>
              <w:rPr>
                <w:sz w:val="22"/>
                <w:szCs w:val="22"/>
              </w:rPr>
            </w:pPr>
            <w:r w:rsidRPr="00264D5D">
              <w:rPr>
                <w:sz w:val="22"/>
                <w:szCs w:val="22"/>
              </w:rPr>
              <w:t>RsltsR9</w:t>
            </w:r>
          </w:p>
        </w:tc>
        <w:tc>
          <w:tcPr>
            <w:tcW w:w="295" w:type="pct"/>
          </w:tcPr>
          <w:p w14:paraId="3C801EAC" w14:textId="77777777" w:rsidR="00AD1F54" w:rsidRPr="00264D5D" w:rsidRDefault="00941227">
            <w:pPr>
              <w:spacing w:before="60" w:after="60"/>
              <w:jc w:val="center"/>
              <w:rPr>
                <w:sz w:val="22"/>
                <w:szCs w:val="22"/>
              </w:rPr>
            </w:pPr>
            <w:r w:rsidRPr="00264D5D">
              <w:rPr>
                <w:sz w:val="22"/>
                <w:szCs w:val="22"/>
              </w:rPr>
              <w:t>П</w:t>
            </w:r>
          </w:p>
        </w:tc>
        <w:tc>
          <w:tcPr>
            <w:tcW w:w="587" w:type="pct"/>
          </w:tcPr>
          <w:p w14:paraId="1A257E29" w14:textId="77777777" w:rsidR="00AD1F54" w:rsidRPr="00264D5D" w:rsidRDefault="00941227">
            <w:pPr>
              <w:spacing w:before="60" w:after="60"/>
              <w:jc w:val="left"/>
              <w:rPr>
                <w:sz w:val="22"/>
                <w:szCs w:val="22"/>
              </w:rPr>
            </w:pPr>
            <w:r w:rsidRPr="00264D5D">
              <w:rPr>
                <w:sz w:val="22"/>
                <w:szCs w:val="22"/>
              </w:rPr>
              <w:t>Т(1-24)</w:t>
            </w:r>
          </w:p>
        </w:tc>
        <w:tc>
          <w:tcPr>
            <w:tcW w:w="295" w:type="pct"/>
          </w:tcPr>
          <w:p w14:paraId="2B659DEC" w14:textId="77777777" w:rsidR="00AD1F54" w:rsidRPr="00264D5D" w:rsidRDefault="00941227">
            <w:pPr>
              <w:spacing w:before="60" w:after="60"/>
              <w:jc w:val="center"/>
              <w:rPr>
                <w:sz w:val="22"/>
                <w:szCs w:val="22"/>
              </w:rPr>
            </w:pPr>
            <w:r w:rsidRPr="00264D5D">
              <w:rPr>
                <w:sz w:val="22"/>
                <w:szCs w:val="22"/>
              </w:rPr>
              <w:t>О</w:t>
            </w:r>
          </w:p>
        </w:tc>
        <w:tc>
          <w:tcPr>
            <w:tcW w:w="2056" w:type="pct"/>
          </w:tcPr>
          <w:p w14:paraId="746834F5" w14:textId="77777777" w:rsidR="00AD1F54" w:rsidRPr="00264D5D" w:rsidRDefault="00941227">
            <w:pPr>
              <w:spacing w:before="60" w:after="60"/>
              <w:rPr>
                <w:sz w:val="22"/>
                <w:szCs w:val="22"/>
              </w:rPr>
            </w:pPr>
            <w:r w:rsidRPr="00264D5D">
              <w:rPr>
                <w:sz w:val="22"/>
                <w:szCs w:val="22"/>
              </w:rPr>
              <w:t>Указывается уникальный код объекта капитального строительства или объекта недвижимости, ко</w:t>
            </w:r>
            <w:r w:rsidR="00CE031E" w:rsidRPr="00264D5D">
              <w:rPr>
                <w:sz w:val="22"/>
                <w:szCs w:val="22"/>
              </w:rPr>
              <w:t>д мероприятия по информатизации</w:t>
            </w:r>
          </w:p>
        </w:tc>
      </w:tr>
      <w:tr w:rsidR="00AD1F54" w:rsidRPr="00264D5D" w14:paraId="00B58981" w14:textId="77777777" w:rsidTr="00AD1F54">
        <w:trPr>
          <w:cnfStyle w:val="000000010000" w:firstRow="0" w:lastRow="0" w:firstColumn="0" w:lastColumn="0" w:oddVBand="0" w:evenVBand="0" w:oddHBand="0" w:evenHBand="1" w:firstRowFirstColumn="0" w:firstRowLastColumn="0" w:lastRowFirstColumn="0" w:lastRowLastColumn="0"/>
        </w:trPr>
        <w:tc>
          <w:tcPr>
            <w:tcW w:w="883" w:type="pct"/>
          </w:tcPr>
          <w:p w14:paraId="7B66AA50" w14:textId="77777777" w:rsidR="00AD1F54" w:rsidRPr="00264D5D" w:rsidRDefault="00941227">
            <w:pPr>
              <w:spacing w:before="60" w:after="60"/>
              <w:rPr>
                <w:sz w:val="22"/>
                <w:szCs w:val="22"/>
              </w:rPr>
            </w:pPr>
            <w:r w:rsidRPr="00264D5D">
              <w:rPr>
                <w:sz w:val="22"/>
                <w:szCs w:val="22"/>
              </w:rPr>
              <w:t>Итого по ОКС (ОКВ), КМИ.</w:t>
            </w:r>
          </w:p>
          <w:p w14:paraId="2CA0A6EA" w14:textId="77777777" w:rsidR="00AD1F54" w:rsidRPr="00264D5D" w:rsidRDefault="00941227">
            <w:pPr>
              <w:spacing w:before="60" w:after="60"/>
              <w:rPr>
                <w:sz w:val="22"/>
                <w:szCs w:val="22"/>
              </w:rPr>
            </w:pPr>
            <w:r w:rsidRPr="00264D5D">
              <w:rPr>
                <w:sz w:val="22"/>
                <w:szCs w:val="22"/>
              </w:rPr>
              <w:t>Сумма на январь</w:t>
            </w:r>
          </w:p>
        </w:tc>
        <w:tc>
          <w:tcPr>
            <w:tcW w:w="884" w:type="pct"/>
          </w:tcPr>
          <w:p w14:paraId="2A302F8F" w14:textId="77777777" w:rsidR="00AD1F54" w:rsidRPr="00264D5D" w:rsidRDefault="00941227">
            <w:pPr>
              <w:spacing w:before="60" w:after="60"/>
              <w:rPr>
                <w:sz w:val="22"/>
                <w:szCs w:val="22"/>
              </w:rPr>
            </w:pPr>
            <w:r w:rsidRPr="00264D5D">
              <w:rPr>
                <w:sz w:val="22"/>
                <w:szCs w:val="22"/>
              </w:rPr>
              <w:t>SmJnr</w:t>
            </w:r>
          </w:p>
        </w:tc>
        <w:tc>
          <w:tcPr>
            <w:tcW w:w="295" w:type="pct"/>
          </w:tcPr>
          <w:p w14:paraId="159D3E8B" w14:textId="77777777" w:rsidR="00AD1F54" w:rsidRPr="00264D5D" w:rsidRDefault="00941227">
            <w:pPr>
              <w:spacing w:before="60" w:after="60"/>
              <w:jc w:val="center"/>
              <w:rPr>
                <w:sz w:val="22"/>
                <w:szCs w:val="22"/>
              </w:rPr>
            </w:pPr>
            <w:r w:rsidRPr="00264D5D">
              <w:rPr>
                <w:sz w:val="22"/>
                <w:szCs w:val="22"/>
              </w:rPr>
              <w:t>П</w:t>
            </w:r>
          </w:p>
        </w:tc>
        <w:tc>
          <w:tcPr>
            <w:tcW w:w="587" w:type="pct"/>
          </w:tcPr>
          <w:p w14:paraId="4C7519CF" w14:textId="77777777" w:rsidR="00AD1F54" w:rsidRPr="00264D5D" w:rsidRDefault="00941227">
            <w:pPr>
              <w:spacing w:before="60" w:after="60"/>
              <w:jc w:val="left"/>
              <w:rPr>
                <w:sz w:val="22"/>
                <w:szCs w:val="22"/>
              </w:rPr>
            </w:pPr>
            <w:r w:rsidRPr="00264D5D">
              <w:rPr>
                <w:sz w:val="22"/>
                <w:szCs w:val="22"/>
              </w:rPr>
              <w:t>N(20.2)</w:t>
            </w:r>
          </w:p>
        </w:tc>
        <w:tc>
          <w:tcPr>
            <w:tcW w:w="295" w:type="pct"/>
          </w:tcPr>
          <w:p w14:paraId="436C06B2" w14:textId="77777777" w:rsidR="00AD1F54" w:rsidRPr="00264D5D" w:rsidRDefault="00941227">
            <w:pPr>
              <w:spacing w:before="60" w:after="60"/>
              <w:jc w:val="center"/>
              <w:rPr>
                <w:sz w:val="22"/>
                <w:szCs w:val="22"/>
              </w:rPr>
            </w:pPr>
            <w:r w:rsidRPr="00264D5D">
              <w:rPr>
                <w:sz w:val="22"/>
                <w:szCs w:val="22"/>
              </w:rPr>
              <w:t>О</w:t>
            </w:r>
          </w:p>
        </w:tc>
        <w:tc>
          <w:tcPr>
            <w:tcW w:w="2056" w:type="pct"/>
          </w:tcPr>
          <w:p w14:paraId="2249B51B" w14:textId="77777777" w:rsidR="00AD1F54" w:rsidRPr="00264D5D" w:rsidRDefault="00941227">
            <w:pPr>
              <w:spacing w:before="60" w:after="60"/>
              <w:rPr>
                <w:sz w:val="22"/>
                <w:szCs w:val="22"/>
              </w:rPr>
            </w:pPr>
            <w:r w:rsidRPr="00264D5D">
              <w:rPr>
                <w:sz w:val="22"/>
                <w:szCs w:val="22"/>
              </w:rPr>
              <w:t>При отсут</w:t>
            </w:r>
            <w:r w:rsidR="00CE031E" w:rsidRPr="00264D5D">
              <w:rPr>
                <w:sz w:val="22"/>
                <w:szCs w:val="22"/>
              </w:rPr>
              <w:t>ствии значения указывается 0.00</w:t>
            </w:r>
          </w:p>
        </w:tc>
      </w:tr>
      <w:tr w:rsidR="00AD1F54" w:rsidRPr="00264D5D" w14:paraId="4B1C43EF" w14:textId="77777777" w:rsidTr="00AD1F54">
        <w:trPr>
          <w:cnfStyle w:val="000000100000" w:firstRow="0" w:lastRow="0" w:firstColumn="0" w:lastColumn="0" w:oddVBand="0" w:evenVBand="0" w:oddHBand="1" w:evenHBand="0" w:firstRowFirstColumn="0" w:firstRowLastColumn="0" w:lastRowFirstColumn="0" w:lastRowLastColumn="0"/>
        </w:trPr>
        <w:tc>
          <w:tcPr>
            <w:tcW w:w="883" w:type="pct"/>
          </w:tcPr>
          <w:p w14:paraId="4F68D249" w14:textId="77777777" w:rsidR="00AD1F54" w:rsidRPr="00264D5D" w:rsidRDefault="00941227">
            <w:pPr>
              <w:spacing w:before="60" w:after="60"/>
              <w:rPr>
                <w:sz w:val="22"/>
                <w:szCs w:val="22"/>
              </w:rPr>
            </w:pPr>
            <w:r w:rsidRPr="00264D5D">
              <w:rPr>
                <w:sz w:val="22"/>
                <w:szCs w:val="22"/>
              </w:rPr>
              <w:t>Итого по ОКС (ОКВ), КМИ.</w:t>
            </w:r>
          </w:p>
          <w:p w14:paraId="03580BBF" w14:textId="77777777" w:rsidR="00AD1F54" w:rsidRPr="00264D5D" w:rsidRDefault="00941227">
            <w:pPr>
              <w:spacing w:before="60" w:after="60"/>
              <w:rPr>
                <w:sz w:val="22"/>
                <w:szCs w:val="22"/>
              </w:rPr>
            </w:pPr>
            <w:r w:rsidRPr="00264D5D">
              <w:rPr>
                <w:sz w:val="22"/>
                <w:szCs w:val="22"/>
              </w:rPr>
              <w:t>Сумма на февраль</w:t>
            </w:r>
          </w:p>
        </w:tc>
        <w:tc>
          <w:tcPr>
            <w:tcW w:w="884" w:type="pct"/>
          </w:tcPr>
          <w:p w14:paraId="63C7596E" w14:textId="77777777" w:rsidR="00AD1F54" w:rsidRPr="00264D5D" w:rsidRDefault="00941227">
            <w:pPr>
              <w:spacing w:before="60" w:after="60"/>
              <w:rPr>
                <w:sz w:val="22"/>
                <w:szCs w:val="22"/>
              </w:rPr>
            </w:pPr>
            <w:r w:rsidRPr="00264D5D">
              <w:rPr>
                <w:sz w:val="22"/>
                <w:szCs w:val="22"/>
              </w:rPr>
              <w:t>SmFbrr</w:t>
            </w:r>
          </w:p>
        </w:tc>
        <w:tc>
          <w:tcPr>
            <w:tcW w:w="295" w:type="pct"/>
          </w:tcPr>
          <w:p w14:paraId="71BEAFE4" w14:textId="77777777" w:rsidR="00AD1F54" w:rsidRPr="00264D5D" w:rsidRDefault="00941227">
            <w:pPr>
              <w:spacing w:before="60" w:after="60"/>
              <w:jc w:val="center"/>
              <w:rPr>
                <w:sz w:val="22"/>
                <w:szCs w:val="22"/>
              </w:rPr>
            </w:pPr>
            <w:r w:rsidRPr="00264D5D">
              <w:rPr>
                <w:sz w:val="22"/>
                <w:szCs w:val="22"/>
              </w:rPr>
              <w:t>П</w:t>
            </w:r>
          </w:p>
        </w:tc>
        <w:tc>
          <w:tcPr>
            <w:tcW w:w="587" w:type="pct"/>
          </w:tcPr>
          <w:p w14:paraId="3B6EC35A" w14:textId="77777777" w:rsidR="00AD1F54" w:rsidRPr="00264D5D" w:rsidRDefault="00941227">
            <w:pPr>
              <w:spacing w:before="60" w:after="60"/>
              <w:jc w:val="left"/>
              <w:rPr>
                <w:sz w:val="22"/>
                <w:szCs w:val="22"/>
              </w:rPr>
            </w:pPr>
            <w:r w:rsidRPr="00264D5D">
              <w:rPr>
                <w:sz w:val="22"/>
                <w:szCs w:val="22"/>
              </w:rPr>
              <w:t>N(20.2)</w:t>
            </w:r>
          </w:p>
        </w:tc>
        <w:tc>
          <w:tcPr>
            <w:tcW w:w="295" w:type="pct"/>
          </w:tcPr>
          <w:p w14:paraId="2349218C" w14:textId="77777777" w:rsidR="00AD1F54" w:rsidRPr="00264D5D" w:rsidRDefault="00941227">
            <w:pPr>
              <w:spacing w:before="60" w:after="60"/>
              <w:jc w:val="center"/>
              <w:rPr>
                <w:sz w:val="22"/>
                <w:szCs w:val="22"/>
              </w:rPr>
            </w:pPr>
            <w:r w:rsidRPr="00264D5D">
              <w:rPr>
                <w:sz w:val="22"/>
                <w:szCs w:val="22"/>
              </w:rPr>
              <w:t>О</w:t>
            </w:r>
          </w:p>
        </w:tc>
        <w:tc>
          <w:tcPr>
            <w:tcW w:w="2056" w:type="pct"/>
          </w:tcPr>
          <w:p w14:paraId="4798C722" w14:textId="77777777" w:rsidR="00AD1F54" w:rsidRPr="00264D5D" w:rsidRDefault="00941227">
            <w:pPr>
              <w:spacing w:before="60" w:after="60"/>
              <w:rPr>
                <w:sz w:val="22"/>
                <w:szCs w:val="22"/>
              </w:rPr>
            </w:pPr>
            <w:r w:rsidRPr="00264D5D">
              <w:rPr>
                <w:sz w:val="22"/>
                <w:szCs w:val="22"/>
              </w:rPr>
              <w:t>При отсутствии значения указывается 0</w:t>
            </w:r>
            <w:r w:rsidR="00CE031E" w:rsidRPr="00264D5D">
              <w:rPr>
                <w:sz w:val="22"/>
                <w:szCs w:val="22"/>
              </w:rPr>
              <w:t>.00</w:t>
            </w:r>
          </w:p>
        </w:tc>
      </w:tr>
      <w:tr w:rsidR="00AD1F54" w:rsidRPr="00264D5D" w14:paraId="4420620C" w14:textId="77777777" w:rsidTr="00AD1F54">
        <w:trPr>
          <w:cnfStyle w:val="000000010000" w:firstRow="0" w:lastRow="0" w:firstColumn="0" w:lastColumn="0" w:oddVBand="0" w:evenVBand="0" w:oddHBand="0" w:evenHBand="1" w:firstRowFirstColumn="0" w:firstRowLastColumn="0" w:lastRowFirstColumn="0" w:lastRowLastColumn="0"/>
        </w:trPr>
        <w:tc>
          <w:tcPr>
            <w:tcW w:w="883" w:type="pct"/>
          </w:tcPr>
          <w:p w14:paraId="166706D6" w14:textId="77777777" w:rsidR="00AD1F54" w:rsidRPr="00264D5D" w:rsidRDefault="00941227">
            <w:pPr>
              <w:spacing w:before="60" w:after="60"/>
              <w:rPr>
                <w:sz w:val="22"/>
                <w:szCs w:val="22"/>
              </w:rPr>
            </w:pPr>
            <w:r w:rsidRPr="00264D5D">
              <w:rPr>
                <w:sz w:val="22"/>
                <w:szCs w:val="22"/>
              </w:rPr>
              <w:t>Итого по ОКС (ОКВ), КМИ.</w:t>
            </w:r>
          </w:p>
          <w:p w14:paraId="097DFF83" w14:textId="77777777" w:rsidR="00AD1F54" w:rsidRPr="00264D5D" w:rsidRDefault="00941227">
            <w:pPr>
              <w:spacing w:before="60" w:after="60"/>
              <w:jc w:val="left"/>
              <w:rPr>
                <w:sz w:val="22"/>
                <w:szCs w:val="22"/>
              </w:rPr>
            </w:pPr>
            <w:r w:rsidRPr="00264D5D">
              <w:rPr>
                <w:sz w:val="22"/>
                <w:szCs w:val="22"/>
              </w:rPr>
              <w:t>Сумма на март</w:t>
            </w:r>
          </w:p>
        </w:tc>
        <w:tc>
          <w:tcPr>
            <w:tcW w:w="884" w:type="pct"/>
          </w:tcPr>
          <w:p w14:paraId="41BFE7CE" w14:textId="77777777" w:rsidR="00AD1F54" w:rsidRPr="00264D5D" w:rsidRDefault="00941227">
            <w:pPr>
              <w:spacing w:before="60" w:after="60"/>
              <w:rPr>
                <w:sz w:val="22"/>
                <w:szCs w:val="22"/>
              </w:rPr>
            </w:pPr>
            <w:r w:rsidRPr="00264D5D">
              <w:rPr>
                <w:sz w:val="22"/>
                <w:szCs w:val="22"/>
              </w:rPr>
              <w:t>SmMrch</w:t>
            </w:r>
          </w:p>
        </w:tc>
        <w:tc>
          <w:tcPr>
            <w:tcW w:w="295" w:type="pct"/>
          </w:tcPr>
          <w:p w14:paraId="7A2CB1E8" w14:textId="77777777" w:rsidR="00AD1F54" w:rsidRPr="00264D5D" w:rsidRDefault="00941227">
            <w:pPr>
              <w:spacing w:before="60" w:after="60"/>
              <w:jc w:val="center"/>
              <w:rPr>
                <w:sz w:val="22"/>
                <w:szCs w:val="22"/>
              </w:rPr>
            </w:pPr>
            <w:r w:rsidRPr="00264D5D">
              <w:rPr>
                <w:sz w:val="22"/>
                <w:szCs w:val="22"/>
              </w:rPr>
              <w:t>П</w:t>
            </w:r>
          </w:p>
        </w:tc>
        <w:tc>
          <w:tcPr>
            <w:tcW w:w="587" w:type="pct"/>
          </w:tcPr>
          <w:p w14:paraId="1FB21CF3" w14:textId="77777777" w:rsidR="00AD1F54" w:rsidRPr="00264D5D" w:rsidRDefault="00941227">
            <w:pPr>
              <w:spacing w:before="60" w:after="60"/>
              <w:jc w:val="left"/>
              <w:rPr>
                <w:sz w:val="22"/>
                <w:szCs w:val="22"/>
              </w:rPr>
            </w:pPr>
            <w:r w:rsidRPr="00264D5D">
              <w:rPr>
                <w:sz w:val="22"/>
                <w:szCs w:val="22"/>
              </w:rPr>
              <w:t>N(20.2)</w:t>
            </w:r>
          </w:p>
        </w:tc>
        <w:tc>
          <w:tcPr>
            <w:tcW w:w="295" w:type="pct"/>
          </w:tcPr>
          <w:p w14:paraId="0F0D5FEF" w14:textId="77777777" w:rsidR="00AD1F54" w:rsidRPr="00264D5D" w:rsidRDefault="00941227">
            <w:pPr>
              <w:spacing w:before="60" w:after="60"/>
              <w:jc w:val="center"/>
              <w:rPr>
                <w:sz w:val="22"/>
                <w:szCs w:val="22"/>
              </w:rPr>
            </w:pPr>
            <w:r w:rsidRPr="00264D5D">
              <w:rPr>
                <w:sz w:val="22"/>
                <w:szCs w:val="22"/>
              </w:rPr>
              <w:t>О</w:t>
            </w:r>
          </w:p>
        </w:tc>
        <w:tc>
          <w:tcPr>
            <w:tcW w:w="2056" w:type="pct"/>
          </w:tcPr>
          <w:p w14:paraId="0F261C82" w14:textId="77777777" w:rsidR="00AD1F54" w:rsidRPr="00264D5D" w:rsidRDefault="00941227">
            <w:pPr>
              <w:spacing w:before="60" w:after="60"/>
              <w:rPr>
                <w:sz w:val="22"/>
                <w:szCs w:val="22"/>
              </w:rPr>
            </w:pPr>
            <w:r w:rsidRPr="00264D5D">
              <w:rPr>
                <w:sz w:val="22"/>
                <w:szCs w:val="22"/>
              </w:rPr>
              <w:t>При отсут</w:t>
            </w:r>
            <w:r w:rsidR="00CE031E" w:rsidRPr="00264D5D">
              <w:rPr>
                <w:sz w:val="22"/>
                <w:szCs w:val="22"/>
              </w:rPr>
              <w:t>ствии значения указывается 0.00</w:t>
            </w:r>
          </w:p>
        </w:tc>
      </w:tr>
      <w:tr w:rsidR="00AD1F54" w:rsidRPr="00264D5D" w14:paraId="3B0FA7D1" w14:textId="77777777" w:rsidTr="00AD1F54">
        <w:trPr>
          <w:cnfStyle w:val="000000100000" w:firstRow="0" w:lastRow="0" w:firstColumn="0" w:lastColumn="0" w:oddVBand="0" w:evenVBand="0" w:oddHBand="1" w:evenHBand="0" w:firstRowFirstColumn="0" w:firstRowLastColumn="0" w:lastRowFirstColumn="0" w:lastRowLastColumn="0"/>
        </w:trPr>
        <w:tc>
          <w:tcPr>
            <w:tcW w:w="883" w:type="pct"/>
          </w:tcPr>
          <w:p w14:paraId="295E3064" w14:textId="77777777" w:rsidR="00AD1F54" w:rsidRPr="00264D5D" w:rsidRDefault="00941227">
            <w:pPr>
              <w:spacing w:before="60" w:after="60"/>
              <w:rPr>
                <w:sz w:val="22"/>
                <w:szCs w:val="22"/>
              </w:rPr>
            </w:pPr>
            <w:r w:rsidRPr="00264D5D">
              <w:rPr>
                <w:sz w:val="22"/>
                <w:szCs w:val="22"/>
              </w:rPr>
              <w:lastRenderedPageBreak/>
              <w:t>Итого по ОКС (ОКВ), КМИ.</w:t>
            </w:r>
          </w:p>
          <w:p w14:paraId="1D73317D" w14:textId="77777777" w:rsidR="00AD1F54" w:rsidRPr="00264D5D" w:rsidRDefault="00941227">
            <w:pPr>
              <w:spacing w:before="60" w:after="60"/>
              <w:jc w:val="left"/>
              <w:rPr>
                <w:sz w:val="22"/>
                <w:szCs w:val="22"/>
              </w:rPr>
            </w:pPr>
            <w:r w:rsidRPr="00264D5D">
              <w:rPr>
                <w:sz w:val="22"/>
                <w:szCs w:val="22"/>
              </w:rPr>
              <w:t>Сумма на апрель</w:t>
            </w:r>
          </w:p>
        </w:tc>
        <w:tc>
          <w:tcPr>
            <w:tcW w:w="884" w:type="pct"/>
          </w:tcPr>
          <w:p w14:paraId="673E54FC" w14:textId="77777777" w:rsidR="00AD1F54" w:rsidRPr="00264D5D" w:rsidRDefault="00941227">
            <w:pPr>
              <w:spacing w:before="60" w:after="60"/>
              <w:rPr>
                <w:sz w:val="22"/>
                <w:szCs w:val="22"/>
              </w:rPr>
            </w:pPr>
            <w:r w:rsidRPr="00264D5D">
              <w:rPr>
                <w:sz w:val="22"/>
                <w:szCs w:val="22"/>
              </w:rPr>
              <w:t>SmAprl</w:t>
            </w:r>
          </w:p>
        </w:tc>
        <w:tc>
          <w:tcPr>
            <w:tcW w:w="295" w:type="pct"/>
          </w:tcPr>
          <w:p w14:paraId="5D4F39D0" w14:textId="77777777" w:rsidR="00AD1F54" w:rsidRPr="00264D5D" w:rsidRDefault="00941227">
            <w:pPr>
              <w:spacing w:before="60" w:after="60"/>
              <w:jc w:val="center"/>
              <w:rPr>
                <w:sz w:val="22"/>
                <w:szCs w:val="22"/>
              </w:rPr>
            </w:pPr>
            <w:r w:rsidRPr="00264D5D">
              <w:rPr>
                <w:sz w:val="22"/>
                <w:szCs w:val="22"/>
              </w:rPr>
              <w:t>П</w:t>
            </w:r>
          </w:p>
        </w:tc>
        <w:tc>
          <w:tcPr>
            <w:tcW w:w="587" w:type="pct"/>
          </w:tcPr>
          <w:p w14:paraId="4369BA7A" w14:textId="77777777" w:rsidR="00AD1F54" w:rsidRPr="00264D5D" w:rsidRDefault="00941227">
            <w:pPr>
              <w:spacing w:before="60" w:after="60"/>
              <w:jc w:val="left"/>
              <w:rPr>
                <w:sz w:val="22"/>
                <w:szCs w:val="22"/>
              </w:rPr>
            </w:pPr>
            <w:r w:rsidRPr="00264D5D">
              <w:rPr>
                <w:sz w:val="22"/>
                <w:szCs w:val="22"/>
              </w:rPr>
              <w:t>N(20.2)</w:t>
            </w:r>
          </w:p>
        </w:tc>
        <w:tc>
          <w:tcPr>
            <w:tcW w:w="295" w:type="pct"/>
          </w:tcPr>
          <w:p w14:paraId="4A23B2F6" w14:textId="77777777" w:rsidR="00AD1F54" w:rsidRPr="00264D5D" w:rsidRDefault="00941227">
            <w:pPr>
              <w:spacing w:before="60" w:after="60"/>
              <w:jc w:val="center"/>
              <w:rPr>
                <w:sz w:val="22"/>
                <w:szCs w:val="22"/>
              </w:rPr>
            </w:pPr>
            <w:r w:rsidRPr="00264D5D">
              <w:rPr>
                <w:sz w:val="22"/>
                <w:szCs w:val="22"/>
              </w:rPr>
              <w:t>О</w:t>
            </w:r>
          </w:p>
        </w:tc>
        <w:tc>
          <w:tcPr>
            <w:tcW w:w="2056" w:type="pct"/>
          </w:tcPr>
          <w:p w14:paraId="56955CA2" w14:textId="77777777" w:rsidR="00AD1F54" w:rsidRPr="00264D5D" w:rsidRDefault="00941227">
            <w:pPr>
              <w:spacing w:before="60" w:after="60"/>
              <w:rPr>
                <w:sz w:val="22"/>
                <w:szCs w:val="22"/>
              </w:rPr>
            </w:pPr>
            <w:r w:rsidRPr="00264D5D">
              <w:rPr>
                <w:sz w:val="22"/>
                <w:szCs w:val="22"/>
              </w:rPr>
              <w:t>При отсут</w:t>
            </w:r>
            <w:r w:rsidR="00CE031E" w:rsidRPr="00264D5D">
              <w:rPr>
                <w:sz w:val="22"/>
                <w:szCs w:val="22"/>
              </w:rPr>
              <w:t>ствии значения указывается 0.00</w:t>
            </w:r>
          </w:p>
        </w:tc>
      </w:tr>
      <w:tr w:rsidR="00AD1F54" w:rsidRPr="00264D5D" w14:paraId="7D6D8A8D" w14:textId="77777777" w:rsidTr="00AD1F54">
        <w:trPr>
          <w:cnfStyle w:val="000000010000" w:firstRow="0" w:lastRow="0" w:firstColumn="0" w:lastColumn="0" w:oddVBand="0" w:evenVBand="0" w:oddHBand="0" w:evenHBand="1" w:firstRowFirstColumn="0" w:firstRowLastColumn="0" w:lastRowFirstColumn="0" w:lastRowLastColumn="0"/>
        </w:trPr>
        <w:tc>
          <w:tcPr>
            <w:tcW w:w="883" w:type="pct"/>
          </w:tcPr>
          <w:p w14:paraId="62A5C528" w14:textId="77777777" w:rsidR="00AD1F54" w:rsidRPr="00264D5D" w:rsidRDefault="00941227">
            <w:pPr>
              <w:spacing w:before="60" w:after="60"/>
              <w:rPr>
                <w:sz w:val="22"/>
                <w:szCs w:val="22"/>
              </w:rPr>
            </w:pPr>
            <w:r w:rsidRPr="00264D5D">
              <w:rPr>
                <w:sz w:val="22"/>
                <w:szCs w:val="22"/>
              </w:rPr>
              <w:t>Итого по ОКС (ОКВ), КМИ.</w:t>
            </w:r>
          </w:p>
          <w:p w14:paraId="0C896D45" w14:textId="77777777" w:rsidR="00AD1F54" w:rsidRPr="00264D5D" w:rsidRDefault="00941227">
            <w:pPr>
              <w:spacing w:before="60" w:after="60"/>
              <w:jc w:val="left"/>
              <w:rPr>
                <w:sz w:val="22"/>
                <w:szCs w:val="22"/>
              </w:rPr>
            </w:pPr>
            <w:r w:rsidRPr="00264D5D">
              <w:rPr>
                <w:sz w:val="22"/>
                <w:szCs w:val="22"/>
              </w:rPr>
              <w:t>Сумма на май</w:t>
            </w:r>
          </w:p>
        </w:tc>
        <w:tc>
          <w:tcPr>
            <w:tcW w:w="884" w:type="pct"/>
          </w:tcPr>
          <w:p w14:paraId="0F31AC76" w14:textId="77777777" w:rsidR="00AD1F54" w:rsidRPr="00264D5D" w:rsidRDefault="00941227">
            <w:pPr>
              <w:spacing w:before="60" w:after="60"/>
              <w:rPr>
                <w:sz w:val="22"/>
                <w:szCs w:val="22"/>
              </w:rPr>
            </w:pPr>
            <w:r w:rsidRPr="00264D5D">
              <w:rPr>
                <w:sz w:val="22"/>
                <w:szCs w:val="22"/>
              </w:rPr>
              <w:t>SmMay</w:t>
            </w:r>
          </w:p>
        </w:tc>
        <w:tc>
          <w:tcPr>
            <w:tcW w:w="295" w:type="pct"/>
          </w:tcPr>
          <w:p w14:paraId="7FB1EDC6" w14:textId="77777777" w:rsidR="00AD1F54" w:rsidRPr="00264D5D" w:rsidRDefault="00941227">
            <w:pPr>
              <w:spacing w:before="60" w:after="60"/>
              <w:jc w:val="center"/>
              <w:rPr>
                <w:sz w:val="22"/>
                <w:szCs w:val="22"/>
              </w:rPr>
            </w:pPr>
            <w:r w:rsidRPr="00264D5D">
              <w:rPr>
                <w:sz w:val="22"/>
                <w:szCs w:val="22"/>
              </w:rPr>
              <w:t>П</w:t>
            </w:r>
          </w:p>
        </w:tc>
        <w:tc>
          <w:tcPr>
            <w:tcW w:w="587" w:type="pct"/>
          </w:tcPr>
          <w:p w14:paraId="67FBCCFF" w14:textId="77777777" w:rsidR="00AD1F54" w:rsidRPr="00264D5D" w:rsidRDefault="00941227">
            <w:pPr>
              <w:spacing w:before="60" w:after="60"/>
              <w:jc w:val="left"/>
              <w:rPr>
                <w:sz w:val="22"/>
                <w:szCs w:val="22"/>
              </w:rPr>
            </w:pPr>
            <w:r w:rsidRPr="00264D5D">
              <w:rPr>
                <w:sz w:val="22"/>
                <w:szCs w:val="22"/>
              </w:rPr>
              <w:t>N(20.2)</w:t>
            </w:r>
          </w:p>
        </w:tc>
        <w:tc>
          <w:tcPr>
            <w:tcW w:w="295" w:type="pct"/>
          </w:tcPr>
          <w:p w14:paraId="41F44D72" w14:textId="77777777" w:rsidR="00AD1F54" w:rsidRPr="00264D5D" w:rsidRDefault="00941227">
            <w:pPr>
              <w:spacing w:before="60" w:after="60"/>
              <w:jc w:val="center"/>
              <w:rPr>
                <w:sz w:val="22"/>
                <w:szCs w:val="22"/>
              </w:rPr>
            </w:pPr>
            <w:r w:rsidRPr="00264D5D">
              <w:rPr>
                <w:sz w:val="22"/>
                <w:szCs w:val="22"/>
              </w:rPr>
              <w:t>О</w:t>
            </w:r>
          </w:p>
        </w:tc>
        <w:tc>
          <w:tcPr>
            <w:tcW w:w="2056" w:type="pct"/>
          </w:tcPr>
          <w:p w14:paraId="544BDD16" w14:textId="77777777" w:rsidR="00AD1F54" w:rsidRPr="00264D5D" w:rsidRDefault="00941227">
            <w:pPr>
              <w:spacing w:before="60" w:after="60"/>
              <w:rPr>
                <w:sz w:val="22"/>
                <w:szCs w:val="22"/>
              </w:rPr>
            </w:pPr>
            <w:r w:rsidRPr="00264D5D">
              <w:rPr>
                <w:sz w:val="22"/>
                <w:szCs w:val="22"/>
              </w:rPr>
              <w:t>При отсут</w:t>
            </w:r>
            <w:r w:rsidR="00CE031E" w:rsidRPr="00264D5D">
              <w:rPr>
                <w:sz w:val="22"/>
                <w:szCs w:val="22"/>
              </w:rPr>
              <w:t>ствии значения указывается 0.00</w:t>
            </w:r>
          </w:p>
        </w:tc>
      </w:tr>
      <w:tr w:rsidR="00AD1F54" w:rsidRPr="00264D5D" w14:paraId="7718947B" w14:textId="77777777" w:rsidTr="00AD1F54">
        <w:trPr>
          <w:cnfStyle w:val="000000100000" w:firstRow="0" w:lastRow="0" w:firstColumn="0" w:lastColumn="0" w:oddVBand="0" w:evenVBand="0" w:oddHBand="1" w:evenHBand="0" w:firstRowFirstColumn="0" w:firstRowLastColumn="0" w:lastRowFirstColumn="0" w:lastRowLastColumn="0"/>
        </w:trPr>
        <w:tc>
          <w:tcPr>
            <w:tcW w:w="883" w:type="pct"/>
          </w:tcPr>
          <w:p w14:paraId="6E694333" w14:textId="77777777" w:rsidR="00AD1F54" w:rsidRPr="00264D5D" w:rsidRDefault="00941227">
            <w:pPr>
              <w:spacing w:before="60" w:after="60"/>
              <w:rPr>
                <w:sz w:val="22"/>
                <w:szCs w:val="22"/>
              </w:rPr>
            </w:pPr>
            <w:r w:rsidRPr="00264D5D">
              <w:rPr>
                <w:sz w:val="22"/>
                <w:szCs w:val="22"/>
              </w:rPr>
              <w:t>Итого по ОКС (ОКВ), КМИ.</w:t>
            </w:r>
          </w:p>
          <w:p w14:paraId="5743DEA8" w14:textId="77777777" w:rsidR="00AD1F54" w:rsidRPr="00264D5D" w:rsidRDefault="00941227">
            <w:pPr>
              <w:spacing w:before="60" w:after="60"/>
              <w:jc w:val="left"/>
              <w:rPr>
                <w:sz w:val="22"/>
                <w:szCs w:val="22"/>
              </w:rPr>
            </w:pPr>
            <w:r w:rsidRPr="00264D5D">
              <w:rPr>
                <w:sz w:val="22"/>
                <w:szCs w:val="22"/>
              </w:rPr>
              <w:t>Сумма на июнь</w:t>
            </w:r>
          </w:p>
        </w:tc>
        <w:tc>
          <w:tcPr>
            <w:tcW w:w="884" w:type="pct"/>
          </w:tcPr>
          <w:p w14:paraId="61C1B8DB" w14:textId="77777777" w:rsidR="00AD1F54" w:rsidRPr="00264D5D" w:rsidRDefault="00941227">
            <w:pPr>
              <w:spacing w:before="60" w:after="60"/>
              <w:rPr>
                <w:sz w:val="22"/>
                <w:szCs w:val="22"/>
              </w:rPr>
            </w:pPr>
            <w:r w:rsidRPr="00264D5D">
              <w:rPr>
                <w:sz w:val="22"/>
                <w:szCs w:val="22"/>
              </w:rPr>
              <w:t>SmJne</w:t>
            </w:r>
          </w:p>
        </w:tc>
        <w:tc>
          <w:tcPr>
            <w:tcW w:w="295" w:type="pct"/>
          </w:tcPr>
          <w:p w14:paraId="5FDDA3FD" w14:textId="77777777" w:rsidR="00AD1F54" w:rsidRPr="00264D5D" w:rsidRDefault="00941227">
            <w:pPr>
              <w:spacing w:before="60" w:after="60"/>
              <w:jc w:val="center"/>
              <w:rPr>
                <w:sz w:val="22"/>
                <w:szCs w:val="22"/>
              </w:rPr>
            </w:pPr>
            <w:r w:rsidRPr="00264D5D">
              <w:rPr>
                <w:sz w:val="22"/>
                <w:szCs w:val="22"/>
              </w:rPr>
              <w:t>П</w:t>
            </w:r>
          </w:p>
        </w:tc>
        <w:tc>
          <w:tcPr>
            <w:tcW w:w="587" w:type="pct"/>
          </w:tcPr>
          <w:p w14:paraId="54E91978" w14:textId="77777777" w:rsidR="00AD1F54" w:rsidRPr="00264D5D" w:rsidRDefault="00941227">
            <w:pPr>
              <w:spacing w:before="60" w:after="60"/>
              <w:jc w:val="left"/>
              <w:rPr>
                <w:sz w:val="22"/>
                <w:szCs w:val="22"/>
              </w:rPr>
            </w:pPr>
            <w:r w:rsidRPr="00264D5D">
              <w:rPr>
                <w:sz w:val="22"/>
                <w:szCs w:val="22"/>
              </w:rPr>
              <w:t>N(20.2)</w:t>
            </w:r>
          </w:p>
        </w:tc>
        <w:tc>
          <w:tcPr>
            <w:tcW w:w="295" w:type="pct"/>
          </w:tcPr>
          <w:p w14:paraId="0D82F467" w14:textId="77777777" w:rsidR="00AD1F54" w:rsidRPr="00264D5D" w:rsidRDefault="00941227">
            <w:pPr>
              <w:spacing w:before="60" w:after="60"/>
              <w:jc w:val="center"/>
              <w:rPr>
                <w:sz w:val="22"/>
                <w:szCs w:val="22"/>
              </w:rPr>
            </w:pPr>
            <w:r w:rsidRPr="00264D5D">
              <w:rPr>
                <w:sz w:val="22"/>
                <w:szCs w:val="22"/>
              </w:rPr>
              <w:t>О</w:t>
            </w:r>
          </w:p>
        </w:tc>
        <w:tc>
          <w:tcPr>
            <w:tcW w:w="2056" w:type="pct"/>
          </w:tcPr>
          <w:p w14:paraId="73E6C4CB" w14:textId="77777777" w:rsidR="00AD1F54" w:rsidRPr="00264D5D" w:rsidRDefault="00941227">
            <w:pPr>
              <w:spacing w:before="60" w:after="60"/>
              <w:rPr>
                <w:sz w:val="22"/>
                <w:szCs w:val="22"/>
              </w:rPr>
            </w:pPr>
            <w:r w:rsidRPr="00264D5D">
              <w:rPr>
                <w:sz w:val="22"/>
                <w:szCs w:val="22"/>
              </w:rPr>
              <w:t>При отсут</w:t>
            </w:r>
            <w:r w:rsidR="00CE031E" w:rsidRPr="00264D5D">
              <w:rPr>
                <w:sz w:val="22"/>
                <w:szCs w:val="22"/>
              </w:rPr>
              <w:t>ствии значения указывается 0.00</w:t>
            </w:r>
          </w:p>
        </w:tc>
      </w:tr>
      <w:tr w:rsidR="00AD1F54" w:rsidRPr="00264D5D" w14:paraId="29189F7B" w14:textId="77777777" w:rsidTr="00AD1F54">
        <w:trPr>
          <w:cnfStyle w:val="000000010000" w:firstRow="0" w:lastRow="0" w:firstColumn="0" w:lastColumn="0" w:oddVBand="0" w:evenVBand="0" w:oddHBand="0" w:evenHBand="1" w:firstRowFirstColumn="0" w:firstRowLastColumn="0" w:lastRowFirstColumn="0" w:lastRowLastColumn="0"/>
        </w:trPr>
        <w:tc>
          <w:tcPr>
            <w:tcW w:w="883" w:type="pct"/>
          </w:tcPr>
          <w:p w14:paraId="050532E4" w14:textId="77777777" w:rsidR="00AD1F54" w:rsidRPr="00264D5D" w:rsidRDefault="00941227">
            <w:pPr>
              <w:spacing w:before="60" w:after="60"/>
              <w:rPr>
                <w:sz w:val="22"/>
                <w:szCs w:val="22"/>
              </w:rPr>
            </w:pPr>
            <w:r w:rsidRPr="00264D5D">
              <w:rPr>
                <w:sz w:val="22"/>
                <w:szCs w:val="22"/>
              </w:rPr>
              <w:t>Итого по ОКС (ОКВ), КМИ.</w:t>
            </w:r>
          </w:p>
          <w:p w14:paraId="337E0036" w14:textId="77777777" w:rsidR="00AD1F54" w:rsidRPr="00264D5D" w:rsidRDefault="00941227">
            <w:pPr>
              <w:spacing w:before="60" w:after="60"/>
              <w:jc w:val="left"/>
              <w:rPr>
                <w:sz w:val="22"/>
                <w:szCs w:val="22"/>
              </w:rPr>
            </w:pPr>
            <w:r w:rsidRPr="00264D5D">
              <w:rPr>
                <w:sz w:val="22"/>
                <w:szCs w:val="22"/>
              </w:rPr>
              <w:t>Сумма на июль</w:t>
            </w:r>
          </w:p>
        </w:tc>
        <w:tc>
          <w:tcPr>
            <w:tcW w:w="884" w:type="pct"/>
          </w:tcPr>
          <w:p w14:paraId="03DAF7FB" w14:textId="77777777" w:rsidR="00AD1F54" w:rsidRPr="00264D5D" w:rsidRDefault="00941227">
            <w:pPr>
              <w:spacing w:before="60" w:after="60"/>
              <w:rPr>
                <w:sz w:val="22"/>
                <w:szCs w:val="22"/>
              </w:rPr>
            </w:pPr>
            <w:r w:rsidRPr="00264D5D">
              <w:rPr>
                <w:sz w:val="22"/>
                <w:szCs w:val="22"/>
              </w:rPr>
              <w:t>SmJl</w:t>
            </w:r>
          </w:p>
        </w:tc>
        <w:tc>
          <w:tcPr>
            <w:tcW w:w="295" w:type="pct"/>
          </w:tcPr>
          <w:p w14:paraId="0267FBEE" w14:textId="77777777" w:rsidR="00AD1F54" w:rsidRPr="00264D5D" w:rsidRDefault="00941227">
            <w:pPr>
              <w:spacing w:before="60" w:after="60"/>
              <w:jc w:val="center"/>
              <w:rPr>
                <w:sz w:val="22"/>
                <w:szCs w:val="22"/>
              </w:rPr>
            </w:pPr>
            <w:r w:rsidRPr="00264D5D">
              <w:rPr>
                <w:sz w:val="22"/>
                <w:szCs w:val="22"/>
              </w:rPr>
              <w:t>П</w:t>
            </w:r>
          </w:p>
        </w:tc>
        <w:tc>
          <w:tcPr>
            <w:tcW w:w="587" w:type="pct"/>
          </w:tcPr>
          <w:p w14:paraId="6A387F39" w14:textId="77777777" w:rsidR="00AD1F54" w:rsidRPr="00264D5D" w:rsidRDefault="00941227">
            <w:pPr>
              <w:spacing w:before="60" w:after="60"/>
              <w:jc w:val="left"/>
              <w:rPr>
                <w:sz w:val="22"/>
                <w:szCs w:val="22"/>
              </w:rPr>
            </w:pPr>
            <w:r w:rsidRPr="00264D5D">
              <w:rPr>
                <w:sz w:val="22"/>
                <w:szCs w:val="22"/>
              </w:rPr>
              <w:t>N(20.2)</w:t>
            </w:r>
          </w:p>
        </w:tc>
        <w:tc>
          <w:tcPr>
            <w:tcW w:w="295" w:type="pct"/>
          </w:tcPr>
          <w:p w14:paraId="14759C88" w14:textId="77777777" w:rsidR="00AD1F54" w:rsidRPr="00264D5D" w:rsidRDefault="00941227">
            <w:pPr>
              <w:spacing w:before="60" w:after="60"/>
              <w:jc w:val="center"/>
              <w:rPr>
                <w:sz w:val="22"/>
                <w:szCs w:val="22"/>
              </w:rPr>
            </w:pPr>
            <w:r w:rsidRPr="00264D5D">
              <w:rPr>
                <w:sz w:val="22"/>
                <w:szCs w:val="22"/>
              </w:rPr>
              <w:t>О</w:t>
            </w:r>
          </w:p>
        </w:tc>
        <w:tc>
          <w:tcPr>
            <w:tcW w:w="2056" w:type="pct"/>
          </w:tcPr>
          <w:p w14:paraId="7F02CA52" w14:textId="77777777" w:rsidR="00AD1F54" w:rsidRPr="00264D5D" w:rsidRDefault="00941227">
            <w:pPr>
              <w:spacing w:before="60" w:after="60"/>
              <w:rPr>
                <w:sz w:val="22"/>
                <w:szCs w:val="22"/>
              </w:rPr>
            </w:pPr>
            <w:r w:rsidRPr="00264D5D">
              <w:rPr>
                <w:sz w:val="22"/>
                <w:szCs w:val="22"/>
              </w:rPr>
              <w:t>При отсут</w:t>
            </w:r>
            <w:r w:rsidR="00CE031E" w:rsidRPr="00264D5D">
              <w:rPr>
                <w:sz w:val="22"/>
                <w:szCs w:val="22"/>
              </w:rPr>
              <w:t>ствии значения указывается 0.00</w:t>
            </w:r>
          </w:p>
        </w:tc>
      </w:tr>
      <w:tr w:rsidR="00AD1F54" w:rsidRPr="00264D5D" w14:paraId="406156EE" w14:textId="77777777" w:rsidTr="00AD1F54">
        <w:trPr>
          <w:cnfStyle w:val="000000100000" w:firstRow="0" w:lastRow="0" w:firstColumn="0" w:lastColumn="0" w:oddVBand="0" w:evenVBand="0" w:oddHBand="1" w:evenHBand="0" w:firstRowFirstColumn="0" w:firstRowLastColumn="0" w:lastRowFirstColumn="0" w:lastRowLastColumn="0"/>
        </w:trPr>
        <w:tc>
          <w:tcPr>
            <w:tcW w:w="883" w:type="pct"/>
          </w:tcPr>
          <w:p w14:paraId="30AAF68B" w14:textId="77777777" w:rsidR="00AD1F54" w:rsidRPr="00264D5D" w:rsidRDefault="00941227">
            <w:pPr>
              <w:spacing w:before="60" w:after="60"/>
              <w:rPr>
                <w:sz w:val="22"/>
                <w:szCs w:val="22"/>
              </w:rPr>
            </w:pPr>
            <w:r w:rsidRPr="00264D5D">
              <w:rPr>
                <w:sz w:val="22"/>
                <w:szCs w:val="22"/>
              </w:rPr>
              <w:t>Итого по ОКС (ОКВ), КМИ.</w:t>
            </w:r>
          </w:p>
          <w:p w14:paraId="29C10990" w14:textId="77777777" w:rsidR="00AD1F54" w:rsidRPr="00264D5D" w:rsidRDefault="00941227">
            <w:pPr>
              <w:spacing w:before="60" w:after="60"/>
              <w:jc w:val="left"/>
              <w:rPr>
                <w:sz w:val="22"/>
                <w:szCs w:val="22"/>
              </w:rPr>
            </w:pPr>
            <w:r w:rsidRPr="00264D5D">
              <w:rPr>
                <w:sz w:val="22"/>
                <w:szCs w:val="22"/>
              </w:rPr>
              <w:t>Сумма на август</w:t>
            </w:r>
          </w:p>
        </w:tc>
        <w:tc>
          <w:tcPr>
            <w:tcW w:w="884" w:type="pct"/>
          </w:tcPr>
          <w:p w14:paraId="6D98B5B2" w14:textId="77777777" w:rsidR="00AD1F54" w:rsidRPr="00264D5D" w:rsidRDefault="00941227">
            <w:pPr>
              <w:spacing w:before="60" w:after="60"/>
              <w:rPr>
                <w:sz w:val="22"/>
                <w:szCs w:val="22"/>
              </w:rPr>
            </w:pPr>
            <w:r w:rsidRPr="00264D5D">
              <w:rPr>
                <w:sz w:val="22"/>
                <w:szCs w:val="22"/>
              </w:rPr>
              <w:t>SmAgst</w:t>
            </w:r>
          </w:p>
        </w:tc>
        <w:tc>
          <w:tcPr>
            <w:tcW w:w="295" w:type="pct"/>
          </w:tcPr>
          <w:p w14:paraId="167F6C72" w14:textId="77777777" w:rsidR="00AD1F54" w:rsidRPr="00264D5D" w:rsidRDefault="00941227">
            <w:pPr>
              <w:spacing w:before="60" w:after="60"/>
              <w:jc w:val="center"/>
              <w:rPr>
                <w:sz w:val="22"/>
                <w:szCs w:val="22"/>
              </w:rPr>
            </w:pPr>
            <w:r w:rsidRPr="00264D5D">
              <w:rPr>
                <w:sz w:val="22"/>
                <w:szCs w:val="22"/>
              </w:rPr>
              <w:t>П</w:t>
            </w:r>
          </w:p>
        </w:tc>
        <w:tc>
          <w:tcPr>
            <w:tcW w:w="587" w:type="pct"/>
          </w:tcPr>
          <w:p w14:paraId="317011C7" w14:textId="77777777" w:rsidR="00AD1F54" w:rsidRPr="00264D5D" w:rsidRDefault="00941227">
            <w:pPr>
              <w:spacing w:before="60" w:after="60"/>
              <w:jc w:val="left"/>
              <w:rPr>
                <w:sz w:val="22"/>
                <w:szCs w:val="22"/>
              </w:rPr>
            </w:pPr>
            <w:r w:rsidRPr="00264D5D">
              <w:rPr>
                <w:sz w:val="22"/>
                <w:szCs w:val="22"/>
              </w:rPr>
              <w:t>N(20.2)</w:t>
            </w:r>
          </w:p>
        </w:tc>
        <w:tc>
          <w:tcPr>
            <w:tcW w:w="295" w:type="pct"/>
          </w:tcPr>
          <w:p w14:paraId="3366DA42" w14:textId="77777777" w:rsidR="00AD1F54" w:rsidRPr="00264D5D" w:rsidRDefault="00941227">
            <w:pPr>
              <w:spacing w:before="60" w:after="60"/>
              <w:jc w:val="center"/>
              <w:rPr>
                <w:sz w:val="22"/>
                <w:szCs w:val="22"/>
              </w:rPr>
            </w:pPr>
            <w:r w:rsidRPr="00264D5D">
              <w:rPr>
                <w:sz w:val="22"/>
                <w:szCs w:val="22"/>
              </w:rPr>
              <w:t>О</w:t>
            </w:r>
          </w:p>
        </w:tc>
        <w:tc>
          <w:tcPr>
            <w:tcW w:w="2056" w:type="pct"/>
          </w:tcPr>
          <w:p w14:paraId="0BCFDD16" w14:textId="77777777" w:rsidR="00AD1F54" w:rsidRPr="00264D5D" w:rsidRDefault="00941227">
            <w:pPr>
              <w:spacing w:before="60" w:after="60"/>
              <w:rPr>
                <w:sz w:val="22"/>
                <w:szCs w:val="22"/>
              </w:rPr>
            </w:pPr>
            <w:r w:rsidRPr="00264D5D">
              <w:rPr>
                <w:sz w:val="22"/>
                <w:szCs w:val="22"/>
              </w:rPr>
              <w:t>При отсут</w:t>
            </w:r>
            <w:r w:rsidR="00CE031E" w:rsidRPr="00264D5D">
              <w:rPr>
                <w:sz w:val="22"/>
                <w:szCs w:val="22"/>
              </w:rPr>
              <w:t>ствии значения указывается 0.00</w:t>
            </w:r>
          </w:p>
        </w:tc>
      </w:tr>
      <w:tr w:rsidR="00AD1F54" w:rsidRPr="00264D5D" w14:paraId="2F84FD18" w14:textId="77777777" w:rsidTr="00AD1F54">
        <w:trPr>
          <w:cnfStyle w:val="000000010000" w:firstRow="0" w:lastRow="0" w:firstColumn="0" w:lastColumn="0" w:oddVBand="0" w:evenVBand="0" w:oddHBand="0" w:evenHBand="1" w:firstRowFirstColumn="0" w:firstRowLastColumn="0" w:lastRowFirstColumn="0" w:lastRowLastColumn="0"/>
        </w:trPr>
        <w:tc>
          <w:tcPr>
            <w:tcW w:w="883" w:type="pct"/>
          </w:tcPr>
          <w:p w14:paraId="7150BC4E" w14:textId="77777777" w:rsidR="00AD1F54" w:rsidRPr="00264D5D" w:rsidRDefault="00941227">
            <w:pPr>
              <w:spacing w:before="60" w:after="60"/>
              <w:rPr>
                <w:sz w:val="22"/>
                <w:szCs w:val="22"/>
              </w:rPr>
            </w:pPr>
            <w:r w:rsidRPr="00264D5D">
              <w:rPr>
                <w:sz w:val="22"/>
                <w:szCs w:val="22"/>
              </w:rPr>
              <w:t>Итого по ОКС (ОКВ), КМИ.</w:t>
            </w:r>
          </w:p>
          <w:p w14:paraId="4154DFFE" w14:textId="77777777" w:rsidR="00AD1F54" w:rsidRPr="00264D5D" w:rsidRDefault="00941227">
            <w:pPr>
              <w:spacing w:before="60" w:after="60"/>
              <w:jc w:val="left"/>
              <w:rPr>
                <w:sz w:val="22"/>
                <w:szCs w:val="22"/>
              </w:rPr>
            </w:pPr>
            <w:r w:rsidRPr="00264D5D">
              <w:rPr>
                <w:sz w:val="22"/>
                <w:szCs w:val="22"/>
              </w:rPr>
              <w:t>Сумма на сентябрь</w:t>
            </w:r>
          </w:p>
        </w:tc>
        <w:tc>
          <w:tcPr>
            <w:tcW w:w="884" w:type="pct"/>
          </w:tcPr>
          <w:p w14:paraId="7021DD3A" w14:textId="77777777" w:rsidR="00AD1F54" w:rsidRPr="00264D5D" w:rsidRDefault="00941227">
            <w:pPr>
              <w:spacing w:before="60" w:after="60"/>
              <w:rPr>
                <w:sz w:val="22"/>
                <w:szCs w:val="22"/>
              </w:rPr>
            </w:pPr>
            <w:r w:rsidRPr="00264D5D">
              <w:rPr>
                <w:sz w:val="22"/>
                <w:szCs w:val="22"/>
              </w:rPr>
              <w:t>SmSptmbr</w:t>
            </w:r>
          </w:p>
        </w:tc>
        <w:tc>
          <w:tcPr>
            <w:tcW w:w="295" w:type="pct"/>
          </w:tcPr>
          <w:p w14:paraId="5E30DE9F" w14:textId="77777777" w:rsidR="00AD1F54" w:rsidRPr="00264D5D" w:rsidRDefault="00941227">
            <w:pPr>
              <w:spacing w:before="60" w:after="60"/>
              <w:jc w:val="center"/>
              <w:rPr>
                <w:sz w:val="22"/>
                <w:szCs w:val="22"/>
              </w:rPr>
            </w:pPr>
            <w:r w:rsidRPr="00264D5D">
              <w:rPr>
                <w:sz w:val="22"/>
                <w:szCs w:val="22"/>
              </w:rPr>
              <w:t>П</w:t>
            </w:r>
          </w:p>
        </w:tc>
        <w:tc>
          <w:tcPr>
            <w:tcW w:w="587" w:type="pct"/>
          </w:tcPr>
          <w:p w14:paraId="13D970FA" w14:textId="77777777" w:rsidR="00AD1F54" w:rsidRPr="00264D5D" w:rsidRDefault="00941227">
            <w:pPr>
              <w:spacing w:before="60" w:after="60"/>
              <w:jc w:val="left"/>
              <w:rPr>
                <w:sz w:val="22"/>
                <w:szCs w:val="22"/>
              </w:rPr>
            </w:pPr>
            <w:r w:rsidRPr="00264D5D">
              <w:rPr>
                <w:sz w:val="22"/>
                <w:szCs w:val="22"/>
              </w:rPr>
              <w:t>N(20.2)</w:t>
            </w:r>
          </w:p>
        </w:tc>
        <w:tc>
          <w:tcPr>
            <w:tcW w:w="295" w:type="pct"/>
          </w:tcPr>
          <w:p w14:paraId="17CFD9ED" w14:textId="77777777" w:rsidR="00AD1F54" w:rsidRPr="00264D5D" w:rsidRDefault="00941227">
            <w:pPr>
              <w:spacing w:before="60" w:after="60"/>
              <w:jc w:val="center"/>
              <w:rPr>
                <w:sz w:val="22"/>
                <w:szCs w:val="22"/>
              </w:rPr>
            </w:pPr>
            <w:r w:rsidRPr="00264D5D">
              <w:rPr>
                <w:sz w:val="22"/>
                <w:szCs w:val="22"/>
              </w:rPr>
              <w:t>О</w:t>
            </w:r>
          </w:p>
        </w:tc>
        <w:tc>
          <w:tcPr>
            <w:tcW w:w="2056" w:type="pct"/>
          </w:tcPr>
          <w:p w14:paraId="1BE807EE" w14:textId="77777777" w:rsidR="00AD1F54" w:rsidRPr="00264D5D" w:rsidRDefault="00941227">
            <w:pPr>
              <w:spacing w:before="60" w:after="60"/>
              <w:rPr>
                <w:sz w:val="22"/>
                <w:szCs w:val="22"/>
              </w:rPr>
            </w:pPr>
            <w:r w:rsidRPr="00264D5D">
              <w:rPr>
                <w:sz w:val="22"/>
                <w:szCs w:val="22"/>
              </w:rPr>
              <w:t>При отсут</w:t>
            </w:r>
            <w:r w:rsidR="00CE031E" w:rsidRPr="00264D5D">
              <w:rPr>
                <w:sz w:val="22"/>
                <w:szCs w:val="22"/>
              </w:rPr>
              <w:t>ствии значения указывается 0.00</w:t>
            </w:r>
          </w:p>
        </w:tc>
      </w:tr>
      <w:tr w:rsidR="00AD1F54" w:rsidRPr="00264D5D" w14:paraId="087FA4DF" w14:textId="77777777" w:rsidTr="00AD1F54">
        <w:trPr>
          <w:cnfStyle w:val="000000100000" w:firstRow="0" w:lastRow="0" w:firstColumn="0" w:lastColumn="0" w:oddVBand="0" w:evenVBand="0" w:oddHBand="1" w:evenHBand="0" w:firstRowFirstColumn="0" w:firstRowLastColumn="0" w:lastRowFirstColumn="0" w:lastRowLastColumn="0"/>
        </w:trPr>
        <w:tc>
          <w:tcPr>
            <w:tcW w:w="883" w:type="pct"/>
          </w:tcPr>
          <w:p w14:paraId="1BEE4E13" w14:textId="77777777" w:rsidR="00AD1F54" w:rsidRPr="00264D5D" w:rsidRDefault="00941227">
            <w:pPr>
              <w:spacing w:before="60" w:after="60"/>
              <w:rPr>
                <w:sz w:val="22"/>
                <w:szCs w:val="22"/>
              </w:rPr>
            </w:pPr>
            <w:r w:rsidRPr="00264D5D">
              <w:rPr>
                <w:sz w:val="22"/>
                <w:szCs w:val="22"/>
              </w:rPr>
              <w:t xml:space="preserve">Итого по ОКС (ОКВ), КМИ. </w:t>
            </w:r>
          </w:p>
          <w:p w14:paraId="2035E5E7" w14:textId="77777777" w:rsidR="00AD1F54" w:rsidRPr="00264D5D" w:rsidRDefault="00941227">
            <w:pPr>
              <w:spacing w:before="60" w:after="60"/>
              <w:rPr>
                <w:sz w:val="22"/>
                <w:szCs w:val="22"/>
              </w:rPr>
            </w:pPr>
            <w:r w:rsidRPr="00264D5D">
              <w:rPr>
                <w:sz w:val="22"/>
                <w:szCs w:val="22"/>
              </w:rPr>
              <w:t>Сумма на октябрь</w:t>
            </w:r>
          </w:p>
        </w:tc>
        <w:tc>
          <w:tcPr>
            <w:tcW w:w="884" w:type="pct"/>
          </w:tcPr>
          <w:p w14:paraId="4EC18ED5" w14:textId="77777777" w:rsidR="00AD1F54" w:rsidRPr="00264D5D" w:rsidRDefault="00941227">
            <w:pPr>
              <w:spacing w:before="60" w:after="60"/>
              <w:rPr>
                <w:sz w:val="22"/>
                <w:szCs w:val="22"/>
              </w:rPr>
            </w:pPr>
            <w:r w:rsidRPr="00264D5D">
              <w:rPr>
                <w:sz w:val="22"/>
                <w:szCs w:val="22"/>
              </w:rPr>
              <w:t>SmOctbr</w:t>
            </w:r>
          </w:p>
        </w:tc>
        <w:tc>
          <w:tcPr>
            <w:tcW w:w="295" w:type="pct"/>
          </w:tcPr>
          <w:p w14:paraId="729158E4" w14:textId="77777777" w:rsidR="00AD1F54" w:rsidRPr="00264D5D" w:rsidRDefault="00941227">
            <w:pPr>
              <w:spacing w:before="60" w:after="60"/>
              <w:jc w:val="center"/>
              <w:rPr>
                <w:sz w:val="22"/>
                <w:szCs w:val="22"/>
              </w:rPr>
            </w:pPr>
            <w:r w:rsidRPr="00264D5D">
              <w:rPr>
                <w:sz w:val="22"/>
                <w:szCs w:val="22"/>
              </w:rPr>
              <w:t>П</w:t>
            </w:r>
          </w:p>
        </w:tc>
        <w:tc>
          <w:tcPr>
            <w:tcW w:w="587" w:type="pct"/>
          </w:tcPr>
          <w:p w14:paraId="4D0C2906" w14:textId="77777777" w:rsidR="00AD1F54" w:rsidRPr="00264D5D" w:rsidRDefault="00941227">
            <w:pPr>
              <w:spacing w:before="60" w:after="60"/>
              <w:jc w:val="left"/>
              <w:rPr>
                <w:sz w:val="22"/>
                <w:szCs w:val="22"/>
              </w:rPr>
            </w:pPr>
            <w:r w:rsidRPr="00264D5D">
              <w:rPr>
                <w:sz w:val="22"/>
                <w:szCs w:val="22"/>
              </w:rPr>
              <w:t>N(20.2)</w:t>
            </w:r>
          </w:p>
        </w:tc>
        <w:tc>
          <w:tcPr>
            <w:tcW w:w="295" w:type="pct"/>
          </w:tcPr>
          <w:p w14:paraId="668EB14E" w14:textId="77777777" w:rsidR="00AD1F54" w:rsidRPr="00264D5D" w:rsidRDefault="00941227">
            <w:pPr>
              <w:spacing w:before="60" w:after="60"/>
              <w:jc w:val="center"/>
              <w:rPr>
                <w:sz w:val="22"/>
                <w:szCs w:val="22"/>
              </w:rPr>
            </w:pPr>
            <w:r w:rsidRPr="00264D5D">
              <w:rPr>
                <w:sz w:val="22"/>
                <w:szCs w:val="22"/>
              </w:rPr>
              <w:t>О</w:t>
            </w:r>
          </w:p>
        </w:tc>
        <w:tc>
          <w:tcPr>
            <w:tcW w:w="2056" w:type="pct"/>
          </w:tcPr>
          <w:p w14:paraId="0B34ED48" w14:textId="77777777" w:rsidR="00AD1F54" w:rsidRPr="00264D5D" w:rsidRDefault="00941227">
            <w:pPr>
              <w:spacing w:before="60" w:after="60"/>
              <w:rPr>
                <w:sz w:val="22"/>
                <w:szCs w:val="22"/>
              </w:rPr>
            </w:pPr>
            <w:r w:rsidRPr="00264D5D">
              <w:rPr>
                <w:sz w:val="22"/>
                <w:szCs w:val="22"/>
              </w:rPr>
              <w:t>При отсут</w:t>
            </w:r>
            <w:r w:rsidR="00CE031E" w:rsidRPr="00264D5D">
              <w:rPr>
                <w:sz w:val="22"/>
                <w:szCs w:val="22"/>
              </w:rPr>
              <w:t>ствии значения указывается 0.00</w:t>
            </w:r>
          </w:p>
        </w:tc>
      </w:tr>
      <w:tr w:rsidR="00AD1F54" w:rsidRPr="00264D5D" w14:paraId="7EA5BDE4" w14:textId="77777777" w:rsidTr="00AD1F54">
        <w:trPr>
          <w:cnfStyle w:val="000000010000" w:firstRow="0" w:lastRow="0" w:firstColumn="0" w:lastColumn="0" w:oddVBand="0" w:evenVBand="0" w:oddHBand="0" w:evenHBand="1" w:firstRowFirstColumn="0" w:firstRowLastColumn="0" w:lastRowFirstColumn="0" w:lastRowLastColumn="0"/>
        </w:trPr>
        <w:tc>
          <w:tcPr>
            <w:tcW w:w="883" w:type="pct"/>
          </w:tcPr>
          <w:p w14:paraId="23E4BDF4" w14:textId="77777777" w:rsidR="00AD1F54" w:rsidRPr="00264D5D" w:rsidRDefault="00941227">
            <w:pPr>
              <w:spacing w:before="60" w:after="60"/>
              <w:rPr>
                <w:sz w:val="22"/>
                <w:szCs w:val="22"/>
              </w:rPr>
            </w:pPr>
            <w:r w:rsidRPr="00264D5D">
              <w:rPr>
                <w:sz w:val="22"/>
                <w:szCs w:val="22"/>
              </w:rPr>
              <w:t>Итого по ОКС (ОКВ), КМИ.</w:t>
            </w:r>
          </w:p>
          <w:p w14:paraId="1958034C" w14:textId="77777777" w:rsidR="00AD1F54" w:rsidRPr="00264D5D" w:rsidRDefault="00941227">
            <w:pPr>
              <w:spacing w:before="60" w:after="60"/>
              <w:jc w:val="left"/>
              <w:rPr>
                <w:sz w:val="22"/>
                <w:szCs w:val="22"/>
              </w:rPr>
            </w:pPr>
            <w:r w:rsidRPr="00264D5D">
              <w:rPr>
                <w:sz w:val="22"/>
                <w:szCs w:val="22"/>
              </w:rPr>
              <w:t>Сумма на ноябрь</w:t>
            </w:r>
          </w:p>
        </w:tc>
        <w:tc>
          <w:tcPr>
            <w:tcW w:w="884" w:type="pct"/>
          </w:tcPr>
          <w:p w14:paraId="6083434A" w14:textId="77777777" w:rsidR="00AD1F54" w:rsidRPr="00264D5D" w:rsidRDefault="00941227">
            <w:pPr>
              <w:spacing w:before="60" w:after="60"/>
              <w:rPr>
                <w:sz w:val="22"/>
                <w:szCs w:val="22"/>
              </w:rPr>
            </w:pPr>
            <w:r w:rsidRPr="00264D5D">
              <w:rPr>
                <w:sz w:val="22"/>
                <w:szCs w:val="22"/>
              </w:rPr>
              <w:t>SmNvmbr</w:t>
            </w:r>
          </w:p>
        </w:tc>
        <w:tc>
          <w:tcPr>
            <w:tcW w:w="295" w:type="pct"/>
          </w:tcPr>
          <w:p w14:paraId="26B94F11" w14:textId="77777777" w:rsidR="00AD1F54" w:rsidRPr="00264D5D" w:rsidRDefault="00941227">
            <w:pPr>
              <w:spacing w:before="60" w:after="60"/>
              <w:jc w:val="center"/>
              <w:rPr>
                <w:sz w:val="22"/>
                <w:szCs w:val="22"/>
              </w:rPr>
            </w:pPr>
            <w:r w:rsidRPr="00264D5D">
              <w:rPr>
                <w:sz w:val="22"/>
                <w:szCs w:val="22"/>
              </w:rPr>
              <w:t>П</w:t>
            </w:r>
          </w:p>
        </w:tc>
        <w:tc>
          <w:tcPr>
            <w:tcW w:w="587" w:type="pct"/>
          </w:tcPr>
          <w:p w14:paraId="2E1B0935" w14:textId="77777777" w:rsidR="00AD1F54" w:rsidRPr="00264D5D" w:rsidRDefault="00941227">
            <w:pPr>
              <w:spacing w:before="60" w:after="60"/>
              <w:jc w:val="left"/>
              <w:rPr>
                <w:sz w:val="22"/>
                <w:szCs w:val="22"/>
              </w:rPr>
            </w:pPr>
            <w:r w:rsidRPr="00264D5D">
              <w:rPr>
                <w:sz w:val="22"/>
                <w:szCs w:val="22"/>
              </w:rPr>
              <w:t>N(20.2)</w:t>
            </w:r>
          </w:p>
        </w:tc>
        <w:tc>
          <w:tcPr>
            <w:tcW w:w="295" w:type="pct"/>
          </w:tcPr>
          <w:p w14:paraId="5E3CFB69" w14:textId="77777777" w:rsidR="00AD1F54" w:rsidRPr="00264D5D" w:rsidRDefault="00941227">
            <w:pPr>
              <w:spacing w:before="60" w:after="60"/>
              <w:jc w:val="center"/>
              <w:rPr>
                <w:sz w:val="22"/>
                <w:szCs w:val="22"/>
              </w:rPr>
            </w:pPr>
            <w:r w:rsidRPr="00264D5D">
              <w:rPr>
                <w:sz w:val="22"/>
                <w:szCs w:val="22"/>
              </w:rPr>
              <w:t>О</w:t>
            </w:r>
          </w:p>
        </w:tc>
        <w:tc>
          <w:tcPr>
            <w:tcW w:w="2056" w:type="pct"/>
          </w:tcPr>
          <w:p w14:paraId="6485DE15" w14:textId="77777777" w:rsidR="00AD1F54" w:rsidRPr="00264D5D" w:rsidRDefault="00941227">
            <w:pPr>
              <w:spacing w:before="60" w:after="60"/>
              <w:rPr>
                <w:sz w:val="22"/>
                <w:szCs w:val="22"/>
              </w:rPr>
            </w:pPr>
            <w:r w:rsidRPr="00264D5D">
              <w:rPr>
                <w:sz w:val="22"/>
                <w:szCs w:val="22"/>
              </w:rPr>
              <w:t>При отсут</w:t>
            </w:r>
            <w:r w:rsidR="00CE031E" w:rsidRPr="00264D5D">
              <w:rPr>
                <w:sz w:val="22"/>
                <w:szCs w:val="22"/>
              </w:rPr>
              <w:t>ствии значения указывается 0.00</w:t>
            </w:r>
          </w:p>
        </w:tc>
      </w:tr>
      <w:tr w:rsidR="00AD1F54" w:rsidRPr="00264D5D" w14:paraId="70260743" w14:textId="77777777" w:rsidTr="00AD1F54">
        <w:trPr>
          <w:cnfStyle w:val="000000100000" w:firstRow="0" w:lastRow="0" w:firstColumn="0" w:lastColumn="0" w:oddVBand="0" w:evenVBand="0" w:oddHBand="1" w:evenHBand="0" w:firstRowFirstColumn="0" w:firstRowLastColumn="0" w:lastRowFirstColumn="0" w:lastRowLastColumn="0"/>
        </w:trPr>
        <w:tc>
          <w:tcPr>
            <w:tcW w:w="883" w:type="pct"/>
          </w:tcPr>
          <w:p w14:paraId="3772D41B" w14:textId="77777777" w:rsidR="00AD1F54" w:rsidRPr="00264D5D" w:rsidRDefault="00941227">
            <w:pPr>
              <w:spacing w:before="60" w:after="60"/>
              <w:rPr>
                <w:sz w:val="22"/>
                <w:szCs w:val="22"/>
              </w:rPr>
            </w:pPr>
            <w:r w:rsidRPr="00264D5D">
              <w:rPr>
                <w:sz w:val="22"/>
                <w:szCs w:val="22"/>
              </w:rPr>
              <w:t>Итого по ОКС (ОКВ), КМИ.</w:t>
            </w:r>
          </w:p>
          <w:p w14:paraId="4B3FE873" w14:textId="77777777" w:rsidR="00AD1F54" w:rsidRPr="00264D5D" w:rsidRDefault="00941227">
            <w:pPr>
              <w:spacing w:before="60" w:after="60"/>
              <w:jc w:val="left"/>
              <w:rPr>
                <w:sz w:val="22"/>
                <w:szCs w:val="22"/>
              </w:rPr>
            </w:pPr>
            <w:r w:rsidRPr="00264D5D">
              <w:rPr>
                <w:sz w:val="22"/>
                <w:szCs w:val="22"/>
              </w:rPr>
              <w:t>Сумма на декабрь</w:t>
            </w:r>
          </w:p>
        </w:tc>
        <w:tc>
          <w:tcPr>
            <w:tcW w:w="884" w:type="pct"/>
          </w:tcPr>
          <w:p w14:paraId="6DC5590B" w14:textId="77777777" w:rsidR="00AD1F54" w:rsidRPr="00264D5D" w:rsidRDefault="00941227">
            <w:pPr>
              <w:spacing w:before="60" w:after="60"/>
              <w:rPr>
                <w:sz w:val="22"/>
                <w:szCs w:val="22"/>
              </w:rPr>
            </w:pPr>
            <w:r w:rsidRPr="00264D5D">
              <w:rPr>
                <w:sz w:val="22"/>
                <w:szCs w:val="22"/>
              </w:rPr>
              <w:t>SmDcmbr</w:t>
            </w:r>
          </w:p>
        </w:tc>
        <w:tc>
          <w:tcPr>
            <w:tcW w:w="295" w:type="pct"/>
          </w:tcPr>
          <w:p w14:paraId="46F5EFF6" w14:textId="77777777" w:rsidR="00AD1F54" w:rsidRPr="00264D5D" w:rsidRDefault="00941227">
            <w:pPr>
              <w:spacing w:before="60" w:after="60"/>
              <w:jc w:val="center"/>
              <w:rPr>
                <w:sz w:val="22"/>
                <w:szCs w:val="22"/>
              </w:rPr>
            </w:pPr>
            <w:r w:rsidRPr="00264D5D">
              <w:rPr>
                <w:sz w:val="22"/>
                <w:szCs w:val="22"/>
              </w:rPr>
              <w:t>П</w:t>
            </w:r>
          </w:p>
        </w:tc>
        <w:tc>
          <w:tcPr>
            <w:tcW w:w="587" w:type="pct"/>
          </w:tcPr>
          <w:p w14:paraId="640378AC" w14:textId="77777777" w:rsidR="00AD1F54" w:rsidRPr="00264D5D" w:rsidRDefault="00941227">
            <w:pPr>
              <w:spacing w:before="60" w:after="60"/>
              <w:jc w:val="left"/>
              <w:rPr>
                <w:sz w:val="22"/>
                <w:szCs w:val="22"/>
              </w:rPr>
            </w:pPr>
            <w:r w:rsidRPr="00264D5D">
              <w:rPr>
                <w:sz w:val="22"/>
                <w:szCs w:val="22"/>
              </w:rPr>
              <w:t>N(20.2)</w:t>
            </w:r>
          </w:p>
        </w:tc>
        <w:tc>
          <w:tcPr>
            <w:tcW w:w="295" w:type="pct"/>
          </w:tcPr>
          <w:p w14:paraId="7439432F" w14:textId="77777777" w:rsidR="00AD1F54" w:rsidRPr="00264D5D" w:rsidRDefault="00941227">
            <w:pPr>
              <w:spacing w:before="60" w:after="60"/>
              <w:jc w:val="center"/>
              <w:rPr>
                <w:sz w:val="22"/>
                <w:szCs w:val="22"/>
              </w:rPr>
            </w:pPr>
            <w:r w:rsidRPr="00264D5D">
              <w:rPr>
                <w:sz w:val="22"/>
                <w:szCs w:val="22"/>
              </w:rPr>
              <w:t>О</w:t>
            </w:r>
          </w:p>
        </w:tc>
        <w:tc>
          <w:tcPr>
            <w:tcW w:w="2056" w:type="pct"/>
          </w:tcPr>
          <w:p w14:paraId="53D36712" w14:textId="77777777" w:rsidR="00AD1F54" w:rsidRPr="00264D5D" w:rsidRDefault="00941227">
            <w:pPr>
              <w:spacing w:before="60" w:after="60"/>
              <w:rPr>
                <w:sz w:val="22"/>
                <w:szCs w:val="22"/>
              </w:rPr>
            </w:pPr>
            <w:r w:rsidRPr="00264D5D">
              <w:rPr>
                <w:sz w:val="22"/>
                <w:szCs w:val="22"/>
              </w:rPr>
              <w:t>При отсутствии значения указываетс</w:t>
            </w:r>
            <w:r w:rsidR="00CE031E" w:rsidRPr="00264D5D">
              <w:rPr>
                <w:sz w:val="22"/>
                <w:szCs w:val="22"/>
              </w:rPr>
              <w:t>я 0.00</w:t>
            </w:r>
          </w:p>
        </w:tc>
      </w:tr>
      <w:tr w:rsidR="00AD1F54" w:rsidRPr="00264D5D" w14:paraId="29DC40C9" w14:textId="77777777" w:rsidTr="00AD1F54">
        <w:trPr>
          <w:cnfStyle w:val="000000010000" w:firstRow="0" w:lastRow="0" w:firstColumn="0" w:lastColumn="0" w:oddVBand="0" w:evenVBand="0" w:oddHBand="0" w:evenHBand="1" w:firstRowFirstColumn="0" w:firstRowLastColumn="0" w:lastRowFirstColumn="0" w:lastRowLastColumn="0"/>
        </w:trPr>
        <w:tc>
          <w:tcPr>
            <w:tcW w:w="883" w:type="pct"/>
          </w:tcPr>
          <w:p w14:paraId="7DF17A7D" w14:textId="77777777" w:rsidR="00AD1F54" w:rsidRPr="00264D5D" w:rsidRDefault="00941227">
            <w:pPr>
              <w:spacing w:before="60" w:after="60"/>
              <w:rPr>
                <w:sz w:val="22"/>
                <w:szCs w:val="22"/>
              </w:rPr>
            </w:pPr>
            <w:r w:rsidRPr="00264D5D">
              <w:rPr>
                <w:sz w:val="22"/>
                <w:szCs w:val="22"/>
              </w:rPr>
              <w:t>Итого по ОКС (ОКВ), КМИ.</w:t>
            </w:r>
          </w:p>
          <w:p w14:paraId="33F51601" w14:textId="77777777" w:rsidR="00AD1F54" w:rsidRPr="00264D5D" w:rsidRDefault="00941227">
            <w:pPr>
              <w:spacing w:before="60" w:after="60"/>
              <w:jc w:val="left"/>
              <w:rPr>
                <w:sz w:val="22"/>
                <w:szCs w:val="22"/>
              </w:rPr>
            </w:pPr>
            <w:r w:rsidRPr="00264D5D">
              <w:rPr>
                <w:sz w:val="22"/>
                <w:szCs w:val="22"/>
              </w:rPr>
              <w:t>Сумма на текущий финансовый год</w:t>
            </w:r>
          </w:p>
        </w:tc>
        <w:tc>
          <w:tcPr>
            <w:tcW w:w="884" w:type="pct"/>
          </w:tcPr>
          <w:p w14:paraId="5C5A034C" w14:textId="77777777" w:rsidR="00AD1F54" w:rsidRPr="00264D5D" w:rsidRDefault="00941227">
            <w:pPr>
              <w:spacing w:before="60" w:after="60"/>
              <w:rPr>
                <w:sz w:val="22"/>
                <w:szCs w:val="22"/>
              </w:rPr>
            </w:pPr>
            <w:r w:rsidRPr="00264D5D">
              <w:rPr>
                <w:sz w:val="22"/>
                <w:szCs w:val="22"/>
              </w:rPr>
              <w:t>RsltsR1</w:t>
            </w:r>
          </w:p>
        </w:tc>
        <w:tc>
          <w:tcPr>
            <w:tcW w:w="295" w:type="pct"/>
          </w:tcPr>
          <w:p w14:paraId="043D59C6" w14:textId="77777777" w:rsidR="00AD1F54" w:rsidRPr="00264D5D" w:rsidRDefault="00941227">
            <w:pPr>
              <w:tabs>
                <w:tab w:val="left" w:pos="1122"/>
              </w:tabs>
              <w:spacing w:before="60" w:after="60"/>
              <w:jc w:val="center"/>
              <w:rPr>
                <w:sz w:val="22"/>
                <w:szCs w:val="22"/>
              </w:rPr>
            </w:pPr>
            <w:r w:rsidRPr="00264D5D">
              <w:rPr>
                <w:sz w:val="22"/>
                <w:szCs w:val="22"/>
              </w:rPr>
              <w:t>П</w:t>
            </w:r>
          </w:p>
        </w:tc>
        <w:tc>
          <w:tcPr>
            <w:tcW w:w="587" w:type="pct"/>
          </w:tcPr>
          <w:p w14:paraId="40A9A844" w14:textId="77777777" w:rsidR="00AD1F54" w:rsidRPr="00264D5D" w:rsidRDefault="00941227">
            <w:pPr>
              <w:tabs>
                <w:tab w:val="left" w:pos="1122"/>
              </w:tabs>
              <w:spacing w:before="60" w:after="60"/>
              <w:jc w:val="left"/>
              <w:rPr>
                <w:sz w:val="22"/>
                <w:szCs w:val="22"/>
              </w:rPr>
            </w:pPr>
            <w:r w:rsidRPr="00264D5D">
              <w:rPr>
                <w:sz w:val="22"/>
                <w:szCs w:val="22"/>
              </w:rPr>
              <w:t>N(20.2)</w:t>
            </w:r>
          </w:p>
        </w:tc>
        <w:tc>
          <w:tcPr>
            <w:tcW w:w="295" w:type="pct"/>
          </w:tcPr>
          <w:p w14:paraId="47A92067" w14:textId="77777777" w:rsidR="00AD1F54" w:rsidRPr="00264D5D" w:rsidRDefault="00941227">
            <w:pPr>
              <w:tabs>
                <w:tab w:val="left" w:pos="1122"/>
              </w:tabs>
              <w:spacing w:before="60" w:after="60"/>
              <w:jc w:val="center"/>
              <w:rPr>
                <w:sz w:val="22"/>
                <w:szCs w:val="22"/>
              </w:rPr>
            </w:pPr>
            <w:r w:rsidRPr="00264D5D">
              <w:rPr>
                <w:sz w:val="22"/>
                <w:szCs w:val="22"/>
              </w:rPr>
              <w:t>О</w:t>
            </w:r>
          </w:p>
        </w:tc>
        <w:tc>
          <w:tcPr>
            <w:tcW w:w="2056" w:type="pct"/>
          </w:tcPr>
          <w:p w14:paraId="3E4CF83E" w14:textId="77777777" w:rsidR="00AD1F54" w:rsidRPr="00264D5D" w:rsidRDefault="00941227">
            <w:pPr>
              <w:spacing w:before="60" w:after="60"/>
              <w:rPr>
                <w:sz w:val="22"/>
                <w:szCs w:val="22"/>
              </w:rPr>
            </w:pPr>
            <w:r w:rsidRPr="00264D5D">
              <w:rPr>
                <w:sz w:val="22"/>
                <w:szCs w:val="22"/>
              </w:rPr>
              <w:t>При отсутс</w:t>
            </w:r>
            <w:r w:rsidR="00CE031E" w:rsidRPr="00264D5D">
              <w:rPr>
                <w:sz w:val="22"/>
                <w:szCs w:val="22"/>
              </w:rPr>
              <w:t>твии значения указывается 0.00</w:t>
            </w:r>
          </w:p>
        </w:tc>
      </w:tr>
      <w:tr w:rsidR="00AD1F54" w:rsidRPr="00264D5D" w14:paraId="641B6F44" w14:textId="77777777" w:rsidTr="00AD1F54">
        <w:trPr>
          <w:cnfStyle w:val="000000100000" w:firstRow="0" w:lastRow="0" w:firstColumn="0" w:lastColumn="0" w:oddVBand="0" w:evenVBand="0" w:oddHBand="1" w:evenHBand="0" w:firstRowFirstColumn="0" w:firstRowLastColumn="0" w:lastRowFirstColumn="0" w:lastRowLastColumn="0"/>
        </w:trPr>
        <w:tc>
          <w:tcPr>
            <w:tcW w:w="883" w:type="pct"/>
          </w:tcPr>
          <w:p w14:paraId="01AE25D5" w14:textId="77777777" w:rsidR="00AD1F54" w:rsidRPr="00264D5D" w:rsidRDefault="00941227">
            <w:pPr>
              <w:spacing w:before="60" w:after="60"/>
              <w:rPr>
                <w:sz w:val="22"/>
                <w:szCs w:val="22"/>
              </w:rPr>
            </w:pPr>
            <w:r w:rsidRPr="00264D5D">
              <w:rPr>
                <w:sz w:val="22"/>
                <w:szCs w:val="22"/>
              </w:rPr>
              <w:t>Итого по ОКС (ОКВ), КМИ.</w:t>
            </w:r>
          </w:p>
          <w:p w14:paraId="10EE0272" w14:textId="77777777" w:rsidR="00AD1F54" w:rsidRPr="00264D5D" w:rsidRDefault="00941227">
            <w:pPr>
              <w:spacing w:before="60" w:after="60"/>
              <w:jc w:val="left"/>
              <w:rPr>
                <w:sz w:val="22"/>
                <w:szCs w:val="22"/>
              </w:rPr>
            </w:pPr>
            <w:r w:rsidRPr="00264D5D">
              <w:rPr>
                <w:sz w:val="22"/>
                <w:szCs w:val="22"/>
              </w:rPr>
              <w:lastRenderedPageBreak/>
              <w:t>Сумма на первый год планового периода</w:t>
            </w:r>
          </w:p>
        </w:tc>
        <w:tc>
          <w:tcPr>
            <w:tcW w:w="884" w:type="pct"/>
          </w:tcPr>
          <w:p w14:paraId="15E08D63" w14:textId="77777777" w:rsidR="00AD1F54" w:rsidRPr="00264D5D" w:rsidRDefault="00941227">
            <w:pPr>
              <w:spacing w:before="60" w:after="60"/>
              <w:rPr>
                <w:sz w:val="22"/>
                <w:szCs w:val="22"/>
              </w:rPr>
            </w:pPr>
            <w:r w:rsidRPr="00264D5D">
              <w:rPr>
                <w:sz w:val="22"/>
                <w:szCs w:val="22"/>
              </w:rPr>
              <w:lastRenderedPageBreak/>
              <w:t>RsltsR2</w:t>
            </w:r>
          </w:p>
        </w:tc>
        <w:tc>
          <w:tcPr>
            <w:tcW w:w="295" w:type="pct"/>
          </w:tcPr>
          <w:p w14:paraId="629CBB65" w14:textId="77777777" w:rsidR="00AD1F54" w:rsidRPr="00264D5D" w:rsidRDefault="00941227">
            <w:pPr>
              <w:tabs>
                <w:tab w:val="left" w:pos="1122"/>
              </w:tabs>
              <w:spacing w:before="60" w:after="60"/>
              <w:jc w:val="center"/>
              <w:rPr>
                <w:sz w:val="22"/>
                <w:szCs w:val="22"/>
              </w:rPr>
            </w:pPr>
            <w:r w:rsidRPr="00264D5D">
              <w:rPr>
                <w:sz w:val="22"/>
                <w:szCs w:val="22"/>
              </w:rPr>
              <w:t>П</w:t>
            </w:r>
          </w:p>
        </w:tc>
        <w:tc>
          <w:tcPr>
            <w:tcW w:w="587" w:type="pct"/>
          </w:tcPr>
          <w:p w14:paraId="31CE06E1" w14:textId="77777777" w:rsidR="00AD1F54" w:rsidRPr="00264D5D" w:rsidRDefault="00941227">
            <w:pPr>
              <w:tabs>
                <w:tab w:val="left" w:pos="1122"/>
              </w:tabs>
              <w:spacing w:before="60" w:after="60"/>
              <w:jc w:val="left"/>
              <w:rPr>
                <w:sz w:val="22"/>
                <w:szCs w:val="22"/>
              </w:rPr>
            </w:pPr>
            <w:r w:rsidRPr="00264D5D">
              <w:rPr>
                <w:sz w:val="22"/>
                <w:szCs w:val="22"/>
              </w:rPr>
              <w:t>N(20.2)</w:t>
            </w:r>
          </w:p>
        </w:tc>
        <w:tc>
          <w:tcPr>
            <w:tcW w:w="295" w:type="pct"/>
          </w:tcPr>
          <w:p w14:paraId="47EAC2E0" w14:textId="77777777" w:rsidR="00AD1F54" w:rsidRPr="00264D5D" w:rsidRDefault="00941227">
            <w:pPr>
              <w:tabs>
                <w:tab w:val="left" w:pos="1122"/>
              </w:tabs>
              <w:spacing w:before="60" w:after="60"/>
              <w:jc w:val="center"/>
              <w:rPr>
                <w:sz w:val="22"/>
                <w:szCs w:val="22"/>
              </w:rPr>
            </w:pPr>
            <w:r w:rsidRPr="00264D5D">
              <w:rPr>
                <w:sz w:val="22"/>
                <w:szCs w:val="22"/>
              </w:rPr>
              <w:t>О</w:t>
            </w:r>
          </w:p>
        </w:tc>
        <w:tc>
          <w:tcPr>
            <w:tcW w:w="2056" w:type="pct"/>
          </w:tcPr>
          <w:p w14:paraId="1442DCC0" w14:textId="77777777" w:rsidR="00AD1F54" w:rsidRPr="00264D5D" w:rsidRDefault="00941227">
            <w:pPr>
              <w:spacing w:before="60" w:after="60"/>
              <w:rPr>
                <w:sz w:val="22"/>
                <w:szCs w:val="22"/>
              </w:rPr>
            </w:pPr>
            <w:r w:rsidRPr="00264D5D">
              <w:rPr>
                <w:sz w:val="22"/>
                <w:szCs w:val="22"/>
              </w:rPr>
              <w:t>При отсут</w:t>
            </w:r>
            <w:r w:rsidR="00CE031E" w:rsidRPr="00264D5D">
              <w:rPr>
                <w:sz w:val="22"/>
                <w:szCs w:val="22"/>
              </w:rPr>
              <w:t>ствии значения указывается 0.00</w:t>
            </w:r>
          </w:p>
        </w:tc>
      </w:tr>
      <w:tr w:rsidR="00AD1F54" w:rsidRPr="00264D5D" w14:paraId="7878A6F5" w14:textId="77777777" w:rsidTr="00AD1F54">
        <w:trPr>
          <w:cnfStyle w:val="000000010000" w:firstRow="0" w:lastRow="0" w:firstColumn="0" w:lastColumn="0" w:oddVBand="0" w:evenVBand="0" w:oddHBand="0" w:evenHBand="1" w:firstRowFirstColumn="0" w:firstRowLastColumn="0" w:lastRowFirstColumn="0" w:lastRowLastColumn="0"/>
        </w:trPr>
        <w:tc>
          <w:tcPr>
            <w:tcW w:w="883" w:type="pct"/>
          </w:tcPr>
          <w:p w14:paraId="0B88626A" w14:textId="77777777" w:rsidR="00AD1F54" w:rsidRPr="00264D5D" w:rsidRDefault="00941227">
            <w:pPr>
              <w:spacing w:before="60" w:after="60"/>
              <w:rPr>
                <w:sz w:val="22"/>
                <w:szCs w:val="22"/>
              </w:rPr>
            </w:pPr>
            <w:r w:rsidRPr="00264D5D">
              <w:rPr>
                <w:sz w:val="22"/>
                <w:szCs w:val="22"/>
              </w:rPr>
              <w:lastRenderedPageBreak/>
              <w:t>Итого по ОКС (ОКВ), КМИ.</w:t>
            </w:r>
          </w:p>
          <w:p w14:paraId="0A3446C4" w14:textId="77777777" w:rsidR="00AD1F54" w:rsidRPr="00264D5D" w:rsidRDefault="00941227">
            <w:pPr>
              <w:spacing w:before="60" w:after="60"/>
              <w:jc w:val="left"/>
              <w:rPr>
                <w:sz w:val="22"/>
                <w:szCs w:val="22"/>
              </w:rPr>
            </w:pPr>
            <w:r w:rsidRPr="00264D5D">
              <w:rPr>
                <w:sz w:val="22"/>
                <w:szCs w:val="22"/>
              </w:rPr>
              <w:t>Сумма на второй год планового периода</w:t>
            </w:r>
          </w:p>
        </w:tc>
        <w:tc>
          <w:tcPr>
            <w:tcW w:w="884" w:type="pct"/>
          </w:tcPr>
          <w:p w14:paraId="128B80E8" w14:textId="77777777" w:rsidR="00AD1F54" w:rsidRPr="00264D5D" w:rsidRDefault="00941227">
            <w:pPr>
              <w:spacing w:before="60" w:after="60"/>
              <w:rPr>
                <w:sz w:val="22"/>
                <w:szCs w:val="22"/>
              </w:rPr>
            </w:pPr>
            <w:r w:rsidRPr="00264D5D">
              <w:rPr>
                <w:sz w:val="22"/>
                <w:szCs w:val="22"/>
              </w:rPr>
              <w:t>RsltsR3</w:t>
            </w:r>
          </w:p>
        </w:tc>
        <w:tc>
          <w:tcPr>
            <w:tcW w:w="295" w:type="pct"/>
          </w:tcPr>
          <w:p w14:paraId="0CDD0480" w14:textId="77777777" w:rsidR="00AD1F54" w:rsidRPr="00264D5D" w:rsidRDefault="00941227">
            <w:pPr>
              <w:tabs>
                <w:tab w:val="left" w:pos="1122"/>
              </w:tabs>
              <w:spacing w:before="60" w:after="60"/>
              <w:jc w:val="center"/>
              <w:rPr>
                <w:sz w:val="22"/>
                <w:szCs w:val="22"/>
              </w:rPr>
            </w:pPr>
            <w:r w:rsidRPr="00264D5D">
              <w:rPr>
                <w:sz w:val="22"/>
                <w:szCs w:val="22"/>
              </w:rPr>
              <w:t>П</w:t>
            </w:r>
          </w:p>
        </w:tc>
        <w:tc>
          <w:tcPr>
            <w:tcW w:w="587" w:type="pct"/>
          </w:tcPr>
          <w:p w14:paraId="1602492A" w14:textId="77777777" w:rsidR="00AD1F54" w:rsidRPr="00264D5D" w:rsidRDefault="00941227">
            <w:pPr>
              <w:tabs>
                <w:tab w:val="left" w:pos="1122"/>
              </w:tabs>
              <w:spacing w:before="60" w:after="60"/>
              <w:jc w:val="left"/>
              <w:rPr>
                <w:sz w:val="22"/>
                <w:szCs w:val="22"/>
              </w:rPr>
            </w:pPr>
            <w:r w:rsidRPr="00264D5D">
              <w:rPr>
                <w:sz w:val="22"/>
                <w:szCs w:val="22"/>
              </w:rPr>
              <w:t>N(20.2)</w:t>
            </w:r>
          </w:p>
        </w:tc>
        <w:tc>
          <w:tcPr>
            <w:tcW w:w="295" w:type="pct"/>
          </w:tcPr>
          <w:p w14:paraId="70BD9F9B" w14:textId="77777777" w:rsidR="00AD1F54" w:rsidRPr="00264D5D" w:rsidRDefault="00941227">
            <w:pPr>
              <w:tabs>
                <w:tab w:val="left" w:pos="1122"/>
              </w:tabs>
              <w:spacing w:before="60" w:after="60"/>
              <w:jc w:val="center"/>
              <w:rPr>
                <w:sz w:val="22"/>
                <w:szCs w:val="22"/>
              </w:rPr>
            </w:pPr>
            <w:r w:rsidRPr="00264D5D">
              <w:rPr>
                <w:sz w:val="22"/>
                <w:szCs w:val="22"/>
              </w:rPr>
              <w:t>О</w:t>
            </w:r>
          </w:p>
        </w:tc>
        <w:tc>
          <w:tcPr>
            <w:tcW w:w="2056" w:type="pct"/>
          </w:tcPr>
          <w:p w14:paraId="35A0E4DC" w14:textId="77777777" w:rsidR="00AD1F54" w:rsidRPr="00264D5D" w:rsidRDefault="00941227">
            <w:pPr>
              <w:spacing w:before="60" w:after="60"/>
              <w:rPr>
                <w:sz w:val="22"/>
                <w:szCs w:val="22"/>
              </w:rPr>
            </w:pPr>
            <w:r w:rsidRPr="00264D5D">
              <w:rPr>
                <w:sz w:val="22"/>
                <w:szCs w:val="22"/>
              </w:rPr>
              <w:t>При отсут</w:t>
            </w:r>
            <w:r w:rsidR="00CE031E" w:rsidRPr="00264D5D">
              <w:rPr>
                <w:sz w:val="22"/>
                <w:szCs w:val="22"/>
              </w:rPr>
              <w:t>ствии значения указывается 0.00</w:t>
            </w:r>
          </w:p>
        </w:tc>
      </w:tr>
      <w:tr w:rsidR="00AD1F54" w:rsidRPr="00264D5D" w14:paraId="378A6923" w14:textId="77777777" w:rsidTr="00AD1F54">
        <w:trPr>
          <w:cnfStyle w:val="000000100000" w:firstRow="0" w:lastRow="0" w:firstColumn="0" w:lastColumn="0" w:oddVBand="0" w:evenVBand="0" w:oddHBand="1" w:evenHBand="0" w:firstRowFirstColumn="0" w:firstRowLastColumn="0" w:lastRowFirstColumn="0" w:lastRowLastColumn="0"/>
        </w:trPr>
        <w:tc>
          <w:tcPr>
            <w:tcW w:w="883" w:type="pct"/>
          </w:tcPr>
          <w:p w14:paraId="47A9F971" w14:textId="77777777" w:rsidR="00AD1F54" w:rsidRPr="00264D5D" w:rsidRDefault="00941227">
            <w:pPr>
              <w:spacing w:before="60" w:after="60"/>
              <w:rPr>
                <w:sz w:val="22"/>
                <w:szCs w:val="22"/>
              </w:rPr>
            </w:pPr>
            <w:r w:rsidRPr="00264D5D">
              <w:rPr>
                <w:sz w:val="22"/>
                <w:szCs w:val="22"/>
              </w:rPr>
              <w:t>Итого по ОКС (ОКВ), КМИ.</w:t>
            </w:r>
          </w:p>
          <w:p w14:paraId="5ED34861" w14:textId="77777777" w:rsidR="00AD1F54" w:rsidRPr="00264D5D" w:rsidRDefault="00941227">
            <w:pPr>
              <w:spacing w:before="60" w:after="60"/>
              <w:jc w:val="left"/>
              <w:rPr>
                <w:sz w:val="22"/>
                <w:szCs w:val="22"/>
              </w:rPr>
            </w:pPr>
            <w:r w:rsidRPr="00264D5D">
              <w:rPr>
                <w:sz w:val="22"/>
                <w:szCs w:val="22"/>
              </w:rPr>
              <w:t>Сумма на третий год после текущего</w:t>
            </w:r>
          </w:p>
        </w:tc>
        <w:tc>
          <w:tcPr>
            <w:tcW w:w="884" w:type="pct"/>
          </w:tcPr>
          <w:p w14:paraId="6A8C9364" w14:textId="77777777" w:rsidR="00AD1F54" w:rsidRPr="00264D5D" w:rsidRDefault="00941227">
            <w:pPr>
              <w:spacing w:before="60" w:after="60"/>
              <w:rPr>
                <w:sz w:val="22"/>
                <w:szCs w:val="22"/>
              </w:rPr>
            </w:pPr>
            <w:r w:rsidRPr="00264D5D">
              <w:rPr>
                <w:sz w:val="22"/>
                <w:szCs w:val="22"/>
              </w:rPr>
              <w:t>RsltsR4</w:t>
            </w:r>
          </w:p>
        </w:tc>
        <w:tc>
          <w:tcPr>
            <w:tcW w:w="295" w:type="pct"/>
          </w:tcPr>
          <w:p w14:paraId="2DFF6195" w14:textId="77777777" w:rsidR="00AD1F54" w:rsidRPr="00264D5D" w:rsidRDefault="00941227">
            <w:pPr>
              <w:tabs>
                <w:tab w:val="left" w:pos="1122"/>
              </w:tabs>
              <w:spacing w:before="60" w:after="60"/>
              <w:jc w:val="center"/>
              <w:rPr>
                <w:sz w:val="22"/>
                <w:szCs w:val="22"/>
              </w:rPr>
            </w:pPr>
            <w:r w:rsidRPr="00264D5D">
              <w:rPr>
                <w:sz w:val="22"/>
                <w:szCs w:val="22"/>
              </w:rPr>
              <w:t>П</w:t>
            </w:r>
          </w:p>
        </w:tc>
        <w:tc>
          <w:tcPr>
            <w:tcW w:w="587" w:type="pct"/>
          </w:tcPr>
          <w:p w14:paraId="394F6D71" w14:textId="77777777" w:rsidR="00AD1F54" w:rsidRPr="00264D5D" w:rsidRDefault="00941227">
            <w:pPr>
              <w:tabs>
                <w:tab w:val="left" w:pos="1122"/>
              </w:tabs>
              <w:spacing w:before="60" w:after="60"/>
              <w:jc w:val="left"/>
              <w:rPr>
                <w:sz w:val="22"/>
                <w:szCs w:val="22"/>
              </w:rPr>
            </w:pPr>
            <w:r w:rsidRPr="00264D5D">
              <w:rPr>
                <w:sz w:val="22"/>
                <w:szCs w:val="22"/>
              </w:rPr>
              <w:t>N(20.2)</w:t>
            </w:r>
          </w:p>
        </w:tc>
        <w:tc>
          <w:tcPr>
            <w:tcW w:w="295" w:type="pct"/>
          </w:tcPr>
          <w:p w14:paraId="37265980" w14:textId="77777777" w:rsidR="00AD1F54" w:rsidRPr="00264D5D" w:rsidRDefault="00941227">
            <w:pPr>
              <w:tabs>
                <w:tab w:val="left" w:pos="1122"/>
              </w:tabs>
              <w:spacing w:before="60" w:after="60"/>
              <w:jc w:val="center"/>
              <w:rPr>
                <w:sz w:val="22"/>
                <w:szCs w:val="22"/>
              </w:rPr>
            </w:pPr>
            <w:r w:rsidRPr="00264D5D">
              <w:rPr>
                <w:sz w:val="22"/>
                <w:szCs w:val="22"/>
              </w:rPr>
              <w:t>О</w:t>
            </w:r>
          </w:p>
        </w:tc>
        <w:tc>
          <w:tcPr>
            <w:tcW w:w="2056" w:type="pct"/>
          </w:tcPr>
          <w:p w14:paraId="554447FC" w14:textId="77777777" w:rsidR="00AD1F54" w:rsidRPr="00264D5D" w:rsidRDefault="00941227">
            <w:pPr>
              <w:spacing w:before="60" w:after="60"/>
              <w:rPr>
                <w:sz w:val="22"/>
                <w:szCs w:val="22"/>
              </w:rPr>
            </w:pPr>
            <w:r w:rsidRPr="00264D5D">
              <w:rPr>
                <w:sz w:val="22"/>
                <w:szCs w:val="22"/>
              </w:rPr>
              <w:t>При отсут</w:t>
            </w:r>
            <w:r w:rsidR="00CE031E" w:rsidRPr="00264D5D">
              <w:rPr>
                <w:sz w:val="22"/>
                <w:szCs w:val="22"/>
              </w:rPr>
              <w:t>ствии значения указывается 0.00</w:t>
            </w:r>
          </w:p>
        </w:tc>
      </w:tr>
      <w:tr w:rsidR="00AD1F54" w:rsidRPr="00264D5D" w14:paraId="5F35ECD0" w14:textId="77777777" w:rsidTr="00AD1F54">
        <w:trPr>
          <w:cnfStyle w:val="000000010000" w:firstRow="0" w:lastRow="0" w:firstColumn="0" w:lastColumn="0" w:oddVBand="0" w:evenVBand="0" w:oddHBand="0" w:evenHBand="1" w:firstRowFirstColumn="0" w:firstRowLastColumn="0" w:lastRowFirstColumn="0" w:lastRowLastColumn="0"/>
        </w:trPr>
        <w:tc>
          <w:tcPr>
            <w:tcW w:w="883" w:type="pct"/>
          </w:tcPr>
          <w:p w14:paraId="53F02E58" w14:textId="77777777" w:rsidR="00AD1F54" w:rsidRPr="00264D5D" w:rsidRDefault="00941227">
            <w:pPr>
              <w:spacing w:before="60" w:after="60"/>
              <w:rPr>
                <w:sz w:val="22"/>
                <w:szCs w:val="22"/>
              </w:rPr>
            </w:pPr>
            <w:r w:rsidRPr="00264D5D">
              <w:rPr>
                <w:sz w:val="22"/>
                <w:szCs w:val="22"/>
              </w:rPr>
              <w:t>Итого по ОКС (ОКВ), КМИ.</w:t>
            </w:r>
          </w:p>
          <w:p w14:paraId="402EBC83" w14:textId="77777777" w:rsidR="00AD1F54" w:rsidRPr="00264D5D" w:rsidRDefault="00941227">
            <w:pPr>
              <w:spacing w:before="60" w:after="60"/>
              <w:rPr>
                <w:sz w:val="22"/>
                <w:szCs w:val="22"/>
              </w:rPr>
            </w:pPr>
            <w:r w:rsidRPr="00264D5D">
              <w:rPr>
                <w:sz w:val="22"/>
                <w:szCs w:val="22"/>
              </w:rPr>
              <w:t>Сумма на последующие годы</w:t>
            </w:r>
          </w:p>
        </w:tc>
        <w:tc>
          <w:tcPr>
            <w:tcW w:w="884" w:type="pct"/>
          </w:tcPr>
          <w:p w14:paraId="5C02BF8F" w14:textId="77777777" w:rsidR="00AD1F54" w:rsidRPr="00264D5D" w:rsidRDefault="00941227">
            <w:pPr>
              <w:spacing w:before="60" w:after="60"/>
              <w:rPr>
                <w:sz w:val="22"/>
                <w:szCs w:val="22"/>
              </w:rPr>
            </w:pPr>
            <w:r w:rsidRPr="00264D5D">
              <w:rPr>
                <w:sz w:val="22"/>
                <w:szCs w:val="22"/>
              </w:rPr>
              <w:t>RsltsR6</w:t>
            </w:r>
          </w:p>
        </w:tc>
        <w:tc>
          <w:tcPr>
            <w:tcW w:w="295" w:type="pct"/>
          </w:tcPr>
          <w:p w14:paraId="707BC636" w14:textId="77777777" w:rsidR="00AD1F54" w:rsidRPr="00264D5D" w:rsidRDefault="00941227">
            <w:pPr>
              <w:tabs>
                <w:tab w:val="left" w:pos="1122"/>
              </w:tabs>
              <w:spacing w:before="60" w:after="60"/>
              <w:jc w:val="center"/>
              <w:rPr>
                <w:sz w:val="22"/>
                <w:szCs w:val="22"/>
              </w:rPr>
            </w:pPr>
            <w:r w:rsidRPr="00264D5D">
              <w:rPr>
                <w:sz w:val="22"/>
                <w:szCs w:val="22"/>
              </w:rPr>
              <w:t>П</w:t>
            </w:r>
          </w:p>
        </w:tc>
        <w:tc>
          <w:tcPr>
            <w:tcW w:w="587" w:type="pct"/>
          </w:tcPr>
          <w:p w14:paraId="576FE9B8" w14:textId="77777777" w:rsidR="00AD1F54" w:rsidRPr="00264D5D" w:rsidRDefault="00941227">
            <w:pPr>
              <w:tabs>
                <w:tab w:val="left" w:pos="1122"/>
              </w:tabs>
              <w:spacing w:before="60" w:after="60"/>
              <w:jc w:val="left"/>
              <w:rPr>
                <w:sz w:val="22"/>
                <w:szCs w:val="22"/>
              </w:rPr>
            </w:pPr>
            <w:r w:rsidRPr="00264D5D">
              <w:rPr>
                <w:sz w:val="22"/>
                <w:szCs w:val="22"/>
              </w:rPr>
              <w:t>N(20.2)</w:t>
            </w:r>
          </w:p>
        </w:tc>
        <w:tc>
          <w:tcPr>
            <w:tcW w:w="295" w:type="pct"/>
          </w:tcPr>
          <w:p w14:paraId="7B662B74" w14:textId="77777777" w:rsidR="00AD1F54" w:rsidRPr="00264D5D" w:rsidRDefault="00941227">
            <w:pPr>
              <w:tabs>
                <w:tab w:val="left" w:pos="1122"/>
              </w:tabs>
              <w:spacing w:before="60" w:after="60"/>
              <w:jc w:val="center"/>
              <w:rPr>
                <w:sz w:val="22"/>
                <w:szCs w:val="22"/>
              </w:rPr>
            </w:pPr>
            <w:r w:rsidRPr="00264D5D">
              <w:rPr>
                <w:sz w:val="22"/>
                <w:szCs w:val="22"/>
              </w:rPr>
              <w:t>О</w:t>
            </w:r>
          </w:p>
        </w:tc>
        <w:tc>
          <w:tcPr>
            <w:tcW w:w="2056" w:type="pct"/>
          </w:tcPr>
          <w:p w14:paraId="199E0BC3" w14:textId="77777777" w:rsidR="00AD1F54" w:rsidRPr="00264D5D" w:rsidRDefault="00941227">
            <w:pPr>
              <w:spacing w:before="60" w:after="60"/>
              <w:rPr>
                <w:sz w:val="22"/>
                <w:szCs w:val="22"/>
              </w:rPr>
            </w:pPr>
            <w:r w:rsidRPr="00264D5D">
              <w:rPr>
                <w:sz w:val="22"/>
                <w:szCs w:val="22"/>
              </w:rPr>
              <w:t>При отсутс</w:t>
            </w:r>
            <w:r w:rsidR="00CE031E" w:rsidRPr="00264D5D">
              <w:rPr>
                <w:sz w:val="22"/>
                <w:szCs w:val="22"/>
              </w:rPr>
              <w:t>твии значения указывается 0.00.</w:t>
            </w:r>
          </w:p>
        </w:tc>
      </w:tr>
    </w:tbl>
    <w:p w14:paraId="32CAD183" w14:textId="77777777" w:rsidR="00AD1F54" w:rsidRPr="00264D5D" w:rsidRDefault="00941227">
      <w:pPr>
        <w:pStyle w:val="31"/>
      </w:pPr>
      <w:bookmarkStart w:id="1478" w:name="_Toc416192434"/>
      <w:bookmarkStart w:id="1479" w:name="_Toc219309601"/>
      <w:r w:rsidRPr="00264D5D">
        <w:t>Пример XML (файловое взаимодействие)</w:t>
      </w:r>
      <w:bookmarkEnd w:id="1479"/>
      <w:r w:rsidRPr="00264D5D">
        <w:t xml:space="preserve"> </w:t>
      </w:r>
    </w:p>
    <w:p w14:paraId="29D4624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&lt;?xml version ="1.0" encoding="UTF-8"?&gt;</w:t>
      </w:r>
    </w:p>
    <w:p w14:paraId="53CB603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&lt;self:exchangePacket xsi:schemaLocation="http://www.roskazna.ru/eb/domain/InfrmtnBdgtOblgtns/extHeader extHeader.xsd" xmlns:self="http://www.roskazna.ru/eb/domain/InfrmtnBdgtOblgtns/extHeader" xmlns:cm="http://www.roskazna.ru/eb/domain/common" xmlns:ds="http://www.w3.org/2000/09/xmldsig#" xmlns:xsi="http://www.w3.org/2001/XMLSchema-instance"&gt;</w:t>
      </w:r>
    </w:p>
    <w:p w14:paraId="3C37D63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&lt;packetHeader&gt;</w:t>
      </w:r>
    </w:p>
    <w:p w14:paraId="4521851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&lt;serviceInfo&gt;</w:t>
      </w:r>
    </w:p>
    <w:p w14:paraId="31FCD63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&lt;creationDateTime&gt;2024-01-24T09:30:47Z &lt;/creationDateTime&gt;</w:t>
      </w:r>
    </w:p>
    <w:p w14:paraId="4BB3FC8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&lt;documentType&gt;EXP_InfBO&lt;/documentType&gt;</w:t>
      </w:r>
    </w:p>
    <w:p w14:paraId="52EB0E5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&lt;/serviceInfo&gt;</w:t>
      </w:r>
    </w:p>
    <w:p w14:paraId="1E914CB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&lt;senderParty&gt;</w:t>
      </w:r>
    </w:p>
    <w:p w14:paraId="4739A62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&lt;organizationParty&gt;</w:t>
      </w:r>
    </w:p>
    <w:p w14:paraId="09A9236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&lt;SRCode&gt;19006000&lt;/SRCode&gt;</w:t>
      </w:r>
    </w:p>
    <w:p w14:paraId="38C0077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&lt;/organizationParty&gt;</w:t>
      </w:r>
    </w:p>
    <w:p w14:paraId="39EAA93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&lt;/senderParty&gt;</w:t>
      </w:r>
    </w:p>
    <w:p w14:paraId="7A6B303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&lt;receiverParty&gt;</w:t>
      </w:r>
    </w:p>
    <w:p w14:paraId="7D24E05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&lt;TOFKParty&gt;</w:t>
      </w:r>
    </w:p>
    <w:p w14:paraId="0ABFD60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&lt;TOFKCode&gt;0400&lt;/TOFKCode&gt;</w:t>
      </w:r>
    </w:p>
    <w:p w14:paraId="7C81C13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&lt;/TOFKParty&gt;</w:t>
      </w:r>
    </w:p>
    <w:p w14:paraId="18DD9D6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&lt;/receiverParty&gt;</w:t>
      </w:r>
    </w:p>
    <w:p w14:paraId="08EBD37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&lt;/packetHeader&gt;</w:t>
      </w:r>
    </w:p>
    <w:p w14:paraId="5A1CDA7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&lt;self:formularCollection&gt;</w:t>
      </w:r>
    </w:p>
    <w:p w14:paraId="1FF5FDB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 xml:space="preserve">&lt;formular metaType="formular" versionID="6.0" xsi:type="self:tInfrmtnBdgtOblgtns" </w:t>
      </w:r>
      <w:r w:rsidRPr="00264D5D">
        <w:rPr>
          <w:rFonts w:cs="Courier New"/>
          <w:sz w:val="20"/>
        </w:rPr>
        <w:lastRenderedPageBreak/>
        <w:t>xsi:schemaLocation="http://www.roskazna.ru/eb/domain/InfrmtnBdgtOblgtns/formular formulars.xsd" xmlns:self="http://www.roskazna.ru/eb/domain/InfrmtnBdgtOblgtns/formular" xmlns:xsi="http://www.w3.org/2001/XMLSchema-instance"&gt;</w:t>
      </w:r>
    </w:p>
    <w:p w14:paraId="3B124FC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&lt;Inf_NmbrDcmnt&gt;1223&lt;/Inf_NmbrDcmnt&gt;</w:t>
      </w:r>
    </w:p>
    <w:p w14:paraId="488C903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&lt;Inf_DtDcmnt&gt;2024-01-24&lt;/Inf_DtDcmnt&gt;</w:t>
      </w:r>
    </w:p>
    <w:p w14:paraId="53865E6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&lt;Inf_TpDcmnt&gt;0&lt;/Inf_TpDcmnt&gt;</w:t>
      </w:r>
    </w:p>
    <w:p w14:paraId="64E0AB5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&lt;Inf_NmbrChng&gt;0&lt;/Inf_NmbrChng&gt;</w:t>
      </w:r>
    </w:p>
    <w:p w14:paraId="1A1A60E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 xml:space="preserve">       &lt;StmInfrmtn_AccessLevel&gt;0&lt;/StmInfrmtn_AccessLevel&gt;</w:t>
      </w:r>
    </w:p>
    <w:p w14:paraId="01055E0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&lt;Inf_TpBOCd&gt;1&lt;/Inf_TpBOCd&gt;</w:t>
      </w:r>
    </w:p>
    <w:p w14:paraId="45F43A8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RcpBdjt</w:t>
      </w:r>
      <w:r w:rsidRPr="00264D5D">
        <w:rPr>
          <w:rFonts w:cs="Courier New"/>
          <w:sz w:val="20"/>
          <w:lang w:val="ru-RU"/>
        </w:rPr>
        <w:t>_</w:t>
      </w:r>
      <w:r w:rsidRPr="00264D5D">
        <w:rPr>
          <w:rFonts w:cs="Courier New"/>
          <w:sz w:val="20"/>
        </w:rPr>
        <w:t>NmRcp</w:t>
      </w:r>
      <w:r w:rsidRPr="00264D5D">
        <w:rPr>
          <w:rFonts w:cs="Courier New"/>
          <w:sz w:val="20"/>
          <w:lang w:val="ru-RU"/>
        </w:rPr>
        <w:t>&gt;ДЕПАРТАМЕНТ ОБРАЗОВАНИЯ ВЛАДИМИРСКОЙ ОБЛАСТИ&lt;/</w:t>
      </w:r>
      <w:r w:rsidRPr="00264D5D">
        <w:rPr>
          <w:rFonts w:cs="Courier New"/>
          <w:sz w:val="20"/>
        </w:rPr>
        <w:t>RcpBdjt</w:t>
      </w:r>
      <w:r w:rsidRPr="00264D5D">
        <w:rPr>
          <w:rFonts w:cs="Courier New"/>
          <w:sz w:val="20"/>
          <w:lang w:val="ru-RU"/>
        </w:rPr>
        <w:t>_</w:t>
      </w:r>
      <w:r w:rsidRPr="00264D5D">
        <w:rPr>
          <w:rFonts w:cs="Courier New"/>
          <w:sz w:val="20"/>
        </w:rPr>
        <w:t>NmRcp</w:t>
      </w:r>
      <w:r w:rsidRPr="00264D5D">
        <w:rPr>
          <w:rFonts w:cs="Courier New"/>
          <w:sz w:val="20"/>
          <w:lang w:val="ru-RU"/>
        </w:rPr>
        <w:t>&gt;</w:t>
      </w:r>
    </w:p>
    <w:p w14:paraId="4575678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RcpBdjt</w:t>
      </w:r>
      <w:r w:rsidRPr="00264D5D">
        <w:rPr>
          <w:rFonts w:cs="Courier New"/>
          <w:sz w:val="20"/>
          <w:lang w:val="ru-RU"/>
        </w:rPr>
        <w:t>_</w:t>
      </w:r>
      <w:r w:rsidRPr="00264D5D">
        <w:rPr>
          <w:rFonts w:cs="Courier New"/>
          <w:sz w:val="20"/>
        </w:rPr>
        <w:t>CdGRBS</w:t>
      </w:r>
      <w:r w:rsidRPr="00264D5D">
        <w:rPr>
          <w:rFonts w:cs="Courier New"/>
          <w:sz w:val="20"/>
          <w:lang w:val="ru-RU"/>
        </w:rPr>
        <w:t>&gt;19006000&lt;/</w:t>
      </w:r>
      <w:r w:rsidRPr="00264D5D">
        <w:rPr>
          <w:rFonts w:cs="Courier New"/>
          <w:sz w:val="20"/>
        </w:rPr>
        <w:t>RcpBdjt</w:t>
      </w:r>
      <w:r w:rsidRPr="00264D5D">
        <w:rPr>
          <w:rFonts w:cs="Courier New"/>
          <w:sz w:val="20"/>
          <w:lang w:val="ru-RU"/>
        </w:rPr>
        <w:t>_</w:t>
      </w:r>
      <w:r w:rsidRPr="00264D5D">
        <w:rPr>
          <w:rFonts w:cs="Courier New"/>
          <w:sz w:val="20"/>
        </w:rPr>
        <w:t>CdGRBS</w:t>
      </w:r>
      <w:r w:rsidRPr="00264D5D">
        <w:rPr>
          <w:rFonts w:cs="Courier New"/>
          <w:sz w:val="20"/>
          <w:lang w:val="ru-RU"/>
        </w:rPr>
        <w:t>&gt;</w:t>
      </w:r>
    </w:p>
    <w:p w14:paraId="4411138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RcpBdjt</w:t>
      </w:r>
      <w:r w:rsidRPr="00264D5D">
        <w:rPr>
          <w:rFonts w:cs="Courier New"/>
          <w:sz w:val="20"/>
          <w:lang w:val="ru-RU"/>
        </w:rPr>
        <w:t>_</w:t>
      </w:r>
      <w:r w:rsidRPr="00264D5D">
        <w:rPr>
          <w:rFonts w:cs="Courier New"/>
          <w:sz w:val="20"/>
        </w:rPr>
        <w:t>CdOKPO</w:t>
      </w:r>
      <w:r w:rsidRPr="00264D5D">
        <w:rPr>
          <w:rFonts w:cs="Courier New"/>
          <w:sz w:val="20"/>
          <w:lang w:val="ru-RU"/>
        </w:rPr>
        <w:t>&gt;51445678&lt;/</w:t>
      </w:r>
      <w:r w:rsidRPr="00264D5D">
        <w:rPr>
          <w:rFonts w:cs="Courier New"/>
          <w:sz w:val="20"/>
        </w:rPr>
        <w:t>RcpBdjt</w:t>
      </w:r>
      <w:r w:rsidRPr="00264D5D">
        <w:rPr>
          <w:rFonts w:cs="Courier New"/>
          <w:sz w:val="20"/>
          <w:lang w:val="ru-RU"/>
        </w:rPr>
        <w:t>_</w:t>
      </w:r>
      <w:r w:rsidRPr="00264D5D">
        <w:rPr>
          <w:rFonts w:cs="Courier New"/>
          <w:sz w:val="20"/>
        </w:rPr>
        <w:t>CdOKPO</w:t>
      </w:r>
      <w:r w:rsidRPr="00264D5D">
        <w:rPr>
          <w:rFonts w:cs="Courier New"/>
          <w:sz w:val="20"/>
          <w:lang w:val="ru-RU"/>
        </w:rPr>
        <w:t>&gt;</w:t>
      </w:r>
    </w:p>
    <w:p w14:paraId="5E274DC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RcpBdjt</w:t>
      </w:r>
      <w:r w:rsidRPr="00264D5D">
        <w:rPr>
          <w:rFonts w:cs="Courier New"/>
          <w:sz w:val="20"/>
          <w:lang w:val="ru-RU"/>
        </w:rPr>
        <w:t>_</w:t>
      </w:r>
      <w:r w:rsidRPr="00264D5D">
        <w:rPr>
          <w:rFonts w:cs="Courier New"/>
          <w:sz w:val="20"/>
        </w:rPr>
        <w:t>NmbrAccnt</w:t>
      </w:r>
      <w:r w:rsidRPr="00264D5D">
        <w:rPr>
          <w:rFonts w:cs="Courier New"/>
          <w:sz w:val="20"/>
          <w:lang w:val="ru-RU"/>
        </w:rPr>
        <w:t>&gt;03281190060&lt;/</w:t>
      </w:r>
      <w:r w:rsidRPr="00264D5D">
        <w:rPr>
          <w:rFonts w:cs="Courier New"/>
          <w:sz w:val="20"/>
        </w:rPr>
        <w:t>RcpBdjt</w:t>
      </w:r>
      <w:r w:rsidRPr="00264D5D">
        <w:rPr>
          <w:rFonts w:cs="Courier New"/>
          <w:sz w:val="20"/>
          <w:lang w:val="ru-RU"/>
        </w:rPr>
        <w:t>_</w:t>
      </w:r>
      <w:r w:rsidRPr="00264D5D">
        <w:rPr>
          <w:rFonts w:cs="Courier New"/>
          <w:sz w:val="20"/>
        </w:rPr>
        <w:t>NmbrAccnt</w:t>
      </w:r>
      <w:r w:rsidRPr="00264D5D">
        <w:rPr>
          <w:rFonts w:cs="Courier New"/>
          <w:sz w:val="20"/>
          <w:lang w:val="ru-RU"/>
        </w:rPr>
        <w:t>&gt;</w:t>
      </w:r>
    </w:p>
    <w:p w14:paraId="24DFB16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RcpBdjt</w:t>
      </w:r>
      <w:r w:rsidRPr="00264D5D">
        <w:rPr>
          <w:rFonts w:cs="Courier New"/>
          <w:sz w:val="20"/>
          <w:lang w:val="ru-RU"/>
        </w:rPr>
        <w:t>_</w:t>
      </w:r>
      <w:r w:rsidRPr="00264D5D">
        <w:rPr>
          <w:rFonts w:cs="Courier New"/>
          <w:sz w:val="20"/>
        </w:rPr>
        <w:t>GlavaBKCode</w:t>
      </w:r>
      <w:r w:rsidRPr="00264D5D">
        <w:rPr>
          <w:rFonts w:cs="Courier New"/>
          <w:sz w:val="20"/>
          <w:lang w:val="ru-RU"/>
        </w:rPr>
        <w:t>&gt;438&lt;/</w:t>
      </w:r>
      <w:r w:rsidRPr="00264D5D">
        <w:rPr>
          <w:rFonts w:cs="Courier New"/>
          <w:sz w:val="20"/>
        </w:rPr>
        <w:t>RcpBdjt</w:t>
      </w:r>
      <w:r w:rsidRPr="00264D5D">
        <w:rPr>
          <w:rFonts w:cs="Courier New"/>
          <w:sz w:val="20"/>
          <w:lang w:val="ru-RU"/>
        </w:rPr>
        <w:t>_</w:t>
      </w:r>
      <w:r w:rsidRPr="00264D5D">
        <w:rPr>
          <w:rFonts w:cs="Courier New"/>
          <w:sz w:val="20"/>
        </w:rPr>
        <w:t>GlavaBKCode</w:t>
      </w:r>
      <w:r w:rsidRPr="00264D5D">
        <w:rPr>
          <w:rFonts w:cs="Courier New"/>
          <w:sz w:val="20"/>
          <w:lang w:val="ru-RU"/>
        </w:rPr>
        <w:t>&gt;</w:t>
      </w:r>
    </w:p>
    <w:p w14:paraId="34A645D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RcpBdjt</w:t>
      </w:r>
      <w:r w:rsidRPr="00264D5D">
        <w:rPr>
          <w:rFonts w:cs="Courier New"/>
          <w:sz w:val="20"/>
          <w:lang w:val="ru-RU"/>
        </w:rPr>
        <w:t>_</w:t>
      </w:r>
      <w:r w:rsidRPr="00264D5D">
        <w:rPr>
          <w:rFonts w:cs="Courier New"/>
          <w:sz w:val="20"/>
        </w:rPr>
        <w:t>GRBS</w:t>
      </w:r>
      <w:r w:rsidRPr="00264D5D">
        <w:rPr>
          <w:rFonts w:cs="Courier New"/>
          <w:sz w:val="20"/>
          <w:lang w:val="ru-RU"/>
        </w:rPr>
        <w:t>&gt;ДЕПАРТАМЕНТ ОБРАЗОВАНИЯ ВЛАДИМИРСКОЙ ОБЛАСТИ&lt;/</w:t>
      </w:r>
      <w:r w:rsidRPr="00264D5D">
        <w:rPr>
          <w:rFonts w:cs="Courier New"/>
          <w:sz w:val="20"/>
        </w:rPr>
        <w:t>RcpBdjt</w:t>
      </w:r>
      <w:r w:rsidRPr="00264D5D">
        <w:rPr>
          <w:rFonts w:cs="Courier New"/>
          <w:sz w:val="20"/>
          <w:lang w:val="ru-RU"/>
        </w:rPr>
        <w:t>_</w:t>
      </w:r>
      <w:r w:rsidRPr="00264D5D">
        <w:rPr>
          <w:rFonts w:cs="Courier New"/>
          <w:sz w:val="20"/>
        </w:rPr>
        <w:t>GRBS</w:t>
      </w:r>
      <w:r w:rsidRPr="00264D5D">
        <w:rPr>
          <w:rFonts w:cs="Courier New"/>
          <w:sz w:val="20"/>
          <w:lang w:val="ru-RU"/>
        </w:rPr>
        <w:t>&gt;</w:t>
      </w:r>
    </w:p>
    <w:p w14:paraId="69D124A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RcpBdjt</w:t>
      </w:r>
      <w:r w:rsidRPr="00264D5D">
        <w:rPr>
          <w:rFonts w:cs="Courier New"/>
          <w:sz w:val="20"/>
          <w:lang w:val="ru-RU"/>
        </w:rPr>
        <w:t>_</w:t>
      </w:r>
      <w:r w:rsidRPr="00264D5D">
        <w:rPr>
          <w:rFonts w:cs="Courier New"/>
          <w:sz w:val="20"/>
        </w:rPr>
        <w:t>NmBdgt</w:t>
      </w:r>
      <w:r w:rsidRPr="00264D5D">
        <w:rPr>
          <w:rFonts w:cs="Courier New"/>
          <w:sz w:val="20"/>
          <w:lang w:val="ru-RU"/>
        </w:rPr>
        <w:t>&gt;ФЕДЕРАЛЬНЫЙ БЮДЖЕТ&lt;/</w:t>
      </w:r>
      <w:r w:rsidRPr="00264D5D">
        <w:rPr>
          <w:rFonts w:cs="Courier New"/>
          <w:sz w:val="20"/>
        </w:rPr>
        <w:t>RcpBdjt</w:t>
      </w:r>
      <w:r w:rsidRPr="00264D5D">
        <w:rPr>
          <w:rFonts w:cs="Courier New"/>
          <w:sz w:val="20"/>
          <w:lang w:val="ru-RU"/>
        </w:rPr>
        <w:t>_</w:t>
      </w:r>
      <w:r w:rsidRPr="00264D5D">
        <w:rPr>
          <w:rFonts w:cs="Courier New"/>
          <w:sz w:val="20"/>
        </w:rPr>
        <w:t>NmBdgt</w:t>
      </w:r>
      <w:r w:rsidRPr="00264D5D">
        <w:rPr>
          <w:rFonts w:cs="Courier New"/>
          <w:sz w:val="20"/>
          <w:lang w:val="ru-RU"/>
        </w:rPr>
        <w:t>&gt;</w:t>
      </w:r>
    </w:p>
    <w:p w14:paraId="1777668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RcpBdjt</w:t>
      </w:r>
      <w:r w:rsidRPr="00264D5D">
        <w:rPr>
          <w:rFonts w:cs="Courier New"/>
          <w:sz w:val="20"/>
          <w:lang w:val="ru-RU"/>
        </w:rPr>
        <w:t>_</w:t>
      </w:r>
      <w:r w:rsidRPr="00264D5D">
        <w:rPr>
          <w:rFonts w:cs="Courier New"/>
          <w:sz w:val="20"/>
        </w:rPr>
        <w:t>CdOKTMO</w:t>
      </w:r>
      <w:r w:rsidRPr="00264D5D">
        <w:rPr>
          <w:rFonts w:cs="Courier New"/>
          <w:sz w:val="20"/>
          <w:lang w:val="ru-RU"/>
        </w:rPr>
        <w:t>&gt;12345678000&lt;/</w:t>
      </w:r>
      <w:r w:rsidRPr="00264D5D">
        <w:rPr>
          <w:rFonts w:cs="Courier New"/>
          <w:sz w:val="20"/>
        </w:rPr>
        <w:t>RcpBdjt</w:t>
      </w:r>
      <w:r w:rsidRPr="00264D5D">
        <w:rPr>
          <w:rFonts w:cs="Courier New"/>
          <w:sz w:val="20"/>
          <w:lang w:val="ru-RU"/>
        </w:rPr>
        <w:t>_</w:t>
      </w:r>
      <w:r w:rsidRPr="00264D5D">
        <w:rPr>
          <w:rFonts w:cs="Courier New"/>
          <w:sz w:val="20"/>
        </w:rPr>
        <w:t>CdOKTMO</w:t>
      </w:r>
      <w:r w:rsidRPr="00264D5D">
        <w:rPr>
          <w:rFonts w:cs="Courier New"/>
          <w:sz w:val="20"/>
          <w:lang w:val="ru-RU"/>
        </w:rPr>
        <w:t>&gt;</w:t>
      </w:r>
    </w:p>
    <w:p w14:paraId="5AA4C5F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RcpBdjt</w:t>
      </w:r>
      <w:r w:rsidRPr="00264D5D">
        <w:rPr>
          <w:rFonts w:cs="Courier New"/>
          <w:sz w:val="20"/>
          <w:lang w:val="ru-RU"/>
        </w:rPr>
        <w:t>_</w:t>
      </w:r>
      <w:r w:rsidRPr="00264D5D">
        <w:rPr>
          <w:rFonts w:cs="Courier New"/>
          <w:sz w:val="20"/>
        </w:rPr>
        <w:t>NmFnOrg</w:t>
      </w:r>
      <w:r w:rsidRPr="00264D5D">
        <w:rPr>
          <w:rFonts w:cs="Courier New"/>
          <w:sz w:val="20"/>
          <w:lang w:val="ru-RU"/>
        </w:rPr>
        <w:t>&gt;МИНИСТЕРСТВО ФИНАНСОВ РОССИЙСКОЙ ФЕДЕРА-ЦИИ&lt;/</w:t>
      </w:r>
      <w:r w:rsidRPr="00264D5D">
        <w:rPr>
          <w:rFonts w:cs="Courier New"/>
          <w:sz w:val="20"/>
        </w:rPr>
        <w:t>RcpBdjt</w:t>
      </w:r>
      <w:r w:rsidRPr="00264D5D">
        <w:rPr>
          <w:rFonts w:cs="Courier New"/>
          <w:sz w:val="20"/>
          <w:lang w:val="ru-RU"/>
        </w:rPr>
        <w:t>_</w:t>
      </w:r>
      <w:r w:rsidRPr="00264D5D">
        <w:rPr>
          <w:rFonts w:cs="Courier New"/>
          <w:sz w:val="20"/>
        </w:rPr>
        <w:t>NmFnOrg</w:t>
      </w:r>
      <w:r w:rsidRPr="00264D5D">
        <w:rPr>
          <w:rFonts w:cs="Courier New"/>
          <w:sz w:val="20"/>
          <w:lang w:val="ru-RU"/>
        </w:rPr>
        <w:t>&gt;</w:t>
      </w:r>
    </w:p>
    <w:p w14:paraId="7E4BAA2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RcpBdjt</w:t>
      </w:r>
      <w:r w:rsidRPr="00264D5D">
        <w:rPr>
          <w:rFonts w:cs="Courier New"/>
          <w:sz w:val="20"/>
          <w:lang w:val="ru-RU"/>
        </w:rPr>
        <w:t>_</w:t>
      </w:r>
      <w:r w:rsidRPr="00264D5D">
        <w:rPr>
          <w:rFonts w:cs="Courier New"/>
          <w:sz w:val="20"/>
        </w:rPr>
        <w:t>CdTOFK</w:t>
      </w:r>
      <w:r w:rsidRPr="00264D5D">
        <w:rPr>
          <w:rFonts w:cs="Courier New"/>
          <w:sz w:val="20"/>
          <w:lang w:val="ru-RU"/>
        </w:rPr>
        <w:t>&gt;2800&lt;/</w:t>
      </w:r>
      <w:r w:rsidRPr="00264D5D">
        <w:rPr>
          <w:rFonts w:cs="Courier New"/>
          <w:sz w:val="20"/>
        </w:rPr>
        <w:t>RcpBdjt</w:t>
      </w:r>
      <w:r w:rsidRPr="00264D5D">
        <w:rPr>
          <w:rFonts w:cs="Courier New"/>
          <w:sz w:val="20"/>
          <w:lang w:val="ru-RU"/>
        </w:rPr>
        <w:t>_</w:t>
      </w:r>
      <w:r w:rsidRPr="00264D5D">
        <w:rPr>
          <w:rFonts w:cs="Courier New"/>
          <w:sz w:val="20"/>
        </w:rPr>
        <w:t>CdTOFK</w:t>
      </w:r>
      <w:r w:rsidRPr="00264D5D">
        <w:rPr>
          <w:rFonts w:cs="Courier New"/>
          <w:sz w:val="20"/>
          <w:lang w:val="ru-RU"/>
        </w:rPr>
        <w:t>&gt;</w:t>
      </w:r>
    </w:p>
    <w:p w14:paraId="37CAE1E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RcpBdjt</w:t>
      </w:r>
      <w:r w:rsidRPr="00264D5D">
        <w:rPr>
          <w:rFonts w:cs="Courier New"/>
          <w:sz w:val="20"/>
          <w:lang w:val="ru-RU"/>
        </w:rPr>
        <w:t>_</w:t>
      </w:r>
      <w:r w:rsidRPr="00264D5D">
        <w:rPr>
          <w:rFonts w:cs="Courier New"/>
          <w:sz w:val="20"/>
        </w:rPr>
        <w:t>NmTOFK</w:t>
      </w:r>
      <w:r w:rsidRPr="00264D5D">
        <w:rPr>
          <w:rFonts w:cs="Courier New"/>
          <w:sz w:val="20"/>
          <w:lang w:val="ru-RU"/>
        </w:rPr>
        <w:t>&gt;УПРАВЛЕНИЕ ФЕДЕРАЛЬНОГО КАЗНАЧЕЙСТВА ПО ВЛАДИМИРСКОЙ ОБЛАСТИ&lt;/</w:t>
      </w:r>
      <w:r w:rsidRPr="00264D5D">
        <w:rPr>
          <w:rFonts w:cs="Courier New"/>
          <w:sz w:val="20"/>
        </w:rPr>
        <w:t>RcpBdjt</w:t>
      </w:r>
      <w:r w:rsidRPr="00264D5D">
        <w:rPr>
          <w:rFonts w:cs="Courier New"/>
          <w:sz w:val="20"/>
          <w:lang w:val="ru-RU"/>
        </w:rPr>
        <w:t>_</w:t>
      </w:r>
      <w:r w:rsidRPr="00264D5D">
        <w:rPr>
          <w:rFonts w:cs="Courier New"/>
          <w:sz w:val="20"/>
        </w:rPr>
        <w:t>NmTOFK</w:t>
      </w:r>
      <w:r w:rsidRPr="00264D5D">
        <w:rPr>
          <w:rFonts w:cs="Courier New"/>
          <w:sz w:val="20"/>
          <w:lang w:val="ru-RU"/>
        </w:rPr>
        <w:t>&gt;</w:t>
      </w:r>
    </w:p>
    <w:p w14:paraId="7D48FEA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RcpBdjt</w:t>
      </w:r>
      <w:r w:rsidRPr="00264D5D">
        <w:rPr>
          <w:rFonts w:cs="Courier New"/>
          <w:sz w:val="20"/>
          <w:lang w:val="ru-RU"/>
        </w:rPr>
        <w:t>_</w:t>
      </w:r>
      <w:r w:rsidRPr="00264D5D">
        <w:rPr>
          <w:rFonts w:cs="Courier New"/>
          <w:sz w:val="20"/>
        </w:rPr>
        <w:t>CdOKPOFn</w:t>
      </w:r>
      <w:r w:rsidRPr="00264D5D">
        <w:rPr>
          <w:rFonts w:cs="Courier New"/>
          <w:sz w:val="20"/>
          <w:lang w:val="ru-RU"/>
        </w:rPr>
        <w:t>&gt;12345678&lt;/</w:t>
      </w:r>
      <w:r w:rsidRPr="00264D5D">
        <w:rPr>
          <w:rFonts w:cs="Courier New"/>
          <w:sz w:val="20"/>
        </w:rPr>
        <w:t>RcpBdjt</w:t>
      </w:r>
      <w:r w:rsidRPr="00264D5D">
        <w:rPr>
          <w:rFonts w:cs="Courier New"/>
          <w:sz w:val="20"/>
          <w:lang w:val="ru-RU"/>
        </w:rPr>
        <w:t>_</w:t>
      </w:r>
      <w:r w:rsidRPr="00264D5D">
        <w:rPr>
          <w:rFonts w:cs="Courier New"/>
          <w:sz w:val="20"/>
        </w:rPr>
        <w:t>CdOKPOFn</w:t>
      </w:r>
      <w:r w:rsidRPr="00264D5D">
        <w:rPr>
          <w:rFonts w:cs="Courier New"/>
          <w:sz w:val="20"/>
          <w:lang w:val="ru-RU"/>
        </w:rPr>
        <w:t>&gt;</w:t>
      </w:r>
    </w:p>
    <w:p w14:paraId="745E658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InfDcBs</w:t>
      </w:r>
      <w:r w:rsidRPr="00264D5D">
        <w:rPr>
          <w:rFonts w:cs="Courier New"/>
          <w:sz w:val="20"/>
          <w:lang w:val="ru-RU"/>
        </w:rPr>
        <w:t>_</w:t>
      </w:r>
      <w:r w:rsidRPr="00264D5D">
        <w:rPr>
          <w:rFonts w:cs="Courier New"/>
          <w:sz w:val="20"/>
        </w:rPr>
        <w:t>TypeDcBs</w:t>
      </w:r>
      <w:r w:rsidRPr="00264D5D">
        <w:rPr>
          <w:rFonts w:cs="Courier New"/>
          <w:sz w:val="20"/>
          <w:lang w:val="ru-RU"/>
        </w:rPr>
        <w:t>&gt;контракт&lt;/</w:t>
      </w:r>
      <w:r w:rsidRPr="00264D5D">
        <w:rPr>
          <w:rFonts w:cs="Courier New"/>
          <w:sz w:val="20"/>
        </w:rPr>
        <w:t>InfDcBs</w:t>
      </w:r>
      <w:r w:rsidRPr="00264D5D">
        <w:rPr>
          <w:rFonts w:cs="Courier New"/>
          <w:sz w:val="20"/>
          <w:lang w:val="ru-RU"/>
        </w:rPr>
        <w:t>_</w:t>
      </w:r>
      <w:r w:rsidRPr="00264D5D">
        <w:rPr>
          <w:rFonts w:cs="Courier New"/>
          <w:sz w:val="20"/>
        </w:rPr>
        <w:t>TypeDcBs</w:t>
      </w:r>
      <w:r w:rsidRPr="00264D5D">
        <w:rPr>
          <w:rFonts w:cs="Courier New"/>
          <w:sz w:val="20"/>
          <w:lang w:val="ru-RU"/>
        </w:rPr>
        <w:t>&gt;</w:t>
      </w:r>
    </w:p>
    <w:p w14:paraId="64698E2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InfDcBs</w:t>
      </w:r>
      <w:r w:rsidRPr="00264D5D">
        <w:rPr>
          <w:rFonts w:cs="Courier New"/>
          <w:sz w:val="20"/>
          <w:lang w:val="ru-RU"/>
        </w:rPr>
        <w:t>_</w:t>
      </w:r>
      <w:r w:rsidRPr="00264D5D">
        <w:rPr>
          <w:rFonts w:cs="Courier New"/>
          <w:sz w:val="20"/>
        </w:rPr>
        <w:t>RmAct</w:t>
      </w:r>
      <w:r w:rsidRPr="00264D5D">
        <w:rPr>
          <w:rFonts w:cs="Courier New"/>
          <w:sz w:val="20"/>
          <w:lang w:val="ru-RU"/>
        </w:rPr>
        <w:t>&gt;25&lt;/</w:t>
      </w:r>
      <w:r w:rsidRPr="00264D5D">
        <w:rPr>
          <w:rFonts w:cs="Courier New"/>
          <w:sz w:val="20"/>
        </w:rPr>
        <w:t>InfDcBs</w:t>
      </w:r>
      <w:r w:rsidRPr="00264D5D">
        <w:rPr>
          <w:rFonts w:cs="Courier New"/>
          <w:sz w:val="20"/>
          <w:lang w:val="ru-RU"/>
        </w:rPr>
        <w:t>_</w:t>
      </w:r>
      <w:r w:rsidRPr="00264D5D">
        <w:rPr>
          <w:rFonts w:cs="Courier New"/>
          <w:sz w:val="20"/>
        </w:rPr>
        <w:t>RmAct</w:t>
      </w:r>
      <w:r w:rsidRPr="00264D5D">
        <w:rPr>
          <w:rFonts w:cs="Courier New"/>
          <w:sz w:val="20"/>
          <w:lang w:val="ru-RU"/>
        </w:rPr>
        <w:t>&gt;</w:t>
      </w:r>
    </w:p>
    <w:p w14:paraId="407EA11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InfDcBs</w:t>
      </w:r>
      <w:r w:rsidRPr="00264D5D">
        <w:rPr>
          <w:rFonts w:cs="Courier New"/>
          <w:sz w:val="20"/>
          <w:lang w:val="ru-RU"/>
        </w:rPr>
        <w:t>_</w:t>
      </w:r>
      <w:r w:rsidRPr="00264D5D">
        <w:rPr>
          <w:rFonts w:cs="Courier New"/>
          <w:sz w:val="20"/>
        </w:rPr>
        <w:t>DtCntrct</w:t>
      </w:r>
      <w:r w:rsidRPr="00264D5D">
        <w:rPr>
          <w:rFonts w:cs="Courier New"/>
          <w:sz w:val="20"/>
          <w:lang w:val="ru-RU"/>
        </w:rPr>
        <w:t>&gt;2022-01-13&lt;/</w:t>
      </w:r>
      <w:r w:rsidRPr="00264D5D">
        <w:rPr>
          <w:rFonts w:cs="Courier New"/>
          <w:sz w:val="20"/>
        </w:rPr>
        <w:t>InfDcBs</w:t>
      </w:r>
      <w:r w:rsidRPr="00264D5D">
        <w:rPr>
          <w:rFonts w:cs="Courier New"/>
          <w:sz w:val="20"/>
          <w:lang w:val="ru-RU"/>
        </w:rPr>
        <w:t>_</w:t>
      </w:r>
      <w:r w:rsidRPr="00264D5D">
        <w:rPr>
          <w:rFonts w:cs="Courier New"/>
          <w:sz w:val="20"/>
        </w:rPr>
        <w:t>DtCntrct</w:t>
      </w:r>
      <w:r w:rsidRPr="00264D5D">
        <w:rPr>
          <w:rFonts w:cs="Courier New"/>
          <w:sz w:val="20"/>
          <w:lang w:val="ru-RU"/>
        </w:rPr>
        <w:t>&gt;</w:t>
      </w:r>
    </w:p>
    <w:p w14:paraId="54F5E68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InfDcBs</w:t>
      </w:r>
      <w:r w:rsidRPr="00264D5D">
        <w:rPr>
          <w:rFonts w:cs="Courier New"/>
          <w:sz w:val="20"/>
          <w:lang w:val="ru-RU"/>
        </w:rPr>
        <w:t>_</w:t>
      </w:r>
      <w:r w:rsidRPr="00264D5D">
        <w:rPr>
          <w:rFonts w:cs="Courier New"/>
          <w:sz w:val="20"/>
        </w:rPr>
        <w:t>SbjctDcBs</w:t>
      </w:r>
      <w:r w:rsidRPr="00264D5D">
        <w:rPr>
          <w:rFonts w:cs="Courier New"/>
          <w:sz w:val="20"/>
          <w:lang w:val="ru-RU"/>
        </w:rPr>
        <w:t>&gt;Предмет по контракту&lt;/</w:t>
      </w:r>
      <w:r w:rsidRPr="00264D5D">
        <w:rPr>
          <w:rFonts w:cs="Courier New"/>
          <w:sz w:val="20"/>
        </w:rPr>
        <w:t>InfDcBs</w:t>
      </w:r>
      <w:r w:rsidRPr="00264D5D">
        <w:rPr>
          <w:rFonts w:cs="Courier New"/>
          <w:sz w:val="20"/>
          <w:lang w:val="ru-RU"/>
        </w:rPr>
        <w:t>_</w:t>
      </w:r>
      <w:r w:rsidRPr="00264D5D">
        <w:rPr>
          <w:rFonts w:cs="Courier New"/>
          <w:sz w:val="20"/>
        </w:rPr>
        <w:t>SbjctDcBs</w:t>
      </w:r>
      <w:r w:rsidRPr="00264D5D">
        <w:rPr>
          <w:rFonts w:cs="Courier New"/>
          <w:sz w:val="20"/>
          <w:lang w:val="ru-RU"/>
        </w:rPr>
        <w:t>&gt;</w:t>
      </w:r>
    </w:p>
    <w:p w14:paraId="7899FC0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rPr>
        <w:t>&lt;InfDcBs_RegisNmbRg&gt;1789106000012000000&lt;/InfDcBs_RegisNmbRg&gt;</w:t>
      </w:r>
    </w:p>
    <w:p w14:paraId="46672FE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&lt;InfDcBs_SgnKS&gt;1&lt;/InfDcBs_SgnKS&gt;</w:t>
      </w:r>
    </w:p>
    <w:p w14:paraId="7FA4843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&lt;InfDcBs_SmSbsds&gt;400000.00&lt;/InfDcBs_SmSbsds&gt;</w:t>
      </w:r>
    </w:p>
    <w:p w14:paraId="6570CB4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&lt;InfDcBs_CdCrrnc&gt;643&lt;/InfDcBs_CdCrrnc&gt;</w:t>
      </w:r>
    </w:p>
    <w:p w14:paraId="3334587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&lt;InfDcBs_SmSbsdRUB&gt;400000.00&lt;/InfDcBs_SmSbsdRUB&gt;</w:t>
      </w:r>
    </w:p>
    <w:p w14:paraId="7A327AA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 xml:space="preserve"> </w:t>
      </w:r>
      <w:r w:rsidRPr="00264D5D">
        <w:rPr>
          <w:rFonts w:cs="Courier New"/>
          <w:sz w:val="20"/>
        </w:rPr>
        <w:tab/>
        <w:t>&lt;InfDcBs_AdvncPy&gt;0.00&lt;/InfDcBs_AdvncPy&gt;</w:t>
      </w:r>
    </w:p>
    <w:p w14:paraId="7D979BE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 xml:space="preserve"> </w:t>
      </w:r>
      <w:r w:rsidRPr="00264D5D">
        <w:rPr>
          <w:rFonts w:cs="Courier New"/>
          <w:sz w:val="20"/>
        </w:rPr>
        <w:tab/>
        <w:t>&lt;InfDcBs_AmntAdvPy&gt;0.00&lt;/InfDcBs_AmntAdvPy&gt;</w:t>
      </w:r>
    </w:p>
    <w:p w14:paraId="3C44BAE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&lt;Sgnng_NmHd&gt;Иванова М.С.&lt;/Sgnng_NmHd&gt;</w:t>
      </w:r>
    </w:p>
    <w:p w14:paraId="33C3A6A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Sgnng</w:t>
      </w:r>
      <w:r w:rsidRPr="00264D5D">
        <w:rPr>
          <w:rFonts w:cs="Courier New"/>
          <w:sz w:val="20"/>
          <w:lang w:val="ru-RU"/>
        </w:rPr>
        <w:t>_</w:t>
      </w:r>
      <w:r w:rsidRPr="00264D5D">
        <w:rPr>
          <w:rFonts w:cs="Courier New"/>
          <w:sz w:val="20"/>
        </w:rPr>
        <w:t>PstHd</w:t>
      </w:r>
      <w:r w:rsidRPr="00264D5D">
        <w:rPr>
          <w:rFonts w:cs="Courier New"/>
          <w:sz w:val="20"/>
          <w:lang w:val="ru-RU"/>
        </w:rPr>
        <w:t>&gt;Начальник департамента&lt;/</w:t>
      </w:r>
      <w:r w:rsidRPr="00264D5D">
        <w:rPr>
          <w:rFonts w:cs="Courier New"/>
          <w:sz w:val="20"/>
        </w:rPr>
        <w:t>Sgnng</w:t>
      </w:r>
      <w:r w:rsidRPr="00264D5D">
        <w:rPr>
          <w:rFonts w:cs="Courier New"/>
          <w:sz w:val="20"/>
          <w:lang w:val="ru-RU"/>
        </w:rPr>
        <w:t>_</w:t>
      </w:r>
      <w:r w:rsidRPr="00264D5D">
        <w:rPr>
          <w:rFonts w:cs="Courier New"/>
          <w:sz w:val="20"/>
        </w:rPr>
        <w:t>PstHd</w:t>
      </w:r>
      <w:r w:rsidRPr="00264D5D">
        <w:rPr>
          <w:rFonts w:cs="Courier New"/>
          <w:sz w:val="20"/>
          <w:lang w:val="ru-RU"/>
        </w:rPr>
        <w:t>&gt;</w:t>
      </w:r>
    </w:p>
    <w:p w14:paraId="73DD5A5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Sgnng</w:t>
      </w:r>
      <w:r w:rsidRPr="00264D5D">
        <w:rPr>
          <w:rFonts w:cs="Courier New"/>
          <w:sz w:val="20"/>
          <w:lang w:val="ru-RU"/>
        </w:rPr>
        <w:t>_</w:t>
      </w:r>
      <w:r w:rsidRPr="00264D5D">
        <w:rPr>
          <w:rFonts w:cs="Courier New"/>
          <w:sz w:val="20"/>
        </w:rPr>
        <w:t>DtSgnng</w:t>
      </w:r>
      <w:r w:rsidRPr="00264D5D">
        <w:rPr>
          <w:rFonts w:cs="Courier New"/>
          <w:sz w:val="20"/>
          <w:lang w:val="ru-RU"/>
        </w:rPr>
        <w:t>&gt;2024-01-24&lt;/</w:t>
      </w:r>
      <w:r w:rsidRPr="00264D5D">
        <w:rPr>
          <w:rFonts w:cs="Courier New"/>
          <w:sz w:val="20"/>
        </w:rPr>
        <w:t>Sgnng</w:t>
      </w:r>
      <w:r w:rsidRPr="00264D5D">
        <w:rPr>
          <w:rFonts w:cs="Courier New"/>
          <w:sz w:val="20"/>
          <w:lang w:val="ru-RU"/>
        </w:rPr>
        <w:t>_</w:t>
      </w:r>
      <w:r w:rsidRPr="00264D5D">
        <w:rPr>
          <w:rFonts w:cs="Courier New"/>
          <w:sz w:val="20"/>
        </w:rPr>
        <w:t>DtSgnng</w:t>
      </w:r>
      <w:r w:rsidRPr="00264D5D">
        <w:rPr>
          <w:rFonts w:cs="Courier New"/>
          <w:sz w:val="20"/>
          <w:lang w:val="ru-RU"/>
        </w:rPr>
        <w:t>&gt;</w:t>
      </w:r>
    </w:p>
    <w:p w14:paraId="0DDF973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Rqsts</w:t>
      </w:r>
      <w:r w:rsidRPr="00264D5D">
        <w:rPr>
          <w:rFonts w:cs="Courier New"/>
          <w:sz w:val="20"/>
          <w:lang w:val="ru-RU"/>
        </w:rPr>
        <w:t>_</w:t>
      </w:r>
      <w:r w:rsidRPr="00264D5D">
        <w:rPr>
          <w:rFonts w:cs="Courier New"/>
          <w:sz w:val="20"/>
        </w:rPr>
        <w:t>TblSbsd</w:t>
      </w:r>
      <w:r w:rsidRPr="00264D5D">
        <w:rPr>
          <w:rFonts w:cs="Courier New"/>
          <w:sz w:val="20"/>
          <w:lang w:val="ru-RU"/>
        </w:rPr>
        <w:t>&gt;</w:t>
      </w:r>
    </w:p>
    <w:p w14:paraId="55BA050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TblSbsd</w:t>
      </w:r>
      <w:r w:rsidRPr="00264D5D">
        <w:rPr>
          <w:rFonts w:cs="Courier New"/>
          <w:sz w:val="20"/>
          <w:lang w:val="ru-RU"/>
        </w:rPr>
        <w:t>_</w:t>
      </w:r>
      <w:r w:rsidRPr="00264D5D">
        <w:rPr>
          <w:rFonts w:cs="Courier New"/>
          <w:sz w:val="20"/>
        </w:rPr>
        <w:t>ITEM</w:t>
      </w:r>
      <w:r w:rsidRPr="00264D5D">
        <w:rPr>
          <w:rFonts w:cs="Courier New"/>
          <w:sz w:val="20"/>
          <w:lang w:val="ru-RU"/>
        </w:rPr>
        <w:t>&gt;</w:t>
      </w:r>
    </w:p>
    <w:p w14:paraId="5C60DAA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Nm</w:t>
      </w:r>
      <w:r w:rsidRPr="00264D5D">
        <w:rPr>
          <w:rFonts w:cs="Courier New"/>
          <w:sz w:val="20"/>
          <w:lang w:val="ru-RU"/>
        </w:rPr>
        <w:t>&gt;ОАО "Волга-Стройкомплект"&lt;/</w:t>
      </w:r>
      <w:r w:rsidRPr="00264D5D">
        <w:rPr>
          <w:rFonts w:cs="Courier New"/>
          <w:sz w:val="20"/>
        </w:rPr>
        <w:t>Nm</w:t>
      </w:r>
      <w:r w:rsidRPr="00264D5D">
        <w:rPr>
          <w:rFonts w:cs="Courier New"/>
          <w:sz w:val="20"/>
          <w:lang w:val="ru-RU"/>
        </w:rPr>
        <w:t>&gt;</w:t>
      </w:r>
    </w:p>
    <w:p w14:paraId="0AB0259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rPr>
        <w:t>&lt;INN&gt;5244009279&lt;/INN&gt;</w:t>
      </w:r>
    </w:p>
    <w:p w14:paraId="229EAFD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&lt;CdRgs&gt;01235000&lt;/CdRgs&gt;</w:t>
      </w:r>
    </w:p>
    <w:p w14:paraId="3CCC24A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&lt;NmbrAccnt&gt;03281190136&lt;/NmbrAccnt&gt;</w:t>
      </w:r>
    </w:p>
    <w:p w14:paraId="7EA786F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&lt;NmbrBnkAccnt&gt;48107812510200022221&lt;/NmbrBnkAccnt&gt;</w:t>
      </w:r>
    </w:p>
    <w:p w14:paraId="7BF2941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&lt;NmBnk&gt;OOO "Сбербанк"&lt;/NmBnk&gt;</w:t>
      </w:r>
    </w:p>
    <w:p w14:paraId="2427294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&lt;BIKBnk&gt;998476543&lt;/BIKBnk&gt;</w:t>
      </w:r>
    </w:p>
    <w:p w14:paraId="0D66EE7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&lt;CrrspndntAccnts&gt;30101810100000000647&lt;/CrrspndntAccnts&gt;</w:t>
      </w:r>
    </w:p>
    <w:p w14:paraId="40D83AF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&lt;/TblSbsd_ITEM&gt;</w:t>
      </w:r>
    </w:p>
    <w:p w14:paraId="425B758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&lt;/Rqsts_TblSbsd&gt;</w:t>
      </w:r>
    </w:p>
    <w:p w14:paraId="49B91E7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&lt;Oblgtns_Pmnts&gt;</w:t>
      </w:r>
    </w:p>
    <w:p w14:paraId="5DD3050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&lt;Pmnts_ITEM&gt;</w:t>
      </w:r>
    </w:p>
    <w:p w14:paraId="0374240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&lt;NmLn&gt;1234&lt;/NmLn&gt;</w:t>
      </w:r>
    </w:p>
    <w:p w14:paraId="1995DAA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&lt;RsltsR9&gt;207183021484599876&lt;/RsltsR9&gt;</w:t>
      </w:r>
    </w:p>
    <w:p w14:paraId="24F243E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&lt;RsltsR8&gt;Реконструкция учебного корпуса № 2, г.Владимир, Океанский проспект, д.165//реконструкция&lt;/RsltsR8&gt;</w:t>
      </w:r>
    </w:p>
    <w:p w14:paraId="7D2321A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&lt;NmTpRsrcs&gt;1&lt;/NmTpRsrcs&gt;</w:t>
      </w:r>
    </w:p>
    <w:p w14:paraId="47CFA4E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&lt;KBK&gt;43807000910200022226&lt;/KBK&gt;</w:t>
      </w:r>
    </w:p>
    <w:p w14:paraId="03F59DC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&lt;KBKType&gt;10&lt;/KBKType&gt;</w:t>
      </w:r>
    </w:p>
    <w:p w14:paraId="00B2210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ab/>
      </w:r>
      <w:r w:rsidRPr="00264D5D">
        <w:rPr>
          <w:rFonts w:cs="Courier New"/>
          <w:sz w:val="20"/>
        </w:rPr>
        <w:tab/>
      </w:r>
      <w:r w:rsidRPr="00264D5D">
        <w:rPr>
          <w:rFonts w:cs="Courier New"/>
          <w:sz w:val="20"/>
        </w:rPr>
        <w:tab/>
      </w:r>
      <w:r w:rsidRPr="00264D5D">
        <w:rPr>
          <w:rFonts w:cs="Courier New"/>
          <w:sz w:val="20"/>
        </w:rPr>
        <w:tab/>
        <w:t>&lt;SympAbsltnssPmnt&gt;0&lt;/SympAbsltnssPmnt&gt;</w:t>
      </w:r>
    </w:p>
    <w:p w14:paraId="4CA8CAB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&lt;SmLblt&gt;0.00&lt;/SmLblt&gt;</w:t>
      </w:r>
    </w:p>
    <w:p w14:paraId="02751CB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&lt;SmLblts&gt;0.00&lt;/SmLblts&gt;</w:t>
      </w:r>
    </w:p>
    <w:p w14:paraId="61DBFFD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&lt;SmJnr&gt;0.00&lt;/SmJnr&gt;</w:t>
      </w:r>
    </w:p>
    <w:p w14:paraId="4FF3712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&lt;SmFbrr&gt;0.00&lt;/SmFbrr&gt;</w:t>
      </w:r>
    </w:p>
    <w:p w14:paraId="49494BB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&lt;SmMrch&gt;0.00&lt;/SmMrch&gt;</w:t>
      </w:r>
    </w:p>
    <w:p w14:paraId="1BEACE8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&lt;SmAprl&gt;0.00&lt;/SmAprl&gt;</w:t>
      </w:r>
    </w:p>
    <w:p w14:paraId="1A01CE1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&lt;SmMay&gt;0.00&lt;/SmMay&gt;</w:t>
      </w:r>
    </w:p>
    <w:p w14:paraId="524CE36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&lt;SmJne&gt;0.00&lt;/SmJne&gt;</w:t>
      </w:r>
    </w:p>
    <w:p w14:paraId="6ABDFC4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&lt;SmJl&gt;0.00&lt;/SmJl&gt;</w:t>
      </w:r>
    </w:p>
    <w:p w14:paraId="1585142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&lt;SmAgst&gt;0.00&lt;/SmAgst&gt;</w:t>
      </w:r>
    </w:p>
    <w:p w14:paraId="2D62F18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&lt;SmSptmbr&gt;0.00&lt;/SmSptmbr&gt;</w:t>
      </w:r>
    </w:p>
    <w:p w14:paraId="47D8042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&lt;SmOctbr&gt;0.00&lt;/SmOctbr&gt;</w:t>
      </w:r>
    </w:p>
    <w:p w14:paraId="45245D0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&lt;SmNvmbr&gt;0.00&lt;/SmNvmbr&gt;</w:t>
      </w:r>
    </w:p>
    <w:p w14:paraId="1F10CD7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&lt;SmDcmbr&gt;0.00&lt;/SmDcmbr&gt;</w:t>
      </w:r>
    </w:p>
    <w:p w14:paraId="62A77A3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&lt;AmntYr&gt;0.00&lt;/AmntYr&gt;</w:t>
      </w:r>
    </w:p>
    <w:p w14:paraId="4E077E7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&lt;SmFrstYr&gt;0.00&lt;/SmFrstYr&gt;</w:t>
      </w:r>
    </w:p>
    <w:p w14:paraId="108BA52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&lt;SmScndYr&gt;0.00&lt;/SmScndYr&gt;</w:t>
      </w:r>
    </w:p>
    <w:p w14:paraId="584C722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&lt;SmThrdYr&gt;0.00&lt;/SmThrdYr&gt;</w:t>
      </w:r>
    </w:p>
    <w:p w14:paraId="07C54FD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&lt;SmNxtYr&gt;0.00&lt;/SmNxtYr&gt;</w:t>
      </w:r>
    </w:p>
    <w:p w14:paraId="3793B72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&lt;/Pmnts_ITEM&gt;</w:t>
      </w:r>
    </w:p>
    <w:p w14:paraId="38E53B4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&lt;/Oblgtns_Pmnts&gt;</w:t>
      </w:r>
    </w:p>
    <w:p w14:paraId="4D20589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&lt;Oblgtns_Rslts&gt;</w:t>
      </w:r>
    </w:p>
    <w:p w14:paraId="6CF3FA2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&lt;Rslts_ITEM&gt;</w:t>
      </w:r>
    </w:p>
    <w:p w14:paraId="66D0FE8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RsltsR</w:t>
      </w:r>
      <w:r w:rsidRPr="00264D5D">
        <w:rPr>
          <w:rFonts w:cs="Courier New"/>
          <w:sz w:val="20"/>
          <w:lang w:val="ru-RU"/>
        </w:rPr>
        <w:t>7&gt;1234&lt;/</w:t>
      </w:r>
      <w:r w:rsidRPr="00264D5D">
        <w:rPr>
          <w:rFonts w:cs="Courier New"/>
          <w:sz w:val="20"/>
        </w:rPr>
        <w:t>RsltsR</w:t>
      </w:r>
      <w:r w:rsidRPr="00264D5D">
        <w:rPr>
          <w:rFonts w:cs="Courier New"/>
          <w:sz w:val="20"/>
          <w:lang w:val="ru-RU"/>
        </w:rPr>
        <w:t>7&gt;</w:t>
      </w:r>
    </w:p>
    <w:p w14:paraId="7AC0DF1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RsltsR</w:t>
      </w:r>
      <w:r w:rsidRPr="00264D5D">
        <w:rPr>
          <w:rFonts w:cs="Courier New"/>
          <w:sz w:val="20"/>
          <w:lang w:val="ru-RU"/>
        </w:rPr>
        <w:t>8&gt;Реконструкция учебного корпуса № 2, г.Владимир, Океанский проспект, д.165//реконструкция&lt;/</w:t>
      </w:r>
      <w:r w:rsidRPr="00264D5D">
        <w:rPr>
          <w:rFonts w:cs="Courier New"/>
          <w:sz w:val="20"/>
        </w:rPr>
        <w:t>RsltsR</w:t>
      </w:r>
      <w:r w:rsidRPr="00264D5D">
        <w:rPr>
          <w:rFonts w:cs="Courier New"/>
          <w:sz w:val="20"/>
          <w:lang w:val="ru-RU"/>
        </w:rPr>
        <w:t>8&gt;</w:t>
      </w:r>
    </w:p>
    <w:p w14:paraId="543BB76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RsltsR</w:t>
      </w:r>
      <w:r w:rsidRPr="00264D5D">
        <w:rPr>
          <w:rFonts w:cs="Courier New"/>
          <w:sz w:val="20"/>
          <w:lang w:val="ru-RU"/>
        </w:rPr>
        <w:t>9&gt;207183021484599879&lt;/</w:t>
      </w:r>
      <w:r w:rsidRPr="00264D5D">
        <w:rPr>
          <w:rFonts w:cs="Courier New"/>
          <w:sz w:val="20"/>
        </w:rPr>
        <w:t>RsltsR</w:t>
      </w:r>
      <w:r w:rsidRPr="00264D5D">
        <w:rPr>
          <w:rFonts w:cs="Courier New"/>
          <w:sz w:val="20"/>
          <w:lang w:val="ru-RU"/>
        </w:rPr>
        <w:t>9&gt;</w:t>
      </w:r>
    </w:p>
    <w:p w14:paraId="11F86F1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SmJnr</w:t>
      </w:r>
      <w:r w:rsidRPr="00264D5D">
        <w:rPr>
          <w:rFonts w:cs="Courier New"/>
          <w:sz w:val="20"/>
          <w:lang w:val="ru-RU"/>
        </w:rPr>
        <w:t>&gt;0.00&lt;/</w:t>
      </w:r>
      <w:r w:rsidRPr="00264D5D">
        <w:rPr>
          <w:rFonts w:cs="Courier New"/>
          <w:sz w:val="20"/>
        </w:rPr>
        <w:t>SmJnr</w:t>
      </w:r>
      <w:r w:rsidRPr="00264D5D">
        <w:rPr>
          <w:rFonts w:cs="Courier New"/>
          <w:sz w:val="20"/>
          <w:lang w:val="ru-RU"/>
        </w:rPr>
        <w:t>&gt;</w:t>
      </w:r>
    </w:p>
    <w:p w14:paraId="02CAC2C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SmFbrr</w:t>
      </w:r>
      <w:r w:rsidRPr="00264D5D">
        <w:rPr>
          <w:rFonts w:cs="Courier New"/>
          <w:sz w:val="20"/>
          <w:lang w:val="ru-RU"/>
        </w:rPr>
        <w:t>&gt;0.00&lt;/</w:t>
      </w:r>
      <w:r w:rsidRPr="00264D5D">
        <w:rPr>
          <w:rFonts w:cs="Courier New"/>
          <w:sz w:val="20"/>
        </w:rPr>
        <w:t>SmFbrr</w:t>
      </w:r>
      <w:r w:rsidRPr="00264D5D">
        <w:rPr>
          <w:rFonts w:cs="Courier New"/>
          <w:sz w:val="20"/>
          <w:lang w:val="ru-RU"/>
        </w:rPr>
        <w:t>&gt;</w:t>
      </w:r>
    </w:p>
    <w:p w14:paraId="379F756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rPr>
        <w:t>&lt;SmMrch&gt;0.00&lt;/SmMrch&gt;</w:t>
      </w:r>
    </w:p>
    <w:p w14:paraId="7B67EF3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&lt;SmAprl&gt;0.00&lt;/SmAprl&gt;</w:t>
      </w:r>
    </w:p>
    <w:p w14:paraId="5D504EE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&lt;SmMay&gt;0.00&lt;/SmMay&gt;</w:t>
      </w:r>
    </w:p>
    <w:p w14:paraId="6CEF793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&lt;SmJne&gt;0.00&lt;/SmJne&gt;</w:t>
      </w:r>
    </w:p>
    <w:p w14:paraId="3A0AEF0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&lt;SmJl&gt;0.00&lt;/SmJl&gt;</w:t>
      </w:r>
    </w:p>
    <w:p w14:paraId="5080BFA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&lt;SmAgst&gt;0.00&lt;/SmAgst&gt;</w:t>
      </w:r>
    </w:p>
    <w:p w14:paraId="76462B6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&lt;SmSptmbr&gt;0.00&lt;/SmSptmbr&gt;</w:t>
      </w:r>
    </w:p>
    <w:p w14:paraId="7CFC33A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&lt;SmOctbr&gt;0.00&lt;/SmOctbr&gt;</w:t>
      </w:r>
    </w:p>
    <w:p w14:paraId="7255BB9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&lt;SmNvmbr&gt;0.00&lt;/SmNvmbr&gt;</w:t>
      </w:r>
    </w:p>
    <w:p w14:paraId="5E0BA0A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&lt;SmDcmbr&gt;0.00&lt;/SmDcmbr&gt;</w:t>
      </w:r>
    </w:p>
    <w:p w14:paraId="7F1ECAB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&lt;RsltsR1&gt;0.00&lt;/RsltsR1&gt;</w:t>
      </w:r>
    </w:p>
    <w:p w14:paraId="5B5369C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&lt;RsltsR2&gt;0.00&lt;/RsltsR2&gt;</w:t>
      </w:r>
    </w:p>
    <w:p w14:paraId="2A0CEF7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&lt;RsltsR3&gt;0.00&lt;/RsltsR3&gt;</w:t>
      </w:r>
    </w:p>
    <w:p w14:paraId="4D4ADC8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&lt;RsltsR4&gt;0.00&lt;/RsltsR4&gt;</w:t>
      </w:r>
    </w:p>
    <w:p w14:paraId="4BFBFBE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&lt;RsltsR6&gt;0.00&lt;/RsltsR6&gt;</w:t>
      </w:r>
    </w:p>
    <w:p w14:paraId="1CFB3E8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&lt;/Rslts_ITEM&gt;</w:t>
      </w:r>
    </w:p>
    <w:p w14:paraId="6D9AC60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&lt;/Oblgtns_Rslts&gt;</w:t>
      </w:r>
    </w:p>
    <w:p w14:paraId="65AC574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&lt;/formular&gt;</w:t>
      </w:r>
    </w:p>
    <w:p w14:paraId="1F9D437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&lt;/self:formularCollection&gt;</w:t>
      </w:r>
    </w:p>
    <w:p w14:paraId="6F33068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264D5D">
        <w:rPr>
          <w:rFonts w:cs="Courier New"/>
          <w:sz w:val="20"/>
        </w:rPr>
        <w:t>&lt;/self:exchangePacket&gt;</w:t>
      </w:r>
    </w:p>
    <w:p w14:paraId="138F1788" w14:textId="77777777" w:rsidR="00AD1F54" w:rsidRPr="00264D5D" w:rsidRDefault="00941227">
      <w:pPr>
        <w:pStyle w:val="31"/>
      </w:pPr>
      <w:bookmarkStart w:id="1480" w:name="_Ref465283776"/>
      <w:bookmarkStart w:id="1481" w:name="_Toc219309602"/>
      <w:bookmarkEnd w:id="1478"/>
      <w:r w:rsidRPr="00264D5D">
        <w:t>Пример XML (сервисное взаимодействие)</w:t>
      </w:r>
      <w:bookmarkEnd w:id="1481"/>
    </w:p>
    <w:p w14:paraId="73867AD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&lt;?xml version ="1.0" encoding="UTF-8"?&gt;</w:t>
      </w:r>
    </w:p>
    <w:p w14:paraId="0922AFE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 xml:space="preserve">&lt;self:InfrmtnBdgtOblgtns metaType="formular" versionID="6.0" Id="Id-xadesdata-eaf97d94646411e9b78d005056834f23" xsi:schemaLocation="http://www.roskazna.ru/eb/domain/InfrmtnBdgtOblgtns/formular formulars.xsd" </w:t>
      </w:r>
      <w:r w:rsidRPr="00264D5D">
        <w:rPr>
          <w:rFonts w:cs="Courier New"/>
          <w:sz w:val="20"/>
        </w:rPr>
        <w:lastRenderedPageBreak/>
        <w:t>xmlns:self="http://www.roskazna.ru/eb/domain/InfrmtnBdgtOblgtns/formular" xmlns:ds="http://www.w3.org/2000/09/xmldsig#" xmlns:xsi="http://www.w3.org/2001/XMLSchema-instance"&gt;</w:t>
      </w:r>
    </w:p>
    <w:p w14:paraId="12C2A35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&lt;Inf_NmbrDcmnt&gt;1223&lt;/Inf_NmbrDcmnt&gt;</w:t>
      </w:r>
    </w:p>
    <w:p w14:paraId="5001B89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&lt;Inf_DtDcmnt&gt;2024-01-24&lt;/Inf_DtDcmnt&gt;</w:t>
      </w:r>
    </w:p>
    <w:p w14:paraId="6D14681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&lt;Inf_TpDcmnt&gt;0&lt;/Inf_TpDcmnt&gt;</w:t>
      </w:r>
    </w:p>
    <w:p w14:paraId="42E9A99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&lt;Inf_NmbrChng&gt;0&lt;/Inf_NmbrChng&gt;</w:t>
      </w:r>
    </w:p>
    <w:p w14:paraId="191B2BD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 xml:space="preserve">       &lt;StmInfrmtn_AccessLevel&gt;0&lt;/StmInfrmtn_AccessLevel&gt;</w:t>
      </w:r>
    </w:p>
    <w:p w14:paraId="426EB7B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&lt;Inf_TpBOCd&gt;1&lt;/Inf_TpBOCd&gt;</w:t>
      </w:r>
    </w:p>
    <w:p w14:paraId="2C8AE00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RcpBdjt</w:t>
      </w:r>
      <w:r w:rsidRPr="00264D5D">
        <w:rPr>
          <w:rFonts w:cs="Courier New"/>
          <w:sz w:val="20"/>
          <w:lang w:val="ru-RU"/>
        </w:rPr>
        <w:t>_</w:t>
      </w:r>
      <w:r w:rsidRPr="00264D5D">
        <w:rPr>
          <w:rFonts w:cs="Courier New"/>
          <w:sz w:val="20"/>
        </w:rPr>
        <w:t>NmRcp</w:t>
      </w:r>
      <w:r w:rsidRPr="00264D5D">
        <w:rPr>
          <w:rFonts w:cs="Courier New"/>
          <w:sz w:val="20"/>
          <w:lang w:val="ru-RU"/>
        </w:rPr>
        <w:t>&gt;ДЕПАРТАМЕНТ ОБРАЗОВАНИЯ ВЛАДИМИРСКОЙ ОБЛАСТИ&lt;/</w:t>
      </w:r>
      <w:r w:rsidRPr="00264D5D">
        <w:rPr>
          <w:rFonts w:cs="Courier New"/>
          <w:sz w:val="20"/>
        </w:rPr>
        <w:t>RcpBdjt</w:t>
      </w:r>
      <w:r w:rsidRPr="00264D5D">
        <w:rPr>
          <w:rFonts w:cs="Courier New"/>
          <w:sz w:val="20"/>
          <w:lang w:val="ru-RU"/>
        </w:rPr>
        <w:t>_</w:t>
      </w:r>
      <w:r w:rsidRPr="00264D5D">
        <w:rPr>
          <w:rFonts w:cs="Courier New"/>
          <w:sz w:val="20"/>
        </w:rPr>
        <w:t>NmRcp</w:t>
      </w:r>
      <w:r w:rsidRPr="00264D5D">
        <w:rPr>
          <w:rFonts w:cs="Courier New"/>
          <w:sz w:val="20"/>
          <w:lang w:val="ru-RU"/>
        </w:rPr>
        <w:t>&gt;</w:t>
      </w:r>
    </w:p>
    <w:p w14:paraId="66C1C36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RcpBdjt</w:t>
      </w:r>
      <w:r w:rsidRPr="00264D5D">
        <w:rPr>
          <w:rFonts w:cs="Courier New"/>
          <w:sz w:val="20"/>
          <w:lang w:val="ru-RU"/>
        </w:rPr>
        <w:t>_</w:t>
      </w:r>
      <w:r w:rsidRPr="00264D5D">
        <w:rPr>
          <w:rFonts w:cs="Courier New"/>
          <w:sz w:val="20"/>
        </w:rPr>
        <w:t>CdGRBS</w:t>
      </w:r>
      <w:r w:rsidRPr="00264D5D">
        <w:rPr>
          <w:rFonts w:cs="Courier New"/>
          <w:sz w:val="20"/>
          <w:lang w:val="ru-RU"/>
        </w:rPr>
        <w:t>&gt;19006000&lt;/</w:t>
      </w:r>
      <w:r w:rsidRPr="00264D5D">
        <w:rPr>
          <w:rFonts w:cs="Courier New"/>
          <w:sz w:val="20"/>
        </w:rPr>
        <w:t>RcpBdjt</w:t>
      </w:r>
      <w:r w:rsidRPr="00264D5D">
        <w:rPr>
          <w:rFonts w:cs="Courier New"/>
          <w:sz w:val="20"/>
          <w:lang w:val="ru-RU"/>
        </w:rPr>
        <w:t>_</w:t>
      </w:r>
      <w:r w:rsidRPr="00264D5D">
        <w:rPr>
          <w:rFonts w:cs="Courier New"/>
          <w:sz w:val="20"/>
        </w:rPr>
        <w:t>CdGRBS</w:t>
      </w:r>
      <w:r w:rsidRPr="00264D5D">
        <w:rPr>
          <w:rFonts w:cs="Courier New"/>
          <w:sz w:val="20"/>
          <w:lang w:val="ru-RU"/>
        </w:rPr>
        <w:t>&gt;</w:t>
      </w:r>
    </w:p>
    <w:p w14:paraId="3273776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RcpBdjt</w:t>
      </w:r>
      <w:r w:rsidRPr="00264D5D">
        <w:rPr>
          <w:rFonts w:cs="Courier New"/>
          <w:sz w:val="20"/>
          <w:lang w:val="ru-RU"/>
        </w:rPr>
        <w:t>_</w:t>
      </w:r>
      <w:r w:rsidRPr="00264D5D">
        <w:rPr>
          <w:rFonts w:cs="Courier New"/>
          <w:sz w:val="20"/>
        </w:rPr>
        <w:t>CdOKPO</w:t>
      </w:r>
      <w:r w:rsidRPr="00264D5D">
        <w:rPr>
          <w:rFonts w:cs="Courier New"/>
          <w:sz w:val="20"/>
          <w:lang w:val="ru-RU"/>
        </w:rPr>
        <w:t>&gt;51445678&lt;/</w:t>
      </w:r>
      <w:r w:rsidRPr="00264D5D">
        <w:rPr>
          <w:rFonts w:cs="Courier New"/>
          <w:sz w:val="20"/>
        </w:rPr>
        <w:t>RcpBdjt</w:t>
      </w:r>
      <w:r w:rsidRPr="00264D5D">
        <w:rPr>
          <w:rFonts w:cs="Courier New"/>
          <w:sz w:val="20"/>
          <w:lang w:val="ru-RU"/>
        </w:rPr>
        <w:t>_</w:t>
      </w:r>
      <w:r w:rsidRPr="00264D5D">
        <w:rPr>
          <w:rFonts w:cs="Courier New"/>
          <w:sz w:val="20"/>
        </w:rPr>
        <w:t>CdOKPO</w:t>
      </w:r>
      <w:r w:rsidRPr="00264D5D">
        <w:rPr>
          <w:rFonts w:cs="Courier New"/>
          <w:sz w:val="20"/>
          <w:lang w:val="ru-RU"/>
        </w:rPr>
        <w:t>&gt;</w:t>
      </w:r>
    </w:p>
    <w:p w14:paraId="12B9855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RcpBdjt</w:t>
      </w:r>
      <w:r w:rsidRPr="00264D5D">
        <w:rPr>
          <w:rFonts w:cs="Courier New"/>
          <w:sz w:val="20"/>
          <w:lang w:val="ru-RU"/>
        </w:rPr>
        <w:t>_</w:t>
      </w:r>
      <w:r w:rsidRPr="00264D5D">
        <w:rPr>
          <w:rFonts w:cs="Courier New"/>
          <w:sz w:val="20"/>
        </w:rPr>
        <w:t>NmbrAccnt</w:t>
      </w:r>
      <w:r w:rsidRPr="00264D5D">
        <w:rPr>
          <w:rFonts w:cs="Courier New"/>
          <w:sz w:val="20"/>
          <w:lang w:val="ru-RU"/>
        </w:rPr>
        <w:t>&gt;03281190060&lt;/</w:t>
      </w:r>
      <w:r w:rsidRPr="00264D5D">
        <w:rPr>
          <w:rFonts w:cs="Courier New"/>
          <w:sz w:val="20"/>
        </w:rPr>
        <w:t>RcpBdjt</w:t>
      </w:r>
      <w:r w:rsidRPr="00264D5D">
        <w:rPr>
          <w:rFonts w:cs="Courier New"/>
          <w:sz w:val="20"/>
          <w:lang w:val="ru-RU"/>
        </w:rPr>
        <w:t>_</w:t>
      </w:r>
      <w:r w:rsidRPr="00264D5D">
        <w:rPr>
          <w:rFonts w:cs="Courier New"/>
          <w:sz w:val="20"/>
        </w:rPr>
        <w:t>NmbrAccnt</w:t>
      </w:r>
      <w:r w:rsidRPr="00264D5D">
        <w:rPr>
          <w:rFonts w:cs="Courier New"/>
          <w:sz w:val="20"/>
          <w:lang w:val="ru-RU"/>
        </w:rPr>
        <w:t>&gt;</w:t>
      </w:r>
    </w:p>
    <w:p w14:paraId="723D0DE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RcpBdjt</w:t>
      </w:r>
      <w:r w:rsidRPr="00264D5D">
        <w:rPr>
          <w:rFonts w:cs="Courier New"/>
          <w:sz w:val="20"/>
          <w:lang w:val="ru-RU"/>
        </w:rPr>
        <w:t>_</w:t>
      </w:r>
      <w:r w:rsidRPr="00264D5D">
        <w:rPr>
          <w:rFonts w:cs="Courier New"/>
          <w:sz w:val="20"/>
        </w:rPr>
        <w:t>GlavaBKCode</w:t>
      </w:r>
      <w:r w:rsidRPr="00264D5D">
        <w:rPr>
          <w:rFonts w:cs="Courier New"/>
          <w:sz w:val="20"/>
          <w:lang w:val="ru-RU"/>
        </w:rPr>
        <w:t>&gt;438&lt;/</w:t>
      </w:r>
      <w:r w:rsidRPr="00264D5D">
        <w:rPr>
          <w:rFonts w:cs="Courier New"/>
          <w:sz w:val="20"/>
        </w:rPr>
        <w:t>RcpBdjt</w:t>
      </w:r>
      <w:r w:rsidRPr="00264D5D">
        <w:rPr>
          <w:rFonts w:cs="Courier New"/>
          <w:sz w:val="20"/>
          <w:lang w:val="ru-RU"/>
        </w:rPr>
        <w:t>_</w:t>
      </w:r>
      <w:r w:rsidRPr="00264D5D">
        <w:rPr>
          <w:rFonts w:cs="Courier New"/>
          <w:sz w:val="20"/>
        </w:rPr>
        <w:t>GlavaBKCode</w:t>
      </w:r>
      <w:r w:rsidRPr="00264D5D">
        <w:rPr>
          <w:rFonts w:cs="Courier New"/>
          <w:sz w:val="20"/>
          <w:lang w:val="ru-RU"/>
        </w:rPr>
        <w:t>&gt;</w:t>
      </w:r>
    </w:p>
    <w:p w14:paraId="2B4C4D9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RcpBdjt</w:t>
      </w:r>
      <w:r w:rsidRPr="00264D5D">
        <w:rPr>
          <w:rFonts w:cs="Courier New"/>
          <w:sz w:val="20"/>
          <w:lang w:val="ru-RU"/>
        </w:rPr>
        <w:t>_</w:t>
      </w:r>
      <w:r w:rsidRPr="00264D5D">
        <w:rPr>
          <w:rFonts w:cs="Courier New"/>
          <w:sz w:val="20"/>
        </w:rPr>
        <w:t>GRBS</w:t>
      </w:r>
      <w:r w:rsidRPr="00264D5D">
        <w:rPr>
          <w:rFonts w:cs="Courier New"/>
          <w:sz w:val="20"/>
          <w:lang w:val="ru-RU"/>
        </w:rPr>
        <w:t>&gt;ДЕПАРТАМЕНТ ОБРАЗОВАНИЯ ВЛАДИМИРСКОЙ ОБЛАСТИ&lt;/</w:t>
      </w:r>
      <w:r w:rsidRPr="00264D5D">
        <w:rPr>
          <w:rFonts w:cs="Courier New"/>
          <w:sz w:val="20"/>
        </w:rPr>
        <w:t>RcpBdjt</w:t>
      </w:r>
      <w:r w:rsidRPr="00264D5D">
        <w:rPr>
          <w:rFonts w:cs="Courier New"/>
          <w:sz w:val="20"/>
          <w:lang w:val="ru-RU"/>
        </w:rPr>
        <w:t>_</w:t>
      </w:r>
      <w:r w:rsidRPr="00264D5D">
        <w:rPr>
          <w:rFonts w:cs="Courier New"/>
          <w:sz w:val="20"/>
        </w:rPr>
        <w:t>GRBS</w:t>
      </w:r>
      <w:r w:rsidRPr="00264D5D">
        <w:rPr>
          <w:rFonts w:cs="Courier New"/>
          <w:sz w:val="20"/>
          <w:lang w:val="ru-RU"/>
        </w:rPr>
        <w:t>&gt;</w:t>
      </w:r>
    </w:p>
    <w:p w14:paraId="2948489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RcpBdjt</w:t>
      </w:r>
      <w:r w:rsidRPr="00264D5D">
        <w:rPr>
          <w:rFonts w:cs="Courier New"/>
          <w:sz w:val="20"/>
          <w:lang w:val="ru-RU"/>
        </w:rPr>
        <w:t>_</w:t>
      </w:r>
      <w:r w:rsidRPr="00264D5D">
        <w:rPr>
          <w:rFonts w:cs="Courier New"/>
          <w:sz w:val="20"/>
        </w:rPr>
        <w:t>NmBdgt</w:t>
      </w:r>
      <w:r w:rsidRPr="00264D5D">
        <w:rPr>
          <w:rFonts w:cs="Courier New"/>
          <w:sz w:val="20"/>
          <w:lang w:val="ru-RU"/>
        </w:rPr>
        <w:t>&gt;ФЕДЕРАЛЬНЫЙ БЮДЖЕТ&lt;/</w:t>
      </w:r>
      <w:r w:rsidRPr="00264D5D">
        <w:rPr>
          <w:rFonts w:cs="Courier New"/>
          <w:sz w:val="20"/>
        </w:rPr>
        <w:t>RcpBdjt</w:t>
      </w:r>
      <w:r w:rsidRPr="00264D5D">
        <w:rPr>
          <w:rFonts w:cs="Courier New"/>
          <w:sz w:val="20"/>
          <w:lang w:val="ru-RU"/>
        </w:rPr>
        <w:t>_</w:t>
      </w:r>
      <w:r w:rsidRPr="00264D5D">
        <w:rPr>
          <w:rFonts w:cs="Courier New"/>
          <w:sz w:val="20"/>
        </w:rPr>
        <w:t>NmBdgt</w:t>
      </w:r>
      <w:r w:rsidRPr="00264D5D">
        <w:rPr>
          <w:rFonts w:cs="Courier New"/>
          <w:sz w:val="20"/>
          <w:lang w:val="ru-RU"/>
        </w:rPr>
        <w:t>&gt;</w:t>
      </w:r>
    </w:p>
    <w:p w14:paraId="5515499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RcpBdjt</w:t>
      </w:r>
      <w:r w:rsidRPr="00264D5D">
        <w:rPr>
          <w:rFonts w:cs="Courier New"/>
          <w:sz w:val="20"/>
          <w:lang w:val="ru-RU"/>
        </w:rPr>
        <w:t>_</w:t>
      </w:r>
      <w:r w:rsidRPr="00264D5D">
        <w:rPr>
          <w:rFonts w:cs="Courier New"/>
          <w:sz w:val="20"/>
        </w:rPr>
        <w:t>CdOKTMO</w:t>
      </w:r>
      <w:r w:rsidRPr="00264D5D">
        <w:rPr>
          <w:rFonts w:cs="Courier New"/>
          <w:sz w:val="20"/>
          <w:lang w:val="ru-RU"/>
        </w:rPr>
        <w:t>&gt;12345678000&lt;/</w:t>
      </w:r>
      <w:r w:rsidRPr="00264D5D">
        <w:rPr>
          <w:rFonts w:cs="Courier New"/>
          <w:sz w:val="20"/>
        </w:rPr>
        <w:t>RcpBdjt</w:t>
      </w:r>
      <w:r w:rsidRPr="00264D5D">
        <w:rPr>
          <w:rFonts w:cs="Courier New"/>
          <w:sz w:val="20"/>
          <w:lang w:val="ru-RU"/>
        </w:rPr>
        <w:t>_</w:t>
      </w:r>
      <w:r w:rsidRPr="00264D5D">
        <w:rPr>
          <w:rFonts w:cs="Courier New"/>
          <w:sz w:val="20"/>
        </w:rPr>
        <w:t>CdOKTMO</w:t>
      </w:r>
      <w:r w:rsidRPr="00264D5D">
        <w:rPr>
          <w:rFonts w:cs="Courier New"/>
          <w:sz w:val="20"/>
          <w:lang w:val="ru-RU"/>
        </w:rPr>
        <w:t>&gt;</w:t>
      </w:r>
    </w:p>
    <w:p w14:paraId="2CB5921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RcpBdjt</w:t>
      </w:r>
      <w:r w:rsidRPr="00264D5D">
        <w:rPr>
          <w:rFonts w:cs="Courier New"/>
          <w:sz w:val="20"/>
          <w:lang w:val="ru-RU"/>
        </w:rPr>
        <w:t>_</w:t>
      </w:r>
      <w:r w:rsidRPr="00264D5D">
        <w:rPr>
          <w:rFonts w:cs="Courier New"/>
          <w:sz w:val="20"/>
        </w:rPr>
        <w:t>NmFnOrg</w:t>
      </w:r>
      <w:r w:rsidRPr="00264D5D">
        <w:rPr>
          <w:rFonts w:cs="Courier New"/>
          <w:sz w:val="20"/>
          <w:lang w:val="ru-RU"/>
        </w:rPr>
        <w:t>&gt;МИНИСТЕРСТВО ФИНАНСОВ РОССИЙСКОЙ ФЕДЕРАЦИИ&lt;/</w:t>
      </w:r>
      <w:r w:rsidRPr="00264D5D">
        <w:rPr>
          <w:rFonts w:cs="Courier New"/>
          <w:sz w:val="20"/>
        </w:rPr>
        <w:t>RcpBdjt</w:t>
      </w:r>
      <w:r w:rsidRPr="00264D5D">
        <w:rPr>
          <w:rFonts w:cs="Courier New"/>
          <w:sz w:val="20"/>
          <w:lang w:val="ru-RU"/>
        </w:rPr>
        <w:t>_</w:t>
      </w:r>
      <w:r w:rsidRPr="00264D5D">
        <w:rPr>
          <w:rFonts w:cs="Courier New"/>
          <w:sz w:val="20"/>
        </w:rPr>
        <w:t>NmFnOrg</w:t>
      </w:r>
      <w:r w:rsidRPr="00264D5D">
        <w:rPr>
          <w:rFonts w:cs="Courier New"/>
          <w:sz w:val="20"/>
          <w:lang w:val="ru-RU"/>
        </w:rPr>
        <w:t>&gt;</w:t>
      </w:r>
    </w:p>
    <w:p w14:paraId="4CB2E4A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RcpBdjt</w:t>
      </w:r>
      <w:r w:rsidRPr="00264D5D">
        <w:rPr>
          <w:rFonts w:cs="Courier New"/>
          <w:sz w:val="20"/>
          <w:lang w:val="ru-RU"/>
        </w:rPr>
        <w:t>_</w:t>
      </w:r>
      <w:r w:rsidRPr="00264D5D">
        <w:rPr>
          <w:rFonts w:cs="Courier New"/>
          <w:sz w:val="20"/>
        </w:rPr>
        <w:t>CdTOFK</w:t>
      </w:r>
      <w:r w:rsidRPr="00264D5D">
        <w:rPr>
          <w:rFonts w:cs="Courier New"/>
          <w:sz w:val="20"/>
          <w:lang w:val="ru-RU"/>
        </w:rPr>
        <w:t>&gt;2800&lt;/</w:t>
      </w:r>
      <w:r w:rsidRPr="00264D5D">
        <w:rPr>
          <w:rFonts w:cs="Courier New"/>
          <w:sz w:val="20"/>
        </w:rPr>
        <w:t>RcpBdjt</w:t>
      </w:r>
      <w:r w:rsidRPr="00264D5D">
        <w:rPr>
          <w:rFonts w:cs="Courier New"/>
          <w:sz w:val="20"/>
          <w:lang w:val="ru-RU"/>
        </w:rPr>
        <w:t>_</w:t>
      </w:r>
      <w:r w:rsidRPr="00264D5D">
        <w:rPr>
          <w:rFonts w:cs="Courier New"/>
          <w:sz w:val="20"/>
        </w:rPr>
        <w:t>CdTOFK</w:t>
      </w:r>
      <w:r w:rsidRPr="00264D5D">
        <w:rPr>
          <w:rFonts w:cs="Courier New"/>
          <w:sz w:val="20"/>
          <w:lang w:val="ru-RU"/>
        </w:rPr>
        <w:t>&gt;</w:t>
      </w:r>
    </w:p>
    <w:p w14:paraId="05F9F7F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RcpBdjt</w:t>
      </w:r>
      <w:r w:rsidRPr="00264D5D">
        <w:rPr>
          <w:rFonts w:cs="Courier New"/>
          <w:sz w:val="20"/>
          <w:lang w:val="ru-RU"/>
        </w:rPr>
        <w:t>_</w:t>
      </w:r>
      <w:r w:rsidRPr="00264D5D">
        <w:rPr>
          <w:rFonts w:cs="Courier New"/>
          <w:sz w:val="20"/>
        </w:rPr>
        <w:t>NmTOFK</w:t>
      </w:r>
      <w:r w:rsidRPr="00264D5D">
        <w:rPr>
          <w:rFonts w:cs="Courier New"/>
          <w:sz w:val="20"/>
          <w:lang w:val="ru-RU"/>
        </w:rPr>
        <w:t>&gt;УПРАВЛЕНИЕ ФЕДЕРАЛЬНОГО КАЗНАЧЕЙСТВА ПО ВЛАДИМИРСКОЙ ОБЛАСТИ&lt;/</w:t>
      </w:r>
      <w:r w:rsidRPr="00264D5D">
        <w:rPr>
          <w:rFonts w:cs="Courier New"/>
          <w:sz w:val="20"/>
        </w:rPr>
        <w:t>RcpBdjt</w:t>
      </w:r>
      <w:r w:rsidRPr="00264D5D">
        <w:rPr>
          <w:rFonts w:cs="Courier New"/>
          <w:sz w:val="20"/>
          <w:lang w:val="ru-RU"/>
        </w:rPr>
        <w:t>_</w:t>
      </w:r>
      <w:r w:rsidRPr="00264D5D">
        <w:rPr>
          <w:rFonts w:cs="Courier New"/>
          <w:sz w:val="20"/>
        </w:rPr>
        <w:t>NmTOFK</w:t>
      </w:r>
      <w:r w:rsidRPr="00264D5D">
        <w:rPr>
          <w:rFonts w:cs="Courier New"/>
          <w:sz w:val="20"/>
          <w:lang w:val="ru-RU"/>
        </w:rPr>
        <w:t>&gt;</w:t>
      </w:r>
    </w:p>
    <w:p w14:paraId="61AB764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RcpBdjt</w:t>
      </w:r>
      <w:r w:rsidRPr="00264D5D">
        <w:rPr>
          <w:rFonts w:cs="Courier New"/>
          <w:sz w:val="20"/>
          <w:lang w:val="ru-RU"/>
        </w:rPr>
        <w:t>_</w:t>
      </w:r>
      <w:r w:rsidRPr="00264D5D">
        <w:rPr>
          <w:rFonts w:cs="Courier New"/>
          <w:sz w:val="20"/>
        </w:rPr>
        <w:t>CdOKPOFn</w:t>
      </w:r>
      <w:r w:rsidRPr="00264D5D">
        <w:rPr>
          <w:rFonts w:cs="Courier New"/>
          <w:sz w:val="20"/>
          <w:lang w:val="ru-RU"/>
        </w:rPr>
        <w:t>&gt;12345678&lt;/</w:t>
      </w:r>
      <w:r w:rsidRPr="00264D5D">
        <w:rPr>
          <w:rFonts w:cs="Courier New"/>
          <w:sz w:val="20"/>
        </w:rPr>
        <w:t>RcpBdjt</w:t>
      </w:r>
      <w:r w:rsidRPr="00264D5D">
        <w:rPr>
          <w:rFonts w:cs="Courier New"/>
          <w:sz w:val="20"/>
          <w:lang w:val="ru-RU"/>
        </w:rPr>
        <w:t>_</w:t>
      </w:r>
      <w:r w:rsidRPr="00264D5D">
        <w:rPr>
          <w:rFonts w:cs="Courier New"/>
          <w:sz w:val="20"/>
        </w:rPr>
        <w:t>CdOKPOFn</w:t>
      </w:r>
      <w:r w:rsidRPr="00264D5D">
        <w:rPr>
          <w:rFonts w:cs="Courier New"/>
          <w:sz w:val="20"/>
          <w:lang w:val="ru-RU"/>
        </w:rPr>
        <w:t>&gt;</w:t>
      </w:r>
    </w:p>
    <w:p w14:paraId="09E58C0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InfDcBs</w:t>
      </w:r>
      <w:r w:rsidRPr="00264D5D">
        <w:rPr>
          <w:rFonts w:cs="Courier New"/>
          <w:sz w:val="20"/>
          <w:lang w:val="ru-RU"/>
        </w:rPr>
        <w:t>_</w:t>
      </w:r>
      <w:r w:rsidRPr="00264D5D">
        <w:rPr>
          <w:rFonts w:cs="Courier New"/>
          <w:sz w:val="20"/>
        </w:rPr>
        <w:t>TypeDcBs</w:t>
      </w:r>
      <w:r w:rsidRPr="00264D5D">
        <w:rPr>
          <w:rFonts w:cs="Courier New"/>
          <w:sz w:val="20"/>
          <w:lang w:val="ru-RU"/>
        </w:rPr>
        <w:t>&gt;контракт&lt;/</w:t>
      </w:r>
      <w:r w:rsidRPr="00264D5D">
        <w:rPr>
          <w:rFonts w:cs="Courier New"/>
          <w:sz w:val="20"/>
        </w:rPr>
        <w:t>InfDcBs</w:t>
      </w:r>
      <w:r w:rsidRPr="00264D5D">
        <w:rPr>
          <w:rFonts w:cs="Courier New"/>
          <w:sz w:val="20"/>
          <w:lang w:val="ru-RU"/>
        </w:rPr>
        <w:t>_</w:t>
      </w:r>
      <w:r w:rsidRPr="00264D5D">
        <w:rPr>
          <w:rFonts w:cs="Courier New"/>
          <w:sz w:val="20"/>
        </w:rPr>
        <w:t>TypeDcBs</w:t>
      </w:r>
      <w:r w:rsidRPr="00264D5D">
        <w:rPr>
          <w:rFonts w:cs="Courier New"/>
          <w:sz w:val="20"/>
          <w:lang w:val="ru-RU"/>
        </w:rPr>
        <w:t>&gt;</w:t>
      </w:r>
    </w:p>
    <w:p w14:paraId="463A13F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InfDcBs</w:t>
      </w:r>
      <w:r w:rsidRPr="00264D5D">
        <w:rPr>
          <w:rFonts w:cs="Courier New"/>
          <w:sz w:val="20"/>
          <w:lang w:val="ru-RU"/>
        </w:rPr>
        <w:t>_</w:t>
      </w:r>
      <w:r w:rsidRPr="00264D5D">
        <w:rPr>
          <w:rFonts w:cs="Courier New"/>
          <w:sz w:val="20"/>
        </w:rPr>
        <w:t>RmAct</w:t>
      </w:r>
      <w:r w:rsidRPr="00264D5D">
        <w:rPr>
          <w:rFonts w:cs="Courier New"/>
          <w:sz w:val="20"/>
          <w:lang w:val="ru-RU"/>
        </w:rPr>
        <w:t>&gt;25&lt;/</w:t>
      </w:r>
      <w:r w:rsidRPr="00264D5D">
        <w:rPr>
          <w:rFonts w:cs="Courier New"/>
          <w:sz w:val="20"/>
        </w:rPr>
        <w:t>InfDcBs</w:t>
      </w:r>
      <w:r w:rsidRPr="00264D5D">
        <w:rPr>
          <w:rFonts w:cs="Courier New"/>
          <w:sz w:val="20"/>
          <w:lang w:val="ru-RU"/>
        </w:rPr>
        <w:t>_</w:t>
      </w:r>
      <w:r w:rsidRPr="00264D5D">
        <w:rPr>
          <w:rFonts w:cs="Courier New"/>
          <w:sz w:val="20"/>
        </w:rPr>
        <w:t>RmAct</w:t>
      </w:r>
      <w:r w:rsidRPr="00264D5D">
        <w:rPr>
          <w:rFonts w:cs="Courier New"/>
          <w:sz w:val="20"/>
          <w:lang w:val="ru-RU"/>
        </w:rPr>
        <w:t>&gt;</w:t>
      </w:r>
    </w:p>
    <w:p w14:paraId="3D1D4E7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InfDcBs</w:t>
      </w:r>
      <w:r w:rsidRPr="00264D5D">
        <w:rPr>
          <w:rFonts w:cs="Courier New"/>
          <w:sz w:val="20"/>
          <w:lang w:val="ru-RU"/>
        </w:rPr>
        <w:t>_</w:t>
      </w:r>
      <w:r w:rsidRPr="00264D5D">
        <w:rPr>
          <w:rFonts w:cs="Courier New"/>
          <w:sz w:val="20"/>
        </w:rPr>
        <w:t>DtCntrct</w:t>
      </w:r>
      <w:r w:rsidRPr="00264D5D">
        <w:rPr>
          <w:rFonts w:cs="Courier New"/>
          <w:sz w:val="20"/>
          <w:lang w:val="ru-RU"/>
        </w:rPr>
        <w:t>&gt;2022-01-13&lt;/</w:t>
      </w:r>
      <w:r w:rsidRPr="00264D5D">
        <w:rPr>
          <w:rFonts w:cs="Courier New"/>
          <w:sz w:val="20"/>
        </w:rPr>
        <w:t>InfDcBs</w:t>
      </w:r>
      <w:r w:rsidRPr="00264D5D">
        <w:rPr>
          <w:rFonts w:cs="Courier New"/>
          <w:sz w:val="20"/>
          <w:lang w:val="ru-RU"/>
        </w:rPr>
        <w:t>_</w:t>
      </w:r>
      <w:r w:rsidRPr="00264D5D">
        <w:rPr>
          <w:rFonts w:cs="Courier New"/>
          <w:sz w:val="20"/>
        </w:rPr>
        <w:t>DtCntrct</w:t>
      </w:r>
      <w:r w:rsidRPr="00264D5D">
        <w:rPr>
          <w:rFonts w:cs="Courier New"/>
          <w:sz w:val="20"/>
          <w:lang w:val="ru-RU"/>
        </w:rPr>
        <w:t>&gt;</w:t>
      </w:r>
    </w:p>
    <w:p w14:paraId="2856F8C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InfDcBs</w:t>
      </w:r>
      <w:r w:rsidRPr="00264D5D">
        <w:rPr>
          <w:rFonts w:cs="Courier New"/>
          <w:sz w:val="20"/>
          <w:lang w:val="ru-RU"/>
        </w:rPr>
        <w:t>_</w:t>
      </w:r>
      <w:r w:rsidRPr="00264D5D">
        <w:rPr>
          <w:rFonts w:cs="Courier New"/>
          <w:sz w:val="20"/>
        </w:rPr>
        <w:t>SbjctDcBs</w:t>
      </w:r>
      <w:r w:rsidRPr="00264D5D">
        <w:rPr>
          <w:rFonts w:cs="Courier New"/>
          <w:sz w:val="20"/>
          <w:lang w:val="ru-RU"/>
        </w:rPr>
        <w:t>&gt;Предмет по контракту&lt;/</w:t>
      </w:r>
      <w:r w:rsidRPr="00264D5D">
        <w:rPr>
          <w:rFonts w:cs="Courier New"/>
          <w:sz w:val="20"/>
        </w:rPr>
        <w:t>InfDcBs</w:t>
      </w:r>
      <w:r w:rsidRPr="00264D5D">
        <w:rPr>
          <w:rFonts w:cs="Courier New"/>
          <w:sz w:val="20"/>
          <w:lang w:val="ru-RU"/>
        </w:rPr>
        <w:t>_</w:t>
      </w:r>
      <w:r w:rsidRPr="00264D5D">
        <w:rPr>
          <w:rFonts w:cs="Courier New"/>
          <w:sz w:val="20"/>
        </w:rPr>
        <w:t>SbjctDcBs</w:t>
      </w:r>
      <w:r w:rsidRPr="00264D5D">
        <w:rPr>
          <w:rFonts w:cs="Courier New"/>
          <w:sz w:val="20"/>
          <w:lang w:val="ru-RU"/>
        </w:rPr>
        <w:t>&gt;</w:t>
      </w:r>
    </w:p>
    <w:p w14:paraId="2B91C45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rPr>
        <w:t>&lt;InfDcBs_RegisNmbRg&gt;1789106000012000000&lt;/InfDcBs_RegisNmbRg&gt;</w:t>
      </w:r>
    </w:p>
    <w:p w14:paraId="1225978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&lt;InfDcBs_SgnKS&gt;1&lt;/InfDcBs_SgnKS&gt;</w:t>
      </w:r>
    </w:p>
    <w:p w14:paraId="47337ED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&lt;InfDcBs_SmSbsds&gt;400000.00&lt;/InfDcBs_SmSbsds&gt;</w:t>
      </w:r>
    </w:p>
    <w:p w14:paraId="1D960C0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&lt;InfDcBs_CdCrrnc&gt;643&lt;/InfDcBs_CdCrrnc&gt;</w:t>
      </w:r>
    </w:p>
    <w:p w14:paraId="2057F6B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&lt;InfDcBs_SmSbsdRUB&gt;400000.00&lt;/InfDcBs_SmSbsdRUB&gt;</w:t>
      </w:r>
    </w:p>
    <w:p w14:paraId="69A03DE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 xml:space="preserve"> </w:t>
      </w:r>
      <w:r w:rsidRPr="00264D5D">
        <w:rPr>
          <w:rFonts w:cs="Courier New"/>
          <w:sz w:val="20"/>
        </w:rPr>
        <w:tab/>
        <w:t>&lt;InfDcBs_AdvncPy&gt;0.00&lt;/InfDcBs_AdvncPy&gt;</w:t>
      </w:r>
    </w:p>
    <w:p w14:paraId="4373404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 xml:space="preserve"> </w:t>
      </w:r>
      <w:r w:rsidRPr="00264D5D">
        <w:rPr>
          <w:rFonts w:cs="Courier New"/>
          <w:sz w:val="20"/>
        </w:rPr>
        <w:tab/>
        <w:t>&lt;InfDcBs_AmntAdvPy&gt;0.00&lt;/InfDcBs_AmntAdvPy&gt;</w:t>
      </w:r>
    </w:p>
    <w:p w14:paraId="3774AAB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&lt;Sgnng_NmHd&gt;Иванова М.С.&lt;/Sgnng_NmHd&gt;</w:t>
      </w:r>
    </w:p>
    <w:p w14:paraId="11C63C0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Sgnng</w:t>
      </w:r>
      <w:r w:rsidRPr="00264D5D">
        <w:rPr>
          <w:rFonts w:cs="Courier New"/>
          <w:sz w:val="20"/>
          <w:lang w:val="ru-RU"/>
        </w:rPr>
        <w:t>_</w:t>
      </w:r>
      <w:r w:rsidRPr="00264D5D">
        <w:rPr>
          <w:rFonts w:cs="Courier New"/>
          <w:sz w:val="20"/>
        </w:rPr>
        <w:t>PstHd</w:t>
      </w:r>
      <w:r w:rsidRPr="00264D5D">
        <w:rPr>
          <w:rFonts w:cs="Courier New"/>
          <w:sz w:val="20"/>
          <w:lang w:val="ru-RU"/>
        </w:rPr>
        <w:t>&gt;Начальник департамента&lt;/</w:t>
      </w:r>
      <w:r w:rsidRPr="00264D5D">
        <w:rPr>
          <w:rFonts w:cs="Courier New"/>
          <w:sz w:val="20"/>
        </w:rPr>
        <w:t>Sgnng</w:t>
      </w:r>
      <w:r w:rsidRPr="00264D5D">
        <w:rPr>
          <w:rFonts w:cs="Courier New"/>
          <w:sz w:val="20"/>
          <w:lang w:val="ru-RU"/>
        </w:rPr>
        <w:t>_</w:t>
      </w:r>
      <w:r w:rsidRPr="00264D5D">
        <w:rPr>
          <w:rFonts w:cs="Courier New"/>
          <w:sz w:val="20"/>
        </w:rPr>
        <w:t>PstHd</w:t>
      </w:r>
      <w:r w:rsidRPr="00264D5D">
        <w:rPr>
          <w:rFonts w:cs="Courier New"/>
          <w:sz w:val="20"/>
          <w:lang w:val="ru-RU"/>
        </w:rPr>
        <w:t>&gt;</w:t>
      </w:r>
    </w:p>
    <w:p w14:paraId="7CF96A3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Sgnng</w:t>
      </w:r>
      <w:r w:rsidRPr="00264D5D">
        <w:rPr>
          <w:rFonts w:cs="Courier New"/>
          <w:sz w:val="20"/>
          <w:lang w:val="ru-RU"/>
        </w:rPr>
        <w:t>_</w:t>
      </w:r>
      <w:r w:rsidRPr="00264D5D">
        <w:rPr>
          <w:rFonts w:cs="Courier New"/>
          <w:sz w:val="20"/>
        </w:rPr>
        <w:t>DtSgnng</w:t>
      </w:r>
      <w:r w:rsidRPr="00264D5D">
        <w:rPr>
          <w:rFonts w:cs="Courier New"/>
          <w:sz w:val="20"/>
          <w:lang w:val="ru-RU"/>
        </w:rPr>
        <w:t>&gt;2024-01-24&lt;/</w:t>
      </w:r>
      <w:r w:rsidRPr="00264D5D">
        <w:rPr>
          <w:rFonts w:cs="Courier New"/>
          <w:sz w:val="20"/>
        </w:rPr>
        <w:t>Sgnng</w:t>
      </w:r>
      <w:r w:rsidRPr="00264D5D">
        <w:rPr>
          <w:rFonts w:cs="Courier New"/>
          <w:sz w:val="20"/>
          <w:lang w:val="ru-RU"/>
        </w:rPr>
        <w:t>_</w:t>
      </w:r>
      <w:r w:rsidRPr="00264D5D">
        <w:rPr>
          <w:rFonts w:cs="Courier New"/>
          <w:sz w:val="20"/>
        </w:rPr>
        <w:t>DtSgnng</w:t>
      </w:r>
      <w:r w:rsidRPr="00264D5D">
        <w:rPr>
          <w:rFonts w:cs="Courier New"/>
          <w:sz w:val="20"/>
          <w:lang w:val="ru-RU"/>
        </w:rPr>
        <w:t>&gt;</w:t>
      </w:r>
    </w:p>
    <w:p w14:paraId="076D07D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Rqsts</w:t>
      </w:r>
      <w:r w:rsidRPr="00264D5D">
        <w:rPr>
          <w:rFonts w:cs="Courier New"/>
          <w:sz w:val="20"/>
          <w:lang w:val="ru-RU"/>
        </w:rPr>
        <w:t>_</w:t>
      </w:r>
      <w:r w:rsidRPr="00264D5D">
        <w:rPr>
          <w:rFonts w:cs="Courier New"/>
          <w:sz w:val="20"/>
        </w:rPr>
        <w:t>TblSbsd</w:t>
      </w:r>
      <w:r w:rsidRPr="00264D5D">
        <w:rPr>
          <w:rFonts w:cs="Courier New"/>
          <w:sz w:val="20"/>
          <w:lang w:val="ru-RU"/>
        </w:rPr>
        <w:t>&gt;</w:t>
      </w:r>
    </w:p>
    <w:p w14:paraId="7CD1A12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TblSbsd</w:t>
      </w:r>
      <w:r w:rsidRPr="00264D5D">
        <w:rPr>
          <w:rFonts w:cs="Courier New"/>
          <w:sz w:val="20"/>
          <w:lang w:val="ru-RU"/>
        </w:rPr>
        <w:t>_</w:t>
      </w:r>
      <w:r w:rsidRPr="00264D5D">
        <w:rPr>
          <w:rFonts w:cs="Courier New"/>
          <w:sz w:val="20"/>
        </w:rPr>
        <w:t>ITEM</w:t>
      </w:r>
      <w:r w:rsidRPr="00264D5D">
        <w:rPr>
          <w:rFonts w:cs="Courier New"/>
          <w:sz w:val="20"/>
          <w:lang w:val="ru-RU"/>
        </w:rPr>
        <w:t>&gt;</w:t>
      </w:r>
    </w:p>
    <w:p w14:paraId="1121742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Nm</w:t>
      </w:r>
      <w:r w:rsidRPr="00264D5D">
        <w:rPr>
          <w:rFonts w:cs="Courier New"/>
          <w:sz w:val="20"/>
          <w:lang w:val="ru-RU"/>
        </w:rPr>
        <w:t>&gt;ОАО "Волга-Стройкомплект"&lt;/</w:t>
      </w:r>
      <w:r w:rsidRPr="00264D5D">
        <w:rPr>
          <w:rFonts w:cs="Courier New"/>
          <w:sz w:val="20"/>
        </w:rPr>
        <w:t>Nm</w:t>
      </w:r>
      <w:r w:rsidRPr="00264D5D">
        <w:rPr>
          <w:rFonts w:cs="Courier New"/>
          <w:sz w:val="20"/>
          <w:lang w:val="ru-RU"/>
        </w:rPr>
        <w:t>&gt;</w:t>
      </w:r>
    </w:p>
    <w:p w14:paraId="4B70A06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rPr>
        <w:t>&lt;INN&gt;5244009279&lt;/INN&gt;</w:t>
      </w:r>
    </w:p>
    <w:p w14:paraId="3AC672C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&lt;CdRgs&gt;01235000&lt;/CdRgs&gt;</w:t>
      </w:r>
    </w:p>
    <w:p w14:paraId="6A2DEA3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&lt;NmbrAccnt&gt;03281190136&lt;/NmbrAccnt&gt;</w:t>
      </w:r>
    </w:p>
    <w:p w14:paraId="7E7F73C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&lt;NmbrBnkAccnt&gt;48107812510200022221&lt;/NmbrBnkAccnt&gt;</w:t>
      </w:r>
    </w:p>
    <w:p w14:paraId="7A8AA3A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&lt;NmBnk&gt;OOO "Сбербанк"&lt;/NmBnk&gt;</w:t>
      </w:r>
    </w:p>
    <w:p w14:paraId="33B4A38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&lt;BIKBnk&gt;998476543&lt;/BIKBnk&gt;</w:t>
      </w:r>
    </w:p>
    <w:p w14:paraId="33F1F02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&lt;CrrspndntAccnts&gt;30101810100000000647&lt;/CrrspndntAccnts&gt;</w:t>
      </w:r>
    </w:p>
    <w:p w14:paraId="63978D1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&lt;/TblSbsd_ITEM&gt;</w:t>
      </w:r>
    </w:p>
    <w:p w14:paraId="480BB12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&lt;/Rqsts_TblSbsd&gt;</w:t>
      </w:r>
    </w:p>
    <w:p w14:paraId="0397CED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&lt;Oblgtns_Pmnts&gt;</w:t>
      </w:r>
    </w:p>
    <w:p w14:paraId="71E6748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&lt;Pmnts_ITEM&gt;</w:t>
      </w:r>
    </w:p>
    <w:p w14:paraId="311247C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&lt;NmLn&gt;1234&lt;/NmLn&gt;</w:t>
      </w:r>
    </w:p>
    <w:p w14:paraId="2557546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&lt;RsltsR9&gt;207183021484599876&lt;/RsltsR9&gt;</w:t>
      </w:r>
    </w:p>
    <w:p w14:paraId="224E1AC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&lt;RsltsR8&gt;Реконструкция учебного корпуса № 2, г.Владимир, Океанский проспект, д.165//реконструкция&lt;/RsltsR8&gt;</w:t>
      </w:r>
    </w:p>
    <w:p w14:paraId="296748C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&lt;NmTpRsrcs&gt;1&lt;/NmTpRsrcs&gt;</w:t>
      </w:r>
    </w:p>
    <w:p w14:paraId="7A608C8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&lt;KBK&gt;43807000910200022226&lt;/KBK&gt;</w:t>
      </w:r>
    </w:p>
    <w:p w14:paraId="64FC0FC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&lt;KBKType&gt;10&lt;/KBKType&gt;</w:t>
      </w:r>
    </w:p>
    <w:p w14:paraId="34F52A9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ab/>
      </w:r>
      <w:r w:rsidRPr="00264D5D">
        <w:rPr>
          <w:rFonts w:cs="Courier New"/>
          <w:sz w:val="20"/>
        </w:rPr>
        <w:tab/>
      </w:r>
      <w:r w:rsidRPr="00264D5D">
        <w:rPr>
          <w:rFonts w:cs="Courier New"/>
          <w:sz w:val="20"/>
        </w:rPr>
        <w:tab/>
      </w:r>
      <w:r w:rsidRPr="00264D5D">
        <w:rPr>
          <w:rFonts w:cs="Courier New"/>
          <w:sz w:val="20"/>
        </w:rPr>
        <w:tab/>
        <w:t>&lt;SympAbsltnssPmnt&gt;0&lt;/SympAbsltnssPmnt&gt;</w:t>
      </w:r>
    </w:p>
    <w:p w14:paraId="3C6ED32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&lt;SmLblt&gt;0.00&lt;/SmLblt&gt;</w:t>
      </w:r>
    </w:p>
    <w:p w14:paraId="02A6FD7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&lt;SmLblts&gt;0.00&lt;/SmLblts&gt;</w:t>
      </w:r>
    </w:p>
    <w:p w14:paraId="5B55D16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&lt;SmJnr&gt;0.00&lt;/SmJnr&gt;</w:t>
      </w:r>
    </w:p>
    <w:p w14:paraId="0650730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&lt;SmFbrr&gt;0.00&lt;/SmFbrr&gt;</w:t>
      </w:r>
    </w:p>
    <w:p w14:paraId="575AC7D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&lt;SmMrch&gt;0.00&lt;/SmMrch&gt;</w:t>
      </w:r>
    </w:p>
    <w:p w14:paraId="50B232B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&lt;SmAprl&gt;0.00&lt;/SmAprl&gt;</w:t>
      </w:r>
    </w:p>
    <w:p w14:paraId="5F50709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&lt;SmMay&gt;0.00&lt;/SmMay&gt;</w:t>
      </w:r>
    </w:p>
    <w:p w14:paraId="2BFD4AF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&lt;SmJne&gt;0.00&lt;/SmJne&gt;</w:t>
      </w:r>
    </w:p>
    <w:p w14:paraId="2F30EED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&lt;SmJl&gt;0.00&lt;/SmJl&gt;</w:t>
      </w:r>
    </w:p>
    <w:p w14:paraId="0346BE0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&lt;SmAgst&gt;0.00&lt;/SmAgst&gt;</w:t>
      </w:r>
    </w:p>
    <w:p w14:paraId="4BF45D1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&lt;SmSptmbr&gt;0.00&lt;/SmSptmbr&gt;</w:t>
      </w:r>
    </w:p>
    <w:p w14:paraId="78A5348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&lt;SmOctbr&gt;0.00&lt;/SmOctbr&gt;</w:t>
      </w:r>
    </w:p>
    <w:p w14:paraId="74DDB7D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&lt;SmNvmbr&gt;0.00&lt;/SmNvmbr&gt;</w:t>
      </w:r>
    </w:p>
    <w:p w14:paraId="78E3DE1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&lt;SmDcmbr&gt;0.00&lt;/SmDcmbr&gt;</w:t>
      </w:r>
    </w:p>
    <w:p w14:paraId="58CD2BB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&lt;AmntYr&gt;0.00&lt;/AmntYr&gt;</w:t>
      </w:r>
    </w:p>
    <w:p w14:paraId="52121CD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&lt;SmFrstYr&gt;0.00&lt;/SmFrstYr&gt;</w:t>
      </w:r>
    </w:p>
    <w:p w14:paraId="1BE8268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&lt;SmScndYr&gt;0.00&lt;/SmScndYr&gt;</w:t>
      </w:r>
    </w:p>
    <w:p w14:paraId="341B40D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&lt;SmThrdYr&gt;0.00&lt;/SmThrdYr&gt;</w:t>
      </w:r>
    </w:p>
    <w:p w14:paraId="1493679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&lt;SmNxtYr&gt;0.00&lt;/SmNxtYr&gt;</w:t>
      </w:r>
    </w:p>
    <w:p w14:paraId="75FA3D3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&lt;/Pmnts_ITEM&gt;</w:t>
      </w:r>
    </w:p>
    <w:p w14:paraId="1C0B184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&lt;/Oblgtns_Pmnts&gt;</w:t>
      </w:r>
    </w:p>
    <w:p w14:paraId="70AF701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&lt;Oblgtns_Rslts&gt;</w:t>
      </w:r>
    </w:p>
    <w:p w14:paraId="156B74A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&lt;Rslts_ITEM&gt;</w:t>
      </w:r>
    </w:p>
    <w:p w14:paraId="5666E5E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RsltsR</w:t>
      </w:r>
      <w:r w:rsidRPr="00264D5D">
        <w:rPr>
          <w:rFonts w:cs="Courier New"/>
          <w:sz w:val="20"/>
          <w:lang w:val="ru-RU"/>
        </w:rPr>
        <w:t>7&gt;1234&lt;/</w:t>
      </w:r>
      <w:r w:rsidRPr="00264D5D">
        <w:rPr>
          <w:rFonts w:cs="Courier New"/>
          <w:sz w:val="20"/>
        </w:rPr>
        <w:t>RsltsR</w:t>
      </w:r>
      <w:r w:rsidRPr="00264D5D">
        <w:rPr>
          <w:rFonts w:cs="Courier New"/>
          <w:sz w:val="20"/>
          <w:lang w:val="ru-RU"/>
        </w:rPr>
        <w:t>7&gt;</w:t>
      </w:r>
    </w:p>
    <w:p w14:paraId="448FF5A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RsltsR</w:t>
      </w:r>
      <w:r w:rsidRPr="00264D5D">
        <w:rPr>
          <w:rFonts w:cs="Courier New"/>
          <w:sz w:val="20"/>
          <w:lang w:val="ru-RU"/>
        </w:rPr>
        <w:t>8&gt;Реконструкция учебного корпуса № 2, г.Владимир, Океанский проспект, д.165//реконструкция&lt;/</w:t>
      </w:r>
      <w:r w:rsidRPr="00264D5D">
        <w:rPr>
          <w:rFonts w:cs="Courier New"/>
          <w:sz w:val="20"/>
        </w:rPr>
        <w:t>RsltsR</w:t>
      </w:r>
      <w:r w:rsidRPr="00264D5D">
        <w:rPr>
          <w:rFonts w:cs="Courier New"/>
          <w:sz w:val="20"/>
          <w:lang w:val="ru-RU"/>
        </w:rPr>
        <w:t>8&gt;</w:t>
      </w:r>
    </w:p>
    <w:p w14:paraId="61D04D8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RsltsR</w:t>
      </w:r>
      <w:r w:rsidRPr="00264D5D">
        <w:rPr>
          <w:rFonts w:cs="Courier New"/>
          <w:sz w:val="20"/>
          <w:lang w:val="ru-RU"/>
        </w:rPr>
        <w:t>9&gt;207183021484599876&lt;/</w:t>
      </w:r>
      <w:r w:rsidRPr="00264D5D">
        <w:rPr>
          <w:rFonts w:cs="Courier New"/>
          <w:sz w:val="20"/>
        </w:rPr>
        <w:t>RsltsR</w:t>
      </w:r>
      <w:r w:rsidRPr="00264D5D">
        <w:rPr>
          <w:rFonts w:cs="Courier New"/>
          <w:sz w:val="20"/>
          <w:lang w:val="ru-RU"/>
        </w:rPr>
        <w:t>9&gt;</w:t>
      </w:r>
    </w:p>
    <w:p w14:paraId="0F3C0F6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SmJnr</w:t>
      </w:r>
      <w:r w:rsidRPr="00264D5D">
        <w:rPr>
          <w:rFonts w:cs="Courier New"/>
          <w:sz w:val="20"/>
          <w:lang w:val="ru-RU"/>
        </w:rPr>
        <w:t>&gt;0.00&lt;/</w:t>
      </w:r>
      <w:r w:rsidRPr="00264D5D">
        <w:rPr>
          <w:rFonts w:cs="Courier New"/>
          <w:sz w:val="20"/>
        </w:rPr>
        <w:t>SmJnr</w:t>
      </w:r>
      <w:r w:rsidRPr="00264D5D">
        <w:rPr>
          <w:rFonts w:cs="Courier New"/>
          <w:sz w:val="20"/>
          <w:lang w:val="ru-RU"/>
        </w:rPr>
        <w:t>&gt;</w:t>
      </w:r>
    </w:p>
    <w:p w14:paraId="0E280C4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SmFbrr</w:t>
      </w:r>
      <w:r w:rsidRPr="00264D5D">
        <w:rPr>
          <w:rFonts w:cs="Courier New"/>
          <w:sz w:val="20"/>
          <w:lang w:val="ru-RU"/>
        </w:rPr>
        <w:t>&gt;0.00&lt;/</w:t>
      </w:r>
      <w:r w:rsidRPr="00264D5D">
        <w:rPr>
          <w:rFonts w:cs="Courier New"/>
          <w:sz w:val="20"/>
        </w:rPr>
        <w:t>SmFbrr</w:t>
      </w:r>
      <w:r w:rsidRPr="00264D5D">
        <w:rPr>
          <w:rFonts w:cs="Courier New"/>
          <w:sz w:val="20"/>
          <w:lang w:val="ru-RU"/>
        </w:rPr>
        <w:t>&gt;</w:t>
      </w:r>
    </w:p>
    <w:p w14:paraId="316BF78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rPr>
        <w:t>&lt;SmMrch&gt;0.00&lt;/SmMrch&gt;</w:t>
      </w:r>
    </w:p>
    <w:p w14:paraId="1603D9E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&lt;SmAprl&gt;0.00&lt;/SmAprl&gt;</w:t>
      </w:r>
    </w:p>
    <w:p w14:paraId="2CCC117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&lt;SmMay&gt;0.00&lt;/SmMay&gt;</w:t>
      </w:r>
    </w:p>
    <w:p w14:paraId="2BC60CA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&lt;SmJne&gt;0.00&lt;/SmJne&gt;</w:t>
      </w:r>
    </w:p>
    <w:p w14:paraId="67E0D62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&lt;SmJl&gt;0.00&lt;/SmJl&gt;</w:t>
      </w:r>
    </w:p>
    <w:p w14:paraId="3785AFA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&lt;SmAgst&gt;0.00&lt;/SmAgst&gt;</w:t>
      </w:r>
    </w:p>
    <w:p w14:paraId="1EB066B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&lt;SmSptmbr&gt;0.00&lt;/SmSptmbr&gt;</w:t>
      </w:r>
    </w:p>
    <w:p w14:paraId="70608A0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&lt;SmOctbr&gt;0.00&lt;/SmOctbr&gt;</w:t>
      </w:r>
    </w:p>
    <w:p w14:paraId="429B7CA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&lt;SmNvmbr&gt;0.00&lt;/SmNvmbr&gt;</w:t>
      </w:r>
    </w:p>
    <w:p w14:paraId="62097A9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&lt;SmDcmbr&gt;0.00&lt;/SmDcmbr&gt;</w:t>
      </w:r>
    </w:p>
    <w:p w14:paraId="20B1CD7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&lt;RsltsR1&gt;0.00&lt;/RsltsR1&gt;</w:t>
      </w:r>
    </w:p>
    <w:p w14:paraId="60247F2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&lt;RsltsR2&gt;0.00&lt;/RsltsR2&gt;</w:t>
      </w:r>
    </w:p>
    <w:p w14:paraId="732E35E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&lt;RsltsR3&gt;0.00&lt;/RsltsR3&gt;</w:t>
      </w:r>
    </w:p>
    <w:p w14:paraId="4ED7F1F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&lt;RsltsR4&gt;0.00&lt;/RsltsR4&gt;</w:t>
      </w:r>
    </w:p>
    <w:p w14:paraId="4D6A1FA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&lt;RsltsR6&gt;0.00&lt;/RsltsR6&gt;</w:t>
      </w:r>
    </w:p>
    <w:p w14:paraId="7B4CB60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&lt;/Rslts_ITEM&gt;</w:t>
      </w:r>
    </w:p>
    <w:p w14:paraId="48F060D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&lt;/Oblgtns_Rslts&gt;</w:t>
      </w:r>
    </w:p>
    <w:p w14:paraId="48C015C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 xmlns="http://www.w3.org/2000/09/xmldsig#" Id="Id-sig-5e337cbb1d62d06f76c39a73310fc3def892"&gt;&lt;SignedInfo&gt;&lt;CanonicalizationMethod Algorithm="http://www.w3.org/2001/10/xml-exc-c14n#"/&gt;&lt;SignatureMethod Algorithm="http://www.w3.org/2001/04/xmldsig-more#gostr34102001-gostr3411"/&gt;&lt;Reference URI="Id-xadesdata-eaf97d94646411e9b78d005056834f23" Id="Id-dataref-e4caddfce9527ef62a8a3d46d2c4929f6ff4"&gt;&lt;Transforms&gt;&lt;Transform Algorithm="http://www.w3.org/2000/09/xmldsig#enveloped-signature"/&gt;&lt;/Transforms&gt;&lt;DigestMethod Algorithm="http://www.w3.org/2001/04/xmldsig-more#gostr3411"/&gt;&lt;DigestValue&gt;STfrH26hBnfREQWfy6rb82KY5nFtSDnRnUtY+wWIVtg=&lt;/DigestValue&gt;&lt;/Reference&gt;&lt;Reference Type="http://www.w3.org/TR/2002/REC-xmldsig-core-20020212/xmldsig-core-</w:t>
      </w:r>
      <w:r w:rsidRPr="00264D5D">
        <w:rPr>
          <w:rFonts w:cs="Courier New"/>
          <w:sz w:val="20"/>
        </w:rPr>
        <w:lastRenderedPageBreak/>
        <w:t>schema.xsd#X509Data" URI="#Id-keyinfo-652c4f52c7ca6bd610c59d34459b0c1c8604" Id="Id-keyinforef-cc0a54de508f23b8a8af87bfe5649a253efa"&gt;&lt;Transforms&gt;&lt;Transform Algorithm="http://www.w3.org/2001/10/xml-exc-c14n#"/&gt;&lt;/Transforms&gt;&lt;DigestMethod Algorithm="http://www.w3.org/2001/04/xmldsig-more#gostr3411"/&gt;&lt;DigestValue&gt;y8LJpxUvjUFPJjIlrfs2XTJx4XXqTs5mqcnRJ2c/htI=&lt;/DigestValue&gt;&lt;/Reference&gt;&lt;Reference URI="#Id-sp-d4225e8e1ad3a3adaa4e0eafcd7f3aaf1a08" Id="Id-ref-c038e25671ffb8f0a7627fa224417057e74f"&gt;&lt;Transforms&gt;&lt;Transform Algorithm="http://www.w3.org/2001/10/xml-exc-c14n#"/&gt;&lt;/Transforms&gt;&lt;DigestMethod Algorithm="http://www.w3.org/2001/04/xmldsig-more#gostr3411"/&gt;&lt;DigestValue&gt;1XCpnSzyx3HwrbMFh6ldchUTVHMbF9ymevEUOsJuy9o=&lt;/DigestValue&gt;&lt;/Reference&gt;&lt;/SignedInfo&gt;&lt;SignatureValue&gt;GWGs2NVncktGCuV9CcRew9vTe8PxZ4jzPcNXvEzimB3MFQja4IE8D9OSFJq1ejeH</w:t>
      </w:r>
    </w:p>
    <w:p w14:paraId="0C0FA4C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O45HNZVR4Ckv6SNTq3AoAg==&lt;/SignatureValue&gt;&lt;KeyInfo Id="Id-keyinfo-652c4f52c7ca6bd610c59d34459b0c1c8604"&gt;&lt;X509Data&gt;&lt;X509Certificate&gt;MIIHbzCCBx6gAwIBAgIUCw+9bFynffs/n08sYLaljBr5oXAwCAYGKoUDAgIDMIIB</w:t>
      </w:r>
    </w:p>
    <w:p w14:paraId="4F30E59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OTEgMB4GCSqGSIb3DQEJARYRdWNfZmtAcm9za2F6bmEucnUxGTAXBgNVBAgMENCz</w:t>
      </w:r>
    </w:p>
    <w:p w14:paraId="21E5C64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LiDQnNC+0YHQutCy0LAxGjAYBggqhQMDgQMBARIMMDA3NzEwNTY4NzYwMRgwFgYF</w:t>
      </w:r>
    </w:p>
    <w:p w14:paraId="06F355A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KoUDZAESDTEwNDc3OTcwMTk4MzAxLDAqBgNVBAkMI9GD0LvQuNGG0LAg0JjQu9GM</w:t>
      </w:r>
    </w:p>
    <w:p w14:paraId="4029975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0LjQvdC60LAsINC00L7QvCA3MRUwEwYDVQQHDAzQnNC+0YHQutCy0LAxCzAJBgNV</w:t>
      </w:r>
    </w:p>
    <w:p w14:paraId="169F12B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BAYTAlJVMTgwNgYDVQQKDC/QpNC10LTQtdGA0LDQu9GM0L3QvtC1INC60LDQt9C9</w:t>
      </w:r>
    </w:p>
    <w:p w14:paraId="6F9D958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0LDRh9C10LnRgdGC0LLQvjE4MDYGA1UEAwwv0KTQtdC00LXRgNCw0LvRjNC90L7Q</w:t>
      </w:r>
    </w:p>
    <w:p w14:paraId="0B7D30F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tSDQutCw0LfQvdCw0YfQtdC50YHRgtCy0L4wHhcNMTgwNDA1MTMzNDQ3WhcNMTkw</w:t>
      </w:r>
    </w:p>
    <w:p w14:paraId="5CCCF32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NzA1MTMzNDQ3WjCCAS0xGjAYBggqhQMDgQMBARIMMDA3NzEwNTY4NzYwMRgwFgYF</w:t>
      </w:r>
    </w:p>
    <w:p w14:paraId="3D994DE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KoUDZAESDTEwNDc3OTcwMTk4MzAxIzAhBgNVBAkMGtGD0LsuINCY0LvRjNC40L3Q</w:t>
      </w:r>
    </w:p>
    <w:p w14:paraId="3D4E60D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utCwLCDQtC43MR4wHAYJKoZIhvcNAQkBFg83NzdAcm9za2F6bmEucnUxCzAJBgNV</w:t>
      </w:r>
    </w:p>
    <w:p w14:paraId="02E72F9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BAYTAlJVMRgwFgYDVQQIDA/Qsy7QnNC+0YHQutCy0LAxFTATBgNVBAcMDNCc0L7R</w:t>
      </w:r>
    </w:p>
    <w:p w14:paraId="7A189E5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gdC60LLQsDE4MDYGA1UECgwv0KTQtdC00LXRgNCw0LvRjNC90L7QtSDQutCw0LfQ</w:t>
      </w:r>
    </w:p>
    <w:p w14:paraId="1D80946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vdCw0YfQtdC50YHRgtCy0L4xODA2BgNVBAMML9Ck0LXQtNC10YDQsNC70YzQvdC+</w:t>
      </w:r>
    </w:p>
    <w:p w14:paraId="68CA27E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0LUg0LrQsNC30L3QsNGH0LXQudGB0YLQstC+MGMwHAYGKoUDAgITMBIGByqFAwIC</w:t>
      </w:r>
    </w:p>
    <w:p w14:paraId="2E6AC09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IwEGByqFAwICHgEDQwAEQDmzpZ5HcFrSdwi3/h6QJ/jU0i6sTgtJqrYL/Tr+gxBg</w:t>
      </w:r>
    </w:p>
    <w:p w14:paraId="506BF0C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Ud3B/sLCyhk3sR3aCrZ0K4YlsFHVmbBhDYe62UsOcnOjggQCMIID/jAMBgNVHRMB</w:t>
      </w:r>
    </w:p>
    <w:p w14:paraId="5800961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Af8EAjAAMB0GA1UdIAQWMBQwCAYGKoUDZHEBMAgGBiqFA2RxAjA2BgUqhQNkbwQt</w:t>
      </w:r>
    </w:p>
    <w:p w14:paraId="298A2EF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DCsi0JrRgNC40L/RgtC+0J/RgNC+IENTUCIgKNCy0LXRgNGB0LjRjyA0LjApMIIB</w:t>
      </w:r>
    </w:p>
    <w:p w14:paraId="3537BDC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MQYFKoUDZHAEggEmMIIBIgxEItCa0YDQuNC/0YLQvtCf0YDQviBDU1AiICjQstC1</w:t>
      </w:r>
    </w:p>
    <w:p w14:paraId="36792AA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0YDRgdC40Y8gMy42KSAo0LjRgdC/0L7Qu9C90LXQvdC40LUgMikMaCLQn9GA0L7Q</w:t>
      </w:r>
    </w:p>
    <w:p w14:paraId="61671A7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s9GA0LDQvNC80L3Qvi3QsNC/0L/QsNGA0LDRgtC90YvQuSDQutC+0LzQv9C70LXQ</w:t>
      </w:r>
    </w:p>
    <w:p w14:paraId="4B6E5AF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utGBICLQrtC90LjRgdC10YDRgi3Qk9Ce0KHQoiIuINCS0LXRgNGB0LjRjyAyLjEi</w:t>
      </w:r>
    </w:p>
    <w:p w14:paraId="63A4572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DB/ihJYgMTQ5LzcvNi01Njkg0L7RgiAyMS4xMi4yMDE3DE/QodC10YDRgtC40YTQ</w:t>
      </w:r>
    </w:p>
    <w:p w14:paraId="32B0271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uNC60LDRgiDRgdC+0L7RgtCy0LXRgtGB0YLQstC40Y8g4oSWINCh0KQvMTI4LTI4</w:t>
      </w:r>
    </w:p>
    <w:p w14:paraId="2AD898D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Nzgg0L7RgiAyMC4wNi4yMDE2MA4GA1UdDwEB/wQEAwID+DAdBgNVHSUEFjAUBggr</w:t>
      </w:r>
    </w:p>
    <w:p w14:paraId="526C30C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BgEFBQcDAgYIKwYBBQUHAwMwKwYDVR0QBCQwIoAPMjAxODA0MDUxMzM0NDVagQ8y</w:t>
      </w:r>
    </w:p>
    <w:p w14:paraId="1B97C60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MDE5MDcwNTEzMzQ0NVowggGFBgNVHSMEggF8MIIBeIAUFlWRplFYxIksa1Fb0oUZ</w:t>
      </w:r>
    </w:p>
    <w:p w14:paraId="28954A9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CgFESCKhggFSpIIBTjCCAUoxHjAcBgkqhkiG9w0BCQEWD2RpdEBtaW5zdnlhei5y</w:t>
      </w:r>
    </w:p>
    <w:p w14:paraId="025C793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dTELMAkGA1UEBhMCUlUxHDAaBgNVBAgMEzc3INCzLiDQnNC+0YHQutCy0LAxFTAT</w:t>
      </w:r>
    </w:p>
    <w:p w14:paraId="30A25F4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BgNVBAcMDNCc0L7RgdC60LLQsDE/MD0GA1UECQw2MTI1Mzc1INCzLiDQnNC+0YHQ</w:t>
      </w:r>
    </w:p>
    <w:p w14:paraId="602E517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utCy0LAsINGD0LsuINCi0LLQtdGA0YHQutCw0Y8sINC0LiA3MSwwKgYDVQQKDCPQ</w:t>
      </w:r>
    </w:p>
    <w:p w14:paraId="6BF8C3F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nNC40L3QutC+0LzRgdCy0Y/Qt9GMINCg0L7RgdGB0LjQuDEYMBYGBSqFA2QBEg0x</w:t>
      </w:r>
    </w:p>
    <w:p w14:paraId="41836E6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MDQ3NzAyMDI2NzAxMRowGAYIKoUDA4EDAQESDDAwNzcxMDQ3NDM3NTFBMD8GA1UE</w:t>
      </w:r>
    </w:p>
    <w:p w14:paraId="6A2ED60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Aww40JPQvtC70L7QstC90L7QuSDRg9C00L7RgdGC0L7QstC10YDRj9GO0YnQuNC5</w:t>
      </w:r>
    </w:p>
    <w:p w14:paraId="21D6CE3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INGG0LXQvdGC0YCCCjas1FUAAAAAAS8wXgYDVR0fBFcwVTApoCegJYYjaHR0cDov</w:t>
      </w:r>
    </w:p>
    <w:p w14:paraId="48B2333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L2NybC5yb3NrYXpuYS5ydS9jcmwvdWNmay5jcmwwKKAmoCSGImh0dHA6Ly9jcmwu</w:t>
      </w:r>
    </w:p>
    <w:p w14:paraId="77632B3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ZnNmay5sb2NhbC9jcmwvdWNmay5jcmwwHQYDVR0OBBYEFLkvJG7Rfzg6F53wdndv</w:t>
      </w:r>
    </w:p>
    <w:p w14:paraId="327D578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NLDQ/i3nMAgGBiqFAwICAwNBAH1LMUVqEV/HRyesHDkB5eBUk6qDOJwnOBHil2Y1</w:t>
      </w:r>
    </w:p>
    <w:p w14:paraId="0D930C8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qNiUhWK7AqT93ErNsumpe8dDCswJmvps2nbQA7xwIJjzJjk=&lt;/X509Certificate&gt;&lt;/X509Data&gt;&lt;/KeyInfo&gt;&lt;Object&gt;&lt;QualifyingProperties xmlns="http://uri.etsi.org/01903/v1.4.1#" Target="Id-sig-5e337cbb1d62d06f76c39a73310fc3def892"&gt;&lt;SignedProperties Id="Id-sp-d4225e8e1ad3a3adaa4e0eafcd7f3aaf1a08"&gt;&lt;SignedSignatureProperties Id="Id-ssp-</w:t>
      </w:r>
      <w:r w:rsidRPr="00264D5D">
        <w:rPr>
          <w:rFonts w:cs="Courier New"/>
          <w:sz w:val="20"/>
        </w:rPr>
        <w:lastRenderedPageBreak/>
        <w:t>a0be83fe8058bf42487c6616379fb427836d"/&gt;&lt;/SignedProperties&gt;&lt;/QualifyingProperties&gt;&lt;/Object&gt;&lt;/Signature&gt;</w:t>
      </w:r>
    </w:p>
    <w:p w14:paraId="5D54DCB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264D5D">
        <w:rPr>
          <w:rFonts w:cs="Courier New"/>
          <w:sz w:val="20"/>
        </w:rPr>
        <w:t>&lt;/self:InfrmtnBdgtOblgtns&gt;</w:t>
      </w:r>
    </w:p>
    <w:p w14:paraId="1BA3C5AD" w14:textId="77777777" w:rsidR="00AD1F54" w:rsidRPr="0079039B" w:rsidRDefault="00941227">
      <w:pPr>
        <w:pStyle w:val="22"/>
        <w:rPr>
          <w:highlight w:val="green"/>
          <w:lang w:val="ru-RU"/>
        </w:rPr>
      </w:pPr>
      <w:bookmarkStart w:id="1482" w:name="OLE_LINK109"/>
      <w:bookmarkStart w:id="1483" w:name="_Ref465283802"/>
      <w:bookmarkStart w:id="1484" w:name="_Toc219309603"/>
      <w:bookmarkEnd w:id="1480"/>
      <w:bookmarkEnd w:id="1482"/>
      <w:r w:rsidRPr="0079039B">
        <w:rPr>
          <w:highlight w:val="green"/>
          <w:lang w:val="ru-RU"/>
        </w:rPr>
        <w:t>Описание документа «Сведения о денежном обязательстве»</w:t>
      </w:r>
      <w:bookmarkEnd w:id="583"/>
      <w:bookmarkEnd w:id="1483"/>
      <w:bookmarkEnd w:id="1484"/>
    </w:p>
    <w:p w14:paraId="74E340FB" w14:textId="77777777" w:rsidR="00AD1F54" w:rsidRPr="00D83D19" w:rsidRDefault="00941227">
      <w:pPr>
        <w:pStyle w:val="31"/>
      </w:pPr>
      <w:bookmarkStart w:id="1485" w:name="_Toc219309604"/>
      <w:r w:rsidRPr="00D83D19">
        <w:t>Назначение и маршрут документа</w:t>
      </w:r>
      <w:bookmarkEnd w:id="1485"/>
    </w:p>
    <w:p w14:paraId="4D40D3CB" w14:textId="77777777" w:rsidR="00AD1F54" w:rsidRPr="00D83D19" w:rsidRDefault="00941227">
      <w:pPr>
        <w:pStyle w:val="OTRNormal"/>
        <w:rPr>
          <w:sz w:val="24"/>
          <w:szCs w:val="24"/>
        </w:rPr>
      </w:pPr>
      <w:r w:rsidRPr="00D83D19">
        <w:rPr>
          <w:sz w:val="24"/>
          <w:szCs w:val="24"/>
        </w:rPr>
        <w:t>Документ «Сведения о денежном обязательстве» (далее – Сведения ДО) предназначен для осуществления исполнения федерального, регионального и местного (если порядок кассового обслуживания исполнения бюджета предусматривает такую возможность) бюджетов по расходам в части постановки на учет денежных обязательств ПБС, обслуживающихся в закрытом и открытом контурах ППО АСФК, в ПУР ЭБ, и внесения изменений в ранее поставленные на учет Сведения ДО ПБС.</w:t>
      </w:r>
    </w:p>
    <w:p w14:paraId="4B0A0144" w14:textId="77777777" w:rsidR="00AD1F54" w:rsidRPr="00D83D19" w:rsidRDefault="00941227">
      <w:pPr>
        <w:pStyle w:val="OTRNormal"/>
        <w:rPr>
          <w:sz w:val="24"/>
          <w:szCs w:val="24"/>
        </w:rPr>
      </w:pPr>
      <w:r w:rsidRPr="00D83D19">
        <w:rPr>
          <w:sz w:val="24"/>
          <w:szCs w:val="24"/>
        </w:rPr>
        <w:t>Документ «Сведения о денежном обязательстве» также может передаваться в виде вложения в блоке «attachments» к документу «Выписка из лицевого счета получателя бюджетных средств» в форматах, предусмотренных настоящим Альбомом ТФО.</w:t>
      </w:r>
    </w:p>
    <w:bookmarkStart w:id="1486" w:name="_Toc424112865"/>
    <w:bookmarkEnd w:id="1486"/>
    <w:p w14:paraId="59DF6478" w14:textId="1A9F48A7" w:rsidR="00AD1F54" w:rsidRPr="00D83D19" w:rsidRDefault="00941227">
      <w:pPr>
        <w:pStyle w:val="GOSTNameTable"/>
        <w:numPr>
          <w:ilvl w:val="0"/>
          <w:numId w:val="2"/>
        </w:numPr>
        <w:ind w:left="425" w:hanging="357"/>
        <w:rPr>
          <w:rFonts w:eastAsia="Calibri"/>
          <w:szCs w:val="24"/>
        </w:rPr>
      </w:pPr>
      <w:r w:rsidRPr="00D83D19">
        <w:rPr>
          <w:rFonts w:eastAsia="Calibri"/>
          <w:szCs w:val="24"/>
        </w:rPr>
        <w:fldChar w:fldCharType="begin"/>
      </w:r>
      <w:r w:rsidRPr="00D83D19">
        <w:rPr>
          <w:rFonts w:eastAsia="Calibri"/>
          <w:szCs w:val="24"/>
        </w:rPr>
        <w:instrText xml:space="preserve"> SEQ Таблица \* ARABIC </w:instrText>
      </w:r>
      <w:r w:rsidRPr="00D83D19">
        <w:rPr>
          <w:rFonts w:eastAsia="Calibri"/>
          <w:szCs w:val="24"/>
        </w:rPr>
        <w:fldChar w:fldCharType="separate"/>
      </w:r>
      <w:bookmarkStart w:id="1487" w:name="_Toc30503360"/>
      <w:bookmarkStart w:id="1488" w:name="_Toc30507958"/>
      <w:bookmarkStart w:id="1489" w:name="_Toc219309181"/>
      <w:r w:rsidR="008D797C">
        <w:rPr>
          <w:rFonts w:eastAsia="Calibri"/>
          <w:noProof/>
          <w:szCs w:val="24"/>
        </w:rPr>
        <w:t>151</w:t>
      </w:r>
      <w:r w:rsidRPr="00D83D19">
        <w:rPr>
          <w:rFonts w:eastAsia="Calibri"/>
          <w:szCs w:val="24"/>
        </w:rPr>
        <w:fldChar w:fldCharType="end"/>
      </w:r>
      <w:r w:rsidRPr="00D83D19">
        <w:rPr>
          <w:rFonts w:eastAsia="Calibri"/>
          <w:szCs w:val="24"/>
        </w:rPr>
        <w:t xml:space="preserve"> – Маршрут документа «</w:t>
      </w:r>
      <w:r w:rsidRPr="00D83D19">
        <w:rPr>
          <w:szCs w:val="24"/>
        </w:rPr>
        <w:t>Сведения ДО</w:t>
      </w:r>
      <w:r w:rsidRPr="00D83D19">
        <w:rPr>
          <w:rFonts w:eastAsia="Calibri"/>
          <w:szCs w:val="24"/>
        </w:rPr>
        <w:t>»</w:t>
      </w:r>
      <w:bookmarkEnd w:id="1487"/>
      <w:bookmarkEnd w:id="1488"/>
      <w:bookmarkEnd w:id="1489"/>
    </w:p>
    <w:tbl>
      <w:tblPr>
        <w:tblStyle w:val="GOSTTable"/>
        <w:tblW w:w="5000" w:type="pct"/>
        <w:tblLook w:val="01E0" w:firstRow="1" w:lastRow="1" w:firstColumn="1" w:lastColumn="1" w:noHBand="0" w:noVBand="0"/>
      </w:tblPr>
      <w:tblGrid>
        <w:gridCol w:w="2557"/>
        <w:gridCol w:w="2557"/>
        <w:gridCol w:w="4536"/>
      </w:tblGrid>
      <w:tr w:rsidR="00AD1F54" w:rsidRPr="00264D5D" w14:paraId="117E460D"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325" w:type="pct"/>
          </w:tcPr>
          <w:p w14:paraId="6A1E3678" w14:textId="77777777" w:rsidR="00AD1F54" w:rsidRPr="00264D5D" w:rsidRDefault="00941227">
            <w:pPr>
              <w:pStyle w:val="OTRTableHead"/>
              <w:widowControl w:val="0"/>
              <w:rPr>
                <w:sz w:val="22"/>
                <w:szCs w:val="22"/>
              </w:rPr>
            </w:pPr>
            <w:r w:rsidRPr="00264D5D">
              <w:rPr>
                <w:sz w:val="22"/>
                <w:szCs w:val="22"/>
              </w:rPr>
              <w:t>Отправитель</w:t>
            </w:r>
          </w:p>
        </w:tc>
        <w:tc>
          <w:tcPr>
            <w:tcW w:w="1325" w:type="pct"/>
          </w:tcPr>
          <w:p w14:paraId="241C827F" w14:textId="77777777" w:rsidR="00AD1F54" w:rsidRPr="00264D5D" w:rsidRDefault="00941227">
            <w:pPr>
              <w:pStyle w:val="OTRTableHead"/>
              <w:widowControl w:val="0"/>
              <w:rPr>
                <w:sz w:val="22"/>
                <w:szCs w:val="22"/>
              </w:rPr>
            </w:pPr>
            <w:r w:rsidRPr="00264D5D">
              <w:rPr>
                <w:sz w:val="22"/>
                <w:szCs w:val="22"/>
              </w:rPr>
              <w:t>Получатель</w:t>
            </w:r>
          </w:p>
        </w:tc>
        <w:tc>
          <w:tcPr>
            <w:tcW w:w="2350" w:type="pct"/>
          </w:tcPr>
          <w:p w14:paraId="74C70100" w14:textId="77777777" w:rsidR="00AD1F54" w:rsidRPr="00264D5D" w:rsidRDefault="00941227">
            <w:pPr>
              <w:pStyle w:val="OTRTableHead"/>
              <w:widowControl w:val="0"/>
              <w:rPr>
                <w:sz w:val="22"/>
                <w:szCs w:val="22"/>
              </w:rPr>
            </w:pPr>
            <w:r w:rsidRPr="00264D5D">
              <w:rPr>
                <w:sz w:val="22"/>
                <w:szCs w:val="22"/>
              </w:rPr>
              <w:t>Примечание</w:t>
            </w:r>
          </w:p>
        </w:tc>
      </w:tr>
      <w:tr w:rsidR="00891D16" w:rsidRPr="00264D5D" w14:paraId="66F2FD89" w14:textId="77777777" w:rsidTr="00AD1F54">
        <w:trPr>
          <w:cnfStyle w:val="000000100000" w:firstRow="0" w:lastRow="0" w:firstColumn="0" w:lastColumn="0" w:oddVBand="0" w:evenVBand="0" w:oddHBand="1" w:evenHBand="0" w:firstRowFirstColumn="0" w:firstRowLastColumn="0" w:lastRowFirstColumn="0" w:lastRowLastColumn="0"/>
        </w:trPr>
        <w:tc>
          <w:tcPr>
            <w:tcW w:w="1325" w:type="pct"/>
          </w:tcPr>
          <w:p w14:paraId="34522DAD" w14:textId="77777777" w:rsidR="00891D16" w:rsidRPr="00891D16" w:rsidRDefault="00891D16" w:rsidP="00891D16">
            <w:pPr>
              <w:pStyle w:val="GOSTTablenorm"/>
              <w:rPr>
                <w:szCs w:val="22"/>
              </w:rPr>
            </w:pPr>
            <w:r w:rsidRPr="00891D16">
              <w:rPr>
                <w:szCs w:val="22"/>
              </w:rPr>
              <w:t>ТОФК (ПУР ЭБ)/ТОФК (ППО АСФК)</w:t>
            </w:r>
          </w:p>
        </w:tc>
        <w:tc>
          <w:tcPr>
            <w:tcW w:w="1325" w:type="pct"/>
          </w:tcPr>
          <w:p w14:paraId="4FAF0E3A" w14:textId="77777777" w:rsidR="00891D16" w:rsidRPr="00891D16" w:rsidRDefault="00891D16" w:rsidP="00891D16">
            <w:pPr>
              <w:pStyle w:val="GOSTTablenorm"/>
              <w:rPr>
                <w:szCs w:val="22"/>
              </w:rPr>
            </w:pPr>
            <w:r w:rsidRPr="00891D16">
              <w:rPr>
                <w:szCs w:val="22"/>
              </w:rPr>
              <w:t>ПБС (УБП, НУБП, которому переданы полномочия ПБС)</w:t>
            </w:r>
          </w:p>
        </w:tc>
        <w:tc>
          <w:tcPr>
            <w:tcW w:w="2350" w:type="pct"/>
          </w:tcPr>
          <w:p w14:paraId="09C1B2BF" w14:textId="77777777" w:rsidR="00891D16" w:rsidRPr="00264D5D" w:rsidRDefault="00891D16" w:rsidP="00891D16">
            <w:pPr>
              <w:spacing w:before="60" w:after="60"/>
              <w:rPr>
                <w:sz w:val="22"/>
                <w:szCs w:val="22"/>
              </w:rPr>
            </w:pPr>
          </w:p>
        </w:tc>
      </w:tr>
      <w:tr w:rsidR="00891D16" w:rsidRPr="00264D5D" w14:paraId="6E393C71" w14:textId="77777777" w:rsidTr="00AD1F54">
        <w:trPr>
          <w:cnfStyle w:val="000000010000" w:firstRow="0" w:lastRow="0" w:firstColumn="0" w:lastColumn="0" w:oddVBand="0" w:evenVBand="0" w:oddHBand="0" w:evenHBand="1" w:firstRowFirstColumn="0" w:firstRowLastColumn="0" w:lastRowFirstColumn="0" w:lastRowLastColumn="0"/>
        </w:trPr>
        <w:tc>
          <w:tcPr>
            <w:tcW w:w="1325" w:type="pct"/>
          </w:tcPr>
          <w:p w14:paraId="12F55ACC" w14:textId="77777777" w:rsidR="00891D16" w:rsidRPr="00891D16" w:rsidRDefault="00891D16" w:rsidP="00891D16">
            <w:pPr>
              <w:pStyle w:val="GOSTTablenorm"/>
              <w:rPr>
                <w:szCs w:val="22"/>
              </w:rPr>
            </w:pPr>
            <w:r w:rsidRPr="00891D16">
              <w:rPr>
                <w:szCs w:val="22"/>
              </w:rPr>
              <w:t>ПБС (УБП, НУБП, которому переданы полномочия ПБС)</w:t>
            </w:r>
          </w:p>
        </w:tc>
        <w:tc>
          <w:tcPr>
            <w:tcW w:w="1325" w:type="pct"/>
          </w:tcPr>
          <w:p w14:paraId="69A8F868" w14:textId="77777777" w:rsidR="00891D16" w:rsidRPr="00891D16" w:rsidRDefault="00891D16" w:rsidP="00891D16">
            <w:pPr>
              <w:pStyle w:val="GOSTTablenorm"/>
              <w:rPr>
                <w:szCs w:val="22"/>
              </w:rPr>
            </w:pPr>
            <w:r w:rsidRPr="00891D16">
              <w:rPr>
                <w:szCs w:val="22"/>
              </w:rPr>
              <w:t>ТОФК (ПУР ЭБ)/ТОФК (ППО АСФК)</w:t>
            </w:r>
          </w:p>
        </w:tc>
        <w:tc>
          <w:tcPr>
            <w:tcW w:w="2350" w:type="pct"/>
          </w:tcPr>
          <w:p w14:paraId="124EA5BF" w14:textId="77777777" w:rsidR="00891D16" w:rsidRPr="00264D5D" w:rsidRDefault="00891D16" w:rsidP="00891D16">
            <w:pPr>
              <w:spacing w:before="60" w:after="60"/>
              <w:rPr>
                <w:sz w:val="22"/>
                <w:szCs w:val="22"/>
              </w:rPr>
            </w:pPr>
          </w:p>
        </w:tc>
      </w:tr>
      <w:tr w:rsidR="00AD1F54" w:rsidRPr="00264D5D" w14:paraId="2795C1A3" w14:textId="77777777" w:rsidTr="00AD1F54">
        <w:trPr>
          <w:cnfStyle w:val="000000100000" w:firstRow="0" w:lastRow="0" w:firstColumn="0" w:lastColumn="0" w:oddVBand="0" w:evenVBand="0" w:oddHBand="1" w:evenHBand="0" w:firstRowFirstColumn="0" w:firstRowLastColumn="0" w:lastRowFirstColumn="0" w:lastRowLastColumn="0"/>
        </w:trPr>
        <w:tc>
          <w:tcPr>
            <w:tcW w:w="1325" w:type="pct"/>
          </w:tcPr>
          <w:p w14:paraId="24D0B3C3" w14:textId="77777777" w:rsidR="00AD1F54" w:rsidRPr="00891D16" w:rsidRDefault="00891D16">
            <w:pPr>
              <w:spacing w:before="60" w:after="60"/>
              <w:rPr>
                <w:sz w:val="22"/>
                <w:szCs w:val="22"/>
              </w:rPr>
            </w:pPr>
            <w:r w:rsidRPr="00891D16">
              <w:rPr>
                <w:sz w:val="22"/>
                <w:szCs w:val="22"/>
              </w:rPr>
              <w:t>ТОФК (ПУР ЭБ)</w:t>
            </w:r>
          </w:p>
        </w:tc>
        <w:tc>
          <w:tcPr>
            <w:tcW w:w="1325" w:type="pct"/>
          </w:tcPr>
          <w:p w14:paraId="758D0B4A" w14:textId="77777777" w:rsidR="00AD1F54" w:rsidRPr="00891D16" w:rsidRDefault="00941227">
            <w:pPr>
              <w:spacing w:before="60" w:after="60"/>
              <w:rPr>
                <w:sz w:val="22"/>
                <w:szCs w:val="22"/>
              </w:rPr>
            </w:pPr>
            <w:r w:rsidRPr="00891D16">
              <w:rPr>
                <w:sz w:val="22"/>
                <w:szCs w:val="22"/>
              </w:rPr>
              <w:t>ТОФК (ППО АСФК)</w:t>
            </w:r>
          </w:p>
        </w:tc>
        <w:tc>
          <w:tcPr>
            <w:tcW w:w="2350" w:type="pct"/>
          </w:tcPr>
          <w:p w14:paraId="3EF712B7" w14:textId="77777777" w:rsidR="00AD1F54" w:rsidRPr="00264D5D" w:rsidRDefault="00AD1F54">
            <w:pPr>
              <w:spacing w:before="60" w:after="60"/>
              <w:rPr>
                <w:sz w:val="22"/>
                <w:szCs w:val="22"/>
              </w:rPr>
            </w:pPr>
          </w:p>
        </w:tc>
      </w:tr>
      <w:tr w:rsidR="00AD1F54" w:rsidRPr="00264D5D" w14:paraId="088F7B53" w14:textId="77777777" w:rsidTr="00AD1F54">
        <w:trPr>
          <w:cnfStyle w:val="000000010000" w:firstRow="0" w:lastRow="0" w:firstColumn="0" w:lastColumn="0" w:oddVBand="0" w:evenVBand="0" w:oddHBand="0" w:evenHBand="1" w:firstRowFirstColumn="0" w:firstRowLastColumn="0" w:lastRowFirstColumn="0" w:lastRowLastColumn="0"/>
        </w:trPr>
        <w:tc>
          <w:tcPr>
            <w:tcW w:w="1325" w:type="pct"/>
          </w:tcPr>
          <w:p w14:paraId="373244CF" w14:textId="77777777" w:rsidR="00AD1F54" w:rsidRPr="00891D16" w:rsidRDefault="00941227">
            <w:pPr>
              <w:spacing w:before="60" w:after="60"/>
              <w:rPr>
                <w:sz w:val="22"/>
                <w:szCs w:val="22"/>
              </w:rPr>
            </w:pPr>
            <w:r w:rsidRPr="00891D16">
              <w:rPr>
                <w:sz w:val="22"/>
                <w:szCs w:val="22"/>
              </w:rPr>
              <w:t>ТОФК (ППО АСФК)</w:t>
            </w:r>
          </w:p>
        </w:tc>
        <w:tc>
          <w:tcPr>
            <w:tcW w:w="1325" w:type="pct"/>
          </w:tcPr>
          <w:p w14:paraId="1E8694B0" w14:textId="77777777" w:rsidR="00AD1F54" w:rsidRPr="00891D16" w:rsidRDefault="00891D16">
            <w:pPr>
              <w:spacing w:before="60" w:after="60"/>
              <w:rPr>
                <w:sz w:val="22"/>
                <w:szCs w:val="22"/>
              </w:rPr>
            </w:pPr>
            <w:r w:rsidRPr="00891D16">
              <w:rPr>
                <w:sz w:val="22"/>
                <w:szCs w:val="22"/>
              </w:rPr>
              <w:t>ТОФК (ПУР ЭБ)</w:t>
            </w:r>
          </w:p>
        </w:tc>
        <w:tc>
          <w:tcPr>
            <w:tcW w:w="2350" w:type="pct"/>
          </w:tcPr>
          <w:p w14:paraId="2C02F576" w14:textId="77777777" w:rsidR="00AD1F54" w:rsidRPr="00264D5D" w:rsidRDefault="00AD1F54">
            <w:pPr>
              <w:spacing w:before="60" w:after="60"/>
              <w:rPr>
                <w:sz w:val="22"/>
                <w:szCs w:val="22"/>
              </w:rPr>
            </w:pPr>
          </w:p>
        </w:tc>
      </w:tr>
      <w:tr w:rsidR="00AD1F54" w:rsidRPr="00264D5D" w14:paraId="6E6A079E" w14:textId="77777777" w:rsidTr="00AD1F54">
        <w:trPr>
          <w:cnfStyle w:val="000000100000" w:firstRow="0" w:lastRow="0" w:firstColumn="0" w:lastColumn="0" w:oddVBand="0" w:evenVBand="0" w:oddHBand="1" w:evenHBand="0" w:firstRowFirstColumn="0" w:firstRowLastColumn="0" w:lastRowFirstColumn="0" w:lastRowLastColumn="0"/>
        </w:trPr>
        <w:tc>
          <w:tcPr>
            <w:tcW w:w="1325" w:type="pct"/>
          </w:tcPr>
          <w:p w14:paraId="037ACF43" w14:textId="77777777" w:rsidR="00AD1F54" w:rsidRPr="00891D16" w:rsidRDefault="00941227">
            <w:pPr>
              <w:spacing w:before="60" w:after="60"/>
              <w:rPr>
                <w:sz w:val="22"/>
                <w:szCs w:val="22"/>
              </w:rPr>
            </w:pPr>
            <w:r w:rsidRPr="00891D16">
              <w:rPr>
                <w:sz w:val="22"/>
                <w:szCs w:val="22"/>
              </w:rPr>
              <w:t>ЕИС</w:t>
            </w:r>
          </w:p>
        </w:tc>
        <w:tc>
          <w:tcPr>
            <w:tcW w:w="1325" w:type="pct"/>
          </w:tcPr>
          <w:p w14:paraId="196DE1FC" w14:textId="77777777" w:rsidR="00AD1F54" w:rsidRPr="00891D16" w:rsidRDefault="00891D16">
            <w:pPr>
              <w:spacing w:before="60" w:after="60"/>
              <w:rPr>
                <w:sz w:val="22"/>
                <w:szCs w:val="22"/>
              </w:rPr>
            </w:pPr>
            <w:r w:rsidRPr="00891D16">
              <w:rPr>
                <w:sz w:val="22"/>
                <w:szCs w:val="22"/>
              </w:rPr>
              <w:t>ТОФК (ПУР ЭБ)</w:t>
            </w:r>
          </w:p>
        </w:tc>
        <w:tc>
          <w:tcPr>
            <w:tcW w:w="2350" w:type="pct"/>
          </w:tcPr>
          <w:p w14:paraId="27832D35" w14:textId="77777777" w:rsidR="00AD1F54" w:rsidRPr="00264D5D" w:rsidRDefault="00AD1F54">
            <w:pPr>
              <w:spacing w:before="60" w:after="60"/>
              <w:rPr>
                <w:sz w:val="22"/>
                <w:szCs w:val="22"/>
              </w:rPr>
            </w:pPr>
          </w:p>
        </w:tc>
      </w:tr>
      <w:tr w:rsidR="00AD1F54" w:rsidRPr="00264D5D" w14:paraId="4E5171BA" w14:textId="77777777" w:rsidTr="00AD1F54">
        <w:trPr>
          <w:cnfStyle w:val="000000010000" w:firstRow="0" w:lastRow="0" w:firstColumn="0" w:lastColumn="0" w:oddVBand="0" w:evenVBand="0" w:oddHBand="0" w:evenHBand="1" w:firstRowFirstColumn="0" w:firstRowLastColumn="0" w:lastRowFirstColumn="0" w:lastRowLastColumn="0"/>
        </w:trPr>
        <w:tc>
          <w:tcPr>
            <w:tcW w:w="1325" w:type="pct"/>
          </w:tcPr>
          <w:p w14:paraId="74B32F88" w14:textId="77777777" w:rsidR="00AD1F54" w:rsidRPr="00891D16" w:rsidRDefault="00941227">
            <w:pPr>
              <w:spacing w:before="60" w:after="60"/>
              <w:rPr>
                <w:sz w:val="22"/>
                <w:szCs w:val="22"/>
              </w:rPr>
            </w:pPr>
            <w:r w:rsidRPr="00891D16">
              <w:rPr>
                <w:sz w:val="22"/>
                <w:szCs w:val="22"/>
              </w:rPr>
              <w:t>ПБС (ПФХД)</w:t>
            </w:r>
          </w:p>
        </w:tc>
        <w:tc>
          <w:tcPr>
            <w:tcW w:w="1325" w:type="pct"/>
          </w:tcPr>
          <w:p w14:paraId="19336D6B" w14:textId="77777777" w:rsidR="00AD1F54" w:rsidRPr="00891D16" w:rsidRDefault="00941227">
            <w:pPr>
              <w:spacing w:before="60" w:after="60"/>
              <w:rPr>
                <w:sz w:val="22"/>
                <w:szCs w:val="22"/>
              </w:rPr>
            </w:pPr>
            <w:r w:rsidRPr="00891D16">
              <w:rPr>
                <w:sz w:val="22"/>
                <w:szCs w:val="22"/>
              </w:rPr>
              <w:t>ТОФК (ПУР ЭБ)</w:t>
            </w:r>
          </w:p>
        </w:tc>
        <w:tc>
          <w:tcPr>
            <w:tcW w:w="2350" w:type="pct"/>
          </w:tcPr>
          <w:p w14:paraId="64F962D5" w14:textId="77777777" w:rsidR="00AD1F54" w:rsidRPr="00264D5D" w:rsidRDefault="00AD1F54">
            <w:pPr>
              <w:spacing w:before="60" w:after="60"/>
              <w:rPr>
                <w:sz w:val="22"/>
                <w:szCs w:val="22"/>
              </w:rPr>
            </w:pPr>
          </w:p>
        </w:tc>
      </w:tr>
      <w:tr w:rsidR="00AD1F54" w:rsidRPr="00264D5D" w14:paraId="76425FA1" w14:textId="77777777" w:rsidTr="00AD1F54">
        <w:trPr>
          <w:cnfStyle w:val="000000100000" w:firstRow="0" w:lastRow="0" w:firstColumn="0" w:lastColumn="0" w:oddVBand="0" w:evenVBand="0" w:oddHBand="1" w:evenHBand="0" w:firstRowFirstColumn="0" w:firstRowLastColumn="0" w:lastRowFirstColumn="0" w:lastRowLastColumn="0"/>
        </w:trPr>
        <w:tc>
          <w:tcPr>
            <w:tcW w:w="1325" w:type="pct"/>
          </w:tcPr>
          <w:p w14:paraId="2584B913" w14:textId="77777777" w:rsidR="00AD1F54" w:rsidRPr="00891D16" w:rsidRDefault="00941227">
            <w:pPr>
              <w:spacing w:before="60" w:after="60"/>
              <w:rPr>
                <w:sz w:val="22"/>
                <w:szCs w:val="22"/>
              </w:rPr>
            </w:pPr>
            <w:r w:rsidRPr="00891D16">
              <w:rPr>
                <w:sz w:val="22"/>
                <w:szCs w:val="22"/>
              </w:rPr>
              <w:t>ТОФК (ПУР ЭБ)</w:t>
            </w:r>
          </w:p>
        </w:tc>
        <w:tc>
          <w:tcPr>
            <w:tcW w:w="1325" w:type="pct"/>
          </w:tcPr>
          <w:p w14:paraId="6FBCD2D5" w14:textId="77777777" w:rsidR="00AD1F54" w:rsidRPr="00891D16" w:rsidRDefault="00941227">
            <w:pPr>
              <w:spacing w:before="60" w:after="60"/>
              <w:rPr>
                <w:sz w:val="22"/>
                <w:szCs w:val="22"/>
              </w:rPr>
            </w:pPr>
            <w:r w:rsidRPr="00891D16">
              <w:rPr>
                <w:sz w:val="22"/>
                <w:szCs w:val="22"/>
              </w:rPr>
              <w:t>ПБС (ПФХД)</w:t>
            </w:r>
          </w:p>
        </w:tc>
        <w:tc>
          <w:tcPr>
            <w:tcW w:w="2350" w:type="pct"/>
          </w:tcPr>
          <w:p w14:paraId="39F139C7" w14:textId="77777777" w:rsidR="00AD1F54" w:rsidRPr="00264D5D" w:rsidRDefault="00AD1F54">
            <w:pPr>
              <w:spacing w:before="60" w:after="60"/>
              <w:rPr>
                <w:sz w:val="22"/>
                <w:szCs w:val="22"/>
              </w:rPr>
            </w:pPr>
          </w:p>
        </w:tc>
      </w:tr>
      <w:tr w:rsidR="00AD1F54" w:rsidRPr="00264D5D" w14:paraId="1ED929BB" w14:textId="77777777" w:rsidTr="00AD1F54">
        <w:trPr>
          <w:cnfStyle w:val="000000010000" w:firstRow="0" w:lastRow="0" w:firstColumn="0" w:lastColumn="0" w:oddVBand="0" w:evenVBand="0" w:oddHBand="0" w:evenHBand="1" w:firstRowFirstColumn="0" w:firstRowLastColumn="0" w:lastRowFirstColumn="0" w:lastRowLastColumn="0"/>
        </w:trPr>
        <w:tc>
          <w:tcPr>
            <w:tcW w:w="1325" w:type="pct"/>
          </w:tcPr>
          <w:p w14:paraId="6B5BA99C" w14:textId="77777777" w:rsidR="00AD1F54" w:rsidRPr="00891D16" w:rsidRDefault="00941227">
            <w:pPr>
              <w:spacing w:before="60" w:after="60"/>
              <w:rPr>
                <w:sz w:val="22"/>
                <w:szCs w:val="22"/>
              </w:rPr>
            </w:pPr>
            <w:r w:rsidRPr="00891D16">
              <w:rPr>
                <w:sz w:val="22"/>
                <w:szCs w:val="22"/>
              </w:rPr>
              <w:t>ЕИС</w:t>
            </w:r>
          </w:p>
        </w:tc>
        <w:tc>
          <w:tcPr>
            <w:tcW w:w="1325" w:type="pct"/>
          </w:tcPr>
          <w:p w14:paraId="3686A4E8" w14:textId="77777777" w:rsidR="00AD1F54" w:rsidRPr="00891D16" w:rsidRDefault="00941227">
            <w:pPr>
              <w:spacing w:before="60" w:after="60"/>
              <w:rPr>
                <w:sz w:val="22"/>
                <w:szCs w:val="22"/>
              </w:rPr>
            </w:pPr>
            <w:r w:rsidRPr="00891D16">
              <w:rPr>
                <w:sz w:val="22"/>
                <w:szCs w:val="22"/>
              </w:rPr>
              <w:t>ТОФК (ППО АСФК)</w:t>
            </w:r>
          </w:p>
        </w:tc>
        <w:tc>
          <w:tcPr>
            <w:tcW w:w="2350" w:type="pct"/>
          </w:tcPr>
          <w:p w14:paraId="66712D06" w14:textId="77777777" w:rsidR="00AD1F54" w:rsidRPr="00264D5D" w:rsidRDefault="00AD1F54">
            <w:pPr>
              <w:spacing w:before="60" w:after="60"/>
              <w:rPr>
                <w:sz w:val="22"/>
                <w:szCs w:val="22"/>
              </w:rPr>
            </w:pPr>
          </w:p>
        </w:tc>
      </w:tr>
    </w:tbl>
    <w:p w14:paraId="0C22A9A7" w14:textId="77777777" w:rsidR="00AD1F54" w:rsidRPr="00BA6552" w:rsidRDefault="00941227">
      <w:pPr>
        <w:pStyle w:val="31"/>
        <w:rPr>
          <w:highlight w:val="green"/>
        </w:rPr>
      </w:pPr>
      <w:bookmarkStart w:id="1490" w:name="_Toc219309605"/>
      <w:r w:rsidRPr="00BA6552">
        <w:rPr>
          <w:highlight w:val="green"/>
        </w:rPr>
        <w:t>Описание комплексного типа «tEXP_SDO»</w:t>
      </w:r>
      <w:bookmarkEnd w:id="1490"/>
      <w:r w:rsidRPr="00BA6552">
        <w:rPr>
          <w:highlight w:val="green"/>
        </w:rPr>
        <w:t xml:space="preserve"> </w:t>
      </w:r>
    </w:p>
    <w:p w14:paraId="28D3206B" w14:textId="13D3921F" w:rsidR="00AD1F54" w:rsidRPr="00BA6552" w:rsidRDefault="00941227">
      <w:pPr>
        <w:pStyle w:val="GOSTNameTable"/>
        <w:keepNext w:val="0"/>
        <w:widowControl w:val="0"/>
        <w:numPr>
          <w:ilvl w:val="0"/>
          <w:numId w:val="2"/>
        </w:numPr>
        <w:ind w:left="425" w:hanging="357"/>
        <w:rPr>
          <w:rFonts w:eastAsia="Calibri"/>
          <w:szCs w:val="24"/>
          <w:highlight w:val="green"/>
        </w:rPr>
      </w:pPr>
      <w:r w:rsidRPr="00BA6552">
        <w:rPr>
          <w:rFonts w:eastAsia="Calibri"/>
          <w:szCs w:val="24"/>
          <w:highlight w:val="green"/>
        </w:rPr>
        <w:fldChar w:fldCharType="begin"/>
      </w:r>
      <w:r w:rsidRPr="00BA6552">
        <w:rPr>
          <w:rFonts w:eastAsia="Calibri"/>
          <w:szCs w:val="24"/>
          <w:highlight w:val="green"/>
        </w:rPr>
        <w:instrText xml:space="preserve"> SEQ Таблица \* ARABIC </w:instrText>
      </w:r>
      <w:r w:rsidRPr="00BA6552">
        <w:rPr>
          <w:rFonts w:eastAsia="Calibri"/>
          <w:szCs w:val="24"/>
          <w:highlight w:val="green"/>
        </w:rPr>
        <w:fldChar w:fldCharType="separate"/>
      </w:r>
      <w:bookmarkStart w:id="1491" w:name="_Toc30503361"/>
      <w:bookmarkStart w:id="1492" w:name="_Toc30507959"/>
      <w:bookmarkStart w:id="1493" w:name="_Toc219309182"/>
      <w:r w:rsidR="008D797C">
        <w:rPr>
          <w:rFonts w:eastAsia="Calibri"/>
          <w:noProof/>
          <w:szCs w:val="24"/>
          <w:highlight w:val="green"/>
        </w:rPr>
        <w:t>152</w:t>
      </w:r>
      <w:r w:rsidRPr="00BA6552">
        <w:rPr>
          <w:rFonts w:eastAsia="Calibri"/>
          <w:szCs w:val="24"/>
          <w:highlight w:val="green"/>
        </w:rPr>
        <w:fldChar w:fldCharType="end"/>
      </w:r>
      <w:r w:rsidRPr="00BA6552">
        <w:rPr>
          <w:rFonts w:eastAsia="Calibri"/>
          <w:szCs w:val="24"/>
          <w:highlight w:val="green"/>
        </w:rPr>
        <w:t xml:space="preserve"> – Описание комплексного типа «</w:t>
      </w:r>
      <w:r w:rsidRPr="00BA6552">
        <w:rPr>
          <w:highlight w:val="green"/>
        </w:rPr>
        <w:t>t</w:t>
      </w:r>
      <w:r w:rsidRPr="00BA6552">
        <w:rPr>
          <w:highlight w:val="green"/>
          <w:lang w:val="en-US"/>
        </w:rPr>
        <w:t>EXP</w:t>
      </w:r>
      <w:r w:rsidRPr="00BA6552">
        <w:rPr>
          <w:highlight w:val="green"/>
        </w:rPr>
        <w:t>_</w:t>
      </w:r>
      <w:r w:rsidRPr="00BA6552">
        <w:rPr>
          <w:highlight w:val="green"/>
          <w:lang w:val="en-US"/>
        </w:rPr>
        <w:t>SDO</w:t>
      </w:r>
      <w:r w:rsidRPr="00BA6552">
        <w:rPr>
          <w:rFonts w:eastAsia="Calibri"/>
          <w:szCs w:val="24"/>
          <w:highlight w:val="green"/>
        </w:rPr>
        <w:t>»</w:t>
      </w:r>
      <w:bookmarkEnd w:id="1491"/>
      <w:bookmarkEnd w:id="1492"/>
      <w:bookmarkEnd w:id="1493"/>
    </w:p>
    <w:tbl>
      <w:tblPr>
        <w:tblStyle w:val="GOSTTable"/>
        <w:tblW w:w="9634" w:type="dxa"/>
        <w:tblLayout w:type="fixed"/>
        <w:tblLook w:val="04A0" w:firstRow="1" w:lastRow="0" w:firstColumn="1" w:lastColumn="0" w:noHBand="0" w:noVBand="1"/>
      </w:tblPr>
      <w:tblGrid>
        <w:gridCol w:w="1699"/>
        <w:gridCol w:w="1701"/>
        <w:gridCol w:w="568"/>
        <w:gridCol w:w="1134"/>
        <w:gridCol w:w="568"/>
        <w:gridCol w:w="3964"/>
      </w:tblGrid>
      <w:tr w:rsidR="00AD1F54" w:rsidRPr="00264D5D" w14:paraId="5568A222"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1699" w:type="dxa"/>
          </w:tcPr>
          <w:p w14:paraId="468F7DEA" w14:textId="77777777" w:rsidR="00AD1F54" w:rsidRPr="00264D5D" w:rsidRDefault="00941227">
            <w:pPr>
              <w:widowControl w:val="0"/>
              <w:spacing w:before="60" w:after="60"/>
              <w:jc w:val="center"/>
              <w:rPr>
                <w:b/>
                <w:bCs/>
                <w:sz w:val="22"/>
                <w:szCs w:val="22"/>
              </w:rPr>
            </w:pPr>
            <w:r w:rsidRPr="00264D5D">
              <w:rPr>
                <w:b/>
                <w:bCs/>
                <w:sz w:val="22"/>
                <w:szCs w:val="22"/>
              </w:rPr>
              <w:t>Наименование элемента</w:t>
            </w:r>
          </w:p>
        </w:tc>
        <w:tc>
          <w:tcPr>
            <w:tcW w:w="1701" w:type="dxa"/>
          </w:tcPr>
          <w:p w14:paraId="09DE5A12" w14:textId="77777777" w:rsidR="00AD1F54" w:rsidRPr="00264D5D" w:rsidRDefault="00941227">
            <w:pPr>
              <w:widowControl w:val="0"/>
              <w:spacing w:before="60" w:after="60"/>
              <w:jc w:val="center"/>
              <w:rPr>
                <w:b/>
                <w:bCs/>
                <w:sz w:val="22"/>
                <w:szCs w:val="22"/>
              </w:rPr>
            </w:pPr>
            <w:r w:rsidRPr="00264D5D">
              <w:rPr>
                <w:b/>
                <w:bCs/>
                <w:sz w:val="22"/>
                <w:szCs w:val="22"/>
              </w:rPr>
              <w:t>Сокращенное наименование (код) элемента</w:t>
            </w:r>
          </w:p>
        </w:tc>
        <w:tc>
          <w:tcPr>
            <w:tcW w:w="568" w:type="dxa"/>
          </w:tcPr>
          <w:p w14:paraId="323212C5" w14:textId="77777777" w:rsidR="00AD1F54" w:rsidRPr="00264D5D" w:rsidRDefault="00941227">
            <w:pPr>
              <w:widowControl w:val="0"/>
              <w:spacing w:before="60" w:after="60"/>
              <w:jc w:val="center"/>
              <w:rPr>
                <w:b/>
                <w:sz w:val="22"/>
                <w:szCs w:val="22"/>
              </w:rPr>
            </w:pPr>
            <w:r w:rsidRPr="00264D5D">
              <w:rPr>
                <w:b/>
                <w:bCs/>
                <w:sz w:val="22"/>
                <w:szCs w:val="22"/>
              </w:rPr>
              <w:t>Тип</w:t>
            </w:r>
          </w:p>
        </w:tc>
        <w:tc>
          <w:tcPr>
            <w:tcW w:w="1134" w:type="dxa"/>
          </w:tcPr>
          <w:p w14:paraId="4606EC2D" w14:textId="77777777" w:rsidR="00AD1F54" w:rsidRPr="00264D5D" w:rsidRDefault="00941227">
            <w:pPr>
              <w:widowControl w:val="0"/>
              <w:spacing w:before="60" w:after="60"/>
              <w:jc w:val="center"/>
              <w:rPr>
                <w:b/>
                <w:sz w:val="22"/>
                <w:szCs w:val="22"/>
              </w:rPr>
            </w:pPr>
            <w:r w:rsidRPr="00264D5D">
              <w:rPr>
                <w:b/>
                <w:bCs/>
                <w:sz w:val="22"/>
                <w:szCs w:val="22"/>
              </w:rPr>
              <w:t>Формат элемента</w:t>
            </w:r>
          </w:p>
        </w:tc>
        <w:tc>
          <w:tcPr>
            <w:tcW w:w="568" w:type="dxa"/>
          </w:tcPr>
          <w:p w14:paraId="129F67AC" w14:textId="77777777" w:rsidR="00AD1F54" w:rsidRPr="00264D5D" w:rsidRDefault="00941227">
            <w:pPr>
              <w:widowControl w:val="0"/>
              <w:spacing w:before="60" w:after="60"/>
              <w:jc w:val="center"/>
              <w:rPr>
                <w:b/>
                <w:sz w:val="22"/>
                <w:szCs w:val="22"/>
              </w:rPr>
            </w:pPr>
            <w:r w:rsidRPr="00264D5D">
              <w:rPr>
                <w:b/>
                <w:bCs/>
                <w:sz w:val="22"/>
                <w:szCs w:val="22"/>
              </w:rPr>
              <w:t>Обязательность</w:t>
            </w:r>
          </w:p>
        </w:tc>
        <w:tc>
          <w:tcPr>
            <w:tcW w:w="3964" w:type="dxa"/>
          </w:tcPr>
          <w:p w14:paraId="0858E57D" w14:textId="77777777" w:rsidR="00AD1F54" w:rsidRPr="00264D5D" w:rsidRDefault="00941227">
            <w:pPr>
              <w:widowControl w:val="0"/>
              <w:spacing w:before="60" w:after="60"/>
              <w:jc w:val="center"/>
              <w:rPr>
                <w:b/>
                <w:bCs/>
                <w:sz w:val="22"/>
                <w:szCs w:val="22"/>
              </w:rPr>
            </w:pPr>
            <w:r w:rsidRPr="00264D5D">
              <w:rPr>
                <w:b/>
                <w:bCs/>
                <w:sz w:val="22"/>
                <w:szCs w:val="22"/>
              </w:rPr>
              <w:t>Дополнительная информация</w:t>
            </w:r>
          </w:p>
        </w:tc>
      </w:tr>
      <w:tr w:rsidR="00623679" w:rsidRPr="00264D5D" w14:paraId="3D329BB8"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699" w:type="dxa"/>
          </w:tcPr>
          <w:p w14:paraId="2A20D542" w14:textId="77777777" w:rsidR="00623679" w:rsidRPr="00264D5D" w:rsidRDefault="00623679" w:rsidP="00623679">
            <w:pPr>
              <w:widowControl w:val="0"/>
              <w:spacing w:before="60" w:after="60"/>
              <w:rPr>
                <w:sz w:val="22"/>
                <w:szCs w:val="22"/>
              </w:rPr>
            </w:pPr>
            <w:r w:rsidRPr="00264D5D">
              <w:rPr>
                <w:sz w:val="22"/>
                <w:szCs w:val="22"/>
              </w:rPr>
              <w:t>Версия структуры формуляра</w:t>
            </w:r>
          </w:p>
        </w:tc>
        <w:tc>
          <w:tcPr>
            <w:tcW w:w="1701" w:type="dxa"/>
          </w:tcPr>
          <w:p w14:paraId="48A215D3" w14:textId="77777777" w:rsidR="00623679" w:rsidRPr="00264D5D" w:rsidRDefault="00623679" w:rsidP="00623679">
            <w:pPr>
              <w:widowControl w:val="0"/>
              <w:spacing w:before="60" w:after="60"/>
              <w:jc w:val="left"/>
              <w:rPr>
                <w:sz w:val="22"/>
                <w:szCs w:val="22"/>
              </w:rPr>
            </w:pPr>
            <w:r w:rsidRPr="00264D5D">
              <w:rPr>
                <w:sz w:val="22"/>
                <w:szCs w:val="22"/>
              </w:rPr>
              <w:t>versionID</w:t>
            </w:r>
          </w:p>
        </w:tc>
        <w:tc>
          <w:tcPr>
            <w:tcW w:w="568" w:type="dxa"/>
          </w:tcPr>
          <w:p w14:paraId="0D2C191F" w14:textId="77777777" w:rsidR="00623679" w:rsidRPr="00264D5D" w:rsidRDefault="00623679" w:rsidP="00623679">
            <w:pPr>
              <w:widowControl w:val="0"/>
              <w:spacing w:before="60" w:after="60"/>
              <w:jc w:val="center"/>
              <w:rPr>
                <w:sz w:val="22"/>
                <w:szCs w:val="22"/>
              </w:rPr>
            </w:pPr>
            <w:r w:rsidRPr="00264D5D">
              <w:rPr>
                <w:sz w:val="22"/>
                <w:szCs w:val="22"/>
                <w:lang w:val="en-US"/>
              </w:rPr>
              <w:t>А</w:t>
            </w:r>
          </w:p>
        </w:tc>
        <w:tc>
          <w:tcPr>
            <w:tcW w:w="1134" w:type="dxa"/>
          </w:tcPr>
          <w:p w14:paraId="6FCC6917" w14:textId="77777777" w:rsidR="00623679" w:rsidRPr="00264D5D" w:rsidRDefault="00623679" w:rsidP="00623679">
            <w:pPr>
              <w:widowControl w:val="0"/>
              <w:spacing w:before="60" w:after="60"/>
              <w:jc w:val="left"/>
              <w:rPr>
                <w:sz w:val="22"/>
                <w:szCs w:val="22"/>
              </w:rPr>
            </w:pPr>
            <w:r w:rsidRPr="00264D5D">
              <w:rPr>
                <w:sz w:val="22"/>
                <w:szCs w:val="22"/>
              </w:rPr>
              <w:t>-</w:t>
            </w:r>
          </w:p>
        </w:tc>
        <w:tc>
          <w:tcPr>
            <w:tcW w:w="568" w:type="dxa"/>
          </w:tcPr>
          <w:p w14:paraId="0FE8855A" w14:textId="77777777" w:rsidR="00623679" w:rsidRPr="00264D5D" w:rsidRDefault="00623679" w:rsidP="00623679">
            <w:pPr>
              <w:widowControl w:val="0"/>
              <w:spacing w:before="60" w:after="60"/>
              <w:jc w:val="center"/>
              <w:rPr>
                <w:sz w:val="22"/>
                <w:szCs w:val="22"/>
              </w:rPr>
            </w:pPr>
            <w:r w:rsidRPr="00264D5D">
              <w:rPr>
                <w:sz w:val="22"/>
                <w:szCs w:val="22"/>
              </w:rPr>
              <w:t>О</w:t>
            </w:r>
          </w:p>
        </w:tc>
        <w:tc>
          <w:tcPr>
            <w:tcW w:w="3964" w:type="dxa"/>
          </w:tcPr>
          <w:p w14:paraId="66509A0C" w14:textId="50EC2DB7" w:rsidR="00623679" w:rsidRPr="00264D5D" w:rsidRDefault="00623679" w:rsidP="00623679">
            <w:pPr>
              <w:widowControl w:val="0"/>
              <w:spacing w:before="60" w:after="60"/>
              <w:rPr>
                <w:sz w:val="22"/>
                <w:szCs w:val="22"/>
              </w:rPr>
            </w:pPr>
            <w:r w:rsidRPr="00264D5D">
              <w:rPr>
                <w:sz w:val="22"/>
                <w:szCs w:val="22"/>
                <w:lang w:eastAsia="en-US"/>
              </w:rPr>
              <w:t xml:space="preserve">Указывается значение версии, соответствующее таблице </w:t>
            </w:r>
            <w:r w:rsidRPr="00264D5D">
              <w:rPr>
                <w:sz w:val="22"/>
                <w:szCs w:val="22"/>
              </w:rPr>
              <w:fldChar w:fldCharType="begin"/>
            </w:r>
            <w:r w:rsidRPr="00264D5D">
              <w:rPr>
                <w:sz w:val="22"/>
                <w:szCs w:val="22"/>
                <w:lang w:eastAsia="en-US"/>
              </w:rPr>
              <w:instrText xml:space="preserve"> REF _Ref19881821 \h </w:instrText>
            </w:r>
            <w:r w:rsidRPr="00264D5D">
              <w:rPr>
                <w:sz w:val="22"/>
                <w:szCs w:val="22"/>
              </w:rPr>
              <w:instrText xml:space="preserve"> \* MERGEFORMAT </w:instrText>
            </w:r>
            <w:r w:rsidRPr="00264D5D">
              <w:rPr>
                <w:sz w:val="22"/>
                <w:szCs w:val="22"/>
              </w:rPr>
            </w:r>
            <w:r w:rsidRPr="00264D5D">
              <w:rPr>
                <w:sz w:val="22"/>
                <w:szCs w:val="22"/>
              </w:rPr>
              <w:fldChar w:fldCharType="separate"/>
            </w:r>
            <w:r w:rsidR="008D797C" w:rsidRPr="008D797C">
              <w:rPr>
                <w:rFonts w:eastAsia="Calibri"/>
                <w:sz w:val="22"/>
                <w:szCs w:val="22"/>
              </w:rPr>
              <w:t>2</w:t>
            </w:r>
            <w:r w:rsidRPr="00264D5D">
              <w:rPr>
                <w:sz w:val="22"/>
                <w:szCs w:val="22"/>
              </w:rPr>
              <w:fldChar w:fldCharType="end"/>
            </w:r>
          </w:p>
        </w:tc>
      </w:tr>
      <w:tr w:rsidR="00623679" w:rsidRPr="00264D5D" w14:paraId="5DF7ECC9"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699" w:type="dxa"/>
          </w:tcPr>
          <w:p w14:paraId="598CC81F" w14:textId="77777777" w:rsidR="00623679" w:rsidRPr="00264D5D" w:rsidRDefault="00623679" w:rsidP="00623679">
            <w:pPr>
              <w:widowControl w:val="0"/>
              <w:spacing w:before="60" w:after="60"/>
              <w:rPr>
                <w:sz w:val="22"/>
                <w:szCs w:val="22"/>
              </w:rPr>
            </w:pPr>
            <w:r w:rsidRPr="00264D5D">
              <w:rPr>
                <w:sz w:val="22"/>
                <w:szCs w:val="22"/>
              </w:rPr>
              <w:t xml:space="preserve">Глобальный </w:t>
            </w:r>
            <w:r w:rsidRPr="00264D5D">
              <w:rPr>
                <w:sz w:val="22"/>
                <w:szCs w:val="22"/>
              </w:rPr>
              <w:lastRenderedPageBreak/>
              <w:t>уникальный идентификатор</w:t>
            </w:r>
          </w:p>
        </w:tc>
        <w:tc>
          <w:tcPr>
            <w:tcW w:w="1701" w:type="dxa"/>
          </w:tcPr>
          <w:p w14:paraId="08E624C8" w14:textId="77777777" w:rsidR="00623679" w:rsidRPr="00264D5D" w:rsidRDefault="00623679" w:rsidP="00623679">
            <w:pPr>
              <w:widowControl w:val="0"/>
              <w:spacing w:before="60" w:after="60"/>
              <w:rPr>
                <w:sz w:val="22"/>
                <w:szCs w:val="22"/>
              </w:rPr>
            </w:pPr>
            <w:r w:rsidRPr="00264D5D">
              <w:rPr>
                <w:sz w:val="22"/>
                <w:szCs w:val="22"/>
              </w:rPr>
              <w:lastRenderedPageBreak/>
              <w:t>Inf_UUID</w:t>
            </w:r>
          </w:p>
        </w:tc>
        <w:tc>
          <w:tcPr>
            <w:tcW w:w="568" w:type="dxa"/>
          </w:tcPr>
          <w:p w14:paraId="001DC621" w14:textId="77777777" w:rsidR="00623679" w:rsidRPr="00264D5D" w:rsidRDefault="00623679" w:rsidP="00623679">
            <w:pPr>
              <w:widowControl w:val="0"/>
              <w:spacing w:before="60" w:after="60"/>
              <w:jc w:val="center"/>
              <w:rPr>
                <w:sz w:val="22"/>
                <w:szCs w:val="22"/>
              </w:rPr>
            </w:pPr>
            <w:r w:rsidRPr="00264D5D">
              <w:rPr>
                <w:sz w:val="22"/>
                <w:szCs w:val="22"/>
              </w:rPr>
              <w:t>П</w:t>
            </w:r>
          </w:p>
        </w:tc>
        <w:tc>
          <w:tcPr>
            <w:tcW w:w="1134" w:type="dxa"/>
          </w:tcPr>
          <w:p w14:paraId="11469FAE" w14:textId="77777777" w:rsidR="00623679" w:rsidRPr="00264D5D" w:rsidRDefault="00623679" w:rsidP="00623679">
            <w:pPr>
              <w:widowControl w:val="0"/>
              <w:spacing w:before="60" w:after="60"/>
              <w:jc w:val="left"/>
              <w:rPr>
                <w:sz w:val="22"/>
                <w:szCs w:val="22"/>
              </w:rPr>
            </w:pPr>
            <w:r w:rsidRPr="00264D5D">
              <w:rPr>
                <w:sz w:val="22"/>
                <w:szCs w:val="22"/>
              </w:rPr>
              <w:t>Т(36)</w:t>
            </w:r>
          </w:p>
        </w:tc>
        <w:tc>
          <w:tcPr>
            <w:tcW w:w="568" w:type="dxa"/>
          </w:tcPr>
          <w:p w14:paraId="5D6898D2" w14:textId="77777777" w:rsidR="00623679" w:rsidRPr="00264D5D" w:rsidRDefault="00623679" w:rsidP="00623679">
            <w:pPr>
              <w:widowControl w:val="0"/>
              <w:spacing w:before="60" w:after="60"/>
              <w:jc w:val="center"/>
              <w:rPr>
                <w:sz w:val="22"/>
                <w:szCs w:val="22"/>
              </w:rPr>
            </w:pPr>
            <w:r w:rsidRPr="00264D5D">
              <w:rPr>
                <w:sz w:val="22"/>
                <w:szCs w:val="22"/>
              </w:rPr>
              <w:t>Н</w:t>
            </w:r>
          </w:p>
        </w:tc>
        <w:tc>
          <w:tcPr>
            <w:tcW w:w="3964" w:type="dxa"/>
          </w:tcPr>
          <w:p w14:paraId="10BBAADB" w14:textId="77777777" w:rsidR="00623679" w:rsidRPr="00264D5D" w:rsidRDefault="00623679" w:rsidP="00623679">
            <w:pPr>
              <w:widowControl w:val="0"/>
              <w:spacing w:before="60" w:after="60"/>
              <w:rPr>
                <w:sz w:val="22"/>
                <w:szCs w:val="22"/>
              </w:rPr>
            </w:pPr>
            <w:r w:rsidRPr="00264D5D">
              <w:rPr>
                <w:sz w:val="22"/>
                <w:szCs w:val="22"/>
              </w:rPr>
              <w:t xml:space="preserve">GUID </w:t>
            </w:r>
            <w:r w:rsidRPr="00264D5D">
              <w:t>–</w:t>
            </w:r>
            <w:r w:rsidRPr="00264D5D">
              <w:rPr>
                <w:sz w:val="22"/>
                <w:szCs w:val="22"/>
              </w:rPr>
              <w:t xml:space="preserve"> Глобальный уникальный </w:t>
            </w:r>
            <w:r w:rsidRPr="00264D5D">
              <w:rPr>
                <w:sz w:val="22"/>
                <w:szCs w:val="22"/>
              </w:rPr>
              <w:lastRenderedPageBreak/>
              <w:t>идентификатор.</w:t>
            </w:r>
          </w:p>
          <w:p w14:paraId="0A965533" w14:textId="77777777" w:rsidR="00623679" w:rsidRPr="00264D5D" w:rsidRDefault="00623679" w:rsidP="00623679">
            <w:pPr>
              <w:widowControl w:val="0"/>
              <w:spacing w:before="60" w:after="60"/>
              <w:rPr>
                <w:sz w:val="22"/>
                <w:szCs w:val="22"/>
              </w:rPr>
            </w:pPr>
            <w:r w:rsidRPr="00264D5D">
              <w:rPr>
                <w:sz w:val="22"/>
                <w:szCs w:val="22"/>
              </w:rPr>
              <w:t>Служебное поле, может заполняться клиентом или ТОФК.</w:t>
            </w:r>
          </w:p>
          <w:p w14:paraId="444F3D80" w14:textId="77777777" w:rsidR="00623679" w:rsidRPr="00891D16" w:rsidRDefault="00623679" w:rsidP="00623679">
            <w:pPr>
              <w:widowControl w:val="0"/>
              <w:spacing w:before="60" w:after="60"/>
              <w:rPr>
                <w:sz w:val="22"/>
                <w:szCs w:val="22"/>
              </w:rPr>
            </w:pPr>
            <w:r w:rsidRPr="00264D5D">
              <w:rPr>
                <w:sz w:val="22"/>
                <w:szCs w:val="22"/>
              </w:rPr>
              <w:t xml:space="preserve">Обязательно для заполнения при передаче </w:t>
            </w:r>
            <w:r w:rsidRPr="00891D16">
              <w:rPr>
                <w:sz w:val="22"/>
                <w:szCs w:val="22"/>
              </w:rPr>
              <w:t xml:space="preserve">документа из </w:t>
            </w:r>
            <w:r w:rsidR="00891D16" w:rsidRPr="00891D16">
              <w:rPr>
                <w:sz w:val="22"/>
                <w:szCs w:val="22"/>
              </w:rPr>
              <w:t>из ТОФК (ПУР ЭБ) в ТОФК (ППО АСФК), из ЕИС в ТОФК (ПУР ЭБ)</w:t>
            </w:r>
            <w:r w:rsidRPr="00891D16">
              <w:rPr>
                <w:sz w:val="22"/>
                <w:szCs w:val="22"/>
              </w:rPr>
              <w:t>.</w:t>
            </w:r>
          </w:p>
          <w:p w14:paraId="2EF72547" w14:textId="77777777" w:rsidR="00623679" w:rsidRPr="00264D5D" w:rsidRDefault="00623679" w:rsidP="00623679">
            <w:pPr>
              <w:widowControl w:val="0"/>
              <w:spacing w:before="60" w:after="60"/>
              <w:rPr>
                <w:sz w:val="22"/>
                <w:szCs w:val="22"/>
              </w:rPr>
            </w:pPr>
            <w:r w:rsidRPr="00264D5D">
              <w:rPr>
                <w:sz w:val="22"/>
                <w:szCs w:val="22"/>
              </w:rPr>
              <w:t>Заполняется ТОФК в случае отсутствия значения, присвоенного клиентом.</w:t>
            </w:r>
          </w:p>
          <w:p w14:paraId="5A5DDD19" w14:textId="77777777" w:rsidR="00623679" w:rsidRPr="00264D5D" w:rsidRDefault="00623679" w:rsidP="00623679">
            <w:pPr>
              <w:widowControl w:val="0"/>
              <w:spacing w:before="60" w:after="60"/>
              <w:rPr>
                <w:sz w:val="22"/>
                <w:szCs w:val="22"/>
              </w:rPr>
            </w:pPr>
            <w:r w:rsidRPr="00264D5D">
              <w:rPr>
                <w:sz w:val="22"/>
                <w:szCs w:val="22"/>
              </w:rPr>
              <w:t>При поступлении в ТОФК документа с неуникальным значением идентификатора документа, документ не принимается к исполнению в системе Федерального казначейства</w:t>
            </w:r>
          </w:p>
        </w:tc>
      </w:tr>
      <w:tr w:rsidR="00623679" w:rsidRPr="00264D5D" w14:paraId="40362551"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9634" w:type="dxa"/>
            <w:gridSpan w:val="6"/>
          </w:tcPr>
          <w:p w14:paraId="0B43B9A8" w14:textId="77777777" w:rsidR="00623679" w:rsidRPr="00264D5D" w:rsidRDefault="00623679" w:rsidP="00623679">
            <w:pPr>
              <w:widowControl w:val="0"/>
              <w:spacing w:before="60" w:after="60"/>
              <w:rPr>
                <w:sz w:val="22"/>
                <w:szCs w:val="22"/>
              </w:rPr>
            </w:pPr>
            <w:r w:rsidRPr="00264D5D">
              <w:rPr>
                <w:b/>
                <w:sz w:val="22"/>
                <w:szCs w:val="22"/>
              </w:rPr>
              <w:lastRenderedPageBreak/>
              <w:t>Основная информация</w:t>
            </w:r>
          </w:p>
        </w:tc>
      </w:tr>
      <w:tr w:rsidR="00623679" w:rsidRPr="00264D5D" w14:paraId="3FEE95D8"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699" w:type="dxa"/>
          </w:tcPr>
          <w:p w14:paraId="7842729C" w14:textId="77777777" w:rsidR="00623679" w:rsidRPr="00264D5D" w:rsidRDefault="00623679" w:rsidP="00623679">
            <w:pPr>
              <w:widowControl w:val="0"/>
              <w:spacing w:before="60" w:after="60"/>
              <w:rPr>
                <w:sz w:val="22"/>
                <w:szCs w:val="22"/>
                <w:lang w:val="en-US"/>
              </w:rPr>
            </w:pPr>
            <w:r w:rsidRPr="00264D5D">
              <w:rPr>
                <w:sz w:val="22"/>
                <w:szCs w:val="22"/>
              </w:rPr>
              <w:t xml:space="preserve">Номер документа </w:t>
            </w:r>
          </w:p>
        </w:tc>
        <w:tc>
          <w:tcPr>
            <w:tcW w:w="1701" w:type="dxa"/>
          </w:tcPr>
          <w:p w14:paraId="2833B0E0" w14:textId="77777777" w:rsidR="00623679" w:rsidRPr="00264D5D" w:rsidRDefault="00623679" w:rsidP="00623679">
            <w:pPr>
              <w:widowControl w:val="0"/>
              <w:spacing w:before="60" w:after="60"/>
              <w:rPr>
                <w:sz w:val="22"/>
                <w:szCs w:val="22"/>
              </w:rPr>
            </w:pPr>
            <w:r w:rsidRPr="00264D5D">
              <w:rPr>
                <w:sz w:val="22"/>
                <w:szCs w:val="22"/>
              </w:rPr>
              <w:t>Inf_NmbrDc</w:t>
            </w:r>
          </w:p>
        </w:tc>
        <w:tc>
          <w:tcPr>
            <w:tcW w:w="568" w:type="dxa"/>
          </w:tcPr>
          <w:p w14:paraId="621551EC" w14:textId="77777777" w:rsidR="00623679" w:rsidRPr="00264D5D" w:rsidRDefault="00623679" w:rsidP="00623679">
            <w:pPr>
              <w:widowControl w:val="0"/>
              <w:spacing w:before="60" w:after="60"/>
              <w:jc w:val="center"/>
              <w:rPr>
                <w:sz w:val="22"/>
                <w:szCs w:val="22"/>
              </w:rPr>
            </w:pPr>
            <w:r w:rsidRPr="00264D5D">
              <w:rPr>
                <w:sz w:val="22"/>
                <w:szCs w:val="22"/>
              </w:rPr>
              <w:t>П</w:t>
            </w:r>
          </w:p>
        </w:tc>
        <w:tc>
          <w:tcPr>
            <w:tcW w:w="1134" w:type="dxa"/>
          </w:tcPr>
          <w:p w14:paraId="66F4AEB0" w14:textId="77777777" w:rsidR="00623679" w:rsidRPr="00264D5D" w:rsidRDefault="00623679" w:rsidP="00623679">
            <w:pPr>
              <w:widowControl w:val="0"/>
              <w:spacing w:before="60" w:after="60"/>
              <w:jc w:val="left"/>
              <w:rPr>
                <w:sz w:val="22"/>
                <w:szCs w:val="22"/>
              </w:rPr>
            </w:pPr>
            <w:r w:rsidRPr="00264D5D">
              <w:rPr>
                <w:sz w:val="22"/>
                <w:szCs w:val="22"/>
              </w:rPr>
              <w:t>Т(1-50)</w:t>
            </w:r>
          </w:p>
        </w:tc>
        <w:tc>
          <w:tcPr>
            <w:tcW w:w="568" w:type="dxa"/>
          </w:tcPr>
          <w:p w14:paraId="53DE7B9D" w14:textId="77777777" w:rsidR="00623679" w:rsidRPr="00264D5D" w:rsidRDefault="00623679" w:rsidP="00623679">
            <w:pPr>
              <w:widowControl w:val="0"/>
              <w:spacing w:before="60" w:after="60"/>
              <w:jc w:val="center"/>
              <w:rPr>
                <w:sz w:val="22"/>
                <w:szCs w:val="22"/>
              </w:rPr>
            </w:pPr>
            <w:r w:rsidRPr="00264D5D">
              <w:rPr>
                <w:sz w:val="22"/>
                <w:szCs w:val="22"/>
              </w:rPr>
              <w:t>О</w:t>
            </w:r>
          </w:p>
        </w:tc>
        <w:tc>
          <w:tcPr>
            <w:tcW w:w="3964" w:type="dxa"/>
          </w:tcPr>
          <w:p w14:paraId="19392289" w14:textId="77777777" w:rsidR="00623679" w:rsidRPr="00264D5D" w:rsidRDefault="00623679" w:rsidP="00623679">
            <w:pPr>
              <w:widowControl w:val="0"/>
              <w:spacing w:before="60" w:after="60"/>
              <w:rPr>
                <w:sz w:val="22"/>
                <w:szCs w:val="22"/>
              </w:rPr>
            </w:pPr>
            <w:r w:rsidRPr="00264D5D">
              <w:rPr>
                <w:sz w:val="22"/>
                <w:szCs w:val="22"/>
              </w:rPr>
              <w:t>Указывается порядковый номер Сведений о ДО, присвоенный клиентом</w:t>
            </w:r>
          </w:p>
        </w:tc>
      </w:tr>
      <w:tr w:rsidR="00623679" w:rsidRPr="00264D5D" w14:paraId="478E4409"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699" w:type="dxa"/>
          </w:tcPr>
          <w:p w14:paraId="3EF76286" w14:textId="77777777" w:rsidR="00623679" w:rsidRPr="00264D5D" w:rsidRDefault="00623679" w:rsidP="00623679">
            <w:pPr>
              <w:spacing w:before="60" w:after="60"/>
              <w:rPr>
                <w:sz w:val="22"/>
                <w:szCs w:val="22"/>
                <w:lang w:val="en-US"/>
              </w:rPr>
            </w:pPr>
            <w:r w:rsidRPr="00264D5D">
              <w:rPr>
                <w:sz w:val="22"/>
                <w:szCs w:val="22"/>
              </w:rPr>
              <w:t>Дата сведений</w:t>
            </w:r>
          </w:p>
        </w:tc>
        <w:tc>
          <w:tcPr>
            <w:tcW w:w="1701" w:type="dxa"/>
          </w:tcPr>
          <w:p w14:paraId="338B8D77" w14:textId="77777777" w:rsidR="00623679" w:rsidRPr="00264D5D" w:rsidRDefault="00623679" w:rsidP="00623679">
            <w:pPr>
              <w:spacing w:before="60" w:after="60"/>
              <w:rPr>
                <w:sz w:val="22"/>
                <w:szCs w:val="22"/>
              </w:rPr>
            </w:pPr>
            <w:r w:rsidRPr="00264D5D">
              <w:rPr>
                <w:sz w:val="22"/>
                <w:szCs w:val="22"/>
              </w:rPr>
              <w:t>Inf_DtDc</w:t>
            </w:r>
          </w:p>
        </w:tc>
        <w:tc>
          <w:tcPr>
            <w:tcW w:w="568" w:type="dxa"/>
          </w:tcPr>
          <w:p w14:paraId="0BBEDF75" w14:textId="77777777" w:rsidR="00623679" w:rsidRPr="00264D5D" w:rsidRDefault="00623679" w:rsidP="00623679">
            <w:pPr>
              <w:spacing w:before="60" w:after="60"/>
              <w:jc w:val="center"/>
              <w:rPr>
                <w:sz w:val="22"/>
                <w:szCs w:val="22"/>
              </w:rPr>
            </w:pPr>
            <w:r w:rsidRPr="00264D5D">
              <w:rPr>
                <w:sz w:val="22"/>
                <w:szCs w:val="22"/>
              </w:rPr>
              <w:t>П</w:t>
            </w:r>
          </w:p>
        </w:tc>
        <w:tc>
          <w:tcPr>
            <w:tcW w:w="1134" w:type="dxa"/>
          </w:tcPr>
          <w:p w14:paraId="348F3B16" w14:textId="77777777" w:rsidR="00623679" w:rsidRPr="00264D5D" w:rsidRDefault="00623679" w:rsidP="00623679">
            <w:pPr>
              <w:spacing w:before="60" w:after="60"/>
              <w:jc w:val="left"/>
              <w:rPr>
                <w:sz w:val="22"/>
                <w:szCs w:val="22"/>
              </w:rPr>
            </w:pPr>
            <w:r w:rsidRPr="00264D5D">
              <w:rPr>
                <w:sz w:val="22"/>
                <w:szCs w:val="22"/>
                <w:lang w:val="en-US"/>
              </w:rPr>
              <w:t>D</w:t>
            </w:r>
            <w:r w:rsidRPr="00264D5D">
              <w:rPr>
                <w:sz w:val="22"/>
                <w:szCs w:val="22"/>
              </w:rPr>
              <w:t>ate</w:t>
            </w:r>
          </w:p>
        </w:tc>
        <w:tc>
          <w:tcPr>
            <w:tcW w:w="568" w:type="dxa"/>
          </w:tcPr>
          <w:p w14:paraId="75DA7B94" w14:textId="77777777" w:rsidR="00623679" w:rsidRPr="00264D5D" w:rsidRDefault="00623679" w:rsidP="00623679">
            <w:pPr>
              <w:spacing w:before="60" w:after="60"/>
              <w:jc w:val="center"/>
              <w:rPr>
                <w:sz w:val="22"/>
                <w:szCs w:val="22"/>
              </w:rPr>
            </w:pPr>
            <w:r w:rsidRPr="00264D5D">
              <w:rPr>
                <w:sz w:val="22"/>
                <w:szCs w:val="22"/>
              </w:rPr>
              <w:t>О</w:t>
            </w:r>
          </w:p>
        </w:tc>
        <w:tc>
          <w:tcPr>
            <w:tcW w:w="3964" w:type="dxa"/>
          </w:tcPr>
          <w:p w14:paraId="59C3CCA2" w14:textId="77777777" w:rsidR="00623679" w:rsidRPr="00264D5D" w:rsidRDefault="00623679" w:rsidP="00623679">
            <w:pPr>
              <w:spacing w:before="60" w:after="60"/>
              <w:rPr>
                <w:sz w:val="22"/>
                <w:szCs w:val="22"/>
              </w:rPr>
            </w:pPr>
            <w:r w:rsidRPr="00264D5D">
              <w:rPr>
                <w:sz w:val="22"/>
                <w:szCs w:val="22"/>
              </w:rPr>
              <w:t>Дата подписания сведений клиентом</w:t>
            </w:r>
          </w:p>
        </w:tc>
      </w:tr>
      <w:tr w:rsidR="00623679" w:rsidRPr="00264D5D" w14:paraId="4A1486CE"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699" w:type="dxa"/>
          </w:tcPr>
          <w:p w14:paraId="37D4D74D" w14:textId="77777777" w:rsidR="00623679" w:rsidRPr="00264D5D" w:rsidRDefault="00623679" w:rsidP="00623679">
            <w:pPr>
              <w:spacing w:before="60" w:after="60"/>
              <w:rPr>
                <w:sz w:val="22"/>
                <w:szCs w:val="22"/>
              </w:rPr>
            </w:pPr>
            <w:r w:rsidRPr="00264D5D">
              <w:rPr>
                <w:sz w:val="22"/>
                <w:szCs w:val="22"/>
              </w:rPr>
              <w:t>Тип сведений</w:t>
            </w:r>
          </w:p>
        </w:tc>
        <w:tc>
          <w:tcPr>
            <w:tcW w:w="1701" w:type="dxa"/>
          </w:tcPr>
          <w:p w14:paraId="7B546A21" w14:textId="77777777" w:rsidR="00623679" w:rsidRPr="00264D5D" w:rsidRDefault="00623679" w:rsidP="00623679">
            <w:pPr>
              <w:spacing w:before="60" w:after="60"/>
              <w:rPr>
                <w:sz w:val="22"/>
                <w:szCs w:val="22"/>
              </w:rPr>
            </w:pPr>
            <w:r w:rsidRPr="00264D5D">
              <w:rPr>
                <w:sz w:val="22"/>
                <w:szCs w:val="22"/>
              </w:rPr>
              <w:t>Inf_TpDc</w:t>
            </w:r>
          </w:p>
        </w:tc>
        <w:tc>
          <w:tcPr>
            <w:tcW w:w="568" w:type="dxa"/>
          </w:tcPr>
          <w:p w14:paraId="707866ED" w14:textId="77777777" w:rsidR="00623679" w:rsidRPr="00264D5D" w:rsidRDefault="00623679" w:rsidP="00623679">
            <w:pPr>
              <w:spacing w:before="60" w:after="60"/>
              <w:jc w:val="center"/>
              <w:rPr>
                <w:sz w:val="22"/>
                <w:szCs w:val="22"/>
              </w:rPr>
            </w:pPr>
            <w:r w:rsidRPr="00264D5D">
              <w:rPr>
                <w:sz w:val="22"/>
                <w:szCs w:val="22"/>
              </w:rPr>
              <w:t>П</w:t>
            </w:r>
          </w:p>
        </w:tc>
        <w:tc>
          <w:tcPr>
            <w:tcW w:w="1134" w:type="dxa"/>
          </w:tcPr>
          <w:p w14:paraId="56118483" w14:textId="77777777" w:rsidR="00623679" w:rsidRPr="00264D5D" w:rsidRDefault="00623679" w:rsidP="00623679">
            <w:pPr>
              <w:spacing w:before="60" w:after="60"/>
              <w:jc w:val="left"/>
              <w:rPr>
                <w:sz w:val="22"/>
                <w:szCs w:val="22"/>
              </w:rPr>
            </w:pPr>
            <w:r w:rsidRPr="00264D5D">
              <w:rPr>
                <w:sz w:val="22"/>
                <w:szCs w:val="22"/>
              </w:rPr>
              <w:t>Т(1)</w:t>
            </w:r>
          </w:p>
        </w:tc>
        <w:tc>
          <w:tcPr>
            <w:tcW w:w="568" w:type="dxa"/>
          </w:tcPr>
          <w:p w14:paraId="79157D83" w14:textId="77777777" w:rsidR="00623679" w:rsidRPr="00264D5D" w:rsidRDefault="00623679" w:rsidP="00623679">
            <w:pPr>
              <w:spacing w:before="60" w:after="60"/>
              <w:jc w:val="center"/>
              <w:rPr>
                <w:sz w:val="22"/>
                <w:szCs w:val="22"/>
              </w:rPr>
            </w:pPr>
            <w:r w:rsidRPr="00264D5D">
              <w:rPr>
                <w:sz w:val="22"/>
                <w:szCs w:val="22"/>
                <w:lang w:val="en-US"/>
              </w:rPr>
              <w:t>O</w:t>
            </w:r>
          </w:p>
        </w:tc>
        <w:tc>
          <w:tcPr>
            <w:tcW w:w="3964" w:type="dxa"/>
          </w:tcPr>
          <w:p w14:paraId="487D0852" w14:textId="77777777" w:rsidR="00623679" w:rsidRPr="00264D5D" w:rsidRDefault="00623679" w:rsidP="00623679">
            <w:pPr>
              <w:spacing w:before="60" w:after="60"/>
              <w:rPr>
                <w:sz w:val="22"/>
                <w:szCs w:val="22"/>
              </w:rPr>
            </w:pPr>
            <w:r w:rsidRPr="00264D5D">
              <w:rPr>
                <w:sz w:val="22"/>
                <w:szCs w:val="22"/>
              </w:rPr>
              <w:t>Указывается тип сведений. Допустимые значения:</w:t>
            </w:r>
          </w:p>
          <w:p w14:paraId="7FB503D5" w14:textId="77777777" w:rsidR="00623679" w:rsidRPr="00264D5D" w:rsidRDefault="00623679" w:rsidP="00623679">
            <w:pPr>
              <w:pStyle w:val="GOSTTableListMark1"/>
              <w:numPr>
                <w:ilvl w:val="0"/>
                <w:numId w:val="65"/>
              </w:numPr>
              <w:tabs>
                <w:tab w:val="clear" w:pos="340"/>
                <w:tab w:val="num" w:pos="227"/>
              </w:tabs>
              <w:spacing w:before="60" w:after="60"/>
              <w:ind w:left="284"/>
              <w:jc w:val="both"/>
              <w:rPr>
                <w:szCs w:val="22"/>
              </w:rPr>
            </w:pPr>
            <w:r w:rsidRPr="00264D5D">
              <w:rPr>
                <w:szCs w:val="22"/>
              </w:rPr>
              <w:t>«0» – первичные;</w:t>
            </w:r>
          </w:p>
          <w:p w14:paraId="5E60FE9C" w14:textId="77777777" w:rsidR="00623679" w:rsidRPr="00264D5D" w:rsidRDefault="00623679" w:rsidP="00623679">
            <w:pPr>
              <w:pStyle w:val="GOSTTableListMark1"/>
              <w:numPr>
                <w:ilvl w:val="0"/>
                <w:numId w:val="65"/>
              </w:numPr>
              <w:tabs>
                <w:tab w:val="clear" w:pos="340"/>
                <w:tab w:val="num" w:pos="227"/>
              </w:tabs>
              <w:spacing w:before="60" w:after="60"/>
              <w:ind w:left="284"/>
              <w:jc w:val="both"/>
              <w:rPr>
                <w:szCs w:val="22"/>
              </w:rPr>
            </w:pPr>
            <w:r w:rsidRPr="00264D5D">
              <w:rPr>
                <w:szCs w:val="22"/>
              </w:rPr>
              <w:t>«1» – изменения</w:t>
            </w:r>
          </w:p>
        </w:tc>
      </w:tr>
      <w:tr w:rsidR="00623679" w:rsidRPr="00264D5D" w14:paraId="5DB0D608"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699" w:type="dxa"/>
          </w:tcPr>
          <w:p w14:paraId="10846867" w14:textId="77777777" w:rsidR="00623679" w:rsidRPr="00264D5D" w:rsidRDefault="00623679" w:rsidP="00623679">
            <w:pPr>
              <w:spacing w:before="60" w:after="60"/>
              <w:rPr>
                <w:sz w:val="22"/>
                <w:szCs w:val="22"/>
              </w:rPr>
            </w:pPr>
            <w:r w:rsidRPr="00264D5D">
              <w:rPr>
                <w:sz w:val="22"/>
                <w:szCs w:val="22"/>
              </w:rPr>
              <w:t>Номер изменения</w:t>
            </w:r>
          </w:p>
        </w:tc>
        <w:tc>
          <w:tcPr>
            <w:tcW w:w="1701" w:type="dxa"/>
          </w:tcPr>
          <w:p w14:paraId="42A5E98C" w14:textId="77777777" w:rsidR="00623679" w:rsidRPr="00264D5D" w:rsidRDefault="00623679" w:rsidP="00623679">
            <w:pPr>
              <w:spacing w:before="60" w:after="60"/>
              <w:rPr>
                <w:sz w:val="22"/>
                <w:szCs w:val="22"/>
              </w:rPr>
            </w:pPr>
            <w:r w:rsidRPr="00264D5D">
              <w:rPr>
                <w:sz w:val="22"/>
                <w:szCs w:val="22"/>
              </w:rPr>
              <w:t>Inf_NmChng</w:t>
            </w:r>
          </w:p>
        </w:tc>
        <w:tc>
          <w:tcPr>
            <w:tcW w:w="568" w:type="dxa"/>
          </w:tcPr>
          <w:p w14:paraId="71FD6730" w14:textId="77777777" w:rsidR="00623679" w:rsidRPr="00264D5D" w:rsidRDefault="00623679" w:rsidP="00623679">
            <w:pPr>
              <w:spacing w:before="60" w:after="60"/>
              <w:jc w:val="center"/>
              <w:rPr>
                <w:sz w:val="22"/>
                <w:szCs w:val="22"/>
              </w:rPr>
            </w:pPr>
            <w:r w:rsidRPr="00264D5D">
              <w:rPr>
                <w:sz w:val="22"/>
                <w:szCs w:val="22"/>
              </w:rPr>
              <w:t>П</w:t>
            </w:r>
          </w:p>
        </w:tc>
        <w:tc>
          <w:tcPr>
            <w:tcW w:w="1134" w:type="dxa"/>
          </w:tcPr>
          <w:p w14:paraId="216C99A5" w14:textId="77777777" w:rsidR="00623679" w:rsidRPr="00264D5D" w:rsidRDefault="00623679" w:rsidP="00623679">
            <w:pPr>
              <w:spacing w:before="60" w:after="60"/>
              <w:jc w:val="left"/>
              <w:rPr>
                <w:sz w:val="22"/>
                <w:szCs w:val="22"/>
              </w:rPr>
            </w:pPr>
            <w:r w:rsidRPr="00264D5D">
              <w:rPr>
                <w:sz w:val="22"/>
                <w:szCs w:val="22"/>
              </w:rPr>
              <w:t>Т(1-</w:t>
            </w:r>
            <w:r w:rsidRPr="00264D5D">
              <w:rPr>
                <w:sz w:val="22"/>
                <w:szCs w:val="22"/>
                <w:lang w:val="en-US"/>
              </w:rPr>
              <w:t>7</w:t>
            </w:r>
            <w:r w:rsidRPr="00264D5D">
              <w:rPr>
                <w:sz w:val="22"/>
                <w:szCs w:val="22"/>
              </w:rPr>
              <w:t>)</w:t>
            </w:r>
          </w:p>
        </w:tc>
        <w:tc>
          <w:tcPr>
            <w:tcW w:w="568" w:type="dxa"/>
          </w:tcPr>
          <w:p w14:paraId="5E4F167F" w14:textId="77777777" w:rsidR="00623679" w:rsidRPr="00264D5D" w:rsidRDefault="00623679" w:rsidP="00623679">
            <w:pPr>
              <w:spacing w:before="60" w:after="60"/>
              <w:jc w:val="center"/>
              <w:rPr>
                <w:sz w:val="22"/>
                <w:szCs w:val="22"/>
                <w:lang w:val="en-US"/>
              </w:rPr>
            </w:pPr>
            <w:r w:rsidRPr="00264D5D">
              <w:rPr>
                <w:sz w:val="22"/>
                <w:szCs w:val="22"/>
              </w:rPr>
              <w:t>Н</w:t>
            </w:r>
          </w:p>
        </w:tc>
        <w:tc>
          <w:tcPr>
            <w:tcW w:w="3964" w:type="dxa"/>
          </w:tcPr>
          <w:p w14:paraId="1B1EF1E3" w14:textId="77777777" w:rsidR="00623679" w:rsidRPr="00264D5D" w:rsidRDefault="00623679" w:rsidP="00623679">
            <w:pPr>
              <w:spacing w:before="60" w:after="60"/>
              <w:rPr>
                <w:sz w:val="22"/>
                <w:szCs w:val="22"/>
              </w:rPr>
            </w:pPr>
            <w:r w:rsidRPr="00264D5D">
              <w:rPr>
                <w:sz w:val="22"/>
                <w:szCs w:val="22"/>
              </w:rPr>
              <w:t xml:space="preserve">Служебное поле. </w:t>
            </w:r>
          </w:p>
          <w:p w14:paraId="0D324C96" w14:textId="77777777" w:rsidR="00623679" w:rsidRPr="00264D5D" w:rsidRDefault="00623679" w:rsidP="00623679">
            <w:pPr>
              <w:spacing w:before="60" w:after="60"/>
              <w:rPr>
                <w:sz w:val="22"/>
                <w:szCs w:val="22"/>
              </w:rPr>
            </w:pPr>
            <w:r w:rsidRPr="00264D5D">
              <w:rPr>
                <w:sz w:val="22"/>
                <w:szCs w:val="22"/>
              </w:rPr>
              <w:t>Заполняется в ТОФК порядковым номером изменения в рамках денежного обязательства</w:t>
            </w:r>
          </w:p>
        </w:tc>
      </w:tr>
      <w:tr w:rsidR="00623679" w:rsidRPr="00264D5D" w14:paraId="4733DCAA"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699" w:type="dxa"/>
          </w:tcPr>
          <w:p w14:paraId="640FCBF1" w14:textId="77777777" w:rsidR="00623679" w:rsidRPr="00264D5D" w:rsidRDefault="00623679" w:rsidP="00623679">
            <w:pPr>
              <w:spacing w:before="60" w:after="60"/>
              <w:rPr>
                <w:sz w:val="22"/>
                <w:szCs w:val="22"/>
              </w:rPr>
            </w:pPr>
            <w:r w:rsidRPr="00264D5D">
              <w:rPr>
                <w:sz w:val="22"/>
                <w:szCs w:val="22"/>
              </w:rPr>
              <w:t>Учетный номер денежного обязательства</w:t>
            </w:r>
          </w:p>
        </w:tc>
        <w:tc>
          <w:tcPr>
            <w:tcW w:w="1701" w:type="dxa"/>
          </w:tcPr>
          <w:p w14:paraId="4D0FD0FD" w14:textId="77777777" w:rsidR="00623679" w:rsidRPr="00264D5D" w:rsidRDefault="00623679" w:rsidP="00623679">
            <w:pPr>
              <w:spacing w:before="60" w:after="60"/>
              <w:rPr>
                <w:sz w:val="22"/>
                <w:szCs w:val="22"/>
              </w:rPr>
            </w:pPr>
            <w:r w:rsidRPr="00264D5D">
              <w:rPr>
                <w:sz w:val="22"/>
                <w:szCs w:val="22"/>
              </w:rPr>
              <w:t>Inf_RgNmDO</w:t>
            </w:r>
          </w:p>
        </w:tc>
        <w:tc>
          <w:tcPr>
            <w:tcW w:w="568" w:type="dxa"/>
          </w:tcPr>
          <w:p w14:paraId="72D15E16" w14:textId="77777777" w:rsidR="00623679" w:rsidRPr="00264D5D" w:rsidRDefault="00623679" w:rsidP="00623679">
            <w:pPr>
              <w:spacing w:before="60" w:after="60"/>
              <w:jc w:val="center"/>
              <w:rPr>
                <w:sz w:val="22"/>
                <w:szCs w:val="22"/>
              </w:rPr>
            </w:pPr>
            <w:r w:rsidRPr="00264D5D">
              <w:rPr>
                <w:sz w:val="22"/>
                <w:szCs w:val="22"/>
              </w:rPr>
              <w:t>П</w:t>
            </w:r>
          </w:p>
        </w:tc>
        <w:tc>
          <w:tcPr>
            <w:tcW w:w="1134" w:type="dxa"/>
          </w:tcPr>
          <w:p w14:paraId="65136C93" w14:textId="77777777" w:rsidR="00623679" w:rsidRPr="00264D5D" w:rsidRDefault="00623679" w:rsidP="00623679">
            <w:pPr>
              <w:spacing w:before="60" w:after="60"/>
              <w:jc w:val="left"/>
              <w:rPr>
                <w:sz w:val="22"/>
                <w:szCs w:val="22"/>
              </w:rPr>
            </w:pPr>
            <w:r w:rsidRPr="00264D5D">
              <w:rPr>
                <w:sz w:val="22"/>
                <w:szCs w:val="22"/>
              </w:rPr>
              <w:t>Т(22) или Т(25)</w:t>
            </w:r>
          </w:p>
        </w:tc>
        <w:tc>
          <w:tcPr>
            <w:tcW w:w="568" w:type="dxa"/>
          </w:tcPr>
          <w:p w14:paraId="35392389" w14:textId="77777777" w:rsidR="00623679" w:rsidRPr="00264D5D" w:rsidRDefault="00623679" w:rsidP="00623679">
            <w:pPr>
              <w:spacing w:before="60" w:after="60"/>
              <w:jc w:val="center"/>
              <w:rPr>
                <w:sz w:val="22"/>
                <w:szCs w:val="22"/>
              </w:rPr>
            </w:pPr>
            <w:r w:rsidRPr="00264D5D">
              <w:rPr>
                <w:sz w:val="22"/>
                <w:szCs w:val="22"/>
              </w:rPr>
              <w:t>Н</w:t>
            </w:r>
          </w:p>
        </w:tc>
        <w:tc>
          <w:tcPr>
            <w:tcW w:w="3964" w:type="dxa"/>
          </w:tcPr>
          <w:p w14:paraId="6C151A54" w14:textId="77777777" w:rsidR="00623679" w:rsidRPr="00264D5D" w:rsidRDefault="00623679" w:rsidP="00623679">
            <w:pPr>
              <w:pStyle w:val="ASFKTablenorm"/>
              <w:contextualSpacing w:val="0"/>
              <w:rPr>
                <w:sz w:val="22"/>
                <w:szCs w:val="22"/>
              </w:rPr>
            </w:pPr>
            <w:r w:rsidRPr="00264D5D">
              <w:rPr>
                <w:sz w:val="22"/>
                <w:szCs w:val="22"/>
              </w:rPr>
              <w:t>Указывается учетный номер денежного обязательства.</w:t>
            </w:r>
          </w:p>
          <w:p w14:paraId="00A00760" w14:textId="77777777" w:rsidR="00623679" w:rsidRPr="00264D5D" w:rsidRDefault="00623679" w:rsidP="00623679">
            <w:pPr>
              <w:spacing w:before="60" w:after="60"/>
              <w:rPr>
                <w:sz w:val="22"/>
                <w:szCs w:val="22"/>
              </w:rPr>
            </w:pPr>
            <w:r w:rsidRPr="00264D5D">
              <w:rPr>
                <w:sz w:val="22"/>
                <w:szCs w:val="22"/>
              </w:rPr>
              <w:t>Для ДО, принятых на учет до 31.07.2019, размерность поля устанавливается как «= 22».</w:t>
            </w:r>
          </w:p>
          <w:p w14:paraId="16478EEC" w14:textId="77777777" w:rsidR="00623679" w:rsidRPr="00264D5D" w:rsidRDefault="00623679" w:rsidP="00623679">
            <w:pPr>
              <w:spacing w:before="60" w:after="60"/>
              <w:rPr>
                <w:sz w:val="22"/>
                <w:szCs w:val="22"/>
              </w:rPr>
            </w:pPr>
            <w:r w:rsidRPr="00264D5D">
              <w:rPr>
                <w:sz w:val="22"/>
                <w:szCs w:val="22"/>
              </w:rPr>
              <w:t>Для ДО, принятых на учет начиная с 01.08.2019, размерность поля устанавливается как «= 25».</w:t>
            </w:r>
          </w:p>
          <w:p w14:paraId="5242AB2F" w14:textId="77777777" w:rsidR="00623679" w:rsidRPr="00264D5D" w:rsidRDefault="00623679" w:rsidP="00623679">
            <w:pPr>
              <w:pStyle w:val="ASFKTablenorm"/>
              <w:contextualSpacing w:val="0"/>
              <w:rPr>
                <w:sz w:val="22"/>
                <w:szCs w:val="22"/>
              </w:rPr>
            </w:pPr>
            <w:r w:rsidRPr="00264D5D">
              <w:rPr>
                <w:sz w:val="22"/>
                <w:szCs w:val="22"/>
              </w:rPr>
              <w:t xml:space="preserve">Поле обязательно для заполнения для документа с типом сведений «1 – изменения» или при направлении документа из </w:t>
            </w:r>
            <w:r w:rsidR="00891D16" w:rsidRPr="00891D16">
              <w:rPr>
                <w:sz w:val="22"/>
                <w:szCs w:val="22"/>
              </w:rPr>
              <w:t>ТОФК (</w:t>
            </w:r>
            <w:r w:rsidR="00891D16">
              <w:rPr>
                <w:sz w:val="22"/>
                <w:szCs w:val="22"/>
              </w:rPr>
              <w:t>ТОФК (ПУР ЭБ)</w:t>
            </w:r>
            <w:r w:rsidR="00891D16" w:rsidRPr="00891D16">
              <w:rPr>
                <w:sz w:val="22"/>
                <w:szCs w:val="22"/>
              </w:rPr>
              <w:t>)</w:t>
            </w:r>
            <w:r w:rsidRPr="00264D5D">
              <w:rPr>
                <w:sz w:val="22"/>
                <w:szCs w:val="22"/>
              </w:rPr>
              <w:t xml:space="preserve"> в </w:t>
            </w:r>
            <w:r w:rsidR="00891D16">
              <w:rPr>
                <w:sz w:val="22"/>
                <w:szCs w:val="22"/>
              </w:rPr>
              <w:t>ТОФК (ППО АСФК)</w:t>
            </w:r>
            <w:r w:rsidRPr="00264D5D">
              <w:rPr>
                <w:sz w:val="22"/>
                <w:szCs w:val="22"/>
              </w:rPr>
              <w:t xml:space="preserve"> и из </w:t>
            </w:r>
            <w:r w:rsidR="00891D16">
              <w:rPr>
                <w:sz w:val="22"/>
                <w:szCs w:val="22"/>
              </w:rPr>
              <w:t>ТОФК (ПУР ЭБ)</w:t>
            </w:r>
            <w:r w:rsidRPr="00264D5D">
              <w:rPr>
                <w:sz w:val="22"/>
                <w:szCs w:val="22"/>
              </w:rPr>
              <w:t xml:space="preserve"> в ПФХД.</w:t>
            </w:r>
          </w:p>
          <w:p w14:paraId="62ADF8EF" w14:textId="77777777" w:rsidR="00623679" w:rsidRPr="00264D5D" w:rsidRDefault="00623679" w:rsidP="00623679">
            <w:pPr>
              <w:spacing w:before="60" w:after="60"/>
              <w:rPr>
                <w:sz w:val="22"/>
                <w:szCs w:val="22"/>
              </w:rPr>
            </w:pPr>
            <w:r w:rsidRPr="00264D5D">
              <w:rPr>
                <w:sz w:val="22"/>
                <w:szCs w:val="22"/>
              </w:rPr>
              <w:t>В иных случаях не заполняется</w:t>
            </w:r>
          </w:p>
        </w:tc>
      </w:tr>
      <w:tr w:rsidR="00623679" w:rsidRPr="00264D5D" w14:paraId="481BBDA2"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699" w:type="dxa"/>
          </w:tcPr>
          <w:p w14:paraId="2BA5388E" w14:textId="77777777" w:rsidR="00623679" w:rsidRPr="00264D5D" w:rsidRDefault="00623679" w:rsidP="00623679">
            <w:pPr>
              <w:spacing w:before="60" w:after="60"/>
              <w:rPr>
                <w:sz w:val="22"/>
                <w:szCs w:val="22"/>
              </w:rPr>
            </w:pPr>
            <w:r w:rsidRPr="00264D5D">
              <w:rPr>
                <w:sz w:val="22"/>
                <w:szCs w:val="22"/>
              </w:rPr>
              <w:lastRenderedPageBreak/>
              <w:t>Учетный номер бюджетного обязательства</w:t>
            </w:r>
          </w:p>
        </w:tc>
        <w:tc>
          <w:tcPr>
            <w:tcW w:w="1701" w:type="dxa"/>
          </w:tcPr>
          <w:p w14:paraId="7C776E68" w14:textId="77777777" w:rsidR="00623679" w:rsidRPr="00264D5D" w:rsidRDefault="00623679" w:rsidP="00623679">
            <w:pPr>
              <w:spacing w:before="60" w:after="60"/>
              <w:rPr>
                <w:sz w:val="22"/>
                <w:szCs w:val="22"/>
              </w:rPr>
            </w:pPr>
            <w:r w:rsidRPr="00264D5D">
              <w:rPr>
                <w:sz w:val="22"/>
                <w:szCs w:val="22"/>
              </w:rPr>
              <w:t>Inf_RgNmBO</w:t>
            </w:r>
          </w:p>
        </w:tc>
        <w:tc>
          <w:tcPr>
            <w:tcW w:w="568" w:type="dxa"/>
          </w:tcPr>
          <w:p w14:paraId="0CD38F49" w14:textId="77777777" w:rsidR="00623679" w:rsidRPr="00264D5D" w:rsidRDefault="00623679" w:rsidP="00623679">
            <w:pPr>
              <w:spacing w:before="60" w:after="60"/>
              <w:jc w:val="center"/>
              <w:rPr>
                <w:sz w:val="22"/>
                <w:szCs w:val="22"/>
              </w:rPr>
            </w:pPr>
            <w:r w:rsidRPr="00264D5D">
              <w:rPr>
                <w:sz w:val="22"/>
                <w:szCs w:val="22"/>
              </w:rPr>
              <w:t>П</w:t>
            </w:r>
          </w:p>
        </w:tc>
        <w:tc>
          <w:tcPr>
            <w:tcW w:w="1134" w:type="dxa"/>
          </w:tcPr>
          <w:p w14:paraId="2B2C8E9B" w14:textId="77777777" w:rsidR="00623679" w:rsidRPr="00264D5D" w:rsidRDefault="00623679" w:rsidP="00623679">
            <w:pPr>
              <w:spacing w:before="60" w:after="60"/>
              <w:jc w:val="left"/>
              <w:rPr>
                <w:sz w:val="22"/>
                <w:szCs w:val="22"/>
              </w:rPr>
            </w:pPr>
            <w:r w:rsidRPr="00264D5D">
              <w:rPr>
                <w:sz w:val="22"/>
                <w:szCs w:val="22"/>
              </w:rPr>
              <w:t>Т(16) или Т(19)</w:t>
            </w:r>
          </w:p>
        </w:tc>
        <w:tc>
          <w:tcPr>
            <w:tcW w:w="568" w:type="dxa"/>
          </w:tcPr>
          <w:p w14:paraId="676794CA" w14:textId="77777777" w:rsidR="00623679" w:rsidRPr="00264D5D" w:rsidRDefault="00623679" w:rsidP="00623679">
            <w:pPr>
              <w:spacing w:before="60" w:after="60"/>
              <w:jc w:val="center"/>
              <w:rPr>
                <w:sz w:val="22"/>
                <w:szCs w:val="22"/>
              </w:rPr>
            </w:pPr>
            <w:r w:rsidRPr="00264D5D">
              <w:rPr>
                <w:sz w:val="22"/>
                <w:szCs w:val="22"/>
              </w:rPr>
              <w:t>О</w:t>
            </w:r>
          </w:p>
        </w:tc>
        <w:tc>
          <w:tcPr>
            <w:tcW w:w="3964" w:type="dxa"/>
          </w:tcPr>
          <w:p w14:paraId="0BC40A57" w14:textId="77777777" w:rsidR="00623679" w:rsidRPr="00264D5D" w:rsidRDefault="00623679" w:rsidP="00623679">
            <w:pPr>
              <w:spacing w:before="60" w:after="60"/>
              <w:rPr>
                <w:sz w:val="22"/>
                <w:szCs w:val="22"/>
              </w:rPr>
            </w:pPr>
            <w:r w:rsidRPr="00264D5D">
              <w:rPr>
                <w:sz w:val="22"/>
                <w:szCs w:val="22"/>
              </w:rPr>
              <w:t>Указывается учетный номер принятого бюджетного обязательства, денежное обязательство по которому ставится на учет (в денежное обязательство по которому вносятся изменения).</w:t>
            </w:r>
          </w:p>
          <w:p w14:paraId="7ACD4FDE" w14:textId="77777777" w:rsidR="00623679" w:rsidRPr="00264D5D" w:rsidRDefault="00623679" w:rsidP="00623679">
            <w:pPr>
              <w:spacing w:before="60" w:after="60"/>
              <w:rPr>
                <w:sz w:val="22"/>
                <w:szCs w:val="22"/>
              </w:rPr>
            </w:pPr>
            <w:r w:rsidRPr="00264D5D">
              <w:rPr>
                <w:sz w:val="22"/>
                <w:szCs w:val="22"/>
              </w:rPr>
              <w:t>Если соответствующее БО, принято на учет до 31.12.2015, размерность поля устанавливается как «=16».</w:t>
            </w:r>
          </w:p>
          <w:p w14:paraId="317DF48E" w14:textId="77777777" w:rsidR="00623679" w:rsidRPr="00264D5D" w:rsidRDefault="00623679" w:rsidP="00623679">
            <w:pPr>
              <w:spacing w:before="60" w:after="60"/>
              <w:rPr>
                <w:sz w:val="22"/>
                <w:szCs w:val="22"/>
              </w:rPr>
            </w:pPr>
            <w:r w:rsidRPr="00264D5D">
              <w:rPr>
                <w:sz w:val="22"/>
                <w:szCs w:val="22"/>
              </w:rPr>
              <w:t>Если соответствующее БО, принято на учет после 01.01.2016, размерность поля устанавливается как «=19»</w:t>
            </w:r>
          </w:p>
        </w:tc>
      </w:tr>
      <w:tr w:rsidR="00623679" w:rsidRPr="00264D5D" w14:paraId="4E593FE7"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699" w:type="dxa"/>
          </w:tcPr>
          <w:p w14:paraId="6B46C5B8" w14:textId="77777777" w:rsidR="00623679" w:rsidRPr="00264D5D" w:rsidRDefault="00623679" w:rsidP="00623679">
            <w:pPr>
              <w:spacing w:before="60" w:after="60"/>
              <w:rPr>
                <w:sz w:val="22"/>
                <w:szCs w:val="22"/>
              </w:rPr>
            </w:pPr>
            <w:r w:rsidRPr="00264D5D">
              <w:rPr>
                <w:sz w:val="22"/>
                <w:szCs w:val="22"/>
              </w:rPr>
              <w:t>Дата принятия на учет/ отражения на лицевом счете</w:t>
            </w:r>
          </w:p>
        </w:tc>
        <w:tc>
          <w:tcPr>
            <w:tcW w:w="1701" w:type="dxa"/>
          </w:tcPr>
          <w:p w14:paraId="151C03D4" w14:textId="77777777" w:rsidR="00623679" w:rsidRPr="00264D5D" w:rsidRDefault="00623679" w:rsidP="00623679">
            <w:pPr>
              <w:spacing w:before="60" w:after="60"/>
              <w:rPr>
                <w:sz w:val="22"/>
                <w:szCs w:val="22"/>
              </w:rPr>
            </w:pPr>
            <w:r w:rsidRPr="00264D5D">
              <w:rPr>
                <w:sz w:val="22"/>
                <w:szCs w:val="22"/>
              </w:rPr>
              <w:t>MrkAthrFK_DtRgs</w:t>
            </w:r>
          </w:p>
        </w:tc>
        <w:tc>
          <w:tcPr>
            <w:tcW w:w="568" w:type="dxa"/>
          </w:tcPr>
          <w:p w14:paraId="6ECBA9B7" w14:textId="77777777" w:rsidR="00623679" w:rsidRPr="00264D5D" w:rsidRDefault="00623679" w:rsidP="00623679">
            <w:pPr>
              <w:spacing w:before="60" w:after="60"/>
              <w:jc w:val="center"/>
              <w:rPr>
                <w:sz w:val="22"/>
                <w:szCs w:val="22"/>
              </w:rPr>
            </w:pPr>
            <w:r w:rsidRPr="00264D5D">
              <w:rPr>
                <w:sz w:val="22"/>
                <w:szCs w:val="22"/>
              </w:rPr>
              <w:t>П</w:t>
            </w:r>
          </w:p>
        </w:tc>
        <w:tc>
          <w:tcPr>
            <w:tcW w:w="1134" w:type="dxa"/>
          </w:tcPr>
          <w:p w14:paraId="163AB92F" w14:textId="77777777" w:rsidR="00623679" w:rsidRPr="00264D5D" w:rsidRDefault="00623679" w:rsidP="00623679">
            <w:pPr>
              <w:spacing w:before="60" w:after="60"/>
              <w:jc w:val="left"/>
              <w:rPr>
                <w:sz w:val="22"/>
                <w:szCs w:val="22"/>
                <w:lang w:val="en-US"/>
              </w:rPr>
            </w:pPr>
            <w:r w:rsidRPr="00264D5D">
              <w:rPr>
                <w:sz w:val="22"/>
                <w:szCs w:val="22"/>
                <w:lang w:val="en-US"/>
              </w:rPr>
              <w:t>Date</w:t>
            </w:r>
          </w:p>
        </w:tc>
        <w:tc>
          <w:tcPr>
            <w:tcW w:w="568" w:type="dxa"/>
          </w:tcPr>
          <w:p w14:paraId="65DF0289" w14:textId="77777777" w:rsidR="00623679" w:rsidRPr="00264D5D" w:rsidRDefault="00623679" w:rsidP="00623679">
            <w:pPr>
              <w:spacing w:before="60" w:after="60"/>
              <w:jc w:val="center"/>
              <w:rPr>
                <w:sz w:val="22"/>
                <w:szCs w:val="22"/>
              </w:rPr>
            </w:pPr>
            <w:r w:rsidRPr="00264D5D">
              <w:rPr>
                <w:sz w:val="22"/>
                <w:szCs w:val="22"/>
              </w:rPr>
              <w:t>Н</w:t>
            </w:r>
          </w:p>
        </w:tc>
        <w:tc>
          <w:tcPr>
            <w:tcW w:w="3964" w:type="dxa"/>
          </w:tcPr>
          <w:p w14:paraId="37712008" w14:textId="77777777" w:rsidR="00623679" w:rsidRPr="00264D5D" w:rsidRDefault="00623679" w:rsidP="00623679">
            <w:pPr>
              <w:spacing w:before="60" w:after="60"/>
              <w:rPr>
                <w:sz w:val="22"/>
                <w:szCs w:val="22"/>
              </w:rPr>
            </w:pPr>
            <w:r w:rsidRPr="00264D5D">
              <w:rPr>
                <w:sz w:val="22"/>
                <w:szCs w:val="22"/>
              </w:rPr>
              <w:t xml:space="preserve">Служебное поле. </w:t>
            </w:r>
          </w:p>
          <w:p w14:paraId="09E699B8" w14:textId="77777777" w:rsidR="00623679" w:rsidRPr="00264D5D" w:rsidRDefault="00623679" w:rsidP="00623679">
            <w:pPr>
              <w:spacing w:before="60" w:after="60"/>
              <w:rPr>
                <w:sz w:val="22"/>
                <w:szCs w:val="22"/>
              </w:rPr>
            </w:pPr>
            <w:r w:rsidRPr="00264D5D">
              <w:rPr>
                <w:sz w:val="22"/>
                <w:szCs w:val="22"/>
              </w:rPr>
              <w:t>Заполняется на основании квитовочной информации от ТОФК.</w:t>
            </w:r>
          </w:p>
          <w:p w14:paraId="6EA3CDE8" w14:textId="77777777" w:rsidR="00623679" w:rsidRPr="00264D5D" w:rsidRDefault="00623679" w:rsidP="00623679">
            <w:pPr>
              <w:spacing w:before="60" w:after="60"/>
              <w:rPr>
                <w:sz w:val="22"/>
                <w:szCs w:val="22"/>
              </w:rPr>
            </w:pPr>
            <w:r w:rsidRPr="00264D5D">
              <w:rPr>
                <w:sz w:val="22"/>
                <w:szCs w:val="22"/>
              </w:rPr>
              <w:t>При передаче от ТОФК в адрес клиента указывается дата принятия на учет ДО.</w:t>
            </w:r>
          </w:p>
          <w:p w14:paraId="1D1F219D" w14:textId="77777777" w:rsidR="00623679" w:rsidRPr="00264D5D" w:rsidRDefault="00623679" w:rsidP="00623679">
            <w:pPr>
              <w:spacing w:before="60" w:after="60"/>
              <w:rPr>
                <w:sz w:val="22"/>
                <w:szCs w:val="22"/>
              </w:rPr>
            </w:pPr>
            <w:r w:rsidRPr="00264D5D">
              <w:rPr>
                <w:sz w:val="22"/>
                <w:szCs w:val="22"/>
              </w:rPr>
              <w:t xml:space="preserve">При передаче из </w:t>
            </w:r>
            <w:r w:rsidR="00891D16">
              <w:rPr>
                <w:sz w:val="22"/>
                <w:szCs w:val="22"/>
              </w:rPr>
              <w:t>ТОФК (ПУР ЭБ)</w:t>
            </w:r>
            <w:r w:rsidRPr="00264D5D">
              <w:rPr>
                <w:sz w:val="22"/>
                <w:szCs w:val="22"/>
              </w:rPr>
              <w:t xml:space="preserve"> в </w:t>
            </w:r>
            <w:r w:rsidR="00891D16">
              <w:rPr>
                <w:sz w:val="22"/>
                <w:szCs w:val="22"/>
              </w:rPr>
              <w:t>ТОФК (ППО АСФК)</w:t>
            </w:r>
            <w:r w:rsidRPr="00264D5D">
              <w:rPr>
                <w:sz w:val="22"/>
                <w:szCs w:val="22"/>
              </w:rPr>
              <w:t xml:space="preserve"> указывается дата отражения ДО в </w:t>
            </w:r>
            <w:r w:rsidR="00891D16">
              <w:rPr>
                <w:sz w:val="22"/>
                <w:szCs w:val="22"/>
              </w:rPr>
              <w:t>ТОФК (ППО АСФК)</w:t>
            </w:r>
            <w:r w:rsidRPr="00264D5D">
              <w:rPr>
                <w:sz w:val="22"/>
                <w:szCs w:val="22"/>
              </w:rPr>
              <w:t xml:space="preserve"> на лицевом счете клиента</w:t>
            </w:r>
          </w:p>
        </w:tc>
      </w:tr>
      <w:tr w:rsidR="00623679" w:rsidRPr="00264D5D" w14:paraId="48AEACE3"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699" w:type="dxa"/>
          </w:tcPr>
          <w:p w14:paraId="50F55FC7" w14:textId="77777777" w:rsidR="00623679" w:rsidRPr="00264D5D" w:rsidRDefault="00623679" w:rsidP="00623679">
            <w:pPr>
              <w:spacing w:before="60" w:after="60"/>
              <w:rPr>
                <w:sz w:val="22"/>
                <w:szCs w:val="22"/>
              </w:rPr>
            </w:pPr>
            <w:r w:rsidRPr="00264D5D">
              <w:rPr>
                <w:sz w:val="22"/>
                <w:szCs w:val="22"/>
              </w:rPr>
              <w:t>Номер версии ЕИС</w:t>
            </w:r>
          </w:p>
        </w:tc>
        <w:tc>
          <w:tcPr>
            <w:tcW w:w="1701" w:type="dxa"/>
          </w:tcPr>
          <w:p w14:paraId="70682D7B" w14:textId="77777777" w:rsidR="00623679" w:rsidRPr="00264D5D" w:rsidRDefault="00623679" w:rsidP="00623679">
            <w:pPr>
              <w:spacing w:before="60" w:after="60"/>
              <w:rPr>
                <w:sz w:val="22"/>
                <w:szCs w:val="22"/>
              </w:rPr>
            </w:pPr>
            <w:r w:rsidRPr="00264D5D">
              <w:rPr>
                <w:sz w:val="22"/>
                <w:szCs w:val="22"/>
              </w:rPr>
              <w:t>StmInfrmtn_NUMVERSPUZ</w:t>
            </w:r>
          </w:p>
        </w:tc>
        <w:tc>
          <w:tcPr>
            <w:tcW w:w="568" w:type="dxa"/>
          </w:tcPr>
          <w:p w14:paraId="67A5BFDE" w14:textId="77777777" w:rsidR="00623679" w:rsidRPr="00264D5D" w:rsidRDefault="00623679" w:rsidP="00623679">
            <w:pPr>
              <w:spacing w:before="60" w:after="60"/>
              <w:jc w:val="center"/>
              <w:rPr>
                <w:sz w:val="22"/>
                <w:szCs w:val="22"/>
              </w:rPr>
            </w:pPr>
            <w:r w:rsidRPr="00264D5D">
              <w:rPr>
                <w:sz w:val="22"/>
                <w:szCs w:val="22"/>
              </w:rPr>
              <w:t>П</w:t>
            </w:r>
          </w:p>
        </w:tc>
        <w:tc>
          <w:tcPr>
            <w:tcW w:w="1134" w:type="dxa"/>
          </w:tcPr>
          <w:p w14:paraId="5CBE8EF9" w14:textId="77777777" w:rsidR="00623679" w:rsidRPr="00264D5D" w:rsidRDefault="00623679" w:rsidP="00623679">
            <w:pPr>
              <w:spacing w:before="60" w:after="60"/>
              <w:jc w:val="left"/>
              <w:rPr>
                <w:sz w:val="22"/>
                <w:szCs w:val="22"/>
                <w:lang w:val="en-US"/>
              </w:rPr>
            </w:pPr>
            <w:r w:rsidRPr="00264D5D">
              <w:rPr>
                <w:sz w:val="22"/>
                <w:szCs w:val="22"/>
              </w:rPr>
              <w:t>N(1-</w:t>
            </w:r>
            <w:r w:rsidRPr="00264D5D">
              <w:rPr>
                <w:sz w:val="22"/>
                <w:szCs w:val="22"/>
                <w:lang w:val="en-US"/>
              </w:rPr>
              <w:t>2</w:t>
            </w:r>
            <w:r w:rsidRPr="00264D5D">
              <w:rPr>
                <w:sz w:val="22"/>
                <w:szCs w:val="22"/>
              </w:rPr>
              <w:t>0)</w:t>
            </w:r>
          </w:p>
        </w:tc>
        <w:tc>
          <w:tcPr>
            <w:tcW w:w="568" w:type="dxa"/>
          </w:tcPr>
          <w:p w14:paraId="157FD2CE" w14:textId="77777777" w:rsidR="00623679" w:rsidRPr="00264D5D" w:rsidRDefault="00623679" w:rsidP="00623679">
            <w:pPr>
              <w:spacing w:before="60" w:after="60"/>
              <w:jc w:val="center"/>
              <w:rPr>
                <w:sz w:val="22"/>
                <w:szCs w:val="22"/>
              </w:rPr>
            </w:pPr>
            <w:r w:rsidRPr="00264D5D">
              <w:rPr>
                <w:sz w:val="22"/>
                <w:szCs w:val="22"/>
              </w:rPr>
              <w:t>Н</w:t>
            </w:r>
          </w:p>
        </w:tc>
        <w:tc>
          <w:tcPr>
            <w:tcW w:w="3964" w:type="dxa"/>
          </w:tcPr>
          <w:p w14:paraId="63C6F556" w14:textId="77777777" w:rsidR="00623679" w:rsidRPr="00264D5D" w:rsidRDefault="00623679" w:rsidP="00623679">
            <w:pPr>
              <w:spacing w:before="60" w:after="60"/>
              <w:rPr>
                <w:sz w:val="22"/>
                <w:szCs w:val="22"/>
              </w:rPr>
            </w:pPr>
            <w:r w:rsidRPr="00264D5D">
              <w:rPr>
                <w:sz w:val="22"/>
                <w:szCs w:val="22"/>
              </w:rPr>
              <w:t xml:space="preserve">Служебное поле. </w:t>
            </w:r>
          </w:p>
          <w:p w14:paraId="62BECF8A" w14:textId="77777777" w:rsidR="00623679" w:rsidRPr="00264D5D" w:rsidRDefault="00623679" w:rsidP="00623679">
            <w:pPr>
              <w:spacing w:before="60" w:after="60"/>
              <w:rPr>
                <w:sz w:val="22"/>
                <w:szCs w:val="22"/>
              </w:rPr>
            </w:pPr>
            <w:r w:rsidRPr="00264D5D">
              <w:rPr>
                <w:sz w:val="22"/>
                <w:szCs w:val="22"/>
              </w:rPr>
              <w:t xml:space="preserve">Обязательно для заполнения при передаче документа из ЕИС в </w:t>
            </w:r>
            <w:r w:rsidR="00891D16">
              <w:rPr>
                <w:sz w:val="22"/>
                <w:szCs w:val="22"/>
              </w:rPr>
              <w:t>ТОФК (ПУР ЭБ)</w:t>
            </w:r>
            <w:r w:rsidRPr="00264D5D">
              <w:rPr>
                <w:sz w:val="22"/>
                <w:szCs w:val="22"/>
              </w:rPr>
              <w:t xml:space="preserve">. </w:t>
            </w:r>
          </w:p>
          <w:p w14:paraId="4D2CBF2B" w14:textId="77777777" w:rsidR="00623679" w:rsidRPr="00264D5D" w:rsidRDefault="00623679" w:rsidP="00623679">
            <w:pPr>
              <w:spacing w:before="60" w:after="60"/>
              <w:rPr>
                <w:sz w:val="22"/>
                <w:szCs w:val="22"/>
              </w:rPr>
            </w:pPr>
            <w:r w:rsidRPr="00264D5D">
              <w:rPr>
                <w:sz w:val="22"/>
                <w:szCs w:val="22"/>
              </w:rPr>
              <w:t>В остальных случаях не заполняется</w:t>
            </w:r>
          </w:p>
        </w:tc>
      </w:tr>
      <w:tr w:rsidR="00F817C6" w:rsidRPr="00264D5D" w14:paraId="531DA0FA"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699" w:type="dxa"/>
          </w:tcPr>
          <w:p w14:paraId="702B5941" w14:textId="77777777" w:rsidR="00F817C6" w:rsidRPr="007D0410" w:rsidRDefault="00F817C6" w:rsidP="00F817C6">
            <w:pPr>
              <w:pStyle w:val="GOSTTablenorm"/>
            </w:pPr>
            <w:r w:rsidRPr="007D0410">
              <w:t>Уровень конфиденциальности</w:t>
            </w:r>
          </w:p>
        </w:tc>
        <w:tc>
          <w:tcPr>
            <w:tcW w:w="1701" w:type="dxa"/>
          </w:tcPr>
          <w:p w14:paraId="4A0BF5D1" w14:textId="77777777" w:rsidR="00F817C6" w:rsidRPr="00502620" w:rsidRDefault="00F817C6" w:rsidP="00F817C6">
            <w:pPr>
              <w:pStyle w:val="GOSTTablenorm"/>
              <w:rPr>
                <w:lang w:val="en-US"/>
              </w:rPr>
            </w:pPr>
            <w:r w:rsidRPr="007D0410">
              <w:t>StmInfrmtn_AccessLevel</w:t>
            </w:r>
          </w:p>
        </w:tc>
        <w:tc>
          <w:tcPr>
            <w:tcW w:w="568" w:type="dxa"/>
          </w:tcPr>
          <w:p w14:paraId="47E23FA6" w14:textId="77777777" w:rsidR="00F817C6" w:rsidRPr="007D0410" w:rsidRDefault="00F817C6" w:rsidP="00F817C6">
            <w:pPr>
              <w:pStyle w:val="GOSTTablenorm"/>
            </w:pPr>
            <w:r w:rsidRPr="007D0410">
              <w:t>П</w:t>
            </w:r>
          </w:p>
        </w:tc>
        <w:tc>
          <w:tcPr>
            <w:tcW w:w="1134" w:type="dxa"/>
          </w:tcPr>
          <w:p w14:paraId="4DB08C49" w14:textId="77777777" w:rsidR="00F817C6" w:rsidRPr="007D0410" w:rsidRDefault="00F817C6" w:rsidP="00F817C6">
            <w:pPr>
              <w:pStyle w:val="GOSTTablenorm"/>
            </w:pPr>
            <w:r w:rsidRPr="007D0410">
              <w:t>Т(1)</w:t>
            </w:r>
          </w:p>
        </w:tc>
        <w:tc>
          <w:tcPr>
            <w:tcW w:w="568" w:type="dxa"/>
          </w:tcPr>
          <w:p w14:paraId="0902A337" w14:textId="77777777" w:rsidR="00F817C6" w:rsidRPr="007D0410" w:rsidRDefault="00F817C6" w:rsidP="00F817C6">
            <w:pPr>
              <w:pStyle w:val="GOSTTablenorm"/>
            </w:pPr>
            <w:r w:rsidRPr="007D0410">
              <w:t>Н</w:t>
            </w:r>
          </w:p>
        </w:tc>
        <w:tc>
          <w:tcPr>
            <w:tcW w:w="3964" w:type="dxa"/>
          </w:tcPr>
          <w:p w14:paraId="453C2E87" w14:textId="77777777" w:rsidR="00F817C6" w:rsidRPr="007D0410" w:rsidRDefault="00F817C6" w:rsidP="00F817C6">
            <w:pPr>
              <w:pStyle w:val="GOSTTablenorm"/>
            </w:pPr>
            <w:r w:rsidRPr="007D0410">
              <w:t>Указывается уровень конфиденциальности.</w:t>
            </w:r>
          </w:p>
          <w:p w14:paraId="30D1B7B4" w14:textId="77777777" w:rsidR="00F817C6" w:rsidRPr="007D0410" w:rsidRDefault="00F817C6" w:rsidP="00F817C6">
            <w:pPr>
              <w:pStyle w:val="GOSTTablenorm"/>
            </w:pPr>
            <w:r w:rsidRPr="007D0410">
              <w:t>Возможные значения:</w:t>
            </w:r>
          </w:p>
          <w:p w14:paraId="788132E1" w14:textId="77777777" w:rsidR="00F817C6" w:rsidRPr="007D0410" w:rsidRDefault="00F817C6" w:rsidP="00F817C6">
            <w:pPr>
              <w:pStyle w:val="GOSTTableListMark1"/>
              <w:numPr>
                <w:ilvl w:val="0"/>
                <w:numId w:val="154"/>
              </w:numPr>
              <w:jc w:val="both"/>
            </w:pPr>
            <w:r w:rsidRPr="007D0410">
              <w:t>«0» – Несекретно;</w:t>
            </w:r>
          </w:p>
          <w:p w14:paraId="0F89CE50" w14:textId="77777777" w:rsidR="00F817C6" w:rsidRDefault="00F817C6" w:rsidP="00F817C6">
            <w:pPr>
              <w:pStyle w:val="GOSTTableListMark1"/>
              <w:numPr>
                <w:ilvl w:val="0"/>
                <w:numId w:val="154"/>
              </w:numPr>
            </w:pPr>
            <w:r w:rsidRPr="007D0410">
              <w:t>«1» – Для служебного пользования</w:t>
            </w:r>
            <w:r>
              <w:t>;</w:t>
            </w:r>
          </w:p>
          <w:p w14:paraId="34BC8E2F" w14:textId="77777777" w:rsidR="00F817C6" w:rsidRPr="003B12B5" w:rsidRDefault="00F817C6" w:rsidP="00F817C6">
            <w:pPr>
              <w:pStyle w:val="GOSTTableListMark1"/>
              <w:numPr>
                <w:ilvl w:val="0"/>
                <w:numId w:val="154"/>
              </w:numPr>
              <w:ind w:left="369"/>
              <w:rPr>
                <w:szCs w:val="22"/>
                <w:highlight w:val="green"/>
              </w:rPr>
            </w:pPr>
            <w:r w:rsidRPr="003B12B5">
              <w:rPr>
                <w:szCs w:val="22"/>
                <w:highlight w:val="green"/>
              </w:rPr>
              <w:t>«2» – Секретно;</w:t>
            </w:r>
          </w:p>
          <w:p w14:paraId="40A7609D" w14:textId="77777777" w:rsidR="00F817C6" w:rsidRPr="00C46A41" w:rsidRDefault="00F817C6" w:rsidP="00F817C6">
            <w:pPr>
              <w:pStyle w:val="GOSTTableListMark1"/>
              <w:numPr>
                <w:ilvl w:val="0"/>
                <w:numId w:val="154"/>
              </w:numPr>
              <w:ind w:left="369"/>
              <w:rPr>
                <w:szCs w:val="22"/>
                <w:highlight w:val="green"/>
              </w:rPr>
            </w:pPr>
            <w:r w:rsidRPr="003B12B5">
              <w:rPr>
                <w:szCs w:val="22"/>
                <w:highlight w:val="green"/>
              </w:rPr>
              <w:t>«3» – Совершенно секретно.</w:t>
            </w:r>
          </w:p>
          <w:p w14:paraId="70324212" w14:textId="77777777" w:rsidR="00F817C6" w:rsidRPr="007D0410" w:rsidRDefault="00F817C6" w:rsidP="00F817C6">
            <w:pPr>
              <w:pStyle w:val="GOSTTablenorm"/>
            </w:pPr>
            <w:r w:rsidRPr="007D0410">
              <w:t>Поле не передается для маршрутов из ТОФК (ПУР ЭБ) в ТОФК (ППО АСФК), из ТОФК (ПУР ЭБ) в ПБС (ПФХД)</w:t>
            </w:r>
          </w:p>
        </w:tc>
      </w:tr>
      <w:tr w:rsidR="00F817C6" w:rsidRPr="00264D5D" w14:paraId="7949FADF"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699" w:type="dxa"/>
          </w:tcPr>
          <w:p w14:paraId="32B57B27" w14:textId="77777777" w:rsidR="00F817C6" w:rsidRPr="007D0410" w:rsidRDefault="00F817C6" w:rsidP="00F817C6">
            <w:pPr>
              <w:pStyle w:val="GOSTTablenorm"/>
            </w:pPr>
            <w:r w:rsidRPr="003B12B5">
              <w:rPr>
                <w:szCs w:val="22"/>
                <w:highlight w:val="green"/>
              </w:rPr>
              <w:t>Пункт перечня</w:t>
            </w:r>
          </w:p>
        </w:tc>
        <w:tc>
          <w:tcPr>
            <w:tcW w:w="1701" w:type="dxa"/>
          </w:tcPr>
          <w:p w14:paraId="774242F5" w14:textId="77777777" w:rsidR="00F817C6" w:rsidRPr="007D0410" w:rsidRDefault="00F817C6" w:rsidP="00F817C6">
            <w:pPr>
              <w:pStyle w:val="GOSTTablenorm"/>
            </w:pPr>
            <w:r w:rsidRPr="003B12B5">
              <w:rPr>
                <w:szCs w:val="22"/>
                <w:highlight w:val="green"/>
              </w:rPr>
              <w:t>C</w:t>
            </w:r>
            <w:r w:rsidRPr="003B12B5">
              <w:rPr>
                <w:szCs w:val="22"/>
                <w:highlight w:val="green"/>
                <w:lang w:val="en-US"/>
              </w:rPr>
              <w:t>ause</w:t>
            </w:r>
          </w:p>
        </w:tc>
        <w:tc>
          <w:tcPr>
            <w:tcW w:w="568" w:type="dxa"/>
          </w:tcPr>
          <w:p w14:paraId="440FAF42" w14:textId="77777777" w:rsidR="00F817C6" w:rsidRPr="007D0410" w:rsidRDefault="00F817C6" w:rsidP="00F817C6">
            <w:pPr>
              <w:pStyle w:val="GOSTTablenorm"/>
            </w:pPr>
            <w:r w:rsidRPr="003B12B5">
              <w:rPr>
                <w:highlight w:val="green"/>
              </w:rPr>
              <w:t>П</w:t>
            </w:r>
          </w:p>
        </w:tc>
        <w:tc>
          <w:tcPr>
            <w:tcW w:w="1134" w:type="dxa"/>
          </w:tcPr>
          <w:p w14:paraId="28C3535D" w14:textId="77777777" w:rsidR="00F817C6" w:rsidRPr="007D0410" w:rsidRDefault="00F817C6" w:rsidP="00F817C6">
            <w:pPr>
              <w:pStyle w:val="GOSTTablenorm"/>
            </w:pPr>
            <w:r w:rsidRPr="003B12B5">
              <w:rPr>
                <w:highlight w:val="green"/>
              </w:rPr>
              <w:t>Т(1-150)</w:t>
            </w:r>
          </w:p>
        </w:tc>
        <w:tc>
          <w:tcPr>
            <w:tcW w:w="568" w:type="dxa"/>
          </w:tcPr>
          <w:p w14:paraId="6861EF33" w14:textId="77777777" w:rsidR="00F817C6" w:rsidRPr="007D0410" w:rsidRDefault="00F817C6" w:rsidP="00F817C6">
            <w:pPr>
              <w:pStyle w:val="GOSTTablenorm"/>
            </w:pPr>
            <w:r w:rsidRPr="003B12B5">
              <w:rPr>
                <w:highlight w:val="green"/>
              </w:rPr>
              <w:t>Н</w:t>
            </w:r>
          </w:p>
        </w:tc>
        <w:tc>
          <w:tcPr>
            <w:tcW w:w="3964" w:type="dxa"/>
          </w:tcPr>
          <w:p w14:paraId="10225E42" w14:textId="77777777" w:rsidR="00F817C6" w:rsidRPr="003B12B5" w:rsidRDefault="00F817C6" w:rsidP="00F817C6">
            <w:pPr>
              <w:pStyle w:val="GOSTTablenorm"/>
              <w:rPr>
                <w:highlight w:val="green"/>
              </w:rPr>
            </w:pPr>
            <w:r w:rsidRPr="003B12B5">
              <w:rPr>
                <w:highlight w:val="green"/>
              </w:rPr>
              <w:t>Указывается пункт перечня, на основании которого документ является конфиденциальным.</w:t>
            </w:r>
          </w:p>
          <w:p w14:paraId="1186BE94" w14:textId="77777777" w:rsidR="00F817C6" w:rsidRPr="007D0410" w:rsidRDefault="00F817C6" w:rsidP="00F817C6">
            <w:pPr>
              <w:pStyle w:val="GOSTTablenorm"/>
            </w:pPr>
            <w:r w:rsidRPr="003B12B5">
              <w:rPr>
                <w:highlight w:val="green"/>
              </w:rPr>
              <w:t xml:space="preserve">Обязателен для заполнения, если в реквизите «Уровень конфиденциальности» указано значение </w:t>
            </w:r>
            <w:r w:rsidRPr="003B12B5">
              <w:rPr>
                <w:highlight w:val="green"/>
              </w:rPr>
              <w:lastRenderedPageBreak/>
              <w:t>«2» или «3»</w:t>
            </w:r>
          </w:p>
        </w:tc>
      </w:tr>
      <w:tr w:rsidR="00623679" w:rsidRPr="00264D5D" w14:paraId="68003D66"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699" w:type="dxa"/>
          </w:tcPr>
          <w:p w14:paraId="262A2550" w14:textId="77777777" w:rsidR="00623679" w:rsidRPr="00264D5D" w:rsidRDefault="00623679" w:rsidP="00623679">
            <w:pPr>
              <w:spacing w:before="60" w:after="60"/>
              <w:rPr>
                <w:sz w:val="22"/>
                <w:szCs w:val="22"/>
              </w:rPr>
            </w:pPr>
            <w:r w:rsidRPr="00264D5D">
              <w:rPr>
                <w:sz w:val="22"/>
                <w:szCs w:val="22"/>
              </w:rPr>
              <w:lastRenderedPageBreak/>
              <w:t>Перерегистрация</w:t>
            </w:r>
          </w:p>
        </w:tc>
        <w:tc>
          <w:tcPr>
            <w:tcW w:w="1701" w:type="dxa"/>
          </w:tcPr>
          <w:p w14:paraId="39E641E8" w14:textId="77777777" w:rsidR="00623679" w:rsidRPr="00264D5D" w:rsidRDefault="00623679" w:rsidP="00623679">
            <w:pPr>
              <w:spacing w:before="60" w:after="60"/>
              <w:rPr>
                <w:sz w:val="22"/>
                <w:szCs w:val="22"/>
              </w:rPr>
            </w:pPr>
            <w:r w:rsidRPr="00264D5D">
              <w:rPr>
                <w:sz w:val="22"/>
                <w:szCs w:val="22"/>
              </w:rPr>
              <w:t>Inf_Rereg</w:t>
            </w:r>
          </w:p>
        </w:tc>
        <w:tc>
          <w:tcPr>
            <w:tcW w:w="568" w:type="dxa"/>
          </w:tcPr>
          <w:p w14:paraId="517B44EF" w14:textId="77777777" w:rsidR="00623679" w:rsidRPr="00264D5D" w:rsidRDefault="00623679" w:rsidP="00623679">
            <w:pPr>
              <w:spacing w:before="60" w:after="60"/>
              <w:jc w:val="center"/>
              <w:rPr>
                <w:sz w:val="22"/>
                <w:szCs w:val="22"/>
              </w:rPr>
            </w:pPr>
            <w:r w:rsidRPr="00264D5D">
              <w:rPr>
                <w:sz w:val="22"/>
                <w:szCs w:val="22"/>
              </w:rPr>
              <w:t>П</w:t>
            </w:r>
          </w:p>
        </w:tc>
        <w:tc>
          <w:tcPr>
            <w:tcW w:w="1134" w:type="dxa"/>
          </w:tcPr>
          <w:p w14:paraId="011074FF" w14:textId="77777777" w:rsidR="00623679" w:rsidRPr="00264D5D" w:rsidRDefault="00623679" w:rsidP="00623679">
            <w:pPr>
              <w:spacing w:before="60" w:after="60"/>
              <w:jc w:val="left"/>
              <w:rPr>
                <w:sz w:val="22"/>
                <w:szCs w:val="22"/>
              </w:rPr>
            </w:pPr>
            <w:r w:rsidRPr="00264D5D">
              <w:rPr>
                <w:sz w:val="22"/>
                <w:szCs w:val="22"/>
              </w:rPr>
              <w:t>T(1)</w:t>
            </w:r>
          </w:p>
        </w:tc>
        <w:tc>
          <w:tcPr>
            <w:tcW w:w="568" w:type="dxa"/>
          </w:tcPr>
          <w:p w14:paraId="6F650AE3" w14:textId="77777777" w:rsidR="00623679" w:rsidRPr="00264D5D" w:rsidRDefault="00623679" w:rsidP="00623679">
            <w:pPr>
              <w:spacing w:before="60" w:after="60"/>
              <w:jc w:val="center"/>
              <w:rPr>
                <w:sz w:val="22"/>
                <w:szCs w:val="22"/>
              </w:rPr>
            </w:pPr>
            <w:r w:rsidRPr="00264D5D">
              <w:rPr>
                <w:sz w:val="22"/>
                <w:szCs w:val="22"/>
              </w:rPr>
              <w:t>Н</w:t>
            </w:r>
          </w:p>
        </w:tc>
        <w:tc>
          <w:tcPr>
            <w:tcW w:w="3964" w:type="dxa"/>
          </w:tcPr>
          <w:p w14:paraId="125FA5C6" w14:textId="77777777" w:rsidR="00623679" w:rsidRPr="00264D5D" w:rsidRDefault="00623679" w:rsidP="00623679">
            <w:pPr>
              <w:spacing w:before="60" w:after="60"/>
              <w:rPr>
                <w:sz w:val="22"/>
                <w:szCs w:val="22"/>
              </w:rPr>
            </w:pPr>
            <w:r w:rsidRPr="00264D5D">
              <w:rPr>
                <w:sz w:val="22"/>
                <w:szCs w:val="22"/>
              </w:rPr>
              <w:t xml:space="preserve">Служебное поле. Заполняется только ТОФК значением «1» в документе, сформированном в результате процедуры «Автоматическая перерегистрация БО и ДО», при передаче указанного документа между </w:t>
            </w:r>
            <w:r w:rsidR="00891D16">
              <w:rPr>
                <w:sz w:val="22"/>
                <w:szCs w:val="22"/>
              </w:rPr>
              <w:t>ТОФК (ППО АСФК)</w:t>
            </w:r>
            <w:r w:rsidRPr="00264D5D">
              <w:rPr>
                <w:sz w:val="22"/>
                <w:szCs w:val="22"/>
              </w:rPr>
              <w:t xml:space="preserve"> и </w:t>
            </w:r>
            <w:r w:rsidR="00891D16">
              <w:rPr>
                <w:sz w:val="22"/>
                <w:szCs w:val="22"/>
              </w:rPr>
              <w:t>ТОФК (ПУР ЭБ)</w:t>
            </w:r>
            <w:r w:rsidRPr="00264D5D">
              <w:rPr>
                <w:sz w:val="22"/>
                <w:szCs w:val="22"/>
              </w:rPr>
              <w:t xml:space="preserve">, </w:t>
            </w:r>
            <w:r w:rsidR="00891D16">
              <w:rPr>
                <w:sz w:val="22"/>
                <w:szCs w:val="22"/>
              </w:rPr>
              <w:t>ТОФК (ПУР ЭБ)</w:t>
            </w:r>
            <w:r w:rsidRPr="00264D5D">
              <w:rPr>
                <w:sz w:val="22"/>
                <w:szCs w:val="22"/>
              </w:rPr>
              <w:t xml:space="preserve"> и ПФХД.</w:t>
            </w:r>
          </w:p>
          <w:p w14:paraId="7A674CF5" w14:textId="77777777" w:rsidR="00623679" w:rsidRPr="00264D5D" w:rsidRDefault="00623679" w:rsidP="00623679">
            <w:pPr>
              <w:spacing w:before="60" w:after="60"/>
              <w:rPr>
                <w:sz w:val="22"/>
                <w:szCs w:val="22"/>
              </w:rPr>
            </w:pPr>
            <w:r w:rsidRPr="00264D5D">
              <w:rPr>
                <w:sz w:val="22"/>
                <w:szCs w:val="22"/>
              </w:rPr>
              <w:t>В остальных случаях не заполняется</w:t>
            </w:r>
          </w:p>
        </w:tc>
      </w:tr>
      <w:tr w:rsidR="00623679" w:rsidRPr="00264D5D" w14:paraId="4E996D93"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699" w:type="dxa"/>
          </w:tcPr>
          <w:p w14:paraId="6C406F8F" w14:textId="77777777" w:rsidR="00623679" w:rsidRPr="00264D5D" w:rsidRDefault="00623679" w:rsidP="00623679">
            <w:pPr>
              <w:spacing w:before="60" w:after="60"/>
              <w:rPr>
                <w:sz w:val="22"/>
                <w:szCs w:val="22"/>
              </w:rPr>
            </w:pPr>
            <w:r w:rsidRPr="00264D5D">
              <w:rPr>
                <w:sz w:val="22"/>
                <w:szCs w:val="22"/>
              </w:rPr>
              <w:t>Признак автоматически сформированного документа</w:t>
            </w:r>
          </w:p>
        </w:tc>
        <w:tc>
          <w:tcPr>
            <w:tcW w:w="1701" w:type="dxa"/>
          </w:tcPr>
          <w:p w14:paraId="7F04A44D" w14:textId="77777777" w:rsidR="00623679" w:rsidRPr="00264D5D" w:rsidRDefault="00623679" w:rsidP="00623679">
            <w:pPr>
              <w:spacing w:before="60" w:after="60"/>
              <w:rPr>
                <w:sz w:val="22"/>
                <w:szCs w:val="22"/>
              </w:rPr>
            </w:pPr>
            <w:r w:rsidRPr="00264D5D">
              <w:rPr>
                <w:sz w:val="22"/>
                <w:szCs w:val="22"/>
              </w:rPr>
              <w:t>Inf_AutoSDO</w:t>
            </w:r>
          </w:p>
        </w:tc>
        <w:tc>
          <w:tcPr>
            <w:tcW w:w="568" w:type="dxa"/>
          </w:tcPr>
          <w:p w14:paraId="702018C7" w14:textId="77777777" w:rsidR="00623679" w:rsidRPr="00264D5D" w:rsidRDefault="00623679" w:rsidP="00623679">
            <w:pPr>
              <w:spacing w:before="60" w:after="60"/>
              <w:jc w:val="center"/>
              <w:rPr>
                <w:sz w:val="22"/>
                <w:szCs w:val="22"/>
              </w:rPr>
            </w:pPr>
            <w:r w:rsidRPr="00264D5D">
              <w:rPr>
                <w:sz w:val="22"/>
                <w:szCs w:val="22"/>
              </w:rPr>
              <w:t>П</w:t>
            </w:r>
          </w:p>
        </w:tc>
        <w:tc>
          <w:tcPr>
            <w:tcW w:w="1134" w:type="dxa"/>
          </w:tcPr>
          <w:p w14:paraId="1A637F69" w14:textId="77777777" w:rsidR="00623679" w:rsidRPr="00264D5D" w:rsidRDefault="00623679" w:rsidP="00623679">
            <w:pPr>
              <w:spacing w:before="60" w:after="60"/>
              <w:jc w:val="left"/>
              <w:rPr>
                <w:sz w:val="22"/>
                <w:szCs w:val="22"/>
              </w:rPr>
            </w:pPr>
            <w:r w:rsidRPr="00264D5D">
              <w:rPr>
                <w:sz w:val="22"/>
                <w:szCs w:val="22"/>
              </w:rPr>
              <w:t>T(1)</w:t>
            </w:r>
          </w:p>
        </w:tc>
        <w:tc>
          <w:tcPr>
            <w:tcW w:w="568" w:type="dxa"/>
          </w:tcPr>
          <w:p w14:paraId="761B8F05" w14:textId="77777777" w:rsidR="00623679" w:rsidRPr="00264D5D" w:rsidRDefault="00623679" w:rsidP="00623679">
            <w:pPr>
              <w:spacing w:before="60" w:after="60"/>
              <w:jc w:val="center"/>
              <w:rPr>
                <w:sz w:val="22"/>
                <w:szCs w:val="22"/>
              </w:rPr>
            </w:pPr>
            <w:r w:rsidRPr="00264D5D">
              <w:rPr>
                <w:sz w:val="22"/>
                <w:szCs w:val="22"/>
              </w:rPr>
              <w:t>Н</w:t>
            </w:r>
          </w:p>
        </w:tc>
        <w:tc>
          <w:tcPr>
            <w:tcW w:w="3964" w:type="dxa"/>
          </w:tcPr>
          <w:p w14:paraId="1A4AB5A5" w14:textId="77777777" w:rsidR="00623679" w:rsidRPr="00264D5D" w:rsidRDefault="00623679" w:rsidP="00623679">
            <w:pPr>
              <w:spacing w:before="60" w:after="60"/>
              <w:rPr>
                <w:sz w:val="22"/>
                <w:szCs w:val="22"/>
              </w:rPr>
            </w:pPr>
            <w:r w:rsidRPr="00264D5D">
              <w:rPr>
                <w:sz w:val="22"/>
                <w:szCs w:val="22"/>
              </w:rPr>
              <w:t xml:space="preserve">Служебное поле. </w:t>
            </w:r>
          </w:p>
          <w:p w14:paraId="3F27341D" w14:textId="77777777" w:rsidR="00623679" w:rsidRPr="00264D5D" w:rsidRDefault="00623679" w:rsidP="00623679">
            <w:pPr>
              <w:spacing w:before="60" w:after="60"/>
              <w:rPr>
                <w:sz w:val="22"/>
                <w:szCs w:val="22"/>
              </w:rPr>
            </w:pPr>
            <w:r w:rsidRPr="00264D5D">
              <w:rPr>
                <w:sz w:val="22"/>
                <w:szCs w:val="22"/>
              </w:rPr>
              <w:t xml:space="preserve">Заполняется только при передаче из </w:t>
            </w:r>
            <w:r w:rsidR="00891D16">
              <w:rPr>
                <w:sz w:val="22"/>
                <w:szCs w:val="22"/>
              </w:rPr>
              <w:t>ТОФК (ПУР ЭБ)</w:t>
            </w:r>
            <w:r w:rsidRPr="00264D5D">
              <w:rPr>
                <w:sz w:val="22"/>
                <w:szCs w:val="22"/>
              </w:rPr>
              <w:t xml:space="preserve"> в </w:t>
            </w:r>
            <w:r w:rsidR="00891D16">
              <w:rPr>
                <w:sz w:val="22"/>
                <w:szCs w:val="22"/>
              </w:rPr>
              <w:t>ТОФК (ППО АСФК)</w:t>
            </w:r>
            <w:r w:rsidRPr="00264D5D">
              <w:rPr>
                <w:sz w:val="22"/>
                <w:szCs w:val="22"/>
              </w:rPr>
              <w:t>. Указывается значение «1» при формировании из документа «Универсальный передаточный документ».</w:t>
            </w:r>
          </w:p>
          <w:p w14:paraId="5E0706B6" w14:textId="77777777" w:rsidR="00623679" w:rsidRPr="00264D5D" w:rsidRDefault="00623679" w:rsidP="00623679">
            <w:pPr>
              <w:spacing w:before="60" w:after="60"/>
              <w:rPr>
                <w:sz w:val="22"/>
                <w:szCs w:val="22"/>
              </w:rPr>
            </w:pPr>
            <w:r w:rsidRPr="00264D5D">
              <w:rPr>
                <w:sz w:val="22"/>
                <w:szCs w:val="22"/>
              </w:rPr>
              <w:t>В остальных случаях не заполняется</w:t>
            </w:r>
          </w:p>
        </w:tc>
      </w:tr>
      <w:tr w:rsidR="00623679" w:rsidRPr="00264D5D" w14:paraId="73926C76"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699" w:type="dxa"/>
          </w:tcPr>
          <w:p w14:paraId="6F0D8B19" w14:textId="77777777" w:rsidR="00623679" w:rsidRPr="00264D5D" w:rsidRDefault="00623679" w:rsidP="00623679">
            <w:pPr>
              <w:spacing w:before="60" w:after="60"/>
              <w:rPr>
                <w:sz w:val="22"/>
                <w:szCs w:val="22"/>
              </w:rPr>
            </w:pPr>
            <w:r w:rsidRPr="00264D5D">
              <w:rPr>
                <w:sz w:val="22"/>
                <w:szCs w:val="22"/>
              </w:rPr>
              <w:t>Признак ГК по энергосбережению</w:t>
            </w:r>
          </w:p>
        </w:tc>
        <w:tc>
          <w:tcPr>
            <w:tcW w:w="1701" w:type="dxa"/>
          </w:tcPr>
          <w:p w14:paraId="759E3118" w14:textId="77777777" w:rsidR="00623679" w:rsidRPr="00264D5D" w:rsidRDefault="00623679" w:rsidP="00623679">
            <w:pPr>
              <w:spacing w:before="60" w:after="60"/>
              <w:rPr>
                <w:sz w:val="22"/>
                <w:szCs w:val="22"/>
              </w:rPr>
            </w:pPr>
            <w:r w:rsidRPr="00264D5D">
              <w:rPr>
                <w:sz w:val="22"/>
                <w:szCs w:val="22"/>
              </w:rPr>
              <w:t>Inf_GKenergySign</w:t>
            </w:r>
          </w:p>
        </w:tc>
        <w:tc>
          <w:tcPr>
            <w:tcW w:w="568" w:type="dxa"/>
          </w:tcPr>
          <w:p w14:paraId="50CE5F07" w14:textId="77777777" w:rsidR="00623679" w:rsidRPr="00264D5D" w:rsidRDefault="00623679" w:rsidP="00623679">
            <w:pPr>
              <w:spacing w:before="60" w:after="60"/>
              <w:jc w:val="center"/>
              <w:rPr>
                <w:sz w:val="22"/>
                <w:szCs w:val="22"/>
              </w:rPr>
            </w:pPr>
            <w:r w:rsidRPr="00264D5D">
              <w:rPr>
                <w:sz w:val="22"/>
                <w:szCs w:val="22"/>
              </w:rPr>
              <w:t>П</w:t>
            </w:r>
          </w:p>
        </w:tc>
        <w:tc>
          <w:tcPr>
            <w:tcW w:w="1134" w:type="dxa"/>
          </w:tcPr>
          <w:p w14:paraId="18206C62" w14:textId="77777777" w:rsidR="00623679" w:rsidRPr="00264D5D" w:rsidRDefault="00623679" w:rsidP="00623679">
            <w:pPr>
              <w:spacing w:before="60" w:after="60"/>
              <w:jc w:val="left"/>
              <w:rPr>
                <w:sz w:val="22"/>
                <w:szCs w:val="22"/>
              </w:rPr>
            </w:pPr>
            <w:r w:rsidRPr="00264D5D">
              <w:rPr>
                <w:sz w:val="22"/>
                <w:szCs w:val="22"/>
              </w:rPr>
              <w:t>BOOLEAN</w:t>
            </w:r>
          </w:p>
        </w:tc>
        <w:tc>
          <w:tcPr>
            <w:tcW w:w="568" w:type="dxa"/>
          </w:tcPr>
          <w:p w14:paraId="2EEAA11A" w14:textId="77777777" w:rsidR="00623679" w:rsidRPr="00264D5D" w:rsidRDefault="00623679" w:rsidP="00623679">
            <w:pPr>
              <w:spacing w:before="60" w:after="60"/>
              <w:jc w:val="center"/>
              <w:rPr>
                <w:sz w:val="22"/>
                <w:szCs w:val="22"/>
              </w:rPr>
            </w:pPr>
            <w:r w:rsidRPr="00264D5D">
              <w:rPr>
                <w:sz w:val="22"/>
                <w:szCs w:val="22"/>
              </w:rPr>
              <w:t>Н</w:t>
            </w:r>
          </w:p>
        </w:tc>
        <w:tc>
          <w:tcPr>
            <w:tcW w:w="3964" w:type="dxa"/>
          </w:tcPr>
          <w:p w14:paraId="7A333071" w14:textId="77777777" w:rsidR="00623679" w:rsidRPr="00264D5D" w:rsidRDefault="00623679" w:rsidP="00623679">
            <w:pPr>
              <w:spacing w:before="60" w:after="60"/>
              <w:rPr>
                <w:sz w:val="22"/>
                <w:szCs w:val="22"/>
              </w:rPr>
            </w:pPr>
            <w:r w:rsidRPr="00264D5D">
              <w:rPr>
                <w:sz w:val="22"/>
                <w:szCs w:val="22"/>
              </w:rPr>
              <w:t>Заполняется при предоставлении авансового денежного обязательства по контракту по энергосбережению. Указывается значение «1».</w:t>
            </w:r>
          </w:p>
          <w:p w14:paraId="18D662A1" w14:textId="77777777" w:rsidR="00623679" w:rsidRPr="00264D5D" w:rsidRDefault="00623679" w:rsidP="00623679">
            <w:pPr>
              <w:spacing w:before="60" w:after="60"/>
              <w:rPr>
                <w:sz w:val="22"/>
                <w:szCs w:val="22"/>
              </w:rPr>
            </w:pPr>
            <w:r w:rsidRPr="00264D5D">
              <w:rPr>
                <w:sz w:val="22"/>
                <w:szCs w:val="22"/>
              </w:rPr>
              <w:t>Для других денежных обязательств не заполняется</w:t>
            </w:r>
          </w:p>
        </w:tc>
      </w:tr>
      <w:tr w:rsidR="00623679" w:rsidRPr="00264D5D" w14:paraId="6FC4F924"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9634" w:type="dxa"/>
            <w:gridSpan w:val="6"/>
          </w:tcPr>
          <w:p w14:paraId="5357F0FD" w14:textId="77777777" w:rsidR="00623679" w:rsidRPr="00264D5D" w:rsidRDefault="00623679" w:rsidP="00623679">
            <w:pPr>
              <w:spacing w:before="60" w:after="60"/>
              <w:rPr>
                <w:sz w:val="22"/>
                <w:szCs w:val="22"/>
              </w:rPr>
            </w:pPr>
            <w:r w:rsidRPr="00264D5D">
              <w:rPr>
                <w:b/>
                <w:sz w:val="22"/>
                <w:szCs w:val="22"/>
              </w:rPr>
              <w:t>Получатель бюджетных средств</w:t>
            </w:r>
          </w:p>
        </w:tc>
      </w:tr>
      <w:tr w:rsidR="00623679" w:rsidRPr="00264D5D" w14:paraId="7D0274E8"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699" w:type="dxa"/>
          </w:tcPr>
          <w:p w14:paraId="7296D51C" w14:textId="77777777" w:rsidR="00623679" w:rsidRPr="00264D5D" w:rsidRDefault="00623679" w:rsidP="00623679">
            <w:pPr>
              <w:spacing w:before="60" w:after="60"/>
              <w:rPr>
                <w:sz w:val="22"/>
                <w:szCs w:val="22"/>
              </w:rPr>
            </w:pPr>
            <w:r w:rsidRPr="00264D5D">
              <w:rPr>
                <w:sz w:val="22"/>
                <w:szCs w:val="22"/>
              </w:rPr>
              <w:t>Наименование бюджета</w:t>
            </w:r>
          </w:p>
        </w:tc>
        <w:tc>
          <w:tcPr>
            <w:tcW w:w="1701" w:type="dxa"/>
          </w:tcPr>
          <w:p w14:paraId="1F7A76E7" w14:textId="77777777" w:rsidR="00623679" w:rsidRPr="00264D5D" w:rsidRDefault="00623679" w:rsidP="00623679">
            <w:pPr>
              <w:spacing w:before="60" w:after="60"/>
              <w:rPr>
                <w:sz w:val="22"/>
                <w:szCs w:val="22"/>
              </w:rPr>
            </w:pPr>
            <w:r w:rsidRPr="00264D5D">
              <w:rPr>
                <w:sz w:val="22"/>
                <w:szCs w:val="22"/>
              </w:rPr>
              <w:t>RcpBdjt_NmBdgt</w:t>
            </w:r>
          </w:p>
        </w:tc>
        <w:tc>
          <w:tcPr>
            <w:tcW w:w="568" w:type="dxa"/>
          </w:tcPr>
          <w:p w14:paraId="38304CC4" w14:textId="77777777" w:rsidR="00623679" w:rsidRPr="00264D5D" w:rsidRDefault="00623679" w:rsidP="00623679">
            <w:pPr>
              <w:spacing w:before="60" w:after="60"/>
              <w:jc w:val="center"/>
              <w:rPr>
                <w:sz w:val="22"/>
                <w:szCs w:val="22"/>
              </w:rPr>
            </w:pPr>
            <w:r w:rsidRPr="00264D5D">
              <w:rPr>
                <w:sz w:val="22"/>
                <w:szCs w:val="22"/>
              </w:rPr>
              <w:t>П</w:t>
            </w:r>
          </w:p>
        </w:tc>
        <w:tc>
          <w:tcPr>
            <w:tcW w:w="1134" w:type="dxa"/>
          </w:tcPr>
          <w:p w14:paraId="2FFDD4AB" w14:textId="77777777" w:rsidR="00623679" w:rsidRPr="00264D5D" w:rsidRDefault="00623679" w:rsidP="00623679">
            <w:pPr>
              <w:spacing w:before="60" w:after="60"/>
              <w:jc w:val="left"/>
              <w:rPr>
                <w:sz w:val="22"/>
                <w:szCs w:val="22"/>
              </w:rPr>
            </w:pPr>
            <w:r w:rsidRPr="00264D5D">
              <w:rPr>
                <w:sz w:val="22"/>
                <w:szCs w:val="22"/>
              </w:rPr>
              <w:t>Т(1-512)</w:t>
            </w:r>
          </w:p>
        </w:tc>
        <w:tc>
          <w:tcPr>
            <w:tcW w:w="568" w:type="dxa"/>
          </w:tcPr>
          <w:p w14:paraId="37D47951" w14:textId="77777777" w:rsidR="00623679" w:rsidRPr="00264D5D" w:rsidRDefault="00623679" w:rsidP="00623679">
            <w:pPr>
              <w:spacing w:before="60" w:after="60"/>
              <w:jc w:val="center"/>
              <w:rPr>
                <w:sz w:val="22"/>
                <w:szCs w:val="22"/>
              </w:rPr>
            </w:pPr>
            <w:r w:rsidRPr="00264D5D">
              <w:rPr>
                <w:sz w:val="22"/>
                <w:szCs w:val="22"/>
              </w:rPr>
              <w:t>О</w:t>
            </w:r>
          </w:p>
        </w:tc>
        <w:tc>
          <w:tcPr>
            <w:tcW w:w="3964" w:type="dxa"/>
          </w:tcPr>
          <w:p w14:paraId="6D3EE00E" w14:textId="77777777" w:rsidR="00623679" w:rsidRPr="00264D5D" w:rsidRDefault="00623679" w:rsidP="00623679">
            <w:pPr>
              <w:spacing w:before="60" w:after="60"/>
              <w:rPr>
                <w:sz w:val="22"/>
                <w:szCs w:val="22"/>
              </w:rPr>
            </w:pPr>
            <w:r w:rsidRPr="00264D5D">
              <w:rPr>
                <w:sz w:val="22"/>
                <w:szCs w:val="22"/>
              </w:rPr>
              <w:t xml:space="preserve">Указывается наименование бюджета. </w:t>
            </w:r>
          </w:p>
          <w:p w14:paraId="20266BCE" w14:textId="77777777" w:rsidR="00623679" w:rsidRPr="00264D5D" w:rsidRDefault="00623679" w:rsidP="00623679">
            <w:pPr>
              <w:spacing w:before="60" w:after="60"/>
              <w:rPr>
                <w:sz w:val="22"/>
                <w:szCs w:val="22"/>
              </w:rPr>
            </w:pPr>
            <w:r w:rsidRPr="00264D5D">
              <w:rPr>
                <w:sz w:val="22"/>
                <w:szCs w:val="22"/>
              </w:rPr>
              <w:t>Для УБП федерального уровня указывается наименование бюджета «Федеральный бюджет», для УБП субъекта РФ (МО) указывается полное наименование соответствующего бюджета</w:t>
            </w:r>
          </w:p>
        </w:tc>
      </w:tr>
      <w:tr w:rsidR="00623679" w:rsidRPr="00264D5D" w14:paraId="3BE06E8B"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699" w:type="dxa"/>
          </w:tcPr>
          <w:p w14:paraId="624BD586" w14:textId="77777777" w:rsidR="00623679" w:rsidRPr="00264D5D" w:rsidRDefault="00623679" w:rsidP="00623679">
            <w:pPr>
              <w:spacing w:before="60" w:after="60"/>
              <w:rPr>
                <w:sz w:val="22"/>
                <w:szCs w:val="22"/>
              </w:rPr>
            </w:pPr>
            <w:r w:rsidRPr="00264D5D">
              <w:rPr>
                <w:sz w:val="22"/>
                <w:szCs w:val="22"/>
              </w:rPr>
              <w:t>Код по ОКТМО</w:t>
            </w:r>
          </w:p>
        </w:tc>
        <w:tc>
          <w:tcPr>
            <w:tcW w:w="1701" w:type="dxa"/>
          </w:tcPr>
          <w:p w14:paraId="124B6F97" w14:textId="77777777" w:rsidR="00623679" w:rsidRPr="00264D5D" w:rsidRDefault="00623679" w:rsidP="00623679">
            <w:pPr>
              <w:spacing w:before="60" w:after="60"/>
              <w:rPr>
                <w:sz w:val="22"/>
                <w:szCs w:val="22"/>
              </w:rPr>
            </w:pPr>
            <w:r w:rsidRPr="00264D5D">
              <w:rPr>
                <w:sz w:val="22"/>
                <w:szCs w:val="22"/>
              </w:rPr>
              <w:t>RcpBdjt_CdOKTMO</w:t>
            </w:r>
          </w:p>
        </w:tc>
        <w:tc>
          <w:tcPr>
            <w:tcW w:w="568" w:type="dxa"/>
          </w:tcPr>
          <w:p w14:paraId="7304BBA2" w14:textId="77777777" w:rsidR="00623679" w:rsidRPr="00264D5D" w:rsidRDefault="00623679" w:rsidP="00623679">
            <w:pPr>
              <w:spacing w:before="60" w:after="60"/>
              <w:jc w:val="center"/>
              <w:rPr>
                <w:sz w:val="22"/>
                <w:szCs w:val="22"/>
              </w:rPr>
            </w:pPr>
            <w:r w:rsidRPr="00264D5D">
              <w:rPr>
                <w:sz w:val="22"/>
                <w:szCs w:val="22"/>
              </w:rPr>
              <w:t>П</w:t>
            </w:r>
          </w:p>
        </w:tc>
        <w:tc>
          <w:tcPr>
            <w:tcW w:w="1134" w:type="dxa"/>
          </w:tcPr>
          <w:p w14:paraId="179F3682" w14:textId="77777777" w:rsidR="00623679" w:rsidRPr="00264D5D" w:rsidRDefault="00623679" w:rsidP="00623679">
            <w:pPr>
              <w:spacing w:before="60" w:after="60"/>
              <w:jc w:val="left"/>
              <w:rPr>
                <w:sz w:val="22"/>
                <w:szCs w:val="22"/>
              </w:rPr>
            </w:pPr>
            <w:r w:rsidRPr="00264D5D">
              <w:rPr>
                <w:sz w:val="22"/>
                <w:szCs w:val="22"/>
              </w:rPr>
              <w:t>Т(8) или Т(11)</w:t>
            </w:r>
          </w:p>
        </w:tc>
        <w:tc>
          <w:tcPr>
            <w:tcW w:w="568" w:type="dxa"/>
          </w:tcPr>
          <w:p w14:paraId="51FAC80E" w14:textId="77777777" w:rsidR="00623679" w:rsidRPr="00264D5D" w:rsidRDefault="00623679" w:rsidP="00623679">
            <w:pPr>
              <w:spacing w:before="60" w:after="60"/>
              <w:jc w:val="center"/>
              <w:rPr>
                <w:sz w:val="22"/>
                <w:szCs w:val="22"/>
              </w:rPr>
            </w:pPr>
            <w:r w:rsidRPr="00264D5D">
              <w:rPr>
                <w:sz w:val="22"/>
                <w:szCs w:val="22"/>
              </w:rPr>
              <w:t>О</w:t>
            </w:r>
          </w:p>
        </w:tc>
        <w:tc>
          <w:tcPr>
            <w:tcW w:w="3964" w:type="dxa"/>
          </w:tcPr>
          <w:p w14:paraId="1CD9AF15" w14:textId="77777777" w:rsidR="00623679" w:rsidRPr="00264D5D" w:rsidRDefault="00623679" w:rsidP="00623679">
            <w:pPr>
              <w:spacing w:before="60" w:after="60"/>
              <w:rPr>
                <w:sz w:val="22"/>
                <w:szCs w:val="22"/>
              </w:rPr>
            </w:pPr>
            <w:r w:rsidRPr="00264D5D">
              <w:rPr>
                <w:sz w:val="22"/>
                <w:szCs w:val="22"/>
              </w:rPr>
              <w:t>Указывается код населенного пункта по ОКТМО.</w:t>
            </w:r>
          </w:p>
          <w:p w14:paraId="661E84FB" w14:textId="77777777" w:rsidR="00623679" w:rsidRPr="00264D5D" w:rsidRDefault="00623679" w:rsidP="00623679">
            <w:pPr>
              <w:spacing w:before="60" w:after="60"/>
              <w:rPr>
                <w:sz w:val="22"/>
                <w:szCs w:val="22"/>
              </w:rPr>
            </w:pPr>
            <w:r w:rsidRPr="00264D5D">
              <w:rPr>
                <w:sz w:val="22"/>
                <w:szCs w:val="22"/>
              </w:rPr>
              <w:t>Длина поля строго ограничена количеством символов: или 8 или 11</w:t>
            </w:r>
          </w:p>
        </w:tc>
      </w:tr>
      <w:tr w:rsidR="00623679" w:rsidRPr="00264D5D" w14:paraId="4D7E5DFE"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699" w:type="dxa"/>
          </w:tcPr>
          <w:p w14:paraId="2BFDB0C6" w14:textId="77777777" w:rsidR="00623679" w:rsidRPr="00264D5D" w:rsidRDefault="00623679" w:rsidP="00623679">
            <w:pPr>
              <w:spacing w:before="60" w:after="60"/>
              <w:rPr>
                <w:sz w:val="22"/>
                <w:szCs w:val="22"/>
              </w:rPr>
            </w:pPr>
            <w:r w:rsidRPr="00264D5D">
              <w:rPr>
                <w:sz w:val="22"/>
                <w:szCs w:val="22"/>
              </w:rPr>
              <w:t>Финансовый орган</w:t>
            </w:r>
          </w:p>
        </w:tc>
        <w:tc>
          <w:tcPr>
            <w:tcW w:w="1701" w:type="dxa"/>
          </w:tcPr>
          <w:p w14:paraId="3E737372" w14:textId="77777777" w:rsidR="00623679" w:rsidRPr="00264D5D" w:rsidRDefault="00623679" w:rsidP="00623679">
            <w:pPr>
              <w:spacing w:before="60" w:after="60"/>
              <w:rPr>
                <w:sz w:val="22"/>
                <w:szCs w:val="22"/>
              </w:rPr>
            </w:pPr>
            <w:r w:rsidRPr="00264D5D">
              <w:rPr>
                <w:sz w:val="22"/>
                <w:szCs w:val="22"/>
              </w:rPr>
              <w:t>RcpBdjt_NmFnOrg</w:t>
            </w:r>
          </w:p>
        </w:tc>
        <w:tc>
          <w:tcPr>
            <w:tcW w:w="568" w:type="dxa"/>
          </w:tcPr>
          <w:p w14:paraId="6E20BC3F" w14:textId="77777777" w:rsidR="00623679" w:rsidRPr="00264D5D" w:rsidRDefault="00623679" w:rsidP="00623679">
            <w:pPr>
              <w:spacing w:before="60" w:after="60"/>
              <w:jc w:val="center"/>
              <w:rPr>
                <w:sz w:val="22"/>
                <w:szCs w:val="22"/>
              </w:rPr>
            </w:pPr>
            <w:r w:rsidRPr="00264D5D">
              <w:rPr>
                <w:sz w:val="22"/>
                <w:szCs w:val="22"/>
              </w:rPr>
              <w:t>П</w:t>
            </w:r>
          </w:p>
        </w:tc>
        <w:tc>
          <w:tcPr>
            <w:tcW w:w="1134" w:type="dxa"/>
          </w:tcPr>
          <w:p w14:paraId="78E2A2F0" w14:textId="77777777" w:rsidR="00623679" w:rsidRPr="00264D5D" w:rsidRDefault="00623679" w:rsidP="00623679">
            <w:pPr>
              <w:spacing w:before="60" w:after="60"/>
              <w:jc w:val="left"/>
              <w:rPr>
                <w:sz w:val="22"/>
                <w:szCs w:val="22"/>
              </w:rPr>
            </w:pPr>
            <w:r w:rsidRPr="00264D5D">
              <w:rPr>
                <w:sz w:val="22"/>
                <w:szCs w:val="22"/>
              </w:rPr>
              <w:t>Т(1-2000)</w:t>
            </w:r>
          </w:p>
        </w:tc>
        <w:tc>
          <w:tcPr>
            <w:tcW w:w="568" w:type="dxa"/>
          </w:tcPr>
          <w:p w14:paraId="2991BA50" w14:textId="77777777" w:rsidR="00623679" w:rsidRPr="00264D5D" w:rsidRDefault="00623679" w:rsidP="00623679">
            <w:pPr>
              <w:spacing w:before="60" w:after="60"/>
              <w:jc w:val="center"/>
              <w:rPr>
                <w:sz w:val="22"/>
                <w:szCs w:val="22"/>
              </w:rPr>
            </w:pPr>
            <w:r w:rsidRPr="00264D5D">
              <w:rPr>
                <w:sz w:val="22"/>
                <w:szCs w:val="22"/>
              </w:rPr>
              <w:t>О</w:t>
            </w:r>
          </w:p>
        </w:tc>
        <w:tc>
          <w:tcPr>
            <w:tcW w:w="3964" w:type="dxa"/>
          </w:tcPr>
          <w:p w14:paraId="56A562E8" w14:textId="77777777" w:rsidR="00623679" w:rsidRPr="00264D5D" w:rsidRDefault="00623679" w:rsidP="00623679">
            <w:pPr>
              <w:spacing w:before="60" w:after="60"/>
              <w:rPr>
                <w:sz w:val="22"/>
                <w:szCs w:val="22"/>
              </w:rPr>
            </w:pPr>
            <w:r w:rsidRPr="00264D5D">
              <w:rPr>
                <w:sz w:val="22"/>
                <w:szCs w:val="22"/>
              </w:rPr>
              <w:t xml:space="preserve">Указывается наименование финансового органа. Для УБП федерального уровня указывается наименование ФО «Министерство финансов Российской Федерации», для УБП субъекта РФ (МО) указывается </w:t>
            </w:r>
            <w:r w:rsidRPr="00264D5D">
              <w:rPr>
                <w:sz w:val="22"/>
                <w:szCs w:val="22"/>
              </w:rPr>
              <w:lastRenderedPageBreak/>
              <w:t xml:space="preserve">полное наименование ФО соответствующего бюджета. </w:t>
            </w:r>
          </w:p>
          <w:p w14:paraId="21D041F0" w14:textId="77777777" w:rsidR="00623679" w:rsidRPr="00264D5D" w:rsidRDefault="00623679" w:rsidP="00623679">
            <w:pPr>
              <w:spacing w:before="60" w:after="60"/>
              <w:rPr>
                <w:sz w:val="22"/>
                <w:szCs w:val="22"/>
              </w:rPr>
            </w:pPr>
            <w:r w:rsidRPr="00264D5D">
              <w:rPr>
                <w:sz w:val="22"/>
                <w:szCs w:val="22"/>
              </w:rPr>
              <w:t>Для бюджета Фонда пенсионного и социального страхования Российской Федерации указывается прочерк «-»</w:t>
            </w:r>
          </w:p>
        </w:tc>
      </w:tr>
      <w:tr w:rsidR="00623679" w:rsidRPr="00264D5D" w14:paraId="132DA5F7"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699" w:type="dxa"/>
          </w:tcPr>
          <w:p w14:paraId="03E8AFE5" w14:textId="77777777" w:rsidR="00623679" w:rsidRPr="00264D5D" w:rsidRDefault="00623679" w:rsidP="00623679">
            <w:pPr>
              <w:spacing w:before="60" w:after="60"/>
              <w:rPr>
                <w:sz w:val="22"/>
                <w:szCs w:val="22"/>
              </w:rPr>
            </w:pPr>
            <w:r w:rsidRPr="00264D5D">
              <w:rPr>
                <w:sz w:val="22"/>
                <w:szCs w:val="22"/>
              </w:rPr>
              <w:lastRenderedPageBreak/>
              <w:t>Код по ОКПО</w:t>
            </w:r>
          </w:p>
        </w:tc>
        <w:tc>
          <w:tcPr>
            <w:tcW w:w="1701" w:type="dxa"/>
          </w:tcPr>
          <w:p w14:paraId="10B096C5" w14:textId="77777777" w:rsidR="00623679" w:rsidRPr="00264D5D" w:rsidRDefault="00623679" w:rsidP="00623679">
            <w:pPr>
              <w:spacing w:before="60" w:after="60"/>
              <w:rPr>
                <w:sz w:val="22"/>
                <w:szCs w:val="22"/>
              </w:rPr>
            </w:pPr>
            <w:r w:rsidRPr="00264D5D">
              <w:rPr>
                <w:sz w:val="22"/>
                <w:szCs w:val="22"/>
              </w:rPr>
              <w:t>RcpBdjt_OKPOFnOrg</w:t>
            </w:r>
          </w:p>
        </w:tc>
        <w:tc>
          <w:tcPr>
            <w:tcW w:w="568" w:type="dxa"/>
          </w:tcPr>
          <w:p w14:paraId="6194CE58" w14:textId="77777777" w:rsidR="00623679" w:rsidRPr="00264D5D" w:rsidRDefault="00623679" w:rsidP="00623679">
            <w:pPr>
              <w:spacing w:before="60" w:after="60"/>
              <w:jc w:val="center"/>
              <w:rPr>
                <w:sz w:val="22"/>
                <w:szCs w:val="22"/>
              </w:rPr>
            </w:pPr>
            <w:r w:rsidRPr="00264D5D">
              <w:rPr>
                <w:sz w:val="22"/>
                <w:szCs w:val="22"/>
              </w:rPr>
              <w:t>П</w:t>
            </w:r>
          </w:p>
        </w:tc>
        <w:tc>
          <w:tcPr>
            <w:tcW w:w="1134" w:type="dxa"/>
          </w:tcPr>
          <w:p w14:paraId="24BCEA73" w14:textId="77777777" w:rsidR="00623679" w:rsidRPr="00264D5D" w:rsidRDefault="00623679" w:rsidP="00623679">
            <w:pPr>
              <w:spacing w:before="60" w:after="60"/>
              <w:jc w:val="left"/>
              <w:rPr>
                <w:sz w:val="22"/>
                <w:szCs w:val="22"/>
              </w:rPr>
            </w:pPr>
            <w:r w:rsidRPr="00264D5D">
              <w:rPr>
                <w:sz w:val="22"/>
                <w:szCs w:val="22"/>
              </w:rPr>
              <w:t>Т(1) или Т(8)</w:t>
            </w:r>
          </w:p>
        </w:tc>
        <w:tc>
          <w:tcPr>
            <w:tcW w:w="568" w:type="dxa"/>
          </w:tcPr>
          <w:p w14:paraId="7E7B0781" w14:textId="77777777" w:rsidR="00623679" w:rsidRPr="00264D5D" w:rsidRDefault="00623679" w:rsidP="00623679">
            <w:pPr>
              <w:spacing w:before="60" w:after="60"/>
              <w:jc w:val="center"/>
              <w:rPr>
                <w:sz w:val="22"/>
                <w:szCs w:val="22"/>
              </w:rPr>
            </w:pPr>
            <w:r w:rsidRPr="00264D5D">
              <w:rPr>
                <w:sz w:val="22"/>
                <w:szCs w:val="22"/>
              </w:rPr>
              <w:t>О</w:t>
            </w:r>
          </w:p>
        </w:tc>
        <w:tc>
          <w:tcPr>
            <w:tcW w:w="3964" w:type="dxa"/>
          </w:tcPr>
          <w:p w14:paraId="50DBD5E0" w14:textId="77777777" w:rsidR="00623679" w:rsidRPr="00264D5D" w:rsidRDefault="00623679" w:rsidP="00623679">
            <w:pPr>
              <w:spacing w:before="60" w:after="60"/>
              <w:rPr>
                <w:sz w:val="22"/>
                <w:szCs w:val="22"/>
              </w:rPr>
            </w:pPr>
            <w:r w:rsidRPr="00264D5D">
              <w:rPr>
                <w:sz w:val="22"/>
                <w:szCs w:val="22"/>
              </w:rPr>
              <w:t xml:space="preserve">Указывается код по ОКПО финансового органа. </w:t>
            </w:r>
          </w:p>
          <w:p w14:paraId="1CA8CF83" w14:textId="77777777" w:rsidR="00623679" w:rsidRPr="00264D5D" w:rsidRDefault="00623679" w:rsidP="00623679">
            <w:pPr>
              <w:spacing w:before="60" w:after="60"/>
              <w:rPr>
                <w:sz w:val="22"/>
                <w:szCs w:val="22"/>
              </w:rPr>
            </w:pPr>
            <w:r w:rsidRPr="00264D5D">
              <w:rPr>
                <w:sz w:val="22"/>
                <w:szCs w:val="22"/>
              </w:rPr>
              <w:t>Для бюджета Фонда пенсионного и социального страхования Российской Федерации указывается прочерк «-»</w:t>
            </w:r>
          </w:p>
        </w:tc>
      </w:tr>
      <w:tr w:rsidR="00623679" w:rsidRPr="00264D5D" w14:paraId="38981A1F"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699" w:type="dxa"/>
          </w:tcPr>
          <w:p w14:paraId="5944B23F" w14:textId="77777777" w:rsidR="00623679" w:rsidRPr="00264D5D" w:rsidRDefault="00623679" w:rsidP="00623679">
            <w:pPr>
              <w:spacing w:before="60" w:after="60"/>
              <w:rPr>
                <w:sz w:val="22"/>
                <w:szCs w:val="22"/>
              </w:rPr>
            </w:pPr>
            <w:r w:rsidRPr="00264D5D">
              <w:rPr>
                <w:sz w:val="22"/>
                <w:szCs w:val="22"/>
              </w:rPr>
              <w:t>Получатель бюджетных средств</w:t>
            </w:r>
          </w:p>
        </w:tc>
        <w:tc>
          <w:tcPr>
            <w:tcW w:w="1701" w:type="dxa"/>
          </w:tcPr>
          <w:p w14:paraId="3B76F999" w14:textId="77777777" w:rsidR="00623679" w:rsidRPr="00264D5D" w:rsidRDefault="00623679" w:rsidP="00623679">
            <w:pPr>
              <w:spacing w:before="60" w:after="60"/>
              <w:rPr>
                <w:sz w:val="22"/>
                <w:szCs w:val="22"/>
              </w:rPr>
            </w:pPr>
            <w:r w:rsidRPr="00264D5D">
              <w:rPr>
                <w:sz w:val="22"/>
                <w:szCs w:val="22"/>
              </w:rPr>
              <w:t>RcpBdjt_NmRcp</w:t>
            </w:r>
          </w:p>
        </w:tc>
        <w:tc>
          <w:tcPr>
            <w:tcW w:w="568" w:type="dxa"/>
          </w:tcPr>
          <w:p w14:paraId="5E522CD6" w14:textId="77777777" w:rsidR="00623679" w:rsidRPr="00264D5D" w:rsidRDefault="00623679" w:rsidP="00623679">
            <w:pPr>
              <w:spacing w:before="60" w:after="60"/>
              <w:jc w:val="center"/>
              <w:rPr>
                <w:sz w:val="22"/>
                <w:szCs w:val="22"/>
              </w:rPr>
            </w:pPr>
            <w:r w:rsidRPr="00264D5D">
              <w:rPr>
                <w:sz w:val="22"/>
                <w:szCs w:val="22"/>
              </w:rPr>
              <w:t>П</w:t>
            </w:r>
          </w:p>
        </w:tc>
        <w:tc>
          <w:tcPr>
            <w:tcW w:w="1134" w:type="dxa"/>
          </w:tcPr>
          <w:p w14:paraId="118EE7CF" w14:textId="77777777" w:rsidR="00623679" w:rsidRPr="00264D5D" w:rsidRDefault="00623679" w:rsidP="00623679">
            <w:pPr>
              <w:spacing w:before="60" w:after="60"/>
              <w:jc w:val="left"/>
              <w:rPr>
                <w:sz w:val="22"/>
                <w:szCs w:val="22"/>
              </w:rPr>
            </w:pPr>
            <w:r w:rsidRPr="00264D5D">
              <w:rPr>
                <w:sz w:val="22"/>
                <w:szCs w:val="22"/>
              </w:rPr>
              <w:t>Т(1-2000)</w:t>
            </w:r>
          </w:p>
        </w:tc>
        <w:tc>
          <w:tcPr>
            <w:tcW w:w="568" w:type="dxa"/>
          </w:tcPr>
          <w:p w14:paraId="325FB06A" w14:textId="77777777" w:rsidR="00623679" w:rsidRPr="00264D5D" w:rsidRDefault="00623679" w:rsidP="00623679">
            <w:pPr>
              <w:spacing w:before="60" w:after="60"/>
              <w:jc w:val="center"/>
              <w:rPr>
                <w:sz w:val="22"/>
                <w:szCs w:val="22"/>
              </w:rPr>
            </w:pPr>
            <w:r w:rsidRPr="00264D5D">
              <w:rPr>
                <w:sz w:val="22"/>
                <w:szCs w:val="22"/>
              </w:rPr>
              <w:t>О</w:t>
            </w:r>
          </w:p>
        </w:tc>
        <w:tc>
          <w:tcPr>
            <w:tcW w:w="3964" w:type="dxa"/>
          </w:tcPr>
          <w:p w14:paraId="1BFF9F89" w14:textId="77777777" w:rsidR="00623679" w:rsidRPr="00264D5D" w:rsidRDefault="00623679" w:rsidP="00623679">
            <w:pPr>
              <w:spacing w:before="60" w:after="60"/>
              <w:rPr>
                <w:sz w:val="22"/>
                <w:szCs w:val="22"/>
              </w:rPr>
            </w:pPr>
            <w:r w:rsidRPr="00264D5D">
              <w:rPr>
                <w:sz w:val="22"/>
                <w:szCs w:val="22"/>
              </w:rPr>
              <w:t>Указывается полное или краткое наименование ПБС (УБП, который передал полномочия ПБС по учредительным документам) по Сводному реестру</w:t>
            </w:r>
          </w:p>
        </w:tc>
      </w:tr>
      <w:tr w:rsidR="00623679" w:rsidRPr="00264D5D" w14:paraId="1D6E0ABB"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699" w:type="dxa"/>
          </w:tcPr>
          <w:p w14:paraId="3E2ED873" w14:textId="77777777" w:rsidR="00623679" w:rsidRPr="00264D5D" w:rsidRDefault="00623679" w:rsidP="00623679">
            <w:pPr>
              <w:spacing w:before="60" w:after="60"/>
              <w:rPr>
                <w:sz w:val="22"/>
                <w:szCs w:val="22"/>
              </w:rPr>
            </w:pPr>
            <w:r w:rsidRPr="00264D5D">
              <w:rPr>
                <w:sz w:val="22"/>
                <w:szCs w:val="22"/>
              </w:rPr>
              <w:t>Код ПБС по Сводному реестру</w:t>
            </w:r>
          </w:p>
        </w:tc>
        <w:tc>
          <w:tcPr>
            <w:tcW w:w="1701" w:type="dxa"/>
          </w:tcPr>
          <w:p w14:paraId="26328EAB" w14:textId="77777777" w:rsidR="00623679" w:rsidRPr="00264D5D" w:rsidRDefault="00623679" w:rsidP="00623679">
            <w:pPr>
              <w:spacing w:before="60" w:after="60"/>
              <w:rPr>
                <w:sz w:val="22"/>
                <w:szCs w:val="22"/>
              </w:rPr>
            </w:pPr>
            <w:r w:rsidRPr="00264D5D">
              <w:rPr>
                <w:sz w:val="22"/>
                <w:szCs w:val="22"/>
              </w:rPr>
              <w:t>RcpBdjt_CdGRBS</w:t>
            </w:r>
          </w:p>
        </w:tc>
        <w:tc>
          <w:tcPr>
            <w:tcW w:w="568" w:type="dxa"/>
          </w:tcPr>
          <w:p w14:paraId="7C97F642" w14:textId="77777777" w:rsidR="00623679" w:rsidRPr="00264D5D" w:rsidRDefault="00623679" w:rsidP="00623679">
            <w:pPr>
              <w:spacing w:before="60" w:after="60"/>
              <w:jc w:val="center"/>
              <w:rPr>
                <w:sz w:val="22"/>
                <w:szCs w:val="22"/>
              </w:rPr>
            </w:pPr>
            <w:r w:rsidRPr="00264D5D">
              <w:rPr>
                <w:sz w:val="22"/>
                <w:szCs w:val="22"/>
              </w:rPr>
              <w:t>П</w:t>
            </w:r>
          </w:p>
        </w:tc>
        <w:tc>
          <w:tcPr>
            <w:tcW w:w="1134" w:type="dxa"/>
          </w:tcPr>
          <w:p w14:paraId="6CCF2E65" w14:textId="77777777" w:rsidR="00623679" w:rsidRPr="00264D5D" w:rsidRDefault="00623679" w:rsidP="00623679">
            <w:pPr>
              <w:spacing w:before="60" w:after="60"/>
              <w:jc w:val="left"/>
              <w:rPr>
                <w:sz w:val="22"/>
                <w:szCs w:val="22"/>
              </w:rPr>
            </w:pPr>
            <w:r w:rsidRPr="00264D5D">
              <w:rPr>
                <w:sz w:val="22"/>
                <w:szCs w:val="22"/>
              </w:rPr>
              <w:t>Т(8)</w:t>
            </w:r>
          </w:p>
        </w:tc>
        <w:tc>
          <w:tcPr>
            <w:tcW w:w="568" w:type="dxa"/>
          </w:tcPr>
          <w:p w14:paraId="6333D299" w14:textId="77777777" w:rsidR="00623679" w:rsidRPr="00264D5D" w:rsidRDefault="00623679" w:rsidP="00623679">
            <w:pPr>
              <w:spacing w:before="60" w:after="60"/>
              <w:jc w:val="center"/>
              <w:rPr>
                <w:sz w:val="22"/>
                <w:szCs w:val="22"/>
              </w:rPr>
            </w:pPr>
            <w:r w:rsidRPr="00264D5D">
              <w:rPr>
                <w:sz w:val="22"/>
                <w:szCs w:val="22"/>
              </w:rPr>
              <w:t>О</w:t>
            </w:r>
          </w:p>
        </w:tc>
        <w:tc>
          <w:tcPr>
            <w:tcW w:w="3964" w:type="dxa"/>
          </w:tcPr>
          <w:p w14:paraId="562325CD" w14:textId="77777777" w:rsidR="00623679" w:rsidRPr="00264D5D" w:rsidRDefault="00623679" w:rsidP="00623679">
            <w:pPr>
              <w:spacing w:before="60" w:after="60"/>
              <w:rPr>
                <w:sz w:val="22"/>
                <w:szCs w:val="22"/>
              </w:rPr>
            </w:pPr>
            <w:r w:rsidRPr="00264D5D">
              <w:rPr>
                <w:sz w:val="22"/>
                <w:szCs w:val="22"/>
              </w:rPr>
              <w:t>Указывается уникальный код организации по Сводному реестру ПБС, равный 8 знакам</w:t>
            </w:r>
          </w:p>
        </w:tc>
      </w:tr>
      <w:tr w:rsidR="00623679" w:rsidRPr="00264D5D" w14:paraId="360C025B"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699" w:type="dxa"/>
          </w:tcPr>
          <w:p w14:paraId="219E78EF" w14:textId="77777777" w:rsidR="00623679" w:rsidRPr="00264D5D" w:rsidRDefault="00623679" w:rsidP="00623679">
            <w:pPr>
              <w:spacing w:before="60" w:after="60"/>
              <w:rPr>
                <w:sz w:val="22"/>
                <w:szCs w:val="22"/>
              </w:rPr>
            </w:pPr>
            <w:r w:rsidRPr="00264D5D">
              <w:rPr>
                <w:sz w:val="22"/>
                <w:szCs w:val="22"/>
              </w:rPr>
              <w:t>Главный распорядитель бюджетных средств</w:t>
            </w:r>
          </w:p>
        </w:tc>
        <w:tc>
          <w:tcPr>
            <w:tcW w:w="1701" w:type="dxa"/>
          </w:tcPr>
          <w:p w14:paraId="579229DC" w14:textId="77777777" w:rsidR="00623679" w:rsidRPr="00264D5D" w:rsidRDefault="00623679" w:rsidP="00623679">
            <w:pPr>
              <w:spacing w:before="60" w:after="60"/>
              <w:rPr>
                <w:sz w:val="22"/>
                <w:szCs w:val="22"/>
              </w:rPr>
            </w:pPr>
            <w:r w:rsidRPr="00264D5D">
              <w:rPr>
                <w:sz w:val="22"/>
                <w:szCs w:val="22"/>
              </w:rPr>
              <w:t>RcpBdjt_GRBS</w:t>
            </w:r>
          </w:p>
        </w:tc>
        <w:tc>
          <w:tcPr>
            <w:tcW w:w="568" w:type="dxa"/>
          </w:tcPr>
          <w:p w14:paraId="1D5CD03D" w14:textId="77777777" w:rsidR="00623679" w:rsidRPr="00264D5D" w:rsidRDefault="00623679" w:rsidP="00623679">
            <w:pPr>
              <w:spacing w:before="60" w:after="60"/>
              <w:jc w:val="center"/>
              <w:rPr>
                <w:sz w:val="22"/>
                <w:szCs w:val="22"/>
              </w:rPr>
            </w:pPr>
            <w:r w:rsidRPr="00264D5D">
              <w:rPr>
                <w:sz w:val="22"/>
                <w:szCs w:val="22"/>
              </w:rPr>
              <w:t>П</w:t>
            </w:r>
          </w:p>
        </w:tc>
        <w:tc>
          <w:tcPr>
            <w:tcW w:w="1134" w:type="dxa"/>
          </w:tcPr>
          <w:p w14:paraId="0CAD7C8B" w14:textId="77777777" w:rsidR="00623679" w:rsidRPr="00264D5D" w:rsidRDefault="00623679" w:rsidP="00623679">
            <w:pPr>
              <w:spacing w:before="60" w:after="60"/>
              <w:jc w:val="left"/>
              <w:rPr>
                <w:sz w:val="22"/>
                <w:szCs w:val="22"/>
              </w:rPr>
            </w:pPr>
            <w:r w:rsidRPr="00264D5D">
              <w:rPr>
                <w:sz w:val="22"/>
                <w:szCs w:val="22"/>
              </w:rPr>
              <w:t>Т(1-2000)</w:t>
            </w:r>
          </w:p>
        </w:tc>
        <w:tc>
          <w:tcPr>
            <w:tcW w:w="568" w:type="dxa"/>
          </w:tcPr>
          <w:p w14:paraId="768FA5CD" w14:textId="77777777" w:rsidR="00623679" w:rsidRPr="00264D5D" w:rsidRDefault="00623679" w:rsidP="00623679">
            <w:pPr>
              <w:spacing w:before="60" w:after="60"/>
              <w:jc w:val="center"/>
              <w:rPr>
                <w:sz w:val="22"/>
                <w:szCs w:val="22"/>
              </w:rPr>
            </w:pPr>
            <w:r w:rsidRPr="00264D5D">
              <w:rPr>
                <w:sz w:val="22"/>
                <w:szCs w:val="22"/>
              </w:rPr>
              <w:t>О</w:t>
            </w:r>
          </w:p>
        </w:tc>
        <w:tc>
          <w:tcPr>
            <w:tcW w:w="3964" w:type="dxa"/>
          </w:tcPr>
          <w:p w14:paraId="7FD8AA59" w14:textId="77777777" w:rsidR="00623679" w:rsidRPr="00264D5D" w:rsidRDefault="00623679" w:rsidP="00623679">
            <w:pPr>
              <w:spacing w:before="60" w:after="60"/>
              <w:rPr>
                <w:sz w:val="22"/>
                <w:szCs w:val="22"/>
              </w:rPr>
            </w:pPr>
            <w:r w:rsidRPr="00264D5D">
              <w:rPr>
                <w:sz w:val="22"/>
                <w:szCs w:val="22"/>
              </w:rPr>
              <w:t>Полное или краткое наименование вышестоящего ГРБС</w:t>
            </w:r>
          </w:p>
        </w:tc>
      </w:tr>
      <w:tr w:rsidR="00623679" w:rsidRPr="00264D5D" w14:paraId="6AF5468F"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699" w:type="dxa"/>
          </w:tcPr>
          <w:p w14:paraId="05C337CD" w14:textId="77777777" w:rsidR="00623679" w:rsidRPr="00264D5D" w:rsidRDefault="00623679" w:rsidP="00623679">
            <w:pPr>
              <w:spacing w:before="60" w:after="60"/>
              <w:rPr>
                <w:sz w:val="22"/>
                <w:szCs w:val="22"/>
              </w:rPr>
            </w:pPr>
            <w:r w:rsidRPr="00264D5D">
              <w:rPr>
                <w:sz w:val="22"/>
                <w:szCs w:val="22"/>
              </w:rPr>
              <w:t>Глава по БК</w:t>
            </w:r>
          </w:p>
        </w:tc>
        <w:tc>
          <w:tcPr>
            <w:tcW w:w="1701" w:type="dxa"/>
          </w:tcPr>
          <w:p w14:paraId="2D4065AD" w14:textId="77777777" w:rsidR="00623679" w:rsidRPr="00264D5D" w:rsidRDefault="00623679" w:rsidP="00623679">
            <w:pPr>
              <w:spacing w:before="60" w:after="60"/>
              <w:rPr>
                <w:sz w:val="22"/>
                <w:szCs w:val="22"/>
              </w:rPr>
            </w:pPr>
            <w:r w:rsidRPr="00264D5D">
              <w:rPr>
                <w:sz w:val="22"/>
                <w:szCs w:val="22"/>
              </w:rPr>
              <w:t>RcpBdjt_GlvBKCd</w:t>
            </w:r>
          </w:p>
        </w:tc>
        <w:tc>
          <w:tcPr>
            <w:tcW w:w="568" w:type="dxa"/>
          </w:tcPr>
          <w:p w14:paraId="1A896C26" w14:textId="77777777" w:rsidR="00623679" w:rsidRPr="00264D5D" w:rsidRDefault="00623679" w:rsidP="00623679">
            <w:pPr>
              <w:spacing w:before="60" w:after="60"/>
              <w:jc w:val="center"/>
              <w:rPr>
                <w:sz w:val="22"/>
                <w:szCs w:val="22"/>
              </w:rPr>
            </w:pPr>
            <w:r w:rsidRPr="00264D5D">
              <w:rPr>
                <w:sz w:val="22"/>
                <w:szCs w:val="22"/>
              </w:rPr>
              <w:t>П</w:t>
            </w:r>
          </w:p>
        </w:tc>
        <w:tc>
          <w:tcPr>
            <w:tcW w:w="1134" w:type="dxa"/>
          </w:tcPr>
          <w:p w14:paraId="2506C087" w14:textId="77777777" w:rsidR="00623679" w:rsidRPr="00264D5D" w:rsidRDefault="00623679" w:rsidP="00623679">
            <w:pPr>
              <w:spacing w:before="60" w:after="60"/>
              <w:jc w:val="left"/>
              <w:rPr>
                <w:sz w:val="22"/>
                <w:szCs w:val="22"/>
              </w:rPr>
            </w:pPr>
            <w:r w:rsidRPr="00264D5D">
              <w:rPr>
                <w:sz w:val="22"/>
                <w:szCs w:val="22"/>
              </w:rPr>
              <w:t>Т(3)</w:t>
            </w:r>
          </w:p>
        </w:tc>
        <w:tc>
          <w:tcPr>
            <w:tcW w:w="568" w:type="dxa"/>
          </w:tcPr>
          <w:p w14:paraId="0F14C2E7" w14:textId="77777777" w:rsidR="00623679" w:rsidRPr="00264D5D" w:rsidRDefault="00623679" w:rsidP="00623679">
            <w:pPr>
              <w:spacing w:before="60" w:after="60"/>
              <w:jc w:val="center"/>
              <w:rPr>
                <w:sz w:val="22"/>
                <w:szCs w:val="22"/>
              </w:rPr>
            </w:pPr>
            <w:r w:rsidRPr="00264D5D">
              <w:rPr>
                <w:sz w:val="22"/>
                <w:szCs w:val="22"/>
              </w:rPr>
              <w:t>О</w:t>
            </w:r>
          </w:p>
        </w:tc>
        <w:tc>
          <w:tcPr>
            <w:tcW w:w="3964" w:type="dxa"/>
          </w:tcPr>
          <w:p w14:paraId="2A85D2D0" w14:textId="77777777" w:rsidR="00623679" w:rsidRPr="00264D5D" w:rsidRDefault="00623679" w:rsidP="00623679">
            <w:pPr>
              <w:spacing w:before="60" w:after="60"/>
              <w:rPr>
                <w:sz w:val="22"/>
                <w:szCs w:val="22"/>
              </w:rPr>
            </w:pPr>
            <w:r w:rsidRPr="00264D5D">
              <w:rPr>
                <w:sz w:val="22"/>
                <w:szCs w:val="22"/>
              </w:rPr>
              <w:t>Код главного распорядителя средств по бюджетной классификации</w:t>
            </w:r>
          </w:p>
        </w:tc>
      </w:tr>
      <w:tr w:rsidR="00623679" w:rsidRPr="00264D5D" w14:paraId="6CD6C4ED"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699" w:type="dxa"/>
          </w:tcPr>
          <w:p w14:paraId="5EA0C359" w14:textId="77777777" w:rsidR="00623679" w:rsidRPr="00264D5D" w:rsidRDefault="00623679" w:rsidP="00623679">
            <w:pPr>
              <w:spacing w:before="60" w:after="60"/>
              <w:rPr>
                <w:sz w:val="22"/>
                <w:szCs w:val="22"/>
              </w:rPr>
            </w:pPr>
            <w:r w:rsidRPr="00264D5D">
              <w:rPr>
                <w:sz w:val="22"/>
                <w:szCs w:val="22"/>
              </w:rPr>
              <w:t>Наименование территориального органа Федерального казначейства</w:t>
            </w:r>
          </w:p>
        </w:tc>
        <w:tc>
          <w:tcPr>
            <w:tcW w:w="1701" w:type="dxa"/>
          </w:tcPr>
          <w:p w14:paraId="587320A5" w14:textId="77777777" w:rsidR="00623679" w:rsidRPr="00264D5D" w:rsidRDefault="00623679" w:rsidP="00623679">
            <w:pPr>
              <w:spacing w:before="60" w:after="60"/>
              <w:rPr>
                <w:sz w:val="22"/>
                <w:szCs w:val="22"/>
              </w:rPr>
            </w:pPr>
            <w:r w:rsidRPr="00264D5D">
              <w:rPr>
                <w:sz w:val="22"/>
                <w:szCs w:val="22"/>
              </w:rPr>
              <w:t>RcpBdjt_NmTOFK</w:t>
            </w:r>
          </w:p>
        </w:tc>
        <w:tc>
          <w:tcPr>
            <w:tcW w:w="568" w:type="dxa"/>
          </w:tcPr>
          <w:p w14:paraId="53B848AF" w14:textId="77777777" w:rsidR="00623679" w:rsidRPr="00264D5D" w:rsidRDefault="00623679" w:rsidP="00623679">
            <w:pPr>
              <w:spacing w:before="60" w:after="60"/>
              <w:jc w:val="center"/>
              <w:rPr>
                <w:sz w:val="22"/>
                <w:szCs w:val="22"/>
              </w:rPr>
            </w:pPr>
            <w:r w:rsidRPr="00264D5D">
              <w:rPr>
                <w:sz w:val="22"/>
                <w:szCs w:val="22"/>
              </w:rPr>
              <w:t>П</w:t>
            </w:r>
          </w:p>
        </w:tc>
        <w:tc>
          <w:tcPr>
            <w:tcW w:w="1134" w:type="dxa"/>
          </w:tcPr>
          <w:p w14:paraId="5FC94D3F" w14:textId="77777777" w:rsidR="00623679" w:rsidRPr="00264D5D" w:rsidRDefault="00623679" w:rsidP="00623679">
            <w:pPr>
              <w:spacing w:before="60" w:after="60"/>
              <w:jc w:val="left"/>
              <w:rPr>
                <w:sz w:val="22"/>
                <w:szCs w:val="22"/>
              </w:rPr>
            </w:pPr>
            <w:r w:rsidRPr="00264D5D">
              <w:rPr>
                <w:sz w:val="22"/>
                <w:szCs w:val="22"/>
              </w:rPr>
              <w:t>Т(1-2000)</w:t>
            </w:r>
          </w:p>
        </w:tc>
        <w:tc>
          <w:tcPr>
            <w:tcW w:w="568" w:type="dxa"/>
          </w:tcPr>
          <w:p w14:paraId="48A54466" w14:textId="77777777" w:rsidR="00623679" w:rsidRPr="00264D5D" w:rsidRDefault="00623679" w:rsidP="00623679">
            <w:pPr>
              <w:spacing w:before="60" w:after="60"/>
              <w:jc w:val="center"/>
              <w:rPr>
                <w:sz w:val="22"/>
                <w:szCs w:val="22"/>
              </w:rPr>
            </w:pPr>
            <w:r w:rsidRPr="00264D5D">
              <w:rPr>
                <w:sz w:val="22"/>
                <w:szCs w:val="22"/>
              </w:rPr>
              <w:t>О</w:t>
            </w:r>
          </w:p>
        </w:tc>
        <w:tc>
          <w:tcPr>
            <w:tcW w:w="3964" w:type="dxa"/>
          </w:tcPr>
          <w:p w14:paraId="073DE715" w14:textId="77777777" w:rsidR="00623679" w:rsidRPr="00264D5D" w:rsidRDefault="00623679" w:rsidP="00623679">
            <w:pPr>
              <w:spacing w:before="60" w:after="60"/>
              <w:rPr>
                <w:sz w:val="22"/>
                <w:szCs w:val="22"/>
              </w:rPr>
            </w:pPr>
            <w:r w:rsidRPr="00264D5D">
              <w:rPr>
                <w:sz w:val="22"/>
                <w:szCs w:val="22"/>
              </w:rPr>
              <w:t>Полное или краткое наименование территориального органа Федерального казначейства, в котором открыт лицевой счет клиента. Поле заполняется в соответствии с централизованным справочником ФК</w:t>
            </w:r>
          </w:p>
        </w:tc>
      </w:tr>
      <w:tr w:rsidR="00623679" w:rsidRPr="00264D5D" w14:paraId="10088157"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699" w:type="dxa"/>
          </w:tcPr>
          <w:p w14:paraId="064DB010" w14:textId="77777777" w:rsidR="00623679" w:rsidRPr="00264D5D" w:rsidRDefault="00623679" w:rsidP="00623679">
            <w:pPr>
              <w:spacing w:before="60" w:after="60"/>
              <w:rPr>
                <w:sz w:val="22"/>
                <w:szCs w:val="22"/>
              </w:rPr>
            </w:pPr>
            <w:r w:rsidRPr="00264D5D">
              <w:rPr>
                <w:sz w:val="22"/>
                <w:szCs w:val="22"/>
              </w:rPr>
              <w:t>Код ТОФК</w:t>
            </w:r>
          </w:p>
        </w:tc>
        <w:tc>
          <w:tcPr>
            <w:tcW w:w="1701" w:type="dxa"/>
          </w:tcPr>
          <w:p w14:paraId="6D6801F1" w14:textId="77777777" w:rsidR="00623679" w:rsidRPr="00264D5D" w:rsidRDefault="00623679" w:rsidP="00623679">
            <w:pPr>
              <w:spacing w:before="60" w:after="60"/>
              <w:rPr>
                <w:sz w:val="22"/>
                <w:szCs w:val="22"/>
              </w:rPr>
            </w:pPr>
            <w:r w:rsidRPr="00264D5D">
              <w:rPr>
                <w:sz w:val="22"/>
                <w:szCs w:val="22"/>
              </w:rPr>
              <w:t>RcpBdjt_CdTOFK</w:t>
            </w:r>
          </w:p>
        </w:tc>
        <w:tc>
          <w:tcPr>
            <w:tcW w:w="568" w:type="dxa"/>
          </w:tcPr>
          <w:p w14:paraId="4A1F7A3A" w14:textId="77777777" w:rsidR="00623679" w:rsidRPr="00264D5D" w:rsidRDefault="00623679" w:rsidP="00623679">
            <w:pPr>
              <w:spacing w:before="60" w:after="60"/>
              <w:jc w:val="center"/>
              <w:rPr>
                <w:sz w:val="22"/>
                <w:szCs w:val="22"/>
              </w:rPr>
            </w:pPr>
            <w:r w:rsidRPr="00264D5D">
              <w:rPr>
                <w:sz w:val="22"/>
                <w:szCs w:val="22"/>
              </w:rPr>
              <w:t>П</w:t>
            </w:r>
          </w:p>
        </w:tc>
        <w:tc>
          <w:tcPr>
            <w:tcW w:w="1134" w:type="dxa"/>
          </w:tcPr>
          <w:p w14:paraId="34A0F0B1" w14:textId="77777777" w:rsidR="00623679" w:rsidRPr="00264D5D" w:rsidRDefault="00623679" w:rsidP="00623679">
            <w:pPr>
              <w:spacing w:before="60" w:after="60"/>
              <w:jc w:val="left"/>
              <w:rPr>
                <w:sz w:val="22"/>
                <w:szCs w:val="22"/>
              </w:rPr>
            </w:pPr>
            <w:r w:rsidRPr="00264D5D">
              <w:rPr>
                <w:sz w:val="22"/>
                <w:szCs w:val="22"/>
              </w:rPr>
              <w:t>Т(4)</w:t>
            </w:r>
          </w:p>
        </w:tc>
        <w:tc>
          <w:tcPr>
            <w:tcW w:w="568" w:type="dxa"/>
          </w:tcPr>
          <w:p w14:paraId="1D3E862D" w14:textId="77777777" w:rsidR="00623679" w:rsidRPr="00264D5D" w:rsidRDefault="00623679" w:rsidP="00623679">
            <w:pPr>
              <w:spacing w:before="60" w:after="60"/>
              <w:jc w:val="center"/>
              <w:rPr>
                <w:sz w:val="22"/>
                <w:szCs w:val="22"/>
              </w:rPr>
            </w:pPr>
            <w:r w:rsidRPr="00264D5D">
              <w:rPr>
                <w:sz w:val="22"/>
                <w:szCs w:val="22"/>
              </w:rPr>
              <w:t>О</w:t>
            </w:r>
          </w:p>
        </w:tc>
        <w:tc>
          <w:tcPr>
            <w:tcW w:w="3964" w:type="dxa"/>
          </w:tcPr>
          <w:p w14:paraId="02AE37F4" w14:textId="77777777" w:rsidR="00623679" w:rsidRPr="00264D5D" w:rsidRDefault="00623679" w:rsidP="00623679">
            <w:pPr>
              <w:spacing w:before="60" w:after="60"/>
              <w:rPr>
                <w:sz w:val="22"/>
                <w:szCs w:val="22"/>
              </w:rPr>
            </w:pPr>
            <w:r w:rsidRPr="00264D5D">
              <w:rPr>
                <w:sz w:val="22"/>
                <w:szCs w:val="22"/>
              </w:rPr>
              <w:t>Код территориального органа Федерального казначейства.</w:t>
            </w:r>
          </w:p>
          <w:p w14:paraId="70A549AE" w14:textId="77777777" w:rsidR="00623679" w:rsidRPr="00264D5D" w:rsidRDefault="00623679" w:rsidP="00623679">
            <w:pPr>
              <w:spacing w:before="60" w:after="60"/>
              <w:rPr>
                <w:sz w:val="22"/>
                <w:szCs w:val="22"/>
              </w:rPr>
            </w:pPr>
            <w:r w:rsidRPr="00264D5D">
              <w:rPr>
                <w:sz w:val="22"/>
                <w:szCs w:val="22"/>
              </w:rPr>
              <w:t>Поле заполняется в соответствии с централизованным справочником ФК</w:t>
            </w:r>
          </w:p>
        </w:tc>
      </w:tr>
      <w:tr w:rsidR="00623679" w:rsidRPr="00264D5D" w14:paraId="4BB3C734"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699" w:type="dxa"/>
          </w:tcPr>
          <w:p w14:paraId="3156AB04" w14:textId="77777777" w:rsidR="00623679" w:rsidRPr="00264D5D" w:rsidRDefault="00623679" w:rsidP="00623679">
            <w:pPr>
              <w:spacing w:before="60" w:after="60"/>
              <w:rPr>
                <w:sz w:val="22"/>
                <w:szCs w:val="22"/>
              </w:rPr>
            </w:pPr>
            <w:r w:rsidRPr="00264D5D">
              <w:rPr>
                <w:sz w:val="22"/>
                <w:szCs w:val="22"/>
              </w:rPr>
              <w:t>Номер лицевого счета ПБС</w:t>
            </w:r>
          </w:p>
        </w:tc>
        <w:tc>
          <w:tcPr>
            <w:tcW w:w="1701" w:type="dxa"/>
          </w:tcPr>
          <w:p w14:paraId="64EB8C12" w14:textId="77777777" w:rsidR="00623679" w:rsidRPr="00264D5D" w:rsidRDefault="00623679" w:rsidP="00623679">
            <w:pPr>
              <w:spacing w:before="60" w:after="60"/>
              <w:rPr>
                <w:sz w:val="22"/>
                <w:szCs w:val="22"/>
              </w:rPr>
            </w:pPr>
            <w:r w:rsidRPr="00264D5D">
              <w:rPr>
                <w:sz w:val="22"/>
                <w:szCs w:val="22"/>
              </w:rPr>
              <w:t>RcpBdjt_NmAcnt</w:t>
            </w:r>
          </w:p>
        </w:tc>
        <w:tc>
          <w:tcPr>
            <w:tcW w:w="568" w:type="dxa"/>
          </w:tcPr>
          <w:p w14:paraId="3B6983A7" w14:textId="77777777" w:rsidR="00623679" w:rsidRPr="00264D5D" w:rsidRDefault="00623679" w:rsidP="00623679">
            <w:pPr>
              <w:spacing w:before="60" w:after="60"/>
              <w:jc w:val="center"/>
              <w:rPr>
                <w:sz w:val="22"/>
                <w:szCs w:val="22"/>
              </w:rPr>
            </w:pPr>
            <w:r w:rsidRPr="00264D5D">
              <w:rPr>
                <w:sz w:val="22"/>
                <w:szCs w:val="22"/>
              </w:rPr>
              <w:t>П</w:t>
            </w:r>
          </w:p>
        </w:tc>
        <w:tc>
          <w:tcPr>
            <w:tcW w:w="1134" w:type="dxa"/>
          </w:tcPr>
          <w:p w14:paraId="59EC73D6" w14:textId="77777777" w:rsidR="00623679" w:rsidRPr="00264D5D" w:rsidRDefault="00623679" w:rsidP="00623679">
            <w:pPr>
              <w:spacing w:before="60" w:after="60"/>
              <w:jc w:val="left"/>
              <w:rPr>
                <w:sz w:val="22"/>
                <w:szCs w:val="22"/>
              </w:rPr>
            </w:pPr>
            <w:r w:rsidRPr="00264D5D">
              <w:rPr>
                <w:sz w:val="22"/>
                <w:szCs w:val="22"/>
              </w:rPr>
              <w:t>Т(11)</w:t>
            </w:r>
          </w:p>
        </w:tc>
        <w:tc>
          <w:tcPr>
            <w:tcW w:w="568" w:type="dxa"/>
          </w:tcPr>
          <w:p w14:paraId="5F24AE3C" w14:textId="77777777" w:rsidR="00623679" w:rsidRPr="00264D5D" w:rsidRDefault="00623679" w:rsidP="00623679">
            <w:pPr>
              <w:spacing w:before="60" w:after="60"/>
              <w:jc w:val="center"/>
              <w:rPr>
                <w:sz w:val="22"/>
                <w:szCs w:val="22"/>
              </w:rPr>
            </w:pPr>
            <w:r w:rsidRPr="00264D5D">
              <w:rPr>
                <w:sz w:val="22"/>
                <w:szCs w:val="22"/>
              </w:rPr>
              <w:t>О</w:t>
            </w:r>
          </w:p>
        </w:tc>
        <w:tc>
          <w:tcPr>
            <w:tcW w:w="3964" w:type="dxa"/>
          </w:tcPr>
          <w:p w14:paraId="1D3D174E" w14:textId="77777777" w:rsidR="00623679" w:rsidRPr="00264D5D" w:rsidRDefault="00623679" w:rsidP="00623679">
            <w:pPr>
              <w:spacing w:before="60" w:after="60"/>
              <w:rPr>
                <w:sz w:val="22"/>
                <w:szCs w:val="22"/>
              </w:rPr>
            </w:pPr>
            <w:r w:rsidRPr="00264D5D">
              <w:rPr>
                <w:sz w:val="22"/>
                <w:szCs w:val="22"/>
              </w:rPr>
              <w:t>Номер лицевого счета ПБС (или лицевой счет по переданным полномочиям ПБС), соответствующий корреспонденту из поля «Получатель бюджетных средств»</w:t>
            </w:r>
          </w:p>
        </w:tc>
      </w:tr>
      <w:tr w:rsidR="00623679" w:rsidRPr="00264D5D" w14:paraId="1DB0B2A3"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699" w:type="dxa"/>
          </w:tcPr>
          <w:p w14:paraId="4AEDF4C0" w14:textId="77777777" w:rsidR="00623679" w:rsidRPr="00264D5D" w:rsidRDefault="00623679" w:rsidP="00623679">
            <w:pPr>
              <w:spacing w:before="60" w:after="60"/>
              <w:rPr>
                <w:sz w:val="22"/>
                <w:szCs w:val="22"/>
              </w:rPr>
            </w:pPr>
            <w:r w:rsidRPr="00264D5D">
              <w:rPr>
                <w:sz w:val="22"/>
                <w:szCs w:val="22"/>
              </w:rPr>
              <w:t xml:space="preserve">Признак платежа, </w:t>
            </w:r>
            <w:r w:rsidRPr="00264D5D">
              <w:rPr>
                <w:sz w:val="22"/>
                <w:szCs w:val="22"/>
              </w:rPr>
              <w:lastRenderedPageBreak/>
              <w:t>требующего подтверждения</w:t>
            </w:r>
          </w:p>
        </w:tc>
        <w:tc>
          <w:tcPr>
            <w:tcW w:w="1701" w:type="dxa"/>
          </w:tcPr>
          <w:p w14:paraId="25D341F1" w14:textId="77777777" w:rsidR="00623679" w:rsidRPr="00264D5D" w:rsidRDefault="00623679" w:rsidP="00623679">
            <w:pPr>
              <w:spacing w:before="60" w:after="60"/>
              <w:rPr>
                <w:sz w:val="22"/>
                <w:szCs w:val="22"/>
              </w:rPr>
            </w:pPr>
            <w:r w:rsidRPr="00264D5D">
              <w:rPr>
                <w:sz w:val="22"/>
                <w:szCs w:val="22"/>
              </w:rPr>
              <w:lastRenderedPageBreak/>
              <w:t>RcpBdjt_AdPmntChrct</w:t>
            </w:r>
          </w:p>
        </w:tc>
        <w:tc>
          <w:tcPr>
            <w:tcW w:w="568" w:type="dxa"/>
          </w:tcPr>
          <w:p w14:paraId="34958C60" w14:textId="77777777" w:rsidR="00623679" w:rsidRPr="00264D5D" w:rsidRDefault="00623679" w:rsidP="00623679">
            <w:pPr>
              <w:spacing w:before="60" w:after="60"/>
              <w:jc w:val="center"/>
              <w:rPr>
                <w:sz w:val="22"/>
                <w:szCs w:val="22"/>
              </w:rPr>
            </w:pPr>
            <w:r w:rsidRPr="00264D5D">
              <w:rPr>
                <w:sz w:val="22"/>
                <w:szCs w:val="22"/>
              </w:rPr>
              <w:t>П</w:t>
            </w:r>
          </w:p>
        </w:tc>
        <w:tc>
          <w:tcPr>
            <w:tcW w:w="1134" w:type="dxa"/>
          </w:tcPr>
          <w:p w14:paraId="6836FFD6" w14:textId="77777777" w:rsidR="00623679" w:rsidRPr="00264D5D" w:rsidRDefault="00623679" w:rsidP="00623679">
            <w:pPr>
              <w:spacing w:before="60" w:after="60"/>
              <w:jc w:val="left"/>
              <w:rPr>
                <w:sz w:val="22"/>
                <w:szCs w:val="22"/>
              </w:rPr>
            </w:pPr>
            <w:r w:rsidRPr="00264D5D">
              <w:rPr>
                <w:sz w:val="22"/>
                <w:szCs w:val="22"/>
              </w:rPr>
              <w:t>Т(1-3)</w:t>
            </w:r>
          </w:p>
        </w:tc>
        <w:tc>
          <w:tcPr>
            <w:tcW w:w="568" w:type="dxa"/>
          </w:tcPr>
          <w:p w14:paraId="2101A117" w14:textId="77777777" w:rsidR="00623679" w:rsidRPr="00264D5D" w:rsidRDefault="00623679" w:rsidP="00623679">
            <w:pPr>
              <w:spacing w:before="60" w:after="60"/>
              <w:jc w:val="center"/>
              <w:rPr>
                <w:sz w:val="22"/>
                <w:szCs w:val="22"/>
              </w:rPr>
            </w:pPr>
            <w:r w:rsidRPr="00264D5D">
              <w:rPr>
                <w:sz w:val="22"/>
                <w:szCs w:val="22"/>
              </w:rPr>
              <w:t>О</w:t>
            </w:r>
          </w:p>
        </w:tc>
        <w:tc>
          <w:tcPr>
            <w:tcW w:w="3964" w:type="dxa"/>
          </w:tcPr>
          <w:p w14:paraId="568DBBDB" w14:textId="77777777" w:rsidR="00623679" w:rsidRPr="00264D5D" w:rsidRDefault="00623679" w:rsidP="00623679">
            <w:pPr>
              <w:spacing w:before="60" w:after="60"/>
              <w:rPr>
                <w:sz w:val="22"/>
                <w:szCs w:val="22"/>
              </w:rPr>
            </w:pPr>
            <w:r w:rsidRPr="00264D5D">
              <w:rPr>
                <w:sz w:val="22"/>
                <w:szCs w:val="22"/>
              </w:rPr>
              <w:t>Указывается признак платежа, требующего подтверждения.</w:t>
            </w:r>
          </w:p>
          <w:p w14:paraId="166CABDC" w14:textId="77777777" w:rsidR="00623679" w:rsidRPr="00264D5D" w:rsidRDefault="00623679" w:rsidP="00623679">
            <w:pPr>
              <w:spacing w:before="60" w:after="60"/>
              <w:rPr>
                <w:sz w:val="22"/>
                <w:szCs w:val="22"/>
              </w:rPr>
            </w:pPr>
            <w:r w:rsidRPr="00264D5D">
              <w:rPr>
                <w:sz w:val="22"/>
                <w:szCs w:val="22"/>
              </w:rPr>
              <w:lastRenderedPageBreak/>
              <w:t>Допустимые значения:</w:t>
            </w:r>
          </w:p>
          <w:p w14:paraId="6209CE98" w14:textId="77777777" w:rsidR="00623679" w:rsidRPr="00264D5D" w:rsidRDefault="00623679" w:rsidP="00623679">
            <w:pPr>
              <w:pStyle w:val="GOSTTableListMark1"/>
              <w:numPr>
                <w:ilvl w:val="0"/>
                <w:numId w:val="65"/>
              </w:numPr>
              <w:tabs>
                <w:tab w:val="clear" w:pos="340"/>
                <w:tab w:val="num" w:pos="227"/>
              </w:tabs>
              <w:spacing w:before="60" w:after="60"/>
              <w:ind w:left="284"/>
              <w:jc w:val="both"/>
              <w:rPr>
                <w:szCs w:val="22"/>
              </w:rPr>
            </w:pPr>
            <w:r w:rsidRPr="00264D5D">
              <w:rPr>
                <w:szCs w:val="22"/>
              </w:rPr>
              <w:t>«Да» – если платеж авансовый;</w:t>
            </w:r>
          </w:p>
          <w:p w14:paraId="2D47757C" w14:textId="77777777" w:rsidR="00623679" w:rsidRPr="00264D5D" w:rsidRDefault="00623679" w:rsidP="00623679">
            <w:pPr>
              <w:pStyle w:val="GOSTTableListMark1"/>
              <w:numPr>
                <w:ilvl w:val="0"/>
                <w:numId w:val="65"/>
              </w:numPr>
              <w:tabs>
                <w:tab w:val="clear" w:pos="340"/>
                <w:tab w:val="num" w:pos="227"/>
              </w:tabs>
              <w:spacing w:before="60" w:after="60"/>
              <w:ind w:left="284"/>
              <w:jc w:val="both"/>
              <w:rPr>
                <w:szCs w:val="22"/>
              </w:rPr>
            </w:pPr>
            <w:r w:rsidRPr="00264D5D">
              <w:rPr>
                <w:szCs w:val="22"/>
              </w:rPr>
              <w:t>«Нет» – если платеж не авансовый.</w:t>
            </w:r>
          </w:p>
          <w:p w14:paraId="2972EED7" w14:textId="77777777" w:rsidR="00623679" w:rsidRPr="00264D5D" w:rsidRDefault="00623679" w:rsidP="00623679">
            <w:pPr>
              <w:spacing w:before="60" w:after="60"/>
              <w:rPr>
                <w:sz w:val="22"/>
                <w:szCs w:val="22"/>
              </w:rPr>
            </w:pPr>
            <w:r w:rsidRPr="00264D5D">
              <w:rPr>
                <w:sz w:val="22"/>
                <w:szCs w:val="22"/>
              </w:rPr>
              <w:t>Значение «Да» может указываться, если в реквизитах «Процент платежа, требующего подтверждения, от общей суммы бюджетного обязательства» или «Сумма платежа, требующего подтверждения» соответствующего Сведения о бюджетном обязательстве указаны значения, отличные от «0.00».</w:t>
            </w:r>
          </w:p>
          <w:p w14:paraId="39416AF3" w14:textId="77777777" w:rsidR="00623679" w:rsidRPr="00264D5D" w:rsidRDefault="00623679" w:rsidP="00623679">
            <w:pPr>
              <w:spacing w:before="60" w:after="60"/>
              <w:rPr>
                <w:sz w:val="22"/>
                <w:szCs w:val="22"/>
              </w:rPr>
            </w:pPr>
            <w:r w:rsidRPr="00264D5D">
              <w:rPr>
                <w:sz w:val="22"/>
                <w:szCs w:val="22"/>
              </w:rPr>
              <w:t>Значение «Нет» указывается, если в реквизитах «Процент платежа, требующего подтверждения, от общей суммы бюджетного обязательства» или «Сумма платежа, требующего подтверждения» соответствующего Сведения о бюджетном обязательстве указано значение «0.00»</w:t>
            </w:r>
          </w:p>
        </w:tc>
      </w:tr>
      <w:tr w:rsidR="00623679" w:rsidRPr="00264D5D" w14:paraId="77A80FDB"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699" w:type="dxa"/>
          </w:tcPr>
          <w:p w14:paraId="1EC1E033" w14:textId="77777777" w:rsidR="00623679" w:rsidRPr="00264D5D" w:rsidRDefault="00623679" w:rsidP="00623679">
            <w:pPr>
              <w:spacing w:before="60" w:after="60"/>
              <w:rPr>
                <w:sz w:val="22"/>
                <w:szCs w:val="22"/>
              </w:rPr>
            </w:pPr>
            <w:r w:rsidRPr="00264D5D">
              <w:rPr>
                <w:sz w:val="22"/>
                <w:szCs w:val="22"/>
              </w:rPr>
              <w:lastRenderedPageBreak/>
              <w:t>Код по ОКВ денежного обязательства</w:t>
            </w:r>
          </w:p>
        </w:tc>
        <w:tc>
          <w:tcPr>
            <w:tcW w:w="1701" w:type="dxa"/>
          </w:tcPr>
          <w:p w14:paraId="0EC2B4DC" w14:textId="77777777" w:rsidR="00623679" w:rsidRPr="00264D5D" w:rsidRDefault="00623679" w:rsidP="00623679">
            <w:pPr>
              <w:spacing w:before="60" w:after="60"/>
              <w:rPr>
                <w:sz w:val="22"/>
                <w:szCs w:val="22"/>
              </w:rPr>
            </w:pPr>
            <w:r w:rsidRPr="00264D5D">
              <w:rPr>
                <w:sz w:val="22"/>
                <w:szCs w:val="22"/>
              </w:rPr>
              <w:t>RcpBdjt_CdOKV</w:t>
            </w:r>
          </w:p>
        </w:tc>
        <w:tc>
          <w:tcPr>
            <w:tcW w:w="568" w:type="dxa"/>
          </w:tcPr>
          <w:p w14:paraId="5EA11577" w14:textId="77777777" w:rsidR="00623679" w:rsidRPr="00264D5D" w:rsidRDefault="00623679" w:rsidP="00623679">
            <w:pPr>
              <w:spacing w:before="60" w:after="60"/>
              <w:jc w:val="center"/>
              <w:rPr>
                <w:sz w:val="22"/>
                <w:szCs w:val="22"/>
              </w:rPr>
            </w:pPr>
            <w:r w:rsidRPr="00264D5D">
              <w:rPr>
                <w:sz w:val="22"/>
                <w:szCs w:val="22"/>
              </w:rPr>
              <w:t>П</w:t>
            </w:r>
          </w:p>
        </w:tc>
        <w:tc>
          <w:tcPr>
            <w:tcW w:w="1134" w:type="dxa"/>
          </w:tcPr>
          <w:p w14:paraId="64C16340" w14:textId="77777777" w:rsidR="00623679" w:rsidRPr="00264D5D" w:rsidRDefault="00623679" w:rsidP="00623679">
            <w:pPr>
              <w:spacing w:before="60" w:after="60"/>
              <w:jc w:val="left"/>
              <w:rPr>
                <w:sz w:val="22"/>
                <w:szCs w:val="22"/>
              </w:rPr>
            </w:pPr>
            <w:r w:rsidRPr="00264D5D">
              <w:rPr>
                <w:sz w:val="22"/>
                <w:szCs w:val="22"/>
              </w:rPr>
              <w:t>Т(3)</w:t>
            </w:r>
          </w:p>
        </w:tc>
        <w:tc>
          <w:tcPr>
            <w:tcW w:w="568" w:type="dxa"/>
          </w:tcPr>
          <w:p w14:paraId="6A09731A" w14:textId="77777777" w:rsidR="00623679" w:rsidRPr="00264D5D" w:rsidRDefault="00623679" w:rsidP="00623679">
            <w:pPr>
              <w:spacing w:before="60" w:after="60"/>
              <w:jc w:val="center"/>
              <w:rPr>
                <w:sz w:val="22"/>
                <w:szCs w:val="22"/>
              </w:rPr>
            </w:pPr>
            <w:r w:rsidRPr="00264D5D">
              <w:rPr>
                <w:sz w:val="22"/>
                <w:szCs w:val="22"/>
              </w:rPr>
              <w:t>О</w:t>
            </w:r>
          </w:p>
        </w:tc>
        <w:tc>
          <w:tcPr>
            <w:tcW w:w="3964" w:type="dxa"/>
          </w:tcPr>
          <w:p w14:paraId="07919905" w14:textId="77777777" w:rsidR="00623679" w:rsidRPr="00264D5D" w:rsidRDefault="00623679" w:rsidP="00623679">
            <w:pPr>
              <w:spacing w:before="60" w:after="60"/>
              <w:rPr>
                <w:sz w:val="22"/>
                <w:szCs w:val="22"/>
              </w:rPr>
            </w:pPr>
            <w:r w:rsidRPr="00264D5D">
              <w:rPr>
                <w:sz w:val="22"/>
                <w:szCs w:val="22"/>
              </w:rPr>
              <w:t>Цифровой код валюты по ОКВ</w:t>
            </w:r>
          </w:p>
        </w:tc>
      </w:tr>
      <w:tr w:rsidR="00623679" w:rsidRPr="00264D5D" w14:paraId="7F9F35CA"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9634" w:type="dxa"/>
            <w:gridSpan w:val="6"/>
          </w:tcPr>
          <w:p w14:paraId="057549DC" w14:textId="77777777" w:rsidR="00623679" w:rsidRPr="00264D5D" w:rsidRDefault="00623679" w:rsidP="00623679">
            <w:pPr>
              <w:spacing w:before="60" w:after="60"/>
              <w:rPr>
                <w:sz w:val="22"/>
                <w:szCs w:val="22"/>
              </w:rPr>
            </w:pPr>
            <w:r w:rsidRPr="00264D5D">
              <w:rPr>
                <w:b/>
                <w:sz w:val="22"/>
                <w:szCs w:val="22"/>
              </w:rPr>
              <w:t>Реквизиты документа, подтверждающего возникновение денежного обязательства</w:t>
            </w:r>
          </w:p>
        </w:tc>
      </w:tr>
      <w:tr w:rsidR="00623679" w:rsidRPr="00264D5D" w14:paraId="2823C80D"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699" w:type="dxa"/>
          </w:tcPr>
          <w:p w14:paraId="19DF816B" w14:textId="77777777" w:rsidR="00623679" w:rsidRPr="00264D5D" w:rsidRDefault="00623679" w:rsidP="00623679">
            <w:pPr>
              <w:spacing w:before="60" w:after="60"/>
              <w:rPr>
                <w:sz w:val="22"/>
                <w:szCs w:val="22"/>
              </w:rPr>
            </w:pPr>
            <w:r w:rsidRPr="00264D5D">
              <w:rPr>
                <w:sz w:val="22"/>
                <w:szCs w:val="22"/>
              </w:rPr>
              <w:t>Идентификатор этапа</w:t>
            </w:r>
          </w:p>
        </w:tc>
        <w:tc>
          <w:tcPr>
            <w:tcW w:w="1701" w:type="dxa"/>
          </w:tcPr>
          <w:p w14:paraId="2E74A33D" w14:textId="77777777" w:rsidR="00623679" w:rsidRPr="00264D5D" w:rsidRDefault="00623679" w:rsidP="00623679">
            <w:pPr>
              <w:spacing w:before="60" w:after="60"/>
              <w:rPr>
                <w:sz w:val="22"/>
                <w:szCs w:val="22"/>
              </w:rPr>
            </w:pPr>
            <w:r w:rsidRPr="00264D5D">
              <w:rPr>
                <w:sz w:val="22"/>
                <w:szCs w:val="22"/>
              </w:rPr>
              <w:t>RgCnfDc_Step</w:t>
            </w:r>
          </w:p>
        </w:tc>
        <w:tc>
          <w:tcPr>
            <w:tcW w:w="568" w:type="dxa"/>
          </w:tcPr>
          <w:p w14:paraId="4BA72BEF" w14:textId="77777777" w:rsidR="00623679" w:rsidRPr="00264D5D" w:rsidRDefault="00623679" w:rsidP="00623679">
            <w:pPr>
              <w:spacing w:before="60" w:after="60"/>
              <w:jc w:val="center"/>
              <w:rPr>
                <w:sz w:val="22"/>
                <w:szCs w:val="22"/>
              </w:rPr>
            </w:pPr>
            <w:r w:rsidRPr="00264D5D">
              <w:rPr>
                <w:sz w:val="22"/>
                <w:szCs w:val="22"/>
              </w:rPr>
              <w:t>П</w:t>
            </w:r>
          </w:p>
        </w:tc>
        <w:tc>
          <w:tcPr>
            <w:tcW w:w="1134" w:type="dxa"/>
          </w:tcPr>
          <w:p w14:paraId="674D4251" w14:textId="77777777" w:rsidR="00623679" w:rsidRPr="00264D5D" w:rsidRDefault="00623679" w:rsidP="00623679">
            <w:pPr>
              <w:spacing w:before="60" w:after="60"/>
              <w:jc w:val="left"/>
              <w:rPr>
                <w:sz w:val="22"/>
                <w:szCs w:val="22"/>
              </w:rPr>
            </w:pPr>
            <w:r w:rsidRPr="00264D5D">
              <w:rPr>
                <w:sz w:val="22"/>
                <w:szCs w:val="22"/>
              </w:rPr>
              <w:t>Т(1-20)</w:t>
            </w:r>
          </w:p>
        </w:tc>
        <w:tc>
          <w:tcPr>
            <w:tcW w:w="568" w:type="dxa"/>
          </w:tcPr>
          <w:p w14:paraId="19F61D1B" w14:textId="77777777" w:rsidR="00623679" w:rsidRPr="00264D5D" w:rsidRDefault="00623679" w:rsidP="00623679">
            <w:pPr>
              <w:spacing w:before="60" w:after="60"/>
              <w:jc w:val="center"/>
              <w:rPr>
                <w:sz w:val="22"/>
                <w:szCs w:val="22"/>
              </w:rPr>
            </w:pPr>
            <w:r w:rsidRPr="00264D5D">
              <w:rPr>
                <w:sz w:val="22"/>
                <w:szCs w:val="22"/>
              </w:rPr>
              <w:t>Н</w:t>
            </w:r>
          </w:p>
        </w:tc>
        <w:tc>
          <w:tcPr>
            <w:tcW w:w="3964" w:type="dxa"/>
          </w:tcPr>
          <w:p w14:paraId="11C75C12" w14:textId="77777777" w:rsidR="00623679" w:rsidRPr="00264D5D" w:rsidRDefault="00623679" w:rsidP="00623679">
            <w:pPr>
              <w:spacing w:before="60" w:after="60"/>
              <w:rPr>
                <w:sz w:val="22"/>
                <w:szCs w:val="22"/>
              </w:rPr>
            </w:pPr>
            <w:r w:rsidRPr="00264D5D">
              <w:rPr>
                <w:sz w:val="22"/>
                <w:szCs w:val="22"/>
              </w:rPr>
              <w:t>Указывается номер этапа государственного контракта в соответствии с документом- основанием</w:t>
            </w:r>
          </w:p>
        </w:tc>
      </w:tr>
      <w:tr w:rsidR="00623679" w:rsidRPr="00264D5D" w14:paraId="598ADAE6"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699" w:type="dxa"/>
          </w:tcPr>
          <w:p w14:paraId="7FBE6652" w14:textId="77777777" w:rsidR="00623679" w:rsidRPr="00264D5D" w:rsidRDefault="00623679" w:rsidP="00623679">
            <w:pPr>
              <w:spacing w:before="60" w:after="60"/>
              <w:rPr>
                <w:sz w:val="22"/>
                <w:szCs w:val="22"/>
              </w:rPr>
            </w:pPr>
            <w:r w:rsidRPr="00264D5D">
              <w:rPr>
                <w:sz w:val="22"/>
                <w:szCs w:val="22"/>
              </w:rPr>
              <w:t>Вид</w:t>
            </w:r>
          </w:p>
        </w:tc>
        <w:tc>
          <w:tcPr>
            <w:tcW w:w="1701" w:type="dxa"/>
          </w:tcPr>
          <w:p w14:paraId="4668628E" w14:textId="77777777" w:rsidR="00623679" w:rsidRPr="00264D5D" w:rsidRDefault="00623679" w:rsidP="00623679">
            <w:pPr>
              <w:spacing w:before="60" w:after="60"/>
              <w:rPr>
                <w:sz w:val="22"/>
                <w:szCs w:val="22"/>
              </w:rPr>
            </w:pPr>
            <w:r w:rsidRPr="00264D5D">
              <w:rPr>
                <w:sz w:val="22"/>
                <w:szCs w:val="22"/>
              </w:rPr>
              <w:t>RgCnfDc_TpCnfDc</w:t>
            </w:r>
          </w:p>
        </w:tc>
        <w:tc>
          <w:tcPr>
            <w:tcW w:w="568" w:type="dxa"/>
          </w:tcPr>
          <w:p w14:paraId="2D99CAB6" w14:textId="77777777" w:rsidR="00623679" w:rsidRPr="00264D5D" w:rsidRDefault="00623679" w:rsidP="00623679">
            <w:pPr>
              <w:spacing w:before="60" w:after="60"/>
              <w:jc w:val="center"/>
              <w:rPr>
                <w:sz w:val="22"/>
                <w:szCs w:val="22"/>
              </w:rPr>
            </w:pPr>
            <w:r w:rsidRPr="00264D5D">
              <w:rPr>
                <w:sz w:val="22"/>
                <w:szCs w:val="22"/>
              </w:rPr>
              <w:t>П</w:t>
            </w:r>
          </w:p>
        </w:tc>
        <w:tc>
          <w:tcPr>
            <w:tcW w:w="1134" w:type="dxa"/>
          </w:tcPr>
          <w:p w14:paraId="00027BE4" w14:textId="77777777" w:rsidR="00623679" w:rsidRPr="00264D5D" w:rsidRDefault="00623679" w:rsidP="00623679">
            <w:pPr>
              <w:spacing w:before="60" w:after="60"/>
              <w:jc w:val="left"/>
              <w:rPr>
                <w:sz w:val="22"/>
                <w:szCs w:val="22"/>
              </w:rPr>
            </w:pPr>
            <w:r w:rsidRPr="00264D5D">
              <w:rPr>
                <w:sz w:val="22"/>
                <w:szCs w:val="22"/>
              </w:rPr>
              <w:t>Т(1-100)</w:t>
            </w:r>
          </w:p>
        </w:tc>
        <w:tc>
          <w:tcPr>
            <w:tcW w:w="568" w:type="dxa"/>
          </w:tcPr>
          <w:p w14:paraId="7A579026" w14:textId="77777777" w:rsidR="00623679" w:rsidRPr="00264D5D" w:rsidRDefault="00623679" w:rsidP="00623679">
            <w:pPr>
              <w:spacing w:before="60" w:after="60"/>
              <w:jc w:val="center"/>
              <w:rPr>
                <w:sz w:val="22"/>
                <w:szCs w:val="22"/>
              </w:rPr>
            </w:pPr>
            <w:r w:rsidRPr="00264D5D">
              <w:rPr>
                <w:sz w:val="22"/>
                <w:szCs w:val="22"/>
              </w:rPr>
              <w:t>О</w:t>
            </w:r>
          </w:p>
        </w:tc>
        <w:tc>
          <w:tcPr>
            <w:tcW w:w="3964" w:type="dxa"/>
          </w:tcPr>
          <w:p w14:paraId="0C41F619" w14:textId="77777777" w:rsidR="00623679" w:rsidRPr="00264D5D" w:rsidRDefault="00623679" w:rsidP="00623679">
            <w:pPr>
              <w:spacing w:before="60" w:after="60"/>
              <w:rPr>
                <w:sz w:val="22"/>
                <w:szCs w:val="22"/>
              </w:rPr>
            </w:pPr>
            <w:r w:rsidRPr="00264D5D">
              <w:rPr>
                <w:sz w:val="22"/>
                <w:szCs w:val="22"/>
              </w:rPr>
              <w:t>Указывается наименование документа, являющегося основанием для возникновения денежного обязательства</w:t>
            </w:r>
          </w:p>
        </w:tc>
      </w:tr>
      <w:tr w:rsidR="00623679" w:rsidRPr="00264D5D" w14:paraId="343B41EE"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699" w:type="dxa"/>
          </w:tcPr>
          <w:p w14:paraId="3EFC7DC6" w14:textId="77777777" w:rsidR="00623679" w:rsidRPr="00264D5D" w:rsidRDefault="00623679" w:rsidP="00623679">
            <w:pPr>
              <w:spacing w:before="60" w:after="60"/>
              <w:rPr>
                <w:sz w:val="22"/>
                <w:szCs w:val="22"/>
              </w:rPr>
            </w:pPr>
            <w:r w:rsidRPr="00264D5D">
              <w:rPr>
                <w:sz w:val="22"/>
                <w:szCs w:val="22"/>
              </w:rPr>
              <w:t xml:space="preserve">Номер </w:t>
            </w:r>
          </w:p>
        </w:tc>
        <w:tc>
          <w:tcPr>
            <w:tcW w:w="1701" w:type="dxa"/>
          </w:tcPr>
          <w:p w14:paraId="7771F50F" w14:textId="77777777" w:rsidR="00623679" w:rsidRPr="00264D5D" w:rsidRDefault="00623679" w:rsidP="00623679">
            <w:pPr>
              <w:spacing w:before="60" w:after="60"/>
              <w:rPr>
                <w:sz w:val="22"/>
                <w:szCs w:val="22"/>
              </w:rPr>
            </w:pPr>
            <w:r w:rsidRPr="00264D5D">
              <w:rPr>
                <w:sz w:val="22"/>
                <w:szCs w:val="22"/>
              </w:rPr>
              <w:t>RgCnfDc_RmActCD</w:t>
            </w:r>
          </w:p>
        </w:tc>
        <w:tc>
          <w:tcPr>
            <w:tcW w:w="568" w:type="dxa"/>
          </w:tcPr>
          <w:p w14:paraId="69D3425F" w14:textId="77777777" w:rsidR="00623679" w:rsidRPr="00264D5D" w:rsidRDefault="00623679" w:rsidP="00623679">
            <w:pPr>
              <w:spacing w:before="60" w:after="60"/>
              <w:jc w:val="center"/>
              <w:rPr>
                <w:sz w:val="22"/>
                <w:szCs w:val="22"/>
              </w:rPr>
            </w:pPr>
            <w:r w:rsidRPr="00264D5D">
              <w:rPr>
                <w:sz w:val="22"/>
                <w:szCs w:val="22"/>
              </w:rPr>
              <w:t>П</w:t>
            </w:r>
          </w:p>
        </w:tc>
        <w:tc>
          <w:tcPr>
            <w:tcW w:w="1134" w:type="dxa"/>
          </w:tcPr>
          <w:p w14:paraId="68A63583" w14:textId="77777777" w:rsidR="00623679" w:rsidRPr="00264D5D" w:rsidRDefault="00623679" w:rsidP="00623679">
            <w:pPr>
              <w:spacing w:before="60" w:after="60"/>
              <w:jc w:val="left"/>
              <w:rPr>
                <w:sz w:val="22"/>
                <w:szCs w:val="22"/>
              </w:rPr>
            </w:pPr>
            <w:r w:rsidRPr="00264D5D">
              <w:rPr>
                <w:sz w:val="22"/>
                <w:szCs w:val="22"/>
              </w:rPr>
              <w:t>Т(1-100)</w:t>
            </w:r>
          </w:p>
        </w:tc>
        <w:tc>
          <w:tcPr>
            <w:tcW w:w="568" w:type="dxa"/>
          </w:tcPr>
          <w:p w14:paraId="4B5FDE39" w14:textId="77777777" w:rsidR="00623679" w:rsidRPr="00264D5D" w:rsidRDefault="00623679" w:rsidP="00623679">
            <w:pPr>
              <w:spacing w:before="60" w:after="60"/>
              <w:jc w:val="center"/>
              <w:rPr>
                <w:sz w:val="22"/>
                <w:szCs w:val="22"/>
              </w:rPr>
            </w:pPr>
            <w:r w:rsidRPr="00264D5D">
              <w:rPr>
                <w:sz w:val="22"/>
                <w:szCs w:val="22"/>
              </w:rPr>
              <w:t>Н</w:t>
            </w:r>
          </w:p>
        </w:tc>
        <w:tc>
          <w:tcPr>
            <w:tcW w:w="3964" w:type="dxa"/>
          </w:tcPr>
          <w:p w14:paraId="37DCFF4F" w14:textId="77777777" w:rsidR="00623679" w:rsidRPr="00264D5D" w:rsidRDefault="00623679" w:rsidP="00623679">
            <w:pPr>
              <w:spacing w:before="60" w:after="60"/>
              <w:rPr>
                <w:sz w:val="22"/>
                <w:szCs w:val="22"/>
              </w:rPr>
            </w:pPr>
            <w:r w:rsidRPr="00264D5D">
              <w:rPr>
                <w:sz w:val="22"/>
                <w:szCs w:val="22"/>
              </w:rPr>
              <w:t>Указывается номер документа, подтверждающего возникновение денежного обязательства (при наличии)</w:t>
            </w:r>
          </w:p>
        </w:tc>
      </w:tr>
      <w:tr w:rsidR="00623679" w:rsidRPr="00264D5D" w14:paraId="6EA6182B"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699" w:type="dxa"/>
          </w:tcPr>
          <w:p w14:paraId="605D2532" w14:textId="77777777" w:rsidR="00623679" w:rsidRPr="00264D5D" w:rsidRDefault="00623679" w:rsidP="00623679">
            <w:pPr>
              <w:spacing w:before="60" w:after="60"/>
              <w:rPr>
                <w:sz w:val="22"/>
                <w:szCs w:val="22"/>
              </w:rPr>
            </w:pPr>
            <w:r w:rsidRPr="00264D5D">
              <w:rPr>
                <w:sz w:val="22"/>
                <w:szCs w:val="22"/>
              </w:rPr>
              <w:t xml:space="preserve">Дата </w:t>
            </w:r>
          </w:p>
        </w:tc>
        <w:tc>
          <w:tcPr>
            <w:tcW w:w="1701" w:type="dxa"/>
          </w:tcPr>
          <w:p w14:paraId="7068D1EB" w14:textId="77777777" w:rsidR="00623679" w:rsidRPr="00264D5D" w:rsidRDefault="00623679" w:rsidP="00623679">
            <w:pPr>
              <w:spacing w:before="60" w:after="60"/>
              <w:rPr>
                <w:sz w:val="22"/>
                <w:szCs w:val="22"/>
              </w:rPr>
            </w:pPr>
            <w:r w:rsidRPr="00264D5D">
              <w:rPr>
                <w:sz w:val="22"/>
                <w:szCs w:val="22"/>
              </w:rPr>
              <w:t>RgCnfDc_DtCntrctCD</w:t>
            </w:r>
          </w:p>
        </w:tc>
        <w:tc>
          <w:tcPr>
            <w:tcW w:w="568" w:type="dxa"/>
          </w:tcPr>
          <w:p w14:paraId="004A0DA6" w14:textId="77777777" w:rsidR="00623679" w:rsidRPr="00264D5D" w:rsidRDefault="00623679" w:rsidP="00623679">
            <w:pPr>
              <w:spacing w:before="60" w:after="60"/>
              <w:jc w:val="center"/>
              <w:rPr>
                <w:sz w:val="22"/>
                <w:szCs w:val="22"/>
              </w:rPr>
            </w:pPr>
            <w:r w:rsidRPr="00264D5D">
              <w:rPr>
                <w:sz w:val="22"/>
                <w:szCs w:val="22"/>
              </w:rPr>
              <w:t>П</w:t>
            </w:r>
          </w:p>
        </w:tc>
        <w:tc>
          <w:tcPr>
            <w:tcW w:w="1134" w:type="dxa"/>
          </w:tcPr>
          <w:p w14:paraId="33FA54B9" w14:textId="77777777" w:rsidR="00623679" w:rsidRPr="00264D5D" w:rsidRDefault="00623679" w:rsidP="00623679">
            <w:pPr>
              <w:spacing w:before="60" w:after="60"/>
              <w:jc w:val="left"/>
              <w:rPr>
                <w:sz w:val="22"/>
                <w:szCs w:val="22"/>
              </w:rPr>
            </w:pPr>
            <w:r w:rsidRPr="00264D5D">
              <w:rPr>
                <w:sz w:val="22"/>
                <w:szCs w:val="22"/>
              </w:rPr>
              <w:t>Date</w:t>
            </w:r>
          </w:p>
        </w:tc>
        <w:tc>
          <w:tcPr>
            <w:tcW w:w="568" w:type="dxa"/>
          </w:tcPr>
          <w:p w14:paraId="2591189F" w14:textId="77777777" w:rsidR="00623679" w:rsidRPr="00264D5D" w:rsidRDefault="00623679" w:rsidP="00623679">
            <w:pPr>
              <w:spacing w:before="60" w:after="60"/>
              <w:jc w:val="center"/>
              <w:rPr>
                <w:sz w:val="22"/>
                <w:szCs w:val="22"/>
              </w:rPr>
            </w:pPr>
            <w:r w:rsidRPr="00264D5D">
              <w:rPr>
                <w:sz w:val="22"/>
                <w:szCs w:val="22"/>
              </w:rPr>
              <w:t>О</w:t>
            </w:r>
          </w:p>
        </w:tc>
        <w:tc>
          <w:tcPr>
            <w:tcW w:w="3964" w:type="dxa"/>
          </w:tcPr>
          <w:p w14:paraId="4A6A64B4" w14:textId="77777777" w:rsidR="00623679" w:rsidRPr="00264D5D" w:rsidRDefault="00623679" w:rsidP="00623679">
            <w:pPr>
              <w:spacing w:before="60" w:after="60"/>
              <w:rPr>
                <w:sz w:val="22"/>
                <w:szCs w:val="22"/>
              </w:rPr>
            </w:pPr>
            <w:r w:rsidRPr="00264D5D">
              <w:rPr>
                <w:sz w:val="22"/>
                <w:szCs w:val="22"/>
              </w:rPr>
              <w:t>Указывается дата документа, подтверждающего возникновение денежного обязательства</w:t>
            </w:r>
          </w:p>
        </w:tc>
      </w:tr>
      <w:tr w:rsidR="00623679" w:rsidRPr="00264D5D" w14:paraId="23E4EEFB"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699" w:type="dxa"/>
          </w:tcPr>
          <w:p w14:paraId="74FA0E19" w14:textId="77777777" w:rsidR="00623679" w:rsidRPr="00264D5D" w:rsidRDefault="00623679" w:rsidP="00623679">
            <w:pPr>
              <w:spacing w:before="60" w:after="60"/>
              <w:rPr>
                <w:sz w:val="22"/>
                <w:szCs w:val="22"/>
              </w:rPr>
            </w:pPr>
            <w:r w:rsidRPr="00264D5D">
              <w:rPr>
                <w:sz w:val="22"/>
                <w:szCs w:val="22"/>
              </w:rPr>
              <w:t>Предмет по документу, подтверждающему возникновение денежного обязательства</w:t>
            </w:r>
          </w:p>
        </w:tc>
        <w:tc>
          <w:tcPr>
            <w:tcW w:w="1701" w:type="dxa"/>
          </w:tcPr>
          <w:p w14:paraId="37FBC540" w14:textId="77777777" w:rsidR="00623679" w:rsidRPr="00264D5D" w:rsidRDefault="00623679" w:rsidP="00623679">
            <w:pPr>
              <w:spacing w:before="60" w:after="60"/>
              <w:rPr>
                <w:sz w:val="22"/>
                <w:szCs w:val="22"/>
              </w:rPr>
            </w:pPr>
            <w:r w:rsidRPr="00264D5D">
              <w:rPr>
                <w:sz w:val="22"/>
                <w:szCs w:val="22"/>
              </w:rPr>
              <w:t>RgCnfDc_SbjCnDc</w:t>
            </w:r>
          </w:p>
        </w:tc>
        <w:tc>
          <w:tcPr>
            <w:tcW w:w="568" w:type="dxa"/>
          </w:tcPr>
          <w:p w14:paraId="50CAFEF1" w14:textId="77777777" w:rsidR="00623679" w:rsidRPr="00264D5D" w:rsidRDefault="00623679" w:rsidP="00623679">
            <w:pPr>
              <w:spacing w:before="60" w:after="60"/>
              <w:jc w:val="center"/>
              <w:rPr>
                <w:sz w:val="22"/>
                <w:szCs w:val="22"/>
              </w:rPr>
            </w:pPr>
            <w:r w:rsidRPr="00264D5D">
              <w:rPr>
                <w:sz w:val="22"/>
                <w:szCs w:val="22"/>
              </w:rPr>
              <w:t>П</w:t>
            </w:r>
          </w:p>
        </w:tc>
        <w:tc>
          <w:tcPr>
            <w:tcW w:w="1134" w:type="dxa"/>
          </w:tcPr>
          <w:p w14:paraId="16A34376" w14:textId="77777777" w:rsidR="00623679" w:rsidRPr="00264D5D" w:rsidRDefault="00623679" w:rsidP="00623679">
            <w:pPr>
              <w:spacing w:before="60" w:after="60"/>
              <w:jc w:val="left"/>
              <w:rPr>
                <w:sz w:val="22"/>
                <w:szCs w:val="22"/>
              </w:rPr>
            </w:pPr>
            <w:r w:rsidRPr="00264D5D">
              <w:rPr>
                <w:sz w:val="22"/>
                <w:szCs w:val="22"/>
              </w:rPr>
              <w:t>Т(1-4000)</w:t>
            </w:r>
          </w:p>
        </w:tc>
        <w:tc>
          <w:tcPr>
            <w:tcW w:w="568" w:type="dxa"/>
          </w:tcPr>
          <w:p w14:paraId="105FCC87" w14:textId="77777777" w:rsidR="00623679" w:rsidRPr="00264D5D" w:rsidRDefault="00623679" w:rsidP="00623679">
            <w:pPr>
              <w:spacing w:before="60" w:after="60"/>
              <w:jc w:val="center"/>
              <w:rPr>
                <w:sz w:val="22"/>
                <w:szCs w:val="22"/>
              </w:rPr>
            </w:pPr>
            <w:r w:rsidRPr="00264D5D">
              <w:rPr>
                <w:sz w:val="22"/>
                <w:szCs w:val="22"/>
              </w:rPr>
              <w:t>О</w:t>
            </w:r>
          </w:p>
        </w:tc>
        <w:tc>
          <w:tcPr>
            <w:tcW w:w="3964" w:type="dxa"/>
          </w:tcPr>
          <w:p w14:paraId="46361588" w14:textId="77777777" w:rsidR="00623679" w:rsidRPr="00264D5D" w:rsidRDefault="00623679" w:rsidP="00623679">
            <w:pPr>
              <w:spacing w:before="60" w:after="60"/>
              <w:rPr>
                <w:sz w:val="22"/>
                <w:szCs w:val="22"/>
              </w:rPr>
            </w:pPr>
            <w:r w:rsidRPr="00264D5D">
              <w:rPr>
                <w:sz w:val="22"/>
                <w:szCs w:val="22"/>
              </w:rPr>
              <w:t>Указывается наименование товаров (работ, услуг) в соответствии с документом, подтверждающим возникновение денежного обязательства</w:t>
            </w:r>
          </w:p>
        </w:tc>
      </w:tr>
      <w:tr w:rsidR="00623679" w:rsidRPr="00264D5D" w14:paraId="6F7C8E59"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699" w:type="dxa"/>
          </w:tcPr>
          <w:p w14:paraId="20B0CE3B" w14:textId="77777777" w:rsidR="00623679" w:rsidRPr="00264D5D" w:rsidRDefault="00623679" w:rsidP="00623679">
            <w:pPr>
              <w:spacing w:before="60" w:after="60"/>
              <w:rPr>
                <w:sz w:val="22"/>
                <w:szCs w:val="22"/>
              </w:rPr>
            </w:pPr>
            <w:r w:rsidRPr="00264D5D">
              <w:rPr>
                <w:sz w:val="22"/>
                <w:szCs w:val="22"/>
              </w:rPr>
              <w:lastRenderedPageBreak/>
              <w:t>Закупка товара, работы, услуги по государственному оборонному заказу</w:t>
            </w:r>
          </w:p>
        </w:tc>
        <w:tc>
          <w:tcPr>
            <w:tcW w:w="1701" w:type="dxa"/>
          </w:tcPr>
          <w:p w14:paraId="39E46601" w14:textId="77777777" w:rsidR="00623679" w:rsidRPr="00264D5D" w:rsidRDefault="00623679" w:rsidP="00623679">
            <w:pPr>
              <w:spacing w:before="60" w:after="60"/>
              <w:rPr>
                <w:sz w:val="22"/>
                <w:szCs w:val="22"/>
              </w:rPr>
            </w:pPr>
            <w:r w:rsidRPr="00264D5D">
              <w:rPr>
                <w:sz w:val="22"/>
                <w:szCs w:val="22"/>
              </w:rPr>
              <w:t>RcpBdjt_PurGoods</w:t>
            </w:r>
          </w:p>
        </w:tc>
        <w:tc>
          <w:tcPr>
            <w:tcW w:w="568" w:type="dxa"/>
          </w:tcPr>
          <w:p w14:paraId="0A2A1387" w14:textId="77777777" w:rsidR="00623679" w:rsidRPr="00264D5D" w:rsidRDefault="00623679" w:rsidP="00623679">
            <w:pPr>
              <w:spacing w:before="60" w:after="60"/>
              <w:jc w:val="center"/>
              <w:rPr>
                <w:sz w:val="22"/>
                <w:szCs w:val="22"/>
              </w:rPr>
            </w:pPr>
            <w:r w:rsidRPr="00264D5D">
              <w:rPr>
                <w:sz w:val="22"/>
                <w:szCs w:val="22"/>
              </w:rPr>
              <w:t>П</w:t>
            </w:r>
          </w:p>
        </w:tc>
        <w:tc>
          <w:tcPr>
            <w:tcW w:w="1134" w:type="dxa"/>
          </w:tcPr>
          <w:p w14:paraId="0B3BC962" w14:textId="77777777" w:rsidR="00623679" w:rsidRPr="00264D5D" w:rsidRDefault="00623679" w:rsidP="00623679">
            <w:pPr>
              <w:spacing w:before="60" w:after="60"/>
              <w:jc w:val="left"/>
              <w:rPr>
                <w:sz w:val="22"/>
                <w:szCs w:val="22"/>
              </w:rPr>
            </w:pPr>
            <w:r w:rsidRPr="00264D5D">
              <w:rPr>
                <w:sz w:val="22"/>
                <w:szCs w:val="22"/>
              </w:rPr>
              <w:t>BOOLEAN</w:t>
            </w:r>
          </w:p>
        </w:tc>
        <w:tc>
          <w:tcPr>
            <w:tcW w:w="568" w:type="dxa"/>
          </w:tcPr>
          <w:p w14:paraId="0FA975F1" w14:textId="77777777" w:rsidR="00623679" w:rsidRPr="00264D5D" w:rsidRDefault="00623679" w:rsidP="00623679">
            <w:pPr>
              <w:spacing w:before="60" w:after="60"/>
              <w:jc w:val="center"/>
              <w:rPr>
                <w:sz w:val="22"/>
                <w:szCs w:val="22"/>
              </w:rPr>
            </w:pPr>
            <w:r w:rsidRPr="00264D5D">
              <w:rPr>
                <w:sz w:val="22"/>
                <w:szCs w:val="22"/>
              </w:rPr>
              <w:t>Н</w:t>
            </w:r>
          </w:p>
        </w:tc>
        <w:tc>
          <w:tcPr>
            <w:tcW w:w="3964" w:type="dxa"/>
          </w:tcPr>
          <w:p w14:paraId="731E6102" w14:textId="77777777" w:rsidR="00623679" w:rsidRPr="00264D5D" w:rsidRDefault="00623679" w:rsidP="00623679">
            <w:pPr>
              <w:spacing w:before="60" w:after="60"/>
              <w:rPr>
                <w:sz w:val="22"/>
                <w:szCs w:val="22"/>
              </w:rPr>
            </w:pPr>
            <w:r w:rsidRPr="00264D5D">
              <w:rPr>
                <w:sz w:val="22"/>
                <w:szCs w:val="22"/>
              </w:rPr>
              <w:t>Признак закупки товара, работы, услуги по государственному оборонному заказу в соответствии с ФЗ № 275-ФЗ от 29 декабря 2012 г.</w:t>
            </w:r>
          </w:p>
        </w:tc>
      </w:tr>
      <w:tr w:rsidR="00623679" w:rsidRPr="00264D5D" w14:paraId="0DE48DB0" w14:textId="77777777" w:rsidTr="00AD1F54">
        <w:trPr>
          <w:cnfStyle w:val="000000010000" w:firstRow="0" w:lastRow="0" w:firstColumn="0" w:lastColumn="0" w:oddVBand="0" w:evenVBand="0" w:oddHBand="0" w:evenHBand="1" w:firstRowFirstColumn="0" w:firstRowLastColumn="0" w:lastRowFirstColumn="0" w:lastRowLastColumn="0"/>
          <w:trHeight w:val="733"/>
        </w:trPr>
        <w:tc>
          <w:tcPr>
            <w:tcW w:w="1699" w:type="dxa"/>
          </w:tcPr>
          <w:p w14:paraId="186DD9A8" w14:textId="77777777" w:rsidR="00623679" w:rsidRPr="00264D5D" w:rsidRDefault="00623679" w:rsidP="00623679">
            <w:pPr>
              <w:spacing w:before="60" w:after="60"/>
              <w:rPr>
                <w:sz w:val="22"/>
                <w:szCs w:val="22"/>
              </w:rPr>
            </w:pPr>
            <w:r w:rsidRPr="00264D5D">
              <w:rPr>
                <w:sz w:val="22"/>
                <w:szCs w:val="22"/>
              </w:rPr>
              <w:t xml:space="preserve">Сумма </w:t>
            </w:r>
          </w:p>
        </w:tc>
        <w:tc>
          <w:tcPr>
            <w:tcW w:w="1701" w:type="dxa"/>
          </w:tcPr>
          <w:p w14:paraId="4943B61B" w14:textId="77777777" w:rsidR="00623679" w:rsidRPr="00264D5D" w:rsidRDefault="00623679" w:rsidP="00623679">
            <w:pPr>
              <w:spacing w:before="60" w:after="60"/>
              <w:rPr>
                <w:sz w:val="22"/>
                <w:szCs w:val="22"/>
              </w:rPr>
            </w:pPr>
            <w:r w:rsidRPr="00264D5D">
              <w:rPr>
                <w:sz w:val="22"/>
                <w:szCs w:val="22"/>
              </w:rPr>
              <w:t>RgCnfDc_SmSbsd</w:t>
            </w:r>
          </w:p>
        </w:tc>
        <w:tc>
          <w:tcPr>
            <w:tcW w:w="568" w:type="dxa"/>
          </w:tcPr>
          <w:p w14:paraId="45AE0CDD" w14:textId="77777777" w:rsidR="00623679" w:rsidRPr="00264D5D" w:rsidRDefault="00623679" w:rsidP="00623679">
            <w:pPr>
              <w:spacing w:before="60" w:after="60"/>
              <w:jc w:val="center"/>
              <w:rPr>
                <w:sz w:val="22"/>
                <w:szCs w:val="22"/>
              </w:rPr>
            </w:pPr>
            <w:r w:rsidRPr="00264D5D">
              <w:rPr>
                <w:sz w:val="22"/>
                <w:szCs w:val="22"/>
              </w:rPr>
              <w:t>П</w:t>
            </w:r>
          </w:p>
        </w:tc>
        <w:tc>
          <w:tcPr>
            <w:tcW w:w="1134" w:type="dxa"/>
          </w:tcPr>
          <w:p w14:paraId="41305912" w14:textId="77777777" w:rsidR="00623679" w:rsidRPr="00264D5D" w:rsidRDefault="00623679" w:rsidP="00623679">
            <w:pPr>
              <w:spacing w:before="60" w:after="60"/>
              <w:jc w:val="left"/>
              <w:rPr>
                <w:sz w:val="22"/>
                <w:szCs w:val="22"/>
              </w:rPr>
            </w:pPr>
            <w:r w:rsidRPr="00264D5D">
              <w:rPr>
                <w:sz w:val="22"/>
                <w:szCs w:val="22"/>
              </w:rPr>
              <w:t>N(20.2)</w:t>
            </w:r>
          </w:p>
        </w:tc>
        <w:tc>
          <w:tcPr>
            <w:tcW w:w="568" w:type="dxa"/>
          </w:tcPr>
          <w:p w14:paraId="76D5D8C2" w14:textId="77777777" w:rsidR="00623679" w:rsidRPr="00264D5D" w:rsidRDefault="00623679" w:rsidP="00623679">
            <w:pPr>
              <w:spacing w:before="60" w:after="60"/>
              <w:jc w:val="center"/>
              <w:rPr>
                <w:sz w:val="22"/>
                <w:szCs w:val="22"/>
              </w:rPr>
            </w:pPr>
            <w:r w:rsidRPr="00264D5D">
              <w:rPr>
                <w:sz w:val="22"/>
                <w:szCs w:val="22"/>
              </w:rPr>
              <w:t>О</w:t>
            </w:r>
          </w:p>
        </w:tc>
        <w:tc>
          <w:tcPr>
            <w:tcW w:w="3964" w:type="dxa"/>
          </w:tcPr>
          <w:p w14:paraId="04E986C9" w14:textId="77777777" w:rsidR="00623679" w:rsidRPr="00264D5D" w:rsidRDefault="00623679" w:rsidP="00623679">
            <w:pPr>
              <w:spacing w:before="60" w:after="60"/>
              <w:rPr>
                <w:sz w:val="22"/>
                <w:szCs w:val="22"/>
              </w:rPr>
            </w:pPr>
            <w:r w:rsidRPr="00264D5D">
              <w:rPr>
                <w:sz w:val="22"/>
                <w:szCs w:val="22"/>
              </w:rPr>
              <w:t>Указывается сумма документа, подтверждающего возникновение денежного обязательства</w:t>
            </w:r>
          </w:p>
        </w:tc>
      </w:tr>
      <w:tr w:rsidR="00623679" w:rsidRPr="00264D5D" w14:paraId="442FB8B7"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699" w:type="dxa"/>
          </w:tcPr>
          <w:p w14:paraId="141C430D" w14:textId="77777777" w:rsidR="00623679" w:rsidRPr="00264D5D" w:rsidRDefault="00623679" w:rsidP="00623679">
            <w:pPr>
              <w:spacing w:before="60" w:after="60"/>
              <w:rPr>
                <w:sz w:val="22"/>
                <w:szCs w:val="22"/>
              </w:rPr>
            </w:pPr>
            <w:r w:rsidRPr="00264D5D">
              <w:rPr>
                <w:sz w:val="22"/>
                <w:szCs w:val="22"/>
              </w:rPr>
              <w:t>Расшифровка документа, подтверждающего возникновение денежного обязательства</w:t>
            </w:r>
          </w:p>
        </w:tc>
        <w:tc>
          <w:tcPr>
            <w:tcW w:w="1701" w:type="dxa"/>
          </w:tcPr>
          <w:p w14:paraId="1B450059" w14:textId="77777777" w:rsidR="00623679" w:rsidRPr="00264D5D" w:rsidRDefault="00623679" w:rsidP="00623679">
            <w:pPr>
              <w:spacing w:before="60" w:after="60"/>
              <w:rPr>
                <w:sz w:val="22"/>
                <w:szCs w:val="22"/>
              </w:rPr>
            </w:pPr>
            <w:r w:rsidRPr="00264D5D">
              <w:rPr>
                <w:sz w:val="22"/>
                <w:szCs w:val="22"/>
              </w:rPr>
              <w:t>Pmn</w:t>
            </w:r>
          </w:p>
        </w:tc>
        <w:tc>
          <w:tcPr>
            <w:tcW w:w="568" w:type="dxa"/>
          </w:tcPr>
          <w:p w14:paraId="412B19C5" w14:textId="77777777" w:rsidR="00623679" w:rsidRPr="00264D5D" w:rsidRDefault="00623679" w:rsidP="00623679">
            <w:pPr>
              <w:spacing w:before="60" w:after="60"/>
              <w:jc w:val="center"/>
              <w:rPr>
                <w:sz w:val="22"/>
                <w:szCs w:val="22"/>
              </w:rPr>
            </w:pPr>
            <w:r w:rsidRPr="00264D5D">
              <w:rPr>
                <w:sz w:val="22"/>
                <w:szCs w:val="22"/>
              </w:rPr>
              <w:t>С</w:t>
            </w:r>
          </w:p>
        </w:tc>
        <w:tc>
          <w:tcPr>
            <w:tcW w:w="1134" w:type="dxa"/>
          </w:tcPr>
          <w:p w14:paraId="2D886053" w14:textId="77777777" w:rsidR="00623679" w:rsidRPr="00264D5D" w:rsidRDefault="00623679" w:rsidP="00623679">
            <w:pPr>
              <w:spacing w:before="60" w:after="60"/>
              <w:jc w:val="left"/>
              <w:rPr>
                <w:sz w:val="22"/>
                <w:szCs w:val="22"/>
              </w:rPr>
            </w:pPr>
            <w:r w:rsidRPr="00264D5D">
              <w:rPr>
                <w:sz w:val="22"/>
                <w:szCs w:val="22"/>
              </w:rPr>
              <w:t>tPmn</w:t>
            </w:r>
          </w:p>
        </w:tc>
        <w:tc>
          <w:tcPr>
            <w:tcW w:w="568" w:type="dxa"/>
          </w:tcPr>
          <w:p w14:paraId="63E42E1C" w14:textId="77777777" w:rsidR="00623679" w:rsidRPr="00264D5D" w:rsidRDefault="00623679" w:rsidP="00623679">
            <w:pPr>
              <w:spacing w:before="60" w:after="60"/>
              <w:jc w:val="center"/>
              <w:rPr>
                <w:sz w:val="22"/>
                <w:szCs w:val="22"/>
              </w:rPr>
            </w:pPr>
            <w:r w:rsidRPr="00264D5D">
              <w:rPr>
                <w:sz w:val="22"/>
                <w:szCs w:val="22"/>
              </w:rPr>
              <w:t>О</w:t>
            </w:r>
          </w:p>
        </w:tc>
        <w:tc>
          <w:tcPr>
            <w:tcW w:w="3964" w:type="dxa"/>
          </w:tcPr>
          <w:p w14:paraId="43C9DFD5" w14:textId="77777777" w:rsidR="00623679" w:rsidRPr="00264D5D" w:rsidRDefault="00623679" w:rsidP="00623679">
            <w:pPr>
              <w:spacing w:before="60" w:after="60"/>
              <w:rPr>
                <w:sz w:val="22"/>
                <w:szCs w:val="22"/>
              </w:rPr>
            </w:pPr>
            <w:r w:rsidRPr="00264D5D">
              <w:rPr>
                <w:sz w:val="22"/>
                <w:szCs w:val="22"/>
              </w:rPr>
              <w:t>Расшифровка документа, подтверждающего возникновение денежного обязательства.</w:t>
            </w:r>
          </w:p>
          <w:p w14:paraId="329CCB4B" w14:textId="2DBCE512" w:rsidR="00623679" w:rsidRPr="00264D5D" w:rsidRDefault="00623679" w:rsidP="00623679">
            <w:pPr>
              <w:spacing w:before="60" w:after="60"/>
              <w:rPr>
                <w:sz w:val="22"/>
                <w:szCs w:val="22"/>
              </w:rPr>
            </w:pPr>
            <w:r w:rsidRPr="00264D5D">
              <w:rPr>
                <w:sz w:val="22"/>
                <w:szCs w:val="22"/>
              </w:rPr>
              <w:t xml:space="preserve">Состав элемента представлен в таблице </w:t>
            </w:r>
            <w:r w:rsidRPr="00264D5D">
              <w:rPr>
                <w:sz w:val="22"/>
                <w:szCs w:val="22"/>
              </w:rPr>
              <w:fldChar w:fldCharType="begin"/>
            </w:r>
            <w:r w:rsidRPr="00264D5D">
              <w:rPr>
                <w:sz w:val="22"/>
                <w:szCs w:val="22"/>
              </w:rPr>
              <w:instrText xml:space="preserve"> REF _Ref465953925 \h  \* MERGEFORMAT </w:instrText>
            </w:r>
            <w:r w:rsidRPr="00264D5D">
              <w:rPr>
                <w:sz w:val="22"/>
                <w:szCs w:val="22"/>
              </w:rPr>
            </w:r>
            <w:r w:rsidRPr="00264D5D">
              <w:rPr>
                <w:sz w:val="22"/>
                <w:szCs w:val="22"/>
              </w:rPr>
              <w:fldChar w:fldCharType="separate"/>
            </w:r>
            <w:r w:rsidR="008D797C" w:rsidRPr="008D797C">
              <w:rPr>
                <w:sz w:val="22"/>
                <w:szCs w:val="22"/>
              </w:rPr>
              <w:t>153</w:t>
            </w:r>
            <w:r w:rsidRPr="00264D5D">
              <w:rPr>
                <w:sz w:val="22"/>
                <w:szCs w:val="22"/>
              </w:rPr>
              <w:fldChar w:fldCharType="end"/>
            </w:r>
          </w:p>
        </w:tc>
      </w:tr>
      <w:tr w:rsidR="00623679" w:rsidRPr="00264D5D" w14:paraId="4E204ED1"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699" w:type="dxa"/>
          </w:tcPr>
          <w:p w14:paraId="75CE0E5B" w14:textId="77777777" w:rsidR="00623679" w:rsidRPr="00264D5D" w:rsidRDefault="00623679" w:rsidP="00623679">
            <w:pPr>
              <w:spacing w:before="60" w:after="60"/>
              <w:rPr>
                <w:sz w:val="22"/>
                <w:szCs w:val="22"/>
              </w:rPr>
            </w:pPr>
            <w:r w:rsidRPr="00264D5D">
              <w:rPr>
                <w:sz w:val="22"/>
                <w:szCs w:val="22"/>
              </w:rPr>
              <w:t>Итого Сумма в рублевом эквиваленте</w:t>
            </w:r>
          </w:p>
        </w:tc>
        <w:tc>
          <w:tcPr>
            <w:tcW w:w="1701" w:type="dxa"/>
          </w:tcPr>
          <w:p w14:paraId="7D09BD01" w14:textId="77777777" w:rsidR="00623679" w:rsidRPr="00264D5D" w:rsidRDefault="00623679" w:rsidP="00623679">
            <w:pPr>
              <w:spacing w:before="60" w:after="60"/>
              <w:rPr>
                <w:sz w:val="22"/>
                <w:szCs w:val="22"/>
              </w:rPr>
            </w:pPr>
            <w:r w:rsidRPr="00264D5D">
              <w:rPr>
                <w:sz w:val="22"/>
                <w:szCs w:val="22"/>
              </w:rPr>
              <w:t>Itog_SmRbTtl</w:t>
            </w:r>
          </w:p>
        </w:tc>
        <w:tc>
          <w:tcPr>
            <w:tcW w:w="568" w:type="dxa"/>
          </w:tcPr>
          <w:p w14:paraId="79A4CA9E" w14:textId="77777777" w:rsidR="00623679" w:rsidRPr="00264D5D" w:rsidRDefault="00623679" w:rsidP="00623679">
            <w:pPr>
              <w:spacing w:before="60" w:after="60"/>
              <w:jc w:val="center"/>
              <w:rPr>
                <w:sz w:val="22"/>
                <w:szCs w:val="22"/>
              </w:rPr>
            </w:pPr>
            <w:r w:rsidRPr="00264D5D">
              <w:rPr>
                <w:sz w:val="22"/>
                <w:szCs w:val="22"/>
              </w:rPr>
              <w:t>П</w:t>
            </w:r>
          </w:p>
        </w:tc>
        <w:tc>
          <w:tcPr>
            <w:tcW w:w="1134" w:type="dxa"/>
          </w:tcPr>
          <w:p w14:paraId="41FE07F5" w14:textId="77777777" w:rsidR="00623679" w:rsidRPr="00264D5D" w:rsidRDefault="00623679" w:rsidP="00623679">
            <w:pPr>
              <w:spacing w:before="60" w:after="60"/>
              <w:jc w:val="left"/>
              <w:rPr>
                <w:sz w:val="22"/>
                <w:szCs w:val="22"/>
              </w:rPr>
            </w:pPr>
            <w:r w:rsidRPr="00264D5D">
              <w:rPr>
                <w:sz w:val="22"/>
                <w:szCs w:val="22"/>
              </w:rPr>
              <w:t>N(20.2)</w:t>
            </w:r>
          </w:p>
        </w:tc>
        <w:tc>
          <w:tcPr>
            <w:tcW w:w="568" w:type="dxa"/>
          </w:tcPr>
          <w:p w14:paraId="498425E2" w14:textId="77777777" w:rsidR="00623679" w:rsidRPr="00264D5D" w:rsidRDefault="00623679" w:rsidP="00623679">
            <w:pPr>
              <w:spacing w:before="60" w:after="60"/>
              <w:jc w:val="center"/>
              <w:rPr>
                <w:sz w:val="22"/>
                <w:szCs w:val="22"/>
              </w:rPr>
            </w:pPr>
            <w:r w:rsidRPr="00264D5D">
              <w:rPr>
                <w:sz w:val="22"/>
                <w:szCs w:val="22"/>
              </w:rPr>
              <w:t>О</w:t>
            </w:r>
          </w:p>
        </w:tc>
        <w:tc>
          <w:tcPr>
            <w:tcW w:w="3964" w:type="dxa"/>
          </w:tcPr>
          <w:p w14:paraId="6DAE2DCF" w14:textId="77777777" w:rsidR="00623679" w:rsidRPr="00264D5D" w:rsidRDefault="00623679" w:rsidP="00623679">
            <w:pPr>
              <w:spacing w:before="60" w:after="60"/>
              <w:rPr>
                <w:sz w:val="22"/>
                <w:szCs w:val="22"/>
              </w:rPr>
            </w:pPr>
            <w:r w:rsidRPr="00264D5D">
              <w:rPr>
                <w:sz w:val="22"/>
                <w:szCs w:val="22"/>
              </w:rPr>
              <w:t>Итого Сумма в рублевом эквиваленте</w:t>
            </w:r>
          </w:p>
        </w:tc>
      </w:tr>
      <w:tr w:rsidR="00623679" w:rsidRPr="00264D5D" w14:paraId="73DE4547"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699" w:type="dxa"/>
          </w:tcPr>
          <w:p w14:paraId="487C8210" w14:textId="77777777" w:rsidR="00623679" w:rsidRPr="00264D5D" w:rsidRDefault="00623679" w:rsidP="00623679">
            <w:pPr>
              <w:spacing w:before="60" w:after="60"/>
              <w:rPr>
                <w:sz w:val="22"/>
                <w:szCs w:val="22"/>
              </w:rPr>
            </w:pPr>
            <w:r w:rsidRPr="00264D5D">
              <w:rPr>
                <w:sz w:val="22"/>
                <w:szCs w:val="22"/>
              </w:rPr>
              <w:t>Итого перечислено сумм аванса</w:t>
            </w:r>
          </w:p>
        </w:tc>
        <w:tc>
          <w:tcPr>
            <w:tcW w:w="1701" w:type="dxa"/>
          </w:tcPr>
          <w:p w14:paraId="6B968D5B" w14:textId="77777777" w:rsidR="00623679" w:rsidRPr="00264D5D" w:rsidRDefault="00623679" w:rsidP="00623679">
            <w:pPr>
              <w:spacing w:before="60" w:after="60"/>
              <w:rPr>
                <w:sz w:val="22"/>
                <w:szCs w:val="22"/>
              </w:rPr>
            </w:pPr>
            <w:r w:rsidRPr="00264D5D">
              <w:rPr>
                <w:sz w:val="22"/>
                <w:szCs w:val="22"/>
              </w:rPr>
              <w:t>Itog_PrpdExpnsTtl</w:t>
            </w:r>
          </w:p>
        </w:tc>
        <w:tc>
          <w:tcPr>
            <w:tcW w:w="568" w:type="dxa"/>
          </w:tcPr>
          <w:p w14:paraId="09B9CB55" w14:textId="77777777" w:rsidR="00623679" w:rsidRPr="00264D5D" w:rsidRDefault="00623679" w:rsidP="00623679">
            <w:pPr>
              <w:spacing w:before="60" w:after="60"/>
              <w:jc w:val="center"/>
              <w:rPr>
                <w:sz w:val="22"/>
                <w:szCs w:val="22"/>
              </w:rPr>
            </w:pPr>
            <w:r w:rsidRPr="00264D5D">
              <w:rPr>
                <w:sz w:val="22"/>
                <w:szCs w:val="22"/>
              </w:rPr>
              <w:t>П</w:t>
            </w:r>
          </w:p>
        </w:tc>
        <w:tc>
          <w:tcPr>
            <w:tcW w:w="1134" w:type="dxa"/>
          </w:tcPr>
          <w:p w14:paraId="37BA2551" w14:textId="77777777" w:rsidR="00623679" w:rsidRPr="00264D5D" w:rsidRDefault="00623679" w:rsidP="00623679">
            <w:pPr>
              <w:spacing w:before="60" w:after="60"/>
              <w:jc w:val="left"/>
              <w:rPr>
                <w:sz w:val="22"/>
                <w:szCs w:val="22"/>
              </w:rPr>
            </w:pPr>
            <w:r w:rsidRPr="00264D5D">
              <w:rPr>
                <w:sz w:val="22"/>
                <w:szCs w:val="22"/>
              </w:rPr>
              <w:t>N(20.2)</w:t>
            </w:r>
          </w:p>
        </w:tc>
        <w:tc>
          <w:tcPr>
            <w:tcW w:w="568" w:type="dxa"/>
          </w:tcPr>
          <w:p w14:paraId="7B36590F" w14:textId="77777777" w:rsidR="00623679" w:rsidRPr="00264D5D" w:rsidRDefault="00623679" w:rsidP="00623679">
            <w:pPr>
              <w:spacing w:before="60" w:after="60"/>
              <w:jc w:val="center"/>
              <w:rPr>
                <w:sz w:val="22"/>
                <w:szCs w:val="22"/>
              </w:rPr>
            </w:pPr>
            <w:r w:rsidRPr="00264D5D">
              <w:rPr>
                <w:sz w:val="22"/>
                <w:szCs w:val="22"/>
              </w:rPr>
              <w:t>О</w:t>
            </w:r>
          </w:p>
        </w:tc>
        <w:tc>
          <w:tcPr>
            <w:tcW w:w="3964" w:type="dxa"/>
          </w:tcPr>
          <w:p w14:paraId="6F037CF9" w14:textId="77777777" w:rsidR="00623679" w:rsidRPr="00264D5D" w:rsidRDefault="00623679" w:rsidP="00623679">
            <w:pPr>
              <w:spacing w:before="60" w:after="60"/>
              <w:rPr>
                <w:sz w:val="22"/>
                <w:szCs w:val="22"/>
              </w:rPr>
            </w:pPr>
            <w:r w:rsidRPr="00264D5D">
              <w:rPr>
                <w:sz w:val="22"/>
                <w:szCs w:val="22"/>
              </w:rPr>
              <w:t>Итого перечислено сумм аванса</w:t>
            </w:r>
          </w:p>
        </w:tc>
      </w:tr>
      <w:tr w:rsidR="00623679" w:rsidRPr="00264D5D" w14:paraId="44E112A9"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699" w:type="dxa"/>
          </w:tcPr>
          <w:p w14:paraId="3114B97E" w14:textId="77777777" w:rsidR="00623679" w:rsidRPr="00264D5D" w:rsidRDefault="00623679" w:rsidP="00623679">
            <w:pPr>
              <w:spacing w:before="60" w:after="60"/>
              <w:rPr>
                <w:sz w:val="22"/>
                <w:szCs w:val="22"/>
              </w:rPr>
            </w:pPr>
            <w:r w:rsidRPr="00264D5D">
              <w:rPr>
                <w:sz w:val="22"/>
                <w:szCs w:val="22"/>
              </w:rPr>
              <w:t>Дополнительные сведения по документу-основанию</w:t>
            </w:r>
          </w:p>
        </w:tc>
        <w:tc>
          <w:tcPr>
            <w:tcW w:w="1701" w:type="dxa"/>
          </w:tcPr>
          <w:p w14:paraId="031CE4A1" w14:textId="77777777" w:rsidR="00623679" w:rsidRPr="00264D5D" w:rsidRDefault="00623679" w:rsidP="00623679">
            <w:pPr>
              <w:spacing w:before="60" w:after="60"/>
              <w:rPr>
                <w:sz w:val="22"/>
                <w:szCs w:val="22"/>
              </w:rPr>
            </w:pPr>
            <w:r w:rsidRPr="00264D5D">
              <w:rPr>
                <w:sz w:val="22"/>
                <w:szCs w:val="22"/>
              </w:rPr>
              <w:t>UPD</w:t>
            </w:r>
          </w:p>
        </w:tc>
        <w:tc>
          <w:tcPr>
            <w:tcW w:w="568" w:type="dxa"/>
          </w:tcPr>
          <w:p w14:paraId="067B9D67" w14:textId="77777777" w:rsidR="00623679" w:rsidRPr="00264D5D" w:rsidRDefault="00623679" w:rsidP="00623679">
            <w:pPr>
              <w:spacing w:before="60" w:after="60"/>
              <w:jc w:val="center"/>
              <w:rPr>
                <w:sz w:val="22"/>
                <w:szCs w:val="22"/>
              </w:rPr>
            </w:pPr>
            <w:r w:rsidRPr="00264D5D">
              <w:rPr>
                <w:sz w:val="22"/>
                <w:szCs w:val="22"/>
              </w:rPr>
              <w:t>С</w:t>
            </w:r>
          </w:p>
        </w:tc>
        <w:tc>
          <w:tcPr>
            <w:tcW w:w="1134" w:type="dxa"/>
          </w:tcPr>
          <w:p w14:paraId="4F5232A4" w14:textId="77777777" w:rsidR="00623679" w:rsidRPr="00264D5D" w:rsidRDefault="00623679" w:rsidP="00623679">
            <w:pPr>
              <w:spacing w:before="60" w:after="60"/>
              <w:jc w:val="left"/>
              <w:rPr>
                <w:sz w:val="22"/>
                <w:szCs w:val="22"/>
              </w:rPr>
            </w:pPr>
            <w:r w:rsidRPr="00264D5D">
              <w:rPr>
                <w:sz w:val="22"/>
                <w:szCs w:val="22"/>
              </w:rPr>
              <w:t>tUPD</w:t>
            </w:r>
          </w:p>
        </w:tc>
        <w:tc>
          <w:tcPr>
            <w:tcW w:w="568" w:type="dxa"/>
          </w:tcPr>
          <w:p w14:paraId="1F6D8D38" w14:textId="77777777" w:rsidR="00623679" w:rsidRPr="00264D5D" w:rsidRDefault="00623679" w:rsidP="00623679">
            <w:pPr>
              <w:spacing w:before="60" w:after="60"/>
              <w:jc w:val="center"/>
              <w:rPr>
                <w:sz w:val="22"/>
                <w:szCs w:val="22"/>
              </w:rPr>
            </w:pPr>
            <w:r w:rsidRPr="00264D5D">
              <w:rPr>
                <w:sz w:val="22"/>
                <w:szCs w:val="22"/>
              </w:rPr>
              <w:t>Н</w:t>
            </w:r>
          </w:p>
        </w:tc>
        <w:tc>
          <w:tcPr>
            <w:tcW w:w="3964" w:type="dxa"/>
          </w:tcPr>
          <w:p w14:paraId="48CF6B1E" w14:textId="77777777" w:rsidR="00623679" w:rsidRPr="00264D5D" w:rsidRDefault="00623679" w:rsidP="00623679">
            <w:pPr>
              <w:spacing w:before="60" w:after="60"/>
              <w:rPr>
                <w:sz w:val="22"/>
                <w:szCs w:val="22"/>
              </w:rPr>
            </w:pPr>
            <w:r w:rsidRPr="00264D5D">
              <w:rPr>
                <w:sz w:val="22"/>
                <w:szCs w:val="22"/>
              </w:rPr>
              <w:t>Дополнительные сведения по документу-основанию.</w:t>
            </w:r>
          </w:p>
          <w:p w14:paraId="584D4C91" w14:textId="77777777" w:rsidR="00623679" w:rsidRPr="00264D5D" w:rsidRDefault="00623679" w:rsidP="00623679">
            <w:pPr>
              <w:spacing w:before="60" w:after="60"/>
              <w:rPr>
                <w:sz w:val="22"/>
                <w:szCs w:val="22"/>
              </w:rPr>
            </w:pPr>
            <w:r w:rsidRPr="00264D5D">
              <w:rPr>
                <w:sz w:val="22"/>
                <w:szCs w:val="22"/>
              </w:rPr>
              <w:t xml:space="preserve">Раздел заполняется при передаче документов между ИС ФК. </w:t>
            </w:r>
          </w:p>
          <w:p w14:paraId="287F3B62" w14:textId="77777777" w:rsidR="00623679" w:rsidRPr="00264D5D" w:rsidRDefault="00623679" w:rsidP="00623679">
            <w:pPr>
              <w:spacing w:before="60" w:after="60"/>
              <w:rPr>
                <w:sz w:val="22"/>
                <w:szCs w:val="22"/>
              </w:rPr>
            </w:pPr>
            <w:r w:rsidRPr="00264D5D">
              <w:rPr>
                <w:sz w:val="22"/>
                <w:szCs w:val="22"/>
              </w:rPr>
              <w:t>При передаче документов из ИС клиентов в ИС ФК раздел не заполняется.</w:t>
            </w:r>
          </w:p>
          <w:p w14:paraId="3415D6E0" w14:textId="45C44F95" w:rsidR="00623679" w:rsidRPr="00264D5D" w:rsidRDefault="00623679" w:rsidP="00623679">
            <w:pPr>
              <w:spacing w:before="60" w:after="60"/>
              <w:rPr>
                <w:sz w:val="22"/>
                <w:szCs w:val="22"/>
              </w:rPr>
            </w:pPr>
            <w:r w:rsidRPr="00264D5D">
              <w:rPr>
                <w:sz w:val="22"/>
                <w:szCs w:val="22"/>
              </w:rPr>
              <w:t xml:space="preserve">Состав элемента представлен в таблице </w:t>
            </w:r>
            <w:r w:rsidRPr="00264D5D">
              <w:rPr>
                <w:sz w:val="22"/>
                <w:szCs w:val="22"/>
              </w:rPr>
              <w:fldChar w:fldCharType="begin"/>
            </w:r>
            <w:r w:rsidRPr="00264D5D">
              <w:rPr>
                <w:sz w:val="22"/>
                <w:szCs w:val="22"/>
              </w:rPr>
              <w:instrText xml:space="preserve"> REF _Ref14707764 \h  \* MERGEFORMAT </w:instrText>
            </w:r>
            <w:r w:rsidRPr="00264D5D">
              <w:rPr>
                <w:sz w:val="22"/>
                <w:szCs w:val="22"/>
              </w:rPr>
            </w:r>
            <w:r w:rsidRPr="00264D5D">
              <w:rPr>
                <w:sz w:val="22"/>
                <w:szCs w:val="22"/>
              </w:rPr>
              <w:fldChar w:fldCharType="separate"/>
            </w:r>
            <w:r w:rsidR="008D797C" w:rsidRPr="008D797C">
              <w:rPr>
                <w:sz w:val="22"/>
                <w:szCs w:val="22"/>
              </w:rPr>
              <w:t>155</w:t>
            </w:r>
            <w:r w:rsidRPr="00264D5D">
              <w:rPr>
                <w:sz w:val="22"/>
                <w:szCs w:val="22"/>
              </w:rPr>
              <w:fldChar w:fldCharType="end"/>
            </w:r>
          </w:p>
        </w:tc>
      </w:tr>
      <w:tr w:rsidR="00623679" w:rsidRPr="00264D5D" w14:paraId="44B5B16F"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699" w:type="dxa"/>
          </w:tcPr>
          <w:p w14:paraId="0995BB95" w14:textId="77777777" w:rsidR="00623679" w:rsidRPr="00264D5D" w:rsidRDefault="00623679" w:rsidP="00623679">
            <w:pPr>
              <w:spacing w:before="60" w:after="60"/>
              <w:rPr>
                <w:sz w:val="22"/>
                <w:szCs w:val="22"/>
              </w:rPr>
            </w:pPr>
            <w:r w:rsidRPr="00264D5D">
              <w:rPr>
                <w:sz w:val="22"/>
                <w:szCs w:val="22"/>
              </w:rPr>
              <w:t>Контроль ДО</w:t>
            </w:r>
          </w:p>
        </w:tc>
        <w:tc>
          <w:tcPr>
            <w:tcW w:w="1701" w:type="dxa"/>
          </w:tcPr>
          <w:p w14:paraId="504A02F8" w14:textId="77777777" w:rsidR="00623679" w:rsidRPr="00264D5D" w:rsidRDefault="00623679" w:rsidP="00623679">
            <w:pPr>
              <w:spacing w:before="60" w:after="60"/>
              <w:rPr>
                <w:sz w:val="22"/>
                <w:szCs w:val="22"/>
              </w:rPr>
            </w:pPr>
            <w:r w:rsidRPr="00264D5D">
              <w:rPr>
                <w:sz w:val="22"/>
                <w:szCs w:val="22"/>
                <w:lang w:val="en-US"/>
              </w:rPr>
              <w:t>CntrlNf</w:t>
            </w:r>
          </w:p>
        </w:tc>
        <w:tc>
          <w:tcPr>
            <w:tcW w:w="568" w:type="dxa"/>
          </w:tcPr>
          <w:p w14:paraId="4260B4A4" w14:textId="77777777" w:rsidR="00623679" w:rsidRPr="00264D5D" w:rsidRDefault="00623679" w:rsidP="00623679">
            <w:pPr>
              <w:spacing w:before="60" w:after="60"/>
              <w:jc w:val="center"/>
              <w:rPr>
                <w:sz w:val="22"/>
                <w:szCs w:val="22"/>
              </w:rPr>
            </w:pPr>
            <w:r w:rsidRPr="00264D5D">
              <w:rPr>
                <w:sz w:val="22"/>
                <w:szCs w:val="22"/>
              </w:rPr>
              <w:t>С</w:t>
            </w:r>
          </w:p>
        </w:tc>
        <w:tc>
          <w:tcPr>
            <w:tcW w:w="1134" w:type="dxa"/>
          </w:tcPr>
          <w:p w14:paraId="12FEDB89" w14:textId="77777777" w:rsidR="00623679" w:rsidRPr="00264D5D" w:rsidRDefault="00623679" w:rsidP="00623679">
            <w:pPr>
              <w:spacing w:before="60" w:after="60"/>
              <w:jc w:val="left"/>
              <w:rPr>
                <w:sz w:val="22"/>
                <w:szCs w:val="22"/>
              </w:rPr>
            </w:pPr>
            <w:r w:rsidRPr="00264D5D">
              <w:rPr>
                <w:sz w:val="22"/>
                <w:szCs w:val="22"/>
                <w:lang w:val="en-US"/>
              </w:rPr>
              <w:t>tCntrlNf</w:t>
            </w:r>
          </w:p>
        </w:tc>
        <w:tc>
          <w:tcPr>
            <w:tcW w:w="568" w:type="dxa"/>
          </w:tcPr>
          <w:p w14:paraId="5638D615" w14:textId="77777777" w:rsidR="00623679" w:rsidRPr="00264D5D" w:rsidRDefault="00623679" w:rsidP="00623679">
            <w:pPr>
              <w:spacing w:before="60" w:after="60"/>
              <w:jc w:val="center"/>
              <w:rPr>
                <w:sz w:val="22"/>
                <w:szCs w:val="22"/>
              </w:rPr>
            </w:pPr>
            <w:r w:rsidRPr="00264D5D">
              <w:rPr>
                <w:sz w:val="22"/>
                <w:szCs w:val="22"/>
              </w:rPr>
              <w:t>Н</w:t>
            </w:r>
          </w:p>
        </w:tc>
        <w:tc>
          <w:tcPr>
            <w:tcW w:w="3964" w:type="dxa"/>
          </w:tcPr>
          <w:p w14:paraId="5D79D020" w14:textId="77777777" w:rsidR="00623679" w:rsidRPr="00264D5D" w:rsidRDefault="00623679" w:rsidP="00623679">
            <w:pPr>
              <w:spacing w:before="60" w:after="60"/>
              <w:rPr>
                <w:sz w:val="22"/>
                <w:szCs w:val="22"/>
              </w:rPr>
            </w:pPr>
            <w:r w:rsidRPr="00264D5D">
              <w:rPr>
                <w:sz w:val="22"/>
                <w:szCs w:val="22"/>
              </w:rPr>
              <w:t>Контроль ДО.</w:t>
            </w:r>
          </w:p>
          <w:p w14:paraId="25323611" w14:textId="77777777" w:rsidR="00623679" w:rsidRPr="00264D5D" w:rsidRDefault="00623679" w:rsidP="00623679">
            <w:pPr>
              <w:spacing w:before="60" w:after="60"/>
              <w:rPr>
                <w:sz w:val="22"/>
                <w:szCs w:val="22"/>
              </w:rPr>
            </w:pPr>
            <w:r w:rsidRPr="00264D5D">
              <w:rPr>
                <w:sz w:val="22"/>
                <w:szCs w:val="22"/>
              </w:rPr>
              <w:t>Блок заполняется только при внутреннем взаимодействии ИС ФК (при необходимости, в соответствии с отдельным регламентом).</w:t>
            </w:r>
          </w:p>
          <w:p w14:paraId="1250E6DF" w14:textId="3821510E" w:rsidR="00623679" w:rsidRPr="00264D5D" w:rsidRDefault="00623679" w:rsidP="00623679">
            <w:pPr>
              <w:spacing w:before="60" w:after="60"/>
              <w:rPr>
                <w:sz w:val="22"/>
                <w:szCs w:val="22"/>
              </w:rPr>
            </w:pPr>
            <w:r w:rsidRPr="00264D5D">
              <w:rPr>
                <w:sz w:val="22"/>
                <w:szCs w:val="22"/>
              </w:rPr>
              <w:t xml:space="preserve"> Состав элемента представлен в таблице</w:t>
            </w:r>
            <w:r w:rsidRPr="00264D5D">
              <w:rPr>
                <w:b/>
                <w:bCs/>
                <w:sz w:val="22"/>
                <w:szCs w:val="22"/>
              </w:rPr>
              <w:t xml:space="preserve"> </w:t>
            </w:r>
            <w:r w:rsidRPr="00264D5D">
              <w:rPr>
                <w:b/>
                <w:bCs/>
                <w:sz w:val="22"/>
                <w:szCs w:val="22"/>
              </w:rPr>
              <w:fldChar w:fldCharType="begin"/>
            </w:r>
            <w:r w:rsidRPr="00264D5D">
              <w:rPr>
                <w:b/>
                <w:bCs/>
                <w:sz w:val="22"/>
                <w:szCs w:val="22"/>
              </w:rPr>
              <w:instrText xml:space="preserve"> REF _Ref117271972 \h  \* MERGEFORMAT </w:instrText>
            </w:r>
            <w:r w:rsidRPr="00264D5D">
              <w:rPr>
                <w:b/>
                <w:bCs/>
                <w:sz w:val="22"/>
                <w:szCs w:val="22"/>
              </w:rPr>
            </w:r>
            <w:r w:rsidRPr="00264D5D">
              <w:rPr>
                <w:b/>
                <w:bCs/>
                <w:sz w:val="22"/>
                <w:szCs w:val="22"/>
              </w:rPr>
              <w:fldChar w:fldCharType="separate"/>
            </w:r>
            <w:r w:rsidR="008D797C" w:rsidRPr="008D797C">
              <w:rPr>
                <w:sz w:val="22"/>
                <w:szCs w:val="22"/>
              </w:rPr>
              <w:t>158</w:t>
            </w:r>
            <w:r w:rsidRPr="00264D5D">
              <w:rPr>
                <w:b/>
                <w:bCs/>
                <w:sz w:val="22"/>
                <w:szCs w:val="22"/>
              </w:rPr>
              <w:fldChar w:fldCharType="end"/>
            </w:r>
          </w:p>
        </w:tc>
      </w:tr>
      <w:tr w:rsidR="00623679" w:rsidRPr="00264D5D" w14:paraId="793B90CD"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9634" w:type="dxa"/>
            <w:gridSpan w:val="6"/>
          </w:tcPr>
          <w:p w14:paraId="0964C08D" w14:textId="77777777" w:rsidR="00623679" w:rsidRPr="00264D5D" w:rsidRDefault="00623679" w:rsidP="00623679">
            <w:pPr>
              <w:spacing w:before="60" w:after="60"/>
              <w:rPr>
                <w:sz w:val="22"/>
                <w:szCs w:val="22"/>
              </w:rPr>
            </w:pPr>
            <w:r w:rsidRPr="00264D5D">
              <w:rPr>
                <w:b/>
                <w:sz w:val="22"/>
                <w:szCs w:val="22"/>
              </w:rPr>
              <w:t>Подписи</w:t>
            </w:r>
          </w:p>
        </w:tc>
      </w:tr>
      <w:tr w:rsidR="00623679" w:rsidRPr="00264D5D" w14:paraId="0B74DA46"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699" w:type="dxa"/>
          </w:tcPr>
          <w:p w14:paraId="7D2EEF6C" w14:textId="77777777" w:rsidR="00623679" w:rsidRPr="00264D5D" w:rsidRDefault="00623679" w:rsidP="00623679">
            <w:pPr>
              <w:spacing w:before="60" w:after="60"/>
              <w:rPr>
                <w:sz w:val="22"/>
                <w:szCs w:val="22"/>
              </w:rPr>
            </w:pPr>
            <w:r w:rsidRPr="00264D5D">
              <w:rPr>
                <w:sz w:val="22"/>
                <w:szCs w:val="22"/>
              </w:rPr>
              <w:t xml:space="preserve">Должность руководителя </w:t>
            </w:r>
            <w:r w:rsidRPr="00264D5D">
              <w:rPr>
                <w:sz w:val="22"/>
                <w:szCs w:val="22"/>
              </w:rPr>
              <w:lastRenderedPageBreak/>
              <w:t>(уполномоченного лица)</w:t>
            </w:r>
          </w:p>
        </w:tc>
        <w:tc>
          <w:tcPr>
            <w:tcW w:w="1701" w:type="dxa"/>
          </w:tcPr>
          <w:p w14:paraId="0CA3F241" w14:textId="77777777" w:rsidR="00623679" w:rsidRPr="00264D5D" w:rsidRDefault="00623679" w:rsidP="00623679">
            <w:pPr>
              <w:spacing w:before="60" w:after="60"/>
              <w:rPr>
                <w:sz w:val="22"/>
                <w:szCs w:val="22"/>
              </w:rPr>
            </w:pPr>
            <w:r w:rsidRPr="00264D5D">
              <w:rPr>
                <w:sz w:val="22"/>
                <w:szCs w:val="22"/>
              </w:rPr>
              <w:lastRenderedPageBreak/>
              <w:t>Sgnng_NmHd</w:t>
            </w:r>
          </w:p>
        </w:tc>
        <w:tc>
          <w:tcPr>
            <w:tcW w:w="568" w:type="dxa"/>
          </w:tcPr>
          <w:p w14:paraId="0891705F" w14:textId="77777777" w:rsidR="00623679" w:rsidRPr="00264D5D" w:rsidRDefault="00623679" w:rsidP="00623679">
            <w:pPr>
              <w:spacing w:before="60" w:after="60"/>
              <w:jc w:val="center"/>
              <w:rPr>
                <w:sz w:val="22"/>
                <w:szCs w:val="22"/>
              </w:rPr>
            </w:pPr>
            <w:r w:rsidRPr="00264D5D">
              <w:rPr>
                <w:sz w:val="22"/>
                <w:szCs w:val="22"/>
              </w:rPr>
              <w:t>П</w:t>
            </w:r>
          </w:p>
        </w:tc>
        <w:tc>
          <w:tcPr>
            <w:tcW w:w="1134" w:type="dxa"/>
          </w:tcPr>
          <w:p w14:paraId="4E90AE4C" w14:textId="77777777" w:rsidR="00623679" w:rsidRPr="00264D5D" w:rsidRDefault="00623679" w:rsidP="00623679">
            <w:pPr>
              <w:spacing w:before="60" w:after="60"/>
              <w:jc w:val="left"/>
              <w:rPr>
                <w:sz w:val="22"/>
                <w:szCs w:val="22"/>
              </w:rPr>
            </w:pPr>
            <w:r w:rsidRPr="00264D5D">
              <w:rPr>
                <w:sz w:val="22"/>
                <w:szCs w:val="22"/>
              </w:rPr>
              <w:t>Т(1-100)</w:t>
            </w:r>
          </w:p>
        </w:tc>
        <w:tc>
          <w:tcPr>
            <w:tcW w:w="568" w:type="dxa"/>
          </w:tcPr>
          <w:p w14:paraId="1F7B85E2" w14:textId="77777777" w:rsidR="00623679" w:rsidRPr="00264D5D" w:rsidRDefault="00623679" w:rsidP="00623679">
            <w:pPr>
              <w:spacing w:before="60" w:after="60"/>
              <w:jc w:val="center"/>
              <w:rPr>
                <w:sz w:val="22"/>
                <w:szCs w:val="22"/>
              </w:rPr>
            </w:pPr>
            <w:r w:rsidRPr="00264D5D">
              <w:rPr>
                <w:sz w:val="22"/>
                <w:szCs w:val="22"/>
              </w:rPr>
              <w:t>Н</w:t>
            </w:r>
          </w:p>
        </w:tc>
        <w:tc>
          <w:tcPr>
            <w:tcW w:w="3964" w:type="dxa"/>
          </w:tcPr>
          <w:p w14:paraId="60CBF4A2" w14:textId="77777777" w:rsidR="00623679" w:rsidRPr="00264D5D" w:rsidRDefault="00623679" w:rsidP="00623679">
            <w:pPr>
              <w:spacing w:before="60" w:after="60"/>
              <w:rPr>
                <w:sz w:val="22"/>
                <w:szCs w:val="22"/>
              </w:rPr>
            </w:pPr>
            <w:r w:rsidRPr="00264D5D">
              <w:rPr>
                <w:sz w:val="22"/>
                <w:szCs w:val="22"/>
              </w:rPr>
              <w:t xml:space="preserve">Должность руководителя (уполномоченного им лица) клиента или </w:t>
            </w:r>
            <w:r w:rsidRPr="00264D5D">
              <w:rPr>
                <w:sz w:val="22"/>
                <w:szCs w:val="22"/>
              </w:rPr>
              <w:lastRenderedPageBreak/>
              <w:t>ТОФК, сформировавшего данный документ</w:t>
            </w:r>
          </w:p>
        </w:tc>
      </w:tr>
      <w:tr w:rsidR="00623679" w:rsidRPr="00264D5D" w14:paraId="765F3884"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699" w:type="dxa"/>
          </w:tcPr>
          <w:p w14:paraId="1CE666BB" w14:textId="77777777" w:rsidR="00623679" w:rsidRPr="00264D5D" w:rsidRDefault="00623679" w:rsidP="00623679">
            <w:pPr>
              <w:spacing w:before="60" w:after="60"/>
              <w:rPr>
                <w:sz w:val="22"/>
                <w:szCs w:val="22"/>
              </w:rPr>
            </w:pPr>
            <w:r w:rsidRPr="00264D5D">
              <w:rPr>
                <w:sz w:val="22"/>
                <w:szCs w:val="22"/>
              </w:rPr>
              <w:lastRenderedPageBreak/>
              <w:t>ФИО руководителя (уполномоченного лица)</w:t>
            </w:r>
          </w:p>
        </w:tc>
        <w:tc>
          <w:tcPr>
            <w:tcW w:w="1701" w:type="dxa"/>
          </w:tcPr>
          <w:p w14:paraId="4DFFC95B" w14:textId="77777777" w:rsidR="00623679" w:rsidRPr="00264D5D" w:rsidRDefault="00623679" w:rsidP="00623679">
            <w:pPr>
              <w:spacing w:before="60" w:after="60"/>
              <w:rPr>
                <w:sz w:val="22"/>
                <w:szCs w:val="22"/>
              </w:rPr>
            </w:pPr>
            <w:r w:rsidRPr="00264D5D">
              <w:rPr>
                <w:sz w:val="22"/>
                <w:szCs w:val="22"/>
              </w:rPr>
              <w:t>Sgnng_PstHd</w:t>
            </w:r>
          </w:p>
        </w:tc>
        <w:tc>
          <w:tcPr>
            <w:tcW w:w="568" w:type="dxa"/>
          </w:tcPr>
          <w:p w14:paraId="68DC9574" w14:textId="77777777" w:rsidR="00623679" w:rsidRPr="00264D5D" w:rsidRDefault="00623679" w:rsidP="00623679">
            <w:pPr>
              <w:spacing w:before="60" w:after="60"/>
              <w:jc w:val="center"/>
              <w:rPr>
                <w:sz w:val="22"/>
                <w:szCs w:val="22"/>
              </w:rPr>
            </w:pPr>
            <w:r w:rsidRPr="00264D5D">
              <w:rPr>
                <w:sz w:val="22"/>
                <w:szCs w:val="22"/>
              </w:rPr>
              <w:t>П</w:t>
            </w:r>
          </w:p>
        </w:tc>
        <w:tc>
          <w:tcPr>
            <w:tcW w:w="1134" w:type="dxa"/>
          </w:tcPr>
          <w:p w14:paraId="715E6478" w14:textId="77777777" w:rsidR="00623679" w:rsidRPr="00264D5D" w:rsidRDefault="00623679" w:rsidP="00623679">
            <w:pPr>
              <w:spacing w:before="60" w:after="60"/>
              <w:jc w:val="left"/>
              <w:rPr>
                <w:sz w:val="22"/>
                <w:szCs w:val="22"/>
              </w:rPr>
            </w:pPr>
            <w:r w:rsidRPr="00264D5D">
              <w:rPr>
                <w:sz w:val="22"/>
                <w:szCs w:val="22"/>
              </w:rPr>
              <w:t>Т(1-100)</w:t>
            </w:r>
          </w:p>
        </w:tc>
        <w:tc>
          <w:tcPr>
            <w:tcW w:w="568" w:type="dxa"/>
          </w:tcPr>
          <w:p w14:paraId="4D414DEC" w14:textId="77777777" w:rsidR="00623679" w:rsidRPr="00264D5D" w:rsidRDefault="00623679" w:rsidP="00623679">
            <w:pPr>
              <w:spacing w:before="60" w:after="60"/>
              <w:jc w:val="center"/>
              <w:rPr>
                <w:sz w:val="22"/>
                <w:szCs w:val="22"/>
              </w:rPr>
            </w:pPr>
            <w:r w:rsidRPr="00264D5D">
              <w:rPr>
                <w:sz w:val="22"/>
                <w:szCs w:val="22"/>
              </w:rPr>
              <w:t>Н</w:t>
            </w:r>
          </w:p>
        </w:tc>
        <w:tc>
          <w:tcPr>
            <w:tcW w:w="3964" w:type="dxa"/>
          </w:tcPr>
          <w:p w14:paraId="5D573A2A" w14:textId="77777777" w:rsidR="00623679" w:rsidRPr="00264D5D" w:rsidRDefault="00623679" w:rsidP="00623679">
            <w:pPr>
              <w:spacing w:before="60" w:after="60"/>
              <w:rPr>
                <w:sz w:val="22"/>
                <w:szCs w:val="22"/>
              </w:rPr>
            </w:pPr>
            <w:r w:rsidRPr="00264D5D">
              <w:rPr>
                <w:sz w:val="22"/>
                <w:szCs w:val="22"/>
              </w:rPr>
              <w:t>Расшифровка подписи руководителя (уполномоченного им лица) клиента или ТОФК, сформировавшего данный документ)</w:t>
            </w:r>
          </w:p>
        </w:tc>
      </w:tr>
      <w:tr w:rsidR="00623679" w:rsidRPr="00264D5D" w14:paraId="59D081E7"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699" w:type="dxa"/>
          </w:tcPr>
          <w:p w14:paraId="3E08294C" w14:textId="77777777" w:rsidR="00623679" w:rsidRPr="00264D5D" w:rsidRDefault="00623679" w:rsidP="00623679">
            <w:pPr>
              <w:spacing w:before="60" w:after="60"/>
              <w:rPr>
                <w:sz w:val="22"/>
                <w:szCs w:val="22"/>
              </w:rPr>
            </w:pPr>
            <w:r w:rsidRPr="00264D5D">
              <w:rPr>
                <w:sz w:val="22"/>
                <w:szCs w:val="22"/>
              </w:rPr>
              <w:t>Должность главного бухгалтера (уполномоченного лица)</w:t>
            </w:r>
          </w:p>
        </w:tc>
        <w:tc>
          <w:tcPr>
            <w:tcW w:w="1701" w:type="dxa"/>
          </w:tcPr>
          <w:p w14:paraId="5A252080" w14:textId="77777777" w:rsidR="00623679" w:rsidRPr="00264D5D" w:rsidRDefault="00623679" w:rsidP="00623679">
            <w:pPr>
              <w:spacing w:before="60" w:after="60"/>
              <w:rPr>
                <w:sz w:val="22"/>
                <w:szCs w:val="22"/>
              </w:rPr>
            </w:pPr>
            <w:r w:rsidRPr="00264D5D">
              <w:rPr>
                <w:sz w:val="22"/>
                <w:szCs w:val="22"/>
              </w:rPr>
              <w:t>Sgnng_ChfAccntnt</w:t>
            </w:r>
          </w:p>
        </w:tc>
        <w:tc>
          <w:tcPr>
            <w:tcW w:w="568" w:type="dxa"/>
          </w:tcPr>
          <w:p w14:paraId="5D5CAACF" w14:textId="77777777" w:rsidR="00623679" w:rsidRPr="00264D5D" w:rsidRDefault="00623679" w:rsidP="00623679">
            <w:pPr>
              <w:spacing w:before="60" w:after="60"/>
              <w:jc w:val="center"/>
              <w:rPr>
                <w:sz w:val="22"/>
                <w:szCs w:val="22"/>
              </w:rPr>
            </w:pPr>
            <w:r w:rsidRPr="00264D5D">
              <w:rPr>
                <w:sz w:val="22"/>
                <w:szCs w:val="22"/>
              </w:rPr>
              <w:t>П</w:t>
            </w:r>
          </w:p>
        </w:tc>
        <w:tc>
          <w:tcPr>
            <w:tcW w:w="1134" w:type="dxa"/>
          </w:tcPr>
          <w:p w14:paraId="4711BF02" w14:textId="77777777" w:rsidR="00623679" w:rsidRPr="00264D5D" w:rsidRDefault="00623679" w:rsidP="00623679">
            <w:pPr>
              <w:spacing w:before="60" w:after="60"/>
              <w:jc w:val="left"/>
              <w:rPr>
                <w:sz w:val="22"/>
                <w:szCs w:val="22"/>
              </w:rPr>
            </w:pPr>
            <w:r w:rsidRPr="00264D5D">
              <w:rPr>
                <w:sz w:val="22"/>
                <w:szCs w:val="22"/>
              </w:rPr>
              <w:t>Т(1-100)</w:t>
            </w:r>
          </w:p>
        </w:tc>
        <w:tc>
          <w:tcPr>
            <w:tcW w:w="568" w:type="dxa"/>
          </w:tcPr>
          <w:p w14:paraId="0ED99A94" w14:textId="77777777" w:rsidR="00623679" w:rsidRPr="00264D5D" w:rsidRDefault="00623679" w:rsidP="00623679">
            <w:pPr>
              <w:spacing w:before="60" w:after="60"/>
              <w:jc w:val="center"/>
              <w:rPr>
                <w:sz w:val="22"/>
                <w:szCs w:val="22"/>
              </w:rPr>
            </w:pPr>
            <w:r w:rsidRPr="00264D5D">
              <w:rPr>
                <w:sz w:val="22"/>
                <w:szCs w:val="22"/>
              </w:rPr>
              <w:t>Н</w:t>
            </w:r>
          </w:p>
        </w:tc>
        <w:tc>
          <w:tcPr>
            <w:tcW w:w="3964" w:type="dxa"/>
          </w:tcPr>
          <w:p w14:paraId="4D0BD3FD" w14:textId="77777777" w:rsidR="00623679" w:rsidRPr="00264D5D" w:rsidRDefault="00623679" w:rsidP="00623679">
            <w:pPr>
              <w:spacing w:before="60" w:after="60"/>
              <w:rPr>
                <w:sz w:val="22"/>
                <w:szCs w:val="22"/>
              </w:rPr>
            </w:pPr>
            <w:r w:rsidRPr="00264D5D">
              <w:rPr>
                <w:sz w:val="22"/>
                <w:szCs w:val="22"/>
              </w:rPr>
              <w:t>Должность главного бухгалтера (уполномоченного им лица) клиента или ТОФК, сформировавшего данный документ</w:t>
            </w:r>
          </w:p>
        </w:tc>
      </w:tr>
      <w:tr w:rsidR="00623679" w:rsidRPr="00264D5D" w14:paraId="42E5E865"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699" w:type="dxa"/>
          </w:tcPr>
          <w:p w14:paraId="2F145176" w14:textId="77777777" w:rsidR="00623679" w:rsidRPr="00264D5D" w:rsidRDefault="00623679" w:rsidP="00623679">
            <w:pPr>
              <w:spacing w:before="60" w:after="60"/>
              <w:rPr>
                <w:sz w:val="22"/>
                <w:szCs w:val="22"/>
              </w:rPr>
            </w:pPr>
            <w:r w:rsidRPr="00264D5D">
              <w:rPr>
                <w:sz w:val="22"/>
                <w:szCs w:val="22"/>
              </w:rPr>
              <w:t>ФИО главного бухгалтера (уполномоченного лица)</w:t>
            </w:r>
          </w:p>
        </w:tc>
        <w:tc>
          <w:tcPr>
            <w:tcW w:w="1701" w:type="dxa"/>
          </w:tcPr>
          <w:p w14:paraId="3985EDD7" w14:textId="77777777" w:rsidR="00623679" w:rsidRPr="00264D5D" w:rsidRDefault="00623679" w:rsidP="00623679">
            <w:pPr>
              <w:spacing w:before="60" w:after="60"/>
              <w:rPr>
                <w:sz w:val="22"/>
                <w:szCs w:val="22"/>
              </w:rPr>
            </w:pPr>
            <w:r w:rsidRPr="00264D5D">
              <w:rPr>
                <w:sz w:val="22"/>
                <w:szCs w:val="22"/>
              </w:rPr>
              <w:t>Sgnng_FIOAccntnt</w:t>
            </w:r>
          </w:p>
        </w:tc>
        <w:tc>
          <w:tcPr>
            <w:tcW w:w="568" w:type="dxa"/>
          </w:tcPr>
          <w:p w14:paraId="62022001" w14:textId="77777777" w:rsidR="00623679" w:rsidRPr="00264D5D" w:rsidRDefault="00623679" w:rsidP="00623679">
            <w:pPr>
              <w:spacing w:before="60" w:after="60"/>
              <w:jc w:val="center"/>
              <w:rPr>
                <w:sz w:val="22"/>
                <w:szCs w:val="22"/>
              </w:rPr>
            </w:pPr>
            <w:r w:rsidRPr="00264D5D">
              <w:rPr>
                <w:sz w:val="22"/>
                <w:szCs w:val="22"/>
              </w:rPr>
              <w:t>П</w:t>
            </w:r>
          </w:p>
        </w:tc>
        <w:tc>
          <w:tcPr>
            <w:tcW w:w="1134" w:type="dxa"/>
          </w:tcPr>
          <w:p w14:paraId="0692AA79" w14:textId="77777777" w:rsidR="00623679" w:rsidRPr="00264D5D" w:rsidRDefault="00623679" w:rsidP="00623679">
            <w:pPr>
              <w:spacing w:before="60" w:after="60"/>
              <w:jc w:val="left"/>
              <w:rPr>
                <w:sz w:val="22"/>
                <w:szCs w:val="22"/>
              </w:rPr>
            </w:pPr>
            <w:r w:rsidRPr="00264D5D">
              <w:rPr>
                <w:sz w:val="22"/>
                <w:szCs w:val="22"/>
              </w:rPr>
              <w:t>Т(1-100)</w:t>
            </w:r>
          </w:p>
        </w:tc>
        <w:tc>
          <w:tcPr>
            <w:tcW w:w="568" w:type="dxa"/>
          </w:tcPr>
          <w:p w14:paraId="43A28AD8" w14:textId="77777777" w:rsidR="00623679" w:rsidRPr="00264D5D" w:rsidRDefault="00623679" w:rsidP="00623679">
            <w:pPr>
              <w:spacing w:before="60" w:after="60"/>
              <w:jc w:val="center"/>
              <w:rPr>
                <w:sz w:val="22"/>
                <w:szCs w:val="22"/>
              </w:rPr>
            </w:pPr>
            <w:r w:rsidRPr="00264D5D">
              <w:rPr>
                <w:sz w:val="22"/>
                <w:szCs w:val="22"/>
              </w:rPr>
              <w:t>Н</w:t>
            </w:r>
          </w:p>
        </w:tc>
        <w:tc>
          <w:tcPr>
            <w:tcW w:w="3964" w:type="dxa"/>
          </w:tcPr>
          <w:p w14:paraId="4DB564B9" w14:textId="77777777" w:rsidR="00623679" w:rsidRPr="00264D5D" w:rsidRDefault="00623679" w:rsidP="00623679">
            <w:pPr>
              <w:spacing w:before="60" w:after="60"/>
              <w:rPr>
                <w:sz w:val="22"/>
                <w:szCs w:val="22"/>
              </w:rPr>
            </w:pPr>
            <w:r w:rsidRPr="00264D5D">
              <w:rPr>
                <w:sz w:val="22"/>
                <w:szCs w:val="22"/>
              </w:rPr>
              <w:t>Должность главного бухгалтера (уполномоченного им лица) клиента или ТОФК, сформировавшего данный документ</w:t>
            </w:r>
          </w:p>
        </w:tc>
      </w:tr>
      <w:tr w:rsidR="00623679" w:rsidRPr="00264D5D" w14:paraId="7712084D"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699" w:type="dxa"/>
          </w:tcPr>
          <w:p w14:paraId="091146B5" w14:textId="77777777" w:rsidR="00623679" w:rsidRPr="00264D5D" w:rsidRDefault="00623679" w:rsidP="00623679">
            <w:pPr>
              <w:spacing w:before="60" w:after="60"/>
              <w:rPr>
                <w:sz w:val="22"/>
                <w:szCs w:val="22"/>
              </w:rPr>
            </w:pPr>
            <w:r w:rsidRPr="00264D5D">
              <w:rPr>
                <w:sz w:val="22"/>
                <w:szCs w:val="22"/>
              </w:rPr>
              <w:t>Дата подписания руководителем (уполномоченным лицом)</w:t>
            </w:r>
          </w:p>
        </w:tc>
        <w:tc>
          <w:tcPr>
            <w:tcW w:w="1701" w:type="dxa"/>
          </w:tcPr>
          <w:p w14:paraId="76D24353" w14:textId="77777777" w:rsidR="00623679" w:rsidRPr="00264D5D" w:rsidRDefault="00623679" w:rsidP="00623679">
            <w:pPr>
              <w:spacing w:before="60" w:after="60"/>
              <w:rPr>
                <w:sz w:val="22"/>
                <w:szCs w:val="22"/>
              </w:rPr>
            </w:pPr>
            <w:r w:rsidRPr="00264D5D">
              <w:rPr>
                <w:sz w:val="22"/>
                <w:szCs w:val="22"/>
              </w:rPr>
              <w:t>Sgnng_DtSgnng</w:t>
            </w:r>
          </w:p>
        </w:tc>
        <w:tc>
          <w:tcPr>
            <w:tcW w:w="568" w:type="dxa"/>
          </w:tcPr>
          <w:p w14:paraId="7B6DC27B" w14:textId="77777777" w:rsidR="00623679" w:rsidRPr="00264D5D" w:rsidRDefault="00623679" w:rsidP="00623679">
            <w:pPr>
              <w:spacing w:before="60" w:after="60"/>
              <w:jc w:val="center"/>
              <w:rPr>
                <w:sz w:val="22"/>
                <w:szCs w:val="22"/>
              </w:rPr>
            </w:pPr>
            <w:r w:rsidRPr="00264D5D">
              <w:rPr>
                <w:sz w:val="22"/>
                <w:szCs w:val="22"/>
              </w:rPr>
              <w:t>П</w:t>
            </w:r>
          </w:p>
        </w:tc>
        <w:tc>
          <w:tcPr>
            <w:tcW w:w="1134" w:type="dxa"/>
          </w:tcPr>
          <w:p w14:paraId="3CCAE849" w14:textId="77777777" w:rsidR="00623679" w:rsidRPr="00264D5D" w:rsidRDefault="00623679" w:rsidP="00623679">
            <w:pPr>
              <w:spacing w:before="60" w:after="60"/>
              <w:jc w:val="left"/>
              <w:rPr>
                <w:sz w:val="22"/>
                <w:szCs w:val="22"/>
              </w:rPr>
            </w:pPr>
            <w:r w:rsidRPr="00264D5D">
              <w:rPr>
                <w:sz w:val="22"/>
                <w:szCs w:val="22"/>
              </w:rPr>
              <w:t>Date</w:t>
            </w:r>
          </w:p>
        </w:tc>
        <w:tc>
          <w:tcPr>
            <w:tcW w:w="568" w:type="dxa"/>
          </w:tcPr>
          <w:p w14:paraId="4F3E1F3F" w14:textId="77777777" w:rsidR="00623679" w:rsidRPr="00264D5D" w:rsidRDefault="00623679" w:rsidP="00623679">
            <w:pPr>
              <w:spacing w:before="60" w:after="60"/>
              <w:jc w:val="center"/>
              <w:rPr>
                <w:sz w:val="22"/>
                <w:szCs w:val="22"/>
              </w:rPr>
            </w:pPr>
            <w:r w:rsidRPr="00264D5D">
              <w:rPr>
                <w:sz w:val="22"/>
                <w:szCs w:val="22"/>
              </w:rPr>
              <w:t>Н</w:t>
            </w:r>
          </w:p>
        </w:tc>
        <w:tc>
          <w:tcPr>
            <w:tcW w:w="3964" w:type="dxa"/>
          </w:tcPr>
          <w:p w14:paraId="1D418EDA" w14:textId="77777777" w:rsidR="00623679" w:rsidRPr="00264D5D" w:rsidRDefault="00623679" w:rsidP="00623679">
            <w:pPr>
              <w:spacing w:before="60" w:after="60"/>
              <w:rPr>
                <w:sz w:val="22"/>
                <w:szCs w:val="22"/>
              </w:rPr>
            </w:pPr>
            <w:r w:rsidRPr="00264D5D">
              <w:rPr>
                <w:sz w:val="22"/>
                <w:szCs w:val="22"/>
              </w:rPr>
              <w:t>Дата подписания руководителем (уполномоченным лицом)</w:t>
            </w:r>
          </w:p>
        </w:tc>
      </w:tr>
      <w:tr w:rsidR="00623679" w:rsidRPr="00264D5D" w14:paraId="58F50346"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9634" w:type="dxa"/>
            <w:gridSpan w:val="6"/>
          </w:tcPr>
          <w:p w14:paraId="09D55A47" w14:textId="77777777" w:rsidR="00623679" w:rsidRPr="00264D5D" w:rsidRDefault="00623679" w:rsidP="00623679">
            <w:pPr>
              <w:spacing w:before="60" w:after="60"/>
              <w:rPr>
                <w:b/>
                <w:sz w:val="22"/>
                <w:szCs w:val="22"/>
              </w:rPr>
            </w:pPr>
            <w:r w:rsidRPr="00264D5D">
              <w:rPr>
                <w:b/>
                <w:sz w:val="22"/>
                <w:szCs w:val="22"/>
              </w:rPr>
              <w:t>ЭП</w:t>
            </w:r>
          </w:p>
        </w:tc>
      </w:tr>
      <w:tr w:rsidR="00623679" w:rsidRPr="00264D5D" w14:paraId="04DFA685"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699" w:type="dxa"/>
          </w:tcPr>
          <w:p w14:paraId="4A8B7816" w14:textId="77777777" w:rsidR="00623679" w:rsidRPr="00264D5D" w:rsidRDefault="00623679" w:rsidP="00623679">
            <w:pPr>
              <w:spacing w:before="60" w:after="60"/>
              <w:rPr>
                <w:sz w:val="22"/>
                <w:szCs w:val="22"/>
              </w:rPr>
            </w:pPr>
            <w:r w:rsidRPr="00264D5D">
              <w:rPr>
                <w:sz w:val="22"/>
                <w:szCs w:val="22"/>
              </w:rPr>
              <w:t>ЭП</w:t>
            </w:r>
          </w:p>
        </w:tc>
        <w:tc>
          <w:tcPr>
            <w:tcW w:w="1701" w:type="dxa"/>
          </w:tcPr>
          <w:p w14:paraId="638AADCB" w14:textId="77777777" w:rsidR="00623679" w:rsidRPr="00264D5D" w:rsidRDefault="00623679" w:rsidP="00623679">
            <w:pPr>
              <w:spacing w:before="60" w:after="60"/>
              <w:rPr>
                <w:sz w:val="22"/>
                <w:szCs w:val="22"/>
              </w:rPr>
            </w:pPr>
            <w:r w:rsidRPr="00264D5D">
              <w:rPr>
                <w:sz w:val="22"/>
                <w:szCs w:val="22"/>
              </w:rPr>
              <w:t>Signature</w:t>
            </w:r>
          </w:p>
        </w:tc>
        <w:tc>
          <w:tcPr>
            <w:tcW w:w="568" w:type="dxa"/>
          </w:tcPr>
          <w:p w14:paraId="5A3A41BA" w14:textId="77777777" w:rsidR="00623679" w:rsidRPr="00264D5D" w:rsidRDefault="00623679" w:rsidP="00623679">
            <w:pPr>
              <w:spacing w:before="60" w:after="60"/>
              <w:jc w:val="center"/>
              <w:rPr>
                <w:sz w:val="22"/>
                <w:szCs w:val="22"/>
              </w:rPr>
            </w:pPr>
            <w:r w:rsidRPr="00264D5D">
              <w:rPr>
                <w:sz w:val="22"/>
                <w:szCs w:val="22"/>
              </w:rPr>
              <w:t>C</w:t>
            </w:r>
          </w:p>
        </w:tc>
        <w:tc>
          <w:tcPr>
            <w:tcW w:w="1134" w:type="dxa"/>
          </w:tcPr>
          <w:p w14:paraId="07F85584" w14:textId="77777777" w:rsidR="00623679" w:rsidRPr="00264D5D" w:rsidRDefault="00623679" w:rsidP="00623679">
            <w:pPr>
              <w:spacing w:before="60" w:after="60"/>
              <w:jc w:val="left"/>
              <w:rPr>
                <w:sz w:val="22"/>
                <w:szCs w:val="22"/>
              </w:rPr>
            </w:pPr>
            <w:r w:rsidRPr="00264D5D">
              <w:rPr>
                <w:sz w:val="22"/>
                <w:szCs w:val="22"/>
              </w:rPr>
              <w:t>SignatureType</w:t>
            </w:r>
          </w:p>
        </w:tc>
        <w:tc>
          <w:tcPr>
            <w:tcW w:w="568" w:type="dxa"/>
          </w:tcPr>
          <w:p w14:paraId="5CF54D5E" w14:textId="77777777" w:rsidR="00623679" w:rsidRPr="00264D5D" w:rsidRDefault="00623679" w:rsidP="00623679">
            <w:pPr>
              <w:spacing w:before="60" w:after="60"/>
              <w:jc w:val="center"/>
              <w:rPr>
                <w:sz w:val="22"/>
                <w:szCs w:val="22"/>
              </w:rPr>
            </w:pPr>
            <w:r w:rsidRPr="00264D5D">
              <w:rPr>
                <w:sz w:val="22"/>
                <w:szCs w:val="22"/>
              </w:rPr>
              <w:t>Н</w:t>
            </w:r>
          </w:p>
        </w:tc>
        <w:tc>
          <w:tcPr>
            <w:tcW w:w="3964" w:type="dxa"/>
          </w:tcPr>
          <w:p w14:paraId="49A5F3A1" w14:textId="77777777" w:rsidR="00623679" w:rsidRPr="00264D5D" w:rsidRDefault="00623679" w:rsidP="00623679">
            <w:pPr>
              <w:spacing w:before="60" w:after="60"/>
              <w:rPr>
                <w:sz w:val="22"/>
                <w:szCs w:val="22"/>
              </w:rPr>
            </w:pPr>
            <w:r w:rsidRPr="00264D5D">
              <w:rPr>
                <w:sz w:val="22"/>
                <w:szCs w:val="22"/>
              </w:rPr>
              <w:t>Блок подписи в формате XAdes. Указывается как рефренс, согласно формату подписи XAdes.</w:t>
            </w:r>
          </w:p>
          <w:p w14:paraId="7E803137" w14:textId="77777777" w:rsidR="00623679" w:rsidRPr="00264D5D" w:rsidRDefault="00623679" w:rsidP="00623679">
            <w:pPr>
              <w:spacing w:before="60" w:after="60"/>
              <w:rPr>
                <w:sz w:val="22"/>
                <w:szCs w:val="22"/>
              </w:rPr>
            </w:pPr>
            <w:r w:rsidRPr="00264D5D">
              <w:rPr>
                <w:sz w:val="22"/>
                <w:szCs w:val="22"/>
              </w:rPr>
              <w:t>Заполняется согласно п.3.5.3 Тома 1 настоящего альбома.</w:t>
            </w:r>
          </w:p>
          <w:p w14:paraId="16ED00FF" w14:textId="77777777" w:rsidR="00623679" w:rsidRPr="00264D5D" w:rsidRDefault="00623679" w:rsidP="00623679">
            <w:pPr>
              <w:spacing w:before="60" w:after="60"/>
              <w:rPr>
                <w:sz w:val="22"/>
                <w:szCs w:val="22"/>
              </w:rPr>
            </w:pPr>
            <w:r w:rsidRPr="00264D5D">
              <w:rPr>
                <w:sz w:val="22"/>
                <w:szCs w:val="22"/>
              </w:rPr>
              <w:t xml:space="preserve">Обязателен для заполнения при сервисном взаимодействии ЕИС и </w:t>
            </w:r>
            <w:r w:rsidR="00891D16">
              <w:rPr>
                <w:sz w:val="22"/>
                <w:szCs w:val="22"/>
              </w:rPr>
              <w:t>ТОФК (ПУР ЭБ)</w:t>
            </w:r>
            <w:r w:rsidRPr="00264D5D">
              <w:rPr>
                <w:sz w:val="22"/>
                <w:szCs w:val="22"/>
              </w:rPr>
              <w:t xml:space="preserve">. </w:t>
            </w:r>
          </w:p>
          <w:p w14:paraId="1D4BED69" w14:textId="77777777" w:rsidR="00623679" w:rsidRPr="00264D5D" w:rsidRDefault="00623679" w:rsidP="00623679">
            <w:pPr>
              <w:spacing w:before="60" w:after="60"/>
              <w:rPr>
                <w:sz w:val="22"/>
                <w:szCs w:val="22"/>
              </w:rPr>
            </w:pPr>
            <w:r w:rsidRPr="00264D5D">
              <w:rPr>
                <w:sz w:val="22"/>
                <w:szCs w:val="22"/>
              </w:rPr>
              <w:t>Подпись проставляется для документов, передаваемых посредством файлового взаимодействия, а также сервисного без использования элемента exchangePacket</w:t>
            </w:r>
          </w:p>
        </w:tc>
      </w:tr>
    </w:tbl>
    <w:p w14:paraId="1303F9D6" w14:textId="77777777" w:rsidR="00AD1F54" w:rsidRPr="00264D5D" w:rsidRDefault="00941227">
      <w:pPr>
        <w:pStyle w:val="31"/>
      </w:pPr>
      <w:bookmarkStart w:id="1494" w:name="_Toc412044932"/>
      <w:bookmarkStart w:id="1495" w:name="_Toc412046722"/>
      <w:bookmarkStart w:id="1496" w:name="_Toc414434233"/>
      <w:bookmarkStart w:id="1497" w:name="_Toc415757496"/>
      <w:bookmarkStart w:id="1498" w:name="_Toc415758171"/>
      <w:bookmarkStart w:id="1499" w:name="_Toc415758315"/>
      <w:bookmarkStart w:id="1500" w:name="_Toc416168850"/>
      <w:bookmarkStart w:id="1501" w:name="_Toc416180834"/>
      <w:bookmarkStart w:id="1502" w:name="_Toc416181082"/>
      <w:bookmarkStart w:id="1503" w:name="_Toc416181204"/>
      <w:bookmarkStart w:id="1504" w:name="_Toc416181324"/>
      <w:bookmarkStart w:id="1505" w:name="_Toc416181445"/>
      <w:bookmarkStart w:id="1506" w:name="_Toc416181712"/>
      <w:bookmarkStart w:id="1507" w:name="_Toc416181833"/>
      <w:bookmarkStart w:id="1508" w:name="_Toc416181943"/>
      <w:bookmarkStart w:id="1509" w:name="_Toc416182172"/>
      <w:bookmarkStart w:id="1510" w:name="_Toc416182287"/>
      <w:bookmarkStart w:id="1511" w:name="_Toc416182404"/>
      <w:bookmarkStart w:id="1512" w:name="_Toc416182555"/>
      <w:bookmarkStart w:id="1513" w:name="_Toc416182672"/>
      <w:bookmarkStart w:id="1514" w:name="_Toc416188353"/>
      <w:bookmarkStart w:id="1515" w:name="_Toc416188448"/>
      <w:bookmarkStart w:id="1516" w:name="_Toc416188543"/>
      <w:bookmarkStart w:id="1517" w:name="_Toc416188638"/>
      <w:bookmarkStart w:id="1518" w:name="_Toc416190935"/>
      <w:bookmarkStart w:id="1519" w:name="_Toc416191314"/>
      <w:bookmarkStart w:id="1520" w:name="_Toc416191391"/>
      <w:bookmarkStart w:id="1521" w:name="_Toc416192066"/>
      <w:bookmarkStart w:id="1522" w:name="_Toc416192150"/>
      <w:bookmarkStart w:id="1523" w:name="_Toc416192371"/>
      <w:bookmarkStart w:id="1524" w:name="_Toc416192451"/>
      <w:bookmarkStart w:id="1525" w:name="_Toc416425944"/>
      <w:bookmarkStart w:id="1526" w:name="_Toc416434738"/>
      <w:bookmarkStart w:id="1527" w:name="_Toc419206183"/>
      <w:bookmarkStart w:id="1528" w:name="_Toc419206847"/>
      <w:bookmarkStart w:id="1529" w:name="_Toc419206919"/>
      <w:bookmarkStart w:id="1530" w:name="_Toc419206990"/>
      <w:bookmarkStart w:id="1531" w:name="_Toc421026855"/>
      <w:bookmarkStart w:id="1532" w:name="_Toc424112869"/>
      <w:bookmarkStart w:id="1533" w:name="_Toc416192372"/>
      <w:bookmarkStart w:id="1534" w:name="_Toc416192452"/>
      <w:bookmarkStart w:id="1535" w:name="_Toc416425945"/>
      <w:bookmarkStart w:id="1536" w:name="_Toc416434739"/>
      <w:bookmarkStart w:id="1537" w:name="_Toc419206184"/>
      <w:bookmarkStart w:id="1538" w:name="_Toc419206848"/>
      <w:bookmarkStart w:id="1539" w:name="_Toc419206920"/>
      <w:bookmarkStart w:id="1540" w:name="_Toc419206991"/>
      <w:bookmarkStart w:id="1541" w:name="_Toc421026856"/>
      <w:bookmarkStart w:id="1542" w:name="_Toc424112870"/>
      <w:bookmarkStart w:id="1543" w:name="_Toc416192373"/>
      <w:bookmarkStart w:id="1544" w:name="_Toc416192453"/>
      <w:bookmarkStart w:id="1545" w:name="_Toc416425946"/>
      <w:bookmarkStart w:id="1546" w:name="_Toc416434740"/>
      <w:bookmarkStart w:id="1547" w:name="_Toc419206185"/>
      <w:bookmarkStart w:id="1548" w:name="_Toc419206849"/>
      <w:bookmarkStart w:id="1549" w:name="_Toc419206921"/>
      <w:bookmarkStart w:id="1550" w:name="_Toc419206992"/>
      <w:bookmarkStart w:id="1551" w:name="_Toc421026857"/>
      <w:bookmarkStart w:id="1552" w:name="_Toc424112871"/>
      <w:bookmarkStart w:id="1553" w:name="_Toc416192374"/>
      <w:bookmarkStart w:id="1554" w:name="_Toc416192454"/>
      <w:bookmarkStart w:id="1555" w:name="_Toc416425947"/>
      <w:bookmarkStart w:id="1556" w:name="_Toc416434741"/>
      <w:bookmarkStart w:id="1557" w:name="_Toc419206186"/>
      <w:bookmarkStart w:id="1558" w:name="_Toc419206850"/>
      <w:bookmarkStart w:id="1559" w:name="_Toc419206922"/>
      <w:bookmarkStart w:id="1560" w:name="_Toc419206993"/>
      <w:bookmarkStart w:id="1561" w:name="_Toc421026858"/>
      <w:bookmarkStart w:id="1562" w:name="_Toc424112872"/>
      <w:bookmarkStart w:id="1563" w:name="_Toc416192375"/>
      <w:bookmarkStart w:id="1564" w:name="_Toc416192455"/>
      <w:bookmarkStart w:id="1565" w:name="_Toc416425948"/>
      <w:bookmarkStart w:id="1566" w:name="_Toc416434742"/>
      <w:bookmarkStart w:id="1567" w:name="_Toc419206187"/>
      <w:bookmarkStart w:id="1568" w:name="_Toc419206851"/>
      <w:bookmarkStart w:id="1569" w:name="_Toc419206923"/>
      <w:bookmarkStart w:id="1570" w:name="_Toc419206994"/>
      <w:bookmarkStart w:id="1571" w:name="_Toc421026859"/>
      <w:bookmarkStart w:id="1572" w:name="_Toc424112873"/>
      <w:bookmarkStart w:id="1573" w:name="_Toc416192376"/>
      <w:bookmarkStart w:id="1574" w:name="_Toc416192456"/>
      <w:bookmarkStart w:id="1575" w:name="_Toc416425949"/>
      <w:bookmarkStart w:id="1576" w:name="_Toc416434743"/>
      <w:bookmarkStart w:id="1577" w:name="_Toc419206188"/>
      <w:bookmarkStart w:id="1578" w:name="_Toc419206852"/>
      <w:bookmarkStart w:id="1579" w:name="_Toc419206924"/>
      <w:bookmarkStart w:id="1580" w:name="_Toc419206995"/>
      <w:bookmarkStart w:id="1581" w:name="_Toc421026860"/>
      <w:bookmarkStart w:id="1582" w:name="_Toc424112874"/>
      <w:bookmarkStart w:id="1583" w:name="_Toc416192377"/>
      <w:bookmarkStart w:id="1584" w:name="_Toc416192457"/>
      <w:bookmarkStart w:id="1585" w:name="_Toc416425950"/>
      <w:bookmarkStart w:id="1586" w:name="_Toc416434744"/>
      <w:bookmarkStart w:id="1587" w:name="_Toc419206189"/>
      <w:bookmarkStart w:id="1588" w:name="_Toc419206853"/>
      <w:bookmarkStart w:id="1589" w:name="_Toc419206925"/>
      <w:bookmarkStart w:id="1590" w:name="_Toc419206996"/>
      <w:bookmarkStart w:id="1591" w:name="_Toc421026861"/>
      <w:bookmarkStart w:id="1592" w:name="_Toc424112875"/>
      <w:bookmarkStart w:id="1593" w:name="_Toc416192378"/>
      <w:bookmarkStart w:id="1594" w:name="_Toc416192458"/>
      <w:bookmarkStart w:id="1595" w:name="_Toc416425951"/>
      <w:bookmarkStart w:id="1596" w:name="_Toc416434745"/>
      <w:bookmarkStart w:id="1597" w:name="_Toc419206190"/>
      <w:bookmarkStart w:id="1598" w:name="_Toc419206854"/>
      <w:bookmarkStart w:id="1599" w:name="_Toc419206926"/>
      <w:bookmarkStart w:id="1600" w:name="_Toc419206997"/>
      <w:bookmarkStart w:id="1601" w:name="_Toc421026862"/>
      <w:bookmarkStart w:id="1602" w:name="_Toc424112876"/>
      <w:bookmarkStart w:id="1603" w:name="_Toc153556363"/>
      <w:bookmarkStart w:id="1604" w:name="_Toc117868807"/>
      <w:bookmarkStart w:id="1605" w:name="_Toc118064238"/>
      <w:bookmarkStart w:id="1606" w:name="_Toc118072730"/>
      <w:bookmarkStart w:id="1607" w:name="_Toc118208514"/>
      <w:bookmarkStart w:id="1608" w:name="_Toc118209393"/>
      <w:bookmarkStart w:id="1609" w:name="_Toc118210272"/>
      <w:bookmarkStart w:id="1610" w:name="_Toc219309606"/>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r w:rsidRPr="00264D5D">
        <w:t>Описание комплексного типа «tPmn»</w:t>
      </w:r>
      <w:bookmarkEnd w:id="1610"/>
    </w:p>
    <w:p w14:paraId="1A943F17" w14:textId="77777777" w:rsidR="00AD1F54" w:rsidRPr="00264D5D" w:rsidRDefault="00941227">
      <w:pPr>
        <w:pStyle w:val="ASFKNormal"/>
        <w:spacing w:before="60" w:after="120"/>
        <w:contextualSpacing w:val="0"/>
        <w:jc w:val="both"/>
        <w:rPr>
          <w:sz w:val="24"/>
          <w:szCs w:val="24"/>
        </w:rPr>
      </w:pPr>
      <w:r w:rsidRPr="00264D5D">
        <w:rPr>
          <w:sz w:val="24"/>
          <w:szCs w:val="24"/>
        </w:rPr>
        <w:t>Описание комплексного типа «tPmn» блока «Расшифровка документа, подтверждающего возникновение денежного обязательства».</w:t>
      </w:r>
    </w:p>
    <w:p w14:paraId="44451F9C" w14:textId="7E521063" w:rsidR="00AD1F54" w:rsidRPr="00264D5D" w:rsidRDefault="00941227">
      <w:pPr>
        <w:pStyle w:val="GOSTNameTable"/>
        <w:numPr>
          <w:ilvl w:val="0"/>
          <w:numId w:val="2"/>
        </w:numPr>
        <w:ind w:left="425" w:hanging="357"/>
        <w:rPr>
          <w:rFonts w:eastAsia="Calibri"/>
          <w:szCs w:val="24"/>
        </w:rPr>
      </w:pPr>
      <w:r w:rsidRPr="00264D5D">
        <w:rPr>
          <w:rFonts w:eastAsia="Calibri"/>
          <w:szCs w:val="24"/>
        </w:rPr>
        <w:lastRenderedPageBreak/>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1611" w:name="_Ref465953925"/>
      <w:bookmarkStart w:id="1612" w:name="_Toc30503362"/>
      <w:bookmarkStart w:id="1613" w:name="_Toc30507960"/>
      <w:bookmarkStart w:id="1614" w:name="_Toc219309183"/>
      <w:r w:rsidR="008D797C">
        <w:rPr>
          <w:rFonts w:eastAsia="Calibri"/>
          <w:noProof/>
          <w:szCs w:val="24"/>
        </w:rPr>
        <w:t>153</w:t>
      </w:r>
      <w:bookmarkEnd w:id="1611"/>
      <w:r w:rsidRPr="00264D5D">
        <w:rPr>
          <w:rFonts w:eastAsia="Calibri"/>
          <w:szCs w:val="24"/>
        </w:rPr>
        <w:fldChar w:fldCharType="end"/>
      </w:r>
      <w:r w:rsidRPr="00264D5D">
        <w:rPr>
          <w:rFonts w:eastAsia="Calibri"/>
          <w:szCs w:val="24"/>
        </w:rPr>
        <w:t xml:space="preserve"> – Описание комплексного типа «tPmn»</w:t>
      </w:r>
      <w:bookmarkEnd w:id="1612"/>
      <w:bookmarkEnd w:id="1613"/>
      <w:bookmarkEnd w:id="1614"/>
    </w:p>
    <w:tbl>
      <w:tblPr>
        <w:tblStyle w:val="GOSTTable"/>
        <w:tblW w:w="9633" w:type="dxa"/>
        <w:tblLayout w:type="fixed"/>
        <w:tblLook w:val="04A0" w:firstRow="1" w:lastRow="0" w:firstColumn="1" w:lastColumn="0" w:noHBand="0" w:noVBand="1"/>
      </w:tblPr>
      <w:tblGrid>
        <w:gridCol w:w="1698"/>
        <w:gridCol w:w="1702"/>
        <w:gridCol w:w="569"/>
        <w:gridCol w:w="1135"/>
        <w:gridCol w:w="566"/>
        <w:gridCol w:w="3963"/>
      </w:tblGrid>
      <w:tr w:rsidR="00AD1F54" w:rsidRPr="00264D5D" w14:paraId="6B76BA3E"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1" w:type="pct"/>
          </w:tcPr>
          <w:p w14:paraId="2ADA7DBD" w14:textId="77777777" w:rsidR="00AD1F54" w:rsidRPr="00264D5D" w:rsidRDefault="00941227">
            <w:pPr>
              <w:spacing w:before="60" w:after="60"/>
              <w:jc w:val="center"/>
              <w:rPr>
                <w:b/>
                <w:bCs/>
                <w:sz w:val="22"/>
                <w:szCs w:val="22"/>
              </w:rPr>
            </w:pPr>
            <w:r w:rsidRPr="00264D5D">
              <w:rPr>
                <w:b/>
                <w:bCs/>
                <w:sz w:val="22"/>
                <w:szCs w:val="22"/>
              </w:rPr>
              <w:t>Наименование комплексного типа</w:t>
            </w:r>
          </w:p>
        </w:tc>
        <w:tc>
          <w:tcPr>
            <w:tcW w:w="883" w:type="pct"/>
          </w:tcPr>
          <w:p w14:paraId="1B167BE0" w14:textId="77777777" w:rsidR="00AD1F54" w:rsidRPr="00264D5D" w:rsidRDefault="00941227">
            <w:pPr>
              <w:spacing w:before="60" w:after="60"/>
              <w:jc w:val="center"/>
              <w:rPr>
                <w:b/>
                <w:bCs/>
                <w:sz w:val="22"/>
                <w:szCs w:val="22"/>
                <w:lang w:val="en-US"/>
              </w:rPr>
            </w:pPr>
            <w:r w:rsidRPr="00264D5D">
              <w:rPr>
                <w:b/>
                <w:bCs/>
                <w:sz w:val="22"/>
                <w:szCs w:val="22"/>
              </w:rPr>
              <w:t>Текущий элемент/ атрибут</w:t>
            </w:r>
          </w:p>
        </w:tc>
        <w:tc>
          <w:tcPr>
            <w:tcW w:w="295" w:type="pct"/>
          </w:tcPr>
          <w:p w14:paraId="489B0D67" w14:textId="77777777" w:rsidR="00AD1F54" w:rsidRPr="00264D5D" w:rsidRDefault="00941227">
            <w:pPr>
              <w:spacing w:before="60" w:after="60"/>
              <w:jc w:val="center"/>
              <w:rPr>
                <w:b/>
                <w:sz w:val="22"/>
                <w:szCs w:val="22"/>
              </w:rPr>
            </w:pPr>
            <w:r w:rsidRPr="00264D5D">
              <w:rPr>
                <w:b/>
                <w:bCs/>
                <w:sz w:val="22"/>
                <w:szCs w:val="22"/>
              </w:rPr>
              <w:t>Тип</w:t>
            </w:r>
          </w:p>
        </w:tc>
        <w:tc>
          <w:tcPr>
            <w:tcW w:w="589" w:type="pct"/>
          </w:tcPr>
          <w:p w14:paraId="7F5DF7C3" w14:textId="77777777" w:rsidR="00AD1F54" w:rsidRPr="00264D5D" w:rsidRDefault="00941227">
            <w:pPr>
              <w:spacing w:before="60" w:after="60"/>
              <w:jc w:val="center"/>
              <w:rPr>
                <w:b/>
                <w:sz w:val="22"/>
                <w:szCs w:val="22"/>
              </w:rPr>
            </w:pPr>
            <w:r w:rsidRPr="00264D5D">
              <w:rPr>
                <w:b/>
                <w:bCs/>
                <w:sz w:val="22"/>
                <w:szCs w:val="22"/>
              </w:rPr>
              <w:t>Формат элемента</w:t>
            </w:r>
          </w:p>
        </w:tc>
        <w:tc>
          <w:tcPr>
            <w:tcW w:w="294" w:type="pct"/>
          </w:tcPr>
          <w:p w14:paraId="52F701C1" w14:textId="77777777" w:rsidR="00AD1F54" w:rsidRPr="00264D5D" w:rsidRDefault="00941227">
            <w:pPr>
              <w:spacing w:before="60" w:after="60"/>
              <w:jc w:val="center"/>
              <w:rPr>
                <w:b/>
                <w:sz w:val="22"/>
                <w:szCs w:val="22"/>
              </w:rPr>
            </w:pPr>
            <w:r w:rsidRPr="00264D5D">
              <w:rPr>
                <w:b/>
                <w:bCs/>
                <w:sz w:val="22"/>
                <w:szCs w:val="22"/>
              </w:rPr>
              <w:t>Обязательность</w:t>
            </w:r>
          </w:p>
        </w:tc>
        <w:tc>
          <w:tcPr>
            <w:tcW w:w="2057" w:type="pct"/>
          </w:tcPr>
          <w:p w14:paraId="690B2426" w14:textId="77777777" w:rsidR="00AD1F54" w:rsidRPr="00264D5D" w:rsidRDefault="00941227">
            <w:pPr>
              <w:spacing w:before="60" w:after="60"/>
              <w:jc w:val="center"/>
              <w:rPr>
                <w:b/>
                <w:bCs/>
                <w:sz w:val="22"/>
                <w:szCs w:val="22"/>
              </w:rPr>
            </w:pPr>
            <w:r w:rsidRPr="00264D5D">
              <w:rPr>
                <w:b/>
                <w:bCs/>
                <w:sz w:val="22"/>
                <w:szCs w:val="22"/>
              </w:rPr>
              <w:t>Дополнительная информация</w:t>
            </w:r>
          </w:p>
        </w:tc>
      </w:tr>
      <w:tr w:rsidR="00AD1F54" w:rsidRPr="00264D5D" w14:paraId="1C38E976"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1" w:type="pct"/>
          </w:tcPr>
          <w:p w14:paraId="44D3C0B4" w14:textId="77777777" w:rsidR="00AD1F54" w:rsidRPr="00264D5D" w:rsidRDefault="00941227">
            <w:pPr>
              <w:spacing w:before="60" w:after="60"/>
              <w:rPr>
                <w:sz w:val="22"/>
                <w:szCs w:val="22"/>
              </w:rPr>
            </w:pPr>
            <w:r w:rsidRPr="00264D5D">
              <w:rPr>
                <w:sz w:val="22"/>
                <w:szCs w:val="22"/>
              </w:rPr>
              <w:t>tPmn</w:t>
            </w:r>
          </w:p>
        </w:tc>
        <w:tc>
          <w:tcPr>
            <w:tcW w:w="883" w:type="pct"/>
          </w:tcPr>
          <w:p w14:paraId="0A948DB0" w14:textId="77777777" w:rsidR="00AD1F54" w:rsidRPr="00264D5D" w:rsidRDefault="00941227">
            <w:pPr>
              <w:spacing w:before="60" w:after="60"/>
              <w:rPr>
                <w:sz w:val="22"/>
                <w:szCs w:val="22"/>
              </w:rPr>
            </w:pPr>
            <w:r w:rsidRPr="00264D5D">
              <w:rPr>
                <w:sz w:val="22"/>
                <w:szCs w:val="22"/>
              </w:rPr>
              <w:t>Pmn_ITEM</w:t>
            </w:r>
          </w:p>
        </w:tc>
        <w:tc>
          <w:tcPr>
            <w:tcW w:w="295" w:type="pct"/>
          </w:tcPr>
          <w:p w14:paraId="000C59AE" w14:textId="77777777" w:rsidR="00AD1F54" w:rsidRPr="00264D5D" w:rsidRDefault="00941227">
            <w:pPr>
              <w:spacing w:before="60" w:after="60"/>
              <w:jc w:val="center"/>
              <w:rPr>
                <w:sz w:val="22"/>
                <w:szCs w:val="22"/>
              </w:rPr>
            </w:pPr>
            <w:r w:rsidRPr="00264D5D">
              <w:rPr>
                <w:sz w:val="22"/>
                <w:szCs w:val="22"/>
              </w:rPr>
              <w:t>С</w:t>
            </w:r>
          </w:p>
        </w:tc>
        <w:tc>
          <w:tcPr>
            <w:tcW w:w="589" w:type="pct"/>
          </w:tcPr>
          <w:p w14:paraId="74D91949" w14:textId="77777777" w:rsidR="00AD1F54" w:rsidRPr="00264D5D" w:rsidRDefault="00941227">
            <w:pPr>
              <w:spacing w:before="60" w:after="60"/>
              <w:rPr>
                <w:sz w:val="22"/>
                <w:szCs w:val="22"/>
              </w:rPr>
            </w:pPr>
            <w:r w:rsidRPr="00264D5D">
              <w:rPr>
                <w:sz w:val="22"/>
                <w:szCs w:val="22"/>
              </w:rPr>
              <w:t>tPmn_ITEM</w:t>
            </w:r>
          </w:p>
        </w:tc>
        <w:tc>
          <w:tcPr>
            <w:tcW w:w="294" w:type="pct"/>
          </w:tcPr>
          <w:p w14:paraId="47AC04C0" w14:textId="77777777" w:rsidR="00AD1F54" w:rsidRPr="00264D5D" w:rsidRDefault="00941227">
            <w:pPr>
              <w:spacing w:before="60" w:after="60"/>
              <w:jc w:val="center"/>
              <w:rPr>
                <w:sz w:val="22"/>
                <w:szCs w:val="22"/>
              </w:rPr>
            </w:pPr>
            <w:r w:rsidRPr="00264D5D">
              <w:rPr>
                <w:sz w:val="22"/>
                <w:szCs w:val="22"/>
              </w:rPr>
              <w:t>ОМ</w:t>
            </w:r>
          </w:p>
        </w:tc>
        <w:tc>
          <w:tcPr>
            <w:tcW w:w="2057" w:type="pct"/>
          </w:tcPr>
          <w:p w14:paraId="2D3F0B59" w14:textId="77777777" w:rsidR="00AD1F54" w:rsidRPr="00264D5D" w:rsidRDefault="00941227">
            <w:pPr>
              <w:spacing w:before="60" w:after="60"/>
              <w:rPr>
                <w:sz w:val="22"/>
                <w:szCs w:val="22"/>
              </w:rPr>
            </w:pPr>
            <w:r w:rsidRPr="00264D5D">
              <w:rPr>
                <w:sz w:val="22"/>
                <w:szCs w:val="22"/>
              </w:rPr>
              <w:t>Расшифровка документа, подтверждающего возникновение денежного обязательства.</w:t>
            </w:r>
          </w:p>
          <w:p w14:paraId="66A327C0" w14:textId="6C749FF1" w:rsidR="00AD1F54" w:rsidRPr="00264D5D" w:rsidRDefault="00941227">
            <w:pPr>
              <w:spacing w:before="60" w:after="60"/>
              <w:rPr>
                <w:sz w:val="22"/>
                <w:szCs w:val="22"/>
              </w:rPr>
            </w:pPr>
            <w:r w:rsidRPr="00264D5D">
              <w:rPr>
                <w:sz w:val="22"/>
                <w:szCs w:val="22"/>
              </w:rPr>
              <w:t xml:space="preserve">Состав элемента представлен в таблице </w:t>
            </w:r>
            <w:r w:rsidRPr="00264D5D">
              <w:rPr>
                <w:sz w:val="22"/>
                <w:szCs w:val="22"/>
              </w:rPr>
              <w:fldChar w:fldCharType="begin"/>
            </w:r>
            <w:r w:rsidRPr="00264D5D">
              <w:rPr>
                <w:sz w:val="22"/>
                <w:szCs w:val="22"/>
              </w:rPr>
              <w:instrText xml:space="preserve"> REF _Ref461375024 \h  \* MERGEFORMAT </w:instrText>
            </w:r>
            <w:r w:rsidRPr="00264D5D">
              <w:rPr>
                <w:sz w:val="22"/>
                <w:szCs w:val="22"/>
              </w:rPr>
            </w:r>
            <w:r w:rsidRPr="00264D5D">
              <w:rPr>
                <w:sz w:val="22"/>
                <w:szCs w:val="22"/>
              </w:rPr>
              <w:fldChar w:fldCharType="separate"/>
            </w:r>
            <w:r w:rsidR="008D797C" w:rsidRPr="008D797C">
              <w:rPr>
                <w:rFonts w:eastAsia="Calibri"/>
                <w:b/>
                <w:sz w:val="22"/>
                <w:szCs w:val="22"/>
              </w:rPr>
              <w:t>154</w:t>
            </w:r>
            <w:r w:rsidRPr="00264D5D">
              <w:rPr>
                <w:sz w:val="22"/>
                <w:szCs w:val="22"/>
              </w:rPr>
              <w:fldChar w:fldCharType="end"/>
            </w:r>
          </w:p>
        </w:tc>
      </w:tr>
    </w:tbl>
    <w:p w14:paraId="4E611F3F" w14:textId="77777777" w:rsidR="00AD1F54" w:rsidRPr="00891D16" w:rsidRDefault="00941227">
      <w:pPr>
        <w:pStyle w:val="31"/>
        <w:rPr>
          <w:highlight w:val="green"/>
        </w:rPr>
      </w:pPr>
      <w:bookmarkStart w:id="1615" w:name="_Toc219309607"/>
      <w:r w:rsidRPr="00891D16">
        <w:rPr>
          <w:highlight w:val="green"/>
        </w:rPr>
        <w:t>Описание комплексного типа «tPmn_ITEM»</w:t>
      </w:r>
      <w:bookmarkEnd w:id="1615"/>
    </w:p>
    <w:p w14:paraId="7EF88362" w14:textId="77777777" w:rsidR="00AD1F54" w:rsidRPr="00264D5D" w:rsidRDefault="00941227">
      <w:pPr>
        <w:pStyle w:val="ASFKNormal"/>
        <w:spacing w:before="60" w:after="120"/>
        <w:contextualSpacing w:val="0"/>
        <w:jc w:val="both"/>
        <w:rPr>
          <w:sz w:val="24"/>
          <w:szCs w:val="24"/>
        </w:rPr>
      </w:pPr>
      <w:r w:rsidRPr="00264D5D">
        <w:rPr>
          <w:sz w:val="24"/>
          <w:szCs w:val="24"/>
        </w:rPr>
        <w:t>Описание комплексного типа «tPmn_ITEM» строк блока «Расшифровка обязательства».</w:t>
      </w:r>
    </w:p>
    <w:p w14:paraId="1ED53C17" w14:textId="506E42DA" w:rsidR="00AD1F54" w:rsidRPr="00891D16" w:rsidRDefault="00941227">
      <w:pPr>
        <w:pStyle w:val="GOSTNameTable"/>
        <w:numPr>
          <w:ilvl w:val="0"/>
          <w:numId w:val="2"/>
        </w:numPr>
        <w:ind w:left="425" w:hanging="357"/>
        <w:rPr>
          <w:rFonts w:eastAsia="Calibri"/>
          <w:szCs w:val="24"/>
          <w:highlight w:val="green"/>
        </w:rPr>
      </w:pPr>
      <w:r w:rsidRPr="00891D16">
        <w:rPr>
          <w:rFonts w:eastAsia="Calibri"/>
          <w:szCs w:val="24"/>
          <w:highlight w:val="green"/>
        </w:rPr>
        <w:fldChar w:fldCharType="begin"/>
      </w:r>
      <w:r w:rsidRPr="00891D16">
        <w:rPr>
          <w:rFonts w:eastAsia="Calibri"/>
          <w:szCs w:val="24"/>
          <w:highlight w:val="green"/>
        </w:rPr>
        <w:instrText xml:space="preserve"> SEQ Таблица \* ARABIC </w:instrText>
      </w:r>
      <w:r w:rsidRPr="00891D16">
        <w:rPr>
          <w:rFonts w:eastAsia="Calibri"/>
          <w:szCs w:val="24"/>
          <w:highlight w:val="green"/>
        </w:rPr>
        <w:fldChar w:fldCharType="separate"/>
      </w:r>
      <w:bookmarkStart w:id="1616" w:name="_Ref461375024"/>
      <w:bookmarkStart w:id="1617" w:name="_Toc30503363"/>
      <w:bookmarkStart w:id="1618" w:name="_Toc30507961"/>
      <w:bookmarkStart w:id="1619" w:name="_Toc219309184"/>
      <w:r w:rsidR="008D797C">
        <w:rPr>
          <w:rFonts w:eastAsia="Calibri"/>
          <w:noProof/>
          <w:szCs w:val="24"/>
          <w:highlight w:val="green"/>
        </w:rPr>
        <w:t>154</w:t>
      </w:r>
      <w:bookmarkEnd w:id="1616"/>
      <w:r w:rsidRPr="00891D16">
        <w:rPr>
          <w:rFonts w:eastAsia="Calibri"/>
          <w:szCs w:val="24"/>
          <w:highlight w:val="green"/>
        </w:rPr>
        <w:fldChar w:fldCharType="end"/>
      </w:r>
      <w:r w:rsidRPr="00891D16">
        <w:rPr>
          <w:rFonts w:eastAsia="Calibri"/>
          <w:szCs w:val="24"/>
          <w:highlight w:val="green"/>
        </w:rPr>
        <w:t xml:space="preserve"> – Описание комплексного типа «tPmn_ITEM»</w:t>
      </w:r>
      <w:bookmarkEnd w:id="1617"/>
      <w:bookmarkEnd w:id="1618"/>
      <w:bookmarkEnd w:id="1619"/>
    </w:p>
    <w:tbl>
      <w:tblPr>
        <w:tblStyle w:val="GOSTTable"/>
        <w:tblW w:w="5000" w:type="pct"/>
        <w:tblLayout w:type="fixed"/>
        <w:tblLook w:val="04A0" w:firstRow="1" w:lastRow="0" w:firstColumn="1" w:lastColumn="0" w:noHBand="0" w:noVBand="1"/>
      </w:tblPr>
      <w:tblGrid>
        <w:gridCol w:w="1703"/>
        <w:gridCol w:w="1702"/>
        <w:gridCol w:w="569"/>
        <w:gridCol w:w="1137"/>
        <w:gridCol w:w="567"/>
        <w:gridCol w:w="3972"/>
      </w:tblGrid>
      <w:tr w:rsidR="00AD1F54" w:rsidRPr="00264D5D" w14:paraId="36CB84E9"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2" w:type="pct"/>
          </w:tcPr>
          <w:p w14:paraId="756F1100" w14:textId="77777777" w:rsidR="00AD1F54" w:rsidRPr="00264D5D" w:rsidRDefault="00941227">
            <w:pPr>
              <w:spacing w:before="60" w:after="60"/>
              <w:jc w:val="center"/>
              <w:rPr>
                <w:b/>
                <w:bCs/>
                <w:sz w:val="22"/>
                <w:szCs w:val="22"/>
              </w:rPr>
            </w:pPr>
            <w:r w:rsidRPr="00264D5D">
              <w:rPr>
                <w:b/>
                <w:bCs/>
                <w:sz w:val="22"/>
                <w:szCs w:val="22"/>
              </w:rPr>
              <w:t>Наименование элемента</w:t>
            </w:r>
          </w:p>
        </w:tc>
        <w:tc>
          <w:tcPr>
            <w:tcW w:w="882" w:type="pct"/>
          </w:tcPr>
          <w:p w14:paraId="40EC1440" w14:textId="77777777" w:rsidR="00AD1F54" w:rsidRPr="00264D5D" w:rsidRDefault="00941227">
            <w:pPr>
              <w:spacing w:before="60" w:after="60"/>
              <w:jc w:val="center"/>
              <w:rPr>
                <w:b/>
                <w:bCs/>
                <w:sz w:val="22"/>
                <w:szCs w:val="22"/>
              </w:rPr>
            </w:pPr>
            <w:r w:rsidRPr="00264D5D">
              <w:rPr>
                <w:b/>
                <w:bCs/>
                <w:sz w:val="22"/>
                <w:szCs w:val="22"/>
              </w:rPr>
              <w:t>Сокращенное наименование (код) элемента</w:t>
            </w:r>
          </w:p>
        </w:tc>
        <w:tc>
          <w:tcPr>
            <w:tcW w:w="295" w:type="pct"/>
          </w:tcPr>
          <w:p w14:paraId="3BD1C0C7" w14:textId="77777777" w:rsidR="00AD1F54" w:rsidRPr="00264D5D" w:rsidRDefault="00941227">
            <w:pPr>
              <w:spacing w:before="60" w:after="60"/>
              <w:jc w:val="center"/>
              <w:rPr>
                <w:b/>
                <w:sz w:val="22"/>
                <w:szCs w:val="22"/>
              </w:rPr>
            </w:pPr>
            <w:r w:rsidRPr="00264D5D">
              <w:rPr>
                <w:b/>
                <w:bCs/>
                <w:sz w:val="22"/>
                <w:szCs w:val="22"/>
              </w:rPr>
              <w:t>Тип</w:t>
            </w:r>
          </w:p>
        </w:tc>
        <w:tc>
          <w:tcPr>
            <w:tcW w:w="589" w:type="pct"/>
          </w:tcPr>
          <w:p w14:paraId="78DD70D9" w14:textId="77777777" w:rsidR="00AD1F54" w:rsidRPr="00264D5D" w:rsidRDefault="00941227">
            <w:pPr>
              <w:spacing w:before="60" w:after="60"/>
              <w:jc w:val="center"/>
              <w:rPr>
                <w:b/>
                <w:sz w:val="22"/>
                <w:szCs w:val="22"/>
              </w:rPr>
            </w:pPr>
            <w:r w:rsidRPr="00264D5D">
              <w:rPr>
                <w:b/>
                <w:bCs/>
                <w:sz w:val="22"/>
                <w:szCs w:val="22"/>
              </w:rPr>
              <w:t>Формат элемента</w:t>
            </w:r>
          </w:p>
        </w:tc>
        <w:tc>
          <w:tcPr>
            <w:tcW w:w="294" w:type="pct"/>
          </w:tcPr>
          <w:p w14:paraId="623F3DE0" w14:textId="77777777" w:rsidR="00AD1F54" w:rsidRPr="00264D5D" w:rsidRDefault="00941227">
            <w:pPr>
              <w:spacing w:before="60" w:after="60"/>
              <w:jc w:val="center"/>
              <w:rPr>
                <w:b/>
                <w:sz w:val="22"/>
                <w:szCs w:val="22"/>
              </w:rPr>
            </w:pPr>
            <w:r w:rsidRPr="00264D5D">
              <w:rPr>
                <w:b/>
                <w:bCs/>
                <w:sz w:val="22"/>
                <w:szCs w:val="22"/>
              </w:rPr>
              <w:t>Обязательность</w:t>
            </w:r>
          </w:p>
        </w:tc>
        <w:tc>
          <w:tcPr>
            <w:tcW w:w="2058" w:type="pct"/>
          </w:tcPr>
          <w:p w14:paraId="2F359CC2" w14:textId="77777777" w:rsidR="00AD1F54" w:rsidRPr="00264D5D" w:rsidRDefault="00941227">
            <w:pPr>
              <w:spacing w:before="60" w:after="60"/>
              <w:jc w:val="center"/>
              <w:rPr>
                <w:b/>
                <w:bCs/>
                <w:sz w:val="22"/>
                <w:szCs w:val="22"/>
              </w:rPr>
            </w:pPr>
            <w:r w:rsidRPr="00264D5D">
              <w:rPr>
                <w:b/>
                <w:bCs/>
                <w:sz w:val="22"/>
                <w:szCs w:val="22"/>
              </w:rPr>
              <w:t>Дополнительная информация</w:t>
            </w:r>
          </w:p>
        </w:tc>
      </w:tr>
      <w:tr w:rsidR="00AD1F54" w:rsidRPr="00264D5D" w14:paraId="49CC2978"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2" w:type="pct"/>
          </w:tcPr>
          <w:p w14:paraId="38B6AE98" w14:textId="77777777" w:rsidR="00AD1F54" w:rsidRPr="00264D5D" w:rsidRDefault="00941227">
            <w:pPr>
              <w:spacing w:before="60" w:after="60"/>
              <w:rPr>
                <w:sz w:val="22"/>
                <w:szCs w:val="22"/>
              </w:rPr>
            </w:pPr>
            <w:r w:rsidRPr="00264D5D">
              <w:rPr>
                <w:sz w:val="22"/>
                <w:szCs w:val="22"/>
              </w:rPr>
              <w:t>Код строки</w:t>
            </w:r>
          </w:p>
        </w:tc>
        <w:tc>
          <w:tcPr>
            <w:tcW w:w="882" w:type="pct"/>
          </w:tcPr>
          <w:p w14:paraId="5354CFCA" w14:textId="77777777" w:rsidR="00AD1F54" w:rsidRPr="00264D5D" w:rsidRDefault="00941227">
            <w:pPr>
              <w:spacing w:before="60" w:after="60"/>
              <w:rPr>
                <w:sz w:val="22"/>
                <w:szCs w:val="22"/>
              </w:rPr>
            </w:pPr>
            <w:r w:rsidRPr="00264D5D">
              <w:rPr>
                <w:sz w:val="22"/>
                <w:szCs w:val="22"/>
              </w:rPr>
              <w:t>NmLn</w:t>
            </w:r>
          </w:p>
        </w:tc>
        <w:tc>
          <w:tcPr>
            <w:tcW w:w="295" w:type="pct"/>
          </w:tcPr>
          <w:p w14:paraId="77B458AA" w14:textId="77777777" w:rsidR="00AD1F54" w:rsidRPr="00264D5D" w:rsidRDefault="00941227">
            <w:pPr>
              <w:spacing w:before="60" w:after="60"/>
              <w:jc w:val="center"/>
              <w:rPr>
                <w:sz w:val="22"/>
                <w:szCs w:val="22"/>
              </w:rPr>
            </w:pPr>
            <w:r w:rsidRPr="00264D5D">
              <w:rPr>
                <w:sz w:val="22"/>
                <w:szCs w:val="22"/>
              </w:rPr>
              <w:t>П</w:t>
            </w:r>
          </w:p>
        </w:tc>
        <w:tc>
          <w:tcPr>
            <w:tcW w:w="589" w:type="pct"/>
          </w:tcPr>
          <w:p w14:paraId="5CBA5B41" w14:textId="77777777" w:rsidR="00AD1F54" w:rsidRPr="00264D5D" w:rsidRDefault="00941227">
            <w:pPr>
              <w:spacing w:before="60" w:after="60"/>
              <w:jc w:val="left"/>
              <w:rPr>
                <w:sz w:val="22"/>
                <w:szCs w:val="22"/>
              </w:rPr>
            </w:pPr>
            <w:r w:rsidRPr="00264D5D">
              <w:rPr>
                <w:sz w:val="22"/>
                <w:szCs w:val="22"/>
              </w:rPr>
              <w:t>Т(1-4)</w:t>
            </w:r>
          </w:p>
        </w:tc>
        <w:tc>
          <w:tcPr>
            <w:tcW w:w="294" w:type="pct"/>
          </w:tcPr>
          <w:p w14:paraId="744BC339" w14:textId="77777777" w:rsidR="00AD1F54" w:rsidRPr="00264D5D" w:rsidRDefault="00941227">
            <w:pPr>
              <w:spacing w:before="60" w:after="60"/>
              <w:jc w:val="center"/>
              <w:rPr>
                <w:sz w:val="22"/>
                <w:szCs w:val="22"/>
              </w:rPr>
            </w:pPr>
            <w:r w:rsidRPr="00264D5D">
              <w:rPr>
                <w:sz w:val="22"/>
                <w:szCs w:val="22"/>
              </w:rPr>
              <w:t>О</w:t>
            </w:r>
          </w:p>
        </w:tc>
        <w:tc>
          <w:tcPr>
            <w:tcW w:w="2058" w:type="pct"/>
          </w:tcPr>
          <w:p w14:paraId="198D5027" w14:textId="77777777" w:rsidR="00676E27" w:rsidRPr="00264D5D" w:rsidRDefault="00941227">
            <w:pPr>
              <w:spacing w:before="60" w:after="60"/>
              <w:rPr>
                <w:sz w:val="22"/>
                <w:szCs w:val="22"/>
              </w:rPr>
            </w:pPr>
            <w:r w:rsidRPr="00264D5D">
              <w:rPr>
                <w:sz w:val="22"/>
                <w:szCs w:val="22"/>
              </w:rPr>
              <w:t xml:space="preserve">Служебное поле, используется для идентификации строк расшифровки документа, подтверждающего возникновение денежного обязательства. </w:t>
            </w:r>
          </w:p>
          <w:p w14:paraId="5D48B81D" w14:textId="77777777" w:rsidR="00AD1F54" w:rsidRPr="00264D5D" w:rsidRDefault="00941227">
            <w:pPr>
              <w:spacing w:before="60" w:after="60"/>
              <w:rPr>
                <w:sz w:val="22"/>
                <w:szCs w:val="22"/>
              </w:rPr>
            </w:pPr>
            <w:r w:rsidRPr="00264D5D">
              <w:rPr>
                <w:sz w:val="22"/>
                <w:szCs w:val="22"/>
              </w:rPr>
              <w:t>Указывается порядковый номер строки.</w:t>
            </w:r>
          </w:p>
        </w:tc>
      </w:tr>
      <w:tr w:rsidR="00AD1F54" w:rsidRPr="00264D5D" w14:paraId="2469F5C3"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2" w:type="pct"/>
          </w:tcPr>
          <w:p w14:paraId="385FC0E1" w14:textId="77777777" w:rsidR="00AD1F54" w:rsidRPr="00264D5D" w:rsidRDefault="00941227">
            <w:pPr>
              <w:spacing w:before="60" w:after="60"/>
              <w:rPr>
                <w:sz w:val="22"/>
                <w:szCs w:val="22"/>
              </w:rPr>
            </w:pPr>
            <w:r w:rsidRPr="00264D5D">
              <w:rPr>
                <w:sz w:val="22"/>
                <w:szCs w:val="22"/>
              </w:rPr>
              <w:t>Вид средств для исполнения обязательства</w:t>
            </w:r>
          </w:p>
        </w:tc>
        <w:tc>
          <w:tcPr>
            <w:tcW w:w="882" w:type="pct"/>
          </w:tcPr>
          <w:p w14:paraId="4C773AE0" w14:textId="77777777" w:rsidR="00AD1F54" w:rsidRPr="00264D5D" w:rsidRDefault="00941227">
            <w:pPr>
              <w:spacing w:before="60" w:after="60"/>
              <w:rPr>
                <w:sz w:val="22"/>
                <w:szCs w:val="22"/>
              </w:rPr>
            </w:pPr>
            <w:r w:rsidRPr="00264D5D">
              <w:rPr>
                <w:sz w:val="22"/>
                <w:szCs w:val="22"/>
              </w:rPr>
              <w:t>NmTpRsrcs</w:t>
            </w:r>
          </w:p>
        </w:tc>
        <w:tc>
          <w:tcPr>
            <w:tcW w:w="295" w:type="pct"/>
          </w:tcPr>
          <w:p w14:paraId="151A73A0" w14:textId="77777777" w:rsidR="00AD1F54" w:rsidRPr="00264D5D" w:rsidRDefault="00941227">
            <w:pPr>
              <w:spacing w:before="60" w:after="60"/>
              <w:jc w:val="center"/>
              <w:rPr>
                <w:sz w:val="22"/>
                <w:szCs w:val="22"/>
              </w:rPr>
            </w:pPr>
            <w:r w:rsidRPr="00264D5D">
              <w:rPr>
                <w:sz w:val="22"/>
                <w:szCs w:val="22"/>
              </w:rPr>
              <w:t>П</w:t>
            </w:r>
          </w:p>
        </w:tc>
        <w:tc>
          <w:tcPr>
            <w:tcW w:w="589" w:type="pct"/>
          </w:tcPr>
          <w:p w14:paraId="32D28935" w14:textId="77777777" w:rsidR="00AD1F54" w:rsidRPr="00264D5D" w:rsidRDefault="00941227">
            <w:pPr>
              <w:spacing w:before="60" w:after="60"/>
              <w:jc w:val="left"/>
              <w:rPr>
                <w:sz w:val="22"/>
                <w:szCs w:val="22"/>
              </w:rPr>
            </w:pPr>
            <w:r w:rsidRPr="00264D5D">
              <w:rPr>
                <w:sz w:val="22"/>
                <w:szCs w:val="22"/>
              </w:rPr>
              <w:t>Т(1)</w:t>
            </w:r>
          </w:p>
        </w:tc>
        <w:tc>
          <w:tcPr>
            <w:tcW w:w="294" w:type="pct"/>
          </w:tcPr>
          <w:p w14:paraId="51E6860D" w14:textId="77777777" w:rsidR="00AD1F54" w:rsidRPr="00264D5D" w:rsidRDefault="00941227">
            <w:pPr>
              <w:spacing w:before="60" w:after="60"/>
              <w:jc w:val="center"/>
              <w:rPr>
                <w:sz w:val="22"/>
                <w:szCs w:val="22"/>
              </w:rPr>
            </w:pPr>
            <w:r w:rsidRPr="00264D5D">
              <w:rPr>
                <w:sz w:val="22"/>
                <w:szCs w:val="22"/>
              </w:rPr>
              <w:t>О</w:t>
            </w:r>
          </w:p>
        </w:tc>
        <w:tc>
          <w:tcPr>
            <w:tcW w:w="2058" w:type="pct"/>
          </w:tcPr>
          <w:p w14:paraId="13B18BB9" w14:textId="77777777" w:rsidR="00AD1F54" w:rsidRPr="00264D5D" w:rsidRDefault="00941227" w:rsidP="00676E27">
            <w:pPr>
              <w:spacing w:before="60" w:after="60"/>
              <w:rPr>
                <w:sz w:val="22"/>
                <w:szCs w:val="22"/>
              </w:rPr>
            </w:pPr>
            <w:r w:rsidRPr="00264D5D">
              <w:rPr>
                <w:sz w:val="22"/>
                <w:szCs w:val="22"/>
              </w:rPr>
              <w:t>Вид средств для исполнения ДО.</w:t>
            </w:r>
          </w:p>
          <w:p w14:paraId="1D49FA5F" w14:textId="77777777" w:rsidR="00AD1F54" w:rsidRPr="00264D5D" w:rsidRDefault="00941227" w:rsidP="00676E27">
            <w:pPr>
              <w:spacing w:before="60" w:after="60"/>
              <w:rPr>
                <w:sz w:val="22"/>
                <w:szCs w:val="22"/>
              </w:rPr>
            </w:pPr>
            <w:r w:rsidRPr="00264D5D">
              <w:rPr>
                <w:sz w:val="22"/>
                <w:szCs w:val="22"/>
              </w:rPr>
              <w:t>Возможные значения:</w:t>
            </w:r>
          </w:p>
          <w:p w14:paraId="3A16D0E6" w14:textId="77777777" w:rsidR="00AD1F54" w:rsidRPr="00264D5D" w:rsidRDefault="00941227" w:rsidP="00676E27">
            <w:pPr>
              <w:pStyle w:val="GOSTTableListMark1"/>
              <w:numPr>
                <w:ilvl w:val="0"/>
                <w:numId w:val="65"/>
              </w:numPr>
              <w:tabs>
                <w:tab w:val="clear" w:pos="340"/>
                <w:tab w:val="num" w:pos="227"/>
              </w:tabs>
              <w:spacing w:before="60" w:after="60"/>
              <w:ind w:left="284"/>
              <w:jc w:val="both"/>
              <w:rPr>
                <w:szCs w:val="22"/>
              </w:rPr>
            </w:pPr>
            <w:r w:rsidRPr="00264D5D">
              <w:rPr>
                <w:szCs w:val="22"/>
              </w:rPr>
              <w:t>«1» – средства бюджета;</w:t>
            </w:r>
          </w:p>
          <w:p w14:paraId="1858DED9" w14:textId="77777777" w:rsidR="00AD1F54" w:rsidRPr="00264D5D" w:rsidRDefault="00941227" w:rsidP="00676E27">
            <w:pPr>
              <w:pStyle w:val="GOSTTableListMark1"/>
              <w:numPr>
                <w:ilvl w:val="0"/>
                <w:numId w:val="65"/>
              </w:numPr>
              <w:tabs>
                <w:tab w:val="clear" w:pos="340"/>
                <w:tab w:val="num" w:pos="227"/>
              </w:tabs>
              <w:spacing w:before="60" w:after="60"/>
              <w:ind w:left="284"/>
              <w:jc w:val="both"/>
              <w:rPr>
                <w:szCs w:val="22"/>
              </w:rPr>
            </w:pPr>
            <w:r w:rsidRPr="00264D5D">
              <w:rPr>
                <w:szCs w:val="22"/>
              </w:rPr>
              <w:t>«4» – средства для финансирования мероприятий по оп</w:t>
            </w:r>
            <w:r w:rsidR="00676E27" w:rsidRPr="00264D5D">
              <w:rPr>
                <w:szCs w:val="22"/>
              </w:rPr>
              <w:t>еративно-розыскной деятельности</w:t>
            </w:r>
          </w:p>
        </w:tc>
      </w:tr>
      <w:tr w:rsidR="00AD1F54" w:rsidRPr="00264D5D" w14:paraId="4C3E4137"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2" w:type="pct"/>
          </w:tcPr>
          <w:p w14:paraId="100605E5" w14:textId="77777777" w:rsidR="00AD1F54" w:rsidRPr="00264D5D" w:rsidRDefault="00941227">
            <w:pPr>
              <w:spacing w:before="60" w:after="60"/>
              <w:rPr>
                <w:sz w:val="22"/>
                <w:szCs w:val="22"/>
              </w:rPr>
            </w:pPr>
            <w:r w:rsidRPr="00264D5D">
              <w:rPr>
                <w:sz w:val="22"/>
                <w:szCs w:val="22"/>
              </w:rPr>
              <w:t>Срок исполнения</w:t>
            </w:r>
          </w:p>
        </w:tc>
        <w:tc>
          <w:tcPr>
            <w:tcW w:w="882" w:type="pct"/>
          </w:tcPr>
          <w:p w14:paraId="521CE3AE" w14:textId="77777777" w:rsidR="00AD1F54" w:rsidRPr="00264D5D" w:rsidRDefault="00941227">
            <w:pPr>
              <w:spacing w:before="60" w:after="60"/>
              <w:rPr>
                <w:sz w:val="22"/>
                <w:szCs w:val="22"/>
              </w:rPr>
            </w:pPr>
            <w:r w:rsidRPr="00264D5D">
              <w:rPr>
                <w:sz w:val="22"/>
                <w:szCs w:val="22"/>
              </w:rPr>
              <w:t>DtExctn</w:t>
            </w:r>
          </w:p>
        </w:tc>
        <w:tc>
          <w:tcPr>
            <w:tcW w:w="295" w:type="pct"/>
          </w:tcPr>
          <w:p w14:paraId="39575A9C" w14:textId="77777777" w:rsidR="00AD1F54" w:rsidRPr="00264D5D" w:rsidRDefault="00941227">
            <w:pPr>
              <w:spacing w:before="60" w:after="60"/>
              <w:jc w:val="center"/>
              <w:rPr>
                <w:sz w:val="22"/>
                <w:szCs w:val="22"/>
              </w:rPr>
            </w:pPr>
            <w:r w:rsidRPr="00264D5D">
              <w:rPr>
                <w:sz w:val="22"/>
                <w:szCs w:val="22"/>
              </w:rPr>
              <w:t>П</w:t>
            </w:r>
          </w:p>
        </w:tc>
        <w:tc>
          <w:tcPr>
            <w:tcW w:w="589" w:type="pct"/>
          </w:tcPr>
          <w:p w14:paraId="673BE8B0" w14:textId="77777777" w:rsidR="00AD1F54" w:rsidRPr="00264D5D" w:rsidRDefault="00941227">
            <w:pPr>
              <w:spacing w:before="60" w:after="60"/>
              <w:jc w:val="left"/>
              <w:rPr>
                <w:sz w:val="22"/>
                <w:szCs w:val="22"/>
              </w:rPr>
            </w:pPr>
            <w:r w:rsidRPr="00264D5D">
              <w:rPr>
                <w:sz w:val="22"/>
                <w:szCs w:val="22"/>
              </w:rPr>
              <w:t>Date</w:t>
            </w:r>
          </w:p>
        </w:tc>
        <w:tc>
          <w:tcPr>
            <w:tcW w:w="294" w:type="pct"/>
          </w:tcPr>
          <w:p w14:paraId="005A95DD" w14:textId="77777777" w:rsidR="00AD1F54" w:rsidRPr="00264D5D" w:rsidRDefault="00941227">
            <w:pPr>
              <w:spacing w:before="60" w:after="60"/>
              <w:jc w:val="center"/>
              <w:rPr>
                <w:sz w:val="22"/>
                <w:szCs w:val="22"/>
              </w:rPr>
            </w:pPr>
            <w:r w:rsidRPr="00264D5D">
              <w:rPr>
                <w:sz w:val="22"/>
                <w:szCs w:val="22"/>
              </w:rPr>
              <w:t>Н</w:t>
            </w:r>
          </w:p>
        </w:tc>
        <w:tc>
          <w:tcPr>
            <w:tcW w:w="2058" w:type="pct"/>
          </w:tcPr>
          <w:p w14:paraId="2E33DE4F" w14:textId="77777777" w:rsidR="00AD1F54" w:rsidRPr="00264D5D" w:rsidRDefault="00941227">
            <w:pPr>
              <w:spacing w:before="60" w:after="60"/>
              <w:rPr>
                <w:sz w:val="22"/>
                <w:szCs w:val="22"/>
              </w:rPr>
            </w:pPr>
            <w:r w:rsidRPr="00264D5D">
              <w:rPr>
                <w:sz w:val="22"/>
                <w:szCs w:val="22"/>
              </w:rPr>
              <w:t>Указывается планируемый срок исполнения обязательства по документу-основанию.</w:t>
            </w:r>
          </w:p>
          <w:p w14:paraId="16E437D2" w14:textId="77777777" w:rsidR="00AD1F54" w:rsidRPr="00264D5D" w:rsidRDefault="00941227">
            <w:pPr>
              <w:spacing w:before="60" w:after="60"/>
              <w:rPr>
                <w:sz w:val="22"/>
                <w:szCs w:val="22"/>
              </w:rPr>
            </w:pPr>
            <w:r w:rsidRPr="00264D5D">
              <w:rPr>
                <w:sz w:val="22"/>
                <w:szCs w:val="22"/>
              </w:rPr>
              <w:t>До 01.01.2020 могут указываться даты, не по</w:t>
            </w:r>
            <w:r w:rsidR="00676E27" w:rsidRPr="00264D5D">
              <w:rPr>
                <w:sz w:val="22"/>
                <w:szCs w:val="22"/>
              </w:rPr>
              <w:t>зднее текущего финансового года</w:t>
            </w:r>
          </w:p>
        </w:tc>
      </w:tr>
      <w:tr w:rsidR="00AD1F54" w:rsidRPr="00264D5D" w14:paraId="0F9D4958"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2" w:type="pct"/>
          </w:tcPr>
          <w:p w14:paraId="0B58B13A" w14:textId="77777777" w:rsidR="00AD1F54" w:rsidRPr="00264D5D" w:rsidRDefault="00941227">
            <w:pPr>
              <w:spacing w:before="60" w:after="60"/>
              <w:rPr>
                <w:sz w:val="22"/>
                <w:szCs w:val="22"/>
              </w:rPr>
            </w:pPr>
            <w:r w:rsidRPr="00264D5D">
              <w:rPr>
                <w:sz w:val="22"/>
                <w:szCs w:val="22"/>
              </w:rPr>
              <w:t>Код по КБК</w:t>
            </w:r>
          </w:p>
        </w:tc>
        <w:tc>
          <w:tcPr>
            <w:tcW w:w="882" w:type="pct"/>
          </w:tcPr>
          <w:p w14:paraId="6493B42B" w14:textId="77777777" w:rsidR="00AD1F54" w:rsidRPr="00264D5D" w:rsidRDefault="00941227">
            <w:pPr>
              <w:spacing w:before="60" w:after="60"/>
              <w:rPr>
                <w:sz w:val="22"/>
                <w:szCs w:val="22"/>
              </w:rPr>
            </w:pPr>
            <w:r w:rsidRPr="00264D5D">
              <w:rPr>
                <w:sz w:val="22"/>
                <w:szCs w:val="22"/>
              </w:rPr>
              <w:t>KBK</w:t>
            </w:r>
          </w:p>
        </w:tc>
        <w:tc>
          <w:tcPr>
            <w:tcW w:w="295" w:type="pct"/>
          </w:tcPr>
          <w:p w14:paraId="1173B502" w14:textId="77777777" w:rsidR="00AD1F54" w:rsidRPr="00264D5D" w:rsidRDefault="00941227">
            <w:pPr>
              <w:spacing w:before="60" w:after="60"/>
              <w:jc w:val="center"/>
              <w:rPr>
                <w:sz w:val="22"/>
                <w:szCs w:val="22"/>
              </w:rPr>
            </w:pPr>
            <w:r w:rsidRPr="00264D5D">
              <w:rPr>
                <w:sz w:val="22"/>
                <w:szCs w:val="22"/>
              </w:rPr>
              <w:t>П</w:t>
            </w:r>
          </w:p>
        </w:tc>
        <w:tc>
          <w:tcPr>
            <w:tcW w:w="589" w:type="pct"/>
          </w:tcPr>
          <w:p w14:paraId="1EF3C9F9" w14:textId="77777777" w:rsidR="00AD1F54" w:rsidRPr="00264D5D" w:rsidRDefault="00941227">
            <w:pPr>
              <w:spacing w:before="60" w:after="60"/>
              <w:jc w:val="left"/>
              <w:rPr>
                <w:sz w:val="22"/>
                <w:szCs w:val="22"/>
              </w:rPr>
            </w:pPr>
            <w:r w:rsidRPr="00264D5D">
              <w:rPr>
                <w:sz w:val="22"/>
                <w:szCs w:val="22"/>
              </w:rPr>
              <w:t>Т(20)</w:t>
            </w:r>
          </w:p>
        </w:tc>
        <w:tc>
          <w:tcPr>
            <w:tcW w:w="294" w:type="pct"/>
          </w:tcPr>
          <w:p w14:paraId="09980A6F" w14:textId="77777777" w:rsidR="00AD1F54" w:rsidRPr="00264D5D" w:rsidRDefault="00941227">
            <w:pPr>
              <w:spacing w:before="60" w:after="60"/>
              <w:jc w:val="center"/>
              <w:rPr>
                <w:sz w:val="22"/>
                <w:szCs w:val="22"/>
              </w:rPr>
            </w:pPr>
            <w:r w:rsidRPr="00264D5D">
              <w:rPr>
                <w:sz w:val="22"/>
                <w:szCs w:val="22"/>
              </w:rPr>
              <w:t>О</w:t>
            </w:r>
          </w:p>
        </w:tc>
        <w:tc>
          <w:tcPr>
            <w:tcW w:w="2058" w:type="pct"/>
          </w:tcPr>
          <w:p w14:paraId="28D507E9" w14:textId="77777777" w:rsidR="00AD1F54" w:rsidRPr="00264D5D" w:rsidRDefault="00941227">
            <w:pPr>
              <w:spacing w:before="60" w:after="60"/>
              <w:rPr>
                <w:sz w:val="22"/>
                <w:szCs w:val="22"/>
              </w:rPr>
            </w:pPr>
            <w:r w:rsidRPr="00264D5D">
              <w:rPr>
                <w:sz w:val="22"/>
                <w:szCs w:val="22"/>
              </w:rPr>
              <w:t xml:space="preserve">Указывается код бюджетной классификации в соответствии </w:t>
            </w:r>
            <w:r w:rsidR="00676E27" w:rsidRPr="00264D5D">
              <w:rPr>
                <w:sz w:val="22"/>
                <w:szCs w:val="22"/>
              </w:rPr>
              <w:t>с действующими Указаниями по БК</w:t>
            </w:r>
          </w:p>
        </w:tc>
      </w:tr>
      <w:tr w:rsidR="00AD1F54" w:rsidRPr="00264D5D" w14:paraId="06653843"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2" w:type="pct"/>
          </w:tcPr>
          <w:p w14:paraId="20136453" w14:textId="77777777" w:rsidR="00AD1F54" w:rsidRPr="00264D5D" w:rsidRDefault="00941227">
            <w:pPr>
              <w:spacing w:before="60" w:after="60"/>
              <w:rPr>
                <w:sz w:val="22"/>
                <w:szCs w:val="22"/>
              </w:rPr>
            </w:pPr>
            <w:r w:rsidRPr="00264D5D">
              <w:rPr>
                <w:sz w:val="22"/>
                <w:szCs w:val="22"/>
              </w:rPr>
              <w:t>Тип КБК</w:t>
            </w:r>
          </w:p>
        </w:tc>
        <w:tc>
          <w:tcPr>
            <w:tcW w:w="882" w:type="pct"/>
          </w:tcPr>
          <w:p w14:paraId="22FC9633" w14:textId="77777777" w:rsidR="00AD1F54" w:rsidRPr="00264D5D" w:rsidRDefault="00941227">
            <w:pPr>
              <w:spacing w:before="60" w:after="60"/>
              <w:rPr>
                <w:sz w:val="22"/>
                <w:szCs w:val="22"/>
              </w:rPr>
            </w:pPr>
            <w:r w:rsidRPr="00264D5D">
              <w:rPr>
                <w:sz w:val="22"/>
                <w:szCs w:val="22"/>
              </w:rPr>
              <w:t>KBKTp</w:t>
            </w:r>
          </w:p>
        </w:tc>
        <w:tc>
          <w:tcPr>
            <w:tcW w:w="295" w:type="pct"/>
          </w:tcPr>
          <w:p w14:paraId="4F1AF865" w14:textId="77777777" w:rsidR="00AD1F54" w:rsidRPr="00264D5D" w:rsidRDefault="00941227">
            <w:pPr>
              <w:spacing w:before="60" w:after="60"/>
              <w:jc w:val="center"/>
              <w:rPr>
                <w:sz w:val="22"/>
                <w:szCs w:val="22"/>
              </w:rPr>
            </w:pPr>
            <w:r w:rsidRPr="00264D5D">
              <w:rPr>
                <w:sz w:val="22"/>
                <w:szCs w:val="22"/>
              </w:rPr>
              <w:t>П</w:t>
            </w:r>
          </w:p>
        </w:tc>
        <w:tc>
          <w:tcPr>
            <w:tcW w:w="589" w:type="pct"/>
          </w:tcPr>
          <w:p w14:paraId="58B81AAC" w14:textId="77777777" w:rsidR="00AD1F54" w:rsidRPr="00264D5D" w:rsidRDefault="00941227">
            <w:pPr>
              <w:spacing w:before="60" w:after="60"/>
              <w:jc w:val="left"/>
              <w:rPr>
                <w:sz w:val="22"/>
                <w:szCs w:val="22"/>
              </w:rPr>
            </w:pPr>
            <w:r w:rsidRPr="00264D5D">
              <w:rPr>
                <w:sz w:val="22"/>
                <w:szCs w:val="22"/>
              </w:rPr>
              <w:t>Т(2)</w:t>
            </w:r>
          </w:p>
        </w:tc>
        <w:tc>
          <w:tcPr>
            <w:tcW w:w="294" w:type="pct"/>
          </w:tcPr>
          <w:p w14:paraId="29E42C7A" w14:textId="77777777" w:rsidR="00AD1F54" w:rsidRPr="00264D5D" w:rsidRDefault="00941227">
            <w:pPr>
              <w:spacing w:before="60" w:after="60"/>
              <w:jc w:val="center"/>
              <w:rPr>
                <w:sz w:val="22"/>
                <w:szCs w:val="22"/>
              </w:rPr>
            </w:pPr>
            <w:r w:rsidRPr="00264D5D">
              <w:rPr>
                <w:sz w:val="22"/>
                <w:szCs w:val="22"/>
              </w:rPr>
              <w:t>О</w:t>
            </w:r>
          </w:p>
        </w:tc>
        <w:tc>
          <w:tcPr>
            <w:tcW w:w="2058" w:type="pct"/>
          </w:tcPr>
          <w:p w14:paraId="318AFEB1" w14:textId="77777777" w:rsidR="00AD1F54" w:rsidRPr="00264D5D" w:rsidRDefault="00941227">
            <w:pPr>
              <w:spacing w:before="60" w:after="60"/>
              <w:rPr>
                <w:sz w:val="22"/>
                <w:szCs w:val="22"/>
              </w:rPr>
            </w:pPr>
            <w:r w:rsidRPr="00264D5D">
              <w:rPr>
                <w:sz w:val="22"/>
                <w:szCs w:val="22"/>
              </w:rPr>
              <w:t>Тип КБК.</w:t>
            </w:r>
          </w:p>
          <w:p w14:paraId="3C5992E2" w14:textId="77777777" w:rsidR="00AD1F54" w:rsidRPr="00264D5D" w:rsidRDefault="00941227" w:rsidP="00676E27">
            <w:pPr>
              <w:spacing w:before="60" w:after="60"/>
              <w:rPr>
                <w:sz w:val="22"/>
                <w:szCs w:val="22"/>
              </w:rPr>
            </w:pPr>
            <w:r w:rsidRPr="00264D5D">
              <w:rPr>
                <w:sz w:val="22"/>
                <w:szCs w:val="22"/>
              </w:rPr>
              <w:t>Допустимые значения:</w:t>
            </w:r>
          </w:p>
          <w:p w14:paraId="5364C5FC" w14:textId="77777777" w:rsidR="00AD1F54" w:rsidRPr="00264D5D" w:rsidRDefault="00941227" w:rsidP="00676E27">
            <w:pPr>
              <w:pStyle w:val="GOSTTableListMark1"/>
              <w:numPr>
                <w:ilvl w:val="0"/>
                <w:numId w:val="65"/>
              </w:numPr>
              <w:tabs>
                <w:tab w:val="clear" w:pos="340"/>
                <w:tab w:val="num" w:pos="227"/>
              </w:tabs>
              <w:spacing w:before="60" w:after="60"/>
              <w:ind w:left="284"/>
              <w:jc w:val="both"/>
              <w:rPr>
                <w:szCs w:val="22"/>
              </w:rPr>
            </w:pPr>
            <w:r w:rsidRPr="00264D5D">
              <w:rPr>
                <w:szCs w:val="22"/>
              </w:rPr>
              <w:t>«10» – расходы;</w:t>
            </w:r>
          </w:p>
          <w:p w14:paraId="5C0C453D" w14:textId="77777777" w:rsidR="00AD1F54" w:rsidRPr="00264D5D" w:rsidRDefault="00941227" w:rsidP="00676E27">
            <w:pPr>
              <w:pStyle w:val="GOSTTableListMark1"/>
              <w:numPr>
                <w:ilvl w:val="0"/>
                <w:numId w:val="65"/>
              </w:numPr>
              <w:tabs>
                <w:tab w:val="clear" w:pos="340"/>
                <w:tab w:val="num" w:pos="227"/>
              </w:tabs>
              <w:spacing w:before="60" w:after="60"/>
              <w:ind w:left="284"/>
              <w:jc w:val="both"/>
              <w:rPr>
                <w:szCs w:val="22"/>
              </w:rPr>
            </w:pPr>
            <w:r w:rsidRPr="00264D5D">
              <w:rPr>
                <w:szCs w:val="22"/>
              </w:rPr>
              <w:t>«31» – ИВФДБ;</w:t>
            </w:r>
          </w:p>
          <w:p w14:paraId="5DC91631" w14:textId="77777777" w:rsidR="00AD1F54" w:rsidRPr="00264D5D" w:rsidRDefault="00676E27" w:rsidP="00676E27">
            <w:pPr>
              <w:pStyle w:val="GOSTTableListMark1"/>
              <w:numPr>
                <w:ilvl w:val="0"/>
                <w:numId w:val="65"/>
              </w:numPr>
              <w:tabs>
                <w:tab w:val="clear" w:pos="340"/>
                <w:tab w:val="num" w:pos="227"/>
              </w:tabs>
              <w:spacing w:before="60" w:after="60"/>
              <w:ind w:left="284"/>
              <w:jc w:val="both"/>
              <w:rPr>
                <w:szCs w:val="22"/>
              </w:rPr>
            </w:pPr>
            <w:r w:rsidRPr="00264D5D">
              <w:rPr>
                <w:szCs w:val="22"/>
              </w:rPr>
              <w:t>«32» – ИВнФДБ</w:t>
            </w:r>
          </w:p>
        </w:tc>
      </w:tr>
      <w:tr w:rsidR="00AD1F54" w:rsidRPr="00264D5D" w14:paraId="448833CC"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2" w:type="pct"/>
          </w:tcPr>
          <w:p w14:paraId="742C0960" w14:textId="77777777" w:rsidR="00AD1F54" w:rsidRPr="00264D5D" w:rsidRDefault="00941227">
            <w:pPr>
              <w:spacing w:before="60" w:after="60"/>
              <w:rPr>
                <w:sz w:val="22"/>
                <w:szCs w:val="22"/>
              </w:rPr>
            </w:pPr>
            <w:r w:rsidRPr="00264D5D">
              <w:rPr>
                <w:sz w:val="22"/>
                <w:szCs w:val="22"/>
              </w:rPr>
              <w:lastRenderedPageBreak/>
              <w:t>ОКС (ОКВ), КМИ</w:t>
            </w:r>
          </w:p>
        </w:tc>
        <w:tc>
          <w:tcPr>
            <w:tcW w:w="882" w:type="pct"/>
          </w:tcPr>
          <w:p w14:paraId="58709A11" w14:textId="77777777" w:rsidR="00AD1F54" w:rsidRPr="00264D5D" w:rsidRDefault="00941227">
            <w:pPr>
              <w:spacing w:before="60" w:after="60"/>
              <w:rPr>
                <w:sz w:val="22"/>
                <w:szCs w:val="22"/>
              </w:rPr>
            </w:pPr>
            <w:r w:rsidRPr="00264D5D">
              <w:rPr>
                <w:sz w:val="22"/>
                <w:szCs w:val="22"/>
              </w:rPr>
              <w:t>RESR9</w:t>
            </w:r>
          </w:p>
        </w:tc>
        <w:tc>
          <w:tcPr>
            <w:tcW w:w="295" w:type="pct"/>
          </w:tcPr>
          <w:p w14:paraId="72D3511E" w14:textId="77777777" w:rsidR="00AD1F54" w:rsidRPr="00264D5D" w:rsidRDefault="00941227">
            <w:pPr>
              <w:spacing w:before="60" w:after="60"/>
              <w:jc w:val="center"/>
              <w:rPr>
                <w:sz w:val="22"/>
                <w:szCs w:val="22"/>
              </w:rPr>
            </w:pPr>
            <w:r w:rsidRPr="00264D5D">
              <w:rPr>
                <w:sz w:val="22"/>
                <w:szCs w:val="22"/>
              </w:rPr>
              <w:t>П</w:t>
            </w:r>
          </w:p>
        </w:tc>
        <w:tc>
          <w:tcPr>
            <w:tcW w:w="589" w:type="pct"/>
          </w:tcPr>
          <w:p w14:paraId="2FDBEF06" w14:textId="77777777" w:rsidR="00AD1F54" w:rsidRPr="00264D5D" w:rsidRDefault="00941227">
            <w:pPr>
              <w:spacing w:before="60" w:after="60"/>
              <w:jc w:val="left"/>
              <w:rPr>
                <w:sz w:val="22"/>
                <w:szCs w:val="22"/>
              </w:rPr>
            </w:pPr>
            <w:r w:rsidRPr="00264D5D">
              <w:rPr>
                <w:sz w:val="22"/>
                <w:szCs w:val="22"/>
              </w:rPr>
              <w:t>Т(1-24)</w:t>
            </w:r>
          </w:p>
        </w:tc>
        <w:tc>
          <w:tcPr>
            <w:tcW w:w="294" w:type="pct"/>
          </w:tcPr>
          <w:p w14:paraId="236D8E3A" w14:textId="77777777" w:rsidR="00AD1F54" w:rsidRPr="00264D5D" w:rsidRDefault="00941227">
            <w:pPr>
              <w:spacing w:before="60" w:after="60"/>
              <w:jc w:val="center"/>
              <w:rPr>
                <w:sz w:val="22"/>
                <w:szCs w:val="22"/>
              </w:rPr>
            </w:pPr>
            <w:r w:rsidRPr="00264D5D">
              <w:rPr>
                <w:sz w:val="22"/>
                <w:szCs w:val="22"/>
              </w:rPr>
              <w:t>Н</w:t>
            </w:r>
          </w:p>
        </w:tc>
        <w:tc>
          <w:tcPr>
            <w:tcW w:w="2058" w:type="pct"/>
          </w:tcPr>
          <w:p w14:paraId="3CF600C4" w14:textId="77777777" w:rsidR="00AD1F54" w:rsidRPr="00264D5D" w:rsidRDefault="00941227">
            <w:pPr>
              <w:spacing w:before="60" w:after="60"/>
              <w:rPr>
                <w:sz w:val="22"/>
                <w:szCs w:val="22"/>
              </w:rPr>
            </w:pPr>
            <w:r w:rsidRPr="00264D5D">
              <w:rPr>
                <w:sz w:val="22"/>
                <w:szCs w:val="22"/>
              </w:rPr>
              <w:t>Может указываться уникальный код объекта капитального строительства или объекта недвижимости, ко</w:t>
            </w:r>
            <w:r w:rsidR="00676E27" w:rsidRPr="00264D5D">
              <w:rPr>
                <w:sz w:val="22"/>
                <w:szCs w:val="22"/>
              </w:rPr>
              <w:t>д мероприятия по информатизации</w:t>
            </w:r>
          </w:p>
        </w:tc>
      </w:tr>
      <w:tr w:rsidR="00AD1F54" w:rsidRPr="00264D5D" w14:paraId="44EDF7B1"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2" w:type="pct"/>
          </w:tcPr>
          <w:p w14:paraId="3837F5B9" w14:textId="77777777" w:rsidR="00AD1F54" w:rsidRPr="00264D5D" w:rsidRDefault="00941227">
            <w:pPr>
              <w:spacing w:before="60" w:after="60"/>
              <w:rPr>
                <w:sz w:val="22"/>
                <w:szCs w:val="22"/>
              </w:rPr>
            </w:pPr>
            <w:r w:rsidRPr="00264D5D">
              <w:rPr>
                <w:sz w:val="22"/>
                <w:szCs w:val="22"/>
              </w:rPr>
              <w:t>Аналитический код</w:t>
            </w:r>
          </w:p>
        </w:tc>
        <w:tc>
          <w:tcPr>
            <w:tcW w:w="882" w:type="pct"/>
          </w:tcPr>
          <w:p w14:paraId="55DA812A" w14:textId="77777777" w:rsidR="00AD1F54" w:rsidRPr="00264D5D" w:rsidRDefault="00941227">
            <w:pPr>
              <w:spacing w:before="60" w:after="60"/>
              <w:rPr>
                <w:sz w:val="22"/>
                <w:szCs w:val="22"/>
              </w:rPr>
            </w:pPr>
            <w:r w:rsidRPr="00264D5D">
              <w:rPr>
                <w:sz w:val="22"/>
                <w:szCs w:val="22"/>
              </w:rPr>
              <w:t>AnltcCd</w:t>
            </w:r>
          </w:p>
        </w:tc>
        <w:tc>
          <w:tcPr>
            <w:tcW w:w="295" w:type="pct"/>
          </w:tcPr>
          <w:p w14:paraId="3A9A029F" w14:textId="77777777" w:rsidR="00AD1F54" w:rsidRPr="00264D5D" w:rsidRDefault="00941227">
            <w:pPr>
              <w:spacing w:before="60" w:after="60"/>
              <w:jc w:val="center"/>
              <w:rPr>
                <w:sz w:val="22"/>
                <w:szCs w:val="22"/>
              </w:rPr>
            </w:pPr>
            <w:r w:rsidRPr="00264D5D">
              <w:rPr>
                <w:sz w:val="22"/>
                <w:szCs w:val="22"/>
              </w:rPr>
              <w:t>П</w:t>
            </w:r>
          </w:p>
        </w:tc>
        <w:tc>
          <w:tcPr>
            <w:tcW w:w="589" w:type="pct"/>
          </w:tcPr>
          <w:p w14:paraId="416369D9" w14:textId="77777777" w:rsidR="00AD1F54" w:rsidRPr="00264D5D" w:rsidRDefault="00941227">
            <w:pPr>
              <w:spacing w:before="60" w:after="60"/>
              <w:jc w:val="left"/>
              <w:rPr>
                <w:sz w:val="22"/>
                <w:szCs w:val="22"/>
              </w:rPr>
            </w:pPr>
            <w:r w:rsidRPr="00264D5D">
              <w:rPr>
                <w:sz w:val="22"/>
                <w:szCs w:val="22"/>
              </w:rPr>
              <w:t>Т(1-20)</w:t>
            </w:r>
          </w:p>
        </w:tc>
        <w:tc>
          <w:tcPr>
            <w:tcW w:w="294" w:type="pct"/>
          </w:tcPr>
          <w:p w14:paraId="1DE08CBD" w14:textId="77777777" w:rsidR="00AD1F54" w:rsidRPr="00264D5D" w:rsidRDefault="00941227">
            <w:pPr>
              <w:spacing w:before="60" w:after="60"/>
              <w:jc w:val="center"/>
              <w:rPr>
                <w:sz w:val="22"/>
                <w:szCs w:val="22"/>
              </w:rPr>
            </w:pPr>
            <w:r w:rsidRPr="00264D5D">
              <w:rPr>
                <w:sz w:val="22"/>
                <w:szCs w:val="22"/>
              </w:rPr>
              <w:t>Н</w:t>
            </w:r>
          </w:p>
        </w:tc>
        <w:tc>
          <w:tcPr>
            <w:tcW w:w="2058" w:type="pct"/>
          </w:tcPr>
          <w:p w14:paraId="4A83FF82" w14:textId="77777777" w:rsidR="00AD1F54" w:rsidRPr="00264D5D" w:rsidRDefault="00941227">
            <w:pPr>
              <w:spacing w:before="60" w:after="60"/>
              <w:rPr>
                <w:sz w:val="22"/>
                <w:szCs w:val="22"/>
              </w:rPr>
            </w:pPr>
            <w:r w:rsidRPr="00264D5D">
              <w:rPr>
                <w:sz w:val="22"/>
                <w:szCs w:val="22"/>
              </w:rPr>
              <w:t>Указывается аналитический код (код цели), идентифицирующий операцию, связанную с субсидиями (субвенциями, иными межбюджетными трансфертами), полученными из федерального бюджета, в соответст</w:t>
            </w:r>
            <w:r w:rsidR="00676E27" w:rsidRPr="00264D5D">
              <w:rPr>
                <w:sz w:val="22"/>
                <w:szCs w:val="22"/>
              </w:rPr>
              <w:t>вии с кодами, установленными ФК</w:t>
            </w:r>
          </w:p>
        </w:tc>
      </w:tr>
      <w:tr w:rsidR="00AD1F54" w:rsidRPr="00264D5D" w14:paraId="3B34652F"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2" w:type="pct"/>
          </w:tcPr>
          <w:p w14:paraId="7844167E" w14:textId="77777777" w:rsidR="00AD1F54" w:rsidRPr="00264D5D" w:rsidRDefault="00941227">
            <w:pPr>
              <w:spacing w:before="60" w:after="60"/>
              <w:rPr>
                <w:sz w:val="22"/>
                <w:szCs w:val="22"/>
              </w:rPr>
            </w:pPr>
            <w:r w:rsidRPr="00264D5D">
              <w:rPr>
                <w:sz w:val="22"/>
                <w:szCs w:val="22"/>
              </w:rPr>
              <w:t>Сумма в валюте выплаты</w:t>
            </w:r>
          </w:p>
        </w:tc>
        <w:tc>
          <w:tcPr>
            <w:tcW w:w="882" w:type="pct"/>
          </w:tcPr>
          <w:p w14:paraId="671FCDC4" w14:textId="77777777" w:rsidR="00AD1F54" w:rsidRPr="00264D5D" w:rsidRDefault="00941227">
            <w:pPr>
              <w:spacing w:before="60" w:after="60"/>
              <w:rPr>
                <w:sz w:val="22"/>
                <w:szCs w:val="22"/>
              </w:rPr>
            </w:pPr>
            <w:r w:rsidRPr="00264D5D">
              <w:rPr>
                <w:sz w:val="22"/>
                <w:szCs w:val="22"/>
              </w:rPr>
              <w:t>Sm</w:t>
            </w:r>
          </w:p>
        </w:tc>
        <w:tc>
          <w:tcPr>
            <w:tcW w:w="295" w:type="pct"/>
          </w:tcPr>
          <w:p w14:paraId="4A25CAEB" w14:textId="77777777" w:rsidR="00AD1F54" w:rsidRPr="00264D5D" w:rsidRDefault="00941227">
            <w:pPr>
              <w:spacing w:before="60" w:after="60"/>
              <w:jc w:val="center"/>
              <w:rPr>
                <w:sz w:val="22"/>
                <w:szCs w:val="22"/>
              </w:rPr>
            </w:pPr>
            <w:r w:rsidRPr="00264D5D">
              <w:rPr>
                <w:sz w:val="22"/>
                <w:szCs w:val="22"/>
              </w:rPr>
              <w:t>П</w:t>
            </w:r>
          </w:p>
        </w:tc>
        <w:tc>
          <w:tcPr>
            <w:tcW w:w="589" w:type="pct"/>
          </w:tcPr>
          <w:p w14:paraId="26E676BC" w14:textId="77777777" w:rsidR="00AD1F54" w:rsidRPr="00264D5D" w:rsidRDefault="00941227">
            <w:pPr>
              <w:spacing w:before="60" w:after="60"/>
              <w:jc w:val="left"/>
              <w:rPr>
                <w:sz w:val="22"/>
                <w:szCs w:val="22"/>
              </w:rPr>
            </w:pPr>
            <w:r w:rsidRPr="00264D5D">
              <w:rPr>
                <w:sz w:val="22"/>
                <w:szCs w:val="22"/>
              </w:rPr>
              <w:t>N(20.2)</w:t>
            </w:r>
          </w:p>
        </w:tc>
        <w:tc>
          <w:tcPr>
            <w:tcW w:w="294" w:type="pct"/>
          </w:tcPr>
          <w:p w14:paraId="7265CA35" w14:textId="77777777" w:rsidR="00AD1F54" w:rsidRPr="00264D5D" w:rsidRDefault="00941227">
            <w:pPr>
              <w:spacing w:before="60" w:after="60"/>
              <w:jc w:val="center"/>
              <w:rPr>
                <w:sz w:val="22"/>
                <w:szCs w:val="22"/>
              </w:rPr>
            </w:pPr>
            <w:r w:rsidRPr="00264D5D">
              <w:rPr>
                <w:sz w:val="22"/>
                <w:szCs w:val="22"/>
              </w:rPr>
              <w:t>О</w:t>
            </w:r>
          </w:p>
        </w:tc>
        <w:tc>
          <w:tcPr>
            <w:tcW w:w="2058" w:type="pct"/>
          </w:tcPr>
          <w:p w14:paraId="460B5122" w14:textId="77777777" w:rsidR="00AD1F54" w:rsidRPr="00264D5D" w:rsidRDefault="00941227">
            <w:pPr>
              <w:spacing w:before="60" w:after="60"/>
              <w:rPr>
                <w:sz w:val="22"/>
                <w:szCs w:val="22"/>
              </w:rPr>
            </w:pPr>
            <w:r w:rsidRPr="00264D5D">
              <w:rPr>
                <w:sz w:val="22"/>
                <w:szCs w:val="22"/>
              </w:rPr>
              <w:t xml:space="preserve">Сумма ДО по документу, подтверждающему возникновение денежного </w:t>
            </w:r>
            <w:r w:rsidR="00676E27" w:rsidRPr="00264D5D">
              <w:rPr>
                <w:sz w:val="22"/>
                <w:szCs w:val="22"/>
              </w:rPr>
              <w:t>обязательства, в валюте выплаты</w:t>
            </w:r>
          </w:p>
        </w:tc>
      </w:tr>
      <w:tr w:rsidR="00AD1F54" w:rsidRPr="00264D5D" w14:paraId="45022546"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2" w:type="pct"/>
          </w:tcPr>
          <w:p w14:paraId="641AA220" w14:textId="77777777" w:rsidR="00AD1F54" w:rsidRPr="00264D5D" w:rsidRDefault="00941227">
            <w:pPr>
              <w:spacing w:before="60" w:after="60"/>
              <w:rPr>
                <w:sz w:val="22"/>
                <w:szCs w:val="22"/>
              </w:rPr>
            </w:pPr>
            <w:r w:rsidRPr="00264D5D">
              <w:rPr>
                <w:sz w:val="22"/>
                <w:szCs w:val="22"/>
              </w:rPr>
              <w:t>Код валюты</w:t>
            </w:r>
          </w:p>
        </w:tc>
        <w:tc>
          <w:tcPr>
            <w:tcW w:w="882" w:type="pct"/>
          </w:tcPr>
          <w:p w14:paraId="6CCA8E99" w14:textId="77777777" w:rsidR="00AD1F54" w:rsidRPr="00264D5D" w:rsidRDefault="00941227">
            <w:pPr>
              <w:spacing w:before="60" w:after="60"/>
              <w:rPr>
                <w:sz w:val="22"/>
                <w:szCs w:val="22"/>
              </w:rPr>
            </w:pPr>
            <w:r w:rsidRPr="00264D5D">
              <w:rPr>
                <w:sz w:val="22"/>
                <w:szCs w:val="22"/>
              </w:rPr>
              <w:t>CdCrr</w:t>
            </w:r>
          </w:p>
        </w:tc>
        <w:tc>
          <w:tcPr>
            <w:tcW w:w="295" w:type="pct"/>
          </w:tcPr>
          <w:p w14:paraId="31CD6FC8" w14:textId="77777777" w:rsidR="00AD1F54" w:rsidRPr="00264D5D" w:rsidRDefault="00941227">
            <w:pPr>
              <w:spacing w:before="60" w:after="60"/>
              <w:jc w:val="center"/>
              <w:rPr>
                <w:sz w:val="22"/>
                <w:szCs w:val="22"/>
              </w:rPr>
            </w:pPr>
            <w:r w:rsidRPr="00264D5D">
              <w:rPr>
                <w:sz w:val="22"/>
                <w:szCs w:val="22"/>
              </w:rPr>
              <w:t>П</w:t>
            </w:r>
          </w:p>
        </w:tc>
        <w:tc>
          <w:tcPr>
            <w:tcW w:w="589" w:type="pct"/>
          </w:tcPr>
          <w:p w14:paraId="31460A39" w14:textId="77777777" w:rsidR="00AD1F54" w:rsidRPr="00264D5D" w:rsidRDefault="00941227">
            <w:pPr>
              <w:spacing w:before="60" w:after="60"/>
              <w:jc w:val="left"/>
              <w:rPr>
                <w:sz w:val="22"/>
                <w:szCs w:val="22"/>
              </w:rPr>
            </w:pPr>
            <w:r w:rsidRPr="00264D5D">
              <w:rPr>
                <w:sz w:val="22"/>
                <w:szCs w:val="22"/>
              </w:rPr>
              <w:t>Т(3)</w:t>
            </w:r>
          </w:p>
        </w:tc>
        <w:tc>
          <w:tcPr>
            <w:tcW w:w="294" w:type="pct"/>
          </w:tcPr>
          <w:p w14:paraId="6702F9E2" w14:textId="77777777" w:rsidR="00AD1F54" w:rsidRPr="00264D5D" w:rsidRDefault="00941227">
            <w:pPr>
              <w:spacing w:before="60" w:after="60"/>
              <w:jc w:val="center"/>
              <w:rPr>
                <w:sz w:val="22"/>
                <w:szCs w:val="22"/>
              </w:rPr>
            </w:pPr>
            <w:r w:rsidRPr="00264D5D">
              <w:rPr>
                <w:sz w:val="22"/>
                <w:szCs w:val="22"/>
              </w:rPr>
              <w:t>О</w:t>
            </w:r>
          </w:p>
        </w:tc>
        <w:tc>
          <w:tcPr>
            <w:tcW w:w="2058" w:type="pct"/>
          </w:tcPr>
          <w:p w14:paraId="78393062" w14:textId="77777777" w:rsidR="00AD1F54" w:rsidRPr="00264D5D" w:rsidRDefault="00676E27">
            <w:pPr>
              <w:spacing w:before="60" w:after="60"/>
              <w:rPr>
                <w:sz w:val="22"/>
                <w:szCs w:val="22"/>
              </w:rPr>
            </w:pPr>
            <w:r w:rsidRPr="00264D5D">
              <w:rPr>
                <w:sz w:val="22"/>
                <w:szCs w:val="22"/>
              </w:rPr>
              <w:t>Цифровой код валюты по ОКВ</w:t>
            </w:r>
          </w:p>
        </w:tc>
      </w:tr>
      <w:tr w:rsidR="00891D16" w:rsidRPr="00264D5D" w14:paraId="04A7596F"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2" w:type="pct"/>
          </w:tcPr>
          <w:p w14:paraId="7E5CCA10" w14:textId="77777777" w:rsidR="00891D16" w:rsidRPr="0000734D" w:rsidRDefault="00891D16" w:rsidP="00891D16">
            <w:pPr>
              <w:pStyle w:val="GOSTTablenorm"/>
            </w:pPr>
            <w:r w:rsidRPr="00612094">
              <w:rPr>
                <w:szCs w:val="22"/>
                <w:highlight w:val="green"/>
              </w:rPr>
              <w:t>Сумма возврата дебиторской задолженности</w:t>
            </w:r>
            <w:r w:rsidRPr="00DE0644">
              <w:rPr>
                <w:szCs w:val="22"/>
                <w:highlight w:val="green"/>
              </w:rPr>
              <w:t>*</w:t>
            </w:r>
          </w:p>
        </w:tc>
        <w:tc>
          <w:tcPr>
            <w:tcW w:w="882" w:type="pct"/>
          </w:tcPr>
          <w:p w14:paraId="48C0CDA2" w14:textId="77777777" w:rsidR="00891D16" w:rsidRPr="0000734D" w:rsidRDefault="00891D16" w:rsidP="00891D16">
            <w:pPr>
              <w:pStyle w:val="GOSTTablenorm"/>
            </w:pPr>
            <w:r w:rsidRPr="00612094">
              <w:rPr>
                <w:szCs w:val="22"/>
                <w:highlight w:val="green"/>
                <w:lang w:val="en-US"/>
              </w:rPr>
              <w:t>SmRfAr</w:t>
            </w:r>
            <w:r w:rsidRPr="00DE0644">
              <w:rPr>
                <w:szCs w:val="22"/>
                <w:highlight w:val="green"/>
              </w:rPr>
              <w:t>*</w:t>
            </w:r>
          </w:p>
        </w:tc>
        <w:tc>
          <w:tcPr>
            <w:tcW w:w="295" w:type="pct"/>
          </w:tcPr>
          <w:p w14:paraId="279DA994" w14:textId="77777777" w:rsidR="00891D16" w:rsidRPr="0000734D" w:rsidRDefault="00891D16" w:rsidP="00891D16">
            <w:pPr>
              <w:pStyle w:val="GOSTTablenorm"/>
            </w:pPr>
            <w:r w:rsidRPr="00612094">
              <w:rPr>
                <w:szCs w:val="22"/>
                <w:highlight w:val="green"/>
              </w:rPr>
              <w:t>П</w:t>
            </w:r>
            <w:r w:rsidRPr="00DE0644">
              <w:rPr>
                <w:szCs w:val="22"/>
                <w:highlight w:val="green"/>
              </w:rPr>
              <w:t>*</w:t>
            </w:r>
          </w:p>
        </w:tc>
        <w:tc>
          <w:tcPr>
            <w:tcW w:w="589" w:type="pct"/>
          </w:tcPr>
          <w:p w14:paraId="667F518E" w14:textId="77777777" w:rsidR="00891D16" w:rsidRPr="0000734D" w:rsidRDefault="00891D16" w:rsidP="00891D16">
            <w:pPr>
              <w:pStyle w:val="GOSTTablenorm"/>
            </w:pPr>
            <w:r w:rsidRPr="00612094">
              <w:rPr>
                <w:szCs w:val="22"/>
                <w:highlight w:val="green"/>
              </w:rPr>
              <w:t>N(20.2)</w:t>
            </w:r>
            <w:r w:rsidRPr="00DE0644">
              <w:rPr>
                <w:szCs w:val="22"/>
                <w:highlight w:val="green"/>
              </w:rPr>
              <w:t xml:space="preserve"> *</w:t>
            </w:r>
          </w:p>
        </w:tc>
        <w:tc>
          <w:tcPr>
            <w:tcW w:w="294" w:type="pct"/>
          </w:tcPr>
          <w:p w14:paraId="3D6896AB" w14:textId="77777777" w:rsidR="00891D16" w:rsidRPr="0000734D" w:rsidRDefault="00891D16" w:rsidP="00891D16">
            <w:pPr>
              <w:pStyle w:val="GOSTTablenorm"/>
            </w:pPr>
            <w:r w:rsidRPr="00612094">
              <w:rPr>
                <w:szCs w:val="22"/>
                <w:highlight w:val="green"/>
              </w:rPr>
              <w:t>Н</w:t>
            </w:r>
            <w:r w:rsidRPr="00DE0644">
              <w:rPr>
                <w:szCs w:val="22"/>
                <w:highlight w:val="green"/>
              </w:rPr>
              <w:t>*</w:t>
            </w:r>
          </w:p>
        </w:tc>
        <w:tc>
          <w:tcPr>
            <w:tcW w:w="2058" w:type="pct"/>
          </w:tcPr>
          <w:p w14:paraId="7068EF0B" w14:textId="77777777" w:rsidR="00891D16" w:rsidRPr="0000734D" w:rsidRDefault="00891D16" w:rsidP="00891D16">
            <w:pPr>
              <w:pStyle w:val="GOSTTablenorm"/>
            </w:pPr>
            <w:r w:rsidRPr="00612094">
              <w:rPr>
                <w:szCs w:val="22"/>
                <w:highlight w:val="green"/>
              </w:rPr>
              <w:t>Указывается сумма возврата в текущем финансовом году дебиторской задолженности, образовавшейся у получателя средств федерального бюджета по денежным обязательствам, исполненным в предыдущие годы</w:t>
            </w:r>
            <w:r w:rsidRPr="00DE0644">
              <w:rPr>
                <w:szCs w:val="22"/>
                <w:highlight w:val="green"/>
              </w:rPr>
              <w:t>*</w:t>
            </w:r>
          </w:p>
        </w:tc>
      </w:tr>
      <w:tr w:rsidR="00891D16" w:rsidRPr="00264D5D" w14:paraId="57B23459"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2" w:type="pct"/>
          </w:tcPr>
          <w:p w14:paraId="231EA21C" w14:textId="77777777" w:rsidR="00891D16" w:rsidRPr="00264D5D" w:rsidRDefault="00891D16" w:rsidP="00891D16">
            <w:pPr>
              <w:spacing w:before="60" w:after="60"/>
              <w:rPr>
                <w:sz w:val="22"/>
                <w:szCs w:val="22"/>
              </w:rPr>
            </w:pPr>
            <w:r w:rsidRPr="00264D5D">
              <w:rPr>
                <w:sz w:val="22"/>
                <w:szCs w:val="22"/>
              </w:rPr>
              <w:t xml:space="preserve">Сумма в рублевом эквиваленте </w:t>
            </w:r>
          </w:p>
        </w:tc>
        <w:tc>
          <w:tcPr>
            <w:tcW w:w="882" w:type="pct"/>
          </w:tcPr>
          <w:p w14:paraId="693DDB25" w14:textId="77777777" w:rsidR="00891D16" w:rsidRPr="00264D5D" w:rsidRDefault="00891D16" w:rsidP="00891D16">
            <w:pPr>
              <w:spacing w:before="60" w:after="60"/>
              <w:rPr>
                <w:sz w:val="22"/>
                <w:szCs w:val="22"/>
              </w:rPr>
            </w:pPr>
            <w:r w:rsidRPr="00264D5D">
              <w:rPr>
                <w:sz w:val="22"/>
                <w:szCs w:val="22"/>
              </w:rPr>
              <w:t>SmRb</w:t>
            </w:r>
          </w:p>
        </w:tc>
        <w:tc>
          <w:tcPr>
            <w:tcW w:w="295" w:type="pct"/>
          </w:tcPr>
          <w:p w14:paraId="050D0585" w14:textId="77777777" w:rsidR="00891D16" w:rsidRPr="00264D5D" w:rsidRDefault="00891D16" w:rsidP="00891D16">
            <w:pPr>
              <w:spacing w:before="60" w:after="60"/>
              <w:jc w:val="center"/>
              <w:rPr>
                <w:sz w:val="22"/>
                <w:szCs w:val="22"/>
              </w:rPr>
            </w:pPr>
            <w:r w:rsidRPr="00264D5D">
              <w:rPr>
                <w:sz w:val="22"/>
                <w:szCs w:val="22"/>
              </w:rPr>
              <w:t>П</w:t>
            </w:r>
          </w:p>
        </w:tc>
        <w:tc>
          <w:tcPr>
            <w:tcW w:w="589" w:type="pct"/>
          </w:tcPr>
          <w:p w14:paraId="5F996215" w14:textId="77777777" w:rsidR="00891D16" w:rsidRPr="00264D5D" w:rsidRDefault="00891D16" w:rsidP="00891D16">
            <w:pPr>
              <w:spacing w:before="60" w:after="60"/>
              <w:jc w:val="left"/>
              <w:rPr>
                <w:sz w:val="22"/>
                <w:szCs w:val="22"/>
              </w:rPr>
            </w:pPr>
            <w:r w:rsidRPr="00264D5D">
              <w:rPr>
                <w:sz w:val="22"/>
                <w:szCs w:val="22"/>
              </w:rPr>
              <w:t>N(20.2)</w:t>
            </w:r>
          </w:p>
        </w:tc>
        <w:tc>
          <w:tcPr>
            <w:tcW w:w="294" w:type="pct"/>
          </w:tcPr>
          <w:p w14:paraId="1A54A443" w14:textId="77777777" w:rsidR="00891D16" w:rsidRPr="00264D5D" w:rsidRDefault="00891D16" w:rsidP="00891D16">
            <w:pPr>
              <w:spacing w:before="60" w:after="60"/>
              <w:jc w:val="center"/>
              <w:rPr>
                <w:sz w:val="22"/>
                <w:szCs w:val="22"/>
              </w:rPr>
            </w:pPr>
            <w:r w:rsidRPr="00264D5D">
              <w:rPr>
                <w:sz w:val="22"/>
                <w:szCs w:val="22"/>
              </w:rPr>
              <w:t>О</w:t>
            </w:r>
          </w:p>
        </w:tc>
        <w:tc>
          <w:tcPr>
            <w:tcW w:w="2058" w:type="pct"/>
          </w:tcPr>
          <w:p w14:paraId="3C2E4FA5" w14:textId="77777777" w:rsidR="00891D16" w:rsidRPr="00264D5D" w:rsidRDefault="00891D16" w:rsidP="00891D16">
            <w:pPr>
              <w:spacing w:before="60" w:after="60"/>
              <w:rPr>
                <w:sz w:val="22"/>
                <w:szCs w:val="22"/>
              </w:rPr>
            </w:pPr>
            <w:r w:rsidRPr="00264D5D">
              <w:rPr>
                <w:sz w:val="22"/>
                <w:szCs w:val="22"/>
              </w:rPr>
              <w:t>Сумма денежного обязательства в валюте Российской Федерации (рублях)</w:t>
            </w:r>
          </w:p>
        </w:tc>
      </w:tr>
      <w:tr w:rsidR="00891D16" w:rsidRPr="00264D5D" w14:paraId="73D8225A"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2" w:type="pct"/>
          </w:tcPr>
          <w:p w14:paraId="6A8F1824" w14:textId="77777777" w:rsidR="00891D16" w:rsidRPr="00891D16" w:rsidRDefault="00891D16" w:rsidP="00891D16">
            <w:pPr>
              <w:spacing w:before="60" w:after="60"/>
              <w:rPr>
                <w:sz w:val="22"/>
                <w:szCs w:val="22"/>
              </w:rPr>
            </w:pPr>
            <w:r w:rsidRPr="00891D16">
              <w:rPr>
                <w:sz w:val="22"/>
                <w:szCs w:val="22"/>
                <w:highlight w:val="green"/>
              </w:rPr>
              <w:t>Перечислено средств, требующих подтверждения</w:t>
            </w:r>
          </w:p>
        </w:tc>
        <w:tc>
          <w:tcPr>
            <w:tcW w:w="882" w:type="pct"/>
          </w:tcPr>
          <w:p w14:paraId="0E9E06CE" w14:textId="77777777" w:rsidR="00891D16" w:rsidRPr="00891D16" w:rsidRDefault="00891D16" w:rsidP="00891D16">
            <w:pPr>
              <w:spacing w:before="60" w:after="60"/>
              <w:rPr>
                <w:sz w:val="22"/>
                <w:szCs w:val="22"/>
              </w:rPr>
            </w:pPr>
            <w:r w:rsidRPr="00891D16">
              <w:rPr>
                <w:sz w:val="22"/>
                <w:szCs w:val="22"/>
              </w:rPr>
              <w:t>PrpdExpns</w:t>
            </w:r>
          </w:p>
        </w:tc>
        <w:tc>
          <w:tcPr>
            <w:tcW w:w="295" w:type="pct"/>
          </w:tcPr>
          <w:p w14:paraId="5F77CBA0" w14:textId="77777777" w:rsidR="00891D16" w:rsidRPr="00264D5D" w:rsidRDefault="00891D16" w:rsidP="00891D16">
            <w:pPr>
              <w:spacing w:before="60" w:after="60"/>
              <w:jc w:val="center"/>
              <w:rPr>
                <w:sz w:val="22"/>
                <w:szCs w:val="22"/>
              </w:rPr>
            </w:pPr>
            <w:r w:rsidRPr="00264D5D">
              <w:rPr>
                <w:sz w:val="22"/>
                <w:szCs w:val="22"/>
              </w:rPr>
              <w:t>П</w:t>
            </w:r>
          </w:p>
        </w:tc>
        <w:tc>
          <w:tcPr>
            <w:tcW w:w="589" w:type="pct"/>
          </w:tcPr>
          <w:p w14:paraId="11CB9B36" w14:textId="77777777" w:rsidR="00891D16" w:rsidRPr="00264D5D" w:rsidRDefault="00891D16" w:rsidP="00891D16">
            <w:pPr>
              <w:spacing w:before="60" w:after="60"/>
              <w:jc w:val="left"/>
              <w:rPr>
                <w:sz w:val="22"/>
                <w:szCs w:val="22"/>
              </w:rPr>
            </w:pPr>
            <w:r w:rsidRPr="00264D5D">
              <w:rPr>
                <w:sz w:val="22"/>
                <w:szCs w:val="22"/>
              </w:rPr>
              <w:t>N(20.2)</w:t>
            </w:r>
          </w:p>
        </w:tc>
        <w:tc>
          <w:tcPr>
            <w:tcW w:w="294" w:type="pct"/>
          </w:tcPr>
          <w:p w14:paraId="4B0E112D" w14:textId="77777777" w:rsidR="00891D16" w:rsidRPr="00264D5D" w:rsidRDefault="00891D16" w:rsidP="00891D16">
            <w:pPr>
              <w:spacing w:before="60" w:after="60"/>
              <w:jc w:val="center"/>
              <w:rPr>
                <w:sz w:val="22"/>
                <w:szCs w:val="22"/>
              </w:rPr>
            </w:pPr>
            <w:r w:rsidRPr="00264D5D">
              <w:rPr>
                <w:sz w:val="22"/>
                <w:szCs w:val="22"/>
              </w:rPr>
              <w:t>О</w:t>
            </w:r>
          </w:p>
        </w:tc>
        <w:tc>
          <w:tcPr>
            <w:tcW w:w="2058" w:type="pct"/>
          </w:tcPr>
          <w:p w14:paraId="75B5CBC7" w14:textId="77777777" w:rsidR="00891D16" w:rsidRPr="00264D5D" w:rsidRDefault="00891D16" w:rsidP="00891D16">
            <w:pPr>
              <w:pStyle w:val="ASFKTablenorm"/>
              <w:contextualSpacing w:val="0"/>
              <w:rPr>
                <w:sz w:val="22"/>
                <w:szCs w:val="22"/>
              </w:rPr>
            </w:pPr>
            <w:r w:rsidRPr="00264D5D">
              <w:rPr>
                <w:sz w:val="22"/>
                <w:szCs w:val="22"/>
              </w:rPr>
              <w:t>Сумма ранее произведенного в рамках соответствующего бюджетного обязательства платежа в валюте Российской Федерации (рублях), требующего подтверждения, по которому не подтверждена поставка товара (выполнение работ, оказание услуг).</w:t>
            </w:r>
          </w:p>
          <w:p w14:paraId="5A5788BA" w14:textId="77777777" w:rsidR="00891D16" w:rsidRPr="00264D5D" w:rsidRDefault="00891D16" w:rsidP="00891D16">
            <w:pPr>
              <w:spacing w:before="60" w:after="60"/>
              <w:rPr>
                <w:sz w:val="22"/>
                <w:szCs w:val="22"/>
              </w:rPr>
            </w:pPr>
            <w:r w:rsidRPr="00264D5D">
              <w:rPr>
                <w:sz w:val="22"/>
                <w:szCs w:val="22"/>
              </w:rPr>
              <w:t>Указывается значение «0.00»:</w:t>
            </w:r>
          </w:p>
          <w:p w14:paraId="6B253616" w14:textId="77777777" w:rsidR="00891D16" w:rsidRPr="00264D5D" w:rsidRDefault="00891D16" w:rsidP="00891D16">
            <w:pPr>
              <w:pStyle w:val="GOSTTableListMark1"/>
              <w:numPr>
                <w:ilvl w:val="0"/>
                <w:numId w:val="65"/>
              </w:numPr>
              <w:tabs>
                <w:tab w:val="clear" w:pos="340"/>
                <w:tab w:val="num" w:pos="227"/>
              </w:tabs>
              <w:spacing w:before="60" w:after="60"/>
              <w:ind w:left="284"/>
              <w:jc w:val="both"/>
              <w:rPr>
                <w:szCs w:val="22"/>
              </w:rPr>
            </w:pPr>
            <w:r w:rsidRPr="00264D5D">
              <w:rPr>
                <w:szCs w:val="22"/>
              </w:rPr>
              <w:t>при отсутствии значения</w:t>
            </w:r>
          </w:p>
          <w:p w14:paraId="0D98E720" w14:textId="77777777" w:rsidR="00891D16" w:rsidRPr="00264D5D" w:rsidRDefault="00891D16" w:rsidP="00891D16">
            <w:pPr>
              <w:pStyle w:val="ASFKTablenorm"/>
              <w:contextualSpacing w:val="0"/>
              <w:rPr>
                <w:sz w:val="22"/>
                <w:szCs w:val="22"/>
              </w:rPr>
            </w:pPr>
            <w:r w:rsidRPr="00264D5D">
              <w:rPr>
                <w:sz w:val="22"/>
                <w:szCs w:val="22"/>
              </w:rPr>
              <w:t>или</w:t>
            </w:r>
          </w:p>
          <w:p w14:paraId="3DE7774A" w14:textId="77777777" w:rsidR="00891D16" w:rsidRPr="00264D5D" w:rsidRDefault="00891D16" w:rsidP="00891D16">
            <w:pPr>
              <w:pStyle w:val="GOSTTableListMark1"/>
              <w:numPr>
                <w:ilvl w:val="0"/>
                <w:numId w:val="65"/>
              </w:numPr>
              <w:tabs>
                <w:tab w:val="clear" w:pos="340"/>
                <w:tab w:val="num" w:pos="227"/>
              </w:tabs>
              <w:spacing w:before="60" w:after="60"/>
              <w:ind w:left="284"/>
              <w:jc w:val="both"/>
              <w:rPr>
                <w:szCs w:val="22"/>
              </w:rPr>
            </w:pPr>
            <w:r w:rsidRPr="00264D5D">
              <w:rPr>
                <w:szCs w:val="22"/>
              </w:rPr>
              <w:t>в случае если в элементе «Признак платежа, требующего подтверждения» указано значение «Да»</w:t>
            </w:r>
          </w:p>
        </w:tc>
      </w:tr>
      <w:tr w:rsidR="00891D16" w:rsidRPr="00264D5D" w14:paraId="5DEBE732"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2" w:type="pct"/>
          </w:tcPr>
          <w:p w14:paraId="45AADA0B" w14:textId="77777777" w:rsidR="00891D16" w:rsidRPr="00B96DB8" w:rsidRDefault="00891D16" w:rsidP="00891D16">
            <w:pPr>
              <w:pStyle w:val="GOSTTablenorm"/>
              <w:rPr>
                <w:szCs w:val="22"/>
                <w:highlight w:val="green"/>
              </w:rPr>
            </w:pPr>
            <w:r w:rsidRPr="00612094">
              <w:rPr>
                <w:szCs w:val="22"/>
                <w:highlight w:val="green"/>
              </w:rPr>
              <w:t xml:space="preserve">Учетный номер денежного </w:t>
            </w:r>
            <w:r w:rsidRPr="00612094">
              <w:rPr>
                <w:szCs w:val="22"/>
                <w:highlight w:val="green"/>
              </w:rPr>
              <w:lastRenderedPageBreak/>
              <w:t>обязательства, требующего подтверждения</w:t>
            </w:r>
            <w:r w:rsidRPr="00DE0644">
              <w:rPr>
                <w:szCs w:val="22"/>
                <w:highlight w:val="green"/>
              </w:rPr>
              <w:t>*</w:t>
            </w:r>
          </w:p>
        </w:tc>
        <w:tc>
          <w:tcPr>
            <w:tcW w:w="882" w:type="pct"/>
          </w:tcPr>
          <w:p w14:paraId="467BC1DF" w14:textId="77777777" w:rsidR="00891D16" w:rsidRPr="0000734D" w:rsidRDefault="00891D16" w:rsidP="00891D16">
            <w:pPr>
              <w:pStyle w:val="GOSTTablenorm"/>
            </w:pPr>
            <w:r>
              <w:rPr>
                <w:szCs w:val="22"/>
                <w:highlight w:val="green"/>
                <w:lang w:val="en-US"/>
              </w:rPr>
              <w:lastRenderedPageBreak/>
              <w:t>NmDOCnf</w:t>
            </w:r>
            <w:r w:rsidRPr="00DE0644">
              <w:rPr>
                <w:szCs w:val="22"/>
                <w:highlight w:val="green"/>
              </w:rPr>
              <w:t>*</w:t>
            </w:r>
          </w:p>
        </w:tc>
        <w:tc>
          <w:tcPr>
            <w:tcW w:w="295" w:type="pct"/>
          </w:tcPr>
          <w:p w14:paraId="14C954BE" w14:textId="77777777" w:rsidR="00891D16" w:rsidRPr="0000734D" w:rsidRDefault="00891D16" w:rsidP="00891D16">
            <w:pPr>
              <w:pStyle w:val="GOSTTablenorm"/>
            </w:pPr>
            <w:r w:rsidRPr="00612094">
              <w:rPr>
                <w:szCs w:val="22"/>
                <w:highlight w:val="green"/>
              </w:rPr>
              <w:t>П</w:t>
            </w:r>
            <w:r w:rsidRPr="00DE0644">
              <w:rPr>
                <w:szCs w:val="22"/>
                <w:highlight w:val="green"/>
              </w:rPr>
              <w:t>*</w:t>
            </w:r>
          </w:p>
        </w:tc>
        <w:tc>
          <w:tcPr>
            <w:tcW w:w="589" w:type="pct"/>
          </w:tcPr>
          <w:p w14:paraId="0AC4B081" w14:textId="77777777" w:rsidR="00891D16" w:rsidRPr="0000734D" w:rsidRDefault="00891D16" w:rsidP="00891D16">
            <w:pPr>
              <w:pStyle w:val="GOSTTablenorm"/>
            </w:pPr>
            <w:r>
              <w:rPr>
                <w:szCs w:val="22"/>
                <w:highlight w:val="green"/>
                <w:lang w:val="en-US"/>
              </w:rPr>
              <w:t>T</w:t>
            </w:r>
            <w:r>
              <w:rPr>
                <w:szCs w:val="22"/>
                <w:highlight w:val="green"/>
              </w:rPr>
              <w:t>(20)/</w:t>
            </w:r>
            <w:r>
              <w:rPr>
                <w:szCs w:val="22"/>
                <w:highlight w:val="green"/>
                <w:lang w:val="en-US"/>
              </w:rPr>
              <w:t>T(25)</w:t>
            </w:r>
            <w:r w:rsidRPr="00DE0644">
              <w:rPr>
                <w:szCs w:val="22"/>
                <w:highlight w:val="green"/>
              </w:rPr>
              <w:t xml:space="preserve"> *</w:t>
            </w:r>
          </w:p>
        </w:tc>
        <w:tc>
          <w:tcPr>
            <w:tcW w:w="294" w:type="pct"/>
          </w:tcPr>
          <w:p w14:paraId="36B3F02C" w14:textId="77777777" w:rsidR="00891D16" w:rsidRPr="0000734D" w:rsidRDefault="00891D16" w:rsidP="00891D16">
            <w:pPr>
              <w:pStyle w:val="GOSTTablenorm"/>
            </w:pPr>
            <w:r w:rsidRPr="00612094">
              <w:rPr>
                <w:szCs w:val="22"/>
                <w:highlight w:val="green"/>
              </w:rPr>
              <w:t>Н</w:t>
            </w:r>
            <w:r w:rsidRPr="00DE0644">
              <w:rPr>
                <w:szCs w:val="22"/>
                <w:highlight w:val="green"/>
              </w:rPr>
              <w:t>*</w:t>
            </w:r>
          </w:p>
        </w:tc>
        <w:tc>
          <w:tcPr>
            <w:tcW w:w="2058" w:type="pct"/>
          </w:tcPr>
          <w:p w14:paraId="3011A160" w14:textId="77777777" w:rsidR="00891D16" w:rsidRPr="00612094" w:rsidRDefault="00891D16" w:rsidP="00891D16">
            <w:pPr>
              <w:pStyle w:val="ASFKTablenorm"/>
              <w:rPr>
                <w:sz w:val="22"/>
                <w:szCs w:val="22"/>
                <w:highlight w:val="green"/>
              </w:rPr>
            </w:pPr>
            <w:r w:rsidRPr="00612094">
              <w:rPr>
                <w:sz w:val="22"/>
                <w:szCs w:val="22"/>
                <w:highlight w:val="green"/>
              </w:rPr>
              <w:t xml:space="preserve">Указывается учетный номер исполненного денежного обязательства, </w:t>
            </w:r>
            <w:r w:rsidRPr="00612094">
              <w:rPr>
                <w:sz w:val="22"/>
                <w:szCs w:val="22"/>
                <w:highlight w:val="green"/>
              </w:rPr>
              <w:lastRenderedPageBreak/>
              <w:t>содержащего в кодовой зоне «Признак платежа, требующего подтверждения» значение «Да».</w:t>
            </w:r>
          </w:p>
          <w:p w14:paraId="2F68AE1A" w14:textId="77777777" w:rsidR="00891D16" w:rsidRPr="0000734D" w:rsidRDefault="00891D16" w:rsidP="00891D16">
            <w:pPr>
              <w:pStyle w:val="GOSTTablenorm"/>
            </w:pPr>
            <w:r w:rsidRPr="00612094">
              <w:rPr>
                <w:szCs w:val="22"/>
                <w:highlight w:val="green"/>
              </w:rPr>
              <w:t>Обязательно для заполнения при заполнении поля «Перечислено средств, требующих подтверждения»</w:t>
            </w:r>
            <w:r w:rsidRPr="00DE0644">
              <w:rPr>
                <w:szCs w:val="22"/>
                <w:highlight w:val="green"/>
              </w:rPr>
              <w:t xml:space="preserve"> *</w:t>
            </w:r>
          </w:p>
        </w:tc>
      </w:tr>
      <w:tr w:rsidR="00891D16" w:rsidRPr="00264D5D" w14:paraId="14F9D5DB" w14:textId="77777777" w:rsidTr="00891D16">
        <w:trPr>
          <w:cnfStyle w:val="000000010000" w:firstRow="0" w:lastRow="0" w:firstColumn="0" w:lastColumn="0" w:oddVBand="0" w:evenVBand="0" w:oddHBand="0" w:evenHBand="1" w:firstRowFirstColumn="0" w:firstRowLastColumn="0" w:lastRowFirstColumn="0" w:lastRowLastColumn="0"/>
          <w:trHeight w:val="283"/>
        </w:trPr>
        <w:tc>
          <w:tcPr>
            <w:tcW w:w="882" w:type="pct"/>
            <w:tcBorders>
              <w:bottom w:val="single" w:sz="4" w:space="0" w:color="000000"/>
            </w:tcBorders>
          </w:tcPr>
          <w:p w14:paraId="3E115B81" w14:textId="77777777" w:rsidR="00891D16" w:rsidRPr="00B96DB8" w:rsidRDefault="00891D16" w:rsidP="00891D16">
            <w:pPr>
              <w:pStyle w:val="GOSTTablenorm"/>
              <w:rPr>
                <w:szCs w:val="22"/>
                <w:highlight w:val="green"/>
              </w:rPr>
            </w:pPr>
            <w:r w:rsidRPr="00E11C40">
              <w:rPr>
                <w:szCs w:val="22"/>
                <w:highlight w:val="green"/>
              </w:rPr>
              <w:lastRenderedPageBreak/>
              <w:t>Дата представления документа-основания для платежа, требующего подтверждения</w:t>
            </w:r>
            <w:r w:rsidRPr="00DE0644">
              <w:rPr>
                <w:szCs w:val="22"/>
                <w:highlight w:val="green"/>
              </w:rPr>
              <w:t>*</w:t>
            </w:r>
          </w:p>
        </w:tc>
        <w:tc>
          <w:tcPr>
            <w:tcW w:w="882" w:type="pct"/>
            <w:tcBorders>
              <w:bottom w:val="single" w:sz="4" w:space="0" w:color="000000"/>
            </w:tcBorders>
          </w:tcPr>
          <w:p w14:paraId="3AF044BF" w14:textId="77777777" w:rsidR="00891D16" w:rsidRPr="0000734D" w:rsidRDefault="00891D16" w:rsidP="00891D16">
            <w:pPr>
              <w:pStyle w:val="GOSTTablenorm"/>
            </w:pPr>
            <w:r>
              <w:rPr>
                <w:szCs w:val="22"/>
                <w:highlight w:val="green"/>
                <w:lang w:val="en-US"/>
              </w:rPr>
              <w:t>DtBsDoc</w:t>
            </w:r>
            <w:r w:rsidRPr="00DE0644">
              <w:rPr>
                <w:szCs w:val="22"/>
                <w:highlight w:val="green"/>
              </w:rPr>
              <w:t>*</w:t>
            </w:r>
          </w:p>
        </w:tc>
        <w:tc>
          <w:tcPr>
            <w:tcW w:w="295" w:type="pct"/>
            <w:tcBorders>
              <w:bottom w:val="single" w:sz="4" w:space="0" w:color="000000"/>
            </w:tcBorders>
          </w:tcPr>
          <w:p w14:paraId="2E8A27E8" w14:textId="77777777" w:rsidR="00891D16" w:rsidRPr="0000734D" w:rsidRDefault="00891D16" w:rsidP="00891D16">
            <w:pPr>
              <w:pStyle w:val="GOSTTablenorm"/>
            </w:pPr>
            <w:r w:rsidRPr="00E11C40">
              <w:rPr>
                <w:szCs w:val="22"/>
                <w:highlight w:val="green"/>
              </w:rPr>
              <w:t>П</w:t>
            </w:r>
            <w:r w:rsidRPr="00DE0644">
              <w:rPr>
                <w:szCs w:val="22"/>
                <w:highlight w:val="green"/>
              </w:rPr>
              <w:t>*</w:t>
            </w:r>
          </w:p>
        </w:tc>
        <w:tc>
          <w:tcPr>
            <w:tcW w:w="589" w:type="pct"/>
            <w:tcBorders>
              <w:bottom w:val="single" w:sz="4" w:space="0" w:color="000000"/>
            </w:tcBorders>
          </w:tcPr>
          <w:p w14:paraId="0529C4EE" w14:textId="77777777" w:rsidR="00891D16" w:rsidRPr="0000734D" w:rsidRDefault="00891D16" w:rsidP="00891D16">
            <w:pPr>
              <w:pStyle w:val="GOSTTablenorm"/>
            </w:pPr>
            <w:r w:rsidRPr="00E11C40">
              <w:rPr>
                <w:szCs w:val="22"/>
                <w:highlight w:val="green"/>
                <w:lang w:val="en-US"/>
              </w:rPr>
              <w:t>Date</w:t>
            </w:r>
            <w:r w:rsidRPr="00DE0644">
              <w:rPr>
                <w:szCs w:val="22"/>
                <w:highlight w:val="green"/>
              </w:rPr>
              <w:t>*</w:t>
            </w:r>
          </w:p>
        </w:tc>
        <w:tc>
          <w:tcPr>
            <w:tcW w:w="294" w:type="pct"/>
            <w:tcBorders>
              <w:bottom w:val="single" w:sz="4" w:space="0" w:color="000000"/>
            </w:tcBorders>
          </w:tcPr>
          <w:p w14:paraId="2E74832D" w14:textId="77777777" w:rsidR="00891D16" w:rsidRPr="0000734D" w:rsidRDefault="00891D16" w:rsidP="00891D16">
            <w:pPr>
              <w:pStyle w:val="GOSTTablenorm"/>
            </w:pPr>
            <w:r w:rsidRPr="00E11C40">
              <w:rPr>
                <w:szCs w:val="22"/>
                <w:highlight w:val="green"/>
              </w:rPr>
              <w:t>Н</w:t>
            </w:r>
            <w:r w:rsidRPr="00DE0644">
              <w:rPr>
                <w:szCs w:val="22"/>
                <w:highlight w:val="green"/>
              </w:rPr>
              <w:t>*</w:t>
            </w:r>
          </w:p>
        </w:tc>
        <w:tc>
          <w:tcPr>
            <w:tcW w:w="2058" w:type="pct"/>
            <w:tcBorders>
              <w:bottom w:val="single" w:sz="4" w:space="0" w:color="000000"/>
            </w:tcBorders>
          </w:tcPr>
          <w:p w14:paraId="46D92F56" w14:textId="77777777" w:rsidR="00891D16" w:rsidRPr="0000734D" w:rsidRDefault="00891D16" w:rsidP="00891D16">
            <w:pPr>
              <w:pStyle w:val="GOSTTablenorm"/>
            </w:pPr>
            <w:r w:rsidRPr="00E11C40">
              <w:rPr>
                <w:szCs w:val="22"/>
                <w:highlight w:val="green"/>
              </w:rPr>
              <w:t>Указывается планируемый</w:t>
            </w:r>
            <w:r>
              <w:rPr>
                <w:szCs w:val="22"/>
                <w:highlight w:val="green"/>
              </w:rPr>
              <w:t>,</w:t>
            </w:r>
            <w:r w:rsidRPr="00E11C40">
              <w:rPr>
                <w:szCs w:val="22"/>
                <w:highlight w:val="green"/>
              </w:rPr>
              <w:t xml:space="preserve"> в соответствии с условиями документа-основания</w:t>
            </w:r>
            <w:r>
              <w:rPr>
                <w:szCs w:val="22"/>
                <w:highlight w:val="green"/>
              </w:rPr>
              <w:t>,</w:t>
            </w:r>
            <w:r w:rsidRPr="00E11C40">
              <w:rPr>
                <w:szCs w:val="22"/>
                <w:highlight w:val="green"/>
              </w:rPr>
              <w:t xml:space="preserve"> срок для представления документа, подтверждающего поставку товара (выпо</w:t>
            </w:r>
            <w:r>
              <w:rPr>
                <w:szCs w:val="22"/>
                <w:highlight w:val="green"/>
              </w:rPr>
              <w:t>лнение работ, оказание услуг)</w:t>
            </w:r>
            <w:r w:rsidRPr="00DE0644">
              <w:rPr>
                <w:szCs w:val="22"/>
                <w:highlight w:val="green"/>
              </w:rPr>
              <w:t xml:space="preserve"> *</w:t>
            </w:r>
          </w:p>
        </w:tc>
      </w:tr>
      <w:tr w:rsidR="00891D16" w:rsidRPr="00264D5D" w14:paraId="107147F2" w14:textId="77777777" w:rsidTr="00891D16">
        <w:trPr>
          <w:cnfStyle w:val="000000100000" w:firstRow="0" w:lastRow="0" w:firstColumn="0" w:lastColumn="0" w:oddVBand="0" w:evenVBand="0" w:oddHBand="1" w:evenHBand="0" w:firstRowFirstColumn="0" w:firstRowLastColumn="0" w:lastRowFirstColumn="0" w:lastRowLastColumn="0"/>
          <w:trHeight w:val="283"/>
        </w:trPr>
        <w:tc>
          <w:tcPr>
            <w:tcW w:w="5000" w:type="pct"/>
            <w:gridSpan w:val="6"/>
            <w:tcBorders>
              <w:left w:val="nil"/>
              <w:bottom w:val="nil"/>
              <w:right w:val="nil"/>
            </w:tcBorders>
          </w:tcPr>
          <w:p w14:paraId="4F8DDD58" w14:textId="77777777" w:rsidR="00891D16" w:rsidRPr="00891D16" w:rsidRDefault="00891D16" w:rsidP="00891D16">
            <w:pPr>
              <w:ind w:left="142"/>
              <w:rPr>
                <w:sz w:val="20"/>
              </w:rPr>
            </w:pPr>
            <w:r w:rsidRPr="00B242F6">
              <w:rPr>
                <w:sz w:val="20"/>
                <w:highlight w:val="green"/>
              </w:rPr>
              <w:t xml:space="preserve">* </w:t>
            </w:r>
            <w:r w:rsidRPr="00E60387">
              <w:rPr>
                <w:sz w:val="20"/>
                <w:highlight w:val="green"/>
              </w:rPr>
              <w:t xml:space="preserve">Изменения вступают в силу с 01.07.2025 ограниченно, применяются в соответствии с отдельными </w:t>
            </w:r>
            <w:r w:rsidRPr="00CE7B09">
              <w:rPr>
                <w:sz w:val="20"/>
                <w:highlight w:val="green"/>
              </w:rPr>
              <w:t>разъяснениями Федерального казначейства</w:t>
            </w:r>
            <w:r w:rsidRPr="00E60387">
              <w:rPr>
                <w:sz w:val="20"/>
                <w:highlight w:val="green"/>
              </w:rPr>
              <w:t xml:space="preserve">. </w:t>
            </w:r>
            <w:r>
              <w:rPr>
                <w:sz w:val="20"/>
                <w:highlight w:val="green"/>
              </w:rPr>
              <w:t>С</w:t>
            </w:r>
            <w:r w:rsidRPr="00E60387">
              <w:rPr>
                <w:sz w:val="20"/>
                <w:highlight w:val="green"/>
              </w:rPr>
              <w:t xml:space="preserve"> 01.01.2026 поля заполняются в соответст</w:t>
            </w:r>
            <w:r>
              <w:rPr>
                <w:sz w:val="20"/>
                <w:highlight w:val="green"/>
              </w:rPr>
              <w:t>вии с требованиями Приказа 258Н</w:t>
            </w:r>
          </w:p>
        </w:tc>
      </w:tr>
    </w:tbl>
    <w:p w14:paraId="64E1D39F" w14:textId="77777777" w:rsidR="00AD1F54" w:rsidRPr="007C13BA" w:rsidRDefault="00941227">
      <w:pPr>
        <w:pStyle w:val="31"/>
        <w:rPr>
          <w:highlight w:val="green"/>
        </w:rPr>
      </w:pPr>
      <w:bookmarkStart w:id="1620" w:name="_Toc416182288"/>
      <w:bookmarkStart w:id="1621" w:name="_Toc416182405"/>
      <w:bookmarkStart w:id="1622" w:name="_Toc416182556"/>
      <w:bookmarkStart w:id="1623" w:name="_Toc416182673"/>
      <w:bookmarkStart w:id="1624" w:name="_Toc416188354"/>
      <w:bookmarkStart w:id="1625" w:name="_Toc416188449"/>
      <w:bookmarkStart w:id="1626" w:name="_Toc416188544"/>
      <w:bookmarkStart w:id="1627" w:name="_Toc14707561"/>
      <w:bookmarkStart w:id="1628" w:name="_Toc17206277"/>
      <w:bookmarkStart w:id="1629" w:name="_Toc14707562"/>
      <w:bookmarkStart w:id="1630" w:name="_Toc411507361"/>
      <w:bookmarkStart w:id="1631" w:name="_Toc219309608"/>
      <w:bookmarkEnd w:id="1620"/>
      <w:bookmarkEnd w:id="1621"/>
      <w:bookmarkEnd w:id="1622"/>
      <w:bookmarkEnd w:id="1623"/>
      <w:bookmarkEnd w:id="1624"/>
      <w:bookmarkEnd w:id="1625"/>
      <w:bookmarkEnd w:id="1626"/>
      <w:r w:rsidRPr="007C13BA">
        <w:rPr>
          <w:highlight w:val="green"/>
        </w:rPr>
        <w:t>Описание комплексного типа «tUPD»</w:t>
      </w:r>
      <w:bookmarkEnd w:id="1627"/>
      <w:bookmarkEnd w:id="1628"/>
      <w:bookmarkEnd w:id="1631"/>
    </w:p>
    <w:p w14:paraId="46806A41" w14:textId="77777777" w:rsidR="00AD1F54" w:rsidRPr="00264D5D" w:rsidRDefault="00941227">
      <w:pPr>
        <w:pStyle w:val="ASFKNormal"/>
        <w:spacing w:before="60" w:after="120"/>
        <w:contextualSpacing w:val="0"/>
        <w:jc w:val="both"/>
        <w:rPr>
          <w:sz w:val="24"/>
          <w:szCs w:val="24"/>
        </w:rPr>
      </w:pPr>
      <w:r w:rsidRPr="00264D5D">
        <w:rPr>
          <w:sz w:val="24"/>
          <w:szCs w:val="24"/>
        </w:rPr>
        <w:t>Описание комплексного типа «t</w:t>
      </w:r>
      <w:r w:rsidRPr="00264D5D">
        <w:rPr>
          <w:sz w:val="24"/>
          <w:szCs w:val="24"/>
          <w:lang w:val="en-US"/>
        </w:rPr>
        <w:t>UPD</w:t>
      </w:r>
      <w:r w:rsidRPr="00264D5D">
        <w:rPr>
          <w:sz w:val="24"/>
          <w:szCs w:val="24"/>
        </w:rPr>
        <w:t>» блока «Дополнительные сведения по документу-основанию».</w:t>
      </w:r>
    </w:p>
    <w:p w14:paraId="4779243E" w14:textId="784A3927" w:rsidR="00AD1F54" w:rsidRPr="007C13BA" w:rsidRDefault="001E5517">
      <w:pPr>
        <w:pStyle w:val="GOSTNameTable"/>
        <w:numPr>
          <w:ilvl w:val="0"/>
          <w:numId w:val="2"/>
        </w:numPr>
        <w:ind w:left="425" w:hanging="357"/>
        <w:rPr>
          <w:highlight w:val="green"/>
        </w:rPr>
      </w:pPr>
      <w:r w:rsidRPr="007C13BA">
        <w:rPr>
          <w:noProof/>
          <w:highlight w:val="green"/>
        </w:rPr>
        <w:fldChar w:fldCharType="begin"/>
      </w:r>
      <w:r w:rsidRPr="007C13BA">
        <w:rPr>
          <w:noProof/>
          <w:highlight w:val="green"/>
        </w:rPr>
        <w:instrText xml:space="preserve"> SEQ Таблица \* ARABIC </w:instrText>
      </w:r>
      <w:r w:rsidRPr="007C13BA">
        <w:rPr>
          <w:noProof/>
          <w:highlight w:val="green"/>
        </w:rPr>
        <w:fldChar w:fldCharType="separate"/>
      </w:r>
      <w:bookmarkStart w:id="1632" w:name="_Ref14707764"/>
      <w:bookmarkStart w:id="1633" w:name="_Toc30503364"/>
      <w:bookmarkStart w:id="1634" w:name="_Toc30507962"/>
      <w:bookmarkStart w:id="1635" w:name="_Toc219309185"/>
      <w:r w:rsidR="008D797C">
        <w:rPr>
          <w:noProof/>
          <w:highlight w:val="green"/>
        </w:rPr>
        <w:t>155</w:t>
      </w:r>
      <w:bookmarkEnd w:id="1632"/>
      <w:r w:rsidRPr="007C13BA">
        <w:rPr>
          <w:noProof/>
          <w:highlight w:val="green"/>
        </w:rPr>
        <w:fldChar w:fldCharType="end"/>
      </w:r>
      <w:r w:rsidR="00941227" w:rsidRPr="007C13BA">
        <w:rPr>
          <w:rFonts w:eastAsia="Calibri"/>
          <w:szCs w:val="24"/>
          <w:highlight w:val="green"/>
        </w:rPr>
        <w:t xml:space="preserve"> – </w:t>
      </w:r>
      <w:r w:rsidR="00941227" w:rsidRPr="007C13BA">
        <w:rPr>
          <w:highlight w:val="green"/>
        </w:rPr>
        <w:t>Описание комплексного типа «</w:t>
      </w:r>
      <w:r w:rsidR="00941227" w:rsidRPr="007C13BA">
        <w:rPr>
          <w:highlight w:val="green"/>
          <w:lang w:val="en-US"/>
        </w:rPr>
        <w:t>tUPD</w:t>
      </w:r>
      <w:r w:rsidR="00941227" w:rsidRPr="007C13BA">
        <w:rPr>
          <w:highlight w:val="green"/>
        </w:rPr>
        <w:t>»</w:t>
      </w:r>
      <w:bookmarkEnd w:id="1629"/>
      <w:bookmarkEnd w:id="1633"/>
      <w:bookmarkEnd w:id="1634"/>
      <w:bookmarkEnd w:id="1635"/>
    </w:p>
    <w:tbl>
      <w:tblPr>
        <w:tblStyle w:val="GOSTTable"/>
        <w:tblW w:w="5006" w:type="pct"/>
        <w:tblLayout w:type="fixed"/>
        <w:tblLook w:val="04A0" w:firstRow="1" w:lastRow="0" w:firstColumn="1" w:lastColumn="0" w:noHBand="0" w:noVBand="1"/>
      </w:tblPr>
      <w:tblGrid>
        <w:gridCol w:w="1705"/>
        <w:gridCol w:w="1704"/>
        <w:gridCol w:w="570"/>
        <w:gridCol w:w="1138"/>
        <w:gridCol w:w="570"/>
        <w:gridCol w:w="3975"/>
      </w:tblGrid>
      <w:tr w:rsidR="00AD1F54" w:rsidRPr="00264D5D" w14:paraId="1C8B54ED"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2" w:type="pct"/>
          </w:tcPr>
          <w:p w14:paraId="0D703631" w14:textId="77777777" w:rsidR="00AD1F54" w:rsidRPr="00264D5D" w:rsidRDefault="00941227">
            <w:pPr>
              <w:spacing w:before="60" w:after="60"/>
              <w:jc w:val="center"/>
              <w:rPr>
                <w:b/>
                <w:bCs/>
                <w:sz w:val="22"/>
                <w:szCs w:val="22"/>
              </w:rPr>
            </w:pPr>
            <w:r w:rsidRPr="00264D5D">
              <w:rPr>
                <w:b/>
                <w:bCs/>
                <w:sz w:val="22"/>
                <w:szCs w:val="22"/>
              </w:rPr>
              <w:t>Наименование элемента</w:t>
            </w:r>
          </w:p>
        </w:tc>
        <w:tc>
          <w:tcPr>
            <w:tcW w:w="882" w:type="pct"/>
          </w:tcPr>
          <w:p w14:paraId="24DBBD36" w14:textId="77777777" w:rsidR="00AD1F54" w:rsidRPr="00264D5D" w:rsidRDefault="00941227">
            <w:pPr>
              <w:spacing w:before="60" w:after="60"/>
              <w:jc w:val="center"/>
              <w:rPr>
                <w:b/>
                <w:bCs/>
                <w:sz w:val="22"/>
                <w:szCs w:val="22"/>
              </w:rPr>
            </w:pPr>
            <w:r w:rsidRPr="00264D5D">
              <w:rPr>
                <w:b/>
                <w:bCs/>
                <w:sz w:val="22"/>
                <w:szCs w:val="22"/>
              </w:rPr>
              <w:t>Сокращенное наименование (код) элемента</w:t>
            </w:r>
          </w:p>
        </w:tc>
        <w:tc>
          <w:tcPr>
            <w:tcW w:w="295" w:type="pct"/>
          </w:tcPr>
          <w:p w14:paraId="1CF67811" w14:textId="77777777" w:rsidR="00AD1F54" w:rsidRPr="00264D5D" w:rsidRDefault="00941227">
            <w:pPr>
              <w:spacing w:before="60" w:after="60"/>
              <w:jc w:val="center"/>
              <w:rPr>
                <w:b/>
                <w:bCs/>
                <w:sz w:val="22"/>
                <w:szCs w:val="22"/>
              </w:rPr>
            </w:pPr>
            <w:r w:rsidRPr="00264D5D">
              <w:rPr>
                <w:b/>
                <w:bCs/>
                <w:sz w:val="22"/>
                <w:szCs w:val="22"/>
              </w:rPr>
              <w:t>Тип</w:t>
            </w:r>
          </w:p>
        </w:tc>
        <w:tc>
          <w:tcPr>
            <w:tcW w:w="589" w:type="pct"/>
          </w:tcPr>
          <w:p w14:paraId="3668E78A" w14:textId="77777777" w:rsidR="00AD1F54" w:rsidRPr="00264D5D" w:rsidRDefault="00941227">
            <w:pPr>
              <w:spacing w:before="60" w:after="60"/>
              <w:jc w:val="center"/>
              <w:rPr>
                <w:b/>
                <w:bCs/>
                <w:sz w:val="22"/>
                <w:szCs w:val="22"/>
              </w:rPr>
            </w:pPr>
            <w:r w:rsidRPr="00264D5D">
              <w:rPr>
                <w:b/>
                <w:bCs/>
                <w:sz w:val="22"/>
                <w:szCs w:val="22"/>
              </w:rPr>
              <w:t>Формат элемента</w:t>
            </w:r>
          </w:p>
        </w:tc>
        <w:tc>
          <w:tcPr>
            <w:tcW w:w="295" w:type="pct"/>
          </w:tcPr>
          <w:p w14:paraId="718757EC" w14:textId="77777777" w:rsidR="00AD1F54" w:rsidRPr="00264D5D" w:rsidRDefault="00941227">
            <w:pPr>
              <w:spacing w:before="60" w:after="60"/>
              <w:jc w:val="center"/>
              <w:rPr>
                <w:b/>
                <w:bCs/>
                <w:sz w:val="22"/>
                <w:szCs w:val="22"/>
              </w:rPr>
            </w:pPr>
            <w:r w:rsidRPr="00264D5D">
              <w:rPr>
                <w:b/>
                <w:bCs/>
                <w:sz w:val="22"/>
                <w:szCs w:val="22"/>
              </w:rPr>
              <w:t>Обязательность</w:t>
            </w:r>
          </w:p>
        </w:tc>
        <w:tc>
          <w:tcPr>
            <w:tcW w:w="2057" w:type="pct"/>
          </w:tcPr>
          <w:p w14:paraId="7044DAD0" w14:textId="77777777" w:rsidR="00AD1F54" w:rsidRPr="00264D5D" w:rsidRDefault="00941227">
            <w:pPr>
              <w:spacing w:before="60" w:after="60"/>
              <w:jc w:val="center"/>
              <w:rPr>
                <w:b/>
                <w:bCs/>
                <w:sz w:val="22"/>
                <w:szCs w:val="22"/>
              </w:rPr>
            </w:pPr>
            <w:r w:rsidRPr="00264D5D">
              <w:rPr>
                <w:b/>
                <w:bCs/>
                <w:sz w:val="22"/>
                <w:szCs w:val="22"/>
              </w:rPr>
              <w:t>Дополнительная информация</w:t>
            </w:r>
          </w:p>
        </w:tc>
      </w:tr>
      <w:tr w:rsidR="00AD1F54" w:rsidRPr="00264D5D" w14:paraId="1844F08A"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5000" w:type="pct"/>
            <w:gridSpan w:val="6"/>
          </w:tcPr>
          <w:p w14:paraId="2845C936" w14:textId="77777777" w:rsidR="00AD1F54" w:rsidRPr="00264D5D" w:rsidRDefault="00941227">
            <w:pPr>
              <w:spacing w:before="60" w:after="60"/>
              <w:rPr>
                <w:sz w:val="22"/>
                <w:szCs w:val="22"/>
              </w:rPr>
            </w:pPr>
            <w:r w:rsidRPr="00264D5D">
              <w:rPr>
                <w:b/>
                <w:sz w:val="22"/>
                <w:szCs w:val="22"/>
              </w:rPr>
              <w:t>Общие сведения о платежном документе</w:t>
            </w:r>
          </w:p>
        </w:tc>
      </w:tr>
      <w:tr w:rsidR="00AD1F54" w:rsidRPr="00264D5D" w14:paraId="709C7347"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2" w:type="pct"/>
          </w:tcPr>
          <w:p w14:paraId="27CCA265" w14:textId="77777777" w:rsidR="00AD1F54" w:rsidRPr="00264D5D" w:rsidRDefault="00941227">
            <w:pPr>
              <w:spacing w:before="60" w:after="60"/>
              <w:rPr>
                <w:sz w:val="22"/>
                <w:szCs w:val="22"/>
              </w:rPr>
            </w:pPr>
            <w:r w:rsidRPr="00264D5D">
              <w:rPr>
                <w:sz w:val="22"/>
                <w:szCs w:val="22"/>
              </w:rPr>
              <w:t>Номер счета-фактуры</w:t>
            </w:r>
          </w:p>
        </w:tc>
        <w:tc>
          <w:tcPr>
            <w:tcW w:w="882" w:type="pct"/>
          </w:tcPr>
          <w:p w14:paraId="707EC25F" w14:textId="77777777" w:rsidR="00AD1F54" w:rsidRPr="00264D5D" w:rsidRDefault="00941227">
            <w:pPr>
              <w:spacing w:before="60" w:after="60"/>
              <w:rPr>
                <w:sz w:val="22"/>
                <w:szCs w:val="22"/>
                <w:lang w:val="en-US"/>
              </w:rPr>
            </w:pPr>
            <w:r w:rsidRPr="00264D5D">
              <w:rPr>
                <w:sz w:val="22"/>
                <w:szCs w:val="22"/>
                <w:lang w:val="en-US"/>
              </w:rPr>
              <w:t>Pd_InvNmb</w:t>
            </w:r>
          </w:p>
        </w:tc>
        <w:tc>
          <w:tcPr>
            <w:tcW w:w="295" w:type="pct"/>
          </w:tcPr>
          <w:p w14:paraId="49F3B3DE" w14:textId="77777777" w:rsidR="00AD1F54" w:rsidRPr="00264D5D" w:rsidRDefault="00941227">
            <w:pPr>
              <w:spacing w:before="60" w:after="60"/>
              <w:jc w:val="center"/>
              <w:rPr>
                <w:sz w:val="22"/>
                <w:szCs w:val="22"/>
              </w:rPr>
            </w:pPr>
            <w:r w:rsidRPr="00264D5D">
              <w:rPr>
                <w:sz w:val="22"/>
                <w:szCs w:val="22"/>
              </w:rPr>
              <w:t>П</w:t>
            </w:r>
          </w:p>
        </w:tc>
        <w:tc>
          <w:tcPr>
            <w:tcW w:w="589" w:type="pct"/>
          </w:tcPr>
          <w:p w14:paraId="25482125" w14:textId="77777777" w:rsidR="00AD1F54" w:rsidRPr="00264D5D" w:rsidRDefault="00941227">
            <w:pPr>
              <w:spacing w:before="60" w:after="60"/>
              <w:jc w:val="left"/>
              <w:rPr>
                <w:sz w:val="22"/>
                <w:szCs w:val="22"/>
              </w:rPr>
            </w:pPr>
            <w:r w:rsidRPr="00264D5D">
              <w:rPr>
                <w:sz w:val="22"/>
                <w:szCs w:val="22"/>
              </w:rPr>
              <w:t>Т(1-100)</w:t>
            </w:r>
          </w:p>
        </w:tc>
        <w:tc>
          <w:tcPr>
            <w:tcW w:w="295" w:type="pct"/>
          </w:tcPr>
          <w:p w14:paraId="5B2C4595" w14:textId="77777777" w:rsidR="00AD1F54" w:rsidRPr="00264D5D" w:rsidRDefault="00941227">
            <w:pPr>
              <w:spacing w:before="60" w:after="60"/>
              <w:jc w:val="center"/>
              <w:rPr>
                <w:sz w:val="22"/>
                <w:szCs w:val="22"/>
              </w:rPr>
            </w:pPr>
            <w:r w:rsidRPr="00264D5D">
              <w:rPr>
                <w:sz w:val="22"/>
                <w:szCs w:val="22"/>
              </w:rPr>
              <w:t>Н</w:t>
            </w:r>
          </w:p>
        </w:tc>
        <w:tc>
          <w:tcPr>
            <w:tcW w:w="2057" w:type="pct"/>
          </w:tcPr>
          <w:p w14:paraId="4C76475C" w14:textId="77777777" w:rsidR="00AD1F54" w:rsidRPr="00264D5D" w:rsidRDefault="00676E27">
            <w:pPr>
              <w:spacing w:before="60" w:after="60"/>
              <w:rPr>
                <w:sz w:val="22"/>
                <w:szCs w:val="22"/>
              </w:rPr>
            </w:pPr>
            <w:r w:rsidRPr="00264D5D">
              <w:rPr>
                <w:sz w:val="22"/>
                <w:szCs w:val="22"/>
              </w:rPr>
              <w:t>Номер счета-фактуры</w:t>
            </w:r>
          </w:p>
        </w:tc>
      </w:tr>
      <w:tr w:rsidR="00AD1F54" w:rsidRPr="00264D5D" w14:paraId="26CC6AA8"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2" w:type="pct"/>
          </w:tcPr>
          <w:p w14:paraId="3CFF6959" w14:textId="77777777" w:rsidR="00AD1F54" w:rsidRPr="00264D5D" w:rsidRDefault="00941227">
            <w:pPr>
              <w:spacing w:before="60" w:after="60"/>
              <w:rPr>
                <w:sz w:val="22"/>
                <w:szCs w:val="22"/>
              </w:rPr>
            </w:pPr>
            <w:r w:rsidRPr="00264D5D">
              <w:rPr>
                <w:sz w:val="22"/>
                <w:szCs w:val="22"/>
              </w:rPr>
              <w:t xml:space="preserve">Дата счета-фактуры </w:t>
            </w:r>
          </w:p>
        </w:tc>
        <w:tc>
          <w:tcPr>
            <w:tcW w:w="882" w:type="pct"/>
          </w:tcPr>
          <w:p w14:paraId="2D794D3B" w14:textId="77777777" w:rsidR="00AD1F54" w:rsidRPr="00264D5D" w:rsidRDefault="00941227">
            <w:pPr>
              <w:spacing w:before="60" w:after="60"/>
              <w:rPr>
                <w:sz w:val="22"/>
                <w:szCs w:val="22"/>
                <w:lang w:val="en-US"/>
              </w:rPr>
            </w:pPr>
            <w:r w:rsidRPr="00264D5D">
              <w:rPr>
                <w:sz w:val="22"/>
                <w:szCs w:val="22"/>
                <w:lang w:val="en-US"/>
              </w:rPr>
              <w:t>Pd_InvDt</w:t>
            </w:r>
          </w:p>
        </w:tc>
        <w:tc>
          <w:tcPr>
            <w:tcW w:w="295" w:type="pct"/>
          </w:tcPr>
          <w:p w14:paraId="2194985E" w14:textId="77777777" w:rsidR="00AD1F54" w:rsidRPr="00264D5D" w:rsidRDefault="00941227">
            <w:pPr>
              <w:spacing w:before="60" w:after="60"/>
              <w:jc w:val="center"/>
              <w:rPr>
                <w:sz w:val="22"/>
                <w:szCs w:val="22"/>
              </w:rPr>
            </w:pPr>
            <w:r w:rsidRPr="00264D5D">
              <w:rPr>
                <w:sz w:val="22"/>
                <w:szCs w:val="22"/>
              </w:rPr>
              <w:t>П</w:t>
            </w:r>
          </w:p>
        </w:tc>
        <w:tc>
          <w:tcPr>
            <w:tcW w:w="589" w:type="pct"/>
          </w:tcPr>
          <w:p w14:paraId="5CA61002" w14:textId="77777777" w:rsidR="00AD1F54" w:rsidRPr="00264D5D" w:rsidRDefault="00941227">
            <w:pPr>
              <w:spacing w:before="60" w:after="60"/>
              <w:jc w:val="left"/>
              <w:rPr>
                <w:sz w:val="22"/>
                <w:szCs w:val="22"/>
              </w:rPr>
            </w:pPr>
            <w:r w:rsidRPr="00264D5D">
              <w:rPr>
                <w:sz w:val="22"/>
                <w:szCs w:val="22"/>
                <w:lang w:val="en-US"/>
              </w:rPr>
              <w:t>D</w:t>
            </w:r>
            <w:r w:rsidRPr="00264D5D">
              <w:rPr>
                <w:sz w:val="22"/>
                <w:szCs w:val="22"/>
              </w:rPr>
              <w:t>ate</w:t>
            </w:r>
          </w:p>
        </w:tc>
        <w:tc>
          <w:tcPr>
            <w:tcW w:w="295" w:type="pct"/>
          </w:tcPr>
          <w:p w14:paraId="69C10FF7" w14:textId="77777777" w:rsidR="00AD1F54" w:rsidRPr="00264D5D" w:rsidRDefault="00941227">
            <w:pPr>
              <w:spacing w:before="60" w:after="60"/>
              <w:jc w:val="center"/>
              <w:rPr>
                <w:sz w:val="22"/>
                <w:szCs w:val="22"/>
              </w:rPr>
            </w:pPr>
            <w:r w:rsidRPr="00264D5D">
              <w:rPr>
                <w:sz w:val="22"/>
                <w:szCs w:val="22"/>
              </w:rPr>
              <w:t>Н</w:t>
            </w:r>
          </w:p>
        </w:tc>
        <w:tc>
          <w:tcPr>
            <w:tcW w:w="2057" w:type="pct"/>
          </w:tcPr>
          <w:p w14:paraId="2E8E5E82" w14:textId="77777777" w:rsidR="00AD1F54" w:rsidRPr="00264D5D" w:rsidRDefault="00676E27">
            <w:pPr>
              <w:spacing w:before="60" w:after="60"/>
              <w:rPr>
                <w:sz w:val="22"/>
                <w:szCs w:val="22"/>
              </w:rPr>
            </w:pPr>
            <w:r w:rsidRPr="00264D5D">
              <w:rPr>
                <w:sz w:val="22"/>
                <w:szCs w:val="22"/>
              </w:rPr>
              <w:t>Дата составления счета-фактуры</w:t>
            </w:r>
          </w:p>
        </w:tc>
      </w:tr>
      <w:tr w:rsidR="00AD1F54" w:rsidRPr="00264D5D" w14:paraId="13AF242B"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5000" w:type="pct"/>
            <w:gridSpan w:val="6"/>
          </w:tcPr>
          <w:p w14:paraId="0B24892C" w14:textId="77777777" w:rsidR="00AD1F54" w:rsidRPr="00264D5D" w:rsidRDefault="00941227">
            <w:pPr>
              <w:spacing w:before="60" w:after="60"/>
              <w:rPr>
                <w:sz w:val="22"/>
                <w:szCs w:val="22"/>
              </w:rPr>
            </w:pPr>
            <w:r w:rsidRPr="00264D5D">
              <w:rPr>
                <w:b/>
                <w:sz w:val="22"/>
                <w:szCs w:val="22"/>
              </w:rPr>
              <w:t>Сведения о поставщике</w:t>
            </w:r>
          </w:p>
        </w:tc>
      </w:tr>
      <w:tr w:rsidR="00AD1F54" w:rsidRPr="00264D5D" w14:paraId="161663DF"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2" w:type="pct"/>
          </w:tcPr>
          <w:p w14:paraId="410B4E87" w14:textId="77777777" w:rsidR="00AD1F54" w:rsidRPr="00264D5D" w:rsidRDefault="00941227">
            <w:pPr>
              <w:spacing w:before="60" w:after="60"/>
              <w:rPr>
                <w:sz w:val="22"/>
                <w:szCs w:val="22"/>
              </w:rPr>
            </w:pPr>
            <w:r w:rsidRPr="00264D5D">
              <w:rPr>
                <w:sz w:val="22"/>
                <w:szCs w:val="22"/>
              </w:rPr>
              <w:t>Наименование</w:t>
            </w:r>
          </w:p>
        </w:tc>
        <w:tc>
          <w:tcPr>
            <w:tcW w:w="882" w:type="pct"/>
          </w:tcPr>
          <w:p w14:paraId="69D060C4" w14:textId="77777777" w:rsidR="00AD1F54" w:rsidRPr="00264D5D" w:rsidRDefault="00941227">
            <w:pPr>
              <w:spacing w:before="60" w:after="60"/>
              <w:rPr>
                <w:sz w:val="22"/>
                <w:szCs w:val="22"/>
                <w:lang w:val="en-US"/>
              </w:rPr>
            </w:pPr>
            <w:r w:rsidRPr="00264D5D">
              <w:rPr>
                <w:sz w:val="22"/>
                <w:szCs w:val="22"/>
                <w:lang w:val="en-US"/>
              </w:rPr>
              <w:t>Sl_Nm</w:t>
            </w:r>
          </w:p>
        </w:tc>
        <w:tc>
          <w:tcPr>
            <w:tcW w:w="295" w:type="pct"/>
          </w:tcPr>
          <w:p w14:paraId="7A1D233B" w14:textId="77777777" w:rsidR="00AD1F54" w:rsidRPr="00264D5D" w:rsidRDefault="00941227">
            <w:pPr>
              <w:spacing w:before="60" w:after="60"/>
              <w:jc w:val="center"/>
              <w:rPr>
                <w:sz w:val="22"/>
                <w:szCs w:val="22"/>
              </w:rPr>
            </w:pPr>
            <w:r w:rsidRPr="00264D5D">
              <w:rPr>
                <w:sz w:val="22"/>
                <w:szCs w:val="22"/>
              </w:rPr>
              <w:t>П</w:t>
            </w:r>
          </w:p>
        </w:tc>
        <w:tc>
          <w:tcPr>
            <w:tcW w:w="589" w:type="pct"/>
          </w:tcPr>
          <w:p w14:paraId="4ADD7B14" w14:textId="77777777" w:rsidR="00AD1F54" w:rsidRPr="00264D5D" w:rsidRDefault="00941227">
            <w:pPr>
              <w:spacing w:before="60" w:after="60"/>
              <w:jc w:val="left"/>
              <w:rPr>
                <w:sz w:val="22"/>
                <w:szCs w:val="22"/>
              </w:rPr>
            </w:pPr>
            <w:r w:rsidRPr="00264D5D">
              <w:rPr>
                <w:sz w:val="22"/>
                <w:szCs w:val="22"/>
              </w:rPr>
              <w:t>Т(1-</w:t>
            </w:r>
            <w:r w:rsidRPr="00264D5D">
              <w:rPr>
                <w:sz w:val="22"/>
                <w:szCs w:val="22"/>
                <w:lang w:val="en-US"/>
              </w:rPr>
              <w:t>20</w:t>
            </w:r>
            <w:r w:rsidRPr="00264D5D">
              <w:rPr>
                <w:sz w:val="22"/>
                <w:szCs w:val="22"/>
              </w:rPr>
              <w:t>00)</w:t>
            </w:r>
          </w:p>
        </w:tc>
        <w:tc>
          <w:tcPr>
            <w:tcW w:w="295" w:type="pct"/>
          </w:tcPr>
          <w:p w14:paraId="2DC796CB" w14:textId="77777777" w:rsidR="00AD1F54" w:rsidRPr="00264D5D" w:rsidRDefault="00941227">
            <w:pPr>
              <w:spacing w:before="60" w:after="60"/>
              <w:jc w:val="center"/>
              <w:rPr>
                <w:sz w:val="22"/>
                <w:szCs w:val="22"/>
              </w:rPr>
            </w:pPr>
            <w:r w:rsidRPr="00264D5D">
              <w:rPr>
                <w:sz w:val="22"/>
                <w:szCs w:val="22"/>
              </w:rPr>
              <w:t>Н</w:t>
            </w:r>
          </w:p>
        </w:tc>
        <w:tc>
          <w:tcPr>
            <w:tcW w:w="2057" w:type="pct"/>
          </w:tcPr>
          <w:p w14:paraId="5CF0AC22" w14:textId="77777777" w:rsidR="00AD1F54" w:rsidRPr="00264D5D" w:rsidRDefault="00941227">
            <w:pPr>
              <w:spacing w:before="60" w:after="60"/>
              <w:rPr>
                <w:sz w:val="22"/>
                <w:szCs w:val="22"/>
              </w:rPr>
            </w:pPr>
            <w:r w:rsidRPr="00264D5D">
              <w:rPr>
                <w:sz w:val="22"/>
                <w:szCs w:val="22"/>
              </w:rPr>
              <w:t>Наименование организации поставщика (для юридического лица).</w:t>
            </w:r>
          </w:p>
          <w:p w14:paraId="18086BA5" w14:textId="77777777" w:rsidR="00AD1F54" w:rsidRPr="00264D5D" w:rsidRDefault="00941227">
            <w:pPr>
              <w:spacing w:before="60" w:after="60"/>
              <w:rPr>
                <w:sz w:val="22"/>
                <w:szCs w:val="22"/>
              </w:rPr>
            </w:pPr>
            <w:r w:rsidRPr="00264D5D">
              <w:rPr>
                <w:sz w:val="22"/>
                <w:szCs w:val="22"/>
              </w:rPr>
              <w:t>Поле не заполняется, если поставщиком является физическое лицо</w:t>
            </w:r>
          </w:p>
        </w:tc>
      </w:tr>
      <w:tr w:rsidR="00AD1F54" w:rsidRPr="00264D5D" w14:paraId="031F9854"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2" w:type="pct"/>
          </w:tcPr>
          <w:p w14:paraId="74022E10" w14:textId="77777777" w:rsidR="00AD1F54" w:rsidRPr="00264D5D" w:rsidRDefault="00941227">
            <w:pPr>
              <w:spacing w:before="60" w:after="60"/>
              <w:rPr>
                <w:sz w:val="22"/>
                <w:szCs w:val="22"/>
              </w:rPr>
            </w:pPr>
            <w:r w:rsidRPr="00264D5D">
              <w:rPr>
                <w:sz w:val="22"/>
                <w:szCs w:val="22"/>
              </w:rPr>
              <w:t>Фамилия</w:t>
            </w:r>
          </w:p>
        </w:tc>
        <w:tc>
          <w:tcPr>
            <w:tcW w:w="882" w:type="pct"/>
          </w:tcPr>
          <w:p w14:paraId="12AE03AB" w14:textId="77777777" w:rsidR="00AD1F54" w:rsidRPr="00264D5D" w:rsidRDefault="00941227">
            <w:pPr>
              <w:spacing w:before="60" w:after="60"/>
              <w:rPr>
                <w:sz w:val="22"/>
                <w:szCs w:val="22"/>
              </w:rPr>
            </w:pPr>
            <w:r w:rsidRPr="00264D5D">
              <w:rPr>
                <w:sz w:val="22"/>
                <w:szCs w:val="22"/>
                <w:lang w:val="en-US"/>
              </w:rPr>
              <w:t>Sl</w:t>
            </w:r>
            <w:r w:rsidRPr="00264D5D">
              <w:rPr>
                <w:sz w:val="22"/>
                <w:szCs w:val="22"/>
              </w:rPr>
              <w:t>_</w:t>
            </w:r>
            <w:r w:rsidRPr="00264D5D">
              <w:rPr>
                <w:sz w:val="22"/>
                <w:szCs w:val="22"/>
                <w:lang w:val="en-US"/>
              </w:rPr>
              <w:t>F</w:t>
            </w:r>
          </w:p>
        </w:tc>
        <w:tc>
          <w:tcPr>
            <w:tcW w:w="295" w:type="pct"/>
          </w:tcPr>
          <w:p w14:paraId="38CF614E" w14:textId="77777777" w:rsidR="00AD1F54" w:rsidRPr="00264D5D" w:rsidRDefault="00941227">
            <w:pPr>
              <w:spacing w:before="60" w:after="60"/>
              <w:jc w:val="center"/>
              <w:rPr>
                <w:sz w:val="22"/>
                <w:szCs w:val="22"/>
              </w:rPr>
            </w:pPr>
            <w:r w:rsidRPr="00264D5D">
              <w:rPr>
                <w:sz w:val="22"/>
                <w:szCs w:val="22"/>
              </w:rPr>
              <w:t>П</w:t>
            </w:r>
          </w:p>
        </w:tc>
        <w:tc>
          <w:tcPr>
            <w:tcW w:w="589" w:type="pct"/>
          </w:tcPr>
          <w:p w14:paraId="06D4D14B" w14:textId="77777777" w:rsidR="00AD1F54" w:rsidRPr="00264D5D" w:rsidRDefault="00941227">
            <w:pPr>
              <w:spacing w:before="60" w:after="60"/>
              <w:jc w:val="left"/>
              <w:rPr>
                <w:sz w:val="22"/>
                <w:szCs w:val="22"/>
              </w:rPr>
            </w:pPr>
            <w:r w:rsidRPr="00264D5D">
              <w:rPr>
                <w:sz w:val="22"/>
                <w:szCs w:val="22"/>
              </w:rPr>
              <w:t>Т(1-60)</w:t>
            </w:r>
          </w:p>
        </w:tc>
        <w:tc>
          <w:tcPr>
            <w:tcW w:w="295" w:type="pct"/>
          </w:tcPr>
          <w:p w14:paraId="2D6DE990" w14:textId="77777777" w:rsidR="00AD1F54" w:rsidRPr="00264D5D" w:rsidRDefault="00941227">
            <w:pPr>
              <w:spacing w:before="60" w:after="60"/>
              <w:jc w:val="center"/>
              <w:rPr>
                <w:sz w:val="22"/>
                <w:szCs w:val="22"/>
              </w:rPr>
            </w:pPr>
            <w:r w:rsidRPr="00264D5D">
              <w:rPr>
                <w:sz w:val="22"/>
                <w:szCs w:val="22"/>
              </w:rPr>
              <w:t>Н</w:t>
            </w:r>
          </w:p>
        </w:tc>
        <w:tc>
          <w:tcPr>
            <w:tcW w:w="2057" w:type="pct"/>
          </w:tcPr>
          <w:p w14:paraId="6CA5FF71" w14:textId="77777777" w:rsidR="00AD1F54" w:rsidRPr="00264D5D" w:rsidRDefault="00941227">
            <w:pPr>
              <w:spacing w:before="60" w:after="60"/>
              <w:rPr>
                <w:sz w:val="22"/>
                <w:szCs w:val="22"/>
              </w:rPr>
            </w:pPr>
            <w:r w:rsidRPr="00264D5D">
              <w:rPr>
                <w:sz w:val="22"/>
                <w:szCs w:val="22"/>
              </w:rPr>
              <w:t>Фамилия поставщика (для физического лица).</w:t>
            </w:r>
          </w:p>
          <w:p w14:paraId="374592DA" w14:textId="77777777" w:rsidR="00AD1F54" w:rsidRPr="00264D5D" w:rsidRDefault="00941227">
            <w:pPr>
              <w:spacing w:before="60" w:after="60"/>
              <w:rPr>
                <w:sz w:val="22"/>
                <w:szCs w:val="22"/>
              </w:rPr>
            </w:pPr>
            <w:r w:rsidRPr="00264D5D">
              <w:rPr>
                <w:sz w:val="22"/>
                <w:szCs w:val="22"/>
              </w:rPr>
              <w:t>Поле не заполняется, если поставщиком является юридическое лицо</w:t>
            </w:r>
          </w:p>
        </w:tc>
      </w:tr>
      <w:tr w:rsidR="00AD1F54" w:rsidRPr="00264D5D" w14:paraId="7CEE7CB2"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2" w:type="pct"/>
          </w:tcPr>
          <w:p w14:paraId="6E238DE7" w14:textId="77777777" w:rsidR="00AD1F54" w:rsidRPr="00264D5D" w:rsidRDefault="00941227">
            <w:pPr>
              <w:spacing w:before="60" w:after="60"/>
              <w:rPr>
                <w:sz w:val="22"/>
                <w:szCs w:val="22"/>
              </w:rPr>
            </w:pPr>
            <w:r w:rsidRPr="00264D5D">
              <w:rPr>
                <w:sz w:val="22"/>
                <w:szCs w:val="22"/>
              </w:rPr>
              <w:lastRenderedPageBreak/>
              <w:t>Имя</w:t>
            </w:r>
          </w:p>
        </w:tc>
        <w:tc>
          <w:tcPr>
            <w:tcW w:w="882" w:type="pct"/>
          </w:tcPr>
          <w:p w14:paraId="6507CA62" w14:textId="77777777" w:rsidR="00AD1F54" w:rsidRPr="00264D5D" w:rsidRDefault="00941227">
            <w:pPr>
              <w:spacing w:before="60" w:after="60"/>
              <w:rPr>
                <w:sz w:val="22"/>
                <w:szCs w:val="22"/>
              </w:rPr>
            </w:pPr>
            <w:r w:rsidRPr="00264D5D">
              <w:rPr>
                <w:sz w:val="22"/>
                <w:szCs w:val="22"/>
                <w:lang w:val="en-US"/>
              </w:rPr>
              <w:t>Sl</w:t>
            </w:r>
            <w:r w:rsidRPr="00264D5D">
              <w:rPr>
                <w:sz w:val="22"/>
                <w:szCs w:val="22"/>
              </w:rPr>
              <w:t>_</w:t>
            </w:r>
            <w:r w:rsidRPr="00264D5D">
              <w:rPr>
                <w:sz w:val="22"/>
                <w:szCs w:val="22"/>
                <w:lang w:val="en-US"/>
              </w:rPr>
              <w:t>I</w:t>
            </w:r>
          </w:p>
        </w:tc>
        <w:tc>
          <w:tcPr>
            <w:tcW w:w="295" w:type="pct"/>
          </w:tcPr>
          <w:p w14:paraId="76EBFEEB" w14:textId="77777777" w:rsidR="00AD1F54" w:rsidRPr="00264D5D" w:rsidRDefault="00941227">
            <w:pPr>
              <w:spacing w:before="60" w:after="60"/>
              <w:jc w:val="center"/>
              <w:rPr>
                <w:sz w:val="22"/>
                <w:szCs w:val="22"/>
              </w:rPr>
            </w:pPr>
            <w:r w:rsidRPr="00264D5D">
              <w:rPr>
                <w:sz w:val="22"/>
                <w:szCs w:val="22"/>
              </w:rPr>
              <w:t>П</w:t>
            </w:r>
          </w:p>
        </w:tc>
        <w:tc>
          <w:tcPr>
            <w:tcW w:w="589" w:type="pct"/>
          </w:tcPr>
          <w:p w14:paraId="569F7E19" w14:textId="77777777" w:rsidR="00AD1F54" w:rsidRPr="00264D5D" w:rsidRDefault="00941227">
            <w:pPr>
              <w:spacing w:before="60" w:after="60"/>
              <w:jc w:val="left"/>
              <w:rPr>
                <w:sz w:val="22"/>
                <w:szCs w:val="22"/>
              </w:rPr>
            </w:pPr>
            <w:r w:rsidRPr="00264D5D">
              <w:rPr>
                <w:sz w:val="22"/>
                <w:szCs w:val="22"/>
              </w:rPr>
              <w:t>Т(1-60)</w:t>
            </w:r>
          </w:p>
        </w:tc>
        <w:tc>
          <w:tcPr>
            <w:tcW w:w="295" w:type="pct"/>
          </w:tcPr>
          <w:p w14:paraId="3FB56152" w14:textId="77777777" w:rsidR="00AD1F54" w:rsidRPr="00264D5D" w:rsidRDefault="00941227">
            <w:pPr>
              <w:spacing w:before="60" w:after="60"/>
              <w:jc w:val="center"/>
              <w:rPr>
                <w:sz w:val="22"/>
                <w:szCs w:val="22"/>
              </w:rPr>
            </w:pPr>
            <w:r w:rsidRPr="00264D5D">
              <w:rPr>
                <w:sz w:val="22"/>
                <w:szCs w:val="22"/>
              </w:rPr>
              <w:t>Н</w:t>
            </w:r>
          </w:p>
        </w:tc>
        <w:tc>
          <w:tcPr>
            <w:tcW w:w="2057" w:type="pct"/>
          </w:tcPr>
          <w:p w14:paraId="2C635145" w14:textId="77777777" w:rsidR="00AD1F54" w:rsidRPr="00264D5D" w:rsidRDefault="00941227">
            <w:pPr>
              <w:spacing w:before="60" w:after="60"/>
              <w:rPr>
                <w:sz w:val="22"/>
                <w:szCs w:val="22"/>
              </w:rPr>
            </w:pPr>
            <w:r w:rsidRPr="00264D5D">
              <w:rPr>
                <w:sz w:val="22"/>
                <w:szCs w:val="22"/>
              </w:rPr>
              <w:t xml:space="preserve">Имя поставщика (для физического лица). </w:t>
            </w:r>
          </w:p>
          <w:p w14:paraId="79318CAB" w14:textId="77777777" w:rsidR="00AD1F54" w:rsidRPr="00264D5D" w:rsidRDefault="00941227">
            <w:pPr>
              <w:spacing w:before="60" w:after="60"/>
              <w:rPr>
                <w:sz w:val="22"/>
                <w:szCs w:val="22"/>
              </w:rPr>
            </w:pPr>
            <w:r w:rsidRPr="00264D5D">
              <w:rPr>
                <w:sz w:val="22"/>
                <w:szCs w:val="22"/>
              </w:rPr>
              <w:t>Поле не заполняется, если поставщиком является юридическое лицо</w:t>
            </w:r>
          </w:p>
        </w:tc>
      </w:tr>
      <w:tr w:rsidR="00AD1F54" w:rsidRPr="00264D5D" w14:paraId="73AD39C4"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2" w:type="pct"/>
          </w:tcPr>
          <w:p w14:paraId="6432AD2D" w14:textId="77777777" w:rsidR="00AD1F54" w:rsidRPr="00264D5D" w:rsidRDefault="00941227">
            <w:pPr>
              <w:spacing w:before="60" w:after="60"/>
              <w:rPr>
                <w:sz w:val="22"/>
                <w:szCs w:val="22"/>
              </w:rPr>
            </w:pPr>
            <w:r w:rsidRPr="00264D5D">
              <w:rPr>
                <w:sz w:val="22"/>
                <w:szCs w:val="22"/>
              </w:rPr>
              <w:t>Отчество</w:t>
            </w:r>
          </w:p>
        </w:tc>
        <w:tc>
          <w:tcPr>
            <w:tcW w:w="882" w:type="pct"/>
          </w:tcPr>
          <w:p w14:paraId="072A8293" w14:textId="77777777" w:rsidR="00AD1F54" w:rsidRPr="00264D5D" w:rsidRDefault="00941227">
            <w:pPr>
              <w:spacing w:before="60" w:after="60"/>
              <w:rPr>
                <w:sz w:val="22"/>
                <w:szCs w:val="22"/>
              </w:rPr>
            </w:pPr>
            <w:r w:rsidRPr="00264D5D">
              <w:rPr>
                <w:sz w:val="22"/>
                <w:szCs w:val="22"/>
                <w:lang w:val="en-US"/>
              </w:rPr>
              <w:t>Sl_O</w:t>
            </w:r>
          </w:p>
        </w:tc>
        <w:tc>
          <w:tcPr>
            <w:tcW w:w="295" w:type="pct"/>
          </w:tcPr>
          <w:p w14:paraId="04DFF21C" w14:textId="77777777" w:rsidR="00AD1F54" w:rsidRPr="00264D5D" w:rsidRDefault="00941227">
            <w:pPr>
              <w:spacing w:before="60" w:after="60"/>
              <w:jc w:val="center"/>
              <w:rPr>
                <w:sz w:val="22"/>
                <w:szCs w:val="22"/>
              </w:rPr>
            </w:pPr>
            <w:r w:rsidRPr="00264D5D">
              <w:rPr>
                <w:sz w:val="22"/>
                <w:szCs w:val="22"/>
              </w:rPr>
              <w:t>П</w:t>
            </w:r>
          </w:p>
        </w:tc>
        <w:tc>
          <w:tcPr>
            <w:tcW w:w="589" w:type="pct"/>
          </w:tcPr>
          <w:p w14:paraId="1E57D233" w14:textId="77777777" w:rsidR="00AD1F54" w:rsidRPr="00264D5D" w:rsidRDefault="00941227">
            <w:pPr>
              <w:spacing w:before="60" w:after="60"/>
              <w:jc w:val="left"/>
              <w:rPr>
                <w:sz w:val="22"/>
                <w:szCs w:val="22"/>
              </w:rPr>
            </w:pPr>
            <w:r w:rsidRPr="00264D5D">
              <w:rPr>
                <w:sz w:val="22"/>
                <w:szCs w:val="22"/>
              </w:rPr>
              <w:t>Т(1-</w:t>
            </w:r>
            <w:r w:rsidRPr="00264D5D">
              <w:rPr>
                <w:sz w:val="22"/>
                <w:szCs w:val="22"/>
                <w:lang w:val="en-US"/>
              </w:rPr>
              <w:t>60</w:t>
            </w:r>
            <w:r w:rsidRPr="00264D5D">
              <w:rPr>
                <w:sz w:val="22"/>
                <w:szCs w:val="22"/>
              </w:rPr>
              <w:t>)</w:t>
            </w:r>
          </w:p>
        </w:tc>
        <w:tc>
          <w:tcPr>
            <w:tcW w:w="295" w:type="pct"/>
          </w:tcPr>
          <w:p w14:paraId="2A27A095" w14:textId="77777777" w:rsidR="00AD1F54" w:rsidRPr="00264D5D" w:rsidRDefault="00941227">
            <w:pPr>
              <w:spacing w:before="60" w:after="60"/>
              <w:jc w:val="center"/>
              <w:rPr>
                <w:sz w:val="22"/>
                <w:szCs w:val="22"/>
              </w:rPr>
            </w:pPr>
            <w:r w:rsidRPr="00264D5D">
              <w:rPr>
                <w:sz w:val="22"/>
                <w:szCs w:val="22"/>
              </w:rPr>
              <w:t>Н</w:t>
            </w:r>
          </w:p>
        </w:tc>
        <w:tc>
          <w:tcPr>
            <w:tcW w:w="2057" w:type="pct"/>
          </w:tcPr>
          <w:p w14:paraId="4D48347E" w14:textId="77777777" w:rsidR="00AD1F54" w:rsidRPr="00264D5D" w:rsidRDefault="00941227">
            <w:pPr>
              <w:spacing w:before="60" w:after="60"/>
              <w:rPr>
                <w:sz w:val="22"/>
                <w:szCs w:val="22"/>
              </w:rPr>
            </w:pPr>
            <w:r w:rsidRPr="00264D5D">
              <w:rPr>
                <w:sz w:val="22"/>
                <w:szCs w:val="22"/>
              </w:rPr>
              <w:t xml:space="preserve">Отчество поставщика (для физического лица). </w:t>
            </w:r>
          </w:p>
          <w:p w14:paraId="6612A0BC" w14:textId="77777777" w:rsidR="00AD1F54" w:rsidRPr="00264D5D" w:rsidRDefault="00941227">
            <w:pPr>
              <w:spacing w:before="60" w:after="60"/>
              <w:rPr>
                <w:sz w:val="22"/>
                <w:szCs w:val="22"/>
              </w:rPr>
            </w:pPr>
            <w:r w:rsidRPr="00264D5D">
              <w:rPr>
                <w:sz w:val="22"/>
                <w:szCs w:val="22"/>
              </w:rPr>
              <w:t>Поле не заполняется, если поставщиком является юридическое лицо</w:t>
            </w:r>
          </w:p>
        </w:tc>
      </w:tr>
      <w:tr w:rsidR="00AD1F54" w:rsidRPr="00264D5D" w14:paraId="419D2635"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2" w:type="pct"/>
          </w:tcPr>
          <w:p w14:paraId="578DFC81" w14:textId="77777777" w:rsidR="00AD1F54" w:rsidRPr="00264D5D" w:rsidRDefault="00941227">
            <w:pPr>
              <w:spacing w:before="60" w:after="60"/>
              <w:rPr>
                <w:sz w:val="22"/>
                <w:szCs w:val="22"/>
              </w:rPr>
            </w:pPr>
            <w:r w:rsidRPr="00264D5D">
              <w:rPr>
                <w:sz w:val="22"/>
                <w:szCs w:val="22"/>
              </w:rPr>
              <w:t>Признак ИП</w:t>
            </w:r>
          </w:p>
        </w:tc>
        <w:tc>
          <w:tcPr>
            <w:tcW w:w="882" w:type="pct"/>
          </w:tcPr>
          <w:p w14:paraId="7D1CB4B4" w14:textId="77777777" w:rsidR="00AD1F54" w:rsidRPr="00264D5D" w:rsidRDefault="00941227">
            <w:pPr>
              <w:spacing w:before="60" w:after="60"/>
              <w:rPr>
                <w:sz w:val="22"/>
                <w:szCs w:val="22"/>
              </w:rPr>
            </w:pPr>
            <w:r w:rsidRPr="00264D5D">
              <w:rPr>
                <w:sz w:val="22"/>
                <w:szCs w:val="22"/>
                <w:lang w:val="en-US"/>
              </w:rPr>
              <w:t>Sl</w:t>
            </w:r>
            <w:r w:rsidRPr="00264D5D">
              <w:rPr>
                <w:sz w:val="22"/>
                <w:szCs w:val="22"/>
              </w:rPr>
              <w:t>_</w:t>
            </w:r>
            <w:r w:rsidRPr="00264D5D">
              <w:rPr>
                <w:sz w:val="22"/>
                <w:szCs w:val="22"/>
                <w:lang w:val="en-US"/>
              </w:rPr>
              <w:t>IP</w:t>
            </w:r>
          </w:p>
        </w:tc>
        <w:tc>
          <w:tcPr>
            <w:tcW w:w="295" w:type="pct"/>
          </w:tcPr>
          <w:p w14:paraId="514D6768" w14:textId="77777777" w:rsidR="00AD1F54" w:rsidRPr="00264D5D" w:rsidRDefault="00941227">
            <w:pPr>
              <w:spacing w:before="60" w:after="60"/>
              <w:jc w:val="center"/>
              <w:rPr>
                <w:sz w:val="22"/>
                <w:szCs w:val="22"/>
              </w:rPr>
            </w:pPr>
            <w:r w:rsidRPr="00264D5D">
              <w:rPr>
                <w:sz w:val="22"/>
                <w:szCs w:val="22"/>
              </w:rPr>
              <w:t>П</w:t>
            </w:r>
          </w:p>
        </w:tc>
        <w:tc>
          <w:tcPr>
            <w:tcW w:w="589" w:type="pct"/>
          </w:tcPr>
          <w:p w14:paraId="2184F11A" w14:textId="77777777" w:rsidR="00AD1F54" w:rsidRPr="00264D5D" w:rsidRDefault="00941227">
            <w:pPr>
              <w:spacing w:before="60" w:after="60"/>
              <w:jc w:val="left"/>
              <w:rPr>
                <w:sz w:val="22"/>
                <w:szCs w:val="22"/>
              </w:rPr>
            </w:pPr>
            <w:r w:rsidRPr="00264D5D">
              <w:rPr>
                <w:sz w:val="22"/>
                <w:szCs w:val="22"/>
                <w:lang w:val="en-US"/>
              </w:rPr>
              <w:t>BOOLEAN</w:t>
            </w:r>
          </w:p>
        </w:tc>
        <w:tc>
          <w:tcPr>
            <w:tcW w:w="295" w:type="pct"/>
          </w:tcPr>
          <w:p w14:paraId="042230A4" w14:textId="77777777" w:rsidR="00AD1F54" w:rsidRPr="00264D5D" w:rsidRDefault="00941227">
            <w:pPr>
              <w:spacing w:before="60" w:after="60"/>
              <w:jc w:val="center"/>
              <w:rPr>
                <w:sz w:val="22"/>
                <w:szCs w:val="22"/>
              </w:rPr>
            </w:pPr>
            <w:r w:rsidRPr="00264D5D">
              <w:rPr>
                <w:sz w:val="22"/>
                <w:szCs w:val="22"/>
              </w:rPr>
              <w:t>Н</w:t>
            </w:r>
          </w:p>
        </w:tc>
        <w:tc>
          <w:tcPr>
            <w:tcW w:w="2057" w:type="pct"/>
          </w:tcPr>
          <w:p w14:paraId="2EB0ADEA" w14:textId="77777777" w:rsidR="00AD1F54" w:rsidRPr="00264D5D" w:rsidRDefault="00941227">
            <w:pPr>
              <w:spacing w:before="60" w:after="60"/>
              <w:rPr>
                <w:sz w:val="22"/>
                <w:szCs w:val="22"/>
              </w:rPr>
            </w:pPr>
            <w:r w:rsidRPr="00264D5D">
              <w:rPr>
                <w:sz w:val="22"/>
                <w:szCs w:val="22"/>
              </w:rPr>
              <w:t>Признак индивидуального предпринимателя.</w:t>
            </w:r>
          </w:p>
          <w:p w14:paraId="4B0CB589" w14:textId="77777777" w:rsidR="00AD1F54" w:rsidRPr="00264D5D" w:rsidRDefault="00941227">
            <w:pPr>
              <w:spacing w:before="60" w:after="60"/>
              <w:rPr>
                <w:sz w:val="22"/>
                <w:szCs w:val="22"/>
              </w:rPr>
            </w:pPr>
            <w:r w:rsidRPr="00264D5D">
              <w:rPr>
                <w:sz w:val="22"/>
                <w:szCs w:val="22"/>
              </w:rPr>
              <w:t>Поле заполняется только для поставщика, являющегося физическим лицом</w:t>
            </w:r>
          </w:p>
        </w:tc>
      </w:tr>
      <w:tr w:rsidR="00AD1F54" w:rsidRPr="00264D5D" w14:paraId="16729484"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2" w:type="pct"/>
          </w:tcPr>
          <w:p w14:paraId="44CF8623" w14:textId="77777777" w:rsidR="00AD1F54" w:rsidRPr="00264D5D" w:rsidRDefault="00941227">
            <w:pPr>
              <w:spacing w:before="60" w:after="60"/>
              <w:rPr>
                <w:sz w:val="22"/>
                <w:szCs w:val="22"/>
              </w:rPr>
            </w:pPr>
            <w:r w:rsidRPr="00264D5D">
              <w:rPr>
                <w:sz w:val="22"/>
                <w:szCs w:val="22"/>
                <w:lang w:eastAsia="en-US"/>
              </w:rPr>
              <w:t>Признак СМП, СОНО</w:t>
            </w:r>
          </w:p>
        </w:tc>
        <w:tc>
          <w:tcPr>
            <w:tcW w:w="882" w:type="pct"/>
          </w:tcPr>
          <w:p w14:paraId="6859C01C" w14:textId="77777777" w:rsidR="00AD1F54" w:rsidRPr="00264D5D" w:rsidRDefault="00941227">
            <w:pPr>
              <w:spacing w:before="60" w:after="60"/>
              <w:rPr>
                <w:sz w:val="22"/>
                <w:szCs w:val="22"/>
                <w:lang w:val="en-US"/>
              </w:rPr>
            </w:pPr>
            <w:r w:rsidRPr="00264D5D">
              <w:rPr>
                <w:sz w:val="22"/>
                <w:szCs w:val="22"/>
                <w:lang w:val="en-US"/>
              </w:rPr>
              <w:t>UPD_SMP</w:t>
            </w:r>
          </w:p>
        </w:tc>
        <w:tc>
          <w:tcPr>
            <w:tcW w:w="295" w:type="pct"/>
          </w:tcPr>
          <w:p w14:paraId="562BD261" w14:textId="77777777" w:rsidR="00AD1F54" w:rsidRPr="00264D5D" w:rsidRDefault="00941227">
            <w:pPr>
              <w:spacing w:before="60" w:after="60"/>
              <w:jc w:val="center"/>
              <w:rPr>
                <w:sz w:val="22"/>
                <w:szCs w:val="22"/>
              </w:rPr>
            </w:pPr>
            <w:r w:rsidRPr="00264D5D">
              <w:rPr>
                <w:sz w:val="22"/>
                <w:szCs w:val="22"/>
                <w:lang w:eastAsia="en-US"/>
              </w:rPr>
              <w:t>П</w:t>
            </w:r>
          </w:p>
        </w:tc>
        <w:tc>
          <w:tcPr>
            <w:tcW w:w="589" w:type="pct"/>
          </w:tcPr>
          <w:p w14:paraId="6A32B5C4" w14:textId="77777777" w:rsidR="00AD1F54" w:rsidRPr="00264D5D" w:rsidRDefault="00941227">
            <w:pPr>
              <w:spacing w:before="60" w:after="60"/>
              <w:jc w:val="left"/>
              <w:rPr>
                <w:sz w:val="22"/>
                <w:szCs w:val="22"/>
                <w:lang w:val="en-US"/>
              </w:rPr>
            </w:pPr>
            <w:r w:rsidRPr="00264D5D">
              <w:rPr>
                <w:sz w:val="22"/>
                <w:szCs w:val="22"/>
                <w:lang w:val="en-US" w:eastAsia="en-US"/>
              </w:rPr>
              <w:t>BOOLEAN</w:t>
            </w:r>
          </w:p>
        </w:tc>
        <w:tc>
          <w:tcPr>
            <w:tcW w:w="295" w:type="pct"/>
          </w:tcPr>
          <w:p w14:paraId="36741AF0" w14:textId="77777777" w:rsidR="00AD1F54" w:rsidRPr="00264D5D" w:rsidRDefault="00941227">
            <w:pPr>
              <w:spacing w:before="60" w:after="60"/>
              <w:jc w:val="center"/>
              <w:rPr>
                <w:sz w:val="22"/>
                <w:szCs w:val="22"/>
              </w:rPr>
            </w:pPr>
            <w:r w:rsidRPr="00264D5D">
              <w:rPr>
                <w:sz w:val="22"/>
                <w:szCs w:val="22"/>
                <w:lang w:eastAsia="en-US"/>
              </w:rPr>
              <w:t>Н</w:t>
            </w:r>
          </w:p>
        </w:tc>
        <w:tc>
          <w:tcPr>
            <w:tcW w:w="2057" w:type="pct"/>
          </w:tcPr>
          <w:p w14:paraId="1F3A30E5" w14:textId="77777777" w:rsidR="00AD1F54" w:rsidRPr="00264D5D" w:rsidRDefault="00941227">
            <w:pPr>
              <w:spacing w:before="60" w:after="60"/>
              <w:rPr>
                <w:sz w:val="22"/>
                <w:szCs w:val="22"/>
              </w:rPr>
            </w:pPr>
            <w:r w:rsidRPr="00264D5D">
              <w:rPr>
                <w:sz w:val="22"/>
                <w:szCs w:val="22"/>
                <w:lang w:eastAsia="en-US"/>
              </w:rPr>
              <w:t>Признак субъекта малого предпринимательства (СМП) или социально-ориентированная не</w:t>
            </w:r>
            <w:r w:rsidR="00676E27" w:rsidRPr="00264D5D">
              <w:rPr>
                <w:sz w:val="22"/>
                <w:szCs w:val="22"/>
                <w:lang w:eastAsia="en-US"/>
              </w:rPr>
              <w:t>коммерческая организация (СОНО)</w:t>
            </w:r>
          </w:p>
        </w:tc>
      </w:tr>
      <w:tr w:rsidR="00AD1F54" w:rsidRPr="00264D5D" w14:paraId="5BC3C36A"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2" w:type="pct"/>
          </w:tcPr>
          <w:p w14:paraId="44B83ED4" w14:textId="77777777" w:rsidR="00AD1F54" w:rsidRPr="00264D5D" w:rsidRDefault="00941227">
            <w:pPr>
              <w:spacing w:before="60" w:after="60"/>
              <w:rPr>
                <w:sz w:val="22"/>
                <w:szCs w:val="22"/>
              </w:rPr>
            </w:pPr>
            <w:r w:rsidRPr="00264D5D">
              <w:rPr>
                <w:sz w:val="22"/>
                <w:szCs w:val="22"/>
              </w:rPr>
              <w:t xml:space="preserve">ИНН </w:t>
            </w:r>
          </w:p>
        </w:tc>
        <w:tc>
          <w:tcPr>
            <w:tcW w:w="882" w:type="pct"/>
          </w:tcPr>
          <w:p w14:paraId="6B4F31AA" w14:textId="77777777" w:rsidR="00AD1F54" w:rsidRPr="00264D5D" w:rsidRDefault="00941227">
            <w:pPr>
              <w:spacing w:before="60" w:after="60"/>
              <w:rPr>
                <w:sz w:val="22"/>
                <w:szCs w:val="22"/>
              </w:rPr>
            </w:pPr>
            <w:r w:rsidRPr="00264D5D">
              <w:rPr>
                <w:sz w:val="22"/>
                <w:szCs w:val="22"/>
                <w:lang w:val="en-US"/>
              </w:rPr>
              <w:t>Sl</w:t>
            </w:r>
            <w:r w:rsidRPr="00264D5D">
              <w:rPr>
                <w:sz w:val="22"/>
                <w:szCs w:val="22"/>
              </w:rPr>
              <w:t>_</w:t>
            </w:r>
            <w:r w:rsidRPr="00264D5D">
              <w:rPr>
                <w:sz w:val="22"/>
                <w:szCs w:val="22"/>
                <w:lang w:val="en-US"/>
              </w:rPr>
              <w:t>INN</w:t>
            </w:r>
          </w:p>
        </w:tc>
        <w:tc>
          <w:tcPr>
            <w:tcW w:w="295" w:type="pct"/>
          </w:tcPr>
          <w:p w14:paraId="5831411D" w14:textId="77777777" w:rsidR="00AD1F54" w:rsidRPr="00264D5D" w:rsidRDefault="00941227">
            <w:pPr>
              <w:spacing w:before="60" w:after="60"/>
              <w:jc w:val="center"/>
              <w:rPr>
                <w:sz w:val="22"/>
                <w:szCs w:val="22"/>
              </w:rPr>
            </w:pPr>
            <w:r w:rsidRPr="00264D5D">
              <w:rPr>
                <w:sz w:val="22"/>
                <w:szCs w:val="22"/>
              </w:rPr>
              <w:t>П</w:t>
            </w:r>
          </w:p>
        </w:tc>
        <w:tc>
          <w:tcPr>
            <w:tcW w:w="589" w:type="pct"/>
          </w:tcPr>
          <w:p w14:paraId="749BE733" w14:textId="77777777" w:rsidR="00AD1F54" w:rsidRPr="00264D5D" w:rsidRDefault="00941227">
            <w:pPr>
              <w:spacing w:before="60" w:after="60"/>
              <w:jc w:val="left"/>
              <w:rPr>
                <w:sz w:val="22"/>
                <w:szCs w:val="22"/>
              </w:rPr>
            </w:pPr>
            <w:r w:rsidRPr="00264D5D">
              <w:rPr>
                <w:sz w:val="22"/>
                <w:szCs w:val="22"/>
              </w:rPr>
              <w:t>Т(10) или Т(12)</w:t>
            </w:r>
          </w:p>
        </w:tc>
        <w:tc>
          <w:tcPr>
            <w:tcW w:w="295" w:type="pct"/>
          </w:tcPr>
          <w:p w14:paraId="1C017E6C" w14:textId="77777777" w:rsidR="00AD1F54" w:rsidRPr="00264D5D" w:rsidRDefault="00941227">
            <w:pPr>
              <w:spacing w:before="60" w:after="60"/>
              <w:jc w:val="center"/>
              <w:rPr>
                <w:sz w:val="22"/>
                <w:szCs w:val="22"/>
              </w:rPr>
            </w:pPr>
            <w:r w:rsidRPr="00264D5D">
              <w:rPr>
                <w:sz w:val="22"/>
                <w:szCs w:val="22"/>
              </w:rPr>
              <w:t>Н</w:t>
            </w:r>
          </w:p>
        </w:tc>
        <w:tc>
          <w:tcPr>
            <w:tcW w:w="2057" w:type="pct"/>
          </w:tcPr>
          <w:p w14:paraId="005BC87C" w14:textId="77777777" w:rsidR="00AD1F54" w:rsidRPr="00264D5D" w:rsidRDefault="00941227">
            <w:pPr>
              <w:spacing w:before="60" w:after="60"/>
              <w:rPr>
                <w:sz w:val="22"/>
                <w:szCs w:val="22"/>
              </w:rPr>
            </w:pPr>
            <w:r w:rsidRPr="00264D5D">
              <w:rPr>
                <w:sz w:val="22"/>
                <w:szCs w:val="22"/>
              </w:rPr>
              <w:t xml:space="preserve">ИНН поставщика. </w:t>
            </w:r>
          </w:p>
          <w:p w14:paraId="5C26E8F4" w14:textId="77777777" w:rsidR="00AD1F54" w:rsidRPr="00264D5D" w:rsidRDefault="00941227">
            <w:pPr>
              <w:spacing w:before="60" w:after="60"/>
              <w:rPr>
                <w:sz w:val="22"/>
                <w:szCs w:val="22"/>
              </w:rPr>
            </w:pPr>
            <w:r w:rsidRPr="00264D5D">
              <w:rPr>
                <w:sz w:val="22"/>
                <w:szCs w:val="22"/>
              </w:rPr>
              <w:t>Для физического лица и ИП ИНН указывается размерностью 12 символов; для юридического лица – 10 символов</w:t>
            </w:r>
          </w:p>
        </w:tc>
      </w:tr>
      <w:tr w:rsidR="00AD1F54" w:rsidRPr="00264D5D" w14:paraId="39559E59"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2" w:type="pct"/>
          </w:tcPr>
          <w:p w14:paraId="002C9B85" w14:textId="77777777" w:rsidR="00AD1F54" w:rsidRPr="00264D5D" w:rsidRDefault="00941227">
            <w:pPr>
              <w:spacing w:before="60" w:after="60"/>
              <w:rPr>
                <w:sz w:val="22"/>
                <w:szCs w:val="22"/>
              </w:rPr>
            </w:pPr>
            <w:r w:rsidRPr="00264D5D">
              <w:rPr>
                <w:sz w:val="22"/>
                <w:szCs w:val="22"/>
              </w:rPr>
              <w:t>Аналог ИНН</w:t>
            </w:r>
          </w:p>
        </w:tc>
        <w:tc>
          <w:tcPr>
            <w:tcW w:w="882" w:type="pct"/>
          </w:tcPr>
          <w:p w14:paraId="4A56E0E8" w14:textId="77777777" w:rsidR="00AD1F54" w:rsidRPr="00264D5D" w:rsidRDefault="00941227">
            <w:pPr>
              <w:spacing w:before="60" w:after="60"/>
              <w:rPr>
                <w:sz w:val="22"/>
                <w:szCs w:val="22"/>
                <w:lang w:val="en-US"/>
              </w:rPr>
            </w:pPr>
            <w:r w:rsidRPr="00264D5D">
              <w:rPr>
                <w:sz w:val="22"/>
                <w:szCs w:val="22"/>
                <w:lang w:val="en-US"/>
              </w:rPr>
              <w:t>Sl</w:t>
            </w:r>
            <w:r w:rsidRPr="00264D5D">
              <w:rPr>
                <w:sz w:val="22"/>
                <w:szCs w:val="22"/>
              </w:rPr>
              <w:t>_</w:t>
            </w:r>
            <w:r w:rsidRPr="00264D5D">
              <w:rPr>
                <w:sz w:val="22"/>
                <w:szCs w:val="22"/>
                <w:lang w:val="en-US"/>
              </w:rPr>
              <w:t>INN_RB</w:t>
            </w:r>
          </w:p>
        </w:tc>
        <w:tc>
          <w:tcPr>
            <w:tcW w:w="295" w:type="pct"/>
          </w:tcPr>
          <w:p w14:paraId="01FF08D7" w14:textId="77777777" w:rsidR="00AD1F54" w:rsidRPr="00264D5D" w:rsidRDefault="00941227">
            <w:pPr>
              <w:spacing w:before="60" w:after="60"/>
              <w:jc w:val="center"/>
              <w:rPr>
                <w:sz w:val="22"/>
                <w:szCs w:val="22"/>
              </w:rPr>
            </w:pPr>
            <w:r w:rsidRPr="00264D5D">
              <w:rPr>
                <w:sz w:val="22"/>
                <w:szCs w:val="22"/>
              </w:rPr>
              <w:t>П</w:t>
            </w:r>
          </w:p>
        </w:tc>
        <w:tc>
          <w:tcPr>
            <w:tcW w:w="589" w:type="pct"/>
          </w:tcPr>
          <w:p w14:paraId="3002D8D4" w14:textId="77777777" w:rsidR="00AD1F54" w:rsidRPr="00264D5D" w:rsidRDefault="00941227">
            <w:pPr>
              <w:spacing w:before="60" w:after="60"/>
              <w:jc w:val="left"/>
              <w:rPr>
                <w:sz w:val="22"/>
                <w:szCs w:val="22"/>
              </w:rPr>
            </w:pPr>
            <w:r w:rsidRPr="00264D5D">
              <w:rPr>
                <w:sz w:val="22"/>
                <w:szCs w:val="22"/>
              </w:rPr>
              <w:t>Т(1-50)</w:t>
            </w:r>
          </w:p>
        </w:tc>
        <w:tc>
          <w:tcPr>
            <w:tcW w:w="295" w:type="pct"/>
          </w:tcPr>
          <w:p w14:paraId="784503BF" w14:textId="77777777" w:rsidR="00AD1F54" w:rsidRPr="00264D5D" w:rsidRDefault="00941227">
            <w:pPr>
              <w:spacing w:before="60" w:after="60"/>
              <w:jc w:val="center"/>
              <w:rPr>
                <w:sz w:val="22"/>
                <w:szCs w:val="22"/>
              </w:rPr>
            </w:pPr>
            <w:r w:rsidRPr="00264D5D">
              <w:rPr>
                <w:sz w:val="22"/>
                <w:szCs w:val="22"/>
              </w:rPr>
              <w:t>Н</w:t>
            </w:r>
          </w:p>
        </w:tc>
        <w:tc>
          <w:tcPr>
            <w:tcW w:w="2057" w:type="pct"/>
          </w:tcPr>
          <w:p w14:paraId="0AADB937" w14:textId="77777777" w:rsidR="00AD1F54" w:rsidRPr="00264D5D" w:rsidRDefault="00941227">
            <w:pPr>
              <w:spacing w:before="60" w:after="60"/>
              <w:rPr>
                <w:sz w:val="22"/>
                <w:szCs w:val="22"/>
              </w:rPr>
            </w:pPr>
            <w:r w:rsidRPr="00264D5D">
              <w:rPr>
                <w:sz w:val="22"/>
                <w:szCs w:val="22"/>
              </w:rPr>
              <w:t>Аналог ИНН.</w:t>
            </w:r>
          </w:p>
          <w:p w14:paraId="45A72C27" w14:textId="77777777" w:rsidR="00AD1F54" w:rsidRPr="00264D5D" w:rsidRDefault="00941227">
            <w:pPr>
              <w:spacing w:before="60" w:after="60"/>
              <w:rPr>
                <w:sz w:val="22"/>
                <w:szCs w:val="22"/>
              </w:rPr>
            </w:pPr>
            <w:r w:rsidRPr="00264D5D">
              <w:rPr>
                <w:sz w:val="22"/>
                <w:szCs w:val="22"/>
              </w:rPr>
              <w:t>Заполняется для иностранных поставщиков</w:t>
            </w:r>
          </w:p>
        </w:tc>
      </w:tr>
      <w:tr w:rsidR="00AD1F54" w:rsidRPr="00264D5D" w14:paraId="03C6F317"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2" w:type="pct"/>
          </w:tcPr>
          <w:p w14:paraId="24A88F6E" w14:textId="77777777" w:rsidR="00AD1F54" w:rsidRPr="00264D5D" w:rsidRDefault="00941227">
            <w:pPr>
              <w:spacing w:before="60" w:after="60"/>
              <w:rPr>
                <w:sz w:val="22"/>
                <w:szCs w:val="22"/>
              </w:rPr>
            </w:pPr>
            <w:r w:rsidRPr="00264D5D">
              <w:rPr>
                <w:sz w:val="22"/>
                <w:szCs w:val="22"/>
              </w:rPr>
              <w:t xml:space="preserve">КПП </w:t>
            </w:r>
          </w:p>
        </w:tc>
        <w:tc>
          <w:tcPr>
            <w:tcW w:w="882" w:type="pct"/>
          </w:tcPr>
          <w:p w14:paraId="7193334B" w14:textId="77777777" w:rsidR="00AD1F54" w:rsidRPr="00264D5D" w:rsidRDefault="00941227">
            <w:pPr>
              <w:spacing w:before="60" w:after="60"/>
              <w:rPr>
                <w:sz w:val="22"/>
                <w:szCs w:val="22"/>
              </w:rPr>
            </w:pPr>
            <w:r w:rsidRPr="00264D5D">
              <w:rPr>
                <w:sz w:val="22"/>
                <w:szCs w:val="22"/>
                <w:lang w:val="en-US"/>
              </w:rPr>
              <w:t>Sl</w:t>
            </w:r>
            <w:r w:rsidRPr="00264D5D">
              <w:rPr>
                <w:sz w:val="22"/>
                <w:szCs w:val="22"/>
              </w:rPr>
              <w:t>_</w:t>
            </w:r>
            <w:r w:rsidRPr="00264D5D">
              <w:rPr>
                <w:sz w:val="22"/>
                <w:szCs w:val="22"/>
                <w:lang w:val="en-US"/>
              </w:rPr>
              <w:t>KPP</w:t>
            </w:r>
          </w:p>
        </w:tc>
        <w:tc>
          <w:tcPr>
            <w:tcW w:w="295" w:type="pct"/>
          </w:tcPr>
          <w:p w14:paraId="3723B743" w14:textId="77777777" w:rsidR="00AD1F54" w:rsidRPr="00264D5D" w:rsidRDefault="00941227">
            <w:pPr>
              <w:spacing w:before="60" w:after="60"/>
              <w:jc w:val="center"/>
              <w:rPr>
                <w:sz w:val="22"/>
                <w:szCs w:val="22"/>
              </w:rPr>
            </w:pPr>
            <w:r w:rsidRPr="00264D5D">
              <w:rPr>
                <w:sz w:val="22"/>
                <w:szCs w:val="22"/>
              </w:rPr>
              <w:t>П</w:t>
            </w:r>
          </w:p>
        </w:tc>
        <w:tc>
          <w:tcPr>
            <w:tcW w:w="589" w:type="pct"/>
          </w:tcPr>
          <w:p w14:paraId="703A5848" w14:textId="77777777" w:rsidR="00AD1F54" w:rsidRPr="00264D5D" w:rsidRDefault="00941227">
            <w:pPr>
              <w:spacing w:before="60" w:after="60"/>
              <w:jc w:val="left"/>
              <w:rPr>
                <w:sz w:val="22"/>
                <w:szCs w:val="22"/>
              </w:rPr>
            </w:pPr>
            <w:r w:rsidRPr="00264D5D">
              <w:rPr>
                <w:sz w:val="22"/>
                <w:szCs w:val="22"/>
              </w:rPr>
              <w:t>Т(9)</w:t>
            </w:r>
          </w:p>
        </w:tc>
        <w:tc>
          <w:tcPr>
            <w:tcW w:w="295" w:type="pct"/>
          </w:tcPr>
          <w:p w14:paraId="0959C549" w14:textId="77777777" w:rsidR="00AD1F54" w:rsidRPr="00264D5D" w:rsidRDefault="00941227">
            <w:pPr>
              <w:spacing w:before="60" w:after="60"/>
              <w:jc w:val="center"/>
              <w:rPr>
                <w:sz w:val="22"/>
                <w:szCs w:val="22"/>
              </w:rPr>
            </w:pPr>
            <w:r w:rsidRPr="00264D5D">
              <w:rPr>
                <w:sz w:val="22"/>
                <w:szCs w:val="22"/>
              </w:rPr>
              <w:t>Н</w:t>
            </w:r>
          </w:p>
        </w:tc>
        <w:tc>
          <w:tcPr>
            <w:tcW w:w="2057" w:type="pct"/>
          </w:tcPr>
          <w:p w14:paraId="53F23033" w14:textId="77777777" w:rsidR="00AD1F54" w:rsidRPr="00264D5D" w:rsidRDefault="00941227">
            <w:pPr>
              <w:spacing w:before="60" w:after="60"/>
              <w:rPr>
                <w:sz w:val="22"/>
                <w:szCs w:val="22"/>
              </w:rPr>
            </w:pPr>
            <w:r w:rsidRPr="00264D5D">
              <w:rPr>
                <w:sz w:val="22"/>
                <w:szCs w:val="22"/>
              </w:rPr>
              <w:t xml:space="preserve">КПП поставщика. </w:t>
            </w:r>
          </w:p>
          <w:p w14:paraId="0D2FF497" w14:textId="77777777" w:rsidR="00AD1F54" w:rsidRPr="00264D5D" w:rsidRDefault="00941227">
            <w:pPr>
              <w:spacing w:before="60" w:after="60"/>
              <w:rPr>
                <w:sz w:val="22"/>
                <w:szCs w:val="22"/>
              </w:rPr>
            </w:pPr>
            <w:r w:rsidRPr="00264D5D">
              <w:rPr>
                <w:sz w:val="22"/>
                <w:szCs w:val="22"/>
              </w:rPr>
              <w:t>Поле обязательно для заполнения, если поле «ИНН» имеет размерность 10 символов</w:t>
            </w:r>
          </w:p>
        </w:tc>
      </w:tr>
      <w:tr w:rsidR="00AD1F54" w:rsidRPr="00264D5D" w14:paraId="48EBFD37"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2" w:type="pct"/>
          </w:tcPr>
          <w:p w14:paraId="02686F9C" w14:textId="77777777" w:rsidR="00AD1F54" w:rsidRPr="00264D5D" w:rsidRDefault="00941227">
            <w:pPr>
              <w:spacing w:before="60" w:after="60"/>
              <w:rPr>
                <w:sz w:val="22"/>
                <w:szCs w:val="22"/>
              </w:rPr>
            </w:pPr>
            <w:r w:rsidRPr="00264D5D">
              <w:rPr>
                <w:sz w:val="22"/>
                <w:szCs w:val="22"/>
              </w:rPr>
              <w:t>Адрес</w:t>
            </w:r>
          </w:p>
        </w:tc>
        <w:tc>
          <w:tcPr>
            <w:tcW w:w="882" w:type="pct"/>
          </w:tcPr>
          <w:p w14:paraId="7B8E5443" w14:textId="77777777" w:rsidR="00AD1F54" w:rsidRPr="00264D5D" w:rsidRDefault="00941227">
            <w:pPr>
              <w:spacing w:before="60" w:after="60"/>
              <w:rPr>
                <w:sz w:val="22"/>
                <w:szCs w:val="22"/>
              </w:rPr>
            </w:pPr>
            <w:r w:rsidRPr="00264D5D">
              <w:rPr>
                <w:sz w:val="22"/>
                <w:szCs w:val="22"/>
                <w:lang w:val="en-US"/>
              </w:rPr>
              <w:t>Sl</w:t>
            </w:r>
            <w:r w:rsidRPr="00264D5D">
              <w:rPr>
                <w:sz w:val="22"/>
                <w:szCs w:val="22"/>
              </w:rPr>
              <w:t>_</w:t>
            </w:r>
            <w:r w:rsidRPr="00264D5D">
              <w:rPr>
                <w:sz w:val="22"/>
                <w:szCs w:val="22"/>
                <w:lang w:val="en-US"/>
              </w:rPr>
              <w:t>Addr</w:t>
            </w:r>
          </w:p>
        </w:tc>
        <w:tc>
          <w:tcPr>
            <w:tcW w:w="295" w:type="pct"/>
          </w:tcPr>
          <w:p w14:paraId="1E438F12" w14:textId="77777777" w:rsidR="00AD1F54" w:rsidRPr="00264D5D" w:rsidRDefault="00941227">
            <w:pPr>
              <w:spacing w:before="60" w:after="60"/>
              <w:jc w:val="center"/>
              <w:rPr>
                <w:sz w:val="22"/>
                <w:szCs w:val="22"/>
              </w:rPr>
            </w:pPr>
            <w:r w:rsidRPr="00264D5D">
              <w:rPr>
                <w:sz w:val="22"/>
                <w:szCs w:val="22"/>
              </w:rPr>
              <w:t>П</w:t>
            </w:r>
          </w:p>
        </w:tc>
        <w:tc>
          <w:tcPr>
            <w:tcW w:w="589" w:type="pct"/>
          </w:tcPr>
          <w:p w14:paraId="20D47258" w14:textId="77777777" w:rsidR="00AD1F54" w:rsidRPr="00264D5D" w:rsidRDefault="00941227">
            <w:pPr>
              <w:spacing w:before="60" w:after="60"/>
              <w:jc w:val="left"/>
              <w:rPr>
                <w:sz w:val="22"/>
                <w:szCs w:val="22"/>
              </w:rPr>
            </w:pPr>
            <w:r w:rsidRPr="00264D5D">
              <w:rPr>
                <w:sz w:val="22"/>
                <w:szCs w:val="22"/>
              </w:rPr>
              <w:t>Т(1-2000)</w:t>
            </w:r>
          </w:p>
        </w:tc>
        <w:tc>
          <w:tcPr>
            <w:tcW w:w="295" w:type="pct"/>
          </w:tcPr>
          <w:p w14:paraId="1133546A" w14:textId="77777777" w:rsidR="00AD1F54" w:rsidRPr="00264D5D" w:rsidRDefault="00941227">
            <w:pPr>
              <w:spacing w:before="60" w:after="60"/>
              <w:jc w:val="center"/>
              <w:rPr>
                <w:sz w:val="22"/>
                <w:szCs w:val="22"/>
              </w:rPr>
            </w:pPr>
            <w:r w:rsidRPr="00264D5D">
              <w:rPr>
                <w:sz w:val="22"/>
                <w:szCs w:val="22"/>
              </w:rPr>
              <w:t>Н</w:t>
            </w:r>
          </w:p>
        </w:tc>
        <w:tc>
          <w:tcPr>
            <w:tcW w:w="2057" w:type="pct"/>
          </w:tcPr>
          <w:p w14:paraId="793A340E" w14:textId="77777777" w:rsidR="00AD1F54" w:rsidRPr="00264D5D" w:rsidRDefault="00941227">
            <w:pPr>
              <w:spacing w:before="60" w:after="60"/>
              <w:rPr>
                <w:sz w:val="22"/>
                <w:szCs w:val="22"/>
              </w:rPr>
            </w:pPr>
            <w:r w:rsidRPr="00264D5D">
              <w:rPr>
                <w:sz w:val="22"/>
                <w:szCs w:val="22"/>
              </w:rPr>
              <w:t>Адрес поставщика</w:t>
            </w:r>
          </w:p>
        </w:tc>
      </w:tr>
      <w:tr w:rsidR="00AD1F54" w:rsidRPr="00264D5D" w14:paraId="4F1363D3"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5000" w:type="pct"/>
            <w:gridSpan w:val="6"/>
          </w:tcPr>
          <w:p w14:paraId="205DF1D6" w14:textId="77777777" w:rsidR="00AD1F54" w:rsidRPr="00264D5D" w:rsidRDefault="00941227">
            <w:pPr>
              <w:spacing w:before="60" w:after="60"/>
              <w:rPr>
                <w:sz w:val="22"/>
                <w:szCs w:val="22"/>
              </w:rPr>
            </w:pPr>
            <w:r w:rsidRPr="00264D5D">
              <w:rPr>
                <w:b/>
                <w:sz w:val="22"/>
                <w:szCs w:val="22"/>
              </w:rPr>
              <w:t>Банковские реквизиты поставщика</w:t>
            </w:r>
          </w:p>
        </w:tc>
      </w:tr>
      <w:tr w:rsidR="00AD1F54" w:rsidRPr="00264D5D" w14:paraId="4848F0EE"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2" w:type="pct"/>
          </w:tcPr>
          <w:p w14:paraId="35E981A0" w14:textId="77777777" w:rsidR="00AD1F54" w:rsidRPr="00264D5D" w:rsidRDefault="00941227">
            <w:pPr>
              <w:spacing w:before="60" w:after="60"/>
              <w:rPr>
                <w:sz w:val="22"/>
                <w:szCs w:val="22"/>
              </w:rPr>
            </w:pPr>
            <w:r w:rsidRPr="00264D5D">
              <w:rPr>
                <w:sz w:val="22"/>
                <w:szCs w:val="22"/>
              </w:rPr>
              <w:t>Номер лицевого счета ФК</w:t>
            </w:r>
          </w:p>
        </w:tc>
        <w:tc>
          <w:tcPr>
            <w:tcW w:w="882" w:type="pct"/>
          </w:tcPr>
          <w:p w14:paraId="5A1EA726" w14:textId="77777777" w:rsidR="00AD1F54" w:rsidRPr="00264D5D" w:rsidRDefault="00941227">
            <w:pPr>
              <w:spacing w:before="60" w:after="60"/>
              <w:rPr>
                <w:sz w:val="22"/>
                <w:szCs w:val="22"/>
              </w:rPr>
            </w:pPr>
            <w:r w:rsidRPr="00264D5D">
              <w:rPr>
                <w:sz w:val="22"/>
                <w:szCs w:val="22"/>
              </w:rPr>
              <w:t>NmbrAccnt</w:t>
            </w:r>
          </w:p>
        </w:tc>
        <w:tc>
          <w:tcPr>
            <w:tcW w:w="295" w:type="pct"/>
          </w:tcPr>
          <w:p w14:paraId="64FF3658" w14:textId="77777777" w:rsidR="00AD1F54" w:rsidRPr="00264D5D" w:rsidRDefault="00941227">
            <w:pPr>
              <w:spacing w:before="60" w:after="60"/>
              <w:jc w:val="center"/>
              <w:rPr>
                <w:sz w:val="22"/>
                <w:szCs w:val="22"/>
              </w:rPr>
            </w:pPr>
            <w:r w:rsidRPr="00264D5D">
              <w:rPr>
                <w:sz w:val="22"/>
                <w:szCs w:val="22"/>
              </w:rPr>
              <w:t>П</w:t>
            </w:r>
          </w:p>
        </w:tc>
        <w:tc>
          <w:tcPr>
            <w:tcW w:w="589" w:type="pct"/>
          </w:tcPr>
          <w:p w14:paraId="2DD4AA22" w14:textId="77777777" w:rsidR="00AD1F54" w:rsidRPr="00264D5D" w:rsidRDefault="00941227">
            <w:pPr>
              <w:spacing w:before="60" w:after="60"/>
              <w:jc w:val="left"/>
              <w:rPr>
                <w:sz w:val="22"/>
                <w:szCs w:val="22"/>
              </w:rPr>
            </w:pPr>
            <w:r w:rsidRPr="00264D5D">
              <w:rPr>
                <w:sz w:val="22"/>
                <w:szCs w:val="22"/>
              </w:rPr>
              <w:t>Т(1-100)</w:t>
            </w:r>
          </w:p>
        </w:tc>
        <w:tc>
          <w:tcPr>
            <w:tcW w:w="295" w:type="pct"/>
          </w:tcPr>
          <w:p w14:paraId="528F9DDC" w14:textId="77777777" w:rsidR="00AD1F54" w:rsidRPr="00264D5D" w:rsidRDefault="00941227">
            <w:pPr>
              <w:spacing w:before="60" w:after="60"/>
              <w:jc w:val="center"/>
              <w:rPr>
                <w:sz w:val="22"/>
                <w:szCs w:val="22"/>
              </w:rPr>
            </w:pPr>
            <w:r w:rsidRPr="00264D5D">
              <w:rPr>
                <w:sz w:val="22"/>
                <w:szCs w:val="22"/>
              </w:rPr>
              <w:t>Н</w:t>
            </w:r>
          </w:p>
        </w:tc>
        <w:tc>
          <w:tcPr>
            <w:tcW w:w="2057" w:type="pct"/>
          </w:tcPr>
          <w:p w14:paraId="6AA7F402" w14:textId="77777777" w:rsidR="00AD1F54" w:rsidRPr="00264D5D" w:rsidRDefault="00941227">
            <w:pPr>
              <w:spacing w:before="60" w:after="60"/>
              <w:rPr>
                <w:sz w:val="22"/>
                <w:szCs w:val="22"/>
              </w:rPr>
            </w:pPr>
            <w:r w:rsidRPr="00264D5D">
              <w:rPr>
                <w:sz w:val="22"/>
                <w:szCs w:val="22"/>
              </w:rPr>
              <w:t>Номер лицевого счета контрагента/взыскателя, открытый в ТОФК (финансовом органе субъекта РФ, финансовом органе муниципального образования, органе управления государственным внебюджетным фондом)</w:t>
            </w:r>
          </w:p>
        </w:tc>
      </w:tr>
      <w:tr w:rsidR="00AD1F54" w:rsidRPr="00264D5D" w14:paraId="4D8BCCD2"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2" w:type="pct"/>
          </w:tcPr>
          <w:p w14:paraId="314FAC22" w14:textId="77777777" w:rsidR="00AD1F54" w:rsidRPr="00264D5D" w:rsidRDefault="00941227">
            <w:pPr>
              <w:spacing w:before="60" w:after="60"/>
              <w:rPr>
                <w:sz w:val="22"/>
                <w:szCs w:val="22"/>
              </w:rPr>
            </w:pPr>
            <w:r w:rsidRPr="00264D5D">
              <w:rPr>
                <w:sz w:val="22"/>
                <w:szCs w:val="22"/>
              </w:rPr>
              <w:t>Номер банковского счета</w:t>
            </w:r>
          </w:p>
        </w:tc>
        <w:tc>
          <w:tcPr>
            <w:tcW w:w="882" w:type="pct"/>
          </w:tcPr>
          <w:p w14:paraId="588B6DBD" w14:textId="77777777" w:rsidR="00AD1F54" w:rsidRPr="00264D5D" w:rsidRDefault="00941227">
            <w:pPr>
              <w:spacing w:before="60" w:after="60"/>
              <w:rPr>
                <w:sz w:val="22"/>
                <w:szCs w:val="22"/>
                <w:lang w:val="en-US"/>
              </w:rPr>
            </w:pPr>
            <w:r w:rsidRPr="00264D5D">
              <w:rPr>
                <w:sz w:val="22"/>
                <w:szCs w:val="22"/>
              </w:rPr>
              <w:t>NmbrBnkAccnt</w:t>
            </w:r>
          </w:p>
        </w:tc>
        <w:tc>
          <w:tcPr>
            <w:tcW w:w="295" w:type="pct"/>
          </w:tcPr>
          <w:p w14:paraId="77FDE03F" w14:textId="77777777" w:rsidR="00AD1F54" w:rsidRPr="00264D5D" w:rsidRDefault="00941227">
            <w:pPr>
              <w:spacing w:before="60" w:after="60"/>
              <w:jc w:val="center"/>
              <w:rPr>
                <w:sz w:val="22"/>
                <w:szCs w:val="22"/>
              </w:rPr>
            </w:pPr>
            <w:r w:rsidRPr="00264D5D">
              <w:rPr>
                <w:sz w:val="22"/>
                <w:szCs w:val="22"/>
              </w:rPr>
              <w:t>П</w:t>
            </w:r>
          </w:p>
        </w:tc>
        <w:tc>
          <w:tcPr>
            <w:tcW w:w="589" w:type="pct"/>
          </w:tcPr>
          <w:p w14:paraId="6190C300" w14:textId="77777777" w:rsidR="00AD1F54" w:rsidRPr="00264D5D" w:rsidRDefault="00941227">
            <w:pPr>
              <w:spacing w:before="60" w:after="60"/>
              <w:jc w:val="left"/>
              <w:rPr>
                <w:sz w:val="22"/>
                <w:szCs w:val="22"/>
              </w:rPr>
            </w:pPr>
            <w:r w:rsidRPr="00264D5D">
              <w:rPr>
                <w:sz w:val="22"/>
                <w:szCs w:val="22"/>
              </w:rPr>
              <w:t>Т(20)</w:t>
            </w:r>
          </w:p>
        </w:tc>
        <w:tc>
          <w:tcPr>
            <w:tcW w:w="295" w:type="pct"/>
          </w:tcPr>
          <w:p w14:paraId="0995C96B" w14:textId="77777777" w:rsidR="00AD1F54" w:rsidRPr="00264D5D" w:rsidRDefault="00941227">
            <w:pPr>
              <w:spacing w:before="60" w:after="60"/>
              <w:jc w:val="center"/>
              <w:rPr>
                <w:sz w:val="22"/>
                <w:szCs w:val="22"/>
              </w:rPr>
            </w:pPr>
            <w:r w:rsidRPr="00264D5D">
              <w:rPr>
                <w:sz w:val="22"/>
                <w:szCs w:val="22"/>
              </w:rPr>
              <w:t>Н</w:t>
            </w:r>
          </w:p>
        </w:tc>
        <w:tc>
          <w:tcPr>
            <w:tcW w:w="2057" w:type="pct"/>
          </w:tcPr>
          <w:p w14:paraId="525CCF5C" w14:textId="77777777" w:rsidR="00AD1F54" w:rsidRPr="00264D5D" w:rsidRDefault="00941227">
            <w:pPr>
              <w:spacing w:before="60" w:after="60"/>
              <w:rPr>
                <w:sz w:val="22"/>
                <w:szCs w:val="22"/>
              </w:rPr>
            </w:pPr>
            <w:r w:rsidRPr="00264D5D">
              <w:rPr>
                <w:sz w:val="22"/>
                <w:szCs w:val="22"/>
              </w:rPr>
              <w:t>Номер банковского счета контрагента (получателя субсидии, взыскателя)</w:t>
            </w:r>
          </w:p>
        </w:tc>
      </w:tr>
      <w:tr w:rsidR="00AD1F54" w:rsidRPr="00264D5D" w14:paraId="48505197"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2" w:type="pct"/>
          </w:tcPr>
          <w:p w14:paraId="073D6A4F" w14:textId="77777777" w:rsidR="00AD1F54" w:rsidRPr="00264D5D" w:rsidRDefault="00941227">
            <w:pPr>
              <w:spacing w:before="60" w:after="60"/>
              <w:rPr>
                <w:sz w:val="22"/>
                <w:szCs w:val="22"/>
              </w:rPr>
            </w:pPr>
            <w:r w:rsidRPr="00264D5D">
              <w:rPr>
                <w:sz w:val="22"/>
                <w:szCs w:val="22"/>
              </w:rPr>
              <w:lastRenderedPageBreak/>
              <w:t>Наименование банка (иной организации), в котором (-ой) открыт счет контрагенту</w:t>
            </w:r>
          </w:p>
        </w:tc>
        <w:tc>
          <w:tcPr>
            <w:tcW w:w="882" w:type="pct"/>
          </w:tcPr>
          <w:p w14:paraId="5A242041" w14:textId="77777777" w:rsidR="00AD1F54" w:rsidRPr="00264D5D" w:rsidRDefault="00941227">
            <w:pPr>
              <w:spacing w:before="60" w:after="60"/>
              <w:rPr>
                <w:sz w:val="22"/>
                <w:szCs w:val="22"/>
                <w:lang w:val="en-US"/>
              </w:rPr>
            </w:pPr>
            <w:r w:rsidRPr="00264D5D">
              <w:rPr>
                <w:sz w:val="22"/>
                <w:szCs w:val="22"/>
              </w:rPr>
              <w:t>NmBnk</w:t>
            </w:r>
          </w:p>
        </w:tc>
        <w:tc>
          <w:tcPr>
            <w:tcW w:w="295" w:type="pct"/>
          </w:tcPr>
          <w:p w14:paraId="36F6495C" w14:textId="77777777" w:rsidR="00AD1F54" w:rsidRPr="00264D5D" w:rsidRDefault="00941227">
            <w:pPr>
              <w:spacing w:before="60" w:after="60"/>
              <w:jc w:val="center"/>
              <w:rPr>
                <w:sz w:val="22"/>
                <w:szCs w:val="22"/>
              </w:rPr>
            </w:pPr>
            <w:r w:rsidRPr="00264D5D">
              <w:rPr>
                <w:sz w:val="22"/>
                <w:szCs w:val="22"/>
              </w:rPr>
              <w:t>П</w:t>
            </w:r>
          </w:p>
        </w:tc>
        <w:tc>
          <w:tcPr>
            <w:tcW w:w="589" w:type="pct"/>
          </w:tcPr>
          <w:p w14:paraId="21692FE8" w14:textId="77777777" w:rsidR="00AD1F54" w:rsidRPr="00264D5D" w:rsidRDefault="00941227">
            <w:pPr>
              <w:spacing w:before="60" w:after="60"/>
              <w:jc w:val="left"/>
              <w:rPr>
                <w:sz w:val="22"/>
                <w:szCs w:val="22"/>
              </w:rPr>
            </w:pPr>
            <w:r w:rsidRPr="00264D5D">
              <w:rPr>
                <w:sz w:val="22"/>
                <w:szCs w:val="22"/>
              </w:rPr>
              <w:t>Т(1-160)</w:t>
            </w:r>
          </w:p>
        </w:tc>
        <w:tc>
          <w:tcPr>
            <w:tcW w:w="295" w:type="pct"/>
          </w:tcPr>
          <w:p w14:paraId="5B5F96D2" w14:textId="77777777" w:rsidR="00AD1F54" w:rsidRPr="00264D5D" w:rsidRDefault="00941227">
            <w:pPr>
              <w:spacing w:before="60" w:after="60"/>
              <w:jc w:val="center"/>
              <w:rPr>
                <w:sz w:val="22"/>
                <w:szCs w:val="22"/>
              </w:rPr>
            </w:pPr>
            <w:r w:rsidRPr="00264D5D">
              <w:rPr>
                <w:sz w:val="22"/>
                <w:szCs w:val="22"/>
              </w:rPr>
              <w:t>Н</w:t>
            </w:r>
          </w:p>
        </w:tc>
        <w:tc>
          <w:tcPr>
            <w:tcW w:w="2057" w:type="pct"/>
          </w:tcPr>
          <w:p w14:paraId="7D29D153" w14:textId="77777777" w:rsidR="00AD1F54" w:rsidRPr="00264D5D" w:rsidRDefault="00941227">
            <w:pPr>
              <w:spacing w:before="60" w:after="60"/>
              <w:rPr>
                <w:sz w:val="22"/>
                <w:szCs w:val="22"/>
              </w:rPr>
            </w:pPr>
            <w:r w:rsidRPr="00264D5D">
              <w:rPr>
                <w:sz w:val="22"/>
                <w:szCs w:val="22"/>
              </w:rPr>
              <w:t>Наименование банка (иной организации), в котором (-ой) открыт счет контрагенту (получателю субсидии, взыскателю)</w:t>
            </w:r>
          </w:p>
        </w:tc>
      </w:tr>
      <w:tr w:rsidR="00AD1F54" w:rsidRPr="00264D5D" w14:paraId="43635E41"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2" w:type="pct"/>
          </w:tcPr>
          <w:p w14:paraId="4C56F22F" w14:textId="77777777" w:rsidR="00AD1F54" w:rsidRPr="00264D5D" w:rsidRDefault="00941227">
            <w:pPr>
              <w:spacing w:before="60" w:after="60"/>
              <w:rPr>
                <w:sz w:val="22"/>
                <w:szCs w:val="22"/>
              </w:rPr>
            </w:pPr>
            <w:r w:rsidRPr="00264D5D">
              <w:rPr>
                <w:sz w:val="22"/>
                <w:szCs w:val="22"/>
              </w:rPr>
              <w:t xml:space="preserve">БИК банка </w:t>
            </w:r>
          </w:p>
        </w:tc>
        <w:tc>
          <w:tcPr>
            <w:tcW w:w="882" w:type="pct"/>
          </w:tcPr>
          <w:p w14:paraId="3E95D73B" w14:textId="77777777" w:rsidR="00AD1F54" w:rsidRPr="00264D5D" w:rsidRDefault="00941227">
            <w:pPr>
              <w:spacing w:before="60" w:after="60"/>
              <w:rPr>
                <w:sz w:val="22"/>
                <w:szCs w:val="22"/>
                <w:lang w:val="en-US"/>
              </w:rPr>
            </w:pPr>
            <w:r w:rsidRPr="00264D5D">
              <w:rPr>
                <w:sz w:val="22"/>
                <w:szCs w:val="22"/>
              </w:rPr>
              <w:t>BIKBnk</w:t>
            </w:r>
          </w:p>
        </w:tc>
        <w:tc>
          <w:tcPr>
            <w:tcW w:w="295" w:type="pct"/>
          </w:tcPr>
          <w:p w14:paraId="156ECA54" w14:textId="77777777" w:rsidR="00AD1F54" w:rsidRPr="00264D5D" w:rsidRDefault="00941227">
            <w:pPr>
              <w:spacing w:before="60" w:after="60"/>
              <w:jc w:val="center"/>
              <w:rPr>
                <w:sz w:val="22"/>
                <w:szCs w:val="22"/>
              </w:rPr>
            </w:pPr>
            <w:r w:rsidRPr="00264D5D">
              <w:rPr>
                <w:sz w:val="22"/>
                <w:szCs w:val="22"/>
              </w:rPr>
              <w:t>П</w:t>
            </w:r>
          </w:p>
        </w:tc>
        <w:tc>
          <w:tcPr>
            <w:tcW w:w="589" w:type="pct"/>
          </w:tcPr>
          <w:p w14:paraId="5654AE77" w14:textId="77777777" w:rsidR="00AD1F54" w:rsidRPr="00264D5D" w:rsidRDefault="00941227">
            <w:pPr>
              <w:spacing w:before="60" w:after="60"/>
              <w:jc w:val="left"/>
              <w:rPr>
                <w:sz w:val="22"/>
                <w:szCs w:val="22"/>
              </w:rPr>
            </w:pPr>
            <w:r w:rsidRPr="00264D5D">
              <w:rPr>
                <w:sz w:val="22"/>
                <w:szCs w:val="22"/>
              </w:rPr>
              <w:t>Т(9)</w:t>
            </w:r>
          </w:p>
        </w:tc>
        <w:tc>
          <w:tcPr>
            <w:tcW w:w="295" w:type="pct"/>
          </w:tcPr>
          <w:p w14:paraId="09B5DCAE" w14:textId="77777777" w:rsidR="00AD1F54" w:rsidRPr="00264D5D" w:rsidRDefault="00941227">
            <w:pPr>
              <w:spacing w:before="60" w:after="60"/>
              <w:jc w:val="center"/>
              <w:rPr>
                <w:sz w:val="22"/>
                <w:szCs w:val="22"/>
              </w:rPr>
            </w:pPr>
            <w:r w:rsidRPr="00264D5D">
              <w:rPr>
                <w:sz w:val="22"/>
                <w:szCs w:val="22"/>
              </w:rPr>
              <w:t>Н</w:t>
            </w:r>
          </w:p>
        </w:tc>
        <w:tc>
          <w:tcPr>
            <w:tcW w:w="2057" w:type="pct"/>
          </w:tcPr>
          <w:p w14:paraId="20DFC3B3" w14:textId="77777777" w:rsidR="00AD1F54" w:rsidRPr="00264D5D" w:rsidRDefault="00941227">
            <w:pPr>
              <w:spacing w:before="60" w:after="60"/>
              <w:rPr>
                <w:sz w:val="22"/>
                <w:szCs w:val="22"/>
              </w:rPr>
            </w:pPr>
            <w:r w:rsidRPr="00264D5D">
              <w:rPr>
                <w:sz w:val="22"/>
                <w:szCs w:val="22"/>
              </w:rPr>
              <w:t>БИК банка контрагента (получателя субсидии, взыскателя)</w:t>
            </w:r>
          </w:p>
        </w:tc>
      </w:tr>
      <w:tr w:rsidR="00AD1F54" w:rsidRPr="00264D5D" w14:paraId="630E6938"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2" w:type="pct"/>
          </w:tcPr>
          <w:p w14:paraId="5623AE3E" w14:textId="77777777" w:rsidR="00AD1F54" w:rsidRPr="00264D5D" w:rsidRDefault="00941227">
            <w:pPr>
              <w:spacing w:before="60" w:after="60"/>
              <w:rPr>
                <w:sz w:val="22"/>
                <w:szCs w:val="22"/>
              </w:rPr>
            </w:pPr>
            <w:r w:rsidRPr="00264D5D">
              <w:rPr>
                <w:sz w:val="22"/>
                <w:szCs w:val="22"/>
              </w:rPr>
              <w:t>Корреспондентский счет банка</w:t>
            </w:r>
          </w:p>
        </w:tc>
        <w:tc>
          <w:tcPr>
            <w:tcW w:w="882" w:type="pct"/>
          </w:tcPr>
          <w:p w14:paraId="31E05711" w14:textId="77777777" w:rsidR="00AD1F54" w:rsidRPr="00264D5D" w:rsidRDefault="00941227">
            <w:pPr>
              <w:spacing w:before="60" w:after="60"/>
              <w:rPr>
                <w:sz w:val="22"/>
                <w:szCs w:val="22"/>
                <w:lang w:val="en-US"/>
              </w:rPr>
            </w:pPr>
            <w:r w:rsidRPr="00264D5D">
              <w:rPr>
                <w:sz w:val="22"/>
                <w:szCs w:val="22"/>
              </w:rPr>
              <w:t>CrrspndntAccnt</w:t>
            </w:r>
          </w:p>
        </w:tc>
        <w:tc>
          <w:tcPr>
            <w:tcW w:w="295" w:type="pct"/>
          </w:tcPr>
          <w:p w14:paraId="0678F927" w14:textId="77777777" w:rsidR="00AD1F54" w:rsidRPr="00264D5D" w:rsidRDefault="00941227">
            <w:pPr>
              <w:spacing w:before="60" w:after="60"/>
              <w:jc w:val="center"/>
              <w:rPr>
                <w:sz w:val="22"/>
                <w:szCs w:val="22"/>
              </w:rPr>
            </w:pPr>
            <w:r w:rsidRPr="00264D5D">
              <w:rPr>
                <w:sz w:val="22"/>
                <w:szCs w:val="22"/>
              </w:rPr>
              <w:t>П</w:t>
            </w:r>
          </w:p>
        </w:tc>
        <w:tc>
          <w:tcPr>
            <w:tcW w:w="589" w:type="pct"/>
          </w:tcPr>
          <w:p w14:paraId="69FAF5B4" w14:textId="77777777" w:rsidR="00AD1F54" w:rsidRPr="00264D5D" w:rsidRDefault="00941227">
            <w:pPr>
              <w:spacing w:before="60" w:after="60"/>
              <w:jc w:val="left"/>
              <w:rPr>
                <w:sz w:val="22"/>
                <w:szCs w:val="22"/>
              </w:rPr>
            </w:pPr>
            <w:r w:rsidRPr="00264D5D">
              <w:rPr>
                <w:sz w:val="22"/>
                <w:szCs w:val="22"/>
              </w:rPr>
              <w:t>Т(20)</w:t>
            </w:r>
          </w:p>
        </w:tc>
        <w:tc>
          <w:tcPr>
            <w:tcW w:w="295" w:type="pct"/>
          </w:tcPr>
          <w:p w14:paraId="5BB0DE7E" w14:textId="77777777" w:rsidR="00AD1F54" w:rsidRPr="00264D5D" w:rsidRDefault="00941227">
            <w:pPr>
              <w:spacing w:before="60" w:after="60"/>
              <w:jc w:val="center"/>
              <w:rPr>
                <w:sz w:val="22"/>
                <w:szCs w:val="22"/>
              </w:rPr>
            </w:pPr>
            <w:r w:rsidRPr="00264D5D">
              <w:rPr>
                <w:sz w:val="22"/>
                <w:szCs w:val="22"/>
              </w:rPr>
              <w:t>Н</w:t>
            </w:r>
          </w:p>
        </w:tc>
        <w:tc>
          <w:tcPr>
            <w:tcW w:w="2057" w:type="pct"/>
          </w:tcPr>
          <w:p w14:paraId="2B547B64" w14:textId="77777777" w:rsidR="00AD1F54" w:rsidRPr="00264D5D" w:rsidRDefault="00941227">
            <w:pPr>
              <w:spacing w:before="60" w:after="60"/>
              <w:rPr>
                <w:sz w:val="22"/>
                <w:szCs w:val="22"/>
              </w:rPr>
            </w:pPr>
            <w:r w:rsidRPr="00264D5D">
              <w:rPr>
                <w:sz w:val="22"/>
                <w:szCs w:val="22"/>
              </w:rPr>
              <w:t>Корреспондентский счет банка контрагента (получателя субсидии, взыскателя)</w:t>
            </w:r>
          </w:p>
        </w:tc>
      </w:tr>
      <w:tr w:rsidR="00AD1F54" w:rsidRPr="00264D5D" w14:paraId="5A08916B"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5000" w:type="pct"/>
            <w:gridSpan w:val="6"/>
          </w:tcPr>
          <w:p w14:paraId="3AE76488" w14:textId="77777777" w:rsidR="00AD1F54" w:rsidRPr="00264D5D" w:rsidRDefault="00941227">
            <w:pPr>
              <w:spacing w:before="60" w:after="60"/>
              <w:rPr>
                <w:sz w:val="22"/>
                <w:szCs w:val="22"/>
              </w:rPr>
            </w:pPr>
            <w:r w:rsidRPr="00264D5D">
              <w:rPr>
                <w:b/>
                <w:sz w:val="22"/>
                <w:szCs w:val="22"/>
              </w:rPr>
              <w:t>Сведения о товарах, работах, услугах</w:t>
            </w:r>
          </w:p>
        </w:tc>
      </w:tr>
      <w:tr w:rsidR="00AD1F54" w:rsidRPr="00264D5D" w14:paraId="2653D564"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2" w:type="pct"/>
          </w:tcPr>
          <w:p w14:paraId="15BF91D0" w14:textId="77777777" w:rsidR="00AD1F54" w:rsidRPr="00264D5D" w:rsidRDefault="00941227">
            <w:pPr>
              <w:spacing w:before="60" w:after="60"/>
              <w:rPr>
                <w:sz w:val="22"/>
                <w:szCs w:val="22"/>
              </w:rPr>
            </w:pPr>
            <w:r w:rsidRPr="00264D5D">
              <w:rPr>
                <w:rFonts w:hint="eastAsia"/>
                <w:sz w:val="22"/>
                <w:szCs w:val="22"/>
              </w:rPr>
              <w:t>Производить</w:t>
            </w:r>
            <w:r w:rsidRPr="00264D5D">
              <w:rPr>
                <w:sz w:val="22"/>
                <w:szCs w:val="22"/>
              </w:rPr>
              <w:t xml:space="preserve"> </w:t>
            </w:r>
            <w:r w:rsidRPr="00264D5D">
              <w:rPr>
                <w:rFonts w:hint="eastAsia"/>
                <w:sz w:val="22"/>
                <w:szCs w:val="22"/>
              </w:rPr>
              <w:t>расчет</w:t>
            </w:r>
            <w:r w:rsidRPr="00264D5D">
              <w:rPr>
                <w:sz w:val="22"/>
                <w:szCs w:val="22"/>
              </w:rPr>
              <w:t xml:space="preserve"> </w:t>
            </w:r>
            <w:r w:rsidRPr="00264D5D">
              <w:rPr>
                <w:rFonts w:hint="eastAsia"/>
                <w:sz w:val="22"/>
                <w:szCs w:val="22"/>
              </w:rPr>
              <w:t>НДС</w:t>
            </w:r>
            <w:r w:rsidRPr="00264D5D">
              <w:rPr>
                <w:sz w:val="22"/>
                <w:szCs w:val="22"/>
              </w:rPr>
              <w:t xml:space="preserve"> </w:t>
            </w:r>
            <w:r w:rsidRPr="00264D5D">
              <w:rPr>
                <w:rFonts w:hint="eastAsia"/>
                <w:sz w:val="22"/>
                <w:szCs w:val="22"/>
              </w:rPr>
              <w:t>в</w:t>
            </w:r>
            <w:r w:rsidRPr="00264D5D">
              <w:rPr>
                <w:sz w:val="22"/>
                <w:szCs w:val="22"/>
              </w:rPr>
              <w:t xml:space="preserve"> </w:t>
            </w:r>
            <w:r w:rsidRPr="00264D5D">
              <w:rPr>
                <w:rFonts w:hint="eastAsia"/>
                <w:sz w:val="22"/>
                <w:szCs w:val="22"/>
              </w:rPr>
              <w:t>итоговых</w:t>
            </w:r>
            <w:r w:rsidRPr="00264D5D">
              <w:rPr>
                <w:sz w:val="22"/>
                <w:szCs w:val="22"/>
              </w:rPr>
              <w:t xml:space="preserve"> </w:t>
            </w:r>
            <w:r w:rsidRPr="00264D5D">
              <w:rPr>
                <w:rFonts w:hint="eastAsia"/>
                <w:sz w:val="22"/>
                <w:szCs w:val="22"/>
              </w:rPr>
              <w:t>строках</w:t>
            </w:r>
          </w:p>
        </w:tc>
        <w:tc>
          <w:tcPr>
            <w:tcW w:w="882" w:type="pct"/>
          </w:tcPr>
          <w:p w14:paraId="7149872A" w14:textId="77777777" w:rsidR="00AD1F54" w:rsidRPr="00264D5D" w:rsidRDefault="00941227">
            <w:pPr>
              <w:spacing w:before="60" w:after="60"/>
              <w:rPr>
                <w:sz w:val="22"/>
                <w:szCs w:val="22"/>
                <w:lang w:val="en-US"/>
              </w:rPr>
            </w:pPr>
            <w:r w:rsidRPr="00264D5D">
              <w:rPr>
                <w:sz w:val="22"/>
                <w:szCs w:val="22"/>
              </w:rPr>
              <w:t>CalcVATItogLine</w:t>
            </w:r>
          </w:p>
        </w:tc>
        <w:tc>
          <w:tcPr>
            <w:tcW w:w="295" w:type="pct"/>
          </w:tcPr>
          <w:p w14:paraId="2CD355B6" w14:textId="77777777" w:rsidR="00AD1F54" w:rsidRPr="00264D5D" w:rsidRDefault="00941227">
            <w:pPr>
              <w:spacing w:before="60" w:after="60"/>
              <w:jc w:val="center"/>
              <w:rPr>
                <w:sz w:val="22"/>
                <w:szCs w:val="22"/>
              </w:rPr>
            </w:pPr>
            <w:r w:rsidRPr="00264D5D">
              <w:rPr>
                <w:sz w:val="22"/>
                <w:szCs w:val="22"/>
              </w:rPr>
              <w:t>П</w:t>
            </w:r>
          </w:p>
        </w:tc>
        <w:tc>
          <w:tcPr>
            <w:tcW w:w="589" w:type="pct"/>
          </w:tcPr>
          <w:p w14:paraId="428BFFE8" w14:textId="77777777" w:rsidR="00AD1F54" w:rsidRPr="00264D5D" w:rsidRDefault="00941227">
            <w:pPr>
              <w:spacing w:before="60" w:after="60"/>
              <w:jc w:val="left"/>
              <w:rPr>
                <w:sz w:val="22"/>
                <w:szCs w:val="22"/>
              </w:rPr>
            </w:pPr>
            <w:r w:rsidRPr="00264D5D">
              <w:rPr>
                <w:sz w:val="22"/>
                <w:szCs w:val="22"/>
                <w:lang w:val="en-US" w:eastAsia="en-US"/>
              </w:rPr>
              <w:t>BOOLEAN</w:t>
            </w:r>
          </w:p>
        </w:tc>
        <w:tc>
          <w:tcPr>
            <w:tcW w:w="295" w:type="pct"/>
          </w:tcPr>
          <w:p w14:paraId="0FE54A7D" w14:textId="77777777" w:rsidR="00AD1F54" w:rsidRPr="00264D5D" w:rsidRDefault="00941227">
            <w:pPr>
              <w:spacing w:before="60" w:after="60"/>
              <w:jc w:val="center"/>
              <w:rPr>
                <w:sz w:val="22"/>
                <w:szCs w:val="22"/>
              </w:rPr>
            </w:pPr>
            <w:r w:rsidRPr="00264D5D">
              <w:rPr>
                <w:sz w:val="22"/>
                <w:szCs w:val="22"/>
                <w:lang w:eastAsia="en-US"/>
              </w:rPr>
              <w:t>Н</w:t>
            </w:r>
          </w:p>
        </w:tc>
        <w:tc>
          <w:tcPr>
            <w:tcW w:w="2057" w:type="pct"/>
          </w:tcPr>
          <w:p w14:paraId="6A6763C4" w14:textId="77777777" w:rsidR="00AD1F54" w:rsidRPr="00264D5D" w:rsidRDefault="00941227">
            <w:pPr>
              <w:spacing w:before="60" w:after="60"/>
              <w:rPr>
                <w:sz w:val="22"/>
                <w:szCs w:val="22"/>
              </w:rPr>
            </w:pPr>
            <w:r w:rsidRPr="00264D5D">
              <w:rPr>
                <w:sz w:val="22"/>
                <w:szCs w:val="22"/>
              </w:rPr>
              <w:t xml:space="preserve">Признак формирования ДО на основании Акта по стройке. </w:t>
            </w:r>
          </w:p>
          <w:p w14:paraId="1B6B458D" w14:textId="77777777" w:rsidR="00AD1F54" w:rsidRPr="00264D5D" w:rsidRDefault="00941227">
            <w:pPr>
              <w:spacing w:before="60" w:after="60"/>
              <w:rPr>
                <w:sz w:val="22"/>
                <w:szCs w:val="22"/>
              </w:rPr>
            </w:pPr>
            <w:r w:rsidRPr="00264D5D">
              <w:rPr>
                <w:sz w:val="22"/>
                <w:szCs w:val="22"/>
              </w:rPr>
              <w:t>В случае установки данного признака не заполняются следующие реквизиты:</w:t>
            </w:r>
          </w:p>
          <w:p w14:paraId="7D57E28C" w14:textId="77777777" w:rsidR="00AD1F54" w:rsidRPr="00264D5D" w:rsidRDefault="00941227" w:rsidP="00E7460C">
            <w:pPr>
              <w:pStyle w:val="afffffffb"/>
              <w:numPr>
                <w:ilvl w:val="0"/>
                <w:numId w:val="101"/>
              </w:numPr>
              <w:spacing w:before="60" w:after="60" w:line="288" w:lineRule="auto"/>
              <w:ind w:left="284" w:hanging="227"/>
              <w:rPr>
                <w:spacing w:val="0"/>
                <w:sz w:val="22"/>
                <w:szCs w:val="22"/>
                <w:lang w:val="ru-RU" w:eastAsia="ru-RU"/>
              </w:rPr>
            </w:pPr>
            <w:r w:rsidRPr="00264D5D">
              <w:rPr>
                <w:rFonts w:hint="eastAsia"/>
                <w:spacing w:val="0"/>
                <w:sz w:val="22"/>
                <w:szCs w:val="22"/>
                <w:lang w:val="ru-RU" w:eastAsia="ru-RU"/>
              </w:rPr>
              <w:t>Цена</w:t>
            </w:r>
            <w:r w:rsidRPr="00264D5D">
              <w:rPr>
                <w:spacing w:val="0"/>
                <w:sz w:val="22"/>
                <w:szCs w:val="22"/>
                <w:lang w:val="ru-RU" w:eastAsia="ru-RU"/>
              </w:rPr>
              <w:t xml:space="preserve"> </w:t>
            </w:r>
            <w:r w:rsidRPr="00264D5D">
              <w:rPr>
                <w:rFonts w:hint="eastAsia"/>
                <w:spacing w:val="0"/>
                <w:sz w:val="22"/>
                <w:szCs w:val="22"/>
                <w:lang w:val="ru-RU" w:eastAsia="ru-RU"/>
              </w:rPr>
              <w:t>за</w:t>
            </w:r>
            <w:r w:rsidRPr="00264D5D">
              <w:rPr>
                <w:spacing w:val="0"/>
                <w:sz w:val="22"/>
                <w:szCs w:val="22"/>
                <w:lang w:val="ru-RU" w:eastAsia="ru-RU"/>
              </w:rPr>
              <w:t xml:space="preserve"> </w:t>
            </w:r>
            <w:r w:rsidRPr="00264D5D">
              <w:rPr>
                <w:rFonts w:hint="eastAsia"/>
                <w:spacing w:val="0"/>
                <w:sz w:val="22"/>
                <w:szCs w:val="22"/>
                <w:lang w:val="ru-RU" w:eastAsia="ru-RU"/>
              </w:rPr>
              <w:t>единицу</w:t>
            </w:r>
            <w:r w:rsidRPr="00264D5D">
              <w:rPr>
                <w:spacing w:val="0"/>
                <w:sz w:val="22"/>
                <w:szCs w:val="22"/>
                <w:lang w:val="ru-RU" w:eastAsia="ru-RU"/>
              </w:rPr>
              <w:t xml:space="preserve"> (</w:t>
            </w:r>
            <w:r w:rsidRPr="00264D5D">
              <w:rPr>
                <w:sz w:val="22"/>
                <w:szCs w:val="22"/>
              </w:rPr>
              <w:t>Nt</w:t>
            </w:r>
            <w:r w:rsidRPr="00264D5D">
              <w:rPr>
                <w:sz w:val="22"/>
                <w:szCs w:val="22"/>
                <w:lang w:val="ru-RU"/>
              </w:rPr>
              <w:t>_</w:t>
            </w:r>
            <w:r w:rsidRPr="00264D5D">
              <w:rPr>
                <w:sz w:val="22"/>
                <w:szCs w:val="22"/>
              </w:rPr>
              <w:t>Prc</w:t>
            </w:r>
            <w:r w:rsidRPr="00264D5D">
              <w:rPr>
                <w:sz w:val="22"/>
                <w:szCs w:val="22"/>
                <w:lang w:val="ru-RU"/>
              </w:rPr>
              <w:t>)</w:t>
            </w:r>
            <w:r w:rsidRPr="00264D5D">
              <w:rPr>
                <w:spacing w:val="0"/>
                <w:sz w:val="22"/>
                <w:szCs w:val="22"/>
                <w:lang w:val="ru-RU" w:eastAsia="ru-RU"/>
              </w:rPr>
              <w:t>;</w:t>
            </w:r>
          </w:p>
          <w:p w14:paraId="2F9B1B22" w14:textId="77777777" w:rsidR="00AD1F54" w:rsidRPr="00264D5D" w:rsidRDefault="00941227" w:rsidP="00E7460C">
            <w:pPr>
              <w:pStyle w:val="afffffffb"/>
              <w:numPr>
                <w:ilvl w:val="0"/>
                <w:numId w:val="101"/>
              </w:numPr>
              <w:spacing w:before="60" w:after="60" w:line="288" w:lineRule="auto"/>
              <w:ind w:left="284" w:hanging="227"/>
              <w:rPr>
                <w:spacing w:val="0"/>
                <w:sz w:val="22"/>
                <w:szCs w:val="22"/>
                <w:lang w:val="ru-RU" w:eastAsia="ru-RU"/>
              </w:rPr>
            </w:pPr>
            <w:r w:rsidRPr="00264D5D">
              <w:rPr>
                <w:rFonts w:hint="eastAsia"/>
                <w:spacing w:val="0"/>
                <w:sz w:val="22"/>
                <w:szCs w:val="22"/>
                <w:lang w:val="ru-RU" w:eastAsia="ru-RU"/>
              </w:rPr>
              <w:t>Сумма</w:t>
            </w:r>
            <w:r w:rsidRPr="00264D5D">
              <w:rPr>
                <w:spacing w:val="0"/>
                <w:sz w:val="22"/>
                <w:szCs w:val="22"/>
                <w:lang w:val="ru-RU" w:eastAsia="ru-RU"/>
              </w:rPr>
              <w:t xml:space="preserve"> (</w:t>
            </w:r>
            <w:r w:rsidRPr="00264D5D">
              <w:rPr>
                <w:sz w:val="22"/>
                <w:szCs w:val="22"/>
              </w:rPr>
              <w:t>Amnt</w:t>
            </w:r>
            <w:r w:rsidRPr="00264D5D">
              <w:rPr>
                <w:sz w:val="22"/>
                <w:szCs w:val="22"/>
                <w:lang w:val="ru-RU"/>
              </w:rPr>
              <w:t>)</w:t>
            </w:r>
            <w:r w:rsidRPr="00264D5D">
              <w:rPr>
                <w:spacing w:val="0"/>
                <w:sz w:val="22"/>
                <w:szCs w:val="22"/>
                <w:lang w:val="ru-RU" w:eastAsia="ru-RU"/>
              </w:rPr>
              <w:t>;</w:t>
            </w:r>
          </w:p>
          <w:p w14:paraId="6C6CAE02" w14:textId="77777777" w:rsidR="00AD1F54" w:rsidRPr="00264D5D" w:rsidRDefault="00941227" w:rsidP="00E7460C">
            <w:pPr>
              <w:pStyle w:val="afffffffb"/>
              <w:numPr>
                <w:ilvl w:val="0"/>
                <w:numId w:val="101"/>
              </w:numPr>
              <w:spacing w:before="60" w:after="60" w:line="288" w:lineRule="auto"/>
              <w:ind w:left="284" w:hanging="227"/>
              <w:rPr>
                <w:spacing w:val="0"/>
                <w:sz w:val="22"/>
                <w:szCs w:val="22"/>
                <w:lang w:val="ru-RU" w:eastAsia="ru-RU"/>
              </w:rPr>
            </w:pPr>
            <w:r w:rsidRPr="00264D5D">
              <w:rPr>
                <w:rFonts w:hint="eastAsia"/>
                <w:spacing w:val="0"/>
                <w:sz w:val="22"/>
                <w:szCs w:val="22"/>
                <w:lang w:val="ru-RU" w:eastAsia="ru-RU"/>
              </w:rPr>
              <w:t>Ставка</w:t>
            </w:r>
            <w:r w:rsidRPr="00264D5D">
              <w:rPr>
                <w:spacing w:val="0"/>
                <w:sz w:val="22"/>
                <w:szCs w:val="22"/>
                <w:lang w:val="ru-RU" w:eastAsia="ru-RU"/>
              </w:rPr>
              <w:t xml:space="preserve"> </w:t>
            </w:r>
            <w:r w:rsidRPr="00264D5D">
              <w:rPr>
                <w:rFonts w:hint="eastAsia"/>
                <w:spacing w:val="0"/>
                <w:sz w:val="22"/>
                <w:szCs w:val="22"/>
                <w:lang w:val="ru-RU" w:eastAsia="ru-RU"/>
              </w:rPr>
              <w:t>НДС</w:t>
            </w:r>
            <w:r w:rsidRPr="00264D5D">
              <w:rPr>
                <w:spacing w:val="0"/>
                <w:sz w:val="22"/>
                <w:szCs w:val="22"/>
                <w:lang w:val="ru-RU" w:eastAsia="ru-RU"/>
              </w:rPr>
              <w:t xml:space="preserve"> (</w:t>
            </w:r>
            <w:r w:rsidRPr="00264D5D">
              <w:rPr>
                <w:sz w:val="22"/>
                <w:szCs w:val="22"/>
              </w:rPr>
              <w:t>VATRt</w:t>
            </w:r>
            <w:r w:rsidRPr="00264D5D">
              <w:rPr>
                <w:sz w:val="22"/>
                <w:szCs w:val="22"/>
                <w:lang w:val="ru-RU"/>
              </w:rPr>
              <w:t>)</w:t>
            </w:r>
            <w:r w:rsidRPr="00264D5D">
              <w:rPr>
                <w:spacing w:val="0"/>
                <w:sz w:val="22"/>
                <w:szCs w:val="22"/>
                <w:lang w:val="ru-RU" w:eastAsia="ru-RU"/>
              </w:rPr>
              <w:t>;</w:t>
            </w:r>
          </w:p>
          <w:p w14:paraId="205C6795" w14:textId="77777777" w:rsidR="00AD1F54" w:rsidRPr="00264D5D" w:rsidRDefault="00941227" w:rsidP="00E7460C">
            <w:pPr>
              <w:pStyle w:val="afffffffb"/>
              <w:numPr>
                <w:ilvl w:val="0"/>
                <w:numId w:val="101"/>
              </w:numPr>
              <w:spacing w:before="60" w:after="60" w:line="288" w:lineRule="auto"/>
              <w:ind w:left="284" w:hanging="227"/>
              <w:rPr>
                <w:sz w:val="22"/>
                <w:szCs w:val="22"/>
              </w:rPr>
            </w:pPr>
            <w:r w:rsidRPr="00264D5D">
              <w:rPr>
                <w:rFonts w:hint="eastAsia"/>
                <w:spacing w:val="0"/>
                <w:sz w:val="22"/>
                <w:szCs w:val="22"/>
                <w:lang w:val="ru-RU" w:eastAsia="ru-RU"/>
              </w:rPr>
              <w:t>Размер</w:t>
            </w:r>
            <w:r w:rsidRPr="00264D5D">
              <w:rPr>
                <w:sz w:val="22"/>
                <w:szCs w:val="22"/>
              </w:rPr>
              <w:t xml:space="preserve"> </w:t>
            </w:r>
            <w:r w:rsidRPr="00264D5D">
              <w:rPr>
                <w:rFonts w:hint="eastAsia"/>
                <w:sz w:val="22"/>
                <w:szCs w:val="22"/>
              </w:rPr>
              <w:t>НДС</w:t>
            </w:r>
            <w:r w:rsidRPr="00264D5D">
              <w:rPr>
                <w:sz w:val="22"/>
                <w:szCs w:val="22"/>
              </w:rPr>
              <w:t xml:space="preserve"> (VAT).</w:t>
            </w:r>
          </w:p>
          <w:p w14:paraId="13FE857D" w14:textId="77777777" w:rsidR="00AD1F54" w:rsidRPr="00264D5D" w:rsidRDefault="00941227">
            <w:pPr>
              <w:pStyle w:val="afffffffb"/>
              <w:spacing w:before="60" w:after="60" w:line="288" w:lineRule="auto"/>
              <w:ind w:firstLine="0"/>
              <w:rPr>
                <w:sz w:val="22"/>
                <w:szCs w:val="22"/>
                <w:lang w:val="ru-RU"/>
              </w:rPr>
            </w:pPr>
            <w:r w:rsidRPr="00264D5D">
              <w:rPr>
                <w:sz w:val="22"/>
                <w:szCs w:val="22"/>
                <w:lang w:val="ru-RU"/>
              </w:rPr>
              <w:t xml:space="preserve">Поле заполняется только </w:t>
            </w:r>
            <w:r w:rsidR="00676E27" w:rsidRPr="00264D5D">
              <w:rPr>
                <w:sz w:val="22"/>
                <w:szCs w:val="22"/>
                <w:lang w:val="ru-RU"/>
              </w:rPr>
              <w:t xml:space="preserve">при взаимодействии ЕИС с </w:t>
            </w:r>
            <w:r w:rsidR="00891D16">
              <w:rPr>
                <w:sz w:val="22"/>
                <w:szCs w:val="22"/>
                <w:lang w:val="ru-RU"/>
              </w:rPr>
              <w:t>ТОФК (ПУР ЭБ)</w:t>
            </w:r>
          </w:p>
        </w:tc>
      </w:tr>
      <w:tr w:rsidR="00AD1F54" w:rsidRPr="00264D5D" w14:paraId="434A5BFC"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2" w:type="pct"/>
          </w:tcPr>
          <w:p w14:paraId="792E3404" w14:textId="77777777" w:rsidR="00AD1F54" w:rsidRPr="00264D5D" w:rsidRDefault="00941227">
            <w:pPr>
              <w:spacing w:before="60" w:after="60"/>
              <w:rPr>
                <w:sz w:val="22"/>
                <w:szCs w:val="22"/>
              </w:rPr>
            </w:pPr>
            <w:r w:rsidRPr="00264D5D">
              <w:rPr>
                <w:sz w:val="22"/>
                <w:szCs w:val="22"/>
              </w:rPr>
              <w:t>Сведения о товарах, работах, услугах (ТРУ)</w:t>
            </w:r>
          </w:p>
        </w:tc>
        <w:tc>
          <w:tcPr>
            <w:tcW w:w="882" w:type="pct"/>
          </w:tcPr>
          <w:p w14:paraId="7C8E83B9" w14:textId="77777777" w:rsidR="00AD1F54" w:rsidRPr="00264D5D" w:rsidRDefault="00941227">
            <w:pPr>
              <w:spacing w:before="60" w:after="60"/>
              <w:rPr>
                <w:sz w:val="22"/>
                <w:szCs w:val="22"/>
                <w:lang w:val="en-US"/>
              </w:rPr>
            </w:pPr>
            <w:r w:rsidRPr="00264D5D">
              <w:rPr>
                <w:sz w:val="22"/>
                <w:szCs w:val="22"/>
                <w:lang w:val="en-US"/>
              </w:rPr>
              <w:t>Pjs</w:t>
            </w:r>
          </w:p>
        </w:tc>
        <w:tc>
          <w:tcPr>
            <w:tcW w:w="295" w:type="pct"/>
          </w:tcPr>
          <w:p w14:paraId="02603D3B" w14:textId="77777777" w:rsidR="00AD1F54" w:rsidRPr="00264D5D" w:rsidRDefault="00941227">
            <w:pPr>
              <w:spacing w:before="60" w:after="60"/>
              <w:jc w:val="center"/>
              <w:rPr>
                <w:sz w:val="22"/>
                <w:szCs w:val="22"/>
              </w:rPr>
            </w:pPr>
            <w:r w:rsidRPr="00264D5D">
              <w:rPr>
                <w:sz w:val="22"/>
                <w:szCs w:val="22"/>
              </w:rPr>
              <w:t>С</w:t>
            </w:r>
          </w:p>
        </w:tc>
        <w:tc>
          <w:tcPr>
            <w:tcW w:w="589" w:type="pct"/>
          </w:tcPr>
          <w:p w14:paraId="4119BF00" w14:textId="77777777" w:rsidR="00AD1F54" w:rsidRPr="00264D5D" w:rsidRDefault="00941227">
            <w:pPr>
              <w:spacing w:before="60" w:after="60"/>
              <w:jc w:val="left"/>
              <w:rPr>
                <w:sz w:val="22"/>
                <w:szCs w:val="22"/>
              </w:rPr>
            </w:pPr>
            <w:r w:rsidRPr="00264D5D">
              <w:rPr>
                <w:sz w:val="22"/>
                <w:szCs w:val="22"/>
              </w:rPr>
              <w:t>t</w:t>
            </w:r>
            <w:r w:rsidRPr="00264D5D">
              <w:rPr>
                <w:sz w:val="22"/>
                <w:szCs w:val="22"/>
                <w:lang w:val="en-US"/>
              </w:rPr>
              <w:t>Pjs</w:t>
            </w:r>
          </w:p>
        </w:tc>
        <w:tc>
          <w:tcPr>
            <w:tcW w:w="295" w:type="pct"/>
          </w:tcPr>
          <w:p w14:paraId="13C1302E" w14:textId="77777777" w:rsidR="00AD1F54" w:rsidRPr="00264D5D" w:rsidRDefault="00941227">
            <w:pPr>
              <w:spacing w:before="60" w:after="60"/>
              <w:jc w:val="center"/>
              <w:rPr>
                <w:sz w:val="22"/>
                <w:szCs w:val="22"/>
              </w:rPr>
            </w:pPr>
            <w:r w:rsidRPr="00264D5D">
              <w:rPr>
                <w:sz w:val="22"/>
                <w:szCs w:val="22"/>
              </w:rPr>
              <w:t>Н</w:t>
            </w:r>
          </w:p>
        </w:tc>
        <w:tc>
          <w:tcPr>
            <w:tcW w:w="2057" w:type="pct"/>
          </w:tcPr>
          <w:p w14:paraId="756222A2" w14:textId="77777777" w:rsidR="00AD1F54" w:rsidRPr="00264D5D" w:rsidRDefault="00941227">
            <w:pPr>
              <w:spacing w:before="60" w:after="60"/>
              <w:rPr>
                <w:sz w:val="22"/>
                <w:szCs w:val="22"/>
              </w:rPr>
            </w:pPr>
            <w:r w:rsidRPr="00264D5D">
              <w:rPr>
                <w:sz w:val="22"/>
                <w:szCs w:val="22"/>
              </w:rPr>
              <w:t>Расшифровка сведений ТРУ.</w:t>
            </w:r>
          </w:p>
          <w:p w14:paraId="47D528F0" w14:textId="59B99BEF" w:rsidR="006F4EA5" w:rsidRDefault="00941227" w:rsidP="006F4EA5">
            <w:pPr>
              <w:pStyle w:val="GOSTTablenorm"/>
            </w:pPr>
            <w:r w:rsidRPr="00264D5D">
              <w:rPr>
                <w:szCs w:val="22"/>
              </w:rPr>
              <w:t>В случае, если значения реквизита «Признак платежа, требующего подтверждения» равно «Нет» и (или) значение реквизита «Производить расчеты НДС в итоговых строках» равно «FALSE» или не задано, то обязательно для заполнения.</w:t>
            </w:r>
            <w:r w:rsidR="006F4EA5">
              <w:t xml:space="preserve"> </w:t>
            </w:r>
          </w:p>
          <w:p w14:paraId="57906683" w14:textId="77777777" w:rsidR="006F4EA5" w:rsidRPr="0031172D" w:rsidRDefault="006F4EA5" w:rsidP="006F4EA5">
            <w:pPr>
              <w:pStyle w:val="GOSTTablenorm"/>
            </w:pPr>
            <w:r w:rsidRPr="007E6F20">
              <w:rPr>
                <w:highlight w:val="green"/>
              </w:rPr>
              <w:t>В случае, если значени</w:t>
            </w:r>
            <w:r>
              <w:rPr>
                <w:highlight w:val="green"/>
              </w:rPr>
              <w:t>е</w:t>
            </w:r>
            <w:r w:rsidRPr="007E6F20">
              <w:rPr>
                <w:highlight w:val="green"/>
              </w:rPr>
              <w:t xml:space="preserve"> реквизита «Признак платежа, требующего подтверждения» равно «Да», то блок не заполняется.</w:t>
            </w:r>
          </w:p>
          <w:p w14:paraId="7AC06E09" w14:textId="6D0D8D38" w:rsidR="00AD1F54" w:rsidRPr="00264D5D" w:rsidRDefault="00941227">
            <w:pPr>
              <w:spacing w:before="60" w:after="60"/>
              <w:rPr>
                <w:sz w:val="22"/>
                <w:szCs w:val="22"/>
              </w:rPr>
            </w:pPr>
            <w:r w:rsidRPr="00264D5D">
              <w:rPr>
                <w:sz w:val="22"/>
                <w:szCs w:val="22"/>
              </w:rPr>
              <w:t xml:space="preserve">Состав элемента представлен в таблице </w:t>
            </w:r>
            <w:r w:rsidRPr="00264D5D">
              <w:rPr>
                <w:sz w:val="22"/>
                <w:szCs w:val="22"/>
              </w:rPr>
              <w:fldChar w:fldCharType="begin"/>
            </w:r>
            <w:r w:rsidRPr="00264D5D">
              <w:rPr>
                <w:sz w:val="22"/>
                <w:szCs w:val="22"/>
              </w:rPr>
              <w:instrText xml:space="preserve"> REF _Ref16780353 \h  \* MERGEFORMAT </w:instrText>
            </w:r>
            <w:r w:rsidRPr="00264D5D">
              <w:rPr>
                <w:sz w:val="22"/>
                <w:szCs w:val="22"/>
              </w:rPr>
            </w:r>
            <w:r w:rsidRPr="00264D5D">
              <w:rPr>
                <w:sz w:val="22"/>
                <w:szCs w:val="22"/>
              </w:rPr>
              <w:fldChar w:fldCharType="separate"/>
            </w:r>
            <w:r w:rsidR="008D797C" w:rsidRPr="008D797C">
              <w:rPr>
                <w:sz w:val="22"/>
                <w:szCs w:val="22"/>
              </w:rPr>
              <w:t>156</w:t>
            </w:r>
            <w:r w:rsidRPr="00264D5D">
              <w:rPr>
                <w:sz w:val="22"/>
                <w:szCs w:val="22"/>
              </w:rPr>
              <w:fldChar w:fldCharType="end"/>
            </w:r>
          </w:p>
        </w:tc>
      </w:tr>
      <w:tr w:rsidR="00AD1F54" w:rsidRPr="00264D5D" w14:paraId="587257CC" w14:textId="77777777" w:rsidTr="00AD1F54">
        <w:trPr>
          <w:cnfStyle w:val="000000010000" w:firstRow="0" w:lastRow="0" w:firstColumn="0" w:lastColumn="0" w:oddVBand="0" w:evenVBand="0" w:oddHBand="0" w:evenHBand="1" w:firstRowFirstColumn="0" w:firstRowLastColumn="0" w:lastRowFirstColumn="0" w:lastRowLastColumn="0"/>
          <w:trHeight w:val="689"/>
        </w:trPr>
        <w:tc>
          <w:tcPr>
            <w:tcW w:w="882" w:type="pct"/>
          </w:tcPr>
          <w:p w14:paraId="16B7B12F" w14:textId="77777777" w:rsidR="00AD1F54" w:rsidRPr="00264D5D" w:rsidRDefault="00941227">
            <w:pPr>
              <w:spacing w:before="60" w:after="60"/>
              <w:rPr>
                <w:sz w:val="22"/>
                <w:szCs w:val="22"/>
              </w:rPr>
            </w:pPr>
            <w:r w:rsidRPr="00264D5D">
              <w:rPr>
                <w:sz w:val="22"/>
                <w:szCs w:val="22"/>
              </w:rPr>
              <w:t>Итого</w:t>
            </w:r>
          </w:p>
        </w:tc>
        <w:tc>
          <w:tcPr>
            <w:tcW w:w="882" w:type="pct"/>
          </w:tcPr>
          <w:p w14:paraId="20151B5D" w14:textId="77777777" w:rsidR="00AD1F54" w:rsidRPr="00264D5D" w:rsidRDefault="00941227">
            <w:pPr>
              <w:spacing w:before="60" w:after="60"/>
              <w:rPr>
                <w:sz w:val="22"/>
                <w:szCs w:val="22"/>
              </w:rPr>
            </w:pPr>
            <w:r w:rsidRPr="00264D5D">
              <w:rPr>
                <w:sz w:val="22"/>
                <w:szCs w:val="22"/>
                <w:lang w:val="en-US"/>
              </w:rPr>
              <w:t>Inv_Ttl</w:t>
            </w:r>
          </w:p>
        </w:tc>
        <w:tc>
          <w:tcPr>
            <w:tcW w:w="295" w:type="pct"/>
          </w:tcPr>
          <w:p w14:paraId="64C7769B" w14:textId="77777777" w:rsidR="00AD1F54" w:rsidRPr="00264D5D" w:rsidRDefault="00941227">
            <w:pPr>
              <w:spacing w:before="60" w:after="60"/>
              <w:jc w:val="center"/>
              <w:rPr>
                <w:sz w:val="22"/>
                <w:szCs w:val="22"/>
              </w:rPr>
            </w:pPr>
            <w:r w:rsidRPr="00264D5D">
              <w:rPr>
                <w:sz w:val="22"/>
                <w:szCs w:val="22"/>
              </w:rPr>
              <w:t>П</w:t>
            </w:r>
          </w:p>
        </w:tc>
        <w:tc>
          <w:tcPr>
            <w:tcW w:w="589" w:type="pct"/>
          </w:tcPr>
          <w:p w14:paraId="531DFE83" w14:textId="77777777" w:rsidR="00AD1F54" w:rsidRPr="00264D5D" w:rsidRDefault="00941227">
            <w:pPr>
              <w:spacing w:before="60" w:after="60"/>
              <w:jc w:val="left"/>
              <w:rPr>
                <w:sz w:val="22"/>
                <w:szCs w:val="22"/>
              </w:rPr>
            </w:pPr>
            <w:r w:rsidRPr="00264D5D">
              <w:rPr>
                <w:sz w:val="22"/>
                <w:szCs w:val="22"/>
              </w:rPr>
              <w:t>N(20.2)</w:t>
            </w:r>
          </w:p>
        </w:tc>
        <w:tc>
          <w:tcPr>
            <w:tcW w:w="295" w:type="pct"/>
          </w:tcPr>
          <w:p w14:paraId="40B9B823" w14:textId="77777777" w:rsidR="00AD1F54" w:rsidRPr="00264D5D" w:rsidRDefault="00941227">
            <w:pPr>
              <w:spacing w:before="60" w:after="60"/>
              <w:jc w:val="center"/>
              <w:rPr>
                <w:sz w:val="22"/>
                <w:szCs w:val="22"/>
              </w:rPr>
            </w:pPr>
            <w:r w:rsidRPr="00264D5D">
              <w:rPr>
                <w:sz w:val="22"/>
                <w:szCs w:val="22"/>
              </w:rPr>
              <w:t>Н</w:t>
            </w:r>
          </w:p>
        </w:tc>
        <w:tc>
          <w:tcPr>
            <w:tcW w:w="2057" w:type="pct"/>
          </w:tcPr>
          <w:p w14:paraId="2FD9FAAC" w14:textId="77777777" w:rsidR="00AD1F54" w:rsidRPr="00264D5D" w:rsidRDefault="00941227">
            <w:pPr>
              <w:spacing w:before="60" w:after="60"/>
              <w:rPr>
                <w:sz w:val="22"/>
                <w:szCs w:val="22"/>
              </w:rPr>
            </w:pPr>
            <w:r w:rsidRPr="00264D5D">
              <w:rPr>
                <w:sz w:val="22"/>
                <w:szCs w:val="22"/>
              </w:rPr>
              <w:t>Всего к оплате по всем позициям блока «Сведения о товарах, работах, услугах (ТРУ)</w:t>
            </w:r>
            <w:r w:rsidRPr="006F4EA5">
              <w:rPr>
                <w:sz w:val="22"/>
                <w:szCs w:val="22"/>
                <w:highlight w:val="green"/>
              </w:rPr>
              <w:t>»</w:t>
            </w:r>
          </w:p>
        </w:tc>
      </w:tr>
    </w:tbl>
    <w:p w14:paraId="1247F29D" w14:textId="77777777" w:rsidR="00AD1F54" w:rsidRPr="00264D5D" w:rsidRDefault="00941227">
      <w:pPr>
        <w:pStyle w:val="31"/>
      </w:pPr>
      <w:bookmarkStart w:id="1636" w:name="_Toc105671297"/>
      <w:bookmarkStart w:id="1637" w:name="_Toc109222461"/>
      <w:bookmarkStart w:id="1638" w:name="_Toc109920411"/>
      <w:bookmarkStart w:id="1639" w:name="_Toc109921654"/>
      <w:bookmarkStart w:id="1640" w:name="_Toc112842519"/>
      <w:bookmarkStart w:id="1641" w:name="_Toc115776487"/>
      <w:bookmarkStart w:id="1642" w:name="_Toc115777363"/>
      <w:bookmarkStart w:id="1643" w:name="_Toc116492347"/>
      <w:bookmarkStart w:id="1644" w:name="_Toc116576431"/>
      <w:bookmarkStart w:id="1645" w:name="_Toc17206278"/>
      <w:bookmarkStart w:id="1646" w:name="_Toc219309609"/>
      <w:bookmarkEnd w:id="1636"/>
      <w:bookmarkEnd w:id="1637"/>
      <w:bookmarkEnd w:id="1638"/>
      <w:bookmarkEnd w:id="1639"/>
      <w:bookmarkEnd w:id="1640"/>
      <w:bookmarkEnd w:id="1641"/>
      <w:bookmarkEnd w:id="1642"/>
      <w:bookmarkEnd w:id="1643"/>
      <w:bookmarkEnd w:id="1644"/>
      <w:r w:rsidRPr="00264D5D">
        <w:lastRenderedPageBreak/>
        <w:t>Описание комплексного типа «tPjs»</w:t>
      </w:r>
      <w:bookmarkEnd w:id="1645"/>
      <w:bookmarkEnd w:id="1646"/>
    </w:p>
    <w:p w14:paraId="6D332CE7" w14:textId="77777777" w:rsidR="00AD1F54" w:rsidRPr="00264D5D" w:rsidRDefault="00941227">
      <w:pPr>
        <w:pStyle w:val="ASFKNormal"/>
        <w:spacing w:before="60" w:after="120"/>
        <w:contextualSpacing w:val="0"/>
        <w:jc w:val="both"/>
        <w:rPr>
          <w:sz w:val="24"/>
          <w:szCs w:val="24"/>
        </w:rPr>
      </w:pPr>
      <w:r w:rsidRPr="00264D5D">
        <w:rPr>
          <w:sz w:val="24"/>
          <w:szCs w:val="24"/>
        </w:rPr>
        <w:t>Описание комплексного типа «t</w:t>
      </w:r>
      <w:r w:rsidRPr="00264D5D">
        <w:rPr>
          <w:sz w:val="24"/>
          <w:szCs w:val="24"/>
          <w:lang w:val="en-US"/>
        </w:rPr>
        <w:t>Pjs</w:t>
      </w:r>
      <w:r w:rsidRPr="00264D5D">
        <w:rPr>
          <w:sz w:val="24"/>
          <w:szCs w:val="24"/>
        </w:rPr>
        <w:t>» блока «Сведения о товарах, работах, услугах (ТРУ)».</w:t>
      </w:r>
    </w:p>
    <w:p w14:paraId="5F4E78C7" w14:textId="510170A1" w:rsidR="00AD1F54" w:rsidRPr="00264D5D" w:rsidRDefault="001E5517">
      <w:pPr>
        <w:pStyle w:val="GOSTNameTable"/>
        <w:numPr>
          <w:ilvl w:val="0"/>
          <w:numId w:val="2"/>
        </w:numPr>
        <w:ind w:left="425" w:hanging="357"/>
      </w:pPr>
      <w:r w:rsidRPr="00264D5D">
        <w:rPr>
          <w:noProof/>
        </w:rPr>
        <w:fldChar w:fldCharType="begin"/>
      </w:r>
      <w:r w:rsidRPr="00264D5D">
        <w:rPr>
          <w:noProof/>
        </w:rPr>
        <w:instrText xml:space="preserve"> SEQ Таблица \* ARABIC </w:instrText>
      </w:r>
      <w:r w:rsidRPr="00264D5D">
        <w:rPr>
          <w:noProof/>
        </w:rPr>
        <w:fldChar w:fldCharType="separate"/>
      </w:r>
      <w:bookmarkStart w:id="1647" w:name="_Ref16780353"/>
      <w:bookmarkStart w:id="1648" w:name="_Toc30503365"/>
      <w:bookmarkStart w:id="1649" w:name="_Toc30507963"/>
      <w:bookmarkStart w:id="1650" w:name="_Toc219309186"/>
      <w:r w:rsidR="008D797C">
        <w:rPr>
          <w:noProof/>
        </w:rPr>
        <w:t>156</w:t>
      </w:r>
      <w:bookmarkEnd w:id="1647"/>
      <w:r w:rsidRPr="00264D5D">
        <w:rPr>
          <w:noProof/>
        </w:rPr>
        <w:fldChar w:fldCharType="end"/>
      </w:r>
      <w:r w:rsidR="00941227" w:rsidRPr="00264D5D">
        <w:rPr>
          <w:rFonts w:eastAsia="Calibri"/>
          <w:szCs w:val="24"/>
        </w:rPr>
        <w:t xml:space="preserve"> – </w:t>
      </w:r>
      <w:r w:rsidR="00941227" w:rsidRPr="00264D5D">
        <w:t>Описание комплексного типа «tP</w:t>
      </w:r>
      <w:r w:rsidR="00941227" w:rsidRPr="00264D5D">
        <w:rPr>
          <w:lang w:val="en-US"/>
        </w:rPr>
        <w:t>js</w:t>
      </w:r>
      <w:r w:rsidR="00941227" w:rsidRPr="00264D5D">
        <w:t>»</w:t>
      </w:r>
      <w:bookmarkEnd w:id="1648"/>
      <w:bookmarkEnd w:id="1649"/>
      <w:bookmarkEnd w:id="1650"/>
    </w:p>
    <w:tbl>
      <w:tblPr>
        <w:tblStyle w:val="GOSTTable"/>
        <w:tblW w:w="9635" w:type="dxa"/>
        <w:tblLayout w:type="fixed"/>
        <w:tblLook w:val="04A0" w:firstRow="1" w:lastRow="0" w:firstColumn="1" w:lastColumn="0" w:noHBand="0" w:noVBand="1"/>
      </w:tblPr>
      <w:tblGrid>
        <w:gridCol w:w="1699"/>
        <w:gridCol w:w="1703"/>
        <w:gridCol w:w="565"/>
        <w:gridCol w:w="1137"/>
        <w:gridCol w:w="567"/>
        <w:gridCol w:w="3964"/>
      </w:tblGrid>
      <w:tr w:rsidR="00AD1F54" w:rsidRPr="00264D5D" w14:paraId="6F5C4C79"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2" w:type="pct"/>
          </w:tcPr>
          <w:p w14:paraId="607C42A2" w14:textId="77777777" w:rsidR="00AD1F54" w:rsidRPr="00264D5D" w:rsidRDefault="00941227">
            <w:pPr>
              <w:spacing w:before="60" w:after="60"/>
              <w:jc w:val="center"/>
              <w:rPr>
                <w:b/>
                <w:bCs/>
                <w:sz w:val="22"/>
                <w:szCs w:val="22"/>
              </w:rPr>
            </w:pPr>
            <w:r w:rsidRPr="00264D5D">
              <w:rPr>
                <w:b/>
                <w:bCs/>
                <w:sz w:val="22"/>
                <w:szCs w:val="22"/>
              </w:rPr>
              <w:t>Наименование комплексного типа</w:t>
            </w:r>
          </w:p>
        </w:tc>
        <w:tc>
          <w:tcPr>
            <w:tcW w:w="884" w:type="pct"/>
          </w:tcPr>
          <w:p w14:paraId="1A15209D" w14:textId="77777777" w:rsidR="00AD1F54" w:rsidRPr="00264D5D" w:rsidRDefault="00941227">
            <w:pPr>
              <w:spacing w:before="60" w:after="60"/>
              <w:jc w:val="center"/>
              <w:rPr>
                <w:b/>
                <w:bCs/>
                <w:sz w:val="22"/>
                <w:szCs w:val="22"/>
              </w:rPr>
            </w:pPr>
            <w:r w:rsidRPr="00264D5D">
              <w:rPr>
                <w:b/>
                <w:bCs/>
                <w:sz w:val="22"/>
                <w:szCs w:val="22"/>
              </w:rPr>
              <w:t>Текущий элемент/ атрибут</w:t>
            </w:r>
          </w:p>
        </w:tc>
        <w:tc>
          <w:tcPr>
            <w:tcW w:w="293" w:type="pct"/>
          </w:tcPr>
          <w:p w14:paraId="3790DFC2" w14:textId="77777777" w:rsidR="00AD1F54" w:rsidRPr="00264D5D" w:rsidRDefault="00941227">
            <w:pPr>
              <w:spacing w:before="60" w:after="60"/>
              <w:jc w:val="center"/>
              <w:rPr>
                <w:b/>
                <w:bCs/>
                <w:sz w:val="22"/>
                <w:szCs w:val="22"/>
              </w:rPr>
            </w:pPr>
            <w:r w:rsidRPr="00264D5D">
              <w:rPr>
                <w:b/>
                <w:bCs/>
                <w:sz w:val="22"/>
                <w:szCs w:val="22"/>
              </w:rPr>
              <w:t>Тип</w:t>
            </w:r>
          </w:p>
        </w:tc>
        <w:tc>
          <w:tcPr>
            <w:tcW w:w="590" w:type="pct"/>
          </w:tcPr>
          <w:p w14:paraId="4BE4DC35" w14:textId="77777777" w:rsidR="00AD1F54" w:rsidRPr="00264D5D" w:rsidRDefault="00941227">
            <w:pPr>
              <w:spacing w:before="60" w:after="60"/>
              <w:jc w:val="center"/>
              <w:rPr>
                <w:b/>
                <w:bCs/>
                <w:sz w:val="22"/>
                <w:szCs w:val="22"/>
              </w:rPr>
            </w:pPr>
            <w:r w:rsidRPr="00264D5D">
              <w:rPr>
                <w:b/>
                <w:bCs/>
                <w:sz w:val="22"/>
                <w:szCs w:val="22"/>
              </w:rPr>
              <w:t>Формат элемента</w:t>
            </w:r>
          </w:p>
        </w:tc>
        <w:tc>
          <w:tcPr>
            <w:tcW w:w="294" w:type="pct"/>
          </w:tcPr>
          <w:p w14:paraId="25E0C914" w14:textId="77777777" w:rsidR="00AD1F54" w:rsidRPr="00264D5D" w:rsidRDefault="00941227">
            <w:pPr>
              <w:spacing w:before="60" w:after="60"/>
              <w:jc w:val="center"/>
              <w:rPr>
                <w:b/>
                <w:bCs/>
                <w:sz w:val="22"/>
                <w:szCs w:val="22"/>
              </w:rPr>
            </w:pPr>
            <w:r w:rsidRPr="00264D5D">
              <w:rPr>
                <w:b/>
                <w:bCs/>
                <w:sz w:val="22"/>
                <w:szCs w:val="22"/>
              </w:rPr>
              <w:t>Обязательность</w:t>
            </w:r>
          </w:p>
        </w:tc>
        <w:tc>
          <w:tcPr>
            <w:tcW w:w="2057" w:type="pct"/>
          </w:tcPr>
          <w:p w14:paraId="3B8EC65A" w14:textId="77777777" w:rsidR="00AD1F54" w:rsidRPr="00264D5D" w:rsidRDefault="00941227">
            <w:pPr>
              <w:spacing w:before="60" w:after="60"/>
              <w:jc w:val="center"/>
              <w:rPr>
                <w:b/>
                <w:bCs/>
                <w:sz w:val="22"/>
                <w:szCs w:val="22"/>
              </w:rPr>
            </w:pPr>
            <w:r w:rsidRPr="00264D5D">
              <w:rPr>
                <w:b/>
                <w:bCs/>
                <w:sz w:val="22"/>
                <w:szCs w:val="22"/>
              </w:rPr>
              <w:t>Дополнительная информация</w:t>
            </w:r>
          </w:p>
        </w:tc>
      </w:tr>
      <w:tr w:rsidR="00AD1F54" w:rsidRPr="00264D5D" w14:paraId="51FD9D27"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2" w:type="pct"/>
          </w:tcPr>
          <w:p w14:paraId="42EEBFBC" w14:textId="77777777" w:rsidR="00AD1F54" w:rsidRPr="00264D5D" w:rsidRDefault="00941227">
            <w:pPr>
              <w:spacing w:before="60" w:after="60"/>
              <w:rPr>
                <w:sz w:val="22"/>
                <w:szCs w:val="22"/>
              </w:rPr>
            </w:pPr>
            <w:r w:rsidRPr="00264D5D">
              <w:rPr>
                <w:sz w:val="22"/>
                <w:szCs w:val="22"/>
              </w:rPr>
              <w:t>tPjs</w:t>
            </w:r>
          </w:p>
        </w:tc>
        <w:tc>
          <w:tcPr>
            <w:tcW w:w="884" w:type="pct"/>
          </w:tcPr>
          <w:p w14:paraId="5C3E59D9" w14:textId="77777777" w:rsidR="00AD1F54" w:rsidRPr="00264D5D" w:rsidRDefault="00941227">
            <w:pPr>
              <w:spacing w:before="60" w:after="60"/>
              <w:rPr>
                <w:sz w:val="22"/>
                <w:szCs w:val="22"/>
              </w:rPr>
            </w:pPr>
            <w:r w:rsidRPr="00264D5D">
              <w:rPr>
                <w:sz w:val="22"/>
                <w:szCs w:val="22"/>
              </w:rPr>
              <w:t>Pjs_ITEM</w:t>
            </w:r>
          </w:p>
        </w:tc>
        <w:tc>
          <w:tcPr>
            <w:tcW w:w="293" w:type="pct"/>
          </w:tcPr>
          <w:p w14:paraId="5F09CFC5" w14:textId="77777777" w:rsidR="00AD1F54" w:rsidRPr="00264D5D" w:rsidRDefault="00941227">
            <w:pPr>
              <w:spacing w:before="60" w:after="60"/>
              <w:jc w:val="center"/>
              <w:rPr>
                <w:sz w:val="22"/>
                <w:szCs w:val="22"/>
              </w:rPr>
            </w:pPr>
            <w:r w:rsidRPr="00264D5D">
              <w:rPr>
                <w:sz w:val="22"/>
                <w:szCs w:val="22"/>
              </w:rPr>
              <w:t>С</w:t>
            </w:r>
          </w:p>
        </w:tc>
        <w:tc>
          <w:tcPr>
            <w:tcW w:w="590" w:type="pct"/>
          </w:tcPr>
          <w:p w14:paraId="16748EA9" w14:textId="77777777" w:rsidR="00AD1F54" w:rsidRPr="00264D5D" w:rsidRDefault="00941227">
            <w:pPr>
              <w:spacing w:before="60" w:after="60"/>
              <w:rPr>
                <w:sz w:val="22"/>
                <w:szCs w:val="22"/>
              </w:rPr>
            </w:pPr>
            <w:r w:rsidRPr="00264D5D">
              <w:rPr>
                <w:sz w:val="22"/>
                <w:szCs w:val="22"/>
              </w:rPr>
              <w:t>tPjs_ITEM</w:t>
            </w:r>
          </w:p>
        </w:tc>
        <w:tc>
          <w:tcPr>
            <w:tcW w:w="294" w:type="pct"/>
          </w:tcPr>
          <w:p w14:paraId="1091B7EC" w14:textId="77777777" w:rsidR="00AD1F54" w:rsidRPr="00264D5D" w:rsidRDefault="00941227">
            <w:pPr>
              <w:spacing w:before="60" w:after="60"/>
              <w:jc w:val="center"/>
              <w:rPr>
                <w:sz w:val="22"/>
                <w:szCs w:val="22"/>
              </w:rPr>
            </w:pPr>
            <w:r w:rsidRPr="00264D5D">
              <w:rPr>
                <w:sz w:val="22"/>
                <w:szCs w:val="22"/>
              </w:rPr>
              <w:t>ОМ</w:t>
            </w:r>
          </w:p>
        </w:tc>
        <w:tc>
          <w:tcPr>
            <w:tcW w:w="2057" w:type="pct"/>
          </w:tcPr>
          <w:p w14:paraId="414999FF" w14:textId="77777777" w:rsidR="00AD1F54" w:rsidRPr="00264D5D" w:rsidRDefault="00941227">
            <w:pPr>
              <w:spacing w:before="60" w:after="60"/>
              <w:rPr>
                <w:sz w:val="22"/>
                <w:szCs w:val="22"/>
              </w:rPr>
            </w:pPr>
            <w:r w:rsidRPr="00264D5D">
              <w:rPr>
                <w:sz w:val="22"/>
                <w:szCs w:val="22"/>
              </w:rPr>
              <w:t>Расшифровка сведений ТРУ.</w:t>
            </w:r>
          </w:p>
          <w:p w14:paraId="3FA5AD7E" w14:textId="1F220524" w:rsidR="00AD1F54" w:rsidRPr="00264D5D" w:rsidRDefault="00941227">
            <w:pPr>
              <w:spacing w:before="60" w:after="60"/>
              <w:rPr>
                <w:sz w:val="22"/>
                <w:szCs w:val="22"/>
              </w:rPr>
            </w:pPr>
            <w:r w:rsidRPr="00264D5D">
              <w:rPr>
                <w:sz w:val="22"/>
                <w:szCs w:val="22"/>
              </w:rPr>
              <w:t xml:space="preserve">Состав элемента представлен в таблице </w:t>
            </w:r>
            <w:r w:rsidRPr="00264D5D">
              <w:rPr>
                <w:sz w:val="22"/>
                <w:szCs w:val="22"/>
              </w:rPr>
              <w:fldChar w:fldCharType="begin"/>
            </w:r>
            <w:r w:rsidRPr="00264D5D">
              <w:rPr>
                <w:sz w:val="22"/>
                <w:szCs w:val="22"/>
              </w:rPr>
              <w:instrText xml:space="preserve"> REF _Ref16780380 \h  \* MERGEFORMAT </w:instrText>
            </w:r>
            <w:r w:rsidRPr="00264D5D">
              <w:rPr>
                <w:sz w:val="22"/>
                <w:szCs w:val="22"/>
              </w:rPr>
            </w:r>
            <w:r w:rsidRPr="00264D5D">
              <w:rPr>
                <w:sz w:val="22"/>
                <w:szCs w:val="22"/>
              </w:rPr>
              <w:fldChar w:fldCharType="separate"/>
            </w:r>
            <w:r w:rsidR="008D797C" w:rsidRPr="008D797C">
              <w:rPr>
                <w:sz w:val="22"/>
                <w:szCs w:val="22"/>
              </w:rPr>
              <w:t>157</w:t>
            </w:r>
            <w:r w:rsidRPr="00264D5D">
              <w:rPr>
                <w:sz w:val="22"/>
                <w:szCs w:val="22"/>
              </w:rPr>
              <w:fldChar w:fldCharType="end"/>
            </w:r>
          </w:p>
        </w:tc>
      </w:tr>
    </w:tbl>
    <w:p w14:paraId="0982CDF8" w14:textId="77777777" w:rsidR="00AD1F54" w:rsidRPr="008D797C" w:rsidRDefault="00941227">
      <w:pPr>
        <w:pStyle w:val="31"/>
        <w:rPr>
          <w:highlight w:val="green"/>
        </w:rPr>
      </w:pPr>
      <w:bookmarkStart w:id="1651" w:name="_Toc17206279"/>
      <w:bookmarkStart w:id="1652" w:name="_Toc219309610"/>
      <w:r w:rsidRPr="008D797C">
        <w:rPr>
          <w:highlight w:val="green"/>
        </w:rPr>
        <w:t>Описание комплексного типа «tPjs_ITEM»</w:t>
      </w:r>
      <w:bookmarkEnd w:id="1651"/>
      <w:bookmarkEnd w:id="1652"/>
    </w:p>
    <w:p w14:paraId="7A244CAD" w14:textId="77777777" w:rsidR="00AD1F54" w:rsidRPr="00264D5D" w:rsidRDefault="00941227">
      <w:pPr>
        <w:pStyle w:val="ASFKNormal"/>
        <w:spacing w:before="60" w:after="120"/>
        <w:contextualSpacing w:val="0"/>
        <w:jc w:val="both"/>
        <w:rPr>
          <w:sz w:val="24"/>
          <w:szCs w:val="24"/>
        </w:rPr>
      </w:pPr>
      <w:r w:rsidRPr="00264D5D">
        <w:rPr>
          <w:sz w:val="24"/>
          <w:szCs w:val="24"/>
        </w:rPr>
        <w:t>Описание комплексного типа «tP</w:t>
      </w:r>
      <w:r w:rsidRPr="00264D5D">
        <w:rPr>
          <w:sz w:val="24"/>
          <w:szCs w:val="24"/>
          <w:lang w:val="en-US"/>
        </w:rPr>
        <w:t>js</w:t>
      </w:r>
      <w:r w:rsidRPr="00264D5D">
        <w:rPr>
          <w:sz w:val="24"/>
          <w:szCs w:val="24"/>
        </w:rPr>
        <w:t>_ITEM» строк блока «Расшифровка сведений ТРУ».</w:t>
      </w:r>
    </w:p>
    <w:p w14:paraId="5D9E81C8" w14:textId="5E42C5CE" w:rsidR="00AD1F54" w:rsidRPr="008D797C" w:rsidRDefault="001E5517">
      <w:pPr>
        <w:pStyle w:val="GOSTNameTable"/>
        <w:numPr>
          <w:ilvl w:val="0"/>
          <w:numId w:val="2"/>
        </w:numPr>
        <w:ind w:left="425" w:hanging="357"/>
        <w:rPr>
          <w:highlight w:val="green"/>
        </w:rPr>
      </w:pPr>
      <w:r w:rsidRPr="008D797C">
        <w:rPr>
          <w:noProof/>
          <w:highlight w:val="green"/>
        </w:rPr>
        <w:fldChar w:fldCharType="begin"/>
      </w:r>
      <w:r w:rsidRPr="008D797C">
        <w:rPr>
          <w:noProof/>
          <w:highlight w:val="green"/>
        </w:rPr>
        <w:instrText xml:space="preserve"> SEQ Таблица \* ARABIC </w:instrText>
      </w:r>
      <w:r w:rsidRPr="008D797C">
        <w:rPr>
          <w:noProof/>
          <w:highlight w:val="green"/>
        </w:rPr>
        <w:fldChar w:fldCharType="separate"/>
      </w:r>
      <w:bookmarkStart w:id="1653" w:name="_Ref16780380"/>
      <w:bookmarkStart w:id="1654" w:name="_Toc30503366"/>
      <w:bookmarkStart w:id="1655" w:name="_Toc30507964"/>
      <w:bookmarkStart w:id="1656" w:name="_Toc219309187"/>
      <w:r w:rsidR="008D797C">
        <w:rPr>
          <w:noProof/>
          <w:highlight w:val="green"/>
        </w:rPr>
        <w:t>157</w:t>
      </w:r>
      <w:bookmarkEnd w:id="1653"/>
      <w:r w:rsidRPr="008D797C">
        <w:rPr>
          <w:noProof/>
          <w:highlight w:val="green"/>
        </w:rPr>
        <w:fldChar w:fldCharType="end"/>
      </w:r>
      <w:r w:rsidR="00941227" w:rsidRPr="008D797C">
        <w:rPr>
          <w:rFonts w:eastAsia="Calibri"/>
          <w:szCs w:val="24"/>
          <w:highlight w:val="green"/>
        </w:rPr>
        <w:t xml:space="preserve"> – </w:t>
      </w:r>
      <w:r w:rsidR="00941227" w:rsidRPr="008D797C">
        <w:rPr>
          <w:highlight w:val="green"/>
        </w:rPr>
        <w:t>Описание комплексного типа «tP</w:t>
      </w:r>
      <w:r w:rsidR="00941227" w:rsidRPr="008D797C">
        <w:rPr>
          <w:highlight w:val="green"/>
          <w:lang w:val="en-US"/>
        </w:rPr>
        <w:t>js</w:t>
      </w:r>
      <w:r w:rsidR="00941227" w:rsidRPr="008D797C">
        <w:rPr>
          <w:highlight w:val="green"/>
        </w:rPr>
        <w:t>_ITEM»</w:t>
      </w:r>
      <w:bookmarkEnd w:id="1654"/>
      <w:bookmarkEnd w:id="1655"/>
      <w:bookmarkEnd w:id="1656"/>
    </w:p>
    <w:tbl>
      <w:tblPr>
        <w:tblStyle w:val="GOSTTable"/>
        <w:tblW w:w="5000" w:type="pct"/>
        <w:tblLayout w:type="fixed"/>
        <w:tblLook w:val="04A0" w:firstRow="1" w:lastRow="0" w:firstColumn="1" w:lastColumn="0" w:noHBand="0" w:noVBand="1"/>
      </w:tblPr>
      <w:tblGrid>
        <w:gridCol w:w="1705"/>
        <w:gridCol w:w="1706"/>
        <w:gridCol w:w="567"/>
        <w:gridCol w:w="1137"/>
        <w:gridCol w:w="565"/>
        <w:gridCol w:w="3970"/>
      </w:tblGrid>
      <w:tr w:rsidR="00AD1F54" w:rsidRPr="00264D5D" w14:paraId="14F5693E"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3" w:type="pct"/>
          </w:tcPr>
          <w:p w14:paraId="24E5B617" w14:textId="77777777" w:rsidR="00AD1F54" w:rsidRPr="00264D5D" w:rsidRDefault="00941227">
            <w:pPr>
              <w:spacing w:before="60" w:after="60"/>
              <w:jc w:val="center"/>
              <w:rPr>
                <w:b/>
                <w:bCs/>
                <w:sz w:val="22"/>
                <w:szCs w:val="22"/>
              </w:rPr>
            </w:pPr>
            <w:r w:rsidRPr="00264D5D">
              <w:rPr>
                <w:b/>
                <w:bCs/>
                <w:sz w:val="22"/>
                <w:szCs w:val="22"/>
              </w:rPr>
              <w:t>Наименование элемента</w:t>
            </w:r>
          </w:p>
        </w:tc>
        <w:tc>
          <w:tcPr>
            <w:tcW w:w="884" w:type="pct"/>
          </w:tcPr>
          <w:p w14:paraId="1B87616E" w14:textId="77777777" w:rsidR="00AD1F54" w:rsidRPr="00264D5D" w:rsidRDefault="00941227">
            <w:pPr>
              <w:spacing w:before="60" w:after="60"/>
              <w:jc w:val="center"/>
              <w:rPr>
                <w:b/>
                <w:bCs/>
                <w:sz w:val="22"/>
                <w:szCs w:val="22"/>
              </w:rPr>
            </w:pPr>
            <w:r w:rsidRPr="00264D5D">
              <w:rPr>
                <w:b/>
                <w:bCs/>
                <w:sz w:val="22"/>
                <w:szCs w:val="22"/>
              </w:rPr>
              <w:t>Сокращенное наименование (код) элемента</w:t>
            </w:r>
          </w:p>
        </w:tc>
        <w:tc>
          <w:tcPr>
            <w:tcW w:w="294" w:type="pct"/>
          </w:tcPr>
          <w:p w14:paraId="33B180F8" w14:textId="77777777" w:rsidR="00AD1F54" w:rsidRPr="00264D5D" w:rsidRDefault="00941227">
            <w:pPr>
              <w:spacing w:before="60" w:after="60"/>
              <w:jc w:val="center"/>
              <w:rPr>
                <w:b/>
                <w:bCs/>
                <w:sz w:val="22"/>
                <w:szCs w:val="22"/>
              </w:rPr>
            </w:pPr>
            <w:r w:rsidRPr="00264D5D">
              <w:rPr>
                <w:b/>
                <w:bCs/>
                <w:sz w:val="22"/>
                <w:szCs w:val="22"/>
              </w:rPr>
              <w:t>Тип</w:t>
            </w:r>
          </w:p>
        </w:tc>
        <w:tc>
          <w:tcPr>
            <w:tcW w:w="589" w:type="pct"/>
          </w:tcPr>
          <w:p w14:paraId="3BAD72ED" w14:textId="77777777" w:rsidR="00AD1F54" w:rsidRPr="00264D5D" w:rsidRDefault="00941227">
            <w:pPr>
              <w:spacing w:before="60" w:after="60"/>
              <w:jc w:val="center"/>
              <w:rPr>
                <w:b/>
                <w:bCs/>
                <w:sz w:val="22"/>
                <w:szCs w:val="22"/>
              </w:rPr>
            </w:pPr>
            <w:r w:rsidRPr="00264D5D">
              <w:rPr>
                <w:b/>
                <w:bCs/>
                <w:sz w:val="22"/>
                <w:szCs w:val="22"/>
              </w:rPr>
              <w:t>Формат элемента</w:t>
            </w:r>
          </w:p>
        </w:tc>
        <w:tc>
          <w:tcPr>
            <w:tcW w:w="293" w:type="pct"/>
          </w:tcPr>
          <w:p w14:paraId="081EB6DB" w14:textId="77777777" w:rsidR="00AD1F54" w:rsidRPr="00264D5D" w:rsidRDefault="00941227">
            <w:pPr>
              <w:spacing w:before="60" w:after="60"/>
              <w:jc w:val="center"/>
              <w:rPr>
                <w:b/>
                <w:bCs/>
                <w:sz w:val="22"/>
                <w:szCs w:val="22"/>
              </w:rPr>
            </w:pPr>
            <w:r w:rsidRPr="00264D5D">
              <w:rPr>
                <w:b/>
                <w:bCs/>
                <w:sz w:val="22"/>
                <w:szCs w:val="22"/>
              </w:rPr>
              <w:t>Обязательность</w:t>
            </w:r>
          </w:p>
        </w:tc>
        <w:tc>
          <w:tcPr>
            <w:tcW w:w="2057" w:type="pct"/>
          </w:tcPr>
          <w:p w14:paraId="1D59B159" w14:textId="77777777" w:rsidR="00AD1F54" w:rsidRPr="00264D5D" w:rsidRDefault="00941227">
            <w:pPr>
              <w:spacing w:before="60" w:after="60"/>
              <w:jc w:val="center"/>
              <w:rPr>
                <w:b/>
                <w:bCs/>
                <w:sz w:val="22"/>
                <w:szCs w:val="22"/>
              </w:rPr>
            </w:pPr>
            <w:r w:rsidRPr="00264D5D">
              <w:rPr>
                <w:b/>
                <w:bCs/>
                <w:sz w:val="22"/>
                <w:szCs w:val="22"/>
              </w:rPr>
              <w:t>Дополнительная информация</w:t>
            </w:r>
          </w:p>
        </w:tc>
      </w:tr>
      <w:tr w:rsidR="00AD1F54" w:rsidRPr="00264D5D" w14:paraId="776A5877"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25D3350F" w14:textId="77777777" w:rsidR="00AD1F54" w:rsidRPr="00264D5D" w:rsidRDefault="00941227">
            <w:pPr>
              <w:spacing w:before="60" w:after="60"/>
              <w:rPr>
                <w:sz w:val="22"/>
                <w:szCs w:val="22"/>
                <w:lang w:val="en-US"/>
              </w:rPr>
            </w:pPr>
            <w:r w:rsidRPr="00264D5D">
              <w:rPr>
                <w:sz w:val="22"/>
                <w:szCs w:val="22"/>
              </w:rPr>
              <w:t>Идентификатор ТРУ в ГК</w:t>
            </w:r>
          </w:p>
        </w:tc>
        <w:tc>
          <w:tcPr>
            <w:tcW w:w="884" w:type="pct"/>
          </w:tcPr>
          <w:p w14:paraId="32A74981" w14:textId="77777777" w:rsidR="00AD1F54" w:rsidRPr="00264D5D" w:rsidRDefault="00941227">
            <w:pPr>
              <w:spacing w:before="60" w:after="60"/>
              <w:rPr>
                <w:sz w:val="22"/>
                <w:szCs w:val="22"/>
              </w:rPr>
            </w:pPr>
            <w:r w:rsidRPr="00264D5D">
              <w:rPr>
                <w:sz w:val="22"/>
                <w:szCs w:val="22"/>
                <w:lang w:val="en-US"/>
              </w:rPr>
              <w:t>Pjs_sid</w:t>
            </w:r>
          </w:p>
        </w:tc>
        <w:tc>
          <w:tcPr>
            <w:tcW w:w="294" w:type="pct"/>
          </w:tcPr>
          <w:p w14:paraId="56BBB786" w14:textId="77777777" w:rsidR="00AD1F54" w:rsidRPr="00264D5D" w:rsidRDefault="00941227">
            <w:pPr>
              <w:spacing w:before="60" w:after="60"/>
              <w:jc w:val="center"/>
              <w:rPr>
                <w:sz w:val="22"/>
                <w:szCs w:val="22"/>
              </w:rPr>
            </w:pPr>
            <w:r w:rsidRPr="00264D5D">
              <w:rPr>
                <w:sz w:val="22"/>
                <w:szCs w:val="22"/>
              </w:rPr>
              <w:t>П</w:t>
            </w:r>
          </w:p>
        </w:tc>
        <w:tc>
          <w:tcPr>
            <w:tcW w:w="589" w:type="pct"/>
          </w:tcPr>
          <w:p w14:paraId="7A7C6B77" w14:textId="77777777" w:rsidR="00AD1F54" w:rsidRPr="00264D5D" w:rsidRDefault="00941227">
            <w:pPr>
              <w:spacing w:before="60" w:after="60"/>
              <w:jc w:val="left"/>
              <w:rPr>
                <w:sz w:val="22"/>
                <w:szCs w:val="22"/>
              </w:rPr>
            </w:pPr>
            <w:r w:rsidRPr="00264D5D">
              <w:rPr>
                <w:sz w:val="22"/>
                <w:szCs w:val="22"/>
                <w:lang w:val="en-US"/>
              </w:rPr>
              <w:t>N(</w:t>
            </w:r>
            <w:r w:rsidRPr="00264D5D">
              <w:rPr>
                <w:sz w:val="22"/>
                <w:szCs w:val="22"/>
              </w:rPr>
              <w:t>1-</w:t>
            </w:r>
            <w:r w:rsidRPr="00264D5D">
              <w:rPr>
                <w:sz w:val="22"/>
                <w:szCs w:val="22"/>
                <w:lang w:val="en-US"/>
              </w:rPr>
              <w:t>20)</w:t>
            </w:r>
          </w:p>
        </w:tc>
        <w:tc>
          <w:tcPr>
            <w:tcW w:w="293" w:type="pct"/>
          </w:tcPr>
          <w:p w14:paraId="1233A1A1" w14:textId="77777777" w:rsidR="00AD1F54" w:rsidRPr="00264D5D" w:rsidRDefault="00941227">
            <w:pPr>
              <w:spacing w:before="60" w:after="60"/>
              <w:jc w:val="center"/>
              <w:rPr>
                <w:sz w:val="22"/>
                <w:szCs w:val="22"/>
              </w:rPr>
            </w:pPr>
            <w:r w:rsidRPr="00264D5D">
              <w:rPr>
                <w:sz w:val="22"/>
                <w:szCs w:val="22"/>
              </w:rPr>
              <w:t>О</w:t>
            </w:r>
          </w:p>
        </w:tc>
        <w:tc>
          <w:tcPr>
            <w:tcW w:w="2057" w:type="pct"/>
          </w:tcPr>
          <w:p w14:paraId="61CC5875" w14:textId="77777777" w:rsidR="00AD1F54" w:rsidRPr="00264D5D" w:rsidRDefault="00941227" w:rsidP="00676E27">
            <w:pPr>
              <w:spacing w:before="60" w:after="60"/>
              <w:rPr>
                <w:sz w:val="22"/>
                <w:szCs w:val="22"/>
              </w:rPr>
            </w:pPr>
            <w:r w:rsidRPr="00264D5D">
              <w:rPr>
                <w:sz w:val="22"/>
                <w:szCs w:val="22"/>
              </w:rPr>
              <w:t>Идентификатор товара, работы, услуги в ра</w:t>
            </w:r>
            <w:r w:rsidR="00676E27" w:rsidRPr="00264D5D">
              <w:rPr>
                <w:sz w:val="22"/>
                <w:szCs w:val="22"/>
              </w:rPr>
              <w:t>мках государственного контракта</w:t>
            </w:r>
          </w:p>
        </w:tc>
      </w:tr>
      <w:tr w:rsidR="00AD1F54" w:rsidRPr="00264D5D" w14:paraId="2F691E74"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3" w:type="pct"/>
          </w:tcPr>
          <w:p w14:paraId="45D0D6E0" w14:textId="77777777" w:rsidR="00AD1F54" w:rsidRPr="00264D5D" w:rsidRDefault="00941227">
            <w:pPr>
              <w:spacing w:before="60" w:after="60"/>
              <w:rPr>
                <w:sz w:val="22"/>
                <w:szCs w:val="22"/>
              </w:rPr>
            </w:pPr>
            <w:r w:rsidRPr="00264D5D">
              <w:rPr>
                <w:sz w:val="22"/>
                <w:szCs w:val="22"/>
              </w:rPr>
              <w:t>Наименование товара, работы, услуги</w:t>
            </w:r>
          </w:p>
        </w:tc>
        <w:tc>
          <w:tcPr>
            <w:tcW w:w="884" w:type="pct"/>
          </w:tcPr>
          <w:p w14:paraId="77D01CC6" w14:textId="77777777" w:rsidR="00AD1F54" w:rsidRPr="00264D5D" w:rsidRDefault="00941227">
            <w:pPr>
              <w:spacing w:before="60" w:after="60"/>
              <w:rPr>
                <w:sz w:val="22"/>
                <w:szCs w:val="22"/>
              </w:rPr>
            </w:pPr>
            <w:r w:rsidRPr="00264D5D">
              <w:rPr>
                <w:sz w:val="22"/>
                <w:szCs w:val="22"/>
              </w:rPr>
              <w:t>Pjs_Nm</w:t>
            </w:r>
          </w:p>
        </w:tc>
        <w:tc>
          <w:tcPr>
            <w:tcW w:w="294" w:type="pct"/>
          </w:tcPr>
          <w:p w14:paraId="05ECCA20" w14:textId="77777777" w:rsidR="00AD1F54" w:rsidRPr="00264D5D" w:rsidRDefault="00941227">
            <w:pPr>
              <w:spacing w:before="60" w:after="60"/>
              <w:jc w:val="center"/>
              <w:rPr>
                <w:sz w:val="22"/>
                <w:szCs w:val="22"/>
              </w:rPr>
            </w:pPr>
            <w:r w:rsidRPr="00264D5D">
              <w:rPr>
                <w:sz w:val="22"/>
                <w:szCs w:val="22"/>
              </w:rPr>
              <w:t>П</w:t>
            </w:r>
          </w:p>
        </w:tc>
        <w:tc>
          <w:tcPr>
            <w:tcW w:w="589" w:type="pct"/>
          </w:tcPr>
          <w:p w14:paraId="6812DA35" w14:textId="77777777" w:rsidR="00AD1F54" w:rsidRPr="00264D5D" w:rsidRDefault="00941227">
            <w:pPr>
              <w:spacing w:before="60" w:after="60"/>
              <w:jc w:val="left"/>
              <w:rPr>
                <w:sz w:val="22"/>
                <w:szCs w:val="22"/>
              </w:rPr>
            </w:pPr>
            <w:r w:rsidRPr="00264D5D">
              <w:rPr>
                <w:sz w:val="22"/>
                <w:szCs w:val="22"/>
              </w:rPr>
              <w:t>Т(1-4000)</w:t>
            </w:r>
          </w:p>
        </w:tc>
        <w:tc>
          <w:tcPr>
            <w:tcW w:w="293" w:type="pct"/>
          </w:tcPr>
          <w:p w14:paraId="364A0004" w14:textId="77777777" w:rsidR="00AD1F54" w:rsidRPr="00264D5D" w:rsidRDefault="00941227">
            <w:pPr>
              <w:spacing w:before="60" w:after="60"/>
              <w:jc w:val="center"/>
              <w:rPr>
                <w:sz w:val="22"/>
                <w:szCs w:val="22"/>
              </w:rPr>
            </w:pPr>
            <w:r w:rsidRPr="00264D5D">
              <w:rPr>
                <w:sz w:val="22"/>
                <w:szCs w:val="22"/>
              </w:rPr>
              <w:t>О</w:t>
            </w:r>
          </w:p>
        </w:tc>
        <w:tc>
          <w:tcPr>
            <w:tcW w:w="2057" w:type="pct"/>
          </w:tcPr>
          <w:p w14:paraId="4FEF6E59" w14:textId="77777777" w:rsidR="00AD1F54" w:rsidRPr="00264D5D" w:rsidRDefault="00941227" w:rsidP="00676E27">
            <w:pPr>
              <w:spacing w:before="60" w:after="60"/>
              <w:rPr>
                <w:sz w:val="22"/>
                <w:szCs w:val="22"/>
              </w:rPr>
            </w:pPr>
            <w:r w:rsidRPr="00264D5D">
              <w:rPr>
                <w:sz w:val="22"/>
                <w:szCs w:val="22"/>
              </w:rPr>
              <w:t>Наим</w:t>
            </w:r>
            <w:r w:rsidR="00676E27" w:rsidRPr="00264D5D">
              <w:rPr>
                <w:sz w:val="22"/>
                <w:szCs w:val="22"/>
              </w:rPr>
              <w:t>енование товара, работы, услуги</w:t>
            </w:r>
          </w:p>
        </w:tc>
      </w:tr>
      <w:tr w:rsidR="00AD1F54" w:rsidRPr="00264D5D" w14:paraId="2FE0BB6D"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6EC224F9" w14:textId="77777777" w:rsidR="00AD1F54" w:rsidRPr="00264D5D" w:rsidRDefault="00941227">
            <w:pPr>
              <w:spacing w:before="60" w:after="60"/>
              <w:rPr>
                <w:sz w:val="22"/>
                <w:szCs w:val="22"/>
              </w:rPr>
            </w:pPr>
            <w:r w:rsidRPr="00264D5D">
              <w:rPr>
                <w:sz w:val="22"/>
                <w:szCs w:val="22"/>
              </w:rPr>
              <w:t>Тип объекта закупки</w:t>
            </w:r>
          </w:p>
        </w:tc>
        <w:tc>
          <w:tcPr>
            <w:tcW w:w="884" w:type="pct"/>
          </w:tcPr>
          <w:p w14:paraId="291166AF" w14:textId="77777777" w:rsidR="00AD1F54" w:rsidRPr="00264D5D" w:rsidRDefault="00941227">
            <w:pPr>
              <w:spacing w:before="60" w:after="60"/>
              <w:rPr>
                <w:rFonts w:eastAsia="Calibri"/>
                <w:color w:val="000000"/>
                <w:sz w:val="22"/>
                <w:szCs w:val="22"/>
              </w:rPr>
            </w:pPr>
            <w:r w:rsidRPr="00264D5D">
              <w:rPr>
                <w:rFonts w:eastAsia="Calibri"/>
                <w:color w:val="000000"/>
                <w:sz w:val="22"/>
                <w:szCs w:val="22"/>
              </w:rPr>
              <w:t>TypeBuyObj</w:t>
            </w:r>
          </w:p>
        </w:tc>
        <w:tc>
          <w:tcPr>
            <w:tcW w:w="294" w:type="pct"/>
          </w:tcPr>
          <w:p w14:paraId="1B9D15BA" w14:textId="77777777" w:rsidR="00AD1F54" w:rsidRPr="00264D5D" w:rsidRDefault="00941227">
            <w:pPr>
              <w:spacing w:before="60" w:after="60"/>
              <w:jc w:val="center"/>
              <w:rPr>
                <w:sz w:val="22"/>
                <w:szCs w:val="22"/>
              </w:rPr>
            </w:pPr>
            <w:r w:rsidRPr="00264D5D">
              <w:rPr>
                <w:sz w:val="22"/>
                <w:szCs w:val="22"/>
              </w:rPr>
              <w:t>П</w:t>
            </w:r>
          </w:p>
        </w:tc>
        <w:tc>
          <w:tcPr>
            <w:tcW w:w="589" w:type="pct"/>
          </w:tcPr>
          <w:p w14:paraId="7457455A" w14:textId="77777777" w:rsidR="00AD1F54" w:rsidRPr="00264D5D" w:rsidRDefault="00941227">
            <w:pPr>
              <w:spacing w:before="60" w:after="60"/>
              <w:jc w:val="left"/>
              <w:rPr>
                <w:sz w:val="22"/>
                <w:szCs w:val="22"/>
              </w:rPr>
            </w:pPr>
            <w:r w:rsidRPr="00264D5D">
              <w:rPr>
                <w:sz w:val="22"/>
                <w:szCs w:val="22"/>
              </w:rPr>
              <w:t>Т(1-100)</w:t>
            </w:r>
          </w:p>
        </w:tc>
        <w:tc>
          <w:tcPr>
            <w:tcW w:w="293" w:type="pct"/>
          </w:tcPr>
          <w:p w14:paraId="530C8428" w14:textId="77777777" w:rsidR="00AD1F54" w:rsidRPr="00264D5D" w:rsidRDefault="00941227">
            <w:pPr>
              <w:spacing w:before="60" w:after="60"/>
              <w:jc w:val="center"/>
              <w:rPr>
                <w:sz w:val="22"/>
                <w:szCs w:val="22"/>
              </w:rPr>
            </w:pPr>
            <w:r w:rsidRPr="00264D5D">
              <w:rPr>
                <w:sz w:val="22"/>
                <w:szCs w:val="22"/>
              </w:rPr>
              <w:t>О</w:t>
            </w:r>
          </w:p>
        </w:tc>
        <w:tc>
          <w:tcPr>
            <w:tcW w:w="2057" w:type="pct"/>
          </w:tcPr>
          <w:p w14:paraId="2236D31E" w14:textId="77777777" w:rsidR="00AD1F54" w:rsidRPr="00264D5D" w:rsidRDefault="00941227" w:rsidP="00676E27">
            <w:pPr>
              <w:spacing w:before="60" w:after="60"/>
              <w:rPr>
                <w:sz w:val="22"/>
                <w:szCs w:val="22"/>
              </w:rPr>
            </w:pPr>
            <w:r w:rsidRPr="00264D5D">
              <w:rPr>
                <w:sz w:val="22"/>
                <w:szCs w:val="22"/>
              </w:rPr>
              <w:t>Тип объекта закупки.</w:t>
            </w:r>
          </w:p>
          <w:p w14:paraId="2C4DDE8C" w14:textId="77777777" w:rsidR="00AD1F54" w:rsidRPr="00264D5D" w:rsidRDefault="00941227" w:rsidP="00676E27">
            <w:pPr>
              <w:spacing w:before="60" w:after="60"/>
              <w:rPr>
                <w:sz w:val="22"/>
                <w:szCs w:val="22"/>
              </w:rPr>
            </w:pPr>
            <w:r w:rsidRPr="00264D5D">
              <w:rPr>
                <w:sz w:val="22"/>
                <w:szCs w:val="22"/>
              </w:rPr>
              <w:t>Возможные значения:</w:t>
            </w:r>
          </w:p>
          <w:p w14:paraId="425F60A0" w14:textId="77777777" w:rsidR="00AD1F54" w:rsidRPr="00264D5D" w:rsidRDefault="00941227" w:rsidP="00E7460C">
            <w:pPr>
              <w:pStyle w:val="GOSTTableListMark1"/>
              <w:numPr>
                <w:ilvl w:val="0"/>
                <w:numId w:val="80"/>
              </w:numPr>
              <w:spacing w:before="60" w:after="60"/>
              <w:ind w:left="284" w:hanging="227"/>
              <w:jc w:val="both"/>
              <w:rPr>
                <w:szCs w:val="22"/>
              </w:rPr>
            </w:pPr>
            <w:r w:rsidRPr="00264D5D">
              <w:rPr>
                <w:szCs w:val="22"/>
              </w:rPr>
              <w:t>Товар;</w:t>
            </w:r>
          </w:p>
          <w:p w14:paraId="600AA3B4" w14:textId="77777777" w:rsidR="00AD1F54" w:rsidRPr="00264D5D" w:rsidRDefault="00941227" w:rsidP="00E7460C">
            <w:pPr>
              <w:pStyle w:val="GOSTTableListMark1"/>
              <w:numPr>
                <w:ilvl w:val="0"/>
                <w:numId w:val="80"/>
              </w:numPr>
              <w:spacing w:before="60" w:after="60"/>
              <w:ind w:left="284" w:hanging="227"/>
              <w:jc w:val="both"/>
              <w:rPr>
                <w:szCs w:val="22"/>
              </w:rPr>
            </w:pPr>
            <w:r w:rsidRPr="00264D5D">
              <w:rPr>
                <w:szCs w:val="22"/>
              </w:rPr>
              <w:t>Работа;</w:t>
            </w:r>
          </w:p>
          <w:p w14:paraId="13371878" w14:textId="77777777" w:rsidR="00AD1F54" w:rsidRPr="00264D5D" w:rsidRDefault="00941227" w:rsidP="00E7460C">
            <w:pPr>
              <w:pStyle w:val="GOSTTableListMark1"/>
              <w:numPr>
                <w:ilvl w:val="0"/>
                <w:numId w:val="80"/>
              </w:numPr>
              <w:spacing w:before="60" w:after="60"/>
              <w:ind w:left="284" w:hanging="227"/>
              <w:jc w:val="both"/>
              <w:rPr>
                <w:szCs w:val="22"/>
              </w:rPr>
            </w:pPr>
            <w:r w:rsidRPr="00264D5D">
              <w:rPr>
                <w:szCs w:val="22"/>
              </w:rPr>
              <w:t>Услуга;</w:t>
            </w:r>
          </w:p>
          <w:p w14:paraId="43B27289" w14:textId="77777777" w:rsidR="00AD1F54" w:rsidRPr="00264D5D" w:rsidRDefault="00676E27" w:rsidP="00E7460C">
            <w:pPr>
              <w:pStyle w:val="GOSTTableListMark1"/>
              <w:numPr>
                <w:ilvl w:val="0"/>
                <w:numId w:val="80"/>
              </w:numPr>
              <w:spacing w:before="60" w:after="60"/>
              <w:ind w:left="284" w:hanging="227"/>
              <w:jc w:val="both"/>
              <w:rPr>
                <w:szCs w:val="22"/>
              </w:rPr>
            </w:pPr>
            <w:r w:rsidRPr="00264D5D">
              <w:rPr>
                <w:szCs w:val="22"/>
              </w:rPr>
              <w:t>Не указано</w:t>
            </w:r>
          </w:p>
        </w:tc>
      </w:tr>
      <w:tr w:rsidR="00AD1F54" w:rsidRPr="00264D5D" w14:paraId="43AA773B"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3" w:type="pct"/>
          </w:tcPr>
          <w:p w14:paraId="5B830D47" w14:textId="77777777" w:rsidR="00AD1F54" w:rsidRPr="00264D5D" w:rsidRDefault="00941227">
            <w:pPr>
              <w:spacing w:before="60" w:after="60"/>
              <w:rPr>
                <w:sz w:val="22"/>
                <w:szCs w:val="22"/>
              </w:rPr>
            </w:pPr>
            <w:r w:rsidRPr="00264D5D">
              <w:rPr>
                <w:sz w:val="22"/>
                <w:szCs w:val="22"/>
              </w:rPr>
              <w:t>Является основным средством</w:t>
            </w:r>
          </w:p>
        </w:tc>
        <w:tc>
          <w:tcPr>
            <w:tcW w:w="884" w:type="pct"/>
          </w:tcPr>
          <w:p w14:paraId="4DA13DF9" w14:textId="77777777" w:rsidR="00AD1F54" w:rsidRPr="00264D5D" w:rsidRDefault="00941227">
            <w:pPr>
              <w:spacing w:before="60" w:after="60"/>
              <w:rPr>
                <w:rFonts w:eastAsia="Calibri"/>
                <w:color w:val="000000"/>
                <w:sz w:val="22"/>
                <w:szCs w:val="22"/>
                <w:lang w:val="en-US"/>
              </w:rPr>
            </w:pPr>
            <w:r w:rsidRPr="00264D5D">
              <w:rPr>
                <w:rFonts w:eastAsia="Calibri"/>
                <w:color w:val="000000"/>
                <w:sz w:val="22"/>
                <w:szCs w:val="22"/>
                <w:lang w:val="en-US"/>
              </w:rPr>
              <w:t>FixAsset</w:t>
            </w:r>
          </w:p>
        </w:tc>
        <w:tc>
          <w:tcPr>
            <w:tcW w:w="294" w:type="pct"/>
          </w:tcPr>
          <w:p w14:paraId="3DD369DA" w14:textId="77777777" w:rsidR="00AD1F54" w:rsidRPr="00264D5D" w:rsidRDefault="00941227">
            <w:pPr>
              <w:spacing w:before="60" w:after="60"/>
              <w:jc w:val="center"/>
              <w:rPr>
                <w:sz w:val="22"/>
                <w:szCs w:val="22"/>
              </w:rPr>
            </w:pPr>
            <w:r w:rsidRPr="00264D5D">
              <w:rPr>
                <w:sz w:val="22"/>
                <w:szCs w:val="22"/>
              </w:rPr>
              <w:t>П</w:t>
            </w:r>
          </w:p>
        </w:tc>
        <w:tc>
          <w:tcPr>
            <w:tcW w:w="589" w:type="pct"/>
          </w:tcPr>
          <w:p w14:paraId="7290955A" w14:textId="77777777" w:rsidR="00AD1F54" w:rsidRPr="00264D5D" w:rsidRDefault="00941227">
            <w:pPr>
              <w:spacing w:before="60" w:after="60"/>
              <w:jc w:val="left"/>
              <w:rPr>
                <w:sz w:val="22"/>
                <w:szCs w:val="22"/>
              </w:rPr>
            </w:pPr>
            <w:r w:rsidRPr="00264D5D">
              <w:rPr>
                <w:sz w:val="22"/>
                <w:szCs w:val="22"/>
              </w:rPr>
              <w:t>Т(1-100)</w:t>
            </w:r>
          </w:p>
        </w:tc>
        <w:tc>
          <w:tcPr>
            <w:tcW w:w="293" w:type="pct"/>
          </w:tcPr>
          <w:p w14:paraId="2FBE90A3" w14:textId="77777777" w:rsidR="00AD1F54" w:rsidRPr="00264D5D" w:rsidRDefault="00941227">
            <w:pPr>
              <w:spacing w:before="60" w:after="60"/>
              <w:jc w:val="center"/>
              <w:rPr>
                <w:sz w:val="22"/>
                <w:szCs w:val="22"/>
              </w:rPr>
            </w:pPr>
            <w:r w:rsidRPr="00264D5D">
              <w:rPr>
                <w:sz w:val="22"/>
                <w:szCs w:val="22"/>
              </w:rPr>
              <w:t>О</w:t>
            </w:r>
          </w:p>
        </w:tc>
        <w:tc>
          <w:tcPr>
            <w:tcW w:w="2057" w:type="pct"/>
          </w:tcPr>
          <w:p w14:paraId="3CBF8945" w14:textId="77777777" w:rsidR="00AD1F54" w:rsidRPr="00264D5D" w:rsidRDefault="00941227" w:rsidP="00676E27">
            <w:pPr>
              <w:spacing w:before="60" w:after="60"/>
              <w:rPr>
                <w:sz w:val="22"/>
                <w:szCs w:val="22"/>
              </w:rPr>
            </w:pPr>
            <w:r w:rsidRPr="00264D5D">
              <w:rPr>
                <w:sz w:val="22"/>
                <w:szCs w:val="22"/>
              </w:rPr>
              <w:t>Возможные значения:</w:t>
            </w:r>
          </w:p>
          <w:p w14:paraId="1B01DD8E" w14:textId="77777777" w:rsidR="00AD1F54" w:rsidRPr="00264D5D" w:rsidRDefault="00941227" w:rsidP="00E7460C">
            <w:pPr>
              <w:pStyle w:val="GOSTTableListMark1"/>
              <w:numPr>
                <w:ilvl w:val="0"/>
                <w:numId w:val="80"/>
              </w:numPr>
              <w:spacing w:before="60" w:after="60"/>
              <w:ind w:left="284" w:hanging="227"/>
              <w:jc w:val="both"/>
              <w:rPr>
                <w:szCs w:val="22"/>
              </w:rPr>
            </w:pPr>
            <w:r w:rsidRPr="00264D5D">
              <w:rPr>
                <w:szCs w:val="22"/>
              </w:rPr>
              <w:t>Да;</w:t>
            </w:r>
          </w:p>
          <w:p w14:paraId="319D60FC" w14:textId="77777777" w:rsidR="00AD1F54" w:rsidRPr="00264D5D" w:rsidRDefault="00941227" w:rsidP="00E7460C">
            <w:pPr>
              <w:pStyle w:val="GOSTTableListMark1"/>
              <w:numPr>
                <w:ilvl w:val="0"/>
                <w:numId w:val="80"/>
              </w:numPr>
              <w:spacing w:before="60" w:after="60"/>
              <w:ind w:left="284" w:hanging="227"/>
              <w:jc w:val="both"/>
              <w:rPr>
                <w:szCs w:val="22"/>
              </w:rPr>
            </w:pPr>
            <w:r w:rsidRPr="00264D5D">
              <w:rPr>
                <w:szCs w:val="22"/>
              </w:rPr>
              <w:t>Нет;</w:t>
            </w:r>
          </w:p>
          <w:p w14:paraId="7D9E7990" w14:textId="77777777" w:rsidR="00AD1F54" w:rsidRPr="00264D5D" w:rsidRDefault="00676E27" w:rsidP="00E7460C">
            <w:pPr>
              <w:pStyle w:val="GOSTTableListMark1"/>
              <w:numPr>
                <w:ilvl w:val="0"/>
                <w:numId w:val="80"/>
              </w:numPr>
              <w:spacing w:before="60" w:after="60"/>
              <w:ind w:left="284" w:hanging="227"/>
              <w:jc w:val="both"/>
              <w:rPr>
                <w:szCs w:val="22"/>
              </w:rPr>
            </w:pPr>
            <w:r w:rsidRPr="00264D5D">
              <w:rPr>
                <w:szCs w:val="22"/>
              </w:rPr>
              <w:t>Не указано</w:t>
            </w:r>
          </w:p>
        </w:tc>
      </w:tr>
      <w:tr w:rsidR="00AD1F54" w:rsidRPr="00264D5D" w14:paraId="47F30A39"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7DACFE41" w14:textId="77777777" w:rsidR="00AD1F54" w:rsidRPr="00264D5D" w:rsidRDefault="00941227">
            <w:pPr>
              <w:spacing w:before="60" w:after="60"/>
              <w:rPr>
                <w:sz w:val="22"/>
                <w:szCs w:val="22"/>
              </w:rPr>
            </w:pPr>
            <w:r w:rsidRPr="00264D5D">
              <w:rPr>
                <w:bCs/>
                <w:sz w:val="22"/>
                <w:szCs w:val="22"/>
              </w:rPr>
              <w:t>Способ указания объема выполнения работы, оказания услуги</w:t>
            </w:r>
          </w:p>
        </w:tc>
        <w:tc>
          <w:tcPr>
            <w:tcW w:w="884" w:type="pct"/>
          </w:tcPr>
          <w:p w14:paraId="70A2EC10" w14:textId="77777777" w:rsidR="00AD1F54" w:rsidRPr="00264D5D" w:rsidRDefault="00941227">
            <w:pPr>
              <w:spacing w:before="60" w:after="60"/>
              <w:rPr>
                <w:rFonts w:eastAsia="Calibri"/>
                <w:color w:val="000000"/>
                <w:sz w:val="22"/>
                <w:szCs w:val="22"/>
              </w:rPr>
            </w:pPr>
            <w:r w:rsidRPr="00264D5D">
              <w:rPr>
                <w:rFonts w:eastAsia="Calibri"/>
                <w:color w:val="000000"/>
                <w:sz w:val="22"/>
                <w:szCs w:val="22"/>
              </w:rPr>
              <w:t>MetodVol</w:t>
            </w:r>
          </w:p>
        </w:tc>
        <w:tc>
          <w:tcPr>
            <w:tcW w:w="294" w:type="pct"/>
          </w:tcPr>
          <w:p w14:paraId="354703BF" w14:textId="77777777" w:rsidR="00AD1F54" w:rsidRPr="00264D5D" w:rsidRDefault="00941227">
            <w:pPr>
              <w:spacing w:before="60" w:after="60"/>
              <w:jc w:val="center"/>
              <w:rPr>
                <w:sz w:val="22"/>
                <w:szCs w:val="22"/>
              </w:rPr>
            </w:pPr>
            <w:r w:rsidRPr="00264D5D">
              <w:rPr>
                <w:sz w:val="22"/>
                <w:szCs w:val="22"/>
              </w:rPr>
              <w:t>П</w:t>
            </w:r>
          </w:p>
        </w:tc>
        <w:tc>
          <w:tcPr>
            <w:tcW w:w="589" w:type="pct"/>
          </w:tcPr>
          <w:p w14:paraId="00677974" w14:textId="77777777" w:rsidR="00AD1F54" w:rsidRPr="00264D5D" w:rsidRDefault="00941227">
            <w:pPr>
              <w:spacing w:before="60" w:after="60"/>
              <w:jc w:val="left"/>
              <w:rPr>
                <w:sz w:val="22"/>
                <w:szCs w:val="22"/>
              </w:rPr>
            </w:pPr>
            <w:r w:rsidRPr="00264D5D">
              <w:rPr>
                <w:sz w:val="22"/>
                <w:szCs w:val="22"/>
              </w:rPr>
              <w:t>Т(1-1000)</w:t>
            </w:r>
          </w:p>
        </w:tc>
        <w:tc>
          <w:tcPr>
            <w:tcW w:w="293" w:type="pct"/>
          </w:tcPr>
          <w:p w14:paraId="1CAAFA0F" w14:textId="77777777" w:rsidR="00AD1F54" w:rsidRPr="00264D5D" w:rsidRDefault="00941227">
            <w:pPr>
              <w:spacing w:before="60" w:after="60"/>
              <w:jc w:val="center"/>
              <w:rPr>
                <w:sz w:val="22"/>
                <w:szCs w:val="22"/>
              </w:rPr>
            </w:pPr>
            <w:r w:rsidRPr="00264D5D">
              <w:rPr>
                <w:sz w:val="22"/>
                <w:szCs w:val="22"/>
              </w:rPr>
              <w:t>Н</w:t>
            </w:r>
          </w:p>
        </w:tc>
        <w:tc>
          <w:tcPr>
            <w:tcW w:w="2057" w:type="pct"/>
          </w:tcPr>
          <w:p w14:paraId="6647DDA7" w14:textId="77777777" w:rsidR="00AD1F54" w:rsidRPr="00264D5D" w:rsidRDefault="00941227" w:rsidP="00676E27">
            <w:pPr>
              <w:spacing w:before="60" w:after="60"/>
              <w:rPr>
                <w:sz w:val="22"/>
                <w:szCs w:val="22"/>
              </w:rPr>
            </w:pPr>
            <w:r w:rsidRPr="00264D5D">
              <w:rPr>
                <w:sz w:val="22"/>
                <w:szCs w:val="22"/>
              </w:rPr>
              <w:t>Способ указания объема выполнения работы, оказания услуг. Возможные значения:</w:t>
            </w:r>
          </w:p>
          <w:p w14:paraId="6E0F2D7A" w14:textId="77777777" w:rsidR="00AD1F54" w:rsidRPr="00264D5D" w:rsidRDefault="00941227" w:rsidP="00E7460C">
            <w:pPr>
              <w:pStyle w:val="GOSTTableListMark1"/>
              <w:numPr>
                <w:ilvl w:val="0"/>
                <w:numId w:val="80"/>
              </w:numPr>
              <w:spacing w:before="60" w:after="60"/>
              <w:ind w:left="284" w:hanging="227"/>
              <w:jc w:val="both"/>
              <w:rPr>
                <w:szCs w:val="22"/>
              </w:rPr>
            </w:pPr>
            <w:r w:rsidRPr="00264D5D">
              <w:rPr>
                <w:szCs w:val="22"/>
              </w:rPr>
              <w:t>Объем не может быть указан в количественном выражении (указание объема в текстовом виде);</w:t>
            </w:r>
          </w:p>
          <w:p w14:paraId="57508B0B" w14:textId="77777777" w:rsidR="00AD1F54" w:rsidRPr="00264D5D" w:rsidRDefault="00941227" w:rsidP="00E7460C">
            <w:pPr>
              <w:pStyle w:val="GOSTTableListMark1"/>
              <w:numPr>
                <w:ilvl w:val="0"/>
                <w:numId w:val="80"/>
              </w:numPr>
              <w:spacing w:before="60" w:after="60"/>
              <w:ind w:left="284" w:hanging="227"/>
              <w:jc w:val="both"/>
              <w:rPr>
                <w:szCs w:val="22"/>
              </w:rPr>
            </w:pPr>
            <w:r w:rsidRPr="00264D5D">
              <w:rPr>
                <w:szCs w:val="22"/>
              </w:rPr>
              <w:t>Объем может быть ук</w:t>
            </w:r>
            <w:r w:rsidR="00676E27" w:rsidRPr="00264D5D">
              <w:rPr>
                <w:szCs w:val="22"/>
              </w:rPr>
              <w:t xml:space="preserve">азан в </w:t>
            </w:r>
            <w:r w:rsidR="00676E27" w:rsidRPr="00264D5D">
              <w:rPr>
                <w:szCs w:val="22"/>
              </w:rPr>
              <w:lastRenderedPageBreak/>
              <w:t>количественном выражении</w:t>
            </w:r>
          </w:p>
        </w:tc>
      </w:tr>
      <w:tr w:rsidR="00AD1F54" w:rsidRPr="00264D5D" w14:paraId="3E42C7B5"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3" w:type="pct"/>
          </w:tcPr>
          <w:p w14:paraId="51DC15C1" w14:textId="77777777" w:rsidR="00AD1F54" w:rsidRPr="00264D5D" w:rsidRDefault="00941227">
            <w:pPr>
              <w:spacing w:before="60" w:after="60"/>
              <w:rPr>
                <w:sz w:val="22"/>
                <w:szCs w:val="22"/>
              </w:rPr>
            </w:pPr>
            <w:r w:rsidRPr="00264D5D">
              <w:rPr>
                <w:sz w:val="22"/>
                <w:szCs w:val="22"/>
              </w:rPr>
              <w:lastRenderedPageBreak/>
              <w:t>Код единицы измерения</w:t>
            </w:r>
          </w:p>
        </w:tc>
        <w:tc>
          <w:tcPr>
            <w:tcW w:w="884" w:type="pct"/>
          </w:tcPr>
          <w:p w14:paraId="033B8048" w14:textId="77777777" w:rsidR="00AD1F54" w:rsidRPr="00264D5D" w:rsidRDefault="00941227">
            <w:pPr>
              <w:spacing w:before="60" w:after="60"/>
              <w:rPr>
                <w:sz w:val="22"/>
                <w:szCs w:val="22"/>
              </w:rPr>
            </w:pPr>
            <w:r w:rsidRPr="00264D5D">
              <w:rPr>
                <w:sz w:val="22"/>
                <w:szCs w:val="22"/>
              </w:rPr>
              <w:t>Nt_Cd</w:t>
            </w:r>
          </w:p>
        </w:tc>
        <w:tc>
          <w:tcPr>
            <w:tcW w:w="294" w:type="pct"/>
          </w:tcPr>
          <w:p w14:paraId="1CB5049A" w14:textId="77777777" w:rsidR="00AD1F54" w:rsidRPr="00264D5D" w:rsidRDefault="00941227">
            <w:pPr>
              <w:spacing w:before="60" w:after="60"/>
              <w:jc w:val="center"/>
              <w:rPr>
                <w:sz w:val="22"/>
                <w:szCs w:val="22"/>
              </w:rPr>
            </w:pPr>
            <w:r w:rsidRPr="00264D5D">
              <w:rPr>
                <w:sz w:val="22"/>
                <w:szCs w:val="22"/>
              </w:rPr>
              <w:t>П</w:t>
            </w:r>
          </w:p>
        </w:tc>
        <w:tc>
          <w:tcPr>
            <w:tcW w:w="589" w:type="pct"/>
          </w:tcPr>
          <w:p w14:paraId="677E557F" w14:textId="77777777" w:rsidR="00AD1F54" w:rsidRPr="00264D5D" w:rsidRDefault="00941227">
            <w:pPr>
              <w:spacing w:before="60" w:after="60"/>
              <w:jc w:val="left"/>
              <w:rPr>
                <w:sz w:val="22"/>
                <w:szCs w:val="22"/>
              </w:rPr>
            </w:pPr>
            <w:r w:rsidRPr="00264D5D">
              <w:rPr>
                <w:sz w:val="22"/>
                <w:szCs w:val="22"/>
              </w:rPr>
              <w:t>Т(1-4)</w:t>
            </w:r>
          </w:p>
        </w:tc>
        <w:tc>
          <w:tcPr>
            <w:tcW w:w="293" w:type="pct"/>
          </w:tcPr>
          <w:p w14:paraId="74A2D9E7" w14:textId="77777777" w:rsidR="00AD1F54" w:rsidRPr="00264D5D" w:rsidRDefault="00941227">
            <w:pPr>
              <w:spacing w:before="60" w:after="60"/>
              <w:jc w:val="center"/>
              <w:rPr>
                <w:sz w:val="22"/>
                <w:szCs w:val="22"/>
              </w:rPr>
            </w:pPr>
            <w:r w:rsidRPr="00264D5D">
              <w:rPr>
                <w:sz w:val="22"/>
                <w:szCs w:val="22"/>
              </w:rPr>
              <w:t>О</w:t>
            </w:r>
          </w:p>
        </w:tc>
        <w:tc>
          <w:tcPr>
            <w:tcW w:w="2057" w:type="pct"/>
          </w:tcPr>
          <w:p w14:paraId="268E5AEC" w14:textId="77777777" w:rsidR="00AD1F54" w:rsidRPr="00264D5D" w:rsidRDefault="00941227" w:rsidP="00676E27">
            <w:pPr>
              <w:spacing w:before="60" w:after="60"/>
              <w:rPr>
                <w:sz w:val="22"/>
                <w:szCs w:val="22"/>
              </w:rPr>
            </w:pPr>
            <w:r w:rsidRPr="00264D5D">
              <w:rPr>
                <w:sz w:val="22"/>
                <w:szCs w:val="22"/>
              </w:rPr>
              <w:t>Код единицы измерения по ОКЕИ</w:t>
            </w:r>
          </w:p>
        </w:tc>
      </w:tr>
      <w:tr w:rsidR="00AD1F54" w:rsidRPr="00264D5D" w14:paraId="685A21F6"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22F43888" w14:textId="77777777" w:rsidR="00AD1F54" w:rsidRPr="00264D5D" w:rsidRDefault="00941227">
            <w:pPr>
              <w:spacing w:before="60" w:after="60"/>
              <w:rPr>
                <w:sz w:val="22"/>
                <w:szCs w:val="22"/>
              </w:rPr>
            </w:pPr>
            <w:r w:rsidRPr="00264D5D">
              <w:rPr>
                <w:sz w:val="22"/>
                <w:szCs w:val="22"/>
              </w:rPr>
              <w:t>Условное обозначение единицы измерения</w:t>
            </w:r>
          </w:p>
        </w:tc>
        <w:tc>
          <w:tcPr>
            <w:tcW w:w="884" w:type="pct"/>
          </w:tcPr>
          <w:p w14:paraId="0E2981B7" w14:textId="77777777" w:rsidR="00AD1F54" w:rsidRPr="00264D5D" w:rsidRDefault="00941227">
            <w:pPr>
              <w:spacing w:before="60" w:after="60"/>
              <w:rPr>
                <w:sz w:val="22"/>
                <w:szCs w:val="22"/>
              </w:rPr>
            </w:pPr>
            <w:r w:rsidRPr="00264D5D">
              <w:rPr>
                <w:sz w:val="22"/>
                <w:szCs w:val="22"/>
              </w:rPr>
              <w:t>Nt_NCd</w:t>
            </w:r>
          </w:p>
        </w:tc>
        <w:tc>
          <w:tcPr>
            <w:tcW w:w="294" w:type="pct"/>
          </w:tcPr>
          <w:p w14:paraId="696207D2" w14:textId="77777777" w:rsidR="00AD1F54" w:rsidRPr="00264D5D" w:rsidRDefault="00941227">
            <w:pPr>
              <w:spacing w:before="60" w:after="60"/>
              <w:jc w:val="center"/>
              <w:rPr>
                <w:sz w:val="22"/>
                <w:szCs w:val="22"/>
              </w:rPr>
            </w:pPr>
            <w:r w:rsidRPr="00264D5D">
              <w:rPr>
                <w:sz w:val="22"/>
                <w:szCs w:val="22"/>
              </w:rPr>
              <w:t>П</w:t>
            </w:r>
          </w:p>
        </w:tc>
        <w:tc>
          <w:tcPr>
            <w:tcW w:w="589" w:type="pct"/>
          </w:tcPr>
          <w:p w14:paraId="70D2E1EC" w14:textId="77777777" w:rsidR="00AD1F54" w:rsidRPr="00264D5D" w:rsidRDefault="00941227">
            <w:pPr>
              <w:spacing w:before="60" w:after="60"/>
              <w:jc w:val="left"/>
              <w:rPr>
                <w:sz w:val="22"/>
                <w:szCs w:val="22"/>
              </w:rPr>
            </w:pPr>
            <w:r w:rsidRPr="00264D5D">
              <w:rPr>
                <w:sz w:val="22"/>
                <w:szCs w:val="22"/>
              </w:rPr>
              <w:t>Т(1-50)</w:t>
            </w:r>
          </w:p>
        </w:tc>
        <w:tc>
          <w:tcPr>
            <w:tcW w:w="293" w:type="pct"/>
          </w:tcPr>
          <w:p w14:paraId="65320462" w14:textId="77777777" w:rsidR="00AD1F54" w:rsidRPr="00264D5D" w:rsidRDefault="00941227">
            <w:pPr>
              <w:spacing w:before="60" w:after="60"/>
              <w:jc w:val="center"/>
              <w:rPr>
                <w:sz w:val="22"/>
                <w:szCs w:val="22"/>
              </w:rPr>
            </w:pPr>
            <w:r w:rsidRPr="00264D5D">
              <w:rPr>
                <w:sz w:val="22"/>
                <w:szCs w:val="22"/>
              </w:rPr>
              <w:t>О</w:t>
            </w:r>
          </w:p>
        </w:tc>
        <w:tc>
          <w:tcPr>
            <w:tcW w:w="2057" w:type="pct"/>
          </w:tcPr>
          <w:p w14:paraId="4ADF01F0" w14:textId="77777777" w:rsidR="00AD1F54" w:rsidRPr="00264D5D" w:rsidRDefault="00941227" w:rsidP="00676E27">
            <w:pPr>
              <w:spacing w:before="60" w:after="60"/>
              <w:rPr>
                <w:sz w:val="22"/>
                <w:szCs w:val="22"/>
              </w:rPr>
            </w:pPr>
            <w:r w:rsidRPr="00264D5D">
              <w:rPr>
                <w:sz w:val="22"/>
                <w:szCs w:val="22"/>
              </w:rPr>
              <w:t>Условное обозначение (национальное) единицы измерения</w:t>
            </w:r>
          </w:p>
        </w:tc>
      </w:tr>
      <w:tr w:rsidR="00AD1F54" w:rsidRPr="00264D5D" w14:paraId="333AF0BF"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3" w:type="pct"/>
          </w:tcPr>
          <w:p w14:paraId="64D5C909" w14:textId="77777777" w:rsidR="00AD1F54" w:rsidRPr="00264D5D" w:rsidRDefault="00941227">
            <w:pPr>
              <w:spacing w:before="60" w:after="60"/>
              <w:rPr>
                <w:sz w:val="22"/>
                <w:szCs w:val="22"/>
              </w:rPr>
            </w:pPr>
            <w:r w:rsidRPr="00264D5D">
              <w:rPr>
                <w:sz w:val="22"/>
                <w:szCs w:val="22"/>
              </w:rPr>
              <w:t>Цена за единицу</w:t>
            </w:r>
          </w:p>
        </w:tc>
        <w:tc>
          <w:tcPr>
            <w:tcW w:w="884" w:type="pct"/>
          </w:tcPr>
          <w:p w14:paraId="788E42F8" w14:textId="77777777" w:rsidR="00AD1F54" w:rsidRPr="00264D5D" w:rsidRDefault="00941227">
            <w:pPr>
              <w:spacing w:before="60" w:after="60"/>
              <w:rPr>
                <w:sz w:val="22"/>
                <w:szCs w:val="22"/>
              </w:rPr>
            </w:pPr>
            <w:r w:rsidRPr="00264D5D">
              <w:rPr>
                <w:sz w:val="22"/>
                <w:szCs w:val="22"/>
              </w:rPr>
              <w:t>Nt_Prc</w:t>
            </w:r>
          </w:p>
        </w:tc>
        <w:tc>
          <w:tcPr>
            <w:tcW w:w="294" w:type="pct"/>
          </w:tcPr>
          <w:p w14:paraId="04AC2918" w14:textId="77777777" w:rsidR="00AD1F54" w:rsidRPr="00264D5D" w:rsidRDefault="00941227">
            <w:pPr>
              <w:spacing w:before="60" w:after="60"/>
              <w:jc w:val="center"/>
              <w:rPr>
                <w:sz w:val="22"/>
                <w:szCs w:val="22"/>
              </w:rPr>
            </w:pPr>
            <w:r w:rsidRPr="00264D5D">
              <w:rPr>
                <w:sz w:val="22"/>
                <w:szCs w:val="22"/>
              </w:rPr>
              <w:t>П</w:t>
            </w:r>
          </w:p>
        </w:tc>
        <w:tc>
          <w:tcPr>
            <w:tcW w:w="589" w:type="pct"/>
          </w:tcPr>
          <w:p w14:paraId="5BB14114" w14:textId="77777777" w:rsidR="00AD1F54" w:rsidRPr="00264D5D" w:rsidRDefault="00941227">
            <w:pPr>
              <w:spacing w:before="60" w:after="60"/>
              <w:jc w:val="left"/>
              <w:rPr>
                <w:sz w:val="22"/>
                <w:szCs w:val="22"/>
              </w:rPr>
            </w:pPr>
            <w:r w:rsidRPr="00264D5D">
              <w:rPr>
                <w:sz w:val="22"/>
                <w:szCs w:val="22"/>
              </w:rPr>
              <w:t>N(26.11)</w:t>
            </w:r>
          </w:p>
        </w:tc>
        <w:tc>
          <w:tcPr>
            <w:tcW w:w="293" w:type="pct"/>
          </w:tcPr>
          <w:p w14:paraId="3A1A816B" w14:textId="77777777" w:rsidR="00AD1F54" w:rsidRPr="00264D5D" w:rsidRDefault="00676E27">
            <w:pPr>
              <w:spacing w:before="60" w:after="60"/>
              <w:jc w:val="center"/>
              <w:rPr>
                <w:sz w:val="22"/>
                <w:szCs w:val="22"/>
              </w:rPr>
            </w:pPr>
            <w:r w:rsidRPr="00264D5D">
              <w:rPr>
                <w:sz w:val="22"/>
                <w:szCs w:val="22"/>
              </w:rPr>
              <w:t>Н</w:t>
            </w:r>
          </w:p>
        </w:tc>
        <w:tc>
          <w:tcPr>
            <w:tcW w:w="2057" w:type="pct"/>
          </w:tcPr>
          <w:p w14:paraId="25E3C7F4" w14:textId="77777777" w:rsidR="00AD1F54" w:rsidRPr="00264D5D" w:rsidRDefault="00941227" w:rsidP="00676E27">
            <w:pPr>
              <w:spacing w:before="60" w:after="60"/>
              <w:rPr>
                <w:sz w:val="22"/>
                <w:szCs w:val="22"/>
              </w:rPr>
            </w:pPr>
            <w:r w:rsidRPr="00264D5D">
              <w:rPr>
                <w:sz w:val="22"/>
                <w:szCs w:val="22"/>
              </w:rPr>
              <w:t>Цена (тариф) за единицу измерения.</w:t>
            </w:r>
          </w:p>
          <w:p w14:paraId="2E7AAC91" w14:textId="77777777" w:rsidR="00AD1F54" w:rsidRPr="00264D5D" w:rsidRDefault="00941227" w:rsidP="00676E27">
            <w:pPr>
              <w:spacing w:before="60" w:after="60"/>
              <w:rPr>
                <w:sz w:val="22"/>
                <w:szCs w:val="22"/>
              </w:rPr>
            </w:pPr>
            <w:r w:rsidRPr="00264D5D">
              <w:rPr>
                <w:sz w:val="22"/>
                <w:szCs w:val="22"/>
              </w:rPr>
              <w:t>В случае, если значение реквизита «Производить расчеты НДС в итоговых строках» равно «FALSE» или не задано,</w:t>
            </w:r>
            <w:r w:rsidR="00676E27" w:rsidRPr="00264D5D">
              <w:rPr>
                <w:sz w:val="22"/>
                <w:szCs w:val="22"/>
              </w:rPr>
              <w:t xml:space="preserve"> то обязательно для заполнения*</w:t>
            </w:r>
          </w:p>
        </w:tc>
      </w:tr>
      <w:tr w:rsidR="00AD1F54" w:rsidRPr="00264D5D" w14:paraId="65D8047C"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7732A075" w14:textId="77777777" w:rsidR="00AD1F54" w:rsidRPr="00264D5D" w:rsidRDefault="00941227">
            <w:pPr>
              <w:spacing w:before="60" w:after="60"/>
              <w:rPr>
                <w:sz w:val="22"/>
                <w:szCs w:val="22"/>
              </w:rPr>
            </w:pPr>
            <w:r w:rsidRPr="00264D5D">
              <w:rPr>
                <w:sz w:val="22"/>
                <w:szCs w:val="22"/>
              </w:rPr>
              <w:t>Цена за единицу, без НДС</w:t>
            </w:r>
          </w:p>
        </w:tc>
        <w:tc>
          <w:tcPr>
            <w:tcW w:w="884" w:type="pct"/>
          </w:tcPr>
          <w:p w14:paraId="6C4296DF" w14:textId="77777777" w:rsidR="00AD1F54" w:rsidRPr="00264D5D" w:rsidRDefault="00941227">
            <w:pPr>
              <w:spacing w:before="60" w:after="60"/>
              <w:rPr>
                <w:sz w:val="22"/>
                <w:szCs w:val="22"/>
              </w:rPr>
            </w:pPr>
            <w:r w:rsidRPr="00264D5D">
              <w:rPr>
                <w:sz w:val="22"/>
                <w:szCs w:val="22"/>
              </w:rPr>
              <w:t>Nt_Prc_WhtVAT</w:t>
            </w:r>
          </w:p>
        </w:tc>
        <w:tc>
          <w:tcPr>
            <w:tcW w:w="294" w:type="pct"/>
          </w:tcPr>
          <w:p w14:paraId="51A2D848" w14:textId="77777777" w:rsidR="00AD1F54" w:rsidRPr="00264D5D" w:rsidRDefault="00941227">
            <w:pPr>
              <w:spacing w:before="60" w:after="60"/>
              <w:jc w:val="center"/>
              <w:rPr>
                <w:sz w:val="22"/>
                <w:szCs w:val="22"/>
              </w:rPr>
            </w:pPr>
            <w:r w:rsidRPr="00264D5D">
              <w:rPr>
                <w:sz w:val="22"/>
                <w:szCs w:val="22"/>
              </w:rPr>
              <w:t>П</w:t>
            </w:r>
          </w:p>
        </w:tc>
        <w:tc>
          <w:tcPr>
            <w:tcW w:w="589" w:type="pct"/>
          </w:tcPr>
          <w:p w14:paraId="6F5011F4" w14:textId="77777777" w:rsidR="00AD1F54" w:rsidRPr="00264D5D" w:rsidRDefault="00941227">
            <w:pPr>
              <w:spacing w:before="60" w:after="60"/>
              <w:jc w:val="left"/>
              <w:rPr>
                <w:sz w:val="22"/>
                <w:szCs w:val="22"/>
              </w:rPr>
            </w:pPr>
            <w:r w:rsidRPr="00264D5D">
              <w:rPr>
                <w:sz w:val="22"/>
                <w:szCs w:val="22"/>
              </w:rPr>
              <w:t>N(26.11)</w:t>
            </w:r>
          </w:p>
        </w:tc>
        <w:tc>
          <w:tcPr>
            <w:tcW w:w="293" w:type="pct"/>
          </w:tcPr>
          <w:p w14:paraId="6DCDA8A3" w14:textId="77777777" w:rsidR="00AD1F54" w:rsidRPr="00264D5D" w:rsidRDefault="00941227">
            <w:pPr>
              <w:spacing w:before="60" w:after="60"/>
              <w:jc w:val="center"/>
              <w:rPr>
                <w:sz w:val="22"/>
                <w:szCs w:val="22"/>
              </w:rPr>
            </w:pPr>
            <w:r w:rsidRPr="00264D5D">
              <w:rPr>
                <w:sz w:val="22"/>
                <w:szCs w:val="22"/>
              </w:rPr>
              <w:t>О</w:t>
            </w:r>
          </w:p>
        </w:tc>
        <w:tc>
          <w:tcPr>
            <w:tcW w:w="2057" w:type="pct"/>
          </w:tcPr>
          <w:p w14:paraId="05CB5DBE" w14:textId="77777777" w:rsidR="00AD1F54" w:rsidRPr="00264D5D" w:rsidRDefault="00941227" w:rsidP="00676E27">
            <w:pPr>
              <w:pStyle w:val="afffffffb"/>
              <w:spacing w:before="60" w:after="60" w:line="240" w:lineRule="auto"/>
              <w:ind w:firstLine="0"/>
              <w:contextualSpacing/>
              <w:rPr>
                <w:spacing w:val="0"/>
                <w:sz w:val="22"/>
                <w:szCs w:val="22"/>
                <w:lang w:val="ru-RU" w:eastAsia="ru-RU"/>
              </w:rPr>
            </w:pPr>
            <w:r w:rsidRPr="00264D5D">
              <w:rPr>
                <w:spacing w:val="0"/>
                <w:sz w:val="22"/>
                <w:szCs w:val="22"/>
                <w:lang w:val="ru-RU" w:eastAsia="ru-RU"/>
              </w:rPr>
              <w:t xml:space="preserve">Цена </w:t>
            </w:r>
            <w:r w:rsidRPr="00264D5D">
              <w:rPr>
                <w:sz w:val="22"/>
                <w:szCs w:val="22"/>
                <w:lang w:val="ru-RU"/>
              </w:rPr>
              <w:t xml:space="preserve">(тариф) </w:t>
            </w:r>
            <w:r w:rsidRPr="00264D5D">
              <w:rPr>
                <w:spacing w:val="0"/>
                <w:sz w:val="22"/>
                <w:szCs w:val="22"/>
                <w:lang w:val="ru-RU" w:eastAsia="ru-RU"/>
              </w:rPr>
              <w:t>за единицу измерения, без НДС</w:t>
            </w:r>
          </w:p>
        </w:tc>
      </w:tr>
      <w:tr w:rsidR="00AD1F54" w:rsidRPr="00264D5D" w14:paraId="592DCAA0"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3" w:type="pct"/>
          </w:tcPr>
          <w:p w14:paraId="2B30E74F" w14:textId="77777777" w:rsidR="00AD1F54" w:rsidRPr="00264D5D" w:rsidRDefault="00941227">
            <w:pPr>
              <w:spacing w:before="60" w:after="60"/>
              <w:rPr>
                <w:sz w:val="22"/>
                <w:szCs w:val="22"/>
              </w:rPr>
            </w:pPr>
            <w:r w:rsidRPr="00264D5D">
              <w:rPr>
                <w:sz w:val="22"/>
                <w:szCs w:val="22"/>
              </w:rPr>
              <w:t>Количество</w:t>
            </w:r>
          </w:p>
        </w:tc>
        <w:tc>
          <w:tcPr>
            <w:tcW w:w="884" w:type="pct"/>
          </w:tcPr>
          <w:p w14:paraId="0E268883" w14:textId="77777777" w:rsidR="00AD1F54" w:rsidRPr="00264D5D" w:rsidRDefault="00941227">
            <w:pPr>
              <w:spacing w:before="60" w:after="60"/>
              <w:rPr>
                <w:sz w:val="22"/>
                <w:szCs w:val="22"/>
              </w:rPr>
            </w:pPr>
            <w:r w:rsidRPr="00264D5D">
              <w:rPr>
                <w:sz w:val="22"/>
                <w:szCs w:val="22"/>
              </w:rPr>
              <w:t>Nmbr</w:t>
            </w:r>
          </w:p>
        </w:tc>
        <w:tc>
          <w:tcPr>
            <w:tcW w:w="294" w:type="pct"/>
          </w:tcPr>
          <w:p w14:paraId="774FAFA6" w14:textId="77777777" w:rsidR="00AD1F54" w:rsidRPr="00264D5D" w:rsidRDefault="00941227">
            <w:pPr>
              <w:spacing w:before="60" w:after="60"/>
              <w:jc w:val="center"/>
              <w:rPr>
                <w:sz w:val="22"/>
                <w:szCs w:val="22"/>
              </w:rPr>
            </w:pPr>
            <w:r w:rsidRPr="00264D5D">
              <w:rPr>
                <w:sz w:val="22"/>
                <w:szCs w:val="22"/>
              </w:rPr>
              <w:t>П</w:t>
            </w:r>
          </w:p>
        </w:tc>
        <w:tc>
          <w:tcPr>
            <w:tcW w:w="589" w:type="pct"/>
          </w:tcPr>
          <w:p w14:paraId="47127DFF" w14:textId="77777777" w:rsidR="00AD1F54" w:rsidRPr="00264D5D" w:rsidRDefault="00941227">
            <w:pPr>
              <w:spacing w:before="60" w:after="60"/>
              <w:jc w:val="left"/>
              <w:rPr>
                <w:sz w:val="22"/>
                <w:szCs w:val="22"/>
              </w:rPr>
            </w:pPr>
            <w:r w:rsidRPr="00264D5D">
              <w:rPr>
                <w:sz w:val="22"/>
                <w:szCs w:val="22"/>
              </w:rPr>
              <w:t>N(26.11)</w:t>
            </w:r>
          </w:p>
        </w:tc>
        <w:tc>
          <w:tcPr>
            <w:tcW w:w="293" w:type="pct"/>
          </w:tcPr>
          <w:p w14:paraId="2B7881DF" w14:textId="77777777" w:rsidR="00AD1F54" w:rsidRPr="00264D5D" w:rsidRDefault="00941227">
            <w:pPr>
              <w:spacing w:before="60" w:after="60"/>
              <w:jc w:val="center"/>
              <w:rPr>
                <w:sz w:val="22"/>
                <w:szCs w:val="22"/>
              </w:rPr>
            </w:pPr>
            <w:r w:rsidRPr="00264D5D">
              <w:rPr>
                <w:sz w:val="22"/>
                <w:szCs w:val="22"/>
              </w:rPr>
              <w:t>Н</w:t>
            </w:r>
          </w:p>
        </w:tc>
        <w:tc>
          <w:tcPr>
            <w:tcW w:w="2057" w:type="pct"/>
          </w:tcPr>
          <w:p w14:paraId="491B0082" w14:textId="77777777" w:rsidR="00AD1F54" w:rsidRPr="00264D5D" w:rsidRDefault="00941227" w:rsidP="00676E27">
            <w:pPr>
              <w:pStyle w:val="afffffffb"/>
              <w:spacing w:before="60" w:after="60" w:line="240" w:lineRule="auto"/>
              <w:ind w:firstLine="0"/>
              <w:contextualSpacing/>
              <w:rPr>
                <w:spacing w:val="0"/>
                <w:sz w:val="22"/>
                <w:szCs w:val="22"/>
                <w:lang w:val="ru-RU" w:eastAsia="ru-RU"/>
              </w:rPr>
            </w:pPr>
            <w:r w:rsidRPr="00264D5D">
              <w:rPr>
                <w:spacing w:val="0"/>
                <w:sz w:val="22"/>
                <w:szCs w:val="22"/>
                <w:lang w:val="ru-RU" w:eastAsia="ru-RU"/>
              </w:rPr>
              <w:t xml:space="preserve">Количество (объем). </w:t>
            </w:r>
          </w:p>
          <w:p w14:paraId="2BEF536B" w14:textId="77777777" w:rsidR="00AD1F54" w:rsidRPr="00264D5D" w:rsidRDefault="00941227" w:rsidP="00676E27">
            <w:pPr>
              <w:pStyle w:val="afffffffb"/>
              <w:spacing w:before="60" w:after="60" w:line="240" w:lineRule="auto"/>
              <w:ind w:firstLine="0"/>
              <w:contextualSpacing/>
              <w:rPr>
                <w:spacing w:val="0"/>
                <w:sz w:val="22"/>
                <w:szCs w:val="22"/>
                <w:lang w:val="ru-RU" w:eastAsia="ru-RU"/>
              </w:rPr>
            </w:pPr>
            <w:r w:rsidRPr="00264D5D">
              <w:rPr>
                <w:spacing w:val="0"/>
                <w:sz w:val="22"/>
                <w:szCs w:val="22"/>
                <w:lang w:val="ru-RU" w:eastAsia="ru-RU"/>
              </w:rPr>
              <w:t xml:space="preserve">Заполняется, если в поле «Способ указания объема выполнения работы, оказания услуги» указано </w:t>
            </w:r>
            <w:r w:rsidR="00676E27" w:rsidRPr="00264D5D">
              <w:rPr>
                <w:spacing w:val="0"/>
                <w:sz w:val="22"/>
                <w:szCs w:val="22"/>
                <w:lang w:val="ru-RU" w:eastAsia="ru-RU"/>
              </w:rPr>
              <w:t>значение «</w:t>
            </w:r>
            <w:r w:rsidRPr="00264D5D">
              <w:rPr>
                <w:spacing w:val="0"/>
                <w:sz w:val="22"/>
                <w:szCs w:val="22"/>
                <w:lang w:val="ru-RU" w:eastAsia="ru-RU"/>
              </w:rPr>
              <w:t>Объем может быть указан в количественном выражении».</w:t>
            </w:r>
          </w:p>
          <w:p w14:paraId="176001B2" w14:textId="77777777" w:rsidR="00AD1F54" w:rsidRPr="00264D5D" w:rsidRDefault="00941227" w:rsidP="00676E27">
            <w:pPr>
              <w:pStyle w:val="afffffffb"/>
              <w:spacing w:before="60" w:after="60" w:line="240" w:lineRule="auto"/>
              <w:ind w:firstLine="0"/>
              <w:contextualSpacing/>
              <w:rPr>
                <w:spacing w:val="0"/>
                <w:sz w:val="22"/>
                <w:szCs w:val="22"/>
                <w:lang w:val="ru-RU" w:eastAsia="ru-RU"/>
              </w:rPr>
            </w:pPr>
            <w:r w:rsidRPr="00264D5D">
              <w:rPr>
                <w:spacing w:val="0"/>
                <w:sz w:val="22"/>
                <w:szCs w:val="22"/>
                <w:lang w:val="ru-RU" w:eastAsia="ru-RU"/>
              </w:rPr>
              <w:t>В случае, если применяется накопительный итог для документов о приемке, то зн</w:t>
            </w:r>
            <w:r w:rsidR="00676E27" w:rsidRPr="00264D5D">
              <w:rPr>
                <w:spacing w:val="0"/>
                <w:sz w:val="22"/>
                <w:szCs w:val="22"/>
                <w:lang w:val="ru-RU" w:eastAsia="ru-RU"/>
              </w:rPr>
              <w:t>ачение может быть отрицательным</w:t>
            </w:r>
          </w:p>
        </w:tc>
      </w:tr>
      <w:tr w:rsidR="00AD1F54" w:rsidRPr="00264D5D" w14:paraId="5A3AABAC"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4CC34879" w14:textId="77777777" w:rsidR="00AD1F54" w:rsidRPr="00264D5D" w:rsidRDefault="00941227">
            <w:pPr>
              <w:spacing w:before="60" w:after="60"/>
              <w:rPr>
                <w:sz w:val="22"/>
                <w:szCs w:val="22"/>
              </w:rPr>
            </w:pPr>
            <w:r w:rsidRPr="00264D5D">
              <w:rPr>
                <w:sz w:val="22"/>
                <w:szCs w:val="22"/>
              </w:rPr>
              <w:t>Объем</w:t>
            </w:r>
          </w:p>
        </w:tc>
        <w:tc>
          <w:tcPr>
            <w:tcW w:w="884" w:type="pct"/>
          </w:tcPr>
          <w:p w14:paraId="7AC01675" w14:textId="77777777" w:rsidR="00AD1F54" w:rsidRPr="00264D5D" w:rsidRDefault="00941227">
            <w:pPr>
              <w:spacing w:before="60" w:after="60"/>
              <w:rPr>
                <w:sz w:val="22"/>
                <w:szCs w:val="22"/>
              </w:rPr>
            </w:pPr>
            <w:r w:rsidRPr="00264D5D">
              <w:rPr>
                <w:rFonts w:eastAsia="Calibri"/>
                <w:color w:val="000000"/>
                <w:sz w:val="22"/>
                <w:szCs w:val="22"/>
              </w:rPr>
              <w:t>Volume</w:t>
            </w:r>
          </w:p>
        </w:tc>
        <w:tc>
          <w:tcPr>
            <w:tcW w:w="294" w:type="pct"/>
          </w:tcPr>
          <w:p w14:paraId="362A71CD" w14:textId="77777777" w:rsidR="00AD1F54" w:rsidRPr="00264D5D" w:rsidRDefault="00941227">
            <w:pPr>
              <w:spacing w:before="60" w:after="60"/>
              <w:jc w:val="center"/>
              <w:rPr>
                <w:sz w:val="22"/>
                <w:szCs w:val="22"/>
              </w:rPr>
            </w:pPr>
            <w:r w:rsidRPr="00264D5D">
              <w:rPr>
                <w:sz w:val="22"/>
                <w:szCs w:val="22"/>
              </w:rPr>
              <w:t>П</w:t>
            </w:r>
          </w:p>
        </w:tc>
        <w:tc>
          <w:tcPr>
            <w:tcW w:w="589" w:type="pct"/>
          </w:tcPr>
          <w:p w14:paraId="155CA383" w14:textId="77777777" w:rsidR="00AD1F54" w:rsidRPr="00264D5D" w:rsidRDefault="00941227">
            <w:pPr>
              <w:spacing w:before="60" w:after="60"/>
              <w:jc w:val="left"/>
              <w:rPr>
                <w:sz w:val="22"/>
                <w:szCs w:val="22"/>
              </w:rPr>
            </w:pPr>
            <w:r w:rsidRPr="00264D5D">
              <w:rPr>
                <w:sz w:val="22"/>
                <w:szCs w:val="22"/>
              </w:rPr>
              <w:t>Т(1-500)</w:t>
            </w:r>
          </w:p>
        </w:tc>
        <w:tc>
          <w:tcPr>
            <w:tcW w:w="293" w:type="pct"/>
          </w:tcPr>
          <w:p w14:paraId="1DF98A7F" w14:textId="77777777" w:rsidR="00AD1F54" w:rsidRPr="00264D5D" w:rsidRDefault="00941227">
            <w:pPr>
              <w:spacing w:before="60" w:after="60"/>
              <w:jc w:val="center"/>
              <w:rPr>
                <w:sz w:val="22"/>
                <w:szCs w:val="22"/>
              </w:rPr>
            </w:pPr>
            <w:r w:rsidRPr="00264D5D">
              <w:rPr>
                <w:sz w:val="22"/>
                <w:szCs w:val="22"/>
              </w:rPr>
              <w:t>Н</w:t>
            </w:r>
          </w:p>
        </w:tc>
        <w:tc>
          <w:tcPr>
            <w:tcW w:w="2057" w:type="pct"/>
          </w:tcPr>
          <w:p w14:paraId="0942DC91" w14:textId="77777777" w:rsidR="00AD1F54" w:rsidRPr="00264D5D" w:rsidRDefault="00941227" w:rsidP="00676E27">
            <w:pPr>
              <w:pStyle w:val="afffffffb"/>
              <w:spacing w:before="60" w:after="60" w:line="240" w:lineRule="auto"/>
              <w:ind w:firstLine="0"/>
              <w:contextualSpacing/>
              <w:rPr>
                <w:spacing w:val="0"/>
                <w:sz w:val="22"/>
                <w:szCs w:val="22"/>
                <w:lang w:val="ru-RU" w:eastAsia="ru-RU"/>
              </w:rPr>
            </w:pPr>
            <w:r w:rsidRPr="00264D5D">
              <w:rPr>
                <w:spacing w:val="0"/>
                <w:sz w:val="22"/>
                <w:szCs w:val="22"/>
                <w:lang w:val="ru-RU" w:eastAsia="ru-RU"/>
              </w:rPr>
              <w:t>Объем.</w:t>
            </w:r>
          </w:p>
          <w:p w14:paraId="65146384" w14:textId="77777777" w:rsidR="00AD1F54" w:rsidRPr="00264D5D" w:rsidRDefault="00941227" w:rsidP="00676E27">
            <w:pPr>
              <w:pStyle w:val="afffffffb"/>
              <w:spacing w:before="60" w:after="60" w:line="240" w:lineRule="auto"/>
              <w:ind w:firstLine="0"/>
              <w:contextualSpacing/>
              <w:rPr>
                <w:spacing w:val="0"/>
                <w:sz w:val="22"/>
                <w:szCs w:val="22"/>
                <w:lang w:val="ru-RU" w:eastAsia="ru-RU"/>
              </w:rPr>
            </w:pPr>
            <w:r w:rsidRPr="00264D5D">
              <w:rPr>
                <w:spacing w:val="0"/>
                <w:sz w:val="22"/>
                <w:szCs w:val="22"/>
                <w:lang w:val="ru-RU" w:eastAsia="ru-RU"/>
              </w:rPr>
              <w:t xml:space="preserve">Заполняется, если в поле «Способ указания объема выполнения работы, оказания услуги» указано </w:t>
            </w:r>
            <w:r w:rsidR="00676E27" w:rsidRPr="00264D5D">
              <w:rPr>
                <w:spacing w:val="0"/>
                <w:sz w:val="22"/>
                <w:szCs w:val="22"/>
                <w:lang w:val="ru-RU" w:eastAsia="ru-RU"/>
              </w:rPr>
              <w:t>значение «</w:t>
            </w:r>
            <w:r w:rsidRPr="00264D5D">
              <w:rPr>
                <w:spacing w:val="0"/>
                <w:sz w:val="22"/>
                <w:szCs w:val="22"/>
                <w:lang w:val="ru-RU" w:eastAsia="ru-RU"/>
              </w:rPr>
              <w:t>Объем не может быть указан в количественном выражении (ука</w:t>
            </w:r>
            <w:r w:rsidR="00676E27" w:rsidRPr="00264D5D">
              <w:rPr>
                <w:spacing w:val="0"/>
                <w:sz w:val="22"/>
                <w:szCs w:val="22"/>
                <w:lang w:val="ru-RU" w:eastAsia="ru-RU"/>
              </w:rPr>
              <w:t>зание объема в текстовом виде)»</w:t>
            </w:r>
          </w:p>
        </w:tc>
      </w:tr>
      <w:tr w:rsidR="00AD1F54" w:rsidRPr="00264D5D" w14:paraId="36626002"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3" w:type="pct"/>
          </w:tcPr>
          <w:p w14:paraId="17D8D4D5" w14:textId="77777777" w:rsidR="00AD1F54" w:rsidRPr="00264D5D" w:rsidRDefault="00941227">
            <w:pPr>
              <w:spacing w:before="60" w:after="60"/>
              <w:rPr>
                <w:sz w:val="22"/>
                <w:szCs w:val="22"/>
              </w:rPr>
            </w:pPr>
            <w:r w:rsidRPr="00264D5D">
              <w:rPr>
                <w:sz w:val="22"/>
                <w:szCs w:val="22"/>
              </w:rPr>
              <w:t>Сумма</w:t>
            </w:r>
          </w:p>
        </w:tc>
        <w:tc>
          <w:tcPr>
            <w:tcW w:w="884" w:type="pct"/>
          </w:tcPr>
          <w:p w14:paraId="74699FB4" w14:textId="77777777" w:rsidR="00AD1F54" w:rsidRPr="00264D5D" w:rsidRDefault="00941227">
            <w:pPr>
              <w:spacing w:before="60" w:after="60"/>
              <w:rPr>
                <w:sz w:val="22"/>
                <w:szCs w:val="22"/>
              </w:rPr>
            </w:pPr>
            <w:r w:rsidRPr="00264D5D">
              <w:rPr>
                <w:sz w:val="22"/>
                <w:szCs w:val="22"/>
              </w:rPr>
              <w:t>Amnt</w:t>
            </w:r>
          </w:p>
        </w:tc>
        <w:tc>
          <w:tcPr>
            <w:tcW w:w="294" w:type="pct"/>
          </w:tcPr>
          <w:p w14:paraId="1320C2AA" w14:textId="77777777" w:rsidR="00AD1F54" w:rsidRPr="00264D5D" w:rsidRDefault="00941227">
            <w:pPr>
              <w:spacing w:before="60" w:after="60"/>
              <w:jc w:val="center"/>
              <w:rPr>
                <w:sz w:val="22"/>
                <w:szCs w:val="22"/>
              </w:rPr>
            </w:pPr>
            <w:r w:rsidRPr="00264D5D">
              <w:rPr>
                <w:sz w:val="22"/>
                <w:szCs w:val="22"/>
              </w:rPr>
              <w:t>П</w:t>
            </w:r>
          </w:p>
        </w:tc>
        <w:tc>
          <w:tcPr>
            <w:tcW w:w="589" w:type="pct"/>
          </w:tcPr>
          <w:p w14:paraId="6AD8BA6A" w14:textId="77777777" w:rsidR="00AD1F54" w:rsidRPr="00264D5D" w:rsidRDefault="00941227">
            <w:pPr>
              <w:spacing w:before="60" w:after="60"/>
              <w:jc w:val="left"/>
              <w:rPr>
                <w:sz w:val="22"/>
                <w:szCs w:val="22"/>
              </w:rPr>
            </w:pPr>
            <w:r w:rsidRPr="00264D5D">
              <w:rPr>
                <w:sz w:val="22"/>
                <w:szCs w:val="22"/>
              </w:rPr>
              <w:t>N(20.2)</w:t>
            </w:r>
          </w:p>
        </w:tc>
        <w:tc>
          <w:tcPr>
            <w:tcW w:w="293" w:type="pct"/>
          </w:tcPr>
          <w:p w14:paraId="1774595D" w14:textId="77777777" w:rsidR="00AD1F54" w:rsidRPr="00264D5D" w:rsidRDefault="00676E27">
            <w:pPr>
              <w:spacing w:before="60" w:after="60"/>
              <w:jc w:val="center"/>
              <w:rPr>
                <w:sz w:val="22"/>
                <w:szCs w:val="22"/>
              </w:rPr>
            </w:pPr>
            <w:r w:rsidRPr="00264D5D">
              <w:rPr>
                <w:sz w:val="22"/>
                <w:szCs w:val="22"/>
              </w:rPr>
              <w:t>Н</w:t>
            </w:r>
          </w:p>
        </w:tc>
        <w:tc>
          <w:tcPr>
            <w:tcW w:w="2057" w:type="pct"/>
          </w:tcPr>
          <w:p w14:paraId="65950B24" w14:textId="77777777" w:rsidR="00AD1F54" w:rsidRPr="00264D5D" w:rsidRDefault="00941227" w:rsidP="00676E27">
            <w:pPr>
              <w:pStyle w:val="afffffffb"/>
              <w:spacing w:before="60" w:after="60" w:line="240" w:lineRule="auto"/>
              <w:ind w:firstLine="0"/>
              <w:contextualSpacing/>
              <w:rPr>
                <w:spacing w:val="0"/>
                <w:sz w:val="22"/>
                <w:szCs w:val="22"/>
                <w:lang w:val="ru-RU" w:eastAsia="ru-RU"/>
              </w:rPr>
            </w:pPr>
            <w:r w:rsidRPr="00264D5D">
              <w:rPr>
                <w:spacing w:val="0"/>
                <w:sz w:val="22"/>
                <w:szCs w:val="22"/>
                <w:lang w:val="ru-RU" w:eastAsia="ru-RU"/>
              </w:rPr>
              <w:t>Стоимость товаров, работ, услуг с учетом НДС.</w:t>
            </w:r>
          </w:p>
          <w:p w14:paraId="21D9536C" w14:textId="77777777" w:rsidR="00AD1F54" w:rsidRPr="00264D5D" w:rsidRDefault="00941227" w:rsidP="00676E27">
            <w:pPr>
              <w:pStyle w:val="afffffffb"/>
              <w:spacing w:before="60" w:after="60" w:line="240" w:lineRule="auto"/>
              <w:ind w:firstLine="29"/>
              <w:contextualSpacing/>
              <w:rPr>
                <w:sz w:val="22"/>
                <w:szCs w:val="22"/>
                <w:lang w:val="ru-RU"/>
              </w:rPr>
            </w:pPr>
            <w:r w:rsidRPr="00264D5D">
              <w:rPr>
                <w:spacing w:val="0"/>
                <w:sz w:val="22"/>
                <w:szCs w:val="22"/>
                <w:lang w:val="ru-RU" w:eastAsia="ru-RU"/>
              </w:rPr>
              <w:t xml:space="preserve">В случае, если значение реквизита «Производить расчеты НДС в итоговых строках» равно «FALSE» </w:t>
            </w:r>
            <w:r w:rsidRPr="00264D5D">
              <w:rPr>
                <w:sz w:val="22"/>
                <w:szCs w:val="22"/>
                <w:lang w:val="ru-RU"/>
              </w:rPr>
              <w:t>или не задано</w:t>
            </w:r>
            <w:r w:rsidRPr="00264D5D">
              <w:rPr>
                <w:spacing w:val="0"/>
                <w:sz w:val="22"/>
                <w:szCs w:val="22"/>
                <w:lang w:val="ru-RU" w:eastAsia="ru-RU"/>
              </w:rPr>
              <w:t>, то обязательно для заполнения.</w:t>
            </w:r>
            <w:r w:rsidRPr="00264D5D">
              <w:rPr>
                <w:sz w:val="22"/>
                <w:szCs w:val="22"/>
                <w:lang w:val="ru-RU"/>
              </w:rPr>
              <w:t xml:space="preserve"> </w:t>
            </w:r>
          </w:p>
          <w:p w14:paraId="29622CEE" w14:textId="77777777" w:rsidR="00AD1F54" w:rsidRPr="00264D5D" w:rsidRDefault="00941227" w:rsidP="00676E27">
            <w:pPr>
              <w:pStyle w:val="afffffffb"/>
              <w:spacing w:before="60" w:after="60" w:line="240" w:lineRule="auto"/>
              <w:ind w:firstLine="0"/>
              <w:contextualSpacing/>
              <w:rPr>
                <w:spacing w:val="0"/>
                <w:sz w:val="22"/>
                <w:szCs w:val="22"/>
                <w:lang w:val="ru-RU" w:eastAsia="ru-RU"/>
              </w:rPr>
            </w:pPr>
            <w:r w:rsidRPr="00264D5D">
              <w:rPr>
                <w:sz w:val="22"/>
                <w:szCs w:val="22"/>
                <w:lang w:val="ru-RU"/>
              </w:rPr>
              <w:t>В случае, если применяется накопительный итог для документов о приемке, то значение</w:t>
            </w:r>
            <w:r w:rsidR="00676E27" w:rsidRPr="00264D5D">
              <w:rPr>
                <w:sz w:val="22"/>
                <w:szCs w:val="22"/>
                <w:lang w:val="ru-RU"/>
              </w:rPr>
              <w:t xml:space="preserve"> суммы может быть отрицательным</w:t>
            </w:r>
          </w:p>
        </w:tc>
      </w:tr>
      <w:tr w:rsidR="00AD1F54" w:rsidRPr="00264D5D" w14:paraId="38690FCD"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7709F362" w14:textId="77777777" w:rsidR="00AD1F54" w:rsidRPr="00264D5D" w:rsidRDefault="00941227">
            <w:pPr>
              <w:spacing w:before="60" w:after="60"/>
              <w:rPr>
                <w:sz w:val="22"/>
                <w:szCs w:val="22"/>
              </w:rPr>
            </w:pPr>
            <w:r w:rsidRPr="00264D5D">
              <w:rPr>
                <w:sz w:val="22"/>
                <w:szCs w:val="22"/>
              </w:rPr>
              <w:lastRenderedPageBreak/>
              <w:t>Сумма без НДС</w:t>
            </w:r>
          </w:p>
        </w:tc>
        <w:tc>
          <w:tcPr>
            <w:tcW w:w="884" w:type="pct"/>
          </w:tcPr>
          <w:p w14:paraId="53CADB74" w14:textId="77777777" w:rsidR="00AD1F54" w:rsidRPr="00264D5D" w:rsidRDefault="00941227">
            <w:pPr>
              <w:spacing w:before="60" w:after="60"/>
              <w:rPr>
                <w:sz w:val="22"/>
                <w:szCs w:val="22"/>
              </w:rPr>
            </w:pPr>
            <w:r w:rsidRPr="00264D5D">
              <w:rPr>
                <w:sz w:val="22"/>
                <w:szCs w:val="22"/>
              </w:rPr>
              <w:t>Amnt_WhtVAT</w:t>
            </w:r>
          </w:p>
        </w:tc>
        <w:tc>
          <w:tcPr>
            <w:tcW w:w="294" w:type="pct"/>
          </w:tcPr>
          <w:p w14:paraId="2851DDDD" w14:textId="77777777" w:rsidR="00AD1F54" w:rsidRPr="00264D5D" w:rsidRDefault="00941227">
            <w:pPr>
              <w:spacing w:before="60" w:after="60"/>
              <w:jc w:val="center"/>
              <w:rPr>
                <w:sz w:val="22"/>
                <w:szCs w:val="22"/>
              </w:rPr>
            </w:pPr>
            <w:r w:rsidRPr="00264D5D">
              <w:rPr>
                <w:sz w:val="22"/>
                <w:szCs w:val="22"/>
              </w:rPr>
              <w:t>П</w:t>
            </w:r>
          </w:p>
        </w:tc>
        <w:tc>
          <w:tcPr>
            <w:tcW w:w="589" w:type="pct"/>
          </w:tcPr>
          <w:p w14:paraId="67B93043" w14:textId="77777777" w:rsidR="00AD1F54" w:rsidRPr="00264D5D" w:rsidRDefault="00941227">
            <w:pPr>
              <w:spacing w:before="60" w:after="60"/>
              <w:jc w:val="left"/>
              <w:rPr>
                <w:sz w:val="22"/>
                <w:szCs w:val="22"/>
              </w:rPr>
            </w:pPr>
            <w:r w:rsidRPr="00264D5D">
              <w:rPr>
                <w:sz w:val="22"/>
                <w:szCs w:val="22"/>
              </w:rPr>
              <w:t>N(20.2)</w:t>
            </w:r>
          </w:p>
        </w:tc>
        <w:tc>
          <w:tcPr>
            <w:tcW w:w="293" w:type="pct"/>
          </w:tcPr>
          <w:p w14:paraId="467D7765" w14:textId="77777777" w:rsidR="00AD1F54" w:rsidRPr="00264D5D" w:rsidRDefault="00941227">
            <w:pPr>
              <w:spacing w:before="60" w:after="60"/>
              <w:jc w:val="center"/>
              <w:rPr>
                <w:sz w:val="22"/>
                <w:szCs w:val="22"/>
              </w:rPr>
            </w:pPr>
            <w:r w:rsidRPr="00264D5D">
              <w:rPr>
                <w:sz w:val="22"/>
                <w:szCs w:val="22"/>
              </w:rPr>
              <w:t>О</w:t>
            </w:r>
          </w:p>
        </w:tc>
        <w:tc>
          <w:tcPr>
            <w:tcW w:w="2057" w:type="pct"/>
          </w:tcPr>
          <w:p w14:paraId="565A3D99" w14:textId="77777777" w:rsidR="00AD1F54" w:rsidRPr="00264D5D" w:rsidRDefault="00941227" w:rsidP="00676E27">
            <w:pPr>
              <w:pStyle w:val="afffffffb"/>
              <w:spacing w:before="60" w:after="60" w:line="240" w:lineRule="auto"/>
              <w:ind w:firstLine="0"/>
              <w:contextualSpacing/>
              <w:rPr>
                <w:spacing w:val="0"/>
                <w:sz w:val="22"/>
                <w:szCs w:val="22"/>
                <w:lang w:val="ru-RU" w:eastAsia="ru-RU"/>
              </w:rPr>
            </w:pPr>
            <w:r w:rsidRPr="00264D5D">
              <w:rPr>
                <w:spacing w:val="0"/>
                <w:sz w:val="22"/>
                <w:szCs w:val="22"/>
                <w:lang w:val="ru-RU" w:eastAsia="ru-RU"/>
              </w:rPr>
              <w:t>Стоимость товаров, работ, услуг без НДС.</w:t>
            </w:r>
          </w:p>
          <w:p w14:paraId="5EFA039A" w14:textId="77777777" w:rsidR="00AD1F54" w:rsidRPr="00264D5D" w:rsidRDefault="00941227" w:rsidP="00676E27">
            <w:pPr>
              <w:pStyle w:val="afffffffb"/>
              <w:spacing w:before="60" w:after="60" w:line="240" w:lineRule="auto"/>
              <w:ind w:firstLine="0"/>
              <w:contextualSpacing/>
              <w:rPr>
                <w:spacing w:val="0"/>
                <w:sz w:val="22"/>
                <w:szCs w:val="22"/>
                <w:lang w:val="ru-RU" w:eastAsia="ru-RU"/>
              </w:rPr>
            </w:pPr>
            <w:r w:rsidRPr="00264D5D">
              <w:rPr>
                <w:sz w:val="22"/>
                <w:szCs w:val="22"/>
                <w:lang w:val="ru-RU"/>
              </w:rPr>
              <w:t xml:space="preserve">В случае, если применяется накопительный итог для документов о приемке, то значение суммы может быть </w:t>
            </w:r>
            <w:r w:rsidR="00676E27" w:rsidRPr="00264D5D">
              <w:rPr>
                <w:sz w:val="22"/>
                <w:szCs w:val="22"/>
                <w:lang w:val="ru-RU"/>
              </w:rPr>
              <w:t>отрицательным</w:t>
            </w:r>
          </w:p>
        </w:tc>
      </w:tr>
      <w:tr w:rsidR="00AD1F54" w:rsidRPr="00264D5D" w14:paraId="3F249BF7"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3" w:type="pct"/>
          </w:tcPr>
          <w:p w14:paraId="318FF1AF" w14:textId="77777777" w:rsidR="00AD1F54" w:rsidRPr="00264D5D" w:rsidRDefault="00941227">
            <w:pPr>
              <w:spacing w:before="60" w:after="60"/>
              <w:rPr>
                <w:sz w:val="22"/>
                <w:szCs w:val="22"/>
              </w:rPr>
            </w:pPr>
            <w:r w:rsidRPr="00264D5D">
              <w:rPr>
                <w:sz w:val="22"/>
                <w:szCs w:val="22"/>
              </w:rPr>
              <w:t>Ставка НДС</w:t>
            </w:r>
          </w:p>
        </w:tc>
        <w:tc>
          <w:tcPr>
            <w:tcW w:w="884" w:type="pct"/>
          </w:tcPr>
          <w:p w14:paraId="7A37819D" w14:textId="77777777" w:rsidR="00AD1F54" w:rsidRPr="00264D5D" w:rsidRDefault="00941227">
            <w:pPr>
              <w:spacing w:before="60" w:after="60"/>
              <w:rPr>
                <w:sz w:val="22"/>
                <w:szCs w:val="22"/>
              </w:rPr>
            </w:pPr>
            <w:r w:rsidRPr="00264D5D">
              <w:rPr>
                <w:sz w:val="22"/>
                <w:szCs w:val="22"/>
              </w:rPr>
              <w:t>VATRt</w:t>
            </w:r>
          </w:p>
        </w:tc>
        <w:tc>
          <w:tcPr>
            <w:tcW w:w="294" w:type="pct"/>
          </w:tcPr>
          <w:p w14:paraId="3E746955" w14:textId="77777777" w:rsidR="00AD1F54" w:rsidRPr="00264D5D" w:rsidRDefault="00941227">
            <w:pPr>
              <w:spacing w:before="60" w:after="60"/>
              <w:jc w:val="center"/>
              <w:rPr>
                <w:sz w:val="22"/>
                <w:szCs w:val="22"/>
              </w:rPr>
            </w:pPr>
            <w:r w:rsidRPr="00264D5D">
              <w:rPr>
                <w:sz w:val="22"/>
                <w:szCs w:val="22"/>
              </w:rPr>
              <w:t>П</w:t>
            </w:r>
          </w:p>
        </w:tc>
        <w:tc>
          <w:tcPr>
            <w:tcW w:w="589" w:type="pct"/>
          </w:tcPr>
          <w:p w14:paraId="12F9C11E" w14:textId="77777777" w:rsidR="00AD1F54" w:rsidRPr="00264D5D" w:rsidRDefault="00941227">
            <w:pPr>
              <w:spacing w:before="60" w:after="60"/>
              <w:jc w:val="left"/>
              <w:rPr>
                <w:sz w:val="22"/>
                <w:szCs w:val="22"/>
                <w:lang w:val="en-US"/>
              </w:rPr>
            </w:pPr>
            <w:r w:rsidRPr="00264D5D">
              <w:rPr>
                <w:sz w:val="22"/>
                <w:szCs w:val="22"/>
              </w:rPr>
              <w:t>N</w:t>
            </w:r>
            <w:r w:rsidRPr="00264D5D">
              <w:rPr>
                <w:sz w:val="22"/>
                <w:szCs w:val="22"/>
                <w:lang w:val="en-US"/>
              </w:rPr>
              <w:t>(1-2)</w:t>
            </w:r>
          </w:p>
        </w:tc>
        <w:tc>
          <w:tcPr>
            <w:tcW w:w="293" w:type="pct"/>
          </w:tcPr>
          <w:p w14:paraId="12724A35" w14:textId="77777777" w:rsidR="00AD1F54" w:rsidRPr="00264D5D" w:rsidRDefault="00941227">
            <w:pPr>
              <w:spacing w:before="60" w:after="60"/>
              <w:jc w:val="center"/>
              <w:rPr>
                <w:sz w:val="22"/>
                <w:szCs w:val="22"/>
              </w:rPr>
            </w:pPr>
            <w:r w:rsidRPr="00264D5D">
              <w:rPr>
                <w:sz w:val="22"/>
                <w:szCs w:val="22"/>
              </w:rPr>
              <w:t>Н</w:t>
            </w:r>
          </w:p>
        </w:tc>
        <w:tc>
          <w:tcPr>
            <w:tcW w:w="2057" w:type="pct"/>
          </w:tcPr>
          <w:p w14:paraId="2465A6EC" w14:textId="6802E5C1" w:rsidR="00AD1F54" w:rsidRPr="00264D5D" w:rsidRDefault="00941227" w:rsidP="008D797C">
            <w:pPr>
              <w:pStyle w:val="afffffffb"/>
              <w:spacing w:before="60" w:after="60" w:line="240" w:lineRule="auto"/>
              <w:ind w:firstLine="0"/>
              <w:contextualSpacing/>
              <w:rPr>
                <w:szCs w:val="22"/>
              </w:rPr>
            </w:pPr>
            <w:r w:rsidRPr="00264D5D">
              <w:rPr>
                <w:spacing w:val="0"/>
                <w:sz w:val="22"/>
                <w:szCs w:val="22"/>
                <w:lang w:val="ru-RU" w:eastAsia="ru-RU"/>
              </w:rPr>
              <w:t>Ставка НДС</w:t>
            </w:r>
            <w:r w:rsidRPr="008D797C">
              <w:rPr>
                <w:sz w:val="22"/>
                <w:szCs w:val="22"/>
                <w:highlight w:val="green"/>
              </w:rPr>
              <w:t>.</w:t>
            </w:r>
          </w:p>
          <w:p w14:paraId="6AC164E7" w14:textId="77777777" w:rsidR="00AD1F54" w:rsidRPr="00264D5D" w:rsidRDefault="00941227" w:rsidP="00676E27">
            <w:pPr>
              <w:spacing w:before="60" w:after="60"/>
              <w:rPr>
                <w:sz w:val="22"/>
                <w:szCs w:val="22"/>
              </w:rPr>
            </w:pPr>
            <w:r w:rsidRPr="008D797C">
              <w:rPr>
                <w:sz w:val="22"/>
                <w:szCs w:val="22"/>
                <w:highlight w:val="green"/>
              </w:rPr>
              <w:t>П</w:t>
            </w:r>
            <w:r w:rsidRPr="00264D5D">
              <w:rPr>
                <w:sz w:val="22"/>
                <w:szCs w:val="22"/>
              </w:rPr>
              <w:t>оле не заполняется, если товар, работа, услуга не облагается НДС</w:t>
            </w:r>
          </w:p>
          <w:p w14:paraId="1848E277" w14:textId="77777777" w:rsidR="00AD1F54" w:rsidRPr="00264D5D" w:rsidRDefault="00941227" w:rsidP="00676E27">
            <w:pPr>
              <w:pStyle w:val="afffffffb"/>
              <w:spacing w:before="60" w:after="60" w:line="240" w:lineRule="auto"/>
              <w:ind w:firstLine="0"/>
              <w:contextualSpacing/>
              <w:rPr>
                <w:sz w:val="22"/>
                <w:szCs w:val="22"/>
                <w:lang w:val="ru-RU"/>
              </w:rPr>
            </w:pPr>
            <w:r w:rsidRPr="00264D5D">
              <w:rPr>
                <w:sz w:val="22"/>
                <w:szCs w:val="22"/>
                <w:lang w:val="ru-RU"/>
              </w:rPr>
              <w:t>В случае, если значение реквизита «Производить расчеты НДС в итоговых строках» равно «</w:t>
            </w:r>
            <w:r w:rsidRPr="00264D5D">
              <w:rPr>
                <w:sz w:val="22"/>
                <w:szCs w:val="22"/>
              </w:rPr>
              <w:t>FALSE</w:t>
            </w:r>
            <w:r w:rsidRPr="00264D5D">
              <w:rPr>
                <w:sz w:val="22"/>
                <w:szCs w:val="22"/>
                <w:lang w:val="ru-RU"/>
              </w:rPr>
              <w:t>» или не задано</w:t>
            </w:r>
            <w:r w:rsidR="00676E27" w:rsidRPr="00264D5D">
              <w:rPr>
                <w:sz w:val="22"/>
                <w:szCs w:val="22"/>
                <w:lang w:val="ru-RU"/>
              </w:rPr>
              <w:t>, то обязательно для заполнения</w:t>
            </w:r>
          </w:p>
        </w:tc>
      </w:tr>
      <w:tr w:rsidR="00AD1F54" w:rsidRPr="00264D5D" w14:paraId="75F31C6B"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7A801710" w14:textId="77777777" w:rsidR="00AD1F54" w:rsidRPr="00264D5D" w:rsidRDefault="00941227">
            <w:pPr>
              <w:spacing w:before="60" w:after="60"/>
              <w:rPr>
                <w:sz w:val="22"/>
                <w:szCs w:val="22"/>
              </w:rPr>
            </w:pPr>
            <w:r w:rsidRPr="00264D5D">
              <w:rPr>
                <w:sz w:val="22"/>
                <w:szCs w:val="22"/>
              </w:rPr>
              <w:t>Размер НДС</w:t>
            </w:r>
          </w:p>
        </w:tc>
        <w:tc>
          <w:tcPr>
            <w:tcW w:w="884" w:type="pct"/>
          </w:tcPr>
          <w:p w14:paraId="1F01B3D4" w14:textId="77777777" w:rsidR="00AD1F54" w:rsidRPr="00264D5D" w:rsidRDefault="00941227">
            <w:pPr>
              <w:spacing w:before="60" w:after="60"/>
              <w:rPr>
                <w:sz w:val="22"/>
                <w:szCs w:val="22"/>
              </w:rPr>
            </w:pPr>
            <w:r w:rsidRPr="00264D5D">
              <w:rPr>
                <w:sz w:val="22"/>
                <w:szCs w:val="22"/>
              </w:rPr>
              <w:t>VAT</w:t>
            </w:r>
          </w:p>
        </w:tc>
        <w:tc>
          <w:tcPr>
            <w:tcW w:w="294" w:type="pct"/>
          </w:tcPr>
          <w:p w14:paraId="1F5C9EF7" w14:textId="77777777" w:rsidR="00AD1F54" w:rsidRPr="00264D5D" w:rsidRDefault="00941227">
            <w:pPr>
              <w:spacing w:before="60" w:after="60"/>
              <w:jc w:val="center"/>
              <w:rPr>
                <w:sz w:val="22"/>
                <w:szCs w:val="22"/>
              </w:rPr>
            </w:pPr>
            <w:r w:rsidRPr="00264D5D">
              <w:rPr>
                <w:sz w:val="22"/>
                <w:szCs w:val="22"/>
              </w:rPr>
              <w:t>П</w:t>
            </w:r>
          </w:p>
        </w:tc>
        <w:tc>
          <w:tcPr>
            <w:tcW w:w="589" w:type="pct"/>
          </w:tcPr>
          <w:p w14:paraId="3F4B2021" w14:textId="77777777" w:rsidR="00AD1F54" w:rsidRPr="00264D5D" w:rsidRDefault="00941227">
            <w:pPr>
              <w:spacing w:before="60" w:after="60"/>
              <w:jc w:val="left"/>
              <w:rPr>
                <w:sz w:val="22"/>
                <w:szCs w:val="22"/>
              </w:rPr>
            </w:pPr>
            <w:r w:rsidRPr="00264D5D">
              <w:rPr>
                <w:sz w:val="22"/>
                <w:szCs w:val="22"/>
              </w:rPr>
              <w:t>N(20.2)</w:t>
            </w:r>
          </w:p>
        </w:tc>
        <w:tc>
          <w:tcPr>
            <w:tcW w:w="293" w:type="pct"/>
          </w:tcPr>
          <w:p w14:paraId="401C66E2" w14:textId="77777777" w:rsidR="00AD1F54" w:rsidRPr="00264D5D" w:rsidRDefault="00941227">
            <w:pPr>
              <w:spacing w:before="60" w:after="60"/>
              <w:jc w:val="center"/>
              <w:rPr>
                <w:sz w:val="22"/>
                <w:szCs w:val="22"/>
              </w:rPr>
            </w:pPr>
            <w:r w:rsidRPr="00264D5D">
              <w:rPr>
                <w:sz w:val="22"/>
                <w:szCs w:val="22"/>
              </w:rPr>
              <w:t>Н</w:t>
            </w:r>
          </w:p>
        </w:tc>
        <w:tc>
          <w:tcPr>
            <w:tcW w:w="2057" w:type="pct"/>
          </w:tcPr>
          <w:p w14:paraId="1CA3BE3A" w14:textId="77777777" w:rsidR="00AD1F54" w:rsidRPr="00264D5D" w:rsidRDefault="00941227" w:rsidP="00676E27">
            <w:pPr>
              <w:spacing w:before="60" w:after="60"/>
              <w:rPr>
                <w:sz w:val="22"/>
                <w:szCs w:val="22"/>
              </w:rPr>
            </w:pPr>
            <w:r w:rsidRPr="00264D5D">
              <w:rPr>
                <w:sz w:val="22"/>
                <w:szCs w:val="22"/>
              </w:rPr>
              <w:t>Сумма налога, предъявляемая покупателю.</w:t>
            </w:r>
          </w:p>
          <w:p w14:paraId="50C56D8B" w14:textId="77777777" w:rsidR="00AD1F54" w:rsidRPr="00264D5D" w:rsidRDefault="00941227" w:rsidP="00676E27">
            <w:pPr>
              <w:spacing w:before="60" w:after="60"/>
              <w:ind w:firstLine="29"/>
              <w:rPr>
                <w:sz w:val="22"/>
                <w:szCs w:val="22"/>
              </w:rPr>
            </w:pPr>
            <w:r w:rsidRPr="00264D5D">
              <w:rPr>
                <w:sz w:val="22"/>
                <w:szCs w:val="22"/>
              </w:rPr>
              <w:t>В случае, если значение реквизита «Производить расчеты НДС в итоговых строках» равно «FALSE» или не задано, то обязательно для заполнения.</w:t>
            </w:r>
          </w:p>
          <w:p w14:paraId="4108495C" w14:textId="77777777" w:rsidR="00AD1F54" w:rsidRPr="00264D5D" w:rsidRDefault="00941227" w:rsidP="00676E27">
            <w:pPr>
              <w:spacing w:before="60" w:after="60"/>
              <w:rPr>
                <w:sz w:val="22"/>
                <w:szCs w:val="22"/>
              </w:rPr>
            </w:pPr>
            <w:r w:rsidRPr="00264D5D">
              <w:rPr>
                <w:sz w:val="22"/>
                <w:szCs w:val="22"/>
              </w:rPr>
              <w:t>В случае, если применяется накопительный итог для документов о приемке, то значение</w:t>
            </w:r>
            <w:r w:rsidR="00676E27" w:rsidRPr="00264D5D">
              <w:rPr>
                <w:sz w:val="22"/>
                <w:szCs w:val="22"/>
              </w:rPr>
              <w:t xml:space="preserve"> суммы может быть отрицательным</w:t>
            </w:r>
          </w:p>
        </w:tc>
      </w:tr>
    </w:tbl>
    <w:p w14:paraId="0A963873" w14:textId="77777777" w:rsidR="00AD1F54" w:rsidRPr="00264D5D" w:rsidRDefault="00941227">
      <w:pPr>
        <w:pStyle w:val="31"/>
      </w:pPr>
      <w:bookmarkStart w:id="1657" w:name="_Toc115357106"/>
      <w:bookmarkStart w:id="1658" w:name="_Toc106288740"/>
      <w:bookmarkStart w:id="1659" w:name="_Toc219309611"/>
      <w:r w:rsidRPr="00264D5D">
        <w:t>Описание комплексного типа «tCntrlNf»</w:t>
      </w:r>
      <w:bookmarkEnd w:id="1657"/>
      <w:bookmarkEnd w:id="1659"/>
    </w:p>
    <w:p w14:paraId="400045C1" w14:textId="77777777" w:rsidR="00AD1F54" w:rsidRPr="00264D5D" w:rsidRDefault="00941227">
      <w:pPr>
        <w:pStyle w:val="ASFKNormal"/>
        <w:spacing w:before="60" w:after="120"/>
        <w:contextualSpacing w:val="0"/>
        <w:jc w:val="both"/>
        <w:rPr>
          <w:sz w:val="24"/>
          <w:szCs w:val="24"/>
        </w:rPr>
      </w:pPr>
      <w:r w:rsidRPr="00264D5D">
        <w:rPr>
          <w:sz w:val="24"/>
          <w:szCs w:val="24"/>
        </w:rPr>
        <w:t xml:space="preserve">Описание комплексного типа «tCntrlNf» блока «Контроль ДО». </w:t>
      </w:r>
    </w:p>
    <w:p w14:paraId="6580DCDF" w14:textId="309318F0" w:rsidR="00AD1F54" w:rsidRPr="00264D5D" w:rsidRDefault="001E5517">
      <w:pPr>
        <w:pStyle w:val="GOSTNameTable"/>
        <w:numPr>
          <w:ilvl w:val="0"/>
          <w:numId w:val="2"/>
        </w:numPr>
        <w:tabs>
          <w:tab w:val="clear" w:pos="567"/>
          <w:tab w:val="num" w:pos="993"/>
        </w:tabs>
        <w:ind w:left="425" w:hanging="357"/>
        <w:jc w:val="both"/>
      </w:pPr>
      <w:r w:rsidRPr="00264D5D">
        <w:rPr>
          <w:noProof/>
        </w:rPr>
        <w:fldChar w:fldCharType="begin"/>
      </w:r>
      <w:r w:rsidRPr="00264D5D">
        <w:rPr>
          <w:noProof/>
        </w:rPr>
        <w:instrText xml:space="preserve"> SEQ Таблица \* ARABIC </w:instrText>
      </w:r>
      <w:r w:rsidRPr="00264D5D">
        <w:rPr>
          <w:noProof/>
        </w:rPr>
        <w:fldChar w:fldCharType="separate"/>
      </w:r>
      <w:bookmarkStart w:id="1660" w:name="_Ref117271972"/>
      <w:bookmarkStart w:id="1661" w:name="_Toc219309188"/>
      <w:r w:rsidR="008D797C">
        <w:rPr>
          <w:noProof/>
        </w:rPr>
        <w:t>158</w:t>
      </w:r>
      <w:bookmarkEnd w:id="1660"/>
      <w:r w:rsidRPr="00264D5D">
        <w:rPr>
          <w:noProof/>
        </w:rPr>
        <w:fldChar w:fldCharType="end"/>
      </w:r>
      <w:r w:rsidR="00941227" w:rsidRPr="00264D5D">
        <w:rPr>
          <w:rFonts w:eastAsia="Calibri"/>
          <w:szCs w:val="24"/>
        </w:rPr>
        <w:t xml:space="preserve"> – </w:t>
      </w:r>
      <w:r w:rsidR="00941227" w:rsidRPr="00264D5D">
        <w:t>Описание комплексного типа «tCntrlNf»</w:t>
      </w:r>
      <w:bookmarkEnd w:id="1661"/>
    </w:p>
    <w:tbl>
      <w:tblPr>
        <w:tblStyle w:val="GOSTTable"/>
        <w:tblW w:w="5000" w:type="pct"/>
        <w:tblLayout w:type="fixed"/>
        <w:tblLook w:val="04A0" w:firstRow="1" w:lastRow="0" w:firstColumn="1" w:lastColumn="0" w:noHBand="0" w:noVBand="1"/>
      </w:tblPr>
      <w:tblGrid>
        <w:gridCol w:w="1709"/>
        <w:gridCol w:w="1703"/>
        <w:gridCol w:w="568"/>
        <w:gridCol w:w="1135"/>
        <w:gridCol w:w="567"/>
        <w:gridCol w:w="3968"/>
      </w:tblGrid>
      <w:tr w:rsidR="00AD1F54" w:rsidRPr="00264D5D" w14:paraId="27AD7859"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5" w:type="pct"/>
          </w:tcPr>
          <w:p w14:paraId="1BA63619" w14:textId="77777777" w:rsidR="00AD1F54" w:rsidRPr="00264D5D" w:rsidRDefault="00941227">
            <w:pPr>
              <w:spacing w:before="60" w:after="60"/>
              <w:jc w:val="center"/>
              <w:rPr>
                <w:b/>
                <w:bCs/>
                <w:sz w:val="22"/>
                <w:szCs w:val="22"/>
              </w:rPr>
            </w:pPr>
            <w:r w:rsidRPr="00264D5D">
              <w:rPr>
                <w:b/>
                <w:bCs/>
                <w:sz w:val="22"/>
                <w:szCs w:val="22"/>
              </w:rPr>
              <w:t>Наименование элемента</w:t>
            </w:r>
          </w:p>
        </w:tc>
        <w:tc>
          <w:tcPr>
            <w:tcW w:w="882" w:type="pct"/>
          </w:tcPr>
          <w:p w14:paraId="527623D0" w14:textId="77777777" w:rsidR="00AD1F54" w:rsidRPr="00264D5D" w:rsidRDefault="00941227">
            <w:pPr>
              <w:spacing w:before="60" w:after="60"/>
              <w:jc w:val="center"/>
              <w:rPr>
                <w:b/>
                <w:bCs/>
                <w:sz w:val="22"/>
                <w:szCs w:val="22"/>
              </w:rPr>
            </w:pPr>
            <w:r w:rsidRPr="00264D5D">
              <w:rPr>
                <w:b/>
                <w:bCs/>
                <w:sz w:val="22"/>
                <w:szCs w:val="22"/>
              </w:rPr>
              <w:t>Сокращенное наименование (код) элемента</w:t>
            </w:r>
          </w:p>
        </w:tc>
        <w:tc>
          <w:tcPr>
            <w:tcW w:w="294" w:type="pct"/>
          </w:tcPr>
          <w:p w14:paraId="1948CE63" w14:textId="77777777" w:rsidR="00AD1F54" w:rsidRPr="00264D5D" w:rsidRDefault="00941227">
            <w:pPr>
              <w:spacing w:before="60" w:after="60"/>
              <w:jc w:val="center"/>
              <w:rPr>
                <w:b/>
                <w:bCs/>
                <w:sz w:val="22"/>
                <w:szCs w:val="22"/>
              </w:rPr>
            </w:pPr>
            <w:r w:rsidRPr="00264D5D">
              <w:rPr>
                <w:b/>
                <w:bCs/>
                <w:sz w:val="22"/>
                <w:szCs w:val="22"/>
              </w:rPr>
              <w:t>Тип</w:t>
            </w:r>
          </w:p>
        </w:tc>
        <w:tc>
          <w:tcPr>
            <w:tcW w:w="588" w:type="pct"/>
          </w:tcPr>
          <w:p w14:paraId="19226E0E" w14:textId="77777777" w:rsidR="00AD1F54" w:rsidRPr="00264D5D" w:rsidRDefault="00941227">
            <w:pPr>
              <w:spacing w:before="60" w:after="60"/>
              <w:jc w:val="center"/>
              <w:rPr>
                <w:b/>
                <w:bCs/>
                <w:sz w:val="22"/>
                <w:szCs w:val="22"/>
              </w:rPr>
            </w:pPr>
            <w:r w:rsidRPr="00264D5D">
              <w:rPr>
                <w:b/>
                <w:bCs/>
                <w:sz w:val="22"/>
                <w:szCs w:val="22"/>
              </w:rPr>
              <w:t>Формат элемента</w:t>
            </w:r>
          </w:p>
        </w:tc>
        <w:tc>
          <w:tcPr>
            <w:tcW w:w="294" w:type="pct"/>
          </w:tcPr>
          <w:p w14:paraId="58E4CA81" w14:textId="77777777" w:rsidR="00AD1F54" w:rsidRPr="00264D5D" w:rsidRDefault="00941227">
            <w:pPr>
              <w:spacing w:before="60" w:after="60"/>
              <w:jc w:val="center"/>
              <w:rPr>
                <w:b/>
                <w:bCs/>
                <w:sz w:val="22"/>
                <w:szCs w:val="22"/>
              </w:rPr>
            </w:pPr>
            <w:r w:rsidRPr="00264D5D">
              <w:rPr>
                <w:b/>
                <w:bCs/>
                <w:sz w:val="22"/>
                <w:szCs w:val="22"/>
              </w:rPr>
              <w:t>Обязательность</w:t>
            </w:r>
          </w:p>
        </w:tc>
        <w:tc>
          <w:tcPr>
            <w:tcW w:w="2056" w:type="pct"/>
          </w:tcPr>
          <w:p w14:paraId="5C399246" w14:textId="77777777" w:rsidR="00AD1F54" w:rsidRPr="00264D5D" w:rsidRDefault="00941227">
            <w:pPr>
              <w:spacing w:before="60" w:after="60"/>
              <w:jc w:val="center"/>
              <w:rPr>
                <w:b/>
                <w:bCs/>
                <w:sz w:val="22"/>
                <w:szCs w:val="22"/>
              </w:rPr>
            </w:pPr>
            <w:r w:rsidRPr="00264D5D">
              <w:rPr>
                <w:b/>
                <w:bCs/>
                <w:sz w:val="22"/>
                <w:szCs w:val="22"/>
              </w:rPr>
              <w:t>Дополнительная информация</w:t>
            </w:r>
          </w:p>
        </w:tc>
      </w:tr>
      <w:tr w:rsidR="00AD1F54" w:rsidRPr="00264D5D" w14:paraId="2B34F2C1"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5" w:type="pct"/>
          </w:tcPr>
          <w:p w14:paraId="44EEBDE8" w14:textId="77777777" w:rsidR="00AD1F54" w:rsidRPr="00264D5D" w:rsidRDefault="00941227">
            <w:pPr>
              <w:spacing w:before="60" w:after="60"/>
              <w:rPr>
                <w:sz w:val="22"/>
                <w:szCs w:val="22"/>
              </w:rPr>
            </w:pPr>
            <w:r w:rsidRPr="00264D5D">
              <w:rPr>
                <w:sz w:val="22"/>
                <w:szCs w:val="22"/>
              </w:rPr>
              <w:t>Результаты контроля</w:t>
            </w:r>
          </w:p>
        </w:tc>
        <w:tc>
          <w:tcPr>
            <w:tcW w:w="882" w:type="pct"/>
          </w:tcPr>
          <w:p w14:paraId="15F84360" w14:textId="77777777" w:rsidR="00AD1F54" w:rsidRPr="00264D5D" w:rsidRDefault="00941227">
            <w:pPr>
              <w:spacing w:before="60" w:after="60"/>
              <w:rPr>
                <w:sz w:val="22"/>
                <w:szCs w:val="22"/>
              </w:rPr>
            </w:pPr>
            <w:r w:rsidRPr="00264D5D">
              <w:rPr>
                <w:sz w:val="22"/>
                <w:szCs w:val="22"/>
                <w:lang w:val="en-US"/>
              </w:rPr>
              <w:t>CntrlRslts</w:t>
            </w:r>
          </w:p>
        </w:tc>
        <w:tc>
          <w:tcPr>
            <w:tcW w:w="294" w:type="pct"/>
          </w:tcPr>
          <w:p w14:paraId="703D8866" w14:textId="77777777" w:rsidR="00AD1F54" w:rsidRPr="00264D5D" w:rsidRDefault="00941227">
            <w:pPr>
              <w:spacing w:before="60" w:after="60"/>
              <w:jc w:val="center"/>
              <w:rPr>
                <w:sz w:val="22"/>
                <w:szCs w:val="22"/>
              </w:rPr>
            </w:pPr>
            <w:r w:rsidRPr="00264D5D">
              <w:rPr>
                <w:sz w:val="22"/>
                <w:szCs w:val="22"/>
              </w:rPr>
              <w:t>С</w:t>
            </w:r>
          </w:p>
        </w:tc>
        <w:tc>
          <w:tcPr>
            <w:tcW w:w="588" w:type="pct"/>
          </w:tcPr>
          <w:p w14:paraId="03A698AF" w14:textId="77777777" w:rsidR="00AD1F54" w:rsidRPr="00264D5D" w:rsidRDefault="00941227">
            <w:pPr>
              <w:spacing w:before="60" w:after="60"/>
              <w:rPr>
                <w:sz w:val="22"/>
                <w:szCs w:val="22"/>
              </w:rPr>
            </w:pPr>
            <w:r w:rsidRPr="00264D5D">
              <w:rPr>
                <w:sz w:val="22"/>
                <w:szCs w:val="22"/>
              </w:rPr>
              <w:t>tCntrRslts</w:t>
            </w:r>
          </w:p>
        </w:tc>
        <w:tc>
          <w:tcPr>
            <w:tcW w:w="294" w:type="pct"/>
          </w:tcPr>
          <w:p w14:paraId="293C2D25" w14:textId="77777777" w:rsidR="00AD1F54" w:rsidRPr="00264D5D" w:rsidRDefault="00941227">
            <w:pPr>
              <w:spacing w:before="60" w:after="60"/>
              <w:jc w:val="center"/>
              <w:rPr>
                <w:sz w:val="22"/>
                <w:szCs w:val="22"/>
              </w:rPr>
            </w:pPr>
            <w:r w:rsidRPr="00264D5D">
              <w:rPr>
                <w:sz w:val="22"/>
                <w:szCs w:val="22"/>
              </w:rPr>
              <w:t>О</w:t>
            </w:r>
          </w:p>
        </w:tc>
        <w:tc>
          <w:tcPr>
            <w:tcW w:w="2056" w:type="pct"/>
          </w:tcPr>
          <w:p w14:paraId="049CA76E" w14:textId="77777777" w:rsidR="00AD1F54" w:rsidRPr="00264D5D" w:rsidRDefault="00941227">
            <w:pPr>
              <w:spacing w:before="60" w:after="60"/>
              <w:rPr>
                <w:sz w:val="22"/>
                <w:szCs w:val="22"/>
              </w:rPr>
            </w:pPr>
            <w:r w:rsidRPr="00264D5D">
              <w:rPr>
                <w:sz w:val="22"/>
                <w:szCs w:val="22"/>
              </w:rPr>
              <w:t>Результаты контроля.</w:t>
            </w:r>
          </w:p>
          <w:p w14:paraId="08CFE947" w14:textId="172DF295" w:rsidR="00AD1F54" w:rsidRPr="00264D5D" w:rsidRDefault="00941227">
            <w:pPr>
              <w:spacing w:before="60" w:after="60"/>
              <w:rPr>
                <w:sz w:val="22"/>
                <w:szCs w:val="22"/>
              </w:rPr>
            </w:pPr>
            <w:r w:rsidRPr="00264D5D">
              <w:rPr>
                <w:sz w:val="22"/>
                <w:szCs w:val="22"/>
              </w:rPr>
              <w:t xml:space="preserve">Состав элемента представлен в таблице </w:t>
            </w:r>
            <w:r w:rsidRPr="00264D5D">
              <w:rPr>
                <w:b/>
                <w:bCs/>
                <w:sz w:val="22"/>
                <w:szCs w:val="22"/>
              </w:rPr>
              <w:fldChar w:fldCharType="begin"/>
            </w:r>
            <w:r w:rsidRPr="00264D5D">
              <w:rPr>
                <w:sz w:val="22"/>
                <w:szCs w:val="22"/>
              </w:rPr>
              <w:instrText xml:space="preserve"> REF _Ref117271974 \h </w:instrText>
            </w:r>
            <w:r w:rsidRPr="00264D5D">
              <w:rPr>
                <w:b/>
                <w:bCs/>
                <w:sz w:val="22"/>
                <w:szCs w:val="22"/>
              </w:rPr>
              <w:instrText xml:space="preserve"> \* MERGEFORMAT </w:instrText>
            </w:r>
            <w:r w:rsidRPr="00264D5D">
              <w:rPr>
                <w:b/>
                <w:bCs/>
                <w:sz w:val="22"/>
                <w:szCs w:val="22"/>
              </w:rPr>
            </w:r>
            <w:r w:rsidRPr="00264D5D">
              <w:rPr>
                <w:b/>
                <w:bCs/>
                <w:sz w:val="22"/>
                <w:szCs w:val="22"/>
              </w:rPr>
              <w:fldChar w:fldCharType="separate"/>
            </w:r>
            <w:r w:rsidR="008D797C" w:rsidRPr="008D797C">
              <w:rPr>
                <w:sz w:val="22"/>
                <w:szCs w:val="22"/>
              </w:rPr>
              <w:t>159</w:t>
            </w:r>
            <w:r w:rsidRPr="00264D5D">
              <w:rPr>
                <w:b/>
                <w:bCs/>
                <w:sz w:val="22"/>
                <w:szCs w:val="22"/>
              </w:rPr>
              <w:fldChar w:fldCharType="end"/>
            </w:r>
          </w:p>
        </w:tc>
      </w:tr>
      <w:tr w:rsidR="00AD1F54" w:rsidRPr="00264D5D" w14:paraId="481EA392"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5" w:type="pct"/>
          </w:tcPr>
          <w:p w14:paraId="2951A52A" w14:textId="77777777" w:rsidR="00AD1F54" w:rsidRPr="00264D5D" w:rsidRDefault="00941227">
            <w:pPr>
              <w:spacing w:before="60" w:after="60"/>
              <w:rPr>
                <w:sz w:val="22"/>
                <w:szCs w:val="22"/>
              </w:rPr>
            </w:pPr>
            <w:r w:rsidRPr="00264D5D">
              <w:rPr>
                <w:sz w:val="22"/>
                <w:szCs w:val="22"/>
              </w:rPr>
              <w:t>Информация о рисках</w:t>
            </w:r>
          </w:p>
        </w:tc>
        <w:tc>
          <w:tcPr>
            <w:tcW w:w="882" w:type="pct"/>
          </w:tcPr>
          <w:p w14:paraId="3C3A07F0" w14:textId="77777777" w:rsidR="00AD1F54" w:rsidRPr="00264D5D" w:rsidRDefault="00941227">
            <w:pPr>
              <w:spacing w:before="60" w:after="60"/>
              <w:rPr>
                <w:rFonts w:eastAsia="Calibri"/>
                <w:color w:val="000000"/>
                <w:sz w:val="22"/>
                <w:szCs w:val="22"/>
              </w:rPr>
            </w:pPr>
            <w:r w:rsidRPr="00264D5D">
              <w:rPr>
                <w:rFonts w:eastAsia="Calibri"/>
                <w:color w:val="000000"/>
                <w:sz w:val="22"/>
                <w:szCs w:val="22"/>
              </w:rPr>
              <w:t>RsksNf</w:t>
            </w:r>
          </w:p>
        </w:tc>
        <w:tc>
          <w:tcPr>
            <w:tcW w:w="294" w:type="pct"/>
          </w:tcPr>
          <w:p w14:paraId="194F4733" w14:textId="77777777" w:rsidR="00AD1F54" w:rsidRPr="00264D5D" w:rsidRDefault="00941227">
            <w:pPr>
              <w:spacing w:before="60" w:after="60"/>
              <w:jc w:val="center"/>
              <w:rPr>
                <w:sz w:val="22"/>
                <w:szCs w:val="22"/>
              </w:rPr>
            </w:pPr>
            <w:r w:rsidRPr="00264D5D">
              <w:rPr>
                <w:sz w:val="22"/>
                <w:szCs w:val="22"/>
              </w:rPr>
              <w:t>С</w:t>
            </w:r>
          </w:p>
        </w:tc>
        <w:tc>
          <w:tcPr>
            <w:tcW w:w="588" w:type="pct"/>
          </w:tcPr>
          <w:p w14:paraId="116B2E2C" w14:textId="77777777" w:rsidR="00AD1F54" w:rsidRPr="00264D5D" w:rsidRDefault="00941227">
            <w:pPr>
              <w:spacing w:before="60" w:after="60"/>
              <w:rPr>
                <w:sz w:val="22"/>
                <w:szCs w:val="22"/>
              </w:rPr>
            </w:pPr>
            <w:r w:rsidRPr="00264D5D">
              <w:rPr>
                <w:sz w:val="22"/>
                <w:szCs w:val="22"/>
              </w:rPr>
              <w:t>tRskNfs</w:t>
            </w:r>
          </w:p>
        </w:tc>
        <w:tc>
          <w:tcPr>
            <w:tcW w:w="294" w:type="pct"/>
          </w:tcPr>
          <w:p w14:paraId="57D6FBC4" w14:textId="77777777" w:rsidR="00AD1F54" w:rsidRPr="00264D5D" w:rsidRDefault="00941227">
            <w:pPr>
              <w:spacing w:before="60" w:after="60"/>
              <w:jc w:val="center"/>
              <w:rPr>
                <w:sz w:val="22"/>
                <w:szCs w:val="22"/>
              </w:rPr>
            </w:pPr>
            <w:r w:rsidRPr="00264D5D">
              <w:rPr>
                <w:sz w:val="22"/>
                <w:szCs w:val="22"/>
              </w:rPr>
              <w:t>Н</w:t>
            </w:r>
          </w:p>
        </w:tc>
        <w:tc>
          <w:tcPr>
            <w:tcW w:w="2056" w:type="pct"/>
          </w:tcPr>
          <w:p w14:paraId="6D85675E" w14:textId="77777777" w:rsidR="00AD1F54" w:rsidRPr="00264D5D" w:rsidRDefault="00941227" w:rsidP="00676E27">
            <w:pPr>
              <w:spacing w:before="60" w:after="60"/>
              <w:rPr>
                <w:sz w:val="22"/>
                <w:szCs w:val="22"/>
              </w:rPr>
            </w:pPr>
            <w:r w:rsidRPr="00264D5D">
              <w:rPr>
                <w:sz w:val="22"/>
                <w:szCs w:val="22"/>
              </w:rPr>
              <w:t>Информация о рисках.</w:t>
            </w:r>
          </w:p>
          <w:p w14:paraId="31DB60D5" w14:textId="16180537" w:rsidR="00AD1F54" w:rsidRPr="00264D5D" w:rsidRDefault="00941227" w:rsidP="00676E27">
            <w:pPr>
              <w:spacing w:before="60" w:after="60"/>
              <w:rPr>
                <w:sz w:val="22"/>
                <w:szCs w:val="22"/>
              </w:rPr>
            </w:pPr>
            <w:r w:rsidRPr="00264D5D">
              <w:rPr>
                <w:sz w:val="22"/>
                <w:szCs w:val="22"/>
              </w:rPr>
              <w:t xml:space="preserve">Состав элемента представлен в таблице </w:t>
            </w:r>
            <w:r w:rsidRPr="00264D5D">
              <w:rPr>
                <w:b/>
                <w:bCs/>
                <w:sz w:val="22"/>
                <w:szCs w:val="22"/>
              </w:rPr>
              <w:fldChar w:fldCharType="begin"/>
            </w:r>
            <w:r w:rsidRPr="00264D5D">
              <w:rPr>
                <w:sz w:val="22"/>
                <w:szCs w:val="22"/>
              </w:rPr>
              <w:instrText xml:space="preserve"> REF _Ref117271975 \h </w:instrText>
            </w:r>
            <w:r w:rsidRPr="00264D5D">
              <w:rPr>
                <w:b/>
                <w:bCs/>
                <w:sz w:val="22"/>
                <w:szCs w:val="22"/>
              </w:rPr>
              <w:instrText xml:space="preserve"> \* MERGEFORMAT </w:instrText>
            </w:r>
            <w:r w:rsidRPr="00264D5D">
              <w:rPr>
                <w:b/>
                <w:bCs/>
                <w:sz w:val="22"/>
                <w:szCs w:val="22"/>
              </w:rPr>
            </w:r>
            <w:r w:rsidRPr="00264D5D">
              <w:rPr>
                <w:b/>
                <w:bCs/>
                <w:sz w:val="22"/>
                <w:szCs w:val="22"/>
              </w:rPr>
              <w:fldChar w:fldCharType="separate"/>
            </w:r>
            <w:r w:rsidR="008D797C" w:rsidRPr="008D797C">
              <w:rPr>
                <w:sz w:val="22"/>
                <w:szCs w:val="22"/>
              </w:rPr>
              <w:t>161</w:t>
            </w:r>
            <w:r w:rsidRPr="00264D5D">
              <w:rPr>
                <w:b/>
                <w:bCs/>
                <w:sz w:val="22"/>
                <w:szCs w:val="22"/>
              </w:rPr>
              <w:fldChar w:fldCharType="end"/>
            </w:r>
          </w:p>
        </w:tc>
      </w:tr>
      <w:tr w:rsidR="00AD1F54" w:rsidRPr="00264D5D" w14:paraId="60AFC72C"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5" w:type="pct"/>
          </w:tcPr>
          <w:p w14:paraId="5A75E9DC" w14:textId="77777777" w:rsidR="00AD1F54" w:rsidRPr="00264D5D" w:rsidRDefault="00941227">
            <w:pPr>
              <w:spacing w:before="60" w:after="60"/>
              <w:rPr>
                <w:sz w:val="22"/>
                <w:szCs w:val="22"/>
              </w:rPr>
            </w:pPr>
            <w:r w:rsidRPr="00264D5D">
              <w:rPr>
                <w:sz w:val="22"/>
                <w:szCs w:val="22"/>
              </w:rPr>
              <w:t>Номер версии БО</w:t>
            </w:r>
          </w:p>
        </w:tc>
        <w:tc>
          <w:tcPr>
            <w:tcW w:w="882" w:type="pct"/>
          </w:tcPr>
          <w:p w14:paraId="7899843F" w14:textId="77777777" w:rsidR="00AD1F54" w:rsidRPr="00264D5D" w:rsidRDefault="00941227">
            <w:pPr>
              <w:spacing w:before="60" w:after="60"/>
              <w:rPr>
                <w:rFonts w:eastAsia="Calibri"/>
                <w:color w:val="000000"/>
                <w:sz w:val="22"/>
                <w:szCs w:val="22"/>
              </w:rPr>
            </w:pPr>
            <w:r w:rsidRPr="00264D5D">
              <w:rPr>
                <w:rFonts w:eastAsia="Calibri"/>
                <w:color w:val="000000"/>
                <w:sz w:val="22"/>
                <w:szCs w:val="22"/>
              </w:rPr>
              <w:t>BdgtOblgtnsInf_NmChng</w:t>
            </w:r>
          </w:p>
        </w:tc>
        <w:tc>
          <w:tcPr>
            <w:tcW w:w="294" w:type="pct"/>
          </w:tcPr>
          <w:p w14:paraId="3473513C" w14:textId="77777777" w:rsidR="00AD1F54" w:rsidRPr="00264D5D" w:rsidRDefault="00941227">
            <w:pPr>
              <w:spacing w:before="60" w:after="60"/>
              <w:jc w:val="center"/>
              <w:rPr>
                <w:sz w:val="22"/>
                <w:szCs w:val="22"/>
              </w:rPr>
            </w:pPr>
            <w:r w:rsidRPr="00264D5D">
              <w:rPr>
                <w:sz w:val="22"/>
                <w:szCs w:val="22"/>
              </w:rPr>
              <w:t>П</w:t>
            </w:r>
          </w:p>
        </w:tc>
        <w:tc>
          <w:tcPr>
            <w:tcW w:w="588" w:type="pct"/>
          </w:tcPr>
          <w:p w14:paraId="47003773" w14:textId="77777777" w:rsidR="00AD1F54" w:rsidRPr="00264D5D" w:rsidRDefault="00941227">
            <w:pPr>
              <w:spacing w:before="60" w:after="60"/>
              <w:rPr>
                <w:sz w:val="22"/>
                <w:szCs w:val="22"/>
              </w:rPr>
            </w:pPr>
            <w:r w:rsidRPr="00264D5D">
              <w:rPr>
                <w:sz w:val="22"/>
                <w:szCs w:val="22"/>
              </w:rPr>
              <w:t>Т(1-</w:t>
            </w:r>
            <w:r w:rsidRPr="00264D5D">
              <w:rPr>
                <w:sz w:val="22"/>
                <w:szCs w:val="22"/>
                <w:lang w:val="en-US"/>
              </w:rPr>
              <w:t>7</w:t>
            </w:r>
            <w:r w:rsidRPr="00264D5D">
              <w:rPr>
                <w:sz w:val="22"/>
                <w:szCs w:val="22"/>
              </w:rPr>
              <w:t>)</w:t>
            </w:r>
          </w:p>
        </w:tc>
        <w:tc>
          <w:tcPr>
            <w:tcW w:w="294" w:type="pct"/>
          </w:tcPr>
          <w:p w14:paraId="6E5C09A5" w14:textId="77777777" w:rsidR="00AD1F54" w:rsidRPr="00264D5D" w:rsidRDefault="00941227">
            <w:pPr>
              <w:spacing w:before="60" w:after="60"/>
              <w:jc w:val="center"/>
              <w:rPr>
                <w:sz w:val="22"/>
                <w:szCs w:val="22"/>
              </w:rPr>
            </w:pPr>
            <w:r w:rsidRPr="00264D5D">
              <w:rPr>
                <w:sz w:val="22"/>
                <w:szCs w:val="22"/>
              </w:rPr>
              <w:t>О</w:t>
            </w:r>
          </w:p>
        </w:tc>
        <w:tc>
          <w:tcPr>
            <w:tcW w:w="2056" w:type="pct"/>
          </w:tcPr>
          <w:p w14:paraId="5BEAFB19" w14:textId="77777777" w:rsidR="00AD1F54" w:rsidRPr="00264D5D" w:rsidRDefault="00941227" w:rsidP="00676E27">
            <w:pPr>
              <w:pStyle w:val="GOSTTableListMark1"/>
              <w:spacing w:before="60" w:after="60"/>
              <w:ind w:left="57" w:firstLine="0"/>
              <w:jc w:val="both"/>
              <w:rPr>
                <w:szCs w:val="22"/>
              </w:rPr>
            </w:pPr>
            <w:r w:rsidRPr="00264D5D">
              <w:rPr>
                <w:szCs w:val="22"/>
              </w:rPr>
              <w:t>Указывается номер версии БО, н</w:t>
            </w:r>
            <w:r w:rsidR="00676E27" w:rsidRPr="00264D5D">
              <w:rPr>
                <w:szCs w:val="22"/>
              </w:rPr>
              <w:t>а основании которого создано ДО</w:t>
            </w:r>
          </w:p>
        </w:tc>
      </w:tr>
    </w:tbl>
    <w:p w14:paraId="5278BBB3" w14:textId="77777777" w:rsidR="00AD1F54" w:rsidRPr="00264D5D" w:rsidRDefault="00941227">
      <w:pPr>
        <w:pStyle w:val="31"/>
      </w:pPr>
      <w:bookmarkStart w:id="1662" w:name="_Toc115357107"/>
      <w:bookmarkStart w:id="1663" w:name="_Toc219309612"/>
      <w:r w:rsidRPr="00264D5D">
        <w:lastRenderedPageBreak/>
        <w:t>Описание комплексного типа «tCntrRslts»</w:t>
      </w:r>
      <w:bookmarkEnd w:id="1662"/>
      <w:bookmarkEnd w:id="1663"/>
    </w:p>
    <w:p w14:paraId="7CC59E43" w14:textId="77777777" w:rsidR="00AD1F54" w:rsidRPr="00264D5D" w:rsidRDefault="00941227">
      <w:pPr>
        <w:pStyle w:val="ASFKNormal"/>
        <w:spacing w:before="60" w:after="120"/>
        <w:contextualSpacing w:val="0"/>
        <w:jc w:val="both"/>
        <w:rPr>
          <w:sz w:val="24"/>
          <w:szCs w:val="24"/>
        </w:rPr>
      </w:pPr>
      <w:r w:rsidRPr="00264D5D">
        <w:rPr>
          <w:sz w:val="24"/>
          <w:szCs w:val="24"/>
        </w:rPr>
        <w:t xml:space="preserve">Описание комплексного типа «tCntrRslts» блока «Результаты контроля». </w:t>
      </w:r>
    </w:p>
    <w:p w14:paraId="4455612F" w14:textId="4321AA48" w:rsidR="00AD1F54" w:rsidRPr="00264D5D" w:rsidRDefault="001E5517">
      <w:pPr>
        <w:pStyle w:val="GOSTNameTable"/>
        <w:numPr>
          <w:ilvl w:val="0"/>
          <w:numId w:val="2"/>
        </w:numPr>
        <w:tabs>
          <w:tab w:val="clear" w:pos="567"/>
          <w:tab w:val="num" w:pos="993"/>
        </w:tabs>
        <w:ind w:left="425" w:hanging="357"/>
        <w:jc w:val="both"/>
      </w:pPr>
      <w:r w:rsidRPr="00264D5D">
        <w:rPr>
          <w:noProof/>
        </w:rPr>
        <w:fldChar w:fldCharType="begin"/>
      </w:r>
      <w:r w:rsidRPr="00264D5D">
        <w:rPr>
          <w:noProof/>
        </w:rPr>
        <w:instrText xml:space="preserve"> SEQ Таблица \* ARABIC </w:instrText>
      </w:r>
      <w:r w:rsidRPr="00264D5D">
        <w:rPr>
          <w:noProof/>
        </w:rPr>
        <w:fldChar w:fldCharType="separate"/>
      </w:r>
      <w:bookmarkStart w:id="1664" w:name="_Ref117271974"/>
      <w:bookmarkStart w:id="1665" w:name="_Toc219309189"/>
      <w:r w:rsidR="008D797C">
        <w:rPr>
          <w:noProof/>
        </w:rPr>
        <w:t>159</w:t>
      </w:r>
      <w:bookmarkEnd w:id="1664"/>
      <w:r w:rsidRPr="00264D5D">
        <w:rPr>
          <w:noProof/>
        </w:rPr>
        <w:fldChar w:fldCharType="end"/>
      </w:r>
      <w:r w:rsidR="00941227" w:rsidRPr="00264D5D">
        <w:rPr>
          <w:rFonts w:eastAsia="Calibri"/>
          <w:szCs w:val="24"/>
        </w:rPr>
        <w:t xml:space="preserve"> – </w:t>
      </w:r>
      <w:r w:rsidR="00941227" w:rsidRPr="00264D5D">
        <w:t>Описание комплексного типа «tCntrRslts»</w:t>
      </w:r>
      <w:bookmarkEnd w:id="1665"/>
    </w:p>
    <w:tbl>
      <w:tblPr>
        <w:tblStyle w:val="GOSTTable"/>
        <w:tblW w:w="5000" w:type="pct"/>
        <w:tblLayout w:type="fixed"/>
        <w:tblLook w:val="04A0" w:firstRow="1" w:lastRow="0" w:firstColumn="1" w:lastColumn="0" w:noHBand="0" w:noVBand="1"/>
      </w:tblPr>
      <w:tblGrid>
        <w:gridCol w:w="1709"/>
        <w:gridCol w:w="1703"/>
        <w:gridCol w:w="568"/>
        <w:gridCol w:w="1135"/>
        <w:gridCol w:w="567"/>
        <w:gridCol w:w="3968"/>
      </w:tblGrid>
      <w:tr w:rsidR="00AD1F54" w:rsidRPr="00264D5D" w14:paraId="275C0EFA"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5" w:type="pct"/>
          </w:tcPr>
          <w:p w14:paraId="1A7E10D5" w14:textId="77777777" w:rsidR="00AD1F54" w:rsidRPr="00264D5D" w:rsidRDefault="00941227">
            <w:pPr>
              <w:spacing w:before="60" w:after="60"/>
              <w:jc w:val="center"/>
              <w:rPr>
                <w:b/>
                <w:bCs/>
                <w:sz w:val="22"/>
              </w:rPr>
            </w:pPr>
            <w:r w:rsidRPr="00264D5D">
              <w:rPr>
                <w:b/>
                <w:bCs/>
                <w:sz w:val="22"/>
              </w:rPr>
              <w:t>Наименование комплексного типа</w:t>
            </w:r>
          </w:p>
        </w:tc>
        <w:tc>
          <w:tcPr>
            <w:tcW w:w="882" w:type="pct"/>
          </w:tcPr>
          <w:p w14:paraId="71587D2A" w14:textId="77777777" w:rsidR="00AD1F54" w:rsidRPr="00264D5D" w:rsidRDefault="00941227">
            <w:pPr>
              <w:spacing w:before="60" w:after="60"/>
              <w:jc w:val="center"/>
              <w:rPr>
                <w:b/>
                <w:bCs/>
                <w:sz w:val="22"/>
              </w:rPr>
            </w:pPr>
            <w:r w:rsidRPr="00264D5D">
              <w:rPr>
                <w:b/>
                <w:bCs/>
                <w:sz w:val="22"/>
              </w:rPr>
              <w:t>Сокращенное наименование (код) элемента</w:t>
            </w:r>
          </w:p>
        </w:tc>
        <w:tc>
          <w:tcPr>
            <w:tcW w:w="294" w:type="pct"/>
          </w:tcPr>
          <w:p w14:paraId="6AC6A087" w14:textId="77777777" w:rsidR="00AD1F54" w:rsidRPr="00264D5D" w:rsidRDefault="00941227">
            <w:pPr>
              <w:spacing w:before="60" w:after="60"/>
              <w:jc w:val="center"/>
              <w:rPr>
                <w:b/>
                <w:bCs/>
                <w:sz w:val="22"/>
              </w:rPr>
            </w:pPr>
            <w:r w:rsidRPr="00264D5D">
              <w:rPr>
                <w:b/>
                <w:bCs/>
                <w:sz w:val="22"/>
              </w:rPr>
              <w:t>Тип</w:t>
            </w:r>
          </w:p>
        </w:tc>
        <w:tc>
          <w:tcPr>
            <w:tcW w:w="588" w:type="pct"/>
          </w:tcPr>
          <w:p w14:paraId="61094703" w14:textId="77777777" w:rsidR="00AD1F54" w:rsidRPr="00264D5D" w:rsidRDefault="00941227">
            <w:pPr>
              <w:spacing w:before="60" w:after="60"/>
              <w:jc w:val="center"/>
              <w:rPr>
                <w:b/>
                <w:bCs/>
                <w:sz w:val="22"/>
              </w:rPr>
            </w:pPr>
            <w:r w:rsidRPr="00264D5D">
              <w:rPr>
                <w:b/>
                <w:bCs/>
                <w:sz w:val="22"/>
              </w:rPr>
              <w:t>Формат элемента</w:t>
            </w:r>
          </w:p>
        </w:tc>
        <w:tc>
          <w:tcPr>
            <w:tcW w:w="294" w:type="pct"/>
          </w:tcPr>
          <w:p w14:paraId="3BF6348D" w14:textId="77777777" w:rsidR="00AD1F54" w:rsidRPr="00264D5D" w:rsidRDefault="00941227">
            <w:pPr>
              <w:spacing w:before="60" w:after="60"/>
              <w:jc w:val="center"/>
              <w:rPr>
                <w:b/>
                <w:bCs/>
                <w:sz w:val="22"/>
              </w:rPr>
            </w:pPr>
            <w:r w:rsidRPr="00264D5D">
              <w:rPr>
                <w:b/>
                <w:bCs/>
                <w:sz w:val="22"/>
              </w:rPr>
              <w:t>Обязательность</w:t>
            </w:r>
          </w:p>
        </w:tc>
        <w:tc>
          <w:tcPr>
            <w:tcW w:w="2056" w:type="pct"/>
          </w:tcPr>
          <w:p w14:paraId="6F4AE5BA" w14:textId="77777777" w:rsidR="00AD1F54" w:rsidRPr="00264D5D" w:rsidRDefault="00941227">
            <w:pPr>
              <w:spacing w:before="60" w:after="60"/>
              <w:jc w:val="center"/>
              <w:rPr>
                <w:b/>
                <w:bCs/>
                <w:sz w:val="22"/>
              </w:rPr>
            </w:pPr>
            <w:r w:rsidRPr="00264D5D">
              <w:rPr>
                <w:b/>
                <w:bCs/>
                <w:sz w:val="22"/>
              </w:rPr>
              <w:t>Дополнительная информация</w:t>
            </w:r>
          </w:p>
        </w:tc>
      </w:tr>
      <w:tr w:rsidR="00AD1F54" w:rsidRPr="00264D5D" w14:paraId="2E4882B9"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5" w:type="pct"/>
          </w:tcPr>
          <w:p w14:paraId="11B750C9" w14:textId="77777777" w:rsidR="00AD1F54" w:rsidRPr="00264D5D" w:rsidRDefault="00941227">
            <w:pPr>
              <w:spacing w:before="60" w:after="60"/>
              <w:rPr>
                <w:sz w:val="22"/>
              </w:rPr>
            </w:pPr>
            <w:r w:rsidRPr="00264D5D">
              <w:rPr>
                <w:sz w:val="22"/>
              </w:rPr>
              <w:t>tCntrRslts</w:t>
            </w:r>
          </w:p>
        </w:tc>
        <w:tc>
          <w:tcPr>
            <w:tcW w:w="882" w:type="pct"/>
          </w:tcPr>
          <w:p w14:paraId="40A2D8D4" w14:textId="77777777" w:rsidR="00AD1F54" w:rsidRPr="00264D5D" w:rsidRDefault="00941227">
            <w:pPr>
              <w:spacing w:before="60" w:after="60"/>
              <w:rPr>
                <w:sz w:val="22"/>
              </w:rPr>
            </w:pPr>
            <w:r w:rsidRPr="00264D5D">
              <w:rPr>
                <w:sz w:val="22"/>
              </w:rPr>
              <w:t>CntrRslts_ITEM</w:t>
            </w:r>
          </w:p>
        </w:tc>
        <w:tc>
          <w:tcPr>
            <w:tcW w:w="294" w:type="pct"/>
          </w:tcPr>
          <w:p w14:paraId="4265247E" w14:textId="77777777" w:rsidR="00AD1F54" w:rsidRPr="00264D5D" w:rsidRDefault="00941227">
            <w:pPr>
              <w:spacing w:before="60" w:after="60"/>
              <w:jc w:val="center"/>
              <w:rPr>
                <w:sz w:val="22"/>
              </w:rPr>
            </w:pPr>
            <w:r w:rsidRPr="00264D5D">
              <w:rPr>
                <w:sz w:val="22"/>
              </w:rPr>
              <w:t>С</w:t>
            </w:r>
          </w:p>
        </w:tc>
        <w:tc>
          <w:tcPr>
            <w:tcW w:w="588" w:type="pct"/>
          </w:tcPr>
          <w:p w14:paraId="3D35C9B2" w14:textId="77777777" w:rsidR="00AD1F54" w:rsidRPr="00264D5D" w:rsidRDefault="00941227">
            <w:pPr>
              <w:spacing w:before="60" w:after="60"/>
              <w:rPr>
                <w:sz w:val="22"/>
              </w:rPr>
            </w:pPr>
            <w:r w:rsidRPr="00264D5D">
              <w:rPr>
                <w:sz w:val="22"/>
              </w:rPr>
              <w:t>tCntrRslts_ITEM</w:t>
            </w:r>
          </w:p>
        </w:tc>
        <w:tc>
          <w:tcPr>
            <w:tcW w:w="294" w:type="pct"/>
          </w:tcPr>
          <w:p w14:paraId="538775EC" w14:textId="77777777" w:rsidR="00AD1F54" w:rsidRPr="00264D5D" w:rsidRDefault="00941227">
            <w:pPr>
              <w:spacing w:before="60" w:after="60"/>
              <w:jc w:val="center"/>
              <w:rPr>
                <w:sz w:val="22"/>
              </w:rPr>
            </w:pPr>
            <w:r w:rsidRPr="00264D5D">
              <w:rPr>
                <w:sz w:val="22"/>
              </w:rPr>
              <w:t>ОМ</w:t>
            </w:r>
          </w:p>
        </w:tc>
        <w:tc>
          <w:tcPr>
            <w:tcW w:w="2056" w:type="pct"/>
          </w:tcPr>
          <w:p w14:paraId="0EC3CAC9" w14:textId="77777777" w:rsidR="00AD1F54" w:rsidRPr="00264D5D" w:rsidRDefault="00941227">
            <w:pPr>
              <w:spacing w:before="60" w:after="60"/>
              <w:rPr>
                <w:sz w:val="22"/>
                <w:szCs w:val="22"/>
              </w:rPr>
            </w:pPr>
            <w:r w:rsidRPr="00264D5D">
              <w:rPr>
                <w:sz w:val="22"/>
                <w:szCs w:val="22"/>
              </w:rPr>
              <w:t>Результаты контроля.</w:t>
            </w:r>
          </w:p>
          <w:p w14:paraId="084731A7" w14:textId="58A68599" w:rsidR="00AD1F54" w:rsidRPr="00264D5D" w:rsidRDefault="00941227">
            <w:pPr>
              <w:spacing w:before="60" w:after="60"/>
              <w:rPr>
                <w:sz w:val="22"/>
                <w:szCs w:val="22"/>
              </w:rPr>
            </w:pPr>
            <w:r w:rsidRPr="00264D5D">
              <w:rPr>
                <w:sz w:val="22"/>
                <w:szCs w:val="22"/>
              </w:rPr>
              <w:t xml:space="preserve">Состав элемента представлен в таблице </w:t>
            </w:r>
            <w:r w:rsidRPr="00264D5D">
              <w:rPr>
                <w:b/>
                <w:bCs/>
                <w:sz w:val="22"/>
                <w:szCs w:val="22"/>
              </w:rPr>
              <w:fldChar w:fldCharType="begin"/>
            </w:r>
            <w:r w:rsidRPr="00264D5D">
              <w:rPr>
                <w:sz w:val="22"/>
                <w:szCs w:val="22"/>
              </w:rPr>
              <w:instrText xml:space="preserve"> REF _Ref117271976 \h </w:instrText>
            </w:r>
            <w:r w:rsidRPr="00264D5D">
              <w:rPr>
                <w:b/>
                <w:bCs/>
                <w:sz w:val="22"/>
                <w:szCs w:val="22"/>
              </w:rPr>
              <w:instrText xml:space="preserve"> \* MERGEFORMAT </w:instrText>
            </w:r>
            <w:r w:rsidRPr="00264D5D">
              <w:rPr>
                <w:b/>
                <w:bCs/>
                <w:sz w:val="22"/>
                <w:szCs w:val="22"/>
              </w:rPr>
            </w:r>
            <w:r w:rsidRPr="00264D5D">
              <w:rPr>
                <w:b/>
                <w:bCs/>
                <w:sz w:val="22"/>
                <w:szCs w:val="22"/>
              </w:rPr>
              <w:fldChar w:fldCharType="separate"/>
            </w:r>
            <w:r w:rsidR="008D797C" w:rsidRPr="008D797C">
              <w:rPr>
                <w:sz w:val="22"/>
                <w:szCs w:val="22"/>
              </w:rPr>
              <w:t>160</w:t>
            </w:r>
            <w:r w:rsidRPr="00264D5D">
              <w:rPr>
                <w:b/>
                <w:bCs/>
                <w:sz w:val="22"/>
                <w:szCs w:val="22"/>
              </w:rPr>
              <w:fldChar w:fldCharType="end"/>
            </w:r>
          </w:p>
        </w:tc>
      </w:tr>
    </w:tbl>
    <w:p w14:paraId="2ECBCFBF" w14:textId="77777777" w:rsidR="00AD1F54" w:rsidRPr="00264D5D" w:rsidRDefault="00941227">
      <w:pPr>
        <w:pStyle w:val="31"/>
      </w:pPr>
      <w:bookmarkStart w:id="1666" w:name="_Toc115357108"/>
      <w:bookmarkStart w:id="1667" w:name="_Toc219309613"/>
      <w:r w:rsidRPr="00264D5D">
        <w:t>Описание комплексного типа «tCntrRslts_ITEM»</w:t>
      </w:r>
      <w:bookmarkEnd w:id="1666"/>
      <w:bookmarkEnd w:id="1667"/>
    </w:p>
    <w:p w14:paraId="5BED9260" w14:textId="77777777" w:rsidR="00AD1F54" w:rsidRPr="00264D5D" w:rsidRDefault="00941227">
      <w:pPr>
        <w:pStyle w:val="ASFKNormal"/>
        <w:spacing w:before="60" w:after="120"/>
        <w:contextualSpacing w:val="0"/>
        <w:jc w:val="both"/>
        <w:rPr>
          <w:sz w:val="24"/>
          <w:szCs w:val="24"/>
        </w:rPr>
      </w:pPr>
      <w:r w:rsidRPr="00264D5D">
        <w:rPr>
          <w:sz w:val="24"/>
          <w:szCs w:val="24"/>
        </w:rPr>
        <w:t xml:space="preserve">Описание комплексного типа «tCntrRslts_ITEM» блока «Результаты контроля» </w:t>
      </w:r>
    </w:p>
    <w:p w14:paraId="44154B5C" w14:textId="51844E72" w:rsidR="00AD1F54" w:rsidRPr="00264D5D" w:rsidRDefault="001E5517">
      <w:pPr>
        <w:pStyle w:val="GOSTNameTable"/>
        <w:numPr>
          <w:ilvl w:val="0"/>
          <w:numId w:val="2"/>
        </w:numPr>
        <w:tabs>
          <w:tab w:val="clear" w:pos="567"/>
          <w:tab w:val="num" w:pos="993"/>
        </w:tabs>
        <w:ind w:left="425" w:hanging="357"/>
        <w:jc w:val="both"/>
      </w:pPr>
      <w:r w:rsidRPr="00264D5D">
        <w:rPr>
          <w:noProof/>
        </w:rPr>
        <w:fldChar w:fldCharType="begin"/>
      </w:r>
      <w:r w:rsidRPr="00264D5D">
        <w:rPr>
          <w:noProof/>
        </w:rPr>
        <w:instrText xml:space="preserve"> SEQ Таблица \* ARABIC </w:instrText>
      </w:r>
      <w:r w:rsidRPr="00264D5D">
        <w:rPr>
          <w:noProof/>
        </w:rPr>
        <w:fldChar w:fldCharType="separate"/>
      </w:r>
      <w:bookmarkStart w:id="1668" w:name="_Ref117271976"/>
      <w:bookmarkStart w:id="1669" w:name="_Toc219309190"/>
      <w:r w:rsidR="008D797C">
        <w:rPr>
          <w:noProof/>
        </w:rPr>
        <w:t>160</w:t>
      </w:r>
      <w:bookmarkEnd w:id="1668"/>
      <w:r w:rsidRPr="00264D5D">
        <w:rPr>
          <w:noProof/>
        </w:rPr>
        <w:fldChar w:fldCharType="end"/>
      </w:r>
      <w:r w:rsidR="00941227" w:rsidRPr="00264D5D">
        <w:rPr>
          <w:rFonts w:eastAsia="Calibri"/>
          <w:szCs w:val="24"/>
        </w:rPr>
        <w:t xml:space="preserve"> – </w:t>
      </w:r>
      <w:r w:rsidR="00941227" w:rsidRPr="00264D5D">
        <w:t>Описание комплексного типа «tCntrRslts_ITEM»</w:t>
      </w:r>
      <w:bookmarkEnd w:id="1669"/>
    </w:p>
    <w:tbl>
      <w:tblPr>
        <w:tblStyle w:val="GOSTTable"/>
        <w:tblW w:w="5000" w:type="pct"/>
        <w:tblLayout w:type="fixed"/>
        <w:tblLook w:val="04A0" w:firstRow="1" w:lastRow="0" w:firstColumn="1" w:lastColumn="0" w:noHBand="0" w:noVBand="1"/>
      </w:tblPr>
      <w:tblGrid>
        <w:gridCol w:w="1705"/>
        <w:gridCol w:w="1704"/>
        <w:gridCol w:w="567"/>
        <w:gridCol w:w="1135"/>
        <w:gridCol w:w="567"/>
        <w:gridCol w:w="3972"/>
      </w:tblGrid>
      <w:tr w:rsidR="00AD1F54" w:rsidRPr="00264D5D" w14:paraId="3BFAFFCD"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3" w:type="pct"/>
          </w:tcPr>
          <w:p w14:paraId="7FF8E421" w14:textId="77777777" w:rsidR="00AD1F54" w:rsidRPr="00264D5D" w:rsidRDefault="00941227">
            <w:pPr>
              <w:spacing w:before="60" w:after="60"/>
              <w:jc w:val="center"/>
              <w:rPr>
                <w:b/>
                <w:bCs/>
                <w:sz w:val="22"/>
              </w:rPr>
            </w:pPr>
            <w:r w:rsidRPr="00264D5D">
              <w:rPr>
                <w:b/>
                <w:bCs/>
                <w:sz w:val="22"/>
              </w:rPr>
              <w:t>Наименование элемента</w:t>
            </w:r>
          </w:p>
        </w:tc>
        <w:tc>
          <w:tcPr>
            <w:tcW w:w="883" w:type="pct"/>
          </w:tcPr>
          <w:p w14:paraId="0A54D2C8" w14:textId="77777777" w:rsidR="00AD1F54" w:rsidRPr="00264D5D" w:rsidRDefault="00941227">
            <w:pPr>
              <w:spacing w:before="60" w:after="60"/>
              <w:jc w:val="center"/>
              <w:rPr>
                <w:b/>
                <w:bCs/>
                <w:sz w:val="22"/>
              </w:rPr>
            </w:pPr>
            <w:r w:rsidRPr="00264D5D">
              <w:rPr>
                <w:b/>
                <w:bCs/>
                <w:sz w:val="22"/>
              </w:rPr>
              <w:t>Сокращенное наименование (код) элемента</w:t>
            </w:r>
          </w:p>
        </w:tc>
        <w:tc>
          <w:tcPr>
            <w:tcW w:w="294" w:type="pct"/>
          </w:tcPr>
          <w:p w14:paraId="732701D1" w14:textId="77777777" w:rsidR="00AD1F54" w:rsidRPr="00264D5D" w:rsidRDefault="00941227">
            <w:pPr>
              <w:spacing w:before="60" w:after="60"/>
              <w:jc w:val="center"/>
              <w:rPr>
                <w:b/>
                <w:bCs/>
                <w:sz w:val="22"/>
              </w:rPr>
            </w:pPr>
            <w:r w:rsidRPr="00264D5D">
              <w:rPr>
                <w:b/>
                <w:bCs/>
                <w:sz w:val="22"/>
              </w:rPr>
              <w:t>Тип</w:t>
            </w:r>
          </w:p>
        </w:tc>
        <w:tc>
          <w:tcPr>
            <w:tcW w:w="588" w:type="pct"/>
          </w:tcPr>
          <w:p w14:paraId="3A7DB3D9" w14:textId="77777777" w:rsidR="00AD1F54" w:rsidRPr="00264D5D" w:rsidRDefault="00941227">
            <w:pPr>
              <w:spacing w:before="60" w:after="60"/>
              <w:jc w:val="center"/>
              <w:rPr>
                <w:b/>
                <w:bCs/>
                <w:sz w:val="22"/>
              </w:rPr>
            </w:pPr>
            <w:r w:rsidRPr="00264D5D">
              <w:rPr>
                <w:b/>
                <w:bCs/>
                <w:sz w:val="22"/>
              </w:rPr>
              <w:t>Формат элемента</w:t>
            </w:r>
          </w:p>
        </w:tc>
        <w:tc>
          <w:tcPr>
            <w:tcW w:w="294" w:type="pct"/>
          </w:tcPr>
          <w:p w14:paraId="03696EAB" w14:textId="77777777" w:rsidR="00AD1F54" w:rsidRPr="00264D5D" w:rsidRDefault="00941227">
            <w:pPr>
              <w:spacing w:before="60" w:after="60"/>
              <w:jc w:val="center"/>
              <w:rPr>
                <w:b/>
                <w:bCs/>
                <w:sz w:val="22"/>
              </w:rPr>
            </w:pPr>
            <w:r w:rsidRPr="00264D5D">
              <w:rPr>
                <w:b/>
                <w:bCs/>
                <w:sz w:val="22"/>
              </w:rPr>
              <w:t>Обязательность</w:t>
            </w:r>
          </w:p>
        </w:tc>
        <w:tc>
          <w:tcPr>
            <w:tcW w:w="2058" w:type="pct"/>
          </w:tcPr>
          <w:p w14:paraId="7EC739A2" w14:textId="77777777" w:rsidR="00AD1F54" w:rsidRPr="00264D5D" w:rsidRDefault="00941227">
            <w:pPr>
              <w:spacing w:before="60" w:after="60"/>
              <w:jc w:val="center"/>
              <w:rPr>
                <w:b/>
                <w:bCs/>
                <w:sz w:val="22"/>
              </w:rPr>
            </w:pPr>
            <w:r w:rsidRPr="00264D5D">
              <w:rPr>
                <w:b/>
                <w:bCs/>
                <w:sz w:val="22"/>
              </w:rPr>
              <w:t>Дополнительная информация</w:t>
            </w:r>
          </w:p>
        </w:tc>
      </w:tr>
      <w:tr w:rsidR="00AD1F54" w:rsidRPr="00264D5D" w14:paraId="4BA1A80B"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2734305E" w14:textId="77777777" w:rsidR="00AD1F54" w:rsidRPr="00264D5D" w:rsidRDefault="00941227">
            <w:pPr>
              <w:spacing w:before="60" w:after="60"/>
              <w:rPr>
                <w:sz w:val="22"/>
              </w:rPr>
            </w:pPr>
            <w:r w:rsidRPr="00264D5D">
              <w:rPr>
                <w:sz w:val="22"/>
              </w:rPr>
              <w:t>Код группы контролей</w:t>
            </w:r>
          </w:p>
        </w:tc>
        <w:tc>
          <w:tcPr>
            <w:tcW w:w="883" w:type="pct"/>
          </w:tcPr>
          <w:p w14:paraId="18305846" w14:textId="77777777" w:rsidR="00AD1F54" w:rsidRPr="00264D5D" w:rsidRDefault="00941227">
            <w:pPr>
              <w:spacing w:before="60" w:after="60"/>
              <w:rPr>
                <w:sz w:val="22"/>
              </w:rPr>
            </w:pPr>
            <w:r w:rsidRPr="00264D5D">
              <w:rPr>
                <w:sz w:val="22"/>
              </w:rPr>
              <w:t>Grp_code</w:t>
            </w:r>
          </w:p>
        </w:tc>
        <w:tc>
          <w:tcPr>
            <w:tcW w:w="294" w:type="pct"/>
          </w:tcPr>
          <w:p w14:paraId="11B72BE8" w14:textId="77777777" w:rsidR="00AD1F54" w:rsidRPr="00264D5D" w:rsidRDefault="00941227">
            <w:pPr>
              <w:spacing w:before="60" w:after="60"/>
              <w:jc w:val="center"/>
              <w:rPr>
                <w:sz w:val="22"/>
              </w:rPr>
            </w:pPr>
            <w:r w:rsidRPr="00264D5D">
              <w:rPr>
                <w:sz w:val="22"/>
              </w:rPr>
              <w:t>П</w:t>
            </w:r>
          </w:p>
        </w:tc>
        <w:tc>
          <w:tcPr>
            <w:tcW w:w="588" w:type="pct"/>
          </w:tcPr>
          <w:p w14:paraId="3B1C18C8" w14:textId="77777777" w:rsidR="00AD1F54" w:rsidRPr="00264D5D" w:rsidRDefault="00941227">
            <w:pPr>
              <w:spacing w:before="60" w:after="60"/>
              <w:rPr>
                <w:sz w:val="22"/>
              </w:rPr>
            </w:pPr>
            <w:r w:rsidRPr="00264D5D">
              <w:rPr>
                <w:sz w:val="22"/>
              </w:rPr>
              <w:t>Т(1-</w:t>
            </w:r>
            <w:r w:rsidRPr="00264D5D">
              <w:rPr>
                <w:sz w:val="22"/>
                <w:lang w:val="en-US"/>
              </w:rPr>
              <w:t>25</w:t>
            </w:r>
            <w:r w:rsidRPr="00264D5D">
              <w:rPr>
                <w:sz w:val="22"/>
              </w:rPr>
              <w:t>)</w:t>
            </w:r>
          </w:p>
        </w:tc>
        <w:tc>
          <w:tcPr>
            <w:tcW w:w="294" w:type="pct"/>
          </w:tcPr>
          <w:p w14:paraId="3FEF7EA8" w14:textId="77777777" w:rsidR="00AD1F54" w:rsidRPr="00264D5D" w:rsidRDefault="00941227">
            <w:pPr>
              <w:spacing w:before="60" w:after="60"/>
              <w:jc w:val="center"/>
              <w:rPr>
                <w:sz w:val="22"/>
              </w:rPr>
            </w:pPr>
            <w:r w:rsidRPr="00264D5D">
              <w:rPr>
                <w:sz w:val="22"/>
              </w:rPr>
              <w:t>О</w:t>
            </w:r>
          </w:p>
        </w:tc>
        <w:tc>
          <w:tcPr>
            <w:tcW w:w="2058" w:type="pct"/>
          </w:tcPr>
          <w:p w14:paraId="61DAD03E" w14:textId="77777777" w:rsidR="00AD1F54" w:rsidRPr="00264D5D" w:rsidRDefault="00941227" w:rsidP="00676E27">
            <w:pPr>
              <w:spacing w:before="60" w:after="60"/>
              <w:rPr>
                <w:sz w:val="22"/>
              </w:rPr>
            </w:pPr>
            <w:r w:rsidRPr="00264D5D">
              <w:rPr>
                <w:sz w:val="22"/>
              </w:rPr>
              <w:t>Код группы контролей.</w:t>
            </w:r>
          </w:p>
          <w:p w14:paraId="2273B2DE" w14:textId="77777777" w:rsidR="00AD1F54" w:rsidRPr="00264D5D" w:rsidRDefault="00941227" w:rsidP="00676E27">
            <w:pPr>
              <w:spacing w:before="60" w:after="60"/>
              <w:rPr>
                <w:sz w:val="22"/>
              </w:rPr>
            </w:pPr>
            <w:r w:rsidRPr="00264D5D">
              <w:rPr>
                <w:sz w:val="22"/>
              </w:rPr>
              <w:t>Указывается знач</w:t>
            </w:r>
            <w:r w:rsidR="00676E27" w:rsidRPr="00264D5D">
              <w:rPr>
                <w:sz w:val="22"/>
              </w:rPr>
              <w:t>ение «CTRL_258N_DO_N_BDOC_APPR»</w:t>
            </w:r>
          </w:p>
        </w:tc>
      </w:tr>
      <w:tr w:rsidR="00AD1F54" w:rsidRPr="00264D5D" w14:paraId="755D7A09"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3" w:type="pct"/>
          </w:tcPr>
          <w:p w14:paraId="13B88D15" w14:textId="77777777" w:rsidR="00AD1F54" w:rsidRPr="00264D5D" w:rsidRDefault="00941227">
            <w:pPr>
              <w:spacing w:before="60" w:after="60"/>
              <w:rPr>
                <w:sz w:val="22"/>
              </w:rPr>
            </w:pPr>
            <w:r w:rsidRPr="00264D5D">
              <w:rPr>
                <w:sz w:val="22"/>
              </w:rPr>
              <w:t>Результат контроля</w:t>
            </w:r>
          </w:p>
        </w:tc>
        <w:tc>
          <w:tcPr>
            <w:tcW w:w="883" w:type="pct"/>
          </w:tcPr>
          <w:p w14:paraId="2A09255D" w14:textId="77777777" w:rsidR="00AD1F54" w:rsidRPr="00264D5D" w:rsidRDefault="00941227">
            <w:pPr>
              <w:spacing w:before="60" w:after="60"/>
              <w:rPr>
                <w:sz w:val="22"/>
              </w:rPr>
            </w:pPr>
            <w:r w:rsidRPr="00264D5D">
              <w:rPr>
                <w:sz w:val="22"/>
              </w:rPr>
              <w:t>Cntr_Rslt</w:t>
            </w:r>
          </w:p>
        </w:tc>
        <w:tc>
          <w:tcPr>
            <w:tcW w:w="294" w:type="pct"/>
          </w:tcPr>
          <w:p w14:paraId="3BEB263F" w14:textId="77777777" w:rsidR="00AD1F54" w:rsidRPr="00264D5D" w:rsidRDefault="00941227">
            <w:pPr>
              <w:spacing w:before="60" w:after="60"/>
              <w:jc w:val="center"/>
              <w:rPr>
                <w:sz w:val="22"/>
              </w:rPr>
            </w:pPr>
            <w:r w:rsidRPr="00264D5D">
              <w:rPr>
                <w:sz w:val="22"/>
              </w:rPr>
              <w:t>П</w:t>
            </w:r>
          </w:p>
        </w:tc>
        <w:tc>
          <w:tcPr>
            <w:tcW w:w="588" w:type="pct"/>
          </w:tcPr>
          <w:p w14:paraId="472700F9" w14:textId="77777777" w:rsidR="00AD1F54" w:rsidRPr="00264D5D" w:rsidRDefault="00941227">
            <w:pPr>
              <w:spacing w:before="60" w:after="60"/>
            </w:pPr>
            <w:r w:rsidRPr="00264D5D">
              <w:rPr>
                <w:sz w:val="22"/>
              </w:rPr>
              <w:t>Т(1-2000)</w:t>
            </w:r>
          </w:p>
        </w:tc>
        <w:tc>
          <w:tcPr>
            <w:tcW w:w="294" w:type="pct"/>
          </w:tcPr>
          <w:p w14:paraId="3E5D323D" w14:textId="77777777" w:rsidR="00AD1F54" w:rsidRPr="00264D5D" w:rsidRDefault="00941227">
            <w:pPr>
              <w:spacing w:before="60" w:after="60"/>
              <w:jc w:val="center"/>
              <w:rPr>
                <w:sz w:val="22"/>
              </w:rPr>
            </w:pPr>
            <w:r w:rsidRPr="00264D5D">
              <w:rPr>
                <w:sz w:val="22"/>
              </w:rPr>
              <w:t>О</w:t>
            </w:r>
          </w:p>
        </w:tc>
        <w:tc>
          <w:tcPr>
            <w:tcW w:w="2058" w:type="pct"/>
          </w:tcPr>
          <w:p w14:paraId="185D2993" w14:textId="77777777" w:rsidR="00AD1F54" w:rsidRPr="00264D5D" w:rsidRDefault="00941227" w:rsidP="00676E27">
            <w:pPr>
              <w:spacing w:before="60" w:after="60"/>
              <w:rPr>
                <w:sz w:val="22"/>
              </w:rPr>
            </w:pPr>
            <w:r w:rsidRPr="00264D5D">
              <w:rPr>
                <w:sz w:val="22"/>
              </w:rPr>
              <w:t>Результат контроля.</w:t>
            </w:r>
          </w:p>
          <w:p w14:paraId="4910B6F5" w14:textId="77777777" w:rsidR="00AD1F54" w:rsidRPr="00264D5D" w:rsidRDefault="00941227" w:rsidP="00676E27">
            <w:pPr>
              <w:spacing w:before="60" w:after="60"/>
              <w:rPr>
                <w:sz w:val="22"/>
              </w:rPr>
            </w:pPr>
            <w:r w:rsidRPr="00264D5D">
              <w:rPr>
                <w:sz w:val="22"/>
              </w:rPr>
              <w:t>Возможные значения:</w:t>
            </w:r>
          </w:p>
          <w:p w14:paraId="2147A494" w14:textId="77777777" w:rsidR="00AD1F54" w:rsidRPr="00264D5D" w:rsidRDefault="00941227" w:rsidP="00E7460C">
            <w:pPr>
              <w:pStyle w:val="af5"/>
              <w:numPr>
                <w:ilvl w:val="0"/>
                <w:numId w:val="117"/>
              </w:numPr>
              <w:spacing w:before="60" w:after="60"/>
              <w:ind w:left="284" w:hanging="227"/>
              <w:contextualSpacing/>
              <w:jc w:val="both"/>
              <w:rPr>
                <w:sz w:val="22"/>
                <w:szCs w:val="22"/>
              </w:rPr>
            </w:pPr>
            <w:r w:rsidRPr="00264D5D">
              <w:rPr>
                <w:sz w:val="22"/>
                <w:szCs w:val="22"/>
              </w:rPr>
              <w:t>PASSED – контроль пройден;</w:t>
            </w:r>
          </w:p>
          <w:p w14:paraId="548197DB" w14:textId="77777777" w:rsidR="00AD1F54" w:rsidRPr="00264D5D" w:rsidRDefault="00941227" w:rsidP="00E7460C">
            <w:pPr>
              <w:pStyle w:val="af5"/>
              <w:numPr>
                <w:ilvl w:val="0"/>
                <w:numId w:val="117"/>
              </w:numPr>
              <w:spacing w:before="60" w:after="60"/>
              <w:ind w:left="284" w:hanging="227"/>
              <w:contextualSpacing/>
              <w:jc w:val="both"/>
              <w:rPr>
                <w:sz w:val="22"/>
                <w:szCs w:val="22"/>
              </w:rPr>
            </w:pPr>
            <w:r w:rsidRPr="00264D5D">
              <w:rPr>
                <w:sz w:val="22"/>
                <w:szCs w:val="22"/>
              </w:rPr>
              <w:t>ADD VER – контроль пройден, но требует дополнительной проверки;</w:t>
            </w:r>
          </w:p>
          <w:p w14:paraId="0AABA173" w14:textId="77777777" w:rsidR="00AD1F54" w:rsidRPr="00264D5D" w:rsidRDefault="00941227" w:rsidP="00E7460C">
            <w:pPr>
              <w:pStyle w:val="af5"/>
              <w:numPr>
                <w:ilvl w:val="0"/>
                <w:numId w:val="117"/>
              </w:numPr>
              <w:spacing w:before="60" w:after="60"/>
              <w:ind w:left="284" w:hanging="227"/>
              <w:contextualSpacing/>
              <w:jc w:val="both"/>
              <w:rPr>
                <w:sz w:val="22"/>
                <w:szCs w:val="22"/>
              </w:rPr>
            </w:pPr>
            <w:r w:rsidRPr="00264D5D">
              <w:rPr>
                <w:sz w:val="22"/>
                <w:szCs w:val="22"/>
              </w:rPr>
              <w:t>NO</w:t>
            </w:r>
            <w:r w:rsidR="00676E27" w:rsidRPr="00264D5D">
              <w:rPr>
                <w:sz w:val="22"/>
                <w:szCs w:val="22"/>
              </w:rPr>
              <w:t>T_COND – контроль не проводился</w:t>
            </w:r>
          </w:p>
        </w:tc>
      </w:tr>
    </w:tbl>
    <w:p w14:paraId="1E1FB37E" w14:textId="77777777" w:rsidR="00AD1F54" w:rsidRPr="00264D5D" w:rsidRDefault="00941227">
      <w:pPr>
        <w:pStyle w:val="31"/>
      </w:pPr>
      <w:bookmarkStart w:id="1670" w:name="_Toc115357109"/>
      <w:bookmarkStart w:id="1671" w:name="_Toc219309614"/>
      <w:r w:rsidRPr="00264D5D">
        <w:t>Описание комплексного типа «tRskNfs»</w:t>
      </w:r>
      <w:bookmarkEnd w:id="1670"/>
      <w:bookmarkEnd w:id="1671"/>
    </w:p>
    <w:p w14:paraId="4135A4F1" w14:textId="77777777" w:rsidR="00AD1F54" w:rsidRPr="00264D5D" w:rsidRDefault="00941227">
      <w:pPr>
        <w:pStyle w:val="ASFKNormal"/>
        <w:spacing w:before="60" w:after="120"/>
        <w:contextualSpacing w:val="0"/>
        <w:jc w:val="both"/>
        <w:rPr>
          <w:sz w:val="24"/>
          <w:szCs w:val="24"/>
        </w:rPr>
      </w:pPr>
      <w:r w:rsidRPr="00264D5D">
        <w:rPr>
          <w:sz w:val="24"/>
          <w:szCs w:val="24"/>
        </w:rPr>
        <w:t xml:space="preserve">Описание комплексного типа «tRskNfs» блока «Информация о рисках» </w:t>
      </w:r>
    </w:p>
    <w:p w14:paraId="420585EC" w14:textId="6A6C8B49" w:rsidR="00AD1F54" w:rsidRPr="00264D5D" w:rsidRDefault="001E5517">
      <w:pPr>
        <w:pStyle w:val="GOSTNameTable"/>
        <w:numPr>
          <w:ilvl w:val="0"/>
          <w:numId w:val="2"/>
        </w:numPr>
        <w:tabs>
          <w:tab w:val="clear" w:pos="567"/>
          <w:tab w:val="num" w:pos="993"/>
        </w:tabs>
        <w:ind w:left="425" w:hanging="357"/>
        <w:jc w:val="both"/>
      </w:pPr>
      <w:r w:rsidRPr="00264D5D">
        <w:rPr>
          <w:noProof/>
        </w:rPr>
        <w:fldChar w:fldCharType="begin"/>
      </w:r>
      <w:r w:rsidRPr="00264D5D">
        <w:rPr>
          <w:noProof/>
        </w:rPr>
        <w:instrText xml:space="preserve"> SEQ Таблица \* ARABIC </w:instrText>
      </w:r>
      <w:r w:rsidRPr="00264D5D">
        <w:rPr>
          <w:noProof/>
        </w:rPr>
        <w:fldChar w:fldCharType="separate"/>
      </w:r>
      <w:bookmarkStart w:id="1672" w:name="_Ref117271975"/>
      <w:bookmarkStart w:id="1673" w:name="_Toc219309191"/>
      <w:r w:rsidR="008D797C">
        <w:rPr>
          <w:noProof/>
        </w:rPr>
        <w:t>161</w:t>
      </w:r>
      <w:bookmarkEnd w:id="1672"/>
      <w:r w:rsidRPr="00264D5D">
        <w:rPr>
          <w:noProof/>
        </w:rPr>
        <w:fldChar w:fldCharType="end"/>
      </w:r>
      <w:r w:rsidR="00941227" w:rsidRPr="00264D5D">
        <w:rPr>
          <w:rFonts w:eastAsia="Calibri"/>
          <w:szCs w:val="24"/>
        </w:rPr>
        <w:t xml:space="preserve"> – </w:t>
      </w:r>
      <w:r w:rsidR="00941227" w:rsidRPr="00264D5D">
        <w:t>Описание комплексного типа «tRskNfs»</w:t>
      </w:r>
      <w:bookmarkEnd w:id="1673"/>
    </w:p>
    <w:tbl>
      <w:tblPr>
        <w:tblStyle w:val="GOSTTable"/>
        <w:tblW w:w="5000" w:type="pct"/>
        <w:tblLayout w:type="fixed"/>
        <w:tblLook w:val="04A0" w:firstRow="1" w:lastRow="0" w:firstColumn="1" w:lastColumn="0" w:noHBand="0" w:noVBand="1"/>
      </w:tblPr>
      <w:tblGrid>
        <w:gridCol w:w="1709"/>
        <w:gridCol w:w="1703"/>
        <w:gridCol w:w="568"/>
        <w:gridCol w:w="1135"/>
        <w:gridCol w:w="567"/>
        <w:gridCol w:w="3968"/>
      </w:tblGrid>
      <w:tr w:rsidR="00AD1F54" w:rsidRPr="00264D5D" w14:paraId="48F02939"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5" w:type="pct"/>
          </w:tcPr>
          <w:p w14:paraId="68EF7670" w14:textId="77777777" w:rsidR="00AD1F54" w:rsidRPr="00264D5D" w:rsidRDefault="00941227">
            <w:pPr>
              <w:spacing w:before="60" w:after="60"/>
              <w:jc w:val="center"/>
              <w:rPr>
                <w:b/>
                <w:bCs/>
                <w:sz w:val="22"/>
              </w:rPr>
            </w:pPr>
            <w:r w:rsidRPr="00264D5D">
              <w:rPr>
                <w:b/>
                <w:bCs/>
                <w:sz w:val="22"/>
              </w:rPr>
              <w:t>Наименование элемента</w:t>
            </w:r>
          </w:p>
        </w:tc>
        <w:tc>
          <w:tcPr>
            <w:tcW w:w="882" w:type="pct"/>
          </w:tcPr>
          <w:p w14:paraId="459FA05F" w14:textId="77777777" w:rsidR="00AD1F54" w:rsidRPr="00264D5D" w:rsidRDefault="00941227">
            <w:pPr>
              <w:spacing w:before="60" w:after="60"/>
              <w:jc w:val="center"/>
              <w:rPr>
                <w:b/>
                <w:bCs/>
                <w:sz w:val="22"/>
              </w:rPr>
            </w:pPr>
            <w:r w:rsidRPr="00264D5D">
              <w:rPr>
                <w:b/>
                <w:bCs/>
                <w:sz w:val="22"/>
              </w:rPr>
              <w:t>Сокращенное наименование (код) элемента</w:t>
            </w:r>
          </w:p>
        </w:tc>
        <w:tc>
          <w:tcPr>
            <w:tcW w:w="294" w:type="pct"/>
          </w:tcPr>
          <w:p w14:paraId="17D835C1" w14:textId="77777777" w:rsidR="00AD1F54" w:rsidRPr="00264D5D" w:rsidRDefault="00941227">
            <w:pPr>
              <w:spacing w:before="60" w:after="60"/>
              <w:jc w:val="center"/>
              <w:rPr>
                <w:b/>
                <w:bCs/>
                <w:sz w:val="22"/>
              </w:rPr>
            </w:pPr>
            <w:r w:rsidRPr="00264D5D">
              <w:rPr>
                <w:b/>
                <w:bCs/>
                <w:sz w:val="22"/>
              </w:rPr>
              <w:t>Тип</w:t>
            </w:r>
          </w:p>
        </w:tc>
        <w:tc>
          <w:tcPr>
            <w:tcW w:w="588" w:type="pct"/>
          </w:tcPr>
          <w:p w14:paraId="5C92ED66" w14:textId="77777777" w:rsidR="00AD1F54" w:rsidRPr="00264D5D" w:rsidRDefault="00941227">
            <w:pPr>
              <w:spacing w:before="60" w:after="60"/>
              <w:jc w:val="center"/>
              <w:rPr>
                <w:b/>
                <w:bCs/>
                <w:sz w:val="22"/>
              </w:rPr>
            </w:pPr>
            <w:r w:rsidRPr="00264D5D">
              <w:rPr>
                <w:b/>
                <w:bCs/>
                <w:sz w:val="22"/>
              </w:rPr>
              <w:t>Формат элемента</w:t>
            </w:r>
          </w:p>
        </w:tc>
        <w:tc>
          <w:tcPr>
            <w:tcW w:w="294" w:type="pct"/>
          </w:tcPr>
          <w:p w14:paraId="0BAA5C6B" w14:textId="77777777" w:rsidR="00AD1F54" w:rsidRPr="00264D5D" w:rsidRDefault="00941227">
            <w:pPr>
              <w:spacing w:before="60" w:after="60"/>
              <w:jc w:val="center"/>
              <w:rPr>
                <w:b/>
                <w:bCs/>
                <w:sz w:val="22"/>
              </w:rPr>
            </w:pPr>
            <w:r w:rsidRPr="00264D5D">
              <w:rPr>
                <w:b/>
                <w:bCs/>
                <w:sz w:val="22"/>
              </w:rPr>
              <w:t>Обязательность</w:t>
            </w:r>
          </w:p>
        </w:tc>
        <w:tc>
          <w:tcPr>
            <w:tcW w:w="2056" w:type="pct"/>
          </w:tcPr>
          <w:p w14:paraId="21A819BD" w14:textId="77777777" w:rsidR="00AD1F54" w:rsidRPr="00264D5D" w:rsidRDefault="00941227">
            <w:pPr>
              <w:spacing w:before="60" w:after="60"/>
              <w:jc w:val="center"/>
              <w:rPr>
                <w:b/>
                <w:bCs/>
                <w:sz w:val="22"/>
              </w:rPr>
            </w:pPr>
            <w:r w:rsidRPr="00264D5D">
              <w:rPr>
                <w:b/>
                <w:bCs/>
                <w:sz w:val="22"/>
              </w:rPr>
              <w:t>Дополнительная информация</w:t>
            </w:r>
          </w:p>
        </w:tc>
      </w:tr>
      <w:tr w:rsidR="00AD1F54" w:rsidRPr="00264D5D" w14:paraId="5D093C66"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5" w:type="pct"/>
          </w:tcPr>
          <w:p w14:paraId="406A4713" w14:textId="77777777" w:rsidR="00AD1F54" w:rsidRPr="00264D5D" w:rsidRDefault="00941227">
            <w:pPr>
              <w:spacing w:before="60" w:after="60"/>
              <w:rPr>
                <w:sz w:val="22"/>
              </w:rPr>
            </w:pPr>
            <w:r w:rsidRPr="00264D5D">
              <w:rPr>
                <w:sz w:val="22"/>
              </w:rPr>
              <w:t>Группа рискоемкости</w:t>
            </w:r>
          </w:p>
        </w:tc>
        <w:tc>
          <w:tcPr>
            <w:tcW w:w="882" w:type="pct"/>
          </w:tcPr>
          <w:p w14:paraId="483575CC" w14:textId="77777777" w:rsidR="00AD1F54" w:rsidRPr="00264D5D" w:rsidRDefault="00941227">
            <w:pPr>
              <w:spacing w:before="60" w:after="60"/>
              <w:rPr>
                <w:sz w:val="22"/>
              </w:rPr>
            </w:pPr>
            <w:r w:rsidRPr="00264D5D">
              <w:rPr>
                <w:sz w:val="22"/>
              </w:rPr>
              <w:t>Rsk_lvl</w:t>
            </w:r>
          </w:p>
        </w:tc>
        <w:tc>
          <w:tcPr>
            <w:tcW w:w="294" w:type="pct"/>
          </w:tcPr>
          <w:p w14:paraId="45F50167" w14:textId="77777777" w:rsidR="00AD1F54" w:rsidRPr="00264D5D" w:rsidRDefault="00941227">
            <w:pPr>
              <w:spacing w:before="60" w:after="60"/>
              <w:jc w:val="center"/>
              <w:rPr>
                <w:sz w:val="22"/>
              </w:rPr>
            </w:pPr>
            <w:r w:rsidRPr="00264D5D">
              <w:rPr>
                <w:sz w:val="22"/>
              </w:rPr>
              <w:t>П</w:t>
            </w:r>
          </w:p>
        </w:tc>
        <w:tc>
          <w:tcPr>
            <w:tcW w:w="588" w:type="pct"/>
          </w:tcPr>
          <w:p w14:paraId="6343B4A4" w14:textId="77777777" w:rsidR="00AD1F54" w:rsidRPr="00264D5D" w:rsidRDefault="00941227">
            <w:pPr>
              <w:spacing w:before="60" w:after="60"/>
              <w:jc w:val="center"/>
              <w:rPr>
                <w:sz w:val="22"/>
              </w:rPr>
            </w:pPr>
            <w:r w:rsidRPr="00264D5D">
              <w:rPr>
                <w:sz w:val="22"/>
                <w:lang w:val="en-US"/>
              </w:rPr>
              <w:t>N</w:t>
            </w:r>
            <w:r w:rsidRPr="00264D5D">
              <w:rPr>
                <w:sz w:val="22"/>
              </w:rPr>
              <w:t>(1)</w:t>
            </w:r>
          </w:p>
        </w:tc>
        <w:tc>
          <w:tcPr>
            <w:tcW w:w="294" w:type="pct"/>
          </w:tcPr>
          <w:p w14:paraId="3775EAD2" w14:textId="77777777" w:rsidR="00AD1F54" w:rsidRPr="00264D5D" w:rsidRDefault="00941227">
            <w:pPr>
              <w:spacing w:before="60" w:after="60"/>
              <w:jc w:val="center"/>
              <w:rPr>
                <w:sz w:val="22"/>
              </w:rPr>
            </w:pPr>
            <w:r w:rsidRPr="00264D5D">
              <w:rPr>
                <w:sz w:val="22"/>
              </w:rPr>
              <w:t>О</w:t>
            </w:r>
          </w:p>
        </w:tc>
        <w:tc>
          <w:tcPr>
            <w:tcW w:w="2056" w:type="pct"/>
          </w:tcPr>
          <w:p w14:paraId="41BE3BB4" w14:textId="77777777" w:rsidR="00AD1F54" w:rsidRPr="00264D5D" w:rsidRDefault="00941227">
            <w:pPr>
              <w:spacing w:before="60" w:after="60"/>
              <w:rPr>
                <w:sz w:val="22"/>
              </w:rPr>
            </w:pPr>
            <w:r w:rsidRPr="00264D5D">
              <w:rPr>
                <w:sz w:val="22"/>
              </w:rPr>
              <w:t>Группа рискоемкости.</w:t>
            </w:r>
          </w:p>
          <w:p w14:paraId="3A0531D2" w14:textId="77777777" w:rsidR="00AD1F54" w:rsidRPr="00264D5D" w:rsidRDefault="00941227">
            <w:pPr>
              <w:spacing w:before="60" w:after="60"/>
              <w:rPr>
                <w:sz w:val="22"/>
              </w:rPr>
            </w:pPr>
            <w:r w:rsidRPr="00264D5D">
              <w:rPr>
                <w:sz w:val="22"/>
              </w:rPr>
              <w:t>Возможные значения:</w:t>
            </w:r>
          </w:p>
          <w:p w14:paraId="74551F6D" w14:textId="77777777" w:rsidR="00AD1F54" w:rsidRPr="00264D5D" w:rsidRDefault="00941227" w:rsidP="00E7460C">
            <w:pPr>
              <w:pStyle w:val="af5"/>
              <w:numPr>
                <w:ilvl w:val="0"/>
                <w:numId w:val="117"/>
              </w:numPr>
              <w:spacing w:before="60" w:after="60"/>
              <w:ind w:left="284" w:hanging="227"/>
              <w:contextualSpacing/>
              <w:jc w:val="both"/>
              <w:rPr>
                <w:sz w:val="22"/>
                <w:szCs w:val="22"/>
              </w:rPr>
            </w:pPr>
            <w:r w:rsidRPr="00264D5D">
              <w:rPr>
                <w:sz w:val="22"/>
                <w:szCs w:val="22"/>
              </w:rPr>
              <w:t>1 – особой важности;</w:t>
            </w:r>
          </w:p>
          <w:p w14:paraId="00A38626" w14:textId="77777777" w:rsidR="00AD1F54" w:rsidRPr="00264D5D" w:rsidRDefault="00941227" w:rsidP="00E7460C">
            <w:pPr>
              <w:pStyle w:val="af5"/>
              <w:numPr>
                <w:ilvl w:val="0"/>
                <w:numId w:val="117"/>
              </w:numPr>
              <w:spacing w:before="60" w:after="60"/>
              <w:ind w:left="284" w:hanging="227"/>
              <w:contextualSpacing/>
              <w:jc w:val="both"/>
              <w:rPr>
                <w:sz w:val="22"/>
                <w:szCs w:val="22"/>
              </w:rPr>
            </w:pPr>
            <w:r w:rsidRPr="00264D5D">
              <w:rPr>
                <w:sz w:val="22"/>
                <w:szCs w:val="22"/>
              </w:rPr>
              <w:t>2 – высокий;</w:t>
            </w:r>
          </w:p>
          <w:p w14:paraId="1C5E0280" w14:textId="77777777" w:rsidR="00AD1F54" w:rsidRPr="00264D5D" w:rsidRDefault="00941227" w:rsidP="00E7460C">
            <w:pPr>
              <w:pStyle w:val="af5"/>
              <w:numPr>
                <w:ilvl w:val="0"/>
                <w:numId w:val="117"/>
              </w:numPr>
              <w:spacing w:before="60" w:after="60"/>
              <w:ind w:left="284" w:hanging="227"/>
              <w:contextualSpacing/>
              <w:jc w:val="both"/>
              <w:rPr>
                <w:sz w:val="22"/>
                <w:szCs w:val="22"/>
              </w:rPr>
            </w:pPr>
            <w:r w:rsidRPr="00264D5D">
              <w:rPr>
                <w:sz w:val="22"/>
                <w:szCs w:val="22"/>
              </w:rPr>
              <w:t>3 – средний;</w:t>
            </w:r>
          </w:p>
          <w:p w14:paraId="5D929FCC" w14:textId="77777777" w:rsidR="00AD1F54" w:rsidRPr="00264D5D" w:rsidRDefault="00676E27" w:rsidP="00E7460C">
            <w:pPr>
              <w:pStyle w:val="af5"/>
              <w:numPr>
                <w:ilvl w:val="0"/>
                <w:numId w:val="117"/>
              </w:numPr>
              <w:spacing w:before="60" w:after="60"/>
              <w:ind w:left="284" w:hanging="227"/>
              <w:contextualSpacing/>
              <w:jc w:val="both"/>
              <w:rPr>
                <w:sz w:val="22"/>
                <w:szCs w:val="22"/>
              </w:rPr>
            </w:pPr>
            <w:r w:rsidRPr="00264D5D">
              <w:rPr>
                <w:sz w:val="22"/>
                <w:szCs w:val="22"/>
              </w:rPr>
              <w:lastRenderedPageBreak/>
              <w:t>4 – низкий</w:t>
            </w:r>
          </w:p>
        </w:tc>
      </w:tr>
      <w:tr w:rsidR="00AD1F54" w:rsidRPr="00264D5D" w14:paraId="54B6241D"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5" w:type="pct"/>
          </w:tcPr>
          <w:p w14:paraId="465EEAC6" w14:textId="77777777" w:rsidR="00AD1F54" w:rsidRPr="00264D5D" w:rsidRDefault="00941227">
            <w:pPr>
              <w:spacing w:before="60" w:after="60"/>
              <w:rPr>
                <w:sz w:val="22"/>
              </w:rPr>
            </w:pPr>
            <w:r w:rsidRPr="00264D5D">
              <w:rPr>
                <w:sz w:val="22"/>
              </w:rPr>
              <w:lastRenderedPageBreak/>
              <w:t>Специализация</w:t>
            </w:r>
          </w:p>
        </w:tc>
        <w:tc>
          <w:tcPr>
            <w:tcW w:w="882" w:type="pct"/>
          </w:tcPr>
          <w:p w14:paraId="42617FFA" w14:textId="77777777" w:rsidR="00AD1F54" w:rsidRPr="00264D5D" w:rsidRDefault="00941227">
            <w:pPr>
              <w:spacing w:before="60" w:after="60"/>
              <w:rPr>
                <w:sz w:val="22"/>
              </w:rPr>
            </w:pPr>
            <w:r w:rsidRPr="00264D5D">
              <w:rPr>
                <w:sz w:val="22"/>
              </w:rPr>
              <w:t>Rsk_crt</w:t>
            </w:r>
          </w:p>
        </w:tc>
        <w:tc>
          <w:tcPr>
            <w:tcW w:w="294" w:type="pct"/>
          </w:tcPr>
          <w:p w14:paraId="31776FB0" w14:textId="77777777" w:rsidR="00AD1F54" w:rsidRPr="00264D5D" w:rsidRDefault="00941227">
            <w:pPr>
              <w:spacing w:before="60" w:after="60"/>
              <w:jc w:val="center"/>
              <w:rPr>
                <w:sz w:val="22"/>
              </w:rPr>
            </w:pPr>
            <w:r w:rsidRPr="00264D5D">
              <w:rPr>
                <w:sz w:val="22"/>
              </w:rPr>
              <w:t>С</w:t>
            </w:r>
          </w:p>
        </w:tc>
        <w:tc>
          <w:tcPr>
            <w:tcW w:w="588" w:type="pct"/>
          </w:tcPr>
          <w:p w14:paraId="4E0492EC" w14:textId="77777777" w:rsidR="00AD1F54" w:rsidRPr="00264D5D" w:rsidRDefault="00941227">
            <w:pPr>
              <w:spacing w:before="60" w:after="60"/>
              <w:jc w:val="center"/>
              <w:rPr>
                <w:sz w:val="22"/>
              </w:rPr>
            </w:pPr>
            <w:r w:rsidRPr="00264D5D">
              <w:rPr>
                <w:sz w:val="22"/>
              </w:rPr>
              <w:t>tRsk_crt</w:t>
            </w:r>
          </w:p>
        </w:tc>
        <w:tc>
          <w:tcPr>
            <w:tcW w:w="294" w:type="pct"/>
          </w:tcPr>
          <w:p w14:paraId="2085355D" w14:textId="77777777" w:rsidR="00AD1F54" w:rsidRPr="00264D5D" w:rsidRDefault="00941227">
            <w:pPr>
              <w:spacing w:before="60" w:after="60"/>
              <w:jc w:val="center"/>
              <w:rPr>
                <w:sz w:val="22"/>
              </w:rPr>
            </w:pPr>
            <w:r w:rsidRPr="00264D5D">
              <w:rPr>
                <w:sz w:val="22"/>
              </w:rPr>
              <w:t>О</w:t>
            </w:r>
          </w:p>
        </w:tc>
        <w:tc>
          <w:tcPr>
            <w:tcW w:w="2056" w:type="pct"/>
          </w:tcPr>
          <w:p w14:paraId="315CEB28" w14:textId="0B763984" w:rsidR="00AD1F54" w:rsidRPr="00264D5D" w:rsidRDefault="00941227">
            <w:pPr>
              <w:spacing w:before="60" w:after="60"/>
              <w:rPr>
                <w:sz w:val="22"/>
                <w:szCs w:val="22"/>
              </w:rPr>
            </w:pPr>
            <w:r w:rsidRPr="00264D5D">
              <w:rPr>
                <w:sz w:val="22"/>
                <w:szCs w:val="22"/>
              </w:rPr>
              <w:t xml:space="preserve">Состав элемента представлен в таблице </w:t>
            </w:r>
            <w:r w:rsidRPr="00264D5D">
              <w:rPr>
                <w:b/>
                <w:bCs/>
                <w:sz w:val="22"/>
                <w:szCs w:val="22"/>
              </w:rPr>
              <w:fldChar w:fldCharType="begin"/>
            </w:r>
            <w:r w:rsidRPr="00264D5D">
              <w:rPr>
                <w:sz w:val="22"/>
                <w:szCs w:val="22"/>
              </w:rPr>
              <w:instrText xml:space="preserve"> REF _Ref117271977 \h </w:instrText>
            </w:r>
            <w:r w:rsidRPr="00264D5D">
              <w:rPr>
                <w:b/>
                <w:bCs/>
                <w:sz w:val="22"/>
                <w:szCs w:val="22"/>
              </w:rPr>
              <w:instrText xml:space="preserve"> \* MERGEFORMAT </w:instrText>
            </w:r>
            <w:r w:rsidRPr="00264D5D">
              <w:rPr>
                <w:b/>
                <w:bCs/>
                <w:sz w:val="22"/>
                <w:szCs w:val="22"/>
              </w:rPr>
            </w:r>
            <w:r w:rsidRPr="00264D5D">
              <w:rPr>
                <w:b/>
                <w:bCs/>
                <w:sz w:val="22"/>
                <w:szCs w:val="22"/>
              </w:rPr>
              <w:fldChar w:fldCharType="separate"/>
            </w:r>
            <w:r w:rsidR="008D797C" w:rsidRPr="008D797C">
              <w:rPr>
                <w:sz w:val="22"/>
                <w:szCs w:val="22"/>
              </w:rPr>
              <w:t>162</w:t>
            </w:r>
            <w:r w:rsidRPr="00264D5D">
              <w:rPr>
                <w:b/>
                <w:bCs/>
                <w:sz w:val="22"/>
                <w:szCs w:val="22"/>
              </w:rPr>
              <w:fldChar w:fldCharType="end"/>
            </w:r>
          </w:p>
        </w:tc>
      </w:tr>
    </w:tbl>
    <w:p w14:paraId="6A944A6B" w14:textId="77777777" w:rsidR="00AD1F54" w:rsidRPr="00264D5D" w:rsidRDefault="00941227">
      <w:pPr>
        <w:pStyle w:val="31"/>
      </w:pPr>
      <w:bookmarkStart w:id="1674" w:name="_Toc115357110"/>
      <w:bookmarkStart w:id="1675" w:name="_Toc219309615"/>
      <w:r w:rsidRPr="00264D5D">
        <w:t>Описание комплексного типа «tRsk_crt»</w:t>
      </w:r>
      <w:bookmarkEnd w:id="1674"/>
      <w:bookmarkEnd w:id="1675"/>
    </w:p>
    <w:p w14:paraId="55F7DB90" w14:textId="77777777" w:rsidR="00AD1F54" w:rsidRPr="00264D5D" w:rsidRDefault="00941227">
      <w:pPr>
        <w:pStyle w:val="ASFKNormal"/>
        <w:spacing w:before="60" w:after="120"/>
        <w:contextualSpacing w:val="0"/>
        <w:jc w:val="both"/>
        <w:rPr>
          <w:sz w:val="24"/>
          <w:szCs w:val="24"/>
        </w:rPr>
      </w:pPr>
      <w:r w:rsidRPr="00264D5D">
        <w:rPr>
          <w:sz w:val="24"/>
          <w:szCs w:val="24"/>
        </w:rPr>
        <w:t xml:space="preserve">Описание комплексного типа «tRsk_crt» блока «Специализация» </w:t>
      </w:r>
    </w:p>
    <w:p w14:paraId="20AF0459" w14:textId="586FBFD0" w:rsidR="00AD1F54" w:rsidRPr="00264D5D" w:rsidRDefault="001E5517">
      <w:pPr>
        <w:pStyle w:val="GOSTNameTable"/>
        <w:numPr>
          <w:ilvl w:val="0"/>
          <w:numId w:val="2"/>
        </w:numPr>
        <w:tabs>
          <w:tab w:val="clear" w:pos="567"/>
          <w:tab w:val="num" w:pos="993"/>
        </w:tabs>
        <w:ind w:left="425" w:hanging="357"/>
        <w:jc w:val="both"/>
      </w:pPr>
      <w:r w:rsidRPr="00264D5D">
        <w:rPr>
          <w:noProof/>
        </w:rPr>
        <w:fldChar w:fldCharType="begin"/>
      </w:r>
      <w:r w:rsidRPr="00264D5D">
        <w:rPr>
          <w:noProof/>
        </w:rPr>
        <w:instrText xml:space="preserve"> SEQ Таблица \* ARABIC </w:instrText>
      </w:r>
      <w:r w:rsidRPr="00264D5D">
        <w:rPr>
          <w:noProof/>
        </w:rPr>
        <w:fldChar w:fldCharType="separate"/>
      </w:r>
      <w:bookmarkStart w:id="1676" w:name="_Ref117271977"/>
      <w:bookmarkStart w:id="1677" w:name="_Toc219309192"/>
      <w:r w:rsidR="008D797C">
        <w:rPr>
          <w:noProof/>
        </w:rPr>
        <w:t>162</w:t>
      </w:r>
      <w:bookmarkEnd w:id="1676"/>
      <w:r w:rsidRPr="00264D5D">
        <w:rPr>
          <w:noProof/>
        </w:rPr>
        <w:fldChar w:fldCharType="end"/>
      </w:r>
      <w:r w:rsidR="00941227" w:rsidRPr="00264D5D">
        <w:rPr>
          <w:rFonts w:eastAsia="Calibri"/>
          <w:szCs w:val="24"/>
        </w:rPr>
        <w:t xml:space="preserve"> – </w:t>
      </w:r>
      <w:r w:rsidR="00941227" w:rsidRPr="00264D5D">
        <w:t>Описание комплексного типа «tRsk_crt»</w:t>
      </w:r>
      <w:bookmarkEnd w:id="1677"/>
    </w:p>
    <w:tbl>
      <w:tblPr>
        <w:tblStyle w:val="GOSTTable"/>
        <w:tblW w:w="5000" w:type="pct"/>
        <w:tblLayout w:type="fixed"/>
        <w:tblLook w:val="04A0" w:firstRow="1" w:lastRow="0" w:firstColumn="1" w:lastColumn="0" w:noHBand="0" w:noVBand="1"/>
      </w:tblPr>
      <w:tblGrid>
        <w:gridCol w:w="1709"/>
        <w:gridCol w:w="1703"/>
        <w:gridCol w:w="568"/>
        <w:gridCol w:w="1135"/>
        <w:gridCol w:w="567"/>
        <w:gridCol w:w="3968"/>
      </w:tblGrid>
      <w:tr w:rsidR="00AD1F54" w:rsidRPr="00264D5D" w14:paraId="076BAA99"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5" w:type="pct"/>
          </w:tcPr>
          <w:p w14:paraId="7546866C" w14:textId="77777777" w:rsidR="00AD1F54" w:rsidRPr="00264D5D" w:rsidRDefault="00941227">
            <w:pPr>
              <w:spacing w:before="60" w:after="60"/>
              <w:jc w:val="center"/>
              <w:rPr>
                <w:b/>
                <w:bCs/>
                <w:sz w:val="22"/>
              </w:rPr>
            </w:pPr>
            <w:r w:rsidRPr="00264D5D">
              <w:rPr>
                <w:b/>
                <w:bCs/>
                <w:sz w:val="22"/>
              </w:rPr>
              <w:t>Наименование комплексного типа</w:t>
            </w:r>
          </w:p>
        </w:tc>
        <w:tc>
          <w:tcPr>
            <w:tcW w:w="882" w:type="pct"/>
          </w:tcPr>
          <w:p w14:paraId="2D9FD100" w14:textId="77777777" w:rsidR="00AD1F54" w:rsidRPr="00264D5D" w:rsidRDefault="00941227">
            <w:pPr>
              <w:spacing w:before="60" w:after="60"/>
              <w:jc w:val="center"/>
              <w:rPr>
                <w:b/>
                <w:bCs/>
                <w:sz w:val="22"/>
              </w:rPr>
            </w:pPr>
            <w:r w:rsidRPr="00264D5D">
              <w:rPr>
                <w:b/>
                <w:bCs/>
                <w:sz w:val="22"/>
              </w:rPr>
              <w:t>Сокращенное наименование (код) элемента</w:t>
            </w:r>
          </w:p>
        </w:tc>
        <w:tc>
          <w:tcPr>
            <w:tcW w:w="294" w:type="pct"/>
          </w:tcPr>
          <w:p w14:paraId="6721B8E6" w14:textId="77777777" w:rsidR="00AD1F54" w:rsidRPr="00264D5D" w:rsidRDefault="00941227">
            <w:pPr>
              <w:spacing w:before="60" w:after="60"/>
              <w:jc w:val="center"/>
              <w:rPr>
                <w:b/>
                <w:bCs/>
                <w:sz w:val="22"/>
              </w:rPr>
            </w:pPr>
            <w:r w:rsidRPr="00264D5D">
              <w:rPr>
                <w:b/>
                <w:bCs/>
                <w:sz w:val="22"/>
              </w:rPr>
              <w:t>Тип</w:t>
            </w:r>
          </w:p>
        </w:tc>
        <w:tc>
          <w:tcPr>
            <w:tcW w:w="588" w:type="pct"/>
          </w:tcPr>
          <w:p w14:paraId="13BF4FD6" w14:textId="77777777" w:rsidR="00AD1F54" w:rsidRPr="00264D5D" w:rsidRDefault="00941227">
            <w:pPr>
              <w:spacing w:before="60" w:after="60"/>
              <w:jc w:val="center"/>
              <w:rPr>
                <w:b/>
                <w:bCs/>
                <w:sz w:val="22"/>
              </w:rPr>
            </w:pPr>
            <w:r w:rsidRPr="00264D5D">
              <w:rPr>
                <w:b/>
                <w:bCs/>
                <w:sz w:val="22"/>
              </w:rPr>
              <w:t>Формат элемента</w:t>
            </w:r>
          </w:p>
        </w:tc>
        <w:tc>
          <w:tcPr>
            <w:tcW w:w="294" w:type="pct"/>
          </w:tcPr>
          <w:p w14:paraId="2D667705" w14:textId="77777777" w:rsidR="00AD1F54" w:rsidRPr="00264D5D" w:rsidRDefault="00941227">
            <w:pPr>
              <w:spacing w:before="60" w:after="60"/>
              <w:jc w:val="center"/>
              <w:rPr>
                <w:b/>
                <w:bCs/>
                <w:sz w:val="22"/>
              </w:rPr>
            </w:pPr>
            <w:r w:rsidRPr="00264D5D">
              <w:rPr>
                <w:b/>
                <w:bCs/>
                <w:sz w:val="22"/>
              </w:rPr>
              <w:t>Обязательность</w:t>
            </w:r>
          </w:p>
        </w:tc>
        <w:tc>
          <w:tcPr>
            <w:tcW w:w="2056" w:type="pct"/>
          </w:tcPr>
          <w:p w14:paraId="4EF0D016" w14:textId="77777777" w:rsidR="00AD1F54" w:rsidRPr="00264D5D" w:rsidRDefault="00941227">
            <w:pPr>
              <w:spacing w:before="60" w:after="60"/>
              <w:jc w:val="center"/>
              <w:rPr>
                <w:b/>
                <w:bCs/>
                <w:sz w:val="22"/>
              </w:rPr>
            </w:pPr>
            <w:r w:rsidRPr="00264D5D">
              <w:rPr>
                <w:b/>
                <w:bCs/>
                <w:sz w:val="22"/>
              </w:rPr>
              <w:t>Дополнительная информация</w:t>
            </w:r>
          </w:p>
        </w:tc>
      </w:tr>
      <w:tr w:rsidR="00AD1F54" w:rsidRPr="00264D5D" w14:paraId="35D231DC"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5" w:type="pct"/>
          </w:tcPr>
          <w:p w14:paraId="487C5173" w14:textId="77777777" w:rsidR="00AD1F54" w:rsidRPr="00264D5D" w:rsidRDefault="00941227">
            <w:pPr>
              <w:spacing w:before="60" w:after="60"/>
              <w:rPr>
                <w:sz w:val="22"/>
              </w:rPr>
            </w:pPr>
            <w:r w:rsidRPr="00264D5D">
              <w:rPr>
                <w:sz w:val="22"/>
              </w:rPr>
              <w:t>tRsk_crt</w:t>
            </w:r>
          </w:p>
        </w:tc>
        <w:tc>
          <w:tcPr>
            <w:tcW w:w="882" w:type="pct"/>
          </w:tcPr>
          <w:p w14:paraId="644D8683" w14:textId="77777777" w:rsidR="00AD1F54" w:rsidRPr="00264D5D" w:rsidRDefault="00941227">
            <w:pPr>
              <w:spacing w:before="60" w:after="60"/>
              <w:rPr>
                <w:sz w:val="22"/>
              </w:rPr>
            </w:pPr>
            <w:r w:rsidRPr="00264D5D">
              <w:rPr>
                <w:sz w:val="22"/>
              </w:rPr>
              <w:t>Rsk_crt_ITEM</w:t>
            </w:r>
          </w:p>
        </w:tc>
        <w:tc>
          <w:tcPr>
            <w:tcW w:w="294" w:type="pct"/>
          </w:tcPr>
          <w:p w14:paraId="0D2E3259" w14:textId="77777777" w:rsidR="00AD1F54" w:rsidRPr="00264D5D" w:rsidRDefault="00941227">
            <w:pPr>
              <w:spacing w:before="60" w:after="60"/>
              <w:jc w:val="center"/>
              <w:rPr>
                <w:sz w:val="22"/>
              </w:rPr>
            </w:pPr>
            <w:r w:rsidRPr="00264D5D">
              <w:rPr>
                <w:sz w:val="22"/>
              </w:rPr>
              <w:t>С</w:t>
            </w:r>
          </w:p>
        </w:tc>
        <w:tc>
          <w:tcPr>
            <w:tcW w:w="588" w:type="pct"/>
          </w:tcPr>
          <w:p w14:paraId="404E433E" w14:textId="77777777" w:rsidR="00AD1F54" w:rsidRPr="00264D5D" w:rsidRDefault="00941227">
            <w:pPr>
              <w:spacing w:before="60" w:after="60"/>
              <w:rPr>
                <w:sz w:val="22"/>
              </w:rPr>
            </w:pPr>
            <w:r w:rsidRPr="00264D5D">
              <w:rPr>
                <w:sz w:val="22"/>
              </w:rPr>
              <w:t>tRsk_crt_ITEM</w:t>
            </w:r>
          </w:p>
        </w:tc>
        <w:tc>
          <w:tcPr>
            <w:tcW w:w="294" w:type="pct"/>
          </w:tcPr>
          <w:p w14:paraId="1576833C" w14:textId="77777777" w:rsidR="00AD1F54" w:rsidRPr="00264D5D" w:rsidRDefault="00941227">
            <w:pPr>
              <w:spacing w:before="60" w:after="60"/>
              <w:jc w:val="center"/>
              <w:rPr>
                <w:sz w:val="22"/>
              </w:rPr>
            </w:pPr>
            <w:r w:rsidRPr="00264D5D">
              <w:rPr>
                <w:sz w:val="22"/>
              </w:rPr>
              <w:t>ОМ</w:t>
            </w:r>
          </w:p>
        </w:tc>
        <w:tc>
          <w:tcPr>
            <w:tcW w:w="2056" w:type="pct"/>
          </w:tcPr>
          <w:p w14:paraId="7E9542E0" w14:textId="77777777" w:rsidR="00AD1F54" w:rsidRPr="00264D5D" w:rsidRDefault="00941227">
            <w:pPr>
              <w:spacing w:before="60" w:after="60"/>
              <w:rPr>
                <w:sz w:val="22"/>
                <w:szCs w:val="22"/>
              </w:rPr>
            </w:pPr>
            <w:r w:rsidRPr="00264D5D">
              <w:rPr>
                <w:sz w:val="22"/>
                <w:szCs w:val="22"/>
              </w:rPr>
              <w:t>Специализация.</w:t>
            </w:r>
          </w:p>
          <w:p w14:paraId="3F33806A" w14:textId="77777777" w:rsidR="00AD1F54" w:rsidRPr="00264D5D" w:rsidRDefault="00941227">
            <w:pPr>
              <w:spacing w:before="60" w:after="60"/>
              <w:rPr>
                <w:sz w:val="22"/>
              </w:rPr>
            </w:pPr>
            <w:r w:rsidRPr="00264D5D">
              <w:rPr>
                <w:sz w:val="22"/>
                <w:szCs w:val="22"/>
              </w:rPr>
              <w:t xml:space="preserve">Состав элемента представлен в </w:t>
            </w:r>
            <w:r w:rsidR="00676E27" w:rsidRPr="00264D5D">
              <w:rPr>
                <w:sz w:val="22"/>
                <w:szCs w:val="22"/>
              </w:rPr>
              <w:t>таблице 159</w:t>
            </w:r>
          </w:p>
        </w:tc>
      </w:tr>
    </w:tbl>
    <w:p w14:paraId="5BCF861C" w14:textId="77777777" w:rsidR="00AD1F54" w:rsidRPr="00264D5D" w:rsidRDefault="00941227">
      <w:pPr>
        <w:pStyle w:val="31"/>
      </w:pPr>
      <w:bookmarkStart w:id="1678" w:name="_Toc115357111"/>
      <w:bookmarkStart w:id="1679" w:name="_Toc219309616"/>
      <w:r w:rsidRPr="00264D5D">
        <w:t>Описание комплексного типа «tRsk_crt_ITEM»</w:t>
      </w:r>
      <w:bookmarkEnd w:id="1678"/>
      <w:bookmarkEnd w:id="1679"/>
    </w:p>
    <w:p w14:paraId="4358BB0F" w14:textId="77777777" w:rsidR="00AD1F54" w:rsidRPr="00264D5D" w:rsidRDefault="00941227">
      <w:pPr>
        <w:pStyle w:val="ASFKNormal"/>
        <w:spacing w:before="60" w:after="120"/>
        <w:contextualSpacing w:val="0"/>
        <w:jc w:val="both"/>
        <w:rPr>
          <w:sz w:val="24"/>
          <w:szCs w:val="24"/>
        </w:rPr>
      </w:pPr>
      <w:r w:rsidRPr="00264D5D">
        <w:rPr>
          <w:sz w:val="24"/>
          <w:szCs w:val="24"/>
        </w:rPr>
        <w:t xml:space="preserve">Описание комплексного типа «tRsk_crt_ITEM» блока «Специализация» </w:t>
      </w:r>
    </w:p>
    <w:p w14:paraId="3E0D14F4" w14:textId="776C9395" w:rsidR="00AD1F54" w:rsidRPr="00264D5D" w:rsidRDefault="001E5517">
      <w:pPr>
        <w:pStyle w:val="GOSTNameTable"/>
        <w:numPr>
          <w:ilvl w:val="0"/>
          <w:numId w:val="2"/>
        </w:numPr>
        <w:tabs>
          <w:tab w:val="clear" w:pos="567"/>
          <w:tab w:val="num" w:pos="993"/>
        </w:tabs>
        <w:ind w:left="425" w:hanging="357"/>
        <w:jc w:val="both"/>
      </w:pPr>
      <w:r w:rsidRPr="00264D5D">
        <w:rPr>
          <w:noProof/>
        </w:rPr>
        <w:fldChar w:fldCharType="begin"/>
      </w:r>
      <w:r w:rsidRPr="00264D5D">
        <w:rPr>
          <w:noProof/>
        </w:rPr>
        <w:instrText xml:space="preserve"> SEQ Таблица \* ARABIC </w:instrText>
      </w:r>
      <w:r w:rsidRPr="00264D5D">
        <w:rPr>
          <w:noProof/>
        </w:rPr>
        <w:fldChar w:fldCharType="separate"/>
      </w:r>
      <w:bookmarkStart w:id="1680" w:name="_Ref117271978"/>
      <w:bookmarkStart w:id="1681" w:name="_Toc219309193"/>
      <w:r w:rsidR="008D797C">
        <w:rPr>
          <w:noProof/>
        </w:rPr>
        <w:t>163</w:t>
      </w:r>
      <w:bookmarkEnd w:id="1680"/>
      <w:r w:rsidRPr="00264D5D">
        <w:rPr>
          <w:noProof/>
        </w:rPr>
        <w:fldChar w:fldCharType="end"/>
      </w:r>
      <w:r w:rsidR="00941227" w:rsidRPr="00264D5D">
        <w:rPr>
          <w:rFonts w:eastAsia="Calibri"/>
          <w:szCs w:val="24"/>
        </w:rPr>
        <w:t xml:space="preserve"> – </w:t>
      </w:r>
      <w:r w:rsidR="00941227" w:rsidRPr="00264D5D">
        <w:t>Описание комплексного типа «</w:t>
      </w:r>
      <w:r w:rsidR="00941227" w:rsidRPr="00264D5D">
        <w:rPr>
          <w:szCs w:val="24"/>
        </w:rPr>
        <w:t>tRsk_crt_ITEM</w:t>
      </w:r>
      <w:r w:rsidR="00941227" w:rsidRPr="00264D5D">
        <w:t>»</w:t>
      </w:r>
      <w:bookmarkEnd w:id="1681"/>
    </w:p>
    <w:tbl>
      <w:tblPr>
        <w:tblStyle w:val="GOSTTable"/>
        <w:tblW w:w="5000" w:type="pct"/>
        <w:tblLayout w:type="fixed"/>
        <w:tblLook w:val="04A0" w:firstRow="1" w:lastRow="0" w:firstColumn="1" w:lastColumn="0" w:noHBand="0" w:noVBand="1"/>
      </w:tblPr>
      <w:tblGrid>
        <w:gridCol w:w="1705"/>
        <w:gridCol w:w="1705"/>
        <w:gridCol w:w="568"/>
        <w:gridCol w:w="1137"/>
        <w:gridCol w:w="567"/>
        <w:gridCol w:w="3968"/>
      </w:tblGrid>
      <w:tr w:rsidR="00AD1F54" w:rsidRPr="00264D5D" w14:paraId="02E9D97C" w14:textId="77777777" w:rsidTr="00AD1F54">
        <w:trPr>
          <w:cnfStyle w:val="100000000000" w:firstRow="1" w:lastRow="0" w:firstColumn="0" w:lastColumn="0" w:oddVBand="0" w:evenVBand="0" w:oddHBand="0" w:evenHBand="0" w:firstRowFirstColumn="0" w:firstRowLastColumn="0" w:lastRowFirstColumn="0" w:lastRowLastColumn="0"/>
          <w:trHeight w:val="283"/>
        </w:trPr>
        <w:tc>
          <w:tcPr>
            <w:tcW w:w="883" w:type="pct"/>
          </w:tcPr>
          <w:p w14:paraId="16E99AB4" w14:textId="77777777" w:rsidR="00AD1F54" w:rsidRPr="00264D5D" w:rsidRDefault="00941227">
            <w:pPr>
              <w:spacing w:before="60" w:after="60"/>
              <w:jc w:val="center"/>
              <w:rPr>
                <w:b/>
                <w:bCs/>
                <w:sz w:val="22"/>
              </w:rPr>
            </w:pPr>
            <w:r w:rsidRPr="00264D5D">
              <w:rPr>
                <w:b/>
                <w:bCs/>
                <w:sz w:val="22"/>
              </w:rPr>
              <w:t>Наименование элемента</w:t>
            </w:r>
          </w:p>
        </w:tc>
        <w:tc>
          <w:tcPr>
            <w:tcW w:w="883" w:type="pct"/>
          </w:tcPr>
          <w:p w14:paraId="1AE09880" w14:textId="77777777" w:rsidR="00AD1F54" w:rsidRPr="00264D5D" w:rsidRDefault="00941227">
            <w:pPr>
              <w:spacing w:before="60" w:after="60"/>
              <w:jc w:val="center"/>
              <w:rPr>
                <w:b/>
                <w:bCs/>
                <w:sz w:val="22"/>
              </w:rPr>
            </w:pPr>
            <w:r w:rsidRPr="00264D5D">
              <w:rPr>
                <w:b/>
                <w:bCs/>
                <w:sz w:val="22"/>
              </w:rPr>
              <w:t>Сокращенное наименование (код) элемента</w:t>
            </w:r>
          </w:p>
        </w:tc>
        <w:tc>
          <w:tcPr>
            <w:tcW w:w="294" w:type="pct"/>
          </w:tcPr>
          <w:p w14:paraId="35472750" w14:textId="77777777" w:rsidR="00AD1F54" w:rsidRPr="00264D5D" w:rsidRDefault="00941227">
            <w:pPr>
              <w:spacing w:before="60" w:after="60"/>
              <w:jc w:val="center"/>
              <w:rPr>
                <w:b/>
                <w:bCs/>
                <w:sz w:val="22"/>
              </w:rPr>
            </w:pPr>
            <w:r w:rsidRPr="00264D5D">
              <w:rPr>
                <w:b/>
                <w:bCs/>
                <w:sz w:val="22"/>
              </w:rPr>
              <w:t>Тип</w:t>
            </w:r>
          </w:p>
        </w:tc>
        <w:tc>
          <w:tcPr>
            <w:tcW w:w="589" w:type="pct"/>
          </w:tcPr>
          <w:p w14:paraId="05BC067A" w14:textId="77777777" w:rsidR="00AD1F54" w:rsidRPr="00264D5D" w:rsidRDefault="00941227">
            <w:pPr>
              <w:spacing w:before="60" w:after="60"/>
              <w:jc w:val="center"/>
              <w:rPr>
                <w:b/>
                <w:bCs/>
                <w:sz w:val="22"/>
              </w:rPr>
            </w:pPr>
            <w:r w:rsidRPr="00264D5D">
              <w:rPr>
                <w:b/>
                <w:bCs/>
                <w:sz w:val="22"/>
              </w:rPr>
              <w:t>Формат элемента</w:t>
            </w:r>
          </w:p>
        </w:tc>
        <w:tc>
          <w:tcPr>
            <w:tcW w:w="294" w:type="pct"/>
          </w:tcPr>
          <w:p w14:paraId="195124B4" w14:textId="77777777" w:rsidR="00AD1F54" w:rsidRPr="00264D5D" w:rsidRDefault="00941227">
            <w:pPr>
              <w:spacing w:before="60" w:after="60"/>
              <w:jc w:val="center"/>
              <w:rPr>
                <w:b/>
                <w:bCs/>
                <w:sz w:val="22"/>
              </w:rPr>
            </w:pPr>
            <w:r w:rsidRPr="00264D5D">
              <w:rPr>
                <w:b/>
                <w:bCs/>
                <w:sz w:val="22"/>
              </w:rPr>
              <w:t>Обязательность</w:t>
            </w:r>
          </w:p>
        </w:tc>
        <w:tc>
          <w:tcPr>
            <w:tcW w:w="2056" w:type="pct"/>
          </w:tcPr>
          <w:p w14:paraId="58F9D193" w14:textId="77777777" w:rsidR="00AD1F54" w:rsidRPr="00264D5D" w:rsidRDefault="00941227">
            <w:pPr>
              <w:spacing w:before="60" w:after="60"/>
              <w:jc w:val="center"/>
              <w:rPr>
                <w:b/>
                <w:bCs/>
                <w:sz w:val="22"/>
              </w:rPr>
            </w:pPr>
            <w:r w:rsidRPr="00264D5D">
              <w:rPr>
                <w:b/>
                <w:bCs/>
                <w:sz w:val="22"/>
              </w:rPr>
              <w:t>Дополнительная информация</w:t>
            </w:r>
          </w:p>
        </w:tc>
      </w:tr>
      <w:tr w:rsidR="00AD1F54" w:rsidRPr="00264D5D" w14:paraId="3C212371"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60491ECB" w14:textId="77777777" w:rsidR="00AD1F54" w:rsidRPr="00264D5D" w:rsidRDefault="00941227">
            <w:pPr>
              <w:spacing w:before="60" w:after="60"/>
              <w:rPr>
                <w:sz w:val="22"/>
              </w:rPr>
            </w:pPr>
            <w:r w:rsidRPr="00264D5D">
              <w:rPr>
                <w:sz w:val="22"/>
              </w:rPr>
              <w:t>Код специализации</w:t>
            </w:r>
          </w:p>
        </w:tc>
        <w:tc>
          <w:tcPr>
            <w:tcW w:w="883" w:type="pct"/>
          </w:tcPr>
          <w:p w14:paraId="702F4D27" w14:textId="77777777" w:rsidR="00AD1F54" w:rsidRPr="00264D5D" w:rsidRDefault="00941227">
            <w:pPr>
              <w:spacing w:before="60" w:after="60"/>
              <w:rPr>
                <w:sz w:val="22"/>
              </w:rPr>
            </w:pPr>
            <w:r w:rsidRPr="00264D5D">
              <w:rPr>
                <w:sz w:val="22"/>
              </w:rPr>
              <w:t>Specialization</w:t>
            </w:r>
          </w:p>
        </w:tc>
        <w:tc>
          <w:tcPr>
            <w:tcW w:w="294" w:type="pct"/>
          </w:tcPr>
          <w:p w14:paraId="61AFC83A" w14:textId="77777777" w:rsidR="00AD1F54" w:rsidRPr="00264D5D" w:rsidRDefault="00941227">
            <w:pPr>
              <w:spacing w:before="60" w:after="60"/>
              <w:jc w:val="center"/>
              <w:rPr>
                <w:sz w:val="22"/>
              </w:rPr>
            </w:pPr>
            <w:r w:rsidRPr="00264D5D">
              <w:rPr>
                <w:sz w:val="22"/>
              </w:rPr>
              <w:t>П</w:t>
            </w:r>
          </w:p>
        </w:tc>
        <w:tc>
          <w:tcPr>
            <w:tcW w:w="589" w:type="pct"/>
          </w:tcPr>
          <w:p w14:paraId="2FA14B0A" w14:textId="77777777" w:rsidR="00AD1F54" w:rsidRPr="00264D5D" w:rsidRDefault="00941227">
            <w:pPr>
              <w:spacing w:before="60" w:after="60"/>
              <w:jc w:val="center"/>
            </w:pPr>
            <w:r w:rsidRPr="00264D5D">
              <w:rPr>
                <w:sz w:val="22"/>
              </w:rPr>
              <w:t>Т(</w:t>
            </w:r>
            <w:r w:rsidRPr="00264D5D">
              <w:rPr>
                <w:sz w:val="22"/>
                <w:lang w:val="en-US"/>
              </w:rPr>
              <w:t>3</w:t>
            </w:r>
            <w:r w:rsidRPr="00264D5D">
              <w:rPr>
                <w:sz w:val="22"/>
              </w:rPr>
              <w:t>)</w:t>
            </w:r>
          </w:p>
        </w:tc>
        <w:tc>
          <w:tcPr>
            <w:tcW w:w="294" w:type="pct"/>
          </w:tcPr>
          <w:p w14:paraId="59C87CAC" w14:textId="77777777" w:rsidR="00AD1F54" w:rsidRPr="00264D5D" w:rsidRDefault="00941227">
            <w:pPr>
              <w:spacing w:before="60" w:after="60"/>
              <w:jc w:val="center"/>
              <w:rPr>
                <w:sz w:val="22"/>
              </w:rPr>
            </w:pPr>
            <w:r w:rsidRPr="00264D5D">
              <w:rPr>
                <w:sz w:val="22"/>
              </w:rPr>
              <w:t>О</w:t>
            </w:r>
          </w:p>
        </w:tc>
        <w:tc>
          <w:tcPr>
            <w:tcW w:w="2056" w:type="pct"/>
          </w:tcPr>
          <w:p w14:paraId="7B63BB9B" w14:textId="77777777" w:rsidR="00AD1F54" w:rsidRPr="00264D5D" w:rsidRDefault="00676E27">
            <w:pPr>
              <w:spacing w:before="60" w:after="60"/>
              <w:rPr>
                <w:sz w:val="22"/>
                <w:lang w:val="en-US"/>
              </w:rPr>
            </w:pPr>
            <w:r w:rsidRPr="00264D5D">
              <w:rPr>
                <w:sz w:val="22"/>
              </w:rPr>
              <w:t>Указывается код специализации</w:t>
            </w:r>
          </w:p>
        </w:tc>
      </w:tr>
    </w:tbl>
    <w:p w14:paraId="5E5982E3" w14:textId="77777777" w:rsidR="00AD1F54" w:rsidRPr="00264D5D" w:rsidRDefault="00941227">
      <w:pPr>
        <w:pStyle w:val="31"/>
      </w:pPr>
      <w:bookmarkStart w:id="1682" w:name="_Toc219309617"/>
      <w:bookmarkEnd w:id="1658"/>
      <w:r w:rsidRPr="00264D5D">
        <w:t>Пример XML</w:t>
      </w:r>
      <w:bookmarkEnd w:id="1630"/>
      <w:r w:rsidRPr="00264D5D">
        <w:t xml:space="preserve"> (файловое взаимодействие)</w:t>
      </w:r>
      <w:bookmarkEnd w:id="1682"/>
    </w:p>
    <w:p w14:paraId="2AFF1A5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&lt;?xml version ="1.0" encoding="UTF-8"?&gt;</w:t>
      </w:r>
    </w:p>
    <w:p w14:paraId="17A1D68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&lt;self:exchangePacket xsi:schemaLocation="http://www.roskazna.ru/eb/domain/EXP_SDO/extHeader extHeader.xsd" xmlns:self="http://www.roskazna.ru/eb/domain/EXP_SDO/extHeader" xmlns:cm="http://www.roskazna.ru/eb/domain/common" xmlns:xsi="http://www.w3.org/2001/XMLSchema-instance"&gt;</w:t>
      </w:r>
    </w:p>
    <w:p w14:paraId="36AF632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&lt;packetHeader&gt;</w:t>
      </w:r>
    </w:p>
    <w:p w14:paraId="017C1A9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&lt;serviceInfo&gt;</w:t>
      </w:r>
    </w:p>
    <w:p w14:paraId="11153F5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&lt;creationDateTime&gt;2024-01-24T09:30:47Z&lt;/creationDateTime&gt;</w:t>
      </w:r>
    </w:p>
    <w:p w14:paraId="772BCBB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&lt;documentType&gt;EXP_SDO&lt;/documentType&gt;</w:t>
      </w:r>
    </w:p>
    <w:p w14:paraId="6632178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&lt;/serviceInfo&gt;</w:t>
      </w:r>
    </w:p>
    <w:p w14:paraId="2ABDB6E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&lt;senderParty&gt;</w:t>
      </w:r>
    </w:p>
    <w:p w14:paraId="4B1F082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&lt;organizationParty&gt;</w:t>
      </w:r>
    </w:p>
    <w:p w14:paraId="00895FA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&lt;SRCode&gt;19006000&lt;/SRCode&gt;</w:t>
      </w:r>
    </w:p>
    <w:p w14:paraId="3127FB3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&lt;/organizationParty&gt;</w:t>
      </w:r>
    </w:p>
    <w:p w14:paraId="65DE1E0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ab/>
      </w:r>
      <w:r w:rsidRPr="00264D5D">
        <w:rPr>
          <w:rFonts w:cs="Courier New"/>
          <w:sz w:val="20"/>
        </w:rPr>
        <w:tab/>
        <w:t>&lt;/senderParty&gt;</w:t>
      </w:r>
    </w:p>
    <w:p w14:paraId="1532500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&lt;receiverParty&gt;</w:t>
      </w:r>
    </w:p>
    <w:p w14:paraId="463563D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&lt;TOFKParty&gt;</w:t>
      </w:r>
    </w:p>
    <w:p w14:paraId="0944825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&lt;TOFKCode&gt;0400&lt;/TOFKCode&gt;</w:t>
      </w:r>
    </w:p>
    <w:p w14:paraId="2448AC1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&lt;/TOFKParty&gt;</w:t>
      </w:r>
    </w:p>
    <w:p w14:paraId="12FE53C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&lt;/receiverParty&gt;</w:t>
      </w:r>
    </w:p>
    <w:p w14:paraId="41E000C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&lt;/packetHeader&gt;</w:t>
      </w:r>
    </w:p>
    <w:p w14:paraId="498BDC0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&lt;self:formularCollection&gt;</w:t>
      </w:r>
    </w:p>
    <w:p w14:paraId="1585597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&lt;formular metaType="formular" versionID="8.0" xsi:type="self:tEXP_SDO" xsi:schemaLocation="http://www.roskazna.ru/eb/domain/EXP_SDO/formular formulars.xsd" xmlns:self="http://www.roskazna.ru/eb/domain/EXP_SDO/formular" xmlns:xsi="http://www.w3.org/2001/XMLSchema-instance"&gt;</w:t>
      </w:r>
    </w:p>
    <w:p w14:paraId="37C6821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&lt;Inf_UUID&gt;3b296774-f1ec-424f-b8a7-0cbe01bddef9&lt;/Inf_UUID&gt;</w:t>
      </w:r>
    </w:p>
    <w:p w14:paraId="5579DEA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&lt;Inf_NmbrDc&gt;12345&lt;/Inf_NmbrDc&gt;</w:t>
      </w:r>
    </w:p>
    <w:p w14:paraId="3F60C51A" w14:textId="6BD134A5"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&lt;Inf_DtDc&gt;202</w:t>
      </w:r>
      <w:r w:rsidR="006F4EA5">
        <w:rPr>
          <w:rFonts w:cs="Courier New"/>
          <w:sz w:val="20"/>
          <w:lang w:val="ru-RU"/>
        </w:rPr>
        <w:t>6</w:t>
      </w:r>
      <w:r w:rsidRPr="00264D5D">
        <w:rPr>
          <w:rFonts w:cs="Courier New"/>
          <w:sz w:val="20"/>
        </w:rPr>
        <w:t>-01-24&lt;/Inf_DtDc&gt;</w:t>
      </w:r>
    </w:p>
    <w:p w14:paraId="7E76550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&lt;Inf_TpDc&gt;0&lt;/Inf_TpDc&gt;</w:t>
      </w:r>
    </w:p>
    <w:p w14:paraId="1CA7EA0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&lt;Inf_NmChng&gt;0&lt;/Inf_NmChng&gt;</w:t>
      </w:r>
    </w:p>
    <w:p w14:paraId="70CA8A6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&lt;Inf_RgNmDO&gt;1789106000012000001001&lt;/Inf_RgNmDO&gt;</w:t>
      </w:r>
    </w:p>
    <w:p w14:paraId="252B71A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&lt;Inf_RgNmBO&gt;1789106000012000001&lt;/Inf_RgNmBO&gt;</w:t>
      </w:r>
    </w:p>
    <w:p w14:paraId="0EB4A37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&lt;StmInfrmtn_NUMVERSPUZ&gt;3&lt;/StmInfrmtn_NUMVERSPUZ&gt;</w:t>
      </w:r>
    </w:p>
    <w:p w14:paraId="42EEABE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&lt;StmInfrmtn_AccessLevel&gt;0&lt;/StmInfrmtn_AccessLevel&gt;</w:t>
      </w:r>
    </w:p>
    <w:p w14:paraId="5945507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 xml:space="preserve">       &lt;Inf_GKenergySign&gt;1&lt;/Inf_GKenergySign&gt;</w:t>
      </w:r>
    </w:p>
    <w:p w14:paraId="532D1B7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&lt;RcpBdjt_NmBdgt&gt;ФЕДЕРАЛЬНЫЙ БЮДЖЕТ&lt;/RcpBdjt_NmBdgt&gt;</w:t>
      </w:r>
    </w:p>
    <w:p w14:paraId="048327C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&lt;RcpBdjt_CdOKTMO&gt;12345678000&lt;/RcpBdjt_CdOKTMO&gt;</w:t>
      </w:r>
    </w:p>
    <w:p w14:paraId="3698DF3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&lt;RcpBdjt_NmFnOrg&gt;МИНИСТЕРСТВО ФИНАНСОВ РОССИЙСКОЙ ФЕДЕРА-ЦИИ&lt;/RcpBdjt_NmFnOrg&gt;</w:t>
      </w:r>
    </w:p>
    <w:p w14:paraId="21B750F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&lt;RcpBdjt_OKPOFnOrg&gt;12345678&lt;/RcpBdjt_OKPOFnOrg&gt;</w:t>
      </w:r>
    </w:p>
    <w:p w14:paraId="10A9D85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&lt;RcpBdjt_NmRcp&gt;ДЕПАРТАМЕНТ ОБРАЗОВАНИЯ ВЛАДИМИРСКОЙ ОБЛАСТИ&lt;/RcpBdjt_NmRcp&gt;</w:t>
      </w:r>
    </w:p>
    <w:p w14:paraId="5EDE504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&lt;RcpBdjt_CdGRBS&gt;19006362&lt;/RcpBdjt_CdGRBS&gt;</w:t>
      </w:r>
    </w:p>
    <w:p w14:paraId="11BBCF7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&lt;RcpBdjt_GRBS&gt;ДЕПАРТАМЕНТ ОБРАЗОВАНИЯ ВЛАДИМИРСКОЙ ОБЛАСТИ&lt;/RcpBdjt_GRBS&gt;</w:t>
      </w:r>
    </w:p>
    <w:p w14:paraId="6D12461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&lt;RcpBdjt_GlvBKCd&gt;438&lt;/RcpBdjt_GlvBKCd&gt;</w:t>
      </w:r>
    </w:p>
    <w:p w14:paraId="7116EB7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&lt;RcpBdjt_NmTOFK&gt;УПРАВЛЕНИЕ ФЕДЕРАЛЬНОГО КАЗНАЧЕЙСТВА ПО ВЛАДИМИРСКОЙ ОБЛАСТИ&lt;/RcpBdjt_NmTOFK&gt;</w:t>
      </w:r>
    </w:p>
    <w:p w14:paraId="175426A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&lt;RcpBdjt_CdTOFK&gt;2800&lt;/RcpBdjt_CdTOFK&gt;</w:t>
      </w:r>
    </w:p>
    <w:p w14:paraId="125B6FD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&lt;RcpBdjt_NmAcnt&gt;03281190060&lt;/RcpBdjt_NmAcnt&gt;</w:t>
      </w:r>
    </w:p>
    <w:p w14:paraId="58DF6F0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&lt;RcpBdjt_AdPmntChrct&gt;Да&lt;/RcpBdjt_AdPmntChrct&gt;</w:t>
      </w:r>
    </w:p>
    <w:p w14:paraId="0EB2BE5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&lt;RcpBdjt_CdOKV&gt;643&lt;/RcpBdjt_CdOKV&gt;</w:t>
      </w:r>
    </w:p>
    <w:p w14:paraId="7A3D4AA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 xml:space="preserve">       &lt;RgCnfDc_Step&gt;1&lt;/RgCnfDc_Step&gt;</w:t>
      </w:r>
    </w:p>
    <w:p w14:paraId="1C64C45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&lt;RgCnfDc_TpCnfDc&gt;контракт&lt;/RgCnfDc_TpCnfDc&gt;</w:t>
      </w:r>
    </w:p>
    <w:p w14:paraId="60CD7DA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&lt;RgCnfDc_RmActCD&gt;123456789&lt;/RgCnfDc_RmActCD&gt;</w:t>
      </w:r>
    </w:p>
    <w:p w14:paraId="465A11A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&lt;RgCnfDc_DtCntrctCD&gt;2019-11-05&lt;/RgCnfDc_DtCntrctCD&gt;</w:t>
      </w:r>
    </w:p>
    <w:p w14:paraId="0865524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&lt;RgCnfDc_SbjCnDc&gt;Предоставление услуг энергосбережения&lt;/RgCnfDc_SbjCnDc&gt;</w:t>
      </w:r>
    </w:p>
    <w:p w14:paraId="3211156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 xml:space="preserve">      &lt;RcpBdjt_PurGoods&gt;1&lt;/RcpBdjt_PurGoods&gt;</w:t>
      </w:r>
    </w:p>
    <w:p w14:paraId="546ED41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&lt;RgCnfDc_SmSbsd&gt;1000000.00&lt;/RgCnfDc_SmSbsd&gt;</w:t>
      </w:r>
    </w:p>
    <w:p w14:paraId="3ACADDE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&lt;Pmn&gt;</w:t>
      </w:r>
    </w:p>
    <w:p w14:paraId="13B0C51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&lt;Pmn_ITEM&gt;</w:t>
      </w:r>
    </w:p>
    <w:p w14:paraId="7F84A2D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&lt;NmLn&gt;1234&lt;/NmLn&gt;</w:t>
      </w:r>
    </w:p>
    <w:p w14:paraId="1E69175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&lt;NmTpRsrcs&gt;1&lt;/NmTpRsrcs&gt;</w:t>
      </w:r>
    </w:p>
    <w:p w14:paraId="40B1EFE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&lt;DtExctn&gt;2024-10-01&lt;/DtExctn&gt;</w:t>
      </w:r>
    </w:p>
    <w:p w14:paraId="054C3AD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&lt;KBK&gt;43807000910200022226&lt;/KBK&gt;</w:t>
      </w:r>
    </w:p>
    <w:p w14:paraId="587A3B7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&lt;KBKTp&gt;10&lt;/KBKTp&gt;</w:t>
      </w:r>
    </w:p>
    <w:p w14:paraId="644863F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&lt;RESR9&gt;000183021484885678&lt;/RESR9&gt;</w:t>
      </w:r>
    </w:p>
    <w:p w14:paraId="4830518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&lt;AnltcCd&gt;43807000910200022310&lt;/AnltcCd&gt;</w:t>
      </w:r>
    </w:p>
    <w:p w14:paraId="00B55F0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&lt;Sm&gt;1000000.00&lt;/Sm&gt;</w:t>
      </w:r>
    </w:p>
    <w:p w14:paraId="490A2F2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&lt;CdCrr&gt;643&lt;/CdCrr&gt;</w:t>
      </w:r>
    </w:p>
    <w:p w14:paraId="26BF04A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&lt;SmRb&gt;1000000.00&lt;/SmRb&gt;</w:t>
      </w:r>
    </w:p>
    <w:p w14:paraId="0922E6D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&lt;PrpdExpns&gt;1000000.00&lt;/PrpdExpns&gt;</w:t>
      </w:r>
    </w:p>
    <w:p w14:paraId="1AFEB45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&lt;/Pmn_ITEM&gt;</w:t>
      </w:r>
    </w:p>
    <w:p w14:paraId="3858B56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ab/>
      </w:r>
      <w:r w:rsidRPr="00264D5D">
        <w:rPr>
          <w:rFonts w:cs="Courier New"/>
          <w:sz w:val="20"/>
        </w:rPr>
        <w:tab/>
        <w:t>&lt;/Pmn&gt;</w:t>
      </w:r>
    </w:p>
    <w:p w14:paraId="3E344E2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&lt;Itog_SmRbTtl&gt;1000000.00&lt;/Itog_SmRbTtl&gt;</w:t>
      </w:r>
    </w:p>
    <w:p w14:paraId="77A6A27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&lt;Itog_PrpdExpnsTtl&gt;1000000.00&lt;/Itog_PrpdExpnsTtl&gt;</w:t>
      </w:r>
    </w:p>
    <w:p w14:paraId="4EB415A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&lt;Sgnng_NmHd&gt;директор&lt;/Sgnng_NmHd&gt;</w:t>
      </w:r>
    </w:p>
    <w:p w14:paraId="6DAED6A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&lt;Sgnng_PstHd&gt;Иванов И.И.&lt;/Sgnng_PstHd&gt;</w:t>
      </w:r>
    </w:p>
    <w:p w14:paraId="676E50C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&lt;Sgnng_ChfAccntnt&gt;бухгалтер&lt;/Sgnng_ChfAccntnt&gt;</w:t>
      </w:r>
    </w:p>
    <w:p w14:paraId="0E1D1F6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&lt;Sgnng_FIOAccntnt&gt;Иванова И.И.&lt;/Sgnng_FIOAccntnt&gt;</w:t>
      </w:r>
    </w:p>
    <w:p w14:paraId="0E49C494" w14:textId="72F57DA4"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&lt;Sgnng_DtSgnng&gt;202</w:t>
      </w:r>
      <w:r w:rsidR="006F4EA5" w:rsidRPr="008D797C">
        <w:rPr>
          <w:rFonts w:cs="Courier New"/>
          <w:sz w:val="20"/>
        </w:rPr>
        <w:t>6</w:t>
      </w:r>
      <w:r w:rsidRPr="00264D5D">
        <w:rPr>
          <w:rFonts w:cs="Courier New"/>
          <w:sz w:val="20"/>
        </w:rPr>
        <w:t>-01-24&lt;/Sgnng_DtSgnng&gt;</w:t>
      </w:r>
    </w:p>
    <w:p w14:paraId="3F070A4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&lt;/formular&gt;</w:t>
      </w:r>
    </w:p>
    <w:p w14:paraId="0C23101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&lt;/self:formularCollection&gt;</w:t>
      </w:r>
    </w:p>
    <w:p w14:paraId="382C9C8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264D5D">
        <w:rPr>
          <w:rFonts w:cs="Courier New"/>
          <w:sz w:val="20"/>
        </w:rPr>
        <w:t>&lt;/self:exchangePacket&gt;</w:t>
      </w:r>
      <w:bookmarkStart w:id="1683" w:name="_Toc466429326"/>
      <w:bookmarkStart w:id="1684" w:name="_Toc466430461"/>
      <w:bookmarkEnd w:id="1683"/>
      <w:bookmarkEnd w:id="1684"/>
    </w:p>
    <w:p w14:paraId="227D5836" w14:textId="77777777" w:rsidR="00AD1F54" w:rsidRPr="00264D5D" w:rsidRDefault="00941227">
      <w:pPr>
        <w:pStyle w:val="31"/>
      </w:pPr>
      <w:bookmarkStart w:id="1685" w:name="_Toc219309618"/>
      <w:r w:rsidRPr="00264D5D">
        <w:t>Пример XML (сервисное взаимодействие)</w:t>
      </w:r>
      <w:bookmarkEnd w:id="1685"/>
    </w:p>
    <w:p w14:paraId="3DADC47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&lt;?xml version ="1.0" encoding="UTF-8"?&gt;</w:t>
      </w:r>
    </w:p>
    <w:p w14:paraId="4E55FF1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&lt;self:EXP_SDO metaType="formular" versionID="8.0" Id="Id-xadesdata-eaf97d94646411e9b78d005056834f23" xsi:schemaLocation="http://www.roskazna.ru/eb/domain/EXP_SDO/formular formulars.xsd" xmlns:self="http://www.roskazna.ru/eb/domain/EXP_SDO/formular" xmlns:ds="http://www.w3.org/2000/09/xmldsig#" xmlns:xsi="http://www.w3.org/2001/XMLSchema-instance"&gt;</w:t>
      </w:r>
    </w:p>
    <w:p w14:paraId="5426E4C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&lt;Inf_UUID&gt;3b296774-f1ec-424f-b8a7-0cbe01bddef9&lt;/Inf_UUID&gt;</w:t>
      </w:r>
    </w:p>
    <w:p w14:paraId="73226EB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&lt;Inf_NmbrDc&gt;12345&lt;/Inf_NmbrDc&gt;</w:t>
      </w:r>
    </w:p>
    <w:p w14:paraId="0AFE61F0" w14:textId="4D1608B6"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&lt;Inf_DtDc&gt;202</w:t>
      </w:r>
      <w:r w:rsidR="006F4EA5" w:rsidRPr="008D797C">
        <w:rPr>
          <w:rFonts w:cs="Courier New"/>
          <w:sz w:val="20"/>
        </w:rPr>
        <w:t>6</w:t>
      </w:r>
      <w:r w:rsidRPr="00264D5D">
        <w:rPr>
          <w:rFonts w:cs="Courier New"/>
          <w:sz w:val="20"/>
        </w:rPr>
        <w:t>-01-24&lt;/Inf_DtDc&gt;</w:t>
      </w:r>
    </w:p>
    <w:p w14:paraId="5BFFE69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&lt;Inf_TpDc&gt;0&lt;/Inf_TpDc&gt;</w:t>
      </w:r>
    </w:p>
    <w:p w14:paraId="033EF83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&lt;Inf_NmChng&gt;0&lt;/Inf_NmChng&gt;</w:t>
      </w:r>
    </w:p>
    <w:p w14:paraId="21C628E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&lt;Inf_RgNmDO&gt;1789106000012000001001&lt;/Inf_RgNmDO&gt;</w:t>
      </w:r>
    </w:p>
    <w:p w14:paraId="4A1B2F1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&lt;Inf_RgNmBO&gt;1789106000012000001&lt;/Inf_RgNmBO&gt;</w:t>
      </w:r>
    </w:p>
    <w:p w14:paraId="0FEA265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&lt;StmInfrmtn_NUMVERSPUZ&gt;3&lt;/StmInfrmtn_NUMVERSPUZ&gt;</w:t>
      </w:r>
    </w:p>
    <w:p w14:paraId="24CD14F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&lt;StmInfrmtn_AccessLevel&gt;0&lt;/StmInfrmtn_AccessLevel&gt;</w:t>
      </w:r>
    </w:p>
    <w:p w14:paraId="6AAB421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 xml:space="preserve">       &lt;Inf_GKenergySign&gt;1&lt;/Inf_GKenergySign&gt;</w:t>
      </w:r>
    </w:p>
    <w:p w14:paraId="47145DA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&lt;RcpBdjt_NmBdgt&gt;ФЕДЕРАЛЬНЫЙ БЮДЖЕТ&lt;/RcpBdjt_NmBdgt&gt;</w:t>
      </w:r>
    </w:p>
    <w:p w14:paraId="735A9B7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&lt;RcpBdjt_CdOKTMO&gt;12345678000&lt;/RcpBdjt_CdOKTMO&gt;</w:t>
      </w:r>
    </w:p>
    <w:p w14:paraId="760A704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&lt;RcpBdjt_NmFnOrg&gt;МИНИСТЕРСТВО ФИНАНСОВ РОССИЙСКОЙ ФЕДЕРА-ЦИИ&lt;/RcpBdjt_NmFnOrg&gt;</w:t>
      </w:r>
    </w:p>
    <w:p w14:paraId="09833EF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&lt;RcpBdjt_OKPOFnOrg&gt;12345678&lt;/RcpBdjt_OKPOFnOrg&gt;</w:t>
      </w:r>
    </w:p>
    <w:p w14:paraId="0B1399D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&lt;RcpBdjt_NmRcp&gt;ДЕПАРТАМЕНТ ОБРАЗОВАНИЯ ВЛАДИМИРСКОЙ ОБЛАСТИ&lt;/RcpBdjt_NmRcp&gt;</w:t>
      </w:r>
    </w:p>
    <w:p w14:paraId="0A00CC1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&lt;RcpBdjt_CdGRBS&gt;19006362&lt;/RcpBdjt_CdGRBS&gt;</w:t>
      </w:r>
    </w:p>
    <w:p w14:paraId="5BA1FD5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&lt;RcpBdjt_GRBS&gt;ДЕПАРТАМЕНТ ОБРАЗОВАНИЯ ВЛАДИМИРСКОЙ ОБЛАСТИ&lt;/RcpBdjt_GRBS&gt;</w:t>
      </w:r>
    </w:p>
    <w:p w14:paraId="7081104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&lt;RcpBdjt_GlvBKCd&gt;438&lt;/RcpBdjt_GlvBKCd&gt;</w:t>
      </w:r>
    </w:p>
    <w:p w14:paraId="22596E0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&lt;RcpBdjt_NmTOFK&gt;УПРАВЛЕНИЕ ФЕДЕРАЛЬНОГО КАЗНАЧЕЙСТВА ПО ВЛАДИМИРСКОЙ ОБЛАСТИ&lt;/RcpBdjt_NmTOFK&gt;</w:t>
      </w:r>
    </w:p>
    <w:p w14:paraId="5BDF938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&lt;RcpBdjt_CdTOFK&gt;2800&lt;/RcpBdjt_CdTOFK&gt;</w:t>
      </w:r>
    </w:p>
    <w:p w14:paraId="2B2AB13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&lt;RcpBdjt_NmAcnt&gt;03281190060&lt;/RcpBdjt_NmAcnt&gt;</w:t>
      </w:r>
    </w:p>
    <w:p w14:paraId="1FDCDC9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&lt;RcpBdjt_AdPmntChrct&gt;Да&lt;/RcpBdjt_AdPmntChrct&gt;</w:t>
      </w:r>
    </w:p>
    <w:p w14:paraId="7707C91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&lt;RcpBdjt_CdOKV&gt;643&lt;/RcpBdjt_CdOKV&gt;</w:t>
      </w:r>
    </w:p>
    <w:p w14:paraId="00B9C28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 xml:space="preserve">       &lt;RgCnfDc_Step&gt;1&lt;/RgCnfDc_Step&gt;</w:t>
      </w:r>
    </w:p>
    <w:p w14:paraId="7168B32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&lt;RgCnfDc_TpCnfDc&gt;контракт&lt;/RgCnfDc_TpCnfDc&gt;</w:t>
      </w:r>
    </w:p>
    <w:p w14:paraId="58AD872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&lt;RgCnfDc_RmActCD&gt;123456789&lt;/RgCnfDc_RmActCD&gt;</w:t>
      </w:r>
    </w:p>
    <w:p w14:paraId="1427D4F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&lt;RgCnfDc_DtCntrctCD&gt;2021-10-01&lt;/RgCnfDc_DtCntrctCD&gt;</w:t>
      </w:r>
    </w:p>
    <w:p w14:paraId="5720E43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&lt;RgCnfDc_SbjCnDc&gt;Предоставление услуг энергосбережения&lt;/RgCnfDc_SbjCnDc&gt;</w:t>
      </w:r>
    </w:p>
    <w:p w14:paraId="23E0C4F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 xml:space="preserve">      &lt;RcpBdjt_PurGoods&gt;1&lt;/RcpBdjt_PurGoods&gt;</w:t>
      </w:r>
    </w:p>
    <w:p w14:paraId="00F0F22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&lt;RgCnfDc_SmSbsd&gt;1000000.00&lt;/RgCnfDc_SmSbsd&gt;</w:t>
      </w:r>
    </w:p>
    <w:p w14:paraId="368775E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&lt;Pmn&gt;</w:t>
      </w:r>
    </w:p>
    <w:p w14:paraId="05C2D25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&lt;Pmn_ITEM&gt;</w:t>
      </w:r>
    </w:p>
    <w:p w14:paraId="1E0B69F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&lt;NmLn&gt;1234&lt;/NmLn&gt;</w:t>
      </w:r>
    </w:p>
    <w:p w14:paraId="36ECB17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&lt;NmTpRsrcs&gt;1&lt;/NmTpRsrcs&gt;</w:t>
      </w:r>
    </w:p>
    <w:p w14:paraId="316238A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ab/>
      </w:r>
      <w:r w:rsidRPr="00264D5D">
        <w:rPr>
          <w:rFonts w:cs="Courier New"/>
          <w:sz w:val="20"/>
        </w:rPr>
        <w:tab/>
      </w:r>
      <w:r w:rsidRPr="00264D5D">
        <w:rPr>
          <w:rFonts w:cs="Courier New"/>
          <w:sz w:val="20"/>
        </w:rPr>
        <w:tab/>
      </w:r>
      <w:r w:rsidRPr="00264D5D">
        <w:rPr>
          <w:rFonts w:cs="Courier New"/>
          <w:sz w:val="20"/>
        </w:rPr>
        <w:tab/>
        <w:t>&lt;DtExctn&gt;2024-10-01&lt;/DtExctn&gt;</w:t>
      </w:r>
    </w:p>
    <w:p w14:paraId="2023CDD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&lt;KBK&gt;43807000910200022226&lt;/KBK&gt;</w:t>
      </w:r>
    </w:p>
    <w:p w14:paraId="189B5D1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&lt;KBKTp&gt;10&lt;/KBKTp&gt;</w:t>
      </w:r>
    </w:p>
    <w:p w14:paraId="1B4DE0A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&lt;RESR9&gt;000183021484885678&lt;/RESR9&gt;</w:t>
      </w:r>
    </w:p>
    <w:p w14:paraId="15AFC56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&lt;AnltcCd&gt;43807000910200022310&lt;/AnltcCd&gt;</w:t>
      </w:r>
    </w:p>
    <w:p w14:paraId="1334C16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&lt;Sm&gt;1000000.00&lt;/Sm&gt;</w:t>
      </w:r>
    </w:p>
    <w:p w14:paraId="69EB929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&lt;CdCrr&gt;643&lt;/CdCrr&gt;</w:t>
      </w:r>
    </w:p>
    <w:p w14:paraId="0D6350F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&lt;SmRb&gt;1000000.00&lt;/SmRb&gt;</w:t>
      </w:r>
    </w:p>
    <w:p w14:paraId="36270B9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&lt;PrpdExpns&gt;1000000.00&lt;/PrpdExpns&gt;</w:t>
      </w:r>
    </w:p>
    <w:p w14:paraId="12F3BE1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&lt;/Pmn_ITEM&gt;</w:t>
      </w:r>
    </w:p>
    <w:p w14:paraId="2BCFB72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&lt;/Pmn&gt;</w:t>
      </w:r>
    </w:p>
    <w:p w14:paraId="5AB2C56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&lt;Itog_SmRbTtl&gt;1000000.00&lt;/Itog_SmRbTtl&gt;</w:t>
      </w:r>
    </w:p>
    <w:p w14:paraId="174C305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&lt;Itog_PrpdExpnsTtl&gt;1000000.00&lt;/Itog_PrpdExpnsTtl&gt;</w:t>
      </w:r>
    </w:p>
    <w:p w14:paraId="60E7B30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&lt;UPD&gt;</w:t>
      </w:r>
    </w:p>
    <w:p w14:paraId="33CCE91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&lt;Pd_InvNmb&gt;234&lt;/Pd_InvNmb&gt;</w:t>
      </w:r>
    </w:p>
    <w:p w14:paraId="571607D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Pd</w:t>
      </w:r>
      <w:r w:rsidRPr="00264D5D">
        <w:rPr>
          <w:rFonts w:cs="Courier New"/>
          <w:sz w:val="20"/>
          <w:lang w:val="ru-RU"/>
        </w:rPr>
        <w:t>_</w:t>
      </w:r>
      <w:r w:rsidRPr="00264D5D">
        <w:rPr>
          <w:rFonts w:cs="Courier New"/>
          <w:sz w:val="20"/>
        </w:rPr>
        <w:t>InvDt</w:t>
      </w:r>
      <w:r w:rsidRPr="00264D5D">
        <w:rPr>
          <w:rFonts w:cs="Courier New"/>
          <w:sz w:val="20"/>
          <w:lang w:val="ru-RU"/>
        </w:rPr>
        <w:t>&gt;2021-10-01&lt;/</w:t>
      </w:r>
      <w:r w:rsidRPr="00264D5D">
        <w:rPr>
          <w:rFonts w:cs="Courier New"/>
          <w:sz w:val="20"/>
        </w:rPr>
        <w:t>Pd</w:t>
      </w:r>
      <w:r w:rsidRPr="00264D5D">
        <w:rPr>
          <w:rFonts w:cs="Courier New"/>
          <w:sz w:val="20"/>
          <w:lang w:val="ru-RU"/>
        </w:rPr>
        <w:t>_</w:t>
      </w:r>
      <w:r w:rsidRPr="00264D5D">
        <w:rPr>
          <w:rFonts w:cs="Courier New"/>
          <w:sz w:val="20"/>
        </w:rPr>
        <w:t>InvDt</w:t>
      </w:r>
      <w:r w:rsidRPr="00264D5D">
        <w:rPr>
          <w:rFonts w:cs="Courier New"/>
          <w:sz w:val="20"/>
          <w:lang w:val="ru-RU"/>
        </w:rPr>
        <w:t>&gt;</w:t>
      </w:r>
    </w:p>
    <w:p w14:paraId="0338AF9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Sl</w:t>
      </w:r>
      <w:r w:rsidRPr="00264D5D">
        <w:rPr>
          <w:rFonts w:cs="Courier New"/>
          <w:sz w:val="20"/>
          <w:lang w:val="ru-RU"/>
        </w:rPr>
        <w:t>_</w:t>
      </w:r>
      <w:r w:rsidRPr="00264D5D">
        <w:rPr>
          <w:rFonts w:cs="Courier New"/>
          <w:sz w:val="20"/>
        </w:rPr>
        <w:t>Nm</w:t>
      </w:r>
      <w:r w:rsidRPr="00264D5D">
        <w:rPr>
          <w:rFonts w:cs="Courier New"/>
          <w:sz w:val="20"/>
          <w:lang w:val="ru-RU"/>
        </w:rPr>
        <w:t>&gt;ОБЩЕСТВО С ОГРАНИЧЕННОЙ ОТВЕТСТВЕННОСТЬЮ "РУСЕВРОПРИНТ"&lt;/</w:t>
      </w:r>
      <w:r w:rsidRPr="00264D5D">
        <w:rPr>
          <w:rFonts w:cs="Courier New"/>
          <w:sz w:val="20"/>
        </w:rPr>
        <w:t>Sl</w:t>
      </w:r>
      <w:r w:rsidRPr="00264D5D">
        <w:rPr>
          <w:rFonts w:cs="Courier New"/>
          <w:sz w:val="20"/>
          <w:lang w:val="ru-RU"/>
        </w:rPr>
        <w:t>_</w:t>
      </w:r>
      <w:r w:rsidRPr="00264D5D">
        <w:rPr>
          <w:rFonts w:cs="Courier New"/>
          <w:sz w:val="20"/>
        </w:rPr>
        <w:t>Nm</w:t>
      </w:r>
      <w:r w:rsidRPr="00264D5D">
        <w:rPr>
          <w:rFonts w:cs="Courier New"/>
          <w:sz w:val="20"/>
          <w:lang w:val="ru-RU"/>
        </w:rPr>
        <w:t>&gt;</w:t>
      </w:r>
    </w:p>
    <w:p w14:paraId="30B3C79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rPr>
        <w:t>&lt;Sl_IP&gt;0&lt;/Sl_IP&gt;</w:t>
      </w:r>
    </w:p>
    <w:p w14:paraId="7BFD6A2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 xml:space="preserve">             &lt;UPD_SMP&gt;1&lt;/UPD_SMP&gt;</w:t>
      </w:r>
    </w:p>
    <w:p w14:paraId="43DEAA7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&lt;Sl_INN&gt;7726764432&lt;/Sl_INN&gt;</w:t>
      </w:r>
    </w:p>
    <w:p w14:paraId="503E95E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&lt;Sl_KPP&gt;772601001&lt;/Sl_KPP&gt;</w:t>
      </w:r>
    </w:p>
    <w:p w14:paraId="0C0AD19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&lt;NmbrAccnt&gt;42307810255133401027&lt;/NmbrAccnt&gt;</w:t>
      </w:r>
    </w:p>
    <w:p w14:paraId="1617203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&lt;NmbrBnkAccnt&gt;40702810500000000001&lt;/NmbrBnkAccnt&gt;</w:t>
      </w:r>
    </w:p>
    <w:p w14:paraId="103BA4B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&lt;NmBnk&gt;ОАО "Банк "Открытие"&lt;/NmBnk&gt;</w:t>
      </w:r>
    </w:p>
    <w:p w14:paraId="5B2AC5F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&lt;BIKBnk&gt;045800577&lt;/BIKBnk&gt;</w:t>
      </w:r>
    </w:p>
    <w:p w14:paraId="12F870A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&lt;CrrspndntAccnt&gt;30101000000000000001&lt;/CrrspndntAccnt&gt;</w:t>
      </w:r>
    </w:p>
    <w:p w14:paraId="6005FEF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&lt;CalcVATItogLine&gt;true&lt;/CalcVATItogLine&gt;</w:t>
      </w:r>
    </w:p>
    <w:p w14:paraId="6114580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&lt;Pjs&gt;</w:t>
      </w:r>
    </w:p>
    <w:p w14:paraId="6482B54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&lt;Pjs_ITEM&gt;</w:t>
      </w:r>
    </w:p>
    <w:p w14:paraId="0571345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&lt;Pjs_sid&gt;15467567787890490001&lt;/Pjs_sid&gt;</w:t>
      </w:r>
    </w:p>
    <w:p w14:paraId="62F2D03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&lt;Pjs_Nm&gt;Бумага писчая&lt;/Pjs_Nm&gt;</w:t>
      </w:r>
    </w:p>
    <w:p w14:paraId="182BA90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&lt;TypeBuyObj&gt;Товар&lt;/TypeBuyObj&gt;</w:t>
      </w:r>
    </w:p>
    <w:p w14:paraId="5E0118F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 xml:space="preserve">                                                                                  &lt;FixAsset&gt;Не указано&lt;/FixAsset&gt;</w:t>
      </w:r>
    </w:p>
    <w:p w14:paraId="6B285D6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MetodVol</w:t>
      </w:r>
      <w:r w:rsidRPr="00264D5D">
        <w:rPr>
          <w:rFonts w:cs="Courier New"/>
          <w:sz w:val="20"/>
          <w:lang w:val="ru-RU"/>
        </w:rPr>
        <w:t>&gt;Объем не может быть указан в количественном выражении (указание объема в текстовом виде)&lt;/</w:t>
      </w:r>
      <w:r w:rsidRPr="00264D5D">
        <w:rPr>
          <w:rFonts w:cs="Courier New"/>
          <w:sz w:val="20"/>
        </w:rPr>
        <w:t>MetodVol</w:t>
      </w:r>
      <w:r w:rsidRPr="00264D5D">
        <w:rPr>
          <w:rFonts w:cs="Courier New"/>
          <w:sz w:val="20"/>
          <w:lang w:val="ru-RU"/>
        </w:rPr>
        <w:t>&gt;</w:t>
      </w:r>
    </w:p>
    <w:p w14:paraId="06941AC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Nt</w:t>
      </w:r>
      <w:r w:rsidRPr="00264D5D">
        <w:rPr>
          <w:rFonts w:cs="Courier New"/>
          <w:sz w:val="20"/>
          <w:lang w:val="ru-RU"/>
        </w:rPr>
        <w:t>_</w:t>
      </w:r>
      <w:r w:rsidRPr="00264D5D">
        <w:rPr>
          <w:rFonts w:cs="Courier New"/>
          <w:sz w:val="20"/>
        </w:rPr>
        <w:t>Cd</w:t>
      </w:r>
      <w:r w:rsidRPr="00264D5D">
        <w:rPr>
          <w:rFonts w:cs="Courier New"/>
          <w:sz w:val="20"/>
          <w:lang w:val="ru-RU"/>
        </w:rPr>
        <w:t>&gt;625&lt;/</w:t>
      </w:r>
      <w:r w:rsidRPr="00264D5D">
        <w:rPr>
          <w:rFonts w:cs="Courier New"/>
          <w:sz w:val="20"/>
        </w:rPr>
        <w:t>Nt</w:t>
      </w:r>
      <w:r w:rsidRPr="00264D5D">
        <w:rPr>
          <w:rFonts w:cs="Courier New"/>
          <w:sz w:val="20"/>
          <w:lang w:val="ru-RU"/>
        </w:rPr>
        <w:t>_</w:t>
      </w:r>
      <w:r w:rsidRPr="00264D5D">
        <w:rPr>
          <w:rFonts w:cs="Courier New"/>
          <w:sz w:val="20"/>
        </w:rPr>
        <w:t>Cd</w:t>
      </w:r>
      <w:r w:rsidRPr="00264D5D">
        <w:rPr>
          <w:rFonts w:cs="Courier New"/>
          <w:sz w:val="20"/>
          <w:lang w:val="ru-RU"/>
        </w:rPr>
        <w:t>&gt;</w:t>
      </w:r>
    </w:p>
    <w:p w14:paraId="7AD4F0F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Nt</w:t>
      </w:r>
      <w:r w:rsidRPr="00264D5D">
        <w:rPr>
          <w:rFonts w:cs="Courier New"/>
          <w:sz w:val="20"/>
          <w:lang w:val="ru-RU"/>
        </w:rPr>
        <w:t>_</w:t>
      </w:r>
      <w:r w:rsidRPr="00264D5D">
        <w:rPr>
          <w:rFonts w:cs="Courier New"/>
          <w:sz w:val="20"/>
        </w:rPr>
        <w:t>NCd</w:t>
      </w:r>
      <w:r w:rsidRPr="00264D5D">
        <w:rPr>
          <w:rFonts w:cs="Courier New"/>
          <w:sz w:val="20"/>
          <w:lang w:val="ru-RU"/>
        </w:rPr>
        <w:t>&gt;ЛИСТ&lt;/</w:t>
      </w:r>
      <w:r w:rsidRPr="00264D5D">
        <w:rPr>
          <w:rFonts w:cs="Courier New"/>
          <w:sz w:val="20"/>
        </w:rPr>
        <w:t>Nt</w:t>
      </w:r>
      <w:r w:rsidRPr="00264D5D">
        <w:rPr>
          <w:rFonts w:cs="Courier New"/>
          <w:sz w:val="20"/>
          <w:lang w:val="ru-RU"/>
        </w:rPr>
        <w:t>_</w:t>
      </w:r>
      <w:r w:rsidRPr="00264D5D">
        <w:rPr>
          <w:rFonts w:cs="Courier New"/>
          <w:sz w:val="20"/>
        </w:rPr>
        <w:t>NCd</w:t>
      </w:r>
      <w:r w:rsidRPr="00264D5D">
        <w:rPr>
          <w:rFonts w:cs="Courier New"/>
          <w:sz w:val="20"/>
          <w:lang w:val="ru-RU"/>
        </w:rPr>
        <w:t>&gt;</w:t>
      </w:r>
    </w:p>
    <w:p w14:paraId="562DA41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rPr>
        <w:t>&lt;Nt_Prc&gt;10.00&lt;/Nt_Prc&gt;</w:t>
      </w:r>
    </w:p>
    <w:p w14:paraId="2FFD47E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&lt;Nt_Prc_WhtVAT&gt;8.20&lt;/Nt_Prc_WhtVAT&gt;</w:t>
      </w:r>
    </w:p>
    <w:p w14:paraId="22BBFCD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&lt;Nmbr&gt;100000.12345678912&lt;/Nmbr&gt;</w:t>
      </w:r>
    </w:p>
    <w:p w14:paraId="20DFF6D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&lt;Volume&gt;100000&lt;/Volume&gt;</w:t>
      </w:r>
    </w:p>
    <w:p w14:paraId="4B0C453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&lt;Amnt&gt;1000000.00&lt;/Amnt&gt;</w:t>
      </w:r>
    </w:p>
    <w:p w14:paraId="30C7CC3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&lt;Amnt_WhtVAT&gt;820000.00&lt;/Amnt_WhtVAT&gt;</w:t>
      </w:r>
    </w:p>
    <w:p w14:paraId="7BF1F1C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&lt;VATRt&gt;18&lt;/VATRt&gt;</w:t>
      </w:r>
    </w:p>
    <w:p w14:paraId="0BD662E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&lt;VAT&gt;120000.00&lt;/VAT&gt;</w:t>
      </w:r>
    </w:p>
    <w:p w14:paraId="3A9CDD2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&lt;/Pjs_ITEM&gt;</w:t>
      </w:r>
    </w:p>
    <w:p w14:paraId="2EDD2BF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&lt;/Pjs&gt;</w:t>
      </w:r>
    </w:p>
    <w:p w14:paraId="1C9312F8" w14:textId="77777777" w:rsidR="008D797C" w:rsidRDefault="00941227" w:rsidP="006F4EA5">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&lt;Inv_Ttl&gt;1000000.00&lt;/Inv_Ttl&gt;</w:t>
      </w:r>
      <w:r w:rsidRPr="00264D5D">
        <w:rPr>
          <w:rFonts w:cs="Courier New"/>
          <w:sz w:val="20"/>
        </w:rPr>
        <w:tab/>
      </w:r>
    </w:p>
    <w:p w14:paraId="45462507" w14:textId="187F1297" w:rsidR="00AD1F54" w:rsidRPr="00264D5D" w:rsidRDefault="008D797C" w:rsidP="006F4EA5">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Pr>
          <w:rFonts w:cs="Courier New"/>
          <w:sz w:val="20"/>
          <w:lang w:val="ru-RU"/>
        </w:rPr>
        <w:t xml:space="preserve">              </w:t>
      </w:r>
      <w:bookmarkStart w:id="1686" w:name="_GoBack"/>
      <w:bookmarkEnd w:id="1686"/>
      <w:r w:rsidR="00941227" w:rsidRPr="00264D5D">
        <w:rPr>
          <w:rFonts w:cs="Courier New"/>
          <w:sz w:val="20"/>
        </w:rPr>
        <w:t>&lt;/UPD&gt;</w:t>
      </w:r>
    </w:p>
    <w:p w14:paraId="2F074B8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&lt;Sgnng_NmHd&gt;директор&lt;/Sgnng_NmHd&gt;</w:t>
      </w:r>
    </w:p>
    <w:p w14:paraId="45E9F0B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&lt;Sgnng_PstHd&gt;Иванов И.И.&lt;/Sgnng_PstHd&gt;</w:t>
      </w:r>
    </w:p>
    <w:p w14:paraId="3AC4281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&lt;Sgnng_ChfAccntnt&gt;бухгалтер&lt;/Sgnng_ChfAccntnt&gt;</w:t>
      </w:r>
    </w:p>
    <w:p w14:paraId="1243007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&lt;Sgnng_FIOAccntnt&gt;Иванова И.И.&lt;/Sgnng_FIOAccntnt&gt;</w:t>
      </w:r>
    </w:p>
    <w:p w14:paraId="2F762768" w14:textId="67BBCDD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&lt;Sgnng_DtSgnng&gt;202</w:t>
      </w:r>
      <w:r w:rsidR="006F4EA5" w:rsidRPr="008D797C">
        <w:rPr>
          <w:rFonts w:cs="Courier New"/>
          <w:sz w:val="20"/>
        </w:rPr>
        <w:t>6</w:t>
      </w:r>
      <w:r w:rsidRPr="00264D5D">
        <w:rPr>
          <w:rFonts w:cs="Courier New"/>
          <w:sz w:val="20"/>
        </w:rPr>
        <w:t>-01-24&lt;/Sgnng_DtSgnng&gt;</w:t>
      </w:r>
    </w:p>
    <w:p w14:paraId="62D2878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 xml:space="preserve">&lt;Signature xmlns="http://www.w3.org/2000/09/xmldsig#" Id="Id-sig-5e337cbb1d62d06f76c39a73310fc3def892"&gt;&lt;SignedInfo&gt;&lt;CanonicalizationMethod </w:t>
      </w:r>
      <w:r w:rsidRPr="00264D5D">
        <w:rPr>
          <w:rFonts w:cs="Courier New"/>
          <w:sz w:val="20"/>
        </w:rPr>
        <w:lastRenderedPageBreak/>
        <w:t>Algorithm="http://www.w3.org/2001/10/xml-exc-c14n#"/&gt;&lt;SignatureMethod Algorithm="http://www.w3.org/2001/04/xmldsig-more#gostr34102001-gostr3411"/&gt;&lt;Reference URI="Id-xadesdata-eaf97d94646411e9b78d005056834f23" Id="Id-dataref-e4caddfce9527ef62a8a3d46d2c4929f6ff4"&gt;&lt;Transforms&gt;&lt;Transform Algorithm="http://www.w3.org/2000/09/xmldsig#enveloped-signature"/&gt;&lt;/Transforms&gt;&lt;DigestMethod Algorithm="http://www.w3.org/2001/04/xmldsig-more#gostr3411"/&gt;&lt;DigestValue&gt;STfrH26hBnfREQWfy6rb82KY5nFtSDnRnUtY+wWIVtg=&lt;/DigestValue&gt;&lt;/Reference&gt;&lt;Reference Type="http://www.w3.org/TR/2002/REC-xmldsig-core-20020212/xmldsig-core-schema.xsd#X509Data" URI="#Id-keyinfo-652c4f52c7ca6bd610c59d34459b0c1c8604" Id="Id-keyinforef-cc0a54de508f23b8a8af87bfe5649a253efa"&gt;&lt;Transforms&gt;&lt;Transform Algorithm="http://www.w3.org/2001/10/xml-exc-c14n#"/&gt;&lt;/Transforms&gt;&lt;DigestMethod Algorithm="http://www.w3.org/2001/04/xmldsig-more#gostr3411"/&gt;&lt;DigestValue&gt;y8LJpxUvjUFPJjIlrfs2XTJx4XXqTs5mqcnRJ2c/htI=&lt;/DigestValue&gt;&lt;/Reference&gt;&lt;Reference URI="#Id-sp-d4225e8e1ad3a3adaa4e0eafcd7f3aaf1a08" Id="Id-ref-c038e25671ffb8f0a7627fa224417057e74f"&gt;&lt;Transforms&gt;&lt;Transform Algorithm="http://www.w3.org/2001/10/xml-exc-c14n#"/&gt;&lt;/Transforms&gt;&lt;DigestMethod Algorithm="http://www.w3.org/2001/04/xmldsig-more#gostr3411"/&gt;&lt;DigestValue&gt;1XCpnSzyx3HwrbMFh6ldchUTVHMbF9ymevEUOsJuy9o=&lt;/DigestValue&gt;&lt;/Reference&gt;&lt;/SignedInfo&gt;&lt;SignatureValue&gt;GWGs2NVncktGCuV9CcRew9vTe8PxZ4jzPcNXvEzimB3MFQja4IE8D9OSFJq1ejeH</w:t>
      </w:r>
    </w:p>
    <w:p w14:paraId="41A5986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O45HNZVR4Ckv6SNTq3AoAg==&lt;/SignatureValue&gt;&lt;KeyInfo Id="Id-keyinfo-652c4f52c7ca6bd610c59d34459b0c1c8604"&gt;&lt;X509Data&gt;&lt;X509Certificate&gt;MIIHbzCCBx6gAwIBAgIUCw+9bFynffs/n08sYLaljBr5oXAwCAYGKoUDAgIDMIIB</w:t>
      </w:r>
    </w:p>
    <w:p w14:paraId="08D4DC9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OTEgMB4GCSqGSIb3DQEJARYRdWNfZmtAcm9za2F6bmEucnUxGTAXBgNVBAgMENCz</w:t>
      </w:r>
    </w:p>
    <w:p w14:paraId="691F94F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LiDQnNC+0YHQutCy0LAxGjAYBggqhQMDgQMBARIMMDA3NzEwNTY4NzYwMRgwFgYF</w:t>
      </w:r>
    </w:p>
    <w:p w14:paraId="7BA3FC6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KoUDZAESDTEwNDc3OTcwMTk4MzAxLDAqBgNVBAkMI9GD0LvQuNGG0LAg0JjQu9GM</w:t>
      </w:r>
    </w:p>
    <w:p w14:paraId="5D17390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0LjQvdC60LAsINC00L7QvCA3MRUwEwYDVQQHDAzQnNC+0YHQutCy0LAxCzAJBgNV</w:t>
      </w:r>
    </w:p>
    <w:p w14:paraId="5EF4EA7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BAYTAlJVMTgwNgYDVQQKDC/QpNC10LTQtdGA0LDQu9GM0L3QvtC1INC60LDQt9C9</w:t>
      </w:r>
    </w:p>
    <w:p w14:paraId="74D38DE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0LDRh9C10LnRgdGC0LLQvjE4MDYGA1UEAwwv0KTQtdC00LXRgNCw0LvRjNC90L7Q</w:t>
      </w:r>
    </w:p>
    <w:p w14:paraId="72F8ADD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tSDQutCw0LfQvdCw0YfQtdC50YHRgtCy0L4wHhcNMTgwNDA1MTMzNDQ3WhcNMTkw</w:t>
      </w:r>
    </w:p>
    <w:p w14:paraId="4932DF5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NzA1MTMzNDQ3WjCCAS0xGjAYBggqhQMDgQMBARIMMDA3NzEwNTY4NzYwMRgwFgYF</w:t>
      </w:r>
    </w:p>
    <w:p w14:paraId="3FAFB1C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KoUDZAESDTEwNDc3OTcwMTk4MzAxIzAhBgNVBAkMGtGD0LsuINCY0LvRjNC40L3Q</w:t>
      </w:r>
    </w:p>
    <w:p w14:paraId="5244D61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utCwLCDQtC43MR4wHAYJKoZIhvcNAQkBFg83NzdAcm9za2F6bmEucnUxCzAJBgNV</w:t>
      </w:r>
    </w:p>
    <w:p w14:paraId="35D641A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BAYTAlJVMRgwFgYDVQQIDA/Qsy7QnNC+0YHQutCy0LAxFTATBgNVBAcMDNCc0L7R</w:t>
      </w:r>
    </w:p>
    <w:p w14:paraId="77A1122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gdC60LLQsDE4MDYGA1UECgwv0KTQtdC00LXRgNCw0LvRjNC90L7QtSDQutCw0LfQ</w:t>
      </w:r>
    </w:p>
    <w:p w14:paraId="79418F3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vdCw0YfQtdC50YHRgtCy0L4xODA2BgNVBAMML9Ck0LXQtNC10YDQsNC70YzQvdC+</w:t>
      </w:r>
    </w:p>
    <w:p w14:paraId="632054B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0LUg0LrQsNC30L3QsNGH0LXQudGB0YLQstC+MGMwHAYGKoUDAgITMBIGByqFAwIC</w:t>
      </w:r>
    </w:p>
    <w:p w14:paraId="6A5E2C8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IwEGByqFAwICHgEDQwAEQDmzpZ5HcFrSdwi3/h6QJ/jU0i6sTgtJqrYL/Tr+gxBg</w:t>
      </w:r>
    </w:p>
    <w:p w14:paraId="39DECDD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Ud3B/sLCyhk3sR3aCrZ0K4YlsFHVmbBhDYe62UsOcnOjggQCMIID/jAMBgNVHRMB</w:t>
      </w:r>
    </w:p>
    <w:p w14:paraId="338AD38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Af8EAjAAMB0GA1UdIAQWMBQwCAYGKoUDZHEBMAgGBiqFA2RxAjA2BgUqhQNkbwQt</w:t>
      </w:r>
    </w:p>
    <w:p w14:paraId="6FE1742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DCsi0JrRgNC40L/RgtC+0J/RgNC+IENTUCIgKNCy0LXRgNGB0LjRjyA0LjApMIIB</w:t>
      </w:r>
    </w:p>
    <w:p w14:paraId="3732BA8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MQYFKoUDZHAEggEmMIIBIgxEItCa0YDQuNC/0YLQvtCf0YDQviBDU1AiICjQstC1</w:t>
      </w:r>
    </w:p>
    <w:p w14:paraId="302B120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0YDRgdC40Y8gMy42KSAo0LjRgdC/0L7Qu9C90LXQvdC40LUgMikMaCLQn9GA0L7Q</w:t>
      </w:r>
    </w:p>
    <w:p w14:paraId="7F5F84D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s9GA0LDQvNC80L3Qvi3QsNC/0L/QsNGA0LDRgtC90YvQuSDQutC+0LzQv9C70LXQ</w:t>
      </w:r>
    </w:p>
    <w:p w14:paraId="0E77EDF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utGBICLQrtC90LjRgdC10YDRgi3Qk9Ce0KHQoiIuINCS0LXRgNGB0LjRjyAyLjEi</w:t>
      </w:r>
    </w:p>
    <w:p w14:paraId="29F1100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DB/ihJYgMTQ5LzcvNi01Njkg0L7RgiAyMS4xMi4yMDE3DE/QodC10YDRgtC40YTQ</w:t>
      </w:r>
    </w:p>
    <w:p w14:paraId="200164B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uNC60LDRgiDRgdC+0L7RgtCy0LXRgtGB0YLQstC40Y8g4oSWINCh0KQvMTI4LTI4</w:t>
      </w:r>
    </w:p>
    <w:p w14:paraId="7082925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Nzgg0L7RgiAyMC4wNi4yMDE2MA4GA1UdDwEB/wQEAwID+DAdBgNVHSUEFjAUBggr</w:t>
      </w:r>
    </w:p>
    <w:p w14:paraId="5C34A16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BgEFBQcDAgYIKwYBBQUHAwMwKwYDVR0QBCQwIoAPMjAxODA0MDUxMzM0NDVagQ8y</w:t>
      </w:r>
    </w:p>
    <w:p w14:paraId="6A20635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MDE5MDcwNTEzMzQ0NVowggGFBgNVHSMEggF8MIIBeIAUFlWRplFYxIksa1Fb0oUZ</w:t>
      </w:r>
    </w:p>
    <w:p w14:paraId="77904E5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CgFESCKhggFSpIIBTjCCAUoxHjAcBgkqhkiG9w0BCQEWD2RpdEBtaW5zdnlhei5y</w:t>
      </w:r>
    </w:p>
    <w:p w14:paraId="761AF10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dTELMAkGA1UEBhMCUlUxHDAaBgNVBAgMEzc3INCzLiDQnNC+0YHQutCy0LAxFTAT</w:t>
      </w:r>
    </w:p>
    <w:p w14:paraId="029D1F5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BgNVBAcMDNCc0L7RgdC60LLQsDE/MD0GA1UECQw2MTI1Mzc1INCzLiDQnNC+0YHQ</w:t>
      </w:r>
    </w:p>
    <w:p w14:paraId="60C7197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utCy0LAsINGD0LsuINCi0LLQtdGA0YHQutCw0Y8sINC0LiA3MSwwKgYDVQQKDCPQ</w:t>
      </w:r>
    </w:p>
    <w:p w14:paraId="5128455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nNC40L3QutC+0LzRgdCy0Y/Qt9GMINCg0L7RgdGB0LjQuDEYMBYGBSqFA2QBEg0x</w:t>
      </w:r>
    </w:p>
    <w:p w14:paraId="10FA09E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MDQ3NzAyMDI2NzAxMRowGAYIKoUDA4EDAQESDDAwNzcxMDQ3NDM3NTFBMD8GA1UE</w:t>
      </w:r>
    </w:p>
    <w:p w14:paraId="635ACC3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Aww40JPQvtC70L7QstC90L7QuSDRg9C00L7RgdGC0L7QstC10YDRj9GO0YnQuNC5</w:t>
      </w:r>
    </w:p>
    <w:p w14:paraId="2D58558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INGG0LXQvdGC0YCCCjas1FUAAAAAAS8wXgYDVR0fBFcwVTApoCegJYYjaHR0cDov</w:t>
      </w:r>
    </w:p>
    <w:p w14:paraId="30D530A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L2NybC5yb3NrYXpuYS5ydS9jcmwvdWNmay5jcmwwKKAmoCSGImh0dHA6Ly9jcmwu</w:t>
      </w:r>
    </w:p>
    <w:p w14:paraId="7DB9052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ZnNmay5sb2NhbC9jcmwvdWNmay5jcmwwHQYDVR0OBBYEFLkvJG7Rfzg6F53wdndv</w:t>
      </w:r>
    </w:p>
    <w:p w14:paraId="3E07C51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NLDQ/i3nMAgGBiqFAwICAwNBAH1LMUVqEV/HRyesHDkB5eBUk6qDOJwnOBHil2Y1</w:t>
      </w:r>
    </w:p>
    <w:p w14:paraId="4B21036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qNiUhWK7AqT93ErNsumpe8dDCswJmvps2nbQA7xwIJjzJjk=&lt;/X509Certificate&gt;&lt;/X509Data&gt;&lt;/KeyInfo&gt;&lt;Object&gt;&lt;QualifyingProperties xmlns="http://uri.etsi.org/01903/v1.4.1#" Target="Id-sig-5e337cbb1d62d06f76c39a73310fc3def892"&gt;&lt;SignedProperties Id="Id-sp-d4225e8e1ad3a3adaa4e0eafcd7f3aaf1a08"&gt;&lt;SignedSignatureProperties Id="Id-ssp-a0be83fe8058bf42487c6616379fb427836d"/&gt;&lt;/SignedProperties&gt;&lt;/QualifyingProperties&gt;&lt;/Object&gt;&lt;/Signature&gt;</w:t>
      </w:r>
    </w:p>
    <w:p w14:paraId="4C8C96E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264D5D">
        <w:rPr>
          <w:rFonts w:cs="Courier New"/>
          <w:sz w:val="20"/>
        </w:rPr>
        <w:t>&lt;/self:EXP_SDO&gt;</w:t>
      </w:r>
    </w:p>
    <w:p w14:paraId="4885175F" w14:textId="77777777" w:rsidR="00AD1F54" w:rsidRPr="00AD28B5" w:rsidRDefault="00941227">
      <w:pPr>
        <w:pStyle w:val="22"/>
        <w:rPr>
          <w:highlight w:val="green"/>
          <w:lang w:val="ru-RU"/>
        </w:rPr>
      </w:pPr>
      <w:bookmarkStart w:id="1687" w:name="OLE_LINK820"/>
      <w:bookmarkStart w:id="1688" w:name="_Ref46776882"/>
      <w:bookmarkStart w:id="1689" w:name="_Toc481690834"/>
      <w:bookmarkStart w:id="1690" w:name="_Ref482636122"/>
      <w:bookmarkStart w:id="1691" w:name="_Toc219309619"/>
      <w:bookmarkEnd w:id="1687"/>
      <w:r w:rsidRPr="00AD28B5">
        <w:rPr>
          <w:highlight w:val="green"/>
          <w:lang w:val="ru-RU"/>
        </w:rPr>
        <w:t>Описание документа «Уведомление об уточнении вида и принадлежности платежа» (ф. 0531809)</w:t>
      </w:r>
      <w:bookmarkEnd w:id="1688"/>
      <w:bookmarkEnd w:id="1691"/>
    </w:p>
    <w:p w14:paraId="34DE64FD" w14:textId="77777777" w:rsidR="00AD1F54" w:rsidRPr="00264D5D" w:rsidRDefault="00941227">
      <w:pPr>
        <w:pStyle w:val="31"/>
      </w:pPr>
      <w:bookmarkStart w:id="1692" w:name="_Toc219309620"/>
      <w:r w:rsidRPr="00264D5D">
        <w:t>Назначение и маршрут документа</w:t>
      </w:r>
      <w:bookmarkEnd w:id="1692"/>
    </w:p>
    <w:p w14:paraId="52D510B5" w14:textId="77777777" w:rsidR="00AD1F54" w:rsidRPr="00AD28B5" w:rsidRDefault="00941227" w:rsidP="00AD28B5">
      <w:pPr>
        <w:pStyle w:val="ASFKNormal"/>
        <w:widowControl w:val="0"/>
        <w:spacing w:before="60" w:after="120"/>
        <w:contextualSpacing w:val="0"/>
        <w:jc w:val="both"/>
        <w:rPr>
          <w:rFonts w:eastAsia="Calibri"/>
          <w:sz w:val="24"/>
        </w:rPr>
      </w:pPr>
      <w:r w:rsidRPr="00264D5D">
        <w:rPr>
          <w:rFonts w:eastAsia="Calibri"/>
          <w:sz w:val="24"/>
        </w:rPr>
        <w:t>Документ «Уведомление об уточнении вида и принадлежности платежа» (ф. 0531809) предназначен для уточнения (выяснения) вида и принадлежности поступлений, зачисленных на счета ТОФК, для осуществления зачета платежей, а также для уточнения операций по кассовым выплатам, отраженным на л/с клиентов ТОФК</w:t>
      </w:r>
      <w:r w:rsidRPr="00AD28B5">
        <w:rPr>
          <w:rFonts w:eastAsia="Calibri"/>
          <w:sz w:val="24"/>
          <w:highlight w:val="green"/>
        </w:rPr>
        <w:t>.</w:t>
      </w:r>
    </w:p>
    <w:p w14:paraId="52EEBE94" w14:textId="5C6451EB" w:rsidR="00AD1F54" w:rsidRPr="00AD28B5" w:rsidRDefault="001E5517">
      <w:pPr>
        <w:pStyle w:val="GOSTNameTable"/>
        <w:numPr>
          <w:ilvl w:val="0"/>
          <w:numId w:val="2"/>
        </w:numPr>
        <w:ind w:left="425" w:hanging="357"/>
        <w:jc w:val="both"/>
        <w:rPr>
          <w:highlight w:val="green"/>
        </w:rPr>
      </w:pPr>
      <w:r w:rsidRPr="00AD28B5">
        <w:rPr>
          <w:noProof/>
          <w:highlight w:val="green"/>
        </w:rPr>
        <w:fldChar w:fldCharType="begin"/>
      </w:r>
      <w:r w:rsidRPr="00AD28B5">
        <w:rPr>
          <w:noProof/>
          <w:highlight w:val="green"/>
        </w:rPr>
        <w:instrText xml:space="preserve"> SEQ Таблица \* ARABIC </w:instrText>
      </w:r>
      <w:r w:rsidRPr="00AD28B5">
        <w:rPr>
          <w:noProof/>
          <w:highlight w:val="green"/>
        </w:rPr>
        <w:fldChar w:fldCharType="separate"/>
      </w:r>
      <w:bookmarkStart w:id="1693" w:name="_Toc219309194"/>
      <w:r w:rsidR="008D797C">
        <w:rPr>
          <w:noProof/>
          <w:highlight w:val="green"/>
        </w:rPr>
        <w:t>164</w:t>
      </w:r>
      <w:r w:rsidRPr="00AD28B5">
        <w:rPr>
          <w:noProof/>
          <w:highlight w:val="green"/>
        </w:rPr>
        <w:fldChar w:fldCharType="end"/>
      </w:r>
      <w:r w:rsidR="00941227" w:rsidRPr="00AD28B5">
        <w:rPr>
          <w:rFonts w:eastAsia="Calibri"/>
          <w:szCs w:val="24"/>
          <w:highlight w:val="green"/>
        </w:rPr>
        <w:t xml:space="preserve"> – </w:t>
      </w:r>
      <w:r w:rsidR="00941227" w:rsidRPr="00AD28B5">
        <w:rPr>
          <w:highlight w:val="green"/>
        </w:rPr>
        <w:t>Маршрут документа «</w:t>
      </w:r>
      <w:r w:rsidR="00941227" w:rsidRPr="00AD28B5">
        <w:rPr>
          <w:rFonts w:eastAsia="Calibri"/>
          <w:highlight w:val="green"/>
        </w:rPr>
        <w:t>Уведомление об уточнении вида и принадлежности платежа» (ф. 0531809)</w:t>
      </w:r>
      <w:bookmarkEnd w:id="1693"/>
    </w:p>
    <w:tbl>
      <w:tblPr>
        <w:tblStyle w:val="GOSTTable"/>
        <w:tblW w:w="5000" w:type="pct"/>
        <w:tblLayout w:type="fixed"/>
        <w:tblLook w:val="01E0" w:firstRow="1" w:lastRow="1" w:firstColumn="1" w:lastColumn="1" w:noHBand="0" w:noVBand="0"/>
      </w:tblPr>
      <w:tblGrid>
        <w:gridCol w:w="2556"/>
        <w:gridCol w:w="2556"/>
        <w:gridCol w:w="4538"/>
      </w:tblGrid>
      <w:tr w:rsidR="00AD1F54" w:rsidRPr="00264D5D" w14:paraId="5907608C" w14:textId="77777777" w:rsidTr="00AD28B5">
        <w:trPr>
          <w:cnfStyle w:val="100000000000" w:firstRow="1" w:lastRow="0" w:firstColumn="0" w:lastColumn="0" w:oddVBand="0" w:evenVBand="0" w:oddHBand="0" w:evenHBand="0" w:firstRowFirstColumn="0" w:firstRowLastColumn="0" w:lastRowFirstColumn="0" w:lastRowLastColumn="0"/>
          <w:trHeight w:val="96"/>
          <w:tblHeader/>
        </w:trPr>
        <w:tc>
          <w:tcPr>
            <w:tcW w:w="2556" w:type="dxa"/>
          </w:tcPr>
          <w:p w14:paraId="2C1210E7" w14:textId="77777777" w:rsidR="00AD1F54" w:rsidRPr="00264D5D" w:rsidRDefault="00941227">
            <w:pPr>
              <w:pStyle w:val="ASFKTableHead"/>
            </w:pPr>
            <w:r w:rsidRPr="00264D5D">
              <w:t>Отправитель</w:t>
            </w:r>
          </w:p>
        </w:tc>
        <w:tc>
          <w:tcPr>
            <w:tcW w:w="2556" w:type="dxa"/>
          </w:tcPr>
          <w:p w14:paraId="4C1F3F4A" w14:textId="77777777" w:rsidR="00AD1F54" w:rsidRPr="00264D5D" w:rsidRDefault="00941227">
            <w:pPr>
              <w:pStyle w:val="ASFKTableHead"/>
            </w:pPr>
            <w:r w:rsidRPr="00264D5D">
              <w:t>Получатель</w:t>
            </w:r>
          </w:p>
        </w:tc>
        <w:tc>
          <w:tcPr>
            <w:tcW w:w="4538" w:type="dxa"/>
          </w:tcPr>
          <w:p w14:paraId="65CBDDC3" w14:textId="77777777" w:rsidR="00AD1F54" w:rsidRPr="00264D5D" w:rsidRDefault="00941227">
            <w:pPr>
              <w:pStyle w:val="ASFKTableHead"/>
            </w:pPr>
            <w:r w:rsidRPr="00264D5D">
              <w:t>Примечание</w:t>
            </w:r>
          </w:p>
        </w:tc>
      </w:tr>
      <w:tr w:rsidR="00AD1F54" w:rsidRPr="00264D5D" w14:paraId="10CFD8D1" w14:textId="77777777" w:rsidTr="00AD28B5">
        <w:trPr>
          <w:cnfStyle w:val="000000100000" w:firstRow="0" w:lastRow="0" w:firstColumn="0" w:lastColumn="0" w:oddVBand="0" w:evenVBand="0" w:oddHBand="1" w:evenHBand="0" w:firstRowFirstColumn="0" w:firstRowLastColumn="0" w:lastRowFirstColumn="0" w:lastRowLastColumn="0"/>
        </w:trPr>
        <w:tc>
          <w:tcPr>
            <w:tcW w:w="2556" w:type="dxa"/>
          </w:tcPr>
          <w:p w14:paraId="0B0FCB7B" w14:textId="77777777" w:rsidR="00AD1F54" w:rsidRPr="00264D5D" w:rsidRDefault="00941227">
            <w:pPr>
              <w:pStyle w:val="GOSTTablenorm"/>
              <w:rPr>
                <w:szCs w:val="22"/>
              </w:rPr>
            </w:pPr>
            <w:r w:rsidRPr="00264D5D">
              <w:rPr>
                <w:szCs w:val="28"/>
              </w:rPr>
              <w:t>ПБС (ПФХД)</w:t>
            </w:r>
          </w:p>
        </w:tc>
        <w:tc>
          <w:tcPr>
            <w:tcW w:w="2556" w:type="dxa"/>
          </w:tcPr>
          <w:p w14:paraId="77FDE162" w14:textId="77777777" w:rsidR="00AD1F54" w:rsidRPr="00264D5D" w:rsidRDefault="00941227">
            <w:pPr>
              <w:pStyle w:val="GOSTTablenorm"/>
              <w:rPr>
                <w:szCs w:val="22"/>
              </w:rPr>
            </w:pPr>
            <w:r w:rsidRPr="00264D5D">
              <w:t>ТОФК (ПУР ЭБ)</w:t>
            </w:r>
          </w:p>
        </w:tc>
        <w:tc>
          <w:tcPr>
            <w:tcW w:w="4538" w:type="dxa"/>
          </w:tcPr>
          <w:p w14:paraId="61BC532D" w14:textId="77777777" w:rsidR="00AD1F54" w:rsidRPr="00264D5D" w:rsidRDefault="00AD1F54">
            <w:pPr>
              <w:pStyle w:val="ASFKTablenorm"/>
              <w:rPr>
                <w:sz w:val="22"/>
              </w:rPr>
            </w:pPr>
          </w:p>
        </w:tc>
      </w:tr>
      <w:tr w:rsidR="00AD28B5" w:rsidRPr="00264D5D" w14:paraId="6FC659B3" w14:textId="77777777" w:rsidTr="00AD28B5">
        <w:trPr>
          <w:cnfStyle w:val="000000010000" w:firstRow="0" w:lastRow="0" w:firstColumn="0" w:lastColumn="0" w:oddVBand="0" w:evenVBand="0" w:oddHBand="0" w:evenHBand="1" w:firstRowFirstColumn="0" w:firstRowLastColumn="0" w:lastRowFirstColumn="0" w:lastRowLastColumn="0"/>
        </w:trPr>
        <w:tc>
          <w:tcPr>
            <w:tcW w:w="2556" w:type="dxa"/>
          </w:tcPr>
          <w:p w14:paraId="10BD79E2" w14:textId="77777777" w:rsidR="00AD28B5" w:rsidRPr="00FB5B85" w:rsidRDefault="00AD28B5" w:rsidP="00AD28B5">
            <w:pPr>
              <w:pStyle w:val="GOSTTablenorm"/>
              <w:rPr>
                <w:szCs w:val="22"/>
                <w:highlight w:val="green"/>
              </w:rPr>
            </w:pPr>
            <w:r>
              <w:rPr>
                <w:szCs w:val="22"/>
                <w:highlight w:val="green"/>
              </w:rPr>
              <w:t>ТОФК (ПУР ЭБ)</w:t>
            </w:r>
          </w:p>
        </w:tc>
        <w:tc>
          <w:tcPr>
            <w:tcW w:w="2556" w:type="dxa"/>
          </w:tcPr>
          <w:p w14:paraId="4FF9902B" w14:textId="77777777" w:rsidR="00AD28B5" w:rsidRPr="00FB5B85" w:rsidRDefault="00AD28B5" w:rsidP="00AD28B5">
            <w:pPr>
              <w:pStyle w:val="GOSTTablenorm"/>
              <w:rPr>
                <w:szCs w:val="22"/>
                <w:highlight w:val="green"/>
              </w:rPr>
            </w:pPr>
            <w:r w:rsidRPr="00EC0285">
              <w:rPr>
                <w:szCs w:val="22"/>
                <w:highlight w:val="green"/>
              </w:rPr>
              <w:t>ПБС</w:t>
            </w:r>
            <w:r>
              <w:rPr>
                <w:szCs w:val="22"/>
                <w:highlight w:val="green"/>
              </w:rPr>
              <w:t>, ИПБС, АИФДБ (</w:t>
            </w:r>
            <w:r w:rsidRPr="00EC0285">
              <w:rPr>
                <w:szCs w:val="22"/>
                <w:highlight w:val="green"/>
              </w:rPr>
              <w:t>ПФХД)</w:t>
            </w:r>
          </w:p>
        </w:tc>
        <w:tc>
          <w:tcPr>
            <w:tcW w:w="4538" w:type="dxa"/>
            <w:vMerge w:val="restart"/>
          </w:tcPr>
          <w:p w14:paraId="341C9CE3" w14:textId="77777777" w:rsidR="00AD28B5" w:rsidRPr="00FB5B85" w:rsidRDefault="00AD28B5" w:rsidP="00AD28B5">
            <w:pPr>
              <w:pStyle w:val="GOSTTablenorm"/>
              <w:rPr>
                <w:szCs w:val="22"/>
                <w:highlight w:val="green"/>
              </w:rPr>
            </w:pPr>
            <w:r w:rsidRPr="00FB5B85">
              <w:rPr>
                <w:szCs w:val="22"/>
                <w:highlight w:val="green"/>
              </w:rPr>
              <w:t>Передается в виде вложения в блоке «attachments» к документам:</w:t>
            </w:r>
          </w:p>
          <w:p w14:paraId="48BB6D15" w14:textId="77777777" w:rsidR="00AD28B5" w:rsidRPr="00FB5B85" w:rsidRDefault="00AD28B5" w:rsidP="00AD28B5">
            <w:pPr>
              <w:pStyle w:val="GOSTTablenorm"/>
              <w:numPr>
                <w:ilvl w:val="0"/>
                <w:numId w:val="164"/>
              </w:numPr>
              <w:spacing w:before="0" w:after="0"/>
              <w:ind w:left="284" w:hanging="227"/>
              <w:rPr>
                <w:szCs w:val="22"/>
                <w:highlight w:val="green"/>
              </w:rPr>
            </w:pPr>
            <w:r w:rsidRPr="00FB5B85">
              <w:rPr>
                <w:szCs w:val="22"/>
                <w:highlight w:val="green"/>
              </w:rPr>
              <w:t>«Выписка из лицевого счета для учета операций со средствами, поступающими во временное распоряжение получателя бюджетных средств» (ф. 0531762),</w:t>
            </w:r>
          </w:p>
          <w:p w14:paraId="59549672" w14:textId="77777777" w:rsidR="00AD28B5" w:rsidRPr="00FB5B85" w:rsidRDefault="00AD28B5" w:rsidP="00AD28B5">
            <w:pPr>
              <w:pStyle w:val="GOSTTablenorm"/>
              <w:numPr>
                <w:ilvl w:val="0"/>
                <w:numId w:val="164"/>
              </w:numPr>
              <w:spacing w:before="0" w:after="0"/>
              <w:ind w:left="284" w:hanging="227"/>
              <w:rPr>
                <w:szCs w:val="22"/>
                <w:highlight w:val="green"/>
              </w:rPr>
            </w:pPr>
            <w:r w:rsidRPr="00FB5B85">
              <w:rPr>
                <w:szCs w:val="22"/>
                <w:highlight w:val="green"/>
              </w:rPr>
              <w:t xml:space="preserve">«Выписка из лицевого счета получателя бюджетных средств», </w:t>
            </w:r>
          </w:p>
          <w:p w14:paraId="1D1C68C3" w14:textId="77777777" w:rsidR="00AD28B5" w:rsidRPr="00FB5B85" w:rsidRDefault="00AD28B5" w:rsidP="00AD28B5">
            <w:pPr>
              <w:pStyle w:val="GOSTTablenorm"/>
              <w:numPr>
                <w:ilvl w:val="0"/>
                <w:numId w:val="164"/>
              </w:numPr>
              <w:spacing w:before="0" w:after="0"/>
              <w:ind w:left="284" w:hanging="227"/>
              <w:rPr>
                <w:szCs w:val="22"/>
                <w:highlight w:val="green"/>
              </w:rPr>
            </w:pPr>
            <w:r w:rsidRPr="00FB5B85">
              <w:rPr>
                <w:szCs w:val="22"/>
                <w:highlight w:val="green"/>
              </w:rPr>
              <w:t>«Выписка из лицевого счета иного получателя бюджетных средств»,</w:t>
            </w:r>
          </w:p>
          <w:p w14:paraId="65EBB00B" w14:textId="77777777" w:rsidR="00AD28B5" w:rsidRPr="00FB5B85" w:rsidRDefault="00AD28B5" w:rsidP="00AD28B5">
            <w:pPr>
              <w:pStyle w:val="GOSTTablenorm"/>
              <w:numPr>
                <w:ilvl w:val="0"/>
                <w:numId w:val="164"/>
              </w:numPr>
              <w:spacing w:before="0" w:after="0"/>
              <w:ind w:left="284" w:hanging="227"/>
              <w:rPr>
                <w:szCs w:val="22"/>
                <w:highlight w:val="green"/>
              </w:rPr>
            </w:pPr>
            <w:r w:rsidRPr="00FB5B85">
              <w:rPr>
                <w:szCs w:val="22"/>
                <w:highlight w:val="green"/>
              </w:rPr>
              <w:t xml:space="preserve">«Выписка из лицевого счета администратора источников финансирования дефицита бюджета» </w:t>
            </w:r>
          </w:p>
          <w:p w14:paraId="1DCD8079" w14:textId="77777777" w:rsidR="00AD28B5" w:rsidRPr="00264D5D" w:rsidRDefault="00AD28B5" w:rsidP="00AD28B5">
            <w:pPr>
              <w:pStyle w:val="ASFKTablenorm"/>
              <w:rPr>
                <w:sz w:val="22"/>
              </w:rPr>
            </w:pPr>
            <w:r w:rsidRPr="00FB5B85">
              <w:rPr>
                <w:sz w:val="22"/>
                <w:szCs w:val="22"/>
                <w:highlight w:val="green"/>
              </w:rPr>
              <w:t>в форматах, предусмотренных настоящим Альбомом ТФО</w:t>
            </w:r>
          </w:p>
        </w:tc>
      </w:tr>
      <w:tr w:rsidR="00AD28B5" w:rsidRPr="00264D5D" w14:paraId="63161564" w14:textId="77777777" w:rsidTr="00AD28B5">
        <w:trPr>
          <w:cnfStyle w:val="000000100000" w:firstRow="0" w:lastRow="0" w:firstColumn="0" w:lastColumn="0" w:oddVBand="0" w:evenVBand="0" w:oddHBand="1" w:evenHBand="0" w:firstRowFirstColumn="0" w:firstRowLastColumn="0" w:lastRowFirstColumn="0" w:lastRowLastColumn="0"/>
        </w:trPr>
        <w:tc>
          <w:tcPr>
            <w:tcW w:w="2556" w:type="dxa"/>
          </w:tcPr>
          <w:p w14:paraId="276C2DA0" w14:textId="77777777" w:rsidR="00AD28B5" w:rsidRPr="00FB5B85" w:rsidRDefault="00AD28B5" w:rsidP="00AD28B5">
            <w:pPr>
              <w:pStyle w:val="GOSTTablenorm"/>
              <w:rPr>
                <w:szCs w:val="22"/>
                <w:highlight w:val="green"/>
              </w:rPr>
            </w:pPr>
            <w:r>
              <w:rPr>
                <w:szCs w:val="22"/>
                <w:highlight w:val="green"/>
              </w:rPr>
              <w:t>ТОФК (ПУР ЭБ)</w:t>
            </w:r>
          </w:p>
        </w:tc>
        <w:tc>
          <w:tcPr>
            <w:tcW w:w="2556" w:type="dxa"/>
          </w:tcPr>
          <w:p w14:paraId="7C1F27DE" w14:textId="77777777" w:rsidR="00AD28B5" w:rsidRPr="00FB5B85" w:rsidRDefault="00065F49" w:rsidP="00AD28B5">
            <w:pPr>
              <w:pStyle w:val="GOSTTablenorm"/>
              <w:rPr>
                <w:szCs w:val="22"/>
                <w:highlight w:val="green"/>
              </w:rPr>
            </w:pPr>
            <w:r w:rsidRPr="00F406A7">
              <w:rPr>
                <w:szCs w:val="22"/>
                <w:highlight w:val="green"/>
              </w:rPr>
              <w:t>ПБС, ИПБС</w:t>
            </w:r>
          </w:p>
        </w:tc>
        <w:tc>
          <w:tcPr>
            <w:tcW w:w="4538" w:type="dxa"/>
            <w:vMerge/>
          </w:tcPr>
          <w:p w14:paraId="52495A32" w14:textId="77777777" w:rsidR="00AD28B5" w:rsidRPr="00264D5D" w:rsidRDefault="00AD28B5" w:rsidP="00AD28B5">
            <w:pPr>
              <w:pStyle w:val="GOSTTablenorm"/>
            </w:pPr>
          </w:p>
        </w:tc>
      </w:tr>
      <w:tr w:rsidR="00AD28B5" w:rsidRPr="00264D5D" w14:paraId="2B78C09A" w14:textId="77777777" w:rsidTr="00AD28B5">
        <w:trPr>
          <w:cnfStyle w:val="000000010000" w:firstRow="0" w:lastRow="0" w:firstColumn="0" w:lastColumn="0" w:oddVBand="0" w:evenVBand="0" w:oddHBand="0" w:evenHBand="1" w:firstRowFirstColumn="0" w:firstRowLastColumn="0" w:lastRowFirstColumn="0" w:lastRowLastColumn="0"/>
        </w:trPr>
        <w:tc>
          <w:tcPr>
            <w:tcW w:w="2556" w:type="dxa"/>
          </w:tcPr>
          <w:p w14:paraId="613F8660" w14:textId="77777777" w:rsidR="00AD28B5" w:rsidRPr="00330BFF" w:rsidRDefault="00AD28B5" w:rsidP="00AD28B5">
            <w:pPr>
              <w:pStyle w:val="GOSTTablenorm"/>
              <w:rPr>
                <w:szCs w:val="22"/>
              </w:rPr>
            </w:pPr>
            <w:r>
              <w:rPr>
                <w:szCs w:val="22"/>
              </w:rPr>
              <w:t>ПБС</w:t>
            </w:r>
          </w:p>
        </w:tc>
        <w:tc>
          <w:tcPr>
            <w:tcW w:w="2556" w:type="dxa"/>
          </w:tcPr>
          <w:p w14:paraId="5D13040A" w14:textId="77777777" w:rsidR="00AD28B5" w:rsidRPr="00330BFF" w:rsidRDefault="00AD28B5" w:rsidP="00AD28B5">
            <w:pPr>
              <w:pStyle w:val="GOSTTablenorm"/>
              <w:rPr>
                <w:szCs w:val="22"/>
              </w:rPr>
            </w:pPr>
            <w:r>
              <w:rPr>
                <w:szCs w:val="22"/>
              </w:rPr>
              <w:t>ТОФК (ПУР ЭБ)</w:t>
            </w:r>
          </w:p>
        </w:tc>
        <w:tc>
          <w:tcPr>
            <w:tcW w:w="4538" w:type="dxa"/>
          </w:tcPr>
          <w:p w14:paraId="3D8ED471" w14:textId="77777777" w:rsidR="00AD28B5" w:rsidRPr="00264D5D" w:rsidRDefault="00AD28B5" w:rsidP="00AD28B5">
            <w:pPr>
              <w:pStyle w:val="GOSTTablenorm"/>
              <w:rPr>
                <w:szCs w:val="22"/>
              </w:rPr>
            </w:pPr>
          </w:p>
        </w:tc>
      </w:tr>
      <w:tr w:rsidR="00AD28B5" w:rsidRPr="00264D5D" w14:paraId="67D95852" w14:textId="77777777" w:rsidTr="00AD28B5">
        <w:trPr>
          <w:cnfStyle w:val="000000100000" w:firstRow="0" w:lastRow="0" w:firstColumn="0" w:lastColumn="0" w:oddVBand="0" w:evenVBand="0" w:oddHBand="1" w:evenHBand="0" w:firstRowFirstColumn="0" w:firstRowLastColumn="0" w:lastRowFirstColumn="0" w:lastRowLastColumn="0"/>
        </w:trPr>
        <w:tc>
          <w:tcPr>
            <w:tcW w:w="2556" w:type="dxa"/>
          </w:tcPr>
          <w:p w14:paraId="5281ADB5" w14:textId="77777777" w:rsidR="00AD28B5" w:rsidRPr="00264D5D" w:rsidRDefault="00AD28B5" w:rsidP="00AD28B5">
            <w:pPr>
              <w:pStyle w:val="GOSTTablenorm"/>
            </w:pPr>
            <w:r w:rsidRPr="00264D5D">
              <w:rPr>
                <w:szCs w:val="22"/>
              </w:rPr>
              <w:t>ТОФК (ПУР ЭБ)</w:t>
            </w:r>
          </w:p>
        </w:tc>
        <w:tc>
          <w:tcPr>
            <w:tcW w:w="2556" w:type="dxa"/>
          </w:tcPr>
          <w:p w14:paraId="53F1E9D2" w14:textId="77777777" w:rsidR="00AD28B5" w:rsidRPr="00264D5D" w:rsidRDefault="00AD28B5" w:rsidP="00AD28B5">
            <w:pPr>
              <w:pStyle w:val="GOSTTablenorm"/>
              <w:rPr>
                <w:szCs w:val="22"/>
              </w:rPr>
            </w:pPr>
            <w:r w:rsidRPr="00264D5D">
              <w:rPr>
                <w:szCs w:val="22"/>
              </w:rPr>
              <w:t>ЕИС</w:t>
            </w:r>
          </w:p>
        </w:tc>
        <w:tc>
          <w:tcPr>
            <w:tcW w:w="4538" w:type="dxa"/>
          </w:tcPr>
          <w:p w14:paraId="02A3FACE" w14:textId="77777777" w:rsidR="00AD28B5" w:rsidRPr="00264D5D" w:rsidRDefault="00AD28B5" w:rsidP="00AD28B5">
            <w:pPr>
              <w:pStyle w:val="GOSTTablenorm"/>
              <w:rPr>
                <w:szCs w:val="22"/>
              </w:rPr>
            </w:pPr>
          </w:p>
        </w:tc>
      </w:tr>
      <w:tr w:rsidR="00AD28B5" w:rsidRPr="00264D5D" w14:paraId="2C15C568" w14:textId="77777777" w:rsidTr="00AD28B5">
        <w:trPr>
          <w:cnfStyle w:val="000000010000" w:firstRow="0" w:lastRow="0" w:firstColumn="0" w:lastColumn="0" w:oddVBand="0" w:evenVBand="0" w:oddHBand="0" w:evenHBand="1" w:firstRowFirstColumn="0" w:firstRowLastColumn="0" w:lastRowFirstColumn="0" w:lastRowLastColumn="0"/>
        </w:trPr>
        <w:tc>
          <w:tcPr>
            <w:tcW w:w="2556" w:type="dxa"/>
          </w:tcPr>
          <w:p w14:paraId="181E376E" w14:textId="77777777" w:rsidR="00AD28B5" w:rsidRPr="00264D5D" w:rsidRDefault="00AD28B5" w:rsidP="00AD28B5">
            <w:pPr>
              <w:pStyle w:val="GOSTTablenorm"/>
            </w:pPr>
            <w:r w:rsidRPr="00264D5D">
              <w:rPr>
                <w:szCs w:val="22"/>
              </w:rPr>
              <w:t>ТОФК (ППО АСФК)</w:t>
            </w:r>
          </w:p>
        </w:tc>
        <w:tc>
          <w:tcPr>
            <w:tcW w:w="2556" w:type="dxa"/>
          </w:tcPr>
          <w:p w14:paraId="5A41482F" w14:textId="77777777" w:rsidR="00AD28B5" w:rsidRPr="00264D5D" w:rsidRDefault="00AD28B5" w:rsidP="00AD28B5">
            <w:pPr>
              <w:pStyle w:val="GOSTTablenorm"/>
              <w:rPr>
                <w:szCs w:val="22"/>
              </w:rPr>
            </w:pPr>
            <w:r w:rsidRPr="00264D5D">
              <w:rPr>
                <w:szCs w:val="22"/>
              </w:rPr>
              <w:t>ЕИС</w:t>
            </w:r>
          </w:p>
        </w:tc>
        <w:tc>
          <w:tcPr>
            <w:tcW w:w="4538" w:type="dxa"/>
          </w:tcPr>
          <w:p w14:paraId="157B0905" w14:textId="77777777" w:rsidR="00AD28B5" w:rsidRPr="00264D5D" w:rsidRDefault="00AD28B5" w:rsidP="00AD28B5">
            <w:pPr>
              <w:pStyle w:val="GOSTTablenorm"/>
              <w:rPr>
                <w:szCs w:val="22"/>
              </w:rPr>
            </w:pPr>
          </w:p>
        </w:tc>
      </w:tr>
    </w:tbl>
    <w:p w14:paraId="5A42F049" w14:textId="77777777" w:rsidR="00AD1F54" w:rsidRPr="00264D5D" w:rsidRDefault="00941227">
      <w:pPr>
        <w:pStyle w:val="31"/>
      </w:pPr>
      <w:bookmarkStart w:id="1694" w:name="_Toc219309621"/>
      <w:r w:rsidRPr="00264D5D">
        <w:lastRenderedPageBreak/>
        <w:t>Описание комплексного типа «</w:t>
      </w:r>
      <w:bookmarkStart w:id="1695" w:name="OLE_LINK17"/>
      <w:bookmarkStart w:id="1696" w:name="OLE_LINK18"/>
      <w:bookmarkStart w:id="1697" w:name="OLE_LINK19"/>
      <w:r w:rsidRPr="00264D5D">
        <w:t>tMSC_NtcClrTpPy</w:t>
      </w:r>
      <w:bookmarkEnd w:id="1695"/>
      <w:bookmarkEnd w:id="1696"/>
      <w:bookmarkEnd w:id="1697"/>
      <w:r w:rsidRPr="00264D5D">
        <w:t>»</w:t>
      </w:r>
      <w:bookmarkEnd w:id="1694"/>
    </w:p>
    <w:p w14:paraId="550901A0" w14:textId="208D534D" w:rsidR="00AD1F54" w:rsidRPr="00264D5D" w:rsidRDefault="001E5517">
      <w:pPr>
        <w:pStyle w:val="GOSTNameTable"/>
        <w:numPr>
          <w:ilvl w:val="0"/>
          <w:numId w:val="2"/>
        </w:numPr>
        <w:ind w:left="425" w:hanging="357"/>
      </w:pPr>
      <w:r w:rsidRPr="00264D5D">
        <w:rPr>
          <w:noProof/>
        </w:rPr>
        <w:fldChar w:fldCharType="begin"/>
      </w:r>
      <w:r w:rsidRPr="00264D5D">
        <w:rPr>
          <w:noProof/>
        </w:rPr>
        <w:instrText xml:space="preserve"> SEQ Таблица \* ARABIC </w:instrText>
      </w:r>
      <w:r w:rsidRPr="00264D5D">
        <w:rPr>
          <w:noProof/>
        </w:rPr>
        <w:fldChar w:fldCharType="separate"/>
      </w:r>
      <w:bookmarkStart w:id="1698" w:name="_Toc219309195"/>
      <w:r w:rsidR="008D797C">
        <w:rPr>
          <w:noProof/>
        </w:rPr>
        <w:t>165</w:t>
      </w:r>
      <w:r w:rsidRPr="00264D5D">
        <w:rPr>
          <w:noProof/>
        </w:rPr>
        <w:fldChar w:fldCharType="end"/>
      </w:r>
      <w:r w:rsidR="00941227" w:rsidRPr="00264D5D">
        <w:rPr>
          <w:rFonts w:eastAsia="Calibri"/>
          <w:szCs w:val="24"/>
        </w:rPr>
        <w:t xml:space="preserve"> – </w:t>
      </w:r>
      <w:r w:rsidR="00941227" w:rsidRPr="00264D5D">
        <w:t>Описание комплексного типа «</w:t>
      </w:r>
      <w:r w:rsidR="00941227" w:rsidRPr="00264D5D">
        <w:rPr>
          <w:lang w:val="en-US"/>
        </w:rPr>
        <w:t>tMSC</w:t>
      </w:r>
      <w:r w:rsidR="00941227" w:rsidRPr="00264D5D">
        <w:t>_</w:t>
      </w:r>
      <w:r w:rsidR="00941227" w:rsidRPr="00264D5D">
        <w:rPr>
          <w:lang w:val="en-US"/>
        </w:rPr>
        <w:t>NtcClrTpPy</w:t>
      </w:r>
      <w:r w:rsidR="00941227" w:rsidRPr="00264D5D">
        <w:t>»</w:t>
      </w:r>
      <w:bookmarkEnd w:id="1698"/>
    </w:p>
    <w:tbl>
      <w:tblPr>
        <w:tblStyle w:val="GOSTTable"/>
        <w:tblW w:w="9634" w:type="dxa"/>
        <w:tblLayout w:type="fixed"/>
        <w:tblLook w:val="01E0" w:firstRow="1" w:lastRow="1" w:firstColumn="1" w:lastColumn="1" w:noHBand="0" w:noVBand="0"/>
      </w:tblPr>
      <w:tblGrid>
        <w:gridCol w:w="1701"/>
        <w:gridCol w:w="1701"/>
        <w:gridCol w:w="567"/>
        <w:gridCol w:w="1134"/>
        <w:gridCol w:w="567"/>
        <w:gridCol w:w="3964"/>
      </w:tblGrid>
      <w:tr w:rsidR="00AD1F54" w:rsidRPr="00264D5D" w14:paraId="73DFA07E" w14:textId="77777777" w:rsidTr="00B90B6A">
        <w:trPr>
          <w:cnfStyle w:val="100000000000" w:firstRow="1" w:lastRow="0" w:firstColumn="0" w:lastColumn="0" w:oddVBand="0" w:evenVBand="0" w:oddHBand="0" w:evenHBand="0" w:firstRowFirstColumn="0" w:firstRowLastColumn="0" w:lastRowFirstColumn="0" w:lastRowLastColumn="0"/>
          <w:tblHeader/>
        </w:trPr>
        <w:tc>
          <w:tcPr>
            <w:tcW w:w="1701" w:type="dxa"/>
          </w:tcPr>
          <w:p w14:paraId="5590408C" w14:textId="77777777" w:rsidR="00AD1F54" w:rsidRPr="00264D5D" w:rsidRDefault="00941227">
            <w:pPr>
              <w:pStyle w:val="ASFKTableHead"/>
            </w:pPr>
            <w:r w:rsidRPr="00264D5D">
              <w:t>Наименование элемента</w:t>
            </w:r>
          </w:p>
        </w:tc>
        <w:tc>
          <w:tcPr>
            <w:tcW w:w="1701" w:type="dxa"/>
          </w:tcPr>
          <w:p w14:paraId="1A092A81" w14:textId="77777777" w:rsidR="00AD1F54" w:rsidRPr="00264D5D" w:rsidRDefault="00941227">
            <w:pPr>
              <w:pStyle w:val="ASFKTableHead"/>
            </w:pPr>
            <w:r w:rsidRPr="00264D5D">
              <w:t>Сокращенное наименование (код) элемента</w:t>
            </w:r>
          </w:p>
        </w:tc>
        <w:tc>
          <w:tcPr>
            <w:tcW w:w="567" w:type="dxa"/>
          </w:tcPr>
          <w:p w14:paraId="6CB06310" w14:textId="77777777" w:rsidR="00AD1F54" w:rsidRPr="00264D5D" w:rsidRDefault="00941227">
            <w:pPr>
              <w:pStyle w:val="ASFKTableHead"/>
            </w:pPr>
            <w:r w:rsidRPr="00264D5D">
              <w:t>Тип</w:t>
            </w:r>
          </w:p>
        </w:tc>
        <w:tc>
          <w:tcPr>
            <w:tcW w:w="1134" w:type="dxa"/>
          </w:tcPr>
          <w:p w14:paraId="45D5529A" w14:textId="77777777" w:rsidR="00AD1F54" w:rsidRPr="00264D5D" w:rsidRDefault="00941227">
            <w:pPr>
              <w:pStyle w:val="ASFKTableHead"/>
            </w:pPr>
            <w:r w:rsidRPr="00264D5D">
              <w:t>Формат элемента</w:t>
            </w:r>
          </w:p>
        </w:tc>
        <w:tc>
          <w:tcPr>
            <w:tcW w:w="567" w:type="dxa"/>
          </w:tcPr>
          <w:p w14:paraId="23CEA61A" w14:textId="77777777" w:rsidR="00AD1F54" w:rsidRPr="00264D5D" w:rsidRDefault="00941227">
            <w:pPr>
              <w:pStyle w:val="ASFKTableHead"/>
            </w:pPr>
            <w:r w:rsidRPr="00264D5D">
              <w:t>Обязательность</w:t>
            </w:r>
          </w:p>
        </w:tc>
        <w:tc>
          <w:tcPr>
            <w:tcW w:w="3964" w:type="dxa"/>
          </w:tcPr>
          <w:p w14:paraId="49C70A36" w14:textId="77777777" w:rsidR="00AD1F54" w:rsidRPr="00264D5D" w:rsidRDefault="00941227">
            <w:pPr>
              <w:pStyle w:val="ASFKTableHead"/>
            </w:pPr>
            <w:r w:rsidRPr="00264D5D">
              <w:t>Дополнительная информация</w:t>
            </w:r>
          </w:p>
        </w:tc>
      </w:tr>
      <w:tr w:rsidR="00623679" w:rsidRPr="00264D5D" w14:paraId="55EFE9B3" w14:textId="77777777" w:rsidTr="00B90B6A">
        <w:trPr>
          <w:cnfStyle w:val="000000100000" w:firstRow="0" w:lastRow="0" w:firstColumn="0" w:lastColumn="0" w:oddVBand="0" w:evenVBand="0" w:oddHBand="1" w:evenHBand="0" w:firstRowFirstColumn="0" w:firstRowLastColumn="0" w:lastRowFirstColumn="0" w:lastRowLastColumn="0"/>
        </w:trPr>
        <w:tc>
          <w:tcPr>
            <w:tcW w:w="1701" w:type="dxa"/>
          </w:tcPr>
          <w:p w14:paraId="651CEAAC" w14:textId="77777777" w:rsidR="00623679" w:rsidRPr="00264D5D" w:rsidRDefault="00623679" w:rsidP="00623679">
            <w:pPr>
              <w:widowControl w:val="0"/>
              <w:spacing w:before="60" w:after="60"/>
              <w:rPr>
                <w:sz w:val="22"/>
                <w:szCs w:val="22"/>
              </w:rPr>
            </w:pPr>
            <w:r w:rsidRPr="00264D5D">
              <w:rPr>
                <w:sz w:val="22"/>
                <w:szCs w:val="22"/>
              </w:rPr>
              <w:t>Версия структуры формуляра</w:t>
            </w:r>
          </w:p>
        </w:tc>
        <w:tc>
          <w:tcPr>
            <w:tcW w:w="1701" w:type="dxa"/>
          </w:tcPr>
          <w:p w14:paraId="2163ADB7" w14:textId="77777777" w:rsidR="00623679" w:rsidRPr="00264D5D" w:rsidRDefault="00623679" w:rsidP="00623679">
            <w:pPr>
              <w:widowControl w:val="0"/>
              <w:spacing w:before="60" w:after="60"/>
              <w:jc w:val="left"/>
              <w:rPr>
                <w:sz w:val="22"/>
                <w:szCs w:val="22"/>
              </w:rPr>
            </w:pPr>
            <w:r w:rsidRPr="00264D5D">
              <w:rPr>
                <w:sz w:val="22"/>
                <w:szCs w:val="22"/>
              </w:rPr>
              <w:t>versionID</w:t>
            </w:r>
          </w:p>
        </w:tc>
        <w:tc>
          <w:tcPr>
            <w:tcW w:w="567" w:type="dxa"/>
          </w:tcPr>
          <w:p w14:paraId="080C082C" w14:textId="77777777" w:rsidR="00623679" w:rsidRPr="00264D5D" w:rsidRDefault="00623679" w:rsidP="00623679">
            <w:pPr>
              <w:widowControl w:val="0"/>
              <w:spacing w:before="60" w:after="60"/>
              <w:jc w:val="center"/>
              <w:rPr>
                <w:sz w:val="22"/>
                <w:szCs w:val="22"/>
              </w:rPr>
            </w:pPr>
            <w:r w:rsidRPr="00264D5D">
              <w:rPr>
                <w:sz w:val="22"/>
                <w:szCs w:val="22"/>
                <w:lang w:val="en-US"/>
              </w:rPr>
              <w:t>А</w:t>
            </w:r>
          </w:p>
        </w:tc>
        <w:tc>
          <w:tcPr>
            <w:tcW w:w="1134" w:type="dxa"/>
          </w:tcPr>
          <w:p w14:paraId="50A2266C" w14:textId="77777777" w:rsidR="00623679" w:rsidRPr="00264D5D" w:rsidRDefault="00623679" w:rsidP="00623679">
            <w:pPr>
              <w:widowControl w:val="0"/>
              <w:spacing w:before="60" w:after="60"/>
              <w:jc w:val="left"/>
              <w:rPr>
                <w:sz w:val="22"/>
                <w:szCs w:val="22"/>
              </w:rPr>
            </w:pPr>
            <w:r w:rsidRPr="00264D5D">
              <w:rPr>
                <w:sz w:val="22"/>
                <w:szCs w:val="22"/>
              </w:rPr>
              <w:t>-</w:t>
            </w:r>
          </w:p>
        </w:tc>
        <w:tc>
          <w:tcPr>
            <w:tcW w:w="567" w:type="dxa"/>
          </w:tcPr>
          <w:p w14:paraId="77A8DE0A" w14:textId="77777777" w:rsidR="00623679" w:rsidRPr="00264D5D" w:rsidRDefault="00623679" w:rsidP="00623679">
            <w:pPr>
              <w:widowControl w:val="0"/>
              <w:spacing w:before="60" w:after="60"/>
              <w:jc w:val="center"/>
              <w:rPr>
                <w:sz w:val="22"/>
                <w:szCs w:val="22"/>
              </w:rPr>
            </w:pPr>
            <w:r w:rsidRPr="00264D5D">
              <w:rPr>
                <w:sz w:val="22"/>
                <w:szCs w:val="22"/>
              </w:rPr>
              <w:t>О</w:t>
            </w:r>
          </w:p>
        </w:tc>
        <w:tc>
          <w:tcPr>
            <w:tcW w:w="3964" w:type="dxa"/>
          </w:tcPr>
          <w:p w14:paraId="245B198D" w14:textId="487BF274" w:rsidR="00623679" w:rsidRPr="00264D5D" w:rsidRDefault="00623679" w:rsidP="00623679">
            <w:pPr>
              <w:widowControl w:val="0"/>
              <w:spacing w:before="60" w:after="60"/>
              <w:rPr>
                <w:sz w:val="22"/>
                <w:szCs w:val="22"/>
              </w:rPr>
            </w:pPr>
            <w:r w:rsidRPr="00264D5D">
              <w:rPr>
                <w:sz w:val="22"/>
                <w:szCs w:val="22"/>
                <w:lang w:eastAsia="en-US"/>
              </w:rPr>
              <w:t xml:space="preserve">Указывается значение версии, соответствующее таблице </w:t>
            </w:r>
            <w:r w:rsidRPr="00264D5D">
              <w:rPr>
                <w:sz w:val="22"/>
                <w:szCs w:val="22"/>
              </w:rPr>
              <w:fldChar w:fldCharType="begin"/>
            </w:r>
            <w:r w:rsidRPr="00264D5D">
              <w:rPr>
                <w:sz w:val="22"/>
                <w:szCs w:val="22"/>
                <w:lang w:eastAsia="en-US"/>
              </w:rPr>
              <w:instrText xml:space="preserve"> REF _Ref19881821 \h </w:instrText>
            </w:r>
            <w:r w:rsidRPr="00264D5D">
              <w:rPr>
                <w:sz w:val="22"/>
                <w:szCs w:val="22"/>
              </w:rPr>
              <w:instrText xml:space="preserve"> \* MERGEFORMAT </w:instrText>
            </w:r>
            <w:r w:rsidRPr="00264D5D">
              <w:rPr>
                <w:sz w:val="22"/>
                <w:szCs w:val="22"/>
              </w:rPr>
            </w:r>
            <w:r w:rsidRPr="00264D5D">
              <w:rPr>
                <w:sz w:val="22"/>
                <w:szCs w:val="22"/>
              </w:rPr>
              <w:fldChar w:fldCharType="separate"/>
            </w:r>
            <w:r w:rsidR="008D797C" w:rsidRPr="008D797C">
              <w:rPr>
                <w:rFonts w:eastAsia="Calibri"/>
                <w:sz w:val="22"/>
                <w:szCs w:val="22"/>
              </w:rPr>
              <w:t>2</w:t>
            </w:r>
            <w:r w:rsidRPr="00264D5D">
              <w:rPr>
                <w:sz w:val="22"/>
                <w:szCs w:val="22"/>
              </w:rPr>
              <w:fldChar w:fldCharType="end"/>
            </w:r>
          </w:p>
        </w:tc>
      </w:tr>
      <w:tr w:rsidR="00623679" w:rsidRPr="00264D5D" w14:paraId="4A49316B" w14:textId="77777777" w:rsidTr="009A60CF">
        <w:trPr>
          <w:cnfStyle w:val="000000010000" w:firstRow="0" w:lastRow="0" w:firstColumn="0" w:lastColumn="0" w:oddVBand="0" w:evenVBand="0" w:oddHBand="0" w:evenHBand="1" w:firstRowFirstColumn="0" w:firstRowLastColumn="0" w:lastRowFirstColumn="0" w:lastRowLastColumn="0"/>
        </w:trPr>
        <w:tc>
          <w:tcPr>
            <w:tcW w:w="9634" w:type="dxa"/>
            <w:gridSpan w:val="6"/>
          </w:tcPr>
          <w:p w14:paraId="6FE549B2" w14:textId="77777777" w:rsidR="00623679" w:rsidRPr="00264D5D" w:rsidRDefault="00623679" w:rsidP="00623679">
            <w:pPr>
              <w:pStyle w:val="GOSTTablenorm"/>
              <w:rPr>
                <w:b/>
                <w:szCs w:val="22"/>
              </w:rPr>
            </w:pPr>
            <w:r w:rsidRPr="00264D5D">
              <w:rPr>
                <w:b/>
                <w:szCs w:val="22"/>
              </w:rPr>
              <w:t>Основная информация</w:t>
            </w:r>
          </w:p>
        </w:tc>
      </w:tr>
      <w:tr w:rsidR="00623679" w:rsidRPr="00264D5D" w14:paraId="5936BB2D" w14:textId="77777777" w:rsidTr="00B90B6A">
        <w:trPr>
          <w:cnfStyle w:val="000000100000" w:firstRow="0" w:lastRow="0" w:firstColumn="0" w:lastColumn="0" w:oddVBand="0" w:evenVBand="0" w:oddHBand="1" w:evenHBand="0" w:firstRowFirstColumn="0" w:firstRowLastColumn="0" w:lastRowFirstColumn="0" w:lastRowLastColumn="0"/>
        </w:trPr>
        <w:tc>
          <w:tcPr>
            <w:tcW w:w="1701" w:type="dxa"/>
          </w:tcPr>
          <w:p w14:paraId="74F9A42B" w14:textId="77777777" w:rsidR="00623679" w:rsidRPr="00264D5D" w:rsidRDefault="00623679" w:rsidP="00623679">
            <w:pPr>
              <w:pStyle w:val="GOSTTablenorm"/>
            </w:pPr>
            <w:r w:rsidRPr="00264D5D">
              <w:rPr>
                <w:szCs w:val="22"/>
              </w:rPr>
              <w:t>Номер Уведомления</w:t>
            </w:r>
          </w:p>
        </w:tc>
        <w:tc>
          <w:tcPr>
            <w:tcW w:w="1701" w:type="dxa"/>
          </w:tcPr>
          <w:p w14:paraId="281BFEB5" w14:textId="77777777" w:rsidR="00623679" w:rsidRPr="00264D5D" w:rsidRDefault="00623679" w:rsidP="00623679">
            <w:pPr>
              <w:pStyle w:val="GOSTTablenorm"/>
            </w:pPr>
            <w:r w:rsidRPr="00264D5D">
              <w:rPr>
                <w:szCs w:val="22"/>
              </w:rPr>
              <w:t>UF_NtfctnNm</w:t>
            </w:r>
          </w:p>
        </w:tc>
        <w:tc>
          <w:tcPr>
            <w:tcW w:w="567" w:type="dxa"/>
          </w:tcPr>
          <w:p w14:paraId="55072D9C" w14:textId="77777777" w:rsidR="00623679" w:rsidRPr="00264D5D" w:rsidRDefault="00623679" w:rsidP="00623679">
            <w:pPr>
              <w:pStyle w:val="GOSTTablenorm"/>
              <w:jc w:val="center"/>
            </w:pPr>
            <w:r w:rsidRPr="00264D5D">
              <w:rPr>
                <w:szCs w:val="22"/>
              </w:rPr>
              <w:t>П</w:t>
            </w:r>
          </w:p>
        </w:tc>
        <w:tc>
          <w:tcPr>
            <w:tcW w:w="1134" w:type="dxa"/>
          </w:tcPr>
          <w:p w14:paraId="0F6D9AEF" w14:textId="77777777" w:rsidR="00623679" w:rsidRPr="00264D5D" w:rsidRDefault="00623679" w:rsidP="00623679">
            <w:pPr>
              <w:pStyle w:val="GOSTTablenorm"/>
            </w:pPr>
            <w:r w:rsidRPr="00264D5D">
              <w:rPr>
                <w:szCs w:val="22"/>
              </w:rPr>
              <w:t>Т(1-15)</w:t>
            </w:r>
          </w:p>
        </w:tc>
        <w:tc>
          <w:tcPr>
            <w:tcW w:w="567" w:type="dxa"/>
          </w:tcPr>
          <w:p w14:paraId="7ADD6D75" w14:textId="77777777" w:rsidR="00623679" w:rsidRPr="00264D5D" w:rsidRDefault="00623679" w:rsidP="00623679">
            <w:pPr>
              <w:pStyle w:val="GOSTTablenorm"/>
              <w:jc w:val="center"/>
            </w:pPr>
            <w:r w:rsidRPr="00264D5D">
              <w:rPr>
                <w:szCs w:val="22"/>
              </w:rPr>
              <w:t>О</w:t>
            </w:r>
          </w:p>
        </w:tc>
        <w:tc>
          <w:tcPr>
            <w:tcW w:w="3964" w:type="dxa"/>
          </w:tcPr>
          <w:p w14:paraId="1BBD08E8" w14:textId="77777777" w:rsidR="00623679" w:rsidRPr="00264D5D" w:rsidRDefault="00623679" w:rsidP="00623679">
            <w:pPr>
              <w:pStyle w:val="GOSTTablenorm"/>
              <w:rPr>
                <w:szCs w:val="22"/>
              </w:rPr>
            </w:pPr>
            <w:r w:rsidRPr="00264D5D">
              <w:rPr>
                <w:szCs w:val="22"/>
              </w:rPr>
              <w:t xml:space="preserve">Номер, присвоенный Уведомлению клиентом. </w:t>
            </w:r>
          </w:p>
          <w:p w14:paraId="3E0B793C" w14:textId="77777777" w:rsidR="00623679" w:rsidRPr="00264D5D" w:rsidRDefault="00623679" w:rsidP="00623679">
            <w:pPr>
              <w:pStyle w:val="GOSTTablenorm"/>
              <w:rPr>
                <w:b/>
                <w:bCs/>
              </w:rPr>
            </w:pPr>
            <w:r w:rsidRPr="00264D5D">
              <w:rPr>
                <w:szCs w:val="22"/>
              </w:rPr>
              <w:t>Уникален в пределах даты, за которую сформирован документ. В случае оформления документа ФТС (АДБ) номер документа начинается с символа, определяющий счет для исполнения операции (если номер начинается с N на основном счете по учету поступлений, иначе на счете по учету таможенных платежей)</w:t>
            </w:r>
          </w:p>
        </w:tc>
      </w:tr>
      <w:tr w:rsidR="00623679" w:rsidRPr="00264D5D" w14:paraId="2FD0E0B2" w14:textId="77777777" w:rsidTr="00B90B6A">
        <w:trPr>
          <w:cnfStyle w:val="000000010000" w:firstRow="0" w:lastRow="0" w:firstColumn="0" w:lastColumn="0" w:oddVBand="0" w:evenVBand="0" w:oddHBand="0" w:evenHBand="1" w:firstRowFirstColumn="0" w:firstRowLastColumn="0" w:lastRowFirstColumn="0" w:lastRowLastColumn="0"/>
        </w:trPr>
        <w:tc>
          <w:tcPr>
            <w:tcW w:w="1701" w:type="dxa"/>
          </w:tcPr>
          <w:p w14:paraId="23B79906" w14:textId="77777777" w:rsidR="00623679" w:rsidRPr="00264D5D" w:rsidRDefault="00623679" w:rsidP="00623679">
            <w:pPr>
              <w:pStyle w:val="GOSTTablenorm"/>
              <w:rPr>
                <w:szCs w:val="22"/>
              </w:rPr>
            </w:pPr>
            <w:r w:rsidRPr="00264D5D">
              <w:rPr>
                <w:szCs w:val="22"/>
              </w:rPr>
              <w:t>Информация о ПБС/АДБ/АИФДБ</w:t>
            </w:r>
          </w:p>
        </w:tc>
        <w:tc>
          <w:tcPr>
            <w:tcW w:w="1701" w:type="dxa"/>
          </w:tcPr>
          <w:p w14:paraId="55762F54" w14:textId="77777777" w:rsidR="00623679" w:rsidRPr="00264D5D" w:rsidRDefault="00623679" w:rsidP="00623679">
            <w:pPr>
              <w:pStyle w:val="GOSTTablenorm"/>
              <w:rPr>
                <w:szCs w:val="22"/>
              </w:rPr>
            </w:pPr>
            <w:r w:rsidRPr="00264D5D">
              <w:rPr>
                <w:szCs w:val="22"/>
              </w:rPr>
              <w:t>UF_MSC_PBS</w:t>
            </w:r>
          </w:p>
        </w:tc>
        <w:tc>
          <w:tcPr>
            <w:tcW w:w="567" w:type="dxa"/>
          </w:tcPr>
          <w:p w14:paraId="3202938A" w14:textId="77777777" w:rsidR="00623679" w:rsidRPr="00264D5D" w:rsidRDefault="00623679" w:rsidP="00623679">
            <w:pPr>
              <w:pStyle w:val="GOSTTablenorm"/>
              <w:jc w:val="center"/>
              <w:rPr>
                <w:szCs w:val="22"/>
              </w:rPr>
            </w:pPr>
            <w:r w:rsidRPr="00264D5D">
              <w:rPr>
                <w:szCs w:val="22"/>
              </w:rPr>
              <w:t>С</w:t>
            </w:r>
          </w:p>
        </w:tc>
        <w:tc>
          <w:tcPr>
            <w:tcW w:w="1134" w:type="dxa"/>
          </w:tcPr>
          <w:p w14:paraId="27E2EFCC" w14:textId="77777777" w:rsidR="00623679" w:rsidRPr="00264D5D" w:rsidRDefault="00623679" w:rsidP="00623679">
            <w:pPr>
              <w:pStyle w:val="GOSTTablenorm"/>
              <w:rPr>
                <w:szCs w:val="22"/>
              </w:rPr>
            </w:pPr>
            <w:r w:rsidRPr="00264D5D">
              <w:rPr>
                <w:szCs w:val="22"/>
              </w:rPr>
              <w:t>tMSC_PBS1</w:t>
            </w:r>
          </w:p>
        </w:tc>
        <w:tc>
          <w:tcPr>
            <w:tcW w:w="567" w:type="dxa"/>
          </w:tcPr>
          <w:p w14:paraId="481636B5" w14:textId="77777777" w:rsidR="00623679" w:rsidRPr="00264D5D" w:rsidRDefault="00623679" w:rsidP="00623679">
            <w:pPr>
              <w:pStyle w:val="GOSTTablenorm"/>
              <w:jc w:val="center"/>
              <w:rPr>
                <w:szCs w:val="22"/>
              </w:rPr>
            </w:pPr>
            <w:r w:rsidRPr="00264D5D">
              <w:rPr>
                <w:szCs w:val="22"/>
              </w:rPr>
              <w:t>О</w:t>
            </w:r>
          </w:p>
        </w:tc>
        <w:tc>
          <w:tcPr>
            <w:tcW w:w="3964" w:type="dxa"/>
          </w:tcPr>
          <w:p w14:paraId="173D902E" w14:textId="660F1762" w:rsidR="00623679" w:rsidRPr="00264D5D" w:rsidRDefault="00623679" w:rsidP="00623679">
            <w:pPr>
              <w:pStyle w:val="GOSTTablenorm"/>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_Ref503543706 \h  \* MERGEFORMAT </w:instrText>
            </w:r>
            <w:r w:rsidRPr="00264D5D">
              <w:rPr>
                <w:b/>
                <w:szCs w:val="22"/>
              </w:rPr>
            </w:r>
            <w:r w:rsidRPr="00264D5D">
              <w:rPr>
                <w:b/>
                <w:szCs w:val="22"/>
              </w:rPr>
              <w:fldChar w:fldCharType="separate"/>
            </w:r>
            <w:r w:rsidR="008D797C" w:rsidRPr="008D797C">
              <w:rPr>
                <w:b/>
                <w:szCs w:val="22"/>
              </w:rPr>
              <w:t>166</w:t>
            </w:r>
            <w:r w:rsidRPr="00264D5D">
              <w:rPr>
                <w:b/>
                <w:szCs w:val="22"/>
              </w:rPr>
              <w:fldChar w:fldCharType="end"/>
            </w:r>
          </w:p>
        </w:tc>
      </w:tr>
      <w:tr w:rsidR="00623679" w:rsidRPr="00264D5D" w14:paraId="3A3B5467" w14:textId="77777777" w:rsidTr="00B90B6A">
        <w:trPr>
          <w:cnfStyle w:val="000000100000" w:firstRow="0" w:lastRow="0" w:firstColumn="0" w:lastColumn="0" w:oddVBand="0" w:evenVBand="0" w:oddHBand="1" w:evenHBand="0" w:firstRowFirstColumn="0" w:firstRowLastColumn="0" w:lastRowFirstColumn="0" w:lastRowLastColumn="0"/>
        </w:trPr>
        <w:tc>
          <w:tcPr>
            <w:tcW w:w="1701" w:type="dxa"/>
          </w:tcPr>
          <w:p w14:paraId="7B48D80A" w14:textId="77777777" w:rsidR="00623679" w:rsidRPr="00264D5D" w:rsidRDefault="00623679" w:rsidP="00623679">
            <w:pPr>
              <w:pStyle w:val="GOSTTablenorm"/>
              <w:rPr>
                <w:szCs w:val="22"/>
              </w:rPr>
            </w:pPr>
            <w:r w:rsidRPr="00264D5D">
              <w:rPr>
                <w:szCs w:val="22"/>
              </w:rPr>
              <w:t>Информация о ГРБС/ГАДБ/ГАИФДБ</w:t>
            </w:r>
          </w:p>
        </w:tc>
        <w:tc>
          <w:tcPr>
            <w:tcW w:w="1701" w:type="dxa"/>
          </w:tcPr>
          <w:p w14:paraId="3494ED7F" w14:textId="77777777" w:rsidR="00623679" w:rsidRPr="00264D5D" w:rsidRDefault="00623679" w:rsidP="00623679">
            <w:pPr>
              <w:pStyle w:val="GOSTTablenorm"/>
              <w:rPr>
                <w:szCs w:val="22"/>
              </w:rPr>
            </w:pPr>
            <w:r w:rsidRPr="00264D5D">
              <w:rPr>
                <w:szCs w:val="22"/>
              </w:rPr>
              <w:t>UF_MSC_GRBS</w:t>
            </w:r>
          </w:p>
        </w:tc>
        <w:tc>
          <w:tcPr>
            <w:tcW w:w="567" w:type="dxa"/>
          </w:tcPr>
          <w:p w14:paraId="5067F056" w14:textId="77777777" w:rsidR="00623679" w:rsidRPr="00264D5D" w:rsidRDefault="00623679" w:rsidP="00623679">
            <w:pPr>
              <w:pStyle w:val="GOSTTablenorm"/>
              <w:jc w:val="center"/>
              <w:rPr>
                <w:szCs w:val="22"/>
              </w:rPr>
            </w:pPr>
            <w:r w:rsidRPr="00264D5D">
              <w:rPr>
                <w:szCs w:val="22"/>
              </w:rPr>
              <w:t>С</w:t>
            </w:r>
          </w:p>
        </w:tc>
        <w:tc>
          <w:tcPr>
            <w:tcW w:w="1134" w:type="dxa"/>
          </w:tcPr>
          <w:p w14:paraId="3E7BECDB" w14:textId="77777777" w:rsidR="00623679" w:rsidRPr="00264D5D" w:rsidRDefault="00623679" w:rsidP="00623679">
            <w:pPr>
              <w:pStyle w:val="GOSTTablenorm"/>
              <w:rPr>
                <w:szCs w:val="22"/>
              </w:rPr>
            </w:pPr>
            <w:r w:rsidRPr="00264D5D">
              <w:rPr>
                <w:szCs w:val="22"/>
              </w:rPr>
              <w:t>tMSC_GRBS</w:t>
            </w:r>
          </w:p>
        </w:tc>
        <w:tc>
          <w:tcPr>
            <w:tcW w:w="567" w:type="dxa"/>
          </w:tcPr>
          <w:p w14:paraId="333A70B1" w14:textId="77777777" w:rsidR="00623679" w:rsidRPr="00264D5D" w:rsidRDefault="00623679" w:rsidP="00623679">
            <w:pPr>
              <w:pStyle w:val="GOSTTablenorm"/>
              <w:jc w:val="center"/>
              <w:rPr>
                <w:szCs w:val="22"/>
              </w:rPr>
            </w:pPr>
            <w:r w:rsidRPr="00264D5D">
              <w:rPr>
                <w:szCs w:val="22"/>
              </w:rPr>
              <w:t>Н</w:t>
            </w:r>
          </w:p>
        </w:tc>
        <w:tc>
          <w:tcPr>
            <w:tcW w:w="3964" w:type="dxa"/>
          </w:tcPr>
          <w:p w14:paraId="6401F5B0" w14:textId="285E7F60" w:rsidR="00623679" w:rsidRPr="00264D5D" w:rsidRDefault="00623679" w:rsidP="00623679">
            <w:pPr>
              <w:pStyle w:val="GOSTTablenorm"/>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_Ref503543721 \h  \* MERGEFORMAT </w:instrText>
            </w:r>
            <w:r w:rsidRPr="00264D5D">
              <w:rPr>
                <w:b/>
                <w:szCs w:val="22"/>
              </w:rPr>
            </w:r>
            <w:r w:rsidRPr="00264D5D">
              <w:rPr>
                <w:b/>
                <w:szCs w:val="22"/>
              </w:rPr>
              <w:fldChar w:fldCharType="separate"/>
            </w:r>
            <w:r w:rsidR="008D797C" w:rsidRPr="008D797C">
              <w:rPr>
                <w:b/>
                <w:szCs w:val="22"/>
              </w:rPr>
              <w:t>168</w:t>
            </w:r>
            <w:r w:rsidRPr="00264D5D">
              <w:rPr>
                <w:b/>
                <w:szCs w:val="22"/>
              </w:rPr>
              <w:fldChar w:fldCharType="end"/>
            </w:r>
          </w:p>
        </w:tc>
      </w:tr>
      <w:tr w:rsidR="00623679" w:rsidRPr="00264D5D" w14:paraId="5FA6D652" w14:textId="77777777" w:rsidTr="00B90B6A">
        <w:trPr>
          <w:cnfStyle w:val="000000010000" w:firstRow="0" w:lastRow="0" w:firstColumn="0" w:lastColumn="0" w:oddVBand="0" w:evenVBand="0" w:oddHBand="0" w:evenHBand="1" w:firstRowFirstColumn="0" w:firstRowLastColumn="0" w:lastRowFirstColumn="0" w:lastRowLastColumn="0"/>
        </w:trPr>
        <w:tc>
          <w:tcPr>
            <w:tcW w:w="1701" w:type="dxa"/>
          </w:tcPr>
          <w:p w14:paraId="1121C9BD" w14:textId="77777777" w:rsidR="00623679" w:rsidRPr="00264D5D" w:rsidRDefault="00623679" w:rsidP="00623679">
            <w:pPr>
              <w:pStyle w:val="GOSTTablenorm"/>
              <w:rPr>
                <w:szCs w:val="22"/>
              </w:rPr>
            </w:pPr>
            <w:r w:rsidRPr="00264D5D">
              <w:rPr>
                <w:szCs w:val="22"/>
              </w:rPr>
              <w:t>Организация</w:t>
            </w:r>
          </w:p>
        </w:tc>
        <w:tc>
          <w:tcPr>
            <w:tcW w:w="1701" w:type="dxa"/>
          </w:tcPr>
          <w:p w14:paraId="584514BA" w14:textId="77777777" w:rsidR="00623679" w:rsidRPr="00264D5D" w:rsidRDefault="00623679" w:rsidP="00623679">
            <w:pPr>
              <w:pStyle w:val="GOSTTablenorm"/>
              <w:rPr>
                <w:szCs w:val="22"/>
              </w:rPr>
            </w:pPr>
            <w:r w:rsidRPr="00264D5D">
              <w:rPr>
                <w:szCs w:val="22"/>
              </w:rPr>
              <w:t>UF_MSC_Orgnztn</w:t>
            </w:r>
          </w:p>
        </w:tc>
        <w:tc>
          <w:tcPr>
            <w:tcW w:w="567" w:type="dxa"/>
          </w:tcPr>
          <w:p w14:paraId="6D38FED5" w14:textId="77777777" w:rsidR="00623679" w:rsidRPr="00264D5D" w:rsidRDefault="00623679" w:rsidP="00623679">
            <w:pPr>
              <w:pStyle w:val="GOSTTablenorm"/>
              <w:jc w:val="center"/>
              <w:rPr>
                <w:szCs w:val="22"/>
              </w:rPr>
            </w:pPr>
            <w:r w:rsidRPr="00264D5D">
              <w:rPr>
                <w:szCs w:val="22"/>
              </w:rPr>
              <w:t>С</w:t>
            </w:r>
          </w:p>
        </w:tc>
        <w:tc>
          <w:tcPr>
            <w:tcW w:w="1134" w:type="dxa"/>
          </w:tcPr>
          <w:p w14:paraId="3E95145C" w14:textId="77777777" w:rsidR="00623679" w:rsidRPr="00264D5D" w:rsidRDefault="00623679" w:rsidP="00623679">
            <w:pPr>
              <w:pStyle w:val="GOSTTablenorm"/>
              <w:rPr>
                <w:szCs w:val="22"/>
              </w:rPr>
            </w:pPr>
            <w:r w:rsidRPr="00264D5D">
              <w:rPr>
                <w:szCs w:val="22"/>
              </w:rPr>
              <w:t>tMSC_Orgnztn3</w:t>
            </w:r>
          </w:p>
        </w:tc>
        <w:tc>
          <w:tcPr>
            <w:tcW w:w="567" w:type="dxa"/>
          </w:tcPr>
          <w:p w14:paraId="783AE54F" w14:textId="77777777" w:rsidR="00623679" w:rsidRPr="00264D5D" w:rsidRDefault="00623679" w:rsidP="00623679">
            <w:pPr>
              <w:pStyle w:val="GOSTTablenorm"/>
              <w:jc w:val="center"/>
              <w:rPr>
                <w:szCs w:val="22"/>
              </w:rPr>
            </w:pPr>
            <w:r w:rsidRPr="00264D5D">
              <w:rPr>
                <w:szCs w:val="22"/>
              </w:rPr>
              <w:t>О</w:t>
            </w:r>
          </w:p>
        </w:tc>
        <w:tc>
          <w:tcPr>
            <w:tcW w:w="3964" w:type="dxa"/>
          </w:tcPr>
          <w:p w14:paraId="067C0A61" w14:textId="427F8468" w:rsidR="00623679" w:rsidRPr="00264D5D" w:rsidRDefault="00623679" w:rsidP="00623679">
            <w:pPr>
              <w:pStyle w:val="GOSTTablenorm"/>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_Ref503543734 \h  \* MERGEFORMAT </w:instrText>
            </w:r>
            <w:r w:rsidRPr="00264D5D">
              <w:rPr>
                <w:b/>
                <w:szCs w:val="22"/>
              </w:rPr>
            </w:r>
            <w:r w:rsidRPr="00264D5D">
              <w:rPr>
                <w:b/>
                <w:szCs w:val="22"/>
              </w:rPr>
              <w:fldChar w:fldCharType="separate"/>
            </w:r>
            <w:r w:rsidR="008D797C" w:rsidRPr="008D797C">
              <w:rPr>
                <w:b/>
              </w:rPr>
              <w:t>169</w:t>
            </w:r>
            <w:r w:rsidRPr="00264D5D">
              <w:rPr>
                <w:b/>
                <w:szCs w:val="22"/>
              </w:rPr>
              <w:fldChar w:fldCharType="end"/>
            </w:r>
          </w:p>
        </w:tc>
      </w:tr>
      <w:tr w:rsidR="00623679" w:rsidRPr="00264D5D" w14:paraId="4FE1B428" w14:textId="77777777" w:rsidTr="00B90B6A">
        <w:trPr>
          <w:cnfStyle w:val="000000100000" w:firstRow="0" w:lastRow="0" w:firstColumn="0" w:lastColumn="0" w:oddVBand="0" w:evenVBand="0" w:oddHBand="1" w:evenHBand="0" w:firstRowFirstColumn="0" w:firstRowLastColumn="0" w:lastRowFirstColumn="0" w:lastRowLastColumn="0"/>
        </w:trPr>
        <w:tc>
          <w:tcPr>
            <w:tcW w:w="1701" w:type="dxa"/>
          </w:tcPr>
          <w:p w14:paraId="1E78F2A4" w14:textId="77777777" w:rsidR="00623679" w:rsidRPr="00264D5D" w:rsidRDefault="00623679" w:rsidP="00623679">
            <w:pPr>
              <w:pStyle w:val="GOSTTablenorm"/>
              <w:rPr>
                <w:szCs w:val="22"/>
              </w:rPr>
            </w:pPr>
            <w:r w:rsidRPr="00264D5D">
              <w:rPr>
                <w:szCs w:val="22"/>
              </w:rPr>
              <w:t>Лицевой счет финансового органа</w:t>
            </w:r>
          </w:p>
        </w:tc>
        <w:tc>
          <w:tcPr>
            <w:tcW w:w="1701" w:type="dxa"/>
          </w:tcPr>
          <w:p w14:paraId="210131CE" w14:textId="77777777" w:rsidR="00623679" w:rsidRPr="00264D5D" w:rsidRDefault="00623679" w:rsidP="00623679">
            <w:pPr>
              <w:pStyle w:val="GOSTTablenorm"/>
              <w:rPr>
                <w:szCs w:val="22"/>
              </w:rPr>
            </w:pPr>
            <w:r w:rsidRPr="00264D5D">
              <w:rPr>
                <w:szCs w:val="22"/>
              </w:rPr>
              <w:t>UF_AcntNmFO</w:t>
            </w:r>
          </w:p>
        </w:tc>
        <w:tc>
          <w:tcPr>
            <w:tcW w:w="567" w:type="dxa"/>
          </w:tcPr>
          <w:p w14:paraId="45E07677" w14:textId="77777777" w:rsidR="00623679" w:rsidRPr="00264D5D" w:rsidRDefault="00623679" w:rsidP="00623679">
            <w:pPr>
              <w:pStyle w:val="GOSTTablenorm"/>
              <w:jc w:val="center"/>
              <w:rPr>
                <w:szCs w:val="22"/>
              </w:rPr>
            </w:pPr>
            <w:r w:rsidRPr="00264D5D">
              <w:rPr>
                <w:szCs w:val="22"/>
              </w:rPr>
              <w:t>П</w:t>
            </w:r>
          </w:p>
        </w:tc>
        <w:tc>
          <w:tcPr>
            <w:tcW w:w="1134" w:type="dxa"/>
          </w:tcPr>
          <w:p w14:paraId="4F2D89C6" w14:textId="77777777" w:rsidR="00623679" w:rsidRPr="00264D5D" w:rsidRDefault="00623679" w:rsidP="00623679">
            <w:pPr>
              <w:pStyle w:val="GOSTTablenorm"/>
              <w:rPr>
                <w:szCs w:val="22"/>
              </w:rPr>
            </w:pPr>
            <w:r w:rsidRPr="00264D5D">
              <w:rPr>
                <w:szCs w:val="22"/>
              </w:rPr>
              <w:t>Т(11)</w:t>
            </w:r>
          </w:p>
        </w:tc>
        <w:tc>
          <w:tcPr>
            <w:tcW w:w="567" w:type="dxa"/>
          </w:tcPr>
          <w:p w14:paraId="210B42E7" w14:textId="77777777" w:rsidR="00623679" w:rsidRPr="00264D5D" w:rsidRDefault="00623679" w:rsidP="00623679">
            <w:pPr>
              <w:pStyle w:val="GOSTTablenorm"/>
              <w:jc w:val="center"/>
              <w:rPr>
                <w:szCs w:val="22"/>
              </w:rPr>
            </w:pPr>
            <w:r w:rsidRPr="00264D5D">
              <w:rPr>
                <w:szCs w:val="22"/>
              </w:rPr>
              <w:t>Н</w:t>
            </w:r>
          </w:p>
        </w:tc>
        <w:tc>
          <w:tcPr>
            <w:tcW w:w="3964" w:type="dxa"/>
          </w:tcPr>
          <w:p w14:paraId="481266D1" w14:textId="77777777" w:rsidR="00623679" w:rsidRPr="00264D5D" w:rsidRDefault="00623679" w:rsidP="00623679">
            <w:pPr>
              <w:pStyle w:val="GOSTTablenorm"/>
              <w:rPr>
                <w:szCs w:val="22"/>
              </w:rPr>
            </w:pPr>
            <w:r w:rsidRPr="00264D5D">
              <w:rPr>
                <w:szCs w:val="22"/>
              </w:rPr>
              <w:t>Указывается л/с с кодом «02», открытый ФО, ОУ ГВФ РФ, или л/с с кодом «12», открытый территориальному органу ГВФ РФ, сформировавшему Уведомление.</w:t>
            </w:r>
          </w:p>
          <w:p w14:paraId="04FF4409" w14:textId="77777777" w:rsidR="00623679" w:rsidRPr="00264D5D" w:rsidRDefault="00623679" w:rsidP="00623679">
            <w:pPr>
              <w:pStyle w:val="GOSTTablenorm"/>
              <w:rPr>
                <w:szCs w:val="22"/>
              </w:rPr>
            </w:pPr>
            <w:r w:rsidRPr="00264D5D">
              <w:rPr>
                <w:szCs w:val="22"/>
              </w:rPr>
              <w:t>Не заполняется, если заполнено поле «Номер лицевого счета ПБС/АДБ/АИФДБ» (AcntNmbr). В остальных случаях обязательно к заполнению</w:t>
            </w:r>
          </w:p>
        </w:tc>
      </w:tr>
      <w:tr w:rsidR="00623679" w:rsidRPr="00264D5D" w14:paraId="5C259F03" w14:textId="77777777" w:rsidTr="00B90B6A">
        <w:trPr>
          <w:cnfStyle w:val="000000010000" w:firstRow="0" w:lastRow="0" w:firstColumn="0" w:lastColumn="0" w:oddVBand="0" w:evenVBand="0" w:oddHBand="0" w:evenHBand="1" w:firstRowFirstColumn="0" w:firstRowLastColumn="0" w:lastRowFirstColumn="0" w:lastRowLastColumn="0"/>
        </w:trPr>
        <w:tc>
          <w:tcPr>
            <w:tcW w:w="1701" w:type="dxa"/>
          </w:tcPr>
          <w:p w14:paraId="20C946CA" w14:textId="77777777" w:rsidR="00623679" w:rsidRPr="00264D5D" w:rsidRDefault="00623679" w:rsidP="00623679">
            <w:pPr>
              <w:pStyle w:val="GOSTTablenorm"/>
              <w:rPr>
                <w:szCs w:val="22"/>
              </w:rPr>
            </w:pPr>
            <w:r w:rsidRPr="00264D5D">
              <w:rPr>
                <w:szCs w:val="22"/>
              </w:rPr>
              <w:t>Уровень конфиденциальности</w:t>
            </w:r>
          </w:p>
        </w:tc>
        <w:tc>
          <w:tcPr>
            <w:tcW w:w="1701" w:type="dxa"/>
          </w:tcPr>
          <w:p w14:paraId="64AD6835" w14:textId="77777777" w:rsidR="00623679" w:rsidRPr="00264D5D" w:rsidRDefault="00623679" w:rsidP="00623679">
            <w:pPr>
              <w:pStyle w:val="GOSTTablenorm"/>
              <w:rPr>
                <w:szCs w:val="22"/>
              </w:rPr>
            </w:pPr>
            <w:r w:rsidRPr="00264D5D">
              <w:rPr>
                <w:szCs w:val="22"/>
              </w:rPr>
              <w:t>TtlPrt_SECRECY</w:t>
            </w:r>
          </w:p>
        </w:tc>
        <w:tc>
          <w:tcPr>
            <w:tcW w:w="567" w:type="dxa"/>
          </w:tcPr>
          <w:p w14:paraId="6B839543" w14:textId="77777777" w:rsidR="00623679" w:rsidRPr="00264D5D" w:rsidRDefault="00623679" w:rsidP="00623679">
            <w:pPr>
              <w:pStyle w:val="GOSTTablenorm"/>
              <w:jc w:val="center"/>
              <w:rPr>
                <w:szCs w:val="22"/>
              </w:rPr>
            </w:pPr>
            <w:r w:rsidRPr="00264D5D">
              <w:rPr>
                <w:szCs w:val="22"/>
              </w:rPr>
              <w:t>П</w:t>
            </w:r>
          </w:p>
        </w:tc>
        <w:tc>
          <w:tcPr>
            <w:tcW w:w="1134" w:type="dxa"/>
          </w:tcPr>
          <w:p w14:paraId="32022DA4" w14:textId="77777777" w:rsidR="00623679" w:rsidRPr="00264D5D" w:rsidRDefault="00623679" w:rsidP="00623679">
            <w:pPr>
              <w:pStyle w:val="GOSTTablenorm"/>
              <w:rPr>
                <w:szCs w:val="22"/>
              </w:rPr>
            </w:pPr>
            <w:r w:rsidRPr="00264D5D">
              <w:rPr>
                <w:szCs w:val="22"/>
              </w:rPr>
              <w:t>Т(1)</w:t>
            </w:r>
          </w:p>
        </w:tc>
        <w:tc>
          <w:tcPr>
            <w:tcW w:w="567" w:type="dxa"/>
          </w:tcPr>
          <w:p w14:paraId="189DC1A0" w14:textId="77777777" w:rsidR="00623679" w:rsidRPr="00264D5D" w:rsidRDefault="00623679" w:rsidP="00623679">
            <w:pPr>
              <w:pStyle w:val="GOSTTablenorm"/>
              <w:jc w:val="center"/>
              <w:rPr>
                <w:szCs w:val="22"/>
              </w:rPr>
            </w:pPr>
            <w:r w:rsidRPr="00264D5D">
              <w:rPr>
                <w:szCs w:val="22"/>
              </w:rPr>
              <w:t>Н</w:t>
            </w:r>
          </w:p>
        </w:tc>
        <w:tc>
          <w:tcPr>
            <w:tcW w:w="3964" w:type="dxa"/>
          </w:tcPr>
          <w:p w14:paraId="7719D0D1" w14:textId="77777777" w:rsidR="00623679" w:rsidRPr="00264D5D" w:rsidRDefault="00623679" w:rsidP="00623679">
            <w:pPr>
              <w:pStyle w:val="GOSTTablenorm"/>
              <w:rPr>
                <w:szCs w:val="22"/>
              </w:rPr>
            </w:pPr>
            <w:r w:rsidRPr="00264D5D">
              <w:rPr>
                <w:szCs w:val="22"/>
              </w:rPr>
              <w:t>Указывается уровень конфиденциальности.</w:t>
            </w:r>
          </w:p>
          <w:p w14:paraId="346CDCE2" w14:textId="77777777" w:rsidR="00623679" w:rsidRPr="00264D5D" w:rsidRDefault="00623679" w:rsidP="00623679">
            <w:pPr>
              <w:pStyle w:val="GOSTTablenorm"/>
              <w:rPr>
                <w:szCs w:val="22"/>
              </w:rPr>
            </w:pPr>
            <w:r w:rsidRPr="00264D5D">
              <w:rPr>
                <w:szCs w:val="22"/>
              </w:rPr>
              <w:t>Возможные значения:</w:t>
            </w:r>
          </w:p>
          <w:p w14:paraId="4F62A6CA" w14:textId="77777777" w:rsidR="00623679" w:rsidRPr="00264D5D" w:rsidRDefault="00623679" w:rsidP="00623679">
            <w:pPr>
              <w:pStyle w:val="GOSTTableListMark1"/>
              <w:widowControl w:val="0"/>
              <w:numPr>
                <w:ilvl w:val="0"/>
                <w:numId w:val="65"/>
              </w:numPr>
              <w:tabs>
                <w:tab w:val="clear" w:pos="340"/>
                <w:tab w:val="num" w:pos="227"/>
              </w:tabs>
              <w:spacing w:before="60" w:after="60"/>
              <w:ind w:left="284"/>
              <w:jc w:val="both"/>
              <w:rPr>
                <w:szCs w:val="22"/>
              </w:rPr>
            </w:pPr>
            <w:r w:rsidRPr="00264D5D">
              <w:t>«0» – Несекретно;</w:t>
            </w:r>
          </w:p>
          <w:p w14:paraId="16A56150" w14:textId="77777777" w:rsidR="00623679" w:rsidRPr="00264D5D" w:rsidRDefault="00623679" w:rsidP="00623679">
            <w:pPr>
              <w:pStyle w:val="GOSTTableListMark1"/>
              <w:widowControl w:val="0"/>
              <w:numPr>
                <w:ilvl w:val="0"/>
                <w:numId w:val="65"/>
              </w:numPr>
              <w:tabs>
                <w:tab w:val="clear" w:pos="340"/>
                <w:tab w:val="num" w:pos="227"/>
              </w:tabs>
              <w:spacing w:before="60" w:after="60"/>
              <w:ind w:left="284"/>
              <w:jc w:val="both"/>
              <w:rPr>
                <w:szCs w:val="22"/>
              </w:rPr>
            </w:pPr>
            <w:r w:rsidRPr="00264D5D">
              <w:t>«1» – Для служебного пользования.</w:t>
            </w:r>
          </w:p>
          <w:p w14:paraId="6192E9F1" w14:textId="77777777" w:rsidR="00623679" w:rsidRPr="00264D5D" w:rsidRDefault="00623679" w:rsidP="00623679">
            <w:pPr>
              <w:pStyle w:val="GOSTTablenorm"/>
              <w:rPr>
                <w:szCs w:val="22"/>
              </w:rPr>
            </w:pPr>
            <w:r w:rsidRPr="00264D5D">
              <w:rPr>
                <w:szCs w:val="22"/>
              </w:rPr>
              <w:t xml:space="preserve">Обязателен для заполнения в случае </w:t>
            </w:r>
            <w:r w:rsidRPr="00264D5D">
              <w:rPr>
                <w:szCs w:val="22"/>
              </w:rPr>
              <w:lastRenderedPageBreak/>
              <w:t>взаимодействия по маршруту ПБС (ПФХД) – ТОФК (ПУР ЭБ)</w:t>
            </w:r>
          </w:p>
        </w:tc>
      </w:tr>
      <w:tr w:rsidR="00623679" w:rsidRPr="00264D5D" w14:paraId="2A0EA590" w14:textId="77777777" w:rsidTr="00AD1F54">
        <w:trPr>
          <w:cnfStyle w:val="000000100000" w:firstRow="0" w:lastRow="0" w:firstColumn="0" w:lastColumn="0" w:oddVBand="0" w:evenVBand="0" w:oddHBand="1" w:evenHBand="0" w:firstRowFirstColumn="0" w:firstRowLastColumn="0" w:lastRowFirstColumn="0" w:lastRowLastColumn="0"/>
        </w:trPr>
        <w:tc>
          <w:tcPr>
            <w:tcW w:w="9634" w:type="dxa"/>
            <w:gridSpan w:val="6"/>
          </w:tcPr>
          <w:p w14:paraId="2A52157A" w14:textId="77777777" w:rsidR="00623679" w:rsidRPr="00264D5D" w:rsidRDefault="00623679" w:rsidP="00623679">
            <w:pPr>
              <w:pStyle w:val="GOSTTablenorm"/>
              <w:rPr>
                <w:szCs w:val="22"/>
              </w:rPr>
            </w:pPr>
            <w:r w:rsidRPr="00264D5D">
              <w:rPr>
                <w:b/>
                <w:szCs w:val="22"/>
              </w:rPr>
              <w:lastRenderedPageBreak/>
              <w:t>Информация о ТОФК</w:t>
            </w:r>
          </w:p>
        </w:tc>
      </w:tr>
      <w:tr w:rsidR="00623679" w:rsidRPr="00264D5D" w14:paraId="7D31D0E6" w14:textId="77777777" w:rsidTr="00B90B6A">
        <w:trPr>
          <w:cnfStyle w:val="000000010000" w:firstRow="0" w:lastRow="0" w:firstColumn="0" w:lastColumn="0" w:oddVBand="0" w:evenVBand="0" w:oddHBand="0" w:evenHBand="1" w:firstRowFirstColumn="0" w:firstRowLastColumn="0" w:lastRowFirstColumn="0" w:lastRowLastColumn="0"/>
        </w:trPr>
        <w:tc>
          <w:tcPr>
            <w:tcW w:w="1701" w:type="dxa"/>
          </w:tcPr>
          <w:p w14:paraId="0EF260A7" w14:textId="77777777" w:rsidR="00623679" w:rsidRPr="00264D5D" w:rsidRDefault="00623679" w:rsidP="00623679">
            <w:pPr>
              <w:pStyle w:val="GOSTTablenorm"/>
              <w:rPr>
                <w:szCs w:val="22"/>
              </w:rPr>
            </w:pPr>
            <w:r w:rsidRPr="00264D5D">
              <w:rPr>
                <w:szCs w:val="22"/>
              </w:rPr>
              <w:t>Вид средств</w:t>
            </w:r>
          </w:p>
        </w:tc>
        <w:tc>
          <w:tcPr>
            <w:tcW w:w="1701" w:type="dxa"/>
          </w:tcPr>
          <w:p w14:paraId="0372AA42" w14:textId="77777777" w:rsidR="00623679" w:rsidRPr="00264D5D" w:rsidRDefault="00623679" w:rsidP="00623679">
            <w:pPr>
              <w:pStyle w:val="GOSTTablenorm"/>
              <w:rPr>
                <w:szCs w:val="22"/>
              </w:rPr>
            </w:pPr>
            <w:r w:rsidRPr="00264D5D">
              <w:rPr>
                <w:szCs w:val="22"/>
              </w:rPr>
              <w:t>UF_SrcKnd</w:t>
            </w:r>
          </w:p>
        </w:tc>
        <w:tc>
          <w:tcPr>
            <w:tcW w:w="567" w:type="dxa"/>
          </w:tcPr>
          <w:p w14:paraId="60FA534E" w14:textId="77777777" w:rsidR="00623679" w:rsidRPr="00264D5D" w:rsidRDefault="00623679" w:rsidP="00623679">
            <w:pPr>
              <w:pStyle w:val="GOSTTablenorm"/>
              <w:jc w:val="center"/>
              <w:rPr>
                <w:szCs w:val="22"/>
              </w:rPr>
            </w:pPr>
            <w:r w:rsidRPr="00264D5D">
              <w:rPr>
                <w:szCs w:val="22"/>
              </w:rPr>
              <w:t>С</w:t>
            </w:r>
          </w:p>
        </w:tc>
        <w:tc>
          <w:tcPr>
            <w:tcW w:w="1134" w:type="dxa"/>
          </w:tcPr>
          <w:p w14:paraId="7E5AD36A" w14:textId="77777777" w:rsidR="00623679" w:rsidRPr="00264D5D" w:rsidRDefault="00623679" w:rsidP="00623679">
            <w:pPr>
              <w:pStyle w:val="GOSTTablenorm"/>
              <w:rPr>
                <w:szCs w:val="22"/>
              </w:rPr>
            </w:pPr>
            <w:r w:rsidRPr="00264D5D">
              <w:rPr>
                <w:szCs w:val="22"/>
              </w:rPr>
              <w:t>tMSC_SrcTypeComplex5</w:t>
            </w:r>
          </w:p>
        </w:tc>
        <w:tc>
          <w:tcPr>
            <w:tcW w:w="567" w:type="dxa"/>
          </w:tcPr>
          <w:p w14:paraId="7D6D81EA" w14:textId="77777777" w:rsidR="00623679" w:rsidRPr="00264D5D" w:rsidRDefault="00623679" w:rsidP="00623679">
            <w:pPr>
              <w:pStyle w:val="GOSTTablenorm"/>
              <w:jc w:val="center"/>
              <w:rPr>
                <w:szCs w:val="22"/>
              </w:rPr>
            </w:pPr>
            <w:r w:rsidRPr="00264D5D">
              <w:rPr>
                <w:szCs w:val="22"/>
              </w:rPr>
              <w:t>О</w:t>
            </w:r>
          </w:p>
        </w:tc>
        <w:tc>
          <w:tcPr>
            <w:tcW w:w="3964" w:type="dxa"/>
          </w:tcPr>
          <w:p w14:paraId="6D1DEA50" w14:textId="77777777" w:rsidR="00623679" w:rsidRPr="00264D5D" w:rsidRDefault="00623679" w:rsidP="00623679">
            <w:pPr>
              <w:pStyle w:val="GOSTTablenorm"/>
              <w:rPr>
                <w:szCs w:val="22"/>
              </w:rPr>
            </w:pPr>
            <w:r w:rsidRPr="00264D5D">
              <w:rPr>
                <w:szCs w:val="22"/>
              </w:rPr>
              <w:t xml:space="preserve">Указывается вид средств. </w:t>
            </w:r>
          </w:p>
          <w:p w14:paraId="2FB2E617" w14:textId="24AAEE93" w:rsidR="00623679" w:rsidRPr="00264D5D" w:rsidRDefault="00623679" w:rsidP="00623679">
            <w:pPr>
              <w:pStyle w:val="GOSTTablenorm"/>
              <w:rPr>
                <w:szCs w:val="22"/>
              </w:rPr>
            </w:pPr>
            <w:r w:rsidRPr="00264D5D">
              <w:rPr>
                <w:szCs w:val="22"/>
              </w:rPr>
              <w:t xml:space="preserve">Состав элемента представлен в таблице </w:t>
            </w:r>
            <w:r w:rsidRPr="00264D5D">
              <w:rPr>
                <w:szCs w:val="22"/>
              </w:rPr>
              <w:fldChar w:fldCharType="begin"/>
            </w:r>
            <w:r w:rsidRPr="00264D5D">
              <w:rPr>
                <w:szCs w:val="22"/>
              </w:rPr>
              <w:instrText xml:space="preserve"> REF _Ref503543834 \h  \* MERGEFORMAT </w:instrText>
            </w:r>
            <w:r w:rsidRPr="00264D5D">
              <w:rPr>
                <w:szCs w:val="22"/>
              </w:rPr>
            </w:r>
            <w:r w:rsidRPr="00264D5D">
              <w:rPr>
                <w:szCs w:val="22"/>
              </w:rPr>
              <w:fldChar w:fldCharType="separate"/>
            </w:r>
            <w:r w:rsidR="008D797C" w:rsidRPr="008D797C">
              <w:rPr>
                <w:szCs w:val="22"/>
              </w:rPr>
              <w:t>172</w:t>
            </w:r>
            <w:r w:rsidRPr="00264D5D">
              <w:rPr>
                <w:szCs w:val="22"/>
              </w:rPr>
              <w:fldChar w:fldCharType="end"/>
            </w:r>
          </w:p>
        </w:tc>
      </w:tr>
      <w:tr w:rsidR="00623679" w:rsidRPr="00264D5D" w14:paraId="1571A228" w14:textId="77777777" w:rsidTr="00B90B6A">
        <w:trPr>
          <w:cnfStyle w:val="000000100000" w:firstRow="0" w:lastRow="0" w:firstColumn="0" w:lastColumn="0" w:oddVBand="0" w:evenVBand="0" w:oddHBand="1" w:evenHBand="0" w:firstRowFirstColumn="0" w:firstRowLastColumn="0" w:lastRowFirstColumn="0" w:lastRowLastColumn="0"/>
        </w:trPr>
        <w:tc>
          <w:tcPr>
            <w:tcW w:w="1701" w:type="dxa"/>
          </w:tcPr>
          <w:p w14:paraId="7B2811DE" w14:textId="77777777" w:rsidR="00623679" w:rsidRPr="00264D5D" w:rsidRDefault="00623679" w:rsidP="00623679">
            <w:pPr>
              <w:pStyle w:val="GOSTTablenorm"/>
              <w:rPr>
                <w:szCs w:val="22"/>
              </w:rPr>
            </w:pPr>
            <w:r w:rsidRPr="00264D5D">
              <w:rPr>
                <w:szCs w:val="22"/>
              </w:rPr>
              <w:t>Номер запроса ТОФК</w:t>
            </w:r>
          </w:p>
        </w:tc>
        <w:tc>
          <w:tcPr>
            <w:tcW w:w="1701" w:type="dxa"/>
          </w:tcPr>
          <w:p w14:paraId="4B427DD7" w14:textId="77777777" w:rsidR="00623679" w:rsidRPr="00264D5D" w:rsidRDefault="00623679" w:rsidP="00623679">
            <w:pPr>
              <w:pStyle w:val="GOSTTablenorm"/>
              <w:rPr>
                <w:szCs w:val="22"/>
              </w:rPr>
            </w:pPr>
            <w:r w:rsidRPr="00264D5D">
              <w:rPr>
                <w:szCs w:val="22"/>
              </w:rPr>
              <w:t>UF_ClmNmOrFK</w:t>
            </w:r>
          </w:p>
        </w:tc>
        <w:tc>
          <w:tcPr>
            <w:tcW w:w="567" w:type="dxa"/>
          </w:tcPr>
          <w:p w14:paraId="50E27540" w14:textId="77777777" w:rsidR="00623679" w:rsidRPr="00264D5D" w:rsidRDefault="00623679" w:rsidP="00623679">
            <w:pPr>
              <w:pStyle w:val="GOSTTablenorm"/>
              <w:jc w:val="center"/>
              <w:rPr>
                <w:szCs w:val="22"/>
              </w:rPr>
            </w:pPr>
            <w:r w:rsidRPr="00264D5D">
              <w:rPr>
                <w:szCs w:val="22"/>
              </w:rPr>
              <w:t>П</w:t>
            </w:r>
          </w:p>
        </w:tc>
        <w:tc>
          <w:tcPr>
            <w:tcW w:w="1134" w:type="dxa"/>
          </w:tcPr>
          <w:p w14:paraId="1AB8F16B" w14:textId="77777777" w:rsidR="00623679" w:rsidRPr="00264D5D" w:rsidRDefault="00623679" w:rsidP="00623679">
            <w:pPr>
              <w:pStyle w:val="GOSTTablenorm"/>
              <w:rPr>
                <w:szCs w:val="22"/>
              </w:rPr>
            </w:pPr>
            <w:r w:rsidRPr="00264D5D">
              <w:rPr>
                <w:szCs w:val="22"/>
              </w:rPr>
              <w:t>Т(1-15)</w:t>
            </w:r>
          </w:p>
        </w:tc>
        <w:tc>
          <w:tcPr>
            <w:tcW w:w="567" w:type="dxa"/>
          </w:tcPr>
          <w:p w14:paraId="44124F31" w14:textId="77777777" w:rsidR="00623679" w:rsidRPr="00264D5D" w:rsidRDefault="00623679" w:rsidP="00623679">
            <w:pPr>
              <w:pStyle w:val="GOSTTablenorm"/>
              <w:jc w:val="center"/>
              <w:rPr>
                <w:szCs w:val="22"/>
              </w:rPr>
            </w:pPr>
            <w:r w:rsidRPr="00264D5D">
              <w:rPr>
                <w:szCs w:val="22"/>
              </w:rPr>
              <w:t>Н</w:t>
            </w:r>
          </w:p>
        </w:tc>
        <w:tc>
          <w:tcPr>
            <w:tcW w:w="3964" w:type="dxa"/>
          </w:tcPr>
          <w:p w14:paraId="0D74E2EB" w14:textId="77777777" w:rsidR="00623679" w:rsidRPr="00264D5D" w:rsidRDefault="00623679" w:rsidP="00623679">
            <w:pPr>
              <w:pStyle w:val="GOSTTablenorm"/>
              <w:rPr>
                <w:szCs w:val="22"/>
              </w:rPr>
            </w:pPr>
            <w:r w:rsidRPr="00264D5D">
              <w:rPr>
                <w:szCs w:val="22"/>
              </w:rPr>
              <w:t>Указывается номер запроса на выяснение принадлежности платежа.</w:t>
            </w:r>
          </w:p>
          <w:p w14:paraId="58321C39" w14:textId="77777777" w:rsidR="00623679" w:rsidRPr="00264D5D" w:rsidRDefault="00623679" w:rsidP="00623679">
            <w:pPr>
              <w:pStyle w:val="GOSTTablenorm"/>
              <w:rPr>
                <w:szCs w:val="22"/>
              </w:rPr>
            </w:pPr>
            <w:r w:rsidRPr="00264D5D">
              <w:rPr>
                <w:szCs w:val="22"/>
              </w:rPr>
              <w:t>Обязательно для заполнения при уточнении АДБ невыясненных поступлений, зачисляемых в федеральный бюджет, а также при уточнении поступлений, учтенных на казначейском счете до выяснения принадлежности</w:t>
            </w:r>
          </w:p>
        </w:tc>
      </w:tr>
      <w:tr w:rsidR="00623679" w:rsidRPr="00264D5D" w14:paraId="4E5FBEF6" w14:textId="77777777" w:rsidTr="00B90B6A">
        <w:trPr>
          <w:cnfStyle w:val="000000010000" w:firstRow="0" w:lastRow="0" w:firstColumn="0" w:lastColumn="0" w:oddVBand="0" w:evenVBand="0" w:oddHBand="0" w:evenHBand="1" w:firstRowFirstColumn="0" w:firstRowLastColumn="0" w:lastRowFirstColumn="0" w:lastRowLastColumn="0"/>
        </w:trPr>
        <w:tc>
          <w:tcPr>
            <w:tcW w:w="1701" w:type="dxa"/>
          </w:tcPr>
          <w:p w14:paraId="43669E24" w14:textId="77777777" w:rsidR="00623679" w:rsidRPr="00264D5D" w:rsidRDefault="00623679" w:rsidP="00623679">
            <w:pPr>
              <w:pStyle w:val="GOSTTablenorm"/>
              <w:rPr>
                <w:szCs w:val="22"/>
              </w:rPr>
            </w:pPr>
            <w:r w:rsidRPr="00264D5D">
              <w:rPr>
                <w:szCs w:val="22"/>
              </w:rPr>
              <w:t>Дата запроса</w:t>
            </w:r>
          </w:p>
        </w:tc>
        <w:tc>
          <w:tcPr>
            <w:tcW w:w="1701" w:type="dxa"/>
          </w:tcPr>
          <w:p w14:paraId="52CD9B1A" w14:textId="77777777" w:rsidR="00623679" w:rsidRPr="00264D5D" w:rsidRDefault="00623679" w:rsidP="00623679">
            <w:pPr>
              <w:pStyle w:val="GOSTTablenorm"/>
              <w:rPr>
                <w:szCs w:val="22"/>
              </w:rPr>
            </w:pPr>
            <w:r w:rsidRPr="00264D5D">
              <w:rPr>
                <w:szCs w:val="22"/>
              </w:rPr>
              <w:t>UF_ClmDt</w:t>
            </w:r>
          </w:p>
        </w:tc>
        <w:tc>
          <w:tcPr>
            <w:tcW w:w="567" w:type="dxa"/>
          </w:tcPr>
          <w:p w14:paraId="34C40DFC" w14:textId="77777777" w:rsidR="00623679" w:rsidRPr="00264D5D" w:rsidRDefault="00623679" w:rsidP="00623679">
            <w:pPr>
              <w:pStyle w:val="GOSTTablenorm"/>
              <w:jc w:val="center"/>
              <w:rPr>
                <w:szCs w:val="22"/>
              </w:rPr>
            </w:pPr>
            <w:r w:rsidRPr="00264D5D">
              <w:rPr>
                <w:szCs w:val="22"/>
              </w:rPr>
              <w:t>П</w:t>
            </w:r>
          </w:p>
        </w:tc>
        <w:tc>
          <w:tcPr>
            <w:tcW w:w="1134" w:type="dxa"/>
          </w:tcPr>
          <w:p w14:paraId="605958B5" w14:textId="77777777" w:rsidR="00623679" w:rsidRPr="00264D5D" w:rsidRDefault="00623679" w:rsidP="00623679">
            <w:pPr>
              <w:pStyle w:val="GOSTTablenorm"/>
              <w:rPr>
                <w:szCs w:val="22"/>
              </w:rPr>
            </w:pPr>
            <w:r w:rsidRPr="00264D5D">
              <w:rPr>
                <w:szCs w:val="22"/>
              </w:rPr>
              <w:t>Date</w:t>
            </w:r>
          </w:p>
        </w:tc>
        <w:tc>
          <w:tcPr>
            <w:tcW w:w="567" w:type="dxa"/>
          </w:tcPr>
          <w:p w14:paraId="5EAD01A0" w14:textId="77777777" w:rsidR="00623679" w:rsidRPr="00264D5D" w:rsidRDefault="00623679" w:rsidP="00623679">
            <w:pPr>
              <w:pStyle w:val="GOSTTablenorm"/>
              <w:jc w:val="center"/>
              <w:rPr>
                <w:szCs w:val="22"/>
              </w:rPr>
            </w:pPr>
            <w:r w:rsidRPr="00264D5D">
              <w:rPr>
                <w:szCs w:val="22"/>
              </w:rPr>
              <w:t>Н</w:t>
            </w:r>
          </w:p>
        </w:tc>
        <w:tc>
          <w:tcPr>
            <w:tcW w:w="3964" w:type="dxa"/>
          </w:tcPr>
          <w:p w14:paraId="2E244A37" w14:textId="77777777" w:rsidR="00623679" w:rsidRPr="00264D5D" w:rsidRDefault="00623679" w:rsidP="00623679">
            <w:pPr>
              <w:pStyle w:val="GOSTTablenorm"/>
              <w:rPr>
                <w:szCs w:val="22"/>
              </w:rPr>
            </w:pPr>
            <w:r w:rsidRPr="00264D5D">
              <w:rPr>
                <w:szCs w:val="22"/>
              </w:rPr>
              <w:t>Указывается дата Запроса на выяснение принадлежности платежа или дата подачи заявления контрагентом, в случае если Уведомление об уточнении вида и принадлежности платежа формируется на основании соответствующего заявления.</w:t>
            </w:r>
          </w:p>
          <w:p w14:paraId="413FF9D2" w14:textId="77777777" w:rsidR="00623679" w:rsidRPr="00264D5D" w:rsidRDefault="00623679" w:rsidP="00623679">
            <w:pPr>
              <w:pStyle w:val="GOSTTablenorm"/>
              <w:rPr>
                <w:szCs w:val="22"/>
              </w:rPr>
            </w:pPr>
            <w:r w:rsidRPr="00264D5D">
              <w:rPr>
                <w:szCs w:val="22"/>
              </w:rPr>
              <w:t>Обязательно для заполнения при уточнении АДБ невыясненных поступлений, зачисляемых в федеральный бюджет, а также при уточнении поступлений, учтенных на казначейском счете до выяснения принадлежности</w:t>
            </w:r>
          </w:p>
        </w:tc>
      </w:tr>
      <w:tr w:rsidR="00623679" w:rsidRPr="00264D5D" w14:paraId="57AF2CB3" w14:textId="77777777" w:rsidTr="00AD1F54">
        <w:trPr>
          <w:cnfStyle w:val="000000100000" w:firstRow="0" w:lastRow="0" w:firstColumn="0" w:lastColumn="0" w:oddVBand="0" w:evenVBand="0" w:oddHBand="1" w:evenHBand="0" w:firstRowFirstColumn="0" w:firstRowLastColumn="0" w:lastRowFirstColumn="0" w:lastRowLastColumn="0"/>
        </w:trPr>
        <w:tc>
          <w:tcPr>
            <w:tcW w:w="9634" w:type="dxa"/>
            <w:gridSpan w:val="6"/>
          </w:tcPr>
          <w:p w14:paraId="4A2DBCC2" w14:textId="77777777" w:rsidR="00623679" w:rsidRPr="00264D5D" w:rsidRDefault="00623679" w:rsidP="00623679">
            <w:pPr>
              <w:pStyle w:val="GOSTTablenorm"/>
              <w:rPr>
                <w:szCs w:val="22"/>
              </w:rPr>
            </w:pPr>
            <w:r w:rsidRPr="00264D5D">
              <w:rPr>
                <w:b/>
                <w:szCs w:val="22"/>
              </w:rPr>
              <w:t>Информация о плательщике</w:t>
            </w:r>
          </w:p>
        </w:tc>
      </w:tr>
      <w:tr w:rsidR="00623679" w:rsidRPr="00264D5D" w14:paraId="59F7A694" w14:textId="77777777" w:rsidTr="00B90B6A">
        <w:trPr>
          <w:cnfStyle w:val="000000010000" w:firstRow="0" w:lastRow="0" w:firstColumn="0" w:lastColumn="0" w:oddVBand="0" w:evenVBand="0" w:oddHBand="0" w:evenHBand="1" w:firstRowFirstColumn="0" w:firstRowLastColumn="0" w:lastRowFirstColumn="0" w:lastRowLastColumn="0"/>
        </w:trPr>
        <w:tc>
          <w:tcPr>
            <w:tcW w:w="1701" w:type="dxa"/>
          </w:tcPr>
          <w:p w14:paraId="7652C124" w14:textId="77777777" w:rsidR="00623679" w:rsidRPr="00264D5D" w:rsidRDefault="00623679" w:rsidP="00623679">
            <w:pPr>
              <w:pStyle w:val="GOSTTablenorm"/>
              <w:rPr>
                <w:i/>
                <w:szCs w:val="22"/>
              </w:rPr>
            </w:pPr>
            <w:r w:rsidRPr="00264D5D">
              <w:rPr>
                <w:szCs w:val="22"/>
              </w:rPr>
              <w:t>Информация о плательщике</w:t>
            </w:r>
          </w:p>
        </w:tc>
        <w:tc>
          <w:tcPr>
            <w:tcW w:w="1701" w:type="dxa"/>
          </w:tcPr>
          <w:p w14:paraId="5FC8746B" w14:textId="77777777" w:rsidR="00623679" w:rsidRPr="00264D5D" w:rsidRDefault="00623679" w:rsidP="00623679">
            <w:pPr>
              <w:pStyle w:val="GOSTTablenorm"/>
              <w:rPr>
                <w:szCs w:val="22"/>
                <w:lang w:val="en-US"/>
              </w:rPr>
            </w:pPr>
            <w:r w:rsidRPr="00264D5D">
              <w:rPr>
                <w:szCs w:val="22"/>
              </w:rPr>
              <w:t>UF_MSC_Pyr</w:t>
            </w:r>
          </w:p>
        </w:tc>
        <w:tc>
          <w:tcPr>
            <w:tcW w:w="567" w:type="dxa"/>
          </w:tcPr>
          <w:p w14:paraId="28270DE8" w14:textId="77777777" w:rsidR="00623679" w:rsidRPr="00264D5D" w:rsidRDefault="00623679" w:rsidP="00623679">
            <w:pPr>
              <w:pStyle w:val="GOSTTablenorm"/>
              <w:jc w:val="center"/>
              <w:rPr>
                <w:szCs w:val="22"/>
              </w:rPr>
            </w:pPr>
            <w:r w:rsidRPr="00264D5D">
              <w:rPr>
                <w:szCs w:val="22"/>
              </w:rPr>
              <w:t>С</w:t>
            </w:r>
          </w:p>
        </w:tc>
        <w:tc>
          <w:tcPr>
            <w:tcW w:w="1134" w:type="dxa"/>
          </w:tcPr>
          <w:p w14:paraId="7D4D395F" w14:textId="77777777" w:rsidR="00623679" w:rsidRPr="00264D5D" w:rsidRDefault="00623679" w:rsidP="00623679">
            <w:pPr>
              <w:pStyle w:val="GOSTTablenorm"/>
              <w:rPr>
                <w:szCs w:val="22"/>
                <w:lang w:val="en-US"/>
              </w:rPr>
            </w:pPr>
            <w:r w:rsidRPr="00264D5D">
              <w:rPr>
                <w:szCs w:val="22"/>
              </w:rPr>
              <w:t>tMSC_Pyr</w:t>
            </w:r>
          </w:p>
        </w:tc>
        <w:tc>
          <w:tcPr>
            <w:tcW w:w="567" w:type="dxa"/>
          </w:tcPr>
          <w:p w14:paraId="169EE547" w14:textId="77777777" w:rsidR="00623679" w:rsidRPr="00264D5D" w:rsidRDefault="00623679" w:rsidP="00623679">
            <w:pPr>
              <w:pStyle w:val="GOSTTablenorm"/>
              <w:jc w:val="center"/>
              <w:rPr>
                <w:szCs w:val="22"/>
              </w:rPr>
            </w:pPr>
            <w:r w:rsidRPr="00264D5D">
              <w:rPr>
                <w:szCs w:val="22"/>
              </w:rPr>
              <w:t>Н</w:t>
            </w:r>
          </w:p>
        </w:tc>
        <w:tc>
          <w:tcPr>
            <w:tcW w:w="3964" w:type="dxa"/>
          </w:tcPr>
          <w:p w14:paraId="68CEA0B1" w14:textId="113B935A" w:rsidR="00623679" w:rsidRPr="00264D5D" w:rsidRDefault="00623679" w:rsidP="00623679">
            <w:pPr>
              <w:pStyle w:val="GOSTTablenorm"/>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_Ref503543871 \h  \* MERGEFORMAT </w:instrText>
            </w:r>
            <w:r w:rsidRPr="00264D5D">
              <w:rPr>
                <w:b/>
                <w:szCs w:val="22"/>
              </w:rPr>
            </w:r>
            <w:r w:rsidRPr="00264D5D">
              <w:rPr>
                <w:b/>
                <w:szCs w:val="22"/>
              </w:rPr>
              <w:fldChar w:fldCharType="separate"/>
            </w:r>
            <w:r w:rsidR="008D797C" w:rsidRPr="008D797C">
              <w:rPr>
                <w:b/>
                <w:szCs w:val="22"/>
              </w:rPr>
              <w:t>173</w:t>
            </w:r>
            <w:r w:rsidRPr="00264D5D">
              <w:rPr>
                <w:b/>
                <w:szCs w:val="22"/>
              </w:rPr>
              <w:fldChar w:fldCharType="end"/>
            </w:r>
          </w:p>
        </w:tc>
      </w:tr>
      <w:tr w:rsidR="00623679" w:rsidRPr="00264D5D" w14:paraId="5F7EA21D" w14:textId="77777777" w:rsidTr="00B90B6A">
        <w:trPr>
          <w:cnfStyle w:val="000000100000" w:firstRow="0" w:lastRow="0" w:firstColumn="0" w:lastColumn="0" w:oddVBand="0" w:evenVBand="0" w:oddHBand="1" w:evenHBand="0" w:firstRowFirstColumn="0" w:firstRowLastColumn="0" w:lastRowFirstColumn="0" w:lastRowLastColumn="0"/>
        </w:trPr>
        <w:tc>
          <w:tcPr>
            <w:tcW w:w="1701" w:type="dxa"/>
          </w:tcPr>
          <w:p w14:paraId="0CBE5469" w14:textId="77777777" w:rsidR="00623679" w:rsidRPr="00264D5D" w:rsidRDefault="00623679" w:rsidP="00623679">
            <w:pPr>
              <w:pStyle w:val="GOSTTablenorm"/>
              <w:rPr>
                <w:szCs w:val="22"/>
              </w:rPr>
            </w:pPr>
            <w:r w:rsidRPr="00264D5D">
              <w:rPr>
                <w:szCs w:val="22"/>
              </w:rPr>
              <w:t>Паспортные данные плательщика</w:t>
            </w:r>
          </w:p>
        </w:tc>
        <w:tc>
          <w:tcPr>
            <w:tcW w:w="1701" w:type="dxa"/>
          </w:tcPr>
          <w:p w14:paraId="7CB8EF0C" w14:textId="77777777" w:rsidR="00623679" w:rsidRPr="00264D5D" w:rsidRDefault="00623679" w:rsidP="00623679">
            <w:pPr>
              <w:pStyle w:val="GOSTTablenorm"/>
              <w:rPr>
                <w:szCs w:val="22"/>
              </w:rPr>
            </w:pPr>
            <w:r w:rsidRPr="00264D5D">
              <w:rPr>
                <w:szCs w:val="22"/>
              </w:rPr>
              <w:t>UF_PyPsDtls</w:t>
            </w:r>
          </w:p>
        </w:tc>
        <w:tc>
          <w:tcPr>
            <w:tcW w:w="567" w:type="dxa"/>
          </w:tcPr>
          <w:p w14:paraId="5DB79452" w14:textId="77777777" w:rsidR="00623679" w:rsidRPr="00264D5D" w:rsidRDefault="00623679" w:rsidP="00623679">
            <w:pPr>
              <w:pStyle w:val="GOSTTablenorm"/>
              <w:jc w:val="center"/>
              <w:rPr>
                <w:szCs w:val="22"/>
              </w:rPr>
            </w:pPr>
            <w:r w:rsidRPr="00264D5D">
              <w:rPr>
                <w:szCs w:val="22"/>
              </w:rPr>
              <w:t>П</w:t>
            </w:r>
          </w:p>
        </w:tc>
        <w:tc>
          <w:tcPr>
            <w:tcW w:w="1134" w:type="dxa"/>
          </w:tcPr>
          <w:p w14:paraId="66C1FC75" w14:textId="77777777" w:rsidR="00623679" w:rsidRPr="00264D5D" w:rsidRDefault="00623679" w:rsidP="00623679">
            <w:pPr>
              <w:pStyle w:val="GOSTTablenorm"/>
              <w:rPr>
                <w:szCs w:val="22"/>
              </w:rPr>
            </w:pPr>
            <w:r w:rsidRPr="00264D5D">
              <w:rPr>
                <w:szCs w:val="22"/>
              </w:rPr>
              <w:t>Т(1-1000)</w:t>
            </w:r>
          </w:p>
        </w:tc>
        <w:tc>
          <w:tcPr>
            <w:tcW w:w="567" w:type="dxa"/>
          </w:tcPr>
          <w:p w14:paraId="3AFEF935" w14:textId="77777777" w:rsidR="00623679" w:rsidRPr="00264D5D" w:rsidRDefault="00623679" w:rsidP="00623679">
            <w:pPr>
              <w:pStyle w:val="GOSTTablenorm"/>
              <w:jc w:val="center"/>
              <w:rPr>
                <w:szCs w:val="22"/>
              </w:rPr>
            </w:pPr>
            <w:r w:rsidRPr="00264D5D">
              <w:rPr>
                <w:szCs w:val="22"/>
              </w:rPr>
              <w:t>Н</w:t>
            </w:r>
          </w:p>
        </w:tc>
        <w:tc>
          <w:tcPr>
            <w:tcW w:w="3964" w:type="dxa"/>
          </w:tcPr>
          <w:p w14:paraId="62AB44E3" w14:textId="77777777" w:rsidR="00623679" w:rsidRPr="00264D5D" w:rsidRDefault="00623679" w:rsidP="00623679">
            <w:pPr>
              <w:pStyle w:val="GOSTTablenorm"/>
              <w:rPr>
                <w:szCs w:val="22"/>
              </w:rPr>
            </w:pPr>
            <w:r w:rsidRPr="00264D5D">
              <w:rPr>
                <w:szCs w:val="22"/>
              </w:rPr>
              <w:t>Указывается серия, номер, паспорта, его дата выдачи и кем выдан паспорт. Для учреждения, организации плательщика – не заполняется</w:t>
            </w:r>
          </w:p>
        </w:tc>
      </w:tr>
      <w:tr w:rsidR="00623679" w:rsidRPr="00264D5D" w14:paraId="5474490C" w14:textId="77777777" w:rsidTr="00AD1F54">
        <w:trPr>
          <w:cnfStyle w:val="000000010000" w:firstRow="0" w:lastRow="0" w:firstColumn="0" w:lastColumn="0" w:oddVBand="0" w:evenVBand="0" w:oddHBand="0" w:evenHBand="1" w:firstRowFirstColumn="0" w:firstRowLastColumn="0" w:lastRowFirstColumn="0" w:lastRowLastColumn="0"/>
        </w:trPr>
        <w:tc>
          <w:tcPr>
            <w:tcW w:w="9634" w:type="dxa"/>
            <w:gridSpan w:val="6"/>
          </w:tcPr>
          <w:p w14:paraId="181E10B9" w14:textId="77777777" w:rsidR="00623679" w:rsidRPr="00264D5D" w:rsidRDefault="00623679" w:rsidP="00623679">
            <w:pPr>
              <w:pStyle w:val="GOSTTablenorm"/>
              <w:rPr>
                <w:szCs w:val="22"/>
              </w:rPr>
            </w:pPr>
            <w:r w:rsidRPr="00264D5D">
              <w:rPr>
                <w:b/>
                <w:szCs w:val="22"/>
              </w:rPr>
              <w:t>Подписи</w:t>
            </w:r>
          </w:p>
        </w:tc>
      </w:tr>
      <w:tr w:rsidR="00623679" w:rsidRPr="00264D5D" w14:paraId="0A561D05" w14:textId="77777777" w:rsidTr="00B90B6A">
        <w:trPr>
          <w:cnfStyle w:val="000000100000" w:firstRow="0" w:lastRow="0" w:firstColumn="0" w:lastColumn="0" w:oddVBand="0" w:evenVBand="0" w:oddHBand="1" w:evenHBand="0" w:firstRowFirstColumn="0" w:firstRowLastColumn="0" w:lastRowFirstColumn="0" w:lastRowLastColumn="0"/>
        </w:trPr>
        <w:tc>
          <w:tcPr>
            <w:tcW w:w="1701" w:type="dxa"/>
          </w:tcPr>
          <w:p w14:paraId="0C2321E9" w14:textId="77777777" w:rsidR="00623679" w:rsidRPr="00264D5D" w:rsidRDefault="00623679" w:rsidP="00623679">
            <w:pPr>
              <w:pStyle w:val="GOSTTablenorm"/>
              <w:rPr>
                <w:i/>
                <w:szCs w:val="22"/>
              </w:rPr>
            </w:pPr>
            <w:r w:rsidRPr="00264D5D">
              <w:rPr>
                <w:szCs w:val="22"/>
              </w:rPr>
              <w:t>Информация о руководителе</w:t>
            </w:r>
          </w:p>
        </w:tc>
        <w:tc>
          <w:tcPr>
            <w:tcW w:w="1701" w:type="dxa"/>
          </w:tcPr>
          <w:p w14:paraId="3AD8A53C" w14:textId="77777777" w:rsidR="00623679" w:rsidRPr="00264D5D" w:rsidRDefault="00623679" w:rsidP="00623679">
            <w:pPr>
              <w:pStyle w:val="GOSTTablenorm"/>
              <w:rPr>
                <w:szCs w:val="22"/>
              </w:rPr>
            </w:pPr>
            <w:r w:rsidRPr="00264D5D">
              <w:rPr>
                <w:szCs w:val="22"/>
              </w:rPr>
              <w:t>UF_MSC_Hd</w:t>
            </w:r>
          </w:p>
        </w:tc>
        <w:tc>
          <w:tcPr>
            <w:tcW w:w="567" w:type="dxa"/>
          </w:tcPr>
          <w:p w14:paraId="2447D47A" w14:textId="77777777" w:rsidR="00623679" w:rsidRPr="00264D5D" w:rsidRDefault="00623679" w:rsidP="00623679">
            <w:pPr>
              <w:pStyle w:val="GOSTTablenorm"/>
              <w:jc w:val="center"/>
              <w:rPr>
                <w:szCs w:val="22"/>
              </w:rPr>
            </w:pPr>
            <w:r w:rsidRPr="00264D5D">
              <w:rPr>
                <w:szCs w:val="22"/>
                <w:lang w:val="en-US"/>
              </w:rPr>
              <w:t>C</w:t>
            </w:r>
          </w:p>
        </w:tc>
        <w:tc>
          <w:tcPr>
            <w:tcW w:w="1134" w:type="dxa"/>
          </w:tcPr>
          <w:p w14:paraId="72AF1273" w14:textId="77777777" w:rsidR="00623679" w:rsidRPr="00264D5D" w:rsidRDefault="00623679" w:rsidP="00623679">
            <w:pPr>
              <w:pStyle w:val="GOSTTablenorm"/>
              <w:rPr>
                <w:szCs w:val="22"/>
              </w:rPr>
            </w:pPr>
            <w:r w:rsidRPr="00264D5D">
              <w:rPr>
                <w:szCs w:val="22"/>
              </w:rPr>
              <w:t>tSGNNmPs1</w:t>
            </w:r>
          </w:p>
        </w:tc>
        <w:tc>
          <w:tcPr>
            <w:tcW w:w="567" w:type="dxa"/>
          </w:tcPr>
          <w:p w14:paraId="4163C694" w14:textId="77777777" w:rsidR="00623679" w:rsidRPr="00264D5D" w:rsidRDefault="00623679" w:rsidP="00623679">
            <w:pPr>
              <w:pStyle w:val="GOSTTablenorm"/>
              <w:jc w:val="center"/>
              <w:rPr>
                <w:szCs w:val="22"/>
              </w:rPr>
            </w:pPr>
            <w:r w:rsidRPr="00264D5D">
              <w:rPr>
                <w:szCs w:val="22"/>
              </w:rPr>
              <w:t>Н</w:t>
            </w:r>
          </w:p>
        </w:tc>
        <w:tc>
          <w:tcPr>
            <w:tcW w:w="3964" w:type="dxa"/>
          </w:tcPr>
          <w:p w14:paraId="2BC5FEE6" w14:textId="2D53D940" w:rsidR="00623679" w:rsidRPr="00264D5D" w:rsidRDefault="00623679" w:rsidP="00623679">
            <w:pPr>
              <w:pStyle w:val="GOSTTablenorm"/>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_Ref531604040 \h  \* MERGEFORMAT </w:instrText>
            </w:r>
            <w:r w:rsidRPr="00264D5D">
              <w:rPr>
                <w:b/>
                <w:szCs w:val="22"/>
              </w:rPr>
            </w:r>
            <w:r w:rsidRPr="00264D5D">
              <w:rPr>
                <w:b/>
                <w:szCs w:val="22"/>
              </w:rPr>
              <w:fldChar w:fldCharType="separate"/>
            </w:r>
            <w:r w:rsidR="008D797C" w:rsidRPr="008D797C">
              <w:rPr>
                <w:b/>
                <w:szCs w:val="22"/>
              </w:rPr>
              <w:t>124</w:t>
            </w:r>
            <w:r w:rsidRPr="00264D5D">
              <w:rPr>
                <w:b/>
                <w:szCs w:val="22"/>
              </w:rPr>
              <w:fldChar w:fldCharType="end"/>
            </w:r>
            <w:r w:rsidRPr="00264D5D">
              <w:rPr>
                <w:szCs w:val="22"/>
              </w:rPr>
              <w:t>.</w:t>
            </w:r>
          </w:p>
          <w:p w14:paraId="65D07CF1" w14:textId="77777777" w:rsidR="00623679" w:rsidRPr="00264D5D" w:rsidRDefault="00623679" w:rsidP="00A62C68">
            <w:pPr>
              <w:pStyle w:val="GOSTTablenorm"/>
              <w:rPr>
                <w:szCs w:val="22"/>
              </w:rPr>
            </w:pPr>
            <w:r w:rsidRPr="00264D5D">
              <w:rPr>
                <w:szCs w:val="22"/>
              </w:rPr>
              <w:t xml:space="preserve">Для маршрутов ПБС (ПФХД) – ТОФК (ПУР ЭБ), </w:t>
            </w:r>
            <w:r w:rsidR="00A62C68">
              <w:rPr>
                <w:szCs w:val="22"/>
              </w:rPr>
              <w:t>ПБС</w:t>
            </w:r>
            <w:r w:rsidRPr="00264D5D">
              <w:rPr>
                <w:szCs w:val="22"/>
              </w:rPr>
              <w:t xml:space="preserve"> – ТОФК (ПУР ЭБ), ТОФК (ПУР ЭБ) – ЕИС поле «ФИО» </w:t>
            </w:r>
            <w:r w:rsidRPr="00264D5D">
              <w:rPr>
                <w:szCs w:val="22"/>
              </w:rPr>
              <w:lastRenderedPageBreak/>
              <w:t>обязательно для заполнения</w:t>
            </w:r>
          </w:p>
        </w:tc>
      </w:tr>
      <w:tr w:rsidR="00623679" w:rsidRPr="00264D5D" w14:paraId="3AFB5450" w14:textId="77777777" w:rsidTr="00B90B6A">
        <w:trPr>
          <w:cnfStyle w:val="000000010000" w:firstRow="0" w:lastRow="0" w:firstColumn="0" w:lastColumn="0" w:oddVBand="0" w:evenVBand="0" w:oddHBand="0" w:evenHBand="1" w:firstRowFirstColumn="0" w:firstRowLastColumn="0" w:lastRowFirstColumn="0" w:lastRowLastColumn="0"/>
        </w:trPr>
        <w:tc>
          <w:tcPr>
            <w:tcW w:w="1701" w:type="dxa"/>
          </w:tcPr>
          <w:p w14:paraId="24A3F8C6" w14:textId="77777777" w:rsidR="00623679" w:rsidRPr="00264D5D" w:rsidRDefault="00623679" w:rsidP="00623679">
            <w:pPr>
              <w:pStyle w:val="GOSTTablenorm"/>
              <w:rPr>
                <w:szCs w:val="22"/>
              </w:rPr>
            </w:pPr>
            <w:r w:rsidRPr="00264D5D">
              <w:rPr>
                <w:szCs w:val="22"/>
              </w:rPr>
              <w:lastRenderedPageBreak/>
              <w:t>Информация об ответственном исполнителе</w:t>
            </w:r>
          </w:p>
        </w:tc>
        <w:tc>
          <w:tcPr>
            <w:tcW w:w="1701" w:type="dxa"/>
          </w:tcPr>
          <w:p w14:paraId="418B80FF" w14:textId="77777777" w:rsidR="00623679" w:rsidRPr="00264D5D" w:rsidRDefault="00623679" w:rsidP="00623679">
            <w:pPr>
              <w:pStyle w:val="GOSTTablenorm"/>
              <w:rPr>
                <w:szCs w:val="22"/>
              </w:rPr>
            </w:pPr>
            <w:r w:rsidRPr="00264D5D">
              <w:rPr>
                <w:szCs w:val="22"/>
              </w:rPr>
              <w:t>UF_MSC_RspnExctr</w:t>
            </w:r>
          </w:p>
        </w:tc>
        <w:tc>
          <w:tcPr>
            <w:tcW w:w="567" w:type="dxa"/>
          </w:tcPr>
          <w:p w14:paraId="1FE091E7" w14:textId="77777777" w:rsidR="00623679" w:rsidRPr="00264D5D" w:rsidRDefault="00623679" w:rsidP="00623679">
            <w:pPr>
              <w:pStyle w:val="GOSTTablenorm"/>
              <w:jc w:val="center"/>
              <w:rPr>
                <w:szCs w:val="22"/>
                <w:lang w:val="en-US"/>
              </w:rPr>
            </w:pPr>
            <w:r w:rsidRPr="00264D5D">
              <w:rPr>
                <w:szCs w:val="22"/>
              </w:rPr>
              <w:t>С</w:t>
            </w:r>
          </w:p>
        </w:tc>
        <w:tc>
          <w:tcPr>
            <w:tcW w:w="1134" w:type="dxa"/>
          </w:tcPr>
          <w:p w14:paraId="054A078A" w14:textId="77777777" w:rsidR="00623679" w:rsidRPr="00264D5D" w:rsidRDefault="00623679" w:rsidP="00623679">
            <w:pPr>
              <w:pStyle w:val="GOSTTablenorm"/>
              <w:rPr>
                <w:szCs w:val="22"/>
              </w:rPr>
            </w:pPr>
            <w:r w:rsidRPr="00264D5D">
              <w:rPr>
                <w:szCs w:val="22"/>
              </w:rPr>
              <w:t>tSGNNmPsPh</w:t>
            </w:r>
          </w:p>
        </w:tc>
        <w:tc>
          <w:tcPr>
            <w:tcW w:w="567" w:type="dxa"/>
          </w:tcPr>
          <w:p w14:paraId="040FEA97" w14:textId="77777777" w:rsidR="00623679" w:rsidRPr="00264D5D" w:rsidRDefault="00623679" w:rsidP="00623679">
            <w:pPr>
              <w:pStyle w:val="GOSTTablenorm"/>
              <w:jc w:val="center"/>
              <w:rPr>
                <w:szCs w:val="22"/>
              </w:rPr>
            </w:pPr>
            <w:r w:rsidRPr="00264D5D">
              <w:rPr>
                <w:szCs w:val="22"/>
              </w:rPr>
              <w:t>О</w:t>
            </w:r>
          </w:p>
        </w:tc>
        <w:tc>
          <w:tcPr>
            <w:tcW w:w="3964" w:type="dxa"/>
          </w:tcPr>
          <w:p w14:paraId="71A751D5" w14:textId="0FE6AB1A" w:rsidR="00623679" w:rsidRPr="00264D5D" w:rsidRDefault="00623679" w:rsidP="00623679">
            <w:pPr>
              <w:pStyle w:val="GOSTTablenorm"/>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_Ref503543910 \h  \* MERGEFORMAT </w:instrText>
            </w:r>
            <w:r w:rsidRPr="00264D5D">
              <w:rPr>
                <w:b/>
                <w:szCs w:val="22"/>
              </w:rPr>
            </w:r>
            <w:r w:rsidRPr="00264D5D">
              <w:rPr>
                <w:b/>
                <w:szCs w:val="22"/>
              </w:rPr>
              <w:fldChar w:fldCharType="separate"/>
            </w:r>
            <w:r w:rsidR="008D797C" w:rsidRPr="008D797C">
              <w:rPr>
                <w:b/>
                <w:szCs w:val="22"/>
              </w:rPr>
              <w:t>174</w:t>
            </w:r>
            <w:r w:rsidRPr="00264D5D">
              <w:rPr>
                <w:b/>
                <w:szCs w:val="22"/>
              </w:rPr>
              <w:fldChar w:fldCharType="end"/>
            </w:r>
          </w:p>
        </w:tc>
      </w:tr>
      <w:tr w:rsidR="00623679" w:rsidRPr="00264D5D" w14:paraId="28106C53" w14:textId="77777777" w:rsidTr="00B90B6A">
        <w:trPr>
          <w:cnfStyle w:val="000000100000" w:firstRow="0" w:lastRow="0" w:firstColumn="0" w:lastColumn="0" w:oddVBand="0" w:evenVBand="0" w:oddHBand="1" w:evenHBand="0" w:firstRowFirstColumn="0" w:firstRowLastColumn="0" w:lastRowFirstColumn="0" w:lastRowLastColumn="0"/>
        </w:trPr>
        <w:tc>
          <w:tcPr>
            <w:tcW w:w="1701" w:type="dxa"/>
          </w:tcPr>
          <w:p w14:paraId="56DE4552" w14:textId="77777777" w:rsidR="00623679" w:rsidRPr="00264D5D" w:rsidRDefault="00623679" w:rsidP="00623679">
            <w:pPr>
              <w:pStyle w:val="GOSTTablenorm"/>
              <w:rPr>
                <w:szCs w:val="22"/>
              </w:rPr>
            </w:pPr>
            <w:r w:rsidRPr="00264D5D">
              <w:rPr>
                <w:szCs w:val="22"/>
              </w:rPr>
              <w:t>Дата подписания документа</w:t>
            </w:r>
          </w:p>
        </w:tc>
        <w:tc>
          <w:tcPr>
            <w:tcW w:w="1701" w:type="dxa"/>
          </w:tcPr>
          <w:p w14:paraId="281646D6" w14:textId="77777777" w:rsidR="00623679" w:rsidRPr="00264D5D" w:rsidRDefault="00623679" w:rsidP="00623679">
            <w:pPr>
              <w:pStyle w:val="GOSTTablenorm"/>
              <w:rPr>
                <w:szCs w:val="22"/>
              </w:rPr>
            </w:pPr>
            <w:r w:rsidRPr="00264D5D">
              <w:rPr>
                <w:szCs w:val="22"/>
              </w:rPr>
              <w:t>UF_SgngDt</w:t>
            </w:r>
          </w:p>
        </w:tc>
        <w:tc>
          <w:tcPr>
            <w:tcW w:w="567" w:type="dxa"/>
          </w:tcPr>
          <w:p w14:paraId="79A856BB" w14:textId="77777777" w:rsidR="00623679" w:rsidRPr="00264D5D" w:rsidRDefault="00623679" w:rsidP="00623679">
            <w:pPr>
              <w:pStyle w:val="GOSTTablenorm"/>
              <w:jc w:val="center"/>
              <w:rPr>
                <w:szCs w:val="22"/>
              </w:rPr>
            </w:pPr>
            <w:r w:rsidRPr="00264D5D">
              <w:rPr>
                <w:szCs w:val="22"/>
              </w:rPr>
              <w:t>П</w:t>
            </w:r>
          </w:p>
        </w:tc>
        <w:tc>
          <w:tcPr>
            <w:tcW w:w="1134" w:type="dxa"/>
          </w:tcPr>
          <w:p w14:paraId="4A143FB7" w14:textId="77777777" w:rsidR="00623679" w:rsidRPr="00264D5D" w:rsidRDefault="00623679" w:rsidP="00623679">
            <w:pPr>
              <w:pStyle w:val="GOSTTablenorm"/>
              <w:rPr>
                <w:szCs w:val="22"/>
              </w:rPr>
            </w:pPr>
            <w:r w:rsidRPr="00264D5D">
              <w:rPr>
                <w:szCs w:val="22"/>
                <w:lang w:val="en-US"/>
              </w:rPr>
              <w:t>Date</w:t>
            </w:r>
          </w:p>
        </w:tc>
        <w:tc>
          <w:tcPr>
            <w:tcW w:w="567" w:type="dxa"/>
          </w:tcPr>
          <w:p w14:paraId="05DD2C05" w14:textId="77777777" w:rsidR="00623679" w:rsidRPr="00264D5D" w:rsidRDefault="00623679" w:rsidP="00623679">
            <w:pPr>
              <w:pStyle w:val="GOSTTablenorm"/>
              <w:jc w:val="center"/>
              <w:rPr>
                <w:szCs w:val="22"/>
              </w:rPr>
            </w:pPr>
            <w:r w:rsidRPr="00264D5D">
              <w:rPr>
                <w:szCs w:val="22"/>
              </w:rPr>
              <w:t>Н</w:t>
            </w:r>
          </w:p>
        </w:tc>
        <w:tc>
          <w:tcPr>
            <w:tcW w:w="3964" w:type="dxa"/>
          </w:tcPr>
          <w:p w14:paraId="10EE7BCF" w14:textId="77777777" w:rsidR="00623679" w:rsidRPr="00264D5D" w:rsidRDefault="00623679" w:rsidP="00623679">
            <w:pPr>
              <w:pStyle w:val="GOSTTablenorm"/>
              <w:rPr>
                <w:szCs w:val="22"/>
              </w:rPr>
            </w:pPr>
            <w:r w:rsidRPr="00264D5D">
              <w:rPr>
                <w:szCs w:val="22"/>
              </w:rPr>
              <w:t>Дата подписания документа</w:t>
            </w:r>
          </w:p>
        </w:tc>
      </w:tr>
      <w:tr w:rsidR="00623679" w:rsidRPr="00264D5D" w14:paraId="576151ED" w14:textId="77777777" w:rsidTr="00AD1F54">
        <w:trPr>
          <w:cnfStyle w:val="000000010000" w:firstRow="0" w:lastRow="0" w:firstColumn="0" w:lastColumn="0" w:oddVBand="0" w:evenVBand="0" w:oddHBand="0" w:evenHBand="1" w:firstRowFirstColumn="0" w:firstRowLastColumn="0" w:lastRowFirstColumn="0" w:lastRowLastColumn="0"/>
        </w:trPr>
        <w:tc>
          <w:tcPr>
            <w:tcW w:w="9634" w:type="dxa"/>
            <w:gridSpan w:val="6"/>
          </w:tcPr>
          <w:p w14:paraId="19186181" w14:textId="77777777" w:rsidR="00623679" w:rsidRPr="00264D5D" w:rsidRDefault="00623679" w:rsidP="00623679">
            <w:pPr>
              <w:pStyle w:val="GOSTTablenorm"/>
              <w:rPr>
                <w:szCs w:val="22"/>
              </w:rPr>
            </w:pPr>
            <w:r w:rsidRPr="00264D5D">
              <w:rPr>
                <w:b/>
                <w:szCs w:val="22"/>
              </w:rPr>
              <w:t>Отметка ТОФК</w:t>
            </w:r>
          </w:p>
        </w:tc>
      </w:tr>
      <w:tr w:rsidR="00623679" w:rsidRPr="00264D5D" w14:paraId="54637B76" w14:textId="77777777" w:rsidTr="00B90B6A">
        <w:trPr>
          <w:cnfStyle w:val="000000100000" w:firstRow="0" w:lastRow="0" w:firstColumn="0" w:lastColumn="0" w:oddVBand="0" w:evenVBand="0" w:oddHBand="1" w:evenHBand="0" w:firstRowFirstColumn="0" w:firstRowLastColumn="0" w:lastRowFirstColumn="0" w:lastRowLastColumn="0"/>
        </w:trPr>
        <w:tc>
          <w:tcPr>
            <w:tcW w:w="1701" w:type="dxa"/>
          </w:tcPr>
          <w:p w14:paraId="4B90D68D" w14:textId="77777777" w:rsidR="00623679" w:rsidRPr="00264D5D" w:rsidRDefault="00623679" w:rsidP="00623679">
            <w:pPr>
              <w:pStyle w:val="GOSTTablenorm"/>
              <w:rPr>
                <w:i/>
                <w:szCs w:val="22"/>
              </w:rPr>
            </w:pPr>
            <w:r w:rsidRPr="00264D5D">
              <w:rPr>
                <w:szCs w:val="22"/>
              </w:rPr>
              <w:t>Информация о руководителе ТОФК</w:t>
            </w:r>
          </w:p>
        </w:tc>
        <w:tc>
          <w:tcPr>
            <w:tcW w:w="1701" w:type="dxa"/>
          </w:tcPr>
          <w:p w14:paraId="0E83B6D1" w14:textId="77777777" w:rsidR="00623679" w:rsidRPr="00264D5D" w:rsidRDefault="00623679" w:rsidP="00623679">
            <w:pPr>
              <w:pStyle w:val="GOSTTablenorm"/>
              <w:rPr>
                <w:szCs w:val="22"/>
              </w:rPr>
            </w:pPr>
            <w:r w:rsidRPr="00264D5D">
              <w:rPr>
                <w:szCs w:val="22"/>
              </w:rPr>
              <w:t>UF_MSC_HdOrFK</w:t>
            </w:r>
          </w:p>
        </w:tc>
        <w:tc>
          <w:tcPr>
            <w:tcW w:w="567" w:type="dxa"/>
          </w:tcPr>
          <w:p w14:paraId="6E09305D" w14:textId="77777777" w:rsidR="00623679" w:rsidRPr="00264D5D" w:rsidRDefault="00623679" w:rsidP="00623679">
            <w:pPr>
              <w:pStyle w:val="GOSTTablenorm"/>
              <w:jc w:val="center"/>
              <w:rPr>
                <w:szCs w:val="22"/>
              </w:rPr>
            </w:pPr>
            <w:r w:rsidRPr="00264D5D">
              <w:rPr>
                <w:szCs w:val="22"/>
                <w:lang w:val="en-US"/>
              </w:rPr>
              <w:t>C</w:t>
            </w:r>
          </w:p>
        </w:tc>
        <w:tc>
          <w:tcPr>
            <w:tcW w:w="1134" w:type="dxa"/>
          </w:tcPr>
          <w:p w14:paraId="719141B7" w14:textId="77777777" w:rsidR="00623679" w:rsidRPr="00264D5D" w:rsidRDefault="00623679" w:rsidP="00623679">
            <w:pPr>
              <w:pStyle w:val="GOSTTablenorm"/>
              <w:rPr>
                <w:szCs w:val="22"/>
                <w:lang w:val="en-US"/>
              </w:rPr>
            </w:pPr>
            <w:r w:rsidRPr="00264D5D">
              <w:rPr>
                <w:szCs w:val="22"/>
              </w:rPr>
              <w:t>tSGNNmPs1</w:t>
            </w:r>
          </w:p>
        </w:tc>
        <w:tc>
          <w:tcPr>
            <w:tcW w:w="567" w:type="dxa"/>
          </w:tcPr>
          <w:p w14:paraId="6C92F2E7" w14:textId="77777777" w:rsidR="00623679" w:rsidRPr="00264D5D" w:rsidRDefault="00623679" w:rsidP="00623679">
            <w:pPr>
              <w:pStyle w:val="GOSTTablenorm"/>
              <w:jc w:val="center"/>
              <w:rPr>
                <w:szCs w:val="22"/>
              </w:rPr>
            </w:pPr>
            <w:r w:rsidRPr="00264D5D">
              <w:rPr>
                <w:szCs w:val="22"/>
                <w:lang w:val="en-US"/>
              </w:rPr>
              <w:t>Н</w:t>
            </w:r>
          </w:p>
        </w:tc>
        <w:tc>
          <w:tcPr>
            <w:tcW w:w="3964" w:type="dxa"/>
          </w:tcPr>
          <w:p w14:paraId="5C7D77A2" w14:textId="34D9F491" w:rsidR="00623679" w:rsidRPr="00264D5D" w:rsidRDefault="00623679" w:rsidP="00623679">
            <w:pPr>
              <w:pStyle w:val="GOSTTablenorm"/>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_Ref531604040 \h  \* MERGEFORMAT </w:instrText>
            </w:r>
            <w:r w:rsidRPr="00264D5D">
              <w:rPr>
                <w:b/>
                <w:szCs w:val="22"/>
              </w:rPr>
            </w:r>
            <w:r w:rsidRPr="00264D5D">
              <w:rPr>
                <w:b/>
                <w:szCs w:val="22"/>
              </w:rPr>
              <w:fldChar w:fldCharType="separate"/>
            </w:r>
            <w:r w:rsidR="008D797C" w:rsidRPr="008D797C">
              <w:rPr>
                <w:b/>
                <w:szCs w:val="22"/>
              </w:rPr>
              <w:t>124</w:t>
            </w:r>
            <w:r w:rsidRPr="00264D5D">
              <w:rPr>
                <w:b/>
                <w:szCs w:val="22"/>
              </w:rPr>
              <w:fldChar w:fldCharType="end"/>
            </w:r>
          </w:p>
        </w:tc>
      </w:tr>
      <w:tr w:rsidR="00623679" w:rsidRPr="00264D5D" w14:paraId="611F2336" w14:textId="77777777" w:rsidTr="00B90B6A">
        <w:trPr>
          <w:cnfStyle w:val="000000010000" w:firstRow="0" w:lastRow="0" w:firstColumn="0" w:lastColumn="0" w:oddVBand="0" w:evenVBand="0" w:oddHBand="0" w:evenHBand="1" w:firstRowFirstColumn="0" w:firstRowLastColumn="0" w:lastRowFirstColumn="0" w:lastRowLastColumn="0"/>
        </w:trPr>
        <w:tc>
          <w:tcPr>
            <w:tcW w:w="1701" w:type="dxa"/>
          </w:tcPr>
          <w:p w14:paraId="07843024" w14:textId="77777777" w:rsidR="00623679" w:rsidRPr="00264D5D" w:rsidRDefault="00623679" w:rsidP="00623679">
            <w:pPr>
              <w:pStyle w:val="GOSTTablenorm"/>
              <w:rPr>
                <w:szCs w:val="22"/>
              </w:rPr>
            </w:pPr>
            <w:r w:rsidRPr="00264D5D">
              <w:rPr>
                <w:szCs w:val="22"/>
              </w:rPr>
              <w:t>Информация об ответственном исполнителе ТОФК</w:t>
            </w:r>
          </w:p>
        </w:tc>
        <w:tc>
          <w:tcPr>
            <w:tcW w:w="1701" w:type="dxa"/>
          </w:tcPr>
          <w:p w14:paraId="7537997C" w14:textId="77777777" w:rsidR="00623679" w:rsidRPr="00264D5D" w:rsidRDefault="00623679" w:rsidP="00623679">
            <w:pPr>
              <w:pStyle w:val="GOSTTablenorm"/>
              <w:rPr>
                <w:szCs w:val="22"/>
              </w:rPr>
            </w:pPr>
            <w:r w:rsidRPr="00264D5D">
              <w:rPr>
                <w:szCs w:val="22"/>
              </w:rPr>
              <w:t>UF_MSC_RspnExctrOrFK</w:t>
            </w:r>
          </w:p>
        </w:tc>
        <w:tc>
          <w:tcPr>
            <w:tcW w:w="567" w:type="dxa"/>
          </w:tcPr>
          <w:p w14:paraId="71082407" w14:textId="77777777" w:rsidR="00623679" w:rsidRPr="00264D5D" w:rsidRDefault="00623679" w:rsidP="00623679">
            <w:pPr>
              <w:pStyle w:val="GOSTTablenorm"/>
              <w:jc w:val="center"/>
              <w:rPr>
                <w:szCs w:val="22"/>
                <w:lang w:val="en-US"/>
              </w:rPr>
            </w:pPr>
            <w:r w:rsidRPr="00264D5D">
              <w:rPr>
                <w:szCs w:val="22"/>
              </w:rPr>
              <w:t>С</w:t>
            </w:r>
          </w:p>
        </w:tc>
        <w:tc>
          <w:tcPr>
            <w:tcW w:w="1134" w:type="dxa"/>
          </w:tcPr>
          <w:p w14:paraId="605B15A7" w14:textId="77777777" w:rsidR="00623679" w:rsidRPr="00264D5D" w:rsidRDefault="00623679" w:rsidP="00623679">
            <w:pPr>
              <w:pStyle w:val="GOSTTablenorm"/>
              <w:rPr>
                <w:szCs w:val="22"/>
              </w:rPr>
            </w:pPr>
            <w:r w:rsidRPr="00264D5D">
              <w:rPr>
                <w:szCs w:val="22"/>
              </w:rPr>
              <w:t>tSGNNmPsPh2</w:t>
            </w:r>
          </w:p>
        </w:tc>
        <w:tc>
          <w:tcPr>
            <w:tcW w:w="567" w:type="dxa"/>
          </w:tcPr>
          <w:p w14:paraId="215AA447" w14:textId="77777777" w:rsidR="00623679" w:rsidRPr="00264D5D" w:rsidRDefault="00623679" w:rsidP="00623679">
            <w:pPr>
              <w:pStyle w:val="GOSTTablenorm"/>
              <w:jc w:val="center"/>
              <w:rPr>
                <w:szCs w:val="22"/>
                <w:lang w:val="en-US"/>
              </w:rPr>
            </w:pPr>
            <w:r w:rsidRPr="00264D5D">
              <w:rPr>
                <w:szCs w:val="22"/>
                <w:lang w:val="en-US"/>
              </w:rPr>
              <w:t>Н</w:t>
            </w:r>
          </w:p>
        </w:tc>
        <w:tc>
          <w:tcPr>
            <w:tcW w:w="3964" w:type="dxa"/>
          </w:tcPr>
          <w:p w14:paraId="2D5CEDE5" w14:textId="27B4D41E" w:rsidR="00623679" w:rsidRPr="00264D5D" w:rsidRDefault="00623679" w:rsidP="00623679">
            <w:pPr>
              <w:pStyle w:val="GOSTTablenorm"/>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_Ref530398572 \h  \* MERGEFORMAT </w:instrText>
            </w:r>
            <w:r w:rsidRPr="00264D5D">
              <w:rPr>
                <w:b/>
                <w:szCs w:val="22"/>
              </w:rPr>
            </w:r>
            <w:r w:rsidRPr="00264D5D">
              <w:rPr>
                <w:b/>
                <w:szCs w:val="22"/>
              </w:rPr>
              <w:fldChar w:fldCharType="separate"/>
            </w:r>
            <w:r w:rsidR="008D797C" w:rsidRPr="008D797C">
              <w:rPr>
                <w:b/>
                <w:szCs w:val="22"/>
              </w:rPr>
              <w:t>175</w:t>
            </w:r>
            <w:r w:rsidRPr="00264D5D">
              <w:rPr>
                <w:b/>
                <w:szCs w:val="22"/>
              </w:rPr>
              <w:fldChar w:fldCharType="end"/>
            </w:r>
          </w:p>
        </w:tc>
      </w:tr>
      <w:tr w:rsidR="00623679" w:rsidRPr="00264D5D" w14:paraId="4B346BDD" w14:textId="77777777" w:rsidTr="00B90B6A">
        <w:trPr>
          <w:cnfStyle w:val="000000100000" w:firstRow="0" w:lastRow="0" w:firstColumn="0" w:lastColumn="0" w:oddVBand="0" w:evenVBand="0" w:oddHBand="1" w:evenHBand="0" w:firstRowFirstColumn="0" w:firstRowLastColumn="0" w:lastRowFirstColumn="0" w:lastRowLastColumn="0"/>
        </w:trPr>
        <w:tc>
          <w:tcPr>
            <w:tcW w:w="1701" w:type="dxa"/>
          </w:tcPr>
          <w:p w14:paraId="0296B13A" w14:textId="77777777" w:rsidR="00623679" w:rsidRPr="00264D5D" w:rsidRDefault="00623679" w:rsidP="00623679">
            <w:pPr>
              <w:pStyle w:val="GOSTTablenorm"/>
              <w:rPr>
                <w:szCs w:val="22"/>
              </w:rPr>
            </w:pPr>
            <w:r w:rsidRPr="00264D5D">
              <w:rPr>
                <w:szCs w:val="22"/>
              </w:rPr>
              <w:t>Дата отметки</w:t>
            </w:r>
          </w:p>
        </w:tc>
        <w:tc>
          <w:tcPr>
            <w:tcW w:w="1701" w:type="dxa"/>
          </w:tcPr>
          <w:p w14:paraId="6A19B30B" w14:textId="77777777" w:rsidR="00623679" w:rsidRPr="00264D5D" w:rsidRDefault="00623679" w:rsidP="00623679">
            <w:pPr>
              <w:pStyle w:val="GOSTTablenorm"/>
              <w:rPr>
                <w:szCs w:val="22"/>
              </w:rPr>
            </w:pPr>
            <w:r w:rsidRPr="00264D5D">
              <w:rPr>
                <w:szCs w:val="22"/>
              </w:rPr>
              <w:t>UF_MrkDt</w:t>
            </w:r>
          </w:p>
        </w:tc>
        <w:tc>
          <w:tcPr>
            <w:tcW w:w="567" w:type="dxa"/>
          </w:tcPr>
          <w:p w14:paraId="76F696F2" w14:textId="77777777" w:rsidR="00623679" w:rsidRPr="00264D5D" w:rsidRDefault="00623679" w:rsidP="00623679">
            <w:pPr>
              <w:pStyle w:val="GOSTTablenorm"/>
              <w:jc w:val="center"/>
              <w:rPr>
                <w:szCs w:val="22"/>
              </w:rPr>
            </w:pPr>
            <w:r w:rsidRPr="00264D5D">
              <w:rPr>
                <w:szCs w:val="22"/>
              </w:rPr>
              <w:t>П</w:t>
            </w:r>
          </w:p>
        </w:tc>
        <w:tc>
          <w:tcPr>
            <w:tcW w:w="1134" w:type="dxa"/>
          </w:tcPr>
          <w:p w14:paraId="6D09AC9C" w14:textId="77777777" w:rsidR="00623679" w:rsidRPr="00264D5D" w:rsidRDefault="00623679" w:rsidP="00623679">
            <w:pPr>
              <w:pStyle w:val="GOSTTablenorm"/>
              <w:rPr>
                <w:szCs w:val="22"/>
              </w:rPr>
            </w:pPr>
            <w:r w:rsidRPr="00264D5D">
              <w:rPr>
                <w:szCs w:val="22"/>
                <w:lang w:val="en-US"/>
              </w:rPr>
              <w:t>Date</w:t>
            </w:r>
          </w:p>
        </w:tc>
        <w:tc>
          <w:tcPr>
            <w:tcW w:w="567" w:type="dxa"/>
          </w:tcPr>
          <w:p w14:paraId="272FCFB0" w14:textId="77777777" w:rsidR="00623679" w:rsidRPr="00264D5D" w:rsidRDefault="00623679" w:rsidP="00623679">
            <w:pPr>
              <w:pStyle w:val="GOSTTablenorm"/>
              <w:jc w:val="center"/>
              <w:rPr>
                <w:szCs w:val="22"/>
                <w:lang w:val="en-US"/>
              </w:rPr>
            </w:pPr>
            <w:r w:rsidRPr="00264D5D">
              <w:rPr>
                <w:szCs w:val="22"/>
              </w:rPr>
              <w:t>Н</w:t>
            </w:r>
          </w:p>
        </w:tc>
        <w:tc>
          <w:tcPr>
            <w:tcW w:w="3964" w:type="dxa"/>
          </w:tcPr>
          <w:p w14:paraId="703F65E1" w14:textId="77777777" w:rsidR="00623679" w:rsidRPr="00264D5D" w:rsidRDefault="00623679" w:rsidP="00623679">
            <w:pPr>
              <w:pStyle w:val="GOSTTablenorm"/>
              <w:rPr>
                <w:szCs w:val="22"/>
              </w:rPr>
            </w:pPr>
            <w:r w:rsidRPr="00264D5D">
              <w:rPr>
                <w:szCs w:val="22"/>
              </w:rPr>
              <w:t>Дата принятия документа ТОФК</w:t>
            </w:r>
          </w:p>
        </w:tc>
      </w:tr>
      <w:tr w:rsidR="00623679" w:rsidRPr="00264D5D" w14:paraId="6103C092" w14:textId="77777777" w:rsidTr="00AD1F54">
        <w:trPr>
          <w:cnfStyle w:val="000000010000" w:firstRow="0" w:lastRow="0" w:firstColumn="0" w:lastColumn="0" w:oddVBand="0" w:evenVBand="0" w:oddHBand="0" w:evenHBand="1" w:firstRowFirstColumn="0" w:firstRowLastColumn="0" w:lastRowFirstColumn="0" w:lastRowLastColumn="0"/>
        </w:trPr>
        <w:tc>
          <w:tcPr>
            <w:tcW w:w="9634" w:type="dxa"/>
            <w:gridSpan w:val="6"/>
          </w:tcPr>
          <w:p w14:paraId="351AD254" w14:textId="77777777" w:rsidR="00623679" w:rsidRPr="00264D5D" w:rsidRDefault="00623679" w:rsidP="00623679">
            <w:pPr>
              <w:pStyle w:val="GOSTTablenorm"/>
              <w:rPr>
                <w:szCs w:val="22"/>
              </w:rPr>
            </w:pPr>
            <w:r w:rsidRPr="00264D5D">
              <w:rPr>
                <w:b/>
                <w:szCs w:val="22"/>
              </w:rPr>
              <w:t>Реквизиты уточняемого и уточняющего платежного документа</w:t>
            </w:r>
          </w:p>
        </w:tc>
      </w:tr>
      <w:tr w:rsidR="00623679" w:rsidRPr="00264D5D" w14:paraId="0C587C5D" w14:textId="77777777" w:rsidTr="00B90B6A">
        <w:trPr>
          <w:cnfStyle w:val="000000100000" w:firstRow="0" w:lastRow="0" w:firstColumn="0" w:lastColumn="0" w:oddVBand="0" w:evenVBand="0" w:oddHBand="1" w:evenHBand="0" w:firstRowFirstColumn="0" w:firstRowLastColumn="0" w:lastRowFirstColumn="0" w:lastRowLastColumn="0"/>
        </w:trPr>
        <w:tc>
          <w:tcPr>
            <w:tcW w:w="1701" w:type="dxa"/>
          </w:tcPr>
          <w:p w14:paraId="67FF9BFF" w14:textId="77777777" w:rsidR="00623679" w:rsidRPr="00264D5D" w:rsidRDefault="00623679" w:rsidP="00623679">
            <w:pPr>
              <w:pStyle w:val="GOSTTablenorm"/>
              <w:rPr>
                <w:i/>
                <w:szCs w:val="22"/>
              </w:rPr>
            </w:pPr>
            <w:r w:rsidRPr="00264D5D">
              <w:rPr>
                <w:szCs w:val="22"/>
              </w:rPr>
              <w:t>Реквизиты уточняемого платежного документа</w:t>
            </w:r>
          </w:p>
        </w:tc>
        <w:tc>
          <w:tcPr>
            <w:tcW w:w="1701" w:type="dxa"/>
          </w:tcPr>
          <w:p w14:paraId="5410623F" w14:textId="77777777" w:rsidR="00623679" w:rsidRPr="00264D5D" w:rsidRDefault="00623679" w:rsidP="00623679">
            <w:pPr>
              <w:pStyle w:val="GOSTTablenorm"/>
              <w:rPr>
                <w:szCs w:val="22"/>
              </w:rPr>
            </w:pPr>
            <w:r w:rsidRPr="00264D5D">
              <w:rPr>
                <w:szCs w:val="22"/>
              </w:rPr>
              <w:t>UFPP</w:t>
            </w:r>
          </w:p>
        </w:tc>
        <w:tc>
          <w:tcPr>
            <w:tcW w:w="567" w:type="dxa"/>
          </w:tcPr>
          <w:p w14:paraId="1395F836" w14:textId="77777777" w:rsidR="00623679" w:rsidRPr="00264D5D" w:rsidRDefault="00623679" w:rsidP="00623679">
            <w:pPr>
              <w:pStyle w:val="GOSTTablenorm"/>
              <w:jc w:val="center"/>
              <w:rPr>
                <w:szCs w:val="22"/>
              </w:rPr>
            </w:pPr>
            <w:r w:rsidRPr="00264D5D">
              <w:rPr>
                <w:szCs w:val="22"/>
              </w:rPr>
              <w:t>С</w:t>
            </w:r>
          </w:p>
        </w:tc>
        <w:tc>
          <w:tcPr>
            <w:tcW w:w="1134" w:type="dxa"/>
          </w:tcPr>
          <w:p w14:paraId="7B5FE39D" w14:textId="77777777" w:rsidR="00623679" w:rsidRPr="00264D5D" w:rsidRDefault="00623679" w:rsidP="00623679">
            <w:pPr>
              <w:pStyle w:val="GOSTTablenorm"/>
              <w:rPr>
                <w:szCs w:val="22"/>
                <w:lang w:val="en-US"/>
              </w:rPr>
            </w:pPr>
            <w:r w:rsidRPr="00264D5D">
              <w:rPr>
                <w:szCs w:val="22"/>
              </w:rPr>
              <w:t>tUFPP</w:t>
            </w:r>
          </w:p>
        </w:tc>
        <w:tc>
          <w:tcPr>
            <w:tcW w:w="567" w:type="dxa"/>
          </w:tcPr>
          <w:p w14:paraId="28AC007D" w14:textId="77777777" w:rsidR="00623679" w:rsidRPr="00264D5D" w:rsidRDefault="00623679" w:rsidP="00623679">
            <w:pPr>
              <w:pStyle w:val="GOSTTablenorm"/>
              <w:jc w:val="center"/>
              <w:rPr>
                <w:szCs w:val="22"/>
              </w:rPr>
            </w:pPr>
            <w:r w:rsidRPr="00264D5D">
              <w:rPr>
                <w:szCs w:val="22"/>
                <w:lang w:val="en-US"/>
              </w:rPr>
              <w:t>О</w:t>
            </w:r>
          </w:p>
        </w:tc>
        <w:tc>
          <w:tcPr>
            <w:tcW w:w="3964" w:type="dxa"/>
          </w:tcPr>
          <w:p w14:paraId="699B7806" w14:textId="5A441127" w:rsidR="00623679" w:rsidRPr="00264D5D" w:rsidRDefault="00623679" w:rsidP="00623679">
            <w:pPr>
              <w:pStyle w:val="GOSTTablenorm"/>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_Ref503544035 \h  \* MERGEFORMAT </w:instrText>
            </w:r>
            <w:r w:rsidRPr="00264D5D">
              <w:rPr>
                <w:b/>
                <w:szCs w:val="22"/>
              </w:rPr>
            </w:r>
            <w:r w:rsidRPr="00264D5D">
              <w:rPr>
                <w:b/>
                <w:szCs w:val="22"/>
              </w:rPr>
              <w:fldChar w:fldCharType="separate"/>
            </w:r>
            <w:r w:rsidR="008D797C" w:rsidRPr="008D797C">
              <w:rPr>
                <w:b/>
                <w:szCs w:val="22"/>
              </w:rPr>
              <w:t>176</w:t>
            </w:r>
            <w:r w:rsidRPr="00264D5D">
              <w:rPr>
                <w:b/>
                <w:szCs w:val="22"/>
              </w:rPr>
              <w:fldChar w:fldCharType="end"/>
            </w:r>
          </w:p>
        </w:tc>
      </w:tr>
      <w:tr w:rsidR="00623679" w:rsidRPr="00264D5D" w14:paraId="27D7DCCD" w14:textId="77777777" w:rsidTr="00B90B6A">
        <w:trPr>
          <w:cnfStyle w:val="000000010000" w:firstRow="0" w:lastRow="0" w:firstColumn="0" w:lastColumn="0" w:oddVBand="0" w:evenVBand="0" w:oddHBand="0" w:evenHBand="1" w:firstRowFirstColumn="0" w:firstRowLastColumn="0" w:lastRowFirstColumn="0" w:lastRowLastColumn="0"/>
        </w:trPr>
        <w:tc>
          <w:tcPr>
            <w:tcW w:w="1701" w:type="dxa"/>
          </w:tcPr>
          <w:p w14:paraId="39A7AAC4" w14:textId="77777777" w:rsidR="00623679" w:rsidRPr="00264D5D" w:rsidRDefault="00623679" w:rsidP="00623679">
            <w:pPr>
              <w:pStyle w:val="GOSTTablenorm"/>
              <w:rPr>
                <w:szCs w:val="22"/>
              </w:rPr>
            </w:pPr>
            <w:r w:rsidRPr="00264D5D">
              <w:rPr>
                <w:szCs w:val="22"/>
              </w:rPr>
              <w:t>Новые реквизиты платежного документа</w:t>
            </w:r>
          </w:p>
        </w:tc>
        <w:tc>
          <w:tcPr>
            <w:tcW w:w="1701" w:type="dxa"/>
          </w:tcPr>
          <w:p w14:paraId="704EF6C5" w14:textId="77777777" w:rsidR="00623679" w:rsidRPr="00264D5D" w:rsidRDefault="00623679" w:rsidP="00623679">
            <w:pPr>
              <w:pStyle w:val="GOSTTablenorm"/>
              <w:rPr>
                <w:szCs w:val="22"/>
              </w:rPr>
            </w:pPr>
            <w:r w:rsidRPr="00264D5D">
              <w:rPr>
                <w:szCs w:val="22"/>
              </w:rPr>
              <w:t>UFPP_N</w:t>
            </w:r>
          </w:p>
        </w:tc>
        <w:tc>
          <w:tcPr>
            <w:tcW w:w="567" w:type="dxa"/>
          </w:tcPr>
          <w:p w14:paraId="205DCE0B" w14:textId="77777777" w:rsidR="00623679" w:rsidRPr="00264D5D" w:rsidRDefault="00623679" w:rsidP="00623679">
            <w:pPr>
              <w:pStyle w:val="GOSTTablenorm"/>
              <w:jc w:val="center"/>
              <w:rPr>
                <w:szCs w:val="22"/>
              </w:rPr>
            </w:pPr>
            <w:r w:rsidRPr="00264D5D">
              <w:rPr>
                <w:szCs w:val="22"/>
              </w:rPr>
              <w:t>С</w:t>
            </w:r>
          </w:p>
        </w:tc>
        <w:tc>
          <w:tcPr>
            <w:tcW w:w="1134" w:type="dxa"/>
          </w:tcPr>
          <w:p w14:paraId="49B633D1" w14:textId="77777777" w:rsidR="00623679" w:rsidRPr="00264D5D" w:rsidRDefault="00623679" w:rsidP="00623679">
            <w:pPr>
              <w:pStyle w:val="GOSTTablenorm"/>
              <w:rPr>
                <w:szCs w:val="22"/>
              </w:rPr>
            </w:pPr>
            <w:r w:rsidRPr="00264D5D">
              <w:rPr>
                <w:szCs w:val="22"/>
              </w:rPr>
              <w:t>tUFPP_N</w:t>
            </w:r>
          </w:p>
        </w:tc>
        <w:tc>
          <w:tcPr>
            <w:tcW w:w="567" w:type="dxa"/>
          </w:tcPr>
          <w:p w14:paraId="6DEEBF20" w14:textId="77777777" w:rsidR="00623679" w:rsidRPr="00264D5D" w:rsidRDefault="00623679" w:rsidP="00623679">
            <w:pPr>
              <w:pStyle w:val="GOSTTablenorm"/>
              <w:jc w:val="center"/>
              <w:rPr>
                <w:szCs w:val="22"/>
                <w:lang w:val="en-US"/>
              </w:rPr>
            </w:pPr>
            <w:r w:rsidRPr="00264D5D">
              <w:rPr>
                <w:szCs w:val="22"/>
                <w:lang w:val="en-US"/>
              </w:rPr>
              <w:t>О</w:t>
            </w:r>
          </w:p>
        </w:tc>
        <w:tc>
          <w:tcPr>
            <w:tcW w:w="3964" w:type="dxa"/>
          </w:tcPr>
          <w:p w14:paraId="7B272588" w14:textId="66353B7F" w:rsidR="00623679" w:rsidRPr="00264D5D" w:rsidRDefault="00623679" w:rsidP="00623679">
            <w:pPr>
              <w:pStyle w:val="GOSTTablenorm"/>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_Ref503544067 \h  \* MERGEFORMAT </w:instrText>
            </w:r>
            <w:r w:rsidRPr="00264D5D">
              <w:rPr>
                <w:b/>
                <w:szCs w:val="22"/>
              </w:rPr>
            </w:r>
            <w:r w:rsidRPr="00264D5D">
              <w:rPr>
                <w:b/>
                <w:szCs w:val="22"/>
              </w:rPr>
              <w:fldChar w:fldCharType="separate"/>
            </w:r>
            <w:r w:rsidR="008D797C" w:rsidRPr="008D797C">
              <w:rPr>
                <w:b/>
                <w:szCs w:val="22"/>
              </w:rPr>
              <w:t>182</w:t>
            </w:r>
            <w:r w:rsidRPr="00264D5D">
              <w:rPr>
                <w:b/>
                <w:szCs w:val="22"/>
              </w:rPr>
              <w:fldChar w:fldCharType="end"/>
            </w:r>
          </w:p>
        </w:tc>
      </w:tr>
      <w:tr w:rsidR="00623679" w:rsidRPr="00264D5D" w14:paraId="3895365C" w14:textId="77777777" w:rsidTr="00AD1F54">
        <w:trPr>
          <w:cnfStyle w:val="000000100000" w:firstRow="0" w:lastRow="0" w:firstColumn="0" w:lastColumn="0" w:oddVBand="0" w:evenVBand="0" w:oddHBand="1" w:evenHBand="0" w:firstRowFirstColumn="0" w:firstRowLastColumn="0" w:lastRowFirstColumn="0" w:lastRowLastColumn="0"/>
        </w:trPr>
        <w:tc>
          <w:tcPr>
            <w:tcW w:w="9634" w:type="dxa"/>
            <w:gridSpan w:val="6"/>
          </w:tcPr>
          <w:p w14:paraId="1F3E6AD5" w14:textId="77777777" w:rsidR="00623679" w:rsidRPr="00264D5D" w:rsidRDefault="00623679" w:rsidP="00623679">
            <w:pPr>
              <w:pStyle w:val="GOSTTablenorm"/>
              <w:rPr>
                <w:szCs w:val="22"/>
              </w:rPr>
            </w:pPr>
            <w:r w:rsidRPr="00264D5D">
              <w:rPr>
                <w:b/>
                <w:szCs w:val="22"/>
              </w:rPr>
              <w:t>Системная информация</w:t>
            </w:r>
          </w:p>
        </w:tc>
      </w:tr>
      <w:tr w:rsidR="00623679" w:rsidRPr="00264D5D" w14:paraId="06EF2516" w14:textId="77777777" w:rsidTr="00B90B6A">
        <w:trPr>
          <w:cnfStyle w:val="000000010000" w:firstRow="0" w:lastRow="0" w:firstColumn="0" w:lastColumn="0" w:oddVBand="0" w:evenVBand="0" w:oddHBand="0" w:evenHBand="1" w:firstRowFirstColumn="0" w:firstRowLastColumn="0" w:lastRowFirstColumn="0" w:lastRowLastColumn="0"/>
        </w:trPr>
        <w:tc>
          <w:tcPr>
            <w:tcW w:w="1701" w:type="dxa"/>
          </w:tcPr>
          <w:p w14:paraId="4F533E1D" w14:textId="77777777" w:rsidR="00623679" w:rsidRPr="00264D5D" w:rsidRDefault="00623679" w:rsidP="00623679">
            <w:pPr>
              <w:pStyle w:val="GOSTTablenorm"/>
              <w:rPr>
                <w:i/>
                <w:szCs w:val="22"/>
              </w:rPr>
            </w:pPr>
            <w:r w:rsidRPr="00264D5D">
              <w:rPr>
                <w:szCs w:val="22"/>
              </w:rPr>
              <w:t>Системная информация</w:t>
            </w:r>
          </w:p>
        </w:tc>
        <w:tc>
          <w:tcPr>
            <w:tcW w:w="1701" w:type="dxa"/>
          </w:tcPr>
          <w:p w14:paraId="4782BE71" w14:textId="77777777" w:rsidR="00623679" w:rsidRPr="00264D5D" w:rsidRDefault="00623679" w:rsidP="00623679">
            <w:pPr>
              <w:pStyle w:val="GOSTTablenorm"/>
              <w:rPr>
                <w:szCs w:val="22"/>
              </w:rPr>
            </w:pPr>
            <w:r w:rsidRPr="00264D5D">
              <w:rPr>
                <w:szCs w:val="22"/>
                <w:lang w:val="en-US"/>
              </w:rPr>
              <w:t>UF</w:t>
            </w:r>
            <w:r w:rsidRPr="00264D5D">
              <w:rPr>
                <w:szCs w:val="22"/>
              </w:rPr>
              <w:t>_MSC_Infrmtn</w:t>
            </w:r>
          </w:p>
        </w:tc>
        <w:tc>
          <w:tcPr>
            <w:tcW w:w="567" w:type="dxa"/>
          </w:tcPr>
          <w:p w14:paraId="7DD0E211" w14:textId="77777777" w:rsidR="00623679" w:rsidRPr="00264D5D" w:rsidRDefault="00623679" w:rsidP="00623679">
            <w:pPr>
              <w:pStyle w:val="GOSTTablenorm"/>
              <w:jc w:val="center"/>
              <w:rPr>
                <w:szCs w:val="22"/>
              </w:rPr>
            </w:pPr>
            <w:r w:rsidRPr="00264D5D">
              <w:rPr>
                <w:szCs w:val="22"/>
              </w:rPr>
              <w:t>С</w:t>
            </w:r>
          </w:p>
        </w:tc>
        <w:tc>
          <w:tcPr>
            <w:tcW w:w="1134" w:type="dxa"/>
          </w:tcPr>
          <w:p w14:paraId="517DB164" w14:textId="77777777" w:rsidR="00623679" w:rsidRPr="00264D5D" w:rsidRDefault="00623679" w:rsidP="00623679">
            <w:pPr>
              <w:pStyle w:val="GOSTTablenorm"/>
              <w:rPr>
                <w:szCs w:val="22"/>
              </w:rPr>
            </w:pPr>
            <w:r w:rsidRPr="00264D5D">
              <w:rPr>
                <w:szCs w:val="22"/>
                <w:lang w:val="en-US"/>
              </w:rPr>
              <w:t>tMSC_Infrmtn</w:t>
            </w:r>
          </w:p>
        </w:tc>
        <w:tc>
          <w:tcPr>
            <w:tcW w:w="567" w:type="dxa"/>
          </w:tcPr>
          <w:p w14:paraId="5E0B360C" w14:textId="77777777" w:rsidR="00623679" w:rsidRPr="00264D5D" w:rsidRDefault="00623679" w:rsidP="00623679">
            <w:pPr>
              <w:pStyle w:val="GOSTTablenorm"/>
              <w:jc w:val="center"/>
              <w:rPr>
                <w:szCs w:val="22"/>
                <w:lang w:val="en-US"/>
              </w:rPr>
            </w:pPr>
            <w:r w:rsidRPr="00264D5D">
              <w:rPr>
                <w:szCs w:val="22"/>
              </w:rPr>
              <w:t>О</w:t>
            </w:r>
          </w:p>
        </w:tc>
        <w:tc>
          <w:tcPr>
            <w:tcW w:w="3964" w:type="dxa"/>
          </w:tcPr>
          <w:p w14:paraId="6F2559B3" w14:textId="6CA4C5DD" w:rsidR="00623679" w:rsidRPr="00264D5D" w:rsidRDefault="00623679" w:rsidP="00601408">
            <w:pPr>
              <w:pStyle w:val="GOSTTablenorm"/>
              <w:rPr>
                <w:szCs w:val="22"/>
              </w:rPr>
            </w:pPr>
            <w:r w:rsidRPr="00264D5D">
              <w:rPr>
                <w:szCs w:val="22"/>
              </w:rPr>
              <w:t xml:space="preserve">Состав элемента представлен в таблице </w:t>
            </w:r>
            <w:r w:rsidR="00601408">
              <w:rPr>
                <w:b/>
                <w:szCs w:val="22"/>
              </w:rPr>
              <w:fldChar w:fldCharType="begin"/>
            </w:r>
            <w:r w:rsidR="00601408">
              <w:rPr>
                <w:szCs w:val="22"/>
              </w:rPr>
              <w:instrText xml:space="preserve"> REF _Ref216184505 \h </w:instrText>
            </w:r>
            <w:r w:rsidR="00601408">
              <w:rPr>
                <w:b/>
                <w:szCs w:val="22"/>
              </w:rPr>
            </w:r>
            <w:r w:rsidR="00601408">
              <w:rPr>
                <w:b/>
                <w:szCs w:val="22"/>
              </w:rPr>
              <w:fldChar w:fldCharType="separate"/>
            </w:r>
            <w:r w:rsidR="008D797C">
              <w:rPr>
                <w:rFonts w:eastAsia="Calibri"/>
                <w:noProof/>
              </w:rPr>
              <w:t>185</w:t>
            </w:r>
            <w:r w:rsidR="00601408">
              <w:rPr>
                <w:b/>
                <w:szCs w:val="22"/>
              </w:rPr>
              <w:fldChar w:fldCharType="end"/>
            </w:r>
          </w:p>
        </w:tc>
      </w:tr>
      <w:tr w:rsidR="00623679" w:rsidRPr="00264D5D" w14:paraId="6BC932A9" w14:textId="77777777" w:rsidTr="00AD1F54">
        <w:trPr>
          <w:cnfStyle w:val="000000100000" w:firstRow="0" w:lastRow="0" w:firstColumn="0" w:lastColumn="0" w:oddVBand="0" w:evenVBand="0" w:oddHBand="1" w:evenHBand="0" w:firstRowFirstColumn="0" w:firstRowLastColumn="0" w:lastRowFirstColumn="0" w:lastRowLastColumn="0"/>
        </w:trPr>
        <w:tc>
          <w:tcPr>
            <w:tcW w:w="9634" w:type="dxa"/>
            <w:gridSpan w:val="6"/>
          </w:tcPr>
          <w:p w14:paraId="1F6E769D" w14:textId="77777777" w:rsidR="00623679" w:rsidRPr="00264D5D" w:rsidRDefault="00623679" w:rsidP="00623679">
            <w:pPr>
              <w:pStyle w:val="GOSTTablenorm"/>
              <w:rPr>
                <w:b/>
                <w:szCs w:val="22"/>
              </w:rPr>
            </w:pPr>
            <w:r w:rsidRPr="00264D5D">
              <w:rPr>
                <w:b/>
              </w:rPr>
              <w:t>ЭП</w:t>
            </w:r>
          </w:p>
        </w:tc>
      </w:tr>
      <w:tr w:rsidR="00623679" w:rsidRPr="00264D5D" w14:paraId="6CB9ED5F" w14:textId="77777777" w:rsidTr="00B90B6A">
        <w:trPr>
          <w:cnfStyle w:val="000000010000" w:firstRow="0" w:lastRow="0" w:firstColumn="0" w:lastColumn="0" w:oddVBand="0" w:evenVBand="0" w:oddHBand="0" w:evenHBand="1" w:firstRowFirstColumn="0" w:firstRowLastColumn="0" w:lastRowFirstColumn="0" w:lastRowLastColumn="0"/>
        </w:trPr>
        <w:tc>
          <w:tcPr>
            <w:tcW w:w="1701" w:type="dxa"/>
          </w:tcPr>
          <w:p w14:paraId="20A95E21" w14:textId="77777777" w:rsidR="00623679" w:rsidRPr="00264D5D" w:rsidRDefault="00623679" w:rsidP="00623679">
            <w:pPr>
              <w:pStyle w:val="GOSTTablenorm"/>
              <w:rPr>
                <w:i/>
              </w:rPr>
            </w:pPr>
            <w:r w:rsidRPr="00264D5D">
              <w:t>Электронная попись</w:t>
            </w:r>
          </w:p>
        </w:tc>
        <w:tc>
          <w:tcPr>
            <w:tcW w:w="1701" w:type="dxa"/>
          </w:tcPr>
          <w:p w14:paraId="1C8CDEA6" w14:textId="77777777" w:rsidR="00623679" w:rsidRPr="00264D5D" w:rsidRDefault="00623679" w:rsidP="00623679">
            <w:pPr>
              <w:pStyle w:val="GOSTTablenorm"/>
              <w:rPr>
                <w:szCs w:val="22"/>
                <w:lang w:val="en-US"/>
              </w:rPr>
            </w:pPr>
            <w:r w:rsidRPr="00264D5D">
              <w:t>Signature</w:t>
            </w:r>
          </w:p>
        </w:tc>
        <w:tc>
          <w:tcPr>
            <w:tcW w:w="567" w:type="dxa"/>
          </w:tcPr>
          <w:p w14:paraId="634644CB" w14:textId="77777777" w:rsidR="00623679" w:rsidRPr="00264D5D" w:rsidRDefault="00623679" w:rsidP="00623679">
            <w:pPr>
              <w:pStyle w:val="GOSTTablenorm"/>
              <w:jc w:val="center"/>
              <w:rPr>
                <w:szCs w:val="22"/>
              </w:rPr>
            </w:pPr>
            <w:r w:rsidRPr="00264D5D">
              <w:t>С</w:t>
            </w:r>
          </w:p>
        </w:tc>
        <w:tc>
          <w:tcPr>
            <w:tcW w:w="1134" w:type="dxa"/>
          </w:tcPr>
          <w:p w14:paraId="19CA0C52" w14:textId="77777777" w:rsidR="00623679" w:rsidRPr="00264D5D" w:rsidRDefault="00623679" w:rsidP="00623679">
            <w:pPr>
              <w:pStyle w:val="GOSTTablenorm"/>
              <w:rPr>
                <w:szCs w:val="22"/>
                <w:lang w:val="en-US"/>
              </w:rPr>
            </w:pPr>
            <w:r w:rsidRPr="00264D5D">
              <w:rPr>
                <w:rFonts w:eastAsia="Calibri"/>
              </w:rPr>
              <w:t>SignatureType</w:t>
            </w:r>
          </w:p>
        </w:tc>
        <w:tc>
          <w:tcPr>
            <w:tcW w:w="567" w:type="dxa"/>
          </w:tcPr>
          <w:p w14:paraId="774760D4" w14:textId="77777777" w:rsidR="00623679" w:rsidRPr="00264D5D" w:rsidRDefault="00623679" w:rsidP="00623679">
            <w:pPr>
              <w:pStyle w:val="GOSTTablenorm"/>
              <w:jc w:val="center"/>
              <w:rPr>
                <w:szCs w:val="22"/>
              </w:rPr>
            </w:pPr>
            <w:r w:rsidRPr="00264D5D">
              <w:t>НМ</w:t>
            </w:r>
          </w:p>
        </w:tc>
        <w:tc>
          <w:tcPr>
            <w:tcW w:w="3964" w:type="dxa"/>
          </w:tcPr>
          <w:p w14:paraId="085AAA51" w14:textId="77777777" w:rsidR="00623679" w:rsidRPr="00264D5D" w:rsidRDefault="00623679" w:rsidP="00623679">
            <w:pPr>
              <w:pStyle w:val="GOSTTablenorm"/>
              <w:rPr>
                <w:szCs w:val="22"/>
              </w:rPr>
            </w:pPr>
            <w:r w:rsidRPr="00264D5D">
              <w:rPr>
                <w:szCs w:val="22"/>
              </w:rPr>
              <w:t>Блок подписи в формате XAdes. Указывается как референс согласно формату подписи XAdes.</w:t>
            </w:r>
          </w:p>
          <w:p w14:paraId="19449E4D" w14:textId="77777777" w:rsidR="00623679" w:rsidRPr="00264D5D" w:rsidRDefault="00623679" w:rsidP="00623679">
            <w:pPr>
              <w:spacing w:before="60" w:after="60"/>
              <w:rPr>
                <w:sz w:val="22"/>
                <w:szCs w:val="22"/>
              </w:rPr>
            </w:pPr>
            <w:r w:rsidRPr="00264D5D">
              <w:rPr>
                <w:sz w:val="22"/>
                <w:szCs w:val="22"/>
              </w:rPr>
              <w:t>Заполняется согласно п.3.5.3 Тома 1 настоящего альбома.</w:t>
            </w:r>
          </w:p>
          <w:p w14:paraId="78799E46" w14:textId="77777777" w:rsidR="00623679" w:rsidRPr="00264D5D" w:rsidRDefault="00623679" w:rsidP="00623679">
            <w:pPr>
              <w:pStyle w:val="GOSTTablenorm"/>
              <w:rPr>
                <w:szCs w:val="22"/>
              </w:rPr>
            </w:pPr>
            <w:r w:rsidRPr="00264D5D">
              <w:rPr>
                <w:szCs w:val="22"/>
              </w:rPr>
              <w:t>Обязателен для заполнения при сервисном взаимодействии ПФХД и ПУР ЭБ</w:t>
            </w:r>
          </w:p>
        </w:tc>
      </w:tr>
    </w:tbl>
    <w:p w14:paraId="33D43EC9" w14:textId="77777777" w:rsidR="00AD1F54" w:rsidRPr="00264D5D" w:rsidRDefault="00941227">
      <w:pPr>
        <w:pStyle w:val="31"/>
      </w:pPr>
      <w:bookmarkStart w:id="1699" w:name="_Toc18509342"/>
      <w:bookmarkStart w:id="1700" w:name="_Toc219309622"/>
      <w:r w:rsidRPr="00264D5D">
        <w:lastRenderedPageBreak/>
        <w:t>Описание комплексного типа «tMSC_PBS1»</w:t>
      </w:r>
      <w:bookmarkEnd w:id="1699"/>
      <w:bookmarkEnd w:id="1700"/>
    </w:p>
    <w:p w14:paraId="707986CC" w14:textId="77777777" w:rsidR="00AD1F54" w:rsidRPr="00264D5D" w:rsidRDefault="00941227">
      <w:pPr>
        <w:pStyle w:val="GOSTNormal"/>
      </w:pPr>
      <w:r w:rsidRPr="00264D5D">
        <w:t xml:space="preserve">Описание комплексного типа </w:t>
      </w:r>
      <w:r w:rsidRPr="00264D5D">
        <w:rPr>
          <w:rFonts w:eastAsia="Calibri"/>
        </w:rPr>
        <w:t>«</w:t>
      </w:r>
      <w:bookmarkStart w:id="1701" w:name="OLE_LINK64"/>
      <w:bookmarkStart w:id="1702" w:name="OLE_LINK65"/>
      <w:r w:rsidRPr="00264D5D">
        <w:rPr>
          <w:szCs w:val="22"/>
        </w:rPr>
        <w:t>tMSC_PBS</w:t>
      </w:r>
      <w:bookmarkEnd w:id="1701"/>
      <w:bookmarkEnd w:id="1702"/>
      <w:r w:rsidRPr="00264D5D">
        <w:rPr>
          <w:szCs w:val="22"/>
        </w:rPr>
        <w:t>1</w:t>
      </w:r>
      <w:r w:rsidRPr="00264D5D">
        <w:t>» блока «Информация о ПБС/АДБ/АИФДБ».</w:t>
      </w:r>
    </w:p>
    <w:p w14:paraId="013541E4" w14:textId="2E701F5B" w:rsidR="00AD1F54" w:rsidRPr="00264D5D" w:rsidRDefault="001E5517">
      <w:pPr>
        <w:pStyle w:val="GOSTNameTable"/>
        <w:numPr>
          <w:ilvl w:val="0"/>
          <w:numId w:val="2"/>
        </w:numPr>
        <w:ind w:left="425" w:hanging="357"/>
      </w:pPr>
      <w:r w:rsidRPr="00264D5D">
        <w:rPr>
          <w:noProof/>
        </w:rPr>
        <w:fldChar w:fldCharType="begin"/>
      </w:r>
      <w:r w:rsidRPr="00264D5D">
        <w:rPr>
          <w:noProof/>
        </w:rPr>
        <w:instrText xml:space="preserve"> SEQ Таблица \* ARABIC </w:instrText>
      </w:r>
      <w:r w:rsidRPr="00264D5D">
        <w:rPr>
          <w:noProof/>
        </w:rPr>
        <w:fldChar w:fldCharType="separate"/>
      </w:r>
      <w:bookmarkStart w:id="1703" w:name="_Ref503543706"/>
      <w:bookmarkStart w:id="1704" w:name="_Toc18509620"/>
      <w:bookmarkStart w:id="1705" w:name="_Toc219309196"/>
      <w:r w:rsidR="008D797C">
        <w:rPr>
          <w:noProof/>
        </w:rPr>
        <w:t>166</w:t>
      </w:r>
      <w:bookmarkEnd w:id="1703"/>
      <w:r w:rsidRPr="00264D5D">
        <w:rPr>
          <w:noProof/>
        </w:rPr>
        <w:fldChar w:fldCharType="end"/>
      </w:r>
      <w:r w:rsidR="00941227" w:rsidRPr="00264D5D">
        <w:t xml:space="preserve"> – Описание комплексного типа «tMSC_PBS1»</w:t>
      </w:r>
      <w:bookmarkEnd w:id="1704"/>
      <w:bookmarkEnd w:id="1705"/>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5BBEB5F5"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732D6C04" w14:textId="77777777" w:rsidR="00AD1F54" w:rsidRPr="00264D5D" w:rsidRDefault="00941227">
            <w:pPr>
              <w:pStyle w:val="ASFKTableHead"/>
            </w:pPr>
            <w:bookmarkStart w:id="1706" w:name="OLE_LINK59"/>
            <w:r w:rsidRPr="00264D5D">
              <w:t>Наименование элемента</w:t>
            </w:r>
          </w:p>
        </w:tc>
        <w:tc>
          <w:tcPr>
            <w:tcW w:w="1701" w:type="dxa"/>
          </w:tcPr>
          <w:p w14:paraId="3095CB65" w14:textId="77777777" w:rsidR="00AD1F54" w:rsidRPr="00264D5D" w:rsidRDefault="00941227">
            <w:pPr>
              <w:pStyle w:val="ASFKTableHead"/>
            </w:pPr>
            <w:r w:rsidRPr="00264D5D">
              <w:t>Сокращенное наименование (код) элемента</w:t>
            </w:r>
          </w:p>
        </w:tc>
        <w:tc>
          <w:tcPr>
            <w:tcW w:w="567" w:type="dxa"/>
          </w:tcPr>
          <w:p w14:paraId="7DA89CF5" w14:textId="77777777" w:rsidR="00AD1F54" w:rsidRPr="00264D5D" w:rsidRDefault="00941227">
            <w:pPr>
              <w:pStyle w:val="ASFKTableHead"/>
            </w:pPr>
            <w:r w:rsidRPr="00264D5D">
              <w:t>Тип</w:t>
            </w:r>
          </w:p>
        </w:tc>
        <w:tc>
          <w:tcPr>
            <w:tcW w:w="1134" w:type="dxa"/>
          </w:tcPr>
          <w:p w14:paraId="489A56D8" w14:textId="77777777" w:rsidR="00AD1F54" w:rsidRPr="00264D5D" w:rsidRDefault="00941227">
            <w:pPr>
              <w:pStyle w:val="ASFKTableHead"/>
            </w:pPr>
            <w:r w:rsidRPr="00264D5D">
              <w:t>Формат элемента</w:t>
            </w:r>
          </w:p>
        </w:tc>
        <w:tc>
          <w:tcPr>
            <w:tcW w:w="567" w:type="dxa"/>
          </w:tcPr>
          <w:p w14:paraId="64026F6A" w14:textId="77777777" w:rsidR="00AD1F54" w:rsidRPr="00264D5D" w:rsidRDefault="00941227">
            <w:pPr>
              <w:pStyle w:val="ASFKTableHead"/>
            </w:pPr>
            <w:r w:rsidRPr="00264D5D">
              <w:t>Обязательность</w:t>
            </w:r>
          </w:p>
        </w:tc>
        <w:tc>
          <w:tcPr>
            <w:tcW w:w="3963" w:type="dxa"/>
          </w:tcPr>
          <w:p w14:paraId="4C791245" w14:textId="77777777" w:rsidR="00AD1F54" w:rsidRPr="00264D5D" w:rsidRDefault="00941227">
            <w:pPr>
              <w:pStyle w:val="ASFKTableHead"/>
            </w:pPr>
            <w:r w:rsidRPr="00264D5D">
              <w:t>Дополнительная информация</w:t>
            </w:r>
          </w:p>
        </w:tc>
      </w:tr>
      <w:tr w:rsidR="00AD1F54" w:rsidRPr="00264D5D" w14:paraId="5886A0A7"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E57707D" w14:textId="77777777" w:rsidR="00AD1F54" w:rsidRPr="00264D5D" w:rsidRDefault="00941227">
            <w:pPr>
              <w:pStyle w:val="GOSTTablenorm"/>
              <w:rPr>
                <w:szCs w:val="22"/>
              </w:rPr>
            </w:pPr>
            <w:r w:rsidRPr="00264D5D">
              <w:t>Номер лицевого счета ПБС/АДБ/АИФДБ</w:t>
            </w:r>
          </w:p>
        </w:tc>
        <w:tc>
          <w:tcPr>
            <w:tcW w:w="1701" w:type="dxa"/>
          </w:tcPr>
          <w:p w14:paraId="3B83483F" w14:textId="77777777" w:rsidR="00AD1F54" w:rsidRPr="00264D5D" w:rsidRDefault="00941227">
            <w:pPr>
              <w:pStyle w:val="GOSTTablenorm"/>
              <w:rPr>
                <w:lang w:val="en-US"/>
              </w:rPr>
            </w:pPr>
            <w:r w:rsidRPr="00264D5D">
              <w:rPr>
                <w:lang w:val="en-US"/>
              </w:rPr>
              <w:t>AcntNmbr</w:t>
            </w:r>
          </w:p>
        </w:tc>
        <w:tc>
          <w:tcPr>
            <w:tcW w:w="567" w:type="dxa"/>
          </w:tcPr>
          <w:p w14:paraId="367774C0" w14:textId="77777777" w:rsidR="00AD1F54" w:rsidRPr="00264D5D" w:rsidRDefault="00941227">
            <w:pPr>
              <w:pStyle w:val="GOSTTablenorm"/>
              <w:jc w:val="center"/>
            </w:pPr>
            <w:r w:rsidRPr="00264D5D">
              <w:t>П</w:t>
            </w:r>
          </w:p>
        </w:tc>
        <w:tc>
          <w:tcPr>
            <w:tcW w:w="1134" w:type="dxa"/>
          </w:tcPr>
          <w:p w14:paraId="1FC6B7C1" w14:textId="77777777" w:rsidR="00AD1F54" w:rsidRPr="00264D5D" w:rsidRDefault="00941227">
            <w:pPr>
              <w:pStyle w:val="GOSTTablenorm"/>
            </w:pPr>
            <w:r w:rsidRPr="00264D5D">
              <w:t>Т(11)</w:t>
            </w:r>
          </w:p>
        </w:tc>
        <w:tc>
          <w:tcPr>
            <w:tcW w:w="567" w:type="dxa"/>
          </w:tcPr>
          <w:p w14:paraId="25841DF6" w14:textId="77777777" w:rsidR="00AD1F54" w:rsidRPr="00264D5D" w:rsidRDefault="00941227">
            <w:pPr>
              <w:pStyle w:val="GOSTTablenorm"/>
              <w:jc w:val="center"/>
            </w:pPr>
            <w:r w:rsidRPr="00264D5D">
              <w:t>Н</w:t>
            </w:r>
          </w:p>
        </w:tc>
        <w:tc>
          <w:tcPr>
            <w:tcW w:w="3963" w:type="dxa"/>
          </w:tcPr>
          <w:p w14:paraId="587E3EB5" w14:textId="77777777" w:rsidR="00AD1F54" w:rsidRPr="00264D5D" w:rsidRDefault="00941227" w:rsidP="00676E27">
            <w:pPr>
              <w:pStyle w:val="GOSTTablenorm"/>
            </w:pPr>
            <w:r w:rsidRPr="00264D5D">
              <w:t>Указывается л/с клиента, сформировавшего Уведомление. Для л/с по переданным полномочиям указывается л/с с кодом «05», «14», открытый ПБС, передавшему полномочия.</w:t>
            </w:r>
          </w:p>
          <w:p w14:paraId="7E388582" w14:textId="77777777" w:rsidR="00AD1F54" w:rsidRPr="00264D5D" w:rsidRDefault="00941227" w:rsidP="00676E27">
            <w:pPr>
              <w:pStyle w:val="GOSTTablenorm"/>
            </w:pPr>
            <w:r w:rsidRPr="00264D5D">
              <w:t>Не заполняется если заполнено поле «Лицевой счет финансового органа» (UF_AcntNmFO). В остальных случаях обязательно к заполнению.</w:t>
            </w:r>
          </w:p>
          <w:p w14:paraId="5966D1AC" w14:textId="77777777" w:rsidR="00AD1F54" w:rsidRPr="00264D5D" w:rsidRDefault="00941227" w:rsidP="00676E27">
            <w:pPr>
              <w:pStyle w:val="GOSTTablenorm"/>
              <w:rPr>
                <w:szCs w:val="22"/>
              </w:rPr>
            </w:pPr>
            <w:r w:rsidRPr="00264D5D">
              <w:t>Обязательно для заполнения при уточнении поступлений, учтенных на казначейском сч</w:t>
            </w:r>
            <w:r w:rsidR="00676E27" w:rsidRPr="00264D5D">
              <w:t>ете до выяснения принадлежности</w:t>
            </w:r>
          </w:p>
        </w:tc>
      </w:tr>
      <w:tr w:rsidR="00AD1F54" w:rsidRPr="00264D5D" w14:paraId="3CE2A860"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3FCE1975" w14:textId="77777777" w:rsidR="00AD1F54" w:rsidRPr="00264D5D" w:rsidRDefault="00941227">
            <w:pPr>
              <w:pStyle w:val="GOSTTablenorm"/>
              <w:rPr>
                <w:szCs w:val="22"/>
              </w:rPr>
            </w:pPr>
            <w:r w:rsidRPr="00264D5D">
              <w:t>ПБС/АДБ/АИФДБ по Сводному реестру</w:t>
            </w:r>
          </w:p>
        </w:tc>
        <w:tc>
          <w:tcPr>
            <w:tcW w:w="1701" w:type="dxa"/>
          </w:tcPr>
          <w:p w14:paraId="60B381D5" w14:textId="77777777" w:rsidR="00AD1F54" w:rsidRPr="00264D5D" w:rsidRDefault="00941227">
            <w:pPr>
              <w:pStyle w:val="GOSTTablenorm"/>
              <w:rPr>
                <w:lang w:val="en-US"/>
              </w:rPr>
            </w:pPr>
            <w:r w:rsidRPr="00264D5D">
              <w:rPr>
                <w:lang w:val="en-US"/>
              </w:rPr>
              <w:t>MSC_PBS_UBP</w:t>
            </w:r>
          </w:p>
        </w:tc>
        <w:tc>
          <w:tcPr>
            <w:tcW w:w="567" w:type="dxa"/>
          </w:tcPr>
          <w:p w14:paraId="6188AA89" w14:textId="77777777" w:rsidR="00AD1F54" w:rsidRPr="00264D5D" w:rsidRDefault="00941227">
            <w:pPr>
              <w:pStyle w:val="GOSTTablenorm"/>
              <w:jc w:val="center"/>
            </w:pPr>
            <w:r w:rsidRPr="00264D5D">
              <w:t>С</w:t>
            </w:r>
          </w:p>
        </w:tc>
        <w:tc>
          <w:tcPr>
            <w:tcW w:w="1134" w:type="dxa"/>
          </w:tcPr>
          <w:p w14:paraId="530321A9" w14:textId="77777777" w:rsidR="00AD1F54" w:rsidRPr="00264D5D" w:rsidRDefault="00941227">
            <w:pPr>
              <w:pStyle w:val="GOSTTablenorm"/>
            </w:pPr>
            <w:r w:rsidRPr="00264D5D">
              <w:t>tMSC_PBS_UBP1</w:t>
            </w:r>
          </w:p>
        </w:tc>
        <w:tc>
          <w:tcPr>
            <w:tcW w:w="567" w:type="dxa"/>
          </w:tcPr>
          <w:p w14:paraId="3A2F2CB5" w14:textId="77777777" w:rsidR="00AD1F54" w:rsidRPr="00264D5D" w:rsidRDefault="00941227">
            <w:pPr>
              <w:pStyle w:val="GOSTTablenorm"/>
              <w:jc w:val="center"/>
            </w:pPr>
            <w:r w:rsidRPr="00264D5D">
              <w:t>О</w:t>
            </w:r>
          </w:p>
        </w:tc>
        <w:tc>
          <w:tcPr>
            <w:tcW w:w="3963" w:type="dxa"/>
          </w:tcPr>
          <w:p w14:paraId="3ED2ED34" w14:textId="053A0847" w:rsidR="00AD1F54" w:rsidRPr="00264D5D" w:rsidRDefault="00941227" w:rsidP="00676E27">
            <w:pPr>
              <w:pStyle w:val="GOSTTablenorm"/>
            </w:pPr>
            <w:r w:rsidRPr="00264D5D">
              <w:t xml:space="preserve">Состав элемента представлен в таблице </w:t>
            </w:r>
            <w:r w:rsidRPr="00264D5D">
              <w:rPr>
                <w:b/>
              </w:rPr>
              <w:fldChar w:fldCharType="begin"/>
            </w:r>
            <w:r w:rsidRPr="00264D5D">
              <w:rPr>
                <w:b/>
              </w:rPr>
              <w:instrText xml:space="preserve"> REF _Ref523911854 \h  \* MERGEFORMAT </w:instrText>
            </w:r>
            <w:r w:rsidRPr="00264D5D">
              <w:rPr>
                <w:b/>
              </w:rPr>
            </w:r>
            <w:r w:rsidRPr="00264D5D">
              <w:rPr>
                <w:b/>
              </w:rPr>
              <w:fldChar w:fldCharType="separate"/>
            </w:r>
            <w:r w:rsidR="008D797C" w:rsidRPr="008D797C">
              <w:rPr>
                <w:b/>
              </w:rPr>
              <w:t>167</w:t>
            </w:r>
            <w:r w:rsidRPr="00264D5D">
              <w:rPr>
                <w:b/>
              </w:rPr>
              <w:fldChar w:fldCharType="end"/>
            </w:r>
          </w:p>
        </w:tc>
      </w:tr>
    </w:tbl>
    <w:p w14:paraId="5E624576" w14:textId="77777777" w:rsidR="00AD1F54" w:rsidRPr="00264D5D" w:rsidRDefault="00941227">
      <w:pPr>
        <w:pStyle w:val="31"/>
      </w:pPr>
      <w:bookmarkStart w:id="1707" w:name="_Toc18509343"/>
      <w:bookmarkStart w:id="1708" w:name="_Toc508712717"/>
      <w:bookmarkStart w:id="1709" w:name="_Toc219309623"/>
      <w:bookmarkEnd w:id="1706"/>
      <w:r w:rsidRPr="00264D5D">
        <w:t>Описание комплексного типа «tMSC_PBS_UBP1»</w:t>
      </w:r>
      <w:bookmarkEnd w:id="1707"/>
      <w:bookmarkEnd w:id="1709"/>
    </w:p>
    <w:p w14:paraId="7B0FB0DB" w14:textId="77777777" w:rsidR="00AD1F54" w:rsidRPr="00264D5D" w:rsidRDefault="00941227">
      <w:pPr>
        <w:pStyle w:val="GOSTNormal"/>
      </w:pPr>
      <w:r w:rsidRPr="00264D5D">
        <w:t xml:space="preserve">Описание комплексного типа </w:t>
      </w:r>
      <w:r w:rsidRPr="00264D5D">
        <w:rPr>
          <w:rFonts w:eastAsia="Calibri"/>
        </w:rPr>
        <w:t>«</w:t>
      </w:r>
      <w:r w:rsidRPr="00264D5D">
        <w:t>tMSC_PBS_UBP1» блока «ПБС/АДБ/АИФДБ по Сводному реестру».</w:t>
      </w:r>
    </w:p>
    <w:p w14:paraId="2400BE77" w14:textId="2D4DCD47" w:rsidR="00AD1F54" w:rsidRPr="00264D5D" w:rsidRDefault="001E5517">
      <w:pPr>
        <w:pStyle w:val="GOSTNameTable"/>
        <w:numPr>
          <w:ilvl w:val="0"/>
          <w:numId w:val="2"/>
        </w:numPr>
        <w:ind w:left="425" w:hanging="357"/>
      </w:pPr>
      <w:r w:rsidRPr="00264D5D">
        <w:rPr>
          <w:noProof/>
        </w:rPr>
        <w:fldChar w:fldCharType="begin"/>
      </w:r>
      <w:r w:rsidRPr="00264D5D">
        <w:rPr>
          <w:noProof/>
        </w:rPr>
        <w:instrText xml:space="preserve"> SEQ Таблица \* ARABIC </w:instrText>
      </w:r>
      <w:r w:rsidRPr="00264D5D">
        <w:rPr>
          <w:noProof/>
        </w:rPr>
        <w:fldChar w:fldCharType="separate"/>
      </w:r>
      <w:bookmarkStart w:id="1710" w:name="_Ref523911854"/>
      <w:bookmarkStart w:id="1711" w:name="_Toc18509621"/>
      <w:bookmarkStart w:id="1712" w:name="_Toc219309197"/>
      <w:r w:rsidR="008D797C">
        <w:rPr>
          <w:noProof/>
        </w:rPr>
        <w:t>167</w:t>
      </w:r>
      <w:bookmarkEnd w:id="1710"/>
      <w:r w:rsidRPr="00264D5D">
        <w:rPr>
          <w:noProof/>
        </w:rPr>
        <w:fldChar w:fldCharType="end"/>
      </w:r>
      <w:r w:rsidR="00941227" w:rsidRPr="00264D5D">
        <w:t xml:space="preserve"> – Описание комплексного типа «tMSC_PBS_UBP1»</w:t>
      </w:r>
      <w:bookmarkEnd w:id="1711"/>
      <w:bookmarkEnd w:id="1712"/>
    </w:p>
    <w:tbl>
      <w:tblPr>
        <w:tblStyle w:val="GOSTTable"/>
        <w:tblW w:w="9634" w:type="dxa"/>
        <w:tblLayout w:type="fixed"/>
        <w:tblLook w:val="01E0" w:firstRow="1" w:lastRow="1" w:firstColumn="1" w:lastColumn="1" w:noHBand="0" w:noVBand="0"/>
      </w:tblPr>
      <w:tblGrid>
        <w:gridCol w:w="1702"/>
        <w:gridCol w:w="1701"/>
        <w:gridCol w:w="567"/>
        <w:gridCol w:w="1134"/>
        <w:gridCol w:w="567"/>
        <w:gridCol w:w="3963"/>
      </w:tblGrid>
      <w:tr w:rsidR="00AD1F54" w:rsidRPr="00264D5D" w14:paraId="3AAE46F1"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2" w:type="dxa"/>
          </w:tcPr>
          <w:p w14:paraId="4B97AD47" w14:textId="77777777" w:rsidR="00AD1F54" w:rsidRPr="00264D5D" w:rsidRDefault="00941227">
            <w:pPr>
              <w:pStyle w:val="ASFKTableHead"/>
            </w:pPr>
            <w:r w:rsidRPr="00264D5D">
              <w:t>Наименование элемента</w:t>
            </w:r>
          </w:p>
        </w:tc>
        <w:tc>
          <w:tcPr>
            <w:tcW w:w="1701" w:type="dxa"/>
          </w:tcPr>
          <w:p w14:paraId="14DF52AA" w14:textId="77777777" w:rsidR="00AD1F54" w:rsidRPr="00264D5D" w:rsidRDefault="00941227">
            <w:pPr>
              <w:pStyle w:val="ASFKTableHead"/>
            </w:pPr>
            <w:r w:rsidRPr="00264D5D">
              <w:t>Сокращенное наименование (код) элемента</w:t>
            </w:r>
          </w:p>
        </w:tc>
        <w:tc>
          <w:tcPr>
            <w:tcW w:w="567" w:type="dxa"/>
          </w:tcPr>
          <w:p w14:paraId="5672FD60" w14:textId="77777777" w:rsidR="00AD1F54" w:rsidRPr="00264D5D" w:rsidRDefault="00941227">
            <w:pPr>
              <w:pStyle w:val="ASFKTableHead"/>
            </w:pPr>
            <w:r w:rsidRPr="00264D5D">
              <w:t>Тип</w:t>
            </w:r>
          </w:p>
        </w:tc>
        <w:tc>
          <w:tcPr>
            <w:tcW w:w="1134" w:type="dxa"/>
          </w:tcPr>
          <w:p w14:paraId="146F3FDE" w14:textId="77777777" w:rsidR="00AD1F54" w:rsidRPr="00264D5D" w:rsidRDefault="00941227">
            <w:pPr>
              <w:pStyle w:val="ASFKTableHead"/>
            </w:pPr>
            <w:r w:rsidRPr="00264D5D">
              <w:t>Формат элемента</w:t>
            </w:r>
          </w:p>
        </w:tc>
        <w:tc>
          <w:tcPr>
            <w:tcW w:w="567" w:type="dxa"/>
          </w:tcPr>
          <w:p w14:paraId="0AF1E205" w14:textId="77777777" w:rsidR="00AD1F54" w:rsidRPr="00264D5D" w:rsidRDefault="00941227">
            <w:pPr>
              <w:pStyle w:val="ASFKTableHead"/>
            </w:pPr>
            <w:r w:rsidRPr="00264D5D">
              <w:t>Обязательность</w:t>
            </w:r>
          </w:p>
        </w:tc>
        <w:tc>
          <w:tcPr>
            <w:tcW w:w="3963" w:type="dxa"/>
          </w:tcPr>
          <w:p w14:paraId="7C78A065" w14:textId="77777777" w:rsidR="00AD1F54" w:rsidRPr="00264D5D" w:rsidRDefault="00941227">
            <w:pPr>
              <w:pStyle w:val="ASFKTableHead"/>
            </w:pPr>
            <w:r w:rsidRPr="00264D5D">
              <w:t>Дополнительная информация</w:t>
            </w:r>
          </w:p>
        </w:tc>
      </w:tr>
      <w:tr w:rsidR="00AD1F54" w:rsidRPr="00264D5D" w14:paraId="60C38F31" w14:textId="77777777" w:rsidTr="00AD1F54">
        <w:trPr>
          <w:cnfStyle w:val="000000100000" w:firstRow="0" w:lastRow="0" w:firstColumn="0" w:lastColumn="0" w:oddVBand="0" w:evenVBand="0" w:oddHBand="1" w:evenHBand="0" w:firstRowFirstColumn="0" w:firstRowLastColumn="0" w:lastRowFirstColumn="0" w:lastRowLastColumn="0"/>
        </w:trPr>
        <w:tc>
          <w:tcPr>
            <w:tcW w:w="1702" w:type="dxa"/>
          </w:tcPr>
          <w:p w14:paraId="4AE455F4" w14:textId="77777777" w:rsidR="00AD1F54" w:rsidRPr="00264D5D" w:rsidRDefault="00941227">
            <w:pPr>
              <w:pStyle w:val="GOSTTablenorm"/>
            </w:pPr>
            <w:r w:rsidRPr="00264D5D">
              <w:t>Код по Сводному реестру ПБС/АДБ/ АИФДБ</w:t>
            </w:r>
          </w:p>
        </w:tc>
        <w:tc>
          <w:tcPr>
            <w:tcW w:w="1701" w:type="dxa"/>
          </w:tcPr>
          <w:p w14:paraId="34C259A4" w14:textId="77777777" w:rsidR="00AD1F54" w:rsidRPr="00264D5D" w:rsidRDefault="00941227">
            <w:pPr>
              <w:pStyle w:val="GOSTTablenorm"/>
            </w:pPr>
            <w:r w:rsidRPr="00264D5D">
              <w:rPr>
                <w:lang w:val="en-US"/>
              </w:rPr>
              <w:t>Cd</w:t>
            </w:r>
          </w:p>
        </w:tc>
        <w:tc>
          <w:tcPr>
            <w:tcW w:w="567" w:type="dxa"/>
          </w:tcPr>
          <w:p w14:paraId="1EF5C6EA" w14:textId="77777777" w:rsidR="00AD1F54" w:rsidRPr="00264D5D" w:rsidRDefault="00941227">
            <w:pPr>
              <w:pStyle w:val="GOSTTablenorm"/>
              <w:jc w:val="center"/>
            </w:pPr>
            <w:r w:rsidRPr="00264D5D">
              <w:t>П</w:t>
            </w:r>
          </w:p>
        </w:tc>
        <w:tc>
          <w:tcPr>
            <w:tcW w:w="1134" w:type="dxa"/>
          </w:tcPr>
          <w:p w14:paraId="55DCCCC8" w14:textId="77777777" w:rsidR="00AD1F54" w:rsidRPr="00264D5D" w:rsidRDefault="00941227">
            <w:pPr>
              <w:pStyle w:val="GOSTTablenorm"/>
            </w:pPr>
            <w:r w:rsidRPr="00264D5D">
              <w:t>Т(8)</w:t>
            </w:r>
          </w:p>
        </w:tc>
        <w:tc>
          <w:tcPr>
            <w:tcW w:w="567" w:type="dxa"/>
          </w:tcPr>
          <w:p w14:paraId="12A90354" w14:textId="77777777" w:rsidR="00AD1F54" w:rsidRPr="00264D5D" w:rsidRDefault="00941227">
            <w:pPr>
              <w:pStyle w:val="GOSTTablenorm"/>
              <w:jc w:val="center"/>
            </w:pPr>
            <w:r w:rsidRPr="00264D5D">
              <w:t>О</w:t>
            </w:r>
          </w:p>
        </w:tc>
        <w:tc>
          <w:tcPr>
            <w:tcW w:w="3963" w:type="dxa"/>
          </w:tcPr>
          <w:p w14:paraId="78F16BDA" w14:textId="77777777" w:rsidR="00AD1F54" w:rsidRPr="00264D5D" w:rsidRDefault="00941227">
            <w:pPr>
              <w:pStyle w:val="GOSTTablenorm"/>
            </w:pPr>
            <w:r w:rsidRPr="00264D5D">
              <w:t>Код клиента (для л/с по переданным полномочиям указывается код клиента, передавшего полномочия). Указывается уникальный код организации по Св</w:t>
            </w:r>
            <w:r w:rsidR="00676E27" w:rsidRPr="00264D5D">
              <w:t>одному реестру, равный 8 знакам</w:t>
            </w:r>
          </w:p>
        </w:tc>
      </w:tr>
      <w:tr w:rsidR="00AD1F54" w:rsidRPr="00264D5D" w14:paraId="6CFC4D35" w14:textId="77777777" w:rsidTr="00AD1F54">
        <w:trPr>
          <w:cnfStyle w:val="000000010000" w:firstRow="0" w:lastRow="0" w:firstColumn="0" w:lastColumn="0" w:oddVBand="0" w:evenVBand="0" w:oddHBand="0" w:evenHBand="1" w:firstRowFirstColumn="0" w:firstRowLastColumn="0" w:lastRowFirstColumn="0" w:lastRowLastColumn="0"/>
        </w:trPr>
        <w:tc>
          <w:tcPr>
            <w:tcW w:w="1702" w:type="dxa"/>
          </w:tcPr>
          <w:p w14:paraId="49593486" w14:textId="77777777" w:rsidR="00AD1F54" w:rsidRPr="00264D5D" w:rsidRDefault="00941227">
            <w:pPr>
              <w:pStyle w:val="GOSTTablenorm"/>
            </w:pPr>
            <w:r w:rsidRPr="00264D5D">
              <w:t>Наименование ПБС/АДБ/ АИФДБ</w:t>
            </w:r>
          </w:p>
        </w:tc>
        <w:tc>
          <w:tcPr>
            <w:tcW w:w="1701" w:type="dxa"/>
          </w:tcPr>
          <w:p w14:paraId="7E40DDD4" w14:textId="77777777" w:rsidR="00AD1F54" w:rsidRPr="00264D5D" w:rsidRDefault="00941227">
            <w:pPr>
              <w:pStyle w:val="GOSTTablenorm"/>
            </w:pPr>
            <w:r w:rsidRPr="00264D5D">
              <w:rPr>
                <w:lang w:val="en-US"/>
              </w:rPr>
              <w:t>Nm</w:t>
            </w:r>
          </w:p>
        </w:tc>
        <w:tc>
          <w:tcPr>
            <w:tcW w:w="567" w:type="dxa"/>
          </w:tcPr>
          <w:p w14:paraId="198B1676" w14:textId="77777777" w:rsidR="00AD1F54" w:rsidRPr="00264D5D" w:rsidRDefault="00941227">
            <w:pPr>
              <w:pStyle w:val="GOSTTablenorm"/>
              <w:jc w:val="center"/>
            </w:pPr>
            <w:r w:rsidRPr="00264D5D">
              <w:t>П</w:t>
            </w:r>
          </w:p>
        </w:tc>
        <w:tc>
          <w:tcPr>
            <w:tcW w:w="1134" w:type="dxa"/>
          </w:tcPr>
          <w:p w14:paraId="07E97DDE" w14:textId="77777777" w:rsidR="00AD1F54" w:rsidRPr="00264D5D" w:rsidRDefault="00941227">
            <w:pPr>
              <w:pStyle w:val="GOSTTablenorm"/>
            </w:pPr>
            <w:r w:rsidRPr="00264D5D">
              <w:t>Т(1-2000)</w:t>
            </w:r>
          </w:p>
        </w:tc>
        <w:tc>
          <w:tcPr>
            <w:tcW w:w="567" w:type="dxa"/>
          </w:tcPr>
          <w:p w14:paraId="238E6EB0" w14:textId="77777777" w:rsidR="00AD1F54" w:rsidRPr="00264D5D" w:rsidRDefault="00941227">
            <w:pPr>
              <w:pStyle w:val="GOSTTablenorm"/>
              <w:jc w:val="center"/>
            </w:pPr>
            <w:r w:rsidRPr="00264D5D">
              <w:t>О</w:t>
            </w:r>
          </w:p>
        </w:tc>
        <w:tc>
          <w:tcPr>
            <w:tcW w:w="3963" w:type="dxa"/>
          </w:tcPr>
          <w:p w14:paraId="2A3922E4" w14:textId="77777777" w:rsidR="00AD1F54" w:rsidRPr="00264D5D" w:rsidRDefault="00941227">
            <w:pPr>
              <w:pStyle w:val="GOSTTablenorm"/>
            </w:pPr>
            <w:r w:rsidRPr="00264D5D">
              <w:t>Указывается полное наименование клиента (для л/с по переданным полномочиям указывается наименование клиента, передавшего полномочия) в соответствии с</w:t>
            </w:r>
            <w:r w:rsidR="00676E27" w:rsidRPr="00264D5D">
              <w:t>о Сводным реестром</w:t>
            </w:r>
          </w:p>
        </w:tc>
      </w:tr>
    </w:tbl>
    <w:p w14:paraId="262AD5EE" w14:textId="77777777" w:rsidR="00AD1F54" w:rsidRPr="00264D5D" w:rsidRDefault="00941227">
      <w:pPr>
        <w:pStyle w:val="31"/>
      </w:pPr>
      <w:bookmarkStart w:id="1713" w:name="_Toc18509344"/>
      <w:bookmarkStart w:id="1714" w:name="_Toc219309624"/>
      <w:r w:rsidRPr="00264D5D">
        <w:lastRenderedPageBreak/>
        <w:t>Описание комплексного типа «tMSC_GRBS»</w:t>
      </w:r>
      <w:bookmarkEnd w:id="1708"/>
      <w:bookmarkEnd w:id="1713"/>
      <w:bookmarkEnd w:id="1714"/>
    </w:p>
    <w:p w14:paraId="545DBFAF" w14:textId="77777777" w:rsidR="00AD1F54" w:rsidRPr="00264D5D" w:rsidRDefault="00941227">
      <w:pPr>
        <w:pStyle w:val="GOSTNormal"/>
      </w:pPr>
      <w:r w:rsidRPr="00264D5D">
        <w:t xml:space="preserve">Описание комплексного типа </w:t>
      </w:r>
      <w:r w:rsidRPr="00264D5D">
        <w:rPr>
          <w:rFonts w:eastAsia="Calibri"/>
        </w:rPr>
        <w:t>«</w:t>
      </w:r>
      <w:r w:rsidRPr="00264D5D">
        <w:rPr>
          <w:szCs w:val="22"/>
        </w:rPr>
        <w:t>tMSC_GRBS</w:t>
      </w:r>
      <w:r w:rsidRPr="00264D5D">
        <w:t>» блока «Информация о ГРБС/ГАДБ/ГАИФДБ».</w:t>
      </w:r>
    </w:p>
    <w:p w14:paraId="2B8F8D91" w14:textId="5B0F2737" w:rsidR="00AD1F54" w:rsidRPr="00264D5D" w:rsidRDefault="001E5517">
      <w:pPr>
        <w:pStyle w:val="GOSTNameTable"/>
        <w:numPr>
          <w:ilvl w:val="0"/>
          <w:numId w:val="2"/>
        </w:numPr>
        <w:ind w:left="425" w:hanging="357"/>
      </w:pPr>
      <w:r w:rsidRPr="00264D5D">
        <w:rPr>
          <w:noProof/>
        </w:rPr>
        <w:fldChar w:fldCharType="begin"/>
      </w:r>
      <w:r w:rsidRPr="00264D5D">
        <w:rPr>
          <w:noProof/>
        </w:rPr>
        <w:instrText xml:space="preserve"> SEQ Таблица \* ARABIC </w:instrText>
      </w:r>
      <w:r w:rsidRPr="00264D5D">
        <w:rPr>
          <w:noProof/>
        </w:rPr>
        <w:fldChar w:fldCharType="separate"/>
      </w:r>
      <w:bookmarkStart w:id="1715" w:name="_Ref503543721"/>
      <w:bookmarkStart w:id="1716" w:name="_Toc18509622"/>
      <w:bookmarkStart w:id="1717" w:name="_Toc219309198"/>
      <w:r w:rsidR="008D797C">
        <w:rPr>
          <w:noProof/>
        </w:rPr>
        <w:t>168</w:t>
      </w:r>
      <w:bookmarkEnd w:id="1715"/>
      <w:r w:rsidRPr="00264D5D">
        <w:rPr>
          <w:noProof/>
        </w:rPr>
        <w:fldChar w:fldCharType="end"/>
      </w:r>
      <w:r w:rsidR="00941227" w:rsidRPr="00264D5D">
        <w:t xml:space="preserve"> – Описание комплексного типа «tMSC_GRBS»</w:t>
      </w:r>
      <w:bookmarkEnd w:id="1716"/>
      <w:bookmarkEnd w:id="1717"/>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7E77A38A"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3D36CA38" w14:textId="77777777" w:rsidR="00AD1F54" w:rsidRPr="00264D5D" w:rsidRDefault="00941227">
            <w:pPr>
              <w:pStyle w:val="ASFKTableHead"/>
            </w:pPr>
            <w:r w:rsidRPr="00264D5D">
              <w:t>Наименование элемента</w:t>
            </w:r>
          </w:p>
        </w:tc>
        <w:tc>
          <w:tcPr>
            <w:tcW w:w="1701" w:type="dxa"/>
          </w:tcPr>
          <w:p w14:paraId="79F89850" w14:textId="77777777" w:rsidR="00AD1F54" w:rsidRPr="00264D5D" w:rsidRDefault="00941227">
            <w:pPr>
              <w:pStyle w:val="ASFKTableHead"/>
            </w:pPr>
            <w:r w:rsidRPr="00264D5D">
              <w:t>Сокращенное наименование (код) элемента</w:t>
            </w:r>
          </w:p>
        </w:tc>
        <w:tc>
          <w:tcPr>
            <w:tcW w:w="567" w:type="dxa"/>
          </w:tcPr>
          <w:p w14:paraId="50F82A53" w14:textId="77777777" w:rsidR="00AD1F54" w:rsidRPr="00264D5D" w:rsidRDefault="00941227">
            <w:pPr>
              <w:pStyle w:val="ASFKTableHead"/>
            </w:pPr>
            <w:r w:rsidRPr="00264D5D">
              <w:t>Тип</w:t>
            </w:r>
          </w:p>
        </w:tc>
        <w:tc>
          <w:tcPr>
            <w:tcW w:w="1134" w:type="dxa"/>
          </w:tcPr>
          <w:p w14:paraId="5B7C9655" w14:textId="77777777" w:rsidR="00AD1F54" w:rsidRPr="00264D5D" w:rsidRDefault="00941227">
            <w:pPr>
              <w:pStyle w:val="ASFKTableHead"/>
            </w:pPr>
            <w:r w:rsidRPr="00264D5D">
              <w:t>Формат элемента</w:t>
            </w:r>
          </w:p>
        </w:tc>
        <w:tc>
          <w:tcPr>
            <w:tcW w:w="567" w:type="dxa"/>
          </w:tcPr>
          <w:p w14:paraId="55A00F19" w14:textId="77777777" w:rsidR="00AD1F54" w:rsidRPr="00264D5D" w:rsidRDefault="00941227">
            <w:pPr>
              <w:pStyle w:val="ASFKTableHead"/>
            </w:pPr>
            <w:r w:rsidRPr="00264D5D">
              <w:t>Обязательность</w:t>
            </w:r>
          </w:p>
        </w:tc>
        <w:tc>
          <w:tcPr>
            <w:tcW w:w="3963" w:type="dxa"/>
          </w:tcPr>
          <w:p w14:paraId="78701236" w14:textId="77777777" w:rsidR="00AD1F54" w:rsidRPr="00264D5D" w:rsidRDefault="00941227">
            <w:pPr>
              <w:pStyle w:val="ASFKTableHead"/>
            </w:pPr>
            <w:r w:rsidRPr="00264D5D">
              <w:t>Дополнительная информация</w:t>
            </w:r>
          </w:p>
        </w:tc>
      </w:tr>
      <w:tr w:rsidR="00AD1F54" w:rsidRPr="00264D5D" w14:paraId="595F78D8"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EC9E423" w14:textId="77777777" w:rsidR="00AD1F54" w:rsidRPr="00264D5D" w:rsidRDefault="00941227">
            <w:pPr>
              <w:pStyle w:val="GOSTTablenorm"/>
              <w:rPr>
                <w:szCs w:val="22"/>
              </w:rPr>
            </w:pPr>
            <w:r w:rsidRPr="00264D5D">
              <w:rPr>
                <w:szCs w:val="22"/>
              </w:rPr>
              <w:t>Глава по БК ГРБС/ГАДБ/ГАИФДБ</w:t>
            </w:r>
          </w:p>
        </w:tc>
        <w:tc>
          <w:tcPr>
            <w:tcW w:w="1701" w:type="dxa"/>
          </w:tcPr>
          <w:p w14:paraId="3241E80F" w14:textId="77777777" w:rsidR="00AD1F54" w:rsidRPr="00264D5D" w:rsidRDefault="00941227">
            <w:pPr>
              <w:pStyle w:val="GOSTTablenorm"/>
              <w:rPr>
                <w:szCs w:val="22"/>
                <w:lang w:val="en-US"/>
              </w:rPr>
            </w:pPr>
            <w:r w:rsidRPr="00264D5D">
              <w:rPr>
                <w:szCs w:val="22"/>
                <w:lang w:val="en-US"/>
              </w:rPr>
              <w:t>Cd</w:t>
            </w:r>
          </w:p>
        </w:tc>
        <w:tc>
          <w:tcPr>
            <w:tcW w:w="567" w:type="dxa"/>
          </w:tcPr>
          <w:p w14:paraId="25705D05" w14:textId="77777777" w:rsidR="00AD1F54" w:rsidRPr="00264D5D" w:rsidRDefault="00941227">
            <w:pPr>
              <w:pStyle w:val="GOSTTablenorm"/>
              <w:jc w:val="center"/>
              <w:rPr>
                <w:szCs w:val="22"/>
              </w:rPr>
            </w:pPr>
            <w:r w:rsidRPr="00264D5D">
              <w:rPr>
                <w:szCs w:val="22"/>
              </w:rPr>
              <w:t>П</w:t>
            </w:r>
          </w:p>
        </w:tc>
        <w:tc>
          <w:tcPr>
            <w:tcW w:w="1134" w:type="dxa"/>
          </w:tcPr>
          <w:p w14:paraId="62AD4CED" w14:textId="77777777" w:rsidR="00AD1F54" w:rsidRPr="00264D5D" w:rsidRDefault="00941227">
            <w:pPr>
              <w:pStyle w:val="GOSTTablenorm"/>
              <w:rPr>
                <w:szCs w:val="22"/>
              </w:rPr>
            </w:pPr>
            <w:r w:rsidRPr="00264D5D">
              <w:rPr>
                <w:szCs w:val="22"/>
              </w:rPr>
              <w:t>Т(3)</w:t>
            </w:r>
          </w:p>
        </w:tc>
        <w:tc>
          <w:tcPr>
            <w:tcW w:w="567" w:type="dxa"/>
          </w:tcPr>
          <w:p w14:paraId="2D6CFE36" w14:textId="77777777" w:rsidR="00AD1F54" w:rsidRPr="00264D5D" w:rsidRDefault="00941227">
            <w:pPr>
              <w:pStyle w:val="GOSTTablenorm"/>
              <w:jc w:val="center"/>
              <w:rPr>
                <w:szCs w:val="22"/>
              </w:rPr>
            </w:pPr>
            <w:r w:rsidRPr="00264D5D">
              <w:rPr>
                <w:szCs w:val="22"/>
              </w:rPr>
              <w:t>Н</w:t>
            </w:r>
          </w:p>
        </w:tc>
        <w:tc>
          <w:tcPr>
            <w:tcW w:w="3963" w:type="dxa"/>
          </w:tcPr>
          <w:p w14:paraId="4961167D" w14:textId="77777777" w:rsidR="00AD1F54" w:rsidRPr="00264D5D" w:rsidRDefault="00941227">
            <w:pPr>
              <w:pStyle w:val="GOSTTablenorm"/>
              <w:rPr>
                <w:szCs w:val="22"/>
              </w:rPr>
            </w:pPr>
            <w:r w:rsidRPr="00264D5D">
              <w:rPr>
                <w:szCs w:val="22"/>
              </w:rPr>
              <w:t>Код ГРБС/ГАДБ/ГАИФДБ по перечню, утвержденному законом (решением) о соответствующем бюджете.</w:t>
            </w:r>
          </w:p>
          <w:p w14:paraId="2CA88E15" w14:textId="77777777" w:rsidR="00AD1F54" w:rsidRPr="00264D5D" w:rsidRDefault="00941227">
            <w:pPr>
              <w:pStyle w:val="GOSTTablenorm"/>
              <w:rPr>
                <w:szCs w:val="22"/>
              </w:rPr>
            </w:pPr>
            <w:r w:rsidRPr="00264D5D">
              <w:rPr>
                <w:szCs w:val="22"/>
              </w:rPr>
              <w:t>Обязательно для заполнения, если не заполнено</w:t>
            </w:r>
            <w:r w:rsidR="00676E27" w:rsidRPr="00264D5D">
              <w:rPr>
                <w:szCs w:val="22"/>
              </w:rPr>
              <w:t xml:space="preserve"> поле «UF_AcntNmFO»</w:t>
            </w:r>
          </w:p>
        </w:tc>
      </w:tr>
      <w:tr w:rsidR="00AD1F54" w:rsidRPr="00264D5D" w14:paraId="4EB672AA"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3EABDFAB" w14:textId="77777777" w:rsidR="00AD1F54" w:rsidRPr="00264D5D" w:rsidRDefault="00941227">
            <w:pPr>
              <w:pStyle w:val="GOSTTablenorm"/>
              <w:rPr>
                <w:szCs w:val="22"/>
              </w:rPr>
            </w:pPr>
            <w:r w:rsidRPr="00264D5D">
              <w:rPr>
                <w:szCs w:val="22"/>
              </w:rPr>
              <w:t>Наименование ГРБС/ГАДБ/ГАИФДБ</w:t>
            </w:r>
          </w:p>
        </w:tc>
        <w:tc>
          <w:tcPr>
            <w:tcW w:w="1701" w:type="dxa"/>
          </w:tcPr>
          <w:p w14:paraId="62B07DDC" w14:textId="77777777" w:rsidR="00AD1F54" w:rsidRPr="00264D5D" w:rsidRDefault="00941227">
            <w:pPr>
              <w:pStyle w:val="GOSTTablenorm"/>
              <w:rPr>
                <w:szCs w:val="22"/>
                <w:lang w:val="en-US"/>
              </w:rPr>
            </w:pPr>
            <w:r w:rsidRPr="00264D5D">
              <w:rPr>
                <w:szCs w:val="22"/>
                <w:lang w:val="en-US"/>
              </w:rPr>
              <w:t>Nm</w:t>
            </w:r>
          </w:p>
        </w:tc>
        <w:tc>
          <w:tcPr>
            <w:tcW w:w="567" w:type="dxa"/>
          </w:tcPr>
          <w:p w14:paraId="27D9397D" w14:textId="77777777" w:rsidR="00AD1F54" w:rsidRPr="00264D5D" w:rsidRDefault="00941227">
            <w:pPr>
              <w:pStyle w:val="GOSTTablenorm"/>
              <w:jc w:val="center"/>
              <w:rPr>
                <w:szCs w:val="22"/>
              </w:rPr>
            </w:pPr>
            <w:r w:rsidRPr="00264D5D">
              <w:rPr>
                <w:szCs w:val="22"/>
              </w:rPr>
              <w:t>П</w:t>
            </w:r>
          </w:p>
        </w:tc>
        <w:tc>
          <w:tcPr>
            <w:tcW w:w="1134" w:type="dxa"/>
          </w:tcPr>
          <w:p w14:paraId="537F3EB6" w14:textId="77777777" w:rsidR="00AD1F54" w:rsidRPr="00264D5D" w:rsidRDefault="00941227">
            <w:pPr>
              <w:pStyle w:val="GOSTTablenorm"/>
              <w:rPr>
                <w:szCs w:val="22"/>
              </w:rPr>
            </w:pPr>
            <w:r w:rsidRPr="00264D5D">
              <w:rPr>
                <w:szCs w:val="22"/>
              </w:rPr>
              <w:t>Т(1-2000)</w:t>
            </w:r>
          </w:p>
        </w:tc>
        <w:tc>
          <w:tcPr>
            <w:tcW w:w="567" w:type="dxa"/>
          </w:tcPr>
          <w:p w14:paraId="53959ED6" w14:textId="77777777" w:rsidR="00AD1F54" w:rsidRPr="00264D5D" w:rsidRDefault="00941227">
            <w:pPr>
              <w:pStyle w:val="GOSTTablenorm"/>
              <w:jc w:val="center"/>
              <w:rPr>
                <w:szCs w:val="22"/>
              </w:rPr>
            </w:pPr>
            <w:r w:rsidRPr="00264D5D">
              <w:rPr>
                <w:szCs w:val="22"/>
              </w:rPr>
              <w:t>Н</w:t>
            </w:r>
          </w:p>
        </w:tc>
        <w:tc>
          <w:tcPr>
            <w:tcW w:w="3963" w:type="dxa"/>
          </w:tcPr>
          <w:p w14:paraId="2DFB65F7" w14:textId="77777777" w:rsidR="00AD1F54" w:rsidRPr="00264D5D" w:rsidRDefault="00941227">
            <w:pPr>
              <w:pStyle w:val="GOSTTablenorm"/>
              <w:rPr>
                <w:szCs w:val="22"/>
              </w:rPr>
            </w:pPr>
            <w:r w:rsidRPr="00264D5D">
              <w:rPr>
                <w:szCs w:val="22"/>
              </w:rPr>
              <w:t>Полное наименование ГРБС, ГАДБ или ГАИФДБ, в ведении которого находится клиент, который сформировал Уведомление.</w:t>
            </w:r>
          </w:p>
          <w:p w14:paraId="20836FA0" w14:textId="77777777" w:rsidR="00AD1F54" w:rsidRPr="00264D5D" w:rsidRDefault="00941227">
            <w:pPr>
              <w:pStyle w:val="GOSTTablenorm"/>
              <w:rPr>
                <w:szCs w:val="22"/>
              </w:rPr>
            </w:pPr>
            <w:r w:rsidRPr="00264D5D">
              <w:rPr>
                <w:szCs w:val="22"/>
              </w:rPr>
              <w:t>В случае оформления Уведомления по л/с по переданным полномочиям указывается наименование ГРБС, в ведении которого находится ПБС, передавший полномочия.</w:t>
            </w:r>
          </w:p>
          <w:p w14:paraId="6D5E1E1F" w14:textId="77777777" w:rsidR="00AD1F54" w:rsidRPr="00264D5D" w:rsidRDefault="00941227">
            <w:pPr>
              <w:pStyle w:val="GOSTTablenorm"/>
              <w:rPr>
                <w:szCs w:val="22"/>
              </w:rPr>
            </w:pPr>
            <w:r w:rsidRPr="00264D5D">
              <w:rPr>
                <w:szCs w:val="22"/>
              </w:rPr>
              <w:t xml:space="preserve">Обязательно для заполнения, если </w:t>
            </w:r>
            <w:r w:rsidR="00676E27" w:rsidRPr="00264D5D">
              <w:rPr>
                <w:szCs w:val="22"/>
              </w:rPr>
              <w:t>не заполнено поле «UF_AcntNmFO»</w:t>
            </w:r>
          </w:p>
        </w:tc>
      </w:tr>
    </w:tbl>
    <w:p w14:paraId="4859B0B6" w14:textId="77777777" w:rsidR="00AD1F54" w:rsidRPr="00264D5D" w:rsidRDefault="00941227">
      <w:pPr>
        <w:pStyle w:val="31"/>
      </w:pPr>
      <w:bookmarkStart w:id="1718" w:name="_Toc508712718"/>
      <w:bookmarkStart w:id="1719" w:name="_Toc18509345"/>
      <w:bookmarkStart w:id="1720" w:name="OLE_LINK100"/>
      <w:bookmarkStart w:id="1721" w:name="OLE_LINK101"/>
      <w:bookmarkStart w:id="1722" w:name="_Toc18509347"/>
      <w:bookmarkStart w:id="1723" w:name="_Toc219309625"/>
      <w:r w:rsidRPr="00264D5D">
        <w:t>Описание комплексного типа «tMSC_Orgnztn3»</w:t>
      </w:r>
      <w:bookmarkEnd w:id="1718"/>
      <w:bookmarkEnd w:id="1719"/>
      <w:bookmarkEnd w:id="1723"/>
    </w:p>
    <w:p w14:paraId="33DCFE80" w14:textId="77777777" w:rsidR="00AD1F54" w:rsidRPr="00264D5D" w:rsidRDefault="00941227">
      <w:pPr>
        <w:pStyle w:val="GOSTNormal"/>
      </w:pPr>
      <w:r w:rsidRPr="00264D5D">
        <w:t xml:space="preserve">Описание комплексного типа </w:t>
      </w:r>
      <w:r w:rsidRPr="00264D5D">
        <w:rPr>
          <w:rFonts w:eastAsia="Calibri"/>
        </w:rPr>
        <w:t>«</w:t>
      </w:r>
      <w:r w:rsidRPr="00264D5D">
        <w:rPr>
          <w:szCs w:val="22"/>
        </w:rPr>
        <w:t>tMSC_Orgnztn3</w:t>
      </w:r>
      <w:r w:rsidRPr="00264D5D">
        <w:t>» блока «Организация».</w:t>
      </w:r>
    </w:p>
    <w:p w14:paraId="401C39CF" w14:textId="6B8A95F0" w:rsidR="00AD1F54" w:rsidRPr="00264D5D" w:rsidRDefault="001E5517">
      <w:pPr>
        <w:pStyle w:val="GOSTNameTable"/>
        <w:numPr>
          <w:ilvl w:val="0"/>
          <w:numId w:val="2"/>
        </w:numPr>
        <w:ind w:left="425" w:hanging="357"/>
      </w:pPr>
      <w:r w:rsidRPr="00264D5D">
        <w:rPr>
          <w:noProof/>
        </w:rPr>
        <w:fldChar w:fldCharType="begin"/>
      </w:r>
      <w:r w:rsidRPr="00264D5D">
        <w:rPr>
          <w:noProof/>
        </w:rPr>
        <w:instrText xml:space="preserve"> SEQ Таблица \* ARABIC </w:instrText>
      </w:r>
      <w:r w:rsidRPr="00264D5D">
        <w:rPr>
          <w:noProof/>
        </w:rPr>
        <w:fldChar w:fldCharType="separate"/>
      </w:r>
      <w:bookmarkStart w:id="1724" w:name="_Ref503543734"/>
      <w:bookmarkStart w:id="1725" w:name="_Toc18509623"/>
      <w:bookmarkStart w:id="1726" w:name="_Toc219309199"/>
      <w:r w:rsidR="008D797C">
        <w:rPr>
          <w:noProof/>
        </w:rPr>
        <w:t>169</w:t>
      </w:r>
      <w:bookmarkEnd w:id="1724"/>
      <w:r w:rsidRPr="00264D5D">
        <w:rPr>
          <w:noProof/>
        </w:rPr>
        <w:fldChar w:fldCharType="end"/>
      </w:r>
      <w:r w:rsidR="00941227" w:rsidRPr="00264D5D">
        <w:t xml:space="preserve"> – Описание комплексного типа «tMSC_Orgnztn3»</w:t>
      </w:r>
      <w:bookmarkEnd w:id="1720"/>
      <w:bookmarkEnd w:id="1721"/>
      <w:bookmarkEnd w:id="1725"/>
      <w:bookmarkEnd w:id="1726"/>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1C285E9D"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15E294B7" w14:textId="77777777" w:rsidR="00AD1F54" w:rsidRPr="00264D5D" w:rsidRDefault="00941227">
            <w:pPr>
              <w:pStyle w:val="GOSTTableHead"/>
            </w:pPr>
            <w:r w:rsidRPr="00264D5D">
              <w:t>Наименование элемента</w:t>
            </w:r>
          </w:p>
        </w:tc>
        <w:tc>
          <w:tcPr>
            <w:tcW w:w="1701" w:type="dxa"/>
          </w:tcPr>
          <w:p w14:paraId="306FF424" w14:textId="77777777" w:rsidR="00AD1F54" w:rsidRPr="00264D5D" w:rsidRDefault="00941227">
            <w:pPr>
              <w:pStyle w:val="GOSTTableHead"/>
            </w:pPr>
            <w:r w:rsidRPr="00264D5D">
              <w:t>Сокращенное наименование (код) элемента</w:t>
            </w:r>
          </w:p>
        </w:tc>
        <w:tc>
          <w:tcPr>
            <w:tcW w:w="567" w:type="dxa"/>
          </w:tcPr>
          <w:p w14:paraId="51F5E3BE" w14:textId="77777777" w:rsidR="00AD1F54" w:rsidRPr="00264D5D" w:rsidRDefault="00941227">
            <w:pPr>
              <w:pStyle w:val="GOSTTableHead"/>
            </w:pPr>
            <w:r w:rsidRPr="00264D5D">
              <w:t>Тип</w:t>
            </w:r>
          </w:p>
        </w:tc>
        <w:tc>
          <w:tcPr>
            <w:tcW w:w="1134" w:type="dxa"/>
          </w:tcPr>
          <w:p w14:paraId="612EC19E" w14:textId="77777777" w:rsidR="00AD1F54" w:rsidRPr="00264D5D" w:rsidRDefault="00941227">
            <w:pPr>
              <w:pStyle w:val="GOSTTableHead"/>
            </w:pPr>
            <w:r w:rsidRPr="00264D5D">
              <w:t>Формат элемента</w:t>
            </w:r>
          </w:p>
        </w:tc>
        <w:tc>
          <w:tcPr>
            <w:tcW w:w="567" w:type="dxa"/>
          </w:tcPr>
          <w:p w14:paraId="59C6C32E" w14:textId="77777777" w:rsidR="00AD1F54" w:rsidRPr="00264D5D" w:rsidRDefault="00941227">
            <w:pPr>
              <w:pStyle w:val="GOSTTableHead"/>
            </w:pPr>
            <w:r w:rsidRPr="00264D5D">
              <w:t>Обязательность</w:t>
            </w:r>
          </w:p>
        </w:tc>
        <w:tc>
          <w:tcPr>
            <w:tcW w:w="3963" w:type="dxa"/>
          </w:tcPr>
          <w:p w14:paraId="393AB46C" w14:textId="77777777" w:rsidR="00AD1F54" w:rsidRPr="00264D5D" w:rsidRDefault="00941227">
            <w:pPr>
              <w:pStyle w:val="GOSTTableHead"/>
            </w:pPr>
            <w:r w:rsidRPr="00264D5D">
              <w:t>Дополнительная информация</w:t>
            </w:r>
          </w:p>
        </w:tc>
      </w:tr>
      <w:tr w:rsidR="00AD1F54" w:rsidRPr="00264D5D" w14:paraId="20989ECF"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53C27C88" w14:textId="77777777" w:rsidR="00AD1F54" w:rsidRPr="00264D5D" w:rsidRDefault="00941227">
            <w:pPr>
              <w:pStyle w:val="GOSTTablenorm"/>
              <w:rPr>
                <w:szCs w:val="22"/>
              </w:rPr>
            </w:pPr>
            <w:r w:rsidRPr="00264D5D">
              <w:t>Информация о ТОФК</w:t>
            </w:r>
          </w:p>
        </w:tc>
        <w:tc>
          <w:tcPr>
            <w:tcW w:w="1701" w:type="dxa"/>
          </w:tcPr>
          <w:p w14:paraId="673062E4" w14:textId="77777777" w:rsidR="00AD1F54" w:rsidRPr="00264D5D" w:rsidRDefault="00941227">
            <w:pPr>
              <w:pStyle w:val="GOSTTablenorm"/>
              <w:rPr>
                <w:lang w:val="en-US"/>
              </w:rPr>
            </w:pPr>
            <w:r w:rsidRPr="00264D5D">
              <w:rPr>
                <w:lang w:val="en-US"/>
              </w:rPr>
              <w:t>MSC_OrFK</w:t>
            </w:r>
          </w:p>
        </w:tc>
        <w:tc>
          <w:tcPr>
            <w:tcW w:w="567" w:type="dxa"/>
          </w:tcPr>
          <w:p w14:paraId="464EBDD6" w14:textId="77777777" w:rsidR="00AD1F54" w:rsidRPr="00264D5D" w:rsidRDefault="00941227">
            <w:pPr>
              <w:pStyle w:val="GOSTTablenorm"/>
              <w:jc w:val="center"/>
            </w:pPr>
            <w:r w:rsidRPr="00264D5D">
              <w:t>С</w:t>
            </w:r>
          </w:p>
        </w:tc>
        <w:tc>
          <w:tcPr>
            <w:tcW w:w="1134" w:type="dxa"/>
          </w:tcPr>
          <w:p w14:paraId="55D5A1FE" w14:textId="77777777" w:rsidR="00AD1F54" w:rsidRPr="00264D5D" w:rsidRDefault="00941227">
            <w:pPr>
              <w:pStyle w:val="GOSTTablenorm"/>
            </w:pPr>
            <w:r w:rsidRPr="00264D5D">
              <w:t>tMSC_</w:t>
            </w:r>
            <w:r w:rsidRPr="00264D5D">
              <w:rPr>
                <w:lang w:val="en-US"/>
              </w:rPr>
              <w:t>TO</w:t>
            </w:r>
            <w:r w:rsidRPr="00264D5D">
              <w:t>FK</w:t>
            </w:r>
          </w:p>
        </w:tc>
        <w:tc>
          <w:tcPr>
            <w:tcW w:w="567" w:type="dxa"/>
          </w:tcPr>
          <w:p w14:paraId="7FB472A6" w14:textId="77777777" w:rsidR="00AD1F54" w:rsidRPr="00264D5D" w:rsidRDefault="00941227">
            <w:pPr>
              <w:pStyle w:val="GOSTTablenorm"/>
              <w:jc w:val="center"/>
            </w:pPr>
            <w:r w:rsidRPr="00264D5D">
              <w:t>О</w:t>
            </w:r>
          </w:p>
        </w:tc>
        <w:tc>
          <w:tcPr>
            <w:tcW w:w="3963" w:type="dxa"/>
          </w:tcPr>
          <w:p w14:paraId="489F414A" w14:textId="55DD57BD" w:rsidR="00AD1F54" w:rsidRPr="00264D5D" w:rsidRDefault="00941227" w:rsidP="00AD28B5">
            <w:pPr>
              <w:pStyle w:val="GOSTTablenorm"/>
            </w:pPr>
            <w:r w:rsidRPr="00264D5D">
              <w:t xml:space="preserve">Состав элемента представлен в таблице </w:t>
            </w:r>
            <w:r w:rsidR="00AD28B5">
              <w:rPr>
                <w:b/>
              </w:rPr>
              <w:fldChar w:fldCharType="begin"/>
            </w:r>
            <w:r w:rsidR="00AD28B5">
              <w:instrText xml:space="preserve"> REF _Ref216182778 \h </w:instrText>
            </w:r>
            <w:r w:rsidR="00AD28B5">
              <w:rPr>
                <w:b/>
              </w:rPr>
            </w:r>
            <w:r w:rsidR="00AD28B5">
              <w:rPr>
                <w:b/>
              </w:rPr>
              <w:fldChar w:fldCharType="separate"/>
            </w:r>
            <w:r w:rsidR="008D797C">
              <w:rPr>
                <w:noProof/>
              </w:rPr>
              <w:t>170</w:t>
            </w:r>
            <w:r w:rsidR="00AD28B5">
              <w:rPr>
                <w:b/>
              </w:rPr>
              <w:fldChar w:fldCharType="end"/>
            </w:r>
          </w:p>
        </w:tc>
      </w:tr>
      <w:tr w:rsidR="00AD1F54" w:rsidRPr="00264D5D" w14:paraId="71ABA6CA"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A112665" w14:textId="77777777" w:rsidR="00AD1F54" w:rsidRPr="00264D5D" w:rsidRDefault="00941227">
            <w:pPr>
              <w:pStyle w:val="GOSTTablenorm"/>
            </w:pPr>
            <w:r w:rsidRPr="00264D5D">
              <w:rPr>
                <w:szCs w:val="22"/>
              </w:rPr>
              <w:t>Наименование бюджета</w:t>
            </w:r>
          </w:p>
        </w:tc>
        <w:tc>
          <w:tcPr>
            <w:tcW w:w="1701" w:type="dxa"/>
          </w:tcPr>
          <w:p w14:paraId="1EFAB734" w14:textId="77777777" w:rsidR="00AD1F54" w:rsidRPr="00264D5D" w:rsidRDefault="00941227">
            <w:pPr>
              <w:pStyle w:val="GOSTTablenorm"/>
              <w:rPr>
                <w:lang w:val="en-US"/>
              </w:rPr>
            </w:pPr>
            <w:r w:rsidRPr="00264D5D">
              <w:t>Nm</w:t>
            </w:r>
            <w:r w:rsidRPr="00264D5D">
              <w:rPr>
                <w:szCs w:val="22"/>
              </w:rPr>
              <w:t>Bdgt</w:t>
            </w:r>
          </w:p>
        </w:tc>
        <w:tc>
          <w:tcPr>
            <w:tcW w:w="567" w:type="dxa"/>
          </w:tcPr>
          <w:p w14:paraId="1352F672" w14:textId="77777777" w:rsidR="00AD1F54" w:rsidRPr="00264D5D" w:rsidRDefault="00941227">
            <w:pPr>
              <w:pStyle w:val="GOSTTablenorm"/>
              <w:jc w:val="center"/>
            </w:pPr>
            <w:r w:rsidRPr="00264D5D">
              <w:rPr>
                <w:szCs w:val="22"/>
              </w:rPr>
              <w:t>П</w:t>
            </w:r>
          </w:p>
        </w:tc>
        <w:tc>
          <w:tcPr>
            <w:tcW w:w="1134" w:type="dxa"/>
          </w:tcPr>
          <w:p w14:paraId="70C541DD" w14:textId="77777777" w:rsidR="00AD1F54" w:rsidRPr="00264D5D" w:rsidRDefault="00941227">
            <w:pPr>
              <w:pStyle w:val="GOSTTablenorm"/>
            </w:pPr>
            <w:r w:rsidRPr="00264D5D">
              <w:rPr>
                <w:szCs w:val="22"/>
              </w:rPr>
              <w:t>Т(1-512)</w:t>
            </w:r>
          </w:p>
        </w:tc>
        <w:tc>
          <w:tcPr>
            <w:tcW w:w="567" w:type="dxa"/>
          </w:tcPr>
          <w:p w14:paraId="5A7C9BF1" w14:textId="77777777" w:rsidR="00AD1F54" w:rsidRPr="00264D5D" w:rsidRDefault="00941227">
            <w:pPr>
              <w:pStyle w:val="GOSTTablenorm"/>
              <w:jc w:val="center"/>
            </w:pPr>
            <w:r w:rsidRPr="00264D5D">
              <w:rPr>
                <w:szCs w:val="22"/>
              </w:rPr>
              <w:t>О</w:t>
            </w:r>
          </w:p>
        </w:tc>
        <w:tc>
          <w:tcPr>
            <w:tcW w:w="3963" w:type="dxa"/>
          </w:tcPr>
          <w:p w14:paraId="797752AD" w14:textId="77777777" w:rsidR="00AD1F54" w:rsidRPr="00264D5D" w:rsidRDefault="00941227">
            <w:pPr>
              <w:pStyle w:val="GOSTTablenorm"/>
            </w:pPr>
            <w:r w:rsidRPr="00264D5D">
              <w:rPr>
                <w:szCs w:val="22"/>
              </w:rPr>
              <w:t>Для УБП федерального уровня, у</w:t>
            </w:r>
            <w:r w:rsidR="00676E27" w:rsidRPr="00264D5D">
              <w:rPr>
                <w:szCs w:val="22"/>
              </w:rPr>
              <w:t>казывается «федеральный бюджет»</w:t>
            </w:r>
          </w:p>
        </w:tc>
      </w:tr>
      <w:tr w:rsidR="00AD1F54" w:rsidRPr="00264D5D" w14:paraId="6E762B79"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12A7B9B" w14:textId="77777777" w:rsidR="00AD1F54" w:rsidRPr="00264D5D" w:rsidRDefault="00941227">
            <w:pPr>
              <w:pStyle w:val="GOSTTablenorm"/>
            </w:pPr>
            <w:r w:rsidRPr="00264D5D">
              <w:t>Финансовый орган</w:t>
            </w:r>
          </w:p>
        </w:tc>
        <w:tc>
          <w:tcPr>
            <w:tcW w:w="1701" w:type="dxa"/>
          </w:tcPr>
          <w:p w14:paraId="35D4DCA0" w14:textId="77777777" w:rsidR="00AD1F54" w:rsidRPr="00264D5D" w:rsidRDefault="00941227">
            <w:pPr>
              <w:pStyle w:val="GOSTTablenorm"/>
            </w:pPr>
            <w:r w:rsidRPr="00264D5D">
              <w:t>FnclInst</w:t>
            </w:r>
          </w:p>
        </w:tc>
        <w:tc>
          <w:tcPr>
            <w:tcW w:w="567" w:type="dxa"/>
          </w:tcPr>
          <w:p w14:paraId="4220AE82" w14:textId="77777777" w:rsidR="00AD1F54" w:rsidRPr="00264D5D" w:rsidRDefault="00941227">
            <w:pPr>
              <w:pStyle w:val="GOSTTablenorm"/>
              <w:jc w:val="center"/>
            </w:pPr>
            <w:r w:rsidRPr="00264D5D">
              <w:t>С</w:t>
            </w:r>
          </w:p>
        </w:tc>
        <w:tc>
          <w:tcPr>
            <w:tcW w:w="1134" w:type="dxa"/>
          </w:tcPr>
          <w:p w14:paraId="7AD37688" w14:textId="77777777" w:rsidR="00AD1F54" w:rsidRPr="00264D5D" w:rsidRDefault="00941227">
            <w:pPr>
              <w:pStyle w:val="GOSTTablenorm"/>
            </w:pPr>
            <w:r w:rsidRPr="00264D5D">
              <w:rPr>
                <w:lang w:val="en-US"/>
              </w:rPr>
              <w:t>tMSC_FnclInst</w:t>
            </w:r>
          </w:p>
        </w:tc>
        <w:tc>
          <w:tcPr>
            <w:tcW w:w="567" w:type="dxa"/>
          </w:tcPr>
          <w:p w14:paraId="1D774049" w14:textId="77777777" w:rsidR="00AD1F54" w:rsidRPr="00264D5D" w:rsidRDefault="00941227">
            <w:pPr>
              <w:pStyle w:val="GOSTTablenorm"/>
              <w:jc w:val="center"/>
            </w:pPr>
            <w:r w:rsidRPr="00264D5D">
              <w:t>О</w:t>
            </w:r>
          </w:p>
        </w:tc>
        <w:tc>
          <w:tcPr>
            <w:tcW w:w="3963" w:type="dxa"/>
          </w:tcPr>
          <w:p w14:paraId="02E9F42F" w14:textId="77777777" w:rsidR="00AD1F54" w:rsidRPr="00264D5D" w:rsidRDefault="00941227">
            <w:pPr>
              <w:pStyle w:val="GOSTTablenorm"/>
            </w:pPr>
            <w:r w:rsidRPr="00264D5D">
              <w:t>Финансовый орган.</w:t>
            </w:r>
          </w:p>
          <w:p w14:paraId="6449635F" w14:textId="1AED1EB0" w:rsidR="00AD1F54" w:rsidRPr="00264D5D" w:rsidRDefault="00941227">
            <w:pPr>
              <w:pStyle w:val="GOSTTablenorm"/>
            </w:pPr>
            <w:r w:rsidRPr="00264D5D">
              <w:t xml:space="preserve">Состав элемента представлен в таблице </w:t>
            </w:r>
            <w:r w:rsidRPr="00264D5D">
              <w:rPr>
                <w:b/>
              </w:rPr>
              <w:fldChar w:fldCharType="begin"/>
            </w:r>
            <w:r w:rsidRPr="00264D5D">
              <w:rPr>
                <w:b/>
              </w:rPr>
              <w:instrText xml:space="preserve"> REF _Ref530396743 \h  \* MERGEFORMAT </w:instrText>
            </w:r>
            <w:r w:rsidRPr="00264D5D">
              <w:rPr>
                <w:b/>
              </w:rPr>
            </w:r>
            <w:r w:rsidRPr="00264D5D">
              <w:rPr>
                <w:b/>
              </w:rPr>
              <w:fldChar w:fldCharType="separate"/>
            </w:r>
            <w:r w:rsidR="008D797C" w:rsidRPr="008D797C">
              <w:rPr>
                <w:b/>
              </w:rPr>
              <w:t>171</w:t>
            </w:r>
            <w:r w:rsidRPr="00264D5D">
              <w:rPr>
                <w:b/>
              </w:rPr>
              <w:fldChar w:fldCharType="end"/>
            </w:r>
          </w:p>
        </w:tc>
      </w:tr>
    </w:tbl>
    <w:p w14:paraId="466EAA62" w14:textId="77777777" w:rsidR="00AD28B5" w:rsidRPr="009D2D00" w:rsidRDefault="00AD28B5" w:rsidP="00AD28B5">
      <w:pPr>
        <w:pStyle w:val="31"/>
      </w:pPr>
      <w:bookmarkStart w:id="1727" w:name="_Toc185883719"/>
      <w:bookmarkStart w:id="1728" w:name="_Toc200103744"/>
      <w:bookmarkStart w:id="1729" w:name="_Toc200999503"/>
      <w:bookmarkStart w:id="1730" w:name="_Toc18509346"/>
      <w:bookmarkStart w:id="1731" w:name="_Toc219309626"/>
      <w:r w:rsidRPr="009D2D00">
        <w:t>Описание комплексного типа «tMSC_TOFK»</w:t>
      </w:r>
      <w:bookmarkEnd w:id="1727"/>
      <w:bookmarkEnd w:id="1728"/>
      <w:bookmarkEnd w:id="1729"/>
      <w:bookmarkEnd w:id="1731"/>
    </w:p>
    <w:p w14:paraId="1E8B3AF5" w14:textId="77777777" w:rsidR="00AD28B5" w:rsidRPr="009D2D00" w:rsidRDefault="00AD28B5" w:rsidP="00AD28B5">
      <w:pPr>
        <w:pStyle w:val="GOSTNormal"/>
      </w:pPr>
      <w:r w:rsidRPr="009D2D00">
        <w:t xml:space="preserve">Описание комплексного типа </w:t>
      </w:r>
      <w:r w:rsidRPr="009D2D00">
        <w:rPr>
          <w:rFonts w:eastAsia="Calibri"/>
        </w:rPr>
        <w:t>«</w:t>
      </w:r>
      <w:r w:rsidRPr="009D2D00">
        <w:t xml:space="preserve">tMSC_TOFK» блока «Информация </w:t>
      </w:r>
      <w:r>
        <w:t>о ТОФК</w:t>
      </w:r>
      <w:r w:rsidRPr="009D2D00">
        <w:t>».</w:t>
      </w:r>
    </w:p>
    <w:p w14:paraId="5E619C2C" w14:textId="320E9CF5" w:rsidR="00AD28B5" w:rsidRPr="009D2D00" w:rsidRDefault="00AD28B5" w:rsidP="00AD28B5">
      <w:pPr>
        <w:pStyle w:val="GOSTNameTable"/>
        <w:numPr>
          <w:ilvl w:val="0"/>
          <w:numId w:val="2"/>
        </w:numPr>
        <w:ind w:left="425" w:hanging="357"/>
      </w:pPr>
      <w:r w:rsidRPr="009D2D00">
        <w:lastRenderedPageBreak/>
        <w:fldChar w:fldCharType="begin"/>
      </w:r>
      <w:r w:rsidRPr="009D2D00">
        <w:instrText>SEQ Таблица \* ARABIC</w:instrText>
      </w:r>
      <w:r w:rsidRPr="009D2D00">
        <w:fldChar w:fldCharType="separate"/>
      </w:r>
      <w:bookmarkStart w:id="1732" w:name="_Ref216182778"/>
      <w:bookmarkStart w:id="1733" w:name="_Toc185882381"/>
      <w:bookmarkStart w:id="1734" w:name="_Toc219309200"/>
      <w:r w:rsidR="008D797C">
        <w:rPr>
          <w:noProof/>
        </w:rPr>
        <w:t>170</w:t>
      </w:r>
      <w:bookmarkEnd w:id="1732"/>
      <w:r w:rsidRPr="009D2D00">
        <w:fldChar w:fldCharType="end"/>
      </w:r>
      <w:r w:rsidRPr="009D2D00">
        <w:rPr>
          <w:rFonts w:eastAsia="Calibri"/>
          <w:szCs w:val="24"/>
        </w:rPr>
        <w:t xml:space="preserve"> –</w:t>
      </w:r>
      <w:r w:rsidRPr="009D2D00">
        <w:t xml:space="preserve"> Описание комплексного типа «tMSC_TOFK»</w:t>
      </w:r>
      <w:bookmarkEnd w:id="1733"/>
      <w:bookmarkEnd w:id="1734"/>
    </w:p>
    <w:tbl>
      <w:tblPr>
        <w:tblStyle w:val="GOSTTable"/>
        <w:tblW w:w="5000" w:type="pct"/>
        <w:tblLayout w:type="fixed"/>
        <w:tblLook w:val="01E0" w:firstRow="1" w:lastRow="1" w:firstColumn="1" w:lastColumn="1" w:noHBand="0" w:noVBand="0"/>
      </w:tblPr>
      <w:tblGrid>
        <w:gridCol w:w="1708"/>
        <w:gridCol w:w="1702"/>
        <w:gridCol w:w="567"/>
        <w:gridCol w:w="1135"/>
        <w:gridCol w:w="567"/>
        <w:gridCol w:w="3971"/>
      </w:tblGrid>
      <w:tr w:rsidR="00AD28B5" w:rsidRPr="007E44C1" w14:paraId="24C012F8" w14:textId="77777777" w:rsidTr="00AD28B5">
        <w:trPr>
          <w:cnfStyle w:val="100000000000" w:firstRow="1" w:lastRow="0" w:firstColumn="0" w:lastColumn="0" w:oddVBand="0" w:evenVBand="0" w:oddHBand="0" w:evenHBand="0" w:firstRowFirstColumn="0" w:firstRowLastColumn="0" w:lastRowFirstColumn="0" w:lastRowLastColumn="0"/>
        </w:trPr>
        <w:tc>
          <w:tcPr>
            <w:tcW w:w="1704" w:type="dxa"/>
          </w:tcPr>
          <w:p w14:paraId="61B135A6" w14:textId="77777777" w:rsidR="00AD28B5" w:rsidRPr="007E44C1" w:rsidRDefault="00AD28B5" w:rsidP="00AD28B5">
            <w:pPr>
              <w:pStyle w:val="ASFKTableHead"/>
            </w:pPr>
            <w:r w:rsidRPr="007E44C1">
              <w:t>Наименование элемента</w:t>
            </w:r>
          </w:p>
        </w:tc>
        <w:tc>
          <w:tcPr>
            <w:tcW w:w="1699" w:type="dxa"/>
          </w:tcPr>
          <w:p w14:paraId="66641032" w14:textId="77777777" w:rsidR="00AD28B5" w:rsidRPr="007E44C1" w:rsidRDefault="00AD28B5" w:rsidP="00AD28B5">
            <w:pPr>
              <w:pStyle w:val="ASFKTableHead"/>
            </w:pPr>
            <w:r w:rsidRPr="007E44C1">
              <w:t>Сокращенное наименование (код) элемента</w:t>
            </w:r>
          </w:p>
        </w:tc>
        <w:tc>
          <w:tcPr>
            <w:tcW w:w="566" w:type="dxa"/>
          </w:tcPr>
          <w:p w14:paraId="27CE47C6" w14:textId="77777777" w:rsidR="00AD28B5" w:rsidRPr="007E44C1" w:rsidRDefault="00AD28B5" w:rsidP="00AD28B5">
            <w:pPr>
              <w:pStyle w:val="ASFKTableHead"/>
            </w:pPr>
            <w:r w:rsidRPr="007E44C1">
              <w:t>Тип</w:t>
            </w:r>
          </w:p>
        </w:tc>
        <w:tc>
          <w:tcPr>
            <w:tcW w:w="1133" w:type="dxa"/>
          </w:tcPr>
          <w:p w14:paraId="2FA44934" w14:textId="77777777" w:rsidR="00AD28B5" w:rsidRPr="007E44C1" w:rsidRDefault="00AD28B5" w:rsidP="00AD28B5">
            <w:pPr>
              <w:pStyle w:val="ASFKTableHead"/>
            </w:pPr>
            <w:r w:rsidRPr="007E44C1">
              <w:t>Формат элемента</w:t>
            </w:r>
          </w:p>
        </w:tc>
        <w:tc>
          <w:tcPr>
            <w:tcW w:w="566" w:type="dxa"/>
          </w:tcPr>
          <w:p w14:paraId="4C99144D" w14:textId="77777777" w:rsidR="00AD28B5" w:rsidRPr="007E44C1" w:rsidRDefault="00AD28B5" w:rsidP="00AD28B5">
            <w:pPr>
              <w:pStyle w:val="ASFKTableHead"/>
            </w:pPr>
            <w:r w:rsidRPr="007E44C1">
              <w:t>Обязательность</w:t>
            </w:r>
          </w:p>
        </w:tc>
        <w:tc>
          <w:tcPr>
            <w:tcW w:w="3963" w:type="dxa"/>
          </w:tcPr>
          <w:p w14:paraId="27ACA198" w14:textId="77777777" w:rsidR="00AD28B5" w:rsidRPr="007E44C1" w:rsidRDefault="00AD28B5" w:rsidP="00AD28B5">
            <w:pPr>
              <w:pStyle w:val="ASFKTableHead"/>
            </w:pPr>
            <w:r w:rsidRPr="007E44C1">
              <w:t>Дополнительная информация</w:t>
            </w:r>
          </w:p>
        </w:tc>
      </w:tr>
      <w:tr w:rsidR="00AD28B5" w:rsidRPr="007E44C1" w14:paraId="21C3940F" w14:textId="77777777" w:rsidTr="00AD28B5">
        <w:trPr>
          <w:cnfStyle w:val="000000100000" w:firstRow="0" w:lastRow="0" w:firstColumn="0" w:lastColumn="0" w:oddVBand="0" w:evenVBand="0" w:oddHBand="1" w:evenHBand="0" w:firstRowFirstColumn="0" w:firstRowLastColumn="0" w:lastRowFirstColumn="0" w:lastRowLastColumn="0"/>
        </w:trPr>
        <w:tc>
          <w:tcPr>
            <w:tcW w:w="1704" w:type="dxa"/>
          </w:tcPr>
          <w:p w14:paraId="77A48A42" w14:textId="77777777" w:rsidR="00AD28B5" w:rsidRPr="007E44C1" w:rsidRDefault="00AD28B5" w:rsidP="00AD28B5">
            <w:pPr>
              <w:pStyle w:val="GOSTTablenorm"/>
              <w:rPr>
                <w:szCs w:val="22"/>
              </w:rPr>
            </w:pPr>
            <w:r w:rsidRPr="007E44C1">
              <w:rPr>
                <w:szCs w:val="22"/>
              </w:rPr>
              <w:t>Наименование ТОФК</w:t>
            </w:r>
          </w:p>
        </w:tc>
        <w:tc>
          <w:tcPr>
            <w:tcW w:w="1699" w:type="dxa"/>
          </w:tcPr>
          <w:p w14:paraId="7E5901D4" w14:textId="77777777" w:rsidR="00AD28B5" w:rsidRPr="007E44C1" w:rsidRDefault="00AD28B5" w:rsidP="00AD28B5">
            <w:pPr>
              <w:pStyle w:val="GOSTTablenorm"/>
              <w:rPr>
                <w:szCs w:val="22"/>
              </w:rPr>
            </w:pPr>
            <w:r w:rsidRPr="007E44C1">
              <w:rPr>
                <w:szCs w:val="22"/>
              </w:rPr>
              <w:t>Nm</w:t>
            </w:r>
          </w:p>
        </w:tc>
        <w:tc>
          <w:tcPr>
            <w:tcW w:w="566" w:type="dxa"/>
          </w:tcPr>
          <w:p w14:paraId="37A82BF6" w14:textId="77777777" w:rsidR="00AD28B5" w:rsidRPr="007E44C1" w:rsidRDefault="00AD28B5" w:rsidP="00AD28B5">
            <w:pPr>
              <w:pStyle w:val="GOSTTablenorm"/>
              <w:jc w:val="center"/>
              <w:rPr>
                <w:szCs w:val="22"/>
              </w:rPr>
            </w:pPr>
            <w:r w:rsidRPr="007E44C1">
              <w:rPr>
                <w:szCs w:val="22"/>
              </w:rPr>
              <w:t>П</w:t>
            </w:r>
          </w:p>
        </w:tc>
        <w:tc>
          <w:tcPr>
            <w:tcW w:w="1133" w:type="dxa"/>
          </w:tcPr>
          <w:p w14:paraId="49AB3F47" w14:textId="77777777" w:rsidR="00AD28B5" w:rsidRPr="007E44C1" w:rsidRDefault="00AD28B5" w:rsidP="00AD28B5">
            <w:pPr>
              <w:pStyle w:val="GOSTTablenorm"/>
              <w:rPr>
                <w:szCs w:val="22"/>
              </w:rPr>
            </w:pPr>
            <w:r w:rsidRPr="007E44C1">
              <w:rPr>
                <w:szCs w:val="22"/>
              </w:rPr>
              <w:t>Т(1-2000)</w:t>
            </w:r>
          </w:p>
        </w:tc>
        <w:tc>
          <w:tcPr>
            <w:tcW w:w="566" w:type="dxa"/>
          </w:tcPr>
          <w:p w14:paraId="49A76880" w14:textId="77777777" w:rsidR="00AD28B5" w:rsidRPr="007E44C1" w:rsidRDefault="00AD28B5" w:rsidP="00AD28B5">
            <w:pPr>
              <w:pStyle w:val="GOSTTablenorm"/>
              <w:jc w:val="center"/>
              <w:rPr>
                <w:szCs w:val="22"/>
              </w:rPr>
            </w:pPr>
            <w:r w:rsidRPr="007E44C1">
              <w:rPr>
                <w:szCs w:val="22"/>
              </w:rPr>
              <w:t>О</w:t>
            </w:r>
          </w:p>
        </w:tc>
        <w:tc>
          <w:tcPr>
            <w:tcW w:w="3963" w:type="dxa"/>
          </w:tcPr>
          <w:p w14:paraId="3660CAF2" w14:textId="77777777" w:rsidR="00AD28B5" w:rsidRPr="007E44C1" w:rsidRDefault="00AD28B5" w:rsidP="00AD28B5">
            <w:pPr>
              <w:pStyle w:val="GOSTTablenorm"/>
              <w:rPr>
                <w:szCs w:val="22"/>
              </w:rPr>
            </w:pPr>
            <w:r w:rsidRPr="007E44C1">
              <w:rPr>
                <w:szCs w:val="22"/>
              </w:rPr>
              <w:t xml:space="preserve">Полное наименование ФК или ТОФК. </w:t>
            </w:r>
          </w:p>
          <w:p w14:paraId="3A567497" w14:textId="77777777" w:rsidR="00AD28B5" w:rsidRPr="007E44C1" w:rsidRDefault="00AD28B5" w:rsidP="00AD28B5">
            <w:pPr>
              <w:pStyle w:val="GOSTTablenorm"/>
              <w:rPr>
                <w:szCs w:val="22"/>
              </w:rPr>
            </w:pPr>
            <w:r w:rsidRPr="007E44C1">
              <w:rPr>
                <w:szCs w:val="22"/>
              </w:rPr>
              <w:t>Поле заполняется в соответствии с централизованным справочником ФК</w:t>
            </w:r>
          </w:p>
        </w:tc>
      </w:tr>
      <w:tr w:rsidR="00AD28B5" w:rsidRPr="007E44C1" w14:paraId="7B93F9D0" w14:textId="77777777" w:rsidTr="00AD28B5">
        <w:trPr>
          <w:cnfStyle w:val="000000010000" w:firstRow="0" w:lastRow="0" w:firstColumn="0" w:lastColumn="0" w:oddVBand="0" w:evenVBand="0" w:oddHBand="0" w:evenHBand="1" w:firstRowFirstColumn="0" w:firstRowLastColumn="0" w:lastRowFirstColumn="0" w:lastRowLastColumn="0"/>
        </w:trPr>
        <w:tc>
          <w:tcPr>
            <w:tcW w:w="1704" w:type="dxa"/>
          </w:tcPr>
          <w:p w14:paraId="6713B6B3" w14:textId="77777777" w:rsidR="00AD28B5" w:rsidRPr="007E44C1" w:rsidRDefault="00AD28B5" w:rsidP="00AD28B5">
            <w:pPr>
              <w:pStyle w:val="GOSTTablenorm"/>
              <w:rPr>
                <w:szCs w:val="22"/>
              </w:rPr>
            </w:pPr>
            <w:r w:rsidRPr="007E44C1">
              <w:rPr>
                <w:szCs w:val="22"/>
              </w:rPr>
              <w:t>Код ТОФК</w:t>
            </w:r>
          </w:p>
        </w:tc>
        <w:tc>
          <w:tcPr>
            <w:tcW w:w="1699" w:type="dxa"/>
          </w:tcPr>
          <w:p w14:paraId="7A54D427" w14:textId="77777777" w:rsidR="00AD28B5" w:rsidRPr="007E44C1" w:rsidRDefault="00AD28B5" w:rsidP="00AD28B5">
            <w:pPr>
              <w:pStyle w:val="GOSTTablenorm"/>
              <w:rPr>
                <w:szCs w:val="22"/>
              </w:rPr>
            </w:pPr>
            <w:r w:rsidRPr="007E44C1">
              <w:rPr>
                <w:szCs w:val="22"/>
              </w:rPr>
              <w:t>Cd</w:t>
            </w:r>
          </w:p>
        </w:tc>
        <w:tc>
          <w:tcPr>
            <w:tcW w:w="566" w:type="dxa"/>
          </w:tcPr>
          <w:p w14:paraId="235BE849" w14:textId="77777777" w:rsidR="00AD28B5" w:rsidRPr="007E44C1" w:rsidRDefault="00AD28B5" w:rsidP="00AD28B5">
            <w:pPr>
              <w:pStyle w:val="GOSTTablenorm"/>
              <w:jc w:val="center"/>
              <w:rPr>
                <w:szCs w:val="22"/>
              </w:rPr>
            </w:pPr>
            <w:r w:rsidRPr="007E44C1">
              <w:rPr>
                <w:szCs w:val="22"/>
              </w:rPr>
              <w:t>П</w:t>
            </w:r>
          </w:p>
        </w:tc>
        <w:tc>
          <w:tcPr>
            <w:tcW w:w="1133" w:type="dxa"/>
          </w:tcPr>
          <w:p w14:paraId="17EB05C6" w14:textId="77777777" w:rsidR="00AD28B5" w:rsidRPr="007E44C1" w:rsidRDefault="00AD28B5" w:rsidP="00AD28B5">
            <w:pPr>
              <w:pStyle w:val="GOSTTablenorm"/>
              <w:rPr>
                <w:szCs w:val="22"/>
              </w:rPr>
            </w:pPr>
            <w:r w:rsidRPr="007E44C1">
              <w:rPr>
                <w:szCs w:val="22"/>
              </w:rPr>
              <w:t>Т(4)</w:t>
            </w:r>
          </w:p>
        </w:tc>
        <w:tc>
          <w:tcPr>
            <w:tcW w:w="566" w:type="dxa"/>
          </w:tcPr>
          <w:p w14:paraId="2E493AD2" w14:textId="77777777" w:rsidR="00AD28B5" w:rsidRPr="007E44C1" w:rsidRDefault="00AD28B5" w:rsidP="00AD28B5">
            <w:pPr>
              <w:pStyle w:val="GOSTTablenorm"/>
              <w:jc w:val="center"/>
              <w:rPr>
                <w:szCs w:val="22"/>
              </w:rPr>
            </w:pPr>
            <w:r w:rsidRPr="007E44C1">
              <w:rPr>
                <w:szCs w:val="22"/>
              </w:rPr>
              <w:t>О</w:t>
            </w:r>
          </w:p>
        </w:tc>
        <w:tc>
          <w:tcPr>
            <w:tcW w:w="3963" w:type="dxa"/>
          </w:tcPr>
          <w:p w14:paraId="4A62657A" w14:textId="77777777" w:rsidR="00AD28B5" w:rsidRPr="007E44C1" w:rsidRDefault="00AD28B5" w:rsidP="00AD28B5">
            <w:pPr>
              <w:pStyle w:val="GOSTTablenorm"/>
              <w:rPr>
                <w:szCs w:val="22"/>
              </w:rPr>
            </w:pPr>
            <w:r w:rsidRPr="007E44C1">
              <w:rPr>
                <w:szCs w:val="22"/>
              </w:rPr>
              <w:t xml:space="preserve">Код ФК или ТОФК. </w:t>
            </w:r>
          </w:p>
          <w:p w14:paraId="3BDBD555" w14:textId="77777777" w:rsidR="00AD28B5" w:rsidRPr="007E44C1" w:rsidRDefault="00AD28B5" w:rsidP="00AD28B5">
            <w:pPr>
              <w:pStyle w:val="GOSTTablenorm"/>
              <w:rPr>
                <w:szCs w:val="22"/>
              </w:rPr>
            </w:pPr>
            <w:r w:rsidRPr="007E44C1">
              <w:rPr>
                <w:szCs w:val="22"/>
              </w:rPr>
              <w:t>Поле заполняется в соответствии с централизованным справочником ФК</w:t>
            </w:r>
          </w:p>
        </w:tc>
      </w:tr>
    </w:tbl>
    <w:p w14:paraId="76E39BE4" w14:textId="77777777" w:rsidR="00AD1F54" w:rsidRPr="00264D5D" w:rsidRDefault="00941227">
      <w:pPr>
        <w:pStyle w:val="31"/>
      </w:pPr>
      <w:bookmarkStart w:id="1735" w:name="_Toc219309627"/>
      <w:r w:rsidRPr="00264D5D">
        <w:t>Описание комплексного типа «tMSC_FnclInst»</w:t>
      </w:r>
      <w:bookmarkEnd w:id="1730"/>
      <w:bookmarkEnd w:id="1735"/>
    </w:p>
    <w:p w14:paraId="14E0796F" w14:textId="77777777" w:rsidR="00AD1F54" w:rsidRPr="00264D5D" w:rsidRDefault="00941227">
      <w:pPr>
        <w:pStyle w:val="GOSTNormal"/>
      </w:pPr>
      <w:r w:rsidRPr="00264D5D">
        <w:t xml:space="preserve">Описание комплексного типа </w:t>
      </w:r>
      <w:r w:rsidRPr="00264D5D">
        <w:rPr>
          <w:rFonts w:eastAsia="Calibri"/>
        </w:rPr>
        <w:t>«</w:t>
      </w:r>
      <w:r w:rsidRPr="00264D5D">
        <w:rPr>
          <w:lang w:val="en-US"/>
        </w:rPr>
        <w:t>tMSC</w:t>
      </w:r>
      <w:r w:rsidRPr="00264D5D">
        <w:t>_</w:t>
      </w:r>
      <w:r w:rsidRPr="00264D5D">
        <w:rPr>
          <w:lang w:val="en-US"/>
        </w:rPr>
        <w:t>FnclInst</w:t>
      </w:r>
      <w:r w:rsidRPr="00264D5D">
        <w:t>» блока «Финансовый орган».</w:t>
      </w:r>
    </w:p>
    <w:p w14:paraId="029F57B1" w14:textId="77C79DC5" w:rsidR="00AD1F54" w:rsidRPr="00264D5D" w:rsidRDefault="001E5517">
      <w:pPr>
        <w:pStyle w:val="GOSTNameTable"/>
        <w:numPr>
          <w:ilvl w:val="0"/>
          <w:numId w:val="2"/>
        </w:numPr>
        <w:ind w:left="425" w:hanging="357"/>
      </w:pPr>
      <w:r w:rsidRPr="00264D5D">
        <w:rPr>
          <w:noProof/>
        </w:rPr>
        <w:fldChar w:fldCharType="begin"/>
      </w:r>
      <w:r w:rsidRPr="00264D5D">
        <w:rPr>
          <w:noProof/>
        </w:rPr>
        <w:instrText xml:space="preserve"> SEQ Таблица \* ARABIC </w:instrText>
      </w:r>
      <w:r w:rsidRPr="00264D5D">
        <w:rPr>
          <w:noProof/>
        </w:rPr>
        <w:fldChar w:fldCharType="separate"/>
      </w:r>
      <w:bookmarkStart w:id="1736" w:name="_Ref530396743"/>
      <w:bookmarkStart w:id="1737" w:name="_Toc18509624"/>
      <w:bookmarkStart w:id="1738" w:name="_Toc219309201"/>
      <w:r w:rsidR="008D797C">
        <w:rPr>
          <w:noProof/>
        </w:rPr>
        <w:t>171</w:t>
      </w:r>
      <w:bookmarkEnd w:id="1736"/>
      <w:r w:rsidRPr="00264D5D">
        <w:rPr>
          <w:noProof/>
        </w:rPr>
        <w:fldChar w:fldCharType="end"/>
      </w:r>
      <w:r w:rsidR="00941227" w:rsidRPr="00264D5D">
        <w:t xml:space="preserve"> – Описание комплексного типа «tMSC_FnclInst»</w:t>
      </w:r>
      <w:bookmarkEnd w:id="1737"/>
      <w:bookmarkEnd w:id="1738"/>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56010847"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35F3D5E7" w14:textId="77777777" w:rsidR="00AD1F54" w:rsidRPr="00264D5D" w:rsidRDefault="00941227">
            <w:pPr>
              <w:pStyle w:val="ASFKTableHead"/>
            </w:pPr>
            <w:r w:rsidRPr="00264D5D">
              <w:t>Наименование элемента</w:t>
            </w:r>
          </w:p>
        </w:tc>
        <w:tc>
          <w:tcPr>
            <w:tcW w:w="1701" w:type="dxa"/>
          </w:tcPr>
          <w:p w14:paraId="6661C606" w14:textId="77777777" w:rsidR="00AD1F54" w:rsidRPr="00264D5D" w:rsidRDefault="00941227">
            <w:pPr>
              <w:pStyle w:val="ASFKTableHead"/>
            </w:pPr>
            <w:r w:rsidRPr="00264D5D">
              <w:t>Сокращенное наименование (код) элемента</w:t>
            </w:r>
          </w:p>
        </w:tc>
        <w:tc>
          <w:tcPr>
            <w:tcW w:w="567" w:type="dxa"/>
          </w:tcPr>
          <w:p w14:paraId="4FF6D37B" w14:textId="77777777" w:rsidR="00AD1F54" w:rsidRPr="00264D5D" w:rsidRDefault="00941227">
            <w:pPr>
              <w:pStyle w:val="ASFKTableHead"/>
            </w:pPr>
            <w:r w:rsidRPr="00264D5D">
              <w:t>Тип</w:t>
            </w:r>
          </w:p>
        </w:tc>
        <w:tc>
          <w:tcPr>
            <w:tcW w:w="1134" w:type="dxa"/>
          </w:tcPr>
          <w:p w14:paraId="4B1C06D3" w14:textId="77777777" w:rsidR="00AD1F54" w:rsidRPr="00264D5D" w:rsidRDefault="00941227">
            <w:pPr>
              <w:pStyle w:val="ASFKTableHead"/>
            </w:pPr>
            <w:r w:rsidRPr="00264D5D">
              <w:t>Формат элемента</w:t>
            </w:r>
          </w:p>
        </w:tc>
        <w:tc>
          <w:tcPr>
            <w:tcW w:w="567" w:type="dxa"/>
          </w:tcPr>
          <w:p w14:paraId="0D3EB122" w14:textId="77777777" w:rsidR="00AD1F54" w:rsidRPr="00264D5D" w:rsidRDefault="00941227">
            <w:pPr>
              <w:pStyle w:val="ASFKTableHead"/>
            </w:pPr>
            <w:r w:rsidRPr="00264D5D">
              <w:t>Обязательность</w:t>
            </w:r>
          </w:p>
        </w:tc>
        <w:tc>
          <w:tcPr>
            <w:tcW w:w="3963" w:type="dxa"/>
          </w:tcPr>
          <w:p w14:paraId="391E2F15" w14:textId="77777777" w:rsidR="00AD1F54" w:rsidRPr="00264D5D" w:rsidRDefault="00941227">
            <w:pPr>
              <w:pStyle w:val="ASFKTableHead"/>
            </w:pPr>
            <w:r w:rsidRPr="00264D5D">
              <w:t>Дополнительная информация</w:t>
            </w:r>
          </w:p>
        </w:tc>
      </w:tr>
      <w:tr w:rsidR="00AD1F54" w:rsidRPr="00264D5D" w14:paraId="2D0E28D6"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0A768DC" w14:textId="77777777" w:rsidR="00AD1F54" w:rsidRPr="00264D5D" w:rsidRDefault="00941227">
            <w:pPr>
              <w:pStyle w:val="GOSTTablenorm"/>
            </w:pPr>
            <w:r w:rsidRPr="00264D5D">
              <w:t>Наименование финансового органа</w:t>
            </w:r>
          </w:p>
        </w:tc>
        <w:tc>
          <w:tcPr>
            <w:tcW w:w="1701" w:type="dxa"/>
          </w:tcPr>
          <w:p w14:paraId="316E63F7" w14:textId="77777777" w:rsidR="00AD1F54" w:rsidRPr="00264D5D" w:rsidRDefault="00941227">
            <w:pPr>
              <w:pStyle w:val="GOSTTablenorm"/>
            </w:pPr>
            <w:r w:rsidRPr="00264D5D">
              <w:t>FnclInst</w:t>
            </w:r>
          </w:p>
        </w:tc>
        <w:tc>
          <w:tcPr>
            <w:tcW w:w="567" w:type="dxa"/>
          </w:tcPr>
          <w:p w14:paraId="72FDBC5E" w14:textId="77777777" w:rsidR="00AD1F54" w:rsidRPr="00264D5D" w:rsidRDefault="00941227">
            <w:pPr>
              <w:pStyle w:val="GOSTTablenorm"/>
              <w:jc w:val="center"/>
            </w:pPr>
            <w:r w:rsidRPr="00264D5D">
              <w:t>П</w:t>
            </w:r>
          </w:p>
        </w:tc>
        <w:tc>
          <w:tcPr>
            <w:tcW w:w="1134" w:type="dxa"/>
          </w:tcPr>
          <w:p w14:paraId="0B304BFD" w14:textId="77777777" w:rsidR="00AD1F54" w:rsidRPr="00264D5D" w:rsidRDefault="00941227">
            <w:pPr>
              <w:pStyle w:val="GOSTTablenorm"/>
              <w:rPr>
                <w:lang w:val="en-US"/>
              </w:rPr>
            </w:pPr>
            <w:r w:rsidRPr="00264D5D">
              <w:rPr>
                <w:lang w:val="en-US"/>
              </w:rPr>
              <w:t>Т(1-</w:t>
            </w:r>
            <w:r w:rsidRPr="00264D5D">
              <w:t>2000</w:t>
            </w:r>
            <w:r w:rsidRPr="00264D5D">
              <w:rPr>
                <w:lang w:val="en-US"/>
              </w:rPr>
              <w:t>)</w:t>
            </w:r>
          </w:p>
        </w:tc>
        <w:tc>
          <w:tcPr>
            <w:tcW w:w="567" w:type="dxa"/>
          </w:tcPr>
          <w:p w14:paraId="56DFDF15" w14:textId="77777777" w:rsidR="00AD1F54" w:rsidRPr="00264D5D" w:rsidRDefault="00941227">
            <w:pPr>
              <w:pStyle w:val="GOSTTablenorm"/>
              <w:jc w:val="center"/>
            </w:pPr>
            <w:r w:rsidRPr="00264D5D">
              <w:t>О</w:t>
            </w:r>
          </w:p>
        </w:tc>
        <w:tc>
          <w:tcPr>
            <w:tcW w:w="3963" w:type="dxa"/>
          </w:tcPr>
          <w:p w14:paraId="657E0EFB" w14:textId="77777777" w:rsidR="00AD1F54" w:rsidRPr="00264D5D" w:rsidRDefault="00941227">
            <w:pPr>
              <w:pStyle w:val="GOSTTablenorm"/>
            </w:pPr>
            <w:r w:rsidRPr="00264D5D">
              <w:t>Полное наименование финансового органа.</w:t>
            </w:r>
          </w:p>
          <w:p w14:paraId="301191AB" w14:textId="77777777" w:rsidR="00AD1F54" w:rsidRPr="00264D5D" w:rsidRDefault="00941227">
            <w:pPr>
              <w:pStyle w:val="GOSTTablenorm"/>
              <w:rPr>
                <w:szCs w:val="22"/>
              </w:rPr>
            </w:pPr>
            <w:r w:rsidRPr="00264D5D">
              <w:rPr>
                <w:szCs w:val="22"/>
              </w:rPr>
              <w:t>Для УБП федерального уровня, указывается «Министерство</w:t>
            </w:r>
            <w:r w:rsidR="00676E27" w:rsidRPr="00264D5D">
              <w:rPr>
                <w:szCs w:val="22"/>
              </w:rPr>
              <w:t xml:space="preserve"> финансов Российской Федерации»</w:t>
            </w:r>
          </w:p>
        </w:tc>
      </w:tr>
      <w:tr w:rsidR="00AD1F54" w:rsidRPr="00264D5D" w14:paraId="1FA72CD1"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34159CF" w14:textId="77777777" w:rsidR="00AD1F54" w:rsidRPr="00264D5D" w:rsidRDefault="00941227">
            <w:pPr>
              <w:pStyle w:val="GOSTTablenorm"/>
            </w:pPr>
            <w:r w:rsidRPr="00264D5D">
              <w:t>Код по ОКПО</w:t>
            </w:r>
          </w:p>
        </w:tc>
        <w:tc>
          <w:tcPr>
            <w:tcW w:w="1701" w:type="dxa"/>
          </w:tcPr>
          <w:p w14:paraId="4D1F194A" w14:textId="77777777" w:rsidR="00AD1F54" w:rsidRPr="00264D5D" w:rsidRDefault="00941227">
            <w:pPr>
              <w:pStyle w:val="GOSTTablenorm"/>
            </w:pPr>
            <w:r w:rsidRPr="00264D5D">
              <w:t>OKPOCd</w:t>
            </w:r>
          </w:p>
        </w:tc>
        <w:tc>
          <w:tcPr>
            <w:tcW w:w="567" w:type="dxa"/>
          </w:tcPr>
          <w:p w14:paraId="3D1A0379" w14:textId="77777777" w:rsidR="00AD1F54" w:rsidRPr="00264D5D" w:rsidRDefault="00941227">
            <w:pPr>
              <w:pStyle w:val="GOSTTablenorm"/>
              <w:jc w:val="center"/>
            </w:pPr>
            <w:r w:rsidRPr="00264D5D">
              <w:t>П</w:t>
            </w:r>
          </w:p>
        </w:tc>
        <w:tc>
          <w:tcPr>
            <w:tcW w:w="1134" w:type="dxa"/>
          </w:tcPr>
          <w:p w14:paraId="2A041FC3" w14:textId="77777777" w:rsidR="00AD1F54" w:rsidRPr="00264D5D" w:rsidRDefault="00941227">
            <w:pPr>
              <w:pStyle w:val="GOSTTablenorm"/>
              <w:rPr>
                <w:lang w:val="en-US"/>
              </w:rPr>
            </w:pPr>
            <w:r w:rsidRPr="00264D5D">
              <w:rPr>
                <w:lang w:val="en-US"/>
              </w:rPr>
              <w:t>Т(</w:t>
            </w:r>
            <w:r w:rsidRPr="00264D5D">
              <w:t>8</w:t>
            </w:r>
            <w:r w:rsidRPr="00264D5D">
              <w:rPr>
                <w:lang w:val="en-US"/>
              </w:rPr>
              <w:t>)</w:t>
            </w:r>
          </w:p>
        </w:tc>
        <w:tc>
          <w:tcPr>
            <w:tcW w:w="567" w:type="dxa"/>
          </w:tcPr>
          <w:p w14:paraId="7B433768" w14:textId="77777777" w:rsidR="00AD1F54" w:rsidRPr="00264D5D" w:rsidRDefault="00941227">
            <w:pPr>
              <w:pStyle w:val="GOSTTablenorm"/>
              <w:jc w:val="center"/>
            </w:pPr>
            <w:r w:rsidRPr="00264D5D">
              <w:t>О</w:t>
            </w:r>
          </w:p>
        </w:tc>
        <w:tc>
          <w:tcPr>
            <w:tcW w:w="3963" w:type="dxa"/>
          </w:tcPr>
          <w:p w14:paraId="5CB17A21" w14:textId="77777777" w:rsidR="00AD1F54" w:rsidRPr="00264D5D" w:rsidRDefault="00941227">
            <w:pPr>
              <w:pStyle w:val="GOSTTablenorm"/>
            </w:pPr>
            <w:r w:rsidRPr="00264D5D">
              <w:t>Указывается</w:t>
            </w:r>
            <w:r w:rsidR="00676E27" w:rsidRPr="00264D5D">
              <w:t xml:space="preserve"> код по ОКПО финансового органа</w:t>
            </w:r>
          </w:p>
        </w:tc>
      </w:tr>
    </w:tbl>
    <w:p w14:paraId="6B6F05D2" w14:textId="77777777" w:rsidR="00AD1F54" w:rsidRPr="00264D5D" w:rsidRDefault="00941227">
      <w:pPr>
        <w:pStyle w:val="31"/>
      </w:pPr>
      <w:bookmarkStart w:id="1739" w:name="_Toc219309628"/>
      <w:r w:rsidRPr="00264D5D">
        <w:t>Описание комплексного типа «tMSC_SrcTypeComplex5»</w:t>
      </w:r>
      <w:bookmarkEnd w:id="1722"/>
      <w:bookmarkEnd w:id="1739"/>
    </w:p>
    <w:p w14:paraId="1D3F3676" w14:textId="77777777" w:rsidR="00AD1F54" w:rsidRPr="00264D5D" w:rsidRDefault="00941227">
      <w:pPr>
        <w:pStyle w:val="GOSTNormal"/>
      </w:pPr>
      <w:r w:rsidRPr="00264D5D">
        <w:t xml:space="preserve">Описание комплексного типа </w:t>
      </w:r>
      <w:r w:rsidRPr="00264D5D">
        <w:rPr>
          <w:rFonts w:eastAsia="Calibri"/>
        </w:rPr>
        <w:t>«</w:t>
      </w:r>
      <w:r w:rsidRPr="00264D5D">
        <w:rPr>
          <w:szCs w:val="22"/>
        </w:rPr>
        <w:t>tMSC_SrcTypeComplex5</w:t>
      </w:r>
      <w:r w:rsidRPr="00264D5D">
        <w:t>» блока «</w:t>
      </w:r>
      <w:r w:rsidRPr="00264D5D">
        <w:rPr>
          <w:szCs w:val="22"/>
        </w:rPr>
        <w:t>Вид средств</w:t>
      </w:r>
      <w:r w:rsidRPr="00264D5D">
        <w:t>».</w:t>
      </w:r>
    </w:p>
    <w:p w14:paraId="1D19195F" w14:textId="7E6CD40E" w:rsidR="00AD1F54" w:rsidRPr="00264D5D" w:rsidRDefault="001E5517">
      <w:pPr>
        <w:pStyle w:val="GOSTNameTable"/>
        <w:numPr>
          <w:ilvl w:val="0"/>
          <w:numId w:val="2"/>
        </w:numPr>
        <w:ind w:left="425" w:hanging="357"/>
      </w:pPr>
      <w:r w:rsidRPr="00264D5D">
        <w:rPr>
          <w:noProof/>
        </w:rPr>
        <w:fldChar w:fldCharType="begin"/>
      </w:r>
      <w:r w:rsidRPr="00264D5D">
        <w:rPr>
          <w:noProof/>
        </w:rPr>
        <w:instrText xml:space="preserve"> SEQ Таблица \* ARABIC </w:instrText>
      </w:r>
      <w:r w:rsidRPr="00264D5D">
        <w:rPr>
          <w:noProof/>
        </w:rPr>
        <w:fldChar w:fldCharType="separate"/>
      </w:r>
      <w:bookmarkStart w:id="1740" w:name="_Ref503543834"/>
      <w:bookmarkStart w:id="1741" w:name="_Toc18509625"/>
      <w:bookmarkStart w:id="1742" w:name="_Toc219309202"/>
      <w:r w:rsidR="008D797C">
        <w:rPr>
          <w:noProof/>
        </w:rPr>
        <w:t>172</w:t>
      </w:r>
      <w:bookmarkEnd w:id="1740"/>
      <w:r w:rsidRPr="00264D5D">
        <w:rPr>
          <w:noProof/>
        </w:rPr>
        <w:fldChar w:fldCharType="end"/>
      </w:r>
      <w:r w:rsidR="00941227" w:rsidRPr="00264D5D">
        <w:t xml:space="preserve"> – Описание комплексного типа «tMSC_SrcTypeComplex5»</w:t>
      </w:r>
      <w:bookmarkEnd w:id="1741"/>
      <w:bookmarkEnd w:id="1742"/>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2D249959"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66EF1672" w14:textId="77777777" w:rsidR="00AD1F54" w:rsidRPr="00264D5D" w:rsidRDefault="00941227">
            <w:pPr>
              <w:pStyle w:val="ASFKTableHead"/>
            </w:pPr>
            <w:r w:rsidRPr="00264D5D">
              <w:t>Наименование элемента</w:t>
            </w:r>
          </w:p>
        </w:tc>
        <w:tc>
          <w:tcPr>
            <w:tcW w:w="1701" w:type="dxa"/>
          </w:tcPr>
          <w:p w14:paraId="7D3CF172" w14:textId="77777777" w:rsidR="00AD1F54" w:rsidRPr="00264D5D" w:rsidRDefault="00941227">
            <w:pPr>
              <w:pStyle w:val="ASFKTableHead"/>
            </w:pPr>
            <w:r w:rsidRPr="00264D5D">
              <w:t>Сокращенное наименование (код) элемента</w:t>
            </w:r>
          </w:p>
        </w:tc>
        <w:tc>
          <w:tcPr>
            <w:tcW w:w="567" w:type="dxa"/>
          </w:tcPr>
          <w:p w14:paraId="2607A10B" w14:textId="77777777" w:rsidR="00AD1F54" w:rsidRPr="00264D5D" w:rsidRDefault="00941227">
            <w:pPr>
              <w:pStyle w:val="ASFKTableHead"/>
            </w:pPr>
            <w:r w:rsidRPr="00264D5D">
              <w:t>Тип</w:t>
            </w:r>
          </w:p>
        </w:tc>
        <w:tc>
          <w:tcPr>
            <w:tcW w:w="1134" w:type="dxa"/>
          </w:tcPr>
          <w:p w14:paraId="0DB9FBF0" w14:textId="77777777" w:rsidR="00AD1F54" w:rsidRPr="00264D5D" w:rsidRDefault="00941227">
            <w:pPr>
              <w:pStyle w:val="ASFKTableHead"/>
            </w:pPr>
            <w:r w:rsidRPr="00264D5D">
              <w:t>Формат элемента</w:t>
            </w:r>
          </w:p>
        </w:tc>
        <w:tc>
          <w:tcPr>
            <w:tcW w:w="567" w:type="dxa"/>
          </w:tcPr>
          <w:p w14:paraId="3302F0F8" w14:textId="77777777" w:rsidR="00AD1F54" w:rsidRPr="00264D5D" w:rsidRDefault="00941227">
            <w:pPr>
              <w:pStyle w:val="ASFKTableHead"/>
            </w:pPr>
            <w:r w:rsidRPr="00264D5D">
              <w:t>Обязательность</w:t>
            </w:r>
          </w:p>
        </w:tc>
        <w:tc>
          <w:tcPr>
            <w:tcW w:w="3963" w:type="dxa"/>
          </w:tcPr>
          <w:p w14:paraId="12E31836" w14:textId="77777777" w:rsidR="00AD1F54" w:rsidRPr="00264D5D" w:rsidRDefault="00941227">
            <w:pPr>
              <w:pStyle w:val="ASFKTableHead"/>
            </w:pPr>
            <w:r w:rsidRPr="00264D5D">
              <w:t>Дополнительная информация</w:t>
            </w:r>
          </w:p>
        </w:tc>
      </w:tr>
      <w:tr w:rsidR="00AD1F54" w:rsidRPr="00264D5D" w14:paraId="131334A8"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701BBAFA" w14:textId="77777777" w:rsidR="00AD1F54" w:rsidRPr="00264D5D" w:rsidRDefault="00941227">
            <w:pPr>
              <w:pStyle w:val="GOSTTablenorm"/>
              <w:rPr>
                <w:lang w:val="en-US"/>
              </w:rPr>
            </w:pPr>
            <w:r w:rsidRPr="00264D5D">
              <w:t>Код</w:t>
            </w:r>
          </w:p>
        </w:tc>
        <w:tc>
          <w:tcPr>
            <w:tcW w:w="1701" w:type="dxa"/>
          </w:tcPr>
          <w:p w14:paraId="72E10C3E" w14:textId="77777777" w:rsidR="00AD1F54" w:rsidRPr="00264D5D" w:rsidRDefault="00941227">
            <w:pPr>
              <w:pStyle w:val="GOSTTablenorm"/>
              <w:rPr>
                <w:lang w:val="en-US"/>
              </w:rPr>
            </w:pPr>
            <w:r w:rsidRPr="00264D5D">
              <w:rPr>
                <w:lang w:val="en-US"/>
              </w:rPr>
              <w:t>code</w:t>
            </w:r>
          </w:p>
        </w:tc>
        <w:tc>
          <w:tcPr>
            <w:tcW w:w="567" w:type="dxa"/>
          </w:tcPr>
          <w:p w14:paraId="3E9F9771" w14:textId="77777777" w:rsidR="00AD1F54" w:rsidRPr="00264D5D" w:rsidRDefault="00941227">
            <w:pPr>
              <w:pStyle w:val="GOSTTablenorm"/>
              <w:jc w:val="center"/>
            </w:pPr>
            <w:r w:rsidRPr="00264D5D">
              <w:t>А</w:t>
            </w:r>
          </w:p>
        </w:tc>
        <w:tc>
          <w:tcPr>
            <w:tcW w:w="1134" w:type="dxa"/>
          </w:tcPr>
          <w:p w14:paraId="0B8199B4" w14:textId="77777777" w:rsidR="00AD1F54" w:rsidRPr="00264D5D" w:rsidRDefault="00941227">
            <w:pPr>
              <w:pStyle w:val="GOSTTablenorm"/>
            </w:pPr>
            <w:r w:rsidRPr="00264D5D">
              <w:t>-</w:t>
            </w:r>
          </w:p>
        </w:tc>
        <w:tc>
          <w:tcPr>
            <w:tcW w:w="567" w:type="dxa"/>
          </w:tcPr>
          <w:p w14:paraId="05F24518" w14:textId="77777777" w:rsidR="00AD1F54" w:rsidRPr="00264D5D" w:rsidRDefault="00941227">
            <w:pPr>
              <w:pStyle w:val="GOSTTablenorm"/>
              <w:jc w:val="center"/>
            </w:pPr>
            <w:r w:rsidRPr="00264D5D">
              <w:t>О</w:t>
            </w:r>
          </w:p>
        </w:tc>
        <w:tc>
          <w:tcPr>
            <w:tcW w:w="3963" w:type="dxa"/>
          </w:tcPr>
          <w:p w14:paraId="3A514DC3" w14:textId="77777777" w:rsidR="00AD1F54" w:rsidRPr="00264D5D" w:rsidRDefault="00941227">
            <w:pPr>
              <w:pStyle w:val="GOSTTablenorm"/>
            </w:pPr>
            <w:r w:rsidRPr="00264D5D">
              <w:t>Возможные значения:</w:t>
            </w:r>
          </w:p>
          <w:p w14:paraId="5C20F37A" w14:textId="77777777" w:rsidR="00AD1F54" w:rsidRPr="00264D5D" w:rsidRDefault="00941227" w:rsidP="00E7460C">
            <w:pPr>
              <w:pStyle w:val="GOSTTablenorm"/>
              <w:numPr>
                <w:ilvl w:val="0"/>
                <w:numId w:val="80"/>
              </w:numPr>
              <w:ind w:left="284" w:hanging="227"/>
            </w:pPr>
            <w:r w:rsidRPr="00264D5D">
              <w:t>1 – Средства бюджета;</w:t>
            </w:r>
          </w:p>
          <w:p w14:paraId="77296DA7" w14:textId="77777777" w:rsidR="00AD1F54" w:rsidRPr="00264D5D" w:rsidRDefault="00941227" w:rsidP="00E7460C">
            <w:pPr>
              <w:pStyle w:val="GOSTTablenorm"/>
              <w:numPr>
                <w:ilvl w:val="0"/>
                <w:numId w:val="80"/>
              </w:numPr>
              <w:ind w:left="284" w:hanging="227"/>
            </w:pPr>
            <w:r w:rsidRPr="00264D5D">
              <w:t>4 – Средства для финансирования мероприятий по оперативно-розыскной деятельности;</w:t>
            </w:r>
          </w:p>
          <w:p w14:paraId="0B6093CF" w14:textId="77777777" w:rsidR="00AD1F54" w:rsidRPr="00264D5D" w:rsidRDefault="00941227" w:rsidP="00E7460C">
            <w:pPr>
              <w:pStyle w:val="GOSTTablenorm"/>
              <w:numPr>
                <w:ilvl w:val="0"/>
                <w:numId w:val="80"/>
              </w:numPr>
              <w:ind w:left="284" w:hanging="227"/>
            </w:pPr>
            <w:r w:rsidRPr="00264D5D">
              <w:t>5 – Средства, поступающие во временное р</w:t>
            </w:r>
            <w:r w:rsidR="00676E27" w:rsidRPr="00264D5D">
              <w:t>аспоряжение казенных учреждений</w:t>
            </w:r>
          </w:p>
        </w:tc>
      </w:tr>
      <w:tr w:rsidR="00AD1F54" w:rsidRPr="00264D5D" w14:paraId="7C4694B7"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62D7DD4E" w14:textId="77777777" w:rsidR="00AD1F54" w:rsidRPr="00264D5D" w:rsidRDefault="00941227">
            <w:pPr>
              <w:pStyle w:val="GOSTTablenorm"/>
              <w:rPr>
                <w:lang w:val="en-US"/>
              </w:rPr>
            </w:pPr>
            <w:r w:rsidRPr="00264D5D">
              <w:t>Вид средств</w:t>
            </w:r>
          </w:p>
        </w:tc>
        <w:tc>
          <w:tcPr>
            <w:tcW w:w="1701" w:type="dxa"/>
          </w:tcPr>
          <w:p w14:paraId="0E51F618" w14:textId="77777777" w:rsidR="00AD1F54" w:rsidRPr="00264D5D" w:rsidRDefault="00941227">
            <w:pPr>
              <w:pStyle w:val="GOSTTablenorm"/>
              <w:rPr>
                <w:lang w:val="en-US"/>
              </w:rPr>
            </w:pPr>
            <w:r w:rsidRPr="00264D5D">
              <w:rPr>
                <w:lang w:val="en-US"/>
              </w:rPr>
              <w:t>value</w:t>
            </w:r>
          </w:p>
        </w:tc>
        <w:tc>
          <w:tcPr>
            <w:tcW w:w="567" w:type="dxa"/>
          </w:tcPr>
          <w:p w14:paraId="795ABAC0" w14:textId="77777777" w:rsidR="00AD1F54" w:rsidRPr="00264D5D" w:rsidRDefault="00941227">
            <w:pPr>
              <w:pStyle w:val="GOSTTablenorm"/>
              <w:jc w:val="center"/>
            </w:pPr>
            <w:r w:rsidRPr="00264D5D">
              <w:t>А</w:t>
            </w:r>
          </w:p>
        </w:tc>
        <w:tc>
          <w:tcPr>
            <w:tcW w:w="1134" w:type="dxa"/>
          </w:tcPr>
          <w:p w14:paraId="28BB5542" w14:textId="77777777" w:rsidR="00AD1F54" w:rsidRPr="00264D5D" w:rsidRDefault="00941227">
            <w:pPr>
              <w:pStyle w:val="GOSTTablenorm"/>
            </w:pPr>
            <w:r w:rsidRPr="00264D5D">
              <w:t>-</w:t>
            </w:r>
          </w:p>
        </w:tc>
        <w:tc>
          <w:tcPr>
            <w:tcW w:w="567" w:type="dxa"/>
          </w:tcPr>
          <w:p w14:paraId="35C2820B" w14:textId="77777777" w:rsidR="00AD1F54" w:rsidRPr="00264D5D" w:rsidRDefault="00941227">
            <w:pPr>
              <w:pStyle w:val="GOSTTablenorm"/>
              <w:jc w:val="center"/>
            </w:pPr>
            <w:r w:rsidRPr="00264D5D">
              <w:t>Н</w:t>
            </w:r>
          </w:p>
        </w:tc>
        <w:tc>
          <w:tcPr>
            <w:tcW w:w="3963" w:type="dxa"/>
          </w:tcPr>
          <w:p w14:paraId="0203BB43" w14:textId="77777777" w:rsidR="00AD1F54" w:rsidRPr="00264D5D" w:rsidRDefault="00941227">
            <w:pPr>
              <w:pStyle w:val="GOSTTablenorm"/>
            </w:pPr>
            <w:r w:rsidRPr="00264D5D">
              <w:t>Возможные значения:</w:t>
            </w:r>
          </w:p>
          <w:p w14:paraId="6433B5F4" w14:textId="77777777" w:rsidR="00AD1F54" w:rsidRPr="00264D5D" w:rsidRDefault="00941227" w:rsidP="00E7460C">
            <w:pPr>
              <w:pStyle w:val="GOSTTablenorm"/>
              <w:numPr>
                <w:ilvl w:val="0"/>
                <w:numId w:val="80"/>
              </w:numPr>
              <w:ind w:left="284" w:hanging="227"/>
            </w:pPr>
            <w:r w:rsidRPr="00264D5D">
              <w:lastRenderedPageBreak/>
              <w:t>Средства бюджета;</w:t>
            </w:r>
          </w:p>
          <w:p w14:paraId="2ED84FD3" w14:textId="77777777" w:rsidR="00AD1F54" w:rsidRPr="00264D5D" w:rsidRDefault="00941227" w:rsidP="00E7460C">
            <w:pPr>
              <w:pStyle w:val="GOSTTablenorm"/>
              <w:numPr>
                <w:ilvl w:val="0"/>
                <w:numId w:val="80"/>
              </w:numPr>
              <w:ind w:left="284" w:hanging="227"/>
            </w:pPr>
            <w:r w:rsidRPr="00264D5D">
              <w:t>Средства для финансирования мероприятий по оперативно-розыскной деятельности;</w:t>
            </w:r>
          </w:p>
          <w:p w14:paraId="3B7B17A3" w14:textId="77777777" w:rsidR="00AD1F54" w:rsidRPr="00264D5D" w:rsidRDefault="00941227" w:rsidP="00E7460C">
            <w:pPr>
              <w:pStyle w:val="GOSTTablenorm"/>
              <w:numPr>
                <w:ilvl w:val="0"/>
                <w:numId w:val="80"/>
              </w:numPr>
              <w:ind w:left="284" w:hanging="227"/>
              <w:rPr>
                <w:b/>
                <w:bCs/>
                <w:szCs w:val="22"/>
              </w:rPr>
            </w:pPr>
            <w:r w:rsidRPr="00264D5D">
              <w:t>Средства, поступающие во временное р</w:t>
            </w:r>
            <w:r w:rsidR="00676E27" w:rsidRPr="00264D5D">
              <w:t>аспоряжение казенных учреждений</w:t>
            </w:r>
          </w:p>
        </w:tc>
      </w:tr>
    </w:tbl>
    <w:p w14:paraId="3AC41BC7" w14:textId="77777777" w:rsidR="00AD1F54" w:rsidRPr="00264D5D" w:rsidRDefault="00941227">
      <w:pPr>
        <w:pStyle w:val="31"/>
      </w:pPr>
      <w:bookmarkStart w:id="1743" w:name="_Toc508712735"/>
      <w:bookmarkStart w:id="1744" w:name="_Toc18509348"/>
      <w:bookmarkStart w:id="1745" w:name="_Toc508712722"/>
      <w:bookmarkStart w:id="1746" w:name="_Toc219309629"/>
      <w:r w:rsidRPr="00264D5D">
        <w:lastRenderedPageBreak/>
        <w:t>Описание комплексного типа «tMSC_Pyr»</w:t>
      </w:r>
      <w:bookmarkEnd w:id="1743"/>
      <w:bookmarkEnd w:id="1744"/>
      <w:bookmarkEnd w:id="1746"/>
    </w:p>
    <w:p w14:paraId="106A7F55" w14:textId="77777777" w:rsidR="00AD1F54" w:rsidRPr="00264D5D" w:rsidRDefault="00941227">
      <w:pPr>
        <w:pStyle w:val="GOSTNormal"/>
      </w:pPr>
      <w:r w:rsidRPr="00264D5D">
        <w:t xml:space="preserve">Описание комплексного типа </w:t>
      </w:r>
      <w:r w:rsidRPr="00264D5D">
        <w:rPr>
          <w:rFonts w:eastAsia="Calibri"/>
        </w:rPr>
        <w:t>«</w:t>
      </w:r>
      <w:r w:rsidRPr="00264D5D">
        <w:rPr>
          <w:szCs w:val="22"/>
        </w:rPr>
        <w:t>tMSC_Pyr</w:t>
      </w:r>
      <w:r w:rsidRPr="00264D5D">
        <w:t>» блока «Информация о плательщике».</w:t>
      </w:r>
    </w:p>
    <w:p w14:paraId="60A391C8" w14:textId="6136A058" w:rsidR="00AD1F54" w:rsidRPr="00264D5D" w:rsidRDefault="001E5517">
      <w:pPr>
        <w:pStyle w:val="GOSTNameTable"/>
        <w:numPr>
          <w:ilvl w:val="0"/>
          <w:numId w:val="2"/>
        </w:numPr>
        <w:ind w:left="425" w:hanging="357"/>
      </w:pPr>
      <w:r w:rsidRPr="00264D5D">
        <w:rPr>
          <w:noProof/>
        </w:rPr>
        <w:fldChar w:fldCharType="begin"/>
      </w:r>
      <w:r w:rsidRPr="00264D5D">
        <w:rPr>
          <w:noProof/>
        </w:rPr>
        <w:instrText xml:space="preserve"> SEQ Таблица \* ARABIC </w:instrText>
      </w:r>
      <w:r w:rsidRPr="00264D5D">
        <w:rPr>
          <w:noProof/>
        </w:rPr>
        <w:fldChar w:fldCharType="separate"/>
      </w:r>
      <w:bookmarkStart w:id="1747" w:name="_Ref503543871"/>
      <w:bookmarkStart w:id="1748" w:name="_Toc18509626"/>
      <w:bookmarkStart w:id="1749" w:name="_Toc219309203"/>
      <w:r w:rsidR="008D797C">
        <w:rPr>
          <w:noProof/>
        </w:rPr>
        <w:t>173</w:t>
      </w:r>
      <w:bookmarkEnd w:id="1747"/>
      <w:r w:rsidRPr="00264D5D">
        <w:rPr>
          <w:noProof/>
        </w:rPr>
        <w:fldChar w:fldCharType="end"/>
      </w:r>
      <w:r w:rsidR="00941227" w:rsidRPr="00264D5D">
        <w:t xml:space="preserve"> – Описание комплексного типа «tMSC_Pyr»</w:t>
      </w:r>
      <w:bookmarkEnd w:id="1748"/>
      <w:bookmarkEnd w:id="1749"/>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369ADD23"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7E1C7E71" w14:textId="77777777" w:rsidR="00AD1F54" w:rsidRPr="00264D5D" w:rsidRDefault="00941227">
            <w:pPr>
              <w:pStyle w:val="ASFKTableHead"/>
            </w:pPr>
            <w:r w:rsidRPr="00264D5D">
              <w:t>Наименование элемента</w:t>
            </w:r>
          </w:p>
        </w:tc>
        <w:tc>
          <w:tcPr>
            <w:tcW w:w="1701" w:type="dxa"/>
          </w:tcPr>
          <w:p w14:paraId="262BBE9F" w14:textId="77777777" w:rsidR="00AD1F54" w:rsidRPr="00264D5D" w:rsidRDefault="00941227">
            <w:pPr>
              <w:pStyle w:val="ASFKTableHead"/>
            </w:pPr>
            <w:r w:rsidRPr="00264D5D">
              <w:t>Сокращенное наименование (код) элемента</w:t>
            </w:r>
          </w:p>
        </w:tc>
        <w:tc>
          <w:tcPr>
            <w:tcW w:w="567" w:type="dxa"/>
          </w:tcPr>
          <w:p w14:paraId="773CA01E" w14:textId="77777777" w:rsidR="00AD1F54" w:rsidRPr="00264D5D" w:rsidRDefault="00941227">
            <w:pPr>
              <w:pStyle w:val="ASFKTableHead"/>
            </w:pPr>
            <w:r w:rsidRPr="00264D5D">
              <w:t>Тип</w:t>
            </w:r>
          </w:p>
        </w:tc>
        <w:tc>
          <w:tcPr>
            <w:tcW w:w="1134" w:type="dxa"/>
          </w:tcPr>
          <w:p w14:paraId="6BD78E3D" w14:textId="77777777" w:rsidR="00AD1F54" w:rsidRPr="00264D5D" w:rsidRDefault="00941227">
            <w:pPr>
              <w:pStyle w:val="ASFKTableHead"/>
            </w:pPr>
            <w:r w:rsidRPr="00264D5D">
              <w:t>Формат элемента</w:t>
            </w:r>
          </w:p>
        </w:tc>
        <w:tc>
          <w:tcPr>
            <w:tcW w:w="567" w:type="dxa"/>
          </w:tcPr>
          <w:p w14:paraId="4778B75D" w14:textId="77777777" w:rsidR="00AD1F54" w:rsidRPr="00264D5D" w:rsidRDefault="00941227">
            <w:pPr>
              <w:pStyle w:val="ASFKTableHead"/>
            </w:pPr>
            <w:r w:rsidRPr="00264D5D">
              <w:t>Обязательность</w:t>
            </w:r>
          </w:p>
        </w:tc>
        <w:tc>
          <w:tcPr>
            <w:tcW w:w="3963" w:type="dxa"/>
          </w:tcPr>
          <w:p w14:paraId="7D1F58B4" w14:textId="77777777" w:rsidR="00AD1F54" w:rsidRPr="00264D5D" w:rsidRDefault="00941227">
            <w:pPr>
              <w:pStyle w:val="ASFKTableHead"/>
            </w:pPr>
            <w:r w:rsidRPr="00264D5D">
              <w:t>Дополнительная информация</w:t>
            </w:r>
          </w:p>
        </w:tc>
      </w:tr>
      <w:tr w:rsidR="00AD1F54" w:rsidRPr="00264D5D" w14:paraId="7FD8B24C"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E226958" w14:textId="77777777" w:rsidR="00AD1F54" w:rsidRPr="00264D5D" w:rsidRDefault="00941227">
            <w:pPr>
              <w:pStyle w:val="GOSTTablenorm"/>
              <w:rPr>
                <w:szCs w:val="22"/>
              </w:rPr>
            </w:pPr>
            <w:r w:rsidRPr="00264D5D">
              <w:rPr>
                <w:szCs w:val="22"/>
              </w:rPr>
              <w:t>Наименование плательщика</w:t>
            </w:r>
          </w:p>
        </w:tc>
        <w:tc>
          <w:tcPr>
            <w:tcW w:w="1701" w:type="dxa"/>
          </w:tcPr>
          <w:p w14:paraId="393048CF" w14:textId="77777777" w:rsidR="00AD1F54" w:rsidRPr="00264D5D" w:rsidRDefault="00941227">
            <w:pPr>
              <w:pStyle w:val="GOSTTablenorm"/>
              <w:rPr>
                <w:szCs w:val="22"/>
                <w:lang w:val="en-US"/>
              </w:rPr>
            </w:pPr>
            <w:r w:rsidRPr="00264D5D">
              <w:rPr>
                <w:szCs w:val="22"/>
                <w:lang w:val="en-US"/>
              </w:rPr>
              <w:t>Nm</w:t>
            </w:r>
          </w:p>
        </w:tc>
        <w:tc>
          <w:tcPr>
            <w:tcW w:w="567" w:type="dxa"/>
          </w:tcPr>
          <w:p w14:paraId="0C660026" w14:textId="77777777" w:rsidR="00AD1F54" w:rsidRPr="00264D5D" w:rsidRDefault="00941227">
            <w:pPr>
              <w:pStyle w:val="GOSTTablenorm"/>
              <w:jc w:val="center"/>
              <w:rPr>
                <w:szCs w:val="22"/>
              </w:rPr>
            </w:pPr>
            <w:r w:rsidRPr="00264D5D">
              <w:rPr>
                <w:szCs w:val="22"/>
              </w:rPr>
              <w:t>П</w:t>
            </w:r>
          </w:p>
        </w:tc>
        <w:tc>
          <w:tcPr>
            <w:tcW w:w="1134" w:type="dxa"/>
          </w:tcPr>
          <w:p w14:paraId="40206834" w14:textId="77777777" w:rsidR="00AD1F54" w:rsidRPr="00264D5D" w:rsidRDefault="00941227">
            <w:pPr>
              <w:pStyle w:val="GOSTTablenorm"/>
              <w:rPr>
                <w:szCs w:val="22"/>
              </w:rPr>
            </w:pPr>
            <w:r w:rsidRPr="00264D5D">
              <w:rPr>
                <w:szCs w:val="22"/>
              </w:rPr>
              <w:t>Т(1-500)</w:t>
            </w:r>
          </w:p>
        </w:tc>
        <w:tc>
          <w:tcPr>
            <w:tcW w:w="567" w:type="dxa"/>
          </w:tcPr>
          <w:p w14:paraId="364A67C9" w14:textId="77777777" w:rsidR="00AD1F54" w:rsidRPr="00264D5D" w:rsidRDefault="00941227">
            <w:pPr>
              <w:pStyle w:val="GOSTTablenorm"/>
              <w:jc w:val="center"/>
              <w:rPr>
                <w:szCs w:val="22"/>
              </w:rPr>
            </w:pPr>
            <w:r w:rsidRPr="00264D5D">
              <w:rPr>
                <w:szCs w:val="22"/>
              </w:rPr>
              <w:t>Н</w:t>
            </w:r>
          </w:p>
        </w:tc>
        <w:tc>
          <w:tcPr>
            <w:tcW w:w="3963" w:type="dxa"/>
          </w:tcPr>
          <w:p w14:paraId="5F7C5C24" w14:textId="77777777" w:rsidR="00AD1F54" w:rsidRPr="00264D5D" w:rsidRDefault="00941227">
            <w:pPr>
              <w:pStyle w:val="GOSTTablenorm"/>
              <w:rPr>
                <w:szCs w:val="22"/>
              </w:rPr>
            </w:pPr>
            <w:r w:rsidRPr="00264D5D">
              <w:rPr>
                <w:szCs w:val="22"/>
              </w:rPr>
              <w:t>Указывается наименование плательщика.</w:t>
            </w:r>
          </w:p>
          <w:p w14:paraId="40E7ADEA" w14:textId="77777777" w:rsidR="00AD1F54" w:rsidRPr="00264D5D" w:rsidRDefault="00941227">
            <w:pPr>
              <w:pStyle w:val="GOSTTablenorm"/>
              <w:rPr>
                <w:szCs w:val="22"/>
              </w:rPr>
            </w:pPr>
            <w:r w:rsidRPr="00264D5D">
              <w:rPr>
                <w:szCs w:val="22"/>
              </w:rPr>
              <w:t>В случае уточнения расчетного документа или поручения о перечислении на счет заполняется в соответствии с уточняемым документом.</w:t>
            </w:r>
          </w:p>
          <w:p w14:paraId="1307C5DF" w14:textId="77777777" w:rsidR="00AD1F54" w:rsidRPr="00264D5D" w:rsidRDefault="00941227">
            <w:pPr>
              <w:pStyle w:val="GOSTTablenorm"/>
              <w:rPr>
                <w:szCs w:val="22"/>
              </w:rPr>
            </w:pPr>
            <w:r w:rsidRPr="00264D5D">
              <w:rPr>
                <w:szCs w:val="22"/>
              </w:rPr>
              <w:t>В случае уточнения поступления в иностранной валюте по документу «Извещение о поступлении в иностранной валюте» заполняется в соответствии с данными реквизита «Информация о перевододателе» уточняемого документа.</w:t>
            </w:r>
          </w:p>
          <w:p w14:paraId="2C3ECA03" w14:textId="77777777" w:rsidR="00AD1F54" w:rsidRPr="00264D5D" w:rsidRDefault="00941227">
            <w:pPr>
              <w:pStyle w:val="GOSTTablenorm"/>
              <w:rPr>
                <w:szCs w:val="22"/>
              </w:rPr>
            </w:pPr>
            <w:r w:rsidRPr="00264D5D">
              <w:rPr>
                <w:szCs w:val="22"/>
              </w:rPr>
              <w:t xml:space="preserve">В случае уточнения кассовых выплат в иностранной валюте в порядке безналичного перечисления либо списания средств при продаже иностранной валюты по документу «Заявление на проведение операций с иностранной валютой» заполняется в соответствии с данными реквизита «Клиент» уточняемого документа.В остальных случаях может не </w:t>
            </w:r>
            <w:r w:rsidR="00676E27" w:rsidRPr="00264D5D">
              <w:rPr>
                <w:szCs w:val="22"/>
              </w:rPr>
              <w:t>заполняться</w:t>
            </w:r>
          </w:p>
        </w:tc>
      </w:tr>
      <w:tr w:rsidR="00AD1F54" w:rsidRPr="00264D5D" w14:paraId="1035AD35"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373D0C50" w14:textId="77777777" w:rsidR="00AD1F54" w:rsidRPr="00264D5D" w:rsidRDefault="00941227">
            <w:pPr>
              <w:pStyle w:val="GOSTTablenorm"/>
              <w:rPr>
                <w:szCs w:val="22"/>
              </w:rPr>
            </w:pPr>
            <w:r w:rsidRPr="00264D5D">
              <w:t>ИНН плательщика</w:t>
            </w:r>
          </w:p>
        </w:tc>
        <w:tc>
          <w:tcPr>
            <w:tcW w:w="1701" w:type="dxa"/>
          </w:tcPr>
          <w:p w14:paraId="3C0E38E5" w14:textId="77777777" w:rsidR="00AD1F54" w:rsidRPr="00264D5D" w:rsidRDefault="00941227">
            <w:pPr>
              <w:pStyle w:val="GOSTTablenorm"/>
              <w:rPr>
                <w:lang w:val="en-US"/>
              </w:rPr>
            </w:pPr>
            <w:r w:rsidRPr="00264D5D">
              <w:rPr>
                <w:lang w:val="en-US"/>
              </w:rPr>
              <w:t>INN</w:t>
            </w:r>
          </w:p>
        </w:tc>
        <w:tc>
          <w:tcPr>
            <w:tcW w:w="567" w:type="dxa"/>
          </w:tcPr>
          <w:p w14:paraId="08A98F3F" w14:textId="77777777" w:rsidR="00AD1F54" w:rsidRPr="00264D5D" w:rsidRDefault="00941227">
            <w:pPr>
              <w:pStyle w:val="GOSTTablenorm"/>
              <w:jc w:val="center"/>
            </w:pPr>
            <w:r w:rsidRPr="00264D5D">
              <w:t>П</w:t>
            </w:r>
          </w:p>
        </w:tc>
        <w:tc>
          <w:tcPr>
            <w:tcW w:w="1134" w:type="dxa"/>
          </w:tcPr>
          <w:p w14:paraId="6BE9267F" w14:textId="77777777" w:rsidR="00AD1F54" w:rsidRPr="00264D5D" w:rsidRDefault="00941227">
            <w:pPr>
              <w:pStyle w:val="GOSTTablenorm"/>
            </w:pPr>
            <w:r w:rsidRPr="00264D5D">
              <w:t>Т(1-12)</w:t>
            </w:r>
          </w:p>
        </w:tc>
        <w:tc>
          <w:tcPr>
            <w:tcW w:w="567" w:type="dxa"/>
          </w:tcPr>
          <w:p w14:paraId="6A76C255" w14:textId="77777777" w:rsidR="00AD1F54" w:rsidRPr="00264D5D" w:rsidRDefault="00941227">
            <w:pPr>
              <w:pStyle w:val="GOSTTablenorm"/>
              <w:jc w:val="center"/>
            </w:pPr>
            <w:r w:rsidRPr="00264D5D">
              <w:t>Н</w:t>
            </w:r>
          </w:p>
        </w:tc>
        <w:tc>
          <w:tcPr>
            <w:tcW w:w="3963" w:type="dxa"/>
          </w:tcPr>
          <w:p w14:paraId="690A1BCE" w14:textId="77777777" w:rsidR="00AD1F54" w:rsidRPr="00264D5D" w:rsidRDefault="00941227">
            <w:pPr>
              <w:pStyle w:val="GOSTTablenorm"/>
            </w:pPr>
            <w:r w:rsidRPr="00264D5D">
              <w:t>Указывается ИНН плательщика.</w:t>
            </w:r>
          </w:p>
          <w:p w14:paraId="43D9A160" w14:textId="77777777" w:rsidR="00AD1F54" w:rsidRPr="00264D5D" w:rsidRDefault="00941227">
            <w:pPr>
              <w:pStyle w:val="GOSTTablenorm"/>
              <w:rPr>
                <w:szCs w:val="22"/>
              </w:rPr>
            </w:pPr>
            <w:r w:rsidRPr="00264D5D">
              <w:rPr>
                <w:szCs w:val="22"/>
              </w:rPr>
              <w:t xml:space="preserve">В случае уточнения расчетного документа или поручения о перечислении на счет заполняется в </w:t>
            </w:r>
            <w:r w:rsidRPr="00264D5D">
              <w:rPr>
                <w:szCs w:val="22"/>
              </w:rPr>
              <w:lastRenderedPageBreak/>
              <w:t>соответствии с уточняемым документом.</w:t>
            </w:r>
          </w:p>
          <w:p w14:paraId="0F10BD2A" w14:textId="77777777" w:rsidR="00AD1F54" w:rsidRPr="00264D5D" w:rsidRDefault="00941227">
            <w:pPr>
              <w:pStyle w:val="GOSTTablenorm"/>
              <w:rPr>
                <w:szCs w:val="22"/>
              </w:rPr>
            </w:pPr>
            <w:r w:rsidRPr="00264D5D">
              <w:rPr>
                <w:szCs w:val="22"/>
              </w:rPr>
              <w:t>В остальн</w:t>
            </w:r>
            <w:r w:rsidR="00676E27" w:rsidRPr="00264D5D">
              <w:rPr>
                <w:szCs w:val="22"/>
              </w:rPr>
              <w:t>ых случаях может не заполняться</w:t>
            </w:r>
          </w:p>
        </w:tc>
      </w:tr>
      <w:tr w:rsidR="00AD1F54" w:rsidRPr="00264D5D" w14:paraId="4A39ED65"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76427F86" w14:textId="77777777" w:rsidR="00AD1F54" w:rsidRPr="00264D5D" w:rsidRDefault="00941227">
            <w:pPr>
              <w:pStyle w:val="GOSTTablenorm"/>
              <w:rPr>
                <w:szCs w:val="22"/>
              </w:rPr>
            </w:pPr>
            <w:r w:rsidRPr="00264D5D">
              <w:lastRenderedPageBreak/>
              <w:t>КПП плательщика</w:t>
            </w:r>
          </w:p>
        </w:tc>
        <w:tc>
          <w:tcPr>
            <w:tcW w:w="1701" w:type="dxa"/>
          </w:tcPr>
          <w:p w14:paraId="70233D80" w14:textId="77777777" w:rsidR="00AD1F54" w:rsidRPr="00264D5D" w:rsidRDefault="00941227">
            <w:pPr>
              <w:pStyle w:val="GOSTTablenorm"/>
              <w:rPr>
                <w:lang w:val="en-US"/>
              </w:rPr>
            </w:pPr>
            <w:r w:rsidRPr="00264D5D">
              <w:rPr>
                <w:lang w:val="en-US"/>
              </w:rPr>
              <w:t>KPP</w:t>
            </w:r>
          </w:p>
        </w:tc>
        <w:tc>
          <w:tcPr>
            <w:tcW w:w="567" w:type="dxa"/>
          </w:tcPr>
          <w:p w14:paraId="12FB413A" w14:textId="77777777" w:rsidR="00AD1F54" w:rsidRPr="00264D5D" w:rsidRDefault="00941227">
            <w:pPr>
              <w:pStyle w:val="GOSTTablenorm"/>
              <w:jc w:val="center"/>
            </w:pPr>
            <w:r w:rsidRPr="00264D5D">
              <w:t>П</w:t>
            </w:r>
          </w:p>
        </w:tc>
        <w:tc>
          <w:tcPr>
            <w:tcW w:w="1134" w:type="dxa"/>
          </w:tcPr>
          <w:p w14:paraId="4C020CEF" w14:textId="77777777" w:rsidR="00AD1F54" w:rsidRPr="00264D5D" w:rsidRDefault="00941227">
            <w:pPr>
              <w:pStyle w:val="GOSTTablenorm"/>
            </w:pPr>
            <w:r w:rsidRPr="00264D5D">
              <w:t>Т(1-9)</w:t>
            </w:r>
          </w:p>
        </w:tc>
        <w:tc>
          <w:tcPr>
            <w:tcW w:w="567" w:type="dxa"/>
          </w:tcPr>
          <w:p w14:paraId="05B715E1" w14:textId="77777777" w:rsidR="00AD1F54" w:rsidRPr="00264D5D" w:rsidRDefault="00941227">
            <w:pPr>
              <w:pStyle w:val="GOSTTablenorm"/>
              <w:jc w:val="center"/>
            </w:pPr>
            <w:r w:rsidRPr="00264D5D">
              <w:t>Н</w:t>
            </w:r>
          </w:p>
        </w:tc>
        <w:tc>
          <w:tcPr>
            <w:tcW w:w="3963" w:type="dxa"/>
          </w:tcPr>
          <w:p w14:paraId="5BCEFF2D" w14:textId="77777777" w:rsidR="00AD1F54" w:rsidRPr="00264D5D" w:rsidRDefault="00941227">
            <w:pPr>
              <w:pStyle w:val="GOSTTablenorm"/>
            </w:pPr>
            <w:r w:rsidRPr="00264D5D">
              <w:t>Указывается КПП плательщика.</w:t>
            </w:r>
          </w:p>
          <w:p w14:paraId="2F204228" w14:textId="77777777" w:rsidR="00AD1F54" w:rsidRPr="00264D5D" w:rsidRDefault="00941227">
            <w:pPr>
              <w:pStyle w:val="GOSTTablenorm"/>
              <w:rPr>
                <w:szCs w:val="22"/>
              </w:rPr>
            </w:pPr>
            <w:r w:rsidRPr="00264D5D">
              <w:rPr>
                <w:szCs w:val="22"/>
              </w:rPr>
              <w:t>В случае уточнения расчетного документа или поручения о перечислении на счет заполняется в соответствии с уточняемым документом.</w:t>
            </w:r>
          </w:p>
          <w:p w14:paraId="0396C616" w14:textId="77777777" w:rsidR="00AD1F54" w:rsidRPr="00264D5D" w:rsidRDefault="00941227">
            <w:pPr>
              <w:pStyle w:val="GOSTTablenorm"/>
              <w:rPr>
                <w:szCs w:val="22"/>
              </w:rPr>
            </w:pPr>
            <w:r w:rsidRPr="00264D5D">
              <w:rPr>
                <w:szCs w:val="22"/>
              </w:rPr>
              <w:t>В остальн</w:t>
            </w:r>
            <w:r w:rsidR="00676E27" w:rsidRPr="00264D5D">
              <w:rPr>
                <w:szCs w:val="22"/>
              </w:rPr>
              <w:t>ых случаях может не заполняться</w:t>
            </w:r>
          </w:p>
        </w:tc>
      </w:tr>
      <w:tr w:rsidR="00AD1F54" w:rsidRPr="00264D5D" w14:paraId="318B2A45" w14:textId="77777777" w:rsidTr="00AD1F54">
        <w:trPr>
          <w:cnfStyle w:val="000000010000" w:firstRow="0" w:lastRow="0" w:firstColumn="0" w:lastColumn="0" w:oddVBand="0" w:evenVBand="0" w:oddHBand="0" w:evenHBand="1" w:firstRowFirstColumn="0" w:firstRowLastColumn="0" w:lastRowFirstColumn="0" w:lastRowLastColumn="0"/>
          <w:trHeight w:val="70"/>
        </w:trPr>
        <w:tc>
          <w:tcPr>
            <w:tcW w:w="1701" w:type="dxa"/>
          </w:tcPr>
          <w:p w14:paraId="2B550666" w14:textId="77777777" w:rsidR="00AD1F54" w:rsidRPr="00264D5D" w:rsidRDefault="00941227">
            <w:pPr>
              <w:pStyle w:val="GOSTTablenorm"/>
              <w:rPr>
                <w:szCs w:val="22"/>
              </w:rPr>
            </w:pPr>
            <w:r w:rsidRPr="00264D5D">
              <w:t>Номер банковского счета плательщика</w:t>
            </w:r>
          </w:p>
        </w:tc>
        <w:tc>
          <w:tcPr>
            <w:tcW w:w="1701" w:type="dxa"/>
          </w:tcPr>
          <w:p w14:paraId="77E32E33" w14:textId="77777777" w:rsidR="00AD1F54" w:rsidRPr="00264D5D" w:rsidRDefault="00941227">
            <w:pPr>
              <w:pStyle w:val="GOSTTablenorm"/>
              <w:rPr>
                <w:lang w:val="en-US"/>
              </w:rPr>
            </w:pPr>
            <w:r w:rsidRPr="00264D5D">
              <w:rPr>
                <w:lang w:val="en-US"/>
              </w:rPr>
              <w:t>ChckngAc</w:t>
            </w:r>
          </w:p>
        </w:tc>
        <w:tc>
          <w:tcPr>
            <w:tcW w:w="567" w:type="dxa"/>
          </w:tcPr>
          <w:p w14:paraId="61704EBD" w14:textId="77777777" w:rsidR="00AD1F54" w:rsidRPr="00264D5D" w:rsidRDefault="00941227">
            <w:pPr>
              <w:pStyle w:val="GOSTTablenorm"/>
              <w:jc w:val="center"/>
            </w:pPr>
            <w:r w:rsidRPr="00264D5D">
              <w:t>П</w:t>
            </w:r>
          </w:p>
        </w:tc>
        <w:tc>
          <w:tcPr>
            <w:tcW w:w="1134" w:type="dxa"/>
          </w:tcPr>
          <w:p w14:paraId="2C899E60" w14:textId="77777777" w:rsidR="00AD1F54" w:rsidRPr="00264D5D" w:rsidRDefault="00941227">
            <w:pPr>
              <w:pStyle w:val="GOSTTablenorm"/>
            </w:pPr>
            <w:r w:rsidRPr="00264D5D">
              <w:t>Т(20)</w:t>
            </w:r>
          </w:p>
        </w:tc>
        <w:tc>
          <w:tcPr>
            <w:tcW w:w="567" w:type="dxa"/>
          </w:tcPr>
          <w:p w14:paraId="368D8A10" w14:textId="77777777" w:rsidR="00AD1F54" w:rsidRPr="00264D5D" w:rsidRDefault="00941227">
            <w:pPr>
              <w:pStyle w:val="GOSTTablenorm"/>
              <w:jc w:val="center"/>
            </w:pPr>
            <w:r w:rsidRPr="00264D5D">
              <w:t>Н</w:t>
            </w:r>
          </w:p>
        </w:tc>
        <w:tc>
          <w:tcPr>
            <w:tcW w:w="3963" w:type="dxa"/>
          </w:tcPr>
          <w:p w14:paraId="6EF662B3" w14:textId="77777777" w:rsidR="00AD1F54" w:rsidRPr="00264D5D" w:rsidRDefault="00941227">
            <w:pPr>
              <w:pStyle w:val="GOSTTablenorm"/>
            </w:pPr>
            <w:r w:rsidRPr="00264D5D">
              <w:t>Указывается номер банковского счета плательщика.</w:t>
            </w:r>
          </w:p>
          <w:p w14:paraId="7D355387" w14:textId="77777777" w:rsidR="00AD1F54" w:rsidRPr="00264D5D" w:rsidRDefault="00941227">
            <w:pPr>
              <w:pStyle w:val="GOSTTablenorm"/>
              <w:rPr>
                <w:szCs w:val="22"/>
              </w:rPr>
            </w:pPr>
            <w:r w:rsidRPr="00264D5D">
              <w:rPr>
                <w:szCs w:val="22"/>
              </w:rPr>
              <w:t xml:space="preserve">В случае уточнения расчетного документа или поручения о перечислении на счет заполняется в соответствии с уточняемым документом. </w:t>
            </w:r>
          </w:p>
          <w:p w14:paraId="01D24E78" w14:textId="77777777" w:rsidR="00AD1F54" w:rsidRPr="00264D5D" w:rsidRDefault="00941227">
            <w:pPr>
              <w:pStyle w:val="GOSTTablenorm"/>
              <w:rPr>
                <w:szCs w:val="22"/>
              </w:rPr>
            </w:pPr>
            <w:r w:rsidRPr="00264D5D">
              <w:rPr>
                <w:szCs w:val="22"/>
              </w:rPr>
              <w:t>В случае уточнения поступления в иностранной валюте по документу «Извещение о поступлении в иностранной валюте» заполняется в соответствии с данными реквизита «Номер счета плательщика» уточняемого документа.</w:t>
            </w:r>
          </w:p>
          <w:p w14:paraId="7C18FEC6" w14:textId="77777777" w:rsidR="00AD1F54" w:rsidRPr="00264D5D" w:rsidRDefault="00941227">
            <w:pPr>
              <w:pStyle w:val="GOSTTablenorm"/>
              <w:rPr>
                <w:szCs w:val="22"/>
              </w:rPr>
            </w:pPr>
            <w:r w:rsidRPr="00264D5D">
              <w:rPr>
                <w:szCs w:val="22"/>
              </w:rPr>
              <w:t>В случае уточнения кассовых выплат в иностранной валюте в порядке безналичного перечисления иностранной валюты по документу «Заявление на проведение операций с иностранной валютой» заполняется в соответствии с данными реквизита «Номер счета перевододателя» раздела «Перевод» уточняемого документа.</w:t>
            </w:r>
          </w:p>
          <w:p w14:paraId="65F2E013" w14:textId="77777777" w:rsidR="00AD1F54" w:rsidRPr="00264D5D" w:rsidRDefault="00941227">
            <w:pPr>
              <w:pStyle w:val="GOSTTablenorm"/>
              <w:rPr>
                <w:szCs w:val="22"/>
              </w:rPr>
            </w:pPr>
            <w:r w:rsidRPr="00264D5D">
              <w:rPr>
                <w:szCs w:val="22"/>
              </w:rPr>
              <w:t>В остальн</w:t>
            </w:r>
            <w:r w:rsidR="00676E27" w:rsidRPr="00264D5D">
              <w:rPr>
                <w:szCs w:val="22"/>
              </w:rPr>
              <w:t>ых случаях может не заполняться</w:t>
            </w:r>
          </w:p>
        </w:tc>
      </w:tr>
    </w:tbl>
    <w:p w14:paraId="42E16C16" w14:textId="77777777" w:rsidR="00AD1F54" w:rsidRPr="00264D5D" w:rsidRDefault="00941227">
      <w:pPr>
        <w:pStyle w:val="31"/>
      </w:pPr>
      <w:bookmarkStart w:id="1750" w:name="_Toc508712723"/>
      <w:bookmarkStart w:id="1751" w:name="_Toc18509349"/>
      <w:bookmarkStart w:id="1752" w:name="OLE_LINK157"/>
      <w:bookmarkEnd w:id="1745"/>
      <w:r w:rsidRPr="00264D5D">
        <w:t xml:space="preserve"> </w:t>
      </w:r>
      <w:bookmarkStart w:id="1753" w:name="_Toc219309630"/>
      <w:r w:rsidRPr="00264D5D">
        <w:t>Описание комплексного типа «tSGNNmPsPh»</w:t>
      </w:r>
      <w:bookmarkEnd w:id="1750"/>
      <w:bookmarkEnd w:id="1751"/>
      <w:bookmarkEnd w:id="1753"/>
    </w:p>
    <w:p w14:paraId="5CFC6BB8" w14:textId="77777777" w:rsidR="00AD1F54" w:rsidRPr="00264D5D" w:rsidRDefault="00941227">
      <w:pPr>
        <w:pStyle w:val="GOSTNormal"/>
      </w:pPr>
      <w:r w:rsidRPr="00264D5D">
        <w:t xml:space="preserve">Описание комплексного типа </w:t>
      </w:r>
      <w:r w:rsidRPr="00264D5D">
        <w:rPr>
          <w:rFonts w:eastAsia="Calibri"/>
        </w:rPr>
        <w:t>«</w:t>
      </w:r>
      <w:r w:rsidRPr="00264D5D">
        <w:rPr>
          <w:szCs w:val="22"/>
          <w:lang w:val="en-US"/>
        </w:rPr>
        <w:t>tSGNNmPsPh</w:t>
      </w:r>
      <w:r w:rsidRPr="00264D5D">
        <w:t>» блока «Информация об ответственном исполнителе».</w:t>
      </w:r>
    </w:p>
    <w:p w14:paraId="5ABD68FA" w14:textId="53A27471" w:rsidR="00AD1F54" w:rsidRPr="00264D5D" w:rsidRDefault="001E5517">
      <w:pPr>
        <w:pStyle w:val="GOSTNameTable"/>
        <w:numPr>
          <w:ilvl w:val="0"/>
          <w:numId w:val="2"/>
        </w:numPr>
        <w:ind w:left="425" w:hanging="357"/>
      </w:pPr>
      <w:r w:rsidRPr="00264D5D">
        <w:rPr>
          <w:noProof/>
        </w:rPr>
        <w:lastRenderedPageBreak/>
        <w:fldChar w:fldCharType="begin"/>
      </w:r>
      <w:r w:rsidRPr="00264D5D">
        <w:rPr>
          <w:noProof/>
        </w:rPr>
        <w:instrText xml:space="preserve"> SEQ Таблица \* ARABIC </w:instrText>
      </w:r>
      <w:r w:rsidRPr="00264D5D">
        <w:rPr>
          <w:noProof/>
        </w:rPr>
        <w:fldChar w:fldCharType="separate"/>
      </w:r>
      <w:bookmarkStart w:id="1754" w:name="_Ref503543910"/>
      <w:bookmarkStart w:id="1755" w:name="_Toc18509627"/>
      <w:bookmarkStart w:id="1756" w:name="_Toc219309204"/>
      <w:r w:rsidR="008D797C">
        <w:rPr>
          <w:noProof/>
        </w:rPr>
        <w:t>174</w:t>
      </w:r>
      <w:bookmarkEnd w:id="1754"/>
      <w:r w:rsidRPr="00264D5D">
        <w:rPr>
          <w:noProof/>
        </w:rPr>
        <w:fldChar w:fldCharType="end"/>
      </w:r>
      <w:r w:rsidR="00941227" w:rsidRPr="00264D5D">
        <w:t xml:space="preserve"> – Описание комплексного типа «tSGNNmPsPh»</w:t>
      </w:r>
      <w:bookmarkEnd w:id="1752"/>
      <w:bookmarkEnd w:id="1755"/>
      <w:bookmarkEnd w:id="1756"/>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394380B2"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2F7137AE" w14:textId="77777777" w:rsidR="00AD1F54" w:rsidRPr="00264D5D" w:rsidRDefault="00941227">
            <w:pPr>
              <w:pStyle w:val="ASFKTableHead"/>
            </w:pPr>
            <w:r w:rsidRPr="00264D5D">
              <w:t>Наименование элемента</w:t>
            </w:r>
          </w:p>
        </w:tc>
        <w:tc>
          <w:tcPr>
            <w:tcW w:w="1701" w:type="dxa"/>
          </w:tcPr>
          <w:p w14:paraId="2571E787" w14:textId="77777777" w:rsidR="00AD1F54" w:rsidRPr="00264D5D" w:rsidRDefault="00941227">
            <w:pPr>
              <w:pStyle w:val="ASFKTableHead"/>
            </w:pPr>
            <w:r w:rsidRPr="00264D5D">
              <w:t>Сокращенное наименование (код) элемента</w:t>
            </w:r>
          </w:p>
        </w:tc>
        <w:tc>
          <w:tcPr>
            <w:tcW w:w="567" w:type="dxa"/>
          </w:tcPr>
          <w:p w14:paraId="1DCBED4D" w14:textId="77777777" w:rsidR="00AD1F54" w:rsidRPr="00264D5D" w:rsidRDefault="00941227">
            <w:pPr>
              <w:pStyle w:val="ASFKTableHead"/>
            </w:pPr>
            <w:r w:rsidRPr="00264D5D">
              <w:t>Тип</w:t>
            </w:r>
          </w:p>
        </w:tc>
        <w:tc>
          <w:tcPr>
            <w:tcW w:w="1134" w:type="dxa"/>
          </w:tcPr>
          <w:p w14:paraId="335B72D9" w14:textId="77777777" w:rsidR="00AD1F54" w:rsidRPr="00264D5D" w:rsidRDefault="00941227">
            <w:pPr>
              <w:pStyle w:val="ASFKTableHead"/>
            </w:pPr>
            <w:r w:rsidRPr="00264D5D">
              <w:t>Формат элемента</w:t>
            </w:r>
          </w:p>
        </w:tc>
        <w:tc>
          <w:tcPr>
            <w:tcW w:w="567" w:type="dxa"/>
          </w:tcPr>
          <w:p w14:paraId="5651BA6F" w14:textId="77777777" w:rsidR="00AD1F54" w:rsidRPr="00264D5D" w:rsidRDefault="00941227">
            <w:pPr>
              <w:pStyle w:val="ASFKTableHead"/>
            </w:pPr>
            <w:r w:rsidRPr="00264D5D">
              <w:t>Обязательность</w:t>
            </w:r>
          </w:p>
        </w:tc>
        <w:tc>
          <w:tcPr>
            <w:tcW w:w="3963" w:type="dxa"/>
          </w:tcPr>
          <w:p w14:paraId="186A18BB" w14:textId="77777777" w:rsidR="00AD1F54" w:rsidRPr="00264D5D" w:rsidRDefault="00941227">
            <w:pPr>
              <w:pStyle w:val="ASFKTableHead"/>
            </w:pPr>
            <w:r w:rsidRPr="00264D5D">
              <w:t>Дополнительная информация</w:t>
            </w:r>
          </w:p>
        </w:tc>
      </w:tr>
      <w:tr w:rsidR="00AD1F54" w:rsidRPr="00264D5D" w14:paraId="391685B4"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DAD006E" w14:textId="77777777" w:rsidR="00AD1F54" w:rsidRPr="00264D5D" w:rsidRDefault="00941227">
            <w:pPr>
              <w:pStyle w:val="GOSTTablenorm"/>
              <w:rPr>
                <w:szCs w:val="22"/>
              </w:rPr>
            </w:pPr>
            <w:r w:rsidRPr="00264D5D">
              <w:t>Должность ответственного исполнителя</w:t>
            </w:r>
          </w:p>
        </w:tc>
        <w:tc>
          <w:tcPr>
            <w:tcW w:w="1701" w:type="dxa"/>
          </w:tcPr>
          <w:p w14:paraId="20F67F03" w14:textId="77777777" w:rsidR="00AD1F54" w:rsidRPr="00264D5D" w:rsidRDefault="00941227">
            <w:pPr>
              <w:pStyle w:val="GOSTTablenorm"/>
              <w:rPr>
                <w:lang w:val="en-US"/>
              </w:rPr>
            </w:pPr>
            <w:r w:rsidRPr="00264D5D">
              <w:rPr>
                <w:lang w:val="en-US"/>
              </w:rPr>
              <w:t>Pst</w:t>
            </w:r>
          </w:p>
        </w:tc>
        <w:tc>
          <w:tcPr>
            <w:tcW w:w="567" w:type="dxa"/>
          </w:tcPr>
          <w:p w14:paraId="2B736417" w14:textId="77777777" w:rsidR="00AD1F54" w:rsidRPr="00264D5D" w:rsidRDefault="00941227">
            <w:pPr>
              <w:pStyle w:val="GOSTTablenorm"/>
              <w:jc w:val="center"/>
            </w:pPr>
            <w:r w:rsidRPr="00264D5D">
              <w:t>П</w:t>
            </w:r>
          </w:p>
        </w:tc>
        <w:tc>
          <w:tcPr>
            <w:tcW w:w="1134" w:type="dxa"/>
          </w:tcPr>
          <w:p w14:paraId="04D3A392" w14:textId="77777777" w:rsidR="00AD1F54" w:rsidRPr="00264D5D" w:rsidRDefault="00941227">
            <w:pPr>
              <w:pStyle w:val="GOSTTablenorm"/>
            </w:pPr>
            <w:r w:rsidRPr="00264D5D">
              <w:t>Т(1-100)</w:t>
            </w:r>
          </w:p>
        </w:tc>
        <w:tc>
          <w:tcPr>
            <w:tcW w:w="567" w:type="dxa"/>
          </w:tcPr>
          <w:p w14:paraId="4636CA04" w14:textId="77777777" w:rsidR="00AD1F54" w:rsidRPr="00264D5D" w:rsidRDefault="00941227">
            <w:pPr>
              <w:pStyle w:val="GOSTTablenorm"/>
              <w:jc w:val="center"/>
            </w:pPr>
            <w:r w:rsidRPr="00264D5D">
              <w:t>О</w:t>
            </w:r>
          </w:p>
        </w:tc>
        <w:tc>
          <w:tcPr>
            <w:tcW w:w="3963" w:type="dxa"/>
          </w:tcPr>
          <w:p w14:paraId="3EF0DB36" w14:textId="77777777" w:rsidR="00AD1F54" w:rsidRPr="00264D5D" w:rsidRDefault="00941227">
            <w:pPr>
              <w:pStyle w:val="GOSTTablenorm"/>
              <w:rPr>
                <w:szCs w:val="22"/>
              </w:rPr>
            </w:pPr>
            <w:r w:rsidRPr="00264D5D">
              <w:t>Должность работника, ответственного за прав</w:t>
            </w:r>
            <w:r w:rsidR="00676E27" w:rsidRPr="00264D5D">
              <w:t>ильность формирования документа</w:t>
            </w:r>
          </w:p>
        </w:tc>
      </w:tr>
      <w:tr w:rsidR="00AD1F54" w:rsidRPr="00264D5D" w14:paraId="78361A9E"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30141120" w14:textId="77777777" w:rsidR="00AD1F54" w:rsidRPr="00264D5D" w:rsidRDefault="00941227">
            <w:pPr>
              <w:pStyle w:val="GOSTTablenorm"/>
              <w:rPr>
                <w:szCs w:val="22"/>
              </w:rPr>
            </w:pPr>
            <w:r w:rsidRPr="00264D5D">
              <w:t>ФИО ответственного исполнителя</w:t>
            </w:r>
          </w:p>
        </w:tc>
        <w:tc>
          <w:tcPr>
            <w:tcW w:w="1701" w:type="dxa"/>
          </w:tcPr>
          <w:p w14:paraId="0CE1BE16" w14:textId="77777777" w:rsidR="00AD1F54" w:rsidRPr="00264D5D" w:rsidRDefault="00941227">
            <w:pPr>
              <w:pStyle w:val="GOSTTablenorm"/>
            </w:pPr>
            <w:r w:rsidRPr="00264D5D">
              <w:rPr>
                <w:lang w:val="en-US"/>
              </w:rPr>
              <w:t>FIO</w:t>
            </w:r>
          </w:p>
        </w:tc>
        <w:tc>
          <w:tcPr>
            <w:tcW w:w="567" w:type="dxa"/>
          </w:tcPr>
          <w:p w14:paraId="4B461414" w14:textId="77777777" w:rsidR="00AD1F54" w:rsidRPr="00264D5D" w:rsidRDefault="00941227">
            <w:pPr>
              <w:pStyle w:val="GOSTTablenorm"/>
              <w:jc w:val="center"/>
            </w:pPr>
            <w:r w:rsidRPr="00264D5D">
              <w:t>П</w:t>
            </w:r>
          </w:p>
        </w:tc>
        <w:tc>
          <w:tcPr>
            <w:tcW w:w="1134" w:type="dxa"/>
          </w:tcPr>
          <w:p w14:paraId="5A7D250C" w14:textId="77777777" w:rsidR="00AD1F54" w:rsidRPr="00264D5D" w:rsidRDefault="00941227">
            <w:pPr>
              <w:pStyle w:val="GOSTTablenorm"/>
            </w:pPr>
            <w:r w:rsidRPr="00264D5D">
              <w:t>Т(1-50)</w:t>
            </w:r>
          </w:p>
        </w:tc>
        <w:tc>
          <w:tcPr>
            <w:tcW w:w="567" w:type="dxa"/>
          </w:tcPr>
          <w:p w14:paraId="0E0318C6" w14:textId="77777777" w:rsidR="00AD1F54" w:rsidRPr="00264D5D" w:rsidRDefault="00941227">
            <w:pPr>
              <w:pStyle w:val="GOSTTablenorm"/>
              <w:jc w:val="center"/>
            </w:pPr>
            <w:r w:rsidRPr="00264D5D">
              <w:t>О</w:t>
            </w:r>
          </w:p>
        </w:tc>
        <w:tc>
          <w:tcPr>
            <w:tcW w:w="3963" w:type="dxa"/>
          </w:tcPr>
          <w:p w14:paraId="27DA2E7C" w14:textId="77777777" w:rsidR="00AD1F54" w:rsidRPr="00264D5D" w:rsidRDefault="00941227">
            <w:pPr>
              <w:pStyle w:val="GOSTTablenorm"/>
              <w:rPr>
                <w:szCs w:val="22"/>
              </w:rPr>
            </w:pPr>
            <w:r w:rsidRPr="00264D5D">
              <w:t xml:space="preserve">Расшифровка подписи работника, ответственного за правильность формирования документа, </w:t>
            </w:r>
            <w:r w:rsidR="00676E27" w:rsidRPr="00264D5D">
              <w:t>с указанием инициалов и фамилии</w:t>
            </w:r>
          </w:p>
        </w:tc>
      </w:tr>
      <w:tr w:rsidR="00AD1F54" w:rsidRPr="00264D5D" w14:paraId="5545F978"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EA81BDB" w14:textId="77777777" w:rsidR="00AD1F54" w:rsidRPr="00264D5D" w:rsidRDefault="00941227">
            <w:pPr>
              <w:pStyle w:val="GOSTTablenorm"/>
              <w:rPr>
                <w:szCs w:val="22"/>
              </w:rPr>
            </w:pPr>
            <w:r w:rsidRPr="00264D5D">
              <w:t>Телефон ответственного исполнителя</w:t>
            </w:r>
          </w:p>
        </w:tc>
        <w:tc>
          <w:tcPr>
            <w:tcW w:w="1701" w:type="dxa"/>
          </w:tcPr>
          <w:p w14:paraId="22416F29" w14:textId="77777777" w:rsidR="00AD1F54" w:rsidRPr="00264D5D" w:rsidRDefault="00941227">
            <w:pPr>
              <w:pStyle w:val="GOSTTablenorm"/>
              <w:rPr>
                <w:lang w:val="en-US"/>
              </w:rPr>
            </w:pPr>
            <w:r w:rsidRPr="00264D5D">
              <w:rPr>
                <w:lang w:val="en-US"/>
              </w:rPr>
              <w:t>Phn</w:t>
            </w:r>
          </w:p>
        </w:tc>
        <w:tc>
          <w:tcPr>
            <w:tcW w:w="567" w:type="dxa"/>
          </w:tcPr>
          <w:p w14:paraId="43524020" w14:textId="77777777" w:rsidR="00AD1F54" w:rsidRPr="00264D5D" w:rsidRDefault="00941227">
            <w:pPr>
              <w:pStyle w:val="GOSTTablenorm"/>
              <w:jc w:val="center"/>
            </w:pPr>
            <w:r w:rsidRPr="00264D5D">
              <w:t>П</w:t>
            </w:r>
          </w:p>
        </w:tc>
        <w:tc>
          <w:tcPr>
            <w:tcW w:w="1134" w:type="dxa"/>
          </w:tcPr>
          <w:p w14:paraId="4572E95C" w14:textId="77777777" w:rsidR="00AD1F54" w:rsidRPr="00264D5D" w:rsidRDefault="00941227">
            <w:pPr>
              <w:pStyle w:val="GOSTTablenorm"/>
            </w:pPr>
            <w:r w:rsidRPr="00264D5D">
              <w:t>Т(1-50)</w:t>
            </w:r>
          </w:p>
        </w:tc>
        <w:tc>
          <w:tcPr>
            <w:tcW w:w="567" w:type="dxa"/>
          </w:tcPr>
          <w:p w14:paraId="646F512D" w14:textId="77777777" w:rsidR="00AD1F54" w:rsidRPr="00264D5D" w:rsidRDefault="00941227">
            <w:pPr>
              <w:pStyle w:val="GOSTTablenorm"/>
              <w:jc w:val="center"/>
            </w:pPr>
            <w:r w:rsidRPr="00264D5D">
              <w:t>О</w:t>
            </w:r>
          </w:p>
        </w:tc>
        <w:tc>
          <w:tcPr>
            <w:tcW w:w="3963" w:type="dxa"/>
          </w:tcPr>
          <w:p w14:paraId="1D8A14A0" w14:textId="77777777" w:rsidR="00AD1F54" w:rsidRPr="00264D5D" w:rsidRDefault="00941227">
            <w:pPr>
              <w:pStyle w:val="GOSTTablenorm"/>
              <w:rPr>
                <w:szCs w:val="22"/>
              </w:rPr>
            </w:pPr>
            <w:r w:rsidRPr="00264D5D">
              <w:t>Номер телефона работника, ответственного за правильность формирования док</w:t>
            </w:r>
            <w:r w:rsidR="00676E27" w:rsidRPr="00264D5D">
              <w:t>умента, с указанием кода города</w:t>
            </w:r>
          </w:p>
        </w:tc>
      </w:tr>
    </w:tbl>
    <w:p w14:paraId="78804509" w14:textId="77777777" w:rsidR="00AD1F54" w:rsidRPr="00264D5D" w:rsidRDefault="00941227">
      <w:pPr>
        <w:pStyle w:val="31"/>
      </w:pPr>
      <w:bookmarkStart w:id="1757" w:name="_Toc18509350"/>
      <w:bookmarkStart w:id="1758" w:name="_Toc508712724"/>
      <w:bookmarkStart w:id="1759" w:name="OLE_LINK165"/>
      <w:bookmarkStart w:id="1760" w:name="OLE_LINK166"/>
      <w:r w:rsidRPr="00264D5D">
        <w:t xml:space="preserve"> </w:t>
      </w:r>
      <w:bookmarkStart w:id="1761" w:name="_Toc219309631"/>
      <w:r w:rsidRPr="00264D5D">
        <w:t>Описание комплексного типа «tSGNNmPsPh2»</w:t>
      </w:r>
      <w:bookmarkEnd w:id="1757"/>
      <w:bookmarkEnd w:id="1761"/>
    </w:p>
    <w:p w14:paraId="6BE55F4E" w14:textId="77777777" w:rsidR="00AD1F54" w:rsidRPr="00264D5D" w:rsidRDefault="00941227">
      <w:pPr>
        <w:pStyle w:val="GOSTNormal"/>
      </w:pPr>
      <w:r w:rsidRPr="00264D5D">
        <w:t xml:space="preserve">Описание комплексного типа </w:t>
      </w:r>
      <w:r w:rsidRPr="00264D5D">
        <w:rPr>
          <w:rFonts w:eastAsia="Calibri"/>
        </w:rPr>
        <w:t>«</w:t>
      </w:r>
      <w:r w:rsidRPr="00264D5D">
        <w:rPr>
          <w:szCs w:val="22"/>
          <w:lang w:val="en-US"/>
        </w:rPr>
        <w:t>tSGNNmPsPh</w:t>
      </w:r>
      <w:r w:rsidRPr="00264D5D">
        <w:rPr>
          <w:szCs w:val="22"/>
        </w:rPr>
        <w:t>2</w:t>
      </w:r>
      <w:r w:rsidRPr="00264D5D">
        <w:t>» блока «</w:t>
      </w:r>
      <w:r w:rsidRPr="00264D5D">
        <w:rPr>
          <w:szCs w:val="22"/>
        </w:rPr>
        <w:t>Информация об ответственном исполнителе ТОФК</w:t>
      </w:r>
      <w:r w:rsidRPr="00264D5D">
        <w:t>».</w:t>
      </w:r>
    </w:p>
    <w:p w14:paraId="5986290C" w14:textId="39E4CF77" w:rsidR="00AD1F54" w:rsidRPr="00264D5D" w:rsidRDefault="001E5517">
      <w:pPr>
        <w:pStyle w:val="GOSTNameTable"/>
        <w:numPr>
          <w:ilvl w:val="0"/>
          <w:numId w:val="2"/>
        </w:numPr>
        <w:ind w:left="425" w:hanging="357"/>
      </w:pPr>
      <w:r w:rsidRPr="00264D5D">
        <w:rPr>
          <w:noProof/>
        </w:rPr>
        <w:fldChar w:fldCharType="begin"/>
      </w:r>
      <w:r w:rsidRPr="00264D5D">
        <w:rPr>
          <w:noProof/>
        </w:rPr>
        <w:instrText xml:space="preserve"> SEQ Таблица \* ARABIC </w:instrText>
      </w:r>
      <w:r w:rsidRPr="00264D5D">
        <w:rPr>
          <w:noProof/>
        </w:rPr>
        <w:fldChar w:fldCharType="separate"/>
      </w:r>
      <w:bookmarkStart w:id="1762" w:name="_Ref530398572"/>
      <w:bookmarkStart w:id="1763" w:name="_Toc18509628"/>
      <w:bookmarkStart w:id="1764" w:name="_Toc219309205"/>
      <w:r w:rsidR="008D797C">
        <w:rPr>
          <w:noProof/>
        </w:rPr>
        <w:t>175</w:t>
      </w:r>
      <w:bookmarkEnd w:id="1762"/>
      <w:r w:rsidRPr="00264D5D">
        <w:rPr>
          <w:noProof/>
        </w:rPr>
        <w:fldChar w:fldCharType="end"/>
      </w:r>
      <w:r w:rsidR="00941227" w:rsidRPr="00264D5D">
        <w:t xml:space="preserve"> – Описание комплексного типа «tSGNNmPsPh2»</w:t>
      </w:r>
      <w:bookmarkEnd w:id="1763"/>
      <w:bookmarkEnd w:id="1764"/>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6B13F8DB"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0AE198FD" w14:textId="77777777" w:rsidR="00AD1F54" w:rsidRPr="00264D5D" w:rsidRDefault="00941227">
            <w:pPr>
              <w:pStyle w:val="ASFKTableHead"/>
            </w:pPr>
            <w:r w:rsidRPr="00264D5D">
              <w:t>Наименование элемента</w:t>
            </w:r>
          </w:p>
        </w:tc>
        <w:tc>
          <w:tcPr>
            <w:tcW w:w="1701" w:type="dxa"/>
          </w:tcPr>
          <w:p w14:paraId="0BB6DD68" w14:textId="77777777" w:rsidR="00AD1F54" w:rsidRPr="00264D5D" w:rsidRDefault="00941227">
            <w:pPr>
              <w:pStyle w:val="ASFKTableHead"/>
            </w:pPr>
            <w:r w:rsidRPr="00264D5D">
              <w:t>Сокращенное наименование (код) элемента</w:t>
            </w:r>
          </w:p>
        </w:tc>
        <w:tc>
          <w:tcPr>
            <w:tcW w:w="567" w:type="dxa"/>
          </w:tcPr>
          <w:p w14:paraId="01589ACE" w14:textId="77777777" w:rsidR="00AD1F54" w:rsidRPr="00264D5D" w:rsidRDefault="00941227">
            <w:pPr>
              <w:pStyle w:val="ASFKTableHead"/>
            </w:pPr>
            <w:r w:rsidRPr="00264D5D">
              <w:t>Тип</w:t>
            </w:r>
          </w:p>
        </w:tc>
        <w:tc>
          <w:tcPr>
            <w:tcW w:w="1134" w:type="dxa"/>
          </w:tcPr>
          <w:p w14:paraId="3F3770E8" w14:textId="77777777" w:rsidR="00AD1F54" w:rsidRPr="00264D5D" w:rsidRDefault="00941227">
            <w:pPr>
              <w:pStyle w:val="ASFKTableHead"/>
            </w:pPr>
            <w:r w:rsidRPr="00264D5D">
              <w:t>Формат элемента</w:t>
            </w:r>
          </w:p>
        </w:tc>
        <w:tc>
          <w:tcPr>
            <w:tcW w:w="567" w:type="dxa"/>
          </w:tcPr>
          <w:p w14:paraId="4CF3443B" w14:textId="77777777" w:rsidR="00AD1F54" w:rsidRPr="00264D5D" w:rsidRDefault="00941227">
            <w:pPr>
              <w:pStyle w:val="ASFKTableHead"/>
            </w:pPr>
            <w:r w:rsidRPr="00264D5D">
              <w:t>Обязательность</w:t>
            </w:r>
          </w:p>
        </w:tc>
        <w:tc>
          <w:tcPr>
            <w:tcW w:w="3963" w:type="dxa"/>
          </w:tcPr>
          <w:p w14:paraId="2B8D6978" w14:textId="77777777" w:rsidR="00AD1F54" w:rsidRPr="00264D5D" w:rsidRDefault="00941227">
            <w:pPr>
              <w:pStyle w:val="ASFKTableHead"/>
            </w:pPr>
            <w:r w:rsidRPr="00264D5D">
              <w:t>Дополнительная информация</w:t>
            </w:r>
          </w:p>
        </w:tc>
      </w:tr>
      <w:tr w:rsidR="00AD1F54" w:rsidRPr="00264D5D" w14:paraId="7219E466"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783EE8B5" w14:textId="77777777" w:rsidR="00AD1F54" w:rsidRPr="00264D5D" w:rsidRDefault="00941227">
            <w:pPr>
              <w:pStyle w:val="GOSTTablenorm"/>
              <w:rPr>
                <w:szCs w:val="22"/>
              </w:rPr>
            </w:pPr>
            <w:r w:rsidRPr="00264D5D">
              <w:t xml:space="preserve">Должность исполнителя </w:t>
            </w:r>
            <w:r w:rsidRPr="00264D5D">
              <w:rPr>
                <w:szCs w:val="22"/>
              </w:rPr>
              <w:t>ТОФК</w:t>
            </w:r>
          </w:p>
        </w:tc>
        <w:tc>
          <w:tcPr>
            <w:tcW w:w="1701" w:type="dxa"/>
          </w:tcPr>
          <w:p w14:paraId="20727166" w14:textId="77777777" w:rsidR="00AD1F54" w:rsidRPr="00264D5D" w:rsidRDefault="00941227">
            <w:pPr>
              <w:pStyle w:val="GOSTTablenorm"/>
              <w:rPr>
                <w:lang w:val="en-US"/>
              </w:rPr>
            </w:pPr>
            <w:r w:rsidRPr="00264D5D">
              <w:rPr>
                <w:lang w:val="en-US"/>
              </w:rPr>
              <w:t>Pst</w:t>
            </w:r>
          </w:p>
        </w:tc>
        <w:tc>
          <w:tcPr>
            <w:tcW w:w="567" w:type="dxa"/>
          </w:tcPr>
          <w:p w14:paraId="61752374" w14:textId="77777777" w:rsidR="00AD1F54" w:rsidRPr="00264D5D" w:rsidRDefault="00941227">
            <w:pPr>
              <w:pStyle w:val="GOSTTablenorm"/>
              <w:jc w:val="center"/>
            </w:pPr>
            <w:r w:rsidRPr="00264D5D">
              <w:t>П</w:t>
            </w:r>
          </w:p>
        </w:tc>
        <w:tc>
          <w:tcPr>
            <w:tcW w:w="1134" w:type="dxa"/>
          </w:tcPr>
          <w:p w14:paraId="65DE0B54" w14:textId="77777777" w:rsidR="00AD1F54" w:rsidRPr="00264D5D" w:rsidRDefault="00941227">
            <w:pPr>
              <w:pStyle w:val="GOSTTablenorm"/>
            </w:pPr>
            <w:r w:rsidRPr="00264D5D">
              <w:t>Т(1-100)</w:t>
            </w:r>
          </w:p>
        </w:tc>
        <w:tc>
          <w:tcPr>
            <w:tcW w:w="567" w:type="dxa"/>
          </w:tcPr>
          <w:p w14:paraId="12658ED4" w14:textId="77777777" w:rsidR="00AD1F54" w:rsidRPr="00264D5D" w:rsidRDefault="00941227">
            <w:pPr>
              <w:pStyle w:val="GOSTTablenorm"/>
              <w:jc w:val="center"/>
            </w:pPr>
            <w:r w:rsidRPr="00264D5D">
              <w:t>Н</w:t>
            </w:r>
          </w:p>
        </w:tc>
        <w:tc>
          <w:tcPr>
            <w:tcW w:w="3963" w:type="dxa"/>
          </w:tcPr>
          <w:p w14:paraId="5D25116A" w14:textId="77777777" w:rsidR="00AD1F54" w:rsidRPr="00264D5D" w:rsidRDefault="00941227">
            <w:pPr>
              <w:pStyle w:val="GOSTTablenorm"/>
            </w:pPr>
            <w:r w:rsidRPr="00264D5D">
              <w:t xml:space="preserve">Должность работника </w:t>
            </w:r>
            <w:r w:rsidRPr="00264D5D">
              <w:rPr>
                <w:szCs w:val="22"/>
              </w:rPr>
              <w:t>ТОФК</w:t>
            </w:r>
            <w:r w:rsidRPr="00264D5D">
              <w:t>, ответ</w:t>
            </w:r>
            <w:r w:rsidR="00676E27" w:rsidRPr="00264D5D">
              <w:t>ственного за принятие документа</w:t>
            </w:r>
          </w:p>
        </w:tc>
      </w:tr>
      <w:tr w:rsidR="00AD1F54" w:rsidRPr="00264D5D" w14:paraId="3D673E14"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665C158A" w14:textId="77777777" w:rsidR="00AD1F54" w:rsidRPr="00264D5D" w:rsidRDefault="00941227">
            <w:pPr>
              <w:pStyle w:val="GOSTTablenorm"/>
              <w:rPr>
                <w:szCs w:val="22"/>
              </w:rPr>
            </w:pPr>
            <w:r w:rsidRPr="00264D5D">
              <w:t xml:space="preserve">Исполнитель </w:t>
            </w:r>
            <w:r w:rsidRPr="00264D5D">
              <w:rPr>
                <w:szCs w:val="22"/>
              </w:rPr>
              <w:t>ТОФК</w:t>
            </w:r>
          </w:p>
        </w:tc>
        <w:tc>
          <w:tcPr>
            <w:tcW w:w="1701" w:type="dxa"/>
          </w:tcPr>
          <w:p w14:paraId="75B32BF7" w14:textId="77777777" w:rsidR="00AD1F54" w:rsidRPr="00264D5D" w:rsidRDefault="00941227">
            <w:pPr>
              <w:pStyle w:val="GOSTTablenorm"/>
              <w:rPr>
                <w:lang w:val="en-US"/>
              </w:rPr>
            </w:pPr>
            <w:r w:rsidRPr="00264D5D">
              <w:rPr>
                <w:lang w:val="en-US"/>
              </w:rPr>
              <w:t>FIO</w:t>
            </w:r>
          </w:p>
        </w:tc>
        <w:tc>
          <w:tcPr>
            <w:tcW w:w="567" w:type="dxa"/>
          </w:tcPr>
          <w:p w14:paraId="75AAA4F4" w14:textId="77777777" w:rsidR="00AD1F54" w:rsidRPr="00264D5D" w:rsidRDefault="00941227">
            <w:pPr>
              <w:pStyle w:val="GOSTTablenorm"/>
              <w:jc w:val="center"/>
            </w:pPr>
            <w:r w:rsidRPr="00264D5D">
              <w:t>П</w:t>
            </w:r>
          </w:p>
        </w:tc>
        <w:tc>
          <w:tcPr>
            <w:tcW w:w="1134" w:type="dxa"/>
          </w:tcPr>
          <w:p w14:paraId="2E871928" w14:textId="77777777" w:rsidR="00AD1F54" w:rsidRPr="00264D5D" w:rsidRDefault="00941227">
            <w:pPr>
              <w:pStyle w:val="GOSTTablenorm"/>
            </w:pPr>
            <w:r w:rsidRPr="00264D5D">
              <w:t>Т(1-50)</w:t>
            </w:r>
          </w:p>
        </w:tc>
        <w:tc>
          <w:tcPr>
            <w:tcW w:w="567" w:type="dxa"/>
          </w:tcPr>
          <w:p w14:paraId="0FDCD865" w14:textId="77777777" w:rsidR="00AD1F54" w:rsidRPr="00264D5D" w:rsidRDefault="00941227">
            <w:pPr>
              <w:pStyle w:val="GOSTTablenorm"/>
              <w:jc w:val="center"/>
            </w:pPr>
            <w:r w:rsidRPr="00264D5D">
              <w:t>Н</w:t>
            </w:r>
          </w:p>
        </w:tc>
        <w:tc>
          <w:tcPr>
            <w:tcW w:w="3963" w:type="dxa"/>
          </w:tcPr>
          <w:p w14:paraId="26664B66" w14:textId="77777777" w:rsidR="00AD1F54" w:rsidRPr="00264D5D" w:rsidRDefault="00941227">
            <w:pPr>
              <w:pStyle w:val="GOSTTablenorm"/>
            </w:pPr>
            <w:r w:rsidRPr="00264D5D">
              <w:t xml:space="preserve">Расшифровка подписи работника </w:t>
            </w:r>
            <w:r w:rsidRPr="00264D5D">
              <w:rPr>
                <w:szCs w:val="22"/>
              </w:rPr>
              <w:t>ТОФК</w:t>
            </w:r>
            <w:r w:rsidRPr="00264D5D">
              <w:t xml:space="preserve">, ответственного за принятие документа, </w:t>
            </w:r>
            <w:r w:rsidR="00676E27" w:rsidRPr="00264D5D">
              <w:t>с указанием инициалов и фамилии</w:t>
            </w:r>
          </w:p>
        </w:tc>
      </w:tr>
      <w:tr w:rsidR="00AD1F54" w:rsidRPr="00264D5D" w14:paraId="49749F5A"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CC55DAE" w14:textId="77777777" w:rsidR="00AD1F54" w:rsidRPr="00264D5D" w:rsidRDefault="00941227">
            <w:pPr>
              <w:pStyle w:val="GOSTTablenorm"/>
              <w:rPr>
                <w:szCs w:val="22"/>
              </w:rPr>
            </w:pPr>
            <w:r w:rsidRPr="00264D5D">
              <w:t xml:space="preserve">Телефон исполнителя </w:t>
            </w:r>
            <w:r w:rsidRPr="00264D5D">
              <w:rPr>
                <w:szCs w:val="22"/>
              </w:rPr>
              <w:t>ТОФК</w:t>
            </w:r>
          </w:p>
        </w:tc>
        <w:tc>
          <w:tcPr>
            <w:tcW w:w="1701" w:type="dxa"/>
          </w:tcPr>
          <w:p w14:paraId="7AA7C2EF" w14:textId="77777777" w:rsidR="00AD1F54" w:rsidRPr="00264D5D" w:rsidRDefault="00941227">
            <w:pPr>
              <w:pStyle w:val="GOSTTablenorm"/>
              <w:rPr>
                <w:lang w:val="en-US"/>
              </w:rPr>
            </w:pPr>
            <w:r w:rsidRPr="00264D5D">
              <w:rPr>
                <w:lang w:val="en-US"/>
              </w:rPr>
              <w:t>Phn</w:t>
            </w:r>
          </w:p>
        </w:tc>
        <w:tc>
          <w:tcPr>
            <w:tcW w:w="567" w:type="dxa"/>
          </w:tcPr>
          <w:p w14:paraId="10EE4C27" w14:textId="77777777" w:rsidR="00AD1F54" w:rsidRPr="00264D5D" w:rsidRDefault="00941227">
            <w:pPr>
              <w:pStyle w:val="GOSTTablenorm"/>
              <w:jc w:val="center"/>
            </w:pPr>
            <w:r w:rsidRPr="00264D5D">
              <w:t>П</w:t>
            </w:r>
          </w:p>
        </w:tc>
        <w:tc>
          <w:tcPr>
            <w:tcW w:w="1134" w:type="dxa"/>
          </w:tcPr>
          <w:p w14:paraId="20EC3B6D" w14:textId="77777777" w:rsidR="00AD1F54" w:rsidRPr="00264D5D" w:rsidRDefault="00941227">
            <w:pPr>
              <w:pStyle w:val="GOSTTablenorm"/>
            </w:pPr>
            <w:r w:rsidRPr="00264D5D">
              <w:t>Т(1-50)</w:t>
            </w:r>
          </w:p>
        </w:tc>
        <w:tc>
          <w:tcPr>
            <w:tcW w:w="567" w:type="dxa"/>
          </w:tcPr>
          <w:p w14:paraId="21B09479" w14:textId="77777777" w:rsidR="00AD1F54" w:rsidRPr="00264D5D" w:rsidRDefault="00941227">
            <w:pPr>
              <w:pStyle w:val="GOSTTablenorm"/>
              <w:jc w:val="center"/>
            </w:pPr>
            <w:r w:rsidRPr="00264D5D">
              <w:t>Н</w:t>
            </w:r>
          </w:p>
        </w:tc>
        <w:tc>
          <w:tcPr>
            <w:tcW w:w="3963" w:type="dxa"/>
          </w:tcPr>
          <w:p w14:paraId="0E3CB190" w14:textId="77777777" w:rsidR="00AD1F54" w:rsidRPr="00264D5D" w:rsidRDefault="00941227">
            <w:pPr>
              <w:pStyle w:val="GOSTTablenorm"/>
            </w:pPr>
            <w:r w:rsidRPr="00264D5D">
              <w:t xml:space="preserve">Номер телефона работника </w:t>
            </w:r>
            <w:r w:rsidRPr="00264D5D">
              <w:rPr>
                <w:szCs w:val="22"/>
              </w:rPr>
              <w:t>ТОФК</w:t>
            </w:r>
            <w:r w:rsidRPr="00264D5D">
              <w:t>, ответственного за принятие док</w:t>
            </w:r>
            <w:r w:rsidR="00676E27" w:rsidRPr="00264D5D">
              <w:t>умента, с указанием кода города</w:t>
            </w:r>
          </w:p>
        </w:tc>
      </w:tr>
    </w:tbl>
    <w:p w14:paraId="1A1228D3" w14:textId="77777777" w:rsidR="00AD1F54" w:rsidRPr="00264D5D" w:rsidRDefault="00941227">
      <w:pPr>
        <w:pStyle w:val="31"/>
      </w:pPr>
      <w:bookmarkStart w:id="1765" w:name="_Toc18509351"/>
      <w:r w:rsidRPr="00264D5D">
        <w:t xml:space="preserve"> </w:t>
      </w:r>
      <w:bookmarkStart w:id="1766" w:name="_Toc219309632"/>
      <w:r w:rsidRPr="00264D5D">
        <w:t>Описание комплексного типа «tUFPP»</w:t>
      </w:r>
      <w:bookmarkEnd w:id="1758"/>
      <w:bookmarkEnd w:id="1765"/>
      <w:bookmarkEnd w:id="1766"/>
    </w:p>
    <w:p w14:paraId="45B4D40F" w14:textId="77777777" w:rsidR="00AD1F54" w:rsidRPr="00264D5D" w:rsidRDefault="00941227">
      <w:pPr>
        <w:pStyle w:val="GOSTNormal"/>
        <w:rPr>
          <w:szCs w:val="24"/>
        </w:rPr>
      </w:pPr>
      <w:r w:rsidRPr="00264D5D">
        <w:rPr>
          <w:szCs w:val="24"/>
        </w:rPr>
        <w:t xml:space="preserve">Описание комплексного типа </w:t>
      </w:r>
      <w:r w:rsidRPr="00264D5D">
        <w:rPr>
          <w:rFonts w:eastAsia="Calibri"/>
          <w:szCs w:val="24"/>
        </w:rPr>
        <w:t>«</w:t>
      </w:r>
      <w:r w:rsidRPr="00264D5D">
        <w:rPr>
          <w:szCs w:val="22"/>
        </w:rPr>
        <w:t>tUFPP</w:t>
      </w:r>
      <w:r w:rsidRPr="00264D5D">
        <w:rPr>
          <w:szCs w:val="24"/>
        </w:rPr>
        <w:t>» блока «</w:t>
      </w:r>
      <w:r w:rsidRPr="00264D5D">
        <w:t>Реквизиты уточняемого платежного документа</w:t>
      </w:r>
      <w:r w:rsidRPr="00264D5D">
        <w:rPr>
          <w:szCs w:val="24"/>
        </w:rPr>
        <w:t>».</w:t>
      </w:r>
    </w:p>
    <w:p w14:paraId="45382023" w14:textId="61C8B9F3" w:rsidR="00AD1F54" w:rsidRPr="00264D5D" w:rsidRDefault="001E5517">
      <w:pPr>
        <w:pStyle w:val="GOSTNameTable"/>
        <w:numPr>
          <w:ilvl w:val="0"/>
          <w:numId w:val="2"/>
        </w:numPr>
        <w:ind w:left="425" w:hanging="357"/>
      </w:pPr>
      <w:r w:rsidRPr="00264D5D">
        <w:rPr>
          <w:noProof/>
        </w:rPr>
        <w:lastRenderedPageBreak/>
        <w:fldChar w:fldCharType="begin"/>
      </w:r>
      <w:r w:rsidRPr="00264D5D">
        <w:rPr>
          <w:noProof/>
        </w:rPr>
        <w:instrText xml:space="preserve"> SEQ Таблица \* ARABIC </w:instrText>
      </w:r>
      <w:r w:rsidRPr="00264D5D">
        <w:rPr>
          <w:noProof/>
        </w:rPr>
        <w:fldChar w:fldCharType="separate"/>
      </w:r>
      <w:bookmarkStart w:id="1767" w:name="_Ref503544035"/>
      <w:bookmarkStart w:id="1768" w:name="_Toc18509629"/>
      <w:bookmarkStart w:id="1769" w:name="_Toc219309206"/>
      <w:r w:rsidR="008D797C">
        <w:rPr>
          <w:noProof/>
        </w:rPr>
        <w:t>176</w:t>
      </w:r>
      <w:bookmarkEnd w:id="1767"/>
      <w:r w:rsidRPr="00264D5D">
        <w:rPr>
          <w:noProof/>
        </w:rPr>
        <w:fldChar w:fldCharType="end"/>
      </w:r>
      <w:r w:rsidR="00941227" w:rsidRPr="00264D5D">
        <w:t xml:space="preserve"> – Описание комплексного типа «tUFPP»</w:t>
      </w:r>
      <w:bookmarkEnd w:id="1759"/>
      <w:bookmarkEnd w:id="1760"/>
      <w:bookmarkEnd w:id="1768"/>
      <w:bookmarkEnd w:id="1769"/>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7BE8158D"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1535ACA5" w14:textId="77777777" w:rsidR="00AD1F54" w:rsidRPr="00264D5D" w:rsidRDefault="00941227">
            <w:pPr>
              <w:pStyle w:val="ASFKTableHead"/>
            </w:pPr>
            <w:r w:rsidRPr="00264D5D">
              <w:t>Наименование комплексного типа</w:t>
            </w:r>
          </w:p>
        </w:tc>
        <w:tc>
          <w:tcPr>
            <w:tcW w:w="1701" w:type="dxa"/>
          </w:tcPr>
          <w:p w14:paraId="472CE5D2" w14:textId="77777777" w:rsidR="00AD1F54" w:rsidRPr="00264D5D" w:rsidRDefault="00941227">
            <w:pPr>
              <w:pStyle w:val="ASFKTableHead"/>
            </w:pPr>
            <w:r w:rsidRPr="00264D5D">
              <w:t>Текущий элемент/ атрибут</w:t>
            </w:r>
          </w:p>
        </w:tc>
        <w:tc>
          <w:tcPr>
            <w:tcW w:w="567" w:type="dxa"/>
          </w:tcPr>
          <w:p w14:paraId="207985C1" w14:textId="77777777" w:rsidR="00AD1F54" w:rsidRPr="00264D5D" w:rsidRDefault="00941227">
            <w:pPr>
              <w:pStyle w:val="ASFKTableHead"/>
            </w:pPr>
            <w:r w:rsidRPr="00264D5D">
              <w:t>Тип</w:t>
            </w:r>
          </w:p>
        </w:tc>
        <w:tc>
          <w:tcPr>
            <w:tcW w:w="1134" w:type="dxa"/>
          </w:tcPr>
          <w:p w14:paraId="710CF622" w14:textId="77777777" w:rsidR="00AD1F54" w:rsidRPr="00264D5D" w:rsidRDefault="00941227">
            <w:pPr>
              <w:pStyle w:val="ASFKTableHead"/>
            </w:pPr>
            <w:r w:rsidRPr="00264D5D">
              <w:t>Формат элемента</w:t>
            </w:r>
          </w:p>
        </w:tc>
        <w:tc>
          <w:tcPr>
            <w:tcW w:w="567" w:type="dxa"/>
          </w:tcPr>
          <w:p w14:paraId="194B58F6" w14:textId="77777777" w:rsidR="00AD1F54" w:rsidRPr="00264D5D" w:rsidRDefault="00941227">
            <w:pPr>
              <w:pStyle w:val="ASFKTableHead"/>
            </w:pPr>
            <w:r w:rsidRPr="00264D5D">
              <w:t>Обязательность</w:t>
            </w:r>
          </w:p>
        </w:tc>
        <w:tc>
          <w:tcPr>
            <w:tcW w:w="3963" w:type="dxa"/>
          </w:tcPr>
          <w:p w14:paraId="7AA08A57" w14:textId="77777777" w:rsidR="00AD1F54" w:rsidRPr="00264D5D" w:rsidRDefault="00941227">
            <w:pPr>
              <w:pStyle w:val="ASFKTableHead"/>
            </w:pPr>
            <w:r w:rsidRPr="00264D5D">
              <w:t>Дополнительная информация</w:t>
            </w:r>
          </w:p>
        </w:tc>
      </w:tr>
      <w:tr w:rsidR="00AD1F54" w:rsidRPr="00264D5D" w14:paraId="4FA73554"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18FBC6F" w14:textId="77777777" w:rsidR="00AD1F54" w:rsidRPr="00264D5D" w:rsidRDefault="00941227">
            <w:pPr>
              <w:pStyle w:val="GOSTTablenorm"/>
              <w:rPr>
                <w:szCs w:val="22"/>
              </w:rPr>
            </w:pPr>
            <w:r w:rsidRPr="00264D5D">
              <w:t>tUFPP</w:t>
            </w:r>
          </w:p>
        </w:tc>
        <w:tc>
          <w:tcPr>
            <w:tcW w:w="1701" w:type="dxa"/>
          </w:tcPr>
          <w:p w14:paraId="523CABB1" w14:textId="77777777" w:rsidR="00AD1F54" w:rsidRPr="00264D5D" w:rsidRDefault="00941227">
            <w:pPr>
              <w:pStyle w:val="GOSTTablenorm"/>
              <w:rPr>
                <w:lang w:val="en-US"/>
              </w:rPr>
            </w:pPr>
            <w:r w:rsidRPr="00264D5D">
              <w:rPr>
                <w:lang w:val="en-US"/>
              </w:rPr>
              <w:t>UFPP_ITEM</w:t>
            </w:r>
          </w:p>
        </w:tc>
        <w:tc>
          <w:tcPr>
            <w:tcW w:w="567" w:type="dxa"/>
          </w:tcPr>
          <w:p w14:paraId="7C937612" w14:textId="77777777" w:rsidR="00AD1F54" w:rsidRPr="00264D5D" w:rsidRDefault="00941227">
            <w:pPr>
              <w:pStyle w:val="GOSTTablenorm"/>
              <w:jc w:val="center"/>
            </w:pPr>
            <w:r w:rsidRPr="00264D5D">
              <w:t>С</w:t>
            </w:r>
          </w:p>
        </w:tc>
        <w:tc>
          <w:tcPr>
            <w:tcW w:w="1134" w:type="dxa"/>
          </w:tcPr>
          <w:p w14:paraId="40258966" w14:textId="77777777" w:rsidR="00AD1F54" w:rsidRPr="00264D5D" w:rsidRDefault="00941227">
            <w:pPr>
              <w:pStyle w:val="GOSTTablenorm"/>
            </w:pPr>
            <w:r w:rsidRPr="00264D5D">
              <w:t>tUFPP_ITEM</w:t>
            </w:r>
          </w:p>
        </w:tc>
        <w:tc>
          <w:tcPr>
            <w:tcW w:w="567" w:type="dxa"/>
          </w:tcPr>
          <w:p w14:paraId="7B14E771" w14:textId="77777777" w:rsidR="00AD1F54" w:rsidRPr="00264D5D" w:rsidRDefault="00941227">
            <w:pPr>
              <w:pStyle w:val="GOSTTablenorm"/>
              <w:jc w:val="center"/>
              <w:rPr>
                <w:lang w:val="en-US"/>
              </w:rPr>
            </w:pPr>
            <w:r w:rsidRPr="00264D5D">
              <w:rPr>
                <w:lang w:val="en-US"/>
              </w:rPr>
              <w:t>ОМ</w:t>
            </w:r>
          </w:p>
        </w:tc>
        <w:tc>
          <w:tcPr>
            <w:tcW w:w="3963" w:type="dxa"/>
          </w:tcPr>
          <w:p w14:paraId="6BFFCEA3" w14:textId="44C29271" w:rsidR="00AD1F54" w:rsidRPr="00264D5D" w:rsidRDefault="00941227">
            <w:pPr>
              <w:pStyle w:val="GOSTTablenorm"/>
            </w:pPr>
            <w:r w:rsidRPr="00264D5D">
              <w:t xml:space="preserve">Состав элемента представлен в таблице </w:t>
            </w:r>
            <w:r w:rsidRPr="00264D5D">
              <w:rPr>
                <w:b/>
              </w:rPr>
              <w:fldChar w:fldCharType="begin"/>
            </w:r>
            <w:r w:rsidRPr="00264D5D">
              <w:rPr>
                <w:b/>
              </w:rPr>
              <w:instrText xml:space="preserve"> REF _Ref503544156 \h  \* MERGEFORMAT </w:instrText>
            </w:r>
            <w:r w:rsidRPr="00264D5D">
              <w:rPr>
                <w:b/>
              </w:rPr>
            </w:r>
            <w:r w:rsidRPr="00264D5D">
              <w:rPr>
                <w:b/>
              </w:rPr>
              <w:fldChar w:fldCharType="separate"/>
            </w:r>
            <w:r w:rsidR="008D797C" w:rsidRPr="008D797C">
              <w:rPr>
                <w:b/>
              </w:rPr>
              <w:t>177</w:t>
            </w:r>
            <w:r w:rsidRPr="00264D5D">
              <w:rPr>
                <w:b/>
              </w:rPr>
              <w:fldChar w:fldCharType="end"/>
            </w:r>
          </w:p>
        </w:tc>
      </w:tr>
    </w:tbl>
    <w:p w14:paraId="5CB5C9EE" w14:textId="77777777" w:rsidR="00AD1F54" w:rsidRPr="00AD28B5" w:rsidRDefault="00941227">
      <w:pPr>
        <w:pStyle w:val="31"/>
        <w:rPr>
          <w:highlight w:val="green"/>
        </w:rPr>
      </w:pPr>
      <w:bookmarkStart w:id="1770" w:name="_Toc508712725"/>
      <w:bookmarkStart w:id="1771" w:name="_Toc18509352"/>
      <w:bookmarkStart w:id="1772" w:name="OLE_LINK178"/>
      <w:bookmarkStart w:id="1773" w:name="OLE_LINK179"/>
      <w:r w:rsidRPr="00264D5D">
        <w:t xml:space="preserve"> </w:t>
      </w:r>
      <w:bookmarkStart w:id="1774" w:name="_Toc219309633"/>
      <w:r w:rsidRPr="00AD28B5">
        <w:rPr>
          <w:highlight w:val="green"/>
        </w:rPr>
        <w:t>Описание комплексного типа «tUFPP_ITEM»</w:t>
      </w:r>
      <w:bookmarkEnd w:id="1770"/>
      <w:bookmarkEnd w:id="1771"/>
      <w:bookmarkEnd w:id="1774"/>
    </w:p>
    <w:p w14:paraId="45109750" w14:textId="77777777" w:rsidR="00AD1F54" w:rsidRPr="00264D5D" w:rsidRDefault="00941227">
      <w:pPr>
        <w:pStyle w:val="GOSTNormal"/>
        <w:rPr>
          <w:szCs w:val="24"/>
        </w:rPr>
      </w:pPr>
      <w:r w:rsidRPr="00264D5D">
        <w:rPr>
          <w:szCs w:val="24"/>
        </w:rPr>
        <w:t xml:space="preserve">Описание комплексного типа </w:t>
      </w:r>
      <w:r w:rsidRPr="00264D5D">
        <w:rPr>
          <w:rFonts w:eastAsia="Calibri"/>
          <w:szCs w:val="24"/>
        </w:rPr>
        <w:t>«</w:t>
      </w:r>
      <w:r w:rsidRPr="00264D5D">
        <w:rPr>
          <w:szCs w:val="22"/>
          <w:lang w:val="en-US"/>
        </w:rPr>
        <w:t>tUFPP</w:t>
      </w:r>
      <w:r w:rsidRPr="00264D5D">
        <w:rPr>
          <w:szCs w:val="22"/>
        </w:rPr>
        <w:t>_</w:t>
      </w:r>
      <w:r w:rsidRPr="00264D5D">
        <w:rPr>
          <w:szCs w:val="22"/>
          <w:lang w:val="en-US"/>
        </w:rPr>
        <w:t>ITEM</w:t>
      </w:r>
      <w:r w:rsidRPr="00264D5D">
        <w:rPr>
          <w:szCs w:val="24"/>
        </w:rPr>
        <w:t>» блока «</w:t>
      </w:r>
      <w:r w:rsidRPr="00264D5D">
        <w:t>Реквизиты уточняемого платежного документа (строки)</w:t>
      </w:r>
      <w:r w:rsidRPr="00264D5D">
        <w:rPr>
          <w:szCs w:val="24"/>
        </w:rPr>
        <w:t>».</w:t>
      </w:r>
    </w:p>
    <w:p w14:paraId="2889A876" w14:textId="15148AD5" w:rsidR="00AD1F54" w:rsidRPr="00AD28B5" w:rsidRDefault="001E5517">
      <w:pPr>
        <w:pStyle w:val="GOSTNameTable"/>
        <w:numPr>
          <w:ilvl w:val="0"/>
          <w:numId w:val="2"/>
        </w:numPr>
        <w:ind w:left="425" w:hanging="357"/>
        <w:rPr>
          <w:highlight w:val="green"/>
        </w:rPr>
      </w:pPr>
      <w:r w:rsidRPr="00AD28B5">
        <w:rPr>
          <w:noProof/>
          <w:highlight w:val="green"/>
        </w:rPr>
        <w:fldChar w:fldCharType="begin"/>
      </w:r>
      <w:r w:rsidRPr="00AD28B5">
        <w:rPr>
          <w:noProof/>
          <w:highlight w:val="green"/>
        </w:rPr>
        <w:instrText xml:space="preserve"> SEQ Таблица \* ARABIC </w:instrText>
      </w:r>
      <w:r w:rsidRPr="00AD28B5">
        <w:rPr>
          <w:noProof/>
          <w:highlight w:val="green"/>
        </w:rPr>
        <w:fldChar w:fldCharType="separate"/>
      </w:r>
      <w:bookmarkStart w:id="1775" w:name="_Ref503544156"/>
      <w:bookmarkStart w:id="1776" w:name="_Toc18509630"/>
      <w:bookmarkStart w:id="1777" w:name="_Toc219309207"/>
      <w:r w:rsidR="008D797C">
        <w:rPr>
          <w:noProof/>
          <w:highlight w:val="green"/>
        </w:rPr>
        <w:t>177</w:t>
      </w:r>
      <w:bookmarkEnd w:id="1775"/>
      <w:r w:rsidRPr="00AD28B5">
        <w:rPr>
          <w:noProof/>
          <w:highlight w:val="green"/>
        </w:rPr>
        <w:fldChar w:fldCharType="end"/>
      </w:r>
      <w:r w:rsidR="00941227" w:rsidRPr="00AD28B5">
        <w:rPr>
          <w:highlight w:val="green"/>
        </w:rPr>
        <w:t xml:space="preserve"> – Описание комплексного типа «tUFPP_ITEM»</w:t>
      </w:r>
      <w:bookmarkEnd w:id="1772"/>
      <w:bookmarkEnd w:id="1773"/>
      <w:bookmarkEnd w:id="1776"/>
      <w:bookmarkEnd w:id="1777"/>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2BEAF21F"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44108CE3" w14:textId="77777777" w:rsidR="00AD1F54" w:rsidRPr="00264D5D" w:rsidRDefault="00941227">
            <w:pPr>
              <w:pStyle w:val="ASFKTableHead"/>
            </w:pPr>
            <w:r w:rsidRPr="00264D5D">
              <w:t>Наименование элемента</w:t>
            </w:r>
          </w:p>
        </w:tc>
        <w:tc>
          <w:tcPr>
            <w:tcW w:w="1701" w:type="dxa"/>
          </w:tcPr>
          <w:p w14:paraId="49F9A805" w14:textId="77777777" w:rsidR="00AD1F54" w:rsidRPr="00264D5D" w:rsidRDefault="00941227">
            <w:pPr>
              <w:pStyle w:val="ASFKTableHead"/>
            </w:pPr>
            <w:r w:rsidRPr="00264D5D">
              <w:t>Сокращенное наименование (код) элемента</w:t>
            </w:r>
          </w:p>
        </w:tc>
        <w:tc>
          <w:tcPr>
            <w:tcW w:w="567" w:type="dxa"/>
          </w:tcPr>
          <w:p w14:paraId="09AFB391" w14:textId="77777777" w:rsidR="00AD1F54" w:rsidRPr="00264D5D" w:rsidRDefault="00941227">
            <w:pPr>
              <w:pStyle w:val="ASFKTableHead"/>
            </w:pPr>
            <w:r w:rsidRPr="00264D5D">
              <w:t>Тип</w:t>
            </w:r>
          </w:p>
        </w:tc>
        <w:tc>
          <w:tcPr>
            <w:tcW w:w="1134" w:type="dxa"/>
          </w:tcPr>
          <w:p w14:paraId="34887CCC" w14:textId="77777777" w:rsidR="00AD1F54" w:rsidRPr="00264D5D" w:rsidRDefault="00941227">
            <w:pPr>
              <w:pStyle w:val="ASFKTableHead"/>
            </w:pPr>
            <w:r w:rsidRPr="00264D5D">
              <w:t>Формат элемента</w:t>
            </w:r>
          </w:p>
        </w:tc>
        <w:tc>
          <w:tcPr>
            <w:tcW w:w="567" w:type="dxa"/>
          </w:tcPr>
          <w:p w14:paraId="73285DA5" w14:textId="77777777" w:rsidR="00AD1F54" w:rsidRPr="00264D5D" w:rsidRDefault="00941227">
            <w:pPr>
              <w:pStyle w:val="ASFKTableHead"/>
            </w:pPr>
            <w:r w:rsidRPr="00264D5D">
              <w:t>Обязательность</w:t>
            </w:r>
          </w:p>
        </w:tc>
        <w:tc>
          <w:tcPr>
            <w:tcW w:w="3963" w:type="dxa"/>
          </w:tcPr>
          <w:p w14:paraId="6E9D8457" w14:textId="77777777" w:rsidR="00AD1F54" w:rsidRPr="00264D5D" w:rsidRDefault="00941227">
            <w:pPr>
              <w:pStyle w:val="ASFKTableHead"/>
            </w:pPr>
            <w:r w:rsidRPr="00264D5D">
              <w:t>Дополнительная информация</w:t>
            </w:r>
          </w:p>
        </w:tc>
      </w:tr>
      <w:tr w:rsidR="00AD1F54" w:rsidRPr="00264D5D" w14:paraId="51D2EF46"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F57541E" w14:textId="77777777" w:rsidR="00AD1F54" w:rsidRPr="00264D5D" w:rsidRDefault="00941227">
            <w:pPr>
              <w:pStyle w:val="GOSTTablenorm"/>
              <w:rPr>
                <w:szCs w:val="22"/>
              </w:rPr>
            </w:pPr>
            <w:r w:rsidRPr="00264D5D">
              <w:t>Номер записи</w:t>
            </w:r>
          </w:p>
        </w:tc>
        <w:tc>
          <w:tcPr>
            <w:tcW w:w="1701" w:type="dxa"/>
          </w:tcPr>
          <w:p w14:paraId="04430055" w14:textId="77777777" w:rsidR="00AD1F54" w:rsidRPr="00264D5D" w:rsidRDefault="00941227">
            <w:pPr>
              <w:pStyle w:val="GOSTTablenorm"/>
              <w:rPr>
                <w:lang w:val="en-US"/>
              </w:rPr>
            </w:pPr>
            <w:r w:rsidRPr="00264D5D">
              <w:rPr>
                <w:lang w:val="en-US"/>
              </w:rPr>
              <w:t>RcrdNm</w:t>
            </w:r>
          </w:p>
        </w:tc>
        <w:tc>
          <w:tcPr>
            <w:tcW w:w="567" w:type="dxa"/>
          </w:tcPr>
          <w:p w14:paraId="1970730E" w14:textId="77777777" w:rsidR="00AD1F54" w:rsidRPr="00264D5D" w:rsidRDefault="00941227">
            <w:pPr>
              <w:pStyle w:val="GOSTTablenorm"/>
              <w:jc w:val="center"/>
            </w:pPr>
            <w:r w:rsidRPr="00264D5D">
              <w:t>П</w:t>
            </w:r>
          </w:p>
        </w:tc>
        <w:tc>
          <w:tcPr>
            <w:tcW w:w="1134" w:type="dxa"/>
          </w:tcPr>
          <w:p w14:paraId="09FAA014" w14:textId="77777777" w:rsidR="00AD1F54" w:rsidRPr="00264D5D" w:rsidRDefault="00941227">
            <w:pPr>
              <w:pStyle w:val="GOSTTablenorm"/>
            </w:pPr>
            <w:r w:rsidRPr="00264D5D">
              <w:t>N(1-7)</w:t>
            </w:r>
          </w:p>
        </w:tc>
        <w:tc>
          <w:tcPr>
            <w:tcW w:w="567" w:type="dxa"/>
          </w:tcPr>
          <w:p w14:paraId="6EDBD762" w14:textId="77777777" w:rsidR="00AD1F54" w:rsidRPr="00264D5D" w:rsidRDefault="00941227">
            <w:pPr>
              <w:pStyle w:val="GOSTTablenorm"/>
              <w:jc w:val="center"/>
            </w:pPr>
            <w:r w:rsidRPr="00264D5D">
              <w:t>О</w:t>
            </w:r>
          </w:p>
        </w:tc>
        <w:tc>
          <w:tcPr>
            <w:tcW w:w="3963" w:type="dxa"/>
          </w:tcPr>
          <w:p w14:paraId="02E2CCAE" w14:textId="77777777" w:rsidR="00AD1F54" w:rsidRPr="00264D5D" w:rsidRDefault="00941227">
            <w:pPr>
              <w:pStyle w:val="GOSTTablenorm"/>
              <w:rPr>
                <w:szCs w:val="22"/>
              </w:rPr>
            </w:pPr>
            <w:r w:rsidRPr="00264D5D">
              <w:t>Порядковый номер записи. Каждому номеру записи в блоке UFPP должен соответствовать такой же номер (номера) записи в блоке UFPP_N. Для каждого документа в файле порядковый но</w:t>
            </w:r>
            <w:r w:rsidR="00676E27" w:rsidRPr="00264D5D">
              <w:t>мер должен начинаться с единицы</w:t>
            </w:r>
          </w:p>
        </w:tc>
      </w:tr>
      <w:tr w:rsidR="00AD1F54" w:rsidRPr="00264D5D" w14:paraId="1DA9A0FC"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243235E3" w14:textId="77777777" w:rsidR="00AD1F54" w:rsidRPr="00264D5D" w:rsidRDefault="00941227">
            <w:pPr>
              <w:pStyle w:val="GOSTTablenorm"/>
              <w:rPr>
                <w:szCs w:val="22"/>
              </w:rPr>
            </w:pPr>
            <w:r w:rsidRPr="00264D5D">
              <w:t>Сумма</w:t>
            </w:r>
          </w:p>
        </w:tc>
        <w:tc>
          <w:tcPr>
            <w:tcW w:w="1701" w:type="dxa"/>
          </w:tcPr>
          <w:p w14:paraId="354A0DB2" w14:textId="77777777" w:rsidR="00AD1F54" w:rsidRPr="00264D5D" w:rsidRDefault="00941227">
            <w:pPr>
              <w:pStyle w:val="GOSTTablenorm"/>
              <w:rPr>
                <w:lang w:val="en-US"/>
              </w:rPr>
            </w:pPr>
            <w:r w:rsidRPr="00264D5D">
              <w:rPr>
                <w:lang w:val="en-US"/>
              </w:rPr>
              <w:t>Amnt</w:t>
            </w:r>
          </w:p>
        </w:tc>
        <w:tc>
          <w:tcPr>
            <w:tcW w:w="567" w:type="dxa"/>
          </w:tcPr>
          <w:p w14:paraId="74FC4365" w14:textId="77777777" w:rsidR="00AD1F54" w:rsidRPr="00264D5D" w:rsidRDefault="00941227">
            <w:pPr>
              <w:pStyle w:val="GOSTTablenorm"/>
              <w:jc w:val="center"/>
            </w:pPr>
            <w:r w:rsidRPr="00264D5D">
              <w:t>П</w:t>
            </w:r>
          </w:p>
        </w:tc>
        <w:tc>
          <w:tcPr>
            <w:tcW w:w="1134" w:type="dxa"/>
          </w:tcPr>
          <w:p w14:paraId="0CB282D0" w14:textId="77777777" w:rsidR="00AD1F54" w:rsidRPr="00264D5D" w:rsidRDefault="00941227">
            <w:pPr>
              <w:pStyle w:val="GOSTTablenorm"/>
              <w:rPr>
                <w:lang w:val="en-US"/>
              </w:rPr>
            </w:pPr>
            <w:r w:rsidRPr="00264D5D">
              <w:rPr>
                <w:lang w:val="en-US"/>
              </w:rPr>
              <w:t>N(20.2)</w:t>
            </w:r>
          </w:p>
        </w:tc>
        <w:tc>
          <w:tcPr>
            <w:tcW w:w="567" w:type="dxa"/>
          </w:tcPr>
          <w:p w14:paraId="375128A0" w14:textId="77777777" w:rsidR="00AD1F54" w:rsidRPr="00264D5D" w:rsidRDefault="00941227">
            <w:pPr>
              <w:pStyle w:val="GOSTTablenorm"/>
              <w:jc w:val="center"/>
            </w:pPr>
            <w:r w:rsidRPr="00264D5D">
              <w:t>О</w:t>
            </w:r>
          </w:p>
        </w:tc>
        <w:tc>
          <w:tcPr>
            <w:tcW w:w="3963" w:type="dxa"/>
          </w:tcPr>
          <w:p w14:paraId="3F904B68" w14:textId="77777777" w:rsidR="00AD1F54" w:rsidRPr="00264D5D" w:rsidRDefault="00941227">
            <w:pPr>
              <w:pStyle w:val="GOSTTablenorm"/>
              <w:rPr>
                <w:szCs w:val="22"/>
              </w:rPr>
            </w:pPr>
            <w:r w:rsidRPr="00264D5D">
              <w:t>Сумма уточняемого платежного документа или сумма к уточнению по КБК при уточнении на едином счете бюджета в случае</w:t>
            </w:r>
            <w:r w:rsidR="00676E27" w:rsidRPr="00264D5D">
              <w:t xml:space="preserve"> изменения КБК на основании НПА</w:t>
            </w:r>
          </w:p>
        </w:tc>
      </w:tr>
      <w:tr w:rsidR="00AD1F54" w:rsidRPr="00264D5D" w14:paraId="05159D98"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F91B2F9" w14:textId="77777777" w:rsidR="00AD1F54" w:rsidRPr="00264D5D" w:rsidRDefault="00941227">
            <w:pPr>
              <w:pStyle w:val="GOSTTablenorm"/>
              <w:rPr>
                <w:szCs w:val="22"/>
              </w:rPr>
            </w:pPr>
            <w:r w:rsidRPr="00264D5D">
              <w:t>Назначение платежа</w:t>
            </w:r>
          </w:p>
        </w:tc>
        <w:tc>
          <w:tcPr>
            <w:tcW w:w="1701" w:type="dxa"/>
          </w:tcPr>
          <w:p w14:paraId="638BC29C" w14:textId="77777777" w:rsidR="00AD1F54" w:rsidRPr="00264D5D" w:rsidRDefault="00941227">
            <w:pPr>
              <w:pStyle w:val="GOSTTablenorm"/>
              <w:rPr>
                <w:lang w:val="en-US"/>
              </w:rPr>
            </w:pPr>
            <w:r w:rsidRPr="00264D5D">
              <w:rPr>
                <w:lang w:val="en-US"/>
              </w:rPr>
              <w:t>PyPrps</w:t>
            </w:r>
          </w:p>
        </w:tc>
        <w:tc>
          <w:tcPr>
            <w:tcW w:w="567" w:type="dxa"/>
          </w:tcPr>
          <w:p w14:paraId="03B5D7CE" w14:textId="77777777" w:rsidR="00AD1F54" w:rsidRPr="00264D5D" w:rsidRDefault="00941227">
            <w:pPr>
              <w:pStyle w:val="GOSTTablenorm"/>
              <w:jc w:val="center"/>
            </w:pPr>
            <w:r w:rsidRPr="00264D5D">
              <w:t>П</w:t>
            </w:r>
          </w:p>
        </w:tc>
        <w:tc>
          <w:tcPr>
            <w:tcW w:w="1134" w:type="dxa"/>
          </w:tcPr>
          <w:p w14:paraId="7224BA59" w14:textId="77777777" w:rsidR="00AD1F54" w:rsidRPr="00264D5D" w:rsidRDefault="00941227">
            <w:pPr>
              <w:pStyle w:val="GOSTTablenorm"/>
            </w:pPr>
            <w:r w:rsidRPr="00264D5D">
              <w:t>Т(1-500)</w:t>
            </w:r>
          </w:p>
        </w:tc>
        <w:tc>
          <w:tcPr>
            <w:tcW w:w="567" w:type="dxa"/>
          </w:tcPr>
          <w:p w14:paraId="060DD13C" w14:textId="77777777" w:rsidR="00AD1F54" w:rsidRPr="00264D5D" w:rsidRDefault="00941227">
            <w:pPr>
              <w:pStyle w:val="GOSTTablenorm"/>
              <w:jc w:val="center"/>
            </w:pPr>
            <w:r w:rsidRPr="00264D5D">
              <w:t>Н</w:t>
            </w:r>
          </w:p>
        </w:tc>
        <w:tc>
          <w:tcPr>
            <w:tcW w:w="3963" w:type="dxa"/>
          </w:tcPr>
          <w:p w14:paraId="5B20A9A9" w14:textId="77777777" w:rsidR="00AD1F54" w:rsidRPr="00264D5D" w:rsidRDefault="00941227">
            <w:pPr>
              <w:pStyle w:val="GOSTTablenorm"/>
              <w:rPr>
                <w:szCs w:val="22"/>
              </w:rPr>
            </w:pPr>
            <w:r w:rsidRPr="00264D5D">
              <w:rPr>
                <w:szCs w:val="22"/>
              </w:rPr>
              <w:t xml:space="preserve">Назначение платежа. </w:t>
            </w:r>
          </w:p>
          <w:p w14:paraId="0F19A173" w14:textId="77777777" w:rsidR="00AD1F54" w:rsidRPr="00264D5D" w:rsidRDefault="00941227">
            <w:pPr>
              <w:pStyle w:val="GOSTTablenorm"/>
              <w:rPr>
                <w:szCs w:val="22"/>
              </w:rPr>
            </w:pPr>
            <w:r w:rsidRPr="00264D5D">
              <w:rPr>
                <w:szCs w:val="22"/>
              </w:rPr>
              <w:t>Обязательно к заполнению при уточнении на едином счете бюджета, кроме случая:</w:t>
            </w:r>
          </w:p>
          <w:p w14:paraId="65535F37" w14:textId="77777777" w:rsidR="00AD1F54" w:rsidRPr="00264D5D" w:rsidRDefault="00941227">
            <w:pPr>
              <w:pStyle w:val="GOSTTablenorm"/>
              <w:ind w:left="284" w:hanging="227"/>
              <w:rPr>
                <w:szCs w:val="22"/>
              </w:rPr>
            </w:pPr>
            <w:r w:rsidRPr="00264D5D">
              <w:rPr>
                <w:szCs w:val="22"/>
              </w:rPr>
              <w:t>– изменения КБК на основании НПА;</w:t>
            </w:r>
          </w:p>
          <w:p w14:paraId="4A78A1CA" w14:textId="77777777" w:rsidR="00AD1F54" w:rsidRPr="00264D5D" w:rsidRDefault="00941227">
            <w:pPr>
              <w:pStyle w:val="GOSTTablenorm"/>
              <w:ind w:left="284" w:hanging="227"/>
              <w:rPr>
                <w:szCs w:val="22"/>
              </w:rPr>
            </w:pPr>
            <w:r w:rsidRPr="00264D5D">
              <w:rPr>
                <w:szCs w:val="22"/>
              </w:rPr>
              <w:t>– уточнения поступления в иностранной валюте по документу «Извещение о поступлении в иностранной валюте» при отсутствии информации в реквизите «Детали платежа» уточняемого документа;</w:t>
            </w:r>
          </w:p>
          <w:p w14:paraId="10E38FF0" w14:textId="77777777" w:rsidR="00AD1F54" w:rsidRPr="00264D5D" w:rsidRDefault="0015097F" w:rsidP="0015097F">
            <w:pPr>
              <w:pStyle w:val="GOSTTablenorm"/>
              <w:rPr>
                <w:szCs w:val="22"/>
              </w:rPr>
            </w:pPr>
            <w:r w:rsidRPr="00264D5D">
              <w:rPr>
                <w:szCs w:val="22"/>
              </w:rPr>
              <w:t>В</w:t>
            </w:r>
            <w:r w:rsidR="00941227" w:rsidRPr="00264D5D">
              <w:rPr>
                <w:szCs w:val="22"/>
              </w:rPr>
              <w:t xml:space="preserve"> случае указания в поле «Наименование платежного документа» значения «Распоряжение о перечислении денежных средств на банковские карты «Мир» физических лиц» указывается уточняемый код вида выплаты.</w:t>
            </w:r>
          </w:p>
        </w:tc>
      </w:tr>
      <w:tr w:rsidR="00AD1F54" w:rsidRPr="00264D5D" w14:paraId="4AD123E1"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294B7490" w14:textId="77777777" w:rsidR="00AD1F54" w:rsidRPr="00264D5D" w:rsidRDefault="00941227">
            <w:pPr>
              <w:pStyle w:val="GOSTTablenorm"/>
              <w:rPr>
                <w:szCs w:val="22"/>
              </w:rPr>
            </w:pPr>
            <w:r w:rsidRPr="00264D5D">
              <w:t>Номер заявки</w:t>
            </w:r>
          </w:p>
        </w:tc>
        <w:tc>
          <w:tcPr>
            <w:tcW w:w="1701" w:type="dxa"/>
          </w:tcPr>
          <w:p w14:paraId="4EC36F76" w14:textId="77777777" w:rsidR="00AD1F54" w:rsidRPr="00264D5D" w:rsidRDefault="00941227">
            <w:pPr>
              <w:pStyle w:val="GOSTTablenorm"/>
              <w:rPr>
                <w:lang w:val="en-US"/>
              </w:rPr>
            </w:pPr>
            <w:r w:rsidRPr="00264D5D">
              <w:rPr>
                <w:lang w:val="en-US"/>
              </w:rPr>
              <w:t>RqstNm</w:t>
            </w:r>
          </w:p>
        </w:tc>
        <w:tc>
          <w:tcPr>
            <w:tcW w:w="567" w:type="dxa"/>
          </w:tcPr>
          <w:p w14:paraId="3A97CFB8" w14:textId="77777777" w:rsidR="00AD1F54" w:rsidRPr="00264D5D" w:rsidRDefault="00941227">
            <w:pPr>
              <w:pStyle w:val="GOSTTablenorm"/>
              <w:jc w:val="center"/>
            </w:pPr>
            <w:r w:rsidRPr="00264D5D">
              <w:t>П</w:t>
            </w:r>
          </w:p>
        </w:tc>
        <w:tc>
          <w:tcPr>
            <w:tcW w:w="1134" w:type="dxa"/>
          </w:tcPr>
          <w:p w14:paraId="6D08951E" w14:textId="77777777" w:rsidR="00AD1F54" w:rsidRPr="00264D5D" w:rsidRDefault="00941227">
            <w:pPr>
              <w:pStyle w:val="GOSTTablenorm"/>
            </w:pPr>
            <w:r w:rsidRPr="00264D5D">
              <w:t>Т(1-</w:t>
            </w:r>
            <w:r w:rsidRPr="00264D5D">
              <w:rPr>
                <w:lang w:val="en-US"/>
              </w:rPr>
              <w:t>15</w:t>
            </w:r>
            <w:r w:rsidRPr="00264D5D">
              <w:t>)</w:t>
            </w:r>
          </w:p>
        </w:tc>
        <w:tc>
          <w:tcPr>
            <w:tcW w:w="567" w:type="dxa"/>
          </w:tcPr>
          <w:p w14:paraId="7D4D807A" w14:textId="77777777" w:rsidR="00AD1F54" w:rsidRPr="00264D5D" w:rsidRDefault="00941227">
            <w:pPr>
              <w:pStyle w:val="GOSTTablenorm"/>
              <w:jc w:val="center"/>
            </w:pPr>
            <w:r w:rsidRPr="00264D5D">
              <w:t>Н</w:t>
            </w:r>
          </w:p>
        </w:tc>
        <w:tc>
          <w:tcPr>
            <w:tcW w:w="3963" w:type="dxa"/>
          </w:tcPr>
          <w:p w14:paraId="2146CDC5" w14:textId="77777777" w:rsidR="00AD1F54" w:rsidRPr="00264D5D" w:rsidRDefault="00941227">
            <w:pPr>
              <w:pStyle w:val="GOSTTablenorm"/>
            </w:pPr>
            <w:r w:rsidRPr="00264D5D">
              <w:t xml:space="preserve">Номер заявки на кассовый расход </w:t>
            </w:r>
            <w:r w:rsidRPr="00264D5D">
              <w:lastRenderedPageBreak/>
              <w:t xml:space="preserve">(заявки на возврат, сводной заявки на кассовый расход (для уплаты налогов)), в соответствии с которой ТОФК был создан расчетный документ или поручение о перечислении на счет. </w:t>
            </w:r>
          </w:p>
          <w:p w14:paraId="3450C560" w14:textId="77777777" w:rsidR="00AD1F54" w:rsidRPr="00264D5D" w:rsidRDefault="00941227">
            <w:pPr>
              <w:pStyle w:val="GOSTTablenorm"/>
            </w:pPr>
            <w:r w:rsidRPr="00264D5D">
              <w:t>Не заполняется:</w:t>
            </w:r>
          </w:p>
          <w:p w14:paraId="19B0C04E" w14:textId="77777777" w:rsidR="00AD1F54" w:rsidRPr="00264D5D" w:rsidRDefault="00941227" w:rsidP="00E7460C">
            <w:pPr>
              <w:pStyle w:val="GOSTTablenorm"/>
              <w:numPr>
                <w:ilvl w:val="0"/>
                <w:numId w:val="87"/>
              </w:numPr>
              <w:ind w:left="284" w:hanging="227"/>
            </w:pPr>
            <w:r w:rsidRPr="00264D5D">
              <w:t xml:space="preserve"> </w:t>
            </w:r>
            <w:r w:rsidRPr="00264D5D">
              <w:rPr>
                <w:szCs w:val="22"/>
              </w:rPr>
              <w:t>при</w:t>
            </w:r>
            <w:r w:rsidRPr="00264D5D">
              <w:t xml:space="preserve"> уточнении на едином счете бюджета в случае изменения КБК на основании НПА; </w:t>
            </w:r>
          </w:p>
          <w:p w14:paraId="2CCE2E4E" w14:textId="77777777" w:rsidR="00AD1F54" w:rsidRPr="00264D5D" w:rsidRDefault="00941227" w:rsidP="00E7460C">
            <w:pPr>
              <w:pStyle w:val="GOSTTablenorm"/>
              <w:numPr>
                <w:ilvl w:val="0"/>
                <w:numId w:val="87"/>
              </w:numPr>
              <w:ind w:left="284" w:hanging="227"/>
            </w:pPr>
            <w:r w:rsidRPr="00264D5D">
              <w:rPr>
                <w:szCs w:val="22"/>
              </w:rPr>
              <w:t>при</w:t>
            </w:r>
            <w:r w:rsidRPr="00264D5D">
              <w:t xml:space="preserve"> уточнении на счете учета поступлений;</w:t>
            </w:r>
          </w:p>
          <w:p w14:paraId="7CD32220" w14:textId="77777777" w:rsidR="00AD1F54" w:rsidRPr="00264D5D" w:rsidRDefault="00941227" w:rsidP="00E7460C">
            <w:pPr>
              <w:pStyle w:val="GOSTTablenorm"/>
              <w:numPr>
                <w:ilvl w:val="0"/>
                <w:numId w:val="87"/>
              </w:numPr>
              <w:ind w:left="284" w:hanging="227"/>
              <w:rPr>
                <w:szCs w:val="22"/>
              </w:rPr>
            </w:pPr>
            <w:r w:rsidRPr="00264D5D">
              <w:rPr>
                <w:szCs w:val="22"/>
              </w:rPr>
              <w:t>при уточнении поступления, учтенного на казначейском сч</w:t>
            </w:r>
            <w:r w:rsidR="0015097F" w:rsidRPr="00264D5D">
              <w:rPr>
                <w:szCs w:val="22"/>
              </w:rPr>
              <w:t>ете до выяснения принадлежности</w:t>
            </w:r>
          </w:p>
        </w:tc>
      </w:tr>
      <w:tr w:rsidR="00AD1F54" w:rsidRPr="00264D5D" w14:paraId="41415DC0"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545A4B20" w14:textId="77777777" w:rsidR="00AD1F54" w:rsidRPr="00264D5D" w:rsidRDefault="00941227">
            <w:pPr>
              <w:pStyle w:val="GOSTTablenorm"/>
              <w:rPr>
                <w:szCs w:val="22"/>
              </w:rPr>
            </w:pPr>
            <w:r w:rsidRPr="00264D5D">
              <w:lastRenderedPageBreak/>
              <w:t>Дата заявки</w:t>
            </w:r>
          </w:p>
        </w:tc>
        <w:tc>
          <w:tcPr>
            <w:tcW w:w="1701" w:type="dxa"/>
          </w:tcPr>
          <w:p w14:paraId="2700E30B" w14:textId="77777777" w:rsidR="00AD1F54" w:rsidRPr="00264D5D" w:rsidRDefault="00941227">
            <w:pPr>
              <w:pStyle w:val="GOSTTablenorm"/>
              <w:rPr>
                <w:lang w:val="en-US"/>
              </w:rPr>
            </w:pPr>
            <w:r w:rsidRPr="00264D5D">
              <w:rPr>
                <w:lang w:val="en-US"/>
              </w:rPr>
              <w:t>DtNm</w:t>
            </w:r>
          </w:p>
        </w:tc>
        <w:tc>
          <w:tcPr>
            <w:tcW w:w="567" w:type="dxa"/>
          </w:tcPr>
          <w:p w14:paraId="6812DD5B" w14:textId="77777777" w:rsidR="00AD1F54" w:rsidRPr="00264D5D" w:rsidRDefault="00941227">
            <w:pPr>
              <w:pStyle w:val="GOSTTablenorm"/>
              <w:jc w:val="center"/>
            </w:pPr>
            <w:r w:rsidRPr="00264D5D">
              <w:t>П</w:t>
            </w:r>
          </w:p>
        </w:tc>
        <w:tc>
          <w:tcPr>
            <w:tcW w:w="1134" w:type="dxa"/>
          </w:tcPr>
          <w:p w14:paraId="36C2ED63" w14:textId="77777777" w:rsidR="00AD1F54" w:rsidRPr="00264D5D" w:rsidRDefault="00941227">
            <w:pPr>
              <w:pStyle w:val="GOSTTablenorm"/>
              <w:rPr>
                <w:lang w:val="en-US"/>
              </w:rPr>
            </w:pPr>
            <w:r w:rsidRPr="00264D5D">
              <w:rPr>
                <w:lang w:val="en-US"/>
              </w:rPr>
              <w:t>Date</w:t>
            </w:r>
          </w:p>
        </w:tc>
        <w:tc>
          <w:tcPr>
            <w:tcW w:w="567" w:type="dxa"/>
          </w:tcPr>
          <w:p w14:paraId="6F19B612" w14:textId="77777777" w:rsidR="00AD1F54" w:rsidRPr="00264D5D" w:rsidRDefault="00941227">
            <w:pPr>
              <w:pStyle w:val="GOSTTablenorm"/>
              <w:jc w:val="center"/>
            </w:pPr>
            <w:r w:rsidRPr="00264D5D">
              <w:t>Н</w:t>
            </w:r>
          </w:p>
        </w:tc>
        <w:tc>
          <w:tcPr>
            <w:tcW w:w="3963" w:type="dxa"/>
          </w:tcPr>
          <w:p w14:paraId="486AB8D7" w14:textId="77777777" w:rsidR="00AD1F54" w:rsidRPr="00264D5D" w:rsidRDefault="00941227">
            <w:pPr>
              <w:pStyle w:val="GOSTTablenorm"/>
            </w:pPr>
            <w:r w:rsidRPr="00264D5D">
              <w:t xml:space="preserve">Дата заявки на кассовый расход (заявки на возврат, сводной заявки на кассовый расход (для уплаты налогов)), в соответствии с которой ТОФК был создан расчетный документ или поручение о перечислении на счет. </w:t>
            </w:r>
          </w:p>
          <w:p w14:paraId="4141E3F3" w14:textId="77777777" w:rsidR="00AD1F54" w:rsidRPr="00264D5D" w:rsidRDefault="00941227">
            <w:pPr>
              <w:pStyle w:val="GOSTTablenorm"/>
            </w:pPr>
            <w:r w:rsidRPr="00264D5D">
              <w:t>Не заполняется:</w:t>
            </w:r>
          </w:p>
          <w:p w14:paraId="17D2C4EF" w14:textId="77777777" w:rsidR="00AD1F54" w:rsidRPr="00264D5D" w:rsidRDefault="00941227" w:rsidP="00E7460C">
            <w:pPr>
              <w:pStyle w:val="GOSTTablenorm"/>
              <w:numPr>
                <w:ilvl w:val="0"/>
                <w:numId w:val="87"/>
              </w:numPr>
              <w:ind w:left="284" w:hanging="227"/>
            </w:pPr>
            <w:r w:rsidRPr="00264D5D">
              <w:t xml:space="preserve"> </w:t>
            </w:r>
            <w:r w:rsidRPr="00264D5D">
              <w:rPr>
                <w:szCs w:val="22"/>
              </w:rPr>
              <w:t>при</w:t>
            </w:r>
            <w:r w:rsidRPr="00264D5D">
              <w:t xml:space="preserve"> уточнении на едином счете бюджета в случае изменения КБК на основании НПА; </w:t>
            </w:r>
          </w:p>
          <w:p w14:paraId="0BD9CEA2" w14:textId="77777777" w:rsidR="00AD1F54" w:rsidRPr="00264D5D" w:rsidRDefault="00941227" w:rsidP="00E7460C">
            <w:pPr>
              <w:pStyle w:val="GOSTTablenorm"/>
              <w:numPr>
                <w:ilvl w:val="0"/>
                <w:numId w:val="87"/>
              </w:numPr>
              <w:ind w:left="284" w:hanging="227"/>
            </w:pPr>
            <w:r w:rsidRPr="00264D5D">
              <w:rPr>
                <w:szCs w:val="22"/>
              </w:rPr>
              <w:t>при</w:t>
            </w:r>
            <w:r w:rsidRPr="00264D5D">
              <w:t xml:space="preserve"> уточнении на счете учета поступлений;</w:t>
            </w:r>
          </w:p>
          <w:p w14:paraId="3DD8CD1B" w14:textId="77777777" w:rsidR="00AD1F54" w:rsidRPr="00264D5D" w:rsidRDefault="00941227" w:rsidP="00E7460C">
            <w:pPr>
              <w:pStyle w:val="GOSTTablenorm"/>
              <w:numPr>
                <w:ilvl w:val="0"/>
                <w:numId w:val="87"/>
              </w:numPr>
              <w:ind w:left="284" w:hanging="227"/>
              <w:rPr>
                <w:szCs w:val="22"/>
              </w:rPr>
            </w:pPr>
            <w:r w:rsidRPr="00264D5D">
              <w:rPr>
                <w:szCs w:val="22"/>
              </w:rPr>
              <w:t>при уточнении поступления, учтенного на казначейском сч</w:t>
            </w:r>
            <w:r w:rsidR="0015097F" w:rsidRPr="00264D5D">
              <w:rPr>
                <w:szCs w:val="22"/>
              </w:rPr>
              <w:t>ете до выяснения принадлежности</w:t>
            </w:r>
          </w:p>
        </w:tc>
      </w:tr>
      <w:tr w:rsidR="00AD1F54" w:rsidRPr="00264D5D" w14:paraId="44C60FF2"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03B65988" w14:textId="77777777" w:rsidR="00AD1F54" w:rsidRPr="00264D5D" w:rsidRDefault="00941227">
            <w:pPr>
              <w:pStyle w:val="GOSTTablenorm"/>
              <w:rPr>
                <w:szCs w:val="22"/>
              </w:rPr>
            </w:pPr>
            <w:r w:rsidRPr="00264D5D">
              <w:t>Примечание</w:t>
            </w:r>
          </w:p>
        </w:tc>
        <w:tc>
          <w:tcPr>
            <w:tcW w:w="1701" w:type="dxa"/>
          </w:tcPr>
          <w:p w14:paraId="05957487" w14:textId="77777777" w:rsidR="00AD1F54" w:rsidRPr="00264D5D" w:rsidRDefault="00941227">
            <w:pPr>
              <w:pStyle w:val="GOSTTablenorm"/>
              <w:rPr>
                <w:lang w:val="en-US"/>
              </w:rPr>
            </w:pPr>
            <w:r w:rsidRPr="00264D5D">
              <w:rPr>
                <w:lang w:val="en-US"/>
              </w:rPr>
              <w:t>Nt</w:t>
            </w:r>
          </w:p>
        </w:tc>
        <w:tc>
          <w:tcPr>
            <w:tcW w:w="567" w:type="dxa"/>
          </w:tcPr>
          <w:p w14:paraId="51A40269" w14:textId="77777777" w:rsidR="00AD1F54" w:rsidRPr="00264D5D" w:rsidRDefault="00941227">
            <w:pPr>
              <w:pStyle w:val="GOSTTablenorm"/>
              <w:jc w:val="center"/>
            </w:pPr>
            <w:r w:rsidRPr="00264D5D">
              <w:t>П</w:t>
            </w:r>
          </w:p>
        </w:tc>
        <w:tc>
          <w:tcPr>
            <w:tcW w:w="1134" w:type="dxa"/>
          </w:tcPr>
          <w:p w14:paraId="1BFD45CC" w14:textId="77777777" w:rsidR="00AD1F54" w:rsidRPr="00264D5D" w:rsidRDefault="00941227">
            <w:pPr>
              <w:pStyle w:val="GOSTTablenorm"/>
            </w:pPr>
            <w:r w:rsidRPr="00264D5D">
              <w:t>Т(1-2</w:t>
            </w:r>
            <w:r w:rsidRPr="00264D5D">
              <w:rPr>
                <w:lang w:val="en-US"/>
              </w:rPr>
              <w:t>54</w:t>
            </w:r>
            <w:r w:rsidRPr="00264D5D">
              <w:t>)</w:t>
            </w:r>
          </w:p>
        </w:tc>
        <w:tc>
          <w:tcPr>
            <w:tcW w:w="567" w:type="dxa"/>
          </w:tcPr>
          <w:p w14:paraId="5E6B59CE" w14:textId="77777777" w:rsidR="00AD1F54" w:rsidRPr="00264D5D" w:rsidRDefault="00941227">
            <w:pPr>
              <w:pStyle w:val="GOSTTablenorm"/>
              <w:jc w:val="center"/>
            </w:pPr>
            <w:r w:rsidRPr="00264D5D">
              <w:t>Н</w:t>
            </w:r>
          </w:p>
        </w:tc>
        <w:tc>
          <w:tcPr>
            <w:tcW w:w="3963" w:type="dxa"/>
          </w:tcPr>
          <w:p w14:paraId="5761249A" w14:textId="77777777" w:rsidR="00AD1F54" w:rsidRPr="00264D5D" w:rsidRDefault="00941227">
            <w:pPr>
              <w:pStyle w:val="GOSTTablenorm"/>
              <w:rPr>
                <w:szCs w:val="22"/>
              </w:rPr>
            </w:pPr>
            <w:r w:rsidRPr="00264D5D">
              <w:t>Ука</w:t>
            </w:r>
            <w:r w:rsidR="0015097F" w:rsidRPr="00264D5D">
              <w:t>зывается необходимое примечание</w:t>
            </w:r>
          </w:p>
        </w:tc>
      </w:tr>
      <w:tr w:rsidR="00AD1F54" w:rsidRPr="00264D5D" w14:paraId="4356B4E7"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7D5E953F" w14:textId="77777777" w:rsidR="00AD1F54" w:rsidRPr="00264D5D" w:rsidRDefault="00941227">
            <w:pPr>
              <w:pStyle w:val="GOSTTablenorm"/>
              <w:rPr>
                <w:szCs w:val="22"/>
              </w:rPr>
            </w:pPr>
            <w:r w:rsidRPr="00264D5D">
              <w:t>Глобальный уникальный идентификатор связанного документа по строке</w:t>
            </w:r>
          </w:p>
        </w:tc>
        <w:tc>
          <w:tcPr>
            <w:tcW w:w="1701" w:type="dxa"/>
          </w:tcPr>
          <w:p w14:paraId="30908607" w14:textId="77777777" w:rsidR="00AD1F54" w:rsidRPr="00264D5D" w:rsidRDefault="00941227">
            <w:pPr>
              <w:pStyle w:val="GOSTTablenorm"/>
              <w:rPr>
                <w:lang w:val="en-US"/>
              </w:rPr>
            </w:pPr>
            <w:r w:rsidRPr="00264D5D">
              <w:rPr>
                <w:lang w:val="en-US"/>
              </w:rPr>
              <w:t>GUIDRelDcRow</w:t>
            </w:r>
          </w:p>
        </w:tc>
        <w:tc>
          <w:tcPr>
            <w:tcW w:w="567" w:type="dxa"/>
          </w:tcPr>
          <w:p w14:paraId="33728300" w14:textId="77777777" w:rsidR="00AD1F54" w:rsidRPr="00264D5D" w:rsidRDefault="00941227">
            <w:pPr>
              <w:pStyle w:val="GOSTTablenorm"/>
              <w:jc w:val="center"/>
            </w:pPr>
            <w:r w:rsidRPr="00264D5D">
              <w:t>П</w:t>
            </w:r>
          </w:p>
        </w:tc>
        <w:tc>
          <w:tcPr>
            <w:tcW w:w="1134" w:type="dxa"/>
          </w:tcPr>
          <w:p w14:paraId="4B186347" w14:textId="77777777" w:rsidR="00AD1F54" w:rsidRPr="00264D5D" w:rsidRDefault="00941227">
            <w:pPr>
              <w:pStyle w:val="GOSTTablenorm"/>
              <w:rPr>
                <w:lang w:val="en-US"/>
              </w:rPr>
            </w:pPr>
            <w:r w:rsidRPr="00264D5D">
              <w:t>GUID</w:t>
            </w:r>
          </w:p>
        </w:tc>
        <w:tc>
          <w:tcPr>
            <w:tcW w:w="567" w:type="dxa"/>
          </w:tcPr>
          <w:p w14:paraId="01A57130" w14:textId="77777777" w:rsidR="00AD1F54" w:rsidRPr="00264D5D" w:rsidRDefault="00941227">
            <w:pPr>
              <w:pStyle w:val="GOSTTablenorm"/>
              <w:jc w:val="center"/>
            </w:pPr>
            <w:r w:rsidRPr="00264D5D">
              <w:t>Н</w:t>
            </w:r>
          </w:p>
        </w:tc>
        <w:tc>
          <w:tcPr>
            <w:tcW w:w="3963" w:type="dxa"/>
          </w:tcPr>
          <w:p w14:paraId="42F40279" w14:textId="77777777" w:rsidR="00AD1F54" w:rsidRPr="00264D5D" w:rsidRDefault="00941227">
            <w:pPr>
              <w:pStyle w:val="GOSTTablenorm"/>
            </w:pPr>
            <w:r w:rsidRPr="00264D5D">
              <w:rPr>
                <w:lang w:eastAsia="en-US"/>
              </w:rPr>
              <w:t xml:space="preserve">Указывается </w:t>
            </w:r>
            <w:r w:rsidRPr="00264D5D">
              <w:t>глобальный уникальный идентификатор связанного документа по строке.</w:t>
            </w:r>
          </w:p>
          <w:p w14:paraId="260FB31A" w14:textId="77777777" w:rsidR="00AD1F54" w:rsidRPr="00264D5D" w:rsidRDefault="00AD28B5">
            <w:pPr>
              <w:pStyle w:val="GOSTTablenorm"/>
              <w:rPr>
                <w:szCs w:val="22"/>
              </w:rPr>
            </w:pPr>
            <w:r w:rsidRPr="00AC03A8">
              <w:rPr>
                <w:szCs w:val="22"/>
                <w:highlight w:val="green"/>
              </w:rPr>
              <w:t>Не заполняется</w:t>
            </w:r>
          </w:p>
        </w:tc>
      </w:tr>
      <w:tr w:rsidR="00AD1F54" w:rsidRPr="00264D5D" w14:paraId="7D2B199A"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066CE31" w14:textId="77777777" w:rsidR="00AD1F54" w:rsidRPr="00264D5D" w:rsidRDefault="00941227">
            <w:pPr>
              <w:pStyle w:val="GOSTTablenorm"/>
              <w:rPr>
                <w:szCs w:val="22"/>
              </w:rPr>
            </w:pPr>
            <w:r w:rsidRPr="00264D5D">
              <w:t>Информация о платежном документе</w:t>
            </w:r>
          </w:p>
        </w:tc>
        <w:tc>
          <w:tcPr>
            <w:tcW w:w="1701" w:type="dxa"/>
          </w:tcPr>
          <w:p w14:paraId="33012A8F" w14:textId="77777777" w:rsidR="00AD1F54" w:rsidRPr="00264D5D" w:rsidRDefault="00941227">
            <w:pPr>
              <w:pStyle w:val="GOSTTablenorm"/>
              <w:rPr>
                <w:lang w:val="en-US"/>
              </w:rPr>
            </w:pPr>
            <w:r w:rsidRPr="00264D5D">
              <w:rPr>
                <w:lang w:val="en-US"/>
              </w:rPr>
              <w:t>MSC_PymntOrdr</w:t>
            </w:r>
          </w:p>
        </w:tc>
        <w:tc>
          <w:tcPr>
            <w:tcW w:w="567" w:type="dxa"/>
          </w:tcPr>
          <w:p w14:paraId="4ECA740F" w14:textId="77777777" w:rsidR="00AD1F54" w:rsidRPr="00264D5D" w:rsidRDefault="00941227">
            <w:pPr>
              <w:pStyle w:val="GOSTTablenorm"/>
              <w:jc w:val="center"/>
              <w:rPr>
                <w:lang w:val="en-US"/>
              </w:rPr>
            </w:pPr>
            <w:r w:rsidRPr="00264D5D">
              <w:rPr>
                <w:lang w:val="en-US"/>
              </w:rPr>
              <w:t>C</w:t>
            </w:r>
          </w:p>
        </w:tc>
        <w:tc>
          <w:tcPr>
            <w:tcW w:w="1134" w:type="dxa"/>
          </w:tcPr>
          <w:p w14:paraId="47D3418F" w14:textId="77777777" w:rsidR="00AD1F54" w:rsidRPr="00264D5D" w:rsidRDefault="00941227">
            <w:pPr>
              <w:pStyle w:val="GOSTTablenorm"/>
            </w:pPr>
            <w:r w:rsidRPr="00264D5D">
              <w:rPr>
                <w:lang w:val="en-US"/>
              </w:rPr>
              <w:t>tMSC_PymntOrdr</w:t>
            </w:r>
          </w:p>
        </w:tc>
        <w:tc>
          <w:tcPr>
            <w:tcW w:w="567" w:type="dxa"/>
          </w:tcPr>
          <w:p w14:paraId="0E86EA30" w14:textId="77777777" w:rsidR="00AD1F54" w:rsidRPr="00264D5D" w:rsidRDefault="00941227">
            <w:pPr>
              <w:pStyle w:val="GOSTTablenorm"/>
              <w:jc w:val="center"/>
            </w:pPr>
            <w:r w:rsidRPr="00264D5D">
              <w:t>Н</w:t>
            </w:r>
          </w:p>
        </w:tc>
        <w:tc>
          <w:tcPr>
            <w:tcW w:w="3963" w:type="dxa"/>
          </w:tcPr>
          <w:p w14:paraId="68D2E1BE" w14:textId="77267D21" w:rsidR="00AD1F54" w:rsidRPr="00264D5D" w:rsidRDefault="00941227">
            <w:pPr>
              <w:pStyle w:val="GOSTTablenorm"/>
            </w:pPr>
            <w:r w:rsidRPr="00264D5D">
              <w:t xml:space="preserve">Состав элемента представлен в таблице </w:t>
            </w:r>
            <w:r w:rsidRPr="00264D5D">
              <w:rPr>
                <w:b/>
              </w:rPr>
              <w:fldChar w:fldCharType="begin"/>
            </w:r>
            <w:r w:rsidRPr="00264D5D">
              <w:rPr>
                <w:b/>
              </w:rPr>
              <w:instrText xml:space="preserve"> REF _Ref503544179 \h  \* MERGEFORMAT </w:instrText>
            </w:r>
            <w:r w:rsidRPr="00264D5D">
              <w:rPr>
                <w:b/>
              </w:rPr>
            </w:r>
            <w:r w:rsidRPr="00264D5D">
              <w:rPr>
                <w:b/>
              </w:rPr>
              <w:fldChar w:fldCharType="separate"/>
            </w:r>
            <w:r w:rsidR="008D797C" w:rsidRPr="008D797C">
              <w:rPr>
                <w:b/>
              </w:rPr>
              <w:t>178</w:t>
            </w:r>
            <w:r w:rsidRPr="00264D5D">
              <w:rPr>
                <w:b/>
              </w:rPr>
              <w:fldChar w:fldCharType="end"/>
            </w:r>
          </w:p>
        </w:tc>
      </w:tr>
      <w:tr w:rsidR="00AD1F54" w:rsidRPr="00264D5D" w14:paraId="5781E18B"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79821224" w14:textId="77777777" w:rsidR="00AD1F54" w:rsidRPr="00264D5D" w:rsidRDefault="00941227">
            <w:pPr>
              <w:pStyle w:val="GOSTTablenorm"/>
              <w:rPr>
                <w:szCs w:val="22"/>
              </w:rPr>
            </w:pPr>
            <w:r w:rsidRPr="00264D5D">
              <w:t>Информация о получателе</w:t>
            </w:r>
          </w:p>
        </w:tc>
        <w:tc>
          <w:tcPr>
            <w:tcW w:w="1701" w:type="dxa"/>
          </w:tcPr>
          <w:p w14:paraId="0DFEF02F" w14:textId="77777777" w:rsidR="00AD1F54" w:rsidRPr="00264D5D" w:rsidRDefault="00941227">
            <w:pPr>
              <w:pStyle w:val="GOSTTablenorm"/>
              <w:rPr>
                <w:lang w:val="en-US"/>
              </w:rPr>
            </w:pPr>
            <w:r w:rsidRPr="00264D5D">
              <w:rPr>
                <w:lang w:val="en-US"/>
              </w:rPr>
              <w:t>MSC_IncmAdmn</w:t>
            </w:r>
          </w:p>
        </w:tc>
        <w:tc>
          <w:tcPr>
            <w:tcW w:w="567" w:type="dxa"/>
          </w:tcPr>
          <w:p w14:paraId="0850ED5B" w14:textId="77777777" w:rsidR="00AD1F54" w:rsidRPr="00264D5D" w:rsidRDefault="00941227">
            <w:pPr>
              <w:pStyle w:val="GOSTTablenorm"/>
              <w:jc w:val="center"/>
              <w:rPr>
                <w:lang w:val="en-US"/>
              </w:rPr>
            </w:pPr>
            <w:r w:rsidRPr="00264D5D">
              <w:rPr>
                <w:lang w:val="en-US"/>
              </w:rPr>
              <w:t>C</w:t>
            </w:r>
          </w:p>
        </w:tc>
        <w:tc>
          <w:tcPr>
            <w:tcW w:w="1134" w:type="dxa"/>
          </w:tcPr>
          <w:p w14:paraId="23AE6AF7" w14:textId="77777777" w:rsidR="00AD1F54" w:rsidRPr="00264D5D" w:rsidRDefault="00941227">
            <w:pPr>
              <w:pStyle w:val="GOSTTablenorm"/>
              <w:rPr>
                <w:lang w:val="en-US"/>
              </w:rPr>
            </w:pPr>
            <w:r w:rsidRPr="00264D5D">
              <w:rPr>
                <w:lang w:val="en-US"/>
              </w:rPr>
              <w:t>tMSC_IncmAdmn</w:t>
            </w:r>
          </w:p>
        </w:tc>
        <w:tc>
          <w:tcPr>
            <w:tcW w:w="567" w:type="dxa"/>
          </w:tcPr>
          <w:p w14:paraId="754A5454" w14:textId="77777777" w:rsidR="00AD1F54" w:rsidRPr="00264D5D" w:rsidRDefault="00941227">
            <w:pPr>
              <w:pStyle w:val="GOSTTablenorm"/>
              <w:jc w:val="center"/>
            </w:pPr>
            <w:r w:rsidRPr="00264D5D">
              <w:t>Н</w:t>
            </w:r>
          </w:p>
        </w:tc>
        <w:tc>
          <w:tcPr>
            <w:tcW w:w="3963" w:type="dxa"/>
          </w:tcPr>
          <w:p w14:paraId="3F92091C" w14:textId="3CC79B3A" w:rsidR="00AD1F54" w:rsidRPr="00264D5D" w:rsidRDefault="00941227">
            <w:pPr>
              <w:pStyle w:val="GOSTTablenorm"/>
            </w:pPr>
            <w:r w:rsidRPr="00264D5D">
              <w:t xml:space="preserve">Состав элемента представлен в таблице </w:t>
            </w:r>
            <w:r w:rsidRPr="00264D5D">
              <w:rPr>
                <w:b/>
              </w:rPr>
              <w:fldChar w:fldCharType="begin"/>
            </w:r>
            <w:r w:rsidRPr="00264D5D">
              <w:rPr>
                <w:b/>
              </w:rPr>
              <w:instrText xml:space="preserve"> REF _Ref503544185 \h  \* MERGEFORMAT </w:instrText>
            </w:r>
            <w:r w:rsidRPr="00264D5D">
              <w:rPr>
                <w:b/>
              </w:rPr>
            </w:r>
            <w:r w:rsidRPr="00264D5D">
              <w:rPr>
                <w:b/>
              </w:rPr>
              <w:fldChar w:fldCharType="separate"/>
            </w:r>
            <w:r w:rsidR="008D797C" w:rsidRPr="008D797C">
              <w:rPr>
                <w:b/>
              </w:rPr>
              <w:t>179</w:t>
            </w:r>
            <w:r w:rsidRPr="00264D5D">
              <w:rPr>
                <w:b/>
              </w:rPr>
              <w:fldChar w:fldCharType="end"/>
            </w:r>
            <w:r w:rsidRPr="00264D5D">
              <w:t>.</w:t>
            </w:r>
          </w:p>
          <w:p w14:paraId="607454E8" w14:textId="77777777" w:rsidR="00AD1F54" w:rsidRPr="00264D5D" w:rsidRDefault="00941227">
            <w:pPr>
              <w:pStyle w:val="GOSTTablenorm"/>
            </w:pPr>
            <w:r w:rsidRPr="00264D5D">
              <w:t xml:space="preserve">Не заполняется при уточнении </w:t>
            </w:r>
            <w:r w:rsidRPr="00264D5D">
              <w:lastRenderedPageBreak/>
              <w:t>поступления, учтенного на казначейском счете до выяснения принадлежности.</w:t>
            </w:r>
          </w:p>
          <w:p w14:paraId="69EA2B09" w14:textId="77777777" w:rsidR="00AD1F54" w:rsidRPr="00264D5D" w:rsidRDefault="00941227">
            <w:pPr>
              <w:pStyle w:val="GOSTTablenorm"/>
            </w:pPr>
            <w:r w:rsidRPr="00264D5D">
              <w:t>Не заполняется в случае указания в поле «Наименование платежного документа» значения «Распоряжение о перечислении денежных средств на банковс</w:t>
            </w:r>
            <w:r w:rsidR="0015097F" w:rsidRPr="00264D5D">
              <w:t>кие карты «Мир» физических лиц»</w:t>
            </w:r>
          </w:p>
        </w:tc>
      </w:tr>
      <w:tr w:rsidR="00AD1F54" w:rsidRPr="00264D5D" w14:paraId="17B62121"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2CB67334" w14:textId="77777777" w:rsidR="00AD1F54" w:rsidRPr="00264D5D" w:rsidRDefault="00941227">
            <w:pPr>
              <w:pStyle w:val="GOSTTablenorm"/>
              <w:rPr>
                <w:szCs w:val="22"/>
              </w:rPr>
            </w:pPr>
            <w:r w:rsidRPr="00264D5D">
              <w:lastRenderedPageBreak/>
              <w:t>Код по ОКТМО</w:t>
            </w:r>
          </w:p>
        </w:tc>
        <w:tc>
          <w:tcPr>
            <w:tcW w:w="1701" w:type="dxa"/>
          </w:tcPr>
          <w:p w14:paraId="6E6E6655" w14:textId="77777777" w:rsidR="00AD1F54" w:rsidRPr="00264D5D" w:rsidRDefault="00941227">
            <w:pPr>
              <w:pStyle w:val="GOSTTablenorm"/>
            </w:pPr>
            <w:r w:rsidRPr="00264D5D">
              <w:rPr>
                <w:lang w:val="en-US"/>
              </w:rPr>
              <w:t>OKTMOCd</w:t>
            </w:r>
          </w:p>
        </w:tc>
        <w:tc>
          <w:tcPr>
            <w:tcW w:w="567" w:type="dxa"/>
          </w:tcPr>
          <w:p w14:paraId="1C58BFEB" w14:textId="77777777" w:rsidR="00AD1F54" w:rsidRPr="00264D5D" w:rsidRDefault="00941227">
            <w:pPr>
              <w:pStyle w:val="GOSTTablenorm"/>
              <w:jc w:val="center"/>
            </w:pPr>
            <w:r w:rsidRPr="00264D5D">
              <w:t>П</w:t>
            </w:r>
          </w:p>
        </w:tc>
        <w:tc>
          <w:tcPr>
            <w:tcW w:w="1134" w:type="dxa"/>
          </w:tcPr>
          <w:p w14:paraId="13C769B9" w14:textId="77777777" w:rsidR="00AD1F54" w:rsidRPr="00264D5D" w:rsidRDefault="00941227">
            <w:pPr>
              <w:pStyle w:val="GOSTTablenorm"/>
            </w:pPr>
            <w:r w:rsidRPr="00264D5D">
              <w:t>Т(8)</w:t>
            </w:r>
          </w:p>
        </w:tc>
        <w:tc>
          <w:tcPr>
            <w:tcW w:w="567" w:type="dxa"/>
          </w:tcPr>
          <w:p w14:paraId="642F9F65" w14:textId="77777777" w:rsidR="00AD1F54" w:rsidRPr="00264D5D" w:rsidRDefault="00941227">
            <w:pPr>
              <w:pStyle w:val="GOSTTablenorm"/>
              <w:jc w:val="center"/>
            </w:pPr>
            <w:r w:rsidRPr="00264D5D">
              <w:t>Н</w:t>
            </w:r>
          </w:p>
        </w:tc>
        <w:tc>
          <w:tcPr>
            <w:tcW w:w="3963" w:type="dxa"/>
          </w:tcPr>
          <w:p w14:paraId="1202C095" w14:textId="77777777" w:rsidR="00AD1F54" w:rsidRPr="00264D5D" w:rsidRDefault="00941227">
            <w:pPr>
              <w:pStyle w:val="GOSTTablenorm"/>
            </w:pPr>
            <w:r w:rsidRPr="00264D5D">
              <w:t>Обязательно при уточнении на счете учета поступлений. Указывается код в соответствии с ОКТМО.</w:t>
            </w:r>
          </w:p>
          <w:p w14:paraId="0EA2D445" w14:textId="77777777" w:rsidR="00AD1F54" w:rsidRPr="00264D5D" w:rsidRDefault="00941227">
            <w:pPr>
              <w:pStyle w:val="GOSTTablenorm"/>
            </w:pPr>
            <w:r w:rsidRPr="00264D5D">
              <w:t>Не заполняется при уточнении поступления, учтенного на казначейском сч</w:t>
            </w:r>
            <w:r w:rsidR="0015097F" w:rsidRPr="00264D5D">
              <w:t>ете до выяснения принадлежности</w:t>
            </w:r>
          </w:p>
        </w:tc>
      </w:tr>
      <w:tr w:rsidR="00AD1F54" w:rsidRPr="00264D5D" w14:paraId="7120CFB3"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1219C18" w14:textId="77777777" w:rsidR="00AD1F54" w:rsidRPr="00264D5D" w:rsidRDefault="00941227">
            <w:pPr>
              <w:pStyle w:val="GOSTTablenorm"/>
            </w:pPr>
            <w:r w:rsidRPr="00264D5D">
              <w:t>Информация о КБК</w:t>
            </w:r>
          </w:p>
        </w:tc>
        <w:tc>
          <w:tcPr>
            <w:tcW w:w="1701" w:type="dxa"/>
          </w:tcPr>
          <w:p w14:paraId="416E2BE5" w14:textId="77777777" w:rsidR="00AD1F54" w:rsidRPr="00264D5D" w:rsidRDefault="00941227">
            <w:pPr>
              <w:pStyle w:val="GOSTTablenorm"/>
              <w:rPr>
                <w:lang w:val="en-US"/>
              </w:rPr>
            </w:pPr>
            <w:r w:rsidRPr="00264D5D">
              <w:rPr>
                <w:lang w:val="en-US"/>
              </w:rPr>
              <w:t>MSC_KBK</w:t>
            </w:r>
          </w:p>
        </w:tc>
        <w:tc>
          <w:tcPr>
            <w:tcW w:w="567" w:type="dxa"/>
          </w:tcPr>
          <w:p w14:paraId="3A96CE9A" w14:textId="77777777" w:rsidR="00AD1F54" w:rsidRPr="00264D5D" w:rsidRDefault="00941227">
            <w:pPr>
              <w:pStyle w:val="GOSTTablenorm"/>
              <w:jc w:val="center"/>
              <w:rPr>
                <w:lang w:val="en-US"/>
              </w:rPr>
            </w:pPr>
            <w:r w:rsidRPr="00264D5D">
              <w:rPr>
                <w:lang w:val="en-US"/>
              </w:rPr>
              <w:t>C</w:t>
            </w:r>
          </w:p>
        </w:tc>
        <w:tc>
          <w:tcPr>
            <w:tcW w:w="1134" w:type="dxa"/>
          </w:tcPr>
          <w:p w14:paraId="4680BEB0" w14:textId="77777777" w:rsidR="00AD1F54" w:rsidRPr="00264D5D" w:rsidRDefault="00941227">
            <w:pPr>
              <w:pStyle w:val="GOSTTablenorm"/>
              <w:rPr>
                <w:lang w:val="en-US"/>
              </w:rPr>
            </w:pPr>
            <w:r w:rsidRPr="00264D5D">
              <w:rPr>
                <w:lang w:val="en-US"/>
              </w:rPr>
              <w:t>tMSC_KBK10_20_31_32</w:t>
            </w:r>
          </w:p>
        </w:tc>
        <w:tc>
          <w:tcPr>
            <w:tcW w:w="567" w:type="dxa"/>
          </w:tcPr>
          <w:p w14:paraId="5420507C" w14:textId="77777777" w:rsidR="00AD1F54" w:rsidRPr="00264D5D" w:rsidRDefault="00941227">
            <w:pPr>
              <w:pStyle w:val="GOSTTablenorm"/>
              <w:jc w:val="center"/>
            </w:pPr>
            <w:r w:rsidRPr="00264D5D">
              <w:t>Н</w:t>
            </w:r>
          </w:p>
        </w:tc>
        <w:tc>
          <w:tcPr>
            <w:tcW w:w="3963" w:type="dxa"/>
          </w:tcPr>
          <w:p w14:paraId="76BC8A1F" w14:textId="06BFAE80" w:rsidR="00AD1F54" w:rsidRPr="00264D5D" w:rsidRDefault="00941227">
            <w:pPr>
              <w:pStyle w:val="GOSTTablenorm"/>
            </w:pPr>
            <w:r w:rsidRPr="00264D5D">
              <w:t xml:space="preserve">Состав элемента представлен в таблице </w:t>
            </w:r>
            <w:r w:rsidRPr="00264D5D">
              <w:rPr>
                <w:b/>
              </w:rPr>
              <w:fldChar w:fldCharType="begin"/>
            </w:r>
            <w:r w:rsidRPr="00264D5D">
              <w:rPr>
                <w:b/>
              </w:rPr>
              <w:instrText xml:space="preserve"> REF _Ref503544220 \h  \* MERGEFORMAT </w:instrText>
            </w:r>
            <w:r w:rsidRPr="00264D5D">
              <w:rPr>
                <w:b/>
              </w:rPr>
            </w:r>
            <w:r w:rsidRPr="00264D5D">
              <w:rPr>
                <w:b/>
              </w:rPr>
              <w:fldChar w:fldCharType="separate"/>
            </w:r>
            <w:r w:rsidR="008D797C" w:rsidRPr="008D797C">
              <w:rPr>
                <w:b/>
              </w:rPr>
              <w:t>180</w:t>
            </w:r>
            <w:r w:rsidRPr="00264D5D">
              <w:rPr>
                <w:b/>
              </w:rPr>
              <w:fldChar w:fldCharType="end"/>
            </w:r>
            <w:r w:rsidRPr="00264D5D">
              <w:t>.</w:t>
            </w:r>
          </w:p>
          <w:p w14:paraId="3A0BC8BD" w14:textId="77777777" w:rsidR="00AD1F54" w:rsidRPr="00264D5D" w:rsidRDefault="00941227">
            <w:pPr>
              <w:pStyle w:val="GOSTTablenorm"/>
            </w:pPr>
            <w:r w:rsidRPr="00264D5D">
              <w:t>Не заполняется при уточнении поступления, учтенного на казначейском сч</w:t>
            </w:r>
            <w:r w:rsidR="0015097F" w:rsidRPr="00264D5D">
              <w:t>ете до выяснения принадлежности</w:t>
            </w:r>
          </w:p>
        </w:tc>
      </w:tr>
    </w:tbl>
    <w:p w14:paraId="12CD0C74" w14:textId="77777777" w:rsidR="00AD1F54" w:rsidRPr="00264D5D" w:rsidRDefault="00941227">
      <w:pPr>
        <w:pStyle w:val="31"/>
      </w:pPr>
      <w:bookmarkStart w:id="1778" w:name="_Toc508712726"/>
      <w:bookmarkStart w:id="1779" w:name="_Toc18509353"/>
      <w:bookmarkStart w:id="1780" w:name="OLE_LINK191"/>
      <w:bookmarkStart w:id="1781" w:name="OLE_LINK192"/>
      <w:r w:rsidRPr="00264D5D">
        <w:t xml:space="preserve"> </w:t>
      </w:r>
      <w:bookmarkStart w:id="1782" w:name="_Toc219309634"/>
      <w:r w:rsidRPr="00264D5D">
        <w:t>Описание комплексного типа «tMSC_PymntOrdr»</w:t>
      </w:r>
      <w:bookmarkEnd w:id="1778"/>
      <w:bookmarkEnd w:id="1779"/>
      <w:bookmarkEnd w:id="1782"/>
    </w:p>
    <w:p w14:paraId="5F636C85" w14:textId="77777777" w:rsidR="00AD1F54" w:rsidRPr="00264D5D" w:rsidRDefault="00941227">
      <w:pPr>
        <w:pStyle w:val="GOSTNormal"/>
      </w:pPr>
      <w:r w:rsidRPr="00264D5D">
        <w:t xml:space="preserve">Описание комплексного типа </w:t>
      </w:r>
      <w:r w:rsidRPr="00264D5D">
        <w:rPr>
          <w:rFonts w:eastAsia="Calibri"/>
        </w:rPr>
        <w:t>«</w:t>
      </w:r>
      <w:r w:rsidRPr="00264D5D">
        <w:rPr>
          <w:szCs w:val="22"/>
          <w:lang w:val="en-US"/>
        </w:rPr>
        <w:t>tMSC</w:t>
      </w:r>
      <w:r w:rsidRPr="00264D5D">
        <w:rPr>
          <w:szCs w:val="22"/>
        </w:rPr>
        <w:t>_</w:t>
      </w:r>
      <w:r w:rsidRPr="00264D5D">
        <w:rPr>
          <w:szCs w:val="22"/>
          <w:lang w:val="en-US"/>
        </w:rPr>
        <w:t>PymntOrdr</w:t>
      </w:r>
      <w:r w:rsidRPr="00264D5D">
        <w:t>» блока «Информация о платежном документе».</w:t>
      </w:r>
    </w:p>
    <w:p w14:paraId="044714DE" w14:textId="2F56CB1D" w:rsidR="00AD1F54" w:rsidRPr="00264D5D" w:rsidRDefault="001E5517">
      <w:pPr>
        <w:pStyle w:val="GOSTNameTable"/>
        <w:numPr>
          <w:ilvl w:val="0"/>
          <w:numId w:val="2"/>
        </w:numPr>
        <w:ind w:left="425" w:hanging="357"/>
      </w:pPr>
      <w:r w:rsidRPr="00264D5D">
        <w:rPr>
          <w:noProof/>
        </w:rPr>
        <w:fldChar w:fldCharType="begin"/>
      </w:r>
      <w:r w:rsidRPr="00264D5D">
        <w:rPr>
          <w:noProof/>
        </w:rPr>
        <w:instrText xml:space="preserve"> SEQ Таблица \* ARABIC </w:instrText>
      </w:r>
      <w:r w:rsidRPr="00264D5D">
        <w:rPr>
          <w:noProof/>
        </w:rPr>
        <w:fldChar w:fldCharType="separate"/>
      </w:r>
      <w:bookmarkStart w:id="1783" w:name="_Ref503544179"/>
      <w:bookmarkStart w:id="1784" w:name="_Toc18509631"/>
      <w:bookmarkStart w:id="1785" w:name="_Toc219309208"/>
      <w:r w:rsidR="008D797C">
        <w:rPr>
          <w:noProof/>
        </w:rPr>
        <w:t>178</w:t>
      </w:r>
      <w:bookmarkEnd w:id="1783"/>
      <w:r w:rsidRPr="00264D5D">
        <w:rPr>
          <w:noProof/>
        </w:rPr>
        <w:fldChar w:fldCharType="end"/>
      </w:r>
      <w:r w:rsidR="00941227" w:rsidRPr="00264D5D">
        <w:t xml:space="preserve"> – Описание комплексного типа «tMSC_PymntOrdr»</w:t>
      </w:r>
      <w:bookmarkEnd w:id="1780"/>
      <w:bookmarkEnd w:id="1781"/>
      <w:bookmarkEnd w:id="1784"/>
      <w:bookmarkEnd w:id="1785"/>
    </w:p>
    <w:tbl>
      <w:tblPr>
        <w:tblStyle w:val="GOSTTable"/>
        <w:tblW w:w="9635" w:type="dxa"/>
        <w:tblLayout w:type="fixed"/>
        <w:tblLook w:val="01E0" w:firstRow="1" w:lastRow="1" w:firstColumn="1" w:lastColumn="1" w:noHBand="0" w:noVBand="0"/>
      </w:tblPr>
      <w:tblGrid>
        <w:gridCol w:w="1700"/>
        <w:gridCol w:w="1700"/>
        <w:gridCol w:w="567"/>
        <w:gridCol w:w="1133"/>
        <w:gridCol w:w="572"/>
        <w:gridCol w:w="3963"/>
      </w:tblGrid>
      <w:tr w:rsidR="00AD1F54" w:rsidRPr="00264D5D" w14:paraId="7CB37E89"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0" w:type="dxa"/>
          </w:tcPr>
          <w:p w14:paraId="35F8475D" w14:textId="77777777" w:rsidR="00AD1F54" w:rsidRPr="00264D5D" w:rsidRDefault="00941227">
            <w:pPr>
              <w:pStyle w:val="ASFKTableHead"/>
            </w:pPr>
            <w:r w:rsidRPr="00264D5D">
              <w:t>Наименование элемента</w:t>
            </w:r>
          </w:p>
        </w:tc>
        <w:tc>
          <w:tcPr>
            <w:tcW w:w="1700" w:type="dxa"/>
          </w:tcPr>
          <w:p w14:paraId="10D695E7" w14:textId="77777777" w:rsidR="00AD1F54" w:rsidRPr="00264D5D" w:rsidRDefault="00941227">
            <w:pPr>
              <w:pStyle w:val="ASFKTableHead"/>
            </w:pPr>
            <w:r w:rsidRPr="00264D5D">
              <w:t>Сокращенное наименование (код) элемента</w:t>
            </w:r>
          </w:p>
        </w:tc>
        <w:tc>
          <w:tcPr>
            <w:tcW w:w="567" w:type="dxa"/>
          </w:tcPr>
          <w:p w14:paraId="13416D9A" w14:textId="77777777" w:rsidR="00AD1F54" w:rsidRPr="00264D5D" w:rsidRDefault="00941227">
            <w:pPr>
              <w:pStyle w:val="ASFKTableHead"/>
            </w:pPr>
            <w:r w:rsidRPr="00264D5D">
              <w:t>Тип</w:t>
            </w:r>
          </w:p>
        </w:tc>
        <w:tc>
          <w:tcPr>
            <w:tcW w:w="1133" w:type="dxa"/>
          </w:tcPr>
          <w:p w14:paraId="501666A4" w14:textId="77777777" w:rsidR="00AD1F54" w:rsidRPr="00264D5D" w:rsidRDefault="00941227">
            <w:pPr>
              <w:pStyle w:val="ASFKTableHead"/>
            </w:pPr>
            <w:r w:rsidRPr="00264D5D">
              <w:t>Формат элемента</w:t>
            </w:r>
          </w:p>
        </w:tc>
        <w:tc>
          <w:tcPr>
            <w:tcW w:w="572" w:type="dxa"/>
          </w:tcPr>
          <w:p w14:paraId="066C762D" w14:textId="77777777" w:rsidR="00AD1F54" w:rsidRPr="00264D5D" w:rsidRDefault="00941227">
            <w:pPr>
              <w:pStyle w:val="ASFKTableHead"/>
            </w:pPr>
            <w:r w:rsidRPr="00264D5D">
              <w:t>Обязательность</w:t>
            </w:r>
          </w:p>
        </w:tc>
        <w:tc>
          <w:tcPr>
            <w:tcW w:w="3963" w:type="dxa"/>
          </w:tcPr>
          <w:p w14:paraId="09FE5299" w14:textId="77777777" w:rsidR="00AD1F54" w:rsidRPr="00264D5D" w:rsidRDefault="00941227">
            <w:pPr>
              <w:pStyle w:val="ASFKTableHead"/>
            </w:pPr>
            <w:r w:rsidRPr="00264D5D">
              <w:t>Дополнительная информация</w:t>
            </w:r>
          </w:p>
        </w:tc>
      </w:tr>
      <w:tr w:rsidR="00AD1F54" w:rsidRPr="00264D5D" w14:paraId="7AEFA499" w14:textId="77777777" w:rsidTr="00AD1F54">
        <w:trPr>
          <w:cnfStyle w:val="000000100000" w:firstRow="0" w:lastRow="0" w:firstColumn="0" w:lastColumn="0" w:oddVBand="0" w:evenVBand="0" w:oddHBand="1" w:evenHBand="0" w:firstRowFirstColumn="0" w:firstRowLastColumn="0" w:lastRowFirstColumn="0" w:lastRowLastColumn="0"/>
        </w:trPr>
        <w:tc>
          <w:tcPr>
            <w:tcW w:w="1700" w:type="dxa"/>
          </w:tcPr>
          <w:p w14:paraId="0D0A4E80" w14:textId="77777777" w:rsidR="00AD1F54" w:rsidRPr="00264D5D" w:rsidRDefault="00941227">
            <w:pPr>
              <w:pStyle w:val="GOSTTablenorm"/>
              <w:rPr>
                <w:szCs w:val="22"/>
              </w:rPr>
            </w:pPr>
            <w:r w:rsidRPr="00264D5D">
              <w:rPr>
                <w:szCs w:val="22"/>
              </w:rPr>
              <w:t>Глобальный идентификатор платежного документа</w:t>
            </w:r>
          </w:p>
        </w:tc>
        <w:tc>
          <w:tcPr>
            <w:tcW w:w="1700" w:type="dxa"/>
          </w:tcPr>
          <w:p w14:paraId="5F723A5F" w14:textId="77777777" w:rsidR="00AD1F54" w:rsidRPr="00264D5D" w:rsidRDefault="00941227">
            <w:pPr>
              <w:pStyle w:val="GOSTTablenorm"/>
              <w:rPr>
                <w:szCs w:val="22"/>
                <w:lang w:val="en-US"/>
              </w:rPr>
            </w:pPr>
            <w:r w:rsidRPr="00264D5D">
              <w:rPr>
                <w:szCs w:val="22"/>
                <w:lang w:val="en-US"/>
              </w:rPr>
              <w:t>GUID</w:t>
            </w:r>
          </w:p>
        </w:tc>
        <w:tc>
          <w:tcPr>
            <w:tcW w:w="567" w:type="dxa"/>
          </w:tcPr>
          <w:p w14:paraId="3C363F5B" w14:textId="77777777" w:rsidR="00AD1F54" w:rsidRPr="00264D5D" w:rsidRDefault="00941227">
            <w:pPr>
              <w:pStyle w:val="GOSTTablenorm"/>
              <w:jc w:val="center"/>
              <w:rPr>
                <w:szCs w:val="22"/>
              </w:rPr>
            </w:pPr>
            <w:r w:rsidRPr="00264D5D">
              <w:rPr>
                <w:szCs w:val="22"/>
              </w:rPr>
              <w:t>П</w:t>
            </w:r>
          </w:p>
        </w:tc>
        <w:tc>
          <w:tcPr>
            <w:tcW w:w="1133" w:type="dxa"/>
          </w:tcPr>
          <w:p w14:paraId="08294EAB" w14:textId="77777777" w:rsidR="00AD1F54" w:rsidRPr="00264D5D" w:rsidRDefault="00941227">
            <w:pPr>
              <w:pStyle w:val="GOSTTablenorm"/>
              <w:rPr>
                <w:szCs w:val="22"/>
              </w:rPr>
            </w:pPr>
            <w:r w:rsidRPr="00264D5D">
              <w:t>GUID</w:t>
            </w:r>
          </w:p>
        </w:tc>
        <w:tc>
          <w:tcPr>
            <w:tcW w:w="572" w:type="dxa"/>
          </w:tcPr>
          <w:p w14:paraId="33BBA9F9" w14:textId="77777777" w:rsidR="00AD1F54" w:rsidRPr="00264D5D" w:rsidRDefault="00941227">
            <w:pPr>
              <w:pStyle w:val="GOSTTablenorm"/>
              <w:jc w:val="center"/>
              <w:rPr>
                <w:szCs w:val="22"/>
              </w:rPr>
            </w:pPr>
            <w:r w:rsidRPr="00264D5D">
              <w:rPr>
                <w:szCs w:val="22"/>
              </w:rPr>
              <w:t>Н</w:t>
            </w:r>
          </w:p>
        </w:tc>
        <w:tc>
          <w:tcPr>
            <w:tcW w:w="3963" w:type="dxa"/>
          </w:tcPr>
          <w:p w14:paraId="4174839C" w14:textId="77777777" w:rsidR="00AD1F54" w:rsidRPr="00264D5D" w:rsidRDefault="00941227">
            <w:pPr>
              <w:pStyle w:val="GOSTTablenorm"/>
              <w:rPr>
                <w:szCs w:val="22"/>
              </w:rPr>
            </w:pPr>
            <w:r w:rsidRPr="00264D5D">
              <w:rPr>
                <w:szCs w:val="22"/>
              </w:rPr>
              <w:t xml:space="preserve">Уникальный электронный номер уточняемого документа, присвоенный ТОФК. </w:t>
            </w:r>
          </w:p>
          <w:p w14:paraId="2DE9BC75" w14:textId="77777777" w:rsidR="00AD1F54" w:rsidRPr="00264D5D" w:rsidRDefault="00941227">
            <w:pPr>
              <w:pStyle w:val="GOSTTablenorm"/>
              <w:rPr>
                <w:szCs w:val="22"/>
              </w:rPr>
            </w:pPr>
            <w:r w:rsidRPr="00264D5D">
              <w:t>Поле обязательно для заполнения при уточнении НВС</w:t>
            </w:r>
            <w:r w:rsidRPr="00264D5D">
              <w:rPr>
                <w:szCs w:val="22"/>
              </w:rPr>
              <w:t>, а также при уточнении поступлений, учтенных на казначейском сч</w:t>
            </w:r>
            <w:r w:rsidR="0015097F" w:rsidRPr="00264D5D">
              <w:rPr>
                <w:szCs w:val="22"/>
              </w:rPr>
              <w:t>ете до выяснения принадлежности</w:t>
            </w:r>
          </w:p>
        </w:tc>
      </w:tr>
      <w:tr w:rsidR="00AD1F54" w:rsidRPr="00264D5D" w14:paraId="659EB0E3" w14:textId="77777777" w:rsidTr="00AD1F54">
        <w:trPr>
          <w:cnfStyle w:val="000000010000" w:firstRow="0" w:lastRow="0" w:firstColumn="0" w:lastColumn="0" w:oddVBand="0" w:evenVBand="0" w:oddHBand="0" w:evenHBand="1" w:firstRowFirstColumn="0" w:firstRowLastColumn="0" w:lastRowFirstColumn="0" w:lastRowLastColumn="0"/>
        </w:trPr>
        <w:tc>
          <w:tcPr>
            <w:tcW w:w="1700" w:type="dxa"/>
          </w:tcPr>
          <w:p w14:paraId="568A8874" w14:textId="77777777" w:rsidR="00AD1F54" w:rsidRPr="00264D5D" w:rsidRDefault="00941227">
            <w:pPr>
              <w:pStyle w:val="GOSTTablenorm"/>
              <w:rPr>
                <w:szCs w:val="22"/>
              </w:rPr>
            </w:pPr>
            <w:r w:rsidRPr="00264D5D">
              <w:rPr>
                <w:szCs w:val="22"/>
              </w:rPr>
              <w:t>Код платежного документа</w:t>
            </w:r>
          </w:p>
        </w:tc>
        <w:tc>
          <w:tcPr>
            <w:tcW w:w="1700" w:type="dxa"/>
          </w:tcPr>
          <w:p w14:paraId="1BA1A22F" w14:textId="77777777" w:rsidR="00AD1F54" w:rsidRPr="00264D5D" w:rsidRDefault="00941227">
            <w:pPr>
              <w:pStyle w:val="GOSTTablenorm"/>
              <w:rPr>
                <w:szCs w:val="22"/>
                <w:lang w:val="en-US"/>
              </w:rPr>
            </w:pPr>
            <w:r w:rsidRPr="00264D5D">
              <w:rPr>
                <w:szCs w:val="22"/>
                <w:lang w:val="en-US"/>
              </w:rPr>
              <w:t>Cd</w:t>
            </w:r>
          </w:p>
        </w:tc>
        <w:tc>
          <w:tcPr>
            <w:tcW w:w="567" w:type="dxa"/>
          </w:tcPr>
          <w:p w14:paraId="22D7A8F6" w14:textId="77777777" w:rsidR="00AD1F54" w:rsidRPr="00264D5D" w:rsidRDefault="00941227">
            <w:pPr>
              <w:pStyle w:val="GOSTTablenorm"/>
              <w:jc w:val="center"/>
              <w:rPr>
                <w:szCs w:val="22"/>
              </w:rPr>
            </w:pPr>
            <w:r w:rsidRPr="00264D5D">
              <w:rPr>
                <w:szCs w:val="22"/>
              </w:rPr>
              <w:t>П</w:t>
            </w:r>
          </w:p>
        </w:tc>
        <w:tc>
          <w:tcPr>
            <w:tcW w:w="1133" w:type="dxa"/>
          </w:tcPr>
          <w:p w14:paraId="4679AE92" w14:textId="77777777" w:rsidR="00AD1F54" w:rsidRPr="00264D5D" w:rsidRDefault="00941227">
            <w:pPr>
              <w:pStyle w:val="GOSTTablenorm"/>
              <w:rPr>
                <w:szCs w:val="22"/>
              </w:rPr>
            </w:pPr>
            <w:r w:rsidRPr="00264D5D">
              <w:rPr>
                <w:szCs w:val="22"/>
              </w:rPr>
              <w:t>Т(</w:t>
            </w:r>
            <w:r w:rsidRPr="00264D5D">
              <w:rPr>
                <w:szCs w:val="22"/>
                <w:lang w:val="en-US"/>
              </w:rPr>
              <w:t>2</w:t>
            </w:r>
            <w:r w:rsidRPr="00264D5D">
              <w:rPr>
                <w:szCs w:val="22"/>
              </w:rPr>
              <w:t>)</w:t>
            </w:r>
          </w:p>
        </w:tc>
        <w:tc>
          <w:tcPr>
            <w:tcW w:w="572" w:type="dxa"/>
          </w:tcPr>
          <w:p w14:paraId="452B02A3" w14:textId="77777777" w:rsidR="00AD1F54" w:rsidRPr="00264D5D" w:rsidRDefault="00941227">
            <w:pPr>
              <w:pStyle w:val="GOSTTablenorm"/>
              <w:jc w:val="center"/>
              <w:rPr>
                <w:szCs w:val="22"/>
              </w:rPr>
            </w:pPr>
            <w:r w:rsidRPr="00264D5D">
              <w:rPr>
                <w:szCs w:val="22"/>
              </w:rPr>
              <w:t>Н</w:t>
            </w:r>
          </w:p>
        </w:tc>
        <w:tc>
          <w:tcPr>
            <w:tcW w:w="3963" w:type="dxa"/>
          </w:tcPr>
          <w:p w14:paraId="1E10FAC3" w14:textId="77777777" w:rsidR="00AD1F54" w:rsidRPr="00264D5D" w:rsidRDefault="00941227">
            <w:pPr>
              <w:pStyle w:val="GOSTTablenorm"/>
              <w:rPr>
                <w:szCs w:val="22"/>
              </w:rPr>
            </w:pPr>
            <w:r w:rsidRPr="00264D5D">
              <w:rPr>
                <w:szCs w:val="22"/>
              </w:rPr>
              <w:t>Код уточняемого документа.</w:t>
            </w:r>
          </w:p>
          <w:p w14:paraId="0C70D2A0" w14:textId="77777777" w:rsidR="00AD1F54" w:rsidRPr="00264D5D" w:rsidRDefault="00941227">
            <w:pPr>
              <w:pStyle w:val="GOSTTablenorm"/>
            </w:pPr>
            <w:r w:rsidRPr="00264D5D">
              <w:t xml:space="preserve">Не заполняется при уточнении на едином счете бюджета в случае изменения КБК на основании НПА для </w:t>
            </w:r>
            <w:r w:rsidRPr="00264D5D">
              <w:lastRenderedPageBreak/>
              <w:t>ПБС.</w:t>
            </w:r>
          </w:p>
          <w:p w14:paraId="5F4CF80C" w14:textId="77777777" w:rsidR="00AD1F54" w:rsidRPr="00264D5D" w:rsidRDefault="00941227">
            <w:pPr>
              <w:pStyle w:val="GOSTTablenorm"/>
            </w:pPr>
            <w:r w:rsidRPr="00264D5D">
              <w:t>В остальных случаях обязательно для заполнения.</w:t>
            </w:r>
          </w:p>
          <w:p w14:paraId="26D4DFD8" w14:textId="77777777" w:rsidR="00AD1F54" w:rsidRPr="00264D5D" w:rsidRDefault="00941227">
            <w:pPr>
              <w:pStyle w:val="GOSTTablenorm"/>
            </w:pPr>
            <w:r w:rsidRPr="00264D5D">
              <w:t>Возможные значения:</w:t>
            </w:r>
          </w:p>
          <w:p w14:paraId="4F9C2222" w14:textId="77777777" w:rsidR="00AD1F54" w:rsidRPr="00264D5D" w:rsidRDefault="00941227" w:rsidP="00E7460C">
            <w:pPr>
              <w:pStyle w:val="GOSTTablenorm"/>
              <w:numPr>
                <w:ilvl w:val="0"/>
                <w:numId w:val="87"/>
              </w:numPr>
              <w:ind w:left="284" w:hanging="227"/>
            </w:pPr>
            <w:r w:rsidRPr="00264D5D">
              <w:t>PP – Платежное поручение;</w:t>
            </w:r>
          </w:p>
          <w:p w14:paraId="33D642D3" w14:textId="77777777" w:rsidR="00AD1F54" w:rsidRPr="00264D5D" w:rsidRDefault="00941227" w:rsidP="00E7460C">
            <w:pPr>
              <w:pStyle w:val="GOSTTablenorm"/>
              <w:numPr>
                <w:ilvl w:val="0"/>
                <w:numId w:val="87"/>
              </w:numPr>
              <w:ind w:left="284" w:hanging="227"/>
            </w:pPr>
            <w:r w:rsidRPr="00264D5D">
              <w:t>PL – Поручение о перечислении на счет;</w:t>
            </w:r>
          </w:p>
          <w:p w14:paraId="3DCE75A4" w14:textId="77777777" w:rsidR="00AD1F54" w:rsidRPr="00264D5D" w:rsidRDefault="00941227" w:rsidP="00E7460C">
            <w:pPr>
              <w:pStyle w:val="GOSTTablenorm"/>
              <w:numPr>
                <w:ilvl w:val="0"/>
                <w:numId w:val="87"/>
              </w:numPr>
              <w:ind w:left="284" w:hanging="227"/>
            </w:pPr>
            <w:r w:rsidRPr="00264D5D">
              <w:t>ZR – Заявка на кассовый расход;</w:t>
            </w:r>
          </w:p>
          <w:p w14:paraId="3483D804" w14:textId="77777777" w:rsidR="00AD1F54" w:rsidRPr="00264D5D" w:rsidRDefault="00941227" w:rsidP="00E7460C">
            <w:pPr>
              <w:pStyle w:val="GOSTTablenorm"/>
              <w:numPr>
                <w:ilvl w:val="0"/>
                <w:numId w:val="87"/>
              </w:numPr>
              <w:ind w:left="284" w:hanging="227"/>
            </w:pPr>
            <w:r w:rsidRPr="00264D5D">
              <w:t>ZK – Сводная заявка на кассовый расход (для уплаты налогов);</w:t>
            </w:r>
          </w:p>
          <w:p w14:paraId="4102D736" w14:textId="77777777" w:rsidR="00AD1F54" w:rsidRPr="00264D5D" w:rsidRDefault="00941227" w:rsidP="00E7460C">
            <w:pPr>
              <w:pStyle w:val="GOSTTablenorm"/>
              <w:numPr>
                <w:ilvl w:val="0"/>
                <w:numId w:val="87"/>
              </w:numPr>
              <w:ind w:left="284" w:hanging="227"/>
            </w:pPr>
            <w:r w:rsidRPr="00264D5D">
              <w:t>ZS – Заявка на получение наличных денег;</w:t>
            </w:r>
          </w:p>
          <w:p w14:paraId="25071094" w14:textId="77777777" w:rsidR="00AD1F54" w:rsidRPr="00264D5D" w:rsidRDefault="00941227" w:rsidP="00E7460C">
            <w:pPr>
              <w:pStyle w:val="GOSTTablenorm"/>
              <w:numPr>
                <w:ilvl w:val="0"/>
                <w:numId w:val="87"/>
              </w:numPr>
              <w:ind w:left="284" w:hanging="227"/>
            </w:pPr>
            <w:r w:rsidRPr="00264D5D">
              <w:t>ZN – Заявка на получение денежных средств, перечисляемых на карту;</w:t>
            </w:r>
          </w:p>
          <w:p w14:paraId="1B13CF11" w14:textId="77777777" w:rsidR="00AD1F54" w:rsidRPr="00264D5D" w:rsidRDefault="00941227" w:rsidP="00E7460C">
            <w:pPr>
              <w:pStyle w:val="GOSTTablenorm"/>
              <w:numPr>
                <w:ilvl w:val="0"/>
                <w:numId w:val="87"/>
              </w:numPr>
              <w:ind w:left="284" w:hanging="227"/>
            </w:pPr>
            <w:r w:rsidRPr="00264D5D">
              <w:t>UF – Уведомление об уточнении вида и принадлежности платежа;</w:t>
            </w:r>
          </w:p>
          <w:p w14:paraId="61FB75B9" w14:textId="77777777" w:rsidR="00AD1F54" w:rsidRPr="00264D5D" w:rsidRDefault="00941227" w:rsidP="00E7460C">
            <w:pPr>
              <w:pStyle w:val="GOSTTablenorm"/>
              <w:numPr>
                <w:ilvl w:val="0"/>
                <w:numId w:val="87"/>
              </w:numPr>
              <w:ind w:left="284" w:hanging="227"/>
            </w:pPr>
            <w:r w:rsidRPr="00264D5D">
              <w:t>ZV – Заявка на возврат;</w:t>
            </w:r>
          </w:p>
          <w:p w14:paraId="06E01D0B" w14:textId="77777777" w:rsidR="00AD1F54" w:rsidRPr="00264D5D" w:rsidRDefault="00941227" w:rsidP="00E7460C">
            <w:pPr>
              <w:pStyle w:val="GOSTTablenorm"/>
              <w:numPr>
                <w:ilvl w:val="0"/>
                <w:numId w:val="87"/>
              </w:numPr>
              <w:ind w:left="284" w:hanging="227"/>
            </w:pPr>
            <w:r w:rsidRPr="00264D5D">
              <w:t xml:space="preserve">MR – Распоряжение о перечислении денежных средств на банковские карты «Мир» физических лиц; </w:t>
            </w:r>
          </w:p>
          <w:p w14:paraId="5EC6D283" w14:textId="77777777" w:rsidR="00AD1F54" w:rsidRPr="00264D5D" w:rsidRDefault="00941227" w:rsidP="00E7460C">
            <w:pPr>
              <w:pStyle w:val="GOSTTablenorm"/>
              <w:numPr>
                <w:ilvl w:val="0"/>
                <w:numId w:val="87"/>
              </w:numPr>
              <w:ind w:left="284" w:hanging="227"/>
            </w:pPr>
            <w:r w:rsidRPr="00264D5D">
              <w:t>AT – Акт приемки-передачи;</w:t>
            </w:r>
          </w:p>
          <w:p w14:paraId="0C86C92E" w14:textId="77777777" w:rsidR="00AD1F54" w:rsidRPr="00264D5D" w:rsidRDefault="00941227" w:rsidP="00E7460C">
            <w:pPr>
              <w:pStyle w:val="GOSTTablenorm"/>
              <w:numPr>
                <w:ilvl w:val="0"/>
                <w:numId w:val="87"/>
              </w:numPr>
              <w:ind w:left="284" w:hanging="227"/>
            </w:pPr>
            <w:r w:rsidRPr="00264D5D">
              <w:t>ZP – Заявка для обеспечения наличными денежными средствами в электронном виде;</w:t>
            </w:r>
          </w:p>
          <w:p w14:paraId="29E0982B" w14:textId="77777777" w:rsidR="00AD1F54" w:rsidRPr="00264D5D" w:rsidRDefault="00941227" w:rsidP="00E7460C">
            <w:pPr>
              <w:pStyle w:val="GOSTTablenorm"/>
              <w:numPr>
                <w:ilvl w:val="0"/>
                <w:numId w:val="87"/>
              </w:numPr>
              <w:ind w:left="284" w:hanging="227"/>
            </w:pPr>
            <w:r w:rsidRPr="00264D5D">
              <w:rPr>
                <w:lang w:val="en-US"/>
              </w:rPr>
              <w:t>ZI</w:t>
            </w:r>
            <w:r w:rsidRPr="00264D5D">
              <w:t xml:space="preserve"> – Заявление на проведение операций с иностранной валютой;</w:t>
            </w:r>
          </w:p>
          <w:p w14:paraId="283A74C7" w14:textId="77777777" w:rsidR="00AD1F54" w:rsidRPr="00264D5D" w:rsidRDefault="00941227" w:rsidP="00E7460C">
            <w:pPr>
              <w:pStyle w:val="GOSTTablenorm"/>
              <w:numPr>
                <w:ilvl w:val="0"/>
                <w:numId w:val="87"/>
              </w:numPr>
              <w:ind w:left="284" w:hanging="227"/>
            </w:pPr>
            <w:r w:rsidRPr="00264D5D">
              <w:rPr>
                <w:lang w:val="en-US"/>
              </w:rPr>
              <w:t>IZ</w:t>
            </w:r>
            <w:r w:rsidRPr="00264D5D">
              <w:t xml:space="preserve"> – Извещение о п</w:t>
            </w:r>
            <w:r w:rsidR="0015097F" w:rsidRPr="00264D5D">
              <w:t>оступлении в иностранной валюте</w:t>
            </w:r>
          </w:p>
        </w:tc>
      </w:tr>
      <w:tr w:rsidR="00AD1F54" w:rsidRPr="00264D5D" w14:paraId="1F53A819" w14:textId="77777777" w:rsidTr="00AD1F54">
        <w:trPr>
          <w:cnfStyle w:val="000000100000" w:firstRow="0" w:lastRow="0" w:firstColumn="0" w:lastColumn="0" w:oddVBand="0" w:evenVBand="0" w:oddHBand="1" w:evenHBand="0" w:firstRowFirstColumn="0" w:firstRowLastColumn="0" w:lastRowFirstColumn="0" w:lastRowLastColumn="0"/>
        </w:trPr>
        <w:tc>
          <w:tcPr>
            <w:tcW w:w="1700" w:type="dxa"/>
          </w:tcPr>
          <w:p w14:paraId="13F4CFF5" w14:textId="77777777" w:rsidR="00AD1F54" w:rsidRPr="00264D5D" w:rsidRDefault="00941227">
            <w:pPr>
              <w:pStyle w:val="GOSTTablenorm"/>
              <w:rPr>
                <w:szCs w:val="22"/>
              </w:rPr>
            </w:pPr>
            <w:r w:rsidRPr="00264D5D">
              <w:rPr>
                <w:szCs w:val="22"/>
              </w:rPr>
              <w:lastRenderedPageBreak/>
              <w:t>Наименование платежного документа</w:t>
            </w:r>
          </w:p>
        </w:tc>
        <w:tc>
          <w:tcPr>
            <w:tcW w:w="1700" w:type="dxa"/>
          </w:tcPr>
          <w:p w14:paraId="31DA952A" w14:textId="77777777" w:rsidR="00AD1F54" w:rsidRPr="00264D5D" w:rsidRDefault="00941227">
            <w:pPr>
              <w:pStyle w:val="GOSTTablenorm"/>
              <w:rPr>
                <w:szCs w:val="22"/>
                <w:lang w:val="en-US"/>
              </w:rPr>
            </w:pPr>
            <w:r w:rsidRPr="00264D5D">
              <w:rPr>
                <w:szCs w:val="22"/>
                <w:lang w:val="en-US"/>
              </w:rPr>
              <w:t>Nm</w:t>
            </w:r>
          </w:p>
        </w:tc>
        <w:tc>
          <w:tcPr>
            <w:tcW w:w="567" w:type="dxa"/>
          </w:tcPr>
          <w:p w14:paraId="299937B6" w14:textId="77777777" w:rsidR="00AD1F54" w:rsidRPr="00264D5D" w:rsidRDefault="00941227">
            <w:pPr>
              <w:pStyle w:val="GOSTTablenorm"/>
              <w:jc w:val="center"/>
              <w:rPr>
                <w:szCs w:val="22"/>
              </w:rPr>
            </w:pPr>
            <w:r w:rsidRPr="00264D5D">
              <w:rPr>
                <w:szCs w:val="22"/>
              </w:rPr>
              <w:t>П</w:t>
            </w:r>
          </w:p>
        </w:tc>
        <w:tc>
          <w:tcPr>
            <w:tcW w:w="1133" w:type="dxa"/>
          </w:tcPr>
          <w:p w14:paraId="75FB1795" w14:textId="77777777" w:rsidR="00AD1F54" w:rsidRPr="00264D5D" w:rsidRDefault="00941227">
            <w:pPr>
              <w:pStyle w:val="GOSTTablenorm"/>
              <w:rPr>
                <w:szCs w:val="22"/>
              </w:rPr>
            </w:pPr>
            <w:r w:rsidRPr="00264D5D">
              <w:rPr>
                <w:szCs w:val="22"/>
              </w:rPr>
              <w:t>Т(</w:t>
            </w:r>
            <w:r w:rsidRPr="00264D5D">
              <w:rPr>
                <w:szCs w:val="22"/>
                <w:lang w:val="en-US"/>
              </w:rPr>
              <w:t>1-160</w:t>
            </w:r>
            <w:r w:rsidRPr="00264D5D">
              <w:rPr>
                <w:szCs w:val="22"/>
              </w:rPr>
              <w:t>)</w:t>
            </w:r>
          </w:p>
        </w:tc>
        <w:tc>
          <w:tcPr>
            <w:tcW w:w="572" w:type="dxa"/>
          </w:tcPr>
          <w:p w14:paraId="3CC4A07F" w14:textId="77777777" w:rsidR="00AD1F54" w:rsidRPr="00264D5D" w:rsidRDefault="00941227">
            <w:pPr>
              <w:pStyle w:val="GOSTTablenorm"/>
              <w:jc w:val="center"/>
              <w:rPr>
                <w:szCs w:val="22"/>
              </w:rPr>
            </w:pPr>
            <w:r w:rsidRPr="00264D5D">
              <w:rPr>
                <w:szCs w:val="22"/>
              </w:rPr>
              <w:t>Н</w:t>
            </w:r>
          </w:p>
        </w:tc>
        <w:tc>
          <w:tcPr>
            <w:tcW w:w="3963" w:type="dxa"/>
          </w:tcPr>
          <w:p w14:paraId="5E4DFB3B" w14:textId="77777777" w:rsidR="00AD1F54" w:rsidRPr="00264D5D" w:rsidRDefault="00941227">
            <w:pPr>
              <w:pStyle w:val="GOSTTablenorm"/>
              <w:rPr>
                <w:szCs w:val="22"/>
              </w:rPr>
            </w:pPr>
            <w:r w:rsidRPr="00264D5D">
              <w:rPr>
                <w:szCs w:val="22"/>
              </w:rPr>
              <w:t>Указывается наименование уточняемого документа.</w:t>
            </w:r>
          </w:p>
          <w:p w14:paraId="70ABF121" w14:textId="77777777" w:rsidR="00AD1F54" w:rsidRPr="00264D5D" w:rsidRDefault="00941227">
            <w:pPr>
              <w:pStyle w:val="GOSTTablenorm"/>
            </w:pPr>
            <w:r w:rsidRPr="00264D5D">
              <w:t>Не заполняется при уточнении на едином счете бюджета в случае изменения КБК на основании НПА для ПБС.</w:t>
            </w:r>
          </w:p>
          <w:p w14:paraId="0F4E7202" w14:textId="77777777" w:rsidR="00AD1F54" w:rsidRPr="00264D5D" w:rsidRDefault="00941227">
            <w:pPr>
              <w:pStyle w:val="GOSTTablenorm"/>
            </w:pPr>
            <w:r w:rsidRPr="00264D5D">
              <w:t>В остальных случаях обязательно для заполнения.</w:t>
            </w:r>
          </w:p>
          <w:p w14:paraId="4F78634F" w14:textId="77777777" w:rsidR="00AD1F54" w:rsidRPr="00264D5D" w:rsidRDefault="00941227">
            <w:pPr>
              <w:pStyle w:val="GOSTTablenorm"/>
            </w:pPr>
            <w:r w:rsidRPr="00264D5D">
              <w:t>Возможные значения:</w:t>
            </w:r>
          </w:p>
          <w:p w14:paraId="5886AA76" w14:textId="77777777" w:rsidR="00AD1F54" w:rsidRPr="00264D5D" w:rsidRDefault="00941227" w:rsidP="00E7460C">
            <w:pPr>
              <w:pStyle w:val="GOSTTablenorm"/>
              <w:numPr>
                <w:ilvl w:val="0"/>
                <w:numId w:val="87"/>
              </w:numPr>
              <w:ind w:left="284" w:hanging="227"/>
            </w:pPr>
            <w:r w:rsidRPr="00264D5D">
              <w:t>Платежное поручение;</w:t>
            </w:r>
          </w:p>
          <w:p w14:paraId="414645C3" w14:textId="77777777" w:rsidR="00AD1F54" w:rsidRPr="00264D5D" w:rsidRDefault="00941227" w:rsidP="00E7460C">
            <w:pPr>
              <w:pStyle w:val="GOSTTablenorm"/>
              <w:numPr>
                <w:ilvl w:val="0"/>
                <w:numId w:val="87"/>
              </w:numPr>
              <w:ind w:left="284" w:hanging="227"/>
            </w:pPr>
            <w:r w:rsidRPr="00264D5D">
              <w:t>Поручение о перечислении на счет;</w:t>
            </w:r>
          </w:p>
          <w:p w14:paraId="3FEF1BF6" w14:textId="77777777" w:rsidR="00AD1F54" w:rsidRPr="00264D5D" w:rsidRDefault="00941227" w:rsidP="00E7460C">
            <w:pPr>
              <w:pStyle w:val="GOSTTablenorm"/>
              <w:numPr>
                <w:ilvl w:val="0"/>
                <w:numId w:val="87"/>
              </w:numPr>
              <w:ind w:left="284" w:hanging="227"/>
            </w:pPr>
            <w:r w:rsidRPr="00264D5D">
              <w:t>Заявка на кассовый расход;</w:t>
            </w:r>
          </w:p>
          <w:p w14:paraId="53108934" w14:textId="77777777" w:rsidR="00AD1F54" w:rsidRPr="00264D5D" w:rsidRDefault="00941227" w:rsidP="00E7460C">
            <w:pPr>
              <w:pStyle w:val="GOSTTablenorm"/>
              <w:numPr>
                <w:ilvl w:val="0"/>
                <w:numId w:val="87"/>
              </w:numPr>
              <w:ind w:left="284" w:hanging="227"/>
            </w:pPr>
            <w:r w:rsidRPr="00264D5D">
              <w:t>Сводная заявка на кассовый расход (для уплаты налогов);</w:t>
            </w:r>
          </w:p>
          <w:p w14:paraId="3C6C6BC1" w14:textId="77777777" w:rsidR="00AD1F54" w:rsidRPr="00264D5D" w:rsidRDefault="00941227" w:rsidP="00E7460C">
            <w:pPr>
              <w:pStyle w:val="GOSTTablenorm"/>
              <w:numPr>
                <w:ilvl w:val="0"/>
                <w:numId w:val="87"/>
              </w:numPr>
              <w:ind w:left="284" w:hanging="227"/>
            </w:pPr>
            <w:r w:rsidRPr="00264D5D">
              <w:lastRenderedPageBreak/>
              <w:t>Заявка на получение наличных денег;</w:t>
            </w:r>
          </w:p>
          <w:p w14:paraId="266E991E" w14:textId="77777777" w:rsidR="00AD1F54" w:rsidRPr="00264D5D" w:rsidRDefault="00941227" w:rsidP="00E7460C">
            <w:pPr>
              <w:pStyle w:val="GOSTTablenorm"/>
              <w:numPr>
                <w:ilvl w:val="0"/>
                <w:numId w:val="87"/>
              </w:numPr>
              <w:ind w:left="284" w:hanging="227"/>
            </w:pPr>
            <w:r w:rsidRPr="00264D5D">
              <w:t>Заявка на получение денежных средств, перечисляемых на карту;</w:t>
            </w:r>
          </w:p>
          <w:p w14:paraId="7BF4CABE" w14:textId="77777777" w:rsidR="00AD1F54" w:rsidRPr="00264D5D" w:rsidRDefault="00941227" w:rsidP="00E7460C">
            <w:pPr>
              <w:pStyle w:val="GOSTTablenorm"/>
              <w:numPr>
                <w:ilvl w:val="0"/>
                <w:numId w:val="87"/>
              </w:numPr>
              <w:ind w:left="284" w:hanging="227"/>
            </w:pPr>
            <w:r w:rsidRPr="00264D5D">
              <w:t xml:space="preserve"> Уведомление об уточнении вида и принадлежности платежа;</w:t>
            </w:r>
          </w:p>
          <w:p w14:paraId="7912D9B9" w14:textId="77777777" w:rsidR="00AD1F54" w:rsidRPr="00264D5D" w:rsidRDefault="00941227" w:rsidP="00E7460C">
            <w:pPr>
              <w:pStyle w:val="GOSTTablenorm"/>
              <w:numPr>
                <w:ilvl w:val="0"/>
                <w:numId w:val="87"/>
              </w:numPr>
              <w:ind w:left="284" w:hanging="227"/>
              <w:rPr>
                <w:szCs w:val="22"/>
              </w:rPr>
            </w:pPr>
            <w:r w:rsidRPr="00264D5D">
              <w:t>Заявка на возврат;</w:t>
            </w:r>
          </w:p>
          <w:p w14:paraId="63379467" w14:textId="77777777" w:rsidR="00AD1F54" w:rsidRPr="00264D5D" w:rsidRDefault="00941227" w:rsidP="00E7460C">
            <w:pPr>
              <w:pStyle w:val="GOSTTablenorm"/>
              <w:numPr>
                <w:ilvl w:val="0"/>
                <w:numId w:val="87"/>
              </w:numPr>
              <w:ind w:left="284" w:hanging="227"/>
              <w:rPr>
                <w:szCs w:val="22"/>
              </w:rPr>
            </w:pPr>
            <w:r w:rsidRPr="00264D5D">
              <w:t>Распоряжение о перечислении денежных средств на банковские карты «Мир» физических лиц;</w:t>
            </w:r>
          </w:p>
          <w:p w14:paraId="6645198B" w14:textId="77777777" w:rsidR="00AD1F54" w:rsidRPr="00264D5D" w:rsidRDefault="00941227" w:rsidP="00E7460C">
            <w:pPr>
              <w:pStyle w:val="GOSTTablenorm"/>
              <w:numPr>
                <w:ilvl w:val="0"/>
                <w:numId w:val="121"/>
              </w:numPr>
              <w:spacing w:before="0" w:after="0"/>
              <w:ind w:left="284" w:hanging="227"/>
            </w:pPr>
            <w:r w:rsidRPr="00264D5D">
              <w:t>Акт приемки-передачи;</w:t>
            </w:r>
          </w:p>
          <w:p w14:paraId="03F1D971" w14:textId="77777777" w:rsidR="00AD1F54" w:rsidRPr="00264D5D" w:rsidRDefault="00941227" w:rsidP="00E7460C">
            <w:pPr>
              <w:pStyle w:val="GOSTTablenorm"/>
              <w:numPr>
                <w:ilvl w:val="0"/>
                <w:numId w:val="121"/>
              </w:numPr>
              <w:spacing w:before="0" w:after="0"/>
              <w:ind w:left="284" w:hanging="227"/>
            </w:pPr>
            <w:r w:rsidRPr="00264D5D">
              <w:t>Заявка для обеспечения наличными денежными средствами в электронном виде;</w:t>
            </w:r>
          </w:p>
          <w:p w14:paraId="702F85C3" w14:textId="77777777" w:rsidR="00AD1F54" w:rsidRPr="00264D5D" w:rsidRDefault="00941227" w:rsidP="00E7460C">
            <w:pPr>
              <w:pStyle w:val="GOSTTablenorm"/>
              <w:numPr>
                <w:ilvl w:val="0"/>
                <w:numId w:val="121"/>
              </w:numPr>
              <w:spacing w:before="0" w:after="0"/>
              <w:ind w:left="284" w:hanging="227"/>
            </w:pPr>
            <w:r w:rsidRPr="00264D5D">
              <w:t>Заявление на проведение операций с иностранной валютой;</w:t>
            </w:r>
          </w:p>
          <w:p w14:paraId="6A2B6F24" w14:textId="77777777" w:rsidR="00AD1F54" w:rsidRPr="00264D5D" w:rsidRDefault="00941227" w:rsidP="00E7460C">
            <w:pPr>
              <w:pStyle w:val="GOSTTablenorm"/>
              <w:numPr>
                <w:ilvl w:val="0"/>
                <w:numId w:val="87"/>
              </w:numPr>
              <w:ind w:left="284" w:hanging="227"/>
              <w:rPr>
                <w:szCs w:val="22"/>
              </w:rPr>
            </w:pPr>
            <w:r w:rsidRPr="00264D5D">
              <w:t>Извещение о поступлении в иностранной валюте</w:t>
            </w:r>
          </w:p>
        </w:tc>
      </w:tr>
      <w:tr w:rsidR="00AD1F54" w:rsidRPr="00264D5D" w14:paraId="170D8925" w14:textId="77777777" w:rsidTr="00AD1F54">
        <w:trPr>
          <w:cnfStyle w:val="000000010000" w:firstRow="0" w:lastRow="0" w:firstColumn="0" w:lastColumn="0" w:oddVBand="0" w:evenVBand="0" w:oddHBand="0" w:evenHBand="1" w:firstRowFirstColumn="0" w:firstRowLastColumn="0" w:lastRowFirstColumn="0" w:lastRowLastColumn="0"/>
        </w:trPr>
        <w:tc>
          <w:tcPr>
            <w:tcW w:w="1700" w:type="dxa"/>
          </w:tcPr>
          <w:p w14:paraId="67648FC3" w14:textId="77777777" w:rsidR="00AD1F54" w:rsidRPr="00264D5D" w:rsidRDefault="00941227">
            <w:pPr>
              <w:pStyle w:val="GOSTTablenorm"/>
              <w:rPr>
                <w:szCs w:val="22"/>
              </w:rPr>
            </w:pPr>
            <w:r w:rsidRPr="00264D5D">
              <w:rPr>
                <w:szCs w:val="22"/>
              </w:rPr>
              <w:lastRenderedPageBreak/>
              <w:t>Номер платежного документа</w:t>
            </w:r>
          </w:p>
        </w:tc>
        <w:tc>
          <w:tcPr>
            <w:tcW w:w="1700" w:type="dxa"/>
          </w:tcPr>
          <w:p w14:paraId="17EC0D06" w14:textId="77777777" w:rsidR="00AD1F54" w:rsidRPr="00264D5D" w:rsidRDefault="00941227">
            <w:pPr>
              <w:pStyle w:val="GOSTTablenorm"/>
              <w:rPr>
                <w:szCs w:val="22"/>
                <w:lang w:val="en-US"/>
              </w:rPr>
            </w:pPr>
            <w:r w:rsidRPr="00264D5D">
              <w:rPr>
                <w:szCs w:val="22"/>
                <w:lang w:val="en-US"/>
              </w:rPr>
              <w:t>OrdrNmbr</w:t>
            </w:r>
          </w:p>
        </w:tc>
        <w:tc>
          <w:tcPr>
            <w:tcW w:w="567" w:type="dxa"/>
          </w:tcPr>
          <w:p w14:paraId="55BC6935" w14:textId="77777777" w:rsidR="00AD1F54" w:rsidRPr="00264D5D" w:rsidRDefault="00941227">
            <w:pPr>
              <w:pStyle w:val="GOSTTablenorm"/>
              <w:jc w:val="center"/>
              <w:rPr>
                <w:szCs w:val="22"/>
              </w:rPr>
            </w:pPr>
            <w:r w:rsidRPr="00264D5D">
              <w:rPr>
                <w:szCs w:val="22"/>
              </w:rPr>
              <w:t>П</w:t>
            </w:r>
          </w:p>
        </w:tc>
        <w:tc>
          <w:tcPr>
            <w:tcW w:w="1133" w:type="dxa"/>
          </w:tcPr>
          <w:p w14:paraId="381D01C7" w14:textId="77777777" w:rsidR="00AD1F54" w:rsidRPr="00264D5D" w:rsidRDefault="00941227">
            <w:pPr>
              <w:pStyle w:val="GOSTTablenorm"/>
              <w:rPr>
                <w:szCs w:val="22"/>
              </w:rPr>
            </w:pPr>
            <w:r w:rsidRPr="00264D5D">
              <w:rPr>
                <w:szCs w:val="22"/>
              </w:rPr>
              <w:t>Т(</w:t>
            </w:r>
            <w:r w:rsidRPr="00264D5D">
              <w:rPr>
                <w:szCs w:val="22"/>
                <w:lang w:val="en-US"/>
              </w:rPr>
              <w:t>1-</w:t>
            </w:r>
            <w:r w:rsidRPr="00264D5D">
              <w:rPr>
                <w:szCs w:val="22"/>
              </w:rPr>
              <w:t>20)</w:t>
            </w:r>
          </w:p>
        </w:tc>
        <w:tc>
          <w:tcPr>
            <w:tcW w:w="572" w:type="dxa"/>
          </w:tcPr>
          <w:p w14:paraId="4BD9FBDF" w14:textId="77777777" w:rsidR="00AD1F54" w:rsidRPr="00264D5D" w:rsidRDefault="00941227">
            <w:pPr>
              <w:pStyle w:val="GOSTTablenorm"/>
              <w:jc w:val="center"/>
              <w:rPr>
                <w:szCs w:val="22"/>
              </w:rPr>
            </w:pPr>
            <w:r w:rsidRPr="00264D5D">
              <w:rPr>
                <w:szCs w:val="22"/>
              </w:rPr>
              <w:t>Н</w:t>
            </w:r>
          </w:p>
        </w:tc>
        <w:tc>
          <w:tcPr>
            <w:tcW w:w="3963" w:type="dxa"/>
          </w:tcPr>
          <w:p w14:paraId="04A065EB" w14:textId="77777777" w:rsidR="00AD1F54" w:rsidRPr="00264D5D" w:rsidRDefault="00941227">
            <w:pPr>
              <w:pStyle w:val="GOSTTablenorm"/>
              <w:rPr>
                <w:szCs w:val="22"/>
              </w:rPr>
            </w:pPr>
            <w:r w:rsidRPr="00264D5D">
              <w:rPr>
                <w:szCs w:val="22"/>
              </w:rPr>
              <w:t>Номер уточняемого документа.</w:t>
            </w:r>
          </w:p>
          <w:p w14:paraId="18729BED" w14:textId="77777777" w:rsidR="00AD1F54" w:rsidRPr="00264D5D" w:rsidRDefault="00941227">
            <w:pPr>
              <w:pStyle w:val="GOSTTablenorm"/>
            </w:pPr>
            <w:r w:rsidRPr="00264D5D">
              <w:t>Не заполняется при уточнении на едином счете бюджета в случае изменения КБК на основании НПА для ПБС.</w:t>
            </w:r>
          </w:p>
          <w:p w14:paraId="7FD4855F" w14:textId="77777777" w:rsidR="00AD1F54" w:rsidRPr="00264D5D" w:rsidRDefault="00941227">
            <w:pPr>
              <w:pStyle w:val="GOSTTablenorm"/>
              <w:rPr>
                <w:szCs w:val="22"/>
              </w:rPr>
            </w:pPr>
            <w:r w:rsidRPr="00264D5D">
              <w:rPr>
                <w:szCs w:val="22"/>
              </w:rPr>
              <w:t>В остальных слу</w:t>
            </w:r>
            <w:r w:rsidR="0015097F" w:rsidRPr="00264D5D">
              <w:rPr>
                <w:szCs w:val="22"/>
              </w:rPr>
              <w:t>чаях обязательно для заполнения</w:t>
            </w:r>
          </w:p>
        </w:tc>
      </w:tr>
      <w:tr w:rsidR="00AD1F54" w:rsidRPr="00264D5D" w14:paraId="260E9D79" w14:textId="77777777" w:rsidTr="00AD1F54">
        <w:trPr>
          <w:cnfStyle w:val="000000100000" w:firstRow="0" w:lastRow="0" w:firstColumn="0" w:lastColumn="0" w:oddVBand="0" w:evenVBand="0" w:oddHBand="1" w:evenHBand="0" w:firstRowFirstColumn="0" w:firstRowLastColumn="0" w:lastRowFirstColumn="0" w:lastRowLastColumn="0"/>
        </w:trPr>
        <w:tc>
          <w:tcPr>
            <w:tcW w:w="1700" w:type="dxa"/>
          </w:tcPr>
          <w:p w14:paraId="7D531F30" w14:textId="77777777" w:rsidR="00AD1F54" w:rsidRPr="00264D5D" w:rsidRDefault="00941227">
            <w:pPr>
              <w:pStyle w:val="GOSTTablenorm"/>
              <w:rPr>
                <w:szCs w:val="22"/>
              </w:rPr>
            </w:pPr>
            <w:r w:rsidRPr="00264D5D">
              <w:rPr>
                <w:szCs w:val="22"/>
              </w:rPr>
              <w:t>Дата платежного документа</w:t>
            </w:r>
          </w:p>
        </w:tc>
        <w:tc>
          <w:tcPr>
            <w:tcW w:w="1700" w:type="dxa"/>
          </w:tcPr>
          <w:p w14:paraId="78E070F7" w14:textId="77777777" w:rsidR="00AD1F54" w:rsidRPr="00264D5D" w:rsidRDefault="00941227">
            <w:pPr>
              <w:pStyle w:val="GOSTTablenorm"/>
              <w:rPr>
                <w:szCs w:val="22"/>
                <w:lang w:val="en-US"/>
              </w:rPr>
            </w:pPr>
            <w:r w:rsidRPr="00264D5D">
              <w:rPr>
                <w:szCs w:val="22"/>
                <w:lang w:val="en-US"/>
              </w:rPr>
              <w:t>DctDt</w:t>
            </w:r>
          </w:p>
        </w:tc>
        <w:tc>
          <w:tcPr>
            <w:tcW w:w="567" w:type="dxa"/>
          </w:tcPr>
          <w:p w14:paraId="555AAFBC" w14:textId="77777777" w:rsidR="00AD1F54" w:rsidRPr="00264D5D" w:rsidRDefault="00941227">
            <w:pPr>
              <w:pStyle w:val="GOSTTablenorm"/>
              <w:jc w:val="center"/>
              <w:rPr>
                <w:szCs w:val="22"/>
              </w:rPr>
            </w:pPr>
            <w:r w:rsidRPr="00264D5D">
              <w:rPr>
                <w:szCs w:val="22"/>
              </w:rPr>
              <w:t>П</w:t>
            </w:r>
          </w:p>
        </w:tc>
        <w:tc>
          <w:tcPr>
            <w:tcW w:w="1133" w:type="dxa"/>
          </w:tcPr>
          <w:p w14:paraId="1314B0D1" w14:textId="77777777" w:rsidR="00AD1F54" w:rsidRPr="00264D5D" w:rsidRDefault="00941227">
            <w:pPr>
              <w:pStyle w:val="GOSTTablenorm"/>
              <w:rPr>
                <w:szCs w:val="22"/>
                <w:lang w:val="en-US"/>
              </w:rPr>
            </w:pPr>
            <w:r w:rsidRPr="00264D5D">
              <w:rPr>
                <w:szCs w:val="22"/>
                <w:lang w:val="en-US"/>
              </w:rPr>
              <w:t>Date</w:t>
            </w:r>
          </w:p>
        </w:tc>
        <w:tc>
          <w:tcPr>
            <w:tcW w:w="572" w:type="dxa"/>
          </w:tcPr>
          <w:p w14:paraId="1BCFFC86" w14:textId="77777777" w:rsidR="00AD1F54" w:rsidRPr="00264D5D" w:rsidRDefault="00941227">
            <w:pPr>
              <w:pStyle w:val="GOSTTablenorm"/>
              <w:jc w:val="center"/>
              <w:rPr>
                <w:szCs w:val="22"/>
              </w:rPr>
            </w:pPr>
            <w:r w:rsidRPr="00264D5D">
              <w:rPr>
                <w:szCs w:val="22"/>
              </w:rPr>
              <w:t>Н</w:t>
            </w:r>
          </w:p>
        </w:tc>
        <w:tc>
          <w:tcPr>
            <w:tcW w:w="3963" w:type="dxa"/>
          </w:tcPr>
          <w:p w14:paraId="151755CF" w14:textId="77777777" w:rsidR="00AD1F54" w:rsidRPr="00264D5D" w:rsidRDefault="00941227">
            <w:pPr>
              <w:pStyle w:val="GOSTTablenorm"/>
              <w:rPr>
                <w:szCs w:val="22"/>
              </w:rPr>
            </w:pPr>
            <w:r w:rsidRPr="00264D5D">
              <w:rPr>
                <w:szCs w:val="22"/>
              </w:rPr>
              <w:t>Дата уточняемого документа.</w:t>
            </w:r>
          </w:p>
          <w:p w14:paraId="3B43915C" w14:textId="77777777" w:rsidR="00AD1F54" w:rsidRPr="00264D5D" w:rsidRDefault="00941227">
            <w:pPr>
              <w:pStyle w:val="GOSTTablenorm"/>
            </w:pPr>
            <w:r w:rsidRPr="00264D5D">
              <w:t xml:space="preserve">Не заполняется при уточнении на едином счете бюджета в случае изменения КБК на основании НПА для ПБС. </w:t>
            </w:r>
          </w:p>
          <w:p w14:paraId="2A2C41E0" w14:textId="77777777" w:rsidR="00AD1F54" w:rsidRPr="00264D5D" w:rsidRDefault="00941227">
            <w:pPr>
              <w:pStyle w:val="GOSTTablenorm"/>
            </w:pPr>
            <w:r w:rsidRPr="00264D5D">
              <w:t>В случае уточнения поступления в иностранной валюте по документу «Извещение о поступлении в иностранной валюте» заполняется в соответствии с данными реквизита «Дата платежного документа» уточняемого документа.</w:t>
            </w:r>
          </w:p>
          <w:p w14:paraId="7EE804D7" w14:textId="77777777" w:rsidR="00AD1F54" w:rsidRPr="00264D5D" w:rsidRDefault="00941227">
            <w:pPr>
              <w:pStyle w:val="GOSTTablenorm"/>
              <w:rPr>
                <w:szCs w:val="22"/>
              </w:rPr>
            </w:pPr>
            <w:r w:rsidRPr="00264D5D">
              <w:rPr>
                <w:szCs w:val="22"/>
              </w:rPr>
              <w:t>В остальных слу</w:t>
            </w:r>
            <w:r w:rsidR="0015097F" w:rsidRPr="00264D5D">
              <w:rPr>
                <w:szCs w:val="22"/>
              </w:rPr>
              <w:t>чаях обязательно для заполнения</w:t>
            </w:r>
          </w:p>
        </w:tc>
      </w:tr>
    </w:tbl>
    <w:p w14:paraId="19BBFE0E" w14:textId="77777777" w:rsidR="00AD1F54" w:rsidRPr="00264D5D" w:rsidRDefault="00941227">
      <w:pPr>
        <w:pStyle w:val="31"/>
      </w:pPr>
      <w:bookmarkStart w:id="1786" w:name="_Toc508712727"/>
      <w:bookmarkStart w:id="1787" w:name="_Toc18509354"/>
      <w:r w:rsidRPr="00264D5D">
        <w:t xml:space="preserve"> </w:t>
      </w:r>
      <w:bookmarkStart w:id="1788" w:name="_Toc219309635"/>
      <w:r w:rsidRPr="00264D5D">
        <w:t>Описание комплексного типа «tMSC_IncmAdmn»</w:t>
      </w:r>
      <w:bookmarkEnd w:id="1786"/>
      <w:bookmarkEnd w:id="1787"/>
      <w:bookmarkEnd w:id="1788"/>
    </w:p>
    <w:p w14:paraId="5C0E236B" w14:textId="77777777" w:rsidR="00AD1F54" w:rsidRPr="00264D5D" w:rsidRDefault="00941227">
      <w:pPr>
        <w:pStyle w:val="GOSTNormal"/>
      </w:pPr>
      <w:r w:rsidRPr="00264D5D">
        <w:t xml:space="preserve">Описание комплексного типа </w:t>
      </w:r>
      <w:r w:rsidRPr="00264D5D">
        <w:rPr>
          <w:rFonts w:eastAsia="Calibri"/>
        </w:rPr>
        <w:t>«</w:t>
      </w:r>
      <w:r w:rsidRPr="00264D5D">
        <w:rPr>
          <w:szCs w:val="22"/>
          <w:lang w:val="en-US"/>
        </w:rPr>
        <w:t>tMSC</w:t>
      </w:r>
      <w:r w:rsidRPr="00264D5D">
        <w:rPr>
          <w:szCs w:val="22"/>
        </w:rPr>
        <w:t>_</w:t>
      </w:r>
      <w:r w:rsidRPr="00264D5D">
        <w:rPr>
          <w:szCs w:val="22"/>
          <w:lang w:val="en-US"/>
        </w:rPr>
        <w:t>IncmAdmn</w:t>
      </w:r>
      <w:r w:rsidRPr="00264D5D">
        <w:t>» блока «Информация о получателе».</w:t>
      </w:r>
    </w:p>
    <w:p w14:paraId="2571B2E3" w14:textId="668DF4E3" w:rsidR="00AD1F54" w:rsidRPr="00264D5D" w:rsidRDefault="001E5517">
      <w:pPr>
        <w:pStyle w:val="GOSTNameTable"/>
        <w:numPr>
          <w:ilvl w:val="0"/>
          <w:numId w:val="2"/>
        </w:numPr>
        <w:ind w:left="425" w:hanging="357"/>
      </w:pPr>
      <w:r w:rsidRPr="00264D5D">
        <w:rPr>
          <w:noProof/>
        </w:rPr>
        <w:lastRenderedPageBreak/>
        <w:fldChar w:fldCharType="begin"/>
      </w:r>
      <w:r w:rsidRPr="00264D5D">
        <w:rPr>
          <w:noProof/>
        </w:rPr>
        <w:instrText xml:space="preserve"> SEQ Таблица \* ARABIC </w:instrText>
      </w:r>
      <w:r w:rsidRPr="00264D5D">
        <w:rPr>
          <w:noProof/>
        </w:rPr>
        <w:fldChar w:fldCharType="separate"/>
      </w:r>
      <w:bookmarkStart w:id="1789" w:name="_Ref503544185"/>
      <w:bookmarkStart w:id="1790" w:name="_Toc18509632"/>
      <w:bookmarkStart w:id="1791" w:name="_Toc219309209"/>
      <w:r w:rsidR="008D797C">
        <w:rPr>
          <w:noProof/>
        </w:rPr>
        <w:t>179</w:t>
      </w:r>
      <w:bookmarkEnd w:id="1789"/>
      <w:r w:rsidRPr="00264D5D">
        <w:rPr>
          <w:noProof/>
        </w:rPr>
        <w:fldChar w:fldCharType="end"/>
      </w:r>
      <w:r w:rsidR="00941227" w:rsidRPr="00264D5D">
        <w:t xml:space="preserve"> – Описание комплексного типа «tMSC_IncmAdmn»</w:t>
      </w:r>
      <w:bookmarkEnd w:id="1790"/>
      <w:bookmarkEnd w:id="1791"/>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0043E981"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15E88157" w14:textId="77777777" w:rsidR="00AD1F54" w:rsidRPr="00264D5D" w:rsidRDefault="00941227">
            <w:pPr>
              <w:pStyle w:val="ASFKTableHead"/>
            </w:pPr>
            <w:r w:rsidRPr="00264D5D">
              <w:t>Наименование элемента</w:t>
            </w:r>
          </w:p>
        </w:tc>
        <w:tc>
          <w:tcPr>
            <w:tcW w:w="1701" w:type="dxa"/>
          </w:tcPr>
          <w:p w14:paraId="13B6960A" w14:textId="77777777" w:rsidR="00AD1F54" w:rsidRPr="00264D5D" w:rsidRDefault="00941227">
            <w:pPr>
              <w:pStyle w:val="ASFKTableHead"/>
            </w:pPr>
            <w:r w:rsidRPr="00264D5D">
              <w:t>Сокращенное наименование (код) элемента</w:t>
            </w:r>
          </w:p>
        </w:tc>
        <w:tc>
          <w:tcPr>
            <w:tcW w:w="567" w:type="dxa"/>
          </w:tcPr>
          <w:p w14:paraId="5EA6B048" w14:textId="77777777" w:rsidR="00AD1F54" w:rsidRPr="00264D5D" w:rsidRDefault="00941227">
            <w:pPr>
              <w:pStyle w:val="ASFKTableHead"/>
            </w:pPr>
            <w:r w:rsidRPr="00264D5D">
              <w:t>Тип</w:t>
            </w:r>
          </w:p>
        </w:tc>
        <w:tc>
          <w:tcPr>
            <w:tcW w:w="1134" w:type="dxa"/>
          </w:tcPr>
          <w:p w14:paraId="3BC5B244" w14:textId="77777777" w:rsidR="00AD1F54" w:rsidRPr="00264D5D" w:rsidRDefault="00941227">
            <w:pPr>
              <w:pStyle w:val="ASFKTableHead"/>
            </w:pPr>
            <w:r w:rsidRPr="00264D5D">
              <w:t>Формат элемента</w:t>
            </w:r>
          </w:p>
        </w:tc>
        <w:tc>
          <w:tcPr>
            <w:tcW w:w="567" w:type="dxa"/>
          </w:tcPr>
          <w:p w14:paraId="2A54BB10" w14:textId="77777777" w:rsidR="00AD1F54" w:rsidRPr="00264D5D" w:rsidRDefault="00941227">
            <w:pPr>
              <w:pStyle w:val="ASFKTableHead"/>
            </w:pPr>
            <w:r w:rsidRPr="00264D5D">
              <w:t>Обязательность</w:t>
            </w:r>
          </w:p>
        </w:tc>
        <w:tc>
          <w:tcPr>
            <w:tcW w:w="3963" w:type="dxa"/>
          </w:tcPr>
          <w:p w14:paraId="0F991EEB" w14:textId="77777777" w:rsidR="00AD1F54" w:rsidRPr="00264D5D" w:rsidRDefault="00941227">
            <w:pPr>
              <w:pStyle w:val="ASFKTableHead"/>
            </w:pPr>
            <w:r w:rsidRPr="00264D5D">
              <w:t>Дополнительная информация</w:t>
            </w:r>
          </w:p>
        </w:tc>
      </w:tr>
      <w:tr w:rsidR="00AD1F54" w:rsidRPr="00264D5D" w14:paraId="072C8F9A"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8619BF5" w14:textId="77777777" w:rsidR="00AD1F54" w:rsidRPr="00264D5D" w:rsidRDefault="00941227">
            <w:pPr>
              <w:pStyle w:val="GOSTTablenorm"/>
              <w:rPr>
                <w:szCs w:val="22"/>
              </w:rPr>
            </w:pPr>
            <w:r w:rsidRPr="00264D5D">
              <w:rPr>
                <w:szCs w:val="22"/>
                <w:lang w:eastAsia="en-US"/>
              </w:rPr>
              <w:t>Наименование получателя</w:t>
            </w:r>
          </w:p>
        </w:tc>
        <w:tc>
          <w:tcPr>
            <w:tcW w:w="1701" w:type="dxa"/>
          </w:tcPr>
          <w:p w14:paraId="63A8D248" w14:textId="77777777" w:rsidR="00AD1F54" w:rsidRPr="00264D5D" w:rsidRDefault="00941227">
            <w:pPr>
              <w:pStyle w:val="GOSTTablenorm"/>
              <w:rPr>
                <w:lang w:val="en-US"/>
              </w:rPr>
            </w:pPr>
            <w:r w:rsidRPr="00264D5D">
              <w:rPr>
                <w:szCs w:val="22"/>
                <w:lang w:val="en-US" w:eastAsia="en-US"/>
              </w:rPr>
              <w:t>Nm</w:t>
            </w:r>
          </w:p>
        </w:tc>
        <w:tc>
          <w:tcPr>
            <w:tcW w:w="567" w:type="dxa"/>
          </w:tcPr>
          <w:p w14:paraId="5E97F8EF" w14:textId="77777777" w:rsidR="00AD1F54" w:rsidRPr="00264D5D" w:rsidRDefault="00941227">
            <w:pPr>
              <w:pStyle w:val="GOSTTablenorm"/>
              <w:jc w:val="center"/>
            </w:pPr>
            <w:r w:rsidRPr="00264D5D">
              <w:rPr>
                <w:szCs w:val="22"/>
                <w:lang w:eastAsia="en-US"/>
              </w:rPr>
              <w:t>П</w:t>
            </w:r>
          </w:p>
        </w:tc>
        <w:tc>
          <w:tcPr>
            <w:tcW w:w="1134" w:type="dxa"/>
          </w:tcPr>
          <w:p w14:paraId="0735CE6E" w14:textId="77777777" w:rsidR="00AD1F54" w:rsidRPr="00264D5D" w:rsidRDefault="00941227">
            <w:pPr>
              <w:pStyle w:val="GOSTTablenorm"/>
            </w:pPr>
            <w:r w:rsidRPr="00264D5D">
              <w:rPr>
                <w:szCs w:val="22"/>
                <w:lang w:eastAsia="en-US"/>
              </w:rPr>
              <w:t>Т(</w:t>
            </w:r>
            <w:r w:rsidRPr="00264D5D">
              <w:rPr>
                <w:szCs w:val="22"/>
                <w:lang w:val="en-US" w:eastAsia="en-US"/>
              </w:rPr>
              <w:t>1-</w:t>
            </w:r>
            <w:r w:rsidRPr="00264D5D">
              <w:rPr>
                <w:szCs w:val="22"/>
                <w:lang w:eastAsia="en-US"/>
              </w:rPr>
              <w:t>500)</w:t>
            </w:r>
          </w:p>
        </w:tc>
        <w:tc>
          <w:tcPr>
            <w:tcW w:w="567" w:type="dxa"/>
          </w:tcPr>
          <w:p w14:paraId="363D1120" w14:textId="77777777" w:rsidR="00AD1F54" w:rsidRPr="00264D5D" w:rsidRDefault="00941227">
            <w:pPr>
              <w:pStyle w:val="GOSTTablenorm"/>
              <w:jc w:val="center"/>
            </w:pPr>
            <w:r w:rsidRPr="00264D5D">
              <w:rPr>
                <w:szCs w:val="22"/>
                <w:lang w:eastAsia="en-US"/>
              </w:rPr>
              <w:t>Н</w:t>
            </w:r>
          </w:p>
        </w:tc>
        <w:tc>
          <w:tcPr>
            <w:tcW w:w="3963" w:type="dxa"/>
          </w:tcPr>
          <w:p w14:paraId="5FC6D72F" w14:textId="77777777" w:rsidR="00AD1F54" w:rsidRPr="00264D5D" w:rsidRDefault="00941227">
            <w:pPr>
              <w:pStyle w:val="GOSTTablenorm"/>
              <w:rPr>
                <w:szCs w:val="22"/>
                <w:lang w:eastAsia="en-US"/>
              </w:rPr>
            </w:pPr>
            <w:r w:rsidRPr="00264D5D">
              <w:rPr>
                <w:szCs w:val="22"/>
                <w:lang w:eastAsia="en-US"/>
              </w:rPr>
              <w:t>При уточнении на едином счете бюджета указывается наименование получателя в соответствии с расчетным документом или поручением о перечислении на счет. При уточнении на счете учета поступлений указывается наименование клиента, на котором учтен платеж, или в случае уточнения платежей, направляемых на дополнительное финансирование, указывается наименование владельца соответствующего счета ПБС.</w:t>
            </w:r>
          </w:p>
          <w:p w14:paraId="6A3A08C1" w14:textId="77777777" w:rsidR="00AD1F54" w:rsidRPr="00264D5D" w:rsidRDefault="00941227">
            <w:pPr>
              <w:pStyle w:val="GOSTTablenorm"/>
              <w:rPr>
                <w:lang w:eastAsia="en-US"/>
              </w:rPr>
            </w:pPr>
            <w:r w:rsidRPr="00264D5D">
              <w:rPr>
                <w:lang w:eastAsia="en-US"/>
              </w:rPr>
              <w:t>Не заполняется при уточнении:</w:t>
            </w:r>
          </w:p>
          <w:p w14:paraId="4F6EB66B" w14:textId="77777777" w:rsidR="00AD1F54" w:rsidRPr="00264D5D" w:rsidRDefault="00941227" w:rsidP="00E7460C">
            <w:pPr>
              <w:pStyle w:val="GOSTTablenorm"/>
              <w:numPr>
                <w:ilvl w:val="0"/>
                <w:numId w:val="119"/>
              </w:numPr>
              <w:ind w:left="284" w:hanging="227"/>
              <w:rPr>
                <w:szCs w:val="22"/>
                <w:lang w:eastAsia="en-US"/>
              </w:rPr>
            </w:pPr>
            <w:r w:rsidRPr="00264D5D">
              <w:rPr>
                <w:lang w:eastAsia="en-US"/>
              </w:rPr>
              <w:t>на едином счете бюджета в случае изменения КБК на основании НПА для ПБС</w:t>
            </w:r>
            <w:r w:rsidRPr="00264D5D">
              <w:rPr>
                <w:szCs w:val="22"/>
                <w:lang w:eastAsia="en-US"/>
              </w:rPr>
              <w:t>;</w:t>
            </w:r>
          </w:p>
          <w:p w14:paraId="65590CB2" w14:textId="77777777" w:rsidR="00AD1F54" w:rsidRPr="00264D5D" w:rsidRDefault="00941227" w:rsidP="00E7460C">
            <w:pPr>
              <w:pStyle w:val="GOSTTablenorm"/>
              <w:numPr>
                <w:ilvl w:val="0"/>
                <w:numId w:val="119"/>
              </w:numPr>
              <w:ind w:left="284" w:hanging="227"/>
              <w:rPr>
                <w:szCs w:val="22"/>
                <w:lang w:eastAsia="en-US"/>
              </w:rPr>
            </w:pPr>
            <w:r w:rsidRPr="00264D5D">
              <w:rPr>
                <w:szCs w:val="22"/>
                <w:lang w:eastAsia="en-US"/>
              </w:rPr>
              <w:t>при уточнении поступлений, учтенных на казначейском счете до выяснения принадлежности;</w:t>
            </w:r>
          </w:p>
          <w:p w14:paraId="24490319" w14:textId="77777777" w:rsidR="00AD1F54" w:rsidRPr="00264D5D" w:rsidRDefault="00941227" w:rsidP="00E7460C">
            <w:pPr>
              <w:pStyle w:val="GOSTTablenorm"/>
              <w:numPr>
                <w:ilvl w:val="0"/>
                <w:numId w:val="119"/>
              </w:numPr>
              <w:ind w:left="284" w:hanging="227"/>
              <w:rPr>
                <w:szCs w:val="22"/>
              </w:rPr>
            </w:pPr>
            <w:r w:rsidRPr="00264D5D">
              <w:rPr>
                <w:lang w:eastAsia="en-US"/>
              </w:rPr>
              <w:t>при</w:t>
            </w:r>
            <w:r w:rsidRPr="00264D5D">
              <w:rPr>
                <w:szCs w:val="22"/>
                <w:lang w:eastAsia="en-US"/>
              </w:rPr>
              <w:t xml:space="preserve"> указании в поле «Наименование платежного документа» значения «Распоряжение о перечислении денежных средств на банковские карты «Мир» физических лиц».</w:t>
            </w:r>
            <w:r w:rsidRPr="00264D5D">
              <w:rPr>
                <w:szCs w:val="22"/>
              </w:rPr>
              <w:t xml:space="preserve"> </w:t>
            </w:r>
          </w:p>
          <w:p w14:paraId="2008A848" w14:textId="77777777" w:rsidR="00AD1F54" w:rsidRPr="00264D5D" w:rsidRDefault="00941227">
            <w:pPr>
              <w:pStyle w:val="GOSTTablenorm"/>
              <w:rPr>
                <w:szCs w:val="22"/>
              </w:rPr>
            </w:pPr>
            <w:r w:rsidRPr="00264D5D">
              <w:rPr>
                <w:szCs w:val="22"/>
              </w:rPr>
              <w:t>В случае уточнения поступления в иностранной валюте по документу «Извещение о поступлении в иностранной валюте» заполняется в соответствии с данными реквизита «Информация о бен</w:t>
            </w:r>
            <w:r w:rsidR="0015097F" w:rsidRPr="00264D5D">
              <w:rPr>
                <w:szCs w:val="22"/>
              </w:rPr>
              <w:t>ефициаре» уточняемого документа</w:t>
            </w:r>
          </w:p>
        </w:tc>
      </w:tr>
      <w:tr w:rsidR="00AD1F54" w:rsidRPr="00264D5D" w14:paraId="042A402F"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538DB852" w14:textId="77777777" w:rsidR="00AD1F54" w:rsidRPr="00264D5D" w:rsidRDefault="00941227">
            <w:pPr>
              <w:pStyle w:val="GOSTTablenorm"/>
              <w:rPr>
                <w:szCs w:val="22"/>
              </w:rPr>
            </w:pPr>
            <w:r w:rsidRPr="00264D5D">
              <w:rPr>
                <w:szCs w:val="22"/>
                <w:lang w:eastAsia="en-US"/>
              </w:rPr>
              <w:t>ИНН получателя</w:t>
            </w:r>
          </w:p>
        </w:tc>
        <w:tc>
          <w:tcPr>
            <w:tcW w:w="1701" w:type="dxa"/>
          </w:tcPr>
          <w:p w14:paraId="7EE51686" w14:textId="77777777" w:rsidR="00AD1F54" w:rsidRPr="00264D5D" w:rsidRDefault="00941227">
            <w:pPr>
              <w:pStyle w:val="GOSTTablenorm"/>
              <w:rPr>
                <w:lang w:val="en-US"/>
              </w:rPr>
            </w:pPr>
            <w:r w:rsidRPr="00264D5D">
              <w:rPr>
                <w:szCs w:val="22"/>
                <w:lang w:val="en-US" w:eastAsia="en-US"/>
              </w:rPr>
              <w:t>INN</w:t>
            </w:r>
          </w:p>
        </w:tc>
        <w:tc>
          <w:tcPr>
            <w:tcW w:w="567" w:type="dxa"/>
          </w:tcPr>
          <w:p w14:paraId="359E12BC" w14:textId="77777777" w:rsidR="00AD1F54" w:rsidRPr="00264D5D" w:rsidRDefault="00941227">
            <w:pPr>
              <w:pStyle w:val="GOSTTablenorm"/>
              <w:jc w:val="center"/>
            </w:pPr>
            <w:r w:rsidRPr="00264D5D">
              <w:rPr>
                <w:szCs w:val="22"/>
                <w:lang w:eastAsia="en-US"/>
              </w:rPr>
              <w:t>П</w:t>
            </w:r>
          </w:p>
        </w:tc>
        <w:tc>
          <w:tcPr>
            <w:tcW w:w="1134" w:type="dxa"/>
          </w:tcPr>
          <w:p w14:paraId="0C417A1C" w14:textId="77777777" w:rsidR="00AD1F54" w:rsidRPr="00264D5D" w:rsidRDefault="00941227">
            <w:pPr>
              <w:pStyle w:val="GOSTTablenorm"/>
            </w:pPr>
            <w:r w:rsidRPr="00264D5D">
              <w:rPr>
                <w:szCs w:val="22"/>
                <w:lang w:eastAsia="en-US"/>
              </w:rPr>
              <w:t>Т(1-</w:t>
            </w:r>
            <w:r w:rsidRPr="00264D5D">
              <w:rPr>
                <w:szCs w:val="22"/>
                <w:lang w:val="en-US" w:eastAsia="en-US"/>
              </w:rPr>
              <w:t>12</w:t>
            </w:r>
            <w:r w:rsidRPr="00264D5D">
              <w:rPr>
                <w:szCs w:val="22"/>
                <w:lang w:eastAsia="en-US"/>
              </w:rPr>
              <w:t>)</w:t>
            </w:r>
          </w:p>
        </w:tc>
        <w:tc>
          <w:tcPr>
            <w:tcW w:w="567" w:type="dxa"/>
          </w:tcPr>
          <w:p w14:paraId="46F64669" w14:textId="77777777" w:rsidR="00AD1F54" w:rsidRPr="00264D5D" w:rsidRDefault="00941227">
            <w:pPr>
              <w:pStyle w:val="GOSTTablenorm"/>
              <w:jc w:val="center"/>
            </w:pPr>
            <w:r w:rsidRPr="00264D5D">
              <w:rPr>
                <w:szCs w:val="22"/>
                <w:lang w:eastAsia="en-US"/>
              </w:rPr>
              <w:t>Н</w:t>
            </w:r>
          </w:p>
        </w:tc>
        <w:tc>
          <w:tcPr>
            <w:tcW w:w="3963" w:type="dxa"/>
          </w:tcPr>
          <w:p w14:paraId="70F7F37F" w14:textId="77777777" w:rsidR="00AD1F54" w:rsidRPr="00264D5D" w:rsidRDefault="00941227">
            <w:pPr>
              <w:pStyle w:val="GOSTTablenorm"/>
              <w:rPr>
                <w:szCs w:val="22"/>
                <w:lang w:eastAsia="en-US"/>
              </w:rPr>
            </w:pPr>
            <w:r w:rsidRPr="00264D5D">
              <w:rPr>
                <w:szCs w:val="22"/>
                <w:lang w:eastAsia="en-US"/>
              </w:rPr>
              <w:t xml:space="preserve">При уточнении на едином счете бюджета указывается ИНН получателя в соответствии с расчетным документом или поручением о перечислении на счет. При уточнении на счете учета поступлений указывается ИНН клиента, на котором учтен платеж, или в случае уточнения платежей, направляемых на дополнительное финансирование, указывается ИНН владельца соответствующего счета ПБС. </w:t>
            </w:r>
          </w:p>
          <w:p w14:paraId="734548AB" w14:textId="77777777" w:rsidR="00AD1F54" w:rsidRPr="00264D5D" w:rsidRDefault="00941227">
            <w:pPr>
              <w:pStyle w:val="GOSTTablenorm"/>
              <w:rPr>
                <w:szCs w:val="22"/>
                <w:lang w:eastAsia="en-US"/>
              </w:rPr>
            </w:pPr>
            <w:r w:rsidRPr="00264D5D">
              <w:rPr>
                <w:szCs w:val="22"/>
                <w:lang w:eastAsia="en-US"/>
              </w:rPr>
              <w:t xml:space="preserve">Не заполняется: </w:t>
            </w:r>
          </w:p>
          <w:p w14:paraId="4401B9F0" w14:textId="77777777" w:rsidR="00AD1F54" w:rsidRPr="00264D5D" w:rsidRDefault="00941227" w:rsidP="00E7460C">
            <w:pPr>
              <w:pStyle w:val="GOSTTablenorm"/>
              <w:numPr>
                <w:ilvl w:val="0"/>
                <w:numId w:val="119"/>
              </w:numPr>
              <w:ind w:left="284" w:hanging="227"/>
              <w:rPr>
                <w:lang w:eastAsia="en-US"/>
              </w:rPr>
            </w:pPr>
            <w:r w:rsidRPr="00264D5D">
              <w:rPr>
                <w:lang w:eastAsia="en-US"/>
              </w:rPr>
              <w:t xml:space="preserve">при уточнении на едином счете </w:t>
            </w:r>
            <w:r w:rsidRPr="00264D5D">
              <w:rPr>
                <w:lang w:eastAsia="en-US"/>
              </w:rPr>
              <w:lastRenderedPageBreak/>
              <w:t xml:space="preserve">бюджета в случае изменения КБК на основании НПА; </w:t>
            </w:r>
          </w:p>
          <w:p w14:paraId="114702BC" w14:textId="77777777" w:rsidR="00AD1F54" w:rsidRPr="00264D5D" w:rsidRDefault="00941227" w:rsidP="00E7460C">
            <w:pPr>
              <w:pStyle w:val="GOSTTablenorm"/>
              <w:numPr>
                <w:ilvl w:val="0"/>
                <w:numId w:val="119"/>
              </w:numPr>
              <w:ind w:left="284" w:hanging="227"/>
              <w:rPr>
                <w:lang w:eastAsia="en-US"/>
              </w:rPr>
            </w:pPr>
            <w:r w:rsidRPr="00264D5D">
              <w:rPr>
                <w:lang w:eastAsia="en-US"/>
              </w:rPr>
              <w:t>при уточнении поступлений, учтенных на казначейском счете до выяснения принадлежности;</w:t>
            </w:r>
          </w:p>
          <w:p w14:paraId="6C4091E7" w14:textId="77777777" w:rsidR="00AD1F54" w:rsidRPr="00264D5D" w:rsidRDefault="00941227" w:rsidP="00E7460C">
            <w:pPr>
              <w:pStyle w:val="GOSTTablenorm"/>
              <w:numPr>
                <w:ilvl w:val="0"/>
                <w:numId w:val="119"/>
              </w:numPr>
              <w:ind w:left="284" w:hanging="227"/>
              <w:rPr>
                <w:szCs w:val="22"/>
              </w:rPr>
            </w:pPr>
            <w:r w:rsidRPr="00264D5D">
              <w:rPr>
                <w:szCs w:val="22"/>
                <w:lang w:eastAsia="en-US"/>
              </w:rPr>
              <w:t>при указании в поле «Наименование платежного документа» значения «Распоряжение о перечислении денежных средств на банковс</w:t>
            </w:r>
            <w:r w:rsidR="0015097F" w:rsidRPr="00264D5D">
              <w:rPr>
                <w:szCs w:val="22"/>
                <w:lang w:eastAsia="en-US"/>
              </w:rPr>
              <w:t>кие карты «Мир» физических лиц»</w:t>
            </w:r>
          </w:p>
        </w:tc>
      </w:tr>
      <w:tr w:rsidR="00AD1F54" w:rsidRPr="00264D5D" w14:paraId="434B50DF"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3ED08E3" w14:textId="77777777" w:rsidR="00AD1F54" w:rsidRPr="00264D5D" w:rsidRDefault="00941227">
            <w:pPr>
              <w:pStyle w:val="GOSTTablenorm"/>
            </w:pPr>
            <w:r w:rsidRPr="00264D5D">
              <w:rPr>
                <w:lang w:eastAsia="en-US"/>
              </w:rPr>
              <w:lastRenderedPageBreak/>
              <w:t>КПП получателя</w:t>
            </w:r>
          </w:p>
        </w:tc>
        <w:tc>
          <w:tcPr>
            <w:tcW w:w="1701" w:type="dxa"/>
          </w:tcPr>
          <w:p w14:paraId="177AE70D" w14:textId="77777777" w:rsidR="00AD1F54" w:rsidRPr="00264D5D" w:rsidRDefault="00941227">
            <w:pPr>
              <w:pStyle w:val="GOSTTablenorm"/>
              <w:rPr>
                <w:lang w:val="en-US"/>
              </w:rPr>
            </w:pPr>
            <w:r w:rsidRPr="00264D5D">
              <w:rPr>
                <w:lang w:val="en-US" w:eastAsia="en-US"/>
              </w:rPr>
              <w:t>KPP</w:t>
            </w:r>
          </w:p>
        </w:tc>
        <w:tc>
          <w:tcPr>
            <w:tcW w:w="567" w:type="dxa"/>
          </w:tcPr>
          <w:p w14:paraId="60FE977E" w14:textId="77777777" w:rsidR="00AD1F54" w:rsidRPr="00264D5D" w:rsidRDefault="00941227">
            <w:pPr>
              <w:pStyle w:val="GOSTTablenorm"/>
              <w:jc w:val="center"/>
              <w:rPr>
                <w:lang w:val="en-US"/>
              </w:rPr>
            </w:pPr>
            <w:r w:rsidRPr="00264D5D">
              <w:rPr>
                <w:lang w:eastAsia="en-US"/>
              </w:rPr>
              <w:t>П</w:t>
            </w:r>
          </w:p>
        </w:tc>
        <w:tc>
          <w:tcPr>
            <w:tcW w:w="1134" w:type="dxa"/>
          </w:tcPr>
          <w:p w14:paraId="22069857" w14:textId="77777777" w:rsidR="00AD1F54" w:rsidRPr="00264D5D" w:rsidRDefault="00941227">
            <w:pPr>
              <w:pStyle w:val="GOSTTablenorm"/>
            </w:pPr>
            <w:r w:rsidRPr="00264D5D">
              <w:rPr>
                <w:lang w:eastAsia="en-US"/>
              </w:rPr>
              <w:t>Т(1-</w:t>
            </w:r>
            <w:r w:rsidRPr="00264D5D">
              <w:rPr>
                <w:lang w:val="en-US" w:eastAsia="en-US"/>
              </w:rPr>
              <w:t>9</w:t>
            </w:r>
            <w:r w:rsidRPr="00264D5D">
              <w:rPr>
                <w:lang w:eastAsia="en-US"/>
              </w:rPr>
              <w:t>)</w:t>
            </w:r>
          </w:p>
        </w:tc>
        <w:tc>
          <w:tcPr>
            <w:tcW w:w="567" w:type="dxa"/>
          </w:tcPr>
          <w:p w14:paraId="720EF3BB" w14:textId="77777777" w:rsidR="00AD1F54" w:rsidRPr="00264D5D" w:rsidRDefault="00941227">
            <w:pPr>
              <w:pStyle w:val="GOSTTablenorm"/>
              <w:jc w:val="center"/>
            </w:pPr>
            <w:r w:rsidRPr="00264D5D">
              <w:rPr>
                <w:lang w:eastAsia="en-US"/>
              </w:rPr>
              <w:t>Н</w:t>
            </w:r>
          </w:p>
        </w:tc>
        <w:tc>
          <w:tcPr>
            <w:tcW w:w="3963" w:type="dxa"/>
          </w:tcPr>
          <w:p w14:paraId="42A93AA1" w14:textId="77777777" w:rsidR="00AD1F54" w:rsidRPr="00264D5D" w:rsidRDefault="00941227">
            <w:pPr>
              <w:pStyle w:val="GOSTTablenorm"/>
              <w:rPr>
                <w:lang w:eastAsia="en-US"/>
              </w:rPr>
            </w:pPr>
            <w:r w:rsidRPr="00264D5D">
              <w:rPr>
                <w:lang w:eastAsia="en-US"/>
              </w:rPr>
              <w:t xml:space="preserve">При уточнении на едином счете бюджета указывается КПП получателя в соответствии с </w:t>
            </w:r>
            <w:r w:rsidRPr="00264D5D">
              <w:rPr>
                <w:szCs w:val="22"/>
                <w:lang w:eastAsia="en-US"/>
              </w:rPr>
              <w:t>расчетным документом или поручением о перечислении на счет</w:t>
            </w:r>
            <w:r w:rsidRPr="00264D5D">
              <w:rPr>
                <w:lang w:eastAsia="en-US"/>
              </w:rPr>
              <w:t xml:space="preserve">. При уточнении на счете учета поступлений указывается КПП клиента, на котором учтен платеж, или в случае уточнения платежей, направляемых на дополнительное финансирование, указывается КПП владельца соответствующего счета ПБС. Не заполняется: </w:t>
            </w:r>
          </w:p>
          <w:p w14:paraId="713B0954" w14:textId="77777777" w:rsidR="00AD1F54" w:rsidRPr="00264D5D" w:rsidRDefault="00941227" w:rsidP="00E7460C">
            <w:pPr>
              <w:pStyle w:val="GOSTTablenorm"/>
              <w:numPr>
                <w:ilvl w:val="0"/>
                <w:numId w:val="119"/>
              </w:numPr>
              <w:ind w:left="284" w:hanging="227"/>
              <w:rPr>
                <w:lang w:eastAsia="en-US"/>
              </w:rPr>
            </w:pPr>
            <w:r w:rsidRPr="00264D5D">
              <w:rPr>
                <w:lang w:eastAsia="en-US"/>
              </w:rPr>
              <w:t xml:space="preserve">при уточнении на едином счете бюджета в случае изменения КБК на основании НПА; </w:t>
            </w:r>
          </w:p>
          <w:p w14:paraId="00E1C95D" w14:textId="77777777" w:rsidR="00AD1F54" w:rsidRPr="00264D5D" w:rsidRDefault="00941227" w:rsidP="00E7460C">
            <w:pPr>
              <w:pStyle w:val="GOSTTablenorm"/>
              <w:numPr>
                <w:ilvl w:val="0"/>
                <w:numId w:val="119"/>
              </w:numPr>
              <w:ind w:left="284" w:hanging="227"/>
              <w:rPr>
                <w:lang w:eastAsia="en-US"/>
              </w:rPr>
            </w:pPr>
            <w:r w:rsidRPr="00264D5D">
              <w:rPr>
                <w:lang w:eastAsia="en-US"/>
              </w:rPr>
              <w:t>при уточнении поступлений, учтенных на казначейском счете до выяснения принадлежности;</w:t>
            </w:r>
          </w:p>
          <w:p w14:paraId="70F6B359" w14:textId="77777777" w:rsidR="00AD1F54" w:rsidRPr="00264D5D" w:rsidRDefault="00941227" w:rsidP="00E7460C">
            <w:pPr>
              <w:pStyle w:val="GOSTTablenorm"/>
              <w:numPr>
                <w:ilvl w:val="0"/>
                <w:numId w:val="119"/>
              </w:numPr>
              <w:ind w:left="284" w:hanging="227"/>
            </w:pPr>
            <w:r w:rsidRPr="00264D5D">
              <w:rPr>
                <w:szCs w:val="22"/>
                <w:lang w:eastAsia="en-US"/>
              </w:rPr>
              <w:t>при указании в поле «Наименование платежного документа» значения «Распоряжение о перечислении денежных средств на банковс</w:t>
            </w:r>
            <w:r w:rsidR="0015097F" w:rsidRPr="00264D5D">
              <w:rPr>
                <w:szCs w:val="22"/>
                <w:lang w:eastAsia="en-US"/>
              </w:rPr>
              <w:t>кие карты «Мир» физических лиц»</w:t>
            </w:r>
          </w:p>
        </w:tc>
      </w:tr>
    </w:tbl>
    <w:p w14:paraId="3B6A63D6" w14:textId="77777777" w:rsidR="00AD1F54" w:rsidRPr="00264D5D" w:rsidRDefault="00941227">
      <w:pPr>
        <w:pStyle w:val="31"/>
      </w:pPr>
      <w:bookmarkStart w:id="1792" w:name="_Toc508712729"/>
      <w:bookmarkStart w:id="1793" w:name="_Toc18509355"/>
      <w:r w:rsidRPr="00264D5D">
        <w:t xml:space="preserve"> </w:t>
      </w:r>
      <w:bookmarkStart w:id="1794" w:name="_Toc219309636"/>
      <w:r w:rsidRPr="00264D5D">
        <w:t>Описание комплексного типа «tMSC_KBK10_20_31_32»</w:t>
      </w:r>
      <w:bookmarkEnd w:id="1792"/>
      <w:bookmarkEnd w:id="1793"/>
      <w:bookmarkEnd w:id="1794"/>
    </w:p>
    <w:p w14:paraId="7B84E700" w14:textId="77777777" w:rsidR="00AD1F54" w:rsidRPr="00264D5D" w:rsidRDefault="00941227">
      <w:pPr>
        <w:pStyle w:val="GOSTNormal"/>
      </w:pPr>
      <w:r w:rsidRPr="00264D5D">
        <w:t xml:space="preserve">Описание комплексного типа </w:t>
      </w:r>
      <w:r w:rsidRPr="00264D5D">
        <w:rPr>
          <w:rFonts w:eastAsia="Calibri"/>
        </w:rPr>
        <w:t>«</w:t>
      </w:r>
      <w:r w:rsidRPr="00264D5D">
        <w:rPr>
          <w:szCs w:val="22"/>
          <w:lang w:val="en-US"/>
        </w:rPr>
        <w:t>tMSC</w:t>
      </w:r>
      <w:r w:rsidRPr="00264D5D">
        <w:rPr>
          <w:szCs w:val="22"/>
        </w:rPr>
        <w:t>_</w:t>
      </w:r>
      <w:r w:rsidRPr="00264D5D">
        <w:rPr>
          <w:szCs w:val="22"/>
          <w:lang w:val="en-US"/>
        </w:rPr>
        <w:t>KBK</w:t>
      </w:r>
      <w:r w:rsidRPr="00264D5D">
        <w:rPr>
          <w:szCs w:val="22"/>
        </w:rPr>
        <w:t>10_20_31_32</w:t>
      </w:r>
      <w:r w:rsidRPr="00264D5D">
        <w:t>» блока «Информация о КБК».</w:t>
      </w:r>
    </w:p>
    <w:p w14:paraId="349ED82C" w14:textId="62F4A8A2" w:rsidR="00AD1F54" w:rsidRPr="00264D5D" w:rsidRDefault="001E5517">
      <w:pPr>
        <w:pStyle w:val="GOSTNameTable"/>
        <w:numPr>
          <w:ilvl w:val="0"/>
          <w:numId w:val="2"/>
        </w:numPr>
        <w:ind w:left="425" w:hanging="357"/>
        <w:rPr>
          <w:szCs w:val="24"/>
        </w:rPr>
      </w:pPr>
      <w:r w:rsidRPr="00264D5D">
        <w:rPr>
          <w:noProof/>
        </w:rPr>
        <w:fldChar w:fldCharType="begin"/>
      </w:r>
      <w:r w:rsidRPr="00264D5D">
        <w:rPr>
          <w:noProof/>
        </w:rPr>
        <w:instrText xml:space="preserve"> SEQ Таблица \* ARABIC </w:instrText>
      </w:r>
      <w:r w:rsidRPr="00264D5D">
        <w:rPr>
          <w:noProof/>
        </w:rPr>
        <w:fldChar w:fldCharType="separate"/>
      </w:r>
      <w:bookmarkStart w:id="1795" w:name="_Ref503544220"/>
      <w:bookmarkStart w:id="1796" w:name="_Toc18509633"/>
      <w:bookmarkStart w:id="1797" w:name="_Toc219309210"/>
      <w:r w:rsidR="008D797C">
        <w:rPr>
          <w:noProof/>
        </w:rPr>
        <w:t>180</w:t>
      </w:r>
      <w:bookmarkEnd w:id="1795"/>
      <w:r w:rsidRPr="00264D5D">
        <w:rPr>
          <w:noProof/>
        </w:rPr>
        <w:fldChar w:fldCharType="end"/>
      </w:r>
      <w:r w:rsidR="00941227" w:rsidRPr="00264D5D">
        <w:t xml:space="preserve"> – Описание комплексного типа «tMSC_KBK10_20_31_32»</w:t>
      </w:r>
      <w:bookmarkEnd w:id="1796"/>
      <w:bookmarkEnd w:id="1797"/>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01A28625"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4CD7DC7C" w14:textId="77777777" w:rsidR="00AD1F54" w:rsidRPr="00264D5D" w:rsidRDefault="00941227">
            <w:pPr>
              <w:pStyle w:val="ASFKTableHead"/>
            </w:pPr>
            <w:r w:rsidRPr="00264D5D">
              <w:t>Наименование элемента</w:t>
            </w:r>
          </w:p>
        </w:tc>
        <w:tc>
          <w:tcPr>
            <w:tcW w:w="1701" w:type="dxa"/>
          </w:tcPr>
          <w:p w14:paraId="10326C59" w14:textId="77777777" w:rsidR="00AD1F54" w:rsidRPr="00264D5D" w:rsidRDefault="00941227">
            <w:pPr>
              <w:pStyle w:val="ASFKTableHead"/>
            </w:pPr>
            <w:r w:rsidRPr="00264D5D">
              <w:t>Сокращенное наименование (код) элемента</w:t>
            </w:r>
          </w:p>
        </w:tc>
        <w:tc>
          <w:tcPr>
            <w:tcW w:w="567" w:type="dxa"/>
          </w:tcPr>
          <w:p w14:paraId="79734A00" w14:textId="77777777" w:rsidR="00AD1F54" w:rsidRPr="00264D5D" w:rsidRDefault="00941227">
            <w:pPr>
              <w:pStyle w:val="ASFKTableHead"/>
            </w:pPr>
            <w:r w:rsidRPr="00264D5D">
              <w:t>Тип</w:t>
            </w:r>
          </w:p>
        </w:tc>
        <w:tc>
          <w:tcPr>
            <w:tcW w:w="1134" w:type="dxa"/>
          </w:tcPr>
          <w:p w14:paraId="56EAE0A1" w14:textId="77777777" w:rsidR="00AD1F54" w:rsidRPr="00264D5D" w:rsidRDefault="00941227">
            <w:pPr>
              <w:pStyle w:val="ASFKTableHead"/>
            </w:pPr>
            <w:r w:rsidRPr="00264D5D">
              <w:t>Формат элемента</w:t>
            </w:r>
          </w:p>
        </w:tc>
        <w:tc>
          <w:tcPr>
            <w:tcW w:w="567" w:type="dxa"/>
          </w:tcPr>
          <w:p w14:paraId="0BB8596F" w14:textId="77777777" w:rsidR="00AD1F54" w:rsidRPr="00264D5D" w:rsidRDefault="00941227">
            <w:pPr>
              <w:pStyle w:val="ASFKTableHead"/>
            </w:pPr>
            <w:r w:rsidRPr="00264D5D">
              <w:t>Обязательность</w:t>
            </w:r>
          </w:p>
        </w:tc>
        <w:tc>
          <w:tcPr>
            <w:tcW w:w="3963" w:type="dxa"/>
          </w:tcPr>
          <w:p w14:paraId="3A4B9BBD" w14:textId="77777777" w:rsidR="00AD1F54" w:rsidRPr="00264D5D" w:rsidRDefault="00941227">
            <w:pPr>
              <w:pStyle w:val="ASFKTableHead"/>
            </w:pPr>
            <w:r w:rsidRPr="00264D5D">
              <w:t>Дополнительная информация</w:t>
            </w:r>
          </w:p>
        </w:tc>
      </w:tr>
      <w:tr w:rsidR="00AD1F54" w:rsidRPr="00264D5D" w14:paraId="0AFE9F48"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5300DCCF" w14:textId="77777777" w:rsidR="00AD1F54" w:rsidRPr="00264D5D" w:rsidRDefault="00941227">
            <w:pPr>
              <w:pStyle w:val="GOSTTablenorm"/>
              <w:rPr>
                <w:szCs w:val="22"/>
              </w:rPr>
            </w:pPr>
            <w:r w:rsidRPr="00264D5D">
              <w:t>КБК</w:t>
            </w:r>
          </w:p>
        </w:tc>
        <w:tc>
          <w:tcPr>
            <w:tcW w:w="1701" w:type="dxa"/>
          </w:tcPr>
          <w:p w14:paraId="6323C0D9" w14:textId="77777777" w:rsidR="00AD1F54" w:rsidRPr="00264D5D" w:rsidRDefault="00941227">
            <w:pPr>
              <w:pStyle w:val="GOSTTablenorm"/>
              <w:rPr>
                <w:lang w:val="en-US"/>
              </w:rPr>
            </w:pPr>
            <w:r w:rsidRPr="00264D5D">
              <w:rPr>
                <w:lang w:val="en-US"/>
              </w:rPr>
              <w:t>KBK</w:t>
            </w:r>
          </w:p>
        </w:tc>
        <w:tc>
          <w:tcPr>
            <w:tcW w:w="567" w:type="dxa"/>
          </w:tcPr>
          <w:p w14:paraId="6DAA2D5B" w14:textId="77777777" w:rsidR="00AD1F54" w:rsidRPr="00264D5D" w:rsidRDefault="00941227">
            <w:pPr>
              <w:pStyle w:val="GOSTTablenorm"/>
              <w:jc w:val="center"/>
            </w:pPr>
            <w:r w:rsidRPr="00264D5D">
              <w:t>П</w:t>
            </w:r>
          </w:p>
        </w:tc>
        <w:tc>
          <w:tcPr>
            <w:tcW w:w="1134" w:type="dxa"/>
          </w:tcPr>
          <w:p w14:paraId="349AE4CF" w14:textId="77777777" w:rsidR="00AD1F54" w:rsidRPr="00264D5D" w:rsidRDefault="00941227">
            <w:pPr>
              <w:pStyle w:val="GOSTTablenorm"/>
            </w:pPr>
            <w:r w:rsidRPr="00264D5D">
              <w:t>Т(</w:t>
            </w:r>
            <w:r w:rsidRPr="00264D5D">
              <w:rPr>
                <w:lang w:val="en-US"/>
              </w:rPr>
              <w:t>20</w:t>
            </w:r>
            <w:r w:rsidRPr="00264D5D">
              <w:t>)</w:t>
            </w:r>
          </w:p>
        </w:tc>
        <w:tc>
          <w:tcPr>
            <w:tcW w:w="567" w:type="dxa"/>
          </w:tcPr>
          <w:p w14:paraId="3548B0A4" w14:textId="77777777" w:rsidR="00AD1F54" w:rsidRPr="00264D5D" w:rsidRDefault="00941227">
            <w:pPr>
              <w:pStyle w:val="GOSTTablenorm"/>
              <w:jc w:val="center"/>
            </w:pPr>
            <w:r w:rsidRPr="00264D5D">
              <w:t>Н</w:t>
            </w:r>
          </w:p>
        </w:tc>
        <w:tc>
          <w:tcPr>
            <w:tcW w:w="3963" w:type="dxa"/>
          </w:tcPr>
          <w:p w14:paraId="40AD5C72" w14:textId="77777777" w:rsidR="00AD1F54" w:rsidRPr="00264D5D" w:rsidRDefault="00941227">
            <w:pPr>
              <w:pStyle w:val="GOSTTablenorm"/>
            </w:pPr>
            <w:r w:rsidRPr="00264D5D">
              <w:t xml:space="preserve">Указывается КБК. </w:t>
            </w:r>
          </w:p>
          <w:p w14:paraId="55C04539" w14:textId="77777777" w:rsidR="00AD1F54" w:rsidRPr="00264D5D" w:rsidRDefault="00941227">
            <w:pPr>
              <w:pStyle w:val="GOSTTablenorm"/>
            </w:pPr>
            <w:r w:rsidRPr="00264D5D">
              <w:t>Не заполняется:</w:t>
            </w:r>
          </w:p>
          <w:p w14:paraId="4C2C844E" w14:textId="77777777" w:rsidR="00AD1F54" w:rsidRPr="00264D5D" w:rsidRDefault="00941227" w:rsidP="00E7460C">
            <w:pPr>
              <w:pStyle w:val="GOSTTablenorm"/>
              <w:numPr>
                <w:ilvl w:val="0"/>
                <w:numId w:val="100"/>
              </w:numPr>
              <w:ind w:left="284" w:hanging="227"/>
            </w:pPr>
            <w:r w:rsidRPr="00264D5D">
              <w:lastRenderedPageBreak/>
              <w:t xml:space="preserve">если в поле «Вид средств» указано значение «5», </w:t>
            </w:r>
          </w:p>
          <w:p w14:paraId="62DC940D" w14:textId="77777777" w:rsidR="00AD1F54" w:rsidRPr="00264D5D" w:rsidRDefault="00941227" w:rsidP="00E7460C">
            <w:pPr>
              <w:pStyle w:val="GOSTTablenorm"/>
              <w:numPr>
                <w:ilvl w:val="0"/>
                <w:numId w:val="100"/>
              </w:numPr>
              <w:ind w:left="284" w:hanging="227"/>
            </w:pPr>
            <w:r w:rsidRPr="00264D5D">
              <w:t xml:space="preserve">для блока «Реквизиты уточняемого платежного документа» при уточнении поступления, учтенного на казначейском счете до выяснения принадлежности. </w:t>
            </w:r>
          </w:p>
          <w:p w14:paraId="4328B042" w14:textId="77777777" w:rsidR="00AD1F54" w:rsidRPr="00264D5D" w:rsidRDefault="00941227">
            <w:pPr>
              <w:pStyle w:val="GOSTTablenorm"/>
            </w:pPr>
            <w:r w:rsidRPr="00264D5D">
              <w:t>В остальных сл</w:t>
            </w:r>
            <w:r w:rsidR="0015097F" w:rsidRPr="00264D5D">
              <w:t>учаях обязателен для заполнения</w:t>
            </w:r>
          </w:p>
        </w:tc>
      </w:tr>
      <w:tr w:rsidR="00AD1F54" w:rsidRPr="00264D5D" w14:paraId="53BD519F"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653155AF" w14:textId="77777777" w:rsidR="00AD1F54" w:rsidRPr="00264D5D" w:rsidRDefault="00941227">
            <w:pPr>
              <w:pStyle w:val="GOSTTablenorm"/>
              <w:rPr>
                <w:szCs w:val="22"/>
              </w:rPr>
            </w:pPr>
            <w:r w:rsidRPr="00264D5D">
              <w:lastRenderedPageBreak/>
              <w:t>Код цели</w:t>
            </w:r>
          </w:p>
        </w:tc>
        <w:tc>
          <w:tcPr>
            <w:tcW w:w="1701" w:type="dxa"/>
          </w:tcPr>
          <w:p w14:paraId="30B1142F" w14:textId="77777777" w:rsidR="00AD1F54" w:rsidRPr="00264D5D" w:rsidRDefault="00941227">
            <w:pPr>
              <w:pStyle w:val="GOSTTablenorm"/>
              <w:rPr>
                <w:lang w:val="en-US"/>
              </w:rPr>
            </w:pPr>
            <w:r w:rsidRPr="00264D5D">
              <w:rPr>
                <w:lang w:val="en-US"/>
              </w:rPr>
              <w:t>TrgtCd</w:t>
            </w:r>
          </w:p>
        </w:tc>
        <w:tc>
          <w:tcPr>
            <w:tcW w:w="567" w:type="dxa"/>
          </w:tcPr>
          <w:p w14:paraId="14602159" w14:textId="77777777" w:rsidR="00AD1F54" w:rsidRPr="00264D5D" w:rsidRDefault="00941227">
            <w:pPr>
              <w:pStyle w:val="GOSTTablenorm"/>
              <w:jc w:val="center"/>
            </w:pPr>
            <w:r w:rsidRPr="00264D5D">
              <w:t>П</w:t>
            </w:r>
          </w:p>
        </w:tc>
        <w:tc>
          <w:tcPr>
            <w:tcW w:w="1134" w:type="dxa"/>
          </w:tcPr>
          <w:p w14:paraId="46EC17BE" w14:textId="77777777" w:rsidR="00AD1F54" w:rsidRPr="00264D5D" w:rsidRDefault="00941227">
            <w:pPr>
              <w:pStyle w:val="GOSTTablenorm"/>
            </w:pPr>
            <w:r w:rsidRPr="00264D5D">
              <w:t>Т(1-</w:t>
            </w:r>
            <w:r w:rsidRPr="00264D5D">
              <w:rPr>
                <w:lang w:val="en-US"/>
              </w:rPr>
              <w:t>2</w:t>
            </w:r>
            <w:r w:rsidRPr="00264D5D">
              <w:t>5)</w:t>
            </w:r>
          </w:p>
        </w:tc>
        <w:tc>
          <w:tcPr>
            <w:tcW w:w="567" w:type="dxa"/>
          </w:tcPr>
          <w:p w14:paraId="6A57A7A4" w14:textId="77777777" w:rsidR="00AD1F54" w:rsidRPr="00264D5D" w:rsidRDefault="00941227">
            <w:pPr>
              <w:pStyle w:val="GOSTTablenorm"/>
              <w:jc w:val="center"/>
            </w:pPr>
            <w:r w:rsidRPr="00264D5D">
              <w:t>Н</w:t>
            </w:r>
          </w:p>
        </w:tc>
        <w:tc>
          <w:tcPr>
            <w:tcW w:w="3963" w:type="dxa"/>
          </w:tcPr>
          <w:p w14:paraId="3FC733B1" w14:textId="77777777" w:rsidR="00AD1F54" w:rsidRPr="00264D5D" w:rsidRDefault="00941227">
            <w:pPr>
              <w:pStyle w:val="GOSTTablenorm"/>
            </w:pPr>
            <w:r w:rsidRPr="00264D5D">
              <w:t>Код цели субсидии (субвенции).</w:t>
            </w:r>
          </w:p>
          <w:p w14:paraId="5816E378" w14:textId="77777777" w:rsidR="00AD1F54" w:rsidRPr="00264D5D" w:rsidRDefault="00941227">
            <w:pPr>
              <w:pStyle w:val="GOSTTablenorm"/>
            </w:pPr>
            <w:r w:rsidRPr="00264D5D">
              <w:t xml:space="preserve">Для блока «Реквизиты уточняемого платежного документа» не заполняется при уточнении поступления, учтенного на казначейском счете до выяснения принадлежности. </w:t>
            </w:r>
          </w:p>
          <w:p w14:paraId="01214817" w14:textId="77777777" w:rsidR="00AD1F54" w:rsidRPr="00264D5D" w:rsidRDefault="00941227">
            <w:pPr>
              <w:pStyle w:val="GOSTTablenorm"/>
            </w:pPr>
            <w:r w:rsidRPr="00264D5D">
              <w:t>В блоке «Новые реквизиты платежного документа» при необходимости учета платежа без кода цели, ранее учтенного по коду цели, указывается прочерк.</w:t>
            </w:r>
          </w:p>
          <w:p w14:paraId="74D7577E" w14:textId="77777777" w:rsidR="00AD1F54" w:rsidRPr="00264D5D" w:rsidRDefault="00941227">
            <w:pPr>
              <w:pStyle w:val="GOSTTablenorm"/>
            </w:pPr>
            <w:r w:rsidRPr="00264D5D">
              <w:t xml:space="preserve">Если в поле «Номер лицевого счета ПБС/АДБ/АИФДБ» указан л/с федерального бюджета с кодом «05», то в блоке «Реквизиты уточняемого </w:t>
            </w:r>
            <w:r w:rsidR="0015097F" w:rsidRPr="00264D5D">
              <w:t>документа» может</w:t>
            </w:r>
            <w:r w:rsidRPr="00264D5D">
              <w:t xml:space="preserve"> заполняться значением, состоящим из 23 или 25 знаков. В блоке «Новые реквизиты платежного документа может заполняться значением, состоящим из 4 или 25 знаков.</w:t>
            </w:r>
          </w:p>
          <w:p w14:paraId="0444855F" w14:textId="77777777" w:rsidR="00AD1F54" w:rsidRPr="00264D5D" w:rsidRDefault="00941227">
            <w:pPr>
              <w:pStyle w:val="GOSTTablenorm"/>
              <w:rPr>
                <w:szCs w:val="22"/>
              </w:rPr>
            </w:pPr>
            <w:r w:rsidRPr="00264D5D">
              <w:t xml:space="preserve">Для маршрута </w:t>
            </w:r>
            <w:r w:rsidR="00D83D19">
              <w:t>ТОФК (ПУР ЭБ)</w:t>
            </w:r>
            <w:r w:rsidRPr="00264D5D">
              <w:t xml:space="preserve"> – </w:t>
            </w:r>
            <w:r w:rsidR="00D83D19">
              <w:t>ТОФК (ППО АСФК)</w:t>
            </w:r>
            <w:r w:rsidRPr="00264D5D">
              <w:t>, если документ передается как приложение к «Выписке из лицевого счета» при уточнении поступлений на л/с федерального бюджета с кодом «05», то в блоке «Новые реквизиты платежного документа» заполняется значением присвоенного иден</w:t>
            </w:r>
            <w:r w:rsidR="0015097F" w:rsidRPr="00264D5D">
              <w:t>тификационного кода поступления</w:t>
            </w:r>
          </w:p>
        </w:tc>
      </w:tr>
      <w:tr w:rsidR="00AD1F54" w:rsidRPr="00264D5D" w14:paraId="57A63359"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0F11EE0" w14:textId="77777777" w:rsidR="00AD1F54" w:rsidRPr="00264D5D" w:rsidRDefault="00941227">
            <w:pPr>
              <w:pStyle w:val="GOSTTablenorm"/>
            </w:pPr>
            <w:r w:rsidRPr="00264D5D">
              <w:t>Тип КБК</w:t>
            </w:r>
          </w:p>
        </w:tc>
        <w:tc>
          <w:tcPr>
            <w:tcW w:w="1701" w:type="dxa"/>
          </w:tcPr>
          <w:p w14:paraId="5D3A303E" w14:textId="77777777" w:rsidR="00AD1F54" w:rsidRPr="00264D5D" w:rsidRDefault="00941227">
            <w:pPr>
              <w:pStyle w:val="GOSTTablenorm"/>
              <w:rPr>
                <w:lang w:val="en-US"/>
              </w:rPr>
            </w:pPr>
            <w:r w:rsidRPr="00264D5D">
              <w:rPr>
                <w:lang w:val="en-US"/>
              </w:rPr>
              <w:t>BKTp</w:t>
            </w:r>
          </w:p>
        </w:tc>
        <w:tc>
          <w:tcPr>
            <w:tcW w:w="567" w:type="dxa"/>
          </w:tcPr>
          <w:p w14:paraId="1C59B58F" w14:textId="77777777" w:rsidR="00AD1F54" w:rsidRPr="00264D5D" w:rsidRDefault="00941227">
            <w:pPr>
              <w:pStyle w:val="GOSTTablenorm"/>
              <w:jc w:val="center"/>
              <w:rPr>
                <w:lang w:val="en-US"/>
              </w:rPr>
            </w:pPr>
            <w:r w:rsidRPr="00264D5D">
              <w:rPr>
                <w:lang w:val="en-US"/>
              </w:rPr>
              <w:t>C</w:t>
            </w:r>
          </w:p>
        </w:tc>
        <w:tc>
          <w:tcPr>
            <w:tcW w:w="1134" w:type="dxa"/>
          </w:tcPr>
          <w:p w14:paraId="3896EC2B" w14:textId="77777777" w:rsidR="00AD1F54" w:rsidRPr="00264D5D" w:rsidRDefault="00941227">
            <w:pPr>
              <w:pStyle w:val="GOSTTablenorm"/>
            </w:pPr>
            <w:r w:rsidRPr="00264D5D">
              <w:t>tMSC_BKTp</w:t>
            </w:r>
            <w:r w:rsidRPr="00264D5D">
              <w:rPr>
                <w:lang w:val="en-US"/>
              </w:rPr>
              <w:t>10_</w:t>
            </w:r>
            <w:r w:rsidRPr="00264D5D">
              <w:t>20</w:t>
            </w:r>
            <w:r w:rsidRPr="00264D5D">
              <w:rPr>
                <w:lang w:val="en-US"/>
              </w:rPr>
              <w:t>_31_32</w:t>
            </w:r>
            <w:r w:rsidRPr="00264D5D">
              <w:t>Complex</w:t>
            </w:r>
          </w:p>
        </w:tc>
        <w:tc>
          <w:tcPr>
            <w:tcW w:w="567" w:type="dxa"/>
          </w:tcPr>
          <w:p w14:paraId="10EEF076" w14:textId="77777777" w:rsidR="00AD1F54" w:rsidRPr="00264D5D" w:rsidRDefault="00941227">
            <w:pPr>
              <w:pStyle w:val="GOSTTablenorm"/>
              <w:jc w:val="center"/>
            </w:pPr>
            <w:r w:rsidRPr="00264D5D">
              <w:t>Н</w:t>
            </w:r>
          </w:p>
        </w:tc>
        <w:tc>
          <w:tcPr>
            <w:tcW w:w="3963" w:type="dxa"/>
          </w:tcPr>
          <w:p w14:paraId="398B933E" w14:textId="77777777" w:rsidR="00AD1F54" w:rsidRPr="00264D5D" w:rsidRDefault="00941227">
            <w:pPr>
              <w:pStyle w:val="GOSTTablenorm"/>
            </w:pPr>
            <w:r w:rsidRPr="00264D5D">
              <w:t>Не заполняется:</w:t>
            </w:r>
          </w:p>
          <w:p w14:paraId="3A9C8A17" w14:textId="77777777" w:rsidR="00AD1F54" w:rsidRPr="00264D5D" w:rsidRDefault="00941227" w:rsidP="00E7460C">
            <w:pPr>
              <w:pStyle w:val="GOSTTablenorm"/>
              <w:numPr>
                <w:ilvl w:val="0"/>
                <w:numId w:val="100"/>
              </w:numPr>
              <w:ind w:left="284" w:hanging="227"/>
            </w:pPr>
            <w:r w:rsidRPr="00264D5D">
              <w:t xml:space="preserve">если в поле «Вид средств» указано значение «5», </w:t>
            </w:r>
          </w:p>
          <w:p w14:paraId="226A62A8" w14:textId="77777777" w:rsidR="00AD1F54" w:rsidRPr="00264D5D" w:rsidRDefault="00941227" w:rsidP="00E7460C">
            <w:pPr>
              <w:pStyle w:val="GOSTTablenorm"/>
              <w:numPr>
                <w:ilvl w:val="0"/>
                <w:numId w:val="100"/>
              </w:numPr>
              <w:ind w:left="284" w:hanging="227"/>
            </w:pPr>
            <w:r w:rsidRPr="00264D5D">
              <w:t xml:space="preserve">для блока «Реквизиты уточняемого платежного документа» при </w:t>
            </w:r>
            <w:r w:rsidRPr="00264D5D">
              <w:lastRenderedPageBreak/>
              <w:t xml:space="preserve">уточнении поступления, учтенного на казначейском счете до выяснения принадлежности. </w:t>
            </w:r>
          </w:p>
          <w:p w14:paraId="665799C0" w14:textId="77777777" w:rsidR="00AD1F54" w:rsidRPr="00264D5D" w:rsidRDefault="00941227">
            <w:pPr>
              <w:pStyle w:val="GOSTTablenorm"/>
            </w:pPr>
            <w:r w:rsidRPr="00264D5D">
              <w:t>В остальных случаях обязателен для заполнения.</w:t>
            </w:r>
          </w:p>
          <w:p w14:paraId="49B248F8" w14:textId="28267AE5" w:rsidR="00AD1F54" w:rsidRPr="00264D5D" w:rsidRDefault="00941227">
            <w:pPr>
              <w:pStyle w:val="GOSTTablenorm"/>
            </w:pPr>
            <w:r w:rsidRPr="00264D5D">
              <w:t xml:space="preserve">Состав элемента представлен в таблице </w:t>
            </w:r>
            <w:r w:rsidRPr="00264D5D">
              <w:rPr>
                <w:b/>
              </w:rPr>
              <w:fldChar w:fldCharType="begin"/>
            </w:r>
            <w:r w:rsidRPr="00264D5D">
              <w:rPr>
                <w:b/>
              </w:rPr>
              <w:instrText xml:space="preserve"> REF _Ref531614212 \h  \* MERGEFORMAT </w:instrText>
            </w:r>
            <w:r w:rsidRPr="00264D5D">
              <w:rPr>
                <w:b/>
              </w:rPr>
            </w:r>
            <w:r w:rsidRPr="00264D5D">
              <w:rPr>
                <w:b/>
              </w:rPr>
              <w:fldChar w:fldCharType="separate"/>
            </w:r>
            <w:r w:rsidR="008D797C" w:rsidRPr="008D797C">
              <w:rPr>
                <w:b/>
              </w:rPr>
              <w:t>181</w:t>
            </w:r>
            <w:r w:rsidRPr="00264D5D">
              <w:rPr>
                <w:b/>
              </w:rPr>
              <w:fldChar w:fldCharType="end"/>
            </w:r>
          </w:p>
        </w:tc>
      </w:tr>
    </w:tbl>
    <w:p w14:paraId="1E0CD4B2" w14:textId="77777777" w:rsidR="00AD1F54" w:rsidRPr="00264D5D" w:rsidRDefault="00941227">
      <w:pPr>
        <w:pStyle w:val="31"/>
      </w:pPr>
      <w:bookmarkStart w:id="1798" w:name="_Toc18509356"/>
      <w:bookmarkStart w:id="1799" w:name="_Toc508712731"/>
      <w:bookmarkStart w:id="1800" w:name="OLE_LINK239"/>
      <w:r w:rsidRPr="00264D5D">
        <w:lastRenderedPageBreak/>
        <w:t xml:space="preserve"> </w:t>
      </w:r>
      <w:bookmarkStart w:id="1801" w:name="_Toc219309637"/>
      <w:r w:rsidRPr="00264D5D">
        <w:t>Описание комплексного типа «tMSC_BKTp10_20_31_32Complex»</w:t>
      </w:r>
      <w:bookmarkEnd w:id="1798"/>
      <w:bookmarkEnd w:id="1801"/>
    </w:p>
    <w:p w14:paraId="6D4871B3" w14:textId="77777777" w:rsidR="00AD1F54" w:rsidRPr="00264D5D" w:rsidRDefault="00941227">
      <w:pPr>
        <w:pStyle w:val="GOSTNormal"/>
      </w:pPr>
      <w:r w:rsidRPr="00264D5D">
        <w:t>Описание комплексного типа «tMSC_BKTp10_20_31_32Complex» блока «Тип КБК».</w:t>
      </w:r>
    </w:p>
    <w:p w14:paraId="0F3ED358" w14:textId="7516C43D"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1802" w:name="_Ref531614212"/>
      <w:bookmarkStart w:id="1803" w:name="_Toc18509634"/>
      <w:bookmarkStart w:id="1804" w:name="_Toc219309211"/>
      <w:r w:rsidR="008D797C">
        <w:rPr>
          <w:noProof/>
        </w:rPr>
        <w:t>181</w:t>
      </w:r>
      <w:bookmarkEnd w:id="1802"/>
      <w:r w:rsidRPr="00264D5D">
        <w:fldChar w:fldCharType="end"/>
      </w:r>
      <w:r w:rsidRPr="00264D5D">
        <w:t xml:space="preserve"> – Описание комплексного типа «tMSC_BKTp10_20_31_32Complex»</w:t>
      </w:r>
      <w:bookmarkEnd w:id="1803"/>
      <w:bookmarkEnd w:id="1804"/>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2B99075E"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783E9F6C" w14:textId="77777777" w:rsidR="00AD1F54" w:rsidRPr="00264D5D" w:rsidRDefault="00941227">
            <w:pPr>
              <w:pStyle w:val="ASFKTableHead"/>
            </w:pPr>
            <w:r w:rsidRPr="00264D5D">
              <w:t>Наименование элемента</w:t>
            </w:r>
          </w:p>
        </w:tc>
        <w:tc>
          <w:tcPr>
            <w:tcW w:w="1701" w:type="dxa"/>
          </w:tcPr>
          <w:p w14:paraId="1576E4E1" w14:textId="77777777" w:rsidR="00AD1F54" w:rsidRPr="00264D5D" w:rsidRDefault="00941227">
            <w:pPr>
              <w:pStyle w:val="ASFKTableHead"/>
            </w:pPr>
            <w:r w:rsidRPr="00264D5D">
              <w:t>Сокращенное наименование (код) элемента</w:t>
            </w:r>
          </w:p>
        </w:tc>
        <w:tc>
          <w:tcPr>
            <w:tcW w:w="567" w:type="dxa"/>
          </w:tcPr>
          <w:p w14:paraId="0D373BEC" w14:textId="77777777" w:rsidR="00AD1F54" w:rsidRPr="00264D5D" w:rsidRDefault="00941227">
            <w:pPr>
              <w:pStyle w:val="ASFKTableHead"/>
            </w:pPr>
            <w:r w:rsidRPr="00264D5D">
              <w:t>Тип</w:t>
            </w:r>
          </w:p>
        </w:tc>
        <w:tc>
          <w:tcPr>
            <w:tcW w:w="1134" w:type="dxa"/>
          </w:tcPr>
          <w:p w14:paraId="1B027858" w14:textId="77777777" w:rsidR="00AD1F54" w:rsidRPr="00264D5D" w:rsidRDefault="00941227">
            <w:pPr>
              <w:pStyle w:val="ASFKTableHead"/>
            </w:pPr>
            <w:r w:rsidRPr="00264D5D">
              <w:t>Формат элемента</w:t>
            </w:r>
          </w:p>
        </w:tc>
        <w:tc>
          <w:tcPr>
            <w:tcW w:w="567" w:type="dxa"/>
          </w:tcPr>
          <w:p w14:paraId="48CF96DE" w14:textId="77777777" w:rsidR="00AD1F54" w:rsidRPr="00264D5D" w:rsidRDefault="00941227">
            <w:pPr>
              <w:pStyle w:val="ASFKTableHead"/>
            </w:pPr>
            <w:r w:rsidRPr="00264D5D">
              <w:t>Обязательность</w:t>
            </w:r>
          </w:p>
        </w:tc>
        <w:tc>
          <w:tcPr>
            <w:tcW w:w="3963" w:type="dxa"/>
          </w:tcPr>
          <w:p w14:paraId="5EDBA6C0" w14:textId="77777777" w:rsidR="00AD1F54" w:rsidRPr="00264D5D" w:rsidRDefault="00941227">
            <w:pPr>
              <w:pStyle w:val="ASFKTableHead"/>
            </w:pPr>
            <w:r w:rsidRPr="00264D5D">
              <w:t>Дополнительная информация</w:t>
            </w:r>
          </w:p>
        </w:tc>
      </w:tr>
      <w:tr w:rsidR="00AD1F54" w:rsidRPr="00264D5D" w14:paraId="392BF479"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8BC5F0A" w14:textId="77777777" w:rsidR="00AD1F54" w:rsidRPr="00264D5D" w:rsidRDefault="00941227">
            <w:pPr>
              <w:pStyle w:val="GOSTTablenorm"/>
              <w:rPr>
                <w:szCs w:val="22"/>
              </w:rPr>
            </w:pPr>
            <w:r w:rsidRPr="00264D5D">
              <w:rPr>
                <w:szCs w:val="22"/>
              </w:rPr>
              <w:t>Код типа КБК</w:t>
            </w:r>
          </w:p>
        </w:tc>
        <w:tc>
          <w:tcPr>
            <w:tcW w:w="1701" w:type="dxa"/>
          </w:tcPr>
          <w:p w14:paraId="5D96DDD2" w14:textId="77777777" w:rsidR="00AD1F54" w:rsidRPr="00264D5D" w:rsidRDefault="00941227">
            <w:pPr>
              <w:pStyle w:val="GOSTTablenorm"/>
              <w:rPr>
                <w:szCs w:val="22"/>
                <w:lang w:val="en-US"/>
              </w:rPr>
            </w:pPr>
            <w:r w:rsidRPr="00264D5D">
              <w:rPr>
                <w:szCs w:val="22"/>
                <w:lang w:val="en-US"/>
              </w:rPr>
              <w:t>code</w:t>
            </w:r>
          </w:p>
        </w:tc>
        <w:tc>
          <w:tcPr>
            <w:tcW w:w="567" w:type="dxa"/>
          </w:tcPr>
          <w:p w14:paraId="7FC89D4C" w14:textId="77777777" w:rsidR="00AD1F54" w:rsidRPr="00264D5D" w:rsidRDefault="00941227">
            <w:pPr>
              <w:pStyle w:val="GOSTTablenorm"/>
              <w:jc w:val="center"/>
              <w:rPr>
                <w:szCs w:val="22"/>
              </w:rPr>
            </w:pPr>
            <w:r w:rsidRPr="00264D5D">
              <w:rPr>
                <w:szCs w:val="22"/>
              </w:rPr>
              <w:t>А</w:t>
            </w:r>
          </w:p>
        </w:tc>
        <w:tc>
          <w:tcPr>
            <w:tcW w:w="1134" w:type="dxa"/>
          </w:tcPr>
          <w:p w14:paraId="4E476EE9" w14:textId="77777777" w:rsidR="00AD1F54" w:rsidRPr="00264D5D" w:rsidRDefault="00941227">
            <w:pPr>
              <w:pStyle w:val="GOSTTablenorm"/>
              <w:rPr>
                <w:szCs w:val="22"/>
              </w:rPr>
            </w:pPr>
            <w:r w:rsidRPr="00264D5D">
              <w:rPr>
                <w:szCs w:val="22"/>
              </w:rPr>
              <w:t>-</w:t>
            </w:r>
          </w:p>
        </w:tc>
        <w:tc>
          <w:tcPr>
            <w:tcW w:w="567" w:type="dxa"/>
          </w:tcPr>
          <w:p w14:paraId="2576B5B1" w14:textId="77777777" w:rsidR="00AD1F54" w:rsidRPr="00264D5D" w:rsidRDefault="00941227">
            <w:pPr>
              <w:pStyle w:val="GOSTTablenorm"/>
              <w:jc w:val="center"/>
              <w:rPr>
                <w:szCs w:val="22"/>
              </w:rPr>
            </w:pPr>
            <w:r w:rsidRPr="00264D5D">
              <w:rPr>
                <w:szCs w:val="22"/>
              </w:rPr>
              <w:t>О</w:t>
            </w:r>
          </w:p>
        </w:tc>
        <w:tc>
          <w:tcPr>
            <w:tcW w:w="3963" w:type="dxa"/>
          </w:tcPr>
          <w:p w14:paraId="562500FF" w14:textId="77777777" w:rsidR="00AD1F54" w:rsidRPr="00264D5D" w:rsidRDefault="00941227">
            <w:pPr>
              <w:pStyle w:val="GOSTTablenorm"/>
              <w:rPr>
                <w:szCs w:val="22"/>
              </w:rPr>
            </w:pPr>
            <w:r w:rsidRPr="00264D5D">
              <w:rPr>
                <w:szCs w:val="22"/>
              </w:rPr>
              <w:t>Допустимые значения:</w:t>
            </w:r>
          </w:p>
          <w:p w14:paraId="64A40B3B" w14:textId="77777777" w:rsidR="00AD1F54" w:rsidRPr="00264D5D" w:rsidRDefault="00941227" w:rsidP="00E7460C">
            <w:pPr>
              <w:pStyle w:val="GOSTTablenorm"/>
              <w:numPr>
                <w:ilvl w:val="0"/>
                <w:numId w:val="100"/>
              </w:numPr>
              <w:ind w:left="284" w:hanging="227"/>
            </w:pPr>
            <w:r w:rsidRPr="00264D5D">
              <w:t>10 – Расходы;</w:t>
            </w:r>
          </w:p>
          <w:p w14:paraId="044FB30D" w14:textId="77777777" w:rsidR="00AD1F54" w:rsidRPr="00264D5D" w:rsidRDefault="00941227" w:rsidP="00E7460C">
            <w:pPr>
              <w:pStyle w:val="GOSTTablenorm"/>
              <w:numPr>
                <w:ilvl w:val="0"/>
                <w:numId w:val="100"/>
              </w:numPr>
              <w:ind w:left="284" w:hanging="227"/>
            </w:pPr>
            <w:r w:rsidRPr="00264D5D">
              <w:t>20 – Доходы;</w:t>
            </w:r>
          </w:p>
          <w:p w14:paraId="00949A52" w14:textId="77777777" w:rsidR="00AD1F54" w:rsidRPr="00264D5D" w:rsidRDefault="00941227" w:rsidP="00E7460C">
            <w:pPr>
              <w:pStyle w:val="GOSTTablenorm"/>
              <w:numPr>
                <w:ilvl w:val="0"/>
                <w:numId w:val="100"/>
              </w:numPr>
              <w:ind w:left="284" w:hanging="227"/>
            </w:pPr>
            <w:r w:rsidRPr="00264D5D">
              <w:t>31 – ИВФДБ;</w:t>
            </w:r>
          </w:p>
          <w:p w14:paraId="5FF0EFCA" w14:textId="77777777" w:rsidR="00AD1F54" w:rsidRPr="00264D5D" w:rsidRDefault="0015097F" w:rsidP="00E7460C">
            <w:pPr>
              <w:pStyle w:val="GOSTTablenorm"/>
              <w:numPr>
                <w:ilvl w:val="0"/>
                <w:numId w:val="100"/>
              </w:numPr>
              <w:ind w:left="284" w:hanging="227"/>
              <w:rPr>
                <w:szCs w:val="22"/>
              </w:rPr>
            </w:pPr>
            <w:r w:rsidRPr="00264D5D">
              <w:t>32 – ИВнФДБ</w:t>
            </w:r>
          </w:p>
        </w:tc>
      </w:tr>
      <w:tr w:rsidR="00AD1F54" w:rsidRPr="00264D5D" w14:paraId="13D0ECC9"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664E8DF6" w14:textId="77777777" w:rsidR="00AD1F54" w:rsidRPr="00264D5D" w:rsidRDefault="00941227">
            <w:pPr>
              <w:pStyle w:val="GOSTTablenorm"/>
              <w:rPr>
                <w:szCs w:val="22"/>
              </w:rPr>
            </w:pPr>
            <w:r w:rsidRPr="00264D5D">
              <w:rPr>
                <w:szCs w:val="22"/>
              </w:rPr>
              <w:t>Значение типа КБК</w:t>
            </w:r>
          </w:p>
        </w:tc>
        <w:tc>
          <w:tcPr>
            <w:tcW w:w="1701" w:type="dxa"/>
          </w:tcPr>
          <w:p w14:paraId="6EA9058F" w14:textId="77777777" w:rsidR="00AD1F54" w:rsidRPr="00264D5D" w:rsidRDefault="00941227">
            <w:pPr>
              <w:pStyle w:val="GOSTTablenorm"/>
              <w:rPr>
                <w:szCs w:val="22"/>
                <w:lang w:val="en-US"/>
              </w:rPr>
            </w:pPr>
            <w:r w:rsidRPr="00264D5D">
              <w:rPr>
                <w:szCs w:val="22"/>
                <w:lang w:val="en-US"/>
              </w:rPr>
              <w:t>value</w:t>
            </w:r>
          </w:p>
        </w:tc>
        <w:tc>
          <w:tcPr>
            <w:tcW w:w="567" w:type="dxa"/>
          </w:tcPr>
          <w:p w14:paraId="65472E11" w14:textId="77777777" w:rsidR="00AD1F54" w:rsidRPr="00264D5D" w:rsidRDefault="00941227">
            <w:pPr>
              <w:pStyle w:val="GOSTTablenorm"/>
              <w:jc w:val="center"/>
              <w:rPr>
                <w:szCs w:val="22"/>
              </w:rPr>
            </w:pPr>
            <w:r w:rsidRPr="00264D5D">
              <w:rPr>
                <w:szCs w:val="22"/>
              </w:rPr>
              <w:t>А</w:t>
            </w:r>
          </w:p>
        </w:tc>
        <w:tc>
          <w:tcPr>
            <w:tcW w:w="1134" w:type="dxa"/>
          </w:tcPr>
          <w:p w14:paraId="76BF2A66" w14:textId="77777777" w:rsidR="00AD1F54" w:rsidRPr="00264D5D" w:rsidRDefault="00941227">
            <w:pPr>
              <w:pStyle w:val="GOSTTablenorm"/>
              <w:rPr>
                <w:szCs w:val="22"/>
              </w:rPr>
            </w:pPr>
            <w:r w:rsidRPr="00264D5D">
              <w:rPr>
                <w:szCs w:val="22"/>
              </w:rPr>
              <w:t>-</w:t>
            </w:r>
          </w:p>
        </w:tc>
        <w:tc>
          <w:tcPr>
            <w:tcW w:w="567" w:type="dxa"/>
          </w:tcPr>
          <w:p w14:paraId="1ECA7E4C" w14:textId="77777777" w:rsidR="00AD1F54" w:rsidRPr="00264D5D" w:rsidRDefault="00941227">
            <w:pPr>
              <w:pStyle w:val="GOSTTablenorm"/>
              <w:jc w:val="center"/>
              <w:rPr>
                <w:szCs w:val="22"/>
              </w:rPr>
            </w:pPr>
            <w:r w:rsidRPr="00264D5D">
              <w:rPr>
                <w:szCs w:val="22"/>
              </w:rPr>
              <w:t>Н</w:t>
            </w:r>
          </w:p>
        </w:tc>
        <w:tc>
          <w:tcPr>
            <w:tcW w:w="3963" w:type="dxa"/>
          </w:tcPr>
          <w:p w14:paraId="595BEB2C" w14:textId="77777777" w:rsidR="00AD1F54" w:rsidRPr="00264D5D" w:rsidRDefault="00941227">
            <w:pPr>
              <w:pStyle w:val="GOSTTablenorm"/>
              <w:rPr>
                <w:szCs w:val="22"/>
              </w:rPr>
            </w:pPr>
            <w:r w:rsidRPr="00264D5D">
              <w:rPr>
                <w:szCs w:val="22"/>
              </w:rPr>
              <w:t>Соответствующие допустимые значения:</w:t>
            </w:r>
          </w:p>
          <w:p w14:paraId="3659CE5A" w14:textId="77777777" w:rsidR="00AD1F54" w:rsidRPr="00264D5D" w:rsidRDefault="00941227" w:rsidP="00E7460C">
            <w:pPr>
              <w:pStyle w:val="GOSTTablenorm"/>
              <w:numPr>
                <w:ilvl w:val="0"/>
                <w:numId w:val="100"/>
              </w:numPr>
              <w:ind w:left="284" w:hanging="227"/>
            </w:pPr>
            <w:r w:rsidRPr="00264D5D">
              <w:t>Расходы;</w:t>
            </w:r>
          </w:p>
          <w:p w14:paraId="2E4E2498" w14:textId="77777777" w:rsidR="00AD1F54" w:rsidRPr="00264D5D" w:rsidRDefault="00941227" w:rsidP="00E7460C">
            <w:pPr>
              <w:pStyle w:val="GOSTTablenorm"/>
              <w:numPr>
                <w:ilvl w:val="0"/>
                <w:numId w:val="100"/>
              </w:numPr>
              <w:ind w:left="284" w:hanging="227"/>
            </w:pPr>
            <w:r w:rsidRPr="00264D5D">
              <w:t>Доходы;</w:t>
            </w:r>
          </w:p>
          <w:p w14:paraId="06DEA327" w14:textId="77777777" w:rsidR="00AD1F54" w:rsidRPr="00264D5D" w:rsidRDefault="00941227" w:rsidP="00E7460C">
            <w:pPr>
              <w:pStyle w:val="GOSTTablenorm"/>
              <w:numPr>
                <w:ilvl w:val="0"/>
                <w:numId w:val="100"/>
              </w:numPr>
              <w:ind w:left="284" w:hanging="227"/>
            </w:pPr>
            <w:r w:rsidRPr="00264D5D">
              <w:t>ИВФДБ;</w:t>
            </w:r>
          </w:p>
          <w:p w14:paraId="2625D108" w14:textId="77777777" w:rsidR="00AD1F54" w:rsidRPr="00264D5D" w:rsidRDefault="0015097F" w:rsidP="00E7460C">
            <w:pPr>
              <w:pStyle w:val="GOSTTablenorm"/>
              <w:numPr>
                <w:ilvl w:val="0"/>
                <w:numId w:val="100"/>
              </w:numPr>
              <w:ind w:left="284" w:hanging="227"/>
              <w:rPr>
                <w:szCs w:val="22"/>
              </w:rPr>
            </w:pPr>
            <w:r w:rsidRPr="00264D5D">
              <w:t>ИВнФДБ</w:t>
            </w:r>
          </w:p>
        </w:tc>
      </w:tr>
    </w:tbl>
    <w:p w14:paraId="51189C6E" w14:textId="77777777" w:rsidR="00AD1F54" w:rsidRPr="00264D5D" w:rsidRDefault="00941227">
      <w:pPr>
        <w:pStyle w:val="31"/>
      </w:pPr>
      <w:bookmarkStart w:id="1805" w:name="_Toc18509357"/>
      <w:r w:rsidRPr="00264D5D">
        <w:t xml:space="preserve"> </w:t>
      </w:r>
      <w:bookmarkStart w:id="1806" w:name="_Toc219309638"/>
      <w:r w:rsidRPr="00264D5D">
        <w:t>Описание комплексного типа «tUFPP_N»</w:t>
      </w:r>
      <w:bookmarkEnd w:id="1799"/>
      <w:bookmarkEnd w:id="1805"/>
      <w:bookmarkEnd w:id="1806"/>
    </w:p>
    <w:p w14:paraId="383617C1" w14:textId="77777777" w:rsidR="00AD1F54" w:rsidRPr="00264D5D" w:rsidRDefault="00941227">
      <w:pPr>
        <w:pStyle w:val="GOSTNormal"/>
      </w:pPr>
      <w:r w:rsidRPr="00264D5D">
        <w:t xml:space="preserve">Описание комплексного типа </w:t>
      </w:r>
      <w:r w:rsidRPr="00264D5D">
        <w:rPr>
          <w:rFonts w:eastAsia="Calibri"/>
        </w:rPr>
        <w:t>«</w:t>
      </w:r>
      <w:r w:rsidRPr="00264D5D">
        <w:rPr>
          <w:szCs w:val="22"/>
          <w:lang w:val="en-US"/>
        </w:rPr>
        <w:t>tUFPP</w:t>
      </w:r>
      <w:r w:rsidRPr="00264D5D">
        <w:rPr>
          <w:szCs w:val="22"/>
        </w:rPr>
        <w:t>_</w:t>
      </w:r>
      <w:r w:rsidRPr="00264D5D">
        <w:rPr>
          <w:szCs w:val="22"/>
          <w:lang w:val="en-US"/>
        </w:rPr>
        <w:t>N</w:t>
      </w:r>
      <w:r w:rsidRPr="00264D5D">
        <w:t>» блока «Новые реквизиты платежного документа».</w:t>
      </w:r>
    </w:p>
    <w:p w14:paraId="0E3A2141" w14:textId="1080A60F" w:rsidR="00AD1F54" w:rsidRPr="00264D5D" w:rsidRDefault="001E5517">
      <w:pPr>
        <w:pStyle w:val="GOSTNameTable"/>
        <w:numPr>
          <w:ilvl w:val="0"/>
          <w:numId w:val="2"/>
        </w:numPr>
        <w:ind w:left="425" w:hanging="357"/>
      </w:pPr>
      <w:r w:rsidRPr="00264D5D">
        <w:rPr>
          <w:noProof/>
        </w:rPr>
        <w:fldChar w:fldCharType="begin"/>
      </w:r>
      <w:r w:rsidRPr="00264D5D">
        <w:rPr>
          <w:noProof/>
        </w:rPr>
        <w:instrText xml:space="preserve"> SEQ Таблица \* ARABIC </w:instrText>
      </w:r>
      <w:r w:rsidRPr="00264D5D">
        <w:rPr>
          <w:noProof/>
        </w:rPr>
        <w:fldChar w:fldCharType="separate"/>
      </w:r>
      <w:bookmarkStart w:id="1807" w:name="_Ref503544067"/>
      <w:bookmarkStart w:id="1808" w:name="_Toc18509635"/>
      <w:bookmarkStart w:id="1809" w:name="_Toc219309212"/>
      <w:r w:rsidR="008D797C">
        <w:rPr>
          <w:noProof/>
        </w:rPr>
        <w:t>182</w:t>
      </w:r>
      <w:bookmarkEnd w:id="1807"/>
      <w:r w:rsidRPr="00264D5D">
        <w:rPr>
          <w:noProof/>
        </w:rPr>
        <w:fldChar w:fldCharType="end"/>
      </w:r>
      <w:r w:rsidR="00941227" w:rsidRPr="00264D5D">
        <w:t xml:space="preserve"> – Описание комплексного типа «tUFPP_N»</w:t>
      </w:r>
      <w:bookmarkEnd w:id="1800"/>
      <w:bookmarkEnd w:id="1808"/>
      <w:bookmarkEnd w:id="1809"/>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2F1EE11D"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671A81CB" w14:textId="77777777" w:rsidR="00AD1F54" w:rsidRPr="00264D5D" w:rsidRDefault="00941227">
            <w:pPr>
              <w:pStyle w:val="ASFKTableHead"/>
            </w:pPr>
            <w:r w:rsidRPr="00264D5D">
              <w:t>Наименование комплексного типа</w:t>
            </w:r>
          </w:p>
        </w:tc>
        <w:tc>
          <w:tcPr>
            <w:tcW w:w="1701" w:type="dxa"/>
          </w:tcPr>
          <w:p w14:paraId="7EF23803" w14:textId="77777777" w:rsidR="00AD1F54" w:rsidRPr="00264D5D" w:rsidRDefault="00941227">
            <w:pPr>
              <w:pStyle w:val="ASFKTableHead"/>
            </w:pPr>
            <w:r w:rsidRPr="00264D5D">
              <w:t>Текущий элемент/ атрибут</w:t>
            </w:r>
          </w:p>
        </w:tc>
        <w:tc>
          <w:tcPr>
            <w:tcW w:w="567" w:type="dxa"/>
          </w:tcPr>
          <w:p w14:paraId="2D5BC12E" w14:textId="77777777" w:rsidR="00AD1F54" w:rsidRPr="00264D5D" w:rsidRDefault="00941227">
            <w:pPr>
              <w:pStyle w:val="ASFKTableHead"/>
            </w:pPr>
            <w:r w:rsidRPr="00264D5D">
              <w:t>Тип</w:t>
            </w:r>
          </w:p>
        </w:tc>
        <w:tc>
          <w:tcPr>
            <w:tcW w:w="1134" w:type="dxa"/>
          </w:tcPr>
          <w:p w14:paraId="340EBF61" w14:textId="77777777" w:rsidR="00AD1F54" w:rsidRPr="00264D5D" w:rsidRDefault="00941227">
            <w:pPr>
              <w:pStyle w:val="ASFKTableHead"/>
            </w:pPr>
            <w:r w:rsidRPr="00264D5D">
              <w:t>Формат элемента</w:t>
            </w:r>
          </w:p>
        </w:tc>
        <w:tc>
          <w:tcPr>
            <w:tcW w:w="567" w:type="dxa"/>
          </w:tcPr>
          <w:p w14:paraId="34D0B286" w14:textId="77777777" w:rsidR="00AD1F54" w:rsidRPr="00264D5D" w:rsidRDefault="00941227">
            <w:pPr>
              <w:pStyle w:val="ASFKTableHead"/>
            </w:pPr>
            <w:r w:rsidRPr="00264D5D">
              <w:t>Обязательность</w:t>
            </w:r>
          </w:p>
        </w:tc>
        <w:tc>
          <w:tcPr>
            <w:tcW w:w="3963" w:type="dxa"/>
          </w:tcPr>
          <w:p w14:paraId="455D80B1" w14:textId="77777777" w:rsidR="00AD1F54" w:rsidRPr="00264D5D" w:rsidRDefault="00941227">
            <w:pPr>
              <w:pStyle w:val="ASFKTableHead"/>
            </w:pPr>
            <w:r w:rsidRPr="00264D5D">
              <w:t>Дополнительная информация</w:t>
            </w:r>
          </w:p>
        </w:tc>
      </w:tr>
      <w:tr w:rsidR="00AD1F54" w:rsidRPr="00264D5D" w14:paraId="646F745B"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EAEF511" w14:textId="77777777" w:rsidR="00AD1F54" w:rsidRPr="00264D5D" w:rsidRDefault="00941227">
            <w:pPr>
              <w:pStyle w:val="GOSTTablenorm"/>
              <w:rPr>
                <w:szCs w:val="22"/>
              </w:rPr>
            </w:pPr>
            <w:r w:rsidRPr="00264D5D">
              <w:t>tUFPP_N</w:t>
            </w:r>
          </w:p>
        </w:tc>
        <w:tc>
          <w:tcPr>
            <w:tcW w:w="1701" w:type="dxa"/>
          </w:tcPr>
          <w:p w14:paraId="28FC7DB8" w14:textId="77777777" w:rsidR="00AD1F54" w:rsidRPr="00264D5D" w:rsidRDefault="00941227">
            <w:pPr>
              <w:pStyle w:val="GOSTTablenorm"/>
              <w:rPr>
                <w:lang w:val="en-US"/>
              </w:rPr>
            </w:pPr>
            <w:r w:rsidRPr="00264D5D">
              <w:rPr>
                <w:lang w:val="en-US"/>
              </w:rPr>
              <w:t>UFPP_N_ITEM</w:t>
            </w:r>
          </w:p>
        </w:tc>
        <w:tc>
          <w:tcPr>
            <w:tcW w:w="567" w:type="dxa"/>
          </w:tcPr>
          <w:p w14:paraId="796FCEF0" w14:textId="77777777" w:rsidR="00AD1F54" w:rsidRPr="00264D5D" w:rsidRDefault="00941227">
            <w:pPr>
              <w:pStyle w:val="GOSTTablenorm"/>
              <w:jc w:val="center"/>
            </w:pPr>
            <w:r w:rsidRPr="00264D5D">
              <w:t>С</w:t>
            </w:r>
          </w:p>
        </w:tc>
        <w:tc>
          <w:tcPr>
            <w:tcW w:w="1134" w:type="dxa"/>
          </w:tcPr>
          <w:p w14:paraId="5162B7E2" w14:textId="77777777" w:rsidR="00AD1F54" w:rsidRPr="00264D5D" w:rsidRDefault="00941227">
            <w:pPr>
              <w:pStyle w:val="GOSTTablenorm"/>
            </w:pPr>
            <w:r w:rsidRPr="00264D5D">
              <w:t>tUFPP_N_ITEM</w:t>
            </w:r>
          </w:p>
        </w:tc>
        <w:tc>
          <w:tcPr>
            <w:tcW w:w="567" w:type="dxa"/>
          </w:tcPr>
          <w:p w14:paraId="53354C1E" w14:textId="77777777" w:rsidR="00AD1F54" w:rsidRPr="00264D5D" w:rsidRDefault="00941227">
            <w:pPr>
              <w:pStyle w:val="GOSTTablenorm"/>
              <w:jc w:val="center"/>
              <w:rPr>
                <w:lang w:val="en-US"/>
              </w:rPr>
            </w:pPr>
            <w:r w:rsidRPr="00264D5D">
              <w:t>О</w:t>
            </w:r>
            <w:r w:rsidRPr="00264D5D">
              <w:rPr>
                <w:lang w:val="en-US"/>
              </w:rPr>
              <w:t>М</w:t>
            </w:r>
          </w:p>
        </w:tc>
        <w:tc>
          <w:tcPr>
            <w:tcW w:w="3963" w:type="dxa"/>
          </w:tcPr>
          <w:p w14:paraId="3EB5EDC5" w14:textId="5D3518F3" w:rsidR="00AD1F54" w:rsidRPr="00264D5D" w:rsidRDefault="00941227">
            <w:pPr>
              <w:pStyle w:val="GOSTTablenorm"/>
            </w:pPr>
            <w:r w:rsidRPr="00264D5D">
              <w:t>Состав элемента представлен в таблице </w:t>
            </w:r>
            <w:r w:rsidRPr="00264D5D">
              <w:rPr>
                <w:b/>
              </w:rPr>
              <w:fldChar w:fldCharType="begin"/>
            </w:r>
            <w:r w:rsidRPr="00264D5D">
              <w:rPr>
                <w:b/>
              </w:rPr>
              <w:instrText xml:space="preserve"> REF _Ref503544272 \h  \* MERGEFORMAT </w:instrText>
            </w:r>
            <w:r w:rsidRPr="00264D5D">
              <w:rPr>
                <w:b/>
              </w:rPr>
            </w:r>
            <w:r w:rsidRPr="00264D5D">
              <w:rPr>
                <w:b/>
              </w:rPr>
              <w:fldChar w:fldCharType="separate"/>
            </w:r>
            <w:r w:rsidR="008D797C" w:rsidRPr="008D797C">
              <w:rPr>
                <w:b/>
              </w:rPr>
              <w:t>183</w:t>
            </w:r>
            <w:r w:rsidRPr="00264D5D">
              <w:rPr>
                <w:b/>
              </w:rPr>
              <w:fldChar w:fldCharType="end"/>
            </w:r>
          </w:p>
        </w:tc>
      </w:tr>
    </w:tbl>
    <w:p w14:paraId="22CFC670" w14:textId="77777777" w:rsidR="00AD1F54" w:rsidRPr="00AD28B5" w:rsidRDefault="00941227">
      <w:pPr>
        <w:pStyle w:val="31"/>
        <w:rPr>
          <w:highlight w:val="green"/>
        </w:rPr>
      </w:pPr>
      <w:bookmarkStart w:id="1810" w:name="_Toc508712732"/>
      <w:bookmarkStart w:id="1811" w:name="_Toc18509358"/>
      <w:bookmarkStart w:id="1812" w:name="OLE_LINK246"/>
      <w:r w:rsidRPr="00264D5D">
        <w:lastRenderedPageBreak/>
        <w:t xml:space="preserve"> </w:t>
      </w:r>
      <w:bookmarkStart w:id="1813" w:name="_Toc219309639"/>
      <w:r w:rsidRPr="00AD28B5">
        <w:rPr>
          <w:highlight w:val="green"/>
        </w:rPr>
        <w:t>Описание комплексного типа «tUFPP_N_ITEM»</w:t>
      </w:r>
      <w:bookmarkEnd w:id="1810"/>
      <w:bookmarkEnd w:id="1811"/>
      <w:bookmarkEnd w:id="1813"/>
    </w:p>
    <w:p w14:paraId="17FC8870" w14:textId="77777777" w:rsidR="00AD1F54" w:rsidRPr="00264D5D" w:rsidRDefault="00941227">
      <w:pPr>
        <w:pStyle w:val="GOSTNormal"/>
      </w:pPr>
      <w:r w:rsidRPr="00264D5D">
        <w:t xml:space="preserve">Описание комплексного типа </w:t>
      </w:r>
      <w:r w:rsidRPr="00264D5D">
        <w:rPr>
          <w:rFonts w:eastAsia="Calibri"/>
        </w:rPr>
        <w:t>«</w:t>
      </w:r>
      <w:r w:rsidRPr="00264D5D">
        <w:rPr>
          <w:szCs w:val="22"/>
        </w:rPr>
        <w:t>tUFPP_N_ITEM</w:t>
      </w:r>
      <w:r w:rsidRPr="00264D5D">
        <w:t>» блока «Новые реквизиты платежного документа (строки)».</w:t>
      </w:r>
    </w:p>
    <w:p w14:paraId="4E0AEAAE" w14:textId="585D9F81" w:rsidR="00AD1F54" w:rsidRPr="00AD28B5" w:rsidRDefault="001E5517">
      <w:pPr>
        <w:pStyle w:val="GOSTNameTable"/>
        <w:numPr>
          <w:ilvl w:val="0"/>
          <w:numId w:val="2"/>
        </w:numPr>
        <w:ind w:left="425" w:hanging="357"/>
        <w:rPr>
          <w:highlight w:val="green"/>
        </w:rPr>
      </w:pPr>
      <w:r w:rsidRPr="00AD28B5">
        <w:rPr>
          <w:noProof/>
          <w:highlight w:val="green"/>
        </w:rPr>
        <w:fldChar w:fldCharType="begin"/>
      </w:r>
      <w:r w:rsidRPr="00AD28B5">
        <w:rPr>
          <w:noProof/>
          <w:highlight w:val="green"/>
        </w:rPr>
        <w:instrText xml:space="preserve"> SEQ Таблица \* ARABIC </w:instrText>
      </w:r>
      <w:r w:rsidRPr="00AD28B5">
        <w:rPr>
          <w:noProof/>
          <w:highlight w:val="green"/>
        </w:rPr>
        <w:fldChar w:fldCharType="separate"/>
      </w:r>
      <w:bookmarkStart w:id="1814" w:name="_Ref503544272"/>
      <w:bookmarkStart w:id="1815" w:name="_Toc18509636"/>
      <w:bookmarkStart w:id="1816" w:name="_Toc219309213"/>
      <w:r w:rsidR="008D797C">
        <w:rPr>
          <w:noProof/>
          <w:highlight w:val="green"/>
        </w:rPr>
        <w:t>183</w:t>
      </w:r>
      <w:bookmarkEnd w:id="1814"/>
      <w:r w:rsidRPr="00AD28B5">
        <w:rPr>
          <w:noProof/>
          <w:highlight w:val="green"/>
        </w:rPr>
        <w:fldChar w:fldCharType="end"/>
      </w:r>
      <w:r w:rsidR="00941227" w:rsidRPr="00AD28B5">
        <w:rPr>
          <w:highlight w:val="green"/>
        </w:rPr>
        <w:t xml:space="preserve"> – Описание комплексного типа «tUFPP_N_ITEM»</w:t>
      </w:r>
      <w:bookmarkEnd w:id="1812"/>
      <w:bookmarkEnd w:id="1815"/>
      <w:bookmarkEnd w:id="1816"/>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6E919F29"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13DA05AE" w14:textId="77777777" w:rsidR="00AD1F54" w:rsidRPr="00264D5D" w:rsidRDefault="00941227">
            <w:pPr>
              <w:pStyle w:val="ASFKTableHead"/>
            </w:pPr>
            <w:r w:rsidRPr="00264D5D">
              <w:t>Наименование элемента</w:t>
            </w:r>
          </w:p>
        </w:tc>
        <w:tc>
          <w:tcPr>
            <w:tcW w:w="1701" w:type="dxa"/>
          </w:tcPr>
          <w:p w14:paraId="2E18B057" w14:textId="77777777" w:rsidR="00AD1F54" w:rsidRPr="00264D5D" w:rsidRDefault="00941227">
            <w:pPr>
              <w:pStyle w:val="ASFKTableHead"/>
            </w:pPr>
            <w:r w:rsidRPr="00264D5D">
              <w:t>Сокращенное наименование (код) элемента</w:t>
            </w:r>
          </w:p>
        </w:tc>
        <w:tc>
          <w:tcPr>
            <w:tcW w:w="567" w:type="dxa"/>
          </w:tcPr>
          <w:p w14:paraId="0431C211" w14:textId="77777777" w:rsidR="00AD1F54" w:rsidRPr="00264D5D" w:rsidRDefault="00941227">
            <w:pPr>
              <w:pStyle w:val="ASFKTableHead"/>
            </w:pPr>
            <w:r w:rsidRPr="00264D5D">
              <w:t>Тип</w:t>
            </w:r>
          </w:p>
        </w:tc>
        <w:tc>
          <w:tcPr>
            <w:tcW w:w="1134" w:type="dxa"/>
          </w:tcPr>
          <w:p w14:paraId="03EEAC18" w14:textId="77777777" w:rsidR="00AD1F54" w:rsidRPr="00264D5D" w:rsidRDefault="00941227">
            <w:pPr>
              <w:pStyle w:val="ASFKTableHead"/>
            </w:pPr>
            <w:r w:rsidRPr="00264D5D">
              <w:t>Формат элемента</w:t>
            </w:r>
          </w:p>
        </w:tc>
        <w:tc>
          <w:tcPr>
            <w:tcW w:w="567" w:type="dxa"/>
          </w:tcPr>
          <w:p w14:paraId="764CC4BF" w14:textId="77777777" w:rsidR="00AD1F54" w:rsidRPr="00264D5D" w:rsidRDefault="00941227">
            <w:pPr>
              <w:pStyle w:val="ASFKTableHead"/>
            </w:pPr>
            <w:r w:rsidRPr="00264D5D">
              <w:t>Обязательность</w:t>
            </w:r>
          </w:p>
        </w:tc>
        <w:tc>
          <w:tcPr>
            <w:tcW w:w="3963" w:type="dxa"/>
          </w:tcPr>
          <w:p w14:paraId="7A24BDC8" w14:textId="77777777" w:rsidR="00AD1F54" w:rsidRPr="00264D5D" w:rsidRDefault="00941227">
            <w:pPr>
              <w:pStyle w:val="ASFKTableHead"/>
            </w:pPr>
            <w:r w:rsidRPr="00264D5D">
              <w:t>Дополнительная информация</w:t>
            </w:r>
          </w:p>
        </w:tc>
      </w:tr>
      <w:tr w:rsidR="00AD1F54" w:rsidRPr="00264D5D" w14:paraId="2A62742D"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393CB53" w14:textId="77777777" w:rsidR="00AD1F54" w:rsidRPr="00264D5D" w:rsidRDefault="00941227">
            <w:pPr>
              <w:pStyle w:val="GOSTTablenorm"/>
              <w:rPr>
                <w:szCs w:val="22"/>
              </w:rPr>
            </w:pPr>
            <w:r w:rsidRPr="00264D5D">
              <w:rPr>
                <w:szCs w:val="22"/>
              </w:rPr>
              <w:t>Номер записи</w:t>
            </w:r>
          </w:p>
        </w:tc>
        <w:tc>
          <w:tcPr>
            <w:tcW w:w="1701" w:type="dxa"/>
          </w:tcPr>
          <w:p w14:paraId="37EC0A7E" w14:textId="77777777" w:rsidR="00AD1F54" w:rsidRPr="00264D5D" w:rsidRDefault="00941227">
            <w:pPr>
              <w:pStyle w:val="GOSTTablenorm"/>
              <w:rPr>
                <w:szCs w:val="22"/>
                <w:lang w:val="en-US"/>
              </w:rPr>
            </w:pPr>
            <w:r w:rsidRPr="00264D5D">
              <w:rPr>
                <w:szCs w:val="22"/>
                <w:lang w:val="en-US"/>
              </w:rPr>
              <w:t>RcrdNmNw</w:t>
            </w:r>
          </w:p>
        </w:tc>
        <w:tc>
          <w:tcPr>
            <w:tcW w:w="567" w:type="dxa"/>
          </w:tcPr>
          <w:p w14:paraId="755B475B" w14:textId="77777777" w:rsidR="00AD1F54" w:rsidRPr="00264D5D" w:rsidRDefault="00941227">
            <w:pPr>
              <w:pStyle w:val="GOSTTablenorm"/>
              <w:jc w:val="center"/>
              <w:rPr>
                <w:szCs w:val="22"/>
              </w:rPr>
            </w:pPr>
            <w:r w:rsidRPr="00264D5D">
              <w:rPr>
                <w:szCs w:val="22"/>
              </w:rPr>
              <w:t>П</w:t>
            </w:r>
          </w:p>
        </w:tc>
        <w:tc>
          <w:tcPr>
            <w:tcW w:w="1134" w:type="dxa"/>
          </w:tcPr>
          <w:p w14:paraId="49CD681E" w14:textId="77777777" w:rsidR="00AD1F54" w:rsidRPr="00264D5D" w:rsidRDefault="00941227">
            <w:pPr>
              <w:pStyle w:val="GOSTTablenorm"/>
              <w:rPr>
                <w:szCs w:val="22"/>
              </w:rPr>
            </w:pPr>
            <w:r w:rsidRPr="00264D5D">
              <w:rPr>
                <w:szCs w:val="22"/>
                <w:lang w:val="en-US"/>
              </w:rPr>
              <w:t>N</w:t>
            </w:r>
            <w:r w:rsidRPr="00264D5D">
              <w:rPr>
                <w:szCs w:val="22"/>
              </w:rPr>
              <w:t>(1-7)</w:t>
            </w:r>
          </w:p>
        </w:tc>
        <w:tc>
          <w:tcPr>
            <w:tcW w:w="567" w:type="dxa"/>
          </w:tcPr>
          <w:p w14:paraId="68201CB0" w14:textId="77777777" w:rsidR="00AD1F54" w:rsidRPr="00264D5D" w:rsidRDefault="00941227">
            <w:pPr>
              <w:pStyle w:val="GOSTTablenorm"/>
              <w:jc w:val="center"/>
              <w:rPr>
                <w:szCs w:val="22"/>
              </w:rPr>
            </w:pPr>
            <w:r w:rsidRPr="00264D5D">
              <w:rPr>
                <w:szCs w:val="22"/>
              </w:rPr>
              <w:t>О</w:t>
            </w:r>
          </w:p>
        </w:tc>
        <w:tc>
          <w:tcPr>
            <w:tcW w:w="3963" w:type="dxa"/>
          </w:tcPr>
          <w:p w14:paraId="32F98B51" w14:textId="77777777" w:rsidR="00AD1F54" w:rsidRPr="00264D5D" w:rsidRDefault="00941227">
            <w:pPr>
              <w:pStyle w:val="GOSTTablenorm"/>
              <w:rPr>
                <w:szCs w:val="22"/>
              </w:rPr>
            </w:pPr>
            <w:r w:rsidRPr="00264D5D">
              <w:rPr>
                <w:szCs w:val="22"/>
              </w:rPr>
              <w:t>Порядковый номер записи. Каждому номеру записи в блоке «UFPP_N» должен соответствовать такой</w:t>
            </w:r>
            <w:r w:rsidR="0015097F" w:rsidRPr="00264D5D">
              <w:rPr>
                <w:szCs w:val="22"/>
              </w:rPr>
              <w:t xml:space="preserve"> же номер записи в блоке «UFPP»</w:t>
            </w:r>
          </w:p>
        </w:tc>
      </w:tr>
      <w:tr w:rsidR="00AD1F54" w:rsidRPr="00264D5D" w14:paraId="13C0674B"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E0F9C58" w14:textId="77777777" w:rsidR="00AD1F54" w:rsidRPr="00264D5D" w:rsidRDefault="00941227">
            <w:pPr>
              <w:pStyle w:val="GOSTTablenorm"/>
              <w:rPr>
                <w:szCs w:val="22"/>
              </w:rPr>
            </w:pPr>
            <w:r w:rsidRPr="00264D5D">
              <w:rPr>
                <w:szCs w:val="22"/>
              </w:rPr>
              <w:t>Сумма</w:t>
            </w:r>
          </w:p>
        </w:tc>
        <w:tc>
          <w:tcPr>
            <w:tcW w:w="1701" w:type="dxa"/>
          </w:tcPr>
          <w:p w14:paraId="57EDA612" w14:textId="77777777" w:rsidR="00AD1F54" w:rsidRPr="00264D5D" w:rsidRDefault="00941227">
            <w:pPr>
              <w:pStyle w:val="GOSTTablenorm"/>
              <w:rPr>
                <w:szCs w:val="22"/>
                <w:lang w:val="en-US"/>
              </w:rPr>
            </w:pPr>
            <w:r w:rsidRPr="00264D5D">
              <w:rPr>
                <w:szCs w:val="22"/>
                <w:lang w:val="en-US"/>
              </w:rPr>
              <w:t>AmntNw</w:t>
            </w:r>
          </w:p>
        </w:tc>
        <w:tc>
          <w:tcPr>
            <w:tcW w:w="567" w:type="dxa"/>
          </w:tcPr>
          <w:p w14:paraId="5308F307" w14:textId="77777777" w:rsidR="00AD1F54" w:rsidRPr="00264D5D" w:rsidRDefault="00941227">
            <w:pPr>
              <w:pStyle w:val="GOSTTablenorm"/>
              <w:jc w:val="center"/>
              <w:rPr>
                <w:szCs w:val="22"/>
              </w:rPr>
            </w:pPr>
            <w:r w:rsidRPr="00264D5D">
              <w:rPr>
                <w:szCs w:val="22"/>
              </w:rPr>
              <w:t>П</w:t>
            </w:r>
          </w:p>
        </w:tc>
        <w:tc>
          <w:tcPr>
            <w:tcW w:w="1134" w:type="dxa"/>
          </w:tcPr>
          <w:p w14:paraId="1960425D" w14:textId="77777777" w:rsidR="00AD1F54" w:rsidRPr="00264D5D" w:rsidRDefault="00941227">
            <w:pPr>
              <w:pStyle w:val="GOSTTablenorm"/>
              <w:rPr>
                <w:szCs w:val="22"/>
                <w:lang w:val="en-US"/>
              </w:rPr>
            </w:pPr>
            <w:r w:rsidRPr="00264D5D">
              <w:rPr>
                <w:szCs w:val="22"/>
                <w:lang w:val="en-US"/>
              </w:rPr>
              <w:t>N(20.2)</w:t>
            </w:r>
          </w:p>
        </w:tc>
        <w:tc>
          <w:tcPr>
            <w:tcW w:w="567" w:type="dxa"/>
          </w:tcPr>
          <w:p w14:paraId="1CDEB611" w14:textId="77777777" w:rsidR="00AD1F54" w:rsidRPr="00264D5D" w:rsidRDefault="00941227">
            <w:pPr>
              <w:pStyle w:val="GOSTTablenorm"/>
              <w:jc w:val="center"/>
              <w:rPr>
                <w:szCs w:val="22"/>
              </w:rPr>
            </w:pPr>
            <w:r w:rsidRPr="00264D5D">
              <w:rPr>
                <w:szCs w:val="22"/>
              </w:rPr>
              <w:t>Н</w:t>
            </w:r>
          </w:p>
        </w:tc>
        <w:tc>
          <w:tcPr>
            <w:tcW w:w="3963" w:type="dxa"/>
          </w:tcPr>
          <w:p w14:paraId="26FB5A35" w14:textId="77777777" w:rsidR="00AD1F54" w:rsidRPr="00264D5D" w:rsidRDefault="00941227">
            <w:pPr>
              <w:pStyle w:val="GOSTTablenorm"/>
              <w:rPr>
                <w:szCs w:val="22"/>
              </w:rPr>
            </w:pPr>
            <w:r w:rsidRPr="00264D5D">
              <w:rPr>
                <w:szCs w:val="22"/>
              </w:rPr>
              <w:t>Уточненная сумма. В случае частичного уточнения на едином счете бюджета, за исключением уточнения невыясненных поступлений, указывается сумма по уточненному КБК и остаток суммы по уточняемому КБК, при этом итог сумм по строкам блока «Новые реквизиты платежного документа» UFPP_N должен соответствовать итогу сумм блока «Реквизиты уточняе</w:t>
            </w:r>
            <w:r w:rsidR="0015097F" w:rsidRPr="00264D5D">
              <w:rPr>
                <w:szCs w:val="22"/>
              </w:rPr>
              <w:t>мого платежного документа» UFPP</w:t>
            </w:r>
          </w:p>
        </w:tc>
      </w:tr>
      <w:tr w:rsidR="00AD1F54" w:rsidRPr="00264D5D" w14:paraId="0C3634F9"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57475906" w14:textId="77777777" w:rsidR="00AD1F54" w:rsidRPr="00264D5D" w:rsidRDefault="00941227">
            <w:pPr>
              <w:pStyle w:val="GOSTTablenorm"/>
              <w:rPr>
                <w:szCs w:val="22"/>
              </w:rPr>
            </w:pPr>
            <w:r w:rsidRPr="00264D5D">
              <w:rPr>
                <w:szCs w:val="22"/>
              </w:rPr>
              <w:t>Назначение платежа</w:t>
            </w:r>
          </w:p>
        </w:tc>
        <w:tc>
          <w:tcPr>
            <w:tcW w:w="1701" w:type="dxa"/>
          </w:tcPr>
          <w:p w14:paraId="672F1E88" w14:textId="77777777" w:rsidR="00AD1F54" w:rsidRPr="00264D5D" w:rsidRDefault="00941227">
            <w:pPr>
              <w:pStyle w:val="GOSTTablenorm"/>
              <w:rPr>
                <w:szCs w:val="22"/>
                <w:lang w:val="en-US"/>
              </w:rPr>
            </w:pPr>
            <w:r w:rsidRPr="00264D5D">
              <w:rPr>
                <w:szCs w:val="22"/>
                <w:lang w:val="en-US"/>
              </w:rPr>
              <w:t>PyPrpsNw</w:t>
            </w:r>
          </w:p>
        </w:tc>
        <w:tc>
          <w:tcPr>
            <w:tcW w:w="567" w:type="dxa"/>
          </w:tcPr>
          <w:p w14:paraId="15B34211" w14:textId="77777777" w:rsidR="00AD1F54" w:rsidRPr="00264D5D" w:rsidRDefault="00941227">
            <w:pPr>
              <w:pStyle w:val="GOSTTablenorm"/>
              <w:jc w:val="center"/>
              <w:rPr>
                <w:szCs w:val="22"/>
              </w:rPr>
            </w:pPr>
            <w:r w:rsidRPr="00264D5D">
              <w:rPr>
                <w:szCs w:val="22"/>
              </w:rPr>
              <w:t>П</w:t>
            </w:r>
          </w:p>
        </w:tc>
        <w:tc>
          <w:tcPr>
            <w:tcW w:w="1134" w:type="dxa"/>
          </w:tcPr>
          <w:p w14:paraId="18FA46EB" w14:textId="77777777" w:rsidR="00AD1F54" w:rsidRPr="00264D5D" w:rsidRDefault="00941227">
            <w:pPr>
              <w:pStyle w:val="GOSTTablenorm"/>
              <w:rPr>
                <w:szCs w:val="22"/>
              </w:rPr>
            </w:pPr>
            <w:r w:rsidRPr="00264D5D">
              <w:rPr>
                <w:szCs w:val="22"/>
              </w:rPr>
              <w:t>Т(</w:t>
            </w:r>
            <w:r w:rsidRPr="00264D5D">
              <w:rPr>
                <w:szCs w:val="22"/>
                <w:lang w:val="en-US"/>
              </w:rPr>
              <w:t>1-</w:t>
            </w:r>
            <w:r w:rsidRPr="00264D5D">
              <w:rPr>
                <w:szCs w:val="22"/>
              </w:rPr>
              <w:t>500)</w:t>
            </w:r>
          </w:p>
        </w:tc>
        <w:tc>
          <w:tcPr>
            <w:tcW w:w="567" w:type="dxa"/>
          </w:tcPr>
          <w:p w14:paraId="547F5673" w14:textId="77777777" w:rsidR="00AD1F54" w:rsidRPr="00264D5D" w:rsidRDefault="00941227">
            <w:pPr>
              <w:pStyle w:val="GOSTTablenorm"/>
              <w:jc w:val="center"/>
              <w:rPr>
                <w:szCs w:val="22"/>
              </w:rPr>
            </w:pPr>
            <w:r w:rsidRPr="00264D5D">
              <w:rPr>
                <w:szCs w:val="22"/>
              </w:rPr>
              <w:t>Н</w:t>
            </w:r>
          </w:p>
        </w:tc>
        <w:tc>
          <w:tcPr>
            <w:tcW w:w="3963" w:type="dxa"/>
          </w:tcPr>
          <w:p w14:paraId="342452A5" w14:textId="77777777" w:rsidR="00AD1F54" w:rsidRPr="00264D5D" w:rsidRDefault="00941227">
            <w:pPr>
              <w:pStyle w:val="GOSTTablenorm"/>
              <w:rPr>
                <w:szCs w:val="22"/>
              </w:rPr>
            </w:pPr>
            <w:r w:rsidRPr="00264D5D">
              <w:rPr>
                <w:szCs w:val="22"/>
              </w:rPr>
              <w:t xml:space="preserve">Указывается уточненное назначение платежа. </w:t>
            </w:r>
          </w:p>
          <w:p w14:paraId="708347C0" w14:textId="77777777" w:rsidR="00AD1F54" w:rsidRPr="00264D5D" w:rsidRDefault="00941227">
            <w:pPr>
              <w:pStyle w:val="GOSTTablenorm"/>
              <w:rPr>
                <w:szCs w:val="22"/>
              </w:rPr>
            </w:pPr>
            <w:r w:rsidRPr="00264D5D">
              <w:rPr>
                <w:szCs w:val="22"/>
              </w:rPr>
              <w:t>При указании в поле «Наименование платежного документа» значения «Распоряжение о перечислении денежных средств на банковские карты «Мир» физических лиц» может указываться измененный код вида выплаты (при необходимости)</w:t>
            </w:r>
          </w:p>
          <w:p w14:paraId="77647959" w14:textId="77777777" w:rsidR="00AD1F54" w:rsidRPr="00264D5D" w:rsidRDefault="00941227">
            <w:pPr>
              <w:pStyle w:val="GOSTTablenorm"/>
              <w:rPr>
                <w:szCs w:val="22"/>
              </w:rPr>
            </w:pPr>
            <w:r w:rsidRPr="00264D5D">
              <w:rPr>
                <w:szCs w:val="22"/>
              </w:rPr>
              <w:t xml:space="preserve">Не заполняется при уточнении на едином счете бюджета в случае изменения КБК на основании НПА. </w:t>
            </w:r>
          </w:p>
          <w:p w14:paraId="64903B0C" w14:textId="77777777" w:rsidR="00AD1F54" w:rsidRPr="00264D5D" w:rsidRDefault="00941227">
            <w:pPr>
              <w:pStyle w:val="GOSTTablenorm"/>
              <w:rPr>
                <w:szCs w:val="22"/>
              </w:rPr>
            </w:pPr>
            <w:r w:rsidRPr="00264D5D">
              <w:rPr>
                <w:szCs w:val="22"/>
              </w:rPr>
              <w:t>Не заполняется в случае уточн</w:t>
            </w:r>
            <w:r w:rsidR="0015097F" w:rsidRPr="00264D5D">
              <w:rPr>
                <w:szCs w:val="22"/>
              </w:rPr>
              <w:t>ения на счете учета поступлений</w:t>
            </w:r>
          </w:p>
        </w:tc>
      </w:tr>
      <w:tr w:rsidR="00AD1F54" w:rsidRPr="00264D5D" w14:paraId="2388BBC8"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69AE05E" w14:textId="77777777" w:rsidR="00AD1F54" w:rsidRPr="00264D5D" w:rsidRDefault="00941227">
            <w:pPr>
              <w:pStyle w:val="GOSTTablenorm"/>
              <w:rPr>
                <w:szCs w:val="22"/>
              </w:rPr>
            </w:pPr>
            <w:r w:rsidRPr="00264D5D">
              <w:rPr>
                <w:szCs w:val="22"/>
              </w:rPr>
              <w:t>Вид средств</w:t>
            </w:r>
          </w:p>
        </w:tc>
        <w:tc>
          <w:tcPr>
            <w:tcW w:w="1701" w:type="dxa"/>
          </w:tcPr>
          <w:p w14:paraId="4E9E3A8F" w14:textId="77777777" w:rsidR="00AD1F54" w:rsidRPr="00264D5D" w:rsidRDefault="00941227">
            <w:pPr>
              <w:pStyle w:val="GOSTTablenorm"/>
              <w:rPr>
                <w:szCs w:val="22"/>
                <w:lang w:val="en-US"/>
              </w:rPr>
            </w:pPr>
            <w:r w:rsidRPr="00264D5D">
              <w:rPr>
                <w:szCs w:val="22"/>
                <w:lang w:val="en-US"/>
              </w:rPr>
              <w:t>StSrcKnd</w:t>
            </w:r>
          </w:p>
        </w:tc>
        <w:tc>
          <w:tcPr>
            <w:tcW w:w="567" w:type="dxa"/>
          </w:tcPr>
          <w:p w14:paraId="27395392" w14:textId="77777777" w:rsidR="00AD1F54" w:rsidRPr="00264D5D" w:rsidRDefault="00941227">
            <w:pPr>
              <w:pStyle w:val="GOSTTablenorm"/>
              <w:jc w:val="center"/>
              <w:rPr>
                <w:szCs w:val="22"/>
                <w:lang w:val="en-US"/>
              </w:rPr>
            </w:pPr>
            <w:r w:rsidRPr="00264D5D">
              <w:rPr>
                <w:szCs w:val="22"/>
                <w:lang w:val="en-US"/>
              </w:rPr>
              <w:t>C</w:t>
            </w:r>
          </w:p>
        </w:tc>
        <w:tc>
          <w:tcPr>
            <w:tcW w:w="1134" w:type="dxa"/>
          </w:tcPr>
          <w:p w14:paraId="5D47D6CA" w14:textId="77777777" w:rsidR="00AD1F54" w:rsidRPr="00264D5D" w:rsidRDefault="00941227">
            <w:pPr>
              <w:pStyle w:val="GOSTTablenorm"/>
              <w:rPr>
                <w:szCs w:val="22"/>
              </w:rPr>
            </w:pPr>
            <w:r w:rsidRPr="00264D5D">
              <w:rPr>
                <w:szCs w:val="22"/>
              </w:rPr>
              <w:t>tMSC_SrcTypeComplex5</w:t>
            </w:r>
          </w:p>
        </w:tc>
        <w:tc>
          <w:tcPr>
            <w:tcW w:w="567" w:type="dxa"/>
          </w:tcPr>
          <w:p w14:paraId="2807D98D" w14:textId="77777777" w:rsidR="00AD1F54" w:rsidRPr="00264D5D" w:rsidRDefault="00941227">
            <w:pPr>
              <w:pStyle w:val="GOSTTablenorm"/>
              <w:jc w:val="center"/>
              <w:rPr>
                <w:szCs w:val="22"/>
              </w:rPr>
            </w:pPr>
            <w:r w:rsidRPr="00264D5D">
              <w:rPr>
                <w:szCs w:val="22"/>
              </w:rPr>
              <w:t>Н</w:t>
            </w:r>
          </w:p>
        </w:tc>
        <w:tc>
          <w:tcPr>
            <w:tcW w:w="3963" w:type="dxa"/>
          </w:tcPr>
          <w:p w14:paraId="5031CBB7" w14:textId="77777777" w:rsidR="00AD1F54" w:rsidRPr="00264D5D" w:rsidRDefault="00941227">
            <w:pPr>
              <w:pStyle w:val="GOSTTablenorm"/>
              <w:rPr>
                <w:szCs w:val="22"/>
              </w:rPr>
            </w:pPr>
            <w:r w:rsidRPr="00264D5D">
              <w:rPr>
                <w:szCs w:val="22"/>
              </w:rPr>
              <w:t xml:space="preserve">Указывается уточненный вид средств. </w:t>
            </w:r>
          </w:p>
          <w:p w14:paraId="21610EFD" w14:textId="20AECC07" w:rsidR="00AD1F54" w:rsidRPr="00264D5D" w:rsidRDefault="00941227">
            <w:pPr>
              <w:pStyle w:val="GOSTTablenorm"/>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_Ref503543834 \h  \* MERGEFORMAT </w:instrText>
            </w:r>
            <w:r w:rsidRPr="00264D5D">
              <w:rPr>
                <w:b/>
                <w:szCs w:val="22"/>
              </w:rPr>
            </w:r>
            <w:r w:rsidRPr="00264D5D">
              <w:rPr>
                <w:b/>
                <w:szCs w:val="22"/>
              </w:rPr>
              <w:fldChar w:fldCharType="separate"/>
            </w:r>
            <w:r w:rsidR="008D797C" w:rsidRPr="008D797C">
              <w:rPr>
                <w:b/>
                <w:szCs w:val="22"/>
              </w:rPr>
              <w:t>172</w:t>
            </w:r>
            <w:r w:rsidRPr="00264D5D">
              <w:rPr>
                <w:b/>
                <w:szCs w:val="22"/>
              </w:rPr>
              <w:fldChar w:fldCharType="end"/>
            </w:r>
          </w:p>
        </w:tc>
      </w:tr>
      <w:tr w:rsidR="00AD1F54" w:rsidRPr="00264D5D" w14:paraId="7DFB7AD2"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F98A027" w14:textId="77777777" w:rsidR="00AD1F54" w:rsidRPr="00264D5D" w:rsidRDefault="00941227">
            <w:pPr>
              <w:pStyle w:val="GOSTTablenorm"/>
              <w:rPr>
                <w:szCs w:val="22"/>
              </w:rPr>
            </w:pPr>
            <w:r w:rsidRPr="00264D5D">
              <w:rPr>
                <w:szCs w:val="22"/>
              </w:rPr>
              <w:t>Глобальный уникальный идентификатор связанного документа по строке</w:t>
            </w:r>
          </w:p>
        </w:tc>
        <w:tc>
          <w:tcPr>
            <w:tcW w:w="1701" w:type="dxa"/>
          </w:tcPr>
          <w:p w14:paraId="2D44D05C" w14:textId="77777777" w:rsidR="00AD1F54" w:rsidRPr="00264D5D" w:rsidRDefault="00941227">
            <w:pPr>
              <w:pStyle w:val="GOSTTablenorm"/>
              <w:rPr>
                <w:szCs w:val="22"/>
                <w:lang w:val="en-US"/>
              </w:rPr>
            </w:pPr>
            <w:r w:rsidRPr="00264D5D">
              <w:rPr>
                <w:szCs w:val="22"/>
                <w:lang w:val="en-US"/>
              </w:rPr>
              <w:t>GUIDRelDcRowNw</w:t>
            </w:r>
          </w:p>
        </w:tc>
        <w:tc>
          <w:tcPr>
            <w:tcW w:w="567" w:type="dxa"/>
          </w:tcPr>
          <w:p w14:paraId="43FA2B3E" w14:textId="77777777" w:rsidR="00AD1F54" w:rsidRPr="00264D5D" w:rsidRDefault="00941227">
            <w:pPr>
              <w:pStyle w:val="GOSTTablenorm"/>
              <w:jc w:val="center"/>
              <w:rPr>
                <w:szCs w:val="22"/>
              </w:rPr>
            </w:pPr>
            <w:r w:rsidRPr="00264D5D">
              <w:rPr>
                <w:szCs w:val="22"/>
              </w:rPr>
              <w:t>П</w:t>
            </w:r>
          </w:p>
        </w:tc>
        <w:tc>
          <w:tcPr>
            <w:tcW w:w="1134" w:type="dxa"/>
          </w:tcPr>
          <w:p w14:paraId="6F59D0D9" w14:textId="77777777" w:rsidR="00AD1F54" w:rsidRPr="00264D5D" w:rsidRDefault="00941227">
            <w:pPr>
              <w:pStyle w:val="GOSTTablenorm"/>
              <w:rPr>
                <w:szCs w:val="22"/>
              </w:rPr>
            </w:pPr>
            <w:r w:rsidRPr="00264D5D">
              <w:rPr>
                <w:szCs w:val="22"/>
              </w:rPr>
              <w:t>GUID</w:t>
            </w:r>
          </w:p>
        </w:tc>
        <w:tc>
          <w:tcPr>
            <w:tcW w:w="567" w:type="dxa"/>
          </w:tcPr>
          <w:p w14:paraId="63AE012D" w14:textId="77777777" w:rsidR="00AD1F54" w:rsidRPr="00264D5D" w:rsidRDefault="00941227">
            <w:pPr>
              <w:pStyle w:val="GOSTTablenorm"/>
              <w:jc w:val="center"/>
              <w:rPr>
                <w:szCs w:val="22"/>
              </w:rPr>
            </w:pPr>
            <w:r w:rsidRPr="00264D5D">
              <w:rPr>
                <w:szCs w:val="22"/>
              </w:rPr>
              <w:t>Н</w:t>
            </w:r>
          </w:p>
        </w:tc>
        <w:tc>
          <w:tcPr>
            <w:tcW w:w="3963" w:type="dxa"/>
          </w:tcPr>
          <w:p w14:paraId="25700E5D" w14:textId="77777777" w:rsidR="00AD1F54" w:rsidRPr="00264D5D" w:rsidRDefault="00941227">
            <w:pPr>
              <w:pStyle w:val="GOSTTablenorm"/>
              <w:rPr>
                <w:szCs w:val="22"/>
              </w:rPr>
            </w:pPr>
            <w:r w:rsidRPr="00264D5D">
              <w:rPr>
                <w:szCs w:val="22"/>
              </w:rPr>
              <w:t>Глобальный уникальный идентификатор связанного документа по строке.</w:t>
            </w:r>
          </w:p>
          <w:p w14:paraId="56E3D8A8" w14:textId="77777777" w:rsidR="00AD1F54" w:rsidRPr="00264D5D" w:rsidRDefault="00AD28B5">
            <w:pPr>
              <w:pStyle w:val="GOSTTablenorm"/>
              <w:rPr>
                <w:szCs w:val="22"/>
              </w:rPr>
            </w:pPr>
            <w:r w:rsidRPr="00AC03A8">
              <w:rPr>
                <w:szCs w:val="22"/>
                <w:highlight w:val="green"/>
              </w:rPr>
              <w:t>Не заполняется</w:t>
            </w:r>
          </w:p>
        </w:tc>
      </w:tr>
      <w:tr w:rsidR="00AD1F54" w:rsidRPr="00264D5D" w14:paraId="1CE9ECDB"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33A3C9AB" w14:textId="77777777" w:rsidR="00AD1F54" w:rsidRPr="00264D5D" w:rsidRDefault="00941227">
            <w:pPr>
              <w:pStyle w:val="GOSTTablenorm"/>
              <w:rPr>
                <w:szCs w:val="22"/>
              </w:rPr>
            </w:pPr>
            <w:r w:rsidRPr="00264D5D">
              <w:rPr>
                <w:szCs w:val="22"/>
              </w:rPr>
              <w:lastRenderedPageBreak/>
              <w:t>Информация о получателе</w:t>
            </w:r>
          </w:p>
        </w:tc>
        <w:tc>
          <w:tcPr>
            <w:tcW w:w="1701" w:type="dxa"/>
          </w:tcPr>
          <w:p w14:paraId="2D7C76DF" w14:textId="77777777" w:rsidR="00AD1F54" w:rsidRPr="00264D5D" w:rsidRDefault="00941227">
            <w:pPr>
              <w:pStyle w:val="GOSTTablenorm"/>
              <w:rPr>
                <w:szCs w:val="22"/>
                <w:lang w:val="en-US"/>
              </w:rPr>
            </w:pPr>
            <w:r w:rsidRPr="00264D5D">
              <w:rPr>
                <w:szCs w:val="22"/>
                <w:lang w:val="en-US"/>
              </w:rPr>
              <w:t>MSC_Rcpnt</w:t>
            </w:r>
          </w:p>
        </w:tc>
        <w:tc>
          <w:tcPr>
            <w:tcW w:w="567" w:type="dxa"/>
          </w:tcPr>
          <w:p w14:paraId="1AE90302" w14:textId="77777777" w:rsidR="00AD1F54" w:rsidRPr="00264D5D" w:rsidRDefault="00941227">
            <w:pPr>
              <w:pStyle w:val="GOSTTablenorm"/>
              <w:jc w:val="center"/>
              <w:rPr>
                <w:szCs w:val="22"/>
              </w:rPr>
            </w:pPr>
            <w:r w:rsidRPr="00264D5D">
              <w:rPr>
                <w:szCs w:val="22"/>
              </w:rPr>
              <w:t>С</w:t>
            </w:r>
          </w:p>
        </w:tc>
        <w:tc>
          <w:tcPr>
            <w:tcW w:w="1134" w:type="dxa"/>
          </w:tcPr>
          <w:p w14:paraId="78252DD4" w14:textId="77777777" w:rsidR="00AD1F54" w:rsidRPr="00264D5D" w:rsidRDefault="00941227">
            <w:pPr>
              <w:pStyle w:val="GOSTTablenorm"/>
              <w:rPr>
                <w:szCs w:val="22"/>
              </w:rPr>
            </w:pPr>
            <w:r w:rsidRPr="00264D5D">
              <w:rPr>
                <w:szCs w:val="22"/>
              </w:rPr>
              <w:t>tMSC_Rcpnt</w:t>
            </w:r>
          </w:p>
        </w:tc>
        <w:tc>
          <w:tcPr>
            <w:tcW w:w="567" w:type="dxa"/>
          </w:tcPr>
          <w:p w14:paraId="455C1082" w14:textId="77777777" w:rsidR="00AD1F54" w:rsidRPr="00264D5D" w:rsidRDefault="00941227">
            <w:pPr>
              <w:pStyle w:val="GOSTTablenorm"/>
              <w:jc w:val="center"/>
              <w:rPr>
                <w:szCs w:val="22"/>
              </w:rPr>
            </w:pPr>
            <w:r w:rsidRPr="00264D5D">
              <w:rPr>
                <w:szCs w:val="22"/>
              </w:rPr>
              <w:t>Н</w:t>
            </w:r>
          </w:p>
        </w:tc>
        <w:tc>
          <w:tcPr>
            <w:tcW w:w="3963" w:type="dxa"/>
          </w:tcPr>
          <w:p w14:paraId="77F213AE" w14:textId="7ABBF51D" w:rsidR="00AD1F54" w:rsidRPr="00264D5D" w:rsidRDefault="00941227">
            <w:pPr>
              <w:pStyle w:val="GOSTTablenorm"/>
              <w:rPr>
                <w:szCs w:val="22"/>
              </w:rPr>
            </w:pPr>
            <w:r w:rsidRPr="00264D5D">
              <w:rPr>
                <w:szCs w:val="22"/>
              </w:rPr>
              <w:t>Состав элемента представлен в таблице </w:t>
            </w:r>
            <w:r w:rsidRPr="00264D5D">
              <w:rPr>
                <w:b/>
                <w:szCs w:val="22"/>
              </w:rPr>
              <w:fldChar w:fldCharType="begin"/>
            </w:r>
            <w:r w:rsidRPr="00264D5D">
              <w:rPr>
                <w:b/>
                <w:szCs w:val="22"/>
              </w:rPr>
              <w:instrText xml:space="preserve"> REF _Ref503544327 \h  \* MERGEFORMAT </w:instrText>
            </w:r>
            <w:r w:rsidRPr="00264D5D">
              <w:rPr>
                <w:b/>
                <w:szCs w:val="22"/>
              </w:rPr>
            </w:r>
            <w:r w:rsidRPr="00264D5D">
              <w:rPr>
                <w:b/>
                <w:szCs w:val="22"/>
              </w:rPr>
              <w:fldChar w:fldCharType="separate"/>
            </w:r>
            <w:r w:rsidR="008D797C" w:rsidRPr="008D797C">
              <w:rPr>
                <w:b/>
                <w:szCs w:val="22"/>
              </w:rPr>
              <w:t>184</w:t>
            </w:r>
            <w:r w:rsidRPr="00264D5D">
              <w:rPr>
                <w:b/>
                <w:szCs w:val="22"/>
              </w:rPr>
              <w:fldChar w:fldCharType="end"/>
            </w:r>
          </w:p>
        </w:tc>
      </w:tr>
      <w:tr w:rsidR="00AD1F54" w:rsidRPr="00264D5D" w14:paraId="49CB5145"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55303DBD" w14:textId="77777777" w:rsidR="00AD1F54" w:rsidRPr="00264D5D" w:rsidRDefault="00941227">
            <w:pPr>
              <w:pStyle w:val="GOSTTablenorm"/>
              <w:rPr>
                <w:szCs w:val="22"/>
              </w:rPr>
            </w:pPr>
            <w:r w:rsidRPr="00264D5D">
              <w:rPr>
                <w:szCs w:val="22"/>
              </w:rPr>
              <w:t>Код по ОКТМО</w:t>
            </w:r>
          </w:p>
        </w:tc>
        <w:tc>
          <w:tcPr>
            <w:tcW w:w="1701" w:type="dxa"/>
          </w:tcPr>
          <w:p w14:paraId="36BD4DA2" w14:textId="77777777" w:rsidR="00AD1F54" w:rsidRPr="00264D5D" w:rsidRDefault="00941227">
            <w:pPr>
              <w:pStyle w:val="GOSTTablenorm"/>
              <w:rPr>
                <w:szCs w:val="22"/>
                <w:lang w:val="en-US"/>
              </w:rPr>
            </w:pPr>
            <w:r w:rsidRPr="00264D5D">
              <w:rPr>
                <w:szCs w:val="22"/>
                <w:lang w:val="en-US"/>
              </w:rPr>
              <w:t>OKTMOCdNw</w:t>
            </w:r>
          </w:p>
        </w:tc>
        <w:tc>
          <w:tcPr>
            <w:tcW w:w="567" w:type="dxa"/>
          </w:tcPr>
          <w:p w14:paraId="17580EC1" w14:textId="77777777" w:rsidR="00AD1F54" w:rsidRPr="00264D5D" w:rsidRDefault="00941227">
            <w:pPr>
              <w:pStyle w:val="GOSTTablenorm"/>
              <w:jc w:val="center"/>
              <w:rPr>
                <w:szCs w:val="22"/>
              </w:rPr>
            </w:pPr>
            <w:r w:rsidRPr="00264D5D">
              <w:rPr>
                <w:szCs w:val="22"/>
              </w:rPr>
              <w:t>П</w:t>
            </w:r>
          </w:p>
        </w:tc>
        <w:tc>
          <w:tcPr>
            <w:tcW w:w="1134" w:type="dxa"/>
          </w:tcPr>
          <w:p w14:paraId="283ABFDB" w14:textId="77777777" w:rsidR="00AD1F54" w:rsidRPr="00264D5D" w:rsidRDefault="00941227">
            <w:pPr>
              <w:pStyle w:val="GOSTTablenorm"/>
              <w:rPr>
                <w:szCs w:val="22"/>
              </w:rPr>
            </w:pPr>
            <w:r w:rsidRPr="00264D5D">
              <w:rPr>
                <w:szCs w:val="22"/>
              </w:rPr>
              <w:t>Т(8)</w:t>
            </w:r>
          </w:p>
        </w:tc>
        <w:tc>
          <w:tcPr>
            <w:tcW w:w="567" w:type="dxa"/>
          </w:tcPr>
          <w:p w14:paraId="70DF01CF" w14:textId="77777777" w:rsidR="00AD1F54" w:rsidRPr="00264D5D" w:rsidRDefault="00941227">
            <w:pPr>
              <w:pStyle w:val="GOSTTablenorm"/>
              <w:jc w:val="center"/>
              <w:rPr>
                <w:szCs w:val="22"/>
              </w:rPr>
            </w:pPr>
            <w:r w:rsidRPr="00264D5D">
              <w:rPr>
                <w:szCs w:val="22"/>
              </w:rPr>
              <w:t>Н</w:t>
            </w:r>
          </w:p>
        </w:tc>
        <w:tc>
          <w:tcPr>
            <w:tcW w:w="3963" w:type="dxa"/>
          </w:tcPr>
          <w:p w14:paraId="36554674" w14:textId="77777777" w:rsidR="00AD1F54" w:rsidRPr="00264D5D" w:rsidRDefault="00941227">
            <w:pPr>
              <w:pStyle w:val="GOSTTablenorm"/>
              <w:rPr>
                <w:szCs w:val="22"/>
              </w:rPr>
            </w:pPr>
            <w:r w:rsidRPr="00264D5D">
              <w:rPr>
                <w:szCs w:val="22"/>
              </w:rPr>
              <w:t>Указывается код по ОКТМО.</w:t>
            </w:r>
          </w:p>
          <w:p w14:paraId="007CAB7B" w14:textId="77777777" w:rsidR="00AD1F54" w:rsidRPr="00264D5D" w:rsidRDefault="00941227">
            <w:pPr>
              <w:pStyle w:val="GOSTTablenorm"/>
              <w:rPr>
                <w:szCs w:val="22"/>
              </w:rPr>
            </w:pPr>
            <w:r w:rsidRPr="00264D5D">
              <w:rPr>
                <w:szCs w:val="22"/>
              </w:rPr>
              <w:t>Не заполняется при уточнении на едином счете бюджета в случае изменения КБК на основании Н</w:t>
            </w:r>
            <w:r w:rsidR="0015097F" w:rsidRPr="00264D5D">
              <w:rPr>
                <w:szCs w:val="22"/>
              </w:rPr>
              <w:t>ПА</w:t>
            </w:r>
          </w:p>
        </w:tc>
      </w:tr>
      <w:tr w:rsidR="00AD1F54" w:rsidRPr="00264D5D" w14:paraId="03C6CDF7"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7F997C4" w14:textId="77777777" w:rsidR="00AD1F54" w:rsidRPr="00264D5D" w:rsidRDefault="00941227">
            <w:pPr>
              <w:pStyle w:val="GOSTTablenorm"/>
              <w:rPr>
                <w:szCs w:val="22"/>
              </w:rPr>
            </w:pPr>
            <w:r w:rsidRPr="00264D5D">
              <w:rPr>
                <w:szCs w:val="22"/>
              </w:rPr>
              <w:t>Информация о КБК</w:t>
            </w:r>
          </w:p>
        </w:tc>
        <w:tc>
          <w:tcPr>
            <w:tcW w:w="1701" w:type="dxa"/>
          </w:tcPr>
          <w:p w14:paraId="5D3FF505" w14:textId="77777777" w:rsidR="00AD1F54" w:rsidRPr="00264D5D" w:rsidRDefault="00941227">
            <w:pPr>
              <w:pStyle w:val="GOSTTablenorm"/>
              <w:rPr>
                <w:szCs w:val="22"/>
                <w:lang w:val="en-US"/>
              </w:rPr>
            </w:pPr>
            <w:r w:rsidRPr="00264D5D">
              <w:rPr>
                <w:szCs w:val="22"/>
                <w:lang w:val="en-US"/>
              </w:rPr>
              <w:t>MSC_KBKNw</w:t>
            </w:r>
          </w:p>
        </w:tc>
        <w:tc>
          <w:tcPr>
            <w:tcW w:w="567" w:type="dxa"/>
          </w:tcPr>
          <w:p w14:paraId="79A7B135" w14:textId="77777777" w:rsidR="00AD1F54" w:rsidRPr="00264D5D" w:rsidRDefault="00941227">
            <w:pPr>
              <w:pStyle w:val="GOSTTablenorm"/>
              <w:jc w:val="center"/>
              <w:rPr>
                <w:szCs w:val="22"/>
              </w:rPr>
            </w:pPr>
            <w:r w:rsidRPr="00264D5D">
              <w:rPr>
                <w:szCs w:val="22"/>
              </w:rPr>
              <w:t>С</w:t>
            </w:r>
          </w:p>
        </w:tc>
        <w:tc>
          <w:tcPr>
            <w:tcW w:w="1134" w:type="dxa"/>
          </w:tcPr>
          <w:p w14:paraId="314629C7" w14:textId="77777777" w:rsidR="00AD1F54" w:rsidRPr="00264D5D" w:rsidRDefault="00941227">
            <w:pPr>
              <w:pStyle w:val="GOSTTablenorm"/>
              <w:rPr>
                <w:szCs w:val="22"/>
              </w:rPr>
            </w:pPr>
            <w:r w:rsidRPr="00264D5D">
              <w:rPr>
                <w:szCs w:val="22"/>
                <w:lang w:val="en-US"/>
              </w:rPr>
              <w:t>tMSC</w:t>
            </w:r>
            <w:r w:rsidRPr="00264D5D">
              <w:rPr>
                <w:szCs w:val="22"/>
              </w:rPr>
              <w:t>_</w:t>
            </w:r>
            <w:r w:rsidRPr="00264D5D">
              <w:rPr>
                <w:szCs w:val="22"/>
                <w:lang w:val="en-US"/>
              </w:rPr>
              <w:t>KBK</w:t>
            </w:r>
            <w:r w:rsidRPr="00264D5D">
              <w:rPr>
                <w:szCs w:val="22"/>
              </w:rPr>
              <w:t>10_20_31_32</w:t>
            </w:r>
          </w:p>
        </w:tc>
        <w:tc>
          <w:tcPr>
            <w:tcW w:w="567" w:type="dxa"/>
          </w:tcPr>
          <w:p w14:paraId="6BBD83F1" w14:textId="77777777" w:rsidR="00AD1F54" w:rsidRPr="00264D5D" w:rsidRDefault="00941227">
            <w:pPr>
              <w:pStyle w:val="GOSTTablenorm"/>
              <w:jc w:val="center"/>
              <w:rPr>
                <w:szCs w:val="22"/>
              </w:rPr>
            </w:pPr>
            <w:r w:rsidRPr="00264D5D">
              <w:rPr>
                <w:szCs w:val="22"/>
              </w:rPr>
              <w:t>Н</w:t>
            </w:r>
          </w:p>
        </w:tc>
        <w:tc>
          <w:tcPr>
            <w:tcW w:w="3963" w:type="dxa"/>
          </w:tcPr>
          <w:p w14:paraId="607BADC8" w14:textId="51433EEC" w:rsidR="00AD1F54" w:rsidRPr="00264D5D" w:rsidRDefault="00941227">
            <w:pPr>
              <w:pStyle w:val="GOSTTablenorm"/>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_Ref503544220 \h  \* MERGEFORMAT </w:instrText>
            </w:r>
            <w:r w:rsidRPr="00264D5D">
              <w:rPr>
                <w:b/>
                <w:szCs w:val="22"/>
              </w:rPr>
            </w:r>
            <w:r w:rsidRPr="00264D5D">
              <w:rPr>
                <w:b/>
                <w:szCs w:val="22"/>
              </w:rPr>
              <w:fldChar w:fldCharType="separate"/>
            </w:r>
            <w:r w:rsidR="008D797C" w:rsidRPr="008D797C">
              <w:rPr>
                <w:b/>
                <w:szCs w:val="22"/>
              </w:rPr>
              <w:t>180</w:t>
            </w:r>
            <w:r w:rsidRPr="00264D5D">
              <w:rPr>
                <w:b/>
                <w:szCs w:val="22"/>
              </w:rPr>
              <w:fldChar w:fldCharType="end"/>
            </w:r>
          </w:p>
        </w:tc>
      </w:tr>
    </w:tbl>
    <w:p w14:paraId="7CD83D51" w14:textId="77777777" w:rsidR="00AD1F54" w:rsidRPr="00264D5D" w:rsidRDefault="00941227">
      <w:pPr>
        <w:pStyle w:val="31"/>
      </w:pPr>
      <w:bookmarkStart w:id="1817" w:name="_Toc508712734"/>
      <w:bookmarkStart w:id="1818" w:name="_Toc18509359"/>
      <w:bookmarkStart w:id="1819" w:name="OLE_LINK272"/>
      <w:bookmarkStart w:id="1820" w:name="OLE_LINK273"/>
      <w:r w:rsidRPr="00264D5D">
        <w:t xml:space="preserve"> </w:t>
      </w:r>
      <w:bookmarkStart w:id="1821" w:name="_Toc219309640"/>
      <w:r w:rsidRPr="00264D5D">
        <w:t>Описание комплексного типа «tMSC_Rcpnt»</w:t>
      </w:r>
      <w:bookmarkEnd w:id="1817"/>
      <w:bookmarkEnd w:id="1818"/>
      <w:bookmarkEnd w:id="1821"/>
    </w:p>
    <w:p w14:paraId="0EB53C4C" w14:textId="77777777" w:rsidR="00AD1F54" w:rsidRPr="00264D5D" w:rsidRDefault="00941227">
      <w:pPr>
        <w:pStyle w:val="GOSTNormal"/>
      </w:pPr>
      <w:r w:rsidRPr="00264D5D">
        <w:t xml:space="preserve">Описание комплексного типа </w:t>
      </w:r>
      <w:r w:rsidRPr="00264D5D">
        <w:rPr>
          <w:rFonts w:eastAsia="Calibri"/>
        </w:rPr>
        <w:t>«</w:t>
      </w:r>
      <w:r w:rsidRPr="00264D5D">
        <w:rPr>
          <w:szCs w:val="22"/>
        </w:rPr>
        <w:t>tMSC_Rcpnt</w:t>
      </w:r>
      <w:r w:rsidRPr="00264D5D">
        <w:t>» блока «</w:t>
      </w:r>
      <w:r w:rsidRPr="00264D5D">
        <w:rPr>
          <w:szCs w:val="22"/>
        </w:rPr>
        <w:t>Информация о получателе</w:t>
      </w:r>
      <w:r w:rsidRPr="00264D5D">
        <w:t>».</w:t>
      </w:r>
    </w:p>
    <w:p w14:paraId="59D6EA6D" w14:textId="43DAF5A5" w:rsidR="00AD1F54" w:rsidRPr="00264D5D" w:rsidRDefault="001E5517">
      <w:pPr>
        <w:pStyle w:val="GOSTNameTable"/>
        <w:numPr>
          <w:ilvl w:val="0"/>
          <w:numId w:val="2"/>
        </w:numPr>
        <w:ind w:left="425" w:hanging="357"/>
      </w:pPr>
      <w:r w:rsidRPr="00264D5D">
        <w:rPr>
          <w:noProof/>
        </w:rPr>
        <w:fldChar w:fldCharType="begin"/>
      </w:r>
      <w:r w:rsidRPr="00264D5D">
        <w:rPr>
          <w:noProof/>
        </w:rPr>
        <w:instrText xml:space="preserve"> SEQ Таблица \* ARABIC </w:instrText>
      </w:r>
      <w:r w:rsidRPr="00264D5D">
        <w:rPr>
          <w:noProof/>
        </w:rPr>
        <w:fldChar w:fldCharType="separate"/>
      </w:r>
      <w:bookmarkStart w:id="1822" w:name="_Ref503544327"/>
      <w:bookmarkStart w:id="1823" w:name="_Toc18509637"/>
      <w:bookmarkStart w:id="1824" w:name="_Toc219309214"/>
      <w:r w:rsidR="008D797C">
        <w:rPr>
          <w:noProof/>
        </w:rPr>
        <w:t>184</w:t>
      </w:r>
      <w:bookmarkEnd w:id="1822"/>
      <w:r w:rsidRPr="00264D5D">
        <w:rPr>
          <w:noProof/>
        </w:rPr>
        <w:fldChar w:fldCharType="end"/>
      </w:r>
      <w:r w:rsidR="00941227" w:rsidRPr="00264D5D">
        <w:t xml:space="preserve"> – Описание комплексного типа «tMSC_Rcpnt»</w:t>
      </w:r>
      <w:bookmarkEnd w:id="1823"/>
      <w:bookmarkEnd w:id="1824"/>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43EE1483"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24EC47FE" w14:textId="77777777" w:rsidR="00AD1F54" w:rsidRPr="00264D5D" w:rsidRDefault="00941227">
            <w:pPr>
              <w:pStyle w:val="ASFKTableHead"/>
            </w:pPr>
            <w:bookmarkStart w:id="1825" w:name="OLE_LINK270"/>
            <w:bookmarkStart w:id="1826" w:name="OLE_LINK271"/>
            <w:bookmarkEnd w:id="1819"/>
            <w:bookmarkEnd w:id="1820"/>
            <w:r w:rsidRPr="00264D5D">
              <w:t>Наименование элемента</w:t>
            </w:r>
          </w:p>
        </w:tc>
        <w:tc>
          <w:tcPr>
            <w:tcW w:w="1701" w:type="dxa"/>
          </w:tcPr>
          <w:p w14:paraId="1792A06F" w14:textId="77777777" w:rsidR="00AD1F54" w:rsidRPr="00264D5D" w:rsidRDefault="00941227">
            <w:pPr>
              <w:pStyle w:val="ASFKTableHead"/>
            </w:pPr>
            <w:r w:rsidRPr="00264D5D">
              <w:t>Сокращенное наименование (код) элемента</w:t>
            </w:r>
          </w:p>
        </w:tc>
        <w:tc>
          <w:tcPr>
            <w:tcW w:w="567" w:type="dxa"/>
          </w:tcPr>
          <w:p w14:paraId="6F218EE6" w14:textId="77777777" w:rsidR="00AD1F54" w:rsidRPr="00264D5D" w:rsidRDefault="00941227">
            <w:pPr>
              <w:pStyle w:val="ASFKTableHead"/>
            </w:pPr>
            <w:r w:rsidRPr="00264D5D">
              <w:t>Тип</w:t>
            </w:r>
          </w:p>
        </w:tc>
        <w:tc>
          <w:tcPr>
            <w:tcW w:w="1134" w:type="dxa"/>
          </w:tcPr>
          <w:p w14:paraId="7573FFD1" w14:textId="77777777" w:rsidR="00AD1F54" w:rsidRPr="00264D5D" w:rsidRDefault="00941227">
            <w:pPr>
              <w:pStyle w:val="ASFKTableHead"/>
            </w:pPr>
            <w:r w:rsidRPr="00264D5D">
              <w:t>Формат элемента</w:t>
            </w:r>
          </w:p>
        </w:tc>
        <w:tc>
          <w:tcPr>
            <w:tcW w:w="567" w:type="dxa"/>
          </w:tcPr>
          <w:p w14:paraId="7E29F546" w14:textId="77777777" w:rsidR="00AD1F54" w:rsidRPr="00264D5D" w:rsidRDefault="00941227">
            <w:pPr>
              <w:pStyle w:val="ASFKTableHead"/>
            </w:pPr>
            <w:r w:rsidRPr="00264D5D">
              <w:t>Обязательность</w:t>
            </w:r>
          </w:p>
        </w:tc>
        <w:tc>
          <w:tcPr>
            <w:tcW w:w="3963" w:type="dxa"/>
          </w:tcPr>
          <w:p w14:paraId="2AB3847A" w14:textId="77777777" w:rsidR="00AD1F54" w:rsidRPr="00264D5D" w:rsidRDefault="00941227">
            <w:pPr>
              <w:pStyle w:val="ASFKTableHead"/>
            </w:pPr>
            <w:r w:rsidRPr="00264D5D">
              <w:t>Дополнительная информация</w:t>
            </w:r>
          </w:p>
        </w:tc>
      </w:tr>
      <w:tr w:rsidR="00AD1F54" w:rsidRPr="00264D5D" w14:paraId="49DD958A"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F95B76A" w14:textId="77777777" w:rsidR="00AD1F54" w:rsidRPr="00264D5D" w:rsidRDefault="00941227">
            <w:pPr>
              <w:pStyle w:val="GOSTTablenorm"/>
              <w:rPr>
                <w:szCs w:val="22"/>
              </w:rPr>
            </w:pPr>
            <w:r w:rsidRPr="00264D5D">
              <w:t>Наименование получателя</w:t>
            </w:r>
          </w:p>
        </w:tc>
        <w:tc>
          <w:tcPr>
            <w:tcW w:w="1701" w:type="dxa"/>
          </w:tcPr>
          <w:p w14:paraId="4DAA1E78" w14:textId="77777777" w:rsidR="00AD1F54" w:rsidRPr="00264D5D" w:rsidRDefault="00941227">
            <w:pPr>
              <w:pStyle w:val="GOSTTablenorm"/>
              <w:rPr>
                <w:lang w:val="en-US"/>
              </w:rPr>
            </w:pPr>
            <w:r w:rsidRPr="00264D5D">
              <w:rPr>
                <w:lang w:val="en-US"/>
              </w:rPr>
              <w:t>Nm</w:t>
            </w:r>
          </w:p>
        </w:tc>
        <w:tc>
          <w:tcPr>
            <w:tcW w:w="567" w:type="dxa"/>
          </w:tcPr>
          <w:p w14:paraId="125FCDF1" w14:textId="77777777" w:rsidR="00AD1F54" w:rsidRPr="00264D5D" w:rsidRDefault="00941227">
            <w:pPr>
              <w:pStyle w:val="GOSTTablenorm"/>
              <w:jc w:val="center"/>
            </w:pPr>
            <w:r w:rsidRPr="00264D5D">
              <w:t>П</w:t>
            </w:r>
          </w:p>
        </w:tc>
        <w:tc>
          <w:tcPr>
            <w:tcW w:w="1134" w:type="dxa"/>
          </w:tcPr>
          <w:p w14:paraId="006C630F" w14:textId="77777777" w:rsidR="00AD1F54" w:rsidRPr="00264D5D" w:rsidRDefault="00941227">
            <w:pPr>
              <w:pStyle w:val="GOSTTablenorm"/>
            </w:pPr>
            <w:r w:rsidRPr="00264D5D">
              <w:t>Т(1-16</w:t>
            </w:r>
            <w:r w:rsidRPr="00264D5D">
              <w:rPr>
                <w:lang w:val="en-US"/>
              </w:rPr>
              <w:t>0</w:t>
            </w:r>
            <w:r w:rsidRPr="00264D5D">
              <w:t>)</w:t>
            </w:r>
          </w:p>
        </w:tc>
        <w:tc>
          <w:tcPr>
            <w:tcW w:w="567" w:type="dxa"/>
          </w:tcPr>
          <w:p w14:paraId="5920D505" w14:textId="77777777" w:rsidR="00AD1F54" w:rsidRPr="00264D5D" w:rsidRDefault="00941227">
            <w:pPr>
              <w:pStyle w:val="GOSTTablenorm"/>
              <w:jc w:val="center"/>
            </w:pPr>
            <w:r w:rsidRPr="00264D5D">
              <w:t>Н</w:t>
            </w:r>
          </w:p>
        </w:tc>
        <w:tc>
          <w:tcPr>
            <w:tcW w:w="3963" w:type="dxa"/>
          </w:tcPr>
          <w:p w14:paraId="5B98FEDA" w14:textId="77777777" w:rsidR="00AD1F54" w:rsidRPr="00264D5D" w:rsidRDefault="00941227">
            <w:pPr>
              <w:pStyle w:val="GOSTTablenorm"/>
              <w:rPr>
                <w:szCs w:val="22"/>
              </w:rPr>
            </w:pPr>
            <w:r w:rsidRPr="00264D5D">
              <w:rPr>
                <w:szCs w:val="22"/>
              </w:rPr>
              <w:t xml:space="preserve">Указывается уточненное наименование получателя и его лицевой счёт. </w:t>
            </w:r>
          </w:p>
          <w:p w14:paraId="1775D4ED" w14:textId="77777777" w:rsidR="00AD1F54" w:rsidRPr="00264D5D" w:rsidRDefault="00941227">
            <w:pPr>
              <w:pStyle w:val="GOSTTablenorm"/>
              <w:rPr>
                <w:szCs w:val="22"/>
              </w:rPr>
            </w:pPr>
            <w:r w:rsidRPr="00264D5D">
              <w:rPr>
                <w:szCs w:val="22"/>
              </w:rPr>
              <w:t>Если заполнено поле «Лицевой счет Получателя» данного блока, то указывается наименование получателя – владельца указанного л/с.</w:t>
            </w:r>
          </w:p>
          <w:p w14:paraId="1E7658DF" w14:textId="77777777" w:rsidR="00AD1F54" w:rsidRPr="00264D5D" w:rsidRDefault="00941227">
            <w:pPr>
              <w:pStyle w:val="GOSTTablenorm"/>
              <w:rPr>
                <w:szCs w:val="22"/>
              </w:rPr>
            </w:pPr>
            <w:r w:rsidRPr="00264D5D">
              <w:rPr>
                <w:szCs w:val="22"/>
              </w:rPr>
              <w:t>Не заполняется при уточнении на едином счете бюджета в случае изменения КБК на основании НПА для ПБС.</w:t>
            </w:r>
          </w:p>
          <w:p w14:paraId="3D3C3582" w14:textId="77777777" w:rsidR="00AD1F54" w:rsidRPr="00264D5D" w:rsidRDefault="00941227">
            <w:pPr>
              <w:pStyle w:val="GOSTTablenorm"/>
              <w:rPr>
                <w:szCs w:val="22"/>
              </w:rPr>
            </w:pPr>
            <w:r w:rsidRPr="00264D5D">
              <w:rPr>
                <w:szCs w:val="22"/>
              </w:rPr>
              <w:t>Не заполняется в случае указания в поле «Наименование платежного документа» значения «Распоряжение о перечислении денежных средств на банковс</w:t>
            </w:r>
            <w:r w:rsidR="0015097F" w:rsidRPr="00264D5D">
              <w:rPr>
                <w:szCs w:val="22"/>
              </w:rPr>
              <w:t>кие карты «Мир» физических лиц»</w:t>
            </w:r>
          </w:p>
        </w:tc>
      </w:tr>
      <w:tr w:rsidR="00AD1F54" w:rsidRPr="00264D5D" w14:paraId="2CA88BC5" w14:textId="77777777" w:rsidTr="00AD1F54">
        <w:trPr>
          <w:cnfStyle w:val="000000010000" w:firstRow="0" w:lastRow="0" w:firstColumn="0" w:lastColumn="0" w:oddVBand="0" w:evenVBand="0" w:oddHBand="0" w:evenHBand="1" w:firstRowFirstColumn="0" w:firstRowLastColumn="0" w:lastRowFirstColumn="0" w:lastRowLastColumn="0"/>
          <w:trHeight w:val="966"/>
        </w:trPr>
        <w:tc>
          <w:tcPr>
            <w:tcW w:w="1701" w:type="dxa"/>
          </w:tcPr>
          <w:p w14:paraId="54BEBCC1" w14:textId="77777777" w:rsidR="00AD1F54" w:rsidRPr="00264D5D" w:rsidRDefault="00941227">
            <w:pPr>
              <w:pStyle w:val="GOSTTablenorm"/>
              <w:rPr>
                <w:szCs w:val="22"/>
              </w:rPr>
            </w:pPr>
            <w:r w:rsidRPr="00264D5D">
              <w:t>ИНН получателя</w:t>
            </w:r>
          </w:p>
        </w:tc>
        <w:tc>
          <w:tcPr>
            <w:tcW w:w="1701" w:type="dxa"/>
          </w:tcPr>
          <w:p w14:paraId="345C07FD" w14:textId="77777777" w:rsidR="00AD1F54" w:rsidRPr="00264D5D" w:rsidRDefault="00941227">
            <w:pPr>
              <w:pStyle w:val="GOSTTablenorm"/>
              <w:rPr>
                <w:lang w:val="en-US"/>
              </w:rPr>
            </w:pPr>
            <w:r w:rsidRPr="00264D5D">
              <w:rPr>
                <w:lang w:val="en-US"/>
              </w:rPr>
              <w:t>INN</w:t>
            </w:r>
          </w:p>
        </w:tc>
        <w:tc>
          <w:tcPr>
            <w:tcW w:w="567" w:type="dxa"/>
          </w:tcPr>
          <w:p w14:paraId="49AB4083" w14:textId="77777777" w:rsidR="00AD1F54" w:rsidRPr="00264D5D" w:rsidRDefault="00941227">
            <w:pPr>
              <w:pStyle w:val="GOSTTablenorm"/>
              <w:jc w:val="center"/>
            </w:pPr>
            <w:r w:rsidRPr="00264D5D">
              <w:t>П</w:t>
            </w:r>
          </w:p>
        </w:tc>
        <w:tc>
          <w:tcPr>
            <w:tcW w:w="1134" w:type="dxa"/>
          </w:tcPr>
          <w:p w14:paraId="49D6C5FE" w14:textId="77777777" w:rsidR="00AD1F54" w:rsidRPr="00264D5D" w:rsidRDefault="00941227">
            <w:pPr>
              <w:pStyle w:val="GOSTTablenorm"/>
            </w:pPr>
            <w:r w:rsidRPr="00264D5D">
              <w:t>Т(1-12)</w:t>
            </w:r>
          </w:p>
        </w:tc>
        <w:tc>
          <w:tcPr>
            <w:tcW w:w="567" w:type="dxa"/>
          </w:tcPr>
          <w:p w14:paraId="4F768A66" w14:textId="77777777" w:rsidR="00AD1F54" w:rsidRPr="00264D5D" w:rsidRDefault="00941227">
            <w:pPr>
              <w:pStyle w:val="GOSTTablenorm"/>
              <w:jc w:val="center"/>
            </w:pPr>
            <w:r w:rsidRPr="00264D5D">
              <w:t>Н</w:t>
            </w:r>
          </w:p>
        </w:tc>
        <w:tc>
          <w:tcPr>
            <w:tcW w:w="3963" w:type="dxa"/>
          </w:tcPr>
          <w:p w14:paraId="11A83ED4" w14:textId="77777777" w:rsidR="00AD1F54" w:rsidRPr="00264D5D" w:rsidRDefault="00941227">
            <w:pPr>
              <w:spacing w:before="60" w:after="60"/>
              <w:rPr>
                <w:sz w:val="22"/>
                <w:szCs w:val="22"/>
              </w:rPr>
            </w:pPr>
            <w:r w:rsidRPr="00264D5D">
              <w:rPr>
                <w:sz w:val="22"/>
                <w:szCs w:val="22"/>
              </w:rPr>
              <w:t xml:space="preserve">Указывается уточненный ИНН получателя. </w:t>
            </w:r>
          </w:p>
          <w:p w14:paraId="7E7F0156" w14:textId="77777777" w:rsidR="00AD1F54" w:rsidRPr="00264D5D" w:rsidRDefault="00941227">
            <w:pPr>
              <w:spacing w:before="60" w:after="60"/>
              <w:rPr>
                <w:sz w:val="22"/>
                <w:szCs w:val="22"/>
              </w:rPr>
            </w:pPr>
            <w:r w:rsidRPr="00264D5D">
              <w:rPr>
                <w:sz w:val="22"/>
                <w:szCs w:val="22"/>
              </w:rPr>
              <w:t>Если заполнено поле «Лицевой счет Получателя» данного блока, то указывается ИНН получателя – владельца указанного л/с.</w:t>
            </w:r>
          </w:p>
          <w:p w14:paraId="69633487" w14:textId="77777777" w:rsidR="00AD1F54" w:rsidRPr="00264D5D" w:rsidRDefault="00941227">
            <w:pPr>
              <w:spacing w:before="60" w:after="60"/>
              <w:rPr>
                <w:sz w:val="22"/>
                <w:szCs w:val="22"/>
              </w:rPr>
            </w:pPr>
            <w:r w:rsidRPr="00264D5D">
              <w:rPr>
                <w:sz w:val="22"/>
                <w:szCs w:val="22"/>
              </w:rPr>
              <w:t xml:space="preserve">Не заполняется при уточнении на едином счете бюджета в случае изменения КБК на основании НПА для </w:t>
            </w:r>
            <w:r w:rsidRPr="00264D5D">
              <w:rPr>
                <w:sz w:val="22"/>
                <w:szCs w:val="22"/>
              </w:rPr>
              <w:lastRenderedPageBreak/>
              <w:t>ПБС.</w:t>
            </w:r>
          </w:p>
          <w:p w14:paraId="1DE31BA7" w14:textId="77777777" w:rsidR="00AD1F54" w:rsidRPr="00264D5D" w:rsidRDefault="00941227">
            <w:pPr>
              <w:spacing w:before="60" w:after="60"/>
              <w:rPr>
                <w:sz w:val="22"/>
                <w:szCs w:val="22"/>
              </w:rPr>
            </w:pPr>
            <w:r w:rsidRPr="00264D5D">
              <w:rPr>
                <w:sz w:val="22"/>
                <w:szCs w:val="22"/>
              </w:rPr>
              <w:t>Не заполняется в случае указания в поле «Наименование платежного документа» значения «Распоряжение о перечислении денежных средств на банковс</w:t>
            </w:r>
            <w:r w:rsidR="0015097F" w:rsidRPr="00264D5D">
              <w:rPr>
                <w:sz w:val="22"/>
                <w:szCs w:val="22"/>
              </w:rPr>
              <w:t>кие карты «Мир» физических лиц»</w:t>
            </w:r>
          </w:p>
        </w:tc>
      </w:tr>
      <w:tr w:rsidR="00AD1F54" w:rsidRPr="00264D5D" w14:paraId="5ED7FE36"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5906BD96" w14:textId="77777777" w:rsidR="00AD1F54" w:rsidRPr="00264D5D" w:rsidRDefault="00941227">
            <w:pPr>
              <w:pStyle w:val="GOSTTablenorm"/>
              <w:rPr>
                <w:szCs w:val="22"/>
              </w:rPr>
            </w:pPr>
            <w:r w:rsidRPr="00264D5D">
              <w:lastRenderedPageBreak/>
              <w:t>КПП получателя</w:t>
            </w:r>
          </w:p>
        </w:tc>
        <w:tc>
          <w:tcPr>
            <w:tcW w:w="1701" w:type="dxa"/>
          </w:tcPr>
          <w:p w14:paraId="72A40618" w14:textId="77777777" w:rsidR="00AD1F54" w:rsidRPr="00264D5D" w:rsidRDefault="00941227">
            <w:pPr>
              <w:pStyle w:val="GOSTTablenorm"/>
              <w:rPr>
                <w:lang w:val="en-US"/>
              </w:rPr>
            </w:pPr>
            <w:r w:rsidRPr="00264D5D">
              <w:rPr>
                <w:lang w:val="en-US"/>
              </w:rPr>
              <w:t>KPP</w:t>
            </w:r>
          </w:p>
        </w:tc>
        <w:tc>
          <w:tcPr>
            <w:tcW w:w="567" w:type="dxa"/>
          </w:tcPr>
          <w:p w14:paraId="198AC86C" w14:textId="77777777" w:rsidR="00AD1F54" w:rsidRPr="00264D5D" w:rsidRDefault="00941227">
            <w:pPr>
              <w:pStyle w:val="GOSTTablenorm"/>
              <w:jc w:val="center"/>
            </w:pPr>
            <w:r w:rsidRPr="00264D5D">
              <w:t>П</w:t>
            </w:r>
          </w:p>
        </w:tc>
        <w:tc>
          <w:tcPr>
            <w:tcW w:w="1134" w:type="dxa"/>
          </w:tcPr>
          <w:p w14:paraId="7C379AE4" w14:textId="77777777" w:rsidR="00AD1F54" w:rsidRPr="00264D5D" w:rsidRDefault="00941227">
            <w:pPr>
              <w:pStyle w:val="GOSTTablenorm"/>
            </w:pPr>
            <w:r w:rsidRPr="00264D5D">
              <w:t>Т(1-9)</w:t>
            </w:r>
          </w:p>
        </w:tc>
        <w:tc>
          <w:tcPr>
            <w:tcW w:w="567" w:type="dxa"/>
          </w:tcPr>
          <w:p w14:paraId="7C3E1DDA" w14:textId="77777777" w:rsidR="00AD1F54" w:rsidRPr="00264D5D" w:rsidRDefault="00941227">
            <w:pPr>
              <w:pStyle w:val="GOSTTablenorm"/>
              <w:jc w:val="center"/>
            </w:pPr>
            <w:r w:rsidRPr="00264D5D">
              <w:t>Н</w:t>
            </w:r>
          </w:p>
        </w:tc>
        <w:tc>
          <w:tcPr>
            <w:tcW w:w="3963" w:type="dxa"/>
          </w:tcPr>
          <w:p w14:paraId="760C2C4D" w14:textId="77777777" w:rsidR="00AD1F54" w:rsidRPr="00264D5D" w:rsidRDefault="00941227">
            <w:pPr>
              <w:pStyle w:val="GOSTTablenorm"/>
              <w:rPr>
                <w:szCs w:val="22"/>
              </w:rPr>
            </w:pPr>
            <w:r w:rsidRPr="00264D5D">
              <w:rPr>
                <w:szCs w:val="22"/>
              </w:rPr>
              <w:t xml:space="preserve">Указывается уточненный КПП получателя. </w:t>
            </w:r>
          </w:p>
          <w:p w14:paraId="4C0C8CC5" w14:textId="77777777" w:rsidR="00AD1F54" w:rsidRPr="00264D5D" w:rsidRDefault="00941227">
            <w:pPr>
              <w:pStyle w:val="GOSTTablenorm"/>
              <w:rPr>
                <w:szCs w:val="22"/>
              </w:rPr>
            </w:pPr>
            <w:r w:rsidRPr="00264D5D">
              <w:rPr>
                <w:szCs w:val="22"/>
              </w:rPr>
              <w:t>Если заполнено поле «Лицевой счет Получателя» данного блока, то указывается КПП получателя – владельца указанного л/с.</w:t>
            </w:r>
          </w:p>
          <w:p w14:paraId="188132B7" w14:textId="77777777" w:rsidR="00AD1F54" w:rsidRPr="00264D5D" w:rsidRDefault="00941227">
            <w:pPr>
              <w:pStyle w:val="GOSTTablenorm"/>
              <w:rPr>
                <w:szCs w:val="22"/>
              </w:rPr>
            </w:pPr>
            <w:r w:rsidRPr="00264D5D">
              <w:rPr>
                <w:szCs w:val="22"/>
              </w:rPr>
              <w:t>Не заполняется при уточнении на едином счете бюджета в случае изменения КБК на основании НПА для ПБС.</w:t>
            </w:r>
          </w:p>
          <w:p w14:paraId="2F836575" w14:textId="77777777" w:rsidR="00AD1F54" w:rsidRPr="00264D5D" w:rsidRDefault="00941227">
            <w:pPr>
              <w:pStyle w:val="GOSTTablenorm"/>
              <w:rPr>
                <w:szCs w:val="22"/>
              </w:rPr>
            </w:pPr>
            <w:r w:rsidRPr="00264D5D">
              <w:rPr>
                <w:szCs w:val="22"/>
              </w:rPr>
              <w:t>Не заполняется в случае указания в поле «Наименование платежного документа» значения «Распоряжение о перечислении денежных средств на банковс</w:t>
            </w:r>
            <w:r w:rsidR="0015097F" w:rsidRPr="00264D5D">
              <w:rPr>
                <w:szCs w:val="22"/>
              </w:rPr>
              <w:t>кие карты «Мир» физических лиц»</w:t>
            </w:r>
          </w:p>
        </w:tc>
      </w:tr>
      <w:tr w:rsidR="00AD1F54" w:rsidRPr="00264D5D" w14:paraId="6EB89B35"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F404D1D" w14:textId="77777777" w:rsidR="00AD1F54" w:rsidRPr="00264D5D" w:rsidRDefault="00941227">
            <w:pPr>
              <w:pStyle w:val="GOSTTablenorm"/>
              <w:rPr>
                <w:szCs w:val="22"/>
              </w:rPr>
            </w:pPr>
            <w:r w:rsidRPr="00264D5D">
              <w:t>Лицевой счет Получателя</w:t>
            </w:r>
          </w:p>
        </w:tc>
        <w:tc>
          <w:tcPr>
            <w:tcW w:w="1701" w:type="dxa"/>
          </w:tcPr>
          <w:p w14:paraId="00DB0FCE" w14:textId="77777777" w:rsidR="00AD1F54" w:rsidRPr="00264D5D" w:rsidRDefault="00941227">
            <w:pPr>
              <w:pStyle w:val="GOSTTablenorm"/>
              <w:rPr>
                <w:lang w:val="en-US"/>
              </w:rPr>
            </w:pPr>
            <w:r w:rsidRPr="00264D5D">
              <w:rPr>
                <w:lang w:val="en-US"/>
              </w:rPr>
              <w:t>AcntNm</w:t>
            </w:r>
          </w:p>
        </w:tc>
        <w:tc>
          <w:tcPr>
            <w:tcW w:w="567" w:type="dxa"/>
          </w:tcPr>
          <w:p w14:paraId="6EFA0323" w14:textId="77777777" w:rsidR="00AD1F54" w:rsidRPr="00264D5D" w:rsidRDefault="00941227">
            <w:pPr>
              <w:pStyle w:val="GOSTTablenorm"/>
              <w:jc w:val="center"/>
            </w:pPr>
            <w:r w:rsidRPr="00264D5D">
              <w:t>П</w:t>
            </w:r>
          </w:p>
        </w:tc>
        <w:tc>
          <w:tcPr>
            <w:tcW w:w="1134" w:type="dxa"/>
          </w:tcPr>
          <w:p w14:paraId="0857437D" w14:textId="77777777" w:rsidR="00AD1F54" w:rsidRPr="00264D5D" w:rsidRDefault="00941227">
            <w:pPr>
              <w:pStyle w:val="GOSTTablenorm"/>
            </w:pPr>
            <w:r w:rsidRPr="00264D5D">
              <w:t>Т(11)</w:t>
            </w:r>
          </w:p>
        </w:tc>
        <w:tc>
          <w:tcPr>
            <w:tcW w:w="567" w:type="dxa"/>
          </w:tcPr>
          <w:p w14:paraId="16C4D579" w14:textId="77777777" w:rsidR="00AD1F54" w:rsidRPr="00264D5D" w:rsidRDefault="00941227">
            <w:pPr>
              <w:pStyle w:val="GOSTTablenorm"/>
              <w:jc w:val="center"/>
            </w:pPr>
            <w:r w:rsidRPr="00264D5D">
              <w:t>Н</w:t>
            </w:r>
          </w:p>
        </w:tc>
        <w:tc>
          <w:tcPr>
            <w:tcW w:w="3963" w:type="dxa"/>
          </w:tcPr>
          <w:p w14:paraId="183E4C3D" w14:textId="77777777" w:rsidR="00AD1F54" w:rsidRPr="00264D5D" w:rsidRDefault="00941227">
            <w:pPr>
              <w:pStyle w:val="GOSTTablenorm"/>
            </w:pPr>
            <w:r w:rsidRPr="00264D5D">
              <w:t>Указывается л/с УБП в случае уточнения с одного л/с на другой л/с УБП, открытых на одном балансовом счете.</w:t>
            </w:r>
          </w:p>
          <w:p w14:paraId="28FF8C5D" w14:textId="77777777" w:rsidR="00AD1F54" w:rsidRPr="00264D5D" w:rsidRDefault="00941227">
            <w:pPr>
              <w:pStyle w:val="GOSTTablenorm"/>
              <w:rPr>
                <w:szCs w:val="22"/>
              </w:rPr>
            </w:pPr>
            <w:r w:rsidRPr="00264D5D">
              <w:rPr>
                <w:szCs w:val="22"/>
              </w:rPr>
              <w:t>Не заполняется при уточнении на едином счете бюджета в случае изменения КБК на основании НПА для ПБС</w:t>
            </w:r>
            <w:bookmarkEnd w:id="1825"/>
            <w:bookmarkEnd w:id="1826"/>
          </w:p>
        </w:tc>
      </w:tr>
    </w:tbl>
    <w:p w14:paraId="3B272EC6" w14:textId="77777777" w:rsidR="00601408" w:rsidRPr="00264D5D" w:rsidRDefault="00601408" w:rsidP="00601408">
      <w:pPr>
        <w:pStyle w:val="31"/>
        <w:numPr>
          <w:ilvl w:val="2"/>
          <w:numId w:val="85"/>
        </w:numPr>
      </w:pPr>
      <w:bookmarkStart w:id="1827" w:name="_Toc219309641"/>
      <w:r w:rsidRPr="00264D5D">
        <w:t>Описание комплексного типа «tMSC_Infrmtn»</w:t>
      </w:r>
      <w:bookmarkEnd w:id="1827"/>
    </w:p>
    <w:p w14:paraId="693A38C5" w14:textId="77777777" w:rsidR="00601408" w:rsidRPr="00264D5D" w:rsidRDefault="00601408" w:rsidP="00601408">
      <w:pPr>
        <w:pStyle w:val="ASFKNormal"/>
        <w:spacing w:before="60" w:after="120"/>
        <w:jc w:val="both"/>
        <w:rPr>
          <w:sz w:val="24"/>
        </w:rPr>
      </w:pPr>
      <w:r w:rsidRPr="00264D5D">
        <w:rPr>
          <w:sz w:val="24"/>
        </w:rPr>
        <w:t>Описание комплексного типа «tMSC_Infrmtn» блока «Системная информация документа».</w:t>
      </w:r>
    </w:p>
    <w:p w14:paraId="79A0CB68" w14:textId="0FE4535D" w:rsidR="00601408" w:rsidRPr="00264D5D" w:rsidRDefault="00601408" w:rsidP="00601408">
      <w:pPr>
        <w:pStyle w:val="GOSTNameTable"/>
        <w:numPr>
          <w:ilvl w:val="0"/>
          <w:numId w:val="2"/>
        </w:numPr>
        <w:ind w:left="425" w:hanging="357"/>
        <w:rPr>
          <w:rFonts w:eastAsia="Calibri"/>
        </w:rPr>
      </w:pPr>
      <w:r w:rsidRPr="00264D5D">
        <w:rPr>
          <w:rFonts w:eastAsia="Calibri"/>
        </w:rPr>
        <w:fldChar w:fldCharType="begin"/>
      </w:r>
      <w:r w:rsidRPr="00264D5D">
        <w:rPr>
          <w:rFonts w:eastAsia="Calibri"/>
        </w:rPr>
        <w:instrText xml:space="preserve"> SEQ Таблица \* ARABIC </w:instrText>
      </w:r>
      <w:r w:rsidRPr="00264D5D">
        <w:rPr>
          <w:rFonts w:eastAsia="Calibri"/>
        </w:rPr>
        <w:fldChar w:fldCharType="separate"/>
      </w:r>
      <w:bookmarkStart w:id="1828" w:name="_Ref216184505"/>
      <w:bookmarkStart w:id="1829" w:name="_Toc219309215"/>
      <w:r w:rsidR="008D797C">
        <w:rPr>
          <w:rFonts w:eastAsia="Calibri"/>
          <w:noProof/>
        </w:rPr>
        <w:t>185</w:t>
      </w:r>
      <w:bookmarkEnd w:id="1828"/>
      <w:r w:rsidRPr="00264D5D">
        <w:rPr>
          <w:rFonts w:eastAsia="Calibri"/>
        </w:rPr>
        <w:fldChar w:fldCharType="end"/>
      </w:r>
      <w:r w:rsidRPr="00264D5D">
        <w:rPr>
          <w:rFonts w:eastAsia="Calibri"/>
          <w:szCs w:val="24"/>
        </w:rPr>
        <w:t xml:space="preserve"> – </w:t>
      </w:r>
      <w:r w:rsidRPr="00264D5D">
        <w:rPr>
          <w:rFonts w:eastAsia="Calibri"/>
        </w:rPr>
        <w:t xml:space="preserve">Описание комплексного типа </w:t>
      </w:r>
      <w:r w:rsidRPr="00264D5D">
        <w:rPr>
          <w:rFonts w:eastAsia="Calibri"/>
          <w:szCs w:val="24"/>
        </w:rPr>
        <w:t>«</w:t>
      </w:r>
      <w:r w:rsidRPr="00264D5D">
        <w:rPr>
          <w:szCs w:val="24"/>
        </w:rPr>
        <w:t>tMSC_Infrmtn</w:t>
      </w:r>
      <w:r w:rsidRPr="00264D5D">
        <w:rPr>
          <w:rFonts w:eastAsia="Calibri"/>
          <w:szCs w:val="24"/>
        </w:rPr>
        <w:t>»</w:t>
      </w:r>
      <w:bookmarkEnd w:id="1829"/>
    </w:p>
    <w:tbl>
      <w:tblPr>
        <w:tblStyle w:val="GOSTTable"/>
        <w:tblW w:w="5000" w:type="pct"/>
        <w:tblLayout w:type="fixed"/>
        <w:tblLook w:val="01E0" w:firstRow="1" w:lastRow="1" w:firstColumn="1" w:lastColumn="1" w:noHBand="0" w:noVBand="0"/>
      </w:tblPr>
      <w:tblGrid>
        <w:gridCol w:w="1704"/>
        <w:gridCol w:w="1704"/>
        <w:gridCol w:w="568"/>
        <w:gridCol w:w="1136"/>
        <w:gridCol w:w="568"/>
        <w:gridCol w:w="3970"/>
      </w:tblGrid>
      <w:tr w:rsidR="00601408" w:rsidRPr="00264D5D" w14:paraId="5A77EE50" w14:textId="77777777" w:rsidTr="005056E2">
        <w:trPr>
          <w:cnfStyle w:val="100000000000" w:firstRow="1" w:lastRow="0" w:firstColumn="0" w:lastColumn="0" w:oddVBand="0" w:evenVBand="0" w:oddHBand="0" w:evenHBand="0" w:firstRowFirstColumn="0" w:firstRowLastColumn="0" w:lastRowFirstColumn="0" w:lastRowLastColumn="0"/>
          <w:tblHeader/>
        </w:trPr>
        <w:tc>
          <w:tcPr>
            <w:tcW w:w="1700" w:type="dxa"/>
          </w:tcPr>
          <w:p w14:paraId="28A85FED" w14:textId="77777777" w:rsidR="00601408" w:rsidRPr="00264D5D" w:rsidRDefault="00601408" w:rsidP="005056E2">
            <w:pPr>
              <w:pStyle w:val="GOSTTableHead"/>
            </w:pPr>
            <w:r w:rsidRPr="00264D5D">
              <w:t>Наименование элемента</w:t>
            </w:r>
          </w:p>
        </w:tc>
        <w:tc>
          <w:tcPr>
            <w:tcW w:w="1701" w:type="dxa"/>
          </w:tcPr>
          <w:p w14:paraId="5E74C669" w14:textId="77777777" w:rsidR="00601408" w:rsidRPr="00264D5D" w:rsidRDefault="00601408" w:rsidP="005056E2">
            <w:pPr>
              <w:pStyle w:val="GOSTTableHead"/>
            </w:pPr>
            <w:r w:rsidRPr="00264D5D">
              <w:t>Сокращенное наименование (код) элемента</w:t>
            </w:r>
          </w:p>
        </w:tc>
        <w:tc>
          <w:tcPr>
            <w:tcW w:w="567" w:type="dxa"/>
          </w:tcPr>
          <w:p w14:paraId="40EC96A4" w14:textId="77777777" w:rsidR="00601408" w:rsidRPr="00264D5D" w:rsidRDefault="00601408" w:rsidP="005056E2">
            <w:pPr>
              <w:pStyle w:val="GOSTTableHead"/>
            </w:pPr>
            <w:r w:rsidRPr="00264D5D">
              <w:t>Тип</w:t>
            </w:r>
          </w:p>
        </w:tc>
        <w:tc>
          <w:tcPr>
            <w:tcW w:w="1134" w:type="dxa"/>
          </w:tcPr>
          <w:p w14:paraId="4F5BEC04" w14:textId="77777777" w:rsidR="00601408" w:rsidRPr="00264D5D" w:rsidRDefault="00601408" w:rsidP="005056E2">
            <w:pPr>
              <w:pStyle w:val="GOSTTableHead"/>
            </w:pPr>
            <w:r w:rsidRPr="00264D5D">
              <w:t>Формат элемента</w:t>
            </w:r>
          </w:p>
        </w:tc>
        <w:tc>
          <w:tcPr>
            <w:tcW w:w="567" w:type="dxa"/>
          </w:tcPr>
          <w:p w14:paraId="147A3883" w14:textId="77777777" w:rsidR="00601408" w:rsidRPr="00264D5D" w:rsidRDefault="00601408" w:rsidP="005056E2">
            <w:pPr>
              <w:pStyle w:val="GOSTTableHead"/>
            </w:pPr>
            <w:r w:rsidRPr="00264D5D">
              <w:t>Обязательность</w:t>
            </w:r>
          </w:p>
        </w:tc>
        <w:tc>
          <w:tcPr>
            <w:tcW w:w="3963" w:type="dxa"/>
          </w:tcPr>
          <w:p w14:paraId="2FD6B203" w14:textId="77777777" w:rsidR="00601408" w:rsidRPr="00264D5D" w:rsidRDefault="00601408" w:rsidP="005056E2">
            <w:pPr>
              <w:pStyle w:val="GOSTTableHead"/>
            </w:pPr>
            <w:r w:rsidRPr="00264D5D">
              <w:t>Дополнительная информация</w:t>
            </w:r>
          </w:p>
        </w:tc>
      </w:tr>
      <w:tr w:rsidR="00601408" w:rsidRPr="00264D5D" w14:paraId="27F312B8" w14:textId="77777777" w:rsidTr="005056E2">
        <w:trPr>
          <w:cnfStyle w:val="000000100000" w:firstRow="0" w:lastRow="0" w:firstColumn="0" w:lastColumn="0" w:oddVBand="0" w:evenVBand="0" w:oddHBand="1" w:evenHBand="0" w:firstRowFirstColumn="0" w:firstRowLastColumn="0" w:lastRowFirstColumn="0" w:lastRowLastColumn="0"/>
        </w:trPr>
        <w:tc>
          <w:tcPr>
            <w:tcW w:w="1700" w:type="dxa"/>
          </w:tcPr>
          <w:p w14:paraId="45FE4901" w14:textId="77777777" w:rsidR="00601408" w:rsidRPr="00264D5D" w:rsidRDefault="00601408" w:rsidP="005056E2">
            <w:pPr>
              <w:pStyle w:val="GOSTTablenorm"/>
            </w:pPr>
            <w:r w:rsidRPr="00264D5D">
              <w:t xml:space="preserve">Глобальный уникальный </w:t>
            </w:r>
            <w:r w:rsidRPr="00264D5D">
              <w:lastRenderedPageBreak/>
              <w:t>идентификатор</w:t>
            </w:r>
          </w:p>
        </w:tc>
        <w:tc>
          <w:tcPr>
            <w:tcW w:w="1701" w:type="dxa"/>
          </w:tcPr>
          <w:p w14:paraId="47439251" w14:textId="77777777" w:rsidR="00601408" w:rsidRPr="00264D5D" w:rsidRDefault="00601408" w:rsidP="005056E2">
            <w:pPr>
              <w:pStyle w:val="GOSTTablenorm"/>
            </w:pPr>
            <w:r w:rsidRPr="00264D5D">
              <w:lastRenderedPageBreak/>
              <w:t xml:space="preserve"> GUID</w:t>
            </w:r>
          </w:p>
        </w:tc>
        <w:tc>
          <w:tcPr>
            <w:tcW w:w="567" w:type="dxa"/>
          </w:tcPr>
          <w:p w14:paraId="0650F6EF" w14:textId="77777777" w:rsidR="00601408" w:rsidRPr="00264D5D" w:rsidRDefault="00601408" w:rsidP="005056E2">
            <w:pPr>
              <w:pStyle w:val="GOSTTablenorm"/>
              <w:jc w:val="center"/>
            </w:pPr>
            <w:r w:rsidRPr="00264D5D">
              <w:t>П</w:t>
            </w:r>
          </w:p>
        </w:tc>
        <w:tc>
          <w:tcPr>
            <w:tcW w:w="1134" w:type="dxa"/>
          </w:tcPr>
          <w:p w14:paraId="6B1DE991" w14:textId="77777777" w:rsidR="00601408" w:rsidRPr="00264D5D" w:rsidRDefault="00601408" w:rsidP="005056E2">
            <w:pPr>
              <w:pStyle w:val="GOSTTablenorm"/>
              <w:rPr>
                <w:lang w:val="en-US"/>
              </w:rPr>
            </w:pPr>
            <w:r w:rsidRPr="00264D5D">
              <w:t>GUID</w:t>
            </w:r>
          </w:p>
        </w:tc>
        <w:tc>
          <w:tcPr>
            <w:tcW w:w="567" w:type="dxa"/>
          </w:tcPr>
          <w:p w14:paraId="75964919" w14:textId="77777777" w:rsidR="00601408" w:rsidRPr="00264D5D" w:rsidRDefault="00601408" w:rsidP="005056E2">
            <w:pPr>
              <w:pStyle w:val="GOSTTablenorm"/>
              <w:jc w:val="center"/>
              <w:rPr>
                <w:lang w:val="en-US"/>
              </w:rPr>
            </w:pPr>
            <w:r w:rsidRPr="00264D5D">
              <w:t>О</w:t>
            </w:r>
          </w:p>
        </w:tc>
        <w:tc>
          <w:tcPr>
            <w:tcW w:w="3963" w:type="dxa"/>
          </w:tcPr>
          <w:p w14:paraId="217F33CD" w14:textId="77777777" w:rsidR="00601408" w:rsidRPr="00264D5D" w:rsidRDefault="00601408" w:rsidP="005056E2">
            <w:pPr>
              <w:pStyle w:val="GOSTTablenorm"/>
            </w:pPr>
            <w:r w:rsidRPr="00264D5D">
              <w:t>Служебное поле, заполняется в ТОФК</w:t>
            </w:r>
          </w:p>
        </w:tc>
      </w:tr>
      <w:tr w:rsidR="00601408" w:rsidRPr="00264D5D" w14:paraId="504D7FBC" w14:textId="77777777" w:rsidTr="005056E2">
        <w:trPr>
          <w:cnfStyle w:val="000000010000" w:firstRow="0" w:lastRow="0" w:firstColumn="0" w:lastColumn="0" w:oddVBand="0" w:evenVBand="0" w:oddHBand="0" w:evenHBand="1" w:firstRowFirstColumn="0" w:firstRowLastColumn="0" w:lastRowFirstColumn="0" w:lastRowLastColumn="0"/>
          <w:trHeight w:val="77"/>
        </w:trPr>
        <w:tc>
          <w:tcPr>
            <w:tcW w:w="1700" w:type="dxa"/>
          </w:tcPr>
          <w:p w14:paraId="3321EF1E" w14:textId="77777777" w:rsidR="00601408" w:rsidRPr="00264D5D" w:rsidRDefault="00601408" w:rsidP="005056E2">
            <w:pPr>
              <w:pStyle w:val="GOSTTablenorm"/>
            </w:pPr>
            <w:r w:rsidRPr="00264D5D">
              <w:lastRenderedPageBreak/>
              <w:t>Дата документа</w:t>
            </w:r>
          </w:p>
        </w:tc>
        <w:tc>
          <w:tcPr>
            <w:tcW w:w="1701" w:type="dxa"/>
          </w:tcPr>
          <w:p w14:paraId="37DF164F" w14:textId="77777777" w:rsidR="00601408" w:rsidRPr="00264D5D" w:rsidRDefault="00601408" w:rsidP="005056E2">
            <w:pPr>
              <w:pStyle w:val="GOSTTablenorm"/>
            </w:pPr>
            <w:r w:rsidRPr="00264D5D">
              <w:rPr>
                <w:lang w:val="en-US"/>
              </w:rPr>
              <w:t>CrtnDt</w:t>
            </w:r>
          </w:p>
        </w:tc>
        <w:tc>
          <w:tcPr>
            <w:tcW w:w="567" w:type="dxa"/>
          </w:tcPr>
          <w:p w14:paraId="0467A853" w14:textId="77777777" w:rsidR="00601408" w:rsidRPr="00264D5D" w:rsidRDefault="00601408" w:rsidP="005056E2">
            <w:pPr>
              <w:pStyle w:val="GOSTTablenorm"/>
              <w:jc w:val="center"/>
            </w:pPr>
            <w:r w:rsidRPr="00264D5D">
              <w:t>П</w:t>
            </w:r>
          </w:p>
        </w:tc>
        <w:tc>
          <w:tcPr>
            <w:tcW w:w="1134" w:type="dxa"/>
          </w:tcPr>
          <w:p w14:paraId="17B1208B" w14:textId="77777777" w:rsidR="00601408" w:rsidRPr="00264D5D" w:rsidRDefault="00601408" w:rsidP="005056E2">
            <w:pPr>
              <w:pStyle w:val="GOSTTablenorm"/>
            </w:pPr>
            <w:r w:rsidRPr="00264D5D">
              <w:rPr>
                <w:szCs w:val="22"/>
                <w:lang w:val="en-US"/>
              </w:rPr>
              <w:t>Date</w:t>
            </w:r>
          </w:p>
        </w:tc>
        <w:tc>
          <w:tcPr>
            <w:tcW w:w="567" w:type="dxa"/>
          </w:tcPr>
          <w:p w14:paraId="013A244E" w14:textId="77777777" w:rsidR="00601408" w:rsidRPr="00264D5D" w:rsidRDefault="00601408" w:rsidP="005056E2">
            <w:pPr>
              <w:pStyle w:val="GOSTTablenorm"/>
              <w:jc w:val="center"/>
            </w:pPr>
            <w:r w:rsidRPr="00264D5D">
              <w:t>О</w:t>
            </w:r>
          </w:p>
        </w:tc>
        <w:tc>
          <w:tcPr>
            <w:tcW w:w="3963" w:type="dxa"/>
          </w:tcPr>
          <w:p w14:paraId="2E8F7378" w14:textId="77777777" w:rsidR="00601408" w:rsidRPr="00264D5D" w:rsidRDefault="00601408" w:rsidP="005056E2">
            <w:pPr>
              <w:pStyle w:val="GOSTTablenorm"/>
            </w:pPr>
            <w:r w:rsidRPr="00264D5D">
              <w:t>Дата документа</w:t>
            </w:r>
          </w:p>
        </w:tc>
      </w:tr>
    </w:tbl>
    <w:p w14:paraId="482A3D07" w14:textId="77777777" w:rsidR="00AD1F54" w:rsidRPr="00264D5D" w:rsidRDefault="00941227">
      <w:pPr>
        <w:pStyle w:val="31"/>
      </w:pPr>
      <w:bookmarkStart w:id="1830" w:name="_Toc219309642"/>
      <w:r w:rsidRPr="00264D5D">
        <w:t>Пример XML</w:t>
      </w:r>
      <w:bookmarkEnd w:id="1830"/>
    </w:p>
    <w:p w14:paraId="1774231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&lt;?xml version="1.0" encoding="UTF-8"?&gt;</w:t>
      </w:r>
    </w:p>
    <w:p w14:paraId="5D72F24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&lt;soapenv:Envelope xmlns:soapenv="http://schemas.xmlsoap.org/soap/envelope/" xmlns:wsu="http://docs.oasis-open.org/wss/2004/01/oasis-200401-wss-wssecurity-utility-1.0.xsd" xmlns:wsse="http://docs.oasis-open.org/wss/2004/01/oasis-200401-wss-wssecurity-secext-1.0.xsd"&gt;</w:t>
      </w:r>
    </w:p>
    <w:p w14:paraId="1DC4C41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&lt;soapenv:Header xmlns:env="http://schemas.xmlsoap.org/soap/envelope/"&gt;&lt;wsse:Security wsu:Id="Id-sec-f9cb3040b7ca31cd7876d625c632e1aed304"&gt;</w:t>
      </w:r>
    </w:p>
    <w:p w14:paraId="20A27DD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 xmlns="http://www.w3.org/2000/09/xmldsig#" Id="Id-sig-b9199ca934cfa91bcff69e807d7b0dbd26f6"&gt;</w:t>
      </w:r>
    </w:p>
    <w:p w14:paraId="14C28DC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06C4E72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&lt;CanonicalizationMethod Algorithm="http://www.w3.org/2001/10/xml-exc-c14n#"/&gt;</w:t>
      </w:r>
    </w:p>
    <w:p w14:paraId="4AE3917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&lt;SignatureMethod Algorithm="http://www.w3.org/2001/04/xmldsig-more#gostr34102001-gostr3411"/&gt;</w:t>
      </w:r>
    </w:p>
    <w:p w14:paraId="174F553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URI="#Id-wssecdata-29cef34e3106063e64fead91c94aeda97ff4" Id="Id-dataref-ea575c0bb2c994b98298d2c77dcd5a7dbaa1"&gt;</w:t>
      </w:r>
    </w:p>
    <w:p w14:paraId="598535E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6671188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1BC810A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65337CF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034D95E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&lt;DigestValue&gt;4bqC9/3OSJqEHDz00XLzUf29YFcetigx2jr08qUp7fQ=&lt;/DigestValue&gt;</w:t>
      </w:r>
    </w:p>
    <w:p w14:paraId="527B882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6823B2A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Type="http://www.w3.org/TR/2002/REC-xmldsig-core-20020212/xmldsig-core-schema.xsd#X509Data" URI="#Id-keyinfo-11712390bc17243d110193ac033f54873ad8" Id="Id-keyinforef-ac3c6eb29c9af1964819db52ec661b26c339"&gt;</w:t>
      </w:r>
    </w:p>
    <w:p w14:paraId="3C88FFF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6ED07E0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4F7F771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6809393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44E5278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&lt;DigestValue&gt;+0q515JTexjW0go5SdPl7+ydqXUKST91N44lIbXt8Yo=&lt;/DigestValue&gt;</w:t>
      </w:r>
    </w:p>
    <w:p w14:paraId="262B695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6A75515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URI="#Id-sp-4179cfd1e4ba9c0aaed70450fc3c741c9c08" Id="Id-ref-cb8cc265f168034494eca1c25ec74bf9433c"&gt;</w:t>
      </w:r>
    </w:p>
    <w:p w14:paraId="31BEB14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7BA2CFF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30124B1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48D8A3E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3A13AA6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&lt;DigestValue&gt;f10/P/MZ5W1AwvdMPGkqpWfYGkK10xUw6SycuQIgFIc=&lt;/DigestValue&gt;</w:t>
      </w:r>
    </w:p>
    <w:p w14:paraId="1F7C3B8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7C059B2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7E1D84C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&lt;SignatureValue&gt;Xg8mlCU46QdjuUgHR/GFI13DKE7tfRDOphsVyNpFnxC/Sa2XnEuGBKeW7azroY19</w:t>
      </w:r>
    </w:p>
    <w:p w14:paraId="4D7B91E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3u7EHXe4dKfnrJ7k7Eq5+A==&lt;/SignatureValue&gt;</w:t>
      </w:r>
    </w:p>
    <w:p w14:paraId="1898E2A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3C3CAA3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7E5ACFA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 xmlns="http://uri.etsi.org/01903/v1.4.1#" Target="Id-sig-</w:t>
      </w:r>
      <w:r w:rsidRPr="00264D5D">
        <w:rPr>
          <w:rFonts w:cs="Courier New"/>
          <w:sz w:val="20"/>
        </w:rPr>
        <w:lastRenderedPageBreak/>
        <w:t>b9199ca934cfa91bcff69e807d7b0dbd26f6"&gt;</w:t>
      </w:r>
    </w:p>
    <w:p w14:paraId="7CDC308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 Id="Id-sp-4179cfd1e4ba9c0aaed70450fc3c741c9c08"&gt;</w:t>
      </w:r>
    </w:p>
    <w:p w14:paraId="263F5BC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&lt;SignedSignatureProperties Id="Id-ssp-408cecc6a155b8a0f2850e81d5f57496bb2b"/&gt;</w:t>
      </w:r>
    </w:p>
    <w:p w14:paraId="67B0B0F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&lt;/SignedProperties&gt;</w:t>
      </w:r>
    </w:p>
    <w:p w14:paraId="0080EA9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&lt;/QualifyingProperties&gt;</w:t>
      </w:r>
    </w:p>
    <w:p w14:paraId="6CB5537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034ED7B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02B564D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CVNlcnZlciBDQTEgMB4GCSqGSIb3DQEJARYRdWNfZmtAcm9za2F6bmEucnUxHDAa</w:t>
      </w:r>
    </w:p>
    <w:p w14:paraId="03E94C4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BgNVBAgMEzc3INCzLiDQnNC+0YHQutCy0LAxGjAYBggqhQMDgQMBARIMMDA3NzEw</w:t>
      </w:r>
    </w:p>
    <w:p w14:paraId="2820A3B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NTY4NzYwMRgwFgYFKoUDZAESDTEwNDc3OTcwMTk4MzAxLDAqBgNVBAkMI9GD0LvQ</w:t>
      </w:r>
    </w:p>
    <w:p w14:paraId="0735B13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uNGG0LAg0JjQu9GM0LjQvdC60LAsINC00L7QvCA3MRUwEwYDVQQHDAzQnNC+0YHQ</w:t>
      </w:r>
    </w:p>
    <w:p w14:paraId="31DB34F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utCy0LAxCzAJBgNVBAYTAlJVMTgwNgYDVQQKDC/QpNC10LTQtdGA0LDQu9GM0L3Q</w:t>
      </w:r>
    </w:p>
    <w:p w14:paraId="418B1A7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vtC1INC60LDQt9C90LDRh9C10LnRgdGC0LLQvjE/MD0GA1UEAww20KPQpiDQpNC1</w:t>
      </w:r>
    </w:p>
    <w:p w14:paraId="1082402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0LTQtdGA0LDQu9GM0L3QvtCz0L4g0LrQsNC30L3QsNGH0LXQudGB0YLQstCwMB4X</w:t>
      </w:r>
    </w:p>
    <w:p w14:paraId="6FE4B55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DTE2MDQwNzA4MTExMFoXDTE3MDcwNzA4MTExMFowggITMRYwFAYFKoUDZAMSCzEy</w:t>
      </w:r>
    </w:p>
    <w:p w14:paraId="340DD73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MzQ1Njc4OTAxMRgwFgYFKoUDZAESDTAxMjM0NTY3ODkxMjMxGjAYBggqhQMDgQMB</w:t>
      </w:r>
    </w:p>
    <w:p w14:paraId="1207637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ARIMMDAxMjM0NTY3ODkwMSYwJAYJKoZIhvcNAQkBFhduLm5hZ292aXRzeW5AaW5m</w:t>
      </w:r>
    </w:p>
    <w:p w14:paraId="4080261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b3NlYy5ydTELMAkGA1UEBhMCUlUxHDAaBgNVBAgMEzc3INCzLiDQnNC+0YHQutCy</w:t>
      </w:r>
    </w:p>
    <w:p w14:paraId="0F43553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0LAxFTATBgNVBAcMDNCc0L7RgdC60LLQsDE4MDYGA1UECgwv0KTQtdC00LXRgNCw</w:t>
      </w:r>
    </w:p>
    <w:p w14:paraId="2528222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0LvRjNC90L7QtSDQutCw0LfQvdCw0YfQtdC50YHRgtCy0L4xNDAyBgNVBAsMK9GC</w:t>
      </w:r>
    </w:p>
    <w:p w14:paraId="0FB2F47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0LXRgdGC0L7QstC+0LUg0L/QvtC00YDQsNC30LTQtdC70LXQvdC40LUxHDAaBgNV</w:t>
      </w:r>
    </w:p>
    <w:p w14:paraId="5F59E30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BCoME2PQtdGA0YLQuNGE0LjQutCw0YIxGTAXBgNVBAQMENCi0LXRgdGC0L7QstGL</w:t>
      </w:r>
    </w:p>
    <w:p w14:paraId="166692C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0LkxPTA7BgNVBAwMNNCi0LXRgdGC0L7QstGL0Lkg0YHQtdGA0YLQuNGE0LjQutCw</w:t>
      </w:r>
    </w:p>
    <w:p w14:paraId="7819A7F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0YIg0L/QvtC00L/QuNGB0LgxQTA/BgkqhkiG9w0BCQIMMklOTlw9MDEyMzQ1Njc4</w:t>
      </w:r>
    </w:p>
    <w:p w14:paraId="0B4DC07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OS9LUFBcPTEyMzQ1Njc4OS9PR1JOXD0wMTIzNDU2Nzg5MTIzMS4wLAYDVQQDDCXQ</w:t>
      </w:r>
    </w:p>
    <w:p w14:paraId="40DD7A4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otC10YHRgtC+0LLRi9C5INGB0LXRgNGC0LjRhNC40LrQsNGCMGMwHAYGKoUDAgIT</w:t>
      </w:r>
    </w:p>
    <w:p w14:paraId="0BAA03D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MBIGByqFAwICJAAGByqFAwICHgEDQwAEQM/mE38gcSmh2U183WL3aPaP3tJu0vTq</w:t>
      </w:r>
    </w:p>
    <w:p w14:paraId="1461179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CndMDcb72IGcv8nO7QkaqnFwXrkt6zScdQlQgUX78ct0+jNJa7ZIdLGjggRJMIIE</w:t>
      </w:r>
    </w:p>
    <w:p w14:paraId="6BD3755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RTAMBgNVHRMBAf8EAjAAMB0GA1UdIAQWMBQwCAYGKoUDZHEBMAgGBiqFA2RxAjBN</w:t>
      </w:r>
    </w:p>
    <w:p w14:paraId="2A4A6BB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BgUqhQNkbwREDELQmtGA0LjQv9GC0L7Qn9GA0L4gQ1NQICjQstC10YDRgdC40Y8g</w:t>
      </w:r>
    </w:p>
    <w:p w14:paraId="041434B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My42KSAo0LjRgdC/0L7Qu9C90LXQvdC40LUgMikwggFhBgUqhQNkcASCAVYwggFS</w:t>
      </w:r>
    </w:p>
    <w:p w14:paraId="1636F80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DEQi0JrRgNC40L/RgtC+0J/RgNC+IENTUCIgKNCy0LXRgNGB0LjRjyAzLjYpICjQ</w:t>
      </w:r>
    </w:p>
    <w:p w14:paraId="55D6943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uNGB0L/QvtC70L3QtdC90LjQtSAyKQxoItCf0YDQvtCz0YDQsNC80LzQvdC+LdCw</w:t>
      </w:r>
    </w:p>
    <w:p w14:paraId="2401C4A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0L/Qv9Cw0YDQsNGC0L3Ri9C5INC60L7QvNC/0LvQtdC60YEgItCu0L3QuNGB0LXR</w:t>
      </w:r>
    </w:p>
    <w:p w14:paraId="72E0E72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gNGCLdCT0J7QodCiIi4g0JLQtdGA0YHQuNGPIDIuMSIMT9Ch0LXRgNGC0LjRhNC4</w:t>
      </w:r>
    </w:p>
    <w:p w14:paraId="3910590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0LrQsNGCINGB0L7QvtGC0LLQtdGC0YHRgtCy0LjRjyDihJYg0KHQpC8xMjQtMjcz</w:t>
      </w:r>
    </w:p>
    <w:p w14:paraId="4334FCB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OCDQvtGCIDAxLjA3LjIwMTUMT9Ch0LXRgNGC0LjRhNC40LrQsNGCINGB0L7QvtGC</w:t>
      </w:r>
    </w:p>
    <w:p w14:paraId="62CF229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0LLQtdGC0YHRgtCy0LjRjyDihJYg0KHQpC8xMjgtMjE3NSDQvtGCIDIwLjA2LjIw</w:t>
      </w:r>
    </w:p>
    <w:p w14:paraId="3F6FB4B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MTMwDgYDVR0PAQH/BAQDAgTwMBMGA1UdJQQMMAoGCCsGAQUFBwMDMCsGA1UdEAQk</w:t>
      </w:r>
    </w:p>
    <w:p w14:paraId="3B753FA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MCKADzIwMTYwNDA3MDgwNDI4WoEPMjAxNzA3MDcwODA0MjhaMIIBjwYDVR0jBIIB</w:t>
      </w:r>
    </w:p>
    <w:p w14:paraId="1C17BBB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hjCCAYKAFJ5xDg/atAEoXz/iy49lFZcCR4yroYIBZaSCAWEwggFdMRgwFgYJKoZI</w:t>
      </w:r>
    </w:p>
    <w:p w14:paraId="5589315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hvcNAQkCEwlTZXJ2ZXIgQ0ExIDAeBgkqhkiG9w0BCQEWEXVjX2ZrQHJvc2them5h</w:t>
      </w:r>
    </w:p>
    <w:p w14:paraId="0B37035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LnJ1MRwwGgYDVQQIDBM3NyDQsy4g0JzQvtGB0LrQstCwMRowGAYIKoUDA4EDAQES</w:t>
      </w:r>
    </w:p>
    <w:p w14:paraId="5887080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DDAwNzcxMDU2ODc2MDEYMBYGBSqFA2QBEg0xMDQ3Nzk3MDE5ODMwMSwwKgYDVQQJ</w:t>
      </w:r>
    </w:p>
    <w:p w14:paraId="4F4CBB7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DCPRg9C70LjRhtCwINCY0LvRjNC40L3QutCwLCDQtNC+0LwgNzEVMBMGA1UEBwwM</w:t>
      </w:r>
    </w:p>
    <w:p w14:paraId="4DC03E1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0JzQvtGB0LrQstCwMQswCQYDVQQGEwJSVTE4MDYGA1UECgwv0KTQtdC00LXRgNCw</w:t>
      </w:r>
    </w:p>
    <w:p w14:paraId="631AAFE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0LvRjNC90L7QtSDQutCw0LfQvdCw0YfQtdC50YHRgtCy0L4xPzA9BgNVBAMMNtCj</w:t>
      </w:r>
    </w:p>
    <w:p w14:paraId="11DA151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0KYg0KTQtdC00LXRgNCw0LvRjNC90L7Qs9C+INC60LDQt9C90LDRh9C10LnRgdGC</w:t>
      </w:r>
    </w:p>
    <w:p w14:paraId="76670E3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0LLQsIIBATBeBgNVHR8EVzBVMCmgJ6AlhiNodHRwOi8vY3JsLnJvc2them5hLnJ1</w:t>
      </w:r>
    </w:p>
    <w:p w14:paraId="6A98E9B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L2NybC9mazAxLmNybDAooCagJIYiaHR0cDovL2NybC5mc2ZrLmxvY2FsL2NybC9m</w:t>
      </w:r>
    </w:p>
    <w:p w14:paraId="074AB8A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azAxLmNybDAdBgNVHQ4EFgQUt0m7wwTPyJQ+5TDMkq5Z0WnD5vQwCAYGKoUDAgID</w:t>
      </w:r>
    </w:p>
    <w:p w14:paraId="589B51E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A0EAReUQeQpqERyFF5XRWG8RnguKCWvPIQOt26PZmVTccxOXVHwZyI0rqdcQ2i4L</w:t>
      </w:r>
    </w:p>
    <w:p w14:paraId="59A13C2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p87xs4bqOAO1BwhmKL/TsoC4pA==&lt;/wsse:BinarySecurityToken&gt;&lt;/wsse:Security&gt;&lt;/soapenv:Header&gt;</w:t>
      </w:r>
    </w:p>
    <w:p w14:paraId="198E1B2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&lt;soapenv:Body xmlns:env="http://schemas.xmlsoap.org/soap/envelope/" wsu:Id="Id-wssecdata-</w:t>
      </w:r>
      <w:r w:rsidRPr="00264D5D">
        <w:rPr>
          <w:rFonts w:cs="Courier New"/>
          <w:sz w:val="20"/>
        </w:rPr>
        <w:lastRenderedPageBreak/>
        <w:t>29cef34e3106063e64fead91c94aeda97ff4"&gt;</w:t>
      </w:r>
    </w:p>
    <w:p w14:paraId="7BB3B53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&lt;transferDocumentRequest xmlns:typ="http://www.roskazna.ru/eb/services/transferDocumentService/types" xmlns="http://www.roskazna.ru/eb/services/transferDocumentService/types" versionId="1.0"&gt;</w:t>
      </w:r>
    </w:p>
    <w:p w14:paraId="383B5B2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&lt;typ:header&gt;</w:t>
      </w:r>
    </w:p>
    <w:p w14:paraId="58253AF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&lt;typ:packageId&gt;e8bf66bf-9cf1-47f1-a48b-394d18467fe3&lt;/typ:packageId&gt;</w:t>
      </w:r>
    </w:p>
    <w:p w14:paraId="2754E8D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&lt;typ:senderSystemId&gt;PFHD&lt;/typ:senderSystemId&gt;</w:t>
      </w:r>
    </w:p>
    <w:p w14:paraId="7F75F77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&lt;typ:targetSystemId&gt;EXP&lt;/typ:targetSystemId&gt;</w:t>
      </w:r>
    </w:p>
    <w:p w14:paraId="6BA29AB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&lt;typ:documentType&gt;MSC_NoticeClarTypePay&lt;/typ:documentType&gt;</w:t>
      </w:r>
    </w:p>
    <w:p w14:paraId="58174C0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&lt;typ:documentGuid&gt;b58d999c-ce12-4c59-be24-ca7dfc2f1305&lt;/typ:documentGuid&gt;</w:t>
      </w:r>
    </w:p>
    <w:p w14:paraId="10CD979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&lt;typ:creationDateTime&gt;2021-01-03T16:46:07.689+04:00&lt;/typ:creationDateTime&gt;</w:t>
      </w:r>
    </w:p>
    <w:p w14:paraId="3A3E5CC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&lt;typ:params&gt;</w:t>
      </w:r>
    </w:p>
    <w:p w14:paraId="0579B94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 name="tofkCode" value="3200"/&gt;</w:t>
      </w:r>
    </w:p>
    <w:p w14:paraId="29C585C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 name="versionId" value="1.0"/&gt;</w:t>
      </w:r>
    </w:p>
    <w:p w14:paraId="19A8EFF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&lt;/typ:params&gt;</w:t>
      </w:r>
    </w:p>
    <w:p w14:paraId="010BA39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&lt;/typ:header&gt;</w:t>
      </w:r>
    </w:p>
    <w:p w14:paraId="368E9F4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&lt;typ:document&gt;</w:t>
      </w:r>
    </w:p>
    <w:p w14:paraId="188264E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&lt;self:MSC_NtcClrTpPy metaType="formular" versionID="1.0" Id="Id-xadesdata-eaf97d94646411e9b78d005056834f23" xsi:schemaLocation="http://www.roskazna.ru/eb/domain/MSC_NtcClrTpPy/formular formulars.xsd" xmlns:self="http://www.roskazna.ru/eb/domain/MSC_NtcClrTpPy/formular" xmlns:xsi="http://www.w3.org/2001/XMLSchema-instance"&gt;</w:t>
      </w:r>
    </w:p>
    <w:p w14:paraId="5D66CB7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&lt;UF_NtfctnNm xmlns=""&gt;0014510211&lt;/UF_NtfctnNm&gt;</w:t>
      </w:r>
    </w:p>
    <w:p w14:paraId="4B9949C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&lt;UF_MSC_PBS xmlns=""&gt;</w:t>
      </w:r>
    </w:p>
    <w:p w14:paraId="52AF7F0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&lt;AcntNmbr xmlns=""&gt;03111911010&lt;/AcntNmbr&gt;</w:t>
      </w:r>
    </w:p>
    <w:p w14:paraId="31A90A6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&lt;MSC_PBS_UBP xmlns=""&gt;</w:t>
      </w:r>
    </w:p>
    <w:p w14:paraId="3D02047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&lt;Cd&gt;02119101&lt;/Cd&gt;</w:t>
      </w:r>
    </w:p>
    <w:p w14:paraId="11720F4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&lt;Nm&gt;Школа №1&lt;/Nm&gt;</w:t>
      </w:r>
    </w:p>
    <w:p w14:paraId="5FC15D5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&lt;/MSC_PBS_UBP&gt;</w:t>
      </w:r>
    </w:p>
    <w:p w14:paraId="18272CE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&lt;/UF_MSC_PBS&gt;</w:t>
      </w:r>
    </w:p>
    <w:p w14:paraId="31F1456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&lt;UF_MSC_Orgnztn xmlns=""&gt;</w:t>
      </w:r>
    </w:p>
    <w:p w14:paraId="100114F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lang w:val="ru-RU"/>
        </w:rPr>
        <w:t>&lt;</w:t>
      </w:r>
      <w:r w:rsidRPr="00264D5D">
        <w:rPr>
          <w:rFonts w:cs="Courier New"/>
          <w:sz w:val="20"/>
        </w:rPr>
        <w:t>MSC</w:t>
      </w:r>
      <w:r w:rsidRPr="00264D5D">
        <w:rPr>
          <w:rFonts w:cs="Courier New"/>
          <w:sz w:val="20"/>
          <w:lang w:val="ru-RU"/>
        </w:rPr>
        <w:t>_</w:t>
      </w:r>
      <w:r w:rsidRPr="00264D5D">
        <w:rPr>
          <w:rFonts w:cs="Courier New"/>
          <w:sz w:val="20"/>
        </w:rPr>
        <w:t>OrFK</w:t>
      </w:r>
      <w:r w:rsidRPr="00264D5D">
        <w:rPr>
          <w:rFonts w:cs="Courier New"/>
          <w:sz w:val="20"/>
          <w:lang w:val="ru-RU"/>
        </w:rPr>
        <w:t xml:space="preserve"> </w:t>
      </w:r>
      <w:r w:rsidRPr="00264D5D">
        <w:rPr>
          <w:rFonts w:cs="Courier New"/>
          <w:sz w:val="20"/>
        </w:rPr>
        <w:t>xmlns</w:t>
      </w:r>
      <w:r w:rsidRPr="00264D5D">
        <w:rPr>
          <w:rFonts w:cs="Courier New"/>
          <w:sz w:val="20"/>
          <w:lang w:val="ru-RU"/>
        </w:rPr>
        <w:t>=""&gt;</w:t>
      </w:r>
    </w:p>
    <w:p w14:paraId="148EA55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Nm</w:t>
      </w:r>
      <w:r w:rsidRPr="00264D5D">
        <w:rPr>
          <w:rFonts w:cs="Courier New"/>
          <w:sz w:val="20"/>
          <w:lang w:val="ru-RU"/>
        </w:rPr>
        <w:t>&gt;Межрегиональное операционное управление Федерального казначейства&lt;/</w:t>
      </w:r>
      <w:r w:rsidRPr="00264D5D">
        <w:rPr>
          <w:rFonts w:cs="Courier New"/>
          <w:sz w:val="20"/>
        </w:rPr>
        <w:t>Nm</w:t>
      </w:r>
      <w:r w:rsidRPr="00264D5D">
        <w:rPr>
          <w:rFonts w:cs="Courier New"/>
          <w:sz w:val="20"/>
          <w:lang w:val="ru-RU"/>
        </w:rPr>
        <w:t>&gt;</w:t>
      </w:r>
    </w:p>
    <w:p w14:paraId="3F6AEC3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Cd</w:t>
      </w:r>
      <w:r w:rsidRPr="00264D5D">
        <w:rPr>
          <w:rFonts w:cs="Courier New"/>
          <w:sz w:val="20"/>
          <w:lang w:val="ru-RU"/>
        </w:rPr>
        <w:t>&gt;9500&lt;/</w:t>
      </w:r>
      <w:r w:rsidRPr="00264D5D">
        <w:rPr>
          <w:rFonts w:cs="Courier New"/>
          <w:sz w:val="20"/>
        </w:rPr>
        <w:t>Cd</w:t>
      </w:r>
      <w:r w:rsidRPr="00264D5D">
        <w:rPr>
          <w:rFonts w:cs="Courier New"/>
          <w:sz w:val="20"/>
          <w:lang w:val="ru-RU"/>
        </w:rPr>
        <w:t>&gt;</w:t>
      </w:r>
    </w:p>
    <w:p w14:paraId="03F5483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MSC</w:t>
      </w:r>
      <w:r w:rsidRPr="00264D5D">
        <w:rPr>
          <w:rFonts w:cs="Courier New"/>
          <w:sz w:val="20"/>
          <w:lang w:val="ru-RU"/>
        </w:rPr>
        <w:t>_</w:t>
      </w:r>
      <w:r w:rsidRPr="00264D5D">
        <w:rPr>
          <w:rFonts w:cs="Courier New"/>
          <w:sz w:val="20"/>
        </w:rPr>
        <w:t>OrFK</w:t>
      </w:r>
      <w:r w:rsidRPr="00264D5D">
        <w:rPr>
          <w:rFonts w:cs="Courier New"/>
          <w:sz w:val="20"/>
          <w:lang w:val="ru-RU"/>
        </w:rPr>
        <w:t>&gt;</w:t>
      </w:r>
    </w:p>
    <w:p w14:paraId="73DF081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NmBdgt</w:t>
      </w:r>
      <w:r w:rsidRPr="00264D5D">
        <w:rPr>
          <w:rFonts w:cs="Courier New"/>
          <w:sz w:val="20"/>
          <w:lang w:val="ru-RU"/>
        </w:rPr>
        <w:t xml:space="preserve"> </w:t>
      </w:r>
      <w:r w:rsidRPr="00264D5D">
        <w:rPr>
          <w:rFonts w:cs="Courier New"/>
          <w:sz w:val="20"/>
        </w:rPr>
        <w:t>xmlns</w:t>
      </w:r>
      <w:r w:rsidRPr="00264D5D">
        <w:rPr>
          <w:rFonts w:cs="Courier New"/>
          <w:sz w:val="20"/>
          <w:lang w:val="ru-RU"/>
        </w:rPr>
        <w:t>=""&gt;Федеральный бюджет&lt;/</w:t>
      </w:r>
      <w:r w:rsidRPr="00264D5D">
        <w:rPr>
          <w:rFonts w:cs="Courier New"/>
          <w:sz w:val="20"/>
        </w:rPr>
        <w:t>NmBdgt</w:t>
      </w:r>
      <w:r w:rsidRPr="00264D5D">
        <w:rPr>
          <w:rFonts w:cs="Courier New"/>
          <w:sz w:val="20"/>
          <w:lang w:val="ru-RU"/>
        </w:rPr>
        <w:t>&gt;</w:t>
      </w:r>
    </w:p>
    <w:p w14:paraId="4E4746F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FnclInst</w:t>
      </w:r>
      <w:r w:rsidRPr="00264D5D">
        <w:rPr>
          <w:rFonts w:cs="Courier New"/>
          <w:sz w:val="20"/>
          <w:lang w:val="ru-RU"/>
        </w:rPr>
        <w:t xml:space="preserve"> </w:t>
      </w:r>
      <w:r w:rsidRPr="00264D5D">
        <w:rPr>
          <w:rFonts w:cs="Courier New"/>
          <w:sz w:val="20"/>
        </w:rPr>
        <w:t>xmlns</w:t>
      </w:r>
      <w:r w:rsidRPr="00264D5D">
        <w:rPr>
          <w:rFonts w:cs="Courier New"/>
          <w:sz w:val="20"/>
          <w:lang w:val="ru-RU"/>
        </w:rPr>
        <w:t>=""&gt;</w:t>
      </w:r>
    </w:p>
    <w:p w14:paraId="1F79F9C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FnclInst</w:t>
      </w:r>
      <w:r w:rsidRPr="00264D5D">
        <w:rPr>
          <w:rFonts w:cs="Courier New"/>
          <w:sz w:val="20"/>
          <w:lang w:val="ru-RU"/>
        </w:rPr>
        <w:t>&gt;Министерство финансов Российской Федерации&lt;/</w:t>
      </w:r>
      <w:r w:rsidRPr="00264D5D">
        <w:rPr>
          <w:rFonts w:cs="Courier New"/>
          <w:sz w:val="20"/>
        </w:rPr>
        <w:t>FnclInst</w:t>
      </w:r>
      <w:r w:rsidRPr="00264D5D">
        <w:rPr>
          <w:rFonts w:cs="Courier New"/>
          <w:sz w:val="20"/>
          <w:lang w:val="ru-RU"/>
        </w:rPr>
        <w:t>&gt;</w:t>
      </w:r>
    </w:p>
    <w:p w14:paraId="256EFEF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rPr>
        <w:t>&lt;OKPOCd&gt;00013474&lt;/OKPOCd&gt;</w:t>
      </w:r>
    </w:p>
    <w:p w14:paraId="2E36FBE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&lt;/FnclInst&gt;</w:t>
      </w:r>
    </w:p>
    <w:p w14:paraId="0E6AA80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&lt;/UF_MSC_Orgnztn&gt;</w:t>
      </w:r>
    </w:p>
    <w:p w14:paraId="2CBD0FF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&lt;TtlPrt_SECRECY xmlns=""&gt;0&lt;/TtlPrt_SECRECY&gt;</w:t>
      </w:r>
    </w:p>
    <w:p w14:paraId="6C19BD5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UF</w:t>
      </w:r>
      <w:r w:rsidRPr="00264D5D">
        <w:rPr>
          <w:rFonts w:cs="Courier New"/>
          <w:sz w:val="20"/>
          <w:lang w:val="ru-RU"/>
        </w:rPr>
        <w:t>_</w:t>
      </w:r>
      <w:r w:rsidRPr="00264D5D">
        <w:rPr>
          <w:rFonts w:cs="Courier New"/>
          <w:sz w:val="20"/>
        </w:rPr>
        <w:t>SrcKnd</w:t>
      </w:r>
      <w:r w:rsidRPr="00264D5D">
        <w:rPr>
          <w:rFonts w:cs="Courier New"/>
          <w:sz w:val="20"/>
          <w:lang w:val="ru-RU"/>
        </w:rPr>
        <w:t xml:space="preserve"> </w:t>
      </w:r>
      <w:r w:rsidRPr="00264D5D">
        <w:rPr>
          <w:rFonts w:cs="Courier New"/>
          <w:sz w:val="20"/>
        </w:rPr>
        <w:t>code</w:t>
      </w:r>
      <w:r w:rsidRPr="00264D5D">
        <w:rPr>
          <w:rFonts w:cs="Courier New"/>
          <w:sz w:val="20"/>
          <w:lang w:val="ru-RU"/>
        </w:rPr>
        <w:t xml:space="preserve">="5" </w:t>
      </w:r>
      <w:r w:rsidRPr="00264D5D">
        <w:rPr>
          <w:rFonts w:cs="Courier New"/>
          <w:sz w:val="20"/>
        </w:rPr>
        <w:t>value</w:t>
      </w:r>
      <w:r w:rsidRPr="00264D5D">
        <w:rPr>
          <w:rFonts w:cs="Courier New"/>
          <w:sz w:val="20"/>
          <w:lang w:val="ru-RU"/>
        </w:rPr>
        <w:t>="Средства, поступающие во временное распоряжение казенных учреждений"/&gt;</w:t>
      </w:r>
    </w:p>
    <w:p w14:paraId="328160D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UF</w:t>
      </w:r>
      <w:r w:rsidRPr="00264D5D">
        <w:rPr>
          <w:rFonts w:cs="Courier New"/>
          <w:sz w:val="20"/>
          <w:lang w:val="ru-RU"/>
        </w:rPr>
        <w:t>_</w:t>
      </w:r>
      <w:r w:rsidRPr="00264D5D">
        <w:rPr>
          <w:rFonts w:cs="Courier New"/>
          <w:sz w:val="20"/>
        </w:rPr>
        <w:t>MSC</w:t>
      </w:r>
      <w:r w:rsidRPr="00264D5D">
        <w:rPr>
          <w:rFonts w:cs="Courier New"/>
          <w:sz w:val="20"/>
          <w:lang w:val="ru-RU"/>
        </w:rPr>
        <w:t>_</w:t>
      </w:r>
      <w:r w:rsidRPr="00264D5D">
        <w:rPr>
          <w:rFonts w:cs="Courier New"/>
          <w:sz w:val="20"/>
        </w:rPr>
        <w:t>RspnExctr</w:t>
      </w:r>
      <w:r w:rsidRPr="00264D5D">
        <w:rPr>
          <w:rFonts w:cs="Courier New"/>
          <w:sz w:val="20"/>
          <w:lang w:val="ru-RU"/>
        </w:rPr>
        <w:t xml:space="preserve"> </w:t>
      </w:r>
      <w:r w:rsidRPr="00264D5D">
        <w:rPr>
          <w:rFonts w:cs="Courier New"/>
          <w:sz w:val="20"/>
        </w:rPr>
        <w:t>xmlns</w:t>
      </w:r>
      <w:r w:rsidRPr="00264D5D">
        <w:rPr>
          <w:rFonts w:cs="Courier New"/>
          <w:sz w:val="20"/>
          <w:lang w:val="ru-RU"/>
        </w:rPr>
        <w:t>=""&gt;</w:t>
      </w:r>
    </w:p>
    <w:p w14:paraId="286CCE6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Pst</w:t>
      </w:r>
      <w:r w:rsidRPr="00264D5D">
        <w:rPr>
          <w:rFonts w:cs="Courier New"/>
          <w:sz w:val="20"/>
          <w:lang w:val="ru-RU"/>
        </w:rPr>
        <w:t>&gt;Главный специалист&lt;/</w:t>
      </w:r>
      <w:r w:rsidRPr="00264D5D">
        <w:rPr>
          <w:rFonts w:cs="Courier New"/>
          <w:sz w:val="20"/>
        </w:rPr>
        <w:t>Pst</w:t>
      </w:r>
      <w:r w:rsidRPr="00264D5D">
        <w:rPr>
          <w:rFonts w:cs="Courier New"/>
          <w:sz w:val="20"/>
          <w:lang w:val="ru-RU"/>
        </w:rPr>
        <w:t>&gt;</w:t>
      </w:r>
    </w:p>
    <w:p w14:paraId="71381FE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FIO</w:t>
      </w:r>
      <w:r w:rsidRPr="00264D5D">
        <w:rPr>
          <w:rFonts w:cs="Courier New"/>
          <w:sz w:val="20"/>
          <w:lang w:val="ru-RU"/>
        </w:rPr>
        <w:t>&gt;Калугина Е.В.&lt;/</w:t>
      </w:r>
      <w:r w:rsidRPr="00264D5D">
        <w:rPr>
          <w:rFonts w:cs="Courier New"/>
          <w:sz w:val="20"/>
        </w:rPr>
        <w:t>FIO</w:t>
      </w:r>
      <w:r w:rsidRPr="00264D5D">
        <w:rPr>
          <w:rFonts w:cs="Courier New"/>
          <w:sz w:val="20"/>
          <w:lang w:val="ru-RU"/>
        </w:rPr>
        <w:t>&gt;</w:t>
      </w:r>
    </w:p>
    <w:p w14:paraId="112C1DB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Phn</w:t>
      </w:r>
      <w:r w:rsidRPr="00264D5D">
        <w:rPr>
          <w:rFonts w:cs="Courier New"/>
          <w:sz w:val="20"/>
          <w:lang w:val="ru-RU"/>
        </w:rPr>
        <w:t>&gt;(495)629-10-10 доб.16-35&lt;/</w:t>
      </w:r>
      <w:r w:rsidRPr="00264D5D">
        <w:rPr>
          <w:rFonts w:cs="Courier New"/>
          <w:sz w:val="20"/>
        </w:rPr>
        <w:t>Phn</w:t>
      </w:r>
      <w:r w:rsidRPr="00264D5D">
        <w:rPr>
          <w:rFonts w:cs="Courier New"/>
          <w:sz w:val="20"/>
          <w:lang w:val="ru-RU"/>
        </w:rPr>
        <w:t>&gt;</w:t>
      </w:r>
    </w:p>
    <w:p w14:paraId="647C854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UF</w:t>
      </w:r>
      <w:r w:rsidRPr="00264D5D">
        <w:rPr>
          <w:rFonts w:cs="Courier New"/>
          <w:sz w:val="20"/>
          <w:lang w:val="ru-RU"/>
        </w:rPr>
        <w:t>_</w:t>
      </w:r>
      <w:r w:rsidRPr="00264D5D">
        <w:rPr>
          <w:rFonts w:cs="Courier New"/>
          <w:sz w:val="20"/>
        </w:rPr>
        <w:t>MSC</w:t>
      </w:r>
      <w:r w:rsidRPr="00264D5D">
        <w:rPr>
          <w:rFonts w:cs="Courier New"/>
          <w:sz w:val="20"/>
          <w:lang w:val="ru-RU"/>
        </w:rPr>
        <w:t>_</w:t>
      </w:r>
      <w:r w:rsidRPr="00264D5D">
        <w:rPr>
          <w:rFonts w:cs="Courier New"/>
          <w:sz w:val="20"/>
        </w:rPr>
        <w:t>RspnExctr</w:t>
      </w:r>
      <w:r w:rsidRPr="00264D5D">
        <w:rPr>
          <w:rFonts w:cs="Courier New"/>
          <w:sz w:val="20"/>
          <w:lang w:val="ru-RU"/>
        </w:rPr>
        <w:t>&gt;</w:t>
      </w:r>
    </w:p>
    <w:p w14:paraId="18124E3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&lt;UFPP xmlns=""&gt;</w:t>
      </w:r>
    </w:p>
    <w:p w14:paraId="1150324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&lt;UFPP_ITEM xmlns=""&gt;</w:t>
      </w:r>
    </w:p>
    <w:p w14:paraId="4CA5CFD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RcrdNm</w:t>
      </w:r>
      <w:r w:rsidRPr="00264D5D">
        <w:rPr>
          <w:rFonts w:cs="Courier New"/>
          <w:sz w:val="20"/>
          <w:lang w:val="ru-RU"/>
        </w:rPr>
        <w:t>&gt;1&lt;/</w:t>
      </w:r>
      <w:r w:rsidRPr="00264D5D">
        <w:rPr>
          <w:rFonts w:cs="Courier New"/>
          <w:sz w:val="20"/>
        </w:rPr>
        <w:t>RcrdNm</w:t>
      </w:r>
      <w:r w:rsidRPr="00264D5D">
        <w:rPr>
          <w:rFonts w:cs="Courier New"/>
          <w:sz w:val="20"/>
          <w:lang w:val="ru-RU"/>
        </w:rPr>
        <w:t>&gt;</w:t>
      </w:r>
    </w:p>
    <w:p w14:paraId="10245E1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Amnt</w:t>
      </w:r>
      <w:r w:rsidRPr="00264D5D">
        <w:rPr>
          <w:rFonts w:cs="Courier New"/>
          <w:sz w:val="20"/>
          <w:lang w:val="ru-RU"/>
        </w:rPr>
        <w:t>&gt;150000.00&lt;/</w:t>
      </w:r>
      <w:r w:rsidRPr="00264D5D">
        <w:rPr>
          <w:rFonts w:cs="Courier New"/>
          <w:sz w:val="20"/>
        </w:rPr>
        <w:t>Amnt</w:t>
      </w:r>
      <w:r w:rsidRPr="00264D5D">
        <w:rPr>
          <w:rFonts w:cs="Courier New"/>
          <w:sz w:val="20"/>
          <w:lang w:val="ru-RU"/>
        </w:rPr>
        <w:t>&gt;</w:t>
      </w:r>
    </w:p>
    <w:p w14:paraId="5E39E45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PyPrps</w:t>
      </w:r>
      <w:r w:rsidRPr="00264D5D">
        <w:rPr>
          <w:rFonts w:cs="Courier New"/>
          <w:sz w:val="20"/>
          <w:lang w:val="ru-RU"/>
        </w:rPr>
        <w:t>&gt;Возврат частично неиспользованных средств целевой субсидии&lt;/</w:t>
      </w:r>
      <w:r w:rsidRPr="00264D5D">
        <w:rPr>
          <w:rFonts w:cs="Courier New"/>
          <w:sz w:val="20"/>
        </w:rPr>
        <w:t>PyPrps</w:t>
      </w:r>
      <w:r w:rsidRPr="00264D5D">
        <w:rPr>
          <w:rFonts w:cs="Courier New"/>
          <w:sz w:val="20"/>
          <w:lang w:val="ru-RU"/>
        </w:rPr>
        <w:t>&gt;</w:t>
      </w:r>
    </w:p>
    <w:p w14:paraId="6DFA4EA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rPr>
        <w:t>&lt;MSC_PymntOrdr xmlns=""&gt;</w:t>
      </w:r>
    </w:p>
    <w:p w14:paraId="36A81D1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ab/>
      </w:r>
      <w:r w:rsidRPr="00264D5D">
        <w:rPr>
          <w:rFonts w:cs="Courier New"/>
          <w:sz w:val="20"/>
        </w:rPr>
        <w:tab/>
      </w:r>
      <w:r w:rsidRPr="00264D5D">
        <w:rPr>
          <w:rFonts w:cs="Courier New"/>
          <w:sz w:val="20"/>
        </w:rPr>
        <w:tab/>
        <w:t>&lt;GUID&gt;3f117626-9a16-15ac-e053-0a5f081d34b8&lt;/GUID&gt;</w:t>
      </w:r>
    </w:p>
    <w:p w14:paraId="6A7176B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Cd</w:t>
      </w:r>
      <w:r w:rsidRPr="00264D5D">
        <w:rPr>
          <w:rFonts w:cs="Courier New"/>
          <w:sz w:val="20"/>
          <w:lang w:val="ru-RU"/>
        </w:rPr>
        <w:t>&gt;22&lt;/</w:t>
      </w:r>
      <w:r w:rsidRPr="00264D5D">
        <w:rPr>
          <w:rFonts w:cs="Courier New"/>
          <w:sz w:val="20"/>
        </w:rPr>
        <w:t>Cd</w:t>
      </w:r>
      <w:r w:rsidRPr="00264D5D">
        <w:rPr>
          <w:rFonts w:cs="Courier New"/>
          <w:sz w:val="20"/>
          <w:lang w:val="ru-RU"/>
        </w:rPr>
        <w:t>&gt;</w:t>
      </w:r>
    </w:p>
    <w:p w14:paraId="1DE51A0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Nm</w:t>
      </w:r>
      <w:r w:rsidRPr="00264D5D">
        <w:rPr>
          <w:rFonts w:cs="Courier New"/>
          <w:sz w:val="20"/>
          <w:lang w:val="ru-RU"/>
        </w:rPr>
        <w:t>&gt;Платежное поручение&lt;/</w:t>
      </w:r>
      <w:r w:rsidRPr="00264D5D">
        <w:rPr>
          <w:rFonts w:cs="Courier New"/>
          <w:sz w:val="20"/>
        </w:rPr>
        <w:t>Nm</w:t>
      </w:r>
      <w:r w:rsidRPr="00264D5D">
        <w:rPr>
          <w:rFonts w:cs="Courier New"/>
          <w:sz w:val="20"/>
          <w:lang w:val="ru-RU"/>
        </w:rPr>
        <w:t>&gt;</w:t>
      </w:r>
    </w:p>
    <w:p w14:paraId="7923A76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rPr>
        <w:t>&lt;OrdrNmbr&gt;706055&lt;/OrdrNmbr&gt;</w:t>
      </w:r>
    </w:p>
    <w:p w14:paraId="67D9EAB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&lt;DctDt&gt;2021-01-03&lt;/DctDt&gt;</w:t>
      </w:r>
    </w:p>
    <w:p w14:paraId="2E0F4A1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&lt;/MSC_PymntOrdr&gt;</w:t>
      </w:r>
    </w:p>
    <w:p w14:paraId="1B99869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MSC</w:t>
      </w:r>
      <w:r w:rsidRPr="00264D5D">
        <w:rPr>
          <w:rFonts w:cs="Courier New"/>
          <w:sz w:val="20"/>
          <w:lang w:val="ru-RU"/>
        </w:rPr>
        <w:t>_</w:t>
      </w:r>
      <w:r w:rsidRPr="00264D5D">
        <w:rPr>
          <w:rFonts w:cs="Courier New"/>
          <w:sz w:val="20"/>
        </w:rPr>
        <w:t>IncmAdmn</w:t>
      </w:r>
      <w:r w:rsidRPr="00264D5D">
        <w:rPr>
          <w:rFonts w:cs="Courier New"/>
          <w:sz w:val="20"/>
          <w:lang w:val="ru-RU"/>
        </w:rPr>
        <w:t xml:space="preserve"> </w:t>
      </w:r>
      <w:r w:rsidRPr="00264D5D">
        <w:rPr>
          <w:rFonts w:cs="Courier New"/>
          <w:sz w:val="20"/>
        </w:rPr>
        <w:t>xmlns</w:t>
      </w:r>
      <w:r w:rsidRPr="00264D5D">
        <w:rPr>
          <w:rFonts w:cs="Courier New"/>
          <w:sz w:val="20"/>
          <w:lang w:val="ru-RU"/>
        </w:rPr>
        <w:t>=""&gt;</w:t>
      </w:r>
    </w:p>
    <w:p w14:paraId="6BCCC72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Nm</w:t>
      </w:r>
      <w:r w:rsidRPr="00264D5D">
        <w:rPr>
          <w:rFonts w:cs="Courier New"/>
          <w:sz w:val="20"/>
          <w:lang w:val="ru-RU"/>
        </w:rPr>
        <w:t>&gt;Межрегиональное операционное отделение УФК (Минстерство культуры Российской Федерации л/сч 03951000540)&lt;/</w:t>
      </w:r>
      <w:r w:rsidRPr="00264D5D">
        <w:rPr>
          <w:rFonts w:cs="Courier New"/>
          <w:sz w:val="20"/>
        </w:rPr>
        <w:t>Nm</w:t>
      </w:r>
      <w:r w:rsidRPr="00264D5D">
        <w:rPr>
          <w:rFonts w:cs="Courier New"/>
          <w:sz w:val="20"/>
          <w:lang w:val="ru-RU"/>
        </w:rPr>
        <w:t>&gt;</w:t>
      </w:r>
    </w:p>
    <w:p w14:paraId="2A006EB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rPr>
        <w:t>&lt;INN&gt;7705851331&lt;/INN&gt;</w:t>
      </w:r>
    </w:p>
    <w:p w14:paraId="6DA45CF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&lt;KPP&gt;770501001&lt;/KPP&gt;</w:t>
      </w:r>
    </w:p>
    <w:p w14:paraId="55902F1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&lt;/MSC_IncmAdmn&gt;</w:t>
      </w:r>
    </w:p>
    <w:p w14:paraId="176ACBB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&lt;/UFPP_ITEM&gt;</w:t>
      </w:r>
    </w:p>
    <w:p w14:paraId="7716D15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&lt;/UFPP&gt;</w:t>
      </w:r>
    </w:p>
    <w:p w14:paraId="416A2C4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&lt;UFPP_N xmlns=""&gt;</w:t>
      </w:r>
    </w:p>
    <w:p w14:paraId="2132989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&lt;UFPP_N_ITEM xmlns=""&gt;</w:t>
      </w:r>
    </w:p>
    <w:p w14:paraId="2D155E3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&lt;RcrdNmNw&gt;1&lt;/RcrdNmNw&gt;</w:t>
      </w:r>
    </w:p>
    <w:p w14:paraId="27CBE05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&lt;AmntNw&gt;150000.00&lt;/AmntNw&gt;</w:t>
      </w:r>
    </w:p>
    <w:p w14:paraId="5369145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&lt;MSC_Rcpnt xmlns=""&gt;</w:t>
      </w:r>
    </w:p>
    <w:p w14:paraId="013EE93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Nm</w:t>
      </w:r>
      <w:r w:rsidRPr="00264D5D">
        <w:rPr>
          <w:rFonts w:cs="Courier New"/>
          <w:sz w:val="20"/>
          <w:lang w:val="ru-RU"/>
        </w:rPr>
        <w:t>&gt;Межрегиональное операционное отделение УФК (Минстерство культуры Российской Федерации л/сч 03951000540)&lt;/</w:t>
      </w:r>
      <w:r w:rsidRPr="00264D5D">
        <w:rPr>
          <w:rFonts w:cs="Courier New"/>
          <w:sz w:val="20"/>
        </w:rPr>
        <w:t>Nm</w:t>
      </w:r>
      <w:r w:rsidRPr="00264D5D">
        <w:rPr>
          <w:rFonts w:cs="Courier New"/>
          <w:sz w:val="20"/>
          <w:lang w:val="ru-RU"/>
        </w:rPr>
        <w:t>&gt;</w:t>
      </w:r>
    </w:p>
    <w:p w14:paraId="658583A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rPr>
        <w:t>&lt;INN&gt;7705851331&lt;/INN&gt;</w:t>
      </w:r>
    </w:p>
    <w:p w14:paraId="4E1858A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&lt;KPP&gt;770501001&lt;/KPP&gt;</w:t>
      </w:r>
    </w:p>
    <w:p w14:paraId="170D48A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&lt;AcntNm&gt;03951000540&lt;/AcntNm&gt;</w:t>
      </w:r>
    </w:p>
    <w:p w14:paraId="73A8BD3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&lt;/MSC_Rcpnt&gt;</w:t>
      </w:r>
    </w:p>
    <w:p w14:paraId="2B6F56D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&lt;/UFPP_N_ITEM&gt;</w:t>
      </w:r>
    </w:p>
    <w:p w14:paraId="696480E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&lt;/UFPP_N&gt;</w:t>
      </w:r>
    </w:p>
    <w:p w14:paraId="4FB1FA3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&lt;UF_MSC_Infrmtn xmlns=""&gt;</w:t>
      </w:r>
    </w:p>
    <w:p w14:paraId="79D97AE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&lt;GUID&gt;b58d999c-ce12-4c59-be24-ca7dfc2f1305&lt;/GUID&gt;</w:t>
      </w:r>
    </w:p>
    <w:p w14:paraId="274BF49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&lt;CrtnDt&gt;2021-01-03&lt;/CrtnDt&gt;</w:t>
      </w:r>
    </w:p>
    <w:p w14:paraId="27F2F93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&lt;/UF_MSC_Infrmtn&gt;</w:t>
      </w:r>
    </w:p>
    <w:p w14:paraId="2F50250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 xmlns="http://www.w3.org/2000/09/xmldsig#" Id="Id-sig-d373256b5942f08343bc8d034aadd7158f61"&gt;</w:t>
      </w:r>
    </w:p>
    <w:p w14:paraId="30A83F4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41913FB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&lt;CanonicalizationMethod Algorithm="http://www.w3.org/2001/10/xml-exc-c14n#"/&gt;</w:t>
      </w:r>
    </w:p>
    <w:p w14:paraId="7C45578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&lt;SignatureMethod Algorithm="http://www.w3.org/2001/04/xmldsig-more#gostr34102001-gostr3411"/&gt;</w:t>
      </w:r>
    </w:p>
    <w:p w14:paraId="0B3B6A9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URI="Id-xadesdata-eaf97d94646411e9b78d005056834f23" Id="Id-dataref-dfd24e85a456a1a342553e99c27fd5695cff"&gt;</w:t>
      </w:r>
    </w:p>
    <w:p w14:paraId="01745A8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67C2A23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Algorithm="http://www.w3.org/2000/09/xmldsig#enveloped-signature"/&gt;</w:t>
      </w:r>
    </w:p>
    <w:p w14:paraId="30D5433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00814FC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7BDD7BB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&lt;DigestValue&gt;tuuoIThRLrpmXrL14i8lPFRl0pwMCiUsBbH5BypOA0I=&lt;/DigestValue&gt;</w:t>
      </w:r>
    </w:p>
    <w:p w14:paraId="7AE0558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0B3E020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&lt;Reference Type="http://www.w3.org/TR/2002/REC-xmldsig-core-20020212/xmldsig-core-schema.xsd#X509Data" URI="#Id-keyinfo-3dfe71fe8d5a7f7591dd337029c400ccf286" Id="Id-keyinforef-9674835ee89ca1067673b6fbb04db381a2a6"&gt;</w:t>
      </w:r>
    </w:p>
    <w:p w14:paraId="64E05BE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0E32577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3C52C3C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4E2C942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1F3DBD7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&lt;DigestValue&gt;fIKSx5SIme2CRgDvDzflubM+Qqh4IkAWCXPpzXWD/AQ=&lt;/DigestValue&gt;</w:t>
      </w:r>
    </w:p>
    <w:p w14:paraId="1E99873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02E644A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&lt;Reference URI="#Id-sp-c353e147090ff61f2f90dcd64635bcf70055" Id="Id-ref-dbee882997a09b88ec14dafcd7da585e2467"&gt;</w:t>
      </w:r>
    </w:p>
    <w:p w14:paraId="56E42FB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0B07DED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&lt;Transform Algorithm="http://www.w3.org/2001/10/xml-exc-c14n#"/&gt;</w:t>
      </w:r>
    </w:p>
    <w:p w14:paraId="47FCE10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4B50C9B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75574FF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&lt;DigestValue&gt;ffi2NrwgQYkFPoTAefkLKH2wMBSNjwN3zzDBV+mhwQg=&lt;/DigestValue&gt;</w:t>
      </w:r>
    </w:p>
    <w:p w14:paraId="31A3927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6B35DF7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0CCB30C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&lt;SignatureValue&gt;zolZ5HI+TT6shtnB1YnAZeMq9mcqWLWAZlSR+MuKJXXN2NRZS/zapvyY4rW+I5gM</w:t>
      </w:r>
    </w:p>
    <w:p w14:paraId="6A1AF3A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py5+uThVv9x8n5TApPOJCg==&lt;/SignatureValue&gt;</w:t>
      </w:r>
    </w:p>
    <w:p w14:paraId="2702DBD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&lt;KeyInfo Id="Id-keyinfo-3dfe71fe8d5a7f7591dd337029c400ccf286"&gt;</w:t>
      </w:r>
    </w:p>
    <w:p w14:paraId="33B9609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&lt;X509Data&gt;</w:t>
      </w:r>
    </w:p>
    <w:p w14:paraId="69BC2AC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&lt;X509Certificate&gt;MIIHbzCCBx6gAwIBAgIUCw+9bFynffs/n08sYLaljBr5oXAwCAYGKoUDAgIDMIIB</w:t>
      </w:r>
    </w:p>
    <w:p w14:paraId="72C1A93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OTEgMB4GCSqGSIb3DQEJARYRdWNfZmtAcm9za2F6bmEucnUxGTAXBgNVBAgMENCz</w:t>
      </w:r>
    </w:p>
    <w:p w14:paraId="0A84D70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LiDQnNC+0YHQutCy0LAxGjAYBggqhQMDgQMBARIMMDA3NzEwNTY4NzYwMRgwFgYF</w:t>
      </w:r>
    </w:p>
    <w:p w14:paraId="2539145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KoUDZAESDTEwNDc3OTcwMTk4MzAxLDAqBgNVBAkMI9GD0LvQuNGG0LAg0JjQu9GM</w:t>
      </w:r>
    </w:p>
    <w:p w14:paraId="19CCF77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0LjQvdC60LAsINC00L7QvCA3MRUwEwYDVQQHDAzQnNC+0YHQutCy0LAxCzAJBgNV</w:t>
      </w:r>
    </w:p>
    <w:p w14:paraId="673E3EC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BAYTAlJVMTgwNgYDVQQKDC/QpNC10LTQtdGA0LDQu9GM0L3QvtC1INC60LDQt9C9</w:t>
      </w:r>
    </w:p>
    <w:p w14:paraId="59FA90F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0LDRh9C10LnRgdGC0LLQvjE4MDYGA1UEAwwv0KTQtdC00LXRgNCw0LvRjNC90L7Q</w:t>
      </w:r>
    </w:p>
    <w:p w14:paraId="7C980A3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tSDQutCw0LfQvdCw0YfQtdC50YHRgtCy0L4wHhcNMTgwNDA1MTMzNDQ3WhcNMTkw</w:t>
      </w:r>
    </w:p>
    <w:p w14:paraId="6FCC48C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NzA1MTMzNDQ3WjCCAS0xGjAYBggqhQMDgQMBARIMMDA3NzEwNTY4NzYwMRgwFgYF</w:t>
      </w:r>
    </w:p>
    <w:p w14:paraId="0B0FE24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KoUDZAESDTEwNDc3OTcwMTk4MzAxIzAhBgNVBAkMGtGD0LsuINCY0LvRjNC40L3Q</w:t>
      </w:r>
    </w:p>
    <w:p w14:paraId="7B680F8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utCwLCDQtC43MR4wHAYJKoZIhvcNAQkBFg83NzdAcm9za2F6bmEucnUxCzAJBgNV</w:t>
      </w:r>
    </w:p>
    <w:p w14:paraId="6229DE6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BAYTAlJVMRgwFgYDVQQIDA/Qsy7QnNC+0YHQutCy0LAxFTATBgNVBAcMDNCc0L7R</w:t>
      </w:r>
    </w:p>
    <w:p w14:paraId="7B450BC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gdC60LLQsDE4MDYGA1UECgwv0KTQtdC00LXRgNCw0LvRjNC90L7QtSDQutCw0LfQ</w:t>
      </w:r>
    </w:p>
    <w:p w14:paraId="22E1914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vdCw0YfQtdC50YHRgtCy0L4xODA2BgNVBAMML9Ck0LXQtNC10YDQsNC70YzQvdC+</w:t>
      </w:r>
    </w:p>
    <w:p w14:paraId="428F55C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0LUg0LrQsNC30L3QsNGH0LXQudGB0YLQstC+MGMwHAYGKoUDAgITMBIGByqFAwIC</w:t>
      </w:r>
    </w:p>
    <w:p w14:paraId="0FDB100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IwEGByqFAwICHgEDQwAEQDmzpZ5HcFrSdwi3/h6QJ/jU0i6sTgtJqrYL/Tr+gxBg</w:t>
      </w:r>
    </w:p>
    <w:p w14:paraId="6202E11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Ud3B/sLCyhk3sR3aCrZ0K4YlsFHVmbBhDYe62UsOcnOjggQCMIID/jAMBgNVHRMB</w:t>
      </w:r>
    </w:p>
    <w:p w14:paraId="2382158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Af8EAjAAMB0GA1UdIAQWMBQwCAYGKoUDZHEBMAgGBiqFA2RxAjA2BgUqhQNkbwQt</w:t>
      </w:r>
    </w:p>
    <w:p w14:paraId="5081DF7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DCsi0JrRgNC40L/RgtC+0J/RgNC+IENTUCIgKNCy0LXRgNGB0LjRjyA0LjApMIIB</w:t>
      </w:r>
    </w:p>
    <w:p w14:paraId="2167EF1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MQYFKoUDZHAEggEmMIIBIgxEItCa0YDQuNC/0YLQvtCf0YDQviBDU1AiICjQstC1</w:t>
      </w:r>
    </w:p>
    <w:p w14:paraId="2B4C2B0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0YDRgdC40Y8gMy42KSAo0LjRgdC/0L7Qu9C90LXQvdC40LUgMikMaCLQn9GA0L7Q</w:t>
      </w:r>
    </w:p>
    <w:p w14:paraId="241BBE6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s9GA0LDQvNC80L3Qvi3QsNC/0L/QsNGA0LDRgtC90YvQuSDQutC+0LzQv9C70LXQ</w:t>
      </w:r>
    </w:p>
    <w:p w14:paraId="57644FD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utGBICLQrtC90LjRgdC10YDRgi3Qk9Ce0KHQoiIuINCS0LXRgNGB0LjRjyAyLjEi</w:t>
      </w:r>
    </w:p>
    <w:p w14:paraId="3E58679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DB/ihJYgMTQ5LzcvNi01Njkg0L7RgiAyMS4xMi4yMDE3DE/QodC10YDRgtC40YTQ</w:t>
      </w:r>
    </w:p>
    <w:p w14:paraId="608BD0D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uNC60LDRgiDRgdC+0L7RgtCy0LXRgtGB0YLQstC40Y8g4oSWINCh0KQvMTI4LTI4</w:t>
      </w:r>
    </w:p>
    <w:p w14:paraId="6ED6D98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Nzgg0L7RgiAyMC4wNi4yMDE2MA4GA1UdDwEB/wQEAwID+DAdBgNVHSUEFjAUBggr</w:t>
      </w:r>
    </w:p>
    <w:p w14:paraId="43634C8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BgEFBQcDAgYIKwYBBQUHAwMwKwYDVR0QBCQwIoAPMjAxODA0MDUxMzM0NDVagQ8y</w:t>
      </w:r>
    </w:p>
    <w:p w14:paraId="537BE46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MDE5MDcwNTEzMzQ0NVowggGFBgNVHSMEggF8MIIBeIAUFlWRplFYxIksa1Fb0oUZ</w:t>
      </w:r>
    </w:p>
    <w:p w14:paraId="52F746C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CgFESCKhggFSpIIBTjCCAUoxHjAcBgkqhkiG9w0BCQEWD2RpdEBtaW5zdnlhei5y</w:t>
      </w:r>
    </w:p>
    <w:p w14:paraId="7363DD1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dTELMAkGA1UEBhMCUlUxHDAaBgNVBAgMEzc3INCzLiDQnNC+0YHQutCy0LAxFTAT</w:t>
      </w:r>
    </w:p>
    <w:p w14:paraId="5925CB8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BgNVBAcMDNCc0L7RgdC60LLQsDE/MD0GA1UECQw2MTI1Mzc1INCzLiDQnNC+0YHQ</w:t>
      </w:r>
    </w:p>
    <w:p w14:paraId="19FD731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utCy0LAsINGD0LsuINCi0LLQtdGA0YHQutCw0Y8sINC0LiA3MSwwKgYDVQQKDCPQ</w:t>
      </w:r>
    </w:p>
    <w:p w14:paraId="2B347DD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nNC40L3QutC+0LzRgdCy0Y/Qt9GMINCg0L7RgdGB0LjQuDEYMBYGBSqFA2QBEg0x</w:t>
      </w:r>
    </w:p>
    <w:p w14:paraId="17CD589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MDQ3NzAyMDI2NzAxMRowGAYIKoUDA4EDAQESDDAwNzcxMDQ3NDM3NTFBMD8GA1UE</w:t>
      </w:r>
    </w:p>
    <w:p w14:paraId="3BCC290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Aww40JPQvtC70L7QstC90L7QuSDRg9C00L7RgdGC0L7QstC10YDRj9GO0YnQuNC5</w:t>
      </w:r>
    </w:p>
    <w:p w14:paraId="224F477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INGG0LXQvdGC0YCCCjas1FUAAAAAAS8wXgYDVR0fBFcwVTApoCegJYYjaHR0cDov</w:t>
      </w:r>
    </w:p>
    <w:p w14:paraId="56756A1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L2NybC5yb3NrYXpuYS5ydS9jcmwvdWNmay5jcmwwKKAmoCSGImh0dHA6Ly9jcmwu</w:t>
      </w:r>
    </w:p>
    <w:p w14:paraId="717491C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ZnNmay5sb2NhbC9jcmwvdWNmay5jcmwwHQYDVR0OBBYEFLkvJG7Rfzg6F53wdndv</w:t>
      </w:r>
    </w:p>
    <w:p w14:paraId="2008944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NLDQ/i3nMAgGBiqFAwICAwNBAH1LMUVqEV/HRyesHDkB5eBUk6qDOJwnOBHil2Y1</w:t>
      </w:r>
    </w:p>
    <w:p w14:paraId="042DF2C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qNiUhWK7AqT93ErNsumpe8dDCswJmvps2nbQA7xwIJjzJjk=&lt;/X509Certificate&gt;</w:t>
      </w:r>
    </w:p>
    <w:p w14:paraId="71C703C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&lt;/X509Data&gt;</w:t>
      </w:r>
    </w:p>
    <w:p w14:paraId="7AE9849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&lt;/KeyInfo&gt;</w:t>
      </w:r>
    </w:p>
    <w:p w14:paraId="6B90B32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2936BE3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 xmlns="http://uri.etsi.org/01903/v1.4.1#" Target="Id-sig-d373256b5942f08343bc8d034aadd7158f61"&gt;</w:t>
      </w:r>
    </w:p>
    <w:p w14:paraId="342BD0A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 Id="Id-sp-c353e147090ff61f2f90dcd64635bcf70055"&gt;</w:t>
      </w:r>
    </w:p>
    <w:p w14:paraId="0FF0182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&lt;SignedSignatureProperties Id="Id-ssp-7fd861712d758e7e3004067202146d020fd2"/&gt;</w:t>
      </w:r>
    </w:p>
    <w:p w14:paraId="08DBF56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&lt;/SignedProperties&gt;</w:t>
      </w:r>
    </w:p>
    <w:p w14:paraId="79612FD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&lt;/QualifyingProperties&gt;</w:t>
      </w:r>
    </w:p>
    <w:p w14:paraId="20759F1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5B6496D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&lt;/Signature&gt;&lt;/self:MSC_NtcClrTpPy&gt;</w:t>
      </w:r>
    </w:p>
    <w:p w14:paraId="3CFC528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&lt;/typ:document&gt;</w:t>
      </w:r>
    </w:p>
    <w:p w14:paraId="36F718B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&lt;/transferDocumentRequest&gt;</w:t>
      </w:r>
    </w:p>
    <w:p w14:paraId="407C71E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&lt;/soapenv:Body&gt;</w:t>
      </w:r>
    </w:p>
    <w:p w14:paraId="012BB9E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264D5D">
        <w:rPr>
          <w:rFonts w:cs="Courier New"/>
          <w:sz w:val="20"/>
        </w:rPr>
        <w:t>&lt;/soapenv:Envelope&gt;</w:t>
      </w:r>
    </w:p>
    <w:p w14:paraId="0588028E" w14:textId="77777777" w:rsidR="00AD1F54" w:rsidRPr="00601408" w:rsidRDefault="00941227">
      <w:pPr>
        <w:pStyle w:val="22"/>
        <w:rPr>
          <w:highlight w:val="green"/>
          <w:lang w:val="ru-RU"/>
        </w:rPr>
      </w:pPr>
      <w:bookmarkStart w:id="1831" w:name="_Ref46776892"/>
      <w:bookmarkStart w:id="1832" w:name="_Toc219309643"/>
      <w:r w:rsidRPr="00601408">
        <w:rPr>
          <w:highlight w:val="green"/>
          <w:lang w:val="ru-RU"/>
        </w:rPr>
        <w:t>Описание документа «Распоряжение о перечислении денежных средств на банковские карты «Мир» физических лиц</w:t>
      </w:r>
      <w:bookmarkEnd w:id="1689"/>
      <w:bookmarkEnd w:id="1690"/>
      <w:r w:rsidRPr="00601408">
        <w:rPr>
          <w:highlight w:val="green"/>
          <w:lang w:val="ru-RU"/>
        </w:rPr>
        <w:t>»</w:t>
      </w:r>
      <w:bookmarkEnd w:id="1831"/>
      <w:bookmarkEnd w:id="1832"/>
    </w:p>
    <w:p w14:paraId="4DD6AC12" w14:textId="77777777" w:rsidR="00AD1F54" w:rsidRPr="00601408" w:rsidRDefault="00941227">
      <w:pPr>
        <w:pStyle w:val="31"/>
        <w:rPr>
          <w:highlight w:val="green"/>
        </w:rPr>
      </w:pPr>
      <w:bookmarkStart w:id="1833" w:name="_Toc481690835"/>
      <w:bookmarkStart w:id="1834" w:name="_Toc219309644"/>
      <w:r w:rsidRPr="00601408">
        <w:rPr>
          <w:highlight w:val="green"/>
        </w:rPr>
        <w:t>Назначение и маршрут документа</w:t>
      </w:r>
      <w:bookmarkEnd w:id="1833"/>
      <w:bookmarkEnd w:id="1834"/>
    </w:p>
    <w:p w14:paraId="3F941380" w14:textId="77777777" w:rsidR="00AD1F54" w:rsidRPr="00264D5D" w:rsidRDefault="00941227">
      <w:pPr>
        <w:pStyle w:val="OTRNormal"/>
        <w:rPr>
          <w:sz w:val="24"/>
        </w:rPr>
      </w:pPr>
      <w:r w:rsidRPr="00264D5D">
        <w:rPr>
          <w:sz w:val="24"/>
        </w:rPr>
        <w:t>Документ «Распоряжение о перечислении денежных средств на банковские карты «Мир» физических лиц» предоставляется Клиентом в ТОФК по месту обслуживания при осуществлении кассовых выплат физическим лицам на банковские карты «Мир».</w:t>
      </w:r>
      <w:r w:rsidRPr="00264D5D">
        <w:t xml:space="preserve"> </w:t>
      </w:r>
      <w:r w:rsidRPr="00264D5D">
        <w:rPr>
          <w:sz w:val="24"/>
          <w:szCs w:val="24"/>
        </w:rPr>
        <w:t>Документ предоставляется в соответствии с отдельными поручениями Федерального казначейства.</w:t>
      </w:r>
    </w:p>
    <w:p w14:paraId="2EBCF1BD" w14:textId="637F83AA" w:rsidR="00AD1F54" w:rsidRPr="00601408" w:rsidRDefault="00941227">
      <w:pPr>
        <w:pStyle w:val="GOSTNameTable"/>
        <w:keepNext w:val="0"/>
        <w:widowControl w:val="0"/>
        <w:numPr>
          <w:ilvl w:val="0"/>
          <w:numId w:val="2"/>
        </w:numPr>
        <w:ind w:left="425" w:hanging="357"/>
        <w:jc w:val="both"/>
        <w:rPr>
          <w:rFonts w:eastAsia="Calibri"/>
          <w:szCs w:val="24"/>
          <w:highlight w:val="green"/>
        </w:rPr>
      </w:pPr>
      <w:r w:rsidRPr="00601408">
        <w:rPr>
          <w:rFonts w:eastAsia="Calibri"/>
          <w:szCs w:val="24"/>
          <w:highlight w:val="green"/>
        </w:rPr>
        <w:fldChar w:fldCharType="begin"/>
      </w:r>
      <w:r w:rsidRPr="00601408">
        <w:rPr>
          <w:rFonts w:eastAsia="Calibri"/>
          <w:szCs w:val="24"/>
          <w:highlight w:val="green"/>
        </w:rPr>
        <w:instrText xml:space="preserve"> SEQ Таблица \* ARABIC </w:instrText>
      </w:r>
      <w:r w:rsidRPr="00601408">
        <w:rPr>
          <w:rFonts w:eastAsia="Calibri"/>
          <w:szCs w:val="24"/>
          <w:highlight w:val="green"/>
        </w:rPr>
        <w:fldChar w:fldCharType="separate"/>
      </w:r>
      <w:bookmarkStart w:id="1835" w:name="_Toc30503367"/>
      <w:bookmarkStart w:id="1836" w:name="_Toc30507965"/>
      <w:bookmarkStart w:id="1837" w:name="_Toc219309216"/>
      <w:r w:rsidR="008D797C">
        <w:rPr>
          <w:rFonts w:eastAsia="Calibri"/>
          <w:noProof/>
          <w:szCs w:val="24"/>
          <w:highlight w:val="green"/>
        </w:rPr>
        <w:t>186</w:t>
      </w:r>
      <w:r w:rsidRPr="00601408">
        <w:rPr>
          <w:rFonts w:eastAsia="Calibri"/>
          <w:szCs w:val="24"/>
          <w:highlight w:val="green"/>
        </w:rPr>
        <w:fldChar w:fldCharType="end"/>
      </w:r>
      <w:r w:rsidRPr="00601408">
        <w:rPr>
          <w:rFonts w:eastAsia="Calibri"/>
          <w:szCs w:val="24"/>
          <w:highlight w:val="green"/>
        </w:rPr>
        <w:t xml:space="preserve"> – </w:t>
      </w:r>
      <w:r w:rsidRPr="00601408">
        <w:rPr>
          <w:highlight w:val="green"/>
        </w:rPr>
        <w:t>Маршрут документа «Распоряжение о перечислении денежных средств на банковские карты «Мир» физических лиц»</w:t>
      </w:r>
      <w:bookmarkEnd w:id="1835"/>
      <w:bookmarkEnd w:id="1836"/>
      <w:bookmarkEnd w:id="1837"/>
    </w:p>
    <w:tbl>
      <w:tblPr>
        <w:tblStyle w:val="GOSTTable"/>
        <w:tblW w:w="5000" w:type="pct"/>
        <w:tblLayout w:type="fixed"/>
        <w:tblLook w:val="01E0" w:firstRow="1" w:lastRow="1" w:firstColumn="1" w:lastColumn="1" w:noHBand="0" w:noVBand="0"/>
      </w:tblPr>
      <w:tblGrid>
        <w:gridCol w:w="2556"/>
        <w:gridCol w:w="2556"/>
        <w:gridCol w:w="4538"/>
      </w:tblGrid>
      <w:tr w:rsidR="00AD1F54" w:rsidRPr="00264D5D" w14:paraId="5F5AA188" w14:textId="77777777" w:rsidTr="002522F5">
        <w:trPr>
          <w:cnfStyle w:val="100000000000" w:firstRow="1" w:lastRow="0" w:firstColumn="0" w:lastColumn="0" w:oddVBand="0" w:evenVBand="0" w:oddHBand="0" w:evenHBand="0" w:firstRowFirstColumn="0" w:firstRowLastColumn="0" w:lastRowFirstColumn="0" w:lastRowLastColumn="0"/>
          <w:tblHeader/>
        </w:trPr>
        <w:tc>
          <w:tcPr>
            <w:tcW w:w="2556" w:type="dxa"/>
          </w:tcPr>
          <w:p w14:paraId="2192AA24" w14:textId="77777777" w:rsidR="00AD1F54" w:rsidRPr="00264D5D" w:rsidRDefault="00941227">
            <w:pPr>
              <w:pStyle w:val="OTRTableHead"/>
              <w:keepNext w:val="0"/>
              <w:widowControl w:val="0"/>
              <w:rPr>
                <w:sz w:val="22"/>
                <w:szCs w:val="22"/>
              </w:rPr>
            </w:pPr>
            <w:r w:rsidRPr="00264D5D">
              <w:rPr>
                <w:sz w:val="22"/>
                <w:szCs w:val="22"/>
              </w:rPr>
              <w:t>Отправитель</w:t>
            </w:r>
          </w:p>
        </w:tc>
        <w:tc>
          <w:tcPr>
            <w:tcW w:w="2556" w:type="dxa"/>
          </w:tcPr>
          <w:p w14:paraId="1295EFB0" w14:textId="77777777" w:rsidR="00AD1F54" w:rsidRPr="00264D5D" w:rsidRDefault="00941227">
            <w:pPr>
              <w:pStyle w:val="OTRTableHead"/>
              <w:keepNext w:val="0"/>
              <w:widowControl w:val="0"/>
              <w:rPr>
                <w:sz w:val="22"/>
                <w:szCs w:val="22"/>
              </w:rPr>
            </w:pPr>
            <w:r w:rsidRPr="00264D5D">
              <w:rPr>
                <w:sz w:val="22"/>
                <w:szCs w:val="22"/>
              </w:rPr>
              <w:t>Получатель</w:t>
            </w:r>
          </w:p>
        </w:tc>
        <w:tc>
          <w:tcPr>
            <w:tcW w:w="4538" w:type="dxa"/>
          </w:tcPr>
          <w:p w14:paraId="1D18E6CA" w14:textId="77777777" w:rsidR="00AD1F54" w:rsidRPr="00264D5D" w:rsidRDefault="00941227">
            <w:pPr>
              <w:pStyle w:val="OTRTableHead"/>
              <w:keepNext w:val="0"/>
              <w:widowControl w:val="0"/>
              <w:rPr>
                <w:sz w:val="22"/>
                <w:szCs w:val="22"/>
              </w:rPr>
            </w:pPr>
            <w:r w:rsidRPr="00264D5D">
              <w:rPr>
                <w:sz w:val="22"/>
                <w:szCs w:val="22"/>
              </w:rPr>
              <w:t>Примечание</w:t>
            </w:r>
          </w:p>
        </w:tc>
      </w:tr>
      <w:tr w:rsidR="00AD1F54" w:rsidRPr="00264D5D" w14:paraId="06AA6BAC" w14:textId="77777777" w:rsidTr="002522F5">
        <w:trPr>
          <w:cnfStyle w:val="000000100000" w:firstRow="0" w:lastRow="0" w:firstColumn="0" w:lastColumn="0" w:oddVBand="0" w:evenVBand="0" w:oddHBand="1" w:evenHBand="0" w:firstRowFirstColumn="0" w:firstRowLastColumn="0" w:lastRowFirstColumn="0" w:lastRowLastColumn="0"/>
        </w:trPr>
        <w:tc>
          <w:tcPr>
            <w:tcW w:w="2556" w:type="dxa"/>
          </w:tcPr>
          <w:p w14:paraId="32F3C98E" w14:textId="77777777" w:rsidR="00AD1F54" w:rsidRPr="00264D5D" w:rsidRDefault="00941227">
            <w:pPr>
              <w:widowControl w:val="0"/>
              <w:spacing w:before="60" w:after="60"/>
              <w:rPr>
                <w:sz w:val="22"/>
                <w:szCs w:val="22"/>
              </w:rPr>
            </w:pPr>
            <w:r w:rsidRPr="00264D5D">
              <w:rPr>
                <w:sz w:val="22"/>
                <w:szCs w:val="22"/>
              </w:rPr>
              <w:t>Клиент</w:t>
            </w:r>
          </w:p>
        </w:tc>
        <w:tc>
          <w:tcPr>
            <w:tcW w:w="2556" w:type="dxa"/>
          </w:tcPr>
          <w:p w14:paraId="4D881CAF" w14:textId="77777777" w:rsidR="00AD1F54" w:rsidRPr="004F7B11" w:rsidRDefault="004F7B11">
            <w:pPr>
              <w:widowControl w:val="0"/>
              <w:spacing w:before="60" w:after="60"/>
              <w:rPr>
                <w:sz w:val="22"/>
                <w:szCs w:val="22"/>
              </w:rPr>
            </w:pPr>
            <w:r w:rsidRPr="004F7B11">
              <w:rPr>
                <w:sz w:val="22"/>
                <w:szCs w:val="22"/>
              </w:rPr>
              <w:t>ТОФК (ППО АСФК/ ПУР ЭБ)</w:t>
            </w:r>
          </w:p>
        </w:tc>
        <w:tc>
          <w:tcPr>
            <w:tcW w:w="4538" w:type="dxa"/>
          </w:tcPr>
          <w:p w14:paraId="79C14614" w14:textId="77777777" w:rsidR="00AD1F54" w:rsidRPr="00264D5D" w:rsidRDefault="00AD1F54">
            <w:pPr>
              <w:widowControl w:val="0"/>
              <w:spacing w:before="60" w:after="60"/>
              <w:rPr>
                <w:sz w:val="22"/>
                <w:szCs w:val="22"/>
              </w:rPr>
            </w:pPr>
          </w:p>
        </w:tc>
      </w:tr>
      <w:tr w:rsidR="00AD1F54" w:rsidRPr="00264D5D" w14:paraId="32BB1504" w14:textId="77777777" w:rsidTr="002522F5">
        <w:trPr>
          <w:cnfStyle w:val="000000010000" w:firstRow="0" w:lastRow="0" w:firstColumn="0" w:lastColumn="0" w:oddVBand="0" w:evenVBand="0" w:oddHBand="0" w:evenHBand="1" w:firstRowFirstColumn="0" w:firstRowLastColumn="0" w:lastRowFirstColumn="0" w:lastRowLastColumn="0"/>
        </w:trPr>
        <w:tc>
          <w:tcPr>
            <w:tcW w:w="2556" w:type="dxa"/>
          </w:tcPr>
          <w:p w14:paraId="52F16972" w14:textId="77777777" w:rsidR="00AD1F54" w:rsidRPr="00264D5D" w:rsidRDefault="00941227">
            <w:pPr>
              <w:widowControl w:val="0"/>
              <w:spacing w:before="60" w:after="60"/>
              <w:rPr>
                <w:sz w:val="22"/>
                <w:szCs w:val="22"/>
              </w:rPr>
            </w:pPr>
            <w:r w:rsidRPr="00264D5D">
              <w:rPr>
                <w:sz w:val="22"/>
                <w:szCs w:val="22"/>
              </w:rPr>
              <w:t>ФО/ОУ ГВБФ</w:t>
            </w:r>
          </w:p>
        </w:tc>
        <w:tc>
          <w:tcPr>
            <w:tcW w:w="2556" w:type="dxa"/>
          </w:tcPr>
          <w:p w14:paraId="12670A97" w14:textId="77777777" w:rsidR="00AD1F54" w:rsidRPr="004F7B11" w:rsidRDefault="00941227">
            <w:pPr>
              <w:widowControl w:val="0"/>
              <w:spacing w:before="60" w:after="60"/>
              <w:rPr>
                <w:sz w:val="22"/>
                <w:szCs w:val="22"/>
              </w:rPr>
            </w:pPr>
            <w:r w:rsidRPr="004F7B11">
              <w:rPr>
                <w:sz w:val="22"/>
                <w:szCs w:val="22"/>
              </w:rPr>
              <w:t>ТОФК (ППО АСФК)</w:t>
            </w:r>
          </w:p>
        </w:tc>
        <w:tc>
          <w:tcPr>
            <w:tcW w:w="4538" w:type="dxa"/>
          </w:tcPr>
          <w:p w14:paraId="160E03F9" w14:textId="77777777" w:rsidR="00AD1F54" w:rsidRPr="00264D5D" w:rsidRDefault="00AD1F54">
            <w:pPr>
              <w:widowControl w:val="0"/>
              <w:spacing w:before="60" w:after="60"/>
              <w:rPr>
                <w:sz w:val="22"/>
                <w:szCs w:val="22"/>
              </w:rPr>
            </w:pPr>
          </w:p>
        </w:tc>
      </w:tr>
      <w:tr w:rsidR="00AD1F54" w:rsidRPr="00264D5D" w14:paraId="04A8FEAC" w14:textId="77777777" w:rsidTr="002522F5">
        <w:trPr>
          <w:cnfStyle w:val="000000100000" w:firstRow="0" w:lastRow="0" w:firstColumn="0" w:lastColumn="0" w:oddVBand="0" w:evenVBand="0" w:oddHBand="1" w:evenHBand="0" w:firstRowFirstColumn="0" w:firstRowLastColumn="0" w:lastRowFirstColumn="0" w:lastRowLastColumn="0"/>
        </w:trPr>
        <w:tc>
          <w:tcPr>
            <w:tcW w:w="2556" w:type="dxa"/>
          </w:tcPr>
          <w:p w14:paraId="4E21FEB6" w14:textId="77777777" w:rsidR="00AD1F54" w:rsidRPr="00264D5D" w:rsidRDefault="00941227">
            <w:pPr>
              <w:widowControl w:val="0"/>
              <w:spacing w:before="60" w:after="60"/>
              <w:rPr>
                <w:sz w:val="22"/>
                <w:szCs w:val="22"/>
              </w:rPr>
            </w:pPr>
            <w:r w:rsidRPr="00264D5D">
              <w:rPr>
                <w:sz w:val="22"/>
                <w:szCs w:val="22"/>
              </w:rPr>
              <w:t>МВУ ПУиО (ПФХД)</w:t>
            </w:r>
          </w:p>
        </w:tc>
        <w:tc>
          <w:tcPr>
            <w:tcW w:w="2556" w:type="dxa"/>
          </w:tcPr>
          <w:p w14:paraId="0935782B" w14:textId="77777777" w:rsidR="00AD1F54" w:rsidRPr="00264D5D" w:rsidRDefault="00941227">
            <w:pPr>
              <w:widowControl w:val="0"/>
              <w:spacing w:before="60" w:after="60"/>
              <w:rPr>
                <w:sz w:val="22"/>
                <w:szCs w:val="22"/>
              </w:rPr>
            </w:pPr>
            <w:r w:rsidRPr="00264D5D">
              <w:rPr>
                <w:sz w:val="22"/>
                <w:szCs w:val="22"/>
              </w:rPr>
              <w:t>ТОФК (ПУР ЭБ)</w:t>
            </w:r>
          </w:p>
        </w:tc>
        <w:tc>
          <w:tcPr>
            <w:tcW w:w="4538" w:type="dxa"/>
          </w:tcPr>
          <w:p w14:paraId="634FBA3F" w14:textId="77777777" w:rsidR="00AD1F54" w:rsidRPr="00264D5D" w:rsidRDefault="00AD1F54">
            <w:pPr>
              <w:widowControl w:val="0"/>
              <w:spacing w:before="60" w:after="60"/>
              <w:rPr>
                <w:sz w:val="22"/>
                <w:szCs w:val="22"/>
              </w:rPr>
            </w:pPr>
          </w:p>
        </w:tc>
      </w:tr>
      <w:tr w:rsidR="00AD1F54" w:rsidRPr="00264D5D" w14:paraId="7DDC72B3" w14:textId="77777777" w:rsidTr="002522F5">
        <w:trPr>
          <w:cnfStyle w:val="000000010000" w:firstRow="0" w:lastRow="0" w:firstColumn="0" w:lastColumn="0" w:oddVBand="0" w:evenVBand="0" w:oddHBand="0" w:evenHBand="1" w:firstRowFirstColumn="0" w:firstRowLastColumn="0" w:lastRowFirstColumn="0" w:lastRowLastColumn="0"/>
        </w:trPr>
        <w:tc>
          <w:tcPr>
            <w:tcW w:w="2556" w:type="dxa"/>
          </w:tcPr>
          <w:p w14:paraId="623EC2A8" w14:textId="77777777" w:rsidR="00AD1F54" w:rsidRPr="00264D5D" w:rsidRDefault="00941227">
            <w:pPr>
              <w:widowControl w:val="0"/>
              <w:spacing w:before="60" w:after="60"/>
              <w:rPr>
                <w:sz w:val="22"/>
                <w:szCs w:val="22"/>
              </w:rPr>
            </w:pPr>
            <w:r w:rsidRPr="00264D5D">
              <w:rPr>
                <w:sz w:val="22"/>
                <w:szCs w:val="22"/>
              </w:rPr>
              <w:t>МВУ ПУиО (ПФХД)</w:t>
            </w:r>
          </w:p>
        </w:tc>
        <w:tc>
          <w:tcPr>
            <w:tcW w:w="2556" w:type="dxa"/>
          </w:tcPr>
          <w:p w14:paraId="1CBE8D63" w14:textId="77777777" w:rsidR="00AD1F54" w:rsidRPr="00264D5D" w:rsidRDefault="00941227">
            <w:pPr>
              <w:widowControl w:val="0"/>
              <w:spacing w:before="60" w:after="60"/>
              <w:rPr>
                <w:sz w:val="22"/>
                <w:szCs w:val="22"/>
              </w:rPr>
            </w:pPr>
            <w:r w:rsidRPr="00264D5D">
              <w:rPr>
                <w:sz w:val="22"/>
                <w:szCs w:val="22"/>
              </w:rPr>
              <w:t>ТОФК (ППО АСФК)</w:t>
            </w:r>
          </w:p>
        </w:tc>
        <w:tc>
          <w:tcPr>
            <w:tcW w:w="4538" w:type="dxa"/>
          </w:tcPr>
          <w:p w14:paraId="5542C716" w14:textId="77777777" w:rsidR="00AD1F54" w:rsidRPr="00264D5D" w:rsidRDefault="00AD1F54">
            <w:pPr>
              <w:widowControl w:val="0"/>
              <w:spacing w:before="60" w:after="60"/>
              <w:rPr>
                <w:sz w:val="22"/>
                <w:szCs w:val="22"/>
              </w:rPr>
            </w:pPr>
          </w:p>
        </w:tc>
      </w:tr>
      <w:tr w:rsidR="002522F5" w:rsidRPr="00264D5D" w14:paraId="23CD91B6" w14:textId="77777777" w:rsidTr="002522F5">
        <w:trPr>
          <w:cnfStyle w:val="000000100000" w:firstRow="0" w:lastRow="0" w:firstColumn="0" w:lastColumn="0" w:oddVBand="0" w:evenVBand="0" w:oddHBand="1" w:evenHBand="0" w:firstRowFirstColumn="0" w:firstRowLastColumn="0" w:lastRowFirstColumn="0" w:lastRowLastColumn="0"/>
        </w:trPr>
        <w:tc>
          <w:tcPr>
            <w:tcW w:w="2556" w:type="dxa"/>
          </w:tcPr>
          <w:p w14:paraId="0D2949D2" w14:textId="77777777" w:rsidR="002522F5" w:rsidRPr="00264D5D" w:rsidRDefault="002522F5" w:rsidP="002522F5">
            <w:pPr>
              <w:widowControl w:val="0"/>
              <w:spacing w:before="60" w:after="60"/>
              <w:rPr>
                <w:sz w:val="22"/>
                <w:szCs w:val="22"/>
              </w:rPr>
            </w:pPr>
            <w:r w:rsidRPr="00264D5D">
              <w:rPr>
                <w:sz w:val="22"/>
                <w:szCs w:val="22"/>
              </w:rPr>
              <w:t>АИФДБ (ФТС, ФНС)</w:t>
            </w:r>
          </w:p>
        </w:tc>
        <w:tc>
          <w:tcPr>
            <w:tcW w:w="2556" w:type="dxa"/>
          </w:tcPr>
          <w:p w14:paraId="0401BC75" w14:textId="77777777" w:rsidR="002522F5" w:rsidRPr="00264D5D" w:rsidRDefault="002522F5" w:rsidP="002522F5">
            <w:pPr>
              <w:widowControl w:val="0"/>
              <w:spacing w:before="60" w:after="60"/>
              <w:rPr>
                <w:sz w:val="22"/>
                <w:szCs w:val="22"/>
              </w:rPr>
            </w:pPr>
            <w:r w:rsidRPr="00264D5D">
              <w:rPr>
                <w:sz w:val="22"/>
                <w:szCs w:val="22"/>
              </w:rPr>
              <w:t>ТОФК (ПУД ЭБ)</w:t>
            </w:r>
          </w:p>
        </w:tc>
        <w:tc>
          <w:tcPr>
            <w:tcW w:w="4538" w:type="dxa"/>
          </w:tcPr>
          <w:p w14:paraId="51A78CB3" w14:textId="77777777" w:rsidR="002522F5" w:rsidRPr="00264D5D" w:rsidRDefault="00601408" w:rsidP="002522F5">
            <w:pPr>
              <w:widowControl w:val="0"/>
              <w:spacing w:before="60" w:after="60"/>
              <w:rPr>
                <w:sz w:val="22"/>
                <w:szCs w:val="22"/>
              </w:rPr>
            </w:pPr>
            <w:r w:rsidRPr="00FB1065">
              <w:rPr>
                <w:sz w:val="22"/>
                <w:szCs w:val="22"/>
                <w:highlight w:val="green"/>
              </w:rPr>
              <w:t>Описание и структура документа приведены в альбоме «Требования к форматам обмена распоряжений о совершении казначейского платежа (перечисление на карты «МИР»), используемым при информационном взаимодействии между территориальными органами Федерального казначейства и участниками бюджетного процесса, бюджетными учреждениями, автономными учреждениями», где код массива «R</w:t>
            </w:r>
            <w:r w:rsidRPr="00FB1065">
              <w:rPr>
                <w:sz w:val="22"/>
                <w:szCs w:val="22"/>
                <w:highlight w:val="green"/>
                <w:lang w:val="en-US"/>
              </w:rPr>
              <w:t>SKP</w:t>
            </w:r>
            <w:r w:rsidRPr="00FB1065">
              <w:rPr>
                <w:sz w:val="22"/>
                <w:szCs w:val="22"/>
                <w:highlight w:val="green"/>
              </w:rPr>
              <w:t>_</w:t>
            </w:r>
            <w:r w:rsidRPr="00FB1065">
              <w:rPr>
                <w:sz w:val="22"/>
                <w:szCs w:val="22"/>
                <w:highlight w:val="green"/>
                <w:lang w:val="en-US"/>
              </w:rPr>
              <w:t>MIR</w:t>
            </w:r>
            <w:r w:rsidRPr="00FB1065">
              <w:rPr>
                <w:sz w:val="22"/>
                <w:szCs w:val="22"/>
                <w:highlight w:val="green"/>
              </w:rPr>
              <w:t>»</w:t>
            </w:r>
          </w:p>
        </w:tc>
      </w:tr>
      <w:tr w:rsidR="00AB76F3" w:rsidRPr="00264D5D" w14:paraId="7615A3A1" w14:textId="77777777" w:rsidTr="002522F5">
        <w:trPr>
          <w:cnfStyle w:val="000000010000" w:firstRow="0" w:lastRow="0" w:firstColumn="0" w:lastColumn="0" w:oddVBand="0" w:evenVBand="0" w:oddHBand="0" w:evenHBand="1" w:firstRowFirstColumn="0" w:firstRowLastColumn="0" w:lastRowFirstColumn="0" w:lastRowLastColumn="0"/>
        </w:trPr>
        <w:tc>
          <w:tcPr>
            <w:tcW w:w="2556" w:type="dxa"/>
          </w:tcPr>
          <w:p w14:paraId="205BAF10" w14:textId="77777777" w:rsidR="00AB76F3" w:rsidRPr="00570ADA" w:rsidRDefault="00AB76F3" w:rsidP="00601408">
            <w:pPr>
              <w:widowControl w:val="0"/>
              <w:rPr>
                <w:sz w:val="22"/>
                <w:szCs w:val="22"/>
              </w:rPr>
            </w:pPr>
            <w:r>
              <w:rPr>
                <w:sz w:val="22"/>
                <w:szCs w:val="22"/>
                <w:highlight w:val="green"/>
              </w:rPr>
              <w:t>ТОФК (ПУД ЭБ)</w:t>
            </w:r>
          </w:p>
        </w:tc>
        <w:tc>
          <w:tcPr>
            <w:tcW w:w="2556" w:type="dxa"/>
          </w:tcPr>
          <w:p w14:paraId="7857B846" w14:textId="77777777" w:rsidR="00AB76F3" w:rsidRPr="00570ADA" w:rsidRDefault="00AB76F3" w:rsidP="00601408">
            <w:pPr>
              <w:widowControl w:val="0"/>
              <w:rPr>
                <w:sz w:val="22"/>
                <w:szCs w:val="22"/>
              </w:rPr>
            </w:pPr>
            <w:r w:rsidRPr="00570ADA">
              <w:rPr>
                <w:sz w:val="22"/>
                <w:szCs w:val="22"/>
                <w:highlight w:val="green"/>
              </w:rPr>
              <w:t>ПИАО ЭБ</w:t>
            </w:r>
          </w:p>
        </w:tc>
        <w:tc>
          <w:tcPr>
            <w:tcW w:w="4538" w:type="dxa"/>
            <w:vMerge w:val="restart"/>
          </w:tcPr>
          <w:p w14:paraId="03C9F651" w14:textId="77777777" w:rsidR="00AB76F3" w:rsidRPr="00570ADA" w:rsidRDefault="00AB76F3" w:rsidP="00601408">
            <w:pPr>
              <w:widowControl w:val="0"/>
              <w:spacing w:before="60" w:after="60"/>
              <w:rPr>
                <w:sz w:val="22"/>
                <w:szCs w:val="22"/>
                <w:highlight w:val="green"/>
              </w:rPr>
            </w:pPr>
            <w:r w:rsidRPr="00570ADA">
              <w:rPr>
                <w:sz w:val="22"/>
                <w:szCs w:val="22"/>
                <w:highlight w:val="green"/>
              </w:rPr>
              <w:t>Передается только в виде вложения в блоке «attachments» к документу «Выписка из лицевого счета администратора поступлений»</w:t>
            </w:r>
          </w:p>
          <w:p w14:paraId="58454FDD" w14:textId="2DAF47CB" w:rsidR="00AB76F3" w:rsidRPr="00570ADA" w:rsidRDefault="00AB76F3" w:rsidP="00601408">
            <w:pPr>
              <w:widowControl w:val="0"/>
              <w:spacing w:before="60" w:after="60"/>
              <w:rPr>
                <w:sz w:val="22"/>
                <w:szCs w:val="22"/>
                <w:highlight w:val="green"/>
              </w:rPr>
            </w:pPr>
            <w:r w:rsidRPr="00FB1065">
              <w:rPr>
                <w:sz w:val="22"/>
                <w:szCs w:val="22"/>
                <w:highlight w:val="green"/>
              </w:rPr>
              <w:t xml:space="preserve">Описание и структура документа приведены в альбоме «Требования к форматам обмена распоряжений о совершении казначейского платежа (перечисление на карты «МИР»), используемым при информационном </w:t>
            </w:r>
            <w:r w:rsidRPr="00FB1065">
              <w:rPr>
                <w:sz w:val="22"/>
                <w:szCs w:val="22"/>
                <w:highlight w:val="green"/>
              </w:rPr>
              <w:lastRenderedPageBreak/>
              <w:t>взаимодействии между территориальными органами Федерального казначейства и участниками бюджетного процесса, бюджетными учреждениями, автономными учреждениями», где код массива «R</w:t>
            </w:r>
            <w:r w:rsidRPr="00FB1065">
              <w:rPr>
                <w:sz w:val="22"/>
                <w:szCs w:val="22"/>
                <w:highlight w:val="green"/>
                <w:lang w:val="en-US"/>
              </w:rPr>
              <w:t>SKP</w:t>
            </w:r>
            <w:r w:rsidRPr="00FB1065">
              <w:rPr>
                <w:sz w:val="22"/>
                <w:szCs w:val="22"/>
                <w:highlight w:val="green"/>
              </w:rPr>
              <w:t>_</w:t>
            </w:r>
            <w:r w:rsidRPr="00FB1065">
              <w:rPr>
                <w:sz w:val="22"/>
                <w:szCs w:val="22"/>
                <w:highlight w:val="green"/>
                <w:lang w:val="en-US"/>
              </w:rPr>
              <w:t>MIR</w:t>
            </w:r>
            <w:r w:rsidRPr="00FB1065">
              <w:rPr>
                <w:sz w:val="22"/>
                <w:szCs w:val="22"/>
                <w:highlight w:val="green"/>
              </w:rPr>
              <w:t>»</w:t>
            </w:r>
          </w:p>
        </w:tc>
      </w:tr>
      <w:tr w:rsidR="00AB76F3" w:rsidRPr="00264D5D" w14:paraId="799796B4" w14:textId="77777777" w:rsidTr="002522F5">
        <w:trPr>
          <w:cnfStyle w:val="000000100000" w:firstRow="0" w:lastRow="0" w:firstColumn="0" w:lastColumn="0" w:oddVBand="0" w:evenVBand="0" w:oddHBand="1" w:evenHBand="0" w:firstRowFirstColumn="0" w:firstRowLastColumn="0" w:lastRowFirstColumn="0" w:lastRowLastColumn="0"/>
        </w:trPr>
        <w:tc>
          <w:tcPr>
            <w:tcW w:w="2556" w:type="dxa"/>
          </w:tcPr>
          <w:p w14:paraId="3733493B" w14:textId="77777777" w:rsidR="00AB76F3" w:rsidRPr="00E843EA" w:rsidRDefault="00AB76F3" w:rsidP="00601408">
            <w:pPr>
              <w:widowControl w:val="0"/>
              <w:rPr>
                <w:sz w:val="22"/>
                <w:szCs w:val="22"/>
                <w:highlight w:val="green"/>
              </w:rPr>
            </w:pPr>
            <w:r>
              <w:rPr>
                <w:sz w:val="22"/>
                <w:szCs w:val="22"/>
                <w:highlight w:val="green"/>
              </w:rPr>
              <w:t>ТОФК (ПУД ЭБ)</w:t>
            </w:r>
          </w:p>
        </w:tc>
        <w:tc>
          <w:tcPr>
            <w:tcW w:w="2556" w:type="dxa"/>
          </w:tcPr>
          <w:p w14:paraId="458D2C15" w14:textId="77777777" w:rsidR="00AB76F3" w:rsidRPr="00E55652" w:rsidRDefault="00AB76F3" w:rsidP="00601408">
            <w:pPr>
              <w:widowControl w:val="0"/>
              <w:rPr>
                <w:sz w:val="22"/>
                <w:szCs w:val="22"/>
                <w:highlight w:val="green"/>
              </w:rPr>
            </w:pPr>
            <w:r w:rsidRPr="00F94C8B">
              <w:rPr>
                <w:sz w:val="22"/>
                <w:szCs w:val="22"/>
                <w:highlight w:val="green"/>
              </w:rPr>
              <w:t>АИФДБ (ФТС, ФНС)</w:t>
            </w:r>
          </w:p>
        </w:tc>
        <w:tc>
          <w:tcPr>
            <w:tcW w:w="4538" w:type="dxa"/>
            <w:vMerge/>
          </w:tcPr>
          <w:p w14:paraId="53E0FEB0" w14:textId="50B9D269" w:rsidR="00AB76F3" w:rsidRPr="00601408" w:rsidRDefault="00AB76F3" w:rsidP="00601408">
            <w:pPr>
              <w:widowControl w:val="0"/>
              <w:spacing w:before="60" w:after="60"/>
              <w:rPr>
                <w:sz w:val="22"/>
                <w:szCs w:val="22"/>
                <w:highlight w:val="green"/>
              </w:rPr>
            </w:pPr>
          </w:p>
        </w:tc>
      </w:tr>
      <w:tr w:rsidR="004F7B11" w:rsidRPr="00264D5D" w14:paraId="4A0E2013" w14:textId="77777777" w:rsidTr="002522F5">
        <w:trPr>
          <w:cnfStyle w:val="000000010000" w:firstRow="0" w:lastRow="0" w:firstColumn="0" w:lastColumn="0" w:oddVBand="0" w:evenVBand="0" w:oddHBand="0" w:evenHBand="1" w:firstRowFirstColumn="0" w:firstRowLastColumn="0" w:lastRowFirstColumn="0" w:lastRowLastColumn="0"/>
        </w:trPr>
        <w:tc>
          <w:tcPr>
            <w:tcW w:w="2556" w:type="dxa"/>
          </w:tcPr>
          <w:p w14:paraId="477D5F64" w14:textId="77777777" w:rsidR="004F7B11" w:rsidRPr="00A87E1B" w:rsidRDefault="004F7B11" w:rsidP="004F7B11">
            <w:pPr>
              <w:pStyle w:val="GOSTTablenorm"/>
              <w:rPr>
                <w:highlight w:val="green"/>
              </w:rPr>
            </w:pPr>
            <w:r>
              <w:rPr>
                <w:highlight w:val="green"/>
              </w:rPr>
              <w:lastRenderedPageBreak/>
              <w:t>ПБС</w:t>
            </w:r>
          </w:p>
        </w:tc>
        <w:tc>
          <w:tcPr>
            <w:tcW w:w="2556" w:type="dxa"/>
          </w:tcPr>
          <w:p w14:paraId="2FC15DAA" w14:textId="77777777" w:rsidR="004F7B11" w:rsidRPr="00A87E1B" w:rsidRDefault="004F7B11" w:rsidP="004F7B11">
            <w:pPr>
              <w:pStyle w:val="GOSTTablenorm"/>
              <w:rPr>
                <w:highlight w:val="green"/>
              </w:rPr>
            </w:pPr>
            <w:r w:rsidRPr="004516E8">
              <w:rPr>
                <w:szCs w:val="22"/>
                <w:highlight w:val="green"/>
              </w:rPr>
              <w:t>ТОФК (ПУР ЭБ)</w:t>
            </w:r>
          </w:p>
        </w:tc>
        <w:tc>
          <w:tcPr>
            <w:tcW w:w="4538" w:type="dxa"/>
          </w:tcPr>
          <w:p w14:paraId="28331089" w14:textId="77777777" w:rsidR="004F7B11" w:rsidRPr="00CD5EF5" w:rsidRDefault="004F7B11" w:rsidP="004F7B11">
            <w:pPr>
              <w:pStyle w:val="GOSTTablenorm"/>
            </w:pPr>
          </w:p>
        </w:tc>
      </w:tr>
    </w:tbl>
    <w:p w14:paraId="1AF15D9C" w14:textId="77777777" w:rsidR="00AD1F54" w:rsidRPr="00601408" w:rsidRDefault="00941227">
      <w:pPr>
        <w:pStyle w:val="31"/>
        <w:rPr>
          <w:highlight w:val="green"/>
        </w:rPr>
      </w:pPr>
      <w:bookmarkStart w:id="1838" w:name="_Toc481690838"/>
      <w:bookmarkStart w:id="1839" w:name="_Toc219309645"/>
      <w:r w:rsidRPr="00601408">
        <w:rPr>
          <w:highlight w:val="green"/>
        </w:rPr>
        <w:t>Описание комплексного типа «tOrder_Mir»</w:t>
      </w:r>
      <w:bookmarkEnd w:id="1838"/>
      <w:bookmarkEnd w:id="1839"/>
    </w:p>
    <w:p w14:paraId="38A0E1F2" w14:textId="76A6A321" w:rsidR="00AD1F54" w:rsidRPr="00601408" w:rsidRDefault="00941227">
      <w:pPr>
        <w:pStyle w:val="GOSTNameTable"/>
        <w:widowControl w:val="0"/>
        <w:numPr>
          <w:ilvl w:val="0"/>
          <w:numId w:val="2"/>
        </w:numPr>
        <w:ind w:left="425" w:hanging="357"/>
        <w:rPr>
          <w:rFonts w:eastAsia="Calibri"/>
          <w:szCs w:val="24"/>
          <w:highlight w:val="green"/>
        </w:rPr>
      </w:pPr>
      <w:r w:rsidRPr="00601408">
        <w:rPr>
          <w:rFonts w:eastAsia="Calibri"/>
          <w:szCs w:val="24"/>
          <w:highlight w:val="green"/>
        </w:rPr>
        <w:fldChar w:fldCharType="begin"/>
      </w:r>
      <w:r w:rsidRPr="00601408">
        <w:rPr>
          <w:rFonts w:eastAsia="Calibri"/>
          <w:szCs w:val="24"/>
          <w:highlight w:val="green"/>
        </w:rPr>
        <w:instrText xml:space="preserve"> SEQ Таблица \* ARABIC </w:instrText>
      </w:r>
      <w:r w:rsidRPr="00601408">
        <w:rPr>
          <w:rFonts w:eastAsia="Calibri"/>
          <w:szCs w:val="24"/>
          <w:highlight w:val="green"/>
        </w:rPr>
        <w:fldChar w:fldCharType="separate"/>
      </w:r>
      <w:bookmarkStart w:id="1840" w:name="_Toc30503368"/>
      <w:bookmarkStart w:id="1841" w:name="_Toc30507966"/>
      <w:bookmarkStart w:id="1842" w:name="_Toc219309217"/>
      <w:r w:rsidR="008D797C">
        <w:rPr>
          <w:rFonts w:eastAsia="Calibri"/>
          <w:noProof/>
          <w:szCs w:val="24"/>
          <w:highlight w:val="green"/>
        </w:rPr>
        <w:t>187</w:t>
      </w:r>
      <w:r w:rsidRPr="00601408">
        <w:rPr>
          <w:rFonts w:eastAsia="Calibri"/>
          <w:szCs w:val="24"/>
          <w:highlight w:val="green"/>
        </w:rPr>
        <w:fldChar w:fldCharType="end"/>
      </w:r>
      <w:r w:rsidRPr="00601408">
        <w:rPr>
          <w:rFonts w:eastAsia="Calibri"/>
          <w:szCs w:val="24"/>
          <w:highlight w:val="green"/>
        </w:rPr>
        <w:t xml:space="preserve"> – </w:t>
      </w:r>
      <w:r w:rsidRPr="00601408">
        <w:rPr>
          <w:szCs w:val="24"/>
          <w:highlight w:val="green"/>
        </w:rPr>
        <w:t>Описание комплексного типа «tOrder_Mir»</w:t>
      </w:r>
      <w:bookmarkEnd w:id="1840"/>
      <w:bookmarkEnd w:id="1841"/>
      <w:bookmarkEnd w:id="1842"/>
    </w:p>
    <w:tbl>
      <w:tblPr>
        <w:tblStyle w:val="GOSTTable"/>
        <w:tblW w:w="9634" w:type="dxa"/>
        <w:tblLayout w:type="fixed"/>
        <w:tblLook w:val="04A0" w:firstRow="1" w:lastRow="0" w:firstColumn="1" w:lastColumn="0" w:noHBand="0" w:noVBand="1"/>
      </w:tblPr>
      <w:tblGrid>
        <w:gridCol w:w="1701"/>
        <w:gridCol w:w="1701"/>
        <w:gridCol w:w="567"/>
        <w:gridCol w:w="1134"/>
        <w:gridCol w:w="567"/>
        <w:gridCol w:w="3964"/>
      </w:tblGrid>
      <w:tr w:rsidR="00AD1F54" w:rsidRPr="00264D5D" w14:paraId="7E92B0A3" w14:textId="77777777" w:rsidTr="00132BD7">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0F08C434" w14:textId="77777777" w:rsidR="00AD1F54" w:rsidRPr="00264D5D" w:rsidRDefault="00941227">
            <w:pPr>
              <w:widowControl w:val="0"/>
              <w:spacing w:before="60" w:after="60"/>
              <w:jc w:val="center"/>
              <w:rPr>
                <w:b/>
                <w:bCs/>
                <w:sz w:val="22"/>
                <w:szCs w:val="22"/>
              </w:rPr>
            </w:pPr>
            <w:r w:rsidRPr="00264D5D">
              <w:rPr>
                <w:b/>
                <w:bCs/>
                <w:sz w:val="22"/>
                <w:szCs w:val="22"/>
              </w:rPr>
              <w:t>Наименование элемента</w:t>
            </w:r>
          </w:p>
        </w:tc>
        <w:tc>
          <w:tcPr>
            <w:tcW w:w="1701" w:type="dxa"/>
          </w:tcPr>
          <w:p w14:paraId="5E5BB6B6" w14:textId="77777777" w:rsidR="00AD1F54" w:rsidRPr="00264D5D" w:rsidRDefault="00941227">
            <w:pPr>
              <w:widowControl w:val="0"/>
              <w:spacing w:before="60" w:after="60"/>
              <w:jc w:val="center"/>
              <w:rPr>
                <w:b/>
                <w:bCs/>
                <w:sz w:val="22"/>
                <w:szCs w:val="22"/>
              </w:rPr>
            </w:pPr>
            <w:r w:rsidRPr="00264D5D">
              <w:rPr>
                <w:b/>
                <w:bCs/>
                <w:sz w:val="22"/>
                <w:szCs w:val="22"/>
              </w:rPr>
              <w:t>Сокращенное наименование (код) элемента</w:t>
            </w:r>
          </w:p>
        </w:tc>
        <w:tc>
          <w:tcPr>
            <w:tcW w:w="567" w:type="dxa"/>
          </w:tcPr>
          <w:p w14:paraId="7F7D4A51" w14:textId="77777777" w:rsidR="00AD1F54" w:rsidRPr="00264D5D" w:rsidRDefault="00941227">
            <w:pPr>
              <w:widowControl w:val="0"/>
              <w:spacing w:before="60" w:after="60"/>
              <w:jc w:val="center"/>
              <w:rPr>
                <w:b/>
                <w:sz w:val="22"/>
                <w:szCs w:val="22"/>
              </w:rPr>
            </w:pPr>
            <w:r w:rsidRPr="00264D5D">
              <w:rPr>
                <w:b/>
                <w:bCs/>
                <w:sz w:val="22"/>
                <w:szCs w:val="22"/>
              </w:rPr>
              <w:t>Тип</w:t>
            </w:r>
          </w:p>
        </w:tc>
        <w:tc>
          <w:tcPr>
            <w:tcW w:w="1134" w:type="dxa"/>
          </w:tcPr>
          <w:p w14:paraId="0498FC57" w14:textId="77777777" w:rsidR="00AD1F54" w:rsidRPr="00264D5D" w:rsidRDefault="00941227">
            <w:pPr>
              <w:widowControl w:val="0"/>
              <w:spacing w:before="60" w:after="60"/>
              <w:jc w:val="center"/>
              <w:rPr>
                <w:b/>
                <w:sz w:val="22"/>
                <w:szCs w:val="22"/>
              </w:rPr>
            </w:pPr>
            <w:r w:rsidRPr="00264D5D">
              <w:rPr>
                <w:b/>
                <w:bCs/>
                <w:sz w:val="22"/>
                <w:szCs w:val="22"/>
              </w:rPr>
              <w:t>Формат элемента</w:t>
            </w:r>
          </w:p>
        </w:tc>
        <w:tc>
          <w:tcPr>
            <w:tcW w:w="567" w:type="dxa"/>
          </w:tcPr>
          <w:p w14:paraId="7C155345" w14:textId="77777777" w:rsidR="00AD1F54" w:rsidRPr="00264D5D" w:rsidRDefault="00941227">
            <w:pPr>
              <w:widowControl w:val="0"/>
              <w:spacing w:before="60" w:after="60"/>
              <w:jc w:val="center"/>
              <w:rPr>
                <w:b/>
                <w:sz w:val="22"/>
                <w:szCs w:val="22"/>
              </w:rPr>
            </w:pPr>
            <w:r w:rsidRPr="00264D5D">
              <w:rPr>
                <w:b/>
                <w:bCs/>
                <w:sz w:val="22"/>
                <w:szCs w:val="22"/>
              </w:rPr>
              <w:t>Обязательность</w:t>
            </w:r>
          </w:p>
        </w:tc>
        <w:tc>
          <w:tcPr>
            <w:tcW w:w="3964" w:type="dxa"/>
          </w:tcPr>
          <w:p w14:paraId="59286AB6" w14:textId="77777777" w:rsidR="00AD1F54" w:rsidRPr="00264D5D" w:rsidRDefault="00941227">
            <w:pPr>
              <w:widowControl w:val="0"/>
              <w:spacing w:before="60" w:after="60"/>
              <w:jc w:val="center"/>
              <w:rPr>
                <w:b/>
                <w:bCs/>
                <w:sz w:val="22"/>
                <w:szCs w:val="22"/>
              </w:rPr>
            </w:pPr>
            <w:r w:rsidRPr="00264D5D">
              <w:rPr>
                <w:b/>
                <w:bCs/>
                <w:sz w:val="22"/>
                <w:szCs w:val="22"/>
              </w:rPr>
              <w:t>Дополнительная информация</w:t>
            </w:r>
          </w:p>
        </w:tc>
      </w:tr>
      <w:tr w:rsidR="00132BD7" w:rsidRPr="00264D5D" w14:paraId="3C3EFC52" w14:textId="77777777" w:rsidTr="00132BD7">
        <w:trPr>
          <w:cnfStyle w:val="000000100000" w:firstRow="0" w:lastRow="0" w:firstColumn="0" w:lastColumn="0" w:oddVBand="0" w:evenVBand="0" w:oddHBand="1" w:evenHBand="0" w:firstRowFirstColumn="0" w:firstRowLastColumn="0" w:lastRowFirstColumn="0" w:lastRowLastColumn="0"/>
        </w:trPr>
        <w:tc>
          <w:tcPr>
            <w:tcW w:w="1701" w:type="dxa"/>
          </w:tcPr>
          <w:p w14:paraId="5C8F6C54" w14:textId="77777777" w:rsidR="00132BD7" w:rsidRPr="00264D5D" w:rsidRDefault="00132BD7" w:rsidP="00132BD7">
            <w:pPr>
              <w:widowControl w:val="0"/>
              <w:spacing w:before="60" w:after="60"/>
              <w:rPr>
                <w:sz w:val="22"/>
                <w:szCs w:val="22"/>
              </w:rPr>
            </w:pPr>
            <w:r w:rsidRPr="00264D5D">
              <w:rPr>
                <w:sz w:val="22"/>
                <w:szCs w:val="22"/>
              </w:rPr>
              <w:t>Версия структуры формуляра</w:t>
            </w:r>
          </w:p>
        </w:tc>
        <w:tc>
          <w:tcPr>
            <w:tcW w:w="1701" w:type="dxa"/>
          </w:tcPr>
          <w:p w14:paraId="053BA9F6" w14:textId="77777777" w:rsidR="00132BD7" w:rsidRPr="00264D5D" w:rsidRDefault="00132BD7" w:rsidP="00132BD7">
            <w:pPr>
              <w:widowControl w:val="0"/>
              <w:spacing w:before="60" w:after="60"/>
              <w:jc w:val="left"/>
              <w:rPr>
                <w:sz w:val="22"/>
                <w:szCs w:val="22"/>
              </w:rPr>
            </w:pPr>
            <w:r w:rsidRPr="00264D5D">
              <w:rPr>
                <w:sz w:val="22"/>
                <w:szCs w:val="22"/>
              </w:rPr>
              <w:t>versionID</w:t>
            </w:r>
          </w:p>
        </w:tc>
        <w:tc>
          <w:tcPr>
            <w:tcW w:w="567" w:type="dxa"/>
          </w:tcPr>
          <w:p w14:paraId="5CF3F4DE" w14:textId="77777777" w:rsidR="00132BD7" w:rsidRPr="00264D5D" w:rsidRDefault="00132BD7" w:rsidP="00132BD7">
            <w:pPr>
              <w:widowControl w:val="0"/>
              <w:spacing w:before="60" w:after="60"/>
              <w:jc w:val="center"/>
              <w:rPr>
                <w:sz w:val="22"/>
                <w:szCs w:val="22"/>
              </w:rPr>
            </w:pPr>
            <w:r w:rsidRPr="00264D5D">
              <w:rPr>
                <w:sz w:val="22"/>
                <w:szCs w:val="22"/>
                <w:lang w:val="en-US"/>
              </w:rPr>
              <w:t>А</w:t>
            </w:r>
          </w:p>
        </w:tc>
        <w:tc>
          <w:tcPr>
            <w:tcW w:w="1134" w:type="dxa"/>
          </w:tcPr>
          <w:p w14:paraId="1605D2D3" w14:textId="77777777" w:rsidR="00132BD7" w:rsidRPr="00264D5D" w:rsidRDefault="00132BD7" w:rsidP="00132BD7">
            <w:pPr>
              <w:widowControl w:val="0"/>
              <w:spacing w:before="60" w:after="60"/>
              <w:jc w:val="left"/>
              <w:rPr>
                <w:sz w:val="22"/>
                <w:szCs w:val="22"/>
              </w:rPr>
            </w:pPr>
            <w:r w:rsidRPr="00264D5D">
              <w:rPr>
                <w:sz w:val="22"/>
                <w:szCs w:val="22"/>
              </w:rPr>
              <w:t>-</w:t>
            </w:r>
          </w:p>
        </w:tc>
        <w:tc>
          <w:tcPr>
            <w:tcW w:w="567" w:type="dxa"/>
          </w:tcPr>
          <w:p w14:paraId="7875AAE3" w14:textId="77777777" w:rsidR="00132BD7" w:rsidRPr="00264D5D" w:rsidRDefault="00132BD7" w:rsidP="00132BD7">
            <w:pPr>
              <w:widowControl w:val="0"/>
              <w:spacing w:before="60" w:after="60"/>
              <w:jc w:val="center"/>
              <w:rPr>
                <w:sz w:val="22"/>
                <w:szCs w:val="22"/>
              </w:rPr>
            </w:pPr>
            <w:r w:rsidRPr="00264D5D">
              <w:rPr>
                <w:sz w:val="22"/>
                <w:szCs w:val="22"/>
              </w:rPr>
              <w:t>О</w:t>
            </w:r>
          </w:p>
        </w:tc>
        <w:tc>
          <w:tcPr>
            <w:tcW w:w="3964" w:type="dxa"/>
          </w:tcPr>
          <w:p w14:paraId="5529B62F" w14:textId="17930CB9" w:rsidR="00132BD7" w:rsidRPr="00264D5D" w:rsidRDefault="00132BD7" w:rsidP="00132BD7">
            <w:pPr>
              <w:widowControl w:val="0"/>
              <w:spacing w:before="60" w:after="60"/>
              <w:rPr>
                <w:sz w:val="22"/>
                <w:szCs w:val="22"/>
              </w:rPr>
            </w:pPr>
            <w:r w:rsidRPr="00264D5D">
              <w:rPr>
                <w:sz w:val="22"/>
                <w:szCs w:val="22"/>
                <w:lang w:eastAsia="en-US"/>
              </w:rPr>
              <w:t xml:space="preserve">Указывается значение версии, соответствующее таблице </w:t>
            </w:r>
            <w:r w:rsidRPr="00264D5D">
              <w:rPr>
                <w:sz w:val="22"/>
                <w:szCs w:val="22"/>
              </w:rPr>
              <w:fldChar w:fldCharType="begin"/>
            </w:r>
            <w:r w:rsidRPr="00264D5D">
              <w:rPr>
                <w:sz w:val="22"/>
                <w:szCs w:val="22"/>
                <w:lang w:eastAsia="en-US"/>
              </w:rPr>
              <w:instrText xml:space="preserve"> REF _Ref19881821 \h </w:instrText>
            </w:r>
            <w:r w:rsidRPr="00264D5D">
              <w:rPr>
                <w:sz w:val="22"/>
                <w:szCs w:val="22"/>
              </w:rPr>
              <w:instrText xml:space="preserve"> \* MERGEFORMAT </w:instrText>
            </w:r>
            <w:r w:rsidRPr="00264D5D">
              <w:rPr>
                <w:sz w:val="22"/>
                <w:szCs w:val="22"/>
              </w:rPr>
            </w:r>
            <w:r w:rsidRPr="00264D5D">
              <w:rPr>
                <w:sz w:val="22"/>
                <w:szCs w:val="22"/>
              </w:rPr>
              <w:fldChar w:fldCharType="separate"/>
            </w:r>
            <w:r w:rsidR="008D797C" w:rsidRPr="008D797C">
              <w:rPr>
                <w:rFonts w:eastAsia="Calibri"/>
                <w:sz w:val="22"/>
                <w:szCs w:val="22"/>
              </w:rPr>
              <w:t>2</w:t>
            </w:r>
            <w:r w:rsidRPr="00264D5D">
              <w:rPr>
                <w:sz w:val="22"/>
                <w:szCs w:val="22"/>
              </w:rPr>
              <w:fldChar w:fldCharType="end"/>
            </w:r>
          </w:p>
        </w:tc>
      </w:tr>
      <w:tr w:rsidR="00132BD7" w:rsidRPr="00264D5D" w14:paraId="7ED63238" w14:textId="77777777" w:rsidTr="00132BD7">
        <w:trPr>
          <w:cnfStyle w:val="000000010000" w:firstRow="0" w:lastRow="0" w:firstColumn="0" w:lastColumn="0" w:oddVBand="0" w:evenVBand="0" w:oddHBand="0" w:evenHBand="1" w:firstRowFirstColumn="0" w:firstRowLastColumn="0" w:lastRowFirstColumn="0" w:lastRowLastColumn="0"/>
          <w:trHeight w:val="343"/>
        </w:trPr>
        <w:tc>
          <w:tcPr>
            <w:tcW w:w="9634" w:type="dxa"/>
            <w:gridSpan w:val="6"/>
          </w:tcPr>
          <w:p w14:paraId="5762A80F" w14:textId="77777777" w:rsidR="00132BD7" w:rsidRPr="00264D5D" w:rsidRDefault="00132BD7" w:rsidP="00132BD7">
            <w:pPr>
              <w:widowControl w:val="0"/>
              <w:spacing w:before="60" w:after="60"/>
              <w:rPr>
                <w:b/>
                <w:sz w:val="22"/>
                <w:szCs w:val="22"/>
              </w:rPr>
            </w:pPr>
            <w:r w:rsidRPr="00264D5D">
              <w:rPr>
                <w:b/>
                <w:sz w:val="22"/>
                <w:szCs w:val="22"/>
              </w:rPr>
              <w:t>Основная информация</w:t>
            </w:r>
          </w:p>
        </w:tc>
      </w:tr>
      <w:tr w:rsidR="00132BD7" w:rsidRPr="00264D5D" w14:paraId="26CE4FA1" w14:textId="77777777" w:rsidTr="00132BD7">
        <w:trPr>
          <w:cnfStyle w:val="000000100000" w:firstRow="0" w:lastRow="0" w:firstColumn="0" w:lastColumn="0" w:oddVBand="0" w:evenVBand="0" w:oddHBand="1" w:evenHBand="0" w:firstRowFirstColumn="0" w:firstRowLastColumn="0" w:lastRowFirstColumn="0" w:lastRowLastColumn="0"/>
          <w:trHeight w:val="1110"/>
        </w:trPr>
        <w:tc>
          <w:tcPr>
            <w:tcW w:w="1701" w:type="dxa"/>
          </w:tcPr>
          <w:p w14:paraId="7A518853" w14:textId="77777777" w:rsidR="00132BD7" w:rsidRPr="00264D5D" w:rsidRDefault="00132BD7" w:rsidP="00132BD7">
            <w:pPr>
              <w:widowControl w:val="0"/>
              <w:spacing w:before="60" w:after="60"/>
              <w:rPr>
                <w:sz w:val="22"/>
                <w:szCs w:val="22"/>
              </w:rPr>
            </w:pPr>
            <w:r w:rsidRPr="00264D5D">
              <w:rPr>
                <w:sz w:val="22"/>
                <w:szCs w:val="22"/>
              </w:rPr>
              <w:t>Глобальный уникальный идентификатор</w:t>
            </w:r>
          </w:p>
        </w:tc>
        <w:tc>
          <w:tcPr>
            <w:tcW w:w="1701" w:type="dxa"/>
          </w:tcPr>
          <w:p w14:paraId="24E7CD44" w14:textId="77777777" w:rsidR="00132BD7" w:rsidRPr="00264D5D" w:rsidRDefault="00132BD7" w:rsidP="00132BD7">
            <w:pPr>
              <w:widowControl w:val="0"/>
              <w:spacing w:before="60" w:after="60"/>
              <w:rPr>
                <w:sz w:val="22"/>
                <w:szCs w:val="22"/>
                <w:lang w:val="en-US"/>
              </w:rPr>
            </w:pPr>
            <w:r w:rsidRPr="00264D5D">
              <w:rPr>
                <w:sz w:val="22"/>
                <w:szCs w:val="22"/>
              </w:rPr>
              <w:t>GUID</w:t>
            </w:r>
          </w:p>
        </w:tc>
        <w:tc>
          <w:tcPr>
            <w:tcW w:w="567" w:type="dxa"/>
          </w:tcPr>
          <w:p w14:paraId="6BBA7FF1" w14:textId="77777777" w:rsidR="00132BD7" w:rsidRPr="00264D5D" w:rsidRDefault="00132BD7" w:rsidP="00132BD7">
            <w:pPr>
              <w:widowControl w:val="0"/>
              <w:spacing w:before="60" w:after="60"/>
              <w:jc w:val="center"/>
              <w:rPr>
                <w:sz w:val="22"/>
                <w:szCs w:val="22"/>
              </w:rPr>
            </w:pPr>
            <w:r w:rsidRPr="00264D5D">
              <w:rPr>
                <w:sz w:val="22"/>
                <w:szCs w:val="22"/>
              </w:rPr>
              <w:t>П</w:t>
            </w:r>
          </w:p>
        </w:tc>
        <w:tc>
          <w:tcPr>
            <w:tcW w:w="1134" w:type="dxa"/>
          </w:tcPr>
          <w:p w14:paraId="6CCB4360" w14:textId="77777777" w:rsidR="00132BD7" w:rsidRPr="00264D5D" w:rsidRDefault="00132BD7" w:rsidP="00132BD7">
            <w:pPr>
              <w:widowControl w:val="0"/>
              <w:spacing w:before="60" w:after="60"/>
              <w:jc w:val="left"/>
              <w:rPr>
                <w:sz w:val="22"/>
                <w:szCs w:val="22"/>
              </w:rPr>
            </w:pPr>
            <w:r w:rsidRPr="00264D5D">
              <w:rPr>
                <w:sz w:val="22"/>
                <w:szCs w:val="22"/>
              </w:rPr>
              <w:t>Т(36)</w:t>
            </w:r>
          </w:p>
        </w:tc>
        <w:tc>
          <w:tcPr>
            <w:tcW w:w="567" w:type="dxa"/>
          </w:tcPr>
          <w:p w14:paraId="4CE49968" w14:textId="77777777" w:rsidR="00132BD7" w:rsidRPr="00264D5D" w:rsidRDefault="00132BD7" w:rsidP="00132BD7">
            <w:pPr>
              <w:widowControl w:val="0"/>
              <w:spacing w:before="60" w:after="60"/>
              <w:jc w:val="center"/>
              <w:rPr>
                <w:sz w:val="22"/>
                <w:szCs w:val="22"/>
              </w:rPr>
            </w:pPr>
            <w:r w:rsidRPr="00264D5D">
              <w:rPr>
                <w:sz w:val="22"/>
                <w:szCs w:val="22"/>
              </w:rPr>
              <w:t>О</w:t>
            </w:r>
          </w:p>
        </w:tc>
        <w:tc>
          <w:tcPr>
            <w:tcW w:w="3964" w:type="dxa"/>
          </w:tcPr>
          <w:p w14:paraId="78DE1B65" w14:textId="77777777" w:rsidR="00132BD7" w:rsidRPr="00264D5D" w:rsidRDefault="00132BD7" w:rsidP="00132BD7">
            <w:pPr>
              <w:widowControl w:val="0"/>
              <w:spacing w:before="60" w:after="60"/>
              <w:rPr>
                <w:sz w:val="22"/>
                <w:szCs w:val="22"/>
              </w:rPr>
            </w:pPr>
            <w:r w:rsidRPr="00264D5D">
              <w:rPr>
                <w:sz w:val="22"/>
                <w:szCs w:val="22"/>
              </w:rPr>
              <w:t>GUID – Глобальный уникальный идентификатор документа.</w:t>
            </w:r>
          </w:p>
          <w:p w14:paraId="7BCDF21D" w14:textId="77777777" w:rsidR="00132BD7" w:rsidRPr="00264D5D" w:rsidRDefault="00132BD7" w:rsidP="00132BD7">
            <w:pPr>
              <w:widowControl w:val="0"/>
              <w:spacing w:before="60" w:after="60"/>
              <w:rPr>
                <w:sz w:val="22"/>
                <w:szCs w:val="22"/>
              </w:rPr>
            </w:pPr>
            <w:r w:rsidRPr="00264D5D">
              <w:rPr>
                <w:sz w:val="22"/>
                <w:szCs w:val="22"/>
              </w:rPr>
              <w:t>При поступлении в ТОФК документа с неуникальным значением идентификатора документа, документ не принимается к исполнению в системе Федерального казначейства</w:t>
            </w:r>
          </w:p>
        </w:tc>
      </w:tr>
      <w:tr w:rsidR="00132BD7" w:rsidRPr="00264D5D" w14:paraId="3C90E8D7" w14:textId="77777777" w:rsidTr="00132BD7">
        <w:trPr>
          <w:cnfStyle w:val="000000010000" w:firstRow="0" w:lastRow="0" w:firstColumn="0" w:lastColumn="0" w:oddVBand="0" w:evenVBand="0" w:oddHBand="0" w:evenHBand="1" w:firstRowFirstColumn="0" w:firstRowLastColumn="0" w:lastRowFirstColumn="0" w:lastRowLastColumn="0"/>
          <w:trHeight w:val="1110"/>
        </w:trPr>
        <w:tc>
          <w:tcPr>
            <w:tcW w:w="1701" w:type="dxa"/>
          </w:tcPr>
          <w:p w14:paraId="53D18829" w14:textId="77777777" w:rsidR="00132BD7" w:rsidRPr="00264D5D" w:rsidRDefault="00132BD7" w:rsidP="00132BD7">
            <w:pPr>
              <w:widowControl w:val="0"/>
              <w:spacing w:before="60" w:after="60"/>
              <w:rPr>
                <w:sz w:val="22"/>
                <w:szCs w:val="22"/>
              </w:rPr>
            </w:pPr>
            <w:r w:rsidRPr="00264D5D">
              <w:rPr>
                <w:sz w:val="22"/>
                <w:szCs w:val="22"/>
              </w:rPr>
              <w:t>Номер документа</w:t>
            </w:r>
          </w:p>
        </w:tc>
        <w:tc>
          <w:tcPr>
            <w:tcW w:w="1701" w:type="dxa"/>
          </w:tcPr>
          <w:p w14:paraId="28618156" w14:textId="77777777" w:rsidR="00132BD7" w:rsidRPr="00264D5D" w:rsidRDefault="00132BD7" w:rsidP="00132BD7">
            <w:pPr>
              <w:widowControl w:val="0"/>
              <w:spacing w:before="60" w:after="60"/>
              <w:rPr>
                <w:sz w:val="22"/>
                <w:szCs w:val="22"/>
                <w:lang w:val="en-US"/>
              </w:rPr>
            </w:pPr>
            <w:r w:rsidRPr="00264D5D">
              <w:rPr>
                <w:sz w:val="22"/>
                <w:szCs w:val="22"/>
                <w:lang w:val="en-US"/>
              </w:rPr>
              <w:t>Inf_</w:t>
            </w:r>
            <w:r w:rsidRPr="00264D5D">
              <w:rPr>
                <w:sz w:val="22"/>
                <w:szCs w:val="22"/>
              </w:rPr>
              <w:t>NmD</w:t>
            </w:r>
            <w:r w:rsidRPr="00264D5D">
              <w:rPr>
                <w:sz w:val="22"/>
                <w:szCs w:val="22"/>
                <w:lang w:val="en-US"/>
              </w:rPr>
              <w:t>oc</w:t>
            </w:r>
          </w:p>
        </w:tc>
        <w:tc>
          <w:tcPr>
            <w:tcW w:w="567" w:type="dxa"/>
          </w:tcPr>
          <w:p w14:paraId="3FAB7E0F" w14:textId="77777777" w:rsidR="00132BD7" w:rsidRPr="00264D5D" w:rsidRDefault="00132BD7" w:rsidP="00132BD7">
            <w:pPr>
              <w:widowControl w:val="0"/>
              <w:spacing w:before="60" w:after="60"/>
              <w:jc w:val="center"/>
              <w:rPr>
                <w:sz w:val="22"/>
                <w:szCs w:val="22"/>
              </w:rPr>
            </w:pPr>
            <w:r w:rsidRPr="00264D5D">
              <w:rPr>
                <w:sz w:val="22"/>
                <w:szCs w:val="22"/>
              </w:rPr>
              <w:t>П</w:t>
            </w:r>
          </w:p>
        </w:tc>
        <w:tc>
          <w:tcPr>
            <w:tcW w:w="1134" w:type="dxa"/>
          </w:tcPr>
          <w:p w14:paraId="310FD9AB" w14:textId="77777777" w:rsidR="00132BD7" w:rsidRPr="00264D5D" w:rsidRDefault="00132BD7" w:rsidP="00132BD7">
            <w:pPr>
              <w:widowControl w:val="0"/>
              <w:spacing w:before="60" w:after="60"/>
              <w:jc w:val="left"/>
              <w:rPr>
                <w:sz w:val="22"/>
                <w:szCs w:val="22"/>
              </w:rPr>
            </w:pPr>
            <w:r w:rsidRPr="00264D5D">
              <w:rPr>
                <w:sz w:val="22"/>
                <w:szCs w:val="22"/>
              </w:rPr>
              <w:t>T(</w:t>
            </w:r>
            <w:r w:rsidRPr="00264D5D">
              <w:rPr>
                <w:sz w:val="22"/>
                <w:szCs w:val="22"/>
                <w:lang w:val="en-US"/>
              </w:rPr>
              <w:t>1</w:t>
            </w:r>
            <w:r w:rsidRPr="00264D5D">
              <w:rPr>
                <w:sz w:val="22"/>
                <w:szCs w:val="22"/>
              </w:rPr>
              <w:t>-15)</w:t>
            </w:r>
          </w:p>
        </w:tc>
        <w:tc>
          <w:tcPr>
            <w:tcW w:w="567" w:type="dxa"/>
          </w:tcPr>
          <w:p w14:paraId="481E5541" w14:textId="77777777" w:rsidR="00132BD7" w:rsidRPr="00264D5D" w:rsidRDefault="00132BD7" w:rsidP="00132BD7">
            <w:pPr>
              <w:widowControl w:val="0"/>
              <w:spacing w:before="60" w:after="60"/>
              <w:jc w:val="center"/>
              <w:rPr>
                <w:sz w:val="22"/>
                <w:szCs w:val="22"/>
              </w:rPr>
            </w:pPr>
            <w:r w:rsidRPr="00264D5D">
              <w:rPr>
                <w:sz w:val="22"/>
                <w:szCs w:val="22"/>
              </w:rPr>
              <w:t>О</w:t>
            </w:r>
          </w:p>
        </w:tc>
        <w:tc>
          <w:tcPr>
            <w:tcW w:w="3964" w:type="dxa"/>
          </w:tcPr>
          <w:p w14:paraId="4EB97A2D" w14:textId="77777777" w:rsidR="00132BD7" w:rsidRPr="00264D5D" w:rsidRDefault="00132BD7" w:rsidP="00132BD7">
            <w:pPr>
              <w:widowControl w:val="0"/>
              <w:spacing w:before="60" w:after="60"/>
              <w:rPr>
                <w:sz w:val="22"/>
                <w:szCs w:val="22"/>
              </w:rPr>
            </w:pPr>
            <w:r w:rsidRPr="00264D5D">
              <w:rPr>
                <w:sz w:val="22"/>
                <w:szCs w:val="22"/>
              </w:rPr>
              <w:t>Указывается номер документа «Распоряжение о перечислении денежных средств на банковские карты «Мир» физических лиц» (далее – Распоряжение о перечислении), уникальный в пределах лицевого счета клиента и даты документа</w:t>
            </w:r>
          </w:p>
        </w:tc>
      </w:tr>
      <w:tr w:rsidR="00132BD7" w:rsidRPr="00264D5D" w14:paraId="0AFE0ABB" w14:textId="77777777" w:rsidTr="00132BD7">
        <w:trPr>
          <w:cnfStyle w:val="000000100000" w:firstRow="0" w:lastRow="0" w:firstColumn="0" w:lastColumn="0" w:oddVBand="0" w:evenVBand="0" w:oddHBand="1" w:evenHBand="0" w:firstRowFirstColumn="0" w:firstRowLastColumn="0" w:lastRowFirstColumn="0" w:lastRowLastColumn="0"/>
          <w:trHeight w:val="283"/>
        </w:trPr>
        <w:tc>
          <w:tcPr>
            <w:tcW w:w="1701" w:type="dxa"/>
          </w:tcPr>
          <w:p w14:paraId="1E414771" w14:textId="77777777" w:rsidR="00132BD7" w:rsidRPr="00264D5D" w:rsidRDefault="00132BD7" w:rsidP="00132BD7">
            <w:pPr>
              <w:widowControl w:val="0"/>
              <w:spacing w:before="60" w:after="60"/>
              <w:rPr>
                <w:sz w:val="22"/>
                <w:szCs w:val="22"/>
              </w:rPr>
            </w:pPr>
            <w:r w:rsidRPr="00264D5D">
              <w:rPr>
                <w:sz w:val="22"/>
                <w:szCs w:val="22"/>
              </w:rPr>
              <w:t>Дата документа</w:t>
            </w:r>
          </w:p>
        </w:tc>
        <w:tc>
          <w:tcPr>
            <w:tcW w:w="1701" w:type="dxa"/>
          </w:tcPr>
          <w:p w14:paraId="495E6A87" w14:textId="77777777" w:rsidR="00132BD7" w:rsidRPr="00264D5D" w:rsidRDefault="00132BD7" w:rsidP="00132BD7">
            <w:pPr>
              <w:widowControl w:val="0"/>
              <w:spacing w:before="60" w:after="60"/>
              <w:rPr>
                <w:sz w:val="22"/>
                <w:szCs w:val="22"/>
                <w:lang w:val="en-US"/>
              </w:rPr>
            </w:pPr>
            <w:r w:rsidRPr="00264D5D">
              <w:rPr>
                <w:sz w:val="22"/>
                <w:szCs w:val="22"/>
                <w:lang w:val="en-US"/>
              </w:rPr>
              <w:t>Inf_</w:t>
            </w:r>
            <w:r w:rsidRPr="00264D5D">
              <w:rPr>
                <w:sz w:val="22"/>
                <w:szCs w:val="22"/>
              </w:rPr>
              <w:t>DtD</w:t>
            </w:r>
            <w:r w:rsidRPr="00264D5D">
              <w:rPr>
                <w:sz w:val="22"/>
                <w:szCs w:val="22"/>
                <w:lang w:val="en-US"/>
              </w:rPr>
              <w:t>o</w:t>
            </w:r>
            <w:r w:rsidRPr="00264D5D">
              <w:rPr>
                <w:sz w:val="22"/>
                <w:szCs w:val="22"/>
              </w:rPr>
              <w:t>c</w:t>
            </w:r>
          </w:p>
        </w:tc>
        <w:tc>
          <w:tcPr>
            <w:tcW w:w="567" w:type="dxa"/>
          </w:tcPr>
          <w:p w14:paraId="4629AAE3" w14:textId="77777777" w:rsidR="00132BD7" w:rsidRPr="00264D5D" w:rsidRDefault="00132BD7" w:rsidP="00132BD7">
            <w:pPr>
              <w:widowControl w:val="0"/>
              <w:spacing w:before="60" w:after="60"/>
              <w:jc w:val="center"/>
              <w:rPr>
                <w:sz w:val="22"/>
                <w:szCs w:val="22"/>
              </w:rPr>
            </w:pPr>
            <w:r w:rsidRPr="00264D5D">
              <w:rPr>
                <w:sz w:val="22"/>
                <w:szCs w:val="22"/>
              </w:rPr>
              <w:t>П</w:t>
            </w:r>
          </w:p>
        </w:tc>
        <w:tc>
          <w:tcPr>
            <w:tcW w:w="1134" w:type="dxa"/>
          </w:tcPr>
          <w:p w14:paraId="478DAB3E" w14:textId="77777777" w:rsidR="00132BD7" w:rsidRPr="00264D5D" w:rsidRDefault="00132BD7" w:rsidP="00132BD7">
            <w:pPr>
              <w:widowControl w:val="0"/>
              <w:spacing w:before="60" w:after="60"/>
              <w:jc w:val="left"/>
              <w:rPr>
                <w:sz w:val="22"/>
                <w:szCs w:val="22"/>
              </w:rPr>
            </w:pPr>
            <w:r w:rsidRPr="00264D5D">
              <w:rPr>
                <w:sz w:val="22"/>
                <w:szCs w:val="22"/>
                <w:lang w:val="en-US"/>
              </w:rPr>
              <w:t>Date</w:t>
            </w:r>
          </w:p>
        </w:tc>
        <w:tc>
          <w:tcPr>
            <w:tcW w:w="567" w:type="dxa"/>
          </w:tcPr>
          <w:p w14:paraId="20EF4F21" w14:textId="77777777" w:rsidR="00132BD7" w:rsidRPr="00264D5D" w:rsidRDefault="00132BD7" w:rsidP="00132BD7">
            <w:pPr>
              <w:widowControl w:val="0"/>
              <w:spacing w:before="60" w:after="60"/>
              <w:jc w:val="center"/>
              <w:rPr>
                <w:sz w:val="22"/>
                <w:szCs w:val="22"/>
              </w:rPr>
            </w:pPr>
            <w:r w:rsidRPr="00264D5D">
              <w:rPr>
                <w:sz w:val="22"/>
                <w:szCs w:val="22"/>
              </w:rPr>
              <w:t>О</w:t>
            </w:r>
          </w:p>
        </w:tc>
        <w:tc>
          <w:tcPr>
            <w:tcW w:w="3964" w:type="dxa"/>
          </w:tcPr>
          <w:p w14:paraId="17BB6428" w14:textId="77777777" w:rsidR="00132BD7" w:rsidRPr="00264D5D" w:rsidRDefault="00132BD7" w:rsidP="00132BD7">
            <w:pPr>
              <w:pStyle w:val="ASFKTablenorm"/>
              <w:widowControl w:val="0"/>
              <w:contextualSpacing w:val="0"/>
              <w:rPr>
                <w:sz w:val="22"/>
                <w:szCs w:val="22"/>
              </w:rPr>
            </w:pPr>
            <w:r w:rsidRPr="00264D5D">
              <w:rPr>
                <w:sz w:val="22"/>
                <w:szCs w:val="22"/>
              </w:rPr>
              <w:t>Указывается дата составления Распоряжения о перечислении, не превышающая дату его представления в орган ФК</w:t>
            </w:r>
          </w:p>
        </w:tc>
      </w:tr>
      <w:tr w:rsidR="00132BD7" w:rsidRPr="00264D5D" w14:paraId="6865C5C0" w14:textId="77777777" w:rsidTr="00132BD7">
        <w:trPr>
          <w:cnfStyle w:val="000000010000" w:firstRow="0" w:lastRow="0" w:firstColumn="0" w:lastColumn="0" w:oddVBand="0" w:evenVBand="0" w:oddHBand="0" w:evenHBand="1" w:firstRowFirstColumn="0" w:firstRowLastColumn="0" w:lastRowFirstColumn="0" w:lastRowLastColumn="0"/>
          <w:trHeight w:val="283"/>
        </w:trPr>
        <w:tc>
          <w:tcPr>
            <w:tcW w:w="1701" w:type="dxa"/>
          </w:tcPr>
          <w:p w14:paraId="4EEE6440" w14:textId="77777777" w:rsidR="00132BD7" w:rsidRPr="00264D5D" w:rsidRDefault="00132BD7" w:rsidP="00132BD7">
            <w:pPr>
              <w:pStyle w:val="ASFKTablenorm"/>
              <w:widowControl w:val="0"/>
              <w:contextualSpacing w:val="0"/>
              <w:rPr>
                <w:sz w:val="22"/>
                <w:szCs w:val="22"/>
              </w:rPr>
            </w:pPr>
            <w:r w:rsidRPr="00264D5D">
              <w:rPr>
                <w:sz w:val="22"/>
                <w:szCs w:val="22"/>
              </w:rPr>
              <w:t>Наименование клиента</w:t>
            </w:r>
          </w:p>
        </w:tc>
        <w:tc>
          <w:tcPr>
            <w:tcW w:w="1701" w:type="dxa"/>
          </w:tcPr>
          <w:p w14:paraId="2A88CD8F" w14:textId="77777777" w:rsidR="00132BD7" w:rsidRPr="00264D5D" w:rsidRDefault="00132BD7" w:rsidP="00132BD7">
            <w:pPr>
              <w:pStyle w:val="ASFKTablenorm"/>
              <w:widowControl w:val="0"/>
              <w:contextualSpacing w:val="0"/>
              <w:rPr>
                <w:sz w:val="22"/>
                <w:szCs w:val="22"/>
              </w:rPr>
            </w:pPr>
            <w:r w:rsidRPr="00264D5D">
              <w:rPr>
                <w:sz w:val="22"/>
                <w:szCs w:val="22"/>
              </w:rPr>
              <w:t>Rcp_Nm</w:t>
            </w:r>
          </w:p>
        </w:tc>
        <w:tc>
          <w:tcPr>
            <w:tcW w:w="567" w:type="dxa"/>
          </w:tcPr>
          <w:p w14:paraId="5D42A669" w14:textId="77777777" w:rsidR="00132BD7" w:rsidRPr="00264D5D" w:rsidRDefault="00132BD7" w:rsidP="00132BD7">
            <w:pPr>
              <w:pStyle w:val="ASFKTablenorm"/>
              <w:widowControl w:val="0"/>
              <w:contextualSpacing w:val="0"/>
              <w:rPr>
                <w:sz w:val="22"/>
                <w:szCs w:val="22"/>
              </w:rPr>
            </w:pPr>
            <w:r w:rsidRPr="00264D5D">
              <w:rPr>
                <w:sz w:val="22"/>
                <w:szCs w:val="22"/>
              </w:rPr>
              <w:t>П</w:t>
            </w:r>
          </w:p>
        </w:tc>
        <w:tc>
          <w:tcPr>
            <w:tcW w:w="1134" w:type="dxa"/>
          </w:tcPr>
          <w:p w14:paraId="60F70493" w14:textId="77777777" w:rsidR="00132BD7" w:rsidRPr="00264D5D" w:rsidRDefault="00132BD7" w:rsidP="00132BD7">
            <w:pPr>
              <w:pStyle w:val="ASFKTablenorm"/>
              <w:widowControl w:val="0"/>
              <w:contextualSpacing w:val="0"/>
              <w:rPr>
                <w:sz w:val="22"/>
                <w:szCs w:val="22"/>
              </w:rPr>
            </w:pPr>
            <w:r w:rsidRPr="00264D5D">
              <w:rPr>
                <w:sz w:val="22"/>
                <w:szCs w:val="22"/>
              </w:rPr>
              <w:t>Т(1-2000)</w:t>
            </w:r>
          </w:p>
        </w:tc>
        <w:tc>
          <w:tcPr>
            <w:tcW w:w="567" w:type="dxa"/>
          </w:tcPr>
          <w:p w14:paraId="7F7773F5" w14:textId="77777777" w:rsidR="00132BD7" w:rsidRPr="00264D5D" w:rsidRDefault="00132BD7" w:rsidP="00132BD7">
            <w:pPr>
              <w:pStyle w:val="ASFKTablenorm"/>
              <w:widowControl w:val="0"/>
              <w:contextualSpacing w:val="0"/>
              <w:rPr>
                <w:sz w:val="22"/>
                <w:szCs w:val="22"/>
              </w:rPr>
            </w:pPr>
            <w:r w:rsidRPr="00264D5D">
              <w:rPr>
                <w:sz w:val="22"/>
                <w:szCs w:val="22"/>
              </w:rPr>
              <w:t>О</w:t>
            </w:r>
          </w:p>
        </w:tc>
        <w:tc>
          <w:tcPr>
            <w:tcW w:w="3964" w:type="dxa"/>
          </w:tcPr>
          <w:p w14:paraId="24A8882C" w14:textId="77777777" w:rsidR="00132BD7" w:rsidRPr="00264D5D" w:rsidRDefault="00132BD7" w:rsidP="00132BD7">
            <w:pPr>
              <w:pStyle w:val="ASFKTablenorm"/>
              <w:widowControl w:val="0"/>
              <w:contextualSpacing w:val="0"/>
              <w:rPr>
                <w:sz w:val="22"/>
                <w:szCs w:val="22"/>
              </w:rPr>
            </w:pPr>
            <w:r w:rsidRPr="00264D5D">
              <w:rPr>
                <w:sz w:val="22"/>
                <w:szCs w:val="22"/>
              </w:rPr>
              <w:t xml:space="preserve">Наименование клиента: </w:t>
            </w:r>
          </w:p>
          <w:p w14:paraId="707CD7B9" w14:textId="77777777" w:rsidR="00132BD7" w:rsidRPr="00264D5D" w:rsidRDefault="00132BD7" w:rsidP="00132BD7">
            <w:pPr>
              <w:pStyle w:val="ASFKTablenorm"/>
              <w:widowControl w:val="0"/>
              <w:numPr>
                <w:ilvl w:val="0"/>
                <w:numId w:val="69"/>
              </w:numPr>
              <w:tabs>
                <w:tab w:val="left" w:pos="300"/>
              </w:tabs>
              <w:ind w:left="284" w:hanging="227"/>
              <w:contextualSpacing w:val="0"/>
              <w:rPr>
                <w:sz w:val="22"/>
                <w:szCs w:val="22"/>
              </w:rPr>
            </w:pPr>
            <w:r w:rsidRPr="00264D5D">
              <w:rPr>
                <w:sz w:val="22"/>
                <w:szCs w:val="22"/>
              </w:rPr>
              <w:t>для организаций, отсутствующих в Сводном реестре, указывается в соответствии с регистрационными данными, присвоенными ТОФК</w:t>
            </w:r>
          </w:p>
          <w:p w14:paraId="006CC8F3" w14:textId="77777777" w:rsidR="00132BD7" w:rsidRPr="00264D5D" w:rsidRDefault="00132BD7" w:rsidP="00132BD7">
            <w:pPr>
              <w:pStyle w:val="ASFKTablenorm"/>
              <w:widowControl w:val="0"/>
              <w:numPr>
                <w:ilvl w:val="0"/>
                <w:numId w:val="69"/>
              </w:numPr>
              <w:tabs>
                <w:tab w:val="left" w:pos="300"/>
              </w:tabs>
              <w:ind w:left="284" w:hanging="227"/>
              <w:contextualSpacing w:val="0"/>
              <w:rPr>
                <w:sz w:val="22"/>
                <w:szCs w:val="22"/>
              </w:rPr>
            </w:pPr>
            <w:r w:rsidRPr="00264D5D">
              <w:rPr>
                <w:sz w:val="22"/>
                <w:szCs w:val="22"/>
              </w:rPr>
              <w:t xml:space="preserve">для остальных клиентов указывается наименование организации в </w:t>
            </w:r>
            <w:r w:rsidRPr="00264D5D">
              <w:rPr>
                <w:sz w:val="22"/>
                <w:szCs w:val="22"/>
              </w:rPr>
              <w:lastRenderedPageBreak/>
              <w:t>соответствии со Сводным реестром</w:t>
            </w:r>
          </w:p>
        </w:tc>
      </w:tr>
      <w:tr w:rsidR="00132BD7" w:rsidRPr="00264D5D" w14:paraId="2366D270" w14:textId="77777777" w:rsidTr="00132BD7">
        <w:trPr>
          <w:cnfStyle w:val="000000100000" w:firstRow="0" w:lastRow="0" w:firstColumn="0" w:lastColumn="0" w:oddVBand="0" w:evenVBand="0" w:oddHBand="1" w:evenHBand="0" w:firstRowFirstColumn="0" w:firstRowLastColumn="0" w:lastRowFirstColumn="0" w:lastRowLastColumn="0"/>
          <w:trHeight w:val="283"/>
        </w:trPr>
        <w:tc>
          <w:tcPr>
            <w:tcW w:w="1701" w:type="dxa"/>
          </w:tcPr>
          <w:p w14:paraId="23604ECA" w14:textId="77777777" w:rsidR="00132BD7" w:rsidRPr="00264D5D" w:rsidRDefault="00132BD7" w:rsidP="00132BD7">
            <w:pPr>
              <w:pStyle w:val="ASFKTablenorm"/>
              <w:widowControl w:val="0"/>
              <w:contextualSpacing w:val="0"/>
              <w:rPr>
                <w:sz w:val="22"/>
                <w:szCs w:val="22"/>
              </w:rPr>
            </w:pPr>
            <w:r w:rsidRPr="00264D5D">
              <w:rPr>
                <w:sz w:val="22"/>
                <w:szCs w:val="22"/>
              </w:rPr>
              <w:lastRenderedPageBreak/>
              <w:t>Наименование клиента-косвенного участника системы казначейских платежей</w:t>
            </w:r>
          </w:p>
        </w:tc>
        <w:tc>
          <w:tcPr>
            <w:tcW w:w="1701" w:type="dxa"/>
          </w:tcPr>
          <w:p w14:paraId="40BB59E0" w14:textId="77777777" w:rsidR="00132BD7" w:rsidRPr="00264D5D" w:rsidRDefault="00132BD7" w:rsidP="00132BD7">
            <w:pPr>
              <w:pStyle w:val="ASFKTablenorm"/>
              <w:widowControl w:val="0"/>
              <w:contextualSpacing w:val="0"/>
              <w:rPr>
                <w:sz w:val="22"/>
                <w:szCs w:val="22"/>
              </w:rPr>
            </w:pPr>
            <w:r w:rsidRPr="00264D5D">
              <w:rPr>
                <w:sz w:val="22"/>
                <w:szCs w:val="22"/>
              </w:rPr>
              <w:t>Pbs_NmInd</w:t>
            </w:r>
          </w:p>
        </w:tc>
        <w:tc>
          <w:tcPr>
            <w:tcW w:w="567" w:type="dxa"/>
          </w:tcPr>
          <w:p w14:paraId="6E73AC95" w14:textId="77777777" w:rsidR="00132BD7" w:rsidRPr="00264D5D" w:rsidRDefault="00132BD7" w:rsidP="00132BD7">
            <w:pPr>
              <w:pStyle w:val="ASFKTablenorm"/>
              <w:widowControl w:val="0"/>
              <w:contextualSpacing w:val="0"/>
              <w:rPr>
                <w:sz w:val="22"/>
                <w:szCs w:val="22"/>
              </w:rPr>
            </w:pPr>
            <w:r w:rsidRPr="00264D5D">
              <w:rPr>
                <w:sz w:val="22"/>
                <w:szCs w:val="22"/>
              </w:rPr>
              <w:t>П</w:t>
            </w:r>
          </w:p>
        </w:tc>
        <w:tc>
          <w:tcPr>
            <w:tcW w:w="1134" w:type="dxa"/>
          </w:tcPr>
          <w:p w14:paraId="66B0B189" w14:textId="77777777" w:rsidR="00132BD7" w:rsidRPr="00264D5D" w:rsidRDefault="00132BD7" w:rsidP="00132BD7">
            <w:pPr>
              <w:pStyle w:val="ASFKTablenorm"/>
              <w:widowControl w:val="0"/>
              <w:contextualSpacing w:val="0"/>
              <w:rPr>
                <w:sz w:val="22"/>
                <w:szCs w:val="22"/>
              </w:rPr>
            </w:pPr>
            <w:r w:rsidRPr="00264D5D">
              <w:rPr>
                <w:sz w:val="22"/>
                <w:szCs w:val="22"/>
              </w:rPr>
              <w:t>Т(1-2000)</w:t>
            </w:r>
          </w:p>
        </w:tc>
        <w:tc>
          <w:tcPr>
            <w:tcW w:w="567" w:type="dxa"/>
          </w:tcPr>
          <w:p w14:paraId="2397B3B5" w14:textId="77777777" w:rsidR="00132BD7" w:rsidRPr="00264D5D" w:rsidRDefault="00132BD7" w:rsidP="00132BD7">
            <w:pPr>
              <w:pStyle w:val="ASFKTablenorm"/>
              <w:widowControl w:val="0"/>
              <w:contextualSpacing w:val="0"/>
              <w:rPr>
                <w:sz w:val="22"/>
                <w:szCs w:val="22"/>
              </w:rPr>
            </w:pPr>
            <w:r w:rsidRPr="00264D5D">
              <w:rPr>
                <w:sz w:val="22"/>
                <w:szCs w:val="22"/>
              </w:rPr>
              <w:t>Н</w:t>
            </w:r>
          </w:p>
        </w:tc>
        <w:tc>
          <w:tcPr>
            <w:tcW w:w="3964" w:type="dxa"/>
          </w:tcPr>
          <w:p w14:paraId="0DD5DF8E" w14:textId="77777777" w:rsidR="00132BD7" w:rsidRPr="00264D5D" w:rsidRDefault="00132BD7" w:rsidP="00132BD7">
            <w:pPr>
              <w:pStyle w:val="ASFKTablenorm"/>
              <w:widowControl w:val="0"/>
              <w:contextualSpacing w:val="0"/>
              <w:rPr>
                <w:sz w:val="22"/>
                <w:szCs w:val="22"/>
              </w:rPr>
            </w:pPr>
            <w:r w:rsidRPr="00264D5D">
              <w:rPr>
                <w:sz w:val="22"/>
                <w:szCs w:val="22"/>
              </w:rPr>
              <w:t>Указывается полное или сокращенное наименование косвенного участника системы казначейских платежей (в случае, если лицевой счет организации открыт в финансовом органе субъекта Российской Федерации (муниципального образования) или органе управления внебюджетным фондом).</w:t>
            </w:r>
          </w:p>
          <w:p w14:paraId="60EDF1EC" w14:textId="77777777" w:rsidR="00132BD7" w:rsidRPr="00264D5D" w:rsidRDefault="00132BD7" w:rsidP="00132BD7">
            <w:pPr>
              <w:pStyle w:val="ASFKTablenorm"/>
              <w:widowControl w:val="0"/>
              <w:contextualSpacing w:val="0"/>
              <w:rPr>
                <w:sz w:val="22"/>
                <w:szCs w:val="22"/>
              </w:rPr>
            </w:pPr>
            <w:r w:rsidRPr="00264D5D">
              <w:rPr>
                <w:sz w:val="22"/>
                <w:szCs w:val="22"/>
              </w:rPr>
              <w:t>Заполняется, если поле «Номер лицевого счета» клиента заполнено значением л/с с кодом 02, 12</w:t>
            </w:r>
          </w:p>
        </w:tc>
      </w:tr>
      <w:tr w:rsidR="00132BD7" w:rsidRPr="00264D5D" w14:paraId="016B5C69" w14:textId="77777777" w:rsidTr="00132BD7">
        <w:trPr>
          <w:cnfStyle w:val="000000010000" w:firstRow="0" w:lastRow="0" w:firstColumn="0" w:lastColumn="0" w:oddVBand="0" w:evenVBand="0" w:oddHBand="0" w:evenHBand="1" w:firstRowFirstColumn="0" w:firstRowLastColumn="0" w:lastRowFirstColumn="0" w:lastRowLastColumn="0"/>
          <w:trHeight w:val="283"/>
        </w:trPr>
        <w:tc>
          <w:tcPr>
            <w:tcW w:w="1701" w:type="dxa"/>
          </w:tcPr>
          <w:p w14:paraId="3AA3D526" w14:textId="77777777" w:rsidR="00132BD7" w:rsidRPr="00264D5D" w:rsidRDefault="00132BD7" w:rsidP="00132BD7">
            <w:pPr>
              <w:pStyle w:val="ASFKTablenorm"/>
              <w:widowControl w:val="0"/>
              <w:contextualSpacing w:val="0"/>
              <w:rPr>
                <w:sz w:val="22"/>
                <w:szCs w:val="22"/>
              </w:rPr>
            </w:pPr>
            <w:r w:rsidRPr="00264D5D">
              <w:rPr>
                <w:sz w:val="22"/>
                <w:szCs w:val="22"/>
              </w:rPr>
              <w:t>Код клиента</w:t>
            </w:r>
          </w:p>
        </w:tc>
        <w:tc>
          <w:tcPr>
            <w:tcW w:w="1701" w:type="dxa"/>
          </w:tcPr>
          <w:p w14:paraId="3A34F111" w14:textId="77777777" w:rsidR="00132BD7" w:rsidRPr="00264D5D" w:rsidRDefault="00132BD7" w:rsidP="00132BD7">
            <w:pPr>
              <w:pStyle w:val="ASFKTablenorm"/>
              <w:widowControl w:val="0"/>
              <w:contextualSpacing w:val="0"/>
              <w:rPr>
                <w:sz w:val="22"/>
                <w:szCs w:val="22"/>
              </w:rPr>
            </w:pPr>
            <w:r w:rsidRPr="00264D5D">
              <w:rPr>
                <w:sz w:val="22"/>
                <w:szCs w:val="22"/>
              </w:rPr>
              <w:t>Rcp_Cd</w:t>
            </w:r>
          </w:p>
        </w:tc>
        <w:tc>
          <w:tcPr>
            <w:tcW w:w="567" w:type="dxa"/>
          </w:tcPr>
          <w:p w14:paraId="1C10DFFC" w14:textId="77777777" w:rsidR="00132BD7" w:rsidRPr="00264D5D" w:rsidRDefault="00132BD7" w:rsidP="00132BD7">
            <w:pPr>
              <w:pStyle w:val="ASFKTablenorm"/>
              <w:widowControl w:val="0"/>
              <w:contextualSpacing w:val="0"/>
              <w:rPr>
                <w:sz w:val="22"/>
                <w:szCs w:val="22"/>
              </w:rPr>
            </w:pPr>
            <w:r w:rsidRPr="00264D5D">
              <w:rPr>
                <w:sz w:val="22"/>
                <w:szCs w:val="22"/>
              </w:rPr>
              <w:t>П</w:t>
            </w:r>
          </w:p>
        </w:tc>
        <w:tc>
          <w:tcPr>
            <w:tcW w:w="1134" w:type="dxa"/>
          </w:tcPr>
          <w:p w14:paraId="4E6D92F9" w14:textId="77777777" w:rsidR="00132BD7" w:rsidRPr="00264D5D" w:rsidRDefault="00132BD7" w:rsidP="00132BD7">
            <w:pPr>
              <w:pStyle w:val="ASFKTablenorm"/>
              <w:widowControl w:val="0"/>
              <w:contextualSpacing w:val="0"/>
              <w:rPr>
                <w:sz w:val="22"/>
                <w:szCs w:val="22"/>
              </w:rPr>
            </w:pPr>
            <w:r w:rsidRPr="00264D5D">
              <w:rPr>
                <w:sz w:val="22"/>
                <w:szCs w:val="22"/>
              </w:rPr>
              <w:t>Т(5) или T(8)</w:t>
            </w:r>
          </w:p>
        </w:tc>
        <w:tc>
          <w:tcPr>
            <w:tcW w:w="567" w:type="dxa"/>
          </w:tcPr>
          <w:p w14:paraId="5CAC3EC9" w14:textId="77777777" w:rsidR="00132BD7" w:rsidRPr="00264D5D" w:rsidRDefault="00132BD7" w:rsidP="00132BD7">
            <w:pPr>
              <w:pStyle w:val="ASFKTablenorm"/>
              <w:widowControl w:val="0"/>
              <w:contextualSpacing w:val="0"/>
              <w:rPr>
                <w:sz w:val="22"/>
                <w:szCs w:val="22"/>
              </w:rPr>
            </w:pPr>
            <w:r w:rsidRPr="00264D5D">
              <w:rPr>
                <w:sz w:val="22"/>
                <w:szCs w:val="22"/>
              </w:rPr>
              <w:t>О</w:t>
            </w:r>
          </w:p>
        </w:tc>
        <w:tc>
          <w:tcPr>
            <w:tcW w:w="3964" w:type="dxa"/>
          </w:tcPr>
          <w:p w14:paraId="56F1872D" w14:textId="77777777" w:rsidR="00132BD7" w:rsidRPr="00264D5D" w:rsidRDefault="00132BD7" w:rsidP="00132BD7">
            <w:pPr>
              <w:pStyle w:val="ASFKTablenorm"/>
              <w:widowControl w:val="0"/>
              <w:contextualSpacing w:val="0"/>
              <w:rPr>
                <w:sz w:val="22"/>
                <w:szCs w:val="22"/>
              </w:rPr>
            </w:pPr>
            <w:r w:rsidRPr="00264D5D">
              <w:rPr>
                <w:sz w:val="22"/>
                <w:szCs w:val="22"/>
              </w:rPr>
              <w:t xml:space="preserve">Код клиента: </w:t>
            </w:r>
          </w:p>
          <w:p w14:paraId="0ADBA13E" w14:textId="77777777" w:rsidR="00132BD7" w:rsidRPr="00264D5D" w:rsidRDefault="00132BD7" w:rsidP="00132BD7">
            <w:pPr>
              <w:pStyle w:val="ASFKTablenorm"/>
              <w:widowControl w:val="0"/>
              <w:numPr>
                <w:ilvl w:val="0"/>
                <w:numId w:val="69"/>
              </w:numPr>
              <w:tabs>
                <w:tab w:val="left" w:pos="300"/>
              </w:tabs>
              <w:ind w:left="284" w:hanging="227"/>
              <w:contextualSpacing w:val="0"/>
              <w:rPr>
                <w:sz w:val="22"/>
                <w:szCs w:val="22"/>
              </w:rPr>
            </w:pPr>
            <w:r w:rsidRPr="00264D5D">
              <w:rPr>
                <w:sz w:val="22"/>
                <w:szCs w:val="22"/>
              </w:rPr>
              <w:t xml:space="preserve">для организаций, отсутствующих в Сводном реестре, указывается код клиента в соответствии с регистрационными данными, присвоенными ТОФК; </w:t>
            </w:r>
          </w:p>
          <w:p w14:paraId="26C57D79" w14:textId="77777777" w:rsidR="00132BD7" w:rsidRPr="00264D5D" w:rsidRDefault="00132BD7" w:rsidP="00132BD7">
            <w:pPr>
              <w:pStyle w:val="ASFKTablenorm"/>
              <w:widowControl w:val="0"/>
              <w:numPr>
                <w:ilvl w:val="0"/>
                <w:numId w:val="69"/>
              </w:numPr>
              <w:tabs>
                <w:tab w:val="left" w:pos="300"/>
              </w:tabs>
              <w:ind w:left="284" w:hanging="227"/>
              <w:contextualSpacing w:val="0"/>
              <w:rPr>
                <w:sz w:val="22"/>
                <w:szCs w:val="22"/>
              </w:rPr>
            </w:pPr>
            <w:r w:rsidRPr="00264D5D">
              <w:rPr>
                <w:sz w:val="22"/>
                <w:szCs w:val="22"/>
              </w:rPr>
              <w:t>для остальных клиентов указывается уникальный код организации по Сводному реестру</w:t>
            </w:r>
          </w:p>
        </w:tc>
      </w:tr>
      <w:tr w:rsidR="00132BD7" w:rsidRPr="00264D5D" w14:paraId="342C55CF" w14:textId="77777777" w:rsidTr="00132BD7">
        <w:trPr>
          <w:cnfStyle w:val="000000100000" w:firstRow="0" w:lastRow="0" w:firstColumn="0" w:lastColumn="0" w:oddVBand="0" w:evenVBand="0" w:oddHBand="1" w:evenHBand="0" w:firstRowFirstColumn="0" w:firstRowLastColumn="0" w:lastRowFirstColumn="0" w:lastRowLastColumn="0"/>
          <w:trHeight w:val="283"/>
        </w:trPr>
        <w:tc>
          <w:tcPr>
            <w:tcW w:w="1701" w:type="dxa"/>
          </w:tcPr>
          <w:p w14:paraId="0EC4C645" w14:textId="77777777" w:rsidR="00132BD7" w:rsidRPr="00264D5D" w:rsidRDefault="00132BD7" w:rsidP="00132BD7">
            <w:pPr>
              <w:widowControl w:val="0"/>
              <w:spacing w:before="60" w:after="60"/>
              <w:rPr>
                <w:sz w:val="22"/>
                <w:szCs w:val="22"/>
              </w:rPr>
            </w:pPr>
            <w:r w:rsidRPr="00264D5D">
              <w:rPr>
                <w:sz w:val="22"/>
                <w:szCs w:val="22"/>
              </w:rPr>
              <w:t>Код по Сводному реестру клиента-косвенного участника системы казначейских платежей</w:t>
            </w:r>
          </w:p>
        </w:tc>
        <w:tc>
          <w:tcPr>
            <w:tcW w:w="1701" w:type="dxa"/>
          </w:tcPr>
          <w:p w14:paraId="2DF6F94B" w14:textId="77777777" w:rsidR="00132BD7" w:rsidRPr="00264D5D" w:rsidRDefault="00132BD7" w:rsidP="00132BD7">
            <w:pPr>
              <w:widowControl w:val="0"/>
              <w:spacing w:before="60" w:after="60"/>
              <w:rPr>
                <w:sz w:val="22"/>
                <w:szCs w:val="22"/>
              </w:rPr>
            </w:pPr>
            <w:r w:rsidRPr="00264D5D">
              <w:rPr>
                <w:sz w:val="22"/>
                <w:szCs w:val="22"/>
              </w:rPr>
              <w:t>P</w:t>
            </w:r>
            <w:r w:rsidRPr="00264D5D">
              <w:rPr>
                <w:sz w:val="22"/>
                <w:szCs w:val="22"/>
                <w:lang w:val="en-US"/>
              </w:rPr>
              <w:t>bs_</w:t>
            </w:r>
            <w:r w:rsidRPr="00264D5D">
              <w:rPr>
                <w:sz w:val="22"/>
                <w:szCs w:val="22"/>
              </w:rPr>
              <w:t>CdInd</w:t>
            </w:r>
          </w:p>
        </w:tc>
        <w:tc>
          <w:tcPr>
            <w:tcW w:w="567" w:type="dxa"/>
          </w:tcPr>
          <w:p w14:paraId="76C68860" w14:textId="77777777" w:rsidR="00132BD7" w:rsidRPr="00264D5D" w:rsidRDefault="00132BD7" w:rsidP="00132BD7">
            <w:pPr>
              <w:widowControl w:val="0"/>
              <w:spacing w:before="60" w:after="60"/>
              <w:jc w:val="center"/>
              <w:rPr>
                <w:sz w:val="22"/>
                <w:szCs w:val="22"/>
                <w:lang w:val="en-US"/>
              </w:rPr>
            </w:pPr>
            <w:r w:rsidRPr="00264D5D">
              <w:rPr>
                <w:sz w:val="22"/>
                <w:szCs w:val="22"/>
              </w:rPr>
              <w:t>П</w:t>
            </w:r>
          </w:p>
        </w:tc>
        <w:tc>
          <w:tcPr>
            <w:tcW w:w="1134" w:type="dxa"/>
          </w:tcPr>
          <w:p w14:paraId="396AB011" w14:textId="77777777" w:rsidR="00132BD7" w:rsidRPr="00264D5D" w:rsidRDefault="00132BD7" w:rsidP="00132BD7">
            <w:pPr>
              <w:widowControl w:val="0"/>
              <w:spacing w:before="60" w:after="60"/>
              <w:jc w:val="left"/>
              <w:rPr>
                <w:sz w:val="22"/>
                <w:szCs w:val="22"/>
              </w:rPr>
            </w:pPr>
            <w:r w:rsidRPr="00264D5D">
              <w:rPr>
                <w:sz w:val="22"/>
                <w:szCs w:val="22"/>
              </w:rPr>
              <w:t>Т(8)</w:t>
            </w:r>
          </w:p>
        </w:tc>
        <w:tc>
          <w:tcPr>
            <w:tcW w:w="567" w:type="dxa"/>
          </w:tcPr>
          <w:p w14:paraId="4CF14EAC" w14:textId="77777777" w:rsidR="00132BD7" w:rsidRPr="00264D5D" w:rsidRDefault="00132BD7" w:rsidP="00132BD7">
            <w:pPr>
              <w:widowControl w:val="0"/>
              <w:spacing w:before="60" w:after="60"/>
              <w:jc w:val="center"/>
              <w:rPr>
                <w:sz w:val="22"/>
                <w:szCs w:val="22"/>
              </w:rPr>
            </w:pPr>
            <w:r w:rsidRPr="00264D5D">
              <w:rPr>
                <w:sz w:val="22"/>
                <w:szCs w:val="22"/>
              </w:rPr>
              <w:t>Н</w:t>
            </w:r>
          </w:p>
        </w:tc>
        <w:tc>
          <w:tcPr>
            <w:tcW w:w="3964" w:type="dxa"/>
          </w:tcPr>
          <w:p w14:paraId="6063F5CC" w14:textId="77777777" w:rsidR="00132BD7" w:rsidRPr="00264D5D" w:rsidRDefault="00132BD7" w:rsidP="00132BD7">
            <w:pPr>
              <w:pStyle w:val="ASFKTablenorm"/>
              <w:widowControl w:val="0"/>
              <w:contextualSpacing w:val="0"/>
              <w:rPr>
                <w:sz w:val="22"/>
                <w:szCs w:val="22"/>
              </w:rPr>
            </w:pPr>
            <w:r w:rsidRPr="00264D5D">
              <w:rPr>
                <w:sz w:val="22"/>
                <w:szCs w:val="22"/>
              </w:rPr>
              <w:t>Указывается уникальный код организации – косвенного участника системы казначейских платежей в соответствии со Сводным реестром.</w:t>
            </w:r>
          </w:p>
          <w:p w14:paraId="75D980BA" w14:textId="77777777" w:rsidR="00132BD7" w:rsidRPr="00264D5D" w:rsidRDefault="00132BD7" w:rsidP="00132BD7">
            <w:pPr>
              <w:pStyle w:val="ASFKTablenorm"/>
              <w:widowControl w:val="0"/>
              <w:contextualSpacing w:val="0"/>
              <w:rPr>
                <w:sz w:val="22"/>
                <w:szCs w:val="22"/>
              </w:rPr>
            </w:pPr>
            <w:r w:rsidRPr="00264D5D">
              <w:rPr>
                <w:sz w:val="22"/>
                <w:szCs w:val="22"/>
              </w:rPr>
              <w:t>Заполняется, если поле «Номер лицевого счета» клиента заполнено значением л/с с кодом 02, 12</w:t>
            </w:r>
          </w:p>
        </w:tc>
      </w:tr>
      <w:tr w:rsidR="00132BD7" w:rsidRPr="00264D5D" w14:paraId="6326CC2F" w14:textId="77777777" w:rsidTr="00132BD7">
        <w:trPr>
          <w:cnfStyle w:val="000000010000" w:firstRow="0" w:lastRow="0" w:firstColumn="0" w:lastColumn="0" w:oddVBand="0" w:evenVBand="0" w:oddHBand="0" w:evenHBand="1" w:firstRowFirstColumn="0" w:firstRowLastColumn="0" w:lastRowFirstColumn="0" w:lastRowLastColumn="0"/>
          <w:trHeight w:val="283"/>
        </w:trPr>
        <w:tc>
          <w:tcPr>
            <w:tcW w:w="1701" w:type="dxa"/>
          </w:tcPr>
          <w:p w14:paraId="23E4B1F4" w14:textId="77777777" w:rsidR="00132BD7" w:rsidRPr="00264D5D" w:rsidRDefault="00132BD7" w:rsidP="00132BD7">
            <w:pPr>
              <w:widowControl w:val="0"/>
              <w:spacing w:before="60" w:after="60"/>
              <w:rPr>
                <w:sz w:val="22"/>
                <w:szCs w:val="22"/>
              </w:rPr>
            </w:pPr>
            <w:r w:rsidRPr="00264D5D">
              <w:rPr>
                <w:sz w:val="22"/>
                <w:szCs w:val="22"/>
              </w:rPr>
              <w:t>Номер лицевого счета клиента</w:t>
            </w:r>
          </w:p>
        </w:tc>
        <w:tc>
          <w:tcPr>
            <w:tcW w:w="1701" w:type="dxa"/>
          </w:tcPr>
          <w:p w14:paraId="178BA99F" w14:textId="77777777" w:rsidR="00132BD7" w:rsidRPr="00264D5D" w:rsidRDefault="00132BD7" w:rsidP="00132BD7">
            <w:pPr>
              <w:widowControl w:val="0"/>
              <w:spacing w:before="60" w:after="60"/>
              <w:rPr>
                <w:sz w:val="22"/>
                <w:szCs w:val="22"/>
                <w:lang w:val="en-US"/>
              </w:rPr>
            </w:pPr>
            <w:r w:rsidRPr="00264D5D">
              <w:rPr>
                <w:sz w:val="22"/>
                <w:szCs w:val="22"/>
              </w:rPr>
              <w:t>Rcp_</w:t>
            </w:r>
            <w:r w:rsidRPr="00264D5D">
              <w:rPr>
                <w:sz w:val="22"/>
                <w:szCs w:val="22"/>
                <w:lang w:val="en-US"/>
              </w:rPr>
              <w:t>NmAccnt</w:t>
            </w:r>
          </w:p>
        </w:tc>
        <w:tc>
          <w:tcPr>
            <w:tcW w:w="567" w:type="dxa"/>
          </w:tcPr>
          <w:p w14:paraId="63F6F347" w14:textId="77777777" w:rsidR="00132BD7" w:rsidRPr="00264D5D" w:rsidRDefault="00132BD7" w:rsidP="00132BD7">
            <w:pPr>
              <w:widowControl w:val="0"/>
              <w:spacing w:before="60" w:after="60"/>
              <w:jc w:val="center"/>
              <w:rPr>
                <w:sz w:val="22"/>
                <w:szCs w:val="22"/>
              </w:rPr>
            </w:pPr>
            <w:r w:rsidRPr="00264D5D">
              <w:rPr>
                <w:sz w:val="22"/>
                <w:szCs w:val="22"/>
              </w:rPr>
              <w:t>П</w:t>
            </w:r>
          </w:p>
        </w:tc>
        <w:tc>
          <w:tcPr>
            <w:tcW w:w="1134" w:type="dxa"/>
          </w:tcPr>
          <w:p w14:paraId="13DFE5AE" w14:textId="77777777" w:rsidR="00132BD7" w:rsidRPr="00264D5D" w:rsidRDefault="00132BD7" w:rsidP="00132BD7">
            <w:pPr>
              <w:widowControl w:val="0"/>
              <w:spacing w:before="60" w:after="60"/>
              <w:jc w:val="left"/>
              <w:rPr>
                <w:sz w:val="22"/>
                <w:szCs w:val="22"/>
                <w:lang w:val="en-US"/>
              </w:rPr>
            </w:pPr>
            <w:r w:rsidRPr="00264D5D">
              <w:rPr>
                <w:sz w:val="22"/>
                <w:szCs w:val="22"/>
              </w:rPr>
              <w:t>Т(11)</w:t>
            </w:r>
          </w:p>
        </w:tc>
        <w:tc>
          <w:tcPr>
            <w:tcW w:w="567" w:type="dxa"/>
          </w:tcPr>
          <w:p w14:paraId="0F7AF37E" w14:textId="77777777" w:rsidR="00132BD7" w:rsidRPr="00264D5D" w:rsidRDefault="00132BD7" w:rsidP="00132BD7">
            <w:pPr>
              <w:widowControl w:val="0"/>
              <w:spacing w:before="60" w:after="60"/>
              <w:jc w:val="center"/>
              <w:rPr>
                <w:sz w:val="22"/>
                <w:szCs w:val="22"/>
              </w:rPr>
            </w:pPr>
            <w:r w:rsidRPr="00264D5D">
              <w:rPr>
                <w:sz w:val="22"/>
                <w:szCs w:val="22"/>
              </w:rPr>
              <w:t>О</w:t>
            </w:r>
          </w:p>
        </w:tc>
        <w:tc>
          <w:tcPr>
            <w:tcW w:w="3964" w:type="dxa"/>
          </w:tcPr>
          <w:p w14:paraId="7ADBF3D9" w14:textId="77777777" w:rsidR="00132BD7" w:rsidRPr="00264D5D" w:rsidRDefault="00132BD7" w:rsidP="00132BD7">
            <w:pPr>
              <w:pStyle w:val="ASFKTablenorm"/>
              <w:widowControl w:val="0"/>
              <w:contextualSpacing w:val="0"/>
              <w:rPr>
                <w:sz w:val="22"/>
                <w:szCs w:val="22"/>
              </w:rPr>
            </w:pPr>
            <w:r w:rsidRPr="00264D5D">
              <w:rPr>
                <w:sz w:val="22"/>
                <w:szCs w:val="22"/>
              </w:rPr>
              <w:t>Указывается номер соответствующего лицевого счета, открытого клиенту в территориальном органе Федерального казначейства</w:t>
            </w:r>
          </w:p>
        </w:tc>
      </w:tr>
      <w:tr w:rsidR="00132BD7" w:rsidRPr="00264D5D" w14:paraId="0783269B" w14:textId="77777777" w:rsidTr="00132BD7">
        <w:trPr>
          <w:cnfStyle w:val="000000100000" w:firstRow="0" w:lastRow="0" w:firstColumn="0" w:lastColumn="0" w:oddVBand="0" w:evenVBand="0" w:oddHBand="1" w:evenHBand="0" w:firstRowFirstColumn="0" w:firstRowLastColumn="0" w:lastRowFirstColumn="0" w:lastRowLastColumn="0"/>
          <w:trHeight w:val="283"/>
        </w:trPr>
        <w:tc>
          <w:tcPr>
            <w:tcW w:w="1701" w:type="dxa"/>
          </w:tcPr>
          <w:p w14:paraId="627406C2" w14:textId="77777777" w:rsidR="00132BD7" w:rsidRPr="00264D5D" w:rsidRDefault="00132BD7" w:rsidP="00132BD7">
            <w:pPr>
              <w:widowControl w:val="0"/>
              <w:spacing w:before="60" w:after="60"/>
              <w:rPr>
                <w:sz w:val="22"/>
                <w:szCs w:val="22"/>
              </w:rPr>
            </w:pPr>
            <w:r w:rsidRPr="00264D5D">
              <w:rPr>
                <w:sz w:val="22"/>
                <w:szCs w:val="22"/>
              </w:rPr>
              <w:t>Номер лицевого счета клиента-косвенного участника системы казначейских платежей</w:t>
            </w:r>
          </w:p>
        </w:tc>
        <w:tc>
          <w:tcPr>
            <w:tcW w:w="1701" w:type="dxa"/>
          </w:tcPr>
          <w:p w14:paraId="18341898" w14:textId="77777777" w:rsidR="00132BD7" w:rsidRPr="00264D5D" w:rsidRDefault="00132BD7" w:rsidP="00132BD7">
            <w:pPr>
              <w:widowControl w:val="0"/>
              <w:spacing w:before="60" w:after="60"/>
              <w:rPr>
                <w:sz w:val="22"/>
                <w:szCs w:val="22"/>
              </w:rPr>
            </w:pPr>
            <w:r w:rsidRPr="00264D5D">
              <w:rPr>
                <w:sz w:val="22"/>
                <w:szCs w:val="22"/>
              </w:rPr>
              <w:t>P</w:t>
            </w:r>
            <w:r w:rsidRPr="00264D5D">
              <w:rPr>
                <w:sz w:val="22"/>
                <w:szCs w:val="22"/>
                <w:lang w:val="en-US"/>
              </w:rPr>
              <w:t>bs_Nm</w:t>
            </w:r>
            <w:r w:rsidRPr="00264D5D">
              <w:rPr>
                <w:sz w:val="22"/>
                <w:szCs w:val="22"/>
              </w:rPr>
              <w:t>AccntInd</w:t>
            </w:r>
          </w:p>
        </w:tc>
        <w:tc>
          <w:tcPr>
            <w:tcW w:w="567" w:type="dxa"/>
          </w:tcPr>
          <w:p w14:paraId="21A04A13" w14:textId="77777777" w:rsidR="00132BD7" w:rsidRPr="00264D5D" w:rsidRDefault="00132BD7" w:rsidP="00132BD7">
            <w:pPr>
              <w:widowControl w:val="0"/>
              <w:spacing w:before="60" w:after="60"/>
              <w:jc w:val="center"/>
              <w:rPr>
                <w:sz w:val="22"/>
                <w:szCs w:val="22"/>
              </w:rPr>
            </w:pPr>
            <w:r w:rsidRPr="00264D5D">
              <w:rPr>
                <w:sz w:val="22"/>
                <w:szCs w:val="22"/>
              </w:rPr>
              <w:t>П</w:t>
            </w:r>
          </w:p>
        </w:tc>
        <w:tc>
          <w:tcPr>
            <w:tcW w:w="1134" w:type="dxa"/>
          </w:tcPr>
          <w:p w14:paraId="1D467FFD" w14:textId="77777777" w:rsidR="00132BD7" w:rsidRPr="00264D5D" w:rsidRDefault="00132BD7" w:rsidP="00132BD7">
            <w:pPr>
              <w:widowControl w:val="0"/>
              <w:spacing w:before="60" w:after="60"/>
              <w:jc w:val="left"/>
              <w:rPr>
                <w:sz w:val="22"/>
                <w:szCs w:val="22"/>
              </w:rPr>
            </w:pPr>
            <w:r w:rsidRPr="00264D5D">
              <w:rPr>
                <w:sz w:val="22"/>
                <w:szCs w:val="22"/>
              </w:rPr>
              <w:t>Т(1-25)</w:t>
            </w:r>
          </w:p>
        </w:tc>
        <w:tc>
          <w:tcPr>
            <w:tcW w:w="567" w:type="dxa"/>
          </w:tcPr>
          <w:p w14:paraId="34A8D285" w14:textId="77777777" w:rsidR="00132BD7" w:rsidRPr="00264D5D" w:rsidRDefault="00132BD7" w:rsidP="00132BD7">
            <w:pPr>
              <w:widowControl w:val="0"/>
              <w:spacing w:before="60" w:after="60"/>
              <w:jc w:val="center"/>
              <w:rPr>
                <w:sz w:val="22"/>
                <w:szCs w:val="22"/>
              </w:rPr>
            </w:pPr>
            <w:r w:rsidRPr="00264D5D">
              <w:rPr>
                <w:sz w:val="22"/>
                <w:szCs w:val="22"/>
              </w:rPr>
              <w:t>Н</w:t>
            </w:r>
          </w:p>
        </w:tc>
        <w:tc>
          <w:tcPr>
            <w:tcW w:w="3964" w:type="dxa"/>
          </w:tcPr>
          <w:p w14:paraId="4BA10857" w14:textId="77777777" w:rsidR="00132BD7" w:rsidRPr="00264D5D" w:rsidRDefault="00132BD7" w:rsidP="00132BD7">
            <w:pPr>
              <w:pStyle w:val="ASFKTablenorm"/>
              <w:widowControl w:val="0"/>
              <w:contextualSpacing w:val="0"/>
              <w:rPr>
                <w:sz w:val="22"/>
                <w:szCs w:val="22"/>
              </w:rPr>
            </w:pPr>
            <w:r w:rsidRPr="00264D5D">
              <w:rPr>
                <w:sz w:val="22"/>
                <w:szCs w:val="22"/>
              </w:rPr>
              <w:t>Указывается номер лицевого счета косвенного участника системы казначейских платежей, открытого в финансовом органе субъекта Российской Федерации (муниципального образования) или органе управления внебюджетным фондом.</w:t>
            </w:r>
          </w:p>
          <w:p w14:paraId="7BC9CB24" w14:textId="77777777" w:rsidR="00132BD7" w:rsidRPr="00264D5D" w:rsidRDefault="00132BD7" w:rsidP="00132BD7">
            <w:pPr>
              <w:pStyle w:val="ASFKTablenorm"/>
              <w:widowControl w:val="0"/>
              <w:contextualSpacing w:val="0"/>
              <w:rPr>
                <w:sz w:val="22"/>
                <w:szCs w:val="22"/>
              </w:rPr>
            </w:pPr>
            <w:r w:rsidRPr="00264D5D">
              <w:rPr>
                <w:sz w:val="22"/>
                <w:szCs w:val="22"/>
              </w:rPr>
              <w:lastRenderedPageBreak/>
              <w:t>Заполняется, если поле «Номер лицевого счета» клиента заполнено значением л/с с кодом 02, 12</w:t>
            </w:r>
          </w:p>
        </w:tc>
      </w:tr>
      <w:tr w:rsidR="00132BD7" w:rsidRPr="00264D5D" w14:paraId="768CE482" w14:textId="77777777" w:rsidTr="00132BD7">
        <w:trPr>
          <w:cnfStyle w:val="000000010000" w:firstRow="0" w:lastRow="0" w:firstColumn="0" w:lastColumn="0" w:oddVBand="0" w:evenVBand="0" w:oddHBand="0" w:evenHBand="1" w:firstRowFirstColumn="0" w:firstRowLastColumn="0" w:lastRowFirstColumn="0" w:lastRowLastColumn="0"/>
          <w:trHeight w:val="283"/>
        </w:trPr>
        <w:tc>
          <w:tcPr>
            <w:tcW w:w="1701" w:type="dxa"/>
          </w:tcPr>
          <w:p w14:paraId="4D6CCBF8" w14:textId="77777777" w:rsidR="00132BD7" w:rsidRPr="00264D5D" w:rsidRDefault="00132BD7" w:rsidP="00132BD7">
            <w:pPr>
              <w:widowControl w:val="0"/>
              <w:spacing w:before="60" w:after="60"/>
              <w:rPr>
                <w:sz w:val="22"/>
                <w:szCs w:val="22"/>
              </w:rPr>
            </w:pPr>
            <w:r w:rsidRPr="00264D5D">
              <w:rPr>
                <w:sz w:val="22"/>
                <w:szCs w:val="22"/>
              </w:rPr>
              <w:lastRenderedPageBreak/>
              <w:t>Наименование ГРБС</w:t>
            </w:r>
          </w:p>
        </w:tc>
        <w:tc>
          <w:tcPr>
            <w:tcW w:w="1701" w:type="dxa"/>
          </w:tcPr>
          <w:p w14:paraId="61D9C3C1" w14:textId="77777777" w:rsidR="00132BD7" w:rsidRPr="00264D5D" w:rsidRDefault="00132BD7" w:rsidP="00132BD7">
            <w:pPr>
              <w:widowControl w:val="0"/>
              <w:spacing w:before="60" w:after="60"/>
              <w:rPr>
                <w:sz w:val="22"/>
                <w:szCs w:val="22"/>
                <w:lang w:val="en-US"/>
              </w:rPr>
            </w:pPr>
            <w:r w:rsidRPr="00264D5D">
              <w:rPr>
                <w:sz w:val="22"/>
                <w:szCs w:val="22"/>
              </w:rPr>
              <w:t>Rcp_GRBS</w:t>
            </w:r>
          </w:p>
        </w:tc>
        <w:tc>
          <w:tcPr>
            <w:tcW w:w="567" w:type="dxa"/>
          </w:tcPr>
          <w:p w14:paraId="7A37BB12" w14:textId="77777777" w:rsidR="00132BD7" w:rsidRPr="00264D5D" w:rsidRDefault="00132BD7" w:rsidP="00132BD7">
            <w:pPr>
              <w:widowControl w:val="0"/>
              <w:spacing w:before="60" w:after="60"/>
              <w:jc w:val="center"/>
              <w:rPr>
                <w:sz w:val="22"/>
                <w:szCs w:val="22"/>
              </w:rPr>
            </w:pPr>
            <w:r w:rsidRPr="00264D5D">
              <w:rPr>
                <w:sz w:val="22"/>
                <w:szCs w:val="22"/>
              </w:rPr>
              <w:t>П</w:t>
            </w:r>
          </w:p>
        </w:tc>
        <w:tc>
          <w:tcPr>
            <w:tcW w:w="1134" w:type="dxa"/>
          </w:tcPr>
          <w:p w14:paraId="47109A53" w14:textId="77777777" w:rsidR="00132BD7" w:rsidRPr="00264D5D" w:rsidRDefault="00132BD7" w:rsidP="00132BD7">
            <w:pPr>
              <w:widowControl w:val="0"/>
              <w:spacing w:before="60" w:after="60"/>
              <w:jc w:val="left"/>
              <w:rPr>
                <w:sz w:val="22"/>
                <w:szCs w:val="22"/>
                <w:lang w:val="en-US"/>
              </w:rPr>
            </w:pPr>
            <w:r w:rsidRPr="00264D5D">
              <w:rPr>
                <w:sz w:val="22"/>
                <w:szCs w:val="22"/>
              </w:rPr>
              <w:t>Т(1-2000)</w:t>
            </w:r>
          </w:p>
        </w:tc>
        <w:tc>
          <w:tcPr>
            <w:tcW w:w="567" w:type="dxa"/>
          </w:tcPr>
          <w:p w14:paraId="62FD347F" w14:textId="77777777" w:rsidR="00132BD7" w:rsidRPr="00264D5D" w:rsidRDefault="00132BD7" w:rsidP="00132BD7">
            <w:pPr>
              <w:widowControl w:val="0"/>
              <w:spacing w:before="60" w:after="60"/>
              <w:jc w:val="center"/>
              <w:rPr>
                <w:sz w:val="22"/>
                <w:szCs w:val="22"/>
              </w:rPr>
            </w:pPr>
            <w:r w:rsidRPr="00264D5D">
              <w:rPr>
                <w:sz w:val="22"/>
                <w:szCs w:val="22"/>
              </w:rPr>
              <w:t>Н</w:t>
            </w:r>
          </w:p>
        </w:tc>
        <w:tc>
          <w:tcPr>
            <w:tcW w:w="3964" w:type="dxa"/>
          </w:tcPr>
          <w:p w14:paraId="26D3DDE1" w14:textId="77777777" w:rsidR="00132BD7" w:rsidRPr="00264D5D" w:rsidRDefault="00132BD7" w:rsidP="00132BD7">
            <w:pPr>
              <w:widowControl w:val="0"/>
              <w:spacing w:before="60" w:after="60"/>
              <w:rPr>
                <w:sz w:val="22"/>
                <w:szCs w:val="22"/>
              </w:rPr>
            </w:pPr>
            <w:r w:rsidRPr="00264D5D">
              <w:rPr>
                <w:sz w:val="22"/>
                <w:szCs w:val="22"/>
              </w:rPr>
              <w:t xml:space="preserve">Указывается полное наименование ГРБС, в ведении которого находится клиент, формирующий Распоряжение о перечислении. </w:t>
            </w:r>
          </w:p>
          <w:p w14:paraId="28F3D03D" w14:textId="77777777" w:rsidR="00132BD7" w:rsidRPr="00264D5D" w:rsidRDefault="00132BD7" w:rsidP="00132BD7">
            <w:pPr>
              <w:widowControl w:val="0"/>
              <w:spacing w:before="60" w:after="60"/>
              <w:rPr>
                <w:sz w:val="22"/>
                <w:szCs w:val="22"/>
              </w:rPr>
            </w:pPr>
            <w:r w:rsidRPr="00264D5D">
              <w:rPr>
                <w:sz w:val="22"/>
                <w:szCs w:val="22"/>
              </w:rPr>
              <w:t>Для УБП ГВФ РФ указывается наименование органа управления государственным внебюджетным фондом.</w:t>
            </w:r>
          </w:p>
          <w:p w14:paraId="2C888349" w14:textId="77777777" w:rsidR="00132BD7" w:rsidRPr="00264D5D" w:rsidRDefault="00132BD7" w:rsidP="00132BD7">
            <w:pPr>
              <w:widowControl w:val="0"/>
              <w:spacing w:before="60" w:after="60"/>
              <w:rPr>
                <w:sz w:val="22"/>
                <w:szCs w:val="22"/>
              </w:rPr>
            </w:pPr>
            <w:r w:rsidRPr="00264D5D">
              <w:rPr>
                <w:sz w:val="22"/>
                <w:szCs w:val="22"/>
              </w:rPr>
              <w:t xml:space="preserve">Для БУ, АУ указывается наименование органа, осуществляющего функции и полномочия учредителя в отношении клиента. </w:t>
            </w:r>
          </w:p>
          <w:p w14:paraId="0C215A2B" w14:textId="77777777" w:rsidR="00132BD7" w:rsidRPr="00264D5D" w:rsidRDefault="00132BD7" w:rsidP="00601408">
            <w:pPr>
              <w:pStyle w:val="ASFKTablenorm"/>
              <w:widowControl w:val="0"/>
              <w:contextualSpacing w:val="0"/>
              <w:rPr>
                <w:sz w:val="22"/>
                <w:szCs w:val="22"/>
              </w:rPr>
            </w:pPr>
            <w:r w:rsidRPr="00264D5D">
              <w:rPr>
                <w:sz w:val="22"/>
                <w:szCs w:val="22"/>
              </w:rPr>
              <w:t>Поле не заполняется, если составителем являетс</w:t>
            </w:r>
            <w:r w:rsidRPr="00601408">
              <w:rPr>
                <w:sz w:val="22"/>
                <w:szCs w:val="22"/>
                <w:highlight w:val="green"/>
              </w:rPr>
              <w:t>я Ф</w:t>
            </w:r>
            <w:r w:rsidRPr="00264D5D">
              <w:rPr>
                <w:sz w:val="22"/>
                <w:szCs w:val="22"/>
              </w:rPr>
              <w:t>О БС (МБ)</w:t>
            </w:r>
          </w:p>
        </w:tc>
      </w:tr>
      <w:tr w:rsidR="00132BD7" w:rsidRPr="00264D5D" w14:paraId="16684B5C" w14:textId="77777777" w:rsidTr="00132BD7">
        <w:trPr>
          <w:cnfStyle w:val="000000100000" w:firstRow="0" w:lastRow="0" w:firstColumn="0" w:lastColumn="0" w:oddVBand="0" w:evenVBand="0" w:oddHBand="1" w:evenHBand="0" w:firstRowFirstColumn="0" w:firstRowLastColumn="0" w:lastRowFirstColumn="0" w:lastRowLastColumn="0"/>
          <w:trHeight w:val="283"/>
        </w:trPr>
        <w:tc>
          <w:tcPr>
            <w:tcW w:w="1701" w:type="dxa"/>
          </w:tcPr>
          <w:p w14:paraId="1627349C" w14:textId="77777777" w:rsidR="00132BD7" w:rsidRPr="00264D5D" w:rsidRDefault="00132BD7" w:rsidP="00132BD7">
            <w:pPr>
              <w:widowControl w:val="0"/>
              <w:spacing w:before="60" w:after="60"/>
              <w:rPr>
                <w:sz w:val="22"/>
                <w:szCs w:val="22"/>
              </w:rPr>
            </w:pPr>
            <w:r w:rsidRPr="00264D5D">
              <w:rPr>
                <w:sz w:val="22"/>
                <w:szCs w:val="22"/>
              </w:rPr>
              <w:t>Глава по БК</w:t>
            </w:r>
          </w:p>
        </w:tc>
        <w:tc>
          <w:tcPr>
            <w:tcW w:w="1701" w:type="dxa"/>
          </w:tcPr>
          <w:p w14:paraId="7919EF01" w14:textId="77777777" w:rsidR="00132BD7" w:rsidRPr="00264D5D" w:rsidRDefault="00132BD7" w:rsidP="00132BD7">
            <w:pPr>
              <w:widowControl w:val="0"/>
              <w:spacing w:before="60" w:after="60"/>
              <w:rPr>
                <w:sz w:val="22"/>
                <w:szCs w:val="22"/>
                <w:lang w:val="en-US"/>
              </w:rPr>
            </w:pPr>
            <w:r w:rsidRPr="00264D5D">
              <w:rPr>
                <w:sz w:val="22"/>
                <w:szCs w:val="22"/>
              </w:rPr>
              <w:t>Rcp</w:t>
            </w:r>
            <w:r w:rsidRPr="00264D5D">
              <w:rPr>
                <w:sz w:val="22"/>
                <w:szCs w:val="22"/>
                <w:lang w:val="en-US"/>
              </w:rPr>
              <w:t>_GlvBKCd</w:t>
            </w:r>
          </w:p>
        </w:tc>
        <w:tc>
          <w:tcPr>
            <w:tcW w:w="567" w:type="dxa"/>
          </w:tcPr>
          <w:p w14:paraId="72F2EB40" w14:textId="77777777" w:rsidR="00132BD7" w:rsidRPr="00264D5D" w:rsidRDefault="00132BD7" w:rsidP="00132BD7">
            <w:pPr>
              <w:widowControl w:val="0"/>
              <w:spacing w:before="60" w:after="60"/>
              <w:jc w:val="center"/>
              <w:rPr>
                <w:sz w:val="22"/>
                <w:szCs w:val="22"/>
              </w:rPr>
            </w:pPr>
            <w:r w:rsidRPr="00264D5D">
              <w:rPr>
                <w:sz w:val="22"/>
                <w:szCs w:val="22"/>
              </w:rPr>
              <w:t>П</w:t>
            </w:r>
          </w:p>
        </w:tc>
        <w:tc>
          <w:tcPr>
            <w:tcW w:w="1134" w:type="dxa"/>
          </w:tcPr>
          <w:p w14:paraId="6C37FA0C" w14:textId="77777777" w:rsidR="00132BD7" w:rsidRPr="00264D5D" w:rsidRDefault="00132BD7" w:rsidP="00132BD7">
            <w:pPr>
              <w:widowControl w:val="0"/>
              <w:spacing w:before="60" w:after="60"/>
              <w:jc w:val="left"/>
              <w:rPr>
                <w:sz w:val="22"/>
                <w:szCs w:val="22"/>
                <w:lang w:val="en-US"/>
              </w:rPr>
            </w:pPr>
            <w:r w:rsidRPr="00264D5D">
              <w:rPr>
                <w:sz w:val="22"/>
                <w:szCs w:val="22"/>
              </w:rPr>
              <w:t>Т(3)</w:t>
            </w:r>
          </w:p>
        </w:tc>
        <w:tc>
          <w:tcPr>
            <w:tcW w:w="567" w:type="dxa"/>
          </w:tcPr>
          <w:p w14:paraId="3A808BAE" w14:textId="77777777" w:rsidR="00132BD7" w:rsidRPr="00264D5D" w:rsidRDefault="00132BD7" w:rsidP="00132BD7">
            <w:pPr>
              <w:widowControl w:val="0"/>
              <w:spacing w:before="60" w:after="60"/>
              <w:jc w:val="center"/>
              <w:rPr>
                <w:sz w:val="22"/>
                <w:szCs w:val="22"/>
              </w:rPr>
            </w:pPr>
            <w:r w:rsidRPr="00264D5D">
              <w:rPr>
                <w:sz w:val="22"/>
                <w:szCs w:val="22"/>
              </w:rPr>
              <w:t>Н</w:t>
            </w:r>
          </w:p>
        </w:tc>
        <w:tc>
          <w:tcPr>
            <w:tcW w:w="3964" w:type="dxa"/>
          </w:tcPr>
          <w:p w14:paraId="707B6CA6" w14:textId="77777777" w:rsidR="00132BD7" w:rsidRPr="00264D5D" w:rsidRDefault="00132BD7" w:rsidP="00132BD7">
            <w:pPr>
              <w:widowControl w:val="0"/>
              <w:spacing w:before="60" w:after="60"/>
              <w:rPr>
                <w:sz w:val="22"/>
                <w:szCs w:val="22"/>
              </w:rPr>
            </w:pPr>
            <w:r w:rsidRPr="00264D5D">
              <w:rPr>
                <w:sz w:val="22"/>
                <w:szCs w:val="22"/>
              </w:rPr>
              <w:t>Указывается код главы по бюджетной классификации ГРБС, соответствующий коду, указанному в реестровой записи Сводного реестра.</w:t>
            </w:r>
          </w:p>
          <w:p w14:paraId="4A03FF5C" w14:textId="77777777" w:rsidR="00132BD7" w:rsidRPr="00264D5D" w:rsidRDefault="00132BD7" w:rsidP="00601408">
            <w:pPr>
              <w:pStyle w:val="ASFKTablenorm"/>
              <w:widowControl w:val="0"/>
              <w:contextualSpacing w:val="0"/>
              <w:rPr>
                <w:sz w:val="22"/>
                <w:szCs w:val="22"/>
              </w:rPr>
            </w:pPr>
            <w:r w:rsidRPr="00264D5D">
              <w:rPr>
                <w:sz w:val="22"/>
                <w:szCs w:val="22"/>
              </w:rPr>
              <w:t>Поле не заполняется, если составителем являетс</w:t>
            </w:r>
            <w:r w:rsidRPr="00601408">
              <w:rPr>
                <w:sz w:val="22"/>
                <w:szCs w:val="22"/>
                <w:highlight w:val="green"/>
              </w:rPr>
              <w:t>я Б</w:t>
            </w:r>
            <w:r w:rsidRPr="00264D5D">
              <w:rPr>
                <w:sz w:val="22"/>
                <w:szCs w:val="22"/>
              </w:rPr>
              <w:t>У, АУ, ФО БС (МБ)</w:t>
            </w:r>
          </w:p>
        </w:tc>
      </w:tr>
      <w:tr w:rsidR="00132BD7" w:rsidRPr="00264D5D" w14:paraId="03DF86D1" w14:textId="77777777" w:rsidTr="00132BD7">
        <w:trPr>
          <w:cnfStyle w:val="000000010000" w:firstRow="0" w:lastRow="0" w:firstColumn="0" w:lastColumn="0" w:oddVBand="0" w:evenVBand="0" w:oddHBand="0" w:evenHBand="1" w:firstRowFirstColumn="0" w:firstRowLastColumn="0" w:lastRowFirstColumn="0" w:lastRowLastColumn="0"/>
          <w:trHeight w:val="283"/>
        </w:trPr>
        <w:tc>
          <w:tcPr>
            <w:tcW w:w="1701" w:type="dxa"/>
          </w:tcPr>
          <w:p w14:paraId="3A1FC138" w14:textId="77777777" w:rsidR="00132BD7" w:rsidRPr="00264D5D" w:rsidRDefault="00132BD7" w:rsidP="00132BD7">
            <w:pPr>
              <w:widowControl w:val="0"/>
              <w:spacing w:before="60" w:after="60"/>
              <w:rPr>
                <w:sz w:val="22"/>
                <w:szCs w:val="22"/>
              </w:rPr>
            </w:pPr>
            <w:r w:rsidRPr="00264D5D">
              <w:rPr>
                <w:sz w:val="22"/>
                <w:szCs w:val="22"/>
              </w:rPr>
              <w:t>Наименование бюджета</w:t>
            </w:r>
          </w:p>
        </w:tc>
        <w:tc>
          <w:tcPr>
            <w:tcW w:w="1701" w:type="dxa"/>
          </w:tcPr>
          <w:p w14:paraId="6F444F0B" w14:textId="77777777" w:rsidR="00132BD7" w:rsidRPr="00264D5D" w:rsidRDefault="00132BD7" w:rsidP="00132BD7">
            <w:pPr>
              <w:widowControl w:val="0"/>
              <w:spacing w:before="60" w:after="60"/>
              <w:rPr>
                <w:sz w:val="22"/>
                <w:szCs w:val="22"/>
                <w:lang w:val="en-US"/>
              </w:rPr>
            </w:pPr>
            <w:r w:rsidRPr="00264D5D">
              <w:rPr>
                <w:sz w:val="22"/>
                <w:szCs w:val="22"/>
              </w:rPr>
              <w:t>Rcp_NmBdgt</w:t>
            </w:r>
          </w:p>
        </w:tc>
        <w:tc>
          <w:tcPr>
            <w:tcW w:w="567" w:type="dxa"/>
          </w:tcPr>
          <w:p w14:paraId="2A9940B3" w14:textId="77777777" w:rsidR="00132BD7" w:rsidRPr="00264D5D" w:rsidRDefault="00132BD7" w:rsidP="00132BD7">
            <w:pPr>
              <w:widowControl w:val="0"/>
              <w:spacing w:before="60" w:after="60"/>
              <w:jc w:val="center"/>
              <w:rPr>
                <w:sz w:val="22"/>
                <w:szCs w:val="22"/>
              </w:rPr>
            </w:pPr>
            <w:r w:rsidRPr="00264D5D">
              <w:rPr>
                <w:sz w:val="22"/>
                <w:szCs w:val="22"/>
              </w:rPr>
              <w:t>П</w:t>
            </w:r>
          </w:p>
        </w:tc>
        <w:tc>
          <w:tcPr>
            <w:tcW w:w="1134" w:type="dxa"/>
          </w:tcPr>
          <w:p w14:paraId="5453D57D" w14:textId="77777777" w:rsidR="00132BD7" w:rsidRPr="00264D5D" w:rsidRDefault="00132BD7" w:rsidP="00132BD7">
            <w:pPr>
              <w:widowControl w:val="0"/>
              <w:spacing w:before="60" w:after="60"/>
              <w:jc w:val="left"/>
              <w:rPr>
                <w:sz w:val="22"/>
                <w:szCs w:val="22"/>
                <w:lang w:val="en-US"/>
              </w:rPr>
            </w:pPr>
            <w:r w:rsidRPr="00264D5D">
              <w:rPr>
                <w:sz w:val="22"/>
                <w:szCs w:val="22"/>
              </w:rPr>
              <w:t>Т(1-512)</w:t>
            </w:r>
          </w:p>
        </w:tc>
        <w:tc>
          <w:tcPr>
            <w:tcW w:w="567" w:type="dxa"/>
          </w:tcPr>
          <w:p w14:paraId="2F31FAAC" w14:textId="77777777" w:rsidR="00132BD7" w:rsidRPr="00264D5D" w:rsidRDefault="00132BD7" w:rsidP="00132BD7">
            <w:pPr>
              <w:widowControl w:val="0"/>
              <w:spacing w:before="60" w:after="60"/>
              <w:jc w:val="center"/>
              <w:rPr>
                <w:sz w:val="22"/>
                <w:szCs w:val="22"/>
              </w:rPr>
            </w:pPr>
            <w:r w:rsidRPr="00264D5D">
              <w:rPr>
                <w:sz w:val="22"/>
                <w:szCs w:val="22"/>
              </w:rPr>
              <w:t>Н</w:t>
            </w:r>
          </w:p>
        </w:tc>
        <w:tc>
          <w:tcPr>
            <w:tcW w:w="3964" w:type="dxa"/>
          </w:tcPr>
          <w:p w14:paraId="2B6A5F4B" w14:textId="77777777" w:rsidR="00132BD7" w:rsidRPr="00264D5D" w:rsidRDefault="00132BD7" w:rsidP="00132BD7">
            <w:pPr>
              <w:widowControl w:val="0"/>
              <w:spacing w:before="60" w:after="60"/>
              <w:rPr>
                <w:sz w:val="22"/>
                <w:szCs w:val="22"/>
              </w:rPr>
            </w:pPr>
            <w:r w:rsidRPr="00264D5D">
              <w:rPr>
                <w:sz w:val="22"/>
                <w:szCs w:val="22"/>
              </w:rPr>
              <w:t>Для УБП федерального уровня, указывается «федеральный бюджет», для УБП субъекта РФ, МО, ГВФ РФ, ТГВФ указывается наименование соответствующего бюджета.</w:t>
            </w:r>
          </w:p>
          <w:p w14:paraId="2AD68CAD" w14:textId="77777777" w:rsidR="00132BD7" w:rsidRPr="00264D5D" w:rsidRDefault="00132BD7" w:rsidP="00132BD7">
            <w:pPr>
              <w:pStyle w:val="ASFKTablenorm"/>
              <w:widowControl w:val="0"/>
              <w:contextualSpacing w:val="0"/>
              <w:rPr>
                <w:sz w:val="22"/>
                <w:szCs w:val="22"/>
              </w:rPr>
            </w:pPr>
            <w:r w:rsidRPr="00264D5D">
              <w:rPr>
                <w:sz w:val="22"/>
                <w:szCs w:val="22"/>
              </w:rPr>
              <w:t>Поле не заполняется, если клиент является АУ, БУ</w:t>
            </w:r>
          </w:p>
        </w:tc>
      </w:tr>
      <w:tr w:rsidR="00132BD7" w:rsidRPr="00264D5D" w14:paraId="0726A853" w14:textId="77777777" w:rsidTr="00132BD7">
        <w:trPr>
          <w:cnfStyle w:val="000000100000" w:firstRow="0" w:lastRow="0" w:firstColumn="0" w:lastColumn="0" w:oddVBand="0" w:evenVBand="0" w:oddHBand="1" w:evenHBand="0" w:firstRowFirstColumn="0" w:firstRowLastColumn="0" w:lastRowFirstColumn="0" w:lastRowLastColumn="0"/>
          <w:trHeight w:val="283"/>
        </w:trPr>
        <w:tc>
          <w:tcPr>
            <w:tcW w:w="1701" w:type="dxa"/>
          </w:tcPr>
          <w:p w14:paraId="3143BBB8" w14:textId="77777777" w:rsidR="00132BD7" w:rsidRPr="00264D5D" w:rsidRDefault="00132BD7" w:rsidP="00132BD7">
            <w:pPr>
              <w:widowControl w:val="0"/>
              <w:spacing w:before="60" w:after="60"/>
              <w:rPr>
                <w:sz w:val="22"/>
                <w:szCs w:val="22"/>
              </w:rPr>
            </w:pPr>
            <w:r w:rsidRPr="00264D5D">
              <w:rPr>
                <w:sz w:val="22"/>
                <w:szCs w:val="22"/>
              </w:rPr>
              <w:t>Наименование ФО/Наименование органа управления ГВБФ (ТГВФ)</w:t>
            </w:r>
          </w:p>
        </w:tc>
        <w:tc>
          <w:tcPr>
            <w:tcW w:w="1701" w:type="dxa"/>
          </w:tcPr>
          <w:p w14:paraId="0E8559BD" w14:textId="77777777" w:rsidR="00132BD7" w:rsidRPr="00264D5D" w:rsidRDefault="00132BD7" w:rsidP="00132BD7">
            <w:pPr>
              <w:widowControl w:val="0"/>
              <w:spacing w:before="60" w:after="60"/>
              <w:rPr>
                <w:sz w:val="22"/>
                <w:szCs w:val="22"/>
                <w:lang w:val="en-US"/>
              </w:rPr>
            </w:pPr>
            <w:r w:rsidRPr="00264D5D">
              <w:rPr>
                <w:sz w:val="22"/>
                <w:szCs w:val="22"/>
              </w:rPr>
              <w:t>Rcp_NmFO</w:t>
            </w:r>
          </w:p>
        </w:tc>
        <w:tc>
          <w:tcPr>
            <w:tcW w:w="567" w:type="dxa"/>
          </w:tcPr>
          <w:p w14:paraId="2CD05D9C" w14:textId="77777777" w:rsidR="00132BD7" w:rsidRPr="00264D5D" w:rsidRDefault="00132BD7" w:rsidP="00132BD7">
            <w:pPr>
              <w:widowControl w:val="0"/>
              <w:spacing w:before="60" w:after="60"/>
              <w:jc w:val="center"/>
              <w:rPr>
                <w:sz w:val="22"/>
                <w:szCs w:val="22"/>
              </w:rPr>
            </w:pPr>
            <w:r w:rsidRPr="00264D5D">
              <w:rPr>
                <w:sz w:val="22"/>
                <w:szCs w:val="22"/>
              </w:rPr>
              <w:t>П</w:t>
            </w:r>
          </w:p>
        </w:tc>
        <w:tc>
          <w:tcPr>
            <w:tcW w:w="1134" w:type="dxa"/>
          </w:tcPr>
          <w:p w14:paraId="50A3FB1E" w14:textId="77777777" w:rsidR="00132BD7" w:rsidRPr="00264D5D" w:rsidRDefault="00132BD7" w:rsidP="00132BD7">
            <w:pPr>
              <w:widowControl w:val="0"/>
              <w:spacing w:before="60" w:after="60"/>
              <w:jc w:val="left"/>
              <w:rPr>
                <w:sz w:val="22"/>
                <w:szCs w:val="22"/>
                <w:lang w:val="en-US"/>
              </w:rPr>
            </w:pPr>
            <w:r w:rsidRPr="00264D5D">
              <w:rPr>
                <w:sz w:val="22"/>
                <w:szCs w:val="22"/>
              </w:rPr>
              <w:t>Т(1-2000)</w:t>
            </w:r>
          </w:p>
        </w:tc>
        <w:tc>
          <w:tcPr>
            <w:tcW w:w="567" w:type="dxa"/>
          </w:tcPr>
          <w:p w14:paraId="3DE598BF" w14:textId="77777777" w:rsidR="00132BD7" w:rsidRPr="00264D5D" w:rsidRDefault="00132BD7" w:rsidP="00132BD7">
            <w:pPr>
              <w:widowControl w:val="0"/>
              <w:spacing w:before="60" w:after="60"/>
              <w:jc w:val="center"/>
              <w:rPr>
                <w:sz w:val="22"/>
                <w:szCs w:val="22"/>
              </w:rPr>
            </w:pPr>
            <w:r w:rsidRPr="00264D5D">
              <w:rPr>
                <w:sz w:val="22"/>
                <w:szCs w:val="22"/>
              </w:rPr>
              <w:t>Н</w:t>
            </w:r>
          </w:p>
        </w:tc>
        <w:tc>
          <w:tcPr>
            <w:tcW w:w="3964" w:type="dxa"/>
          </w:tcPr>
          <w:p w14:paraId="2C21B1FA" w14:textId="77777777" w:rsidR="00132BD7" w:rsidRPr="00264D5D" w:rsidRDefault="00132BD7" w:rsidP="00132BD7">
            <w:pPr>
              <w:widowControl w:val="0"/>
              <w:spacing w:before="60" w:after="60"/>
              <w:rPr>
                <w:sz w:val="22"/>
                <w:szCs w:val="22"/>
              </w:rPr>
            </w:pPr>
            <w:r w:rsidRPr="00264D5D">
              <w:rPr>
                <w:sz w:val="22"/>
                <w:szCs w:val="22"/>
              </w:rPr>
              <w:t>Указывается наименование соответствующего ФО /органа управления государственным внебюджетным фондом/ территориальным государственным внебюджетным фондом, в котором осуществляется обслуживание лицевого счета клиента.</w:t>
            </w:r>
          </w:p>
          <w:p w14:paraId="23B58E73" w14:textId="77777777" w:rsidR="00132BD7" w:rsidRPr="00264D5D" w:rsidRDefault="00132BD7" w:rsidP="00132BD7">
            <w:pPr>
              <w:pStyle w:val="ASFKTablenorm"/>
              <w:widowControl w:val="0"/>
              <w:contextualSpacing w:val="0"/>
              <w:rPr>
                <w:sz w:val="22"/>
                <w:szCs w:val="22"/>
              </w:rPr>
            </w:pPr>
            <w:r w:rsidRPr="00264D5D">
              <w:rPr>
                <w:sz w:val="22"/>
                <w:szCs w:val="22"/>
              </w:rPr>
              <w:t>Не заполняется для АУ, БУ</w:t>
            </w:r>
          </w:p>
        </w:tc>
      </w:tr>
      <w:tr w:rsidR="00132BD7" w:rsidRPr="00264D5D" w14:paraId="60CD307C" w14:textId="77777777" w:rsidTr="00132BD7">
        <w:trPr>
          <w:cnfStyle w:val="000000010000" w:firstRow="0" w:lastRow="0" w:firstColumn="0" w:lastColumn="0" w:oddVBand="0" w:evenVBand="0" w:oddHBand="0" w:evenHBand="1" w:firstRowFirstColumn="0" w:firstRowLastColumn="0" w:lastRowFirstColumn="0" w:lastRowLastColumn="0"/>
          <w:trHeight w:val="283"/>
        </w:trPr>
        <w:tc>
          <w:tcPr>
            <w:tcW w:w="1701" w:type="dxa"/>
          </w:tcPr>
          <w:p w14:paraId="711423C2" w14:textId="77777777" w:rsidR="00132BD7" w:rsidRPr="00264D5D" w:rsidRDefault="00132BD7" w:rsidP="00132BD7">
            <w:pPr>
              <w:widowControl w:val="0"/>
              <w:spacing w:before="60" w:after="60"/>
              <w:rPr>
                <w:sz w:val="22"/>
                <w:szCs w:val="22"/>
              </w:rPr>
            </w:pPr>
            <w:r w:rsidRPr="00264D5D">
              <w:rPr>
                <w:sz w:val="22"/>
                <w:szCs w:val="22"/>
              </w:rPr>
              <w:t xml:space="preserve">Код ФО/Код органа управления </w:t>
            </w:r>
            <w:r w:rsidRPr="00264D5D">
              <w:rPr>
                <w:sz w:val="22"/>
                <w:szCs w:val="22"/>
              </w:rPr>
              <w:lastRenderedPageBreak/>
              <w:t>ГВБФ (ТГВФ)</w:t>
            </w:r>
          </w:p>
        </w:tc>
        <w:tc>
          <w:tcPr>
            <w:tcW w:w="1701" w:type="dxa"/>
          </w:tcPr>
          <w:p w14:paraId="2CACBEBE" w14:textId="77777777" w:rsidR="00132BD7" w:rsidRPr="00264D5D" w:rsidRDefault="00132BD7" w:rsidP="00132BD7">
            <w:pPr>
              <w:widowControl w:val="0"/>
              <w:spacing w:before="60" w:after="60"/>
              <w:rPr>
                <w:sz w:val="22"/>
                <w:szCs w:val="22"/>
                <w:lang w:val="en-US"/>
              </w:rPr>
            </w:pPr>
            <w:r w:rsidRPr="00264D5D">
              <w:rPr>
                <w:sz w:val="22"/>
                <w:szCs w:val="22"/>
              </w:rPr>
              <w:lastRenderedPageBreak/>
              <w:t>Rcp_Cd</w:t>
            </w:r>
            <w:r w:rsidRPr="00264D5D">
              <w:rPr>
                <w:sz w:val="22"/>
                <w:szCs w:val="22"/>
                <w:lang w:val="en-US"/>
              </w:rPr>
              <w:t>FO</w:t>
            </w:r>
          </w:p>
        </w:tc>
        <w:tc>
          <w:tcPr>
            <w:tcW w:w="567" w:type="dxa"/>
          </w:tcPr>
          <w:p w14:paraId="7A1E3CD6" w14:textId="77777777" w:rsidR="00132BD7" w:rsidRPr="00264D5D" w:rsidRDefault="00132BD7" w:rsidP="00132BD7">
            <w:pPr>
              <w:widowControl w:val="0"/>
              <w:spacing w:before="60" w:after="60"/>
              <w:jc w:val="center"/>
              <w:rPr>
                <w:sz w:val="22"/>
                <w:szCs w:val="22"/>
              </w:rPr>
            </w:pPr>
            <w:r w:rsidRPr="00264D5D">
              <w:rPr>
                <w:sz w:val="22"/>
                <w:szCs w:val="22"/>
              </w:rPr>
              <w:t>П</w:t>
            </w:r>
          </w:p>
        </w:tc>
        <w:tc>
          <w:tcPr>
            <w:tcW w:w="1134" w:type="dxa"/>
          </w:tcPr>
          <w:p w14:paraId="7510D852" w14:textId="77777777" w:rsidR="00132BD7" w:rsidRPr="00264D5D" w:rsidRDefault="00132BD7" w:rsidP="00132BD7">
            <w:pPr>
              <w:widowControl w:val="0"/>
              <w:spacing w:before="60" w:after="60"/>
              <w:jc w:val="left"/>
              <w:rPr>
                <w:sz w:val="22"/>
                <w:szCs w:val="22"/>
                <w:lang w:val="en-US"/>
              </w:rPr>
            </w:pPr>
            <w:r w:rsidRPr="00264D5D">
              <w:rPr>
                <w:sz w:val="22"/>
                <w:szCs w:val="22"/>
              </w:rPr>
              <w:t>Т(8)</w:t>
            </w:r>
          </w:p>
        </w:tc>
        <w:tc>
          <w:tcPr>
            <w:tcW w:w="567" w:type="dxa"/>
          </w:tcPr>
          <w:p w14:paraId="2247C84A" w14:textId="77777777" w:rsidR="00132BD7" w:rsidRPr="00264D5D" w:rsidRDefault="00132BD7" w:rsidP="00132BD7">
            <w:pPr>
              <w:widowControl w:val="0"/>
              <w:spacing w:before="60" w:after="60"/>
              <w:jc w:val="center"/>
              <w:rPr>
                <w:sz w:val="22"/>
                <w:szCs w:val="22"/>
              </w:rPr>
            </w:pPr>
            <w:r w:rsidRPr="00264D5D">
              <w:rPr>
                <w:sz w:val="22"/>
                <w:szCs w:val="22"/>
              </w:rPr>
              <w:t>Н</w:t>
            </w:r>
          </w:p>
        </w:tc>
        <w:tc>
          <w:tcPr>
            <w:tcW w:w="3964" w:type="dxa"/>
          </w:tcPr>
          <w:p w14:paraId="36DB7428" w14:textId="77777777" w:rsidR="00132BD7" w:rsidRPr="00264D5D" w:rsidRDefault="00132BD7" w:rsidP="00132BD7">
            <w:pPr>
              <w:widowControl w:val="0"/>
              <w:spacing w:before="60" w:after="60"/>
              <w:rPr>
                <w:sz w:val="22"/>
                <w:szCs w:val="22"/>
              </w:rPr>
            </w:pPr>
            <w:r w:rsidRPr="00264D5D">
              <w:rPr>
                <w:sz w:val="22"/>
                <w:szCs w:val="22"/>
              </w:rPr>
              <w:t xml:space="preserve">Указывается код органа соответствующего ФО/органа управления государственным внебюджетным </w:t>
            </w:r>
            <w:r w:rsidRPr="00264D5D">
              <w:rPr>
                <w:sz w:val="22"/>
                <w:szCs w:val="22"/>
              </w:rPr>
              <w:lastRenderedPageBreak/>
              <w:t>фондом/территориальным государственным внебюджетным фондом по Сводному реестру.</w:t>
            </w:r>
          </w:p>
          <w:p w14:paraId="1C0401FE" w14:textId="77777777" w:rsidR="00132BD7" w:rsidRPr="00264D5D" w:rsidRDefault="00132BD7" w:rsidP="00132BD7">
            <w:pPr>
              <w:pStyle w:val="ASFKTablenorm"/>
              <w:widowControl w:val="0"/>
              <w:contextualSpacing w:val="0"/>
              <w:rPr>
                <w:sz w:val="22"/>
                <w:szCs w:val="22"/>
              </w:rPr>
            </w:pPr>
            <w:r w:rsidRPr="00264D5D">
              <w:rPr>
                <w:sz w:val="22"/>
                <w:szCs w:val="22"/>
              </w:rPr>
              <w:t>Не заполняется для АУ, БУ</w:t>
            </w:r>
          </w:p>
        </w:tc>
      </w:tr>
      <w:tr w:rsidR="00132BD7" w:rsidRPr="00264D5D" w14:paraId="0EE48D76" w14:textId="77777777" w:rsidTr="00132BD7">
        <w:trPr>
          <w:cnfStyle w:val="000000100000" w:firstRow="0" w:lastRow="0" w:firstColumn="0" w:lastColumn="0" w:oddVBand="0" w:evenVBand="0" w:oddHBand="1" w:evenHBand="0" w:firstRowFirstColumn="0" w:firstRowLastColumn="0" w:lastRowFirstColumn="0" w:lastRowLastColumn="0"/>
          <w:trHeight w:val="283"/>
        </w:trPr>
        <w:tc>
          <w:tcPr>
            <w:tcW w:w="1701" w:type="dxa"/>
          </w:tcPr>
          <w:p w14:paraId="3AC9DC44" w14:textId="77777777" w:rsidR="00132BD7" w:rsidRPr="00264D5D" w:rsidRDefault="00132BD7" w:rsidP="00132BD7">
            <w:pPr>
              <w:widowControl w:val="0"/>
              <w:spacing w:before="60" w:after="60"/>
              <w:rPr>
                <w:sz w:val="22"/>
                <w:szCs w:val="22"/>
              </w:rPr>
            </w:pPr>
            <w:r w:rsidRPr="00264D5D">
              <w:rPr>
                <w:sz w:val="22"/>
                <w:szCs w:val="22"/>
              </w:rPr>
              <w:lastRenderedPageBreak/>
              <w:t>Наименование ТОФК</w:t>
            </w:r>
          </w:p>
        </w:tc>
        <w:tc>
          <w:tcPr>
            <w:tcW w:w="1701" w:type="dxa"/>
          </w:tcPr>
          <w:p w14:paraId="6D13E0A9" w14:textId="77777777" w:rsidR="00132BD7" w:rsidRPr="00264D5D" w:rsidRDefault="00132BD7" w:rsidP="00132BD7">
            <w:pPr>
              <w:widowControl w:val="0"/>
              <w:spacing w:before="60" w:after="60"/>
              <w:rPr>
                <w:sz w:val="22"/>
                <w:szCs w:val="22"/>
                <w:lang w:val="en-US"/>
              </w:rPr>
            </w:pPr>
            <w:r w:rsidRPr="00264D5D">
              <w:rPr>
                <w:sz w:val="22"/>
                <w:szCs w:val="22"/>
              </w:rPr>
              <w:t>Rcp_Nm</w:t>
            </w:r>
            <w:r w:rsidRPr="00264D5D">
              <w:rPr>
                <w:sz w:val="22"/>
                <w:szCs w:val="22"/>
                <w:lang w:val="en-US"/>
              </w:rPr>
              <w:t>T</w:t>
            </w:r>
            <w:r w:rsidRPr="00264D5D">
              <w:rPr>
                <w:sz w:val="22"/>
                <w:szCs w:val="22"/>
              </w:rPr>
              <w:t>OFK</w:t>
            </w:r>
          </w:p>
        </w:tc>
        <w:tc>
          <w:tcPr>
            <w:tcW w:w="567" w:type="dxa"/>
          </w:tcPr>
          <w:p w14:paraId="2E9EA9EF" w14:textId="77777777" w:rsidR="00132BD7" w:rsidRPr="00264D5D" w:rsidRDefault="00132BD7" w:rsidP="00132BD7">
            <w:pPr>
              <w:widowControl w:val="0"/>
              <w:spacing w:before="60" w:after="60"/>
              <w:jc w:val="center"/>
              <w:rPr>
                <w:sz w:val="22"/>
                <w:szCs w:val="22"/>
              </w:rPr>
            </w:pPr>
            <w:r w:rsidRPr="00264D5D">
              <w:rPr>
                <w:sz w:val="22"/>
                <w:szCs w:val="22"/>
              </w:rPr>
              <w:t>П</w:t>
            </w:r>
          </w:p>
        </w:tc>
        <w:tc>
          <w:tcPr>
            <w:tcW w:w="1134" w:type="dxa"/>
          </w:tcPr>
          <w:p w14:paraId="17E9F717" w14:textId="77777777" w:rsidR="00132BD7" w:rsidRPr="00264D5D" w:rsidRDefault="00132BD7" w:rsidP="00132BD7">
            <w:pPr>
              <w:widowControl w:val="0"/>
              <w:spacing w:before="60" w:after="60"/>
              <w:jc w:val="left"/>
              <w:rPr>
                <w:sz w:val="22"/>
                <w:szCs w:val="22"/>
                <w:lang w:val="en-US"/>
              </w:rPr>
            </w:pPr>
            <w:r w:rsidRPr="00264D5D">
              <w:rPr>
                <w:sz w:val="22"/>
                <w:szCs w:val="22"/>
              </w:rPr>
              <w:t>Т(1-2000)</w:t>
            </w:r>
          </w:p>
        </w:tc>
        <w:tc>
          <w:tcPr>
            <w:tcW w:w="567" w:type="dxa"/>
          </w:tcPr>
          <w:p w14:paraId="05B8E8DA" w14:textId="77777777" w:rsidR="00132BD7" w:rsidRPr="00264D5D" w:rsidRDefault="00132BD7" w:rsidP="00132BD7">
            <w:pPr>
              <w:widowControl w:val="0"/>
              <w:spacing w:before="60" w:after="60"/>
              <w:jc w:val="center"/>
              <w:rPr>
                <w:sz w:val="22"/>
                <w:szCs w:val="22"/>
              </w:rPr>
            </w:pPr>
            <w:r w:rsidRPr="00264D5D">
              <w:rPr>
                <w:sz w:val="22"/>
                <w:szCs w:val="22"/>
              </w:rPr>
              <w:t>О</w:t>
            </w:r>
          </w:p>
        </w:tc>
        <w:tc>
          <w:tcPr>
            <w:tcW w:w="3964" w:type="dxa"/>
          </w:tcPr>
          <w:p w14:paraId="21C9AF37" w14:textId="77777777" w:rsidR="00132BD7" w:rsidRPr="00264D5D" w:rsidRDefault="00132BD7" w:rsidP="00132BD7">
            <w:pPr>
              <w:pStyle w:val="ASFKTablenorm"/>
              <w:widowControl w:val="0"/>
              <w:contextualSpacing w:val="0"/>
              <w:rPr>
                <w:sz w:val="22"/>
                <w:szCs w:val="22"/>
              </w:rPr>
            </w:pPr>
            <w:r w:rsidRPr="00264D5D">
              <w:rPr>
                <w:sz w:val="22"/>
                <w:szCs w:val="22"/>
              </w:rPr>
              <w:t xml:space="preserve">Наименование территориального органа Федерального казначейства, в котором осуществляется обслуживание л/с клиента. </w:t>
            </w:r>
          </w:p>
          <w:p w14:paraId="5153976A" w14:textId="77777777" w:rsidR="00132BD7" w:rsidRPr="00264D5D" w:rsidRDefault="00132BD7" w:rsidP="00132BD7">
            <w:pPr>
              <w:pStyle w:val="ASFKTablenorm"/>
              <w:widowControl w:val="0"/>
              <w:contextualSpacing w:val="0"/>
              <w:rPr>
                <w:sz w:val="22"/>
                <w:szCs w:val="22"/>
              </w:rPr>
            </w:pPr>
            <w:r w:rsidRPr="00264D5D">
              <w:rPr>
                <w:sz w:val="22"/>
                <w:szCs w:val="22"/>
              </w:rPr>
              <w:t>Поле заполняется в соответствии с централизованным справочником ФК</w:t>
            </w:r>
          </w:p>
        </w:tc>
      </w:tr>
      <w:tr w:rsidR="00132BD7" w:rsidRPr="00264D5D" w14:paraId="48F1D111" w14:textId="77777777" w:rsidTr="00132BD7">
        <w:trPr>
          <w:cnfStyle w:val="000000010000" w:firstRow="0" w:lastRow="0" w:firstColumn="0" w:lastColumn="0" w:oddVBand="0" w:evenVBand="0" w:oddHBand="0" w:evenHBand="1" w:firstRowFirstColumn="0" w:firstRowLastColumn="0" w:lastRowFirstColumn="0" w:lastRowLastColumn="0"/>
          <w:trHeight w:val="283"/>
        </w:trPr>
        <w:tc>
          <w:tcPr>
            <w:tcW w:w="1701" w:type="dxa"/>
          </w:tcPr>
          <w:p w14:paraId="71139412" w14:textId="77777777" w:rsidR="00132BD7" w:rsidRPr="00264D5D" w:rsidRDefault="00132BD7" w:rsidP="00132BD7">
            <w:pPr>
              <w:widowControl w:val="0"/>
              <w:spacing w:before="60" w:after="60"/>
              <w:rPr>
                <w:sz w:val="22"/>
                <w:szCs w:val="22"/>
              </w:rPr>
            </w:pPr>
            <w:r w:rsidRPr="00264D5D">
              <w:rPr>
                <w:sz w:val="22"/>
                <w:szCs w:val="22"/>
              </w:rPr>
              <w:t>Код ТОФК по КОФК</w:t>
            </w:r>
          </w:p>
        </w:tc>
        <w:tc>
          <w:tcPr>
            <w:tcW w:w="1701" w:type="dxa"/>
          </w:tcPr>
          <w:p w14:paraId="17247D30" w14:textId="77777777" w:rsidR="00132BD7" w:rsidRPr="00264D5D" w:rsidRDefault="00132BD7" w:rsidP="00132BD7">
            <w:pPr>
              <w:widowControl w:val="0"/>
              <w:spacing w:before="60" w:after="60"/>
              <w:rPr>
                <w:sz w:val="22"/>
                <w:szCs w:val="22"/>
                <w:lang w:val="en-US"/>
              </w:rPr>
            </w:pPr>
            <w:r w:rsidRPr="00264D5D">
              <w:rPr>
                <w:sz w:val="22"/>
                <w:szCs w:val="22"/>
              </w:rPr>
              <w:t>Rcp_Cd</w:t>
            </w:r>
            <w:r w:rsidRPr="00264D5D">
              <w:rPr>
                <w:sz w:val="22"/>
                <w:szCs w:val="22"/>
                <w:lang w:val="en-US"/>
              </w:rPr>
              <w:t>T</w:t>
            </w:r>
            <w:r w:rsidRPr="00264D5D">
              <w:rPr>
                <w:sz w:val="22"/>
                <w:szCs w:val="22"/>
              </w:rPr>
              <w:t>OFK</w:t>
            </w:r>
          </w:p>
        </w:tc>
        <w:tc>
          <w:tcPr>
            <w:tcW w:w="567" w:type="dxa"/>
          </w:tcPr>
          <w:p w14:paraId="6DE35DA5" w14:textId="77777777" w:rsidR="00132BD7" w:rsidRPr="00264D5D" w:rsidRDefault="00132BD7" w:rsidP="00132BD7">
            <w:pPr>
              <w:widowControl w:val="0"/>
              <w:spacing w:before="60" w:after="60"/>
              <w:jc w:val="center"/>
              <w:rPr>
                <w:sz w:val="22"/>
                <w:szCs w:val="22"/>
              </w:rPr>
            </w:pPr>
            <w:r w:rsidRPr="00264D5D">
              <w:rPr>
                <w:sz w:val="22"/>
                <w:szCs w:val="22"/>
              </w:rPr>
              <w:t>П</w:t>
            </w:r>
          </w:p>
        </w:tc>
        <w:tc>
          <w:tcPr>
            <w:tcW w:w="1134" w:type="dxa"/>
          </w:tcPr>
          <w:p w14:paraId="468C8085" w14:textId="77777777" w:rsidR="00132BD7" w:rsidRPr="00264D5D" w:rsidRDefault="00132BD7" w:rsidP="00132BD7">
            <w:pPr>
              <w:widowControl w:val="0"/>
              <w:spacing w:before="60" w:after="60"/>
              <w:jc w:val="left"/>
              <w:rPr>
                <w:sz w:val="22"/>
                <w:szCs w:val="22"/>
                <w:lang w:val="en-US"/>
              </w:rPr>
            </w:pPr>
            <w:r w:rsidRPr="00264D5D">
              <w:rPr>
                <w:sz w:val="22"/>
                <w:szCs w:val="22"/>
              </w:rPr>
              <w:t>Т(4)</w:t>
            </w:r>
          </w:p>
        </w:tc>
        <w:tc>
          <w:tcPr>
            <w:tcW w:w="567" w:type="dxa"/>
          </w:tcPr>
          <w:p w14:paraId="172B58A4" w14:textId="77777777" w:rsidR="00132BD7" w:rsidRPr="00264D5D" w:rsidRDefault="00132BD7" w:rsidP="00132BD7">
            <w:pPr>
              <w:widowControl w:val="0"/>
              <w:spacing w:before="60" w:after="60"/>
              <w:jc w:val="center"/>
              <w:rPr>
                <w:sz w:val="22"/>
                <w:szCs w:val="22"/>
              </w:rPr>
            </w:pPr>
            <w:r w:rsidRPr="00264D5D">
              <w:rPr>
                <w:sz w:val="22"/>
                <w:szCs w:val="22"/>
              </w:rPr>
              <w:t>О</w:t>
            </w:r>
          </w:p>
        </w:tc>
        <w:tc>
          <w:tcPr>
            <w:tcW w:w="3964" w:type="dxa"/>
          </w:tcPr>
          <w:p w14:paraId="74F45BC0" w14:textId="77777777" w:rsidR="00132BD7" w:rsidRPr="00264D5D" w:rsidRDefault="00132BD7" w:rsidP="00132BD7">
            <w:pPr>
              <w:pStyle w:val="ASFKTablenorm"/>
              <w:widowControl w:val="0"/>
              <w:contextualSpacing w:val="0"/>
              <w:rPr>
                <w:sz w:val="22"/>
                <w:szCs w:val="22"/>
              </w:rPr>
            </w:pPr>
            <w:r w:rsidRPr="00264D5D">
              <w:rPr>
                <w:sz w:val="22"/>
                <w:szCs w:val="22"/>
              </w:rPr>
              <w:t xml:space="preserve">Указывается соответствующий код по КОФК территориального органа Федерального казначейства, в котором осуществляется обслуживание л/с клиента. </w:t>
            </w:r>
          </w:p>
          <w:p w14:paraId="5D70BC39" w14:textId="77777777" w:rsidR="00132BD7" w:rsidRPr="00264D5D" w:rsidRDefault="00132BD7" w:rsidP="00132BD7">
            <w:pPr>
              <w:pStyle w:val="ASFKTablenorm"/>
              <w:widowControl w:val="0"/>
              <w:contextualSpacing w:val="0"/>
              <w:rPr>
                <w:sz w:val="22"/>
                <w:szCs w:val="22"/>
              </w:rPr>
            </w:pPr>
            <w:r w:rsidRPr="00264D5D">
              <w:rPr>
                <w:sz w:val="22"/>
                <w:szCs w:val="22"/>
              </w:rPr>
              <w:t>Поле заполняется в соответствии с централизованным справочником ФК</w:t>
            </w:r>
          </w:p>
        </w:tc>
      </w:tr>
      <w:tr w:rsidR="00132BD7" w:rsidRPr="00264D5D" w14:paraId="54AAEA00" w14:textId="77777777" w:rsidTr="00132BD7">
        <w:trPr>
          <w:cnfStyle w:val="000000100000" w:firstRow="0" w:lastRow="0" w:firstColumn="0" w:lastColumn="0" w:oddVBand="0" w:evenVBand="0" w:oddHBand="1" w:evenHBand="0" w:firstRowFirstColumn="0" w:firstRowLastColumn="0" w:lastRowFirstColumn="0" w:lastRowLastColumn="0"/>
          <w:trHeight w:val="283"/>
        </w:trPr>
        <w:tc>
          <w:tcPr>
            <w:tcW w:w="1701" w:type="dxa"/>
          </w:tcPr>
          <w:p w14:paraId="7FEE4466" w14:textId="77777777" w:rsidR="00132BD7" w:rsidRPr="00264D5D" w:rsidRDefault="00132BD7" w:rsidP="00132BD7">
            <w:pPr>
              <w:widowControl w:val="0"/>
              <w:spacing w:before="60" w:after="60"/>
              <w:rPr>
                <w:sz w:val="22"/>
                <w:szCs w:val="22"/>
              </w:rPr>
            </w:pPr>
            <w:r w:rsidRPr="00264D5D">
              <w:rPr>
                <w:sz w:val="22"/>
                <w:szCs w:val="22"/>
              </w:rPr>
              <w:t>Учетный номер БО</w:t>
            </w:r>
          </w:p>
        </w:tc>
        <w:tc>
          <w:tcPr>
            <w:tcW w:w="1701" w:type="dxa"/>
          </w:tcPr>
          <w:p w14:paraId="72C30B57" w14:textId="77777777" w:rsidR="00132BD7" w:rsidRPr="00264D5D" w:rsidRDefault="00132BD7" w:rsidP="00132BD7">
            <w:pPr>
              <w:widowControl w:val="0"/>
              <w:spacing w:before="60" w:after="60"/>
              <w:rPr>
                <w:sz w:val="22"/>
                <w:szCs w:val="22"/>
              </w:rPr>
            </w:pPr>
            <w:r w:rsidRPr="00264D5D">
              <w:rPr>
                <w:sz w:val="22"/>
                <w:szCs w:val="22"/>
                <w:lang w:val="en-US"/>
              </w:rPr>
              <w:t>Inf</w:t>
            </w:r>
            <w:r w:rsidRPr="00264D5D">
              <w:rPr>
                <w:sz w:val="22"/>
                <w:szCs w:val="22"/>
              </w:rPr>
              <w:t>_NmBO</w:t>
            </w:r>
          </w:p>
        </w:tc>
        <w:tc>
          <w:tcPr>
            <w:tcW w:w="567" w:type="dxa"/>
          </w:tcPr>
          <w:p w14:paraId="3F970669" w14:textId="77777777" w:rsidR="00132BD7" w:rsidRPr="00264D5D" w:rsidRDefault="00132BD7" w:rsidP="00132BD7">
            <w:pPr>
              <w:widowControl w:val="0"/>
              <w:spacing w:before="60" w:after="60"/>
              <w:jc w:val="center"/>
              <w:rPr>
                <w:sz w:val="22"/>
                <w:szCs w:val="22"/>
              </w:rPr>
            </w:pPr>
            <w:r w:rsidRPr="00264D5D">
              <w:rPr>
                <w:sz w:val="22"/>
                <w:szCs w:val="22"/>
              </w:rPr>
              <w:t>П</w:t>
            </w:r>
          </w:p>
        </w:tc>
        <w:tc>
          <w:tcPr>
            <w:tcW w:w="1134" w:type="dxa"/>
          </w:tcPr>
          <w:p w14:paraId="1FDDC316" w14:textId="77777777" w:rsidR="00132BD7" w:rsidRPr="00264D5D" w:rsidRDefault="00132BD7" w:rsidP="00132BD7">
            <w:pPr>
              <w:widowControl w:val="0"/>
              <w:spacing w:before="60" w:after="60"/>
              <w:jc w:val="left"/>
              <w:rPr>
                <w:sz w:val="22"/>
                <w:szCs w:val="22"/>
              </w:rPr>
            </w:pPr>
            <w:r w:rsidRPr="00264D5D">
              <w:rPr>
                <w:sz w:val="22"/>
                <w:szCs w:val="22"/>
              </w:rPr>
              <w:t>Т(16) или Т(19)</w:t>
            </w:r>
          </w:p>
        </w:tc>
        <w:tc>
          <w:tcPr>
            <w:tcW w:w="567" w:type="dxa"/>
          </w:tcPr>
          <w:p w14:paraId="1991EDC6" w14:textId="77777777" w:rsidR="00132BD7" w:rsidRPr="00264D5D" w:rsidRDefault="00132BD7" w:rsidP="00132BD7">
            <w:pPr>
              <w:widowControl w:val="0"/>
              <w:spacing w:before="60" w:after="60"/>
              <w:jc w:val="center"/>
              <w:rPr>
                <w:sz w:val="22"/>
                <w:szCs w:val="22"/>
              </w:rPr>
            </w:pPr>
            <w:r w:rsidRPr="00264D5D">
              <w:rPr>
                <w:sz w:val="22"/>
                <w:szCs w:val="22"/>
              </w:rPr>
              <w:t>Н</w:t>
            </w:r>
          </w:p>
        </w:tc>
        <w:tc>
          <w:tcPr>
            <w:tcW w:w="3964" w:type="dxa"/>
          </w:tcPr>
          <w:p w14:paraId="0E5B830C" w14:textId="77777777" w:rsidR="00132BD7" w:rsidRPr="00264D5D" w:rsidRDefault="00132BD7" w:rsidP="00132BD7">
            <w:pPr>
              <w:widowControl w:val="0"/>
              <w:spacing w:before="60" w:after="60"/>
              <w:rPr>
                <w:sz w:val="22"/>
                <w:szCs w:val="22"/>
              </w:rPr>
            </w:pPr>
            <w:r w:rsidRPr="00264D5D">
              <w:rPr>
                <w:sz w:val="22"/>
                <w:szCs w:val="22"/>
              </w:rPr>
              <w:t xml:space="preserve">Указывается номер бюджетного обязательства, присвоенный органом Федерального казначейства обязательству при постановке его на учет. </w:t>
            </w:r>
          </w:p>
          <w:p w14:paraId="67BF2D16" w14:textId="77777777" w:rsidR="00132BD7" w:rsidRPr="00264D5D" w:rsidRDefault="00132BD7" w:rsidP="00132BD7">
            <w:pPr>
              <w:widowControl w:val="0"/>
              <w:spacing w:before="60" w:after="60"/>
              <w:rPr>
                <w:sz w:val="22"/>
                <w:szCs w:val="22"/>
              </w:rPr>
            </w:pPr>
            <w:r w:rsidRPr="00264D5D">
              <w:rPr>
                <w:sz w:val="22"/>
                <w:szCs w:val="22"/>
              </w:rPr>
              <w:t>Для БО, принятых на учет до 31.12.2015, размерность поля устанавливается как «=16».</w:t>
            </w:r>
          </w:p>
          <w:p w14:paraId="2C319B01" w14:textId="77777777" w:rsidR="00132BD7" w:rsidRPr="00264D5D" w:rsidRDefault="00132BD7" w:rsidP="00132BD7">
            <w:pPr>
              <w:widowControl w:val="0"/>
              <w:spacing w:before="60" w:after="60"/>
              <w:rPr>
                <w:sz w:val="22"/>
                <w:szCs w:val="22"/>
              </w:rPr>
            </w:pPr>
            <w:r w:rsidRPr="00264D5D">
              <w:rPr>
                <w:sz w:val="22"/>
                <w:szCs w:val="22"/>
              </w:rPr>
              <w:t>Для БО, принятых на учет после 01.01.2016, размерность поля устанавливается как «=19».</w:t>
            </w:r>
          </w:p>
          <w:p w14:paraId="0614526E" w14:textId="77777777" w:rsidR="00132BD7" w:rsidRPr="00264D5D" w:rsidRDefault="00132BD7" w:rsidP="00132BD7">
            <w:pPr>
              <w:pStyle w:val="ASFKTablenorm"/>
              <w:widowControl w:val="0"/>
              <w:contextualSpacing w:val="0"/>
              <w:rPr>
                <w:sz w:val="22"/>
                <w:szCs w:val="22"/>
              </w:rPr>
            </w:pPr>
            <w:r w:rsidRPr="00264D5D">
              <w:rPr>
                <w:sz w:val="22"/>
                <w:szCs w:val="22"/>
              </w:rPr>
              <w:t>Не заполняется в случае первичного присвоения номера обязательству при регистрации Распоряжения о перечислении (без предварительной регистрации самого бюджетного обязательства), а также ес</w:t>
            </w:r>
            <w:r w:rsidR="00601408">
              <w:rPr>
                <w:sz w:val="22"/>
                <w:szCs w:val="22"/>
              </w:rPr>
              <w:t>ли составителем являетс</w:t>
            </w:r>
            <w:r w:rsidR="00601408" w:rsidRPr="00601408">
              <w:rPr>
                <w:sz w:val="22"/>
                <w:szCs w:val="22"/>
                <w:highlight w:val="green"/>
              </w:rPr>
              <w:t xml:space="preserve">я </w:t>
            </w:r>
            <w:r w:rsidRPr="00601408">
              <w:rPr>
                <w:sz w:val="22"/>
                <w:szCs w:val="22"/>
                <w:highlight w:val="green"/>
              </w:rPr>
              <w:t>Б</w:t>
            </w:r>
            <w:r w:rsidRPr="00264D5D">
              <w:rPr>
                <w:sz w:val="22"/>
                <w:szCs w:val="22"/>
              </w:rPr>
              <w:t>У, АУ, ФО БС (МБ)</w:t>
            </w:r>
          </w:p>
        </w:tc>
      </w:tr>
      <w:tr w:rsidR="00132BD7" w:rsidRPr="00264D5D" w14:paraId="1D373983" w14:textId="77777777" w:rsidTr="00132BD7">
        <w:trPr>
          <w:cnfStyle w:val="000000010000" w:firstRow="0" w:lastRow="0" w:firstColumn="0" w:lastColumn="0" w:oddVBand="0" w:evenVBand="0" w:oddHBand="0" w:evenHBand="1" w:firstRowFirstColumn="0" w:firstRowLastColumn="0" w:lastRowFirstColumn="0" w:lastRowLastColumn="0"/>
          <w:trHeight w:val="283"/>
        </w:trPr>
        <w:tc>
          <w:tcPr>
            <w:tcW w:w="1701" w:type="dxa"/>
          </w:tcPr>
          <w:p w14:paraId="3BDFEA00" w14:textId="77777777" w:rsidR="00132BD7" w:rsidRPr="00264D5D" w:rsidRDefault="00132BD7" w:rsidP="00132BD7">
            <w:pPr>
              <w:widowControl w:val="0"/>
              <w:spacing w:before="60" w:after="60"/>
              <w:rPr>
                <w:sz w:val="22"/>
                <w:szCs w:val="22"/>
              </w:rPr>
            </w:pPr>
            <w:r w:rsidRPr="00264D5D">
              <w:rPr>
                <w:sz w:val="22"/>
                <w:szCs w:val="22"/>
              </w:rPr>
              <w:t>Учетный номер ДО</w:t>
            </w:r>
          </w:p>
        </w:tc>
        <w:tc>
          <w:tcPr>
            <w:tcW w:w="1701" w:type="dxa"/>
          </w:tcPr>
          <w:p w14:paraId="1820E056" w14:textId="77777777" w:rsidR="00132BD7" w:rsidRPr="00264D5D" w:rsidRDefault="00132BD7" w:rsidP="00132BD7">
            <w:pPr>
              <w:widowControl w:val="0"/>
              <w:spacing w:before="60" w:after="60"/>
              <w:rPr>
                <w:sz w:val="22"/>
                <w:szCs w:val="22"/>
                <w:lang w:val="en-US"/>
              </w:rPr>
            </w:pPr>
            <w:r w:rsidRPr="00264D5D">
              <w:rPr>
                <w:sz w:val="22"/>
                <w:szCs w:val="22"/>
              </w:rPr>
              <w:t>Inf_</w:t>
            </w:r>
            <w:r w:rsidRPr="00264D5D">
              <w:rPr>
                <w:sz w:val="22"/>
                <w:szCs w:val="22"/>
                <w:lang w:val="en-US"/>
              </w:rPr>
              <w:t>AddKlass1</w:t>
            </w:r>
          </w:p>
        </w:tc>
        <w:tc>
          <w:tcPr>
            <w:tcW w:w="567" w:type="dxa"/>
          </w:tcPr>
          <w:p w14:paraId="404B1105" w14:textId="77777777" w:rsidR="00132BD7" w:rsidRPr="00264D5D" w:rsidRDefault="00132BD7" w:rsidP="00132BD7">
            <w:pPr>
              <w:widowControl w:val="0"/>
              <w:spacing w:before="60" w:after="60"/>
              <w:jc w:val="center"/>
              <w:rPr>
                <w:sz w:val="22"/>
                <w:szCs w:val="22"/>
              </w:rPr>
            </w:pPr>
            <w:r w:rsidRPr="00264D5D">
              <w:rPr>
                <w:sz w:val="22"/>
                <w:szCs w:val="22"/>
              </w:rPr>
              <w:t>П</w:t>
            </w:r>
          </w:p>
        </w:tc>
        <w:tc>
          <w:tcPr>
            <w:tcW w:w="1134" w:type="dxa"/>
          </w:tcPr>
          <w:p w14:paraId="1AD8B520" w14:textId="77777777" w:rsidR="00132BD7" w:rsidRPr="00264D5D" w:rsidRDefault="00132BD7" w:rsidP="00132BD7">
            <w:pPr>
              <w:widowControl w:val="0"/>
              <w:spacing w:before="60" w:after="60"/>
              <w:jc w:val="left"/>
              <w:rPr>
                <w:sz w:val="22"/>
                <w:szCs w:val="22"/>
              </w:rPr>
            </w:pPr>
            <w:r w:rsidRPr="00264D5D">
              <w:rPr>
                <w:sz w:val="22"/>
                <w:szCs w:val="22"/>
              </w:rPr>
              <w:t>Т(1-25)</w:t>
            </w:r>
          </w:p>
        </w:tc>
        <w:tc>
          <w:tcPr>
            <w:tcW w:w="567" w:type="dxa"/>
          </w:tcPr>
          <w:p w14:paraId="06A94AF8" w14:textId="77777777" w:rsidR="00132BD7" w:rsidRPr="00264D5D" w:rsidRDefault="00132BD7" w:rsidP="00132BD7">
            <w:pPr>
              <w:widowControl w:val="0"/>
              <w:spacing w:before="60" w:after="60"/>
              <w:jc w:val="center"/>
              <w:rPr>
                <w:sz w:val="22"/>
                <w:szCs w:val="22"/>
              </w:rPr>
            </w:pPr>
            <w:r w:rsidRPr="00264D5D">
              <w:rPr>
                <w:sz w:val="22"/>
                <w:szCs w:val="22"/>
              </w:rPr>
              <w:t>Н</w:t>
            </w:r>
          </w:p>
        </w:tc>
        <w:tc>
          <w:tcPr>
            <w:tcW w:w="3964" w:type="dxa"/>
          </w:tcPr>
          <w:p w14:paraId="27ADC45E" w14:textId="77777777" w:rsidR="00132BD7" w:rsidRPr="00264D5D" w:rsidRDefault="00132BD7" w:rsidP="00132BD7">
            <w:pPr>
              <w:widowControl w:val="0"/>
              <w:spacing w:before="60" w:after="60"/>
              <w:rPr>
                <w:sz w:val="22"/>
                <w:szCs w:val="22"/>
              </w:rPr>
            </w:pPr>
            <w:r w:rsidRPr="00264D5D">
              <w:rPr>
                <w:sz w:val="22"/>
                <w:szCs w:val="22"/>
              </w:rPr>
              <w:t xml:space="preserve">Указывается номер денежного обязательства, присвоенный органом Федерального казначейства обязательству при постановке его на учет. </w:t>
            </w:r>
          </w:p>
          <w:p w14:paraId="50530D6F" w14:textId="77777777" w:rsidR="00132BD7" w:rsidRPr="00264D5D" w:rsidRDefault="00132BD7" w:rsidP="00132BD7">
            <w:pPr>
              <w:widowControl w:val="0"/>
              <w:spacing w:before="60" w:after="60"/>
              <w:rPr>
                <w:sz w:val="22"/>
                <w:szCs w:val="22"/>
              </w:rPr>
            </w:pPr>
            <w:r w:rsidRPr="00264D5D">
              <w:rPr>
                <w:sz w:val="22"/>
                <w:szCs w:val="22"/>
              </w:rPr>
              <w:t xml:space="preserve">В случае, </w:t>
            </w:r>
            <w:r w:rsidRPr="00264D5D">
              <w:rPr>
                <w:rFonts w:eastAsia="Calibri"/>
                <w:sz w:val="22"/>
                <w:szCs w:val="22"/>
              </w:rPr>
              <w:t>е</w:t>
            </w:r>
            <w:r w:rsidR="00601408">
              <w:rPr>
                <w:rFonts w:eastAsia="Calibri"/>
                <w:sz w:val="22"/>
                <w:szCs w:val="22"/>
              </w:rPr>
              <w:t>сли составителем являетс</w:t>
            </w:r>
            <w:r w:rsidR="00601408" w:rsidRPr="00601408">
              <w:rPr>
                <w:rFonts w:eastAsia="Calibri"/>
                <w:sz w:val="22"/>
                <w:szCs w:val="22"/>
                <w:highlight w:val="green"/>
              </w:rPr>
              <w:t>я</w:t>
            </w:r>
            <w:r w:rsidR="00601408">
              <w:rPr>
                <w:rFonts w:eastAsia="Calibri"/>
                <w:sz w:val="22"/>
                <w:szCs w:val="22"/>
                <w:highlight w:val="green"/>
              </w:rPr>
              <w:t xml:space="preserve"> </w:t>
            </w:r>
            <w:r w:rsidRPr="00601408">
              <w:rPr>
                <w:rFonts w:eastAsia="Calibri"/>
                <w:sz w:val="22"/>
                <w:szCs w:val="22"/>
                <w:highlight w:val="green"/>
              </w:rPr>
              <w:t>Б</w:t>
            </w:r>
            <w:r w:rsidRPr="00264D5D">
              <w:rPr>
                <w:rFonts w:eastAsia="Calibri"/>
                <w:sz w:val="22"/>
                <w:szCs w:val="22"/>
              </w:rPr>
              <w:t>У, АУ, ФО БС (МБ), а также</w:t>
            </w:r>
            <w:r w:rsidRPr="00264D5D">
              <w:rPr>
                <w:sz w:val="22"/>
                <w:szCs w:val="22"/>
              </w:rPr>
              <w:t xml:space="preserve"> </w:t>
            </w:r>
            <w:r w:rsidRPr="00264D5D">
              <w:rPr>
                <w:sz w:val="22"/>
                <w:szCs w:val="22"/>
              </w:rPr>
              <w:lastRenderedPageBreak/>
              <w:t>первичного присвоения номера обязательству при регистрации Распоряжения о перечислении (без предварительной регистрации самого денежного обязательства) данное поле клиентом не заполняется</w:t>
            </w:r>
          </w:p>
        </w:tc>
      </w:tr>
      <w:tr w:rsidR="00132BD7" w:rsidRPr="00264D5D" w14:paraId="38A3BBAC" w14:textId="77777777" w:rsidTr="00132BD7">
        <w:trPr>
          <w:cnfStyle w:val="000000100000" w:firstRow="0" w:lastRow="0" w:firstColumn="0" w:lastColumn="0" w:oddVBand="0" w:evenVBand="0" w:oddHBand="1" w:evenHBand="0" w:firstRowFirstColumn="0" w:firstRowLastColumn="0" w:lastRowFirstColumn="0" w:lastRowLastColumn="0"/>
          <w:trHeight w:val="283"/>
        </w:trPr>
        <w:tc>
          <w:tcPr>
            <w:tcW w:w="1701" w:type="dxa"/>
          </w:tcPr>
          <w:p w14:paraId="6AA6166D" w14:textId="77777777" w:rsidR="00132BD7" w:rsidRPr="00264D5D" w:rsidRDefault="00132BD7" w:rsidP="00132BD7">
            <w:pPr>
              <w:widowControl w:val="0"/>
              <w:spacing w:before="60" w:after="60"/>
              <w:rPr>
                <w:sz w:val="22"/>
                <w:szCs w:val="22"/>
              </w:rPr>
            </w:pPr>
            <w:r w:rsidRPr="00264D5D">
              <w:rPr>
                <w:sz w:val="22"/>
                <w:szCs w:val="22"/>
              </w:rPr>
              <w:lastRenderedPageBreak/>
              <w:t>Резервное поле 1</w:t>
            </w:r>
          </w:p>
        </w:tc>
        <w:tc>
          <w:tcPr>
            <w:tcW w:w="1701" w:type="dxa"/>
          </w:tcPr>
          <w:p w14:paraId="00B74A83" w14:textId="77777777" w:rsidR="00132BD7" w:rsidRPr="00264D5D" w:rsidRDefault="00132BD7" w:rsidP="00132BD7">
            <w:pPr>
              <w:widowControl w:val="0"/>
              <w:spacing w:before="60" w:after="60"/>
              <w:rPr>
                <w:sz w:val="22"/>
                <w:szCs w:val="22"/>
              </w:rPr>
            </w:pPr>
            <w:r w:rsidRPr="00264D5D">
              <w:rPr>
                <w:sz w:val="22"/>
                <w:szCs w:val="22"/>
              </w:rPr>
              <w:t>Inf_</w:t>
            </w:r>
            <w:r w:rsidRPr="00264D5D">
              <w:rPr>
                <w:sz w:val="22"/>
                <w:szCs w:val="22"/>
                <w:lang w:val="en-US"/>
              </w:rPr>
              <w:t>AddKlass2</w:t>
            </w:r>
          </w:p>
        </w:tc>
        <w:tc>
          <w:tcPr>
            <w:tcW w:w="567" w:type="dxa"/>
          </w:tcPr>
          <w:p w14:paraId="12B2412F" w14:textId="77777777" w:rsidR="00132BD7" w:rsidRPr="00264D5D" w:rsidRDefault="00132BD7" w:rsidP="00132BD7">
            <w:pPr>
              <w:widowControl w:val="0"/>
              <w:spacing w:before="60" w:after="60"/>
              <w:jc w:val="center"/>
              <w:rPr>
                <w:sz w:val="22"/>
                <w:szCs w:val="22"/>
              </w:rPr>
            </w:pPr>
            <w:r w:rsidRPr="00264D5D">
              <w:rPr>
                <w:sz w:val="22"/>
                <w:szCs w:val="22"/>
              </w:rPr>
              <w:t>П</w:t>
            </w:r>
          </w:p>
        </w:tc>
        <w:tc>
          <w:tcPr>
            <w:tcW w:w="1134" w:type="dxa"/>
          </w:tcPr>
          <w:p w14:paraId="5B7B6763" w14:textId="77777777" w:rsidR="00132BD7" w:rsidRPr="00264D5D" w:rsidRDefault="00132BD7" w:rsidP="00132BD7">
            <w:pPr>
              <w:widowControl w:val="0"/>
              <w:spacing w:before="60" w:after="60"/>
              <w:jc w:val="left"/>
              <w:rPr>
                <w:sz w:val="22"/>
                <w:szCs w:val="22"/>
              </w:rPr>
            </w:pPr>
            <w:r w:rsidRPr="00264D5D">
              <w:rPr>
                <w:sz w:val="22"/>
                <w:szCs w:val="22"/>
              </w:rPr>
              <w:t>Т(1-25)</w:t>
            </w:r>
          </w:p>
        </w:tc>
        <w:tc>
          <w:tcPr>
            <w:tcW w:w="567" w:type="dxa"/>
          </w:tcPr>
          <w:p w14:paraId="283A38F7" w14:textId="77777777" w:rsidR="00132BD7" w:rsidRPr="00264D5D" w:rsidRDefault="00132BD7" w:rsidP="00132BD7">
            <w:pPr>
              <w:widowControl w:val="0"/>
              <w:spacing w:before="60" w:after="60"/>
              <w:jc w:val="center"/>
              <w:rPr>
                <w:sz w:val="22"/>
                <w:szCs w:val="22"/>
              </w:rPr>
            </w:pPr>
            <w:r w:rsidRPr="00264D5D">
              <w:rPr>
                <w:sz w:val="22"/>
                <w:szCs w:val="22"/>
              </w:rPr>
              <w:t>Н</w:t>
            </w:r>
          </w:p>
        </w:tc>
        <w:tc>
          <w:tcPr>
            <w:tcW w:w="3964" w:type="dxa"/>
          </w:tcPr>
          <w:p w14:paraId="5CA81E6A" w14:textId="77777777" w:rsidR="00132BD7" w:rsidRPr="00264D5D" w:rsidRDefault="00132BD7" w:rsidP="00132BD7">
            <w:pPr>
              <w:widowControl w:val="0"/>
              <w:spacing w:before="60" w:after="60"/>
              <w:rPr>
                <w:sz w:val="22"/>
                <w:szCs w:val="22"/>
              </w:rPr>
            </w:pPr>
            <w:r w:rsidRPr="00264D5D">
              <w:rPr>
                <w:sz w:val="22"/>
                <w:szCs w:val="22"/>
              </w:rPr>
              <w:t>Указывается дополнительная аналитическая информация (при необходимости)</w:t>
            </w:r>
          </w:p>
        </w:tc>
      </w:tr>
      <w:tr w:rsidR="00132BD7" w:rsidRPr="00264D5D" w14:paraId="48EDA10B" w14:textId="77777777" w:rsidTr="00132BD7">
        <w:trPr>
          <w:cnfStyle w:val="000000010000" w:firstRow="0" w:lastRow="0" w:firstColumn="0" w:lastColumn="0" w:oddVBand="0" w:evenVBand="0" w:oddHBand="0" w:evenHBand="1" w:firstRowFirstColumn="0" w:firstRowLastColumn="0" w:lastRowFirstColumn="0" w:lastRowLastColumn="0"/>
          <w:trHeight w:val="283"/>
        </w:trPr>
        <w:tc>
          <w:tcPr>
            <w:tcW w:w="1701" w:type="dxa"/>
          </w:tcPr>
          <w:p w14:paraId="7C63964A" w14:textId="77777777" w:rsidR="00132BD7" w:rsidRPr="00264D5D" w:rsidRDefault="00132BD7" w:rsidP="00132BD7">
            <w:pPr>
              <w:widowControl w:val="0"/>
              <w:spacing w:before="60" w:after="60"/>
              <w:rPr>
                <w:sz w:val="22"/>
                <w:szCs w:val="22"/>
              </w:rPr>
            </w:pPr>
            <w:r w:rsidRPr="00264D5D">
              <w:rPr>
                <w:sz w:val="22"/>
                <w:szCs w:val="22"/>
              </w:rPr>
              <w:t>Резервное поле 2</w:t>
            </w:r>
          </w:p>
        </w:tc>
        <w:tc>
          <w:tcPr>
            <w:tcW w:w="1701" w:type="dxa"/>
          </w:tcPr>
          <w:p w14:paraId="138988CD" w14:textId="77777777" w:rsidR="00132BD7" w:rsidRPr="00264D5D" w:rsidRDefault="00132BD7" w:rsidP="00132BD7">
            <w:pPr>
              <w:widowControl w:val="0"/>
              <w:spacing w:before="60" w:after="60"/>
              <w:rPr>
                <w:sz w:val="22"/>
                <w:szCs w:val="22"/>
              </w:rPr>
            </w:pPr>
            <w:r w:rsidRPr="00264D5D">
              <w:rPr>
                <w:sz w:val="22"/>
                <w:szCs w:val="22"/>
              </w:rPr>
              <w:t>Inf_</w:t>
            </w:r>
            <w:r w:rsidRPr="00264D5D">
              <w:rPr>
                <w:sz w:val="22"/>
                <w:szCs w:val="22"/>
                <w:lang w:val="en-US"/>
              </w:rPr>
              <w:t>AddKlass3</w:t>
            </w:r>
          </w:p>
        </w:tc>
        <w:tc>
          <w:tcPr>
            <w:tcW w:w="567" w:type="dxa"/>
          </w:tcPr>
          <w:p w14:paraId="1E51D3F3" w14:textId="77777777" w:rsidR="00132BD7" w:rsidRPr="00264D5D" w:rsidRDefault="00132BD7" w:rsidP="00132BD7">
            <w:pPr>
              <w:widowControl w:val="0"/>
              <w:spacing w:before="60" w:after="60"/>
              <w:jc w:val="center"/>
              <w:rPr>
                <w:sz w:val="22"/>
                <w:szCs w:val="22"/>
              </w:rPr>
            </w:pPr>
            <w:r w:rsidRPr="00264D5D">
              <w:rPr>
                <w:sz w:val="22"/>
                <w:szCs w:val="22"/>
              </w:rPr>
              <w:t>П</w:t>
            </w:r>
          </w:p>
        </w:tc>
        <w:tc>
          <w:tcPr>
            <w:tcW w:w="1134" w:type="dxa"/>
          </w:tcPr>
          <w:p w14:paraId="443CE2F3" w14:textId="77777777" w:rsidR="00132BD7" w:rsidRPr="00264D5D" w:rsidRDefault="00132BD7" w:rsidP="00132BD7">
            <w:pPr>
              <w:widowControl w:val="0"/>
              <w:spacing w:before="60" w:after="60"/>
              <w:jc w:val="left"/>
              <w:rPr>
                <w:sz w:val="22"/>
                <w:szCs w:val="22"/>
              </w:rPr>
            </w:pPr>
            <w:r w:rsidRPr="00264D5D">
              <w:rPr>
                <w:sz w:val="22"/>
                <w:szCs w:val="22"/>
              </w:rPr>
              <w:t>Т(1-25)</w:t>
            </w:r>
          </w:p>
        </w:tc>
        <w:tc>
          <w:tcPr>
            <w:tcW w:w="567" w:type="dxa"/>
          </w:tcPr>
          <w:p w14:paraId="6EDB5DAA" w14:textId="77777777" w:rsidR="00132BD7" w:rsidRPr="00264D5D" w:rsidRDefault="00132BD7" w:rsidP="00132BD7">
            <w:pPr>
              <w:widowControl w:val="0"/>
              <w:spacing w:before="60" w:after="60"/>
              <w:jc w:val="center"/>
              <w:rPr>
                <w:sz w:val="22"/>
                <w:szCs w:val="22"/>
              </w:rPr>
            </w:pPr>
            <w:r w:rsidRPr="00264D5D">
              <w:rPr>
                <w:sz w:val="22"/>
                <w:szCs w:val="22"/>
              </w:rPr>
              <w:t>Н</w:t>
            </w:r>
          </w:p>
        </w:tc>
        <w:tc>
          <w:tcPr>
            <w:tcW w:w="3964" w:type="dxa"/>
          </w:tcPr>
          <w:p w14:paraId="70A53758" w14:textId="77777777" w:rsidR="00132BD7" w:rsidRPr="00264D5D" w:rsidRDefault="00132BD7" w:rsidP="00132BD7">
            <w:pPr>
              <w:widowControl w:val="0"/>
              <w:spacing w:before="60" w:after="60"/>
              <w:rPr>
                <w:sz w:val="22"/>
                <w:szCs w:val="22"/>
              </w:rPr>
            </w:pPr>
            <w:r w:rsidRPr="00264D5D">
              <w:rPr>
                <w:sz w:val="22"/>
                <w:szCs w:val="22"/>
              </w:rPr>
              <w:t>Указывается номер реестровой записи соглашения по МБТ, на основании которого было поставлено на учет соответствующее БО. Поле заполняется в случае двух и более соглашений по МБТ.</w:t>
            </w:r>
          </w:p>
          <w:p w14:paraId="0D491D17" w14:textId="77777777" w:rsidR="00132BD7" w:rsidRPr="00264D5D" w:rsidRDefault="00132BD7" w:rsidP="00132BD7">
            <w:pPr>
              <w:widowControl w:val="0"/>
              <w:spacing w:before="60" w:after="60"/>
              <w:rPr>
                <w:sz w:val="22"/>
                <w:szCs w:val="22"/>
              </w:rPr>
            </w:pPr>
            <w:r w:rsidRPr="00264D5D">
              <w:rPr>
                <w:sz w:val="22"/>
                <w:szCs w:val="22"/>
              </w:rPr>
              <w:t xml:space="preserve">Заполняется в формате «МБТХХХХХХХХХХХХХХ», где </w:t>
            </w:r>
            <w:r w:rsidRPr="00264D5D">
              <w:rPr>
                <w:sz w:val="22"/>
                <w:szCs w:val="22"/>
                <w:lang w:val="en-US"/>
              </w:rPr>
              <w:t>X</w:t>
            </w:r>
            <w:r w:rsidRPr="00264D5D">
              <w:rPr>
                <w:sz w:val="22"/>
                <w:szCs w:val="22"/>
              </w:rPr>
              <w:t xml:space="preserve"> – число от 0 до 9</w:t>
            </w:r>
          </w:p>
        </w:tc>
      </w:tr>
      <w:tr w:rsidR="00132BD7" w:rsidRPr="00264D5D" w14:paraId="429EF607" w14:textId="77777777" w:rsidTr="00132BD7">
        <w:trPr>
          <w:cnfStyle w:val="000000100000" w:firstRow="0" w:lastRow="0" w:firstColumn="0" w:lastColumn="0" w:oddVBand="0" w:evenVBand="0" w:oddHBand="1" w:evenHBand="0" w:firstRowFirstColumn="0" w:firstRowLastColumn="0" w:lastRowFirstColumn="0" w:lastRowLastColumn="0"/>
          <w:trHeight w:val="283"/>
        </w:trPr>
        <w:tc>
          <w:tcPr>
            <w:tcW w:w="1701" w:type="dxa"/>
          </w:tcPr>
          <w:p w14:paraId="5F480AD8" w14:textId="77777777" w:rsidR="00132BD7" w:rsidRPr="00264D5D" w:rsidRDefault="00132BD7" w:rsidP="00132BD7">
            <w:pPr>
              <w:widowControl w:val="0"/>
              <w:spacing w:before="60" w:after="60"/>
              <w:rPr>
                <w:sz w:val="22"/>
                <w:szCs w:val="22"/>
              </w:rPr>
            </w:pPr>
            <w:r w:rsidRPr="00264D5D">
              <w:rPr>
                <w:sz w:val="22"/>
                <w:szCs w:val="22"/>
              </w:rPr>
              <w:t>Резервное поле 3</w:t>
            </w:r>
          </w:p>
        </w:tc>
        <w:tc>
          <w:tcPr>
            <w:tcW w:w="1701" w:type="dxa"/>
          </w:tcPr>
          <w:p w14:paraId="69D4F73A" w14:textId="77777777" w:rsidR="00132BD7" w:rsidRPr="00264D5D" w:rsidRDefault="00132BD7" w:rsidP="00132BD7">
            <w:pPr>
              <w:widowControl w:val="0"/>
              <w:spacing w:before="60" w:after="60"/>
              <w:rPr>
                <w:sz w:val="22"/>
                <w:szCs w:val="22"/>
              </w:rPr>
            </w:pPr>
            <w:r w:rsidRPr="00264D5D">
              <w:rPr>
                <w:sz w:val="22"/>
                <w:szCs w:val="22"/>
              </w:rPr>
              <w:t>Inf_</w:t>
            </w:r>
            <w:r w:rsidRPr="00264D5D">
              <w:rPr>
                <w:sz w:val="22"/>
                <w:szCs w:val="22"/>
                <w:lang w:val="en-US"/>
              </w:rPr>
              <w:t>AddKlass4</w:t>
            </w:r>
          </w:p>
        </w:tc>
        <w:tc>
          <w:tcPr>
            <w:tcW w:w="567" w:type="dxa"/>
          </w:tcPr>
          <w:p w14:paraId="2A1D6874" w14:textId="77777777" w:rsidR="00132BD7" w:rsidRPr="00264D5D" w:rsidRDefault="00132BD7" w:rsidP="00132BD7">
            <w:pPr>
              <w:widowControl w:val="0"/>
              <w:spacing w:before="60" w:after="60"/>
              <w:jc w:val="center"/>
              <w:rPr>
                <w:sz w:val="22"/>
                <w:szCs w:val="22"/>
              </w:rPr>
            </w:pPr>
            <w:r w:rsidRPr="00264D5D">
              <w:rPr>
                <w:sz w:val="22"/>
                <w:szCs w:val="22"/>
              </w:rPr>
              <w:t>П</w:t>
            </w:r>
          </w:p>
        </w:tc>
        <w:tc>
          <w:tcPr>
            <w:tcW w:w="1134" w:type="dxa"/>
          </w:tcPr>
          <w:p w14:paraId="453CF1B2" w14:textId="77777777" w:rsidR="00132BD7" w:rsidRPr="00264D5D" w:rsidRDefault="00B215EF" w:rsidP="00132BD7">
            <w:pPr>
              <w:widowControl w:val="0"/>
              <w:spacing w:before="60" w:after="60"/>
              <w:jc w:val="left"/>
              <w:rPr>
                <w:sz w:val="22"/>
                <w:szCs w:val="22"/>
              </w:rPr>
            </w:pPr>
            <w:r w:rsidRPr="00264D5D">
              <w:rPr>
                <w:sz w:val="22"/>
                <w:szCs w:val="22"/>
              </w:rPr>
              <w:t>Т(</w:t>
            </w:r>
            <w:r w:rsidR="00132BD7" w:rsidRPr="00264D5D">
              <w:rPr>
                <w:sz w:val="22"/>
                <w:szCs w:val="22"/>
              </w:rPr>
              <w:t>1- 25)</w:t>
            </w:r>
          </w:p>
        </w:tc>
        <w:tc>
          <w:tcPr>
            <w:tcW w:w="567" w:type="dxa"/>
          </w:tcPr>
          <w:p w14:paraId="4E112569" w14:textId="77777777" w:rsidR="00132BD7" w:rsidRPr="00264D5D" w:rsidRDefault="00132BD7" w:rsidP="00132BD7">
            <w:pPr>
              <w:widowControl w:val="0"/>
              <w:spacing w:before="60" w:after="60"/>
              <w:jc w:val="center"/>
              <w:rPr>
                <w:sz w:val="22"/>
                <w:szCs w:val="22"/>
              </w:rPr>
            </w:pPr>
            <w:r w:rsidRPr="00264D5D">
              <w:rPr>
                <w:sz w:val="22"/>
                <w:szCs w:val="22"/>
              </w:rPr>
              <w:t>Н</w:t>
            </w:r>
          </w:p>
        </w:tc>
        <w:tc>
          <w:tcPr>
            <w:tcW w:w="3964" w:type="dxa"/>
          </w:tcPr>
          <w:p w14:paraId="02D50EA1" w14:textId="77777777" w:rsidR="00132BD7" w:rsidRPr="00264D5D" w:rsidRDefault="00132BD7" w:rsidP="00132BD7">
            <w:pPr>
              <w:widowControl w:val="0"/>
              <w:spacing w:before="60" w:after="60"/>
              <w:rPr>
                <w:sz w:val="22"/>
                <w:szCs w:val="22"/>
              </w:rPr>
            </w:pPr>
            <w:r w:rsidRPr="00264D5D">
              <w:rPr>
                <w:sz w:val="22"/>
                <w:szCs w:val="22"/>
              </w:rPr>
              <w:t>Указывается дополнительная аналитическая информация (при необходимости)</w:t>
            </w:r>
          </w:p>
        </w:tc>
      </w:tr>
      <w:tr w:rsidR="00132BD7" w:rsidRPr="00264D5D" w14:paraId="6D2A94A3" w14:textId="77777777" w:rsidTr="00132BD7">
        <w:trPr>
          <w:cnfStyle w:val="000000010000" w:firstRow="0" w:lastRow="0" w:firstColumn="0" w:lastColumn="0" w:oddVBand="0" w:evenVBand="0" w:oddHBand="0" w:evenHBand="1" w:firstRowFirstColumn="0" w:firstRowLastColumn="0" w:lastRowFirstColumn="0" w:lastRowLastColumn="0"/>
          <w:trHeight w:val="283"/>
        </w:trPr>
        <w:tc>
          <w:tcPr>
            <w:tcW w:w="1701" w:type="dxa"/>
          </w:tcPr>
          <w:p w14:paraId="67514595" w14:textId="77777777" w:rsidR="00132BD7" w:rsidRPr="00264D5D" w:rsidRDefault="00132BD7" w:rsidP="00132BD7">
            <w:pPr>
              <w:widowControl w:val="0"/>
              <w:spacing w:before="60" w:after="60"/>
              <w:rPr>
                <w:sz w:val="22"/>
                <w:szCs w:val="22"/>
              </w:rPr>
            </w:pPr>
            <w:r w:rsidRPr="00264D5D">
              <w:rPr>
                <w:sz w:val="22"/>
                <w:szCs w:val="22"/>
              </w:rPr>
              <w:t>Сумма всего</w:t>
            </w:r>
          </w:p>
        </w:tc>
        <w:tc>
          <w:tcPr>
            <w:tcW w:w="1701" w:type="dxa"/>
          </w:tcPr>
          <w:p w14:paraId="33E74A35" w14:textId="77777777" w:rsidR="00132BD7" w:rsidRPr="00264D5D" w:rsidRDefault="00132BD7" w:rsidP="00132BD7">
            <w:pPr>
              <w:widowControl w:val="0"/>
              <w:spacing w:before="60" w:after="60"/>
              <w:rPr>
                <w:sz w:val="22"/>
                <w:szCs w:val="22"/>
              </w:rPr>
            </w:pPr>
            <w:r w:rsidRPr="00264D5D">
              <w:rPr>
                <w:sz w:val="22"/>
                <w:szCs w:val="22"/>
                <w:lang w:val="en-US"/>
              </w:rPr>
              <w:t>Inf</w:t>
            </w:r>
            <w:r w:rsidRPr="00264D5D">
              <w:rPr>
                <w:sz w:val="22"/>
                <w:szCs w:val="22"/>
              </w:rPr>
              <w:t>_</w:t>
            </w:r>
            <w:r w:rsidRPr="00264D5D">
              <w:rPr>
                <w:sz w:val="22"/>
                <w:szCs w:val="22"/>
                <w:lang w:val="en-US"/>
              </w:rPr>
              <w:t>TotAmnt</w:t>
            </w:r>
          </w:p>
        </w:tc>
        <w:tc>
          <w:tcPr>
            <w:tcW w:w="567" w:type="dxa"/>
          </w:tcPr>
          <w:p w14:paraId="4B16AE5E" w14:textId="77777777" w:rsidR="00132BD7" w:rsidRPr="00264D5D" w:rsidRDefault="00132BD7" w:rsidP="00132BD7">
            <w:pPr>
              <w:widowControl w:val="0"/>
              <w:spacing w:before="60" w:after="60"/>
              <w:jc w:val="center"/>
              <w:rPr>
                <w:sz w:val="22"/>
                <w:szCs w:val="22"/>
              </w:rPr>
            </w:pPr>
            <w:r w:rsidRPr="00264D5D">
              <w:rPr>
                <w:sz w:val="22"/>
                <w:szCs w:val="22"/>
              </w:rPr>
              <w:t>П</w:t>
            </w:r>
          </w:p>
        </w:tc>
        <w:tc>
          <w:tcPr>
            <w:tcW w:w="1134" w:type="dxa"/>
          </w:tcPr>
          <w:p w14:paraId="402C2131" w14:textId="77777777" w:rsidR="00132BD7" w:rsidRPr="00264D5D" w:rsidRDefault="00132BD7" w:rsidP="00132BD7">
            <w:pPr>
              <w:widowControl w:val="0"/>
              <w:spacing w:before="60" w:after="60"/>
              <w:jc w:val="left"/>
              <w:rPr>
                <w:sz w:val="22"/>
                <w:szCs w:val="22"/>
              </w:rPr>
            </w:pPr>
            <w:r w:rsidRPr="00264D5D">
              <w:rPr>
                <w:sz w:val="22"/>
                <w:szCs w:val="22"/>
              </w:rPr>
              <w:t>N(20.2)</w:t>
            </w:r>
          </w:p>
        </w:tc>
        <w:tc>
          <w:tcPr>
            <w:tcW w:w="567" w:type="dxa"/>
          </w:tcPr>
          <w:p w14:paraId="780234DB" w14:textId="77777777" w:rsidR="00132BD7" w:rsidRPr="00264D5D" w:rsidRDefault="00132BD7" w:rsidP="00132BD7">
            <w:pPr>
              <w:widowControl w:val="0"/>
              <w:spacing w:before="60" w:after="60"/>
              <w:jc w:val="center"/>
              <w:rPr>
                <w:sz w:val="22"/>
                <w:szCs w:val="22"/>
              </w:rPr>
            </w:pPr>
            <w:r w:rsidRPr="00264D5D">
              <w:rPr>
                <w:sz w:val="22"/>
                <w:szCs w:val="22"/>
              </w:rPr>
              <w:t>О</w:t>
            </w:r>
          </w:p>
        </w:tc>
        <w:tc>
          <w:tcPr>
            <w:tcW w:w="3964" w:type="dxa"/>
          </w:tcPr>
          <w:p w14:paraId="07B2B085" w14:textId="77777777" w:rsidR="00132BD7" w:rsidRPr="00264D5D" w:rsidRDefault="00132BD7" w:rsidP="00132BD7">
            <w:pPr>
              <w:widowControl w:val="0"/>
              <w:spacing w:before="60" w:after="60"/>
              <w:rPr>
                <w:sz w:val="22"/>
                <w:szCs w:val="22"/>
              </w:rPr>
            </w:pPr>
            <w:r w:rsidRPr="00264D5D">
              <w:rPr>
                <w:sz w:val="22"/>
                <w:szCs w:val="22"/>
              </w:rPr>
              <w:t>Указывается общая сумма выплат по Распоряжению о перечислении, соответствующая сумме значений элементов «VipAmnt» блока «tInf_Pmnts_ITEM»</w:t>
            </w:r>
          </w:p>
        </w:tc>
      </w:tr>
      <w:tr w:rsidR="00132BD7" w:rsidRPr="00264D5D" w14:paraId="6330D968" w14:textId="77777777" w:rsidTr="00132BD7">
        <w:trPr>
          <w:cnfStyle w:val="000000100000" w:firstRow="0" w:lastRow="0" w:firstColumn="0" w:lastColumn="0" w:oddVBand="0" w:evenVBand="0" w:oddHBand="1" w:evenHBand="0" w:firstRowFirstColumn="0" w:firstRowLastColumn="0" w:lastRowFirstColumn="0" w:lastRowLastColumn="0"/>
          <w:trHeight w:val="283"/>
        </w:trPr>
        <w:tc>
          <w:tcPr>
            <w:tcW w:w="1701" w:type="dxa"/>
          </w:tcPr>
          <w:p w14:paraId="15952582" w14:textId="77777777" w:rsidR="00132BD7" w:rsidRPr="00264D5D" w:rsidRDefault="00132BD7" w:rsidP="00132BD7">
            <w:pPr>
              <w:widowControl w:val="0"/>
              <w:spacing w:before="60" w:after="60"/>
              <w:rPr>
                <w:sz w:val="22"/>
                <w:szCs w:val="22"/>
              </w:rPr>
            </w:pPr>
            <w:r w:rsidRPr="00264D5D">
              <w:rPr>
                <w:sz w:val="22"/>
                <w:szCs w:val="22"/>
              </w:rPr>
              <w:t>Информация о выплатах</w:t>
            </w:r>
          </w:p>
        </w:tc>
        <w:tc>
          <w:tcPr>
            <w:tcW w:w="1701" w:type="dxa"/>
          </w:tcPr>
          <w:p w14:paraId="15CC9C1C" w14:textId="77777777" w:rsidR="00132BD7" w:rsidRPr="00264D5D" w:rsidRDefault="00132BD7" w:rsidP="00132BD7">
            <w:pPr>
              <w:widowControl w:val="0"/>
              <w:spacing w:before="60" w:after="60"/>
              <w:rPr>
                <w:sz w:val="22"/>
                <w:szCs w:val="22"/>
                <w:lang w:val="en-US"/>
              </w:rPr>
            </w:pPr>
            <w:r w:rsidRPr="00264D5D">
              <w:rPr>
                <w:sz w:val="22"/>
                <w:szCs w:val="22"/>
                <w:lang w:val="en-US"/>
              </w:rPr>
              <w:t>Inf</w:t>
            </w:r>
            <w:r w:rsidRPr="00264D5D">
              <w:rPr>
                <w:sz w:val="22"/>
                <w:szCs w:val="22"/>
              </w:rPr>
              <w:t>_</w:t>
            </w:r>
            <w:r w:rsidRPr="00264D5D">
              <w:rPr>
                <w:sz w:val="22"/>
                <w:szCs w:val="22"/>
                <w:lang w:val="en-US"/>
              </w:rPr>
              <w:t>Pmnts</w:t>
            </w:r>
          </w:p>
        </w:tc>
        <w:tc>
          <w:tcPr>
            <w:tcW w:w="567" w:type="dxa"/>
          </w:tcPr>
          <w:p w14:paraId="658D9445" w14:textId="77777777" w:rsidR="00132BD7" w:rsidRPr="00264D5D" w:rsidRDefault="00132BD7" w:rsidP="00132BD7">
            <w:pPr>
              <w:widowControl w:val="0"/>
              <w:spacing w:before="60" w:after="60"/>
              <w:jc w:val="center"/>
              <w:rPr>
                <w:sz w:val="22"/>
                <w:szCs w:val="22"/>
              </w:rPr>
            </w:pPr>
            <w:r w:rsidRPr="00264D5D">
              <w:rPr>
                <w:sz w:val="22"/>
                <w:szCs w:val="22"/>
              </w:rPr>
              <w:t>С</w:t>
            </w:r>
          </w:p>
        </w:tc>
        <w:tc>
          <w:tcPr>
            <w:tcW w:w="1134" w:type="dxa"/>
          </w:tcPr>
          <w:p w14:paraId="037DFA74" w14:textId="77777777" w:rsidR="00132BD7" w:rsidRPr="00264D5D" w:rsidRDefault="00132BD7" w:rsidP="00132BD7">
            <w:pPr>
              <w:widowControl w:val="0"/>
              <w:spacing w:before="60" w:after="60"/>
              <w:jc w:val="left"/>
              <w:rPr>
                <w:sz w:val="22"/>
                <w:szCs w:val="22"/>
              </w:rPr>
            </w:pPr>
            <w:r w:rsidRPr="00264D5D">
              <w:rPr>
                <w:sz w:val="22"/>
                <w:szCs w:val="22"/>
                <w:lang w:val="en-US"/>
              </w:rPr>
              <w:t>tInf</w:t>
            </w:r>
            <w:r w:rsidRPr="00264D5D">
              <w:rPr>
                <w:sz w:val="22"/>
                <w:szCs w:val="22"/>
              </w:rPr>
              <w:t>_</w:t>
            </w:r>
            <w:r w:rsidRPr="00264D5D">
              <w:rPr>
                <w:sz w:val="22"/>
                <w:szCs w:val="22"/>
                <w:lang w:val="en-US"/>
              </w:rPr>
              <w:t>Pmnts</w:t>
            </w:r>
          </w:p>
        </w:tc>
        <w:tc>
          <w:tcPr>
            <w:tcW w:w="567" w:type="dxa"/>
          </w:tcPr>
          <w:p w14:paraId="12FDF063" w14:textId="77777777" w:rsidR="00132BD7" w:rsidRPr="00264D5D" w:rsidRDefault="00132BD7" w:rsidP="00132BD7">
            <w:pPr>
              <w:widowControl w:val="0"/>
              <w:spacing w:before="60" w:after="60"/>
              <w:jc w:val="center"/>
              <w:rPr>
                <w:sz w:val="22"/>
                <w:szCs w:val="22"/>
              </w:rPr>
            </w:pPr>
            <w:r w:rsidRPr="00264D5D">
              <w:rPr>
                <w:sz w:val="22"/>
                <w:szCs w:val="22"/>
              </w:rPr>
              <w:t>О</w:t>
            </w:r>
          </w:p>
        </w:tc>
        <w:tc>
          <w:tcPr>
            <w:tcW w:w="3964" w:type="dxa"/>
          </w:tcPr>
          <w:p w14:paraId="32FBBAF1" w14:textId="77777777" w:rsidR="00132BD7" w:rsidRPr="00264D5D" w:rsidRDefault="00132BD7" w:rsidP="00132BD7">
            <w:pPr>
              <w:widowControl w:val="0"/>
              <w:spacing w:before="60" w:after="60"/>
              <w:rPr>
                <w:sz w:val="22"/>
                <w:szCs w:val="22"/>
              </w:rPr>
            </w:pPr>
            <w:r w:rsidRPr="00264D5D">
              <w:rPr>
                <w:sz w:val="22"/>
                <w:szCs w:val="22"/>
              </w:rPr>
              <w:t>Информация о выплатах.</w:t>
            </w:r>
          </w:p>
          <w:p w14:paraId="7E3F7322" w14:textId="180D0E07" w:rsidR="00132BD7" w:rsidRPr="00264D5D" w:rsidRDefault="00132BD7" w:rsidP="00132BD7">
            <w:pPr>
              <w:widowControl w:val="0"/>
              <w:spacing w:before="60" w:after="60"/>
              <w:rPr>
                <w:sz w:val="22"/>
                <w:szCs w:val="22"/>
              </w:rPr>
            </w:pPr>
            <w:r w:rsidRPr="00264D5D">
              <w:rPr>
                <w:sz w:val="22"/>
                <w:szCs w:val="22"/>
              </w:rPr>
              <w:t xml:space="preserve">Состав элемента представлен в таблице </w:t>
            </w:r>
            <w:r w:rsidRPr="00264D5D">
              <w:rPr>
                <w:sz w:val="22"/>
                <w:szCs w:val="22"/>
              </w:rPr>
              <w:fldChar w:fldCharType="begin"/>
            </w:r>
            <w:r w:rsidRPr="00264D5D">
              <w:rPr>
                <w:sz w:val="22"/>
                <w:szCs w:val="22"/>
              </w:rPr>
              <w:instrText xml:space="preserve"> REF _Ref482635412 \h  \* MERGEFORMAT </w:instrText>
            </w:r>
            <w:r w:rsidRPr="00264D5D">
              <w:rPr>
                <w:sz w:val="22"/>
                <w:szCs w:val="22"/>
              </w:rPr>
            </w:r>
            <w:r w:rsidRPr="00264D5D">
              <w:rPr>
                <w:sz w:val="22"/>
                <w:szCs w:val="22"/>
              </w:rPr>
              <w:fldChar w:fldCharType="separate"/>
            </w:r>
            <w:r w:rsidR="008D797C" w:rsidRPr="008D797C">
              <w:rPr>
                <w:rFonts w:eastAsia="Calibri"/>
                <w:b/>
                <w:sz w:val="22"/>
                <w:szCs w:val="22"/>
              </w:rPr>
              <w:t>188</w:t>
            </w:r>
            <w:r w:rsidRPr="00264D5D">
              <w:rPr>
                <w:sz w:val="22"/>
                <w:szCs w:val="22"/>
              </w:rPr>
              <w:fldChar w:fldCharType="end"/>
            </w:r>
          </w:p>
        </w:tc>
      </w:tr>
      <w:tr w:rsidR="00132BD7" w:rsidRPr="00264D5D" w14:paraId="74133E3A" w14:textId="77777777" w:rsidTr="00132BD7">
        <w:trPr>
          <w:cnfStyle w:val="000000010000" w:firstRow="0" w:lastRow="0" w:firstColumn="0" w:lastColumn="0" w:oddVBand="0" w:evenVBand="0" w:oddHBand="0" w:evenHBand="1" w:firstRowFirstColumn="0" w:firstRowLastColumn="0" w:lastRowFirstColumn="0" w:lastRowLastColumn="0"/>
          <w:trHeight w:val="283"/>
        </w:trPr>
        <w:tc>
          <w:tcPr>
            <w:tcW w:w="1701" w:type="dxa"/>
          </w:tcPr>
          <w:p w14:paraId="641166F0" w14:textId="77777777" w:rsidR="00132BD7" w:rsidRPr="00264D5D" w:rsidRDefault="00132BD7" w:rsidP="00132BD7">
            <w:pPr>
              <w:widowControl w:val="0"/>
              <w:spacing w:before="60" w:after="60"/>
              <w:rPr>
                <w:sz w:val="22"/>
                <w:szCs w:val="22"/>
              </w:rPr>
            </w:pPr>
            <w:r w:rsidRPr="00264D5D">
              <w:rPr>
                <w:sz w:val="22"/>
                <w:szCs w:val="22"/>
              </w:rPr>
              <w:t>Итоговые суммы выплат</w:t>
            </w:r>
          </w:p>
        </w:tc>
        <w:tc>
          <w:tcPr>
            <w:tcW w:w="1701" w:type="dxa"/>
          </w:tcPr>
          <w:p w14:paraId="0AA6DE35" w14:textId="77777777" w:rsidR="00132BD7" w:rsidRPr="00264D5D" w:rsidRDefault="00132BD7" w:rsidP="00132BD7">
            <w:pPr>
              <w:widowControl w:val="0"/>
              <w:spacing w:before="60" w:after="60"/>
              <w:rPr>
                <w:sz w:val="22"/>
                <w:szCs w:val="22"/>
              </w:rPr>
            </w:pPr>
            <w:r w:rsidRPr="00264D5D">
              <w:rPr>
                <w:sz w:val="22"/>
                <w:szCs w:val="22"/>
                <w:lang w:val="en-US"/>
              </w:rPr>
              <w:t>KBK</w:t>
            </w:r>
            <w:r w:rsidRPr="00264D5D">
              <w:rPr>
                <w:sz w:val="22"/>
                <w:szCs w:val="22"/>
              </w:rPr>
              <w:t>_</w:t>
            </w:r>
            <w:r w:rsidRPr="00264D5D">
              <w:rPr>
                <w:sz w:val="22"/>
                <w:szCs w:val="22"/>
                <w:lang w:val="en-US"/>
              </w:rPr>
              <w:t>RsltAmnt</w:t>
            </w:r>
          </w:p>
        </w:tc>
        <w:tc>
          <w:tcPr>
            <w:tcW w:w="567" w:type="dxa"/>
          </w:tcPr>
          <w:p w14:paraId="3EA742A3" w14:textId="77777777" w:rsidR="00132BD7" w:rsidRPr="00264D5D" w:rsidRDefault="00132BD7" w:rsidP="00132BD7">
            <w:pPr>
              <w:widowControl w:val="0"/>
              <w:spacing w:before="60" w:after="60"/>
              <w:jc w:val="center"/>
              <w:rPr>
                <w:sz w:val="22"/>
                <w:szCs w:val="22"/>
              </w:rPr>
            </w:pPr>
            <w:r w:rsidRPr="00264D5D">
              <w:rPr>
                <w:sz w:val="22"/>
                <w:szCs w:val="22"/>
              </w:rPr>
              <w:t>С</w:t>
            </w:r>
          </w:p>
        </w:tc>
        <w:tc>
          <w:tcPr>
            <w:tcW w:w="1134" w:type="dxa"/>
          </w:tcPr>
          <w:p w14:paraId="31B44793" w14:textId="77777777" w:rsidR="00132BD7" w:rsidRPr="00264D5D" w:rsidRDefault="00132BD7" w:rsidP="00132BD7">
            <w:pPr>
              <w:widowControl w:val="0"/>
              <w:spacing w:before="60" w:after="60"/>
              <w:jc w:val="left"/>
              <w:rPr>
                <w:sz w:val="22"/>
                <w:szCs w:val="22"/>
              </w:rPr>
            </w:pPr>
            <w:r w:rsidRPr="00264D5D">
              <w:rPr>
                <w:sz w:val="22"/>
                <w:szCs w:val="22"/>
                <w:lang w:val="en-US"/>
              </w:rPr>
              <w:t>tAmntKBK</w:t>
            </w:r>
          </w:p>
        </w:tc>
        <w:tc>
          <w:tcPr>
            <w:tcW w:w="567" w:type="dxa"/>
          </w:tcPr>
          <w:p w14:paraId="6C2A9C81" w14:textId="77777777" w:rsidR="00132BD7" w:rsidRPr="00264D5D" w:rsidRDefault="00132BD7" w:rsidP="00132BD7">
            <w:pPr>
              <w:widowControl w:val="0"/>
              <w:spacing w:before="60" w:after="60"/>
              <w:jc w:val="center"/>
              <w:rPr>
                <w:sz w:val="22"/>
                <w:szCs w:val="22"/>
                <w:lang w:val="en-US"/>
              </w:rPr>
            </w:pPr>
            <w:r w:rsidRPr="00264D5D">
              <w:rPr>
                <w:sz w:val="22"/>
                <w:szCs w:val="22"/>
              </w:rPr>
              <w:t>Н</w:t>
            </w:r>
          </w:p>
        </w:tc>
        <w:tc>
          <w:tcPr>
            <w:tcW w:w="3964" w:type="dxa"/>
          </w:tcPr>
          <w:p w14:paraId="39C2F35B" w14:textId="77777777" w:rsidR="00132BD7" w:rsidRPr="00264D5D" w:rsidRDefault="00132BD7" w:rsidP="00132BD7">
            <w:pPr>
              <w:widowControl w:val="0"/>
              <w:spacing w:before="60" w:after="60"/>
              <w:rPr>
                <w:sz w:val="22"/>
                <w:szCs w:val="22"/>
              </w:rPr>
            </w:pPr>
            <w:r w:rsidRPr="00264D5D">
              <w:rPr>
                <w:sz w:val="22"/>
                <w:szCs w:val="22"/>
              </w:rPr>
              <w:t>Итоговые суммы выплат в соответствии с Распоряжением.</w:t>
            </w:r>
          </w:p>
          <w:p w14:paraId="06FEB285" w14:textId="50EEDE6A" w:rsidR="00132BD7" w:rsidRPr="00264D5D" w:rsidRDefault="00132BD7" w:rsidP="00132BD7">
            <w:pPr>
              <w:widowControl w:val="0"/>
              <w:spacing w:before="60" w:after="60"/>
              <w:rPr>
                <w:sz w:val="22"/>
                <w:szCs w:val="22"/>
              </w:rPr>
            </w:pPr>
            <w:r w:rsidRPr="00264D5D">
              <w:rPr>
                <w:sz w:val="22"/>
                <w:szCs w:val="22"/>
              </w:rPr>
              <w:t xml:space="preserve">Состав элемента представлен в таблице </w:t>
            </w:r>
            <w:r w:rsidRPr="00264D5D">
              <w:rPr>
                <w:sz w:val="22"/>
                <w:szCs w:val="22"/>
              </w:rPr>
              <w:fldChar w:fldCharType="begin"/>
            </w:r>
            <w:r w:rsidRPr="00264D5D">
              <w:rPr>
                <w:sz w:val="22"/>
                <w:szCs w:val="22"/>
              </w:rPr>
              <w:instrText xml:space="preserve"> REF _Ref482635350 \h  \* MERGEFORMAT </w:instrText>
            </w:r>
            <w:r w:rsidRPr="00264D5D">
              <w:rPr>
                <w:sz w:val="22"/>
                <w:szCs w:val="22"/>
              </w:rPr>
            </w:r>
            <w:r w:rsidRPr="00264D5D">
              <w:rPr>
                <w:sz w:val="22"/>
                <w:szCs w:val="22"/>
              </w:rPr>
              <w:fldChar w:fldCharType="separate"/>
            </w:r>
            <w:r w:rsidR="008D797C" w:rsidRPr="008D797C">
              <w:rPr>
                <w:rFonts w:eastAsia="Calibri"/>
                <w:b/>
                <w:sz w:val="22"/>
                <w:szCs w:val="22"/>
              </w:rPr>
              <w:t>190</w:t>
            </w:r>
            <w:r w:rsidRPr="00264D5D">
              <w:rPr>
                <w:sz w:val="22"/>
                <w:szCs w:val="22"/>
              </w:rPr>
              <w:fldChar w:fldCharType="end"/>
            </w:r>
          </w:p>
        </w:tc>
      </w:tr>
      <w:tr w:rsidR="00132BD7" w:rsidRPr="00264D5D" w14:paraId="439C1020"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9634" w:type="dxa"/>
            <w:gridSpan w:val="6"/>
          </w:tcPr>
          <w:p w14:paraId="214733D4" w14:textId="77777777" w:rsidR="00132BD7" w:rsidRPr="00264D5D" w:rsidRDefault="00132BD7" w:rsidP="00132BD7">
            <w:pPr>
              <w:widowControl w:val="0"/>
              <w:spacing w:before="60" w:after="60"/>
              <w:rPr>
                <w:sz w:val="22"/>
                <w:szCs w:val="22"/>
              </w:rPr>
            </w:pPr>
            <w:r w:rsidRPr="00264D5D">
              <w:rPr>
                <w:b/>
                <w:sz w:val="22"/>
                <w:szCs w:val="22"/>
              </w:rPr>
              <w:t>Подписи</w:t>
            </w:r>
          </w:p>
        </w:tc>
      </w:tr>
      <w:tr w:rsidR="00132BD7" w:rsidRPr="00264D5D" w14:paraId="4818E9A8" w14:textId="77777777" w:rsidTr="00132BD7">
        <w:trPr>
          <w:cnfStyle w:val="000000010000" w:firstRow="0" w:lastRow="0" w:firstColumn="0" w:lastColumn="0" w:oddVBand="0" w:evenVBand="0" w:oddHBand="0" w:evenHBand="1" w:firstRowFirstColumn="0" w:firstRowLastColumn="0" w:lastRowFirstColumn="0" w:lastRowLastColumn="0"/>
          <w:trHeight w:val="283"/>
        </w:trPr>
        <w:tc>
          <w:tcPr>
            <w:tcW w:w="1701" w:type="dxa"/>
          </w:tcPr>
          <w:p w14:paraId="552379BC" w14:textId="77777777" w:rsidR="00132BD7" w:rsidRPr="00264D5D" w:rsidRDefault="00132BD7" w:rsidP="00132BD7">
            <w:pPr>
              <w:widowControl w:val="0"/>
              <w:spacing w:before="60" w:after="60"/>
              <w:rPr>
                <w:sz w:val="22"/>
                <w:szCs w:val="22"/>
              </w:rPr>
            </w:pPr>
            <w:r w:rsidRPr="00264D5D">
              <w:rPr>
                <w:color w:val="000000"/>
                <w:sz w:val="22"/>
                <w:szCs w:val="22"/>
              </w:rPr>
              <w:t>Данные о подписях</w:t>
            </w:r>
          </w:p>
        </w:tc>
        <w:tc>
          <w:tcPr>
            <w:tcW w:w="1701" w:type="dxa"/>
          </w:tcPr>
          <w:p w14:paraId="4D020088" w14:textId="77777777" w:rsidR="00132BD7" w:rsidRPr="00264D5D" w:rsidRDefault="00132BD7" w:rsidP="00132BD7">
            <w:pPr>
              <w:widowControl w:val="0"/>
              <w:spacing w:before="60" w:after="60"/>
              <w:rPr>
                <w:sz w:val="22"/>
                <w:szCs w:val="22"/>
                <w:lang w:val="en-US"/>
              </w:rPr>
            </w:pPr>
            <w:r w:rsidRPr="00264D5D">
              <w:rPr>
                <w:color w:val="000000"/>
                <w:sz w:val="22"/>
                <w:szCs w:val="22"/>
              </w:rPr>
              <w:t>SGN</w:t>
            </w:r>
          </w:p>
        </w:tc>
        <w:tc>
          <w:tcPr>
            <w:tcW w:w="567" w:type="dxa"/>
          </w:tcPr>
          <w:p w14:paraId="60DB3613" w14:textId="77777777" w:rsidR="00132BD7" w:rsidRPr="00264D5D" w:rsidRDefault="00132BD7" w:rsidP="00132BD7">
            <w:pPr>
              <w:widowControl w:val="0"/>
              <w:spacing w:before="60" w:after="60"/>
              <w:jc w:val="center"/>
              <w:rPr>
                <w:sz w:val="22"/>
                <w:szCs w:val="22"/>
              </w:rPr>
            </w:pPr>
            <w:r w:rsidRPr="00264D5D">
              <w:rPr>
                <w:rFonts w:eastAsia="Calibri"/>
                <w:sz w:val="22"/>
                <w:szCs w:val="22"/>
              </w:rPr>
              <w:t>С</w:t>
            </w:r>
          </w:p>
        </w:tc>
        <w:tc>
          <w:tcPr>
            <w:tcW w:w="1134" w:type="dxa"/>
          </w:tcPr>
          <w:p w14:paraId="54B65A7B" w14:textId="77777777" w:rsidR="00132BD7" w:rsidRPr="00264D5D" w:rsidRDefault="00132BD7" w:rsidP="00132BD7">
            <w:pPr>
              <w:widowControl w:val="0"/>
              <w:spacing w:before="60" w:after="60"/>
              <w:jc w:val="left"/>
              <w:rPr>
                <w:sz w:val="22"/>
                <w:szCs w:val="22"/>
                <w:lang w:val="en-US"/>
              </w:rPr>
            </w:pPr>
            <w:r w:rsidRPr="00264D5D">
              <w:rPr>
                <w:sz w:val="22"/>
                <w:szCs w:val="22"/>
                <w:lang w:val="en-US"/>
              </w:rPr>
              <w:t>t</w:t>
            </w:r>
            <w:r w:rsidRPr="00264D5D">
              <w:rPr>
                <w:color w:val="000000"/>
                <w:sz w:val="22"/>
                <w:szCs w:val="22"/>
              </w:rPr>
              <w:t>SGN</w:t>
            </w:r>
          </w:p>
        </w:tc>
        <w:tc>
          <w:tcPr>
            <w:tcW w:w="567" w:type="dxa"/>
          </w:tcPr>
          <w:p w14:paraId="72BA09E1" w14:textId="77777777" w:rsidR="00132BD7" w:rsidRPr="00264D5D" w:rsidRDefault="00132BD7" w:rsidP="00132BD7">
            <w:pPr>
              <w:widowControl w:val="0"/>
              <w:spacing w:before="60" w:after="60"/>
              <w:jc w:val="center"/>
              <w:rPr>
                <w:sz w:val="22"/>
                <w:szCs w:val="22"/>
              </w:rPr>
            </w:pPr>
            <w:r w:rsidRPr="00264D5D">
              <w:rPr>
                <w:sz w:val="22"/>
                <w:szCs w:val="22"/>
              </w:rPr>
              <w:t>Н</w:t>
            </w:r>
          </w:p>
        </w:tc>
        <w:tc>
          <w:tcPr>
            <w:tcW w:w="3964" w:type="dxa"/>
          </w:tcPr>
          <w:p w14:paraId="6619FDD6" w14:textId="77777777" w:rsidR="00132BD7" w:rsidRPr="00264D5D" w:rsidRDefault="00132BD7" w:rsidP="00132BD7">
            <w:pPr>
              <w:widowControl w:val="0"/>
              <w:spacing w:before="60" w:after="60"/>
              <w:rPr>
                <w:sz w:val="22"/>
                <w:szCs w:val="22"/>
              </w:rPr>
            </w:pPr>
            <w:r w:rsidRPr="00264D5D">
              <w:rPr>
                <w:sz w:val="22"/>
                <w:szCs w:val="22"/>
              </w:rPr>
              <w:t>Указывается информация о подписях клиента в случае их формирования во внешней системе (с применением сертификат ЭП, выданных УЦ, отличным от УЦ ФК).</w:t>
            </w:r>
          </w:p>
          <w:p w14:paraId="0E2BF9C0" w14:textId="172434D6" w:rsidR="00132BD7" w:rsidRPr="00264D5D" w:rsidRDefault="00132BD7" w:rsidP="00132BD7">
            <w:pPr>
              <w:widowControl w:val="0"/>
              <w:spacing w:before="60" w:after="60"/>
              <w:rPr>
                <w:sz w:val="22"/>
                <w:szCs w:val="22"/>
              </w:rPr>
            </w:pPr>
            <w:r w:rsidRPr="00264D5D">
              <w:rPr>
                <w:sz w:val="22"/>
                <w:szCs w:val="22"/>
              </w:rPr>
              <w:t xml:space="preserve">Состав элемента представлен в таблице </w:t>
            </w:r>
            <w:r w:rsidRPr="00264D5D">
              <w:rPr>
                <w:b/>
                <w:sz w:val="22"/>
                <w:szCs w:val="22"/>
              </w:rPr>
              <w:fldChar w:fldCharType="begin"/>
            </w:r>
            <w:r w:rsidRPr="00264D5D">
              <w:rPr>
                <w:b/>
                <w:sz w:val="22"/>
                <w:szCs w:val="22"/>
              </w:rPr>
              <w:instrText xml:space="preserve"> REF _Ref68857965 \h  \* MERGEFORMAT </w:instrText>
            </w:r>
            <w:r w:rsidRPr="00264D5D">
              <w:rPr>
                <w:b/>
                <w:sz w:val="22"/>
                <w:szCs w:val="22"/>
              </w:rPr>
            </w:r>
            <w:r w:rsidRPr="00264D5D">
              <w:rPr>
                <w:b/>
                <w:sz w:val="22"/>
                <w:szCs w:val="22"/>
              </w:rPr>
              <w:fldChar w:fldCharType="separate"/>
            </w:r>
            <w:r w:rsidR="008D797C" w:rsidRPr="008D797C">
              <w:rPr>
                <w:b/>
                <w:sz w:val="22"/>
                <w:szCs w:val="22"/>
              </w:rPr>
              <w:t>192</w:t>
            </w:r>
            <w:r w:rsidRPr="00264D5D">
              <w:rPr>
                <w:b/>
                <w:sz w:val="22"/>
                <w:szCs w:val="22"/>
              </w:rPr>
              <w:fldChar w:fldCharType="end"/>
            </w:r>
          </w:p>
        </w:tc>
      </w:tr>
      <w:tr w:rsidR="00132BD7" w:rsidRPr="00264D5D" w14:paraId="71C72F14"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9634" w:type="dxa"/>
            <w:gridSpan w:val="6"/>
          </w:tcPr>
          <w:p w14:paraId="7EC8A0A1" w14:textId="77777777" w:rsidR="00132BD7" w:rsidRPr="00264D5D" w:rsidRDefault="00132BD7" w:rsidP="00132BD7">
            <w:pPr>
              <w:widowControl w:val="0"/>
              <w:spacing w:before="60" w:after="60"/>
              <w:rPr>
                <w:sz w:val="22"/>
                <w:szCs w:val="22"/>
              </w:rPr>
            </w:pPr>
            <w:r w:rsidRPr="00264D5D">
              <w:rPr>
                <w:b/>
                <w:sz w:val="22"/>
                <w:szCs w:val="22"/>
              </w:rPr>
              <w:lastRenderedPageBreak/>
              <w:t>ЭП</w:t>
            </w:r>
          </w:p>
        </w:tc>
      </w:tr>
      <w:tr w:rsidR="00132BD7" w:rsidRPr="00264D5D" w14:paraId="1B6750DD" w14:textId="77777777" w:rsidTr="00132BD7">
        <w:trPr>
          <w:cnfStyle w:val="000000010000" w:firstRow="0" w:lastRow="0" w:firstColumn="0" w:lastColumn="0" w:oddVBand="0" w:evenVBand="0" w:oddHBand="0" w:evenHBand="1" w:firstRowFirstColumn="0" w:firstRowLastColumn="0" w:lastRowFirstColumn="0" w:lastRowLastColumn="0"/>
          <w:trHeight w:val="283"/>
        </w:trPr>
        <w:tc>
          <w:tcPr>
            <w:tcW w:w="1701" w:type="dxa"/>
          </w:tcPr>
          <w:p w14:paraId="0166165E" w14:textId="77777777" w:rsidR="00132BD7" w:rsidRPr="00264D5D" w:rsidRDefault="00132BD7" w:rsidP="00132BD7">
            <w:pPr>
              <w:widowControl w:val="0"/>
              <w:spacing w:before="60" w:after="60"/>
              <w:rPr>
                <w:sz w:val="22"/>
                <w:szCs w:val="22"/>
              </w:rPr>
            </w:pPr>
            <w:r w:rsidRPr="00264D5D">
              <w:rPr>
                <w:color w:val="000000"/>
                <w:sz w:val="22"/>
                <w:szCs w:val="22"/>
              </w:rPr>
              <w:t>Электронная подпись</w:t>
            </w:r>
          </w:p>
        </w:tc>
        <w:tc>
          <w:tcPr>
            <w:tcW w:w="1701" w:type="dxa"/>
          </w:tcPr>
          <w:p w14:paraId="4474D09E" w14:textId="77777777" w:rsidR="00132BD7" w:rsidRPr="00264D5D" w:rsidRDefault="00132BD7" w:rsidP="00132BD7">
            <w:pPr>
              <w:widowControl w:val="0"/>
              <w:spacing w:before="60" w:after="60"/>
              <w:rPr>
                <w:sz w:val="22"/>
                <w:szCs w:val="22"/>
              </w:rPr>
            </w:pPr>
            <w:r w:rsidRPr="00264D5D">
              <w:rPr>
                <w:sz w:val="22"/>
                <w:szCs w:val="22"/>
              </w:rPr>
              <w:t>Signature</w:t>
            </w:r>
          </w:p>
        </w:tc>
        <w:tc>
          <w:tcPr>
            <w:tcW w:w="567" w:type="dxa"/>
          </w:tcPr>
          <w:p w14:paraId="50740747" w14:textId="77777777" w:rsidR="00132BD7" w:rsidRPr="00264D5D" w:rsidRDefault="00132BD7" w:rsidP="00132BD7">
            <w:pPr>
              <w:widowControl w:val="0"/>
              <w:spacing w:before="60" w:after="60"/>
              <w:jc w:val="center"/>
              <w:rPr>
                <w:sz w:val="22"/>
                <w:szCs w:val="22"/>
              </w:rPr>
            </w:pPr>
            <w:r w:rsidRPr="00264D5D">
              <w:rPr>
                <w:sz w:val="22"/>
                <w:szCs w:val="22"/>
              </w:rPr>
              <w:t>С</w:t>
            </w:r>
          </w:p>
        </w:tc>
        <w:tc>
          <w:tcPr>
            <w:tcW w:w="1134" w:type="dxa"/>
          </w:tcPr>
          <w:p w14:paraId="0E4817D9" w14:textId="77777777" w:rsidR="00132BD7" w:rsidRPr="00264D5D" w:rsidRDefault="00132BD7" w:rsidP="00132BD7">
            <w:pPr>
              <w:widowControl w:val="0"/>
              <w:spacing w:before="60" w:after="60"/>
              <w:jc w:val="left"/>
              <w:rPr>
                <w:sz w:val="22"/>
                <w:szCs w:val="22"/>
              </w:rPr>
            </w:pPr>
            <w:r w:rsidRPr="00264D5D">
              <w:rPr>
                <w:rFonts w:eastAsia="Calibri"/>
                <w:sz w:val="22"/>
                <w:szCs w:val="22"/>
              </w:rPr>
              <w:t>SignatureType</w:t>
            </w:r>
          </w:p>
        </w:tc>
        <w:tc>
          <w:tcPr>
            <w:tcW w:w="567" w:type="dxa"/>
          </w:tcPr>
          <w:p w14:paraId="7EC78644" w14:textId="77777777" w:rsidR="00132BD7" w:rsidRPr="00264D5D" w:rsidRDefault="00132BD7" w:rsidP="00132BD7">
            <w:pPr>
              <w:widowControl w:val="0"/>
              <w:spacing w:before="60" w:after="60"/>
              <w:jc w:val="center"/>
              <w:rPr>
                <w:sz w:val="22"/>
                <w:szCs w:val="22"/>
              </w:rPr>
            </w:pPr>
            <w:r w:rsidRPr="00264D5D">
              <w:rPr>
                <w:sz w:val="22"/>
                <w:szCs w:val="22"/>
              </w:rPr>
              <w:t>НМ</w:t>
            </w:r>
          </w:p>
        </w:tc>
        <w:tc>
          <w:tcPr>
            <w:tcW w:w="3964" w:type="dxa"/>
          </w:tcPr>
          <w:p w14:paraId="4776E5E0" w14:textId="77777777" w:rsidR="00132BD7" w:rsidRPr="00264D5D" w:rsidRDefault="00132BD7" w:rsidP="00132BD7">
            <w:pPr>
              <w:pStyle w:val="affffff"/>
              <w:spacing w:before="60" w:after="60" w:line="240" w:lineRule="auto"/>
              <w:ind w:firstLine="0"/>
              <w:rPr>
                <w:sz w:val="22"/>
                <w:szCs w:val="22"/>
              </w:rPr>
            </w:pPr>
            <w:r w:rsidRPr="00264D5D">
              <w:rPr>
                <w:sz w:val="22"/>
                <w:szCs w:val="22"/>
              </w:rPr>
              <w:t>Блок подписи в формате XAdes. Указывается как референс согласно формату подписи XAdes.</w:t>
            </w:r>
          </w:p>
          <w:p w14:paraId="375D8FED" w14:textId="77777777" w:rsidR="00132BD7" w:rsidRPr="00264D5D" w:rsidRDefault="00132BD7" w:rsidP="00601408">
            <w:pPr>
              <w:widowControl w:val="0"/>
              <w:spacing w:before="60" w:after="60"/>
              <w:rPr>
                <w:sz w:val="22"/>
                <w:szCs w:val="22"/>
              </w:rPr>
            </w:pPr>
            <w:r w:rsidRPr="00264D5D">
              <w:rPr>
                <w:sz w:val="22"/>
                <w:szCs w:val="22"/>
              </w:rPr>
              <w:t>Заполняется согласно п.3.5.3 Тома 1 настоящего альбома при взаимодействии между МВУ ПУиО (ПФХД) и ТОФК (ПУР ЭБ</w:t>
            </w:r>
            <w:r w:rsidR="00601408" w:rsidRPr="00601408">
              <w:rPr>
                <w:sz w:val="22"/>
                <w:szCs w:val="22"/>
                <w:highlight w:val="green"/>
              </w:rPr>
              <w:t>)</w:t>
            </w:r>
            <w:r w:rsidR="00B215EF" w:rsidRPr="00601408">
              <w:rPr>
                <w:sz w:val="22"/>
                <w:szCs w:val="22"/>
                <w:highlight w:val="green"/>
              </w:rPr>
              <w:t xml:space="preserve"> </w:t>
            </w:r>
            <w:r w:rsidRPr="00601408">
              <w:rPr>
                <w:sz w:val="22"/>
                <w:szCs w:val="22"/>
                <w:highlight w:val="green"/>
              </w:rPr>
              <w:t>и</w:t>
            </w:r>
            <w:r w:rsidRPr="00264D5D">
              <w:rPr>
                <w:sz w:val="22"/>
                <w:szCs w:val="22"/>
              </w:rPr>
              <w:t xml:space="preserve"> п.3.5.2 Тома 1 настоящего альбома при взаимодействии между МВУ ПУиО (ПФХД) и ТОФК (ППО АСФК)</w:t>
            </w:r>
          </w:p>
        </w:tc>
      </w:tr>
    </w:tbl>
    <w:p w14:paraId="6595F8FD" w14:textId="77777777" w:rsidR="00AD1F54" w:rsidRPr="00264D5D" w:rsidRDefault="00941227">
      <w:pPr>
        <w:pStyle w:val="31"/>
      </w:pPr>
      <w:bookmarkStart w:id="1843" w:name="_Toc481690839"/>
      <w:bookmarkStart w:id="1844" w:name="_Toc219309646"/>
      <w:r w:rsidRPr="00264D5D">
        <w:t>Описание комплексного типа «tInf_Pmnts»</w:t>
      </w:r>
      <w:bookmarkEnd w:id="1843"/>
      <w:bookmarkEnd w:id="1844"/>
    </w:p>
    <w:p w14:paraId="457DDF6C" w14:textId="77777777" w:rsidR="00AD1F54" w:rsidRPr="00264D5D" w:rsidRDefault="00941227">
      <w:pPr>
        <w:pStyle w:val="ASFKNormal"/>
        <w:spacing w:before="60" w:after="120"/>
        <w:contextualSpacing w:val="0"/>
        <w:jc w:val="both"/>
        <w:rPr>
          <w:sz w:val="24"/>
          <w:szCs w:val="24"/>
        </w:rPr>
      </w:pPr>
      <w:r w:rsidRPr="00264D5D">
        <w:rPr>
          <w:sz w:val="24"/>
          <w:szCs w:val="24"/>
        </w:rPr>
        <w:t>Описание комплексного типа «</w:t>
      </w:r>
      <w:r w:rsidRPr="00264D5D">
        <w:rPr>
          <w:sz w:val="24"/>
          <w:szCs w:val="24"/>
          <w:lang w:val="en-US"/>
        </w:rPr>
        <w:t>tInf</w:t>
      </w:r>
      <w:r w:rsidRPr="00264D5D">
        <w:rPr>
          <w:sz w:val="24"/>
          <w:szCs w:val="24"/>
        </w:rPr>
        <w:t>_</w:t>
      </w:r>
      <w:r w:rsidRPr="00264D5D">
        <w:rPr>
          <w:sz w:val="24"/>
          <w:szCs w:val="24"/>
          <w:lang w:val="en-US"/>
        </w:rPr>
        <w:t>Pmnts</w:t>
      </w:r>
      <w:r w:rsidRPr="00264D5D">
        <w:rPr>
          <w:sz w:val="24"/>
          <w:szCs w:val="24"/>
        </w:rPr>
        <w:t>» блока «Информация о выплатах».</w:t>
      </w:r>
    </w:p>
    <w:p w14:paraId="08F10017" w14:textId="72EA3978" w:rsidR="00AD1F54" w:rsidRPr="00264D5D" w:rsidRDefault="00941227">
      <w:pPr>
        <w:pStyle w:val="GOSTNameTable"/>
        <w:numPr>
          <w:ilvl w:val="0"/>
          <w:numId w:val="2"/>
        </w:numPr>
        <w:ind w:left="425" w:hanging="357"/>
        <w:jc w:val="both"/>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1845" w:name="_Ref482635412"/>
      <w:bookmarkStart w:id="1846" w:name="_Toc30503369"/>
      <w:bookmarkStart w:id="1847" w:name="_Toc30507967"/>
      <w:bookmarkStart w:id="1848" w:name="_Toc219309218"/>
      <w:r w:rsidR="008D797C">
        <w:rPr>
          <w:rFonts w:eastAsia="Calibri"/>
          <w:noProof/>
          <w:szCs w:val="24"/>
        </w:rPr>
        <w:t>188</w:t>
      </w:r>
      <w:bookmarkEnd w:id="1845"/>
      <w:r w:rsidRPr="00264D5D">
        <w:rPr>
          <w:rFonts w:eastAsia="Calibri"/>
          <w:szCs w:val="24"/>
        </w:rPr>
        <w:fldChar w:fldCharType="end"/>
      </w:r>
      <w:r w:rsidRPr="00264D5D">
        <w:rPr>
          <w:rFonts w:eastAsia="Calibri"/>
          <w:szCs w:val="24"/>
        </w:rPr>
        <w:t xml:space="preserve"> – </w:t>
      </w:r>
      <w:r w:rsidRPr="00264D5D">
        <w:rPr>
          <w:szCs w:val="24"/>
        </w:rPr>
        <w:t>Описание комплексного типа «tInf_Pmnts»</w:t>
      </w:r>
      <w:bookmarkEnd w:id="1846"/>
      <w:bookmarkEnd w:id="1847"/>
      <w:bookmarkEnd w:id="1848"/>
    </w:p>
    <w:tbl>
      <w:tblPr>
        <w:tblStyle w:val="GOSTTable"/>
        <w:tblW w:w="5000" w:type="pct"/>
        <w:tblLayout w:type="fixed"/>
        <w:tblLook w:val="04A0" w:firstRow="1" w:lastRow="0" w:firstColumn="1" w:lastColumn="0" w:noHBand="0" w:noVBand="1"/>
      </w:tblPr>
      <w:tblGrid>
        <w:gridCol w:w="1707"/>
        <w:gridCol w:w="1702"/>
        <w:gridCol w:w="569"/>
        <w:gridCol w:w="1137"/>
        <w:gridCol w:w="565"/>
        <w:gridCol w:w="3970"/>
      </w:tblGrid>
      <w:tr w:rsidR="00AD1F54" w:rsidRPr="00264D5D" w14:paraId="2323F458"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4" w:type="pct"/>
          </w:tcPr>
          <w:p w14:paraId="209D1B45" w14:textId="77777777" w:rsidR="00AD1F54" w:rsidRPr="00264D5D" w:rsidRDefault="00941227">
            <w:pPr>
              <w:spacing w:before="60" w:after="60"/>
              <w:jc w:val="center"/>
              <w:rPr>
                <w:b/>
                <w:bCs/>
                <w:sz w:val="22"/>
                <w:szCs w:val="22"/>
              </w:rPr>
            </w:pPr>
            <w:r w:rsidRPr="00264D5D">
              <w:rPr>
                <w:b/>
                <w:bCs/>
                <w:sz w:val="22"/>
                <w:szCs w:val="22"/>
              </w:rPr>
              <w:t>Наименование комплексного типа</w:t>
            </w:r>
          </w:p>
        </w:tc>
        <w:tc>
          <w:tcPr>
            <w:tcW w:w="882" w:type="pct"/>
          </w:tcPr>
          <w:p w14:paraId="462BE049" w14:textId="77777777" w:rsidR="00AD1F54" w:rsidRPr="00264D5D" w:rsidRDefault="00941227">
            <w:pPr>
              <w:spacing w:before="60" w:after="60"/>
              <w:jc w:val="center"/>
              <w:rPr>
                <w:b/>
                <w:bCs/>
                <w:sz w:val="22"/>
                <w:szCs w:val="22"/>
                <w:lang w:val="en-US"/>
              </w:rPr>
            </w:pPr>
            <w:r w:rsidRPr="00264D5D">
              <w:rPr>
                <w:b/>
                <w:bCs/>
                <w:sz w:val="22"/>
                <w:szCs w:val="22"/>
              </w:rPr>
              <w:t>Текущий элемент/ атрибут</w:t>
            </w:r>
          </w:p>
        </w:tc>
        <w:tc>
          <w:tcPr>
            <w:tcW w:w="295" w:type="pct"/>
          </w:tcPr>
          <w:p w14:paraId="1C482F88" w14:textId="77777777" w:rsidR="00AD1F54" w:rsidRPr="00264D5D" w:rsidRDefault="00941227">
            <w:pPr>
              <w:spacing w:before="60" w:after="60"/>
              <w:jc w:val="center"/>
              <w:rPr>
                <w:b/>
                <w:sz w:val="22"/>
                <w:szCs w:val="22"/>
              </w:rPr>
            </w:pPr>
            <w:r w:rsidRPr="00264D5D">
              <w:rPr>
                <w:b/>
                <w:bCs/>
                <w:sz w:val="22"/>
                <w:szCs w:val="22"/>
              </w:rPr>
              <w:t>Тип</w:t>
            </w:r>
          </w:p>
        </w:tc>
        <w:tc>
          <w:tcPr>
            <w:tcW w:w="589" w:type="pct"/>
          </w:tcPr>
          <w:p w14:paraId="1854342C" w14:textId="77777777" w:rsidR="00AD1F54" w:rsidRPr="00264D5D" w:rsidRDefault="00941227">
            <w:pPr>
              <w:spacing w:before="60" w:after="60"/>
              <w:jc w:val="center"/>
              <w:rPr>
                <w:b/>
                <w:bCs/>
                <w:sz w:val="22"/>
                <w:szCs w:val="22"/>
              </w:rPr>
            </w:pPr>
            <w:r w:rsidRPr="00264D5D">
              <w:rPr>
                <w:b/>
                <w:bCs/>
                <w:sz w:val="22"/>
                <w:szCs w:val="22"/>
              </w:rPr>
              <w:t>Формат элемента</w:t>
            </w:r>
          </w:p>
        </w:tc>
        <w:tc>
          <w:tcPr>
            <w:tcW w:w="293" w:type="pct"/>
          </w:tcPr>
          <w:p w14:paraId="71624590" w14:textId="77777777" w:rsidR="00AD1F54" w:rsidRPr="00264D5D" w:rsidRDefault="00941227">
            <w:pPr>
              <w:spacing w:before="60" w:after="60"/>
              <w:jc w:val="center"/>
              <w:rPr>
                <w:b/>
                <w:bCs/>
                <w:sz w:val="22"/>
                <w:szCs w:val="22"/>
              </w:rPr>
            </w:pPr>
            <w:r w:rsidRPr="00264D5D">
              <w:rPr>
                <w:b/>
                <w:bCs/>
                <w:sz w:val="22"/>
                <w:szCs w:val="22"/>
              </w:rPr>
              <w:t>Обязательность</w:t>
            </w:r>
          </w:p>
        </w:tc>
        <w:tc>
          <w:tcPr>
            <w:tcW w:w="2057" w:type="pct"/>
          </w:tcPr>
          <w:p w14:paraId="62138D63" w14:textId="77777777" w:rsidR="00AD1F54" w:rsidRPr="00264D5D" w:rsidRDefault="00941227">
            <w:pPr>
              <w:spacing w:before="60" w:after="60"/>
              <w:jc w:val="center"/>
              <w:rPr>
                <w:b/>
                <w:bCs/>
                <w:sz w:val="22"/>
                <w:szCs w:val="22"/>
              </w:rPr>
            </w:pPr>
            <w:r w:rsidRPr="00264D5D">
              <w:rPr>
                <w:b/>
                <w:bCs/>
                <w:sz w:val="22"/>
                <w:szCs w:val="22"/>
              </w:rPr>
              <w:t>Дополнительная информация</w:t>
            </w:r>
          </w:p>
        </w:tc>
      </w:tr>
      <w:tr w:rsidR="00AD1F54" w:rsidRPr="00264D5D" w14:paraId="6ACFE995" w14:textId="77777777" w:rsidTr="00AD1F54">
        <w:trPr>
          <w:cnfStyle w:val="000000100000" w:firstRow="0" w:lastRow="0" w:firstColumn="0" w:lastColumn="0" w:oddVBand="0" w:evenVBand="0" w:oddHBand="1" w:evenHBand="0" w:firstRowFirstColumn="0" w:firstRowLastColumn="0" w:lastRowFirstColumn="0" w:lastRowLastColumn="0"/>
          <w:trHeight w:val="361"/>
        </w:trPr>
        <w:tc>
          <w:tcPr>
            <w:tcW w:w="884" w:type="pct"/>
          </w:tcPr>
          <w:p w14:paraId="3561A498" w14:textId="77777777" w:rsidR="00AD1F54" w:rsidRPr="00264D5D" w:rsidRDefault="00941227">
            <w:pPr>
              <w:spacing w:before="60" w:after="60"/>
              <w:rPr>
                <w:sz w:val="22"/>
                <w:szCs w:val="22"/>
              </w:rPr>
            </w:pPr>
            <w:r w:rsidRPr="00264D5D">
              <w:rPr>
                <w:sz w:val="22"/>
                <w:szCs w:val="22"/>
                <w:lang w:val="en-US"/>
              </w:rPr>
              <w:t>tInf</w:t>
            </w:r>
            <w:r w:rsidRPr="00264D5D">
              <w:rPr>
                <w:sz w:val="22"/>
                <w:szCs w:val="22"/>
              </w:rPr>
              <w:t>_</w:t>
            </w:r>
            <w:r w:rsidRPr="00264D5D">
              <w:rPr>
                <w:sz w:val="22"/>
                <w:szCs w:val="22"/>
                <w:lang w:val="en-US"/>
              </w:rPr>
              <w:t>Pmnts</w:t>
            </w:r>
          </w:p>
        </w:tc>
        <w:tc>
          <w:tcPr>
            <w:tcW w:w="882" w:type="pct"/>
          </w:tcPr>
          <w:p w14:paraId="7DF41FC6" w14:textId="77777777" w:rsidR="00AD1F54" w:rsidRPr="00264D5D" w:rsidRDefault="00941227">
            <w:pPr>
              <w:tabs>
                <w:tab w:val="left" w:pos="1122"/>
              </w:tabs>
              <w:spacing w:before="60" w:after="60"/>
              <w:rPr>
                <w:sz w:val="22"/>
                <w:szCs w:val="22"/>
                <w:lang w:val="en-US"/>
              </w:rPr>
            </w:pPr>
            <w:r w:rsidRPr="00264D5D">
              <w:rPr>
                <w:sz w:val="22"/>
                <w:szCs w:val="22"/>
                <w:lang w:val="en-US"/>
              </w:rPr>
              <w:t>Pmnts_</w:t>
            </w:r>
            <w:r w:rsidRPr="00264D5D">
              <w:rPr>
                <w:sz w:val="22"/>
                <w:szCs w:val="22"/>
              </w:rPr>
              <w:t>ITEM</w:t>
            </w:r>
          </w:p>
        </w:tc>
        <w:tc>
          <w:tcPr>
            <w:tcW w:w="295" w:type="pct"/>
          </w:tcPr>
          <w:p w14:paraId="1973F6DA" w14:textId="77777777" w:rsidR="00AD1F54" w:rsidRPr="00264D5D" w:rsidRDefault="00941227">
            <w:pPr>
              <w:spacing w:before="60" w:after="60"/>
              <w:jc w:val="center"/>
              <w:rPr>
                <w:sz w:val="22"/>
                <w:szCs w:val="22"/>
                <w:lang w:val="en-US"/>
              </w:rPr>
            </w:pPr>
            <w:r w:rsidRPr="00264D5D">
              <w:rPr>
                <w:sz w:val="22"/>
                <w:szCs w:val="22"/>
                <w:lang w:val="en-US"/>
              </w:rPr>
              <w:t>C</w:t>
            </w:r>
          </w:p>
        </w:tc>
        <w:tc>
          <w:tcPr>
            <w:tcW w:w="589" w:type="pct"/>
          </w:tcPr>
          <w:p w14:paraId="10D1CFDB" w14:textId="77777777" w:rsidR="00AD1F54" w:rsidRPr="00264D5D" w:rsidRDefault="00941227">
            <w:pPr>
              <w:spacing w:before="60" w:after="60"/>
              <w:jc w:val="left"/>
              <w:rPr>
                <w:sz w:val="22"/>
                <w:szCs w:val="22"/>
                <w:lang w:val="en-US"/>
              </w:rPr>
            </w:pPr>
            <w:r w:rsidRPr="00264D5D">
              <w:rPr>
                <w:sz w:val="22"/>
                <w:szCs w:val="22"/>
                <w:lang w:val="en-US"/>
              </w:rPr>
              <w:t>tInf</w:t>
            </w:r>
            <w:r w:rsidRPr="00264D5D">
              <w:rPr>
                <w:sz w:val="22"/>
                <w:szCs w:val="22"/>
              </w:rPr>
              <w:t>_</w:t>
            </w:r>
            <w:r w:rsidRPr="00264D5D">
              <w:rPr>
                <w:sz w:val="22"/>
                <w:szCs w:val="22"/>
                <w:lang w:val="en-US"/>
              </w:rPr>
              <w:t>Pmnts</w:t>
            </w:r>
            <w:r w:rsidRPr="00264D5D">
              <w:rPr>
                <w:sz w:val="22"/>
                <w:szCs w:val="22"/>
              </w:rPr>
              <w:t>_ITEM</w:t>
            </w:r>
          </w:p>
        </w:tc>
        <w:tc>
          <w:tcPr>
            <w:tcW w:w="293" w:type="pct"/>
          </w:tcPr>
          <w:p w14:paraId="5C1FC30C" w14:textId="77777777" w:rsidR="00AD1F54" w:rsidRPr="00264D5D" w:rsidRDefault="00941227">
            <w:pPr>
              <w:spacing w:before="60" w:after="60"/>
              <w:jc w:val="center"/>
              <w:rPr>
                <w:sz w:val="22"/>
                <w:szCs w:val="22"/>
              </w:rPr>
            </w:pPr>
            <w:r w:rsidRPr="00264D5D">
              <w:rPr>
                <w:sz w:val="22"/>
                <w:szCs w:val="22"/>
              </w:rPr>
              <w:t>ОМ</w:t>
            </w:r>
          </w:p>
        </w:tc>
        <w:tc>
          <w:tcPr>
            <w:tcW w:w="2057" w:type="pct"/>
          </w:tcPr>
          <w:p w14:paraId="498A8FEE" w14:textId="77777777" w:rsidR="00AD1F54" w:rsidRPr="00264D5D" w:rsidRDefault="00941227">
            <w:pPr>
              <w:pStyle w:val="EBTablenorm"/>
              <w:ind w:left="57" w:right="57"/>
              <w:contextualSpacing w:val="0"/>
              <w:rPr>
                <w:sz w:val="22"/>
                <w:szCs w:val="22"/>
              </w:rPr>
            </w:pPr>
            <w:r w:rsidRPr="00264D5D">
              <w:rPr>
                <w:sz w:val="22"/>
                <w:szCs w:val="22"/>
              </w:rPr>
              <w:t>Информация о выплатах. Может быть указано не более 9999 элементов.</w:t>
            </w:r>
          </w:p>
          <w:p w14:paraId="63C07EDE" w14:textId="207DB70B" w:rsidR="00AD1F54" w:rsidRPr="00264D5D" w:rsidRDefault="00941227">
            <w:pPr>
              <w:pStyle w:val="EBTablenorm"/>
              <w:ind w:left="57" w:right="57"/>
              <w:contextualSpacing w:val="0"/>
              <w:rPr>
                <w:sz w:val="22"/>
                <w:szCs w:val="22"/>
              </w:rPr>
            </w:pPr>
            <w:r w:rsidRPr="00264D5D">
              <w:rPr>
                <w:sz w:val="22"/>
                <w:szCs w:val="22"/>
              </w:rPr>
              <w:t xml:space="preserve">Состав элемента представлен в таблице </w:t>
            </w:r>
            <w:r w:rsidRPr="00264D5D">
              <w:rPr>
                <w:sz w:val="22"/>
                <w:szCs w:val="22"/>
              </w:rPr>
              <w:fldChar w:fldCharType="begin"/>
            </w:r>
            <w:r w:rsidRPr="00264D5D">
              <w:rPr>
                <w:sz w:val="22"/>
                <w:szCs w:val="22"/>
              </w:rPr>
              <w:instrText xml:space="preserve"> REF _Ref482635443 \h  \* MERGEFORMAT </w:instrText>
            </w:r>
            <w:r w:rsidRPr="00264D5D">
              <w:rPr>
                <w:sz w:val="22"/>
                <w:szCs w:val="22"/>
              </w:rPr>
            </w:r>
            <w:r w:rsidRPr="00264D5D">
              <w:rPr>
                <w:sz w:val="22"/>
                <w:szCs w:val="22"/>
              </w:rPr>
              <w:fldChar w:fldCharType="separate"/>
            </w:r>
            <w:r w:rsidR="008D797C" w:rsidRPr="008D797C">
              <w:rPr>
                <w:rFonts w:eastAsia="Calibri"/>
                <w:b/>
                <w:sz w:val="22"/>
                <w:szCs w:val="22"/>
              </w:rPr>
              <w:t>189</w:t>
            </w:r>
            <w:r w:rsidRPr="00264D5D">
              <w:rPr>
                <w:sz w:val="22"/>
                <w:szCs w:val="22"/>
              </w:rPr>
              <w:fldChar w:fldCharType="end"/>
            </w:r>
          </w:p>
        </w:tc>
      </w:tr>
    </w:tbl>
    <w:p w14:paraId="4540D84A" w14:textId="77777777" w:rsidR="00AD1F54" w:rsidRPr="00264D5D" w:rsidRDefault="00941227">
      <w:pPr>
        <w:pStyle w:val="31"/>
      </w:pPr>
      <w:bookmarkStart w:id="1849" w:name="_Toc481690840"/>
      <w:bookmarkStart w:id="1850" w:name="_Toc219309647"/>
      <w:r w:rsidRPr="00264D5D">
        <w:t>Описание комплексного типа «tInf_Pmnts_ITEM»</w:t>
      </w:r>
      <w:bookmarkEnd w:id="1849"/>
      <w:bookmarkEnd w:id="1850"/>
    </w:p>
    <w:p w14:paraId="63B65CBB" w14:textId="77777777" w:rsidR="00AD1F54" w:rsidRPr="00264D5D" w:rsidRDefault="00941227">
      <w:pPr>
        <w:pStyle w:val="ASFKNormal"/>
        <w:spacing w:before="60" w:after="120"/>
        <w:contextualSpacing w:val="0"/>
        <w:jc w:val="both"/>
        <w:rPr>
          <w:sz w:val="24"/>
          <w:szCs w:val="24"/>
        </w:rPr>
      </w:pPr>
      <w:r w:rsidRPr="00264D5D">
        <w:rPr>
          <w:sz w:val="24"/>
          <w:szCs w:val="24"/>
        </w:rPr>
        <w:t>Описание комплексного типа «</w:t>
      </w:r>
      <w:r w:rsidRPr="00264D5D">
        <w:rPr>
          <w:sz w:val="24"/>
          <w:szCs w:val="24"/>
          <w:lang w:val="en-US"/>
        </w:rPr>
        <w:t>tInf</w:t>
      </w:r>
      <w:r w:rsidRPr="00264D5D">
        <w:rPr>
          <w:sz w:val="24"/>
          <w:szCs w:val="24"/>
        </w:rPr>
        <w:t>_</w:t>
      </w:r>
      <w:r w:rsidRPr="00264D5D">
        <w:rPr>
          <w:sz w:val="24"/>
          <w:szCs w:val="24"/>
          <w:lang w:val="en-US"/>
        </w:rPr>
        <w:t>Pmnts</w:t>
      </w:r>
      <w:r w:rsidRPr="00264D5D">
        <w:rPr>
          <w:sz w:val="24"/>
          <w:szCs w:val="24"/>
        </w:rPr>
        <w:t>_ITEM» строк блока «Информация о выплатах».</w:t>
      </w:r>
    </w:p>
    <w:p w14:paraId="66106792" w14:textId="61ED475E" w:rsidR="00AD1F54" w:rsidRPr="00264D5D" w:rsidRDefault="00941227">
      <w:pPr>
        <w:pStyle w:val="GOSTNameTable"/>
        <w:numPr>
          <w:ilvl w:val="0"/>
          <w:numId w:val="2"/>
        </w:numPr>
        <w:ind w:left="425" w:hanging="357"/>
        <w:jc w:val="both"/>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1851" w:name="_Ref482635443"/>
      <w:bookmarkStart w:id="1852" w:name="_Toc30503370"/>
      <w:bookmarkStart w:id="1853" w:name="_Toc30507968"/>
      <w:bookmarkStart w:id="1854" w:name="_Toc219309219"/>
      <w:r w:rsidR="008D797C">
        <w:rPr>
          <w:rFonts w:eastAsia="Calibri"/>
          <w:noProof/>
          <w:szCs w:val="24"/>
        </w:rPr>
        <w:t>189</w:t>
      </w:r>
      <w:bookmarkEnd w:id="1851"/>
      <w:r w:rsidRPr="00264D5D">
        <w:rPr>
          <w:rFonts w:eastAsia="Calibri"/>
          <w:szCs w:val="24"/>
        </w:rPr>
        <w:fldChar w:fldCharType="end"/>
      </w:r>
      <w:r w:rsidRPr="00264D5D">
        <w:rPr>
          <w:rFonts w:eastAsia="Calibri"/>
          <w:szCs w:val="24"/>
        </w:rPr>
        <w:t xml:space="preserve"> – </w:t>
      </w:r>
      <w:r w:rsidRPr="00264D5D">
        <w:rPr>
          <w:szCs w:val="24"/>
        </w:rPr>
        <w:t>Описание комплексного типа «tInf_Pmnts_ITEM»</w:t>
      </w:r>
      <w:bookmarkEnd w:id="1852"/>
      <w:bookmarkEnd w:id="1853"/>
      <w:bookmarkEnd w:id="1854"/>
    </w:p>
    <w:tbl>
      <w:tblPr>
        <w:tblStyle w:val="GOSTTable"/>
        <w:tblW w:w="5002" w:type="pct"/>
        <w:tblLayout w:type="fixed"/>
        <w:tblLook w:val="04A0" w:firstRow="1" w:lastRow="0" w:firstColumn="1" w:lastColumn="0" w:noHBand="0" w:noVBand="1"/>
      </w:tblPr>
      <w:tblGrid>
        <w:gridCol w:w="1704"/>
        <w:gridCol w:w="1707"/>
        <w:gridCol w:w="568"/>
        <w:gridCol w:w="1135"/>
        <w:gridCol w:w="568"/>
        <w:gridCol w:w="3972"/>
      </w:tblGrid>
      <w:tr w:rsidR="00AD1F54" w:rsidRPr="00264D5D" w14:paraId="2160191F"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3" w:type="pct"/>
          </w:tcPr>
          <w:p w14:paraId="1E622CA0" w14:textId="77777777" w:rsidR="00AD1F54" w:rsidRPr="00264D5D" w:rsidRDefault="00941227">
            <w:pPr>
              <w:spacing w:before="60" w:after="60"/>
              <w:jc w:val="center"/>
              <w:rPr>
                <w:b/>
                <w:bCs/>
                <w:sz w:val="22"/>
                <w:szCs w:val="22"/>
              </w:rPr>
            </w:pPr>
            <w:r w:rsidRPr="00264D5D">
              <w:rPr>
                <w:b/>
                <w:bCs/>
                <w:sz w:val="22"/>
                <w:szCs w:val="22"/>
              </w:rPr>
              <w:t>Наименование элемента</w:t>
            </w:r>
          </w:p>
        </w:tc>
        <w:tc>
          <w:tcPr>
            <w:tcW w:w="884" w:type="pct"/>
          </w:tcPr>
          <w:p w14:paraId="3756AEC6" w14:textId="77777777" w:rsidR="00AD1F54" w:rsidRPr="00264D5D" w:rsidRDefault="00941227">
            <w:pPr>
              <w:spacing w:before="60" w:after="60"/>
              <w:jc w:val="center"/>
              <w:rPr>
                <w:b/>
                <w:bCs/>
                <w:sz w:val="22"/>
                <w:szCs w:val="22"/>
              </w:rPr>
            </w:pPr>
            <w:r w:rsidRPr="00264D5D">
              <w:rPr>
                <w:b/>
                <w:bCs/>
                <w:sz w:val="22"/>
                <w:szCs w:val="22"/>
              </w:rPr>
              <w:t>Сокращенное наименование (код) элемента</w:t>
            </w:r>
          </w:p>
        </w:tc>
        <w:tc>
          <w:tcPr>
            <w:tcW w:w="294" w:type="pct"/>
          </w:tcPr>
          <w:p w14:paraId="137BA1B2" w14:textId="77777777" w:rsidR="00AD1F54" w:rsidRPr="00264D5D" w:rsidRDefault="00941227">
            <w:pPr>
              <w:spacing w:before="60" w:after="60"/>
              <w:jc w:val="center"/>
              <w:rPr>
                <w:b/>
                <w:sz w:val="22"/>
                <w:szCs w:val="22"/>
              </w:rPr>
            </w:pPr>
            <w:r w:rsidRPr="00264D5D">
              <w:rPr>
                <w:b/>
                <w:bCs/>
                <w:sz w:val="22"/>
                <w:szCs w:val="22"/>
              </w:rPr>
              <w:t>Тип</w:t>
            </w:r>
          </w:p>
        </w:tc>
        <w:tc>
          <w:tcPr>
            <w:tcW w:w="588" w:type="pct"/>
          </w:tcPr>
          <w:p w14:paraId="08F6F33F" w14:textId="77777777" w:rsidR="00AD1F54" w:rsidRPr="00264D5D" w:rsidRDefault="00941227">
            <w:pPr>
              <w:spacing w:before="60" w:after="60"/>
              <w:jc w:val="center"/>
              <w:rPr>
                <w:b/>
                <w:bCs/>
                <w:sz w:val="22"/>
                <w:szCs w:val="22"/>
              </w:rPr>
            </w:pPr>
            <w:r w:rsidRPr="00264D5D">
              <w:rPr>
                <w:b/>
                <w:bCs/>
                <w:sz w:val="22"/>
                <w:szCs w:val="22"/>
              </w:rPr>
              <w:t>Формат элемента</w:t>
            </w:r>
          </w:p>
        </w:tc>
        <w:tc>
          <w:tcPr>
            <w:tcW w:w="294" w:type="pct"/>
          </w:tcPr>
          <w:p w14:paraId="04DE799A" w14:textId="77777777" w:rsidR="00AD1F54" w:rsidRPr="00264D5D" w:rsidRDefault="00941227">
            <w:pPr>
              <w:spacing w:before="60" w:after="60"/>
              <w:jc w:val="center"/>
              <w:rPr>
                <w:b/>
                <w:sz w:val="22"/>
                <w:szCs w:val="22"/>
              </w:rPr>
            </w:pPr>
            <w:r w:rsidRPr="00264D5D">
              <w:rPr>
                <w:b/>
                <w:bCs/>
                <w:sz w:val="22"/>
                <w:szCs w:val="22"/>
              </w:rPr>
              <w:t>Обязательность</w:t>
            </w:r>
          </w:p>
        </w:tc>
        <w:tc>
          <w:tcPr>
            <w:tcW w:w="2057" w:type="pct"/>
          </w:tcPr>
          <w:p w14:paraId="65EBC7E2" w14:textId="77777777" w:rsidR="00AD1F54" w:rsidRPr="00264D5D" w:rsidRDefault="00941227">
            <w:pPr>
              <w:spacing w:before="60" w:after="60"/>
              <w:jc w:val="center"/>
              <w:rPr>
                <w:b/>
                <w:bCs/>
                <w:sz w:val="22"/>
                <w:szCs w:val="22"/>
              </w:rPr>
            </w:pPr>
            <w:r w:rsidRPr="00264D5D">
              <w:rPr>
                <w:b/>
                <w:bCs/>
                <w:sz w:val="22"/>
                <w:szCs w:val="22"/>
              </w:rPr>
              <w:t>Дополнительная информация</w:t>
            </w:r>
          </w:p>
        </w:tc>
      </w:tr>
      <w:tr w:rsidR="00AD1F54" w:rsidRPr="00264D5D" w14:paraId="1680ED0F"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7EB082F0" w14:textId="77777777" w:rsidR="00AD1F54" w:rsidRPr="00264D5D" w:rsidRDefault="00941227">
            <w:pPr>
              <w:spacing w:before="60" w:after="60"/>
              <w:rPr>
                <w:sz w:val="22"/>
                <w:szCs w:val="22"/>
              </w:rPr>
            </w:pPr>
            <w:r w:rsidRPr="00264D5D">
              <w:rPr>
                <w:sz w:val="22"/>
                <w:szCs w:val="22"/>
              </w:rPr>
              <w:t>Порядковый номер строки выплаты</w:t>
            </w:r>
          </w:p>
        </w:tc>
        <w:tc>
          <w:tcPr>
            <w:tcW w:w="884" w:type="pct"/>
          </w:tcPr>
          <w:p w14:paraId="549C38BB" w14:textId="77777777" w:rsidR="00AD1F54" w:rsidRPr="00264D5D" w:rsidRDefault="00941227">
            <w:pPr>
              <w:spacing w:before="60" w:after="60"/>
              <w:rPr>
                <w:sz w:val="22"/>
                <w:szCs w:val="22"/>
              </w:rPr>
            </w:pPr>
            <w:r w:rsidRPr="00264D5D">
              <w:rPr>
                <w:sz w:val="22"/>
                <w:szCs w:val="22"/>
              </w:rPr>
              <w:t>NmLn</w:t>
            </w:r>
          </w:p>
        </w:tc>
        <w:tc>
          <w:tcPr>
            <w:tcW w:w="294" w:type="pct"/>
          </w:tcPr>
          <w:p w14:paraId="08394E68" w14:textId="77777777" w:rsidR="00AD1F54" w:rsidRPr="00264D5D" w:rsidRDefault="00941227">
            <w:pPr>
              <w:spacing w:before="60" w:after="60"/>
              <w:jc w:val="center"/>
              <w:rPr>
                <w:sz w:val="22"/>
                <w:szCs w:val="22"/>
              </w:rPr>
            </w:pPr>
            <w:r w:rsidRPr="00264D5D">
              <w:rPr>
                <w:sz w:val="22"/>
                <w:szCs w:val="22"/>
              </w:rPr>
              <w:t>П</w:t>
            </w:r>
          </w:p>
        </w:tc>
        <w:tc>
          <w:tcPr>
            <w:tcW w:w="588" w:type="pct"/>
          </w:tcPr>
          <w:p w14:paraId="1981918C" w14:textId="77777777" w:rsidR="00AD1F54" w:rsidRPr="00264D5D" w:rsidRDefault="00941227">
            <w:pPr>
              <w:spacing w:before="60" w:after="60"/>
              <w:jc w:val="left"/>
              <w:rPr>
                <w:sz w:val="22"/>
                <w:szCs w:val="22"/>
                <w:lang w:val="en-US"/>
              </w:rPr>
            </w:pPr>
            <w:r w:rsidRPr="00264D5D">
              <w:rPr>
                <w:sz w:val="22"/>
                <w:szCs w:val="22"/>
                <w:lang w:val="en-US"/>
              </w:rPr>
              <w:t>N(1-</w:t>
            </w:r>
            <w:r w:rsidRPr="00264D5D">
              <w:rPr>
                <w:sz w:val="22"/>
                <w:szCs w:val="22"/>
              </w:rPr>
              <w:t>4</w:t>
            </w:r>
            <w:r w:rsidRPr="00264D5D">
              <w:rPr>
                <w:sz w:val="22"/>
                <w:szCs w:val="22"/>
                <w:lang w:val="en-US"/>
              </w:rPr>
              <w:t>)</w:t>
            </w:r>
          </w:p>
        </w:tc>
        <w:tc>
          <w:tcPr>
            <w:tcW w:w="294" w:type="pct"/>
          </w:tcPr>
          <w:p w14:paraId="1AB97051" w14:textId="77777777" w:rsidR="00AD1F54" w:rsidRPr="00264D5D" w:rsidRDefault="00941227">
            <w:pPr>
              <w:spacing w:before="60" w:after="60"/>
              <w:jc w:val="center"/>
              <w:rPr>
                <w:sz w:val="22"/>
                <w:szCs w:val="22"/>
              </w:rPr>
            </w:pPr>
            <w:r w:rsidRPr="00264D5D">
              <w:rPr>
                <w:sz w:val="22"/>
                <w:szCs w:val="22"/>
              </w:rPr>
              <w:t>О</w:t>
            </w:r>
          </w:p>
        </w:tc>
        <w:tc>
          <w:tcPr>
            <w:tcW w:w="2057" w:type="pct"/>
          </w:tcPr>
          <w:p w14:paraId="57169FB4" w14:textId="77777777" w:rsidR="00B83EE9" w:rsidRPr="00264D5D" w:rsidRDefault="00941227">
            <w:pPr>
              <w:spacing w:before="60" w:after="60"/>
              <w:rPr>
                <w:sz w:val="22"/>
                <w:szCs w:val="22"/>
              </w:rPr>
            </w:pPr>
            <w:r w:rsidRPr="00264D5D">
              <w:rPr>
                <w:sz w:val="22"/>
                <w:szCs w:val="22"/>
              </w:rPr>
              <w:t xml:space="preserve">Указывается порядковый номер строки, уникальный в пределах документа. </w:t>
            </w:r>
          </w:p>
          <w:p w14:paraId="19F992C9" w14:textId="77777777" w:rsidR="00AD1F54" w:rsidRPr="00264D5D" w:rsidRDefault="00941227">
            <w:pPr>
              <w:spacing w:before="60" w:after="60"/>
              <w:rPr>
                <w:sz w:val="22"/>
                <w:szCs w:val="22"/>
              </w:rPr>
            </w:pPr>
            <w:r w:rsidRPr="00264D5D">
              <w:rPr>
                <w:sz w:val="22"/>
                <w:szCs w:val="22"/>
              </w:rPr>
              <w:t>Для перво</w:t>
            </w:r>
            <w:r w:rsidR="00B83EE9" w:rsidRPr="00264D5D">
              <w:rPr>
                <w:sz w:val="22"/>
                <w:szCs w:val="22"/>
              </w:rPr>
              <w:t>й строки указывается значение 1</w:t>
            </w:r>
          </w:p>
        </w:tc>
      </w:tr>
      <w:tr w:rsidR="00AD1F54" w:rsidRPr="00264D5D" w14:paraId="43643F59"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3" w:type="pct"/>
          </w:tcPr>
          <w:p w14:paraId="6B13093A" w14:textId="77777777" w:rsidR="00AD1F54" w:rsidRPr="00264D5D" w:rsidRDefault="00941227">
            <w:pPr>
              <w:spacing w:before="60" w:after="60"/>
              <w:rPr>
                <w:sz w:val="22"/>
                <w:szCs w:val="22"/>
              </w:rPr>
            </w:pPr>
            <w:r w:rsidRPr="00264D5D">
              <w:rPr>
                <w:sz w:val="22"/>
                <w:szCs w:val="22"/>
              </w:rPr>
              <w:t>Номер платежной карты</w:t>
            </w:r>
          </w:p>
        </w:tc>
        <w:tc>
          <w:tcPr>
            <w:tcW w:w="884" w:type="pct"/>
          </w:tcPr>
          <w:p w14:paraId="5455D96D" w14:textId="77777777" w:rsidR="00AD1F54" w:rsidRPr="00264D5D" w:rsidRDefault="00941227">
            <w:pPr>
              <w:spacing w:before="60" w:after="60"/>
              <w:rPr>
                <w:sz w:val="22"/>
                <w:szCs w:val="22"/>
                <w:lang w:val="en-US"/>
              </w:rPr>
            </w:pPr>
            <w:r w:rsidRPr="00264D5D">
              <w:rPr>
                <w:sz w:val="22"/>
                <w:szCs w:val="22"/>
                <w:lang w:val="en-US"/>
              </w:rPr>
              <w:t>NmCrd</w:t>
            </w:r>
          </w:p>
        </w:tc>
        <w:tc>
          <w:tcPr>
            <w:tcW w:w="294" w:type="pct"/>
          </w:tcPr>
          <w:p w14:paraId="7C82FF0A" w14:textId="77777777" w:rsidR="00AD1F54" w:rsidRPr="00264D5D" w:rsidRDefault="00941227">
            <w:pPr>
              <w:spacing w:before="60" w:after="60"/>
              <w:jc w:val="center"/>
              <w:rPr>
                <w:sz w:val="22"/>
                <w:szCs w:val="22"/>
              </w:rPr>
            </w:pPr>
            <w:r w:rsidRPr="00264D5D">
              <w:rPr>
                <w:sz w:val="22"/>
                <w:szCs w:val="22"/>
              </w:rPr>
              <w:t>П</w:t>
            </w:r>
          </w:p>
        </w:tc>
        <w:tc>
          <w:tcPr>
            <w:tcW w:w="588" w:type="pct"/>
          </w:tcPr>
          <w:p w14:paraId="487F17AC" w14:textId="77777777" w:rsidR="00AD1F54" w:rsidRPr="00264D5D" w:rsidRDefault="00941227">
            <w:pPr>
              <w:spacing w:before="60" w:after="60"/>
              <w:jc w:val="left"/>
              <w:rPr>
                <w:sz w:val="22"/>
                <w:szCs w:val="22"/>
              </w:rPr>
            </w:pPr>
            <w:r w:rsidRPr="00264D5D">
              <w:rPr>
                <w:sz w:val="22"/>
                <w:szCs w:val="22"/>
              </w:rPr>
              <w:t>Т(16-19)</w:t>
            </w:r>
          </w:p>
        </w:tc>
        <w:tc>
          <w:tcPr>
            <w:tcW w:w="294" w:type="pct"/>
          </w:tcPr>
          <w:p w14:paraId="4EBBF0D5" w14:textId="77777777" w:rsidR="00AD1F54" w:rsidRPr="00264D5D" w:rsidRDefault="00941227">
            <w:pPr>
              <w:spacing w:before="60" w:after="60"/>
              <w:jc w:val="center"/>
              <w:rPr>
                <w:sz w:val="22"/>
                <w:szCs w:val="22"/>
                <w:lang w:val="en-US"/>
              </w:rPr>
            </w:pPr>
            <w:r w:rsidRPr="00264D5D">
              <w:rPr>
                <w:sz w:val="22"/>
                <w:szCs w:val="22"/>
              </w:rPr>
              <w:t>О</w:t>
            </w:r>
          </w:p>
        </w:tc>
        <w:tc>
          <w:tcPr>
            <w:tcW w:w="2057" w:type="pct"/>
          </w:tcPr>
          <w:p w14:paraId="1B1302EF" w14:textId="77777777" w:rsidR="00AD1F54" w:rsidRPr="00264D5D" w:rsidRDefault="00941227">
            <w:pPr>
              <w:spacing w:before="60" w:after="60"/>
              <w:rPr>
                <w:sz w:val="22"/>
                <w:szCs w:val="22"/>
              </w:rPr>
            </w:pPr>
            <w:r w:rsidRPr="00264D5D">
              <w:rPr>
                <w:sz w:val="22"/>
                <w:szCs w:val="22"/>
              </w:rPr>
              <w:t xml:space="preserve">Указывается номер банковской карты «Мир» или номер банковской карты с товарным знаком «Мир», </w:t>
            </w:r>
            <w:r w:rsidRPr="00264D5D">
              <w:rPr>
                <w:sz w:val="22"/>
                <w:szCs w:val="22"/>
              </w:rPr>
              <w:lastRenderedPageBreak/>
              <w:t>эмитированный Банком России (далее – карта Банка России)</w:t>
            </w:r>
            <w:r w:rsidR="00B83EE9" w:rsidRPr="00264D5D">
              <w:rPr>
                <w:sz w:val="22"/>
                <w:szCs w:val="22"/>
              </w:rPr>
              <w:t>, содержащий только цифры (0-9)</w:t>
            </w:r>
          </w:p>
        </w:tc>
      </w:tr>
      <w:tr w:rsidR="00AD1F54" w:rsidRPr="00264D5D" w14:paraId="6C2D28D0"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77DF1FD5" w14:textId="77777777" w:rsidR="00AD1F54" w:rsidRPr="00264D5D" w:rsidRDefault="00941227">
            <w:pPr>
              <w:spacing w:before="60" w:after="60"/>
              <w:rPr>
                <w:sz w:val="22"/>
                <w:szCs w:val="22"/>
              </w:rPr>
            </w:pPr>
            <w:r w:rsidRPr="00264D5D">
              <w:rPr>
                <w:sz w:val="22"/>
                <w:szCs w:val="22"/>
              </w:rPr>
              <w:lastRenderedPageBreak/>
              <w:t>Дата рождения получателя денежных средств</w:t>
            </w:r>
          </w:p>
        </w:tc>
        <w:tc>
          <w:tcPr>
            <w:tcW w:w="884" w:type="pct"/>
          </w:tcPr>
          <w:p w14:paraId="45D51ACD" w14:textId="77777777" w:rsidR="00AD1F54" w:rsidRPr="00264D5D" w:rsidRDefault="00941227">
            <w:pPr>
              <w:spacing w:before="60" w:after="60"/>
              <w:rPr>
                <w:sz w:val="22"/>
                <w:szCs w:val="22"/>
                <w:lang w:val="en-US"/>
              </w:rPr>
            </w:pPr>
            <w:r w:rsidRPr="00264D5D">
              <w:rPr>
                <w:sz w:val="22"/>
                <w:szCs w:val="22"/>
              </w:rPr>
              <w:t>Dt</w:t>
            </w:r>
            <w:r w:rsidRPr="00264D5D">
              <w:rPr>
                <w:sz w:val="22"/>
                <w:szCs w:val="22"/>
                <w:lang w:val="en-US"/>
              </w:rPr>
              <w:t>Brth</w:t>
            </w:r>
          </w:p>
        </w:tc>
        <w:tc>
          <w:tcPr>
            <w:tcW w:w="294" w:type="pct"/>
          </w:tcPr>
          <w:p w14:paraId="1B71FE05" w14:textId="77777777" w:rsidR="00AD1F54" w:rsidRPr="00264D5D" w:rsidRDefault="00941227">
            <w:pPr>
              <w:spacing w:before="60" w:after="60"/>
              <w:jc w:val="center"/>
              <w:rPr>
                <w:sz w:val="22"/>
                <w:szCs w:val="22"/>
              </w:rPr>
            </w:pPr>
            <w:r w:rsidRPr="00264D5D">
              <w:rPr>
                <w:sz w:val="22"/>
                <w:szCs w:val="22"/>
              </w:rPr>
              <w:t>П</w:t>
            </w:r>
          </w:p>
        </w:tc>
        <w:tc>
          <w:tcPr>
            <w:tcW w:w="588" w:type="pct"/>
          </w:tcPr>
          <w:p w14:paraId="7F2ACD98" w14:textId="77777777" w:rsidR="00AD1F54" w:rsidRPr="00264D5D" w:rsidRDefault="00941227">
            <w:pPr>
              <w:spacing w:before="60" w:after="60"/>
              <w:jc w:val="left"/>
              <w:rPr>
                <w:sz w:val="22"/>
                <w:szCs w:val="22"/>
              </w:rPr>
            </w:pPr>
            <w:r w:rsidRPr="00264D5D">
              <w:rPr>
                <w:sz w:val="22"/>
                <w:szCs w:val="22"/>
                <w:lang w:val="en-US"/>
              </w:rPr>
              <w:t>Date</w:t>
            </w:r>
          </w:p>
        </w:tc>
        <w:tc>
          <w:tcPr>
            <w:tcW w:w="294" w:type="pct"/>
          </w:tcPr>
          <w:p w14:paraId="281E40DF" w14:textId="77777777" w:rsidR="00AD1F54" w:rsidRPr="00264D5D" w:rsidRDefault="00941227">
            <w:pPr>
              <w:spacing w:before="60" w:after="60"/>
              <w:jc w:val="center"/>
              <w:rPr>
                <w:sz w:val="22"/>
                <w:szCs w:val="22"/>
              </w:rPr>
            </w:pPr>
            <w:r w:rsidRPr="00264D5D">
              <w:rPr>
                <w:sz w:val="22"/>
                <w:szCs w:val="22"/>
              </w:rPr>
              <w:t>Н</w:t>
            </w:r>
          </w:p>
        </w:tc>
        <w:tc>
          <w:tcPr>
            <w:tcW w:w="2057" w:type="pct"/>
          </w:tcPr>
          <w:p w14:paraId="2BAB8035" w14:textId="77777777" w:rsidR="00B83EE9" w:rsidRPr="00264D5D" w:rsidRDefault="00941227">
            <w:pPr>
              <w:spacing w:before="60" w:after="60"/>
              <w:rPr>
                <w:sz w:val="22"/>
                <w:szCs w:val="22"/>
              </w:rPr>
            </w:pPr>
            <w:r w:rsidRPr="00264D5D">
              <w:rPr>
                <w:sz w:val="22"/>
                <w:szCs w:val="22"/>
              </w:rPr>
              <w:t xml:space="preserve">Указывается дата рождения получателя выплаты. </w:t>
            </w:r>
          </w:p>
          <w:p w14:paraId="6D6238E2" w14:textId="77777777" w:rsidR="00AD1F54" w:rsidRPr="00264D5D" w:rsidRDefault="00941227">
            <w:pPr>
              <w:spacing w:before="60" w:after="60"/>
              <w:rPr>
                <w:sz w:val="22"/>
                <w:szCs w:val="22"/>
              </w:rPr>
            </w:pPr>
            <w:r w:rsidRPr="00264D5D">
              <w:rPr>
                <w:sz w:val="22"/>
                <w:szCs w:val="22"/>
              </w:rPr>
              <w:t>Поле не является обязательным для заполнения. Заполняется в качестве дополнительного фактора проверки получателя</w:t>
            </w:r>
            <w:r w:rsidR="00B83EE9" w:rsidRPr="00264D5D">
              <w:rPr>
                <w:sz w:val="22"/>
                <w:szCs w:val="22"/>
              </w:rPr>
              <w:t xml:space="preserve"> выплаты банком-эмитентом карты</w:t>
            </w:r>
          </w:p>
        </w:tc>
      </w:tr>
      <w:tr w:rsidR="00AD1F54" w:rsidRPr="00264D5D" w14:paraId="4EDD20B5"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3" w:type="pct"/>
          </w:tcPr>
          <w:p w14:paraId="1B83B75D" w14:textId="77777777" w:rsidR="00AD1F54" w:rsidRPr="00264D5D" w:rsidRDefault="00941227">
            <w:pPr>
              <w:spacing w:before="60" w:after="60"/>
              <w:rPr>
                <w:sz w:val="22"/>
                <w:szCs w:val="22"/>
              </w:rPr>
            </w:pPr>
            <w:r w:rsidRPr="00264D5D">
              <w:rPr>
                <w:sz w:val="22"/>
                <w:szCs w:val="22"/>
              </w:rPr>
              <w:t>Код вида выплаты</w:t>
            </w:r>
          </w:p>
        </w:tc>
        <w:tc>
          <w:tcPr>
            <w:tcW w:w="884" w:type="pct"/>
          </w:tcPr>
          <w:p w14:paraId="271E31BE" w14:textId="77777777" w:rsidR="00AD1F54" w:rsidRPr="00264D5D" w:rsidRDefault="00941227">
            <w:pPr>
              <w:spacing w:before="60" w:after="60"/>
              <w:rPr>
                <w:sz w:val="22"/>
                <w:szCs w:val="22"/>
                <w:lang w:val="en-US"/>
              </w:rPr>
            </w:pPr>
            <w:r w:rsidRPr="00264D5D">
              <w:rPr>
                <w:sz w:val="22"/>
                <w:szCs w:val="22"/>
                <w:lang w:val="en-US"/>
              </w:rPr>
              <w:t>VipCd</w:t>
            </w:r>
          </w:p>
        </w:tc>
        <w:tc>
          <w:tcPr>
            <w:tcW w:w="294" w:type="pct"/>
          </w:tcPr>
          <w:p w14:paraId="4C672063" w14:textId="77777777" w:rsidR="00AD1F54" w:rsidRPr="00264D5D" w:rsidRDefault="00941227">
            <w:pPr>
              <w:spacing w:before="60" w:after="60"/>
              <w:jc w:val="center"/>
              <w:rPr>
                <w:sz w:val="22"/>
                <w:szCs w:val="22"/>
                <w:lang w:val="en-US"/>
              </w:rPr>
            </w:pPr>
            <w:r w:rsidRPr="00264D5D">
              <w:rPr>
                <w:sz w:val="22"/>
                <w:szCs w:val="22"/>
              </w:rPr>
              <w:t>П</w:t>
            </w:r>
          </w:p>
        </w:tc>
        <w:tc>
          <w:tcPr>
            <w:tcW w:w="588" w:type="pct"/>
          </w:tcPr>
          <w:p w14:paraId="2B52520E" w14:textId="77777777" w:rsidR="00AD1F54" w:rsidRPr="00264D5D" w:rsidRDefault="00941227">
            <w:pPr>
              <w:spacing w:before="60" w:after="60"/>
              <w:jc w:val="left"/>
              <w:rPr>
                <w:sz w:val="22"/>
                <w:szCs w:val="22"/>
              </w:rPr>
            </w:pPr>
            <w:r w:rsidRPr="00264D5D">
              <w:rPr>
                <w:sz w:val="22"/>
                <w:szCs w:val="22"/>
                <w:lang w:val="en-US"/>
              </w:rPr>
              <w:t>T(</w:t>
            </w:r>
            <w:r w:rsidRPr="00264D5D">
              <w:rPr>
                <w:sz w:val="22"/>
                <w:szCs w:val="22"/>
              </w:rPr>
              <w:t>4</w:t>
            </w:r>
            <w:r w:rsidRPr="00264D5D">
              <w:rPr>
                <w:sz w:val="22"/>
                <w:szCs w:val="22"/>
                <w:lang w:val="en-US"/>
              </w:rPr>
              <w:t>)</w:t>
            </w:r>
          </w:p>
        </w:tc>
        <w:tc>
          <w:tcPr>
            <w:tcW w:w="294" w:type="pct"/>
          </w:tcPr>
          <w:p w14:paraId="10229FA2" w14:textId="77777777" w:rsidR="00AD1F54" w:rsidRPr="00264D5D" w:rsidRDefault="00941227">
            <w:pPr>
              <w:spacing w:before="60" w:after="60"/>
              <w:jc w:val="center"/>
              <w:rPr>
                <w:sz w:val="22"/>
                <w:szCs w:val="22"/>
              </w:rPr>
            </w:pPr>
            <w:r w:rsidRPr="00264D5D">
              <w:rPr>
                <w:sz w:val="22"/>
                <w:szCs w:val="22"/>
              </w:rPr>
              <w:t>О</w:t>
            </w:r>
          </w:p>
        </w:tc>
        <w:tc>
          <w:tcPr>
            <w:tcW w:w="2057" w:type="pct"/>
          </w:tcPr>
          <w:p w14:paraId="1B52B457" w14:textId="77777777" w:rsidR="00AD1F54" w:rsidRPr="00264D5D" w:rsidRDefault="00941227">
            <w:pPr>
              <w:spacing w:before="60" w:after="60"/>
              <w:rPr>
                <w:sz w:val="22"/>
                <w:szCs w:val="22"/>
              </w:rPr>
            </w:pPr>
            <w:r w:rsidRPr="00264D5D">
              <w:rPr>
                <w:sz w:val="22"/>
                <w:szCs w:val="22"/>
              </w:rPr>
              <w:t>Указывается код вида выплаты на кар</w:t>
            </w:r>
            <w:r w:rsidR="00B83EE9" w:rsidRPr="00264D5D">
              <w:rPr>
                <w:sz w:val="22"/>
                <w:szCs w:val="22"/>
              </w:rPr>
              <w:t>ты «Мир» или карту Банка России</w:t>
            </w:r>
          </w:p>
        </w:tc>
      </w:tr>
      <w:tr w:rsidR="00AD1F54" w:rsidRPr="00264D5D" w14:paraId="3BEBBB1B"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143C94F3" w14:textId="77777777" w:rsidR="00AD1F54" w:rsidRPr="00264D5D" w:rsidRDefault="00941227">
            <w:pPr>
              <w:spacing w:before="60" w:after="60"/>
              <w:rPr>
                <w:sz w:val="22"/>
                <w:szCs w:val="22"/>
              </w:rPr>
            </w:pPr>
            <w:r w:rsidRPr="00264D5D">
              <w:rPr>
                <w:sz w:val="22"/>
                <w:szCs w:val="22"/>
              </w:rPr>
              <w:t>Код вида дохода</w:t>
            </w:r>
          </w:p>
        </w:tc>
        <w:tc>
          <w:tcPr>
            <w:tcW w:w="884" w:type="pct"/>
          </w:tcPr>
          <w:p w14:paraId="732AF5E8" w14:textId="77777777" w:rsidR="00AD1F54" w:rsidRPr="00264D5D" w:rsidRDefault="00941227">
            <w:pPr>
              <w:spacing w:before="60" w:after="60"/>
              <w:rPr>
                <w:sz w:val="22"/>
                <w:szCs w:val="22"/>
              </w:rPr>
            </w:pPr>
            <w:r w:rsidRPr="00264D5D">
              <w:rPr>
                <w:sz w:val="22"/>
                <w:szCs w:val="22"/>
                <w:lang w:eastAsia="en-US"/>
              </w:rPr>
              <w:t>Vid</w:t>
            </w:r>
            <w:r w:rsidRPr="00264D5D">
              <w:rPr>
                <w:sz w:val="22"/>
                <w:szCs w:val="22"/>
                <w:lang w:val="en-US" w:eastAsia="en-US"/>
              </w:rPr>
              <w:t>Icm</w:t>
            </w:r>
          </w:p>
        </w:tc>
        <w:tc>
          <w:tcPr>
            <w:tcW w:w="294" w:type="pct"/>
          </w:tcPr>
          <w:p w14:paraId="5228B7FF" w14:textId="77777777" w:rsidR="00AD1F54" w:rsidRPr="00264D5D" w:rsidRDefault="00941227">
            <w:pPr>
              <w:spacing w:before="60" w:after="60"/>
              <w:jc w:val="center"/>
              <w:rPr>
                <w:sz w:val="22"/>
                <w:szCs w:val="22"/>
              </w:rPr>
            </w:pPr>
            <w:r w:rsidRPr="00264D5D">
              <w:rPr>
                <w:sz w:val="22"/>
                <w:szCs w:val="22"/>
              </w:rPr>
              <w:t>П</w:t>
            </w:r>
          </w:p>
        </w:tc>
        <w:tc>
          <w:tcPr>
            <w:tcW w:w="588" w:type="pct"/>
          </w:tcPr>
          <w:p w14:paraId="7F278F12" w14:textId="77777777" w:rsidR="00AD1F54" w:rsidRPr="00264D5D" w:rsidRDefault="00941227">
            <w:pPr>
              <w:spacing w:before="60" w:after="60"/>
              <w:jc w:val="left"/>
              <w:rPr>
                <w:sz w:val="22"/>
                <w:szCs w:val="22"/>
              </w:rPr>
            </w:pPr>
            <w:r w:rsidRPr="00264D5D">
              <w:rPr>
                <w:sz w:val="22"/>
                <w:szCs w:val="22"/>
              </w:rPr>
              <w:t>T(1)</w:t>
            </w:r>
          </w:p>
        </w:tc>
        <w:tc>
          <w:tcPr>
            <w:tcW w:w="294" w:type="pct"/>
          </w:tcPr>
          <w:p w14:paraId="2BA892C9" w14:textId="77777777" w:rsidR="00AD1F54" w:rsidRPr="00264D5D" w:rsidRDefault="00941227">
            <w:pPr>
              <w:spacing w:before="60" w:after="60"/>
              <w:jc w:val="center"/>
              <w:rPr>
                <w:sz w:val="22"/>
                <w:szCs w:val="22"/>
              </w:rPr>
            </w:pPr>
            <w:r w:rsidRPr="00264D5D">
              <w:rPr>
                <w:sz w:val="22"/>
                <w:szCs w:val="22"/>
              </w:rPr>
              <w:t>Н</w:t>
            </w:r>
          </w:p>
        </w:tc>
        <w:tc>
          <w:tcPr>
            <w:tcW w:w="2057" w:type="pct"/>
          </w:tcPr>
          <w:p w14:paraId="7D13FC90" w14:textId="77777777" w:rsidR="00AD1F54" w:rsidRPr="00264D5D" w:rsidRDefault="00941227">
            <w:pPr>
              <w:pStyle w:val="GOSTTablenorm"/>
              <w:rPr>
                <w:szCs w:val="22"/>
              </w:rPr>
            </w:pPr>
            <w:r w:rsidRPr="00264D5D">
              <w:rPr>
                <w:szCs w:val="22"/>
              </w:rPr>
              <w:t>Заполняется в соответствии с частью 5.1 статьи 70 ФЗ от 02.10.2007 № 229-ФЗ и указанием Банка России от 29.06.2021 №762-П в документах, предусматривающих перечисление средств гражданам.</w:t>
            </w:r>
          </w:p>
          <w:p w14:paraId="02CD0E76" w14:textId="77777777" w:rsidR="00AD1F54" w:rsidRPr="00264D5D" w:rsidRDefault="00941227">
            <w:pPr>
              <w:pStyle w:val="GOSTTablenorm"/>
              <w:rPr>
                <w:szCs w:val="22"/>
              </w:rPr>
            </w:pPr>
            <w:r w:rsidRPr="00264D5D">
              <w:rPr>
                <w:szCs w:val="22"/>
              </w:rPr>
              <w:t>Возможные значения:</w:t>
            </w:r>
          </w:p>
          <w:p w14:paraId="0FB078F2" w14:textId="77777777" w:rsidR="00AD1F54" w:rsidRPr="00264D5D" w:rsidRDefault="00941227" w:rsidP="00101F62">
            <w:pPr>
              <w:pStyle w:val="GOSTTablenorm"/>
              <w:numPr>
                <w:ilvl w:val="0"/>
                <w:numId w:val="141"/>
              </w:numPr>
              <w:ind w:left="284" w:hanging="227"/>
              <w:rPr>
                <w:szCs w:val="22"/>
              </w:rPr>
            </w:pPr>
            <w:r w:rsidRPr="00264D5D">
              <w:rPr>
                <w:szCs w:val="22"/>
              </w:rPr>
              <w:t>«1» – при перечислении заработной платы и (или) иных доходов, в отношении которых статьей 99 ФЗ от 02.10.2007 № 229-ФЗ установлены ограничения размеров удержания;</w:t>
            </w:r>
          </w:p>
          <w:p w14:paraId="001C989D" w14:textId="77777777" w:rsidR="00AD1F54" w:rsidRPr="00264D5D" w:rsidRDefault="00941227" w:rsidP="00101F62">
            <w:pPr>
              <w:pStyle w:val="GOSTTablenorm"/>
              <w:numPr>
                <w:ilvl w:val="0"/>
                <w:numId w:val="141"/>
              </w:numPr>
              <w:ind w:left="284" w:hanging="227"/>
              <w:rPr>
                <w:szCs w:val="22"/>
              </w:rPr>
            </w:pPr>
            <w:r w:rsidRPr="00264D5D">
              <w:rPr>
                <w:szCs w:val="22"/>
              </w:rPr>
              <w:t>«2» – при перечислении денежных средств, являющихся доходами, на которые в соответствии со статьей 101 ФЗ от 02.10.2007 № 229-ФЗ не может быть обращено взыскание и которые имеют характер периодических выплат, за исключением доходов, к которым в соответствии с частью 2 статьи 101 ФЗ от 02.10.2007 № 229-ФЗ ограничения по обращению взыскания не применяются;</w:t>
            </w:r>
          </w:p>
          <w:p w14:paraId="64176818" w14:textId="77777777" w:rsidR="00AD1F54" w:rsidRPr="00264D5D" w:rsidRDefault="00941227" w:rsidP="00101F62">
            <w:pPr>
              <w:pStyle w:val="OTRTableNorm2"/>
              <w:numPr>
                <w:ilvl w:val="0"/>
                <w:numId w:val="141"/>
              </w:numPr>
              <w:spacing w:after="60"/>
              <w:ind w:left="284" w:hanging="227"/>
              <w:rPr>
                <w:sz w:val="22"/>
                <w:szCs w:val="22"/>
              </w:rPr>
            </w:pPr>
            <w:r w:rsidRPr="00264D5D">
              <w:rPr>
                <w:sz w:val="22"/>
                <w:szCs w:val="22"/>
              </w:rPr>
              <w:t xml:space="preserve">«3» – при перечислении денежных средств, являющихся доходами, к которым в соответствии с частью 2 статьи 101 ФЗ от 02.10.2007 № 229-ФЗ ограничения по обращению взыскания не применяются и которые имеют характер периодических </w:t>
            </w:r>
            <w:r w:rsidRPr="00264D5D">
              <w:rPr>
                <w:sz w:val="22"/>
                <w:szCs w:val="22"/>
              </w:rPr>
              <w:lastRenderedPageBreak/>
              <w:t>выплат;</w:t>
            </w:r>
          </w:p>
          <w:p w14:paraId="71014F3D" w14:textId="77777777" w:rsidR="00AD1F54" w:rsidRPr="00264D5D" w:rsidRDefault="00941227" w:rsidP="00101F62">
            <w:pPr>
              <w:pStyle w:val="OTRTableNorm2"/>
              <w:numPr>
                <w:ilvl w:val="0"/>
                <w:numId w:val="141"/>
              </w:numPr>
              <w:spacing w:after="60"/>
              <w:ind w:left="284" w:hanging="227"/>
              <w:rPr>
                <w:sz w:val="22"/>
                <w:szCs w:val="22"/>
              </w:rPr>
            </w:pPr>
            <w:r w:rsidRPr="00264D5D">
              <w:rPr>
                <w:sz w:val="22"/>
                <w:szCs w:val="22"/>
              </w:rPr>
              <w:t>«4» – при перечислении денежных средств, являющихся доходами, на которые в соответствии с частью 1 статьи 101 Федерального закона от 02.10.2007 № 229-ФЗ не может быть обращено взыскание и которые имеют характер единовременных выплат, за исключением доходов, к которым в соответствии с частью 2 статьи 101 Федерального закона от 02.10.2007 № 229-ФЗ ограничения по обращению взыскания не применяются;</w:t>
            </w:r>
          </w:p>
          <w:p w14:paraId="5A49BC50" w14:textId="77777777" w:rsidR="00AD1F54" w:rsidRPr="00264D5D" w:rsidRDefault="00941227" w:rsidP="00101F62">
            <w:pPr>
              <w:pStyle w:val="GOSTTablenorm"/>
              <w:numPr>
                <w:ilvl w:val="0"/>
                <w:numId w:val="141"/>
              </w:numPr>
              <w:ind w:left="284" w:hanging="227"/>
              <w:rPr>
                <w:szCs w:val="22"/>
              </w:rPr>
            </w:pPr>
            <w:r w:rsidRPr="00264D5D">
              <w:rPr>
                <w:szCs w:val="22"/>
              </w:rPr>
              <w:t>«5» – при перечислении денежных средств, являющихся доходами, к которым в соответствии с частью 2 статьи 101 Федерального закона от 02.10.2007 № 229-ФЗ ограничения по обращению взыскания не применяются и которые имеют характер единовременных выплат.</w:t>
            </w:r>
          </w:p>
          <w:p w14:paraId="59CA2B4B" w14:textId="77777777" w:rsidR="00AD1F54" w:rsidRPr="00264D5D" w:rsidRDefault="00941227">
            <w:pPr>
              <w:spacing w:before="60" w:after="60"/>
              <w:rPr>
                <w:sz w:val="22"/>
                <w:szCs w:val="22"/>
              </w:rPr>
            </w:pPr>
            <w:r w:rsidRPr="00264D5D">
              <w:rPr>
                <w:sz w:val="22"/>
                <w:szCs w:val="22"/>
              </w:rPr>
              <w:t>В о</w:t>
            </w:r>
            <w:r w:rsidR="00B83EE9" w:rsidRPr="00264D5D">
              <w:rPr>
                <w:sz w:val="22"/>
                <w:szCs w:val="22"/>
              </w:rPr>
              <w:t>стальных случаях не заполняется</w:t>
            </w:r>
          </w:p>
        </w:tc>
      </w:tr>
      <w:tr w:rsidR="00AD1F54" w:rsidRPr="00264D5D" w14:paraId="615DB1B1"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3" w:type="pct"/>
          </w:tcPr>
          <w:p w14:paraId="5D75D2FF" w14:textId="77777777" w:rsidR="00AD1F54" w:rsidRPr="00264D5D" w:rsidRDefault="00941227">
            <w:pPr>
              <w:spacing w:before="60" w:after="60"/>
              <w:rPr>
                <w:sz w:val="22"/>
                <w:szCs w:val="22"/>
              </w:rPr>
            </w:pPr>
            <w:r w:rsidRPr="00264D5D">
              <w:rPr>
                <w:sz w:val="22"/>
                <w:szCs w:val="22"/>
              </w:rPr>
              <w:lastRenderedPageBreak/>
              <w:t>Сумма, взысканная по исполнительному документу</w:t>
            </w:r>
          </w:p>
        </w:tc>
        <w:tc>
          <w:tcPr>
            <w:tcW w:w="884" w:type="pct"/>
          </w:tcPr>
          <w:p w14:paraId="0C2C78D3" w14:textId="77777777" w:rsidR="00AD1F54" w:rsidRPr="00264D5D" w:rsidRDefault="00941227">
            <w:pPr>
              <w:spacing w:before="60" w:after="60"/>
              <w:rPr>
                <w:sz w:val="22"/>
                <w:szCs w:val="22"/>
              </w:rPr>
            </w:pPr>
            <w:r w:rsidRPr="00264D5D">
              <w:rPr>
                <w:sz w:val="22"/>
                <w:szCs w:val="22"/>
                <w:lang w:eastAsia="en-US"/>
              </w:rPr>
              <w:t>Amnt</w:t>
            </w:r>
            <w:r w:rsidRPr="00264D5D">
              <w:rPr>
                <w:sz w:val="22"/>
                <w:szCs w:val="22"/>
                <w:lang w:val="en-US" w:eastAsia="en-US"/>
              </w:rPr>
              <w:t>Ispdoc</w:t>
            </w:r>
          </w:p>
        </w:tc>
        <w:tc>
          <w:tcPr>
            <w:tcW w:w="294" w:type="pct"/>
          </w:tcPr>
          <w:p w14:paraId="2123F79E" w14:textId="77777777" w:rsidR="00AD1F54" w:rsidRPr="00264D5D" w:rsidRDefault="00941227">
            <w:pPr>
              <w:spacing w:before="60" w:after="60"/>
              <w:jc w:val="center"/>
              <w:rPr>
                <w:sz w:val="22"/>
                <w:szCs w:val="22"/>
              </w:rPr>
            </w:pPr>
            <w:r w:rsidRPr="00264D5D">
              <w:rPr>
                <w:sz w:val="22"/>
                <w:szCs w:val="22"/>
              </w:rPr>
              <w:t>П</w:t>
            </w:r>
          </w:p>
        </w:tc>
        <w:tc>
          <w:tcPr>
            <w:tcW w:w="588" w:type="pct"/>
          </w:tcPr>
          <w:p w14:paraId="7BDF2E61" w14:textId="77777777" w:rsidR="00AD1F54" w:rsidRPr="00264D5D" w:rsidRDefault="00941227">
            <w:pPr>
              <w:spacing w:before="60" w:after="60"/>
              <w:jc w:val="left"/>
              <w:rPr>
                <w:sz w:val="22"/>
                <w:szCs w:val="22"/>
              </w:rPr>
            </w:pPr>
            <w:r w:rsidRPr="00264D5D">
              <w:rPr>
                <w:sz w:val="22"/>
                <w:szCs w:val="22"/>
                <w:lang w:eastAsia="en-US"/>
              </w:rPr>
              <w:t>T(1-200)</w:t>
            </w:r>
          </w:p>
        </w:tc>
        <w:tc>
          <w:tcPr>
            <w:tcW w:w="294" w:type="pct"/>
          </w:tcPr>
          <w:p w14:paraId="3C03321B" w14:textId="77777777" w:rsidR="00AD1F54" w:rsidRPr="00264D5D" w:rsidRDefault="00941227">
            <w:pPr>
              <w:spacing w:before="60" w:after="60"/>
              <w:jc w:val="center"/>
              <w:rPr>
                <w:sz w:val="22"/>
                <w:szCs w:val="22"/>
              </w:rPr>
            </w:pPr>
            <w:r w:rsidRPr="00264D5D">
              <w:rPr>
                <w:sz w:val="22"/>
                <w:szCs w:val="22"/>
              </w:rPr>
              <w:t>Н</w:t>
            </w:r>
          </w:p>
        </w:tc>
        <w:tc>
          <w:tcPr>
            <w:tcW w:w="2057" w:type="pct"/>
          </w:tcPr>
          <w:p w14:paraId="61A5FAD1" w14:textId="77777777" w:rsidR="00AD1F54" w:rsidRPr="00264D5D" w:rsidRDefault="00941227">
            <w:pPr>
              <w:pStyle w:val="GOSTTablenorm"/>
              <w:rPr>
                <w:szCs w:val="22"/>
              </w:rPr>
            </w:pPr>
            <w:r w:rsidRPr="00264D5D">
              <w:rPr>
                <w:szCs w:val="22"/>
              </w:rPr>
              <w:t>Заполняется в документах, предусматривающих перечисление средств гражданам, которые являются должниками по исполнительному документу.</w:t>
            </w:r>
          </w:p>
          <w:p w14:paraId="379408EE" w14:textId="77777777" w:rsidR="00AD1F54" w:rsidRPr="00264D5D" w:rsidRDefault="00941227">
            <w:pPr>
              <w:pStyle w:val="GOSTTablenorm"/>
              <w:rPr>
                <w:szCs w:val="22"/>
              </w:rPr>
            </w:pPr>
            <w:r w:rsidRPr="00264D5D">
              <w:rPr>
                <w:szCs w:val="22"/>
              </w:rPr>
              <w:t>Указывается сумма или суммы, взысканные по исполнительному документу.</w:t>
            </w:r>
          </w:p>
          <w:p w14:paraId="4527669B" w14:textId="77777777" w:rsidR="00AD1F54" w:rsidRPr="00264D5D" w:rsidRDefault="00941227">
            <w:pPr>
              <w:pStyle w:val="GOSTTablenorm"/>
              <w:rPr>
                <w:szCs w:val="22"/>
              </w:rPr>
            </w:pPr>
            <w:r w:rsidRPr="00264D5D">
              <w:rPr>
                <w:szCs w:val="22"/>
              </w:rPr>
              <w:t>В качестве разделителя целой и дробной части используется тире (-).</w:t>
            </w:r>
          </w:p>
          <w:p w14:paraId="1398217A" w14:textId="77777777" w:rsidR="00AD1F54" w:rsidRPr="00264D5D" w:rsidRDefault="00941227">
            <w:pPr>
              <w:pStyle w:val="GOSTTablenorm"/>
              <w:rPr>
                <w:szCs w:val="22"/>
              </w:rPr>
            </w:pPr>
            <w:r w:rsidRPr="00264D5D">
              <w:rPr>
                <w:szCs w:val="22"/>
              </w:rPr>
              <w:t>Если взысканная сумма выражена в целых рублях, то после знака «-» указывается «00».</w:t>
            </w:r>
          </w:p>
          <w:p w14:paraId="4E48FEA4" w14:textId="77777777" w:rsidR="00AD1F54" w:rsidRPr="00264D5D" w:rsidRDefault="00941227">
            <w:pPr>
              <w:pStyle w:val="GOSTTablenorm"/>
              <w:rPr>
                <w:szCs w:val="22"/>
              </w:rPr>
            </w:pPr>
            <w:r w:rsidRPr="00264D5D">
              <w:rPr>
                <w:szCs w:val="22"/>
              </w:rPr>
              <w:t>При указании двух и более сумм они разделяются м</w:t>
            </w:r>
            <w:r w:rsidR="00B83EE9" w:rsidRPr="00264D5D">
              <w:rPr>
                <w:szCs w:val="22"/>
              </w:rPr>
              <w:t>ежду собой точкой с запятой (;)</w:t>
            </w:r>
          </w:p>
        </w:tc>
      </w:tr>
      <w:tr w:rsidR="00AD1F54" w:rsidRPr="00264D5D" w14:paraId="7A4F4F40"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6276C484" w14:textId="77777777" w:rsidR="00AD1F54" w:rsidRPr="00264D5D" w:rsidRDefault="00941227">
            <w:pPr>
              <w:spacing w:before="60" w:after="60"/>
              <w:rPr>
                <w:sz w:val="22"/>
                <w:szCs w:val="22"/>
              </w:rPr>
            </w:pPr>
            <w:r w:rsidRPr="00264D5D">
              <w:rPr>
                <w:sz w:val="22"/>
                <w:szCs w:val="22"/>
              </w:rPr>
              <w:t>Сумма выплаты</w:t>
            </w:r>
          </w:p>
        </w:tc>
        <w:tc>
          <w:tcPr>
            <w:tcW w:w="884" w:type="pct"/>
          </w:tcPr>
          <w:p w14:paraId="015DE768" w14:textId="77777777" w:rsidR="00AD1F54" w:rsidRPr="00264D5D" w:rsidRDefault="00941227">
            <w:pPr>
              <w:spacing w:before="60" w:after="60"/>
              <w:rPr>
                <w:sz w:val="22"/>
                <w:szCs w:val="22"/>
                <w:lang w:val="en-US"/>
              </w:rPr>
            </w:pPr>
            <w:r w:rsidRPr="00264D5D">
              <w:rPr>
                <w:sz w:val="22"/>
                <w:szCs w:val="22"/>
                <w:lang w:val="en-US"/>
              </w:rPr>
              <w:t>V</w:t>
            </w:r>
            <w:r w:rsidRPr="00264D5D">
              <w:rPr>
                <w:sz w:val="22"/>
                <w:szCs w:val="22"/>
              </w:rPr>
              <w:t>ip</w:t>
            </w:r>
            <w:r w:rsidRPr="00264D5D">
              <w:rPr>
                <w:sz w:val="22"/>
                <w:szCs w:val="22"/>
                <w:lang w:val="en-US"/>
              </w:rPr>
              <w:t>Amnt</w:t>
            </w:r>
          </w:p>
        </w:tc>
        <w:tc>
          <w:tcPr>
            <w:tcW w:w="294" w:type="pct"/>
          </w:tcPr>
          <w:p w14:paraId="0A832008" w14:textId="77777777" w:rsidR="00AD1F54" w:rsidRPr="00264D5D" w:rsidRDefault="00941227">
            <w:pPr>
              <w:spacing w:before="60" w:after="60"/>
              <w:jc w:val="center"/>
              <w:rPr>
                <w:sz w:val="22"/>
                <w:szCs w:val="22"/>
              </w:rPr>
            </w:pPr>
            <w:r w:rsidRPr="00264D5D">
              <w:rPr>
                <w:sz w:val="22"/>
                <w:szCs w:val="22"/>
              </w:rPr>
              <w:t>П</w:t>
            </w:r>
          </w:p>
        </w:tc>
        <w:tc>
          <w:tcPr>
            <w:tcW w:w="588" w:type="pct"/>
          </w:tcPr>
          <w:p w14:paraId="63707C91" w14:textId="77777777" w:rsidR="00AD1F54" w:rsidRPr="00264D5D" w:rsidRDefault="00941227">
            <w:pPr>
              <w:spacing w:before="60" w:after="60"/>
              <w:jc w:val="left"/>
              <w:rPr>
                <w:sz w:val="22"/>
                <w:szCs w:val="22"/>
              </w:rPr>
            </w:pPr>
            <w:r w:rsidRPr="00264D5D">
              <w:rPr>
                <w:sz w:val="22"/>
                <w:szCs w:val="22"/>
              </w:rPr>
              <w:t>N(20.2)</w:t>
            </w:r>
          </w:p>
        </w:tc>
        <w:tc>
          <w:tcPr>
            <w:tcW w:w="294" w:type="pct"/>
          </w:tcPr>
          <w:p w14:paraId="6D67ABB7" w14:textId="77777777" w:rsidR="00AD1F54" w:rsidRPr="00264D5D" w:rsidRDefault="00941227">
            <w:pPr>
              <w:spacing w:before="60" w:after="60"/>
              <w:jc w:val="center"/>
              <w:rPr>
                <w:sz w:val="22"/>
                <w:szCs w:val="22"/>
              </w:rPr>
            </w:pPr>
            <w:r w:rsidRPr="00264D5D">
              <w:rPr>
                <w:sz w:val="22"/>
                <w:szCs w:val="22"/>
              </w:rPr>
              <w:t>О</w:t>
            </w:r>
          </w:p>
        </w:tc>
        <w:tc>
          <w:tcPr>
            <w:tcW w:w="2057" w:type="pct"/>
          </w:tcPr>
          <w:p w14:paraId="3D337654" w14:textId="77777777" w:rsidR="00AD1F54" w:rsidRPr="00264D5D" w:rsidRDefault="00941227">
            <w:pPr>
              <w:spacing w:before="60" w:after="60"/>
              <w:rPr>
                <w:sz w:val="22"/>
                <w:szCs w:val="22"/>
              </w:rPr>
            </w:pPr>
            <w:r w:rsidRPr="00264D5D">
              <w:rPr>
                <w:sz w:val="22"/>
                <w:szCs w:val="22"/>
              </w:rPr>
              <w:t>Указывается сумма выплаты на кар</w:t>
            </w:r>
            <w:r w:rsidR="00B83EE9" w:rsidRPr="00264D5D">
              <w:rPr>
                <w:sz w:val="22"/>
                <w:szCs w:val="22"/>
              </w:rPr>
              <w:t>ты «Мир» или карту Банка России</w:t>
            </w:r>
          </w:p>
        </w:tc>
      </w:tr>
      <w:tr w:rsidR="00AD1F54" w:rsidRPr="00264D5D" w14:paraId="68B4C6D4"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3" w:type="pct"/>
          </w:tcPr>
          <w:p w14:paraId="4FA0492E" w14:textId="77777777" w:rsidR="00AD1F54" w:rsidRPr="00264D5D" w:rsidRDefault="00941227">
            <w:pPr>
              <w:spacing w:before="60" w:after="60"/>
              <w:rPr>
                <w:sz w:val="22"/>
                <w:szCs w:val="22"/>
              </w:rPr>
            </w:pPr>
            <w:r w:rsidRPr="00264D5D">
              <w:rPr>
                <w:sz w:val="22"/>
                <w:szCs w:val="22"/>
              </w:rPr>
              <w:t>Суммы выплат КБК</w:t>
            </w:r>
          </w:p>
        </w:tc>
        <w:tc>
          <w:tcPr>
            <w:tcW w:w="884" w:type="pct"/>
          </w:tcPr>
          <w:p w14:paraId="53243829" w14:textId="77777777" w:rsidR="00AD1F54" w:rsidRPr="00264D5D" w:rsidRDefault="00941227">
            <w:pPr>
              <w:spacing w:before="60" w:after="60"/>
              <w:rPr>
                <w:sz w:val="22"/>
                <w:szCs w:val="22"/>
                <w:lang w:val="en-US"/>
              </w:rPr>
            </w:pPr>
            <w:r w:rsidRPr="00264D5D">
              <w:rPr>
                <w:sz w:val="22"/>
                <w:szCs w:val="22"/>
                <w:lang w:val="en-US"/>
              </w:rPr>
              <w:t>AmntKBK</w:t>
            </w:r>
          </w:p>
        </w:tc>
        <w:tc>
          <w:tcPr>
            <w:tcW w:w="294" w:type="pct"/>
          </w:tcPr>
          <w:p w14:paraId="2F8B5D8E" w14:textId="77777777" w:rsidR="00AD1F54" w:rsidRPr="00264D5D" w:rsidRDefault="00941227">
            <w:pPr>
              <w:spacing w:before="60" w:after="60"/>
              <w:jc w:val="center"/>
              <w:rPr>
                <w:sz w:val="22"/>
                <w:szCs w:val="22"/>
              </w:rPr>
            </w:pPr>
            <w:r w:rsidRPr="00264D5D">
              <w:rPr>
                <w:sz w:val="22"/>
                <w:szCs w:val="22"/>
              </w:rPr>
              <w:t>C</w:t>
            </w:r>
          </w:p>
        </w:tc>
        <w:tc>
          <w:tcPr>
            <w:tcW w:w="588" w:type="pct"/>
          </w:tcPr>
          <w:p w14:paraId="1090D034" w14:textId="77777777" w:rsidR="00AD1F54" w:rsidRPr="00264D5D" w:rsidRDefault="00941227">
            <w:pPr>
              <w:spacing w:before="60" w:after="60"/>
              <w:jc w:val="left"/>
              <w:rPr>
                <w:sz w:val="22"/>
                <w:szCs w:val="22"/>
              </w:rPr>
            </w:pPr>
            <w:r w:rsidRPr="00264D5D">
              <w:rPr>
                <w:sz w:val="22"/>
                <w:szCs w:val="22"/>
                <w:lang w:val="en-US"/>
              </w:rPr>
              <w:t>tAmntKBK</w:t>
            </w:r>
          </w:p>
        </w:tc>
        <w:tc>
          <w:tcPr>
            <w:tcW w:w="294" w:type="pct"/>
          </w:tcPr>
          <w:p w14:paraId="1E901689" w14:textId="77777777" w:rsidR="00AD1F54" w:rsidRPr="00264D5D" w:rsidRDefault="00941227">
            <w:pPr>
              <w:spacing w:before="60" w:after="60"/>
              <w:jc w:val="center"/>
              <w:rPr>
                <w:sz w:val="22"/>
                <w:szCs w:val="22"/>
                <w:lang w:val="en-US"/>
              </w:rPr>
            </w:pPr>
            <w:r w:rsidRPr="00264D5D">
              <w:rPr>
                <w:sz w:val="22"/>
                <w:szCs w:val="22"/>
              </w:rPr>
              <w:t>Н</w:t>
            </w:r>
          </w:p>
        </w:tc>
        <w:tc>
          <w:tcPr>
            <w:tcW w:w="2057" w:type="pct"/>
          </w:tcPr>
          <w:p w14:paraId="18BD4FBA" w14:textId="77777777" w:rsidR="00AD1F54" w:rsidRPr="00264D5D" w:rsidRDefault="00941227">
            <w:pPr>
              <w:spacing w:before="60" w:after="60"/>
              <w:rPr>
                <w:sz w:val="22"/>
                <w:szCs w:val="22"/>
              </w:rPr>
            </w:pPr>
            <w:r w:rsidRPr="00264D5D">
              <w:rPr>
                <w:sz w:val="22"/>
                <w:szCs w:val="22"/>
              </w:rPr>
              <w:t xml:space="preserve">Суммы выплат в разрезе КБК. </w:t>
            </w:r>
          </w:p>
          <w:p w14:paraId="31A850C3" w14:textId="77777777" w:rsidR="00AD1F54" w:rsidRPr="00264D5D" w:rsidRDefault="00941227">
            <w:pPr>
              <w:spacing w:before="60" w:after="60"/>
              <w:rPr>
                <w:sz w:val="22"/>
                <w:szCs w:val="22"/>
              </w:rPr>
            </w:pPr>
            <w:r w:rsidRPr="00264D5D">
              <w:rPr>
                <w:sz w:val="22"/>
                <w:szCs w:val="22"/>
              </w:rPr>
              <w:t xml:space="preserve">Блок не заполняется для выплат за счет </w:t>
            </w:r>
            <w:r w:rsidRPr="00264D5D">
              <w:rPr>
                <w:sz w:val="22"/>
                <w:szCs w:val="22"/>
              </w:rPr>
              <w:lastRenderedPageBreak/>
              <w:t>средств, поступающих во временное распоряжение учреждений.</w:t>
            </w:r>
          </w:p>
          <w:p w14:paraId="212F198A" w14:textId="77777777" w:rsidR="00AD1F54" w:rsidRPr="00264D5D" w:rsidRDefault="00941227">
            <w:pPr>
              <w:spacing w:before="60" w:after="60"/>
              <w:rPr>
                <w:sz w:val="22"/>
                <w:szCs w:val="22"/>
              </w:rPr>
            </w:pPr>
            <w:r w:rsidRPr="00264D5D">
              <w:rPr>
                <w:sz w:val="22"/>
                <w:szCs w:val="22"/>
              </w:rPr>
              <w:t>Дл</w:t>
            </w:r>
            <w:r w:rsidRPr="00601408">
              <w:rPr>
                <w:sz w:val="22"/>
                <w:szCs w:val="22"/>
                <w:highlight w:val="green"/>
              </w:rPr>
              <w:t>я</w:t>
            </w:r>
            <w:r w:rsidRPr="00264D5D">
              <w:rPr>
                <w:sz w:val="22"/>
                <w:szCs w:val="22"/>
              </w:rPr>
              <w:t xml:space="preserve"> </w:t>
            </w:r>
            <w:r w:rsidRPr="00601408">
              <w:rPr>
                <w:sz w:val="22"/>
                <w:szCs w:val="22"/>
                <w:highlight w:val="green"/>
              </w:rPr>
              <w:t>А</w:t>
            </w:r>
            <w:r w:rsidRPr="00264D5D">
              <w:rPr>
                <w:sz w:val="22"/>
                <w:szCs w:val="22"/>
              </w:rPr>
              <w:t>У обязательно для заполнения в случаях, предусмотренных НПА.</w:t>
            </w:r>
          </w:p>
          <w:p w14:paraId="26F38EAA" w14:textId="0147FCC7" w:rsidR="00AD1F54" w:rsidRPr="00264D5D" w:rsidRDefault="00941227">
            <w:pPr>
              <w:spacing w:before="60" w:after="60"/>
              <w:rPr>
                <w:sz w:val="22"/>
                <w:szCs w:val="22"/>
              </w:rPr>
            </w:pPr>
            <w:r w:rsidRPr="00264D5D">
              <w:rPr>
                <w:sz w:val="22"/>
                <w:szCs w:val="22"/>
              </w:rPr>
              <w:t xml:space="preserve">Состав элемента представлен в таблице </w:t>
            </w:r>
            <w:r w:rsidRPr="00264D5D">
              <w:rPr>
                <w:sz w:val="22"/>
                <w:szCs w:val="22"/>
              </w:rPr>
              <w:fldChar w:fldCharType="begin"/>
            </w:r>
            <w:r w:rsidRPr="00264D5D">
              <w:rPr>
                <w:sz w:val="22"/>
                <w:szCs w:val="22"/>
              </w:rPr>
              <w:instrText xml:space="preserve"> REF _Ref482635350 \h  \* MERGEFORMAT </w:instrText>
            </w:r>
            <w:r w:rsidRPr="00264D5D">
              <w:rPr>
                <w:sz w:val="22"/>
                <w:szCs w:val="22"/>
              </w:rPr>
            </w:r>
            <w:r w:rsidRPr="00264D5D">
              <w:rPr>
                <w:sz w:val="22"/>
                <w:szCs w:val="22"/>
              </w:rPr>
              <w:fldChar w:fldCharType="separate"/>
            </w:r>
            <w:r w:rsidR="008D797C" w:rsidRPr="008D797C">
              <w:rPr>
                <w:rFonts w:eastAsia="Calibri"/>
                <w:b/>
                <w:sz w:val="22"/>
                <w:szCs w:val="22"/>
              </w:rPr>
              <w:t>190</w:t>
            </w:r>
            <w:r w:rsidRPr="00264D5D">
              <w:rPr>
                <w:sz w:val="22"/>
                <w:szCs w:val="22"/>
              </w:rPr>
              <w:fldChar w:fldCharType="end"/>
            </w:r>
          </w:p>
        </w:tc>
      </w:tr>
    </w:tbl>
    <w:p w14:paraId="7A3CA042" w14:textId="77777777" w:rsidR="00AD1F54" w:rsidRPr="00264D5D" w:rsidRDefault="00941227">
      <w:pPr>
        <w:pStyle w:val="31"/>
      </w:pPr>
      <w:bookmarkStart w:id="1855" w:name="_Toc481690841"/>
      <w:bookmarkStart w:id="1856" w:name="_Toc219309648"/>
      <w:r w:rsidRPr="00264D5D">
        <w:lastRenderedPageBreak/>
        <w:t>Описание комплексного типа «tAmntKBK»</w:t>
      </w:r>
      <w:bookmarkEnd w:id="1855"/>
      <w:bookmarkEnd w:id="1856"/>
    </w:p>
    <w:p w14:paraId="02DCFDBD" w14:textId="77777777" w:rsidR="00AD1F54" w:rsidRPr="00264D5D" w:rsidRDefault="00941227">
      <w:pPr>
        <w:pStyle w:val="ASFKNormal"/>
        <w:spacing w:before="60" w:after="120"/>
        <w:contextualSpacing w:val="0"/>
        <w:jc w:val="both"/>
        <w:rPr>
          <w:sz w:val="24"/>
          <w:szCs w:val="24"/>
        </w:rPr>
      </w:pPr>
      <w:r w:rsidRPr="00264D5D">
        <w:rPr>
          <w:sz w:val="24"/>
          <w:szCs w:val="24"/>
        </w:rPr>
        <w:t>Описание комплексного типа «</w:t>
      </w:r>
      <w:r w:rsidRPr="00264D5D">
        <w:rPr>
          <w:sz w:val="24"/>
          <w:szCs w:val="24"/>
          <w:lang w:val="en-US"/>
        </w:rPr>
        <w:t>tAmntKBK</w:t>
      </w:r>
      <w:r w:rsidRPr="00264D5D">
        <w:rPr>
          <w:sz w:val="24"/>
          <w:szCs w:val="24"/>
        </w:rPr>
        <w:t>» блоков «Суммы выплат КБК» и «Итоговые суммы выплат».</w:t>
      </w:r>
    </w:p>
    <w:p w14:paraId="72FEF594" w14:textId="1B3AD19B"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1857" w:name="_Ref482635350"/>
      <w:bookmarkStart w:id="1858" w:name="_Toc30503371"/>
      <w:bookmarkStart w:id="1859" w:name="_Toc30507969"/>
      <w:bookmarkStart w:id="1860" w:name="_Toc219309220"/>
      <w:r w:rsidR="008D797C">
        <w:rPr>
          <w:rFonts w:eastAsia="Calibri"/>
          <w:noProof/>
          <w:szCs w:val="24"/>
        </w:rPr>
        <w:t>190</w:t>
      </w:r>
      <w:bookmarkEnd w:id="1857"/>
      <w:r w:rsidRPr="00264D5D">
        <w:rPr>
          <w:rFonts w:eastAsia="Calibri"/>
          <w:szCs w:val="24"/>
        </w:rPr>
        <w:fldChar w:fldCharType="end"/>
      </w:r>
      <w:r w:rsidRPr="00264D5D">
        <w:rPr>
          <w:rFonts w:eastAsia="Calibri"/>
          <w:szCs w:val="24"/>
        </w:rPr>
        <w:t xml:space="preserve"> – </w:t>
      </w:r>
      <w:r w:rsidRPr="00264D5D">
        <w:rPr>
          <w:szCs w:val="24"/>
        </w:rPr>
        <w:t>Описание комплексного типа «tAmntKBK»</w:t>
      </w:r>
      <w:bookmarkEnd w:id="1858"/>
      <w:bookmarkEnd w:id="1859"/>
      <w:bookmarkEnd w:id="1860"/>
    </w:p>
    <w:tbl>
      <w:tblPr>
        <w:tblStyle w:val="GOSTTable"/>
        <w:tblW w:w="5000" w:type="pct"/>
        <w:tblLayout w:type="fixed"/>
        <w:tblLook w:val="04A0" w:firstRow="1" w:lastRow="0" w:firstColumn="1" w:lastColumn="0" w:noHBand="0" w:noVBand="1"/>
      </w:tblPr>
      <w:tblGrid>
        <w:gridCol w:w="1703"/>
        <w:gridCol w:w="1705"/>
        <w:gridCol w:w="570"/>
        <w:gridCol w:w="1137"/>
        <w:gridCol w:w="567"/>
        <w:gridCol w:w="3968"/>
      </w:tblGrid>
      <w:tr w:rsidR="00AD1F54" w:rsidRPr="00264D5D" w14:paraId="7A0ACF40"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2" w:type="pct"/>
          </w:tcPr>
          <w:p w14:paraId="3A201845" w14:textId="77777777" w:rsidR="00AD1F54" w:rsidRPr="00264D5D" w:rsidRDefault="00941227">
            <w:pPr>
              <w:spacing w:before="60" w:after="60"/>
              <w:jc w:val="center"/>
              <w:rPr>
                <w:b/>
                <w:bCs/>
                <w:sz w:val="22"/>
                <w:szCs w:val="22"/>
              </w:rPr>
            </w:pPr>
            <w:r w:rsidRPr="00264D5D">
              <w:rPr>
                <w:b/>
                <w:bCs/>
                <w:sz w:val="22"/>
                <w:szCs w:val="22"/>
              </w:rPr>
              <w:t>Наименование комплексного типа</w:t>
            </w:r>
          </w:p>
        </w:tc>
        <w:tc>
          <w:tcPr>
            <w:tcW w:w="883" w:type="pct"/>
          </w:tcPr>
          <w:p w14:paraId="7C4FD007" w14:textId="77777777" w:rsidR="00AD1F54" w:rsidRPr="00264D5D" w:rsidRDefault="00941227">
            <w:pPr>
              <w:spacing w:before="60" w:after="60"/>
              <w:jc w:val="center"/>
              <w:rPr>
                <w:b/>
                <w:bCs/>
                <w:sz w:val="22"/>
                <w:szCs w:val="22"/>
                <w:lang w:val="en-US"/>
              </w:rPr>
            </w:pPr>
            <w:r w:rsidRPr="00264D5D">
              <w:rPr>
                <w:b/>
                <w:bCs/>
                <w:sz w:val="22"/>
                <w:szCs w:val="22"/>
              </w:rPr>
              <w:t>Текущий элемент/ атрибут</w:t>
            </w:r>
          </w:p>
        </w:tc>
        <w:tc>
          <w:tcPr>
            <w:tcW w:w="295" w:type="pct"/>
          </w:tcPr>
          <w:p w14:paraId="1CEC88E4" w14:textId="77777777" w:rsidR="00AD1F54" w:rsidRPr="00264D5D" w:rsidRDefault="00941227">
            <w:pPr>
              <w:spacing w:before="60" w:after="60"/>
              <w:jc w:val="center"/>
              <w:rPr>
                <w:b/>
                <w:sz w:val="22"/>
                <w:szCs w:val="22"/>
              </w:rPr>
            </w:pPr>
            <w:r w:rsidRPr="00264D5D">
              <w:rPr>
                <w:b/>
                <w:bCs/>
                <w:sz w:val="22"/>
                <w:szCs w:val="22"/>
              </w:rPr>
              <w:t>Тип</w:t>
            </w:r>
          </w:p>
        </w:tc>
        <w:tc>
          <w:tcPr>
            <w:tcW w:w="589" w:type="pct"/>
          </w:tcPr>
          <w:p w14:paraId="394C5F7B" w14:textId="77777777" w:rsidR="00AD1F54" w:rsidRPr="00264D5D" w:rsidRDefault="00941227">
            <w:pPr>
              <w:spacing w:before="60" w:after="60"/>
              <w:jc w:val="center"/>
              <w:rPr>
                <w:b/>
                <w:bCs/>
                <w:sz w:val="22"/>
                <w:szCs w:val="22"/>
              </w:rPr>
            </w:pPr>
            <w:r w:rsidRPr="00264D5D">
              <w:rPr>
                <w:b/>
                <w:bCs/>
                <w:sz w:val="22"/>
                <w:szCs w:val="22"/>
              </w:rPr>
              <w:t>Формат элемента</w:t>
            </w:r>
          </w:p>
        </w:tc>
        <w:tc>
          <w:tcPr>
            <w:tcW w:w="294" w:type="pct"/>
          </w:tcPr>
          <w:p w14:paraId="41F7C48E" w14:textId="77777777" w:rsidR="00AD1F54" w:rsidRPr="00264D5D" w:rsidRDefault="00941227">
            <w:pPr>
              <w:spacing w:before="60" w:after="60"/>
              <w:jc w:val="center"/>
              <w:rPr>
                <w:b/>
                <w:bCs/>
                <w:sz w:val="22"/>
                <w:szCs w:val="22"/>
              </w:rPr>
            </w:pPr>
            <w:r w:rsidRPr="00264D5D">
              <w:rPr>
                <w:b/>
                <w:bCs/>
                <w:sz w:val="22"/>
                <w:szCs w:val="22"/>
              </w:rPr>
              <w:t>Обязательность</w:t>
            </w:r>
          </w:p>
        </w:tc>
        <w:tc>
          <w:tcPr>
            <w:tcW w:w="2056" w:type="pct"/>
          </w:tcPr>
          <w:p w14:paraId="593C5161" w14:textId="77777777" w:rsidR="00AD1F54" w:rsidRPr="00264D5D" w:rsidRDefault="00941227">
            <w:pPr>
              <w:spacing w:before="60" w:after="60"/>
              <w:jc w:val="center"/>
              <w:rPr>
                <w:b/>
                <w:bCs/>
                <w:sz w:val="22"/>
                <w:szCs w:val="22"/>
              </w:rPr>
            </w:pPr>
            <w:r w:rsidRPr="00264D5D">
              <w:rPr>
                <w:b/>
                <w:bCs/>
                <w:sz w:val="22"/>
                <w:szCs w:val="22"/>
              </w:rPr>
              <w:t>Дополнительная информация</w:t>
            </w:r>
          </w:p>
        </w:tc>
      </w:tr>
      <w:tr w:rsidR="00AD1F54" w:rsidRPr="00264D5D" w14:paraId="03BFB196" w14:textId="77777777" w:rsidTr="00AD1F54">
        <w:trPr>
          <w:cnfStyle w:val="000000100000" w:firstRow="0" w:lastRow="0" w:firstColumn="0" w:lastColumn="0" w:oddVBand="0" w:evenVBand="0" w:oddHBand="1" w:evenHBand="0" w:firstRowFirstColumn="0" w:firstRowLastColumn="0" w:lastRowFirstColumn="0" w:lastRowLastColumn="0"/>
          <w:trHeight w:val="361"/>
        </w:trPr>
        <w:tc>
          <w:tcPr>
            <w:tcW w:w="882" w:type="pct"/>
          </w:tcPr>
          <w:p w14:paraId="0BBDC25D" w14:textId="77777777" w:rsidR="00AD1F54" w:rsidRPr="00264D5D" w:rsidRDefault="00941227">
            <w:pPr>
              <w:spacing w:before="60" w:after="60"/>
              <w:rPr>
                <w:sz w:val="22"/>
                <w:szCs w:val="22"/>
              </w:rPr>
            </w:pPr>
            <w:r w:rsidRPr="00264D5D">
              <w:rPr>
                <w:sz w:val="22"/>
                <w:szCs w:val="22"/>
                <w:lang w:val="en-US"/>
              </w:rPr>
              <w:t>tAmntKBK</w:t>
            </w:r>
          </w:p>
        </w:tc>
        <w:tc>
          <w:tcPr>
            <w:tcW w:w="883" w:type="pct"/>
          </w:tcPr>
          <w:p w14:paraId="09D623DC" w14:textId="77777777" w:rsidR="00AD1F54" w:rsidRPr="00264D5D" w:rsidRDefault="00941227">
            <w:pPr>
              <w:tabs>
                <w:tab w:val="left" w:pos="1122"/>
              </w:tabs>
              <w:spacing w:before="60" w:after="60"/>
              <w:rPr>
                <w:sz w:val="22"/>
                <w:szCs w:val="22"/>
                <w:lang w:val="en-US"/>
              </w:rPr>
            </w:pPr>
            <w:r w:rsidRPr="00264D5D">
              <w:rPr>
                <w:sz w:val="22"/>
                <w:szCs w:val="22"/>
                <w:lang w:val="en-US"/>
              </w:rPr>
              <w:t>AmntKBK_</w:t>
            </w:r>
            <w:r w:rsidRPr="00264D5D">
              <w:rPr>
                <w:sz w:val="22"/>
                <w:szCs w:val="22"/>
              </w:rPr>
              <w:t>ITEM</w:t>
            </w:r>
          </w:p>
        </w:tc>
        <w:tc>
          <w:tcPr>
            <w:tcW w:w="295" w:type="pct"/>
          </w:tcPr>
          <w:p w14:paraId="772A59A1" w14:textId="77777777" w:rsidR="00AD1F54" w:rsidRPr="00264D5D" w:rsidRDefault="00941227">
            <w:pPr>
              <w:spacing w:before="60" w:after="60"/>
              <w:jc w:val="center"/>
              <w:rPr>
                <w:sz w:val="22"/>
                <w:szCs w:val="22"/>
                <w:lang w:val="en-US"/>
              </w:rPr>
            </w:pPr>
            <w:r w:rsidRPr="00264D5D">
              <w:rPr>
                <w:sz w:val="22"/>
                <w:szCs w:val="22"/>
                <w:lang w:val="en-US"/>
              </w:rPr>
              <w:t>C</w:t>
            </w:r>
          </w:p>
        </w:tc>
        <w:tc>
          <w:tcPr>
            <w:tcW w:w="589" w:type="pct"/>
          </w:tcPr>
          <w:p w14:paraId="2EBD63DC" w14:textId="77777777" w:rsidR="00AD1F54" w:rsidRPr="00264D5D" w:rsidRDefault="00941227">
            <w:pPr>
              <w:spacing w:before="60" w:after="60"/>
              <w:jc w:val="left"/>
              <w:rPr>
                <w:sz w:val="22"/>
                <w:szCs w:val="22"/>
                <w:lang w:val="en-US"/>
              </w:rPr>
            </w:pPr>
            <w:r w:rsidRPr="00264D5D">
              <w:rPr>
                <w:sz w:val="22"/>
                <w:szCs w:val="22"/>
                <w:lang w:val="en-US"/>
              </w:rPr>
              <w:t>tAmntKBK_</w:t>
            </w:r>
            <w:r w:rsidRPr="00264D5D">
              <w:rPr>
                <w:sz w:val="22"/>
                <w:szCs w:val="22"/>
              </w:rPr>
              <w:t>ITEM</w:t>
            </w:r>
          </w:p>
        </w:tc>
        <w:tc>
          <w:tcPr>
            <w:tcW w:w="294" w:type="pct"/>
          </w:tcPr>
          <w:p w14:paraId="32ACB7D4" w14:textId="77777777" w:rsidR="00AD1F54" w:rsidRPr="00264D5D" w:rsidRDefault="00941227">
            <w:pPr>
              <w:spacing w:before="60" w:after="60"/>
              <w:jc w:val="center"/>
              <w:rPr>
                <w:sz w:val="22"/>
                <w:szCs w:val="22"/>
              </w:rPr>
            </w:pPr>
            <w:r w:rsidRPr="00264D5D">
              <w:rPr>
                <w:sz w:val="22"/>
                <w:szCs w:val="22"/>
              </w:rPr>
              <w:t>ОМ</w:t>
            </w:r>
          </w:p>
        </w:tc>
        <w:tc>
          <w:tcPr>
            <w:tcW w:w="2056" w:type="pct"/>
          </w:tcPr>
          <w:p w14:paraId="27150FBE" w14:textId="77777777" w:rsidR="00AD1F54" w:rsidRPr="00264D5D" w:rsidRDefault="00941227">
            <w:pPr>
              <w:pStyle w:val="EBTablenorm"/>
              <w:ind w:left="57" w:right="57"/>
              <w:contextualSpacing w:val="0"/>
              <w:rPr>
                <w:sz w:val="22"/>
                <w:szCs w:val="22"/>
              </w:rPr>
            </w:pPr>
            <w:r w:rsidRPr="00264D5D">
              <w:rPr>
                <w:sz w:val="22"/>
                <w:szCs w:val="22"/>
              </w:rPr>
              <w:t>Суммы выплат в разрезе КБК.</w:t>
            </w:r>
          </w:p>
          <w:p w14:paraId="6E09A9B0" w14:textId="7F07E375" w:rsidR="00AD1F54" w:rsidRPr="00264D5D" w:rsidRDefault="00941227">
            <w:pPr>
              <w:pStyle w:val="EBTablenorm"/>
              <w:ind w:left="57" w:right="57"/>
              <w:contextualSpacing w:val="0"/>
              <w:rPr>
                <w:sz w:val="22"/>
                <w:szCs w:val="22"/>
              </w:rPr>
            </w:pPr>
            <w:r w:rsidRPr="00264D5D">
              <w:rPr>
                <w:sz w:val="22"/>
                <w:szCs w:val="22"/>
              </w:rPr>
              <w:t xml:space="preserve">Состав элемента представлен в таблице </w:t>
            </w:r>
            <w:r w:rsidRPr="00264D5D">
              <w:rPr>
                <w:sz w:val="22"/>
                <w:szCs w:val="22"/>
              </w:rPr>
              <w:fldChar w:fldCharType="begin"/>
            </w:r>
            <w:r w:rsidRPr="00264D5D">
              <w:rPr>
                <w:sz w:val="22"/>
                <w:szCs w:val="22"/>
              </w:rPr>
              <w:instrText xml:space="preserve"> REF _Ref482635468 \h  \* MERGEFORMAT </w:instrText>
            </w:r>
            <w:r w:rsidRPr="00264D5D">
              <w:rPr>
                <w:sz w:val="22"/>
                <w:szCs w:val="22"/>
              </w:rPr>
            </w:r>
            <w:r w:rsidRPr="00264D5D">
              <w:rPr>
                <w:sz w:val="22"/>
                <w:szCs w:val="22"/>
              </w:rPr>
              <w:fldChar w:fldCharType="separate"/>
            </w:r>
            <w:r w:rsidR="008D797C" w:rsidRPr="008D797C">
              <w:rPr>
                <w:rFonts w:eastAsia="Calibri"/>
                <w:b/>
                <w:sz w:val="22"/>
                <w:szCs w:val="22"/>
              </w:rPr>
              <w:t>191</w:t>
            </w:r>
            <w:r w:rsidRPr="00264D5D">
              <w:rPr>
                <w:sz w:val="22"/>
                <w:szCs w:val="22"/>
              </w:rPr>
              <w:fldChar w:fldCharType="end"/>
            </w:r>
          </w:p>
        </w:tc>
      </w:tr>
    </w:tbl>
    <w:p w14:paraId="6C0C89A7" w14:textId="77777777" w:rsidR="00AD1F54" w:rsidRPr="00264D5D" w:rsidRDefault="00941227">
      <w:pPr>
        <w:pStyle w:val="31"/>
      </w:pPr>
      <w:bookmarkStart w:id="1861" w:name="_Toc481690842"/>
      <w:bookmarkStart w:id="1862" w:name="_Toc219309649"/>
      <w:r w:rsidRPr="00264D5D">
        <w:t>Описание комплексного типа «tAmntKBK_ITEM»</w:t>
      </w:r>
      <w:bookmarkEnd w:id="1861"/>
      <w:bookmarkEnd w:id="1862"/>
    </w:p>
    <w:p w14:paraId="3809B46B" w14:textId="77777777" w:rsidR="00AD1F54" w:rsidRPr="00264D5D" w:rsidRDefault="00941227">
      <w:pPr>
        <w:pStyle w:val="ASFKNormal"/>
        <w:spacing w:before="60" w:after="120"/>
        <w:contextualSpacing w:val="0"/>
        <w:jc w:val="both"/>
        <w:rPr>
          <w:sz w:val="24"/>
          <w:szCs w:val="24"/>
        </w:rPr>
      </w:pPr>
      <w:r w:rsidRPr="00264D5D">
        <w:rPr>
          <w:sz w:val="24"/>
          <w:szCs w:val="24"/>
        </w:rPr>
        <w:t>Описание комплексного типа «</w:t>
      </w:r>
      <w:r w:rsidRPr="00264D5D">
        <w:rPr>
          <w:sz w:val="24"/>
          <w:szCs w:val="24"/>
          <w:lang w:val="en-US"/>
        </w:rPr>
        <w:t>tAmntKBK</w:t>
      </w:r>
      <w:r w:rsidRPr="00264D5D">
        <w:rPr>
          <w:sz w:val="24"/>
          <w:szCs w:val="24"/>
        </w:rPr>
        <w:t>_</w:t>
      </w:r>
      <w:r w:rsidRPr="00264D5D">
        <w:rPr>
          <w:sz w:val="24"/>
          <w:szCs w:val="24"/>
          <w:lang w:val="en-US"/>
        </w:rPr>
        <w:t>ITEM</w:t>
      </w:r>
      <w:r w:rsidRPr="00264D5D">
        <w:rPr>
          <w:sz w:val="24"/>
          <w:szCs w:val="24"/>
        </w:rPr>
        <w:t>» строк блоков «Суммы выплат КБК» и «Итоговые суммы выплат».</w:t>
      </w:r>
    </w:p>
    <w:p w14:paraId="675B444F" w14:textId="071C2013"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1863" w:name="_Ref482635468"/>
      <w:bookmarkStart w:id="1864" w:name="_Toc30503372"/>
      <w:bookmarkStart w:id="1865" w:name="_Toc30507970"/>
      <w:bookmarkStart w:id="1866" w:name="_Toc219309221"/>
      <w:r w:rsidR="008D797C">
        <w:rPr>
          <w:rFonts w:eastAsia="Calibri"/>
          <w:noProof/>
          <w:szCs w:val="24"/>
        </w:rPr>
        <w:t>191</w:t>
      </w:r>
      <w:bookmarkEnd w:id="1863"/>
      <w:r w:rsidRPr="00264D5D">
        <w:rPr>
          <w:rFonts w:eastAsia="Calibri"/>
          <w:szCs w:val="24"/>
        </w:rPr>
        <w:fldChar w:fldCharType="end"/>
      </w:r>
      <w:r w:rsidRPr="00264D5D">
        <w:rPr>
          <w:rFonts w:eastAsia="Calibri"/>
          <w:szCs w:val="24"/>
        </w:rPr>
        <w:t xml:space="preserve"> – </w:t>
      </w:r>
      <w:r w:rsidRPr="00264D5D">
        <w:rPr>
          <w:szCs w:val="24"/>
        </w:rPr>
        <w:t>Описание комплексного типа «tAmntKBK_ITEM»</w:t>
      </w:r>
      <w:bookmarkEnd w:id="1864"/>
      <w:bookmarkEnd w:id="1865"/>
      <w:bookmarkEnd w:id="1866"/>
    </w:p>
    <w:tbl>
      <w:tblPr>
        <w:tblStyle w:val="GOSTTable"/>
        <w:tblW w:w="9636" w:type="dxa"/>
        <w:tblLayout w:type="fixed"/>
        <w:tblLook w:val="04A0" w:firstRow="1" w:lastRow="0" w:firstColumn="1" w:lastColumn="0" w:noHBand="0" w:noVBand="1"/>
      </w:tblPr>
      <w:tblGrid>
        <w:gridCol w:w="1707"/>
        <w:gridCol w:w="1702"/>
        <w:gridCol w:w="569"/>
        <w:gridCol w:w="1131"/>
        <w:gridCol w:w="565"/>
        <w:gridCol w:w="3962"/>
      </w:tblGrid>
      <w:tr w:rsidR="00AD1F54" w:rsidRPr="00264D5D" w14:paraId="1E4986CC"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5" w:type="pct"/>
          </w:tcPr>
          <w:p w14:paraId="335889EE" w14:textId="77777777" w:rsidR="00AD1F54" w:rsidRPr="00264D5D" w:rsidRDefault="00941227">
            <w:pPr>
              <w:spacing w:before="60" w:after="60"/>
              <w:jc w:val="center"/>
              <w:rPr>
                <w:b/>
                <w:bCs/>
                <w:sz w:val="22"/>
                <w:szCs w:val="22"/>
              </w:rPr>
            </w:pPr>
            <w:r w:rsidRPr="00264D5D">
              <w:rPr>
                <w:b/>
                <w:bCs/>
                <w:sz w:val="22"/>
                <w:szCs w:val="22"/>
              </w:rPr>
              <w:t>Наименование элемента</w:t>
            </w:r>
          </w:p>
        </w:tc>
        <w:tc>
          <w:tcPr>
            <w:tcW w:w="883" w:type="pct"/>
          </w:tcPr>
          <w:p w14:paraId="66B03345" w14:textId="77777777" w:rsidR="00AD1F54" w:rsidRPr="00264D5D" w:rsidRDefault="00941227">
            <w:pPr>
              <w:spacing w:before="60" w:after="60"/>
              <w:jc w:val="center"/>
              <w:rPr>
                <w:b/>
                <w:bCs/>
                <w:sz w:val="22"/>
                <w:szCs w:val="22"/>
              </w:rPr>
            </w:pPr>
            <w:r w:rsidRPr="00264D5D">
              <w:rPr>
                <w:b/>
                <w:bCs/>
                <w:sz w:val="22"/>
                <w:szCs w:val="22"/>
              </w:rPr>
              <w:t>Сокращенное наименование (код) элемента</w:t>
            </w:r>
          </w:p>
        </w:tc>
        <w:tc>
          <w:tcPr>
            <w:tcW w:w="295" w:type="pct"/>
          </w:tcPr>
          <w:p w14:paraId="10ABC6AB" w14:textId="77777777" w:rsidR="00AD1F54" w:rsidRPr="00264D5D" w:rsidRDefault="00941227">
            <w:pPr>
              <w:spacing w:before="60" w:after="60"/>
              <w:jc w:val="center"/>
              <w:rPr>
                <w:b/>
                <w:sz w:val="22"/>
                <w:szCs w:val="22"/>
              </w:rPr>
            </w:pPr>
            <w:r w:rsidRPr="00264D5D">
              <w:rPr>
                <w:b/>
                <w:bCs/>
                <w:sz w:val="22"/>
                <w:szCs w:val="22"/>
              </w:rPr>
              <w:t>Тип</w:t>
            </w:r>
          </w:p>
        </w:tc>
        <w:tc>
          <w:tcPr>
            <w:tcW w:w="587" w:type="pct"/>
          </w:tcPr>
          <w:p w14:paraId="28F1577A" w14:textId="77777777" w:rsidR="00AD1F54" w:rsidRPr="00264D5D" w:rsidRDefault="00941227">
            <w:pPr>
              <w:spacing w:before="60" w:after="60"/>
              <w:jc w:val="center"/>
              <w:rPr>
                <w:b/>
                <w:sz w:val="22"/>
                <w:szCs w:val="22"/>
              </w:rPr>
            </w:pPr>
            <w:r w:rsidRPr="00264D5D">
              <w:rPr>
                <w:b/>
                <w:bCs/>
                <w:sz w:val="22"/>
                <w:szCs w:val="22"/>
              </w:rPr>
              <w:t>Формат элемента</w:t>
            </w:r>
          </w:p>
        </w:tc>
        <w:tc>
          <w:tcPr>
            <w:tcW w:w="293" w:type="pct"/>
          </w:tcPr>
          <w:p w14:paraId="4DB5B67D" w14:textId="77777777" w:rsidR="00AD1F54" w:rsidRPr="00264D5D" w:rsidRDefault="00941227">
            <w:pPr>
              <w:spacing w:before="60" w:after="60"/>
              <w:jc w:val="center"/>
              <w:rPr>
                <w:b/>
                <w:bCs/>
                <w:sz w:val="22"/>
                <w:szCs w:val="22"/>
              </w:rPr>
            </w:pPr>
            <w:r w:rsidRPr="00264D5D">
              <w:rPr>
                <w:b/>
                <w:bCs/>
                <w:sz w:val="22"/>
                <w:szCs w:val="22"/>
              </w:rPr>
              <w:t>Обязательность</w:t>
            </w:r>
          </w:p>
        </w:tc>
        <w:tc>
          <w:tcPr>
            <w:tcW w:w="2056" w:type="pct"/>
          </w:tcPr>
          <w:p w14:paraId="4F26CB13" w14:textId="77777777" w:rsidR="00AD1F54" w:rsidRPr="00264D5D" w:rsidRDefault="00941227">
            <w:pPr>
              <w:spacing w:before="60" w:after="60"/>
              <w:jc w:val="center"/>
              <w:rPr>
                <w:b/>
                <w:bCs/>
                <w:sz w:val="22"/>
                <w:szCs w:val="22"/>
              </w:rPr>
            </w:pPr>
            <w:r w:rsidRPr="00264D5D">
              <w:rPr>
                <w:b/>
                <w:bCs/>
                <w:sz w:val="22"/>
                <w:szCs w:val="22"/>
              </w:rPr>
              <w:t>Дополнительная информация</w:t>
            </w:r>
          </w:p>
        </w:tc>
      </w:tr>
      <w:tr w:rsidR="00AD1F54" w:rsidRPr="00264D5D" w14:paraId="34914396"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5" w:type="pct"/>
          </w:tcPr>
          <w:p w14:paraId="05C5135C" w14:textId="77777777" w:rsidR="00AD1F54" w:rsidRPr="00264D5D" w:rsidRDefault="00941227">
            <w:pPr>
              <w:spacing w:before="60" w:after="60"/>
              <w:rPr>
                <w:sz w:val="22"/>
                <w:szCs w:val="22"/>
              </w:rPr>
            </w:pPr>
            <w:r w:rsidRPr="00264D5D">
              <w:rPr>
                <w:sz w:val="22"/>
                <w:szCs w:val="22"/>
              </w:rPr>
              <w:t>Код бюджетной классификации</w:t>
            </w:r>
          </w:p>
        </w:tc>
        <w:tc>
          <w:tcPr>
            <w:tcW w:w="883" w:type="pct"/>
          </w:tcPr>
          <w:p w14:paraId="74845C54" w14:textId="77777777" w:rsidR="00AD1F54" w:rsidRPr="00264D5D" w:rsidRDefault="00941227">
            <w:pPr>
              <w:spacing w:before="60" w:after="60"/>
              <w:rPr>
                <w:sz w:val="22"/>
                <w:szCs w:val="22"/>
              </w:rPr>
            </w:pPr>
            <w:r w:rsidRPr="00264D5D">
              <w:rPr>
                <w:sz w:val="22"/>
                <w:szCs w:val="22"/>
              </w:rPr>
              <w:t>KBK</w:t>
            </w:r>
          </w:p>
        </w:tc>
        <w:tc>
          <w:tcPr>
            <w:tcW w:w="295" w:type="pct"/>
          </w:tcPr>
          <w:p w14:paraId="14D6ED4B" w14:textId="77777777" w:rsidR="00AD1F54" w:rsidRPr="00264D5D" w:rsidRDefault="00941227">
            <w:pPr>
              <w:spacing w:before="60" w:after="60"/>
              <w:jc w:val="center"/>
              <w:rPr>
                <w:sz w:val="22"/>
                <w:szCs w:val="22"/>
              </w:rPr>
            </w:pPr>
            <w:r w:rsidRPr="00264D5D">
              <w:rPr>
                <w:sz w:val="22"/>
                <w:szCs w:val="22"/>
              </w:rPr>
              <w:t>П</w:t>
            </w:r>
          </w:p>
        </w:tc>
        <w:tc>
          <w:tcPr>
            <w:tcW w:w="587" w:type="pct"/>
          </w:tcPr>
          <w:p w14:paraId="145A0395" w14:textId="77777777" w:rsidR="00AD1F54" w:rsidRPr="00264D5D" w:rsidRDefault="00941227">
            <w:pPr>
              <w:spacing w:before="60" w:after="60"/>
              <w:jc w:val="left"/>
              <w:rPr>
                <w:sz w:val="22"/>
                <w:szCs w:val="22"/>
              </w:rPr>
            </w:pPr>
            <w:r w:rsidRPr="00264D5D">
              <w:rPr>
                <w:sz w:val="22"/>
                <w:szCs w:val="22"/>
              </w:rPr>
              <w:t>Т(</w:t>
            </w:r>
            <w:r w:rsidRPr="00264D5D">
              <w:rPr>
                <w:sz w:val="22"/>
                <w:szCs w:val="22"/>
                <w:lang w:val="en-US"/>
              </w:rPr>
              <w:t>20</w:t>
            </w:r>
            <w:r w:rsidRPr="00264D5D">
              <w:rPr>
                <w:sz w:val="22"/>
                <w:szCs w:val="22"/>
              </w:rPr>
              <w:t>)</w:t>
            </w:r>
          </w:p>
        </w:tc>
        <w:tc>
          <w:tcPr>
            <w:tcW w:w="293" w:type="pct"/>
          </w:tcPr>
          <w:p w14:paraId="5C481A7B" w14:textId="77777777" w:rsidR="00AD1F54" w:rsidRPr="00264D5D" w:rsidRDefault="00941227">
            <w:pPr>
              <w:spacing w:before="60" w:after="60"/>
              <w:jc w:val="center"/>
              <w:rPr>
                <w:sz w:val="22"/>
                <w:szCs w:val="22"/>
              </w:rPr>
            </w:pPr>
            <w:r w:rsidRPr="00264D5D">
              <w:rPr>
                <w:sz w:val="22"/>
                <w:szCs w:val="22"/>
              </w:rPr>
              <w:t>Н</w:t>
            </w:r>
          </w:p>
        </w:tc>
        <w:tc>
          <w:tcPr>
            <w:tcW w:w="2056" w:type="pct"/>
          </w:tcPr>
          <w:p w14:paraId="552CD918" w14:textId="77777777" w:rsidR="00AD1F54" w:rsidRPr="00264D5D" w:rsidRDefault="00941227">
            <w:pPr>
              <w:spacing w:before="60" w:after="60"/>
              <w:rPr>
                <w:sz w:val="22"/>
                <w:szCs w:val="22"/>
              </w:rPr>
            </w:pPr>
            <w:r w:rsidRPr="00264D5D">
              <w:rPr>
                <w:sz w:val="22"/>
                <w:szCs w:val="22"/>
              </w:rPr>
              <w:t xml:space="preserve">Указывается код бюджетной классификации, по </w:t>
            </w:r>
            <w:r w:rsidR="00B83EE9" w:rsidRPr="00264D5D">
              <w:rPr>
                <w:sz w:val="22"/>
                <w:szCs w:val="22"/>
              </w:rPr>
              <w:t>которому осуществляется выплата</w:t>
            </w:r>
          </w:p>
        </w:tc>
      </w:tr>
      <w:tr w:rsidR="00AD1F54" w:rsidRPr="00264D5D" w14:paraId="23316037" w14:textId="77777777" w:rsidTr="00AD1F54">
        <w:trPr>
          <w:cnfStyle w:val="000000010000" w:firstRow="0" w:lastRow="0" w:firstColumn="0" w:lastColumn="0" w:oddVBand="0" w:evenVBand="0" w:oddHBand="0" w:evenHBand="1" w:firstRowFirstColumn="0" w:firstRowLastColumn="0" w:lastRowFirstColumn="0" w:lastRowLastColumn="0"/>
          <w:trHeight w:val="77"/>
        </w:trPr>
        <w:tc>
          <w:tcPr>
            <w:tcW w:w="885" w:type="pct"/>
          </w:tcPr>
          <w:p w14:paraId="43DAB17A" w14:textId="77777777" w:rsidR="00AD1F54" w:rsidRPr="00264D5D" w:rsidRDefault="00941227">
            <w:pPr>
              <w:spacing w:before="60" w:after="60"/>
              <w:rPr>
                <w:sz w:val="22"/>
                <w:szCs w:val="22"/>
              </w:rPr>
            </w:pPr>
            <w:r w:rsidRPr="00264D5D">
              <w:rPr>
                <w:sz w:val="22"/>
                <w:szCs w:val="22"/>
              </w:rPr>
              <w:t>Сумма по коду бюджетной классификации</w:t>
            </w:r>
          </w:p>
        </w:tc>
        <w:tc>
          <w:tcPr>
            <w:tcW w:w="883" w:type="pct"/>
          </w:tcPr>
          <w:p w14:paraId="37D762F2" w14:textId="77777777" w:rsidR="00AD1F54" w:rsidRPr="00264D5D" w:rsidRDefault="00941227">
            <w:pPr>
              <w:spacing w:before="60" w:after="60"/>
              <w:rPr>
                <w:sz w:val="22"/>
                <w:szCs w:val="22"/>
                <w:lang w:val="en-US"/>
              </w:rPr>
            </w:pPr>
            <w:r w:rsidRPr="00264D5D">
              <w:rPr>
                <w:sz w:val="22"/>
                <w:szCs w:val="22"/>
                <w:lang w:val="en-US"/>
              </w:rPr>
              <w:t>Sum</w:t>
            </w:r>
          </w:p>
        </w:tc>
        <w:tc>
          <w:tcPr>
            <w:tcW w:w="295" w:type="pct"/>
          </w:tcPr>
          <w:p w14:paraId="5CFBBEA5" w14:textId="77777777" w:rsidR="00AD1F54" w:rsidRPr="00264D5D" w:rsidRDefault="00941227">
            <w:pPr>
              <w:spacing w:before="60" w:after="60"/>
              <w:jc w:val="center"/>
              <w:rPr>
                <w:sz w:val="22"/>
                <w:szCs w:val="22"/>
              </w:rPr>
            </w:pPr>
            <w:r w:rsidRPr="00264D5D">
              <w:rPr>
                <w:sz w:val="22"/>
                <w:szCs w:val="22"/>
              </w:rPr>
              <w:t>П</w:t>
            </w:r>
          </w:p>
        </w:tc>
        <w:tc>
          <w:tcPr>
            <w:tcW w:w="587" w:type="pct"/>
          </w:tcPr>
          <w:p w14:paraId="40CDACE3" w14:textId="77777777" w:rsidR="00AD1F54" w:rsidRPr="00264D5D" w:rsidRDefault="00941227">
            <w:pPr>
              <w:spacing w:before="60" w:after="60"/>
              <w:jc w:val="left"/>
              <w:rPr>
                <w:sz w:val="22"/>
                <w:szCs w:val="22"/>
              </w:rPr>
            </w:pPr>
            <w:r w:rsidRPr="00264D5D">
              <w:rPr>
                <w:sz w:val="22"/>
                <w:szCs w:val="22"/>
              </w:rPr>
              <w:t>N(20.2)</w:t>
            </w:r>
          </w:p>
        </w:tc>
        <w:tc>
          <w:tcPr>
            <w:tcW w:w="293" w:type="pct"/>
          </w:tcPr>
          <w:p w14:paraId="2D6E5E5A" w14:textId="77777777" w:rsidR="00AD1F54" w:rsidRPr="00264D5D" w:rsidRDefault="00941227">
            <w:pPr>
              <w:spacing w:before="60" w:after="60"/>
              <w:jc w:val="center"/>
              <w:rPr>
                <w:sz w:val="22"/>
                <w:szCs w:val="22"/>
              </w:rPr>
            </w:pPr>
            <w:r w:rsidRPr="00264D5D">
              <w:rPr>
                <w:sz w:val="22"/>
                <w:szCs w:val="22"/>
              </w:rPr>
              <w:t>О</w:t>
            </w:r>
          </w:p>
        </w:tc>
        <w:tc>
          <w:tcPr>
            <w:tcW w:w="2056" w:type="pct"/>
          </w:tcPr>
          <w:p w14:paraId="7E266D05" w14:textId="77777777" w:rsidR="00AD1F54" w:rsidRPr="00264D5D" w:rsidRDefault="00941227">
            <w:pPr>
              <w:spacing w:before="60" w:after="60"/>
              <w:rPr>
                <w:sz w:val="22"/>
                <w:szCs w:val="22"/>
              </w:rPr>
            </w:pPr>
            <w:r w:rsidRPr="00264D5D">
              <w:rPr>
                <w:sz w:val="22"/>
                <w:szCs w:val="22"/>
              </w:rPr>
              <w:t>Указывается сумма выплаты по соответствующе</w:t>
            </w:r>
            <w:r w:rsidR="00B83EE9" w:rsidRPr="00264D5D">
              <w:rPr>
                <w:sz w:val="22"/>
                <w:szCs w:val="22"/>
              </w:rPr>
              <w:t>му коду бюджетной классификации</w:t>
            </w:r>
          </w:p>
        </w:tc>
      </w:tr>
      <w:tr w:rsidR="00AD1F54" w:rsidRPr="00264D5D" w14:paraId="67EA9E96"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5" w:type="pct"/>
          </w:tcPr>
          <w:p w14:paraId="3844DA26" w14:textId="77777777" w:rsidR="00AD1F54" w:rsidRPr="00264D5D" w:rsidRDefault="00941227">
            <w:pPr>
              <w:spacing w:before="60" w:after="60"/>
              <w:rPr>
                <w:sz w:val="22"/>
                <w:szCs w:val="22"/>
              </w:rPr>
            </w:pPr>
            <w:r w:rsidRPr="00264D5D">
              <w:rPr>
                <w:sz w:val="22"/>
                <w:szCs w:val="22"/>
              </w:rPr>
              <w:t>Аналитический код</w:t>
            </w:r>
          </w:p>
        </w:tc>
        <w:tc>
          <w:tcPr>
            <w:tcW w:w="883" w:type="pct"/>
          </w:tcPr>
          <w:p w14:paraId="4471B82D" w14:textId="77777777" w:rsidR="00AD1F54" w:rsidRPr="00264D5D" w:rsidRDefault="00941227">
            <w:pPr>
              <w:spacing w:before="60" w:after="60"/>
              <w:rPr>
                <w:sz w:val="22"/>
                <w:szCs w:val="22"/>
              </w:rPr>
            </w:pPr>
            <w:r w:rsidRPr="00264D5D">
              <w:rPr>
                <w:sz w:val="22"/>
                <w:szCs w:val="22"/>
                <w:lang w:val="en-US"/>
              </w:rPr>
              <w:t>AddKlass</w:t>
            </w:r>
          </w:p>
        </w:tc>
        <w:tc>
          <w:tcPr>
            <w:tcW w:w="295" w:type="pct"/>
          </w:tcPr>
          <w:p w14:paraId="59B35E0E" w14:textId="77777777" w:rsidR="00AD1F54" w:rsidRPr="00264D5D" w:rsidRDefault="00941227">
            <w:pPr>
              <w:spacing w:before="60" w:after="60"/>
              <w:jc w:val="center"/>
              <w:rPr>
                <w:sz w:val="22"/>
                <w:szCs w:val="22"/>
              </w:rPr>
            </w:pPr>
            <w:r w:rsidRPr="00264D5D">
              <w:rPr>
                <w:sz w:val="22"/>
                <w:szCs w:val="22"/>
              </w:rPr>
              <w:t>П</w:t>
            </w:r>
          </w:p>
        </w:tc>
        <w:tc>
          <w:tcPr>
            <w:tcW w:w="587" w:type="pct"/>
          </w:tcPr>
          <w:p w14:paraId="512C1268" w14:textId="77777777" w:rsidR="00AD1F54" w:rsidRPr="00264D5D" w:rsidRDefault="00941227">
            <w:pPr>
              <w:spacing w:before="60" w:after="60"/>
              <w:jc w:val="left"/>
              <w:rPr>
                <w:sz w:val="22"/>
                <w:szCs w:val="22"/>
              </w:rPr>
            </w:pPr>
            <w:r w:rsidRPr="00264D5D">
              <w:rPr>
                <w:sz w:val="22"/>
                <w:szCs w:val="22"/>
              </w:rPr>
              <w:t>Т(1-25)</w:t>
            </w:r>
          </w:p>
        </w:tc>
        <w:tc>
          <w:tcPr>
            <w:tcW w:w="293" w:type="pct"/>
          </w:tcPr>
          <w:p w14:paraId="22CAF906" w14:textId="77777777" w:rsidR="00AD1F54" w:rsidRPr="00264D5D" w:rsidRDefault="00941227">
            <w:pPr>
              <w:spacing w:before="60" w:after="60"/>
              <w:jc w:val="center"/>
              <w:rPr>
                <w:sz w:val="22"/>
                <w:szCs w:val="22"/>
              </w:rPr>
            </w:pPr>
            <w:r w:rsidRPr="00264D5D">
              <w:rPr>
                <w:sz w:val="22"/>
                <w:szCs w:val="22"/>
              </w:rPr>
              <w:t>Н</w:t>
            </w:r>
          </w:p>
        </w:tc>
        <w:tc>
          <w:tcPr>
            <w:tcW w:w="2056" w:type="pct"/>
          </w:tcPr>
          <w:p w14:paraId="5FC01B77" w14:textId="77777777" w:rsidR="00AD1F54" w:rsidRPr="00264D5D" w:rsidRDefault="00941227">
            <w:pPr>
              <w:spacing w:before="60" w:after="60"/>
              <w:rPr>
                <w:sz w:val="22"/>
                <w:szCs w:val="22"/>
              </w:rPr>
            </w:pPr>
            <w:r w:rsidRPr="00264D5D">
              <w:rPr>
                <w:sz w:val="22"/>
                <w:szCs w:val="22"/>
              </w:rPr>
              <w:t>Указывает</w:t>
            </w:r>
            <w:r w:rsidR="00B83EE9" w:rsidRPr="00264D5D">
              <w:rPr>
                <w:sz w:val="22"/>
                <w:szCs w:val="22"/>
              </w:rPr>
              <w:t>ся аналитический код (код цели)</w:t>
            </w:r>
          </w:p>
        </w:tc>
      </w:tr>
    </w:tbl>
    <w:p w14:paraId="2ED2D216" w14:textId="77777777" w:rsidR="00AD1F54" w:rsidRPr="00264D5D" w:rsidRDefault="00941227">
      <w:pPr>
        <w:pStyle w:val="31"/>
      </w:pPr>
      <w:bookmarkStart w:id="1867" w:name="_Toc84802345"/>
      <w:bookmarkStart w:id="1868" w:name="_Toc481690843"/>
      <w:bookmarkStart w:id="1869" w:name="_Toc219309650"/>
      <w:r w:rsidRPr="00264D5D">
        <w:t>Описание комплексного типа «tSGN»</w:t>
      </w:r>
      <w:bookmarkEnd w:id="1867"/>
      <w:bookmarkEnd w:id="1869"/>
    </w:p>
    <w:p w14:paraId="68D2578D" w14:textId="77777777" w:rsidR="00AD1F54" w:rsidRPr="00264D5D" w:rsidRDefault="00941227">
      <w:pPr>
        <w:pStyle w:val="GOSTNormal"/>
        <w:rPr>
          <w:szCs w:val="24"/>
        </w:rPr>
      </w:pPr>
      <w:r w:rsidRPr="00264D5D">
        <w:rPr>
          <w:szCs w:val="24"/>
        </w:rPr>
        <w:t>Описание комплексного типа «tSGN» блока «</w:t>
      </w:r>
      <w:r w:rsidRPr="00264D5D">
        <w:rPr>
          <w:color w:val="000000"/>
          <w:szCs w:val="24"/>
        </w:rPr>
        <w:t>Данные о подписях</w:t>
      </w:r>
      <w:r w:rsidRPr="00264D5D">
        <w:rPr>
          <w:szCs w:val="24"/>
        </w:rPr>
        <w:t>».</w:t>
      </w:r>
    </w:p>
    <w:p w14:paraId="6875B9F3" w14:textId="57DFB839" w:rsidR="00AD1F54" w:rsidRPr="00264D5D" w:rsidRDefault="00941227">
      <w:pPr>
        <w:pStyle w:val="GOSTNameTable"/>
        <w:numPr>
          <w:ilvl w:val="0"/>
          <w:numId w:val="2"/>
        </w:numPr>
        <w:ind w:left="425" w:hanging="357"/>
      </w:pPr>
      <w:r w:rsidRPr="00264D5D">
        <w:lastRenderedPageBreak/>
        <w:fldChar w:fldCharType="begin"/>
      </w:r>
      <w:r w:rsidRPr="00264D5D">
        <w:instrText>SEQ Таблица \* ARABIC</w:instrText>
      </w:r>
      <w:r w:rsidRPr="00264D5D">
        <w:fldChar w:fldCharType="separate"/>
      </w:r>
      <w:bookmarkStart w:id="1870" w:name="_Ref68857965"/>
      <w:bookmarkStart w:id="1871" w:name="_Toc219309222"/>
      <w:r w:rsidR="008D797C">
        <w:rPr>
          <w:noProof/>
        </w:rPr>
        <w:t>192</w:t>
      </w:r>
      <w:bookmarkEnd w:id="1870"/>
      <w:r w:rsidRPr="00264D5D">
        <w:fldChar w:fldCharType="end"/>
      </w:r>
      <w:r w:rsidRPr="00264D5D">
        <w:t xml:space="preserve"> – Описание комплексного типа «tSGN»</w:t>
      </w:r>
      <w:bookmarkEnd w:id="1871"/>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3F38FAE3"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076B978B" w14:textId="77777777" w:rsidR="00AD1F54" w:rsidRPr="00264D5D" w:rsidRDefault="00941227">
            <w:pPr>
              <w:pStyle w:val="OTRTableHead"/>
              <w:keepNext w:val="0"/>
              <w:widowControl w:val="0"/>
              <w:ind w:left="57" w:right="57"/>
              <w:rPr>
                <w:sz w:val="22"/>
                <w:szCs w:val="22"/>
              </w:rPr>
            </w:pPr>
            <w:r w:rsidRPr="00264D5D">
              <w:rPr>
                <w:sz w:val="22"/>
                <w:szCs w:val="22"/>
              </w:rPr>
              <w:t>Наименование элемента</w:t>
            </w:r>
          </w:p>
        </w:tc>
        <w:tc>
          <w:tcPr>
            <w:tcW w:w="1701" w:type="dxa"/>
          </w:tcPr>
          <w:p w14:paraId="45A15110" w14:textId="77777777" w:rsidR="00AD1F54" w:rsidRPr="00264D5D" w:rsidRDefault="00941227">
            <w:pPr>
              <w:pStyle w:val="OTRTableHead"/>
              <w:keepNext w:val="0"/>
              <w:widowControl w:val="0"/>
              <w:ind w:left="57" w:right="57"/>
              <w:rPr>
                <w:sz w:val="22"/>
                <w:szCs w:val="22"/>
              </w:rPr>
            </w:pPr>
            <w:r w:rsidRPr="00264D5D">
              <w:rPr>
                <w:sz w:val="22"/>
                <w:szCs w:val="22"/>
              </w:rPr>
              <w:t>Сокращенное наименование (код) элемента</w:t>
            </w:r>
          </w:p>
        </w:tc>
        <w:tc>
          <w:tcPr>
            <w:tcW w:w="567" w:type="dxa"/>
          </w:tcPr>
          <w:p w14:paraId="58AFBB09" w14:textId="77777777" w:rsidR="00AD1F54" w:rsidRPr="00264D5D" w:rsidRDefault="00941227">
            <w:pPr>
              <w:pStyle w:val="OTRTableHead"/>
              <w:keepNext w:val="0"/>
              <w:widowControl w:val="0"/>
              <w:ind w:left="57" w:right="57"/>
              <w:rPr>
                <w:sz w:val="22"/>
                <w:szCs w:val="22"/>
              </w:rPr>
            </w:pPr>
            <w:r w:rsidRPr="00264D5D">
              <w:rPr>
                <w:sz w:val="22"/>
                <w:szCs w:val="22"/>
              </w:rPr>
              <w:t>Тип</w:t>
            </w:r>
          </w:p>
        </w:tc>
        <w:tc>
          <w:tcPr>
            <w:tcW w:w="1134" w:type="dxa"/>
          </w:tcPr>
          <w:p w14:paraId="68A73B82" w14:textId="77777777" w:rsidR="00AD1F54" w:rsidRPr="00264D5D" w:rsidRDefault="00941227">
            <w:pPr>
              <w:pStyle w:val="OTRTableHead"/>
              <w:keepNext w:val="0"/>
              <w:widowControl w:val="0"/>
              <w:ind w:left="57" w:right="57"/>
              <w:rPr>
                <w:sz w:val="22"/>
                <w:szCs w:val="22"/>
              </w:rPr>
            </w:pPr>
            <w:r w:rsidRPr="00264D5D">
              <w:rPr>
                <w:sz w:val="22"/>
                <w:szCs w:val="22"/>
              </w:rPr>
              <w:t>Формат элемента</w:t>
            </w:r>
          </w:p>
        </w:tc>
        <w:tc>
          <w:tcPr>
            <w:tcW w:w="567" w:type="dxa"/>
          </w:tcPr>
          <w:p w14:paraId="72A2D200" w14:textId="77777777" w:rsidR="00AD1F54" w:rsidRPr="00264D5D" w:rsidRDefault="00941227">
            <w:pPr>
              <w:pStyle w:val="OTRTableHead"/>
              <w:keepNext w:val="0"/>
              <w:widowControl w:val="0"/>
              <w:ind w:left="57" w:right="57"/>
              <w:rPr>
                <w:sz w:val="22"/>
                <w:szCs w:val="22"/>
              </w:rPr>
            </w:pPr>
            <w:r w:rsidRPr="00264D5D">
              <w:rPr>
                <w:sz w:val="22"/>
                <w:szCs w:val="22"/>
              </w:rPr>
              <w:t>Обязательность</w:t>
            </w:r>
          </w:p>
        </w:tc>
        <w:tc>
          <w:tcPr>
            <w:tcW w:w="3963" w:type="dxa"/>
          </w:tcPr>
          <w:p w14:paraId="6B5F39CA" w14:textId="77777777" w:rsidR="00AD1F54" w:rsidRPr="00264D5D" w:rsidRDefault="00941227">
            <w:pPr>
              <w:pStyle w:val="OTRTableHead"/>
              <w:keepNext w:val="0"/>
              <w:widowControl w:val="0"/>
              <w:ind w:left="57" w:right="57"/>
              <w:rPr>
                <w:sz w:val="22"/>
                <w:szCs w:val="22"/>
              </w:rPr>
            </w:pPr>
            <w:r w:rsidRPr="00264D5D">
              <w:rPr>
                <w:sz w:val="22"/>
                <w:szCs w:val="22"/>
              </w:rPr>
              <w:t>Дополнительная информация</w:t>
            </w:r>
          </w:p>
        </w:tc>
      </w:tr>
      <w:tr w:rsidR="00AD1F54" w:rsidRPr="00264D5D" w14:paraId="1747596E"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7FD9DBA" w14:textId="77777777" w:rsidR="00AD1F54" w:rsidRPr="00264D5D" w:rsidRDefault="00941227">
            <w:pPr>
              <w:pStyle w:val="GOSTTablenorm"/>
              <w:rPr>
                <w:szCs w:val="22"/>
              </w:rPr>
            </w:pPr>
            <w:r w:rsidRPr="00264D5D">
              <w:rPr>
                <w:color w:val="000000"/>
                <w:szCs w:val="22"/>
              </w:rPr>
              <w:t>Должность руководителя</w:t>
            </w:r>
          </w:p>
        </w:tc>
        <w:tc>
          <w:tcPr>
            <w:tcW w:w="1701" w:type="dxa"/>
          </w:tcPr>
          <w:p w14:paraId="27989215" w14:textId="77777777" w:rsidR="00AD1F54" w:rsidRPr="00264D5D" w:rsidRDefault="00941227">
            <w:pPr>
              <w:pStyle w:val="GOSTTablenorm"/>
              <w:rPr>
                <w:szCs w:val="22"/>
                <w:lang w:val="en-US"/>
              </w:rPr>
            </w:pPr>
            <w:r w:rsidRPr="00264D5D">
              <w:rPr>
                <w:color w:val="000000"/>
                <w:szCs w:val="22"/>
              </w:rPr>
              <w:t>Pst_</w:t>
            </w:r>
            <w:r w:rsidRPr="00264D5D">
              <w:rPr>
                <w:color w:val="000000"/>
                <w:szCs w:val="22"/>
                <w:lang w:val="en-US"/>
              </w:rPr>
              <w:t>Hr</w:t>
            </w:r>
          </w:p>
        </w:tc>
        <w:tc>
          <w:tcPr>
            <w:tcW w:w="567" w:type="dxa"/>
          </w:tcPr>
          <w:p w14:paraId="2328FB3C" w14:textId="77777777" w:rsidR="00AD1F54" w:rsidRPr="00264D5D" w:rsidRDefault="00941227">
            <w:pPr>
              <w:pStyle w:val="GOSTTablenorm"/>
              <w:jc w:val="center"/>
              <w:rPr>
                <w:szCs w:val="22"/>
              </w:rPr>
            </w:pPr>
            <w:r w:rsidRPr="00264D5D">
              <w:rPr>
                <w:szCs w:val="22"/>
              </w:rPr>
              <w:t>П</w:t>
            </w:r>
          </w:p>
        </w:tc>
        <w:tc>
          <w:tcPr>
            <w:tcW w:w="1134" w:type="dxa"/>
          </w:tcPr>
          <w:p w14:paraId="763AEAD6" w14:textId="77777777" w:rsidR="00AD1F54" w:rsidRPr="00264D5D" w:rsidRDefault="00941227">
            <w:pPr>
              <w:pStyle w:val="GOSTTablenorm"/>
              <w:rPr>
                <w:szCs w:val="22"/>
              </w:rPr>
            </w:pPr>
            <w:r w:rsidRPr="00264D5D">
              <w:rPr>
                <w:color w:val="000000"/>
                <w:szCs w:val="22"/>
                <w:lang w:val="en-US"/>
              </w:rPr>
              <w:t>Т(1-</w:t>
            </w:r>
            <w:r w:rsidRPr="00264D5D">
              <w:rPr>
                <w:color w:val="000000"/>
                <w:szCs w:val="22"/>
              </w:rPr>
              <w:t>1</w:t>
            </w:r>
            <w:r w:rsidRPr="00264D5D">
              <w:rPr>
                <w:color w:val="000000"/>
                <w:szCs w:val="22"/>
                <w:lang w:val="en-US"/>
              </w:rPr>
              <w:t>00)</w:t>
            </w:r>
          </w:p>
        </w:tc>
        <w:tc>
          <w:tcPr>
            <w:tcW w:w="567" w:type="dxa"/>
          </w:tcPr>
          <w:p w14:paraId="4D4FFCDE" w14:textId="77777777" w:rsidR="00AD1F54" w:rsidRPr="00264D5D" w:rsidRDefault="00941227">
            <w:pPr>
              <w:pStyle w:val="GOSTTablenorm"/>
              <w:jc w:val="center"/>
              <w:rPr>
                <w:szCs w:val="22"/>
              </w:rPr>
            </w:pPr>
            <w:r w:rsidRPr="00264D5D">
              <w:rPr>
                <w:szCs w:val="22"/>
              </w:rPr>
              <w:t>О</w:t>
            </w:r>
          </w:p>
        </w:tc>
        <w:tc>
          <w:tcPr>
            <w:tcW w:w="3963" w:type="dxa"/>
          </w:tcPr>
          <w:p w14:paraId="10A4A47F" w14:textId="77777777" w:rsidR="00AD1F54" w:rsidRPr="00264D5D" w:rsidRDefault="00941227">
            <w:pPr>
              <w:pStyle w:val="GOSTTablenorm"/>
              <w:rPr>
                <w:szCs w:val="22"/>
              </w:rPr>
            </w:pPr>
            <w:r w:rsidRPr="00264D5D">
              <w:rPr>
                <w:szCs w:val="22"/>
              </w:rPr>
              <w:t xml:space="preserve">Указывается должность </w:t>
            </w:r>
            <w:r w:rsidRPr="00264D5D">
              <w:rPr>
                <w:color w:val="000000"/>
                <w:szCs w:val="22"/>
              </w:rPr>
              <w:t>руководителя</w:t>
            </w:r>
          </w:p>
        </w:tc>
      </w:tr>
      <w:tr w:rsidR="00AD1F54" w:rsidRPr="00264D5D" w14:paraId="20E0A537"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273E9AC4" w14:textId="77777777" w:rsidR="00AD1F54" w:rsidRPr="00264D5D" w:rsidRDefault="00941227">
            <w:pPr>
              <w:pStyle w:val="GOSTTablenorm"/>
              <w:rPr>
                <w:color w:val="000000"/>
                <w:szCs w:val="22"/>
              </w:rPr>
            </w:pPr>
            <w:r w:rsidRPr="00264D5D">
              <w:rPr>
                <w:color w:val="000000"/>
                <w:szCs w:val="22"/>
              </w:rPr>
              <w:t>Расшифровка подписи руководителя</w:t>
            </w:r>
          </w:p>
        </w:tc>
        <w:tc>
          <w:tcPr>
            <w:tcW w:w="1701" w:type="dxa"/>
          </w:tcPr>
          <w:p w14:paraId="27C427D2" w14:textId="77777777" w:rsidR="00AD1F54" w:rsidRPr="00264D5D" w:rsidRDefault="00941227">
            <w:pPr>
              <w:pStyle w:val="GOSTTablenorm"/>
              <w:rPr>
                <w:color w:val="000000"/>
                <w:szCs w:val="22"/>
              </w:rPr>
            </w:pPr>
            <w:r w:rsidRPr="00264D5D">
              <w:rPr>
                <w:color w:val="000000"/>
                <w:szCs w:val="22"/>
              </w:rPr>
              <w:t>FIO</w:t>
            </w:r>
            <w:r w:rsidRPr="00264D5D">
              <w:rPr>
                <w:color w:val="000000"/>
                <w:szCs w:val="22"/>
                <w:lang w:val="en-US"/>
              </w:rPr>
              <w:t>_Hr</w:t>
            </w:r>
          </w:p>
        </w:tc>
        <w:tc>
          <w:tcPr>
            <w:tcW w:w="567" w:type="dxa"/>
          </w:tcPr>
          <w:p w14:paraId="2B387C3B" w14:textId="77777777" w:rsidR="00AD1F54" w:rsidRPr="00264D5D" w:rsidRDefault="00941227">
            <w:pPr>
              <w:pStyle w:val="GOSTTablenorm"/>
              <w:jc w:val="center"/>
              <w:rPr>
                <w:szCs w:val="22"/>
              </w:rPr>
            </w:pPr>
            <w:r w:rsidRPr="00264D5D">
              <w:rPr>
                <w:szCs w:val="22"/>
              </w:rPr>
              <w:t>П</w:t>
            </w:r>
          </w:p>
        </w:tc>
        <w:tc>
          <w:tcPr>
            <w:tcW w:w="1134" w:type="dxa"/>
          </w:tcPr>
          <w:p w14:paraId="3102AE37" w14:textId="77777777" w:rsidR="00AD1F54" w:rsidRPr="00264D5D" w:rsidRDefault="00941227">
            <w:pPr>
              <w:pStyle w:val="GOSTTablenorm"/>
              <w:rPr>
                <w:color w:val="000000"/>
                <w:szCs w:val="22"/>
                <w:lang w:val="en-US"/>
              </w:rPr>
            </w:pPr>
            <w:r w:rsidRPr="00264D5D">
              <w:rPr>
                <w:color w:val="000000"/>
                <w:szCs w:val="22"/>
                <w:lang w:val="en-US"/>
              </w:rPr>
              <w:t>Т(1-</w:t>
            </w:r>
            <w:r w:rsidRPr="00264D5D">
              <w:rPr>
                <w:color w:val="000000"/>
                <w:szCs w:val="22"/>
              </w:rPr>
              <w:t>50</w:t>
            </w:r>
            <w:r w:rsidRPr="00264D5D">
              <w:rPr>
                <w:color w:val="000000"/>
                <w:szCs w:val="22"/>
                <w:lang w:val="en-US"/>
              </w:rPr>
              <w:t>)</w:t>
            </w:r>
          </w:p>
        </w:tc>
        <w:tc>
          <w:tcPr>
            <w:tcW w:w="567" w:type="dxa"/>
          </w:tcPr>
          <w:p w14:paraId="4EE23218" w14:textId="77777777" w:rsidR="00AD1F54" w:rsidRPr="00264D5D" w:rsidRDefault="00941227">
            <w:pPr>
              <w:pStyle w:val="GOSTTablenorm"/>
              <w:jc w:val="center"/>
              <w:rPr>
                <w:szCs w:val="22"/>
              </w:rPr>
            </w:pPr>
            <w:r w:rsidRPr="00264D5D">
              <w:rPr>
                <w:szCs w:val="22"/>
              </w:rPr>
              <w:t>О</w:t>
            </w:r>
          </w:p>
        </w:tc>
        <w:tc>
          <w:tcPr>
            <w:tcW w:w="3963" w:type="dxa"/>
          </w:tcPr>
          <w:p w14:paraId="56A8B2CF" w14:textId="77777777" w:rsidR="00AD1F54" w:rsidRPr="00264D5D" w:rsidRDefault="00941227">
            <w:pPr>
              <w:pStyle w:val="GOSTTablenorm"/>
              <w:rPr>
                <w:szCs w:val="22"/>
              </w:rPr>
            </w:pPr>
            <w:r w:rsidRPr="00264D5D">
              <w:rPr>
                <w:szCs w:val="22"/>
              </w:rPr>
              <w:t xml:space="preserve">Указывается расшифровка подписи с указанием инициалов и фамилии </w:t>
            </w:r>
            <w:r w:rsidRPr="00264D5D">
              <w:rPr>
                <w:color w:val="000000"/>
                <w:szCs w:val="22"/>
              </w:rPr>
              <w:t>руководителя</w:t>
            </w:r>
          </w:p>
        </w:tc>
      </w:tr>
      <w:tr w:rsidR="00AD1F54" w:rsidRPr="00264D5D" w14:paraId="34AB7C50"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52EE5AD" w14:textId="77777777" w:rsidR="00AD1F54" w:rsidRPr="00264D5D" w:rsidRDefault="00941227">
            <w:pPr>
              <w:pStyle w:val="GOSTTablenorm"/>
              <w:rPr>
                <w:color w:val="000000"/>
                <w:szCs w:val="22"/>
              </w:rPr>
            </w:pPr>
            <w:r w:rsidRPr="00264D5D">
              <w:rPr>
                <w:color w:val="000000"/>
                <w:szCs w:val="22"/>
              </w:rPr>
              <w:t>Должность</w:t>
            </w:r>
            <w:r w:rsidRPr="00264D5D">
              <w:rPr>
                <w:color w:val="000000"/>
                <w:szCs w:val="22"/>
                <w:lang w:val="en-US"/>
              </w:rPr>
              <w:t xml:space="preserve"> </w:t>
            </w:r>
            <w:r w:rsidRPr="00264D5D">
              <w:rPr>
                <w:color w:val="000000"/>
                <w:szCs w:val="22"/>
              </w:rPr>
              <w:t>главного бухгалтера</w:t>
            </w:r>
          </w:p>
        </w:tc>
        <w:tc>
          <w:tcPr>
            <w:tcW w:w="1701" w:type="dxa"/>
          </w:tcPr>
          <w:p w14:paraId="532E0E9D" w14:textId="77777777" w:rsidR="00AD1F54" w:rsidRPr="00264D5D" w:rsidRDefault="00941227">
            <w:pPr>
              <w:pStyle w:val="GOSTTablenorm"/>
              <w:rPr>
                <w:color w:val="000000"/>
                <w:szCs w:val="22"/>
              </w:rPr>
            </w:pPr>
            <w:r w:rsidRPr="00264D5D">
              <w:rPr>
                <w:color w:val="000000"/>
                <w:szCs w:val="22"/>
              </w:rPr>
              <w:t>Pst</w:t>
            </w:r>
            <w:r w:rsidRPr="00264D5D">
              <w:rPr>
                <w:color w:val="000000"/>
                <w:szCs w:val="22"/>
                <w:lang w:val="en-US"/>
              </w:rPr>
              <w:t>_Acc</w:t>
            </w:r>
          </w:p>
        </w:tc>
        <w:tc>
          <w:tcPr>
            <w:tcW w:w="567" w:type="dxa"/>
          </w:tcPr>
          <w:p w14:paraId="28F3850A" w14:textId="77777777" w:rsidR="00AD1F54" w:rsidRPr="00264D5D" w:rsidRDefault="00941227">
            <w:pPr>
              <w:pStyle w:val="GOSTTablenorm"/>
              <w:jc w:val="center"/>
              <w:rPr>
                <w:szCs w:val="22"/>
              </w:rPr>
            </w:pPr>
            <w:r w:rsidRPr="00264D5D">
              <w:rPr>
                <w:szCs w:val="22"/>
              </w:rPr>
              <w:t>П</w:t>
            </w:r>
          </w:p>
        </w:tc>
        <w:tc>
          <w:tcPr>
            <w:tcW w:w="1134" w:type="dxa"/>
          </w:tcPr>
          <w:p w14:paraId="2143889B" w14:textId="77777777" w:rsidR="00AD1F54" w:rsidRPr="00264D5D" w:rsidRDefault="00941227">
            <w:pPr>
              <w:pStyle w:val="GOSTTablenorm"/>
              <w:rPr>
                <w:color w:val="000000"/>
                <w:szCs w:val="22"/>
                <w:lang w:val="en-US"/>
              </w:rPr>
            </w:pPr>
            <w:r w:rsidRPr="00264D5D">
              <w:rPr>
                <w:color w:val="000000"/>
                <w:szCs w:val="22"/>
                <w:lang w:val="en-US"/>
              </w:rPr>
              <w:t>Т(1-</w:t>
            </w:r>
            <w:r w:rsidRPr="00264D5D">
              <w:rPr>
                <w:color w:val="000000"/>
                <w:szCs w:val="22"/>
              </w:rPr>
              <w:t>1</w:t>
            </w:r>
            <w:r w:rsidRPr="00264D5D">
              <w:rPr>
                <w:color w:val="000000"/>
                <w:szCs w:val="22"/>
                <w:lang w:val="en-US"/>
              </w:rPr>
              <w:t>00)</w:t>
            </w:r>
          </w:p>
        </w:tc>
        <w:tc>
          <w:tcPr>
            <w:tcW w:w="567" w:type="dxa"/>
          </w:tcPr>
          <w:p w14:paraId="36DC7016" w14:textId="77777777" w:rsidR="00AD1F54" w:rsidRPr="00264D5D" w:rsidRDefault="00941227">
            <w:pPr>
              <w:pStyle w:val="GOSTTablenorm"/>
              <w:jc w:val="center"/>
              <w:rPr>
                <w:szCs w:val="22"/>
              </w:rPr>
            </w:pPr>
            <w:r w:rsidRPr="00264D5D">
              <w:rPr>
                <w:szCs w:val="22"/>
              </w:rPr>
              <w:t>Н</w:t>
            </w:r>
          </w:p>
        </w:tc>
        <w:tc>
          <w:tcPr>
            <w:tcW w:w="3963" w:type="dxa"/>
          </w:tcPr>
          <w:p w14:paraId="41C4C44C" w14:textId="77777777" w:rsidR="00AD1F54" w:rsidRPr="00264D5D" w:rsidRDefault="00941227">
            <w:pPr>
              <w:pStyle w:val="GOSTTablenorm"/>
              <w:rPr>
                <w:szCs w:val="22"/>
              </w:rPr>
            </w:pPr>
            <w:r w:rsidRPr="00264D5D">
              <w:rPr>
                <w:szCs w:val="22"/>
              </w:rPr>
              <w:t xml:space="preserve">Указывается должность </w:t>
            </w:r>
            <w:r w:rsidRPr="00264D5D">
              <w:rPr>
                <w:color w:val="000000"/>
                <w:szCs w:val="22"/>
              </w:rPr>
              <w:t>главного бухгалтера</w:t>
            </w:r>
          </w:p>
        </w:tc>
      </w:tr>
      <w:tr w:rsidR="00AD1F54" w:rsidRPr="00264D5D" w14:paraId="3C63EAB1"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31CCE7B3" w14:textId="77777777" w:rsidR="00AD1F54" w:rsidRPr="00264D5D" w:rsidRDefault="00941227">
            <w:pPr>
              <w:pStyle w:val="GOSTTablenorm"/>
              <w:rPr>
                <w:color w:val="000000"/>
                <w:szCs w:val="22"/>
              </w:rPr>
            </w:pPr>
            <w:r w:rsidRPr="00264D5D">
              <w:rPr>
                <w:color w:val="000000"/>
                <w:szCs w:val="22"/>
              </w:rPr>
              <w:t>Расшифровка подписи главного бухгалтера</w:t>
            </w:r>
          </w:p>
        </w:tc>
        <w:tc>
          <w:tcPr>
            <w:tcW w:w="1701" w:type="dxa"/>
          </w:tcPr>
          <w:p w14:paraId="1CE18151" w14:textId="77777777" w:rsidR="00AD1F54" w:rsidRPr="00264D5D" w:rsidRDefault="00941227">
            <w:pPr>
              <w:pStyle w:val="GOSTTablenorm"/>
              <w:rPr>
                <w:color w:val="000000"/>
                <w:szCs w:val="22"/>
              </w:rPr>
            </w:pPr>
            <w:r w:rsidRPr="00264D5D">
              <w:rPr>
                <w:color w:val="000000"/>
                <w:szCs w:val="22"/>
              </w:rPr>
              <w:t>FIO</w:t>
            </w:r>
            <w:r w:rsidRPr="00264D5D">
              <w:rPr>
                <w:color w:val="000000"/>
                <w:szCs w:val="22"/>
                <w:lang w:val="en-US"/>
              </w:rPr>
              <w:t>_Acc</w:t>
            </w:r>
          </w:p>
        </w:tc>
        <w:tc>
          <w:tcPr>
            <w:tcW w:w="567" w:type="dxa"/>
          </w:tcPr>
          <w:p w14:paraId="122AB840" w14:textId="77777777" w:rsidR="00AD1F54" w:rsidRPr="00264D5D" w:rsidRDefault="00941227">
            <w:pPr>
              <w:pStyle w:val="GOSTTablenorm"/>
              <w:jc w:val="center"/>
              <w:rPr>
                <w:szCs w:val="22"/>
              </w:rPr>
            </w:pPr>
            <w:r w:rsidRPr="00264D5D">
              <w:rPr>
                <w:szCs w:val="22"/>
              </w:rPr>
              <w:t>П</w:t>
            </w:r>
          </w:p>
        </w:tc>
        <w:tc>
          <w:tcPr>
            <w:tcW w:w="1134" w:type="dxa"/>
          </w:tcPr>
          <w:p w14:paraId="0BEB2F18" w14:textId="77777777" w:rsidR="00AD1F54" w:rsidRPr="00264D5D" w:rsidRDefault="00941227">
            <w:pPr>
              <w:pStyle w:val="GOSTTablenorm"/>
              <w:rPr>
                <w:color w:val="000000"/>
                <w:szCs w:val="22"/>
                <w:lang w:val="en-US"/>
              </w:rPr>
            </w:pPr>
            <w:r w:rsidRPr="00264D5D">
              <w:rPr>
                <w:color w:val="000000"/>
                <w:szCs w:val="22"/>
                <w:lang w:val="en-US"/>
              </w:rPr>
              <w:t>Т(1-</w:t>
            </w:r>
            <w:r w:rsidRPr="00264D5D">
              <w:rPr>
                <w:color w:val="000000"/>
                <w:szCs w:val="22"/>
              </w:rPr>
              <w:t>50</w:t>
            </w:r>
            <w:r w:rsidRPr="00264D5D">
              <w:rPr>
                <w:color w:val="000000"/>
                <w:szCs w:val="22"/>
                <w:lang w:val="en-US"/>
              </w:rPr>
              <w:t>)</w:t>
            </w:r>
          </w:p>
        </w:tc>
        <w:tc>
          <w:tcPr>
            <w:tcW w:w="567" w:type="dxa"/>
          </w:tcPr>
          <w:p w14:paraId="587A55E7" w14:textId="77777777" w:rsidR="00AD1F54" w:rsidRPr="00264D5D" w:rsidRDefault="00941227">
            <w:pPr>
              <w:pStyle w:val="GOSTTablenorm"/>
              <w:jc w:val="center"/>
              <w:rPr>
                <w:szCs w:val="22"/>
              </w:rPr>
            </w:pPr>
            <w:r w:rsidRPr="00264D5D">
              <w:rPr>
                <w:szCs w:val="22"/>
              </w:rPr>
              <w:t>Н</w:t>
            </w:r>
          </w:p>
        </w:tc>
        <w:tc>
          <w:tcPr>
            <w:tcW w:w="3963" w:type="dxa"/>
          </w:tcPr>
          <w:p w14:paraId="683E62DF" w14:textId="77777777" w:rsidR="00AD1F54" w:rsidRPr="00264D5D" w:rsidRDefault="00941227">
            <w:pPr>
              <w:pStyle w:val="GOSTTablenorm"/>
              <w:rPr>
                <w:szCs w:val="22"/>
              </w:rPr>
            </w:pPr>
            <w:r w:rsidRPr="00264D5D">
              <w:rPr>
                <w:szCs w:val="22"/>
              </w:rPr>
              <w:t xml:space="preserve">Указывается расшифровка подписи с указанием инициалов и фамилии </w:t>
            </w:r>
            <w:r w:rsidRPr="00264D5D">
              <w:rPr>
                <w:color w:val="000000"/>
                <w:szCs w:val="22"/>
              </w:rPr>
              <w:t>главного бухгалтера</w:t>
            </w:r>
          </w:p>
        </w:tc>
      </w:tr>
      <w:tr w:rsidR="00AD1F54" w:rsidRPr="00264D5D" w14:paraId="38DCBEE7"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02F4E6F" w14:textId="77777777" w:rsidR="00AD1F54" w:rsidRPr="00264D5D" w:rsidRDefault="00941227">
            <w:pPr>
              <w:pStyle w:val="GOSTTablenorm"/>
              <w:rPr>
                <w:color w:val="000000"/>
                <w:szCs w:val="22"/>
              </w:rPr>
            </w:pPr>
            <w:r w:rsidRPr="00264D5D">
              <w:rPr>
                <w:color w:val="000000"/>
                <w:szCs w:val="22"/>
              </w:rPr>
              <w:t>Дата подписания</w:t>
            </w:r>
          </w:p>
        </w:tc>
        <w:tc>
          <w:tcPr>
            <w:tcW w:w="1701" w:type="dxa"/>
          </w:tcPr>
          <w:p w14:paraId="11E0D2C4" w14:textId="77777777" w:rsidR="00AD1F54" w:rsidRPr="00264D5D" w:rsidRDefault="00941227">
            <w:pPr>
              <w:pStyle w:val="GOSTTablenorm"/>
              <w:rPr>
                <w:color w:val="000000"/>
                <w:szCs w:val="22"/>
              </w:rPr>
            </w:pPr>
            <w:r w:rsidRPr="00264D5D">
              <w:rPr>
                <w:color w:val="000000"/>
                <w:szCs w:val="22"/>
              </w:rPr>
              <w:t>SGN_Dt</w:t>
            </w:r>
          </w:p>
        </w:tc>
        <w:tc>
          <w:tcPr>
            <w:tcW w:w="567" w:type="dxa"/>
          </w:tcPr>
          <w:p w14:paraId="790265E4" w14:textId="77777777" w:rsidR="00AD1F54" w:rsidRPr="00264D5D" w:rsidRDefault="00941227">
            <w:pPr>
              <w:pStyle w:val="GOSTTablenorm"/>
              <w:jc w:val="center"/>
              <w:rPr>
                <w:szCs w:val="22"/>
              </w:rPr>
            </w:pPr>
            <w:r w:rsidRPr="00264D5D">
              <w:rPr>
                <w:szCs w:val="22"/>
              </w:rPr>
              <w:t>П</w:t>
            </w:r>
          </w:p>
        </w:tc>
        <w:tc>
          <w:tcPr>
            <w:tcW w:w="1134" w:type="dxa"/>
          </w:tcPr>
          <w:p w14:paraId="6C0BE0F9" w14:textId="77777777" w:rsidR="00AD1F54" w:rsidRPr="00264D5D" w:rsidRDefault="00941227">
            <w:pPr>
              <w:pStyle w:val="GOSTTablenorm"/>
              <w:rPr>
                <w:color w:val="000000"/>
                <w:szCs w:val="22"/>
                <w:lang w:val="en-US"/>
              </w:rPr>
            </w:pPr>
            <w:r w:rsidRPr="00264D5D">
              <w:rPr>
                <w:szCs w:val="22"/>
                <w:lang w:val="en-US"/>
              </w:rPr>
              <w:t>Date</w:t>
            </w:r>
          </w:p>
        </w:tc>
        <w:tc>
          <w:tcPr>
            <w:tcW w:w="567" w:type="dxa"/>
          </w:tcPr>
          <w:p w14:paraId="1EC2A81F" w14:textId="77777777" w:rsidR="00AD1F54" w:rsidRPr="00264D5D" w:rsidRDefault="00941227">
            <w:pPr>
              <w:pStyle w:val="GOSTTablenorm"/>
              <w:jc w:val="center"/>
              <w:rPr>
                <w:szCs w:val="22"/>
              </w:rPr>
            </w:pPr>
            <w:r w:rsidRPr="00264D5D">
              <w:rPr>
                <w:szCs w:val="22"/>
              </w:rPr>
              <w:t>О</w:t>
            </w:r>
          </w:p>
        </w:tc>
        <w:tc>
          <w:tcPr>
            <w:tcW w:w="3963" w:type="dxa"/>
          </w:tcPr>
          <w:p w14:paraId="2CB863E3" w14:textId="77777777" w:rsidR="00AD1F54" w:rsidRPr="00264D5D" w:rsidRDefault="00B83EE9">
            <w:pPr>
              <w:pStyle w:val="GOSTTablenorm"/>
              <w:rPr>
                <w:szCs w:val="22"/>
              </w:rPr>
            </w:pPr>
            <w:r w:rsidRPr="00264D5D">
              <w:rPr>
                <w:color w:val="000000"/>
                <w:szCs w:val="22"/>
              </w:rPr>
              <w:t>Указывается дата подписания</w:t>
            </w:r>
          </w:p>
        </w:tc>
      </w:tr>
    </w:tbl>
    <w:p w14:paraId="079469AE" w14:textId="77777777" w:rsidR="00AD1F54" w:rsidRPr="00264D5D" w:rsidRDefault="00941227">
      <w:pPr>
        <w:pStyle w:val="31"/>
      </w:pPr>
      <w:bookmarkStart w:id="1872" w:name="_Toc219309651"/>
      <w:r w:rsidRPr="00264D5D">
        <w:t>Пример XML</w:t>
      </w:r>
      <w:bookmarkEnd w:id="1868"/>
      <w:r w:rsidRPr="00264D5D">
        <w:t xml:space="preserve"> (файловое взаимодействие)</w:t>
      </w:r>
      <w:bookmarkEnd w:id="1872"/>
    </w:p>
    <w:p w14:paraId="63A6EFC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&lt;?xml version="1.0" encoding="UTF-8"?&gt;</w:t>
      </w:r>
    </w:p>
    <w:p w14:paraId="164AA98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&lt;self:exchangePacket xsi:schemaLocation="http://www.roskazna.ru/eb/domain/Order_Mir/extHeader extHeader.xsd" xmlns:self="http://www.roskazna.ru/eb/domain/Order_Mir/extHeader" xmlns:cm="http://www.roskazna.ru/eb/domain/common" xmlns:xsi="http://www.w3.org/2001/XMLSchema-instance"&gt;</w:t>
      </w:r>
    </w:p>
    <w:p w14:paraId="49554A0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&lt;packetHeader&gt;</w:t>
      </w:r>
      <w:r w:rsidRPr="00264D5D">
        <w:rPr>
          <w:rFonts w:cs="Courier New"/>
          <w:sz w:val="20"/>
        </w:rPr>
        <w:tab/>
      </w:r>
    </w:p>
    <w:p w14:paraId="6806913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&lt;serviceInfo&gt;</w:t>
      </w:r>
    </w:p>
    <w:p w14:paraId="5EFCCEA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&lt;creationDateTime&gt;2023-01-01T09:30:47Z&lt;/creationDateTime&gt;</w:t>
      </w:r>
    </w:p>
    <w:p w14:paraId="2391C6C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&lt;documentType&gt;Order_Mir&lt;/documentType&gt;</w:t>
      </w:r>
    </w:p>
    <w:p w14:paraId="2A8454E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&lt;/serviceInfo&gt;</w:t>
      </w:r>
    </w:p>
    <w:p w14:paraId="31BAF99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&lt;senderParty&gt;</w:t>
      </w:r>
    </w:p>
    <w:p w14:paraId="6D06DCF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&lt;organizationParty&gt;</w:t>
      </w:r>
    </w:p>
    <w:p w14:paraId="3B58D7C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&lt;SRCode&gt;12345678&lt;/SRCode&gt;</w:t>
      </w:r>
    </w:p>
    <w:p w14:paraId="5A5A256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&lt;/organizationParty&gt;</w:t>
      </w:r>
    </w:p>
    <w:p w14:paraId="4F5B0C1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&lt;/senderParty&gt;</w:t>
      </w:r>
    </w:p>
    <w:p w14:paraId="72EC608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&lt;receiverParty&gt;</w:t>
      </w:r>
    </w:p>
    <w:p w14:paraId="713F99B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&lt;TOFKParty&gt;</w:t>
      </w:r>
    </w:p>
    <w:p w14:paraId="2FF8115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&lt;TOFKCode&gt;7400&lt;/TOFKCode&gt;</w:t>
      </w:r>
    </w:p>
    <w:p w14:paraId="5ABD073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&lt;/TOFKParty&gt;</w:t>
      </w:r>
    </w:p>
    <w:p w14:paraId="20CA00E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&lt;/receiverParty&gt;</w:t>
      </w:r>
    </w:p>
    <w:p w14:paraId="00915B7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&lt;/packetHeader&gt;</w:t>
      </w:r>
    </w:p>
    <w:p w14:paraId="636D900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&lt;self:formularCollection&gt;</w:t>
      </w:r>
    </w:p>
    <w:p w14:paraId="7D3B738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&lt;formular metaType="formular" versionID="2.0" xsi:type="self:tOrder_Mir" xsi:schemaLocation="http://www.roskazna.ru/eb/domain/Order_Mir/formular formulars.xsd" xmlns:self="http://www.roskazna.ru/eb/domain/Order_Mir/formular" xmlns:xsi="http://www.w3.org/2001/XMLSchema-instance"&gt;</w:t>
      </w:r>
    </w:p>
    <w:p w14:paraId="6CCBC13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&lt;GUID&gt;6a4b54c6-d792-4871-bfbf-7c8b708c19d0&lt;/GUID&gt;</w:t>
      </w:r>
      <w:r w:rsidRPr="00264D5D">
        <w:rPr>
          <w:rFonts w:cs="Courier New"/>
          <w:sz w:val="20"/>
        </w:rPr>
        <w:tab/>
      </w:r>
      <w:r w:rsidRPr="00264D5D">
        <w:rPr>
          <w:rFonts w:cs="Courier New"/>
          <w:sz w:val="20"/>
        </w:rPr>
        <w:tab/>
      </w:r>
    </w:p>
    <w:p w14:paraId="5FBFECE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&lt;Inf_NmDoc&gt;1&lt;/Inf_NmDoc&gt;</w:t>
      </w:r>
    </w:p>
    <w:p w14:paraId="60EFAA3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&lt;Inf_DtDoc&gt;2023-01-01&lt;/Inf_DtDoc&gt;</w:t>
      </w:r>
    </w:p>
    <w:p w14:paraId="6560D89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lastRenderedPageBreak/>
        <w:tab/>
      </w:r>
      <w:r w:rsidRPr="00264D5D">
        <w:rPr>
          <w:rFonts w:cs="Courier New"/>
          <w:sz w:val="20"/>
        </w:rPr>
        <w:tab/>
      </w:r>
      <w:r w:rsidRPr="00264D5D">
        <w:rPr>
          <w:rFonts w:cs="Courier New"/>
          <w:sz w:val="20"/>
          <w:lang w:val="ru-RU"/>
        </w:rPr>
        <w:t>&lt;</w:t>
      </w:r>
      <w:r w:rsidRPr="00264D5D">
        <w:rPr>
          <w:rFonts w:cs="Courier New"/>
          <w:sz w:val="20"/>
        </w:rPr>
        <w:t>Rcp</w:t>
      </w:r>
      <w:r w:rsidRPr="00264D5D">
        <w:rPr>
          <w:rFonts w:cs="Courier New"/>
          <w:sz w:val="20"/>
          <w:lang w:val="ru-RU"/>
        </w:rPr>
        <w:t>_</w:t>
      </w:r>
      <w:r w:rsidRPr="00264D5D">
        <w:rPr>
          <w:rFonts w:cs="Courier New"/>
          <w:sz w:val="20"/>
        </w:rPr>
        <w:t>Nm</w:t>
      </w:r>
      <w:r w:rsidRPr="00264D5D">
        <w:rPr>
          <w:rFonts w:cs="Courier New"/>
          <w:sz w:val="20"/>
          <w:lang w:val="ru-RU"/>
        </w:rPr>
        <w:t>&gt;Государственное учреждение – Севастопольское региональное отделение Фонда пенсионного и социального страхования Российской Федерации&lt;/</w:t>
      </w:r>
      <w:r w:rsidRPr="00264D5D">
        <w:rPr>
          <w:rFonts w:cs="Courier New"/>
          <w:sz w:val="20"/>
        </w:rPr>
        <w:t>Rcp</w:t>
      </w:r>
      <w:r w:rsidRPr="00264D5D">
        <w:rPr>
          <w:rFonts w:cs="Courier New"/>
          <w:sz w:val="20"/>
          <w:lang w:val="ru-RU"/>
        </w:rPr>
        <w:t>_</w:t>
      </w:r>
      <w:r w:rsidRPr="00264D5D">
        <w:rPr>
          <w:rFonts w:cs="Courier New"/>
          <w:sz w:val="20"/>
        </w:rPr>
        <w:t>Nm</w:t>
      </w:r>
      <w:r w:rsidRPr="00264D5D">
        <w:rPr>
          <w:rFonts w:cs="Courier New"/>
          <w:sz w:val="20"/>
          <w:lang w:val="ru-RU"/>
        </w:rPr>
        <w:t>&gt;</w:t>
      </w:r>
    </w:p>
    <w:p w14:paraId="4F61FAF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Rcp</w:t>
      </w:r>
      <w:r w:rsidRPr="00264D5D">
        <w:rPr>
          <w:rFonts w:cs="Courier New"/>
          <w:sz w:val="20"/>
          <w:lang w:val="ru-RU"/>
        </w:rPr>
        <w:t>_</w:t>
      </w:r>
      <w:r w:rsidRPr="00264D5D">
        <w:rPr>
          <w:rFonts w:cs="Courier New"/>
          <w:sz w:val="20"/>
        </w:rPr>
        <w:t>Cd</w:t>
      </w:r>
      <w:r w:rsidRPr="00264D5D">
        <w:rPr>
          <w:rFonts w:cs="Courier New"/>
          <w:sz w:val="20"/>
          <w:lang w:val="ru-RU"/>
        </w:rPr>
        <w:t>&gt;12345678&lt;/</w:t>
      </w:r>
      <w:r w:rsidRPr="00264D5D">
        <w:rPr>
          <w:rFonts w:cs="Courier New"/>
          <w:sz w:val="20"/>
        </w:rPr>
        <w:t>Rcp</w:t>
      </w:r>
      <w:r w:rsidRPr="00264D5D">
        <w:rPr>
          <w:rFonts w:cs="Courier New"/>
          <w:sz w:val="20"/>
          <w:lang w:val="ru-RU"/>
        </w:rPr>
        <w:t>_</w:t>
      </w:r>
      <w:r w:rsidRPr="00264D5D">
        <w:rPr>
          <w:rFonts w:cs="Courier New"/>
          <w:sz w:val="20"/>
        </w:rPr>
        <w:t>Cd</w:t>
      </w:r>
      <w:r w:rsidRPr="00264D5D">
        <w:rPr>
          <w:rFonts w:cs="Courier New"/>
          <w:sz w:val="20"/>
          <w:lang w:val="ru-RU"/>
        </w:rPr>
        <w:t>&gt;</w:t>
      </w:r>
    </w:p>
    <w:p w14:paraId="7CE49A1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Rcp</w:t>
      </w:r>
      <w:r w:rsidRPr="00264D5D">
        <w:rPr>
          <w:rFonts w:cs="Courier New"/>
          <w:sz w:val="20"/>
          <w:lang w:val="ru-RU"/>
        </w:rPr>
        <w:t>_</w:t>
      </w:r>
      <w:r w:rsidRPr="00264D5D">
        <w:rPr>
          <w:rFonts w:cs="Courier New"/>
          <w:sz w:val="20"/>
        </w:rPr>
        <w:t>NmAccnt</w:t>
      </w:r>
      <w:r w:rsidRPr="00264D5D">
        <w:rPr>
          <w:rFonts w:cs="Courier New"/>
          <w:sz w:val="20"/>
          <w:lang w:val="ru-RU"/>
        </w:rPr>
        <w:t>&gt;03123456789&lt;/</w:t>
      </w:r>
      <w:r w:rsidRPr="00264D5D">
        <w:rPr>
          <w:rFonts w:cs="Courier New"/>
          <w:sz w:val="20"/>
        </w:rPr>
        <w:t>Rcp</w:t>
      </w:r>
      <w:r w:rsidRPr="00264D5D">
        <w:rPr>
          <w:rFonts w:cs="Courier New"/>
          <w:sz w:val="20"/>
          <w:lang w:val="ru-RU"/>
        </w:rPr>
        <w:t>_</w:t>
      </w:r>
      <w:r w:rsidRPr="00264D5D">
        <w:rPr>
          <w:rFonts w:cs="Courier New"/>
          <w:sz w:val="20"/>
        </w:rPr>
        <w:t>NmAccnt</w:t>
      </w:r>
      <w:r w:rsidRPr="00264D5D">
        <w:rPr>
          <w:rFonts w:cs="Courier New"/>
          <w:sz w:val="20"/>
          <w:lang w:val="ru-RU"/>
        </w:rPr>
        <w:t>&gt;</w:t>
      </w:r>
    </w:p>
    <w:p w14:paraId="68F9049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Rcp</w:t>
      </w:r>
      <w:r w:rsidRPr="00264D5D">
        <w:rPr>
          <w:rFonts w:cs="Courier New"/>
          <w:sz w:val="20"/>
          <w:lang w:val="ru-RU"/>
        </w:rPr>
        <w:t>_</w:t>
      </w:r>
      <w:r w:rsidRPr="00264D5D">
        <w:rPr>
          <w:rFonts w:cs="Courier New"/>
          <w:sz w:val="20"/>
        </w:rPr>
        <w:t>GRBS</w:t>
      </w:r>
      <w:r w:rsidRPr="00264D5D">
        <w:rPr>
          <w:rFonts w:cs="Courier New"/>
          <w:sz w:val="20"/>
          <w:lang w:val="ru-RU"/>
        </w:rPr>
        <w:t>&gt;Фонд пенсионного и социального страхования Российской Федерации &lt;/</w:t>
      </w:r>
      <w:r w:rsidRPr="00264D5D">
        <w:rPr>
          <w:rFonts w:cs="Courier New"/>
          <w:sz w:val="20"/>
        </w:rPr>
        <w:t>Rcp</w:t>
      </w:r>
      <w:r w:rsidRPr="00264D5D">
        <w:rPr>
          <w:rFonts w:cs="Courier New"/>
          <w:sz w:val="20"/>
          <w:lang w:val="ru-RU"/>
        </w:rPr>
        <w:t>_</w:t>
      </w:r>
      <w:r w:rsidRPr="00264D5D">
        <w:rPr>
          <w:rFonts w:cs="Courier New"/>
          <w:sz w:val="20"/>
        </w:rPr>
        <w:t>GRBS</w:t>
      </w:r>
      <w:r w:rsidRPr="00264D5D">
        <w:rPr>
          <w:rFonts w:cs="Courier New"/>
          <w:sz w:val="20"/>
          <w:lang w:val="ru-RU"/>
        </w:rPr>
        <w:t>&gt;</w:t>
      </w:r>
    </w:p>
    <w:p w14:paraId="34327F7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Rcp</w:t>
      </w:r>
      <w:r w:rsidRPr="00264D5D">
        <w:rPr>
          <w:rFonts w:cs="Courier New"/>
          <w:sz w:val="20"/>
          <w:lang w:val="ru-RU"/>
        </w:rPr>
        <w:t>_</w:t>
      </w:r>
      <w:r w:rsidRPr="00264D5D">
        <w:rPr>
          <w:rFonts w:cs="Courier New"/>
          <w:sz w:val="20"/>
        </w:rPr>
        <w:t>GlvBKCd</w:t>
      </w:r>
      <w:r w:rsidRPr="00264D5D">
        <w:rPr>
          <w:rFonts w:cs="Courier New"/>
          <w:sz w:val="20"/>
          <w:lang w:val="ru-RU"/>
        </w:rPr>
        <w:t>&gt;393&lt;/</w:t>
      </w:r>
      <w:r w:rsidRPr="00264D5D">
        <w:rPr>
          <w:rFonts w:cs="Courier New"/>
          <w:sz w:val="20"/>
        </w:rPr>
        <w:t>Rcp</w:t>
      </w:r>
      <w:r w:rsidRPr="00264D5D">
        <w:rPr>
          <w:rFonts w:cs="Courier New"/>
          <w:sz w:val="20"/>
          <w:lang w:val="ru-RU"/>
        </w:rPr>
        <w:t>_</w:t>
      </w:r>
      <w:r w:rsidRPr="00264D5D">
        <w:rPr>
          <w:rFonts w:cs="Courier New"/>
          <w:sz w:val="20"/>
        </w:rPr>
        <w:t>GlvBKCd</w:t>
      </w:r>
      <w:r w:rsidRPr="00264D5D">
        <w:rPr>
          <w:rFonts w:cs="Courier New"/>
          <w:sz w:val="20"/>
          <w:lang w:val="ru-RU"/>
        </w:rPr>
        <w:t>&gt;</w:t>
      </w:r>
    </w:p>
    <w:p w14:paraId="10507A7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Rcp</w:t>
      </w:r>
      <w:r w:rsidRPr="00264D5D">
        <w:rPr>
          <w:rFonts w:cs="Courier New"/>
          <w:sz w:val="20"/>
          <w:lang w:val="ru-RU"/>
        </w:rPr>
        <w:t>_</w:t>
      </w:r>
      <w:r w:rsidRPr="00264D5D">
        <w:rPr>
          <w:rFonts w:cs="Courier New"/>
          <w:sz w:val="20"/>
        </w:rPr>
        <w:t>NmBdgt</w:t>
      </w:r>
      <w:r w:rsidRPr="00264D5D">
        <w:rPr>
          <w:rFonts w:cs="Courier New"/>
          <w:sz w:val="20"/>
          <w:lang w:val="ru-RU"/>
        </w:rPr>
        <w:t>&gt;Бюджет Фонда пенсионного и социального страхования Российской Федерации&lt;/</w:t>
      </w:r>
      <w:r w:rsidRPr="00264D5D">
        <w:rPr>
          <w:rFonts w:cs="Courier New"/>
          <w:sz w:val="20"/>
        </w:rPr>
        <w:t>Rcp</w:t>
      </w:r>
      <w:r w:rsidRPr="00264D5D">
        <w:rPr>
          <w:rFonts w:cs="Courier New"/>
          <w:sz w:val="20"/>
          <w:lang w:val="ru-RU"/>
        </w:rPr>
        <w:t>_</w:t>
      </w:r>
      <w:r w:rsidRPr="00264D5D">
        <w:rPr>
          <w:rFonts w:cs="Courier New"/>
          <w:sz w:val="20"/>
        </w:rPr>
        <w:t>NmBdgt</w:t>
      </w:r>
      <w:r w:rsidRPr="00264D5D">
        <w:rPr>
          <w:rFonts w:cs="Courier New"/>
          <w:sz w:val="20"/>
          <w:lang w:val="ru-RU"/>
        </w:rPr>
        <w:t>&gt;</w:t>
      </w:r>
    </w:p>
    <w:p w14:paraId="7A77856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Rcp</w:t>
      </w:r>
      <w:r w:rsidRPr="00264D5D">
        <w:rPr>
          <w:rFonts w:cs="Courier New"/>
          <w:sz w:val="20"/>
          <w:lang w:val="ru-RU"/>
        </w:rPr>
        <w:t>_</w:t>
      </w:r>
      <w:r w:rsidRPr="00264D5D">
        <w:rPr>
          <w:rFonts w:cs="Courier New"/>
          <w:sz w:val="20"/>
        </w:rPr>
        <w:t>NmFO</w:t>
      </w:r>
      <w:r w:rsidRPr="00264D5D">
        <w:rPr>
          <w:rFonts w:cs="Courier New"/>
          <w:sz w:val="20"/>
          <w:lang w:val="ru-RU"/>
        </w:rPr>
        <w:t>&gt;Министерство финансов Российской Федерации&lt;/</w:t>
      </w:r>
      <w:r w:rsidRPr="00264D5D">
        <w:rPr>
          <w:rFonts w:cs="Courier New"/>
          <w:sz w:val="20"/>
        </w:rPr>
        <w:t>Rcp</w:t>
      </w:r>
      <w:r w:rsidRPr="00264D5D">
        <w:rPr>
          <w:rFonts w:cs="Courier New"/>
          <w:sz w:val="20"/>
          <w:lang w:val="ru-RU"/>
        </w:rPr>
        <w:t>_</w:t>
      </w:r>
      <w:r w:rsidRPr="00264D5D">
        <w:rPr>
          <w:rFonts w:cs="Courier New"/>
          <w:sz w:val="20"/>
        </w:rPr>
        <w:t>NmFO</w:t>
      </w:r>
      <w:r w:rsidRPr="00264D5D">
        <w:rPr>
          <w:rFonts w:cs="Courier New"/>
          <w:sz w:val="20"/>
          <w:lang w:val="ru-RU"/>
        </w:rPr>
        <w:t>&gt;</w:t>
      </w:r>
    </w:p>
    <w:p w14:paraId="56453CD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Rcp</w:t>
      </w:r>
      <w:r w:rsidRPr="00264D5D">
        <w:rPr>
          <w:rFonts w:cs="Courier New"/>
          <w:sz w:val="20"/>
          <w:lang w:val="ru-RU"/>
        </w:rPr>
        <w:t>_</w:t>
      </w:r>
      <w:r w:rsidRPr="00264D5D">
        <w:rPr>
          <w:rFonts w:cs="Courier New"/>
          <w:sz w:val="20"/>
        </w:rPr>
        <w:t>CdFO</w:t>
      </w:r>
      <w:r w:rsidRPr="00264D5D">
        <w:rPr>
          <w:rFonts w:cs="Courier New"/>
          <w:sz w:val="20"/>
          <w:lang w:val="ru-RU"/>
        </w:rPr>
        <w:t>&gt;24245678&lt;/</w:t>
      </w:r>
      <w:r w:rsidRPr="00264D5D">
        <w:rPr>
          <w:rFonts w:cs="Courier New"/>
          <w:sz w:val="20"/>
        </w:rPr>
        <w:t>Rcp</w:t>
      </w:r>
      <w:r w:rsidRPr="00264D5D">
        <w:rPr>
          <w:rFonts w:cs="Courier New"/>
          <w:sz w:val="20"/>
          <w:lang w:val="ru-RU"/>
        </w:rPr>
        <w:t>_</w:t>
      </w:r>
      <w:r w:rsidRPr="00264D5D">
        <w:rPr>
          <w:rFonts w:cs="Courier New"/>
          <w:sz w:val="20"/>
        </w:rPr>
        <w:t>CdFO</w:t>
      </w:r>
      <w:r w:rsidRPr="00264D5D">
        <w:rPr>
          <w:rFonts w:cs="Courier New"/>
          <w:sz w:val="20"/>
          <w:lang w:val="ru-RU"/>
        </w:rPr>
        <w:t>&gt;</w:t>
      </w:r>
    </w:p>
    <w:p w14:paraId="393B28E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Rcp</w:t>
      </w:r>
      <w:r w:rsidRPr="00264D5D">
        <w:rPr>
          <w:rFonts w:cs="Courier New"/>
          <w:sz w:val="20"/>
          <w:lang w:val="ru-RU"/>
        </w:rPr>
        <w:t>_</w:t>
      </w:r>
      <w:r w:rsidRPr="00264D5D">
        <w:rPr>
          <w:rFonts w:cs="Courier New"/>
          <w:sz w:val="20"/>
        </w:rPr>
        <w:t>NmTOFK</w:t>
      </w:r>
      <w:r w:rsidRPr="00264D5D">
        <w:rPr>
          <w:rFonts w:cs="Courier New"/>
          <w:sz w:val="20"/>
          <w:lang w:val="ru-RU"/>
        </w:rPr>
        <w:t>&gt; УФК по г. Севастополю&lt;/</w:t>
      </w:r>
      <w:r w:rsidRPr="00264D5D">
        <w:rPr>
          <w:rFonts w:cs="Courier New"/>
          <w:sz w:val="20"/>
        </w:rPr>
        <w:t>Rcp</w:t>
      </w:r>
      <w:r w:rsidRPr="00264D5D">
        <w:rPr>
          <w:rFonts w:cs="Courier New"/>
          <w:sz w:val="20"/>
          <w:lang w:val="ru-RU"/>
        </w:rPr>
        <w:t>_</w:t>
      </w:r>
      <w:r w:rsidRPr="00264D5D">
        <w:rPr>
          <w:rFonts w:cs="Courier New"/>
          <w:sz w:val="20"/>
        </w:rPr>
        <w:t>NmTOFK</w:t>
      </w:r>
      <w:r w:rsidRPr="00264D5D">
        <w:rPr>
          <w:rFonts w:cs="Courier New"/>
          <w:sz w:val="20"/>
          <w:lang w:val="ru-RU"/>
        </w:rPr>
        <w:t>&gt;</w:t>
      </w:r>
    </w:p>
    <w:p w14:paraId="2D9D970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Rcp</w:t>
      </w:r>
      <w:r w:rsidRPr="00264D5D">
        <w:rPr>
          <w:rFonts w:cs="Courier New"/>
          <w:sz w:val="20"/>
          <w:lang w:val="ru-RU"/>
        </w:rPr>
        <w:t>_</w:t>
      </w:r>
      <w:r w:rsidRPr="00264D5D">
        <w:rPr>
          <w:rFonts w:cs="Courier New"/>
          <w:sz w:val="20"/>
        </w:rPr>
        <w:t>CdTOFK</w:t>
      </w:r>
      <w:r w:rsidRPr="00264D5D">
        <w:rPr>
          <w:rFonts w:cs="Courier New"/>
          <w:sz w:val="20"/>
          <w:lang w:val="ru-RU"/>
        </w:rPr>
        <w:t>&gt;7400&lt;/</w:t>
      </w:r>
      <w:r w:rsidRPr="00264D5D">
        <w:rPr>
          <w:rFonts w:cs="Courier New"/>
          <w:sz w:val="20"/>
        </w:rPr>
        <w:t>Rcp</w:t>
      </w:r>
      <w:r w:rsidRPr="00264D5D">
        <w:rPr>
          <w:rFonts w:cs="Courier New"/>
          <w:sz w:val="20"/>
          <w:lang w:val="ru-RU"/>
        </w:rPr>
        <w:t>_</w:t>
      </w:r>
      <w:r w:rsidRPr="00264D5D">
        <w:rPr>
          <w:rFonts w:cs="Courier New"/>
          <w:sz w:val="20"/>
        </w:rPr>
        <w:t>CdTOFK</w:t>
      </w:r>
      <w:r w:rsidRPr="00264D5D">
        <w:rPr>
          <w:rFonts w:cs="Courier New"/>
          <w:sz w:val="20"/>
          <w:lang w:val="ru-RU"/>
        </w:rPr>
        <w:t>&gt;</w:t>
      </w:r>
    </w:p>
    <w:p w14:paraId="11B8220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Inf</w:t>
      </w:r>
      <w:r w:rsidRPr="00264D5D">
        <w:rPr>
          <w:rFonts w:cs="Courier New"/>
          <w:sz w:val="20"/>
          <w:lang w:val="ru-RU"/>
        </w:rPr>
        <w:t>_</w:t>
      </w:r>
      <w:r w:rsidRPr="00264D5D">
        <w:rPr>
          <w:rFonts w:cs="Courier New"/>
          <w:sz w:val="20"/>
        </w:rPr>
        <w:t>NmBO</w:t>
      </w:r>
      <w:r w:rsidRPr="00264D5D">
        <w:rPr>
          <w:rFonts w:cs="Courier New"/>
          <w:sz w:val="20"/>
          <w:lang w:val="ru-RU"/>
        </w:rPr>
        <w:t>&gt;1234567890123450000&lt;/</w:t>
      </w:r>
      <w:r w:rsidRPr="00264D5D">
        <w:rPr>
          <w:rFonts w:cs="Courier New"/>
          <w:sz w:val="20"/>
        </w:rPr>
        <w:t>Inf</w:t>
      </w:r>
      <w:r w:rsidRPr="00264D5D">
        <w:rPr>
          <w:rFonts w:cs="Courier New"/>
          <w:sz w:val="20"/>
          <w:lang w:val="ru-RU"/>
        </w:rPr>
        <w:t>_</w:t>
      </w:r>
      <w:r w:rsidRPr="00264D5D">
        <w:rPr>
          <w:rFonts w:cs="Courier New"/>
          <w:sz w:val="20"/>
        </w:rPr>
        <w:t>NmBO</w:t>
      </w:r>
      <w:r w:rsidRPr="00264D5D">
        <w:rPr>
          <w:rFonts w:cs="Courier New"/>
          <w:sz w:val="20"/>
          <w:lang w:val="ru-RU"/>
        </w:rPr>
        <w:t>&gt;</w:t>
      </w:r>
    </w:p>
    <w:p w14:paraId="5FFEB77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rPr>
        <w:t>&lt;Inf_AddKlass1&gt;0011259018600000001001&lt;/Inf_AddKlass1&gt;</w:t>
      </w:r>
    </w:p>
    <w:p w14:paraId="49D053C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&lt;Inf_AddKlass3&gt;МБТ12345678954878&lt;/Inf_AddKlass3&gt;</w:t>
      </w:r>
    </w:p>
    <w:p w14:paraId="582AB81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&lt;Inf_TotAmnt&gt;100.00&lt;/Inf_TotAmnt&gt;</w:t>
      </w:r>
    </w:p>
    <w:p w14:paraId="79E4DFB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&lt;Inf_Pmnts&gt;</w:t>
      </w:r>
    </w:p>
    <w:p w14:paraId="5C671A0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&lt;Pmnts_ITEM&gt;</w:t>
      </w:r>
    </w:p>
    <w:p w14:paraId="7A5ED21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&lt;NmLn&gt;1&lt;/NmLn&gt;</w:t>
      </w:r>
    </w:p>
    <w:p w14:paraId="22ADA74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&lt;NmCrd&gt;2200123456789012&lt;/NmCrd&gt;</w:t>
      </w:r>
    </w:p>
    <w:p w14:paraId="7AF60A6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&lt;DtBrth&gt;1950-05-01&lt;/DtBrth&gt;</w:t>
      </w:r>
    </w:p>
    <w:p w14:paraId="4BFA0E8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&lt;VipCd&gt;0101&lt;/VipCd&gt;</w:t>
      </w:r>
    </w:p>
    <w:p w14:paraId="530CF7E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 xml:space="preserve">                    &lt;VidIcm&gt;3&lt;/VidIcm&gt;</w:t>
      </w:r>
    </w:p>
    <w:p w14:paraId="338E8FF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 xml:space="preserve">                    &lt;AmntIspdoc&gt;1025-50;1000-00&lt;/AmntIspdoc&gt;</w:t>
      </w:r>
    </w:p>
    <w:p w14:paraId="7F34C72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&lt;VipAmnt&gt;100.00&lt;/VipAmnt&gt;</w:t>
      </w:r>
    </w:p>
    <w:p w14:paraId="26C9CCC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&lt;AmntKBK&gt;</w:t>
      </w:r>
    </w:p>
    <w:p w14:paraId="26C200C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&lt;AmntKBK_ITEM&gt;</w:t>
      </w:r>
    </w:p>
    <w:p w14:paraId="7BA4B04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&lt;KBK&gt;18702010303003842130&lt;/KBK&gt;</w:t>
      </w:r>
    </w:p>
    <w:p w14:paraId="780A7EE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&lt;Sum&gt;100.00&lt;/Sum&gt;</w:t>
      </w:r>
    </w:p>
    <w:p w14:paraId="45B38DA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&lt;AddKlass&gt;18-B71-45745&lt;/AddKlass&gt;</w:t>
      </w:r>
    </w:p>
    <w:p w14:paraId="144D435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&lt;/AmntKBK_ITEM&gt;</w:t>
      </w:r>
    </w:p>
    <w:p w14:paraId="731E138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&lt;/AmntKBK&gt;</w:t>
      </w:r>
    </w:p>
    <w:p w14:paraId="63DF626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&lt;/Pmnts_ITEM&gt;</w:t>
      </w:r>
    </w:p>
    <w:p w14:paraId="0BCFE7B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&lt;/Inf_Pmnts&gt;</w:t>
      </w:r>
      <w:r w:rsidRPr="00264D5D">
        <w:rPr>
          <w:rFonts w:cs="Courier New"/>
          <w:sz w:val="20"/>
        </w:rPr>
        <w:tab/>
      </w:r>
    </w:p>
    <w:p w14:paraId="41F8EB1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&lt;KBK_RsltAmnt&gt;</w:t>
      </w:r>
    </w:p>
    <w:p w14:paraId="056081A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&lt;AmntKBK_ITEM&gt;</w:t>
      </w:r>
    </w:p>
    <w:p w14:paraId="625A3CB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&lt;KBK&gt;18702010303003842130&lt;/KBK&gt;</w:t>
      </w:r>
    </w:p>
    <w:p w14:paraId="3AD7B43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&lt;Sum&gt;100.00&lt;/Sum&gt;</w:t>
      </w:r>
    </w:p>
    <w:p w14:paraId="002947E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&lt;AddKlass&gt;18-B71-45745&lt;/AddKlass&gt;</w:t>
      </w:r>
    </w:p>
    <w:p w14:paraId="4AB7F29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&lt;/AmntKBK_ITEM&gt;</w:t>
      </w:r>
    </w:p>
    <w:p w14:paraId="0DE2288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&lt;/KBK_RsltAmnt&gt;</w:t>
      </w:r>
    </w:p>
    <w:p w14:paraId="3839A89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&lt;/formular&gt;</w:t>
      </w:r>
    </w:p>
    <w:p w14:paraId="1704C79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&lt;/self:formularCollection&gt;</w:t>
      </w:r>
    </w:p>
    <w:p w14:paraId="2D6A1B4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264D5D">
        <w:rPr>
          <w:rFonts w:cs="Courier New"/>
          <w:sz w:val="20"/>
        </w:rPr>
        <w:t>&lt;/self:exchangePacket&gt;</w:t>
      </w:r>
      <w:r w:rsidRPr="00264D5D">
        <w:rPr>
          <w:rFonts w:cs="Courier New"/>
          <w:szCs w:val="22"/>
        </w:rPr>
        <w:tab/>
      </w:r>
      <w:r w:rsidRPr="00264D5D">
        <w:rPr>
          <w:rFonts w:cs="Courier New"/>
          <w:szCs w:val="22"/>
        </w:rPr>
        <w:tab/>
      </w:r>
    </w:p>
    <w:p w14:paraId="5AA4BBA5" w14:textId="77777777" w:rsidR="00AD1F54" w:rsidRPr="00264D5D" w:rsidRDefault="00941227">
      <w:pPr>
        <w:pStyle w:val="31"/>
      </w:pPr>
      <w:bookmarkStart w:id="1873" w:name="_Toc466661485"/>
      <w:bookmarkStart w:id="1874" w:name="_Toc481690844"/>
      <w:bookmarkStart w:id="1875" w:name="_Ref482636133"/>
      <w:bookmarkStart w:id="1876" w:name="_Toc219309652"/>
      <w:r w:rsidRPr="00264D5D">
        <w:t>Пример XML (сервисное взаимодействие)</w:t>
      </w:r>
      <w:bookmarkEnd w:id="1876"/>
    </w:p>
    <w:p w14:paraId="7CBF8EC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&lt;?xml version="1.0" encoding="UTF-8"?&gt;</w:t>
      </w:r>
    </w:p>
    <w:p w14:paraId="5BD4EFA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&lt;self:Order_Mir metaType="formular" versionID="2.0" xsi:schemaLocation="http://www.roskazna.ru/eb/domain/Order_Mir/formular formulars.xsd" xmlns:self="http://www.roskazna.ru/eb/domain/Order_Mir/formular" xmlns:xsi="http://www.w3.org/2001/XMLSchema-instance"&gt;</w:t>
      </w:r>
    </w:p>
    <w:p w14:paraId="12FA129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&lt;GUID&gt;6a4b54c6-d792-4871-bfbf-7c8b708c19d0&lt;/GUID&gt;</w:t>
      </w:r>
      <w:r w:rsidRPr="00264D5D">
        <w:rPr>
          <w:rFonts w:cs="Courier New"/>
          <w:sz w:val="20"/>
        </w:rPr>
        <w:tab/>
      </w:r>
      <w:r w:rsidRPr="00264D5D">
        <w:rPr>
          <w:rFonts w:cs="Courier New"/>
          <w:sz w:val="20"/>
        </w:rPr>
        <w:tab/>
      </w:r>
    </w:p>
    <w:p w14:paraId="1EA6E9B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&lt;Inf_NmDoc&gt;1&lt;/Inf_NmDoc&gt;</w:t>
      </w:r>
    </w:p>
    <w:p w14:paraId="045FFAC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&lt;Inf_DtDoc&gt;2023-01-01&lt;/Inf_DtDoc&gt;</w:t>
      </w:r>
    </w:p>
    <w:p w14:paraId="7125599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Rcp</w:t>
      </w:r>
      <w:r w:rsidRPr="00264D5D">
        <w:rPr>
          <w:rFonts w:cs="Courier New"/>
          <w:sz w:val="20"/>
          <w:lang w:val="ru-RU"/>
        </w:rPr>
        <w:t>_</w:t>
      </w:r>
      <w:r w:rsidRPr="00264D5D">
        <w:rPr>
          <w:rFonts w:cs="Courier New"/>
          <w:sz w:val="20"/>
        </w:rPr>
        <w:t>Nm</w:t>
      </w:r>
      <w:r w:rsidRPr="00264D5D">
        <w:rPr>
          <w:rFonts w:cs="Courier New"/>
          <w:sz w:val="20"/>
          <w:lang w:val="ru-RU"/>
        </w:rPr>
        <w:t xml:space="preserve">&gt;Государственное учреждение - Севастопольское региональное отделение Фонда </w:t>
      </w:r>
      <w:r w:rsidRPr="00264D5D">
        <w:rPr>
          <w:rFonts w:cs="Courier New"/>
          <w:sz w:val="20"/>
          <w:lang w:val="ru-RU"/>
        </w:rPr>
        <w:lastRenderedPageBreak/>
        <w:t>пенсионного и социального страхования Российской Федерации&lt;/</w:t>
      </w:r>
      <w:r w:rsidRPr="00264D5D">
        <w:rPr>
          <w:rFonts w:cs="Courier New"/>
          <w:sz w:val="20"/>
        </w:rPr>
        <w:t>Rcp</w:t>
      </w:r>
      <w:r w:rsidRPr="00264D5D">
        <w:rPr>
          <w:rFonts w:cs="Courier New"/>
          <w:sz w:val="20"/>
          <w:lang w:val="ru-RU"/>
        </w:rPr>
        <w:t>_</w:t>
      </w:r>
      <w:r w:rsidRPr="00264D5D">
        <w:rPr>
          <w:rFonts w:cs="Courier New"/>
          <w:sz w:val="20"/>
        </w:rPr>
        <w:t>Nm</w:t>
      </w:r>
      <w:r w:rsidRPr="00264D5D">
        <w:rPr>
          <w:rFonts w:cs="Courier New"/>
          <w:sz w:val="20"/>
          <w:lang w:val="ru-RU"/>
        </w:rPr>
        <w:t>&gt;</w:t>
      </w:r>
    </w:p>
    <w:p w14:paraId="40EB153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Rcp</w:t>
      </w:r>
      <w:r w:rsidRPr="00264D5D">
        <w:rPr>
          <w:rFonts w:cs="Courier New"/>
          <w:sz w:val="20"/>
          <w:lang w:val="ru-RU"/>
        </w:rPr>
        <w:t>_</w:t>
      </w:r>
      <w:r w:rsidRPr="00264D5D">
        <w:rPr>
          <w:rFonts w:cs="Courier New"/>
          <w:sz w:val="20"/>
        </w:rPr>
        <w:t>Cd</w:t>
      </w:r>
      <w:r w:rsidRPr="00264D5D">
        <w:rPr>
          <w:rFonts w:cs="Courier New"/>
          <w:sz w:val="20"/>
          <w:lang w:val="ru-RU"/>
        </w:rPr>
        <w:t>&gt;12345678&lt;/</w:t>
      </w:r>
      <w:r w:rsidRPr="00264D5D">
        <w:rPr>
          <w:rFonts w:cs="Courier New"/>
          <w:sz w:val="20"/>
        </w:rPr>
        <w:t>Rcp</w:t>
      </w:r>
      <w:r w:rsidRPr="00264D5D">
        <w:rPr>
          <w:rFonts w:cs="Courier New"/>
          <w:sz w:val="20"/>
          <w:lang w:val="ru-RU"/>
        </w:rPr>
        <w:t>_</w:t>
      </w:r>
      <w:r w:rsidRPr="00264D5D">
        <w:rPr>
          <w:rFonts w:cs="Courier New"/>
          <w:sz w:val="20"/>
        </w:rPr>
        <w:t>Cd</w:t>
      </w:r>
      <w:r w:rsidRPr="00264D5D">
        <w:rPr>
          <w:rFonts w:cs="Courier New"/>
          <w:sz w:val="20"/>
          <w:lang w:val="ru-RU"/>
        </w:rPr>
        <w:t>&gt;</w:t>
      </w:r>
    </w:p>
    <w:p w14:paraId="159A396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Rcp</w:t>
      </w:r>
      <w:r w:rsidRPr="00264D5D">
        <w:rPr>
          <w:rFonts w:cs="Courier New"/>
          <w:sz w:val="20"/>
          <w:lang w:val="ru-RU"/>
        </w:rPr>
        <w:t>_</w:t>
      </w:r>
      <w:r w:rsidRPr="00264D5D">
        <w:rPr>
          <w:rFonts w:cs="Courier New"/>
          <w:sz w:val="20"/>
        </w:rPr>
        <w:t>NmAccnt</w:t>
      </w:r>
      <w:r w:rsidRPr="00264D5D">
        <w:rPr>
          <w:rFonts w:cs="Courier New"/>
          <w:sz w:val="20"/>
          <w:lang w:val="ru-RU"/>
        </w:rPr>
        <w:t>&gt;03123456789&lt;/</w:t>
      </w:r>
      <w:r w:rsidRPr="00264D5D">
        <w:rPr>
          <w:rFonts w:cs="Courier New"/>
          <w:sz w:val="20"/>
        </w:rPr>
        <w:t>Rcp</w:t>
      </w:r>
      <w:r w:rsidRPr="00264D5D">
        <w:rPr>
          <w:rFonts w:cs="Courier New"/>
          <w:sz w:val="20"/>
          <w:lang w:val="ru-RU"/>
        </w:rPr>
        <w:t>_</w:t>
      </w:r>
      <w:r w:rsidRPr="00264D5D">
        <w:rPr>
          <w:rFonts w:cs="Courier New"/>
          <w:sz w:val="20"/>
        </w:rPr>
        <w:t>NmAccnt</w:t>
      </w:r>
      <w:r w:rsidRPr="00264D5D">
        <w:rPr>
          <w:rFonts w:cs="Courier New"/>
          <w:sz w:val="20"/>
          <w:lang w:val="ru-RU"/>
        </w:rPr>
        <w:t>&gt;</w:t>
      </w:r>
    </w:p>
    <w:p w14:paraId="5898C40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Rcp</w:t>
      </w:r>
      <w:r w:rsidRPr="00264D5D">
        <w:rPr>
          <w:rFonts w:cs="Courier New"/>
          <w:sz w:val="20"/>
          <w:lang w:val="ru-RU"/>
        </w:rPr>
        <w:t>_</w:t>
      </w:r>
      <w:r w:rsidRPr="00264D5D">
        <w:rPr>
          <w:rFonts w:cs="Courier New"/>
          <w:sz w:val="20"/>
        </w:rPr>
        <w:t>GRBS</w:t>
      </w:r>
      <w:r w:rsidRPr="00264D5D">
        <w:rPr>
          <w:rFonts w:cs="Courier New"/>
          <w:sz w:val="20"/>
          <w:lang w:val="ru-RU"/>
        </w:rPr>
        <w:t>&gt;Фонд пенсионного и социального страхования Российской Федерации&lt;/</w:t>
      </w:r>
      <w:r w:rsidRPr="00264D5D">
        <w:rPr>
          <w:rFonts w:cs="Courier New"/>
          <w:sz w:val="20"/>
        </w:rPr>
        <w:t>Rcp</w:t>
      </w:r>
      <w:r w:rsidRPr="00264D5D">
        <w:rPr>
          <w:rFonts w:cs="Courier New"/>
          <w:sz w:val="20"/>
          <w:lang w:val="ru-RU"/>
        </w:rPr>
        <w:t>_</w:t>
      </w:r>
      <w:r w:rsidRPr="00264D5D">
        <w:rPr>
          <w:rFonts w:cs="Courier New"/>
          <w:sz w:val="20"/>
        </w:rPr>
        <w:t>GRBS</w:t>
      </w:r>
      <w:r w:rsidRPr="00264D5D">
        <w:rPr>
          <w:rFonts w:cs="Courier New"/>
          <w:sz w:val="20"/>
          <w:lang w:val="ru-RU"/>
        </w:rPr>
        <w:t>&gt;</w:t>
      </w:r>
    </w:p>
    <w:p w14:paraId="77A5802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Rcp</w:t>
      </w:r>
      <w:r w:rsidRPr="00264D5D">
        <w:rPr>
          <w:rFonts w:cs="Courier New"/>
          <w:sz w:val="20"/>
          <w:lang w:val="ru-RU"/>
        </w:rPr>
        <w:t>_</w:t>
      </w:r>
      <w:r w:rsidRPr="00264D5D">
        <w:rPr>
          <w:rFonts w:cs="Courier New"/>
          <w:sz w:val="20"/>
        </w:rPr>
        <w:t>GlvBKCd</w:t>
      </w:r>
      <w:r w:rsidRPr="00264D5D">
        <w:rPr>
          <w:rFonts w:cs="Courier New"/>
          <w:sz w:val="20"/>
          <w:lang w:val="ru-RU"/>
        </w:rPr>
        <w:t>&gt;393&lt;/</w:t>
      </w:r>
      <w:r w:rsidRPr="00264D5D">
        <w:rPr>
          <w:rFonts w:cs="Courier New"/>
          <w:sz w:val="20"/>
        </w:rPr>
        <w:t>Rcp</w:t>
      </w:r>
      <w:r w:rsidRPr="00264D5D">
        <w:rPr>
          <w:rFonts w:cs="Courier New"/>
          <w:sz w:val="20"/>
          <w:lang w:val="ru-RU"/>
        </w:rPr>
        <w:t>_</w:t>
      </w:r>
      <w:r w:rsidRPr="00264D5D">
        <w:rPr>
          <w:rFonts w:cs="Courier New"/>
          <w:sz w:val="20"/>
        </w:rPr>
        <w:t>GlvBKCd</w:t>
      </w:r>
      <w:r w:rsidRPr="00264D5D">
        <w:rPr>
          <w:rFonts w:cs="Courier New"/>
          <w:sz w:val="20"/>
          <w:lang w:val="ru-RU"/>
        </w:rPr>
        <w:t>&gt;</w:t>
      </w:r>
    </w:p>
    <w:p w14:paraId="233183A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Rcp</w:t>
      </w:r>
      <w:r w:rsidRPr="00264D5D">
        <w:rPr>
          <w:rFonts w:cs="Courier New"/>
          <w:sz w:val="20"/>
          <w:lang w:val="ru-RU"/>
        </w:rPr>
        <w:t>_</w:t>
      </w:r>
      <w:r w:rsidRPr="00264D5D">
        <w:rPr>
          <w:rFonts w:cs="Courier New"/>
          <w:sz w:val="20"/>
        </w:rPr>
        <w:t>NmBdgt</w:t>
      </w:r>
      <w:r w:rsidRPr="00264D5D">
        <w:rPr>
          <w:rFonts w:cs="Courier New"/>
          <w:sz w:val="20"/>
          <w:lang w:val="ru-RU"/>
        </w:rPr>
        <w:t>&gt;Бюджет Фонда пенсионного и социального страхования Российской Федерации&lt;/</w:t>
      </w:r>
      <w:r w:rsidRPr="00264D5D">
        <w:rPr>
          <w:rFonts w:cs="Courier New"/>
          <w:sz w:val="20"/>
        </w:rPr>
        <w:t>Rcp</w:t>
      </w:r>
      <w:r w:rsidRPr="00264D5D">
        <w:rPr>
          <w:rFonts w:cs="Courier New"/>
          <w:sz w:val="20"/>
          <w:lang w:val="ru-RU"/>
        </w:rPr>
        <w:t>_</w:t>
      </w:r>
      <w:r w:rsidRPr="00264D5D">
        <w:rPr>
          <w:rFonts w:cs="Courier New"/>
          <w:sz w:val="20"/>
        </w:rPr>
        <w:t>NmBdgt</w:t>
      </w:r>
      <w:r w:rsidRPr="00264D5D">
        <w:rPr>
          <w:rFonts w:cs="Courier New"/>
          <w:sz w:val="20"/>
          <w:lang w:val="ru-RU"/>
        </w:rPr>
        <w:t>&gt;</w:t>
      </w:r>
    </w:p>
    <w:p w14:paraId="3D94555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Rcp</w:t>
      </w:r>
      <w:r w:rsidRPr="00264D5D">
        <w:rPr>
          <w:rFonts w:cs="Courier New"/>
          <w:sz w:val="20"/>
          <w:lang w:val="ru-RU"/>
        </w:rPr>
        <w:t>_</w:t>
      </w:r>
      <w:r w:rsidRPr="00264D5D">
        <w:rPr>
          <w:rFonts w:cs="Courier New"/>
          <w:sz w:val="20"/>
        </w:rPr>
        <w:t>NmFO</w:t>
      </w:r>
      <w:r w:rsidRPr="00264D5D">
        <w:rPr>
          <w:rFonts w:cs="Courier New"/>
          <w:sz w:val="20"/>
          <w:lang w:val="ru-RU"/>
        </w:rPr>
        <w:t>&gt;Министерство финансов Российской Федерации&lt;/</w:t>
      </w:r>
      <w:r w:rsidRPr="00264D5D">
        <w:rPr>
          <w:rFonts w:cs="Courier New"/>
          <w:sz w:val="20"/>
        </w:rPr>
        <w:t>Rcp</w:t>
      </w:r>
      <w:r w:rsidRPr="00264D5D">
        <w:rPr>
          <w:rFonts w:cs="Courier New"/>
          <w:sz w:val="20"/>
          <w:lang w:val="ru-RU"/>
        </w:rPr>
        <w:t>_</w:t>
      </w:r>
      <w:r w:rsidRPr="00264D5D">
        <w:rPr>
          <w:rFonts w:cs="Courier New"/>
          <w:sz w:val="20"/>
        </w:rPr>
        <w:t>NmFO</w:t>
      </w:r>
      <w:r w:rsidRPr="00264D5D">
        <w:rPr>
          <w:rFonts w:cs="Courier New"/>
          <w:sz w:val="20"/>
          <w:lang w:val="ru-RU"/>
        </w:rPr>
        <w:t>&gt;</w:t>
      </w:r>
    </w:p>
    <w:p w14:paraId="7E9AC2D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Rcp</w:t>
      </w:r>
      <w:r w:rsidRPr="00264D5D">
        <w:rPr>
          <w:rFonts w:cs="Courier New"/>
          <w:sz w:val="20"/>
          <w:lang w:val="ru-RU"/>
        </w:rPr>
        <w:t>_</w:t>
      </w:r>
      <w:r w:rsidRPr="00264D5D">
        <w:rPr>
          <w:rFonts w:cs="Courier New"/>
          <w:sz w:val="20"/>
        </w:rPr>
        <w:t>CdFO</w:t>
      </w:r>
      <w:r w:rsidRPr="00264D5D">
        <w:rPr>
          <w:rFonts w:cs="Courier New"/>
          <w:sz w:val="20"/>
          <w:lang w:val="ru-RU"/>
        </w:rPr>
        <w:t>&gt;24245678&lt;/</w:t>
      </w:r>
      <w:r w:rsidRPr="00264D5D">
        <w:rPr>
          <w:rFonts w:cs="Courier New"/>
          <w:sz w:val="20"/>
        </w:rPr>
        <w:t>Rcp</w:t>
      </w:r>
      <w:r w:rsidRPr="00264D5D">
        <w:rPr>
          <w:rFonts w:cs="Courier New"/>
          <w:sz w:val="20"/>
          <w:lang w:val="ru-RU"/>
        </w:rPr>
        <w:t>_</w:t>
      </w:r>
      <w:r w:rsidRPr="00264D5D">
        <w:rPr>
          <w:rFonts w:cs="Courier New"/>
          <w:sz w:val="20"/>
        </w:rPr>
        <w:t>CdFO</w:t>
      </w:r>
      <w:r w:rsidRPr="00264D5D">
        <w:rPr>
          <w:rFonts w:cs="Courier New"/>
          <w:sz w:val="20"/>
          <w:lang w:val="ru-RU"/>
        </w:rPr>
        <w:t>&gt;</w:t>
      </w:r>
    </w:p>
    <w:p w14:paraId="1232BDC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Rcp</w:t>
      </w:r>
      <w:r w:rsidRPr="00264D5D">
        <w:rPr>
          <w:rFonts w:cs="Courier New"/>
          <w:sz w:val="20"/>
          <w:lang w:val="ru-RU"/>
        </w:rPr>
        <w:t>_</w:t>
      </w:r>
      <w:r w:rsidRPr="00264D5D">
        <w:rPr>
          <w:rFonts w:cs="Courier New"/>
          <w:sz w:val="20"/>
        </w:rPr>
        <w:t>NmTOFK</w:t>
      </w:r>
      <w:r w:rsidRPr="00264D5D">
        <w:rPr>
          <w:rFonts w:cs="Courier New"/>
          <w:sz w:val="20"/>
          <w:lang w:val="ru-RU"/>
        </w:rPr>
        <w:t>&gt; УФК по г. Севастополю&lt;/</w:t>
      </w:r>
      <w:r w:rsidRPr="00264D5D">
        <w:rPr>
          <w:rFonts w:cs="Courier New"/>
          <w:sz w:val="20"/>
        </w:rPr>
        <w:t>Rcp</w:t>
      </w:r>
      <w:r w:rsidRPr="00264D5D">
        <w:rPr>
          <w:rFonts w:cs="Courier New"/>
          <w:sz w:val="20"/>
          <w:lang w:val="ru-RU"/>
        </w:rPr>
        <w:t>_</w:t>
      </w:r>
      <w:r w:rsidRPr="00264D5D">
        <w:rPr>
          <w:rFonts w:cs="Courier New"/>
          <w:sz w:val="20"/>
        </w:rPr>
        <w:t>NmTOFK</w:t>
      </w:r>
      <w:r w:rsidRPr="00264D5D">
        <w:rPr>
          <w:rFonts w:cs="Courier New"/>
          <w:sz w:val="20"/>
          <w:lang w:val="ru-RU"/>
        </w:rPr>
        <w:t>&gt;</w:t>
      </w:r>
    </w:p>
    <w:p w14:paraId="3FA844C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Rcp</w:t>
      </w:r>
      <w:r w:rsidRPr="00264D5D">
        <w:rPr>
          <w:rFonts w:cs="Courier New"/>
          <w:sz w:val="20"/>
          <w:lang w:val="ru-RU"/>
        </w:rPr>
        <w:t>_</w:t>
      </w:r>
      <w:r w:rsidRPr="00264D5D">
        <w:rPr>
          <w:rFonts w:cs="Courier New"/>
          <w:sz w:val="20"/>
        </w:rPr>
        <w:t>CdTOFK</w:t>
      </w:r>
      <w:r w:rsidRPr="00264D5D">
        <w:rPr>
          <w:rFonts w:cs="Courier New"/>
          <w:sz w:val="20"/>
          <w:lang w:val="ru-RU"/>
        </w:rPr>
        <w:t>&gt;7400&lt;/</w:t>
      </w:r>
      <w:r w:rsidRPr="00264D5D">
        <w:rPr>
          <w:rFonts w:cs="Courier New"/>
          <w:sz w:val="20"/>
        </w:rPr>
        <w:t>Rcp</w:t>
      </w:r>
      <w:r w:rsidRPr="00264D5D">
        <w:rPr>
          <w:rFonts w:cs="Courier New"/>
          <w:sz w:val="20"/>
          <w:lang w:val="ru-RU"/>
        </w:rPr>
        <w:t>_</w:t>
      </w:r>
      <w:r w:rsidRPr="00264D5D">
        <w:rPr>
          <w:rFonts w:cs="Courier New"/>
          <w:sz w:val="20"/>
        </w:rPr>
        <w:t>CdTOFK</w:t>
      </w:r>
      <w:r w:rsidRPr="00264D5D">
        <w:rPr>
          <w:rFonts w:cs="Courier New"/>
          <w:sz w:val="20"/>
          <w:lang w:val="ru-RU"/>
        </w:rPr>
        <w:t>&gt;</w:t>
      </w:r>
    </w:p>
    <w:p w14:paraId="35626D7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Inf</w:t>
      </w:r>
      <w:r w:rsidRPr="00264D5D">
        <w:rPr>
          <w:rFonts w:cs="Courier New"/>
          <w:sz w:val="20"/>
          <w:lang w:val="ru-RU"/>
        </w:rPr>
        <w:t>_</w:t>
      </w:r>
      <w:r w:rsidRPr="00264D5D">
        <w:rPr>
          <w:rFonts w:cs="Courier New"/>
          <w:sz w:val="20"/>
        </w:rPr>
        <w:t>NmBO</w:t>
      </w:r>
      <w:r w:rsidRPr="00264D5D">
        <w:rPr>
          <w:rFonts w:cs="Courier New"/>
          <w:sz w:val="20"/>
          <w:lang w:val="ru-RU"/>
        </w:rPr>
        <w:t>&gt;1234567890123450000&lt;/</w:t>
      </w:r>
      <w:r w:rsidRPr="00264D5D">
        <w:rPr>
          <w:rFonts w:cs="Courier New"/>
          <w:sz w:val="20"/>
        </w:rPr>
        <w:t>Inf</w:t>
      </w:r>
      <w:r w:rsidRPr="00264D5D">
        <w:rPr>
          <w:rFonts w:cs="Courier New"/>
          <w:sz w:val="20"/>
          <w:lang w:val="ru-RU"/>
        </w:rPr>
        <w:t>_</w:t>
      </w:r>
      <w:r w:rsidRPr="00264D5D">
        <w:rPr>
          <w:rFonts w:cs="Courier New"/>
          <w:sz w:val="20"/>
        </w:rPr>
        <w:t>NmBO</w:t>
      </w:r>
      <w:r w:rsidRPr="00264D5D">
        <w:rPr>
          <w:rFonts w:cs="Courier New"/>
          <w:sz w:val="20"/>
          <w:lang w:val="ru-RU"/>
        </w:rPr>
        <w:t>&gt;</w:t>
      </w:r>
    </w:p>
    <w:p w14:paraId="1C0D4CE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rPr>
        <w:t>&lt;Inf_AddKlass1&gt;0011259018600000001001&lt;/Inf_AddKlass1&gt;</w:t>
      </w:r>
    </w:p>
    <w:p w14:paraId="454C5DB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&lt;Inf_AddKlass3&gt;МБТ12345678954878&lt;/Inf_AddKlass3&gt;</w:t>
      </w:r>
    </w:p>
    <w:p w14:paraId="1DB3EB8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&lt;Inf_TotAmnt&gt;100.00&lt;/Inf_TotAmnt&gt;</w:t>
      </w:r>
    </w:p>
    <w:p w14:paraId="1A5E8C4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&lt;Inf_Pmnts&gt;</w:t>
      </w:r>
    </w:p>
    <w:p w14:paraId="3838668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&lt;Pmnts_ITEM&gt;</w:t>
      </w:r>
    </w:p>
    <w:p w14:paraId="66C1D74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&lt;NmLn&gt;1&lt;/NmLn&gt;</w:t>
      </w:r>
    </w:p>
    <w:p w14:paraId="356CAC4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&lt;NmCrd&gt;2200123456789012&lt;/NmCrd&gt;</w:t>
      </w:r>
    </w:p>
    <w:p w14:paraId="25196EA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&lt;DtBrth&gt;1950-05-01&lt;/DtBrth&gt;</w:t>
      </w:r>
    </w:p>
    <w:p w14:paraId="5BB65D6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&lt;VipCd&gt;0101&lt;/VipCd&gt;</w:t>
      </w:r>
    </w:p>
    <w:p w14:paraId="7E2ADBE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 xml:space="preserve">                    &lt;VidIcm&gt;3&lt;/VidIcm&gt;</w:t>
      </w:r>
    </w:p>
    <w:p w14:paraId="4D4283A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 xml:space="preserve">                    &lt;AmntIspdoc&gt;1025-50;1000-00&lt;/AmntIspdoc &gt;</w:t>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&lt;VipAmnt&gt;100.00&lt;/VipAmnt&gt;</w:t>
      </w:r>
    </w:p>
    <w:p w14:paraId="0BC0B48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&lt;AmntKBK&gt;</w:t>
      </w:r>
    </w:p>
    <w:p w14:paraId="7ADB186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&lt;AmntKBK_ITEM&gt;</w:t>
      </w:r>
    </w:p>
    <w:p w14:paraId="4244147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&lt;KBK&gt;18702010303003842130&lt;/KBK&gt;</w:t>
      </w:r>
    </w:p>
    <w:p w14:paraId="48D0F19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&lt;Sum&gt;100.00&lt;/Sum&gt;</w:t>
      </w:r>
    </w:p>
    <w:p w14:paraId="12D2079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&lt;AddKlass&gt;18-B71-45745&lt;/AddKlass&gt;</w:t>
      </w:r>
    </w:p>
    <w:p w14:paraId="1E796FB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&lt;/AmntKBK_ITEM&gt;</w:t>
      </w:r>
    </w:p>
    <w:p w14:paraId="33BE923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&lt;/AmntKBK&gt;</w:t>
      </w:r>
    </w:p>
    <w:p w14:paraId="30FD568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&lt;/Pmnts_ITEM&gt;</w:t>
      </w:r>
    </w:p>
    <w:p w14:paraId="01ED322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&lt;/Inf_Pmnts&gt;</w:t>
      </w:r>
      <w:r w:rsidRPr="00264D5D">
        <w:rPr>
          <w:rFonts w:cs="Courier New"/>
          <w:sz w:val="20"/>
        </w:rPr>
        <w:tab/>
      </w:r>
    </w:p>
    <w:p w14:paraId="03A9524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&lt;KBK_RsltAmnt&gt;</w:t>
      </w:r>
    </w:p>
    <w:p w14:paraId="11C6B81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&lt;AmntKBK_ITEM&gt;</w:t>
      </w:r>
    </w:p>
    <w:p w14:paraId="0F91986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&lt;KBK&gt;18702010303003842130&lt;/KBK&gt;</w:t>
      </w:r>
    </w:p>
    <w:p w14:paraId="5F905F4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&lt;Sum&gt;100.00&lt;/Sum&gt;</w:t>
      </w:r>
    </w:p>
    <w:p w14:paraId="40A3FD4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&lt;AddKlass&gt;18-B71-45745&lt;/AddKlass&gt;</w:t>
      </w:r>
    </w:p>
    <w:p w14:paraId="6E392E5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&lt;/AmntKBK_ITEM&gt;</w:t>
      </w:r>
    </w:p>
    <w:p w14:paraId="22B2ADD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&lt;/KBK_RsltAmnt&gt;</w:t>
      </w:r>
    </w:p>
    <w:p w14:paraId="3BC512C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264D5D">
        <w:rPr>
          <w:rFonts w:cs="Courier New"/>
          <w:sz w:val="20"/>
        </w:rPr>
        <w:tab/>
        <w:t>&lt;/self:Order_Mir&gt;</w:t>
      </w:r>
    </w:p>
    <w:p w14:paraId="126D9903" w14:textId="77777777" w:rsidR="00AD1F54" w:rsidRPr="00264D5D" w:rsidRDefault="00941227">
      <w:pPr>
        <w:pStyle w:val="31"/>
      </w:pPr>
      <w:bookmarkStart w:id="1877" w:name="_Toc98099939"/>
      <w:bookmarkStart w:id="1878" w:name="_Ref495395180"/>
      <w:bookmarkStart w:id="1879" w:name="_Toc496984021"/>
      <w:bookmarkStart w:id="1880" w:name="_Ref465262562"/>
      <w:bookmarkStart w:id="1881" w:name="_Toc350767061"/>
      <w:bookmarkStart w:id="1882" w:name="_Toc219309653"/>
      <w:bookmarkEnd w:id="1873"/>
      <w:bookmarkEnd w:id="1874"/>
      <w:bookmarkEnd w:id="1875"/>
      <w:r w:rsidRPr="00264D5D">
        <w:t>Пример XML (ЕСМВ)</w:t>
      </w:r>
      <w:bookmarkEnd w:id="1877"/>
      <w:bookmarkEnd w:id="1882"/>
    </w:p>
    <w:p w14:paraId="1193B73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&lt;?xml version="1.0" encoding="UTF-8"?&gt;</w:t>
      </w:r>
    </w:p>
    <w:p w14:paraId="6AE8C2D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&lt;soapenv:Envelope xmlns:soapenv="http://schemas.xmlsoap.org/soap/envelope/" xmlns:wsu="http://docs.oasis-open.org/wss/2004/01/oasis-200401-wss-wssecurity-utility-1.0.xsd" xmlns:wsse="http://docs.oasis-open.org/wss/2004/01/oasis-200401-wss-wssecurity-secext-1.0.xsd"&gt;</w:t>
      </w:r>
    </w:p>
    <w:p w14:paraId="7E87E10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&lt;env:Header xmlns:env="http://schemas.xmlsoap.org/soap/envelope/"&gt;&lt;wsse:Security wsu:Id="Id-sec-f9cb3040b7ca31cd7876d625c632e1aed304"&gt;</w:t>
      </w:r>
    </w:p>
    <w:p w14:paraId="3DD201B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 xmlns="http://www.w3.org/2000/09/xmldsig#" Id="Id-sig-b9199ca934cfa91bcff69e807d7b0dbd26f6"&gt;</w:t>
      </w:r>
    </w:p>
    <w:p w14:paraId="3C99DB9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758B376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&lt;CanonicalizationMethod Algorithm="http://www.w3.org/2001/10/xml-exc-c14n#"/&gt;</w:t>
      </w:r>
    </w:p>
    <w:p w14:paraId="78DA5A8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&lt;SignatureMethod Algorithm="http://www.w3.org/2001/04/xmldsig-more#gostr34102001-gostr3411"/&gt;</w:t>
      </w:r>
    </w:p>
    <w:p w14:paraId="6BD0496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URI="#Id-wssecdata-29cef34e3106063e64fead91c94aeda97ff4" Id="Id-dataref-</w:t>
      </w:r>
      <w:r w:rsidRPr="00264D5D">
        <w:rPr>
          <w:rFonts w:cs="Courier New"/>
          <w:sz w:val="20"/>
        </w:rPr>
        <w:lastRenderedPageBreak/>
        <w:t>ea575c0bb2c994b98298d2c77dcd5a7dbaa1"&gt;</w:t>
      </w:r>
    </w:p>
    <w:p w14:paraId="309CFC9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1191FBC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2875B8F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4746DA1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04297AD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&lt;DigestValue&gt;4bqC9/3OSJqEHDz00XLzUf29YFcetigx2jr08qUp7fQ=&lt;/DigestValue&gt;</w:t>
      </w:r>
    </w:p>
    <w:p w14:paraId="4659BBA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7B80EF0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Type="http://www.w3.org/TR/2002/REC-xmldsig-core-20020212/xmldsig-core-schema.xsd#X509Data" URI="#Id-keyinfo-11712390bc17243d110193ac033f54873ad8" Id="Id-keyinforef-ac3c6eb29c9af1964819db52ec661b26c339"&gt;</w:t>
      </w:r>
    </w:p>
    <w:p w14:paraId="1C5FA97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1CF497F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6E779E5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7E039E1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6BD3E03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&lt;DigestValue&gt;+0q515JTexjW0go5SdPl7+ydqXUKST91N44lIbXt8Yo=&lt;/DigestValue&gt;</w:t>
      </w:r>
    </w:p>
    <w:p w14:paraId="3A4EA44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76013E7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URI="#Id-sp-4179cfd1e4ba9c0aaed70450fc3c741c9c08" Id="Id-ref-cb8cc265f168034494eca1c25ec74bf9433c"&gt;</w:t>
      </w:r>
    </w:p>
    <w:p w14:paraId="28C5383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310959B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4EC27D0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1642F89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22488A0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&lt;DigestValue&gt;f10/P/MZ5W1AwvdMPGkqpWfYGkK10xUw6SycuQIgFIc=&lt;/DigestValue&gt;</w:t>
      </w:r>
    </w:p>
    <w:p w14:paraId="53E43D6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76158DB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33EA566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&lt;SignatureValue&gt;Xg8mlCU46QdjuUgHR/GFI13DKE7tfRDOphsVyNpFnxC/Sa2XnEuGBKeW7azroY19</w:t>
      </w:r>
    </w:p>
    <w:p w14:paraId="4001C52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3u7EHXe4dKfnrJ7k7Eq5+A==&lt;/SignatureValue&gt;</w:t>
      </w:r>
    </w:p>
    <w:p w14:paraId="1EF515D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3B53236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7F81375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 xmlns="http://uri.etsi.org/01903/v1.4.1#" Target="Id-sig-b9199ca934cfa91bcff69e807d7b0dbd26f6"&gt;</w:t>
      </w:r>
    </w:p>
    <w:p w14:paraId="1B36306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 Id="Id-sp-4179cfd1e4ba9c0aaed70450fc3c741c9c08"&gt;</w:t>
      </w:r>
    </w:p>
    <w:p w14:paraId="08EA85E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&lt;SignedSignatureProperties Id="Id-ssp-408cecc6a155b8a0f2850e81d5f57496bb2b"/&gt;</w:t>
      </w:r>
    </w:p>
    <w:p w14:paraId="281FBD2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&lt;/SignedProperties&gt;</w:t>
      </w:r>
    </w:p>
    <w:p w14:paraId="64A8003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&lt;/QualifyingProperties&gt;</w:t>
      </w:r>
    </w:p>
    <w:p w14:paraId="1C1C4A2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045527F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51EADCE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CVNlcnZlciBDQTEgMB4GCSqGSIb3DQEJARYRdWNfZmtAcm9za2F6bmEucnUxHDAa</w:t>
      </w:r>
    </w:p>
    <w:p w14:paraId="3A28C61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BgNVBAgMEzc3INCzLiDQnNC+0YHQutCy0LAxGjAYBggqhQMDgQMBARIMMDA3NzEw</w:t>
      </w:r>
    </w:p>
    <w:p w14:paraId="4944EB4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NTY4NzYwMRgwFgYFKoUDZAESDTEwNDc3OTcwMTk4MzAxLDAqBgNVBAkMI9GD0LvQ</w:t>
      </w:r>
    </w:p>
    <w:p w14:paraId="7401D03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uNGG0LAg0JjQu9GM0LjQvdC60LAsINC00L7QvCA3MRUwEwYDVQQHDAzQnNC+0YHQ</w:t>
      </w:r>
    </w:p>
    <w:p w14:paraId="049E93C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utCy0LAxCzAJBgNVBAYTAlJVMTgwNgYDVQQKDC/QpNC10LTQtdGA0LDQu9GM0L3Q</w:t>
      </w:r>
    </w:p>
    <w:p w14:paraId="5297BDB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vtC1INC60LDQt9C90LDRh9C10LnRgdGC0LLQvjE/MD0GA1UEAww20KPQpiDQpNC1</w:t>
      </w:r>
    </w:p>
    <w:p w14:paraId="2255E47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0LTQtdGA0LDQu9GM0L3QvtCz0L4g0LrQsNC30L3QsNGH0LXQudGB0YLQstCwMB4X</w:t>
      </w:r>
    </w:p>
    <w:p w14:paraId="542A213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DTE2MDQwNzA4MTExMFoXDTE3MDcwNzA4MTExMFowggITMRYwFAYFKoUDZAMSCzEy</w:t>
      </w:r>
    </w:p>
    <w:p w14:paraId="6F49041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MzQ1Njc4OTAxMRgwFgYFKoUDZAESDTAxMjM0NTY3ODkxMjMxGjAYBggqhQMDgQMB</w:t>
      </w:r>
    </w:p>
    <w:p w14:paraId="5F2F8AC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ARIMMDAxMjM0NTY3ODkwMSYwJAYJKoZIhvcNAQkBFhduLm5hZ292aXRzeW5AaW5m</w:t>
      </w:r>
    </w:p>
    <w:p w14:paraId="3DECB23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b3NlYy5ydTELMAkGA1UEBhMCUlUxHDAaBgNVBAgMEzc3INCzLiDQnNC+0YHQutCy</w:t>
      </w:r>
    </w:p>
    <w:p w14:paraId="3C7DB65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0LAxFTATBgNVBAcMDNCc0L7RgdC60LLQsDE4MDYGA1UECgwv0KTQtdC00LXRgNCw</w:t>
      </w:r>
    </w:p>
    <w:p w14:paraId="3DC99AC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0LvRjNC90L7QtSDQutCw0LfQvdCw0YfQtdC50YHRgtCy0L4xNDAyBgNVBAsMK9GC</w:t>
      </w:r>
    </w:p>
    <w:p w14:paraId="7A427B7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0LXRgdGC0L7QstC+0LUg0L/QvtC00YDQsNC30LTQtdC70LXQvdC40LUxHDAaBgNV</w:t>
      </w:r>
    </w:p>
    <w:p w14:paraId="638825A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BCoME2PQtdGA0YLQuNGE0LjQutCw0YIxGTAXBgNVBAQMENCi0LXRgdGC0L7QstGL</w:t>
      </w:r>
    </w:p>
    <w:p w14:paraId="791A51C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0LkxPTA7BgNVBAwMNNCi0LXRgdGC0L7QstGL0Lkg0YHQtdGA0YLQuNGE0LjQutCw</w:t>
      </w:r>
    </w:p>
    <w:p w14:paraId="01BF7F9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0YIg0L/QvtC00L/QuNGB0LgxQTA/BgkqhkiG9w0BCQIMMklOTlw9MDEyMzQ1Njc4</w:t>
      </w:r>
    </w:p>
    <w:p w14:paraId="2A8F282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OS9LUFBcPTEyMzQ1Njc4OS9PR1JOXD0wMTIzNDU2Nzg5MTIzMS4wLAYDVQQDDCXQ</w:t>
      </w:r>
    </w:p>
    <w:p w14:paraId="5104985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otC10YHRgtC+0LLRi9C5INGB0LXRgNGC0LjRhNC40LrQsNGCMGMwHAYGKoUDAgIT</w:t>
      </w:r>
    </w:p>
    <w:p w14:paraId="3855449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MBIGByqFAwICJAAGByqFAwICHgEDQwAEQM/mE38gcSmh2U183WL3aPaP3tJu0vTq</w:t>
      </w:r>
    </w:p>
    <w:p w14:paraId="3A34CF1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CndMDcb72IGcv8nO7QkaqnFwXrkt6zScdQlQgUX78ct0+jNJa7ZIdLGjggRJMIIE</w:t>
      </w:r>
    </w:p>
    <w:p w14:paraId="16F9595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RTAMBgNVHRMBAf8EAjAAMB0GA1UdIAQWMBQwCAYGKoUDZHEBMAgGBiqFA2RxAjBN</w:t>
      </w:r>
    </w:p>
    <w:p w14:paraId="76E5D42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BgUqhQNkbwREDELQmtGA0LjQv9GC0L7Qn9GA0L4gQ1NQICjQstC10YDRgdC40Y8g</w:t>
      </w:r>
    </w:p>
    <w:p w14:paraId="6A08725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My42KSAo0LjRgdC/0L7Qu9C90LXQvdC40LUgMikwggFhBgUqhQNkcASCAVYwggFS</w:t>
      </w:r>
    </w:p>
    <w:p w14:paraId="6117912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DEQi0JrRgNC40L/RgtC+0J/RgNC+IENTUCIgKNCy0LXRgNGB0LjRjyAzLjYpICjQ</w:t>
      </w:r>
    </w:p>
    <w:p w14:paraId="60296B2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uNGB0L/QvtC70L3QtdC90LjQtSAyKQxoItCf0YDQvtCz0YDQsNC80LzQvdC+LdCw</w:t>
      </w:r>
    </w:p>
    <w:p w14:paraId="3001728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0L/Qv9Cw0YDQsNGC0L3Ri9C5INC60L7QvNC/0LvQtdC60YEgItCu0L3QuNGB0LXR</w:t>
      </w:r>
    </w:p>
    <w:p w14:paraId="4294062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gNGCLdCT0J7QodCiIi4g0JLQtdGA0YHQuNGPIDIuMSIMT9Ch0LXRgNGC0LjRhNC4</w:t>
      </w:r>
    </w:p>
    <w:p w14:paraId="43BBEC5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0LrQsNGCINGB0L7QvtGC0LLQtdGC0YHRgtCy0LjRjyDihJYg0KHQpC8xMjQtMjcz</w:t>
      </w:r>
    </w:p>
    <w:p w14:paraId="1B66A2F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OCDQvtGCIDAxLjA3LjIwMTUMT9Ch0LXRgNGC0LjRhNC40LrQsNGCINGB0L7QvtGC</w:t>
      </w:r>
    </w:p>
    <w:p w14:paraId="4B86C40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0LLQtdGC0YHRgtCy0LjRjyDihJYg0KHQpC8xMjgtMjE3NSDQvtGCIDIwLjA2LjIw</w:t>
      </w:r>
    </w:p>
    <w:p w14:paraId="0C1A583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MTMwDgYDVR0PAQH/BAQDAgTwMBMGA1UdJQQMMAoGCCsGAQUFBwMDMCsGA1UdEAQk</w:t>
      </w:r>
    </w:p>
    <w:p w14:paraId="69B8225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MCKADzIwMTYwNDA3MDgwNDI4WoEPMjAxNzA3MDcwODA0MjhaMIIBjwYDVR0jBIIB</w:t>
      </w:r>
    </w:p>
    <w:p w14:paraId="580AE31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hjCCAYKAFJ5xDg/atAEoXz/iy49lFZcCR4yroYIBZaSCAWEwggFdMRgwFgYJKoZI</w:t>
      </w:r>
    </w:p>
    <w:p w14:paraId="34B7922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hvcNAQkCEwlTZXJ2ZXIgQ0ExIDAeBgkqhkiG9w0BCQEWEXVjX2ZrQHJvc2them5h</w:t>
      </w:r>
    </w:p>
    <w:p w14:paraId="016E81A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LnJ1MRwwGgYDVQQIDBM3NyDQsy4g0JzQvtGB0LrQstCwMRowGAYIKoUDA4EDAQES</w:t>
      </w:r>
    </w:p>
    <w:p w14:paraId="07702F2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DDAwNzcxMDU2ODc2MDEYMBYGBSqFA2QBEg0xMDQ3Nzk3MDE5ODMwMSwwKgYDVQQJ</w:t>
      </w:r>
    </w:p>
    <w:p w14:paraId="75CD6B9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DCPRg9C70LjRhtCwINCY0LvRjNC40L3QutCwLCDQtNC+0LwgNzEVMBMGA1UEBwwM</w:t>
      </w:r>
    </w:p>
    <w:p w14:paraId="64A6752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0JzQvtGB0LrQstCwMQswCQYDVQQGEwJSVTE4MDYGA1UECgwv0KTQtdC00LXRgNCw</w:t>
      </w:r>
    </w:p>
    <w:p w14:paraId="60EA7A2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0LvRjNC90L7QtSDQutCw0LfQvdCw0YfQtdC50YHRgtCy0L4xPzA9BgNVBAMMNtCj</w:t>
      </w:r>
    </w:p>
    <w:p w14:paraId="1E5CB0C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0KYg0KTQtdC00LXRgNCw0LvRjNC90L7Qs9C+INC60LDQt9C90LDRh9C10LnRgdGC</w:t>
      </w:r>
    </w:p>
    <w:p w14:paraId="64F6021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0LLQsIIBATBeBgNVHR8EVzBVMCmgJ6AlhiNodHRwOi8vY3JsLnJvc2them5hLnJ1</w:t>
      </w:r>
    </w:p>
    <w:p w14:paraId="4CBA9FE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L2NybC9mazAxLmNybDAooCagJIYiaHR0cDovL2NybC5mc2ZrLmxvY2FsL2NybC9m</w:t>
      </w:r>
    </w:p>
    <w:p w14:paraId="2E95CE5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azAxLmNybDAdBgNVHQ4EFgQUt0m7wwTPyJQ+5TDMkq5Z0WnD5vQwCAYGKoUDAgID</w:t>
      </w:r>
    </w:p>
    <w:p w14:paraId="441AB76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A0EAReUQeQpqERyFF5XRWG8RnguKCWvPIQOt26PZmVTccxOXVHwZyI0rqdcQ2i4L</w:t>
      </w:r>
    </w:p>
    <w:p w14:paraId="4FF9C5C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p87xs4bqOAO1BwhmKL/TsoC4pA==&lt;/wsse:BinarySecurityToken&gt;&lt;/wsse:Security&gt;&lt;/env:Header&gt;</w:t>
      </w:r>
    </w:p>
    <w:p w14:paraId="3C2620D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&lt;env:Body xmlns:env="http://schemas.xmlsoap.org/soap/envelope/" wsu:Id="Id-wssecdata-29cef34e3106063e64fead91c94aeda97ff4"&gt;</w:t>
      </w:r>
    </w:p>
    <w:p w14:paraId="1DC6AA0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&lt;transferDocumentRequest xmlns:typ="http://www.roskazna.ru/eb/services/transferDocumentService/types" xmlns="http://www.roskazna.ru/eb/services/transferDocumentService/types" versionId="1.0"&gt;</w:t>
      </w:r>
    </w:p>
    <w:p w14:paraId="6974B04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&lt;typ:header&gt;</w:t>
      </w:r>
    </w:p>
    <w:p w14:paraId="3C9C157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&lt;typ:packageId&gt;98b866bf-9cf1-47f1-a48b-394d18467fe7&lt;/typ:packageId&gt;</w:t>
      </w:r>
    </w:p>
    <w:p w14:paraId="4AF08FD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&lt;typ:senderSystemId&gt;PFHD&lt;/typ:senderSystemId&gt;</w:t>
      </w:r>
    </w:p>
    <w:p w14:paraId="09CAC62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&lt;typ:targetSystemId&gt;EXP&lt;/typ:targetSystemId&gt;</w:t>
      </w:r>
    </w:p>
    <w:p w14:paraId="4320B5F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&lt;typ:documentType&gt;Order_Mir&lt;/typ:documentType&gt;</w:t>
      </w:r>
    </w:p>
    <w:p w14:paraId="58F1788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&lt;typ:documentGuid&gt;134b54c1-1792-5871-1fbf-7c8b708c19d1&lt;/typ:documentGuid&gt;</w:t>
      </w:r>
    </w:p>
    <w:p w14:paraId="42A8DA6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&lt;typ:creationDateTime&gt;2022-07-29T16:46:07.689+04:00&lt;/typ:creationDateTime&gt;</w:t>
      </w:r>
    </w:p>
    <w:p w14:paraId="62CFB70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&lt;typ:transactionId&gt;Order_Mir&lt;/typ:transactionId&gt;</w:t>
      </w:r>
    </w:p>
    <w:p w14:paraId="55AE3D7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&lt;typ:params&gt;</w:t>
      </w:r>
    </w:p>
    <w:p w14:paraId="1878227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 name="ParentDocGUID" value="134b54c1-1792-5871-1fbf-7c8b708c19d1"/&gt;</w:t>
      </w:r>
    </w:p>
    <w:p w14:paraId="53CE35B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 name="tofkCode" value="6000"/&gt;</w:t>
      </w:r>
    </w:p>
    <w:p w14:paraId="28EED60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 name="versionId" value="2.0"/&gt;</w:t>
      </w:r>
    </w:p>
    <w:p w14:paraId="6D96187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 name="AccountNum" value="03601009399"/&gt;</w:t>
      </w:r>
    </w:p>
    <w:p w14:paraId="3234ACF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&lt;/typ:params&gt;</w:t>
      </w:r>
    </w:p>
    <w:p w14:paraId="29DBB08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&lt;/typ:header&gt;</w:t>
      </w:r>
    </w:p>
    <w:p w14:paraId="6C102B7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&lt;typ:attachments&gt;</w:t>
      </w:r>
    </w:p>
    <w:p w14:paraId="4360812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&lt;typ:attachment&gt;</w:t>
      </w:r>
    </w:p>
    <w:p w14:paraId="6848421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&lt;typ:fileName&gt;134b54c1-1792-5871-1fbf-7c8b708c19d1_Order_Mir.xml&lt;/typ:fileName&gt;</w:t>
      </w:r>
    </w:p>
    <w:p w14:paraId="371C1C4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&lt;typ:contentType&gt;xml&lt;/typ:contentType&gt;</w:t>
      </w:r>
    </w:p>
    <w:p w14:paraId="4C76E62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&lt;typ:content&gt;</w:t>
      </w:r>
    </w:p>
    <w:p w14:paraId="08675B4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</w:t>
      </w:r>
    </w:p>
    <w:p w14:paraId="0024893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&lt;/typ:content&gt;</w:t>
      </w:r>
    </w:p>
    <w:p w14:paraId="14B1744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&lt;/typ:attachment&gt;</w:t>
      </w:r>
    </w:p>
    <w:p w14:paraId="76C5909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&lt;/typ:attachments&gt;</w:t>
      </w:r>
    </w:p>
    <w:p w14:paraId="1448FB2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&lt;/transferDocumentRequest&gt;</w:t>
      </w:r>
    </w:p>
    <w:p w14:paraId="4ED7F4C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&lt;/env:Body&gt;</w:t>
      </w:r>
    </w:p>
    <w:p w14:paraId="4DD6B94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264D5D">
        <w:rPr>
          <w:rFonts w:cs="Courier New"/>
          <w:sz w:val="20"/>
        </w:rPr>
        <w:t>&lt;/soapenv:Envelope&gt;</w:t>
      </w:r>
    </w:p>
    <w:p w14:paraId="418DE494" w14:textId="77777777" w:rsidR="00AD1F54" w:rsidRPr="008D797C" w:rsidRDefault="00941227">
      <w:pPr>
        <w:pStyle w:val="22"/>
      </w:pPr>
      <w:bookmarkStart w:id="1883" w:name="_Ref115461693"/>
      <w:bookmarkStart w:id="1884" w:name="_Toc219309654"/>
      <w:r w:rsidRPr="00264D5D">
        <w:rPr>
          <w:lang w:val="ru-RU"/>
        </w:rPr>
        <w:t>Описание</w:t>
      </w:r>
      <w:r w:rsidRPr="008D797C">
        <w:t xml:space="preserve"> </w:t>
      </w:r>
      <w:r w:rsidRPr="00264D5D">
        <w:rPr>
          <w:lang w:val="ru-RU"/>
        </w:rPr>
        <w:t>документа</w:t>
      </w:r>
      <w:r w:rsidRPr="008D797C">
        <w:t xml:space="preserve"> «</w:t>
      </w:r>
      <w:r w:rsidRPr="00264D5D">
        <w:rPr>
          <w:lang w:val="ru-RU"/>
        </w:rPr>
        <w:t>Сведения</w:t>
      </w:r>
      <w:r w:rsidRPr="008D797C">
        <w:t xml:space="preserve"> </w:t>
      </w:r>
      <w:r w:rsidRPr="00264D5D">
        <w:rPr>
          <w:lang w:val="ru-RU"/>
        </w:rPr>
        <w:t>о</w:t>
      </w:r>
      <w:r w:rsidRPr="008D797C">
        <w:t xml:space="preserve"> </w:t>
      </w:r>
      <w:r w:rsidRPr="00264D5D">
        <w:rPr>
          <w:lang w:val="ru-RU"/>
        </w:rPr>
        <w:t>соглашении</w:t>
      </w:r>
      <w:r w:rsidRPr="008D797C">
        <w:t>/</w:t>
      </w:r>
      <w:r w:rsidRPr="00264D5D">
        <w:rPr>
          <w:lang w:val="ru-RU"/>
        </w:rPr>
        <w:t>об</w:t>
      </w:r>
      <w:r w:rsidRPr="008D797C">
        <w:t xml:space="preserve"> </w:t>
      </w:r>
      <w:r w:rsidRPr="00264D5D">
        <w:rPr>
          <w:lang w:val="ru-RU"/>
        </w:rPr>
        <w:t>изменении</w:t>
      </w:r>
      <w:r w:rsidRPr="008D797C">
        <w:t xml:space="preserve"> </w:t>
      </w:r>
      <w:r w:rsidRPr="00264D5D">
        <w:rPr>
          <w:lang w:val="ru-RU"/>
        </w:rPr>
        <w:t>соглашения</w:t>
      </w:r>
      <w:r w:rsidRPr="008D797C">
        <w:t>»</w:t>
      </w:r>
      <w:bookmarkEnd w:id="1878"/>
      <w:bookmarkEnd w:id="1879"/>
      <w:bookmarkEnd w:id="1883"/>
      <w:bookmarkEnd w:id="1884"/>
    </w:p>
    <w:p w14:paraId="7B86E62B" w14:textId="77777777" w:rsidR="00AD1F54" w:rsidRPr="00264D5D" w:rsidRDefault="00941227">
      <w:pPr>
        <w:pStyle w:val="31"/>
        <w:rPr>
          <w:lang w:val="en-US"/>
        </w:rPr>
      </w:pPr>
      <w:bookmarkStart w:id="1885" w:name="_Toc219309655"/>
      <w:r w:rsidRPr="00264D5D">
        <w:t>Назначение</w:t>
      </w:r>
      <w:r w:rsidRPr="00264D5D">
        <w:rPr>
          <w:lang w:val="en-US"/>
        </w:rPr>
        <w:t xml:space="preserve"> </w:t>
      </w:r>
      <w:r w:rsidRPr="00264D5D">
        <w:t>и</w:t>
      </w:r>
      <w:r w:rsidRPr="00264D5D">
        <w:rPr>
          <w:lang w:val="en-US"/>
        </w:rPr>
        <w:t xml:space="preserve"> </w:t>
      </w:r>
      <w:r w:rsidRPr="00264D5D">
        <w:t>маршрут</w:t>
      </w:r>
      <w:r w:rsidRPr="00264D5D">
        <w:rPr>
          <w:lang w:val="en-US"/>
        </w:rPr>
        <w:t xml:space="preserve"> </w:t>
      </w:r>
      <w:r w:rsidRPr="00264D5D">
        <w:t>документа</w:t>
      </w:r>
      <w:bookmarkEnd w:id="1885"/>
    </w:p>
    <w:p w14:paraId="0138E8C0" w14:textId="77777777" w:rsidR="00AD1F54" w:rsidRPr="008D797C" w:rsidRDefault="00941227">
      <w:pPr>
        <w:pStyle w:val="OTRNormal"/>
        <w:rPr>
          <w:sz w:val="24"/>
          <w:szCs w:val="24"/>
          <w:lang w:val="en-US"/>
        </w:rPr>
      </w:pPr>
      <w:r w:rsidRPr="00264D5D">
        <w:rPr>
          <w:sz w:val="24"/>
          <w:szCs w:val="24"/>
        </w:rPr>
        <w:t>Документ</w:t>
      </w:r>
      <w:r w:rsidRPr="008D797C">
        <w:rPr>
          <w:sz w:val="24"/>
          <w:szCs w:val="24"/>
          <w:lang w:val="en-US"/>
        </w:rPr>
        <w:t xml:space="preserve"> «</w:t>
      </w:r>
      <w:r w:rsidRPr="00264D5D">
        <w:rPr>
          <w:sz w:val="24"/>
          <w:szCs w:val="24"/>
        </w:rPr>
        <w:t>Сведения</w:t>
      </w:r>
      <w:r w:rsidRPr="008D797C">
        <w:rPr>
          <w:sz w:val="24"/>
          <w:szCs w:val="24"/>
          <w:lang w:val="en-US"/>
        </w:rPr>
        <w:t xml:space="preserve"> </w:t>
      </w:r>
      <w:r w:rsidRPr="00264D5D">
        <w:rPr>
          <w:sz w:val="24"/>
          <w:szCs w:val="24"/>
        </w:rPr>
        <w:t>о</w:t>
      </w:r>
      <w:r w:rsidRPr="008D797C">
        <w:rPr>
          <w:sz w:val="24"/>
          <w:szCs w:val="24"/>
          <w:lang w:val="en-US"/>
        </w:rPr>
        <w:t xml:space="preserve"> </w:t>
      </w:r>
      <w:r w:rsidRPr="00264D5D">
        <w:rPr>
          <w:sz w:val="24"/>
          <w:szCs w:val="24"/>
        </w:rPr>
        <w:t>соглашении</w:t>
      </w:r>
      <w:r w:rsidRPr="008D797C">
        <w:rPr>
          <w:sz w:val="24"/>
          <w:szCs w:val="24"/>
          <w:lang w:val="en-US"/>
        </w:rPr>
        <w:t>/</w:t>
      </w:r>
      <w:bookmarkStart w:id="1886" w:name="OLE_LINK30"/>
      <w:bookmarkStart w:id="1887" w:name="OLE_LINK31"/>
      <w:bookmarkStart w:id="1888" w:name="OLE_LINK32"/>
      <w:bookmarkStart w:id="1889" w:name="OLE_LINK33"/>
      <w:r w:rsidRPr="00264D5D">
        <w:rPr>
          <w:sz w:val="24"/>
          <w:szCs w:val="24"/>
        </w:rPr>
        <w:t>об</w:t>
      </w:r>
      <w:r w:rsidRPr="008D797C">
        <w:rPr>
          <w:sz w:val="24"/>
          <w:szCs w:val="24"/>
          <w:lang w:val="en-US"/>
        </w:rPr>
        <w:t xml:space="preserve"> </w:t>
      </w:r>
      <w:r w:rsidRPr="00264D5D">
        <w:rPr>
          <w:sz w:val="24"/>
          <w:szCs w:val="24"/>
        </w:rPr>
        <w:t>изменении</w:t>
      </w:r>
      <w:r w:rsidRPr="008D797C">
        <w:rPr>
          <w:sz w:val="24"/>
          <w:szCs w:val="24"/>
          <w:lang w:val="en-US"/>
        </w:rPr>
        <w:t xml:space="preserve"> </w:t>
      </w:r>
      <w:r w:rsidRPr="00264D5D">
        <w:rPr>
          <w:sz w:val="24"/>
          <w:szCs w:val="24"/>
        </w:rPr>
        <w:t>соглашения</w:t>
      </w:r>
      <w:bookmarkEnd w:id="1886"/>
      <w:bookmarkEnd w:id="1887"/>
      <w:bookmarkEnd w:id="1888"/>
      <w:bookmarkEnd w:id="1889"/>
      <w:r w:rsidRPr="008D797C">
        <w:rPr>
          <w:sz w:val="24"/>
          <w:szCs w:val="24"/>
          <w:lang w:val="en-US"/>
        </w:rPr>
        <w:t xml:space="preserve">» </w:t>
      </w:r>
      <w:r w:rsidRPr="00264D5D">
        <w:rPr>
          <w:sz w:val="24"/>
          <w:szCs w:val="24"/>
        </w:rPr>
        <w:t>формируется</w:t>
      </w:r>
      <w:r w:rsidRPr="008D797C">
        <w:rPr>
          <w:sz w:val="24"/>
          <w:szCs w:val="24"/>
          <w:lang w:val="en-US"/>
        </w:rPr>
        <w:t xml:space="preserve"> </w:t>
      </w:r>
      <w:r w:rsidRPr="00264D5D">
        <w:rPr>
          <w:sz w:val="24"/>
          <w:szCs w:val="24"/>
        </w:rPr>
        <w:t>ГРБС</w:t>
      </w:r>
      <w:r w:rsidRPr="008D797C">
        <w:rPr>
          <w:sz w:val="24"/>
          <w:szCs w:val="24"/>
          <w:lang w:val="en-US"/>
        </w:rPr>
        <w:t xml:space="preserve">, </w:t>
      </w:r>
      <w:r w:rsidRPr="00264D5D">
        <w:rPr>
          <w:sz w:val="24"/>
          <w:szCs w:val="24"/>
        </w:rPr>
        <w:t>подведомственным</w:t>
      </w:r>
      <w:r w:rsidRPr="008D797C">
        <w:rPr>
          <w:sz w:val="24"/>
          <w:szCs w:val="24"/>
          <w:lang w:val="en-US"/>
        </w:rPr>
        <w:t xml:space="preserve"> </w:t>
      </w:r>
      <w:r w:rsidRPr="00264D5D">
        <w:rPr>
          <w:sz w:val="24"/>
          <w:szCs w:val="24"/>
        </w:rPr>
        <w:t>ГРБС</w:t>
      </w:r>
      <w:r w:rsidRPr="008D797C">
        <w:rPr>
          <w:sz w:val="24"/>
          <w:szCs w:val="24"/>
          <w:lang w:val="en-US"/>
        </w:rPr>
        <w:t xml:space="preserve"> </w:t>
      </w:r>
      <w:r w:rsidRPr="00264D5D">
        <w:rPr>
          <w:sz w:val="24"/>
          <w:szCs w:val="24"/>
        </w:rPr>
        <w:t>ПБС</w:t>
      </w:r>
      <w:r w:rsidRPr="008D797C">
        <w:rPr>
          <w:sz w:val="24"/>
          <w:szCs w:val="24"/>
          <w:lang w:val="en-US"/>
        </w:rPr>
        <w:t xml:space="preserve">, </w:t>
      </w:r>
      <w:r w:rsidRPr="00264D5D">
        <w:rPr>
          <w:sz w:val="24"/>
          <w:szCs w:val="24"/>
        </w:rPr>
        <w:t>которому</w:t>
      </w:r>
      <w:r w:rsidRPr="008D797C">
        <w:rPr>
          <w:sz w:val="24"/>
          <w:szCs w:val="24"/>
          <w:lang w:val="en-US"/>
        </w:rPr>
        <w:t xml:space="preserve"> </w:t>
      </w:r>
      <w:r w:rsidRPr="00264D5D">
        <w:rPr>
          <w:sz w:val="24"/>
          <w:szCs w:val="24"/>
        </w:rPr>
        <w:t>вышестоящим</w:t>
      </w:r>
      <w:r w:rsidRPr="008D797C">
        <w:rPr>
          <w:sz w:val="24"/>
          <w:szCs w:val="24"/>
          <w:lang w:val="en-US"/>
        </w:rPr>
        <w:t xml:space="preserve"> </w:t>
      </w:r>
      <w:r w:rsidRPr="00264D5D">
        <w:rPr>
          <w:sz w:val="24"/>
          <w:szCs w:val="24"/>
        </w:rPr>
        <w:t>ГРБС</w:t>
      </w:r>
      <w:r w:rsidRPr="008D797C">
        <w:rPr>
          <w:sz w:val="24"/>
          <w:szCs w:val="24"/>
          <w:lang w:val="en-US"/>
        </w:rPr>
        <w:t xml:space="preserve"> </w:t>
      </w:r>
      <w:r w:rsidRPr="00264D5D">
        <w:rPr>
          <w:sz w:val="24"/>
          <w:szCs w:val="24"/>
        </w:rPr>
        <w:t>переданы</w:t>
      </w:r>
      <w:r w:rsidRPr="008D797C">
        <w:rPr>
          <w:sz w:val="24"/>
          <w:szCs w:val="24"/>
          <w:lang w:val="en-US"/>
        </w:rPr>
        <w:t xml:space="preserve"> </w:t>
      </w:r>
      <w:r w:rsidRPr="00264D5D">
        <w:rPr>
          <w:sz w:val="24"/>
          <w:szCs w:val="24"/>
        </w:rPr>
        <w:t>полномочия</w:t>
      </w:r>
      <w:r w:rsidRPr="008D797C">
        <w:rPr>
          <w:sz w:val="24"/>
          <w:szCs w:val="24"/>
          <w:lang w:val="en-US"/>
        </w:rPr>
        <w:t xml:space="preserve"> </w:t>
      </w:r>
      <w:r w:rsidRPr="00264D5D">
        <w:rPr>
          <w:sz w:val="24"/>
          <w:szCs w:val="24"/>
        </w:rPr>
        <w:t>по</w:t>
      </w:r>
      <w:r w:rsidRPr="008D797C">
        <w:rPr>
          <w:sz w:val="24"/>
          <w:szCs w:val="24"/>
          <w:lang w:val="en-US"/>
        </w:rPr>
        <w:t xml:space="preserve"> </w:t>
      </w:r>
      <w:r w:rsidRPr="00264D5D">
        <w:rPr>
          <w:sz w:val="24"/>
          <w:szCs w:val="24"/>
        </w:rPr>
        <w:t>заключению</w:t>
      </w:r>
      <w:r w:rsidRPr="008D797C">
        <w:rPr>
          <w:sz w:val="24"/>
          <w:szCs w:val="24"/>
          <w:lang w:val="en-US"/>
        </w:rPr>
        <w:t xml:space="preserve"> </w:t>
      </w:r>
      <w:r w:rsidRPr="00264D5D">
        <w:rPr>
          <w:sz w:val="24"/>
          <w:szCs w:val="24"/>
        </w:rPr>
        <w:t>соглашения</w:t>
      </w:r>
      <w:r w:rsidRPr="008D797C">
        <w:rPr>
          <w:sz w:val="24"/>
          <w:szCs w:val="24"/>
          <w:lang w:val="en-US"/>
        </w:rPr>
        <w:t xml:space="preserve">, </w:t>
      </w:r>
      <w:r w:rsidRPr="00264D5D">
        <w:rPr>
          <w:sz w:val="24"/>
          <w:szCs w:val="24"/>
        </w:rPr>
        <w:t>и</w:t>
      </w:r>
      <w:r w:rsidRPr="008D797C">
        <w:rPr>
          <w:sz w:val="24"/>
          <w:szCs w:val="24"/>
          <w:lang w:val="en-US"/>
        </w:rPr>
        <w:t xml:space="preserve"> </w:t>
      </w:r>
      <w:r w:rsidRPr="00264D5D">
        <w:rPr>
          <w:sz w:val="24"/>
          <w:szCs w:val="24"/>
        </w:rPr>
        <w:t>предоставляется</w:t>
      </w:r>
      <w:r w:rsidRPr="008D797C">
        <w:rPr>
          <w:sz w:val="24"/>
          <w:szCs w:val="24"/>
          <w:lang w:val="en-US"/>
        </w:rPr>
        <w:t xml:space="preserve"> </w:t>
      </w:r>
      <w:r w:rsidRPr="00264D5D">
        <w:rPr>
          <w:sz w:val="24"/>
          <w:szCs w:val="24"/>
        </w:rPr>
        <w:t>с</w:t>
      </w:r>
      <w:r w:rsidRPr="008D797C">
        <w:rPr>
          <w:sz w:val="24"/>
          <w:szCs w:val="24"/>
          <w:lang w:val="en-US"/>
        </w:rPr>
        <w:t xml:space="preserve"> </w:t>
      </w:r>
      <w:r w:rsidRPr="00264D5D">
        <w:rPr>
          <w:sz w:val="24"/>
          <w:szCs w:val="24"/>
        </w:rPr>
        <w:t>приложением</w:t>
      </w:r>
      <w:r w:rsidRPr="008D797C">
        <w:rPr>
          <w:sz w:val="24"/>
          <w:szCs w:val="24"/>
          <w:lang w:val="en-US"/>
        </w:rPr>
        <w:t xml:space="preserve"> </w:t>
      </w:r>
      <w:r w:rsidRPr="00264D5D">
        <w:rPr>
          <w:sz w:val="24"/>
          <w:szCs w:val="24"/>
        </w:rPr>
        <w:t>электронной</w:t>
      </w:r>
      <w:r w:rsidRPr="008D797C">
        <w:rPr>
          <w:sz w:val="24"/>
          <w:szCs w:val="24"/>
          <w:lang w:val="en-US"/>
        </w:rPr>
        <w:t xml:space="preserve"> </w:t>
      </w:r>
      <w:r w:rsidRPr="00264D5D">
        <w:rPr>
          <w:sz w:val="24"/>
          <w:szCs w:val="24"/>
        </w:rPr>
        <w:t>копии</w:t>
      </w:r>
      <w:r w:rsidRPr="008D797C">
        <w:rPr>
          <w:sz w:val="24"/>
          <w:szCs w:val="24"/>
          <w:lang w:val="en-US"/>
        </w:rPr>
        <w:t xml:space="preserve"> </w:t>
      </w:r>
      <w:r w:rsidRPr="00264D5D">
        <w:rPr>
          <w:sz w:val="24"/>
          <w:szCs w:val="24"/>
        </w:rPr>
        <w:t>документа</w:t>
      </w:r>
      <w:r w:rsidRPr="008D797C">
        <w:rPr>
          <w:sz w:val="24"/>
          <w:szCs w:val="24"/>
          <w:lang w:val="en-US"/>
        </w:rPr>
        <w:t>-</w:t>
      </w:r>
      <w:r w:rsidRPr="00264D5D">
        <w:rPr>
          <w:sz w:val="24"/>
          <w:szCs w:val="24"/>
        </w:rPr>
        <w:t>основания</w:t>
      </w:r>
      <w:r w:rsidRPr="008D797C">
        <w:rPr>
          <w:sz w:val="24"/>
          <w:szCs w:val="24"/>
          <w:lang w:val="en-US"/>
        </w:rPr>
        <w:t xml:space="preserve"> </w:t>
      </w:r>
      <w:r w:rsidRPr="00264D5D">
        <w:rPr>
          <w:sz w:val="24"/>
          <w:szCs w:val="24"/>
        </w:rPr>
        <w:t>в</w:t>
      </w:r>
      <w:r w:rsidRPr="008D797C">
        <w:rPr>
          <w:sz w:val="24"/>
          <w:szCs w:val="24"/>
          <w:lang w:val="en-US"/>
        </w:rPr>
        <w:t xml:space="preserve"> </w:t>
      </w:r>
      <w:r w:rsidRPr="00264D5D">
        <w:rPr>
          <w:sz w:val="24"/>
          <w:szCs w:val="24"/>
        </w:rPr>
        <w:t>ТОФК</w:t>
      </w:r>
      <w:r w:rsidRPr="008D797C">
        <w:rPr>
          <w:sz w:val="24"/>
          <w:szCs w:val="24"/>
          <w:lang w:val="en-US"/>
        </w:rPr>
        <w:t xml:space="preserve"> </w:t>
      </w:r>
      <w:r w:rsidRPr="00264D5D">
        <w:rPr>
          <w:sz w:val="24"/>
          <w:szCs w:val="24"/>
        </w:rPr>
        <w:t>по</w:t>
      </w:r>
      <w:r w:rsidRPr="008D797C">
        <w:rPr>
          <w:sz w:val="24"/>
          <w:szCs w:val="24"/>
          <w:lang w:val="en-US"/>
        </w:rPr>
        <w:t xml:space="preserve"> </w:t>
      </w:r>
      <w:r w:rsidRPr="00264D5D">
        <w:rPr>
          <w:sz w:val="24"/>
          <w:szCs w:val="24"/>
        </w:rPr>
        <w:t>месту</w:t>
      </w:r>
      <w:r w:rsidRPr="008D797C">
        <w:rPr>
          <w:sz w:val="24"/>
          <w:szCs w:val="24"/>
          <w:lang w:val="en-US"/>
        </w:rPr>
        <w:t xml:space="preserve"> </w:t>
      </w:r>
      <w:r w:rsidRPr="00264D5D">
        <w:rPr>
          <w:sz w:val="24"/>
          <w:szCs w:val="24"/>
        </w:rPr>
        <w:t>открытия</w:t>
      </w:r>
      <w:r w:rsidRPr="008D797C">
        <w:rPr>
          <w:sz w:val="24"/>
          <w:szCs w:val="24"/>
          <w:lang w:val="en-US"/>
        </w:rPr>
        <w:t xml:space="preserve"> </w:t>
      </w:r>
      <w:r w:rsidRPr="00264D5D">
        <w:rPr>
          <w:sz w:val="24"/>
          <w:szCs w:val="24"/>
        </w:rPr>
        <w:t>лицевого</w:t>
      </w:r>
      <w:r w:rsidRPr="008D797C">
        <w:rPr>
          <w:sz w:val="24"/>
          <w:szCs w:val="24"/>
          <w:lang w:val="en-US"/>
        </w:rPr>
        <w:t xml:space="preserve"> </w:t>
      </w:r>
      <w:r w:rsidRPr="00264D5D">
        <w:rPr>
          <w:sz w:val="24"/>
          <w:szCs w:val="24"/>
        </w:rPr>
        <w:t>счета</w:t>
      </w:r>
      <w:r w:rsidRPr="008D797C">
        <w:rPr>
          <w:sz w:val="24"/>
          <w:szCs w:val="24"/>
          <w:lang w:val="en-US"/>
        </w:rPr>
        <w:t xml:space="preserve"> </w:t>
      </w:r>
      <w:r w:rsidRPr="00264D5D">
        <w:rPr>
          <w:sz w:val="24"/>
          <w:szCs w:val="24"/>
        </w:rPr>
        <w:t>ПБС</w:t>
      </w:r>
      <w:r w:rsidRPr="008D797C">
        <w:rPr>
          <w:sz w:val="24"/>
          <w:szCs w:val="24"/>
          <w:lang w:val="en-US"/>
        </w:rPr>
        <w:t xml:space="preserve"> </w:t>
      </w:r>
      <w:r w:rsidRPr="00264D5D">
        <w:rPr>
          <w:sz w:val="24"/>
          <w:szCs w:val="24"/>
        </w:rPr>
        <w:t>для</w:t>
      </w:r>
      <w:r w:rsidRPr="008D797C">
        <w:rPr>
          <w:sz w:val="24"/>
          <w:szCs w:val="24"/>
          <w:lang w:val="en-US"/>
        </w:rPr>
        <w:t xml:space="preserve"> </w:t>
      </w:r>
      <w:r w:rsidRPr="00264D5D">
        <w:rPr>
          <w:sz w:val="24"/>
          <w:szCs w:val="24"/>
        </w:rPr>
        <w:t>постановки</w:t>
      </w:r>
      <w:r w:rsidRPr="008D797C">
        <w:rPr>
          <w:sz w:val="24"/>
          <w:szCs w:val="24"/>
          <w:lang w:val="en-US"/>
        </w:rPr>
        <w:t xml:space="preserve"> </w:t>
      </w:r>
      <w:r w:rsidRPr="00264D5D">
        <w:rPr>
          <w:sz w:val="24"/>
          <w:szCs w:val="24"/>
        </w:rPr>
        <w:t>на</w:t>
      </w:r>
      <w:r w:rsidRPr="008D797C">
        <w:rPr>
          <w:sz w:val="24"/>
          <w:szCs w:val="24"/>
          <w:lang w:val="en-US"/>
        </w:rPr>
        <w:t xml:space="preserve"> </w:t>
      </w:r>
      <w:r w:rsidRPr="00264D5D">
        <w:rPr>
          <w:sz w:val="24"/>
          <w:szCs w:val="24"/>
        </w:rPr>
        <w:t>учет</w:t>
      </w:r>
      <w:r w:rsidRPr="008D797C">
        <w:rPr>
          <w:sz w:val="24"/>
          <w:szCs w:val="24"/>
          <w:lang w:val="en-US"/>
        </w:rPr>
        <w:t xml:space="preserve"> </w:t>
      </w:r>
      <w:r w:rsidRPr="00264D5D">
        <w:rPr>
          <w:sz w:val="24"/>
          <w:szCs w:val="24"/>
        </w:rPr>
        <w:t>бюджетного</w:t>
      </w:r>
      <w:r w:rsidRPr="008D797C">
        <w:rPr>
          <w:sz w:val="24"/>
          <w:szCs w:val="24"/>
          <w:lang w:val="en-US"/>
        </w:rPr>
        <w:t xml:space="preserve"> </w:t>
      </w:r>
      <w:r w:rsidRPr="00264D5D">
        <w:rPr>
          <w:sz w:val="24"/>
          <w:szCs w:val="24"/>
        </w:rPr>
        <w:t>обязательства</w:t>
      </w:r>
      <w:r w:rsidRPr="008D797C">
        <w:rPr>
          <w:sz w:val="24"/>
          <w:szCs w:val="24"/>
          <w:lang w:val="en-US"/>
        </w:rPr>
        <w:t xml:space="preserve"> </w:t>
      </w:r>
      <w:r w:rsidRPr="00264D5D">
        <w:rPr>
          <w:sz w:val="24"/>
          <w:szCs w:val="24"/>
        </w:rPr>
        <w:t>и</w:t>
      </w:r>
      <w:r w:rsidRPr="008D797C">
        <w:rPr>
          <w:sz w:val="24"/>
          <w:szCs w:val="24"/>
          <w:lang w:val="en-US"/>
        </w:rPr>
        <w:t xml:space="preserve"> </w:t>
      </w:r>
      <w:r w:rsidRPr="00264D5D">
        <w:rPr>
          <w:sz w:val="24"/>
          <w:szCs w:val="24"/>
        </w:rPr>
        <w:t>включения</w:t>
      </w:r>
      <w:r w:rsidRPr="008D797C">
        <w:rPr>
          <w:sz w:val="24"/>
          <w:szCs w:val="24"/>
          <w:lang w:val="en-US"/>
        </w:rPr>
        <w:t xml:space="preserve"> </w:t>
      </w:r>
      <w:r w:rsidRPr="00264D5D">
        <w:rPr>
          <w:sz w:val="24"/>
          <w:szCs w:val="24"/>
        </w:rPr>
        <w:t>сведений</w:t>
      </w:r>
      <w:r w:rsidRPr="008D797C">
        <w:rPr>
          <w:sz w:val="24"/>
          <w:szCs w:val="24"/>
          <w:lang w:val="en-US"/>
        </w:rPr>
        <w:t xml:space="preserve"> </w:t>
      </w:r>
      <w:r w:rsidRPr="00264D5D">
        <w:rPr>
          <w:sz w:val="24"/>
          <w:szCs w:val="24"/>
        </w:rPr>
        <w:t>о</w:t>
      </w:r>
      <w:r w:rsidRPr="008D797C">
        <w:rPr>
          <w:sz w:val="24"/>
          <w:szCs w:val="24"/>
          <w:lang w:val="en-US"/>
        </w:rPr>
        <w:t xml:space="preserve"> </w:t>
      </w:r>
      <w:r w:rsidRPr="00264D5D">
        <w:rPr>
          <w:sz w:val="24"/>
          <w:szCs w:val="24"/>
        </w:rPr>
        <w:t>соглашении</w:t>
      </w:r>
      <w:r w:rsidRPr="008D797C">
        <w:rPr>
          <w:sz w:val="24"/>
          <w:szCs w:val="24"/>
          <w:lang w:val="en-US"/>
        </w:rPr>
        <w:t xml:space="preserve"> </w:t>
      </w:r>
      <w:r w:rsidRPr="00264D5D">
        <w:rPr>
          <w:sz w:val="24"/>
          <w:szCs w:val="24"/>
        </w:rPr>
        <w:t>в</w:t>
      </w:r>
      <w:r w:rsidRPr="008D797C">
        <w:rPr>
          <w:sz w:val="24"/>
          <w:szCs w:val="24"/>
          <w:lang w:val="en-US"/>
        </w:rPr>
        <w:t xml:space="preserve"> </w:t>
      </w:r>
      <w:r w:rsidRPr="00264D5D">
        <w:rPr>
          <w:sz w:val="24"/>
          <w:szCs w:val="24"/>
        </w:rPr>
        <w:t>реестр</w:t>
      </w:r>
      <w:r w:rsidRPr="008D797C">
        <w:rPr>
          <w:sz w:val="24"/>
          <w:szCs w:val="24"/>
          <w:lang w:val="en-US"/>
        </w:rPr>
        <w:t xml:space="preserve"> </w:t>
      </w:r>
      <w:r w:rsidRPr="00264D5D">
        <w:rPr>
          <w:sz w:val="24"/>
          <w:szCs w:val="24"/>
        </w:rPr>
        <w:t>соглашений</w:t>
      </w:r>
      <w:r w:rsidRPr="008D797C">
        <w:rPr>
          <w:sz w:val="24"/>
          <w:szCs w:val="24"/>
          <w:lang w:val="en-US"/>
        </w:rPr>
        <w:t>.</w:t>
      </w:r>
    </w:p>
    <w:p w14:paraId="7F45BB3A" w14:textId="77777777" w:rsidR="00AD1F54" w:rsidRPr="008D797C" w:rsidRDefault="00941227">
      <w:pPr>
        <w:pStyle w:val="OTRNormal"/>
        <w:rPr>
          <w:sz w:val="24"/>
          <w:szCs w:val="24"/>
          <w:lang w:val="en-US"/>
        </w:rPr>
      </w:pPr>
      <w:r w:rsidRPr="00264D5D">
        <w:rPr>
          <w:sz w:val="24"/>
          <w:szCs w:val="24"/>
        </w:rPr>
        <w:lastRenderedPageBreak/>
        <w:t>Клиент</w:t>
      </w:r>
      <w:r w:rsidRPr="008D797C">
        <w:rPr>
          <w:sz w:val="24"/>
          <w:szCs w:val="24"/>
          <w:lang w:val="en-US"/>
        </w:rPr>
        <w:t xml:space="preserve"> </w:t>
      </w:r>
      <w:r w:rsidRPr="00264D5D">
        <w:rPr>
          <w:sz w:val="24"/>
          <w:szCs w:val="24"/>
        </w:rPr>
        <w:t>вправе</w:t>
      </w:r>
      <w:r w:rsidRPr="008D797C">
        <w:rPr>
          <w:sz w:val="24"/>
          <w:szCs w:val="24"/>
          <w:lang w:val="en-US"/>
        </w:rPr>
        <w:t xml:space="preserve"> </w:t>
      </w:r>
      <w:r w:rsidRPr="00264D5D">
        <w:rPr>
          <w:sz w:val="24"/>
          <w:szCs w:val="24"/>
        </w:rPr>
        <w:t>в</w:t>
      </w:r>
      <w:r w:rsidRPr="008D797C">
        <w:rPr>
          <w:sz w:val="24"/>
          <w:szCs w:val="24"/>
          <w:lang w:val="en-US"/>
        </w:rPr>
        <w:t xml:space="preserve"> </w:t>
      </w:r>
      <w:r w:rsidRPr="00264D5D">
        <w:rPr>
          <w:sz w:val="24"/>
          <w:szCs w:val="24"/>
        </w:rPr>
        <w:t>течение</w:t>
      </w:r>
      <w:r w:rsidRPr="008D797C">
        <w:rPr>
          <w:sz w:val="24"/>
          <w:szCs w:val="24"/>
          <w:lang w:val="en-US"/>
        </w:rPr>
        <w:t xml:space="preserve"> </w:t>
      </w:r>
      <w:r w:rsidRPr="00264D5D">
        <w:rPr>
          <w:sz w:val="24"/>
          <w:szCs w:val="24"/>
        </w:rPr>
        <w:t>установленного</w:t>
      </w:r>
      <w:r w:rsidRPr="008D797C">
        <w:rPr>
          <w:sz w:val="24"/>
          <w:szCs w:val="24"/>
          <w:lang w:val="en-US"/>
        </w:rPr>
        <w:t xml:space="preserve"> </w:t>
      </w:r>
      <w:r w:rsidRPr="00264D5D">
        <w:rPr>
          <w:sz w:val="24"/>
          <w:szCs w:val="24"/>
        </w:rPr>
        <w:t>срока</w:t>
      </w:r>
      <w:r w:rsidRPr="008D797C">
        <w:rPr>
          <w:sz w:val="24"/>
          <w:szCs w:val="24"/>
          <w:lang w:val="en-US"/>
        </w:rPr>
        <w:t xml:space="preserve"> </w:t>
      </w:r>
      <w:r w:rsidRPr="00264D5D">
        <w:rPr>
          <w:sz w:val="24"/>
          <w:szCs w:val="24"/>
        </w:rPr>
        <w:t>предоставить</w:t>
      </w:r>
      <w:r w:rsidRPr="008D797C">
        <w:rPr>
          <w:sz w:val="24"/>
          <w:szCs w:val="24"/>
          <w:lang w:val="en-US"/>
        </w:rPr>
        <w:t xml:space="preserve"> «</w:t>
      </w:r>
      <w:r w:rsidRPr="00264D5D">
        <w:rPr>
          <w:sz w:val="24"/>
          <w:szCs w:val="24"/>
        </w:rPr>
        <w:t>Сведения</w:t>
      </w:r>
      <w:r w:rsidRPr="008D797C">
        <w:rPr>
          <w:sz w:val="24"/>
          <w:szCs w:val="24"/>
          <w:lang w:val="en-US"/>
        </w:rPr>
        <w:t xml:space="preserve"> </w:t>
      </w:r>
      <w:r w:rsidRPr="00264D5D">
        <w:rPr>
          <w:sz w:val="24"/>
          <w:szCs w:val="24"/>
        </w:rPr>
        <w:t>о</w:t>
      </w:r>
      <w:r w:rsidRPr="008D797C">
        <w:rPr>
          <w:sz w:val="24"/>
          <w:szCs w:val="24"/>
          <w:lang w:val="en-US"/>
        </w:rPr>
        <w:t xml:space="preserve"> </w:t>
      </w:r>
      <w:r w:rsidRPr="00264D5D">
        <w:rPr>
          <w:sz w:val="24"/>
          <w:szCs w:val="24"/>
        </w:rPr>
        <w:t>соглашении</w:t>
      </w:r>
      <w:r w:rsidRPr="008D797C">
        <w:rPr>
          <w:sz w:val="24"/>
          <w:szCs w:val="24"/>
          <w:lang w:val="en-US"/>
        </w:rPr>
        <w:t xml:space="preserve">/ </w:t>
      </w:r>
      <w:r w:rsidRPr="00264D5D">
        <w:rPr>
          <w:sz w:val="24"/>
          <w:szCs w:val="24"/>
        </w:rPr>
        <w:t>об</w:t>
      </w:r>
      <w:r w:rsidRPr="008D797C">
        <w:rPr>
          <w:sz w:val="24"/>
          <w:szCs w:val="24"/>
          <w:lang w:val="en-US"/>
        </w:rPr>
        <w:t xml:space="preserve"> </w:t>
      </w:r>
      <w:r w:rsidRPr="00264D5D">
        <w:rPr>
          <w:sz w:val="24"/>
          <w:szCs w:val="24"/>
        </w:rPr>
        <w:t>изменении</w:t>
      </w:r>
      <w:r w:rsidRPr="008D797C">
        <w:rPr>
          <w:sz w:val="24"/>
          <w:szCs w:val="24"/>
          <w:lang w:val="en-US"/>
        </w:rPr>
        <w:t xml:space="preserve"> </w:t>
      </w:r>
      <w:r w:rsidRPr="00264D5D">
        <w:rPr>
          <w:sz w:val="24"/>
          <w:szCs w:val="24"/>
        </w:rPr>
        <w:t>соглашения</w:t>
      </w:r>
      <w:r w:rsidRPr="008D797C">
        <w:rPr>
          <w:sz w:val="24"/>
          <w:szCs w:val="24"/>
          <w:lang w:val="en-US"/>
        </w:rPr>
        <w:t xml:space="preserve">» </w:t>
      </w:r>
      <w:r w:rsidRPr="00264D5D">
        <w:rPr>
          <w:sz w:val="24"/>
          <w:szCs w:val="24"/>
        </w:rPr>
        <w:t>вместе</w:t>
      </w:r>
      <w:r w:rsidRPr="008D797C">
        <w:rPr>
          <w:sz w:val="24"/>
          <w:szCs w:val="24"/>
          <w:lang w:val="en-US"/>
        </w:rPr>
        <w:t xml:space="preserve"> </w:t>
      </w:r>
      <w:r w:rsidRPr="00264D5D">
        <w:rPr>
          <w:sz w:val="24"/>
          <w:szCs w:val="24"/>
        </w:rPr>
        <w:t>с</w:t>
      </w:r>
      <w:r w:rsidRPr="008D797C">
        <w:rPr>
          <w:sz w:val="24"/>
          <w:szCs w:val="24"/>
          <w:lang w:val="en-US"/>
        </w:rPr>
        <w:t xml:space="preserve"> </w:t>
      </w:r>
      <w:r w:rsidRPr="00264D5D">
        <w:rPr>
          <w:sz w:val="24"/>
          <w:szCs w:val="24"/>
        </w:rPr>
        <w:t>документами</w:t>
      </w:r>
      <w:r w:rsidRPr="008D797C">
        <w:rPr>
          <w:sz w:val="24"/>
          <w:szCs w:val="24"/>
          <w:lang w:val="en-US"/>
        </w:rPr>
        <w:t xml:space="preserve">, </w:t>
      </w:r>
      <w:r w:rsidRPr="00264D5D">
        <w:rPr>
          <w:sz w:val="24"/>
          <w:szCs w:val="24"/>
        </w:rPr>
        <w:t>представленными</w:t>
      </w:r>
      <w:r w:rsidRPr="008D797C">
        <w:rPr>
          <w:sz w:val="24"/>
          <w:szCs w:val="24"/>
          <w:lang w:val="en-US"/>
        </w:rPr>
        <w:t xml:space="preserve"> </w:t>
      </w:r>
      <w:r w:rsidRPr="00264D5D">
        <w:rPr>
          <w:sz w:val="24"/>
          <w:szCs w:val="24"/>
        </w:rPr>
        <w:t>для</w:t>
      </w:r>
      <w:r w:rsidRPr="008D797C">
        <w:rPr>
          <w:sz w:val="24"/>
          <w:szCs w:val="24"/>
          <w:lang w:val="en-US"/>
        </w:rPr>
        <w:t xml:space="preserve"> </w:t>
      </w:r>
      <w:r w:rsidRPr="00264D5D">
        <w:rPr>
          <w:sz w:val="24"/>
          <w:szCs w:val="24"/>
        </w:rPr>
        <w:t>перечисления</w:t>
      </w:r>
      <w:r w:rsidRPr="008D797C">
        <w:rPr>
          <w:sz w:val="24"/>
          <w:szCs w:val="24"/>
          <w:lang w:val="en-US"/>
        </w:rPr>
        <w:t xml:space="preserve"> </w:t>
      </w:r>
      <w:r w:rsidRPr="00264D5D">
        <w:rPr>
          <w:sz w:val="24"/>
          <w:szCs w:val="24"/>
        </w:rPr>
        <w:t>средств</w:t>
      </w:r>
      <w:r w:rsidRPr="008D797C">
        <w:rPr>
          <w:sz w:val="24"/>
          <w:szCs w:val="24"/>
          <w:lang w:val="en-US"/>
        </w:rPr>
        <w:t xml:space="preserve"> </w:t>
      </w:r>
      <w:r w:rsidRPr="00264D5D">
        <w:rPr>
          <w:sz w:val="24"/>
          <w:szCs w:val="24"/>
        </w:rPr>
        <w:t>по</w:t>
      </w:r>
      <w:r w:rsidRPr="008D797C">
        <w:rPr>
          <w:sz w:val="24"/>
          <w:szCs w:val="24"/>
          <w:lang w:val="en-US"/>
        </w:rPr>
        <w:t xml:space="preserve"> </w:t>
      </w:r>
      <w:r w:rsidRPr="00264D5D">
        <w:rPr>
          <w:sz w:val="24"/>
          <w:szCs w:val="24"/>
        </w:rPr>
        <w:t>соответствующему</w:t>
      </w:r>
      <w:r w:rsidRPr="008D797C">
        <w:rPr>
          <w:sz w:val="24"/>
          <w:szCs w:val="24"/>
          <w:lang w:val="en-US"/>
        </w:rPr>
        <w:t xml:space="preserve"> </w:t>
      </w:r>
      <w:r w:rsidRPr="00264D5D">
        <w:rPr>
          <w:sz w:val="24"/>
          <w:szCs w:val="24"/>
        </w:rPr>
        <w:t>соглашению</w:t>
      </w:r>
      <w:r w:rsidRPr="008D797C">
        <w:rPr>
          <w:sz w:val="24"/>
          <w:szCs w:val="24"/>
          <w:lang w:val="en-US"/>
        </w:rPr>
        <w:t>.</w:t>
      </w:r>
    </w:p>
    <w:p w14:paraId="312CAA17" w14:textId="6FB714E0" w:rsidR="00AD1F54" w:rsidRPr="008D797C" w:rsidRDefault="00941227">
      <w:pPr>
        <w:pStyle w:val="GOSTNameTable"/>
        <w:numPr>
          <w:ilvl w:val="0"/>
          <w:numId w:val="2"/>
        </w:numPr>
        <w:ind w:left="425" w:hanging="357"/>
        <w:jc w:val="both"/>
        <w:rPr>
          <w:rFonts w:eastAsia="Calibri"/>
          <w:szCs w:val="24"/>
          <w:lang w:val="en-US"/>
        </w:rPr>
      </w:pPr>
      <w:r w:rsidRPr="00264D5D">
        <w:rPr>
          <w:rFonts w:eastAsia="Calibri"/>
          <w:szCs w:val="24"/>
        </w:rPr>
        <w:fldChar w:fldCharType="begin"/>
      </w:r>
      <w:r w:rsidRPr="008D797C">
        <w:rPr>
          <w:rFonts w:eastAsia="Calibri"/>
          <w:szCs w:val="24"/>
          <w:lang w:val="en-US"/>
        </w:rPr>
        <w:instrText xml:space="preserve"> </w:instrText>
      </w:r>
      <w:r w:rsidRPr="00264D5D">
        <w:rPr>
          <w:rFonts w:eastAsia="Calibri"/>
          <w:szCs w:val="24"/>
          <w:lang w:val="en-US"/>
        </w:rPr>
        <w:instrText>SEQ</w:instrText>
      </w:r>
      <w:r w:rsidRPr="008D797C">
        <w:rPr>
          <w:rFonts w:eastAsia="Calibri"/>
          <w:szCs w:val="24"/>
          <w:lang w:val="en-US"/>
        </w:rPr>
        <w:instrText xml:space="preserve"> </w:instrText>
      </w:r>
      <w:r w:rsidRPr="00264D5D">
        <w:rPr>
          <w:rFonts w:eastAsia="Calibri"/>
          <w:szCs w:val="24"/>
        </w:rPr>
        <w:instrText>Таблица</w:instrText>
      </w:r>
      <w:r w:rsidRPr="008D797C">
        <w:rPr>
          <w:rFonts w:eastAsia="Calibri"/>
          <w:szCs w:val="24"/>
          <w:lang w:val="en-US"/>
        </w:rPr>
        <w:instrText xml:space="preserve"> \* </w:instrText>
      </w:r>
      <w:r w:rsidRPr="00264D5D">
        <w:rPr>
          <w:rFonts w:eastAsia="Calibri"/>
          <w:szCs w:val="24"/>
          <w:lang w:val="en-US"/>
        </w:rPr>
        <w:instrText>ARABIC</w:instrText>
      </w:r>
      <w:r w:rsidRPr="008D797C">
        <w:rPr>
          <w:rFonts w:eastAsia="Calibri"/>
          <w:szCs w:val="24"/>
          <w:lang w:val="en-US"/>
        </w:rPr>
        <w:instrText xml:space="preserve"> </w:instrText>
      </w:r>
      <w:r w:rsidRPr="00264D5D">
        <w:rPr>
          <w:rFonts w:eastAsia="Calibri"/>
          <w:szCs w:val="24"/>
        </w:rPr>
        <w:fldChar w:fldCharType="separate"/>
      </w:r>
      <w:bookmarkStart w:id="1890" w:name="_Toc30503373"/>
      <w:bookmarkStart w:id="1891" w:name="_Toc30507971"/>
      <w:bookmarkStart w:id="1892" w:name="_Toc219309223"/>
      <w:r w:rsidR="008D797C">
        <w:rPr>
          <w:rFonts w:eastAsia="Calibri"/>
          <w:noProof/>
          <w:szCs w:val="24"/>
          <w:lang w:val="en-US"/>
        </w:rPr>
        <w:t>193</w:t>
      </w:r>
      <w:r w:rsidRPr="00264D5D">
        <w:rPr>
          <w:rFonts w:eastAsia="Calibri"/>
          <w:szCs w:val="24"/>
        </w:rPr>
        <w:fldChar w:fldCharType="end"/>
      </w:r>
      <w:r w:rsidRPr="008D797C">
        <w:rPr>
          <w:rFonts w:eastAsia="Calibri"/>
          <w:szCs w:val="24"/>
          <w:lang w:val="en-US"/>
        </w:rPr>
        <w:t xml:space="preserve"> – </w:t>
      </w:r>
      <w:r w:rsidRPr="00264D5D">
        <w:rPr>
          <w:rFonts w:eastAsia="Calibri"/>
          <w:szCs w:val="24"/>
        </w:rPr>
        <w:t>Маршрут</w:t>
      </w:r>
      <w:r w:rsidRPr="008D797C">
        <w:rPr>
          <w:rFonts w:eastAsia="Calibri"/>
          <w:szCs w:val="24"/>
          <w:lang w:val="en-US"/>
        </w:rPr>
        <w:t xml:space="preserve"> </w:t>
      </w:r>
      <w:r w:rsidRPr="00264D5D">
        <w:rPr>
          <w:rFonts w:eastAsia="Calibri"/>
          <w:szCs w:val="24"/>
        </w:rPr>
        <w:t>документа</w:t>
      </w:r>
      <w:r w:rsidRPr="008D797C">
        <w:rPr>
          <w:rFonts w:eastAsia="Calibri"/>
          <w:szCs w:val="24"/>
          <w:lang w:val="en-US"/>
        </w:rPr>
        <w:t xml:space="preserve"> «</w:t>
      </w:r>
      <w:r w:rsidRPr="00264D5D">
        <w:rPr>
          <w:rFonts w:eastAsia="Calibri"/>
          <w:szCs w:val="24"/>
        </w:rPr>
        <w:t>Сведения</w:t>
      </w:r>
      <w:r w:rsidRPr="008D797C">
        <w:rPr>
          <w:rFonts w:eastAsia="Calibri"/>
          <w:szCs w:val="24"/>
          <w:lang w:val="en-US"/>
        </w:rPr>
        <w:t xml:space="preserve"> </w:t>
      </w:r>
      <w:r w:rsidRPr="00264D5D">
        <w:rPr>
          <w:rFonts w:eastAsia="Calibri"/>
          <w:szCs w:val="24"/>
        </w:rPr>
        <w:t>о</w:t>
      </w:r>
      <w:r w:rsidRPr="008D797C">
        <w:rPr>
          <w:rFonts w:eastAsia="Calibri"/>
          <w:szCs w:val="24"/>
          <w:lang w:val="en-US"/>
        </w:rPr>
        <w:t xml:space="preserve"> </w:t>
      </w:r>
      <w:r w:rsidRPr="00264D5D">
        <w:rPr>
          <w:rFonts w:eastAsia="Calibri"/>
          <w:szCs w:val="24"/>
        </w:rPr>
        <w:t>соглашении</w:t>
      </w:r>
      <w:r w:rsidRPr="008D797C">
        <w:rPr>
          <w:rFonts w:eastAsia="Calibri"/>
          <w:szCs w:val="24"/>
          <w:lang w:val="en-US"/>
        </w:rPr>
        <w:t>/</w:t>
      </w:r>
      <w:r w:rsidRPr="00264D5D">
        <w:rPr>
          <w:rFonts w:eastAsia="Calibri"/>
          <w:szCs w:val="24"/>
          <w:lang w:eastAsia="en-US"/>
        </w:rPr>
        <w:t>об</w:t>
      </w:r>
      <w:r w:rsidRPr="008D797C">
        <w:rPr>
          <w:rFonts w:eastAsia="Calibri"/>
          <w:szCs w:val="24"/>
          <w:lang w:val="en-US" w:eastAsia="en-US"/>
        </w:rPr>
        <w:t xml:space="preserve"> </w:t>
      </w:r>
      <w:r w:rsidRPr="00264D5D">
        <w:rPr>
          <w:rFonts w:eastAsia="Calibri"/>
          <w:szCs w:val="24"/>
          <w:lang w:eastAsia="en-US"/>
        </w:rPr>
        <w:t>изменении</w:t>
      </w:r>
      <w:r w:rsidRPr="008D797C">
        <w:rPr>
          <w:rFonts w:eastAsia="Calibri"/>
          <w:szCs w:val="24"/>
          <w:lang w:val="en-US" w:eastAsia="en-US"/>
        </w:rPr>
        <w:t xml:space="preserve"> </w:t>
      </w:r>
      <w:r w:rsidRPr="00264D5D">
        <w:rPr>
          <w:rFonts w:eastAsia="Calibri"/>
          <w:szCs w:val="24"/>
          <w:lang w:eastAsia="en-US"/>
        </w:rPr>
        <w:t>соглашения</w:t>
      </w:r>
      <w:r w:rsidRPr="008D797C">
        <w:rPr>
          <w:rFonts w:eastAsia="Calibri"/>
          <w:szCs w:val="24"/>
          <w:lang w:val="en-US"/>
        </w:rPr>
        <w:t>»</w:t>
      </w:r>
      <w:bookmarkEnd w:id="1890"/>
      <w:bookmarkEnd w:id="1891"/>
      <w:bookmarkEnd w:id="1892"/>
    </w:p>
    <w:tbl>
      <w:tblPr>
        <w:tblStyle w:val="GOSTTable"/>
        <w:tblW w:w="5000" w:type="pct"/>
        <w:tblLook w:val="01E0" w:firstRow="1" w:lastRow="1" w:firstColumn="1" w:lastColumn="1" w:noHBand="0" w:noVBand="0"/>
      </w:tblPr>
      <w:tblGrid>
        <w:gridCol w:w="2556"/>
        <w:gridCol w:w="2557"/>
        <w:gridCol w:w="4537"/>
      </w:tblGrid>
      <w:tr w:rsidR="00AD1F54" w:rsidRPr="008D797C" w14:paraId="5635C669"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324" w:type="pct"/>
          </w:tcPr>
          <w:p w14:paraId="198609B4" w14:textId="77777777" w:rsidR="00AD1F54" w:rsidRPr="00264D5D" w:rsidRDefault="00941227">
            <w:pPr>
              <w:pStyle w:val="OTRTableHead"/>
              <w:widowControl w:val="0"/>
              <w:rPr>
                <w:b w:val="0"/>
                <w:sz w:val="22"/>
                <w:szCs w:val="22"/>
                <w:lang w:val="en-US"/>
              </w:rPr>
            </w:pPr>
            <w:r w:rsidRPr="00264D5D">
              <w:rPr>
                <w:sz w:val="22"/>
                <w:szCs w:val="22"/>
              </w:rPr>
              <w:t>Отправитель</w:t>
            </w:r>
          </w:p>
        </w:tc>
        <w:tc>
          <w:tcPr>
            <w:tcW w:w="1325" w:type="pct"/>
          </w:tcPr>
          <w:p w14:paraId="462EED98" w14:textId="77777777" w:rsidR="00AD1F54" w:rsidRPr="00264D5D" w:rsidRDefault="00941227">
            <w:pPr>
              <w:pStyle w:val="OTRTableHead"/>
              <w:widowControl w:val="0"/>
              <w:rPr>
                <w:b w:val="0"/>
                <w:sz w:val="22"/>
                <w:szCs w:val="22"/>
                <w:lang w:val="en-US"/>
              </w:rPr>
            </w:pPr>
            <w:r w:rsidRPr="00264D5D">
              <w:rPr>
                <w:sz w:val="22"/>
                <w:szCs w:val="22"/>
              </w:rPr>
              <w:t>Получатель</w:t>
            </w:r>
          </w:p>
        </w:tc>
        <w:tc>
          <w:tcPr>
            <w:tcW w:w="2351" w:type="pct"/>
          </w:tcPr>
          <w:p w14:paraId="115DCAB2" w14:textId="77777777" w:rsidR="00AD1F54" w:rsidRPr="00264D5D" w:rsidRDefault="00941227">
            <w:pPr>
              <w:pStyle w:val="OTRTableHead"/>
              <w:widowControl w:val="0"/>
              <w:rPr>
                <w:b w:val="0"/>
                <w:sz w:val="22"/>
                <w:szCs w:val="22"/>
                <w:lang w:val="en-US"/>
              </w:rPr>
            </w:pPr>
            <w:r w:rsidRPr="00264D5D">
              <w:rPr>
                <w:sz w:val="22"/>
                <w:szCs w:val="22"/>
              </w:rPr>
              <w:t>Примечание</w:t>
            </w:r>
          </w:p>
        </w:tc>
      </w:tr>
      <w:tr w:rsidR="00AD1F54" w:rsidRPr="008D797C" w14:paraId="53A43E1F" w14:textId="77777777" w:rsidTr="00AD1F54">
        <w:trPr>
          <w:cnfStyle w:val="000000100000" w:firstRow="0" w:lastRow="0" w:firstColumn="0" w:lastColumn="0" w:oddVBand="0" w:evenVBand="0" w:oddHBand="1" w:evenHBand="0" w:firstRowFirstColumn="0" w:firstRowLastColumn="0" w:lastRowFirstColumn="0" w:lastRowLastColumn="0"/>
        </w:trPr>
        <w:tc>
          <w:tcPr>
            <w:tcW w:w="1324" w:type="pct"/>
          </w:tcPr>
          <w:p w14:paraId="68098960" w14:textId="77777777" w:rsidR="00AD1F54" w:rsidRPr="00264D5D" w:rsidRDefault="00941227">
            <w:pPr>
              <w:spacing w:before="60" w:after="60"/>
              <w:rPr>
                <w:sz w:val="22"/>
                <w:szCs w:val="22"/>
                <w:lang w:val="en-US"/>
              </w:rPr>
            </w:pPr>
            <w:r w:rsidRPr="00264D5D">
              <w:rPr>
                <w:sz w:val="22"/>
                <w:szCs w:val="22"/>
              </w:rPr>
              <w:t>ГРБС</w:t>
            </w:r>
          </w:p>
        </w:tc>
        <w:tc>
          <w:tcPr>
            <w:tcW w:w="1325" w:type="pct"/>
          </w:tcPr>
          <w:p w14:paraId="50E822E8" w14:textId="77777777" w:rsidR="00AD1F54" w:rsidRPr="00264D5D" w:rsidRDefault="00941227">
            <w:pPr>
              <w:spacing w:before="60" w:after="60"/>
              <w:rPr>
                <w:sz w:val="22"/>
                <w:szCs w:val="22"/>
                <w:lang w:val="en-US"/>
              </w:rPr>
            </w:pPr>
            <w:r w:rsidRPr="00264D5D">
              <w:rPr>
                <w:sz w:val="22"/>
                <w:szCs w:val="22"/>
              </w:rPr>
              <w:t>ТОФК</w:t>
            </w:r>
            <w:r w:rsidRPr="00264D5D">
              <w:rPr>
                <w:sz w:val="22"/>
                <w:szCs w:val="22"/>
                <w:lang w:val="en-US"/>
              </w:rPr>
              <w:t xml:space="preserve"> (</w:t>
            </w:r>
            <w:r w:rsidRPr="00264D5D">
              <w:rPr>
                <w:sz w:val="22"/>
                <w:szCs w:val="22"/>
              </w:rPr>
              <w:t>ПУР</w:t>
            </w:r>
            <w:r w:rsidRPr="00264D5D">
              <w:rPr>
                <w:sz w:val="22"/>
                <w:szCs w:val="22"/>
                <w:lang w:val="en-US"/>
              </w:rPr>
              <w:t xml:space="preserve"> </w:t>
            </w:r>
            <w:r w:rsidRPr="00264D5D">
              <w:rPr>
                <w:sz w:val="22"/>
                <w:szCs w:val="22"/>
              </w:rPr>
              <w:t>ЭБ</w:t>
            </w:r>
            <w:r w:rsidRPr="00264D5D">
              <w:rPr>
                <w:sz w:val="22"/>
                <w:szCs w:val="22"/>
                <w:lang w:val="en-US"/>
              </w:rPr>
              <w:t>)</w:t>
            </w:r>
          </w:p>
        </w:tc>
        <w:tc>
          <w:tcPr>
            <w:tcW w:w="2351" w:type="pct"/>
          </w:tcPr>
          <w:p w14:paraId="749001DC" w14:textId="77777777" w:rsidR="00AD1F54" w:rsidRPr="00264D5D" w:rsidRDefault="00AD1F54">
            <w:pPr>
              <w:spacing w:before="60" w:after="60"/>
              <w:rPr>
                <w:sz w:val="22"/>
                <w:szCs w:val="22"/>
                <w:lang w:val="en-US"/>
              </w:rPr>
            </w:pPr>
          </w:p>
        </w:tc>
      </w:tr>
    </w:tbl>
    <w:p w14:paraId="5EF00600" w14:textId="77777777" w:rsidR="00AD1F54" w:rsidRPr="00264D5D" w:rsidRDefault="00941227">
      <w:pPr>
        <w:pStyle w:val="31"/>
        <w:rPr>
          <w:lang w:val="en-US"/>
        </w:rPr>
      </w:pPr>
      <w:bookmarkStart w:id="1893" w:name="_Toc444506362"/>
      <w:bookmarkStart w:id="1894" w:name="_Toc493090490"/>
      <w:bookmarkStart w:id="1895" w:name="_Toc496984023"/>
      <w:bookmarkStart w:id="1896" w:name="_Toc219309656"/>
      <w:r w:rsidRPr="00264D5D">
        <w:t>Описание</w:t>
      </w:r>
      <w:r w:rsidRPr="00264D5D">
        <w:rPr>
          <w:lang w:val="en-US"/>
        </w:rPr>
        <w:t xml:space="preserve"> </w:t>
      </w:r>
      <w:r w:rsidRPr="00264D5D">
        <w:t>комплексного</w:t>
      </w:r>
      <w:r w:rsidRPr="00264D5D">
        <w:rPr>
          <w:lang w:val="en-US"/>
        </w:rPr>
        <w:t xml:space="preserve"> </w:t>
      </w:r>
      <w:r w:rsidRPr="00264D5D">
        <w:t>типа</w:t>
      </w:r>
      <w:r w:rsidRPr="00264D5D">
        <w:rPr>
          <w:lang w:val="en-US"/>
        </w:rPr>
        <w:t xml:space="preserve"> «</w:t>
      </w:r>
      <w:bookmarkEnd w:id="1893"/>
      <w:r w:rsidRPr="00264D5D">
        <w:rPr>
          <w:lang w:val="en-US"/>
        </w:rPr>
        <w:t>tImpAgr»</w:t>
      </w:r>
      <w:bookmarkEnd w:id="1894"/>
      <w:bookmarkEnd w:id="1895"/>
      <w:bookmarkEnd w:id="1896"/>
    </w:p>
    <w:p w14:paraId="39230691" w14:textId="0B20E2C9" w:rsidR="00AD1F54" w:rsidRPr="00264D5D" w:rsidRDefault="00941227">
      <w:pPr>
        <w:pStyle w:val="GOSTNameTable"/>
        <w:numPr>
          <w:ilvl w:val="0"/>
          <w:numId w:val="2"/>
        </w:numPr>
        <w:ind w:left="425" w:hanging="357"/>
        <w:rPr>
          <w:rFonts w:eastAsia="Calibri"/>
          <w:lang w:val="en-US"/>
        </w:rPr>
      </w:pPr>
      <w:r w:rsidRPr="00264D5D">
        <w:rPr>
          <w:rFonts w:eastAsia="Calibri"/>
        </w:rPr>
        <w:fldChar w:fldCharType="begin"/>
      </w:r>
      <w:r w:rsidRPr="00264D5D">
        <w:rPr>
          <w:rFonts w:eastAsia="Calibri"/>
          <w:lang w:val="en-US"/>
        </w:rPr>
        <w:instrText xml:space="preserve"> SEQ </w:instrText>
      </w:r>
      <w:r w:rsidRPr="00264D5D">
        <w:rPr>
          <w:rFonts w:eastAsia="Calibri"/>
        </w:rPr>
        <w:instrText>Таблица</w:instrText>
      </w:r>
      <w:r w:rsidRPr="00264D5D">
        <w:rPr>
          <w:rFonts w:eastAsia="Calibri"/>
          <w:lang w:val="en-US"/>
        </w:rPr>
        <w:instrText xml:space="preserve"> \* ARABIC </w:instrText>
      </w:r>
      <w:r w:rsidRPr="00264D5D">
        <w:rPr>
          <w:rFonts w:eastAsia="Calibri"/>
        </w:rPr>
        <w:fldChar w:fldCharType="separate"/>
      </w:r>
      <w:bookmarkStart w:id="1897" w:name="_Ref494363204"/>
      <w:bookmarkStart w:id="1898" w:name="_Toc219309224"/>
      <w:r w:rsidR="008D797C">
        <w:rPr>
          <w:rFonts w:eastAsia="Calibri"/>
          <w:noProof/>
          <w:lang w:val="en-US"/>
        </w:rPr>
        <w:t>194</w:t>
      </w:r>
      <w:bookmarkEnd w:id="1897"/>
      <w:r w:rsidRPr="00264D5D">
        <w:rPr>
          <w:rFonts w:eastAsia="Calibri"/>
        </w:rPr>
        <w:fldChar w:fldCharType="end"/>
      </w:r>
      <w:r w:rsidRPr="00264D5D">
        <w:rPr>
          <w:rFonts w:eastAsia="Calibri"/>
          <w:lang w:val="en-US"/>
        </w:rPr>
        <w:t xml:space="preserve"> – </w:t>
      </w:r>
      <w:r w:rsidRPr="00264D5D">
        <w:rPr>
          <w:rFonts w:eastAsia="Calibri"/>
        </w:rPr>
        <w:t>Описание</w:t>
      </w:r>
      <w:r w:rsidRPr="00264D5D">
        <w:rPr>
          <w:rFonts w:eastAsia="Calibri"/>
          <w:lang w:val="en-US"/>
        </w:rPr>
        <w:t xml:space="preserve"> </w:t>
      </w:r>
      <w:r w:rsidRPr="00264D5D">
        <w:rPr>
          <w:rFonts w:eastAsia="Calibri"/>
        </w:rPr>
        <w:t>комплексного</w:t>
      </w:r>
      <w:r w:rsidRPr="00264D5D">
        <w:rPr>
          <w:rFonts w:eastAsia="Calibri"/>
          <w:lang w:val="en-US"/>
        </w:rPr>
        <w:t xml:space="preserve"> </w:t>
      </w:r>
      <w:r w:rsidRPr="00264D5D">
        <w:rPr>
          <w:rFonts w:eastAsia="Calibri"/>
        </w:rPr>
        <w:t>типа</w:t>
      </w:r>
      <w:r w:rsidRPr="00264D5D">
        <w:rPr>
          <w:rFonts w:eastAsia="Calibri"/>
          <w:lang w:val="en-US"/>
        </w:rPr>
        <w:t xml:space="preserve"> «t</w:t>
      </w:r>
      <w:r w:rsidRPr="00264D5D">
        <w:rPr>
          <w:rFonts w:eastAsia="Calibri"/>
          <w:szCs w:val="24"/>
          <w:lang w:val="en-US"/>
        </w:rPr>
        <w:t>ImpAgr</w:t>
      </w:r>
      <w:r w:rsidRPr="00264D5D">
        <w:rPr>
          <w:rFonts w:eastAsia="Calibri"/>
          <w:lang w:val="en-US"/>
        </w:rPr>
        <w:t>»</w:t>
      </w:r>
      <w:bookmarkEnd w:id="1898"/>
    </w:p>
    <w:tbl>
      <w:tblPr>
        <w:tblStyle w:val="GOSTTable"/>
        <w:tblW w:w="9630" w:type="dxa"/>
        <w:tblLayout w:type="fixed"/>
        <w:tblLook w:val="01E0" w:firstRow="1" w:lastRow="1" w:firstColumn="1" w:lastColumn="1" w:noHBand="0" w:noVBand="0"/>
      </w:tblPr>
      <w:tblGrid>
        <w:gridCol w:w="1701"/>
        <w:gridCol w:w="1699"/>
        <w:gridCol w:w="567"/>
        <w:gridCol w:w="1133"/>
        <w:gridCol w:w="567"/>
        <w:gridCol w:w="3963"/>
      </w:tblGrid>
      <w:tr w:rsidR="00AD1F54" w:rsidRPr="008D797C" w14:paraId="37B38F39"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0FBFB6FB" w14:textId="77777777" w:rsidR="00AD1F54" w:rsidRPr="00264D5D" w:rsidRDefault="00941227">
            <w:pPr>
              <w:pStyle w:val="EBTableHead"/>
              <w:ind w:left="57" w:right="57"/>
              <w:contextualSpacing w:val="0"/>
              <w:rPr>
                <w:sz w:val="22"/>
                <w:szCs w:val="22"/>
                <w:lang w:val="en-US"/>
              </w:rPr>
            </w:pPr>
            <w:r w:rsidRPr="00264D5D">
              <w:rPr>
                <w:bCs w:val="0"/>
                <w:sz w:val="22"/>
                <w:szCs w:val="22"/>
              </w:rPr>
              <w:t>Наименование</w:t>
            </w:r>
            <w:r w:rsidRPr="00264D5D">
              <w:rPr>
                <w:bCs w:val="0"/>
                <w:sz w:val="22"/>
                <w:szCs w:val="22"/>
                <w:lang w:val="en-US"/>
              </w:rPr>
              <w:t xml:space="preserve"> </w:t>
            </w:r>
            <w:r w:rsidRPr="00264D5D">
              <w:rPr>
                <w:bCs w:val="0"/>
                <w:sz w:val="22"/>
                <w:szCs w:val="22"/>
              </w:rPr>
              <w:t>элемента</w:t>
            </w:r>
          </w:p>
        </w:tc>
        <w:tc>
          <w:tcPr>
            <w:tcW w:w="1699" w:type="dxa"/>
          </w:tcPr>
          <w:p w14:paraId="48DB678A" w14:textId="77777777" w:rsidR="00AD1F54" w:rsidRPr="00264D5D" w:rsidRDefault="00941227">
            <w:pPr>
              <w:pStyle w:val="EBTableHead"/>
              <w:ind w:left="57" w:right="57"/>
              <w:contextualSpacing w:val="0"/>
              <w:rPr>
                <w:sz w:val="22"/>
                <w:szCs w:val="22"/>
                <w:lang w:val="en-US"/>
              </w:rPr>
            </w:pPr>
            <w:r w:rsidRPr="00264D5D">
              <w:rPr>
                <w:bCs w:val="0"/>
                <w:sz w:val="22"/>
                <w:szCs w:val="22"/>
              </w:rPr>
              <w:t>Сокращенное</w:t>
            </w:r>
            <w:r w:rsidRPr="00264D5D">
              <w:rPr>
                <w:bCs w:val="0"/>
                <w:sz w:val="22"/>
                <w:szCs w:val="22"/>
                <w:lang w:val="en-US"/>
              </w:rPr>
              <w:t xml:space="preserve"> </w:t>
            </w:r>
            <w:r w:rsidRPr="00264D5D">
              <w:rPr>
                <w:bCs w:val="0"/>
                <w:sz w:val="22"/>
                <w:szCs w:val="22"/>
              </w:rPr>
              <w:t>наименование</w:t>
            </w:r>
            <w:r w:rsidRPr="00264D5D">
              <w:rPr>
                <w:bCs w:val="0"/>
                <w:sz w:val="22"/>
                <w:szCs w:val="22"/>
                <w:lang w:val="en-US"/>
              </w:rPr>
              <w:t xml:space="preserve"> (</w:t>
            </w:r>
            <w:r w:rsidRPr="00264D5D">
              <w:rPr>
                <w:bCs w:val="0"/>
                <w:sz w:val="22"/>
                <w:szCs w:val="22"/>
              </w:rPr>
              <w:t>код</w:t>
            </w:r>
            <w:r w:rsidRPr="00264D5D">
              <w:rPr>
                <w:bCs w:val="0"/>
                <w:sz w:val="22"/>
                <w:szCs w:val="22"/>
                <w:lang w:val="en-US"/>
              </w:rPr>
              <w:t xml:space="preserve">) </w:t>
            </w:r>
            <w:r w:rsidRPr="00264D5D">
              <w:rPr>
                <w:bCs w:val="0"/>
                <w:sz w:val="22"/>
                <w:szCs w:val="22"/>
              </w:rPr>
              <w:t>элемента</w:t>
            </w:r>
          </w:p>
        </w:tc>
        <w:tc>
          <w:tcPr>
            <w:tcW w:w="567" w:type="dxa"/>
          </w:tcPr>
          <w:p w14:paraId="2420075B" w14:textId="77777777" w:rsidR="00AD1F54" w:rsidRPr="00264D5D" w:rsidRDefault="00941227">
            <w:pPr>
              <w:pStyle w:val="EBTableHead"/>
              <w:ind w:left="57" w:right="57"/>
              <w:contextualSpacing w:val="0"/>
              <w:rPr>
                <w:sz w:val="22"/>
                <w:szCs w:val="22"/>
                <w:lang w:val="en-US"/>
              </w:rPr>
            </w:pPr>
            <w:r w:rsidRPr="00264D5D">
              <w:rPr>
                <w:bCs w:val="0"/>
                <w:sz w:val="22"/>
                <w:szCs w:val="22"/>
              </w:rPr>
              <w:t>Тип</w:t>
            </w:r>
          </w:p>
        </w:tc>
        <w:tc>
          <w:tcPr>
            <w:tcW w:w="1133" w:type="dxa"/>
          </w:tcPr>
          <w:p w14:paraId="7BC6E8F3" w14:textId="77777777" w:rsidR="00AD1F54" w:rsidRPr="00264D5D" w:rsidRDefault="00941227">
            <w:pPr>
              <w:pStyle w:val="EBTableHead"/>
              <w:ind w:left="57" w:right="57"/>
              <w:contextualSpacing w:val="0"/>
              <w:rPr>
                <w:sz w:val="22"/>
                <w:szCs w:val="22"/>
                <w:lang w:val="en-US"/>
              </w:rPr>
            </w:pPr>
            <w:r w:rsidRPr="00264D5D">
              <w:rPr>
                <w:bCs w:val="0"/>
                <w:sz w:val="22"/>
                <w:szCs w:val="22"/>
              </w:rPr>
              <w:t>Формат</w:t>
            </w:r>
            <w:r w:rsidRPr="00264D5D">
              <w:rPr>
                <w:bCs w:val="0"/>
                <w:sz w:val="22"/>
                <w:szCs w:val="22"/>
                <w:lang w:val="en-US"/>
              </w:rPr>
              <w:t xml:space="preserve"> </w:t>
            </w:r>
            <w:r w:rsidRPr="00264D5D">
              <w:rPr>
                <w:bCs w:val="0"/>
                <w:sz w:val="22"/>
                <w:szCs w:val="22"/>
              </w:rPr>
              <w:t>элемента</w:t>
            </w:r>
          </w:p>
        </w:tc>
        <w:tc>
          <w:tcPr>
            <w:tcW w:w="567" w:type="dxa"/>
          </w:tcPr>
          <w:p w14:paraId="18E3A9A4" w14:textId="77777777" w:rsidR="00AD1F54" w:rsidRPr="00264D5D" w:rsidRDefault="00941227">
            <w:pPr>
              <w:spacing w:before="60" w:after="60"/>
              <w:ind w:left="57" w:right="57"/>
              <w:jc w:val="center"/>
              <w:rPr>
                <w:b/>
                <w:bCs/>
                <w:sz w:val="22"/>
                <w:szCs w:val="22"/>
                <w:lang w:val="en-US"/>
              </w:rPr>
            </w:pPr>
            <w:r w:rsidRPr="00264D5D">
              <w:rPr>
                <w:b/>
                <w:bCs/>
                <w:sz w:val="22"/>
                <w:szCs w:val="22"/>
              </w:rPr>
              <w:t>Обязательность</w:t>
            </w:r>
          </w:p>
        </w:tc>
        <w:tc>
          <w:tcPr>
            <w:tcW w:w="3963" w:type="dxa"/>
          </w:tcPr>
          <w:p w14:paraId="70EFB9B0" w14:textId="77777777" w:rsidR="00AD1F54" w:rsidRPr="00264D5D" w:rsidRDefault="00941227">
            <w:pPr>
              <w:pStyle w:val="EBTableHead"/>
              <w:ind w:left="57" w:right="57"/>
              <w:contextualSpacing w:val="0"/>
              <w:rPr>
                <w:sz w:val="22"/>
                <w:szCs w:val="22"/>
                <w:lang w:val="en-US"/>
              </w:rPr>
            </w:pPr>
            <w:r w:rsidRPr="00264D5D">
              <w:rPr>
                <w:bCs w:val="0"/>
                <w:sz w:val="22"/>
                <w:szCs w:val="22"/>
              </w:rPr>
              <w:t>Дополнительная</w:t>
            </w:r>
            <w:r w:rsidRPr="00264D5D">
              <w:rPr>
                <w:bCs w:val="0"/>
                <w:sz w:val="22"/>
                <w:szCs w:val="22"/>
                <w:lang w:val="en-US"/>
              </w:rPr>
              <w:t xml:space="preserve"> </w:t>
            </w:r>
            <w:r w:rsidRPr="00264D5D">
              <w:rPr>
                <w:bCs w:val="0"/>
                <w:sz w:val="22"/>
                <w:szCs w:val="22"/>
              </w:rPr>
              <w:t>информация</w:t>
            </w:r>
          </w:p>
        </w:tc>
      </w:tr>
      <w:tr w:rsidR="00AD1F54" w:rsidRPr="00264D5D" w14:paraId="101CD72D"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7E8A41F7" w14:textId="77777777" w:rsidR="00AD1F54" w:rsidRPr="00264D5D" w:rsidRDefault="00941227">
            <w:pPr>
              <w:pStyle w:val="EBTablenorm"/>
              <w:ind w:left="57" w:right="57"/>
              <w:contextualSpacing w:val="0"/>
              <w:rPr>
                <w:sz w:val="22"/>
                <w:szCs w:val="22"/>
                <w:lang w:val="en-US"/>
              </w:rPr>
            </w:pPr>
            <w:r w:rsidRPr="00264D5D">
              <w:rPr>
                <w:sz w:val="22"/>
                <w:szCs w:val="22"/>
                <w:lang w:val="en-US"/>
              </w:rPr>
              <w:t xml:space="preserve">GUID </w:t>
            </w:r>
            <w:r w:rsidRPr="00264D5D">
              <w:rPr>
                <w:sz w:val="22"/>
                <w:szCs w:val="22"/>
              </w:rPr>
              <w:t>системы</w:t>
            </w:r>
            <w:r w:rsidRPr="00264D5D">
              <w:rPr>
                <w:sz w:val="22"/>
                <w:szCs w:val="22"/>
                <w:lang w:val="en-US"/>
              </w:rPr>
              <w:t xml:space="preserve"> </w:t>
            </w:r>
            <w:r w:rsidRPr="00264D5D">
              <w:rPr>
                <w:sz w:val="22"/>
                <w:szCs w:val="22"/>
              </w:rPr>
              <w:t>источника</w:t>
            </w:r>
            <w:r w:rsidRPr="00264D5D">
              <w:rPr>
                <w:sz w:val="22"/>
                <w:szCs w:val="22"/>
                <w:lang w:val="en-US"/>
              </w:rPr>
              <w:t xml:space="preserve"> </w:t>
            </w:r>
            <w:r w:rsidRPr="00264D5D">
              <w:rPr>
                <w:sz w:val="22"/>
                <w:szCs w:val="22"/>
              </w:rPr>
              <w:t>данных</w:t>
            </w:r>
          </w:p>
        </w:tc>
        <w:tc>
          <w:tcPr>
            <w:tcW w:w="1699" w:type="dxa"/>
          </w:tcPr>
          <w:p w14:paraId="19118CC8" w14:textId="77777777" w:rsidR="00AD1F54" w:rsidRPr="00264D5D" w:rsidRDefault="00941227">
            <w:pPr>
              <w:pStyle w:val="EBTablenorm"/>
              <w:ind w:left="57" w:right="57"/>
              <w:contextualSpacing w:val="0"/>
              <w:rPr>
                <w:sz w:val="22"/>
                <w:szCs w:val="22"/>
                <w:lang w:val="en-US"/>
              </w:rPr>
            </w:pPr>
            <w:r w:rsidRPr="00264D5D">
              <w:rPr>
                <w:sz w:val="22"/>
                <w:szCs w:val="22"/>
                <w:lang w:val="en-US"/>
              </w:rPr>
              <w:t>SrcGUID</w:t>
            </w:r>
          </w:p>
        </w:tc>
        <w:tc>
          <w:tcPr>
            <w:tcW w:w="567" w:type="dxa"/>
          </w:tcPr>
          <w:p w14:paraId="5152856F" w14:textId="77777777" w:rsidR="00AD1F54" w:rsidRPr="00264D5D" w:rsidRDefault="00941227">
            <w:pPr>
              <w:pStyle w:val="EBTablenorm"/>
              <w:ind w:left="57" w:right="57"/>
              <w:contextualSpacing w:val="0"/>
              <w:rPr>
                <w:sz w:val="22"/>
                <w:szCs w:val="22"/>
                <w:lang w:val="en-US"/>
              </w:rPr>
            </w:pPr>
            <w:r w:rsidRPr="00264D5D">
              <w:rPr>
                <w:sz w:val="22"/>
                <w:szCs w:val="22"/>
              </w:rPr>
              <w:t>П</w:t>
            </w:r>
          </w:p>
        </w:tc>
        <w:tc>
          <w:tcPr>
            <w:tcW w:w="1133" w:type="dxa"/>
          </w:tcPr>
          <w:p w14:paraId="65D5D6AD" w14:textId="77777777" w:rsidR="00AD1F54" w:rsidRPr="00264D5D" w:rsidRDefault="00941227">
            <w:pPr>
              <w:pStyle w:val="EBTablenorm"/>
              <w:ind w:left="57" w:right="57"/>
              <w:contextualSpacing w:val="0"/>
              <w:rPr>
                <w:sz w:val="22"/>
                <w:szCs w:val="22"/>
              </w:rPr>
            </w:pPr>
            <w:r w:rsidRPr="00264D5D">
              <w:rPr>
                <w:sz w:val="22"/>
                <w:szCs w:val="22"/>
              </w:rPr>
              <w:t>Т(36)</w:t>
            </w:r>
          </w:p>
        </w:tc>
        <w:tc>
          <w:tcPr>
            <w:tcW w:w="567" w:type="dxa"/>
          </w:tcPr>
          <w:p w14:paraId="5799A581" w14:textId="77777777" w:rsidR="00AD1F54" w:rsidRPr="00264D5D" w:rsidRDefault="00941227">
            <w:pPr>
              <w:pStyle w:val="EBTablenorm"/>
              <w:ind w:left="57" w:right="57"/>
              <w:contextualSpacing w:val="0"/>
              <w:rPr>
                <w:sz w:val="22"/>
                <w:szCs w:val="22"/>
              </w:rPr>
            </w:pPr>
            <w:r w:rsidRPr="00264D5D">
              <w:rPr>
                <w:sz w:val="22"/>
                <w:szCs w:val="22"/>
              </w:rPr>
              <w:t>О</w:t>
            </w:r>
          </w:p>
        </w:tc>
        <w:tc>
          <w:tcPr>
            <w:tcW w:w="3963" w:type="dxa"/>
          </w:tcPr>
          <w:p w14:paraId="3C6F2CF7" w14:textId="77777777" w:rsidR="00AD1F54" w:rsidRPr="00264D5D" w:rsidRDefault="00B83EE9">
            <w:pPr>
              <w:pStyle w:val="EBTablenorm"/>
              <w:ind w:left="57" w:right="57"/>
              <w:contextualSpacing w:val="0"/>
              <w:rPr>
                <w:sz w:val="22"/>
                <w:szCs w:val="22"/>
              </w:rPr>
            </w:pPr>
            <w:r w:rsidRPr="00264D5D">
              <w:rPr>
                <w:sz w:val="22"/>
                <w:szCs w:val="22"/>
              </w:rPr>
              <w:t>GUID системы источника данных</w:t>
            </w:r>
          </w:p>
        </w:tc>
      </w:tr>
      <w:tr w:rsidR="00AD1F54" w:rsidRPr="00264D5D" w14:paraId="3B82862C"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3D778BDA" w14:textId="77777777" w:rsidR="00AD1F54" w:rsidRPr="00264D5D" w:rsidRDefault="00941227">
            <w:pPr>
              <w:pStyle w:val="EBTablenorm"/>
              <w:ind w:left="57" w:right="57"/>
              <w:contextualSpacing w:val="0"/>
              <w:rPr>
                <w:sz w:val="22"/>
                <w:szCs w:val="22"/>
              </w:rPr>
            </w:pPr>
            <w:r w:rsidRPr="00264D5D">
              <w:rPr>
                <w:sz w:val="22"/>
                <w:szCs w:val="22"/>
              </w:rPr>
              <w:t>Тип сведений о соглашении</w:t>
            </w:r>
          </w:p>
        </w:tc>
        <w:tc>
          <w:tcPr>
            <w:tcW w:w="1699" w:type="dxa"/>
          </w:tcPr>
          <w:p w14:paraId="2E3CEE02" w14:textId="77777777" w:rsidR="00AD1F54" w:rsidRPr="00264D5D" w:rsidRDefault="00941227">
            <w:pPr>
              <w:pStyle w:val="EBTablenorm"/>
              <w:ind w:left="57" w:right="57"/>
              <w:contextualSpacing w:val="0"/>
              <w:rPr>
                <w:color w:val="000000"/>
                <w:sz w:val="22"/>
                <w:szCs w:val="22"/>
              </w:rPr>
            </w:pPr>
            <w:r w:rsidRPr="00264D5D">
              <w:rPr>
                <w:color w:val="000000"/>
                <w:sz w:val="22"/>
                <w:szCs w:val="22"/>
              </w:rPr>
              <w:t>TpDcmnt</w:t>
            </w:r>
          </w:p>
        </w:tc>
        <w:tc>
          <w:tcPr>
            <w:tcW w:w="567" w:type="dxa"/>
          </w:tcPr>
          <w:p w14:paraId="728384F6" w14:textId="77777777" w:rsidR="00AD1F54" w:rsidRPr="00264D5D" w:rsidRDefault="00941227">
            <w:pPr>
              <w:pStyle w:val="EBTablenorm"/>
              <w:ind w:left="57" w:right="57"/>
              <w:contextualSpacing w:val="0"/>
              <w:rPr>
                <w:sz w:val="22"/>
                <w:szCs w:val="22"/>
              </w:rPr>
            </w:pPr>
            <w:r w:rsidRPr="00264D5D">
              <w:rPr>
                <w:sz w:val="22"/>
                <w:szCs w:val="22"/>
              </w:rPr>
              <w:t>П</w:t>
            </w:r>
          </w:p>
        </w:tc>
        <w:tc>
          <w:tcPr>
            <w:tcW w:w="1133" w:type="dxa"/>
          </w:tcPr>
          <w:p w14:paraId="3A90C116" w14:textId="77777777" w:rsidR="00AD1F54" w:rsidRPr="00264D5D" w:rsidRDefault="00941227">
            <w:pPr>
              <w:pStyle w:val="EBTablenorm"/>
              <w:ind w:left="57" w:right="57"/>
              <w:contextualSpacing w:val="0"/>
              <w:rPr>
                <w:sz w:val="22"/>
                <w:szCs w:val="22"/>
              </w:rPr>
            </w:pPr>
            <w:r w:rsidRPr="00264D5D">
              <w:rPr>
                <w:sz w:val="22"/>
                <w:szCs w:val="22"/>
              </w:rPr>
              <w:t>Т(1)</w:t>
            </w:r>
          </w:p>
          <w:p w14:paraId="5E4C3C3C" w14:textId="77777777" w:rsidR="00AD1F54" w:rsidRPr="00264D5D" w:rsidRDefault="00AD1F54">
            <w:pPr>
              <w:pStyle w:val="EBTablenorm"/>
              <w:ind w:left="57" w:right="57"/>
              <w:contextualSpacing w:val="0"/>
              <w:rPr>
                <w:sz w:val="22"/>
                <w:szCs w:val="22"/>
                <w:lang w:val="en-US"/>
              </w:rPr>
            </w:pPr>
          </w:p>
        </w:tc>
        <w:tc>
          <w:tcPr>
            <w:tcW w:w="567" w:type="dxa"/>
          </w:tcPr>
          <w:p w14:paraId="2DAFC26F" w14:textId="77777777" w:rsidR="00AD1F54" w:rsidRPr="00264D5D" w:rsidRDefault="00941227">
            <w:pPr>
              <w:pStyle w:val="EBTablenorm"/>
              <w:ind w:left="57" w:right="57"/>
              <w:contextualSpacing w:val="0"/>
              <w:rPr>
                <w:sz w:val="22"/>
                <w:szCs w:val="22"/>
              </w:rPr>
            </w:pPr>
            <w:r w:rsidRPr="00264D5D">
              <w:rPr>
                <w:sz w:val="22"/>
                <w:szCs w:val="22"/>
              </w:rPr>
              <w:t>О</w:t>
            </w:r>
          </w:p>
        </w:tc>
        <w:tc>
          <w:tcPr>
            <w:tcW w:w="3963" w:type="dxa"/>
          </w:tcPr>
          <w:p w14:paraId="4AC2E0BC" w14:textId="77777777" w:rsidR="00AD1F54" w:rsidRPr="00264D5D" w:rsidRDefault="00941227">
            <w:pPr>
              <w:pStyle w:val="EBTablenorm"/>
              <w:ind w:left="57" w:right="57"/>
              <w:contextualSpacing w:val="0"/>
              <w:rPr>
                <w:sz w:val="22"/>
                <w:szCs w:val="22"/>
              </w:rPr>
            </w:pPr>
            <w:r w:rsidRPr="00264D5D">
              <w:rPr>
                <w:sz w:val="22"/>
                <w:szCs w:val="22"/>
              </w:rPr>
              <w:t>Тип Сведений о соглашении.</w:t>
            </w:r>
          </w:p>
          <w:p w14:paraId="31345FEB" w14:textId="77777777" w:rsidR="00AD1F54" w:rsidRPr="00264D5D" w:rsidRDefault="00941227">
            <w:pPr>
              <w:pStyle w:val="EBTablenorm"/>
              <w:ind w:left="57" w:right="57"/>
              <w:contextualSpacing w:val="0"/>
              <w:rPr>
                <w:sz w:val="22"/>
                <w:szCs w:val="22"/>
              </w:rPr>
            </w:pPr>
            <w:r w:rsidRPr="00264D5D">
              <w:rPr>
                <w:sz w:val="22"/>
                <w:szCs w:val="22"/>
              </w:rPr>
              <w:t>Допустимые значения:</w:t>
            </w:r>
          </w:p>
          <w:p w14:paraId="4150891F" w14:textId="77777777" w:rsidR="00AD1F54" w:rsidRPr="00264D5D" w:rsidRDefault="00941227" w:rsidP="00941227">
            <w:pPr>
              <w:pStyle w:val="ASFKTablenorm"/>
              <w:widowControl w:val="0"/>
              <w:numPr>
                <w:ilvl w:val="0"/>
                <w:numId w:val="69"/>
              </w:numPr>
              <w:tabs>
                <w:tab w:val="left" w:pos="300"/>
              </w:tabs>
              <w:ind w:left="284" w:hanging="227"/>
              <w:contextualSpacing w:val="0"/>
              <w:rPr>
                <w:sz w:val="22"/>
                <w:szCs w:val="22"/>
              </w:rPr>
            </w:pPr>
            <w:r w:rsidRPr="00264D5D">
              <w:rPr>
                <w:sz w:val="22"/>
                <w:szCs w:val="22"/>
              </w:rPr>
              <w:t>«0» – первичные сведения о соглашении;</w:t>
            </w:r>
          </w:p>
          <w:p w14:paraId="49A9406E" w14:textId="77777777" w:rsidR="00AD1F54" w:rsidRPr="00264D5D" w:rsidRDefault="00941227" w:rsidP="00941227">
            <w:pPr>
              <w:pStyle w:val="ASFKTablenorm"/>
              <w:widowControl w:val="0"/>
              <w:numPr>
                <w:ilvl w:val="0"/>
                <w:numId w:val="69"/>
              </w:numPr>
              <w:tabs>
                <w:tab w:val="left" w:pos="300"/>
              </w:tabs>
              <w:ind w:left="284" w:hanging="227"/>
              <w:contextualSpacing w:val="0"/>
              <w:rPr>
                <w:sz w:val="22"/>
                <w:szCs w:val="22"/>
              </w:rPr>
            </w:pPr>
            <w:r w:rsidRPr="00264D5D">
              <w:rPr>
                <w:sz w:val="22"/>
                <w:szCs w:val="22"/>
              </w:rPr>
              <w:t xml:space="preserve">«1» – уточнение сведений о соглашении, включенных в реестр соглашений; </w:t>
            </w:r>
          </w:p>
          <w:p w14:paraId="7D199173" w14:textId="77777777" w:rsidR="00AD1F54" w:rsidRPr="00264D5D" w:rsidRDefault="00941227" w:rsidP="00941227">
            <w:pPr>
              <w:pStyle w:val="ASFKTablenorm"/>
              <w:widowControl w:val="0"/>
              <w:numPr>
                <w:ilvl w:val="0"/>
                <w:numId w:val="69"/>
              </w:numPr>
              <w:tabs>
                <w:tab w:val="left" w:pos="300"/>
              </w:tabs>
              <w:ind w:left="284" w:hanging="227"/>
              <w:contextualSpacing w:val="0"/>
              <w:rPr>
                <w:sz w:val="22"/>
                <w:szCs w:val="22"/>
              </w:rPr>
            </w:pPr>
            <w:r w:rsidRPr="00264D5D">
              <w:rPr>
                <w:sz w:val="22"/>
                <w:szCs w:val="22"/>
              </w:rPr>
              <w:t>«3» – сведения о дополнительном соглашении;</w:t>
            </w:r>
          </w:p>
          <w:p w14:paraId="58EDF2A5" w14:textId="77777777" w:rsidR="00AD1F54" w:rsidRPr="00264D5D" w:rsidRDefault="00941227" w:rsidP="00941227">
            <w:pPr>
              <w:pStyle w:val="ASFKTablenorm"/>
              <w:widowControl w:val="0"/>
              <w:numPr>
                <w:ilvl w:val="0"/>
                <w:numId w:val="69"/>
              </w:numPr>
              <w:tabs>
                <w:tab w:val="left" w:pos="300"/>
              </w:tabs>
              <w:ind w:left="284" w:hanging="227"/>
              <w:contextualSpacing w:val="0"/>
              <w:rPr>
                <w:sz w:val="22"/>
                <w:szCs w:val="22"/>
              </w:rPr>
            </w:pPr>
            <w:r w:rsidRPr="00264D5D">
              <w:rPr>
                <w:sz w:val="22"/>
                <w:szCs w:val="22"/>
              </w:rPr>
              <w:t>«4» – уточнение свед</w:t>
            </w:r>
            <w:r w:rsidR="00B83EE9" w:rsidRPr="00264D5D">
              <w:rPr>
                <w:sz w:val="22"/>
                <w:szCs w:val="22"/>
              </w:rPr>
              <w:t>ений дополнительного соглашения</w:t>
            </w:r>
          </w:p>
        </w:tc>
      </w:tr>
      <w:tr w:rsidR="00AD1F54" w:rsidRPr="00264D5D" w14:paraId="37331C27"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96224D9" w14:textId="77777777" w:rsidR="00AD1F54" w:rsidRPr="00264D5D" w:rsidRDefault="00941227">
            <w:pPr>
              <w:pStyle w:val="EBTablenorm"/>
              <w:ind w:left="57" w:right="57"/>
              <w:contextualSpacing w:val="0"/>
              <w:rPr>
                <w:sz w:val="22"/>
                <w:szCs w:val="22"/>
              </w:rPr>
            </w:pPr>
            <w:r w:rsidRPr="00264D5D">
              <w:rPr>
                <w:sz w:val="22"/>
                <w:szCs w:val="22"/>
              </w:rPr>
              <w:t>Календарь предоставления отчетности</w:t>
            </w:r>
          </w:p>
        </w:tc>
        <w:tc>
          <w:tcPr>
            <w:tcW w:w="1699" w:type="dxa"/>
          </w:tcPr>
          <w:p w14:paraId="652C4AA8" w14:textId="77777777" w:rsidR="00AD1F54" w:rsidRPr="00264D5D" w:rsidRDefault="00941227">
            <w:pPr>
              <w:pStyle w:val="EBTablenorm"/>
              <w:ind w:left="57" w:right="57"/>
              <w:contextualSpacing w:val="0"/>
              <w:rPr>
                <w:sz w:val="22"/>
                <w:szCs w:val="22"/>
              </w:rPr>
            </w:pPr>
            <w:r w:rsidRPr="00264D5D">
              <w:rPr>
                <w:sz w:val="22"/>
                <w:szCs w:val="22"/>
              </w:rPr>
              <w:t>Calendar</w:t>
            </w:r>
          </w:p>
        </w:tc>
        <w:tc>
          <w:tcPr>
            <w:tcW w:w="567" w:type="dxa"/>
          </w:tcPr>
          <w:p w14:paraId="6F390737" w14:textId="77777777" w:rsidR="00AD1F54" w:rsidRPr="00264D5D" w:rsidRDefault="00941227">
            <w:pPr>
              <w:pStyle w:val="EBTablenorm"/>
              <w:ind w:left="57" w:right="57"/>
              <w:contextualSpacing w:val="0"/>
              <w:rPr>
                <w:sz w:val="22"/>
                <w:szCs w:val="22"/>
              </w:rPr>
            </w:pPr>
            <w:r w:rsidRPr="00264D5D">
              <w:rPr>
                <w:sz w:val="22"/>
                <w:szCs w:val="22"/>
              </w:rPr>
              <w:t>С</w:t>
            </w:r>
          </w:p>
        </w:tc>
        <w:tc>
          <w:tcPr>
            <w:tcW w:w="1133" w:type="dxa"/>
          </w:tcPr>
          <w:p w14:paraId="79D6B04E" w14:textId="77777777" w:rsidR="00AD1F54" w:rsidRPr="00264D5D" w:rsidRDefault="00941227">
            <w:pPr>
              <w:pStyle w:val="EBTablenorm"/>
              <w:ind w:left="57" w:right="57"/>
              <w:contextualSpacing w:val="0"/>
              <w:rPr>
                <w:sz w:val="22"/>
                <w:szCs w:val="22"/>
              </w:rPr>
            </w:pPr>
            <w:r w:rsidRPr="00264D5D">
              <w:rPr>
                <w:sz w:val="22"/>
                <w:szCs w:val="22"/>
              </w:rPr>
              <w:t>tCalendar</w:t>
            </w:r>
          </w:p>
        </w:tc>
        <w:tc>
          <w:tcPr>
            <w:tcW w:w="567" w:type="dxa"/>
          </w:tcPr>
          <w:p w14:paraId="3C368CC2" w14:textId="77777777" w:rsidR="00AD1F54" w:rsidRPr="00264D5D" w:rsidRDefault="00941227">
            <w:pPr>
              <w:pStyle w:val="EBTablenorm"/>
              <w:ind w:left="57" w:right="57"/>
              <w:contextualSpacing w:val="0"/>
              <w:rPr>
                <w:sz w:val="22"/>
                <w:szCs w:val="22"/>
              </w:rPr>
            </w:pPr>
            <w:r w:rsidRPr="00264D5D">
              <w:rPr>
                <w:sz w:val="22"/>
                <w:szCs w:val="22"/>
              </w:rPr>
              <w:t>НМ</w:t>
            </w:r>
          </w:p>
        </w:tc>
        <w:tc>
          <w:tcPr>
            <w:tcW w:w="3963" w:type="dxa"/>
          </w:tcPr>
          <w:p w14:paraId="13C2C206" w14:textId="77777777" w:rsidR="00AD1F54" w:rsidRPr="00264D5D" w:rsidRDefault="00941227">
            <w:pPr>
              <w:pStyle w:val="EBTablenorm"/>
              <w:ind w:left="57" w:right="57"/>
              <w:contextualSpacing w:val="0"/>
              <w:rPr>
                <w:sz w:val="22"/>
                <w:szCs w:val="22"/>
              </w:rPr>
            </w:pPr>
            <w:r w:rsidRPr="00264D5D">
              <w:rPr>
                <w:sz w:val="22"/>
                <w:szCs w:val="22"/>
              </w:rPr>
              <w:t xml:space="preserve">График предоставления отчетности. </w:t>
            </w:r>
          </w:p>
          <w:p w14:paraId="319A27F6" w14:textId="77777777" w:rsidR="00B83EE9" w:rsidRPr="00264D5D" w:rsidRDefault="00941227">
            <w:pPr>
              <w:pStyle w:val="EBTablenorm"/>
              <w:ind w:left="57" w:right="57"/>
              <w:contextualSpacing w:val="0"/>
              <w:rPr>
                <w:sz w:val="22"/>
                <w:szCs w:val="22"/>
              </w:rPr>
            </w:pPr>
            <w:r w:rsidRPr="00264D5D">
              <w:rPr>
                <w:sz w:val="22"/>
                <w:szCs w:val="22"/>
              </w:rPr>
              <w:t xml:space="preserve">Обязателен для заполнения в случае, если соглашением предусматривается предоставление отчетности. </w:t>
            </w:r>
          </w:p>
          <w:p w14:paraId="01FBE2A9" w14:textId="7F5E7C62" w:rsidR="00AD1F54" w:rsidRPr="00264D5D" w:rsidRDefault="00941227">
            <w:pPr>
              <w:pStyle w:val="EBTablenorm"/>
              <w:ind w:left="57" w:right="57"/>
              <w:contextualSpacing w:val="0"/>
              <w:rPr>
                <w:sz w:val="22"/>
                <w:szCs w:val="22"/>
              </w:rPr>
            </w:pPr>
            <w:r w:rsidRPr="00264D5D">
              <w:rPr>
                <w:sz w:val="22"/>
                <w:szCs w:val="22"/>
              </w:rPr>
              <w:t xml:space="preserve">Состав элемента представлен в таблице </w:t>
            </w:r>
            <w:r w:rsidRPr="00264D5D">
              <w:rPr>
                <w:rFonts w:eastAsia="Calibri"/>
                <w:b/>
                <w:sz w:val="22"/>
                <w:szCs w:val="22"/>
              </w:rPr>
              <w:fldChar w:fldCharType="begin"/>
            </w:r>
            <w:r w:rsidRPr="00264D5D">
              <w:rPr>
                <w:rFonts w:eastAsia="Calibri"/>
                <w:b/>
                <w:sz w:val="22"/>
                <w:szCs w:val="22"/>
              </w:rPr>
              <w:instrText xml:space="preserve"> REF _Ref531280822 \h  \* MERGEFORMAT </w:instrText>
            </w:r>
            <w:r w:rsidRPr="00264D5D">
              <w:rPr>
                <w:rFonts w:eastAsia="Calibri"/>
                <w:b/>
                <w:sz w:val="22"/>
                <w:szCs w:val="22"/>
              </w:rPr>
            </w:r>
            <w:r w:rsidRPr="00264D5D">
              <w:rPr>
                <w:rFonts w:eastAsia="Calibri"/>
                <w:b/>
                <w:sz w:val="22"/>
                <w:szCs w:val="22"/>
              </w:rPr>
              <w:fldChar w:fldCharType="separate"/>
            </w:r>
            <w:r w:rsidR="008D797C" w:rsidRPr="008D797C">
              <w:rPr>
                <w:rFonts w:eastAsia="Calibri"/>
                <w:b/>
                <w:sz w:val="22"/>
                <w:szCs w:val="22"/>
              </w:rPr>
              <w:t>195</w:t>
            </w:r>
            <w:r w:rsidRPr="00264D5D">
              <w:rPr>
                <w:rFonts w:eastAsia="Calibri"/>
                <w:b/>
                <w:sz w:val="22"/>
                <w:szCs w:val="22"/>
              </w:rPr>
              <w:fldChar w:fldCharType="end"/>
            </w:r>
          </w:p>
        </w:tc>
      </w:tr>
      <w:tr w:rsidR="00AD1F54" w:rsidRPr="00264D5D" w14:paraId="6623D701"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3ECBC4D5" w14:textId="77777777" w:rsidR="00AD1F54" w:rsidRPr="00264D5D" w:rsidRDefault="00941227">
            <w:pPr>
              <w:pStyle w:val="EBTablenorm"/>
              <w:ind w:left="57" w:right="57"/>
              <w:contextualSpacing w:val="0"/>
              <w:rPr>
                <w:sz w:val="22"/>
                <w:szCs w:val="22"/>
              </w:rPr>
            </w:pPr>
            <w:r w:rsidRPr="00264D5D">
              <w:rPr>
                <w:sz w:val="22"/>
                <w:szCs w:val="22"/>
              </w:rPr>
              <w:t>Наименование ГРБС/иного юридического лица</w:t>
            </w:r>
          </w:p>
        </w:tc>
        <w:tc>
          <w:tcPr>
            <w:tcW w:w="1699" w:type="dxa"/>
          </w:tcPr>
          <w:p w14:paraId="2A4B06DB" w14:textId="77777777" w:rsidR="00AD1F54" w:rsidRPr="00264D5D" w:rsidRDefault="00941227">
            <w:pPr>
              <w:pStyle w:val="EBTablenorm"/>
              <w:ind w:left="57" w:right="57"/>
              <w:contextualSpacing w:val="0"/>
              <w:rPr>
                <w:color w:val="000000"/>
                <w:sz w:val="22"/>
                <w:szCs w:val="22"/>
              </w:rPr>
            </w:pPr>
            <w:r w:rsidRPr="00264D5D">
              <w:rPr>
                <w:sz w:val="22"/>
                <w:szCs w:val="22"/>
                <w:lang w:val="en-US"/>
              </w:rPr>
              <w:t>GRBS</w:t>
            </w:r>
          </w:p>
        </w:tc>
        <w:tc>
          <w:tcPr>
            <w:tcW w:w="567" w:type="dxa"/>
          </w:tcPr>
          <w:p w14:paraId="1B52D37B" w14:textId="77777777" w:rsidR="00AD1F54" w:rsidRPr="00264D5D" w:rsidRDefault="00941227">
            <w:pPr>
              <w:pStyle w:val="EBTablenorm"/>
              <w:ind w:left="57" w:right="57"/>
              <w:contextualSpacing w:val="0"/>
              <w:rPr>
                <w:sz w:val="22"/>
                <w:szCs w:val="22"/>
              </w:rPr>
            </w:pPr>
            <w:r w:rsidRPr="00264D5D">
              <w:rPr>
                <w:sz w:val="22"/>
                <w:szCs w:val="22"/>
              </w:rPr>
              <w:t>С</w:t>
            </w:r>
          </w:p>
        </w:tc>
        <w:tc>
          <w:tcPr>
            <w:tcW w:w="1133" w:type="dxa"/>
          </w:tcPr>
          <w:p w14:paraId="5387D9F1" w14:textId="77777777" w:rsidR="00AD1F54" w:rsidRPr="00264D5D" w:rsidRDefault="00941227">
            <w:pPr>
              <w:pStyle w:val="EBTablenorm"/>
              <w:ind w:left="57" w:right="57"/>
              <w:contextualSpacing w:val="0"/>
              <w:rPr>
                <w:sz w:val="22"/>
                <w:szCs w:val="22"/>
              </w:rPr>
            </w:pPr>
            <w:r w:rsidRPr="00264D5D">
              <w:rPr>
                <w:sz w:val="22"/>
                <w:szCs w:val="22"/>
              </w:rPr>
              <w:t>tRequisites</w:t>
            </w:r>
          </w:p>
          <w:p w14:paraId="1DC0DE9A" w14:textId="77777777" w:rsidR="00AD1F54" w:rsidRPr="00264D5D" w:rsidRDefault="00AD1F54">
            <w:pPr>
              <w:pStyle w:val="EBTablenorm"/>
              <w:ind w:left="57" w:right="57"/>
              <w:contextualSpacing w:val="0"/>
              <w:rPr>
                <w:sz w:val="22"/>
                <w:szCs w:val="22"/>
              </w:rPr>
            </w:pPr>
          </w:p>
        </w:tc>
        <w:tc>
          <w:tcPr>
            <w:tcW w:w="567" w:type="dxa"/>
          </w:tcPr>
          <w:p w14:paraId="0B286A94" w14:textId="77777777" w:rsidR="00AD1F54" w:rsidRPr="00264D5D" w:rsidRDefault="00941227">
            <w:pPr>
              <w:pStyle w:val="EBTablenorm"/>
              <w:ind w:left="57" w:right="57"/>
              <w:contextualSpacing w:val="0"/>
              <w:rPr>
                <w:sz w:val="22"/>
                <w:szCs w:val="22"/>
              </w:rPr>
            </w:pPr>
            <w:r w:rsidRPr="00264D5D">
              <w:rPr>
                <w:sz w:val="22"/>
                <w:szCs w:val="22"/>
              </w:rPr>
              <w:t>О</w:t>
            </w:r>
          </w:p>
        </w:tc>
        <w:tc>
          <w:tcPr>
            <w:tcW w:w="3963" w:type="dxa"/>
          </w:tcPr>
          <w:p w14:paraId="288D5ED3" w14:textId="77777777" w:rsidR="00AD1F54" w:rsidRPr="00264D5D" w:rsidRDefault="00941227">
            <w:pPr>
              <w:pStyle w:val="EBTablenorm"/>
              <w:ind w:left="57" w:right="57"/>
              <w:contextualSpacing w:val="0"/>
              <w:rPr>
                <w:sz w:val="22"/>
                <w:szCs w:val="22"/>
              </w:rPr>
            </w:pPr>
            <w:r w:rsidRPr="00264D5D">
              <w:rPr>
                <w:sz w:val="22"/>
                <w:szCs w:val="22"/>
              </w:rPr>
              <w:t>Наименование ГРБС/иного юридического лица. (Всегда реквизиты учредителя).</w:t>
            </w:r>
          </w:p>
          <w:p w14:paraId="527B7AD3" w14:textId="6EFB6A6C" w:rsidR="00AD1F54" w:rsidRPr="00264D5D" w:rsidRDefault="00941227">
            <w:pPr>
              <w:pStyle w:val="EBTablenorm"/>
              <w:ind w:left="57" w:right="57"/>
              <w:contextualSpacing w:val="0"/>
              <w:rPr>
                <w:sz w:val="22"/>
                <w:szCs w:val="22"/>
              </w:rPr>
            </w:pPr>
            <w:r w:rsidRPr="00264D5D">
              <w:rPr>
                <w:sz w:val="22"/>
                <w:szCs w:val="22"/>
              </w:rPr>
              <w:t xml:space="preserve">Состав элемента представлен в таблице </w:t>
            </w:r>
            <w:r w:rsidRPr="00264D5D">
              <w:rPr>
                <w:b/>
                <w:sz w:val="22"/>
                <w:szCs w:val="22"/>
              </w:rPr>
              <w:fldChar w:fldCharType="begin"/>
            </w:r>
            <w:r w:rsidRPr="00264D5D">
              <w:rPr>
                <w:b/>
                <w:sz w:val="22"/>
                <w:szCs w:val="22"/>
              </w:rPr>
              <w:instrText xml:space="preserve"> REF _Ref494363228 \h  \* MERGEFORMAT </w:instrText>
            </w:r>
            <w:r w:rsidRPr="00264D5D">
              <w:rPr>
                <w:b/>
                <w:sz w:val="22"/>
                <w:szCs w:val="22"/>
              </w:rPr>
            </w:r>
            <w:r w:rsidRPr="00264D5D">
              <w:rPr>
                <w:b/>
                <w:sz w:val="22"/>
                <w:szCs w:val="22"/>
              </w:rPr>
              <w:fldChar w:fldCharType="separate"/>
            </w:r>
            <w:r w:rsidR="008D797C" w:rsidRPr="008D797C">
              <w:rPr>
                <w:rFonts w:eastAsia="Calibri"/>
                <w:b/>
                <w:sz w:val="22"/>
                <w:szCs w:val="22"/>
              </w:rPr>
              <w:t>197</w:t>
            </w:r>
            <w:r w:rsidRPr="00264D5D">
              <w:rPr>
                <w:b/>
                <w:sz w:val="22"/>
                <w:szCs w:val="22"/>
              </w:rPr>
              <w:fldChar w:fldCharType="end"/>
            </w:r>
          </w:p>
        </w:tc>
      </w:tr>
      <w:tr w:rsidR="00AD1F54" w:rsidRPr="00264D5D" w14:paraId="70702D45"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7FC1FDA" w14:textId="77777777" w:rsidR="00AD1F54" w:rsidRPr="00264D5D" w:rsidRDefault="00941227">
            <w:pPr>
              <w:pStyle w:val="EBTablenorm"/>
              <w:ind w:left="57" w:right="57"/>
              <w:contextualSpacing w:val="0"/>
              <w:rPr>
                <w:sz w:val="22"/>
                <w:szCs w:val="22"/>
              </w:rPr>
            </w:pPr>
            <w:r w:rsidRPr="00264D5D">
              <w:rPr>
                <w:sz w:val="22"/>
                <w:szCs w:val="22"/>
              </w:rPr>
              <w:t xml:space="preserve">Наименование </w:t>
            </w:r>
            <w:r w:rsidRPr="00264D5D">
              <w:rPr>
                <w:bCs/>
                <w:sz w:val="22"/>
                <w:szCs w:val="22"/>
              </w:rPr>
              <w:t xml:space="preserve">получателя субсидии, получателя </w:t>
            </w:r>
            <w:r w:rsidRPr="00264D5D">
              <w:rPr>
                <w:bCs/>
                <w:sz w:val="22"/>
                <w:szCs w:val="22"/>
              </w:rPr>
              <w:lastRenderedPageBreak/>
              <w:t>средств</w:t>
            </w:r>
          </w:p>
        </w:tc>
        <w:tc>
          <w:tcPr>
            <w:tcW w:w="1699" w:type="dxa"/>
          </w:tcPr>
          <w:p w14:paraId="6E5EA38B" w14:textId="77777777" w:rsidR="00AD1F54" w:rsidRPr="00264D5D" w:rsidRDefault="00941227">
            <w:pPr>
              <w:pStyle w:val="EBTablenorm"/>
              <w:ind w:left="57" w:right="57"/>
              <w:contextualSpacing w:val="0"/>
              <w:rPr>
                <w:sz w:val="22"/>
                <w:szCs w:val="22"/>
              </w:rPr>
            </w:pPr>
            <w:r w:rsidRPr="00264D5D">
              <w:rPr>
                <w:sz w:val="22"/>
                <w:szCs w:val="22"/>
                <w:lang w:val="en-US"/>
              </w:rPr>
              <w:lastRenderedPageBreak/>
              <w:t>Rcpt</w:t>
            </w:r>
          </w:p>
        </w:tc>
        <w:tc>
          <w:tcPr>
            <w:tcW w:w="567" w:type="dxa"/>
          </w:tcPr>
          <w:p w14:paraId="3FB4F1EC" w14:textId="77777777" w:rsidR="00AD1F54" w:rsidRPr="00264D5D" w:rsidRDefault="00941227">
            <w:pPr>
              <w:pStyle w:val="EBTablenorm"/>
              <w:ind w:left="57" w:right="57"/>
              <w:contextualSpacing w:val="0"/>
              <w:rPr>
                <w:sz w:val="22"/>
                <w:szCs w:val="22"/>
              </w:rPr>
            </w:pPr>
            <w:r w:rsidRPr="00264D5D">
              <w:rPr>
                <w:sz w:val="22"/>
                <w:szCs w:val="22"/>
              </w:rPr>
              <w:t>С</w:t>
            </w:r>
          </w:p>
        </w:tc>
        <w:tc>
          <w:tcPr>
            <w:tcW w:w="1133" w:type="dxa"/>
          </w:tcPr>
          <w:p w14:paraId="1BB1D044" w14:textId="77777777" w:rsidR="00AD1F54" w:rsidRPr="00264D5D" w:rsidRDefault="00941227">
            <w:pPr>
              <w:pStyle w:val="EBTablenorm"/>
              <w:ind w:left="57" w:right="57"/>
              <w:contextualSpacing w:val="0"/>
              <w:rPr>
                <w:sz w:val="22"/>
                <w:szCs w:val="22"/>
              </w:rPr>
            </w:pPr>
            <w:r w:rsidRPr="00264D5D">
              <w:rPr>
                <w:sz w:val="22"/>
                <w:szCs w:val="22"/>
              </w:rPr>
              <w:t>tRequisites</w:t>
            </w:r>
          </w:p>
        </w:tc>
        <w:tc>
          <w:tcPr>
            <w:tcW w:w="567" w:type="dxa"/>
          </w:tcPr>
          <w:p w14:paraId="0F8F78E7" w14:textId="77777777" w:rsidR="00AD1F54" w:rsidRPr="00264D5D" w:rsidRDefault="00941227">
            <w:pPr>
              <w:pStyle w:val="EBTablenorm"/>
              <w:ind w:left="57" w:right="57"/>
              <w:contextualSpacing w:val="0"/>
              <w:rPr>
                <w:sz w:val="22"/>
                <w:szCs w:val="22"/>
              </w:rPr>
            </w:pPr>
            <w:r w:rsidRPr="00264D5D">
              <w:rPr>
                <w:sz w:val="22"/>
                <w:szCs w:val="22"/>
              </w:rPr>
              <w:t>О</w:t>
            </w:r>
          </w:p>
        </w:tc>
        <w:tc>
          <w:tcPr>
            <w:tcW w:w="3963" w:type="dxa"/>
          </w:tcPr>
          <w:p w14:paraId="0E1DF23D" w14:textId="77777777" w:rsidR="00AD1F54" w:rsidRPr="00264D5D" w:rsidRDefault="00941227">
            <w:pPr>
              <w:pStyle w:val="EBTablenorm"/>
              <w:ind w:left="57" w:right="57"/>
              <w:contextualSpacing w:val="0"/>
              <w:rPr>
                <w:sz w:val="22"/>
                <w:szCs w:val="22"/>
              </w:rPr>
            </w:pPr>
            <w:r w:rsidRPr="00264D5D">
              <w:rPr>
                <w:sz w:val="22"/>
                <w:szCs w:val="22"/>
              </w:rPr>
              <w:t xml:space="preserve">Наименование </w:t>
            </w:r>
            <w:r w:rsidRPr="00264D5D">
              <w:rPr>
                <w:bCs/>
                <w:sz w:val="22"/>
                <w:szCs w:val="22"/>
              </w:rPr>
              <w:t>получателя субсидии, получателя средств.</w:t>
            </w:r>
            <w:r w:rsidRPr="00264D5D">
              <w:rPr>
                <w:sz w:val="22"/>
                <w:szCs w:val="22"/>
              </w:rPr>
              <w:t xml:space="preserve"> </w:t>
            </w:r>
          </w:p>
          <w:p w14:paraId="2DE2CA1B" w14:textId="1282048B" w:rsidR="00AD1F54" w:rsidRPr="00264D5D" w:rsidRDefault="00941227">
            <w:pPr>
              <w:pStyle w:val="EBTablenorm"/>
              <w:ind w:left="57" w:right="57"/>
              <w:contextualSpacing w:val="0"/>
              <w:rPr>
                <w:sz w:val="22"/>
                <w:szCs w:val="22"/>
              </w:rPr>
            </w:pPr>
            <w:r w:rsidRPr="00264D5D">
              <w:rPr>
                <w:sz w:val="22"/>
                <w:szCs w:val="22"/>
              </w:rPr>
              <w:t xml:space="preserve">Состав элемента представлен в таблице </w:t>
            </w:r>
            <w:r w:rsidRPr="00264D5D">
              <w:rPr>
                <w:b/>
                <w:sz w:val="22"/>
                <w:szCs w:val="22"/>
              </w:rPr>
              <w:fldChar w:fldCharType="begin"/>
            </w:r>
            <w:r w:rsidRPr="00264D5D">
              <w:rPr>
                <w:b/>
                <w:sz w:val="22"/>
                <w:szCs w:val="22"/>
              </w:rPr>
              <w:instrText xml:space="preserve"> REF _Ref494363228 \h  \* MERGEFORMAT </w:instrText>
            </w:r>
            <w:r w:rsidRPr="00264D5D">
              <w:rPr>
                <w:b/>
                <w:sz w:val="22"/>
                <w:szCs w:val="22"/>
              </w:rPr>
            </w:r>
            <w:r w:rsidRPr="00264D5D">
              <w:rPr>
                <w:b/>
                <w:sz w:val="22"/>
                <w:szCs w:val="22"/>
              </w:rPr>
              <w:fldChar w:fldCharType="separate"/>
            </w:r>
            <w:r w:rsidR="008D797C" w:rsidRPr="008D797C">
              <w:rPr>
                <w:rFonts w:eastAsia="Calibri"/>
                <w:b/>
                <w:sz w:val="22"/>
                <w:szCs w:val="22"/>
              </w:rPr>
              <w:t>197</w:t>
            </w:r>
            <w:r w:rsidRPr="00264D5D">
              <w:rPr>
                <w:b/>
                <w:sz w:val="22"/>
                <w:szCs w:val="22"/>
              </w:rPr>
              <w:fldChar w:fldCharType="end"/>
            </w:r>
          </w:p>
        </w:tc>
      </w:tr>
      <w:tr w:rsidR="00AD1F54" w:rsidRPr="00264D5D" w14:paraId="11E32081"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A85AA80" w14:textId="77777777" w:rsidR="00AD1F54" w:rsidRPr="00264D5D" w:rsidRDefault="00941227">
            <w:pPr>
              <w:pStyle w:val="EBTablenorm"/>
              <w:ind w:left="57" w:right="57"/>
              <w:contextualSpacing w:val="0"/>
              <w:rPr>
                <w:sz w:val="22"/>
                <w:szCs w:val="22"/>
              </w:rPr>
            </w:pPr>
            <w:r w:rsidRPr="00264D5D">
              <w:rPr>
                <w:sz w:val="22"/>
                <w:szCs w:val="22"/>
              </w:rPr>
              <w:lastRenderedPageBreak/>
              <w:t>Код вида соглашения</w:t>
            </w:r>
          </w:p>
        </w:tc>
        <w:tc>
          <w:tcPr>
            <w:tcW w:w="1699" w:type="dxa"/>
          </w:tcPr>
          <w:p w14:paraId="14EAC2D9" w14:textId="77777777" w:rsidR="00AD1F54" w:rsidRPr="00264D5D" w:rsidRDefault="00941227">
            <w:pPr>
              <w:pStyle w:val="EBTablenorm"/>
              <w:ind w:left="57" w:right="57"/>
              <w:contextualSpacing w:val="0"/>
              <w:rPr>
                <w:sz w:val="22"/>
                <w:szCs w:val="22"/>
                <w:lang w:val="en-US"/>
              </w:rPr>
            </w:pPr>
            <w:r w:rsidRPr="00264D5D">
              <w:rPr>
                <w:sz w:val="22"/>
                <w:szCs w:val="22"/>
                <w:lang w:val="en-US"/>
              </w:rPr>
              <w:t xml:space="preserve">AgrCode </w:t>
            </w:r>
          </w:p>
        </w:tc>
        <w:tc>
          <w:tcPr>
            <w:tcW w:w="567" w:type="dxa"/>
          </w:tcPr>
          <w:p w14:paraId="0D41CA37" w14:textId="77777777" w:rsidR="00AD1F54" w:rsidRPr="00264D5D" w:rsidRDefault="00941227">
            <w:pPr>
              <w:pStyle w:val="EBTablenorm"/>
              <w:ind w:left="57" w:right="57"/>
              <w:contextualSpacing w:val="0"/>
              <w:rPr>
                <w:sz w:val="22"/>
                <w:szCs w:val="22"/>
              </w:rPr>
            </w:pPr>
            <w:r w:rsidRPr="00264D5D">
              <w:rPr>
                <w:sz w:val="22"/>
                <w:szCs w:val="22"/>
              </w:rPr>
              <w:t>П</w:t>
            </w:r>
          </w:p>
        </w:tc>
        <w:tc>
          <w:tcPr>
            <w:tcW w:w="1133" w:type="dxa"/>
          </w:tcPr>
          <w:p w14:paraId="2FF7491E" w14:textId="77777777" w:rsidR="00AD1F54" w:rsidRPr="00264D5D" w:rsidRDefault="00941227">
            <w:pPr>
              <w:pStyle w:val="EBTablenorm"/>
              <w:ind w:left="57" w:right="57"/>
              <w:contextualSpacing w:val="0"/>
              <w:rPr>
                <w:sz w:val="22"/>
                <w:szCs w:val="22"/>
              </w:rPr>
            </w:pPr>
            <w:r w:rsidRPr="00264D5D">
              <w:rPr>
                <w:sz w:val="22"/>
                <w:szCs w:val="22"/>
              </w:rPr>
              <w:t>Т(3)</w:t>
            </w:r>
          </w:p>
        </w:tc>
        <w:tc>
          <w:tcPr>
            <w:tcW w:w="567" w:type="dxa"/>
          </w:tcPr>
          <w:p w14:paraId="3CBCD306" w14:textId="77777777" w:rsidR="00AD1F54" w:rsidRPr="00264D5D" w:rsidRDefault="00941227">
            <w:pPr>
              <w:pStyle w:val="EBTablenorm"/>
              <w:ind w:left="57" w:right="57"/>
              <w:contextualSpacing w:val="0"/>
              <w:rPr>
                <w:sz w:val="22"/>
                <w:szCs w:val="22"/>
              </w:rPr>
            </w:pPr>
            <w:r w:rsidRPr="00264D5D">
              <w:rPr>
                <w:sz w:val="22"/>
                <w:szCs w:val="22"/>
              </w:rPr>
              <w:t>О</w:t>
            </w:r>
          </w:p>
        </w:tc>
        <w:tc>
          <w:tcPr>
            <w:tcW w:w="3963" w:type="dxa"/>
          </w:tcPr>
          <w:p w14:paraId="32F85FD4" w14:textId="77777777" w:rsidR="00AD1F54" w:rsidRPr="00264D5D" w:rsidRDefault="00941227">
            <w:pPr>
              <w:pStyle w:val="EBTablenorm"/>
              <w:ind w:left="57" w:right="57"/>
              <w:contextualSpacing w:val="0"/>
              <w:rPr>
                <w:sz w:val="22"/>
                <w:szCs w:val="22"/>
              </w:rPr>
            </w:pPr>
            <w:r w:rsidRPr="00264D5D">
              <w:rPr>
                <w:sz w:val="22"/>
                <w:szCs w:val="22"/>
              </w:rPr>
              <w:t>Код вида соглашения (договора, нормативного правового акта) в соответствии со справочником видов соглашений (договора, нормативного правового акта).</w:t>
            </w:r>
          </w:p>
          <w:p w14:paraId="7D8108E6" w14:textId="77777777" w:rsidR="00AD1F54" w:rsidRPr="00264D5D" w:rsidRDefault="00941227">
            <w:pPr>
              <w:pStyle w:val="EBTablenorm"/>
              <w:ind w:left="57" w:right="57"/>
              <w:contextualSpacing w:val="0"/>
              <w:rPr>
                <w:sz w:val="22"/>
                <w:szCs w:val="22"/>
              </w:rPr>
            </w:pPr>
            <w:r w:rsidRPr="00264D5D">
              <w:rPr>
                <w:sz w:val="22"/>
                <w:szCs w:val="22"/>
              </w:rPr>
              <w:t>Допустимые значения:</w:t>
            </w:r>
          </w:p>
          <w:p w14:paraId="5A3F6B4B" w14:textId="77777777" w:rsidR="00AD1F54" w:rsidRPr="00264D5D" w:rsidRDefault="00941227" w:rsidP="00941227">
            <w:pPr>
              <w:pStyle w:val="ASFKTablenorm"/>
              <w:widowControl w:val="0"/>
              <w:numPr>
                <w:ilvl w:val="0"/>
                <w:numId w:val="69"/>
              </w:numPr>
              <w:tabs>
                <w:tab w:val="left" w:pos="300"/>
              </w:tabs>
              <w:ind w:left="284" w:hanging="227"/>
              <w:contextualSpacing w:val="0"/>
              <w:rPr>
                <w:sz w:val="22"/>
                <w:szCs w:val="22"/>
              </w:rPr>
            </w:pPr>
            <w:r w:rsidRPr="00264D5D">
              <w:rPr>
                <w:sz w:val="22"/>
                <w:szCs w:val="22"/>
              </w:rPr>
              <w:t>«011» – Соглашения (договора) о предоставлении субсидий федеральным бюджетным и федеральным автономным учреждениям на финансовое обеспечение выполнения государственного задания на оказание государственных услуг (выполнение работ);</w:t>
            </w:r>
          </w:p>
          <w:p w14:paraId="4E04134E" w14:textId="77777777" w:rsidR="00AD1F54" w:rsidRPr="00264D5D" w:rsidRDefault="00941227" w:rsidP="00941227">
            <w:pPr>
              <w:pStyle w:val="ASFKTablenorm"/>
              <w:widowControl w:val="0"/>
              <w:numPr>
                <w:ilvl w:val="0"/>
                <w:numId w:val="69"/>
              </w:numPr>
              <w:tabs>
                <w:tab w:val="left" w:pos="300"/>
              </w:tabs>
              <w:ind w:left="284" w:hanging="227"/>
              <w:contextualSpacing w:val="0"/>
              <w:rPr>
                <w:sz w:val="22"/>
                <w:szCs w:val="22"/>
              </w:rPr>
            </w:pPr>
            <w:r w:rsidRPr="00264D5D">
              <w:rPr>
                <w:sz w:val="22"/>
                <w:szCs w:val="22"/>
              </w:rPr>
              <w:t>«012» – Соглашения (договора) о предоставлении субсидий федеральным бюджетным и федеральным автономным учреждениям на иные цели, в том числе грантов;</w:t>
            </w:r>
          </w:p>
          <w:p w14:paraId="0D65893B" w14:textId="77777777" w:rsidR="00AD1F54" w:rsidRPr="00264D5D" w:rsidRDefault="00941227" w:rsidP="00941227">
            <w:pPr>
              <w:pStyle w:val="ASFKTablenorm"/>
              <w:widowControl w:val="0"/>
              <w:numPr>
                <w:ilvl w:val="0"/>
                <w:numId w:val="69"/>
              </w:numPr>
              <w:tabs>
                <w:tab w:val="left" w:pos="300"/>
              </w:tabs>
              <w:ind w:left="284" w:hanging="227"/>
              <w:contextualSpacing w:val="0"/>
              <w:rPr>
                <w:sz w:val="22"/>
                <w:szCs w:val="22"/>
              </w:rPr>
            </w:pPr>
            <w:r w:rsidRPr="00264D5D">
              <w:rPr>
                <w:sz w:val="22"/>
                <w:szCs w:val="22"/>
              </w:rPr>
              <w:t>«013» – Соглашения (договора) о предоставлении субсидий федеральным бюджетным и федеральным автономным учреждениям, федеральным государственным унитарным предприятиям на осуществление капитальных вложений в объекты капитального строительства государственной собственности Российской Федерации и на приобретение объектов недвижимого имущества в государственную собственность Российской Федерации;</w:t>
            </w:r>
          </w:p>
          <w:p w14:paraId="0B4E5382" w14:textId="77777777" w:rsidR="00AD1F54" w:rsidRPr="00264D5D" w:rsidRDefault="00941227" w:rsidP="00941227">
            <w:pPr>
              <w:pStyle w:val="ASFKTablenorm"/>
              <w:widowControl w:val="0"/>
              <w:numPr>
                <w:ilvl w:val="0"/>
                <w:numId w:val="69"/>
              </w:numPr>
              <w:tabs>
                <w:tab w:val="left" w:pos="300"/>
              </w:tabs>
              <w:ind w:left="284" w:hanging="227"/>
              <w:contextualSpacing w:val="0"/>
              <w:rPr>
                <w:sz w:val="22"/>
                <w:szCs w:val="22"/>
              </w:rPr>
            </w:pPr>
            <w:r w:rsidRPr="00264D5D">
              <w:rPr>
                <w:sz w:val="22"/>
                <w:szCs w:val="22"/>
              </w:rPr>
              <w:t>«014» – Соглашения (договора) о предоставлении субсидий иным некоммерческим организациям, не являющимся федеральными государственными учреждениями;</w:t>
            </w:r>
          </w:p>
          <w:p w14:paraId="56E6691C" w14:textId="77777777" w:rsidR="00AD1F54" w:rsidRPr="00264D5D" w:rsidRDefault="00941227" w:rsidP="00941227">
            <w:pPr>
              <w:pStyle w:val="ASFKTablenorm"/>
              <w:widowControl w:val="0"/>
              <w:numPr>
                <w:ilvl w:val="0"/>
                <w:numId w:val="69"/>
              </w:numPr>
              <w:tabs>
                <w:tab w:val="left" w:pos="300"/>
              </w:tabs>
              <w:ind w:left="284" w:hanging="227"/>
              <w:contextualSpacing w:val="0"/>
              <w:rPr>
                <w:sz w:val="22"/>
                <w:szCs w:val="22"/>
              </w:rPr>
            </w:pPr>
            <w:r w:rsidRPr="00264D5D">
              <w:rPr>
                <w:sz w:val="22"/>
                <w:szCs w:val="22"/>
              </w:rPr>
              <w:t xml:space="preserve">«015» – Соглашения (договора) о предоставлении субсидий </w:t>
            </w:r>
            <w:r w:rsidRPr="00264D5D">
              <w:rPr>
                <w:sz w:val="22"/>
                <w:szCs w:val="22"/>
              </w:rPr>
              <w:lastRenderedPageBreak/>
              <w:t>юридическим лицам (за исключением федеральных государственных учреждений), индивидуальным предпринимателям, физическим лицам – производителям товаров, работ, услуг, в том числе грантов;</w:t>
            </w:r>
          </w:p>
          <w:p w14:paraId="605B2A91" w14:textId="77777777" w:rsidR="00AD1F54" w:rsidRPr="00264D5D" w:rsidRDefault="00941227" w:rsidP="00941227">
            <w:pPr>
              <w:pStyle w:val="ASFKTablenorm"/>
              <w:widowControl w:val="0"/>
              <w:numPr>
                <w:ilvl w:val="0"/>
                <w:numId w:val="69"/>
              </w:numPr>
              <w:tabs>
                <w:tab w:val="left" w:pos="300"/>
              </w:tabs>
              <w:ind w:left="284" w:hanging="227"/>
              <w:contextualSpacing w:val="0"/>
              <w:rPr>
                <w:sz w:val="22"/>
                <w:szCs w:val="22"/>
              </w:rPr>
            </w:pPr>
            <w:r w:rsidRPr="00264D5D">
              <w:rPr>
                <w:sz w:val="22"/>
                <w:szCs w:val="22"/>
              </w:rPr>
              <w:t>«016» – Соглашения (договора) о предоставлении бюджетных инвестиций юридическим лицам, не являющимся федеральными государственными учреждениями и федеральными государственными унитарными предприятиями;</w:t>
            </w:r>
          </w:p>
          <w:p w14:paraId="247CDCE3" w14:textId="77777777" w:rsidR="00AD1F54" w:rsidRPr="00264D5D" w:rsidRDefault="00941227" w:rsidP="00941227">
            <w:pPr>
              <w:pStyle w:val="ASFKTablenorm"/>
              <w:widowControl w:val="0"/>
              <w:numPr>
                <w:ilvl w:val="0"/>
                <w:numId w:val="69"/>
              </w:numPr>
              <w:tabs>
                <w:tab w:val="left" w:pos="300"/>
              </w:tabs>
              <w:ind w:left="284" w:hanging="227"/>
              <w:contextualSpacing w:val="0"/>
              <w:rPr>
                <w:sz w:val="22"/>
                <w:szCs w:val="22"/>
              </w:rPr>
            </w:pPr>
            <w:r w:rsidRPr="00264D5D">
              <w:rPr>
                <w:sz w:val="22"/>
                <w:szCs w:val="22"/>
              </w:rPr>
              <w:t xml:space="preserve">«020» – Соглашения (договора) о предоставлении субсидии, полученной из федерального бюджета, третьим лицам на конкурсной основе; </w:t>
            </w:r>
          </w:p>
          <w:p w14:paraId="6532ACA1" w14:textId="77777777" w:rsidR="00AD1F54" w:rsidRPr="00264D5D" w:rsidRDefault="00941227" w:rsidP="00941227">
            <w:pPr>
              <w:pStyle w:val="ASFKTablenorm"/>
              <w:widowControl w:val="0"/>
              <w:numPr>
                <w:ilvl w:val="0"/>
                <w:numId w:val="69"/>
              </w:numPr>
              <w:tabs>
                <w:tab w:val="left" w:pos="300"/>
              </w:tabs>
              <w:ind w:left="284" w:hanging="227"/>
              <w:contextualSpacing w:val="0"/>
              <w:rPr>
                <w:sz w:val="22"/>
                <w:szCs w:val="22"/>
              </w:rPr>
            </w:pPr>
            <w:r w:rsidRPr="00264D5D">
              <w:rPr>
                <w:sz w:val="22"/>
                <w:szCs w:val="22"/>
              </w:rPr>
              <w:t>«031» – Соглашения о предоставлении субсидий бюджетам субъектов Российской Федерации;</w:t>
            </w:r>
          </w:p>
          <w:p w14:paraId="64159738" w14:textId="77777777" w:rsidR="00AD1F54" w:rsidRPr="00264D5D" w:rsidRDefault="00941227" w:rsidP="00941227">
            <w:pPr>
              <w:pStyle w:val="ASFKTablenorm"/>
              <w:widowControl w:val="0"/>
              <w:numPr>
                <w:ilvl w:val="0"/>
                <w:numId w:val="69"/>
              </w:numPr>
              <w:tabs>
                <w:tab w:val="left" w:pos="300"/>
              </w:tabs>
              <w:ind w:left="284" w:hanging="227"/>
              <w:contextualSpacing w:val="0"/>
              <w:rPr>
                <w:sz w:val="22"/>
                <w:szCs w:val="22"/>
              </w:rPr>
            </w:pPr>
            <w:r w:rsidRPr="00264D5D">
              <w:rPr>
                <w:sz w:val="22"/>
                <w:szCs w:val="22"/>
              </w:rPr>
              <w:t>«032» – Соглашения о предоставлении субвенций бюджетам субъектов Российской Федерации;</w:t>
            </w:r>
          </w:p>
          <w:p w14:paraId="2B572D6A" w14:textId="77777777" w:rsidR="00AD1F54" w:rsidRPr="00264D5D" w:rsidRDefault="00941227" w:rsidP="00941227">
            <w:pPr>
              <w:pStyle w:val="ASFKTablenorm"/>
              <w:widowControl w:val="0"/>
              <w:numPr>
                <w:ilvl w:val="0"/>
                <w:numId w:val="69"/>
              </w:numPr>
              <w:tabs>
                <w:tab w:val="left" w:pos="300"/>
              </w:tabs>
              <w:ind w:left="284" w:hanging="227"/>
              <w:contextualSpacing w:val="0"/>
              <w:rPr>
                <w:sz w:val="22"/>
                <w:szCs w:val="22"/>
              </w:rPr>
            </w:pPr>
            <w:r w:rsidRPr="00264D5D">
              <w:rPr>
                <w:sz w:val="22"/>
                <w:szCs w:val="22"/>
              </w:rPr>
              <w:t>«033» – Соглашения о предоставлении иных межбюджетных трансфертов, имеющих целевое назначение, бюджетам субъектов Российской Федерации;</w:t>
            </w:r>
          </w:p>
          <w:p w14:paraId="4A760ED4" w14:textId="77777777" w:rsidR="00AD1F54" w:rsidRPr="00264D5D" w:rsidRDefault="00941227" w:rsidP="00941227">
            <w:pPr>
              <w:pStyle w:val="ASFKTablenorm"/>
              <w:widowControl w:val="0"/>
              <w:numPr>
                <w:ilvl w:val="0"/>
                <w:numId w:val="69"/>
              </w:numPr>
              <w:tabs>
                <w:tab w:val="left" w:pos="300"/>
              </w:tabs>
              <w:ind w:left="284" w:hanging="227"/>
              <w:contextualSpacing w:val="0"/>
              <w:rPr>
                <w:sz w:val="22"/>
                <w:szCs w:val="22"/>
              </w:rPr>
            </w:pPr>
            <w:r w:rsidRPr="00264D5D">
              <w:rPr>
                <w:sz w:val="22"/>
                <w:szCs w:val="22"/>
              </w:rPr>
              <w:t>«041» – Правовые акты о предоставлении субсидий федеральным бюджетным и федеральным автономным учреждениям на финансовое обеспечение выполнения государственного задания на оказание государственных услуг (выполнение работ);</w:t>
            </w:r>
          </w:p>
          <w:p w14:paraId="2E23B442" w14:textId="77777777" w:rsidR="00AD1F54" w:rsidRPr="00264D5D" w:rsidRDefault="00941227" w:rsidP="00941227">
            <w:pPr>
              <w:pStyle w:val="ASFKTablenorm"/>
              <w:widowControl w:val="0"/>
              <w:numPr>
                <w:ilvl w:val="0"/>
                <w:numId w:val="69"/>
              </w:numPr>
              <w:tabs>
                <w:tab w:val="left" w:pos="300"/>
              </w:tabs>
              <w:ind w:left="284" w:hanging="227"/>
              <w:contextualSpacing w:val="0"/>
              <w:rPr>
                <w:sz w:val="22"/>
                <w:szCs w:val="22"/>
              </w:rPr>
            </w:pPr>
            <w:r w:rsidRPr="00264D5D">
              <w:rPr>
                <w:sz w:val="22"/>
                <w:szCs w:val="22"/>
              </w:rPr>
              <w:t>«042» – Правовые акты о предоставлении субсидий федеральным бюджетным и федеральным автономным учреждениям на иные цели, в том числе грантов;</w:t>
            </w:r>
          </w:p>
          <w:p w14:paraId="2AC70844" w14:textId="77777777" w:rsidR="00AD1F54" w:rsidRPr="00264D5D" w:rsidRDefault="00941227" w:rsidP="00941227">
            <w:pPr>
              <w:pStyle w:val="ASFKTablenorm"/>
              <w:widowControl w:val="0"/>
              <w:numPr>
                <w:ilvl w:val="0"/>
                <w:numId w:val="69"/>
              </w:numPr>
              <w:tabs>
                <w:tab w:val="left" w:pos="300"/>
              </w:tabs>
              <w:ind w:left="284" w:hanging="227"/>
              <w:contextualSpacing w:val="0"/>
              <w:rPr>
                <w:sz w:val="22"/>
                <w:szCs w:val="22"/>
              </w:rPr>
            </w:pPr>
            <w:r w:rsidRPr="00264D5D">
              <w:rPr>
                <w:sz w:val="22"/>
                <w:szCs w:val="22"/>
              </w:rPr>
              <w:lastRenderedPageBreak/>
              <w:t>«043» – Правовые акты о предоставлении субсидий федеральным бюджетным и федеральным автономным учреждениям, федеральным государственным унитарным предприятиям на осуществление капитальных вложений в объекты капитального строительства государственной собственности Российской Федерации и на приобретение объектов недвижимого имущества в государственную собственность Российской Федерации;</w:t>
            </w:r>
          </w:p>
          <w:p w14:paraId="3094ECB3" w14:textId="77777777" w:rsidR="00AD1F54" w:rsidRPr="00264D5D" w:rsidRDefault="00941227" w:rsidP="00941227">
            <w:pPr>
              <w:pStyle w:val="ASFKTablenorm"/>
              <w:widowControl w:val="0"/>
              <w:numPr>
                <w:ilvl w:val="0"/>
                <w:numId w:val="69"/>
              </w:numPr>
              <w:tabs>
                <w:tab w:val="left" w:pos="300"/>
              </w:tabs>
              <w:ind w:left="284" w:hanging="227"/>
              <w:contextualSpacing w:val="0"/>
              <w:rPr>
                <w:sz w:val="22"/>
                <w:szCs w:val="22"/>
              </w:rPr>
            </w:pPr>
            <w:r w:rsidRPr="00264D5D">
              <w:rPr>
                <w:sz w:val="22"/>
                <w:szCs w:val="22"/>
              </w:rPr>
              <w:t>«044» – Нормативные правовые акты о предоставлении субсидий бюджетам субъектов Российской Федерации;</w:t>
            </w:r>
          </w:p>
          <w:p w14:paraId="5C495A41" w14:textId="77777777" w:rsidR="00AD1F54" w:rsidRPr="00264D5D" w:rsidRDefault="00941227" w:rsidP="00941227">
            <w:pPr>
              <w:pStyle w:val="ASFKTablenorm"/>
              <w:widowControl w:val="0"/>
              <w:numPr>
                <w:ilvl w:val="0"/>
                <w:numId w:val="69"/>
              </w:numPr>
              <w:tabs>
                <w:tab w:val="left" w:pos="300"/>
              </w:tabs>
              <w:ind w:left="284" w:hanging="227"/>
              <w:contextualSpacing w:val="0"/>
              <w:rPr>
                <w:sz w:val="22"/>
                <w:szCs w:val="22"/>
              </w:rPr>
            </w:pPr>
            <w:r w:rsidRPr="00264D5D">
              <w:rPr>
                <w:sz w:val="22"/>
                <w:szCs w:val="22"/>
              </w:rPr>
              <w:t>«045» – Нормативные правовые акты о предоставлении субвенций бюджетам субъектов Российской Федерации;</w:t>
            </w:r>
          </w:p>
          <w:p w14:paraId="0518578B" w14:textId="77777777" w:rsidR="00AD1F54" w:rsidRPr="00264D5D" w:rsidRDefault="00941227" w:rsidP="00941227">
            <w:pPr>
              <w:pStyle w:val="ASFKTablenorm"/>
              <w:widowControl w:val="0"/>
              <w:numPr>
                <w:ilvl w:val="0"/>
                <w:numId w:val="69"/>
              </w:numPr>
              <w:tabs>
                <w:tab w:val="left" w:pos="300"/>
              </w:tabs>
              <w:ind w:left="284" w:hanging="227"/>
              <w:contextualSpacing w:val="0"/>
              <w:rPr>
                <w:sz w:val="22"/>
                <w:szCs w:val="22"/>
              </w:rPr>
            </w:pPr>
            <w:r w:rsidRPr="00264D5D">
              <w:rPr>
                <w:sz w:val="22"/>
                <w:szCs w:val="22"/>
              </w:rPr>
              <w:t>«046» – Нормативные правовые акты о предоставлении иных межбюджетных трансфертов, имеющих целевое назначение, бюджетам</w:t>
            </w:r>
            <w:r w:rsidR="00B83EE9" w:rsidRPr="00264D5D">
              <w:rPr>
                <w:sz w:val="22"/>
                <w:szCs w:val="22"/>
              </w:rPr>
              <w:t xml:space="preserve"> субъектов Российской Федерации</w:t>
            </w:r>
          </w:p>
        </w:tc>
      </w:tr>
      <w:tr w:rsidR="00AD1F54" w:rsidRPr="00264D5D" w14:paraId="19DA783E"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5162A065" w14:textId="77777777" w:rsidR="00AD1F54" w:rsidRPr="00264D5D" w:rsidRDefault="00941227">
            <w:pPr>
              <w:pStyle w:val="EBTablenorm"/>
              <w:ind w:left="57" w:right="57"/>
              <w:contextualSpacing w:val="0"/>
              <w:rPr>
                <w:sz w:val="22"/>
                <w:szCs w:val="22"/>
              </w:rPr>
            </w:pPr>
            <w:r w:rsidRPr="00264D5D">
              <w:rPr>
                <w:sz w:val="22"/>
                <w:szCs w:val="22"/>
              </w:rPr>
              <w:lastRenderedPageBreak/>
              <w:t>Наименование вида соглашения</w:t>
            </w:r>
          </w:p>
        </w:tc>
        <w:tc>
          <w:tcPr>
            <w:tcW w:w="1699" w:type="dxa"/>
          </w:tcPr>
          <w:p w14:paraId="4FB030FC" w14:textId="77777777" w:rsidR="00AD1F54" w:rsidRPr="00264D5D" w:rsidRDefault="00941227">
            <w:pPr>
              <w:pStyle w:val="EBTablenorm"/>
              <w:ind w:left="57" w:right="57"/>
              <w:contextualSpacing w:val="0"/>
              <w:rPr>
                <w:sz w:val="22"/>
                <w:szCs w:val="22"/>
                <w:lang w:val="en-US"/>
              </w:rPr>
            </w:pPr>
            <w:r w:rsidRPr="00264D5D">
              <w:rPr>
                <w:sz w:val="22"/>
                <w:szCs w:val="22"/>
                <w:lang w:val="en-US"/>
              </w:rPr>
              <w:t>Agr</w:t>
            </w:r>
            <w:r w:rsidRPr="00264D5D">
              <w:rPr>
                <w:sz w:val="22"/>
                <w:szCs w:val="22"/>
              </w:rPr>
              <w:t xml:space="preserve">Name </w:t>
            </w:r>
          </w:p>
        </w:tc>
        <w:tc>
          <w:tcPr>
            <w:tcW w:w="567" w:type="dxa"/>
          </w:tcPr>
          <w:p w14:paraId="35541BC6" w14:textId="77777777" w:rsidR="00AD1F54" w:rsidRPr="00264D5D" w:rsidRDefault="00941227">
            <w:pPr>
              <w:pStyle w:val="EBTablenorm"/>
              <w:ind w:left="57" w:right="57"/>
              <w:contextualSpacing w:val="0"/>
              <w:rPr>
                <w:sz w:val="22"/>
                <w:szCs w:val="22"/>
                <w:lang w:val="en-US"/>
              </w:rPr>
            </w:pPr>
            <w:r w:rsidRPr="00264D5D">
              <w:rPr>
                <w:sz w:val="22"/>
                <w:szCs w:val="22"/>
              </w:rPr>
              <w:t>П</w:t>
            </w:r>
          </w:p>
        </w:tc>
        <w:tc>
          <w:tcPr>
            <w:tcW w:w="1133" w:type="dxa"/>
          </w:tcPr>
          <w:p w14:paraId="76BA47CE" w14:textId="77777777" w:rsidR="00AD1F54" w:rsidRPr="00264D5D" w:rsidRDefault="00941227">
            <w:pPr>
              <w:pStyle w:val="EBTablenorm"/>
              <w:ind w:left="57" w:right="57"/>
              <w:contextualSpacing w:val="0"/>
              <w:rPr>
                <w:sz w:val="22"/>
                <w:szCs w:val="22"/>
              </w:rPr>
            </w:pPr>
            <w:r w:rsidRPr="00264D5D">
              <w:rPr>
                <w:sz w:val="22"/>
                <w:szCs w:val="22"/>
              </w:rPr>
              <w:t>Т(1-2000)</w:t>
            </w:r>
          </w:p>
        </w:tc>
        <w:tc>
          <w:tcPr>
            <w:tcW w:w="567" w:type="dxa"/>
          </w:tcPr>
          <w:p w14:paraId="6361919C" w14:textId="77777777" w:rsidR="00AD1F54" w:rsidRPr="00264D5D" w:rsidRDefault="00941227">
            <w:pPr>
              <w:pStyle w:val="EBTablenorm"/>
              <w:ind w:left="57" w:right="57"/>
              <w:contextualSpacing w:val="0"/>
              <w:rPr>
                <w:sz w:val="22"/>
                <w:szCs w:val="22"/>
              </w:rPr>
            </w:pPr>
            <w:r w:rsidRPr="00264D5D">
              <w:rPr>
                <w:sz w:val="22"/>
                <w:szCs w:val="22"/>
              </w:rPr>
              <w:t>О</w:t>
            </w:r>
          </w:p>
        </w:tc>
        <w:tc>
          <w:tcPr>
            <w:tcW w:w="3963" w:type="dxa"/>
          </w:tcPr>
          <w:p w14:paraId="311BFD8B" w14:textId="77777777" w:rsidR="00AD1F54" w:rsidRPr="00264D5D" w:rsidRDefault="00941227">
            <w:pPr>
              <w:pStyle w:val="EBTablenorm"/>
              <w:ind w:left="57" w:right="57"/>
              <w:contextualSpacing w:val="0"/>
              <w:rPr>
                <w:sz w:val="22"/>
                <w:szCs w:val="22"/>
              </w:rPr>
            </w:pPr>
            <w:r w:rsidRPr="00264D5D">
              <w:rPr>
                <w:sz w:val="22"/>
                <w:szCs w:val="22"/>
              </w:rPr>
              <w:t>Наименование вида соглашения (договора, нормативного правового акта) в соответствии со справочником видов соглашений (договор</w:t>
            </w:r>
            <w:r w:rsidR="00B83EE9" w:rsidRPr="00264D5D">
              <w:rPr>
                <w:sz w:val="22"/>
                <w:szCs w:val="22"/>
              </w:rPr>
              <w:t>а, нормативного правового акта)</w:t>
            </w:r>
          </w:p>
        </w:tc>
      </w:tr>
      <w:tr w:rsidR="00AD1F54" w:rsidRPr="00264D5D" w14:paraId="394E814D"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6D43A595" w14:textId="77777777" w:rsidR="00AD1F54" w:rsidRPr="00264D5D" w:rsidRDefault="00941227">
            <w:pPr>
              <w:pStyle w:val="EBTablenorm"/>
              <w:ind w:left="57" w:right="57"/>
              <w:contextualSpacing w:val="0"/>
              <w:rPr>
                <w:sz w:val="22"/>
                <w:szCs w:val="22"/>
              </w:rPr>
            </w:pPr>
            <w:r w:rsidRPr="00264D5D">
              <w:rPr>
                <w:sz w:val="22"/>
                <w:szCs w:val="22"/>
              </w:rPr>
              <w:t>Место нахождения ГРБС</w:t>
            </w:r>
          </w:p>
        </w:tc>
        <w:tc>
          <w:tcPr>
            <w:tcW w:w="1699" w:type="dxa"/>
          </w:tcPr>
          <w:p w14:paraId="573434C5" w14:textId="77777777" w:rsidR="00AD1F54" w:rsidRPr="00264D5D" w:rsidRDefault="00941227">
            <w:pPr>
              <w:pStyle w:val="EBTablenorm"/>
              <w:ind w:left="57" w:right="57"/>
              <w:contextualSpacing w:val="0"/>
              <w:rPr>
                <w:sz w:val="22"/>
                <w:szCs w:val="22"/>
                <w:lang w:val="en-US"/>
              </w:rPr>
            </w:pPr>
            <w:r w:rsidRPr="00264D5D">
              <w:rPr>
                <w:sz w:val="22"/>
                <w:szCs w:val="22"/>
                <w:lang w:val="en-US"/>
              </w:rPr>
              <w:t>GRBSLctn</w:t>
            </w:r>
          </w:p>
        </w:tc>
        <w:tc>
          <w:tcPr>
            <w:tcW w:w="567" w:type="dxa"/>
          </w:tcPr>
          <w:p w14:paraId="08D95C49" w14:textId="77777777" w:rsidR="00AD1F54" w:rsidRPr="00264D5D" w:rsidRDefault="00941227">
            <w:pPr>
              <w:pStyle w:val="EBTablenorm"/>
              <w:ind w:left="57" w:right="57"/>
              <w:contextualSpacing w:val="0"/>
              <w:rPr>
                <w:sz w:val="22"/>
                <w:szCs w:val="22"/>
              </w:rPr>
            </w:pPr>
            <w:r w:rsidRPr="00264D5D">
              <w:rPr>
                <w:sz w:val="22"/>
                <w:szCs w:val="22"/>
              </w:rPr>
              <w:t>С</w:t>
            </w:r>
          </w:p>
        </w:tc>
        <w:tc>
          <w:tcPr>
            <w:tcW w:w="1133" w:type="dxa"/>
          </w:tcPr>
          <w:p w14:paraId="15B61385" w14:textId="77777777" w:rsidR="00AD1F54" w:rsidRPr="00264D5D" w:rsidRDefault="00941227">
            <w:pPr>
              <w:pStyle w:val="EBTablenorm"/>
              <w:ind w:left="57" w:right="57"/>
              <w:contextualSpacing w:val="0"/>
              <w:rPr>
                <w:sz w:val="22"/>
                <w:szCs w:val="22"/>
              </w:rPr>
            </w:pPr>
            <w:r w:rsidRPr="00264D5D">
              <w:rPr>
                <w:sz w:val="22"/>
                <w:szCs w:val="22"/>
              </w:rPr>
              <w:t>tLctn</w:t>
            </w:r>
          </w:p>
        </w:tc>
        <w:tc>
          <w:tcPr>
            <w:tcW w:w="567" w:type="dxa"/>
          </w:tcPr>
          <w:p w14:paraId="0517953C" w14:textId="77777777" w:rsidR="00AD1F54" w:rsidRPr="00264D5D" w:rsidRDefault="00941227">
            <w:pPr>
              <w:pStyle w:val="EBTablenorm"/>
              <w:ind w:left="57" w:right="57"/>
              <w:contextualSpacing w:val="0"/>
              <w:rPr>
                <w:sz w:val="22"/>
                <w:szCs w:val="22"/>
              </w:rPr>
            </w:pPr>
            <w:r w:rsidRPr="00264D5D">
              <w:rPr>
                <w:sz w:val="22"/>
                <w:szCs w:val="22"/>
              </w:rPr>
              <w:t>О</w:t>
            </w:r>
          </w:p>
        </w:tc>
        <w:tc>
          <w:tcPr>
            <w:tcW w:w="3963" w:type="dxa"/>
          </w:tcPr>
          <w:p w14:paraId="74C4CFF2" w14:textId="77777777" w:rsidR="00AD1F54" w:rsidRPr="00264D5D" w:rsidRDefault="00941227">
            <w:pPr>
              <w:pStyle w:val="EBTablenorm"/>
              <w:ind w:left="57" w:right="57"/>
              <w:contextualSpacing w:val="0"/>
              <w:rPr>
                <w:sz w:val="22"/>
                <w:szCs w:val="22"/>
              </w:rPr>
            </w:pPr>
            <w:r w:rsidRPr="00264D5D">
              <w:rPr>
                <w:sz w:val="22"/>
                <w:szCs w:val="22"/>
              </w:rPr>
              <w:t xml:space="preserve">Место нахождения ГРБС </w:t>
            </w:r>
            <w:r w:rsidRPr="00264D5D">
              <w:rPr>
                <w:bCs/>
                <w:sz w:val="22"/>
                <w:szCs w:val="22"/>
              </w:rPr>
              <w:t>(в соответствии с п. 4.7 Порядка).</w:t>
            </w:r>
            <w:r w:rsidRPr="00264D5D">
              <w:rPr>
                <w:sz w:val="22"/>
                <w:szCs w:val="22"/>
              </w:rPr>
              <w:t xml:space="preserve"> </w:t>
            </w:r>
          </w:p>
          <w:p w14:paraId="3D6A7D1C" w14:textId="04063C7B" w:rsidR="00AD1F54" w:rsidRPr="00264D5D" w:rsidRDefault="00941227">
            <w:pPr>
              <w:pStyle w:val="EBTablenorm"/>
              <w:ind w:left="57" w:right="57"/>
              <w:contextualSpacing w:val="0"/>
              <w:rPr>
                <w:sz w:val="22"/>
                <w:szCs w:val="22"/>
              </w:rPr>
            </w:pPr>
            <w:r w:rsidRPr="00264D5D">
              <w:rPr>
                <w:sz w:val="22"/>
                <w:szCs w:val="22"/>
              </w:rPr>
              <w:t xml:space="preserve">Состав элемента представлен в таблице </w:t>
            </w:r>
            <w:r w:rsidRPr="00264D5D">
              <w:rPr>
                <w:b/>
                <w:sz w:val="22"/>
                <w:szCs w:val="22"/>
              </w:rPr>
              <w:fldChar w:fldCharType="begin"/>
            </w:r>
            <w:r w:rsidRPr="00264D5D">
              <w:rPr>
                <w:b/>
                <w:sz w:val="22"/>
                <w:szCs w:val="22"/>
              </w:rPr>
              <w:instrText xml:space="preserve"> REF _Ref494363503 \h  \* MERGEFORMAT </w:instrText>
            </w:r>
            <w:r w:rsidRPr="00264D5D">
              <w:rPr>
                <w:b/>
                <w:sz w:val="22"/>
                <w:szCs w:val="22"/>
              </w:rPr>
            </w:r>
            <w:r w:rsidRPr="00264D5D">
              <w:rPr>
                <w:b/>
                <w:sz w:val="22"/>
                <w:szCs w:val="22"/>
              </w:rPr>
              <w:fldChar w:fldCharType="separate"/>
            </w:r>
            <w:r w:rsidR="008D797C" w:rsidRPr="008D797C">
              <w:rPr>
                <w:rFonts w:eastAsia="Calibri"/>
                <w:b/>
                <w:sz w:val="22"/>
                <w:szCs w:val="22"/>
              </w:rPr>
              <w:t>198</w:t>
            </w:r>
            <w:r w:rsidRPr="00264D5D">
              <w:rPr>
                <w:b/>
                <w:sz w:val="22"/>
                <w:szCs w:val="22"/>
              </w:rPr>
              <w:fldChar w:fldCharType="end"/>
            </w:r>
          </w:p>
        </w:tc>
      </w:tr>
      <w:tr w:rsidR="00AD1F54" w:rsidRPr="00264D5D" w14:paraId="64CC3CBD"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3C3308E" w14:textId="77777777" w:rsidR="00AD1F54" w:rsidRPr="00264D5D" w:rsidRDefault="00941227">
            <w:pPr>
              <w:pStyle w:val="EBTablenorm"/>
              <w:ind w:left="57" w:right="57"/>
              <w:contextualSpacing w:val="0"/>
              <w:rPr>
                <w:sz w:val="22"/>
                <w:szCs w:val="22"/>
              </w:rPr>
            </w:pPr>
            <w:r w:rsidRPr="00264D5D">
              <w:rPr>
                <w:sz w:val="22"/>
                <w:szCs w:val="22"/>
              </w:rPr>
              <w:t>Тип Получателя</w:t>
            </w:r>
          </w:p>
        </w:tc>
        <w:tc>
          <w:tcPr>
            <w:tcW w:w="1699" w:type="dxa"/>
          </w:tcPr>
          <w:p w14:paraId="422A794C" w14:textId="77777777" w:rsidR="00AD1F54" w:rsidRPr="00264D5D" w:rsidRDefault="00941227">
            <w:pPr>
              <w:pStyle w:val="EBTablenorm"/>
              <w:ind w:left="57" w:right="57"/>
              <w:contextualSpacing w:val="0"/>
              <w:rPr>
                <w:sz w:val="22"/>
                <w:szCs w:val="22"/>
                <w:lang w:val="en-US"/>
              </w:rPr>
            </w:pPr>
            <w:r w:rsidRPr="00264D5D">
              <w:rPr>
                <w:sz w:val="22"/>
                <w:szCs w:val="22"/>
                <w:lang w:val="en-US"/>
              </w:rPr>
              <w:t>RcptType</w:t>
            </w:r>
          </w:p>
        </w:tc>
        <w:tc>
          <w:tcPr>
            <w:tcW w:w="567" w:type="dxa"/>
          </w:tcPr>
          <w:p w14:paraId="727C3DE9" w14:textId="77777777" w:rsidR="00AD1F54" w:rsidRPr="00264D5D" w:rsidRDefault="00941227">
            <w:pPr>
              <w:pStyle w:val="EBTablenorm"/>
              <w:ind w:left="57" w:right="57"/>
              <w:contextualSpacing w:val="0"/>
              <w:rPr>
                <w:sz w:val="22"/>
                <w:szCs w:val="22"/>
              </w:rPr>
            </w:pPr>
            <w:r w:rsidRPr="00264D5D">
              <w:rPr>
                <w:sz w:val="22"/>
                <w:szCs w:val="22"/>
              </w:rPr>
              <w:t>П</w:t>
            </w:r>
          </w:p>
        </w:tc>
        <w:tc>
          <w:tcPr>
            <w:tcW w:w="1133" w:type="dxa"/>
          </w:tcPr>
          <w:p w14:paraId="236003AA" w14:textId="77777777" w:rsidR="00AD1F54" w:rsidRPr="00264D5D" w:rsidRDefault="00941227">
            <w:pPr>
              <w:pStyle w:val="EBTablenorm"/>
              <w:ind w:left="57" w:right="57"/>
              <w:contextualSpacing w:val="0"/>
              <w:rPr>
                <w:sz w:val="22"/>
                <w:szCs w:val="22"/>
              </w:rPr>
            </w:pPr>
            <w:r w:rsidRPr="00264D5D">
              <w:rPr>
                <w:sz w:val="22"/>
                <w:szCs w:val="22"/>
              </w:rPr>
              <w:t>Т(1)</w:t>
            </w:r>
          </w:p>
          <w:p w14:paraId="35795984" w14:textId="77777777" w:rsidR="00AD1F54" w:rsidRPr="00264D5D" w:rsidRDefault="00AD1F54">
            <w:pPr>
              <w:spacing w:before="60" w:after="60"/>
              <w:rPr>
                <w:sz w:val="22"/>
                <w:szCs w:val="22"/>
                <w:lang w:val="en-US"/>
              </w:rPr>
            </w:pPr>
          </w:p>
        </w:tc>
        <w:tc>
          <w:tcPr>
            <w:tcW w:w="567" w:type="dxa"/>
          </w:tcPr>
          <w:p w14:paraId="0B6BDEBE" w14:textId="77777777" w:rsidR="00AD1F54" w:rsidRPr="00264D5D" w:rsidRDefault="00941227">
            <w:pPr>
              <w:pStyle w:val="EBTablenorm"/>
              <w:ind w:left="57" w:right="57"/>
              <w:contextualSpacing w:val="0"/>
              <w:rPr>
                <w:sz w:val="22"/>
                <w:szCs w:val="22"/>
              </w:rPr>
            </w:pPr>
            <w:r w:rsidRPr="00264D5D">
              <w:rPr>
                <w:sz w:val="22"/>
                <w:szCs w:val="22"/>
              </w:rPr>
              <w:t>О</w:t>
            </w:r>
          </w:p>
        </w:tc>
        <w:tc>
          <w:tcPr>
            <w:tcW w:w="3963" w:type="dxa"/>
          </w:tcPr>
          <w:p w14:paraId="444CE4EE" w14:textId="77777777" w:rsidR="00AD1F54" w:rsidRPr="00264D5D" w:rsidRDefault="00941227">
            <w:pPr>
              <w:pStyle w:val="EBTablenorm"/>
              <w:ind w:left="57" w:right="57"/>
              <w:contextualSpacing w:val="0"/>
              <w:rPr>
                <w:sz w:val="22"/>
                <w:szCs w:val="22"/>
              </w:rPr>
            </w:pPr>
            <w:r w:rsidRPr="00264D5D">
              <w:rPr>
                <w:sz w:val="22"/>
                <w:szCs w:val="22"/>
              </w:rPr>
              <w:t>Тип Получателя средств:</w:t>
            </w:r>
          </w:p>
          <w:p w14:paraId="54F76A5B" w14:textId="77777777" w:rsidR="00AD1F54" w:rsidRPr="00264D5D" w:rsidRDefault="00941227" w:rsidP="00941227">
            <w:pPr>
              <w:pStyle w:val="ASFKTablenorm"/>
              <w:widowControl w:val="0"/>
              <w:numPr>
                <w:ilvl w:val="0"/>
                <w:numId w:val="69"/>
              </w:numPr>
              <w:tabs>
                <w:tab w:val="left" w:pos="300"/>
              </w:tabs>
              <w:ind w:left="284" w:hanging="227"/>
              <w:contextualSpacing w:val="0"/>
              <w:rPr>
                <w:sz w:val="22"/>
                <w:szCs w:val="22"/>
              </w:rPr>
            </w:pPr>
            <w:r w:rsidRPr="00264D5D">
              <w:rPr>
                <w:sz w:val="22"/>
                <w:szCs w:val="22"/>
              </w:rPr>
              <w:t>«1» – юридическое лицо;</w:t>
            </w:r>
          </w:p>
          <w:p w14:paraId="32B8147A" w14:textId="77777777" w:rsidR="00AD1F54" w:rsidRPr="00264D5D" w:rsidRDefault="00941227" w:rsidP="00941227">
            <w:pPr>
              <w:pStyle w:val="ASFKTablenorm"/>
              <w:widowControl w:val="0"/>
              <w:numPr>
                <w:ilvl w:val="0"/>
                <w:numId w:val="69"/>
              </w:numPr>
              <w:tabs>
                <w:tab w:val="left" w:pos="300"/>
              </w:tabs>
              <w:ind w:left="284" w:hanging="227"/>
              <w:contextualSpacing w:val="0"/>
              <w:rPr>
                <w:sz w:val="22"/>
                <w:szCs w:val="22"/>
              </w:rPr>
            </w:pPr>
            <w:r w:rsidRPr="00264D5D">
              <w:rPr>
                <w:sz w:val="22"/>
                <w:szCs w:val="22"/>
              </w:rPr>
              <w:t xml:space="preserve">«2» – иностранное юридическое лицо, состоящее на учете в налоговых органах на территории Российской </w:t>
            </w:r>
            <w:r w:rsidRPr="00264D5D">
              <w:rPr>
                <w:sz w:val="22"/>
                <w:szCs w:val="22"/>
              </w:rPr>
              <w:lastRenderedPageBreak/>
              <w:t>Федерации;</w:t>
            </w:r>
          </w:p>
          <w:p w14:paraId="5AF669FB" w14:textId="77777777" w:rsidR="00AD1F54" w:rsidRPr="00264D5D" w:rsidRDefault="00941227" w:rsidP="00941227">
            <w:pPr>
              <w:pStyle w:val="ASFKTablenorm"/>
              <w:widowControl w:val="0"/>
              <w:numPr>
                <w:ilvl w:val="0"/>
                <w:numId w:val="69"/>
              </w:numPr>
              <w:tabs>
                <w:tab w:val="left" w:pos="300"/>
              </w:tabs>
              <w:ind w:left="284" w:hanging="227"/>
              <w:contextualSpacing w:val="0"/>
              <w:rPr>
                <w:sz w:val="22"/>
                <w:szCs w:val="22"/>
              </w:rPr>
            </w:pPr>
            <w:r w:rsidRPr="00264D5D">
              <w:rPr>
                <w:sz w:val="22"/>
                <w:szCs w:val="22"/>
              </w:rPr>
              <w:t>«3» – иностранное юридическое лицо, не состоящее на учете в налоговых органах на территории Российской Федерации;</w:t>
            </w:r>
          </w:p>
          <w:p w14:paraId="3A4C9DF9" w14:textId="77777777" w:rsidR="00AD1F54" w:rsidRPr="00264D5D" w:rsidRDefault="00941227" w:rsidP="00941227">
            <w:pPr>
              <w:pStyle w:val="ASFKTablenorm"/>
              <w:widowControl w:val="0"/>
              <w:numPr>
                <w:ilvl w:val="0"/>
                <w:numId w:val="69"/>
              </w:numPr>
              <w:tabs>
                <w:tab w:val="left" w:pos="300"/>
              </w:tabs>
              <w:ind w:left="284" w:hanging="227"/>
              <w:contextualSpacing w:val="0"/>
              <w:rPr>
                <w:sz w:val="22"/>
                <w:szCs w:val="22"/>
              </w:rPr>
            </w:pPr>
            <w:r w:rsidRPr="00264D5D">
              <w:rPr>
                <w:sz w:val="22"/>
                <w:szCs w:val="22"/>
              </w:rPr>
              <w:t>«4» – физическое лицо – резидент;</w:t>
            </w:r>
          </w:p>
          <w:p w14:paraId="2855207E" w14:textId="77777777" w:rsidR="00AD1F54" w:rsidRPr="00264D5D" w:rsidRDefault="00941227" w:rsidP="00941227">
            <w:pPr>
              <w:pStyle w:val="ASFKTablenorm"/>
              <w:widowControl w:val="0"/>
              <w:numPr>
                <w:ilvl w:val="0"/>
                <w:numId w:val="69"/>
              </w:numPr>
              <w:tabs>
                <w:tab w:val="left" w:pos="300"/>
              </w:tabs>
              <w:ind w:left="284" w:hanging="227"/>
              <w:contextualSpacing w:val="0"/>
              <w:rPr>
                <w:sz w:val="22"/>
                <w:szCs w:val="22"/>
              </w:rPr>
            </w:pPr>
            <w:r w:rsidRPr="00264D5D">
              <w:rPr>
                <w:sz w:val="22"/>
                <w:szCs w:val="22"/>
              </w:rPr>
              <w:t>«5»</w:t>
            </w:r>
            <w:r w:rsidR="00B83EE9" w:rsidRPr="00264D5D">
              <w:rPr>
                <w:sz w:val="22"/>
                <w:szCs w:val="22"/>
              </w:rPr>
              <w:t xml:space="preserve"> – физическое лицо – нерезидент</w:t>
            </w:r>
          </w:p>
        </w:tc>
      </w:tr>
      <w:tr w:rsidR="00AD1F54" w:rsidRPr="00264D5D" w14:paraId="27A6D4E0"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0A431CFE" w14:textId="77777777" w:rsidR="00AD1F54" w:rsidRPr="00264D5D" w:rsidRDefault="00941227">
            <w:pPr>
              <w:pStyle w:val="EBTablenorm"/>
              <w:ind w:left="57" w:right="57"/>
              <w:contextualSpacing w:val="0"/>
              <w:rPr>
                <w:sz w:val="22"/>
                <w:szCs w:val="22"/>
              </w:rPr>
            </w:pPr>
            <w:r w:rsidRPr="00264D5D">
              <w:rPr>
                <w:sz w:val="22"/>
                <w:szCs w:val="22"/>
              </w:rPr>
              <w:lastRenderedPageBreak/>
              <w:t xml:space="preserve">Место нахождения </w:t>
            </w:r>
            <w:r w:rsidRPr="00264D5D">
              <w:rPr>
                <w:bCs/>
                <w:sz w:val="22"/>
                <w:szCs w:val="22"/>
              </w:rPr>
              <w:t>получателя субсидии, получателя средств</w:t>
            </w:r>
          </w:p>
        </w:tc>
        <w:tc>
          <w:tcPr>
            <w:tcW w:w="1699" w:type="dxa"/>
          </w:tcPr>
          <w:p w14:paraId="4BBBF931" w14:textId="77777777" w:rsidR="00AD1F54" w:rsidRPr="00264D5D" w:rsidRDefault="00941227">
            <w:pPr>
              <w:pStyle w:val="EBTablenorm"/>
              <w:ind w:left="57" w:right="57"/>
              <w:contextualSpacing w:val="0"/>
              <w:rPr>
                <w:sz w:val="22"/>
                <w:szCs w:val="22"/>
                <w:lang w:val="en-US"/>
              </w:rPr>
            </w:pPr>
            <w:r w:rsidRPr="00264D5D">
              <w:rPr>
                <w:sz w:val="22"/>
                <w:szCs w:val="22"/>
                <w:lang w:val="en-US"/>
              </w:rPr>
              <w:t>RcptLctn</w:t>
            </w:r>
          </w:p>
        </w:tc>
        <w:tc>
          <w:tcPr>
            <w:tcW w:w="567" w:type="dxa"/>
          </w:tcPr>
          <w:p w14:paraId="05539A21" w14:textId="77777777" w:rsidR="00AD1F54" w:rsidRPr="00264D5D" w:rsidRDefault="00941227">
            <w:pPr>
              <w:pStyle w:val="EBTablenorm"/>
              <w:ind w:left="57" w:right="57"/>
              <w:contextualSpacing w:val="0"/>
              <w:rPr>
                <w:sz w:val="22"/>
                <w:szCs w:val="22"/>
              </w:rPr>
            </w:pPr>
            <w:r w:rsidRPr="00264D5D">
              <w:rPr>
                <w:sz w:val="22"/>
                <w:szCs w:val="22"/>
              </w:rPr>
              <w:t>С</w:t>
            </w:r>
          </w:p>
        </w:tc>
        <w:tc>
          <w:tcPr>
            <w:tcW w:w="1133" w:type="dxa"/>
          </w:tcPr>
          <w:p w14:paraId="734CA8D8" w14:textId="77777777" w:rsidR="00AD1F54" w:rsidRPr="00264D5D" w:rsidRDefault="00941227">
            <w:pPr>
              <w:pStyle w:val="EBTablenorm"/>
              <w:ind w:left="57" w:right="57"/>
              <w:contextualSpacing w:val="0"/>
              <w:rPr>
                <w:sz w:val="22"/>
                <w:szCs w:val="22"/>
              </w:rPr>
            </w:pPr>
            <w:r w:rsidRPr="00264D5D">
              <w:rPr>
                <w:sz w:val="22"/>
                <w:szCs w:val="22"/>
              </w:rPr>
              <w:t>tLctn</w:t>
            </w:r>
          </w:p>
        </w:tc>
        <w:tc>
          <w:tcPr>
            <w:tcW w:w="567" w:type="dxa"/>
          </w:tcPr>
          <w:p w14:paraId="5EF663E6" w14:textId="77777777" w:rsidR="00AD1F54" w:rsidRPr="00264D5D" w:rsidRDefault="00941227">
            <w:pPr>
              <w:pStyle w:val="EBTablenorm"/>
              <w:ind w:left="57" w:right="57"/>
              <w:contextualSpacing w:val="0"/>
              <w:rPr>
                <w:sz w:val="22"/>
                <w:szCs w:val="22"/>
              </w:rPr>
            </w:pPr>
            <w:r w:rsidRPr="00264D5D">
              <w:rPr>
                <w:sz w:val="22"/>
                <w:szCs w:val="22"/>
              </w:rPr>
              <w:t>Н</w:t>
            </w:r>
          </w:p>
        </w:tc>
        <w:tc>
          <w:tcPr>
            <w:tcW w:w="3963" w:type="dxa"/>
          </w:tcPr>
          <w:p w14:paraId="2D634B18" w14:textId="77777777" w:rsidR="00AD1F54" w:rsidRPr="00264D5D" w:rsidRDefault="00941227">
            <w:pPr>
              <w:pStyle w:val="EBTablenorm"/>
              <w:ind w:left="57" w:right="57"/>
              <w:contextualSpacing w:val="0"/>
              <w:rPr>
                <w:sz w:val="22"/>
                <w:szCs w:val="22"/>
              </w:rPr>
            </w:pPr>
            <w:r w:rsidRPr="00264D5D">
              <w:rPr>
                <w:sz w:val="22"/>
                <w:szCs w:val="22"/>
              </w:rPr>
              <w:t xml:space="preserve">Место нахождения </w:t>
            </w:r>
            <w:r w:rsidRPr="00264D5D">
              <w:rPr>
                <w:bCs/>
                <w:sz w:val="22"/>
                <w:szCs w:val="22"/>
              </w:rPr>
              <w:t>получателя средств</w:t>
            </w:r>
            <w:r w:rsidRPr="00264D5D">
              <w:rPr>
                <w:sz w:val="22"/>
                <w:szCs w:val="22"/>
              </w:rPr>
              <w:t xml:space="preserve"> </w:t>
            </w:r>
            <w:r w:rsidRPr="00264D5D">
              <w:rPr>
                <w:bCs/>
                <w:sz w:val="22"/>
                <w:szCs w:val="22"/>
              </w:rPr>
              <w:t>(в соответствии с п. 4.7 Порядка)</w:t>
            </w:r>
            <w:r w:rsidRPr="00264D5D">
              <w:rPr>
                <w:sz w:val="22"/>
                <w:szCs w:val="22"/>
              </w:rPr>
              <w:t xml:space="preserve">. </w:t>
            </w:r>
          </w:p>
          <w:p w14:paraId="554497B5" w14:textId="77777777" w:rsidR="00AD1F54" w:rsidRPr="00264D5D" w:rsidRDefault="00941227">
            <w:pPr>
              <w:pStyle w:val="EBTablenorm"/>
              <w:ind w:left="57" w:right="57"/>
              <w:contextualSpacing w:val="0"/>
              <w:rPr>
                <w:sz w:val="22"/>
                <w:szCs w:val="22"/>
              </w:rPr>
            </w:pPr>
            <w:r w:rsidRPr="00264D5D">
              <w:rPr>
                <w:sz w:val="22"/>
                <w:szCs w:val="22"/>
              </w:rPr>
              <w:t xml:space="preserve">Обязательно для заполнения при указании в элементе «Тип Получателя» значения «1», «4». </w:t>
            </w:r>
          </w:p>
          <w:p w14:paraId="437CD93D" w14:textId="7F7C185F" w:rsidR="00AD1F54" w:rsidRPr="00264D5D" w:rsidRDefault="00941227">
            <w:pPr>
              <w:pStyle w:val="EBTablenorm"/>
              <w:ind w:left="57" w:right="57"/>
              <w:contextualSpacing w:val="0"/>
              <w:rPr>
                <w:sz w:val="22"/>
                <w:szCs w:val="22"/>
              </w:rPr>
            </w:pPr>
            <w:r w:rsidRPr="00264D5D">
              <w:rPr>
                <w:sz w:val="22"/>
                <w:szCs w:val="22"/>
              </w:rPr>
              <w:t xml:space="preserve">Состав элемента представлен в таблице </w:t>
            </w:r>
            <w:r w:rsidRPr="00264D5D">
              <w:rPr>
                <w:b/>
                <w:sz w:val="22"/>
                <w:szCs w:val="22"/>
              </w:rPr>
              <w:fldChar w:fldCharType="begin"/>
            </w:r>
            <w:r w:rsidRPr="00264D5D">
              <w:rPr>
                <w:b/>
                <w:sz w:val="22"/>
                <w:szCs w:val="22"/>
              </w:rPr>
              <w:instrText xml:space="preserve"> REF _Ref494363503 \h  \* MERGEFORMAT </w:instrText>
            </w:r>
            <w:r w:rsidRPr="00264D5D">
              <w:rPr>
                <w:b/>
                <w:sz w:val="22"/>
                <w:szCs w:val="22"/>
              </w:rPr>
            </w:r>
            <w:r w:rsidRPr="00264D5D">
              <w:rPr>
                <w:b/>
                <w:sz w:val="22"/>
                <w:szCs w:val="22"/>
              </w:rPr>
              <w:fldChar w:fldCharType="separate"/>
            </w:r>
            <w:r w:rsidR="008D797C" w:rsidRPr="008D797C">
              <w:rPr>
                <w:rFonts w:eastAsia="Calibri"/>
                <w:b/>
                <w:sz w:val="22"/>
                <w:szCs w:val="22"/>
              </w:rPr>
              <w:t>198</w:t>
            </w:r>
            <w:r w:rsidRPr="00264D5D">
              <w:rPr>
                <w:b/>
                <w:sz w:val="22"/>
                <w:szCs w:val="22"/>
              </w:rPr>
              <w:fldChar w:fldCharType="end"/>
            </w:r>
          </w:p>
        </w:tc>
      </w:tr>
      <w:tr w:rsidR="00AD1F54" w:rsidRPr="00264D5D" w14:paraId="6952538F"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6415570" w14:textId="77777777" w:rsidR="00AD1F54" w:rsidRPr="00264D5D" w:rsidRDefault="00941227">
            <w:pPr>
              <w:pStyle w:val="EBTablenorm"/>
              <w:ind w:left="57" w:right="57"/>
              <w:contextualSpacing w:val="0"/>
              <w:rPr>
                <w:sz w:val="22"/>
                <w:szCs w:val="22"/>
              </w:rPr>
            </w:pPr>
            <w:r w:rsidRPr="00264D5D">
              <w:rPr>
                <w:sz w:val="22"/>
                <w:szCs w:val="22"/>
              </w:rPr>
              <w:t xml:space="preserve">Место нахождения </w:t>
            </w:r>
            <w:r w:rsidRPr="00264D5D">
              <w:rPr>
                <w:bCs/>
                <w:sz w:val="22"/>
                <w:szCs w:val="22"/>
              </w:rPr>
              <w:t>получателя субсидии, получателя средств, являющегося</w:t>
            </w:r>
            <w:r w:rsidRPr="00264D5D">
              <w:rPr>
                <w:sz w:val="22"/>
                <w:szCs w:val="22"/>
              </w:rPr>
              <w:t xml:space="preserve"> иностранным юридическим лицом</w:t>
            </w:r>
          </w:p>
        </w:tc>
        <w:tc>
          <w:tcPr>
            <w:tcW w:w="1699" w:type="dxa"/>
          </w:tcPr>
          <w:p w14:paraId="53778F24" w14:textId="77777777" w:rsidR="00AD1F54" w:rsidRPr="00264D5D" w:rsidRDefault="00941227">
            <w:pPr>
              <w:pStyle w:val="EBTablenorm"/>
              <w:ind w:left="57" w:right="57"/>
              <w:contextualSpacing w:val="0"/>
              <w:rPr>
                <w:sz w:val="22"/>
                <w:szCs w:val="22"/>
                <w:lang w:val="en-US"/>
              </w:rPr>
            </w:pPr>
            <w:r w:rsidRPr="00264D5D">
              <w:rPr>
                <w:sz w:val="22"/>
                <w:szCs w:val="22"/>
                <w:lang w:val="en-US"/>
              </w:rPr>
              <w:t>FrgnLctn</w:t>
            </w:r>
          </w:p>
        </w:tc>
        <w:tc>
          <w:tcPr>
            <w:tcW w:w="567" w:type="dxa"/>
          </w:tcPr>
          <w:p w14:paraId="2CBB2FAC" w14:textId="77777777" w:rsidR="00AD1F54" w:rsidRPr="00264D5D" w:rsidRDefault="00941227">
            <w:pPr>
              <w:pStyle w:val="EBTablenorm"/>
              <w:ind w:left="57" w:right="57"/>
              <w:contextualSpacing w:val="0"/>
              <w:rPr>
                <w:sz w:val="22"/>
                <w:szCs w:val="22"/>
              </w:rPr>
            </w:pPr>
            <w:r w:rsidRPr="00264D5D">
              <w:rPr>
                <w:sz w:val="22"/>
                <w:szCs w:val="22"/>
              </w:rPr>
              <w:t>С</w:t>
            </w:r>
          </w:p>
        </w:tc>
        <w:tc>
          <w:tcPr>
            <w:tcW w:w="1133" w:type="dxa"/>
          </w:tcPr>
          <w:p w14:paraId="242099ED" w14:textId="77777777" w:rsidR="00AD1F54" w:rsidRPr="00264D5D" w:rsidRDefault="00941227">
            <w:pPr>
              <w:pStyle w:val="EBTablenorm"/>
              <w:ind w:left="57" w:right="57"/>
              <w:contextualSpacing w:val="0"/>
              <w:rPr>
                <w:sz w:val="22"/>
                <w:szCs w:val="22"/>
              </w:rPr>
            </w:pPr>
            <w:r w:rsidRPr="00264D5D">
              <w:rPr>
                <w:sz w:val="22"/>
                <w:szCs w:val="22"/>
              </w:rPr>
              <w:t>tFrgnLctn</w:t>
            </w:r>
          </w:p>
        </w:tc>
        <w:tc>
          <w:tcPr>
            <w:tcW w:w="567" w:type="dxa"/>
          </w:tcPr>
          <w:p w14:paraId="11BDD4AB" w14:textId="77777777" w:rsidR="00AD1F54" w:rsidRPr="00264D5D" w:rsidRDefault="00941227">
            <w:pPr>
              <w:pStyle w:val="EBTablenorm"/>
              <w:ind w:left="57" w:right="57"/>
              <w:contextualSpacing w:val="0"/>
              <w:rPr>
                <w:sz w:val="22"/>
                <w:szCs w:val="22"/>
              </w:rPr>
            </w:pPr>
            <w:r w:rsidRPr="00264D5D">
              <w:rPr>
                <w:sz w:val="22"/>
                <w:szCs w:val="22"/>
              </w:rPr>
              <w:t>Н</w:t>
            </w:r>
          </w:p>
        </w:tc>
        <w:tc>
          <w:tcPr>
            <w:tcW w:w="3963" w:type="dxa"/>
          </w:tcPr>
          <w:p w14:paraId="3A94671C" w14:textId="77777777" w:rsidR="00AD1F54" w:rsidRPr="00264D5D" w:rsidRDefault="00941227">
            <w:pPr>
              <w:pStyle w:val="EBTablenorm"/>
              <w:ind w:left="57" w:right="57"/>
              <w:contextualSpacing w:val="0"/>
              <w:rPr>
                <w:sz w:val="22"/>
                <w:szCs w:val="22"/>
              </w:rPr>
            </w:pPr>
            <w:r w:rsidRPr="00264D5D">
              <w:rPr>
                <w:sz w:val="22"/>
                <w:szCs w:val="22"/>
              </w:rPr>
              <w:t xml:space="preserve">Место нахождения </w:t>
            </w:r>
            <w:r w:rsidRPr="00264D5D">
              <w:rPr>
                <w:bCs/>
                <w:sz w:val="22"/>
                <w:szCs w:val="22"/>
              </w:rPr>
              <w:t>получателя средств, являющегося</w:t>
            </w:r>
            <w:r w:rsidRPr="00264D5D">
              <w:rPr>
                <w:sz w:val="22"/>
                <w:szCs w:val="22"/>
              </w:rPr>
              <w:t xml:space="preserve"> иностранным юридическим лицом </w:t>
            </w:r>
            <w:bookmarkStart w:id="1899" w:name="OLE_LINK11"/>
            <w:bookmarkStart w:id="1900" w:name="OLE_LINK12"/>
            <w:r w:rsidRPr="00264D5D">
              <w:rPr>
                <w:bCs/>
                <w:sz w:val="22"/>
                <w:szCs w:val="22"/>
              </w:rPr>
              <w:t>(в соответствии с п. 4.8 Порядка)</w:t>
            </w:r>
            <w:bookmarkEnd w:id="1899"/>
            <w:bookmarkEnd w:id="1900"/>
            <w:r w:rsidRPr="00264D5D">
              <w:rPr>
                <w:sz w:val="22"/>
                <w:szCs w:val="22"/>
              </w:rPr>
              <w:t xml:space="preserve">. </w:t>
            </w:r>
          </w:p>
          <w:p w14:paraId="6A445F7B" w14:textId="77777777" w:rsidR="00AD1F54" w:rsidRPr="00264D5D" w:rsidRDefault="00941227">
            <w:pPr>
              <w:pStyle w:val="EBTablenorm"/>
              <w:ind w:left="57" w:right="57"/>
              <w:contextualSpacing w:val="0"/>
              <w:rPr>
                <w:sz w:val="22"/>
                <w:szCs w:val="22"/>
              </w:rPr>
            </w:pPr>
            <w:r w:rsidRPr="00264D5D">
              <w:rPr>
                <w:sz w:val="22"/>
                <w:szCs w:val="22"/>
              </w:rPr>
              <w:t xml:space="preserve">Обязательно для заполнения при указании в элементе «Тип Получателя» значения «2» или «3». </w:t>
            </w:r>
          </w:p>
          <w:p w14:paraId="5C0FE85E" w14:textId="541D4FF0" w:rsidR="00AD1F54" w:rsidRPr="00264D5D" w:rsidRDefault="00941227">
            <w:pPr>
              <w:pStyle w:val="EBTablenorm"/>
              <w:ind w:left="57" w:right="57"/>
              <w:contextualSpacing w:val="0"/>
              <w:rPr>
                <w:sz w:val="22"/>
                <w:szCs w:val="22"/>
              </w:rPr>
            </w:pPr>
            <w:r w:rsidRPr="00264D5D">
              <w:rPr>
                <w:sz w:val="22"/>
                <w:szCs w:val="22"/>
              </w:rPr>
              <w:t>Состав элемента представлен в таблице</w:t>
            </w:r>
            <w:r w:rsidRPr="00264D5D">
              <w:rPr>
                <w:b/>
                <w:sz w:val="22"/>
                <w:szCs w:val="22"/>
              </w:rPr>
              <w:t xml:space="preserve"> </w:t>
            </w:r>
            <w:r w:rsidRPr="00264D5D">
              <w:rPr>
                <w:b/>
                <w:sz w:val="22"/>
                <w:szCs w:val="22"/>
              </w:rPr>
              <w:fldChar w:fldCharType="begin"/>
            </w:r>
            <w:r w:rsidRPr="00264D5D">
              <w:rPr>
                <w:b/>
                <w:sz w:val="22"/>
                <w:szCs w:val="22"/>
              </w:rPr>
              <w:instrText xml:space="preserve"> REF _Ref494363561 \h  \* MERGEFORMAT </w:instrText>
            </w:r>
            <w:r w:rsidRPr="00264D5D">
              <w:rPr>
                <w:b/>
                <w:sz w:val="22"/>
                <w:szCs w:val="22"/>
              </w:rPr>
            </w:r>
            <w:r w:rsidRPr="00264D5D">
              <w:rPr>
                <w:b/>
                <w:sz w:val="22"/>
                <w:szCs w:val="22"/>
              </w:rPr>
              <w:fldChar w:fldCharType="separate"/>
            </w:r>
            <w:r w:rsidR="008D797C" w:rsidRPr="008D797C">
              <w:rPr>
                <w:rFonts w:eastAsia="Calibri"/>
                <w:b/>
                <w:sz w:val="22"/>
                <w:szCs w:val="22"/>
              </w:rPr>
              <w:t>199</w:t>
            </w:r>
            <w:r w:rsidRPr="00264D5D">
              <w:rPr>
                <w:b/>
                <w:sz w:val="22"/>
                <w:szCs w:val="22"/>
              </w:rPr>
              <w:fldChar w:fldCharType="end"/>
            </w:r>
          </w:p>
        </w:tc>
      </w:tr>
      <w:tr w:rsidR="00AD1F54" w:rsidRPr="00264D5D" w14:paraId="39AF7291"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65C86FE" w14:textId="77777777" w:rsidR="00AD1F54" w:rsidRPr="00264D5D" w:rsidRDefault="00941227">
            <w:pPr>
              <w:pStyle w:val="EBTablenorm"/>
              <w:ind w:left="57" w:right="57"/>
              <w:contextualSpacing w:val="0"/>
              <w:rPr>
                <w:sz w:val="22"/>
                <w:szCs w:val="22"/>
              </w:rPr>
            </w:pPr>
            <w:r w:rsidRPr="00264D5D">
              <w:rPr>
                <w:sz w:val="22"/>
                <w:szCs w:val="22"/>
              </w:rPr>
              <w:t xml:space="preserve">Место пребывания </w:t>
            </w:r>
            <w:r w:rsidRPr="00264D5D">
              <w:rPr>
                <w:bCs/>
                <w:sz w:val="22"/>
                <w:szCs w:val="22"/>
              </w:rPr>
              <w:t>получателя субсидии, получателя средств,</w:t>
            </w:r>
            <w:r w:rsidRPr="00264D5D">
              <w:rPr>
                <w:sz w:val="22"/>
                <w:szCs w:val="22"/>
              </w:rPr>
              <w:t xml:space="preserve"> являющегося иностранным юридическим лицом</w:t>
            </w:r>
          </w:p>
        </w:tc>
        <w:tc>
          <w:tcPr>
            <w:tcW w:w="1699" w:type="dxa"/>
          </w:tcPr>
          <w:p w14:paraId="76B38348" w14:textId="77777777" w:rsidR="00AD1F54" w:rsidRPr="00264D5D" w:rsidRDefault="00941227">
            <w:pPr>
              <w:pStyle w:val="EBTablenorm"/>
              <w:ind w:left="57" w:right="57"/>
              <w:contextualSpacing w:val="0"/>
              <w:rPr>
                <w:sz w:val="22"/>
                <w:szCs w:val="22"/>
                <w:lang w:val="en-US"/>
              </w:rPr>
            </w:pPr>
            <w:r w:rsidRPr="00264D5D">
              <w:rPr>
                <w:sz w:val="22"/>
                <w:szCs w:val="22"/>
                <w:lang w:val="en-US"/>
              </w:rPr>
              <w:t>FrgnRes</w:t>
            </w:r>
          </w:p>
        </w:tc>
        <w:tc>
          <w:tcPr>
            <w:tcW w:w="567" w:type="dxa"/>
          </w:tcPr>
          <w:p w14:paraId="5FC04628" w14:textId="77777777" w:rsidR="00AD1F54" w:rsidRPr="00264D5D" w:rsidRDefault="00941227">
            <w:pPr>
              <w:pStyle w:val="EBTablenorm"/>
              <w:ind w:left="57" w:right="57"/>
              <w:contextualSpacing w:val="0"/>
              <w:rPr>
                <w:sz w:val="22"/>
                <w:szCs w:val="22"/>
              </w:rPr>
            </w:pPr>
            <w:r w:rsidRPr="00264D5D">
              <w:rPr>
                <w:sz w:val="22"/>
                <w:szCs w:val="22"/>
              </w:rPr>
              <w:t>С</w:t>
            </w:r>
          </w:p>
        </w:tc>
        <w:tc>
          <w:tcPr>
            <w:tcW w:w="1133" w:type="dxa"/>
          </w:tcPr>
          <w:p w14:paraId="6E506709" w14:textId="77777777" w:rsidR="00AD1F54" w:rsidRPr="00264D5D" w:rsidRDefault="00941227">
            <w:pPr>
              <w:pStyle w:val="EBTablenorm"/>
              <w:ind w:left="57" w:right="57"/>
              <w:contextualSpacing w:val="0"/>
              <w:rPr>
                <w:sz w:val="22"/>
                <w:szCs w:val="22"/>
              </w:rPr>
            </w:pPr>
            <w:r w:rsidRPr="00264D5D">
              <w:rPr>
                <w:sz w:val="22"/>
                <w:szCs w:val="22"/>
              </w:rPr>
              <w:t>tFrgnRes</w:t>
            </w:r>
          </w:p>
        </w:tc>
        <w:tc>
          <w:tcPr>
            <w:tcW w:w="567" w:type="dxa"/>
          </w:tcPr>
          <w:p w14:paraId="1D8DC3CD" w14:textId="77777777" w:rsidR="00AD1F54" w:rsidRPr="00264D5D" w:rsidRDefault="00941227">
            <w:pPr>
              <w:pStyle w:val="EBTablenorm"/>
              <w:ind w:left="57" w:right="57"/>
              <w:contextualSpacing w:val="0"/>
              <w:rPr>
                <w:sz w:val="22"/>
                <w:szCs w:val="22"/>
              </w:rPr>
            </w:pPr>
            <w:r w:rsidRPr="00264D5D">
              <w:rPr>
                <w:sz w:val="22"/>
                <w:szCs w:val="22"/>
              </w:rPr>
              <w:t>Н</w:t>
            </w:r>
          </w:p>
        </w:tc>
        <w:tc>
          <w:tcPr>
            <w:tcW w:w="3963" w:type="dxa"/>
          </w:tcPr>
          <w:p w14:paraId="629D48F1" w14:textId="77777777" w:rsidR="00AD1F54" w:rsidRPr="00264D5D" w:rsidRDefault="00941227">
            <w:pPr>
              <w:pStyle w:val="EBTablenorm"/>
              <w:ind w:left="57" w:right="57"/>
              <w:contextualSpacing w:val="0"/>
              <w:rPr>
                <w:sz w:val="22"/>
                <w:szCs w:val="22"/>
              </w:rPr>
            </w:pPr>
            <w:r w:rsidRPr="00264D5D">
              <w:rPr>
                <w:sz w:val="22"/>
                <w:szCs w:val="22"/>
              </w:rPr>
              <w:t xml:space="preserve">Место пребывания </w:t>
            </w:r>
            <w:r w:rsidRPr="00264D5D">
              <w:rPr>
                <w:bCs/>
                <w:sz w:val="22"/>
                <w:szCs w:val="22"/>
              </w:rPr>
              <w:t>получателя средств,</w:t>
            </w:r>
            <w:r w:rsidRPr="00264D5D">
              <w:rPr>
                <w:sz w:val="22"/>
                <w:szCs w:val="22"/>
              </w:rPr>
              <w:t xml:space="preserve"> являющегося иностранным юридическим лицом </w:t>
            </w:r>
            <w:r w:rsidRPr="00264D5D">
              <w:rPr>
                <w:bCs/>
                <w:sz w:val="22"/>
                <w:szCs w:val="22"/>
              </w:rPr>
              <w:t>(в соответствии с п. 4.8 Порядка)</w:t>
            </w:r>
            <w:r w:rsidRPr="00264D5D">
              <w:rPr>
                <w:sz w:val="22"/>
                <w:szCs w:val="22"/>
              </w:rPr>
              <w:t>.</w:t>
            </w:r>
          </w:p>
          <w:p w14:paraId="47042B9A" w14:textId="77777777" w:rsidR="00AD1F54" w:rsidRPr="00264D5D" w:rsidRDefault="00941227">
            <w:pPr>
              <w:pStyle w:val="EBTablenorm"/>
              <w:ind w:left="57" w:right="57"/>
              <w:contextualSpacing w:val="0"/>
              <w:rPr>
                <w:sz w:val="22"/>
                <w:szCs w:val="22"/>
              </w:rPr>
            </w:pPr>
            <w:r w:rsidRPr="00264D5D">
              <w:rPr>
                <w:sz w:val="22"/>
                <w:szCs w:val="22"/>
              </w:rPr>
              <w:t xml:space="preserve">Может заполняться при указании в элементе «Тип Получателя» значения «2» или «3». </w:t>
            </w:r>
          </w:p>
          <w:p w14:paraId="06099BEC" w14:textId="0B09CFED" w:rsidR="00AD1F54" w:rsidRPr="00264D5D" w:rsidRDefault="00941227">
            <w:pPr>
              <w:pStyle w:val="EBTablenorm"/>
              <w:ind w:left="57" w:right="57"/>
              <w:contextualSpacing w:val="0"/>
              <w:rPr>
                <w:sz w:val="22"/>
                <w:szCs w:val="22"/>
              </w:rPr>
            </w:pPr>
            <w:r w:rsidRPr="00264D5D">
              <w:rPr>
                <w:sz w:val="22"/>
                <w:szCs w:val="22"/>
              </w:rPr>
              <w:t>Состав элемента представлен в таблице</w:t>
            </w:r>
            <w:r w:rsidRPr="00264D5D">
              <w:rPr>
                <w:b/>
                <w:sz w:val="22"/>
                <w:szCs w:val="22"/>
              </w:rPr>
              <w:t xml:space="preserve"> </w:t>
            </w:r>
            <w:r w:rsidRPr="00264D5D">
              <w:rPr>
                <w:b/>
                <w:sz w:val="22"/>
                <w:szCs w:val="22"/>
              </w:rPr>
              <w:fldChar w:fldCharType="begin"/>
            </w:r>
            <w:r w:rsidRPr="00264D5D">
              <w:rPr>
                <w:b/>
                <w:sz w:val="22"/>
                <w:szCs w:val="22"/>
              </w:rPr>
              <w:instrText xml:space="preserve"> REF _Ref494363647 \h  \* MERGEFORMAT </w:instrText>
            </w:r>
            <w:r w:rsidRPr="00264D5D">
              <w:rPr>
                <w:b/>
                <w:sz w:val="22"/>
                <w:szCs w:val="22"/>
              </w:rPr>
            </w:r>
            <w:r w:rsidRPr="00264D5D">
              <w:rPr>
                <w:b/>
                <w:sz w:val="22"/>
                <w:szCs w:val="22"/>
              </w:rPr>
              <w:fldChar w:fldCharType="separate"/>
            </w:r>
            <w:r w:rsidR="008D797C" w:rsidRPr="008D797C">
              <w:rPr>
                <w:rFonts w:eastAsia="Calibri"/>
                <w:b/>
                <w:sz w:val="22"/>
                <w:szCs w:val="22"/>
              </w:rPr>
              <w:t>200</w:t>
            </w:r>
            <w:r w:rsidRPr="00264D5D">
              <w:rPr>
                <w:b/>
                <w:sz w:val="22"/>
                <w:szCs w:val="22"/>
              </w:rPr>
              <w:fldChar w:fldCharType="end"/>
            </w:r>
          </w:p>
        </w:tc>
      </w:tr>
      <w:tr w:rsidR="00AD1F54" w:rsidRPr="00264D5D" w14:paraId="061EEA6E"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ACB099B" w14:textId="77777777" w:rsidR="00AD1F54" w:rsidRPr="00264D5D" w:rsidRDefault="00941227">
            <w:pPr>
              <w:pStyle w:val="EBTablenorm"/>
              <w:ind w:left="57" w:right="57"/>
              <w:contextualSpacing w:val="0"/>
              <w:rPr>
                <w:sz w:val="22"/>
                <w:szCs w:val="22"/>
              </w:rPr>
            </w:pPr>
            <w:r w:rsidRPr="00264D5D">
              <w:rPr>
                <w:sz w:val="22"/>
                <w:szCs w:val="22"/>
              </w:rPr>
              <w:t>Лицевой счет ГРБС</w:t>
            </w:r>
          </w:p>
        </w:tc>
        <w:tc>
          <w:tcPr>
            <w:tcW w:w="1699" w:type="dxa"/>
          </w:tcPr>
          <w:p w14:paraId="7A3C4C7B" w14:textId="77777777" w:rsidR="00AD1F54" w:rsidRPr="00264D5D" w:rsidRDefault="00941227">
            <w:pPr>
              <w:pStyle w:val="EBTablenorm"/>
              <w:ind w:left="57" w:right="57"/>
              <w:contextualSpacing w:val="0"/>
              <w:rPr>
                <w:sz w:val="22"/>
                <w:szCs w:val="22"/>
                <w:lang w:val="en-US"/>
              </w:rPr>
            </w:pPr>
            <w:r w:rsidRPr="00264D5D">
              <w:rPr>
                <w:sz w:val="22"/>
                <w:szCs w:val="22"/>
                <w:lang w:val="en-US"/>
              </w:rPr>
              <w:t>GRBSLS</w:t>
            </w:r>
          </w:p>
        </w:tc>
        <w:tc>
          <w:tcPr>
            <w:tcW w:w="567" w:type="dxa"/>
          </w:tcPr>
          <w:p w14:paraId="764F0E54" w14:textId="77777777" w:rsidR="00AD1F54" w:rsidRPr="00264D5D" w:rsidRDefault="00941227">
            <w:pPr>
              <w:pStyle w:val="EBTablenorm"/>
              <w:ind w:left="57" w:right="57"/>
              <w:contextualSpacing w:val="0"/>
              <w:rPr>
                <w:sz w:val="22"/>
                <w:szCs w:val="22"/>
              </w:rPr>
            </w:pPr>
            <w:r w:rsidRPr="00264D5D">
              <w:rPr>
                <w:sz w:val="22"/>
                <w:szCs w:val="22"/>
              </w:rPr>
              <w:t>С</w:t>
            </w:r>
          </w:p>
        </w:tc>
        <w:tc>
          <w:tcPr>
            <w:tcW w:w="1133" w:type="dxa"/>
          </w:tcPr>
          <w:p w14:paraId="51E5B243" w14:textId="77777777" w:rsidR="00AD1F54" w:rsidRPr="00264D5D" w:rsidRDefault="00941227">
            <w:pPr>
              <w:pStyle w:val="EBTablenorm"/>
              <w:ind w:left="57" w:right="57"/>
              <w:contextualSpacing w:val="0"/>
              <w:rPr>
                <w:sz w:val="22"/>
                <w:szCs w:val="22"/>
              </w:rPr>
            </w:pPr>
            <w:r w:rsidRPr="00264D5D">
              <w:rPr>
                <w:sz w:val="22"/>
                <w:szCs w:val="22"/>
              </w:rPr>
              <w:t>tGRBSLS</w:t>
            </w:r>
          </w:p>
        </w:tc>
        <w:tc>
          <w:tcPr>
            <w:tcW w:w="567" w:type="dxa"/>
          </w:tcPr>
          <w:p w14:paraId="73F49704" w14:textId="77777777" w:rsidR="00AD1F54" w:rsidRPr="00264D5D" w:rsidRDefault="00941227">
            <w:pPr>
              <w:pStyle w:val="EBTablenorm"/>
              <w:ind w:left="57" w:right="57"/>
              <w:contextualSpacing w:val="0"/>
              <w:rPr>
                <w:sz w:val="22"/>
                <w:szCs w:val="22"/>
              </w:rPr>
            </w:pPr>
            <w:r w:rsidRPr="00264D5D">
              <w:rPr>
                <w:sz w:val="22"/>
                <w:szCs w:val="22"/>
              </w:rPr>
              <w:t>О</w:t>
            </w:r>
          </w:p>
        </w:tc>
        <w:tc>
          <w:tcPr>
            <w:tcW w:w="3963" w:type="dxa"/>
          </w:tcPr>
          <w:p w14:paraId="09527D20" w14:textId="77777777" w:rsidR="00B83EE9" w:rsidRPr="00264D5D" w:rsidRDefault="00941227">
            <w:pPr>
              <w:pStyle w:val="EBTablenorm"/>
              <w:ind w:left="57" w:right="57"/>
              <w:contextualSpacing w:val="0"/>
              <w:rPr>
                <w:sz w:val="22"/>
                <w:szCs w:val="22"/>
              </w:rPr>
            </w:pPr>
            <w:r w:rsidRPr="00264D5D">
              <w:rPr>
                <w:sz w:val="22"/>
                <w:szCs w:val="22"/>
              </w:rPr>
              <w:t xml:space="preserve">Лицевой счет ГРБС </w:t>
            </w:r>
            <w:r w:rsidRPr="00264D5D">
              <w:rPr>
                <w:bCs/>
                <w:sz w:val="22"/>
                <w:szCs w:val="22"/>
              </w:rPr>
              <w:t>(в соответствии с п. 4.14 Порядка)</w:t>
            </w:r>
            <w:r w:rsidRPr="00264D5D">
              <w:rPr>
                <w:sz w:val="22"/>
                <w:szCs w:val="22"/>
              </w:rPr>
              <w:t>.</w:t>
            </w:r>
          </w:p>
          <w:p w14:paraId="3C96F417" w14:textId="41D5A3AE" w:rsidR="00AD1F54" w:rsidRPr="00264D5D" w:rsidRDefault="00941227">
            <w:pPr>
              <w:pStyle w:val="EBTablenorm"/>
              <w:ind w:left="57" w:right="57"/>
              <w:contextualSpacing w:val="0"/>
              <w:rPr>
                <w:sz w:val="22"/>
                <w:szCs w:val="22"/>
              </w:rPr>
            </w:pPr>
            <w:r w:rsidRPr="00264D5D">
              <w:rPr>
                <w:sz w:val="22"/>
                <w:szCs w:val="22"/>
              </w:rPr>
              <w:t>Состав элемента представлен в таблице</w:t>
            </w:r>
            <w:r w:rsidRPr="00264D5D">
              <w:rPr>
                <w:b/>
                <w:sz w:val="22"/>
                <w:szCs w:val="22"/>
              </w:rPr>
              <w:t xml:space="preserve"> </w:t>
            </w:r>
            <w:r w:rsidRPr="00264D5D">
              <w:rPr>
                <w:b/>
                <w:sz w:val="22"/>
                <w:szCs w:val="22"/>
              </w:rPr>
              <w:fldChar w:fldCharType="begin"/>
            </w:r>
            <w:r w:rsidRPr="00264D5D">
              <w:rPr>
                <w:b/>
                <w:sz w:val="22"/>
                <w:szCs w:val="22"/>
              </w:rPr>
              <w:instrText xml:space="preserve"> REF _Ref494363773 \h  \* MERGEFORMAT </w:instrText>
            </w:r>
            <w:r w:rsidRPr="00264D5D">
              <w:rPr>
                <w:b/>
                <w:sz w:val="22"/>
                <w:szCs w:val="22"/>
              </w:rPr>
            </w:r>
            <w:r w:rsidRPr="00264D5D">
              <w:rPr>
                <w:b/>
                <w:sz w:val="22"/>
                <w:szCs w:val="22"/>
              </w:rPr>
              <w:fldChar w:fldCharType="separate"/>
            </w:r>
            <w:r w:rsidR="008D797C" w:rsidRPr="008D797C">
              <w:rPr>
                <w:rFonts w:eastAsia="Calibri"/>
                <w:b/>
                <w:sz w:val="22"/>
                <w:szCs w:val="22"/>
              </w:rPr>
              <w:t>201</w:t>
            </w:r>
            <w:r w:rsidRPr="00264D5D">
              <w:rPr>
                <w:b/>
                <w:sz w:val="22"/>
                <w:szCs w:val="22"/>
              </w:rPr>
              <w:fldChar w:fldCharType="end"/>
            </w:r>
          </w:p>
        </w:tc>
      </w:tr>
      <w:tr w:rsidR="00AD1F54" w:rsidRPr="00264D5D" w14:paraId="05F79A6A"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6B1429CB" w14:textId="77777777" w:rsidR="00AD1F54" w:rsidRPr="00264D5D" w:rsidRDefault="00941227">
            <w:pPr>
              <w:pStyle w:val="EBTablenorm"/>
              <w:ind w:left="57" w:right="57"/>
              <w:contextualSpacing w:val="0"/>
              <w:rPr>
                <w:sz w:val="22"/>
                <w:szCs w:val="22"/>
              </w:rPr>
            </w:pPr>
            <w:r w:rsidRPr="00264D5D">
              <w:rPr>
                <w:sz w:val="22"/>
                <w:szCs w:val="22"/>
              </w:rPr>
              <w:t>Наименование бюджета субъекта РФ</w:t>
            </w:r>
          </w:p>
        </w:tc>
        <w:tc>
          <w:tcPr>
            <w:tcW w:w="1699" w:type="dxa"/>
          </w:tcPr>
          <w:p w14:paraId="7F94348C" w14:textId="77777777" w:rsidR="00AD1F54" w:rsidRPr="00264D5D" w:rsidRDefault="00941227">
            <w:pPr>
              <w:pStyle w:val="EBTablenorm"/>
              <w:ind w:left="57" w:right="57"/>
              <w:contextualSpacing w:val="0"/>
              <w:rPr>
                <w:sz w:val="22"/>
                <w:szCs w:val="22"/>
                <w:lang w:val="en-US"/>
              </w:rPr>
            </w:pPr>
            <w:r w:rsidRPr="00264D5D">
              <w:rPr>
                <w:sz w:val="22"/>
                <w:szCs w:val="22"/>
                <w:lang w:val="en-US"/>
              </w:rPr>
              <w:t>BdgName</w:t>
            </w:r>
          </w:p>
        </w:tc>
        <w:tc>
          <w:tcPr>
            <w:tcW w:w="567" w:type="dxa"/>
          </w:tcPr>
          <w:p w14:paraId="73B0DCF6" w14:textId="77777777" w:rsidR="00AD1F54" w:rsidRPr="00264D5D" w:rsidRDefault="00941227">
            <w:pPr>
              <w:pStyle w:val="EBTablenorm"/>
              <w:ind w:left="57" w:right="57"/>
              <w:contextualSpacing w:val="0"/>
              <w:rPr>
                <w:sz w:val="22"/>
                <w:szCs w:val="22"/>
              </w:rPr>
            </w:pPr>
            <w:r w:rsidRPr="00264D5D">
              <w:rPr>
                <w:sz w:val="22"/>
                <w:szCs w:val="22"/>
              </w:rPr>
              <w:t>С</w:t>
            </w:r>
          </w:p>
        </w:tc>
        <w:tc>
          <w:tcPr>
            <w:tcW w:w="1133" w:type="dxa"/>
          </w:tcPr>
          <w:p w14:paraId="6319BE2E" w14:textId="77777777" w:rsidR="00AD1F54" w:rsidRPr="00264D5D" w:rsidRDefault="00941227">
            <w:pPr>
              <w:pStyle w:val="EBTablenorm"/>
              <w:ind w:left="57" w:right="57"/>
              <w:contextualSpacing w:val="0"/>
              <w:rPr>
                <w:sz w:val="22"/>
                <w:szCs w:val="22"/>
              </w:rPr>
            </w:pPr>
            <w:r w:rsidRPr="00264D5D">
              <w:rPr>
                <w:sz w:val="22"/>
                <w:szCs w:val="22"/>
              </w:rPr>
              <w:t>tBdgName</w:t>
            </w:r>
          </w:p>
        </w:tc>
        <w:tc>
          <w:tcPr>
            <w:tcW w:w="567" w:type="dxa"/>
          </w:tcPr>
          <w:p w14:paraId="6DA1CB71" w14:textId="77777777" w:rsidR="00AD1F54" w:rsidRPr="00264D5D" w:rsidRDefault="00941227">
            <w:pPr>
              <w:pStyle w:val="EBTablenorm"/>
              <w:ind w:left="57" w:right="57"/>
              <w:contextualSpacing w:val="0"/>
              <w:rPr>
                <w:sz w:val="22"/>
                <w:szCs w:val="22"/>
              </w:rPr>
            </w:pPr>
            <w:r w:rsidRPr="00264D5D">
              <w:rPr>
                <w:sz w:val="22"/>
                <w:szCs w:val="22"/>
              </w:rPr>
              <w:t>Н</w:t>
            </w:r>
          </w:p>
        </w:tc>
        <w:tc>
          <w:tcPr>
            <w:tcW w:w="3963" w:type="dxa"/>
          </w:tcPr>
          <w:p w14:paraId="73069AFE" w14:textId="77777777" w:rsidR="00AD1F54" w:rsidRPr="00264D5D" w:rsidRDefault="00941227">
            <w:pPr>
              <w:pStyle w:val="EBTablenorm"/>
              <w:ind w:left="57" w:right="57"/>
              <w:contextualSpacing w:val="0"/>
              <w:rPr>
                <w:sz w:val="22"/>
                <w:szCs w:val="22"/>
              </w:rPr>
            </w:pPr>
            <w:r w:rsidRPr="00264D5D">
              <w:rPr>
                <w:sz w:val="22"/>
                <w:szCs w:val="22"/>
              </w:rPr>
              <w:t xml:space="preserve">Наименование бюджета субъекта Российской Федерации, которому предоставляется межбюджетный трансферт </w:t>
            </w:r>
            <w:r w:rsidRPr="00264D5D">
              <w:rPr>
                <w:bCs/>
                <w:sz w:val="22"/>
                <w:szCs w:val="22"/>
              </w:rPr>
              <w:t xml:space="preserve">(в соответствии с п. 4.15 </w:t>
            </w:r>
            <w:r w:rsidR="00B83EE9" w:rsidRPr="00264D5D">
              <w:rPr>
                <w:bCs/>
                <w:sz w:val="22"/>
                <w:szCs w:val="22"/>
              </w:rPr>
              <w:lastRenderedPageBreak/>
              <w:t>Порядка,</w:t>
            </w:r>
            <w:r w:rsidRPr="00264D5D">
              <w:rPr>
                <w:bCs/>
                <w:sz w:val="22"/>
                <w:szCs w:val="22"/>
              </w:rPr>
              <w:t xml:space="preserve"> утвержденного Приказом 20н)</w:t>
            </w:r>
            <w:r w:rsidRPr="00264D5D">
              <w:rPr>
                <w:sz w:val="22"/>
                <w:szCs w:val="22"/>
              </w:rPr>
              <w:t xml:space="preserve">. Обязательно для заполнения при указании в элементе «Код вида соглашения» значений «031», «032», «033» или при указании в элементе «Код вида соглашения» значений «044», «045», «046» в случае предоставления межбюджетного трансферта. </w:t>
            </w:r>
          </w:p>
          <w:p w14:paraId="5F7506AC" w14:textId="77777777" w:rsidR="00AD1F54" w:rsidRPr="00264D5D" w:rsidRDefault="00941227">
            <w:pPr>
              <w:pStyle w:val="EBTablenorm"/>
              <w:ind w:left="57" w:right="57"/>
              <w:contextualSpacing w:val="0"/>
              <w:rPr>
                <w:sz w:val="22"/>
                <w:szCs w:val="22"/>
              </w:rPr>
            </w:pPr>
            <w:r w:rsidRPr="00264D5D">
              <w:rPr>
                <w:sz w:val="22"/>
                <w:szCs w:val="22"/>
              </w:rPr>
              <w:t xml:space="preserve">В иных случаях элемент не заполняется. </w:t>
            </w:r>
          </w:p>
          <w:p w14:paraId="278DCCD4" w14:textId="7686E9AD" w:rsidR="00AD1F54" w:rsidRPr="00264D5D" w:rsidRDefault="00941227">
            <w:pPr>
              <w:pStyle w:val="EBTablenorm"/>
              <w:ind w:left="57" w:right="57"/>
              <w:contextualSpacing w:val="0"/>
              <w:rPr>
                <w:sz w:val="22"/>
                <w:szCs w:val="22"/>
              </w:rPr>
            </w:pPr>
            <w:r w:rsidRPr="00264D5D">
              <w:rPr>
                <w:sz w:val="22"/>
                <w:szCs w:val="22"/>
              </w:rPr>
              <w:t>Состав элемента представлен в таблице</w:t>
            </w:r>
            <w:r w:rsidRPr="00264D5D">
              <w:rPr>
                <w:b/>
                <w:sz w:val="22"/>
                <w:szCs w:val="22"/>
              </w:rPr>
              <w:t xml:space="preserve"> </w:t>
            </w:r>
            <w:r w:rsidRPr="00264D5D">
              <w:rPr>
                <w:b/>
                <w:sz w:val="22"/>
                <w:szCs w:val="22"/>
              </w:rPr>
              <w:fldChar w:fldCharType="begin"/>
            </w:r>
            <w:r w:rsidRPr="00264D5D">
              <w:rPr>
                <w:b/>
                <w:sz w:val="22"/>
                <w:szCs w:val="22"/>
              </w:rPr>
              <w:instrText xml:space="preserve"> REF _Ref494363831 \h  \* MERGEFORMAT </w:instrText>
            </w:r>
            <w:r w:rsidRPr="00264D5D">
              <w:rPr>
                <w:b/>
                <w:sz w:val="22"/>
                <w:szCs w:val="22"/>
              </w:rPr>
            </w:r>
            <w:r w:rsidRPr="00264D5D">
              <w:rPr>
                <w:b/>
                <w:sz w:val="22"/>
                <w:szCs w:val="22"/>
              </w:rPr>
              <w:fldChar w:fldCharType="separate"/>
            </w:r>
            <w:r w:rsidR="008D797C" w:rsidRPr="008D797C">
              <w:rPr>
                <w:rFonts w:eastAsia="Calibri"/>
                <w:b/>
                <w:sz w:val="22"/>
                <w:szCs w:val="22"/>
              </w:rPr>
              <w:t>202</w:t>
            </w:r>
            <w:r w:rsidRPr="00264D5D">
              <w:rPr>
                <w:b/>
                <w:sz w:val="22"/>
                <w:szCs w:val="22"/>
              </w:rPr>
              <w:fldChar w:fldCharType="end"/>
            </w:r>
          </w:p>
        </w:tc>
      </w:tr>
      <w:tr w:rsidR="00AD1F54" w:rsidRPr="00264D5D" w14:paraId="7A8261C4"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6EB8D3B" w14:textId="77777777" w:rsidR="00AD1F54" w:rsidRPr="00264D5D" w:rsidRDefault="00941227">
            <w:pPr>
              <w:pStyle w:val="EBTablenorm"/>
              <w:ind w:left="57" w:right="57"/>
              <w:contextualSpacing w:val="0"/>
              <w:rPr>
                <w:sz w:val="22"/>
                <w:szCs w:val="22"/>
              </w:rPr>
            </w:pPr>
            <w:r w:rsidRPr="00264D5D">
              <w:rPr>
                <w:sz w:val="22"/>
                <w:szCs w:val="22"/>
              </w:rPr>
              <w:lastRenderedPageBreak/>
              <w:t>Размер субсидии, бюджетных инвестиций, межбюджетных трансфертов</w:t>
            </w:r>
          </w:p>
        </w:tc>
        <w:tc>
          <w:tcPr>
            <w:tcW w:w="1699" w:type="dxa"/>
          </w:tcPr>
          <w:p w14:paraId="1595D72B" w14:textId="77777777" w:rsidR="00AD1F54" w:rsidRPr="00264D5D" w:rsidRDefault="00941227">
            <w:pPr>
              <w:pStyle w:val="EBTablenorm"/>
              <w:ind w:left="57" w:right="57"/>
              <w:contextualSpacing w:val="0"/>
              <w:rPr>
                <w:sz w:val="22"/>
                <w:szCs w:val="22"/>
                <w:lang w:val="en-US"/>
              </w:rPr>
            </w:pPr>
            <w:r w:rsidRPr="00264D5D">
              <w:rPr>
                <w:sz w:val="22"/>
                <w:szCs w:val="22"/>
                <w:lang w:val="en-US"/>
              </w:rPr>
              <w:t>Summ</w:t>
            </w:r>
          </w:p>
        </w:tc>
        <w:tc>
          <w:tcPr>
            <w:tcW w:w="567" w:type="dxa"/>
          </w:tcPr>
          <w:p w14:paraId="306C5215" w14:textId="77777777" w:rsidR="00AD1F54" w:rsidRPr="00264D5D" w:rsidRDefault="00941227">
            <w:pPr>
              <w:pStyle w:val="EBTablenorm"/>
              <w:ind w:left="57" w:right="57"/>
              <w:contextualSpacing w:val="0"/>
              <w:rPr>
                <w:sz w:val="22"/>
                <w:szCs w:val="22"/>
              </w:rPr>
            </w:pPr>
            <w:r w:rsidRPr="00264D5D">
              <w:rPr>
                <w:sz w:val="22"/>
                <w:szCs w:val="22"/>
                <w:lang w:val="en-US"/>
              </w:rPr>
              <w:t>С</w:t>
            </w:r>
          </w:p>
        </w:tc>
        <w:tc>
          <w:tcPr>
            <w:tcW w:w="1133" w:type="dxa"/>
          </w:tcPr>
          <w:p w14:paraId="4695B1B7" w14:textId="77777777" w:rsidR="00AD1F54" w:rsidRPr="00264D5D" w:rsidRDefault="00941227">
            <w:pPr>
              <w:pStyle w:val="EBTablenorm"/>
              <w:ind w:left="57" w:right="57"/>
              <w:contextualSpacing w:val="0"/>
              <w:rPr>
                <w:sz w:val="22"/>
                <w:szCs w:val="22"/>
              </w:rPr>
            </w:pPr>
            <w:r w:rsidRPr="00264D5D">
              <w:rPr>
                <w:sz w:val="22"/>
                <w:szCs w:val="22"/>
              </w:rPr>
              <w:t>tSumm</w:t>
            </w:r>
          </w:p>
        </w:tc>
        <w:tc>
          <w:tcPr>
            <w:tcW w:w="567" w:type="dxa"/>
          </w:tcPr>
          <w:p w14:paraId="77CF9B42" w14:textId="77777777" w:rsidR="00AD1F54" w:rsidRPr="00264D5D" w:rsidRDefault="00941227">
            <w:pPr>
              <w:pStyle w:val="EBTablenorm"/>
              <w:ind w:left="57" w:right="57"/>
              <w:contextualSpacing w:val="0"/>
              <w:rPr>
                <w:sz w:val="22"/>
                <w:szCs w:val="22"/>
              </w:rPr>
            </w:pPr>
            <w:r w:rsidRPr="00264D5D">
              <w:rPr>
                <w:sz w:val="22"/>
                <w:szCs w:val="22"/>
              </w:rPr>
              <w:t>О</w:t>
            </w:r>
          </w:p>
        </w:tc>
        <w:tc>
          <w:tcPr>
            <w:tcW w:w="3963" w:type="dxa"/>
          </w:tcPr>
          <w:p w14:paraId="728434C0" w14:textId="77777777" w:rsidR="00AD1F54" w:rsidRPr="00264D5D" w:rsidRDefault="00941227">
            <w:pPr>
              <w:pStyle w:val="EBTablenorm"/>
              <w:keepNext/>
              <w:keepLines/>
              <w:ind w:left="57" w:right="57"/>
              <w:contextualSpacing w:val="0"/>
              <w:rPr>
                <w:sz w:val="22"/>
                <w:szCs w:val="22"/>
              </w:rPr>
            </w:pPr>
            <w:r w:rsidRPr="00264D5D">
              <w:rPr>
                <w:sz w:val="22"/>
                <w:szCs w:val="22"/>
              </w:rPr>
              <w:t xml:space="preserve">Размер субсидии, бюджетных инвестиций, межбюджетных трансфертов </w:t>
            </w:r>
            <w:r w:rsidRPr="00264D5D">
              <w:rPr>
                <w:bCs/>
                <w:sz w:val="22"/>
                <w:szCs w:val="22"/>
              </w:rPr>
              <w:t>(в соответствии с п. 4.16 Порядка)</w:t>
            </w:r>
            <w:r w:rsidRPr="00264D5D">
              <w:rPr>
                <w:sz w:val="22"/>
                <w:szCs w:val="22"/>
              </w:rPr>
              <w:t xml:space="preserve">. </w:t>
            </w:r>
          </w:p>
          <w:p w14:paraId="54E89AAA" w14:textId="1BCBF3E0" w:rsidR="00AD1F54" w:rsidRPr="00264D5D" w:rsidRDefault="00941227">
            <w:pPr>
              <w:pStyle w:val="EBTablenorm"/>
              <w:keepNext/>
              <w:keepLines/>
              <w:ind w:left="57" w:right="57"/>
              <w:contextualSpacing w:val="0"/>
              <w:rPr>
                <w:sz w:val="22"/>
                <w:szCs w:val="22"/>
              </w:rPr>
            </w:pPr>
            <w:r w:rsidRPr="00264D5D">
              <w:rPr>
                <w:sz w:val="22"/>
                <w:szCs w:val="22"/>
              </w:rPr>
              <w:t>Состав элемента представлен в таблице</w:t>
            </w:r>
            <w:r w:rsidRPr="00264D5D">
              <w:rPr>
                <w:b/>
                <w:sz w:val="22"/>
                <w:szCs w:val="22"/>
              </w:rPr>
              <w:t xml:space="preserve"> </w:t>
            </w:r>
            <w:r w:rsidRPr="00264D5D">
              <w:rPr>
                <w:b/>
                <w:sz w:val="22"/>
                <w:szCs w:val="22"/>
              </w:rPr>
              <w:fldChar w:fldCharType="begin"/>
            </w:r>
            <w:r w:rsidRPr="00264D5D">
              <w:rPr>
                <w:b/>
                <w:sz w:val="22"/>
                <w:szCs w:val="22"/>
              </w:rPr>
              <w:instrText xml:space="preserve"> REF _Ref494363987 \h  \* MERGEFORMAT </w:instrText>
            </w:r>
            <w:r w:rsidRPr="00264D5D">
              <w:rPr>
                <w:b/>
                <w:sz w:val="22"/>
                <w:szCs w:val="22"/>
              </w:rPr>
            </w:r>
            <w:r w:rsidRPr="00264D5D">
              <w:rPr>
                <w:b/>
                <w:sz w:val="22"/>
                <w:szCs w:val="22"/>
              </w:rPr>
              <w:fldChar w:fldCharType="separate"/>
            </w:r>
            <w:r w:rsidR="008D797C" w:rsidRPr="008D797C">
              <w:rPr>
                <w:rFonts w:eastAsia="Calibri"/>
                <w:b/>
                <w:sz w:val="22"/>
                <w:szCs w:val="22"/>
              </w:rPr>
              <w:t>203</w:t>
            </w:r>
            <w:r w:rsidRPr="00264D5D">
              <w:rPr>
                <w:b/>
                <w:sz w:val="22"/>
                <w:szCs w:val="22"/>
              </w:rPr>
              <w:fldChar w:fldCharType="end"/>
            </w:r>
          </w:p>
        </w:tc>
      </w:tr>
      <w:tr w:rsidR="00AD1F54" w:rsidRPr="00264D5D" w14:paraId="0BCF1BCA"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6ED9FA0" w14:textId="77777777" w:rsidR="00AD1F54" w:rsidRPr="00264D5D" w:rsidRDefault="00941227">
            <w:pPr>
              <w:pStyle w:val="EBTablenorm"/>
              <w:ind w:left="57" w:right="57"/>
              <w:contextualSpacing w:val="0"/>
              <w:rPr>
                <w:sz w:val="22"/>
                <w:szCs w:val="22"/>
              </w:rPr>
            </w:pPr>
            <w:r w:rsidRPr="00264D5D">
              <w:rPr>
                <w:sz w:val="22"/>
                <w:szCs w:val="22"/>
              </w:rPr>
              <w:t>Информация о соглашении/ изменении соглашения</w:t>
            </w:r>
          </w:p>
        </w:tc>
        <w:tc>
          <w:tcPr>
            <w:tcW w:w="1699" w:type="dxa"/>
          </w:tcPr>
          <w:p w14:paraId="1511AE0B" w14:textId="77777777" w:rsidR="00AD1F54" w:rsidRPr="00264D5D" w:rsidRDefault="00941227">
            <w:pPr>
              <w:pStyle w:val="EBTablenorm"/>
              <w:ind w:left="57" w:right="57"/>
              <w:contextualSpacing w:val="0"/>
              <w:rPr>
                <w:sz w:val="22"/>
                <w:szCs w:val="22"/>
              </w:rPr>
            </w:pPr>
            <w:r w:rsidRPr="00264D5D">
              <w:rPr>
                <w:sz w:val="22"/>
                <w:szCs w:val="22"/>
                <w:lang w:val="en-US"/>
              </w:rPr>
              <w:t>AgrInf</w:t>
            </w:r>
          </w:p>
        </w:tc>
        <w:tc>
          <w:tcPr>
            <w:tcW w:w="567" w:type="dxa"/>
          </w:tcPr>
          <w:p w14:paraId="624EABA5" w14:textId="77777777" w:rsidR="00AD1F54" w:rsidRPr="00264D5D" w:rsidRDefault="00941227">
            <w:pPr>
              <w:pStyle w:val="EBTablenorm"/>
              <w:ind w:left="57" w:right="57"/>
              <w:contextualSpacing w:val="0"/>
              <w:rPr>
                <w:sz w:val="22"/>
                <w:szCs w:val="22"/>
                <w:lang w:val="en-US"/>
              </w:rPr>
            </w:pPr>
            <w:r w:rsidRPr="00264D5D">
              <w:rPr>
                <w:sz w:val="22"/>
                <w:szCs w:val="22"/>
                <w:lang w:val="en-US"/>
              </w:rPr>
              <w:t>С</w:t>
            </w:r>
          </w:p>
        </w:tc>
        <w:tc>
          <w:tcPr>
            <w:tcW w:w="1133" w:type="dxa"/>
          </w:tcPr>
          <w:p w14:paraId="7F1BB600" w14:textId="77777777" w:rsidR="00AD1F54" w:rsidRPr="00264D5D" w:rsidRDefault="00941227">
            <w:pPr>
              <w:pStyle w:val="EBTablenorm"/>
              <w:ind w:left="57" w:right="57"/>
              <w:contextualSpacing w:val="0"/>
              <w:rPr>
                <w:sz w:val="22"/>
                <w:szCs w:val="22"/>
              </w:rPr>
            </w:pPr>
            <w:r w:rsidRPr="00264D5D">
              <w:rPr>
                <w:sz w:val="22"/>
                <w:szCs w:val="22"/>
              </w:rPr>
              <w:t>tAgrInf</w:t>
            </w:r>
          </w:p>
        </w:tc>
        <w:tc>
          <w:tcPr>
            <w:tcW w:w="567" w:type="dxa"/>
          </w:tcPr>
          <w:p w14:paraId="65220EC4" w14:textId="77777777" w:rsidR="00AD1F54" w:rsidRPr="00264D5D" w:rsidRDefault="00941227">
            <w:pPr>
              <w:pStyle w:val="EBTablenorm"/>
              <w:ind w:left="57" w:right="57"/>
              <w:contextualSpacing w:val="0"/>
              <w:rPr>
                <w:sz w:val="22"/>
                <w:szCs w:val="22"/>
              </w:rPr>
            </w:pPr>
            <w:r w:rsidRPr="00264D5D">
              <w:rPr>
                <w:sz w:val="22"/>
                <w:szCs w:val="22"/>
              </w:rPr>
              <w:t>Н</w:t>
            </w:r>
          </w:p>
        </w:tc>
        <w:tc>
          <w:tcPr>
            <w:tcW w:w="3963" w:type="dxa"/>
          </w:tcPr>
          <w:p w14:paraId="669D5D47" w14:textId="77777777" w:rsidR="00AD1F54" w:rsidRPr="00264D5D" w:rsidRDefault="00941227">
            <w:pPr>
              <w:pStyle w:val="EBTablenorm"/>
              <w:ind w:left="57" w:right="57"/>
              <w:contextualSpacing w:val="0"/>
              <w:rPr>
                <w:sz w:val="22"/>
                <w:szCs w:val="22"/>
              </w:rPr>
            </w:pPr>
            <w:r w:rsidRPr="00264D5D">
              <w:rPr>
                <w:sz w:val="22"/>
                <w:szCs w:val="22"/>
              </w:rPr>
              <w:t xml:space="preserve">Информация о соглашении/ изменении соглашения </w:t>
            </w:r>
            <w:r w:rsidRPr="00264D5D">
              <w:rPr>
                <w:bCs/>
                <w:sz w:val="22"/>
                <w:szCs w:val="22"/>
              </w:rPr>
              <w:t>(в соответствии с п. 4.17 Порядка)</w:t>
            </w:r>
            <w:r w:rsidRPr="00264D5D">
              <w:rPr>
                <w:sz w:val="22"/>
                <w:szCs w:val="22"/>
              </w:rPr>
              <w:t>.</w:t>
            </w:r>
          </w:p>
          <w:p w14:paraId="3E105219" w14:textId="77777777" w:rsidR="00AD1F54" w:rsidRPr="00264D5D" w:rsidRDefault="00941227">
            <w:pPr>
              <w:pStyle w:val="EBTablenorm"/>
              <w:ind w:left="57" w:right="57"/>
              <w:contextualSpacing w:val="0"/>
              <w:rPr>
                <w:bCs/>
                <w:sz w:val="22"/>
                <w:szCs w:val="22"/>
              </w:rPr>
            </w:pPr>
            <w:r w:rsidRPr="00264D5D">
              <w:rPr>
                <w:bCs/>
                <w:sz w:val="22"/>
                <w:szCs w:val="22"/>
              </w:rPr>
              <w:t>Обязательно для заполнения при указании в элементе «</w:t>
            </w:r>
            <w:r w:rsidRPr="00264D5D">
              <w:rPr>
                <w:sz w:val="22"/>
                <w:szCs w:val="22"/>
              </w:rPr>
              <w:t>Код вида соглашения</w:t>
            </w:r>
            <w:r w:rsidRPr="00264D5D">
              <w:rPr>
                <w:bCs/>
                <w:sz w:val="22"/>
                <w:szCs w:val="22"/>
              </w:rPr>
              <w:t xml:space="preserve">» значения отличного от «041», «042», «043», «044», «045», «046». </w:t>
            </w:r>
          </w:p>
          <w:p w14:paraId="132A52BD" w14:textId="77777777" w:rsidR="00AD1F54" w:rsidRPr="00264D5D" w:rsidRDefault="00941227">
            <w:pPr>
              <w:pStyle w:val="EBTablenorm"/>
              <w:ind w:left="57" w:right="57"/>
              <w:contextualSpacing w:val="0"/>
              <w:rPr>
                <w:bCs/>
                <w:sz w:val="22"/>
                <w:szCs w:val="22"/>
              </w:rPr>
            </w:pPr>
            <w:r w:rsidRPr="00264D5D">
              <w:rPr>
                <w:bCs/>
                <w:sz w:val="22"/>
                <w:szCs w:val="22"/>
              </w:rPr>
              <w:t>Не заполняется при значении «</w:t>
            </w:r>
            <w:r w:rsidRPr="00264D5D">
              <w:rPr>
                <w:sz w:val="22"/>
                <w:szCs w:val="22"/>
              </w:rPr>
              <w:t>Код вида соглашения</w:t>
            </w:r>
            <w:r w:rsidRPr="00264D5D">
              <w:rPr>
                <w:bCs/>
                <w:sz w:val="22"/>
                <w:szCs w:val="22"/>
              </w:rPr>
              <w:t>» равном «041», «042», «043», «044», «045» или «046».</w:t>
            </w:r>
          </w:p>
          <w:p w14:paraId="59B4E557" w14:textId="52509908" w:rsidR="00AD1F54" w:rsidRPr="00264D5D" w:rsidRDefault="00941227">
            <w:pPr>
              <w:pStyle w:val="EBTablenorm"/>
              <w:ind w:left="57" w:right="57"/>
              <w:contextualSpacing w:val="0"/>
              <w:rPr>
                <w:sz w:val="22"/>
                <w:szCs w:val="22"/>
              </w:rPr>
            </w:pPr>
            <w:r w:rsidRPr="00264D5D">
              <w:rPr>
                <w:sz w:val="22"/>
                <w:szCs w:val="22"/>
              </w:rPr>
              <w:t xml:space="preserve">Состав элемента представлен в таблице </w:t>
            </w:r>
            <w:r w:rsidRPr="00264D5D">
              <w:rPr>
                <w:sz w:val="22"/>
                <w:szCs w:val="22"/>
              </w:rPr>
              <w:fldChar w:fldCharType="begin"/>
            </w:r>
            <w:r w:rsidRPr="00264D5D">
              <w:rPr>
                <w:sz w:val="22"/>
                <w:szCs w:val="22"/>
              </w:rPr>
              <w:instrText xml:space="preserve"> REF _Ref494364314 \h  \* MERGEFORMAT </w:instrText>
            </w:r>
            <w:r w:rsidRPr="00264D5D">
              <w:rPr>
                <w:sz w:val="22"/>
                <w:szCs w:val="22"/>
              </w:rPr>
            </w:r>
            <w:r w:rsidRPr="00264D5D">
              <w:rPr>
                <w:sz w:val="22"/>
                <w:szCs w:val="22"/>
              </w:rPr>
              <w:fldChar w:fldCharType="separate"/>
            </w:r>
            <w:r w:rsidR="008D797C" w:rsidRPr="008D797C">
              <w:rPr>
                <w:rFonts w:eastAsia="Calibri"/>
                <w:b/>
                <w:sz w:val="22"/>
                <w:szCs w:val="22"/>
              </w:rPr>
              <w:t>207</w:t>
            </w:r>
            <w:r w:rsidRPr="00264D5D">
              <w:rPr>
                <w:sz w:val="22"/>
                <w:szCs w:val="22"/>
              </w:rPr>
              <w:fldChar w:fldCharType="end"/>
            </w:r>
          </w:p>
        </w:tc>
      </w:tr>
      <w:tr w:rsidR="00AD1F54" w:rsidRPr="00264D5D" w14:paraId="272FB0F9"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369DE6A" w14:textId="77777777" w:rsidR="00AD1F54" w:rsidRPr="00264D5D" w:rsidRDefault="00941227">
            <w:pPr>
              <w:pStyle w:val="EBTablenorm"/>
              <w:ind w:left="57" w:right="57"/>
              <w:contextualSpacing w:val="0"/>
              <w:rPr>
                <w:sz w:val="22"/>
                <w:szCs w:val="22"/>
              </w:rPr>
            </w:pPr>
            <w:r w:rsidRPr="00264D5D">
              <w:rPr>
                <w:sz w:val="22"/>
                <w:szCs w:val="22"/>
              </w:rPr>
              <w:t>Реквизиты НПА о предоставлении субсидии, бюджетных инвестиций, межбюджетного трансферта</w:t>
            </w:r>
          </w:p>
        </w:tc>
        <w:tc>
          <w:tcPr>
            <w:tcW w:w="1699" w:type="dxa"/>
          </w:tcPr>
          <w:p w14:paraId="2F864DAB" w14:textId="77777777" w:rsidR="00AD1F54" w:rsidRPr="00264D5D" w:rsidRDefault="00941227">
            <w:pPr>
              <w:pStyle w:val="EBTablenorm"/>
              <w:ind w:left="57" w:right="57"/>
              <w:contextualSpacing w:val="0"/>
              <w:rPr>
                <w:sz w:val="22"/>
                <w:szCs w:val="22"/>
                <w:lang w:val="en-US"/>
              </w:rPr>
            </w:pPr>
            <w:r w:rsidRPr="00264D5D">
              <w:rPr>
                <w:sz w:val="22"/>
                <w:szCs w:val="22"/>
                <w:lang w:val="en-US"/>
              </w:rPr>
              <w:t>NPA</w:t>
            </w:r>
          </w:p>
        </w:tc>
        <w:tc>
          <w:tcPr>
            <w:tcW w:w="567" w:type="dxa"/>
          </w:tcPr>
          <w:p w14:paraId="4E5E65B2" w14:textId="77777777" w:rsidR="00AD1F54" w:rsidRPr="00264D5D" w:rsidRDefault="00941227">
            <w:pPr>
              <w:pStyle w:val="EBTablenorm"/>
              <w:ind w:left="57" w:right="57"/>
              <w:contextualSpacing w:val="0"/>
              <w:rPr>
                <w:sz w:val="22"/>
                <w:szCs w:val="22"/>
                <w:lang w:val="en-US"/>
              </w:rPr>
            </w:pPr>
            <w:r w:rsidRPr="00264D5D">
              <w:rPr>
                <w:sz w:val="22"/>
                <w:szCs w:val="22"/>
              </w:rPr>
              <w:t>С</w:t>
            </w:r>
          </w:p>
        </w:tc>
        <w:tc>
          <w:tcPr>
            <w:tcW w:w="1133" w:type="dxa"/>
          </w:tcPr>
          <w:p w14:paraId="16704FEF" w14:textId="77777777" w:rsidR="00AD1F54" w:rsidRPr="00264D5D" w:rsidRDefault="00941227">
            <w:pPr>
              <w:pStyle w:val="EBTablenorm"/>
              <w:ind w:left="57" w:right="57"/>
              <w:contextualSpacing w:val="0"/>
              <w:rPr>
                <w:sz w:val="22"/>
                <w:szCs w:val="22"/>
              </w:rPr>
            </w:pPr>
            <w:r w:rsidRPr="00264D5D">
              <w:rPr>
                <w:sz w:val="22"/>
                <w:szCs w:val="22"/>
              </w:rPr>
              <w:t>tNPA</w:t>
            </w:r>
          </w:p>
        </w:tc>
        <w:tc>
          <w:tcPr>
            <w:tcW w:w="567" w:type="dxa"/>
          </w:tcPr>
          <w:p w14:paraId="6DB7375F" w14:textId="77777777" w:rsidR="00AD1F54" w:rsidRPr="00264D5D" w:rsidRDefault="00941227">
            <w:pPr>
              <w:pStyle w:val="EBTablenorm"/>
              <w:ind w:left="57" w:right="57"/>
              <w:contextualSpacing w:val="0"/>
              <w:rPr>
                <w:sz w:val="22"/>
                <w:szCs w:val="22"/>
              </w:rPr>
            </w:pPr>
            <w:r w:rsidRPr="00264D5D">
              <w:rPr>
                <w:sz w:val="22"/>
                <w:szCs w:val="22"/>
              </w:rPr>
              <w:t>Н</w:t>
            </w:r>
          </w:p>
        </w:tc>
        <w:tc>
          <w:tcPr>
            <w:tcW w:w="3963" w:type="dxa"/>
          </w:tcPr>
          <w:p w14:paraId="28D43684" w14:textId="77777777" w:rsidR="00AD1F54" w:rsidRPr="00264D5D" w:rsidRDefault="00941227">
            <w:pPr>
              <w:pStyle w:val="EBTablenorm"/>
              <w:ind w:left="57" w:right="57"/>
              <w:contextualSpacing w:val="0"/>
              <w:rPr>
                <w:sz w:val="22"/>
                <w:szCs w:val="22"/>
              </w:rPr>
            </w:pPr>
            <w:r w:rsidRPr="00264D5D">
              <w:rPr>
                <w:sz w:val="22"/>
                <w:szCs w:val="22"/>
              </w:rPr>
              <w:t xml:space="preserve">Реквизиты нормативно правового акта о предоставлении субсидии, бюджетных инвестиций, межбюджетного трансферта, указанного в пункте 1.2.1- 1.2.3 Порядка </w:t>
            </w:r>
            <w:r w:rsidRPr="00264D5D">
              <w:rPr>
                <w:bCs/>
                <w:sz w:val="22"/>
                <w:szCs w:val="22"/>
              </w:rPr>
              <w:t>(в соответствии с п. 4.17 Порядка)</w:t>
            </w:r>
            <w:r w:rsidRPr="00264D5D">
              <w:rPr>
                <w:sz w:val="22"/>
                <w:szCs w:val="22"/>
              </w:rPr>
              <w:t xml:space="preserve">. </w:t>
            </w:r>
          </w:p>
          <w:p w14:paraId="703C3B4B" w14:textId="77777777" w:rsidR="00AD1F54" w:rsidRPr="00264D5D" w:rsidRDefault="00941227">
            <w:pPr>
              <w:pStyle w:val="EBTablenorm"/>
              <w:ind w:left="57" w:right="57"/>
              <w:contextualSpacing w:val="0"/>
              <w:rPr>
                <w:sz w:val="22"/>
                <w:szCs w:val="22"/>
              </w:rPr>
            </w:pPr>
            <w:r w:rsidRPr="00264D5D">
              <w:rPr>
                <w:sz w:val="22"/>
                <w:szCs w:val="22"/>
              </w:rPr>
              <w:t>Обязательно для заполнения при указании в элементе «Код вида соглашения» значения «</w:t>
            </w:r>
            <w:r w:rsidRPr="00264D5D">
              <w:rPr>
                <w:bCs/>
                <w:sz w:val="22"/>
                <w:szCs w:val="22"/>
              </w:rPr>
              <w:t>041», «042», «043», «044», «045» или «046».</w:t>
            </w:r>
            <w:r w:rsidRPr="00264D5D">
              <w:rPr>
                <w:sz w:val="22"/>
                <w:szCs w:val="22"/>
              </w:rPr>
              <w:t xml:space="preserve"> </w:t>
            </w:r>
          </w:p>
          <w:p w14:paraId="51BBA82D" w14:textId="67B8D0CA" w:rsidR="00AD1F54" w:rsidRPr="00264D5D" w:rsidRDefault="00941227">
            <w:pPr>
              <w:pStyle w:val="EBTablenorm"/>
              <w:ind w:left="57" w:right="57"/>
              <w:contextualSpacing w:val="0"/>
              <w:rPr>
                <w:sz w:val="22"/>
                <w:szCs w:val="22"/>
              </w:rPr>
            </w:pPr>
            <w:r w:rsidRPr="00264D5D">
              <w:rPr>
                <w:sz w:val="22"/>
                <w:szCs w:val="22"/>
              </w:rPr>
              <w:t>Состав элемента представлен в таблице</w:t>
            </w:r>
            <w:r w:rsidRPr="00264D5D">
              <w:rPr>
                <w:b/>
                <w:sz w:val="22"/>
                <w:szCs w:val="22"/>
              </w:rPr>
              <w:t xml:space="preserve"> </w:t>
            </w:r>
            <w:r w:rsidRPr="00264D5D">
              <w:rPr>
                <w:b/>
                <w:sz w:val="22"/>
                <w:szCs w:val="22"/>
              </w:rPr>
              <w:fldChar w:fldCharType="begin"/>
            </w:r>
            <w:r w:rsidRPr="00264D5D">
              <w:rPr>
                <w:b/>
                <w:sz w:val="22"/>
                <w:szCs w:val="22"/>
              </w:rPr>
              <w:instrText xml:space="preserve"> REF _Ref494364536 \h  \* MERGEFORMAT </w:instrText>
            </w:r>
            <w:r w:rsidRPr="00264D5D">
              <w:rPr>
                <w:b/>
                <w:sz w:val="22"/>
                <w:szCs w:val="22"/>
              </w:rPr>
            </w:r>
            <w:r w:rsidRPr="00264D5D">
              <w:rPr>
                <w:b/>
                <w:sz w:val="22"/>
                <w:szCs w:val="22"/>
              </w:rPr>
              <w:fldChar w:fldCharType="separate"/>
            </w:r>
            <w:r w:rsidR="008D797C" w:rsidRPr="008D797C">
              <w:rPr>
                <w:rFonts w:eastAsia="Calibri"/>
                <w:b/>
                <w:sz w:val="22"/>
                <w:szCs w:val="22"/>
              </w:rPr>
              <w:t>208</w:t>
            </w:r>
            <w:r w:rsidRPr="00264D5D">
              <w:rPr>
                <w:b/>
                <w:sz w:val="22"/>
                <w:szCs w:val="22"/>
              </w:rPr>
              <w:fldChar w:fldCharType="end"/>
            </w:r>
          </w:p>
        </w:tc>
      </w:tr>
      <w:tr w:rsidR="00AD1F54" w:rsidRPr="00264D5D" w14:paraId="05808A8C"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6BA50623" w14:textId="77777777" w:rsidR="00AD1F54" w:rsidRPr="00264D5D" w:rsidRDefault="00941227">
            <w:pPr>
              <w:pStyle w:val="EBTablenorm"/>
              <w:ind w:left="57" w:right="57"/>
              <w:contextualSpacing w:val="0"/>
              <w:rPr>
                <w:sz w:val="22"/>
                <w:szCs w:val="22"/>
              </w:rPr>
            </w:pPr>
            <w:r w:rsidRPr="00264D5D">
              <w:rPr>
                <w:sz w:val="22"/>
                <w:szCs w:val="22"/>
              </w:rPr>
              <w:lastRenderedPageBreak/>
              <w:t>Реквизиты НПА определяющего правила предоставления из федерального бюджета субсидии, бюджетных инвестиций, межбюджетного трансферта</w:t>
            </w:r>
          </w:p>
        </w:tc>
        <w:tc>
          <w:tcPr>
            <w:tcW w:w="1699" w:type="dxa"/>
          </w:tcPr>
          <w:p w14:paraId="34E96A12" w14:textId="77777777" w:rsidR="00AD1F54" w:rsidRPr="00264D5D" w:rsidRDefault="00941227">
            <w:pPr>
              <w:pStyle w:val="EBTablenorm"/>
              <w:ind w:left="57" w:right="57"/>
              <w:contextualSpacing w:val="0"/>
              <w:rPr>
                <w:sz w:val="22"/>
                <w:szCs w:val="22"/>
                <w:lang w:val="en-US"/>
              </w:rPr>
            </w:pPr>
            <w:r w:rsidRPr="00264D5D">
              <w:rPr>
                <w:sz w:val="22"/>
                <w:szCs w:val="22"/>
                <w:lang w:val="en-US"/>
              </w:rPr>
              <w:t>NPA</w:t>
            </w:r>
            <w:r w:rsidRPr="00264D5D">
              <w:rPr>
                <w:sz w:val="22"/>
                <w:szCs w:val="22"/>
              </w:rPr>
              <w:t>_</w:t>
            </w:r>
            <w:r w:rsidRPr="00264D5D">
              <w:rPr>
                <w:sz w:val="22"/>
                <w:szCs w:val="22"/>
                <w:lang w:val="en-US"/>
              </w:rPr>
              <w:t>rule</w:t>
            </w:r>
          </w:p>
        </w:tc>
        <w:tc>
          <w:tcPr>
            <w:tcW w:w="567" w:type="dxa"/>
          </w:tcPr>
          <w:p w14:paraId="79970A07" w14:textId="77777777" w:rsidR="00AD1F54" w:rsidRPr="00264D5D" w:rsidRDefault="00941227">
            <w:pPr>
              <w:pStyle w:val="EBTablenorm"/>
              <w:ind w:left="57" w:right="57"/>
              <w:contextualSpacing w:val="0"/>
              <w:rPr>
                <w:sz w:val="22"/>
                <w:szCs w:val="22"/>
              </w:rPr>
            </w:pPr>
            <w:r w:rsidRPr="00264D5D">
              <w:rPr>
                <w:sz w:val="22"/>
                <w:szCs w:val="22"/>
              </w:rPr>
              <w:t>С</w:t>
            </w:r>
          </w:p>
        </w:tc>
        <w:tc>
          <w:tcPr>
            <w:tcW w:w="1133" w:type="dxa"/>
          </w:tcPr>
          <w:p w14:paraId="3268B86A" w14:textId="77777777" w:rsidR="00AD1F54" w:rsidRPr="00264D5D" w:rsidRDefault="00941227">
            <w:pPr>
              <w:pStyle w:val="EBTablenorm"/>
              <w:ind w:left="57" w:right="57"/>
              <w:contextualSpacing w:val="0"/>
              <w:rPr>
                <w:sz w:val="22"/>
                <w:szCs w:val="22"/>
              </w:rPr>
            </w:pPr>
            <w:r w:rsidRPr="00264D5D">
              <w:rPr>
                <w:sz w:val="22"/>
                <w:szCs w:val="22"/>
              </w:rPr>
              <w:t>tNPA</w:t>
            </w:r>
          </w:p>
        </w:tc>
        <w:tc>
          <w:tcPr>
            <w:tcW w:w="567" w:type="dxa"/>
          </w:tcPr>
          <w:p w14:paraId="7677765F" w14:textId="77777777" w:rsidR="00AD1F54" w:rsidRPr="00264D5D" w:rsidRDefault="00941227">
            <w:pPr>
              <w:pStyle w:val="EBTablenorm"/>
              <w:ind w:left="57" w:right="57"/>
              <w:contextualSpacing w:val="0"/>
              <w:rPr>
                <w:sz w:val="22"/>
                <w:szCs w:val="22"/>
              </w:rPr>
            </w:pPr>
            <w:r w:rsidRPr="00264D5D">
              <w:rPr>
                <w:sz w:val="22"/>
                <w:szCs w:val="22"/>
              </w:rPr>
              <w:t>Н</w:t>
            </w:r>
          </w:p>
        </w:tc>
        <w:tc>
          <w:tcPr>
            <w:tcW w:w="3963" w:type="dxa"/>
          </w:tcPr>
          <w:p w14:paraId="60051FBC" w14:textId="77777777" w:rsidR="00AD1F54" w:rsidRPr="00264D5D" w:rsidRDefault="00941227">
            <w:pPr>
              <w:pStyle w:val="EBTablenorm"/>
              <w:ind w:left="57" w:right="57"/>
              <w:contextualSpacing w:val="0"/>
              <w:rPr>
                <w:sz w:val="22"/>
                <w:szCs w:val="22"/>
              </w:rPr>
            </w:pPr>
            <w:r w:rsidRPr="00264D5D">
              <w:rPr>
                <w:sz w:val="22"/>
                <w:szCs w:val="22"/>
              </w:rPr>
              <w:t xml:space="preserve">Реквизиты нормативно правового акта определяющего правила (порядок) предоставления из федерального бюджета субсидии, бюджетных инвестиций, межбюджетного трансферта, в соответствии с которым заключено соглашение (договор) о предоставлении субсидии, бюджетных инвестиций, межбюджетного трансферта, указанных в пунктах 1.2.1, 1.2.3 и 1.2.4 Порядка </w:t>
            </w:r>
            <w:r w:rsidRPr="00264D5D">
              <w:rPr>
                <w:bCs/>
                <w:sz w:val="22"/>
                <w:szCs w:val="22"/>
              </w:rPr>
              <w:t>(в соответствии с п. 4.18 Порядка)</w:t>
            </w:r>
            <w:r w:rsidRPr="00264D5D">
              <w:rPr>
                <w:sz w:val="22"/>
                <w:szCs w:val="22"/>
              </w:rPr>
              <w:t>.</w:t>
            </w:r>
          </w:p>
          <w:p w14:paraId="3F9F47A3" w14:textId="77777777" w:rsidR="00AD1F54" w:rsidRPr="00264D5D" w:rsidRDefault="00941227">
            <w:pPr>
              <w:pStyle w:val="EBTablenorm"/>
              <w:ind w:left="57" w:right="57"/>
              <w:contextualSpacing w:val="0"/>
              <w:rPr>
                <w:sz w:val="22"/>
                <w:szCs w:val="22"/>
              </w:rPr>
            </w:pPr>
            <w:r w:rsidRPr="00264D5D">
              <w:rPr>
                <w:sz w:val="22"/>
                <w:szCs w:val="22"/>
              </w:rPr>
              <w:t xml:space="preserve">Обязательно для заполнения при указании в элементе «Код вида соглашения» значения отличного от «020» и </w:t>
            </w:r>
            <w:r w:rsidRPr="00264D5D">
              <w:rPr>
                <w:bCs/>
                <w:sz w:val="22"/>
                <w:szCs w:val="22"/>
              </w:rPr>
              <w:t>«041», «042», «043», «044», «045», «046».</w:t>
            </w:r>
            <w:r w:rsidRPr="00264D5D">
              <w:rPr>
                <w:sz w:val="22"/>
                <w:szCs w:val="22"/>
              </w:rPr>
              <w:t xml:space="preserve"> </w:t>
            </w:r>
          </w:p>
          <w:p w14:paraId="5C8C17F9" w14:textId="220688F8" w:rsidR="00AD1F54" w:rsidRPr="00264D5D" w:rsidRDefault="00941227">
            <w:pPr>
              <w:pStyle w:val="EBTablenorm"/>
              <w:ind w:left="57" w:right="57"/>
              <w:contextualSpacing w:val="0"/>
              <w:rPr>
                <w:sz w:val="22"/>
                <w:szCs w:val="22"/>
              </w:rPr>
            </w:pPr>
            <w:r w:rsidRPr="00264D5D">
              <w:rPr>
                <w:sz w:val="22"/>
                <w:szCs w:val="22"/>
              </w:rPr>
              <w:t>Состав элемента представлен в таблице</w:t>
            </w:r>
            <w:r w:rsidRPr="00264D5D">
              <w:rPr>
                <w:b/>
                <w:sz w:val="22"/>
                <w:szCs w:val="22"/>
              </w:rPr>
              <w:t xml:space="preserve"> </w:t>
            </w:r>
            <w:r w:rsidRPr="00264D5D">
              <w:rPr>
                <w:b/>
                <w:sz w:val="22"/>
                <w:szCs w:val="22"/>
              </w:rPr>
              <w:fldChar w:fldCharType="begin"/>
            </w:r>
            <w:r w:rsidRPr="00264D5D">
              <w:rPr>
                <w:b/>
                <w:sz w:val="22"/>
                <w:szCs w:val="22"/>
              </w:rPr>
              <w:instrText xml:space="preserve"> REF _Ref494364536 \h  \* MERGEFORMAT </w:instrText>
            </w:r>
            <w:r w:rsidRPr="00264D5D">
              <w:rPr>
                <w:b/>
                <w:sz w:val="22"/>
                <w:szCs w:val="22"/>
              </w:rPr>
            </w:r>
            <w:r w:rsidRPr="00264D5D">
              <w:rPr>
                <w:b/>
                <w:sz w:val="22"/>
                <w:szCs w:val="22"/>
              </w:rPr>
              <w:fldChar w:fldCharType="separate"/>
            </w:r>
            <w:r w:rsidR="008D797C" w:rsidRPr="008D797C">
              <w:rPr>
                <w:rFonts w:eastAsia="Calibri"/>
                <w:b/>
                <w:sz w:val="22"/>
                <w:szCs w:val="22"/>
              </w:rPr>
              <w:t>208</w:t>
            </w:r>
            <w:r w:rsidRPr="00264D5D">
              <w:rPr>
                <w:b/>
                <w:sz w:val="22"/>
                <w:szCs w:val="22"/>
              </w:rPr>
              <w:fldChar w:fldCharType="end"/>
            </w:r>
          </w:p>
        </w:tc>
      </w:tr>
      <w:tr w:rsidR="00AD1F54" w:rsidRPr="00264D5D" w14:paraId="09298F13"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F4FBD3B" w14:textId="77777777" w:rsidR="00AD1F54" w:rsidRPr="00264D5D" w:rsidRDefault="00941227">
            <w:pPr>
              <w:pStyle w:val="EBTablenorm"/>
              <w:ind w:left="57" w:right="57"/>
              <w:contextualSpacing w:val="0"/>
              <w:rPr>
                <w:sz w:val="22"/>
                <w:szCs w:val="22"/>
              </w:rPr>
            </w:pPr>
            <w:r w:rsidRPr="00264D5D">
              <w:rPr>
                <w:sz w:val="22"/>
                <w:szCs w:val="22"/>
              </w:rPr>
              <w:t>Перечень объектов капитального строительства</w:t>
            </w:r>
          </w:p>
        </w:tc>
        <w:tc>
          <w:tcPr>
            <w:tcW w:w="1699" w:type="dxa"/>
          </w:tcPr>
          <w:p w14:paraId="211B45E5" w14:textId="77777777" w:rsidR="00AD1F54" w:rsidRPr="00264D5D" w:rsidRDefault="00941227">
            <w:pPr>
              <w:pStyle w:val="EBTablenorm"/>
              <w:ind w:left="57" w:right="57"/>
              <w:contextualSpacing w:val="0"/>
              <w:rPr>
                <w:sz w:val="22"/>
                <w:szCs w:val="22"/>
                <w:lang w:val="en-US"/>
              </w:rPr>
            </w:pPr>
            <w:r w:rsidRPr="00264D5D">
              <w:rPr>
                <w:sz w:val="22"/>
                <w:szCs w:val="22"/>
                <w:lang w:val="en-US"/>
              </w:rPr>
              <w:t>CptlConstrctnLst</w:t>
            </w:r>
          </w:p>
        </w:tc>
        <w:tc>
          <w:tcPr>
            <w:tcW w:w="567" w:type="dxa"/>
          </w:tcPr>
          <w:p w14:paraId="2E552448" w14:textId="77777777" w:rsidR="00AD1F54" w:rsidRPr="00264D5D" w:rsidRDefault="00941227">
            <w:pPr>
              <w:pStyle w:val="EBTablenorm"/>
              <w:ind w:left="57" w:right="57"/>
              <w:contextualSpacing w:val="0"/>
              <w:rPr>
                <w:sz w:val="22"/>
                <w:szCs w:val="22"/>
              </w:rPr>
            </w:pPr>
            <w:r w:rsidRPr="00264D5D">
              <w:rPr>
                <w:sz w:val="22"/>
                <w:szCs w:val="22"/>
              </w:rPr>
              <w:t>С</w:t>
            </w:r>
          </w:p>
        </w:tc>
        <w:tc>
          <w:tcPr>
            <w:tcW w:w="1133" w:type="dxa"/>
          </w:tcPr>
          <w:p w14:paraId="135D9994" w14:textId="77777777" w:rsidR="00AD1F54" w:rsidRPr="00264D5D" w:rsidRDefault="00941227">
            <w:pPr>
              <w:pStyle w:val="EBTablenorm"/>
              <w:ind w:left="57" w:right="57"/>
              <w:contextualSpacing w:val="0"/>
              <w:rPr>
                <w:sz w:val="22"/>
                <w:szCs w:val="22"/>
              </w:rPr>
            </w:pPr>
            <w:r w:rsidRPr="00264D5D">
              <w:rPr>
                <w:sz w:val="22"/>
                <w:szCs w:val="22"/>
              </w:rPr>
              <w:t>tCptlConstrctnLst</w:t>
            </w:r>
          </w:p>
        </w:tc>
        <w:tc>
          <w:tcPr>
            <w:tcW w:w="567" w:type="dxa"/>
          </w:tcPr>
          <w:p w14:paraId="08D977D2" w14:textId="77777777" w:rsidR="00AD1F54" w:rsidRPr="00264D5D" w:rsidRDefault="00941227">
            <w:pPr>
              <w:pStyle w:val="EBTablenorm"/>
              <w:ind w:left="57" w:right="57"/>
              <w:contextualSpacing w:val="0"/>
              <w:rPr>
                <w:sz w:val="22"/>
                <w:szCs w:val="22"/>
              </w:rPr>
            </w:pPr>
            <w:r w:rsidRPr="00264D5D">
              <w:rPr>
                <w:sz w:val="22"/>
                <w:szCs w:val="22"/>
              </w:rPr>
              <w:t>НМ</w:t>
            </w:r>
          </w:p>
        </w:tc>
        <w:tc>
          <w:tcPr>
            <w:tcW w:w="3963" w:type="dxa"/>
          </w:tcPr>
          <w:p w14:paraId="19D6577B" w14:textId="77777777" w:rsidR="00AD1F54" w:rsidRPr="00264D5D" w:rsidRDefault="00941227">
            <w:pPr>
              <w:pStyle w:val="EBTablenorm"/>
              <w:ind w:left="57" w:right="57"/>
              <w:contextualSpacing w:val="0"/>
              <w:rPr>
                <w:sz w:val="22"/>
                <w:szCs w:val="22"/>
              </w:rPr>
            </w:pPr>
            <w:r w:rsidRPr="00264D5D">
              <w:rPr>
                <w:sz w:val="22"/>
                <w:szCs w:val="22"/>
              </w:rPr>
              <w:t xml:space="preserve">Перечень объектов капитального строительства или перечень объектов недвижимого имущества (в соответствии с п.4.19 Порядка). </w:t>
            </w:r>
          </w:p>
          <w:p w14:paraId="4EE6D942" w14:textId="513F57A3" w:rsidR="00AD1F54" w:rsidRPr="00264D5D" w:rsidRDefault="00941227">
            <w:pPr>
              <w:pStyle w:val="EBTablenorm"/>
              <w:ind w:left="57" w:right="57"/>
              <w:contextualSpacing w:val="0"/>
              <w:rPr>
                <w:sz w:val="22"/>
                <w:szCs w:val="22"/>
              </w:rPr>
            </w:pPr>
            <w:r w:rsidRPr="00264D5D">
              <w:rPr>
                <w:sz w:val="22"/>
                <w:szCs w:val="22"/>
              </w:rPr>
              <w:t>Состав элемента представлен в таблице</w:t>
            </w:r>
            <w:r w:rsidRPr="00264D5D">
              <w:rPr>
                <w:b/>
                <w:sz w:val="22"/>
                <w:szCs w:val="22"/>
              </w:rPr>
              <w:t xml:space="preserve"> </w:t>
            </w:r>
            <w:r w:rsidRPr="00264D5D">
              <w:rPr>
                <w:b/>
                <w:sz w:val="22"/>
                <w:szCs w:val="22"/>
              </w:rPr>
              <w:fldChar w:fldCharType="begin"/>
            </w:r>
            <w:r w:rsidRPr="00264D5D">
              <w:rPr>
                <w:b/>
                <w:sz w:val="22"/>
                <w:szCs w:val="22"/>
              </w:rPr>
              <w:instrText xml:space="preserve"> REF _Ref494364627 \h  \* MERGEFORMAT </w:instrText>
            </w:r>
            <w:r w:rsidRPr="00264D5D">
              <w:rPr>
                <w:b/>
                <w:sz w:val="22"/>
                <w:szCs w:val="22"/>
              </w:rPr>
            </w:r>
            <w:r w:rsidRPr="00264D5D">
              <w:rPr>
                <w:b/>
                <w:sz w:val="22"/>
                <w:szCs w:val="22"/>
              </w:rPr>
              <w:fldChar w:fldCharType="separate"/>
            </w:r>
            <w:r w:rsidR="008D797C" w:rsidRPr="008D797C">
              <w:rPr>
                <w:rFonts w:eastAsia="Calibri"/>
                <w:b/>
                <w:sz w:val="22"/>
                <w:szCs w:val="22"/>
              </w:rPr>
              <w:t>209</w:t>
            </w:r>
            <w:r w:rsidRPr="00264D5D">
              <w:rPr>
                <w:b/>
                <w:sz w:val="22"/>
                <w:szCs w:val="22"/>
              </w:rPr>
              <w:fldChar w:fldCharType="end"/>
            </w:r>
          </w:p>
        </w:tc>
      </w:tr>
      <w:tr w:rsidR="00AD1F54" w:rsidRPr="00264D5D" w14:paraId="4A642CF5"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A627411" w14:textId="77777777" w:rsidR="00AD1F54" w:rsidRPr="00264D5D" w:rsidRDefault="00941227">
            <w:pPr>
              <w:pStyle w:val="EBTablenorm"/>
              <w:ind w:left="57" w:right="57"/>
              <w:contextualSpacing w:val="0"/>
              <w:rPr>
                <w:sz w:val="22"/>
                <w:szCs w:val="22"/>
              </w:rPr>
            </w:pPr>
            <w:r w:rsidRPr="00264D5D">
              <w:rPr>
                <w:sz w:val="22"/>
                <w:szCs w:val="22"/>
              </w:rPr>
              <w:t>График перечисления субсидии, бюджетных инвестиций, межбюджетного трансферта</w:t>
            </w:r>
          </w:p>
        </w:tc>
        <w:tc>
          <w:tcPr>
            <w:tcW w:w="1699" w:type="dxa"/>
          </w:tcPr>
          <w:p w14:paraId="4E0B7170" w14:textId="77777777" w:rsidR="00AD1F54" w:rsidRPr="00264D5D" w:rsidRDefault="00941227">
            <w:pPr>
              <w:pStyle w:val="EBTablenorm"/>
              <w:ind w:left="57" w:right="57"/>
              <w:contextualSpacing w:val="0"/>
              <w:rPr>
                <w:sz w:val="22"/>
                <w:szCs w:val="22"/>
                <w:lang w:val="en-US"/>
              </w:rPr>
            </w:pPr>
            <w:r w:rsidRPr="00264D5D">
              <w:rPr>
                <w:sz w:val="22"/>
                <w:szCs w:val="22"/>
                <w:lang w:val="en-US"/>
              </w:rPr>
              <w:t>Shedule</w:t>
            </w:r>
          </w:p>
        </w:tc>
        <w:tc>
          <w:tcPr>
            <w:tcW w:w="567" w:type="dxa"/>
          </w:tcPr>
          <w:p w14:paraId="280BB78C" w14:textId="77777777" w:rsidR="00AD1F54" w:rsidRPr="00264D5D" w:rsidRDefault="00941227">
            <w:pPr>
              <w:pStyle w:val="EBTablenorm"/>
              <w:ind w:left="57" w:right="57"/>
              <w:contextualSpacing w:val="0"/>
              <w:rPr>
                <w:sz w:val="22"/>
                <w:szCs w:val="22"/>
              </w:rPr>
            </w:pPr>
            <w:r w:rsidRPr="00264D5D">
              <w:rPr>
                <w:sz w:val="22"/>
                <w:szCs w:val="22"/>
              </w:rPr>
              <w:t>С</w:t>
            </w:r>
          </w:p>
        </w:tc>
        <w:tc>
          <w:tcPr>
            <w:tcW w:w="1133" w:type="dxa"/>
          </w:tcPr>
          <w:p w14:paraId="648D31E0" w14:textId="77777777" w:rsidR="00AD1F54" w:rsidRPr="00264D5D" w:rsidRDefault="00941227">
            <w:pPr>
              <w:pStyle w:val="EBTablenorm"/>
              <w:ind w:left="57" w:right="57"/>
              <w:contextualSpacing w:val="0"/>
              <w:rPr>
                <w:sz w:val="22"/>
                <w:szCs w:val="22"/>
              </w:rPr>
            </w:pPr>
            <w:r w:rsidRPr="00264D5D">
              <w:rPr>
                <w:sz w:val="22"/>
                <w:szCs w:val="22"/>
              </w:rPr>
              <w:t>tShedule</w:t>
            </w:r>
          </w:p>
        </w:tc>
        <w:tc>
          <w:tcPr>
            <w:tcW w:w="567" w:type="dxa"/>
          </w:tcPr>
          <w:p w14:paraId="17BF4B2C" w14:textId="77777777" w:rsidR="00AD1F54" w:rsidRPr="00264D5D" w:rsidRDefault="00941227">
            <w:pPr>
              <w:pStyle w:val="EBTablenorm"/>
              <w:ind w:left="57" w:right="57"/>
              <w:contextualSpacing w:val="0"/>
              <w:rPr>
                <w:sz w:val="22"/>
                <w:szCs w:val="22"/>
              </w:rPr>
            </w:pPr>
            <w:r w:rsidRPr="00264D5D">
              <w:rPr>
                <w:sz w:val="22"/>
                <w:szCs w:val="22"/>
              </w:rPr>
              <w:t>Н</w:t>
            </w:r>
          </w:p>
        </w:tc>
        <w:tc>
          <w:tcPr>
            <w:tcW w:w="3963" w:type="dxa"/>
          </w:tcPr>
          <w:p w14:paraId="20B3A6EF" w14:textId="77777777" w:rsidR="00AD1F54" w:rsidRPr="00264D5D" w:rsidRDefault="00941227">
            <w:pPr>
              <w:pStyle w:val="EBTablenorm"/>
              <w:ind w:left="57" w:right="57"/>
              <w:contextualSpacing w:val="0"/>
              <w:rPr>
                <w:sz w:val="22"/>
                <w:szCs w:val="22"/>
              </w:rPr>
            </w:pPr>
            <w:r w:rsidRPr="00264D5D">
              <w:rPr>
                <w:sz w:val="22"/>
                <w:szCs w:val="22"/>
              </w:rPr>
              <w:t xml:space="preserve">График перечисления субсидии, бюджетных инвестиций, межбюджетного трансферта </w:t>
            </w:r>
            <w:bookmarkStart w:id="1901" w:name="OLE_LINK53"/>
            <w:bookmarkStart w:id="1902" w:name="OLE_LINK54"/>
            <w:bookmarkStart w:id="1903" w:name="OLE_LINK55"/>
            <w:r w:rsidRPr="00264D5D">
              <w:rPr>
                <w:sz w:val="22"/>
                <w:szCs w:val="22"/>
              </w:rPr>
              <w:t>(в соответствии с п. 4.20 Порядка)</w:t>
            </w:r>
            <w:bookmarkEnd w:id="1901"/>
            <w:bookmarkEnd w:id="1902"/>
            <w:bookmarkEnd w:id="1903"/>
            <w:r w:rsidRPr="00264D5D">
              <w:rPr>
                <w:sz w:val="22"/>
                <w:szCs w:val="22"/>
              </w:rPr>
              <w:t>.</w:t>
            </w:r>
          </w:p>
          <w:p w14:paraId="2717F166" w14:textId="77777777" w:rsidR="00AD1F54" w:rsidRPr="00264D5D" w:rsidRDefault="00941227">
            <w:pPr>
              <w:pStyle w:val="EBTablenorm"/>
              <w:ind w:left="57" w:right="57"/>
              <w:contextualSpacing w:val="0"/>
              <w:rPr>
                <w:sz w:val="22"/>
                <w:szCs w:val="22"/>
              </w:rPr>
            </w:pPr>
            <w:r w:rsidRPr="00264D5D">
              <w:rPr>
                <w:sz w:val="22"/>
                <w:szCs w:val="22"/>
              </w:rPr>
              <w:t xml:space="preserve">Обязательно для заполнения при указании в элементе «Код вида соглашения» значения отличного от «020». </w:t>
            </w:r>
          </w:p>
          <w:p w14:paraId="5C948FF9" w14:textId="62BF0DD6" w:rsidR="00AD1F54" w:rsidRPr="00264D5D" w:rsidRDefault="00941227">
            <w:pPr>
              <w:pStyle w:val="EBTablenorm"/>
              <w:ind w:left="57" w:right="57"/>
              <w:contextualSpacing w:val="0"/>
              <w:rPr>
                <w:sz w:val="22"/>
                <w:szCs w:val="22"/>
              </w:rPr>
            </w:pPr>
            <w:r w:rsidRPr="00264D5D">
              <w:rPr>
                <w:sz w:val="22"/>
                <w:szCs w:val="22"/>
              </w:rPr>
              <w:t>Состав элемента представлен в таблице</w:t>
            </w:r>
            <w:r w:rsidRPr="00264D5D">
              <w:rPr>
                <w:b/>
                <w:sz w:val="22"/>
                <w:szCs w:val="22"/>
              </w:rPr>
              <w:t xml:space="preserve"> </w:t>
            </w:r>
            <w:r w:rsidRPr="00264D5D">
              <w:rPr>
                <w:b/>
                <w:sz w:val="22"/>
                <w:szCs w:val="22"/>
              </w:rPr>
              <w:fldChar w:fldCharType="begin"/>
            </w:r>
            <w:r w:rsidRPr="00264D5D">
              <w:rPr>
                <w:b/>
                <w:sz w:val="22"/>
                <w:szCs w:val="22"/>
              </w:rPr>
              <w:instrText xml:space="preserve"> REF _Ref494365248 \h  \* MERGEFORMAT </w:instrText>
            </w:r>
            <w:r w:rsidRPr="00264D5D">
              <w:rPr>
                <w:b/>
                <w:sz w:val="22"/>
                <w:szCs w:val="22"/>
              </w:rPr>
            </w:r>
            <w:r w:rsidRPr="00264D5D">
              <w:rPr>
                <w:b/>
                <w:sz w:val="22"/>
                <w:szCs w:val="22"/>
              </w:rPr>
              <w:fldChar w:fldCharType="separate"/>
            </w:r>
            <w:r w:rsidR="008D797C" w:rsidRPr="008D797C">
              <w:rPr>
                <w:rFonts w:eastAsia="Calibri"/>
                <w:b/>
                <w:sz w:val="22"/>
                <w:szCs w:val="22"/>
              </w:rPr>
              <w:t>210</w:t>
            </w:r>
            <w:r w:rsidRPr="00264D5D">
              <w:rPr>
                <w:b/>
                <w:sz w:val="22"/>
                <w:szCs w:val="22"/>
              </w:rPr>
              <w:fldChar w:fldCharType="end"/>
            </w:r>
          </w:p>
        </w:tc>
      </w:tr>
      <w:tr w:rsidR="00AD1F54" w:rsidRPr="00264D5D" w14:paraId="0BD424B6"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01D8342" w14:textId="77777777" w:rsidR="00AD1F54" w:rsidRPr="00264D5D" w:rsidRDefault="00941227">
            <w:pPr>
              <w:pStyle w:val="EBTablenorm"/>
              <w:ind w:left="57" w:right="57"/>
              <w:contextualSpacing w:val="0"/>
              <w:rPr>
                <w:sz w:val="22"/>
                <w:szCs w:val="22"/>
              </w:rPr>
            </w:pPr>
            <w:r w:rsidRPr="00264D5D">
              <w:rPr>
                <w:sz w:val="22"/>
                <w:szCs w:val="22"/>
              </w:rPr>
              <w:t>Номер реестровой записи в реестре соглашений</w:t>
            </w:r>
          </w:p>
        </w:tc>
        <w:tc>
          <w:tcPr>
            <w:tcW w:w="1699" w:type="dxa"/>
          </w:tcPr>
          <w:p w14:paraId="07411CB3" w14:textId="77777777" w:rsidR="00AD1F54" w:rsidRPr="00264D5D" w:rsidRDefault="00941227">
            <w:pPr>
              <w:pStyle w:val="EBTablenorm"/>
              <w:ind w:left="57" w:right="57"/>
              <w:contextualSpacing w:val="0"/>
              <w:rPr>
                <w:sz w:val="22"/>
                <w:szCs w:val="22"/>
                <w:lang w:val="en-US"/>
              </w:rPr>
            </w:pPr>
            <w:bookmarkStart w:id="1904" w:name="OLE_LINK34"/>
            <w:bookmarkStart w:id="1905" w:name="OLE_LINK38"/>
            <w:bookmarkStart w:id="1906" w:name="OLE_LINK43"/>
            <w:r w:rsidRPr="00264D5D">
              <w:rPr>
                <w:sz w:val="22"/>
                <w:szCs w:val="22"/>
                <w:lang w:val="en-US"/>
              </w:rPr>
              <w:t>DocRegNum</w:t>
            </w:r>
            <w:bookmarkEnd w:id="1904"/>
            <w:bookmarkEnd w:id="1905"/>
            <w:bookmarkEnd w:id="1906"/>
          </w:p>
        </w:tc>
        <w:tc>
          <w:tcPr>
            <w:tcW w:w="567" w:type="dxa"/>
          </w:tcPr>
          <w:p w14:paraId="67F6A876" w14:textId="77777777" w:rsidR="00AD1F54" w:rsidRPr="00264D5D" w:rsidRDefault="00941227">
            <w:pPr>
              <w:pStyle w:val="EBTablenorm"/>
              <w:ind w:left="57" w:right="57"/>
              <w:contextualSpacing w:val="0"/>
              <w:rPr>
                <w:sz w:val="22"/>
                <w:szCs w:val="22"/>
              </w:rPr>
            </w:pPr>
            <w:r w:rsidRPr="00264D5D">
              <w:rPr>
                <w:sz w:val="22"/>
                <w:szCs w:val="22"/>
              </w:rPr>
              <w:t>П</w:t>
            </w:r>
          </w:p>
        </w:tc>
        <w:tc>
          <w:tcPr>
            <w:tcW w:w="1133" w:type="dxa"/>
          </w:tcPr>
          <w:p w14:paraId="7CA9B03D" w14:textId="77777777" w:rsidR="00AD1F54" w:rsidRPr="00264D5D" w:rsidRDefault="00941227">
            <w:pPr>
              <w:pStyle w:val="EBTablenorm"/>
              <w:ind w:left="57" w:right="57"/>
              <w:contextualSpacing w:val="0"/>
              <w:rPr>
                <w:sz w:val="22"/>
                <w:szCs w:val="22"/>
              </w:rPr>
            </w:pPr>
            <w:r w:rsidRPr="00264D5D">
              <w:rPr>
                <w:sz w:val="22"/>
                <w:szCs w:val="22"/>
              </w:rPr>
              <w:t>Т(11) или Т(16) или Т(19)</w:t>
            </w:r>
          </w:p>
        </w:tc>
        <w:tc>
          <w:tcPr>
            <w:tcW w:w="567" w:type="dxa"/>
          </w:tcPr>
          <w:p w14:paraId="14DB0EF8" w14:textId="77777777" w:rsidR="00AD1F54" w:rsidRPr="00264D5D" w:rsidRDefault="00941227">
            <w:pPr>
              <w:pStyle w:val="EBTablenorm"/>
              <w:ind w:left="57" w:right="57"/>
              <w:contextualSpacing w:val="0"/>
              <w:rPr>
                <w:sz w:val="22"/>
                <w:szCs w:val="22"/>
              </w:rPr>
            </w:pPr>
            <w:r w:rsidRPr="00264D5D">
              <w:rPr>
                <w:sz w:val="22"/>
                <w:szCs w:val="22"/>
              </w:rPr>
              <w:t>Н</w:t>
            </w:r>
          </w:p>
        </w:tc>
        <w:tc>
          <w:tcPr>
            <w:tcW w:w="3963" w:type="dxa"/>
          </w:tcPr>
          <w:p w14:paraId="32DA0ED8" w14:textId="77777777" w:rsidR="00AD1F54" w:rsidRPr="00264D5D" w:rsidRDefault="00941227">
            <w:pPr>
              <w:pStyle w:val="EBTablenorm"/>
              <w:ind w:left="57" w:right="57"/>
              <w:contextualSpacing w:val="0"/>
              <w:rPr>
                <w:color w:val="000000"/>
                <w:sz w:val="22"/>
                <w:szCs w:val="22"/>
              </w:rPr>
            </w:pPr>
            <w:r w:rsidRPr="00264D5D">
              <w:rPr>
                <w:sz w:val="22"/>
                <w:szCs w:val="22"/>
              </w:rPr>
              <w:t>Постоянная часть номера реестровой записи в реестре соглашений. Обязательно для заполнения при указании значения «1», «3» и «4» в элементе «Тип сведений о соглашении»</w:t>
            </w:r>
            <w:r w:rsidRPr="00264D5D">
              <w:rPr>
                <w:color w:val="000000"/>
                <w:sz w:val="22"/>
                <w:szCs w:val="22"/>
              </w:rPr>
              <w:t xml:space="preserve">. </w:t>
            </w:r>
          </w:p>
          <w:p w14:paraId="72784AA2" w14:textId="77777777" w:rsidR="00AD1F54" w:rsidRPr="00264D5D" w:rsidRDefault="00B83EE9">
            <w:pPr>
              <w:pStyle w:val="EBTablenorm"/>
              <w:ind w:left="57" w:right="57"/>
              <w:contextualSpacing w:val="0"/>
              <w:rPr>
                <w:sz w:val="22"/>
                <w:szCs w:val="22"/>
              </w:rPr>
            </w:pPr>
            <w:r w:rsidRPr="00264D5D">
              <w:rPr>
                <w:color w:val="000000"/>
                <w:sz w:val="22"/>
                <w:szCs w:val="22"/>
              </w:rPr>
              <w:t>Заполняется ГРБС</w:t>
            </w:r>
          </w:p>
        </w:tc>
      </w:tr>
      <w:tr w:rsidR="00AD1F54" w:rsidRPr="00264D5D" w14:paraId="2596A349"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64911755" w14:textId="77777777" w:rsidR="00AD1F54" w:rsidRPr="00264D5D" w:rsidRDefault="00941227">
            <w:pPr>
              <w:pStyle w:val="EBTablenorm"/>
              <w:ind w:left="57" w:right="57"/>
              <w:contextualSpacing w:val="0"/>
              <w:rPr>
                <w:sz w:val="22"/>
                <w:szCs w:val="22"/>
              </w:rPr>
            </w:pPr>
            <w:r w:rsidRPr="00264D5D">
              <w:rPr>
                <w:sz w:val="22"/>
                <w:szCs w:val="22"/>
              </w:rPr>
              <w:t>Номер реестра соглашений</w:t>
            </w:r>
          </w:p>
        </w:tc>
        <w:tc>
          <w:tcPr>
            <w:tcW w:w="1699" w:type="dxa"/>
          </w:tcPr>
          <w:p w14:paraId="2D390114" w14:textId="77777777" w:rsidR="00AD1F54" w:rsidRPr="00264D5D" w:rsidRDefault="00941227">
            <w:pPr>
              <w:pStyle w:val="EBTablenorm"/>
              <w:ind w:left="57" w:right="57"/>
              <w:contextualSpacing w:val="0"/>
              <w:rPr>
                <w:sz w:val="22"/>
                <w:szCs w:val="22"/>
                <w:lang w:val="en-US"/>
              </w:rPr>
            </w:pPr>
            <w:r w:rsidRPr="00264D5D">
              <w:rPr>
                <w:sz w:val="22"/>
                <w:szCs w:val="22"/>
                <w:lang w:val="en-US"/>
              </w:rPr>
              <w:t>TOFK_RSNum</w:t>
            </w:r>
          </w:p>
        </w:tc>
        <w:tc>
          <w:tcPr>
            <w:tcW w:w="567" w:type="dxa"/>
          </w:tcPr>
          <w:p w14:paraId="7EEB3700" w14:textId="77777777" w:rsidR="00AD1F54" w:rsidRPr="00264D5D" w:rsidRDefault="00941227">
            <w:pPr>
              <w:pStyle w:val="EBTablenorm"/>
              <w:ind w:left="57" w:right="57"/>
              <w:contextualSpacing w:val="0"/>
              <w:rPr>
                <w:sz w:val="22"/>
                <w:szCs w:val="22"/>
              </w:rPr>
            </w:pPr>
            <w:r w:rsidRPr="00264D5D">
              <w:rPr>
                <w:sz w:val="22"/>
                <w:szCs w:val="22"/>
              </w:rPr>
              <w:t>П</w:t>
            </w:r>
          </w:p>
        </w:tc>
        <w:tc>
          <w:tcPr>
            <w:tcW w:w="1133" w:type="dxa"/>
          </w:tcPr>
          <w:p w14:paraId="20A9F9EE" w14:textId="77777777" w:rsidR="00AD1F54" w:rsidRPr="00264D5D" w:rsidRDefault="00941227">
            <w:pPr>
              <w:pStyle w:val="EBTablenorm"/>
              <w:ind w:left="57" w:right="57"/>
              <w:contextualSpacing w:val="0"/>
              <w:rPr>
                <w:sz w:val="22"/>
                <w:szCs w:val="22"/>
              </w:rPr>
            </w:pPr>
            <w:r w:rsidRPr="00264D5D">
              <w:rPr>
                <w:sz w:val="22"/>
                <w:szCs w:val="22"/>
              </w:rPr>
              <w:t xml:space="preserve">Т(14) или Т(19) или </w:t>
            </w:r>
            <w:r w:rsidRPr="00264D5D">
              <w:rPr>
                <w:sz w:val="22"/>
                <w:szCs w:val="22"/>
              </w:rPr>
              <w:lastRenderedPageBreak/>
              <w:t>Т(22)</w:t>
            </w:r>
          </w:p>
        </w:tc>
        <w:tc>
          <w:tcPr>
            <w:tcW w:w="567" w:type="dxa"/>
          </w:tcPr>
          <w:p w14:paraId="33E5EDE9" w14:textId="77777777" w:rsidR="00AD1F54" w:rsidRPr="00264D5D" w:rsidRDefault="00941227">
            <w:pPr>
              <w:pStyle w:val="EBTablenorm"/>
              <w:ind w:left="57" w:right="57"/>
              <w:contextualSpacing w:val="0"/>
              <w:rPr>
                <w:sz w:val="22"/>
                <w:szCs w:val="22"/>
              </w:rPr>
            </w:pPr>
            <w:r w:rsidRPr="00264D5D">
              <w:rPr>
                <w:sz w:val="22"/>
                <w:szCs w:val="22"/>
              </w:rPr>
              <w:lastRenderedPageBreak/>
              <w:t>Н</w:t>
            </w:r>
          </w:p>
        </w:tc>
        <w:tc>
          <w:tcPr>
            <w:tcW w:w="3963" w:type="dxa"/>
          </w:tcPr>
          <w:p w14:paraId="16E4E44E" w14:textId="77777777" w:rsidR="00AD1F54" w:rsidRPr="00264D5D" w:rsidRDefault="00941227">
            <w:pPr>
              <w:pStyle w:val="EBTablenorm"/>
              <w:ind w:left="57" w:right="57"/>
              <w:contextualSpacing w:val="0"/>
              <w:rPr>
                <w:sz w:val="22"/>
                <w:szCs w:val="22"/>
              </w:rPr>
            </w:pPr>
            <w:r w:rsidRPr="00264D5D">
              <w:rPr>
                <w:sz w:val="22"/>
                <w:szCs w:val="22"/>
              </w:rPr>
              <w:t>Уникальный номер реестра соглашений.</w:t>
            </w:r>
          </w:p>
          <w:p w14:paraId="661743F3" w14:textId="77777777" w:rsidR="00AD1F54" w:rsidRPr="00264D5D" w:rsidRDefault="00941227">
            <w:pPr>
              <w:pStyle w:val="EBTablenorm"/>
              <w:ind w:left="57" w:right="57"/>
              <w:contextualSpacing w:val="0"/>
              <w:rPr>
                <w:sz w:val="22"/>
                <w:szCs w:val="22"/>
              </w:rPr>
            </w:pPr>
            <w:r w:rsidRPr="00264D5D">
              <w:rPr>
                <w:sz w:val="22"/>
                <w:szCs w:val="22"/>
              </w:rPr>
              <w:t xml:space="preserve">Заполняется в ТОФК при включении </w:t>
            </w:r>
            <w:r w:rsidRPr="00264D5D">
              <w:rPr>
                <w:sz w:val="22"/>
                <w:szCs w:val="22"/>
              </w:rPr>
              <w:lastRenderedPageBreak/>
              <w:t>Сведений о</w:t>
            </w:r>
            <w:r w:rsidR="00B83EE9" w:rsidRPr="00264D5D">
              <w:rPr>
                <w:sz w:val="22"/>
                <w:szCs w:val="22"/>
              </w:rPr>
              <w:t xml:space="preserve"> соглашении в реестр соглашений</w:t>
            </w:r>
          </w:p>
        </w:tc>
      </w:tr>
      <w:tr w:rsidR="00AD1F54" w:rsidRPr="00264D5D" w14:paraId="01E5E426"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F02F17A" w14:textId="77777777" w:rsidR="00AD1F54" w:rsidRPr="00264D5D" w:rsidRDefault="00941227">
            <w:pPr>
              <w:pStyle w:val="EBTablenorm"/>
              <w:ind w:left="57" w:right="57"/>
              <w:contextualSpacing w:val="0"/>
              <w:rPr>
                <w:sz w:val="22"/>
                <w:szCs w:val="22"/>
              </w:rPr>
            </w:pPr>
            <w:r w:rsidRPr="00264D5D">
              <w:rPr>
                <w:sz w:val="22"/>
                <w:szCs w:val="22"/>
              </w:rPr>
              <w:lastRenderedPageBreak/>
              <w:t>Дата включения в реестр соглашений</w:t>
            </w:r>
          </w:p>
        </w:tc>
        <w:tc>
          <w:tcPr>
            <w:tcW w:w="1699" w:type="dxa"/>
          </w:tcPr>
          <w:p w14:paraId="4EF69383" w14:textId="77777777" w:rsidR="00AD1F54" w:rsidRPr="00264D5D" w:rsidRDefault="00941227">
            <w:pPr>
              <w:pStyle w:val="EBTablenorm"/>
              <w:ind w:left="57" w:right="57"/>
              <w:contextualSpacing w:val="0"/>
              <w:rPr>
                <w:sz w:val="22"/>
                <w:szCs w:val="22"/>
                <w:lang w:val="en-US"/>
              </w:rPr>
            </w:pPr>
            <w:r w:rsidRPr="00264D5D">
              <w:rPr>
                <w:sz w:val="22"/>
                <w:szCs w:val="22"/>
                <w:lang w:val="en-US"/>
              </w:rPr>
              <w:t>TOFK_RSDate</w:t>
            </w:r>
          </w:p>
        </w:tc>
        <w:tc>
          <w:tcPr>
            <w:tcW w:w="567" w:type="dxa"/>
          </w:tcPr>
          <w:p w14:paraId="6485D949" w14:textId="77777777" w:rsidR="00AD1F54" w:rsidRPr="00264D5D" w:rsidRDefault="00941227">
            <w:pPr>
              <w:pStyle w:val="EBTablenorm"/>
              <w:ind w:left="57" w:right="57"/>
              <w:contextualSpacing w:val="0"/>
              <w:rPr>
                <w:sz w:val="22"/>
                <w:szCs w:val="22"/>
              </w:rPr>
            </w:pPr>
            <w:r w:rsidRPr="00264D5D">
              <w:rPr>
                <w:sz w:val="22"/>
                <w:szCs w:val="22"/>
              </w:rPr>
              <w:t>П</w:t>
            </w:r>
          </w:p>
        </w:tc>
        <w:tc>
          <w:tcPr>
            <w:tcW w:w="1133" w:type="dxa"/>
          </w:tcPr>
          <w:p w14:paraId="7DEDB768" w14:textId="77777777" w:rsidR="00AD1F54" w:rsidRPr="00264D5D" w:rsidRDefault="00941227">
            <w:pPr>
              <w:pStyle w:val="EBTablenorm"/>
              <w:ind w:left="57" w:right="57"/>
              <w:contextualSpacing w:val="0"/>
              <w:rPr>
                <w:sz w:val="22"/>
                <w:szCs w:val="22"/>
              </w:rPr>
            </w:pPr>
            <w:r w:rsidRPr="00264D5D">
              <w:rPr>
                <w:sz w:val="22"/>
                <w:szCs w:val="22"/>
                <w:lang w:val="en-US"/>
              </w:rPr>
              <w:t>Date</w:t>
            </w:r>
          </w:p>
        </w:tc>
        <w:tc>
          <w:tcPr>
            <w:tcW w:w="567" w:type="dxa"/>
          </w:tcPr>
          <w:p w14:paraId="23A21495" w14:textId="77777777" w:rsidR="00AD1F54" w:rsidRPr="00264D5D" w:rsidRDefault="00941227">
            <w:pPr>
              <w:pStyle w:val="EBTablenorm"/>
              <w:ind w:left="57" w:right="57"/>
              <w:contextualSpacing w:val="0"/>
              <w:rPr>
                <w:sz w:val="22"/>
                <w:szCs w:val="22"/>
              </w:rPr>
            </w:pPr>
            <w:r w:rsidRPr="00264D5D">
              <w:rPr>
                <w:sz w:val="22"/>
                <w:szCs w:val="22"/>
              </w:rPr>
              <w:t>Н</w:t>
            </w:r>
          </w:p>
        </w:tc>
        <w:tc>
          <w:tcPr>
            <w:tcW w:w="3963" w:type="dxa"/>
          </w:tcPr>
          <w:p w14:paraId="1BFC5F17" w14:textId="77777777" w:rsidR="00AD1F54" w:rsidRPr="00264D5D" w:rsidRDefault="00941227">
            <w:pPr>
              <w:pStyle w:val="EBTablenorm"/>
              <w:ind w:left="57" w:right="57"/>
              <w:contextualSpacing w:val="0"/>
              <w:rPr>
                <w:sz w:val="22"/>
                <w:szCs w:val="22"/>
              </w:rPr>
            </w:pPr>
            <w:r w:rsidRPr="00264D5D">
              <w:rPr>
                <w:sz w:val="22"/>
                <w:szCs w:val="22"/>
              </w:rPr>
              <w:t>Дата включения в реестр соглашений.</w:t>
            </w:r>
          </w:p>
          <w:p w14:paraId="3BD8A95B" w14:textId="77777777" w:rsidR="00AD1F54" w:rsidRPr="00264D5D" w:rsidRDefault="00941227">
            <w:pPr>
              <w:pStyle w:val="EBTablenorm"/>
              <w:ind w:left="57" w:right="57"/>
              <w:contextualSpacing w:val="0"/>
              <w:rPr>
                <w:sz w:val="22"/>
                <w:szCs w:val="22"/>
              </w:rPr>
            </w:pPr>
            <w:r w:rsidRPr="00264D5D">
              <w:rPr>
                <w:sz w:val="22"/>
                <w:szCs w:val="22"/>
              </w:rPr>
              <w:t>Заполняется в ТОФК при включении Сведений о соглашении в реестр соглаше</w:t>
            </w:r>
            <w:r w:rsidR="00B83EE9" w:rsidRPr="00264D5D">
              <w:rPr>
                <w:sz w:val="22"/>
                <w:szCs w:val="22"/>
              </w:rPr>
              <w:t>ний</w:t>
            </w:r>
          </w:p>
        </w:tc>
      </w:tr>
      <w:tr w:rsidR="00AD1F54" w:rsidRPr="00264D5D" w14:paraId="06EADAA5"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6B6E4258" w14:textId="77777777" w:rsidR="00AD1F54" w:rsidRPr="00264D5D" w:rsidRDefault="00941227">
            <w:pPr>
              <w:pStyle w:val="EBTablenorm"/>
              <w:ind w:left="57" w:right="57"/>
              <w:contextualSpacing w:val="0"/>
              <w:rPr>
                <w:sz w:val="22"/>
                <w:szCs w:val="22"/>
              </w:rPr>
            </w:pPr>
            <w:r w:rsidRPr="00264D5D">
              <w:rPr>
                <w:sz w:val="22"/>
                <w:szCs w:val="22"/>
              </w:rPr>
              <w:t>Признак казначейского сопровождения</w:t>
            </w:r>
          </w:p>
        </w:tc>
        <w:tc>
          <w:tcPr>
            <w:tcW w:w="1699" w:type="dxa"/>
          </w:tcPr>
          <w:p w14:paraId="7FF4212E" w14:textId="77777777" w:rsidR="00AD1F54" w:rsidRPr="00264D5D" w:rsidRDefault="00941227">
            <w:pPr>
              <w:pStyle w:val="EBTablenorm"/>
              <w:ind w:left="57" w:right="57"/>
              <w:contextualSpacing w:val="0"/>
              <w:rPr>
                <w:sz w:val="22"/>
                <w:szCs w:val="22"/>
                <w:lang w:val="en-US"/>
              </w:rPr>
            </w:pPr>
            <w:r w:rsidRPr="00264D5D">
              <w:rPr>
                <w:color w:val="000000"/>
                <w:szCs w:val="24"/>
                <w:lang w:val="en-US"/>
              </w:rPr>
              <w:t>SignFKsup</w:t>
            </w:r>
          </w:p>
        </w:tc>
        <w:tc>
          <w:tcPr>
            <w:tcW w:w="567" w:type="dxa"/>
          </w:tcPr>
          <w:p w14:paraId="53A9D22D" w14:textId="77777777" w:rsidR="00AD1F54" w:rsidRPr="00264D5D" w:rsidRDefault="00941227">
            <w:pPr>
              <w:pStyle w:val="EBTablenorm"/>
              <w:ind w:left="57" w:right="57"/>
              <w:contextualSpacing w:val="0"/>
              <w:rPr>
                <w:sz w:val="22"/>
                <w:szCs w:val="22"/>
              </w:rPr>
            </w:pPr>
            <w:r w:rsidRPr="00264D5D">
              <w:rPr>
                <w:sz w:val="22"/>
                <w:szCs w:val="22"/>
              </w:rPr>
              <w:t>П</w:t>
            </w:r>
          </w:p>
        </w:tc>
        <w:tc>
          <w:tcPr>
            <w:tcW w:w="1133" w:type="dxa"/>
          </w:tcPr>
          <w:p w14:paraId="34F0FAEA" w14:textId="77777777" w:rsidR="00AD1F54" w:rsidRPr="00264D5D" w:rsidRDefault="00941227">
            <w:pPr>
              <w:pStyle w:val="EBTablenorm"/>
              <w:ind w:left="57" w:right="57"/>
              <w:contextualSpacing w:val="0"/>
              <w:rPr>
                <w:sz w:val="22"/>
                <w:szCs w:val="22"/>
                <w:lang w:val="en-US"/>
              </w:rPr>
            </w:pPr>
            <w:r w:rsidRPr="00264D5D">
              <w:rPr>
                <w:sz w:val="22"/>
                <w:szCs w:val="22"/>
                <w:lang w:val="en-US"/>
              </w:rPr>
              <w:t xml:space="preserve">BOOLEAN </w:t>
            </w:r>
          </w:p>
        </w:tc>
        <w:tc>
          <w:tcPr>
            <w:tcW w:w="567" w:type="dxa"/>
          </w:tcPr>
          <w:p w14:paraId="1BD6B26F" w14:textId="77777777" w:rsidR="00AD1F54" w:rsidRPr="00264D5D" w:rsidRDefault="00941227">
            <w:pPr>
              <w:pStyle w:val="EBTablenorm"/>
              <w:ind w:left="57" w:right="57"/>
              <w:contextualSpacing w:val="0"/>
              <w:rPr>
                <w:sz w:val="22"/>
                <w:szCs w:val="22"/>
              </w:rPr>
            </w:pPr>
            <w:r w:rsidRPr="00264D5D">
              <w:rPr>
                <w:sz w:val="22"/>
                <w:szCs w:val="22"/>
              </w:rPr>
              <w:t>О</w:t>
            </w:r>
          </w:p>
        </w:tc>
        <w:tc>
          <w:tcPr>
            <w:tcW w:w="3963" w:type="dxa"/>
          </w:tcPr>
          <w:p w14:paraId="1688147C" w14:textId="77777777" w:rsidR="00AD1F54" w:rsidRPr="00264D5D" w:rsidRDefault="00941227">
            <w:pPr>
              <w:pStyle w:val="EBTablenorm"/>
              <w:ind w:left="57" w:right="57"/>
              <w:contextualSpacing w:val="0"/>
              <w:rPr>
                <w:sz w:val="22"/>
                <w:szCs w:val="22"/>
              </w:rPr>
            </w:pPr>
            <w:r w:rsidRPr="00264D5D">
              <w:rPr>
                <w:sz w:val="22"/>
                <w:szCs w:val="22"/>
              </w:rPr>
              <w:t>Признак казначейского сопровождения.</w:t>
            </w:r>
          </w:p>
          <w:p w14:paraId="7D868972" w14:textId="77777777" w:rsidR="00AD1F54" w:rsidRPr="00264D5D" w:rsidRDefault="00941227">
            <w:pPr>
              <w:pStyle w:val="EBTablenorm"/>
              <w:ind w:left="57" w:right="57"/>
              <w:rPr>
                <w:sz w:val="22"/>
                <w:szCs w:val="22"/>
              </w:rPr>
            </w:pPr>
            <w:r w:rsidRPr="00264D5D">
              <w:rPr>
                <w:sz w:val="22"/>
                <w:szCs w:val="22"/>
              </w:rPr>
              <w:t>В случае если исполнение соглашения осуществляется по казначейскому сопровождению, то указывается значение «1» («Да»).</w:t>
            </w:r>
          </w:p>
          <w:p w14:paraId="2D53E7A8" w14:textId="77777777" w:rsidR="00AD1F54" w:rsidRPr="00264D5D" w:rsidRDefault="00941227">
            <w:pPr>
              <w:pStyle w:val="EBTablenorm"/>
              <w:ind w:left="57" w:right="57"/>
              <w:contextualSpacing w:val="0"/>
              <w:rPr>
                <w:sz w:val="22"/>
                <w:szCs w:val="22"/>
              </w:rPr>
            </w:pPr>
            <w:r w:rsidRPr="00264D5D">
              <w:rPr>
                <w:sz w:val="22"/>
                <w:szCs w:val="22"/>
              </w:rPr>
              <w:t>В остальных случаях указывается зна</w:t>
            </w:r>
            <w:r w:rsidR="00B83EE9" w:rsidRPr="00264D5D">
              <w:rPr>
                <w:sz w:val="22"/>
                <w:szCs w:val="22"/>
              </w:rPr>
              <w:t>чение «0» («Нет»)</w:t>
            </w:r>
          </w:p>
        </w:tc>
      </w:tr>
      <w:tr w:rsidR="00AD1F54" w:rsidRPr="00264D5D" w14:paraId="589949B6"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7AD2B1C5" w14:textId="77777777" w:rsidR="00AD1F54" w:rsidRPr="00264D5D" w:rsidRDefault="00941227">
            <w:pPr>
              <w:pStyle w:val="EBTablenorm"/>
              <w:ind w:left="57" w:right="57"/>
              <w:contextualSpacing w:val="0"/>
              <w:rPr>
                <w:sz w:val="22"/>
                <w:szCs w:val="22"/>
              </w:rPr>
            </w:pPr>
            <w:r w:rsidRPr="00264D5D">
              <w:rPr>
                <w:sz w:val="22"/>
                <w:szCs w:val="22"/>
              </w:rPr>
              <w:t>Номер БО</w:t>
            </w:r>
          </w:p>
        </w:tc>
        <w:tc>
          <w:tcPr>
            <w:tcW w:w="1699" w:type="dxa"/>
          </w:tcPr>
          <w:p w14:paraId="7FFADDDB" w14:textId="77777777" w:rsidR="00AD1F54" w:rsidRPr="00264D5D" w:rsidRDefault="00941227">
            <w:pPr>
              <w:pStyle w:val="EBTablenorm"/>
              <w:ind w:left="57" w:right="57"/>
              <w:contextualSpacing w:val="0"/>
              <w:rPr>
                <w:sz w:val="22"/>
                <w:szCs w:val="22"/>
              </w:rPr>
            </w:pPr>
            <w:r w:rsidRPr="00264D5D">
              <w:rPr>
                <w:sz w:val="22"/>
                <w:szCs w:val="22"/>
              </w:rPr>
              <w:t>NmbrBO</w:t>
            </w:r>
          </w:p>
        </w:tc>
        <w:tc>
          <w:tcPr>
            <w:tcW w:w="567" w:type="dxa"/>
          </w:tcPr>
          <w:p w14:paraId="561E0E2C" w14:textId="77777777" w:rsidR="00AD1F54" w:rsidRPr="00264D5D" w:rsidRDefault="00941227">
            <w:pPr>
              <w:pStyle w:val="EBTablenorm"/>
              <w:ind w:left="57" w:right="57"/>
              <w:contextualSpacing w:val="0"/>
              <w:rPr>
                <w:sz w:val="22"/>
                <w:szCs w:val="22"/>
              </w:rPr>
            </w:pPr>
            <w:r w:rsidRPr="00264D5D">
              <w:rPr>
                <w:sz w:val="22"/>
                <w:szCs w:val="22"/>
              </w:rPr>
              <w:t>П</w:t>
            </w:r>
          </w:p>
        </w:tc>
        <w:tc>
          <w:tcPr>
            <w:tcW w:w="1133" w:type="dxa"/>
          </w:tcPr>
          <w:p w14:paraId="5A129250" w14:textId="77777777" w:rsidR="00AD1F54" w:rsidRPr="00264D5D" w:rsidRDefault="00941227">
            <w:pPr>
              <w:pStyle w:val="EBTablenorm"/>
              <w:ind w:left="57" w:right="57"/>
              <w:contextualSpacing w:val="0"/>
              <w:rPr>
                <w:sz w:val="22"/>
                <w:szCs w:val="22"/>
                <w:lang w:val="en-US"/>
              </w:rPr>
            </w:pPr>
            <w:r w:rsidRPr="00264D5D">
              <w:rPr>
                <w:sz w:val="22"/>
                <w:szCs w:val="22"/>
                <w:lang w:val="en-US"/>
              </w:rPr>
              <w:t>T(1-19)</w:t>
            </w:r>
          </w:p>
        </w:tc>
        <w:tc>
          <w:tcPr>
            <w:tcW w:w="567" w:type="dxa"/>
          </w:tcPr>
          <w:p w14:paraId="1583E939" w14:textId="77777777" w:rsidR="00AD1F54" w:rsidRPr="00264D5D" w:rsidRDefault="00941227">
            <w:pPr>
              <w:pStyle w:val="EBTablenorm"/>
              <w:ind w:left="57" w:right="57"/>
              <w:contextualSpacing w:val="0"/>
              <w:rPr>
                <w:sz w:val="22"/>
                <w:szCs w:val="22"/>
              </w:rPr>
            </w:pPr>
            <w:r w:rsidRPr="00264D5D">
              <w:rPr>
                <w:sz w:val="22"/>
                <w:szCs w:val="22"/>
                <w:lang w:val="en-US"/>
              </w:rPr>
              <w:t>H</w:t>
            </w:r>
          </w:p>
        </w:tc>
        <w:tc>
          <w:tcPr>
            <w:tcW w:w="3963" w:type="dxa"/>
          </w:tcPr>
          <w:p w14:paraId="0096E13D" w14:textId="77777777" w:rsidR="00AD1F54" w:rsidRPr="00264D5D" w:rsidRDefault="00941227">
            <w:pPr>
              <w:pStyle w:val="EBTablenorm"/>
              <w:ind w:left="57" w:right="57"/>
              <w:contextualSpacing w:val="0"/>
              <w:rPr>
                <w:sz w:val="22"/>
                <w:szCs w:val="22"/>
              </w:rPr>
            </w:pPr>
            <w:r w:rsidRPr="00264D5D">
              <w:rPr>
                <w:sz w:val="22"/>
                <w:szCs w:val="22"/>
              </w:rPr>
              <w:t>Номер бюджетного обязательства.</w:t>
            </w:r>
          </w:p>
          <w:p w14:paraId="374B971C" w14:textId="77777777" w:rsidR="00AD1F54" w:rsidRPr="00264D5D" w:rsidRDefault="00941227">
            <w:pPr>
              <w:pStyle w:val="EBTablenorm"/>
              <w:ind w:left="57" w:right="57"/>
              <w:contextualSpacing w:val="0"/>
              <w:rPr>
                <w:color w:val="000000"/>
                <w:sz w:val="22"/>
                <w:szCs w:val="22"/>
              </w:rPr>
            </w:pPr>
            <w:r w:rsidRPr="00264D5D">
              <w:rPr>
                <w:sz w:val="22"/>
                <w:szCs w:val="22"/>
              </w:rPr>
              <w:t>Заполняется в ТОФК, если значение элемента «Тип сведений о соглашении»</w:t>
            </w:r>
            <w:r w:rsidRPr="00264D5D">
              <w:rPr>
                <w:color w:val="000000"/>
                <w:sz w:val="22"/>
                <w:szCs w:val="22"/>
              </w:rPr>
              <w:t xml:space="preserve"> равно «0».</w:t>
            </w:r>
          </w:p>
          <w:p w14:paraId="69F0DE9E" w14:textId="77777777" w:rsidR="00AD1F54" w:rsidRPr="00264D5D" w:rsidRDefault="00941227">
            <w:pPr>
              <w:pStyle w:val="EBTablenorm"/>
              <w:ind w:left="57" w:right="57"/>
              <w:contextualSpacing w:val="0"/>
              <w:rPr>
                <w:sz w:val="22"/>
                <w:szCs w:val="22"/>
              </w:rPr>
            </w:pPr>
            <w:r w:rsidRPr="00264D5D">
              <w:rPr>
                <w:color w:val="000000"/>
                <w:sz w:val="22"/>
                <w:szCs w:val="22"/>
              </w:rPr>
              <w:t xml:space="preserve">Заполняется клиентом, если значение элемента </w:t>
            </w:r>
            <w:r w:rsidRPr="00264D5D">
              <w:rPr>
                <w:sz w:val="22"/>
                <w:szCs w:val="22"/>
              </w:rPr>
              <w:t>«Тип сведений о соглашении»</w:t>
            </w:r>
            <w:r w:rsidRPr="00264D5D">
              <w:rPr>
                <w:color w:val="000000"/>
                <w:sz w:val="22"/>
                <w:szCs w:val="22"/>
              </w:rPr>
              <w:t xml:space="preserve"> равно </w:t>
            </w:r>
            <w:r w:rsidR="00B83EE9" w:rsidRPr="00264D5D">
              <w:rPr>
                <w:sz w:val="22"/>
                <w:szCs w:val="22"/>
              </w:rPr>
              <w:t>«1», «3» и «4»</w:t>
            </w:r>
          </w:p>
        </w:tc>
      </w:tr>
      <w:tr w:rsidR="00AD1F54" w:rsidRPr="00264D5D" w14:paraId="324124EE"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0BAD9DB1" w14:textId="77777777" w:rsidR="00AD1F54" w:rsidRPr="00264D5D" w:rsidRDefault="00941227">
            <w:pPr>
              <w:pStyle w:val="EBTablenorm"/>
              <w:ind w:left="57" w:right="57"/>
              <w:contextualSpacing w:val="0"/>
              <w:rPr>
                <w:color w:val="000000"/>
                <w:sz w:val="22"/>
                <w:szCs w:val="22"/>
              </w:rPr>
            </w:pPr>
            <w:r w:rsidRPr="00264D5D">
              <w:rPr>
                <w:color w:val="000000"/>
                <w:sz w:val="22"/>
                <w:szCs w:val="22"/>
              </w:rPr>
              <w:t>Предмет по документу-основанию</w:t>
            </w:r>
          </w:p>
        </w:tc>
        <w:tc>
          <w:tcPr>
            <w:tcW w:w="1699" w:type="dxa"/>
          </w:tcPr>
          <w:p w14:paraId="1E874939" w14:textId="77777777" w:rsidR="00AD1F54" w:rsidRPr="00264D5D" w:rsidRDefault="00941227">
            <w:pPr>
              <w:pStyle w:val="EBTablenorm"/>
              <w:ind w:left="57" w:right="57"/>
              <w:contextualSpacing w:val="0"/>
              <w:rPr>
                <w:color w:val="000000"/>
                <w:sz w:val="22"/>
                <w:szCs w:val="22"/>
              </w:rPr>
            </w:pPr>
            <w:r w:rsidRPr="00264D5D">
              <w:rPr>
                <w:color w:val="000000"/>
                <w:sz w:val="22"/>
                <w:szCs w:val="22"/>
              </w:rPr>
              <w:t>BudComOb</w:t>
            </w:r>
          </w:p>
        </w:tc>
        <w:tc>
          <w:tcPr>
            <w:tcW w:w="567" w:type="dxa"/>
          </w:tcPr>
          <w:p w14:paraId="4710D2D8" w14:textId="77777777" w:rsidR="00AD1F54" w:rsidRPr="00264D5D" w:rsidRDefault="00941227">
            <w:pPr>
              <w:pStyle w:val="EBTablenorm"/>
              <w:ind w:left="57" w:right="57"/>
              <w:contextualSpacing w:val="0"/>
              <w:rPr>
                <w:color w:val="000000"/>
                <w:sz w:val="22"/>
                <w:szCs w:val="22"/>
              </w:rPr>
            </w:pPr>
            <w:r w:rsidRPr="00264D5D">
              <w:rPr>
                <w:color w:val="000000"/>
                <w:sz w:val="22"/>
                <w:szCs w:val="22"/>
              </w:rPr>
              <w:t>П</w:t>
            </w:r>
          </w:p>
        </w:tc>
        <w:tc>
          <w:tcPr>
            <w:tcW w:w="1133" w:type="dxa"/>
          </w:tcPr>
          <w:p w14:paraId="6B7578B7" w14:textId="77777777" w:rsidR="00AD1F54" w:rsidRPr="00264D5D" w:rsidRDefault="00941227">
            <w:pPr>
              <w:pStyle w:val="EBTablenorm"/>
              <w:ind w:left="57" w:right="57"/>
              <w:contextualSpacing w:val="0"/>
              <w:rPr>
                <w:color w:val="000000"/>
                <w:sz w:val="22"/>
                <w:szCs w:val="22"/>
              </w:rPr>
            </w:pPr>
            <w:r w:rsidRPr="00264D5D">
              <w:rPr>
                <w:color w:val="000000"/>
                <w:sz w:val="22"/>
                <w:szCs w:val="22"/>
              </w:rPr>
              <w:t>Т(1-2000)</w:t>
            </w:r>
          </w:p>
        </w:tc>
        <w:tc>
          <w:tcPr>
            <w:tcW w:w="567" w:type="dxa"/>
          </w:tcPr>
          <w:p w14:paraId="14A4F2EE" w14:textId="77777777" w:rsidR="00AD1F54" w:rsidRPr="00264D5D" w:rsidRDefault="00941227">
            <w:pPr>
              <w:pStyle w:val="EBTablenorm"/>
              <w:ind w:left="57" w:right="57"/>
              <w:contextualSpacing w:val="0"/>
              <w:rPr>
                <w:color w:val="000000"/>
                <w:sz w:val="22"/>
                <w:szCs w:val="22"/>
              </w:rPr>
            </w:pPr>
            <w:r w:rsidRPr="00264D5D">
              <w:rPr>
                <w:color w:val="000000"/>
                <w:sz w:val="22"/>
                <w:szCs w:val="22"/>
              </w:rPr>
              <w:t>О</w:t>
            </w:r>
          </w:p>
        </w:tc>
        <w:tc>
          <w:tcPr>
            <w:tcW w:w="3963" w:type="dxa"/>
          </w:tcPr>
          <w:p w14:paraId="17083E0D" w14:textId="77777777" w:rsidR="00AD1F54" w:rsidRPr="00264D5D" w:rsidRDefault="00941227">
            <w:pPr>
              <w:pStyle w:val="EBTablenorm"/>
              <w:ind w:left="57" w:right="57"/>
              <w:contextualSpacing w:val="0"/>
              <w:rPr>
                <w:color w:val="000000"/>
                <w:sz w:val="22"/>
                <w:szCs w:val="22"/>
              </w:rPr>
            </w:pPr>
            <w:r w:rsidRPr="00264D5D">
              <w:rPr>
                <w:color w:val="000000"/>
                <w:sz w:val="22"/>
                <w:szCs w:val="22"/>
              </w:rPr>
              <w:t>Предмет по документу-основанию для постановки на учет (внесения изме</w:t>
            </w:r>
            <w:r w:rsidR="00B83EE9" w:rsidRPr="00264D5D">
              <w:rPr>
                <w:color w:val="000000"/>
                <w:sz w:val="22"/>
                <w:szCs w:val="22"/>
              </w:rPr>
              <w:t>нения) бюджетного обязательства</w:t>
            </w:r>
          </w:p>
        </w:tc>
      </w:tr>
      <w:tr w:rsidR="00AD1F54" w:rsidRPr="00264D5D" w14:paraId="55DA862F"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8329EBF" w14:textId="77777777" w:rsidR="00AD1F54" w:rsidRPr="00264D5D" w:rsidRDefault="00941227">
            <w:pPr>
              <w:pStyle w:val="EBTablenorm"/>
              <w:ind w:left="57" w:right="57"/>
              <w:contextualSpacing w:val="0"/>
              <w:rPr>
                <w:sz w:val="22"/>
                <w:szCs w:val="22"/>
              </w:rPr>
            </w:pPr>
            <w:r w:rsidRPr="00264D5D">
              <w:rPr>
                <w:sz w:val="22"/>
                <w:szCs w:val="22"/>
              </w:rPr>
              <w:t>Подписи ГРБС/подведомственного ГРБС ПБС</w:t>
            </w:r>
          </w:p>
        </w:tc>
        <w:tc>
          <w:tcPr>
            <w:tcW w:w="1699" w:type="dxa"/>
          </w:tcPr>
          <w:p w14:paraId="1900C886" w14:textId="77777777" w:rsidR="00AD1F54" w:rsidRPr="00264D5D" w:rsidRDefault="00941227">
            <w:pPr>
              <w:pStyle w:val="EBTablenorm"/>
              <w:ind w:left="57" w:right="57"/>
              <w:contextualSpacing w:val="0"/>
              <w:rPr>
                <w:sz w:val="22"/>
                <w:szCs w:val="22"/>
                <w:lang w:val="en-US"/>
              </w:rPr>
            </w:pPr>
            <w:r w:rsidRPr="00264D5D">
              <w:rPr>
                <w:sz w:val="22"/>
                <w:szCs w:val="22"/>
                <w:lang w:val="en-US"/>
              </w:rPr>
              <w:t>SgnGRBS_PBS</w:t>
            </w:r>
          </w:p>
        </w:tc>
        <w:tc>
          <w:tcPr>
            <w:tcW w:w="567" w:type="dxa"/>
          </w:tcPr>
          <w:p w14:paraId="4E198CED" w14:textId="77777777" w:rsidR="00AD1F54" w:rsidRPr="00264D5D" w:rsidRDefault="00941227">
            <w:pPr>
              <w:pStyle w:val="EBTablenorm"/>
              <w:ind w:left="57" w:right="57"/>
              <w:contextualSpacing w:val="0"/>
              <w:rPr>
                <w:sz w:val="22"/>
                <w:szCs w:val="22"/>
              </w:rPr>
            </w:pPr>
            <w:r w:rsidRPr="00264D5D">
              <w:rPr>
                <w:sz w:val="22"/>
                <w:szCs w:val="22"/>
              </w:rPr>
              <w:t>С</w:t>
            </w:r>
          </w:p>
        </w:tc>
        <w:tc>
          <w:tcPr>
            <w:tcW w:w="1133" w:type="dxa"/>
          </w:tcPr>
          <w:p w14:paraId="45404E8B" w14:textId="77777777" w:rsidR="00AD1F54" w:rsidRPr="00264D5D" w:rsidRDefault="00941227">
            <w:pPr>
              <w:pStyle w:val="EBTablenorm"/>
              <w:ind w:left="57" w:right="57"/>
              <w:contextualSpacing w:val="0"/>
              <w:rPr>
                <w:sz w:val="22"/>
                <w:szCs w:val="22"/>
              </w:rPr>
            </w:pPr>
            <w:r w:rsidRPr="00264D5D">
              <w:rPr>
                <w:sz w:val="22"/>
                <w:szCs w:val="22"/>
              </w:rPr>
              <w:t>tSgnGRBS_PBS</w:t>
            </w:r>
          </w:p>
        </w:tc>
        <w:tc>
          <w:tcPr>
            <w:tcW w:w="567" w:type="dxa"/>
          </w:tcPr>
          <w:p w14:paraId="4F11FA4B" w14:textId="77777777" w:rsidR="00AD1F54" w:rsidRPr="00264D5D" w:rsidRDefault="00941227">
            <w:pPr>
              <w:pStyle w:val="EBTablenorm"/>
              <w:ind w:left="57" w:right="57"/>
              <w:contextualSpacing w:val="0"/>
              <w:rPr>
                <w:sz w:val="22"/>
                <w:szCs w:val="22"/>
              </w:rPr>
            </w:pPr>
            <w:r w:rsidRPr="00264D5D">
              <w:rPr>
                <w:sz w:val="22"/>
                <w:szCs w:val="22"/>
                <w:lang w:val="en-US"/>
              </w:rPr>
              <w:t>О</w:t>
            </w:r>
          </w:p>
        </w:tc>
        <w:tc>
          <w:tcPr>
            <w:tcW w:w="3963" w:type="dxa"/>
          </w:tcPr>
          <w:p w14:paraId="7FBBFA3D" w14:textId="77777777" w:rsidR="00AD1F54" w:rsidRPr="00264D5D" w:rsidRDefault="00941227">
            <w:pPr>
              <w:pStyle w:val="EBTablenorm"/>
              <w:ind w:left="57" w:right="57"/>
              <w:contextualSpacing w:val="0"/>
              <w:rPr>
                <w:sz w:val="22"/>
                <w:szCs w:val="22"/>
              </w:rPr>
            </w:pPr>
            <w:r w:rsidRPr="00264D5D">
              <w:rPr>
                <w:sz w:val="22"/>
                <w:szCs w:val="22"/>
              </w:rPr>
              <w:t xml:space="preserve">Подписи ГРБС/подведомственного ГРБС ПБС. </w:t>
            </w:r>
          </w:p>
          <w:p w14:paraId="697C050C" w14:textId="576D2658" w:rsidR="00AD1F54" w:rsidRPr="00264D5D" w:rsidRDefault="00941227">
            <w:pPr>
              <w:pStyle w:val="EBTablenorm"/>
              <w:ind w:left="57" w:right="57"/>
              <w:contextualSpacing w:val="0"/>
              <w:rPr>
                <w:sz w:val="22"/>
                <w:szCs w:val="22"/>
              </w:rPr>
            </w:pPr>
            <w:r w:rsidRPr="00264D5D">
              <w:rPr>
                <w:sz w:val="22"/>
                <w:szCs w:val="22"/>
              </w:rPr>
              <w:t>Состав элемента представлен в таблице</w:t>
            </w:r>
            <w:r w:rsidRPr="00264D5D">
              <w:rPr>
                <w:b/>
                <w:sz w:val="22"/>
                <w:szCs w:val="22"/>
              </w:rPr>
              <w:t xml:space="preserve"> </w:t>
            </w:r>
            <w:r w:rsidRPr="00264D5D">
              <w:rPr>
                <w:b/>
                <w:sz w:val="22"/>
                <w:szCs w:val="22"/>
              </w:rPr>
              <w:fldChar w:fldCharType="begin"/>
            </w:r>
            <w:r w:rsidRPr="00264D5D">
              <w:rPr>
                <w:b/>
                <w:sz w:val="22"/>
                <w:szCs w:val="22"/>
              </w:rPr>
              <w:instrText xml:space="preserve"> REF _Ref494366260 \h  \* MERGEFORMAT </w:instrText>
            </w:r>
            <w:r w:rsidRPr="00264D5D">
              <w:rPr>
                <w:b/>
                <w:sz w:val="22"/>
                <w:szCs w:val="22"/>
              </w:rPr>
            </w:r>
            <w:r w:rsidRPr="00264D5D">
              <w:rPr>
                <w:b/>
                <w:sz w:val="22"/>
                <w:szCs w:val="22"/>
              </w:rPr>
              <w:fldChar w:fldCharType="separate"/>
            </w:r>
            <w:r w:rsidR="008D797C" w:rsidRPr="008D797C">
              <w:rPr>
                <w:rFonts w:eastAsia="Calibri"/>
                <w:b/>
                <w:sz w:val="22"/>
                <w:szCs w:val="22"/>
              </w:rPr>
              <w:t>220</w:t>
            </w:r>
            <w:r w:rsidRPr="00264D5D">
              <w:rPr>
                <w:b/>
                <w:sz w:val="22"/>
                <w:szCs w:val="22"/>
              </w:rPr>
              <w:fldChar w:fldCharType="end"/>
            </w:r>
          </w:p>
        </w:tc>
      </w:tr>
    </w:tbl>
    <w:p w14:paraId="3B5A9756" w14:textId="77777777" w:rsidR="00AD1F54" w:rsidRPr="00264D5D" w:rsidRDefault="00941227">
      <w:pPr>
        <w:pStyle w:val="31"/>
      </w:pPr>
      <w:bookmarkStart w:id="1907" w:name="_Toc493090491"/>
      <w:bookmarkStart w:id="1908" w:name="_Toc496984024"/>
      <w:bookmarkStart w:id="1909" w:name="_Toc219309657"/>
      <w:r w:rsidRPr="00264D5D">
        <w:t>Описание комплексного типа «tCalendar»</w:t>
      </w:r>
      <w:bookmarkEnd w:id="1909"/>
    </w:p>
    <w:p w14:paraId="1D6C850D" w14:textId="77777777" w:rsidR="00AD1F54" w:rsidRPr="00264D5D" w:rsidRDefault="00941227">
      <w:pPr>
        <w:pStyle w:val="EBNormal0"/>
        <w:spacing w:before="60" w:after="120"/>
        <w:ind w:left="0" w:right="0"/>
        <w:contextualSpacing w:val="0"/>
        <w:rPr>
          <w:rFonts w:ascii="Times New Roman" w:hAnsi="Times New Roman"/>
          <w:sz w:val="24"/>
        </w:rPr>
      </w:pPr>
      <w:r w:rsidRPr="00264D5D">
        <w:rPr>
          <w:rFonts w:ascii="Times New Roman" w:hAnsi="Times New Roman"/>
          <w:sz w:val="24"/>
        </w:rPr>
        <w:t>Описание комплексного типа «tCalendar» блока «Календарь предоставления отчетности».</w:t>
      </w:r>
    </w:p>
    <w:p w14:paraId="67391026" w14:textId="0338897C"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1910" w:name="_Ref531280822"/>
      <w:bookmarkStart w:id="1911" w:name="_Toc30503374"/>
      <w:bookmarkStart w:id="1912" w:name="_Toc30507972"/>
      <w:bookmarkStart w:id="1913" w:name="_Toc219309225"/>
      <w:r w:rsidR="008D797C">
        <w:rPr>
          <w:rFonts w:eastAsia="Calibri"/>
          <w:noProof/>
          <w:szCs w:val="24"/>
        </w:rPr>
        <w:t>195</w:t>
      </w:r>
      <w:bookmarkEnd w:id="1910"/>
      <w:r w:rsidRPr="00264D5D">
        <w:rPr>
          <w:rFonts w:eastAsia="Calibri"/>
          <w:szCs w:val="24"/>
        </w:rPr>
        <w:fldChar w:fldCharType="end"/>
      </w:r>
      <w:r w:rsidRPr="00264D5D">
        <w:rPr>
          <w:rFonts w:eastAsia="Calibri"/>
          <w:szCs w:val="24"/>
        </w:rPr>
        <w:t xml:space="preserve"> – Описание комплексного типа «</w:t>
      </w:r>
      <w:r w:rsidRPr="00264D5D">
        <w:rPr>
          <w:lang w:val="en-US"/>
        </w:rPr>
        <w:t>tCalendar</w:t>
      </w:r>
      <w:r w:rsidRPr="00264D5D">
        <w:rPr>
          <w:rFonts w:eastAsia="Calibri"/>
          <w:szCs w:val="24"/>
        </w:rPr>
        <w:t>»</w:t>
      </w:r>
      <w:bookmarkEnd w:id="1911"/>
      <w:bookmarkEnd w:id="1912"/>
      <w:bookmarkEnd w:id="1913"/>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4DC920FB"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132D6623" w14:textId="77777777" w:rsidR="00AD1F54" w:rsidRPr="00264D5D" w:rsidRDefault="00941227">
            <w:pPr>
              <w:pStyle w:val="EBTableHead"/>
              <w:ind w:left="57" w:right="57"/>
              <w:contextualSpacing w:val="0"/>
              <w:rPr>
                <w:sz w:val="22"/>
                <w:szCs w:val="22"/>
              </w:rPr>
            </w:pPr>
            <w:r w:rsidRPr="00264D5D">
              <w:rPr>
                <w:bCs w:val="0"/>
                <w:sz w:val="22"/>
                <w:szCs w:val="22"/>
              </w:rPr>
              <w:t>Наименование элемента</w:t>
            </w:r>
          </w:p>
        </w:tc>
        <w:tc>
          <w:tcPr>
            <w:tcW w:w="1701" w:type="dxa"/>
          </w:tcPr>
          <w:p w14:paraId="4FB40882" w14:textId="77777777" w:rsidR="00AD1F54" w:rsidRPr="00264D5D" w:rsidRDefault="00941227">
            <w:pPr>
              <w:pStyle w:val="EBTableHead"/>
              <w:ind w:left="57" w:right="57"/>
              <w:contextualSpacing w:val="0"/>
              <w:rPr>
                <w:sz w:val="22"/>
                <w:szCs w:val="22"/>
              </w:rPr>
            </w:pPr>
            <w:r w:rsidRPr="00264D5D">
              <w:rPr>
                <w:bCs w:val="0"/>
                <w:sz w:val="22"/>
                <w:szCs w:val="22"/>
              </w:rPr>
              <w:t>Сокращенное наименование (код) элемента</w:t>
            </w:r>
          </w:p>
        </w:tc>
        <w:tc>
          <w:tcPr>
            <w:tcW w:w="567" w:type="dxa"/>
          </w:tcPr>
          <w:p w14:paraId="48B73B1E" w14:textId="77777777" w:rsidR="00AD1F54" w:rsidRPr="00264D5D" w:rsidRDefault="00941227">
            <w:pPr>
              <w:pStyle w:val="EBTableHead"/>
              <w:ind w:left="57" w:right="57"/>
              <w:contextualSpacing w:val="0"/>
              <w:rPr>
                <w:sz w:val="22"/>
                <w:szCs w:val="22"/>
              </w:rPr>
            </w:pPr>
            <w:r w:rsidRPr="00264D5D">
              <w:rPr>
                <w:bCs w:val="0"/>
                <w:sz w:val="22"/>
                <w:szCs w:val="22"/>
              </w:rPr>
              <w:t>Тип</w:t>
            </w:r>
          </w:p>
        </w:tc>
        <w:tc>
          <w:tcPr>
            <w:tcW w:w="1134" w:type="dxa"/>
          </w:tcPr>
          <w:p w14:paraId="3863CA36" w14:textId="77777777" w:rsidR="00AD1F54" w:rsidRPr="00264D5D" w:rsidRDefault="00941227">
            <w:pPr>
              <w:pStyle w:val="EBTableHead"/>
              <w:ind w:left="57" w:right="57"/>
              <w:contextualSpacing w:val="0"/>
              <w:rPr>
                <w:sz w:val="22"/>
                <w:szCs w:val="22"/>
              </w:rPr>
            </w:pPr>
            <w:r w:rsidRPr="00264D5D">
              <w:rPr>
                <w:bCs w:val="0"/>
                <w:sz w:val="22"/>
                <w:szCs w:val="22"/>
              </w:rPr>
              <w:t>Формат элемента</w:t>
            </w:r>
          </w:p>
        </w:tc>
        <w:tc>
          <w:tcPr>
            <w:tcW w:w="567" w:type="dxa"/>
          </w:tcPr>
          <w:p w14:paraId="67514B10" w14:textId="77777777" w:rsidR="00AD1F54" w:rsidRPr="00264D5D" w:rsidRDefault="00941227">
            <w:pPr>
              <w:spacing w:before="60" w:after="60"/>
              <w:ind w:left="57" w:right="57"/>
              <w:jc w:val="center"/>
              <w:rPr>
                <w:b/>
                <w:bCs/>
                <w:sz w:val="22"/>
                <w:szCs w:val="22"/>
              </w:rPr>
            </w:pPr>
            <w:r w:rsidRPr="00264D5D">
              <w:rPr>
                <w:b/>
                <w:bCs/>
                <w:sz w:val="22"/>
                <w:szCs w:val="22"/>
              </w:rPr>
              <w:t>Обязательность</w:t>
            </w:r>
          </w:p>
        </w:tc>
        <w:tc>
          <w:tcPr>
            <w:tcW w:w="3963" w:type="dxa"/>
          </w:tcPr>
          <w:p w14:paraId="34B98FA9" w14:textId="77777777" w:rsidR="00AD1F54" w:rsidRPr="00264D5D" w:rsidRDefault="00941227">
            <w:pPr>
              <w:pStyle w:val="EBTableHead"/>
              <w:ind w:left="57" w:right="57"/>
              <w:contextualSpacing w:val="0"/>
              <w:rPr>
                <w:sz w:val="22"/>
                <w:szCs w:val="22"/>
              </w:rPr>
            </w:pPr>
            <w:r w:rsidRPr="00264D5D">
              <w:rPr>
                <w:bCs w:val="0"/>
                <w:sz w:val="22"/>
                <w:szCs w:val="22"/>
              </w:rPr>
              <w:t>Дополнительная информация</w:t>
            </w:r>
          </w:p>
        </w:tc>
      </w:tr>
      <w:tr w:rsidR="00AD1F54" w:rsidRPr="00264D5D" w14:paraId="1A9DD897"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8032E2D" w14:textId="77777777" w:rsidR="00AD1F54" w:rsidRPr="00264D5D" w:rsidRDefault="00941227">
            <w:pPr>
              <w:pStyle w:val="EBTablenorm"/>
              <w:ind w:left="57" w:right="57"/>
              <w:contextualSpacing w:val="0"/>
              <w:jc w:val="left"/>
              <w:rPr>
                <w:sz w:val="22"/>
                <w:szCs w:val="22"/>
              </w:rPr>
            </w:pPr>
            <w:r w:rsidRPr="00264D5D">
              <w:rPr>
                <w:sz w:val="22"/>
                <w:szCs w:val="22"/>
              </w:rPr>
              <w:t xml:space="preserve">Тип отчета </w:t>
            </w:r>
          </w:p>
          <w:p w14:paraId="6D0F4AE3" w14:textId="77777777" w:rsidR="00AD1F54" w:rsidRPr="00264D5D" w:rsidRDefault="00AD1F54">
            <w:pPr>
              <w:pStyle w:val="EBTablenorm"/>
              <w:ind w:left="57" w:right="57"/>
              <w:contextualSpacing w:val="0"/>
              <w:jc w:val="left"/>
              <w:rPr>
                <w:sz w:val="22"/>
                <w:szCs w:val="22"/>
              </w:rPr>
            </w:pPr>
          </w:p>
        </w:tc>
        <w:tc>
          <w:tcPr>
            <w:tcW w:w="1701" w:type="dxa"/>
          </w:tcPr>
          <w:p w14:paraId="7EB8DECC"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ReportType</w:t>
            </w:r>
          </w:p>
        </w:tc>
        <w:tc>
          <w:tcPr>
            <w:tcW w:w="567" w:type="dxa"/>
          </w:tcPr>
          <w:p w14:paraId="15482D86" w14:textId="77777777" w:rsidR="00AD1F54" w:rsidRPr="00264D5D" w:rsidRDefault="00941227">
            <w:pPr>
              <w:pStyle w:val="EBTablenorm"/>
              <w:ind w:left="57" w:right="57"/>
              <w:contextualSpacing w:val="0"/>
              <w:jc w:val="center"/>
              <w:rPr>
                <w:sz w:val="22"/>
                <w:szCs w:val="22"/>
                <w:lang w:val="en-US"/>
              </w:rPr>
            </w:pPr>
            <w:r w:rsidRPr="00264D5D">
              <w:rPr>
                <w:sz w:val="22"/>
                <w:szCs w:val="22"/>
                <w:lang w:val="en-US"/>
              </w:rPr>
              <w:t>П</w:t>
            </w:r>
          </w:p>
        </w:tc>
        <w:tc>
          <w:tcPr>
            <w:tcW w:w="1134" w:type="dxa"/>
          </w:tcPr>
          <w:p w14:paraId="0D073970" w14:textId="77777777" w:rsidR="00AD1F54" w:rsidRPr="00264D5D" w:rsidRDefault="00941227">
            <w:pPr>
              <w:pStyle w:val="EBTablenorm"/>
              <w:ind w:left="57" w:right="57"/>
              <w:contextualSpacing w:val="0"/>
              <w:jc w:val="left"/>
              <w:rPr>
                <w:sz w:val="22"/>
                <w:szCs w:val="22"/>
              </w:rPr>
            </w:pPr>
            <w:r w:rsidRPr="00264D5D">
              <w:rPr>
                <w:sz w:val="22"/>
                <w:szCs w:val="22"/>
              </w:rPr>
              <w:t>Т(1)</w:t>
            </w:r>
          </w:p>
        </w:tc>
        <w:tc>
          <w:tcPr>
            <w:tcW w:w="567" w:type="dxa"/>
          </w:tcPr>
          <w:p w14:paraId="6933234D"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69DE21DA" w14:textId="77777777" w:rsidR="00AD1F54" w:rsidRPr="00264D5D" w:rsidRDefault="00941227">
            <w:pPr>
              <w:pStyle w:val="EBTablenorm"/>
              <w:ind w:left="57" w:right="57"/>
              <w:contextualSpacing w:val="0"/>
              <w:rPr>
                <w:sz w:val="22"/>
                <w:szCs w:val="22"/>
              </w:rPr>
            </w:pPr>
            <w:r w:rsidRPr="00264D5D">
              <w:rPr>
                <w:sz w:val="22"/>
                <w:szCs w:val="22"/>
              </w:rPr>
              <w:t xml:space="preserve">Тип отчета. </w:t>
            </w:r>
          </w:p>
          <w:p w14:paraId="09C5A315" w14:textId="77777777" w:rsidR="00AD1F54" w:rsidRPr="00264D5D" w:rsidRDefault="00941227">
            <w:pPr>
              <w:pStyle w:val="EBTablenorm"/>
              <w:ind w:left="57" w:right="57"/>
              <w:contextualSpacing w:val="0"/>
              <w:rPr>
                <w:sz w:val="22"/>
                <w:szCs w:val="22"/>
              </w:rPr>
            </w:pPr>
            <w:r w:rsidRPr="00264D5D">
              <w:rPr>
                <w:sz w:val="22"/>
                <w:szCs w:val="22"/>
              </w:rPr>
              <w:t>Допустимые значения:</w:t>
            </w:r>
          </w:p>
          <w:p w14:paraId="7E0E0BE8" w14:textId="77777777" w:rsidR="00AD1F54" w:rsidRPr="00264D5D" w:rsidRDefault="00941227" w:rsidP="00941227">
            <w:pPr>
              <w:pStyle w:val="ASFKTablenorm"/>
              <w:widowControl w:val="0"/>
              <w:numPr>
                <w:ilvl w:val="0"/>
                <w:numId w:val="69"/>
              </w:numPr>
              <w:tabs>
                <w:tab w:val="left" w:pos="300"/>
              </w:tabs>
              <w:ind w:left="284" w:hanging="227"/>
              <w:contextualSpacing w:val="0"/>
              <w:rPr>
                <w:sz w:val="22"/>
                <w:szCs w:val="22"/>
              </w:rPr>
            </w:pPr>
            <w:r w:rsidRPr="00264D5D">
              <w:rPr>
                <w:sz w:val="22"/>
                <w:szCs w:val="22"/>
              </w:rPr>
              <w:t xml:space="preserve">«1» – отчет о достижении значений </w:t>
            </w:r>
            <w:r w:rsidRPr="00264D5D">
              <w:rPr>
                <w:sz w:val="22"/>
                <w:szCs w:val="22"/>
              </w:rPr>
              <w:lastRenderedPageBreak/>
              <w:t>показателей результативности;</w:t>
            </w:r>
          </w:p>
          <w:p w14:paraId="7BEBB4B8" w14:textId="77777777" w:rsidR="00AD1F54" w:rsidRPr="00264D5D" w:rsidRDefault="00941227" w:rsidP="00941227">
            <w:pPr>
              <w:pStyle w:val="ASFKTablenorm"/>
              <w:widowControl w:val="0"/>
              <w:numPr>
                <w:ilvl w:val="0"/>
                <w:numId w:val="69"/>
              </w:numPr>
              <w:tabs>
                <w:tab w:val="left" w:pos="300"/>
              </w:tabs>
              <w:ind w:left="284" w:hanging="227"/>
              <w:contextualSpacing w:val="0"/>
              <w:rPr>
                <w:sz w:val="22"/>
                <w:szCs w:val="22"/>
              </w:rPr>
            </w:pPr>
            <w:r w:rsidRPr="00264D5D">
              <w:rPr>
                <w:sz w:val="22"/>
                <w:szCs w:val="22"/>
              </w:rPr>
              <w:t>«2» – отчет о расходах;</w:t>
            </w:r>
          </w:p>
          <w:p w14:paraId="1C80F759" w14:textId="77777777" w:rsidR="00AD1F54" w:rsidRPr="00264D5D" w:rsidRDefault="00B83EE9" w:rsidP="00941227">
            <w:pPr>
              <w:pStyle w:val="ASFKTablenorm"/>
              <w:widowControl w:val="0"/>
              <w:numPr>
                <w:ilvl w:val="0"/>
                <w:numId w:val="69"/>
              </w:numPr>
              <w:tabs>
                <w:tab w:val="left" w:pos="300"/>
              </w:tabs>
              <w:ind w:left="284" w:hanging="227"/>
              <w:contextualSpacing w:val="0"/>
              <w:rPr>
                <w:sz w:val="22"/>
                <w:szCs w:val="22"/>
              </w:rPr>
            </w:pPr>
            <w:r w:rsidRPr="00264D5D">
              <w:rPr>
                <w:sz w:val="22"/>
                <w:szCs w:val="22"/>
              </w:rPr>
              <w:t>«3» – иной отчет</w:t>
            </w:r>
          </w:p>
        </w:tc>
      </w:tr>
      <w:tr w:rsidR="00AD1F54" w:rsidRPr="00264D5D" w14:paraId="14BC9EB2"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348AE8BB" w14:textId="77777777" w:rsidR="00AD1F54" w:rsidRPr="00264D5D" w:rsidRDefault="00941227">
            <w:pPr>
              <w:pStyle w:val="EBTablenorm"/>
              <w:ind w:left="57" w:right="57"/>
              <w:contextualSpacing w:val="0"/>
              <w:jc w:val="left"/>
              <w:rPr>
                <w:sz w:val="22"/>
                <w:szCs w:val="22"/>
              </w:rPr>
            </w:pPr>
            <w:r w:rsidRPr="00264D5D">
              <w:rPr>
                <w:sz w:val="22"/>
                <w:szCs w:val="22"/>
              </w:rPr>
              <w:lastRenderedPageBreak/>
              <w:t>Периодичность отчета</w:t>
            </w:r>
          </w:p>
          <w:p w14:paraId="500F1989" w14:textId="77777777" w:rsidR="00AD1F54" w:rsidRPr="00264D5D" w:rsidRDefault="00AD1F54">
            <w:pPr>
              <w:pStyle w:val="EBTablenorm"/>
              <w:ind w:left="57" w:right="57"/>
              <w:contextualSpacing w:val="0"/>
              <w:jc w:val="left"/>
              <w:rPr>
                <w:sz w:val="22"/>
                <w:szCs w:val="22"/>
              </w:rPr>
            </w:pPr>
          </w:p>
        </w:tc>
        <w:tc>
          <w:tcPr>
            <w:tcW w:w="1701" w:type="dxa"/>
          </w:tcPr>
          <w:p w14:paraId="6E53812C"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ReportTime</w:t>
            </w:r>
          </w:p>
        </w:tc>
        <w:tc>
          <w:tcPr>
            <w:tcW w:w="567" w:type="dxa"/>
          </w:tcPr>
          <w:p w14:paraId="148F5E1D" w14:textId="77777777" w:rsidR="00AD1F54" w:rsidRPr="00264D5D" w:rsidRDefault="00941227">
            <w:pPr>
              <w:pStyle w:val="EBTablenorm"/>
              <w:ind w:left="57" w:right="57"/>
              <w:contextualSpacing w:val="0"/>
              <w:jc w:val="center"/>
              <w:rPr>
                <w:sz w:val="22"/>
                <w:szCs w:val="22"/>
                <w:lang w:val="en-US"/>
              </w:rPr>
            </w:pPr>
            <w:r w:rsidRPr="00264D5D">
              <w:rPr>
                <w:sz w:val="22"/>
                <w:szCs w:val="22"/>
                <w:lang w:val="en-US"/>
              </w:rPr>
              <w:t>П</w:t>
            </w:r>
          </w:p>
        </w:tc>
        <w:tc>
          <w:tcPr>
            <w:tcW w:w="1134" w:type="dxa"/>
          </w:tcPr>
          <w:p w14:paraId="5B1A2C04" w14:textId="77777777" w:rsidR="00AD1F54" w:rsidRPr="00264D5D" w:rsidRDefault="00941227">
            <w:pPr>
              <w:pStyle w:val="EBTablenorm"/>
              <w:ind w:left="57" w:right="57"/>
              <w:contextualSpacing w:val="0"/>
              <w:jc w:val="left"/>
              <w:rPr>
                <w:sz w:val="22"/>
                <w:szCs w:val="22"/>
              </w:rPr>
            </w:pPr>
            <w:r w:rsidRPr="00264D5D">
              <w:rPr>
                <w:sz w:val="22"/>
                <w:szCs w:val="22"/>
              </w:rPr>
              <w:t>Т(1)</w:t>
            </w:r>
          </w:p>
        </w:tc>
        <w:tc>
          <w:tcPr>
            <w:tcW w:w="567" w:type="dxa"/>
          </w:tcPr>
          <w:p w14:paraId="1617791C"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1D8DF0FB" w14:textId="77777777" w:rsidR="00AD1F54" w:rsidRPr="00264D5D" w:rsidRDefault="00941227">
            <w:pPr>
              <w:pStyle w:val="EBTablenorm"/>
              <w:ind w:left="57" w:right="57"/>
              <w:contextualSpacing w:val="0"/>
              <w:rPr>
                <w:sz w:val="22"/>
                <w:szCs w:val="22"/>
              </w:rPr>
            </w:pPr>
            <w:r w:rsidRPr="00264D5D">
              <w:rPr>
                <w:sz w:val="22"/>
                <w:szCs w:val="22"/>
              </w:rPr>
              <w:t>Периодичность отчета.</w:t>
            </w:r>
          </w:p>
          <w:p w14:paraId="69627D6F" w14:textId="77777777" w:rsidR="00AD1F54" w:rsidRPr="00264D5D" w:rsidRDefault="00941227">
            <w:pPr>
              <w:pStyle w:val="EBTablenorm"/>
              <w:ind w:left="57" w:right="57"/>
              <w:contextualSpacing w:val="0"/>
              <w:rPr>
                <w:sz w:val="22"/>
                <w:szCs w:val="22"/>
              </w:rPr>
            </w:pPr>
            <w:r w:rsidRPr="00264D5D">
              <w:rPr>
                <w:sz w:val="22"/>
                <w:szCs w:val="22"/>
              </w:rPr>
              <w:t>Допустимые значения:</w:t>
            </w:r>
          </w:p>
          <w:p w14:paraId="02730AA2" w14:textId="77777777" w:rsidR="00AD1F54" w:rsidRPr="00264D5D" w:rsidRDefault="00941227" w:rsidP="00941227">
            <w:pPr>
              <w:pStyle w:val="ASFKTablenorm"/>
              <w:widowControl w:val="0"/>
              <w:numPr>
                <w:ilvl w:val="0"/>
                <w:numId w:val="69"/>
              </w:numPr>
              <w:tabs>
                <w:tab w:val="left" w:pos="300"/>
              </w:tabs>
              <w:ind w:left="284" w:hanging="227"/>
              <w:contextualSpacing w:val="0"/>
              <w:rPr>
                <w:sz w:val="22"/>
                <w:szCs w:val="22"/>
              </w:rPr>
            </w:pPr>
            <w:r w:rsidRPr="00264D5D">
              <w:rPr>
                <w:sz w:val="22"/>
                <w:szCs w:val="22"/>
              </w:rPr>
              <w:t>«1» – ежемесячная,</w:t>
            </w:r>
          </w:p>
          <w:p w14:paraId="126B8D45" w14:textId="77777777" w:rsidR="00AD1F54" w:rsidRPr="00264D5D" w:rsidRDefault="00941227" w:rsidP="00941227">
            <w:pPr>
              <w:pStyle w:val="ASFKTablenorm"/>
              <w:widowControl w:val="0"/>
              <w:numPr>
                <w:ilvl w:val="0"/>
                <w:numId w:val="69"/>
              </w:numPr>
              <w:tabs>
                <w:tab w:val="left" w:pos="300"/>
              </w:tabs>
              <w:ind w:left="284" w:hanging="227"/>
              <w:contextualSpacing w:val="0"/>
              <w:rPr>
                <w:sz w:val="22"/>
                <w:szCs w:val="22"/>
              </w:rPr>
            </w:pPr>
            <w:r w:rsidRPr="00264D5D">
              <w:rPr>
                <w:sz w:val="22"/>
                <w:szCs w:val="22"/>
              </w:rPr>
              <w:t xml:space="preserve">«2» – ежеквартальная, </w:t>
            </w:r>
          </w:p>
          <w:p w14:paraId="43174E2F" w14:textId="77777777" w:rsidR="00AD1F54" w:rsidRPr="00264D5D" w:rsidRDefault="00941227" w:rsidP="00941227">
            <w:pPr>
              <w:pStyle w:val="ASFKTablenorm"/>
              <w:widowControl w:val="0"/>
              <w:numPr>
                <w:ilvl w:val="0"/>
                <w:numId w:val="69"/>
              </w:numPr>
              <w:tabs>
                <w:tab w:val="left" w:pos="300"/>
              </w:tabs>
              <w:ind w:left="284" w:hanging="227"/>
              <w:contextualSpacing w:val="0"/>
              <w:rPr>
                <w:sz w:val="22"/>
                <w:szCs w:val="22"/>
              </w:rPr>
            </w:pPr>
            <w:r w:rsidRPr="00264D5D">
              <w:rPr>
                <w:sz w:val="22"/>
                <w:szCs w:val="22"/>
              </w:rPr>
              <w:t>«3» – полугодовая,</w:t>
            </w:r>
          </w:p>
          <w:p w14:paraId="701F41CE" w14:textId="77777777" w:rsidR="00AD1F54" w:rsidRPr="00264D5D" w:rsidRDefault="00941227" w:rsidP="00941227">
            <w:pPr>
              <w:pStyle w:val="ASFKTablenorm"/>
              <w:widowControl w:val="0"/>
              <w:numPr>
                <w:ilvl w:val="0"/>
                <w:numId w:val="69"/>
              </w:numPr>
              <w:tabs>
                <w:tab w:val="left" w:pos="300"/>
              </w:tabs>
              <w:ind w:left="284" w:hanging="227"/>
              <w:contextualSpacing w:val="0"/>
              <w:rPr>
                <w:sz w:val="22"/>
                <w:szCs w:val="22"/>
              </w:rPr>
            </w:pPr>
            <w:r w:rsidRPr="00264D5D">
              <w:rPr>
                <w:sz w:val="22"/>
                <w:szCs w:val="22"/>
              </w:rPr>
              <w:t>«4» – годовая,</w:t>
            </w:r>
          </w:p>
          <w:p w14:paraId="7A2C68C7" w14:textId="77777777" w:rsidR="00AD1F54" w:rsidRPr="00264D5D" w:rsidRDefault="00B83EE9" w:rsidP="00941227">
            <w:pPr>
              <w:pStyle w:val="ASFKTablenorm"/>
              <w:widowControl w:val="0"/>
              <w:numPr>
                <w:ilvl w:val="0"/>
                <w:numId w:val="69"/>
              </w:numPr>
              <w:tabs>
                <w:tab w:val="left" w:pos="300"/>
              </w:tabs>
              <w:ind w:left="284" w:hanging="227"/>
              <w:contextualSpacing w:val="0"/>
              <w:rPr>
                <w:sz w:val="22"/>
                <w:szCs w:val="22"/>
              </w:rPr>
            </w:pPr>
            <w:r w:rsidRPr="00264D5D">
              <w:rPr>
                <w:sz w:val="22"/>
                <w:szCs w:val="22"/>
              </w:rPr>
              <w:t>«5» – иная</w:t>
            </w:r>
          </w:p>
        </w:tc>
      </w:tr>
      <w:tr w:rsidR="00AD1F54" w:rsidRPr="00264D5D" w14:paraId="518C07E5"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320C4A5" w14:textId="77777777" w:rsidR="00AD1F54" w:rsidRPr="00264D5D" w:rsidRDefault="00941227">
            <w:pPr>
              <w:pStyle w:val="EBTablenorm"/>
              <w:ind w:left="57" w:right="57"/>
              <w:contextualSpacing w:val="0"/>
              <w:jc w:val="left"/>
              <w:rPr>
                <w:sz w:val="22"/>
                <w:szCs w:val="22"/>
              </w:rPr>
            </w:pPr>
            <w:r w:rsidRPr="00264D5D">
              <w:rPr>
                <w:sz w:val="22"/>
                <w:szCs w:val="22"/>
              </w:rPr>
              <w:t>График предоставления отчета</w:t>
            </w:r>
          </w:p>
        </w:tc>
        <w:tc>
          <w:tcPr>
            <w:tcW w:w="1701" w:type="dxa"/>
          </w:tcPr>
          <w:p w14:paraId="3B24A756"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CalendarDate</w:t>
            </w:r>
          </w:p>
        </w:tc>
        <w:tc>
          <w:tcPr>
            <w:tcW w:w="567" w:type="dxa"/>
          </w:tcPr>
          <w:p w14:paraId="08346D54" w14:textId="77777777" w:rsidR="00AD1F54" w:rsidRPr="00264D5D" w:rsidRDefault="00941227">
            <w:pPr>
              <w:pStyle w:val="EBTablenorm"/>
              <w:ind w:left="57" w:right="57"/>
              <w:contextualSpacing w:val="0"/>
              <w:jc w:val="center"/>
              <w:rPr>
                <w:sz w:val="22"/>
                <w:szCs w:val="22"/>
                <w:lang w:val="en-US"/>
              </w:rPr>
            </w:pPr>
            <w:r w:rsidRPr="00264D5D">
              <w:rPr>
                <w:sz w:val="22"/>
                <w:szCs w:val="22"/>
                <w:lang w:val="en-US"/>
              </w:rPr>
              <w:t>С</w:t>
            </w:r>
          </w:p>
        </w:tc>
        <w:tc>
          <w:tcPr>
            <w:tcW w:w="1134" w:type="dxa"/>
          </w:tcPr>
          <w:p w14:paraId="5E52F63F"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tCalendarDate</w:t>
            </w:r>
          </w:p>
        </w:tc>
        <w:tc>
          <w:tcPr>
            <w:tcW w:w="567" w:type="dxa"/>
          </w:tcPr>
          <w:p w14:paraId="2FBDBAB6" w14:textId="77777777" w:rsidR="00AD1F54" w:rsidRPr="00264D5D" w:rsidRDefault="00941227">
            <w:pPr>
              <w:pStyle w:val="EBTablenorm"/>
              <w:ind w:left="57" w:right="57"/>
              <w:contextualSpacing w:val="0"/>
              <w:jc w:val="center"/>
              <w:rPr>
                <w:sz w:val="22"/>
                <w:szCs w:val="22"/>
              </w:rPr>
            </w:pPr>
            <w:r w:rsidRPr="00264D5D">
              <w:rPr>
                <w:sz w:val="22"/>
                <w:szCs w:val="22"/>
              </w:rPr>
              <w:t>ОМ</w:t>
            </w:r>
          </w:p>
        </w:tc>
        <w:tc>
          <w:tcPr>
            <w:tcW w:w="3963" w:type="dxa"/>
          </w:tcPr>
          <w:p w14:paraId="1CB09A35" w14:textId="77777777" w:rsidR="00AD1F54" w:rsidRPr="00264D5D" w:rsidRDefault="00941227">
            <w:pPr>
              <w:pStyle w:val="EBTablenorm"/>
              <w:ind w:left="57" w:right="57"/>
              <w:contextualSpacing w:val="0"/>
              <w:rPr>
                <w:sz w:val="22"/>
                <w:szCs w:val="22"/>
              </w:rPr>
            </w:pPr>
            <w:r w:rsidRPr="00264D5D">
              <w:rPr>
                <w:sz w:val="22"/>
                <w:szCs w:val="22"/>
              </w:rPr>
              <w:t>График предоставления отчета.</w:t>
            </w:r>
          </w:p>
          <w:p w14:paraId="3E189EAC" w14:textId="4B39D18B" w:rsidR="00AD1F54" w:rsidRPr="00264D5D" w:rsidRDefault="00941227">
            <w:pPr>
              <w:pStyle w:val="EBTablenorm"/>
              <w:ind w:left="57" w:right="57"/>
              <w:contextualSpacing w:val="0"/>
              <w:rPr>
                <w:sz w:val="22"/>
                <w:szCs w:val="22"/>
              </w:rPr>
            </w:pPr>
            <w:r w:rsidRPr="00264D5D">
              <w:rPr>
                <w:sz w:val="22"/>
                <w:szCs w:val="22"/>
              </w:rPr>
              <w:t xml:space="preserve">Состав элемента представлен в таблице </w:t>
            </w:r>
            <w:r w:rsidRPr="00264D5D">
              <w:rPr>
                <w:rFonts w:eastAsia="Calibri"/>
                <w:b/>
                <w:sz w:val="22"/>
                <w:szCs w:val="22"/>
              </w:rPr>
              <w:fldChar w:fldCharType="begin"/>
            </w:r>
            <w:r w:rsidRPr="00264D5D">
              <w:rPr>
                <w:rFonts w:eastAsia="Calibri"/>
                <w:b/>
                <w:sz w:val="22"/>
                <w:szCs w:val="22"/>
              </w:rPr>
              <w:instrText xml:space="preserve"> REF _Ref531280823 \h  \* MERGEFORMAT </w:instrText>
            </w:r>
            <w:r w:rsidRPr="00264D5D">
              <w:rPr>
                <w:rFonts w:eastAsia="Calibri"/>
                <w:b/>
                <w:sz w:val="22"/>
                <w:szCs w:val="22"/>
              </w:rPr>
            </w:r>
            <w:r w:rsidRPr="00264D5D">
              <w:rPr>
                <w:rFonts w:eastAsia="Calibri"/>
                <w:b/>
                <w:sz w:val="22"/>
                <w:szCs w:val="22"/>
              </w:rPr>
              <w:fldChar w:fldCharType="separate"/>
            </w:r>
            <w:r w:rsidR="008D797C" w:rsidRPr="008D797C">
              <w:rPr>
                <w:rFonts w:eastAsia="Calibri"/>
                <w:b/>
                <w:sz w:val="22"/>
                <w:szCs w:val="22"/>
              </w:rPr>
              <w:t>196</w:t>
            </w:r>
            <w:r w:rsidRPr="00264D5D">
              <w:rPr>
                <w:rFonts w:eastAsia="Calibri"/>
                <w:b/>
                <w:sz w:val="22"/>
                <w:szCs w:val="22"/>
              </w:rPr>
              <w:fldChar w:fldCharType="end"/>
            </w:r>
          </w:p>
        </w:tc>
      </w:tr>
    </w:tbl>
    <w:p w14:paraId="0417CD1D" w14:textId="77777777" w:rsidR="00AD1F54" w:rsidRPr="00264D5D" w:rsidRDefault="00941227">
      <w:pPr>
        <w:pStyle w:val="31"/>
      </w:pPr>
      <w:bookmarkStart w:id="1914" w:name="_Toc219309658"/>
      <w:r w:rsidRPr="00264D5D">
        <w:t>Описание комплексного типа «tCalendarDate»</w:t>
      </w:r>
      <w:bookmarkEnd w:id="1914"/>
    </w:p>
    <w:p w14:paraId="20247ABF" w14:textId="77777777" w:rsidR="00AD1F54" w:rsidRPr="00264D5D" w:rsidRDefault="00941227">
      <w:pPr>
        <w:pStyle w:val="EBNormal0"/>
        <w:spacing w:before="60" w:after="120"/>
        <w:ind w:left="0" w:right="0"/>
        <w:contextualSpacing w:val="0"/>
        <w:rPr>
          <w:rFonts w:ascii="Times New Roman" w:hAnsi="Times New Roman"/>
          <w:sz w:val="24"/>
        </w:rPr>
      </w:pPr>
      <w:r w:rsidRPr="00264D5D">
        <w:rPr>
          <w:rFonts w:ascii="Times New Roman" w:hAnsi="Times New Roman"/>
          <w:sz w:val="24"/>
        </w:rPr>
        <w:t>Описание комплексного типа «tCalendarDate» блока «График предоставления отчета».</w:t>
      </w:r>
    </w:p>
    <w:p w14:paraId="3285C77B" w14:textId="4166B517"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1915" w:name="_Ref531280823"/>
      <w:bookmarkStart w:id="1916" w:name="_Toc30503375"/>
      <w:bookmarkStart w:id="1917" w:name="_Toc30507973"/>
      <w:bookmarkStart w:id="1918" w:name="_Toc219309226"/>
      <w:r w:rsidR="008D797C">
        <w:rPr>
          <w:rFonts w:eastAsia="Calibri"/>
          <w:noProof/>
          <w:szCs w:val="24"/>
        </w:rPr>
        <w:t>196</w:t>
      </w:r>
      <w:bookmarkEnd w:id="1915"/>
      <w:r w:rsidRPr="00264D5D">
        <w:rPr>
          <w:rFonts w:eastAsia="Calibri"/>
          <w:szCs w:val="24"/>
        </w:rPr>
        <w:fldChar w:fldCharType="end"/>
      </w:r>
      <w:r w:rsidRPr="00264D5D">
        <w:rPr>
          <w:rFonts w:eastAsia="Calibri"/>
          <w:szCs w:val="24"/>
        </w:rPr>
        <w:t xml:space="preserve"> – Описание комплексного типа «</w:t>
      </w:r>
      <w:r w:rsidRPr="00264D5D">
        <w:t>tCalendarDate</w:t>
      </w:r>
      <w:r w:rsidRPr="00264D5D">
        <w:rPr>
          <w:rFonts w:eastAsia="Calibri"/>
          <w:szCs w:val="24"/>
        </w:rPr>
        <w:t>»</w:t>
      </w:r>
      <w:bookmarkEnd w:id="1916"/>
      <w:bookmarkEnd w:id="1917"/>
      <w:bookmarkEnd w:id="1918"/>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4B331610"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51428835" w14:textId="77777777" w:rsidR="00AD1F54" w:rsidRPr="00264D5D" w:rsidRDefault="00941227">
            <w:pPr>
              <w:pStyle w:val="EBTableHead"/>
              <w:ind w:left="57" w:right="57"/>
              <w:contextualSpacing w:val="0"/>
              <w:rPr>
                <w:sz w:val="22"/>
                <w:szCs w:val="22"/>
              </w:rPr>
            </w:pPr>
            <w:r w:rsidRPr="00264D5D">
              <w:rPr>
                <w:bCs w:val="0"/>
                <w:sz w:val="22"/>
                <w:szCs w:val="22"/>
              </w:rPr>
              <w:t>Наименование элемента</w:t>
            </w:r>
          </w:p>
        </w:tc>
        <w:tc>
          <w:tcPr>
            <w:tcW w:w="1701" w:type="dxa"/>
          </w:tcPr>
          <w:p w14:paraId="007040E2" w14:textId="77777777" w:rsidR="00AD1F54" w:rsidRPr="00264D5D" w:rsidRDefault="00941227">
            <w:pPr>
              <w:pStyle w:val="EBTableHead"/>
              <w:ind w:left="57" w:right="57"/>
              <w:contextualSpacing w:val="0"/>
              <w:rPr>
                <w:sz w:val="22"/>
                <w:szCs w:val="22"/>
              </w:rPr>
            </w:pPr>
            <w:r w:rsidRPr="00264D5D">
              <w:rPr>
                <w:bCs w:val="0"/>
                <w:sz w:val="22"/>
                <w:szCs w:val="22"/>
              </w:rPr>
              <w:t>Сокращенное наименование (код) элемента</w:t>
            </w:r>
          </w:p>
        </w:tc>
        <w:tc>
          <w:tcPr>
            <w:tcW w:w="567" w:type="dxa"/>
          </w:tcPr>
          <w:p w14:paraId="6D75D998" w14:textId="77777777" w:rsidR="00AD1F54" w:rsidRPr="00264D5D" w:rsidRDefault="00941227">
            <w:pPr>
              <w:pStyle w:val="EBTableHead"/>
              <w:ind w:left="57" w:right="57"/>
              <w:contextualSpacing w:val="0"/>
              <w:rPr>
                <w:sz w:val="22"/>
                <w:szCs w:val="22"/>
              </w:rPr>
            </w:pPr>
            <w:r w:rsidRPr="00264D5D">
              <w:rPr>
                <w:bCs w:val="0"/>
                <w:sz w:val="22"/>
                <w:szCs w:val="22"/>
              </w:rPr>
              <w:t>Тип</w:t>
            </w:r>
          </w:p>
        </w:tc>
        <w:tc>
          <w:tcPr>
            <w:tcW w:w="1134" w:type="dxa"/>
          </w:tcPr>
          <w:p w14:paraId="5D297E99" w14:textId="77777777" w:rsidR="00AD1F54" w:rsidRPr="00264D5D" w:rsidRDefault="00941227">
            <w:pPr>
              <w:pStyle w:val="EBTableHead"/>
              <w:ind w:left="57" w:right="57"/>
              <w:contextualSpacing w:val="0"/>
              <w:rPr>
                <w:sz w:val="22"/>
                <w:szCs w:val="22"/>
              </w:rPr>
            </w:pPr>
            <w:r w:rsidRPr="00264D5D">
              <w:rPr>
                <w:bCs w:val="0"/>
                <w:sz w:val="22"/>
                <w:szCs w:val="22"/>
              </w:rPr>
              <w:t>Формат элемента</w:t>
            </w:r>
          </w:p>
        </w:tc>
        <w:tc>
          <w:tcPr>
            <w:tcW w:w="567" w:type="dxa"/>
          </w:tcPr>
          <w:p w14:paraId="1BEAABFF" w14:textId="77777777" w:rsidR="00AD1F54" w:rsidRPr="00264D5D" w:rsidRDefault="00941227">
            <w:pPr>
              <w:spacing w:before="60" w:after="60"/>
              <w:ind w:left="57" w:right="57"/>
              <w:jc w:val="center"/>
              <w:rPr>
                <w:b/>
                <w:bCs/>
                <w:sz w:val="22"/>
                <w:szCs w:val="22"/>
              </w:rPr>
            </w:pPr>
            <w:r w:rsidRPr="00264D5D">
              <w:rPr>
                <w:b/>
                <w:bCs/>
                <w:sz w:val="22"/>
                <w:szCs w:val="22"/>
              </w:rPr>
              <w:t>Обязательность</w:t>
            </w:r>
          </w:p>
        </w:tc>
        <w:tc>
          <w:tcPr>
            <w:tcW w:w="3963" w:type="dxa"/>
          </w:tcPr>
          <w:p w14:paraId="14D50525" w14:textId="77777777" w:rsidR="00AD1F54" w:rsidRPr="00264D5D" w:rsidRDefault="00941227">
            <w:pPr>
              <w:pStyle w:val="EBTableHead"/>
              <w:ind w:left="57" w:right="57"/>
              <w:contextualSpacing w:val="0"/>
              <w:rPr>
                <w:sz w:val="22"/>
                <w:szCs w:val="22"/>
              </w:rPr>
            </w:pPr>
            <w:r w:rsidRPr="00264D5D">
              <w:rPr>
                <w:bCs w:val="0"/>
                <w:sz w:val="22"/>
                <w:szCs w:val="22"/>
              </w:rPr>
              <w:t>Дополнительная информация</w:t>
            </w:r>
          </w:p>
        </w:tc>
      </w:tr>
      <w:tr w:rsidR="00AD1F54" w:rsidRPr="00264D5D" w14:paraId="5F1392A0"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1E23171" w14:textId="77777777" w:rsidR="00AD1F54" w:rsidRPr="00264D5D" w:rsidRDefault="00941227">
            <w:pPr>
              <w:pStyle w:val="EBTablenorm"/>
              <w:ind w:left="57" w:right="57"/>
              <w:contextualSpacing w:val="0"/>
              <w:jc w:val="left"/>
              <w:rPr>
                <w:sz w:val="22"/>
                <w:szCs w:val="22"/>
              </w:rPr>
            </w:pPr>
            <w:r w:rsidRPr="00264D5D">
              <w:rPr>
                <w:sz w:val="22"/>
                <w:szCs w:val="22"/>
              </w:rPr>
              <w:t>Дата, на которую сформирован отчет</w:t>
            </w:r>
          </w:p>
        </w:tc>
        <w:tc>
          <w:tcPr>
            <w:tcW w:w="1701" w:type="dxa"/>
          </w:tcPr>
          <w:p w14:paraId="5D8F766B" w14:textId="77777777" w:rsidR="00AD1F54" w:rsidRPr="00264D5D" w:rsidRDefault="00941227">
            <w:pPr>
              <w:pStyle w:val="EBTablenorm"/>
              <w:ind w:left="57" w:right="57"/>
              <w:contextualSpacing w:val="0"/>
              <w:jc w:val="left"/>
              <w:rPr>
                <w:sz w:val="22"/>
                <w:szCs w:val="22"/>
              </w:rPr>
            </w:pPr>
            <w:r w:rsidRPr="00264D5D">
              <w:rPr>
                <w:sz w:val="22"/>
                <w:szCs w:val="22"/>
              </w:rPr>
              <w:t>ReportDate</w:t>
            </w:r>
          </w:p>
        </w:tc>
        <w:tc>
          <w:tcPr>
            <w:tcW w:w="567" w:type="dxa"/>
          </w:tcPr>
          <w:p w14:paraId="63BED3D1"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2AD0EDD1" w14:textId="77777777" w:rsidR="00AD1F54" w:rsidRPr="00264D5D" w:rsidRDefault="00941227">
            <w:pPr>
              <w:pStyle w:val="EBTablenorm"/>
              <w:ind w:left="57" w:right="57"/>
              <w:contextualSpacing w:val="0"/>
              <w:jc w:val="left"/>
              <w:rPr>
                <w:sz w:val="22"/>
                <w:szCs w:val="22"/>
              </w:rPr>
            </w:pPr>
            <w:r w:rsidRPr="00264D5D">
              <w:rPr>
                <w:sz w:val="22"/>
                <w:szCs w:val="22"/>
              </w:rPr>
              <w:t>Date</w:t>
            </w:r>
          </w:p>
        </w:tc>
        <w:tc>
          <w:tcPr>
            <w:tcW w:w="567" w:type="dxa"/>
          </w:tcPr>
          <w:p w14:paraId="2C402C31"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34EC0F4B" w14:textId="77777777" w:rsidR="00AD1F54" w:rsidRPr="00264D5D" w:rsidRDefault="00941227">
            <w:pPr>
              <w:pStyle w:val="EBTablenorm"/>
              <w:ind w:left="57" w:right="57"/>
              <w:contextualSpacing w:val="0"/>
              <w:rPr>
                <w:sz w:val="22"/>
                <w:szCs w:val="22"/>
              </w:rPr>
            </w:pPr>
            <w:r w:rsidRPr="00264D5D">
              <w:rPr>
                <w:sz w:val="22"/>
                <w:szCs w:val="22"/>
              </w:rPr>
              <w:t>Дата, на которую сф</w:t>
            </w:r>
            <w:r w:rsidR="00B83EE9" w:rsidRPr="00264D5D">
              <w:rPr>
                <w:sz w:val="22"/>
                <w:szCs w:val="22"/>
              </w:rPr>
              <w:t>ормирован отчет (отчетная дата)</w:t>
            </w:r>
          </w:p>
        </w:tc>
      </w:tr>
      <w:tr w:rsidR="00AD1F54" w:rsidRPr="00264D5D" w14:paraId="32C0AC98"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0CECF0ED" w14:textId="77777777" w:rsidR="00AD1F54" w:rsidRPr="00264D5D" w:rsidRDefault="00941227">
            <w:pPr>
              <w:pStyle w:val="EBTablenorm"/>
              <w:ind w:left="57" w:right="57"/>
              <w:contextualSpacing w:val="0"/>
              <w:jc w:val="left"/>
              <w:rPr>
                <w:sz w:val="22"/>
                <w:szCs w:val="22"/>
              </w:rPr>
            </w:pPr>
            <w:r w:rsidRPr="00264D5D">
              <w:rPr>
                <w:sz w:val="22"/>
                <w:szCs w:val="22"/>
              </w:rPr>
              <w:t>Плановая дата предоставления отчета</w:t>
            </w:r>
          </w:p>
        </w:tc>
        <w:tc>
          <w:tcPr>
            <w:tcW w:w="1701" w:type="dxa"/>
          </w:tcPr>
          <w:p w14:paraId="78E35DAE" w14:textId="77777777" w:rsidR="00AD1F54" w:rsidRPr="00264D5D" w:rsidRDefault="00941227">
            <w:pPr>
              <w:pStyle w:val="EBTablenorm"/>
              <w:ind w:left="57" w:right="57"/>
              <w:contextualSpacing w:val="0"/>
              <w:jc w:val="left"/>
              <w:rPr>
                <w:sz w:val="22"/>
                <w:szCs w:val="22"/>
              </w:rPr>
            </w:pPr>
            <w:r w:rsidRPr="00264D5D">
              <w:rPr>
                <w:sz w:val="22"/>
                <w:szCs w:val="22"/>
              </w:rPr>
              <w:t>PlanReportProvide</w:t>
            </w:r>
          </w:p>
        </w:tc>
        <w:tc>
          <w:tcPr>
            <w:tcW w:w="567" w:type="dxa"/>
          </w:tcPr>
          <w:p w14:paraId="458DD525"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6D36CCDF" w14:textId="77777777" w:rsidR="00AD1F54" w:rsidRPr="00264D5D" w:rsidRDefault="00941227">
            <w:pPr>
              <w:pStyle w:val="EBTablenorm"/>
              <w:ind w:left="57" w:right="57"/>
              <w:contextualSpacing w:val="0"/>
              <w:jc w:val="left"/>
              <w:rPr>
                <w:sz w:val="22"/>
                <w:szCs w:val="22"/>
              </w:rPr>
            </w:pPr>
            <w:r w:rsidRPr="00264D5D">
              <w:rPr>
                <w:sz w:val="22"/>
                <w:szCs w:val="22"/>
              </w:rPr>
              <w:t>Date</w:t>
            </w:r>
          </w:p>
        </w:tc>
        <w:tc>
          <w:tcPr>
            <w:tcW w:w="567" w:type="dxa"/>
          </w:tcPr>
          <w:p w14:paraId="6A5E7E72"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4625C9EF" w14:textId="77777777" w:rsidR="00AD1F54" w:rsidRPr="00264D5D" w:rsidRDefault="00941227">
            <w:pPr>
              <w:pStyle w:val="EBTablenorm"/>
              <w:ind w:left="57" w:right="57"/>
              <w:contextualSpacing w:val="0"/>
              <w:rPr>
                <w:sz w:val="22"/>
                <w:szCs w:val="22"/>
              </w:rPr>
            </w:pPr>
            <w:r w:rsidRPr="00264D5D">
              <w:rPr>
                <w:sz w:val="22"/>
                <w:szCs w:val="22"/>
              </w:rPr>
              <w:t>Плановая дата предоставления получателем средств отчета ГРБС, т.е. дата, не позже которой получатель</w:t>
            </w:r>
            <w:r w:rsidR="00B83EE9" w:rsidRPr="00264D5D">
              <w:rPr>
                <w:sz w:val="22"/>
                <w:szCs w:val="22"/>
              </w:rPr>
              <w:t xml:space="preserve"> должен предоставить отчет ГРБС</w:t>
            </w:r>
          </w:p>
        </w:tc>
      </w:tr>
    </w:tbl>
    <w:p w14:paraId="24AA03BC" w14:textId="77777777" w:rsidR="00AD1F54" w:rsidRPr="00264D5D" w:rsidRDefault="00941227">
      <w:pPr>
        <w:pStyle w:val="31"/>
      </w:pPr>
      <w:bookmarkStart w:id="1919" w:name="_Toc219309659"/>
      <w:r w:rsidRPr="00264D5D">
        <w:t>Описание комплексного типа «tRequisites»</w:t>
      </w:r>
      <w:bookmarkEnd w:id="1907"/>
      <w:bookmarkEnd w:id="1908"/>
      <w:bookmarkEnd w:id="1919"/>
    </w:p>
    <w:p w14:paraId="295E05D6" w14:textId="77777777" w:rsidR="00AD1F54" w:rsidRPr="00264D5D" w:rsidRDefault="00941227">
      <w:pPr>
        <w:pStyle w:val="EBNormal0"/>
        <w:spacing w:before="60" w:after="120"/>
        <w:ind w:left="0" w:right="0"/>
        <w:contextualSpacing w:val="0"/>
        <w:rPr>
          <w:rFonts w:ascii="Times New Roman" w:hAnsi="Times New Roman"/>
          <w:sz w:val="24"/>
        </w:rPr>
      </w:pPr>
      <w:r w:rsidRPr="00264D5D">
        <w:rPr>
          <w:rFonts w:ascii="Times New Roman" w:hAnsi="Times New Roman"/>
          <w:sz w:val="24"/>
        </w:rPr>
        <w:t>Описание комплексного типа «tRequisites» блоков «Наименование ГРБС/иного юридического лица» и «Наименование получателя субсидии, получателя средств».</w:t>
      </w:r>
    </w:p>
    <w:p w14:paraId="1712A19C" w14:textId="56732927" w:rsidR="00AD1F54" w:rsidRPr="00264D5D" w:rsidRDefault="00941227">
      <w:pPr>
        <w:pStyle w:val="GOSTNameTable"/>
        <w:numPr>
          <w:ilvl w:val="0"/>
          <w:numId w:val="2"/>
        </w:numPr>
        <w:ind w:left="425" w:hanging="357"/>
        <w:rPr>
          <w:rFonts w:eastAsia="Calibri"/>
          <w:szCs w:val="24"/>
        </w:rPr>
      </w:pPr>
      <w:r w:rsidRPr="00264D5D">
        <w:rPr>
          <w:rFonts w:eastAsia="Calibri"/>
          <w:szCs w:val="24"/>
        </w:rPr>
        <w:lastRenderedPageBreak/>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1920" w:name="_Ref494363228"/>
      <w:bookmarkStart w:id="1921" w:name="_Toc30503376"/>
      <w:bookmarkStart w:id="1922" w:name="_Toc30507974"/>
      <w:bookmarkStart w:id="1923" w:name="_Toc219309227"/>
      <w:r w:rsidR="008D797C">
        <w:rPr>
          <w:rFonts w:eastAsia="Calibri"/>
          <w:noProof/>
          <w:szCs w:val="24"/>
        </w:rPr>
        <w:t>197</w:t>
      </w:r>
      <w:bookmarkEnd w:id="1920"/>
      <w:r w:rsidRPr="00264D5D">
        <w:rPr>
          <w:rFonts w:eastAsia="Calibri"/>
          <w:szCs w:val="24"/>
        </w:rPr>
        <w:fldChar w:fldCharType="end"/>
      </w:r>
      <w:r w:rsidRPr="00264D5D">
        <w:rPr>
          <w:rFonts w:eastAsia="Calibri"/>
          <w:szCs w:val="24"/>
        </w:rPr>
        <w:t xml:space="preserve"> – Описание комплексного типа «tRequisites»</w:t>
      </w:r>
      <w:bookmarkEnd w:id="1921"/>
      <w:bookmarkEnd w:id="1922"/>
      <w:bookmarkEnd w:id="1923"/>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20207450"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40CEA05C" w14:textId="77777777" w:rsidR="00AD1F54" w:rsidRPr="00264D5D" w:rsidRDefault="00941227">
            <w:pPr>
              <w:pStyle w:val="EBTableHead"/>
              <w:ind w:left="57" w:right="57"/>
              <w:contextualSpacing w:val="0"/>
              <w:rPr>
                <w:sz w:val="22"/>
                <w:szCs w:val="22"/>
              </w:rPr>
            </w:pPr>
            <w:r w:rsidRPr="00264D5D">
              <w:rPr>
                <w:bCs w:val="0"/>
                <w:sz w:val="22"/>
                <w:szCs w:val="22"/>
              </w:rPr>
              <w:t>Наименование элемента</w:t>
            </w:r>
          </w:p>
        </w:tc>
        <w:tc>
          <w:tcPr>
            <w:tcW w:w="1701" w:type="dxa"/>
          </w:tcPr>
          <w:p w14:paraId="51EAB639" w14:textId="77777777" w:rsidR="00AD1F54" w:rsidRPr="00264D5D" w:rsidRDefault="00941227">
            <w:pPr>
              <w:pStyle w:val="EBTableHead"/>
              <w:ind w:left="57" w:right="57"/>
              <w:contextualSpacing w:val="0"/>
              <w:rPr>
                <w:sz w:val="22"/>
                <w:szCs w:val="22"/>
              </w:rPr>
            </w:pPr>
            <w:r w:rsidRPr="00264D5D">
              <w:rPr>
                <w:bCs w:val="0"/>
                <w:sz w:val="22"/>
                <w:szCs w:val="22"/>
              </w:rPr>
              <w:t>Сокращенное наименование (код) элемента</w:t>
            </w:r>
          </w:p>
        </w:tc>
        <w:tc>
          <w:tcPr>
            <w:tcW w:w="567" w:type="dxa"/>
          </w:tcPr>
          <w:p w14:paraId="345D8984" w14:textId="77777777" w:rsidR="00AD1F54" w:rsidRPr="00264D5D" w:rsidRDefault="00941227">
            <w:pPr>
              <w:pStyle w:val="EBTableHead"/>
              <w:ind w:left="57" w:right="57"/>
              <w:contextualSpacing w:val="0"/>
              <w:rPr>
                <w:sz w:val="22"/>
                <w:szCs w:val="22"/>
              </w:rPr>
            </w:pPr>
            <w:r w:rsidRPr="00264D5D">
              <w:rPr>
                <w:bCs w:val="0"/>
                <w:sz w:val="22"/>
                <w:szCs w:val="22"/>
              </w:rPr>
              <w:t>Тип</w:t>
            </w:r>
          </w:p>
        </w:tc>
        <w:tc>
          <w:tcPr>
            <w:tcW w:w="1134" w:type="dxa"/>
          </w:tcPr>
          <w:p w14:paraId="03715A82" w14:textId="77777777" w:rsidR="00AD1F54" w:rsidRPr="00264D5D" w:rsidRDefault="00941227">
            <w:pPr>
              <w:pStyle w:val="EBTableHead"/>
              <w:ind w:left="57" w:right="57"/>
              <w:contextualSpacing w:val="0"/>
              <w:rPr>
                <w:sz w:val="22"/>
                <w:szCs w:val="22"/>
              </w:rPr>
            </w:pPr>
            <w:r w:rsidRPr="00264D5D">
              <w:rPr>
                <w:bCs w:val="0"/>
                <w:sz w:val="22"/>
                <w:szCs w:val="22"/>
              </w:rPr>
              <w:t>Формат элемента</w:t>
            </w:r>
          </w:p>
        </w:tc>
        <w:tc>
          <w:tcPr>
            <w:tcW w:w="567" w:type="dxa"/>
          </w:tcPr>
          <w:p w14:paraId="2EA9E0A1" w14:textId="77777777" w:rsidR="00AD1F54" w:rsidRPr="00264D5D" w:rsidRDefault="00941227">
            <w:pPr>
              <w:spacing w:before="60" w:after="60"/>
              <w:ind w:left="57" w:right="57"/>
              <w:jc w:val="center"/>
              <w:rPr>
                <w:b/>
                <w:bCs/>
                <w:sz w:val="22"/>
                <w:szCs w:val="22"/>
              </w:rPr>
            </w:pPr>
            <w:r w:rsidRPr="00264D5D">
              <w:rPr>
                <w:b/>
                <w:bCs/>
                <w:sz w:val="22"/>
                <w:szCs w:val="22"/>
              </w:rPr>
              <w:t>Обязательность</w:t>
            </w:r>
          </w:p>
        </w:tc>
        <w:tc>
          <w:tcPr>
            <w:tcW w:w="3963" w:type="dxa"/>
          </w:tcPr>
          <w:p w14:paraId="461B4B31" w14:textId="77777777" w:rsidR="00AD1F54" w:rsidRPr="00264D5D" w:rsidRDefault="00941227">
            <w:pPr>
              <w:pStyle w:val="EBTableHead"/>
              <w:ind w:left="57" w:right="57"/>
              <w:contextualSpacing w:val="0"/>
              <w:rPr>
                <w:sz w:val="22"/>
                <w:szCs w:val="22"/>
              </w:rPr>
            </w:pPr>
            <w:r w:rsidRPr="00264D5D">
              <w:rPr>
                <w:bCs w:val="0"/>
                <w:sz w:val="22"/>
                <w:szCs w:val="22"/>
              </w:rPr>
              <w:t>Дополнительная информация</w:t>
            </w:r>
          </w:p>
        </w:tc>
      </w:tr>
      <w:tr w:rsidR="00AD1F54" w:rsidRPr="00264D5D" w14:paraId="458A7217"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81AEEEA" w14:textId="77777777" w:rsidR="00AD1F54" w:rsidRPr="00264D5D" w:rsidRDefault="00941227">
            <w:pPr>
              <w:pStyle w:val="EBTablenorm"/>
              <w:ind w:left="57" w:right="57"/>
              <w:contextualSpacing w:val="0"/>
              <w:jc w:val="left"/>
              <w:rPr>
                <w:sz w:val="22"/>
                <w:szCs w:val="22"/>
              </w:rPr>
            </w:pPr>
            <w:r w:rsidRPr="00264D5D">
              <w:rPr>
                <w:sz w:val="22"/>
                <w:szCs w:val="22"/>
              </w:rPr>
              <w:t>Код ГРБС</w:t>
            </w:r>
          </w:p>
        </w:tc>
        <w:tc>
          <w:tcPr>
            <w:tcW w:w="1701" w:type="dxa"/>
          </w:tcPr>
          <w:p w14:paraId="5C4C5648" w14:textId="77777777" w:rsidR="00AD1F54" w:rsidRPr="00264D5D" w:rsidRDefault="00941227">
            <w:pPr>
              <w:pStyle w:val="EBTablenorm"/>
              <w:ind w:left="57" w:right="57"/>
              <w:contextualSpacing w:val="0"/>
              <w:jc w:val="left"/>
              <w:rPr>
                <w:sz w:val="22"/>
                <w:szCs w:val="22"/>
              </w:rPr>
            </w:pPr>
            <w:r w:rsidRPr="00264D5D">
              <w:rPr>
                <w:sz w:val="22"/>
                <w:szCs w:val="22"/>
              </w:rPr>
              <w:t>GRBSCode</w:t>
            </w:r>
          </w:p>
        </w:tc>
        <w:tc>
          <w:tcPr>
            <w:tcW w:w="567" w:type="dxa"/>
          </w:tcPr>
          <w:p w14:paraId="7796E8BC"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736B79AB" w14:textId="77777777" w:rsidR="00AD1F54" w:rsidRPr="00264D5D" w:rsidRDefault="00941227">
            <w:pPr>
              <w:pStyle w:val="EBTablenorm"/>
              <w:ind w:left="57" w:right="57"/>
              <w:contextualSpacing w:val="0"/>
              <w:jc w:val="left"/>
              <w:rPr>
                <w:sz w:val="22"/>
                <w:szCs w:val="22"/>
              </w:rPr>
            </w:pPr>
            <w:r w:rsidRPr="00264D5D">
              <w:rPr>
                <w:sz w:val="22"/>
                <w:szCs w:val="22"/>
              </w:rPr>
              <w:t>Т(3)</w:t>
            </w:r>
          </w:p>
        </w:tc>
        <w:tc>
          <w:tcPr>
            <w:tcW w:w="567" w:type="dxa"/>
          </w:tcPr>
          <w:p w14:paraId="7D277B3F" w14:textId="77777777" w:rsidR="00AD1F54" w:rsidRPr="00264D5D" w:rsidRDefault="00941227">
            <w:pPr>
              <w:pStyle w:val="EBTablenorm"/>
              <w:ind w:left="57" w:right="57"/>
              <w:contextualSpacing w:val="0"/>
              <w:jc w:val="center"/>
              <w:rPr>
                <w:sz w:val="22"/>
                <w:szCs w:val="22"/>
              </w:rPr>
            </w:pPr>
            <w:r w:rsidRPr="00264D5D">
              <w:rPr>
                <w:sz w:val="22"/>
                <w:szCs w:val="22"/>
              </w:rPr>
              <w:t>Н</w:t>
            </w:r>
          </w:p>
        </w:tc>
        <w:tc>
          <w:tcPr>
            <w:tcW w:w="3963" w:type="dxa"/>
          </w:tcPr>
          <w:p w14:paraId="6EB00FE7" w14:textId="77777777" w:rsidR="00AD1F54" w:rsidRPr="00264D5D" w:rsidRDefault="00941227">
            <w:pPr>
              <w:pStyle w:val="EBTablenorm"/>
              <w:ind w:left="57" w:right="57"/>
              <w:contextualSpacing w:val="0"/>
              <w:rPr>
                <w:sz w:val="22"/>
                <w:szCs w:val="22"/>
              </w:rPr>
            </w:pPr>
            <w:r w:rsidRPr="00264D5D">
              <w:rPr>
                <w:sz w:val="22"/>
                <w:szCs w:val="22"/>
              </w:rPr>
              <w:t>Код ГРБС (в соответствии с п. 413 Порядка).</w:t>
            </w:r>
          </w:p>
          <w:p w14:paraId="735F0009" w14:textId="77777777" w:rsidR="00AD1F54" w:rsidRPr="00264D5D" w:rsidRDefault="00941227">
            <w:pPr>
              <w:pStyle w:val="EBTablenorm"/>
              <w:ind w:left="57" w:right="57"/>
              <w:contextualSpacing w:val="0"/>
              <w:rPr>
                <w:sz w:val="22"/>
                <w:szCs w:val="22"/>
              </w:rPr>
            </w:pPr>
            <w:r w:rsidRPr="00264D5D">
              <w:rPr>
                <w:sz w:val="22"/>
                <w:szCs w:val="22"/>
              </w:rPr>
              <w:t>Обязательно для заполнения для блока «Наименование ГРБС/иного юридического лица».</w:t>
            </w:r>
          </w:p>
          <w:p w14:paraId="1E91417F" w14:textId="77777777" w:rsidR="00AD1F54" w:rsidRPr="00264D5D" w:rsidRDefault="00941227">
            <w:pPr>
              <w:pStyle w:val="EBTablenorm"/>
              <w:ind w:left="57" w:right="57"/>
              <w:contextualSpacing w:val="0"/>
              <w:rPr>
                <w:sz w:val="22"/>
                <w:szCs w:val="22"/>
              </w:rPr>
            </w:pPr>
            <w:r w:rsidRPr="00264D5D">
              <w:rPr>
                <w:sz w:val="22"/>
                <w:szCs w:val="22"/>
              </w:rPr>
              <w:t>Для блока «Наименование получателя субсидии, пол</w:t>
            </w:r>
            <w:r w:rsidR="00B83EE9" w:rsidRPr="00264D5D">
              <w:rPr>
                <w:sz w:val="22"/>
                <w:szCs w:val="22"/>
              </w:rPr>
              <w:t>учателя средств» не заполняется</w:t>
            </w:r>
          </w:p>
        </w:tc>
      </w:tr>
      <w:tr w:rsidR="00AD1F54" w:rsidRPr="00264D5D" w14:paraId="1F1A3314"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6B47A4BC" w14:textId="77777777" w:rsidR="00AD1F54" w:rsidRPr="00264D5D" w:rsidRDefault="00941227">
            <w:pPr>
              <w:pStyle w:val="EBTablenorm"/>
              <w:ind w:left="57" w:right="57"/>
              <w:contextualSpacing w:val="0"/>
              <w:jc w:val="left"/>
              <w:rPr>
                <w:sz w:val="22"/>
                <w:szCs w:val="22"/>
              </w:rPr>
            </w:pPr>
            <w:r w:rsidRPr="00264D5D">
              <w:rPr>
                <w:sz w:val="22"/>
                <w:szCs w:val="22"/>
              </w:rPr>
              <w:t>Полное наименование</w:t>
            </w:r>
          </w:p>
        </w:tc>
        <w:tc>
          <w:tcPr>
            <w:tcW w:w="1701" w:type="dxa"/>
          </w:tcPr>
          <w:p w14:paraId="3687ABF8" w14:textId="77777777" w:rsidR="00AD1F54" w:rsidRPr="00264D5D" w:rsidRDefault="00941227">
            <w:pPr>
              <w:pStyle w:val="EBTablenorm"/>
              <w:ind w:left="57" w:right="57"/>
              <w:contextualSpacing w:val="0"/>
              <w:jc w:val="left"/>
              <w:rPr>
                <w:sz w:val="22"/>
                <w:szCs w:val="22"/>
              </w:rPr>
            </w:pPr>
            <w:r w:rsidRPr="00264D5D">
              <w:rPr>
                <w:sz w:val="22"/>
                <w:szCs w:val="22"/>
              </w:rPr>
              <w:t>FullName</w:t>
            </w:r>
          </w:p>
        </w:tc>
        <w:tc>
          <w:tcPr>
            <w:tcW w:w="567" w:type="dxa"/>
          </w:tcPr>
          <w:p w14:paraId="0DDD23AF"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77AEBB33" w14:textId="77777777" w:rsidR="00AD1F54" w:rsidRPr="00264D5D" w:rsidRDefault="00941227">
            <w:pPr>
              <w:pStyle w:val="EBTablenorm"/>
              <w:ind w:left="57" w:right="57"/>
              <w:contextualSpacing w:val="0"/>
              <w:jc w:val="left"/>
              <w:rPr>
                <w:sz w:val="22"/>
                <w:szCs w:val="22"/>
              </w:rPr>
            </w:pPr>
            <w:r w:rsidRPr="00264D5D">
              <w:rPr>
                <w:sz w:val="22"/>
                <w:szCs w:val="22"/>
              </w:rPr>
              <w:t>Т(1-2000)</w:t>
            </w:r>
          </w:p>
        </w:tc>
        <w:tc>
          <w:tcPr>
            <w:tcW w:w="567" w:type="dxa"/>
          </w:tcPr>
          <w:p w14:paraId="05509070" w14:textId="77777777" w:rsidR="00AD1F54" w:rsidRPr="00264D5D" w:rsidRDefault="00941227">
            <w:pPr>
              <w:pStyle w:val="EBTablenorm"/>
              <w:ind w:left="57" w:right="57"/>
              <w:contextualSpacing w:val="0"/>
              <w:jc w:val="center"/>
              <w:rPr>
                <w:sz w:val="22"/>
                <w:szCs w:val="22"/>
              </w:rPr>
            </w:pPr>
            <w:r w:rsidRPr="00264D5D">
              <w:rPr>
                <w:sz w:val="22"/>
                <w:szCs w:val="22"/>
              </w:rPr>
              <w:t>Н</w:t>
            </w:r>
          </w:p>
        </w:tc>
        <w:tc>
          <w:tcPr>
            <w:tcW w:w="3963" w:type="dxa"/>
          </w:tcPr>
          <w:p w14:paraId="7EC1C45E" w14:textId="77777777" w:rsidR="00AD1F54" w:rsidRPr="00264D5D" w:rsidRDefault="00941227">
            <w:pPr>
              <w:pStyle w:val="EBTablenorm"/>
              <w:ind w:left="57" w:right="57"/>
              <w:contextualSpacing w:val="0"/>
              <w:rPr>
                <w:sz w:val="22"/>
                <w:szCs w:val="22"/>
              </w:rPr>
            </w:pPr>
            <w:r w:rsidRPr="00264D5D">
              <w:rPr>
                <w:sz w:val="22"/>
                <w:szCs w:val="22"/>
              </w:rPr>
              <w:t xml:space="preserve">Полное наименование (в соответствии с п. 4.4 Порядка). </w:t>
            </w:r>
          </w:p>
          <w:p w14:paraId="6A974661" w14:textId="77777777" w:rsidR="00AD1F54" w:rsidRPr="00264D5D" w:rsidRDefault="00941227">
            <w:pPr>
              <w:pStyle w:val="EBTablenorm"/>
              <w:ind w:left="57" w:right="57"/>
              <w:contextualSpacing w:val="0"/>
              <w:rPr>
                <w:sz w:val="22"/>
                <w:szCs w:val="22"/>
              </w:rPr>
            </w:pPr>
            <w:r w:rsidRPr="00264D5D">
              <w:rPr>
                <w:sz w:val="22"/>
                <w:szCs w:val="22"/>
              </w:rPr>
              <w:t>Обязательно для заполнения для блока «Наименование ГРБС/иного юридического лица».</w:t>
            </w:r>
          </w:p>
          <w:p w14:paraId="4873D75F" w14:textId="77777777" w:rsidR="00AD1F54" w:rsidRPr="00264D5D" w:rsidRDefault="00941227">
            <w:pPr>
              <w:pStyle w:val="EBTablenorm"/>
              <w:ind w:left="57" w:right="57"/>
              <w:contextualSpacing w:val="0"/>
              <w:rPr>
                <w:sz w:val="22"/>
                <w:szCs w:val="22"/>
              </w:rPr>
            </w:pPr>
            <w:r w:rsidRPr="00264D5D">
              <w:rPr>
                <w:sz w:val="22"/>
                <w:szCs w:val="22"/>
              </w:rPr>
              <w:t>Для блока «Наименование получателя субсидии, получателя средств» поле обязательно для заполнения при указании в элементе «Тип Пол</w:t>
            </w:r>
            <w:r w:rsidR="00B83EE9" w:rsidRPr="00264D5D">
              <w:rPr>
                <w:sz w:val="22"/>
                <w:szCs w:val="22"/>
              </w:rPr>
              <w:t>учателя» значения «1», «2», «3»</w:t>
            </w:r>
          </w:p>
        </w:tc>
      </w:tr>
      <w:tr w:rsidR="00AD1F54" w:rsidRPr="00264D5D" w14:paraId="51BC68E4"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B263864" w14:textId="77777777" w:rsidR="00AD1F54" w:rsidRPr="00264D5D" w:rsidRDefault="00941227">
            <w:pPr>
              <w:pStyle w:val="EBTablenorm"/>
              <w:ind w:left="57" w:right="57"/>
              <w:contextualSpacing w:val="0"/>
              <w:jc w:val="left"/>
              <w:rPr>
                <w:sz w:val="22"/>
                <w:szCs w:val="22"/>
              </w:rPr>
            </w:pPr>
            <w:r w:rsidRPr="00264D5D">
              <w:rPr>
                <w:sz w:val="22"/>
                <w:szCs w:val="22"/>
              </w:rPr>
              <w:t>Сокращенное наименование</w:t>
            </w:r>
          </w:p>
        </w:tc>
        <w:tc>
          <w:tcPr>
            <w:tcW w:w="1701" w:type="dxa"/>
          </w:tcPr>
          <w:p w14:paraId="144E4207" w14:textId="77777777" w:rsidR="00AD1F54" w:rsidRPr="00264D5D" w:rsidRDefault="00941227">
            <w:pPr>
              <w:pStyle w:val="EBTablenorm"/>
              <w:ind w:left="57" w:right="57"/>
              <w:contextualSpacing w:val="0"/>
              <w:jc w:val="left"/>
              <w:rPr>
                <w:sz w:val="22"/>
                <w:szCs w:val="22"/>
              </w:rPr>
            </w:pPr>
            <w:r w:rsidRPr="00264D5D">
              <w:rPr>
                <w:sz w:val="22"/>
                <w:szCs w:val="22"/>
              </w:rPr>
              <w:t>ShrtName</w:t>
            </w:r>
          </w:p>
        </w:tc>
        <w:tc>
          <w:tcPr>
            <w:tcW w:w="567" w:type="dxa"/>
          </w:tcPr>
          <w:p w14:paraId="1947B706"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6F4528A9" w14:textId="77777777" w:rsidR="00AD1F54" w:rsidRPr="00264D5D" w:rsidRDefault="00941227">
            <w:pPr>
              <w:pStyle w:val="EBTablenorm"/>
              <w:ind w:left="57" w:right="57"/>
              <w:contextualSpacing w:val="0"/>
              <w:jc w:val="left"/>
              <w:rPr>
                <w:sz w:val="22"/>
                <w:szCs w:val="22"/>
              </w:rPr>
            </w:pPr>
            <w:r w:rsidRPr="00264D5D">
              <w:rPr>
                <w:sz w:val="22"/>
                <w:szCs w:val="22"/>
              </w:rPr>
              <w:t>Т(1-2000)</w:t>
            </w:r>
          </w:p>
        </w:tc>
        <w:tc>
          <w:tcPr>
            <w:tcW w:w="567" w:type="dxa"/>
          </w:tcPr>
          <w:p w14:paraId="4B35C02C" w14:textId="77777777" w:rsidR="00AD1F54" w:rsidRPr="00264D5D" w:rsidRDefault="00941227">
            <w:pPr>
              <w:pStyle w:val="EBTablenorm"/>
              <w:ind w:left="57" w:right="57"/>
              <w:contextualSpacing w:val="0"/>
              <w:jc w:val="center"/>
              <w:rPr>
                <w:sz w:val="22"/>
                <w:szCs w:val="22"/>
              </w:rPr>
            </w:pPr>
            <w:r w:rsidRPr="00264D5D">
              <w:rPr>
                <w:sz w:val="22"/>
                <w:szCs w:val="22"/>
              </w:rPr>
              <w:t>Н</w:t>
            </w:r>
          </w:p>
        </w:tc>
        <w:tc>
          <w:tcPr>
            <w:tcW w:w="3963" w:type="dxa"/>
          </w:tcPr>
          <w:p w14:paraId="681A3DA9" w14:textId="77777777" w:rsidR="00AD1F54" w:rsidRPr="00264D5D" w:rsidRDefault="00941227">
            <w:pPr>
              <w:pStyle w:val="EBTablenorm"/>
              <w:ind w:left="57" w:right="57"/>
              <w:contextualSpacing w:val="0"/>
              <w:rPr>
                <w:sz w:val="22"/>
                <w:szCs w:val="22"/>
              </w:rPr>
            </w:pPr>
            <w:r w:rsidRPr="00264D5D">
              <w:rPr>
                <w:sz w:val="22"/>
                <w:szCs w:val="22"/>
              </w:rPr>
              <w:t xml:space="preserve">Сокращенное наименование (в </w:t>
            </w:r>
            <w:r w:rsidR="00B83EE9" w:rsidRPr="00264D5D">
              <w:rPr>
                <w:sz w:val="22"/>
                <w:szCs w:val="22"/>
              </w:rPr>
              <w:t>соответствии с п. 4.4 Порядка)</w:t>
            </w:r>
          </w:p>
        </w:tc>
      </w:tr>
      <w:tr w:rsidR="00AD1F54" w:rsidRPr="00264D5D" w14:paraId="2F7723D2"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4410CD44" w14:textId="77777777" w:rsidR="00AD1F54" w:rsidRPr="00264D5D" w:rsidRDefault="00941227">
            <w:pPr>
              <w:pStyle w:val="EBTablenorm"/>
              <w:ind w:left="57" w:right="57"/>
              <w:contextualSpacing w:val="0"/>
              <w:jc w:val="left"/>
              <w:rPr>
                <w:sz w:val="22"/>
                <w:szCs w:val="22"/>
              </w:rPr>
            </w:pPr>
            <w:r w:rsidRPr="00264D5D">
              <w:rPr>
                <w:sz w:val="22"/>
                <w:szCs w:val="22"/>
              </w:rPr>
              <w:t>Полное наименование иностранного юридического лица с использованием букв латинского алфавита</w:t>
            </w:r>
          </w:p>
        </w:tc>
        <w:tc>
          <w:tcPr>
            <w:tcW w:w="1701" w:type="dxa"/>
          </w:tcPr>
          <w:p w14:paraId="539F8CC2" w14:textId="77777777" w:rsidR="00AD1F54" w:rsidRPr="00264D5D" w:rsidRDefault="00941227">
            <w:pPr>
              <w:pStyle w:val="EBTablenorm"/>
              <w:ind w:left="57" w:right="57"/>
              <w:contextualSpacing w:val="0"/>
              <w:jc w:val="left"/>
              <w:rPr>
                <w:sz w:val="22"/>
                <w:szCs w:val="22"/>
              </w:rPr>
            </w:pPr>
            <w:r w:rsidRPr="00264D5D">
              <w:rPr>
                <w:sz w:val="22"/>
                <w:szCs w:val="22"/>
              </w:rPr>
              <w:t>FrgnEngFullName</w:t>
            </w:r>
          </w:p>
        </w:tc>
        <w:tc>
          <w:tcPr>
            <w:tcW w:w="567" w:type="dxa"/>
          </w:tcPr>
          <w:p w14:paraId="2AE7CD43"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19BA5491" w14:textId="77777777" w:rsidR="00AD1F54" w:rsidRPr="00264D5D" w:rsidRDefault="00941227">
            <w:pPr>
              <w:pStyle w:val="EBTablenorm"/>
              <w:ind w:left="57" w:right="57"/>
              <w:contextualSpacing w:val="0"/>
              <w:jc w:val="left"/>
              <w:rPr>
                <w:sz w:val="22"/>
                <w:szCs w:val="22"/>
              </w:rPr>
            </w:pPr>
            <w:r w:rsidRPr="00264D5D">
              <w:rPr>
                <w:sz w:val="22"/>
                <w:szCs w:val="22"/>
              </w:rPr>
              <w:t>Т(1-2000)</w:t>
            </w:r>
          </w:p>
        </w:tc>
        <w:tc>
          <w:tcPr>
            <w:tcW w:w="567" w:type="dxa"/>
          </w:tcPr>
          <w:p w14:paraId="1C4AEE42" w14:textId="77777777" w:rsidR="00AD1F54" w:rsidRPr="00264D5D" w:rsidRDefault="00941227">
            <w:pPr>
              <w:pStyle w:val="EBTablenorm"/>
              <w:ind w:left="57" w:right="57"/>
              <w:contextualSpacing w:val="0"/>
              <w:jc w:val="center"/>
              <w:rPr>
                <w:sz w:val="22"/>
                <w:szCs w:val="22"/>
              </w:rPr>
            </w:pPr>
            <w:r w:rsidRPr="00264D5D">
              <w:rPr>
                <w:sz w:val="22"/>
                <w:szCs w:val="22"/>
              </w:rPr>
              <w:t>Н</w:t>
            </w:r>
          </w:p>
        </w:tc>
        <w:tc>
          <w:tcPr>
            <w:tcW w:w="3963" w:type="dxa"/>
          </w:tcPr>
          <w:p w14:paraId="01A31A92" w14:textId="77777777" w:rsidR="00AD1F54" w:rsidRPr="00264D5D" w:rsidRDefault="00941227">
            <w:pPr>
              <w:pStyle w:val="EBTablenorm"/>
              <w:ind w:left="57" w:right="57"/>
              <w:contextualSpacing w:val="0"/>
              <w:rPr>
                <w:sz w:val="22"/>
                <w:szCs w:val="22"/>
              </w:rPr>
            </w:pPr>
            <w:r w:rsidRPr="00264D5D">
              <w:rPr>
                <w:sz w:val="22"/>
                <w:szCs w:val="22"/>
              </w:rPr>
              <w:t>Полное наименование иностранного юридического лица с использованием букв латинского алфавита (в соответствии с п. 4.5 Порядка). Поле обязательно для заполнения для блока «Наименование получателя субсидии, получателя средств» при указании в элементе «Тип Получателя» значения «2» и «3».</w:t>
            </w:r>
          </w:p>
          <w:p w14:paraId="693EF62E" w14:textId="77777777" w:rsidR="00AD1F54" w:rsidRPr="00264D5D" w:rsidRDefault="00941227">
            <w:pPr>
              <w:pStyle w:val="EBTablenorm"/>
              <w:ind w:left="57" w:right="57"/>
              <w:contextualSpacing w:val="0"/>
              <w:rPr>
                <w:sz w:val="22"/>
                <w:szCs w:val="22"/>
              </w:rPr>
            </w:pPr>
            <w:r w:rsidRPr="00264D5D">
              <w:rPr>
                <w:sz w:val="22"/>
                <w:szCs w:val="22"/>
              </w:rPr>
              <w:t>Поле не заполняется для блока «Наименование</w:t>
            </w:r>
            <w:r w:rsidR="00B83EE9" w:rsidRPr="00264D5D">
              <w:rPr>
                <w:sz w:val="22"/>
                <w:szCs w:val="22"/>
              </w:rPr>
              <w:t xml:space="preserve"> ГРБС/иного юридического лица»</w:t>
            </w:r>
          </w:p>
        </w:tc>
      </w:tr>
      <w:tr w:rsidR="00AD1F54" w:rsidRPr="00264D5D" w14:paraId="5FA11CB9"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8A5FDD1" w14:textId="77777777" w:rsidR="00AD1F54" w:rsidRPr="00264D5D" w:rsidRDefault="00941227">
            <w:pPr>
              <w:pStyle w:val="EBTablenorm"/>
              <w:ind w:left="57" w:right="57"/>
              <w:contextualSpacing w:val="0"/>
              <w:jc w:val="left"/>
              <w:rPr>
                <w:sz w:val="22"/>
                <w:szCs w:val="22"/>
              </w:rPr>
            </w:pPr>
            <w:r w:rsidRPr="00264D5D">
              <w:rPr>
                <w:sz w:val="22"/>
                <w:szCs w:val="22"/>
              </w:rPr>
              <w:t>Сокращенное наименования иностранного юридического лица с использованием букв латинского алфавита</w:t>
            </w:r>
          </w:p>
        </w:tc>
        <w:tc>
          <w:tcPr>
            <w:tcW w:w="1701" w:type="dxa"/>
          </w:tcPr>
          <w:p w14:paraId="6306FC30" w14:textId="77777777" w:rsidR="00AD1F54" w:rsidRPr="00264D5D" w:rsidRDefault="00941227">
            <w:pPr>
              <w:pStyle w:val="EBTablenorm"/>
              <w:ind w:left="57" w:right="57"/>
              <w:contextualSpacing w:val="0"/>
              <w:jc w:val="left"/>
              <w:rPr>
                <w:sz w:val="22"/>
                <w:szCs w:val="22"/>
              </w:rPr>
            </w:pPr>
            <w:r w:rsidRPr="00264D5D">
              <w:rPr>
                <w:sz w:val="22"/>
                <w:szCs w:val="22"/>
              </w:rPr>
              <w:t>FrgnEngShrtName</w:t>
            </w:r>
          </w:p>
        </w:tc>
        <w:tc>
          <w:tcPr>
            <w:tcW w:w="567" w:type="dxa"/>
          </w:tcPr>
          <w:p w14:paraId="1E059F4C"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58BCE2A0" w14:textId="77777777" w:rsidR="00AD1F54" w:rsidRPr="00264D5D" w:rsidRDefault="00941227">
            <w:pPr>
              <w:pStyle w:val="EBTablenorm"/>
              <w:ind w:left="57" w:right="57"/>
              <w:contextualSpacing w:val="0"/>
              <w:jc w:val="left"/>
              <w:rPr>
                <w:sz w:val="22"/>
                <w:szCs w:val="22"/>
              </w:rPr>
            </w:pPr>
            <w:r w:rsidRPr="00264D5D">
              <w:rPr>
                <w:sz w:val="22"/>
                <w:szCs w:val="22"/>
              </w:rPr>
              <w:t>Т(1-2000)</w:t>
            </w:r>
          </w:p>
        </w:tc>
        <w:tc>
          <w:tcPr>
            <w:tcW w:w="567" w:type="dxa"/>
          </w:tcPr>
          <w:p w14:paraId="614F00EB" w14:textId="77777777" w:rsidR="00AD1F54" w:rsidRPr="00264D5D" w:rsidRDefault="00941227">
            <w:pPr>
              <w:pStyle w:val="EBTablenorm"/>
              <w:ind w:left="57" w:right="57"/>
              <w:contextualSpacing w:val="0"/>
              <w:jc w:val="center"/>
              <w:rPr>
                <w:sz w:val="22"/>
                <w:szCs w:val="22"/>
              </w:rPr>
            </w:pPr>
            <w:r w:rsidRPr="00264D5D">
              <w:rPr>
                <w:sz w:val="22"/>
                <w:szCs w:val="22"/>
              </w:rPr>
              <w:t>Н</w:t>
            </w:r>
          </w:p>
        </w:tc>
        <w:tc>
          <w:tcPr>
            <w:tcW w:w="3963" w:type="dxa"/>
          </w:tcPr>
          <w:p w14:paraId="2EE32DAF" w14:textId="77777777" w:rsidR="00AD1F54" w:rsidRPr="00264D5D" w:rsidRDefault="00941227">
            <w:pPr>
              <w:pStyle w:val="EBTablenorm"/>
              <w:ind w:left="57" w:right="57"/>
              <w:contextualSpacing w:val="0"/>
              <w:rPr>
                <w:sz w:val="22"/>
                <w:szCs w:val="22"/>
              </w:rPr>
            </w:pPr>
            <w:r w:rsidRPr="00264D5D">
              <w:rPr>
                <w:sz w:val="22"/>
                <w:szCs w:val="22"/>
              </w:rPr>
              <w:t>Сокращенное наименования иностранного юридического лица с использованием букв латинского алфавита (в соответствии с п. 4.5 Порядка). Поле может быть заполнено для блока «Наименование получателя субсидии, получателя средств» при указании в элементе «Тип Получателя» значения «2» и «3».</w:t>
            </w:r>
          </w:p>
          <w:p w14:paraId="5C5C6525" w14:textId="77777777" w:rsidR="00AD1F54" w:rsidRPr="00264D5D" w:rsidRDefault="00941227">
            <w:pPr>
              <w:pStyle w:val="EBTablenorm"/>
              <w:ind w:left="57" w:right="57"/>
              <w:contextualSpacing w:val="0"/>
              <w:rPr>
                <w:sz w:val="22"/>
                <w:szCs w:val="22"/>
              </w:rPr>
            </w:pPr>
            <w:r w:rsidRPr="00264D5D">
              <w:rPr>
                <w:sz w:val="22"/>
                <w:szCs w:val="22"/>
              </w:rPr>
              <w:t xml:space="preserve">Поле не заполняется для блока </w:t>
            </w:r>
            <w:r w:rsidRPr="00264D5D">
              <w:rPr>
                <w:sz w:val="22"/>
                <w:szCs w:val="22"/>
              </w:rPr>
              <w:lastRenderedPageBreak/>
              <w:t>«Наименовани</w:t>
            </w:r>
            <w:r w:rsidR="00B83EE9" w:rsidRPr="00264D5D">
              <w:rPr>
                <w:sz w:val="22"/>
                <w:szCs w:val="22"/>
              </w:rPr>
              <w:t>е ГРБС/иного юридического лица»</w:t>
            </w:r>
          </w:p>
        </w:tc>
      </w:tr>
      <w:tr w:rsidR="00AD1F54" w:rsidRPr="00264D5D" w14:paraId="4302966C"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42D7CEB5" w14:textId="77777777" w:rsidR="00AD1F54" w:rsidRPr="00264D5D" w:rsidRDefault="00941227">
            <w:pPr>
              <w:pStyle w:val="EBTablenorm"/>
              <w:ind w:left="57" w:right="57"/>
              <w:contextualSpacing w:val="0"/>
              <w:jc w:val="left"/>
              <w:rPr>
                <w:sz w:val="22"/>
                <w:szCs w:val="22"/>
              </w:rPr>
            </w:pPr>
            <w:r w:rsidRPr="00264D5D">
              <w:rPr>
                <w:sz w:val="22"/>
                <w:szCs w:val="22"/>
              </w:rPr>
              <w:lastRenderedPageBreak/>
              <w:t>Фамилия</w:t>
            </w:r>
          </w:p>
        </w:tc>
        <w:tc>
          <w:tcPr>
            <w:tcW w:w="1701" w:type="dxa"/>
          </w:tcPr>
          <w:p w14:paraId="6C21C600" w14:textId="77777777" w:rsidR="00AD1F54" w:rsidRPr="00264D5D" w:rsidRDefault="00941227">
            <w:pPr>
              <w:pStyle w:val="EBTablenorm"/>
              <w:ind w:left="57" w:right="57"/>
              <w:contextualSpacing w:val="0"/>
              <w:jc w:val="left"/>
              <w:rPr>
                <w:sz w:val="22"/>
                <w:szCs w:val="22"/>
              </w:rPr>
            </w:pPr>
            <w:r w:rsidRPr="00264D5D">
              <w:rPr>
                <w:sz w:val="22"/>
                <w:szCs w:val="22"/>
              </w:rPr>
              <w:t>SrName</w:t>
            </w:r>
          </w:p>
        </w:tc>
        <w:tc>
          <w:tcPr>
            <w:tcW w:w="567" w:type="dxa"/>
          </w:tcPr>
          <w:p w14:paraId="66B5DC71"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69D6D15C" w14:textId="77777777" w:rsidR="00AD1F54" w:rsidRPr="00264D5D" w:rsidRDefault="00941227">
            <w:pPr>
              <w:pStyle w:val="EBTablenorm"/>
              <w:ind w:left="57" w:right="57"/>
              <w:contextualSpacing w:val="0"/>
              <w:jc w:val="left"/>
              <w:rPr>
                <w:sz w:val="22"/>
                <w:szCs w:val="22"/>
              </w:rPr>
            </w:pPr>
            <w:r w:rsidRPr="00264D5D">
              <w:rPr>
                <w:sz w:val="22"/>
                <w:szCs w:val="22"/>
              </w:rPr>
              <w:t>Т(1-100)</w:t>
            </w:r>
          </w:p>
        </w:tc>
        <w:tc>
          <w:tcPr>
            <w:tcW w:w="567" w:type="dxa"/>
          </w:tcPr>
          <w:p w14:paraId="712AAF5A" w14:textId="77777777" w:rsidR="00AD1F54" w:rsidRPr="00264D5D" w:rsidRDefault="00941227">
            <w:pPr>
              <w:pStyle w:val="EBTablenorm"/>
              <w:ind w:left="57" w:right="57"/>
              <w:contextualSpacing w:val="0"/>
              <w:jc w:val="center"/>
              <w:rPr>
                <w:sz w:val="22"/>
                <w:szCs w:val="22"/>
              </w:rPr>
            </w:pPr>
            <w:r w:rsidRPr="00264D5D">
              <w:rPr>
                <w:sz w:val="22"/>
                <w:szCs w:val="22"/>
              </w:rPr>
              <w:t>Н</w:t>
            </w:r>
          </w:p>
        </w:tc>
        <w:tc>
          <w:tcPr>
            <w:tcW w:w="3963" w:type="dxa"/>
          </w:tcPr>
          <w:p w14:paraId="0D961658" w14:textId="77777777" w:rsidR="00AD1F54" w:rsidRPr="00264D5D" w:rsidRDefault="00941227">
            <w:pPr>
              <w:pStyle w:val="EBTablenorm"/>
              <w:ind w:left="57" w:right="57"/>
              <w:contextualSpacing w:val="0"/>
              <w:rPr>
                <w:sz w:val="22"/>
                <w:szCs w:val="22"/>
              </w:rPr>
            </w:pPr>
            <w:r w:rsidRPr="00264D5D">
              <w:rPr>
                <w:sz w:val="22"/>
                <w:szCs w:val="22"/>
              </w:rPr>
              <w:t xml:space="preserve">Фамилия (в соответствии с п. 4.6 Порядка). </w:t>
            </w:r>
          </w:p>
          <w:p w14:paraId="51E3F12E" w14:textId="77777777" w:rsidR="00AD1F54" w:rsidRPr="00264D5D" w:rsidRDefault="00941227">
            <w:pPr>
              <w:pStyle w:val="EBTablenorm"/>
              <w:ind w:left="57" w:right="57"/>
              <w:contextualSpacing w:val="0"/>
              <w:rPr>
                <w:sz w:val="22"/>
                <w:szCs w:val="22"/>
              </w:rPr>
            </w:pPr>
            <w:r w:rsidRPr="00264D5D">
              <w:rPr>
                <w:sz w:val="22"/>
                <w:szCs w:val="22"/>
              </w:rPr>
              <w:t>Поле обязательно для заполнения для блока «Наименование получателя субсидии, получателя средств» при указании в элементе «Тип Получателя» значения «4» и «5».</w:t>
            </w:r>
          </w:p>
          <w:p w14:paraId="30A848EE" w14:textId="77777777" w:rsidR="00AD1F54" w:rsidRPr="00264D5D" w:rsidRDefault="00941227">
            <w:pPr>
              <w:pStyle w:val="EBTablenorm"/>
              <w:ind w:left="57" w:right="57"/>
              <w:contextualSpacing w:val="0"/>
              <w:rPr>
                <w:sz w:val="22"/>
                <w:szCs w:val="22"/>
              </w:rPr>
            </w:pPr>
            <w:r w:rsidRPr="00264D5D">
              <w:rPr>
                <w:sz w:val="22"/>
                <w:szCs w:val="22"/>
              </w:rPr>
              <w:t>Поле не заполняется для блока «Наименовани</w:t>
            </w:r>
            <w:r w:rsidR="00B83EE9" w:rsidRPr="00264D5D">
              <w:rPr>
                <w:sz w:val="22"/>
                <w:szCs w:val="22"/>
              </w:rPr>
              <w:t>е ГРБС/иного юридического лица»</w:t>
            </w:r>
          </w:p>
        </w:tc>
      </w:tr>
      <w:tr w:rsidR="00AD1F54" w:rsidRPr="00264D5D" w14:paraId="4A5A5D58"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55517D68" w14:textId="77777777" w:rsidR="00AD1F54" w:rsidRPr="00264D5D" w:rsidRDefault="00941227">
            <w:pPr>
              <w:pStyle w:val="EBTablenorm"/>
              <w:ind w:left="57" w:right="57"/>
              <w:contextualSpacing w:val="0"/>
              <w:jc w:val="left"/>
              <w:rPr>
                <w:sz w:val="22"/>
                <w:szCs w:val="22"/>
              </w:rPr>
            </w:pPr>
            <w:r w:rsidRPr="00264D5D">
              <w:rPr>
                <w:sz w:val="22"/>
                <w:szCs w:val="22"/>
              </w:rPr>
              <w:t>Имя</w:t>
            </w:r>
          </w:p>
        </w:tc>
        <w:tc>
          <w:tcPr>
            <w:tcW w:w="1701" w:type="dxa"/>
          </w:tcPr>
          <w:p w14:paraId="3244E642" w14:textId="77777777" w:rsidR="00AD1F54" w:rsidRPr="00264D5D" w:rsidRDefault="00941227">
            <w:pPr>
              <w:pStyle w:val="EBTablenorm"/>
              <w:ind w:left="57" w:right="57"/>
              <w:contextualSpacing w:val="0"/>
              <w:jc w:val="left"/>
              <w:rPr>
                <w:sz w:val="22"/>
                <w:szCs w:val="22"/>
              </w:rPr>
            </w:pPr>
            <w:r w:rsidRPr="00264D5D">
              <w:rPr>
                <w:sz w:val="22"/>
                <w:szCs w:val="22"/>
              </w:rPr>
              <w:t>Name</w:t>
            </w:r>
          </w:p>
        </w:tc>
        <w:tc>
          <w:tcPr>
            <w:tcW w:w="567" w:type="dxa"/>
          </w:tcPr>
          <w:p w14:paraId="184245E6"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41804CD1" w14:textId="77777777" w:rsidR="00AD1F54" w:rsidRPr="00264D5D" w:rsidRDefault="00941227">
            <w:pPr>
              <w:pStyle w:val="EBTablenorm"/>
              <w:ind w:left="57" w:right="57"/>
              <w:contextualSpacing w:val="0"/>
              <w:jc w:val="left"/>
              <w:rPr>
                <w:sz w:val="22"/>
                <w:szCs w:val="22"/>
              </w:rPr>
            </w:pPr>
            <w:r w:rsidRPr="00264D5D">
              <w:rPr>
                <w:sz w:val="22"/>
                <w:szCs w:val="22"/>
              </w:rPr>
              <w:t>Т(1-100)</w:t>
            </w:r>
          </w:p>
        </w:tc>
        <w:tc>
          <w:tcPr>
            <w:tcW w:w="567" w:type="dxa"/>
          </w:tcPr>
          <w:p w14:paraId="720FB39B" w14:textId="77777777" w:rsidR="00AD1F54" w:rsidRPr="00264D5D" w:rsidRDefault="00941227">
            <w:pPr>
              <w:pStyle w:val="EBTablenorm"/>
              <w:ind w:left="57" w:right="57"/>
              <w:contextualSpacing w:val="0"/>
              <w:jc w:val="center"/>
              <w:rPr>
                <w:sz w:val="22"/>
                <w:szCs w:val="22"/>
              </w:rPr>
            </w:pPr>
            <w:r w:rsidRPr="00264D5D">
              <w:rPr>
                <w:sz w:val="22"/>
                <w:szCs w:val="22"/>
              </w:rPr>
              <w:t>Н</w:t>
            </w:r>
          </w:p>
        </w:tc>
        <w:tc>
          <w:tcPr>
            <w:tcW w:w="3963" w:type="dxa"/>
          </w:tcPr>
          <w:p w14:paraId="5F6A3EA9" w14:textId="77777777" w:rsidR="00AD1F54" w:rsidRPr="00264D5D" w:rsidRDefault="00941227">
            <w:pPr>
              <w:pStyle w:val="EBTablenorm"/>
              <w:ind w:left="57" w:right="57"/>
              <w:contextualSpacing w:val="0"/>
              <w:rPr>
                <w:sz w:val="22"/>
                <w:szCs w:val="22"/>
              </w:rPr>
            </w:pPr>
            <w:r w:rsidRPr="00264D5D">
              <w:rPr>
                <w:sz w:val="22"/>
                <w:szCs w:val="22"/>
              </w:rPr>
              <w:t>Имя (в соответствии с п. 4.6 Порядка).</w:t>
            </w:r>
          </w:p>
          <w:p w14:paraId="09F2D541" w14:textId="77777777" w:rsidR="00AD1F54" w:rsidRPr="00264D5D" w:rsidRDefault="00941227">
            <w:pPr>
              <w:pStyle w:val="EBTablenorm"/>
              <w:ind w:left="57" w:right="57"/>
              <w:contextualSpacing w:val="0"/>
              <w:rPr>
                <w:sz w:val="22"/>
                <w:szCs w:val="22"/>
              </w:rPr>
            </w:pPr>
            <w:r w:rsidRPr="00264D5D">
              <w:rPr>
                <w:sz w:val="22"/>
                <w:szCs w:val="22"/>
              </w:rPr>
              <w:t>Поле обязательно для заполнения для блока «Наименование получателя субсидии, получателя средств» при указании в элементе «Тип Получателя» значения «4» и «5».</w:t>
            </w:r>
          </w:p>
          <w:p w14:paraId="43EBDBC1" w14:textId="77777777" w:rsidR="00AD1F54" w:rsidRPr="00264D5D" w:rsidRDefault="00941227">
            <w:pPr>
              <w:pStyle w:val="EBTablenorm"/>
              <w:ind w:left="57" w:right="57"/>
              <w:contextualSpacing w:val="0"/>
              <w:rPr>
                <w:sz w:val="22"/>
                <w:szCs w:val="22"/>
              </w:rPr>
            </w:pPr>
            <w:r w:rsidRPr="00264D5D">
              <w:rPr>
                <w:sz w:val="22"/>
                <w:szCs w:val="22"/>
              </w:rPr>
              <w:t>Поле не заполняется для блока «Наименовани</w:t>
            </w:r>
            <w:r w:rsidR="00B83EE9" w:rsidRPr="00264D5D">
              <w:rPr>
                <w:sz w:val="22"/>
                <w:szCs w:val="22"/>
              </w:rPr>
              <w:t>е ГРБС/иного юридического лица»</w:t>
            </w:r>
          </w:p>
        </w:tc>
      </w:tr>
      <w:tr w:rsidR="00AD1F54" w:rsidRPr="00264D5D" w14:paraId="00502511"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07BBD7D5" w14:textId="77777777" w:rsidR="00AD1F54" w:rsidRPr="00264D5D" w:rsidRDefault="00941227">
            <w:pPr>
              <w:pStyle w:val="EBTablenorm"/>
              <w:ind w:left="57" w:right="57"/>
              <w:contextualSpacing w:val="0"/>
              <w:jc w:val="left"/>
              <w:rPr>
                <w:sz w:val="22"/>
                <w:szCs w:val="22"/>
              </w:rPr>
            </w:pPr>
            <w:r w:rsidRPr="00264D5D">
              <w:rPr>
                <w:sz w:val="22"/>
                <w:szCs w:val="22"/>
              </w:rPr>
              <w:t>Отчество</w:t>
            </w:r>
          </w:p>
        </w:tc>
        <w:tc>
          <w:tcPr>
            <w:tcW w:w="1701" w:type="dxa"/>
          </w:tcPr>
          <w:p w14:paraId="4C53B835" w14:textId="77777777" w:rsidR="00AD1F54" w:rsidRPr="00264D5D" w:rsidRDefault="00941227">
            <w:pPr>
              <w:pStyle w:val="EBTablenorm"/>
              <w:ind w:left="57" w:right="57"/>
              <w:contextualSpacing w:val="0"/>
              <w:jc w:val="left"/>
              <w:rPr>
                <w:sz w:val="22"/>
                <w:szCs w:val="22"/>
              </w:rPr>
            </w:pPr>
            <w:r w:rsidRPr="00264D5D">
              <w:rPr>
                <w:sz w:val="22"/>
                <w:szCs w:val="22"/>
              </w:rPr>
              <w:t>PtrName</w:t>
            </w:r>
          </w:p>
        </w:tc>
        <w:tc>
          <w:tcPr>
            <w:tcW w:w="567" w:type="dxa"/>
          </w:tcPr>
          <w:p w14:paraId="42CE9B13"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0B200F3B" w14:textId="77777777" w:rsidR="00AD1F54" w:rsidRPr="00264D5D" w:rsidRDefault="00941227">
            <w:pPr>
              <w:pStyle w:val="EBTablenorm"/>
              <w:ind w:left="57" w:right="57"/>
              <w:contextualSpacing w:val="0"/>
              <w:jc w:val="left"/>
              <w:rPr>
                <w:sz w:val="22"/>
                <w:szCs w:val="22"/>
              </w:rPr>
            </w:pPr>
            <w:r w:rsidRPr="00264D5D">
              <w:rPr>
                <w:sz w:val="22"/>
                <w:szCs w:val="22"/>
              </w:rPr>
              <w:t>Т(1-100)</w:t>
            </w:r>
          </w:p>
        </w:tc>
        <w:tc>
          <w:tcPr>
            <w:tcW w:w="567" w:type="dxa"/>
          </w:tcPr>
          <w:p w14:paraId="67F5106A" w14:textId="77777777" w:rsidR="00AD1F54" w:rsidRPr="00264D5D" w:rsidRDefault="00941227">
            <w:pPr>
              <w:pStyle w:val="EBTablenorm"/>
              <w:ind w:left="57" w:right="57"/>
              <w:contextualSpacing w:val="0"/>
              <w:jc w:val="center"/>
              <w:rPr>
                <w:sz w:val="22"/>
                <w:szCs w:val="22"/>
              </w:rPr>
            </w:pPr>
            <w:r w:rsidRPr="00264D5D">
              <w:rPr>
                <w:sz w:val="22"/>
                <w:szCs w:val="22"/>
              </w:rPr>
              <w:t>Н</w:t>
            </w:r>
          </w:p>
        </w:tc>
        <w:tc>
          <w:tcPr>
            <w:tcW w:w="3963" w:type="dxa"/>
          </w:tcPr>
          <w:p w14:paraId="3F83A560" w14:textId="77777777" w:rsidR="00AD1F54" w:rsidRPr="00264D5D" w:rsidRDefault="00941227">
            <w:pPr>
              <w:pStyle w:val="EBTablenorm"/>
              <w:ind w:left="57" w:right="57"/>
              <w:contextualSpacing w:val="0"/>
              <w:rPr>
                <w:sz w:val="22"/>
                <w:szCs w:val="22"/>
              </w:rPr>
            </w:pPr>
            <w:r w:rsidRPr="00264D5D">
              <w:rPr>
                <w:sz w:val="22"/>
                <w:szCs w:val="22"/>
              </w:rPr>
              <w:t>Отчество (в соответствии с п. 4.6 Порядка).</w:t>
            </w:r>
          </w:p>
          <w:p w14:paraId="386C18CF" w14:textId="77777777" w:rsidR="00AD1F54" w:rsidRPr="00264D5D" w:rsidRDefault="00941227">
            <w:pPr>
              <w:pStyle w:val="EBTablenorm"/>
              <w:ind w:left="57" w:right="57"/>
              <w:contextualSpacing w:val="0"/>
              <w:rPr>
                <w:sz w:val="22"/>
                <w:szCs w:val="22"/>
              </w:rPr>
            </w:pPr>
            <w:r w:rsidRPr="00264D5D">
              <w:rPr>
                <w:sz w:val="22"/>
                <w:szCs w:val="22"/>
              </w:rPr>
              <w:t>Поле может быть заполнено для блока «Наименование получателя субсидии, получателя средств» при указании в элементе «Тип Получателя» значения «4» и «5».</w:t>
            </w:r>
          </w:p>
          <w:p w14:paraId="26009B3C" w14:textId="77777777" w:rsidR="00AD1F54" w:rsidRPr="00264D5D" w:rsidRDefault="00941227">
            <w:pPr>
              <w:pStyle w:val="EBTablenorm"/>
              <w:ind w:left="57" w:right="57"/>
              <w:contextualSpacing w:val="0"/>
              <w:rPr>
                <w:sz w:val="22"/>
                <w:szCs w:val="22"/>
              </w:rPr>
            </w:pPr>
            <w:r w:rsidRPr="00264D5D">
              <w:rPr>
                <w:sz w:val="22"/>
                <w:szCs w:val="22"/>
              </w:rPr>
              <w:t>Поле не заполняется для блока «Наименовани</w:t>
            </w:r>
            <w:r w:rsidR="00B83EE9" w:rsidRPr="00264D5D">
              <w:rPr>
                <w:sz w:val="22"/>
                <w:szCs w:val="22"/>
              </w:rPr>
              <w:t>е ГРБС/иного юридического лица»</w:t>
            </w:r>
          </w:p>
        </w:tc>
      </w:tr>
      <w:tr w:rsidR="00AD1F54" w:rsidRPr="00264D5D" w14:paraId="38FB51F0"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DAAAF9B" w14:textId="77777777" w:rsidR="00AD1F54" w:rsidRPr="00264D5D" w:rsidRDefault="00941227">
            <w:pPr>
              <w:pStyle w:val="EBTablenorm"/>
              <w:ind w:left="57" w:right="57"/>
              <w:contextualSpacing w:val="0"/>
              <w:jc w:val="left"/>
              <w:rPr>
                <w:sz w:val="22"/>
                <w:szCs w:val="22"/>
              </w:rPr>
            </w:pPr>
            <w:r w:rsidRPr="00264D5D">
              <w:rPr>
                <w:sz w:val="22"/>
                <w:szCs w:val="22"/>
              </w:rPr>
              <w:t>Фамилия c использованием букв латинского алфавита</w:t>
            </w:r>
          </w:p>
        </w:tc>
        <w:tc>
          <w:tcPr>
            <w:tcW w:w="1701" w:type="dxa"/>
          </w:tcPr>
          <w:p w14:paraId="381F8A27" w14:textId="77777777" w:rsidR="00AD1F54" w:rsidRPr="00264D5D" w:rsidRDefault="00941227">
            <w:pPr>
              <w:pStyle w:val="EBTablenorm"/>
              <w:ind w:left="57" w:right="57"/>
              <w:contextualSpacing w:val="0"/>
              <w:jc w:val="left"/>
              <w:rPr>
                <w:sz w:val="22"/>
                <w:szCs w:val="22"/>
              </w:rPr>
            </w:pPr>
            <w:r w:rsidRPr="00264D5D">
              <w:rPr>
                <w:sz w:val="22"/>
                <w:szCs w:val="22"/>
              </w:rPr>
              <w:t>FrgnSrName</w:t>
            </w:r>
          </w:p>
        </w:tc>
        <w:tc>
          <w:tcPr>
            <w:tcW w:w="567" w:type="dxa"/>
          </w:tcPr>
          <w:p w14:paraId="2D03CEEA"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0625AB32" w14:textId="77777777" w:rsidR="00AD1F54" w:rsidRPr="00264D5D" w:rsidRDefault="00941227">
            <w:pPr>
              <w:pStyle w:val="EBTablenorm"/>
              <w:ind w:left="57" w:right="57"/>
              <w:contextualSpacing w:val="0"/>
              <w:jc w:val="left"/>
              <w:rPr>
                <w:sz w:val="22"/>
                <w:szCs w:val="22"/>
              </w:rPr>
            </w:pPr>
            <w:r w:rsidRPr="00264D5D">
              <w:rPr>
                <w:sz w:val="22"/>
                <w:szCs w:val="22"/>
              </w:rPr>
              <w:t>Т(1-100)</w:t>
            </w:r>
          </w:p>
        </w:tc>
        <w:tc>
          <w:tcPr>
            <w:tcW w:w="567" w:type="dxa"/>
          </w:tcPr>
          <w:p w14:paraId="6E255BE0" w14:textId="77777777" w:rsidR="00AD1F54" w:rsidRPr="00264D5D" w:rsidRDefault="00941227">
            <w:pPr>
              <w:pStyle w:val="EBTablenorm"/>
              <w:ind w:left="57" w:right="57"/>
              <w:contextualSpacing w:val="0"/>
              <w:jc w:val="center"/>
              <w:rPr>
                <w:sz w:val="22"/>
                <w:szCs w:val="22"/>
              </w:rPr>
            </w:pPr>
            <w:r w:rsidRPr="00264D5D">
              <w:rPr>
                <w:sz w:val="22"/>
                <w:szCs w:val="22"/>
              </w:rPr>
              <w:t>Н</w:t>
            </w:r>
          </w:p>
        </w:tc>
        <w:tc>
          <w:tcPr>
            <w:tcW w:w="3963" w:type="dxa"/>
          </w:tcPr>
          <w:p w14:paraId="2A42A1DA" w14:textId="77777777" w:rsidR="00AD1F54" w:rsidRPr="00264D5D" w:rsidRDefault="00941227">
            <w:pPr>
              <w:pStyle w:val="EBTablenorm"/>
              <w:ind w:left="57" w:right="57"/>
              <w:contextualSpacing w:val="0"/>
              <w:rPr>
                <w:sz w:val="22"/>
                <w:szCs w:val="22"/>
              </w:rPr>
            </w:pPr>
            <w:r w:rsidRPr="00264D5D">
              <w:rPr>
                <w:sz w:val="22"/>
                <w:szCs w:val="22"/>
              </w:rPr>
              <w:t xml:space="preserve">Фамилия c использованием букв латинского алфавита (в соответствии с п. 4.5 Порядка). </w:t>
            </w:r>
          </w:p>
          <w:p w14:paraId="5947FD3D" w14:textId="77777777" w:rsidR="00AD1F54" w:rsidRPr="00264D5D" w:rsidRDefault="00941227">
            <w:pPr>
              <w:pStyle w:val="EBTablenorm"/>
              <w:ind w:left="57" w:right="57"/>
              <w:contextualSpacing w:val="0"/>
              <w:rPr>
                <w:sz w:val="22"/>
                <w:szCs w:val="22"/>
              </w:rPr>
            </w:pPr>
            <w:r w:rsidRPr="00264D5D">
              <w:rPr>
                <w:sz w:val="22"/>
                <w:szCs w:val="22"/>
              </w:rPr>
              <w:t>Поле обязательно для заполнения для блока «Наименование получателя субсидии, получателя средств» при указании в элементе «Тип Получателя» значения «5».</w:t>
            </w:r>
          </w:p>
          <w:p w14:paraId="39CAED38" w14:textId="77777777" w:rsidR="00AD1F54" w:rsidRPr="00264D5D" w:rsidRDefault="00941227">
            <w:pPr>
              <w:pStyle w:val="EBTablenorm"/>
              <w:ind w:left="57" w:right="57"/>
              <w:contextualSpacing w:val="0"/>
              <w:rPr>
                <w:sz w:val="22"/>
                <w:szCs w:val="22"/>
              </w:rPr>
            </w:pPr>
            <w:r w:rsidRPr="00264D5D">
              <w:rPr>
                <w:sz w:val="22"/>
                <w:szCs w:val="22"/>
              </w:rPr>
              <w:t>Поле не заполняется для блока «Наименовани</w:t>
            </w:r>
            <w:r w:rsidR="00B83EE9" w:rsidRPr="00264D5D">
              <w:rPr>
                <w:sz w:val="22"/>
                <w:szCs w:val="22"/>
              </w:rPr>
              <w:t>е ГРБС/иного юридического лица»</w:t>
            </w:r>
          </w:p>
        </w:tc>
      </w:tr>
      <w:tr w:rsidR="00AD1F54" w:rsidRPr="00264D5D" w14:paraId="1F344288"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C8340CD" w14:textId="77777777" w:rsidR="00AD1F54" w:rsidRPr="00264D5D" w:rsidRDefault="00941227">
            <w:pPr>
              <w:pStyle w:val="EBTablenorm"/>
              <w:ind w:left="57" w:right="57"/>
              <w:contextualSpacing w:val="0"/>
              <w:jc w:val="left"/>
              <w:rPr>
                <w:sz w:val="22"/>
                <w:szCs w:val="22"/>
              </w:rPr>
            </w:pPr>
            <w:r w:rsidRPr="00264D5D">
              <w:rPr>
                <w:sz w:val="22"/>
                <w:szCs w:val="22"/>
              </w:rPr>
              <w:lastRenderedPageBreak/>
              <w:t>Имя c использованием букв латинского алфавита</w:t>
            </w:r>
          </w:p>
        </w:tc>
        <w:tc>
          <w:tcPr>
            <w:tcW w:w="1701" w:type="dxa"/>
          </w:tcPr>
          <w:p w14:paraId="7259BF6D" w14:textId="77777777" w:rsidR="00AD1F54" w:rsidRPr="00264D5D" w:rsidRDefault="00941227">
            <w:pPr>
              <w:pStyle w:val="EBTablenorm"/>
              <w:ind w:left="57" w:right="57"/>
              <w:contextualSpacing w:val="0"/>
              <w:jc w:val="left"/>
              <w:rPr>
                <w:sz w:val="22"/>
                <w:szCs w:val="22"/>
              </w:rPr>
            </w:pPr>
            <w:r w:rsidRPr="00264D5D">
              <w:rPr>
                <w:sz w:val="22"/>
                <w:szCs w:val="22"/>
              </w:rPr>
              <w:t>FrgnName</w:t>
            </w:r>
          </w:p>
        </w:tc>
        <w:tc>
          <w:tcPr>
            <w:tcW w:w="567" w:type="dxa"/>
          </w:tcPr>
          <w:p w14:paraId="7811B952"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5AFF8163" w14:textId="77777777" w:rsidR="00AD1F54" w:rsidRPr="00264D5D" w:rsidRDefault="00941227">
            <w:pPr>
              <w:pStyle w:val="EBTablenorm"/>
              <w:ind w:left="57" w:right="57"/>
              <w:contextualSpacing w:val="0"/>
              <w:jc w:val="left"/>
              <w:rPr>
                <w:sz w:val="22"/>
                <w:szCs w:val="22"/>
              </w:rPr>
            </w:pPr>
            <w:r w:rsidRPr="00264D5D">
              <w:rPr>
                <w:sz w:val="22"/>
                <w:szCs w:val="22"/>
              </w:rPr>
              <w:t>Т(1-100)</w:t>
            </w:r>
          </w:p>
        </w:tc>
        <w:tc>
          <w:tcPr>
            <w:tcW w:w="567" w:type="dxa"/>
          </w:tcPr>
          <w:p w14:paraId="1713A3E2" w14:textId="77777777" w:rsidR="00AD1F54" w:rsidRPr="00264D5D" w:rsidRDefault="00941227">
            <w:pPr>
              <w:pStyle w:val="EBTablenorm"/>
              <w:ind w:left="57" w:right="57"/>
              <w:contextualSpacing w:val="0"/>
              <w:jc w:val="center"/>
              <w:rPr>
                <w:sz w:val="22"/>
                <w:szCs w:val="22"/>
              </w:rPr>
            </w:pPr>
            <w:r w:rsidRPr="00264D5D">
              <w:rPr>
                <w:sz w:val="22"/>
                <w:szCs w:val="22"/>
              </w:rPr>
              <w:t>Н</w:t>
            </w:r>
          </w:p>
        </w:tc>
        <w:tc>
          <w:tcPr>
            <w:tcW w:w="3963" w:type="dxa"/>
          </w:tcPr>
          <w:p w14:paraId="6782E4AC" w14:textId="77777777" w:rsidR="00AD1F54" w:rsidRPr="00264D5D" w:rsidRDefault="00941227">
            <w:pPr>
              <w:pStyle w:val="EBTablenorm"/>
              <w:ind w:left="57" w:right="57"/>
              <w:contextualSpacing w:val="0"/>
              <w:rPr>
                <w:sz w:val="22"/>
                <w:szCs w:val="22"/>
              </w:rPr>
            </w:pPr>
            <w:r w:rsidRPr="00264D5D">
              <w:rPr>
                <w:sz w:val="22"/>
                <w:szCs w:val="22"/>
              </w:rPr>
              <w:t xml:space="preserve">Имя c использованием букв латинского алфавита (в соответствии с п. 4.5 Порядка). </w:t>
            </w:r>
          </w:p>
          <w:p w14:paraId="238B96F1" w14:textId="77777777" w:rsidR="00AD1F54" w:rsidRPr="00264D5D" w:rsidRDefault="00941227">
            <w:pPr>
              <w:pStyle w:val="EBTablenorm"/>
              <w:ind w:left="57" w:right="57"/>
              <w:contextualSpacing w:val="0"/>
              <w:rPr>
                <w:sz w:val="22"/>
                <w:szCs w:val="22"/>
              </w:rPr>
            </w:pPr>
            <w:r w:rsidRPr="00264D5D">
              <w:rPr>
                <w:sz w:val="22"/>
                <w:szCs w:val="22"/>
              </w:rPr>
              <w:t>Поле обязательно для заполнения для блока «Наименование получателя субсидии, получателя средств» при указании в элементе «Тип Получателя» значения «5».</w:t>
            </w:r>
          </w:p>
          <w:p w14:paraId="3D2A6A13" w14:textId="77777777" w:rsidR="00AD1F54" w:rsidRPr="00264D5D" w:rsidRDefault="00941227">
            <w:pPr>
              <w:pStyle w:val="EBTablenorm"/>
              <w:ind w:left="57" w:right="57"/>
              <w:contextualSpacing w:val="0"/>
              <w:rPr>
                <w:sz w:val="22"/>
                <w:szCs w:val="22"/>
              </w:rPr>
            </w:pPr>
            <w:r w:rsidRPr="00264D5D">
              <w:rPr>
                <w:sz w:val="22"/>
                <w:szCs w:val="22"/>
              </w:rPr>
              <w:t>Поле не заполняется для блока «Наименовани</w:t>
            </w:r>
            <w:r w:rsidR="00B83EE9" w:rsidRPr="00264D5D">
              <w:rPr>
                <w:sz w:val="22"/>
                <w:szCs w:val="22"/>
              </w:rPr>
              <w:t>е ГРБС/иного юридического лица»</w:t>
            </w:r>
          </w:p>
        </w:tc>
      </w:tr>
      <w:tr w:rsidR="00AD1F54" w:rsidRPr="00264D5D" w14:paraId="5732B44B"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2E916E7" w14:textId="77777777" w:rsidR="00AD1F54" w:rsidRPr="00264D5D" w:rsidRDefault="00941227">
            <w:pPr>
              <w:pStyle w:val="EBTablenorm"/>
              <w:ind w:left="57" w:right="57"/>
              <w:contextualSpacing w:val="0"/>
              <w:jc w:val="left"/>
              <w:rPr>
                <w:sz w:val="22"/>
                <w:szCs w:val="22"/>
              </w:rPr>
            </w:pPr>
            <w:r w:rsidRPr="00264D5D">
              <w:rPr>
                <w:sz w:val="22"/>
                <w:szCs w:val="22"/>
              </w:rPr>
              <w:t>Отчество c использованием букв латинского алфавита</w:t>
            </w:r>
          </w:p>
        </w:tc>
        <w:tc>
          <w:tcPr>
            <w:tcW w:w="1701" w:type="dxa"/>
          </w:tcPr>
          <w:p w14:paraId="332057F0" w14:textId="77777777" w:rsidR="00AD1F54" w:rsidRPr="00264D5D" w:rsidRDefault="00941227">
            <w:pPr>
              <w:pStyle w:val="EBTablenorm"/>
              <w:ind w:left="57" w:right="57"/>
              <w:contextualSpacing w:val="0"/>
              <w:jc w:val="left"/>
              <w:rPr>
                <w:sz w:val="22"/>
                <w:szCs w:val="22"/>
              </w:rPr>
            </w:pPr>
            <w:r w:rsidRPr="00264D5D">
              <w:rPr>
                <w:sz w:val="22"/>
                <w:szCs w:val="22"/>
              </w:rPr>
              <w:t>FrgnPtrName</w:t>
            </w:r>
          </w:p>
        </w:tc>
        <w:tc>
          <w:tcPr>
            <w:tcW w:w="567" w:type="dxa"/>
          </w:tcPr>
          <w:p w14:paraId="7ADA589E"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25869BB6" w14:textId="77777777" w:rsidR="00AD1F54" w:rsidRPr="00264D5D" w:rsidRDefault="00941227">
            <w:pPr>
              <w:pStyle w:val="EBTablenorm"/>
              <w:ind w:left="57" w:right="57"/>
              <w:contextualSpacing w:val="0"/>
              <w:jc w:val="left"/>
              <w:rPr>
                <w:color w:val="000000"/>
                <w:sz w:val="22"/>
                <w:szCs w:val="22"/>
              </w:rPr>
            </w:pPr>
            <w:r w:rsidRPr="00264D5D">
              <w:rPr>
                <w:color w:val="000000"/>
                <w:sz w:val="22"/>
                <w:szCs w:val="22"/>
              </w:rPr>
              <w:t>Т(1-100)</w:t>
            </w:r>
          </w:p>
        </w:tc>
        <w:tc>
          <w:tcPr>
            <w:tcW w:w="567" w:type="dxa"/>
          </w:tcPr>
          <w:p w14:paraId="381067C4" w14:textId="77777777" w:rsidR="00AD1F54" w:rsidRPr="00264D5D" w:rsidRDefault="00941227">
            <w:pPr>
              <w:pStyle w:val="EBTablenorm"/>
              <w:ind w:left="57" w:right="57"/>
              <w:contextualSpacing w:val="0"/>
              <w:jc w:val="center"/>
              <w:rPr>
                <w:sz w:val="22"/>
                <w:szCs w:val="22"/>
              </w:rPr>
            </w:pPr>
            <w:r w:rsidRPr="00264D5D">
              <w:rPr>
                <w:sz w:val="22"/>
                <w:szCs w:val="22"/>
              </w:rPr>
              <w:t>Н</w:t>
            </w:r>
          </w:p>
        </w:tc>
        <w:tc>
          <w:tcPr>
            <w:tcW w:w="3963" w:type="dxa"/>
          </w:tcPr>
          <w:p w14:paraId="68698B17" w14:textId="77777777" w:rsidR="00AD1F54" w:rsidRPr="00264D5D" w:rsidRDefault="00941227">
            <w:pPr>
              <w:pStyle w:val="EBTablenorm"/>
              <w:ind w:left="57" w:right="57"/>
              <w:contextualSpacing w:val="0"/>
              <w:rPr>
                <w:sz w:val="22"/>
                <w:szCs w:val="22"/>
              </w:rPr>
            </w:pPr>
            <w:r w:rsidRPr="00264D5D">
              <w:rPr>
                <w:sz w:val="22"/>
                <w:szCs w:val="22"/>
              </w:rPr>
              <w:t xml:space="preserve">Отчество c использованием букв латинского алфавита (в соответствии с п. 4.5 Порядка). </w:t>
            </w:r>
          </w:p>
          <w:p w14:paraId="3409D6BC" w14:textId="77777777" w:rsidR="00AD1F54" w:rsidRPr="00264D5D" w:rsidRDefault="00941227">
            <w:pPr>
              <w:pStyle w:val="EBTablenorm"/>
              <w:ind w:left="57" w:right="57"/>
              <w:contextualSpacing w:val="0"/>
              <w:rPr>
                <w:sz w:val="22"/>
                <w:szCs w:val="22"/>
              </w:rPr>
            </w:pPr>
            <w:r w:rsidRPr="00264D5D">
              <w:rPr>
                <w:sz w:val="22"/>
                <w:szCs w:val="22"/>
              </w:rPr>
              <w:t>Поле может быть заполнено для блока «Наименование получателя субсидии, получателя средств» при указании в элементе «Тип Получателя» значения «5».</w:t>
            </w:r>
          </w:p>
          <w:p w14:paraId="787FBAEB" w14:textId="77777777" w:rsidR="00AD1F54" w:rsidRPr="00264D5D" w:rsidRDefault="00941227">
            <w:pPr>
              <w:pStyle w:val="EBTablenorm"/>
              <w:ind w:left="57" w:right="57"/>
              <w:contextualSpacing w:val="0"/>
              <w:rPr>
                <w:sz w:val="22"/>
                <w:szCs w:val="22"/>
              </w:rPr>
            </w:pPr>
            <w:r w:rsidRPr="00264D5D">
              <w:rPr>
                <w:sz w:val="22"/>
                <w:szCs w:val="22"/>
              </w:rPr>
              <w:t>Поле не заполняется для блока «Наименовани</w:t>
            </w:r>
            <w:r w:rsidR="00B83EE9" w:rsidRPr="00264D5D">
              <w:rPr>
                <w:sz w:val="22"/>
                <w:szCs w:val="22"/>
              </w:rPr>
              <w:t>е ГРБС/иного юридического лица»</w:t>
            </w:r>
          </w:p>
        </w:tc>
      </w:tr>
      <w:tr w:rsidR="00AD1F54" w:rsidRPr="00264D5D" w14:paraId="293DEC04"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4F3B82E1" w14:textId="77777777" w:rsidR="00AD1F54" w:rsidRPr="00264D5D" w:rsidRDefault="00941227">
            <w:pPr>
              <w:pStyle w:val="EBTablenorm"/>
              <w:ind w:left="57" w:right="57"/>
              <w:contextualSpacing w:val="0"/>
              <w:jc w:val="left"/>
              <w:rPr>
                <w:sz w:val="22"/>
                <w:szCs w:val="22"/>
              </w:rPr>
            </w:pPr>
            <w:r w:rsidRPr="00264D5D">
              <w:rPr>
                <w:sz w:val="22"/>
                <w:szCs w:val="22"/>
              </w:rPr>
              <w:t>Код по Сводному реестру</w:t>
            </w:r>
          </w:p>
        </w:tc>
        <w:tc>
          <w:tcPr>
            <w:tcW w:w="1701" w:type="dxa"/>
          </w:tcPr>
          <w:p w14:paraId="3918BF37" w14:textId="77777777" w:rsidR="00AD1F54" w:rsidRPr="00264D5D" w:rsidRDefault="00941227">
            <w:pPr>
              <w:pStyle w:val="EBTablenorm"/>
              <w:ind w:left="57" w:right="57"/>
              <w:contextualSpacing w:val="0"/>
              <w:jc w:val="left"/>
              <w:rPr>
                <w:sz w:val="22"/>
                <w:szCs w:val="22"/>
              </w:rPr>
            </w:pPr>
            <w:r w:rsidRPr="00264D5D">
              <w:rPr>
                <w:sz w:val="22"/>
                <w:szCs w:val="22"/>
                <w:lang w:val="en-US"/>
              </w:rPr>
              <w:t>SRCode</w:t>
            </w:r>
          </w:p>
        </w:tc>
        <w:tc>
          <w:tcPr>
            <w:tcW w:w="567" w:type="dxa"/>
          </w:tcPr>
          <w:p w14:paraId="056C73C8"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2CA2681E" w14:textId="77777777" w:rsidR="00AD1F54" w:rsidRPr="00264D5D" w:rsidRDefault="00941227">
            <w:pPr>
              <w:pStyle w:val="EBTablenorm"/>
              <w:ind w:left="57" w:right="57"/>
              <w:contextualSpacing w:val="0"/>
              <w:jc w:val="left"/>
              <w:rPr>
                <w:color w:val="000000"/>
                <w:sz w:val="22"/>
                <w:szCs w:val="22"/>
              </w:rPr>
            </w:pPr>
            <w:r w:rsidRPr="00264D5D">
              <w:rPr>
                <w:sz w:val="22"/>
                <w:szCs w:val="22"/>
                <w:lang w:val="en-US"/>
              </w:rPr>
              <w:t>Т(</w:t>
            </w:r>
            <w:r w:rsidRPr="00264D5D">
              <w:rPr>
                <w:sz w:val="22"/>
                <w:szCs w:val="22"/>
              </w:rPr>
              <w:t>8</w:t>
            </w:r>
            <w:r w:rsidRPr="00264D5D">
              <w:rPr>
                <w:sz w:val="22"/>
                <w:szCs w:val="22"/>
                <w:lang w:val="en-US"/>
              </w:rPr>
              <w:t>)</w:t>
            </w:r>
          </w:p>
        </w:tc>
        <w:tc>
          <w:tcPr>
            <w:tcW w:w="567" w:type="dxa"/>
          </w:tcPr>
          <w:p w14:paraId="6D812408" w14:textId="77777777" w:rsidR="00AD1F54" w:rsidRPr="00264D5D" w:rsidRDefault="00941227">
            <w:pPr>
              <w:pStyle w:val="EBTablenorm"/>
              <w:ind w:left="57" w:right="57"/>
              <w:contextualSpacing w:val="0"/>
              <w:jc w:val="center"/>
              <w:rPr>
                <w:sz w:val="22"/>
                <w:szCs w:val="22"/>
                <w:lang w:val="en-US"/>
              </w:rPr>
            </w:pPr>
            <w:r w:rsidRPr="00264D5D">
              <w:rPr>
                <w:sz w:val="22"/>
                <w:szCs w:val="22"/>
              </w:rPr>
              <w:t>Н</w:t>
            </w:r>
          </w:p>
        </w:tc>
        <w:tc>
          <w:tcPr>
            <w:tcW w:w="3963" w:type="dxa"/>
          </w:tcPr>
          <w:p w14:paraId="0E503EA5" w14:textId="77777777" w:rsidR="00AD1F54" w:rsidRPr="00264D5D" w:rsidRDefault="00941227">
            <w:pPr>
              <w:pStyle w:val="EBTablenorm"/>
              <w:ind w:left="57" w:right="57"/>
              <w:contextualSpacing w:val="0"/>
              <w:rPr>
                <w:sz w:val="22"/>
                <w:szCs w:val="22"/>
              </w:rPr>
            </w:pPr>
            <w:r w:rsidRPr="00264D5D">
              <w:rPr>
                <w:sz w:val="22"/>
                <w:szCs w:val="22"/>
              </w:rPr>
              <w:t xml:space="preserve">Уникальный код по Сводному реестру (в соответствии с п. 4.13 Порядка). </w:t>
            </w:r>
          </w:p>
          <w:p w14:paraId="377FFD9C" w14:textId="77777777" w:rsidR="00AD1F54" w:rsidRPr="00264D5D" w:rsidRDefault="00941227">
            <w:pPr>
              <w:pStyle w:val="EBTablenorm"/>
              <w:ind w:left="57" w:right="57"/>
              <w:contextualSpacing w:val="0"/>
              <w:rPr>
                <w:sz w:val="22"/>
                <w:szCs w:val="22"/>
              </w:rPr>
            </w:pPr>
            <w:r w:rsidRPr="00264D5D">
              <w:rPr>
                <w:sz w:val="22"/>
                <w:szCs w:val="22"/>
              </w:rPr>
              <w:t xml:space="preserve">Поле обязательно для заполнения для блока «Наименование ГРБС/иного юридического лица». </w:t>
            </w:r>
          </w:p>
          <w:p w14:paraId="44310FF4" w14:textId="77777777" w:rsidR="00AD1F54" w:rsidRPr="00264D5D" w:rsidRDefault="00941227">
            <w:pPr>
              <w:pStyle w:val="EBTablenorm"/>
              <w:ind w:left="57" w:right="57"/>
              <w:contextualSpacing w:val="0"/>
              <w:rPr>
                <w:sz w:val="22"/>
                <w:szCs w:val="22"/>
              </w:rPr>
            </w:pPr>
            <w:r w:rsidRPr="00264D5D">
              <w:rPr>
                <w:sz w:val="22"/>
                <w:szCs w:val="22"/>
              </w:rPr>
              <w:t>Поле может быть заполнено для блока «Наименование получателя субсидии, получателя средств» при указании в элементе</w:t>
            </w:r>
            <w:r w:rsidR="00B83EE9" w:rsidRPr="00264D5D">
              <w:rPr>
                <w:sz w:val="22"/>
                <w:szCs w:val="22"/>
              </w:rPr>
              <w:t xml:space="preserve"> «Тип Получателя» значения «1»</w:t>
            </w:r>
          </w:p>
        </w:tc>
      </w:tr>
      <w:tr w:rsidR="00AD1F54" w:rsidRPr="00264D5D" w14:paraId="3CEE75F7"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7943044" w14:textId="77777777" w:rsidR="00AD1F54" w:rsidRPr="00264D5D" w:rsidRDefault="00941227">
            <w:pPr>
              <w:pStyle w:val="EBTablenorm"/>
              <w:ind w:left="57" w:right="57"/>
              <w:contextualSpacing w:val="0"/>
              <w:jc w:val="left"/>
              <w:rPr>
                <w:sz w:val="22"/>
                <w:szCs w:val="22"/>
              </w:rPr>
            </w:pPr>
            <w:r w:rsidRPr="00264D5D">
              <w:rPr>
                <w:sz w:val="22"/>
                <w:szCs w:val="22"/>
              </w:rPr>
              <w:t>Код ОКОПФ</w:t>
            </w:r>
          </w:p>
        </w:tc>
        <w:tc>
          <w:tcPr>
            <w:tcW w:w="1701" w:type="dxa"/>
          </w:tcPr>
          <w:p w14:paraId="1B0C803D" w14:textId="77777777" w:rsidR="00AD1F54" w:rsidRPr="00264D5D" w:rsidRDefault="00941227">
            <w:pPr>
              <w:pStyle w:val="EBTablenorm"/>
              <w:ind w:left="57" w:right="57"/>
              <w:contextualSpacing w:val="0"/>
              <w:jc w:val="left"/>
              <w:rPr>
                <w:sz w:val="22"/>
                <w:szCs w:val="22"/>
              </w:rPr>
            </w:pPr>
            <w:r w:rsidRPr="00264D5D">
              <w:rPr>
                <w:sz w:val="22"/>
                <w:szCs w:val="22"/>
              </w:rPr>
              <w:t>Okopf</w:t>
            </w:r>
          </w:p>
        </w:tc>
        <w:tc>
          <w:tcPr>
            <w:tcW w:w="567" w:type="dxa"/>
          </w:tcPr>
          <w:p w14:paraId="49A06E57"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2AB5D2B4" w14:textId="77777777" w:rsidR="00AD1F54" w:rsidRPr="00264D5D" w:rsidRDefault="00941227">
            <w:pPr>
              <w:pStyle w:val="EBTablenorm"/>
              <w:ind w:left="57" w:right="57"/>
              <w:contextualSpacing w:val="0"/>
              <w:jc w:val="left"/>
              <w:rPr>
                <w:sz w:val="22"/>
                <w:szCs w:val="22"/>
              </w:rPr>
            </w:pPr>
            <w:r w:rsidRPr="00264D5D">
              <w:rPr>
                <w:sz w:val="22"/>
                <w:szCs w:val="22"/>
                <w:lang w:val="en-US"/>
              </w:rPr>
              <w:t>Т(5)</w:t>
            </w:r>
          </w:p>
        </w:tc>
        <w:tc>
          <w:tcPr>
            <w:tcW w:w="567" w:type="dxa"/>
          </w:tcPr>
          <w:p w14:paraId="1C6107BA" w14:textId="77777777" w:rsidR="00AD1F54" w:rsidRPr="00264D5D" w:rsidRDefault="00941227">
            <w:pPr>
              <w:pStyle w:val="EBTablenorm"/>
              <w:ind w:left="57" w:right="57"/>
              <w:contextualSpacing w:val="0"/>
              <w:jc w:val="center"/>
              <w:rPr>
                <w:sz w:val="22"/>
                <w:szCs w:val="22"/>
              </w:rPr>
            </w:pPr>
            <w:r w:rsidRPr="00264D5D">
              <w:rPr>
                <w:sz w:val="22"/>
                <w:szCs w:val="22"/>
              </w:rPr>
              <w:t>Н</w:t>
            </w:r>
          </w:p>
        </w:tc>
        <w:tc>
          <w:tcPr>
            <w:tcW w:w="3963" w:type="dxa"/>
          </w:tcPr>
          <w:p w14:paraId="51723739" w14:textId="77777777" w:rsidR="00AD1F54" w:rsidRPr="00264D5D" w:rsidRDefault="00941227">
            <w:pPr>
              <w:pStyle w:val="EBTablenorm"/>
              <w:ind w:left="57" w:right="57"/>
              <w:contextualSpacing w:val="0"/>
              <w:rPr>
                <w:sz w:val="22"/>
                <w:szCs w:val="22"/>
              </w:rPr>
            </w:pPr>
            <w:r w:rsidRPr="00264D5D">
              <w:rPr>
                <w:sz w:val="22"/>
                <w:szCs w:val="22"/>
              </w:rPr>
              <w:t xml:space="preserve">Код ОКОПФ (в соответствии с п. 4.4 Порядка). </w:t>
            </w:r>
          </w:p>
          <w:p w14:paraId="25BD5894" w14:textId="77777777" w:rsidR="00AD1F54" w:rsidRPr="00264D5D" w:rsidRDefault="00941227">
            <w:pPr>
              <w:pStyle w:val="EBTablenorm"/>
              <w:ind w:left="57" w:right="57"/>
              <w:contextualSpacing w:val="0"/>
              <w:rPr>
                <w:sz w:val="22"/>
                <w:szCs w:val="22"/>
              </w:rPr>
            </w:pPr>
            <w:r w:rsidRPr="00264D5D">
              <w:rPr>
                <w:sz w:val="22"/>
                <w:szCs w:val="22"/>
              </w:rPr>
              <w:t xml:space="preserve">Поле обязательно для заполнения для блока «Наименование ГРБС/иного юридического лица». </w:t>
            </w:r>
          </w:p>
          <w:p w14:paraId="6BFBFB8E" w14:textId="77777777" w:rsidR="00AD1F54" w:rsidRPr="00264D5D" w:rsidRDefault="00941227">
            <w:pPr>
              <w:pStyle w:val="EBTablenorm"/>
              <w:ind w:left="57" w:right="57"/>
              <w:contextualSpacing w:val="0"/>
              <w:rPr>
                <w:sz w:val="22"/>
                <w:szCs w:val="22"/>
              </w:rPr>
            </w:pPr>
            <w:r w:rsidRPr="00264D5D">
              <w:rPr>
                <w:sz w:val="22"/>
                <w:szCs w:val="22"/>
              </w:rPr>
              <w:t>Поле обязательно для заполнения для блока «Наименование получателя субсидии, получателя средств» при указании в элементе «Тип</w:t>
            </w:r>
            <w:r w:rsidR="00B83EE9" w:rsidRPr="00264D5D">
              <w:rPr>
                <w:sz w:val="22"/>
                <w:szCs w:val="22"/>
              </w:rPr>
              <w:t xml:space="preserve"> Получателя» значения «1» и «2»</w:t>
            </w:r>
          </w:p>
        </w:tc>
      </w:tr>
      <w:tr w:rsidR="00AD1F54" w:rsidRPr="00264D5D" w14:paraId="2A7A09B0"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2330567B" w14:textId="77777777" w:rsidR="00AD1F54" w:rsidRPr="00264D5D" w:rsidRDefault="00941227">
            <w:pPr>
              <w:pStyle w:val="EBTablenorm"/>
              <w:ind w:left="57" w:right="57"/>
              <w:contextualSpacing w:val="0"/>
              <w:jc w:val="left"/>
              <w:rPr>
                <w:sz w:val="22"/>
                <w:szCs w:val="22"/>
              </w:rPr>
            </w:pPr>
            <w:r w:rsidRPr="00264D5D">
              <w:rPr>
                <w:sz w:val="22"/>
                <w:szCs w:val="22"/>
              </w:rPr>
              <w:lastRenderedPageBreak/>
              <w:t>ОГРН</w:t>
            </w:r>
          </w:p>
        </w:tc>
        <w:tc>
          <w:tcPr>
            <w:tcW w:w="1701" w:type="dxa"/>
          </w:tcPr>
          <w:p w14:paraId="107266AE" w14:textId="77777777" w:rsidR="00AD1F54" w:rsidRPr="00264D5D" w:rsidRDefault="00941227">
            <w:pPr>
              <w:pStyle w:val="EBTablenorm"/>
              <w:ind w:left="57" w:right="57"/>
              <w:contextualSpacing w:val="0"/>
              <w:jc w:val="left"/>
              <w:rPr>
                <w:sz w:val="22"/>
                <w:szCs w:val="22"/>
              </w:rPr>
            </w:pPr>
            <w:r w:rsidRPr="00264D5D">
              <w:rPr>
                <w:color w:val="000000"/>
                <w:szCs w:val="24"/>
                <w:lang w:val="en-US"/>
              </w:rPr>
              <w:t>Ogrn</w:t>
            </w:r>
          </w:p>
        </w:tc>
        <w:tc>
          <w:tcPr>
            <w:tcW w:w="567" w:type="dxa"/>
          </w:tcPr>
          <w:p w14:paraId="0FD9EB51"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36254E8E" w14:textId="77777777" w:rsidR="00AD1F54" w:rsidRPr="00264D5D" w:rsidRDefault="00941227">
            <w:pPr>
              <w:pStyle w:val="EBTablenorm"/>
              <w:ind w:left="57" w:right="57"/>
              <w:contextualSpacing w:val="0"/>
              <w:jc w:val="left"/>
              <w:rPr>
                <w:sz w:val="22"/>
                <w:szCs w:val="22"/>
              </w:rPr>
            </w:pPr>
            <w:r w:rsidRPr="00264D5D">
              <w:rPr>
                <w:sz w:val="22"/>
                <w:szCs w:val="22"/>
              </w:rPr>
              <w:t>Т(13)</w:t>
            </w:r>
          </w:p>
        </w:tc>
        <w:tc>
          <w:tcPr>
            <w:tcW w:w="567" w:type="dxa"/>
          </w:tcPr>
          <w:p w14:paraId="5043660A" w14:textId="77777777" w:rsidR="00AD1F54" w:rsidRPr="00264D5D" w:rsidRDefault="00941227">
            <w:pPr>
              <w:pStyle w:val="EBTablenorm"/>
              <w:ind w:left="57" w:right="57"/>
              <w:contextualSpacing w:val="0"/>
              <w:jc w:val="center"/>
              <w:rPr>
                <w:sz w:val="22"/>
                <w:szCs w:val="22"/>
              </w:rPr>
            </w:pPr>
            <w:r w:rsidRPr="00264D5D">
              <w:rPr>
                <w:sz w:val="22"/>
                <w:szCs w:val="22"/>
              </w:rPr>
              <w:t>Н</w:t>
            </w:r>
          </w:p>
        </w:tc>
        <w:tc>
          <w:tcPr>
            <w:tcW w:w="3963" w:type="dxa"/>
          </w:tcPr>
          <w:p w14:paraId="44AE8046" w14:textId="77777777" w:rsidR="00AD1F54" w:rsidRPr="00264D5D" w:rsidRDefault="00941227">
            <w:pPr>
              <w:pStyle w:val="EBTablenorm"/>
              <w:ind w:left="57" w:right="57"/>
              <w:contextualSpacing w:val="0"/>
              <w:rPr>
                <w:sz w:val="22"/>
                <w:szCs w:val="22"/>
              </w:rPr>
            </w:pPr>
            <w:r w:rsidRPr="00264D5D">
              <w:rPr>
                <w:sz w:val="22"/>
                <w:szCs w:val="22"/>
              </w:rPr>
              <w:t>ОГРН (в соответствии с п. 4.4, 4.9 Порядка).</w:t>
            </w:r>
          </w:p>
          <w:p w14:paraId="757BD3D2" w14:textId="77777777" w:rsidR="00AD1F54" w:rsidRPr="00264D5D" w:rsidRDefault="00941227">
            <w:pPr>
              <w:pStyle w:val="EBTablenorm"/>
              <w:ind w:left="57" w:right="57"/>
              <w:contextualSpacing w:val="0"/>
              <w:rPr>
                <w:sz w:val="22"/>
                <w:szCs w:val="22"/>
              </w:rPr>
            </w:pPr>
            <w:r w:rsidRPr="00264D5D">
              <w:rPr>
                <w:sz w:val="22"/>
                <w:szCs w:val="22"/>
              </w:rPr>
              <w:t>Поле не обязательно для заполнения для блока «Наименование получателя субсидии, получателя средств» при указании в элементе «Ти</w:t>
            </w:r>
            <w:r w:rsidR="00B83EE9" w:rsidRPr="00264D5D">
              <w:rPr>
                <w:sz w:val="22"/>
                <w:szCs w:val="22"/>
              </w:rPr>
              <w:t>п Получателя» значений «2», «3»</w:t>
            </w:r>
          </w:p>
        </w:tc>
      </w:tr>
      <w:tr w:rsidR="00AD1F54" w:rsidRPr="00264D5D" w14:paraId="6871B316"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6D27C15" w14:textId="77777777" w:rsidR="00AD1F54" w:rsidRPr="00264D5D" w:rsidRDefault="00941227">
            <w:pPr>
              <w:pStyle w:val="EBTablenorm"/>
              <w:ind w:left="57" w:right="57"/>
              <w:contextualSpacing w:val="0"/>
              <w:jc w:val="left"/>
              <w:rPr>
                <w:sz w:val="22"/>
                <w:szCs w:val="22"/>
              </w:rPr>
            </w:pPr>
            <w:r w:rsidRPr="00264D5D">
              <w:rPr>
                <w:sz w:val="22"/>
                <w:szCs w:val="22"/>
              </w:rPr>
              <w:t>ИНН</w:t>
            </w:r>
          </w:p>
        </w:tc>
        <w:tc>
          <w:tcPr>
            <w:tcW w:w="1701" w:type="dxa"/>
          </w:tcPr>
          <w:p w14:paraId="73EEEE9E" w14:textId="77777777" w:rsidR="00AD1F54" w:rsidRPr="00264D5D" w:rsidRDefault="00941227">
            <w:pPr>
              <w:pStyle w:val="EBTablenorm"/>
              <w:ind w:left="57" w:right="57"/>
              <w:contextualSpacing w:val="0"/>
              <w:jc w:val="left"/>
              <w:rPr>
                <w:sz w:val="22"/>
                <w:szCs w:val="22"/>
              </w:rPr>
            </w:pPr>
            <w:r w:rsidRPr="00264D5D">
              <w:rPr>
                <w:sz w:val="22"/>
                <w:szCs w:val="22"/>
              </w:rPr>
              <w:t>Inn</w:t>
            </w:r>
          </w:p>
        </w:tc>
        <w:tc>
          <w:tcPr>
            <w:tcW w:w="567" w:type="dxa"/>
          </w:tcPr>
          <w:p w14:paraId="30451E0F"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669EE643" w14:textId="77777777" w:rsidR="00AD1F54" w:rsidRPr="00264D5D" w:rsidRDefault="00941227">
            <w:pPr>
              <w:pStyle w:val="EBTablenorm"/>
              <w:ind w:left="57" w:right="57"/>
              <w:contextualSpacing w:val="0"/>
              <w:jc w:val="left"/>
              <w:rPr>
                <w:sz w:val="22"/>
                <w:szCs w:val="22"/>
              </w:rPr>
            </w:pPr>
            <w:r w:rsidRPr="00264D5D">
              <w:rPr>
                <w:sz w:val="22"/>
                <w:szCs w:val="22"/>
                <w:lang w:val="en-US"/>
              </w:rPr>
              <w:t>Т(1</w:t>
            </w:r>
            <w:r w:rsidRPr="00264D5D">
              <w:rPr>
                <w:sz w:val="22"/>
                <w:szCs w:val="22"/>
              </w:rPr>
              <w:t>0</w:t>
            </w:r>
            <w:r w:rsidRPr="00264D5D">
              <w:rPr>
                <w:sz w:val="22"/>
                <w:szCs w:val="22"/>
                <w:lang w:val="en-US"/>
              </w:rPr>
              <w:t>)</w:t>
            </w:r>
            <w:r w:rsidRPr="00264D5D">
              <w:rPr>
                <w:sz w:val="22"/>
                <w:szCs w:val="22"/>
              </w:rPr>
              <w:t xml:space="preserve"> или Т(12)</w:t>
            </w:r>
          </w:p>
          <w:p w14:paraId="78F476BF" w14:textId="77777777" w:rsidR="00AD1F54" w:rsidRPr="00264D5D" w:rsidRDefault="00AD1F54">
            <w:pPr>
              <w:pStyle w:val="EBTablenorm"/>
              <w:ind w:left="57" w:right="57"/>
              <w:contextualSpacing w:val="0"/>
              <w:jc w:val="left"/>
              <w:rPr>
                <w:sz w:val="22"/>
                <w:szCs w:val="22"/>
                <w:lang w:val="en-US"/>
              </w:rPr>
            </w:pPr>
          </w:p>
        </w:tc>
        <w:tc>
          <w:tcPr>
            <w:tcW w:w="567" w:type="dxa"/>
          </w:tcPr>
          <w:p w14:paraId="557C787E" w14:textId="77777777" w:rsidR="00AD1F54" w:rsidRPr="00264D5D" w:rsidRDefault="00941227">
            <w:pPr>
              <w:pStyle w:val="EBTablenorm"/>
              <w:ind w:left="57" w:right="57"/>
              <w:contextualSpacing w:val="0"/>
              <w:jc w:val="center"/>
              <w:rPr>
                <w:sz w:val="22"/>
                <w:szCs w:val="22"/>
              </w:rPr>
            </w:pPr>
            <w:r w:rsidRPr="00264D5D">
              <w:rPr>
                <w:sz w:val="22"/>
                <w:szCs w:val="22"/>
              </w:rPr>
              <w:t>Н</w:t>
            </w:r>
          </w:p>
        </w:tc>
        <w:tc>
          <w:tcPr>
            <w:tcW w:w="3963" w:type="dxa"/>
          </w:tcPr>
          <w:p w14:paraId="23276466" w14:textId="77777777" w:rsidR="00AD1F54" w:rsidRPr="00264D5D" w:rsidRDefault="00941227">
            <w:pPr>
              <w:pStyle w:val="EBTablenorm"/>
              <w:ind w:left="57" w:right="57"/>
              <w:contextualSpacing w:val="0"/>
              <w:rPr>
                <w:sz w:val="22"/>
                <w:szCs w:val="22"/>
              </w:rPr>
            </w:pPr>
            <w:r w:rsidRPr="00264D5D">
              <w:rPr>
                <w:sz w:val="22"/>
                <w:szCs w:val="22"/>
              </w:rPr>
              <w:t xml:space="preserve">ИНН (в соответствии с п. 4.4 4.5, 4.9, 4.10 Порядка). </w:t>
            </w:r>
          </w:p>
          <w:p w14:paraId="394362BD" w14:textId="77777777" w:rsidR="00AD1F54" w:rsidRPr="00264D5D" w:rsidRDefault="00941227">
            <w:pPr>
              <w:pStyle w:val="EBTablenorm"/>
              <w:ind w:left="57" w:right="57"/>
              <w:contextualSpacing w:val="0"/>
              <w:rPr>
                <w:sz w:val="22"/>
                <w:szCs w:val="22"/>
              </w:rPr>
            </w:pPr>
            <w:r w:rsidRPr="00264D5D">
              <w:rPr>
                <w:sz w:val="22"/>
                <w:szCs w:val="22"/>
              </w:rPr>
              <w:t>Поле обязательно для заполнения для блока «Наименование ГРБС/иного юридического лица».</w:t>
            </w:r>
          </w:p>
          <w:p w14:paraId="692FC3A6" w14:textId="77777777" w:rsidR="00AD1F54" w:rsidRPr="00264D5D" w:rsidRDefault="00941227">
            <w:pPr>
              <w:pStyle w:val="EBTablenorm"/>
              <w:ind w:left="57" w:right="57"/>
              <w:contextualSpacing w:val="0"/>
              <w:rPr>
                <w:sz w:val="22"/>
                <w:szCs w:val="22"/>
              </w:rPr>
            </w:pPr>
            <w:r w:rsidRPr="00264D5D">
              <w:rPr>
                <w:sz w:val="22"/>
                <w:szCs w:val="22"/>
              </w:rPr>
              <w:t>Поле не обязательно для заполнения для блока «Наименование получателя субсидии, получателя средств» при указании в элемент</w:t>
            </w:r>
            <w:r w:rsidR="00B83EE9" w:rsidRPr="00264D5D">
              <w:rPr>
                <w:sz w:val="22"/>
                <w:szCs w:val="22"/>
              </w:rPr>
              <w:t>е «Тип Получателя» значения «3»</w:t>
            </w:r>
          </w:p>
        </w:tc>
      </w:tr>
      <w:tr w:rsidR="00AD1F54" w:rsidRPr="00264D5D" w14:paraId="0E2DF293"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6CF02F87" w14:textId="77777777" w:rsidR="00AD1F54" w:rsidRPr="00264D5D" w:rsidRDefault="00941227">
            <w:pPr>
              <w:pStyle w:val="EBTablenorm"/>
              <w:ind w:left="57" w:right="57"/>
              <w:contextualSpacing w:val="0"/>
              <w:jc w:val="left"/>
              <w:rPr>
                <w:sz w:val="22"/>
                <w:szCs w:val="22"/>
              </w:rPr>
            </w:pPr>
            <w:r w:rsidRPr="00264D5D">
              <w:rPr>
                <w:sz w:val="22"/>
                <w:szCs w:val="22"/>
              </w:rPr>
              <w:t>КПП</w:t>
            </w:r>
          </w:p>
        </w:tc>
        <w:tc>
          <w:tcPr>
            <w:tcW w:w="1701" w:type="dxa"/>
          </w:tcPr>
          <w:p w14:paraId="555C3465" w14:textId="77777777" w:rsidR="00AD1F54" w:rsidRPr="00264D5D" w:rsidRDefault="00941227">
            <w:pPr>
              <w:pStyle w:val="EBTablenorm"/>
              <w:ind w:left="57" w:right="57"/>
              <w:contextualSpacing w:val="0"/>
              <w:jc w:val="left"/>
              <w:rPr>
                <w:sz w:val="22"/>
                <w:szCs w:val="22"/>
              </w:rPr>
            </w:pPr>
            <w:r w:rsidRPr="00264D5D">
              <w:rPr>
                <w:sz w:val="22"/>
                <w:szCs w:val="22"/>
              </w:rPr>
              <w:t>Kpp</w:t>
            </w:r>
          </w:p>
        </w:tc>
        <w:tc>
          <w:tcPr>
            <w:tcW w:w="567" w:type="dxa"/>
          </w:tcPr>
          <w:p w14:paraId="4D52E553"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00348ACE" w14:textId="77777777" w:rsidR="00AD1F54" w:rsidRPr="00264D5D" w:rsidRDefault="00941227">
            <w:pPr>
              <w:pStyle w:val="EBTablenorm"/>
              <w:ind w:left="57" w:right="57"/>
              <w:contextualSpacing w:val="0"/>
              <w:jc w:val="left"/>
              <w:rPr>
                <w:color w:val="000000"/>
                <w:sz w:val="22"/>
                <w:szCs w:val="22"/>
              </w:rPr>
            </w:pPr>
            <w:r w:rsidRPr="00264D5D">
              <w:rPr>
                <w:color w:val="000000"/>
                <w:sz w:val="22"/>
                <w:szCs w:val="22"/>
              </w:rPr>
              <w:t>Т(9)</w:t>
            </w:r>
          </w:p>
          <w:p w14:paraId="7ABDB8A7" w14:textId="77777777" w:rsidR="00AD1F54" w:rsidRPr="00264D5D" w:rsidRDefault="00AD1F54">
            <w:pPr>
              <w:pStyle w:val="EBTablenorm"/>
              <w:ind w:left="57" w:right="57"/>
              <w:contextualSpacing w:val="0"/>
              <w:jc w:val="left"/>
              <w:rPr>
                <w:sz w:val="22"/>
                <w:szCs w:val="22"/>
              </w:rPr>
            </w:pPr>
          </w:p>
        </w:tc>
        <w:tc>
          <w:tcPr>
            <w:tcW w:w="567" w:type="dxa"/>
          </w:tcPr>
          <w:p w14:paraId="5B61EB3C" w14:textId="77777777" w:rsidR="00AD1F54" w:rsidRPr="00264D5D" w:rsidRDefault="00941227">
            <w:pPr>
              <w:pStyle w:val="EBTablenorm"/>
              <w:ind w:left="57" w:right="57"/>
              <w:contextualSpacing w:val="0"/>
              <w:jc w:val="center"/>
              <w:rPr>
                <w:sz w:val="22"/>
                <w:szCs w:val="22"/>
              </w:rPr>
            </w:pPr>
            <w:r w:rsidRPr="00264D5D">
              <w:rPr>
                <w:sz w:val="22"/>
                <w:szCs w:val="22"/>
              </w:rPr>
              <w:t>Н</w:t>
            </w:r>
          </w:p>
        </w:tc>
        <w:tc>
          <w:tcPr>
            <w:tcW w:w="3963" w:type="dxa"/>
          </w:tcPr>
          <w:p w14:paraId="568A3BBB" w14:textId="77777777" w:rsidR="00AD1F54" w:rsidRPr="00264D5D" w:rsidRDefault="00941227">
            <w:pPr>
              <w:pStyle w:val="EBTablenorm"/>
              <w:ind w:left="57" w:right="57"/>
              <w:contextualSpacing w:val="0"/>
              <w:rPr>
                <w:sz w:val="22"/>
                <w:szCs w:val="22"/>
              </w:rPr>
            </w:pPr>
            <w:r w:rsidRPr="00264D5D">
              <w:rPr>
                <w:sz w:val="22"/>
                <w:szCs w:val="22"/>
              </w:rPr>
              <w:t xml:space="preserve">КПП (в соответствии с п. 4.9, 4.10 Порядка). </w:t>
            </w:r>
          </w:p>
          <w:p w14:paraId="10225419" w14:textId="77777777" w:rsidR="00AD1F54" w:rsidRPr="00264D5D" w:rsidRDefault="00941227">
            <w:pPr>
              <w:pStyle w:val="EBTablenorm"/>
              <w:ind w:left="57" w:right="57"/>
              <w:contextualSpacing w:val="0"/>
              <w:rPr>
                <w:sz w:val="22"/>
                <w:szCs w:val="22"/>
              </w:rPr>
            </w:pPr>
            <w:r w:rsidRPr="00264D5D">
              <w:rPr>
                <w:sz w:val="22"/>
                <w:szCs w:val="22"/>
              </w:rPr>
              <w:t>Поле обязательно для заполнения для блока «Наименование ГРБС/иного юридического лица».</w:t>
            </w:r>
          </w:p>
          <w:p w14:paraId="1000EA6C" w14:textId="77777777" w:rsidR="00AD1F54" w:rsidRPr="00264D5D" w:rsidRDefault="00941227">
            <w:pPr>
              <w:pStyle w:val="EBTablenorm"/>
              <w:ind w:left="57" w:right="57"/>
              <w:contextualSpacing w:val="0"/>
              <w:rPr>
                <w:color w:val="000000"/>
                <w:sz w:val="22"/>
                <w:szCs w:val="22"/>
              </w:rPr>
            </w:pPr>
            <w:r w:rsidRPr="00264D5D">
              <w:rPr>
                <w:sz w:val="22"/>
                <w:szCs w:val="22"/>
              </w:rPr>
              <w:t>Поле не обязательно для заполнения для блока «Наименование получателя субсидии, получателя средств» при указании в элемент</w:t>
            </w:r>
            <w:r w:rsidR="00B83EE9" w:rsidRPr="00264D5D">
              <w:rPr>
                <w:sz w:val="22"/>
                <w:szCs w:val="22"/>
              </w:rPr>
              <w:t>е «Тип Получателя» значения «3»</w:t>
            </w:r>
          </w:p>
        </w:tc>
      </w:tr>
      <w:tr w:rsidR="00AD1F54" w:rsidRPr="00264D5D" w14:paraId="29C825C6"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3BFB3DE" w14:textId="77777777" w:rsidR="00AD1F54" w:rsidRPr="00264D5D" w:rsidRDefault="00941227">
            <w:pPr>
              <w:pStyle w:val="EBTablenorm"/>
              <w:ind w:left="57" w:right="57"/>
              <w:contextualSpacing w:val="0"/>
              <w:jc w:val="left"/>
              <w:rPr>
                <w:sz w:val="22"/>
                <w:szCs w:val="22"/>
              </w:rPr>
            </w:pPr>
            <w:r w:rsidRPr="00264D5D">
              <w:rPr>
                <w:sz w:val="22"/>
                <w:szCs w:val="22"/>
              </w:rPr>
              <w:t>Дата постановки на учет в налоговом органе</w:t>
            </w:r>
          </w:p>
        </w:tc>
        <w:tc>
          <w:tcPr>
            <w:tcW w:w="1701" w:type="dxa"/>
          </w:tcPr>
          <w:p w14:paraId="3C64038C" w14:textId="77777777" w:rsidR="00AD1F54" w:rsidRPr="00264D5D" w:rsidRDefault="00941227">
            <w:pPr>
              <w:pStyle w:val="EBTablenorm"/>
              <w:ind w:left="57" w:right="57"/>
              <w:contextualSpacing w:val="0"/>
              <w:jc w:val="left"/>
              <w:rPr>
                <w:sz w:val="22"/>
                <w:szCs w:val="22"/>
              </w:rPr>
            </w:pPr>
            <w:r w:rsidRPr="00264D5D">
              <w:rPr>
                <w:sz w:val="22"/>
                <w:szCs w:val="22"/>
              </w:rPr>
              <w:t>RegDate</w:t>
            </w:r>
          </w:p>
        </w:tc>
        <w:tc>
          <w:tcPr>
            <w:tcW w:w="567" w:type="dxa"/>
          </w:tcPr>
          <w:p w14:paraId="63E8D8AA"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76CCE48C" w14:textId="77777777" w:rsidR="00AD1F54" w:rsidRPr="00264D5D" w:rsidRDefault="00941227">
            <w:pPr>
              <w:pStyle w:val="EBTablenorm"/>
              <w:ind w:left="57" w:right="57"/>
              <w:contextualSpacing w:val="0"/>
              <w:jc w:val="left"/>
              <w:rPr>
                <w:sz w:val="22"/>
                <w:szCs w:val="22"/>
              </w:rPr>
            </w:pPr>
            <w:r w:rsidRPr="00264D5D">
              <w:rPr>
                <w:sz w:val="22"/>
                <w:szCs w:val="22"/>
              </w:rPr>
              <w:t>Date</w:t>
            </w:r>
          </w:p>
        </w:tc>
        <w:tc>
          <w:tcPr>
            <w:tcW w:w="567" w:type="dxa"/>
          </w:tcPr>
          <w:p w14:paraId="2D68B331" w14:textId="77777777" w:rsidR="00AD1F54" w:rsidRPr="00264D5D" w:rsidRDefault="00941227">
            <w:pPr>
              <w:pStyle w:val="EBTablenorm"/>
              <w:ind w:left="57" w:right="57"/>
              <w:contextualSpacing w:val="0"/>
              <w:jc w:val="center"/>
              <w:rPr>
                <w:sz w:val="22"/>
                <w:szCs w:val="22"/>
              </w:rPr>
            </w:pPr>
            <w:r w:rsidRPr="00264D5D">
              <w:rPr>
                <w:sz w:val="22"/>
                <w:szCs w:val="22"/>
              </w:rPr>
              <w:t>Н</w:t>
            </w:r>
          </w:p>
        </w:tc>
        <w:tc>
          <w:tcPr>
            <w:tcW w:w="3963" w:type="dxa"/>
          </w:tcPr>
          <w:p w14:paraId="24AF1AAC" w14:textId="77777777" w:rsidR="00AD1F54" w:rsidRPr="00264D5D" w:rsidRDefault="00941227">
            <w:pPr>
              <w:pStyle w:val="EBTablenorm"/>
              <w:ind w:left="57" w:right="57"/>
              <w:contextualSpacing w:val="0"/>
              <w:rPr>
                <w:sz w:val="22"/>
                <w:szCs w:val="22"/>
              </w:rPr>
            </w:pPr>
            <w:r w:rsidRPr="00264D5D">
              <w:rPr>
                <w:sz w:val="22"/>
                <w:szCs w:val="22"/>
              </w:rPr>
              <w:t xml:space="preserve">Дата постановки на учет в налоговом органе (в соответствии с п. 4.11 Порядка). </w:t>
            </w:r>
          </w:p>
          <w:p w14:paraId="6C9EF0FA" w14:textId="77777777" w:rsidR="00AD1F54" w:rsidRPr="00264D5D" w:rsidRDefault="00941227">
            <w:pPr>
              <w:pStyle w:val="EBTablenorm"/>
              <w:ind w:left="57" w:right="57"/>
              <w:contextualSpacing w:val="0"/>
              <w:rPr>
                <w:sz w:val="22"/>
                <w:szCs w:val="22"/>
              </w:rPr>
            </w:pPr>
            <w:r w:rsidRPr="00264D5D">
              <w:rPr>
                <w:sz w:val="22"/>
                <w:szCs w:val="22"/>
              </w:rPr>
              <w:t xml:space="preserve">Поле обязательно для заполнения для блока «Наименование ГРБС/иного юридического лица». </w:t>
            </w:r>
          </w:p>
          <w:p w14:paraId="288FA560" w14:textId="77777777" w:rsidR="00AD1F54" w:rsidRPr="00264D5D" w:rsidRDefault="00941227">
            <w:pPr>
              <w:pStyle w:val="EBTablenorm"/>
              <w:ind w:left="57" w:right="57"/>
              <w:contextualSpacing w:val="0"/>
              <w:rPr>
                <w:sz w:val="22"/>
                <w:szCs w:val="22"/>
              </w:rPr>
            </w:pPr>
            <w:r w:rsidRPr="00264D5D">
              <w:rPr>
                <w:sz w:val="22"/>
                <w:szCs w:val="22"/>
              </w:rPr>
              <w:t>Поле обязательно для заполнения для блока «Наименование получателя субсидии, получателя средств» при указании в элементе «Ти</w:t>
            </w:r>
            <w:r w:rsidR="00B83EE9" w:rsidRPr="00264D5D">
              <w:rPr>
                <w:sz w:val="22"/>
                <w:szCs w:val="22"/>
              </w:rPr>
              <w:t>п Получателя» значения «4», «5»</w:t>
            </w:r>
          </w:p>
        </w:tc>
      </w:tr>
      <w:tr w:rsidR="00AD1F54" w:rsidRPr="00264D5D" w14:paraId="603A5EF0"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E5DE4DB" w14:textId="77777777" w:rsidR="00AD1F54" w:rsidRPr="00264D5D" w:rsidRDefault="00941227">
            <w:pPr>
              <w:pStyle w:val="EBTablenorm"/>
              <w:ind w:left="57" w:right="57"/>
              <w:contextualSpacing w:val="0"/>
              <w:jc w:val="left"/>
              <w:rPr>
                <w:sz w:val="22"/>
                <w:szCs w:val="22"/>
              </w:rPr>
            </w:pPr>
            <w:r w:rsidRPr="00264D5D">
              <w:rPr>
                <w:sz w:val="22"/>
                <w:szCs w:val="22"/>
              </w:rPr>
              <w:t>Код налогоплательщика</w:t>
            </w:r>
          </w:p>
        </w:tc>
        <w:tc>
          <w:tcPr>
            <w:tcW w:w="1701" w:type="dxa"/>
          </w:tcPr>
          <w:p w14:paraId="7321B425" w14:textId="77777777" w:rsidR="00AD1F54" w:rsidRPr="00264D5D" w:rsidRDefault="00941227">
            <w:pPr>
              <w:pStyle w:val="EBTablenorm"/>
              <w:ind w:left="57" w:right="57"/>
              <w:contextualSpacing w:val="0"/>
              <w:jc w:val="left"/>
              <w:rPr>
                <w:sz w:val="22"/>
                <w:szCs w:val="22"/>
              </w:rPr>
            </w:pPr>
            <w:r w:rsidRPr="00264D5D">
              <w:rPr>
                <w:sz w:val="22"/>
                <w:szCs w:val="22"/>
              </w:rPr>
              <w:t>TxpCode</w:t>
            </w:r>
          </w:p>
        </w:tc>
        <w:tc>
          <w:tcPr>
            <w:tcW w:w="567" w:type="dxa"/>
          </w:tcPr>
          <w:p w14:paraId="6F08E2C1"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42EFF4EF" w14:textId="77777777" w:rsidR="00AD1F54" w:rsidRPr="00264D5D" w:rsidRDefault="00941227">
            <w:pPr>
              <w:pStyle w:val="EBTablenorm"/>
              <w:ind w:left="57" w:right="57"/>
              <w:contextualSpacing w:val="0"/>
              <w:jc w:val="left"/>
              <w:rPr>
                <w:sz w:val="22"/>
                <w:szCs w:val="22"/>
              </w:rPr>
            </w:pPr>
            <w:r w:rsidRPr="00264D5D">
              <w:rPr>
                <w:sz w:val="22"/>
                <w:szCs w:val="22"/>
              </w:rPr>
              <w:t>Т(1-2000)</w:t>
            </w:r>
          </w:p>
        </w:tc>
        <w:tc>
          <w:tcPr>
            <w:tcW w:w="567" w:type="dxa"/>
          </w:tcPr>
          <w:p w14:paraId="0A94412E" w14:textId="77777777" w:rsidR="00AD1F54" w:rsidRPr="00264D5D" w:rsidRDefault="00941227">
            <w:pPr>
              <w:pStyle w:val="EBTablenorm"/>
              <w:ind w:left="57" w:right="57"/>
              <w:contextualSpacing w:val="0"/>
              <w:jc w:val="center"/>
              <w:rPr>
                <w:sz w:val="22"/>
                <w:szCs w:val="22"/>
              </w:rPr>
            </w:pPr>
            <w:r w:rsidRPr="00264D5D">
              <w:rPr>
                <w:sz w:val="22"/>
                <w:szCs w:val="22"/>
              </w:rPr>
              <w:t>Н</w:t>
            </w:r>
          </w:p>
        </w:tc>
        <w:tc>
          <w:tcPr>
            <w:tcW w:w="3963" w:type="dxa"/>
          </w:tcPr>
          <w:p w14:paraId="749538B5" w14:textId="77777777" w:rsidR="00AD1F54" w:rsidRPr="00264D5D" w:rsidRDefault="00941227">
            <w:pPr>
              <w:pStyle w:val="EBTablenorm"/>
              <w:ind w:left="57" w:right="57"/>
              <w:contextualSpacing w:val="0"/>
              <w:rPr>
                <w:sz w:val="22"/>
                <w:szCs w:val="22"/>
              </w:rPr>
            </w:pPr>
            <w:r w:rsidRPr="00264D5D">
              <w:rPr>
                <w:sz w:val="22"/>
                <w:szCs w:val="22"/>
              </w:rPr>
              <w:t>Код налогоплательщика (в соответствии с п. 4.10 Порядка).</w:t>
            </w:r>
          </w:p>
          <w:p w14:paraId="1BAD5E09" w14:textId="77777777" w:rsidR="00AD1F54" w:rsidRPr="00264D5D" w:rsidRDefault="00941227">
            <w:pPr>
              <w:pStyle w:val="EBTablenorm"/>
              <w:ind w:left="57" w:right="57"/>
              <w:contextualSpacing w:val="0"/>
              <w:rPr>
                <w:sz w:val="22"/>
                <w:szCs w:val="22"/>
              </w:rPr>
            </w:pPr>
            <w:r w:rsidRPr="00264D5D">
              <w:rPr>
                <w:sz w:val="22"/>
                <w:szCs w:val="22"/>
              </w:rPr>
              <w:t xml:space="preserve">Поле обязательно для заполнения для блока «Наименование получателя </w:t>
            </w:r>
            <w:r w:rsidRPr="00264D5D">
              <w:rPr>
                <w:sz w:val="22"/>
                <w:szCs w:val="22"/>
              </w:rPr>
              <w:lastRenderedPageBreak/>
              <w:t>субсидии, получателя средств» при указании в элементе «Тип Получателя» значения «2» и «3».</w:t>
            </w:r>
          </w:p>
          <w:p w14:paraId="64FD307F" w14:textId="77777777" w:rsidR="00AD1F54" w:rsidRPr="00264D5D" w:rsidRDefault="00941227">
            <w:pPr>
              <w:pStyle w:val="EBTablenorm"/>
              <w:ind w:left="57" w:right="57"/>
              <w:contextualSpacing w:val="0"/>
              <w:rPr>
                <w:sz w:val="22"/>
                <w:szCs w:val="22"/>
              </w:rPr>
            </w:pPr>
            <w:r w:rsidRPr="00264D5D">
              <w:rPr>
                <w:sz w:val="22"/>
                <w:szCs w:val="22"/>
              </w:rPr>
              <w:t>Поле не заполняется для блока «Наименовани</w:t>
            </w:r>
            <w:r w:rsidR="00B83EE9" w:rsidRPr="00264D5D">
              <w:rPr>
                <w:sz w:val="22"/>
                <w:szCs w:val="22"/>
              </w:rPr>
              <w:t>е ГРБС/иного юридического лица»</w:t>
            </w:r>
          </w:p>
        </w:tc>
      </w:tr>
      <w:tr w:rsidR="00AD1F54" w:rsidRPr="00264D5D" w14:paraId="3D0DE50B"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A58FF1F" w14:textId="77777777" w:rsidR="00AD1F54" w:rsidRPr="00264D5D" w:rsidRDefault="00941227">
            <w:pPr>
              <w:pStyle w:val="EBTablenorm"/>
              <w:ind w:left="57" w:right="57"/>
              <w:contextualSpacing w:val="0"/>
              <w:jc w:val="left"/>
              <w:rPr>
                <w:sz w:val="22"/>
                <w:szCs w:val="22"/>
              </w:rPr>
            </w:pPr>
            <w:r w:rsidRPr="00264D5D">
              <w:rPr>
                <w:sz w:val="22"/>
                <w:szCs w:val="22"/>
              </w:rPr>
              <w:lastRenderedPageBreak/>
              <w:t>Номер банковского счета</w:t>
            </w:r>
          </w:p>
        </w:tc>
        <w:tc>
          <w:tcPr>
            <w:tcW w:w="1701" w:type="dxa"/>
          </w:tcPr>
          <w:p w14:paraId="03400B40" w14:textId="77777777" w:rsidR="00AD1F54" w:rsidRPr="00264D5D" w:rsidRDefault="00941227">
            <w:pPr>
              <w:pStyle w:val="EBTablenorm"/>
              <w:ind w:left="57" w:right="57"/>
              <w:contextualSpacing w:val="0"/>
              <w:jc w:val="left"/>
              <w:rPr>
                <w:sz w:val="22"/>
                <w:szCs w:val="22"/>
              </w:rPr>
            </w:pPr>
            <w:r w:rsidRPr="00264D5D">
              <w:rPr>
                <w:sz w:val="22"/>
                <w:szCs w:val="22"/>
              </w:rPr>
              <w:t>NmbrBnkAccnt</w:t>
            </w:r>
          </w:p>
        </w:tc>
        <w:tc>
          <w:tcPr>
            <w:tcW w:w="567" w:type="dxa"/>
          </w:tcPr>
          <w:p w14:paraId="4AFC5890"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4DDE5CA3" w14:textId="77777777" w:rsidR="00AD1F54" w:rsidRPr="00264D5D" w:rsidRDefault="00941227">
            <w:pPr>
              <w:pStyle w:val="EBTablenorm"/>
              <w:ind w:left="57" w:right="57"/>
              <w:contextualSpacing w:val="0"/>
              <w:jc w:val="left"/>
              <w:rPr>
                <w:sz w:val="22"/>
                <w:szCs w:val="22"/>
              </w:rPr>
            </w:pPr>
            <w:r w:rsidRPr="00264D5D">
              <w:rPr>
                <w:sz w:val="22"/>
                <w:szCs w:val="22"/>
              </w:rPr>
              <w:t>Т(20)</w:t>
            </w:r>
          </w:p>
        </w:tc>
        <w:tc>
          <w:tcPr>
            <w:tcW w:w="567" w:type="dxa"/>
          </w:tcPr>
          <w:p w14:paraId="6694BF44" w14:textId="77777777" w:rsidR="00AD1F54" w:rsidRPr="00264D5D" w:rsidRDefault="00941227">
            <w:pPr>
              <w:pStyle w:val="EBTablenorm"/>
              <w:ind w:left="57" w:right="57"/>
              <w:contextualSpacing w:val="0"/>
              <w:jc w:val="center"/>
              <w:rPr>
                <w:sz w:val="22"/>
                <w:szCs w:val="22"/>
              </w:rPr>
            </w:pPr>
            <w:r w:rsidRPr="00264D5D">
              <w:rPr>
                <w:sz w:val="22"/>
                <w:szCs w:val="22"/>
              </w:rPr>
              <w:t>Н</w:t>
            </w:r>
          </w:p>
        </w:tc>
        <w:tc>
          <w:tcPr>
            <w:tcW w:w="3963" w:type="dxa"/>
          </w:tcPr>
          <w:p w14:paraId="737A7CAD" w14:textId="77777777" w:rsidR="00AD1F54" w:rsidRPr="00264D5D" w:rsidRDefault="00B83EE9">
            <w:pPr>
              <w:pStyle w:val="EBTablenorm"/>
              <w:ind w:left="57" w:right="57"/>
              <w:contextualSpacing w:val="0"/>
              <w:rPr>
                <w:sz w:val="22"/>
                <w:szCs w:val="22"/>
              </w:rPr>
            </w:pPr>
            <w:r w:rsidRPr="00264D5D">
              <w:rPr>
                <w:sz w:val="22"/>
                <w:szCs w:val="22"/>
              </w:rPr>
              <w:t>Номер банковского счета</w:t>
            </w:r>
          </w:p>
        </w:tc>
      </w:tr>
      <w:tr w:rsidR="00AD1F54" w:rsidRPr="00264D5D" w14:paraId="7E174400"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5918BBEC" w14:textId="77777777" w:rsidR="00AD1F54" w:rsidRPr="00264D5D" w:rsidRDefault="00941227">
            <w:pPr>
              <w:pStyle w:val="EBTablenorm"/>
              <w:ind w:left="57" w:right="57"/>
              <w:contextualSpacing w:val="0"/>
              <w:jc w:val="left"/>
              <w:rPr>
                <w:sz w:val="22"/>
                <w:szCs w:val="22"/>
              </w:rPr>
            </w:pPr>
            <w:r w:rsidRPr="00264D5D">
              <w:rPr>
                <w:sz w:val="22"/>
                <w:szCs w:val="22"/>
              </w:rPr>
              <w:t>Наименование банка</w:t>
            </w:r>
          </w:p>
        </w:tc>
        <w:tc>
          <w:tcPr>
            <w:tcW w:w="1701" w:type="dxa"/>
          </w:tcPr>
          <w:p w14:paraId="24EE4047" w14:textId="77777777" w:rsidR="00AD1F54" w:rsidRPr="00264D5D" w:rsidRDefault="00941227">
            <w:pPr>
              <w:pStyle w:val="EBTablenorm"/>
              <w:ind w:left="57" w:right="57"/>
              <w:contextualSpacing w:val="0"/>
              <w:jc w:val="left"/>
              <w:rPr>
                <w:sz w:val="22"/>
                <w:szCs w:val="22"/>
                <w:lang w:val="en-US"/>
              </w:rPr>
            </w:pPr>
            <w:r w:rsidRPr="00264D5D">
              <w:rPr>
                <w:sz w:val="22"/>
                <w:szCs w:val="22"/>
              </w:rPr>
              <w:t>NameBnk</w:t>
            </w:r>
          </w:p>
        </w:tc>
        <w:tc>
          <w:tcPr>
            <w:tcW w:w="567" w:type="dxa"/>
          </w:tcPr>
          <w:p w14:paraId="63249AB7"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0E503DCB" w14:textId="77777777" w:rsidR="00AD1F54" w:rsidRPr="00264D5D" w:rsidRDefault="00941227">
            <w:pPr>
              <w:pStyle w:val="EBTablenorm"/>
              <w:ind w:left="57" w:right="57"/>
              <w:contextualSpacing w:val="0"/>
              <w:jc w:val="left"/>
              <w:rPr>
                <w:sz w:val="22"/>
                <w:szCs w:val="22"/>
              </w:rPr>
            </w:pPr>
            <w:r w:rsidRPr="00264D5D">
              <w:rPr>
                <w:sz w:val="22"/>
                <w:szCs w:val="22"/>
              </w:rPr>
              <w:t>Т(1-160)</w:t>
            </w:r>
          </w:p>
        </w:tc>
        <w:tc>
          <w:tcPr>
            <w:tcW w:w="567" w:type="dxa"/>
          </w:tcPr>
          <w:p w14:paraId="375F4A05" w14:textId="77777777" w:rsidR="00AD1F54" w:rsidRPr="00264D5D" w:rsidRDefault="00941227">
            <w:pPr>
              <w:pStyle w:val="EBTablenorm"/>
              <w:ind w:left="57" w:right="57"/>
              <w:contextualSpacing w:val="0"/>
              <w:jc w:val="center"/>
              <w:rPr>
                <w:sz w:val="22"/>
                <w:szCs w:val="22"/>
              </w:rPr>
            </w:pPr>
            <w:r w:rsidRPr="00264D5D">
              <w:rPr>
                <w:sz w:val="22"/>
                <w:szCs w:val="22"/>
              </w:rPr>
              <w:t>Н</w:t>
            </w:r>
          </w:p>
        </w:tc>
        <w:tc>
          <w:tcPr>
            <w:tcW w:w="3963" w:type="dxa"/>
          </w:tcPr>
          <w:p w14:paraId="5DA78146" w14:textId="77777777" w:rsidR="00AD1F54" w:rsidRPr="00264D5D" w:rsidRDefault="00B83EE9">
            <w:pPr>
              <w:pStyle w:val="EBTablenorm"/>
              <w:ind w:left="57" w:right="57"/>
              <w:contextualSpacing w:val="0"/>
              <w:rPr>
                <w:sz w:val="22"/>
                <w:szCs w:val="22"/>
              </w:rPr>
            </w:pPr>
            <w:r w:rsidRPr="00264D5D">
              <w:rPr>
                <w:sz w:val="22"/>
                <w:szCs w:val="22"/>
              </w:rPr>
              <w:t>Наименование банка</w:t>
            </w:r>
          </w:p>
        </w:tc>
      </w:tr>
      <w:tr w:rsidR="00AD1F54" w:rsidRPr="00264D5D" w14:paraId="0B9DE5AF"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5D98B194" w14:textId="77777777" w:rsidR="00AD1F54" w:rsidRPr="00264D5D" w:rsidRDefault="00941227">
            <w:pPr>
              <w:pStyle w:val="EBTablenorm"/>
              <w:ind w:left="57" w:right="57"/>
              <w:contextualSpacing w:val="0"/>
              <w:jc w:val="left"/>
              <w:rPr>
                <w:sz w:val="22"/>
                <w:szCs w:val="22"/>
              </w:rPr>
            </w:pPr>
            <w:r w:rsidRPr="00264D5D">
              <w:rPr>
                <w:sz w:val="22"/>
                <w:szCs w:val="22"/>
              </w:rPr>
              <w:t>БИК банка</w:t>
            </w:r>
          </w:p>
        </w:tc>
        <w:tc>
          <w:tcPr>
            <w:tcW w:w="1701" w:type="dxa"/>
          </w:tcPr>
          <w:p w14:paraId="45E16517" w14:textId="77777777" w:rsidR="00AD1F54" w:rsidRPr="00264D5D" w:rsidRDefault="00941227">
            <w:pPr>
              <w:pStyle w:val="EBTablenorm"/>
              <w:ind w:left="57" w:right="57"/>
              <w:contextualSpacing w:val="0"/>
              <w:jc w:val="left"/>
              <w:rPr>
                <w:sz w:val="22"/>
                <w:szCs w:val="22"/>
              </w:rPr>
            </w:pPr>
            <w:r w:rsidRPr="00264D5D">
              <w:rPr>
                <w:sz w:val="22"/>
                <w:szCs w:val="22"/>
              </w:rPr>
              <w:t>BIKBnk</w:t>
            </w:r>
          </w:p>
        </w:tc>
        <w:tc>
          <w:tcPr>
            <w:tcW w:w="567" w:type="dxa"/>
          </w:tcPr>
          <w:p w14:paraId="72EFF387"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7A5E6984" w14:textId="77777777" w:rsidR="00AD1F54" w:rsidRPr="00264D5D" w:rsidRDefault="00941227">
            <w:pPr>
              <w:pStyle w:val="EBTablenorm"/>
              <w:ind w:left="57" w:right="57"/>
              <w:contextualSpacing w:val="0"/>
              <w:jc w:val="left"/>
              <w:rPr>
                <w:sz w:val="22"/>
                <w:szCs w:val="22"/>
              </w:rPr>
            </w:pPr>
            <w:r w:rsidRPr="00264D5D">
              <w:rPr>
                <w:sz w:val="22"/>
                <w:szCs w:val="22"/>
              </w:rPr>
              <w:t>Т(9)</w:t>
            </w:r>
          </w:p>
        </w:tc>
        <w:tc>
          <w:tcPr>
            <w:tcW w:w="567" w:type="dxa"/>
          </w:tcPr>
          <w:p w14:paraId="1302E750" w14:textId="77777777" w:rsidR="00AD1F54" w:rsidRPr="00264D5D" w:rsidRDefault="00941227">
            <w:pPr>
              <w:pStyle w:val="EBTablenorm"/>
              <w:ind w:left="57" w:right="57"/>
              <w:contextualSpacing w:val="0"/>
              <w:jc w:val="center"/>
              <w:rPr>
                <w:sz w:val="22"/>
                <w:szCs w:val="22"/>
              </w:rPr>
            </w:pPr>
            <w:r w:rsidRPr="00264D5D">
              <w:rPr>
                <w:sz w:val="22"/>
                <w:szCs w:val="22"/>
              </w:rPr>
              <w:t>Н</w:t>
            </w:r>
          </w:p>
        </w:tc>
        <w:tc>
          <w:tcPr>
            <w:tcW w:w="3963" w:type="dxa"/>
          </w:tcPr>
          <w:p w14:paraId="7170B35D" w14:textId="77777777" w:rsidR="00AD1F54" w:rsidRPr="00264D5D" w:rsidRDefault="00B83EE9">
            <w:pPr>
              <w:pStyle w:val="EBTablenorm"/>
              <w:ind w:left="57" w:right="57"/>
              <w:contextualSpacing w:val="0"/>
              <w:rPr>
                <w:sz w:val="22"/>
                <w:szCs w:val="22"/>
              </w:rPr>
            </w:pPr>
            <w:r w:rsidRPr="00264D5D">
              <w:rPr>
                <w:sz w:val="22"/>
                <w:szCs w:val="22"/>
              </w:rPr>
              <w:t>БИК банка</w:t>
            </w:r>
          </w:p>
        </w:tc>
      </w:tr>
      <w:tr w:rsidR="00AD1F54" w:rsidRPr="00264D5D" w14:paraId="557879EC"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43811775" w14:textId="77777777" w:rsidR="00AD1F54" w:rsidRPr="00264D5D" w:rsidRDefault="00941227">
            <w:pPr>
              <w:pStyle w:val="EBTablenorm"/>
              <w:ind w:left="57" w:right="57"/>
              <w:contextualSpacing w:val="0"/>
              <w:jc w:val="left"/>
              <w:rPr>
                <w:sz w:val="22"/>
                <w:szCs w:val="22"/>
              </w:rPr>
            </w:pPr>
            <w:r w:rsidRPr="00264D5D">
              <w:rPr>
                <w:sz w:val="22"/>
                <w:szCs w:val="22"/>
              </w:rPr>
              <w:t>Корреспондентский счет банка</w:t>
            </w:r>
          </w:p>
        </w:tc>
        <w:tc>
          <w:tcPr>
            <w:tcW w:w="1701" w:type="dxa"/>
          </w:tcPr>
          <w:p w14:paraId="4A6DB5C6" w14:textId="77777777" w:rsidR="00AD1F54" w:rsidRPr="00264D5D" w:rsidRDefault="00941227">
            <w:pPr>
              <w:pStyle w:val="EBTablenorm"/>
              <w:ind w:left="57" w:right="57"/>
              <w:contextualSpacing w:val="0"/>
              <w:jc w:val="left"/>
              <w:rPr>
                <w:sz w:val="22"/>
                <w:szCs w:val="22"/>
              </w:rPr>
            </w:pPr>
            <w:r w:rsidRPr="00264D5D">
              <w:rPr>
                <w:sz w:val="22"/>
                <w:szCs w:val="22"/>
                <w:lang w:val="en-US"/>
              </w:rPr>
              <w:t>CorrespndntAccnt</w:t>
            </w:r>
          </w:p>
        </w:tc>
        <w:tc>
          <w:tcPr>
            <w:tcW w:w="567" w:type="dxa"/>
          </w:tcPr>
          <w:p w14:paraId="6DE357B3"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45A86803" w14:textId="77777777" w:rsidR="00AD1F54" w:rsidRPr="00264D5D" w:rsidRDefault="00941227">
            <w:pPr>
              <w:pStyle w:val="EBTablenorm"/>
              <w:ind w:left="57" w:right="57"/>
              <w:contextualSpacing w:val="0"/>
              <w:jc w:val="left"/>
              <w:rPr>
                <w:sz w:val="22"/>
                <w:szCs w:val="22"/>
              </w:rPr>
            </w:pPr>
            <w:r w:rsidRPr="00264D5D">
              <w:rPr>
                <w:sz w:val="22"/>
                <w:szCs w:val="22"/>
              </w:rPr>
              <w:t>Т(20)</w:t>
            </w:r>
          </w:p>
        </w:tc>
        <w:tc>
          <w:tcPr>
            <w:tcW w:w="567" w:type="dxa"/>
          </w:tcPr>
          <w:p w14:paraId="68AB09D6" w14:textId="77777777" w:rsidR="00AD1F54" w:rsidRPr="00264D5D" w:rsidRDefault="00941227">
            <w:pPr>
              <w:pStyle w:val="EBTablenorm"/>
              <w:ind w:left="57" w:right="57"/>
              <w:contextualSpacing w:val="0"/>
              <w:jc w:val="center"/>
              <w:rPr>
                <w:sz w:val="22"/>
                <w:szCs w:val="22"/>
              </w:rPr>
            </w:pPr>
            <w:r w:rsidRPr="00264D5D">
              <w:rPr>
                <w:sz w:val="22"/>
                <w:szCs w:val="22"/>
              </w:rPr>
              <w:t>Н</w:t>
            </w:r>
          </w:p>
        </w:tc>
        <w:tc>
          <w:tcPr>
            <w:tcW w:w="3963" w:type="dxa"/>
          </w:tcPr>
          <w:p w14:paraId="04A55347" w14:textId="77777777" w:rsidR="00AD1F54" w:rsidRPr="00264D5D" w:rsidRDefault="00B83EE9">
            <w:pPr>
              <w:pStyle w:val="EBTablenorm"/>
              <w:ind w:left="57" w:right="57"/>
              <w:contextualSpacing w:val="0"/>
              <w:rPr>
                <w:sz w:val="22"/>
                <w:szCs w:val="22"/>
              </w:rPr>
            </w:pPr>
            <w:r w:rsidRPr="00264D5D">
              <w:rPr>
                <w:sz w:val="22"/>
                <w:szCs w:val="22"/>
              </w:rPr>
              <w:t>Корреспондентский счет банка</w:t>
            </w:r>
          </w:p>
        </w:tc>
      </w:tr>
      <w:tr w:rsidR="00AD1F54" w:rsidRPr="00264D5D" w14:paraId="51ED705E"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9EA363E" w14:textId="77777777" w:rsidR="00AD1F54" w:rsidRPr="00264D5D" w:rsidRDefault="00941227">
            <w:pPr>
              <w:pStyle w:val="EBTablenorm"/>
              <w:ind w:left="57" w:right="57"/>
              <w:contextualSpacing w:val="0"/>
              <w:jc w:val="left"/>
              <w:rPr>
                <w:sz w:val="22"/>
                <w:szCs w:val="22"/>
              </w:rPr>
            </w:pPr>
            <w:r w:rsidRPr="00264D5D">
              <w:rPr>
                <w:sz w:val="22"/>
                <w:szCs w:val="22"/>
              </w:rPr>
              <w:t>Номер лицевого счета получателя субсидии</w:t>
            </w:r>
          </w:p>
        </w:tc>
        <w:tc>
          <w:tcPr>
            <w:tcW w:w="1701" w:type="dxa"/>
          </w:tcPr>
          <w:p w14:paraId="792FA463"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NmbrAccnt</w:t>
            </w:r>
          </w:p>
        </w:tc>
        <w:tc>
          <w:tcPr>
            <w:tcW w:w="567" w:type="dxa"/>
          </w:tcPr>
          <w:p w14:paraId="33C26F30"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45305CC7" w14:textId="77777777" w:rsidR="00AD1F54" w:rsidRPr="00264D5D" w:rsidRDefault="00941227">
            <w:pPr>
              <w:pStyle w:val="EBTablenorm"/>
              <w:ind w:left="57" w:right="57"/>
              <w:contextualSpacing w:val="0"/>
              <w:jc w:val="left"/>
              <w:rPr>
                <w:sz w:val="22"/>
                <w:szCs w:val="22"/>
              </w:rPr>
            </w:pPr>
            <w:r w:rsidRPr="00264D5D">
              <w:rPr>
                <w:sz w:val="22"/>
                <w:szCs w:val="22"/>
              </w:rPr>
              <w:t>Т(1-100)</w:t>
            </w:r>
          </w:p>
        </w:tc>
        <w:tc>
          <w:tcPr>
            <w:tcW w:w="567" w:type="dxa"/>
          </w:tcPr>
          <w:p w14:paraId="6B641E0D" w14:textId="77777777" w:rsidR="00AD1F54" w:rsidRPr="00264D5D" w:rsidRDefault="00941227">
            <w:pPr>
              <w:pStyle w:val="EBTablenorm"/>
              <w:ind w:left="57" w:right="57"/>
              <w:contextualSpacing w:val="0"/>
              <w:jc w:val="center"/>
              <w:rPr>
                <w:sz w:val="22"/>
                <w:szCs w:val="22"/>
              </w:rPr>
            </w:pPr>
            <w:r w:rsidRPr="00264D5D">
              <w:rPr>
                <w:sz w:val="22"/>
                <w:szCs w:val="22"/>
              </w:rPr>
              <w:t>Н</w:t>
            </w:r>
          </w:p>
        </w:tc>
        <w:tc>
          <w:tcPr>
            <w:tcW w:w="3963" w:type="dxa"/>
          </w:tcPr>
          <w:p w14:paraId="7AE1B7CE" w14:textId="77777777" w:rsidR="00AD1F54" w:rsidRPr="00264D5D" w:rsidRDefault="00941227">
            <w:pPr>
              <w:pStyle w:val="EBTablenorm"/>
              <w:ind w:left="57" w:right="57"/>
              <w:contextualSpacing w:val="0"/>
              <w:rPr>
                <w:sz w:val="22"/>
                <w:szCs w:val="22"/>
              </w:rPr>
            </w:pPr>
            <w:r w:rsidRPr="00264D5D">
              <w:rPr>
                <w:sz w:val="22"/>
                <w:szCs w:val="22"/>
              </w:rPr>
              <w:t>Номер лс получателя субсидии.</w:t>
            </w:r>
          </w:p>
          <w:p w14:paraId="40554702" w14:textId="77777777" w:rsidR="00AD1F54" w:rsidRPr="00264D5D" w:rsidRDefault="00941227">
            <w:pPr>
              <w:pStyle w:val="EBTablenorm"/>
              <w:ind w:left="57" w:right="57"/>
              <w:contextualSpacing w:val="0"/>
              <w:rPr>
                <w:sz w:val="22"/>
                <w:szCs w:val="22"/>
              </w:rPr>
            </w:pPr>
            <w:r w:rsidRPr="00264D5D">
              <w:rPr>
                <w:sz w:val="22"/>
                <w:szCs w:val="22"/>
              </w:rPr>
              <w:t>Поле заполняется для блока «Наименование получателя субсидии, получателя средств».</w:t>
            </w:r>
          </w:p>
          <w:p w14:paraId="2291E43B" w14:textId="77777777" w:rsidR="00AD1F54" w:rsidRPr="00264D5D" w:rsidRDefault="00941227">
            <w:pPr>
              <w:pStyle w:val="EBTablenorm"/>
              <w:ind w:left="57" w:right="57"/>
              <w:contextualSpacing w:val="0"/>
              <w:rPr>
                <w:sz w:val="22"/>
                <w:szCs w:val="22"/>
              </w:rPr>
            </w:pPr>
            <w:r w:rsidRPr="00264D5D">
              <w:rPr>
                <w:sz w:val="22"/>
                <w:szCs w:val="22"/>
              </w:rPr>
              <w:t>Поле не заполняется для блока «Наименовани</w:t>
            </w:r>
            <w:r w:rsidR="00B83EE9" w:rsidRPr="00264D5D">
              <w:rPr>
                <w:sz w:val="22"/>
                <w:szCs w:val="22"/>
              </w:rPr>
              <w:t>е ГРБС/иного юридического лица»</w:t>
            </w:r>
          </w:p>
        </w:tc>
      </w:tr>
    </w:tbl>
    <w:p w14:paraId="1CFCA430" w14:textId="77777777" w:rsidR="00AD1F54" w:rsidRPr="00264D5D" w:rsidRDefault="00941227">
      <w:pPr>
        <w:pStyle w:val="31"/>
      </w:pPr>
      <w:bookmarkStart w:id="1924" w:name="_Toc493090492"/>
      <w:bookmarkStart w:id="1925" w:name="_Toc496984025"/>
      <w:bookmarkStart w:id="1926" w:name="_Toc219309660"/>
      <w:r w:rsidRPr="00264D5D">
        <w:t>Описание комплексного типа «tLctn»</w:t>
      </w:r>
      <w:bookmarkEnd w:id="1924"/>
      <w:bookmarkEnd w:id="1925"/>
      <w:bookmarkEnd w:id="1926"/>
    </w:p>
    <w:p w14:paraId="23337758" w14:textId="77777777" w:rsidR="00AD1F54" w:rsidRPr="00264D5D" w:rsidRDefault="00941227">
      <w:pPr>
        <w:spacing w:before="60" w:after="120"/>
        <w:ind w:firstLine="567"/>
        <w:rPr>
          <w:rFonts w:eastAsia="Calibri"/>
          <w:szCs w:val="24"/>
        </w:rPr>
      </w:pPr>
      <w:r w:rsidRPr="00264D5D">
        <w:rPr>
          <w:rFonts w:eastAsia="Calibri"/>
          <w:szCs w:val="24"/>
        </w:rPr>
        <w:t xml:space="preserve">Описание комплексного типа </w:t>
      </w:r>
      <w:r w:rsidRPr="00264D5D">
        <w:rPr>
          <w:szCs w:val="24"/>
        </w:rPr>
        <w:t>«</w:t>
      </w:r>
      <w:r w:rsidRPr="00264D5D">
        <w:rPr>
          <w:szCs w:val="24"/>
          <w:lang w:val="en-US"/>
        </w:rPr>
        <w:t>tLctn</w:t>
      </w:r>
      <w:r w:rsidRPr="00264D5D">
        <w:rPr>
          <w:szCs w:val="24"/>
        </w:rPr>
        <w:t xml:space="preserve">» </w:t>
      </w:r>
      <w:r w:rsidRPr="00264D5D">
        <w:t>блоков «Место нахождения ГРБС» и «Место нахождения получателя субсидии, получателя средств»</w:t>
      </w:r>
      <w:r w:rsidRPr="00264D5D">
        <w:rPr>
          <w:rFonts w:eastAsia="Calibri"/>
          <w:szCs w:val="24"/>
        </w:rPr>
        <w:t>.</w:t>
      </w:r>
    </w:p>
    <w:p w14:paraId="08761D66" w14:textId="4C6D8E0D"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1927" w:name="_Ref494363503"/>
      <w:bookmarkStart w:id="1928" w:name="_Toc30503377"/>
      <w:bookmarkStart w:id="1929" w:name="_Toc30507975"/>
      <w:bookmarkStart w:id="1930" w:name="_Toc219309228"/>
      <w:r w:rsidR="008D797C">
        <w:rPr>
          <w:rFonts w:eastAsia="Calibri"/>
          <w:noProof/>
          <w:szCs w:val="24"/>
        </w:rPr>
        <w:t>198</w:t>
      </w:r>
      <w:bookmarkEnd w:id="1927"/>
      <w:r w:rsidRPr="00264D5D">
        <w:rPr>
          <w:rFonts w:eastAsia="Calibri"/>
          <w:szCs w:val="24"/>
        </w:rPr>
        <w:fldChar w:fldCharType="end"/>
      </w:r>
      <w:r w:rsidRPr="00264D5D">
        <w:rPr>
          <w:rFonts w:eastAsia="Calibri"/>
          <w:szCs w:val="24"/>
        </w:rPr>
        <w:t xml:space="preserve"> – Описание комплексного типа «tLctn»</w:t>
      </w:r>
      <w:bookmarkEnd w:id="1928"/>
      <w:bookmarkEnd w:id="1929"/>
      <w:bookmarkEnd w:id="1930"/>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5F2A65D5"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36528EE6" w14:textId="77777777" w:rsidR="00AD1F54" w:rsidRPr="00264D5D" w:rsidRDefault="00941227">
            <w:pPr>
              <w:pStyle w:val="EBTableHead"/>
              <w:ind w:left="57" w:right="57"/>
              <w:contextualSpacing w:val="0"/>
              <w:rPr>
                <w:sz w:val="22"/>
                <w:szCs w:val="22"/>
              </w:rPr>
            </w:pPr>
            <w:r w:rsidRPr="00264D5D">
              <w:rPr>
                <w:bCs w:val="0"/>
                <w:sz w:val="22"/>
                <w:szCs w:val="22"/>
              </w:rPr>
              <w:t>Наименование элемента</w:t>
            </w:r>
          </w:p>
        </w:tc>
        <w:tc>
          <w:tcPr>
            <w:tcW w:w="1701" w:type="dxa"/>
          </w:tcPr>
          <w:p w14:paraId="1840D3EA" w14:textId="77777777" w:rsidR="00AD1F54" w:rsidRPr="00264D5D" w:rsidRDefault="00941227">
            <w:pPr>
              <w:pStyle w:val="EBTableHead"/>
              <w:ind w:left="57" w:right="57"/>
              <w:contextualSpacing w:val="0"/>
              <w:rPr>
                <w:sz w:val="22"/>
                <w:szCs w:val="22"/>
              </w:rPr>
            </w:pPr>
            <w:r w:rsidRPr="00264D5D">
              <w:rPr>
                <w:bCs w:val="0"/>
                <w:sz w:val="22"/>
                <w:szCs w:val="22"/>
              </w:rPr>
              <w:t>Сокращенное наименование (код) элемента</w:t>
            </w:r>
          </w:p>
        </w:tc>
        <w:tc>
          <w:tcPr>
            <w:tcW w:w="567" w:type="dxa"/>
          </w:tcPr>
          <w:p w14:paraId="0A0E80FE" w14:textId="77777777" w:rsidR="00AD1F54" w:rsidRPr="00264D5D" w:rsidRDefault="00941227">
            <w:pPr>
              <w:pStyle w:val="EBTableHead"/>
              <w:ind w:left="57" w:right="57"/>
              <w:contextualSpacing w:val="0"/>
              <w:rPr>
                <w:sz w:val="22"/>
                <w:szCs w:val="22"/>
              </w:rPr>
            </w:pPr>
            <w:r w:rsidRPr="00264D5D">
              <w:rPr>
                <w:bCs w:val="0"/>
                <w:sz w:val="22"/>
                <w:szCs w:val="22"/>
              </w:rPr>
              <w:t>Тип</w:t>
            </w:r>
          </w:p>
        </w:tc>
        <w:tc>
          <w:tcPr>
            <w:tcW w:w="1134" w:type="dxa"/>
          </w:tcPr>
          <w:p w14:paraId="6977409A" w14:textId="77777777" w:rsidR="00AD1F54" w:rsidRPr="00264D5D" w:rsidRDefault="00941227">
            <w:pPr>
              <w:pStyle w:val="EBTableHead"/>
              <w:ind w:left="57" w:right="57"/>
              <w:contextualSpacing w:val="0"/>
              <w:rPr>
                <w:sz w:val="22"/>
                <w:szCs w:val="22"/>
              </w:rPr>
            </w:pPr>
            <w:r w:rsidRPr="00264D5D">
              <w:rPr>
                <w:bCs w:val="0"/>
                <w:sz w:val="22"/>
                <w:szCs w:val="22"/>
              </w:rPr>
              <w:t>Формат элемента</w:t>
            </w:r>
          </w:p>
        </w:tc>
        <w:tc>
          <w:tcPr>
            <w:tcW w:w="567" w:type="dxa"/>
          </w:tcPr>
          <w:p w14:paraId="1EF633DB" w14:textId="77777777" w:rsidR="00AD1F54" w:rsidRPr="00264D5D" w:rsidRDefault="00941227">
            <w:pPr>
              <w:spacing w:before="60" w:after="60"/>
              <w:ind w:left="57" w:right="57"/>
              <w:jc w:val="center"/>
              <w:rPr>
                <w:b/>
                <w:bCs/>
                <w:sz w:val="22"/>
                <w:szCs w:val="22"/>
              </w:rPr>
            </w:pPr>
            <w:r w:rsidRPr="00264D5D">
              <w:rPr>
                <w:b/>
                <w:bCs/>
                <w:sz w:val="22"/>
                <w:szCs w:val="22"/>
              </w:rPr>
              <w:t>Обязательность</w:t>
            </w:r>
          </w:p>
        </w:tc>
        <w:tc>
          <w:tcPr>
            <w:tcW w:w="3963" w:type="dxa"/>
          </w:tcPr>
          <w:p w14:paraId="66301F37" w14:textId="77777777" w:rsidR="00AD1F54" w:rsidRPr="00264D5D" w:rsidRDefault="00941227">
            <w:pPr>
              <w:pStyle w:val="EBTableHead"/>
              <w:ind w:left="57" w:right="57"/>
              <w:contextualSpacing w:val="0"/>
              <w:rPr>
                <w:sz w:val="22"/>
                <w:szCs w:val="22"/>
              </w:rPr>
            </w:pPr>
            <w:r w:rsidRPr="00264D5D">
              <w:rPr>
                <w:bCs w:val="0"/>
                <w:sz w:val="22"/>
                <w:szCs w:val="22"/>
              </w:rPr>
              <w:t>Дополнительная информация</w:t>
            </w:r>
          </w:p>
        </w:tc>
      </w:tr>
      <w:tr w:rsidR="00AD1F54" w:rsidRPr="00264D5D" w14:paraId="1DE1B6C4"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789188F2" w14:textId="77777777" w:rsidR="00AD1F54" w:rsidRPr="00264D5D" w:rsidRDefault="00941227">
            <w:pPr>
              <w:pStyle w:val="EBTablenorm"/>
              <w:ind w:left="57" w:right="57"/>
              <w:contextualSpacing w:val="0"/>
              <w:rPr>
                <w:sz w:val="22"/>
                <w:szCs w:val="22"/>
              </w:rPr>
            </w:pPr>
            <w:r w:rsidRPr="00264D5D">
              <w:rPr>
                <w:sz w:val="22"/>
                <w:szCs w:val="22"/>
              </w:rPr>
              <w:t>Наименование страны по ОКСМ</w:t>
            </w:r>
          </w:p>
        </w:tc>
        <w:tc>
          <w:tcPr>
            <w:tcW w:w="1701" w:type="dxa"/>
          </w:tcPr>
          <w:p w14:paraId="023FB3B0" w14:textId="77777777" w:rsidR="00AD1F54" w:rsidRPr="00264D5D" w:rsidRDefault="00941227">
            <w:pPr>
              <w:pStyle w:val="EBTablenorm"/>
              <w:ind w:left="57" w:right="57"/>
              <w:contextualSpacing w:val="0"/>
              <w:rPr>
                <w:sz w:val="22"/>
                <w:szCs w:val="22"/>
              </w:rPr>
            </w:pPr>
            <w:r w:rsidRPr="00264D5D">
              <w:rPr>
                <w:sz w:val="22"/>
                <w:szCs w:val="22"/>
              </w:rPr>
              <w:t>CntrName</w:t>
            </w:r>
          </w:p>
        </w:tc>
        <w:tc>
          <w:tcPr>
            <w:tcW w:w="567" w:type="dxa"/>
          </w:tcPr>
          <w:p w14:paraId="60DD1F82" w14:textId="77777777" w:rsidR="00AD1F54" w:rsidRPr="00264D5D" w:rsidRDefault="00941227">
            <w:pPr>
              <w:pStyle w:val="EBTablenorm"/>
              <w:ind w:left="57" w:right="57"/>
              <w:contextualSpacing w:val="0"/>
              <w:rPr>
                <w:sz w:val="22"/>
                <w:szCs w:val="22"/>
              </w:rPr>
            </w:pPr>
            <w:r w:rsidRPr="00264D5D">
              <w:rPr>
                <w:sz w:val="22"/>
                <w:szCs w:val="22"/>
              </w:rPr>
              <w:t>П</w:t>
            </w:r>
          </w:p>
        </w:tc>
        <w:tc>
          <w:tcPr>
            <w:tcW w:w="1134" w:type="dxa"/>
          </w:tcPr>
          <w:p w14:paraId="1E0E9D64" w14:textId="77777777" w:rsidR="00AD1F54" w:rsidRPr="00264D5D" w:rsidRDefault="00941227">
            <w:pPr>
              <w:pStyle w:val="EBTablenorm"/>
              <w:ind w:left="57" w:right="57"/>
              <w:contextualSpacing w:val="0"/>
              <w:rPr>
                <w:sz w:val="22"/>
                <w:szCs w:val="22"/>
              </w:rPr>
            </w:pPr>
            <w:r w:rsidRPr="00264D5D">
              <w:rPr>
                <w:sz w:val="22"/>
                <w:szCs w:val="22"/>
              </w:rPr>
              <w:t>Т(1-2000)</w:t>
            </w:r>
          </w:p>
        </w:tc>
        <w:tc>
          <w:tcPr>
            <w:tcW w:w="567" w:type="dxa"/>
          </w:tcPr>
          <w:p w14:paraId="31B8C3AB" w14:textId="77777777" w:rsidR="00AD1F54" w:rsidRPr="00264D5D" w:rsidRDefault="00941227">
            <w:pPr>
              <w:pStyle w:val="EBTablenorm"/>
              <w:ind w:left="57" w:right="57"/>
              <w:contextualSpacing w:val="0"/>
              <w:rPr>
                <w:sz w:val="22"/>
                <w:szCs w:val="22"/>
              </w:rPr>
            </w:pPr>
            <w:r w:rsidRPr="00264D5D">
              <w:rPr>
                <w:sz w:val="22"/>
                <w:szCs w:val="22"/>
              </w:rPr>
              <w:t>О</w:t>
            </w:r>
          </w:p>
        </w:tc>
        <w:tc>
          <w:tcPr>
            <w:tcW w:w="3963" w:type="dxa"/>
          </w:tcPr>
          <w:p w14:paraId="183755C2" w14:textId="77777777" w:rsidR="00AD1F54" w:rsidRPr="00264D5D" w:rsidRDefault="00941227">
            <w:pPr>
              <w:pStyle w:val="EBTablenorm"/>
              <w:ind w:left="57" w:right="57"/>
              <w:contextualSpacing w:val="0"/>
              <w:rPr>
                <w:sz w:val="22"/>
                <w:szCs w:val="22"/>
              </w:rPr>
            </w:pPr>
            <w:r w:rsidRPr="00264D5D">
              <w:rPr>
                <w:sz w:val="22"/>
                <w:szCs w:val="22"/>
              </w:rPr>
              <w:t>Наименован</w:t>
            </w:r>
            <w:r w:rsidR="00B83EE9" w:rsidRPr="00264D5D">
              <w:rPr>
                <w:sz w:val="22"/>
                <w:szCs w:val="22"/>
              </w:rPr>
              <w:t>ие страны в соответствии с ОКСМ</w:t>
            </w:r>
          </w:p>
        </w:tc>
      </w:tr>
      <w:tr w:rsidR="00AD1F54" w:rsidRPr="00264D5D" w14:paraId="3E171584"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72D3506" w14:textId="77777777" w:rsidR="00AD1F54" w:rsidRPr="00264D5D" w:rsidRDefault="00941227">
            <w:pPr>
              <w:pStyle w:val="EBTablenorm"/>
              <w:ind w:left="57" w:right="57"/>
              <w:contextualSpacing w:val="0"/>
              <w:rPr>
                <w:sz w:val="22"/>
                <w:szCs w:val="22"/>
              </w:rPr>
            </w:pPr>
            <w:r w:rsidRPr="00264D5D">
              <w:rPr>
                <w:sz w:val="22"/>
                <w:szCs w:val="22"/>
              </w:rPr>
              <w:t>Код страны по ОКСМ</w:t>
            </w:r>
          </w:p>
        </w:tc>
        <w:tc>
          <w:tcPr>
            <w:tcW w:w="1701" w:type="dxa"/>
          </w:tcPr>
          <w:p w14:paraId="1C580D62" w14:textId="77777777" w:rsidR="00AD1F54" w:rsidRPr="00264D5D" w:rsidRDefault="00941227">
            <w:pPr>
              <w:pStyle w:val="EBTablenorm"/>
              <w:ind w:left="57" w:right="57"/>
              <w:contextualSpacing w:val="0"/>
              <w:rPr>
                <w:sz w:val="22"/>
                <w:szCs w:val="22"/>
              </w:rPr>
            </w:pPr>
            <w:r w:rsidRPr="00264D5D">
              <w:rPr>
                <w:sz w:val="22"/>
                <w:szCs w:val="22"/>
              </w:rPr>
              <w:t>CntrCode</w:t>
            </w:r>
          </w:p>
        </w:tc>
        <w:tc>
          <w:tcPr>
            <w:tcW w:w="567" w:type="dxa"/>
          </w:tcPr>
          <w:p w14:paraId="79063925" w14:textId="77777777" w:rsidR="00AD1F54" w:rsidRPr="00264D5D" w:rsidRDefault="00941227">
            <w:pPr>
              <w:pStyle w:val="EBTablenorm"/>
              <w:ind w:left="57" w:right="57"/>
              <w:contextualSpacing w:val="0"/>
              <w:rPr>
                <w:sz w:val="22"/>
                <w:szCs w:val="22"/>
              </w:rPr>
            </w:pPr>
            <w:r w:rsidRPr="00264D5D">
              <w:rPr>
                <w:sz w:val="22"/>
                <w:szCs w:val="22"/>
              </w:rPr>
              <w:t>П</w:t>
            </w:r>
          </w:p>
        </w:tc>
        <w:tc>
          <w:tcPr>
            <w:tcW w:w="1134" w:type="dxa"/>
          </w:tcPr>
          <w:p w14:paraId="7ECB4AC1" w14:textId="77777777" w:rsidR="00AD1F54" w:rsidRPr="00264D5D" w:rsidRDefault="00941227">
            <w:pPr>
              <w:pStyle w:val="EBTablenorm"/>
              <w:ind w:left="57" w:right="57"/>
              <w:contextualSpacing w:val="0"/>
              <w:rPr>
                <w:sz w:val="22"/>
                <w:szCs w:val="22"/>
              </w:rPr>
            </w:pPr>
            <w:r w:rsidRPr="00264D5D">
              <w:rPr>
                <w:sz w:val="22"/>
                <w:szCs w:val="22"/>
              </w:rPr>
              <w:t>Т(3)</w:t>
            </w:r>
          </w:p>
          <w:p w14:paraId="57FFDA4E" w14:textId="77777777" w:rsidR="00AD1F54" w:rsidRPr="00264D5D" w:rsidRDefault="00AD1F54">
            <w:pPr>
              <w:pStyle w:val="EBTablenorm"/>
              <w:ind w:left="57" w:right="57"/>
              <w:contextualSpacing w:val="0"/>
              <w:rPr>
                <w:sz w:val="22"/>
                <w:szCs w:val="22"/>
                <w:lang w:val="en-US"/>
              </w:rPr>
            </w:pPr>
          </w:p>
        </w:tc>
        <w:tc>
          <w:tcPr>
            <w:tcW w:w="567" w:type="dxa"/>
          </w:tcPr>
          <w:p w14:paraId="0D66B67C" w14:textId="77777777" w:rsidR="00AD1F54" w:rsidRPr="00264D5D" w:rsidRDefault="00941227">
            <w:pPr>
              <w:pStyle w:val="EBTablenorm"/>
              <w:ind w:left="57" w:right="57"/>
              <w:contextualSpacing w:val="0"/>
              <w:rPr>
                <w:sz w:val="22"/>
                <w:szCs w:val="22"/>
              </w:rPr>
            </w:pPr>
            <w:r w:rsidRPr="00264D5D">
              <w:rPr>
                <w:sz w:val="22"/>
                <w:szCs w:val="22"/>
              </w:rPr>
              <w:t>О</w:t>
            </w:r>
          </w:p>
        </w:tc>
        <w:tc>
          <w:tcPr>
            <w:tcW w:w="3963" w:type="dxa"/>
          </w:tcPr>
          <w:p w14:paraId="387365D9" w14:textId="77777777" w:rsidR="00AD1F54" w:rsidRPr="00264D5D" w:rsidRDefault="00B83EE9">
            <w:pPr>
              <w:pStyle w:val="EBTablenorm"/>
              <w:ind w:left="57" w:right="57"/>
              <w:contextualSpacing w:val="0"/>
              <w:rPr>
                <w:sz w:val="22"/>
                <w:szCs w:val="22"/>
              </w:rPr>
            </w:pPr>
            <w:r w:rsidRPr="00264D5D">
              <w:rPr>
                <w:sz w:val="22"/>
                <w:szCs w:val="22"/>
              </w:rPr>
              <w:t>Цифровой код страны по ОКСМ</w:t>
            </w:r>
          </w:p>
        </w:tc>
      </w:tr>
      <w:tr w:rsidR="00AD1F54" w:rsidRPr="00264D5D" w14:paraId="50713A84"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6A14112" w14:textId="77777777" w:rsidR="00AD1F54" w:rsidRPr="00264D5D" w:rsidRDefault="00941227">
            <w:pPr>
              <w:pStyle w:val="EBTablenorm"/>
              <w:ind w:left="57" w:right="57"/>
              <w:contextualSpacing w:val="0"/>
              <w:rPr>
                <w:sz w:val="22"/>
                <w:szCs w:val="22"/>
              </w:rPr>
            </w:pPr>
            <w:r w:rsidRPr="00264D5D">
              <w:rPr>
                <w:sz w:val="22"/>
                <w:szCs w:val="22"/>
              </w:rPr>
              <w:t>Наименование субъекта РФ</w:t>
            </w:r>
          </w:p>
        </w:tc>
        <w:tc>
          <w:tcPr>
            <w:tcW w:w="1701" w:type="dxa"/>
          </w:tcPr>
          <w:p w14:paraId="434A1A64" w14:textId="77777777" w:rsidR="00AD1F54" w:rsidRPr="00264D5D" w:rsidRDefault="00941227">
            <w:pPr>
              <w:pStyle w:val="EBTablenorm"/>
              <w:ind w:left="57" w:right="57"/>
              <w:contextualSpacing w:val="0"/>
              <w:rPr>
                <w:sz w:val="22"/>
                <w:szCs w:val="22"/>
              </w:rPr>
            </w:pPr>
            <w:r w:rsidRPr="00264D5D">
              <w:rPr>
                <w:sz w:val="22"/>
                <w:szCs w:val="22"/>
              </w:rPr>
              <w:t>SubName</w:t>
            </w:r>
          </w:p>
        </w:tc>
        <w:tc>
          <w:tcPr>
            <w:tcW w:w="567" w:type="dxa"/>
          </w:tcPr>
          <w:p w14:paraId="0CE359C7" w14:textId="77777777" w:rsidR="00AD1F54" w:rsidRPr="00264D5D" w:rsidRDefault="00941227">
            <w:pPr>
              <w:pStyle w:val="EBTablenorm"/>
              <w:ind w:left="57" w:right="57"/>
              <w:contextualSpacing w:val="0"/>
              <w:rPr>
                <w:sz w:val="22"/>
                <w:szCs w:val="22"/>
              </w:rPr>
            </w:pPr>
            <w:r w:rsidRPr="00264D5D">
              <w:rPr>
                <w:sz w:val="22"/>
                <w:szCs w:val="22"/>
              </w:rPr>
              <w:t>П</w:t>
            </w:r>
          </w:p>
        </w:tc>
        <w:tc>
          <w:tcPr>
            <w:tcW w:w="1134" w:type="dxa"/>
          </w:tcPr>
          <w:p w14:paraId="08F7ECE8" w14:textId="77777777" w:rsidR="00AD1F54" w:rsidRPr="00264D5D" w:rsidRDefault="00941227">
            <w:pPr>
              <w:pStyle w:val="EBTablenorm"/>
              <w:ind w:left="57" w:right="57"/>
              <w:contextualSpacing w:val="0"/>
              <w:rPr>
                <w:sz w:val="22"/>
                <w:szCs w:val="22"/>
              </w:rPr>
            </w:pPr>
            <w:r w:rsidRPr="00264D5D">
              <w:rPr>
                <w:sz w:val="22"/>
                <w:szCs w:val="22"/>
              </w:rPr>
              <w:t>Т(1-2000)</w:t>
            </w:r>
          </w:p>
        </w:tc>
        <w:tc>
          <w:tcPr>
            <w:tcW w:w="567" w:type="dxa"/>
          </w:tcPr>
          <w:p w14:paraId="2A4829F1" w14:textId="77777777" w:rsidR="00AD1F54" w:rsidRPr="00264D5D" w:rsidRDefault="00941227">
            <w:pPr>
              <w:pStyle w:val="EBTablenorm"/>
              <w:ind w:left="57" w:right="57"/>
              <w:contextualSpacing w:val="0"/>
              <w:rPr>
                <w:sz w:val="22"/>
                <w:szCs w:val="22"/>
              </w:rPr>
            </w:pPr>
            <w:r w:rsidRPr="00264D5D">
              <w:rPr>
                <w:sz w:val="22"/>
                <w:szCs w:val="22"/>
              </w:rPr>
              <w:t>О</w:t>
            </w:r>
          </w:p>
        </w:tc>
        <w:tc>
          <w:tcPr>
            <w:tcW w:w="3963" w:type="dxa"/>
          </w:tcPr>
          <w:p w14:paraId="2D7DDC17" w14:textId="77777777" w:rsidR="00AD1F54" w:rsidRPr="00264D5D" w:rsidRDefault="00941227">
            <w:pPr>
              <w:pStyle w:val="EBTablenorm"/>
              <w:ind w:left="57" w:right="57"/>
              <w:contextualSpacing w:val="0"/>
              <w:rPr>
                <w:sz w:val="22"/>
                <w:szCs w:val="22"/>
              </w:rPr>
            </w:pPr>
            <w:r w:rsidRPr="00264D5D">
              <w:rPr>
                <w:sz w:val="22"/>
                <w:szCs w:val="22"/>
              </w:rPr>
              <w:t xml:space="preserve">Наименование субъекта Российской Федерации в соответствии с федеративным устройством Российской Федерации, определенным статьей 65 </w:t>
            </w:r>
            <w:r w:rsidRPr="00264D5D">
              <w:rPr>
                <w:sz w:val="22"/>
                <w:szCs w:val="22"/>
              </w:rPr>
              <w:lastRenderedPageBreak/>
              <w:t>К</w:t>
            </w:r>
            <w:r w:rsidR="00B83EE9" w:rsidRPr="00264D5D">
              <w:rPr>
                <w:sz w:val="22"/>
                <w:szCs w:val="22"/>
              </w:rPr>
              <w:t>онституции Российской Федерации</w:t>
            </w:r>
          </w:p>
        </w:tc>
      </w:tr>
      <w:tr w:rsidR="00AD1F54" w:rsidRPr="00264D5D" w14:paraId="0C2A2A0D"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22DEC3D4" w14:textId="77777777" w:rsidR="00AD1F54" w:rsidRPr="00264D5D" w:rsidRDefault="00941227">
            <w:pPr>
              <w:pStyle w:val="EBTablenorm"/>
              <w:ind w:left="57" w:right="57"/>
              <w:contextualSpacing w:val="0"/>
              <w:rPr>
                <w:sz w:val="22"/>
                <w:szCs w:val="22"/>
              </w:rPr>
            </w:pPr>
            <w:r w:rsidRPr="00264D5D">
              <w:rPr>
                <w:sz w:val="22"/>
                <w:szCs w:val="22"/>
              </w:rPr>
              <w:lastRenderedPageBreak/>
              <w:t>Код субъекта РФ</w:t>
            </w:r>
          </w:p>
        </w:tc>
        <w:tc>
          <w:tcPr>
            <w:tcW w:w="1701" w:type="dxa"/>
          </w:tcPr>
          <w:p w14:paraId="570B68BE" w14:textId="77777777" w:rsidR="00AD1F54" w:rsidRPr="00264D5D" w:rsidRDefault="00941227">
            <w:pPr>
              <w:pStyle w:val="EBTablenorm"/>
              <w:ind w:left="57" w:right="57"/>
              <w:contextualSpacing w:val="0"/>
              <w:rPr>
                <w:sz w:val="22"/>
                <w:szCs w:val="22"/>
              </w:rPr>
            </w:pPr>
            <w:r w:rsidRPr="00264D5D">
              <w:rPr>
                <w:sz w:val="22"/>
                <w:szCs w:val="22"/>
              </w:rPr>
              <w:t>SubCode</w:t>
            </w:r>
          </w:p>
        </w:tc>
        <w:tc>
          <w:tcPr>
            <w:tcW w:w="567" w:type="dxa"/>
          </w:tcPr>
          <w:p w14:paraId="6BBE1ADC" w14:textId="77777777" w:rsidR="00AD1F54" w:rsidRPr="00264D5D" w:rsidRDefault="00941227">
            <w:pPr>
              <w:pStyle w:val="EBTablenorm"/>
              <w:ind w:left="57" w:right="57"/>
              <w:contextualSpacing w:val="0"/>
              <w:rPr>
                <w:sz w:val="22"/>
                <w:szCs w:val="22"/>
              </w:rPr>
            </w:pPr>
            <w:r w:rsidRPr="00264D5D">
              <w:rPr>
                <w:sz w:val="22"/>
                <w:szCs w:val="22"/>
              </w:rPr>
              <w:t>П</w:t>
            </w:r>
          </w:p>
        </w:tc>
        <w:tc>
          <w:tcPr>
            <w:tcW w:w="1134" w:type="dxa"/>
          </w:tcPr>
          <w:p w14:paraId="771961F4" w14:textId="77777777" w:rsidR="00AD1F54" w:rsidRPr="00264D5D" w:rsidRDefault="00941227">
            <w:pPr>
              <w:pStyle w:val="EBTablenorm"/>
              <w:ind w:left="57" w:right="57"/>
              <w:contextualSpacing w:val="0"/>
              <w:rPr>
                <w:sz w:val="22"/>
                <w:szCs w:val="22"/>
              </w:rPr>
            </w:pPr>
            <w:r w:rsidRPr="00264D5D">
              <w:rPr>
                <w:sz w:val="22"/>
                <w:szCs w:val="22"/>
              </w:rPr>
              <w:t>Т(2)</w:t>
            </w:r>
          </w:p>
          <w:p w14:paraId="23CFCD8C" w14:textId="77777777" w:rsidR="00AD1F54" w:rsidRPr="00264D5D" w:rsidRDefault="00AD1F54">
            <w:pPr>
              <w:pStyle w:val="EBTablenorm"/>
              <w:ind w:left="57" w:right="57"/>
              <w:contextualSpacing w:val="0"/>
              <w:rPr>
                <w:sz w:val="22"/>
                <w:szCs w:val="22"/>
                <w:lang w:val="en-US"/>
              </w:rPr>
            </w:pPr>
          </w:p>
        </w:tc>
        <w:tc>
          <w:tcPr>
            <w:tcW w:w="567" w:type="dxa"/>
          </w:tcPr>
          <w:p w14:paraId="760D29BB" w14:textId="77777777" w:rsidR="00AD1F54" w:rsidRPr="00264D5D" w:rsidRDefault="00941227">
            <w:pPr>
              <w:pStyle w:val="EBTablenorm"/>
              <w:ind w:left="57" w:right="57"/>
              <w:contextualSpacing w:val="0"/>
              <w:rPr>
                <w:sz w:val="22"/>
                <w:szCs w:val="22"/>
              </w:rPr>
            </w:pPr>
            <w:r w:rsidRPr="00264D5D">
              <w:rPr>
                <w:sz w:val="22"/>
                <w:szCs w:val="22"/>
              </w:rPr>
              <w:t>О</w:t>
            </w:r>
          </w:p>
        </w:tc>
        <w:tc>
          <w:tcPr>
            <w:tcW w:w="3963" w:type="dxa"/>
          </w:tcPr>
          <w:p w14:paraId="7206DBC6" w14:textId="77777777" w:rsidR="00AD1F54" w:rsidRPr="00264D5D" w:rsidRDefault="00941227">
            <w:pPr>
              <w:pStyle w:val="EBTablenorm"/>
              <w:ind w:left="57" w:right="57"/>
              <w:contextualSpacing w:val="0"/>
              <w:rPr>
                <w:sz w:val="22"/>
                <w:szCs w:val="22"/>
              </w:rPr>
            </w:pPr>
            <w:r w:rsidRPr="00264D5D">
              <w:rPr>
                <w:sz w:val="22"/>
                <w:szCs w:val="22"/>
              </w:rPr>
              <w:t>Кодовое обозначение субъекта Российской Федерации в соответствии с федеративным устройством Российской Федерации, определенным статьей 65 К</w:t>
            </w:r>
            <w:r w:rsidR="00B83EE9" w:rsidRPr="00264D5D">
              <w:rPr>
                <w:sz w:val="22"/>
                <w:szCs w:val="22"/>
              </w:rPr>
              <w:t>онституции Российской Федерации</w:t>
            </w:r>
          </w:p>
        </w:tc>
      </w:tr>
      <w:tr w:rsidR="00AD1F54" w:rsidRPr="00264D5D" w14:paraId="05C542E3"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89BF696" w14:textId="77777777" w:rsidR="00AD1F54" w:rsidRPr="00264D5D" w:rsidRDefault="00941227">
            <w:pPr>
              <w:pStyle w:val="EBTablenorm"/>
              <w:ind w:left="57" w:right="57"/>
              <w:contextualSpacing w:val="0"/>
              <w:rPr>
                <w:sz w:val="22"/>
                <w:szCs w:val="22"/>
              </w:rPr>
            </w:pPr>
            <w:r w:rsidRPr="00264D5D">
              <w:rPr>
                <w:sz w:val="22"/>
                <w:szCs w:val="22"/>
              </w:rPr>
              <w:t>Наименование муниципального района, городского округа или внутригородской территории</w:t>
            </w:r>
          </w:p>
        </w:tc>
        <w:tc>
          <w:tcPr>
            <w:tcW w:w="1701" w:type="dxa"/>
          </w:tcPr>
          <w:p w14:paraId="224FA55F" w14:textId="77777777" w:rsidR="00AD1F54" w:rsidRPr="00264D5D" w:rsidRDefault="00941227">
            <w:pPr>
              <w:pStyle w:val="EBTablenorm"/>
              <w:ind w:left="57" w:right="57"/>
              <w:contextualSpacing w:val="0"/>
              <w:rPr>
                <w:sz w:val="22"/>
                <w:szCs w:val="22"/>
              </w:rPr>
            </w:pPr>
            <w:r w:rsidRPr="00264D5D">
              <w:rPr>
                <w:sz w:val="22"/>
                <w:szCs w:val="22"/>
              </w:rPr>
              <w:t>AreaName</w:t>
            </w:r>
          </w:p>
        </w:tc>
        <w:tc>
          <w:tcPr>
            <w:tcW w:w="567" w:type="dxa"/>
          </w:tcPr>
          <w:p w14:paraId="6487EEEC" w14:textId="77777777" w:rsidR="00AD1F54" w:rsidRPr="00264D5D" w:rsidRDefault="00941227">
            <w:pPr>
              <w:pStyle w:val="EBTablenorm"/>
              <w:ind w:left="57" w:right="57"/>
              <w:contextualSpacing w:val="0"/>
              <w:rPr>
                <w:sz w:val="22"/>
                <w:szCs w:val="22"/>
              </w:rPr>
            </w:pPr>
            <w:r w:rsidRPr="00264D5D">
              <w:rPr>
                <w:sz w:val="22"/>
                <w:szCs w:val="22"/>
              </w:rPr>
              <w:t>П</w:t>
            </w:r>
          </w:p>
        </w:tc>
        <w:tc>
          <w:tcPr>
            <w:tcW w:w="1134" w:type="dxa"/>
          </w:tcPr>
          <w:p w14:paraId="4DE5C387" w14:textId="77777777" w:rsidR="00AD1F54" w:rsidRPr="00264D5D" w:rsidRDefault="00941227">
            <w:pPr>
              <w:pStyle w:val="EBTablenorm"/>
              <w:ind w:left="57" w:right="57"/>
              <w:contextualSpacing w:val="0"/>
              <w:rPr>
                <w:sz w:val="22"/>
                <w:szCs w:val="22"/>
              </w:rPr>
            </w:pPr>
            <w:r w:rsidRPr="00264D5D">
              <w:rPr>
                <w:sz w:val="22"/>
                <w:szCs w:val="22"/>
              </w:rPr>
              <w:t>Т(1-2000)</w:t>
            </w:r>
          </w:p>
        </w:tc>
        <w:tc>
          <w:tcPr>
            <w:tcW w:w="567" w:type="dxa"/>
          </w:tcPr>
          <w:p w14:paraId="028AEC30" w14:textId="77777777" w:rsidR="00AD1F54" w:rsidRPr="00264D5D" w:rsidRDefault="00941227">
            <w:pPr>
              <w:pStyle w:val="EBTablenorm"/>
              <w:ind w:left="57" w:right="57"/>
              <w:contextualSpacing w:val="0"/>
              <w:rPr>
                <w:sz w:val="22"/>
                <w:szCs w:val="22"/>
              </w:rPr>
            </w:pPr>
            <w:r w:rsidRPr="00264D5D">
              <w:rPr>
                <w:sz w:val="22"/>
                <w:szCs w:val="22"/>
              </w:rPr>
              <w:t>Н</w:t>
            </w:r>
          </w:p>
        </w:tc>
        <w:tc>
          <w:tcPr>
            <w:tcW w:w="3963" w:type="dxa"/>
          </w:tcPr>
          <w:p w14:paraId="26938E42" w14:textId="77777777" w:rsidR="00AD1F54" w:rsidRPr="00264D5D" w:rsidRDefault="00941227">
            <w:pPr>
              <w:pStyle w:val="EBTablenorm"/>
              <w:ind w:left="57" w:right="57"/>
              <w:contextualSpacing w:val="0"/>
              <w:rPr>
                <w:sz w:val="22"/>
                <w:szCs w:val="22"/>
              </w:rPr>
            </w:pPr>
            <w:r w:rsidRPr="00264D5D">
              <w:rPr>
                <w:sz w:val="22"/>
                <w:szCs w:val="22"/>
              </w:rPr>
              <w:t>Наименование муниципального района, городского округа или внутригородской территории (для</w:t>
            </w:r>
            <w:r w:rsidR="00B83EE9" w:rsidRPr="00264D5D">
              <w:rPr>
                <w:sz w:val="22"/>
                <w:szCs w:val="22"/>
              </w:rPr>
              <w:t xml:space="preserve"> городов федерального значения)</w:t>
            </w:r>
          </w:p>
        </w:tc>
      </w:tr>
      <w:tr w:rsidR="00AD1F54" w:rsidRPr="00264D5D" w14:paraId="7CCB0215"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BA3BED3" w14:textId="77777777" w:rsidR="00AD1F54" w:rsidRPr="00264D5D" w:rsidRDefault="00941227">
            <w:pPr>
              <w:pStyle w:val="EBTablenorm"/>
              <w:ind w:left="57" w:right="57"/>
              <w:contextualSpacing w:val="0"/>
              <w:rPr>
                <w:sz w:val="22"/>
                <w:szCs w:val="22"/>
              </w:rPr>
            </w:pPr>
            <w:r w:rsidRPr="00264D5D">
              <w:rPr>
                <w:sz w:val="22"/>
                <w:szCs w:val="22"/>
              </w:rPr>
              <w:t>Наименование городского или сельского поселения в составе муниципального района или внутригородского района городского округа</w:t>
            </w:r>
          </w:p>
        </w:tc>
        <w:tc>
          <w:tcPr>
            <w:tcW w:w="1701" w:type="dxa"/>
          </w:tcPr>
          <w:p w14:paraId="53DCA5FA" w14:textId="77777777" w:rsidR="00AD1F54" w:rsidRPr="00264D5D" w:rsidRDefault="00941227">
            <w:pPr>
              <w:pStyle w:val="EBTablenorm"/>
              <w:ind w:left="57" w:right="57"/>
              <w:contextualSpacing w:val="0"/>
              <w:rPr>
                <w:sz w:val="22"/>
                <w:szCs w:val="22"/>
              </w:rPr>
            </w:pPr>
            <w:r w:rsidRPr="00264D5D">
              <w:rPr>
                <w:sz w:val="22"/>
                <w:szCs w:val="22"/>
              </w:rPr>
              <w:t>AreaItmName</w:t>
            </w:r>
          </w:p>
        </w:tc>
        <w:tc>
          <w:tcPr>
            <w:tcW w:w="567" w:type="dxa"/>
          </w:tcPr>
          <w:p w14:paraId="52D85571" w14:textId="77777777" w:rsidR="00AD1F54" w:rsidRPr="00264D5D" w:rsidRDefault="00941227">
            <w:pPr>
              <w:pStyle w:val="EBTablenorm"/>
              <w:ind w:left="57" w:right="57"/>
              <w:contextualSpacing w:val="0"/>
              <w:rPr>
                <w:sz w:val="22"/>
                <w:szCs w:val="22"/>
              </w:rPr>
            </w:pPr>
            <w:r w:rsidRPr="00264D5D">
              <w:rPr>
                <w:sz w:val="22"/>
                <w:szCs w:val="22"/>
              </w:rPr>
              <w:t>П</w:t>
            </w:r>
          </w:p>
        </w:tc>
        <w:tc>
          <w:tcPr>
            <w:tcW w:w="1134" w:type="dxa"/>
          </w:tcPr>
          <w:p w14:paraId="50529FEC" w14:textId="77777777" w:rsidR="00AD1F54" w:rsidRPr="00264D5D" w:rsidRDefault="00941227">
            <w:pPr>
              <w:pStyle w:val="EBTablenorm"/>
              <w:ind w:left="57" w:right="57"/>
              <w:contextualSpacing w:val="0"/>
              <w:rPr>
                <w:sz w:val="22"/>
                <w:szCs w:val="22"/>
              </w:rPr>
            </w:pPr>
            <w:r w:rsidRPr="00264D5D">
              <w:rPr>
                <w:sz w:val="22"/>
                <w:szCs w:val="22"/>
              </w:rPr>
              <w:t>Т(1-2000)</w:t>
            </w:r>
          </w:p>
        </w:tc>
        <w:tc>
          <w:tcPr>
            <w:tcW w:w="567" w:type="dxa"/>
          </w:tcPr>
          <w:p w14:paraId="0CCE12B4" w14:textId="77777777" w:rsidR="00AD1F54" w:rsidRPr="00264D5D" w:rsidRDefault="00941227">
            <w:pPr>
              <w:pStyle w:val="EBTablenorm"/>
              <w:ind w:left="57" w:right="57"/>
              <w:contextualSpacing w:val="0"/>
              <w:rPr>
                <w:sz w:val="22"/>
                <w:szCs w:val="22"/>
              </w:rPr>
            </w:pPr>
            <w:r w:rsidRPr="00264D5D">
              <w:rPr>
                <w:sz w:val="22"/>
                <w:szCs w:val="22"/>
              </w:rPr>
              <w:t>Н</w:t>
            </w:r>
          </w:p>
        </w:tc>
        <w:tc>
          <w:tcPr>
            <w:tcW w:w="3963" w:type="dxa"/>
          </w:tcPr>
          <w:p w14:paraId="58B0416E" w14:textId="77777777" w:rsidR="00AD1F54" w:rsidRPr="00264D5D" w:rsidRDefault="00941227">
            <w:pPr>
              <w:pStyle w:val="EBTablenorm"/>
              <w:ind w:left="57" w:right="57"/>
              <w:contextualSpacing w:val="0"/>
              <w:rPr>
                <w:sz w:val="22"/>
                <w:szCs w:val="22"/>
              </w:rPr>
            </w:pPr>
            <w:r w:rsidRPr="00264D5D">
              <w:rPr>
                <w:sz w:val="22"/>
                <w:szCs w:val="22"/>
              </w:rPr>
              <w:t>Наименование городского или сельского поселения в составе муниципального района (для муниципального района) или внутригоро</w:t>
            </w:r>
            <w:r w:rsidR="00B83EE9" w:rsidRPr="00264D5D">
              <w:rPr>
                <w:sz w:val="22"/>
                <w:szCs w:val="22"/>
              </w:rPr>
              <w:t>дского района городского округа</w:t>
            </w:r>
          </w:p>
        </w:tc>
      </w:tr>
      <w:tr w:rsidR="00AD1F54" w:rsidRPr="00264D5D" w14:paraId="544DAD59"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31BD9C4" w14:textId="77777777" w:rsidR="00AD1F54" w:rsidRPr="00264D5D" w:rsidRDefault="00941227">
            <w:pPr>
              <w:pStyle w:val="EBTablenorm"/>
              <w:ind w:left="57" w:right="57"/>
              <w:contextualSpacing w:val="0"/>
              <w:rPr>
                <w:sz w:val="22"/>
                <w:szCs w:val="22"/>
              </w:rPr>
            </w:pPr>
            <w:r w:rsidRPr="00264D5D">
              <w:rPr>
                <w:sz w:val="22"/>
                <w:szCs w:val="22"/>
              </w:rPr>
              <w:t>Наименование населенного пункта</w:t>
            </w:r>
          </w:p>
        </w:tc>
        <w:tc>
          <w:tcPr>
            <w:tcW w:w="1701" w:type="dxa"/>
          </w:tcPr>
          <w:p w14:paraId="2E7DEAAD" w14:textId="77777777" w:rsidR="00AD1F54" w:rsidRPr="00264D5D" w:rsidRDefault="00941227">
            <w:pPr>
              <w:pStyle w:val="EBTablenorm"/>
              <w:ind w:left="57" w:right="57"/>
              <w:contextualSpacing w:val="0"/>
              <w:rPr>
                <w:sz w:val="22"/>
                <w:szCs w:val="22"/>
              </w:rPr>
            </w:pPr>
            <w:r w:rsidRPr="00264D5D">
              <w:rPr>
                <w:sz w:val="22"/>
                <w:szCs w:val="22"/>
              </w:rPr>
              <w:t>TwnType</w:t>
            </w:r>
          </w:p>
        </w:tc>
        <w:tc>
          <w:tcPr>
            <w:tcW w:w="567" w:type="dxa"/>
          </w:tcPr>
          <w:p w14:paraId="2FA0CAB6" w14:textId="77777777" w:rsidR="00AD1F54" w:rsidRPr="00264D5D" w:rsidRDefault="00941227">
            <w:pPr>
              <w:pStyle w:val="EBTablenorm"/>
              <w:ind w:left="57" w:right="57"/>
              <w:contextualSpacing w:val="0"/>
              <w:rPr>
                <w:sz w:val="22"/>
                <w:szCs w:val="22"/>
              </w:rPr>
            </w:pPr>
            <w:r w:rsidRPr="00264D5D">
              <w:rPr>
                <w:sz w:val="22"/>
                <w:szCs w:val="22"/>
              </w:rPr>
              <w:t>П</w:t>
            </w:r>
          </w:p>
        </w:tc>
        <w:tc>
          <w:tcPr>
            <w:tcW w:w="1134" w:type="dxa"/>
          </w:tcPr>
          <w:p w14:paraId="468D761E" w14:textId="77777777" w:rsidR="00AD1F54" w:rsidRPr="00264D5D" w:rsidRDefault="00941227">
            <w:pPr>
              <w:pStyle w:val="EBTablenorm"/>
              <w:ind w:left="57" w:right="57"/>
              <w:contextualSpacing w:val="0"/>
              <w:rPr>
                <w:sz w:val="22"/>
                <w:szCs w:val="22"/>
              </w:rPr>
            </w:pPr>
            <w:r w:rsidRPr="00264D5D">
              <w:rPr>
                <w:sz w:val="22"/>
                <w:szCs w:val="22"/>
              </w:rPr>
              <w:t>Т(1-100)</w:t>
            </w:r>
          </w:p>
        </w:tc>
        <w:tc>
          <w:tcPr>
            <w:tcW w:w="567" w:type="dxa"/>
          </w:tcPr>
          <w:p w14:paraId="3BF93A1C" w14:textId="77777777" w:rsidR="00AD1F54" w:rsidRPr="00264D5D" w:rsidRDefault="00941227">
            <w:pPr>
              <w:pStyle w:val="EBTablenorm"/>
              <w:ind w:left="57" w:right="57"/>
              <w:contextualSpacing w:val="0"/>
              <w:rPr>
                <w:sz w:val="22"/>
                <w:szCs w:val="22"/>
              </w:rPr>
            </w:pPr>
            <w:r w:rsidRPr="00264D5D">
              <w:rPr>
                <w:sz w:val="22"/>
                <w:szCs w:val="22"/>
              </w:rPr>
              <w:t>Н</w:t>
            </w:r>
          </w:p>
        </w:tc>
        <w:tc>
          <w:tcPr>
            <w:tcW w:w="3963" w:type="dxa"/>
          </w:tcPr>
          <w:p w14:paraId="63371C83" w14:textId="77777777" w:rsidR="00AD1F54" w:rsidRPr="00264D5D" w:rsidRDefault="00941227">
            <w:pPr>
              <w:pStyle w:val="EBTablenorm"/>
              <w:ind w:left="57" w:right="57"/>
              <w:contextualSpacing w:val="0"/>
              <w:rPr>
                <w:sz w:val="22"/>
                <w:szCs w:val="22"/>
              </w:rPr>
            </w:pPr>
            <w:r w:rsidRPr="00264D5D">
              <w:rPr>
                <w:sz w:val="22"/>
                <w:szCs w:val="22"/>
              </w:rPr>
              <w:t>Наименование населе</w:t>
            </w:r>
            <w:r w:rsidR="00B83EE9" w:rsidRPr="00264D5D">
              <w:rPr>
                <w:sz w:val="22"/>
                <w:szCs w:val="22"/>
              </w:rPr>
              <w:t>нного пункта</w:t>
            </w:r>
          </w:p>
        </w:tc>
      </w:tr>
      <w:tr w:rsidR="00AD1F54" w:rsidRPr="00264D5D" w14:paraId="3D1C888F"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43000E6B" w14:textId="77777777" w:rsidR="00AD1F54" w:rsidRPr="00264D5D" w:rsidRDefault="00941227">
            <w:pPr>
              <w:pStyle w:val="EBTablenorm"/>
              <w:ind w:left="57" w:right="57"/>
              <w:contextualSpacing w:val="0"/>
              <w:rPr>
                <w:sz w:val="22"/>
                <w:szCs w:val="22"/>
              </w:rPr>
            </w:pPr>
            <w:r w:rsidRPr="00264D5D">
              <w:rPr>
                <w:sz w:val="22"/>
                <w:szCs w:val="22"/>
              </w:rPr>
              <w:t>Код территории населенного пункта по ОКТМО</w:t>
            </w:r>
          </w:p>
        </w:tc>
        <w:tc>
          <w:tcPr>
            <w:tcW w:w="1701" w:type="dxa"/>
          </w:tcPr>
          <w:p w14:paraId="7435E59A" w14:textId="77777777" w:rsidR="00AD1F54" w:rsidRPr="00264D5D" w:rsidRDefault="00941227">
            <w:pPr>
              <w:pStyle w:val="EBTablenorm"/>
              <w:ind w:left="57" w:right="57"/>
              <w:contextualSpacing w:val="0"/>
              <w:rPr>
                <w:sz w:val="22"/>
                <w:szCs w:val="22"/>
              </w:rPr>
            </w:pPr>
            <w:r w:rsidRPr="00264D5D">
              <w:rPr>
                <w:sz w:val="22"/>
                <w:szCs w:val="22"/>
              </w:rPr>
              <w:t>TwnOktmo</w:t>
            </w:r>
          </w:p>
        </w:tc>
        <w:tc>
          <w:tcPr>
            <w:tcW w:w="567" w:type="dxa"/>
          </w:tcPr>
          <w:p w14:paraId="52B630C4" w14:textId="77777777" w:rsidR="00AD1F54" w:rsidRPr="00264D5D" w:rsidRDefault="00941227">
            <w:pPr>
              <w:pStyle w:val="EBTablenorm"/>
              <w:ind w:left="57" w:right="57"/>
              <w:contextualSpacing w:val="0"/>
              <w:rPr>
                <w:sz w:val="22"/>
                <w:szCs w:val="22"/>
              </w:rPr>
            </w:pPr>
            <w:r w:rsidRPr="00264D5D">
              <w:rPr>
                <w:sz w:val="22"/>
                <w:szCs w:val="22"/>
              </w:rPr>
              <w:t>П</w:t>
            </w:r>
          </w:p>
        </w:tc>
        <w:tc>
          <w:tcPr>
            <w:tcW w:w="1134" w:type="dxa"/>
          </w:tcPr>
          <w:p w14:paraId="3279B7BB" w14:textId="77777777" w:rsidR="00AD1F54" w:rsidRPr="00264D5D" w:rsidRDefault="00941227">
            <w:pPr>
              <w:pStyle w:val="EBTablenorm"/>
              <w:ind w:left="57" w:right="57"/>
              <w:contextualSpacing w:val="0"/>
              <w:rPr>
                <w:sz w:val="22"/>
                <w:szCs w:val="22"/>
              </w:rPr>
            </w:pPr>
            <w:r w:rsidRPr="00264D5D">
              <w:rPr>
                <w:sz w:val="22"/>
                <w:szCs w:val="22"/>
              </w:rPr>
              <w:t>Т(8) или Т(11)</w:t>
            </w:r>
          </w:p>
        </w:tc>
        <w:tc>
          <w:tcPr>
            <w:tcW w:w="567" w:type="dxa"/>
          </w:tcPr>
          <w:p w14:paraId="028A4353" w14:textId="77777777" w:rsidR="00AD1F54" w:rsidRPr="00264D5D" w:rsidRDefault="00941227">
            <w:pPr>
              <w:pStyle w:val="EBTablenorm"/>
              <w:ind w:left="57" w:right="57"/>
              <w:contextualSpacing w:val="0"/>
              <w:rPr>
                <w:sz w:val="22"/>
                <w:szCs w:val="22"/>
              </w:rPr>
            </w:pPr>
            <w:r w:rsidRPr="00264D5D">
              <w:rPr>
                <w:sz w:val="22"/>
                <w:szCs w:val="22"/>
              </w:rPr>
              <w:t>Н</w:t>
            </w:r>
          </w:p>
        </w:tc>
        <w:tc>
          <w:tcPr>
            <w:tcW w:w="3963" w:type="dxa"/>
          </w:tcPr>
          <w:p w14:paraId="0D457815" w14:textId="77777777" w:rsidR="00AD1F54" w:rsidRPr="00264D5D" w:rsidRDefault="00941227">
            <w:pPr>
              <w:pStyle w:val="EBTablenorm"/>
              <w:ind w:left="57" w:right="57"/>
              <w:contextualSpacing w:val="0"/>
              <w:rPr>
                <w:sz w:val="22"/>
                <w:szCs w:val="22"/>
              </w:rPr>
            </w:pPr>
            <w:r w:rsidRPr="00264D5D">
              <w:rPr>
                <w:sz w:val="22"/>
                <w:szCs w:val="22"/>
              </w:rPr>
              <w:t>Код террито</w:t>
            </w:r>
            <w:r w:rsidR="00B83EE9" w:rsidRPr="00264D5D">
              <w:rPr>
                <w:sz w:val="22"/>
                <w:szCs w:val="22"/>
              </w:rPr>
              <w:t>рии населенного пункта по ОКТМО</w:t>
            </w:r>
          </w:p>
        </w:tc>
      </w:tr>
      <w:tr w:rsidR="00AD1F54" w:rsidRPr="00264D5D" w14:paraId="08771EC1"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AAFB900" w14:textId="77777777" w:rsidR="00AD1F54" w:rsidRPr="00264D5D" w:rsidRDefault="00941227">
            <w:pPr>
              <w:pStyle w:val="EBTablenorm"/>
              <w:ind w:left="57" w:right="57"/>
              <w:contextualSpacing w:val="0"/>
              <w:rPr>
                <w:sz w:val="22"/>
                <w:szCs w:val="22"/>
              </w:rPr>
            </w:pPr>
            <w:r w:rsidRPr="00264D5D">
              <w:rPr>
                <w:sz w:val="22"/>
                <w:szCs w:val="22"/>
              </w:rPr>
              <w:t>Наименование элемента планировочной структуры</w:t>
            </w:r>
          </w:p>
        </w:tc>
        <w:tc>
          <w:tcPr>
            <w:tcW w:w="1701" w:type="dxa"/>
          </w:tcPr>
          <w:p w14:paraId="1258DE24" w14:textId="77777777" w:rsidR="00AD1F54" w:rsidRPr="00264D5D" w:rsidRDefault="00941227">
            <w:pPr>
              <w:pStyle w:val="EBTablenorm"/>
              <w:ind w:left="57" w:right="57"/>
              <w:contextualSpacing w:val="0"/>
              <w:rPr>
                <w:sz w:val="22"/>
                <w:szCs w:val="22"/>
              </w:rPr>
            </w:pPr>
            <w:r w:rsidRPr="00264D5D">
              <w:rPr>
                <w:sz w:val="22"/>
                <w:szCs w:val="22"/>
              </w:rPr>
              <w:t>PlStrName</w:t>
            </w:r>
          </w:p>
        </w:tc>
        <w:tc>
          <w:tcPr>
            <w:tcW w:w="567" w:type="dxa"/>
          </w:tcPr>
          <w:p w14:paraId="764EB3D6" w14:textId="77777777" w:rsidR="00AD1F54" w:rsidRPr="00264D5D" w:rsidRDefault="00941227">
            <w:pPr>
              <w:pStyle w:val="EBTablenorm"/>
              <w:ind w:left="57" w:right="57"/>
              <w:contextualSpacing w:val="0"/>
              <w:rPr>
                <w:sz w:val="22"/>
                <w:szCs w:val="22"/>
              </w:rPr>
            </w:pPr>
            <w:r w:rsidRPr="00264D5D">
              <w:rPr>
                <w:sz w:val="22"/>
                <w:szCs w:val="22"/>
              </w:rPr>
              <w:t>П</w:t>
            </w:r>
          </w:p>
        </w:tc>
        <w:tc>
          <w:tcPr>
            <w:tcW w:w="1134" w:type="dxa"/>
          </w:tcPr>
          <w:p w14:paraId="445611C0" w14:textId="77777777" w:rsidR="00AD1F54" w:rsidRPr="00264D5D" w:rsidRDefault="00941227">
            <w:pPr>
              <w:pStyle w:val="EBTablenorm"/>
              <w:ind w:left="57" w:right="57"/>
              <w:contextualSpacing w:val="0"/>
              <w:rPr>
                <w:sz w:val="22"/>
                <w:szCs w:val="22"/>
              </w:rPr>
            </w:pPr>
            <w:r w:rsidRPr="00264D5D">
              <w:rPr>
                <w:sz w:val="22"/>
                <w:szCs w:val="22"/>
              </w:rPr>
              <w:t>Т(1-100)</w:t>
            </w:r>
          </w:p>
        </w:tc>
        <w:tc>
          <w:tcPr>
            <w:tcW w:w="567" w:type="dxa"/>
          </w:tcPr>
          <w:p w14:paraId="34F3DA14" w14:textId="77777777" w:rsidR="00AD1F54" w:rsidRPr="00264D5D" w:rsidRDefault="00941227">
            <w:pPr>
              <w:pStyle w:val="EBTablenorm"/>
              <w:ind w:left="57" w:right="57"/>
              <w:contextualSpacing w:val="0"/>
              <w:rPr>
                <w:sz w:val="22"/>
                <w:szCs w:val="22"/>
              </w:rPr>
            </w:pPr>
            <w:r w:rsidRPr="00264D5D">
              <w:rPr>
                <w:sz w:val="22"/>
                <w:szCs w:val="22"/>
              </w:rPr>
              <w:t>Н</w:t>
            </w:r>
          </w:p>
        </w:tc>
        <w:tc>
          <w:tcPr>
            <w:tcW w:w="3963" w:type="dxa"/>
          </w:tcPr>
          <w:p w14:paraId="0A01F741" w14:textId="77777777" w:rsidR="00AD1F54" w:rsidRPr="00264D5D" w:rsidRDefault="00941227">
            <w:pPr>
              <w:pStyle w:val="EBTablenorm"/>
              <w:ind w:left="57" w:right="57"/>
              <w:contextualSpacing w:val="0"/>
              <w:rPr>
                <w:sz w:val="22"/>
                <w:szCs w:val="22"/>
              </w:rPr>
            </w:pPr>
            <w:r w:rsidRPr="00264D5D">
              <w:rPr>
                <w:sz w:val="22"/>
                <w:szCs w:val="22"/>
              </w:rPr>
              <w:t>Наименование эл</w:t>
            </w:r>
            <w:r w:rsidR="00B83EE9" w:rsidRPr="00264D5D">
              <w:rPr>
                <w:sz w:val="22"/>
                <w:szCs w:val="22"/>
              </w:rPr>
              <w:t>емента планировочной структуры</w:t>
            </w:r>
          </w:p>
        </w:tc>
      </w:tr>
      <w:tr w:rsidR="00AD1F54" w:rsidRPr="00264D5D" w14:paraId="5BEBA7FB"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5CE3970C" w14:textId="77777777" w:rsidR="00AD1F54" w:rsidRPr="00264D5D" w:rsidRDefault="00941227">
            <w:pPr>
              <w:pStyle w:val="EBTablenorm"/>
              <w:ind w:left="57" w:right="57"/>
              <w:contextualSpacing w:val="0"/>
              <w:rPr>
                <w:sz w:val="22"/>
                <w:szCs w:val="22"/>
              </w:rPr>
            </w:pPr>
            <w:r w:rsidRPr="00264D5D">
              <w:rPr>
                <w:sz w:val="22"/>
                <w:szCs w:val="22"/>
              </w:rPr>
              <w:t>Наименование элемента улично-дорожной сети</w:t>
            </w:r>
          </w:p>
        </w:tc>
        <w:tc>
          <w:tcPr>
            <w:tcW w:w="1701" w:type="dxa"/>
          </w:tcPr>
          <w:p w14:paraId="22268566" w14:textId="77777777" w:rsidR="00AD1F54" w:rsidRPr="00264D5D" w:rsidRDefault="00941227">
            <w:pPr>
              <w:pStyle w:val="EBTablenorm"/>
              <w:ind w:left="57" w:right="57"/>
              <w:contextualSpacing w:val="0"/>
              <w:rPr>
                <w:sz w:val="22"/>
                <w:szCs w:val="22"/>
              </w:rPr>
            </w:pPr>
            <w:r w:rsidRPr="00264D5D">
              <w:rPr>
                <w:sz w:val="22"/>
                <w:szCs w:val="22"/>
              </w:rPr>
              <w:t>RdNtwrkName</w:t>
            </w:r>
          </w:p>
        </w:tc>
        <w:tc>
          <w:tcPr>
            <w:tcW w:w="567" w:type="dxa"/>
          </w:tcPr>
          <w:p w14:paraId="3AD84BF5" w14:textId="77777777" w:rsidR="00AD1F54" w:rsidRPr="00264D5D" w:rsidRDefault="00941227">
            <w:pPr>
              <w:pStyle w:val="EBTablenorm"/>
              <w:ind w:left="57" w:right="57"/>
              <w:contextualSpacing w:val="0"/>
              <w:rPr>
                <w:sz w:val="22"/>
                <w:szCs w:val="22"/>
              </w:rPr>
            </w:pPr>
            <w:r w:rsidRPr="00264D5D">
              <w:rPr>
                <w:sz w:val="22"/>
                <w:szCs w:val="22"/>
              </w:rPr>
              <w:t>П</w:t>
            </w:r>
          </w:p>
        </w:tc>
        <w:tc>
          <w:tcPr>
            <w:tcW w:w="1134" w:type="dxa"/>
          </w:tcPr>
          <w:p w14:paraId="16E6CECC" w14:textId="77777777" w:rsidR="00AD1F54" w:rsidRPr="00264D5D" w:rsidRDefault="00941227">
            <w:pPr>
              <w:pStyle w:val="EBTablenorm"/>
              <w:ind w:left="57" w:right="57"/>
              <w:contextualSpacing w:val="0"/>
              <w:rPr>
                <w:sz w:val="22"/>
                <w:szCs w:val="22"/>
              </w:rPr>
            </w:pPr>
            <w:r w:rsidRPr="00264D5D">
              <w:rPr>
                <w:sz w:val="22"/>
                <w:szCs w:val="22"/>
              </w:rPr>
              <w:t>Т(1-100)</w:t>
            </w:r>
          </w:p>
        </w:tc>
        <w:tc>
          <w:tcPr>
            <w:tcW w:w="567" w:type="dxa"/>
          </w:tcPr>
          <w:p w14:paraId="2F9824F4" w14:textId="77777777" w:rsidR="00AD1F54" w:rsidRPr="00264D5D" w:rsidRDefault="00941227">
            <w:pPr>
              <w:pStyle w:val="EBTablenorm"/>
              <w:ind w:left="57" w:right="57"/>
              <w:contextualSpacing w:val="0"/>
              <w:rPr>
                <w:sz w:val="22"/>
                <w:szCs w:val="22"/>
              </w:rPr>
            </w:pPr>
            <w:r w:rsidRPr="00264D5D">
              <w:rPr>
                <w:sz w:val="22"/>
                <w:szCs w:val="22"/>
              </w:rPr>
              <w:t>Н</w:t>
            </w:r>
          </w:p>
        </w:tc>
        <w:tc>
          <w:tcPr>
            <w:tcW w:w="3963" w:type="dxa"/>
          </w:tcPr>
          <w:p w14:paraId="7ACE6AFF" w14:textId="77777777" w:rsidR="00AD1F54" w:rsidRPr="00264D5D" w:rsidRDefault="00941227">
            <w:pPr>
              <w:pStyle w:val="EBTablenorm"/>
              <w:ind w:left="57" w:right="57"/>
              <w:contextualSpacing w:val="0"/>
              <w:rPr>
                <w:sz w:val="22"/>
                <w:szCs w:val="22"/>
              </w:rPr>
            </w:pPr>
            <w:r w:rsidRPr="00264D5D">
              <w:rPr>
                <w:sz w:val="22"/>
                <w:szCs w:val="22"/>
              </w:rPr>
              <w:t>Наименовани</w:t>
            </w:r>
            <w:r w:rsidR="00B83EE9" w:rsidRPr="00264D5D">
              <w:rPr>
                <w:sz w:val="22"/>
                <w:szCs w:val="22"/>
              </w:rPr>
              <w:t>е элемента улично-дорожной сети</w:t>
            </w:r>
          </w:p>
        </w:tc>
      </w:tr>
      <w:tr w:rsidR="00AD1F54" w:rsidRPr="00264D5D" w14:paraId="0774E365"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7A981F06" w14:textId="77777777" w:rsidR="00AD1F54" w:rsidRPr="00264D5D" w:rsidRDefault="00941227">
            <w:pPr>
              <w:pStyle w:val="EBTablenorm"/>
              <w:ind w:left="57" w:right="57"/>
              <w:contextualSpacing w:val="0"/>
              <w:rPr>
                <w:sz w:val="22"/>
                <w:szCs w:val="22"/>
              </w:rPr>
            </w:pPr>
            <w:r w:rsidRPr="00264D5D">
              <w:rPr>
                <w:sz w:val="22"/>
                <w:szCs w:val="22"/>
              </w:rPr>
              <w:t>Тип здания, сооружения</w:t>
            </w:r>
          </w:p>
        </w:tc>
        <w:tc>
          <w:tcPr>
            <w:tcW w:w="1701" w:type="dxa"/>
          </w:tcPr>
          <w:p w14:paraId="38EB1706" w14:textId="77777777" w:rsidR="00AD1F54" w:rsidRPr="00264D5D" w:rsidRDefault="00941227">
            <w:pPr>
              <w:pStyle w:val="EBTablenorm"/>
              <w:ind w:left="57" w:right="57"/>
              <w:contextualSpacing w:val="0"/>
              <w:rPr>
                <w:sz w:val="22"/>
                <w:szCs w:val="22"/>
              </w:rPr>
            </w:pPr>
            <w:r w:rsidRPr="00264D5D">
              <w:rPr>
                <w:sz w:val="22"/>
                <w:szCs w:val="22"/>
              </w:rPr>
              <w:t>BldngType</w:t>
            </w:r>
          </w:p>
        </w:tc>
        <w:tc>
          <w:tcPr>
            <w:tcW w:w="567" w:type="dxa"/>
          </w:tcPr>
          <w:p w14:paraId="2DDF261C" w14:textId="77777777" w:rsidR="00AD1F54" w:rsidRPr="00264D5D" w:rsidRDefault="00941227">
            <w:pPr>
              <w:pStyle w:val="EBTablenorm"/>
              <w:ind w:left="57" w:right="57"/>
              <w:contextualSpacing w:val="0"/>
              <w:rPr>
                <w:sz w:val="22"/>
                <w:szCs w:val="22"/>
              </w:rPr>
            </w:pPr>
            <w:r w:rsidRPr="00264D5D">
              <w:rPr>
                <w:sz w:val="22"/>
                <w:szCs w:val="22"/>
              </w:rPr>
              <w:t>П</w:t>
            </w:r>
          </w:p>
        </w:tc>
        <w:tc>
          <w:tcPr>
            <w:tcW w:w="1134" w:type="dxa"/>
          </w:tcPr>
          <w:p w14:paraId="64C5CD59" w14:textId="77777777" w:rsidR="00AD1F54" w:rsidRPr="00264D5D" w:rsidRDefault="00941227">
            <w:pPr>
              <w:pStyle w:val="EBTablenorm"/>
              <w:ind w:left="57" w:right="57"/>
              <w:contextualSpacing w:val="0"/>
              <w:rPr>
                <w:sz w:val="22"/>
                <w:szCs w:val="22"/>
              </w:rPr>
            </w:pPr>
            <w:r w:rsidRPr="00264D5D">
              <w:rPr>
                <w:sz w:val="22"/>
                <w:szCs w:val="22"/>
              </w:rPr>
              <w:t>Т(1-100)</w:t>
            </w:r>
          </w:p>
        </w:tc>
        <w:tc>
          <w:tcPr>
            <w:tcW w:w="567" w:type="dxa"/>
          </w:tcPr>
          <w:p w14:paraId="1363AC9F" w14:textId="77777777" w:rsidR="00AD1F54" w:rsidRPr="00264D5D" w:rsidRDefault="00941227">
            <w:pPr>
              <w:pStyle w:val="EBTablenorm"/>
              <w:ind w:left="57" w:right="57"/>
              <w:contextualSpacing w:val="0"/>
              <w:rPr>
                <w:sz w:val="22"/>
                <w:szCs w:val="22"/>
              </w:rPr>
            </w:pPr>
            <w:r w:rsidRPr="00264D5D">
              <w:rPr>
                <w:sz w:val="22"/>
                <w:szCs w:val="22"/>
              </w:rPr>
              <w:t>О</w:t>
            </w:r>
          </w:p>
        </w:tc>
        <w:tc>
          <w:tcPr>
            <w:tcW w:w="3963" w:type="dxa"/>
          </w:tcPr>
          <w:p w14:paraId="71E208B4" w14:textId="77777777" w:rsidR="00AD1F54" w:rsidRPr="00264D5D" w:rsidRDefault="00B83EE9">
            <w:pPr>
              <w:pStyle w:val="EBTablenorm"/>
              <w:ind w:left="57" w:right="57"/>
              <w:contextualSpacing w:val="0"/>
              <w:rPr>
                <w:sz w:val="22"/>
                <w:szCs w:val="22"/>
              </w:rPr>
            </w:pPr>
            <w:r w:rsidRPr="00264D5D">
              <w:rPr>
                <w:sz w:val="22"/>
                <w:szCs w:val="22"/>
              </w:rPr>
              <w:t>Тип здания, сооружения</w:t>
            </w:r>
          </w:p>
        </w:tc>
      </w:tr>
      <w:tr w:rsidR="00AD1F54" w:rsidRPr="00264D5D" w14:paraId="30B18D2F"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2A4452DD" w14:textId="77777777" w:rsidR="00AD1F54" w:rsidRPr="00264D5D" w:rsidRDefault="00941227">
            <w:pPr>
              <w:pStyle w:val="EBTablenorm"/>
              <w:ind w:left="57" w:right="57"/>
              <w:contextualSpacing w:val="0"/>
              <w:rPr>
                <w:sz w:val="22"/>
                <w:szCs w:val="22"/>
              </w:rPr>
            </w:pPr>
            <w:r w:rsidRPr="00264D5D">
              <w:rPr>
                <w:sz w:val="22"/>
                <w:szCs w:val="22"/>
              </w:rPr>
              <w:t xml:space="preserve">Номер здания, </w:t>
            </w:r>
            <w:r w:rsidRPr="00264D5D">
              <w:rPr>
                <w:sz w:val="22"/>
                <w:szCs w:val="22"/>
              </w:rPr>
              <w:lastRenderedPageBreak/>
              <w:t>сооружения</w:t>
            </w:r>
          </w:p>
        </w:tc>
        <w:tc>
          <w:tcPr>
            <w:tcW w:w="1701" w:type="dxa"/>
          </w:tcPr>
          <w:p w14:paraId="1A2BB278" w14:textId="77777777" w:rsidR="00AD1F54" w:rsidRPr="00264D5D" w:rsidRDefault="00941227">
            <w:pPr>
              <w:pStyle w:val="EBTablenorm"/>
              <w:ind w:left="57" w:right="57"/>
              <w:contextualSpacing w:val="0"/>
              <w:rPr>
                <w:sz w:val="22"/>
                <w:szCs w:val="22"/>
              </w:rPr>
            </w:pPr>
            <w:r w:rsidRPr="00264D5D">
              <w:rPr>
                <w:sz w:val="22"/>
                <w:szCs w:val="22"/>
              </w:rPr>
              <w:lastRenderedPageBreak/>
              <w:t>BldngNum</w:t>
            </w:r>
          </w:p>
        </w:tc>
        <w:tc>
          <w:tcPr>
            <w:tcW w:w="567" w:type="dxa"/>
          </w:tcPr>
          <w:p w14:paraId="196A5254" w14:textId="77777777" w:rsidR="00AD1F54" w:rsidRPr="00264D5D" w:rsidRDefault="00941227">
            <w:pPr>
              <w:pStyle w:val="EBTablenorm"/>
              <w:ind w:left="57" w:right="57"/>
              <w:contextualSpacing w:val="0"/>
              <w:rPr>
                <w:sz w:val="22"/>
                <w:szCs w:val="22"/>
              </w:rPr>
            </w:pPr>
            <w:r w:rsidRPr="00264D5D">
              <w:rPr>
                <w:sz w:val="22"/>
                <w:szCs w:val="22"/>
              </w:rPr>
              <w:t>П</w:t>
            </w:r>
          </w:p>
        </w:tc>
        <w:tc>
          <w:tcPr>
            <w:tcW w:w="1134" w:type="dxa"/>
          </w:tcPr>
          <w:p w14:paraId="1EE524DA" w14:textId="77777777" w:rsidR="00AD1F54" w:rsidRPr="00264D5D" w:rsidRDefault="00941227">
            <w:pPr>
              <w:pStyle w:val="EBTablenorm"/>
              <w:ind w:left="57" w:right="57"/>
              <w:contextualSpacing w:val="0"/>
              <w:rPr>
                <w:sz w:val="22"/>
                <w:szCs w:val="22"/>
              </w:rPr>
            </w:pPr>
            <w:r w:rsidRPr="00264D5D">
              <w:rPr>
                <w:sz w:val="22"/>
                <w:szCs w:val="22"/>
              </w:rPr>
              <w:t>Т(1-100)</w:t>
            </w:r>
          </w:p>
        </w:tc>
        <w:tc>
          <w:tcPr>
            <w:tcW w:w="567" w:type="dxa"/>
          </w:tcPr>
          <w:p w14:paraId="57C38BD9" w14:textId="77777777" w:rsidR="00AD1F54" w:rsidRPr="00264D5D" w:rsidRDefault="00941227">
            <w:pPr>
              <w:pStyle w:val="EBTablenorm"/>
              <w:ind w:left="57" w:right="57"/>
              <w:contextualSpacing w:val="0"/>
              <w:rPr>
                <w:sz w:val="22"/>
                <w:szCs w:val="22"/>
              </w:rPr>
            </w:pPr>
            <w:r w:rsidRPr="00264D5D">
              <w:rPr>
                <w:sz w:val="22"/>
                <w:szCs w:val="22"/>
              </w:rPr>
              <w:t>О</w:t>
            </w:r>
          </w:p>
        </w:tc>
        <w:tc>
          <w:tcPr>
            <w:tcW w:w="3963" w:type="dxa"/>
          </w:tcPr>
          <w:p w14:paraId="03D8D6B5" w14:textId="77777777" w:rsidR="00AD1F54" w:rsidRPr="00264D5D" w:rsidRDefault="00B83EE9">
            <w:pPr>
              <w:pStyle w:val="EBTablenorm"/>
              <w:ind w:left="57" w:right="57"/>
              <w:contextualSpacing w:val="0"/>
              <w:rPr>
                <w:sz w:val="22"/>
                <w:szCs w:val="22"/>
              </w:rPr>
            </w:pPr>
            <w:r w:rsidRPr="00264D5D">
              <w:rPr>
                <w:sz w:val="22"/>
                <w:szCs w:val="22"/>
              </w:rPr>
              <w:t>Номер здания, сооружения</w:t>
            </w:r>
          </w:p>
        </w:tc>
      </w:tr>
      <w:tr w:rsidR="00AD1F54" w:rsidRPr="00264D5D" w14:paraId="5F83D266"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6821D17" w14:textId="77777777" w:rsidR="00AD1F54" w:rsidRPr="00264D5D" w:rsidRDefault="00941227">
            <w:pPr>
              <w:pStyle w:val="EBTablenorm"/>
              <w:ind w:left="57" w:right="57"/>
              <w:contextualSpacing w:val="0"/>
              <w:rPr>
                <w:sz w:val="22"/>
                <w:szCs w:val="22"/>
              </w:rPr>
            </w:pPr>
            <w:r w:rsidRPr="00264D5D">
              <w:rPr>
                <w:sz w:val="22"/>
                <w:szCs w:val="22"/>
              </w:rPr>
              <w:lastRenderedPageBreak/>
              <w:t>Тип помещения</w:t>
            </w:r>
          </w:p>
        </w:tc>
        <w:tc>
          <w:tcPr>
            <w:tcW w:w="1701" w:type="dxa"/>
          </w:tcPr>
          <w:p w14:paraId="68A2CD1A" w14:textId="77777777" w:rsidR="00AD1F54" w:rsidRPr="00264D5D" w:rsidRDefault="00941227">
            <w:pPr>
              <w:pStyle w:val="EBTablenorm"/>
              <w:ind w:left="57" w:right="57"/>
              <w:contextualSpacing w:val="0"/>
              <w:rPr>
                <w:sz w:val="22"/>
                <w:szCs w:val="22"/>
              </w:rPr>
            </w:pPr>
            <w:r w:rsidRPr="00264D5D">
              <w:rPr>
                <w:sz w:val="22"/>
                <w:szCs w:val="22"/>
              </w:rPr>
              <w:t>AprtmntType</w:t>
            </w:r>
          </w:p>
        </w:tc>
        <w:tc>
          <w:tcPr>
            <w:tcW w:w="567" w:type="dxa"/>
          </w:tcPr>
          <w:p w14:paraId="48A33ECE" w14:textId="77777777" w:rsidR="00AD1F54" w:rsidRPr="00264D5D" w:rsidRDefault="00941227">
            <w:pPr>
              <w:pStyle w:val="EBTablenorm"/>
              <w:ind w:left="57" w:right="57"/>
              <w:contextualSpacing w:val="0"/>
              <w:rPr>
                <w:sz w:val="22"/>
                <w:szCs w:val="22"/>
              </w:rPr>
            </w:pPr>
            <w:r w:rsidRPr="00264D5D">
              <w:rPr>
                <w:sz w:val="22"/>
                <w:szCs w:val="22"/>
              </w:rPr>
              <w:t>П</w:t>
            </w:r>
          </w:p>
        </w:tc>
        <w:tc>
          <w:tcPr>
            <w:tcW w:w="1134" w:type="dxa"/>
          </w:tcPr>
          <w:p w14:paraId="39AD2EF1" w14:textId="77777777" w:rsidR="00AD1F54" w:rsidRPr="00264D5D" w:rsidRDefault="00941227">
            <w:pPr>
              <w:pStyle w:val="EBTablenorm"/>
              <w:ind w:left="57" w:right="57"/>
              <w:contextualSpacing w:val="0"/>
              <w:rPr>
                <w:sz w:val="22"/>
                <w:szCs w:val="22"/>
              </w:rPr>
            </w:pPr>
            <w:r w:rsidRPr="00264D5D">
              <w:rPr>
                <w:sz w:val="22"/>
                <w:szCs w:val="22"/>
              </w:rPr>
              <w:t>Т(1-100)</w:t>
            </w:r>
          </w:p>
        </w:tc>
        <w:tc>
          <w:tcPr>
            <w:tcW w:w="567" w:type="dxa"/>
          </w:tcPr>
          <w:p w14:paraId="43EE9FAE" w14:textId="77777777" w:rsidR="00AD1F54" w:rsidRPr="00264D5D" w:rsidRDefault="00941227">
            <w:pPr>
              <w:pStyle w:val="EBTablenorm"/>
              <w:ind w:left="57" w:right="57"/>
              <w:contextualSpacing w:val="0"/>
              <w:rPr>
                <w:sz w:val="22"/>
                <w:szCs w:val="22"/>
              </w:rPr>
            </w:pPr>
            <w:r w:rsidRPr="00264D5D">
              <w:rPr>
                <w:sz w:val="22"/>
                <w:szCs w:val="22"/>
              </w:rPr>
              <w:t>Н</w:t>
            </w:r>
          </w:p>
        </w:tc>
        <w:tc>
          <w:tcPr>
            <w:tcW w:w="3963" w:type="dxa"/>
          </w:tcPr>
          <w:p w14:paraId="34709EAB" w14:textId="77777777" w:rsidR="00AD1F54" w:rsidRPr="00264D5D" w:rsidRDefault="00941227">
            <w:pPr>
              <w:pStyle w:val="EBTablenorm"/>
              <w:ind w:left="57" w:right="57"/>
              <w:contextualSpacing w:val="0"/>
              <w:rPr>
                <w:sz w:val="22"/>
                <w:szCs w:val="22"/>
              </w:rPr>
            </w:pPr>
            <w:r w:rsidRPr="00264D5D">
              <w:rPr>
                <w:sz w:val="22"/>
                <w:szCs w:val="22"/>
              </w:rPr>
              <w:t>Тип помещения, располо</w:t>
            </w:r>
            <w:r w:rsidR="00B83EE9" w:rsidRPr="00264D5D">
              <w:rPr>
                <w:sz w:val="22"/>
                <w:szCs w:val="22"/>
              </w:rPr>
              <w:t>женного в здании или сооружении</w:t>
            </w:r>
          </w:p>
        </w:tc>
      </w:tr>
      <w:tr w:rsidR="00AD1F54" w:rsidRPr="00264D5D" w14:paraId="30C93381"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5F2B6972" w14:textId="77777777" w:rsidR="00AD1F54" w:rsidRPr="00264D5D" w:rsidRDefault="00941227">
            <w:pPr>
              <w:pStyle w:val="EBTablenorm"/>
              <w:ind w:left="57" w:right="57"/>
              <w:contextualSpacing w:val="0"/>
              <w:rPr>
                <w:sz w:val="22"/>
                <w:szCs w:val="22"/>
              </w:rPr>
            </w:pPr>
            <w:r w:rsidRPr="00264D5D">
              <w:rPr>
                <w:sz w:val="22"/>
                <w:szCs w:val="22"/>
              </w:rPr>
              <w:t>Номер помещения</w:t>
            </w:r>
          </w:p>
        </w:tc>
        <w:tc>
          <w:tcPr>
            <w:tcW w:w="1701" w:type="dxa"/>
          </w:tcPr>
          <w:p w14:paraId="1F7924D1" w14:textId="77777777" w:rsidR="00AD1F54" w:rsidRPr="00264D5D" w:rsidRDefault="00941227">
            <w:pPr>
              <w:pStyle w:val="EBTablenorm"/>
              <w:ind w:left="57" w:right="57"/>
              <w:contextualSpacing w:val="0"/>
              <w:rPr>
                <w:sz w:val="22"/>
                <w:szCs w:val="22"/>
              </w:rPr>
            </w:pPr>
            <w:r w:rsidRPr="00264D5D">
              <w:rPr>
                <w:sz w:val="22"/>
                <w:szCs w:val="22"/>
              </w:rPr>
              <w:t>AprtmntNum</w:t>
            </w:r>
          </w:p>
        </w:tc>
        <w:tc>
          <w:tcPr>
            <w:tcW w:w="567" w:type="dxa"/>
          </w:tcPr>
          <w:p w14:paraId="058616B5" w14:textId="77777777" w:rsidR="00AD1F54" w:rsidRPr="00264D5D" w:rsidRDefault="00941227">
            <w:pPr>
              <w:pStyle w:val="EBTablenorm"/>
              <w:ind w:left="57" w:right="57"/>
              <w:contextualSpacing w:val="0"/>
              <w:rPr>
                <w:sz w:val="22"/>
                <w:szCs w:val="22"/>
              </w:rPr>
            </w:pPr>
            <w:r w:rsidRPr="00264D5D">
              <w:rPr>
                <w:sz w:val="22"/>
                <w:szCs w:val="22"/>
              </w:rPr>
              <w:t>П</w:t>
            </w:r>
          </w:p>
        </w:tc>
        <w:tc>
          <w:tcPr>
            <w:tcW w:w="1134" w:type="dxa"/>
          </w:tcPr>
          <w:p w14:paraId="0421DAC0" w14:textId="77777777" w:rsidR="00AD1F54" w:rsidRPr="00264D5D" w:rsidRDefault="00941227">
            <w:pPr>
              <w:pStyle w:val="EBTablenorm"/>
              <w:ind w:left="57" w:right="57"/>
              <w:contextualSpacing w:val="0"/>
              <w:rPr>
                <w:sz w:val="22"/>
                <w:szCs w:val="22"/>
              </w:rPr>
            </w:pPr>
            <w:r w:rsidRPr="00264D5D">
              <w:rPr>
                <w:sz w:val="22"/>
                <w:szCs w:val="22"/>
              </w:rPr>
              <w:t>Т(1-100)</w:t>
            </w:r>
          </w:p>
        </w:tc>
        <w:tc>
          <w:tcPr>
            <w:tcW w:w="567" w:type="dxa"/>
          </w:tcPr>
          <w:p w14:paraId="21D1A5AF" w14:textId="77777777" w:rsidR="00AD1F54" w:rsidRPr="00264D5D" w:rsidRDefault="00941227">
            <w:pPr>
              <w:pStyle w:val="EBTablenorm"/>
              <w:ind w:left="57" w:right="57"/>
              <w:contextualSpacing w:val="0"/>
              <w:rPr>
                <w:sz w:val="22"/>
                <w:szCs w:val="22"/>
              </w:rPr>
            </w:pPr>
            <w:r w:rsidRPr="00264D5D">
              <w:rPr>
                <w:sz w:val="22"/>
                <w:szCs w:val="22"/>
              </w:rPr>
              <w:t>Н</w:t>
            </w:r>
          </w:p>
        </w:tc>
        <w:tc>
          <w:tcPr>
            <w:tcW w:w="3963" w:type="dxa"/>
          </w:tcPr>
          <w:p w14:paraId="02CDEB51" w14:textId="77777777" w:rsidR="00AD1F54" w:rsidRPr="00264D5D" w:rsidRDefault="00941227">
            <w:pPr>
              <w:pStyle w:val="EBTablenorm"/>
              <w:ind w:left="57" w:right="57"/>
              <w:contextualSpacing w:val="0"/>
              <w:rPr>
                <w:sz w:val="22"/>
                <w:szCs w:val="22"/>
              </w:rPr>
            </w:pPr>
            <w:r w:rsidRPr="00264D5D">
              <w:rPr>
                <w:sz w:val="22"/>
                <w:szCs w:val="22"/>
              </w:rPr>
              <w:t>Номер помещения, располо</w:t>
            </w:r>
            <w:r w:rsidR="00B83EE9" w:rsidRPr="00264D5D">
              <w:rPr>
                <w:sz w:val="22"/>
                <w:szCs w:val="22"/>
              </w:rPr>
              <w:t>женного в здании или сооружении</w:t>
            </w:r>
          </w:p>
        </w:tc>
      </w:tr>
    </w:tbl>
    <w:p w14:paraId="31C9B4BB" w14:textId="77777777" w:rsidR="00AD1F54" w:rsidRPr="00264D5D" w:rsidRDefault="00941227">
      <w:pPr>
        <w:pStyle w:val="31"/>
      </w:pPr>
      <w:bookmarkStart w:id="1931" w:name="_Toc493090493"/>
      <w:bookmarkStart w:id="1932" w:name="_Toc496984026"/>
      <w:bookmarkStart w:id="1933" w:name="_Toc219309661"/>
      <w:r w:rsidRPr="00264D5D">
        <w:t>Описание комплексного типа «tFrgnLctn»</w:t>
      </w:r>
      <w:bookmarkEnd w:id="1931"/>
      <w:bookmarkEnd w:id="1932"/>
      <w:bookmarkEnd w:id="1933"/>
    </w:p>
    <w:p w14:paraId="222744C0" w14:textId="77777777" w:rsidR="00AD1F54" w:rsidRPr="00264D5D" w:rsidRDefault="00941227">
      <w:pPr>
        <w:spacing w:before="60" w:after="120"/>
        <w:ind w:firstLine="567"/>
        <w:rPr>
          <w:rFonts w:eastAsia="Calibri"/>
          <w:szCs w:val="24"/>
        </w:rPr>
      </w:pPr>
      <w:r w:rsidRPr="00264D5D">
        <w:rPr>
          <w:rFonts w:eastAsia="Calibri"/>
          <w:szCs w:val="24"/>
        </w:rPr>
        <w:t xml:space="preserve">Описание комплексного типа </w:t>
      </w:r>
      <w:r w:rsidRPr="00264D5D">
        <w:rPr>
          <w:szCs w:val="24"/>
        </w:rPr>
        <w:t>«</w:t>
      </w:r>
      <w:r w:rsidRPr="00264D5D">
        <w:rPr>
          <w:szCs w:val="24"/>
          <w:lang w:val="en-US"/>
        </w:rPr>
        <w:t>tFrgnLctn</w:t>
      </w:r>
      <w:r w:rsidRPr="00264D5D">
        <w:rPr>
          <w:szCs w:val="24"/>
        </w:rPr>
        <w:t>»</w:t>
      </w:r>
      <w:r w:rsidRPr="00264D5D">
        <w:t xml:space="preserve"> блока</w:t>
      </w:r>
      <w:r w:rsidRPr="00264D5D">
        <w:rPr>
          <w:szCs w:val="24"/>
        </w:rPr>
        <w:t xml:space="preserve"> «Место нахождения иностранного юридического лица»</w:t>
      </w:r>
      <w:r w:rsidRPr="00264D5D">
        <w:rPr>
          <w:rFonts w:eastAsia="Calibri"/>
          <w:szCs w:val="24"/>
        </w:rPr>
        <w:t>.</w:t>
      </w:r>
    </w:p>
    <w:p w14:paraId="578532EB" w14:textId="3D1384CD"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1934" w:name="_Ref494363561"/>
      <w:bookmarkStart w:id="1935" w:name="_Toc30503378"/>
      <w:bookmarkStart w:id="1936" w:name="_Toc30507976"/>
      <w:bookmarkStart w:id="1937" w:name="_Toc219309229"/>
      <w:r w:rsidR="008D797C">
        <w:rPr>
          <w:rFonts w:eastAsia="Calibri"/>
          <w:noProof/>
          <w:szCs w:val="24"/>
        </w:rPr>
        <w:t>199</w:t>
      </w:r>
      <w:bookmarkEnd w:id="1934"/>
      <w:r w:rsidRPr="00264D5D">
        <w:rPr>
          <w:rFonts w:eastAsia="Calibri"/>
          <w:szCs w:val="24"/>
        </w:rPr>
        <w:fldChar w:fldCharType="end"/>
      </w:r>
      <w:r w:rsidRPr="00264D5D">
        <w:rPr>
          <w:rFonts w:eastAsia="Calibri"/>
          <w:szCs w:val="24"/>
        </w:rPr>
        <w:t xml:space="preserve"> – Описание комплексного типа «tFrgnLctn»</w:t>
      </w:r>
      <w:bookmarkEnd w:id="1935"/>
      <w:bookmarkEnd w:id="1936"/>
      <w:bookmarkEnd w:id="1937"/>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50791F52"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2BFF51EA" w14:textId="77777777" w:rsidR="00AD1F54" w:rsidRPr="00264D5D" w:rsidRDefault="00941227">
            <w:pPr>
              <w:pStyle w:val="EBTableHead"/>
              <w:ind w:left="57" w:right="57"/>
              <w:contextualSpacing w:val="0"/>
              <w:rPr>
                <w:sz w:val="22"/>
                <w:szCs w:val="22"/>
              </w:rPr>
            </w:pPr>
            <w:r w:rsidRPr="00264D5D">
              <w:rPr>
                <w:bCs w:val="0"/>
                <w:sz w:val="22"/>
                <w:szCs w:val="22"/>
              </w:rPr>
              <w:t>Наименование элемента</w:t>
            </w:r>
          </w:p>
        </w:tc>
        <w:tc>
          <w:tcPr>
            <w:tcW w:w="1701" w:type="dxa"/>
          </w:tcPr>
          <w:p w14:paraId="7CF6511A" w14:textId="77777777" w:rsidR="00AD1F54" w:rsidRPr="00264D5D" w:rsidRDefault="00941227">
            <w:pPr>
              <w:pStyle w:val="EBTableHead"/>
              <w:ind w:left="57" w:right="57"/>
              <w:contextualSpacing w:val="0"/>
              <w:rPr>
                <w:sz w:val="22"/>
                <w:szCs w:val="22"/>
              </w:rPr>
            </w:pPr>
            <w:r w:rsidRPr="00264D5D">
              <w:rPr>
                <w:bCs w:val="0"/>
                <w:sz w:val="22"/>
                <w:szCs w:val="22"/>
              </w:rPr>
              <w:t>Сокращенное наименование (код) элемента</w:t>
            </w:r>
          </w:p>
        </w:tc>
        <w:tc>
          <w:tcPr>
            <w:tcW w:w="567" w:type="dxa"/>
          </w:tcPr>
          <w:p w14:paraId="10923D25" w14:textId="77777777" w:rsidR="00AD1F54" w:rsidRPr="00264D5D" w:rsidRDefault="00941227">
            <w:pPr>
              <w:pStyle w:val="EBTableHead"/>
              <w:ind w:left="57" w:right="57"/>
              <w:contextualSpacing w:val="0"/>
              <w:rPr>
                <w:sz w:val="22"/>
                <w:szCs w:val="22"/>
              </w:rPr>
            </w:pPr>
            <w:r w:rsidRPr="00264D5D">
              <w:rPr>
                <w:bCs w:val="0"/>
                <w:sz w:val="22"/>
                <w:szCs w:val="22"/>
              </w:rPr>
              <w:t>Тип</w:t>
            </w:r>
          </w:p>
        </w:tc>
        <w:tc>
          <w:tcPr>
            <w:tcW w:w="1134" w:type="dxa"/>
          </w:tcPr>
          <w:p w14:paraId="55408118" w14:textId="77777777" w:rsidR="00AD1F54" w:rsidRPr="00264D5D" w:rsidRDefault="00941227">
            <w:pPr>
              <w:pStyle w:val="EBTableHead"/>
              <w:ind w:left="57" w:right="57"/>
              <w:contextualSpacing w:val="0"/>
              <w:rPr>
                <w:sz w:val="22"/>
                <w:szCs w:val="22"/>
              </w:rPr>
            </w:pPr>
            <w:r w:rsidRPr="00264D5D">
              <w:rPr>
                <w:bCs w:val="0"/>
                <w:sz w:val="22"/>
                <w:szCs w:val="22"/>
              </w:rPr>
              <w:t>Формат элемента</w:t>
            </w:r>
          </w:p>
        </w:tc>
        <w:tc>
          <w:tcPr>
            <w:tcW w:w="567" w:type="dxa"/>
          </w:tcPr>
          <w:p w14:paraId="26A54897" w14:textId="77777777" w:rsidR="00AD1F54" w:rsidRPr="00264D5D" w:rsidRDefault="00941227">
            <w:pPr>
              <w:spacing w:before="60" w:after="60"/>
              <w:ind w:left="57" w:right="57"/>
              <w:jc w:val="center"/>
              <w:rPr>
                <w:b/>
                <w:bCs/>
                <w:sz w:val="22"/>
                <w:szCs w:val="22"/>
              </w:rPr>
            </w:pPr>
            <w:r w:rsidRPr="00264D5D">
              <w:rPr>
                <w:b/>
                <w:bCs/>
                <w:sz w:val="22"/>
                <w:szCs w:val="22"/>
              </w:rPr>
              <w:t>Обязательность</w:t>
            </w:r>
          </w:p>
        </w:tc>
        <w:tc>
          <w:tcPr>
            <w:tcW w:w="3963" w:type="dxa"/>
          </w:tcPr>
          <w:p w14:paraId="2DDE9EA6" w14:textId="77777777" w:rsidR="00AD1F54" w:rsidRPr="00264D5D" w:rsidRDefault="00941227">
            <w:pPr>
              <w:pStyle w:val="EBTableHead"/>
              <w:ind w:left="57" w:right="57"/>
              <w:contextualSpacing w:val="0"/>
              <w:rPr>
                <w:sz w:val="22"/>
                <w:szCs w:val="22"/>
              </w:rPr>
            </w:pPr>
            <w:r w:rsidRPr="00264D5D">
              <w:rPr>
                <w:bCs w:val="0"/>
                <w:sz w:val="22"/>
                <w:szCs w:val="22"/>
              </w:rPr>
              <w:t>Дополнительная информация</w:t>
            </w:r>
          </w:p>
        </w:tc>
      </w:tr>
      <w:tr w:rsidR="00AD1F54" w:rsidRPr="00264D5D" w14:paraId="1A9ECD70"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51B35E89" w14:textId="77777777" w:rsidR="00AD1F54" w:rsidRPr="00264D5D" w:rsidRDefault="00941227">
            <w:pPr>
              <w:pStyle w:val="EBTablenorm"/>
              <w:ind w:left="57" w:right="57"/>
              <w:contextualSpacing w:val="0"/>
              <w:rPr>
                <w:sz w:val="22"/>
                <w:szCs w:val="22"/>
              </w:rPr>
            </w:pPr>
            <w:r w:rsidRPr="00264D5D">
              <w:rPr>
                <w:sz w:val="22"/>
                <w:szCs w:val="22"/>
              </w:rPr>
              <w:t>Наименование страны по ОКСМ</w:t>
            </w:r>
          </w:p>
        </w:tc>
        <w:tc>
          <w:tcPr>
            <w:tcW w:w="1701" w:type="dxa"/>
          </w:tcPr>
          <w:p w14:paraId="693E8E20" w14:textId="77777777" w:rsidR="00AD1F54" w:rsidRPr="00264D5D" w:rsidRDefault="00941227">
            <w:pPr>
              <w:pStyle w:val="EBTablenorm"/>
              <w:ind w:left="57" w:right="57"/>
              <w:contextualSpacing w:val="0"/>
              <w:rPr>
                <w:sz w:val="22"/>
                <w:szCs w:val="22"/>
                <w:lang w:val="en-US"/>
              </w:rPr>
            </w:pPr>
            <w:r w:rsidRPr="00264D5D">
              <w:rPr>
                <w:sz w:val="22"/>
                <w:szCs w:val="22"/>
                <w:lang w:val="en-US"/>
              </w:rPr>
              <w:t>FrgnRegCntrName</w:t>
            </w:r>
          </w:p>
        </w:tc>
        <w:tc>
          <w:tcPr>
            <w:tcW w:w="567" w:type="dxa"/>
          </w:tcPr>
          <w:p w14:paraId="1FDF5218" w14:textId="77777777" w:rsidR="00AD1F54" w:rsidRPr="00264D5D" w:rsidRDefault="00941227">
            <w:pPr>
              <w:pStyle w:val="EBTablenorm"/>
              <w:ind w:left="57" w:right="57"/>
              <w:contextualSpacing w:val="0"/>
              <w:rPr>
                <w:sz w:val="22"/>
                <w:szCs w:val="22"/>
              </w:rPr>
            </w:pPr>
            <w:r w:rsidRPr="00264D5D">
              <w:rPr>
                <w:sz w:val="22"/>
                <w:szCs w:val="22"/>
              </w:rPr>
              <w:t>П</w:t>
            </w:r>
          </w:p>
        </w:tc>
        <w:tc>
          <w:tcPr>
            <w:tcW w:w="1134" w:type="dxa"/>
          </w:tcPr>
          <w:p w14:paraId="555D2ED8" w14:textId="77777777" w:rsidR="00AD1F54" w:rsidRPr="00264D5D" w:rsidRDefault="00941227">
            <w:pPr>
              <w:pStyle w:val="EBTablenorm"/>
              <w:ind w:left="57" w:right="57"/>
              <w:contextualSpacing w:val="0"/>
              <w:rPr>
                <w:sz w:val="22"/>
                <w:szCs w:val="22"/>
                <w:lang w:val="en-US"/>
              </w:rPr>
            </w:pPr>
            <w:r w:rsidRPr="00264D5D">
              <w:rPr>
                <w:sz w:val="22"/>
                <w:szCs w:val="22"/>
                <w:lang w:val="en-US"/>
              </w:rPr>
              <w:t>Т(1-2000)</w:t>
            </w:r>
          </w:p>
        </w:tc>
        <w:tc>
          <w:tcPr>
            <w:tcW w:w="567" w:type="dxa"/>
          </w:tcPr>
          <w:p w14:paraId="72DB0349" w14:textId="77777777" w:rsidR="00AD1F54" w:rsidRPr="00264D5D" w:rsidRDefault="00941227">
            <w:pPr>
              <w:pStyle w:val="EBTablenorm"/>
              <w:ind w:left="57" w:right="57"/>
              <w:contextualSpacing w:val="0"/>
              <w:rPr>
                <w:sz w:val="22"/>
                <w:szCs w:val="22"/>
                <w:lang w:val="en-US"/>
              </w:rPr>
            </w:pPr>
            <w:r w:rsidRPr="00264D5D">
              <w:rPr>
                <w:sz w:val="22"/>
                <w:szCs w:val="22"/>
                <w:lang w:val="en-US"/>
              </w:rPr>
              <w:t>О</w:t>
            </w:r>
          </w:p>
        </w:tc>
        <w:tc>
          <w:tcPr>
            <w:tcW w:w="3963" w:type="dxa"/>
          </w:tcPr>
          <w:p w14:paraId="5719FA29" w14:textId="77777777" w:rsidR="00AD1F54" w:rsidRPr="00264D5D" w:rsidRDefault="00941227">
            <w:pPr>
              <w:pStyle w:val="EBTablenorm"/>
              <w:ind w:left="57" w:right="57"/>
              <w:contextualSpacing w:val="0"/>
              <w:rPr>
                <w:sz w:val="22"/>
                <w:szCs w:val="22"/>
              </w:rPr>
            </w:pPr>
            <w:r w:rsidRPr="00264D5D">
              <w:rPr>
                <w:sz w:val="22"/>
                <w:szCs w:val="22"/>
              </w:rPr>
              <w:t>Страна регистрации иностранного юридичес</w:t>
            </w:r>
            <w:r w:rsidR="00B83EE9" w:rsidRPr="00264D5D">
              <w:rPr>
                <w:sz w:val="22"/>
                <w:szCs w:val="22"/>
              </w:rPr>
              <w:t>кого лица в соответствии с ОКСМ</w:t>
            </w:r>
          </w:p>
        </w:tc>
      </w:tr>
      <w:tr w:rsidR="00AD1F54" w:rsidRPr="00264D5D" w14:paraId="1EAF9837"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593C13A8" w14:textId="77777777" w:rsidR="00AD1F54" w:rsidRPr="00264D5D" w:rsidRDefault="00941227">
            <w:pPr>
              <w:pStyle w:val="EBTablenorm"/>
              <w:ind w:left="57" w:right="57"/>
              <w:contextualSpacing w:val="0"/>
              <w:rPr>
                <w:sz w:val="22"/>
                <w:szCs w:val="22"/>
              </w:rPr>
            </w:pPr>
            <w:r w:rsidRPr="00264D5D">
              <w:rPr>
                <w:sz w:val="22"/>
                <w:szCs w:val="22"/>
              </w:rPr>
              <w:t>Код страны по ОКСМ</w:t>
            </w:r>
          </w:p>
        </w:tc>
        <w:tc>
          <w:tcPr>
            <w:tcW w:w="1701" w:type="dxa"/>
          </w:tcPr>
          <w:p w14:paraId="70CB094B" w14:textId="77777777" w:rsidR="00AD1F54" w:rsidRPr="00264D5D" w:rsidRDefault="00941227">
            <w:pPr>
              <w:pStyle w:val="EBTablenorm"/>
              <w:ind w:left="57" w:right="57"/>
              <w:contextualSpacing w:val="0"/>
              <w:rPr>
                <w:sz w:val="22"/>
                <w:szCs w:val="22"/>
                <w:lang w:val="en-US"/>
              </w:rPr>
            </w:pPr>
            <w:r w:rsidRPr="00264D5D">
              <w:rPr>
                <w:sz w:val="22"/>
                <w:szCs w:val="22"/>
                <w:lang w:val="en-US"/>
              </w:rPr>
              <w:t>FrgnRegCntrCode</w:t>
            </w:r>
          </w:p>
        </w:tc>
        <w:tc>
          <w:tcPr>
            <w:tcW w:w="567" w:type="dxa"/>
          </w:tcPr>
          <w:p w14:paraId="3830665A" w14:textId="77777777" w:rsidR="00AD1F54" w:rsidRPr="00264D5D" w:rsidRDefault="00941227">
            <w:pPr>
              <w:pStyle w:val="EBTablenorm"/>
              <w:ind w:left="57" w:right="57"/>
              <w:contextualSpacing w:val="0"/>
              <w:rPr>
                <w:sz w:val="22"/>
                <w:szCs w:val="22"/>
              </w:rPr>
            </w:pPr>
            <w:r w:rsidRPr="00264D5D">
              <w:rPr>
                <w:sz w:val="22"/>
                <w:szCs w:val="22"/>
              </w:rPr>
              <w:t>П</w:t>
            </w:r>
          </w:p>
        </w:tc>
        <w:tc>
          <w:tcPr>
            <w:tcW w:w="1134" w:type="dxa"/>
          </w:tcPr>
          <w:p w14:paraId="33D357F3" w14:textId="77777777" w:rsidR="00AD1F54" w:rsidRPr="00264D5D" w:rsidRDefault="00941227">
            <w:pPr>
              <w:pStyle w:val="EBTablenorm"/>
              <w:ind w:left="57" w:right="57"/>
              <w:contextualSpacing w:val="0"/>
              <w:rPr>
                <w:sz w:val="22"/>
                <w:szCs w:val="22"/>
                <w:lang w:val="en-US"/>
              </w:rPr>
            </w:pPr>
            <w:r w:rsidRPr="00264D5D">
              <w:rPr>
                <w:sz w:val="22"/>
                <w:szCs w:val="22"/>
                <w:lang w:val="en-US"/>
              </w:rPr>
              <w:t>Т(3)</w:t>
            </w:r>
          </w:p>
        </w:tc>
        <w:tc>
          <w:tcPr>
            <w:tcW w:w="567" w:type="dxa"/>
          </w:tcPr>
          <w:p w14:paraId="4DE1C32B" w14:textId="77777777" w:rsidR="00AD1F54" w:rsidRPr="00264D5D" w:rsidRDefault="00941227">
            <w:pPr>
              <w:pStyle w:val="EBTablenorm"/>
              <w:ind w:left="57" w:right="57"/>
              <w:contextualSpacing w:val="0"/>
              <w:rPr>
                <w:sz w:val="22"/>
                <w:szCs w:val="22"/>
                <w:lang w:val="en-US"/>
              </w:rPr>
            </w:pPr>
            <w:r w:rsidRPr="00264D5D">
              <w:rPr>
                <w:sz w:val="22"/>
                <w:szCs w:val="22"/>
                <w:lang w:val="en-US"/>
              </w:rPr>
              <w:t>О</w:t>
            </w:r>
          </w:p>
        </w:tc>
        <w:tc>
          <w:tcPr>
            <w:tcW w:w="3963" w:type="dxa"/>
          </w:tcPr>
          <w:p w14:paraId="690923CF" w14:textId="77777777" w:rsidR="00AD1F54" w:rsidRPr="00264D5D" w:rsidRDefault="00941227">
            <w:pPr>
              <w:pStyle w:val="EBTablenorm"/>
              <w:ind w:left="57" w:right="57"/>
              <w:contextualSpacing w:val="0"/>
              <w:rPr>
                <w:sz w:val="22"/>
                <w:szCs w:val="22"/>
              </w:rPr>
            </w:pPr>
            <w:r w:rsidRPr="00264D5D">
              <w:rPr>
                <w:sz w:val="22"/>
                <w:szCs w:val="22"/>
              </w:rPr>
              <w:t>Цифровой код страны регистрации иностранного юридического лица в соответст</w:t>
            </w:r>
            <w:r w:rsidR="00B83EE9" w:rsidRPr="00264D5D">
              <w:rPr>
                <w:sz w:val="22"/>
                <w:szCs w:val="22"/>
              </w:rPr>
              <w:t>вии с ОКСМ</w:t>
            </w:r>
          </w:p>
        </w:tc>
      </w:tr>
      <w:tr w:rsidR="00AD1F54" w:rsidRPr="00264D5D" w14:paraId="2D6B2926"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516F2B8E" w14:textId="77777777" w:rsidR="00AD1F54" w:rsidRPr="00264D5D" w:rsidRDefault="00941227">
            <w:pPr>
              <w:pStyle w:val="EBTablenorm"/>
              <w:ind w:left="57" w:right="57"/>
              <w:contextualSpacing w:val="0"/>
              <w:rPr>
                <w:sz w:val="22"/>
                <w:szCs w:val="22"/>
              </w:rPr>
            </w:pPr>
            <w:r w:rsidRPr="00264D5D">
              <w:rPr>
                <w:sz w:val="22"/>
                <w:szCs w:val="22"/>
              </w:rPr>
              <w:t>Наименование элементов административного устройства страны</w:t>
            </w:r>
          </w:p>
        </w:tc>
        <w:tc>
          <w:tcPr>
            <w:tcW w:w="1701" w:type="dxa"/>
          </w:tcPr>
          <w:p w14:paraId="30E6BB8E" w14:textId="77777777" w:rsidR="00AD1F54" w:rsidRPr="00264D5D" w:rsidRDefault="00941227">
            <w:pPr>
              <w:pStyle w:val="EBTablenorm"/>
              <w:ind w:left="57" w:right="57"/>
              <w:contextualSpacing w:val="0"/>
              <w:rPr>
                <w:sz w:val="22"/>
                <w:szCs w:val="22"/>
                <w:lang w:val="en-US"/>
              </w:rPr>
            </w:pPr>
            <w:r w:rsidRPr="00264D5D">
              <w:rPr>
                <w:sz w:val="22"/>
                <w:szCs w:val="22"/>
                <w:lang w:val="en-US"/>
              </w:rPr>
              <w:t>FrgnAdmStr</w:t>
            </w:r>
          </w:p>
        </w:tc>
        <w:tc>
          <w:tcPr>
            <w:tcW w:w="567" w:type="dxa"/>
          </w:tcPr>
          <w:p w14:paraId="1EB60FAE" w14:textId="77777777" w:rsidR="00AD1F54" w:rsidRPr="00264D5D" w:rsidRDefault="00941227">
            <w:pPr>
              <w:pStyle w:val="EBTablenorm"/>
              <w:ind w:left="57" w:right="57"/>
              <w:contextualSpacing w:val="0"/>
              <w:rPr>
                <w:sz w:val="22"/>
                <w:szCs w:val="22"/>
              </w:rPr>
            </w:pPr>
            <w:r w:rsidRPr="00264D5D">
              <w:rPr>
                <w:sz w:val="22"/>
                <w:szCs w:val="22"/>
              </w:rPr>
              <w:t>П</w:t>
            </w:r>
          </w:p>
        </w:tc>
        <w:tc>
          <w:tcPr>
            <w:tcW w:w="1134" w:type="dxa"/>
          </w:tcPr>
          <w:p w14:paraId="49843890" w14:textId="77777777" w:rsidR="00AD1F54" w:rsidRPr="00264D5D" w:rsidRDefault="00941227">
            <w:pPr>
              <w:pStyle w:val="EBTablenorm"/>
              <w:ind w:left="57" w:right="57"/>
              <w:contextualSpacing w:val="0"/>
              <w:rPr>
                <w:sz w:val="22"/>
                <w:szCs w:val="22"/>
                <w:lang w:val="en-US"/>
              </w:rPr>
            </w:pPr>
            <w:r w:rsidRPr="00264D5D">
              <w:rPr>
                <w:sz w:val="22"/>
                <w:szCs w:val="22"/>
                <w:lang w:val="en-US"/>
              </w:rPr>
              <w:t>Т(1-100)</w:t>
            </w:r>
          </w:p>
        </w:tc>
        <w:tc>
          <w:tcPr>
            <w:tcW w:w="567" w:type="dxa"/>
          </w:tcPr>
          <w:p w14:paraId="707AC88C" w14:textId="77777777" w:rsidR="00AD1F54" w:rsidRPr="00264D5D" w:rsidRDefault="00941227">
            <w:pPr>
              <w:pStyle w:val="EBTablenorm"/>
              <w:ind w:left="57" w:right="57"/>
              <w:contextualSpacing w:val="0"/>
              <w:rPr>
                <w:sz w:val="22"/>
                <w:szCs w:val="22"/>
                <w:lang w:val="en-US"/>
              </w:rPr>
            </w:pPr>
            <w:r w:rsidRPr="00264D5D">
              <w:rPr>
                <w:sz w:val="22"/>
                <w:szCs w:val="22"/>
                <w:lang w:val="en-US"/>
              </w:rPr>
              <w:t>Н</w:t>
            </w:r>
          </w:p>
        </w:tc>
        <w:tc>
          <w:tcPr>
            <w:tcW w:w="3963" w:type="dxa"/>
          </w:tcPr>
          <w:p w14:paraId="316C93B4" w14:textId="77777777" w:rsidR="00AD1F54" w:rsidRPr="00264D5D" w:rsidRDefault="00941227">
            <w:pPr>
              <w:pStyle w:val="EBTablenorm"/>
              <w:ind w:left="57" w:right="57"/>
              <w:contextualSpacing w:val="0"/>
              <w:rPr>
                <w:sz w:val="22"/>
                <w:szCs w:val="22"/>
              </w:rPr>
            </w:pPr>
            <w:r w:rsidRPr="00264D5D">
              <w:rPr>
                <w:sz w:val="22"/>
                <w:szCs w:val="22"/>
              </w:rPr>
              <w:t xml:space="preserve">Наименование элементов административного устройства страны регистрации </w:t>
            </w:r>
            <w:r w:rsidR="00B83EE9" w:rsidRPr="00264D5D">
              <w:rPr>
                <w:sz w:val="22"/>
                <w:szCs w:val="22"/>
              </w:rPr>
              <w:t>иностранного юридического лица</w:t>
            </w:r>
          </w:p>
        </w:tc>
      </w:tr>
      <w:tr w:rsidR="00AD1F54" w:rsidRPr="00264D5D" w14:paraId="5BFE634B"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03165899" w14:textId="77777777" w:rsidR="00AD1F54" w:rsidRPr="00264D5D" w:rsidRDefault="00941227">
            <w:pPr>
              <w:pStyle w:val="EBTablenorm"/>
              <w:ind w:left="57" w:right="57"/>
              <w:contextualSpacing w:val="0"/>
              <w:rPr>
                <w:sz w:val="22"/>
                <w:szCs w:val="22"/>
              </w:rPr>
            </w:pPr>
            <w:r w:rsidRPr="00264D5D">
              <w:rPr>
                <w:sz w:val="22"/>
                <w:szCs w:val="22"/>
              </w:rPr>
              <w:t>Наименование населенного пункта</w:t>
            </w:r>
          </w:p>
        </w:tc>
        <w:tc>
          <w:tcPr>
            <w:tcW w:w="1701" w:type="dxa"/>
          </w:tcPr>
          <w:p w14:paraId="0B518521" w14:textId="77777777" w:rsidR="00AD1F54" w:rsidRPr="00264D5D" w:rsidRDefault="00941227">
            <w:pPr>
              <w:pStyle w:val="EBTablenorm"/>
              <w:ind w:left="57" w:right="57"/>
              <w:contextualSpacing w:val="0"/>
              <w:rPr>
                <w:sz w:val="22"/>
                <w:szCs w:val="22"/>
              </w:rPr>
            </w:pPr>
            <w:r w:rsidRPr="00264D5D">
              <w:rPr>
                <w:sz w:val="22"/>
                <w:szCs w:val="22"/>
                <w:lang w:val="en-US"/>
              </w:rPr>
              <w:t>FrgnTwnName</w:t>
            </w:r>
          </w:p>
        </w:tc>
        <w:tc>
          <w:tcPr>
            <w:tcW w:w="567" w:type="dxa"/>
          </w:tcPr>
          <w:p w14:paraId="516D0886" w14:textId="77777777" w:rsidR="00AD1F54" w:rsidRPr="00264D5D" w:rsidRDefault="00941227">
            <w:pPr>
              <w:pStyle w:val="EBTablenorm"/>
              <w:ind w:left="57" w:right="57"/>
              <w:contextualSpacing w:val="0"/>
              <w:rPr>
                <w:sz w:val="22"/>
                <w:szCs w:val="22"/>
              </w:rPr>
            </w:pPr>
            <w:r w:rsidRPr="00264D5D">
              <w:rPr>
                <w:sz w:val="22"/>
                <w:szCs w:val="22"/>
              </w:rPr>
              <w:t>П</w:t>
            </w:r>
          </w:p>
        </w:tc>
        <w:tc>
          <w:tcPr>
            <w:tcW w:w="1134" w:type="dxa"/>
          </w:tcPr>
          <w:p w14:paraId="5EECDCBA" w14:textId="77777777" w:rsidR="00AD1F54" w:rsidRPr="00264D5D" w:rsidRDefault="00941227">
            <w:pPr>
              <w:pStyle w:val="EBTablenorm"/>
              <w:ind w:left="57" w:right="57"/>
              <w:contextualSpacing w:val="0"/>
              <w:rPr>
                <w:sz w:val="22"/>
                <w:szCs w:val="22"/>
              </w:rPr>
            </w:pPr>
            <w:r w:rsidRPr="00264D5D">
              <w:rPr>
                <w:sz w:val="22"/>
                <w:szCs w:val="22"/>
              </w:rPr>
              <w:t>Т(1-100)</w:t>
            </w:r>
          </w:p>
        </w:tc>
        <w:tc>
          <w:tcPr>
            <w:tcW w:w="567" w:type="dxa"/>
          </w:tcPr>
          <w:p w14:paraId="3FDCB73E" w14:textId="77777777" w:rsidR="00AD1F54" w:rsidRPr="00264D5D" w:rsidRDefault="00941227">
            <w:pPr>
              <w:pStyle w:val="EBTablenorm"/>
              <w:ind w:left="57" w:right="57"/>
              <w:contextualSpacing w:val="0"/>
              <w:rPr>
                <w:sz w:val="22"/>
                <w:szCs w:val="22"/>
              </w:rPr>
            </w:pPr>
            <w:r w:rsidRPr="00264D5D">
              <w:rPr>
                <w:sz w:val="22"/>
                <w:szCs w:val="22"/>
              </w:rPr>
              <w:t>О</w:t>
            </w:r>
          </w:p>
        </w:tc>
        <w:tc>
          <w:tcPr>
            <w:tcW w:w="3963" w:type="dxa"/>
          </w:tcPr>
          <w:p w14:paraId="116EA00A" w14:textId="77777777" w:rsidR="00AD1F54" w:rsidRPr="00264D5D" w:rsidRDefault="00B83EE9">
            <w:pPr>
              <w:pStyle w:val="EBTablenorm"/>
              <w:ind w:left="57" w:right="57"/>
              <w:contextualSpacing w:val="0"/>
              <w:rPr>
                <w:sz w:val="22"/>
                <w:szCs w:val="22"/>
              </w:rPr>
            </w:pPr>
            <w:r w:rsidRPr="00264D5D">
              <w:rPr>
                <w:sz w:val="22"/>
                <w:szCs w:val="22"/>
              </w:rPr>
              <w:t>Наименование населенного пункта</w:t>
            </w:r>
          </w:p>
        </w:tc>
      </w:tr>
      <w:tr w:rsidR="00AD1F54" w:rsidRPr="00264D5D" w14:paraId="2EF2F423"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9340EE9" w14:textId="77777777" w:rsidR="00AD1F54" w:rsidRPr="00264D5D" w:rsidRDefault="00941227">
            <w:pPr>
              <w:pStyle w:val="EBTablenorm"/>
              <w:ind w:left="57" w:right="57"/>
              <w:contextualSpacing w:val="0"/>
              <w:rPr>
                <w:sz w:val="22"/>
                <w:szCs w:val="22"/>
              </w:rPr>
            </w:pPr>
            <w:r w:rsidRPr="00264D5D">
              <w:rPr>
                <w:sz w:val="22"/>
                <w:szCs w:val="22"/>
              </w:rPr>
              <w:t xml:space="preserve">Наименование элемента </w:t>
            </w:r>
            <w:r w:rsidRPr="00264D5D">
              <w:rPr>
                <w:sz w:val="22"/>
                <w:szCs w:val="22"/>
                <w:lang w:val="en-US"/>
              </w:rPr>
              <w:t>планировочной структуры</w:t>
            </w:r>
          </w:p>
        </w:tc>
        <w:tc>
          <w:tcPr>
            <w:tcW w:w="1701" w:type="dxa"/>
          </w:tcPr>
          <w:p w14:paraId="6D2CD23D" w14:textId="77777777" w:rsidR="00AD1F54" w:rsidRPr="00264D5D" w:rsidRDefault="00941227">
            <w:pPr>
              <w:pStyle w:val="EBTablenorm"/>
              <w:ind w:left="57" w:right="57"/>
              <w:contextualSpacing w:val="0"/>
              <w:rPr>
                <w:sz w:val="22"/>
                <w:szCs w:val="22"/>
              </w:rPr>
            </w:pPr>
            <w:r w:rsidRPr="00264D5D">
              <w:rPr>
                <w:sz w:val="22"/>
                <w:szCs w:val="22"/>
                <w:lang w:val="en-US"/>
              </w:rPr>
              <w:t>FrgnPlStrName</w:t>
            </w:r>
          </w:p>
        </w:tc>
        <w:tc>
          <w:tcPr>
            <w:tcW w:w="567" w:type="dxa"/>
          </w:tcPr>
          <w:p w14:paraId="6B8A66F1" w14:textId="77777777" w:rsidR="00AD1F54" w:rsidRPr="00264D5D" w:rsidRDefault="00941227">
            <w:pPr>
              <w:pStyle w:val="EBTablenorm"/>
              <w:ind w:left="57" w:right="57"/>
              <w:contextualSpacing w:val="0"/>
              <w:rPr>
                <w:sz w:val="22"/>
                <w:szCs w:val="22"/>
              </w:rPr>
            </w:pPr>
            <w:r w:rsidRPr="00264D5D">
              <w:rPr>
                <w:sz w:val="22"/>
                <w:szCs w:val="22"/>
              </w:rPr>
              <w:t>П</w:t>
            </w:r>
          </w:p>
        </w:tc>
        <w:tc>
          <w:tcPr>
            <w:tcW w:w="1134" w:type="dxa"/>
          </w:tcPr>
          <w:p w14:paraId="379C2443" w14:textId="77777777" w:rsidR="00AD1F54" w:rsidRPr="00264D5D" w:rsidRDefault="00941227">
            <w:pPr>
              <w:pStyle w:val="EBTablenorm"/>
              <w:ind w:left="57" w:right="57"/>
              <w:contextualSpacing w:val="0"/>
              <w:rPr>
                <w:sz w:val="22"/>
                <w:szCs w:val="22"/>
              </w:rPr>
            </w:pPr>
            <w:r w:rsidRPr="00264D5D">
              <w:rPr>
                <w:sz w:val="22"/>
                <w:szCs w:val="22"/>
              </w:rPr>
              <w:t>Т(1-100)</w:t>
            </w:r>
          </w:p>
        </w:tc>
        <w:tc>
          <w:tcPr>
            <w:tcW w:w="567" w:type="dxa"/>
          </w:tcPr>
          <w:p w14:paraId="7C27E9CA" w14:textId="77777777" w:rsidR="00AD1F54" w:rsidRPr="00264D5D" w:rsidRDefault="00941227">
            <w:pPr>
              <w:pStyle w:val="EBTablenorm"/>
              <w:ind w:left="57" w:right="57"/>
              <w:contextualSpacing w:val="0"/>
              <w:rPr>
                <w:sz w:val="22"/>
                <w:szCs w:val="22"/>
              </w:rPr>
            </w:pPr>
            <w:r w:rsidRPr="00264D5D">
              <w:rPr>
                <w:sz w:val="22"/>
                <w:szCs w:val="22"/>
              </w:rPr>
              <w:t>Н</w:t>
            </w:r>
          </w:p>
        </w:tc>
        <w:tc>
          <w:tcPr>
            <w:tcW w:w="3963" w:type="dxa"/>
          </w:tcPr>
          <w:p w14:paraId="2240E737" w14:textId="77777777" w:rsidR="00AD1F54" w:rsidRPr="00264D5D" w:rsidRDefault="00941227">
            <w:pPr>
              <w:pStyle w:val="EBTablenorm"/>
              <w:ind w:left="57" w:right="57"/>
              <w:contextualSpacing w:val="0"/>
              <w:rPr>
                <w:sz w:val="22"/>
                <w:szCs w:val="22"/>
              </w:rPr>
            </w:pPr>
            <w:r w:rsidRPr="00264D5D">
              <w:rPr>
                <w:sz w:val="22"/>
                <w:szCs w:val="22"/>
              </w:rPr>
              <w:t xml:space="preserve">Наименование элемента </w:t>
            </w:r>
            <w:r w:rsidRPr="00264D5D">
              <w:rPr>
                <w:sz w:val="22"/>
                <w:szCs w:val="22"/>
                <w:lang w:val="en-US"/>
              </w:rPr>
              <w:t>планировочной структуры</w:t>
            </w:r>
          </w:p>
        </w:tc>
      </w:tr>
      <w:tr w:rsidR="00AD1F54" w:rsidRPr="00264D5D" w14:paraId="44BDD1B4"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398C9D4F" w14:textId="77777777" w:rsidR="00AD1F54" w:rsidRPr="00264D5D" w:rsidRDefault="00941227">
            <w:pPr>
              <w:pStyle w:val="EBTablenorm"/>
              <w:ind w:left="57" w:right="57"/>
              <w:contextualSpacing w:val="0"/>
              <w:rPr>
                <w:sz w:val="22"/>
                <w:szCs w:val="22"/>
              </w:rPr>
            </w:pPr>
            <w:r w:rsidRPr="00264D5D">
              <w:rPr>
                <w:sz w:val="22"/>
                <w:szCs w:val="22"/>
              </w:rPr>
              <w:t>Наименование элемента улично-дорожной сети</w:t>
            </w:r>
          </w:p>
        </w:tc>
        <w:tc>
          <w:tcPr>
            <w:tcW w:w="1701" w:type="dxa"/>
          </w:tcPr>
          <w:p w14:paraId="627BBB2F" w14:textId="77777777" w:rsidR="00AD1F54" w:rsidRPr="00264D5D" w:rsidRDefault="00941227">
            <w:pPr>
              <w:pStyle w:val="EBTablenorm"/>
              <w:ind w:left="57" w:right="57"/>
              <w:contextualSpacing w:val="0"/>
              <w:rPr>
                <w:sz w:val="22"/>
                <w:szCs w:val="22"/>
                <w:lang w:val="en-US"/>
              </w:rPr>
            </w:pPr>
            <w:r w:rsidRPr="00264D5D">
              <w:rPr>
                <w:sz w:val="22"/>
                <w:szCs w:val="22"/>
                <w:lang w:val="en-US"/>
              </w:rPr>
              <w:t>FrgnRdNtwrkName</w:t>
            </w:r>
          </w:p>
        </w:tc>
        <w:tc>
          <w:tcPr>
            <w:tcW w:w="567" w:type="dxa"/>
          </w:tcPr>
          <w:p w14:paraId="3FC8F1F6" w14:textId="77777777" w:rsidR="00AD1F54" w:rsidRPr="00264D5D" w:rsidRDefault="00941227">
            <w:pPr>
              <w:pStyle w:val="EBTablenorm"/>
              <w:ind w:left="57" w:right="57"/>
              <w:contextualSpacing w:val="0"/>
              <w:rPr>
                <w:sz w:val="22"/>
                <w:szCs w:val="22"/>
              </w:rPr>
            </w:pPr>
            <w:r w:rsidRPr="00264D5D">
              <w:rPr>
                <w:sz w:val="22"/>
                <w:szCs w:val="22"/>
              </w:rPr>
              <w:t>П</w:t>
            </w:r>
          </w:p>
        </w:tc>
        <w:tc>
          <w:tcPr>
            <w:tcW w:w="1134" w:type="dxa"/>
          </w:tcPr>
          <w:p w14:paraId="1AF735D3" w14:textId="77777777" w:rsidR="00AD1F54" w:rsidRPr="00264D5D" w:rsidRDefault="00941227">
            <w:pPr>
              <w:pStyle w:val="EBTablenorm"/>
              <w:ind w:left="57" w:right="57"/>
              <w:contextualSpacing w:val="0"/>
              <w:rPr>
                <w:sz w:val="22"/>
                <w:szCs w:val="22"/>
                <w:lang w:val="en-US"/>
              </w:rPr>
            </w:pPr>
            <w:r w:rsidRPr="00264D5D">
              <w:rPr>
                <w:sz w:val="22"/>
                <w:szCs w:val="22"/>
                <w:lang w:val="en-US"/>
              </w:rPr>
              <w:t>Т(1-100)</w:t>
            </w:r>
          </w:p>
        </w:tc>
        <w:tc>
          <w:tcPr>
            <w:tcW w:w="567" w:type="dxa"/>
          </w:tcPr>
          <w:p w14:paraId="18D88FC2" w14:textId="77777777" w:rsidR="00AD1F54" w:rsidRPr="00264D5D" w:rsidRDefault="00941227">
            <w:pPr>
              <w:pStyle w:val="EBTablenorm"/>
              <w:ind w:left="57" w:right="57"/>
              <w:contextualSpacing w:val="0"/>
              <w:rPr>
                <w:sz w:val="22"/>
                <w:szCs w:val="22"/>
                <w:lang w:val="en-US"/>
              </w:rPr>
            </w:pPr>
            <w:r w:rsidRPr="00264D5D">
              <w:rPr>
                <w:sz w:val="22"/>
                <w:szCs w:val="22"/>
                <w:lang w:val="en-US"/>
              </w:rPr>
              <w:t>Н</w:t>
            </w:r>
          </w:p>
        </w:tc>
        <w:tc>
          <w:tcPr>
            <w:tcW w:w="3963" w:type="dxa"/>
          </w:tcPr>
          <w:p w14:paraId="470FD07B" w14:textId="77777777" w:rsidR="00AD1F54" w:rsidRPr="00264D5D" w:rsidRDefault="00941227">
            <w:pPr>
              <w:pStyle w:val="EBTablenorm"/>
              <w:ind w:left="57" w:right="57"/>
              <w:contextualSpacing w:val="0"/>
              <w:rPr>
                <w:sz w:val="22"/>
                <w:szCs w:val="22"/>
              </w:rPr>
            </w:pPr>
            <w:r w:rsidRPr="00264D5D">
              <w:rPr>
                <w:sz w:val="22"/>
                <w:szCs w:val="22"/>
              </w:rPr>
              <w:t>Наименование элемента уличн</w:t>
            </w:r>
            <w:r w:rsidR="00B83EE9" w:rsidRPr="00264D5D">
              <w:rPr>
                <w:sz w:val="22"/>
                <w:szCs w:val="22"/>
              </w:rPr>
              <w:t>о-дорожной сети</w:t>
            </w:r>
          </w:p>
        </w:tc>
      </w:tr>
      <w:tr w:rsidR="00AD1F54" w:rsidRPr="00264D5D" w14:paraId="210E229A"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122CA1F" w14:textId="77777777" w:rsidR="00AD1F54" w:rsidRPr="00264D5D" w:rsidRDefault="00941227">
            <w:pPr>
              <w:pStyle w:val="EBTablenorm"/>
              <w:ind w:left="57" w:right="57"/>
              <w:contextualSpacing w:val="0"/>
              <w:rPr>
                <w:sz w:val="22"/>
                <w:szCs w:val="22"/>
              </w:rPr>
            </w:pPr>
            <w:r w:rsidRPr="00264D5D">
              <w:rPr>
                <w:sz w:val="22"/>
                <w:szCs w:val="22"/>
              </w:rPr>
              <w:t>Тип здания, сооружения</w:t>
            </w:r>
          </w:p>
        </w:tc>
        <w:tc>
          <w:tcPr>
            <w:tcW w:w="1701" w:type="dxa"/>
          </w:tcPr>
          <w:p w14:paraId="6EB0D808" w14:textId="77777777" w:rsidR="00AD1F54" w:rsidRPr="00264D5D" w:rsidRDefault="00941227">
            <w:pPr>
              <w:pStyle w:val="EBTablenorm"/>
              <w:ind w:left="57" w:right="57"/>
              <w:contextualSpacing w:val="0"/>
              <w:rPr>
                <w:sz w:val="22"/>
                <w:szCs w:val="22"/>
              </w:rPr>
            </w:pPr>
            <w:r w:rsidRPr="00264D5D">
              <w:rPr>
                <w:sz w:val="22"/>
                <w:szCs w:val="22"/>
                <w:lang w:val="en-US"/>
              </w:rPr>
              <w:t>FrgnBldngType</w:t>
            </w:r>
          </w:p>
        </w:tc>
        <w:tc>
          <w:tcPr>
            <w:tcW w:w="567" w:type="dxa"/>
          </w:tcPr>
          <w:p w14:paraId="115CA3C5" w14:textId="77777777" w:rsidR="00AD1F54" w:rsidRPr="00264D5D" w:rsidRDefault="00941227">
            <w:pPr>
              <w:pStyle w:val="EBTablenorm"/>
              <w:ind w:left="57" w:right="57"/>
              <w:contextualSpacing w:val="0"/>
              <w:rPr>
                <w:sz w:val="22"/>
                <w:szCs w:val="22"/>
              </w:rPr>
            </w:pPr>
            <w:r w:rsidRPr="00264D5D">
              <w:rPr>
                <w:sz w:val="22"/>
                <w:szCs w:val="22"/>
              </w:rPr>
              <w:t>П</w:t>
            </w:r>
          </w:p>
        </w:tc>
        <w:tc>
          <w:tcPr>
            <w:tcW w:w="1134" w:type="dxa"/>
          </w:tcPr>
          <w:p w14:paraId="2A036F98" w14:textId="77777777" w:rsidR="00AD1F54" w:rsidRPr="00264D5D" w:rsidRDefault="00941227">
            <w:pPr>
              <w:pStyle w:val="EBTablenorm"/>
              <w:ind w:left="57" w:right="57"/>
              <w:contextualSpacing w:val="0"/>
              <w:rPr>
                <w:sz w:val="22"/>
                <w:szCs w:val="22"/>
              </w:rPr>
            </w:pPr>
            <w:r w:rsidRPr="00264D5D">
              <w:rPr>
                <w:sz w:val="22"/>
                <w:szCs w:val="22"/>
              </w:rPr>
              <w:t>Т(1-100)</w:t>
            </w:r>
          </w:p>
        </w:tc>
        <w:tc>
          <w:tcPr>
            <w:tcW w:w="567" w:type="dxa"/>
          </w:tcPr>
          <w:p w14:paraId="60DCE871" w14:textId="77777777" w:rsidR="00AD1F54" w:rsidRPr="00264D5D" w:rsidRDefault="00941227">
            <w:pPr>
              <w:pStyle w:val="EBTablenorm"/>
              <w:ind w:left="57" w:right="57"/>
              <w:contextualSpacing w:val="0"/>
              <w:rPr>
                <w:sz w:val="22"/>
                <w:szCs w:val="22"/>
              </w:rPr>
            </w:pPr>
            <w:r w:rsidRPr="00264D5D">
              <w:rPr>
                <w:sz w:val="22"/>
                <w:szCs w:val="22"/>
              </w:rPr>
              <w:t>О</w:t>
            </w:r>
          </w:p>
        </w:tc>
        <w:tc>
          <w:tcPr>
            <w:tcW w:w="3963" w:type="dxa"/>
          </w:tcPr>
          <w:p w14:paraId="15CE292B" w14:textId="77777777" w:rsidR="00AD1F54" w:rsidRPr="00264D5D" w:rsidRDefault="00B83EE9">
            <w:pPr>
              <w:pStyle w:val="EBTablenorm"/>
              <w:ind w:left="57" w:right="57"/>
              <w:contextualSpacing w:val="0"/>
              <w:rPr>
                <w:sz w:val="22"/>
                <w:szCs w:val="22"/>
              </w:rPr>
            </w:pPr>
            <w:r w:rsidRPr="00264D5D">
              <w:rPr>
                <w:sz w:val="22"/>
                <w:szCs w:val="22"/>
              </w:rPr>
              <w:t>Тип здания, сооружения</w:t>
            </w:r>
          </w:p>
        </w:tc>
      </w:tr>
      <w:tr w:rsidR="00AD1F54" w:rsidRPr="00264D5D" w14:paraId="53BA9A4F"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36522877" w14:textId="77777777" w:rsidR="00AD1F54" w:rsidRPr="00264D5D" w:rsidRDefault="00941227">
            <w:pPr>
              <w:pStyle w:val="EBTablenorm"/>
              <w:ind w:left="57" w:right="57"/>
              <w:contextualSpacing w:val="0"/>
              <w:rPr>
                <w:sz w:val="22"/>
                <w:szCs w:val="22"/>
              </w:rPr>
            </w:pPr>
            <w:r w:rsidRPr="00264D5D">
              <w:rPr>
                <w:sz w:val="22"/>
                <w:szCs w:val="22"/>
              </w:rPr>
              <w:t xml:space="preserve">Номер здания, </w:t>
            </w:r>
            <w:r w:rsidRPr="00264D5D">
              <w:rPr>
                <w:sz w:val="22"/>
                <w:szCs w:val="22"/>
              </w:rPr>
              <w:lastRenderedPageBreak/>
              <w:t>сооружения</w:t>
            </w:r>
          </w:p>
        </w:tc>
        <w:tc>
          <w:tcPr>
            <w:tcW w:w="1701" w:type="dxa"/>
          </w:tcPr>
          <w:p w14:paraId="08E731C1" w14:textId="77777777" w:rsidR="00AD1F54" w:rsidRPr="00264D5D" w:rsidRDefault="00941227">
            <w:pPr>
              <w:pStyle w:val="EBTablenorm"/>
              <w:ind w:left="57" w:right="57"/>
              <w:contextualSpacing w:val="0"/>
              <w:rPr>
                <w:sz w:val="22"/>
                <w:szCs w:val="22"/>
              </w:rPr>
            </w:pPr>
            <w:r w:rsidRPr="00264D5D">
              <w:rPr>
                <w:sz w:val="22"/>
                <w:szCs w:val="22"/>
                <w:lang w:val="en-US"/>
              </w:rPr>
              <w:lastRenderedPageBreak/>
              <w:t>FrgnBldngNum</w:t>
            </w:r>
          </w:p>
        </w:tc>
        <w:tc>
          <w:tcPr>
            <w:tcW w:w="567" w:type="dxa"/>
          </w:tcPr>
          <w:p w14:paraId="286C6865" w14:textId="77777777" w:rsidR="00AD1F54" w:rsidRPr="00264D5D" w:rsidRDefault="00941227">
            <w:pPr>
              <w:pStyle w:val="EBTablenorm"/>
              <w:ind w:left="57" w:right="57"/>
              <w:contextualSpacing w:val="0"/>
              <w:rPr>
                <w:sz w:val="22"/>
                <w:szCs w:val="22"/>
              </w:rPr>
            </w:pPr>
            <w:r w:rsidRPr="00264D5D">
              <w:rPr>
                <w:sz w:val="22"/>
                <w:szCs w:val="22"/>
              </w:rPr>
              <w:t>П</w:t>
            </w:r>
          </w:p>
        </w:tc>
        <w:tc>
          <w:tcPr>
            <w:tcW w:w="1134" w:type="dxa"/>
          </w:tcPr>
          <w:p w14:paraId="61EDB5C5" w14:textId="77777777" w:rsidR="00AD1F54" w:rsidRPr="00264D5D" w:rsidRDefault="00941227">
            <w:pPr>
              <w:pStyle w:val="EBTablenorm"/>
              <w:ind w:left="57" w:right="57"/>
              <w:contextualSpacing w:val="0"/>
              <w:rPr>
                <w:sz w:val="22"/>
                <w:szCs w:val="22"/>
              </w:rPr>
            </w:pPr>
            <w:r w:rsidRPr="00264D5D">
              <w:rPr>
                <w:sz w:val="22"/>
                <w:szCs w:val="22"/>
              </w:rPr>
              <w:t>Т(1-100)</w:t>
            </w:r>
          </w:p>
        </w:tc>
        <w:tc>
          <w:tcPr>
            <w:tcW w:w="567" w:type="dxa"/>
          </w:tcPr>
          <w:p w14:paraId="7763208D" w14:textId="77777777" w:rsidR="00AD1F54" w:rsidRPr="00264D5D" w:rsidRDefault="00941227">
            <w:pPr>
              <w:pStyle w:val="EBTablenorm"/>
              <w:ind w:left="57" w:right="57"/>
              <w:contextualSpacing w:val="0"/>
              <w:rPr>
                <w:sz w:val="22"/>
                <w:szCs w:val="22"/>
              </w:rPr>
            </w:pPr>
            <w:r w:rsidRPr="00264D5D">
              <w:rPr>
                <w:sz w:val="22"/>
                <w:szCs w:val="22"/>
              </w:rPr>
              <w:t>О</w:t>
            </w:r>
          </w:p>
        </w:tc>
        <w:tc>
          <w:tcPr>
            <w:tcW w:w="3963" w:type="dxa"/>
          </w:tcPr>
          <w:p w14:paraId="30E4C732" w14:textId="77777777" w:rsidR="00AD1F54" w:rsidRPr="00264D5D" w:rsidRDefault="00B83EE9">
            <w:pPr>
              <w:pStyle w:val="EBTablenorm"/>
              <w:ind w:left="57" w:right="57"/>
              <w:contextualSpacing w:val="0"/>
              <w:rPr>
                <w:sz w:val="22"/>
                <w:szCs w:val="22"/>
              </w:rPr>
            </w:pPr>
            <w:r w:rsidRPr="00264D5D">
              <w:rPr>
                <w:sz w:val="22"/>
                <w:szCs w:val="22"/>
              </w:rPr>
              <w:t>Номер здания, сооружения</w:t>
            </w:r>
          </w:p>
        </w:tc>
      </w:tr>
      <w:tr w:rsidR="00AD1F54" w:rsidRPr="00264D5D" w14:paraId="76F28068"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8BEBE0A" w14:textId="77777777" w:rsidR="00AD1F54" w:rsidRPr="00264D5D" w:rsidRDefault="00941227">
            <w:pPr>
              <w:pStyle w:val="EBTablenorm"/>
              <w:ind w:left="57" w:right="57"/>
              <w:contextualSpacing w:val="0"/>
              <w:rPr>
                <w:sz w:val="22"/>
                <w:szCs w:val="22"/>
              </w:rPr>
            </w:pPr>
            <w:r w:rsidRPr="00264D5D">
              <w:rPr>
                <w:sz w:val="22"/>
                <w:szCs w:val="22"/>
              </w:rPr>
              <w:lastRenderedPageBreak/>
              <w:t>Тип помещения</w:t>
            </w:r>
          </w:p>
        </w:tc>
        <w:tc>
          <w:tcPr>
            <w:tcW w:w="1701" w:type="dxa"/>
          </w:tcPr>
          <w:p w14:paraId="088D4A59" w14:textId="77777777" w:rsidR="00AD1F54" w:rsidRPr="00264D5D" w:rsidRDefault="00941227">
            <w:pPr>
              <w:pStyle w:val="EBTablenorm"/>
              <w:ind w:left="57" w:right="57"/>
              <w:contextualSpacing w:val="0"/>
              <w:rPr>
                <w:sz w:val="22"/>
                <w:szCs w:val="22"/>
                <w:lang w:val="en-US"/>
              </w:rPr>
            </w:pPr>
            <w:r w:rsidRPr="00264D5D">
              <w:rPr>
                <w:sz w:val="22"/>
                <w:szCs w:val="22"/>
                <w:lang w:val="en-US"/>
              </w:rPr>
              <w:t>FrgnAprtmntType</w:t>
            </w:r>
          </w:p>
        </w:tc>
        <w:tc>
          <w:tcPr>
            <w:tcW w:w="567" w:type="dxa"/>
          </w:tcPr>
          <w:p w14:paraId="2F69DB1A" w14:textId="77777777" w:rsidR="00AD1F54" w:rsidRPr="00264D5D" w:rsidRDefault="00941227">
            <w:pPr>
              <w:pStyle w:val="EBTablenorm"/>
              <w:ind w:left="57" w:right="57"/>
              <w:contextualSpacing w:val="0"/>
              <w:rPr>
                <w:sz w:val="22"/>
                <w:szCs w:val="22"/>
              </w:rPr>
            </w:pPr>
            <w:r w:rsidRPr="00264D5D">
              <w:rPr>
                <w:sz w:val="22"/>
                <w:szCs w:val="22"/>
              </w:rPr>
              <w:t>П</w:t>
            </w:r>
          </w:p>
        </w:tc>
        <w:tc>
          <w:tcPr>
            <w:tcW w:w="1134" w:type="dxa"/>
          </w:tcPr>
          <w:p w14:paraId="0B0732B7" w14:textId="77777777" w:rsidR="00AD1F54" w:rsidRPr="00264D5D" w:rsidRDefault="00941227">
            <w:pPr>
              <w:pStyle w:val="EBTablenorm"/>
              <w:ind w:left="57" w:right="57"/>
              <w:contextualSpacing w:val="0"/>
              <w:rPr>
                <w:sz w:val="22"/>
                <w:szCs w:val="22"/>
                <w:lang w:val="en-US"/>
              </w:rPr>
            </w:pPr>
            <w:r w:rsidRPr="00264D5D">
              <w:rPr>
                <w:sz w:val="22"/>
                <w:szCs w:val="22"/>
                <w:lang w:val="en-US"/>
              </w:rPr>
              <w:t>Т(1-100)</w:t>
            </w:r>
          </w:p>
        </w:tc>
        <w:tc>
          <w:tcPr>
            <w:tcW w:w="567" w:type="dxa"/>
          </w:tcPr>
          <w:p w14:paraId="2E3147C9" w14:textId="77777777" w:rsidR="00AD1F54" w:rsidRPr="00264D5D" w:rsidRDefault="00941227">
            <w:pPr>
              <w:pStyle w:val="EBTablenorm"/>
              <w:ind w:left="57" w:right="57"/>
              <w:contextualSpacing w:val="0"/>
              <w:rPr>
                <w:sz w:val="22"/>
                <w:szCs w:val="22"/>
              </w:rPr>
            </w:pPr>
            <w:r w:rsidRPr="00264D5D">
              <w:rPr>
                <w:sz w:val="22"/>
                <w:szCs w:val="22"/>
              </w:rPr>
              <w:t>Н</w:t>
            </w:r>
          </w:p>
        </w:tc>
        <w:tc>
          <w:tcPr>
            <w:tcW w:w="3963" w:type="dxa"/>
          </w:tcPr>
          <w:p w14:paraId="339BB16D" w14:textId="77777777" w:rsidR="00AD1F54" w:rsidRPr="00264D5D" w:rsidRDefault="00941227">
            <w:pPr>
              <w:pStyle w:val="EBTablenorm"/>
              <w:ind w:left="57" w:right="57"/>
              <w:contextualSpacing w:val="0"/>
              <w:rPr>
                <w:sz w:val="22"/>
                <w:szCs w:val="22"/>
              </w:rPr>
            </w:pPr>
            <w:r w:rsidRPr="00264D5D">
              <w:rPr>
                <w:sz w:val="22"/>
                <w:szCs w:val="22"/>
              </w:rPr>
              <w:t>Тип помещения, расположенного в здании ил</w:t>
            </w:r>
            <w:r w:rsidR="00B83EE9" w:rsidRPr="00264D5D">
              <w:rPr>
                <w:sz w:val="22"/>
                <w:szCs w:val="22"/>
              </w:rPr>
              <w:t>и сооружении</w:t>
            </w:r>
          </w:p>
        </w:tc>
      </w:tr>
      <w:tr w:rsidR="00AD1F54" w:rsidRPr="00264D5D" w14:paraId="6AE0026C"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5034FF81" w14:textId="77777777" w:rsidR="00AD1F54" w:rsidRPr="00264D5D" w:rsidRDefault="00941227">
            <w:pPr>
              <w:pStyle w:val="EBTablenorm"/>
              <w:ind w:left="57" w:right="57"/>
              <w:contextualSpacing w:val="0"/>
              <w:rPr>
                <w:sz w:val="22"/>
                <w:szCs w:val="22"/>
              </w:rPr>
            </w:pPr>
            <w:r w:rsidRPr="00264D5D">
              <w:rPr>
                <w:sz w:val="22"/>
                <w:szCs w:val="22"/>
              </w:rPr>
              <w:t>Номер помещения</w:t>
            </w:r>
          </w:p>
        </w:tc>
        <w:tc>
          <w:tcPr>
            <w:tcW w:w="1701" w:type="dxa"/>
          </w:tcPr>
          <w:p w14:paraId="1C3ADD18" w14:textId="77777777" w:rsidR="00AD1F54" w:rsidRPr="00264D5D" w:rsidRDefault="00941227">
            <w:pPr>
              <w:pStyle w:val="EBTablenorm"/>
              <w:ind w:left="57" w:right="57"/>
              <w:contextualSpacing w:val="0"/>
              <w:rPr>
                <w:sz w:val="22"/>
                <w:szCs w:val="22"/>
                <w:lang w:val="en-US"/>
              </w:rPr>
            </w:pPr>
            <w:r w:rsidRPr="00264D5D">
              <w:rPr>
                <w:sz w:val="22"/>
                <w:szCs w:val="22"/>
                <w:lang w:val="en-US"/>
              </w:rPr>
              <w:t>FrgnAprtmntNum</w:t>
            </w:r>
          </w:p>
        </w:tc>
        <w:tc>
          <w:tcPr>
            <w:tcW w:w="567" w:type="dxa"/>
          </w:tcPr>
          <w:p w14:paraId="1940A468" w14:textId="77777777" w:rsidR="00AD1F54" w:rsidRPr="00264D5D" w:rsidRDefault="00941227">
            <w:pPr>
              <w:pStyle w:val="EBTablenorm"/>
              <w:ind w:left="57" w:right="57"/>
              <w:contextualSpacing w:val="0"/>
              <w:rPr>
                <w:sz w:val="22"/>
                <w:szCs w:val="22"/>
              </w:rPr>
            </w:pPr>
            <w:r w:rsidRPr="00264D5D">
              <w:rPr>
                <w:sz w:val="22"/>
                <w:szCs w:val="22"/>
              </w:rPr>
              <w:t>П</w:t>
            </w:r>
          </w:p>
        </w:tc>
        <w:tc>
          <w:tcPr>
            <w:tcW w:w="1134" w:type="dxa"/>
          </w:tcPr>
          <w:p w14:paraId="5FEFF695" w14:textId="77777777" w:rsidR="00AD1F54" w:rsidRPr="00264D5D" w:rsidRDefault="00941227">
            <w:pPr>
              <w:pStyle w:val="EBTablenorm"/>
              <w:ind w:left="57" w:right="57"/>
              <w:contextualSpacing w:val="0"/>
              <w:rPr>
                <w:sz w:val="22"/>
                <w:szCs w:val="22"/>
                <w:lang w:val="en-US"/>
              </w:rPr>
            </w:pPr>
            <w:r w:rsidRPr="00264D5D">
              <w:rPr>
                <w:sz w:val="22"/>
                <w:szCs w:val="22"/>
                <w:lang w:val="en-US"/>
              </w:rPr>
              <w:t>Т(1-100)</w:t>
            </w:r>
          </w:p>
        </w:tc>
        <w:tc>
          <w:tcPr>
            <w:tcW w:w="567" w:type="dxa"/>
          </w:tcPr>
          <w:p w14:paraId="13D392F0" w14:textId="77777777" w:rsidR="00AD1F54" w:rsidRPr="00264D5D" w:rsidRDefault="00941227">
            <w:pPr>
              <w:pStyle w:val="EBTablenorm"/>
              <w:ind w:left="57" w:right="57"/>
              <w:contextualSpacing w:val="0"/>
              <w:rPr>
                <w:sz w:val="22"/>
                <w:szCs w:val="22"/>
              </w:rPr>
            </w:pPr>
            <w:r w:rsidRPr="00264D5D">
              <w:rPr>
                <w:sz w:val="22"/>
                <w:szCs w:val="22"/>
              </w:rPr>
              <w:t>Н</w:t>
            </w:r>
          </w:p>
        </w:tc>
        <w:tc>
          <w:tcPr>
            <w:tcW w:w="3963" w:type="dxa"/>
          </w:tcPr>
          <w:p w14:paraId="36B8CEBD" w14:textId="77777777" w:rsidR="00AD1F54" w:rsidRPr="00264D5D" w:rsidRDefault="00941227">
            <w:pPr>
              <w:pStyle w:val="EBTablenorm"/>
              <w:ind w:left="57" w:right="57"/>
              <w:contextualSpacing w:val="0"/>
              <w:rPr>
                <w:sz w:val="22"/>
                <w:szCs w:val="22"/>
              </w:rPr>
            </w:pPr>
            <w:r w:rsidRPr="00264D5D">
              <w:rPr>
                <w:sz w:val="22"/>
                <w:szCs w:val="22"/>
              </w:rPr>
              <w:t>Номер помещения, располо</w:t>
            </w:r>
            <w:r w:rsidR="00B83EE9" w:rsidRPr="00264D5D">
              <w:rPr>
                <w:sz w:val="22"/>
                <w:szCs w:val="22"/>
              </w:rPr>
              <w:t>женного в здании или сооружении</w:t>
            </w:r>
          </w:p>
        </w:tc>
      </w:tr>
      <w:tr w:rsidR="00AD1F54" w:rsidRPr="00264D5D" w14:paraId="6AB5C1A6"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EC9DA4D" w14:textId="77777777" w:rsidR="00AD1F54" w:rsidRPr="00264D5D" w:rsidRDefault="00941227">
            <w:pPr>
              <w:pStyle w:val="EBTablenorm"/>
              <w:ind w:left="57" w:right="57"/>
              <w:contextualSpacing w:val="0"/>
              <w:rPr>
                <w:sz w:val="22"/>
                <w:szCs w:val="22"/>
              </w:rPr>
            </w:pPr>
            <w:r w:rsidRPr="00264D5D">
              <w:rPr>
                <w:sz w:val="22"/>
                <w:szCs w:val="22"/>
                <w:lang w:val="en-US"/>
              </w:rPr>
              <w:t>Номера телефонов</w:t>
            </w:r>
          </w:p>
        </w:tc>
        <w:tc>
          <w:tcPr>
            <w:tcW w:w="1701" w:type="dxa"/>
          </w:tcPr>
          <w:p w14:paraId="10C89990" w14:textId="77777777" w:rsidR="00AD1F54" w:rsidRPr="00264D5D" w:rsidRDefault="00941227">
            <w:pPr>
              <w:pStyle w:val="EBTablenorm"/>
              <w:ind w:left="57" w:right="57"/>
              <w:contextualSpacing w:val="0"/>
              <w:rPr>
                <w:sz w:val="22"/>
                <w:szCs w:val="22"/>
                <w:lang w:val="en-US"/>
              </w:rPr>
            </w:pPr>
            <w:r w:rsidRPr="00264D5D">
              <w:rPr>
                <w:sz w:val="22"/>
                <w:szCs w:val="22"/>
                <w:lang w:val="en-US"/>
              </w:rPr>
              <w:t>FrgnTelNum</w:t>
            </w:r>
          </w:p>
        </w:tc>
        <w:tc>
          <w:tcPr>
            <w:tcW w:w="567" w:type="dxa"/>
          </w:tcPr>
          <w:p w14:paraId="7AB7D7C4" w14:textId="77777777" w:rsidR="00AD1F54" w:rsidRPr="00264D5D" w:rsidRDefault="00941227">
            <w:pPr>
              <w:pStyle w:val="EBTablenorm"/>
              <w:ind w:left="57" w:right="57"/>
              <w:contextualSpacing w:val="0"/>
              <w:rPr>
                <w:sz w:val="22"/>
                <w:szCs w:val="22"/>
              </w:rPr>
            </w:pPr>
            <w:r w:rsidRPr="00264D5D">
              <w:rPr>
                <w:sz w:val="22"/>
                <w:szCs w:val="22"/>
              </w:rPr>
              <w:t>П</w:t>
            </w:r>
          </w:p>
        </w:tc>
        <w:tc>
          <w:tcPr>
            <w:tcW w:w="1134" w:type="dxa"/>
          </w:tcPr>
          <w:p w14:paraId="79DD6BB7" w14:textId="77777777" w:rsidR="00AD1F54" w:rsidRPr="00264D5D" w:rsidRDefault="00941227">
            <w:pPr>
              <w:pStyle w:val="EBTablenorm"/>
              <w:ind w:left="57" w:right="57"/>
              <w:contextualSpacing w:val="0"/>
              <w:rPr>
                <w:sz w:val="22"/>
                <w:szCs w:val="22"/>
                <w:lang w:val="en-US"/>
              </w:rPr>
            </w:pPr>
            <w:r w:rsidRPr="00264D5D">
              <w:rPr>
                <w:sz w:val="22"/>
                <w:szCs w:val="22"/>
                <w:lang w:val="en-US"/>
              </w:rPr>
              <w:t>Т(1-100)</w:t>
            </w:r>
          </w:p>
        </w:tc>
        <w:tc>
          <w:tcPr>
            <w:tcW w:w="567" w:type="dxa"/>
          </w:tcPr>
          <w:p w14:paraId="3E7A52E0" w14:textId="77777777" w:rsidR="00AD1F54" w:rsidRPr="00264D5D" w:rsidRDefault="00941227">
            <w:pPr>
              <w:pStyle w:val="EBTablenorm"/>
              <w:ind w:left="57" w:right="57"/>
              <w:contextualSpacing w:val="0"/>
              <w:rPr>
                <w:sz w:val="22"/>
                <w:szCs w:val="22"/>
                <w:lang w:val="en-US"/>
              </w:rPr>
            </w:pPr>
            <w:r w:rsidRPr="00264D5D">
              <w:rPr>
                <w:sz w:val="22"/>
                <w:szCs w:val="22"/>
                <w:lang w:val="en-US"/>
              </w:rPr>
              <w:t>Н</w:t>
            </w:r>
          </w:p>
        </w:tc>
        <w:tc>
          <w:tcPr>
            <w:tcW w:w="3963" w:type="dxa"/>
          </w:tcPr>
          <w:p w14:paraId="75CA3DE7" w14:textId="77777777" w:rsidR="00AD1F54" w:rsidRPr="00264D5D" w:rsidRDefault="00941227">
            <w:pPr>
              <w:pStyle w:val="EBTablenorm"/>
              <w:ind w:left="57" w:right="57"/>
              <w:contextualSpacing w:val="0"/>
              <w:rPr>
                <w:sz w:val="22"/>
                <w:szCs w:val="22"/>
              </w:rPr>
            </w:pPr>
            <w:r w:rsidRPr="00264D5D">
              <w:rPr>
                <w:sz w:val="22"/>
                <w:szCs w:val="22"/>
                <w:lang w:val="en-US"/>
              </w:rPr>
              <w:t>Номера телефонов</w:t>
            </w:r>
          </w:p>
        </w:tc>
      </w:tr>
      <w:tr w:rsidR="00AD1F54" w:rsidRPr="00264D5D" w14:paraId="487D44DF"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59D2EB86" w14:textId="77777777" w:rsidR="00AD1F54" w:rsidRPr="00264D5D" w:rsidRDefault="00941227">
            <w:pPr>
              <w:pStyle w:val="EBTablenorm"/>
              <w:ind w:left="57" w:right="57"/>
              <w:contextualSpacing w:val="0"/>
              <w:rPr>
                <w:sz w:val="22"/>
                <w:szCs w:val="22"/>
                <w:lang w:val="en-US"/>
              </w:rPr>
            </w:pPr>
            <w:r w:rsidRPr="00264D5D">
              <w:rPr>
                <w:sz w:val="22"/>
                <w:szCs w:val="22"/>
                <w:lang w:val="en-US"/>
              </w:rPr>
              <w:t>Адреса электронной почты</w:t>
            </w:r>
          </w:p>
        </w:tc>
        <w:tc>
          <w:tcPr>
            <w:tcW w:w="1701" w:type="dxa"/>
          </w:tcPr>
          <w:p w14:paraId="0BA254F1" w14:textId="77777777" w:rsidR="00AD1F54" w:rsidRPr="00264D5D" w:rsidRDefault="00941227">
            <w:pPr>
              <w:pStyle w:val="EBTablenorm"/>
              <w:ind w:left="57" w:right="57"/>
              <w:contextualSpacing w:val="0"/>
              <w:rPr>
                <w:sz w:val="22"/>
                <w:szCs w:val="22"/>
                <w:lang w:val="en-US"/>
              </w:rPr>
            </w:pPr>
            <w:r w:rsidRPr="00264D5D">
              <w:rPr>
                <w:sz w:val="22"/>
                <w:szCs w:val="22"/>
                <w:lang w:val="en-US"/>
              </w:rPr>
              <w:t>FrgnMail</w:t>
            </w:r>
          </w:p>
        </w:tc>
        <w:tc>
          <w:tcPr>
            <w:tcW w:w="567" w:type="dxa"/>
          </w:tcPr>
          <w:p w14:paraId="6DA14C2F" w14:textId="77777777" w:rsidR="00AD1F54" w:rsidRPr="00264D5D" w:rsidRDefault="00941227">
            <w:pPr>
              <w:pStyle w:val="EBTablenorm"/>
              <w:ind w:left="57" w:right="57"/>
              <w:contextualSpacing w:val="0"/>
              <w:rPr>
                <w:sz w:val="22"/>
                <w:szCs w:val="22"/>
              </w:rPr>
            </w:pPr>
            <w:r w:rsidRPr="00264D5D">
              <w:rPr>
                <w:sz w:val="22"/>
                <w:szCs w:val="22"/>
              </w:rPr>
              <w:t>П</w:t>
            </w:r>
          </w:p>
        </w:tc>
        <w:tc>
          <w:tcPr>
            <w:tcW w:w="1134" w:type="dxa"/>
          </w:tcPr>
          <w:p w14:paraId="5FF48E79" w14:textId="77777777" w:rsidR="00AD1F54" w:rsidRPr="00264D5D" w:rsidRDefault="00941227">
            <w:pPr>
              <w:pStyle w:val="EBTablenorm"/>
              <w:ind w:left="57" w:right="57"/>
              <w:contextualSpacing w:val="0"/>
              <w:rPr>
                <w:sz w:val="22"/>
                <w:szCs w:val="22"/>
                <w:lang w:val="en-US"/>
              </w:rPr>
            </w:pPr>
            <w:r w:rsidRPr="00264D5D">
              <w:rPr>
                <w:sz w:val="22"/>
                <w:szCs w:val="22"/>
                <w:lang w:val="en-US"/>
              </w:rPr>
              <w:t>Т(1-100)</w:t>
            </w:r>
          </w:p>
        </w:tc>
        <w:tc>
          <w:tcPr>
            <w:tcW w:w="567" w:type="dxa"/>
          </w:tcPr>
          <w:p w14:paraId="440AAB46" w14:textId="77777777" w:rsidR="00AD1F54" w:rsidRPr="00264D5D" w:rsidRDefault="00941227">
            <w:pPr>
              <w:pStyle w:val="EBTablenorm"/>
              <w:ind w:left="57" w:right="57"/>
              <w:contextualSpacing w:val="0"/>
              <w:rPr>
                <w:sz w:val="22"/>
                <w:szCs w:val="22"/>
                <w:lang w:val="en-US"/>
              </w:rPr>
            </w:pPr>
            <w:r w:rsidRPr="00264D5D">
              <w:rPr>
                <w:sz w:val="22"/>
                <w:szCs w:val="22"/>
                <w:lang w:val="en-US"/>
              </w:rPr>
              <w:t>Н</w:t>
            </w:r>
          </w:p>
        </w:tc>
        <w:tc>
          <w:tcPr>
            <w:tcW w:w="3963" w:type="dxa"/>
          </w:tcPr>
          <w:p w14:paraId="685964CF" w14:textId="77777777" w:rsidR="00AD1F54" w:rsidRPr="00264D5D" w:rsidRDefault="00941227">
            <w:pPr>
              <w:pStyle w:val="EBTablenorm"/>
              <w:ind w:left="57" w:right="57"/>
              <w:contextualSpacing w:val="0"/>
              <w:rPr>
                <w:sz w:val="22"/>
                <w:szCs w:val="22"/>
              </w:rPr>
            </w:pPr>
            <w:r w:rsidRPr="00264D5D">
              <w:rPr>
                <w:sz w:val="22"/>
                <w:szCs w:val="22"/>
                <w:lang w:val="en-US"/>
              </w:rPr>
              <w:t>Адреса электронной почты</w:t>
            </w:r>
          </w:p>
        </w:tc>
      </w:tr>
    </w:tbl>
    <w:p w14:paraId="08C7F987" w14:textId="77777777" w:rsidR="00AD1F54" w:rsidRPr="00264D5D" w:rsidRDefault="00941227">
      <w:pPr>
        <w:pStyle w:val="31"/>
      </w:pPr>
      <w:bookmarkStart w:id="1938" w:name="_Toc493090494"/>
      <w:bookmarkStart w:id="1939" w:name="_Toc496984027"/>
      <w:bookmarkStart w:id="1940" w:name="_Toc219309662"/>
      <w:r w:rsidRPr="00264D5D">
        <w:t>Описание комплексного типа «tFrgnRes»</w:t>
      </w:r>
      <w:bookmarkEnd w:id="1938"/>
      <w:bookmarkEnd w:id="1939"/>
      <w:bookmarkEnd w:id="1940"/>
    </w:p>
    <w:p w14:paraId="7ABC73B3" w14:textId="77777777" w:rsidR="00AD1F54" w:rsidRPr="00264D5D" w:rsidRDefault="00941227">
      <w:pPr>
        <w:spacing w:before="60" w:after="120"/>
        <w:ind w:firstLine="567"/>
        <w:rPr>
          <w:rFonts w:eastAsia="Calibri"/>
          <w:szCs w:val="24"/>
        </w:rPr>
      </w:pPr>
      <w:r w:rsidRPr="00264D5D">
        <w:rPr>
          <w:rFonts w:eastAsia="Calibri"/>
          <w:szCs w:val="24"/>
        </w:rPr>
        <w:t xml:space="preserve">Описание комплексного типа </w:t>
      </w:r>
      <w:r w:rsidRPr="00264D5D">
        <w:rPr>
          <w:szCs w:val="24"/>
        </w:rPr>
        <w:t>«</w:t>
      </w:r>
      <w:r w:rsidRPr="00264D5D">
        <w:rPr>
          <w:szCs w:val="24"/>
          <w:lang w:val="en-US"/>
        </w:rPr>
        <w:t>tFrgnRes</w:t>
      </w:r>
      <w:r w:rsidRPr="00264D5D">
        <w:rPr>
          <w:szCs w:val="24"/>
        </w:rPr>
        <w:t xml:space="preserve">» </w:t>
      </w:r>
      <w:r w:rsidRPr="00264D5D">
        <w:t xml:space="preserve">блока </w:t>
      </w:r>
      <w:r w:rsidRPr="00264D5D">
        <w:rPr>
          <w:szCs w:val="24"/>
        </w:rPr>
        <w:t>«Место пребывания иностранного юридического лица»</w:t>
      </w:r>
      <w:r w:rsidRPr="00264D5D">
        <w:rPr>
          <w:rFonts w:eastAsia="Calibri"/>
          <w:szCs w:val="24"/>
        </w:rPr>
        <w:t>.</w:t>
      </w:r>
    </w:p>
    <w:p w14:paraId="2AAF9B0E" w14:textId="45D7A81F"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1941" w:name="_Ref494363647"/>
      <w:bookmarkStart w:id="1942" w:name="_Toc30503379"/>
      <w:bookmarkStart w:id="1943" w:name="_Toc30507977"/>
      <w:bookmarkStart w:id="1944" w:name="_Toc219309230"/>
      <w:r w:rsidR="008D797C">
        <w:rPr>
          <w:rFonts w:eastAsia="Calibri"/>
          <w:noProof/>
          <w:szCs w:val="24"/>
        </w:rPr>
        <w:t>200</w:t>
      </w:r>
      <w:bookmarkEnd w:id="1941"/>
      <w:r w:rsidRPr="00264D5D">
        <w:rPr>
          <w:rFonts w:eastAsia="Calibri"/>
          <w:szCs w:val="24"/>
        </w:rPr>
        <w:fldChar w:fldCharType="end"/>
      </w:r>
      <w:r w:rsidRPr="00264D5D">
        <w:rPr>
          <w:rFonts w:eastAsia="Calibri"/>
          <w:szCs w:val="24"/>
        </w:rPr>
        <w:t xml:space="preserve"> – Описание комплексного типа «tFrgnRes»</w:t>
      </w:r>
      <w:bookmarkEnd w:id="1942"/>
      <w:bookmarkEnd w:id="1943"/>
      <w:bookmarkEnd w:id="1944"/>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4E9247E9"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2DDC39D6" w14:textId="77777777" w:rsidR="00AD1F54" w:rsidRPr="00264D5D" w:rsidRDefault="00941227">
            <w:pPr>
              <w:pStyle w:val="EBTableHead"/>
              <w:ind w:left="57" w:right="57"/>
              <w:contextualSpacing w:val="0"/>
              <w:rPr>
                <w:sz w:val="22"/>
                <w:szCs w:val="22"/>
              </w:rPr>
            </w:pPr>
            <w:r w:rsidRPr="00264D5D">
              <w:rPr>
                <w:bCs w:val="0"/>
                <w:sz w:val="22"/>
                <w:szCs w:val="22"/>
              </w:rPr>
              <w:t>Наименование элемента</w:t>
            </w:r>
          </w:p>
        </w:tc>
        <w:tc>
          <w:tcPr>
            <w:tcW w:w="1701" w:type="dxa"/>
          </w:tcPr>
          <w:p w14:paraId="74A380BC" w14:textId="77777777" w:rsidR="00AD1F54" w:rsidRPr="00264D5D" w:rsidRDefault="00941227">
            <w:pPr>
              <w:pStyle w:val="EBTableHead"/>
              <w:ind w:left="57" w:right="57"/>
              <w:contextualSpacing w:val="0"/>
              <w:rPr>
                <w:sz w:val="22"/>
                <w:szCs w:val="22"/>
              </w:rPr>
            </w:pPr>
            <w:r w:rsidRPr="00264D5D">
              <w:rPr>
                <w:bCs w:val="0"/>
                <w:sz w:val="22"/>
                <w:szCs w:val="22"/>
              </w:rPr>
              <w:t>Сокращенное наименование (код) элемента</w:t>
            </w:r>
          </w:p>
        </w:tc>
        <w:tc>
          <w:tcPr>
            <w:tcW w:w="567" w:type="dxa"/>
          </w:tcPr>
          <w:p w14:paraId="3F8E9CC4" w14:textId="77777777" w:rsidR="00AD1F54" w:rsidRPr="00264D5D" w:rsidRDefault="00941227">
            <w:pPr>
              <w:pStyle w:val="EBTableHead"/>
              <w:ind w:left="57" w:right="57"/>
              <w:contextualSpacing w:val="0"/>
              <w:rPr>
                <w:sz w:val="22"/>
                <w:szCs w:val="22"/>
              </w:rPr>
            </w:pPr>
            <w:r w:rsidRPr="00264D5D">
              <w:rPr>
                <w:bCs w:val="0"/>
                <w:sz w:val="22"/>
                <w:szCs w:val="22"/>
              </w:rPr>
              <w:t>Тип</w:t>
            </w:r>
          </w:p>
        </w:tc>
        <w:tc>
          <w:tcPr>
            <w:tcW w:w="1134" w:type="dxa"/>
          </w:tcPr>
          <w:p w14:paraId="5D20D767" w14:textId="77777777" w:rsidR="00AD1F54" w:rsidRPr="00264D5D" w:rsidRDefault="00941227">
            <w:pPr>
              <w:pStyle w:val="EBTableHead"/>
              <w:ind w:left="57" w:right="57"/>
              <w:contextualSpacing w:val="0"/>
              <w:rPr>
                <w:sz w:val="22"/>
                <w:szCs w:val="22"/>
              </w:rPr>
            </w:pPr>
            <w:r w:rsidRPr="00264D5D">
              <w:rPr>
                <w:bCs w:val="0"/>
                <w:sz w:val="22"/>
                <w:szCs w:val="22"/>
              </w:rPr>
              <w:t>Формат элемента</w:t>
            </w:r>
          </w:p>
        </w:tc>
        <w:tc>
          <w:tcPr>
            <w:tcW w:w="567" w:type="dxa"/>
          </w:tcPr>
          <w:p w14:paraId="4FF48034" w14:textId="77777777" w:rsidR="00AD1F54" w:rsidRPr="00264D5D" w:rsidRDefault="00941227">
            <w:pPr>
              <w:spacing w:before="60" w:after="60"/>
              <w:ind w:left="57" w:right="57"/>
              <w:jc w:val="center"/>
              <w:rPr>
                <w:b/>
                <w:bCs/>
                <w:sz w:val="22"/>
                <w:szCs w:val="22"/>
              </w:rPr>
            </w:pPr>
            <w:r w:rsidRPr="00264D5D">
              <w:rPr>
                <w:b/>
                <w:bCs/>
                <w:sz w:val="22"/>
                <w:szCs w:val="22"/>
              </w:rPr>
              <w:t>Обязательность</w:t>
            </w:r>
          </w:p>
        </w:tc>
        <w:tc>
          <w:tcPr>
            <w:tcW w:w="3963" w:type="dxa"/>
          </w:tcPr>
          <w:p w14:paraId="71E73968" w14:textId="77777777" w:rsidR="00AD1F54" w:rsidRPr="00264D5D" w:rsidRDefault="00941227">
            <w:pPr>
              <w:pStyle w:val="EBTableHead"/>
              <w:ind w:left="57" w:right="57"/>
              <w:contextualSpacing w:val="0"/>
              <w:rPr>
                <w:sz w:val="22"/>
                <w:szCs w:val="22"/>
              </w:rPr>
            </w:pPr>
            <w:r w:rsidRPr="00264D5D">
              <w:rPr>
                <w:bCs w:val="0"/>
                <w:sz w:val="22"/>
                <w:szCs w:val="22"/>
              </w:rPr>
              <w:t>Дополнительная информация</w:t>
            </w:r>
          </w:p>
        </w:tc>
      </w:tr>
      <w:tr w:rsidR="00AD1F54" w:rsidRPr="00264D5D" w14:paraId="3BBAE6B1"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5CDD9CAB" w14:textId="77777777" w:rsidR="00AD1F54" w:rsidRPr="00264D5D" w:rsidRDefault="00941227">
            <w:pPr>
              <w:pStyle w:val="EBTablenorm"/>
              <w:ind w:left="57" w:right="57"/>
              <w:contextualSpacing w:val="0"/>
              <w:rPr>
                <w:sz w:val="22"/>
                <w:szCs w:val="22"/>
              </w:rPr>
            </w:pPr>
            <w:r w:rsidRPr="00264D5D">
              <w:rPr>
                <w:sz w:val="22"/>
                <w:szCs w:val="22"/>
              </w:rPr>
              <w:t>Наименование страны по ОКСМ</w:t>
            </w:r>
          </w:p>
        </w:tc>
        <w:tc>
          <w:tcPr>
            <w:tcW w:w="1701" w:type="dxa"/>
          </w:tcPr>
          <w:p w14:paraId="3CD042F5" w14:textId="77777777" w:rsidR="00AD1F54" w:rsidRPr="00264D5D" w:rsidRDefault="00941227">
            <w:pPr>
              <w:pStyle w:val="EBTablenorm"/>
              <w:ind w:left="57" w:right="57"/>
              <w:contextualSpacing w:val="0"/>
              <w:rPr>
                <w:sz w:val="22"/>
                <w:szCs w:val="22"/>
                <w:lang w:val="en-US"/>
              </w:rPr>
            </w:pPr>
            <w:r w:rsidRPr="00264D5D">
              <w:rPr>
                <w:sz w:val="22"/>
                <w:szCs w:val="22"/>
                <w:lang w:val="en-US"/>
              </w:rPr>
              <w:t>FrgnCntrName</w:t>
            </w:r>
          </w:p>
        </w:tc>
        <w:tc>
          <w:tcPr>
            <w:tcW w:w="567" w:type="dxa"/>
          </w:tcPr>
          <w:p w14:paraId="1CA58DFE"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16450CB6"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Т(1-2000)</w:t>
            </w:r>
          </w:p>
        </w:tc>
        <w:tc>
          <w:tcPr>
            <w:tcW w:w="567" w:type="dxa"/>
          </w:tcPr>
          <w:p w14:paraId="720567DF" w14:textId="77777777" w:rsidR="00AD1F54" w:rsidRPr="00264D5D" w:rsidRDefault="00941227">
            <w:pPr>
              <w:pStyle w:val="EBTablenorm"/>
              <w:ind w:left="57" w:right="57"/>
              <w:contextualSpacing w:val="0"/>
              <w:jc w:val="center"/>
              <w:rPr>
                <w:sz w:val="22"/>
                <w:szCs w:val="22"/>
                <w:lang w:val="en-US"/>
              </w:rPr>
            </w:pPr>
            <w:r w:rsidRPr="00264D5D">
              <w:rPr>
                <w:sz w:val="22"/>
                <w:szCs w:val="22"/>
                <w:lang w:val="en-US"/>
              </w:rPr>
              <w:t>О</w:t>
            </w:r>
          </w:p>
        </w:tc>
        <w:tc>
          <w:tcPr>
            <w:tcW w:w="3963" w:type="dxa"/>
          </w:tcPr>
          <w:p w14:paraId="546EDA56" w14:textId="77777777" w:rsidR="00AD1F54" w:rsidRPr="00264D5D" w:rsidRDefault="00941227">
            <w:pPr>
              <w:pStyle w:val="EBTablenorm"/>
              <w:ind w:left="57" w:right="57"/>
              <w:contextualSpacing w:val="0"/>
              <w:rPr>
                <w:sz w:val="22"/>
                <w:szCs w:val="22"/>
              </w:rPr>
            </w:pPr>
            <w:r w:rsidRPr="00264D5D">
              <w:rPr>
                <w:sz w:val="22"/>
                <w:szCs w:val="22"/>
              </w:rPr>
              <w:t>Наименован</w:t>
            </w:r>
            <w:r w:rsidR="00B83EE9" w:rsidRPr="00264D5D">
              <w:rPr>
                <w:sz w:val="22"/>
                <w:szCs w:val="22"/>
              </w:rPr>
              <w:t>ие страны в соответствии с ОКСМ</w:t>
            </w:r>
          </w:p>
        </w:tc>
      </w:tr>
      <w:tr w:rsidR="00AD1F54" w:rsidRPr="00264D5D" w14:paraId="00B19DBF"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0C30D8CA" w14:textId="77777777" w:rsidR="00AD1F54" w:rsidRPr="00264D5D" w:rsidRDefault="00941227">
            <w:pPr>
              <w:pStyle w:val="EBTablenorm"/>
              <w:ind w:left="57" w:right="57"/>
              <w:contextualSpacing w:val="0"/>
              <w:rPr>
                <w:sz w:val="22"/>
                <w:szCs w:val="22"/>
              </w:rPr>
            </w:pPr>
            <w:r w:rsidRPr="00264D5D">
              <w:rPr>
                <w:sz w:val="22"/>
                <w:szCs w:val="22"/>
              </w:rPr>
              <w:t>Код страны по ОКСМ</w:t>
            </w:r>
          </w:p>
        </w:tc>
        <w:tc>
          <w:tcPr>
            <w:tcW w:w="1701" w:type="dxa"/>
          </w:tcPr>
          <w:p w14:paraId="48F9719C" w14:textId="77777777" w:rsidR="00AD1F54" w:rsidRPr="00264D5D" w:rsidRDefault="00941227">
            <w:pPr>
              <w:pStyle w:val="EBTablenorm"/>
              <w:ind w:left="57" w:right="57"/>
              <w:contextualSpacing w:val="0"/>
              <w:rPr>
                <w:sz w:val="22"/>
                <w:szCs w:val="22"/>
                <w:lang w:val="en-US"/>
              </w:rPr>
            </w:pPr>
            <w:r w:rsidRPr="00264D5D">
              <w:rPr>
                <w:sz w:val="22"/>
                <w:szCs w:val="22"/>
                <w:lang w:val="en-US"/>
              </w:rPr>
              <w:t>FrgnCntrCode</w:t>
            </w:r>
          </w:p>
        </w:tc>
        <w:tc>
          <w:tcPr>
            <w:tcW w:w="567" w:type="dxa"/>
          </w:tcPr>
          <w:p w14:paraId="2488384D"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18E4B884"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Т(3)</w:t>
            </w:r>
          </w:p>
        </w:tc>
        <w:tc>
          <w:tcPr>
            <w:tcW w:w="567" w:type="dxa"/>
          </w:tcPr>
          <w:p w14:paraId="198771ED" w14:textId="77777777" w:rsidR="00AD1F54" w:rsidRPr="00264D5D" w:rsidRDefault="00941227">
            <w:pPr>
              <w:pStyle w:val="EBTablenorm"/>
              <w:ind w:left="57" w:right="57"/>
              <w:contextualSpacing w:val="0"/>
              <w:jc w:val="center"/>
              <w:rPr>
                <w:sz w:val="22"/>
                <w:szCs w:val="22"/>
                <w:lang w:val="en-US"/>
              </w:rPr>
            </w:pPr>
            <w:r w:rsidRPr="00264D5D">
              <w:rPr>
                <w:sz w:val="22"/>
                <w:szCs w:val="22"/>
                <w:lang w:val="en-US"/>
              </w:rPr>
              <w:t>О</w:t>
            </w:r>
          </w:p>
        </w:tc>
        <w:tc>
          <w:tcPr>
            <w:tcW w:w="3963" w:type="dxa"/>
          </w:tcPr>
          <w:p w14:paraId="7C2A5FFE" w14:textId="77777777" w:rsidR="00AD1F54" w:rsidRPr="00264D5D" w:rsidRDefault="00B83EE9">
            <w:pPr>
              <w:pStyle w:val="EBTablenorm"/>
              <w:ind w:left="57" w:right="57"/>
              <w:contextualSpacing w:val="0"/>
              <w:rPr>
                <w:sz w:val="22"/>
                <w:szCs w:val="22"/>
              </w:rPr>
            </w:pPr>
            <w:r w:rsidRPr="00264D5D">
              <w:rPr>
                <w:sz w:val="22"/>
                <w:szCs w:val="22"/>
              </w:rPr>
              <w:t>Цифровой код страны по ОКСМ</w:t>
            </w:r>
          </w:p>
        </w:tc>
      </w:tr>
      <w:tr w:rsidR="00AD1F54" w:rsidRPr="00264D5D" w14:paraId="1D882E56"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8FD4F46" w14:textId="77777777" w:rsidR="00AD1F54" w:rsidRPr="00264D5D" w:rsidRDefault="00941227">
            <w:pPr>
              <w:pStyle w:val="EBTablenorm"/>
              <w:ind w:left="57" w:right="57"/>
              <w:contextualSpacing w:val="0"/>
              <w:rPr>
                <w:sz w:val="22"/>
                <w:szCs w:val="22"/>
              </w:rPr>
            </w:pPr>
            <w:r w:rsidRPr="00264D5D">
              <w:rPr>
                <w:sz w:val="22"/>
                <w:szCs w:val="22"/>
              </w:rPr>
              <w:t>Наименование субъекта РФ</w:t>
            </w:r>
          </w:p>
        </w:tc>
        <w:tc>
          <w:tcPr>
            <w:tcW w:w="1701" w:type="dxa"/>
          </w:tcPr>
          <w:p w14:paraId="68D714AF" w14:textId="77777777" w:rsidR="00AD1F54" w:rsidRPr="00264D5D" w:rsidRDefault="00941227">
            <w:pPr>
              <w:pStyle w:val="EBTablenorm"/>
              <w:ind w:left="57" w:right="57"/>
              <w:contextualSpacing w:val="0"/>
              <w:rPr>
                <w:sz w:val="22"/>
                <w:szCs w:val="22"/>
                <w:lang w:val="en-US"/>
              </w:rPr>
            </w:pPr>
            <w:r w:rsidRPr="00264D5D">
              <w:rPr>
                <w:sz w:val="22"/>
                <w:szCs w:val="22"/>
                <w:lang w:val="en-US"/>
              </w:rPr>
              <w:t>FrgnSubName</w:t>
            </w:r>
          </w:p>
        </w:tc>
        <w:tc>
          <w:tcPr>
            <w:tcW w:w="567" w:type="dxa"/>
          </w:tcPr>
          <w:p w14:paraId="1E41643A"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4DAED910"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Т(1-2000)</w:t>
            </w:r>
          </w:p>
        </w:tc>
        <w:tc>
          <w:tcPr>
            <w:tcW w:w="567" w:type="dxa"/>
          </w:tcPr>
          <w:p w14:paraId="47CA2C67" w14:textId="77777777" w:rsidR="00AD1F54" w:rsidRPr="00264D5D" w:rsidRDefault="00941227">
            <w:pPr>
              <w:pStyle w:val="EBTablenorm"/>
              <w:ind w:left="57" w:right="57"/>
              <w:contextualSpacing w:val="0"/>
              <w:jc w:val="center"/>
              <w:rPr>
                <w:sz w:val="22"/>
                <w:szCs w:val="22"/>
              </w:rPr>
            </w:pPr>
            <w:r w:rsidRPr="00264D5D">
              <w:rPr>
                <w:sz w:val="22"/>
                <w:szCs w:val="22"/>
              </w:rPr>
              <w:t>Н</w:t>
            </w:r>
          </w:p>
        </w:tc>
        <w:tc>
          <w:tcPr>
            <w:tcW w:w="3963" w:type="dxa"/>
          </w:tcPr>
          <w:p w14:paraId="32165358" w14:textId="77777777" w:rsidR="00AD1F54" w:rsidRPr="00264D5D" w:rsidRDefault="00941227">
            <w:pPr>
              <w:pStyle w:val="EBTablenorm"/>
              <w:ind w:left="57" w:right="57"/>
              <w:contextualSpacing w:val="0"/>
              <w:rPr>
                <w:sz w:val="22"/>
                <w:szCs w:val="22"/>
              </w:rPr>
            </w:pPr>
            <w:r w:rsidRPr="00264D5D">
              <w:rPr>
                <w:sz w:val="22"/>
                <w:szCs w:val="22"/>
              </w:rPr>
              <w:t>Наименование субъекта Российской Федерации в соответствии с федеративным устройством Российской Федерации, определенным статьей 65 К</w:t>
            </w:r>
            <w:r w:rsidR="00B83EE9" w:rsidRPr="00264D5D">
              <w:rPr>
                <w:sz w:val="22"/>
                <w:szCs w:val="22"/>
              </w:rPr>
              <w:t>онституции Российской Федерации</w:t>
            </w:r>
          </w:p>
        </w:tc>
      </w:tr>
      <w:tr w:rsidR="00AD1F54" w:rsidRPr="00264D5D" w14:paraId="4EDD7F47"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0C666B24" w14:textId="77777777" w:rsidR="00AD1F54" w:rsidRPr="00264D5D" w:rsidRDefault="00941227">
            <w:pPr>
              <w:pStyle w:val="EBTablenorm"/>
              <w:ind w:left="57" w:right="57"/>
              <w:contextualSpacing w:val="0"/>
              <w:rPr>
                <w:sz w:val="22"/>
                <w:szCs w:val="22"/>
              </w:rPr>
            </w:pPr>
            <w:r w:rsidRPr="00264D5D">
              <w:rPr>
                <w:sz w:val="22"/>
                <w:szCs w:val="22"/>
              </w:rPr>
              <w:t>Код субъекта РФ</w:t>
            </w:r>
          </w:p>
        </w:tc>
        <w:tc>
          <w:tcPr>
            <w:tcW w:w="1701" w:type="dxa"/>
          </w:tcPr>
          <w:p w14:paraId="50290C02" w14:textId="77777777" w:rsidR="00AD1F54" w:rsidRPr="00264D5D" w:rsidRDefault="00941227">
            <w:pPr>
              <w:pStyle w:val="EBTablenorm"/>
              <w:ind w:left="57" w:right="57"/>
              <w:contextualSpacing w:val="0"/>
              <w:rPr>
                <w:sz w:val="22"/>
                <w:szCs w:val="22"/>
                <w:lang w:val="en-US"/>
              </w:rPr>
            </w:pPr>
            <w:r w:rsidRPr="00264D5D">
              <w:rPr>
                <w:sz w:val="22"/>
                <w:szCs w:val="22"/>
                <w:lang w:val="en-US"/>
              </w:rPr>
              <w:t>FrgnSubCode</w:t>
            </w:r>
          </w:p>
        </w:tc>
        <w:tc>
          <w:tcPr>
            <w:tcW w:w="567" w:type="dxa"/>
          </w:tcPr>
          <w:p w14:paraId="51BE90F3"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16CBAD85" w14:textId="77777777" w:rsidR="00AD1F54" w:rsidRPr="00264D5D" w:rsidRDefault="00941227">
            <w:pPr>
              <w:pStyle w:val="EBTablenorm"/>
              <w:ind w:left="57" w:right="57"/>
              <w:contextualSpacing w:val="0"/>
              <w:jc w:val="left"/>
              <w:rPr>
                <w:sz w:val="22"/>
                <w:szCs w:val="22"/>
              </w:rPr>
            </w:pPr>
            <w:r w:rsidRPr="00264D5D">
              <w:rPr>
                <w:sz w:val="22"/>
                <w:szCs w:val="22"/>
              </w:rPr>
              <w:t>Т(2)</w:t>
            </w:r>
          </w:p>
          <w:p w14:paraId="1ECC88BB" w14:textId="77777777" w:rsidR="00AD1F54" w:rsidRPr="00264D5D" w:rsidRDefault="00AD1F54">
            <w:pPr>
              <w:pStyle w:val="EBTablenorm"/>
              <w:ind w:left="57" w:right="57"/>
              <w:contextualSpacing w:val="0"/>
              <w:jc w:val="left"/>
              <w:rPr>
                <w:sz w:val="22"/>
                <w:szCs w:val="22"/>
                <w:lang w:val="en-US"/>
              </w:rPr>
            </w:pPr>
          </w:p>
        </w:tc>
        <w:tc>
          <w:tcPr>
            <w:tcW w:w="567" w:type="dxa"/>
          </w:tcPr>
          <w:p w14:paraId="27A6375D" w14:textId="77777777" w:rsidR="00AD1F54" w:rsidRPr="00264D5D" w:rsidRDefault="00941227">
            <w:pPr>
              <w:pStyle w:val="EBTablenorm"/>
              <w:ind w:left="57" w:right="57"/>
              <w:contextualSpacing w:val="0"/>
              <w:jc w:val="center"/>
              <w:rPr>
                <w:sz w:val="22"/>
                <w:szCs w:val="22"/>
              </w:rPr>
            </w:pPr>
            <w:r w:rsidRPr="00264D5D">
              <w:rPr>
                <w:sz w:val="22"/>
                <w:szCs w:val="22"/>
              </w:rPr>
              <w:t>Н</w:t>
            </w:r>
          </w:p>
        </w:tc>
        <w:tc>
          <w:tcPr>
            <w:tcW w:w="3963" w:type="dxa"/>
          </w:tcPr>
          <w:p w14:paraId="2EA6C4ED" w14:textId="77777777" w:rsidR="00AD1F54" w:rsidRPr="00264D5D" w:rsidRDefault="00941227">
            <w:pPr>
              <w:pStyle w:val="EBTablenorm"/>
              <w:ind w:left="57" w:right="57"/>
              <w:contextualSpacing w:val="0"/>
              <w:rPr>
                <w:sz w:val="22"/>
                <w:szCs w:val="22"/>
              </w:rPr>
            </w:pPr>
            <w:r w:rsidRPr="00264D5D">
              <w:rPr>
                <w:sz w:val="22"/>
                <w:szCs w:val="22"/>
              </w:rPr>
              <w:t>Кодовое обозначение субъекта Российской Федерации в соответствии с федеративным устройством Российской Федерации, определенным статьей 65 К</w:t>
            </w:r>
            <w:r w:rsidR="00B83EE9" w:rsidRPr="00264D5D">
              <w:rPr>
                <w:sz w:val="22"/>
                <w:szCs w:val="22"/>
              </w:rPr>
              <w:t>онституции Российской Федерации</w:t>
            </w:r>
          </w:p>
        </w:tc>
      </w:tr>
      <w:tr w:rsidR="00AD1F54" w:rsidRPr="00264D5D" w14:paraId="17E9E41D"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268B610" w14:textId="77777777" w:rsidR="00AD1F54" w:rsidRPr="00264D5D" w:rsidRDefault="00941227">
            <w:pPr>
              <w:pStyle w:val="EBTablenorm"/>
              <w:ind w:left="57" w:right="57"/>
              <w:contextualSpacing w:val="0"/>
              <w:rPr>
                <w:sz w:val="22"/>
                <w:szCs w:val="22"/>
              </w:rPr>
            </w:pPr>
            <w:r w:rsidRPr="00264D5D">
              <w:rPr>
                <w:sz w:val="22"/>
                <w:szCs w:val="22"/>
              </w:rPr>
              <w:t>Наименование муниципального района, городского округа или внутригородско</w:t>
            </w:r>
            <w:r w:rsidRPr="00264D5D">
              <w:rPr>
                <w:sz w:val="22"/>
                <w:szCs w:val="22"/>
              </w:rPr>
              <w:lastRenderedPageBreak/>
              <w:t>й территории</w:t>
            </w:r>
          </w:p>
        </w:tc>
        <w:tc>
          <w:tcPr>
            <w:tcW w:w="1701" w:type="dxa"/>
          </w:tcPr>
          <w:p w14:paraId="261D538A" w14:textId="77777777" w:rsidR="00AD1F54" w:rsidRPr="00264D5D" w:rsidRDefault="00941227">
            <w:pPr>
              <w:pStyle w:val="EBTablenorm"/>
              <w:ind w:left="57" w:right="57"/>
              <w:contextualSpacing w:val="0"/>
              <w:rPr>
                <w:sz w:val="22"/>
                <w:szCs w:val="22"/>
                <w:lang w:val="en-US"/>
              </w:rPr>
            </w:pPr>
            <w:r w:rsidRPr="00264D5D">
              <w:rPr>
                <w:sz w:val="22"/>
                <w:szCs w:val="22"/>
                <w:lang w:val="en-US"/>
              </w:rPr>
              <w:lastRenderedPageBreak/>
              <w:t>FrgnAreaResName</w:t>
            </w:r>
          </w:p>
        </w:tc>
        <w:tc>
          <w:tcPr>
            <w:tcW w:w="567" w:type="dxa"/>
          </w:tcPr>
          <w:p w14:paraId="4E1A92CC"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6C7E88C1"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Т(1-2000)</w:t>
            </w:r>
          </w:p>
        </w:tc>
        <w:tc>
          <w:tcPr>
            <w:tcW w:w="567" w:type="dxa"/>
          </w:tcPr>
          <w:p w14:paraId="4D513C7D" w14:textId="77777777" w:rsidR="00AD1F54" w:rsidRPr="00264D5D" w:rsidRDefault="00941227">
            <w:pPr>
              <w:pStyle w:val="EBTablenorm"/>
              <w:ind w:left="57" w:right="57"/>
              <w:contextualSpacing w:val="0"/>
              <w:jc w:val="center"/>
              <w:rPr>
                <w:sz w:val="22"/>
                <w:szCs w:val="22"/>
              </w:rPr>
            </w:pPr>
            <w:r w:rsidRPr="00264D5D">
              <w:rPr>
                <w:sz w:val="22"/>
                <w:szCs w:val="22"/>
              </w:rPr>
              <w:t>Н</w:t>
            </w:r>
          </w:p>
        </w:tc>
        <w:tc>
          <w:tcPr>
            <w:tcW w:w="3963" w:type="dxa"/>
          </w:tcPr>
          <w:p w14:paraId="408A624C" w14:textId="77777777" w:rsidR="00AD1F54" w:rsidRPr="00264D5D" w:rsidRDefault="00941227">
            <w:pPr>
              <w:pStyle w:val="EBTablenorm"/>
              <w:ind w:left="57" w:right="57"/>
              <w:contextualSpacing w:val="0"/>
              <w:rPr>
                <w:sz w:val="22"/>
                <w:szCs w:val="22"/>
              </w:rPr>
            </w:pPr>
            <w:r w:rsidRPr="00264D5D">
              <w:rPr>
                <w:sz w:val="22"/>
                <w:szCs w:val="22"/>
              </w:rPr>
              <w:t>Наименование муниципального района, городского округа или внутригородской территории (для</w:t>
            </w:r>
            <w:r w:rsidR="00B83EE9" w:rsidRPr="00264D5D">
              <w:rPr>
                <w:sz w:val="22"/>
                <w:szCs w:val="22"/>
              </w:rPr>
              <w:t xml:space="preserve"> городов федерального значения)</w:t>
            </w:r>
          </w:p>
        </w:tc>
      </w:tr>
      <w:tr w:rsidR="00AD1F54" w:rsidRPr="00264D5D" w14:paraId="5D57F04D"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02E0F299" w14:textId="77777777" w:rsidR="00AD1F54" w:rsidRPr="00264D5D" w:rsidRDefault="00941227">
            <w:pPr>
              <w:pStyle w:val="EBTablenorm"/>
              <w:ind w:left="57" w:right="57"/>
              <w:contextualSpacing w:val="0"/>
              <w:rPr>
                <w:sz w:val="22"/>
                <w:szCs w:val="22"/>
              </w:rPr>
            </w:pPr>
            <w:r w:rsidRPr="00264D5D">
              <w:rPr>
                <w:sz w:val="22"/>
                <w:szCs w:val="22"/>
              </w:rPr>
              <w:lastRenderedPageBreak/>
              <w:t>Наименование поселения в составе муниципального района или внутригородского района городского округа</w:t>
            </w:r>
          </w:p>
        </w:tc>
        <w:tc>
          <w:tcPr>
            <w:tcW w:w="1701" w:type="dxa"/>
          </w:tcPr>
          <w:p w14:paraId="0AC784B1" w14:textId="77777777" w:rsidR="00AD1F54" w:rsidRPr="00264D5D" w:rsidRDefault="00941227">
            <w:pPr>
              <w:pStyle w:val="EBTablenorm"/>
              <w:ind w:left="57" w:right="57"/>
              <w:contextualSpacing w:val="0"/>
              <w:rPr>
                <w:sz w:val="22"/>
                <w:szCs w:val="22"/>
                <w:lang w:val="en-US"/>
              </w:rPr>
            </w:pPr>
            <w:r w:rsidRPr="00264D5D">
              <w:rPr>
                <w:sz w:val="22"/>
                <w:szCs w:val="22"/>
                <w:lang w:val="en-US"/>
              </w:rPr>
              <w:t>FrgnAreaItmResName</w:t>
            </w:r>
          </w:p>
        </w:tc>
        <w:tc>
          <w:tcPr>
            <w:tcW w:w="567" w:type="dxa"/>
          </w:tcPr>
          <w:p w14:paraId="233A3B1E"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0BFABCF1"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Т(1-2000)</w:t>
            </w:r>
          </w:p>
        </w:tc>
        <w:tc>
          <w:tcPr>
            <w:tcW w:w="567" w:type="dxa"/>
          </w:tcPr>
          <w:p w14:paraId="2D2F25FB" w14:textId="77777777" w:rsidR="00AD1F54" w:rsidRPr="00264D5D" w:rsidRDefault="00941227">
            <w:pPr>
              <w:pStyle w:val="EBTablenorm"/>
              <w:ind w:left="57" w:right="57"/>
              <w:contextualSpacing w:val="0"/>
              <w:jc w:val="center"/>
              <w:rPr>
                <w:sz w:val="22"/>
                <w:szCs w:val="22"/>
              </w:rPr>
            </w:pPr>
            <w:r w:rsidRPr="00264D5D">
              <w:rPr>
                <w:sz w:val="22"/>
                <w:szCs w:val="22"/>
              </w:rPr>
              <w:t>Н</w:t>
            </w:r>
          </w:p>
        </w:tc>
        <w:tc>
          <w:tcPr>
            <w:tcW w:w="3963" w:type="dxa"/>
          </w:tcPr>
          <w:p w14:paraId="04D0E7C4" w14:textId="77777777" w:rsidR="00AD1F54" w:rsidRPr="00264D5D" w:rsidRDefault="00941227">
            <w:pPr>
              <w:pStyle w:val="EBTablenorm"/>
              <w:ind w:left="57" w:right="57"/>
              <w:contextualSpacing w:val="0"/>
              <w:rPr>
                <w:sz w:val="22"/>
                <w:szCs w:val="22"/>
              </w:rPr>
            </w:pPr>
            <w:r w:rsidRPr="00264D5D">
              <w:rPr>
                <w:sz w:val="22"/>
                <w:szCs w:val="22"/>
              </w:rPr>
              <w:t>Наименование городского или сельского поселения в составе муниципального района (для муниципального района) или внутригоро</w:t>
            </w:r>
            <w:r w:rsidR="00B83EE9" w:rsidRPr="00264D5D">
              <w:rPr>
                <w:sz w:val="22"/>
                <w:szCs w:val="22"/>
              </w:rPr>
              <w:t>дского района городского округа</w:t>
            </w:r>
          </w:p>
        </w:tc>
      </w:tr>
      <w:tr w:rsidR="00AD1F54" w:rsidRPr="00264D5D" w14:paraId="23CF7A74"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1AAB4F8" w14:textId="77777777" w:rsidR="00AD1F54" w:rsidRPr="00264D5D" w:rsidRDefault="00941227">
            <w:pPr>
              <w:pStyle w:val="EBTablenorm"/>
              <w:ind w:left="57" w:right="57"/>
              <w:contextualSpacing w:val="0"/>
              <w:rPr>
                <w:sz w:val="22"/>
                <w:szCs w:val="22"/>
              </w:rPr>
            </w:pPr>
            <w:r w:rsidRPr="00264D5D">
              <w:rPr>
                <w:sz w:val="22"/>
                <w:szCs w:val="22"/>
                <w:lang w:val="en-US"/>
              </w:rPr>
              <w:t>Наименование населенного пункта</w:t>
            </w:r>
          </w:p>
        </w:tc>
        <w:tc>
          <w:tcPr>
            <w:tcW w:w="1701" w:type="dxa"/>
          </w:tcPr>
          <w:p w14:paraId="5CED5AF8" w14:textId="77777777" w:rsidR="00AD1F54" w:rsidRPr="00264D5D" w:rsidRDefault="00941227">
            <w:pPr>
              <w:pStyle w:val="EBTablenorm"/>
              <w:ind w:left="57" w:right="57"/>
              <w:contextualSpacing w:val="0"/>
              <w:rPr>
                <w:sz w:val="22"/>
                <w:szCs w:val="22"/>
                <w:lang w:val="en-US"/>
              </w:rPr>
            </w:pPr>
            <w:r w:rsidRPr="00264D5D">
              <w:rPr>
                <w:sz w:val="22"/>
                <w:szCs w:val="22"/>
                <w:lang w:val="en-US"/>
              </w:rPr>
              <w:t>FrgnTwnResName</w:t>
            </w:r>
          </w:p>
        </w:tc>
        <w:tc>
          <w:tcPr>
            <w:tcW w:w="567" w:type="dxa"/>
          </w:tcPr>
          <w:p w14:paraId="18C7C3DF"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42B20B71"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Т(1-100)</w:t>
            </w:r>
          </w:p>
        </w:tc>
        <w:tc>
          <w:tcPr>
            <w:tcW w:w="567" w:type="dxa"/>
          </w:tcPr>
          <w:p w14:paraId="436DC831"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65A5C6FB" w14:textId="77777777" w:rsidR="00AD1F54" w:rsidRPr="00264D5D" w:rsidRDefault="00941227">
            <w:pPr>
              <w:pStyle w:val="EBTablenorm"/>
              <w:ind w:left="57" w:right="57"/>
              <w:contextualSpacing w:val="0"/>
              <w:rPr>
                <w:sz w:val="22"/>
                <w:szCs w:val="22"/>
              </w:rPr>
            </w:pPr>
            <w:r w:rsidRPr="00264D5D">
              <w:rPr>
                <w:sz w:val="22"/>
                <w:szCs w:val="22"/>
                <w:lang w:val="en-US"/>
              </w:rPr>
              <w:t>Наименование населенного пункта</w:t>
            </w:r>
          </w:p>
        </w:tc>
      </w:tr>
      <w:tr w:rsidR="00AD1F54" w:rsidRPr="00264D5D" w14:paraId="1EA380E8"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699983DD" w14:textId="77777777" w:rsidR="00AD1F54" w:rsidRPr="00264D5D" w:rsidRDefault="00941227">
            <w:pPr>
              <w:pStyle w:val="EBTablenorm"/>
              <w:ind w:left="57" w:right="57"/>
              <w:contextualSpacing w:val="0"/>
              <w:rPr>
                <w:sz w:val="22"/>
                <w:szCs w:val="22"/>
              </w:rPr>
            </w:pPr>
            <w:r w:rsidRPr="00264D5D">
              <w:rPr>
                <w:sz w:val="22"/>
                <w:szCs w:val="22"/>
              </w:rPr>
              <w:t>Код территории населенного пункта</w:t>
            </w:r>
          </w:p>
        </w:tc>
        <w:tc>
          <w:tcPr>
            <w:tcW w:w="1701" w:type="dxa"/>
          </w:tcPr>
          <w:p w14:paraId="41649951" w14:textId="77777777" w:rsidR="00AD1F54" w:rsidRPr="00264D5D" w:rsidRDefault="00941227">
            <w:pPr>
              <w:pStyle w:val="EBTablenorm"/>
              <w:ind w:left="57" w:right="57"/>
              <w:contextualSpacing w:val="0"/>
              <w:rPr>
                <w:sz w:val="22"/>
                <w:szCs w:val="22"/>
                <w:lang w:val="en-US"/>
              </w:rPr>
            </w:pPr>
            <w:r w:rsidRPr="00264D5D">
              <w:rPr>
                <w:sz w:val="22"/>
                <w:szCs w:val="22"/>
                <w:lang w:val="en-US"/>
              </w:rPr>
              <w:t>FrgnTwnResOktmo</w:t>
            </w:r>
          </w:p>
        </w:tc>
        <w:tc>
          <w:tcPr>
            <w:tcW w:w="567" w:type="dxa"/>
          </w:tcPr>
          <w:p w14:paraId="4B5A7EB5"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69BBCE20"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Т(11)</w:t>
            </w:r>
          </w:p>
        </w:tc>
        <w:tc>
          <w:tcPr>
            <w:tcW w:w="567" w:type="dxa"/>
          </w:tcPr>
          <w:p w14:paraId="64DFA2CD"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72757201" w14:textId="77777777" w:rsidR="00AD1F54" w:rsidRPr="00264D5D" w:rsidRDefault="00941227">
            <w:pPr>
              <w:pStyle w:val="EBTablenorm"/>
              <w:ind w:left="57" w:right="57"/>
              <w:contextualSpacing w:val="0"/>
              <w:rPr>
                <w:sz w:val="22"/>
                <w:szCs w:val="22"/>
              </w:rPr>
            </w:pPr>
            <w:r w:rsidRPr="00264D5D">
              <w:rPr>
                <w:sz w:val="22"/>
                <w:szCs w:val="22"/>
              </w:rPr>
              <w:t>Код территории населенног</w:t>
            </w:r>
            <w:r w:rsidR="00B83EE9" w:rsidRPr="00264D5D">
              <w:rPr>
                <w:sz w:val="22"/>
                <w:szCs w:val="22"/>
              </w:rPr>
              <w:t>о пункта в соответствии с ОКТМО</w:t>
            </w:r>
          </w:p>
        </w:tc>
      </w:tr>
      <w:tr w:rsidR="00AD1F54" w:rsidRPr="00264D5D" w14:paraId="7F7121B4"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1951788" w14:textId="77777777" w:rsidR="00AD1F54" w:rsidRPr="00264D5D" w:rsidRDefault="00941227">
            <w:pPr>
              <w:pStyle w:val="EBTablenorm"/>
              <w:ind w:left="57" w:right="57"/>
              <w:contextualSpacing w:val="0"/>
              <w:rPr>
                <w:sz w:val="22"/>
                <w:szCs w:val="22"/>
              </w:rPr>
            </w:pPr>
            <w:r w:rsidRPr="00264D5D">
              <w:rPr>
                <w:sz w:val="22"/>
                <w:szCs w:val="22"/>
                <w:lang w:val="en-US"/>
              </w:rPr>
              <w:t>Наименование элемента планировочной структуры</w:t>
            </w:r>
          </w:p>
        </w:tc>
        <w:tc>
          <w:tcPr>
            <w:tcW w:w="1701" w:type="dxa"/>
          </w:tcPr>
          <w:p w14:paraId="4FB46850" w14:textId="77777777" w:rsidR="00AD1F54" w:rsidRPr="00264D5D" w:rsidRDefault="00941227">
            <w:pPr>
              <w:pStyle w:val="EBTablenorm"/>
              <w:ind w:left="57" w:right="57"/>
              <w:contextualSpacing w:val="0"/>
              <w:rPr>
                <w:sz w:val="22"/>
                <w:szCs w:val="22"/>
                <w:lang w:val="en-US"/>
              </w:rPr>
            </w:pPr>
            <w:r w:rsidRPr="00264D5D">
              <w:rPr>
                <w:sz w:val="22"/>
                <w:szCs w:val="22"/>
                <w:lang w:val="en-US"/>
              </w:rPr>
              <w:t>FrgnPlStrResName</w:t>
            </w:r>
          </w:p>
        </w:tc>
        <w:tc>
          <w:tcPr>
            <w:tcW w:w="567" w:type="dxa"/>
          </w:tcPr>
          <w:p w14:paraId="5712AFD6"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02F083D5"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Т(1-100)</w:t>
            </w:r>
          </w:p>
        </w:tc>
        <w:tc>
          <w:tcPr>
            <w:tcW w:w="567" w:type="dxa"/>
          </w:tcPr>
          <w:p w14:paraId="5FFE22BF" w14:textId="77777777" w:rsidR="00AD1F54" w:rsidRPr="00264D5D" w:rsidRDefault="00941227">
            <w:pPr>
              <w:pStyle w:val="EBTablenorm"/>
              <w:ind w:left="57" w:right="57"/>
              <w:contextualSpacing w:val="0"/>
              <w:jc w:val="center"/>
              <w:rPr>
                <w:sz w:val="22"/>
                <w:szCs w:val="22"/>
                <w:lang w:val="en-US"/>
              </w:rPr>
            </w:pPr>
            <w:r w:rsidRPr="00264D5D">
              <w:rPr>
                <w:sz w:val="22"/>
                <w:szCs w:val="22"/>
                <w:lang w:val="en-US"/>
              </w:rPr>
              <w:t>Н</w:t>
            </w:r>
          </w:p>
        </w:tc>
        <w:tc>
          <w:tcPr>
            <w:tcW w:w="3963" w:type="dxa"/>
          </w:tcPr>
          <w:p w14:paraId="3387E536" w14:textId="77777777" w:rsidR="00AD1F54" w:rsidRPr="00264D5D" w:rsidRDefault="00941227">
            <w:pPr>
              <w:pStyle w:val="EBTablenorm"/>
              <w:ind w:left="57" w:right="57"/>
              <w:contextualSpacing w:val="0"/>
              <w:rPr>
                <w:sz w:val="22"/>
                <w:szCs w:val="22"/>
              </w:rPr>
            </w:pPr>
            <w:r w:rsidRPr="00264D5D">
              <w:rPr>
                <w:sz w:val="22"/>
                <w:szCs w:val="22"/>
                <w:lang w:val="en-US"/>
              </w:rPr>
              <w:t>Наименование элемента планировочной структуры</w:t>
            </w:r>
          </w:p>
        </w:tc>
      </w:tr>
      <w:tr w:rsidR="00AD1F54" w:rsidRPr="00264D5D" w14:paraId="2F06A489"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3226F578" w14:textId="77777777" w:rsidR="00AD1F54" w:rsidRPr="00264D5D" w:rsidRDefault="00941227">
            <w:pPr>
              <w:pStyle w:val="EBTablenorm"/>
              <w:ind w:left="57" w:right="57"/>
              <w:contextualSpacing w:val="0"/>
              <w:rPr>
                <w:sz w:val="22"/>
                <w:szCs w:val="22"/>
              </w:rPr>
            </w:pPr>
            <w:r w:rsidRPr="00264D5D">
              <w:rPr>
                <w:sz w:val="22"/>
                <w:szCs w:val="22"/>
              </w:rPr>
              <w:t>Наименование элемента улично-дорожной сети</w:t>
            </w:r>
          </w:p>
        </w:tc>
        <w:tc>
          <w:tcPr>
            <w:tcW w:w="1701" w:type="dxa"/>
          </w:tcPr>
          <w:p w14:paraId="1BA3D8D5" w14:textId="77777777" w:rsidR="00AD1F54" w:rsidRPr="00264D5D" w:rsidRDefault="00941227">
            <w:pPr>
              <w:pStyle w:val="EBTablenorm"/>
              <w:ind w:left="57" w:right="57"/>
              <w:contextualSpacing w:val="0"/>
              <w:rPr>
                <w:sz w:val="22"/>
                <w:szCs w:val="22"/>
                <w:lang w:val="en-US"/>
              </w:rPr>
            </w:pPr>
            <w:r w:rsidRPr="00264D5D">
              <w:rPr>
                <w:sz w:val="22"/>
                <w:szCs w:val="22"/>
                <w:lang w:val="en-US"/>
              </w:rPr>
              <w:t>FrgnRdNtwrkResName</w:t>
            </w:r>
          </w:p>
        </w:tc>
        <w:tc>
          <w:tcPr>
            <w:tcW w:w="567" w:type="dxa"/>
          </w:tcPr>
          <w:p w14:paraId="77C22DDB"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6F661986"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Т(1-100)</w:t>
            </w:r>
          </w:p>
        </w:tc>
        <w:tc>
          <w:tcPr>
            <w:tcW w:w="567" w:type="dxa"/>
          </w:tcPr>
          <w:p w14:paraId="3AEE2A55" w14:textId="77777777" w:rsidR="00AD1F54" w:rsidRPr="00264D5D" w:rsidRDefault="00941227">
            <w:pPr>
              <w:pStyle w:val="EBTablenorm"/>
              <w:ind w:left="57" w:right="57"/>
              <w:contextualSpacing w:val="0"/>
              <w:jc w:val="center"/>
              <w:rPr>
                <w:sz w:val="22"/>
                <w:szCs w:val="22"/>
                <w:lang w:val="en-US"/>
              </w:rPr>
            </w:pPr>
            <w:r w:rsidRPr="00264D5D">
              <w:rPr>
                <w:sz w:val="22"/>
                <w:szCs w:val="22"/>
                <w:lang w:val="en-US"/>
              </w:rPr>
              <w:t>Н</w:t>
            </w:r>
          </w:p>
        </w:tc>
        <w:tc>
          <w:tcPr>
            <w:tcW w:w="3963" w:type="dxa"/>
          </w:tcPr>
          <w:p w14:paraId="5DDAD412" w14:textId="77777777" w:rsidR="00AD1F54" w:rsidRPr="00264D5D" w:rsidRDefault="00941227">
            <w:pPr>
              <w:pStyle w:val="EBTablenorm"/>
              <w:ind w:left="57" w:right="57"/>
              <w:contextualSpacing w:val="0"/>
              <w:rPr>
                <w:sz w:val="22"/>
                <w:szCs w:val="22"/>
              </w:rPr>
            </w:pPr>
            <w:r w:rsidRPr="00264D5D">
              <w:rPr>
                <w:sz w:val="22"/>
                <w:szCs w:val="22"/>
              </w:rPr>
              <w:t>Наименовани</w:t>
            </w:r>
            <w:r w:rsidR="00B83EE9" w:rsidRPr="00264D5D">
              <w:rPr>
                <w:sz w:val="22"/>
                <w:szCs w:val="22"/>
              </w:rPr>
              <w:t>е элемента улично-дорожной сети</w:t>
            </w:r>
          </w:p>
        </w:tc>
      </w:tr>
      <w:tr w:rsidR="00AD1F54" w:rsidRPr="00264D5D" w14:paraId="5503888C"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CE2E81F" w14:textId="77777777" w:rsidR="00AD1F54" w:rsidRPr="00264D5D" w:rsidRDefault="00941227">
            <w:pPr>
              <w:pStyle w:val="EBTablenorm"/>
              <w:ind w:left="57" w:right="57"/>
              <w:contextualSpacing w:val="0"/>
              <w:rPr>
                <w:sz w:val="22"/>
                <w:szCs w:val="22"/>
              </w:rPr>
            </w:pPr>
            <w:r w:rsidRPr="00264D5D">
              <w:rPr>
                <w:sz w:val="22"/>
                <w:szCs w:val="22"/>
                <w:lang w:val="en-US"/>
              </w:rPr>
              <w:t>Тип здания, сооружения</w:t>
            </w:r>
          </w:p>
        </w:tc>
        <w:tc>
          <w:tcPr>
            <w:tcW w:w="1701" w:type="dxa"/>
          </w:tcPr>
          <w:p w14:paraId="17EFCAA0" w14:textId="77777777" w:rsidR="00AD1F54" w:rsidRPr="00264D5D" w:rsidRDefault="00941227">
            <w:pPr>
              <w:pStyle w:val="EBTablenorm"/>
              <w:ind w:left="57" w:right="57"/>
              <w:contextualSpacing w:val="0"/>
              <w:rPr>
                <w:sz w:val="22"/>
                <w:szCs w:val="22"/>
                <w:lang w:val="en-US"/>
              </w:rPr>
            </w:pPr>
            <w:r w:rsidRPr="00264D5D">
              <w:rPr>
                <w:sz w:val="22"/>
                <w:szCs w:val="22"/>
                <w:lang w:val="en-US"/>
              </w:rPr>
              <w:t>FrgnBldngResType</w:t>
            </w:r>
          </w:p>
        </w:tc>
        <w:tc>
          <w:tcPr>
            <w:tcW w:w="567" w:type="dxa"/>
          </w:tcPr>
          <w:p w14:paraId="653D1C09"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74698325"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Т(1-100)</w:t>
            </w:r>
          </w:p>
        </w:tc>
        <w:tc>
          <w:tcPr>
            <w:tcW w:w="567" w:type="dxa"/>
          </w:tcPr>
          <w:p w14:paraId="0ED928A4" w14:textId="77777777" w:rsidR="00AD1F54" w:rsidRPr="00264D5D" w:rsidRDefault="00941227">
            <w:pPr>
              <w:pStyle w:val="EBTablenorm"/>
              <w:ind w:left="57" w:right="57"/>
              <w:contextualSpacing w:val="0"/>
              <w:jc w:val="center"/>
              <w:rPr>
                <w:sz w:val="22"/>
                <w:szCs w:val="22"/>
                <w:lang w:val="en-US"/>
              </w:rPr>
            </w:pPr>
            <w:r w:rsidRPr="00264D5D">
              <w:rPr>
                <w:sz w:val="22"/>
                <w:szCs w:val="22"/>
                <w:lang w:val="en-US"/>
              </w:rPr>
              <w:t>О</w:t>
            </w:r>
          </w:p>
        </w:tc>
        <w:tc>
          <w:tcPr>
            <w:tcW w:w="3963" w:type="dxa"/>
          </w:tcPr>
          <w:p w14:paraId="3BF8DB58" w14:textId="77777777" w:rsidR="00AD1F54" w:rsidRPr="00264D5D" w:rsidRDefault="00941227">
            <w:pPr>
              <w:pStyle w:val="EBTablenorm"/>
              <w:ind w:left="57" w:right="57"/>
              <w:contextualSpacing w:val="0"/>
              <w:rPr>
                <w:sz w:val="22"/>
                <w:szCs w:val="22"/>
              </w:rPr>
            </w:pPr>
            <w:r w:rsidRPr="00264D5D">
              <w:rPr>
                <w:sz w:val="22"/>
                <w:szCs w:val="22"/>
                <w:lang w:val="en-US"/>
              </w:rPr>
              <w:t>Тип здания, сооружения</w:t>
            </w:r>
          </w:p>
        </w:tc>
      </w:tr>
      <w:tr w:rsidR="00AD1F54" w:rsidRPr="00264D5D" w14:paraId="5D9A0312"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039A4AF0" w14:textId="77777777" w:rsidR="00AD1F54" w:rsidRPr="00264D5D" w:rsidRDefault="00941227">
            <w:pPr>
              <w:pStyle w:val="EBTablenorm"/>
              <w:ind w:left="57" w:right="57"/>
              <w:contextualSpacing w:val="0"/>
              <w:rPr>
                <w:sz w:val="22"/>
                <w:szCs w:val="22"/>
                <w:lang w:val="en-US"/>
              </w:rPr>
            </w:pPr>
            <w:r w:rsidRPr="00264D5D">
              <w:rPr>
                <w:sz w:val="22"/>
                <w:szCs w:val="22"/>
              </w:rPr>
              <w:t>Номер здания, сооружения</w:t>
            </w:r>
          </w:p>
        </w:tc>
        <w:tc>
          <w:tcPr>
            <w:tcW w:w="1701" w:type="dxa"/>
          </w:tcPr>
          <w:p w14:paraId="51399820" w14:textId="77777777" w:rsidR="00AD1F54" w:rsidRPr="00264D5D" w:rsidRDefault="00941227">
            <w:pPr>
              <w:pStyle w:val="EBTablenorm"/>
              <w:ind w:left="57" w:right="57"/>
              <w:contextualSpacing w:val="0"/>
              <w:rPr>
                <w:sz w:val="22"/>
                <w:szCs w:val="22"/>
                <w:lang w:val="en-US"/>
              </w:rPr>
            </w:pPr>
            <w:r w:rsidRPr="00264D5D">
              <w:rPr>
                <w:sz w:val="22"/>
                <w:szCs w:val="22"/>
                <w:lang w:val="en-US"/>
              </w:rPr>
              <w:t>FrgnBldngResNum</w:t>
            </w:r>
          </w:p>
        </w:tc>
        <w:tc>
          <w:tcPr>
            <w:tcW w:w="567" w:type="dxa"/>
          </w:tcPr>
          <w:p w14:paraId="298DF3A5"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45C8C99F"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Т(1-100)</w:t>
            </w:r>
          </w:p>
        </w:tc>
        <w:tc>
          <w:tcPr>
            <w:tcW w:w="567" w:type="dxa"/>
          </w:tcPr>
          <w:p w14:paraId="42EBB9F2" w14:textId="77777777" w:rsidR="00AD1F54" w:rsidRPr="00264D5D" w:rsidRDefault="00941227">
            <w:pPr>
              <w:pStyle w:val="EBTablenorm"/>
              <w:ind w:left="57" w:right="57"/>
              <w:contextualSpacing w:val="0"/>
              <w:jc w:val="center"/>
              <w:rPr>
                <w:sz w:val="22"/>
                <w:szCs w:val="22"/>
                <w:lang w:val="en-US"/>
              </w:rPr>
            </w:pPr>
            <w:r w:rsidRPr="00264D5D">
              <w:rPr>
                <w:sz w:val="22"/>
                <w:szCs w:val="22"/>
                <w:lang w:val="en-US"/>
              </w:rPr>
              <w:t>О</w:t>
            </w:r>
          </w:p>
        </w:tc>
        <w:tc>
          <w:tcPr>
            <w:tcW w:w="3963" w:type="dxa"/>
          </w:tcPr>
          <w:p w14:paraId="684942F1" w14:textId="77777777" w:rsidR="00AD1F54" w:rsidRPr="00264D5D" w:rsidRDefault="00941227">
            <w:pPr>
              <w:pStyle w:val="EBTablenorm"/>
              <w:ind w:left="57" w:right="57"/>
              <w:contextualSpacing w:val="0"/>
              <w:rPr>
                <w:sz w:val="22"/>
                <w:szCs w:val="22"/>
              </w:rPr>
            </w:pPr>
            <w:r w:rsidRPr="00264D5D">
              <w:rPr>
                <w:sz w:val="22"/>
                <w:szCs w:val="22"/>
              </w:rPr>
              <w:t>Номер здани</w:t>
            </w:r>
            <w:r w:rsidR="00B83EE9" w:rsidRPr="00264D5D">
              <w:rPr>
                <w:sz w:val="22"/>
                <w:szCs w:val="22"/>
              </w:rPr>
              <w:t>я, сооружения</w:t>
            </w:r>
          </w:p>
        </w:tc>
      </w:tr>
      <w:tr w:rsidR="00AD1F54" w:rsidRPr="00264D5D" w14:paraId="782317D4"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7874BC7A" w14:textId="77777777" w:rsidR="00AD1F54" w:rsidRPr="00264D5D" w:rsidRDefault="00941227">
            <w:pPr>
              <w:pStyle w:val="EBTablenorm"/>
              <w:ind w:left="57" w:right="57"/>
              <w:contextualSpacing w:val="0"/>
              <w:rPr>
                <w:sz w:val="22"/>
                <w:szCs w:val="22"/>
              </w:rPr>
            </w:pPr>
            <w:r w:rsidRPr="00264D5D">
              <w:rPr>
                <w:sz w:val="22"/>
                <w:szCs w:val="22"/>
              </w:rPr>
              <w:t>Тип помещения</w:t>
            </w:r>
          </w:p>
        </w:tc>
        <w:tc>
          <w:tcPr>
            <w:tcW w:w="1701" w:type="dxa"/>
          </w:tcPr>
          <w:p w14:paraId="316F8696" w14:textId="77777777" w:rsidR="00AD1F54" w:rsidRPr="00264D5D" w:rsidRDefault="00941227">
            <w:pPr>
              <w:pStyle w:val="EBTablenorm"/>
              <w:ind w:left="57" w:right="57"/>
              <w:contextualSpacing w:val="0"/>
              <w:rPr>
                <w:sz w:val="22"/>
                <w:szCs w:val="22"/>
              </w:rPr>
            </w:pPr>
            <w:r w:rsidRPr="00264D5D">
              <w:rPr>
                <w:sz w:val="22"/>
                <w:szCs w:val="22"/>
                <w:lang w:val="en-US"/>
              </w:rPr>
              <w:t>FrgnAprtmntResType</w:t>
            </w:r>
          </w:p>
        </w:tc>
        <w:tc>
          <w:tcPr>
            <w:tcW w:w="567" w:type="dxa"/>
          </w:tcPr>
          <w:p w14:paraId="1E8B027C"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55EB084B" w14:textId="77777777" w:rsidR="00AD1F54" w:rsidRPr="00264D5D" w:rsidRDefault="00941227">
            <w:pPr>
              <w:pStyle w:val="EBTablenorm"/>
              <w:ind w:left="57" w:right="57"/>
              <w:contextualSpacing w:val="0"/>
              <w:jc w:val="left"/>
              <w:rPr>
                <w:sz w:val="22"/>
                <w:szCs w:val="22"/>
              </w:rPr>
            </w:pPr>
            <w:r w:rsidRPr="00264D5D">
              <w:rPr>
                <w:sz w:val="22"/>
                <w:szCs w:val="22"/>
              </w:rPr>
              <w:t>Т(1-100)</w:t>
            </w:r>
          </w:p>
        </w:tc>
        <w:tc>
          <w:tcPr>
            <w:tcW w:w="567" w:type="dxa"/>
          </w:tcPr>
          <w:p w14:paraId="34A9F665" w14:textId="77777777" w:rsidR="00AD1F54" w:rsidRPr="00264D5D" w:rsidRDefault="00941227">
            <w:pPr>
              <w:pStyle w:val="EBTablenorm"/>
              <w:ind w:left="57" w:right="57"/>
              <w:contextualSpacing w:val="0"/>
              <w:jc w:val="center"/>
              <w:rPr>
                <w:sz w:val="22"/>
                <w:szCs w:val="22"/>
              </w:rPr>
            </w:pPr>
            <w:r w:rsidRPr="00264D5D">
              <w:rPr>
                <w:sz w:val="22"/>
                <w:szCs w:val="22"/>
              </w:rPr>
              <w:t>Н</w:t>
            </w:r>
          </w:p>
        </w:tc>
        <w:tc>
          <w:tcPr>
            <w:tcW w:w="3963" w:type="dxa"/>
          </w:tcPr>
          <w:p w14:paraId="775E4FAA" w14:textId="77777777" w:rsidR="00AD1F54" w:rsidRPr="00264D5D" w:rsidRDefault="00941227">
            <w:pPr>
              <w:pStyle w:val="EBTablenorm"/>
              <w:ind w:left="57" w:right="57"/>
              <w:contextualSpacing w:val="0"/>
              <w:rPr>
                <w:sz w:val="22"/>
                <w:szCs w:val="22"/>
              </w:rPr>
            </w:pPr>
            <w:r w:rsidRPr="00264D5D">
              <w:rPr>
                <w:sz w:val="22"/>
                <w:szCs w:val="22"/>
              </w:rPr>
              <w:t>Тип помещения, располо</w:t>
            </w:r>
            <w:r w:rsidR="00B83EE9" w:rsidRPr="00264D5D">
              <w:rPr>
                <w:sz w:val="22"/>
                <w:szCs w:val="22"/>
              </w:rPr>
              <w:t>женного в здании или сооружении</w:t>
            </w:r>
          </w:p>
        </w:tc>
      </w:tr>
      <w:tr w:rsidR="00AD1F54" w:rsidRPr="00264D5D" w14:paraId="2AC2A3EB"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5560F95" w14:textId="77777777" w:rsidR="00AD1F54" w:rsidRPr="00264D5D" w:rsidRDefault="00941227">
            <w:pPr>
              <w:pStyle w:val="EBTablenorm"/>
              <w:ind w:left="57" w:right="57"/>
              <w:contextualSpacing w:val="0"/>
              <w:rPr>
                <w:sz w:val="22"/>
                <w:szCs w:val="22"/>
              </w:rPr>
            </w:pPr>
            <w:r w:rsidRPr="00264D5D">
              <w:rPr>
                <w:sz w:val="22"/>
                <w:szCs w:val="22"/>
              </w:rPr>
              <w:t>Номер помещения</w:t>
            </w:r>
          </w:p>
        </w:tc>
        <w:tc>
          <w:tcPr>
            <w:tcW w:w="1701" w:type="dxa"/>
          </w:tcPr>
          <w:p w14:paraId="01A0B2CE" w14:textId="77777777" w:rsidR="00AD1F54" w:rsidRPr="00264D5D" w:rsidRDefault="00941227">
            <w:pPr>
              <w:pStyle w:val="EBTablenorm"/>
              <w:ind w:left="57" w:right="57"/>
              <w:contextualSpacing w:val="0"/>
              <w:rPr>
                <w:sz w:val="22"/>
                <w:szCs w:val="22"/>
              </w:rPr>
            </w:pPr>
            <w:r w:rsidRPr="00264D5D">
              <w:rPr>
                <w:sz w:val="22"/>
                <w:szCs w:val="22"/>
                <w:lang w:val="en-US"/>
              </w:rPr>
              <w:t>FrgnAprtmntResNum</w:t>
            </w:r>
          </w:p>
        </w:tc>
        <w:tc>
          <w:tcPr>
            <w:tcW w:w="567" w:type="dxa"/>
          </w:tcPr>
          <w:p w14:paraId="0CF83D10"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2A4B5972" w14:textId="77777777" w:rsidR="00AD1F54" w:rsidRPr="00264D5D" w:rsidRDefault="00941227">
            <w:pPr>
              <w:pStyle w:val="EBTablenorm"/>
              <w:ind w:left="57" w:right="57"/>
              <w:contextualSpacing w:val="0"/>
              <w:jc w:val="left"/>
              <w:rPr>
                <w:sz w:val="22"/>
                <w:szCs w:val="22"/>
                <w:lang w:val="en-US"/>
              </w:rPr>
            </w:pPr>
            <w:r w:rsidRPr="00264D5D">
              <w:rPr>
                <w:sz w:val="22"/>
                <w:szCs w:val="22"/>
              </w:rPr>
              <w:t>Т(</w:t>
            </w:r>
            <w:r w:rsidRPr="00264D5D">
              <w:rPr>
                <w:sz w:val="22"/>
                <w:szCs w:val="22"/>
                <w:lang w:val="en-US"/>
              </w:rPr>
              <w:t>1-100)</w:t>
            </w:r>
          </w:p>
        </w:tc>
        <w:tc>
          <w:tcPr>
            <w:tcW w:w="567" w:type="dxa"/>
          </w:tcPr>
          <w:p w14:paraId="27B32619" w14:textId="77777777" w:rsidR="00AD1F54" w:rsidRPr="00264D5D" w:rsidRDefault="00941227">
            <w:pPr>
              <w:pStyle w:val="EBTablenorm"/>
              <w:ind w:left="57" w:right="57"/>
              <w:contextualSpacing w:val="0"/>
              <w:jc w:val="center"/>
              <w:rPr>
                <w:sz w:val="22"/>
                <w:szCs w:val="22"/>
                <w:lang w:val="en-US"/>
              </w:rPr>
            </w:pPr>
            <w:r w:rsidRPr="00264D5D">
              <w:rPr>
                <w:sz w:val="22"/>
                <w:szCs w:val="22"/>
                <w:lang w:val="en-US"/>
              </w:rPr>
              <w:t>Н</w:t>
            </w:r>
          </w:p>
        </w:tc>
        <w:tc>
          <w:tcPr>
            <w:tcW w:w="3963" w:type="dxa"/>
          </w:tcPr>
          <w:p w14:paraId="1EC94757" w14:textId="77777777" w:rsidR="00AD1F54" w:rsidRPr="00264D5D" w:rsidRDefault="00941227">
            <w:pPr>
              <w:pStyle w:val="EBTablenorm"/>
              <w:ind w:left="57" w:right="57"/>
              <w:contextualSpacing w:val="0"/>
              <w:rPr>
                <w:sz w:val="22"/>
                <w:szCs w:val="22"/>
              </w:rPr>
            </w:pPr>
            <w:r w:rsidRPr="00264D5D">
              <w:rPr>
                <w:sz w:val="22"/>
                <w:szCs w:val="22"/>
              </w:rPr>
              <w:t>Номер помещения, располо</w:t>
            </w:r>
            <w:r w:rsidR="00B83EE9" w:rsidRPr="00264D5D">
              <w:rPr>
                <w:sz w:val="22"/>
                <w:szCs w:val="22"/>
              </w:rPr>
              <w:t>женного в здании или сооружении</w:t>
            </w:r>
          </w:p>
        </w:tc>
      </w:tr>
      <w:tr w:rsidR="00AD1F54" w:rsidRPr="00264D5D" w14:paraId="3A4F2AE8"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8173F43" w14:textId="77777777" w:rsidR="00AD1F54" w:rsidRPr="00264D5D" w:rsidRDefault="00941227">
            <w:pPr>
              <w:pStyle w:val="EBTablenorm"/>
              <w:ind w:left="57" w:right="57"/>
              <w:contextualSpacing w:val="0"/>
              <w:rPr>
                <w:sz w:val="22"/>
                <w:szCs w:val="22"/>
              </w:rPr>
            </w:pPr>
            <w:r w:rsidRPr="00264D5D">
              <w:rPr>
                <w:sz w:val="22"/>
                <w:szCs w:val="22"/>
                <w:lang w:val="en-US"/>
              </w:rPr>
              <w:t>Номера телефонов</w:t>
            </w:r>
          </w:p>
        </w:tc>
        <w:tc>
          <w:tcPr>
            <w:tcW w:w="1701" w:type="dxa"/>
          </w:tcPr>
          <w:p w14:paraId="7EE290BD" w14:textId="77777777" w:rsidR="00AD1F54" w:rsidRPr="00264D5D" w:rsidRDefault="00941227">
            <w:pPr>
              <w:pStyle w:val="EBTablenorm"/>
              <w:ind w:left="57" w:right="57"/>
              <w:contextualSpacing w:val="0"/>
              <w:rPr>
                <w:sz w:val="22"/>
                <w:szCs w:val="22"/>
                <w:lang w:val="en-US"/>
              </w:rPr>
            </w:pPr>
            <w:r w:rsidRPr="00264D5D">
              <w:rPr>
                <w:sz w:val="22"/>
                <w:szCs w:val="22"/>
                <w:lang w:val="en-US"/>
              </w:rPr>
              <w:t>FrgnTelResNum</w:t>
            </w:r>
          </w:p>
        </w:tc>
        <w:tc>
          <w:tcPr>
            <w:tcW w:w="567" w:type="dxa"/>
          </w:tcPr>
          <w:p w14:paraId="54D7AF56"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716E6476"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Т(1-100)</w:t>
            </w:r>
          </w:p>
        </w:tc>
        <w:tc>
          <w:tcPr>
            <w:tcW w:w="567" w:type="dxa"/>
          </w:tcPr>
          <w:p w14:paraId="3310E420" w14:textId="77777777" w:rsidR="00AD1F54" w:rsidRPr="00264D5D" w:rsidRDefault="00941227">
            <w:pPr>
              <w:pStyle w:val="EBTablenorm"/>
              <w:ind w:left="57" w:right="57"/>
              <w:contextualSpacing w:val="0"/>
              <w:jc w:val="center"/>
              <w:rPr>
                <w:sz w:val="22"/>
                <w:szCs w:val="22"/>
                <w:lang w:val="en-US"/>
              </w:rPr>
            </w:pPr>
            <w:r w:rsidRPr="00264D5D">
              <w:rPr>
                <w:sz w:val="22"/>
                <w:szCs w:val="22"/>
                <w:lang w:val="en-US"/>
              </w:rPr>
              <w:t>Н</w:t>
            </w:r>
          </w:p>
        </w:tc>
        <w:tc>
          <w:tcPr>
            <w:tcW w:w="3963" w:type="dxa"/>
          </w:tcPr>
          <w:p w14:paraId="2A0C70C6" w14:textId="77777777" w:rsidR="00AD1F54" w:rsidRPr="00264D5D" w:rsidRDefault="00941227">
            <w:pPr>
              <w:pStyle w:val="EBTablenorm"/>
              <w:ind w:left="57" w:right="57"/>
              <w:contextualSpacing w:val="0"/>
              <w:rPr>
                <w:sz w:val="22"/>
                <w:szCs w:val="22"/>
              </w:rPr>
            </w:pPr>
            <w:r w:rsidRPr="00264D5D">
              <w:rPr>
                <w:sz w:val="22"/>
                <w:szCs w:val="22"/>
                <w:lang w:val="en-US"/>
              </w:rPr>
              <w:t>Номера телефонов</w:t>
            </w:r>
          </w:p>
        </w:tc>
      </w:tr>
      <w:tr w:rsidR="00AD1F54" w:rsidRPr="00264D5D" w14:paraId="7FA94F95"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0A2DCAFE" w14:textId="77777777" w:rsidR="00AD1F54" w:rsidRPr="00264D5D" w:rsidRDefault="00941227">
            <w:pPr>
              <w:pStyle w:val="EBTablenorm"/>
              <w:ind w:left="57" w:right="57"/>
              <w:contextualSpacing w:val="0"/>
              <w:rPr>
                <w:sz w:val="22"/>
                <w:szCs w:val="22"/>
                <w:lang w:val="en-US"/>
              </w:rPr>
            </w:pPr>
            <w:r w:rsidRPr="00264D5D">
              <w:rPr>
                <w:sz w:val="22"/>
                <w:szCs w:val="22"/>
                <w:lang w:val="en-US"/>
              </w:rPr>
              <w:t>Адреса электронной почты</w:t>
            </w:r>
          </w:p>
        </w:tc>
        <w:tc>
          <w:tcPr>
            <w:tcW w:w="1701" w:type="dxa"/>
          </w:tcPr>
          <w:p w14:paraId="19D13B68" w14:textId="77777777" w:rsidR="00AD1F54" w:rsidRPr="00264D5D" w:rsidRDefault="00941227">
            <w:pPr>
              <w:pStyle w:val="EBTablenorm"/>
              <w:ind w:left="57" w:right="57"/>
              <w:contextualSpacing w:val="0"/>
              <w:rPr>
                <w:sz w:val="22"/>
                <w:szCs w:val="22"/>
                <w:lang w:val="en-US"/>
              </w:rPr>
            </w:pPr>
            <w:r w:rsidRPr="00264D5D">
              <w:rPr>
                <w:sz w:val="22"/>
                <w:szCs w:val="22"/>
                <w:lang w:val="en-US"/>
              </w:rPr>
              <w:t>FrgnResMail</w:t>
            </w:r>
          </w:p>
        </w:tc>
        <w:tc>
          <w:tcPr>
            <w:tcW w:w="567" w:type="dxa"/>
          </w:tcPr>
          <w:p w14:paraId="0AE0C30D"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6BA77B06"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Т(1-100)</w:t>
            </w:r>
          </w:p>
        </w:tc>
        <w:tc>
          <w:tcPr>
            <w:tcW w:w="567" w:type="dxa"/>
          </w:tcPr>
          <w:p w14:paraId="132782F4" w14:textId="77777777" w:rsidR="00AD1F54" w:rsidRPr="00264D5D" w:rsidRDefault="00941227">
            <w:pPr>
              <w:pStyle w:val="EBTablenorm"/>
              <w:ind w:left="57" w:right="57"/>
              <w:contextualSpacing w:val="0"/>
              <w:jc w:val="center"/>
              <w:rPr>
                <w:sz w:val="22"/>
                <w:szCs w:val="22"/>
                <w:lang w:val="en-US"/>
              </w:rPr>
            </w:pPr>
            <w:r w:rsidRPr="00264D5D">
              <w:rPr>
                <w:sz w:val="22"/>
                <w:szCs w:val="22"/>
                <w:lang w:val="en-US"/>
              </w:rPr>
              <w:t>Н</w:t>
            </w:r>
          </w:p>
        </w:tc>
        <w:tc>
          <w:tcPr>
            <w:tcW w:w="3963" w:type="dxa"/>
          </w:tcPr>
          <w:p w14:paraId="6DD78229" w14:textId="77777777" w:rsidR="00AD1F54" w:rsidRPr="00264D5D" w:rsidRDefault="00941227">
            <w:pPr>
              <w:pStyle w:val="EBTablenorm"/>
              <w:ind w:left="57" w:right="57"/>
              <w:contextualSpacing w:val="0"/>
              <w:rPr>
                <w:sz w:val="22"/>
                <w:szCs w:val="22"/>
              </w:rPr>
            </w:pPr>
            <w:r w:rsidRPr="00264D5D">
              <w:rPr>
                <w:sz w:val="22"/>
                <w:szCs w:val="22"/>
                <w:lang w:val="en-US"/>
              </w:rPr>
              <w:t>Адреса электронной почты</w:t>
            </w:r>
          </w:p>
        </w:tc>
      </w:tr>
    </w:tbl>
    <w:p w14:paraId="1D5F0E87" w14:textId="77777777" w:rsidR="00AD1F54" w:rsidRPr="00264D5D" w:rsidRDefault="00941227">
      <w:pPr>
        <w:pStyle w:val="31"/>
      </w:pPr>
      <w:bookmarkStart w:id="1945" w:name="_Toc493090495"/>
      <w:bookmarkStart w:id="1946" w:name="_Toc496984028"/>
      <w:bookmarkStart w:id="1947" w:name="_Toc219309663"/>
      <w:r w:rsidRPr="00264D5D">
        <w:t>Описание комплексного типа «tGRBSLS»</w:t>
      </w:r>
      <w:bookmarkEnd w:id="1945"/>
      <w:bookmarkEnd w:id="1946"/>
      <w:bookmarkEnd w:id="1947"/>
    </w:p>
    <w:p w14:paraId="62BD0D35" w14:textId="77777777" w:rsidR="00AD1F54" w:rsidRPr="00264D5D" w:rsidRDefault="00941227">
      <w:pPr>
        <w:spacing w:before="60" w:after="120"/>
        <w:ind w:firstLine="567"/>
        <w:rPr>
          <w:rFonts w:eastAsia="Calibri"/>
          <w:szCs w:val="24"/>
        </w:rPr>
      </w:pPr>
      <w:r w:rsidRPr="00264D5D">
        <w:rPr>
          <w:rFonts w:eastAsia="Calibri"/>
          <w:szCs w:val="24"/>
        </w:rPr>
        <w:t xml:space="preserve">Описание комплексного типа «tGRBSLS» </w:t>
      </w:r>
      <w:r w:rsidRPr="00264D5D">
        <w:t xml:space="preserve">блока </w:t>
      </w:r>
      <w:r w:rsidRPr="00264D5D">
        <w:rPr>
          <w:rFonts w:eastAsia="Calibri"/>
          <w:szCs w:val="24"/>
        </w:rPr>
        <w:t>«Лицевой счет ГРБС».</w:t>
      </w:r>
    </w:p>
    <w:p w14:paraId="09B0A4FD" w14:textId="5D67A011" w:rsidR="00AD1F54" w:rsidRPr="00264D5D" w:rsidRDefault="00941227">
      <w:pPr>
        <w:pStyle w:val="GOSTNameTable"/>
        <w:numPr>
          <w:ilvl w:val="0"/>
          <w:numId w:val="2"/>
        </w:numPr>
        <w:ind w:left="425" w:hanging="357"/>
        <w:rPr>
          <w:rFonts w:eastAsia="Calibri"/>
          <w:szCs w:val="24"/>
        </w:rPr>
      </w:pPr>
      <w:r w:rsidRPr="00264D5D">
        <w:rPr>
          <w:rFonts w:eastAsia="Calibri"/>
          <w:szCs w:val="24"/>
        </w:rPr>
        <w:lastRenderedPageBreak/>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1948" w:name="_Ref494363773"/>
      <w:bookmarkStart w:id="1949" w:name="_Toc30503380"/>
      <w:bookmarkStart w:id="1950" w:name="_Toc30507978"/>
      <w:bookmarkStart w:id="1951" w:name="_Toc219309231"/>
      <w:r w:rsidR="008D797C">
        <w:rPr>
          <w:rFonts w:eastAsia="Calibri"/>
          <w:noProof/>
          <w:szCs w:val="24"/>
        </w:rPr>
        <w:t>201</w:t>
      </w:r>
      <w:bookmarkEnd w:id="1948"/>
      <w:r w:rsidRPr="00264D5D">
        <w:rPr>
          <w:rFonts w:eastAsia="Calibri"/>
          <w:szCs w:val="24"/>
        </w:rPr>
        <w:fldChar w:fldCharType="end"/>
      </w:r>
      <w:r w:rsidRPr="00264D5D">
        <w:rPr>
          <w:rFonts w:eastAsia="Calibri"/>
          <w:szCs w:val="24"/>
        </w:rPr>
        <w:t xml:space="preserve"> – Описание комплексного типа «tGRBSLS»</w:t>
      </w:r>
      <w:bookmarkEnd w:id="1949"/>
      <w:bookmarkEnd w:id="1950"/>
      <w:bookmarkEnd w:id="1951"/>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3A0FF49E"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58B6459E" w14:textId="77777777" w:rsidR="00AD1F54" w:rsidRPr="00264D5D" w:rsidRDefault="00941227">
            <w:pPr>
              <w:pStyle w:val="EBTableHead"/>
              <w:ind w:left="57" w:right="57"/>
              <w:contextualSpacing w:val="0"/>
              <w:rPr>
                <w:sz w:val="22"/>
                <w:szCs w:val="22"/>
              </w:rPr>
            </w:pPr>
            <w:r w:rsidRPr="00264D5D">
              <w:rPr>
                <w:bCs w:val="0"/>
                <w:sz w:val="22"/>
                <w:szCs w:val="22"/>
              </w:rPr>
              <w:t>Наименование элемента</w:t>
            </w:r>
          </w:p>
        </w:tc>
        <w:tc>
          <w:tcPr>
            <w:tcW w:w="1701" w:type="dxa"/>
          </w:tcPr>
          <w:p w14:paraId="639991B8" w14:textId="77777777" w:rsidR="00AD1F54" w:rsidRPr="00264D5D" w:rsidRDefault="00941227">
            <w:pPr>
              <w:pStyle w:val="EBTableHead"/>
              <w:ind w:left="57" w:right="57"/>
              <w:contextualSpacing w:val="0"/>
              <w:rPr>
                <w:sz w:val="22"/>
                <w:szCs w:val="22"/>
              </w:rPr>
            </w:pPr>
            <w:r w:rsidRPr="00264D5D">
              <w:rPr>
                <w:bCs w:val="0"/>
                <w:sz w:val="22"/>
                <w:szCs w:val="22"/>
              </w:rPr>
              <w:t>Сокращенное наименование (код) элемента</w:t>
            </w:r>
          </w:p>
        </w:tc>
        <w:tc>
          <w:tcPr>
            <w:tcW w:w="567" w:type="dxa"/>
          </w:tcPr>
          <w:p w14:paraId="15781916" w14:textId="77777777" w:rsidR="00AD1F54" w:rsidRPr="00264D5D" w:rsidRDefault="00941227">
            <w:pPr>
              <w:pStyle w:val="EBTableHead"/>
              <w:ind w:left="57" w:right="57"/>
              <w:contextualSpacing w:val="0"/>
              <w:rPr>
                <w:sz w:val="22"/>
                <w:szCs w:val="22"/>
              </w:rPr>
            </w:pPr>
            <w:r w:rsidRPr="00264D5D">
              <w:rPr>
                <w:bCs w:val="0"/>
                <w:sz w:val="22"/>
                <w:szCs w:val="22"/>
              </w:rPr>
              <w:t>Тип</w:t>
            </w:r>
          </w:p>
        </w:tc>
        <w:tc>
          <w:tcPr>
            <w:tcW w:w="1134" w:type="dxa"/>
          </w:tcPr>
          <w:p w14:paraId="3B672148" w14:textId="77777777" w:rsidR="00AD1F54" w:rsidRPr="00264D5D" w:rsidRDefault="00941227">
            <w:pPr>
              <w:pStyle w:val="EBTableHead"/>
              <w:ind w:left="57" w:right="57"/>
              <w:contextualSpacing w:val="0"/>
              <w:rPr>
                <w:sz w:val="22"/>
                <w:szCs w:val="22"/>
              </w:rPr>
            </w:pPr>
            <w:r w:rsidRPr="00264D5D">
              <w:rPr>
                <w:bCs w:val="0"/>
                <w:sz w:val="22"/>
                <w:szCs w:val="22"/>
              </w:rPr>
              <w:t>Формат элемента</w:t>
            </w:r>
          </w:p>
        </w:tc>
        <w:tc>
          <w:tcPr>
            <w:tcW w:w="567" w:type="dxa"/>
          </w:tcPr>
          <w:p w14:paraId="7E749B26" w14:textId="77777777" w:rsidR="00AD1F54" w:rsidRPr="00264D5D" w:rsidRDefault="00941227">
            <w:pPr>
              <w:spacing w:before="60" w:after="60"/>
              <w:ind w:left="57" w:right="57"/>
              <w:jc w:val="center"/>
              <w:rPr>
                <w:b/>
                <w:bCs/>
                <w:sz w:val="22"/>
                <w:szCs w:val="22"/>
              </w:rPr>
            </w:pPr>
            <w:r w:rsidRPr="00264D5D">
              <w:rPr>
                <w:b/>
                <w:bCs/>
                <w:sz w:val="22"/>
                <w:szCs w:val="22"/>
              </w:rPr>
              <w:t>Обязательность</w:t>
            </w:r>
          </w:p>
        </w:tc>
        <w:tc>
          <w:tcPr>
            <w:tcW w:w="3963" w:type="dxa"/>
          </w:tcPr>
          <w:p w14:paraId="5A70F265" w14:textId="77777777" w:rsidR="00AD1F54" w:rsidRPr="00264D5D" w:rsidRDefault="00941227">
            <w:pPr>
              <w:pStyle w:val="EBTableHead"/>
              <w:ind w:left="57" w:right="57"/>
              <w:contextualSpacing w:val="0"/>
              <w:rPr>
                <w:sz w:val="22"/>
                <w:szCs w:val="22"/>
              </w:rPr>
            </w:pPr>
            <w:r w:rsidRPr="00264D5D">
              <w:rPr>
                <w:bCs w:val="0"/>
                <w:sz w:val="22"/>
                <w:szCs w:val="22"/>
              </w:rPr>
              <w:t>Дополнительная информация</w:t>
            </w:r>
          </w:p>
        </w:tc>
      </w:tr>
      <w:tr w:rsidR="00AD1F54" w:rsidRPr="00264D5D" w14:paraId="30E50C1B"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12828C5" w14:textId="77777777" w:rsidR="00AD1F54" w:rsidRPr="00264D5D" w:rsidRDefault="00941227">
            <w:pPr>
              <w:pStyle w:val="EBTablenorm"/>
              <w:ind w:left="57" w:right="57"/>
              <w:contextualSpacing w:val="0"/>
              <w:rPr>
                <w:sz w:val="22"/>
                <w:szCs w:val="22"/>
              </w:rPr>
            </w:pPr>
            <w:r w:rsidRPr="00264D5D">
              <w:rPr>
                <w:sz w:val="22"/>
                <w:szCs w:val="22"/>
              </w:rPr>
              <w:t>Номер лицевого счета</w:t>
            </w:r>
          </w:p>
        </w:tc>
        <w:tc>
          <w:tcPr>
            <w:tcW w:w="1701" w:type="dxa"/>
          </w:tcPr>
          <w:p w14:paraId="4CB0B919" w14:textId="77777777" w:rsidR="00AD1F54" w:rsidRPr="00264D5D" w:rsidRDefault="00941227">
            <w:pPr>
              <w:pStyle w:val="EBTablenorm"/>
              <w:ind w:left="57" w:right="57"/>
              <w:contextualSpacing w:val="0"/>
              <w:rPr>
                <w:sz w:val="22"/>
                <w:szCs w:val="22"/>
                <w:lang w:val="en-US"/>
              </w:rPr>
            </w:pPr>
            <w:r w:rsidRPr="00264D5D">
              <w:rPr>
                <w:sz w:val="22"/>
                <w:szCs w:val="22"/>
                <w:lang w:val="en-US"/>
              </w:rPr>
              <w:t>GRBSAcNum</w:t>
            </w:r>
          </w:p>
        </w:tc>
        <w:tc>
          <w:tcPr>
            <w:tcW w:w="567" w:type="dxa"/>
          </w:tcPr>
          <w:p w14:paraId="32B9E261"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202E651A"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Т(11)</w:t>
            </w:r>
          </w:p>
        </w:tc>
        <w:tc>
          <w:tcPr>
            <w:tcW w:w="567" w:type="dxa"/>
          </w:tcPr>
          <w:p w14:paraId="2EE96353" w14:textId="77777777" w:rsidR="00AD1F54" w:rsidRPr="00264D5D" w:rsidRDefault="00941227">
            <w:pPr>
              <w:pStyle w:val="EBTablenorm"/>
              <w:ind w:left="57" w:right="57"/>
              <w:contextualSpacing w:val="0"/>
              <w:jc w:val="center"/>
              <w:rPr>
                <w:sz w:val="22"/>
                <w:szCs w:val="22"/>
                <w:lang w:val="en-US"/>
              </w:rPr>
            </w:pPr>
            <w:r w:rsidRPr="00264D5D">
              <w:rPr>
                <w:sz w:val="22"/>
                <w:szCs w:val="22"/>
                <w:lang w:val="en-US"/>
              </w:rPr>
              <w:t>О</w:t>
            </w:r>
          </w:p>
        </w:tc>
        <w:tc>
          <w:tcPr>
            <w:tcW w:w="3963" w:type="dxa"/>
          </w:tcPr>
          <w:p w14:paraId="4A942890" w14:textId="77777777" w:rsidR="00AD1F54" w:rsidRPr="00264D5D" w:rsidRDefault="00B83EE9">
            <w:pPr>
              <w:pStyle w:val="EBTablenorm"/>
              <w:ind w:left="57" w:right="57"/>
              <w:contextualSpacing w:val="0"/>
              <w:rPr>
                <w:sz w:val="22"/>
                <w:szCs w:val="22"/>
                <w:lang w:val="en-US"/>
              </w:rPr>
            </w:pPr>
            <w:r w:rsidRPr="00264D5D">
              <w:rPr>
                <w:sz w:val="22"/>
                <w:szCs w:val="22"/>
              </w:rPr>
              <w:t>Номер лицевого счета</w:t>
            </w:r>
          </w:p>
        </w:tc>
      </w:tr>
      <w:tr w:rsidR="00AD1F54" w:rsidRPr="00264D5D" w14:paraId="401F5213"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5E0E41F2" w14:textId="77777777" w:rsidR="00AD1F54" w:rsidRPr="00264D5D" w:rsidRDefault="00941227">
            <w:pPr>
              <w:pStyle w:val="EBTablenorm"/>
              <w:ind w:left="57" w:right="57"/>
              <w:contextualSpacing w:val="0"/>
              <w:rPr>
                <w:sz w:val="22"/>
                <w:szCs w:val="22"/>
                <w:lang w:val="en-US"/>
              </w:rPr>
            </w:pPr>
            <w:r w:rsidRPr="00264D5D">
              <w:rPr>
                <w:sz w:val="22"/>
                <w:szCs w:val="22"/>
              </w:rPr>
              <w:t>Код ТОФК</w:t>
            </w:r>
          </w:p>
        </w:tc>
        <w:tc>
          <w:tcPr>
            <w:tcW w:w="1701" w:type="dxa"/>
          </w:tcPr>
          <w:p w14:paraId="6404CE75" w14:textId="77777777" w:rsidR="00AD1F54" w:rsidRPr="00264D5D" w:rsidRDefault="00941227">
            <w:pPr>
              <w:pStyle w:val="EBTablenorm"/>
              <w:ind w:left="57" w:right="57"/>
              <w:contextualSpacing w:val="0"/>
              <w:rPr>
                <w:sz w:val="22"/>
                <w:szCs w:val="22"/>
                <w:lang w:val="en-US"/>
              </w:rPr>
            </w:pPr>
            <w:r w:rsidRPr="00264D5D">
              <w:rPr>
                <w:sz w:val="22"/>
                <w:szCs w:val="22"/>
                <w:lang w:val="en-US"/>
              </w:rPr>
              <w:t>TOFKCode</w:t>
            </w:r>
          </w:p>
        </w:tc>
        <w:tc>
          <w:tcPr>
            <w:tcW w:w="567" w:type="dxa"/>
          </w:tcPr>
          <w:p w14:paraId="27714DC6"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40C174A7"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Т(4)</w:t>
            </w:r>
          </w:p>
        </w:tc>
        <w:tc>
          <w:tcPr>
            <w:tcW w:w="567" w:type="dxa"/>
          </w:tcPr>
          <w:p w14:paraId="58A50EB2" w14:textId="77777777" w:rsidR="00AD1F54" w:rsidRPr="00264D5D" w:rsidRDefault="00941227">
            <w:pPr>
              <w:pStyle w:val="EBTablenorm"/>
              <w:ind w:left="57" w:right="57"/>
              <w:contextualSpacing w:val="0"/>
              <w:jc w:val="center"/>
              <w:rPr>
                <w:sz w:val="22"/>
                <w:szCs w:val="22"/>
                <w:lang w:val="en-US"/>
              </w:rPr>
            </w:pPr>
            <w:r w:rsidRPr="00264D5D">
              <w:rPr>
                <w:sz w:val="22"/>
                <w:szCs w:val="22"/>
                <w:lang w:val="en-US"/>
              </w:rPr>
              <w:t>О</w:t>
            </w:r>
          </w:p>
        </w:tc>
        <w:tc>
          <w:tcPr>
            <w:tcW w:w="3963" w:type="dxa"/>
          </w:tcPr>
          <w:p w14:paraId="4F31AF4F" w14:textId="77777777" w:rsidR="00AD1F54" w:rsidRPr="00264D5D" w:rsidRDefault="00B83EE9">
            <w:pPr>
              <w:pStyle w:val="EBTablenorm"/>
              <w:ind w:left="57" w:right="57"/>
              <w:contextualSpacing w:val="0"/>
              <w:rPr>
                <w:sz w:val="22"/>
                <w:szCs w:val="22"/>
              </w:rPr>
            </w:pPr>
            <w:r w:rsidRPr="00264D5D">
              <w:rPr>
                <w:sz w:val="22"/>
                <w:szCs w:val="22"/>
              </w:rPr>
              <w:t>Код ТОФК</w:t>
            </w:r>
          </w:p>
        </w:tc>
      </w:tr>
      <w:tr w:rsidR="00AD1F54" w:rsidRPr="00264D5D" w14:paraId="033958E3"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C9C7DB8" w14:textId="77777777" w:rsidR="00AD1F54" w:rsidRPr="00264D5D" w:rsidRDefault="00941227">
            <w:pPr>
              <w:pStyle w:val="EBTablenorm"/>
              <w:ind w:left="57" w:right="57"/>
              <w:contextualSpacing w:val="0"/>
              <w:rPr>
                <w:sz w:val="22"/>
                <w:szCs w:val="22"/>
                <w:lang w:val="en-US"/>
              </w:rPr>
            </w:pPr>
            <w:r w:rsidRPr="00264D5D">
              <w:rPr>
                <w:sz w:val="22"/>
                <w:szCs w:val="22"/>
              </w:rPr>
              <w:t>Наименование ТОФК</w:t>
            </w:r>
          </w:p>
        </w:tc>
        <w:tc>
          <w:tcPr>
            <w:tcW w:w="1701" w:type="dxa"/>
          </w:tcPr>
          <w:p w14:paraId="6A8FB503" w14:textId="77777777" w:rsidR="00AD1F54" w:rsidRPr="00264D5D" w:rsidRDefault="00941227">
            <w:pPr>
              <w:pStyle w:val="EBTablenorm"/>
              <w:ind w:left="57" w:right="57"/>
              <w:contextualSpacing w:val="0"/>
              <w:rPr>
                <w:sz w:val="22"/>
                <w:szCs w:val="22"/>
                <w:lang w:val="en-US"/>
              </w:rPr>
            </w:pPr>
            <w:r w:rsidRPr="00264D5D">
              <w:rPr>
                <w:sz w:val="22"/>
                <w:szCs w:val="22"/>
                <w:lang w:val="en-US"/>
              </w:rPr>
              <w:t>ToFKName</w:t>
            </w:r>
          </w:p>
        </w:tc>
        <w:tc>
          <w:tcPr>
            <w:tcW w:w="567" w:type="dxa"/>
          </w:tcPr>
          <w:p w14:paraId="262024A2"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3A2A2DF3"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Т(1-2000)</w:t>
            </w:r>
          </w:p>
        </w:tc>
        <w:tc>
          <w:tcPr>
            <w:tcW w:w="567" w:type="dxa"/>
          </w:tcPr>
          <w:p w14:paraId="7F31879C" w14:textId="77777777" w:rsidR="00AD1F54" w:rsidRPr="00264D5D" w:rsidRDefault="00941227">
            <w:pPr>
              <w:pStyle w:val="EBTablenorm"/>
              <w:ind w:left="57" w:right="57"/>
              <w:contextualSpacing w:val="0"/>
              <w:jc w:val="center"/>
              <w:rPr>
                <w:sz w:val="22"/>
                <w:szCs w:val="22"/>
                <w:lang w:val="en-US"/>
              </w:rPr>
            </w:pPr>
            <w:r w:rsidRPr="00264D5D">
              <w:rPr>
                <w:sz w:val="22"/>
                <w:szCs w:val="22"/>
                <w:lang w:val="en-US"/>
              </w:rPr>
              <w:t>О</w:t>
            </w:r>
          </w:p>
        </w:tc>
        <w:tc>
          <w:tcPr>
            <w:tcW w:w="3963" w:type="dxa"/>
          </w:tcPr>
          <w:p w14:paraId="2A2C5EB0" w14:textId="77777777" w:rsidR="00AD1F54" w:rsidRPr="00264D5D" w:rsidRDefault="00B83EE9">
            <w:pPr>
              <w:pStyle w:val="EBTablenorm"/>
              <w:ind w:left="57" w:right="57"/>
              <w:contextualSpacing w:val="0"/>
              <w:rPr>
                <w:sz w:val="22"/>
                <w:szCs w:val="22"/>
              </w:rPr>
            </w:pPr>
            <w:r w:rsidRPr="00264D5D">
              <w:rPr>
                <w:sz w:val="22"/>
                <w:szCs w:val="22"/>
              </w:rPr>
              <w:t>Наименование ТОФК</w:t>
            </w:r>
          </w:p>
        </w:tc>
      </w:tr>
    </w:tbl>
    <w:p w14:paraId="4A13B2DD" w14:textId="77777777" w:rsidR="00AD1F54" w:rsidRPr="00264D5D" w:rsidRDefault="00941227">
      <w:pPr>
        <w:pStyle w:val="31"/>
      </w:pPr>
      <w:bookmarkStart w:id="1952" w:name="_Toc493090496"/>
      <w:bookmarkStart w:id="1953" w:name="_Toc496984029"/>
      <w:bookmarkStart w:id="1954" w:name="_Toc219309664"/>
      <w:r w:rsidRPr="00264D5D">
        <w:t>Описание комплексного типа «tBdgName»</w:t>
      </w:r>
      <w:bookmarkEnd w:id="1952"/>
      <w:bookmarkEnd w:id="1953"/>
      <w:bookmarkEnd w:id="1954"/>
    </w:p>
    <w:p w14:paraId="70C19D2E" w14:textId="77777777" w:rsidR="00AD1F54" w:rsidRPr="00264D5D" w:rsidRDefault="00941227">
      <w:pPr>
        <w:spacing w:before="60" w:after="120"/>
        <w:ind w:firstLine="567"/>
        <w:rPr>
          <w:rFonts w:eastAsia="Calibri"/>
          <w:szCs w:val="24"/>
        </w:rPr>
      </w:pPr>
      <w:r w:rsidRPr="00264D5D">
        <w:rPr>
          <w:rFonts w:eastAsia="Calibri"/>
          <w:szCs w:val="24"/>
        </w:rPr>
        <w:t>Описание комплексного типа «tBdgName»</w:t>
      </w:r>
      <w:r w:rsidRPr="00264D5D">
        <w:t xml:space="preserve"> блока</w:t>
      </w:r>
      <w:r w:rsidRPr="00264D5D">
        <w:rPr>
          <w:rFonts w:eastAsia="Calibri"/>
          <w:szCs w:val="24"/>
        </w:rPr>
        <w:t xml:space="preserve"> «Наименование бюджета субъекта Российской Федерации, которому предоставляется межбюджетный трансферт».</w:t>
      </w:r>
    </w:p>
    <w:p w14:paraId="4EB7D6D6" w14:textId="4051A360"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1955" w:name="_Ref494363831"/>
      <w:bookmarkStart w:id="1956" w:name="_Toc30503381"/>
      <w:bookmarkStart w:id="1957" w:name="_Toc30507979"/>
      <w:bookmarkStart w:id="1958" w:name="_Toc219309232"/>
      <w:r w:rsidR="008D797C">
        <w:rPr>
          <w:rFonts w:eastAsia="Calibri"/>
          <w:noProof/>
          <w:szCs w:val="24"/>
        </w:rPr>
        <w:t>202</w:t>
      </w:r>
      <w:bookmarkEnd w:id="1955"/>
      <w:r w:rsidRPr="00264D5D">
        <w:rPr>
          <w:rFonts w:eastAsia="Calibri"/>
          <w:szCs w:val="24"/>
        </w:rPr>
        <w:fldChar w:fldCharType="end"/>
      </w:r>
      <w:r w:rsidRPr="00264D5D">
        <w:rPr>
          <w:rFonts w:eastAsia="Calibri"/>
          <w:szCs w:val="24"/>
        </w:rPr>
        <w:t xml:space="preserve"> – Описание комплексного типа «tBdgName»</w:t>
      </w:r>
      <w:bookmarkEnd w:id="1956"/>
      <w:bookmarkEnd w:id="1957"/>
      <w:bookmarkEnd w:id="1958"/>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39EC4A2E"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7DB9A395" w14:textId="77777777" w:rsidR="00AD1F54" w:rsidRPr="00264D5D" w:rsidRDefault="00941227">
            <w:pPr>
              <w:pStyle w:val="EBTableHead"/>
              <w:ind w:left="57" w:right="57"/>
              <w:contextualSpacing w:val="0"/>
              <w:rPr>
                <w:sz w:val="22"/>
                <w:szCs w:val="22"/>
              </w:rPr>
            </w:pPr>
            <w:r w:rsidRPr="00264D5D">
              <w:rPr>
                <w:bCs w:val="0"/>
                <w:sz w:val="22"/>
                <w:szCs w:val="22"/>
              </w:rPr>
              <w:t>Наименование элемента</w:t>
            </w:r>
          </w:p>
        </w:tc>
        <w:tc>
          <w:tcPr>
            <w:tcW w:w="1701" w:type="dxa"/>
          </w:tcPr>
          <w:p w14:paraId="55C59525" w14:textId="77777777" w:rsidR="00AD1F54" w:rsidRPr="00264D5D" w:rsidRDefault="00941227">
            <w:pPr>
              <w:pStyle w:val="EBTableHead"/>
              <w:ind w:left="57" w:right="57"/>
              <w:contextualSpacing w:val="0"/>
              <w:rPr>
                <w:sz w:val="22"/>
                <w:szCs w:val="22"/>
              </w:rPr>
            </w:pPr>
            <w:r w:rsidRPr="00264D5D">
              <w:rPr>
                <w:bCs w:val="0"/>
                <w:sz w:val="22"/>
                <w:szCs w:val="22"/>
              </w:rPr>
              <w:t>Сокращенное наименование (код) элемента</w:t>
            </w:r>
          </w:p>
        </w:tc>
        <w:tc>
          <w:tcPr>
            <w:tcW w:w="567" w:type="dxa"/>
          </w:tcPr>
          <w:p w14:paraId="17F79CC3" w14:textId="77777777" w:rsidR="00AD1F54" w:rsidRPr="00264D5D" w:rsidRDefault="00941227">
            <w:pPr>
              <w:pStyle w:val="EBTableHead"/>
              <w:ind w:left="57" w:right="57"/>
              <w:contextualSpacing w:val="0"/>
              <w:rPr>
                <w:sz w:val="22"/>
                <w:szCs w:val="22"/>
              </w:rPr>
            </w:pPr>
            <w:r w:rsidRPr="00264D5D">
              <w:rPr>
                <w:bCs w:val="0"/>
                <w:sz w:val="22"/>
                <w:szCs w:val="22"/>
              </w:rPr>
              <w:t>Тип</w:t>
            </w:r>
          </w:p>
        </w:tc>
        <w:tc>
          <w:tcPr>
            <w:tcW w:w="1134" w:type="dxa"/>
          </w:tcPr>
          <w:p w14:paraId="1145A309" w14:textId="77777777" w:rsidR="00AD1F54" w:rsidRPr="00264D5D" w:rsidRDefault="00941227">
            <w:pPr>
              <w:pStyle w:val="EBTableHead"/>
              <w:ind w:left="57" w:right="57"/>
              <w:contextualSpacing w:val="0"/>
              <w:rPr>
                <w:sz w:val="22"/>
                <w:szCs w:val="22"/>
              </w:rPr>
            </w:pPr>
            <w:r w:rsidRPr="00264D5D">
              <w:rPr>
                <w:bCs w:val="0"/>
                <w:sz w:val="22"/>
                <w:szCs w:val="22"/>
              </w:rPr>
              <w:t>Формат элемента</w:t>
            </w:r>
          </w:p>
        </w:tc>
        <w:tc>
          <w:tcPr>
            <w:tcW w:w="567" w:type="dxa"/>
          </w:tcPr>
          <w:p w14:paraId="378C3A9B" w14:textId="77777777" w:rsidR="00AD1F54" w:rsidRPr="00264D5D" w:rsidRDefault="00941227">
            <w:pPr>
              <w:spacing w:before="60" w:after="60"/>
              <w:ind w:left="57" w:right="57"/>
              <w:jc w:val="center"/>
              <w:rPr>
                <w:b/>
                <w:bCs/>
                <w:sz w:val="22"/>
                <w:szCs w:val="22"/>
              </w:rPr>
            </w:pPr>
            <w:r w:rsidRPr="00264D5D">
              <w:rPr>
                <w:b/>
                <w:bCs/>
                <w:sz w:val="22"/>
                <w:szCs w:val="22"/>
              </w:rPr>
              <w:t>Обязательность</w:t>
            </w:r>
          </w:p>
        </w:tc>
        <w:tc>
          <w:tcPr>
            <w:tcW w:w="3963" w:type="dxa"/>
          </w:tcPr>
          <w:p w14:paraId="19B117D7" w14:textId="77777777" w:rsidR="00AD1F54" w:rsidRPr="00264D5D" w:rsidRDefault="00941227">
            <w:pPr>
              <w:pStyle w:val="EBTableHead"/>
              <w:ind w:left="57" w:right="57"/>
              <w:contextualSpacing w:val="0"/>
              <w:rPr>
                <w:sz w:val="22"/>
                <w:szCs w:val="22"/>
              </w:rPr>
            </w:pPr>
            <w:r w:rsidRPr="00264D5D">
              <w:rPr>
                <w:bCs w:val="0"/>
                <w:sz w:val="22"/>
                <w:szCs w:val="22"/>
              </w:rPr>
              <w:t>Дополнительная информация</w:t>
            </w:r>
          </w:p>
        </w:tc>
      </w:tr>
      <w:tr w:rsidR="00AD1F54" w:rsidRPr="00264D5D" w14:paraId="3E8A5EF0"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8E68D98" w14:textId="77777777" w:rsidR="00AD1F54" w:rsidRPr="00264D5D" w:rsidRDefault="00941227">
            <w:pPr>
              <w:pStyle w:val="EBTablenorm"/>
              <w:ind w:left="57" w:right="57"/>
              <w:contextualSpacing w:val="0"/>
              <w:rPr>
                <w:sz w:val="22"/>
                <w:szCs w:val="22"/>
              </w:rPr>
            </w:pPr>
            <w:r w:rsidRPr="00264D5D">
              <w:rPr>
                <w:sz w:val="22"/>
                <w:szCs w:val="22"/>
              </w:rPr>
              <w:t>Наименование бюджета субъекта РФ</w:t>
            </w:r>
          </w:p>
        </w:tc>
        <w:tc>
          <w:tcPr>
            <w:tcW w:w="1701" w:type="dxa"/>
          </w:tcPr>
          <w:p w14:paraId="7FD2D39C" w14:textId="77777777" w:rsidR="00AD1F54" w:rsidRPr="00264D5D" w:rsidRDefault="00941227">
            <w:pPr>
              <w:pStyle w:val="EBTablenorm"/>
              <w:ind w:left="57" w:right="57"/>
              <w:contextualSpacing w:val="0"/>
              <w:rPr>
                <w:sz w:val="22"/>
                <w:szCs w:val="22"/>
                <w:lang w:val="en-US"/>
              </w:rPr>
            </w:pPr>
            <w:r w:rsidRPr="00264D5D">
              <w:rPr>
                <w:sz w:val="22"/>
                <w:szCs w:val="22"/>
                <w:lang w:val="en-US"/>
              </w:rPr>
              <w:t>BdgSubName</w:t>
            </w:r>
          </w:p>
        </w:tc>
        <w:tc>
          <w:tcPr>
            <w:tcW w:w="567" w:type="dxa"/>
          </w:tcPr>
          <w:p w14:paraId="560D0E3E"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4DE8430E"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Т(1-2000)</w:t>
            </w:r>
          </w:p>
        </w:tc>
        <w:tc>
          <w:tcPr>
            <w:tcW w:w="567" w:type="dxa"/>
          </w:tcPr>
          <w:p w14:paraId="62614474" w14:textId="77777777" w:rsidR="00AD1F54" w:rsidRPr="00264D5D" w:rsidRDefault="00941227">
            <w:pPr>
              <w:pStyle w:val="EBTablenorm"/>
              <w:ind w:left="57" w:right="57"/>
              <w:contextualSpacing w:val="0"/>
              <w:jc w:val="center"/>
              <w:rPr>
                <w:sz w:val="22"/>
                <w:szCs w:val="22"/>
                <w:lang w:val="en-US"/>
              </w:rPr>
            </w:pPr>
            <w:r w:rsidRPr="00264D5D">
              <w:rPr>
                <w:sz w:val="22"/>
                <w:szCs w:val="22"/>
              </w:rPr>
              <w:t>О</w:t>
            </w:r>
          </w:p>
        </w:tc>
        <w:tc>
          <w:tcPr>
            <w:tcW w:w="3963" w:type="dxa"/>
          </w:tcPr>
          <w:p w14:paraId="488C0436" w14:textId="77777777" w:rsidR="00AD1F54" w:rsidRPr="00264D5D" w:rsidRDefault="00941227">
            <w:pPr>
              <w:pStyle w:val="EBTablenorm"/>
              <w:ind w:left="57" w:right="57"/>
              <w:contextualSpacing w:val="0"/>
              <w:rPr>
                <w:sz w:val="22"/>
                <w:szCs w:val="22"/>
              </w:rPr>
            </w:pPr>
            <w:r w:rsidRPr="00264D5D">
              <w:rPr>
                <w:sz w:val="22"/>
                <w:szCs w:val="22"/>
              </w:rPr>
              <w:t>Наименование бюджета с</w:t>
            </w:r>
            <w:r w:rsidR="00B83EE9" w:rsidRPr="00264D5D">
              <w:rPr>
                <w:sz w:val="22"/>
                <w:szCs w:val="22"/>
              </w:rPr>
              <w:t>убъекта Российской Федерации</w:t>
            </w:r>
          </w:p>
        </w:tc>
      </w:tr>
      <w:tr w:rsidR="00AD1F54" w:rsidRPr="00264D5D" w14:paraId="25C8B6A4"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5D68F66D" w14:textId="77777777" w:rsidR="00AD1F54" w:rsidRPr="00264D5D" w:rsidRDefault="00941227">
            <w:pPr>
              <w:pStyle w:val="EBTablenorm"/>
              <w:ind w:left="57" w:right="57"/>
              <w:contextualSpacing w:val="0"/>
              <w:rPr>
                <w:rFonts w:eastAsia="Calibri"/>
                <w:sz w:val="22"/>
                <w:szCs w:val="22"/>
              </w:rPr>
            </w:pPr>
            <w:r w:rsidRPr="00264D5D">
              <w:rPr>
                <w:sz w:val="22"/>
                <w:szCs w:val="22"/>
              </w:rPr>
              <w:t>Код территории субъекта РФ по ОКТМО</w:t>
            </w:r>
          </w:p>
        </w:tc>
        <w:tc>
          <w:tcPr>
            <w:tcW w:w="1701" w:type="dxa"/>
          </w:tcPr>
          <w:p w14:paraId="1EC29A40" w14:textId="77777777" w:rsidR="00AD1F54" w:rsidRPr="00264D5D" w:rsidRDefault="00941227">
            <w:pPr>
              <w:pStyle w:val="EBTablenorm"/>
              <w:ind w:left="57" w:right="57"/>
              <w:contextualSpacing w:val="0"/>
              <w:rPr>
                <w:sz w:val="22"/>
                <w:szCs w:val="22"/>
                <w:lang w:val="en-US"/>
              </w:rPr>
            </w:pPr>
            <w:r w:rsidRPr="00264D5D">
              <w:rPr>
                <w:sz w:val="22"/>
                <w:szCs w:val="22"/>
                <w:lang w:val="en-US"/>
              </w:rPr>
              <w:t>SubOktmo</w:t>
            </w:r>
          </w:p>
        </w:tc>
        <w:tc>
          <w:tcPr>
            <w:tcW w:w="567" w:type="dxa"/>
          </w:tcPr>
          <w:p w14:paraId="2AA45D3F"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7E9A051C" w14:textId="77777777" w:rsidR="00AD1F54" w:rsidRPr="00264D5D" w:rsidRDefault="00941227">
            <w:pPr>
              <w:pStyle w:val="EBTablenorm"/>
              <w:ind w:left="57" w:right="57"/>
              <w:contextualSpacing w:val="0"/>
              <w:jc w:val="left"/>
              <w:rPr>
                <w:sz w:val="22"/>
                <w:szCs w:val="22"/>
              </w:rPr>
            </w:pPr>
            <w:r w:rsidRPr="00264D5D">
              <w:rPr>
                <w:sz w:val="22"/>
                <w:szCs w:val="22"/>
              </w:rPr>
              <w:t>Т(8) или Т(11)</w:t>
            </w:r>
          </w:p>
        </w:tc>
        <w:tc>
          <w:tcPr>
            <w:tcW w:w="567" w:type="dxa"/>
          </w:tcPr>
          <w:p w14:paraId="75C31175"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5781B34F" w14:textId="77777777" w:rsidR="00AD1F54" w:rsidRPr="00264D5D" w:rsidRDefault="00941227">
            <w:pPr>
              <w:pStyle w:val="EBTablenorm"/>
              <w:ind w:left="57" w:right="57"/>
              <w:contextualSpacing w:val="0"/>
              <w:rPr>
                <w:sz w:val="22"/>
                <w:szCs w:val="22"/>
              </w:rPr>
            </w:pPr>
            <w:r w:rsidRPr="00264D5D">
              <w:rPr>
                <w:sz w:val="22"/>
                <w:szCs w:val="22"/>
              </w:rPr>
              <w:t>Код территории субъекта Российской</w:t>
            </w:r>
            <w:r w:rsidR="00B83EE9" w:rsidRPr="00264D5D">
              <w:rPr>
                <w:sz w:val="22"/>
                <w:szCs w:val="22"/>
              </w:rPr>
              <w:t xml:space="preserve"> Федерации в соответствии ОКТМО</w:t>
            </w:r>
          </w:p>
        </w:tc>
      </w:tr>
    </w:tbl>
    <w:p w14:paraId="20137C5C" w14:textId="77777777" w:rsidR="00AD1F54" w:rsidRPr="00264D5D" w:rsidRDefault="00941227">
      <w:pPr>
        <w:pStyle w:val="31"/>
      </w:pPr>
      <w:bookmarkStart w:id="1959" w:name="_Toc493090497"/>
      <w:bookmarkStart w:id="1960" w:name="_Toc496984030"/>
      <w:bookmarkStart w:id="1961" w:name="_Toc219309665"/>
      <w:r w:rsidRPr="00264D5D">
        <w:t>Описание комплексного типа «tSumm»</w:t>
      </w:r>
      <w:bookmarkEnd w:id="1959"/>
      <w:bookmarkEnd w:id="1960"/>
      <w:bookmarkEnd w:id="1961"/>
    </w:p>
    <w:p w14:paraId="2696938A" w14:textId="77777777" w:rsidR="00AD1F54" w:rsidRPr="00264D5D" w:rsidRDefault="00941227">
      <w:pPr>
        <w:spacing w:before="60" w:after="120"/>
        <w:ind w:firstLine="567"/>
        <w:rPr>
          <w:rFonts w:eastAsia="Calibri"/>
          <w:szCs w:val="24"/>
        </w:rPr>
      </w:pPr>
      <w:r w:rsidRPr="00264D5D">
        <w:rPr>
          <w:rFonts w:eastAsia="Calibri"/>
          <w:szCs w:val="24"/>
        </w:rPr>
        <w:t>Описание комплексного типа «tSumm»</w:t>
      </w:r>
      <w:r w:rsidRPr="00264D5D">
        <w:t xml:space="preserve"> блока</w:t>
      </w:r>
      <w:r w:rsidRPr="00264D5D">
        <w:rPr>
          <w:rFonts w:eastAsia="Calibri"/>
          <w:szCs w:val="24"/>
        </w:rPr>
        <w:t xml:space="preserve"> «Размер субсидии, бюджетных инвестиций, межбюджетных трансфертов».</w:t>
      </w:r>
    </w:p>
    <w:p w14:paraId="79A6DEDC" w14:textId="39BD9484"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1962" w:name="_Ref494363987"/>
      <w:bookmarkStart w:id="1963" w:name="_Toc30503382"/>
      <w:bookmarkStart w:id="1964" w:name="_Toc30507980"/>
      <w:bookmarkStart w:id="1965" w:name="_Toc219309233"/>
      <w:r w:rsidR="008D797C">
        <w:rPr>
          <w:rFonts w:eastAsia="Calibri"/>
          <w:noProof/>
          <w:szCs w:val="24"/>
        </w:rPr>
        <w:t>203</w:t>
      </w:r>
      <w:bookmarkEnd w:id="1962"/>
      <w:r w:rsidRPr="00264D5D">
        <w:rPr>
          <w:rFonts w:eastAsia="Calibri"/>
          <w:szCs w:val="24"/>
        </w:rPr>
        <w:fldChar w:fldCharType="end"/>
      </w:r>
      <w:r w:rsidRPr="00264D5D">
        <w:rPr>
          <w:rFonts w:eastAsia="Calibri"/>
          <w:szCs w:val="24"/>
        </w:rPr>
        <w:t xml:space="preserve"> – Описание комплексного типа «tSumm»</w:t>
      </w:r>
      <w:bookmarkEnd w:id="1963"/>
      <w:bookmarkEnd w:id="1964"/>
      <w:bookmarkEnd w:id="1965"/>
    </w:p>
    <w:tbl>
      <w:tblPr>
        <w:tblStyle w:val="GOSTTable"/>
        <w:tblW w:w="5000" w:type="pct"/>
        <w:tblLayout w:type="fixed"/>
        <w:tblLook w:val="01E0" w:firstRow="1" w:lastRow="1" w:firstColumn="1" w:lastColumn="1" w:noHBand="0" w:noVBand="0"/>
      </w:tblPr>
      <w:tblGrid>
        <w:gridCol w:w="1704"/>
        <w:gridCol w:w="1704"/>
        <w:gridCol w:w="568"/>
        <w:gridCol w:w="1136"/>
        <w:gridCol w:w="568"/>
        <w:gridCol w:w="3970"/>
      </w:tblGrid>
      <w:tr w:rsidR="00AD1F54" w:rsidRPr="00264D5D" w14:paraId="62631129"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11C093F0" w14:textId="77777777" w:rsidR="00AD1F54" w:rsidRPr="00264D5D" w:rsidRDefault="00941227">
            <w:pPr>
              <w:pStyle w:val="EBTableHead"/>
              <w:ind w:left="57" w:right="57"/>
              <w:contextualSpacing w:val="0"/>
              <w:rPr>
                <w:sz w:val="22"/>
                <w:szCs w:val="22"/>
              </w:rPr>
            </w:pPr>
            <w:r w:rsidRPr="00264D5D">
              <w:rPr>
                <w:bCs w:val="0"/>
                <w:sz w:val="22"/>
                <w:szCs w:val="22"/>
              </w:rPr>
              <w:t>Наименование элемента</w:t>
            </w:r>
          </w:p>
        </w:tc>
        <w:tc>
          <w:tcPr>
            <w:tcW w:w="1701" w:type="dxa"/>
          </w:tcPr>
          <w:p w14:paraId="23F814F6" w14:textId="77777777" w:rsidR="00AD1F54" w:rsidRPr="00264D5D" w:rsidRDefault="00941227">
            <w:pPr>
              <w:pStyle w:val="EBTableHead"/>
              <w:ind w:left="57" w:right="57"/>
              <w:contextualSpacing w:val="0"/>
              <w:rPr>
                <w:sz w:val="22"/>
                <w:szCs w:val="22"/>
              </w:rPr>
            </w:pPr>
            <w:r w:rsidRPr="00264D5D">
              <w:rPr>
                <w:bCs w:val="0"/>
                <w:sz w:val="22"/>
                <w:szCs w:val="22"/>
              </w:rPr>
              <w:t>Сокращенное наименование (код) элемента</w:t>
            </w:r>
          </w:p>
        </w:tc>
        <w:tc>
          <w:tcPr>
            <w:tcW w:w="567" w:type="dxa"/>
          </w:tcPr>
          <w:p w14:paraId="7F48F2BC" w14:textId="77777777" w:rsidR="00AD1F54" w:rsidRPr="00264D5D" w:rsidRDefault="00941227">
            <w:pPr>
              <w:pStyle w:val="EBTableHead"/>
              <w:ind w:left="57" w:right="57"/>
              <w:contextualSpacing w:val="0"/>
              <w:rPr>
                <w:sz w:val="22"/>
                <w:szCs w:val="22"/>
              </w:rPr>
            </w:pPr>
            <w:r w:rsidRPr="00264D5D">
              <w:rPr>
                <w:bCs w:val="0"/>
                <w:sz w:val="22"/>
                <w:szCs w:val="22"/>
              </w:rPr>
              <w:t>Тип</w:t>
            </w:r>
          </w:p>
        </w:tc>
        <w:tc>
          <w:tcPr>
            <w:tcW w:w="1134" w:type="dxa"/>
          </w:tcPr>
          <w:p w14:paraId="2C95208B" w14:textId="77777777" w:rsidR="00AD1F54" w:rsidRPr="00264D5D" w:rsidRDefault="00941227">
            <w:pPr>
              <w:pStyle w:val="EBTableHead"/>
              <w:ind w:left="57" w:right="57"/>
              <w:contextualSpacing w:val="0"/>
              <w:rPr>
                <w:sz w:val="22"/>
                <w:szCs w:val="22"/>
              </w:rPr>
            </w:pPr>
            <w:r w:rsidRPr="00264D5D">
              <w:rPr>
                <w:bCs w:val="0"/>
                <w:sz w:val="22"/>
                <w:szCs w:val="22"/>
              </w:rPr>
              <w:t>Формат элемента</w:t>
            </w:r>
          </w:p>
        </w:tc>
        <w:tc>
          <w:tcPr>
            <w:tcW w:w="567" w:type="dxa"/>
          </w:tcPr>
          <w:p w14:paraId="700E2CEA" w14:textId="77777777" w:rsidR="00AD1F54" w:rsidRPr="00264D5D" w:rsidRDefault="00941227">
            <w:pPr>
              <w:spacing w:before="60" w:after="60"/>
              <w:ind w:left="57" w:right="57"/>
              <w:jc w:val="center"/>
              <w:rPr>
                <w:b/>
                <w:bCs/>
                <w:sz w:val="22"/>
                <w:szCs w:val="22"/>
              </w:rPr>
            </w:pPr>
            <w:r w:rsidRPr="00264D5D">
              <w:rPr>
                <w:b/>
                <w:bCs/>
                <w:sz w:val="22"/>
                <w:szCs w:val="22"/>
              </w:rPr>
              <w:t>Обязательность</w:t>
            </w:r>
          </w:p>
        </w:tc>
        <w:tc>
          <w:tcPr>
            <w:tcW w:w="3963" w:type="dxa"/>
          </w:tcPr>
          <w:p w14:paraId="6ADE0497" w14:textId="77777777" w:rsidR="00AD1F54" w:rsidRPr="00264D5D" w:rsidRDefault="00941227">
            <w:pPr>
              <w:pStyle w:val="EBTableHead"/>
              <w:ind w:left="57" w:right="57"/>
              <w:contextualSpacing w:val="0"/>
              <w:rPr>
                <w:sz w:val="22"/>
                <w:szCs w:val="22"/>
              </w:rPr>
            </w:pPr>
            <w:r w:rsidRPr="00264D5D">
              <w:rPr>
                <w:bCs w:val="0"/>
                <w:sz w:val="22"/>
                <w:szCs w:val="22"/>
              </w:rPr>
              <w:t>Дополнительная информация</w:t>
            </w:r>
          </w:p>
        </w:tc>
      </w:tr>
      <w:tr w:rsidR="00AD1F54" w:rsidRPr="00264D5D" w14:paraId="669FC1F2"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D9638ED" w14:textId="77777777" w:rsidR="00AD1F54" w:rsidRPr="00264D5D" w:rsidRDefault="00941227">
            <w:pPr>
              <w:pStyle w:val="EBTablenorm"/>
              <w:ind w:left="57" w:right="57"/>
              <w:contextualSpacing w:val="0"/>
              <w:rPr>
                <w:sz w:val="22"/>
                <w:szCs w:val="22"/>
              </w:rPr>
            </w:pPr>
            <w:r w:rsidRPr="00264D5D">
              <w:rPr>
                <w:sz w:val="22"/>
                <w:szCs w:val="22"/>
              </w:rPr>
              <w:t xml:space="preserve">Размер субсидии, бюджетных инвестиций, межбюджетных трансфертов и целевое направление расходов в </w:t>
            </w:r>
            <w:r w:rsidRPr="00264D5D">
              <w:rPr>
                <w:sz w:val="22"/>
                <w:szCs w:val="22"/>
              </w:rPr>
              <w:lastRenderedPageBreak/>
              <w:t>разрезе КБК</w:t>
            </w:r>
          </w:p>
        </w:tc>
        <w:tc>
          <w:tcPr>
            <w:tcW w:w="1701" w:type="dxa"/>
          </w:tcPr>
          <w:p w14:paraId="57128635" w14:textId="77777777" w:rsidR="00AD1F54" w:rsidRPr="00264D5D" w:rsidRDefault="00941227">
            <w:pPr>
              <w:pStyle w:val="EBTablenorm"/>
              <w:ind w:left="57" w:right="57"/>
              <w:contextualSpacing w:val="0"/>
              <w:jc w:val="left"/>
              <w:rPr>
                <w:rFonts w:eastAsia="Calibri"/>
                <w:sz w:val="22"/>
                <w:szCs w:val="22"/>
              </w:rPr>
            </w:pPr>
            <w:r w:rsidRPr="00264D5D">
              <w:rPr>
                <w:rFonts w:eastAsia="Calibri"/>
                <w:sz w:val="22"/>
                <w:szCs w:val="22"/>
              </w:rPr>
              <w:lastRenderedPageBreak/>
              <w:t>AgrSumKbk</w:t>
            </w:r>
          </w:p>
        </w:tc>
        <w:tc>
          <w:tcPr>
            <w:tcW w:w="567" w:type="dxa"/>
          </w:tcPr>
          <w:p w14:paraId="7CB37C3D" w14:textId="77777777" w:rsidR="00AD1F54" w:rsidRPr="00264D5D" w:rsidRDefault="00941227">
            <w:pPr>
              <w:pStyle w:val="EBTablenorm"/>
              <w:ind w:left="57" w:right="57"/>
              <w:contextualSpacing w:val="0"/>
              <w:jc w:val="center"/>
              <w:rPr>
                <w:rFonts w:eastAsia="Calibri"/>
                <w:sz w:val="22"/>
                <w:szCs w:val="22"/>
              </w:rPr>
            </w:pPr>
            <w:r w:rsidRPr="00264D5D">
              <w:rPr>
                <w:rFonts w:eastAsia="Calibri"/>
                <w:sz w:val="22"/>
                <w:szCs w:val="22"/>
              </w:rPr>
              <w:t>С</w:t>
            </w:r>
          </w:p>
        </w:tc>
        <w:tc>
          <w:tcPr>
            <w:tcW w:w="1134" w:type="dxa"/>
          </w:tcPr>
          <w:p w14:paraId="0CB219F6" w14:textId="77777777" w:rsidR="00AD1F54" w:rsidRPr="00264D5D" w:rsidRDefault="00941227">
            <w:pPr>
              <w:pStyle w:val="EBTablenorm"/>
              <w:ind w:left="57" w:right="57"/>
              <w:contextualSpacing w:val="0"/>
              <w:jc w:val="left"/>
              <w:rPr>
                <w:rFonts w:eastAsia="Calibri"/>
                <w:sz w:val="22"/>
                <w:szCs w:val="22"/>
              </w:rPr>
            </w:pPr>
            <w:r w:rsidRPr="00264D5D">
              <w:rPr>
                <w:rFonts w:eastAsia="Calibri"/>
                <w:sz w:val="22"/>
                <w:szCs w:val="22"/>
              </w:rPr>
              <w:t>tAgrSumKbk</w:t>
            </w:r>
          </w:p>
        </w:tc>
        <w:tc>
          <w:tcPr>
            <w:tcW w:w="567" w:type="dxa"/>
          </w:tcPr>
          <w:p w14:paraId="279AB821" w14:textId="77777777" w:rsidR="00AD1F54" w:rsidRPr="00264D5D" w:rsidRDefault="00941227">
            <w:pPr>
              <w:pStyle w:val="EBTablenorm"/>
              <w:ind w:left="57" w:right="57"/>
              <w:contextualSpacing w:val="0"/>
              <w:jc w:val="center"/>
              <w:rPr>
                <w:sz w:val="22"/>
                <w:szCs w:val="22"/>
              </w:rPr>
            </w:pPr>
            <w:r w:rsidRPr="00264D5D">
              <w:rPr>
                <w:sz w:val="22"/>
                <w:szCs w:val="22"/>
              </w:rPr>
              <w:t>НМ</w:t>
            </w:r>
          </w:p>
        </w:tc>
        <w:tc>
          <w:tcPr>
            <w:tcW w:w="3963" w:type="dxa"/>
          </w:tcPr>
          <w:p w14:paraId="75968195" w14:textId="77777777" w:rsidR="00AD1F54" w:rsidRPr="00264D5D" w:rsidRDefault="00941227">
            <w:pPr>
              <w:pStyle w:val="EBTablenorm"/>
              <w:ind w:left="57" w:right="57"/>
              <w:contextualSpacing w:val="0"/>
              <w:rPr>
                <w:sz w:val="22"/>
                <w:szCs w:val="22"/>
              </w:rPr>
            </w:pPr>
            <w:r w:rsidRPr="00264D5D">
              <w:rPr>
                <w:sz w:val="22"/>
                <w:szCs w:val="22"/>
              </w:rPr>
              <w:t>Размер субсидии, бюджетных инвестиций, межбюджетных трансфертов и целевое направление расходов в разрезе кодов бюджетной классификации.</w:t>
            </w:r>
          </w:p>
          <w:p w14:paraId="29F628CB" w14:textId="77777777" w:rsidR="00AD1F54" w:rsidRPr="00264D5D" w:rsidRDefault="00941227">
            <w:pPr>
              <w:pStyle w:val="EBTablenorm"/>
              <w:ind w:left="57" w:right="57"/>
              <w:contextualSpacing w:val="0"/>
              <w:rPr>
                <w:sz w:val="22"/>
                <w:szCs w:val="22"/>
              </w:rPr>
            </w:pPr>
            <w:r w:rsidRPr="00264D5D">
              <w:rPr>
                <w:sz w:val="22"/>
                <w:szCs w:val="22"/>
              </w:rPr>
              <w:t xml:space="preserve">Обязательно для заполнения при указании в элементе «Код вида соглашения» значения отличного от «020». </w:t>
            </w:r>
          </w:p>
          <w:p w14:paraId="6387AA5E" w14:textId="0936DF21" w:rsidR="00AD1F54" w:rsidRPr="00264D5D" w:rsidRDefault="00941227">
            <w:pPr>
              <w:pStyle w:val="EBTablenorm"/>
              <w:ind w:left="57" w:right="57"/>
              <w:contextualSpacing w:val="0"/>
              <w:rPr>
                <w:sz w:val="22"/>
                <w:szCs w:val="22"/>
              </w:rPr>
            </w:pPr>
            <w:r w:rsidRPr="00264D5D">
              <w:rPr>
                <w:sz w:val="22"/>
                <w:szCs w:val="22"/>
              </w:rPr>
              <w:lastRenderedPageBreak/>
              <w:t>Состав элемента представлен в таблице</w:t>
            </w:r>
            <w:r w:rsidRPr="00264D5D">
              <w:rPr>
                <w:b/>
                <w:sz w:val="22"/>
                <w:szCs w:val="22"/>
              </w:rPr>
              <w:t xml:space="preserve"> </w:t>
            </w:r>
            <w:r w:rsidRPr="00264D5D">
              <w:rPr>
                <w:b/>
                <w:sz w:val="22"/>
                <w:szCs w:val="22"/>
              </w:rPr>
              <w:fldChar w:fldCharType="begin"/>
            </w:r>
            <w:r w:rsidRPr="00264D5D">
              <w:rPr>
                <w:b/>
                <w:sz w:val="22"/>
                <w:szCs w:val="22"/>
              </w:rPr>
              <w:instrText xml:space="preserve"> REF _Ref494364027 \h  \* MERGEFORMAT </w:instrText>
            </w:r>
            <w:r w:rsidRPr="00264D5D">
              <w:rPr>
                <w:b/>
                <w:sz w:val="22"/>
                <w:szCs w:val="22"/>
              </w:rPr>
            </w:r>
            <w:r w:rsidRPr="00264D5D">
              <w:rPr>
                <w:b/>
                <w:sz w:val="22"/>
                <w:szCs w:val="22"/>
              </w:rPr>
              <w:fldChar w:fldCharType="separate"/>
            </w:r>
            <w:r w:rsidR="008D797C" w:rsidRPr="008D797C">
              <w:rPr>
                <w:rFonts w:eastAsia="Calibri"/>
                <w:b/>
                <w:sz w:val="22"/>
                <w:szCs w:val="22"/>
              </w:rPr>
              <w:t>204</w:t>
            </w:r>
            <w:r w:rsidRPr="00264D5D">
              <w:rPr>
                <w:b/>
                <w:sz w:val="22"/>
                <w:szCs w:val="22"/>
              </w:rPr>
              <w:fldChar w:fldCharType="end"/>
            </w:r>
          </w:p>
        </w:tc>
      </w:tr>
      <w:tr w:rsidR="00AD1F54" w:rsidRPr="00264D5D" w14:paraId="0481BAC9"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9E04D0A" w14:textId="77777777" w:rsidR="00AD1F54" w:rsidRPr="00264D5D" w:rsidRDefault="00941227">
            <w:pPr>
              <w:pStyle w:val="EBTablenorm"/>
              <w:ind w:left="57" w:right="57"/>
              <w:contextualSpacing w:val="0"/>
              <w:rPr>
                <w:rFonts w:eastAsia="Calibri"/>
                <w:sz w:val="22"/>
                <w:szCs w:val="22"/>
              </w:rPr>
            </w:pPr>
            <w:r w:rsidRPr="00264D5D">
              <w:rPr>
                <w:sz w:val="22"/>
                <w:szCs w:val="22"/>
              </w:rPr>
              <w:lastRenderedPageBreak/>
              <w:t>Код валюты по ОКВ</w:t>
            </w:r>
          </w:p>
        </w:tc>
        <w:tc>
          <w:tcPr>
            <w:tcW w:w="1701" w:type="dxa"/>
          </w:tcPr>
          <w:p w14:paraId="4CF8303B" w14:textId="77777777" w:rsidR="00AD1F54" w:rsidRPr="00264D5D" w:rsidRDefault="00941227">
            <w:pPr>
              <w:pStyle w:val="EBTablenorm"/>
              <w:ind w:left="57" w:right="57"/>
              <w:contextualSpacing w:val="0"/>
              <w:jc w:val="left"/>
              <w:rPr>
                <w:rFonts w:eastAsia="Calibri"/>
                <w:sz w:val="22"/>
                <w:szCs w:val="22"/>
              </w:rPr>
            </w:pPr>
            <w:r w:rsidRPr="00264D5D">
              <w:rPr>
                <w:rFonts w:eastAsia="Calibri"/>
                <w:sz w:val="22"/>
                <w:szCs w:val="22"/>
              </w:rPr>
              <w:t>AgrCurCd</w:t>
            </w:r>
          </w:p>
        </w:tc>
        <w:tc>
          <w:tcPr>
            <w:tcW w:w="567" w:type="dxa"/>
          </w:tcPr>
          <w:p w14:paraId="685F18BB"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23449AD9" w14:textId="77777777" w:rsidR="00AD1F54" w:rsidRPr="00264D5D" w:rsidRDefault="00941227">
            <w:pPr>
              <w:pStyle w:val="EBTablenorm"/>
              <w:ind w:left="57" w:right="57"/>
              <w:contextualSpacing w:val="0"/>
              <w:jc w:val="left"/>
              <w:rPr>
                <w:rFonts w:eastAsia="Calibri"/>
                <w:sz w:val="22"/>
                <w:szCs w:val="22"/>
              </w:rPr>
            </w:pPr>
            <w:r w:rsidRPr="00264D5D">
              <w:rPr>
                <w:rFonts w:eastAsia="Calibri"/>
                <w:sz w:val="22"/>
                <w:szCs w:val="22"/>
              </w:rPr>
              <w:t>Т(3)</w:t>
            </w:r>
          </w:p>
        </w:tc>
        <w:tc>
          <w:tcPr>
            <w:tcW w:w="567" w:type="dxa"/>
          </w:tcPr>
          <w:p w14:paraId="19F5334D" w14:textId="77777777" w:rsidR="00AD1F54" w:rsidRPr="00264D5D" w:rsidRDefault="00941227">
            <w:pPr>
              <w:pStyle w:val="EBTablenorm"/>
              <w:ind w:left="57" w:right="57"/>
              <w:contextualSpacing w:val="0"/>
              <w:jc w:val="center"/>
              <w:rPr>
                <w:sz w:val="22"/>
                <w:szCs w:val="22"/>
              </w:rPr>
            </w:pPr>
            <w:r w:rsidRPr="00264D5D">
              <w:rPr>
                <w:sz w:val="22"/>
                <w:szCs w:val="22"/>
                <w:lang w:val="en-US"/>
              </w:rPr>
              <w:t>О</w:t>
            </w:r>
          </w:p>
        </w:tc>
        <w:tc>
          <w:tcPr>
            <w:tcW w:w="3963" w:type="dxa"/>
          </w:tcPr>
          <w:p w14:paraId="6EBDDAD9" w14:textId="77777777" w:rsidR="00AD1F54" w:rsidRPr="00264D5D" w:rsidRDefault="00B83EE9">
            <w:pPr>
              <w:pStyle w:val="EBTablenorm"/>
              <w:ind w:left="57" w:right="57"/>
              <w:contextualSpacing w:val="0"/>
              <w:rPr>
                <w:sz w:val="22"/>
                <w:szCs w:val="22"/>
              </w:rPr>
            </w:pPr>
            <w:r w:rsidRPr="00264D5D">
              <w:rPr>
                <w:sz w:val="22"/>
                <w:szCs w:val="22"/>
              </w:rPr>
              <w:t>Код валюты по ОКВ</w:t>
            </w:r>
          </w:p>
        </w:tc>
      </w:tr>
      <w:tr w:rsidR="00AD1F54" w:rsidRPr="00264D5D" w14:paraId="59B47E74"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7FE75F8C" w14:textId="77777777" w:rsidR="00AD1F54" w:rsidRPr="00264D5D" w:rsidRDefault="00941227">
            <w:pPr>
              <w:pStyle w:val="EBTablenorm"/>
              <w:ind w:left="57" w:right="57"/>
              <w:contextualSpacing w:val="0"/>
              <w:rPr>
                <w:rFonts w:eastAsia="Calibri"/>
                <w:sz w:val="22"/>
                <w:szCs w:val="22"/>
              </w:rPr>
            </w:pPr>
            <w:r w:rsidRPr="00264D5D">
              <w:rPr>
                <w:sz w:val="22"/>
                <w:szCs w:val="22"/>
              </w:rPr>
              <w:t>Наименование валюты по ОКВ</w:t>
            </w:r>
          </w:p>
        </w:tc>
        <w:tc>
          <w:tcPr>
            <w:tcW w:w="1701" w:type="dxa"/>
          </w:tcPr>
          <w:p w14:paraId="6A497658" w14:textId="77777777" w:rsidR="00AD1F54" w:rsidRPr="00264D5D" w:rsidRDefault="00941227">
            <w:pPr>
              <w:pStyle w:val="EBTablenorm"/>
              <w:ind w:left="57" w:right="57"/>
              <w:contextualSpacing w:val="0"/>
              <w:jc w:val="left"/>
              <w:rPr>
                <w:rFonts w:eastAsia="Calibri"/>
                <w:sz w:val="22"/>
                <w:szCs w:val="22"/>
              </w:rPr>
            </w:pPr>
            <w:r w:rsidRPr="00264D5D">
              <w:rPr>
                <w:rFonts w:eastAsia="Calibri"/>
                <w:sz w:val="22"/>
                <w:szCs w:val="22"/>
              </w:rPr>
              <w:t>AgrCurName</w:t>
            </w:r>
          </w:p>
        </w:tc>
        <w:tc>
          <w:tcPr>
            <w:tcW w:w="567" w:type="dxa"/>
          </w:tcPr>
          <w:p w14:paraId="1F4DEACF"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0B35BCB4" w14:textId="77777777" w:rsidR="00AD1F54" w:rsidRPr="00264D5D" w:rsidRDefault="00941227">
            <w:pPr>
              <w:pStyle w:val="EBTablenorm"/>
              <w:ind w:left="57" w:right="57"/>
              <w:contextualSpacing w:val="0"/>
              <w:jc w:val="left"/>
              <w:rPr>
                <w:rFonts w:eastAsia="Calibri"/>
                <w:sz w:val="22"/>
                <w:szCs w:val="22"/>
              </w:rPr>
            </w:pPr>
            <w:r w:rsidRPr="00264D5D">
              <w:rPr>
                <w:rFonts w:eastAsia="Calibri"/>
                <w:sz w:val="22"/>
                <w:szCs w:val="22"/>
              </w:rPr>
              <w:t>Т(1-2000)</w:t>
            </w:r>
          </w:p>
        </w:tc>
        <w:tc>
          <w:tcPr>
            <w:tcW w:w="567" w:type="dxa"/>
          </w:tcPr>
          <w:p w14:paraId="2794ED08" w14:textId="77777777" w:rsidR="00AD1F54" w:rsidRPr="00264D5D" w:rsidRDefault="00941227">
            <w:pPr>
              <w:pStyle w:val="EBTablenorm"/>
              <w:ind w:left="57" w:right="57"/>
              <w:contextualSpacing w:val="0"/>
              <w:jc w:val="center"/>
              <w:rPr>
                <w:sz w:val="22"/>
                <w:szCs w:val="22"/>
                <w:lang w:val="en-US"/>
              </w:rPr>
            </w:pPr>
            <w:r w:rsidRPr="00264D5D">
              <w:rPr>
                <w:sz w:val="22"/>
                <w:szCs w:val="22"/>
                <w:lang w:val="en-US"/>
              </w:rPr>
              <w:t>О</w:t>
            </w:r>
          </w:p>
        </w:tc>
        <w:tc>
          <w:tcPr>
            <w:tcW w:w="3963" w:type="dxa"/>
          </w:tcPr>
          <w:p w14:paraId="175602C2" w14:textId="77777777" w:rsidR="00AD1F54" w:rsidRPr="00264D5D" w:rsidRDefault="00B83EE9">
            <w:pPr>
              <w:pStyle w:val="EBTablenorm"/>
              <w:ind w:left="57" w:right="57"/>
              <w:contextualSpacing w:val="0"/>
              <w:rPr>
                <w:sz w:val="22"/>
                <w:szCs w:val="22"/>
              </w:rPr>
            </w:pPr>
            <w:r w:rsidRPr="00264D5D">
              <w:rPr>
                <w:sz w:val="22"/>
                <w:szCs w:val="22"/>
              </w:rPr>
              <w:t>Наименование валюты по ОКВ</w:t>
            </w:r>
          </w:p>
        </w:tc>
      </w:tr>
      <w:tr w:rsidR="00AD1F54" w:rsidRPr="00264D5D" w14:paraId="20A24D55"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C6407E5" w14:textId="77777777" w:rsidR="00AD1F54" w:rsidRPr="00264D5D" w:rsidRDefault="00941227">
            <w:pPr>
              <w:pStyle w:val="EBTablenorm"/>
              <w:ind w:left="57" w:right="57"/>
              <w:contextualSpacing w:val="0"/>
              <w:rPr>
                <w:rFonts w:eastAsia="Calibri"/>
                <w:sz w:val="22"/>
                <w:szCs w:val="22"/>
              </w:rPr>
            </w:pPr>
            <w:r w:rsidRPr="00264D5D">
              <w:rPr>
                <w:sz w:val="22"/>
                <w:szCs w:val="22"/>
              </w:rPr>
              <w:t>Курс иностранной валюты</w:t>
            </w:r>
          </w:p>
        </w:tc>
        <w:tc>
          <w:tcPr>
            <w:tcW w:w="1701" w:type="dxa"/>
          </w:tcPr>
          <w:p w14:paraId="248FE1A4" w14:textId="77777777" w:rsidR="00AD1F54" w:rsidRPr="00264D5D" w:rsidRDefault="00941227">
            <w:pPr>
              <w:pStyle w:val="EBTablenorm"/>
              <w:ind w:left="57" w:right="57"/>
              <w:contextualSpacing w:val="0"/>
              <w:jc w:val="left"/>
              <w:rPr>
                <w:rFonts w:eastAsia="Calibri"/>
                <w:sz w:val="22"/>
                <w:szCs w:val="22"/>
              </w:rPr>
            </w:pPr>
            <w:r w:rsidRPr="00264D5D">
              <w:rPr>
                <w:rFonts w:eastAsia="Calibri"/>
                <w:sz w:val="22"/>
                <w:szCs w:val="22"/>
              </w:rPr>
              <w:t>CurRate</w:t>
            </w:r>
          </w:p>
        </w:tc>
        <w:tc>
          <w:tcPr>
            <w:tcW w:w="567" w:type="dxa"/>
          </w:tcPr>
          <w:p w14:paraId="3ED01763"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501DFD64" w14:textId="77777777" w:rsidR="00AD1F54" w:rsidRPr="00264D5D" w:rsidRDefault="00941227">
            <w:pPr>
              <w:pStyle w:val="EBTablenorm"/>
              <w:ind w:left="57" w:right="57"/>
              <w:contextualSpacing w:val="0"/>
              <w:jc w:val="left"/>
              <w:rPr>
                <w:rFonts w:eastAsia="Calibri"/>
                <w:sz w:val="22"/>
                <w:szCs w:val="22"/>
              </w:rPr>
            </w:pPr>
            <w:r w:rsidRPr="00264D5D">
              <w:rPr>
                <w:rFonts w:eastAsia="Calibri"/>
                <w:sz w:val="22"/>
                <w:szCs w:val="22"/>
              </w:rPr>
              <w:t>N(16.4)</w:t>
            </w:r>
          </w:p>
        </w:tc>
        <w:tc>
          <w:tcPr>
            <w:tcW w:w="567" w:type="dxa"/>
          </w:tcPr>
          <w:p w14:paraId="298EC9A9" w14:textId="77777777" w:rsidR="00AD1F54" w:rsidRPr="00264D5D" w:rsidRDefault="00941227">
            <w:pPr>
              <w:pStyle w:val="EBTablenorm"/>
              <w:ind w:left="57" w:right="57"/>
              <w:contextualSpacing w:val="0"/>
              <w:jc w:val="center"/>
              <w:rPr>
                <w:sz w:val="22"/>
                <w:szCs w:val="22"/>
                <w:lang w:val="en-US"/>
              </w:rPr>
            </w:pPr>
            <w:r w:rsidRPr="00264D5D">
              <w:rPr>
                <w:sz w:val="22"/>
                <w:szCs w:val="22"/>
              </w:rPr>
              <w:t>Н</w:t>
            </w:r>
          </w:p>
        </w:tc>
        <w:tc>
          <w:tcPr>
            <w:tcW w:w="3963" w:type="dxa"/>
          </w:tcPr>
          <w:p w14:paraId="65DB142F" w14:textId="77777777" w:rsidR="00AD1F54" w:rsidRPr="00264D5D" w:rsidRDefault="00941227">
            <w:pPr>
              <w:pStyle w:val="EBTablenorm"/>
              <w:ind w:left="57" w:right="57"/>
              <w:contextualSpacing w:val="0"/>
              <w:rPr>
                <w:sz w:val="22"/>
                <w:szCs w:val="22"/>
              </w:rPr>
            </w:pPr>
            <w:r w:rsidRPr="00264D5D">
              <w:rPr>
                <w:sz w:val="22"/>
                <w:szCs w:val="22"/>
              </w:rPr>
              <w:t xml:space="preserve">Курс иностранной валюты по отношению к рублю. Поле не обязательно для заполнения в случае, если в элементе «Код валюты по ОКВ» значение равно </w:t>
            </w:r>
            <w:r w:rsidR="00B83EE9" w:rsidRPr="00264D5D">
              <w:rPr>
                <w:sz w:val="22"/>
                <w:szCs w:val="22"/>
              </w:rPr>
              <w:t>«643»</w:t>
            </w:r>
          </w:p>
        </w:tc>
      </w:tr>
      <w:tr w:rsidR="00AD1F54" w:rsidRPr="00264D5D" w14:paraId="00A0073C"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D7D6BD5" w14:textId="77777777" w:rsidR="00AD1F54" w:rsidRPr="00264D5D" w:rsidRDefault="00941227">
            <w:pPr>
              <w:pStyle w:val="EBTablenorm"/>
              <w:ind w:left="57" w:right="57"/>
              <w:contextualSpacing w:val="0"/>
              <w:rPr>
                <w:rFonts w:eastAsia="Calibri"/>
                <w:sz w:val="22"/>
                <w:szCs w:val="22"/>
              </w:rPr>
            </w:pPr>
            <w:r w:rsidRPr="00264D5D">
              <w:rPr>
                <w:sz w:val="22"/>
                <w:szCs w:val="22"/>
              </w:rPr>
              <w:t>Размер субсидии, бюджетных инвестиций, межбюджетного трансферта в единице валюты</w:t>
            </w:r>
          </w:p>
        </w:tc>
        <w:tc>
          <w:tcPr>
            <w:tcW w:w="1701" w:type="dxa"/>
          </w:tcPr>
          <w:p w14:paraId="1F9E7577" w14:textId="77777777" w:rsidR="00AD1F54" w:rsidRPr="00264D5D" w:rsidRDefault="00941227">
            <w:pPr>
              <w:pStyle w:val="EBTablenorm"/>
              <w:ind w:left="57" w:right="57"/>
              <w:contextualSpacing w:val="0"/>
              <w:jc w:val="left"/>
              <w:rPr>
                <w:rFonts w:eastAsia="Calibri"/>
                <w:sz w:val="22"/>
                <w:szCs w:val="22"/>
              </w:rPr>
            </w:pPr>
            <w:r w:rsidRPr="00264D5D">
              <w:rPr>
                <w:rFonts w:eastAsia="Calibri"/>
                <w:sz w:val="22"/>
                <w:szCs w:val="22"/>
              </w:rPr>
              <w:t>AgrCurSum</w:t>
            </w:r>
          </w:p>
        </w:tc>
        <w:tc>
          <w:tcPr>
            <w:tcW w:w="567" w:type="dxa"/>
          </w:tcPr>
          <w:p w14:paraId="1D0D1AB8"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1AC6B912" w14:textId="77777777" w:rsidR="00AD1F54" w:rsidRPr="00264D5D" w:rsidRDefault="00941227">
            <w:pPr>
              <w:pStyle w:val="EBTablenorm"/>
              <w:ind w:left="57" w:right="57"/>
              <w:contextualSpacing w:val="0"/>
              <w:jc w:val="left"/>
              <w:rPr>
                <w:rFonts w:eastAsia="Calibri"/>
                <w:sz w:val="22"/>
                <w:szCs w:val="22"/>
              </w:rPr>
            </w:pPr>
            <w:r w:rsidRPr="00264D5D">
              <w:rPr>
                <w:rFonts w:eastAsia="Calibri"/>
                <w:sz w:val="22"/>
                <w:szCs w:val="22"/>
              </w:rPr>
              <w:t>N(14.2)</w:t>
            </w:r>
          </w:p>
        </w:tc>
        <w:tc>
          <w:tcPr>
            <w:tcW w:w="567" w:type="dxa"/>
          </w:tcPr>
          <w:p w14:paraId="54B6B22B"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7FDDF229" w14:textId="77777777" w:rsidR="00AD1F54" w:rsidRPr="00264D5D" w:rsidRDefault="00941227">
            <w:pPr>
              <w:pStyle w:val="EBTablenorm"/>
              <w:ind w:left="57" w:right="57"/>
              <w:contextualSpacing w:val="0"/>
              <w:rPr>
                <w:sz w:val="22"/>
                <w:szCs w:val="22"/>
              </w:rPr>
            </w:pPr>
            <w:r w:rsidRPr="00264D5D">
              <w:rPr>
                <w:sz w:val="22"/>
                <w:szCs w:val="22"/>
              </w:rPr>
              <w:t>Размер субсидии, бюджетных инвестиций, межбюджетно</w:t>
            </w:r>
            <w:r w:rsidR="00B83EE9" w:rsidRPr="00264D5D">
              <w:rPr>
                <w:sz w:val="22"/>
                <w:szCs w:val="22"/>
              </w:rPr>
              <w:t>го трансферта в единице валюты.</w:t>
            </w:r>
          </w:p>
        </w:tc>
      </w:tr>
      <w:tr w:rsidR="00AD1F54" w:rsidRPr="00264D5D" w14:paraId="7F66D7FA"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642317C" w14:textId="77777777" w:rsidR="00AD1F54" w:rsidRPr="00264D5D" w:rsidRDefault="00941227">
            <w:pPr>
              <w:pStyle w:val="EBTablenorm"/>
              <w:ind w:left="57" w:right="57"/>
              <w:contextualSpacing w:val="0"/>
              <w:rPr>
                <w:rFonts w:eastAsia="Calibri"/>
                <w:sz w:val="22"/>
                <w:szCs w:val="22"/>
              </w:rPr>
            </w:pPr>
            <w:r w:rsidRPr="00264D5D">
              <w:rPr>
                <w:sz w:val="22"/>
                <w:szCs w:val="22"/>
              </w:rPr>
              <w:t>Размер субсидии, бюджетных инвестиций в рублевом эквиваленте</w:t>
            </w:r>
          </w:p>
        </w:tc>
        <w:tc>
          <w:tcPr>
            <w:tcW w:w="1701" w:type="dxa"/>
          </w:tcPr>
          <w:p w14:paraId="04712DBB" w14:textId="77777777" w:rsidR="00AD1F54" w:rsidRPr="00264D5D" w:rsidRDefault="00941227">
            <w:pPr>
              <w:pStyle w:val="EBTablenorm"/>
              <w:ind w:left="57" w:right="57"/>
              <w:contextualSpacing w:val="0"/>
              <w:jc w:val="left"/>
              <w:rPr>
                <w:rFonts w:eastAsia="Calibri"/>
                <w:sz w:val="22"/>
                <w:szCs w:val="22"/>
              </w:rPr>
            </w:pPr>
            <w:r w:rsidRPr="00264D5D">
              <w:rPr>
                <w:rFonts w:eastAsia="Calibri"/>
                <w:sz w:val="22"/>
                <w:szCs w:val="22"/>
              </w:rPr>
              <w:t>AgrRubSum</w:t>
            </w:r>
          </w:p>
        </w:tc>
        <w:tc>
          <w:tcPr>
            <w:tcW w:w="567" w:type="dxa"/>
          </w:tcPr>
          <w:p w14:paraId="04F40916"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210D37EB" w14:textId="77777777" w:rsidR="00AD1F54" w:rsidRPr="00264D5D" w:rsidRDefault="00941227">
            <w:pPr>
              <w:pStyle w:val="EBTablenorm"/>
              <w:ind w:left="57" w:right="57"/>
              <w:contextualSpacing w:val="0"/>
              <w:jc w:val="left"/>
              <w:rPr>
                <w:rFonts w:eastAsia="Calibri"/>
                <w:sz w:val="22"/>
                <w:szCs w:val="22"/>
              </w:rPr>
            </w:pPr>
            <w:r w:rsidRPr="00264D5D">
              <w:rPr>
                <w:rFonts w:eastAsia="Calibri"/>
                <w:sz w:val="22"/>
                <w:szCs w:val="22"/>
              </w:rPr>
              <w:t>N(14.2)</w:t>
            </w:r>
          </w:p>
        </w:tc>
        <w:tc>
          <w:tcPr>
            <w:tcW w:w="567" w:type="dxa"/>
          </w:tcPr>
          <w:p w14:paraId="132706EE" w14:textId="77777777" w:rsidR="00AD1F54" w:rsidRPr="00264D5D" w:rsidRDefault="00941227">
            <w:pPr>
              <w:pStyle w:val="EBTablenorm"/>
              <w:ind w:left="57" w:right="57"/>
              <w:contextualSpacing w:val="0"/>
              <w:jc w:val="center"/>
              <w:rPr>
                <w:sz w:val="22"/>
                <w:szCs w:val="22"/>
              </w:rPr>
            </w:pPr>
            <w:r w:rsidRPr="00264D5D">
              <w:rPr>
                <w:sz w:val="22"/>
                <w:szCs w:val="22"/>
              </w:rPr>
              <w:t>Н</w:t>
            </w:r>
          </w:p>
        </w:tc>
        <w:tc>
          <w:tcPr>
            <w:tcW w:w="3963" w:type="dxa"/>
          </w:tcPr>
          <w:p w14:paraId="5B419E68" w14:textId="77777777" w:rsidR="00AD1F54" w:rsidRPr="00264D5D" w:rsidRDefault="00941227">
            <w:pPr>
              <w:pStyle w:val="EBTablenorm"/>
              <w:ind w:left="57" w:right="57"/>
              <w:contextualSpacing w:val="0"/>
              <w:rPr>
                <w:sz w:val="22"/>
                <w:szCs w:val="22"/>
              </w:rPr>
            </w:pPr>
            <w:r w:rsidRPr="00264D5D">
              <w:rPr>
                <w:sz w:val="22"/>
                <w:szCs w:val="22"/>
              </w:rPr>
              <w:t xml:space="preserve">Размер субсидии, бюджетных инвестиций (средств), указанный в иностранной валюте, в рублевом эквиваленте. </w:t>
            </w:r>
            <w:r w:rsidRPr="00264D5D">
              <w:rPr>
                <w:sz w:val="22"/>
                <w:szCs w:val="22"/>
              </w:rPr>
              <w:br/>
              <w:t>Поле не обязательно для заполнения в случае, если в элементе «Код валю</w:t>
            </w:r>
            <w:r w:rsidR="00B83EE9" w:rsidRPr="00264D5D">
              <w:rPr>
                <w:sz w:val="22"/>
                <w:szCs w:val="22"/>
              </w:rPr>
              <w:t>ты по ОКВ» значение равно «643»</w:t>
            </w:r>
          </w:p>
        </w:tc>
      </w:tr>
      <w:tr w:rsidR="00AD1F54" w:rsidRPr="00264D5D" w14:paraId="3DEA2EBA"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7789266" w14:textId="77777777" w:rsidR="00AD1F54" w:rsidRPr="00264D5D" w:rsidRDefault="00941227">
            <w:pPr>
              <w:pStyle w:val="EBTablenorm"/>
              <w:ind w:left="57" w:right="57"/>
              <w:contextualSpacing w:val="0"/>
              <w:rPr>
                <w:sz w:val="22"/>
                <w:szCs w:val="22"/>
              </w:rPr>
            </w:pPr>
            <w:r w:rsidRPr="00264D5D">
              <w:rPr>
                <w:sz w:val="22"/>
                <w:szCs w:val="22"/>
              </w:rPr>
              <w:t>Сумма казначейского обеспечения обязательств</w:t>
            </w:r>
          </w:p>
        </w:tc>
        <w:tc>
          <w:tcPr>
            <w:tcW w:w="1701" w:type="dxa"/>
          </w:tcPr>
          <w:p w14:paraId="57952134" w14:textId="77777777" w:rsidR="00AD1F54" w:rsidRPr="00264D5D" w:rsidRDefault="00941227">
            <w:pPr>
              <w:pStyle w:val="EBTablenorm"/>
              <w:ind w:left="57" w:right="57"/>
              <w:contextualSpacing w:val="0"/>
              <w:jc w:val="left"/>
              <w:rPr>
                <w:sz w:val="22"/>
                <w:szCs w:val="22"/>
              </w:rPr>
            </w:pPr>
            <w:r w:rsidRPr="00264D5D">
              <w:rPr>
                <w:sz w:val="22"/>
                <w:szCs w:val="22"/>
              </w:rPr>
              <w:t>SumKOO</w:t>
            </w:r>
          </w:p>
        </w:tc>
        <w:tc>
          <w:tcPr>
            <w:tcW w:w="567" w:type="dxa"/>
          </w:tcPr>
          <w:p w14:paraId="0F27B30B"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010C56BC" w14:textId="77777777" w:rsidR="00AD1F54" w:rsidRPr="00264D5D" w:rsidRDefault="00941227">
            <w:pPr>
              <w:pStyle w:val="EBTablenorm"/>
              <w:ind w:left="57" w:right="57"/>
              <w:contextualSpacing w:val="0"/>
              <w:jc w:val="left"/>
              <w:rPr>
                <w:sz w:val="22"/>
                <w:szCs w:val="22"/>
              </w:rPr>
            </w:pPr>
            <w:r w:rsidRPr="00264D5D">
              <w:rPr>
                <w:rFonts w:eastAsia="Calibri"/>
                <w:sz w:val="22"/>
                <w:szCs w:val="22"/>
              </w:rPr>
              <w:t>N(14.2)</w:t>
            </w:r>
          </w:p>
        </w:tc>
        <w:tc>
          <w:tcPr>
            <w:tcW w:w="567" w:type="dxa"/>
          </w:tcPr>
          <w:p w14:paraId="51682471" w14:textId="77777777" w:rsidR="00AD1F54" w:rsidRPr="00264D5D" w:rsidRDefault="00941227">
            <w:pPr>
              <w:pStyle w:val="EBTablenorm"/>
              <w:ind w:left="57" w:right="57"/>
              <w:contextualSpacing w:val="0"/>
              <w:jc w:val="center"/>
              <w:rPr>
                <w:sz w:val="22"/>
                <w:szCs w:val="22"/>
              </w:rPr>
            </w:pPr>
            <w:r w:rsidRPr="00264D5D">
              <w:rPr>
                <w:sz w:val="22"/>
                <w:szCs w:val="22"/>
              </w:rPr>
              <w:t>Н</w:t>
            </w:r>
          </w:p>
        </w:tc>
        <w:tc>
          <w:tcPr>
            <w:tcW w:w="3963" w:type="dxa"/>
          </w:tcPr>
          <w:p w14:paraId="234ADB18" w14:textId="77777777" w:rsidR="00AD1F54" w:rsidRPr="00264D5D" w:rsidRDefault="00941227">
            <w:pPr>
              <w:pStyle w:val="EBTablenorm"/>
              <w:ind w:left="57" w:right="57"/>
              <w:contextualSpacing w:val="0"/>
              <w:rPr>
                <w:sz w:val="22"/>
                <w:szCs w:val="22"/>
              </w:rPr>
            </w:pPr>
            <w:r w:rsidRPr="00264D5D">
              <w:rPr>
                <w:sz w:val="22"/>
                <w:szCs w:val="22"/>
              </w:rPr>
              <w:t>Указывается сумма казначейского обеспечения обязательств в валюте Российской Федерации (рублях), если расчеты по документу-основанию осуществляются с применением казначейского обеспечения обязательств.</w:t>
            </w:r>
          </w:p>
          <w:p w14:paraId="09C3F712" w14:textId="77777777" w:rsidR="00AD1F54" w:rsidRPr="00264D5D" w:rsidRDefault="00941227">
            <w:pPr>
              <w:pStyle w:val="EBTablenorm"/>
              <w:ind w:left="57" w:right="57"/>
              <w:contextualSpacing w:val="0"/>
              <w:rPr>
                <w:sz w:val="22"/>
                <w:szCs w:val="22"/>
              </w:rPr>
            </w:pPr>
            <w:r w:rsidRPr="00264D5D">
              <w:rPr>
                <w:sz w:val="22"/>
                <w:szCs w:val="22"/>
              </w:rPr>
              <w:t>В остальных сл</w:t>
            </w:r>
            <w:r w:rsidR="00B83EE9" w:rsidRPr="00264D5D">
              <w:rPr>
                <w:sz w:val="22"/>
                <w:szCs w:val="22"/>
              </w:rPr>
              <w:t>учаях не заполняется</w:t>
            </w:r>
          </w:p>
        </w:tc>
      </w:tr>
      <w:tr w:rsidR="00AD1F54" w:rsidRPr="00264D5D" w14:paraId="4AF12CF1"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5C0F7075" w14:textId="77777777" w:rsidR="00AD1F54" w:rsidRPr="00264D5D" w:rsidRDefault="00941227">
            <w:pPr>
              <w:pStyle w:val="EBTablenorm"/>
              <w:ind w:left="57" w:right="57"/>
              <w:contextualSpacing w:val="0"/>
              <w:rPr>
                <w:rFonts w:eastAsia="Calibri"/>
                <w:sz w:val="22"/>
                <w:szCs w:val="22"/>
              </w:rPr>
            </w:pPr>
            <w:r w:rsidRPr="00264D5D">
              <w:rPr>
                <w:sz w:val="22"/>
                <w:szCs w:val="22"/>
              </w:rPr>
              <w:t>Показатели результативности</w:t>
            </w:r>
          </w:p>
        </w:tc>
        <w:tc>
          <w:tcPr>
            <w:tcW w:w="1701" w:type="dxa"/>
          </w:tcPr>
          <w:p w14:paraId="575A1F01" w14:textId="77777777" w:rsidR="00AD1F54" w:rsidRPr="00264D5D" w:rsidRDefault="00941227">
            <w:pPr>
              <w:pStyle w:val="EBTablenorm"/>
              <w:ind w:left="57" w:right="57"/>
              <w:contextualSpacing w:val="0"/>
              <w:jc w:val="left"/>
              <w:rPr>
                <w:rFonts w:eastAsia="Calibri"/>
                <w:sz w:val="22"/>
                <w:szCs w:val="22"/>
              </w:rPr>
            </w:pPr>
            <w:r w:rsidRPr="00264D5D">
              <w:rPr>
                <w:rFonts w:eastAsia="Calibri"/>
                <w:sz w:val="22"/>
                <w:szCs w:val="22"/>
              </w:rPr>
              <w:t>PrfrmnsInd</w:t>
            </w:r>
          </w:p>
        </w:tc>
        <w:tc>
          <w:tcPr>
            <w:tcW w:w="567" w:type="dxa"/>
          </w:tcPr>
          <w:p w14:paraId="376455C9" w14:textId="77777777" w:rsidR="00AD1F54" w:rsidRPr="00264D5D" w:rsidRDefault="00941227">
            <w:pPr>
              <w:pStyle w:val="EBTablenorm"/>
              <w:ind w:left="57" w:right="57"/>
              <w:contextualSpacing w:val="0"/>
              <w:jc w:val="center"/>
              <w:rPr>
                <w:rFonts w:eastAsia="Calibri"/>
                <w:sz w:val="22"/>
                <w:szCs w:val="22"/>
              </w:rPr>
            </w:pPr>
            <w:r w:rsidRPr="00264D5D">
              <w:rPr>
                <w:rFonts w:eastAsia="Calibri"/>
                <w:sz w:val="22"/>
                <w:szCs w:val="22"/>
              </w:rPr>
              <w:t>С</w:t>
            </w:r>
          </w:p>
        </w:tc>
        <w:tc>
          <w:tcPr>
            <w:tcW w:w="1134" w:type="dxa"/>
          </w:tcPr>
          <w:p w14:paraId="1F3BD37E" w14:textId="77777777" w:rsidR="00AD1F54" w:rsidRPr="00264D5D" w:rsidRDefault="00941227">
            <w:pPr>
              <w:pStyle w:val="EBTablenorm"/>
              <w:ind w:left="57" w:right="57"/>
              <w:contextualSpacing w:val="0"/>
              <w:jc w:val="left"/>
              <w:rPr>
                <w:rFonts w:eastAsia="Calibri"/>
                <w:sz w:val="22"/>
                <w:szCs w:val="22"/>
              </w:rPr>
            </w:pPr>
            <w:r w:rsidRPr="00264D5D">
              <w:rPr>
                <w:rFonts w:eastAsia="Calibri"/>
                <w:sz w:val="22"/>
                <w:szCs w:val="22"/>
              </w:rPr>
              <w:t>tPrfrmnsInd</w:t>
            </w:r>
          </w:p>
        </w:tc>
        <w:tc>
          <w:tcPr>
            <w:tcW w:w="567" w:type="dxa"/>
          </w:tcPr>
          <w:p w14:paraId="552D4996" w14:textId="77777777" w:rsidR="00AD1F54" w:rsidRPr="00264D5D" w:rsidRDefault="00941227">
            <w:pPr>
              <w:pStyle w:val="EBTablenorm"/>
              <w:ind w:left="57" w:right="57"/>
              <w:contextualSpacing w:val="0"/>
              <w:jc w:val="center"/>
              <w:rPr>
                <w:sz w:val="22"/>
                <w:szCs w:val="22"/>
              </w:rPr>
            </w:pPr>
            <w:r w:rsidRPr="00264D5D">
              <w:rPr>
                <w:sz w:val="22"/>
                <w:szCs w:val="22"/>
              </w:rPr>
              <w:t>НМ</w:t>
            </w:r>
          </w:p>
        </w:tc>
        <w:tc>
          <w:tcPr>
            <w:tcW w:w="3963" w:type="dxa"/>
          </w:tcPr>
          <w:p w14:paraId="456CDDE7" w14:textId="77777777" w:rsidR="00AD1F54" w:rsidRPr="00264D5D" w:rsidRDefault="00941227">
            <w:pPr>
              <w:pStyle w:val="EBTablenorm"/>
              <w:ind w:left="57" w:right="57"/>
              <w:contextualSpacing w:val="0"/>
              <w:rPr>
                <w:sz w:val="22"/>
                <w:szCs w:val="22"/>
              </w:rPr>
            </w:pPr>
            <w:r w:rsidRPr="00264D5D">
              <w:rPr>
                <w:sz w:val="22"/>
                <w:szCs w:val="22"/>
              </w:rPr>
              <w:t>Плановые показатели результативности (в с</w:t>
            </w:r>
            <w:r w:rsidR="00B83EE9" w:rsidRPr="00264D5D">
              <w:rPr>
                <w:sz w:val="22"/>
                <w:szCs w:val="22"/>
              </w:rPr>
              <w:t>оответствии с п. 4.21 Порядка).</w:t>
            </w:r>
            <w:r w:rsidRPr="00264D5D">
              <w:rPr>
                <w:sz w:val="22"/>
                <w:szCs w:val="22"/>
              </w:rPr>
              <w:t xml:space="preserve"> Обязательно для заполнения при указании в элементе «Код вида соглашения» значения «031». </w:t>
            </w:r>
          </w:p>
          <w:p w14:paraId="7C89BBA9" w14:textId="0FE114AD" w:rsidR="00AD1F54" w:rsidRPr="00264D5D" w:rsidRDefault="00941227">
            <w:pPr>
              <w:pStyle w:val="EBTablenorm"/>
              <w:ind w:left="57" w:right="57"/>
              <w:contextualSpacing w:val="0"/>
              <w:rPr>
                <w:sz w:val="22"/>
                <w:szCs w:val="22"/>
              </w:rPr>
            </w:pPr>
            <w:r w:rsidRPr="00264D5D">
              <w:rPr>
                <w:sz w:val="22"/>
                <w:szCs w:val="22"/>
              </w:rPr>
              <w:t>Состав элемента представлен в таблице</w:t>
            </w:r>
            <w:r w:rsidRPr="00264D5D">
              <w:rPr>
                <w:b/>
                <w:sz w:val="22"/>
                <w:szCs w:val="22"/>
              </w:rPr>
              <w:t xml:space="preserve"> </w:t>
            </w:r>
            <w:r w:rsidRPr="00264D5D">
              <w:rPr>
                <w:b/>
                <w:sz w:val="22"/>
                <w:szCs w:val="22"/>
              </w:rPr>
              <w:fldChar w:fldCharType="begin"/>
            </w:r>
            <w:r w:rsidRPr="00264D5D">
              <w:rPr>
                <w:b/>
                <w:sz w:val="22"/>
                <w:szCs w:val="22"/>
              </w:rPr>
              <w:instrText xml:space="preserve"> REF _Ref494364142 \h  \* MERGEFORMAT </w:instrText>
            </w:r>
            <w:r w:rsidRPr="00264D5D">
              <w:rPr>
                <w:b/>
                <w:sz w:val="22"/>
                <w:szCs w:val="22"/>
              </w:rPr>
            </w:r>
            <w:r w:rsidRPr="00264D5D">
              <w:rPr>
                <w:b/>
                <w:sz w:val="22"/>
                <w:szCs w:val="22"/>
              </w:rPr>
              <w:fldChar w:fldCharType="separate"/>
            </w:r>
            <w:r w:rsidR="008D797C" w:rsidRPr="008D797C">
              <w:rPr>
                <w:rFonts w:eastAsia="Calibri"/>
                <w:b/>
                <w:sz w:val="22"/>
                <w:szCs w:val="22"/>
              </w:rPr>
              <w:t>206</w:t>
            </w:r>
            <w:r w:rsidRPr="00264D5D">
              <w:rPr>
                <w:b/>
                <w:sz w:val="22"/>
                <w:szCs w:val="22"/>
              </w:rPr>
              <w:fldChar w:fldCharType="end"/>
            </w:r>
          </w:p>
        </w:tc>
      </w:tr>
    </w:tbl>
    <w:p w14:paraId="2155FEC8" w14:textId="77777777" w:rsidR="00AD1F54" w:rsidRPr="00264D5D" w:rsidRDefault="00941227">
      <w:pPr>
        <w:pStyle w:val="31"/>
      </w:pPr>
      <w:bookmarkStart w:id="1966" w:name="_Toc493090498"/>
      <w:bookmarkStart w:id="1967" w:name="_Toc496984031"/>
      <w:bookmarkStart w:id="1968" w:name="_Toc219309666"/>
      <w:r w:rsidRPr="00264D5D">
        <w:lastRenderedPageBreak/>
        <w:t>Описание комплексного типа «tAgrSumKbk»</w:t>
      </w:r>
      <w:bookmarkEnd w:id="1966"/>
      <w:bookmarkEnd w:id="1967"/>
      <w:bookmarkEnd w:id="1968"/>
    </w:p>
    <w:p w14:paraId="7B1C0157" w14:textId="77777777" w:rsidR="00AD1F54" w:rsidRPr="00264D5D" w:rsidRDefault="00941227">
      <w:pPr>
        <w:spacing w:before="60" w:after="120"/>
        <w:ind w:firstLine="567"/>
        <w:rPr>
          <w:rFonts w:eastAsia="Calibri"/>
          <w:szCs w:val="24"/>
        </w:rPr>
      </w:pPr>
      <w:r w:rsidRPr="00264D5D">
        <w:rPr>
          <w:rFonts w:eastAsia="Calibri"/>
          <w:szCs w:val="24"/>
        </w:rPr>
        <w:t>Описание комплексного типа «tAgrSumKbk»</w:t>
      </w:r>
      <w:r w:rsidRPr="00264D5D">
        <w:t xml:space="preserve"> блока</w:t>
      </w:r>
      <w:r w:rsidRPr="00264D5D">
        <w:rPr>
          <w:rFonts w:eastAsia="Calibri"/>
          <w:szCs w:val="24"/>
        </w:rPr>
        <w:t xml:space="preserve"> «Размер субсидии, бюджетных инвестиций, межбюджетных трансфертов и целевое направление расходов в разрезе кодов бюджетной классификации».</w:t>
      </w:r>
    </w:p>
    <w:p w14:paraId="7C6C59C4" w14:textId="18251969"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1969" w:name="_Ref494364027"/>
      <w:bookmarkStart w:id="1970" w:name="_Toc30503383"/>
      <w:bookmarkStart w:id="1971" w:name="_Toc30507981"/>
      <w:bookmarkStart w:id="1972" w:name="_Toc219309234"/>
      <w:r w:rsidR="008D797C">
        <w:rPr>
          <w:rFonts w:eastAsia="Calibri"/>
          <w:noProof/>
          <w:szCs w:val="24"/>
        </w:rPr>
        <w:t>204</w:t>
      </w:r>
      <w:bookmarkEnd w:id="1969"/>
      <w:r w:rsidRPr="00264D5D">
        <w:rPr>
          <w:rFonts w:eastAsia="Calibri"/>
          <w:szCs w:val="24"/>
        </w:rPr>
        <w:fldChar w:fldCharType="end"/>
      </w:r>
      <w:r w:rsidRPr="00264D5D">
        <w:rPr>
          <w:rFonts w:eastAsia="Calibri"/>
          <w:szCs w:val="24"/>
        </w:rPr>
        <w:t xml:space="preserve"> – Описание комплексного типа «tAgrSumKbk»</w:t>
      </w:r>
      <w:bookmarkEnd w:id="1970"/>
      <w:bookmarkEnd w:id="1971"/>
      <w:bookmarkEnd w:id="1972"/>
    </w:p>
    <w:tbl>
      <w:tblPr>
        <w:tblStyle w:val="GOSTTable"/>
        <w:tblW w:w="5000" w:type="pct"/>
        <w:tblLayout w:type="fixed"/>
        <w:tblLook w:val="01E0" w:firstRow="1" w:lastRow="1" w:firstColumn="1" w:lastColumn="1" w:noHBand="0" w:noVBand="0"/>
      </w:tblPr>
      <w:tblGrid>
        <w:gridCol w:w="1704"/>
        <w:gridCol w:w="1704"/>
        <w:gridCol w:w="568"/>
        <w:gridCol w:w="1136"/>
        <w:gridCol w:w="568"/>
        <w:gridCol w:w="3970"/>
      </w:tblGrid>
      <w:tr w:rsidR="00AD1F54" w:rsidRPr="00264D5D" w14:paraId="4FE7B7A5"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4" w:type="dxa"/>
          </w:tcPr>
          <w:p w14:paraId="63BCBB72" w14:textId="77777777" w:rsidR="00AD1F54" w:rsidRPr="00264D5D" w:rsidRDefault="00941227">
            <w:pPr>
              <w:pStyle w:val="EBTableHead"/>
              <w:ind w:left="57" w:right="57"/>
              <w:rPr>
                <w:sz w:val="22"/>
                <w:szCs w:val="22"/>
              </w:rPr>
            </w:pPr>
            <w:r w:rsidRPr="00264D5D">
              <w:rPr>
                <w:bCs w:val="0"/>
                <w:sz w:val="22"/>
                <w:szCs w:val="22"/>
              </w:rPr>
              <w:t>Наименование элемента</w:t>
            </w:r>
          </w:p>
        </w:tc>
        <w:tc>
          <w:tcPr>
            <w:tcW w:w="1704" w:type="dxa"/>
          </w:tcPr>
          <w:p w14:paraId="5A6FFF5F" w14:textId="77777777" w:rsidR="00AD1F54" w:rsidRPr="00264D5D" w:rsidRDefault="00941227">
            <w:pPr>
              <w:pStyle w:val="EBTableHead"/>
              <w:ind w:left="57" w:right="57"/>
              <w:rPr>
                <w:sz w:val="22"/>
                <w:szCs w:val="22"/>
              </w:rPr>
            </w:pPr>
            <w:r w:rsidRPr="00264D5D">
              <w:rPr>
                <w:bCs w:val="0"/>
                <w:sz w:val="22"/>
                <w:szCs w:val="22"/>
              </w:rPr>
              <w:t>Сокращенное наименование (код) элемента</w:t>
            </w:r>
          </w:p>
        </w:tc>
        <w:tc>
          <w:tcPr>
            <w:tcW w:w="568" w:type="dxa"/>
          </w:tcPr>
          <w:p w14:paraId="15A4BC20" w14:textId="77777777" w:rsidR="00AD1F54" w:rsidRPr="00264D5D" w:rsidRDefault="00941227">
            <w:pPr>
              <w:pStyle w:val="EBTableHead"/>
              <w:ind w:left="57" w:right="57"/>
              <w:rPr>
                <w:sz w:val="22"/>
                <w:szCs w:val="22"/>
              </w:rPr>
            </w:pPr>
            <w:r w:rsidRPr="00264D5D">
              <w:rPr>
                <w:bCs w:val="0"/>
                <w:sz w:val="22"/>
                <w:szCs w:val="22"/>
              </w:rPr>
              <w:t>Тип</w:t>
            </w:r>
          </w:p>
        </w:tc>
        <w:tc>
          <w:tcPr>
            <w:tcW w:w="1136" w:type="dxa"/>
          </w:tcPr>
          <w:p w14:paraId="6BD1DE94" w14:textId="77777777" w:rsidR="00AD1F54" w:rsidRPr="00264D5D" w:rsidRDefault="00941227">
            <w:pPr>
              <w:pStyle w:val="EBTableHead"/>
              <w:ind w:left="57" w:right="57"/>
              <w:rPr>
                <w:sz w:val="22"/>
                <w:szCs w:val="22"/>
              </w:rPr>
            </w:pPr>
            <w:r w:rsidRPr="00264D5D">
              <w:rPr>
                <w:bCs w:val="0"/>
                <w:sz w:val="22"/>
                <w:szCs w:val="22"/>
              </w:rPr>
              <w:t>Формат элемента</w:t>
            </w:r>
          </w:p>
        </w:tc>
        <w:tc>
          <w:tcPr>
            <w:tcW w:w="568" w:type="dxa"/>
          </w:tcPr>
          <w:p w14:paraId="6D54D47D" w14:textId="77777777" w:rsidR="00AD1F54" w:rsidRPr="00264D5D" w:rsidRDefault="00941227">
            <w:pPr>
              <w:spacing w:before="60" w:after="60"/>
              <w:ind w:left="57" w:right="57"/>
              <w:jc w:val="center"/>
              <w:rPr>
                <w:b/>
                <w:bCs/>
                <w:sz w:val="22"/>
                <w:szCs w:val="22"/>
              </w:rPr>
            </w:pPr>
            <w:r w:rsidRPr="00264D5D">
              <w:rPr>
                <w:b/>
                <w:bCs/>
                <w:sz w:val="22"/>
                <w:szCs w:val="22"/>
              </w:rPr>
              <w:t>Обязательность</w:t>
            </w:r>
          </w:p>
        </w:tc>
        <w:tc>
          <w:tcPr>
            <w:tcW w:w="3970" w:type="dxa"/>
          </w:tcPr>
          <w:p w14:paraId="6A68C202" w14:textId="77777777" w:rsidR="00AD1F54" w:rsidRPr="00264D5D" w:rsidRDefault="00941227">
            <w:pPr>
              <w:pStyle w:val="EBTableHead"/>
              <w:ind w:left="57" w:right="57"/>
              <w:rPr>
                <w:sz w:val="22"/>
                <w:szCs w:val="22"/>
              </w:rPr>
            </w:pPr>
            <w:r w:rsidRPr="00264D5D">
              <w:rPr>
                <w:bCs w:val="0"/>
                <w:sz w:val="22"/>
                <w:szCs w:val="22"/>
              </w:rPr>
              <w:t>Дополнительная информация</w:t>
            </w:r>
          </w:p>
        </w:tc>
      </w:tr>
      <w:tr w:rsidR="00AD1F54" w:rsidRPr="00264D5D" w14:paraId="21226E74" w14:textId="77777777" w:rsidTr="00AD1F54">
        <w:trPr>
          <w:cnfStyle w:val="000000100000" w:firstRow="0" w:lastRow="0" w:firstColumn="0" w:lastColumn="0" w:oddVBand="0" w:evenVBand="0" w:oddHBand="1" w:evenHBand="0" w:firstRowFirstColumn="0" w:firstRowLastColumn="0" w:lastRowFirstColumn="0" w:lastRowLastColumn="0"/>
        </w:trPr>
        <w:tc>
          <w:tcPr>
            <w:tcW w:w="1704" w:type="dxa"/>
          </w:tcPr>
          <w:p w14:paraId="077D0485" w14:textId="77777777" w:rsidR="00AD1F54" w:rsidRPr="00264D5D" w:rsidRDefault="00941227">
            <w:pPr>
              <w:pStyle w:val="EBTablenorm"/>
              <w:ind w:left="57" w:right="57"/>
              <w:rPr>
                <w:sz w:val="22"/>
                <w:szCs w:val="22"/>
              </w:rPr>
            </w:pPr>
            <w:r w:rsidRPr="00264D5D">
              <w:rPr>
                <w:sz w:val="22"/>
                <w:szCs w:val="22"/>
              </w:rPr>
              <w:t>Код классификации расходов федерального бюджета</w:t>
            </w:r>
          </w:p>
        </w:tc>
        <w:tc>
          <w:tcPr>
            <w:tcW w:w="1704" w:type="dxa"/>
          </w:tcPr>
          <w:p w14:paraId="6223120B" w14:textId="77777777" w:rsidR="00AD1F54" w:rsidRPr="00264D5D" w:rsidRDefault="00941227">
            <w:pPr>
              <w:pStyle w:val="EBTablenorm"/>
              <w:ind w:left="57" w:right="57"/>
              <w:jc w:val="left"/>
              <w:rPr>
                <w:rFonts w:eastAsia="Calibri"/>
                <w:sz w:val="22"/>
                <w:szCs w:val="22"/>
              </w:rPr>
            </w:pPr>
            <w:r w:rsidRPr="00264D5D">
              <w:rPr>
                <w:sz w:val="22"/>
                <w:szCs w:val="22"/>
                <w:lang w:val="en-US"/>
              </w:rPr>
              <w:t>Kbkcode</w:t>
            </w:r>
          </w:p>
        </w:tc>
        <w:tc>
          <w:tcPr>
            <w:tcW w:w="568" w:type="dxa"/>
          </w:tcPr>
          <w:p w14:paraId="767824E2" w14:textId="77777777" w:rsidR="00AD1F54" w:rsidRPr="00264D5D" w:rsidRDefault="00941227">
            <w:pPr>
              <w:pStyle w:val="EBTablenorm"/>
              <w:ind w:left="57" w:right="57"/>
              <w:jc w:val="center"/>
              <w:rPr>
                <w:sz w:val="22"/>
                <w:szCs w:val="22"/>
              </w:rPr>
            </w:pPr>
            <w:r w:rsidRPr="00264D5D">
              <w:rPr>
                <w:sz w:val="22"/>
                <w:szCs w:val="22"/>
              </w:rPr>
              <w:t>П</w:t>
            </w:r>
          </w:p>
        </w:tc>
        <w:tc>
          <w:tcPr>
            <w:tcW w:w="1136" w:type="dxa"/>
          </w:tcPr>
          <w:p w14:paraId="7A2BD9B9" w14:textId="77777777" w:rsidR="00AD1F54" w:rsidRPr="00264D5D" w:rsidRDefault="00941227">
            <w:pPr>
              <w:pStyle w:val="EBTablenorm"/>
              <w:ind w:left="57" w:right="57"/>
              <w:jc w:val="left"/>
              <w:rPr>
                <w:rFonts w:eastAsia="Calibri"/>
                <w:sz w:val="22"/>
                <w:szCs w:val="22"/>
              </w:rPr>
            </w:pPr>
            <w:r w:rsidRPr="00264D5D">
              <w:rPr>
                <w:sz w:val="22"/>
                <w:szCs w:val="22"/>
                <w:lang w:val="en-US"/>
              </w:rPr>
              <w:t>Т(20)</w:t>
            </w:r>
          </w:p>
        </w:tc>
        <w:tc>
          <w:tcPr>
            <w:tcW w:w="568" w:type="dxa"/>
          </w:tcPr>
          <w:p w14:paraId="7F4C9680" w14:textId="77777777" w:rsidR="00AD1F54" w:rsidRPr="00264D5D" w:rsidRDefault="00941227">
            <w:pPr>
              <w:pStyle w:val="EBTablenorm"/>
              <w:ind w:left="57" w:right="57"/>
              <w:jc w:val="center"/>
              <w:rPr>
                <w:sz w:val="22"/>
                <w:szCs w:val="22"/>
                <w:lang w:val="en-US"/>
              </w:rPr>
            </w:pPr>
            <w:r w:rsidRPr="00264D5D">
              <w:rPr>
                <w:sz w:val="22"/>
                <w:szCs w:val="22"/>
              </w:rPr>
              <w:t>О</w:t>
            </w:r>
          </w:p>
        </w:tc>
        <w:tc>
          <w:tcPr>
            <w:tcW w:w="3970" w:type="dxa"/>
          </w:tcPr>
          <w:p w14:paraId="383695ED" w14:textId="77777777" w:rsidR="00AD1F54" w:rsidRPr="00264D5D" w:rsidRDefault="00941227">
            <w:pPr>
              <w:pStyle w:val="EBTablenorm"/>
              <w:ind w:left="57" w:right="57"/>
              <w:rPr>
                <w:sz w:val="22"/>
                <w:szCs w:val="22"/>
              </w:rPr>
            </w:pPr>
            <w:r w:rsidRPr="00264D5D">
              <w:rPr>
                <w:sz w:val="22"/>
                <w:szCs w:val="22"/>
              </w:rPr>
              <w:t>Код классификации расходов федерального бюджета указывается в соответствии с Приказом Минфина России от 01.07.2013 № 65н «Об утверждении Указаний о порядке применения бюджетной классификации Российской Федерац</w:t>
            </w:r>
            <w:r w:rsidR="00B83EE9" w:rsidRPr="00264D5D">
              <w:rPr>
                <w:sz w:val="22"/>
                <w:szCs w:val="22"/>
              </w:rPr>
              <w:t>ии»</w:t>
            </w:r>
          </w:p>
        </w:tc>
      </w:tr>
      <w:tr w:rsidR="00AD1F54" w:rsidRPr="00264D5D" w14:paraId="0BBE75E8" w14:textId="77777777" w:rsidTr="00AD1F54">
        <w:trPr>
          <w:cnfStyle w:val="000000010000" w:firstRow="0" w:lastRow="0" w:firstColumn="0" w:lastColumn="0" w:oddVBand="0" w:evenVBand="0" w:oddHBand="0" w:evenHBand="1" w:firstRowFirstColumn="0" w:firstRowLastColumn="0" w:lastRowFirstColumn="0" w:lastRowLastColumn="0"/>
        </w:trPr>
        <w:tc>
          <w:tcPr>
            <w:tcW w:w="1704" w:type="dxa"/>
          </w:tcPr>
          <w:p w14:paraId="40F42B50" w14:textId="77777777" w:rsidR="00AD1F54" w:rsidRPr="00264D5D" w:rsidRDefault="00941227">
            <w:pPr>
              <w:pStyle w:val="EBTablenorm"/>
              <w:ind w:left="57" w:right="57"/>
              <w:rPr>
                <w:rFonts w:eastAsia="Calibri"/>
                <w:sz w:val="22"/>
                <w:szCs w:val="22"/>
              </w:rPr>
            </w:pPr>
            <w:r w:rsidRPr="00264D5D">
              <w:rPr>
                <w:sz w:val="22"/>
                <w:szCs w:val="22"/>
              </w:rPr>
              <w:t>Наименование цели представления, целевого направления расходования</w:t>
            </w:r>
          </w:p>
        </w:tc>
        <w:tc>
          <w:tcPr>
            <w:tcW w:w="1704" w:type="dxa"/>
          </w:tcPr>
          <w:p w14:paraId="722E675D" w14:textId="77777777" w:rsidR="00AD1F54" w:rsidRPr="00264D5D" w:rsidRDefault="00941227">
            <w:pPr>
              <w:pStyle w:val="EBTablenorm"/>
              <w:ind w:left="57" w:right="57"/>
              <w:jc w:val="left"/>
              <w:rPr>
                <w:sz w:val="22"/>
                <w:szCs w:val="22"/>
                <w:lang w:val="en-US"/>
              </w:rPr>
            </w:pPr>
            <w:r w:rsidRPr="00264D5D">
              <w:rPr>
                <w:sz w:val="22"/>
                <w:szCs w:val="22"/>
              </w:rPr>
              <w:t xml:space="preserve"> </w:t>
            </w:r>
            <w:r w:rsidRPr="00264D5D">
              <w:rPr>
                <w:sz w:val="22"/>
                <w:szCs w:val="22"/>
                <w:lang w:val="en-US"/>
              </w:rPr>
              <w:t>TrgtName</w:t>
            </w:r>
          </w:p>
        </w:tc>
        <w:tc>
          <w:tcPr>
            <w:tcW w:w="568" w:type="dxa"/>
          </w:tcPr>
          <w:p w14:paraId="794049AD" w14:textId="77777777" w:rsidR="00AD1F54" w:rsidRPr="00264D5D" w:rsidRDefault="00941227">
            <w:pPr>
              <w:pStyle w:val="EBTablenorm"/>
              <w:ind w:left="57" w:right="57"/>
              <w:jc w:val="center"/>
              <w:rPr>
                <w:sz w:val="22"/>
                <w:szCs w:val="22"/>
              </w:rPr>
            </w:pPr>
            <w:r w:rsidRPr="00264D5D">
              <w:rPr>
                <w:sz w:val="22"/>
                <w:szCs w:val="22"/>
              </w:rPr>
              <w:t>П</w:t>
            </w:r>
          </w:p>
        </w:tc>
        <w:tc>
          <w:tcPr>
            <w:tcW w:w="1136" w:type="dxa"/>
          </w:tcPr>
          <w:p w14:paraId="32576B75" w14:textId="77777777" w:rsidR="00AD1F54" w:rsidRPr="00264D5D" w:rsidRDefault="00941227">
            <w:pPr>
              <w:pStyle w:val="EBTablenorm"/>
              <w:ind w:left="57" w:right="57"/>
              <w:jc w:val="left"/>
              <w:rPr>
                <w:sz w:val="22"/>
                <w:szCs w:val="22"/>
                <w:lang w:val="en-US"/>
              </w:rPr>
            </w:pPr>
            <w:r w:rsidRPr="00264D5D">
              <w:rPr>
                <w:sz w:val="22"/>
                <w:szCs w:val="22"/>
              </w:rPr>
              <w:t>Т(1-2000)</w:t>
            </w:r>
          </w:p>
        </w:tc>
        <w:tc>
          <w:tcPr>
            <w:tcW w:w="568" w:type="dxa"/>
          </w:tcPr>
          <w:p w14:paraId="5EC239D9" w14:textId="77777777" w:rsidR="00AD1F54" w:rsidRPr="00264D5D" w:rsidRDefault="00941227">
            <w:pPr>
              <w:pStyle w:val="EBTablenorm"/>
              <w:ind w:left="57" w:right="57"/>
              <w:jc w:val="center"/>
              <w:rPr>
                <w:sz w:val="22"/>
                <w:szCs w:val="22"/>
              </w:rPr>
            </w:pPr>
            <w:r w:rsidRPr="00264D5D">
              <w:rPr>
                <w:sz w:val="22"/>
                <w:szCs w:val="22"/>
              </w:rPr>
              <w:t>О</w:t>
            </w:r>
          </w:p>
        </w:tc>
        <w:tc>
          <w:tcPr>
            <w:tcW w:w="3970" w:type="dxa"/>
          </w:tcPr>
          <w:p w14:paraId="5C322B92" w14:textId="77777777" w:rsidR="00AD1F54" w:rsidRPr="00264D5D" w:rsidRDefault="00941227">
            <w:pPr>
              <w:pStyle w:val="EBTablenorm"/>
              <w:ind w:left="57" w:right="57"/>
              <w:rPr>
                <w:b/>
                <w:sz w:val="22"/>
                <w:szCs w:val="22"/>
              </w:rPr>
            </w:pPr>
            <w:r w:rsidRPr="00264D5D">
              <w:rPr>
                <w:sz w:val="22"/>
                <w:szCs w:val="22"/>
              </w:rPr>
              <w:t xml:space="preserve">Наименование цели представления, целевого направления расходования </w:t>
            </w:r>
            <w:r w:rsidRPr="00264D5D">
              <w:rPr>
                <w:bCs/>
                <w:sz w:val="22"/>
                <w:szCs w:val="22"/>
              </w:rPr>
              <w:t>(в соответствии с п. 4.19 Порядка)</w:t>
            </w:r>
            <w:r w:rsidR="00B83EE9" w:rsidRPr="00264D5D">
              <w:rPr>
                <w:sz w:val="22"/>
                <w:szCs w:val="22"/>
              </w:rPr>
              <w:t>.</w:t>
            </w:r>
          </w:p>
        </w:tc>
      </w:tr>
      <w:tr w:rsidR="00AD1F54" w:rsidRPr="00264D5D" w14:paraId="0287DB52" w14:textId="77777777" w:rsidTr="00AD1F54">
        <w:trPr>
          <w:cnfStyle w:val="000000100000" w:firstRow="0" w:lastRow="0" w:firstColumn="0" w:lastColumn="0" w:oddVBand="0" w:evenVBand="0" w:oddHBand="1" w:evenHBand="0" w:firstRowFirstColumn="0" w:firstRowLastColumn="0" w:lastRowFirstColumn="0" w:lastRowLastColumn="0"/>
        </w:trPr>
        <w:tc>
          <w:tcPr>
            <w:tcW w:w="1704" w:type="dxa"/>
          </w:tcPr>
          <w:p w14:paraId="24BDEE0B" w14:textId="77777777" w:rsidR="00AD1F54" w:rsidRPr="00264D5D" w:rsidRDefault="00941227">
            <w:pPr>
              <w:pStyle w:val="EBTablenorm"/>
              <w:ind w:left="57" w:right="57"/>
              <w:rPr>
                <w:sz w:val="22"/>
                <w:szCs w:val="22"/>
              </w:rPr>
            </w:pPr>
            <w:r w:rsidRPr="00264D5D">
              <w:rPr>
                <w:sz w:val="22"/>
                <w:szCs w:val="22"/>
              </w:rPr>
              <w:t>Код цели представления, целевого направления расходования</w:t>
            </w:r>
          </w:p>
        </w:tc>
        <w:tc>
          <w:tcPr>
            <w:tcW w:w="1704" w:type="dxa"/>
          </w:tcPr>
          <w:p w14:paraId="2561EEA5" w14:textId="77777777" w:rsidR="00AD1F54" w:rsidRPr="00264D5D" w:rsidRDefault="00941227">
            <w:pPr>
              <w:pStyle w:val="EBTablenorm"/>
              <w:ind w:left="57" w:right="57"/>
              <w:jc w:val="left"/>
              <w:rPr>
                <w:sz w:val="22"/>
                <w:szCs w:val="22"/>
              </w:rPr>
            </w:pPr>
            <w:r w:rsidRPr="00264D5D">
              <w:rPr>
                <w:sz w:val="22"/>
                <w:szCs w:val="22"/>
              </w:rPr>
              <w:t>TrgtCode</w:t>
            </w:r>
          </w:p>
        </w:tc>
        <w:tc>
          <w:tcPr>
            <w:tcW w:w="568" w:type="dxa"/>
          </w:tcPr>
          <w:p w14:paraId="390CF0D4" w14:textId="77777777" w:rsidR="00AD1F54" w:rsidRPr="00264D5D" w:rsidRDefault="00941227">
            <w:pPr>
              <w:pStyle w:val="EBTablenorm"/>
              <w:ind w:left="57" w:right="57"/>
              <w:jc w:val="center"/>
              <w:rPr>
                <w:sz w:val="22"/>
                <w:szCs w:val="22"/>
              </w:rPr>
            </w:pPr>
            <w:r w:rsidRPr="00264D5D">
              <w:rPr>
                <w:sz w:val="22"/>
                <w:szCs w:val="22"/>
              </w:rPr>
              <w:t>П</w:t>
            </w:r>
          </w:p>
        </w:tc>
        <w:tc>
          <w:tcPr>
            <w:tcW w:w="1136" w:type="dxa"/>
          </w:tcPr>
          <w:p w14:paraId="407FDA65" w14:textId="77777777" w:rsidR="00AD1F54" w:rsidRPr="00264D5D" w:rsidRDefault="00941227">
            <w:pPr>
              <w:pStyle w:val="EBTablenorm"/>
              <w:ind w:left="57" w:right="57"/>
              <w:jc w:val="left"/>
              <w:rPr>
                <w:sz w:val="22"/>
                <w:szCs w:val="22"/>
              </w:rPr>
            </w:pPr>
            <w:r w:rsidRPr="00264D5D">
              <w:rPr>
                <w:sz w:val="22"/>
                <w:szCs w:val="22"/>
              </w:rPr>
              <w:t>Т(1-2000)</w:t>
            </w:r>
          </w:p>
        </w:tc>
        <w:tc>
          <w:tcPr>
            <w:tcW w:w="568" w:type="dxa"/>
          </w:tcPr>
          <w:p w14:paraId="03EA2551" w14:textId="77777777" w:rsidR="00AD1F54" w:rsidRPr="00264D5D" w:rsidRDefault="00941227">
            <w:pPr>
              <w:pStyle w:val="EBTablenorm"/>
              <w:ind w:left="57" w:right="57"/>
              <w:jc w:val="center"/>
              <w:rPr>
                <w:sz w:val="22"/>
                <w:szCs w:val="22"/>
              </w:rPr>
            </w:pPr>
            <w:r w:rsidRPr="00264D5D">
              <w:rPr>
                <w:sz w:val="22"/>
                <w:szCs w:val="22"/>
              </w:rPr>
              <w:t>Н</w:t>
            </w:r>
          </w:p>
        </w:tc>
        <w:tc>
          <w:tcPr>
            <w:tcW w:w="3970" w:type="dxa"/>
          </w:tcPr>
          <w:p w14:paraId="48A658FC" w14:textId="77777777" w:rsidR="00AD1F54" w:rsidRPr="00264D5D" w:rsidRDefault="00941227">
            <w:pPr>
              <w:pStyle w:val="EBTablenorm"/>
              <w:ind w:left="57" w:right="57"/>
              <w:rPr>
                <w:bCs/>
                <w:sz w:val="22"/>
                <w:szCs w:val="22"/>
              </w:rPr>
            </w:pPr>
            <w:r w:rsidRPr="00264D5D">
              <w:rPr>
                <w:bCs/>
                <w:sz w:val="22"/>
                <w:szCs w:val="22"/>
              </w:rPr>
              <w:t>Код цели представления, целевого направления расходования (в соответствии с п. 4.19 Порядка).</w:t>
            </w:r>
          </w:p>
          <w:p w14:paraId="30B09D1B" w14:textId="77777777" w:rsidR="00AD1F54" w:rsidRPr="00264D5D" w:rsidRDefault="00941227">
            <w:pPr>
              <w:pStyle w:val="EBTablenorm"/>
              <w:ind w:left="57" w:right="57"/>
              <w:rPr>
                <w:sz w:val="22"/>
                <w:szCs w:val="22"/>
              </w:rPr>
            </w:pPr>
            <w:r w:rsidRPr="00264D5D">
              <w:rPr>
                <w:sz w:val="22"/>
                <w:szCs w:val="22"/>
              </w:rPr>
              <w:t>Может заполняться при указании в элементе «Код вида соглашения» значения «012», «014»,</w:t>
            </w:r>
            <w:r w:rsidR="00B83EE9" w:rsidRPr="00264D5D">
              <w:rPr>
                <w:sz w:val="22"/>
                <w:szCs w:val="22"/>
              </w:rPr>
              <w:t xml:space="preserve"> </w:t>
            </w:r>
            <w:r w:rsidRPr="00264D5D">
              <w:rPr>
                <w:sz w:val="22"/>
                <w:szCs w:val="22"/>
              </w:rPr>
              <w:t>«031», «032», «0</w:t>
            </w:r>
            <w:r w:rsidR="00B83EE9" w:rsidRPr="00264D5D">
              <w:rPr>
                <w:sz w:val="22"/>
                <w:szCs w:val="22"/>
              </w:rPr>
              <w:t>33», «042», «044», «045», «046»</w:t>
            </w:r>
          </w:p>
        </w:tc>
      </w:tr>
      <w:tr w:rsidR="00AD1F54" w:rsidRPr="00264D5D" w14:paraId="37D4DB04" w14:textId="77777777" w:rsidTr="00AD1F54">
        <w:trPr>
          <w:cnfStyle w:val="000000010000" w:firstRow="0" w:lastRow="0" w:firstColumn="0" w:lastColumn="0" w:oddVBand="0" w:evenVBand="0" w:oddHBand="0" w:evenHBand="1" w:firstRowFirstColumn="0" w:firstRowLastColumn="0" w:lastRowFirstColumn="0" w:lastRowLastColumn="0"/>
        </w:trPr>
        <w:tc>
          <w:tcPr>
            <w:tcW w:w="1704" w:type="dxa"/>
          </w:tcPr>
          <w:p w14:paraId="30F58958" w14:textId="77777777" w:rsidR="00AD1F54" w:rsidRPr="00264D5D" w:rsidRDefault="00941227">
            <w:pPr>
              <w:pStyle w:val="EBTablenorm"/>
              <w:ind w:left="57" w:right="57"/>
              <w:rPr>
                <w:sz w:val="22"/>
                <w:szCs w:val="22"/>
              </w:rPr>
            </w:pPr>
            <w:r w:rsidRPr="00264D5D">
              <w:rPr>
                <w:sz w:val="22"/>
                <w:szCs w:val="22"/>
              </w:rPr>
              <w:t>Наименования переданных полномочий Российской Федерации, на исполнение расходных обязательств по которым предоставляется субсидия</w:t>
            </w:r>
          </w:p>
        </w:tc>
        <w:tc>
          <w:tcPr>
            <w:tcW w:w="1704" w:type="dxa"/>
          </w:tcPr>
          <w:p w14:paraId="56A2C36C" w14:textId="77777777" w:rsidR="00AD1F54" w:rsidRPr="00264D5D" w:rsidRDefault="00941227">
            <w:pPr>
              <w:pStyle w:val="EBTablenorm"/>
              <w:ind w:left="57" w:right="57"/>
              <w:jc w:val="left"/>
              <w:rPr>
                <w:sz w:val="22"/>
                <w:szCs w:val="22"/>
              </w:rPr>
            </w:pPr>
            <w:r w:rsidRPr="00264D5D">
              <w:rPr>
                <w:sz w:val="22"/>
                <w:szCs w:val="22"/>
              </w:rPr>
              <w:t>NameAuth</w:t>
            </w:r>
          </w:p>
        </w:tc>
        <w:tc>
          <w:tcPr>
            <w:tcW w:w="568" w:type="dxa"/>
          </w:tcPr>
          <w:p w14:paraId="3D2FD788" w14:textId="77777777" w:rsidR="00AD1F54" w:rsidRPr="00264D5D" w:rsidRDefault="00941227">
            <w:pPr>
              <w:pStyle w:val="EBTablenorm"/>
              <w:ind w:left="57" w:right="57"/>
              <w:jc w:val="center"/>
              <w:rPr>
                <w:sz w:val="22"/>
                <w:szCs w:val="22"/>
              </w:rPr>
            </w:pPr>
            <w:r w:rsidRPr="00264D5D">
              <w:rPr>
                <w:sz w:val="22"/>
                <w:szCs w:val="22"/>
              </w:rPr>
              <w:t>П</w:t>
            </w:r>
          </w:p>
        </w:tc>
        <w:tc>
          <w:tcPr>
            <w:tcW w:w="1136" w:type="dxa"/>
          </w:tcPr>
          <w:p w14:paraId="6F6C5951" w14:textId="77777777" w:rsidR="00AD1F54" w:rsidRPr="00264D5D" w:rsidRDefault="00941227">
            <w:pPr>
              <w:pStyle w:val="EBTablenorm"/>
              <w:ind w:left="57" w:right="57"/>
              <w:jc w:val="left"/>
              <w:rPr>
                <w:sz w:val="22"/>
                <w:szCs w:val="22"/>
              </w:rPr>
            </w:pPr>
            <w:r w:rsidRPr="00264D5D">
              <w:rPr>
                <w:sz w:val="22"/>
                <w:szCs w:val="22"/>
              </w:rPr>
              <w:t>Т(1-2000)</w:t>
            </w:r>
          </w:p>
        </w:tc>
        <w:tc>
          <w:tcPr>
            <w:tcW w:w="568" w:type="dxa"/>
          </w:tcPr>
          <w:p w14:paraId="2AAB5B42" w14:textId="77777777" w:rsidR="00AD1F54" w:rsidRPr="00264D5D" w:rsidRDefault="00941227">
            <w:pPr>
              <w:pStyle w:val="EBTablenorm"/>
              <w:ind w:left="57" w:right="57"/>
              <w:jc w:val="center"/>
              <w:rPr>
                <w:sz w:val="22"/>
                <w:szCs w:val="22"/>
              </w:rPr>
            </w:pPr>
            <w:r w:rsidRPr="00264D5D">
              <w:rPr>
                <w:sz w:val="22"/>
                <w:szCs w:val="22"/>
              </w:rPr>
              <w:t>Н</w:t>
            </w:r>
          </w:p>
        </w:tc>
        <w:tc>
          <w:tcPr>
            <w:tcW w:w="3970" w:type="dxa"/>
          </w:tcPr>
          <w:p w14:paraId="0AD8BCEF" w14:textId="77777777" w:rsidR="00AD1F54" w:rsidRPr="00264D5D" w:rsidRDefault="00941227">
            <w:pPr>
              <w:pStyle w:val="EBTablenorm"/>
              <w:ind w:left="57" w:right="57"/>
              <w:rPr>
                <w:sz w:val="22"/>
                <w:szCs w:val="22"/>
              </w:rPr>
            </w:pPr>
            <w:r w:rsidRPr="00264D5D">
              <w:rPr>
                <w:sz w:val="22"/>
                <w:szCs w:val="22"/>
              </w:rPr>
              <w:t xml:space="preserve">Наименования переданных полномочий Российской Федерации, на исполнение расходных обязательств по которым предоставляется субсидия (в </w:t>
            </w:r>
            <w:r w:rsidR="00B83EE9" w:rsidRPr="00264D5D">
              <w:rPr>
                <w:sz w:val="22"/>
                <w:szCs w:val="22"/>
              </w:rPr>
              <w:t>соответствии с п. 4.19 Порядка)</w:t>
            </w:r>
          </w:p>
        </w:tc>
      </w:tr>
      <w:tr w:rsidR="00AD1F54" w:rsidRPr="00264D5D" w14:paraId="629283D4" w14:textId="77777777" w:rsidTr="00AD1F54">
        <w:trPr>
          <w:cnfStyle w:val="000000100000" w:firstRow="0" w:lastRow="0" w:firstColumn="0" w:lastColumn="0" w:oddVBand="0" w:evenVBand="0" w:oddHBand="1" w:evenHBand="0" w:firstRowFirstColumn="0" w:firstRowLastColumn="0" w:lastRowFirstColumn="0" w:lastRowLastColumn="0"/>
        </w:trPr>
        <w:tc>
          <w:tcPr>
            <w:tcW w:w="1704" w:type="dxa"/>
          </w:tcPr>
          <w:p w14:paraId="7BE2F926" w14:textId="77777777" w:rsidR="00AD1F54" w:rsidRPr="00264D5D" w:rsidRDefault="00941227">
            <w:pPr>
              <w:pStyle w:val="EBTablenorm"/>
              <w:ind w:left="57" w:right="57"/>
              <w:rPr>
                <w:sz w:val="22"/>
                <w:szCs w:val="22"/>
              </w:rPr>
            </w:pPr>
            <w:r w:rsidRPr="00264D5D">
              <w:rPr>
                <w:sz w:val="22"/>
                <w:szCs w:val="22"/>
              </w:rPr>
              <w:t>Наименование мероприятия (проекта) или объекта капитального строительства</w:t>
            </w:r>
          </w:p>
        </w:tc>
        <w:tc>
          <w:tcPr>
            <w:tcW w:w="1704" w:type="dxa"/>
          </w:tcPr>
          <w:p w14:paraId="4D7D18B2" w14:textId="77777777" w:rsidR="00AD1F54" w:rsidRPr="00264D5D" w:rsidRDefault="00941227">
            <w:pPr>
              <w:pStyle w:val="EBTablenorm"/>
              <w:ind w:left="57" w:right="57"/>
              <w:jc w:val="left"/>
              <w:rPr>
                <w:sz w:val="22"/>
                <w:szCs w:val="22"/>
              </w:rPr>
            </w:pPr>
            <w:r w:rsidRPr="00264D5D">
              <w:rPr>
                <w:sz w:val="22"/>
                <w:szCs w:val="22"/>
              </w:rPr>
              <w:t>NameProject</w:t>
            </w:r>
          </w:p>
        </w:tc>
        <w:tc>
          <w:tcPr>
            <w:tcW w:w="568" w:type="dxa"/>
          </w:tcPr>
          <w:p w14:paraId="53294219" w14:textId="77777777" w:rsidR="00AD1F54" w:rsidRPr="00264D5D" w:rsidRDefault="00941227">
            <w:pPr>
              <w:pStyle w:val="EBTablenorm"/>
              <w:ind w:left="57" w:right="57"/>
              <w:jc w:val="center"/>
              <w:rPr>
                <w:sz w:val="22"/>
                <w:szCs w:val="22"/>
              </w:rPr>
            </w:pPr>
            <w:r w:rsidRPr="00264D5D">
              <w:rPr>
                <w:sz w:val="22"/>
                <w:szCs w:val="22"/>
              </w:rPr>
              <w:t>П</w:t>
            </w:r>
          </w:p>
        </w:tc>
        <w:tc>
          <w:tcPr>
            <w:tcW w:w="1136" w:type="dxa"/>
          </w:tcPr>
          <w:p w14:paraId="70D9A653" w14:textId="77777777" w:rsidR="00AD1F54" w:rsidRPr="00264D5D" w:rsidRDefault="00941227">
            <w:pPr>
              <w:pStyle w:val="EBTablenorm"/>
              <w:ind w:left="57" w:right="57"/>
              <w:jc w:val="left"/>
              <w:rPr>
                <w:sz w:val="22"/>
                <w:szCs w:val="22"/>
              </w:rPr>
            </w:pPr>
            <w:r w:rsidRPr="00264D5D">
              <w:rPr>
                <w:sz w:val="22"/>
                <w:szCs w:val="22"/>
              </w:rPr>
              <w:t>Т(1-2000)</w:t>
            </w:r>
          </w:p>
        </w:tc>
        <w:tc>
          <w:tcPr>
            <w:tcW w:w="568" w:type="dxa"/>
          </w:tcPr>
          <w:p w14:paraId="68CEB7E9" w14:textId="77777777" w:rsidR="00AD1F54" w:rsidRPr="00264D5D" w:rsidRDefault="00941227">
            <w:pPr>
              <w:pStyle w:val="EBTablenorm"/>
              <w:ind w:left="57" w:right="57"/>
              <w:jc w:val="center"/>
              <w:rPr>
                <w:sz w:val="22"/>
                <w:szCs w:val="22"/>
              </w:rPr>
            </w:pPr>
            <w:r w:rsidRPr="00264D5D">
              <w:rPr>
                <w:sz w:val="22"/>
                <w:szCs w:val="22"/>
              </w:rPr>
              <w:t>Н</w:t>
            </w:r>
          </w:p>
        </w:tc>
        <w:tc>
          <w:tcPr>
            <w:tcW w:w="3970" w:type="dxa"/>
          </w:tcPr>
          <w:p w14:paraId="5D7245ED" w14:textId="77777777" w:rsidR="00AD1F54" w:rsidRPr="00264D5D" w:rsidRDefault="00941227">
            <w:pPr>
              <w:pStyle w:val="EBTablenorm"/>
              <w:ind w:left="57" w:right="57"/>
              <w:rPr>
                <w:sz w:val="22"/>
                <w:szCs w:val="22"/>
              </w:rPr>
            </w:pPr>
            <w:r w:rsidRPr="00264D5D">
              <w:rPr>
                <w:sz w:val="22"/>
                <w:szCs w:val="22"/>
              </w:rPr>
              <w:t>Наименование мероприятия (проекта) или объекта капитального строительства (в соответствии с п. 4.19 Порядка).</w:t>
            </w:r>
          </w:p>
          <w:p w14:paraId="03F17E9A" w14:textId="77777777" w:rsidR="00AD1F54" w:rsidRPr="00264D5D" w:rsidRDefault="00941227">
            <w:pPr>
              <w:pStyle w:val="EBTablenorm"/>
              <w:ind w:left="57" w:right="57"/>
              <w:rPr>
                <w:sz w:val="22"/>
                <w:szCs w:val="22"/>
              </w:rPr>
            </w:pPr>
            <w:r w:rsidRPr="00264D5D">
              <w:rPr>
                <w:sz w:val="22"/>
                <w:szCs w:val="22"/>
              </w:rPr>
              <w:t xml:space="preserve">Обязательно для заполнения при указании в элементе «Код вида соглашения» значения «013», «014», «015», «016», «031», «032», «033», </w:t>
            </w:r>
            <w:r w:rsidR="00B83EE9" w:rsidRPr="00264D5D">
              <w:rPr>
                <w:sz w:val="22"/>
                <w:szCs w:val="22"/>
              </w:rPr>
              <w:lastRenderedPageBreak/>
              <w:t>«043», «044», «045», «046»</w:t>
            </w:r>
          </w:p>
        </w:tc>
      </w:tr>
      <w:tr w:rsidR="00AD1F54" w:rsidRPr="00264D5D" w14:paraId="23C3A51C" w14:textId="77777777" w:rsidTr="00AD1F54">
        <w:trPr>
          <w:cnfStyle w:val="000000010000" w:firstRow="0" w:lastRow="0" w:firstColumn="0" w:lastColumn="0" w:oddVBand="0" w:evenVBand="0" w:oddHBand="0" w:evenHBand="1" w:firstRowFirstColumn="0" w:firstRowLastColumn="0" w:lastRowFirstColumn="0" w:lastRowLastColumn="0"/>
        </w:trPr>
        <w:tc>
          <w:tcPr>
            <w:tcW w:w="1704" w:type="dxa"/>
          </w:tcPr>
          <w:p w14:paraId="29D84A76" w14:textId="77777777" w:rsidR="00AD1F54" w:rsidRPr="00264D5D" w:rsidRDefault="00941227">
            <w:pPr>
              <w:pStyle w:val="EBTablenorm"/>
              <w:ind w:left="57" w:right="57"/>
              <w:rPr>
                <w:sz w:val="22"/>
                <w:szCs w:val="22"/>
              </w:rPr>
            </w:pPr>
            <w:r w:rsidRPr="00264D5D">
              <w:rPr>
                <w:sz w:val="22"/>
                <w:szCs w:val="22"/>
              </w:rPr>
              <w:lastRenderedPageBreak/>
              <w:t>Код ОКС (ОКВ)</w:t>
            </w:r>
          </w:p>
        </w:tc>
        <w:tc>
          <w:tcPr>
            <w:tcW w:w="1704" w:type="dxa"/>
          </w:tcPr>
          <w:p w14:paraId="69AD60AA" w14:textId="77777777" w:rsidR="00AD1F54" w:rsidRPr="00264D5D" w:rsidRDefault="00941227">
            <w:pPr>
              <w:pStyle w:val="EBTablenorm"/>
              <w:ind w:left="57" w:right="57"/>
              <w:jc w:val="left"/>
              <w:rPr>
                <w:sz w:val="22"/>
                <w:szCs w:val="22"/>
              </w:rPr>
            </w:pPr>
            <w:r w:rsidRPr="00264D5D">
              <w:rPr>
                <w:sz w:val="22"/>
                <w:szCs w:val="22"/>
              </w:rPr>
              <w:t>FaipCode</w:t>
            </w:r>
          </w:p>
        </w:tc>
        <w:tc>
          <w:tcPr>
            <w:tcW w:w="568" w:type="dxa"/>
          </w:tcPr>
          <w:p w14:paraId="3B6244C2" w14:textId="77777777" w:rsidR="00AD1F54" w:rsidRPr="00264D5D" w:rsidRDefault="00941227">
            <w:pPr>
              <w:pStyle w:val="EBTablenorm"/>
              <w:ind w:left="57" w:right="57"/>
              <w:jc w:val="center"/>
              <w:rPr>
                <w:sz w:val="22"/>
                <w:szCs w:val="22"/>
              </w:rPr>
            </w:pPr>
            <w:r w:rsidRPr="00264D5D">
              <w:rPr>
                <w:sz w:val="22"/>
                <w:szCs w:val="22"/>
              </w:rPr>
              <w:t>П</w:t>
            </w:r>
          </w:p>
        </w:tc>
        <w:tc>
          <w:tcPr>
            <w:tcW w:w="1136" w:type="dxa"/>
          </w:tcPr>
          <w:p w14:paraId="43F488A3" w14:textId="77777777" w:rsidR="00AD1F54" w:rsidRPr="00264D5D" w:rsidRDefault="00941227">
            <w:pPr>
              <w:pStyle w:val="EBTablenorm"/>
              <w:ind w:left="57" w:right="57"/>
              <w:jc w:val="left"/>
              <w:rPr>
                <w:sz w:val="22"/>
                <w:szCs w:val="22"/>
              </w:rPr>
            </w:pPr>
            <w:r w:rsidRPr="00264D5D">
              <w:rPr>
                <w:sz w:val="22"/>
                <w:szCs w:val="22"/>
              </w:rPr>
              <w:t>Т(18)</w:t>
            </w:r>
          </w:p>
        </w:tc>
        <w:tc>
          <w:tcPr>
            <w:tcW w:w="568" w:type="dxa"/>
          </w:tcPr>
          <w:p w14:paraId="172ABDF8" w14:textId="77777777" w:rsidR="00AD1F54" w:rsidRPr="00264D5D" w:rsidRDefault="00941227">
            <w:pPr>
              <w:pStyle w:val="EBTablenorm"/>
              <w:ind w:left="57" w:right="57"/>
              <w:jc w:val="center"/>
              <w:rPr>
                <w:sz w:val="22"/>
                <w:szCs w:val="22"/>
              </w:rPr>
            </w:pPr>
            <w:r w:rsidRPr="00264D5D">
              <w:rPr>
                <w:sz w:val="22"/>
                <w:szCs w:val="22"/>
              </w:rPr>
              <w:t>Н</w:t>
            </w:r>
          </w:p>
        </w:tc>
        <w:tc>
          <w:tcPr>
            <w:tcW w:w="3970" w:type="dxa"/>
          </w:tcPr>
          <w:p w14:paraId="5DC68405" w14:textId="77777777" w:rsidR="00AD1F54" w:rsidRPr="00264D5D" w:rsidRDefault="00941227">
            <w:pPr>
              <w:pStyle w:val="EBTablenorm"/>
              <w:ind w:left="57" w:right="57"/>
              <w:rPr>
                <w:sz w:val="22"/>
                <w:szCs w:val="22"/>
              </w:rPr>
            </w:pPr>
            <w:r w:rsidRPr="00264D5D">
              <w:rPr>
                <w:sz w:val="22"/>
                <w:szCs w:val="22"/>
              </w:rPr>
              <w:t>Может указываться уникальный код объекта капитального строите</w:t>
            </w:r>
            <w:r w:rsidR="00B83EE9" w:rsidRPr="00264D5D">
              <w:rPr>
                <w:sz w:val="22"/>
                <w:szCs w:val="22"/>
              </w:rPr>
              <w:t>льства или объекта недвижимости</w:t>
            </w:r>
          </w:p>
        </w:tc>
      </w:tr>
      <w:tr w:rsidR="00AD1F54" w:rsidRPr="00264D5D" w14:paraId="23DC111F" w14:textId="77777777" w:rsidTr="00AD1F54">
        <w:trPr>
          <w:cnfStyle w:val="000000100000" w:firstRow="0" w:lastRow="0" w:firstColumn="0" w:lastColumn="0" w:oddVBand="0" w:evenVBand="0" w:oddHBand="1" w:evenHBand="0" w:firstRowFirstColumn="0" w:firstRowLastColumn="0" w:lastRowFirstColumn="0" w:lastRowLastColumn="0"/>
        </w:trPr>
        <w:tc>
          <w:tcPr>
            <w:tcW w:w="1704" w:type="dxa"/>
          </w:tcPr>
          <w:p w14:paraId="23A1EF3A" w14:textId="77777777" w:rsidR="00AD1F54" w:rsidRPr="00264D5D" w:rsidRDefault="00941227">
            <w:pPr>
              <w:pStyle w:val="EBTablenorm"/>
              <w:ind w:left="57" w:right="57"/>
              <w:rPr>
                <w:sz w:val="22"/>
                <w:szCs w:val="22"/>
              </w:rPr>
            </w:pPr>
            <w:r w:rsidRPr="00264D5D">
              <w:rPr>
                <w:sz w:val="22"/>
                <w:szCs w:val="22"/>
              </w:rPr>
              <w:t>Код ОКС (ОКВ) в соответствии со справочником ГИИС ЭБ</w:t>
            </w:r>
          </w:p>
        </w:tc>
        <w:tc>
          <w:tcPr>
            <w:tcW w:w="1704" w:type="dxa"/>
          </w:tcPr>
          <w:p w14:paraId="1663458F" w14:textId="77777777" w:rsidR="00AD1F54" w:rsidRPr="00264D5D" w:rsidRDefault="00941227">
            <w:pPr>
              <w:pStyle w:val="EBTablenorm"/>
              <w:ind w:left="57" w:right="57"/>
              <w:jc w:val="left"/>
              <w:rPr>
                <w:sz w:val="22"/>
                <w:szCs w:val="22"/>
              </w:rPr>
            </w:pPr>
            <w:r w:rsidRPr="00264D5D">
              <w:rPr>
                <w:sz w:val="22"/>
                <w:szCs w:val="22"/>
              </w:rPr>
              <w:t>FaipCode_</w:t>
            </w:r>
            <w:r w:rsidRPr="00264D5D">
              <w:rPr>
                <w:sz w:val="22"/>
                <w:szCs w:val="22"/>
                <w:lang w:val="en-US"/>
              </w:rPr>
              <w:t>EB</w:t>
            </w:r>
          </w:p>
        </w:tc>
        <w:tc>
          <w:tcPr>
            <w:tcW w:w="568" w:type="dxa"/>
          </w:tcPr>
          <w:p w14:paraId="79704F58" w14:textId="77777777" w:rsidR="00AD1F54" w:rsidRPr="00264D5D" w:rsidRDefault="00941227">
            <w:pPr>
              <w:pStyle w:val="EBTablenorm"/>
              <w:ind w:left="57" w:right="57"/>
              <w:jc w:val="center"/>
              <w:rPr>
                <w:sz w:val="22"/>
                <w:szCs w:val="22"/>
              </w:rPr>
            </w:pPr>
            <w:r w:rsidRPr="00264D5D">
              <w:rPr>
                <w:sz w:val="22"/>
                <w:szCs w:val="22"/>
              </w:rPr>
              <w:t>П</w:t>
            </w:r>
          </w:p>
        </w:tc>
        <w:tc>
          <w:tcPr>
            <w:tcW w:w="1136" w:type="dxa"/>
          </w:tcPr>
          <w:p w14:paraId="64A0DF59" w14:textId="77777777" w:rsidR="00AD1F54" w:rsidRPr="00264D5D" w:rsidRDefault="00941227">
            <w:pPr>
              <w:pStyle w:val="EBTablenorm"/>
              <w:ind w:left="57" w:right="57"/>
              <w:jc w:val="left"/>
              <w:rPr>
                <w:sz w:val="22"/>
                <w:szCs w:val="22"/>
              </w:rPr>
            </w:pPr>
            <w:r w:rsidRPr="00264D5D">
              <w:rPr>
                <w:sz w:val="22"/>
                <w:szCs w:val="22"/>
              </w:rPr>
              <w:t>Т(18)</w:t>
            </w:r>
          </w:p>
        </w:tc>
        <w:tc>
          <w:tcPr>
            <w:tcW w:w="568" w:type="dxa"/>
          </w:tcPr>
          <w:p w14:paraId="0AA54741" w14:textId="77777777" w:rsidR="00AD1F54" w:rsidRPr="00264D5D" w:rsidRDefault="00941227">
            <w:pPr>
              <w:pStyle w:val="EBTablenorm"/>
              <w:ind w:left="57" w:right="57"/>
              <w:jc w:val="center"/>
              <w:rPr>
                <w:sz w:val="22"/>
                <w:szCs w:val="22"/>
              </w:rPr>
            </w:pPr>
            <w:r w:rsidRPr="00264D5D">
              <w:rPr>
                <w:sz w:val="22"/>
                <w:szCs w:val="22"/>
              </w:rPr>
              <w:t>Н</w:t>
            </w:r>
          </w:p>
        </w:tc>
        <w:tc>
          <w:tcPr>
            <w:tcW w:w="3970" w:type="dxa"/>
          </w:tcPr>
          <w:p w14:paraId="01AB4E00" w14:textId="77777777" w:rsidR="00AD1F54" w:rsidRPr="00264D5D" w:rsidRDefault="00941227">
            <w:pPr>
              <w:pStyle w:val="EBTablenorm"/>
              <w:ind w:left="57" w:right="57"/>
              <w:rPr>
                <w:sz w:val="22"/>
                <w:szCs w:val="22"/>
              </w:rPr>
            </w:pPr>
            <w:r w:rsidRPr="00264D5D">
              <w:rPr>
                <w:sz w:val="22"/>
                <w:szCs w:val="22"/>
              </w:rPr>
              <w:t>Может указываться уникальный код объекта капитального строительства или объекта недвижимости в соответствии со справочником ГИИС Э</w:t>
            </w:r>
            <w:r w:rsidR="00B83EE9" w:rsidRPr="00264D5D">
              <w:rPr>
                <w:sz w:val="22"/>
                <w:szCs w:val="22"/>
              </w:rPr>
              <w:t>Б</w:t>
            </w:r>
          </w:p>
        </w:tc>
      </w:tr>
      <w:tr w:rsidR="00AD1F54" w:rsidRPr="00264D5D" w14:paraId="03BBA8F4" w14:textId="77777777" w:rsidTr="00AD1F54">
        <w:trPr>
          <w:cnfStyle w:val="000000010000" w:firstRow="0" w:lastRow="0" w:firstColumn="0" w:lastColumn="0" w:oddVBand="0" w:evenVBand="0" w:oddHBand="0" w:evenHBand="1" w:firstRowFirstColumn="0" w:firstRowLastColumn="0" w:lastRowFirstColumn="0" w:lastRowLastColumn="0"/>
        </w:trPr>
        <w:tc>
          <w:tcPr>
            <w:tcW w:w="1704" w:type="dxa"/>
          </w:tcPr>
          <w:p w14:paraId="4C8991CE" w14:textId="77777777" w:rsidR="00AD1F54" w:rsidRPr="00264D5D" w:rsidRDefault="00941227">
            <w:pPr>
              <w:pStyle w:val="EBTablenorm"/>
              <w:ind w:left="57" w:right="57"/>
              <w:rPr>
                <w:sz w:val="22"/>
                <w:szCs w:val="22"/>
              </w:rPr>
            </w:pPr>
            <w:r w:rsidRPr="00264D5D">
              <w:rPr>
                <w:color w:val="000000"/>
                <w:sz w:val="22"/>
                <w:szCs w:val="22"/>
              </w:rPr>
              <w:t>Размер субсидии, бюджетных инвестиций, межбюджетных трансфертов в разрезе лет</w:t>
            </w:r>
          </w:p>
        </w:tc>
        <w:tc>
          <w:tcPr>
            <w:tcW w:w="1704" w:type="dxa"/>
          </w:tcPr>
          <w:p w14:paraId="54AB5783" w14:textId="77777777" w:rsidR="00AD1F54" w:rsidRPr="00264D5D" w:rsidRDefault="00941227">
            <w:pPr>
              <w:pStyle w:val="EBTablenorm"/>
              <w:ind w:left="57" w:right="57"/>
              <w:jc w:val="left"/>
              <w:rPr>
                <w:sz w:val="22"/>
                <w:szCs w:val="22"/>
              </w:rPr>
            </w:pPr>
            <w:r w:rsidRPr="00264D5D">
              <w:rPr>
                <w:color w:val="000000"/>
                <w:sz w:val="22"/>
                <w:szCs w:val="22"/>
              </w:rPr>
              <w:t>Vol</w:t>
            </w:r>
            <w:r w:rsidRPr="00264D5D">
              <w:rPr>
                <w:color w:val="000000"/>
                <w:sz w:val="22"/>
                <w:szCs w:val="22"/>
                <w:lang w:val="en-US"/>
              </w:rPr>
              <w:t>Sub</w:t>
            </w:r>
          </w:p>
        </w:tc>
        <w:tc>
          <w:tcPr>
            <w:tcW w:w="568" w:type="dxa"/>
          </w:tcPr>
          <w:p w14:paraId="4C4927F6" w14:textId="77777777" w:rsidR="00AD1F54" w:rsidRPr="00264D5D" w:rsidRDefault="00941227">
            <w:pPr>
              <w:pStyle w:val="EBTablenorm"/>
              <w:ind w:left="57" w:right="57"/>
              <w:jc w:val="center"/>
              <w:rPr>
                <w:sz w:val="22"/>
                <w:szCs w:val="22"/>
                <w:lang w:val="en-US"/>
              </w:rPr>
            </w:pPr>
            <w:r w:rsidRPr="00264D5D">
              <w:rPr>
                <w:sz w:val="22"/>
                <w:szCs w:val="22"/>
                <w:lang w:val="en-US"/>
              </w:rPr>
              <w:t>C</w:t>
            </w:r>
          </w:p>
        </w:tc>
        <w:tc>
          <w:tcPr>
            <w:tcW w:w="1136" w:type="dxa"/>
          </w:tcPr>
          <w:p w14:paraId="2D8EED5F" w14:textId="77777777" w:rsidR="00AD1F54" w:rsidRPr="00264D5D" w:rsidRDefault="00941227">
            <w:pPr>
              <w:pStyle w:val="EBTablenorm"/>
              <w:ind w:left="57" w:right="57"/>
              <w:jc w:val="left"/>
              <w:rPr>
                <w:sz w:val="22"/>
                <w:szCs w:val="22"/>
              </w:rPr>
            </w:pPr>
            <w:r w:rsidRPr="00264D5D">
              <w:rPr>
                <w:color w:val="000000"/>
                <w:sz w:val="22"/>
                <w:szCs w:val="22"/>
                <w:lang w:val="en-US"/>
              </w:rPr>
              <w:t>t</w:t>
            </w:r>
            <w:r w:rsidRPr="00264D5D">
              <w:rPr>
                <w:color w:val="000000"/>
                <w:sz w:val="22"/>
                <w:szCs w:val="22"/>
              </w:rPr>
              <w:t>Vol</w:t>
            </w:r>
            <w:r w:rsidRPr="00264D5D">
              <w:rPr>
                <w:color w:val="000000"/>
                <w:sz w:val="22"/>
                <w:szCs w:val="22"/>
                <w:lang w:val="en-US"/>
              </w:rPr>
              <w:t>Sub</w:t>
            </w:r>
          </w:p>
        </w:tc>
        <w:tc>
          <w:tcPr>
            <w:tcW w:w="568" w:type="dxa"/>
          </w:tcPr>
          <w:p w14:paraId="5F3529A8" w14:textId="77777777" w:rsidR="00AD1F54" w:rsidRPr="00264D5D" w:rsidRDefault="00941227">
            <w:pPr>
              <w:pStyle w:val="EBTablenorm"/>
              <w:ind w:left="57" w:right="57"/>
              <w:jc w:val="center"/>
              <w:rPr>
                <w:sz w:val="22"/>
                <w:szCs w:val="22"/>
              </w:rPr>
            </w:pPr>
            <w:r w:rsidRPr="00264D5D">
              <w:rPr>
                <w:sz w:val="22"/>
                <w:szCs w:val="22"/>
              </w:rPr>
              <w:t>ОМ</w:t>
            </w:r>
          </w:p>
        </w:tc>
        <w:tc>
          <w:tcPr>
            <w:tcW w:w="3970" w:type="dxa"/>
          </w:tcPr>
          <w:p w14:paraId="158BEB33" w14:textId="77777777" w:rsidR="00AD1F54" w:rsidRPr="00264D5D" w:rsidRDefault="00941227">
            <w:pPr>
              <w:pStyle w:val="EBTablenorm"/>
              <w:ind w:left="57" w:right="57"/>
              <w:rPr>
                <w:color w:val="000000"/>
                <w:sz w:val="22"/>
                <w:szCs w:val="22"/>
              </w:rPr>
            </w:pPr>
            <w:r w:rsidRPr="00264D5D">
              <w:rPr>
                <w:color w:val="000000"/>
                <w:sz w:val="22"/>
                <w:szCs w:val="22"/>
              </w:rPr>
              <w:t>Размер субсидии, бюджетных инвестиций, межбюджетных трансфертов в разрезе лет.</w:t>
            </w:r>
          </w:p>
          <w:p w14:paraId="33CABCD9" w14:textId="7554759D" w:rsidR="00AD1F54" w:rsidRPr="00264D5D" w:rsidRDefault="00941227">
            <w:pPr>
              <w:pStyle w:val="EBTablenorm"/>
              <w:ind w:left="57" w:right="57"/>
              <w:rPr>
                <w:sz w:val="22"/>
                <w:szCs w:val="22"/>
              </w:rPr>
            </w:pPr>
            <w:r w:rsidRPr="00264D5D">
              <w:rPr>
                <w:sz w:val="22"/>
                <w:szCs w:val="22"/>
              </w:rPr>
              <w:t xml:space="preserve">Состав элемента представлен в таблице </w:t>
            </w:r>
            <w:r w:rsidRPr="00264D5D">
              <w:rPr>
                <w:b/>
                <w:sz w:val="22"/>
                <w:szCs w:val="22"/>
              </w:rPr>
              <w:fldChar w:fldCharType="begin"/>
            </w:r>
            <w:r w:rsidRPr="00264D5D">
              <w:rPr>
                <w:b/>
                <w:sz w:val="22"/>
                <w:szCs w:val="22"/>
              </w:rPr>
              <w:instrText xml:space="preserve"> REF _Ref531357930 \h  \* MERGEFORMAT </w:instrText>
            </w:r>
            <w:r w:rsidRPr="00264D5D">
              <w:rPr>
                <w:b/>
                <w:sz w:val="22"/>
                <w:szCs w:val="22"/>
              </w:rPr>
            </w:r>
            <w:r w:rsidRPr="00264D5D">
              <w:rPr>
                <w:b/>
                <w:sz w:val="22"/>
                <w:szCs w:val="22"/>
              </w:rPr>
              <w:fldChar w:fldCharType="separate"/>
            </w:r>
            <w:r w:rsidR="008D797C" w:rsidRPr="008D797C">
              <w:rPr>
                <w:rFonts w:eastAsia="Calibri"/>
                <w:b/>
                <w:sz w:val="22"/>
                <w:szCs w:val="22"/>
              </w:rPr>
              <w:t>205</w:t>
            </w:r>
            <w:r w:rsidRPr="00264D5D">
              <w:rPr>
                <w:b/>
                <w:sz w:val="22"/>
                <w:szCs w:val="22"/>
              </w:rPr>
              <w:fldChar w:fldCharType="end"/>
            </w:r>
          </w:p>
        </w:tc>
      </w:tr>
    </w:tbl>
    <w:p w14:paraId="514D3D21" w14:textId="77777777" w:rsidR="00AD1F54" w:rsidRPr="00264D5D" w:rsidRDefault="00941227">
      <w:pPr>
        <w:pStyle w:val="31"/>
      </w:pPr>
      <w:bookmarkStart w:id="1973" w:name="_Toc493090499"/>
      <w:bookmarkStart w:id="1974" w:name="_Toc496984032"/>
      <w:bookmarkStart w:id="1975" w:name="_Toc219309667"/>
      <w:r w:rsidRPr="00264D5D">
        <w:t>Описание комплексного типа «tVolSub»</w:t>
      </w:r>
      <w:bookmarkEnd w:id="1975"/>
    </w:p>
    <w:p w14:paraId="1B2F0670" w14:textId="77777777" w:rsidR="00AD1F54" w:rsidRPr="00264D5D" w:rsidRDefault="00941227">
      <w:pPr>
        <w:spacing w:before="60" w:after="120"/>
        <w:ind w:firstLine="567"/>
        <w:rPr>
          <w:rFonts w:eastAsia="Calibri"/>
          <w:szCs w:val="24"/>
        </w:rPr>
      </w:pPr>
      <w:r w:rsidRPr="00264D5D">
        <w:rPr>
          <w:rFonts w:eastAsia="Calibri"/>
          <w:szCs w:val="24"/>
        </w:rPr>
        <w:t>Описание комплексного типа «</w:t>
      </w:r>
      <w:r w:rsidRPr="00264D5D">
        <w:rPr>
          <w:color w:val="000000"/>
          <w:szCs w:val="24"/>
          <w:lang w:val="en-US"/>
        </w:rPr>
        <w:t>t</w:t>
      </w:r>
      <w:r w:rsidRPr="00264D5D">
        <w:rPr>
          <w:color w:val="000000"/>
          <w:szCs w:val="24"/>
        </w:rPr>
        <w:t>Vol</w:t>
      </w:r>
      <w:r w:rsidRPr="00264D5D">
        <w:rPr>
          <w:color w:val="000000"/>
          <w:szCs w:val="24"/>
          <w:lang w:val="en-US"/>
        </w:rPr>
        <w:t>Sub</w:t>
      </w:r>
      <w:r w:rsidRPr="00264D5D">
        <w:rPr>
          <w:rFonts w:eastAsia="Calibri"/>
          <w:szCs w:val="24"/>
        </w:rPr>
        <w:t xml:space="preserve">» </w:t>
      </w:r>
      <w:r w:rsidRPr="00264D5D">
        <w:t>блока</w:t>
      </w:r>
      <w:r w:rsidRPr="00264D5D">
        <w:rPr>
          <w:rFonts w:eastAsia="Calibri"/>
          <w:szCs w:val="24"/>
        </w:rPr>
        <w:t xml:space="preserve"> «</w:t>
      </w:r>
      <w:r w:rsidRPr="00264D5D">
        <w:rPr>
          <w:color w:val="000000"/>
        </w:rPr>
        <w:t xml:space="preserve">Размер субсидии, бюджетных инвестиций </w:t>
      </w:r>
      <w:r w:rsidRPr="00264D5D">
        <w:rPr>
          <w:color w:val="000000"/>
          <w:szCs w:val="24"/>
        </w:rPr>
        <w:t>межбюджетных трансфертов</w:t>
      </w:r>
      <w:r w:rsidRPr="00264D5D">
        <w:rPr>
          <w:color w:val="000000"/>
        </w:rPr>
        <w:t xml:space="preserve"> в разрезе лет</w:t>
      </w:r>
      <w:r w:rsidRPr="00264D5D">
        <w:rPr>
          <w:rFonts w:eastAsia="Calibri"/>
          <w:szCs w:val="24"/>
        </w:rPr>
        <w:t>».</w:t>
      </w:r>
    </w:p>
    <w:p w14:paraId="7616BC4B" w14:textId="3D8C4956"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1976" w:name="_Ref531357930"/>
      <w:bookmarkStart w:id="1977" w:name="_Toc30503384"/>
      <w:bookmarkStart w:id="1978" w:name="_Toc30507982"/>
      <w:bookmarkStart w:id="1979" w:name="_Toc219309235"/>
      <w:r w:rsidR="008D797C">
        <w:rPr>
          <w:rFonts w:eastAsia="Calibri"/>
          <w:noProof/>
          <w:szCs w:val="24"/>
        </w:rPr>
        <w:t>205</w:t>
      </w:r>
      <w:bookmarkEnd w:id="1976"/>
      <w:r w:rsidRPr="00264D5D">
        <w:rPr>
          <w:rFonts w:eastAsia="Calibri"/>
          <w:szCs w:val="24"/>
        </w:rPr>
        <w:fldChar w:fldCharType="end"/>
      </w:r>
      <w:r w:rsidRPr="00264D5D">
        <w:rPr>
          <w:rFonts w:eastAsia="Calibri"/>
          <w:szCs w:val="24"/>
        </w:rPr>
        <w:t xml:space="preserve"> – Описание комплексного типа «</w:t>
      </w:r>
      <w:r w:rsidRPr="00264D5D">
        <w:rPr>
          <w:color w:val="000000"/>
          <w:szCs w:val="24"/>
          <w:lang w:val="en-US"/>
        </w:rPr>
        <w:t>t</w:t>
      </w:r>
      <w:r w:rsidRPr="00264D5D">
        <w:rPr>
          <w:color w:val="000000"/>
          <w:szCs w:val="24"/>
        </w:rPr>
        <w:t>Vol</w:t>
      </w:r>
      <w:r w:rsidRPr="00264D5D">
        <w:rPr>
          <w:color w:val="000000"/>
          <w:szCs w:val="24"/>
          <w:lang w:val="en-US"/>
        </w:rPr>
        <w:t>Sub</w:t>
      </w:r>
      <w:r w:rsidRPr="00264D5D">
        <w:rPr>
          <w:rFonts w:eastAsia="Calibri"/>
          <w:szCs w:val="24"/>
        </w:rPr>
        <w:t>»</w:t>
      </w:r>
      <w:bookmarkEnd w:id="1977"/>
      <w:bookmarkEnd w:id="1978"/>
      <w:bookmarkEnd w:id="1979"/>
    </w:p>
    <w:tbl>
      <w:tblPr>
        <w:tblStyle w:val="GOSTTable"/>
        <w:tblW w:w="5000" w:type="pct"/>
        <w:tblLayout w:type="fixed"/>
        <w:tblLook w:val="01E0" w:firstRow="1" w:lastRow="1" w:firstColumn="1" w:lastColumn="1" w:noHBand="0" w:noVBand="0"/>
      </w:tblPr>
      <w:tblGrid>
        <w:gridCol w:w="1704"/>
        <w:gridCol w:w="1704"/>
        <w:gridCol w:w="568"/>
        <w:gridCol w:w="1136"/>
        <w:gridCol w:w="568"/>
        <w:gridCol w:w="3970"/>
      </w:tblGrid>
      <w:tr w:rsidR="00AD1F54" w:rsidRPr="00264D5D" w14:paraId="4C20903E"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61427FA2" w14:textId="77777777" w:rsidR="00AD1F54" w:rsidRPr="00264D5D" w:rsidRDefault="00941227">
            <w:pPr>
              <w:pStyle w:val="EBTableHead"/>
              <w:ind w:left="57" w:right="57"/>
              <w:contextualSpacing w:val="0"/>
              <w:rPr>
                <w:sz w:val="22"/>
                <w:szCs w:val="22"/>
              </w:rPr>
            </w:pPr>
            <w:r w:rsidRPr="00264D5D">
              <w:rPr>
                <w:bCs w:val="0"/>
                <w:sz w:val="22"/>
                <w:szCs w:val="22"/>
              </w:rPr>
              <w:t>Наименование элемента</w:t>
            </w:r>
          </w:p>
        </w:tc>
        <w:tc>
          <w:tcPr>
            <w:tcW w:w="1701" w:type="dxa"/>
          </w:tcPr>
          <w:p w14:paraId="4F274364" w14:textId="77777777" w:rsidR="00AD1F54" w:rsidRPr="00264D5D" w:rsidRDefault="00941227">
            <w:pPr>
              <w:pStyle w:val="EBTableHead"/>
              <w:ind w:left="57" w:right="57"/>
              <w:contextualSpacing w:val="0"/>
              <w:rPr>
                <w:sz w:val="22"/>
                <w:szCs w:val="22"/>
              </w:rPr>
            </w:pPr>
            <w:r w:rsidRPr="00264D5D">
              <w:rPr>
                <w:bCs w:val="0"/>
                <w:sz w:val="22"/>
                <w:szCs w:val="22"/>
              </w:rPr>
              <w:t>Сокращенное наименование (код) элемента</w:t>
            </w:r>
          </w:p>
        </w:tc>
        <w:tc>
          <w:tcPr>
            <w:tcW w:w="567" w:type="dxa"/>
          </w:tcPr>
          <w:p w14:paraId="30512F7E" w14:textId="77777777" w:rsidR="00AD1F54" w:rsidRPr="00264D5D" w:rsidRDefault="00941227">
            <w:pPr>
              <w:pStyle w:val="EBTableHead"/>
              <w:ind w:left="57" w:right="57"/>
              <w:contextualSpacing w:val="0"/>
              <w:rPr>
                <w:sz w:val="22"/>
                <w:szCs w:val="22"/>
              </w:rPr>
            </w:pPr>
            <w:r w:rsidRPr="00264D5D">
              <w:rPr>
                <w:bCs w:val="0"/>
                <w:sz w:val="22"/>
                <w:szCs w:val="22"/>
              </w:rPr>
              <w:t>Тип</w:t>
            </w:r>
          </w:p>
        </w:tc>
        <w:tc>
          <w:tcPr>
            <w:tcW w:w="1134" w:type="dxa"/>
          </w:tcPr>
          <w:p w14:paraId="3597B849" w14:textId="77777777" w:rsidR="00AD1F54" w:rsidRPr="00264D5D" w:rsidRDefault="00941227">
            <w:pPr>
              <w:pStyle w:val="EBTableHead"/>
              <w:ind w:left="57" w:right="57"/>
              <w:contextualSpacing w:val="0"/>
              <w:rPr>
                <w:sz w:val="22"/>
                <w:szCs w:val="22"/>
              </w:rPr>
            </w:pPr>
            <w:r w:rsidRPr="00264D5D">
              <w:rPr>
                <w:bCs w:val="0"/>
                <w:sz w:val="22"/>
                <w:szCs w:val="22"/>
              </w:rPr>
              <w:t>Формат элемента</w:t>
            </w:r>
          </w:p>
        </w:tc>
        <w:tc>
          <w:tcPr>
            <w:tcW w:w="567" w:type="dxa"/>
          </w:tcPr>
          <w:p w14:paraId="18859540" w14:textId="77777777" w:rsidR="00AD1F54" w:rsidRPr="00264D5D" w:rsidRDefault="00941227">
            <w:pPr>
              <w:spacing w:before="60" w:after="60"/>
              <w:ind w:left="57" w:right="57"/>
              <w:jc w:val="center"/>
              <w:rPr>
                <w:b/>
                <w:bCs/>
                <w:sz w:val="22"/>
                <w:szCs w:val="22"/>
              </w:rPr>
            </w:pPr>
            <w:r w:rsidRPr="00264D5D">
              <w:rPr>
                <w:b/>
                <w:bCs/>
                <w:sz w:val="22"/>
                <w:szCs w:val="22"/>
              </w:rPr>
              <w:t>Обязательность</w:t>
            </w:r>
          </w:p>
        </w:tc>
        <w:tc>
          <w:tcPr>
            <w:tcW w:w="3963" w:type="dxa"/>
          </w:tcPr>
          <w:p w14:paraId="57BB6BBA" w14:textId="77777777" w:rsidR="00AD1F54" w:rsidRPr="00264D5D" w:rsidRDefault="00941227">
            <w:pPr>
              <w:pStyle w:val="EBTableHead"/>
              <w:ind w:left="57" w:right="57"/>
              <w:contextualSpacing w:val="0"/>
              <w:rPr>
                <w:sz w:val="22"/>
                <w:szCs w:val="22"/>
              </w:rPr>
            </w:pPr>
            <w:r w:rsidRPr="00264D5D">
              <w:rPr>
                <w:bCs w:val="0"/>
                <w:sz w:val="22"/>
                <w:szCs w:val="22"/>
              </w:rPr>
              <w:t>Дополнительная информация</w:t>
            </w:r>
          </w:p>
        </w:tc>
      </w:tr>
      <w:tr w:rsidR="00AD1F54" w:rsidRPr="00264D5D" w14:paraId="2D038625"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84A73EA" w14:textId="77777777" w:rsidR="00AD1F54" w:rsidRPr="00264D5D" w:rsidRDefault="00941227">
            <w:pPr>
              <w:pStyle w:val="EBTablenorm"/>
              <w:ind w:left="57" w:right="57"/>
              <w:contextualSpacing w:val="0"/>
              <w:rPr>
                <w:rFonts w:eastAsia="Calibri"/>
                <w:sz w:val="22"/>
                <w:szCs w:val="22"/>
              </w:rPr>
            </w:pPr>
            <w:r w:rsidRPr="00264D5D">
              <w:rPr>
                <w:sz w:val="22"/>
                <w:szCs w:val="22"/>
              </w:rPr>
              <w:t>Год</w:t>
            </w:r>
          </w:p>
        </w:tc>
        <w:tc>
          <w:tcPr>
            <w:tcW w:w="1701" w:type="dxa"/>
          </w:tcPr>
          <w:p w14:paraId="7B4DA63B" w14:textId="77777777" w:rsidR="00AD1F54" w:rsidRPr="00264D5D" w:rsidRDefault="00941227">
            <w:pPr>
              <w:pStyle w:val="EBTablenorm"/>
              <w:ind w:left="57" w:right="57"/>
              <w:contextualSpacing w:val="0"/>
              <w:jc w:val="left"/>
              <w:rPr>
                <w:sz w:val="22"/>
                <w:szCs w:val="22"/>
                <w:lang w:val="en-US"/>
              </w:rPr>
            </w:pPr>
            <w:r w:rsidRPr="00264D5D">
              <w:rPr>
                <w:sz w:val="22"/>
                <w:szCs w:val="22"/>
              </w:rPr>
              <w:t>YearPlan</w:t>
            </w:r>
          </w:p>
        </w:tc>
        <w:tc>
          <w:tcPr>
            <w:tcW w:w="567" w:type="dxa"/>
          </w:tcPr>
          <w:p w14:paraId="6CEF178C"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2B674847" w14:textId="77777777" w:rsidR="00AD1F54" w:rsidRPr="00264D5D" w:rsidRDefault="00941227">
            <w:pPr>
              <w:pStyle w:val="EBTablenorm"/>
              <w:ind w:left="57" w:right="57"/>
              <w:contextualSpacing w:val="0"/>
              <w:jc w:val="left"/>
              <w:rPr>
                <w:rFonts w:eastAsia="Calibri"/>
                <w:sz w:val="22"/>
                <w:szCs w:val="22"/>
              </w:rPr>
            </w:pPr>
            <w:r w:rsidRPr="00264D5D">
              <w:rPr>
                <w:sz w:val="22"/>
                <w:szCs w:val="22"/>
              </w:rPr>
              <w:t>Т(4)</w:t>
            </w:r>
          </w:p>
        </w:tc>
        <w:tc>
          <w:tcPr>
            <w:tcW w:w="567" w:type="dxa"/>
          </w:tcPr>
          <w:p w14:paraId="344C8D5B" w14:textId="77777777" w:rsidR="00AD1F54" w:rsidRPr="00264D5D" w:rsidRDefault="00941227">
            <w:pPr>
              <w:pStyle w:val="EBTablenorm"/>
              <w:ind w:left="57" w:right="57"/>
              <w:contextualSpacing w:val="0"/>
              <w:jc w:val="center"/>
              <w:rPr>
                <w:rFonts w:eastAsia="Calibri"/>
                <w:sz w:val="22"/>
                <w:szCs w:val="22"/>
              </w:rPr>
            </w:pPr>
            <w:r w:rsidRPr="00264D5D">
              <w:rPr>
                <w:sz w:val="22"/>
                <w:szCs w:val="22"/>
              </w:rPr>
              <w:t>О</w:t>
            </w:r>
          </w:p>
        </w:tc>
        <w:tc>
          <w:tcPr>
            <w:tcW w:w="3963" w:type="dxa"/>
          </w:tcPr>
          <w:p w14:paraId="77D7B36C" w14:textId="77777777" w:rsidR="00B83EE9" w:rsidRPr="00264D5D" w:rsidRDefault="00941227">
            <w:pPr>
              <w:pStyle w:val="EBTablenorm"/>
              <w:ind w:left="57" w:right="57"/>
              <w:contextualSpacing w:val="0"/>
              <w:rPr>
                <w:sz w:val="22"/>
                <w:szCs w:val="22"/>
              </w:rPr>
            </w:pPr>
            <w:r w:rsidRPr="00264D5D">
              <w:rPr>
                <w:sz w:val="22"/>
                <w:szCs w:val="22"/>
              </w:rPr>
              <w:t xml:space="preserve">Значение года. </w:t>
            </w:r>
          </w:p>
          <w:p w14:paraId="290B2E7F" w14:textId="77777777" w:rsidR="00AD1F54" w:rsidRPr="00264D5D" w:rsidRDefault="00941227">
            <w:pPr>
              <w:pStyle w:val="EBTablenorm"/>
              <w:ind w:left="57" w:right="57"/>
              <w:contextualSpacing w:val="0"/>
              <w:rPr>
                <w:rFonts w:eastAsia="Calibri"/>
                <w:sz w:val="22"/>
                <w:szCs w:val="22"/>
              </w:rPr>
            </w:pPr>
            <w:r w:rsidRPr="00264D5D">
              <w:rPr>
                <w:sz w:val="22"/>
                <w:szCs w:val="22"/>
              </w:rPr>
              <w:t>Заполняется значен</w:t>
            </w:r>
            <w:r w:rsidR="00B83EE9" w:rsidRPr="00264D5D">
              <w:rPr>
                <w:sz w:val="22"/>
                <w:szCs w:val="22"/>
              </w:rPr>
              <w:t>ием текущего или планового года</w:t>
            </w:r>
          </w:p>
        </w:tc>
      </w:tr>
      <w:tr w:rsidR="00AD1F54" w:rsidRPr="00264D5D" w14:paraId="48BCB25D"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B3E0245" w14:textId="77777777" w:rsidR="00AD1F54" w:rsidRPr="00264D5D" w:rsidRDefault="00941227">
            <w:pPr>
              <w:pStyle w:val="EBTablenorm"/>
              <w:ind w:left="57" w:right="57"/>
              <w:contextualSpacing w:val="0"/>
              <w:rPr>
                <w:rFonts w:eastAsia="Calibri"/>
                <w:sz w:val="22"/>
                <w:szCs w:val="22"/>
              </w:rPr>
            </w:pPr>
            <w:r w:rsidRPr="00264D5D">
              <w:rPr>
                <w:sz w:val="22"/>
                <w:szCs w:val="22"/>
              </w:rPr>
              <w:t>Размер субсидии, бюджетных инвестиций, межбюджетного трансферта в единице валюты</w:t>
            </w:r>
          </w:p>
        </w:tc>
        <w:tc>
          <w:tcPr>
            <w:tcW w:w="1701" w:type="dxa"/>
          </w:tcPr>
          <w:p w14:paraId="14EA0030" w14:textId="77777777" w:rsidR="00AD1F54" w:rsidRPr="00264D5D" w:rsidRDefault="00941227">
            <w:pPr>
              <w:pStyle w:val="EBTablenorm"/>
              <w:ind w:left="57" w:right="57"/>
              <w:contextualSpacing w:val="0"/>
              <w:jc w:val="left"/>
              <w:rPr>
                <w:rFonts w:eastAsia="Calibri"/>
                <w:sz w:val="22"/>
                <w:szCs w:val="22"/>
              </w:rPr>
            </w:pPr>
            <w:r w:rsidRPr="00264D5D">
              <w:rPr>
                <w:sz w:val="22"/>
                <w:szCs w:val="22"/>
                <w:lang w:val="en-US"/>
              </w:rPr>
              <w:t>AgrCurSumKbk</w:t>
            </w:r>
          </w:p>
        </w:tc>
        <w:tc>
          <w:tcPr>
            <w:tcW w:w="567" w:type="dxa"/>
          </w:tcPr>
          <w:p w14:paraId="7015F34C"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15239DDA" w14:textId="77777777" w:rsidR="00AD1F54" w:rsidRPr="00264D5D" w:rsidRDefault="00941227">
            <w:pPr>
              <w:pStyle w:val="EBTablenorm"/>
              <w:ind w:left="57" w:right="57"/>
              <w:contextualSpacing w:val="0"/>
              <w:jc w:val="left"/>
              <w:rPr>
                <w:sz w:val="22"/>
                <w:szCs w:val="22"/>
              </w:rPr>
            </w:pPr>
            <w:r w:rsidRPr="00264D5D">
              <w:rPr>
                <w:rFonts w:eastAsia="Calibri"/>
                <w:sz w:val="22"/>
                <w:szCs w:val="22"/>
              </w:rPr>
              <w:t>N(14.2)</w:t>
            </w:r>
          </w:p>
        </w:tc>
        <w:tc>
          <w:tcPr>
            <w:tcW w:w="567" w:type="dxa"/>
          </w:tcPr>
          <w:p w14:paraId="126B75C3"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3F916AD8" w14:textId="77777777" w:rsidR="00AD1F54" w:rsidRPr="00264D5D" w:rsidRDefault="00941227">
            <w:pPr>
              <w:pStyle w:val="EBTablenorm"/>
              <w:ind w:left="57" w:right="57"/>
              <w:contextualSpacing w:val="0"/>
              <w:rPr>
                <w:sz w:val="22"/>
                <w:szCs w:val="22"/>
              </w:rPr>
            </w:pPr>
            <w:r w:rsidRPr="00264D5D">
              <w:rPr>
                <w:sz w:val="22"/>
                <w:szCs w:val="22"/>
              </w:rPr>
              <w:t>Размер субсидии, бюджетных инвестиций, межбюджетно</w:t>
            </w:r>
            <w:r w:rsidR="00B83EE9" w:rsidRPr="00264D5D">
              <w:rPr>
                <w:sz w:val="22"/>
                <w:szCs w:val="22"/>
              </w:rPr>
              <w:t>го трансферта в единице валюты.</w:t>
            </w:r>
          </w:p>
        </w:tc>
      </w:tr>
      <w:tr w:rsidR="00AD1F54" w:rsidRPr="00264D5D" w14:paraId="48EC3D0A"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A138815" w14:textId="77777777" w:rsidR="00AD1F54" w:rsidRPr="00264D5D" w:rsidRDefault="00941227">
            <w:pPr>
              <w:pStyle w:val="EBTablenorm"/>
              <w:ind w:left="57" w:right="57"/>
              <w:contextualSpacing w:val="0"/>
              <w:rPr>
                <w:rFonts w:eastAsia="Calibri"/>
                <w:sz w:val="22"/>
                <w:szCs w:val="22"/>
              </w:rPr>
            </w:pPr>
            <w:r w:rsidRPr="00264D5D">
              <w:rPr>
                <w:sz w:val="22"/>
                <w:szCs w:val="22"/>
              </w:rPr>
              <w:t>Размер субсидии, бюджетных инвестиций в рублевом эквиваленте</w:t>
            </w:r>
          </w:p>
        </w:tc>
        <w:tc>
          <w:tcPr>
            <w:tcW w:w="1701" w:type="dxa"/>
          </w:tcPr>
          <w:p w14:paraId="2A584F7E" w14:textId="77777777" w:rsidR="00AD1F54" w:rsidRPr="00264D5D" w:rsidRDefault="00941227">
            <w:pPr>
              <w:pStyle w:val="EBTablenorm"/>
              <w:ind w:left="57" w:right="57"/>
              <w:contextualSpacing w:val="0"/>
              <w:jc w:val="left"/>
              <w:rPr>
                <w:sz w:val="22"/>
                <w:szCs w:val="22"/>
              </w:rPr>
            </w:pPr>
            <w:r w:rsidRPr="00264D5D">
              <w:rPr>
                <w:sz w:val="22"/>
                <w:szCs w:val="22"/>
                <w:lang w:val="en-US"/>
              </w:rPr>
              <w:t>AgrRubSumKbk</w:t>
            </w:r>
          </w:p>
        </w:tc>
        <w:tc>
          <w:tcPr>
            <w:tcW w:w="567" w:type="dxa"/>
          </w:tcPr>
          <w:p w14:paraId="18EE61A7"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0C250515" w14:textId="77777777" w:rsidR="00AD1F54" w:rsidRPr="00264D5D" w:rsidRDefault="00941227">
            <w:pPr>
              <w:pStyle w:val="EBTablenorm"/>
              <w:ind w:left="57" w:right="57"/>
              <w:contextualSpacing w:val="0"/>
              <w:jc w:val="left"/>
              <w:rPr>
                <w:sz w:val="22"/>
                <w:szCs w:val="22"/>
              </w:rPr>
            </w:pPr>
            <w:r w:rsidRPr="00264D5D">
              <w:rPr>
                <w:rFonts w:eastAsia="Calibri"/>
                <w:sz w:val="22"/>
                <w:szCs w:val="22"/>
              </w:rPr>
              <w:t>N(14.2)</w:t>
            </w:r>
          </w:p>
        </w:tc>
        <w:tc>
          <w:tcPr>
            <w:tcW w:w="567" w:type="dxa"/>
          </w:tcPr>
          <w:p w14:paraId="0340C010"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6614D996" w14:textId="77777777" w:rsidR="00B83EE9" w:rsidRPr="00264D5D" w:rsidRDefault="00941227" w:rsidP="00B83EE9">
            <w:pPr>
              <w:pStyle w:val="EBTablenorm"/>
              <w:ind w:left="57" w:right="57"/>
              <w:contextualSpacing w:val="0"/>
              <w:rPr>
                <w:sz w:val="22"/>
                <w:szCs w:val="22"/>
              </w:rPr>
            </w:pPr>
            <w:r w:rsidRPr="00264D5D">
              <w:rPr>
                <w:sz w:val="22"/>
                <w:szCs w:val="22"/>
              </w:rPr>
              <w:t xml:space="preserve">Размер субсидии, бюджетных инвестиций (средств), указанный в иностранной </w:t>
            </w:r>
            <w:r w:rsidR="00B83EE9" w:rsidRPr="00264D5D">
              <w:rPr>
                <w:sz w:val="22"/>
                <w:szCs w:val="22"/>
              </w:rPr>
              <w:t>валюте, в рублевом эквиваленте</w:t>
            </w:r>
          </w:p>
        </w:tc>
      </w:tr>
      <w:tr w:rsidR="00AD1F54" w:rsidRPr="00264D5D" w14:paraId="4A377784"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29EE888B" w14:textId="77777777" w:rsidR="00AD1F54" w:rsidRPr="00264D5D" w:rsidRDefault="00941227">
            <w:pPr>
              <w:pStyle w:val="EBTablenorm"/>
              <w:ind w:left="57" w:right="57"/>
              <w:contextualSpacing w:val="0"/>
              <w:rPr>
                <w:sz w:val="22"/>
                <w:szCs w:val="22"/>
              </w:rPr>
            </w:pPr>
            <w:r w:rsidRPr="00264D5D">
              <w:rPr>
                <w:sz w:val="22"/>
                <w:szCs w:val="22"/>
              </w:rPr>
              <w:lastRenderedPageBreak/>
              <w:t>Объем бюджетных ассигнований бюджета субъекта РФ</w:t>
            </w:r>
          </w:p>
          <w:p w14:paraId="3EF90327" w14:textId="77777777" w:rsidR="00AD1F54" w:rsidRPr="00264D5D" w:rsidRDefault="00AD1F54">
            <w:pPr>
              <w:pStyle w:val="EBTablenorm"/>
              <w:ind w:left="57" w:right="57"/>
              <w:contextualSpacing w:val="0"/>
              <w:rPr>
                <w:sz w:val="22"/>
                <w:szCs w:val="22"/>
              </w:rPr>
            </w:pPr>
          </w:p>
        </w:tc>
        <w:tc>
          <w:tcPr>
            <w:tcW w:w="1701" w:type="dxa"/>
          </w:tcPr>
          <w:p w14:paraId="71FAD405" w14:textId="77777777" w:rsidR="00AD1F54" w:rsidRPr="00264D5D" w:rsidRDefault="00941227">
            <w:pPr>
              <w:pStyle w:val="EBTablenorm"/>
              <w:ind w:left="57" w:right="57"/>
              <w:contextualSpacing w:val="0"/>
              <w:jc w:val="left"/>
              <w:rPr>
                <w:sz w:val="22"/>
                <w:szCs w:val="22"/>
              </w:rPr>
            </w:pPr>
            <w:r w:rsidRPr="00264D5D">
              <w:rPr>
                <w:sz w:val="22"/>
                <w:szCs w:val="22"/>
              </w:rPr>
              <w:t>BAVol</w:t>
            </w:r>
          </w:p>
        </w:tc>
        <w:tc>
          <w:tcPr>
            <w:tcW w:w="567" w:type="dxa"/>
          </w:tcPr>
          <w:p w14:paraId="3EA4B063"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4F0FA772" w14:textId="77777777" w:rsidR="00AD1F54" w:rsidRPr="00264D5D" w:rsidRDefault="00941227">
            <w:pPr>
              <w:pStyle w:val="EBTablenorm"/>
              <w:ind w:left="57" w:right="57"/>
              <w:contextualSpacing w:val="0"/>
              <w:jc w:val="left"/>
              <w:rPr>
                <w:rFonts w:eastAsia="Calibri"/>
                <w:sz w:val="22"/>
                <w:szCs w:val="22"/>
              </w:rPr>
            </w:pPr>
            <w:r w:rsidRPr="00264D5D">
              <w:rPr>
                <w:rFonts w:eastAsia="Calibri"/>
                <w:sz w:val="22"/>
                <w:szCs w:val="22"/>
              </w:rPr>
              <w:t>N(14.2)</w:t>
            </w:r>
          </w:p>
        </w:tc>
        <w:tc>
          <w:tcPr>
            <w:tcW w:w="567" w:type="dxa"/>
          </w:tcPr>
          <w:p w14:paraId="2697A652" w14:textId="77777777" w:rsidR="00AD1F54" w:rsidRPr="00264D5D" w:rsidRDefault="00941227">
            <w:pPr>
              <w:pStyle w:val="EBTablenorm"/>
              <w:ind w:left="57" w:right="57"/>
              <w:contextualSpacing w:val="0"/>
              <w:jc w:val="center"/>
              <w:rPr>
                <w:sz w:val="22"/>
                <w:szCs w:val="22"/>
              </w:rPr>
            </w:pPr>
            <w:r w:rsidRPr="00264D5D">
              <w:rPr>
                <w:sz w:val="22"/>
                <w:szCs w:val="22"/>
              </w:rPr>
              <w:t>Н</w:t>
            </w:r>
          </w:p>
        </w:tc>
        <w:tc>
          <w:tcPr>
            <w:tcW w:w="3963" w:type="dxa"/>
          </w:tcPr>
          <w:p w14:paraId="22D44C77" w14:textId="77777777" w:rsidR="00AD1F54" w:rsidRPr="00264D5D" w:rsidRDefault="00941227">
            <w:pPr>
              <w:pStyle w:val="EBTablenorm"/>
              <w:ind w:left="57" w:right="57"/>
              <w:contextualSpacing w:val="0"/>
              <w:rPr>
                <w:sz w:val="22"/>
                <w:szCs w:val="22"/>
              </w:rPr>
            </w:pPr>
            <w:r w:rsidRPr="00264D5D">
              <w:rPr>
                <w:sz w:val="22"/>
                <w:szCs w:val="22"/>
              </w:rPr>
              <w:t xml:space="preserve">Объем бюджетных ассигнований бюджета субъекта Российской Федерации на финансирование расходных обязательств, софинансирование которых осуществляется за счет субсидии бюджету субъекта Российской Федерации. </w:t>
            </w:r>
          </w:p>
          <w:p w14:paraId="45863F4E" w14:textId="77777777" w:rsidR="00AD1F54" w:rsidRPr="00264D5D" w:rsidRDefault="00941227">
            <w:pPr>
              <w:pStyle w:val="EBTablenorm"/>
              <w:ind w:left="57" w:right="57"/>
              <w:contextualSpacing w:val="0"/>
              <w:rPr>
                <w:sz w:val="22"/>
                <w:szCs w:val="22"/>
              </w:rPr>
            </w:pPr>
            <w:r w:rsidRPr="00264D5D">
              <w:rPr>
                <w:sz w:val="22"/>
                <w:szCs w:val="22"/>
              </w:rPr>
              <w:t xml:space="preserve">Поле обязательно для заполнения только при указании в элементе «Код </w:t>
            </w:r>
            <w:r w:rsidR="00B83EE9" w:rsidRPr="00264D5D">
              <w:rPr>
                <w:sz w:val="22"/>
                <w:szCs w:val="22"/>
              </w:rPr>
              <w:t>вида соглашения» значения «031»</w:t>
            </w:r>
          </w:p>
        </w:tc>
      </w:tr>
      <w:tr w:rsidR="00AD1F54" w:rsidRPr="00264D5D" w14:paraId="6C099607"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CF0D72C" w14:textId="77777777" w:rsidR="00AD1F54" w:rsidRPr="00264D5D" w:rsidRDefault="00941227">
            <w:pPr>
              <w:pStyle w:val="EBTablenorm"/>
              <w:ind w:left="57" w:right="57"/>
              <w:contextualSpacing w:val="0"/>
              <w:rPr>
                <w:sz w:val="22"/>
                <w:szCs w:val="22"/>
              </w:rPr>
            </w:pPr>
            <w:r w:rsidRPr="00264D5D">
              <w:rPr>
                <w:sz w:val="22"/>
                <w:szCs w:val="22"/>
              </w:rPr>
              <w:t>Уровень софинансирования</w:t>
            </w:r>
          </w:p>
        </w:tc>
        <w:tc>
          <w:tcPr>
            <w:tcW w:w="1701" w:type="dxa"/>
          </w:tcPr>
          <w:p w14:paraId="4E7B931E" w14:textId="77777777" w:rsidR="00AD1F54" w:rsidRPr="00264D5D" w:rsidRDefault="00941227">
            <w:pPr>
              <w:pStyle w:val="EBTablenorm"/>
              <w:ind w:left="57" w:right="57"/>
              <w:contextualSpacing w:val="0"/>
              <w:jc w:val="left"/>
              <w:rPr>
                <w:sz w:val="22"/>
                <w:szCs w:val="22"/>
              </w:rPr>
            </w:pPr>
            <w:r w:rsidRPr="00264D5D">
              <w:rPr>
                <w:sz w:val="22"/>
                <w:szCs w:val="22"/>
              </w:rPr>
              <w:t>SofinanLevel</w:t>
            </w:r>
          </w:p>
        </w:tc>
        <w:tc>
          <w:tcPr>
            <w:tcW w:w="567" w:type="dxa"/>
          </w:tcPr>
          <w:p w14:paraId="75C7C175"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0B55A45C" w14:textId="77777777" w:rsidR="00AD1F54" w:rsidRPr="00264D5D" w:rsidRDefault="00941227">
            <w:pPr>
              <w:pStyle w:val="EBTablenorm"/>
              <w:ind w:left="57" w:right="57"/>
              <w:contextualSpacing w:val="0"/>
              <w:jc w:val="left"/>
              <w:rPr>
                <w:rFonts w:eastAsia="Calibri"/>
                <w:sz w:val="22"/>
                <w:szCs w:val="22"/>
              </w:rPr>
            </w:pPr>
            <w:r w:rsidRPr="00264D5D">
              <w:rPr>
                <w:rFonts w:eastAsia="Calibri"/>
                <w:sz w:val="22"/>
                <w:szCs w:val="22"/>
              </w:rPr>
              <w:t>N(20.15)</w:t>
            </w:r>
          </w:p>
        </w:tc>
        <w:tc>
          <w:tcPr>
            <w:tcW w:w="567" w:type="dxa"/>
          </w:tcPr>
          <w:p w14:paraId="6F8F24D3" w14:textId="77777777" w:rsidR="00AD1F54" w:rsidRPr="00264D5D" w:rsidRDefault="00941227">
            <w:pPr>
              <w:pStyle w:val="EBTablenorm"/>
              <w:ind w:left="57" w:right="57"/>
              <w:contextualSpacing w:val="0"/>
              <w:jc w:val="center"/>
              <w:rPr>
                <w:sz w:val="22"/>
                <w:szCs w:val="22"/>
              </w:rPr>
            </w:pPr>
            <w:r w:rsidRPr="00264D5D">
              <w:rPr>
                <w:sz w:val="22"/>
                <w:szCs w:val="22"/>
              </w:rPr>
              <w:t>Н</w:t>
            </w:r>
          </w:p>
        </w:tc>
        <w:tc>
          <w:tcPr>
            <w:tcW w:w="3963" w:type="dxa"/>
          </w:tcPr>
          <w:p w14:paraId="6184B6D3" w14:textId="77777777" w:rsidR="00AD1F54" w:rsidRPr="00264D5D" w:rsidRDefault="00941227">
            <w:pPr>
              <w:pStyle w:val="EBTablenorm"/>
              <w:ind w:left="57" w:right="57"/>
              <w:contextualSpacing w:val="0"/>
              <w:rPr>
                <w:sz w:val="22"/>
                <w:szCs w:val="22"/>
              </w:rPr>
            </w:pPr>
            <w:r w:rsidRPr="00264D5D">
              <w:rPr>
                <w:sz w:val="22"/>
                <w:szCs w:val="22"/>
              </w:rPr>
              <w:t>Уровень софинансирования из федерального бюджета расходного обязательства субъекта Российской Федерации.</w:t>
            </w:r>
          </w:p>
          <w:p w14:paraId="3B66A660" w14:textId="77777777" w:rsidR="00AD1F54" w:rsidRPr="00264D5D" w:rsidRDefault="00941227">
            <w:pPr>
              <w:pStyle w:val="EBTablenorm"/>
              <w:ind w:left="57" w:right="57"/>
              <w:contextualSpacing w:val="0"/>
              <w:rPr>
                <w:sz w:val="22"/>
                <w:szCs w:val="22"/>
              </w:rPr>
            </w:pPr>
            <w:r w:rsidRPr="00264D5D">
              <w:rPr>
                <w:sz w:val="22"/>
                <w:szCs w:val="22"/>
              </w:rPr>
              <w:t xml:space="preserve">Поле обязательно для заполнения только при указании в элементе «Код </w:t>
            </w:r>
            <w:r w:rsidR="00B83EE9" w:rsidRPr="00264D5D">
              <w:rPr>
                <w:sz w:val="22"/>
                <w:szCs w:val="22"/>
              </w:rPr>
              <w:t>вида соглашения» значения «031»</w:t>
            </w:r>
          </w:p>
        </w:tc>
      </w:tr>
      <w:tr w:rsidR="00AD1F54" w:rsidRPr="00264D5D" w14:paraId="20874A9F"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46CD6CA0" w14:textId="77777777" w:rsidR="00AD1F54" w:rsidRPr="00264D5D" w:rsidRDefault="00941227">
            <w:pPr>
              <w:pStyle w:val="EBTablenorm"/>
              <w:ind w:left="57" w:right="57"/>
              <w:contextualSpacing w:val="0"/>
              <w:rPr>
                <w:sz w:val="22"/>
                <w:szCs w:val="22"/>
              </w:rPr>
            </w:pPr>
            <w:r w:rsidRPr="00264D5D">
              <w:rPr>
                <w:sz w:val="22"/>
                <w:szCs w:val="22"/>
              </w:rPr>
              <w:t>Признак применения уровня софинансирования, единого для мероприятий и объектов капитального строительства (объектов недвижимого имущества)</w:t>
            </w:r>
          </w:p>
        </w:tc>
        <w:tc>
          <w:tcPr>
            <w:tcW w:w="1701" w:type="dxa"/>
          </w:tcPr>
          <w:p w14:paraId="51CD071F" w14:textId="77777777" w:rsidR="00AD1F54" w:rsidRPr="00264D5D" w:rsidRDefault="00941227">
            <w:pPr>
              <w:pStyle w:val="EBTablenorm"/>
              <w:ind w:left="57" w:right="57"/>
              <w:contextualSpacing w:val="0"/>
              <w:jc w:val="left"/>
              <w:rPr>
                <w:sz w:val="22"/>
                <w:szCs w:val="22"/>
              </w:rPr>
            </w:pPr>
            <w:r w:rsidRPr="00264D5D">
              <w:rPr>
                <w:sz w:val="22"/>
                <w:szCs w:val="22"/>
              </w:rPr>
              <w:t>SingleSofinanLevel</w:t>
            </w:r>
          </w:p>
        </w:tc>
        <w:tc>
          <w:tcPr>
            <w:tcW w:w="567" w:type="dxa"/>
          </w:tcPr>
          <w:p w14:paraId="419717AA"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5C73A1B5" w14:textId="77777777" w:rsidR="00AD1F54" w:rsidRPr="00264D5D" w:rsidRDefault="00941227">
            <w:pPr>
              <w:pStyle w:val="EBTablenorm"/>
              <w:ind w:left="57" w:right="57"/>
              <w:contextualSpacing w:val="0"/>
              <w:jc w:val="left"/>
              <w:rPr>
                <w:rFonts w:eastAsia="Calibri"/>
                <w:sz w:val="22"/>
                <w:szCs w:val="22"/>
              </w:rPr>
            </w:pPr>
            <w:r w:rsidRPr="00264D5D">
              <w:rPr>
                <w:rFonts w:eastAsia="Calibri"/>
                <w:sz w:val="22"/>
                <w:szCs w:val="22"/>
              </w:rPr>
              <w:t>Т(1)</w:t>
            </w:r>
          </w:p>
        </w:tc>
        <w:tc>
          <w:tcPr>
            <w:tcW w:w="567" w:type="dxa"/>
          </w:tcPr>
          <w:p w14:paraId="5B0F8B7F" w14:textId="77777777" w:rsidR="00AD1F54" w:rsidRPr="00264D5D" w:rsidRDefault="00941227">
            <w:pPr>
              <w:pStyle w:val="EBTablenorm"/>
              <w:ind w:left="57" w:right="57"/>
              <w:contextualSpacing w:val="0"/>
              <w:jc w:val="center"/>
              <w:rPr>
                <w:sz w:val="22"/>
                <w:szCs w:val="22"/>
              </w:rPr>
            </w:pPr>
            <w:r w:rsidRPr="00264D5D">
              <w:rPr>
                <w:sz w:val="22"/>
                <w:szCs w:val="22"/>
              </w:rPr>
              <w:t>Н</w:t>
            </w:r>
          </w:p>
        </w:tc>
        <w:tc>
          <w:tcPr>
            <w:tcW w:w="3963" w:type="dxa"/>
          </w:tcPr>
          <w:p w14:paraId="7E6772CE" w14:textId="77777777" w:rsidR="00AD1F54" w:rsidRPr="00264D5D" w:rsidRDefault="00941227">
            <w:pPr>
              <w:pStyle w:val="EBTablenorm"/>
              <w:ind w:left="57" w:right="57"/>
              <w:contextualSpacing w:val="0"/>
              <w:rPr>
                <w:sz w:val="22"/>
                <w:szCs w:val="22"/>
              </w:rPr>
            </w:pPr>
            <w:r w:rsidRPr="00264D5D">
              <w:rPr>
                <w:sz w:val="22"/>
                <w:szCs w:val="22"/>
              </w:rPr>
              <w:t>Признак применения уровня софинансирования, единого для мероприятий и объектов капитального строительства (объектов недвижимого имущества). Допустимые значения:</w:t>
            </w:r>
          </w:p>
          <w:p w14:paraId="61AC49B6" w14:textId="77777777" w:rsidR="00AD1F54" w:rsidRPr="00264D5D" w:rsidRDefault="00941227" w:rsidP="00E7460C">
            <w:pPr>
              <w:pStyle w:val="EBTablenorm"/>
              <w:numPr>
                <w:ilvl w:val="0"/>
                <w:numId w:val="104"/>
              </w:numPr>
              <w:ind w:left="284" w:right="57" w:hanging="227"/>
              <w:contextualSpacing w:val="0"/>
              <w:rPr>
                <w:sz w:val="22"/>
                <w:szCs w:val="22"/>
              </w:rPr>
            </w:pPr>
            <w:r w:rsidRPr="00264D5D">
              <w:rPr>
                <w:sz w:val="22"/>
                <w:szCs w:val="22"/>
              </w:rPr>
              <w:t>«1» – да;</w:t>
            </w:r>
          </w:p>
          <w:p w14:paraId="2994B524" w14:textId="77777777" w:rsidR="00AD1F54" w:rsidRPr="00264D5D" w:rsidRDefault="00941227" w:rsidP="00E7460C">
            <w:pPr>
              <w:pStyle w:val="EBTablenorm"/>
              <w:numPr>
                <w:ilvl w:val="0"/>
                <w:numId w:val="104"/>
              </w:numPr>
              <w:ind w:left="284" w:right="57" w:hanging="227"/>
              <w:contextualSpacing w:val="0"/>
              <w:rPr>
                <w:sz w:val="22"/>
                <w:szCs w:val="22"/>
              </w:rPr>
            </w:pPr>
            <w:r w:rsidRPr="00264D5D">
              <w:rPr>
                <w:sz w:val="22"/>
                <w:szCs w:val="22"/>
              </w:rPr>
              <w:t>«0» – нет.</w:t>
            </w:r>
          </w:p>
          <w:p w14:paraId="48F600BE" w14:textId="77777777" w:rsidR="00AD1F54" w:rsidRPr="00264D5D" w:rsidRDefault="00941227">
            <w:pPr>
              <w:pStyle w:val="EBTablenorm"/>
              <w:ind w:left="57" w:right="57"/>
              <w:contextualSpacing w:val="0"/>
              <w:rPr>
                <w:sz w:val="22"/>
                <w:szCs w:val="22"/>
              </w:rPr>
            </w:pPr>
            <w:r w:rsidRPr="00264D5D">
              <w:rPr>
                <w:sz w:val="22"/>
                <w:szCs w:val="22"/>
              </w:rPr>
              <w:t xml:space="preserve">Поле обязательно для </w:t>
            </w:r>
            <w:r w:rsidR="00B83EE9" w:rsidRPr="00264D5D">
              <w:rPr>
                <w:sz w:val="22"/>
                <w:szCs w:val="22"/>
              </w:rPr>
              <w:t>заполнения только</w:t>
            </w:r>
            <w:r w:rsidRPr="00264D5D">
              <w:rPr>
                <w:sz w:val="22"/>
                <w:szCs w:val="22"/>
              </w:rPr>
              <w:t xml:space="preserve"> при указании в элементе «Код </w:t>
            </w:r>
            <w:r w:rsidR="00B83EE9" w:rsidRPr="00264D5D">
              <w:rPr>
                <w:sz w:val="22"/>
                <w:szCs w:val="22"/>
              </w:rPr>
              <w:t>вида соглашения» значения «031»</w:t>
            </w:r>
          </w:p>
        </w:tc>
      </w:tr>
    </w:tbl>
    <w:p w14:paraId="01468830" w14:textId="77777777" w:rsidR="00AD1F54" w:rsidRPr="00264D5D" w:rsidRDefault="00941227">
      <w:pPr>
        <w:pStyle w:val="31"/>
      </w:pPr>
      <w:bookmarkStart w:id="1980" w:name="_Toc219309668"/>
      <w:r w:rsidRPr="00264D5D">
        <w:t>Описание комплексного типа «tPrfrmnsInd»</w:t>
      </w:r>
      <w:bookmarkEnd w:id="1973"/>
      <w:bookmarkEnd w:id="1974"/>
      <w:bookmarkEnd w:id="1980"/>
    </w:p>
    <w:p w14:paraId="09E3456D" w14:textId="77777777" w:rsidR="00AD1F54" w:rsidRPr="00264D5D" w:rsidRDefault="00941227">
      <w:pPr>
        <w:spacing w:before="60" w:after="120"/>
        <w:ind w:firstLine="567"/>
        <w:rPr>
          <w:rFonts w:eastAsia="Calibri"/>
          <w:szCs w:val="24"/>
        </w:rPr>
      </w:pPr>
      <w:r w:rsidRPr="00264D5D">
        <w:rPr>
          <w:rFonts w:eastAsia="Calibri"/>
          <w:szCs w:val="24"/>
        </w:rPr>
        <w:t xml:space="preserve">Описание комплексного типа «tPrfrmnsInd» </w:t>
      </w:r>
      <w:r w:rsidRPr="00264D5D">
        <w:t>блока</w:t>
      </w:r>
      <w:r w:rsidRPr="00264D5D">
        <w:rPr>
          <w:rFonts w:eastAsia="Calibri"/>
          <w:szCs w:val="24"/>
        </w:rPr>
        <w:t xml:space="preserve"> «Показатели результативности».</w:t>
      </w:r>
    </w:p>
    <w:p w14:paraId="6EEB0B9C" w14:textId="6BB7927D"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1981" w:name="_Ref494364142"/>
      <w:bookmarkStart w:id="1982" w:name="_Toc30503385"/>
      <w:bookmarkStart w:id="1983" w:name="_Toc30507983"/>
      <w:bookmarkStart w:id="1984" w:name="_Toc219309236"/>
      <w:r w:rsidR="008D797C">
        <w:rPr>
          <w:rFonts w:eastAsia="Calibri"/>
          <w:noProof/>
          <w:szCs w:val="24"/>
        </w:rPr>
        <w:t>206</w:t>
      </w:r>
      <w:bookmarkEnd w:id="1981"/>
      <w:r w:rsidRPr="00264D5D">
        <w:rPr>
          <w:rFonts w:eastAsia="Calibri"/>
          <w:szCs w:val="24"/>
        </w:rPr>
        <w:fldChar w:fldCharType="end"/>
      </w:r>
      <w:r w:rsidRPr="00264D5D">
        <w:rPr>
          <w:rFonts w:eastAsia="Calibri"/>
          <w:szCs w:val="24"/>
        </w:rPr>
        <w:t xml:space="preserve"> – Описание комплексного типа «tPrfrmnsInd»</w:t>
      </w:r>
      <w:bookmarkEnd w:id="1982"/>
      <w:bookmarkEnd w:id="1983"/>
      <w:bookmarkEnd w:id="1984"/>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377E6BE0"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4A296109" w14:textId="77777777" w:rsidR="00AD1F54" w:rsidRPr="00264D5D" w:rsidRDefault="00941227">
            <w:pPr>
              <w:pStyle w:val="EBTableHead"/>
              <w:ind w:left="57" w:right="57"/>
              <w:contextualSpacing w:val="0"/>
              <w:rPr>
                <w:sz w:val="22"/>
                <w:szCs w:val="22"/>
              </w:rPr>
            </w:pPr>
            <w:r w:rsidRPr="00264D5D">
              <w:rPr>
                <w:bCs w:val="0"/>
                <w:sz w:val="22"/>
                <w:szCs w:val="22"/>
              </w:rPr>
              <w:t>Наименование элемента</w:t>
            </w:r>
          </w:p>
        </w:tc>
        <w:tc>
          <w:tcPr>
            <w:tcW w:w="1701" w:type="dxa"/>
          </w:tcPr>
          <w:p w14:paraId="307C7428" w14:textId="77777777" w:rsidR="00AD1F54" w:rsidRPr="00264D5D" w:rsidRDefault="00941227">
            <w:pPr>
              <w:pStyle w:val="EBTableHead"/>
              <w:ind w:left="57" w:right="57"/>
              <w:contextualSpacing w:val="0"/>
              <w:rPr>
                <w:sz w:val="22"/>
                <w:szCs w:val="22"/>
              </w:rPr>
            </w:pPr>
            <w:r w:rsidRPr="00264D5D">
              <w:rPr>
                <w:bCs w:val="0"/>
                <w:sz w:val="22"/>
                <w:szCs w:val="22"/>
              </w:rPr>
              <w:t>Сокращенное наименование (код) элемента</w:t>
            </w:r>
          </w:p>
        </w:tc>
        <w:tc>
          <w:tcPr>
            <w:tcW w:w="567" w:type="dxa"/>
          </w:tcPr>
          <w:p w14:paraId="3180ECDC" w14:textId="77777777" w:rsidR="00AD1F54" w:rsidRPr="00264D5D" w:rsidRDefault="00941227">
            <w:pPr>
              <w:pStyle w:val="EBTableHead"/>
              <w:ind w:left="57" w:right="57"/>
              <w:contextualSpacing w:val="0"/>
              <w:rPr>
                <w:sz w:val="22"/>
                <w:szCs w:val="22"/>
              </w:rPr>
            </w:pPr>
            <w:r w:rsidRPr="00264D5D">
              <w:rPr>
                <w:bCs w:val="0"/>
                <w:sz w:val="22"/>
                <w:szCs w:val="22"/>
              </w:rPr>
              <w:t>Тип</w:t>
            </w:r>
          </w:p>
        </w:tc>
        <w:tc>
          <w:tcPr>
            <w:tcW w:w="1134" w:type="dxa"/>
          </w:tcPr>
          <w:p w14:paraId="3A0B94F4" w14:textId="77777777" w:rsidR="00AD1F54" w:rsidRPr="00264D5D" w:rsidRDefault="00941227">
            <w:pPr>
              <w:pStyle w:val="EBTableHead"/>
              <w:ind w:left="57" w:right="57"/>
              <w:contextualSpacing w:val="0"/>
              <w:rPr>
                <w:sz w:val="22"/>
                <w:szCs w:val="22"/>
              </w:rPr>
            </w:pPr>
            <w:r w:rsidRPr="00264D5D">
              <w:rPr>
                <w:bCs w:val="0"/>
                <w:sz w:val="22"/>
                <w:szCs w:val="22"/>
              </w:rPr>
              <w:t>Формат элемента</w:t>
            </w:r>
          </w:p>
        </w:tc>
        <w:tc>
          <w:tcPr>
            <w:tcW w:w="567" w:type="dxa"/>
          </w:tcPr>
          <w:p w14:paraId="695E3718" w14:textId="77777777" w:rsidR="00AD1F54" w:rsidRPr="00264D5D" w:rsidRDefault="00941227">
            <w:pPr>
              <w:spacing w:before="60" w:after="60"/>
              <w:ind w:left="57" w:right="57"/>
              <w:jc w:val="center"/>
              <w:rPr>
                <w:b/>
                <w:bCs/>
                <w:sz w:val="22"/>
                <w:szCs w:val="22"/>
              </w:rPr>
            </w:pPr>
            <w:r w:rsidRPr="00264D5D">
              <w:rPr>
                <w:b/>
                <w:bCs/>
                <w:sz w:val="22"/>
                <w:szCs w:val="22"/>
              </w:rPr>
              <w:t>Обязательность</w:t>
            </w:r>
          </w:p>
        </w:tc>
        <w:tc>
          <w:tcPr>
            <w:tcW w:w="3963" w:type="dxa"/>
          </w:tcPr>
          <w:p w14:paraId="5E74877B" w14:textId="77777777" w:rsidR="00AD1F54" w:rsidRPr="00264D5D" w:rsidRDefault="00941227">
            <w:pPr>
              <w:pStyle w:val="EBTableHead"/>
              <w:ind w:left="57" w:right="57"/>
              <w:contextualSpacing w:val="0"/>
              <w:rPr>
                <w:sz w:val="22"/>
                <w:szCs w:val="22"/>
              </w:rPr>
            </w:pPr>
            <w:r w:rsidRPr="00264D5D">
              <w:rPr>
                <w:bCs w:val="0"/>
                <w:sz w:val="22"/>
                <w:szCs w:val="22"/>
              </w:rPr>
              <w:t>Дополнительная информация</w:t>
            </w:r>
          </w:p>
        </w:tc>
      </w:tr>
      <w:tr w:rsidR="00AD1F54" w:rsidRPr="00264D5D" w14:paraId="66FCC946"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7FD4353" w14:textId="77777777" w:rsidR="00AD1F54" w:rsidRPr="00264D5D" w:rsidRDefault="00941227">
            <w:pPr>
              <w:pStyle w:val="EBTablenorm"/>
              <w:ind w:left="57" w:right="57"/>
              <w:contextualSpacing w:val="0"/>
              <w:rPr>
                <w:rFonts w:eastAsia="Calibri"/>
                <w:sz w:val="22"/>
                <w:szCs w:val="22"/>
              </w:rPr>
            </w:pPr>
            <w:r w:rsidRPr="00264D5D">
              <w:rPr>
                <w:sz w:val="22"/>
                <w:szCs w:val="22"/>
              </w:rPr>
              <w:t>Номер показателя</w:t>
            </w:r>
          </w:p>
        </w:tc>
        <w:tc>
          <w:tcPr>
            <w:tcW w:w="1701" w:type="dxa"/>
          </w:tcPr>
          <w:p w14:paraId="1A0C7D8E"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PrfrmnsIndNumber</w:t>
            </w:r>
          </w:p>
        </w:tc>
        <w:tc>
          <w:tcPr>
            <w:tcW w:w="567" w:type="dxa"/>
          </w:tcPr>
          <w:p w14:paraId="6C395F1D"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7002D404" w14:textId="77777777" w:rsidR="00AD1F54" w:rsidRPr="00264D5D" w:rsidRDefault="00941227">
            <w:pPr>
              <w:pStyle w:val="EBTablenorm"/>
              <w:ind w:left="57" w:right="57"/>
              <w:contextualSpacing w:val="0"/>
              <w:jc w:val="left"/>
              <w:rPr>
                <w:rFonts w:eastAsia="Calibri"/>
                <w:sz w:val="22"/>
                <w:szCs w:val="22"/>
              </w:rPr>
            </w:pPr>
            <w:r w:rsidRPr="00264D5D">
              <w:rPr>
                <w:sz w:val="22"/>
                <w:szCs w:val="22"/>
                <w:lang w:val="en-US"/>
              </w:rPr>
              <w:t>Т(1-2000)</w:t>
            </w:r>
          </w:p>
        </w:tc>
        <w:tc>
          <w:tcPr>
            <w:tcW w:w="567" w:type="dxa"/>
          </w:tcPr>
          <w:p w14:paraId="378CA0A7" w14:textId="77777777" w:rsidR="00AD1F54" w:rsidRPr="00264D5D" w:rsidRDefault="00941227">
            <w:pPr>
              <w:pStyle w:val="EBTablenorm"/>
              <w:ind w:left="57" w:right="57"/>
              <w:contextualSpacing w:val="0"/>
              <w:jc w:val="center"/>
              <w:rPr>
                <w:rFonts w:eastAsia="Calibri"/>
                <w:sz w:val="22"/>
                <w:szCs w:val="22"/>
              </w:rPr>
            </w:pPr>
            <w:r w:rsidRPr="00264D5D">
              <w:rPr>
                <w:sz w:val="22"/>
                <w:szCs w:val="22"/>
              </w:rPr>
              <w:t>О</w:t>
            </w:r>
          </w:p>
        </w:tc>
        <w:tc>
          <w:tcPr>
            <w:tcW w:w="3963" w:type="dxa"/>
          </w:tcPr>
          <w:p w14:paraId="28FC029B" w14:textId="77777777" w:rsidR="00AD1F54" w:rsidRPr="00264D5D" w:rsidRDefault="00941227">
            <w:pPr>
              <w:pStyle w:val="EBTablenorm"/>
              <w:ind w:left="57" w:right="57"/>
              <w:contextualSpacing w:val="0"/>
              <w:rPr>
                <w:rFonts w:eastAsia="Calibri"/>
                <w:sz w:val="22"/>
                <w:szCs w:val="22"/>
              </w:rPr>
            </w:pPr>
            <w:r w:rsidRPr="00264D5D">
              <w:rPr>
                <w:sz w:val="22"/>
                <w:szCs w:val="22"/>
              </w:rPr>
              <w:t>Номер показателя результативности для ид</w:t>
            </w:r>
            <w:r w:rsidR="00B83EE9" w:rsidRPr="00264D5D">
              <w:rPr>
                <w:sz w:val="22"/>
                <w:szCs w:val="22"/>
              </w:rPr>
              <w:t>ентификации в рамках соглашения</w:t>
            </w:r>
          </w:p>
        </w:tc>
      </w:tr>
      <w:tr w:rsidR="00AD1F54" w:rsidRPr="00264D5D" w14:paraId="6A4FE885"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0AC281E3" w14:textId="77777777" w:rsidR="00AD1F54" w:rsidRPr="00264D5D" w:rsidRDefault="00941227">
            <w:pPr>
              <w:pStyle w:val="EBTablenorm"/>
              <w:ind w:left="57" w:right="57"/>
              <w:contextualSpacing w:val="0"/>
              <w:rPr>
                <w:rFonts w:eastAsia="Calibri"/>
                <w:sz w:val="22"/>
                <w:szCs w:val="22"/>
              </w:rPr>
            </w:pPr>
            <w:r w:rsidRPr="00264D5D">
              <w:rPr>
                <w:sz w:val="22"/>
                <w:szCs w:val="22"/>
              </w:rPr>
              <w:t xml:space="preserve">Наименование </w:t>
            </w:r>
            <w:r w:rsidRPr="00264D5D">
              <w:rPr>
                <w:sz w:val="22"/>
                <w:szCs w:val="22"/>
              </w:rPr>
              <w:lastRenderedPageBreak/>
              <w:t>показателя</w:t>
            </w:r>
          </w:p>
        </w:tc>
        <w:tc>
          <w:tcPr>
            <w:tcW w:w="1701" w:type="dxa"/>
          </w:tcPr>
          <w:p w14:paraId="62FD93D1" w14:textId="77777777" w:rsidR="00AD1F54" w:rsidRPr="00264D5D" w:rsidRDefault="00941227">
            <w:pPr>
              <w:pStyle w:val="EBTablenorm"/>
              <w:ind w:left="57" w:right="57"/>
              <w:contextualSpacing w:val="0"/>
              <w:jc w:val="left"/>
              <w:rPr>
                <w:rFonts w:eastAsia="Calibri"/>
                <w:sz w:val="22"/>
                <w:szCs w:val="22"/>
              </w:rPr>
            </w:pPr>
            <w:r w:rsidRPr="00264D5D">
              <w:rPr>
                <w:sz w:val="22"/>
                <w:szCs w:val="22"/>
                <w:lang w:val="en-US"/>
              </w:rPr>
              <w:lastRenderedPageBreak/>
              <w:t>PrfrmnsIndName</w:t>
            </w:r>
          </w:p>
        </w:tc>
        <w:tc>
          <w:tcPr>
            <w:tcW w:w="567" w:type="dxa"/>
          </w:tcPr>
          <w:p w14:paraId="351C952A"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249336BD"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Т(1-2000)</w:t>
            </w:r>
          </w:p>
        </w:tc>
        <w:tc>
          <w:tcPr>
            <w:tcW w:w="567" w:type="dxa"/>
          </w:tcPr>
          <w:p w14:paraId="3EA7B944"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437B3FEB" w14:textId="77777777" w:rsidR="00AD1F54" w:rsidRPr="00264D5D" w:rsidRDefault="00941227">
            <w:pPr>
              <w:pStyle w:val="EBTablenorm"/>
              <w:ind w:left="57" w:right="57"/>
              <w:contextualSpacing w:val="0"/>
              <w:rPr>
                <w:sz w:val="22"/>
                <w:szCs w:val="22"/>
              </w:rPr>
            </w:pPr>
            <w:r w:rsidRPr="00264D5D">
              <w:rPr>
                <w:sz w:val="22"/>
                <w:szCs w:val="22"/>
              </w:rPr>
              <w:t>Наименован</w:t>
            </w:r>
            <w:r w:rsidR="00B83EE9" w:rsidRPr="00264D5D">
              <w:rPr>
                <w:sz w:val="22"/>
                <w:szCs w:val="22"/>
              </w:rPr>
              <w:t xml:space="preserve">ие показателя </w:t>
            </w:r>
            <w:r w:rsidR="00B83EE9" w:rsidRPr="00264D5D">
              <w:rPr>
                <w:sz w:val="22"/>
                <w:szCs w:val="22"/>
              </w:rPr>
              <w:lastRenderedPageBreak/>
              <w:t>результативности</w:t>
            </w:r>
          </w:p>
        </w:tc>
      </w:tr>
      <w:tr w:rsidR="00AD1F54" w:rsidRPr="00264D5D" w14:paraId="424E7FD5"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6982177" w14:textId="77777777" w:rsidR="00AD1F54" w:rsidRPr="00264D5D" w:rsidRDefault="00941227">
            <w:pPr>
              <w:pStyle w:val="EBTablenorm"/>
              <w:ind w:left="57" w:right="57"/>
              <w:contextualSpacing w:val="0"/>
              <w:rPr>
                <w:rFonts w:eastAsia="Calibri"/>
                <w:sz w:val="22"/>
                <w:szCs w:val="22"/>
              </w:rPr>
            </w:pPr>
            <w:r w:rsidRPr="00264D5D">
              <w:rPr>
                <w:sz w:val="22"/>
                <w:szCs w:val="22"/>
              </w:rPr>
              <w:lastRenderedPageBreak/>
              <w:t>Единица измерения значения показателя</w:t>
            </w:r>
          </w:p>
        </w:tc>
        <w:tc>
          <w:tcPr>
            <w:tcW w:w="1701" w:type="dxa"/>
          </w:tcPr>
          <w:p w14:paraId="6548A254"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PrfrmnsIndUnit</w:t>
            </w:r>
          </w:p>
        </w:tc>
        <w:tc>
          <w:tcPr>
            <w:tcW w:w="567" w:type="dxa"/>
          </w:tcPr>
          <w:p w14:paraId="2E885106"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3E992B39"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Т(1-2000)</w:t>
            </w:r>
          </w:p>
        </w:tc>
        <w:tc>
          <w:tcPr>
            <w:tcW w:w="567" w:type="dxa"/>
          </w:tcPr>
          <w:p w14:paraId="151BED98"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6B76A96C" w14:textId="77777777" w:rsidR="00AD1F54" w:rsidRPr="00264D5D" w:rsidRDefault="00941227">
            <w:pPr>
              <w:pStyle w:val="EBTablenorm"/>
              <w:ind w:left="57" w:right="57"/>
              <w:contextualSpacing w:val="0"/>
              <w:rPr>
                <w:sz w:val="22"/>
                <w:szCs w:val="22"/>
              </w:rPr>
            </w:pPr>
            <w:r w:rsidRPr="00264D5D">
              <w:rPr>
                <w:sz w:val="22"/>
                <w:szCs w:val="22"/>
              </w:rPr>
              <w:t>Единица измерения значения показател</w:t>
            </w:r>
            <w:r w:rsidR="00B83EE9" w:rsidRPr="00264D5D">
              <w:rPr>
                <w:sz w:val="22"/>
                <w:szCs w:val="22"/>
              </w:rPr>
              <w:t>я результативности</w:t>
            </w:r>
          </w:p>
        </w:tc>
      </w:tr>
      <w:tr w:rsidR="00AD1F54" w:rsidRPr="00264D5D" w14:paraId="105A28BE"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588AE1EC" w14:textId="77777777" w:rsidR="00AD1F54" w:rsidRPr="00264D5D" w:rsidRDefault="00941227">
            <w:pPr>
              <w:pStyle w:val="EBTablenorm"/>
              <w:ind w:left="57" w:right="57"/>
              <w:contextualSpacing w:val="0"/>
              <w:rPr>
                <w:rFonts w:eastAsia="Calibri"/>
                <w:sz w:val="22"/>
                <w:szCs w:val="22"/>
              </w:rPr>
            </w:pPr>
            <w:r w:rsidRPr="00264D5D">
              <w:rPr>
                <w:sz w:val="22"/>
                <w:szCs w:val="22"/>
              </w:rPr>
              <w:t>Значение показателя</w:t>
            </w:r>
          </w:p>
        </w:tc>
        <w:tc>
          <w:tcPr>
            <w:tcW w:w="1701" w:type="dxa"/>
          </w:tcPr>
          <w:p w14:paraId="630A08E1"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PrfrmnsIndValPlan</w:t>
            </w:r>
          </w:p>
        </w:tc>
        <w:tc>
          <w:tcPr>
            <w:tcW w:w="567" w:type="dxa"/>
          </w:tcPr>
          <w:p w14:paraId="13037A08"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076D33AA"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Т(1-2000)</w:t>
            </w:r>
          </w:p>
        </w:tc>
        <w:tc>
          <w:tcPr>
            <w:tcW w:w="567" w:type="dxa"/>
          </w:tcPr>
          <w:p w14:paraId="0363C16D"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25001CB6" w14:textId="77777777" w:rsidR="00AD1F54" w:rsidRPr="00264D5D" w:rsidRDefault="00941227">
            <w:pPr>
              <w:pStyle w:val="EBTablenorm"/>
              <w:ind w:left="57" w:right="57"/>
              <w:contextualSpacing w:val="0"/>
              <w:rPr>
                <w:sz w:val="22"/>
                <w:szCs w:val="22"/>
              </w:rPr>
            </w:pPr>
            <w:r w:rsidRPr="00264D5D">
              <w:rPr>
                <w:sz w:val="22"/>
                <w:szCs w:val="22"/>
              </w:rPr>
              <w:t>Плановое значе</w:t>
            </w:r>
            <w:r w:rsidR="00B83EE9" w:rsidRPr="00264D5D">
              <w:rPr>
                <w:sz w:val="22"/>
                <w:szCs w:val="22"/>
              </w:rPr>
              <w:t>ние показателя результативности</w:t>
            </w:r>
          </w:p>
        </w:tc>
      </w:tr>
      <w:tr w:rsidR="00AD1F54" w:rsidRPr="00264D5D" w14:paraId="7E226103"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DD9C475" w14:textId="77777777" w:rsidR="00AD1F54" w:rsidRPr="00264D5D" w:rsidRDefault="00941227">
            <w:pPr>
              <w:pStyle w:val="EBTablenorm"/>
              <w:ind w:left="57" w:right="57"/>
              <w:contextualSpacing w:val="0"/>
              <w:rPr>
                <w:rFonts w:eastAsia="Calibri"/>
                <w:sz w:val="22"/>
                <w:szCs w:val="22"/>
              </w:rPr>
            </w:pPr>
            <w:r w:rsidRPr="00264D5D">
              <w:rPr>
                <w:sz w:val="22"/>
                <w:szCs w:val="22"/>
              </w:rPr>
              <w:t>Срок (год)</w:t>
            </w:r>
          </w:p>
        </w:tc>
        <w:tc>
          <w:tcPr>
            <w:tcW w:w="1701" w:type="dxa"/>
          </w:tcPr>
          <w:p w14:paraId="5652A8A0"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PrfrmnsIndValFact</w:t>
            </w:r>
          </w:p>
        </w:tc>
        <w:tc>
          <w:tcPr>
            <w:tcW w:w="567" w:type="dxa"/>
          </w:tcPr>
          <w:p w14:paraId="3C1BE029"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14735D2A"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Т(</w:t>
            </w:r>
            <w:r w:rsidRPr="00264D5D">
              <w:rPr>
                <w:sz w:val="22"/>
                <w:szCs w:val="22"/>
              </w:rPr>
              <w:t>1-2000</w:t>
            </w:r>
            <w:r w:rsidRPr="00264D5D">
              <w:rPr>
                <w:sz w:val="22"/>
                <w:szCs w:val="22"/>
                <w:lang w:val="en-US"/>
              </w:rPr>
              <w:t>)</w:t>
            </w:r>
          </w:p>
        </w:tc>
        <w:tc>
          <w:tcPr>
            <w:tcW w:w="567" w:type="dxa"/>
          </w:tcPr>
          <w:p w14:paraId="28C9C6B0"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5FD80AC7" w14:textId="77777777" w:rsidR="00AD1F54" w:rsidRPr="00264D5D" w:rsidRDefault="00941227">
            <w:pPr>
              <w:pStyle w:val="EBTablenorm"/>
              <w:ind w:left="57" w:right="57"/>
              <w:contextualSpacing w:val="0"/>
              <w:rPr>
                <w:sz w:val="22"/>
                <w:szCs w:val="22"/>
              </w:rPr>
            </w:pPr>
            <w:r w:rsidRPr="00264D5D">
              <w:rPr>
                <w:sz w:val="22"/>
                <w:szCs w:val="22"/>
              </w:rPr>
              <w:t>Срок, на который запланировано достиже</w:t>
            </w:r>
            <w:r w:rsidR="00B83EE9" w:rsidRPr="00264D5D">
              <w:rPr>
                <w:sz w:val="22"/>
                <w:szCs w:val="22"/>
              </w:rPr>
              <w:t>ние показателя результативности</w:t>
            </w:r>
          </w:p>
        </w:tc>
      </w:tr>
    </w:tbl>
    <w:p w14:paraId="07F09F70" w14:textId="77777777" w:rsidR="00AD1F54" w:rsidRPr="00264D5D" w:rsidRDefault="00941227">
      <w:pPr>
        <w:pStyle w:val="31"/>
      </w:pPr>
      <w:bookmarkStart w:id="1985" w:name="_Toc493090500"/>
      <w:bookmarkStart w:id="1986" w:name="_Toc496984033"/>
      <w:bookmarkStart w:id="1987" w:name="_Toc219309669"/>
      <w:r w:rsidRPr="00264D5D">
        <w:t>Описание комплексного типа «tAgrInf»</w:t>
      </w:r>
      <w:bookmarkEnd w:id="1985"/>
      <w:bookmarkEnd w:id="1986"/>
      <w:bookmarkEnd w:id="1987"/>
    </w:p>
    <w:p w14:paraId="35213C2B" w14:textId="77777777" w:rsidR="00AD1F54" w:rsidRPr="00264D5D" w:rsidRDefault="00941227">
      <w:pPr>
        <w:spacing w:before="60" w:after="120"/>
        <w:ind w:firstLine="567"/>
        <w:rPr>
          <w:rFonts w:eastAsia="Calibri"/>
          <w:szCs w:val="24"/>
        </w:rPr>
      </w:pPr>
      <w:r w:rsidRPr="00264D5D">
        <w:rPr>
          <w:rFonts w:eastAsia="Calibri"/>
          <w:szCs w:val="24"/>
        </w:rPr>
        <w:t xml:space="preserve">Описание комплексного типа «tAgrInf» </w:t>
      </w:r>
      <w:r w:rsidRPr="00264D5D">
        <w:t>блока «</w:t>
      </w:r>
      <w:r w:rsidRPr="00264D5D">
        <w:rPr>
          <w:rFonts w:eastAsia="Calibri"/>
          <w:szCs w:val="24"/>
        </w:rPr>
        <w:t>Информация о соглашении/изменении соглашения».</w:t>
      </w:r>
    </w:p>
    <w:p w14:paraId="570E051A" w14:textId="7CEA2D3B"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1988" w:name="_Ref494364314"/>
      <w:bookmarkStart w:id="1989" w:name="_Toc30503386"/>
      <w:bookmarkStart w:id="1990" w:name="_Toc30507984"/>
      <w:bookmarkStart w:id="1991" w:name="_Toc219309237"/>
      <w:r w:rsidR="008D797C">
        <w:rPr>
          <w:rFonts w:eastAsia="Calibri"/>
          <w:noProof/>
          <w:szCs w:val="24"/>
        </w:rPr>
        <w:t>207</w:t>
      </w:r>
      <w:bookmarkEnd w:id="1988"/>
      <w:r w:rsidRPr="00264D5D">
        <w:rPr>
          <w:rFonts w:eastAsia="Calibri"/>
          <w:szCs w:val="24"/>
        </w:rPr>
        <w:fldChar w:fldCharType="end"/>
      </w:r>
      <w:r w:rsidRPr="00264D5D">
        <w:rPr>
          <w:rFonts w:eastAsia="Calibri"/>
          <w:szCs w:val="24"/>
        </w:rPr>
        <w:t xml:space="preserve"> – Описание комплексного типа «tAgrInf»</w:t>
      </w:r>
      <w:bookmarkEnd w:id="1989"/>
      <w:bookmarkEnd w:id="1990"/>
      <w:bookmarkEnd w:id="1991"/>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225505ED"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4FE69B39" w14:textId="77777777" w:rsidR="00AD1F54" w:rsidRPr="00264D5D" w:rsidRDefault="00941227">
            <w:pPr>
              <w:pStyle w:val="EBTableHead"/>
              <w:ind w:left="57" w:right="57"/>
              <w:contextualSpacing w:val="0"/>
              <w:rPr>
                <w:sz w:val="22"/>
                <w:szCs w:val="22"/>
              </w:rPr>
            </w:pPr>
            <w:r w:rsidRPr="00264D5D">
              <w:rPr>
                <w:bCs w:val="0"/>
                <w:sz w:val="22"/>
                <w:szCs w:val="22"/>
              </w:rPr>
              <w:t>Наименование элемента</w:t>
            </w:r>
          </w:p>
        </w:tc>
        <w:tc>
          <w:tcPr>
            <w:tcW w:w="1701" w:type="dxa"/>
          </w:tcPr>
          <w:p w14:paraId="5CDDBF4F" w14:textId="77777777" w:rsidR="00AD1F54" w:rsidRPr="00264D5D" w:rsidRDefault="00941227">
            <w:pPr>
              <w:pStyle w:val="EBTableHead"/>
              <w:ind w:left="57" w:right="57"/>
              <w:contextualSpacing w:val="0"/>
              <w:rPr>
                <w:sz w:val="22"/>
                <w:szCs w:val="22"/>
              </w:rPr>
            </w:pPr>
            <w:r w:rsidRPr="00264D5D">
              <w:rPr>
                <w:bCs w:val="0"/>
                <w:sz w:val="22"/>
                <w:szCs w:val="22"/>
              </w:rPr>
              <w:t>Сокращенное наименование (код) элемента</w:t>
            </w:r>
          </w:p>
        </w:tc>
        <w:tc>
          <w:tcPr>
            <w:tcW w:w="567" w:type="dxa"/>
          </w:tcPr>
          <w:p w14:paraId="42011F3A" w14:textId="77777777" w:rsidR="00AD1F54" w:rsidRPr="00264D5D" w:rsidRDefault="00941227">
            <w:pPr>
              <w:pStyle w:val="EBTableHead"/>
              <w:ind w:left="57" w:right="57"/>
              <w:contextualSpacing w:val="0"/>
              <w:rPr>
                <w:sz w:val="22"/>
                <w:szCs w:val="22"/>
              </w:rPr>
            </w:pPr>
            <w:r w:rsidRPr="00264D5D">
              <w:rPr>
                <w:bCs w:val="0"/>
                <w:sz w:val="22"/>
                <w:szCs w:val="22"/>
              </w:rPr>
              <w:t>Тип</w:t>
            </w:r>
          </w:p>
        </w:tc>
        <w:tc>
          <w:tcPr>
            <w:tcW w:w="1134" w:type="dxa"/>
          </w:tcPr>
          <w:p w14:paraId="4017D2A1" w14:textId="77777777" w:rsidR="00AD1F54" w:rsidRPr="00264D5D" w:rsidRDefault="00941227">
            <w:pPr>
              <w:pStyle w:val="EBTableHead"/>
              <w:ind w:left="57" w:right="57"/>
              <w:contextualSpacing w:val="0"/>
              <w:rPr>
                <w:sz w:val="22"/>
                <w:szCs w:val="22"/>
              </w:rPr>
            </w:pPr>
            <w:r w:rsidRPr="00264D5D">
              <w:rPr>
                <w:bCs w:val="0"/>
                <w:sz w:val="22"/>
                <w:szCs w:val="22"/>
              </w:rPr>
              <w:t>Формат элемента</w:t>
            </w:r>
          </w:p>
        </w:tc>
        <w:tc>
          <w:tcPr>
            <w:tcW w:w="567" w:type="dxa"/>
          </w:tcPr>
          <w:p w14:paraId="6CF84D2B" w14:textId="77777777" w:rsidR="00AD1F54" w:rsidRPr="00264D5D" w:rsidRDefault="00941227">
            <w:pPr>
              <w:spacing w:before="60" w:after="60"/>
              <w:ind w:left="57" w:right="57"/>
              <w:jc w:val="center"/>
              <w:rPr>
                <w:b/>
                <w:bCs/>
                <w:sz w:val="22"/>
                <w:szCs w:val="22"/>
              </w:rPr>
            </w:pPr>
            <w:r w:rsidRPr="00264D5D">
              <w:rPr>
                <w:b/>
                <w:bCs/>
                <w:sz w:val="22"/>
                <w:szCs w:val="22"/>
              </w:rPr>
              <w:t>Обязательность</w:t>
            </w:r>
          </w:p>
        </w:tc>
        <w:tc>
          <w:tcPr>
            <w:tcW w:w="3963" w:type="dxa"/>
          </w:tcPr>
          <w:p w14:paraId="0CB54CEE" w14:textId="77777777" w:rsidR="00AD1F54" w:rsidRPr="00264D5D" w:rsidRDefault="00941227">
            <w:pPr>
              <w:pStyle w:val="EBTableHead"/>
              <w:ind w:left="57" w:right="57"/>
              <w:contextualSpacing w:val="0"/>
              <w:rPr>
                <w:sz w:val="22"/>
                <w:szCs w:val="22"/>
              </w:rPr>
            </w:pPr>
            <w:r w:rsidRPr="00264D5D">
              <w:rPr>
                <w:bCs w:val="0"/>
                <w:sz w:val="22"/>
                <w:szCs w:val="22"/>
              </w:rPr>
              <w:t>Дополнительная информация</w:t>
            </w:r>
          </w:p>
        </w:tc>
      </w:tr>
      <w:tr w:rsidR="00AD1F54" w:rsidRPr="00264D5D" w14:paraId="70B2AAED"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2D1292B" w14:textId="77777777" w:rsidR="00AD1F54" w:rsidRPr="00264D5D" w:rsidRDefault="00941227">
            <w:pPr>
              <w:pStyle w:val="EBTablenorm"/>
              <w:ind w:left="57" w:right="57"/>
              <w:contextualSpacing w:val="0"/>
              <w:rPr>
                <w:rFonts w:eastAsia="Calibri"/>
                <w:sz w:val="22"/>
                <w:szCs w:val="22"/>
              </w:rPr>
            </w:pPr>
            <w:r w:rsidRPr="00264D5D">
              <w:rPr>
                <w:sz w:val="22"/>
                <w:szCs w:val="22"/>
              </w:rPr>
              <w:t>Номер соглашения (доп. соглашения)</w:t>
            </w:r>
          </w:p>
        </w:tc>
        <w:tc>
          <w:tcPr>
            <w:tcW w:w="1701" w:type="dxa"/>
          </w:tcPr>
          <w:p w14:paraId="1D2528D2" w14:textId="77777777" w:rsidR="00AD1F54" w:rsidRPr="00264D5D" w:rsidRDefault="00941227">
            <w:pPr>
              <w:pStyle w:val="EBTablenorm"/>
              <w:ind w:left="57" w:right="57"/>
              <w:contextualSpacing w:val="0"/>
              <w:rPr>
                <w:rFonts w:eastAsia="Calibri"/>
                <w:sz w:val="22"/>
                <w:szCs w:val="22"/>
              </w:rPr>
            </w:pPr>
            <w:r w:rsidRPr="00264D5D">
              <w:rPr>
                <w:sz w:val="22"/>
                <w:szCs w:val="22"/>
                <w:lang w:val="en-US"/>
              </w:rPr>
              <w:t>AgrNum</w:t>
            </w:r>
          </w:p>
        </w:tc>
        <w:tc>
          <w:tcPr>
            <w:tcW w:w="567" w:type="dxa"/>
          </w:tcPr>
          <w:p w14:paraId="359BBDBB"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32CA86AD" w14:textId="77777777" w:rsidR="00AD1F54" w:rsidRPr="00264D5D" w:rsidRDefault="00941227">
            <w:pPr>
              <w:pStyle w:val="EBTablenorm"/>
              <w:ind w:left="57" w:right="57"/>
              <w:contextualSpacing w:val="0"/>
              <w:jc w:val="left"/>
              <w:rPr>
                <w:rFonts w:eastAsia="Calibri"/>
                <w:sz w:val="22"/>
                <w:szCs w:val="22"/>
              </w:rPr>
            </w:pPr>
            <w:r w:rsidRPr="00264D5D">
              <w:rPr>
                <w:rFonts w:eastAsia="Calibri"/>
                <w:sz w:val="22"/>
                <w:szCs w:val="22"/>
              </w:rPr>
              <w:t>Т(1-45)</w:t>
            </w:r>
          </w:p>
        </w:tc>
        <w:tc>
          <w:tcPr>
            <w:tcW w:w="567" w:type="dxa"/>
          </w:tcPr>
          <w:p w14:paraId="1E9D693A" w14:textId="77777777" w:rsidR="00AD1F54" w:rsidRPr="00264D5D" w:rsidRDefault="00941227">
            <w:pPr>
              <w:pStyle w:val="EBTablenorm"/>
              <w:ind w:left="57" w:right="57"/>
              <w:contextualSpacing w:val="0"/>
              <w:jc w:val="center"/>
              <w:rPr>
                <w:rFonts w:eastAsia="Calibri"/>
                <w:sz w:val="22"/>
                <w:szCs w:val="22"/>
              </w:rPr>
            </w:pPr>
            <w:r w:rsidRPr="00264D5D">
              <w:rPr>
                <w:sz w:val="22"/>
                <w:szCs w:val="22"/>
              </w:rPr>
              <w:t>Н</w:t>
            </w:r>
          </w:p>
        </w:tc>
        <w:tc>
          <w:tcPr>
            <w:tcW w:w="3963" w:type="dxa"/>
          </w:tcPr>
          <w:p w14:paraId="17DA8966" w14:textId="77777777" w:rsidR="00AD1F54" w:rsidRPr="00264D5D" w:rsidRDefault="00941227">
            <w:pPr>
              <w:pStyle w:val="EBTablenorm"/>
              <w:ind w:left="57" w:right="57"/>
              <w:contextualSpacing w:val="0"/>
              <w:rPr>
                <w:sz w:val="22"/>
                <w:szCs w:val="22"/>
              </w:rPr>
            </w:pPr>
            <w:r w:rsidRPr="00264D5D">
              <w:rPr>
                <w:sz w:val="22"/>
                <w:szCs w:val="22"/>
              </w:rPr>
              <w:t>При указании в элементе «Тип сведений о соглашении» значения «0» или «1» указывается номер соглашения (договора).</w:t>
            </w:r>
          </w:p>
          <w:p w14:paraId="35D5D1CA" w14:textId="77777777" w:rsidR="00AD1F54" w:rsidRPr="00264D5D" w:rsidRDefault="00941227">
            <w:pPr>
              <w:pStyle w:val="EBTablenorm"/>
              <w:ind w:left="57" w:right="57"/>
              <w:contextualSpacing w:val="0"/>
              <w:rPr>
                <w:sz w:val="22"/>
                <w:szCs w:val="22"/>
              </w:rPr>
            </w:pPr>
            <w:r w:rsidRPr="00264D5D">
              <w:rPr>
                <w:sz w:val="22"/>
                <w:szCs w:val="22"/>
              </w:rPr>
              <w:t>При указании в элементе «Тип сведений о соглашении» значения «3» или «4» указывается номер доп. соглашения (доп. договора).</w:t>
            </w:r>
          </w:p>
          <w:p w14:paraId="66DE1403" w14:textId="77777777" w:rsidR="00AD1F54" w:rsidRPr="00264D5D" w:rsidRDefault="00941227">
            <w:pPr>
              <w:pStyle w:val="EBTablenorm"/>
              <w:ind w:left="57" w:right="57"/>
              <w:contextualSpacing w:val="0"/>
              <w:rPr>
                <w:rFonts w:eastAsia="Calibri"/>
                <w:sz w:val="22"/>
                <w:szCs w:val="22"/>
              </w:rPr>
            </w:pPr>
            <w:r w:rsidRPr="00264D5D">
              <w:rPr>
                <w:sz w:val="22"/>
                <w:szCs w:val="22"/>
              </w:rPr>
              <w:t>При указании в элементе «Признак соглашения (договора) о формировании на бумажном носителе» значения «1» указывае</w:t>
            </w:r>
            <w:r w:rsidR="007E37F3" w:rsidRPr="00264D5D">
              <w:rPr>
                <w:sz w:val="22"/>
                <w:szCs w:val="22"/>
              </w:rPr>
              <w:t>тся внутренний номер соглашения</w:t>
            </w:r>
          </w:p>
        </w:tc>
      </w:tr>
      <w:tr w:rsidR="00AD1F54" w:rsidRPr="00264D5D" w14:paraId="7A5AA8AA"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1543F43"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Внутренний номер документа «Соглашение» («Доп. соглашения»)</w:t>
            </w:r>
          </w:p>
        </w:tc>
        <w:tc>
          <w:tcPr>
            <w:tcW w:w="1701" w:type="dxa"/>
          </w:tcPr>
          <w:p w14:paraId="680B95E0"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AgrInsNum</w:t>
            </w:r>
          </w:p>
        </w:tc>
        <w:tc>
          <w:tcPr>
            <w:tcW w:w="567" w:type="dxa"/>
          </w:tcPr>
          <w:p w14:paraId="1F81967B"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4976B9EF" w14:textId="77777777" w:rsidR="00AD1F54" w:rsidRPr="00264D5D" w:rsidRDefault="00941227">
            <w:pPr>
              <w:pStyle w:val="EBTablenorm"/>
              <w:ind w:left="57" w:right="57"/>
              <w:contextualSpacing w:val="0"/>
              <w:jc w:val="left"/>
              <w:rPr>
                <w:rFonts w:eastAsia="Calibri"/>
                <w:sz w:val="22"/>
                <w:szCs w:val="22"/>
              </w:rPr>
            </w:pPr>
            <w:r w:rsidRPr="00264D5D">
              <w:rPr>
                <w:rFonts w:eastAsia="Calibri"/>
                <w:sz w:val="22"/>
                <w:szCs w:val="22"/>
              </w:rPr>
              <w:t>Т(1-100)</w:t>
            </w:r>
          </w:p>
        </w:tc>
        <w:tc>
          <w:tcPr>
            <w:tcW w:w="567" w:type="dxa"/>
          </w:tcPr>
          <w:p w14:paraId="6AC7EA13" w14:textId="77777777" w:rsidR="00AD1F54" w:rsidRPr="00264D5D" w:rsidRDefault="00941227">
            <w:pPr>
              <w:pStyle w:val="EBTablenorm"/>
              <w:ind w:left="57" w:right="57"/>
              <w:contextualSpacing w:val="0"/>
              <w:jc w:val="center"/>
              <w:rPr>
                <w:rFonts w:eastAsia="Calibri"/>
                <w:sz w:val="22"/>
                <w:szCs w:val="22"/>
              </w:rPr>
            </w:pPr>
            <w:r w:rsidRPr="00264D5D">
              <w:rPr>
                <w:rFonts w:eastAsia="Calibri"/>
                <w:sz w:val="22"/>
                <w:szCs w:val="22"/>
              </w:rPr>
              <w:t>Н</w:t>
            </w:r>
          </w:p>
        </w:tc>
        <w:tc>
          <w:tcPr>
            <w:tcW w:w="3963" w:type="dxa"/>
          </w:tcPr>
          <w:p w14:paraId="126BDC75"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При указании в элементе «Тип сведений о соглашении» значения «0» или «1» указывается внутренний номер документа «Соглашение».</w:t>
            </w:r>
          </w:p>
          <w:p w14:paraId="4EF52A3A"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При указании в элементе «Тип сведений о соглашении» значения «3» или «4» указывается внутренний номер документа «Доп. соглашения».</w:t>
            </w:r>
          </w:p>
          <w:p w14:paraId="2E61D5FA"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 xml:space="preserve">Не заполняется при указании в элементе </w:t>
            </w:r>
            <w:r w:rsidRPr="00264D5D">
              <w:rPr>
                <w:rFonts w:eastAsia="Calibri"/>
                <w:sz w:val="22"/>
                <w:szCs w:val="22"/>
              </w:rPr>
              <w:lastRenderedPageBreak/>
              <w:t>«</w:t>
            </w:r>
            <w:r w:rsidRPr="00264D5D">
              <w:rPr>
                <w:sz w:val="22"/>
                <w:szCs w:val="22"/>
              </w:rPr>
              <w:t>Признак соглашения (договора) о формировании на бумажном носителе</w:t>
            </w:r>
            <w:r w:rsidR="007E37F3" w:rsidRPr="00264D5D">
              <w:rPr>
                <w:rFonts w:eastAsia="Calibri"/>
                <w:sz w:val="22"/>
                <w:szCs w:val="22"/>
              </w:rPr>
              <w:t>» значения «1»</w:t>
            </w:r>
          </w:p>
        </w:tc>
      </w:tr>
      <w:tr w:rsidR="00AD1F54" w:rsidRPr="00264D5D" w14:paraId="4D2B8491"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3058197" w14:textId="77777777" w:rsidR="00AD1F54" w:rsidRPr="00264D5D" w:rsidRDefault="00941227">
            <w:pPr>
              <w:pStyle w:val="EBTablenorm"/>
              <w:ind w:left="57" w:right="57"/>
              <w:contextualSpacing w:val="0"/>
              <w:rPr>
                <w:rFonts w:eastAsia="Calibri"/>
                <w:sz w:val="22"/>
                <w:szCs w:val="22"/>
              </w:rPr>
            </w:pPr>
            <w:r w:rsidRPr="00264D5D">
              <w:rPr>
                <w:sz w:val="22"/>
                <w:szCs w:val="22"/>
              </w:rPr>
              <w:lastRenderedPageBreak/>
              <w:t>Дата заключения соглашения (доп. соглашения)</w:t>
            </w:r>
          </w:p>
        </w:tc>
        <w:tc>
          <w:tcPr>
            <w:tcW w:w="1701" w:type="dxa"/>
          </w:tcPr>
          <w:p w14:paraId="05492CD7" w14:textId="77777777" w:rsidR="00AD1F54" w:rsidRPr="00264D5D" w:rsidRDefault="00941227">
            <w:pPr>
              <w:pStyle w:val="EBTablenorm"/>
              <w:ind w:left="57" w:right="57"/>
              <w:contextualSpacing w:val="0"/>
              <w:rPr>
                <w:rFonts w:eastAsia="Calibri"/>
                <w:sz w:val="22"/>
                <w:szCs w:val="22"/>
              </w:rPr>
            </w:pPr>
            <w:r w:rsidRPr="00264D5D">
              <w:rPr>
                <w:sz w:val="22"/>
                <w:szCs w:val="22"/>
                <w:lang w:val="en-US"/>
              </w:rPr>
              <w:t>AgrCnclDate</w:t>
            </w:r>
          </w:p>
        </w:tc>
        <w:tc>
          <w:tcPr>
            <w:tcW w:w="567" w:type="dxa"/>
          </w:tcPr>
          <w:p w14:paraId="6349E350"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24A24F2B" w14:textId="77777777" w:rsidR="00AD1F54" w:rsidRPr="00264D5D" w:rsidRDefault="00941227">
            <w:pPr>
              <w:pStyle w:val="EBTablenorm"/>
              <w:ind w:left="57" w:right="57"/>
              <w:contextualSpacing w:val="0"/>
              <w:jc w:val="left"/>
              <w:rPr>
                <w:rFonts w:eastAsia="Calibri"/>
                <w:sz w:val="22"/>
                <w:szCs w:val="22"/>
              </w:rPr>
            </w:pPr>
            <w:r w:rsidRPr="00264D5D">
              <w:rPr>
                <w:sz w:val="22"/>
                <w:szCs w:val="22"/>
                <w:lang w:val="en-US"/>
              </w:rPr>
              <w:t>Date</w:t>
            </w:r>
          </w:p>
        </w:tc>
        <w:tc>
          <w:tcPr>
            <w:tcW w:w="567" w:type="dxa"/>
          </w:tcPr>
          <w:p w14:paraId="01C3EA62" w14:textId="77777777" w:rsidR="00AD1F54" w:rsidRPr="00264D5D" w:rsidRDefault="00941227">
            <w:pPr>
              <w:pStyle w:val="EBTablenorm"/>
              <w:ind w:left="57" w:right="57"/>
              <w:contextualSpacing w:val="0"/>
              <w:jc w:val="center"/>
              <w:rPr>
                <w:rFonts w:eastAsia="Calibri"/>
                <w:sz w:val="22"/>
                <w:szCs w:val="22"/>
              </w:rPr>
            </w:pPr>
            <w:r w:rsidRPr="00264D5D">
              <w:rPr>
                <w:sz w:val="22"/>
                <w:szCs w:val="22"/>
              </w:rPr>
              <w:t>О</w:t>
            </w:r>
          </w:p>
        </w:tc>
        <w:tc>
          <w:tcPr>
            <w:tcW w:w="3963" w:type="dxa"/>
          </w:tcPr>
          <w:p w14:paraId="54036933" w14:textId="77777777" w:rsidR="00AD1F54" w:rsidRPr="00264D5D" w:rsidRDefault="00941227">
            <w:pPr>
              <w:pStyle w:val="EBTablenorm"/>
              <w:ind w:left="57" w:right="57"/>
              <w:contextualSpacing w:val="0"/>
              <w:rPr>
                <w:sz w:val="22"/>
                <w:szCs w:val="22"/>
              </w:rPr>
            </w:pPr>
            <w:r w:rsidRPr="00264D5D">
              <w:rPr>
                <w:sz w:val="22"/>
                <w:szCs w:val="22"/>
              </w:rPr>
              <w:t>При указании в элементе «Тип сведений о соглашении» значения «0» или «1» указывается дата заключения соглашения (договора).</w:t>
            </w:r>
          </w:p>
          <w:p w14:paraId="21E79AD4" w14:textId="77777777" w:rsidR="00AD1F54" w:rsidRPr="00264D5D" w:rsidRDefault="00941227">
            <w:pPr>
              <w:pStyle w:val="EBTablenorm"/>
              <w:ind w:left="57" w:right="57"/>
              <w:contextualSpacing w:val="0"/>
              <w:rPr>
                <w:rFonts w:eastAsia="Calibri"/>
                <w:sz w:val="22"/>
                <w:szCs w:val="22"/>
              </w:rPr>
            </w:pPr>
            <w:r w:rsidRPr="00264D5D">
              <w:rPr>
                <w:sz w:val="22"/>
                <w:szCs w:val="22"/>
              </w:rPr>
              <w:t>При указании в элементе «Тип сведений о соглашении» значения «3» или «4» указывается дата заключения д</w:t>
            </w:r>
            <w:r w:rsidR="007E37F3" w:rsidRPr="00264D5D">
              <w:rPr>
                <w:sz w:val="22"/>
                <w:szCs w:val="22"/>
              </w:rPr>
              <w:t>оп. соглашения (доп. договора)</w:t>
            </w:r>
          </w:p>
        </w:tc>
      </w:tr>
      <w:tr w:rsidR="00AD1F54" w:rsidRPr="00264D5D" w14:paraId="6FDF0946"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9898871" w14:textId="77777777" w:rsidR="00AD1F54" w:rsidRPr="00264D5D" w:rsidRDefault="00941227">
            <w:pPr>
              <w:pStyle w:val="EBTablenorm"/>
              <w:ind w:left="57" w:right="57"/>
              <w:contextualSpacing w:val="0"/>
              <w:rPr>
                <w:rFonts w:eastAsia="Calibri"/>
                <w:sz w:val="22"/>
                <w:szCs w:val="22"/>
              </w:rPr>
            </w:pPr>
            <w:r w:rsidRPr="00264D5D">
              <w:rPr>
                <w:sz w:val="22"/>
                <w:szCs w:val="22"/>
              </w:rPr>
              <w:t>Дата вступления в силу соглашения (доп. соглашения)</w:t>
            </w:r>
          </w:p>
        </w:tc>
        <w:tc>
          <w:tcPr>
            <w:tcW w:w="1701" w:type="dxa"/>
          </w:tcPr>
          <w:p w14:paraId="4C4421C1"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AgrStrtDate</w:t>
            </w:r>
          </w:p>
        </w:tc>
        <w:tc>
          <w:tcPr>
            <w:tcW w:w="567" w:type="dxa"/>
          </w:tcPr>
          <w:p w14:paraId="6CCFC69F"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7A03B5F9" w14:textId="77777777" w:rsidR="00AD1F54" w:rsidRPr="00264D5D" w:rsidRDefault="00941227">
            <w:pPr>
              <w:pStyle w:val="EBTablenorm"/>
              <w:ind w:left="57" w:right="57"/>
              <w:contextualSpacing w:val="0"/>
              <w:jc w:val="left"/>
              <w:rPr>
                <w:rFonts w:eastAsia="Calibri"/>
                <w:sz w:val="22"/>
                <w:szCs w:val="22"/>
              </w:rPr>
            </w:pPr>
            <w:r w:rsidRPr="00264D5D">
              <w:rPr>
                <w:rFonts w:eastAsia="Calibri"/>
                <w:sz w:val="22"/>
                <w:szCs w:val="22"/>
              </w:rPr>
              <w:t>Date</w:t>
            </w:r>
          </w:p>
        </w:tc>
        <w:tc>
          <w:tcPr>
            <w:tcW w:w="567" w:type="dxa"/>
          </w:tcPr>
          <w:p w14:paraId="7B69072B" w14:textId="77777777" w:rsidR="00AD1F54" w:rsidRPr="00264D5D" w:rsidRDefault="00941227">
            <w:pPr>
              <w:pStyle w:val="EBTablenorm"/>
              <w:ind w:left="57" w:right="57"/>
              <w:contextualSpacing w:val="0"/>
              <w:jc w:val="center"/>
              <w:rPr>
                <w:rFonts w:eastAsia="Calibri"/>
                <w:sz w:val="22"/>
                <w:szCs w:val="22"/>
              </w:rPr>
            </w:pPr>
            <w:r w:rsidRPr="00264D5D">
              <w:rPr>
                <w:rFonts w:eastAsia="Calibri"/>
                <w:sz w:val="22"/>
                <w:szCs w:val="22"/>
              </w:rPr>
              <w:t>О</w:t>
            </w:r>
          </w:p>
        </w:tc>
        <w:tc>
          <w:tcPr>
            <w:tcW w:w="3963" w:type="dxa"/>
          </w:tcPr>
          <w:p w14:paraId="0744E440" w14:textId="77777777" w:rsidR="00AD1F54" w:rsidRPr="00264D5D" w:rsidRDefault="00941227">
            <w:pPr>
              <w:pStyle w:val="EBTablenorm"/>
              <w:ind w:left="57" w:right="57"/>
              <w:contextualSpacing w:val="0"/>
              <w:rPr>
                <w:sz w:val="22"/>
                <w:szCs w:val="22"/>
              </w:rPr>
            </w:pPr>
            <w:r w:rsidRPr="00264D5D">
              <w:rPr>
                <w:sz w:val="22"/>
                <w:szCs w:val="22"/>
              </w:rPr>
              <w:t>При указании в элементе «Тип сведений о соглашении» значения «0» или «1» указывается дата вступления в силу соглашения (договора).</w:t>
            </w:r>
          </w:p>
          <w:p w14:paraId="78F526D1" w14:textId="77777777" w:rsidR="00AD1F54" w:rsidRPr="00264D5D" w:rsidRDefault="00941227">
            <w:pPr>
              <w:pStyle w:val="EBTablenorm"/>
              <w:ind w:left="57" w:right="57"/>
              <w:contextualSpacing w:val="0"/>
              <w:rPr>
                <w:sz w:val="22"/>
                <w:szCs w:val="22"/>
              </w:rPr>
            </w:pPr>
            <w:r w:rsidRPr="00264D5D">
              <w:rPr>
                <w:sz w:val="22"/>
                <w:szCs w:val="22"/>
              </w:rPr>
              <w:t xml:space="preserve">При </w:t>
            </w:r>
            <w:r w:rsidRPr="00264D5D">
              <w:rPr>
                <w:rFonts w:eastAsia="Calibri"/>
                <w:sz w:val="22"/>
                <w:szCs w:val="22"/>
              </w:rPr>
              <w:t>указании</w:t>
            </w:r>
            <w:r w:rsidRPr="00264D5D">
              <w:rPr>
                <w:sz w:val="22"/>
                <w:szCs w:val="22"/>
              </w:rPr>
              <w:t xml:space="preserve"> в элементе «Тип сведений о соглашении» значения «3» или «4» указывается дата вступления в силу </w:t>
            </w:r>
            <w:r w:rsidR="007E37F3" w:rsidRPr="00264D5D">
              <w:rPr>
                <w:sz w:val="22"/>
                <w:szCs w:val="22"/>
              </w:rPr>
              <w:t>доп. соглашения (доп. договора)</w:t>
            </w:r>
          </w:p>
        </w:tc>
      </w:tr>
      <w:tr w:rsidR="00AD1F54" w:rsidRPr="00264D5D" w14:paraId="417922D7"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5A73AB41" w14:textId="77777777" w:rsidR="00AD1F54" w:rsidRPr="00264D5D" w:rsidRDefault="00941227">
            <w:pPr>
              <w:pStyle w:val="EBTablenorm"/>
              <w:ind w:left="57" w:right="57"/>
              <w:contextualSpacing w:val="0"/>
              <w:rPr>
                <w:rFonts w:eastAsia="Calibri"/>
                <w:sz w:val="22"/>
                <w:szCs w:val="22"/>
              </w:rPr>
            </w:pPr>
            <w:r w:rsidRPr="00264D5D">
              <w:rPr>
                <w:sz w:val="22"/>
                <w:szCs w:val="22"/>
              </w:rPr>
              <w:t>Дата окончания срока действия соглашения (доп. соглашения)</w:t>
            </w:r>
          </w:p>
        </w:tc>
        <w:tc>
          <w:tcPr>
            <w:tcW w:w="1701" w:type="dxa"/>
          </w:tcPr>
          <w:p w14:paraId="227DBAF3"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AgrEndDate</w:t>
            </w:r>
          </w:p>
        </w:tc>
        <w:tc>
          <w:tcPr>
            <w:tcW w:w="567" w:type="dxa"/>
          </w:tcPr>
          <w:p w14:paraId="4C79CA0D"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77494364" w14:textId="77777777" w:rsidR="00AD1F54" w:rsidRPr="00264D5D" w:rsidRDefault="00941227">
            <w:pPr>
              <w:pStyle w:val="EBTablenorm"/>
              <w:ind w:left="57" w:right="57"/>
              <w:contextualSpacing w:val="0"/>
              <w:jc w:val="left"/>
              <w:rPr>
                <w:rFonts w:eastAsia="Calibri"/>
                <w:sz w:val="22"/>
                <w:szCs w:val="22"/>
              </w:rPr>
            </w:pPr>
            <w:r w:rsidRPr="00264D5D">
              <w:rPr>
                <w:rFonts w:eastAsia="Calibri"/>
                <w:sz w:val="22"/>
                <w:szCs w:val="22"/>
              </w:rPr>
              <w:t>Date</w:t>
            </w:r>
          </w:p>
        </w:tc>
        <w:tc>
          <w:tcPr>
            <w:tcW w:w="567" w:type="dxa"/>
          </w:tcPr>
          <w:p w14:paraId="50AB3808" w14:textId="77777777" w:rsidR="00AD1F54" w:rsidRPr="00264D5D" w:rsidRDefault="00941227">
            <w:pPr>
              <w:pStyle w:val="EBTablenorm"/>
              <w:ind w:left="57" w:right="57"/>
              <w:contextualSpacing w:val="0"/>
              <w:jc w:val="center"/>
              <w:rPr>
                <w:rFonts w:eastAsia="Calibri"/>
                <w:sz w:val="22"/>
                <w:szCs w:val="22"/>
              </w:rPr>
            </w:pPr>
            <w:r w:rsidRPr="00264D5D">
              <w:rPr>
                <w:rFonts w:eastAsia="Calibri"/>
                <w:sz w:val="22"/>
                <w:szCs w:val="22"/>
              </w:rPr>
              <w:t>О</w:t>
            </w:r>
          </w:p>
        </w:tc>
        <w:tc>
          <w:tcPr>
            <w:tcW w:w="3963" w:type="dxa"/>
          </w:tcPr>
          <w:p w14:paraId="5391698A" w14:textId="77777777" w:rsidR="00AD1F54" w:rsidRPr="00264D5D" w:rsidRDefault="00941227">
            <w:pPr>
              <w:pStyle w:val="EBTablenorm"/>
              <w:ind w:left="57" w:right="57"/>
              <w:contextualSpacing w:val="0"/>
              <w:rPr>
                <w:sz w:val="22"/>
                <w:szCs w:val="22"/>
              </w:rPr>
            </w:pPr>
            <w:r w:rsidRPr="00264D5D">
              <w:rPr>
                <w:sz w:val="22"/>
                <w:szCs w:val="22"/>
              </w:rPr>
              <w:t>При указании в элементе «Тип сведений о соглашении» значения «0» или «1» указывается дата окончания срока действия соглашения (договора).</w:t>
            </w:r>
          </w:p>
          <w:p w14:paraId="0C8ABCC9" w14:textId="77777777" w:rsidR="00AD1F54" w:rsidRPr="00264D5D" w:rsidRDefault="00941227">
            <w:pPr>
              <w:pStyle w:val="EBTablenorm"/>
              <w:ind w:left="57" w:right="57"/>
              <w:contextualSpacing w:val="0"/>
              <w:rPr>
                <w:sz w:val="22"/>
                <w:szCs w:val="22"/>
              </w:rPr>
            </w:pPr>
            <w:r w:rsidRPr="00264D5D">
              <w:rPr>
                <w:sz w:val="22"/>
                <w:szCs w:val="22"/>
              </w:rPr>
              <w:t xml:space="preserve">При указании в элементе «Тип сведений о соглашении» значения «3» или «4» указывается дата окончания срока действия </w:t>
            </w:r>
            <w:r w:rsidR="007E37F3" w:rsidRPr="00264D5D">
              <w:rPr>
                <w:sz w:val="22"/>
                <w:szCs w:val="22"/>
              </w:rPr>
              <w:t>доп. соглашения (доп. договора)</w:t>
            </w:r>
          </w:p>
        </w:tc>
      </w:tr>
      <w:tr w:rsidR="00AD1F54" w:rsidRPr="00264D5D" w14:paraId="25DEF443" w14:textId="77777777" w:rsidTr="00AD1F54">
        <w:trPr>
          <w:cnfStyle w:val="000000010000" w:firstRow="0" w:lastRow="0" w:firstColumn="0" w:lastColumn="0" w:oddVBand="0" w:evenVBand="0" w:oddHBand="0" w:evenHBand="1" w:firstRowFirstColumn="0" w:firstRowLastColumn="0" w:lastRowFirstColumn="0" w:lastRowLastColumn="0"/>
          <w:trHeight w:val="2045"/>
        </w:trPr>
        <w:tc>
          <w:tcPr>
            <w:tcW w:w="1701" w:type="dxa"/>
          </w:tcPr>
          <w:p w14:paraId="5F3A784E" w14:textId="77777777" w:rsidR="00AD1F54" w:rsidRPr="00264D5D" w:rsidRDefault="00941227">
            <w:pPr>
              <w:pStyle w:val="EBTablenorm"/>
              <w:ind w:left="57" w:right="57"/>
              <w:contextualSpacing w:val="0"/>
              <w:rPr>
                <w:sz w:val="22"/>
                <w:szCs w:val="22"/>
              </w:rPr>
            </w:pPr>
            <w:r w:rsidRPr="00264D5D">
              <w:rPr>
                <w:sz w:val="22"/>
                <w:szCs w:val="22"/>
              </w:rPr>
              <w:t>Признак соглашения (договора) о формировании на бумажном носителе</w:t>
            </w:r>
          </w:p>
        </w:tc>
        <w:tc>
          <w:tcPr>
            <w:tcW w:w="1701" w:type="dxa"/>
          </w:tcPr>
          <w:p w14:paraId="61263F3F" w14:textId="77777777" w:rsidR="00AD1F54" w:rsidRPr="00264D5D" w:rsidRDefault="00941227">
            <w:pPr>
              <w:pStyle w:val="EBTablenorm"/>
              <w:ind w:left="57" w:right="57"/>
              <w:contextualSpacing w:val="0"/>
              <w:rPr>
                <w:sz w:val="22"/>
                <w:szCs w:val="22"/>
              </w:rPr>
            </w:pPr>
            <w:r w:rsidRPr="00264D5D">
              <w:rPr>
                <w:sz w:val="22"/>
                <w:szCs w:val="22"/>
              </w:rPr>
              <w:t>AgrPpr</w:t>
            </w:r>
          </w:p>
        </w:tc>
        <w:tc>
          <w:tcPr>
            <w:tcW w:w="567" w:type="dxa"/>
          </w:tcPr>
          <w:p w14:paraId="135537D8"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474C18C8" w14:textId="77777777" w:rsidR="00AD1F54" w:rsidRPr="00264D5D" w:rsidRDefault="00941227">
            <w:pPr>
              <w:pStyle w:val="EBTablenorm"/>
              <w:ind w:left="57" w:right="57"/>
              <w:contextualSpacing w:val="0"/>
              <w:jc w:val="left"/>
              <w:rPr>
                <w:sz w:val="22"/>
                <w:szCs w:val="22"/>
              </w:rPr>
            </w:pPr>
            <w:r w:rsidRPr="00264D5D">
              <w:rPr>
                <w:sz w:val="22"/>
                <w:szCs w:val="22"/>
                <w:lang w:val="en-US"/>
              </w:rPr>
              <w:t>T(1)</w:t>
            </w:r>
          </w:p>
        </w:tc>
        <w:tc>
          <w:tcPr>
            <w:tcW w:w="567" w:type="dxa"/>
          </w:tcPr>
          <w:p w14:paraId="4D5F9D27" w14:textId="77777777" w:rsidR="00AD1F54" w:rsidRPr="00264D5D" w:rsidRDefault="00941227">
            <w:pPr>
              <w:pStyle w:val="EBTablenorm"/>
              <w:ind w:left="57" w:right="57"/>
              <w:contextualSpacing w:val="0"/>
              <w:jc w:val="center"/>
              <w:rPr>
                <w:sz w:val="22"/>
                <w:szCs w:val="22"/>
              </w:rPr>
            </w:pPr>
            <w:r w:rsidRPr="00264D5D">
              <w:rPr>
                <w:sz w:val="22"/>
                <w:szCs w:val="22"/>
              </w:rPr>
              <w:t>Н</w:t>
            </w:r>
          </w:p>
        </w:tc>
        <w:tc>
          <w:tcPr>
            <w:tcW w:w="3963" w:type="dxa"/>
          </w:tcPr>
          <w:p w14:paraId="681CBB9B" w14:textId="77777777" w:rsidR="00AD1F54" w:rsidRPr="00264D5D" w:rsidRDefault="00941227">
            <w:pPr>
              <w:pStyle w:val="EBTablenorm"/>
              <w:ind w:left="57" w:right="57"/>
              <w:contextualSpacing w:val="0"/>
              <w:rPr>
                <w:sz w:val="22"/>
                <w:szCs w:val="22"/>
              </w:rPr>
            </w:pPr>
            <w:r w:rsidRPr="00264D5D">
              <w:rPr>
                <w:sz w:val="22"/>
                <w:szCs w:val="22"/>
              </w:rPr>
              <w:t>Признак соглашения (договора) о формировании на бумажном носителе:</w:t>
            </w:r>
          </w:p>
          <w:p w14:paraId="31560C5D" w14:textId="77777777" w:rsidR="00AD1F54" w:rsidRPr="00264D5D" w:rsidRDefault="00941227" w:rsidP="00E7460C">
            <w:pPr>
              <w:pStyle w:val="EBTablenorm"/>
              <w:numPr>
                <w:ilvl w:val="0"/>
                <w:numId w:val="105"/>
              </w:numPr>
              <w:ind w:left="284" w:right="57" w:hanging="227"/>
              <w:contextualSpacing w:val="0"/>
              <w:rPr>
                <w:sz w:val="22"/>
                <w:szCs w:val="22"/>
              </w:rPr>
            </w:pPr>
            <w:r w:rsidRPr="00264D5D">
              <w:rPr>
                <w:sz w:val="22"/>
                <w:szCs w:val="22"/>
              </w:rPr>
              <w:t>«1» – Передаваемые сведения о соглашении (дополнительном соглашении) сформированы на бумажном носителе.</w:t>
            </w:r>
          </w:p>
          <w:p w14:paraId="4D252A92" w14:textId="77777777" w:rsidR="00AD1F54" w:rsidRPr="00264D5D" w:rsidRDefault="00941227">
            <w:pPr>
              <w:pStyle w:val="EBTablenorm"/>
              <w:ind w:left="57" w:right="57"/>
              <w:contextualSpacing w:val="0"/>
              <w:rPr>
                <w:sz w:val="22"/>
                <w:szCs w:val="22"/>
              </w:rPr>
            </w:pPr>
            <w:r w:rsidRPr="00264D5D">
              <w:rPr>
                <w:sz w:val="22"/>
                <w:szCs w:val="22"/>
              </w:rPr>
              <w:t>В ос</w:t>
            </w:r>
            <w:r w:rsidR="007E37F3" w:rsidRPr="00264D5D">
              <w:rPr>
                <w:sz w:val="22"/>
                <w:szCs w:val="22"/>
              </w:rPr>
              <w:t>тальных случаях не заполняется.</w:t>
            </w:r>
          </w:p>
        </w:tc>
      </w:tr>
      <w:tr w:rsidR="00AD1F54" w:rsidRPr="00264D5D" w14:paraId="1B365AE2"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754D8448" w14:textId="77777777" w:rsidR="00AD1F54" w:rsidRPr="00264D5D" w:rsidRDefault="00941227">
            <w:pPr>
              <w:pStyle w:val="EBTablenorm"/>
              <w:ind w:left="57" w:right="57"/>
              <w:contextualSpacing w:val="0"/>
              <w:rPr>
                <w:rFonts w:eastAsia="Calibri"/>
                <w:sz w:val="22"/>
                <w:szCs w:val="22"/>
              </w:rPr>
            </w:pPr>
            <w:r w:rsidRPr="00264D5D">
              <w:rPr>
                <w:sz w:val="22"/>
                <w:szCs w:val="22"/>
              </w:rPr>
              <w:t>Наименование вида НПА</w:t>
            </w:r>
          </w:p>
        </w:tc>
        <w:tc>
          <w:tcPr>
            <w:tcW w:w="1701" w:type="dxa"/>
          </w:tcPr>
          <w:p w14:paraId="39D8A51C"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SubNpaType</w:t>
            </w:r>
          </w:p>
        </w:tc>
        <w:tc>
          <w:tcPr>
            <w:tcW w:w="567" w:type="dxa"/>
          </w:tcPr>
          <w:p w14:paraId="4742ECD4"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6D8449B2" w14:textId="77777777" w:rsidR="00AD1F54" w:rsidRPr="00264D5D" w:rsidRDefault="00941227">
            <w:pPr>
              <w:pStyle w:val="EBTablenorm"/>
              <w:ind w:left="57" w:right="57"/>
              <w:contextualSpacing w:val="0"/>
              <w:jc w:val="left"/>
              <w:rPr>
                <w:rFonts w:eastAsia="Calibri"/>
                <w:sz w:val="22"/>
                <w:szCs w:val="22"/>
              </w:rPr>
            </w:pPr>
            <w:r w:rsidRPr="00264D5D">
              <w:rPr>
                <w:rFonts w:eastAsia="Calibri"/>
                <w:sz w:val="22"/>
                <w:szCs w:val="22"/>
              </w:rPr>
              <w:t>Т(1-2000)</w:t>
            </w:r>
          </w:p>
        </w:tc>
        <w:tc>
          <w:tcPr>
            <w:tcW w:w="567" w:type="dxa"/>
          </w:tcPr>
          <w:p w14:paraId="070C12DA" w14:textId="77777777" w:rsidR="00AD1F54" w:rsidRPr="00264D5D" w:rsidRDefault="00941227">
            <w:pPr>
              <w:pStyle w:val="EBTablenorm"/>
              <w:ind w:left="57" w:right="57"/>
              <w:contextualSpacing w:val="0"/>
              <w:jc w:val="center"/>
              <w:rPr>
                <w:rFonts w:eastAsia="Calibri"/>
                <w:sz w:val="22"/>
                <w:szCs w:val="22"/>
              </w:rPr>
            </w:pPr>
            <w:r w:rsidRPr="00264D5D">
              <w:rPr>
                <w:rFonts w:eastAsia="Calibri"/>
                <w:sz w:val="22"/>
                <w:szCs w:val="22"/>
              </w:rPr>
              <w:t>Н</w:t>
            </w:r>
          </w:p>
        </w:tc>
        <w:tc>
          <w:tcPr>
            <w:tcW w:w="3963" w:type="dxa"/>
          </w:tcPr>
          <w:p w14:paraId="753BD8EF" w14:textId="77777777" w:rsidR="00AD1F54" w:rsidRPr="00264D5D" w:rsidRDefault="00941227">
            <w:pPr>
              <w:pStyle w:val="EBTablenorm"/>
              <w:ind w:left="57" w:right="57"/>
              <w:contextualSpacing w:val="0"/>
              <w:rPr>
                <w:sz w:val="22"/>
                <w:szCs w:val="22"/>
              </w:rPr>
            </w:pPr>
            <w:r w:rsidRPr="00264D5D">
              <w:rPr>
                <w:sz w:val="22"/>
                <w:szCs w:val="22"/>
              </w:rPr>
              <w:t xml:space="preserve">Наименование вида НПА, устанавливающего распределение субсидии между субъектами Российской Федерации. </w:t>
            </w:r>
          </w:p>
          <w:p w14:paraId="13FE3B51" w14:textId="77777777" w:rsidR="00AD1F54" w:rsidRPr="00264D5D" w:rsidRDefault="00941227">
            <w:pPr>
              <w:pStyle w:val="EBTablenorm"/>
              <w:ind w:left="57" w:right="57"/>
              <w:contextualSpacing w:val="0"/>
              <w:rPr>
                <w:sz w:val="22"/>
                <w:szCs w:val="22"/>
              </w:rPr>
            </w:pPr>
            <w:r w:rsidRPr="00264D5D">
              <w:rPr>
                <w:sz w:val="22"/>
                <w:szCs w:val="22"/>
              </w:rPr>
              <w:t xml:space="preserve">Поле может заполняться только при указании в элементе «Код </w:t>
            </w:r>
            <w:r w:rsidR="007E37F3" w:rsidRPr="00264D5D">
              <w:rPr>
                <w:sz w:val="22"/>
                <w:szCs w:val="22"/>
              </w:rPr>
              <w:t>вида соглашения» значения «031»</w:t>
            </w:r>
          </w:p>
        </w:tc>
      </w:tr>
      <w:tr w:rsidR="00AD1F54" w:rsidRPr="00264D5D" w14:paraId="4211FA18"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0F495C62" w14:textId="77777777" w:rsidR="00AD1F54" w:rsidRPr="00264D5D" w:rsidRDefault="00941227">
            <w:pPr>
              <w:pStyle w:val="EBTablenorm"/>
              <w:ind w:left="57" w:right="57"/>
              <w:contextualSpacing w:val="0"/>
              <w:rPr>
                <w:rFonts w:eastAsia="Calibri"/>
                <w:sz w:val="22"/>
                <w:szCs w:val="22"/>
              </w:rPr>
            </w:pPr>
            <w:r w:rsidRPr="00264D5D">
              <w:rPr>
                <w:sz w:val="22"/>
                <w:szCs w:val="22"/>
              </w:rPr>
              <w:lastRenderedPageBreak/>
              <w:t>Дата принятия НПА</w:t>
            </w:r>
          </w:p>
        </w:tc>
        <w:tc>
          <w:tcPr>
            <w:tcW w:w="1701" w:type="dxa"/>
          </w:tcPr>
          <w:p w14:paraId="0C69CBA2"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SubNpaDate</w:t>
            </w:r>
          </w:p>
        </w:tc>
        <w:tc>
          <w:tcPr>
            <w:tcW w:w="567" w:type="dxa"/>
          </w:tcPr>
          <w:p w14:paraId="51B5C9E3"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460EE09B" w14:textId="77777777" w:rsidR="00AD1F54" w:rsidRPr="00264D5D" w:rsidRDefault="00941227">
            <w:pPr>
              <w:pStyle w:val="EBTablenorm"/>
              <w:ind w:left="57" w:right="57"/>
              <w:contextualSpacing w:val="0"/>
              <w:jc w:val="left"/>
              <w:rPr>
                <w:rFonts w:eastAsia="Calibri"/>
                <w:sz w:val="22"/>
                <w:szCs w:val="22"/>
              </w:rPr>
            </w:pPr>
            <w:r w:rsidRPr="00264D5D">
              <w:rPr>
                <w:rFonts w:eastAsia="Calibri"/>
                <w:sz w:val="22"/>
                <w:szCs w:val="22"/>
              </w:rPr>
              <w:t>Date</w:t>
            </w:r>
          </w:p>
        </w:tc>
        <w:tc>
          <w:tcPr>
            <w:tcW w:w="567" w:type="dxa"/>
          </w:tcPr>
          <w:p w14:paraId="43CB7DAA" w14:textId="77777777" w:rsidR="00AD1F54" w:rsidRPr="00264D5D" w:rsidRDefault="00941227">
            <w:pPr>
              <w:pStyle w:val="EBTablenorm"/>
              <w:ind w:left="57" w:right="57"/>
              <w:contextualSpacing w:val="0"/>
              <w:jc w:val="center"/>
              <w:rPr>
                <w:rFonts w:eastAsia="Calibri"/>
                <w:sz w:val="22"/>
                <w:szCs w:val="22"/>
              </w:rPr>
            </w:pPr>
            <w:r w:rsidRPr="00264D5D">
              <w:rPr>
                <w:rFonts w:eastAsia="Calibri"/>
                <w:sz w:val="22"/>
                <w:szCs w:val="22"/>
              </w:rPr>
              <w:t>Н</w:t>
            </w:r>
          </w:p>
        </w:tc>
        <w:tc>
          <w:tcPr>
            <w:tcW w:w="3963" w:type="dxa"/>
          </w:tcPr>
          <w:p w14:paraId="70A0B70D" w14:textId="77777777" w:rsidR="00AD1F54" w:rsidRPr="00264D5D" w:rsidRDefault="00941227">
            <w:pPr>
              <w:pStyle w:val="EBTablenorm"/>
              <w:ind w:left="57" w:right="57"/>
              <w:contextualSpacing w:val="0"/>
              <w:rPr>
                <w:sz w:val="22"/>
                <w:szCs w:val="22"/>
              </w:rPr>
            </w:pPr>
            <w:r w:rsidRPr="00264D5D">
              <w:rPr>
                <w:sz w:val="22"/>
                <w:szCs w:val="22"/>
              </w:rPr>
              <w:t xml:space="preserve">Дата принятия НПА. </w:t>
            </w:r>
          </w:p>
          <w:p w14:paraId="609B54D3" w14:textId="77777777" w:rsidR="00AD1F54" w:rsidRPr="00264D5D" w:rsidRDefault="00941227">
            <w:pPr>
              <w:pStyle w:val="EBTablenorm"/>
              <w:ind w:left="57" w:right="57"/>
              <w:contextualSpacing w:val="0"/>
              <w:rPr>
                <w:sz w:val="22"/>
                <w:szCs w:val="22"/>
              </w:rPr>
            </w:pPr>
            <w:r w:rsidRPr="00264D5D">
              <w:rPr>
                <w:sz w:val="22"/>
                <w:szCs w:val="22"/>
              </w:rPr>
              <w:t xml:space="preserve">Поле может заполняться только при указании в элементе «Код </w:t>
            </w:r>
            <w:r w:rsidR="007E37F3" w:rsidRPr="00264D5D">
              <w:rPr>
                <w:sz w:val="22"/>
                <w:szCs w:val="22"/>
              </w:rPr>
              <w:t>вида соглашения» значения «031»</w:t>
            </w:r>
          </w:p>
        </w:tc>
      </w:tr>
      <w:tr w:rsidR="00AD1F54" w:rsidRPr="00264D5D" w14:paraId="26962623"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6B44395" w14:textId="77777777" w:rsidR="00AD1F54" w:rsidRPr="00264D5D" w:rsidRDefault="00941227">
            <w:pPr>
              <w:pStyle w:val="EBTablenorm"/>
              <w:ind w:left="57" w:right="57"/>
              <w:contextualSpacing w:val="0"/>
              <w:rPr>
                <w:rFonts w:eastAsia="Calibri"/>
                <w:sz w:val="22"/>
                <w:szCs w:val="22"/>
              </w:rPr>
            </w:pPr>
            <w:r w:rsidRPr="00264D5D">
              <w:rPr>
                <w:sz w:val="22"/>
                <w:szCs w:val="22"/>
              </w:rPr>
              <w:t>Номер НПА</w:t>
            </w:r>
          </w:p>
        </w:tc>
        <w:tc>
          <w:tcPr>
            <w:tcW w:w="1701" w:type="dxa"/>
          </w:tcPr>
          <w:p w14:paraId="0C91954E"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SubNpaNum</w:t>
            </w:r>
          </w:p>
        </w:tc>
        <w:tc>
          <w:tcPr>
            <w:tcW w:w="567" w:type="dxa"/>
          </w:tcPr>
          <w:p w14:paraId="48199393"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183F37C3" w14:textId="77777777" w:rsidR="00AD1F54" w:rsidRPr="00264D5D" w:rsidRDefault="00941227">
            <w:pPr>
              <w:pStyle w:val="EBTablenorm"/>
              <w:ind w:left="57" w:right="57"/>
              <w:contextualSpacing w:val="0"/>
              <w:jc w:val="left"/>
              <w:rPr>
                <w:rFonts w:eastAsia="Calibri"/>
                <w:sz w:val="22"/>
                <w:szCs w:val="22"/>
              </w:rPr>
            </w:pPr>
            <w:r w:rsidRPr="00264D5D">
              <w:rPr>
                <w:rFonts w:eastAsia="Calibri"/>
                <w:sz w:val="22"/>
                <w:szCs w:val="22"/>
              </w:rPr>
              <w:t>Т(1-45)</w:t>
            </w:r>
          </w:p>
        </w:tc>
        <w:tc>
          <w:tcPr>
            <w:tcW w:w="567" w:type="dxa"/>
          </w:tcPr>
          <w:p w14:paraId="4C4AE0A6" w14:textId="77777777" w:rsidR="00AD1F54" w:rsidRPr="00264D5D" w:rsidRDefault="00941227">
            <w:pPr>
              <w:pStyle w:val="EBTablenorm"/>
              <w:ind w:left="57" w:right="57"/>
              <w:contextualSpacing w:val="0"/>
              <w:jc w:val="center"/>
              <w:rPr>
                <w:rFonts w:eastAsia="Calibri"/>
                <w:sz w:val="22"/>
                <w:szCs w:val="22"/>
              </w:rPr>
            </w:pPr>
            <w:r w:rsidRPr="00264D5D">
              <w:rPr>
                <w:rFonts w:eastAsia="Calibri"/>
                <w:sz w:val="22"/>
                <w:szCs w:val="22"/>
              </w:rPr>
              <w:t>Н</w:t>
            </w:r>
          </w:p>
        </w:tc>
        <w:tc>
          <w:tcPr>
            <w:tcW w:w="3963" w:type="dxa"/>
          </w:tcPr>
          <w:p w14:paraId="6F990B9B" w14:textId="77777777" w:rsidR="00AD1F54" w:rsidRPr="00264D5D" w:rsidRDefault="00941227">
            <w:pPr>
              <w:pStyle w:val="EBTablenorm"/>
              <w:ind w:left="57" w:right="57"/>
              <w:contextualSpacing w:val="0"/>
              <w:rPr>
                <w:sz w:val="22"/>
                <w:szCs w:val="22"/>
              </w:rPr>
            </w:pPr>
            <w:r w:rsidRPr="00264D5D">
              <w:rPr>
                <w:sz w:val="22"/>
                <w:szCs w:val="22"/>
              </w:rPr>
              <w:t xml:space="preserve">Номер НПА. </w:t>
            </w:r>
          </w:p>
          <w:p w14:paraId="5D5F2833" w14:textId="77777777" w:rsidR="00AD1F54" w:rsidRPr="00264D5D" w:rsidRDefault="00941227">
            <w:pPr>
              <w:pStyle w:val="EBTablenorm"/>
              <w:ind w:left="57" w:right="57"/>
              <w:contextualSpacing w:val="0"/>
              <w:rPr>
                <w:sz w:val="22"/>
                <w:szCs w:val="22"/>
              </w:rPr>
            </w:pPr>
            <w:r w:rsidRPr="00264D5D">
              <w:rPr>
                <w:sz w:val="22"/>
                <w:szCs w:val="22"/>
              </w:rPr>
              <w:t xml:space="preserve">Поле может заполняться только при указании в элементе «Код </w:t>
            </w:r>
            <w:r w:rsidR="007E37F3" w:rsidRPr="00264D5D">
              <w:rPr>
                <w:sz w:val="22"/>
                <w:szCs w:val="22"/>
              </w:rPr>
              <w:t>вида соглашения» значения «031»</w:t>
            </w:r>
          </w:p>
        </w:tc>
      </w:tr>
      <w:tr w:rsidR="00AD1F54" w:rsidRPr="00264D5D" w14:paraId="3A4EAFD2"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6941DEFC" w14:textId="77777777" w:rsidR="00AD1F54" w:rsidRPr="00264D5D" w:rsidRDefault="00941227">
            <w:pPr>
              <w:pStyle w:val="EBTablenorm"/>
              <w:ind w:left="57" w:right="57"/>
              <w:contextualSpacing w:val="0"/>
              <w:rPr>
                <w:rFonts w:eastAsia="Calibri"/>
                <w:sz w:val="22"/>
                <w:szCs w:val="22"/>
              </w:rPr>
            </w:pPr>
            <w:r w:rsidRPr="00264D5D">
              <w:rPr>
                <w:sz w:val="22"/>
                <w:szCs w:val="22"/>
              </w:rPr>
              <w:t>Наименование НПА</w:t>
            </w:r>
          </w:p>
        </w:tc>
        <w:tc>
          <w:tcPr>
            <w:tcW w:w="1701" w:type="dxa"/>
          </w:tcPr>
          <w:p w14:paraId="1F145452"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SubNpaName</w:t>
            </w:r>
          </w:p>
        </w:tc>
        <w:tc>
          <w:tcPr>
            <w:tcW w:w="567" w:type="dxa"/>
          </w:tcPr>
          <w:p w14:paraId="69F3A168"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428407E5" w14:textId="77777777" w:rsidR="00AD1F54" w:rsidRPr="00264D5D" w:rsidRDefault="00941227">
            <w:pPr>
              <w:pStyle w:val="EBTablenorm"/>
              <w:ind w:left="57" w:right="57"/>
              <w:contextualSpacing w:val="0"/>
              <w:jc w:val="left"/>
              <w:rPr>
                <w:rFonts w:eastAsia="Calibri"/>
                <w:sz w:val="22"/>
                <w:szCs w:val="22"/>
              </w:rPr>
            </w:pPr>
            <w:r w:rsidRPr="00264D5D">
              <w:rPr>
                <w:rFonts w:eastAsia="Calibri"/>
                <w:sz w:val="22"/>
                <w:szCs w:val="22"/>
              </w:rPr>
              <w:t>Т(1-2000)</w:t>
            </w:r>
          </w:p>
        </w:tc>
        <w:tc>
          <w:tcPr>
            <w:tcW w:w="567" w:type="dxa"/>
          </w:tcPr>
          <w:p w14:paraId="5E2FB25C" w14:textId="77777777" w:rsidR="00AD1F54" w:rsidRPr="00264D5D" w:rsidRDefault="00941227">
            <w:pPr>
              <w:pStyle w:val="EBTablenorm"/>
              <w:ind w:left="57" w:right="57"/>
              <w:contextualSpacing w:val="0"/>
              <w:jc w:val="center"/>
              <w:rPr>
                <w:rFonts w:eastAsia="Calibri"/>
                <w:sz w:val="22"/>
                <w:szCs w:val="22"/>
              </w:rPr>
            </w:pPr>
            <w:r w:rsidRPr="00264D5D">
              <w:rPr>
                <w:rFonts w:eastAsia="Calibri"/>
                <w:sz w:val="22"/>
                <w:szCs w:val="22"/>
              </w:rPr>
              <w:t>Н</w:t>
            </w:r>
          </w:p>
        </w:tc>
        <w:tc>
          <w:tcPr>
            <w:tcW w:w="3963" w:type="dxa"/>
          </w:tcPr>
          <w:p w14:paraId="66DA48EA" w14:textId="77777777" w:rsidR="00AD1F54" w:rsidRPr="00264D5D" w:rsidRDefault="00941227">
            <w:pPr>
              <w:pStyle w:val="EBTablenorm"/>
              <w:ind w:left="57" w:right="57"/>
              <w:contextualSpacing w:val="0"/>
              <w:rPr>
                <w:sz w:val="22"/>
                <w:szCs w:val="22"/>
              </w:rPr>
            </w:pPr>
            <w:r w:rsidRPr="00264D5D">
              <w:rPr>
                <w:sz w:val="22"/>
                <w:szCs w:val="22"/>
              </w:rPr>
              <w:t xml:space="preserve">Наименование НПА. </w:t>
            </w:r>
          </w:p>
          <w:p w14:paraId="5F2C1C83" w14:textId="77777777" w:rsidR="00AD1F54" w:rsidRPr="00264D5D" w:rsidRDefault="00941227">
            <w:pPr>
              <w:pStyle w:val="EBTablenorm"/>
              <w:ind w:left="57" w:right="57"/>
              <w:contextualSpacing w:val="0"/>
              <w:rPr>
                <w:sz w:val="22"/>
                <w:szCs w:val="22"/>
              </w:rPr>
            </w:pPr>
            <w:r w:rsidRPr="00264D5D">
              <w:rPr>
                <w:sz w:val="22"/>
                <w:szCs w:val="22"/>
              </w:rPr>
              <w:t>Поле может заполняться только при указании в элементе «Код в</w:t>
            </w:r>
            <w:r w:rsidR="007E37F3" w:rsidRPr="00264D5D">
              <w:rPr>
                <w:sz w:val="22"/>
                <w:szCs w:val="22"/>
              </w:rPr>
              <w:t>ида соглашения» значения «031»</w:t>
            </w:r>
          </w:p>
        </w:tc>
      </w:tr>
      <w:tr w:rsidR="00AD1F54" w:rsidRPr="00264D5D" w14:paraId="75B3641B"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77BBEA25" w14:textId="77777777" w:rsidR="00AD1F54" w:rsidRPr="00264D5D" w:rsidRDefault="00941227">
            <w:pPr>
              <w:pStyle w:val="EBTablenorm"/>
              <w:ind w:left="57" w:right="57"/>
              <w:contextualSpacing w:val="0"/>
              <w:rPr>
                <w:rFonts w:eastAsia="Calibri"/>
                <w:sz w:val="22"/>
                <w:szCs w:val="22"/>
              </w:rPr>
            </w:pPr>
            <w:bookmarkStart w:id="1992" w:name="_Hlk494704436"/>
            <w:r w:rsidRPr="00264D5D">
              <w:rPr>
                <w:sz w:val="22"/>
                <w:szCs w:val="22"/>
              </w:rPr>
              <w:t>Номер реестровой записи</w:t>
            </w:r>
          </w:p>
        </w:tc>
        <w:tc>
          <w:tcPr>
            <w:tcW w:w="1701" w:type="dxa"/>
          </w:tcPr>
          <w:p w14:paraId="7F128BFE"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PublicationInf_RegisterNumber</w:t>
            </w:r>
          </w:p>
        </w:tc>
        <w:tc>
          <w:tcPr>
            <w:tcW w:w="567" w:type="dxa"/>
          </w:tcPr>
          <w:p w14:paraId="0591878A"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3B095AC7" w14:textId="77777777" w:rsidR="00AD1F54" w:rsidRPr="00264D5D" w:rsidRDefault="00941227">
            <w:pPr>
              <w:pStyle w:val="EBTablenorm"/>
              <w:ind w:left="57" w:right="57"/>
              <w:contextualSpacing w:val="0"/>
              <w:jc w:val="left"/>
              <w:rPr>
                <w:rFonts w:eastAsia="Calibri"/>
                <w:sz w:val="22"/>
                <w:szCs w:val="22"/>
              </w:rPr>
            </w:pPr>
            <w:r w:rsidRPr="00264D5D">
              <w:rPr>
                <w:rFonts w:eastAsia="Calibri"/>
                <w:sz w:val="22"/>
                <w:szCs w:val="22"/>
              </w:rPr>
              <w:t>Т(15)</w:t>
            </w:r>
          </w:p>
        </w:tc>
        <w:tc>
          <w:tcPr>
            <w:tcW w:w="567" w:type="dxa"/>
          </w:tcPr>
          <w:p w14:paraId="70EC4D1F" w14:textId="77777777" w:rsidR="00AD1F54" w:rsidRPr="00264D5D" w:rsidRDefault="00941227">
            <w:pPr>
              <w:pStyle w:val="EBTablenorm"/>
              <w:ind w:left="57" w:right="57"/>
              <w:contextualSpacing w:val="0"/>
              <w:jc w:val="center"/>
              <w:rPr>
                <w:rFonts w:eastAsia="Calibri"/>
                <w:sz w:val="22"/>
                <w:szCs w:val="22"/>
              </w:rPr>
            </w:pPr>
            <w:r w:rsidRPr="00264D5D">
              <w:rPr>
                <w:rFonts w:eastAsia="Calibri"/>
                <w:sz w:val="22"/>
                <w:szCs w:val="22"/>
              </w:rPr>
              <w:t>Н</w:t>
            </w:r>
          </w:p>
        </w:tc>
        <w:tc>
          <w:tcPr>
            <w:tcW w:w="3963" w:type="dxa"/>
          </w:tcPr>
          <w:p w14:paraId="34578D62" w14:textId="77777777" w:rsidR="00AD1F54" w:rsidRPr="00264D5D" w:rsidRDefault="00941227">
            <w:pPr>
              <w:pStyle w:val="EBTablenorm"/>
              <w:ind w:left="57" w:right="57"/>
              <w:contextualSpacing w:val="0"/>
              <w:rPr>
                <w:sz w:val="22"/>
                <w:szCs w:val="22"/>
              </w:rPr>
            </w:pPr>
            <w:r w:rsidRPr="00264D5D">
              <w:rPr>
                <w:sz w:val="22"/>
                <w:szCs w:val="22"/>
              </w:rPr>
              <w:t>Уникальный номер реестровой записи реестра государственных заданий на оказание государственных услуг (выполнения работ). (в соответствии с п. 4.19 Порядка).</w:t>
            </w:r>
          </w:p>
          <w:p w14:paraId="1DD7AA77" w14:textId="77777777" w:rsidR="00AD1F54" w:rsidRPr="00264D5D" w:rsidRDefault="00941227">
            <w:pPr>
              <w:pStyle w:val="EBTablenorm"/>
              <w:ind w:left="57" w:right="57"/>
              <w:contextualSpacing w:val="0"/>
              <w:rPr>
                <w:sz w:val="22"/>
                <w:szCs w:val="22"/>
              </w:rPr>
            </w:pPr>
            <w:r w:rsidRPr="00264D5D">
              <w:rPr>
                <w:sz w:val="22"/>
                <w:szCs w:val="22"/>
              </w:rPr>
              <w:t xml:space="preserve">Обязательно для заполнения при указании в элементе «Код </w:t>
            </w:r>
            <w:r w:rsidR="007E37F3" w:rsidRPr="00264D5D">
              <w:rPr>
                <w:sz w:val="22"/>
                <w:szCs w:val="22"/>
              </w:rPr>
              <w:t>вида соглашения» значения «011»</w:t>
            </w:r>
          </w:p>
        </w:tc>
      </w:tr>
    </w:tbl>
    <w:p w14:paraId="7E144795" w14:textId="77777777" w:rsidR="00AD1F54" w:rsidRPr="00264D5D" w:rsidRDefault="00941227">
      <w:pPr>
        <w:pStyle w:val="31"/>
      </w:pPr>
      <w:bookmarkStart w:id="1993" w:name="_Toc493090501"/>
      <w:bookmarkStart w:id="1994" w:name="_Toc496984034"/>
      <w:bookmarkStart w:id="1995" w:name="_Toc219309670"/>
      <w:bookmarkEnd w:id="1992"/>
      <w:r w:rsidRPr="00264D5D">
        <w:t>Описание комплексного типа «tNPA»</w:t>
      </w:r>
      <w:bookmarkEnd w:id="1993"/>
      <w:bookmarkEnd w:id="1994"/>
      <w:bookmarkEnd w:id="1995"/>
    </w:p>
    <w:p w14:paraId="6B0B0EFF" w14:textId="77777777" w:rsidR="00AD1F54" w:rsidRPr="00264D5D" w:rsidRDefault="00941227">
      <w:pPr>
        <w:spacing w:before="60" w:after="120"/>
        <w:ind w:firstLine="567"/>
        <w:rPr>
          <w:rFonts w:eastAsia="Calibri"/>
          <w:szCs w:val="24"/>
        </w:rPr>
      </w:pPr>
      <w:r w:rsidRPr="00264D5D">
        <w:rPr>
          <w:rFonts w:eastAsia="Calibri"/>
          <w:szCs w:val="24"/>
        </w:rPr>
        <w:t xml:space="preserve">Описание комплексного типа «tNPA» </w:t>
      </w:r>
      <w:r w:rsidRPr="00264D5D">
        <w:t>блоков «Реквизиты НПА о предоставлении субсидии, бюджетных инвестиций, межбюджетного трансферта» и «Реквизиты НПА определяющего правила предоставления из федерального бюджета субсидии, бюджетных инвестиций, межбюджетного трансферта»</w:t>
      </w:r>
      <w:r w:rsidRPr="00264D5D">
        <w:rPr>
          <w:rFonts w:eastAsia="Calibri"/>
          <w:szCs w:val="24"/>
        </w:rPr>
        <w:t>.</w:t>
      </w:r>
    </w:p>
    <w:p w14:paraId="224B2DD2" w14:textId="0B39A13B"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1996" w:name="_Ref494364536"/>
      <w:bookmarkStart w:id="1997" w:name="_Toc30503387"/>
      <w:bookmarkStart w:id="1998" w:name="_Toc30507985"/>
      <w:bookmarkStart w:id="1999" w:name="_Toc219309238"/>
      <w:r w:rsidR="008D797C">
        <w:rPr>
          <w:rFonts w:eastAsia="Calibri"/>
          <w:noProof/>
          <w:szCs w:val="24"/>
        </w:rPr>
        <w:t>208</w:t>
      </w:r>
      <w:bookmarkEnd w:id="1996"/>
      <w:r w:rsidRPr="00264D5D">
        <w:rPr>
          <w:rFonts w:eastAsia="Calibri"/>
          <w:szCs w:val="24"/>
        </w:rPr>
        <w:fldChar w:fldCharType="end"/>
      </w:r>
      <w:r w:rsidRPr="00264D5D">
        <w:rPr>
          <w:rFonts w:eastAsia="Calibri"/>
          <w:szCs w:val="24"/>
        </w:rPr>
        <w:t xml:space="preserve"> – Описание комплексного типа «tNPA»</w:t>
      </w:r>
      <w:bookmarkEnd w:id="1997"/>
      <w:bookmarkEnd w:id="1998"/>
      <w:bookmarkEnd w:id="1999"/>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590EEE08"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39299B65" w14:textId="77777777" w:rsidR="00AD1F54" w:rsidRPr="00264D5D" w:rsidRDefault="00941227">
            <w:pPr>
              <w:pStyle w:val="EBTableHead"/>
              <w:ind w:left="57" w:right="57"/>
              <w:contextualSpacing w:val="0"/>
              <w:rPr>
                <w:sz w:val="22"/>
                <w:szCs w:val="22"/>
              </w:rPr>
            </w:pPr>
            <w:r w:rsidRPr="00264D5D">
              <w:rPr>
                <w:bCs w:val="0"/>
                <w:sz w:val="22"/>
                <w:szCs w:val="22"/>
              </w:rPr>
              <w:t>Наименование элемента</w:t>
            </w:r>
          </w:p>
        </w:tc>
        <w:tc>
          <w:tcPr>
            <w:tcW w:w="1701" w:type="dxa"/>
          </w:tcPr>
          <w:p w14:paraId="0C3B3DD2" w14:textId="77777777" w:rsidR="00AD1F54" w:rsidRPr="00264D5D" w:rsidRDefault="00941227">
            <w:pPr>
              <w:pStyle w:val="EBTableHead"/>
              <w:ind w:left="57" w:right="57"/>
              <w:contextualSpacing w:val="0"/>
              <w:rPr>
                <w:sz w:val="22"/>
                <w:szCs w:val="22"/>
              </w:rPr>
            </w:pPr>
            <w:r w:rsidRPr="00264D5D">
              <w:rPr>
                <w:bCs w:val="0"/>
                <w:sz w:val="22"/>
                <w:szCs w:val="22"/>
              </w:rPr>
              <w:t>Сокращенное наименование (код) элемента</w:t>
            </w:r>
          </w:p>
        </w:tc>
        <w:tc>
          <w:tcPr>
            <w:tcW w:w="567" w:type="dxa"/>
          </w:tcPr>
          <w:p w14:paraId="57BF69BE" w14:textId="77777777" w:rsidR="00AD1F54" w:rsidRPr="00264D5D" w:rsidRDefault="00941227">
            <w:pPr>
              <w:pStyle w:val="EBTableHead"/>
              <w:ind w:left="57" w:right="57"/>
              <w:contextualSpacing w:val="0"/>
              <w:rPr>
                <w:sz w:val="22"/>
                <w:szCs w:val="22"/>
              </w:rPr>
            </w:pPr>
            <w:r w:rsidRPr="00264D5D">
              <w:rPr>
                <w:bCs w:val="0"/>
                <w:sz w:val="22"/>
                <w:szCs w:val="22"/>
              </w:rPr>
              <w:t>Тип</w:t>
            </w:r>
          </w:p>
        </w:tc>
        <w:tc>
          <w:tcPr>
            <w:tcW w:w="1134" w:type="dxa"/>
          </w:tcPr>
          <w:p w14:paraId="654890A9" w14:textId="77777777" w:rsidR="00AD1F54" w:rsidRPr="00264D5D" w:rsidRDefault="00941227">
            <w:pPr>
              <w:pStyle w:val="EBTableHead"/>
              <w:ind w:left="57" w:right="57"/>
              <w:contextualSpacing w:val="0"/>
              <w:rPr>
                <w:sz w:val="22"/>
                <w:szCs w:val="22"/>
              </w:rPr>
            </w:pPr>
            <w:r w:rsidRPr="00264D5D">
              <w:rPr>
                <w:bCs w:val="0"/>
                <w:sz w:val="22"/>
                <w:szCs w:val="22"/>
              </w:rPr>
              <w:t>Формат элемента</w:t>
            </w:r>
          </w:p>
        </w:tc>
        <w:tc>
          <w:tcPr>
            <w:tcW w:w="567" w:type="dxa"/>
          </w:tcPr>
          <w:p w14:paraId="2BE2A027" w14:textId="77777777" w:rsidR="00AD1F54" w:rsidRPr="00264D5D" w:rsidRDefault="00941227">
            <w:pPr>
              <w:spacing w:before="60" w:after="60"/>
              <w:ind w:left="57" w:right="57"/>
              <w:jc w:val="center"/>
              <w:rPr>
                <w:b/>
                <w:bCs/>
                <w:sz w:val="22"/>
                <w:szCs w:val="22"/>
              </w:rPr>
            </w:pPr>
            <w:r w:rsidRPr="00264D5D">
              <w:rPr>
                <w:b/>
                <w:bCs/>
                <w:sz w:val="22"/>
                <w:szCs w:val="22"/>
              </w:rPr>
              <w:t>Обязательность</w:t>
            </w:r>
          </w:p>
        </w:tc>
        <w:tc>
          <w:tcPr>
            <w:tcW w:w="3963" w:type="dxa"/>
          </w:tcPr>
          <w:p w14:paraId="3026BC34" w14:textId="77777777" w:rsidR="00AD1F54" w:rsidRPr="00264D5D" w:rsidRDefault="00941227">
            <w:pPr>
              <w:pStyle w:val="EBTableHead"/>
              <w:ind w:left="57" w:right="57"/>
              <w:contextualSpacing w:val="0"/>
              <w:rPr>
                <w:sz w:val="22"/>
                <w:szCs w:val="22"/>
              </w:rPr>
            </w:pPr>
            <w:r w:rsidRPr="00264D5D">
              <w:rPr>
                <w:bCs w:val="0"/>
                <w:sz w:val="22"/>
                <w:szCs w:val="22"/>
              </w:rPr>
              <w:t>Дополнительная информация</w:t>
            </w:r>
          </w:p>
        </w:tc>
      </w:tr>
      <w:tr w:rsidR="00AD1F54" w:rsidRPr="00264D5D" w14:paraId="7505BA67"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CCE8C43" w14:textId="77777777" w:rsidR="00AD1F54" w:rsidRPr="00264D5D" w:rsidRDefault="00941227">
            <w:pPr>
              <w:pStyle w:val="EBTablenorm"/>
              <w:ind w:left="57" w:right="57"/>
              <w:contextualSpacing w:val="0"/>
              <w:rPr>
                <w:rFonts w:eastAsia="Calibri"/>
                <w:sz w:val="22"/>
                <w:szCs w:val="22"/>
              </w:rPr>
            </w:pPr>
            <w:r w:rsidRPr="00264D5D">
              <w:rPr>
                <w:sz w:val="22"/>
                <w:szCs w:val="22"/>
              </w:rPr>
              <w:t>Наименование вида НПА о предоставлении субсидии, бюджетных инвестиций, межбюджетного трансферта</w:t>
            </w:r>
          </w:p>
        </w:tc>
        <w:tc>
          <w:tcPr>
            <w:tcW w:w="1701" w:type="dxa"/>
          </w:tcPr>
          <w:p w14:paraId="0AE7BAA3"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NPAtype</w:t>
            </w:r>
          </w:p>
        </w:tc>
        <w:tc>
          <w:tcPr>
            <w:tcW w:w="567" w:type="dxa"/>
          </w:tcPr>
          <w:p w14:paraId="76EFBFF3"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66A3CB14" w14:textId="77777777" w:rsidR="00AD1F54" w:rsidRPr="00264D5D" w:rsidRDefault="00941227">
            <w:pPr>
              <w:pStyle w:val="EBTablenorm"/>
              <w:ind w:left="57" w:right="57"/>
              <w:contextualSpacing w:val="0"/>
              <w:jc w:val="left"/>
              <w:rPr>
                <w:rFonts w:eastAsia="Calibri"/>
                <w:sz w:val="22"/>
                <w:szCs w:val="22"/>
              </w:rPr>
            </w:pPr>
            <w:r w:rsidRPr="00264D5D">
              <w:rPr>
                <w:rFonts w:eastAsia="Calibri"/>
                <w:sz w:val="22"/>
                <w:szCs w:val="22"/>
              </w:rPr>
              <w:t>Т(1-2000)</w:t>
            </w:r>
          </w:p>
        </w:tc>
        <w:tc>
          <w:tcPr>
            <w:tcW w:w="567" w:type="dxa"/>
          </w:tcPr>
          <w:p w14:paraId="34B2BD92" w14:textId="77777777" w:rsidR="00AD1F54" w:rsidRPr="00264D5D" w:rsidRDefault="00941227">
            <w:pPr>
              <w:pStyle w:val="EBTablenorm"/>
              <w:ind w:left="57" w:right="57"/>
              <w:contextualSpacing w:val="0"/>
              <w:jc w:val="center"/>
              <w:rPr>
                <w:rFonts w:eastAsia="Calibri"/>
                <w:sz w:val="22"/>
                <w:szCs w:val="22"/>
              </w:rPr>
            </w:pPr>
            <w:r w:rsidRPr="00264D5D">
              <w:rPr>
                <w:rFonts w:eastAsia="Calibri"/>
                <w:sz w:val="22"/>
                <w:szCs w:val="22"/>
              </w:rPr>
              <w:t>О</w:t>
            </w:r>
          </w:p>
        </w:tc>
        <w:tc>
          <w:tcPr>
            <w:tcW w:w="3963" w:type="dxa"/>
          </w:tcPr>
          <w:p w14:paraId="481F54D1" w14:textId="77777777" w:rsidR="00AD1F54" w:rsidRPr="00264D5D" w:rsidRDefault="00941227">
            <w:pPr>
              <w:pStyle w:val="EBTablenorm"/>
              <w:ind w:left="57" w:right="57"/>
              <w:contextualSpacing w:val="0"/>
              <w:rPr>
                <w:sz w:val="22"/>
                <w:szCs w:val="22"/>
              </w:rPr>
            </w:pPr>
            <w:r w:rsidRPr="00264D5D">
              <w:rPr>
                <w:sz w:val="22"/>
                <w:szCs w:val="22"/>
              </w:rPr>
              <w:t xml:space="preserve">Наименование вида НПА о предоставлении субсидии, бюджетных инвестиций, межбюджетного трансферта, а также наименование НПА, определяющего правила (порядок) предоставления из федерального бюджета субсидии, бюджетных инвестиций, межбюджетного трансферта, в соответствии с которым заключено </w:t>
            </w:r>
            <w:r w:rsidRPr="00264D5D">
              <w:rPr>
                <w:sz w:val="22"/>
                <w:szCs w:val="22"/>
              </w:rPr>
              <w:lastRenderedPageBreak/>
              <w:t>соглашение (договор) о предоставлении субсидии, бюджетных инвес</w:t>
            </w:r>
            <w:r w:rsidR="007E37F3" w:rsidRPr="00264D5D">
              <w:rPr>
                <w:sz w:val="22"/>
                <w:szCs w:val="22"/>
              </w:rPr>
              <w:t>тиций, межбюджетного трансферта</w:t>
            </w:r>
          </w:p>
        </w:tc>
      </w:tr>
      <w:tr w:rsidR="00AD1F54" w:rsidRPr="00264D5D" w14:paraId="0084AAB8"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7CCF182" w14:textId="77777777" w:rsidR="00AD1F54" w:rsidRPr="00264D5D" w:rsidRDefault="00941227">
            <w:pPr>
              <w:pStyle w:val="EBTablenorm"/>
              <w:ind w:left="57" w:right="57"/>
              <w:contextualSpacing w:val="0"/>
              <w:rPr>
                <w:rFonts w:eastAsia="Calibri"/>
                <w:sz w:val="22"/>
                <w:szCs w:val="22"/>
              </w:rPr>
            </w:pPr>
            <w:r w:rsidRPr="00264D5D">
              <w:rPr>
                <w:sz w:val="22"/>
                <w:szCs w:val="22"/>
              </w:rPr>
              <w:lastRenderedPageBreak/>
              <w:t>Дата принятия НПА</w:t>
            </w:r>
          </w:p>
        </w:tc>
        <w:tc>
          <w:tcPr>
            <w:tcW w:w="1701" w:type="dxa"/>
          </w:tcPr>
          <w:p w14:paraId="0C59FE3E"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AdpDate</w:t>
            </w:r>
          </w:p>
        </w:tc>
        <w:tc>
          <w:tcPr>
            <w:tcW w:w="567" w:type="dxa"/>
          </w:tcPr>
          <w:p w14:paraId="737B474B"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5B6AFFFB" w14:textId="77777777" w:rsidR="00AD1F54" w:rsidRPr="00264D5D" w:rsidRDefault="00941227">
            <w:pPr>
              <w:pStyle w:val="EBTablenorm"/>
              <w:ind w:left="57" w:right="57"/>
              <w:contextualSpacing w:val="0"/>
              <w:jc w:val="left"/>
              <w:rPr>
                <w:rFonts w:eastAsia="Calibri"/>
                <w:sz w:val="22"/>
                <w:szCs w:val="22"/>
              </w:rPr>
            </w:pPr>
            <w:r w:rsidRPr="00264D5D">
              <w:rPr>
                <w:rFonts w:eastAsia="Calibri"/>
                <w:sz w:val="22"/>
                <w:szCs w:val="22"/>
              </w:rPr>
              <w:t>Date</w:t>
            </w:r>
          </w:p>
        </w:tc>
        <w:tc>
          <w:tcPr>
            <w:tcW w:w="567" w:type="dxa"/>
          </w:tcPr>
          <w:p w14:paraId="32EB2437" w14:textId="77777777" w:rsidR="00AD1F54" w:rsidRPr="00264D5D" w:rsidRDefault="00941227">
            <w:pPr>
              <w:pStyle w:val="EBTablenorm"/>
              <w:ind w:left="57" w:right="57"/>
              <w:contextualSpacing w:val="0"/>
              <w:jc w:val="center"/>
              <w:rPr>
                <w:rFonts w:eastAsia="Calibri"/>
                <w:sz w:val="22"/>
                <w:szCs w:val="22"/>
              </w:rPr>
            </w:pPr>
            <w:r w:rsidRPr="00264D5D">
              <w:rPr>
                <w:rFonts w:eastAsia="Calibri"/>
                <w:sz w:val="22"/>
                <w:szCs w:val="22"/>
              </w:rPr>
              <w:t>О</w:t>
            </w:r>
          </w:p>
        </w:tc>
        <w:tc>
          <w:tcPr>
            <w:tcW w:w="3963" w:type="dxa"/>
          </w:tcPr>
          <w:p w14:paraId="01D91844" w14:textId="77777777" w:rsidR="00AD1F54" w:rsidRPr="00264D5D" w:rsidRDefault="007E37F3">
            <w:pPr>
              <w:pStyle w:val="EBTablenorm"/>
              <w:ind w:left="57" w:right="57"/>
              <w:contextualSpacing w:val="0"/>
              <w:rPr>
                <w:sz w:val="22"/>
                <w:szCs w:val="22"/>
              </w:rPr>
            </w:pPr>
            <w:r w:rsidRPr="00264D5D">
              <w:rPr>
                <w:sz w:val="22"/>
                <w:szCs w:val="22"/>
              </w:rPr>
              <w:t>Дата принятия НПА</w:t>
            </w:r>
          </w:p>
        </w:tc>
      </w:tr>
      <w:tr w:rsidR="00AD1F54" w:rsidRPr="00264D5D" w14:paraId="254209E4"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7C96094B" w14:textId="77777777" w:rsidR="00AD1F54" w:rsidRPr="00264D5D" w:rsidRDefault="00941227">
            <w:pPr>
              <w:pStyle w:val="EBTablenorm"/>
              <w:ind w:left="57" w:right="57"/>
              <w:contextualSpacing w:val="0"/>
              <w:rPr>
                <w:rFonts w:eastAsia="Calibri"/>
                <w:sz w:val="22"/>
                <w:szCs w:val="22"/>
              </w:rPr>
            </w:pPr>
            <w:r w:rsidRPr="00264D5D">
              <w:rPr>
                <w:sz w:val="22"/>
                <w:szCs w:val="22"/>
              </w:rPr>
              <w:t>Номер НПА</w:t>
            </w:r>
          </w:p>
        </w:tc>
        <w:tc>
          <w:tcPr>
            <w:tcW w:w="1701" w:type="dxa"/>
          </w:tcPr>
          <w:p w14:paraId="22EF78C7"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NPANum</w:t>
            </w:r>
          </w:p>
        </w:tc>
        <w:tc>
          <w:tcPr>
            <w:tcW w:w="567" w:type="dxa"/>
          </w:tcPr>
          <w:p w14:paraId="57F93EBC"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0FE8A757" w14:textId="77777777" w:rsidR="00AD1F54" w:rsidRPr="00264D5D" w:rsidRDefault="00941227">
            <w:pPr>
              <w:pStyle w:val="EBTablenorm"/>
              <w:ind w:left="57" w:right="57"/>
              <w:contextualSpacing w:val="0"/>
              <w:jc w:val="left"/>
              <w:rPr>
                <w:rFonts w:eastAsia="Calibri"/>
                <w:sz w:val="22"/>
                <w:szCs w:val="22"/>
              </w:rPr>
            </w:pPr>
            <w:r w:rsidRPr="00264D5D">
              <w:rPr>
                <w:rFonts w:eastAsia="Calibri"/>
                <w:sz w:val="22"/>
                <w:szCs w:val="22"/>
              </w:rPr>
              <w:t>Т(1-45)</w:t>
            </w:r>
          </w:p>
        </w:tc>
        <w:tc>
          <w:tcPr>
            <w:tcW w:w="567" w:type="dxa"/>
          </w:tcPr>
          <w:p w14:paraId="6B685D70" w14:textId="77777777" w:rsidR="00AD1F54" w:rsidRPr="00264D5D" w:rsidRDefault="00941227">
            <w:pPr>
              <w:pStyle w:val="EBTablenorm"/>
              <w:ind w:left="57" w:right="57"/>
              <w:contextualSpacing w:val="0"/>
              <w:jc w:val="center"/>
              <w:rPr>
                <w:rFonts w:eastAsia="Calibri"/>
                <w:sz w:val="22"/>
                <w:szCs w:val="22"/>
              </w:rPr>
            </w:pPr>
            <w:r w:rsidRPr="00264D5D">
              <w:rPr>
                <w:rFonts w:eastAsia="Calibri"/>
                <w:sz w:val="22"/>
                <w:szCs w:val="22"/>
              </w:rPr>
              <w:t>О</w:t>
            </w:r>
          </w:p>
        </w:tc>
        <w:tc>
          <w:tcPr>
            <w:tcW w:w="3963" w:type="dxa"/>
          </w:tcPr>
          <w:p w14:paraId="1DD591AB" w14:textId="77777777" w:rsidR="00AD1F54" w:rsidRPr="00264D5D" w:rsidRDefault="00941227">
            <w:pPr>
              <w:pStyle w:val="EBTablenorm"/>
              <w:ind w:left="57" w:right="57"/>
              <w:contextualSpacing w:val="0"/>
              <w:rPr>
                <w:sz w:val="22"/>
                <w:szCs w:val="22"/>
              </w:rPr>
            </w:pPr>
            <w:r w:rsidRPr="00264D5D">
              <w:rPr>
                <w:sz w:val="22"/>
                <w:szCs w:val="22"/>
              </w:rPr>
              <w:t>Н</w:t>
            </w:r>
            <w:r w:rsidR="007E37F3" w:rsidRPr="00264D5D">
              <w:rPr>
                <w:sz w:val="22"/>
                <w:szCs w:val="22"/>
              </w:rPr>
              <w:t>омер НПА</w:t>
            </w:r>
          </w:p>
        </w:tc>
      </w:tr>
      <w:tr w:rsidR="00AD1F54" w:rsidRPr="00264D5D" w14:paraId="76420ACA"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1822F37" w14:textId="77777777" w:rsidR="00AD1F54" w:rsidRPr="00264D5D" w:rsidRDefault="00941227">
            <w:pPr>
              <w:pStyle w:val="EBTablenorm"/>
              <w:ind w:left="57" w:right="57"/>
              <w:contextualSpacing w:val="0"/>
              <w:rPr>
                <w:rFonts w:eastAsia="Calibri"/>
                <w:sz w:val="22"/>
                <w:szCs w:val="22"/>
              </w:rPr>
            </w:pPr>
            <w:r w:rsidRPr="00264D5D">
              <w:rPr>
                <w:sz w:val="22"/>
                <w:szCs w:val="22"/>
              </w:rPr>
              <w:t>Номер регистрации в Минюсте России</w:t>
            </w:r>
          </w:p>
        </w:tc>
        <w:tc>
          <w:tcPr>
            <w:tcW w:w="1701" w:type="dxa"/>
          </w:tcPr>
          <w:p w14:paraId="2A5A4472"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MURegNum</w:t>
            </w:r>
          </w:p>
        </w:tc>
        <w:tc>
          <w:tcPr>
            <w:tcW w:w="567" w:type="dxa"/>
          </w:tcPr>
          <w:p w14:paraId="64009FCE"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06FF8C3D" w14:textId="77777777" w:rsidR="00AD1F54" w:rsidRPr="00264D5D" w:rsidRDefault="00941227">
            <w:pPr>
              <w:pStyle w:val="EBTablenorm"/>
              <w:ind w:left="57" w:right="57"/>
              <w:contextualSpacing w:val="0"/>
              <w:jc w:val="left"/>
              <w:rPr>
                <w:rFonts w:eastAsia="Calibri"/>
                <w:sz w:val="22"/>
                <w:szCs w:val="22"/>
              </w:rPr>
            </w:pPr>
            <w:r w:rsidRPr="00264D5D">
              <w:rPr>
                <w:rFonts w:eastAsia="Calibri"/>
                <w:sz w:val="22"/>
                <w:szCs w:val="22"/>
              </w:rPr>
              <w:t>Т(1-45)</w:t>
            </w:r>
          </w:p>
        </w:tc>
        <w:tc>
          <w:tcPr>
            <w:tcW w:w="567" w:type="dxa"/>
          </w:tcPr>
          <w:p w14:paraId="14B3B0F1" w14:textId="77777777" w:rsidR="00AD1F54" w:rsidRPr="00264D5D" w:rsidRDefault="00941227">
            <w:pPr>
              <w:pStyle w:val="EBTablenorm"/>
              <w:ind w:left="57" w:right="57"/>
              <w:contextualSpacing w:val="0"/>
              <w:jc w:val="center"/>
              <w:rPr>
                <w:rFonts w:eastAsia="Calibri"/>
                <w:sz w:val="22"/>
                <w:szCs w:val="22"/>
              </w:rPr>
            </w:pPr>
            <w:r w:rsidRPr="00264D5D">
              <w:rPr>
                <w:rFonts w:eastAsia="Calibri"/>
                <w:sz w:val="22"/>
                <w:szCs w:val="22"/>
              </w:rPr>
              <w:t>Н</w:t>
            </w:r>
          </w:p>
        </w:tc>
        <w:tc>
          <w:tcPr>
            <w:tcW w:w="3963" w:type="dxa"/>
          </w:tcPr>
          <w:p w14:paraId="4C97CA8B" w14:textId="77777777" w:rsidR="00AD1F54" w:rsidRPr="00264D5D" w:rsidRDefault="00941227">
            <w:pPr>
              <w:pStyle w:val="EBTablenorm"/>
              <w:ind w:left="57" w:right="57"/>
              <w:contextualSpacing w:val="0"/>
              <w:rPr>
                <w:sz w:val="22"/>
                <w:szCs w:val="22"/>
              </w:rPr>
            </w:pPr>
            <w:r w:rsidRPr="00264D5D">
              <w:rPr>
                <w:sz w:val="22"/>
                <w:szCs w:val="22"/>
              </w:rPr>
              <w:t>Ном</w:t>
            </w:r>
            <w:r w:rsidR="007E37F3" w:rsidRPr="00264D5D">
              <w:rPr>
                <w:sz w:val="22"/>
                <w:szCs w:val="22"/>
              </w:rPr>
              <w:t>ер регистрации в Минюсте России</w:t>
            </w:r>
          </w:p>
        </w:tc>
      </w:tr>
      <w:tr w:rsidR="00AD1F54" w:rsidRPr="00264D5D" w14:paraId="3576B28F"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5EA4CE7C" w14:textId="77777777" w:rsidR="00AD1F54" w:rsidRPr="00264D5D" w:rsidRDefault="00941227">
            <w:pPr>
              <w:pStyle w:val="EBTablenorm"/>
              <w:ind w:left="57" w:right="57"/>
              <w:contextualSpacing w:val="0"/>
              <w:rPr>
                <w:rFonts w:eastAsia="Calibri"/>
                <w:sz w:val="22"/>
                <w:szCs w:val="22"/>
              </w:rPr>
            </w:pPr>
            <w:r w:rsidRPr="00264D5D">
              <w:rPr>
                <w:sz w:val="22"/>
                <w:szCs w:val="22"/>
              </w:rPr>
              <w:t>Дата регистрации в Минюсте России</w:t>
            </w:r>
          </w:p>
        </w:tc>
        <w:tc>
          <w:tcPr>
            <w:tcW w:w="1701" w:type="dxa"/>
          </w:tcPr>
          <w:p w14:paraId="7392427C"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MURegDate</w:t>
            </w:r>
          </w:p>
        </w:tc>
        <w:tc>
          <w:tcPr>
            <w:tcW w:w="567" w:type="dxa"/>
          </w:tcPr>
          <w:p w14:paraId="4D0D8E46"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1C17FDC1" w14:textId="77777777" w:rsidR="00AD1F54" w:rsidRPr="00264D5D" w:rsidRDefault="00941227">
            <w:pPr>
              <w:pStyle w:val="EBTablenorm"/>
              <w:ind w:left="57" w:right="57"/>
              <w:contextualSpacing w:val="0"/>
              <w:jc w:val="left"/>
              <w:rPr>
                <w:rFonts w:eastAsia="Calibri"/>
                <w:sz w:val="22"/>
                <w:szCs w:val="22"/>
              </w:rPr>
            </w:pPr>
            <w:r w:rsidRPr="00264D5D">
              <w:rPr>
                <w:rFonts w:eastAsia="Calibri"/>
                <w:sz w:val="22"/>
                <w:szCs w:val="22"/>
              </w:rPr>
              <w:t>Date</w:t>
            </w:r>
          </w:p>
        </w:tc>
        <w:tc>
          <w:tcPr>
            <w:tcW w:w="567" w:type="dxa"/>
          </w:tcPr>
          <w:p w14:paraId="5F6EA549" w14:textId="77777777" w:rsidR="00AD1F54" w:rsidRPr="00264D5D" w:rsidRDefault="00941227">
            <w:pPr>
              <w:pStyle w:val="EBTablenorm"/>
              <w:ind w:left="57" w:right="57"/>
              <w:contextualSpacing w:val="0"/>
              <w:jc w:val="center"/>
              <w:rPr>
                <w:rFonts w:eastAsia="Calibri"/>
                <w:sz w:val="22"/>
                <w:szCs w:val="22"/>
              </w:rPr>
            </w:pPr>
            <w:r w:rsidRPr="00264D5D">
              <w:rPr>
                <w:rFonts w:eastAsia="Calibri"/>
                <w:sz w:val="22"/>
                <w:szCs w:val="22"/>
              </w:rPr>
              <w:t>Н</w:t>
            </w:r>
          </w:p>
        </w:tc>
        <w:tc>
          <w:tcPr>
            <w:tcW w:w="3963" w:type="dxa"/>
          </w:tcPr>
          <w:p w14:paraId="32C7C8FF" w14:textId="77777777" w:rsidR="00AD1F54" w:rsidRPr="00264D5D" w:rsidRDefault="00941227">
            <w:pPr>
              <w:pStyle w:val="EBTablenorm"/>
              <w:ind w:left="57" w:right="57"/>
              <w:contextualSpacing w:val="0"/>
              <w:rPr>
                <w:sz w:val="22"/>
                <w:szCs w:val="22"/>
              </w:rPr>
            </w:pPr>
            <w:r w:rsidRPr="00264D5D">
              <w:rPr>
                <w:sz w:val="22"/>
                <w:szCs w:val="22"/>
              </w:rPr>
              <w:t>Да</w:t>
            </w:r>
            <w:r w:rsidR="007E37F3" w:rsidRPr="00264D5D">
              <w:rPr>
                <w:sz w:val="22"/>
                <w:szCs w:val="22"/>
              </w:rPr>
              <w:t>та регистрации в Минюсте России</w:t>
            </w:r>
          </w:p>
        </w:tc>
      </w:tr>
      <w:tr w:rsidR="00AD1F54" w:rsidRPr="00264D5D" w14:paraId="0010E8B2"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25ACDC36" w14:textId="77777777" w:rsidR="00AD1F54" w:rsidRPr="00264D5D" w:rsidRDefault="00941227">
            <w:pPr>
              <w:pStyle w:val="EBTablenorm"/>
              <w:ind w:left="57" w:right="57"/>
              <w:contextualSpacing w:val="0"/>
              <w:rPr>
                <w:rFonts w:eastAsia="Calibri"/>
                <w:sz w:val="22"/>
                <w:szCs w:val="22"/>
              </w:rPr>
            </w:pPr>
            <w:r w:rsidRPr="00264D5D">
              <w:rPr>
                <w:sz w:val="22"/>
                <w:szCs w:val="22"/>
              </w:rPr>
              <w:t>Наименование НПА</w:t>
            </w:r>
          </w:p>
        </w:tc>
        <w:tc>
          <w:tcPr>
            <w:tcW w:w="1701" w:type="dxa"/>
          </w:tcPr>
          <w:p w14:paraId="7388C94C"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NPAName</w:t>
            </w:r>
          </w:p>
        </w:tc>
        <w:tc>
          <w:tcPr>
            <w:tcW w:w="567" w:type="dxa"/>
          </w:tcPr>
          <w:p w14:paraId="619F65F6"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3B178A39" w14:textId="77777777" w:rsidR="00AD1F54" w:rsidRPr="00264D5D" w:rsidRDefault="00941227">
            <w:pPr>
              <w:pStyle w:val="EBTablenorm"/>
              <w:ind w:left="57" w:right="57"/>
              <w:contextualSpacing w:val="0"/>
              <w:jc w:val="left"/>
              <w:rPr>
                <w:rFonts w:eastAsia="Calibri"/>
                <w:sz w:val="22"/>
                <w:szCs w:val="22"/>
              </w:rPr>
            </w:pPr>
            <w:r w:rsidRPr="00264D5D">
              <w:rPr>
                <w:rFonts w:eastAsia="Calibri"/>
                <w:sz w:val="22"/>
                <w:szCs w:val="22"/>
              </w:rPr>
              <w:t>Т(1-2000)</w:t>
            </w:r>
          </w:p>
        </w:tc>
        <w:tc>
          <w:tcPr>
            <w:tcW w:w="567" w:type="dxa"/>
          </w:tcPr>
          <w:p w14:paraId="111E9037" w14:textId="77777777" w:rsidR="00AD1F54" w:rsidRPr="00264D5D" w:rsidRDefault="00941227">
            <w:pPr>
              <w:pStyle w:val="EBTablenorm"/>
              <w:ind w:left="57" w:right="57"/>
              <w:contextualSpacing w:val="0"/>
              <w:jc w:val="center"/>
              <w:rPr>
                <w:rFonts w:eastAsia="Calibri"/>
                <w:sz w:val="22"/>
                <w:szCs w:val="22"/>
              </w:rPr>
            </w:pPr>
            <w:r w:rsidRPr="00264D5D">
              <w:rPr>
                <w:rFonts w:eastAsia="Calibri"/>
                <w:sz w:val="22"/>
                <w:szCs w:val="22"/>
              </w:rPr>
              <w:t>О</w:t>
            </w:r>
          </w:p>
        </w:tc>
        <w:tc>
          <w:tcPr>
            <w:tcW w:w="3963" w:type="dxa"/>
          </w:tcPr>
          <w:p w14:paraId="5C8F49D9" w14:textId="77777777" w:rsidR="00AD1F54" w:rsidRPr="00264D5D" w:rsidRDefault="007E37F3">
            <w:pPr>
              <w:pStyle w:val="EBTablenorm"/>
              <w:ind w:left="57" w:right="57"/>
              <w:contextualSpacing w:val="0"/>
              <w:rPr>
                <w:sz w:val="22"/>
                <w:szCs w:val="22"/>
              </w:rPr>
            </w:pPr>
            <w:r w:rsidRPr="00264D5D">
              <w:rPr>
                <w:sz w:val="22"/>
                <w:szCs w:val="22"/>
              </w:rPr>
              <w:t>Наименование НПА.</w:t>
            </w:r>
          </w:p>
        </w:tc>
      </w:tr>
      <w:tr w:rsidR="00AD1F54" w:rsidRPr="00264D5D" w14:paraId="52549DB9"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3BBA67E" w14:textId="77777777" w:rsidR="00AD1F54" w:rsidRPr="00264D5D" w:rsidRDefault="00941227">
            <w:pPr>
              <w:pStyle w:val="EBTablenorm"/>
              <w:ind w:left="57" w:right="57"/>
              <w:contextualSpacing w:val="0"/>
              <w:rPr>
                <w:rFonts w:eastAsia="Calibri"/>
                <w:sz w:val="22"/>
                <w:szCs w:val="22"/>
              </w:rPr>
            </w:pPr>
            <w:r w:rsidRPr="00264D5D">
              <w:rPr>
                <w:sz w:val="22"/>
                <w:szCs w:val="22"/>
              </w:rPr>
              <w:t>Дата окончания срока действия НПА</w:t>
            </w:r>
          </w:p>
        </w:tc>
        <w:tc>
          <w:tcPr>
            <w:tcW w:w="1701" w:type="dxa"/>
          </w:tcPr>
          <w:p w14:paraId="70EF0198"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NPAEndDate</w:t>
            </w:r>
          </w:p>
        </w:tc>
        <w:tc>
          <w:tcPr>
            <w:tcW w:w="567" w:type="dxa"/>
          </w:tcPr>
          <w:p w14:paraId="1C1D192F"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235BE862" w14:textId="77777777" w:rsidR="00AD1F54" w:rsidRPr="00264D5D" w:rsidRDefault="00941227">
            <w:pPr>
              <w:pStyle w:val="EBTablenorm"/>
              <w:ind w:left="57" w:right="57"/>
              <w:contextualSpacing w:val="0"/>
              <w:jc w:val="left"/>
              <w:rPr>
                <w:rFonts w:eastAsia="Calibri"/>
                <w:sz w:val="22"/>
                <w:szCs w:val="22"/>
              </w:rPr>
            </w:pPr>
            <w:r w:rsidRPr="00264D5D">
              <w:rPr>
                <w:rFonts w:eastAsia="Calibri"/>
                <w:sz w:val="22"/>
                <w:szCs w:val="22"/>
              </w:rPr>
              <w:t>Date</w:t>
            </w:r>
          </w:p>
        </w:tc>
        <w:tc>
          <w:tcPr>
            <w:tcW w:w="567" w:type="dxa"/>
          </w:tcPr>
          <w:p w14:paraId="17EEB5F2" w14:textId="77777777" w:rsidR="00AD1F54" w:rsidRPr="00264D5D" w:rsidRDefault="00941227">
            <w:pPr>
              <w:pStyle w:val="EBTablenorm"/>
              <w:ind w:left="57" w:right="57"/>
              <w:contextualSpacing w:val="0"/>
              <w:jc w:val="center"/>
              <w:rPr>
                <w:rFonts w:eastAsia="Calibri"/>
                <w:sz w:val="22"/>
                <w:szCs w:val="22"/>
              </w:rPr>
            </w:pPr>
            <w:r w:rsidRPr="00264D5D">
              <w:rPr>
                <w:rFonts w:eastAsia="Calibri"/>
                <w:sz w:val="22"/>
                <w:szCs w:val="22"/>
              </w:rPr>
              <w:t>О</w:t>
            </w:r>
          </w:p>
        </w:tc>
        <w:tc>
          <w:tcPr>
            <w:tcW w:w="3963" w:type="dxa"/>
          </w:tcPr>
          <w:p w14:paraId="3BC6BD30" w14:textId="77777777" w:rsidR="00AD1F54" w:rsidRPr="00264D5D" w:rsidRDefault="00941227">
            <w:pPr>
              <w:pStyle w:val="EBTablenorm"/>
              <w:ind w:left="57" w:right="57"/>
              <w:contextualSpacing w:val="0"/>
              <w:rPr>
                <w:sz w:val="22"/>
                <w:szCs w:val="22"/>
              </w:rPr>
            </w:pPr>
            <w:r w:rsidRPr="00264D5D">
              <w:rPr>
                <w:sz w:val="22"/>
                <w:szCs w:val="22"/>
              </w:rPr>
              <w:t>Дата окончания срока действия НПА. (При отс</w:t>
            </w:r>
            <w:r w:rsidR="007E37F3" w:rsidRPr="00264D5D">
              <w:rPr>
                <w:sz w:val="22"/>
                <w:szCs w:val="22"/>
              </w:rPr>
              <w:t>утствии указывается 01.01.2999)</w:t>
            </w:r>
          </w:p>
        </w:tc>
      </w:tr>
    </w:tbl>
    <w:p w14:paraId="1333A065" w14:textId="77777777" w:rsidR="00AD1F54" w:rsidRPr="00264D5D" w:rsidRDefault="00941227">
      <w:pPr>
        <w:pStyle w:val="31"/>
      </w:pPr>
      <w:bookmarkStart w:id="2000" w:name="_Toc445991736"/>
      <w:bookmarkStart w:id="2001" w:name="_Toc493090502"/>
      <w:bookmarkStart w:id="2002" w:name="_Toc496984035"/>
      <w:bookmarkStart w:id="2003" w:name="_Toc219309671"/>
      <w:r w:rsidRPr="00264D5D">
        <w:t>Описание комплексного типа «tCptlConstrctnLst»</w:t>
      </w:r>
      <w:bookmarkEnd w:id="2000"/>
      <w:bookmarkEnd w:id="2001"/>
      <w:bookmarkEnd w:id="2002"/>
      <w:bookmarkEnd w:id="2003"/>
    </w:p>
    <w:p w14:paraId="3E9D0288" w14:textId="77777777" w:rsidR="00AD1F54" w:rsidRPr="00264D5D" w:rsidRDefault="00941227">
      <w:pPr>
        <w:spacing w:before="60" w:after="120"/>
        <w:ind w:firstLine="567"/>
        <w:rPr>
          <w:rFonts w:eastAsia="Calibri"/>
          <w:szCs w:val="24"/>
        </w:rPr>
      </w:pPr>
      <w:r w:rsidRPr="00264D5D">
        <w:rPr>
          <w:rFonts w:eastAsia="Calibri"/>
          <w:szCs w:val="24"/>
        </w:rPr>
        <w:t xml:space="preserve">Описание комплексного типа «tCptlConstrctnLst» </w:t>
      </w:r>
      <w:r w:rsidRPr="00264D5D">
        <w:t xml:space="preserve">блока </w:t>
      </w:r>
      <w:r w:rsidRPr="00264D5D">
        <w:rPr>
          <w:rFonts w:eastAsia="Calibri"/>
          <w:szCs w:val="24"/>
        </w:rPr>
        <w:t>«Перечень объектов капитального строительства или перечень объектов недвижимого имущества».</w:t>
      </w:r>
    </w:p>
    <w:p w14:paraId="2876EBF5" w14:textId="69117820"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2004" w:name="_Ref494364627"/>
      <w:bookmarkStart w:id="2005" w:name="_Toc30503388"/>
      <w:bookmarkStart w:id="2006" w:name="_Toc30507986"/>
      <w:bookmarkStart w:id="2007" w:name="_Toc219309239"/>
      <w:r w:rsidR="008D797C">
        <w:rPr>
          <w:rFonts w:eastAsia="Calibri"/>
          <w:noProof/>
          <w:szCs w:val="24"/>
        </w:rPr>
        <w:t>209</w:t>
      </w:r>
      <w:bookmarkEnd w:id="2004"/>
      <w:r w:rsidRPr="00264D5D">
        <w:rPr>
          <w:rFonts w:eastAsia="Calibri"/>
          <w:szCs w:val="24"/>
        </w:rPr>
        <w:fldChar w:fldCharType="end"/>
      </w:r>
      <w:r w:rsidRPr="00264D5D">
        <w:rPr>
          <w:rFonts w:eastAsia="Calibri"/>
          <w:szCs w:val="24"/>
        </w:rPr>
        <w:t xml:space="preserve"> – Описание комплексного типа «tCptlConstrctnLst»</w:t>
      </w:r>
      <w:bookmarkEnd w:id="2005"/>
      <w:bookmarkEnd w:id="2006"/>
      <w:bookmarkEnd w:id="2007"/>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42ECB159"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7546D398" w14:textId="77777777" w:rsidR="00AD1F54" w:rsidRPr="00264D5D" w:rsidRDefault="00941227">
            <w:pPr>
              <w:pStyle w:val="EBTableHead"/>
              <w:ind w:left="57" w:right="57"/>
              <w:contextualSpacing w:val="0"/>
              <w:rPr>
                <w:sz w:val="22"/>
                <w:szCs w:val="22"/>
              </w:rPr>
            </w:pPr>
            <w:r w:rsidRPr="00264D5D">
              <w:rPr>
                <w:bCs w:val="0"/>
                <w:sz w:val="22"/>
                <w:szCs w:val="22"/>
              </w:rPr>
              <w:t>Наименование элемента</w:t>
            </w:r>
          </w:p>
        </w:tc>
        <w:tc>
          <w:tcPr>
            <w:tcW w:w="1701" w:type="dxa"/>
          </w:tcPr>
          <w:p w14:paraId="393053E6" w14:textId="77777777" w:rsidR="00AD1F54" w:rsidRPr="00264D5D" w:rsidRDefault="00941227">
            <w:pPr>
              <w:pStyle w:val="EBTableHead"/>
              <w:ind w:left="57" w:right="57"/>
              <w:contextualSpacing w:val="0"/>
              <w:rPr>
                <w:sz w:val="22"/>
                <w:szCs w:val="22"/>
              </w:rPr>
            </w:pPr>
            <w:r w:rsidRPr="00264D5D">
              <w:rPr>
                <w:bCs w:val="0"/>
                <w:sz w:val="22"/>
                <w:szCs w:val="22"/>
              </w:rPr>
              <w:t>Сокращенное наименование (код) элемента</w:t>
            </w:r>
          </w:p>
        </w:tc>
        <w:tc>
          <w:tcPr>
            <w:tcW w:w="567" w:type="dxa"/>
          </w:tcPr>
          <w:p w14:paraId="0E0F64C4" w14:textId="77777777" w:rsidR="00AD1F54" w:rsidRPr="00264D5D" w:rsidRDefault="00941227">
            <w:pPr>
              <w:pStyle w:val="EBTableHead"/>
              <w:ind w:left="57" w:right="57"/>
              <w:contextualSpacing w:val="0"/>
              <w:rPr>
                <w:sz w:val="22"/>
                <w:szCs w:val="22"/>
              </w:rPr>
            </w:pPr>
            <w:r w:rsidRPr="00264D5D">
              <w:rPr>
                <w:bCs w:val="0"/>
                <w:sz w:val="22"/>
                <w:szCs w:val="22"/>
              </w:rPr>
              <w:t>Тип</w:t>
            </w:r>
          </w:p>
        </w:tc>
        <w:tc>
          <w:tcPr>
            <w:tcW w:w="1134" w:type="dxa"/>
          </w:tcPr>
          <w:p w14:paraId="7F996E3E" w14:textId="77777777" w:rsidR="00AD1F54" w:rsidRPr="00264D5D" w:rsidRDefault="00941227">
            <w:pPr>
              <w:pStyle w:val="EBTableHead"/>
              <w:ind w:left="57" w:right="57"/>
              <w:contextualSpacing w:val="0"/>
              <w:rPr>
                <w:sz w:val="22"/>
                <w:szCs w:val="22"/>
              </w:rPr>
            </w:pPr>
            <w:r w:rsidRPr="00264D5D">
              <w:rPr>
                <w:bCs w:val="0"/>
                <w:sz w:val="22"/>
                <w:szCs w:val="22"/>
              </w:rPr>
              <w:t>Формат элемента</w:t>
            </w:r>
          </w:p>
        </w:tc>
        <w:tc>
          <w:tcPr>
            <w:tcW w:w="567" w:type="dxa"/>
          </w:tcPr>
          <w:p w14:paraId="3C2745D2" w14:textId="77777777" w:rsidR="00AD1F54" w:rsidRPr="00264D5D" w:rsidRDefault="00941227">
            <w:pPr>
              <w:spacing w:before="60" w:after="60"/>
              <w:ind w:left="57" w:right="57"/>
              <w:jc w:val="center"/>
              <w:rPr>
                <w:b/>
                <w:bCs/>
                <w:sz w:val="22"/>
                <w:szCs w:val="22"/>
              </w:rPr>
            </w:pPr>
            <w:r w:rsidRPr="00264D5D">
              <w:rPr>
                <w:b/>
                <w:bCs/>
                <w:sz w:val="22"/>
                <w:szCs w:val="22"/>
              </w:rPr>
              <w:t>Обязательность</w:t>
            </w:r>
          </w:p>
        </w:tc>
        <w:tc>
          <w:tcPr>
            <w:tcW w:w="3963" w:type="dxa"/>
          </w:tcPr>
          <w:p w14:paraId="49AE6886" w14:textId="77777777" w:rsidR="00AD1F54" w:rsidRPr="00264D5D" w:rsidRDefault="00941227">
            <w:pPr>
              <w:pStyle w:val="EBTableHead"/>
              <w:ind w:left="57" w:right="57"/>
              <w:contextualSpacing w:val="0"/>
              <w:rPr>
                <w:sz w:val="22"/>
                <w:szCs w:val="22"/>
              </w:rPr>
            </w:pPr>
            <w:r w:rsidRPr="00264D5D">
              <w:rPr>
                <w:bCs w:val="0"/>
                <w:sz w:val="22"/>
                <w:szCs w:val="22"/>
              </w:rPr>
              <w:t>Дополнительная информация</w:t>
            </w:r>
          </w:p>
        </w:tc>
      </w:tr>
      <w:tr w:rsidR="00AD1F54" w:rsidRPr="00264D5D" w14:paraId="37F4959F"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D5C86EA"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Наименование</w:t>
            </w:r>
          </w:p>
        </w:tc>
        <w:tc>
          <w:tcPr>
            <w:tcW w:w="1701" w:type="dxa"/>
          </w:tcPr>
          <w:p w14:paraId="31B081D8"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CptlConstrctnName</w:t>
            </w:r>
          </w:p>
        </w:tc>
        <w:tc>
          <w:tcPr>
            <w:tcW w:w="567" w:type="dxa"/>
          </w:tcPr>
          <w:p w14:paraId="5B721635"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42CAC7D2" w14:textId="77777777" w:rsidR="00AD1F54" w:rsidRPr="00264D5D" w:rsidRDefault="00941227">
            <w:pPr>
              <w:pStyle w:val="EBTablenorm"/>
              <w:ind w:left="57" w:right="57"/>
              <w:contextualSpacing w:val="0"/>
              <w:jc w:val="left"/>
              <w:rPr>
                <w:rFonts w:eastAsia="Calibri"/>
                <w:sz w:val="22"/>
                <w:szCs w:val="22"/>
              </w:rPr>
            </w:pPr>
            <w:r w:rsidRPr="00264D5D">
              <w:rPr>
                <w:rFonts w:eastAsia="Calibri"/>
                <w:sz w:val="22"/>
                <w:szCs w:val="22"/>
              </w:rPr>
              <w:t>Т(1-2000)</w:t>
            </w:r>
          </w:p>
        </w:tc>
        <w:tc>
          <w:tcPr>
            <w:tcW w:w="567" w:type="dxa"/>
          </w:tcPr>
          <w:p w14:paraId="78609196" w14:textId="77777777" w:rsidR="00AD1F54" w:rsidRPr="00264D5D" w:rsidRDefault="00941227">
            <w:pPr>
              <w:pStyle w:val="EBTablenorm"/>
              <w:ind w:left="57" w:right="57"/>
              <w:contextualSpacing w:val="0"/>
              <w:jc w:val="center"/>
              <w:rPr>
                <w:rFonts w:eastAsia="Calibri"/>
                <w:sz w:val="22"/>
                <w:szCs w:val="22"/>
              </w:rPr>
            </w:pPr>
            <w:r w:rsidRPr="00264D5D">
              <w:rPr>
                <w:rFonts w:eastAsia="Calibri"/>
                <w:sz w:val="22"/>
                <w:szCs w:val="22"/>
              </w:rPr>
              <w:t>О</w:t>
            </w:r>
          </w:p>
        </w:tc>
        <w:tc>
          <w:tcPr>
            <w:tcW w:w="3963" w:type="dxa"/>
          </w:tcPr>
          <w:p w14:paraId="2BBE2094" w14:textId="77777777" w:rsidR="00AD1F54" w:rsidRPr="00264D5D" w:rsidRDefault="007E37F3">
            <w:pPr>
              <w:pStyle w:val="EBTablenorm"/>
              <w:ind w:left="57" w:right="57"/>
              <w:contextualSpacing w:val="0"/>
              <w:rPr>
                <w:rFonts w:eastAsia="Calibri"/>
                <w:sz w:val="22"/>
                <w:szCs w:val="22"/>
              </w:rPr>
            </w:pPr>
            <w:r w:rsidRPr="00264D5D">
              <w:rPr>
                <w:rFonts w:eastAsia="Calibri"/>
                <w:sz w:val="22"/>
                <w:szCs w:val="22"/>
              </w:rPr>
              <w:t>Наименование</w:t>
            </w:r>
          </w:p>
        </w:tc>
      </w:tr>
      <w:tr w:rsidR="00AD1F54" w:rsidRPr="00264D5D" w14:paraId="3288A494"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3D1CD605"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 xml:space="preserve">Код </w:t>
            </w:r>
            <w:r w:rsidRPr="00264D5D">
              <w:rPr>
                <w:sz w:val="22"/>
                <w:szCs w:val="22"/>
              </w:rPr>
              <w:t>ОКС (ОКВ)</w:t>
            </w:r>
          </w:p>
        </w:tc>
        <w:tc>
          <w:tcPr>
            <w:tcW w:w="1701" w:type="dxa"/>
          </w:tcPr>
          <w:p w14:paraId="164B4ED1"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FaipCode</w:t>
            </w:r>
          </w:p>
        </w:tc>
        <w:tc>
          <w:tcPr>
            <w:tcW w:w="567" w:type="dxa"/>
          </w:tcPr>
          <w:p w14:paraId="621B68F6" w14:textId="77777777" w:rsidR="00AD1F54" w:rsidRPr="00264D5D" w:rsidRDefault="00941227">
            <w:pPr>
              <w:pStyle w:val="EBTablenorm"/>
              <w:ind w:left="57" w:right="57"/>
              <w:contextualSpacing w:val="0"/>
              <w:jc w:val="center"/>
              <w:rPr>
                <w:rFonts w:eastAsia="Calibri"/>
                <w:sz w:val="22"/>
                <w:szCs w:val="22"/>
              </w:rPr>
            </w:pPr>
            <w:r w:rsidRPr="00264D5D">
              <w:rPr>
                <w:rFonts w:eastAsia="Calibri"/>
                <w:sz w:val="22"/>
                <w:szCs w:val="22"/>
              </w:rPr>
              <w:t>П</w:t>
            </w:r>
          </w:p>
        </w:tc>
        <w:tc>
          <w:tcPr>
            <w:tcW w:w="1134" w:type="dxa"/>
          </w:tcPr>
          <w:p w14:paraId="509698AE" w14:textId="77777777" w:rsidR="00AD1F54" w:rsidRPr="00264D5D" w:rsidRDefault="00941227">
            <w:pPr>
              <w:pStyle w:val="EBTablenorm"/>
              <w:ind w:left="57" w:right="57"/>
              <w:contextualSpacing w:val="0"/>
              <w:jc w:val="left"/>
              <w:rPr>
                <w:rFonts w:eastAsia="Calibri"/>
                <w:sz w:val="22"/>
                <w:szCs w:val="22"/>
              </w:rPr>
            </w:pPr>
            <w:r w:rsidRPr="00264D5D">
              <w:rPr>
                <w:rFonts w:eastAsia="Calibri"/>
                <w:sz w:val="22"/>
                <w:szCs w:val="22"/>
              </w:rPr>
              <w:t>Т(18)</w:t>
            </w:r>
          </w:p>
        </w:tc>
        <w:tc>
          <w:tcPr>
            <w:tcW w:w="567" w:type="dxa"/>
          </w:tcPr>
          <w:p w14:paraId="3C6C39F5" w14:textId="77777777" w:rsidR="00AD1F54" w:rsidRPr="00264D5D" w:rsidRDefault="00941227">
            <w:pPr>
              <w:pStyle w:val="EBTablenorm"/>
              <w:ind w:left="57" w:right="57"/>
              <w:contextualSpacing w:val="0"/>
              <w:jc w:val="center"/>
              <w:rPr>
                <w:rFonts w:eastAsia="Calibri"/>
                <w:sz w:val="22"/>
                <w:szCs w:val="22"/>
              </w:rPr>
            </w:pPr>
            <w:r w:rsidRPr="00264D5D">
              <w:rPr>
                <w:rFonts w:eastAsia="Calibri"/>
                <w:sz w:val="22"/>
                <w:szCs w:val="22"/>
              </w:rPr>
              <w:t>Н</w:t>
            </w:r>
          </w:p>
        </w:tc>
        <w:tc>
          <w:tcPr>
            <w:tcW w:w="3963" w:type="dxa"/>
          </w:tcPr>
          <w:p w14:paraId="1EF83151"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Может указываться уникальный код объекта капитального строите</w:t>
            </w:r>
            <w:r w:rsidR="007E37F3" w:rsidRPr="00264D5D">
              <w:rPr>
                <w:rFonts w:eastAsia="Calibri"/>
                <w:sz w:val="22"/>
                <w:szCs w:val="22"/>
              </w:rPr>
              <w:t>льства или объекта недвижимости</w:t>
            </w:r>
          </w:p>
        </w:tc>
      </w:tr>
      <w:tr w:rsidR="00AD1F54" w:rsidRPr="00264D5D" w14:paraId="3FC6FCAA"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F1E856D" w14:textId="77777777" w:rsidR="00AD1F54" w:rsidRPr="00264D5D" w:rsidRDefault="00941227">
            <w:pPr>
              <w:pStyle w:val="EBTablenorm"/>
              <w:ind w:left="57" w:right="57"/>
              <w:contextualSpacing w:val="0"/>
              <w:rPr>
                <w:rFonts w:eastAsia="Calibri"/>
                <w:sz w:val="22"/>
                <w:szCs w:val="22"/>
              </w:rPr>
            </w:pPr>
            <w:r w:rsidRPr="00264D5D">
              <w:rPr>
                <w:sz w:val="22"/>
                <w:szCs w:val="22"/>
              </w:rPr>
              <w:t>Код ОКС (ОКВ) в соответствии со справочником ГИИС ЭБ</w:t>
            </w:r>
          </w:p>
        </w:tc>
        <w:tc>
          <w:tcPr>
            <w:tcW w:w="1701" w:type="dxa"/>
          </w:tcPr>
          <w:p w14:paraId="10F18144" w14:textId="77777777" w:rsidR="00AD1F54" w:rsidRPr="00264D5D" w:rsidRDefault="00941227">
            <w:pPr>
              <w:pStyle w:val="EBTablenorm"/>
              <w:ind w:left="57" w:right="57"/>
              <w:contextualSpacing w:val="0"/>
              <w:rPr>
                <w:rFonts w:eastAsia="Calibri"/>
                <w:sz w:val="22"/>
                <w:szCs w:val="22"/>
              </w:rPr>
            </w:pPr>
            <w:r w:rsidRPr="00264D5D">
              <w:rPr>
                <w:sz w:val="22"/>
                <w:szCs w:val="22"/>
              </w:rPr>
              <w:t>FaipCode_</w:t>
            </w:r>
            <w:r w:rsidRPr="00264D5D">
              <w:rPr>
                <w:sz w:val="22"/>
                <w:szCs w:val="22"/>
                <w:lang w:val="en-US"/>
              </w:rPr>
              <w:t>EB</w:t>
            </w:r>
          </w:p>
        </w:tc>
        <w:tc>
          <w:tcPr>
            <w:tcW w:w="567" w:type="dxa"/>
          </w:tcPr>
          <w:p w14:paraId="1BF8B8F0" w14:textId="77777777" w:rsidR="00AD1F54" w:rsidRPr="00264D5D" w:rsidRDefault="00941227">
            <w:pPr>
              <w:pStyle w:val="EBTablenorm"/>
              <w:ind w:left="57" w:right="57"/>
              <w:contextualSpacing w:val="0"/>
              <w:jc w:val="center"/>
              <w:rPr>
                <w:rFonts w:eastAsia="Calibri"/>
                <w:sz w:val="22"/>
                <w:szCs w:val="22"/>
              </w:rPr>
            </w:pPr>
            <w:r w:rsidRPr="00264D5D">
              <w:rPr>
                <w:sz w:val="22"/>
                <w:szCs w:val="22"/>
              </w:rPr>
              <w:t>П</w:t>
            </w:r>
          </w:p>
        </w:tc>
        <w:tc>
          <w:tcPr>
            <w:tcW w:w="1134" w:type="dxa"/>
          </w:tcPr>
          <w:p w14:paraId="2FDBA19C" w14:textId="77777777" w:rsidR="00AD1F54" w:rsidRPr="00264D5D" w:rsidRDefault="00941227">
            <w:pPr>
              <w:pStyle w:val="EBTablenorm"/>
              <w:ind w:left="57" w:right="57"/>
              <w:contextualSpacing w:val="0"/>
              <w:jc w:val="left"/>
              <w:rPr>
                <w:rFonts w:eastAsia="Calibri"/>
                <w:sz w:val="22"/>
                <w:szCs w:val="22"/>
              </w:rPr>
            </w:pPr>
            <w:r w:rsidRPr="00264D5D">
              <w:rPr>
                <w:sz w:val="22"/>
                <w:szCs w:val="22"/>
              </w:rPr>
              <w:t>Т(18)</w:t>
            </w:r>
          </w:p>
        </w:tc>
        <w:tc>
          <w:tcPr>
            <w:tcW w:w="567" w:type="dxa"/>
          </w:tcPr>
          <w:p w14:paraId="17D3B005" w14:textId="77777777" w:rsidR="00AD1F54" w:rsidRPr="00264D5D" w:rsidRDefault="00941227">
            <w:pPr>
              <w:pStyle w:val="EBTablenorm"/>
              <w:ind w:left="57" w:right="57"/>
              <w:contextualSpacing w:val="0"/>
              <w:jc w:val="center"/>
              <w:rPr>
                <w:rFonts w:eastAsia="Calibri"/>
                <w:sz w:val="22"/>
                <w:szCs w:val="22"/>
              </w:rPr>
            </w:pPr>
            <w:r w:rsidRPr="00264D5D">
              <w:rPr>
                <w:sz w:val="22"/>
                <w:szCs w:val="22"/>
              </w:rPr>
              <w:t>Н</w:t>
            </w:r>
          </w:p>
        </w:tc>
        <w:tc>
          <w:tcPr>
            <w:tcW w:w="3963" w:type="dxa"/>
          </w:tcPr>
          <w:p w14:paraId="2F147B32" w14:textId="77777777" w:rsidR="00AD1F54" w:rsidRPr="00264D5D" w:rsidRDefault="00941227">
            <w:pPr>
              <w:pStyle w:val="EBTablenorm"/>
              <w:ind w:left="57" w:right="57"/>
              <w:contextualSpacing w:val="0"/>
              <w:rPr>
                <w:rFonts w:eastAsia="Calibri"/>
                <w:sz w:val="22"/>
                <w:szCs w:val="22"/>
              </w:rPr>
            </w:pPr>
            <w:r w:rsidRPr="00264D5D">
              <w:rPr>
                <w:sz w:val="22"/>
                <w:szCs w:val="22"/>
              </w:rPr>
              <w:t>Может указываться уникальный код объекта капитального строительства или объекта недвижимости в соотв</w:t>
            </w:r>
            <w:r w:rsidR="007E37F3" w:rsidRPr="00264D5D">
              <w:rPr>
                <w:sz w:val="22"/>
                <w:szCs w:val="22"/>
              </w:rPr>
              <w:t>етствии со справочником ГИИС ЭБ</w:t>
            </w:r>
          </w:p>
        </w:tc>
      </w:tr>
      <w:tr w:rsidR="00AD1F54" w:rsidRPr="00264D5D" w14:paraId="3379D81A"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4FD7D4E2"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Адрес</w:t>
            </w:r>
          </w:p>
        </w:tc>
        <w:tc>
          <w:tcPr>
            <w:tcW w:w="1701" w:type="dxa"/>
          </w:tcPr>
          <w:p w14:paraId="260EB4C0"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CptlConstrctnAd</w:t>
            </w:r>
            <w:r w:rsidRPr="00264D5D">
              <w:rPr>
                <w:rFonts w:eastAsia="Calibri"/>
                <w:sz w:val="22"/>
                <w:szCs w:val="22"/>
              </w:rPr>
              <w:lastRenderedPageBreak/>
              <w:t>r</w:t>
            </w:r>
          </w:p>
        </w:tc>
        <w:tc>
          <w:tcPr>
            <w:tcW w:w="567" w:type="dxa"/>
          </w:tcPr>
          <w:p w14:paraId="1D38EAA4" w14:textId="77777777" w:rsidR="00AD1F54" w:rsidRPr="00264D5D" w:rsidRDefault="00941227">
            <w:pPr>
              <w:pStyle w:val="EBTablenorm"/>
              <w:ind w:left="57" w:right="57"/>
              <w:contextualSpacing w:val="0"/>
              <w:jc w:val="center"/>
              <w:rPr>
                <w:sz w:val="22"/>
                <w:szCs w:val="22"/>
              </w:rPr>
            </w:pPr>
            <w:r w:rsidRPr="00264D5D">
              <w:rPr>
                <w:sz w:val="22"/>
                <w:szCs w:val="22"/>
              </w:rPr>
              <w:lastRenderedPageBreak/>
              <w:t>П</w:t>
            </w:r>
          </w:p>
        </w:tc>
        <w:tc>
          <w:tcPr>
            <w:tcW w:w="1134" w:type="dxa"/>
          </w:tcPr>
          <w:p w14:paraId="2B8E5498" w14:textId="77777777" w:rsidR="00AD1F54" w:rsidRPr="00264D5D" w:rsidRDefault="00941227">
            <w:pPr>
              <w:pStyle w:val="EBTablenorm"/>
              <w:ind w:left="57" w:right="57"/>
              <w:contextualSpacing w:val="0"/>
              <w:jc w:val="left"/>
              <w:rPr>
                <w:rFonts w:eastAsia="Calibri"/>
                <w:sz w:val="22"/>
                <w:szCs w:val="22"/>
              </w:rPr>
            </w:pPr>
            <w:r w:rsidRPr="00264D5D">
              <w:rPr>
                <w:rFonts w:eastAsia="Calibri"/>
                <w:sz w:val="22"/>
                <w:szCs w:val="22"/>
              </w:rPr>
              <w:t>Т(1-2000)</w:t>
            </w:r>
          </w:p>
        </w:tc>
        <w:tc>
          <w:tcPr>
            <w:tcW w:w="567" w:type="dxa"/>
          </w:tcPr>
          <w:p w14:paraId="0E501BD8" w14:textId="77777777" w:rsidR="00AD1F54" w:rsidRPr="00264D5D" w:rsidRDefault="00941227">
            <w:pPr>
              <w:pStyle w:val="EBTablenorm"/>
              <w:ind w:left="57" w:right="57"/>
              <w:contextualSpacing w:val="0"/>
              <w:jc w:val="center"/>
              <w:rPr>
                <w:rFonts w:eastAsia="Calibri"/>
                <w:sz w:val="22"/>
                <w:szCs w:val="22"/>
              </w:rPr>
            </w:pPr>
            <w:r w:rsidRPr="00264D5D">
              <w:rPr>
                <w:rFonts w:eastAsia="Calibri"/>
                <w:sz w:val="22"/>
                <w:szCs w:val="22"/>
              </w:rPr>
              <w:t>Н</w:t>
            </w:r>
          </w:p>
        </w:tc>
        <w:tc>
          <w:tcPr>
            <w:tcW w:w="3963" w:type="dxa"/>
          </w:tcPr>
          <w:p w14:paraId="3248F208"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Место нахождения</w:t>
            </w:r>
          </w:p>
        </w:tc>
      </w:tr>
      <w:tr w:rsidR="00AD1F54" w:rsidRPr="00264D5D" w14:paraId="43D766BA"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46423F3"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lastRenderedPageBreak/>
              <w:t>Мощность объекта</w:t>
            </w:r>
          </w:p>
        </w:tc>
        <w:tc>
          <w:tcPr>
            <w:tcW w:w="1701" w:type="dxa"/>
          </w:tcPr>
          <w:p w14:paraId="70C41E8E"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CptlConstrctnPwr</w:t>
            </w:r>
          </w:p>
        </w:tc>
        <w:tc>
          <w:tcPr>
            <w:tcW w:w="567" w:type="dxa"/>
          </w:tcPr>
          <w:p w14:paraId="2ED52267"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419583CA" w14:textId="77777777" w:rsidR="00AD1F54" w:rsidRPr="00264D5D" w:rsidRDefault="00941227">
            <w:pPr>
              <w:pStyle w:val="EBTablenorm"/>
              <w:ind w:left="57" w:right="57"/>
              <w:contextualSpacing w:val="0"/>
              <w:jc w:val="left"/>
              <w:rPr>
                <w:rFonts w:eastAsia="Calibri"/>
                <w:sz w:val="22"/>
                <w:szCs w:val="22"/>
              </w:rPr>
            </w:pPr>
            <w:r w:rsidRPr="00264D5D">
              <w:rPr>
                <w:rFonts w:eastAsia="Calibri"/>
                <w:sz w:val="22"/>
                <w:szCs w:val="22"/>
              </w:rPr>
              <w:t>Т(1-100)</w:t>
            </w:r>
          </w:p>
        </w:tc>
        <w:tc>
          <w:tcPr>
            <w:tcW w:w="567" w:type="dxa"/>
          </w:tcPr>
          <w:p w14:paraId="1FEDA2F8" w14:textId="77777777" w:rsidR="00AD1F54" w:rsidRPr="00264D5D" w:rsidRDefault="00941227">
            <w:pPr>
              <w:pStyle w:val="EBTablenorm"/>
              <w:ind w:left="57" w:right="57"/>
              <w:contextualSpacing w:val="0"/>
              <w:jc w:val="center"/>
              <w:rPr>
                <w:rFonts w:eastAsia="Calibri"/>
                <w:sz w:val="22"/>
                <w:szCs w:val="22"/>
              </w:rPr>
            </w:pPr>
            <w:r w:rsidRPr="00264D5D">
              <w:rPr>
                <w:rFonts w:eastAsia="Calibri"/>
                <w:sz w:val="22"/>
                <w:szCs w:val="22"/>
              </w:rPr>
              <w:t>О</w:t>
            </w:r>
          </w:p>
        </w:tc>
        <w:tc>
          <w:tcPr>
            <w:tcW w:w="3963" w:type="dxa"/>
          </w:tcPr>
          <w:p w14:paraId="7A91BB9D"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Мо</w:t>
            </w:r>
            <w:r w:rsidR="007E37F3" w:rsidRPr="00264D5D">
              <w:rPr>
                <w:rFonts w:eastAsia="Calibri"/>
                <w:sz w:val="22"/>
                <w:szCs w:val="22"/>
              </w:rPr>
              <w:t>щность объекта</w:t>
            </w:r>
          </w:p>
        </w:tc>
      </w:tr>
      <w:tr w:rsidR="00AD1F54" w:rsidRPr="00264D5D" w14:paraId="19EFC033"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398CCE9A"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Стоимость</w:t>
            </w:r>
          </w:p>
        </w:tc>
        <w:tc>
          <w:tcPr>
            <w:tcW w:w="1701" w:type="dxa"/>
          </w:tcPr>
          <w:p w14:paraId="69DECC66"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CptlConstrctnCost</w:t>
            </w:r>
          </w:p>
        </w:tc>
        <w:tc>
          <w:tcPr>
            <w:tcW w:w="567" w:type="dxa"/>
          </w:tcPr>
          <w:p w14:paraId="235458D2"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75E03C1D" w14:textId="77777777" w:rsidR="00AD1F54" w:rsidRPr="00264D5D" w:rsidRDefault="00941227">
            <w:pPr>
              <w:pStyle w:val="EBTablenorm"/>
              <w:ind w:left="57" w:right="57"/>
              <w:contextualSpacing w:val="0"/>
              <w:jc w:val="left"/>
              <w:rPr>
                <w:rFonts w:eastAsia="Calibri"/>
                <w:sz w:val="22"/>
                <w:szCs w:val="22"/>
              </w:rPr>
            </w:pPr>
            <w:r w:rsidRPr="00264D5D">
              <w:rPr>
                <w:rFonts w:eastAsia="Calibri"/>
                <w:sz w:val="22"/>
                <w:szCs w:val="22"/>
              </w:rPr>
              <w:t>N(14.2)</w:t>
            </w:r>
          </w:p>
        </w:tc>
        <w:tc>
          <w:tcPr>
            <w:tcW w:w="567" w:type="dxa"/>
          </w:tcPr>
          <w:p w14:paraId="366F1DD8" w14:textId="77777777" w:rsidR="00AD1F54" w:rsidRPr="00264D5D" w:rsidRDefault="00941227">
            <w:pPr>
              <w:pStyle w:val="EBTablenorm"/>
              <w:ind w:left="57" w:right="57"/>
              <w:contextualSpacing w:val="0"/>
              <w:jc w:val="center"/>
              <w:rPr>
                <w:rFonts w:eastAsia="Calibri"/>
                <w:sz w:val="22"/>
                <w:szCs w:val="22"/>
              </w:rPr>
            </w:pPr>
            <w:r w:rsidRPr="00264D5D">
              <w:rPr>
                <w:rFonts w:eastAsia="Calibri"/>
                <w:sz w:val="22"/>
                <w:szCs w:val="22"/>
              </w:rPr>
              <w:t>О</w:t>
            </w:r>
          </w:p>
        </w:tc>
        <w:tc>
          <w:tcPr>
            <w:tcW w:w="3963" w:type="dxa"/>
          </w:tcPr>
          <w:p w14:paraId="5FD8C44E" w14:textId="77777777" w:rsidR="00AD1F54" w:rsidRPr="00264D5D" w:rsidRDefault="007E37F3">
            <w:pPr>
              <w:pStyle w:val="EBTablenorm"/>
              <w:ind w:left="57" w:right="57"/>
              <w:contextualSpacing w:val="0"/>
              <w:rPr>
                <w:rFonts w:eastAsia="Calibri"/>
                <w:sz w:val="22"/>
                <w:szCs w:val="22"/>
              </w:rPr>
            </w:pPr>
            <w:r w:rsidRPr="00264D5D">
              <w:rPr>
                <w:rFonts w:eastAsia="Calibri"/>
                <w:sz w:val="22"/>
                <w:szCs w:val="22"/>
              </w:rPr>
              <w:t>Стоимость (предстоимость)</w:t>
            </w:r>
          </w:p>
        </w:tc>
      </w:tr>
      <w:tr w:rsidR="00AD1F54" w:rsidRPr="00264D5D" w14:paraId="2C71E706"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DAD3288"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Срок строительства объекта капитального строительства</w:t>
            </w:r>
          </w:p>
        </w:tc>
        <w:tc>
          <w:tcPr>
            <w:tcW w:w="1701" w:type="dxa"/>
          </w:tcPr>
          <w:p w14:paraId="18784242"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CptlDate</w:t>
            </w:r>
          </w:p>
        </w:tc>
        <w:tc>
          <w:tcPr>
            <w:tcW w:w="567" w:type="dxa"/>
          </w:tcPr>
          <w:p w14:paraId="58928FF4"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09A96367" w14:textId="77777777" w:rsidR="00AD1F54" w:rsidRPr="00264D5D" w:rsidRDefault="00941227">
            <w:pPr>
              <w:pStyle w:val="EBTablenorm"/>
              <w:ind w:left="57" w:right="57"/>
              <w:contextualSpacing w:val="0"/>
              <w:jc w:val="left"/>
              <w:rPr>
                <w:rFonts w:eastAsia="Calibri"/>
                <w:sz w:val="22"/>
                <w:szCs w:val="22"/>
              </w:rPr>
            </w:pPr>
            <w:r w:rsidRPr="00264D5D">
              <w:rPr>
                <w:rFonts w:eastAsia="Calibri"/>
                <w:sz w:val="22"/>
                <w:szCs w:val="22"/>
              </w:rPr>
              <w:t>Т(1-2000)</w:t>
            </w:r>
          </w:p>
        </w:tc>
        <w:tc>
          <w:tcPr>
            <w:tcW w:w="567" w:type="dxa"/>
          </w:tcPr>
          <w:p w14:paraId="42571F24" w14:textId="77777777" w:rsidR="00AD1F54" w:rsidRPr="00264D5D" w:rsidRDefault="00941227">
            <w:pPr>
              <w:pStyle w:val="EBTablenorm"/>
              <w:ind w:left="57" w:right="57"/>
              <w:contextualSpacing w:val="0"/>
              <w:jc w:val="center"/>
              <w:rPr>
                <w:rFonts w:eastAsia="Calibri"/>
                <w:sz w:val="22"/>
                <w:szCs w:val="22"/>
              </w:rPr>
            </w:pPr>
            <w:r w:rsidRPr="00264D5D">
              <w:rPr>
                <w:rFonts w:eastAsia="Calibri"/>
                <w:sz w:val="22"/>
                <w:szCs w:val="22"/>
              </w:rPr>
              <w:t>О</w:t>
            </w:r>
          </w:p>
        </w:tc>
        <w:tc>
          <w:tcPr>
            <w:tcW w:w="3963" w:type="dxa"/>
          </w:tcPr>
          <w:p w14:paraId="23526ED0"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Сроки строительства объ</w:t>
            </w:r>
            <w:r w:rsidR="007E37F3" w:rsidRPr="00264D5D">
              <w:rPr>
                <w:rFonts w:eastAsia="Calibri"/>
                <w:sz w:val="22"/>
                <w:szCs w:val="22"/>
              </w:rPr>
              <w:t>екта капитального строительства</w:t>
            </w:r>
          </w:p>
        </w:tc>
      </w:tr>
      <w:tr w:rsidR="00AD1F54" w:rsidRPr="00264D5D" w14:paraId="1DB6F1C7"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28B89345"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Направление инвестирования</w:t>
            </w:r>
          </w:p>
        </w:tc>
        <w:tc>
          <w:tcPr>
            <w:tcW w:w="1701" w:type="dxa"/>
          </w:tcPr>
          <w:p w14:paraId="4BF6797C"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CptlDirect</w:t>
            </w:r>
          </w:p>
        </w:tc>
        <w:tc>
          <w:tcPr>
            <w:tcW w:w="567" w:type="dxa"/>
          </w:tcPr>
          <w:p w14:paraId="499F6576"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03042A6D" w14:textId="77777777" w:rsidR="00AD1F54" w:rsidRPr="00264D5D" w:rsidRDefault="00941227">
            <w:pPr>
              <w:pStyle w:val="EBTablenorm"/>
              <w:ind w:left="57" w:right="57"/>
              <w:contextualSpacing w:val="0"/>
              <w:jc w:val="left"/>
              <w:rPr>
                <w:rFonts w:eastAsia="Calibri"/>
                <w:sz w:val="22"/>
                <w:szCs w:val="22"/>
              </w:rPr>
            </w:pPr>
            <w:r w:rsidRPr="00264D5D">
              <w:rPr>
                <w:rFonts w:eastAsia="Calibri"/>
                <w:sz w:val="22"/>
                <w:szCs w:val="22"/>
              </w:rPr>
              <w:t>Т(1-2000)</w:t>
            </w:r>
          </w:p>
        </w:tc>
        <w:tc>
          <w:tcPr>
            <w:tcW w:w="567" w:type="dxa"/>
          </w:tcPr>
          <w:p w14:paraId="51DC40CF" w14:textId="77777777" w:rsidR="00AD1F54" w:rsidRPr="00264D5D" w:rsidRDefault="00941227">
            <w:pPr>
              <w:pStyle w:val="EBTablenorm"/>
              <w:ind w:left="57" w:right="57"/>
              <w:contextualSpacing w:val="0"/>
              <w:jc w:val="center"/>
              <w:rPr>
                <w:rFonts w:eastAsia="Calibri"/>
                <w:sz w:val="22"/>
                <w:szCs w:val="22"/>
              </w:rPr>
            </w:pPr>
            <w:r w:rsidRPr="00264D5D">
              <w:rPr>
                <w:rFonts w:eastAsia="Calibri"/>
                <w:sz w:val="22"/>
                <w:szCs w:val="22"/>
              </w:rPr>
              <w:t>О</w:t>
            </w:r>
          </w:p>
        </w:tc>
        <w:tc>
          <w:tcPr>
            <w:tcW w:w="3963" w:type="dxa"/>
          </w:tcPr>
          <w:p w14:paraId="09AF1B4C" w14:textId="77777777" w:rsidR="00AD1F54" w:rsidRPr="00264D5D" w:rsidRDefault="007E37F3">
            <w:pPr>
              <w:pStyle w:val="EBTablenorm"/>
              <w:ind w:left="57" w:right="57"/>
              <w:contextualSpacing w:val="0"/>
              <w:rPr>
                <w:rFonts w:eastAsia="Calibri"/>
                <w:sz w:val="22"/>
                <w:szCs w:val="22"/>
              </w:rPr>
            </w:pPr>
            <w:r w:rsidRPr="00264D5D">
              <w:rPr>
                <w:rFonts w:eastAsia="Calibri"/>
                <w:sz w:val="22"/>
                <w:szCs w:val="22"/>
              </w:rPr>
              <w:t>Направление инвестирования</w:t>
            </w:r>
          </w:p>
        </w:tc>
      </w:tr>
      <w:tr w:rsidR="00AD1F54" w:rsidRPr="00264D5D" w14:paraId="77C5A11A"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E66177E"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Информация о собственнике объекта капитального строительства</w:t>
            </w:r>
          </w:p>
        </w:tc>
        <w:tc>
          <w:tcPr>
            <w:tcW w:w="1701" w:type="dxa"/>
          </w:tcPr>
          <w:p w14:paraId="7D9FF916"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CptlInform</w:t>
            </w:r>
          </w:p>
        </w:tc>
        <w:tc>
          <w:tcPr>
            <w:tcW w:w="567" w:type="dxa"/>
          </w:tcPr>
          <w:p w14:paraId="7D23C9A8"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60FC3E38" w14:textId="77777777" w:rsidR="00AD1F54" w:rsidRPr="00264D5D" w:rsidRDefault="00941227">
            <w:pPr>
              <w:pStyle w:val="EBTablenorm"/>
              <w:ind w:left="57" w:right="57"/>
              <w:contextualSpacing w:val="0"/>
              <w:jc w:val="left"/>
              <w:rPr>
                <w:rFonts w:eastAsia="Calibri"/>
                <w:sz w:val="22"/>
                <w:szCs w:val="22"/>
              </w:rPr>
            </w:pPr>
            <w:r w:rsidRPr="00264D5D">
              <w:rPr>
                <w:rFonts w:eastAsia="Calibri"/>
                <w:sz w:val="22"/>
                <w:szCs w:val="22"/>
              </w:rPr>
              <w:t>Т(1-2000)</w:t>
            </w:r>
          </w:p>
        </w:tc>
        <w:tc>
          <w:tcPr>
            <w:tcW w:w="567" w:type="dxa"/>
          </w:tcPr>
          <w:p w14:paraId="47EBE4DA" w14:textId="77777777" w:rsidR="00AD1F54" w:rsidRPr="00264D5D" w:rsidRDefault="00941227">
            <w:pPr>
              <w:pStyle w:val="EBTablenorm"/>
              <w:ind w:left="57" w:right="57"/>
              <w:contextualSpacing w:val="0"/>
              <w:jc w:val="center"/>
              <w:rPr>
                <w:rFonts w:eastAsia="Calibri"/>
                <w:sz w:val="22"/>
                <w:szCs w:val="22"/>
              </w:rPr>
            </w:pPr>
            <w:r w:rsidRPr="00264D5D">
              <w:rPr>
                <w:rFonts w:eastAsia="Calibri"/>
                <w:sz w:val="22"/>
                <w:szCs w:val="22"/>
              </w:rPr>
              <w:t>О</w:t>
            </w:r>
          </w:p>
        </w:tc>
        <w:tc>
          <w:tcPr>
            <w:tcW w:w="3963" w:type="dxa"/>
          </w:tcPr>
          <w:p w14:paraId="3FB7585C"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Информация о собственнике объ</w:t>
            </w:r>
            <w:r w:rsidR="007E37F3" w:rsidRPr="00264D5D">
              <w:rPr>
                <w:rFonts w:eastAsia="Calibri"/>
                <w:sz w:val="22"/>
                <w:szCs w:val="22"/>
              </w:rPr>
              <w:t>екта капитального строительства</w:t>
            </w:r>
          </w:p>
        </w:tc>
      </w:tr>
    </w:tbl>
    <w:p w14:paraId="73C260EC" w14:textId="77777777" w:rsidR="00AD1F54" w:rsidRPr="00264D5D" w:rsidRDefault="00941227">
      <w:pPr>
        <w:pStyle w:val="31"/>
      </w:pPr>
      <w:bookmarkStart w:id="2008" w:name="_Toc496787591"/>
      <w:bookmarkStart w:id="2009" w:name="_Toc496787592"/>
      <w:bookmarkStart w:id="2010" w:name="_Toc496787593"/>
      <w:bookmarkStart w:id="2011" w:name="_Toc496787616"/>
      <w:bookmarkStart w:id="2012" w:name="_Toc496787617"/>
      <w:bookmarkStart w:id="2013" w:name="_Toc496787618"/>
      <w:bookmarkStart w:id="2014" w:name="_Toc496787673"/>
      <w:bookmarkStart w:id="2015" w:name="_Toc496787674"/>
      <w:bookmarkStart w:id="2016" w:name="_Toc496787675"/>
      <w:bookmarkStart w:id="2017" w:name="_Toc493090506"/>
      <w:bookmarkStart w:id="2018" w:name="_Toc496984039"/>
      <w:bookmarkStart w:id="2019" w:name="_Toc219309672"/>
      <w:bookmarkEnd w:id="2008"/>
      <w:bookmarkEnd w:id="2009"/>
      <w:bookmarkEnd w:id="2010"/>
      <w:bookmarkEnd w:id="2011"/>
      <w:bookmarkEnd w:id="2012"/>
      <w:bookmarkEnd w:id="2013"/>
      <w:bookmarkEnd w:id="2014"/>
      <w:bookmarkEnd w:id="2015"/>
      <w:bookmarkEnd w:id="2016"/>
      <w:r w:rsidRPr="00264D5D">
        <w:t>Описание комплексного типа «tShedule»</w:t>
      </w:r>
      <w:bookmarkEnd w:id="2017"/>
      <w:bookmarkEnd w:id="2018"/>
      <w:bookmarkEnd w:id="2019"/>
    </w:p>
    <w:p w14:paraId="030D2EF4" w14:textId="77777777" w:rsidR="00AD1F54" w:rsidRPr="00264D5D" w:rsidRDefault="00941227">
      <w:pPr>
        <w:spacing w:before="60" w:after="120"/>
        <w:ind w:firstLine="567"/>
        <w:rPr>
          <w:rFonts w:eastAsia="Calibri"/>
          <w:szCs w:val="24"/>
        </w:rPr>
      </w:pPr>
      <w:r w:rsidRPr="00264D5D">
        <w:rPr>
          <w:rFonts w:eastAsia="Calibri"/>
          <w:szCs w:val="24"/>
        </w:rPr>
        <w:t xml:space="preserve">Описание комплексного типа «tShedule» </w:t>
      </w:r>
      <w:r w:rsidRPr="00264D5D">
        <w:t>блока</w:t>
      </w:r>
      <w:r w:rsidRPr="00264D5D">
        <w:rPr>
          <w:rFonts w:eastAsia="Calibri"/>
          <w:szCs w:val="24"/>
        </w:rPr>
        <w:t xml:space="preserve"> «График перечисления субсидии, бюджетных инвестиций».</w:t>
      </w:r>
    </w:p>
    <w:p w14:paraId="2BCF0BCD" w14:textId="6A13F5AC"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2020" w:name="_Ref494365248"/>
      <w:bookmarkStart w:id="2021" w:name="_Toc30503389"/>
      <w:bookmarkStart w:id="2022" w:name="_Toc30507987"/>
      <w:bookmarkStart w:id="2023" w:name="_Toc219309240"/>
      <w:r w:rsidR="008D797C">
        <w:rPr>
          <w:rFonts w:eastAsia="Calibri"/>
          <w:noProof/>
          <w:szCs w:val="24"/>
        </w:rPr>
        <w:t>210</w:t>
      </w:r>
      <w:bookmarkEnd w:id="2020"/>
      <w:r w:rsidRPr="00264D5D">
        <w:rPr>
          <w:rFonts w:eastAsia="Calibri"/>
          <w:szCs w:val="24"/>
        </w:rPr>
        <w:fldChar w:fldCharType="end"/>
      </w:r>
      <w:r w:rsidRPr="00264D5D">
        <w:rPr>
          <w:rFonts w:eastAsia="Calibri"/>
          <w:szCs w:val="24"/>
        </w:rPr>
        <w:t xml:space="preserve"> – Описание комплексного типа «tShedule»</w:t>
      </w:r>
      <w:bookmarkEnd w:id="2021"/>
      <w:bookmarkEnd w:id="2022"/>
      <w:bookmarkEnd w:id="2023"/>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34E8D61C"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4104840D" w14:textId="77777777" w:rsidR="00AD1F54" w:rsidRPr="00264D5D" w:rsidRDefault="00941227">
            <w:pPr>
              <w:pStyle w:val="EBTableHead"/>
              <w:ind w:left="57" w:right="57"/>
              <w:contextualSpacing w:val="0"/>
              <w:rPr>
                <w:sz w:val="22"/>
                <w:szCs w:val="22"/>
              </w:rPr>
            </w:pPr>
            <w:r w:rsidRPr="00264D5D">
              <w:rPr>
                <w:bCs w:val="0"/>
                <w:sz w:val="22"/>
                <w:szCs w:val="22"/>
              </w:rPr>
              <w:t>Наименование элемента</w:t>
            </w:r>
          </w:p>
        </w:tc>
        <w:tc>
          <w:tcPr>
            <w:tcW w:w="1701" w:type="dxa"/>
          </w:tcPr>
          <w:p w14:paraId="654AC9A0" w14:textId="77777777" w:rsidR="00AD1F54" w:rsidRPr="00264D5D" w:rsidRDefault="00941227">
            <w:pPr>
              <w:pStyle w:val="EBTableHead"/>
              <w:ind w:left="57" w:right="57"/>
              <w:contextualSpacing w:val="0"/>
              <w:rPr>
                <w:sz w:val="22"/>
                <w:szCs w:val="22"/>
              </w:rPr>
            </w:pPr>
            <w:r w:rsidRPr="00264D5D">
              <w:rPr>
                <w:bCs w:val="0"/>
                <w:sz w:val="22"/>
                <w:szCs w:val="22"/>
              </w:rPr>
              <w:t>Сокращенное наименование (код) элемента</w:t>
            </w:r>
          </w:p>
        </w:tc>
        <w:tc>
          <w:tcPr>
            <w:tcW w:w="567" w:type="dxa"/>
          </w:tcPr>
          <w:p w14:paraId="0125F657" w14:textId="77777777" w:rsidR="00AD1F54" w:rsidRPr="00264D5D" w:rsidRDefault="00941227">
            <w:pPr>
              <w:pStyle w:val="EBTableHead"/>
              <w:ind w:left="57" w:right="57"/>
              <w:contextualSpacing w:val="0"/>
              <w:rPr>
                <w:sz w:val="22"/>
                <w:szCs w:val="22"/>
              </w:rPr>
            </w:pPr>
            <w:r w:rsidRPr="00264D5D">
              <w:rPr>
                <w:bCs w:val="0"/>
                <w:sz w:val="22"/>
                <w:szCs w:val="22"/>
              </w:rPr>
              <w:t>Тип</w:t>
            </w:r>
          </w:p>
        </w:tc>
        <w:tc>
          <w:tcPr>
            <w:tcW w:w="1134" w:type="dxa"/>
          </w:tcPr>
          <w:p w14:paraId="28681AB5" w14:textId="77777777" w:rsidR="00AD1F54" w:rsidRPr="00264D5D" w:rsidRDefault="00941227">
            <w:pPr>
              <w:pStyle w:val="EBTableHead"/>
              <w:ind w:left="57" w:right="57"/>
              <w:contextualSpacing w:val="0"/>
              <w:rPr>
                <w:sz w:val="22"/>
                <w:szCs w:val="22"/>
              </w:rPr>
            </w:pPr>
            <w:r w:rsidRPr="00264D5D">
              <w:rPr>
                <w:bCs w:val="0"/>
                <w:sz w:val="22"/>
                <w:szCs w:val="22"/>
              </w:rPr>
              <w:t>Формат элемента</w:t>
            </w:r>
          </w:p>
        </w:tc>
        <w:tc>
          <w:tcPr>
            <w:tcW w:w="567" w:type="dxa"/>
          </w:tcPr>
          <w:p w14:paraId="3CD566F3" w14:textId="77777777" w:rsidR="00AD1F54" w:rsidRPr="00264D5D" w:rsidRDefault="00941227">
            <w:pPr>
              <w:spacing w:before="60" w:after="60"/>
              <w:ind w:left="57" w:right="57"/>
              <w:jc w:val="center"/>
              <w:rPr>
                <w:b/>
                <w:bCs/>
                <w:sz w:val="22"/>
                <w:szCs w:val="22"/>
              </w:rPr>
            </w:pPr>
            <w:r w:rsidRPr="00264D5D">
              <w:rPr>
                <w:b/>
                <w:bCs/>
                <w:sz w:val="22"/>
                <w:szCs w:val="22"/>
              </w:rPr>
              <w:t>Обязательность</w:t>
            </w:r>
          </w:p>
        </w:tc>
        <w:tc>
          <w:tcPr>
            <w:tcW w:w="3963" w:type="dxa"/>
          </w:tcPr>
          <w:p w14:paraId="61DB4B69" w14:textId="77777777" w:rsidR="00AD1F54" w:rsidRPr="00264D5D" w:rsidRDefault="00941227">
            <w:pPr>
              <w:pStyle w:val="EBTableHead"/>
              <w:ind w:left="57" w:right="57"/>
              <w:contextualSpacing w:val="0"/>
              <w:rPr>
                <w:sz w:val="22"/>
                <w:szCs w:val="22"/>
              </w:rPr>
            </w:pPr>
            <w:r w:rsidRPr="00264D5D">
              <w:rPr>
                <w:bCs w:val="0"/>
                <w:sz w:val="22"/>
                <w:szCs w:val="22"/>
              </w:rPr>
              <w:t>Дополнительная информация</w:t>
            </w:r>
          </w:p>
        </w:tc>
      </w:tr>
      <w:tr w:rsidR="00AD1F54" w:rsidRPr="00264D5D" w14:paraId="253ACDE1"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36AB747" w14:textId="77777777" w:rsidR="00AD1F54" w:rsidRPr="00264D5D" w:rsidRDefault="00941227">
            <w:pPr>
              <w:pStyle w:val="EBTablenorm"/>
              <w:ind w:left="57" w:right="57"/>
              <w:contextualSpacing w:val="0"/>
              <w:rPr>
                <w:rFonts w:eastAsia="Calibri"/>
                <w:sz w:val="22"/>
                <w:szCs w:val="22"/>
              </w:rPr>
            </w:pPr>
            <w:r w:rsidRPr="00264D5D">
              <w:rPr>
                <w:sz w:val="22"/>
                <w:szCs w:val="22"/>
              </w:rPr>
              <w:t>Платежи по КБК</w:t>
            </w:r>
          </w:p>
        </w:tc>
        <w:tc>
          <w:tcPr>
            <w:tcW w:w="1701" w:type="dxa"/>
          </w:tcPr>
          <w:p w14:paraId="10060719" w14:textId="77777777" w:rsidR="00AD1F54" w:rsidRPr="00264D5D" w:rsidRDefault="00941227">
            <w:pPr>
              <w:pStyle w:val="EBTablenorm"/>
              <w:ind w:left="57" w:right="57"/>
              <w:contextualSpacing w:val="0"/>
              <w:rPr>
                <w:rFonts w:eastAsia="Calibri"/>
                <w:sz w:val="22"/>
                <w:szCs w:val="22"/>
              </w:rPr>
            </w:pPr>
            <w:r w:rsidRPr="00264D5D">
              <w:rPr>
                <w:sz w:val="22"/>
                <w:szCs w:val="22"/>
                <w:lang w:val="en-US"/>
              </w:rPr>
              <w:t>SheduleKbkInfs</w:t>
            </w:r>
          </w:p>
        </w:tc>
        <w:tc>
          <w:tcPr>
            <w:tcW w:w="567" w:type="dxa"/>
          </w:tcPr>
          <w:p w14:paraId="524AF790" w14:textId="77777777" w:rsidR="00AD1F54" w:rsidRPr="00264D5D" w:rsidRDefault="00941227">
            <w:pPr>
              <w:pStyle w:val="EBTablenorm"/>
              <w:ind w:left="57" w:right="57"/>
              <w:contextualSpacing w:val="0"/>
              <w:jc w:val="center"/>
              <w:rPr>
                <w:rFonts w:eastAsia="Calibri"/>
                <w:sz w:val="22"/>
                <w:szCs w:val="22"/>
              </w:rPr>
            </w:pPr>
            <w:r w:rsidRPr="00264D5D">
              <w:rPr>
                <w:sz w:val="22"/>
                <w:szCs w:val="22"/>
                <w:lang w:val="en-US"/>
              </w:rPr>
              <w:t>С</w:t>
            </w:r>
          </w:p>
        </w:tc>
        <w:tc>
          <w:tcPr>
            <w:tcW w:w="1134" w:type="dxa"/>
          </w:tcPr>
          <w:p w14:paraId="210832F8" w14:textId="77777777" w:rsidR="00AD1F54" w:rsidRPr="00264D5D" w:rsidRDefault="00941227">
            <w:pPr>
              <w:pStyle w:val="EBTablenorm"/>
              <w:ind w:left="57" w:right="57"/>
              <w:contextualSpacing w:val="0"/>
              <w:jc w:val="left"/>
              <w:rPr>
                <w:rFonts w:eastAsia="Calibri"/>
                <w:sz w:val="22"/>
                <w:szCs w:val="22"/>
              </w:rPr>
            </w:pPr>
            <w:r w:rsidRPr="00264D5D">
              <w:rPr>
                <w:sz w:val="22"/>
                <w:szCs w:val="22"/>
                <w:lang w:val="en-US"/>
              </w:rPr>
              <w:t>tSheduleKbkInfs</w:t>
            </w:r>
          </w:p>
        </w:tc>
        <w:tc>
          <w:tcPr>
            <w:tcW w:w="567" w:type="dxa"/>
          </w:tcPr>
          <w:p w14:paraId="52981DE6" w14:textId="77777777" w:rsidR="00AD1F54" w:rsidRPr="00264D5D" w:rsidRDefault="00941227">
            <w:pPr>
              <w:pStyle w:val="EBTablenorm"/>
              <w:ind w:left="57" w:right="57"/>
              <w:contextualSpacing w:val="0"/>
              <w:jc w:val="center"/>
              <w:rPr>
                <w:rFonts w:eastAsia="Calibri"/>
                <w:sz w:val="22"/>
                <w:szCs w:val="22"/>
              </w:rPr>
            </w:pPr>
            <w:r w:rsidRPr="00264D5D">
              <w:rPr>
                <w:sz w:val="22"/>
                <w:szCs w:val="22"/>
              </w:rPr>
              <w:t>О</w:t>
            </w:r>
          </w:p>
        </w:tc>
        <w:tc>
          <w:tcPr>
            <w:tcW w:w="3963" w:type="dxa"/>
          </w:tcPr>
          <w:p w14:paraId="30BFD72C" w14:textId="77777777" w:rsidR="00AD1F54" w:rsidRPr="00264D5D" w:rsidRDefault="00941227">
            <w:pPr>
              <w:pStyle w:val="EBTablenorm"/>
              <w:ind w:left="57" w:right="57"/>
              <w:contextualSpacing w:val="0"/>
              <w:rPr>
                <w:sz w:val="22"/>
                <w:szCs w:val="22"/>
              </w:rPr>
            </w:pPr>
            <w:r w:rsidRPr="00264D5D">
              <w:rPr>
                <w:sz w:val="22"/>
                <w:szCs w:val="22"/>
              </w:rPr>
              <w:t xml:space="preserve">Информация по платежам по КБК. </w:t>
            </w:r>
          </w:p>
          <w:p w14:paraId="4AAE8BED" w14:textId="2291DEB4" w:rsidR="00AD1F54" w:rsidRPr="00264D5D" w:rsidRDefault="00941227">
            <w:pPr>
              <w:pStyle w:val="EBTablenorm"/>
              <w:ind w:left="57" w:right="57"/>
              <w:contextualSpacing w:val="0"/>
              <w:rPr>
                <w:rFonts w:eastAsia="Calibri"/>
                <w:sz w:val="22"/>
                <w:szCs w:val="22"/>
              </w:rPr>
            </w:pPr>
            <w:r w:rsidRPr="00264D5D">
              <w:rPr>
                <w:sz w:val="22"/>
                <w:szCs w:val="22"/>
              </w:rPr>
              <w:t>Состав элемента представлен в таблице</w:t>
            </w:r>
            <w:r w:rsidRPr="00264D5D">
              <w:rPr>
                <w:b/>
                <w:sz w:val="22"/>
                <w:szCs w:val="22"/>
              </w:rPr>
              <w:t xml:space="preserve"> </w:t>
            </w:r>
            <w:r w:rsidRPr="00264D5D">
              <w:rPr>
                <w:b/>
                <w:sz w:val="22"/>
                <w:szCs w:val="22"/>
              </w:rPr>
              <w:fldChar w:fldCharType="begin"/>
            </w:r>
            <w:r w:rsidRPr="00264D5D">
              <w:rPr>
                <w:b/>
                <w:sz w:val="22"/>
                <w:szCs w:val="22"/>
              </w:rPr>
              <w:instrText xml:space="preserve"> REF _Ref494365366 \h  \* MERGEFORMAT </w:instrText>
            </w:r>
            <w:r w:rsidRPr="00264D5D">
              <w:rPr>
                <w:b/>
                <w:sz w:val="22"/>
                <w:szCs w:val="22"/>
              </w:rPr>
            </w:r>
            <w:r w:rsidRPr="00264D5D">
              <w:rPr>
                <w:b/>
                <w:sz w:val="22"/>
                <w:szCs w:val="22"/>
              </w:rPr>
              <w:fldChar w:fldCharType="separate"/>
            </w:r>
            <w:r w:rsidR="008D797C" w:rsidRPr="008D797C">
              <w:rPr>
                <w:rFonts w:eastAsia="Calibri"/>
                <w:b/>
                <w:sz w:val="22"/>
                <w:szCs w:val="22"/>
              </w:rPr>
              <w:t>211</w:t>
            </w:r>
            <w:r w:rsidRPr="00264D5D">
              <w:rPr>
                <w:b/>
                <w:sz w:val="22"/>
                <w:szCs w:val="22"/>
              </w:rPr>
              <w:fldChar w:fldCharType="end"/>
            </w:r>
          </w:p>
        </w:tc>
      </w:tr>
      <w:tr w:rsidR="00AD1F54" w:rsidRPr="00264D5D" w14:paraId="0DEFE7C1"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5BF8EEDA" w14:textId="77777777" w:rsidR="00AD1F54" w:rsidRPr="00264D5D" w:rsidRDefault="00941227">
            <w:pPr>
              <w:pStyle w:val="EBTablenorm"/>
              <w:ind w:left="57" w:right="57"/>
              <w:contextualSpacing w:val="0"/>
              <w:rPr>
                <w:rFonts w:eastAsia="Calibri"/>
                <w:sz w:val="22"/>
                <w:szCs w:val="22"/>
              </w:rPr>
            </w:pPr>
            <w:r w:rsidRPr="00264D5D">
              <w:rPr>
                <w:sz w:val="22"/>
                <w:szCs w:val="22"/>
              </w:rPr>
              <w:t>Код валюты платежа по ОКВ</w:t>
            </w:r>
          </w:p>
        </w:tc>
        <w:tc>
          <w:tcPr>
            <w:tcW w:w="1701" w:type="dxa"/>
          </w:tcPr>
          <w:p w14:paraId="77F01149" w14:textId="77777777" w:rsidR="00AD1F54" w:rsidRPr="00264D5D" w:rsidRDefault="00941227">
            <w:pPr>
              <w:pStyle w:val="EBTablenorm"/>
              <w:ind w:left="57" w:right="57"/>
              <w:contextualSpacing w:val="0"/>
              <w:rPr>
                <w:sz w:val="22"/>
                <w:szCs w:val="22"/>
                <w:lang w:val="en-US"/>
              </w:rPr>
            </w:pPr>
            <w:r w:rsidRPr="00264D5D">
              <w:rPr>
                <w:sz w:val="22"/>
                <w:szCs w:val="22"/>
                <w:lang w:val="en-US"/>
              </w:rPr>
              <w:t>SheduleCurCode</w:t>
            </w:r>
          </w:p>
        </w:tc>
        <w:tc>
          <w:tcPr>
            <w:tcW w:w="567" w:type="dxa"/>
          </w:tcPr>
          <w:p w14:paraId="4FD41388"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15FE258C"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Т(3)</w:t>
            </w:r>
          </w:p>
        </w:tc>
        <w:tc>
          <w:tcPr>
            <w:tcW w:w="567" w:type="dxa"/>
          </w:tcPr>
          <w:p w14:paraId="51F316DE"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75C12686" w14:textId="77777777" w:rsidR="00AD1F54" w:rsidRPr="00264D5D" w:rsidRDefault="00941227">
            <w:pPr>
              <w:pStyle w:val="EBTablenorm"/>
              <w:ind w:left="57" w:right="57"/>
              <w:contextualSpacing w:val="0"/>
              <w:rPr>
                <w:sz w:val="22"/>
                <w:szCs w:val="22"/>
              </w:rPr>
            </w:pPr>
            <w:r w:rsidRPr="00264D5D">
              <w:rPr>
                <w:sz w:val="22"/>
                <w:szCs w:val="22"/>
              </w:rPr>
              <w:t>Код валюты платежа в соотве</w:t>
            </w:r>
            <w:r w:rsidR="007E37F3" w:rsidRPr="00264D5D">
              <w:rPr>
                <w:sz w:val="22"/>
                <w:szCs w:val="22"/>
              </w:rPr>
              <w:t>тствии с ОКВ</w:t>
            </w:r>
          </w:p>
        </w:tc>
      </w:tr>
      <w:tr w:rsidR="00AD1F54" w:rsidRPr="00264D5D" w14:paraId="379C6FF3"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79AA15E" w14:textId="77777777" w:rsidR="00AD1F54" w:rsidRPr="00264D5D" w:rsidRDefault="00941227">
            <w:pPr>
              <w:pStyle w:val="EBTablenorm"/>
              <w:ind w:left="57" w:right="57"/>
              <w:contextualSpacing w:val="0"/>
              <w:rPr>
                <w:rFonts w:eastAsia="Calibri"/>
                <w:sz w:val="22"/>
                <w:szCs w:val="22"/>
              </w:rPr>
            </w:pPr>
            <w:r w:rsidRPr="00264D5D">
              <w:rPr>
                <w:sz w:val="22"/>
                <w:szCs w:val="22"/>
              </w:rPr>
              <w:t>Наименование валюты платежа по ОКВ</w:t>
            </w:r>
          </w:p>
        </w:tc>
        <w:tc>
          <w:tcPr>
            <w:tcW w:w="1701" w:type="dxa"/>
          </w:tcPr>
          <w:p w14:paraId="122D6D37" w14:textId="77777777" w:rsidR="00AD1F54" w:rsidRPr="00264D5D" w:rsidRDefault="00941227">
            <w:pPr>
              <w:pStyle w:val="EBTablenorm"/>
              <w:ind w:left="57" w:right="57"/>
              <w:contextualSpacing w:val="0"/>
              <w:rPr>
                <w:sz w:val="22"/>
                <w:szCs w:val="22"/>
                <w:lang w:val="en-US"/>
              </w:rPr>
            </w:pPr>
            <w:r w:rsidRPr="00264D5D">
              <w:rPr>
                <w:sz w:val="22"/>
                <w:szCs w:val="22"/>
                <w:lang w:val="en-US"/>
              </w:rPr>
              <w:t>SheduleCurName</w:t>
            </w:r>
          </w:p>
        </w:tc>
        <w:tc>
          <w:tcPr>
            <w:tcW w:w="567" w:type="dxa"/>
          </w:tcPr>
          <w:p w14:paraId="73C39731"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318C2631"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Т(1-2000)</w:t>
            </w:r>
          </w:p>
        </w:tc>
        <w:tc>
          <w:tcPr>
            <w:tcW w:w="567" w:type="dxa"/>
          </w:tcPr>
          <w:p w14:paraId="68A1F526"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28469A5B" w14:textId="77777777" w:rsidR="00AD1F54" w:rsidRPr="00264D5D" w:rsidRDefault="00941227">
            <w:pPr>
              <w:pStyle w:val="EBTablenorm"/>
              <w:ind w:left="57" w:right="57"/>
              <w:contextualSpacing w:val="0"/>
              <w:rPr>
                <w:sz w:val="22"/>
                <w:szCs w:val="22"/>
              </w:rPr>
            </w:pPr>
            <w:r w:rsidRPr="00264D5D">
              <w:rPr>
                <w:sz w:val="22"/>
                <w:szCs w:val="22"/>
              </w:rPr>
              <w:t>Наименование валю</w:t>
            </w:r>
            <w:r w:rsidR="007E37F3" w:rsidRPr="00264D5D">
              <w:rPr>
                <w:sz w:val="22"/>
                <w:szCs w:val="22"/>
              </w:rPr>
              <w:t>ты платежа в соответствии с ОКВ</w:t>
            </w:r>
          </w:p>
        </w:tc>
      </w:tr>
      <w:tr w:rsidR="00AD1F54" w:rsidRPr="00264D5D" w14:paraId="4145F244"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077F7D6B" w14:textId="77777777" w:rsidR="00AD1F54" w:rsidRPr="00264D5D" w:rsidRDefault="00941227">
            <w:pPr>
              <w:pStyle w:val="EBTablenorm"/>
              <w:ind w:left="57" w:right="57"/>
              <w:contextualSpacing w:val="0"/>
              <w:rPr>
                <w:rFonts w:eastAsia="Calibri"/>
                <w:sz w:val="22"/>
                <w:szCs w:val="22"/>
              </w:rPr>
            </w:pPr>
            <w:r w:rsidRPr="00264D5D">
              <w:rPr>
                <w:sz w:val="22"/>
                <w:szCs w:val="22"/>
              </w:rPr>
              <w:t>Курс иностранной валюты</w:t>
            </w:r>
          </w:p>
        </w:tc>
        <w:tc>
          <w:tcPr>
            <w:tcW w:w="1701" w:type="dxa"/>
          </w:tcPr>
          <w:p w14:paraId="40FB37EE" w14:textId="77777777" w:rsidR="00AD1F54" w:rsidRPr="00264D5D" w:rsidRDefault="00941227">
            <w:pPr>
              <w:pStyle w:val="EBTablenorm"/>
              <w:ind w:left="57" w:right="57"/>
              <w:contextualSpacing w:val="0"/>
              <w:rPr>
                <w:sz w:val="22"/>
                <w:szCs w:val="22"/>
                <w:lang w:val="en-US"/>
              </w:rPr>
            </w:pPr>
            <w:r w:rsidRPr="00264D5D">
              <w:rPr>
                <w:sz w:val="22"/>
                <w:szCs w:val="22"/>
                <w:lang w:val="en-US"/>
              </w:rPr>
              <w:t>SheduleFrgnExch</w:t>
            </w:r>
          </w:p>
        </w:tc>
        <w:tc>
          <w:tcPr>
            <w:tcW w:w="567" w:type="dxa"/>
          </w:tcPr>
          <w:p w14:paraId="009D78EF"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343529A3" w14:textId="77777777" w:rsidR="00AD1F54" w:rsidRPr="00264D5D" w:rsidRDefault="00941227">
            <w:pPr>
              <w:pStyle w:val="EBTablenorm"/>
              <w:ind w:left="57" w:right="57"/>
              <w:contextualSpacing w:val="0"/>
              <w:jc w:val="left"/>
              <w:rPr>
                <w:sz w:val="22"/>
                <w:szCs w:val="22"/>
                <w:lang w:val="en-US"/>
              </w:rPr>
            </w:pPr>
            <w:r w:rsidRPr="00264D5D">
              <w:rPr>
                <w:rFonts w:eastAsia="Calibri"/>
                <w:sz w:val="22"/>
                <w:szCs w:val="22"/>
              </w:rPr>
              <w:t>N(16.4)</w:t>
            </w:r>
          </w:p>
        </w:tc>
        <w:tc>
          <w:tcPr>
            <w:tcW w:w="567" w:type="dxa"/>
          </w:tcPr>
          <w:p w14:paraId="768B309F" w14:textId="77777777" w:rsidR="00AD1F54" w:rsidRPr="00264D5D" w:rsidRDefault="00941227">
            <w:pPr>
              <w:pStyle w:val="EBTablenorm"/>
              <w:ind w:left="57" w:right="57"/>
              <w:contextualSpacing w:val="0"/>
              <w:jc w:val="center"/>
              <w:rPr>
                <w:sz w:val="22"/>
                <w:szCs w:val="22"/>
              </w:rPr>
            </w:pPr>
            <w:r w:rsidRPr="00264D5D">
              <w:rPr>
                <w:sz w:val="22"/>
                <w:szCs w:val="22"/>
                <w:lang w:val="en-US"/>
              </w:rPr>
              <w:t>Н</w:t>
            </w:r>
          </w:p>
        </w:tc>
        <w:tc>
          <w:tcPr>
            <w:tcW w:w="3963" w:type="dxa"/>
          </w:tcPr>
          <w:p w14:paraId="54D54A5F" w14:textId="77777777" w:rsidR="00AD1F54" w:rsidRPr="00264D5D" w:rsidRDefault="00941227">
            <w:pPr>
              <w:pStyle w:val="EBTablenorm"/>
              <w:ind w:left="57" w:right="57"/>
              <w:contextualSpacing w:val="0"/>
              <w:rPr>
                <w:sz w:val="22"/>
                <w:szCs w:val="22"/>
              </w:rPr>
            </w:pPr>
            <w:r w:rsidRPr="00264D5D">
              <w:rPr>
                <w:sz w:val="22"/>
                <w:szCs w:val="22"/>
              </w:rPr>
              <w:t xml:space="preserve">Курс иностранной валюты по отношению к рублю. </w:t>
            </w:r>
          </w:p>
          <w:p w14:paraId="1592F176" w14:textId="77777777" w:rsidR="00AD1F54" w:rsidRPr="00264D5D" w:rsidRDefault="00941227">
            <w:pPr>
              <w:pStyle w:val="EBTablenorm"/>
              <w:ind w:left="57" w:right="57"/>
              <w:contextualSpacing w:val="0"/>
              <w:rPr>
                <w:sz w:val="22"/>
                <w:szCs w:val="22"/>
              </w:rPr>
            </w:pPr>
            <w:r w:rsidRPr="00264D5D">
              <w:rPr>
                <w:sz w:val="22"/>
                <w:szCs w:val="22"/>
              </w:rPr>
              <w:t>Поле не обязательно для заполнения в случае, если значение эелемента «Код вал</w:t>
            </w:r>
            <w:r w:rsidR="007E37F3" w:rsidRPr="00264D5D">
              <w:rPr>
                <w:sz w:val="22"/>
                <w:szCs w:val="22"/>
              </w:rPr>
              <w:t>юты платежа по ОКВ» равно «643»</w:t>
            </w:r>
          </w:p>
        </w:tc>
      </w:tr>
    </w:tbl>
    <w:p w14:paraId="336BEF99" w14:textId="77777777" w:rsidR="00AD1F54" w:rsidRPr="00264D5D" w:rsidRDefault="00941227">
      <w:pPr>
        <w:pStyle w:val="31"/>
      </w:pPr>
      <w:bookmarkStart w:id="2024" w:name="_Toc493090507"/>
      <w:bookmarkStart w:id="2025" w:name="_Toc496984040"/>
      <w:bookmarkStart w:id="2026" w:name="_Toc219309673"/>
      <w:r w:rsidRPr="00264D5D">
        <w:lastRenderedPageBreak/>
        <w:t>Описание комплексного типа «tSheduleKbkInfs»</w:t>
      </w:r>
      <w:bookmarkEnd w:id="2024"/>
      <w:bookmarkEnd w:id="2025"/>
      <w:bookmarkEnd w:id="2026"/>
    </w:p>
    <w:p w14:paraId="4ED392B4" w14:textId="77777777" w:rsidR="00AD1F54" w:rsidRPr="00264D5D" w:rsidRDefault="00941227">
      <w:pPr>
        <w:spacing w:before="60" w:after="120"/>
        <w:ind w:firstLine="567"/>
        <w:rPr>
          <w:rFonts w:eastAsia="Calibri"/>
          <w:szCs w:val="24"/>
        </w:rPr>
      </w:pPr>
      <w:r w:rsidRPr="00264D5D">
        <w:rPr>
          <w:rFonts w:eastAsia="Calibri"/>
          <w:szCs w:val="24"/>
        </w:rPr>
        <w:t>Описание комплексного типа «tSheduleKbkInfs»</w:t>
      </w:r>
      <w:r w:rsidRPr="00264D5D">
        <w:t xml:space="preserve"> блока</w:t>
      </w:r>
      <w:r w:rsidRPr="00264D5D">
        <w:rPr>
          <w:rFonts w:eastAsia="Calibri"/>
          <w:szCs w:val="24"/>
        </w:rPr>
        <w:t xml:space="preserve"> «Информация по платежам по КБК».</w:t>
      </w:r>
    </w:p>
    <w:p w14:paraId="25AFE03B" w14:textId="09FA3BE3"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2027" w:name="_Ref494365366"/>
      <w:bookmarkStart w:id="2028" w:name="_Toc30503390"/>
      <w:bookmarkStart w:id="2029" w:name="_Toc30507988"/>
      <w:bookmarkStart w:id="2030" w:name="_Toc219309241"/>
      <w:r w:rsidR="008D797C">
        <w:rPr>
          <w:rFonts w:eastAsia="Calibri"/>
          <w:noProof/>
          <w:szCs w:val="24"/>
        </w:rPr>
        <w:t>211</w:t>
      </w:r>
      <w:bookmarkEnd w:id="2027"/>
      <w:r w:rsidRPr="00264D5D">
        <w:rPr>
          <w:rFonts w:eastAsia="Calibri"/>
          <w:szCs w:val="24"/>
        </w:rPr>
        <w:fldChar w:fldCharType="end"/>
      </w:r>
      <w:r w:rsidRPr="00264D5D">
        <w:rPr>
          <w:rFonts w:eastAsia="Calibri"/>
          <w:szCs w:val="24"/>
        </w:rPr>
        <w:t xml:space="preserve"> – Описание комплексного типа «tSheduleKbkInfs»</w:t>
      </w:r>
      <w:bookmarkEnd w:id="2028"/>
      <w:bookmarkEnd w:id="2029"/>
      <w:bookmarkEnd w:id="2030"/>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019B4CEA"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6739ECEE" w14:textId="77777777" w:rsidR="00AD1F54" w:rsidRPr="00264D5D" w:rsidRDefault="00941227">
            <w:pPr>
              <w:pStyle w:val="EBTableHead"/>
              <w:ind w:left="57" w:right="57"/>
              <w:contextualSpacing w:val="0"/>
              <w:rPr>
                <w:sz w:val="22"/>
                <w:szCs w:val="22"/>
              </w:rPr>
            </w:pPr>
            <w:r w:rsidRPr="00264D5D">
              <w:rPr>
                <w:bCs w:val="0"/>
                <w:sz w:val="22"/>
                <w:szCs w:val="22"/>
              </w:rPr>
              <w:t>Наименование элемента</w:t>
            </w:r>
          </w:p>
        </w:tc>
        <w:tc>
          <w:tcPr>
            <w:tcW w:w="1701" w:type="dxa"/>
          </w:tcPr>
          <w:p w14:paraId="34435AD3" w14:textId="77777777" w:rsidR="00AD1F54" w:rsidRPr="00264D5D" w:rsidRDefault="00941227">
            <w:pPr>
              <w:pStyle w:val="EBTableHead"/>
              <w:ind w:left="57" w:right="57"/>
              <w:contextualSpacing w:val="0"/>
              <w:rPr>
                <w:sz w:val="22"/>
                <w:szCs w:val="22"/>
              </w:rPr>
            </w:pPr>
            <w:r w:rsidRPr="00264D5D">
              <w:rPr>
                <w:bCs w:val="0"/>
                <w:sz w:val="22"/>
                <w:szCs w:val="22"/>
              </w:rPr>
              <w:t>Сокращенное наименование (код) элемента</w:t>
            </w:r>
          </w:p>
        </w:tc>
        <w:tc>
          <w:tcPr>
            <w:tcW w:w="567" w:type="dxa"/>
          </w:tcPr>
          <w:p w14:paraId="17002DDE" w14:textId="77777777" w:rsidR="00AD1F54" w:rsidRPr="00264D5D" w:rsidRDefault="00941227">
            <w:pPr>
              <w:pStyle w:val="EBTableHead"/>
              <w:ind w:left="57" w:right="57"/>
              <w:contextualSpacing w:val="0"/>
              <w:rPr>
                <w:sz w:val="22"/>
                <w:szCs w:val="22"/>
              </w:rPr>
            </w:pPr>
            <w:r w:rsidRPr="00264D5D">
              <w:rPr>
                <w:bCs w:val="0"/>
                <w:sz w:val="22"/>
                <w:szCs w:val="22"/>
              </w:rPr>
              <w:t>Тип</w:t>
            </w:r>
          </w:p>
        </w:tc>
        <w:tc>
          <w:tcPr>
            <w:tcW w:w="1134" w:type="dxa"/>
          </w:tcPr>
          <w:p w14:paraId="7CEC4F9F" w14:textId="77777777" w:rsidR="00AD1F54" w:rsidRPr="00264D5D" w:rsidRDefault="00941227">
            <w:pPr>
              <w:pStyle w:val="EBTableHead"/>
              <w:ind w:left="57" w:right="57"/>
              <w:contextualSpacing w:val="0"/>
              <w:rPr>
                <w:sz w:val="22"/>
                <w:szCs w:val="22"/>
              </w:rPr>
            </w:pPr>
            <w:r w:rsidRPr="00264D5D">
              <w:rPr>
                <w:bCs w:val="0"/>
                <w:sz w:val="22"/>
                <w:szCs w:val="22"/>
              </w:rPr>
              <w:t>Формат элемента</w:t>
            </w:r>
          </w:p>
        </w:tc>
        <w:tc>
          <w:tcPr>
            <w:tcW w:w="567" w:type="dxa"/>
          </w:tcPr>
          <w:p w14:paraId="10B78CE3" w14:textId="77777777" w:rsidR="00AD1F54" w:rsidRPr="00264D5D" w:rsidRDefault="00941227">
            <w:pPr>
              <w:spacing w:before="60" w:after="60"/>
              <w:ind w:left="57" w:right="57"/>
              <w:jc w:val="center"/>
              <w:rPr>
                <w:b/>
                <w:bCs/>
                <w:sz w:val="22"/>
                <w:szCs w:val="22"/>
              </w:rPr>
            </w:pPr>
            <w:r w:rsidRPr="00264D5D">
              <w:rPr>
                <w:b/>
                <w:bCs/>
                <w:sz w:val="22"/>
                <w:szCs w:val="22"/>
              </w:rPr>
              <w:t>Обязательность</w:t>
            </w:r>
          </w:p>
        </w:tc>
        <w:tc>
          <w:tcPr>
            <w:tcW w:w="3963" w:type="dxa"/>
          </w:tcPr>
          <w:p w14:paraId="6CA49955" w14:textId="77777777" w:rsidR="00AD1F54" w:rsidRPr="00264D5D" w:rsidRDefault="00941227">
            <w:pPr>
              <w:pStyle w:val="EBTableHead"/>
              <w:ind w:left="57" w:right="57"/>
              <w:contextualSpacing w:val="0"/>
              <w:rPr>
                <w:sz w:val="22"/>
                <w:szCs w:val="22"/>
              </w:rPr>
            </w:pPr>
            <w:r w:rsidRPr="00264D5D">
              <w:rPr>
                <w:bCs w:val="0"/>
                <w:sz w:val="22"/>
                <w:szCs w:val="22"/>
              </w:rPr>
              <w:t>Дополнительная информация</w:t>
            </w:r>
          </w:p>
        </w:tc>
      </w:tr>
      <w:tr w:rsidR="00AD1F54" w:rsidRPr="00264D5D" w14:paraId="7781D13E"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DE26A60" w14:textId="77777777" w:rsidR="00AD1F54" w:rsidRPr="00264D5D" w:rsidRDefault="00941227">
            <w:pPr>
              <w:pStyle w:val="EBTablenorm"/>
              <w:ind w:left="57" w:right="57"/>
              <w:contextualSpacing w:val="0"/>
              <w:rPr>
                <w:rFonts w:eastAsia="Calibri"/>
                <w:sz w:val="22"/>
                <w:szCs w:val="22"/>
              </w:rPr>
            </w:pPr>
            <w:r w:rsidRPr="00264D5D">
              <w:rPr>
                <w:sz w:val="22"/>
                <w:szCs w:val="22"/>
              </w:rPr>
              <w:t>Расшифровка обязательства</w:t>
            </w:r>
          </w:p>
        </w:tc>
        <w:tc>
          <w:tcPr>
            <w:tcW w:w="1701" w:type="dxa"/>
          </w:tcPr>
          <w:p w14:paraId="3217B5A6" w14:textId="77777777" w:rsidR="00AD1F54" w:rsidRPr="00264D5D" w:rsidRDefault="00941227">
            <w:pPr>
              <w:pStyle w:val="EBTablenorm"/>
              <w:ind w:left="57" w:right="57"/>
              <w:contextualSpacing w:val="0"/>
              <w:rPr>
                <w:rFonts w:eastAsia="Calibri"/>
                <w:sz w:val="22"/>
                <w:szCs w:val="22"/>
              </w:rPr>
            </w:pPr>
            <w:r w:rsidRPr="00264D5D">
              <w:rPr>
                <w:sz w:val="22"/>
                <w:szCs w:val="22"/>
                <w:lang w:val="en-US"/>
              </w:rPr>
              <w:t>TotalsSumInfs</w:t>
            </w:r>
          </w:p>
        </w:tc>
        <w:tc>
          <w:tcPr>
            <w:tcW w:w="567" w:type="dxa"/>
          </w:tcPr>
          <w:p w14:paraId="52A07F44" w14:textId="77777777" w:rsidR="00AD1F54" w:rsidRPr="00264D5D" w:rsidRDefault="00941227">
            <w:pPr>
              <w:pStyle w:val="EBTablenorm"/>
              <w:ind w:left="57" w:right="57"/>
              <w:contextualSpacing w:val="0"/>
              <w:jc w:val="center"/>
              <w:rPr>
                <w:rFonts w:eastAsia="Calibri"/>
                <w:sz w:val="22"/>
                <w:szCs w:val="22"/>
              </w:rPr>
            </w:pPr>
            <w:r w:rsidRPr="00264D5D">
              <w:rPr>
                <w:sz w:val="22"/>
                <w:szCs w:val="22"/>
                <w:lang w:val="en-US"/>
              </w:rPr>
              <w:t>С</w:t>
            </w:r>
          </w:p>
        </w:tc>
        <w:tc>
          <w:tcPr>
            <w:tcW w:w="1134" w:type="dxa"/>
          </w:tcPr>
          <w:p w14:paraId="723F24FF" w14:textId="77777777" w:rsidR="00AD1F54" w:rsidRPr="00264D5D" w:rsidRDefault="00941227">
            <w:pPr>
              <w:pStyle w:val="EBTablenorm"/>
              <w:ind w:left="57" w:right="57"/>
              <w:contextualSpacing w:val="0"/>
              <w:jc w:val="left"/>
              <w:rPr>
                <w:rFonts w:eastAsia="Calibri"/>
                <w:sz w:val="22"/>
                <w:szCs w:val="22"/>
              </w:rPr>
            </w:pPr>
            <w:r w:rsidRPr="00264D5D">
              <w:rPr>
                <w:bCs/>
                <w:sz w:val="22"/>
                <w:szCs w:val="22"/>
                <w:lang w:val="en-US"/>
              </w:rPr>
              <w:t>tTotalsSumInfs</w:t>
            </w:r>
          </w:p>
        </w:tc>
        <w:tc>
          <w:tcPr>
            <w:tcW w:w="567" w:type="dxa"/>
          </w:tcPr>
          <w:p w14:paraId="7B7B4DE8" w14:textId="77777777" w:rsidR="00AD1F54" w:rsidRPr="00264D5D" w:rsidRDefault="00941227">
            <w:pPr>
              <w:pStyle w:val="EBTablenorm"/>
              <w:ind w:left="57" w:right="57"/>
              <w:contextualSpacing w:val="0"/>
              <w:jc w:val="center"/>
              <w:rPr>
                <w:rFonts w:eastAsia="Calibri"/>
                <w:sz w:val="22"/>
                <w:szCs w:val="22"/>
              </w:rPr>
            </w:pPr>
            <w:r w:rsidRPr="00264D5D">
              <w:rPr>
                <w:sz w:val="22"/>
                <w:szCs w:val="22"/>
              </w:rPr>
              <w:t>ОМ</w:t>
            </w:r>
          </w:p>
        </w:tc>
        <w:tc>
          <w:tcPr>
            <w:tcW w:w="3963" w:type="dxa"/>
          </w:tcPr>
          <w:p w14:paraId="4468C67A" w14:textId="77777777" w:rsidR="00AD1F54" w:rsidRPr="00264D5D" w:rsidRDefault="00941227">
            <w:pPr>
              <w:pStyle w:val="EBTablenorm"/>
              <w:ind w:left="57" w:right="57"/>
              <w:contextualSpacing w:val="0"/>
              <w:rPr>
                <w:sz w:val="22"/>
                <w:szCs w:val="22"/>
              </w:rPr>
            </w:pPr>
            <w:r w:rsidRPr="00264D5D">
              <w:rPr>
                <w:sz w:val="22"/>
                <w:szCs w:val="22"/>
              </w:rPr>
              <w:t xml:space="preserve">Расшифровка обязательства. </w:t>
            </w:r>
          </w:p>
          <w:p w14:paraId="02930047" w14:textId="77777777" w:rsidR="00AD1F54" w:rsidRPr="00264D5D" w:rsidRDefault="00941227">
            <w:pPr>
              <w:pStyle w:val="EBTablenorm"/>
              <w:ind w:left="57" w:right="57"/>
              <w:contextualSpacing w:val="0"/>
              <w:rPr>
                <w:sz w:val="22"/>
                <w:szCs w:val="22"/>
              </w:rPr>
            </w:pPr>
            <w:r w:rsidRPr="00264D5D">
              <w:rPr>
                <w:bCs/>
                <w:sz w:val="22"/>
                <w:szCs w:val="22"/>
              </w:rPr>
              <w:t>Указывается информация с учетом всех изменений.</w:t>
            </w:r>
            <w:r w:rsidRPr="00264D5D">
              <w:rPr>
                <w:sz w:val="22"/>
                <w:szCs w:val="22"/>
              </w:rPr>
              <w:t xml:space="preserve"> </w:t>
            </w:r>
          </w:p>
          <w:p w14:paraId="5C7E61FB" w14:textId="26CCE1D0" w:rsidR="00AD1F54" w:rsidRPr="00264D5D" w:rsidRDefault="00941227">
            <w:pPr>
              <w:pStyle w:val="EBTablenorm"/>
              <w:ind w:left="57" w:right="57"/>
              <w:contextualSpacing w:val="0"/>
              <w:rPr>
                <w:sz w:val="22"/>
                <w:szCs w:val="22"/>
              </w:rPr>
            </w:pPr>
            <w:r w:rsidRPr="00264D5D">
              <w:rPr>
                <w:sz w:val="22"/>
                <w:szCs w:val="22"/>
              </w:rPr>
              <w:t>Состав элемента представлен в таблице</w:t>
            </w:r>
            <w:r w:rsidRPr="00264D5D">
              <w:rPr>
                <w:b/>
                <w:sz w:val="22"/>
                <w:szCs w:val="22"/>
              </w:rPr>
              <w:t xml:space="preserve"> </w:t>
            </w:r>
            <w:r w:rsidRPr="00264D5D">
              <w:rPr>
                <w:b/>
                <w:sz w:val="22"/>
                <w:szCs w:val="22"/>
              </w:rPr>
              <w:fldChar w:fldCharType="begin"/>
            </w:r>
            <w:r w:rsidRPr="00264D5D">
              <w:rPr>
                <w:b/>
                <w:sz w:val="22"/>
                <w:szCs w:val="22"/>
              </w:rPr>
              <w:instrText xml:space="preserve"> REF _Ref494365536 \h  \* MERGEFORMAT </w:instrText>
            </w:r>
            <w:r w:rsidRPr="00264D5D">
              <w:rPr>
                <w:b/>
                <w:sz w:val="22"/>
                <w:szCs w:val="22"/>
              </w:rPr>
            </w:r>
            <w:r w:rsidRPr="00264D5D">
              <w:rPr>
                <w:b/>
                <w:sz w:val="22"/>
                <w:szCs w:val="22"/>
              </w:rPr>
              <w:fldChar w:fldCharType="separate"/>
            </w:r>
            <w:r w:rsidR="008D797C" w:rsidRPr="008D797C">
              <w:rPr>
                <w:rFonts w:eastAsia="Calibri"/>
                <w:b/>
                <w:sz w:val="22"/>
                <w:szCs w:val="22"/>
              </w:rPr>
              <w:t>212</w:t>
            </w:r>
            <w:r w:rsidRPr="00264D5D">
              <w:rPr>
                <w:b/>
                <w:sz w:val="22"/>
                <w:szCs w:val="22"/>
              </w:rPr>
              <w:fldChar w:fldCharType="end"/>
            </w:r>
          </w:p>
        </w:tc>
      </w:tr>
      <w:tr w:rsidR="00AD1F54" w:rsidRPr="00264D5D" w14:paraId="4C7BA1B7"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4A45406B" w14:textId="77777777" w:rsidR="00AD1F54" w:rsidRPr="00264D5D" w:rsidRDefault="00941227">
            <w:pPr>
              <w:pStyle w:val="EBTablenorm"/>
              <w:ind w:left="57" w:right="57"/>
              <w:contextualSpacing w:val="0"/>
              <w:rPr>
                <w:rFonts w:eastAsia="Calibri"/>
                <w:sz w:val="22"/>
                <w:szCs w:val="22"/>
              </w:rPr>
            </w:pPr>
            <w:r w:rsidRPr="00264D5D">
              <w:rPr>
                <w:sz w:val="22"/>
                <w:szCs w:val="22"/>
              </w:rPr>
              <w:t>Итоговые суммы по коду ОКС (ОКВ), КМИ</w:t>
            </w:r>
          </w:p>
        </w:tc>
        <w:tc>
          <w:tcPr>
            <w:tcW w:w="1701" w:type="dxa"/>
          </w:tcPr>
          <w:p w14:paraId="5DC51D50" w14:textId="77777777" w:rsidR="00AD1F54" w:rsidRPr="00264D5D" w:rsidRDefault="00941227">
            <w:pPr>
              <w:pStyle w:val="EBTablenorm"/>
              <w:ind w:left="57" w:right="57"/>
              <w:contextualSpacing w:val="0"/>
              <w:rPr>
                <w:sz w:val="22"/>
                <w:szCs w:val="22"/>
                <w:lang w:val="en-US"/>
              </w:rPr>
            </w:pPr>
            <w:r w:rsidRPr="00264D5D">
              <w:rPr>
                <w:sz w:val="22"/>
                <w:szCs w:val="22"/>
                <w:lang w:val="en-US"/>
              </w:rPr>
              <w:t>TotalFaips</w:t>
            </w:r>
          </w:p>
        </w:tc>
        <w:tc>
          <w:tcPr>
            <w:tcW w:w="567" w:type="dxa"/>
          </w:tcPr>
          <w:p w14:paraId="6E027B19" w14:textId="77777777" w:rsidR="00AD1F54" w:rsidRPr="00264D5D" w:rsidRDefault="00941227">
            <w:pPr>
              <w:pStyle w:val="EBTablenorm"/>
              <w:ind w:left="57" w:right="57"/>
              <w:contextualSpacing w:val="0"/>
              <w:jc w:val="center"/>
              <w:rPr>
                <w:sz w:val="22"/>
                <w:szCs w:val="22"/>
                <w:lang w:val="en-US"/>
              </w:rPr>
            </w:pPr>
            <w:r w:rsidRPr="00264D5D">
              <w:rPr>
                <w:sz w:val="22"/>
                <w:szCs w:val="22"/>
                <w:lang w:val="en-US"/>
              </w:rPr>
              <w:t>С</w:t>
            </w:r>
          </w:p>
        </w:tc>
        <w:tc>
          <w:tcPr>
            <w:tcW w:w="1134" w:type="dxa"/>
          </w:tcPr>
          <w:p w14:paraId="703963A4" w14:textId="77777777" w:rsidR="00AD1F54" w:rsidRPr="00264D5D" w:rsidRDefault="00941227">
            <w:pPr>
              <w:pStyle w:val="EBTablenorm"/>
              <w:ind w:left="57" w:right="57"/>
              <w:contextualSpacing w:val="0"/>
              <w:jc w:val="left"/>
              <w:rPr>
                <w:bCs/>
                <w:sz w:val="22"/>
                <w:szCs w:val="22"/>
                <w:lang w:val="en-US"/>
              </w:rPr>
            </w:pPr>
            <w:r w:rsidRPr="00264D5D">
              <w:rPr>
                <w:sz w:val="22"/>
                <w:szCs w:val="22"/>
                <w:lang w:val="en-US"/>
              </w:rPr>
              <w:t>tTotalFaips</w:t>
            </w:r>
          </w:p>
        </w:tc>
        <w:tc>
          <w:tcPr>
            <w:tcW w:w="567" w:type="dxa"/>
          </w:tcPr>
          <w:p w14:paraId="64B08AA1" w14:textId="77777777" w:rsidR="00AD1F54" w:rsidRPr="00264D5D" w:rsidRDefault="00941227">
            <w:pPr>
              <w:pStyle w:val="EBTablenorm"/>
              <w:ind w:left="57" w:right="57"/>
              <w:contextualSpacing w:val="0"/>
              <w:jc w:val="center"/>
              <w:rPr>
                <w:sz w:val="22"/>
                <w:szCs w:val="22"/>
              </w:rPr>
            </w:pPr>
            <w:r w:rsidRPr="00264D5D">
              <w:rPr>
                <w:sz w:val="22"/>
                <w:szCs w:val="22"/>
              </w:rPr>
              <w:t>НМ</w:t>
            </w:r>
          </w:p>
        </w:tc>
        <w:tc>
          <w:tcPr>
            <w:tcW w:w="3963" w:type="dxa"/>
          </w:tcPr>
          <w:p w14:paraId="63C32CA9" w14:textId="77777777" w:rsidR="00AD1F54" w:rsidRPr="00264D5D" w:rsidRDefault="00941227" w:rsidP="007E37F3">
            <w:pPr>
              <w:pStyle w:val="EBTablenorm"/>
              <w:ind w:left="57" w:right="57"/>
              <w:contextualSpacing w:val="0"/>
              <w:rPr>
                <w:sz w:val="22"/>
                <w:szCs w:val="22"/>
              </w:rPr>
            </w:pPr>
            <w:r w:rsidRPr="00264D5D">
              <w:rPr>
                <w:sz w:val="22"/>
                <w:szCs w:val="22"/>
              </w:rPr>
              <w:t>Итоговые суммы по коду ОКС (ОКВ), КМИ из Расшифровки обязательства.</w:t>
            </w:r>
          </w:p>
          <w:p w14:paraId="519537FE" w14:textId="77777777" w:rsidR="00AD1F54" w:rsidRPr="00264D5D" w:rsidRDefault="00941227" w:rsidP="007E37F3">
            <w:pPr>
              <w:pStyle w:val="EBTablenorm"/>
              <w:ind w:left="57" w:right="57"/>
              <w:contextualSpacing w:val="0"/>
              <w:rPr>
                <w:sz w:val="22"/>
                <w:szCs w:val="22"/>
              </w:rPr>
            </w:pPr>
            <w:r w:rsidRPr="00264D5D">
              <w:rPr>
                <w:sz w:val="22"/>
                <w:szCs w:val="22"/>
              </w:rPr>
              <w:t>Блок обязателен для заполнения, если заполнены поля «Наименование ОКС (ОКВ), КМИ» и «Код ОКС (ОКВ), КМИ» в блоке «Расшифровка обязательства».</w:t>
            </w:r>
          </w:p>
          <w:p w14:paraId="6491FAFD" w14:textId="77777777" w:rsidR="00AD1F54" w:rsidRPr="00264D5D" w:rsidRDefault="00941227" w:rsidP="007E37F3">
            <w:pPr>
              <w:pStyle w:val="EBTablenorm"/>
              <w:ind w:left="57" w:right="57"/>
              <w:contextualSpacing w:val="0"/>
              <w:rPr>
                <w:sz w:val="22"/>
                <w:szCs w:val="22"/>
              </w:rPr>
            </w:pPr>
            <w:r w:rsidRPr="00264D5D">
              <w:rPr>
                <w:sz w:val="22"/>
                <w:szCs w:val="22"/>
              </w:rPr>
              <w:t xml:space="preserve">Указывается информация с учетом всех изменений. </w:t>
            </w:r>
          </w:p>
          <w:p w14:paraId="4F56B571" w14:textId="2E664EF3" w:rsidR="00AD1F54" w:rsidRPr="00264D5D" w:rsidRDefault="00941227" w:rsidP="007E37F3">
            <w:pPr>
              <w:pStyle w:val="EBTablenorm"/>
              <w:ind w:left="57" w:right="57"/>
              <w:contextualSpacing w:val="0"/>
              <w:rPr>
                <w:sz w:val="22"/>
                <w:szCs w:val="22"/>
              </w:rPr>
            </w:pPr>
            <w:r w:rsidRPr="00264D5D">
              <w:rPr>
                <w:sz w:val="22"/>
                <w:szCs w:val="22"/>
              </w:rPr>
              <w:t>Состав элемента представлен в таблице</w:t>
            </w:r>
            <w:r w:rsidRPr="00264D5D">
              <w:rPr>
                <w:b/>
                <w:sz w:val="22"/>
                <w:szCs w:val="22"/>
              </w:rPr>
              <w:t xml:space="preserve"> </w:t>
            </w:r>
            <w:r w:rsidRPr="00264D5D">
              <w:rPr>
                <w:b/>
                <w:sz w:val="22"/>
                <w:szCs w:val="22"/>
              </w:rPr>
              <w:fldChar w:fldCharType="begin"/>
            </w:r>
            <w:r w:rsidRPr="00264D5D">
              <w:rPr>
                <w:b/>
                <w:sz w:val="22"/>
                <w:szCs w:val="22"/>
              </w:rPr>
              <w:instrText xml:space="preserve"> REF _Ref494365883 \h  \* MERGEFORMAT </w:instrText>
            </w:r>
            <w:r w:rsidRPr="00264D5D">
              <w:rPr>
                <w:b/>
                <w:sz w:val="22"/>
                <w:szCs w:val="22"/>
              </w:rPr>
            </w:r>
            <w:r w:rsidRPr="00264D5D">
              <w:rPr>
                <w:b/>
                <w:sz w:val="22"/>
                <w:szCs w:val="22"/>
              </w:rPr>
              <w:fldChar w:fldCharType="separate"/>
            </w:r>
            <w:r w:rsidR="008D797C" w:rsidRPr="008D797C">
              <w:rPr>
                <w:rFonts w:eastAsia="Calibri"/>
                <w:b/>
                <w:sz w:val="22"/>
                <w:szCs w:val="22"/>
              </w:rPr>
              <w:t>216</w:t>
            </w:r>
            <w:r w:rsidRPr="00264D5D">
              <w:rPr>
                <w:b/>
                <w:sz w:val="22"/>
                <w:szCs w:val="22"/>
              </w:rPr>
              <w:fldChar w:fldCharType="end"/>
            </w:r>
          </w:p>
        </w:tc>
      </w:tr>
      <w:tr w:rsidR="00AD1F54" w:rsidRPr="00264D5D" w14:paraId="0FACE541"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DF7D860" w14:textId="77777777" w:rsidR="00AD1F54" w:rsidRPr="00264D5D" w:rsidRDefault="00941227">
            <w:pPr>
              <w:pStyle w:val="EBTablenorm"/>
              <w:ind w:left="57" w:right="57"/>
              <w:contextualSpacing w:val="0"/>
              <w:rPr>
                <w:rFonts w:eastAsia="Calibri"/>
                <w:sz w:val="22"/>
                <w:szCs w:val="22"/>
              </w:rPr>
            </w:pPr>
            <w:r w:rsidRPr="00264D5D">
              <w:rPr>
                <w:sz w:val="22"/>
                <w:szCs w:val="22"/>
              </w:rPr>
              <w:t>График</w:t>
            </w:r>
            <w:r w:rsidRPr="00264D5D">
              <w:rPr>
                <w:bCs/>
                <w:sz w:val="22"/>
                <w:szCs w:val="22"/>
              </w:rPr>
              <w:t xml:space="preserve"> перечисления </w:t>
            </w:r>
            <w:r w:rsidRPr="00264D5D">
              <w:rPr>
                <w:sz w:val="22"/>
                <w:szCs w:val="22"/>
              </w:rPr>
              <w:t>субсидии, бюджетных инвестиций</w:t>
            </w:r>
          </w:p>
        </w:tc>
        <w:tc>
          <w:tcPr>
            <w:tcW w:w="1701" w:type="dxa"/>
          </w:tcPr>
          <w:p w14:paraId="6834AE1E" w14:textId="77777777" w:rsidR="00AD1F54" w:rsidRPr="00264D5D" w:rsidRDefault="00941227">
            <w:pPr>
              <w:pStyle w:val="EBTablenorm"/>
              <w:ind w:left="57" w:right="57"/>
              <w:contextualSpacing w:val="0"/>
              <w:rPr>
                <w:sz w:val="22"/>
                <w:szCs w:val="22"/>
                <w:lang w:val="en-US"/>
              </w:rPr>
            </w:pPr>
            <w:r w:rsidRPr="00264D5D">
              <w:rPr>
                <w:sz w:val="22"/>
                <w:szCs w:val="22"/>
                <w:lang w:val="en-US"/>
              </w:rPr>
              <w:t>SheduleKbkInf</w:t>
            </w:r>
          </w:p>
        </w:tc>
        <w:tc>
          <w:tcPr>
            <w:tcW w:w="567" w:type="dxa"/>
          </w:tcPr>
          <w:p w14:paraId="4808AD88" w14:textId="77777777" w:rsidR="00AD1F54" w:rsidRPr="00264D5D" w:rsidRDefault="00941227">
            <w:pPr>
              <w:pStyle w:val="EBTablenorm"/>
              <w:ind w:left="57" w:right="57"/>
              <w:contextualSpacing w:val="0"/>
              <w:jc w:val="center"/>
              <w:rPr>
                <w:sz w:val="22"/>
                <w:szCs w:val="22"/>
                <w:lang w:val="en-US"/>
              </w:rPr>
            </w:pPr>
            <w:r w:rsidRPr="00264D5D">
              <w:rPr>
                <w:sz w:val="22"/>
                <w:szCs w:val="22"/>
                <w:lang w:val="en-US"/>
              </w:rPr>
              <w:t>С</w:t>
            </w:r>
          </w:p>
        </w:tc>
        <w:tc>
          <w:tcPr>
            <w:tcW w:w="1134" w:type="dxa"/>
          </w:tcPr>
          <w:p w14:paraId="0FF6252F"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tSheduleKbkInf</w:t>
            </w:r>
          </w:p>
        </w:tc>
        <w:tc>
          <w:tcPr>
            <w:tcW w:w="567" w:type="dxa"/>
          </w:tcPr>
          <w:p w14:paraId="70FD2954" w14:textId="77777777" w:rsidR="00AD1F54" w:rsidRPr="00264D5D" w:rsidRDefault="00941227">
            <w:pPr>
              <w:pStyle w:val="EBTablenorm"/>
              <w:ind w:left="57" w:right="57"/>
              <w:contextualSpacing w:val="0"/>
              <w:jc w:val="center"/>
              <w:rPr>
                <w:sz w:val="22"/>
                <w:szCs w:val="22"/>
              </w:rPr>
            </w:pPr>
            <w:r w:rsidRPr="00264D5D">
              <w:rPr>
                <w:sz w:val="22"/>
                <w:szCs w:val="22"/>
              </w:rPr>
              <w:t>ОМ</w:t>
            </w:r>
          </w:p>
        </w:tc>
        <w:tc>
          <w:tcPr>
            <w:tcW w:w="3963" w:type="dxa"/>
          </w:tcPr>
          <w:p w14:paraId="3B2770A1" w14:textId="77777777" w:rsidR="00AD1F54" w:rsidRPr="00264D5D" w:rsidRDefault="00941227" w:rsidP="007E37F3">
            <w:pPr>
              <w:pStyle w:val="EBTablenorm"/>
              <w:ind w:left="57" w:right="57"/>
              <w:contextualSpacing w:val="0"/>
              <w:rPr>
                <w:sz w:val="22"/>
                <w:szCs w:val="22"/>
              </w:rPr>
            </w:pPr>
            <w:r w:rsidRPr="00264D5D">
              <w:rPr>
                <w:sz w:val="22"/>
                <w:szCs w:val="22"/>
              </w:rPr>
              <w:t>График</w:t>
            </w:r>
            <w:r w:rsidRPr="00264D5D">
              <w:rPr>
                <w:bCs/>
                <w:sz w:val="22"/>
                <w:szCs w:val="22"/>
              </w:rPr>
              <w:t xml:space="preserve"> перечисления </w:t>
            </w:r>
            <w:r w:rsidRPr="00264D5D">
              <w:rPr>
                <w:sz w:val="22"/>
                <w:szCs w:val="22"/>
              </w:rPr>
              <w:t xml:space="preserve">субсидии, бюджетных инвестиций. </w:t>
            </w:r>
          </w:p>
          <w:p w14:paraId="7318A6BA" w14:textId="77777777" w:rsidR="00AD1F54" w:rsidRPr="00264D5D" w:rsidRDefault="00941227" w:rsidP="007E37F3">
            <w:pPr>
              <w:pStyle w:val="EBTablenorm"/>
              <w:ind w:left="57" w:right="57"/>
              <w:contextualSpacing w:val="0"/>
              <w:rPr>
                <w:sz w:val="22"/>
                <w:szCs w:val="22"/>
              </w:rPr>
            </w:pPr>
            <w:r w:rsidRPr="00264D5D">
              <w:rPr>
                <w:sz w:val="22"/>
                <w:szCs w:val="22"/>
              </w:rPr>
              <w:t>При указании в элементе «Тип сведений о соглашении» значения «3», «4» указывается изменение сумм: со знаком «плюс» при их увеличении, со знаком «минус» при их уменьшении.</w:t>
            </w:r>
          </w:p>
          <w:p w14:paraId="13C13066" w14:textId="77777777" w:rsidR="00AD1F54" w:rsidRPr="00264D5D" w:rsidRDefault="00941227" w:rsidP="007E37F3">
            <w:pPr>
              <w:pStyle w:val="EBTablenorm"/>
              <w:ind w:left="57" w:right="57"/>
              <w:contextualSpacing w:val="0"/>
              <w:rPr>
                <w:sz w:val="22"/>
                <w:szCs w:val="22"/>
              </w:rPr>
            </w:pPr>
            <w:r w:rsidRPr="00264D5D">
              <w:rPr>
                <w:sz w:val="22"/>
                <w:szCs w:val="22"/>
              </w:rPr>
              <w:t>При указании в элементе «Тип сведений о соглашении» значения «0», «1», «3», «4» суммы в разрезе связок «КБК, код ОКС (ОКВ), КМИ, Аналитический код, Признак безусловности платежа» – на текущий финансовый год, первый, второй, третий, последующие года после текущего финансового года блоков «Расшифровка обязательства» и «График</w:t>
            </w:r>
            <w:r w:rsidRPr="00264D5D">
              <w:rPr>
                <w:bCs/>
                <w:sz w:val="22"/>
                <w:szCs w:val="22"/>
              </w:rPr>
              <w:t xml:space="preserve"> перечисления </w:t>
            </w:r>
            <w:r w:rsidRPr="00264D5D">
              <w:rPr>
                <w:sz w:val="22"/>
                <w:szCs w:val="22"/>
              </w:rPr>
              <w:t xml:space="preserve">субсидии, бюджетных инвестиций» должны быть равны. </w:t>
            </w:r>
          </w:p>
          <w:p w14:paraId="756A7239" w14:textId="7BB6CB62" w:rsidR="00AD1F54" w:rsidRPr="00264D5D" w:rsidRDefault="00941227" w:rsidP="007E37F3">
            <w:pPr>
              <w:pStyle w:val="EBTablenorm"/>
              <w:ind w:left="57" w:right="57"/>
              <w:contextualSpacing w:val="0"/>
              <w:rPr>
                <w:sz w:val="22"/>
                <w:szCs w:val="22"/>
              </w:rPr>
            </w:pPr>
            <w:r w:rsidRPr="00264D5D">
              <w:rPr>
                <w:sz w:val="22"/>
                <w:szCs w:val="22"/>
              </w:rPr>
              <w:t>Состав элемента представлен в таблице</w:t>
            </w:r>
            <w:r w:rsidRPr="00264D5D">
              <w:rPr>
                <w:b/>
                <w:sz w:val="22"/>
                <w:szCs w:val="22"/>
              </w:rPr>
              <w:t xml:space="preserve"> </w:t>
            </w:r>
            <w:r w:rsidRPr="00264D5D">
              <w:rPr>
                <w:b/>
                <w:sz w:val="22"/>
                <w:szCs w:val="22"/>
              </w:rPr>
              <w:fldChar w:fldCharType="begin"/>
            </w:r>
            <w:r w:rsidRPr="00264D5D">
              <w:rPr>
                <w:b/>
                <w:sz w:val="22"/>
                <w:szCs w:val="22"/>
              </w:rPr>
              <w:instrText xml:space="preserve"> REF _Ref494366089 \h  \* MERGEFORMAT </w:instrText>
            </w:r>
            <w:r w:rsidRPr="00264D5D">
              <w:rPr>
                <w:b/>
                <w:sz w:val="22"/>
                <w:szCs w:val="22"/>
              </w:rPr>
            </w:r>
            <w:r w:rsidRPr="00264D5D">
              <w:rPr>
                <w:b/>
                <w:sz w:val="22"/>
                <w:szCs w:val="22"/>
              </w:rPr>
              <w:fldChar w:fldCharType="separate"/>
            </w:r>
            <w:r w:rsidR="008D797C" w:rsidRPr="008D797C">
              <w:rPr>
                <w:rFonts w:eastAsia="Calibri"/>
                <w:b/>
                <w:sz w:val="22"/>
                <w:szCs w:val="22"/>
              </w:rPr>
              <w:t>218</w:t>
            </w:r>
            <w:r w:rsidRPr="00264D5D">
              <w:rPr>
                <w:b/>
                <w:sz w:val="22"/>
                <w:szCs w:val="22"/>
              </w:rPr>
              <w:fldChar w:fldCharType="end"/>
            </w:r>
          </w:p>
        </w:tc>
      </w:tr>
    </w:tbl>
    <w:p w14:paraId="76E39B7E" w14:textId="77777777" w:rsidR="00AD1F54" w:rsidRPr="00264D5D" w:rsidRDefault="00941227">
      <w:pPr>
        <w:pStyle w:val="31"/>
      </w:pPr>
      <w:bookmarkStart w:id="2031" w:name="_Toc496984041"/>
      <w:bookmarkStart w:id="2032" w:name="_Toc219309674"/>
      <w:r w:rsidRPr="00264D5D">
        <w:lastRenderedPageBreak/>
        <w:t>Описание комплексного типа «tTotalsSumInfs»</w:t>
      </w:r>
      <w:bookmarkEnd w:id="2031"/>
      <w:bookmarkEnd w:id="2032"/>
    </w:p>
    <w:p w14:paraId="14D12969" w14:textId="77777777" w:rsidR="00AD1F54" w:rsidRPr="00264D5D" w:rsidRDefault="00941227">
      <w:pPr>
        <w:spacing w:before="60" w:after="120"/>
        <w:ind w:firstLine="567"/>
        <w:rPr>
          <w:rFonts w:eastAsia="Calibri"/>
          <w:sz w:val="28"/>
          <w:szCs w:val="28"/>
        </w:rPr>
      </w:pPr>
      <w:r w:rsidRPr="00264D5D">
        <w:rPr>
          <w:rFonts w:eastAsia="Calibri"/>
          <w:szCs w:val="24"/>
        </w:rPr>
        <w:t xml:space="preserve">Описание комплексного типа «tTotalsSumInfs» </w:t>
      </w:r>
      <w:r w:rsidRPr="00264D5D">
        <w:t>блока «</w:t>
      </w:r>
      <w:r w:rsidRPr="00264D5D">
        <w:rPr>
          <w:rFonts w:eastAsia="Calibri"/>
          <w:szCs w:val="24"/>
        </w:rPr>
        <w:t>Расшифровка обязательства».</w:t>
      </w:r>
    </w:p>
    <w:p w14:paraId="372E65B4" w14:textId="4DD2768E"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2033" w:name="_Ref494365536"/>
      <w:bookmarkStart w:id="2034" w:name="_Toc30503391"/>
      <w:bookmarkStart w:id="2035" w:name="_Toc30507989"/>
      <w:bookmarkStart w:id="2036" w:name="_Toc219309242"/>
      <w:r w:rsidR="008D797C">
        <w:rPr>
          <w:rFonts w:eastAsia="Calibri"/>
          <w:noProof/>
          <w:szCs w:val="24"/>
        </w:rPr>
        <w:t>212</w:t>
      </w:r>
      <w:bookmarkEnd w:id="2033"/>
      <w:r w:rsidRPr="00264D5D">
        <w:rPr>
          <w:rFonts w:eastAsia="Calibri"/>
          <w:szCs w:val="24"/>
        </w:rPr>
        <w:fldChar w:fldCharType="end"/>
      </w:r>
      <w:r w:rsidRPr="00264D5D">
        <w:rPr>
          <w:rFonts w:eastAsia="Calibri"/>
          <w:szCs w:val="24"/>
        </w:rPr>
        <w:t xml:space="preserve"> – Описание комплексного типа «tTotalsSumInfs»</w:t>
      </w:r>
      <w:bookmarkEnd w:id="2034"/>
      <w:bookmarkEnd w:id="2035"/>
      <w:bookmarkEnd w:id="2036"/>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4D5031EA"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0A008BF3" w14:textId="77777777" w:rsidR="00AD1F54" w:rsidRPr="00264D5D" w:rsidRDefault="00941227">
            <w:pPr>
              <w:pStyle w:val="EBTableHead"/>
              <w:ind w:left="57" w:right="57"/>
              <w:contextualSpacing w:val="0"/>
              <w:rPr>
                <w:sz w:val="22"/>
                <w:szCs w:val="22"/>
              </w:rPr>
            </w:pPr>
            <w:r w:rsidRPr="00264D5D">
              <w:rPr>
                <w:bCs w:val="0"/>
                <w:sz w:val="22"/>
                <w:szCs w:val="22"/>
              </w:rPr>
              <w:t>Наименование элемента</w:t>
            </w:r>
          </w:p>
        </w:tc>
        <w:tc>
          <w:tcPr>
            <w:tcW w:w="1701" w:type="dxa"/>
          </w:tcPr>
          <w:p w14:paraId="5205AFC9" w14:textId="77777777" w:rsidR="00AD1F54" w:rsidRPr="00264D5D" w:rsidRDefault="00941227">
            <w:pPr>
              <w:pStyle w:val="EBTableHead"/>
              <w:ind w:left="57" w:right="57"/>
              <w:contextualSpacing w:val="0"/>
              <w:rPr>
                <w:sz w:val="22"/>
                <w:szCs w:val="22"/>
              </w:rPr>
            </w:pPr>
            <w:r w:rsidRPr="00264D5D">
              <w:rPr>
                <w:bCs w:val="0"/>
                <w:sz w:val="22"/>
                <w:szCs w:val="22"/>
              </w:rPr>
              <w:t>Сокращенное наименование (код) элемента</w:t>
            </w:r>
          </w:p>
        </w:tc>
        <w:tc>
          <w:tcPr>
            <w:tcW w:w="567" w:type="dxa"/>
          </w:tcPr>
          <w:p w14:paraId="3F3588F0" w14:textId="77777777" w:rsidR="00AD1F54" w:rsidRPr="00264D5D" w:rsidRDefault="00941227">
            <w:pPr>
              <w:pStyle w:val="EBTableHead"/>
              <w:ind w:left="57" w:right="57"/>
              <w:contextualSpacing w:val="0"/>
              <w:rPr>
                <w:sz w:val="22"/>
                <w:szCs w:val="22"/>
              </w:rPr>
            </w:pPr>
            <w:r w:rsidRPr="00264D5D">
              <w:rPr>
                <w:bCs w:val="0"/>
                <w:sz w:val="22"/>
                <w:szCs w:val="22"/>
              </w:rPr>
              <w:t>Тип</w:t>
            </w:r>
          </w:p>
        </w:tc>
        <w:tc>
          <w:tcPr>
            <w:tcW w:w="1134" w:type="dxa"/>
          </w:tcPr>
          <w:p w14:paraId="03D32DA4" w14:textId="77777777" w:rsidR="00AD1F54" w:rsidRPr="00264D5D" w:rsidRDefault="00941227">
            <w:pPr>
              <w:pStyle w:val="EBTableHead"/>
              <w:ind w:left="57" w:right="57"/>
              <w:contextualSpacing w:val="0"/>
              <w:rPr>
                <w:sz w:val="22"/>
                <w:szCs w:val="22"/>
              </w:rPr>
            </w:pPr>
            <w:r w:rsidRPr="00264D5D">
              <w:rPr>
                <w:bCs w:val="0"/>
                <w:sz w:val="22"/>
                <w:szCs w:val="22"/>
              </w:rPr>
              <w:t>Формат элемента</w:t>
            </w:r>
          </w:p>
        </w:tc>
        <w:tc>
          <w:tcPr>
            <w:tcW w:w="567" w:type="dxa"/>
          </w:tcPr>
          <w:p w14:paraId="578AA6DF" w14:textId="77777777" w:rsidR="00AD1F54" w:rsidRPr="00264D5D" w:rsidRDefault="00941227">
            <w:pPr>
              <w:spacing w:before="60" w:after="60"/>
              <w:ind w:left="57" w:right="57"/>
              <w:jc w:val="center"/>
              <w:rPr>
                <w:b/>
                <w:bCs/>
                <w:sz w:val="22"/>
                <w:szCs w:val="22"/>
              </w:rPr>
            </w:pPr>
            <w:r w:rsidRPr="00264D5D">
              <w:rPr>
                <w:b/>
                <w:bCs/>
                <w:sz w:val="22"/>
                <w:szCs w:val="22"/>
              </w:rPr>
              <w:t>Обязательность</w:t>
            </w:r>
          </w:p>
        </w:tc>
        <w:tc>
          <w:tcPr>
            <w:tcW w:w="3963" w:type="dxa"/>
          </w:tcPr>
          <w:p w14:paraId="7D309EFC" w14:textId="77777777" w:rsidR="00AD1F54" w:rsidRPr="00264D5D" w:rsidRDefault="00941227">
            <w:pPr>
              <w:pStyle w:val="EBTableHead"/>
              <w:ind w:left="57" w:right="57"/>
              <w:contextualSpacing w:val="0"/>
              <w:rPr>
                <w:sz w:val="22"/>
                <w:szCs w:val="22"/>
              </w:rPr>
            </w:pPr>
            <w:r w:rsidRPr="00264D5D">
              <w:rPr>
                <w:bCs w:val="0"/>
                <w:sz w:val="22"/>
                <w:szCs w:val="22"/>
              </w:rPr>
              <w:t>Дополнительная информация</w:t>
            </w:r>
          </w:p>
        </w:tc>
      </w:tr>
      <w:tr w:rsidR="00AD1F54" w:rsidRPr="00264D5D" w14:paraId="53FCDE36"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897CE54" w14:textId="77777777" w:rsidR="00AD1F54" w:rsidRPr="00264D5D" w:rsidRDefault="00941227">
            <w:pPr>
              <w:pStyle w:val="EBTablenorm"/>
              <w:ind w:left="57" w:right="57"/>
              <w:contextualSpacing w:val="0"/>
              <w:rPr>
                <w:rFonts w:eastAsia="Calibri"/>
                <w:sz w:val="22"/>
                <w:szCs w:val="22"/>
              </w:rPr>
            </w:pPr>
            <w:r w:rsidRPr="00264D5D">
              <w:rPr>
                <w:sz w:val="22"/>
                <w:szCs w:val="22"/>
              </w:rPr>
              <w:t>Код классификации расходов федерального бюджета</w:t>
            </w:r>
          </w:p>
        </w:tc>
        <w:tc>
          <w:tcPr>
            <w:tcW w:w="1701" w:type="dxa"/>
          </w:tcPr>
          <w:p w14:paraId="12D32AB6" w14:textId="77777777" w:rsidR="00AD1F54" w:rsidRPr="00264D5D" w:rsidRDefault="00941227">
            <w:pPr>
              <w:pStyle w:val="EBTablenorm"/>
              <w:ind w:left="57" w:right="57"/>
              <w:contextualSpacing w:val="0"/>
              <w:rPr>
                <w:rFonts w:eastAsia="Calibri"/>
                <w:sz w:val="22"/>
                <w:szCs w:val="22"/>
              </w:rPr>
            </w:pPr>
            <w:r w:rsidRPr="00264D5D">
              <w:rPr>
                <w:sz w:val="22"/>
                <w:szCs w:val="22"/>
                <w:lang w:val="en-US"/>
              </w:rPr>
              <w:t>SheduleKbk</w:t>
            </w:r>
          </w:p>
        </w:tc>
        <w:tc>
          <w:tcPr>
            <w:tcW w:w="567" w:type="dxa"/>
          </w:tcPr>
          <w:p w14:paraId="4A1A3274"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6A0E57AB" w14:textId="77777777" w:rsidR="00AD1F54" w:rsidRPr="00264D5D" w:rsidRDefault="00941227">
            <w:pPr>
              <w:pStyle w:val="EBTablenorm"/>
              <w:ind w:left="57" w:right="57"/>
              <w:contextualSpacing w:val="0"/>
              <w:jc w:val="left"/>
              <w:rPr>
                <w:rFonts w:eastAsia="Calibri"/>
                <w:sz w:val="22"/>
                <w:szCs w:val="22"/>
              </w:rPr>
            </w:pPr>
            <w:r w:rsidRPr="00264D5D">
              <w:rPr>
                <w:sz w:val="22"/>
                <w:szCs w:val="22"/>
                <w:lang w:val="en-US"/>
              </w:rPr>
              <w:t>Т(20)</w:t>
            </w:r>
          </w:p>
        </w:tc>
        <w:tc>
          <w:tcPr>
            <w:tcW w:w="567" w:type="dxa"/>
          </w:tcPr>
          <w:p w14:paraId="4346188F" w14:textId="77777777" w:rsidR="00AD1F54" w:rsidRPr="00264D5D" w:rsidRDefault="00941227">
            <w:pPr>
              <w:pStyle w:val="EBTablenorm"/>
              <w:ind w:left="57" w:right="57"/>
              <w:contextualSpacing w:val="0"/>
              <w:jc w:val="center"/>
              <w:rPr>
                <w:rFonts w:eastAsia="Calibri"/>
                <w:sz w:val="22"/>
                <w:szCs w:val="22"/>
              </w:rPr>
            </w:pPr>
            <w:r w:rsidRPr="00264D5D">
              <w:rPr>
                <w:sz w:val="22"/>
                <w:szCs w:val="22"/>
              </w:rPr>
              <w:t>О</w:t>
            </w:r>
          </w:p>
        </w:tc>
        <w:tc>
          <w:tcPr>
            <w:tcW w:w="3963" w:type="dxa"/>
          </w:tcPr>
          <w:p w14:paraId="7328ECD4" w14:textId="77777777" w:rsidR="00AD1F54" w:rsidRPr="00264D5D" w:rsidRDefault="00941227">
            <w:pPr>
              <w:pStyle w:val="EBTablenorm"/>
              <w:ind w:left="57" w:right="57"/>
              <w:contextualSpacing w:val="0"/>
              <w:rPr>
                <w:bCs/>
                <w:sz w:val="22"/>
                <w:szCs w:val="22"/>
              </w:rPr>
            </w:pPr>
            <w:r w:rsidRPr="00264D5D">
              <w:rPr>
                <w:sz w:val="22"/>
                <w:szCs w:val="22"/>
              </w:rPr>
              <w:t>Код классификации расходов федерального бюджета указывается в соответствии с Приказом Минфина России от 01.07.2013 № 65н «Об утверждении Указаний о порядке применения бюджетной классификации Российской Федерации»</w:t>
            </w:r>
            <w:r w:rsidRPr="00264D5D">
              <w:rPr>
                <w:bCs/>
                <w:sz w:val="22"/>
                <w:szCs w:val="22"/>
              </w:rPr>
              <w:t>.</w:t>
            </w:r>
          </w:p>
          <w:p w14:paraId="04127AC7" w14:textId="77777777" w:rsidR="00AD1F54" w:rsidRPr="00264D5D" w:rsidRDefault="00941227">
            <w:pPr>
              <w:pStyle w:val="EBTablenorm"/>
              <w:ind w:left="57" w:right="57"/>
              <w:contextualSpacing w:val="0"/>
              <w:rPr>
                <w:sz w:val="22"/>
                <w:szCs w:val="22"/>
              </w:rPr>
            </w:pPr>
            <w:r w:rsidRPr="00264D5D">
              <w:rPr>
                <w:sz w:val="22"/>
                <w:szCs w:val="22"/>
              </w:rPr>
              <w:t>Сочетание значений полей «Код классификации расходов федерального бюджета», «Наименование ОКС (ОКВ), КМИ», «Код ОКС (ОКВ), КМИ», «Аналитический код», «Признак безусловности платежа» и «Примечание» должно быть уникально в пределах блока «</w:t>
            </w:r>
            <w:r w:rsidRPr="00264D5D">
              <w:rPr>
                <w:rFonts w:eastAsia="Calibri"/>
                <w:sz w:val="22"/>
                <w:szCs w:val="22"/>
              </w:rPr>
              <w:t>Расшифровка обязательства</w:t>
            </w:r>
            <w:r w:rsidR="007E37F3" w:rsidRPr="00264D5D">
              <w:rPr>
                <w:sz w:val="22"/>
                <w:szCs w:val="22"/>
              </w:rPr>
              <w:t>»</w:t>
            </w:r>
          </w:p>
        </w:tc>
      </w:tr>
      <w:tr w:rsidR="00AD1F54" w:rsidRPr="00264D5D" w14:paraId="6B07C2F3"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26E5A71E" w14:textId="77777777" w:rsidR="00AD1F54" w:rsidRPr="00264D5D" w:rsidRDefault="00941227">
            <w:pPr>
              <w:pStyle w:val="EBTablenorm"/>
              <w:ind w:left="57" w:right="57"/>
              <w:contextualSpacing w:val="0"/>
              <w:rPr>
                <w:rFonts w:eastAsia="Calibri"/>
                <w:sz w:val="22"/>
                <w:szCs w:val="22"/>
              </w:rPr>
            </w:pPr>
            <w:r w:rsidRPr="00264D5D">
              <w:rPr>
                <w:sz w:val="22"/>
                <w:szCs w:val="22"/>
              </w:rPr>
              <w:t>Наименование ОКС (ОКВ), КМИ</w:t>
            </w:r>
          </w:p>
        </w:tc>
        <w:tc>
          <w:tcPr>
            <w:tcW w:w="1701" w:type="dxa"/>
          </w:tcPr>
          <w:p w14:paraId="5348FA25" w14:textId="77777777" w:rsidR="00AD1F54" w:rsidRPr="00264D5D" w:rsidRDefault="00941227">
            <w:pPr>
              <w:pStyle w:val="EBTablenorm"/>
              <w:ind w:left="57" w:right="57"/>
              <w:contextualSpacing w:val="0"/>
              <w:rPr>
                <w:sz w:val="22"/>
                <w:szCs w:val="22"/>
                <w:lang w:val="en-US"/>
              </w:rPr>
            </w:pPr>
            <w:r w:rsidRPr="00264D5D">
              <w:rPr>
                <w:sz w:val="22"/>
                <w:szCs w:val="22"/>
                <w:lang w:val="en-US"/>
              </w:rPr>
              <w:t>FaipName</w:t>
            </w:r>
          </w:p>
        </w:tc>
        <w:tc>
          <w:tcPr>
            <w:tcW w:w="567" w:type="dxa"/>
          </w:tcPr>
          <w:p w14:paraId="31B14BE3"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79B91343"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Т(1-2000)</w:t>
            </w:r>
          </w:p>
        </w:tc>
        <w:tc>
          <w:tcPr>
            <w:tcW w:w="567" w:type="dxa"/>
          </w:tcPr>
          <w:p w14:paraId="4C24DC56" w14:textId="77777777" w:rsidR="00AD1F54" w:rsidRPr="00264D5D" w:rsidRDefault="00941227">
            <w:pPr>
              <w:pStyle w:val="EBTablenorm"/>
              <w:ind w:left="57" w:right="57"/>
              <w:contextualSpacing w:val="0"/>
              <w:jc w:val="center"/>
              <w:rPr>
                <w:sz w:val="22"/>
                <w:szCs w:val="22"/>
              </w:rPr>
            </w:pPr>
            <w:r w:rsidRPr="00264D5D">
              <w:rPr>
                <w:sz w:val="22"/>
                <w:szCs w:val="22"/>
              </w:rPr>
              <w:t>Н</w:t>
            </w:r>
          </w:p>
        </w:tc>
        <w:tc>
          <w:tcPr>
            <w:tcW w:w="3963" w:type="dxa"/>
          </w:tcPr>
          <w:p w14:paraId="3D25B7C5" w14:textId="77777777" w:rsidR="00AD1F54" w:rsidRPr="00264D5D" w:rsidRDefault="007E37F3">
            <w:pPr>
              <w:pStyle w:val="EBTablenorm"/>
              <w:ind w:left="57" w:right="57"/>
              <w:contextualSpacing w:val="0"/>
              <w:rPr>
                <w:sz w:val="22"/>
                <w:szCs w:val="22"/>
              </w:rPr>
            </w:pPr>
            <w:r w:rsidRPr="00264D5D">
              <w:rPr>
                <w:sz w:val="22"/>
                <w:szCs w:val="22"/>
              </w:rPr>
              <w:t>Наименование ОКС (ОКВ), КМИ</w:t>
            </w:r>
          </w:p>
        </w:tc>
      </w:tr>
      <w:tr w:rsidR="00AD1F54" w:rsidRPr="00264D5D" w14:paraId="5A7D6FCD"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3CEE1EF" w14:textId="77777777" w:rsidR="00AD1F54" w:rsidRPr="00264D5D" w:rsidRDefault="00941227">
            <w:pPr>
              <w:pStyle w:val="EBTablenorm"/>
              <w:ind w:left="57" w:right="57"/>
              <w:contextualSpacing w:val="0"/>
              <w:rPr>
                <w:rFonts w:eastAsia="Calibri"/>
                <w:sz w:val="22"/>
                <w:szCs w:val="22"/>
              </w:rPr>
            </w:pPr>
            <w:r w:rsidRPr="00264D5D">
              <w:rPr>
                <w:sz w:val="22"/>
                <w:szCs w:val="22"/>
              </w:rPr>
              <w:t>Код ОКС (ОКВ), КМИ</w:t>
            </w:r>
          </w:p>
        </w:tc>
        <w:tc>
          <w:tcPr>
            <w:tcW w:w="1701" w:type="dxa"/>
          </w:tcPr>
          <w:p w14:paraId="52BE58D4" w14:textId="77777777" w:rsidR="00AD1F54" w:rsidRPr="00264D5D" w:rsidRDefault="00941227">
            <w:pPr>
              <w:pStyle w:val="EBTablenorm"/>
              <w:ind w:left="57" w:right="57"/>
              <w:contextualSpacing w:val="0"/>
              <w:rPr>
                <w:sz w:val="22"/>
                <w:szCs w:val="22"/>
                <w:lang w:val="en-US"/>
              </w:rPr>
            </w:pPr>
            <w:r w:rsidRPr="00264D5D">
              <w:rPr>
                <w:sz w:val="22"/>
                <w:szCs w:val="22"/>
                <w:lang w:val="en-US"/>
              </w:rPr>
              <w:t>FaipCode</w:t>
            </w:r>
          </w:p>
        </w:tc>
        <w:tc>
          <w:tcPr>
            <w:tcW w:w="567" w:type="dxa"/>
          </w:tcPr>
          <w:p w14:paraId="6B629009"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3F3C8D00"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Т(</w:t>
            </w:r>
            <w:r w:rsidRPr="00264D5D">
              <w:rPr>
                <w:sz w:val="22"/>
                <w:szCs w:val="22"/>
              </w:rPr>
              <w:t>1-</w:t>
            </w:r>
            <w:r w:rsidRPr="00264D5D">
              <w:rPr>
                <w:sz w:val="22"/>
                <w:szCs w:val="22"/>
                <w:lang w:val="en-US"/>
              </w:rPr>
              <w:t>24)</w:t>
            </w:r>
          </w:p>
        </w:tc>
        <w:tc>
          <w:tcPr>
            <w:tcW w:w="567" w:type="dxa"/>
          </w:tcPr>
          <w:p w14:paraId="10FA09DA" w14:textId="77777777" w:rsidR="00AD1F54" w:rsidRPr="00264D5D" w:rsidRDefault="00941227">
            <w:pPr>
              <w:pStyle w:val="EBTablenorm"/>
              <w:ind w:left="57" w:right="57"/>
              <w:contextualSpacing w:val="0"/>
              <w:jc w:val="center"/>
              <w:rPr>
                <w:sz w:val="22"/>
                <w:szCs w:val="22"/>
              </w:rPr>
            </w:pPr>
            <w:r w:rsidRPr="00264D5D">
              <w:rPr>
                <w:sz w:val="22"/>
                <w:szCs w:val="22"/>
              </w:rPr>
              <w:t>Н</w:t>
            </w:r>
          </w:p>
        </w:tc>
        <w:tc>
          <w:tcPr>
            <w:tcW w:w="3963" w:type="dxa"/>
          </w:tcPr>
          <w:p w14:paraId="6358A34B" w14:textId="77777777" w:rsidR="00AD1F54" w:rsidRPr="00264D5D" w:rsidRDefault="00941227">
            <w:pPr>
              <w:pStyle w:val="EBTablenorm"/>
              <w:ind w:left="57" w:right="57"/>
              <w:contextualSpacing w:val="0"/>
              <w:rPr>
                <w:sz w:val="22"/>
                <w:szCs w:val="22"/>
              </w:rPr>
            </w:pPr>
            <w:r w:rsidRPr="00264D5D">
              <w:rPr>
                <w:sz w:val="22"/>
                <w:szCs w:val="22"/>
              </w:rPr>
              <w:t>Может указываться уникальный код объекта капитального строительства или объекта недвижимости, ко</w:t>
            </w:r>
            <w:r w:rsidR="007E37F3" w:rsidRPr="00264D5D">
              <w:rPr>
                <w:sz w:val="22"/>
                <w:szCs w:val="22"/>
              </w:rPr>
              <w:t>д мероприятия по информатизации</w:t>
            </w:r>
          </w:p>
        </w:tc>
      </w:tr>
      <w:tr w:rsidR="00AD1F54" w:rsidRPr="00264D5D" w14:paraId="1D7BE3CE"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936F978" w14:textId="77777777" w:rsidR="00AD1F54" w:rsidRPr="00264D5D" w:rsidRDefault="00941227">
            <w:pPr>
              <w:pStyle w:val="EBTablenorm"/>
              <w:ind w:left="57" w:right="57"/>
              <w:contextualSpacing w:val="0"/>
              <w:rPr>
                <w:rFonts w:eastAsia="Calibri"/>
                <w:sz w:val="22"/>
                <w:szCs w:val="22"/>
              </w:rPr>
            </w:pPr>
            <w:r w:rsidRPr="00264D5D">
              <w:rPr>
                <w:sz w:val="22"/>
                <w:szCs w:val="22"/>
              </w:rPr>
              <w:t>Наименование вида средств</w:t>
            </w:r>
          </w:p>
        </w:tc>
        <w:tc>
          <w:tcPr>
            <w:tcW w:w="1701" w:type="dxa"/>
          </w:tcPr>
          <w:p w14:paraId="6D0D3CF1" w14:textId="77777777" w:rsidR="00AD1F54" w:rsidRPr="00264D5D" w:rsidRDefault="00941227">
            <w:pPr>
              <w:pStyle w:val="EBTablenorm"/>
              <w:ind w:left="57" w:right="57"/>
              <w:contextualSpacing w:val="0"/>
              <w:rPr>
                <w:sz w:val="22"/>
                <w:szCs w:val="22"/>
                <w:lang w:val="en-US"/>
              </w:rPr>
            </w:pPr>
            <w:r w:rsidRPr="00264D5D">
              <w:rPr>
                <w:sz w:val="22"/>
                <w:szCs w:val="22"/>
                <w:lang w:val="en-US"/>
              </w:rPr>
              <w:t>SrrFin</w:t>
            </w:r>
          </w:p>
        </w:tc>
        <w:tc>
          <w:tcPr>
            <w:tcW w:w="567" w:type="dxa"/>
          </w:tcPr>
          <w:p w14:paraId="2FE7ED47"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6F867CDB"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Т(1)</w:t>
            </w:r>
          </w:p>
        </w:tc>
        <w:tc>
          <w:tcPr>
            <w:tcW w:w="567" w:type="dxa"/>
          </w:tcPr>
          <w:p w14:paraId="1570C304"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21F621D5" w14:textId="77777777" w:rsidR="00AD1F54" w:rsidRPr="00264D5D" w:rsidRDefault="00941227">
            <w:pPr>
              <w:pStyle w:val="EBTablenorm"/>
              <w:ind w:left="57" w:right="57"/>
              <w:contextualSpacing w:val="0"/>
              <w:rPr>
                <w:b/>
                <w:sz w:val="22"/>
                <w:szCs w:val="22"/>
              </w:rPr>
            </w:pPr>
            <w:r w:rsidRPr="00264D5D">
              <w:rPr>
                <w:sz w:val="22"/>
                <w:szCs w:val="22"/>
              </w:rPr>
              <w:t>Наименование вида средств. Допустимые значения:</w:t>
            </w:r>
          </w:p>
          <w:p w14:paraId="7A7CB6C0" w14:textId="77777777" w:rsidR="00AD1F54" w:rsidRPr="00264D5D" w:rsidRDefault="007E37F3" w:rsidP="00E7460C">
            <w:pPr>
              <w:pStyle w:val="EBTablenorm"/>
              <w:numPr>
                <w:ilvl w:val="0"/>
                <w:numId w:val="106"/>
              </w:numPr>
              <w:ind w:left="284" w:right="57" w:hanging="227"/>
              <w:contextualSpacing w:val="0"/>
              <w:rPr>
                <w:sz w:val="22"/>
                <w:szCs w:val="22"/>
              </w:rPr>
            </w:pPr>
            <w:r w:rsidRPr="00264D5D">
              <w:rPr>
                <w:sz w:val="22"/>
                <w:szCs w:val="22"/>
              </w:rPr>
              <w:t>«1» – средства бюджета</w:t>
            </w:r>
          </w:p>
        </w:tc>
      </w:tr>
      <w:tr w:rsidR="00AD1F54" w:rsidRPr="00264D5D" w14:paraId="35AABDB9"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4DF19A6" w14:textId="77777777" w:rsidR="00AD1F54" w:rsidRPr="00264D5D" w:rsidRDefault="00941227">
            <w:pPr>
              <w:pStyle w:val="EBTablenorm"/>
              <w:ind w:left="57" w:right="57"/>
              <w:contextualSpacing w:val="0"/>
              <w:rPr>
                <w:rFonts w:eastAsia="Calibri"/>
                <w:sz w:val="22"/>
                <w:szCs w:val="22"/>
              </w:rPr>
            </w:pPr>
            <w:r w:rsidRPr="00264D5D">
              <w:rPr>
                <w:sz w:val="22"/>
                <w:szCs w:val="22"/>
              </w:rPr>
              <w:t>Признак безусловности платежа</w:t>
            </w:r>
          </w:p>
        </w:tc>
        <w:tc>
          <w:tcPr>
            <w:tcW w:w="1701" w:type="dxa"/>
          </w:tcPr>
          <w:p w14:paraId="6DE7B78A" w14:textId="77777777" w:rsidR="00AD1F54" w:rsidRPr="00264D5D" w:rsidRDefault="00941227">
            <w:pPr>
              <w:pStyle w:val="EBTablenorm"/>
              <w:ind w:left="57" w:right="57"/>
              <w:contextualSpacing w:val="0"/>
              <w:rPr>
                <w:sz w:val="22"/>
                <w:szCs w:val="22"/>
                <w:lang w:val="en-US"/>
              </w:rPr>
            </w:pPr>
            <w:r w:rsidRPr="00264D5D">
              <w:rPr>
                <w:sz w:val="22"/>
                <w:szCs w:val="22"/>
                <w:lang w:val="en-US"/>
              </w:rPr>
              <w:t>PrznPl</w:t>
            </w:r>
          </w:p>
        </w:tc>
        <w:tc>
          <w:tcPr>
            <w:tcW w:w="567" w:type="dxa"/>
          </w:tcPr>
          <w:p w14:paraId="6D7918D9"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59BB3670"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Т(1)</w:t>
            </w:r>
          </w:p>
        </w:tc>
        <w:tc>
          <w:tcPr>
            <w:tcW w:w="567" w:type="dxa"/>
          </w:tcPr>
          <w:p w14:paraId="7E245F65"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546C976F" w14:textId="77777777" w:rsidR="00AD1F54" w:rsidRPr="00264D5D" w:rsidRDefault="00941227">
            <w:pPr>
              <w:pStyle w:val="EBTablenorm"/>
              <w:ind w:left="57" w:right="57"/>
              <w:contextualSpacing w:val="0"/>
              <w:rPr>
                <w:b/>
                <w:sz w:val="22"/>
                <w:szCs w:val="22"/>
              </w:rPr>
            </w:pPr>
            <w:r w:rsidRPr="00264D5D">
              <w:rPr>
                <w:sz w:val="22"/>
                <w:szCs w:val="22"/>
              </w:rPr>
              <w:t>Признак безусловности платежа. Допустимые значения:</w:t>
            </w:r>
          </w:p>
          <w:p w14:paraId="64FA4CF9" w14:textId="77777777" w:rsidR="00AD1F54" w:rsidRPr="00264D5D" w:rsidRDefault="00941227" w:rsidP="00E7460C">
            <w:pPr>
              <w:pStyle w:val="EBTablenorm"/>
              <w:numPr>
                <w:ilvl w:val="0"/>
                <w:numId w:val="106"/>
              </w:numPr>
              <w:ind w:left="284" w:right="57" w:hanging="227"/>
              <w:contextualSpacing w:val="0"/>
              <w:rPr>
                <w:sz w:val="22"/>
                <w:szCs w:val="22"/>
              </w:rPr>
            </w:pPr>
            <w:r w:rsidRPr="00264D5D">
              <w:rPr>
                <w:sz w:val="22"/>
                <w:szCs w:val="22"/>
              </w:rPr>
              <w:t xml:space="preserve">«0» – безусловное; </w:t>
            </w:r>
          </w:p>
          <w:p w14:paraId="7167C984" w14:textId="77777777" w:rsidR="00AD1F54" w:rsidRPr="00264D5D" w:rsidRDefault="007E37F3" w:rsidP="00E7460C">
            <w:pPr>
              <w:pStyle w:val="EBTablenorm"/>
              <w:numPr>
                <w:ilvl w:val="0"/>
                <w:numId w:val="106"/>
              </w:numPr>
              <w:ind w:left="284" w:right="57" w:hanging="227"/>
              <w:contextualSpacing w:val="0"/>
              <w:rPr>
                <w:sz w:val="22"/>
                <w:szCs w:val="22"/>
              </w:rPr>
            </w:pPr>
            <w:r w:rsidRPr="00264D5D">
              <w:rPr>
                <w:sz w:val="22"/>
                <w:szCs w:val="22"/>
              </w:rPr>
              <w:t>«1» – условное</w:t>
            </w:r>
          </w:p>
        </w:tc>
      </w:tr>
      <w:tr w:rsidR="00AD1F54" w:rsidRPr="00264D5D" w14:paraId="26C64D27"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23D23EB" w14:textId="77777777" w:rsidR="00AD1F54" w:rsidRPr="00264D5D" w:rsidRDefault="00941227">
            <w:pPr>
              <w:pStyle w:val="EBTablenorm"/>
              <w:ind w:left="57" w:right="57"/>
              <w:contextualSpacing w:val="0"/>
              <w:rPr>
                <w:rFonts w:eastAsia="Calibri"/>
                <w:sz w:val="22"/>
                <w:szCs w:val="22"/>
              </w:rPr>
            </w:pPr>
            <w:r w:rsidRPr="00264D5D">
              <w:rPr>
                <w:sz w:val="22"/>
                <w:szCs w:val="22"/>
              </w:rPr>
              <w:t>Сумма исполненного обязательства прошлых лет</w:t>
            </w:r>
          </w:p>
        </w:tc>
        <w:tc>
          <w:tcPr>
            <w:tcW w:w="1701" w:type="dxa"/>
          </w:tcPr>
          <w:p w14:paraId="2E97D3AD" w14:textId="77777777" w:rsidR="00AD1F54" w:rsidRPr="00264D5D" w:rsidRDefault="00941227">
            <w:pPr>
              <w:pStyle w:val="EBTablenorm"/>
              <w:ind w:left="57" w:right="57"/>
              <w:contextualSpacing w:val="0"/>
              <w:rPr>
                <w:sz w:val="22"/>
                <w:szCs w:val="22"/>
                <w:lang w:val="en-US"/>
              </w:rPr>
            </w:pPr>
            <w:r w:rsidRPr="00264D5D">
              <w:rPr>
                <w:sz w:val="22"/>
                <w:szCs w:val="22"/>
                <w:lang w:val="en-US"/>
              </w:rPr>
              <w:t>SummIsp</w:t>
            </w:r>
          </w:p>
        </w:tc>
        <w:tc>
          <w:tcPr>
            <w:tcW w:w="567" w:type="dxa"/>
          </w:tcPr>
          <w:p w14:paraId="11A05D81"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502FE68B" w14:textId="77777777" w:rsidR="00AD1F54" w:rsidRPr="00264D5D" w:rsidRDefault="00941227">
            <w:pPr>
              <w:pStyle w:val="EBTablenorm"/>
              <w:ind w:left="57" w:right="57"/>
              <w:contextualSpacing w:val="0"/>
              <w:jc w:val="left"/>
              <w:rPr>
                <w:sz w:val="22"/>
                <w:szCs w:val="22"/>
                <w:lang w:val="en-US"/>
              </w:rPr>
            </w:pPr>
            <w:r w:rsidRPr="00264D5D">
              <w:rPr>
                <w:rFonts w:eastAsia="Calibri"/>
                <w:sz w:val="22"/>
                <w:szCs w:val="22"/>
              </w:rPr>
              <w:t>N(14.2)</w:t>
            </w:r>
          </w:p>
        </w:tc>
        <w:tc>
          <w:tcPr>
            <w:tcW w:w="567" w:type="dxa"/>
          </w:tcPr>
          <w:p w14:paraId="58AC43AD"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63AD343D" w14:textId="77777777" w:rsidR="00AD1F54" w:rsidRPr="00264D5D" w:rsidRDefault="00941227">
            <w:pPr>
              <w:pStyle w:val="EBTablenorm"/>
              <w:ind w:left="57" w:right="57"/>
              <w:contextualSpacing w:val="0"/>
              <w:rPr>
                <w:sz w:val="22"/>
                <w:szCs w:val="22"/>
              </w:rPr>
            </w:pPr>
            <w:r w:rsidRPr="00264D5D">
              <w:rPr>
                <w:sz w:val="22"/>
                <w:szCs w:val="22"/>
              </w:rPr>
              <w:t xml:space="preserve">Сумма исполненного обязательства прошлых лет. </w:t>
            </w:r>
          </w:p>
          <w:p w14:paraId="06B9F3B0" w14:textId="77777777" w:rsidR="00AD1F54" w:rsidRPr="00264D5D" w:rsidRDefault="00941227">
            <w:pPr>
              <w:pStyle w:val="EBTablenorm"/>
              <w:ind w:left="57" w:right="57"/>
              <w:contextualSpacing w:val="0"/>
              <w:rPr>
                <w:b/>
                <w:sz w:val="22"/>
                <w:szCs w:val="22"/>
              </w:rPr>
            </w:pPr>
            <w:r w:rsidRPr="00264D5D">
              <w:rPr>
                <w:sz w:val="22"/>
                <w:szCs w:val="22"/>
              </w:rPr>
              <w:t>При отсу</w:t>
            </w:r>
            <w:r w:rsidR="007E37F3" w:rsidRPr="00264D5D">
              <w:rPr>
                <w:sz w:val="22"/>
                <w:szCs w:val="22"/>
              </w:rPr>
              <w:t>тствии указывается 0.00</w:t>
            </w:r>
          </w:p>
        </w:tc>
      </w:tr>
      <w:tr w:rsidR="00AD1F54" w:rsidRPr="00264D5D" w14:paraId="6EDAF1D3"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08A9D13" w14:textId="77777777" w:rsidR="00AD1F54" w:rsidRPr="00264D5D" w:rsidRDefault="00941227">
            <w:pPr>
              <w:pStyle w:val="EBTablenorm"/>
              <w:ind w:left="57" w:right="57"/>
              <w:contextualSpacing w:val="0"/>
              <w:rPr>
                <w:rFonts w:eastAsia="Calibri"/>
                <w:sz w:val="22"/>
                <w:szCs w:val="22"/>
              </w:rPr>
            </w:pPr>
            <w:r w:rsidRPr="00264D5D">
              <w:rPr>
                <w:sz w:val="22"/>
                <w:szCs w:val="22"/>
              </w:rPr>
              <w:t xml:space="preserve">Сумма неисполненного обязательства </w:t>
            </w:r>
            <w:r w:rsidRPr="00264D5D">
              <w:rPr>
                <w:sz w:val="22"/>
                <w:szCs w:val="22"/>
              </w:rPr>
              <w:lastRenderedPageBreak/>
              <w:t>прошлых лет</w:t>
            </w:r>
          </w:p>
        </w:tc>
        <w:tc>
          <w:tcPr>
            <w:tcW w:w="1701" w:type="dxa"/>
          </w:tcPr>
          <w:p w14:paraId="00B89575" w14:textId="77777777" w:rsidR="00AD1F54" w:rsidRPr="00264D5D" w:rsidRDefault="00941227">
            <w:pPr>
              <w:pStyle w:val="EBTablenorm"/>
              <w:ind w:left="57" w:right="57"/>
              <w:contextualSpacing w:val="0"/>
              <w:rPr>
                <w:sz w:val="22"/>
                <w:szCs w:val="22"/>
                <w:lang w:val="en-US"/>
              </w:rPr>
            </w:pPr>
            <w:r w:rsidRPr="00264D5D">
              <w:rPr>
                <w:sz w:val="22"/>
                <w:szCs w:val="22"/>
                <w:lang w:val="en-US"/>
              </w:rPr>
              <w:lastRenderedPageBreak/>
              <w:t>SummNeisp</w:t>
            </w:r>
          </w:p>
        </w:tc>
        <w:tc>
          <w:tcPr>
            <w:tcW w:w="567" w:type="dxa"/>
          </w:tcPr>
          <w:p w14:paraId="444A5BC8"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73AFDCEC" w14:textId="77777777" w:rsidR="00AD1F54" w:rsidRPr="00264D5D" w:rsidRDefault="00941227">
            <w:pPr>
              <w:pStyle w:val="EBTablenorm"/>
              <w:ind w:left="57" w:right="57"/>
              <w:contextualSpacing w:val="0"/>
              <w:jc w:val="left"/>
              <w:rPr>
                <w:sz w:val="22"/>
                <w:szCs w:val="22"/>
                <w:lang w:val="en-US"/>
              </w:rPr>
            </w:pPr>
            <w:r w:rsidRPr="00264D5D">
              <w:rPr>
                <w:rFonts w:eastAsia="Calibri"/>
                <w:sz w:val="22"/>
                <w:szCs w:val="22"/>
              </w:rPr>
              <w:t>N(14.2)</w:t>
            </w:r>
          </w:p>
        </w:tc>
        <w:tc>
          <w:tcPr>
            <w:tcW w:w="567" w:type="dxa"/>
          </w:tcPr>
          <w:p w14:paraId="3CBB4A29"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7818ED9E" w14:textId="77777777" w:rsidR="00AD1F54" w:rsidRPr="00264D5D" w:rsidRDefault="00941227">
            <w:pPr>
              <w:pStyle w:val="EBTablenorm"/>
              <w:ind w:left="57" w:right="57"/>
              <w:contextualSpacing w:val="0"/>
              <w:rPr>
                <w:sz w:val="22"/>
                <w:szCs w:val="22"/>
              </w:rPr>
            </w:pPr>
            <w:r w:rsidRPr="00264D5D">
              <w:rPr>
                <w:sz w:val="22"/>
                <w:szCs w:val="22"/>
              </w:rPr>
              <w:t xml:space="preserve">Сумма неисполненного обязательства прошлых лет. </w:t>
            </w:r>
          </w:p>
          <w:p w14:paraId="6F60C7B9" w14:textId="77777777" w:rsidR="00AD1F54" w:rsidRPr="00264D5D" w:rsidRDefault="007E37F3">
            <w:pPr>
              <w:pStyle w:val="EBTablenorm"/>
              <w:ind w:left="57" w:right="57"/>
              <w:contextualSpacing w:val="0"/>
              <w:rPr>
                <w:sz w:val="22"/>
                <w:szCs w:val="22"/>
              </w:rPr>
            </w:pPr>
            <w:r w:rsidRPr="00264D5D">
              <w:rPr>
                <w:sz w:val="22"/>
                <w:szCs w:val="22"/>
              </w:rPr>
              <w:t>При отсутствии указывается 0.00</w:t>
            </w:r>
          </w:p>
        </w:tc>
      </w:tr>
      <w:tr w:rsidR="00AD1F54" w:rsidRPr="00264D5D" w14:paraId="5D27F1D3"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607C21F6" w14:textId="77777777" w:rsidR="00AD1F54" w:rsidRPr="00264D5D" w:rsidRDefault="00941227">
            <w:pPr>
              <w:pStyle w:val="EBTablenorm"/>
              <w:ind w:left="57" w:right="57"/>
              <w:contextualSpacing w:val="0"/>
              <w:rPr>
                <w:rFonts w:eastAsia="Calibri"/>
                <w:sz w:val="22"/>
                <w:szCs w:val="22"/>
              </w:rPr>
            </w:pPr>
            <w:r w:rsidRPr="00264D5D">
              <w:rPr>
                <w:sz w:val="22"/>
                <w:szCs w:val="22"/>
              </w:rPr>
              <w:lastRenderedPageBreak/>
              <w:t>Суммы обязательства по месяцам и годам</w:t>
            </w:r>
          </w:p>
        </w:tc>
        <w:tc>
          <w:tcPr>
            <w:tcW w:w="1701" w:type="dxa"/>
          </w:tcPr>
          <w:p w14:paraId="152FD361" w14:textId="77777777" w:rsidR="00AD1F54" w:rsidRPr="00264D5D" w:rsidRDefault="00941227">
            <w:pPr>
              <w:pStyle w:val="EBTablenorm"/>
              <w:ind w:left="57" w:right="57"/>
              <w:contextualSpacing w:val="0"/>
              <w:rPr>
                <w:sz w:val="22"/>
                <w:szCs w:val="22"/>
                <w:lang w:val="en-US"/>
              </w:rPr>
            </w:pPr>
            <w:r w:rsidRPr="00264D5D">
              <w:rPr>
                <w:sz w:val="22"/>
                <w:szCs w:val="22"/>
                <w:lang w:val="en-US"/>
              </w:rPr>
              <w:t>DetalsSumInf</w:t>
            </w:r>
          </w:p>
        </w:tc>
        <w:tc>
          <w:tcPr>
            <w:tcW w:w="567" w:type="dxa"/>
          </w:tcPr>
          <w:p w14:paraId="66CCF120" w14:textId="77777777" w:rsidR="00AD1F54" w:rsidRPr="00264D5D" w:rsidRDefault="00941227">
            <w:pPr>
              <w:pStyle w:val="EBTablenorm"/>
              <w:ind w:left="57" w:right="57"/>
              <w:contextualSpacing w:val="0"/>
              <w:jc w:val="center"/>
              <w:rPr>
                <w:sz w:val="22"/>
                <w:szCs w:val="22"/>
              </w:rPr>
            </w:pPr>
            <w:r w:rsidRPr="00264D5D">
              <w:rPr>
                <w:bCs/>
                <w:sz w:val="22"/>
                <w:szCs w:val="22"/>
                <w:lang w:val="en-US"/>
              </w:rPr>
              <w:t>С</w:t>
            </w:r>
          </w:p>
        </w:tc>
        <w:tc>
          <w:tcPr>
            <w:tcW w:w="1134" w:type="dxa"/>
          </w:tcPr>
          <w:p w14:paraId="5F4B3E00" w14:textId="77777777" w:rsidR="00AD1F54" w:rsidRPr="00264D5D" w:rsidRDefault="00941227">
            <w:pPr>
              <w:pStyle w:val="EBTablenorm"/>
              <w:ind w:left="57" w:right="57"/>
              <w:contextualSpacing w:val="0"/>
              <w:jc w:val="left"/>
              <w:rPr>
                <w:sz w:val="22"/>
                <w:szCs w:val="22"/>
                <w:lang w:val="en-US"/>
              </w:rPr>
            </w:pPr>
            <w:r w:rsidRPr="00264D5D">
              <w:rPr>
                <w:bCs/>
                <w:sz w:val="22"/>
                <w:szCs w:val="22"/>
                <w:lang w:val="en-US"/>
              </w:rPr>
              <w:t>tDetalsSumInf</w:t>
            </w:r>
          </w:p>
        </w:tc>
        <w:tc>
          <w:tcPr>
            <w:tcW w:w="567" w:type="dxa"/>
          </w:tcPr>
          <w:p w14:paraId="64967CFC"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7C45BA77" w14:textId="77777777" w:rsidR="00AD1F54" w:rsidRPr="00264D5D" w:rsidRDefault="00941227">
            <w:pPr>
              <w:pStyle w:val="EBTablenorm"/>
              <w:ind w:left="57" w:right="57"/>
              <w:contextualSpacing w:val="0"/>
              <w:rPr>
                <w:sz w:val="22"/>
                <w:szCs w:val="22"/>
              </w:rPr>
            </w:pPr>
            <w:r w:rsidRPr="00264D5D">
              <w:rPr>
                <w:sz w:val="22"/>
                <w:szCs w:val="22"/>
              </w:rPr>
              <w:t>Детализация сумм обязательства по месяцам и годам.</w:t>
            </w:r>
          </w:p>
          <w:p w14:paraId="1A0F6F27" w14:textId="606A23FD" w:rsidR="00AD1F54" w:rsidRPr="00264D5D" w:rsidRDefault="00941227">
            <w:pPr>
              <w:pStyle w:val="EBTablenorm"/>
              <w:ind w:left="57" w:right="57"/>
              <w:contextualSpacing w:val="0"/>
              <w:rPr>
                <w:sz w:val="22"/>
                <w:szCs w:val="22"/>
              </w:rPr>
            </w:pPr>
            <w:r w:rsidRPr="00264D5D">
              <w:rPr>
                <w:sz w:val="22"/>
                <w:szCs w:val="22"/>
              </w:rPr>
              <w:t>Состав элемента представлен в таблице</w:t>
            </w:r>
            <w:r w:rsidRPr="00264D5D">
              <w:rPr>
                <w:b/>
                <w:sz w:val="22"/>
                <w:szCs w:val="22"/>
              </w:rPr>
              <w:t xml:space="preserve"> </w:t>
            </w:r>
            <w:r w:rsidRPr="00264D5D">
              <w:rPr>
                <w:b/>
                <w:sz w:val="22"/>
                <w:szCs w:val="22"/>
              </w:rPr>
              <w:fldChar w:fldCharType="begin"/>
            </w:r>
            <w:r w:rsidRPr="00264D5D">
              <w:rPr>
                <w:b/>
                <w:sz w:val="22"/>
                <w:szCs w:val="22"/>
              </w:rPr>
              <w:instrText xml:space="preserve"> REF _Ref494365626 \h  \* MERGEFORMAT </w:instrText>
            </w:r>
            <w:r w:rsidRPr="00264D5D">
              <w:rPr>
                <w:b/>
                <w:sz w:val="22"/>
                <w:szCs w:val="22"/>
              </w:rPr>
            </w:r>
            <w:r w:rsidRPr="00264D5D">
              <w:rPr>
                <w:b/>
                <w:sz w:val="22"/>
                <w:szCs w:val="22"/>
              </w:rPr>
              <w:fldChar w:fldCharType="separate"/>
            </w:r>
            <w:r w:rsidR="008D797C" w:rsidRPr="008D797C">
              <w:rPr>
                <w:rFonts w:eastAsia="Calibri"/>
                <w:b/>
                <w:sz w:val="22"/>
                <w:szCs w:val="22"/>
              </w:rPr>
              <w:t>213</w:t>
            </w:r>
            <w:r w:rsidRPr="00264D5D">
              <w:rPr>
                <w:b/>
                <w:sz w:val="22"/>
                <w:szCs w:val="22"/>
              </w:rPr>
              <w:fldChar w:fldCharType="end"/>
            </w:r>
          </w:p>
        </w:tc>
      </w:tr>
      <w:tr w:rsidR="00AD1F54" w:rsidRPr="00264D5D" w14:paraId="1B1D0800"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0751081" w14:textId="77777777" w:rsidR="00AD1F54" w:rsidRPr="00264D5D" w:rsidRDefault="00941227">
            <w:pPr>
              <w:pStyle w:val="EBTablenorm"/>
              <w:ind w:left="57" w:right="57"/>
              <w:contextualSpacing w:val="0"/>
              <w:rPr>
                <w:rFonts w:eastAsia="Calibri"/>
                <w:sz w:val="22"/>
                <w:szCs w:val="22"/>
              </w:rPr>
            </w:pPr>
            <w:r w:rsidRPr="00264D5D">
              <w:rPr>
                <w:sz w:val="22"/>
                <w:szCs w:val="22"/>
              </w:rPr>
              <w:t>Аналитический код</w:t>
            </w:r>
          </w:p>
        </w:tc>
        <w:tc>
          <w:tcPr>
            <w:tcW w:w="1701" w:type="dxa"/>
          </w:tcPr>
          <w:p w14:paraId="06071170" w14:textId="77777777" w:rsidR="00AD1F54" w:rsidRPr="00264D5D" w:rsidRDefault="00941227">
            <w:pPr>
              <w:pStyle w:val="EBTablenorm"/>
              <w:ind w:left="57" w:right="57"/>
              <w:contextualSpacing w:val="0"/>
              <w:rPr>
                <w:rStyle w:val="aff5"/>
                <w:bCs/>
                <w:sz w:val="22"/>
                <w:szCs w:val="22"/>
              </w:rPr>
            </w:pPr>
            <w:r w:rsidRPr="00264D5D">
              <w:rPr>
                <w:sz w:val="22"/>
                <w:szCs w:val="22"/>
                <w:lang w:val="en-US"/>
              </w:rPr>
              <w:t>TrgtCode</w:t>
            </w:r>
          </w:p>
        </w:tc>
        <w:tc>
          <w:tcPr>
            <w:tcW w:w="567" w:type="dxa"/>
          </w:tcPr>
          <w:p w14:paraId="5834B0BB"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786CD4DD" w14:textId="77777777" w:rsidR="00AD1F54" w:rsidRPr="00264D5D" w:rsidRDefault="00941227">
            <w:pPr>
              <w:pStyle w:val="EBTablenorm"/>
              <w:ind w:left="57" w:right="57"/>
              <w:contextualSpacing w:val="0"/>
              <w:jc w:val="left"/>
              <w:rPr>
                <w:bCs/>
                <w:sz w:val="22"/>
                <w:szCs w:val="22"/>
                <w:lang w:val="en-US"/>
              </w:rPr>
            </w:pPr>
            <w:r w:rsidRPr="00264D5D">
              <w:rPr>
                <w:sz w:val="22"/>
                <w:szCs w:val="22"/>
                <w:lang w:val="en-US"/>
              </w:rPr>
              <w:t>Т(1-20)</w:t>
            </w:r>
          </w:p>
        </w:tc>
        <w:tc>
          <w:tcPr>
            <w:tcW w:w="567" w:type="dxa"/>
          </w:tcPr>
          <w:p w14:paraId="022F27D0" w14:textId="77777777" w:rsidR="00AD1F54" w:rsidRPr="00264D5D" w:rsidRDefault="00941227">
            <w:pPr>
              <w:pStyle w:val="EBTablenorm"/>
              <w:ind w:left="57" w:right="57"/>
              <w:contextualSpacing w:val="0"/>
              <w:jc w:val="center"/>
              <w:rPr>
                <w:sz w:val="22"/>
                <w:szCs w:val="22"/>
              </w:rPr>
            </w:pPr>
            <w:r w:rsidRPr="00264D5D">
              <w:rPr>
                <w:sz w:val="22"/>
                <w:szCs w:val="22"/>
              </w:rPr>
              <w:t>Н</w:t>
            </w:r>
          </w:p>
        </w:tc>
        <w:tc>
          <w:tcPr>
            <w:tcW w:w="3963" w:type="dxa"/>
          </w:tcPr>
          <w:p w14:paraId="6616FE0C" w14:textId="77777777" w:rsidR="00AD1F54" w:rsidRPr="00264D5D" w:rsidRDefault="007E37F3">
            <w:pPr>
              <w:pStyle w:val="EBTablenorm"/>
              <w:ind w:left="57" w:right="57"/>
              <w:contextualSpacing w:val="0"/>
              <w:rPr>
                <w:sz w:val="22"/>
                <w:szCs w:val="22"/>
              </w:rPr>
            </w:pPr>
            <w:r w:rsidRPr="00264D5D">
              <w:rPr>
                <w:sz w:val="22"/>
                <w:szCs w:val="22"/>
              </w:rPr>
              <w:t>Аналитический код</w:t>
            </w:r>
          </w:p>
        </w:tc>
      </w:tr>
      <w:tr w:rsidR="00AD1F54" w:rsidRPr="00264D5D" w14:paraId="264D547B"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43C8B939" w14:textId="77777777" w:rsidR="00AD1F54" w:rsidRPr="00264D5D" w:rsidRDefault="00941227">
            <w:pPr>
              <w:pStyle w:val="EBTablenorm"/>
              <w:ind w:left="57" w:right="57"/>
              <w:contextualSpacing w:val="0"/>
              <w:rPr>
                <w:rFonts w:eastAsia="Calibri"/>
                <w:sz w:val="22"/>
                <w:szCs w:val="22"/>
              </w:rPr>
            </w:pPr>
            <w:r w:rsidRPr="00264D5D">
              <w:rPr>
                <w:sz w:val="22"/>
                <w:szCs w:val="22"/>
              </w:rPr>
              <w:t>Примечание</w:t>
            </w:r>
          </w:p>
        </w:tc>
        <w:tc>
          <w:tcPr>
            <w:tcW w:w="1701" w:type="dxa"/>
          </w:tcPr>
          <w:p w14:paraId="067695A7" w14:textId="77777777" w:rsidR="00AD1F54" w:rsidRPr="00264D5D" w:rsidRDefault="00941227">
            <w:pPr>
              <w:pStyle w:val="EBTablenorm"/>
              <w:ind w:left="57" w:right="57"/>
              <w:contextualSpacing w:val="0"/>
              <w:rPr>
                <w:sz w:val="22"/>
                <w:szCs w:val="22"/>
                <w:lang w:val="en-US"/>
              </w:rPr>
            </w:pPr>
            <w:r w:rsidRPr="00264D5D">
              <w:rPr>
                <w:sz w:val="22"/>
                <w:szCs w:val="22"/>
                <w:lang w:val="en-US"/>
              </w:rPr>
              <w:t>Note</w:t>
            </w:r>
          </w:p>
        </w:tc>
        <w:tc>
          <w:tcPr>
            <w:tcW w:w="567" w:type="dxa"/>
          </w:tcPr>
          <w:p w14:paraId="0E57E842"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5D75F57B"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Т(1-2000)</w:t>
            </w:r>
          </w:p>
        </w:tc>
        <w:tc>
          <w:tcPr>
            <w:tcW w:w="567" w:type="dxa"/>
          </w:tcPr>
          <w:p w14:paraId="115750CB" w14:textId="77777777" w:rsidR="00AD1F54" w:rsidRPr="00264D5D" w:rsidRDefault="00941227">
            <w:pPr>
              <w:pStyle w:val="EBTablenorm"/>
              <w:ind w:left="57" w:right="57"/>
              <w:contextualSpacing w:val="0"/>
              <w:jc w:val="center"/>
              <w:rPr>
                <w:sz w:val="22"/>
                <w:szCs w:val="22"/>
              </w:rPr>
            </w:pPr>
            <w:r w:rsidRPr="00264D5D">
              <w:rPr>
                <w:sz w:val="22"/>
                <w:szCs w:val="22"/>
              </w:rPr>
              <w:t>Н</w:t>
            </w:r>
          </w:p>
        </w:tc>
        <w:tc>
          <w:tcPr>
            <w:tcW w:w="3963" w:type="dxa"/>
          </w:tcPr>
          <w:p w14:paraId="5DC33ECE" w14:textId="77777777" w:rsidR="00AD1F54" w:rsidRPr="00264D5D" w:rsidRDefault="007E37F3">
            <w:pPr>
              <w:pStyle w:val="EBTablenorm"/>
              <w:ind w:left="57" w:right="57"/>
              <w:contextualSpacing w:val="0"/>
              <w:rPr>
                <w:sz w:val="22"/>
                <w:szCs w:val="22"/>
              </w:rPr>
            </w:pPr>
            <w:r w:rsidRPr="00264D5D">
              <w:rPr>
                <w:sz w:val="22"/>
                <w:szCs w:val="22"/>
              </w:rPr>
              <w:t>Примечание</w:t>
            </w:r>
          </w:p>
        </w:tc>
      </w:tr>
    </w:tbl>
    <w:p w14:paraId="7FAEBEE2" w14:textId="77777777" w:rsidR="00AD1F54" w:rsidRPr="00264D5D" w:rsidRDefault="00941227">
      <w:pPr>
        <w:pStyle w:val="31"/>
      </w:pPr>
      <w:bookmarkStart w:id="2037" w:name="_Toc496984042"/>
      <w:bookmarkStart w:id="2038" w:name="_Toc219309675"/>
      <w:r w:rsidRPr="00264D5D">
        <w:t>Описание комплексного типа «tDetalsSumInf»</w:t>
      </w:r>
      <w:bookmarkEnd w:id="2037"/>
      <w:bookmarkEnd w:id="2038"/>
    </w:p>
    <w:p w14:paraId="6DDDD9E3" w14:textId="77777777" w:rsidR="00AD1F54" w:rsidRPr="00264D5D" w:rsidRDefault="00941227">
      <w:pPr>
        <w:spacing w:before="60" w:after="120"/>
        <w:ind w:firstLine="567"/>
        <w:rPr>
          <w:rFonts w:eastAsia="Calibri"/>
          <w:sz w:val="28"/>
          <w:szCs w:val="28"/>
        </w:rPr>
      </w:pPr>
      <w:r w:rsidRPr="00264D5D">
        <w:rPr>
          <w:rFonts w:eastAsia="Calibri"/>
          <w:szCs w:val="24"/>
        </w:rPr>
        <w:t xml:space="preserve">Описание комплексного типа «tDetalsSumInf» </w:t>
      </w:r>
      <w:r w:rsidRPr="00264D5D">
        <w:t>блока «</w:t>
      </w:r>
      <w:r w:rsidRPr="00264D5D">
        <w:rPr>
          <w:rFonts w:eastAsia="Calibri"/>
          <w:szCs w:val="24"/>
        </w:rPr>
        <w:t>Детализация сумм обязательства по месяцам и годам».</w:t>
      </w:r>
    </w:p>
    <w:p w14:paraId="72FCC7FB" w14:textId="2D4AF00B"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2039" w:name="_Ref494365626"/>
      <w:bookmarkStart w:id="2040" w:name="_Toc30503392"/>
      <w:bookmarkStart w:id="2041" w:name="_Toc30507990"/>
      <w:bookmarkStart w:id="2042" w:name="_Toc219309243"/>
      <w:r w:rsidR="008D797C">
        <w:rPr>
          <w:rFonts w:eastAsia="Calibri"/>
          <w:noProof/>
          <w:szCs w:val="24"/>
        </w:rPr>
        <w:t>213</w:t>
      </w:r>
      <w:bookmarkEnd w:id="2039"/>
      <w:r w:rsidRPr="00264D5D">
        <w:rPr>
          <w:rFonts w:eastAsia="Calibri"/>
          <w:szCs w:val="24"/>
        </w:rPr>
        <w:fldChar w:fldCharType="end"/>
      </w:r>
      <w:r w:rsidRPr="00264D5D">
        <w:rPr>
          <w:rFonts w:eastAsia="Calibri"/>
          <w:szCs w:val="24"/>
        </w:rPr>
        <w:t xml:space="preserve"> – Описание комплексного типа «tDetalsSumInf»</w:t>
      </w:r>
      <w:bookmarkEnd w:id="2040"/>
      <w:bookmarkEnd w:id="2041"/>
      <w:bookmarkEnd w:id="2042"/>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07A7D089"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6690E563" w14:textId="77777777" w:rsidR="00AD1F54" w:rsidRPr="00264D5D" w:rsidRDefault="00941227">
            <w:pPr>
              <w:pStyle w:val="EBTableHead"/>
              <w:ind w:left="57" w:right="57"/>
              <w:contextualSpacing w:val="0"/>
              <w:rPr>
                <w:sz w:val="22"/>
                <w:szCs w:val="22"/>
              </w:rPr>
            </w:pPr>
            <w:r w:rsidRPr="00264D5D">
              <w:rPr>
                <w:bCs w:val="0"/>
                <w:sz w:val="22"/>
                <w:szCs w:val="22"/>
              </w:rPr>
              <w:t>Наименование элемента</w:t>
            </w:r>
          </w:p>
        </w:tc>
        <w:tc>
          <w:tcPr>
            <w:tcW w:w="1701" w:type="dxa"/>
          </w:tcPr>
          <w:p w14:paraId="5FBCF4E2" w14:textId="77777777" w:rsidR="00AD1F54" w:rsidRPr="00264D5D" w:rsidRDefault="00941227">
            <w:pPr>
              <w:pStyle w:val="EBTableHead"/>
              <w:ind w:left="57" w:right="57"/>
              <w:contextualSpacing w:val="0"/>
              <w:rPr>
                <w:sz w:val="22"/>
                <w:szCs w:val="22"/>
              </w:rPr>
            </w:pPr>
            <w:r w:rsidRPr="00264D5D">
              <w:rPr>
                <w:bCs w:val="0"/>
                <w:sz w:val="22"/>
                <w:szCs w:val="22"/>
              </w:rPr>
              <w:t>Сокращенное наименование (код) элемента</w:t>
            </w:r>
          </w:p>
        </w:tc>
        <w:tc>
          <w:tcPr>
            <w:tcW w:w="567" w:type="dxa"/>
          </w:tcPr>
          <w:p w14:paraId="6F0B6DD9" w14:textId="77777777" w:rsidR="00AD1F54" w:rsidRPr="00264D5D" w:rsidRDefault="00941227">
            <w:pPr>
              <w:pStyle w:val="EBTableHead"/>
              <w:ind w:left="57" w:right="57"/>
              <w:contextualSpacing w:val="0"/>
              <w:rPr>
                <w:sz w:val="22"/>
                <w:szCs w:val="22"/>
              </w:rPr>
            </w:pPr>
            <w:r w:rsidRPr="00264D5D">
              <w:rPr>
                <w:bCs w:val="0"/>
                <w:sz w:val="22"/>
                <w:szCs w:val="22"/>
              </w:rPr>
              <w:t>Тип</w:t>
            </w:r>
          </w:p>
        </w:tc>
        <w:tc>
          <w:tcPr>
            <w:tcW w:w="1134" w:type="dxa"/>
          </w:tcPr>
          <w:p w14:paraId="2481FF51" w14:textId="77777777" w:rsidR="00AD1F54" w:rsidRPr="00264D5D" w:rsidRDefault="00941227">
            <w:pPr>
              <w:pStyle w:val="EBTableHead"/>
              <w:ind w:left="57" w:right="57"/>
              <w:contextualSpacing w:val="0"/>
              <w:rPr>
                <w:sz w:val="22"/>
                <w:szCs w:val="22"/>
              </w:rPr>
            </w:pPr>
            <w:r w:rsidRPr="00264D5D">
              <w:rPr>
                <w:bCs w:val="0"/>
                <w:sz w:val="22"/>
                <w:szCs w:val="22"/>
              </w:rPr>
              <w:t>Формат элемента</w:t>
            </w:r>
          </w:p>
        </w:tc>
        <w:tc>
          <w:tcPr>
            <w:tcW w:w="567" w:type="dxa"/>
          </w:tcPr>
          <w:p w14:paraId="2A2C860B" w14:textId="77777777" w:rsidR="00AD1F54" w:rsidRPr="00264D5D" w:rsidRDefault="00941227">
            <w:pPr>
              <w:spacing w:before="60" w:after="60"/>
              <w:ind w:left="57" w:right="57"/>
              <w:jc w:val="center"/>
              <w:rPr>
                <w:b/>
                <w:bCs/>
                <w:sz w:val="22"/>
                <w:szCs w:val="22"/>
              </w:rPr>
            </w:pPr>
            <w:r w:rsidRPr="00264D5D">
              <w:rPr>
                <w:b/>
                <w:bCs/>
                <w:sz w:val="22"/>
                <w:szCs w:val="22"/>
              </w:rPr>
              <w:t>Обязательность</w:t>
            </w:r>
          </w:p>
        </w:tc>
        <w:tc>
          <w:tcPr>
            <w:tcW w:w="3963" w:type="dxa"/>
          </w:tcPr>
          <w:p w14:paraId="091F0FA5" w14:textId="77777777" w:rsidR="00AD1F54" w:rsidRPr="00264D5D" w:rsidRDefault="00941227">
            <w:pPr>
              <w:pStyle w:val="EBTableHead"/>
              <w:ind w:left="57" w:right="57"/>
              <w:contextualSpacing w:val="0"/>
              <w:rPr>
                <w:sz w:val="22"/>
                <w:szCs w:val="22"/>
              </w:rPr>
            </w:pPr>
            <w:r w:rsidRPr="00264D5D">
              <w:rPr>
                <w:bCs w:val="0"/>
                <w:sz w:val="22"/>
                <w:szCs w:val="22"/>
              </w:rPr>
              <w:t>Дополнительная информация</w:t>
            </w:r>
          </w:p>
        </w:tc>
      </w:tr>
      <w:tr w:rsidR="00AD1F54" w:rsidRPr="00264D5D" w14:paraId="3140C273"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BF7D5F6"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Cумма на текущий финансовый год</w:t>
            </w:r>
          </w:p>
        </w:tc>
        <w:tc>
          <w:tcPr>
            <w:tcW w:w="1701" w:type="dxa"/>
          </w:tcPr>
          <w:p w14:paraId="7DD80F10"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SumThisYear</w:t>
            </w:r>
          </w:p>
        </w:tc>
        <w:tc>
          <w:tcPr>
            <w:tcW w:w="567" w:type="dxa"/>
          </w:tcPr>
          <w:p w14:paraId="64C6CAB4" w14:textId="77777777" w:rsidR="00AD1F54" w:rsidRPr="00264D5D" w:rsidRDefault="00941227">
            <w:pPr>
              <w:pStyle w:val="EBTablenorm"/>
              <w:ind w:left="57" w:right="57"/>
              <w:contextualSpacing w:val="0"/>
              <w:jc w:val="center"/>
              <w:rPr>
                <w:rFonts w:eastAsia="Calibri"/>
                <w:sz w:val="22"/>
                <w:szCs w:val="22"/>
              </w:rPr>
            </w:pPr>
            <w:r w:rsidRPr="00264D5D">
              <w:rPr>
                <w:bCs/>
                <w:sz w:val="22"/>
                <w:szCs w:val="22"/>
                <w:lang w:val="en-US"/>
              </w:rPr>
              <w:t>С</w:t>
            </w:r>
          </w:p>
        </w:tc>
        <w:tc>
          <w:tcPr>
            <w:tcW w:w="1134" w:type="dxa"/>
          </w:tcPr>
          <w:p w14:paraId="395B38D4" w14:textId="77777777" w:rsidR="00AD1F54" w:rsidRPr="00264D5D" w:rsidRDefault="00941227">
            <w:pPr>
              <w:pStyle w:val="EBTablenorm"/>
              <w:ind w:left="57" w:right="57"/>
              <w:contextualSpacing w:val="0"/>
              <w:jc w:val="left"/>
              <w:rPr>
                <w:sz w:val="22"/>
                <w:szCs w:val="22"/>
                <w:lang w:val="en-US"/>
              </w:rPr>
            </w:pPr>
            <w:r w:rsidRPr="00264D5D">
              <w:rPr>
                <w:sz w:val="22"/>
                <w:szCs w:val="22"/>
              </w:rPr>
              <w:t>tSum</w:t>
            </w:r>
            <w:r w:rsidRPr="00264D5D">
              <w:rPr>
                <w:sz w:val="22"/>
                <w:szCs w:val="22"/>
                <w:lang w:val="en-US"/>
              </w:rPr>
              <w:t>This</w:t>
            </w:r>
            <w:r w:rsidRPr="00264D5D">
              <w:rPr>
                <w:sz w:val="22"/>
                <w:szCs w:val="22"/>
              </w:rPr>
              <w:t>Year</w:t>
            </w:r>
          </w:p>
        </w:tc>
        <w:tc>
          <w:tcPr>
            <w:tcW w:w="567" w:type="dxa"/>
          </w:tcPr>
          <w:p w14:paraId="7B9FE3E5" w14:textId="77777777" w:rsidR="00AD1F54" w:rsidRPr="00264D5D" w:rsidRDefault="00941227">
            <w:pPr>
              <w:pStyle w:val="EBTablenorm"/>
              <w:ind w:left="57" w:right="57"/>
              <w:contextualSpacing w:val="0"/>
              <w:jc w:val="center"/>
              <w:rPr>
                <w:rFonts w:eastAsia="Calibri"/>
                <w:sz w:val="22"/>
                <w:szCs w:val="22"/>
              </w:rPr>
            </w:pPr>
            <w:r w:rsidRPr="00264D5D">
              <w:rPr>
                <w:sz w:val="22"/>
                <w:szCs w:val="22"/>
              </w:rPr>
              <w:t>О</w:t>
            </w:r>
          </w:p>
        </w:tc>
        <w:tc>
          <w:tcPr>
            <w:tcW w:w="3963" w:type="dxa"/>
          </w:tcPr>
          <w:p w14:paraId="3FF6C1F3" w14:textId="77777777" w:rsidR="00AD1F54" w:rsidRPr="00264D5D" w:rsidRDefault="00941227">
            <w:pPr>
              <w:pStyle w:val="EBTablenorm"/>
              <w:ind w:left="57" w:right="57"/>
              <w:contextualSpacing w:val="0"/>
              <w:rPr>
                <w:sz w:val="22"/>
                <w:szCs w:val="22"/>
              </w:rPr>
            </w:pPr>
            <w:r w:rsidRPr="00264D5D">
              <w:rPr>
                <w:sz w:val="22"/>
                <w:szCs w:val="22"/>
              </w:rPr>
              <w:t xml:space="preserve">Cумма на текущий финансовый год в валюте обязательства. </w:t>
            </w:r>
          </w:p>
          <w:p w14:paraId="787B678F" w14:textId="2862F23F" w:rsidR="00AD1F54" w:rsidRPr="00264D5D" w:rsidRDefault="00941227">
            <w:pPr>
              <w:pStyle w:val="EBTablenorm"/>
              <w:ind w:left="57" w:right="57"/>
              <w:contextualSpacing w:val="0"/>
              <w:rPr>
                <w:sz w:val="22"/>
                <w:szCs w:val="22"/>
              </w:rPr>
            </w:pPr>
            <w:r w:rsidRPr="00264D5D">
              <w:rPr>
                <w:sz w:val="22"/>
                <w:szCs w:val="22"/>
              </w:rPr>
              <w:t xml:space="preserve">Состав элемента представлен в таблице </w:t>
            </w:r>
            <w:r w:rsidRPr="00264D5D">
              <w:rPr>
                <w:sz w:val="22"/>
                <w:szCs w:val="22"/>
              </w:rPr>
              <w:fldChar w:fldCharType="begin"/>
            </w:r>
            <w:r w:rsidRPr="00264D5D">
              <w:rPr>
                <w:sz w:val="22"/>
                <w:szCs w:val="22"/>
              </w:rPr>
              <w:instrText xml:space="preserve"> REF _Ref494365725 \h  \* MERGEFORMAT </w:instrText>
            </w:r>
            <w:r w:rsidRPr="00264D5D">
              <w:rPr>
                <w:sz w:val="22"/>
                <w:szCs w:val="22"/>
              </w:rPr>
            </w:r>
            <w:r w:rsidRPr="00264D5D">
              <w:rPr>
                <w:sz w:val="22"/>
                <w:szCs w:val="22"/>
              </w:rPr>
              <w:fldChar w:fldCharType="separate"/>
            </w:r>
            <w:r w:rsidR="008D797C" w:rsidRPr="008D797C">
              <w:rPr>
                <w:sz w:val="22"/>
                <w:szCs w:val="22"/>
              </w:rPr>
              <w:t>214</w:t>
            </w:r>
            <w:r w:rsidRPr="00264D5D">
              <w:rPr>
                <w:sz w:val="22"/>
                <w:szCs w:val="22"/>
              </w:rPr>
              <w:fldChar w:fldCharType="end"/>
            </w:r>
          </w:p>
        </w:tc>
      </w:tr>
      <w:tr w:rsidR="00AD1F54" w:rsidRPr="00264D5D" w14:paraId="6EEDAB19"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C708607"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Сумма на плановый период</w:t>
            </w:r>
          </w:p>
        </w:tc>
        <w:tc>
          <w:tcPr>
            <w:tcW w:w="1701" w:type="dxa"/>
          </w:tcPr>
          <w:p w14:paraId="23D282A0"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SumPlanPeriod</w:t>
            </w:r>
          </w:p>
        </w:tc>
        <w:tc>
          <w:tcPr>
            <w:tcW w:w="567" w:type="dxa"/>
          </w:tcPr>
          <w:p w14:paraId="5DEA03EC" w14:textId="77777777" w:rsidR="00AD1F54" w:rsidRPr="00264D5D" w:rsidRDefault="00941227">
            <w:pPr>
              <w:pStyle w:val="EBTablenorm"/>
              <w:ind w:left="57" w:right="57"/>
              <w:contextualSpacing w:val="0"/>
              <w:jc w:val="center"/>
              <w:rPr>
                <w:bCs/>
                <w:sz w:val="22"/>
                <w:szCs w:val="22"/>
              </w:rPr>
            </w:pPr>
            <w:r w:rsidRPr="00264D5D">
              <w:rPr>
                <w:bCs/>
                <w:sz w:val="22"/>
                <w:szCs w:val="22"/>
              </w:rPr>
              <w:t>С</w:t>
            </w:r>
          </w:p>
        </w:tc>
        <w:tc>
          <w:tcPr>
            <w:tcW w:w="1134" w:type="dxa"/>
          </w:tcPr>
          <w:p w14:paraId="75A55FBB" w14:textId="77777777" w:rsidR="00AD1F54" w:rsidRPr="00264D5D" w:rsidRDefault="00941227">
            <w:pPr>
              <w:pStyle w:val="EBTablenorm"/>
              <w:ind w:left="57" w:right="57"/>
              <w:contextualSpacing w:val="0"/>
              <w:jc w:val="left"/>
              <w:rPr>
                <w:sz w:val="22"/>
                <w:szCs w:val="22"/>
                <w:lang w:val="en-US"/>
              </w:rPr>
            </w:pPr>
            <w:r w:rsidRPr="00264D5D">
              <w:rPr>
                <w:rFonts w:eastAsia="Calibri"/>
                <w:sz w:val="22"/>
                <w:szCs w:val="22"/>
              </w:rPr>
              <w:t>tSum</w:t>
            </w:r>
            <w:r w:rsidRPr="00264D5D">
              <w:rPr>
                <w:rFonts w:eastAsia="Calibri"/>
                <w:sz w:val="22"/>
                <w:szCs w:val="22"/>
                <w:lang w:val="en-US"/>
              </w:rPr>
              <w:t>PlanPeriod</w:t>
            </w:r>
          </w:p>
        </w:tc>
        <w:tc>
          <w:tcPr>
            <w:tcW w:w="567" w:type="dxa"/>
          </w:tcPr>
          <w:p w14:paraId="64567175"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634B7E54" w14:textId="77777777" w:rsidR="00AD1F54" w:rsidRPr="00264D5D" w:rsidRDefault="00941227">
            <w:pPr>
              <w:pStyle w:val="EBTablenorm"/>
              <w:ind w:left="57" w:right="57"/>
              <w:contextualSpacing w:val="0"/>
              <w:rPr>
                <w:sz w:val="22"/>
                <w:szCs w:val="22"/>
              </w:rPr>
            </w:pPr>
            <w:r w:rsidRPr="00264D5D">
              <w:rPr>
                <w:sz w:val="22"/>
                <w:szCs w:val="22"/>
              </w:rPr>
              <w:t xml:space="preserve">Сумма на плановый период в валюте обязательства. </w:t>
            </w:r>
          </w:p>
          <w:p w14:paraId="623A3AC6" w14:textId="6C1DF835" w:rsidR="00AD1F54" w:rsidRPr="00264D5D" w:rsidRDefault="00941227">
            <w:pPr>
              <w:pStyle w:val="EBTablenorm"/>
              <w:ind w:left="57" w:right="57"/>
              <w:contextualSpacing w:val="0"/>
              <w:rPr>
                <w:sz w:val="22"/>
                <w:szCs w:val="22"/>
              </w:rPr>
            </w:pPr>
            <w:r w:rsidRPr="00264D5D">
              <w:rPr>
                <w:sz w:val="22"/>
                <w:szCs w:val="22"/>
              </w:rPr>
              <w:t>Состав элемента представлен в таблице</w:t>
            </w:r>
            <w:r w:rsidRPr="00264D5D">
              <w:rPr>
                <w:b/>
                <w:sz w:val="22"/>
                <w:szCs w:val="22"/>
              </w:rPr>
              <w:t xml:space="preserve"> </w:t>
            </w:r>
            <w:r w:rsidRPr="00264D5D">
              <w:rPr>
                <w:b/>
                <w:sz w:val="22"/>
                <w:szCs w:val="22"/>
              </w:rPr>
              <w:fldChar w:fldCharType="begin"/>
            </w:r>
            <w:r w:rsidRPr="00264D5D">
              <w:rPr>
                <w:b/>
                <w:sz w:val="22"/>
                <w:szCs w:val="22"/>
              </w:rPr>
              <w:instrText xml:space="preserve"> REF _Ref494365766 \h  \* MERGEFORMAT </w:instrText>
            </w:r>
            <w:r w:rsidRPr="00264D5D">
              <w:rPr>
                <w:b/>
                <w:sz w:val="22"/>
                <w:szCs w:val="22"/>
              </w:rPr>
            </w:r>
            <w:r w:rsidRPr="00264D5D">
              <w:rPr>
                <w:b/>
                <w:sz w:val="22"/>
                <w:szCs w:val="22"/>
              </w:rPr>
              <w:fldChar w:fldCharType="separate"/>
            </w:r>
            <w:r w:rsidR="008D797C" w:rsidRPr="008D797C">
              <w:rPr>
                <w:rFonts w:eastAsia="Calibri"/>
                <w:b/>
                <w:sz w:val="22"/>
                <w:szCs w:val="22"/>
              </w:rPr>
              <w:t>215</w:t>
            </w:r>
            <w:r w:rsidRPr="00264D5D">
              <w:rPr>
                <w:b/>
                <w:sz w:val="22"/>
                <w:szCs w:val="22"/>
              </w:rPr>
              <w:fldChar w:fldCharType="end"/>
            </w:r>
          </w:p>
        </w:tc>
      </w:tr>
    </w:tbl>
    <w:p w14:paraId="2EC9D0E0" w14:textId="77777777" w:rsidR="00AD1F54" w:rsidRPr="00264D5D" w:rsidRDefault="00941227">
      <w:pPr>
        <w:pStyle w:val="31"/>
      </w:pPr>
      <w:bookmarkStart w:id="2043" w:name="_Toc496984043"/>
      <w:bookmarkStart w:id="2044" w:name="_Toc219309676"/>
      <w:r w:rsidRPr="00264D5D">
        <w:t>Описание комплексного типа «tSumThisYear»</w:t>
      </w:r>
      <w:bookmarkEnd w:id="2043"/>
      <w:bookmarkEnd w:id="2044"/>
    </w:p>
    <w:p w14:paraId="0F5EDF58" w14:textId="77777777" w:rsidR="00AD1F54" w:rsidRPr="00264D5D" w:rsidRDefault="00941227">
      <w:pPr>
        <w:spacing w:before="60" w:after="120"/>
        <w:ind w:firstLine="567"/>
        <w:rPr>
          <w:rFonts w:eastAsia="Calibri"/>
          <w:szCs w:val="24"/>
        </w:rPr>
      </w:pPr>
      <w:r w:rsidRPr="00264D5D">
        <w:rPr>
          <w:rFonts w:eastAsia="Calibri"/>
          <w:szCs w:val="24"/>
        </w:rPr>
        <w:t>Описание комплексного типа «tSum</w:t>
      </w:r>
      <w:r w:rsidRPr="00264D5D">
        <w:rPr>
          <w:rFonts w:eastAsia="Calibri"/>
          <w:szCs w:val="24"/>
          <w:lang w:val="en-US"/>
        </w:rPr>
        <w:t>This</w:t>
      </w:r>
      <w:r w:rsidRPr="00264D5D">
        <w:rPr>
          <w:rFonts w:eastAsia="Calibri"/>
          <w:szCs w:val="24"/>
        </w:rPr>
        <w:t xml:space="preserve">Year» </w:t>
      </w:r>
      <w:r w:rsidRPr="00264D5D">
        <w:t xml:space="preserve">блока </w:t>
      </w:r>
      <w:r w:rsidRPr="00264D5D">
        <w:rPr>
          <w:rFonts w:eastAsia="Calibri"/>
          <w:szCs w:val="24"/>
        </w:rPr>
        <w:t>«Cумма на текущий финансовый год в валюте обязательства».</w:t>
      </w:r>
    </w:p>
    <w:p w14:paraId="45AAEEC3" w14:textId="6A3BAC84"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2045" w:name="_Ref494365725"/>
      <w:bookmarkStart w:id="2046" w:name="_Toc30503393"/>
      <w:bookmarkStart w:id="2047" w:name="_Toc30507991"/>
      <w:bookmarkStart w:id="2048" w:name="_Toc219309244"/>
      <w:r w:rsidR="008D797C">
        <w:rPr>
          <w:rFonts w:eastAsia="Calibri"/>
          <w:noProof/>
          <w:szCs w:val="24"/>
        </w:rPr>
        <w:t>214</w:t>
      </w:r>
      <w:bookmarkEnd w:id="2045"/>
      <w:r w:rsidRPr="00264D5D">
        <w:rPr>
          <w:rFonts w:eastAsia="Calibri"/>
          <w:szCs w:val="24"/>
        </w:rPr>
        <w:fldChar w:fldCharType="end"/>
      </w:r>
      <w:r w:rsidRPr="00264D5D">
        <w:rPr>
          <w:rFonts w:eastAsia="Calibri"/>
          <w:szCs w:val="24"/>
        </w:rPr>
        <w:t xml:space="preserve"> – Описание комплексного типа «tSumThisYear»</w:t>
      </w:r>
      <w:bookmarkEnd w:id="2046"/>
      <w:bookmarkEnd w:id="2047"/>
      <w:bookmarkEnd w:id="2048"/>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316B1101"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499686BB" w14:textId="77777777" w:rsidR="00AD1F54" w:rsidRPr="00264D5D" w:rsidRDefault="00941227">
            <w:pPr>
              <w:pStyle w:val="EBTableHead"/>
              <w:ind w:left="57" w:right="57"/>
              <w:contextualSpacing w:val="0"/>
              <w:rPr>
                <w:sz w:val="22"/>
                <w:szCs w:val="22"/>
              </w:rPr>
            </w:pPr>
            <w:r w:rsidRPr="00264D5D">
              <w:rPr>
                <w:bCs w:val="0"/>
                <w:sz w:val="22"/>
                <w:szCs w:val="22"/>
              </w:rPr>
              <w:t>Наименование элемента</w:t>
            </w:r>
          </w:p>
        </w:tc>
        <w:tc>
          <w:tcPr>
            <w:tcW w:w="1701" w:type="dxa"/>
          </w:tcPr>
          <w:p w14:paraId="2EBB903F" w14:textId="77777777" w:rsidR="00AD1F54" w:rsidRPr="00264D5D" w:rsidRDefault="00941227">
            <w:pPr>
              <w:pStyle w:val="EBTableHead"/>
              <w:ind w:left="57" w:right="57"/>
              <w:contextualSpacing w:val="0"/>
              <w:rPr>
                <w:sz w:val="22"/>
                <w:szCs w:val="22"/>
              </w:rPr>
            </w:pPr>
            <w:r w:rsidRPr="00264D5D">
              <w:rPr>
                <w:bCs w:val="0"/>
                <w:sz w:val="22"/>
                <w:szCs w:val="22"/>
              </w:rPr>
              <w:t>Сокращенное наименование (код) элемента</w:t>
            </w:r>
          </w:p>
        </w:tc>
        <w:tc>
          <w:tcPr>
            <w:tcW w:w="567" w:type="dxa"/>
          </w:tcPr>
          <w:p w14:paraId="6C999255" w14:textId="77777777" w:rsidR="00AD1F54" w:rsidRPr="00264D5D" w:rsidRDefault="00941227">
            <w:pPr>
              <w:pStyle w:val="EBTableHead"/>
              <w:ind w:left="57" w:right="57"/>
              <w:contextualSpacing w:val="0"/>
              <w:rPr>
                <w:sz w:val="22"/>
                <w:szCs w:val="22"/>
              </w:rPr>
            </w:pPr>
            <w:r w:rsidRPr="00264D5D">
              <w:rPr>
                <w:bCs w:val="0"/>
                <w:sz w:val="22"/>
                <w:szCs w:val="22"/>
              </w:rPr>
              <w:t>Тип</w:t>
            </w:r>
          </w:p>
        </w:tc>
        <w:tc>
          <w:tcPr>
            <w:tcW w:w="1134" w:type="dxa"/>
          </w:tcPr>
          <w:p w14:paraId="5A8FB1BA" w14:textId="77777777" w:rsidR="00AD1F54" w:rsidRPr="00264D5D" w:rsidRDefault="00941227">
            <w:pPr>
              <w:pStyle w:val="EBTableHead"/>
              <w:ind w:left="57" w:right="57"/>
              <w:contextualSpacing w:val="0"/>
              <w:rPr>
                <w:sz w:val="22"/>
                <w:szCs w:val="22"/>
              </w:rPr>
            </w:pPr>
            <w:r w:rsidRPr="00264D5D">
              <w:rPr>
                <w:bCs w:val="0"/>
                <w:sz w:val="22"/>
                <w:szCs w:val="22"/>
              </w:rPr>
              <w:t>Формат элемента</w:t>
            </w:r>
          </w:p>
        </w:tc>
        <w:tc>
          <w:tcPr>
            <w:tcW w:w="567" w:type="dxa"/>
          </w:tcPr>
          <w:p w14:paraId="55A2074F" w14:textId="77777777" w:rsidR="00AD1F54" w:rsidRPr="00264D5D" w:rsidRDefault="00941227">
            <w:pPr>
              <w:spacing w:before="60" w:after="60"/>
              <w:ind w:left="57" w:right="57"/>
              <w:jc w:val="center"/>
              <w:rPr>
                <w:b/>
                <w:bCs/>
                <w:sz w:val="22"/>
                <w:szCs w:val="22"/>
              </w:rPr>
            </w:pPr>
            <w:r w:rsidRPr="00264D5D">
              <w:rPr>
                <w:b/>
                <w:bCs/>
                <w:sz w:val="22"/>
                <w:szCs w:val="22"/>
              </w:rPr>
              <w:t>Обязательность</w:t>
            </w:r>
          </w:p>
        </w:tc>
        <w:tc>
          <w:tcPr>
            <w:tcW w:w="3963" w:type="dxa"/>
          </w:tcPr>
          <w:p w14:paraId="43FF3A44" w14:textId="77777777" w:rsidR="00AD1F54" w:rsidRPr="00264D5D" w:rsidRDefault="00941227">
            <w:pPr>
              <w:pStyle w:val="EBTableHead"/>
              <w:ind w:left="57" w:right="57"/>
              <w:contextualSpacing w:val="0"/>
              <w:rPr>
                <w:sz w:val="22"/>
                <w:szCs w:val="22"/>
              </w:rPr>
            </w:pPr>
            <w:r w:rsidRPr="00264D5D">
              <w:rPr>
                <w:bCs w:val="0"/>
                <w:sz w:val="22"/>
                <w:szCs w:val="22"/>
              </w:rPr>
              <w:t>Дополнительная информация</w:t>
            </w:r>
          </w:p>
        </w:tc>
      </w:tr>
      <w:tr w:rsidR="00AD1F54" w:rsidRPr="00264D5D" w14:paraId="69BEDBB0"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73782615"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Сумма БО за январь</w:t>
            </w:r>
          </w:p>
        </w:tc>
        <w:tc>
          <w:tcPr>
            <w:tcW w:w="1701" w:type="dxa"/>
          </w:tcPr>
          <w:p w14:paraId="6359E1D9" w14:textId="77777777" w:rsidR="00AD1F54" w:rsidRPr="00264D5D" w:rsidRDefault="00941227">
            <w:pPr>
              <w:pStyle w:val="EBTablenorm"/>
              <w:ind w:left="57" w:right="57"/>
              <w:contextualSpacing w:val="0"/>
              <w:rPr>
                <w:rFonts w:eastAsia="Calibri"/>
                <w:sz w:val="22"/>
                <w:szCs w:val="22"/>
              </w:rPr>
            </w:pPr>
            <w:r w:rsidRPr="00264D5D">
              <w:rPr>
                <w:sz w:val="22"/>
                <w:szCs w:val="22"/>
                <w:lang w:val="en-US"/>
              </w:rPr>
              <w:t>SheduleSumInf</w:t>
            </w:r>
            <w:r w:rsidRPr="00264D5D">
              <w:rPr>
                <w:sz w:val="22"/>
                <w:szCs w:val="22"/>
              </w:rPr>
              <w:t>_</w:t>
            </w:r>
            <w:r w:rsidRPr="00264D5D">
              <w:rPr>
                <w:sz w:val="22"/>
                <w:szCs w:val="22"/>
                <w:lang w:val="en-US"/>
              </w:rPr>
              <w:t>january</w:t>
            </w:r>
          </w:p>
        </w:tc>
        <w:tc>
          <w:tcPr>
            <w:tcW w:w="567" w:type="dxa"/>
          </w:tcPr>
          <w:p w14:paraId="0A3A232B"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7363DA39" w14:textId="77777777" w:rsidR="00AD1F54" w:rsidRPr="00264D5D" w:rsidRDefault="00941227">
            <w:pPr>
              <w:pStyle w:val="EBTablenorm"/>
              <w:ind w:left="57" w:right="57"/>
              <w:contextualSpacing w:val="0"/>
              <w:jc w:val="left"/>
              <w:rPr>
                <w:rFonts w:eastAsia="Calibri"/>
                <w:sz w:val="22"/>
                <w:szCs w:val="22"/>
              </w:rPr>
            </w:pPr>
            <w:r w:rsidRPr="00264D5D">
              <w:rPr>
                <w:rFonts w:eastAsia="Calibri"/>
                <w:sz w:val="22"/>
                <w:szCs w:val="22"/>
              </w:rPr>
              <w:t>N(14.2)</w:t>
            </w:r>
          </w:p>
        </w:tc>
        <w:tc>
          <w:tcPr>
            <w:tcW w:w="567" w:type="dxa"/>
          </w:tcPr>
          <w:p w14:paraId="58B79FFC" w14:textId="77777777" w:rsidR="00AD1F54" w:rsidRPr="00264D5D" w:rsidRDefault="00941227">
            <w:pPr>
              <w:pStyle w:val="EBTablenorm"/>
              <w:ind w:left="57" w:right="57"/>
              <w:contextualSpacing w:val="0"/>
              <w:jc w:val="center"/>
              <w:rPr>
                <w:rFonts w:eastAsia="Calibri"/>
                <w:sz w:val="22"/>
                <w:szCs w:val="22"/>
              </w:rPr>
            </w:pPr>
            <w:r w:rsidRPr="00264D5D">
              <w:rPr>
                <w:sz w:val="22"/>
                <w:szCs w:val="22"/>
              </w:rPr>
              <w:t>О</w:t>
            </w:r>
          </w:p>
        </w:tc>
        <w:tc>
          <w:tcPr>
            <w:tcW w:w="3963" w:type="dxa"/>
          </w:tcPr>
          <w:p w14:paraId="17817A50" w14:textId="77777777" w:rsidR="00AD1F54" w:rsidRPr="00264D5D" w:rsidRDefault="00941227">
            <w:pPr>
              <w:pStyle w:val="EBTableHead"/>
              <w:ind w:left="57" w:right="57"/>
              <w:contextualSpacing w:val="0"/>
              <w:jc w:val="both"/>
              <w:rPr>
                <w:b w:val="0"/>
                <w:sz w:val="22"/>
                <w:szCs w:val="22"/>
              </w:rPr>
            </w:pPr>
            <w:r w:rsidRPr="00264D5D">
              <w:rPr>
                <w:b w:val="0"/>
                <w:sz w:val="22"/>
                <w:szCs w:val="22"/>
              </w:rPr>
              <w:t>Сумма БО за январь.</w:t>
            </w:r>
          </w:p>
          <w:p w14:paraId="5D3E1AE3" w14:textId="77777777" w:rsidR="00AD1F54" w:rsidRPr="00264D5D" w:rsidRDefault="00941227">
            <w:pPr>
              <w:pStyle w:val="EBTableHead"/>
              <w:ind w:left="57" w:right="57"/>
              <w:contextualSpacing w:val="0"/>
              <w:jc w:val="both"/>
              <w:rPr>
                <w:b w:val="0"/>
                <w:sz w:val="22"/>
                <w:szCs w:val="22"/>
              </w:rPr>
            </w:pPr>
            <w:r w:rsidRPr="00264D5D">
              <w:rPr>
                <w:b w:val="0"/>
                <w:sz w:val="22"/>
                <w:szCs w:val="22"/>
              </w:rPr>
              <w:t>Хотя бы одно из полей «Сумма БО за январь» – «</w:t>
            </w:r>
            <w:r w:rsidRPr="00264D5D">
              <w:rPr>
                <w:rFonts w:eastAsia="Calibri"/>
                <w:b w:val="0"/>
                <w:sz w:val="22"/>
                <w:szCs w:val="22"/>
              </w:rPr>
              <w:t>Сумма БО за декабрь</w:t>
            </w:r>
            <w:r w:rsidRPr="00264D5D">
              <w:rPr>
                <w:b w:val="0"/>
                <w:sz w:val="22"/>
                <w:szCs w:val="22"/>
              </w:rPr>
              <w:t xml:space="preserve">» должно быть заполнено отличным от </w:t>
            </w:r>
            <w:r w:rsidRPr="00264D5D">
              <w:rPr>
                <w:b w:val="0"/>
                <w:sz w:val="22"/>
                <w:szCs w:val="22"/>
              </w:rPr>
              <w:lastRenderedPageBreak/>
              <w:t>нуля значением, если значение поля «</w:t>
            </w:r>
            <w:r w:rsidRPr="00264D5D">
              <w:rPr>
                <w:rFonts w:eastAsia="Calibri"/>
                <w:b w:val="0"/>
                <w:sz w:val="22"/>
                <w:szCs w:val="22"/>
              </w:rPr>
              <w:t>Сумма БО на текущий финансовый год</w:t>
            </w:r>
            <w:r w:rsidRPr="00264D5D">
              <w:rPr>
                <w:b w:val="0"/>
                <w:sz w:val="22"/>
                <w:szCs w:val="22"/>
              </w:rPr>
              <w:t>» не равно 0.00.</w:t>
            </w:r>
          </w:p>
          <w:p w14:paraId="329A6FC6" w14:textId="77777777" w:rsidR="00AD1F54" w:rsidRPr="00264D5D" w:rsidRDefault="007E37F3">
            <w:pPr>
              <w:pStyle w:val="EBTablenorm"/>
              <w:ind w:left="57" w:right="57"/>
              <w:contextualSpacing w:val="0"/>
              <w:rPr>
                <w:sz w:val="22"/>
                <w:szCs w:val="22"/>
              </w:rPr>
            </w:pPr>
            <w:r w:rsidRPr="00264D5D">
              <w:rPr>
                <w:sz w:val="22"/>
                <w:szCs w:val="22"/>
              </w:rPr>
              <w:t>При отсутствии указывается 0.00</w:t>
            </w:r>
          </w:p>
        </w:tc>
      </w:tr>
      <w:tr w:rsidR="00AD1F54" w:rsidRPr="00264D5D" w14:paraId="639B526F"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59FEEA31"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lastRenderedPageBreak/>
              <w:t>Сумма БО за февраль</w:t>
            </w:r>
          </w:p>
        </w:tc>
        <w:tc>
          <w:tcPr>
            <w:tcW w:w="1701" w:type="dxa"/>
          </w:tcPr>
          <w:p w14:paraId="236B524A" w14:textId="77777777" w:rsidR="00AD1F54" w:rsidRPr="00264D5D" w:rsidRDefault="00941227">
            <w:pPr>
              <w:pStyle w:val="EBTablenorm"/>
              <w:ind w:left="57" w:right="57"/>
              <w:contextualSpacing w:val="0"/>
              <w:rPr>
                <w:sz w:val="22"/>
                <w:szCs w:val="22"/>
                <w:lang w:val="en-US"/>
              </w:rPr>
            </w:pPr>
            <w:r w:rsidRPr="00264D5D">
              <w:rPr>
                <w:sz w:val="22"/>
                <w:szCs w:val="22"/>
                <w:lang w:val="en-US"/>
              </w:rPr>
              <w:t>SheduleSumInf</w:t>
            </w:r>
            <w:r w:rsidRPr="00264D5D">
              <w:rPr>
                <w:sz w:val="22"/>
                <w:szCs w:val="22"/>
              </w:rPr>
              <w:t>_</w:t>
            </w:r>
            <w:r w:rsidRPr="00264D5D">
              <w:rPr>
                <w:sz w:val="22"/>
                <w:szCs w:val="22"/>
                <w:lang w:val="en-US"/>
              </w:rPr>
              <w:t>february</w:t>
            </w:r>
          </w:p>
        </w:tc>
        <w:tc>
          <w:tcPr>
            <w:tcW w:w="567" w:type="dxa"/>
          </w:tcPr>
          <w:p w14:paraId="6740975B"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33FB59EC" w14:textId="77777777" w:rsidR="00AD1F54" w:rsidRPr="00264D5D" w:rsidRDefault="00941227">
            <w:pPr>
              <w:pStyle w:val="EBTablenorm"/>
              <w:ind w:left="57" w:right="57"/>
              <w:contextualSpacing w:val="0"/>
              <w:jc w:val="left"/>
              <w:rPr>
                <w:sz w:val="22"/>
                <w:szCs w:val="22"/>
                <w:lang w:val="en-US"/>
              </w:rPr>
            </w:pPr>
            <w:r w:rsidRPr="00264D5D">
              <w:rPr>
                <w:rFonts w:eastAsia="Calibri"/>
                <w:sz w:val="22"/>
                <w:szCs w:val="22"/>
              </w:rPr>
              <w:t>N(14.2)</w:t>
            </w:r>
          </w:p>
        </w:tc>
        <w:tc>
          <w:tcPr>
            <w:tcW w:w="567" w:type="dxa"/>
          </w:tcPr>
          <w:p w14:paraId="4CB580BC"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6A188981" w14:textId="77777777" w:rsidR="00AD1F54" w:rsidRPr="00264D5D" w:rsidRDefault="00941227">
            <w:pPr>
              <w:pStyle w:val="EBTablenorm"/>
              <w:ind w:left="57" w:right="57"/>
              <w:contextualSpacing w:val="0"/>
              <w:rPr>
                <w:sz w:val="22"/>
                <w:szCs w:val="22"/>
              </w:rPr>
            </w:pPr>
            <w:r w:rsidRPr="00264D5D">
              <w:rPr>
                <w:sz w:val="22"/>
                <w:szCs w:val="22"/>
              </w:rPr>
              <w:t>Сумма БО за февраль.</w:t>
            </w:r>
          </w:p>
          <w:p w14:paraId="4A601891" w14:textId="77777777" w:rsidR="00AD1F54" w:rsidRPr="00264D5D" w:rsidRDefault="007E37F3">
            <w:pPr>
              <w:pStyle w:val="EBTablenorm"/>
              <w:ind w:left="57" w:right="57"/>
              <w:contextualSpacing w:val="0"/>
              <w:rPr>
                <w:sz w:val="22"/>
                <w:szCs w:val="22"/>
              </w:rPr>
            </w:pPr>
            <w:r w:rsidRPr="00264D5D">
              <w:rPr>
                <w:sz w:val="22"/>
                <w:szCs w:val="22"/>
              </w:rPr>
              <w:t>При отсутствии указывается 0.00</w:t>
            </w:r>
          </w:p>
        </w:tc>
      </w:tr>
      <w:tr w:rsidR="00AD1F54" w:rsidRPr="00264D5D" w14:paraId="35D42D79"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58B64B68"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Сумма БО за март</w:t>
            </w:r>
          </w:p>
        </w:tc>
        <w:tc>
          <w:tcPr>
            <w:tcW w:w="1701" w:type="dxa"/>
          </w:tcPr>
          <w:p w14:paraId="6477C1E0" w14:textId="77777777" w:rsidR="00AD1F54" w:rsidRPr="00264D5D" w:rsidRDefault="00941227">
            <w:pPr>
              <w:pStyle w:val="EBTablenorm"/>
              <w:ind w:left="57" w:right="57"/>
              <w:contextualSpacing w:val="0"/>
              <w:rPr>
                <w:sz w:val="22"/>
                <w:szCs w:val="22"/>
                <w:lang w:val="en-US"/>
              </w:rPr>
            </w:pPr>
            <w:r w:rsidRPr="00264D5D">
              <w:rPr>
                <w:sz w:val="22"/>
                <w:szCs w:val="22"/>
                <w:lang w:val="en-US"/>
              </w:rPr>
              <w:t>SheduleSumInf</w:t>
            </w:r>
            <w:r w:rsidRPr="00264D5D">
              <w:rPr>
                <w:sz w:val="22"/>
                <w:szCs w:val="22"/>
              </w:rPr>
              <w:t>_</w:t>
            </w:r>
            <w:r w:rsidRPr="00264D5D">
              <w:rPr>
                <w:sz w:val="22"/>
                <w:szCs w:val="22"/>
                <w:lang w:val="en-US"/>
              </w:rPr>
              <w:t>march</w:t>
            </w:r>
          </w:p>
        </w:tc>
        <w:tc>
          <w:tcPr>
            <w:tcW w:w="567" w:type="dxa"/>
          </w:tcPr>
          <w:p w14:paraId="61559A32"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2C09589E" w14:textId="77777777" w:rsidR="00AD1F54" w:rsidRPr="00264D5D" w:rsidRDefault="00941227">
            <w:pPr>
              <w:pStyle w:val="EBTablenorm"/>
              <w:ind w:left="57" w:right="57"/>
              <w:contextualSpacing w:val="0"/>
              <w:jc w:val="left"/>
              <w:rPr>
                <w:sz w:val="22"/>
                <w:szCs w:val="22"/>
                <w:lang w:val="en-US"/>
              </w:rPr>
            </w:pPr>
            <w:r w:rsidRPr="00264D5D">
              <w:rPr>
                <w:rFonts w:eastAsia="Calibri"/>
                <w:sz w:val="22"/>
                <w:szCs w:val="22"/>
              </w:rPr>
              <w:t>N(14.2)</w:t>
            </w:r>
          </w:p>
        </w:tc>
        <w:tc>
          <w:tcPr>
            <w:tcW w:w="567" w:type="dxa"/>
          </w:tcPr>
          <w:p w14:paraId="7D9960D0"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00240D58" w14:textId="77777777" w:rsidR="00AD1F54" w:rsidRPr="00264D5D" w:rsidRDefault="00941227">
            <w:pPr>
              <w:pStyle w:val="EBTablenorm"/>
              <w:ind w:left="57" w:right="57"/>
              <w:contextualSpacing w:val="0"/>
              <w:rPr>
                <w:sz w:val="22"/>
                <w:szCs w:val="22"/>
              </w:rPr>
            </w:pPr>
            <w:r w:rsidRPr="00264D5D">
              <w:rPr>
                <w:sz w:val="22"/>
                <w:szCs w:val="22"/>
              </w:rPr>
              <w:t xml:space="preserve">Сумма БО за март. </w:t>
            </w:r>
          </w:p>
          <w:p w14:paraId="02208D2A" w14:textId="77777777" w:rsidR="00AD1F54" w:rsidRPr="00264D5D" w:rsidRDefault="007E37F3">
            <w:pPr>
              <w:pStyle w:val="EBTablenorm"/>
              <w:ind w:left="57" w:right="57"/>
              <w:contextualSpacing w:val="0"/>
              <w:rPr>
                <w:sz w:val="22"/>
                <w:szCs w:val="22"/>
              </w:rPr>
            </w:pPr>
            <w:r w:rsidRPr="00264D5D">
              <w:rPr>
                <w:sz w:val="22"/>
                <w:szCs w:val="22"/>
              </w:rPr>
              <w:t>При отсутствии указывается 0.00</w:t>
            </w:r>
          </w:p>
        </w:tc>
      </w:tr>
      <w:tr w:rsidR="00AD1F54" w:rsidRPr="00264D5D" w14:paraId="3C82FB80"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27E13910"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Сумма БО за апрель</w:t>
            </w:r>
          </w:p>
        </w:tc>
        <w:tc>
          <w:tcPr>
            <w:tcW w:w="1701" w:type="dxa"/>
          </w:tcPr>
          <w:p w14:paraId="0656E49F" w14:textId="77777777" w:rsidR="00AD1F54" w:rsidRPr="00264D5D" w:rsidRDefault="00941227">
            <w:pPr>
              <w:pStyle w:val="EBTablenorm"/>
              <w:ind w:left="57" w:right="57"/>
              <w:contextualSpacing w:val="0"/>
              <w:rPr>
                <w:sz w:val="22"/>
                <w:szCs w:val="22"/>
                <w:lang w:val="en-US"/>
              </w:rPr>
            </w:pPr>
            <w:r w:rsidRPr="00264D5D">
              <w:rPr>
                <w:sz w:val="22"/>
                <w:szCs w:val="22"/>
                <w:lang w:val="en-US"/>
              </w:rPr>
              <w:t>SheduleSumInf</w:t>
            </w:r>
            <w:r w:rsidRPr="00264D5D">
              <w:rPr>
                <w:sz w:val="22"/>
                <w:szCs w:val="22"/>
              </w:rPr>
              <w:t>_</w:t>
            </w:r>
            <w:r w:rsidRPr="00264D5D">
              <w:rPr>
                <w:sz w:val="22"/>
                <w:szCs w:val="22"/>
                <w:lang w:val="en-US"/>
              </w:rPr>
              <w:t>april</w:t>
            </w:r>
          </w:p>
        </w:tc>
        <w:tc>
          <w:tcPr>
            <w:tcW w:w="567" w:type="dxa"/>
          </w:tcPr>
          <w:p w14:paraId="4E8D5804"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1F766A65" w14:textId="77777777" w:rsidR="00AD1F54" w:rsidRPr="00264D5D" w:rsidRDefault="00941227">
            <w:pPr>
              <w:pStyle w:val="EBTablenorm"/>
              <w:ind w:left="57" w:right="57"/>
              <w:contextualSpacing w:val="0"/>
              <w:jc w:val="left"/>
              <w:rPr>
                <w:sz w:val="22"/>
                <w:szCs w:val="22"/>
                <w:lang w:val="en-US"/>
              </w:rPr>
            </w:pPr>
            <w:r w:rsidRPr="00264D5D">
              <w:rPr>
                <w:rFonts w:eastAsia="Calibri"/>
                <w:sz w:val="22"/>
                <w:szCs w:val="22"/>
              </w:rPr>
              <w:t>N(14.2)</w:t>
            </w:r>
          </w:p>
        </w:tc>
        <w:tc>
          <w:tcPr>
            <w:tcW w:w="567" w:type="dxa"/>
          </w:tcPr>
          <w:p w14:paraId="1CDC6F79"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4FAD3312" w14:textId="77777777" w:rsidR="00AD1F54" w:rsidRPr="00264D5D" w:rsidRDefault="00941227">
            <w:pPr>
              <w:pStyle w:val="EBTablenorm"/>
              <w:ind w:left="57" w:right="57"/>
              <w:contextualSpacing w:val="0"/>
              <w:rPr>
                <w:sz w:val="22"/>
                <w:szCs w:val="22"/>
              </w:rPr>
            </w:pPr>
            <w:r w:rsidRPr="00264D5D">
              <w:rPr>
                <w:sz w:val="22"/>
                <w:szCs w:val="22"/>
              </w:rPr>
              <w:t xml:space="preserve">Сумма БО за апрель. </w:t>
            </w:r>
          </w:p>
          <w:p w14:paraId="428D29A2" w14:textId="77777777" w:rsidR="00AD1F54" w:rsidRPr="00264D5D" w:rsidRDefault="007E37F3">
            <w:pPr>
              <w:pStyle w:val="EBTablenorm"/>
              <w:ind w:left="57" w:right="57"/>
              <w:contextualSpacing w:val="0"/>
              <w:rPr>
                <w:sz w:val="22"/>
                <w:szCs w:val="22"/>
              </w:rPr>
            </w:pPr>
            <w:r w:rsidRPr="00264D5D">
              <w:rPr>
                <w:sz w:val="22"/>
                <w:szCs w:val="22"/>
              </w:rPr>
              <w:t>При отсутствии указывается 0.00</w:t>
            </w:r>
          </w:p>
        </w:tc>
      </w:tr>
      <w:tr w:rsidR="00AD1F54" w:rsidRPr="00264D5D" w14:paraId="01707C1C"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7F73A91"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Сумма БО за май</w:t>
            </w:r>
          </w:p>
        </w:tc>
        <w:tc>
          <w:tcPr>
            <w:tcW w:w="1701" w:type="dxa"/>
          </w:tcPr>
          <w:p w14:paraId="328E70B8" w14:textId="77777777" w:rsidR="00AD1F54" w:rsidRPr="00264D5D" w:rsidRDefault="00941227">
            <w:pPr>
              <w:pStyle w:val="EBTablenorm"/>
              <w:ind w:left="57" w:right="57"/>
              <w:contextualSpacing w:val="0"/>
              <w:rPr>
                <w:sz w:val="22"/>
                <w:szCs w:val="22"/>
                <w:lang w:val="en-US"/>
              </w:rPr>
            </w:pPr>
            <w:r w:rsidRPr="00264D5D">
              <w:rPr>
                <w:sz w:val="22"/>
                <w:szCs w:val="22"/>
                <w:lang w:val="en-US"/>
              </w:rPr>
              <w:t>SheduleSumInf</w:t>
            </w:r>
            <w:r w:rsidRPr="00264D5D">
              <w:rPr>
                <w:sz w:val="22"/>
                <w:szCs w:val="22"/>
              </w:rPr>
              <w:t>_</w:t>
            </w:r>
            <w:r w:rsidRPr="00264D5D">
              <w:rPr>
                <w:sz w:val="22"/>
                <w:szCs w:val="22"/>
                <w:lang w:val="en-US"/>
              </w:rPr>
              <w:t>may</w:t>
            </w:r>
          </w:p>
        </w:tc>
        <w:tc>
          <w:tcPr>
            <w:tcW w:w="567" w:type="dxa"/>
          </w:tcPr>
          <w:p w14:paraId="1D87047C"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5FC3C104" w14:textId="77777777" w:rsidR="00AD1F54" w:rsidRPr="00264D5D" w:rsidRDefault="00941227">
            <w:pPr>
              <w:pStyle w:val="EBTablenorm"/>
              <w:ind w:left="57" w:right="57"/>
              <w:contextualSpacing w:val="0"/>
              <w:jc w:val="left"/>
              <w:rPr>
                <w:sz w:val="22"/>
                <w:szCs w:val="22"/>
                <w:lang w:val="en-US"/>
              </w:rPr>
            </w:pPr>
            <w:r w:rsidRPr="00264D5D">
              <w:rPr>
                <w:rFonts w:eastAsia="Calibri"/>
                <w:sz w:val="22"/>
                <w:szCs w:val="22"/>
              </w:rPr>
              <w:t>N(14.2)</w:t>
            </w:r>
          </w:p>
        </w:tc>
        <w:tc>
          <w:tcPr>
            <w:tcW w:w="567" w:type="dxa"/>
          </w:tcPr>
          <w:p w14:paraId="73D0AA97"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272D5187" w14:textId="77777777" w:rsidR="00AD1F54" w:rsidRPr="00264D5D" w:rsidRDefault="00941227">
            <w:pPr>
              <w:pStyle w:val="EBTablenorm"/>
              <w:ind w:left="57" w:right="57"/>
              <w:contextualSpacing w:val="0"/>
              <w:rPr>
                <w:sz w:val="22"/>
                <w:szCs w:val="22"/>
              </w:rPr>
            </w:pPr>
            <w:r w:rsidRPr="00264D5D">
              <w:rPr>
                <w:sz w:val="22"/>
                <w:szCs w:val="22"/>
              </w:rPr>
              <w:t>Сумма БО за май.</w:t>
            </w:r>
          </w:p>
          <w:p w14:paraId="109D6676" w14:textId="77777777" w:rsidR="00AD1F54" w:rsidRPr="00264D5D" w:rsidRDefault="007E37F3">
            <w:pPr>
              <w:pStyle w:val="EBTablenorm"/>
              <w:ind w:left="57" w:right="57"/>
              <w:contextualSpacing w:val="0"/>
              <w:rPr>
                <w:sz w:val="22"/>
                <w:szCs w:val="22"/>
              </w:rPr>
            </w:pPr>
            <w:r w:rsidRPr="00264D5D">
              <w:rPr>
                <w:sz w:val="22"/>
                <w:szCs w:val="22"/>
              </w:rPr>
              <w:t>При отсутствии указывается 0.00</w:t>
            </w:r>
          </w:p>
        </w:tc>
      </w:tr>
      <w:tr w:rsidR="00AD1F54" w:rsidRPr="00264D5D" w14:paraId="2486E6EB"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5355FD56"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Сумма БО за июнь</w:t>
            </w:r>
          </w:p>
        </w:tc>
        <w:tc>
          <w:tcPr>
            <w:tcW w:w="1701" w:type="dxa"/>
          </w:tcPr>
          <w:p w14:paraId="24E4AACE" w14:textId="77777777" w:rsidR="00AD1F54" w:rsidRPr="00264D5D" w:rsidRDefault="00941227">
            <w:pPr>
              <w:pStyle w:val="EBTablenorm"/>
              <w:ind w:left="57" w:right="57"/>
              <w:contextualSpacing w:val="0"/>
              <w:rPr>
                <w:sz w:val="22"/>
                <w:szCs w:val="22"/>
                <w:lang w:val="en-US"/>
              </w:rPr>
            </w:pPr>
            <w:r w:rsidRPr="00264D5D">
              <w:rPr>
                <w:sz w:val="22"/>
                <w:szCs w:val="22"/>
                <w:lang w:val="en-US"/>
              </w:rPr>
              <w:t>SheduleSumInf</w:t>
            </w:r>
            <w:r w:rsidRPr="00264D5D">
              <w:rPr>
                <w:sz w:val="22"/>
                <w:szCs w:val="22"/>
              </w:rPr>
              <w:t>_</w:t>
            </w:r>
            <w:r w:rsidRPr="00264D5D">
              <w:rPr>
                <w:sz w:val="22"/>
                <w:szCs w:val="22"/>
                <w:lang w:val="en-US"/>
              </w:rPr>
              <w:t>june</w:t>
            </w:r>
          </w:p>
        </w:tc>
        <w:tc>
          <w:tcPr>
            <w:tcW w:w="567" w:type="dxa"/>
          </w:tcPr>
          <w:p w14:paraId="7379689D"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13AF4FB1" w14:textId="77777777" w:rsidR="00AD1F54" w:rsidRPr="00264D5D" w:rsidRDefault="00941227">
            <w:pPr>
              <w:pStyle w:val="EBTablenorm"/>
              <w:ind w:left="57" w:right="57"/>
              <w:contextualSpacing w:val="0"/>
              <w:jc w:val="left"/>
              <w:rPr>
                <w:sz w:val="22"/>
                <w:szCs w:val="22"/>
                <w:lang w:val="en-US"/>
              </w:rPr>
            </w:pPr>
            <w:r w:rsidRPr="00264D5D">
              <w:rPr>
                <w:rFonts w:eastAsia="Calibri"/>
                <w:sz w:val="22"/>
                <w:szCs w:val="22"/>
              </w:rPr>
              <w:t>N(14.2)</w:t>
            </w:r>
          </w:p>
        </w:tc>
        <w:tc>
          <w:tcPr>
            <w:tcW w:w="567" w:type="dxa"/>
          </w:tcPr>
          <w:p w14:paraId="4790E821"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1D2627FC" w14:textId="77777777" w:rsidR="00AD1F54" w:rsidRPr="00264D5D" w:rsidRDefault="00941227">
            <w:pPr>
              <w:pStyle w:val="EBTablenorm"/>
              <w:ind w:left="57" w:right="57"/>
              <w:contextualSpacing w:val="0"/>
              <w:rPr>
                <w:sz w:val="22"/>
                <w:szCs w:val="22"/>
              </w:rPr>
            </w:pPr>
            <w:r w:rsidRPr="00264D5D">
              <w:rPr>
                <w:sz w:val="22"/>
                <w:szCs w:val="22"/>
              </w:rPr>
              <w:t xml:space="preserve">Сумма БО за июнь. </w:t>
            </w:r>
          </w:p>
          <w:p w14:paraId="5BD8BAE6" w14:textId="77777777" w:rsidR="00AD1F54" w:rsidRPr="00264D5D" w:rsidRDefault="007E37F3">
            <w:pPr>
              <w:pStyle w:val="EBTablenorm"/>
              <w:ind w:left="57" w:right="57"/>
              <w:contextualSpacing w:val="0"/>
              <w:rPr>
                <w:sz w:val="22"/>
                <w:szCs w:val="22"/>
              </w:rPr>
            </w:pPr>
            <w:r w:rsidRPr="00264D5D">
              <w:rPr>
                <w:sz w:val="22"/>
                <w:szCs w:val="22"/>
              </w:rPr>
              <w:t>При отсутствии указывается 0.00</w:t>
            </w:r>
          </w:p>
        </w:tc>
      </w:tr>
      <w:tr w:rsidR="00AD1F54" w:rsidRPr="00264D5D" w14:paraId="7F8906CF"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6558548"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Сумма БО за июль</w:t>
            </w:r>
          </w:p>
        </w:tc>
        <w:tc>
          <w:tcPr>
            <w:tcW w:w="1701" w:type="dxa"/>
          </w:tcPr>
          <w:p w14:paraId="79E71908" w14:textId="77777777" w:rsidR="00AD1F54" w:rsidRPr="00264D5D" w:rsidRDefault="00941227">
            <w:pPr>
              <w:pStyle w:val="EBTablenorm"/>
              <w:ind w:left="57" w:right="57"/>
              <w:contextualSpacing w:val="0"/>
              <w:rPr>
                <w:sz w:val="22"/>
                <w:szCs w:val="22"/>
                <w:lang w:val="en-US"/>
              </w:rPr>
            </w:pPr>
            <w:r w:rsidRPr="00264D5D">
              <w:rPr>
                <w:sz w:val="22"/>
                <w:szCs w:val="22"/>
                <w:lang w:val="en-US"/>
              </w:rPr>
              <w:t>SheduleSumInf</w:t>
            </w:r>
            <w:r w:rsidRPr="00264D5D">
              <w:rPr>
                <w:sz w:val="22"/>
                <w:szCs w:val="22"/>
              </w:rPr>
              <w:t>_</w:t>
            </w:r>
            <w:r w:rsidRPr="00264D5D">
              <w:rPr>
                <w:sz w:val="22"/>
                <w:szCs w:val="22"/>
                <w:lang w:val="en-US"/>
              </w:rPr>
              <w:t>july</w:t>
            </w:r>
          </w:p>
        </w:tc>
        <w:tc>
          <w:tcPr>
            <w:tcW w:w="567" w:type="dxa"/>
          </w:tcPr>
          <w:p w14:paraId="31B84E1B"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06992194" w14:textId="77777777" w:rsidR="00AD1F54" w:rsidRPr="00264D5D" w:rsidRDefault="00941227">
            <w:pPr>
              <w:pStyle w:val="EBTablenorm"/>
              <w:ind w:left="57" w:right="57"/>
              <w:contextualSpacing w:val="0"/>
              <w:jc w:val="left"/>
              <w:rPr>
                <w:sz w:val="22"/>
                <w:szCs w:val="22"/>
                <w:lang w:val="en-US"/>
              </w:rPr>
            </w:pPr>
            <w:r w:rsidRPr="00264D5D">
              <w:rPr>
                <w:rFonts w:eastAsia="Calibri"/>
                <w:sz w:val="22"/>
                <w:szCs w:val="22"/>
              </w:rPr>
              <w:t>N(14.2)</w:t>
            </w:r>
          </w:p>
        </w:tc>
        <w:tc>
          <w:tcPr>
            <w:tcW w:w="567" w:type="dxa"/>
          </w:tcPr>
          <w:p w14:paraId="3BA9CDFC"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7C4FFE41" w14:textId="77777777" w:rsidR="00AD1F54" w:rsidRPr="00264D5D" w:rsidRDefault="00941227">
            <w:pPr>
              <w:pStyle w:val="EBTablenorm"/>
              <w:ind w:left="57" w:right="57"/>
              <w:contextualSpacing w:val="0"/>
              <w:rPr>
                <w:sz w:val="22"/>
                <w:szCs w:val="22"/>
              </w:rPr>
            </w:pPr>
            <w:r w:rsidRPr="00264D5D">
              <w:rPr>
                <w:sz w:val="22"/>
                <w:szCs w:val="22"/>
              </w:rPr>
              <w:t xml:space="preserve">Сумма БО за июль. </w:t>
            </w:r>
          </w:p>
          <w:p w14:paraId="23DA0F48" w14:textId="77777777" w:rsidR="00AD1F54" w:rsidRPr="00264D5D" w:rsidRDefault="007E37F3">
            <w:pPr>
              <w:pStyle w:val="EBTablenorm"/>
              <w:ind w:left="57" w:right="57"/>
              <w:contextualSpacing w:val="0"/>
              <w:rPr>
                <w:sz w:val="22"/>
                <w:szCs w:val="22"/>
              </w:rPr>
            </w:pPr>
            <w:r w:rsidRPr="00264D5D">
              <w:rPr>
                <w:sz w:val="22"/>
                <w:szCs w:val="22"/>
              </w:rPr>
              <w:t>При отсутствии указывается 0.00</w:t>
            </w:r>
          </w:p>
        </w:tc>
      </w:tr>
      <w:tr w:rsidR="00AD1F54" w:rsidRPr="00264D5D" w14:paraId="161ADEA6"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46D7223E"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Сумма БО за август</w:t>
            </w:r>
          </w:p>
        </w:tc>
        <w:tc>
          <w:tcPr>
            <w:tcW w:w="1701" w:type="dxa"/>
          </w:tcPr>
          <w:p w14:paraId="464985DB" w14:textId="77777777" w:rsidR="00AD1F54" w:rsidRPr="00264D5D" w:rsidRDefault="00941227">
            <w:pPr>
              <w:pStyle w:val="EBTablenorm"/>
              <w:ind w:left="57" w:right="57"/>
              <w:contextualSpacing w:val="0"/>
              <w:rPr>
                <w:sz w:val="22"/>
                <w:szCs w:val="22"/>
                <w:lang w:val="en-US"/>
              </w:rPr>
            </w:pPr>
            <w:r w:rsidRPr="00264D5D">
              <w:rPr>
                <w:sz w:val="22"/>
                <w:szCs w:val="22"/>
                <w:lang w:val="en-US"/>
              </w:rPr>
              <w:t>SheduleSumInf</w:t>
            </w:r>
            <w:r w:rsidRPr="00264D5D">
              <w:rPr>
                <w:sz w:val="22"/>
                <w:szCs w:val="22"/>
              </w:rPr>
              <w:t>_</w:t>
            </w:r>
            <w:r w:rsidRPr="00264D5D">
              <w:rPr>
                <w:sz w:val="22"/>
                <w:szCs w:val="22"/>
                <w:lang w:val="en-US"/>
              </w:rPr>
              <w:t>august</w:t>
            </w:r>
          </w:p>
        </w:tc>
        <w:tc>
          <w:tcPr>
            <w:tcW w:w="567" w:type="dxa"/>
          </w:tcPr>
          <w:p w14:paraId="0DA0FA87"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73B7C9F5" w14:textId="77777777" w:rsidR="00AD1F54" w:rsidRPr="00264D5D" w:rsidRDefault="00941227">
            <w:pPr>
              <w:pStyle w:val="EBTablenorm"/>
              <w:ind w:left="57" w:right="57"/>
              <w:contextualSpacing w:val="0"/>
              <w:jc w:val="left"/>
              <w:rPr>
                <w:sz w:val="22"/>
                <w:szCs w:val="22"/>
                <w:lang w:val="en-US"/>
              </w:rPr>
            </w:pPr>
            <w:r w:rsidRPr="00264D5D">
              <w:rPr>
                <w:rFonts w:eastAsia="Calibri"/>
                <w:sz w:val="22"/>
                <w:szCs w:val="22"/>
              </w:rPr>
              <w:t>N(14.2)</w:t>
            </w:r>
          </w:p>
        </w:tc>
        <w:tc>
          <w:tcPr>
            <w:tcW w:w="567" w:type="dxa"/>
          </w:tcPr>
          <w:p w14:paraId="6CCBAFB1"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5D200486" w14:textId="77777777" w:rsidR="00AD1F54" w:rsidRPr="00264D5D" w:rsidRDefault="00941227">
            <w:pPr>
              <w:pStyle w:val="EBTablenorm"/>
              <w:ind w:left="57" w:right="57"/>
              <w:contextualSpacing w:val="0"/>
              <w:rPr>
                <w:sz w:val="22"/>
                <w:szCs w:val="22"/>
              </w:rPr>
            </w:pPr>
            <w:r w:rsidRPr="00264D5D">
              <w:rPr>
                <w:sz w:val="22"/>
                <w:szCs w:val="22"/>
              </w:rPr>
              <w:t xml:space="preserve">Сумма БО за август. </w:t>
            </w:r>
          </w:p>
          <w:p w14:paraId="305A5FD3" w14:textId="77777777" w:rsidR="00AD1F54" w:rsidRPr="00264D5D" w:rsidRDefault="007E37F3">
            <w:pPr>
              <w:pStyle w:val="EBTablenorm"/>
              <w:ind w:left="57" w:right="57"/>
              <w:contextualSpacing w:val="0"/>
              <w:rPr>
                <w:sz w:val="22"/>
                <w:szCs w:val="22"/>
              </w:rPr>
            </w:pPr>
            <w:r w:rsidRPr="00264D5D">
              <w:rPr>
                <w:sz w:val="22"/>
                <w:szCs w:val="22"/>
              </w:rPr>
              <w:t>При отсутствии указывается 0.00</w:t>
            </w:r>
          </w:p>
        </w:tc>
      </w:tr>
      <w:tr w:rsidR="00AD1F54" w:rsidRPr="00264D5D" w14:paraId="264DA681"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FDC343D"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Сумма БО за сентябрь</w:t>
            </w:r>
          </w:p>
        </w:tc>
        <w:tc>
          <w:tcPr>
            <w:tcW w:w="1701" w:type="dxa"/>
          </w:tcPr>
          <w:p w14:paraId="5DCCC8E6" w14:textId="77777777" w:rsidR="00AD1F54" w:rsidRPr="00264D5D" w:rsidRDefault="00941227">
            <w:pPr>
              <w:pStyle w:val="EBTablenorm"/>
              <w:ind w:left="57" w:right="57"/>
              <w:contextualSpacing w:val="0"/>
              <w:rPr>
                <w:sz w:val="22"/>
                <w:szCs w:val="22"/>
                <w:lang w:val="en-US"/>
              </w:rPr>
            </w:pPr>
            <w:r w:rsidRPr="00264D5D">
              <w:rPr>
                <w:sz w:val="22"/>
                <w:szCs w:val="22"/>
                <w:lang w:val="en-US"/>
              </w:rPr>
              <w:t>SheduleSumInf</w:t>
            </w:r>
            <w:r w:rsidRPr="00264D5D">
              <w:rPr>
                <w:sz w:val="22"/>
                <w:szCs w:val="22"/>
              </w:rPr>
              <w:t>_</w:t>
            </w:r>
            <w:r w:rsidRPr="00264D5D">
              <w:rPr>
                <w:sz w:val="22"/>
                <w:szCs w:val="22"/>
                <w:lang w:val="en-US"/>
              </w:rPr>
              <w:t>september</w:t>
            </w:r>
          </w:p>
        </w:tc>
        <w:tc>
          <w:tcPr>
            <w:tcW w:w="567" w:type="dxa"/>
          </w:tcPr>
          <w:p w14:paraId="1443F700"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0E676D81" w14:textId="77777777" w:rsidR="00AD1F54" w:rsidRPr="00264D5D" w:rsidRDefault="00941227">
            <w:pPr>
              <w:pStyle w:val="EBTablenorm"/>
              <w:ind w:left="57" w:right="57"/>
              <w:contextualSpacing w:val="0"/>
              <w:jc w:val="left"/>
              <w:rPr>
                <w:sz w:val="22"/>
                <w:szCs w:val="22"/>
                <w:lang w:val="en-US"/>
              </w:rPr>
            </w:pPr>
            <w:r w:rsidRPr="00264D5D">
              <w:rPr>
                <w:rFonts w:eastAsia="Calibri"/>
                <w:sz w:val="22"/>
                <w:szCs w:val="22"/>
              </w:rPr>
              <w:t>N(14.2)</w:t>
            </w:r>
          </w:p>
        </w:tc>
        <w:tc>
          <w:tcPr>
            <w:tcW w:w="567" w:type="dxa"/>
          </w:tcPr>
          <w:p w14:paraId="30E0B1AD"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370CFC16" w14:textId="77777777" w:rsidR="00AD1F54" w:rsidRPr="00264D5D" w:rsidRDefault="00941227">
            <w:pPr>
              <w:pStyle w:val="EBTablenorm"/>
              <w:ind w:left="57" w:right="57"/>
              <w:contextualSpacing w:val="0"/>
              <w:rPr>
                <w:sz w:val="22"/>
                <w:szCs w:val="22"/>
              </w:rPr>
            </w:pPr>
            <w:r w:rsidRPr="00264D5D">
              <w:rPr>
                <w:sz w:val="22"/>
                <w:szCs w:val="22"/>
              </w:rPr>
              <w:t xml:space="preserve">Сумма БО за сентябрь. </w:t>
            </w:r>
          </w:p>
          <w:p w14:paraId="082FA15A" w14:textId="77777777" w:rsidR="00AD1F54" w:rsidRPr="00264D5D" w:rsidRDefault="007E37F3">
            <w:pPr>
              <w:pStyle w:val="EBTablenorm"/>
              <w:ind w:left="57" w:right="57"/>
              <w:contextualSpacing w:val="0"/>
              <w:rPr>
                <w:sz w:val="22"/>
                <w:szCs w:val="22"/>
              </w:rPr>
            </w:pPr>
            <w:r w:rsidRPr="00264D5D">
              <w:rPr>
                <w:sz w:val="22"/>
                <w:szCs w:val="22"/>
              </w:rPr>
              <w:t>При отсутствии указывается 0.00</w:t>
            </w:r>
          </w:p>
        </w:tc>
      </w:tr>
      <w:tr w:rsidR="00AD1F54" w:rsidRPr="00264D5D" w14:paraId="25A2C076"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0BF96E2B"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Сумма БО за октябрь</w:t>
            </w:r>
          </w:p>
        </w:tc>
        <w:tc>
          <w:tcPr>
            <w:tcW w:w="1701" w:type="dxa"/>
          </w:tcPr>
          <w:p w14:paraId="7B043026" w14:textId="77777777" w:rsidR="00AD1F54" w:rsidRPr="00264D5D" w:rsidRDefault="00941227">
            <w:pPr>
              <w:pStyle w:val="EBTablenorm"/>
              <w:ind w:left="57" w:right="57"/>
              <w:contextualSpacing w:val="0"/>
              <w:rPr>
                <w:sz w:val="22"/>
                <w:szCs w:val="22"/>
                <w:lang w:val="en-US"/>
              </w:rPr>
            </w:pPr>
            <w:r w:rsidRPr="00264D5D">
              <w:rPr>
                <w:sz w:val="22"/>
                <w:szCs w:val="22"/>
                <w:lang w:val="en-US"/>
              </w:rPr>
              <w:t>SheduleSumInf</w:t>
            </w:r>
            <w:r w:rsidRPr="00264D5D">
              <w:rPr>
                <w:sz w:val="22"/>
                <w:szCs w:val="22"/>
              </w:rPr>
              <w:t>_</w:t>
            </w:r>
            <w:r w:rsidRPr="00264D5D">
              <w:rPr>
                <w:sz w:val="22"/>
                <w:szCs w:val="22"/>
                <w:lang w:val="en-US"/>
              </w:rPr>
              <w:t>october</w:t>
            </w:r>
          </w:p>
        </w:tc>
        <w:tc>
          <w:tcPr>
            <w:tcW w:w="567" w:type="dxa"/>
          </w:tcPr>
          <w:p w14:paraId="6AB81B69"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340083DB" w14:textId="77777777" w:rsidR="00AD1F54" w:rsidRPr="00264D5D" w:rsidRDefault="00941227">
            <w:pPr>
              <w:pStyle w:val="EBTablenorm"/>
              <w:ind w:left="57" w:right="57"/>
              <w:contextualSpacing w:val="0"/>
              <w:jc w:val="left"/>
              <w:rPr>
                <w:sz w:val="22"/>
                <w:szCs w:val="22"/>
                <w:lang w:val="en-US"/>
              </w:rPr>
            </w:pPr>
            <w:r w:rsidRPr="00264D5D">
              <w:rPr>
                <w:rFonts w:eastAsia="Calibri"/>
                <w:sz w:val="22"/>
                <w:szCs w:val="22"/>
              </w:rPr>
              <w:t>N(14.2)</w:t>
            </w:r>
          </w:p>
        </w:tc>
        <w:tc>
          <w:tcPr>
            <w:tcW w:w="567" w:type="dxa"/>
          </w:tcPr>
          <w:p w14:paraId="12CF33F1"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32084DB0" w14:textId="77777777" w:rsidR="00AD1F54" w:rsidRPr="00264D5D" w:rsidRDefault="00941227">
            <w:pPr>
              <w:pStyle w:val="EBTablenorm"/>
              <w:ind w:left="57" w:right="57"/>
              <w:contextualSpacing w:val="0"/>
              <w:rPr>
                <w:sz w:val="22"/>
                <w:szCs w:val="22"/>
              </w:rPr>
            </w:pPr>
            <w:r w:rsidRPr="00264D5D">
              <w:rPr>
                <w:sz w:val="22"/>
                <w:szCs w:val="22"/>
              </w:rPr>
              <w:t xml:space="preserve">Сумма БО за октябрь. </w:t>
            </w:r>
          </w:p>
          <w:p w14:paraId="03992811" w14:textId="77777777" w:rsidR="00AD1F54" w:rsidRPr="00264D5D" w:rsidRDefault="007E37F3">
            <w:pPr>
              <w:pStyle w:val="EBTablenorm"/>
              <w:ind w:left="57" w:right="57"/>
              <w:contextualSpacing w:val="0"/>
              <w:rPr>
                <w:sz w:val="22"/>
                <w:szCs w:val="22"/>
              </w:rPr>
            </w:pPr>
            <w:r w:rsidRPr="00264D5D">
              <w:rPr>
                <w:sz w:val="22"/>
                <w:szCs w:val="22"/>
              </w:rPr>
              <w:t>При отсутствии указывается 0.00</w:t>
            </w:r>
          </w:p>
        </w:tc>
      </w:tr>
      <w:tr w:rsidR="00AD1F54" w:rsidRPr="00264D5D" w14:paraId="401F2A23"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FBE2FC1"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Сумма БО за ноябрь</w:t>
            </w:r>
          </w:p>
        </w:tc>
        <w:tc>
          <w:tcPr>
            <w:tcW w:w="1701" w:type="dxa"/>
          </w:tcPr>
          <w:p w14:paraId="6E3AE47D" w14:textId="77777777" w:rsidR="00AD1F54" w:rsidRPr="00264D5D" w:rsidRDefault="00941227">
            <w:pPr>
              <w:pStyle w:val="EBTablenorm"/>
              <w:ind w:left="57" w:right="57"/>
              <w:contextualSpacing w:val="0"/>
              <w:rPr>
                <w:sz w:val="22"/>
                <w:szCs w:val="22"/>
                <w:lang w:val="en-US"/>
              </w:rPr>
            </w:pPr>
            <w:r w:rsidRPr="00264D5D">
              <w:rPr>
                <w:sz w:val="22"/>
                <w:szCs w:val="22"/>
                <w:lang w:val="en-US"/>
              </w:rPr>
              <w:t>SheduleSumInf</w:t>
            </w:r>
            <w:r w:rsidRPr="00264D5D">
              <w:rPr>
                <w:sz w:val="22"/>
                <w:szCs w:val="22"/>
              </w:rPr>
              <w:t>_</w:t>
            </w:r>
            <w:r w:rsidRPr="00264D5D">
              <w:rPr>
                <w:sz w:val="22"/>
                <w:szCs w:val="22"/>
                <w:lang w:val="en-US"/>
              </w:rPr>
              <w:t>november</w:t>
            </w:r>
          </w:p>
        </w:tc>
        <w:tc>
          <w:tcPr>
            <w:tcW w:w="567" w:type="dxa"/>
          </w:tcPr>
          <w:p w14:paraId="645C8678"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4C9F9B8F" w14:textId="77777777" w:rsidR="00AD1F54" w:rsidRPr="00264D5D" w:rsidRDefault="00941227">
            <w:pPr>
              <w:pStyle w:val="EBTablenorm"/>
              <w:ind w:left="57" w:right="57"/>
              <w:contextualSpacing w:val="0"/>
              <w:jc w:val="left"/>
              <w:rPr>
                <w:sz w:val="22"/>
                <w:szCs w:val="22"/>
                <w:lang w:val="en-US"/>
              </w:rPr>
            </w:pPr>
            <w:r w:rsidRPr="00264D5D">
              <w:rPr>
                <w:rFonts w:eastAsia="Calibri"/>
                <w:sz w:val="22"/>
                <w:szCs w:val="22"/>
              </w:rPr>
              <w:t>N(14.2)</w:t>
            </w:r>
          </w:p>
        </w:tc>
        <w:tc>
          <w:tcPr>
            <w:tcW w:w="567" w:type="dxa"/>
          </w:tcPr>
          <w:p w14:paraId="221FA15B"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327DE2D2" w14:textId="77777777" w:rsidR="00AD1F54" w:rsidRPr="00264D5D" w:rsidRDefault="00941227">
            <w:pPr>
              <w:pStyle w:val="EBTablenorm"/>
              <w:ind w:left="57" w:right="57"/>
              <w:contextualSpacing w:val="0"/>
              <w:rPr>
                <w:sz w:val="22"/>
                <w:szCs w:val="22"/>
              </w:rPr>
            </w:pPr>
            <w:r w:rsidRPr="00264D5D">
              <w:rPr>
                <w:sz w:val="22"/>
                <w:szCs w:val="22"/>
              </w:rPr>
              <w:t>Сумма БО за ноябрь.</w:t>
            </w:r>
          </w:p>
          <w:p w14:paraId="22736610" w14:textId="77777777" w:rsidR="00AD1F54" w:rsidRPr="00264D5D" w:rsidRDefault="00941227">
            <w:pPr>
              <w:pStyle w:val="EBTablenorm"/>
              <w:ind w:left="57" w:right="57"/>
              <w:contextualSpacing w:val="0"/>
              <w:rPr>
                <w:sz w:val="22"/>
                <w:szCs w:val="22"/>
              </w:rPr>
            </w:pPr>
            <w:r w:rsidRPr="00264D5D">
              <w:rPr>
                <w:sz w:val="22"/>
                <w:szCs w:val="22"/>
              </w:rPr>
              <w:t xml:space="preserve"> </w:t>
            </w:r>
            <w:r w:rsidR="007E37F3" w:rsidRPr="00264D5D">
              <w:rPr>
                <w:sz w:val="22"/>
                <w:szCs w:val="22"/>
              </w:rPr>
              <w:t>При отсутствии указывается 0.00</w:t>
            </w:r>
          </w:p>
        </w:tc>
      </w:tr>
      <w:tr w:rsidR="00AD1F54" w:rsidRPr="00264D5D" w14:paraId="474D0648"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06A04EA5"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Сумма БО за декабрь</w:t>
            </w:r>
          </w:p>
        </w:tc>
        <w:tc>
          <w:tcPr>
            <w:tcW w:w="1701" w:type="dxa"/>
          </w:tcPr>
          <w:p w14:paraId="4EF5BFD2" w14:textId="77777777" w:rsidR="00AD1F54" w:rsidRPr="00264D5D" w:rsidRDefault="00941227">
            <w:pPr>
              <w:pStyle w:val="EBTablenorm"/>
              <w:ind w:left="57" w:right="57"/>
              <w:contextualSpacing w:val="0"/>
              <w:rPr>
                <w:sz w:val="22"/>
                <w:szCs w:val="22"/>
                <w:lang w:val="en-US"/>
              </w:rPr>
            </w:pPr>
            <w:r w:rsidRPr="00264D5D">
              <w:rPr>
                <w:sz w:val="22"/>
                <w:szCs w:val="22"/>
                <w:lang w:val="en-US"/>
              </w:rPr>
              <w:t>SheduleSumInf</w:t>
            </w:r>
            <w:r w:rsidRPr="00264D5D">
              <w:rPr>
                <w:sz w:val="22"/>
                <w:szCs w:val="22"/>
              </w:rPr>
              <w:t>_</w:t>
            </w:r>
            <w:r w:rsidRPr="00264D5D">
              <w:rPr>
                <w:sz w:val="22"/>
                <w:szCs w:val="22"/>
                <w:lang w:val="en-US"/>
              </w:rPr>
              <w:t>december</w:t>
            </w:r>
          </w:p>
        </w:tc>
        <w:tc>
          <w:tcPr>
            <w:tcW w:w="567" w:type="dxa"/>
          </w:tcPr>
          <w:p w14:paraId="44CCB7C0"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7CB22021" w14:textId="77777777" w:rsidR="00AD1F54" w:rsidRPr="00264D5D" w:rsidRDefault="00941227">
            <w:pPr>
              <w:pStyle w:val="EBTablenorm"/>
              <w:ind w:left="57" w:right="57"/>
              <w:contextualSpacing w:val="0"/>
              <w:jc w:val="left"/>
              <w:rPr>
                <w:sz w:val="22"/>
                <w:szCs w:val="22"/>
                <w:lang w:val="en-US"/>
              </w:rPr>
            </w:pPr>
            <w:r w:rsidRPr="00264D5D">
              <w:rPr>
                <w:rFonts w:eastAsia="Calibri"/>
                <w:sz w:val="22"/>
                <w:szCs w:val="22"/>
              </w:rPr>
              <w:t>N(14.2)</w:t>
            </w:r>
          </w:p>
        </w:tc>
        <w:tc>
          <w:tcPr>
            <w:tcW w:w="567" w:type="dxa"/>
          </w:tcPr>
          <w:p w14:paraId="58879AF5"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65508457" w14:textId="77777777" w:rsidR="00AD1F54" w:rsidRPr="00264D5D" w:rsidRDefault="00941227">
            <w:pPr>
              <w:pStyle w:val="EBTablenorm"/>
              <w:ind w:left="57" w:right="57"/>
              <w:contextualSpacing w:val="0"/>
              <w:rPr>
                <w:sz w:val="22"/>
                <w:szCs w:val="22"/>
              </w:rPr>
            </w:pPr>
            <w:r w:rsidRPr="00264D5D">
              <w:rPr>
                <w:sz w:val="22"/>
                <w:szCs w:val="22"/>
              </w:rPr>
              <w:t xml:space="preserve">Сумма БО за декабрь. </w:t>
            </w:r>
          </w:p>
          <w:p w14:paraId="5CF1E78D" w14:textId="77777777" w:rsidR="00AD1F54" w:rsidRPr="00264D5D" w:rsidRDefault="007E37F3">
            <w:pPr>
              <w:pStyle w:val="EBTablenorm"/>
              <w:ind w:left="57" w:right="57"/>
              <w:contextualSpacing w:val="0"/>
              <w:rPr>
                <w:sz w:val="22"/>
                <w:szCs w:val="22"/>
              </w:rPr>
            </w:pPr>
            <w:r w:rsidRPr="00264D5D">
              <w:rPr>
                <w:sz w:val="22"/>
                <w:szCs w:val="22"/>
              </w:rPr>
              <w:t>При отсутствии указывается 0.00</w:t>
            </w:r>
          </w:p>
        </w:tc>
      </w:tr>
      <w:tr w:rsidR="00AD1F54" w:rsidRPr="00264D5D" w14:paraId="465E04F7"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70F6CDDF"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Сумма БО на текущий финансовый год</w:t>
            </w:r>
          </w:p>
        </w:tc>
        <w:tc>
          <w:tcPr>
            <w:tcW w:w="1701" w:type="dxa"/>
          </w:tcPr>
          <w:p w14:paraId="4744DC6C" w14:textId="77777777" w:rsidR="00AD1F54" w:rsidRPr="00264D5D" w:rsidRDefault="00941227">
            <w:pPr>
              <w:pStyle w:val="EBTablenorm"/>
              <w:ind w:left="57" w:right="57"/>
              <w:contextualSpacing w:val="0"/>
              <w:rPr>
                <w:sz w:val="22"/>
                <w:szCs w:val="22"/>
                <w:lang w:val="en-US"/>
              </w:rPr>
            </w:pPr>
            <w:r w:rsidRPr="00264D5D">
              <w:rPr>
                <w:sz w:val="22"/>
                <w:szCs w:val="22"/>
                <w:lang w:val="en-US"/>
              </w:rPr>
              <w:t>yearSum</w:t>
            </w:r>
          </w:p>
        </w:tc>
        <w:tc>
          <w:tcPr>
            <w:tcW w:w="567" w:type="dxa"/>
          </w:tcPr>
          <w:p w14:paraId="37C8F12E"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32D9324D" w14:textId="77777777" w:rsidR="00AD1F54" w:rsidRPr="00264D5D" w:rsidRDefault="00941227">
            <w:pPr>
              <w:pStyle w:val="EBTablenorm"/>
              <w:ind w:left="57" w:right="57"/>
              <w:contextualSpacing w:val="0"/>
              <w:jc w:val="left"/>
              <w:rPr>
                <w:sz w:val="22"/>
                <w:szCs w:val="22"/>
                <w:lang w:val="en-US"/>
              </w:rPr>
            </w:pPr>
            <w:r w:rsidRPr="00264D5D">
              <w:rPr>
                <w:rFonts w:eastAsia="Calibri"/>
                <w:sz w:val="22"/>
                <w:szCs w:val="22"/>
              </w:rPr>
              <w:t>N(14.2)</w:t>
            </w:r>
          </w:p>
        </w:tc>
        <w:tc>
          <w:tcPr>
            <w:tcW w:w="567" w:type="dxa"/>
          </w:tcPr>
          <w:p w14:paraId="516B7D7A"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23B9926E" w14:textId="77777777" w:rsidR="00AD1F54" w:rsidRPr="00264D5D" w:rsidRDefault="00941227">
            <w:pPr>
              <w:pStyle w:val="EBTablenorm"/>
              <w:ind w:left="57" w:right="57"/>
              <w:contextualSpacing w:val="0"/>
              <w:rPr>
                <w:sz w:val="22"/>
                <w:szCs w:val="22"/>
              </w:rPr>
            </w:pPr>
            <w:r w:rsidRPr="00264D5D">
              <w:rPr>
                <w:sz w:val="22"/>
                <w:szCs w:val="22"/>
              </w:rPr>
              <w:t>Сумма БО на текущий финансовый год.</w:t>
            </w:r>
          </w:p>
          <w:p w14:paraId="21334906" w14:textId="77777777" w:rsidR="00AD1F54" w:rsidRPr="00264D5D" w:rsidRDefault="00941227">
            <w:pPr>
              <w:pStyle w:val="EBTablenorm"/>
              <w:ind w:left="57" w:right="57"/>
              <w:contextualSpacing w:val="0"/>
              <w:rPr>
                <w:sz w:val="22"/>
                <w:szCs w:val="22"/>
              </w:rPr>
            </w:pPr>
            <w:r w:rsidRPr="00264D5D">
              <w:rPr>
                <w:sz w:val="22"/>
                <w:szCs w:val="22"/>
              </w:rPr>
              <w:t>Поле должно иметь отличное от нуля значение, если значение хотя бы одного из полей «Сумма БО за январь» – «</w:t>
            </w:r>
            <w:r w:rsidRPr="00264D5D">
              <w:rPr>
                <w:rFonts w:eastAsia="Calibri"/>
                <w:sz w:val="22"/>
                <w:szCs w:val="22"/>
              </w:rPr>
              <w:t>Сумма БО за декабрь</w:t>
            </w:r>
            <w:r w:rsidRPr="00264D5D">
              <w:rPr>
                <w:sz w:val="22"/>
                <w:szCs w:val="22"/>
              </w:rPr>
              <w:t>» не равно «0.00».</w:t>
            </w:r>
          </w:p>
          <w:p w14:paraId="47853476" w14:textId="77777777" w:rsidR="00AD1F54" w:rsidRPr="00264D5D" w:rsidRDefault="00941227">
            <w:pPr>
              <w:pStyle w:val="EBTablenorm"/>
              <w:ind w:left="57" w:right="57"/>
              <w:contextualSpacing w:val="0"/>
              <w:rPr>
                <w:sz w:val="22"/>
                <w:szCs w:val="22"/>
              </w:rPr>
            </w:pPr>
            <w:r w:rsidRPr="00264D5D">
              <w:rPr>
                <w:sz w:val="22"/>
                <w:szCs w:val="22"/>
              </w:rPr>
              <w:t>При указании в элементе «Тип сведений о соглашении» значения «0» поле должно иметь отличное от нуля значение, если значение каждого из полей «</w:t>
            </w:r>
            <w:r w:rsidRPr="00264D5D">
              <w:rPr>
                <w:rFonts w:eastAsia="Calibri"/>
                <w:sz w:val="22"/>
                <w:szCs w:val="22"/>
              </w:rPr>
              <w:t>Сумма БО на первый год планового периода», «</w:t>
            </w:r>
            <w:r w:rsidRPr="00264D5D">
              <w:rPr>
                <w:sz w:val="22"/>
                <w:szCs w:val="22"/>
              </w:rPr>
              <w:t xml:space="preserve">Сумма БО на </w:t>
            </w:r>
            <w:r w:rsidRPr="00264D5D">
              <w:rPr>
                <w:sz w:val="22"/>
                <w:szCs w:val="22"/>
              </w:rPr>
              <w:lastRenderedPageBreak/>
              <w:t>второй год планового периода</w:t>
            </w:r>
            <w:r w:rsidRPr="00264D5D">
              <w:rPr>
                <w:rFonts w:eastAsia="Calibri"/>
                <w:sz w:val="22"/>
                <w:szCs w:val="22"/>
              </w:rPr>
              <w:t>»</w:t>
            </w:r>
            <w:r w:rsidRPr="00264D5D">
              <w:rPr>
                <w:sz w:val="22"/>
                <w:szCs w:val="22"/>
              </w:rPr>
              <w:t xml:space="preserve"> «Сумма БО на третий год после текущего» и «Сумма БО на последующие годы после текущего финансового года» равно «0.00».</w:t>
            </w:r>
          </w:p>
          <w:p w14:paraId="5C3A5F11" w14:textId="77777777" w:rsidR="00AD1F54" w:rsidRPr="00264D5D" w:rsidRDefault="007E37F3">
            <w:pPr>
              <w:pStyle w:val="EBTablenorm"/>
              <w:ind w:left="57" w:right="57"/>
              <w:contextualSpacing w:val="0"/>
              <w:rPr>
                <w:sz w:val="22"/>
                <w:szCs w:val="22"/>
              </w:rPr>
            </w:pPr>
            <w:r w:rsidRPr="00264D5D">
              <w:rPr>
                <w:sz w:val="22"/>
                <w:szCs w:val="22"/>
              </w:rPr>
              <w:t>При отсутствии указывается 0.00</w:t>
            </w:r>
          </w:p>
        </w:tc>
      </w:tr>
    </w:tbl>
    <w:p w14:paraId="1FF13FE4" w14:textId="77777777" w:rsidR="00AD1F54" w:rsidRPr="00264D5D" w:rsidRDefault="00941227">
      <w:pPr>
        <w:pStyle w:val="31"/>
      </w:pPr>
      <w:bookmarkStart w:id="2049" w:name="_Toc496984044"/>
      <w:bookmarkStart w:id="2050" w:name="_Toc219309677"/>
      <w:r w:rsidRPr="00264D5D">
        <w:lastRenderedPageBreak/>
        <w:t>Описание комплексного типа «</w:t>
      </w:r>
      <w:r w:rsidRPr="00264D5D">
        <w:rPr>
          <w:rFonts w:eastAsia="Calibri"/>
        </w:rPr>
        <w:t>tSumPlanPeriod</w:t>
      </w:r>
      <w:r w:rsidRPr="00264D5D">
        <w:t>»</w:t>
      </w:r>
      <w:bookmarkEnd w:id="2049"/>
      <w:bookmarkEnd w:id="2050"/>
    </w:p>
    <w:p w14:paraId="052CBE3C" w14:textId="77777777" w:rsidR="00AD1F54" w:rsidRPr="00264D5D" w:rsidRDefault="00941227">
      <w:pPr>
        <w:spacing w:before="60" w:after="120"/>
        <w:ind w:firstLine="567"/>
        <w:rPr>
          <w:szCs w:val="24"/>
        </w:rPr>
      </w:pPr>
      <w:r w:rsidRPr="00264D5D">
        <w:rPr>
          <w:rFonts w:eastAsia="Calibri"/>
          <w:szCs w:val="24"/>
        </w:rPr>
        <w:t xml:space="preserve">Описание комплексного типа «tSumPlanPeriod» </w:t>
      </w:r>
      <w:r w:rsidRPr="00264D5D">
        <w:t>блока «</w:t>
      </w:r>
      <w:r w:rsidRPr="00264D5D">
        <w:rPr>
          <w:rFonts w:eastAsia="Calibri"/>
          <w:szCs w:val="24"/>
        </w:rPr>
        <w:t>Сумма на плановый период в валюте обязательства».</w:t>
      </w:r>
    </w:p>
    <w:bookmarkStart w:id="2051" w:name="_Ref495403152"/>
    <w:p w14:paraId="208AC450" w14:textId="33460B76"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2052" w:name="_Ref494365766"/>
      <w:bookmarkStart w:id="2053" w:name="_Toc30503394"/>
      <w:bookmarkStart w:id="2054" w:name="_Toc30507992"/>
      <w:bookmarkStart w:id="2055" w:name="_Toc219309245"/>
      <w:r w:rsidR="008D797C">
        <w:rPr>
          <w:rFonts w:eastAsia="Calibri"/>
          <w:noProof/>
          <w:szCs w:val="24"/>
        </w:rPr>
        <w:t>215</w:t>
      </w:r>
      <w:bookmarkEnd w:id="2052"/>
      <w:r w:rsidRPr="00264D5D">
        <w:rPr>
          <w:rFonts w:eastAsia="Calibri"/>
          <w:szCs w:val="24"/>
        </w:rPr>
        <w:fldChar w:fldCharType="end"/>
      </w:r>
      <w:r w:rsidRPr="00264D5D">
        <w:rPr>
          <w:rFonts w:eastAsia="Calibri"/>
          <w:szCs w:val="24"/>
        </w:rPr>
        <w:t xml:space="preserve"> – Описание комплексного типа «tSumPlanPeriod»</w:t>
      </w:r>
      <w:bookmarkEnd w:id="2051"/>
      <w:bookmarkEnd w:id="2053"/>
      <w:bookmarkEnd w:id="2054"/>
      <w:bookmarkEnd w:id="2055"/>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1FCDC2A9"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0699F39A" w14:textId="77777777" w:rsidR="00AD1F54" w:rsidRPr="00264D5D" w:rsidRDefault="00941227">
            <w:pPr>
              <w:pStyle w:val="EBTableHead"/>
              <w:ind w:left="57" w:right="57"/>
              <w:contextualSpacing w:val="0"/>
              <w:rPr>
                <w:sz w:val="22"/>
                <w:szCs w:val="22"/>
              </w:rPr>
            </w:pPr>
            <w:r w:rsidRPr="00264D5D">
              <w:rPr>
                <w:bCs w:val="0"/>
                <w:sz w:val="22"/>
                <w:szCs w:val="22"/>
              </w:rPr>
              <w:t>Наименование элемента</w:t>
            </w:r>
          </w:p>
        </w:tc>
        <w:tc>
          <w:tcPr>
            <w:tcW w:w="1701" w:type="dxa"/>
          </w:tcPr>
          <w:p w14:paraId="5B2319CF" w14:textId="77777777" w:rsidR="00AD1F54" w:rsidRPr="00264D5D" w:rsidRDefault="00941227">
            <w:pPr>
              <w:pStyle w:val="EBTableHead"/>
              <w:ind w:left="57" w:right="57"/>
              <w:contextualSpacing w:val="0"/>
              <w:rPr>
                <w:sz w:val="22"/>
                <w:szCs w:val="22"/>
              </w:rPr>
            </w:pPr>
            <w:r w:rsidRPr="00264D5D">
              <w:rPr>
                <w:bCs w:val="0"/>
                <w:sz w:val="22"/>
                <w:szCs w:val="22"/>
              </w:rPr>
              <w:t>Сокращенное наименование (код) элемента</w:t>
            </w:r>
          </w:p>
        </w:tc>
        <w:tc>
          <w:tcPr>
            <w:tcW w:w="567" w:type="dxa"/>
          </w:tcPr>
          <w:p w14:paraId="6CA2033F" w14:textId="77777777" w:rsidR="00AD1F54" w:rsidRPr="00264D5D" w:rsidRDefault="00941227">
            <w:pPr>
              <w:pStyle w:val="EBTableHead"/>
              <w:ind w:left="57" w:right="57"/>
              <w:contextualSpacing w:val="0"/>
              <w:rPr>
                <w:sz w:val="22"/>
                <w:szCs w:val="22"/>
              </w:rPr>
            </w:pPr>
            <w:r w:rsidRPr="00264D5D">
              <w:rPr>
                <w:bCs w:val="0"/>
                <w:sz w:val="22"/>
                <w:szCs w:val="22"/>
              </w:rPr>
              <w:t>Тип</w:t>
            </w:r>
          </w:p>
        </w:tc>
        <w:tc>
          <w:tcPr>
            <w:tcW w:w="1134" w:type="dxa"/>
          </w:tcPr>
          <w:p w14:paraId="1E637B0E" w14:textId="77777777" w:rsidR="00AD1F54" w:rsidRPr="00264D5D" w:rsidRDefault="00941227">
            <w:pPr>
              <w:pStyle w:val="EBTableHead"/>
              <w:ind w:left="57" w:right="57"/>
              <w:contextualSpacing w:val="0"/>
              <w:rPr>
                <w:sz w:val="22"/>
                <w:szCs w:val="22"/>
              </w:rPr>
            </w:pPr>
            <w:r w:rsidRPr="00264D5D">
              <w:rPr>
                <w:bCs w:val="0"/>
                <w:sz w:val="22"/>
                <w:szCs w:val="22"/>
              </w:rPr>
              <w:t>Формат элемента</w:t>
            </w:r>
          </w:p>
        </w:tc>
        <w:tc>
          <w:tcPr>
            <w:tcW w:w="567" w:type="dxa"/>
          </w:tcPr>
          <w:p w14:paraId="6974829A" w14:textId="77777777" w:rsidR="00AD1F54" w:rsidRPr="00264D5D" w:rsidRDefault="00941227">
            <w:pPr>
              <w:spacing w:before="60" w:after="60"/>
              <w:ind w:left="57" w:right="57"/>
              <w:jc w:val="center"/>
              <w:rPr>
                <w:b/>
                <w:bCs/>
                <w:sz w:val="22"/>
                <w:szCs w:val="22"/>
              </w:rPr>
            </w:pPr>
            <w:r w:rsidRPr="00264D5D">
              <w:rPr>
                <w:b/>
                <w:bCs/>
                <w:sz w:val="22"/>
                <w:szCs w:val="22"/>
              </w:rPr>
              <w:t>Обязательность</w:t>
            </w:r>
          </w:p>
        </w:tc>
        <w:tc>
          <w:tcPr>
            <w:tcW w:w="3963" w:type="dxa"/>
          </w:tcPr>
          <w:p w14:paraId="35C348D4" w14:textId="77777777" w:rsidR="00AD1F54" w:rsidRPr="00264D5D" w:rsidRDefault="00941227">
            <w:pPr>
              <w:pStyle w:val="EBTableHead"/>
              <w:ind w:left="57" w:right="57"/>
              <w:contextualSpacing w:val="0"/>
              <w:rPr>
                <w:sz w:val="22"/>
                <w:szCs w:val="22"/>
              </w:rPr>
            </w:pPr>
            <w:r w:rsidRPr="00264D5D">
              <w:rPr>
                <w:bCs w:val="0"/>
                <w:sz w:val="22"/>
                <w:szCs w:val="22"/>
              </w:rPr>
              <w:t>Дополнительная информация</w:t>
            </w:r>
          </w:p>
        </w:tc>
      </w:tr>
      <w:tr w:rsidR="00AD1F54" w:rsidRPr="00264D5D" w14:paraId="7E3EBAFC"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3B19879"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Сумма БО на первый год планового периода</w:t>
            </w:r>
          </w:p>
        </w:tc>
        <w:tc>
          <w:tcPr>
            <w:tcW w:w="1701" w:type="dxa"/>
          </w:tcPr>
          <w:p w14:paraId="3F3333F2" w14:textId="77777777" w:rsidR="00AD1F54" w:rsidRPr="00264D5D" w:rsidRDefault="00941227">
            <w:pPr>
              <w:pStyle w:val="EBTablenorm"/>
              <w:ind w:left="57" w:right="57"/>
              <w:contextualSpacing w:val="0"/>
              <w:jc w:val="left"/>
              <w:rPr>
                <w:rFonts w:eastAsia="Calibri"/>
                <w:sz w:val="22"/>
                <w:szCs w:val="22"/>
              </w:rPr>
            </w:pPr>
            <w:r w:rsidRPr="00264D5D">
              <w:rPr>
                <w:rFonts w:eastAsia="Calibri"/>
                <w:bCs/>
                <w:sz w:val="22"/>
                <w:szCs w:val="22"/>
                <w:lang w:eastAsia="en-US"/>
              </w:rPr>
              <w:t xml:space="preserve"> firstYearSum</w:t>
            </w:r>
          </w:p>
        </w:tc>
        <w:tc>
          <w:tcPr>
            <w:tcW w:w="567" w:type="dxa"/>
          </w:tcPr>
          <w:p w14:paraId="2A5CAA86"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4006A7D4" w14:textId="77777777" w:rsidR="00AD1F54" w:rsidRPr="00264D5D" w:rsidRDefault="00941227">
            <w:pPr>
              <w:pStyle w:val="EBTablenorm"/>
              <w:ind w:left="57" w:right="57"/>
              <w:contextualSpacing w:val="0"/>
              <w:jc w:val="left"/>
              <w:rPr>
                <w:sz w:val="22"/>
                <w:szCs w:val="22"/>
                <w:lang w:val="en-US"/>
              </w:rPr>
            </w:pPr>
            <w:r w:rsidRPr="00264D5D">
              <w:rPr>
                <w:rFonts w:eastAsia="Calibri"/>
                <w:sz w:val="22"/>
                <w:szCs w:val="22"/>
              </w:rPr>
              <w:t>N(14.2)</w:t>
            </w:r>
          </w:p>
        </w:tc>
        <w:tc>
          <w:tcPr>
            <w:tcW w:w="567" w:type="dxa"/>
          </w:tcPr>
          <w:p w14:paraId="5A613EFD" w14:textId="77777777" w:rsidR="00AD1F54" w:rsidRPr="00264D5D" w:rsidRDefault="00941227">
            <w:pPr>
              <w:pStyle w:val="EBTablenorm"/>
              <w:ind w:left="57" w:right="57"/>
              <w:contextualSpacing w:val="0"/>
              <w:jc w:val="center"/>
              <w:rPr>
                <w:rFonts w:eastAsia="Calibri"/>
                <w:sz w:val="22"/>
                <w:szCs w:val="22"/>
              </w:rPr>
            </w:pPr>
            <w:r w:rsidRPr="00264D5D">
              <w:rPr>
                <w:sz w:val="22"/>
                <w:szCs w:val="22"/>
              </w:rPr>
              <w:t>О</w:t>
            </w:r>
          </w:p>
        </w:tc>
        <w:tc>
          <w:tcPr>
            <w:tcW w:w="3963" w:type="dxa"/>
          </w:tcPr>
          <w:p w14:paraId="5FBA5AFB" w14:textId="77777777" w:rsidR="00AD1F54" w:rsidRPr="00264D5D" w:rsidRDefault="00941227">
            <w:pPr>
              <w:pStyle w:val="EBTableHead"/>
              <w:ind w:left="57" w:right="57"/>
              <w:contextualSpacing w:val="0"/>
              <w:jc w:val="both"/>
              <w:rPr>
                <w:b w:val="0"/>
                <w:sz w:val="22"/>
                <w:szCs w:val="22"/>
              </w:rPr>
            </w:pPr>
            <w:r w:rsidRPr="00264D5D">
              <w:rPr>
                <w:b w:val="0"/>
                <w:sz w:val="22"/>
                <w:szCs w:val="22"/>
              </w:rPr>
              <w:t>Сумма БО на первый год планового периода.</w:t>
            </w:r>
          </w:p>
          <w:p w14:paraId="0B413EAE" w14:textId="77777777" w:rsidR="00AD1F54" w:rsidRPr="00264D5D" w:rsidRDefault="00941227">
            <w:pPr>
              <w:pStyle w:val="EBTableHead"/>
              <w:ind w:left="57" w:right="57"/>
              <w:contextualSpacing w:val="0"/>
              <w:jc w:val="both"/>
              <w:rPr>
                <w:b w:val="0"/>
                <w:sz w:val="22"/>
                <w:szCs w:val="22"/>
              </w:rPr>
            </w:pPr>
            <w:r w:rsidRPr="00264D5D">
              <w:rPr>
                <w:b w:val="0"/>
                <w:sz w:val="22"/>
                <w:szCs w:val="22"/>
              </w:rPr>
              <w:t>При указании в элементе «Тип сведений о соглашении» значения «0» поле должно иметь отличное от нуля значение, если значение каждого из полей «</w:t>
            </w:r>
            <w:r w:rsidRPr="00264D5D">
              <w:rPr>
                <w:rFonts w:eastAsia="Calibri"/>
                <w:b w:val="0"/>
                <w:sz w:val="22"/>
                <w:szCs w:val="22"/>
              </w:rPr>
              <w:t>Сумма БО на текущий финансовый год»</w:t>
            </w:r>
            <w:r w:rsidRPr="00264D5D">
              <w:rPr>
                <w:b w:val="0"/>
                <w:sz w:val="22"/>
                <w:szCs w:val="22"/>
              </w:rPr>
              <w:t xml:space="preserve">, </w:t>
            </w:r>
            <w:r w:rsidRPr="00264D5D">
              <w:rPr>
                <w:rFonts w:eastAsia="Calibri"/>
                <w:b w:val="0"/>
                <w:sz w:val="22"/>
                <w:szCs w:val="22"/>
              </w:rPr>
              <w:t>«</w:t>
            </w:r>
            <w:r w:rsidRPr="00264D5D">
              <w:rPr>
                <w:b w:val="0"/>
                <w:sz w:val="22"/>
                <w:szCs w:val="22"/>
              </w:rPr>
              <w:t>Сумма БО на второй год планового периода</w:t>
            </w:r>
            <w:r w:rsidRPr="00264D5D">
              <w:rPr>
                <w:rFonts w:eastAsia="Calibri"/>
                <w:b w:val="0"/>
                <w:sz w:val="22"/>
                <w:szCs w:val="22"/>
              </w:rPr>
              <w:t>»,</w:t>
            </w:r>
            <w:r w:rsidRPr="00264D5D">
              <w:rPr>
                <w:b w:val="0"/>
                <w:sz w:val="22"/>
                <w:szCs w:val="22"/>
              </w:rPr>
              <w:t xml:space="preserve"> «Сумма БО на третий год после текущего» и «Сумма БО на последующие годы после текущего финансового года» равно «0.00».</w:t>
            </w:r>
          </w:p>
          <w:p w14:paraId="610E577A" w14:textId="77777777" w:rsidR="00AD1F54" w:rsidRPr="00264D5D" w:rsidRDefault="007E37F3">
            <w:pPr>
              <w:pStyle w:val="EBTablenorm"/>
              <w:ind w:left="57" w:right="57"/>
              <w:contextualSpacing w:val="0"/>
              <w:rPr>
                <w:sz w:val="22"/>
                <w:szCs w:val="22"/>
              </w:rPr>
            </w:pPr>
            <w:r w:rsidRPr="00264D5D">
              <w:rPr>
                <w:sz w:val="22"/>
                <w:szCs w:val="22"/>
              </w:rPr>
              <w:t>При отсутствии указывается 0.00</w:t>
            </w:r>
          </w:p>
        </w:tc>
      </w:tr>
      <w:tr w:rsidR="00AD1F54" w:rsidRPr="00264D5D" w14:paraId="6EBD9871"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47984351" w14:textId="77777777" w:rsidR="00AD1F54" w:rsidRPr="00264D5D" w:rsidRDefault="00941227">
            <w:pPr>
              <w:pStyle w:val="EBTablenorm"/>
              <w:ind w:left="57" w:right="57"/>
              <w:contextualSpacing w:val="0"/>
              <w:rPr>
                <w:rFonts w:eastAsia="Calibri"/>
                <w:sz w:val="22"/>
                <w:szCs w:val="22"/>
              </w:rPr>
            </w:pPr>
            <w:r w:rsidRPr="00264D5D">
              <w:rPr>
                <w:sz w:val="22"/>
                <w:szCs w:val="22"/>
              </w:rPr>
              <w:t>Сумма БО на второй год планового периода</w:t>
            </w:r>
          </w:p>
        </w:tc>
        <w:tc>
          <w:tcPr>
            <w:tcW w:w="1701" w:type="dxa"/>
          </w:tcPr>
          <w:p w14:paraId="375B5850" w14:textId="77777777" w:rsidR="00AD1F54" w:rsidRPr="00264D5D" w:rsidRDefault="00941227">
            <w:pPr>
              <w:pStyle w:val="EBTablenorm"/>
              <w:ind w:left="57" w:right="57"/>
              <w:contextualSpacing w:val="0"/>
              <w:jc w:val="left"/>
              <w:rPr>
                <w:rFonts w:eastAsia="Calibri"/>
                <w:bCs/>
                <w:sz w:val="22"/>
                <w:szCs w:val="22"/>
                <w:lang w:eastAsia="en-US"/>
              </w:rPr>
            </w:pPr>
            <w:r w:rsidRPr="00264D5D">
              <w:rPr>
                <w:sz w:val="22"/>
                <w:szCs w:val="22"/>
              </w:rPr>
              <w:t>secondYearSum</w:t>
            </w:r>
          </w:p>
        </w:tc>
        <w:tc>
          <w:tcPr>
            <w:tcW w:w="567" w:type="dxa"/>
          </w:tcPr>
          <w:p w14:paraId="4657BF64"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2F56405D" w14:textId="77777777" w:rsidR="00AD1F54" w:rsidRPr="00264D5D" w:rsidRDefault="00941227">
            <w:pPr>
              <w:pStyle w:val="EBTablenorm"/>
              <w:ind w:left="57" w:right="57"/>
              <w:contextualSpacing w:val="0"/>
              <w:jc w:val="left"/>
              <w:rPr>
                <w:sz w:val="22"/>
                <w:szCs w:val="22"/>
                <w:lang w:val="en-US"/>
              </w:rPr>
            </w:pPr>
            <w:r w:rsidRPr="00264D5D">
              <w:rPr>
                <w:rFonts w:eastAsia="Calibri"/>
                <w:sz w:val="22"/>
                <w:szCs w:val="22"/>
              </w:rPr>
              <w:t>N(14.2)</w:t>
            </w:r>
          </w:p>
        </w:tc>
        <w:tc>
          <w:tcPr>
            <w:tcW w:w="567" w:type="dxa"/>
          </w:tcPr>
          <w:p w14:paraId="1AEFEBE1"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0138E425" w14:textId="77777777" w:rsidR="00AD1F54" w:rsidRPr="00264D5D" w:rsidRDefault="00941227">
            <w:pPr>
              <w:pStyle w:val="EBTablenorm"/>
              <w:ind w:left="57" w:right="57"/>
              <w:contextualSpacing w:val="0"/>
              <w:rPr>
                <w:sz w:val="22"/>
                <w:szCs w:val="22"/>
              </w:rPr>
            </w:pPr>
            <w:r w:rsidRPr="00264D5D">
              <w:rPr>
                <w:sz w:val="22"/>
                <w:szCs w:val="22"/>
              </w:rPr>
              <w:t>Сумма БО на второй год планового периода.</w:t>
            </w:r>
          </w:p>
          <w:p w14:paraId="7E9504E7" w14:textId="77777777" w:rsidR="00AD1F54" w:rsidRPr="00264D5D" w:rsidRDefault="00941227">
            <w:pPr>
              <w:pStyle w:val="EBTablenorm"/>
              <w:ind w:left="57" w:right="57"/>
              <w:contextualSpacing w:val="0"/>
              <w:rPr>
                <w:sz w:val="22"/>
                <w:szCs w:val="22"/>
              </w:rPr>
            </w:pPr>
            <w:r w:rsidRPr="00264D5D">
              <w:rPr>
                <w:sz w:val="22"/>
                <w:szCs w:val="22"/>
              </w:rPr>
              <w:t>При указании в элементе «Тип сведений о соглашении» значения «0» поле должно иметь отличное от нуля значение, если значение каждого из полей «</w:t>
            </w:r>
            <w:r w:rsidRPr="00264D5D">
              <w:rPr>
                <w:rFonts w:eastAsia="Calibri"/>
                <w:sz w:val="22"/>
                <w:szCs w:val="22"/>
              </w:rPr>
              <w:t>Сумма БО на текущий финансовый год»</w:t>
            </w:r>
            <w:r w:rsidRPr="00264D5D">
              <w:rPr>
                <w:sz w:val="22"/>
                <w:szCs w:val="22"/>
              </w:rPr>
              <w:t xml:space="preserve">, </w:t>
            </w:r>
            <w:r w:rsidRPr="00264D5D">
              <w:rPr>
                <w:rFonts w:eastAsia="Calibri"/>
                <w:sz w:val="22"/>
                <w:szCs w:val="22"/>
              </w:rPr>
              <w:t>«</w:t>
            </w:r>
            <w:r w:rsidRPr="00264D5D">
              <w:rPr>
                <w:sz w:val="22"/>
                <w:szCs w:val="22"/>
              </w:rPr>
              <w:t>Сумма БО на первый год планового периода</w:t>
            </w:r>
            <w:r w:rsidRPr="00264D5D">
              <w:rPr>
                <w:rFonts w:eastAsia="Calibri"/>
                <w:sz w:val="22"/>
                <w:szCs w:val="22"/>
              </w:rPr>
              <w:t>»,</w:t>
            </w:r>
            <w:r w:rsidRPr="00264D5D">
              <w:rPr>
                <w:sz w:val="22"/>
                <w:szCs w:val="22"/>
              </w:rPr>
              <w:t xml:space="preserve"> «Сумма БО на третий год планового периода» и «Сумма БО на последующие годы после текущего финансового года» равно «0.00».</w:t>
            </w:r>
          </w:p>
          <w:p w14:paraId="35EA0B3B" w14:textId="77777777" w:rsidR="00AD1F54" w:rsidRPr="00264D5D" w:rsidRDefault="00941227">
            <w:pPr>
              <w:pStyle w:val="EBTablenorm"/>
              <w:ind w:left="57" w:right="57"/>
              <w:contextualSpacing w:val="0"/>
              <w:rPr>
                <w:sz w:val="22"/>
                <w:szCs w:val="22"/>
                <w:lang w:val="en-US"/>
              </w:rPr>
            </w:pPr>
            <w:r w:rsidRPr="00264D5D">
              <w:rPr>
                <w:sz w:val="22"/>
                <w:szCs w:val="22"/>
              </w:rPr>
              <w:lastRenderedPageBreak/>
              <w:t>При отсутствии указывается 0.00</w:t>
            </w:r>
          </w:p>
        </w:tc>
      </w:tr>
      <w:tr w:rsidR="00AD1F54" w:rsidRPr="00264D5D" w14:paraId="2EF5B7D5"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7A8E2839" w14:textId="77777777" w:rsidR="00AD1F54" w:rsidRPr="00264D5D" w:rsidRDefault="00941227">
            <w:pPr>
              <w:pStyle w:val="EBTablenorm"/>
              <w:ind w:left="57" w:right="57"/>
              <w:contextualSpacing w:val="0"/>
              <w:rPr>
                <w:rFonts w:eastAsia="Calibri"/>
                <w:sz w:val="22"/>
                <w:szCs w:val="22"/>
              </w:rPr>
            </w:pPr>
            <w:r w:rsidRPr="00264D5D">
              <w:rPr>
                <w:sz w:val="22"/>
                <w:szCs w:val="22"/>
              </w:rPr>
              <w:lastRenderedPageBreak/>
              <w:t>Сумма БО на третий год после текущего</w:t>
            </w:r>
          </w:p>
        </w:tc>
        <w:tc>
          <w:tcPr>
            <w:tcW w:w="1701" w:type="dxa"/>
          </w:tcPr>
          <w:p w14:paraId="3AAA189B" w14:textId="77777777" w:rsidR="00AD1F54" w:rsidRPr="00264D5D" w:rsidRDefault="00941227">
            <w:pPr>
              <w:pStyle w:val="EBTablenorm"/>
              <w:ind w:left="57" w:right="57"/>
              <w:contextualSpacing w:val="0"/>
              <w:jc w:val="left"/>
              <w:rPr>
                <w:sz w:val="22"/>
                <w:szCs w:val="22"/>
              </w:rPr>
            </w:pPr>
            <w:r w:rsidRPr="00264D5D">
              <w:rPr>
                <w:sz w:val="22"/>
                <w:szCs w:val="22"/>
              </w:rPr>
              <w:t>thirdYearSum</w:t>
            </w:r>
          </w:p>
        </w:tc>
        <w:tc>
          <w:tcPr>
            <w:tcW w:w="567" w:type="dxa"/>
          </w:tcPr>
          <w:p w14:paraId="2A7EBC90"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5B14BA60" w14:textId="77777777" w:rsidR="00AD1F54" w:rsidRPr="00264D5D" w:rsidRDefault="00941227">
            <w:pPr>
              <w:pStyle w:val="EBTablenorm"/>
              <w:ind w:left="57" w:right="57"/>
              <w:contextualSpacing w:val="0"/>
              <w:jc w:val="left"/>
              <w:rPr>
                <w:sz w:val="22"/>
                <w:szCs w:val="22"/>
                <w:lang w:val="en-US"/>
              </w:rPr>
            </w:pPr>
            <w:r w:rsidRPr="00264D5D">
              <w:rPr>
                <w:rFonts w:eastAsia="Calibri"/>
                <w:sz w:val="22"/>
                <w:szCs w:val="22"/>
              </w:rPr>
              <w:t>N(14.2)</w:t>
            </w:r>
          </w:p>
        </w:tc>
        <w:tc>
          <w:tcPr>
            <w:tcW w:w="567" w:type="dxa"/>
          </w:tcPr>
          <w:p w14:paraId="453EDB74"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1775BE2B" w14:textId="77777777" w:rsidR="00AD1F54" w:rsidRPr="00264D5D" w:rsidRDefault="00941227">
            <w:pPr>
              <w:pStyle w:val="EBTablenorm"/>
              <w:ind w:left="57" w:right="57"/>
              <w:contextualSpacing w:val="0"/>
              <w:rPr>
                <w:sz w:val="22"/>
                <w:szCs w:val="22"/>
              </w:rPr>
            </w:pPr>
            <w:r w:rsidRPr="00264D5D">
              <w:rPr>
                <w:sz w:val="22"/>
                <w:szCs w:val="22"/>
              </w:rPr>
              <w:t>Сумма БО на третий год после текущего.</w:t>
            </w:r>
          </w:p>
          <w:p w14:paraId="1B0D46F9" w14:textId="77777777" w:rsidR="007E37F3" w:rsidRPr="00264D5D" w:rsidRDefault="00941227">
            <w:pPr>
              <w:pStyle w:val="EBTablenorm"/>
              <w:ind w:left="57" w:right="57"/>
              <w:contextualSpacing w:val="0"/>
              <w:rPr>
                <w:sz w:val="22"/>
                <w:szCs w:val="22"/>
              </w:rPr>
            </w:pPr>
            <w:r w:rsidRPr="00264D5D">
              <w:rPr>
                <w:sz w:val="22"/>
                <w:szCs w:val="22"/>
              </w:rPr>
              <w:t>При указании в элементе «Тип сведений о соглашении» значения «0» поле должно иметь отличное от нуля значение, если значение каждого из полей «</w:t>
            </w:r>
            <w:r w:rsidRPr="00264D5D">
              <w:rPr>
                <w:rFonts w:eastAsia="Calibri"/>
                <w:sz w:val="22"/>
                <w:szCs w:val="22"/>
              </w:rPr>
              <w:t>Сумма БО на текущий финансовый год»</w:t>
            </w:r>
            <w:r w:rsidRPr="00264D5D">
              <w:rPr>
                <w:sz w:val="22"/>
                <w:szCs w:val="22"/>
              </w:rPr>
              <w:t xml:space="preserve">, </w:t>
            </w:r>
            <w:r w:rsidRPr="00264D5D">
              <w:rPr>
                <w:rFonts w:eastAsia="Calibri"/>
                <w:sz w:val="22"/>
                <w:szCs w:val="22"/>
              </w:rPr>
              <w:t>«</w:t>
            </w:r>
            <w:r w:rsidRPr="00264D5D">
              <w:rPr>
                <w:sz w:val="22"/>
                <w:szCs w:val="22"/>
              </w:rPr>
              <w:t>Сумма БО на первый год планового периода</w:t>
            </w:r>
            <w:r w:rsidRPr="00264D5D">
              <w:rPr>
                <w:rFonts w:eastAsia="Calibri"/>
                <w:sz w:val="22"/>
                <w:szCs w:val="22"/>
              </w:rPr>
              <w:t>»,</w:t>
            </w:r>
            <w:r w:rsidRPr="00264D5D">
              <w:rPr>
                <w:sz w:val="22"/>
                <w:szCs w:val="22"/>
              </w:rPr>
              <w:t xml:space="preserve"> «Сумма БО на второй год планового периода» и «Сумма БО на последующие годы после текущего финансового года» равно «0.00» </w:t>
            </w:r>
          </w:p>
          <w:p w14:paraId="67687FA4" w14:textId="77777777" w:rsidR="00AD1F54" w:rsidRPr="00264D5D" w:rsidRDefault="007E37F3">
            <w:pPr>
              <w:pStyle w:val="EBTablenorm"/>
              <w:ind w:left="57" w:right="57"/>
              <w:contextualSpacing w:val="0"/>
              <w:rPr>
                <w:sz w:val="22"/>
                <w:szCs w:val="22"/>
              </w:rPr>
            </w:pPr>
            <w:r w:rsidRPr="00264D5D">
              <w:rPr>
                <w:sz w:val="22"/>
                <w:szCs w:val="22"/>
              </w:rPr>
              <w:t>При отсутствии указывается 0.00</w:t>
            </w:r>
          </w:p>
        </w:tc>
      </w:tr>
      <w:tr w:rsidR="00AD1F54" w:rsidRPr="00264D5D" w14:paraId="06A9E02D"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239A2685" w14:textId="77777777" w:rsidR="00AD1F54" w:rsidRPr="00264D5D" w:rsidRDefault="00941227">
            <w:pPr>
              <w:pStyle w:val="EBTablenorm"/>
              <w:ind w:left="57" w:right="57"/>
              <w:contextualSpacing w:val="0"/>
              <w:rPr>
                <w:rFonts w:eastAsia="Calibri"/>
                <w:sz w:val="22"/>
                <w:szCs w:val="22"/>
              </w:rPr>
            </w:pPr>
            <w:r w:rsidRPr="00264D5D">
              <w:rPr>
                <w:sz w:val="22"/>
                <w:szCs w:val="22"/>
              </w:rPr>
              <w:t>Сумма БО на последующие годы после текущего финансового года</w:t>
            </w:r>
          </w:p>
        </w:tc>
        <w:tc>
          <w:tcPr>
            <w:tcW w:w="1701" w:type="dxa"/>
          </w:tcPr>
          <w:p w14:paraId="6BC4825F" w14:textId="77777777" w:rsidR="00AD1F54" w:rsidRPr="00264D5D" w:rsidRDefault="00941227">
            <w:pPr>
              <w:pStyle w:val="EBTablenorm"/>
              <w:ind w:left="57" w:right="57"/>
              <w:contextualSpacing w:val="0"/>
              <w:jc w:val="left"/>
              <w:rPr>
                <w:sz w:val="22"/>
                <w:szCs w:val="22"/>
              </w:rPr>
            </w:pPr>
            <w:r w:rsidRPr="00264D5D">
              <w:rPr>
                <w:sz w:val="22"/>
                <w:szCs w:val="22"/>
              </w:rPr>
              <w:t>followingYearsSum</w:t>
            </w:r>
          </w:p>
        </w:tc>
        <w:tc>
          <w:tcPr>
            <w:tcW w:w="567" w:type="dxa"/>
          </w:tcPr>
          <w:p w14:paraId="6CCA7058"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2D44C74C" w14:textId="77777777" w:rsidR="00AD1F54" w:rsidRPr="00264D5D" w:rsidRDefault="00941227">
            <w:pPr>
              <w:pStyle w:val="EBTablenorm"/>
              <w:ind w:left="57" w:right="57"/>
              <w:contextualSpacing w:val="0"/>
              <w:jc w:val="left"/>
              <w:rPr>
                <w:sz w:val="22"/>
                <w:szCs w:val="22"/>
                <w:lang w:val="en-US"/>
              </w:rPr>
            </w:pPr>
            <w:r w:rsidRPr="00264D5D">
              <w:rPr>
                <w:rFonts w:eastAsia="Calibri"/>
                <w:sz w:val="22"/>
                <w:szCs w:val="22"/>
              </w:rPr>
              <w:t>N(14.2)</w:t>
            </w:r>
          </w:p>
        </w:tc>
        <w:tc>
          <w:tcPr>
            <w:tcW w:w="567" w:type="dxa"/>
          </w:tcPr>
          <w:p w14:paraId="429E74AB"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53EE9797" w14:textId="77777777" w:rsidR="00AD1F54" w:rsidRPr="00264D5D" w:rsidRDefault="00941227">
            <w:pPr>
              <w:pStyle w:val="EBTablenorm"/>
              <w:ind w:left="57" w:right="57"/>
              <w:contextualSpacing w:val="0"/>
              <w:rPr>
                <w:sz w:val="22"/>
                <w:szCs w:val="22"/>
              </w:rPr>
            </w:pPr>
            <w:r w:rsidRPr="00264D5D">
              <w:rPr>
                <w:sz w:val="22"/>
                <w:szCs w:val="22"/>
              </w:rPr>
              <w:t>Сумма БО на последующие годы после текущего финансового года.</w:t>
            </w:r>
          </w:p>
          <w:p w14:paraId="033A6309" w14:textId="77777777" w:rsidR="00AD1F54" w:rsidRPr="00264D5D" w:rsidRDefault="00941227">
            <w:pPr>
              <w:pStyle w:val="EBTablenorm"/>
              <w:ind w:left="57" w:right="57"/>
              <w:contextualSpacing w:val="0"/>
              <w:rPr>
                <w:sz w:val="22"/>
                <w:szCs w:val="22"/>
              </w:rPr>
            </w:pPr>
            <w:r w:rsidRPr="00264D5D">
              <w:rPr>
                <w:sz w:val="22"/>
                <w:szCs w:val="22"/>
              </w:rPr>
              <w:t>При указании в элементе «Тип сведений о соглашении» значения «0» поле должно иметь отличное от нуля значение, если значение каждого из полей «</w:t>
            </w:r>
            <w:r w:rsidRPr="00264D5D">
              <w:rPr>
                <w:rFonts w:eastAsia="Calibri"/>
                <w:sz w:val="22"/>
                <w:szCs w:val="22"/>
              </w:rPr>
              <w:t>Сумма БО на текущий финансовый год»</w:t>
            </w:r>
            <w:r w:rsidRPr="00264D5D">
              <w:rPr>
                <w:sz w:val="22"/>
                <w:szCs w:val="22"/>
              </w:rPr>
              <w:t xml:space="preserve">, </w:t>
            </w:r>
            <w:r w:rsidRPr="00264D5D">
              <w:rPr>
                <w:rFonts w:eastAsia="Calibri"/>
                <w:sz w:val="22"/>
                <w:szCs w:val="22"/>
              </w:rPr>
              <w:t>«</w:t>
            </w:r>
            <w:r w:rsidRPr="00264D5D">
              <w:rPr>
                <w:sz w:val="22"/>
                <w:szCs w:val="22"/>
              </w:rPr>
              <w:t>Сумма БО на первый год планового периода</w:t>
            </w:r>
            <w:r w:rsidRPr="00264D5D">
              <w:rPr>
                <w:rFonts w:eastAsia="Calibri"/>
                <w:sz w:val="22"/>
                <w:szCs w:val="22"/>
              </w:rPr>
              <w:t>»,</w:t>
            </w:r>
            <w:r w:rsidRPr="00264D5D">
              <w:rPr>
                <w:sz w:val="22"/>
                <w:szCs w:val="22"/>
              </w:rPr>
              <w:t xml:space="preserve"> </w:t>
            </w:r>
            <w:r w:rsidRPr="00264D5D">
              <w:rPr>
                <w:rFonts w:eastAsia="Calibri"/>
                <w:sz w:val="22"/>
                <w:szCs w:val="22"/>
              </w:rPr>
              <w:t>«</w:t>
            </w:r>
            <w:r w:rsidRPr="00264D5D">
              <w:rPr>
                <w:sz w:val="22"/>
                <w:szCs w:val="22"/>
              </w:rPr>
              <w:t>Сумма БО на второй год планового периода</w:t>
            </w:r>
            <w:r w:rsidRPr="00264D5D">
              <w:rPr>
                <w:rFonts w:eastAsia="Calibri"/>
                <w:sz w:val="22"/>
                <w:szCs w:val="22"/>
              </w:rPr>
              <w:t>»,</w:t>
            </w:r>
            <w:r w:rsidRPr="00264D5D">
              <w:rPr>
                <w:sz w:val="22"/>
                <w:szCs w:val="22"/>
              </w:rPr>
              <w:t xml:space="preserve"> «Сумма БО на третий год после текущего» равно «0.00».</w:t>
            </w:r>
          </w:p>
          <w:p w14:paraId="71F60850" w14:textId="77777777" w:rsidR="00AD1F54" w:rsidRPr="00264D5D" w:rsidRDefault="007E37F3">
            <w:pPr>
              <w:pStyle w:val="EBTablenorm"/>
              <w:ind w:left="57" w:right="57"/>
              <w:contextualSpacing w:val="0"/>
              <w:rPr>
                <w:sz w:val="22"/>
                <w:szCs w:val="22"/>
              </w:rPr>
            </w:pPr>
            <w:r w:rsidRPr="00264D5D">
              <w:rPr>
                <w:sz w:val="22"/>
                <w:szCs w:val="22"/>
              </w:rPr>
              <w:t>При отсутствии указывается 0.00</w:t>
            </w:r>
          </w:p>
        </w:tc>
      </w:tr>
    </w:tbl>
    <w:p w14:paraId="3E09D32C" w14:textId="77777777" w:rsidR="00AD1F54" w:rsidRPr="00264D5D" w:rsidRDefault="00941227">
      <w:pPr>
        <w:pStyle w:val="31"/>
      </w:pPr>
      <w:bookmarkStart w:id="2056" w:name="_Toc496984045"/>
      <w:bookmarkStart w:id="2057" w:name="_Toc219309678"/>
      <w:r w:rsidRPr="00264D5D">
        <w:t>Описание комплексного типа «tTotalFaips»</w:t>
      </w:r>
      <w:bookmarkEnd w:id="2056"/>
      <w:bookmarkEnd w:id="2057"/>
    </w:p>
    <w:p w14:paraId="19F71B00" w14:textId="77777777" w:rsidR="00AD1F54" w:rsidRPr="00264D5D" w:rsidRDefault="00941227">
      <w:pPr>
        <w:spacing w:before="60" w:after="120"/>
        <w:ind w:firstLine="567"/>
        <w:rPr>
          <w:rFonts w:eastAsia="Calibri"/>
          <w:szCs w:val="24"/>
        </w:rPr>
      </w:pPr>
      <w:r w:rsidRPr="00264D5D">
        <w:rPr>
          <w:rFonts w:eastAsia="Calibri"/>
          <w:szCs w:val="24"/>
        </w:rPr>
        <w:t xml:space="preserve">Описание комплексного типа «tTotalFaips» </w:t>
      </w:r>
      <w:r w:rsidRPr="00264D5D">
        <w:t>блока</w:t>
      </w:r>
      <w:r w:rsidRPr="00264D5D">
        <w:rPr>
          <w:rFonts w:eastAsia="Calibri"/>
          <w:szCs w:val="24"/>
        </w:rPr>
        <w:t xml:space="preserve"> «Итоговые суммы по коду </w:t>
      </w:r>
      <w:r w:rsidRPr="00264D5D">
        <w:rPr>
          <w:szCs w:val="24"/>
        </w:rPr>
        <w:t>ОКС (ОКВ), КМИ</w:t>
      </w:r>
      <w:r w:rsidRPr="00264D5D">
        <w:rPr>
          <w:rFonts w:eastAsia="Calibri"/>
          <w:szCs w:val="24"/>
        </w:rPr>
        <w:t>».</w:t>
      </w:r>
    </w:p>
    <w:p w14:paraId="37D38493" w14:textId="1E5D1FF6"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2058" w:name="_Ref494365883"/>
      <w:bookmarkStart w:id="2059" w:name="_Toc30503395"/>
      <w:bookmarkStart w:id="2060" w:name="_Toc30507993"/>
      <w:bookmarkStart w:id="2061" w:name="_Toc219309246"/>
      <w:r w:rsidR="008D797C">
        <w:rPr>
          <w:rFonts w:eastAsia="Calibri"/>
          <w:noProof/>
          <w:szCs w:val="24"/>
        </w:rPr>
        <w:t>216</w:t>
      </w:r>
      <w:bookmarkEnd w:id="2058"/>
      <w:r w:rsidRPr="00264D5D">
        <w:rPr>
          <w:rFonts w:eastAsia="Calibri"/>
          <w:szCs w:val="24"/>
        </w:rPr>
        <w:fldChar w:fldCharType="end"/>
      </w:r>
      <w:r w:rsidRPr="00264D5D">
        <w:rPr>
          <w:rFonts w:eastAsia="Calibri"/>
          <w:szCs w:val="24"/>
        </w:rPr>
        <w:t xml:space="preserve"> – Описание комплексного типа «tTotalFaips»</w:t>
      </w:r>
      <w:bookmarkEnd w:id="2059"/>
      <w:bookmarkEnd w:id="2060"/>
      <w:bookmarkEnd w:id="2061"/>
    </w:p>
    <w:tbl>
      <w:tblPr>
        <w:tblStyle w:val="GOSTTable"/>
        <w:tblW w:w="9636" w:type="dxa"/>
        <w:tblLayout w:type="fixed"/>
        <w:tblLook w:val="01E0" w:firstRow="1" w:lastRow="1" w:firstColumn="1" w:lastColumn="1" w:noHBand="0" w:noVBand="0"/>
      </w:tblPr>
      <w:tblGrid>
        <w:gridCol w:w="1704"/>
        <w:gridCol w:w="1701"/>
        <w:gridCol w:w="567"/>
        <w:gridCol w:w="1134"/>
        <w:gridCol w:w="567"/>
        <w:gridCol w:w="3963"/>
      </w:tblGrid>
      <w:tr w:rsidR="00AD1F54" w:rsidRPr="00264D5D" w14:paraId="30447156"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4" w:type="dxa"/>
          </w:tcPr>
          <w:p w14:paraId="4891D05F" w14:textId="77777777" w:rsidR="00AD1F54" w:rsidRPr="00264D5D" w:rsidRDefault="00941227">
            <w:pPr>
              <w:pStyle w:val="EBTableHead"/>
              <w:ind w:left="57" w:right="57"/>
              <w:contextualSpacing w:val="0"/>
              <w:rPr>
                <w:sz w:val="22"/>
                <w:szCs w:val="22"/>
              </w:rPr>
            </w:pPr>
            <w:r w:rsidRPr="00264D5D">
              <w:rPr>
                <w:bCs w:val="0"/>
                <w:sz w:val="22"/>
                <w:szCs w:val="22"/>
              </w:rPr>
              <w:t>Наименование элемента</w:t>
            </w:r>
          </w:p>
        </w:tc>
        <w:tc>
          <w:tcPr>
            <w:tcW w:w="1701" w:type="dxa"/>
          </w:tcPr>
          <w:p w14:paraId="1CF3A59B" w14:textId="77777777" w:rsidR="00AD1F54" w:rsidRPr="00264D5D" w:rsidRDefault="00941227">
            <w:pPr>
              <w:pStyle w:val="EBTableHead"/>
              <w:ind w:left="57" w:right="57"/>
              <w:contextualSpacing w:val="0"/>
              <w:rPr>
                <w:sz w:val="22"/>
                <w:szCs w:val="22"/>
              </w:rPr>
            </w:pPr>
            <w:r w:rsidRPr="00264D5D">
              <w:rPr>
                <w:bCs w:val="0"/>
                <w:sz w:val="22"/>
                <w:szCs w:val="22"/>
              </w:rPr>
              <w:t>Сокращенное наименование (код) элемента</w:t>
            </w:r>
          </w:p>
        </w:tc>
        <w:tc>
          <w:tcPr>
            <w:tcW w:w="567" w:type="dxa"/>
          </w:tcPr>
          <w:p w14:paraId="4A24DDA9" w14:textId="77777777" w:rsidR="00AD1F54" w:rsidRPr="00264D5D" w:rsidRDefault="00941227">
            <w:pPr>
              <w:pStyle w:val="EBTableHead"/>
              <w:ind w:left="57" w:right="57"/>
              <w:contextualSpacing w:val="0"/>
              <w:rPr>
                <w:sz w:val="22"/>
                <w:szCs w:val="22"/>
              </w:rPr>
            </w:pPr>
            <w:r w:rsidRPr="00264D5D">
              <w:rPr>
                <w:bCs w:val="0"/>
                <w:sz w:val="22"/>
                <w:szCs w:val="22"/>
              </w:rPr>
              <w:t>Тип</w:t>
            </w:r>
          </w:p>
        </w:tc>
        <w:tc>
          <w:tcPr>
            <w:tcW w:w="1134" w:type="dxa"/>
          </w:tcPr>
          <w:p w14:paraId="035878A3" w14:textId="77777777" w:rsidR="00AD1F54" w:rsidRPr="00264D5D" w:rsidRDefault="00941227">
            <w:pPr>
              <w:pStyle w:val="EBTableHead"/>
              <w:ind w:left="57" w:right="57"/>
              <w:contextualSpacing w:val="0"/>
              <w:rPr>
                <w:sz w:val="22"/>
                <w:szCs w:val="22"/>
              </w:rPr>
            </w:pPr>
            <w:r w:rsidRPr="00264D5D">
              <w:rPr>
                <w:bCs w:val="0"/>
                <w:sz w:val="22"/>
                <w:szCs w:val="22"/>
              </w:rPr>
              <w:t>Формат элемента</w:t>
            </w:r>
          </w:p>
        </w:tc>
        <w:tc>
          <w:tcPr>
            <w:tcW w:w="567" w:type="dxa"/>
          </w:tcPr>
          <w:p w14:paraId="7418A954" w14:textId="77777777" w:rsidR="00AD1F54" w:rsidRPr="00264D5D" w:rsidRDefault="00941227">
            <w:pPr>
              <w:spacing w:before="60" w:after="60"/>
              <w:ind w:left="57" w:right="57"/>
              <w:jc w:val="center"/>
              <w:rPr>
                <w:b/>
                <w:bCs/>
                <w:sz w:val="22"/>
                <w:szCs w:val="22"/>
              </w:rPr>
            </w:pPr>
            <w:r w:rsidRPr="00264D5D">
              <w:rPr>
                <w:b/>
                <w:bCs/>
                <w:sz w:val="22"/>
                <w:szCs w:val="22"/>
              </w:rPr>
              <w:t>Обязательность</w:t>
            </w:r>
          </w:p>
        </w:tc>
        <w:tc>
          <w:tcPr>
            <w:tcW w:w="3963" w:type="dxa"/>
          </w:tcPr>
          <w:p w14:paraId="7124EA7B" w14:textId="77777777" w:rsidR="00AD1F54" w:rsidRPr="00264D5D" w:rsidRDefault="00941227">
            <w:pPr>
              <w:pStyle w:val="EBTableHead"/>
              <w:ind w:left="57" w:right="57"/>
              <w:contextualSpacing w:val="0"/>
              <w:rPr>
                <w:sz w:val="22"/>
                <w:szCs w:val="22"/>
              </w:rPr>
            </w:pPr>
            <w:r w:rsidRPr="00264D5D">
              <w:rPr>
                <w:bCs w:val="0"/>
                <w:sz w:val="22"/>
                <w:szCs w:val="22"/>
              </w:rPr>
              <w:t>Дополнительная информация</w:t>
            </w:r>
          </w:p>
        </w:tc>
      </w:tr>
      <w:tr w:rsidR="00AD1F54" w:rsidRPr="00264D5D" w14:paraId="4EB1FDE2" w14:textId="77777777" w:rsidTr="00AD1F54">
        <w:trPr>
          <w:cnfStyle w:val="000000100000" w:firstRow="0" w:lastRow="0" w:firstColumn="0" w:lastColumn="0" w:oddVBand="0" w:evenVBand="0" w:oddHBand="1" w:evenHBand="0" w:firstRowFirstColumn="0" w:firstRowLastColumn="0" w:lastRowFirstColumn="0" w:lastRowLastColumn="0"/>
        </w:trPr>
        <w:tc>
          <w:tcPr>
            <w:tcW w:w="1704" w:type="dxa"/>
          </w:tcPr>
          <w:p w14:paraId="4CBCC56F" w14:textId="77777777" w:rsidR="00AD1F54" w:rsidRPr="00264D5D" w:rsidRDefault="00941227">
            <w:pPr>
              <w:pStyle w:val="EBTablenorm"/>
              <w:ind w:left="57" w:right="57"/>
              <w:contextualSpacing w:val="0"/>
              <w:rPr>
                <w:rFonts w:eastAsia="Calibri"/>
                <w:sz w:val="22"/>
                <w:szCs w:val="22"/>
              </w:rPr>
            </w:pPr>
            <w:r w:rsidRPr="00264D5D">
              <w:rPr>
                <w:sz w:val="22"/>
                <w:szCs w:val="22"/>
              </w:rPr>
              <w:t>Код ОКС (ОКВ), КМИ</w:t>
            </w:r>
          </w:p>
        </w:tc>
        <w:tc>
          <w:tcPr>
            <w:tcW w:w="1701" w:type="dxa"/>
          </w:tcPr>
          <w:p w14:paraId="00EF2153" w14:textId="77777777" w:rsidR="00AD1F54" w:rsidRPr="00264D5D" w:rsidRDefault="00941227">
            <w:pPr>
              <w:pStyle w:val="EBTablenorm"/>
              <w:ind w:left="57" w:right="57"/>
              <w:contextualSpacing w:val="0"/>
              <w:jc w:val="left"/>
              <w:rPr>
                <w:rFonts w:eastAsia="Calibri"/>
                <w:sz w:val="22"/>
                <w:szCs w:val="22"/>
              </w:rPr>
            </w:pPr>
            <w:r w:rsidRPr="00264D5D">
              <w:rPr>
                <w:sz w:val="22"/>
                <w:szCs w:val="22"/>
                <w:lang w:val="en-US"/>
              </w:rPr>
              <w:t>FaipCode</w:t>
            </w:r>
          </w:p>
        </w:tc>
        <w:tc>
          <w:tcPr>
            <w:tcW w:w="567" w:type="dxa"/>
          </w:tcPr>
          <w:p w14:paraId="70DE1323"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12912971" w14:textId="77777777" w:rsidR="00AD1F54" w:rsidRPr="00264D5D" w:rsidRDefault="00941227">
            <w:pPr>
              <w:pStyle w:val="EBTablenorm"/>
              <w:ind w:left="57" w:right="57"/>
              <w:contextualSpacing w:val="0"/>
              <w:jc w:val="left"/>
              <w:rPr>
                <w:rFonts w:eastAsia="Calibri"/>
                <w:sz w:val="22"/>
                <w:szCs w:val="22"/>
              </w:rPr>
            </w:pPr>
            <w:r w:rsidRPr="00264D5D">
              <w:rPr>
                <w:sz w:val="22"/>
                <w:szCs w:val="22"/>
                <w:lang w:val="en-US"/>
              </w:rPr>
              <w:t>Т(</w:t>
            </w:r>
            <w:r w:rsidRPr="00264D5D">
              <w:rPr>
                <w:sz w:val="22"/>
                <w:szCs w:val="22"/>
              </w:rPr>
              <w:t>1-</w:t>
            </w:r>
            <w:r w:rsidRPr="00264D5D">
              <w:rPr>
                <w:sz w:val="22"/>
                <w:szCs w:val="22"/>
                <w:lang w:val="en-US"/>
              </w:rPr>
              <w:t>24)</w:t>
            </w:r>
          </w:p>
        </w:tc>
        <w:tc>
          <w:tcPr>
            <w:tcW w:w="567" w:type="dxa"/>
          </w:tcPr>
          <w:p w14:paraId="65EF9F80" w14:textId="77777777" w:rsidR="00AD1F54" w:rsidRPr="00264D5D" w:rsidRDefault="00941227">
            <w:pPr>
              <w:pStyle w:val="EBTablenorm"/>
              <w:ind w:left="57" w:right="57"/>
              <w:contextualSpacing w:val="0"/>
              <w:jc w:val="center"/>
              <w:rPr>
                <w:rFonts w:eastAsia="Calibri"/>
                <w:sz w:val="22"/>
                <w:szCs w:val="22"/>
              </w:rPr>
            </w:pPr>
            <w:r w:rsidRPr="00264D5D">
              <w:rPr>
                <w:sz w:val="22"/>
                <w:szCs w:val="22"/>
              </w:rPr>
              <w:t>О</w:t>
            </w:r>
          </w:p>
        </w:tc>
        <w:tc>
          <w:tcPr>
            <w:tcW w:w="3963" w:type="dxa"/>
          </w:tcPr>
          <w:p w14:paraId="34C6EE55" w14:textId="77777777" w:rsidR="00AD1F54" w:rsidRPr="00264D5D" w:rsidRDefault="00941227">
            <w:pPr>
              <w:pStyle w:val="EBTablenorm"/>
              <w:ind w:left="57" w:right="57"/>
              <w:contextualSpacing w:val="0"/>
              <w:rPr>
                <w:sz w:val="22"/>
                <w:szCs w:val="22"/>
              </w:rPr>
            </w:pPr>
            <w:r w:rsidRPr="00264D5D">
              <w:rPr>
                <w:sz w:val="22"/>
                <w:szCs w:val="22"/>
              </w:rPr>
              <w:t>Может указываться уникальный код объекта капитального строительства или объекта недвижимости, ко</w:t>
            </w:r>
            <w:r w:rsidR="007E37F3" w:rsidRPr="00264D5D">
              <w:rPr>
                <w:sz w:val="22"/>
                <w:szCs w:val="22"/>
              </w:rPr>
              <w:t>д мероприятия по информатизации</w:t>
            </w:r>
          </w:p>
        </w:tc>
      </w:tr>
      <w:tr w:rsidR="00AD1F54" w:rsidRPr="00264D5D" w14:paraId="02DE482D" w14:textId="77777777" w:rsidTr="00AD1F54">
        <w:trPr>
          <w:cnfStyle w:val="000000010000" w:firstRow="0" w:lastRow="0" w:firstColumn="0" w:lastColumn="0" w:oddVBand="0" w:evenVBand="0" w:oddHBand="0" w:evenHBand="1" w:firstRowFirstColumn="0" w:firstRowLastColumn="0" w:lastRowFirstColumn="0" w:lastRowLastColumn="0"/>
        </w:trPr>
        <w:tc>
          <w:tcPr>
            <w:tcW w:w="1704" w:type="dxa"/>
          </w:tcPr>
          <w:p w14:paraId="1D659A20" w14:textId="77777777" w:rsidR="00AD1F54" w:rsidRPr="00264D5D" w:rsidRDefault="00941227">
            <w:pPr>
              <w:pStyle w:val="EBTablenorm"/>
              <w:ind w:left="57" w:right="57"/>
              <w:contextualSpacing w:val="0"/>
              <w:rPr>
                <w:sz w:val="22"/>
                <w:szCs w:val="22"/>
              </w:rPr>
            </w:pPr>
            <w:r w:rsidRPr="00264D5D">
              <w:rPr>
                <w:sz w:val="22"/>
                <w:szCs w:val="22"/>
              </w:rPr>
              <w:lastRenderedPageBreak/>
              <w:t>Итоговые суммы по коду ОКС (ОКВ), КМИ</w:t>
            </w:r>
          </w:p>
        </w:tc>
        <w:tc>
          <w:tcPr>
            <w:tcW w:w="1701" w:type="dxa"/>
          </w:tcPr>
          <w:p w14:paraId="5DD67AFD"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TotalFaip</w:t>
            </w:r>
          </w:p>
        </w:tc>
        <w:tc>
          <w:tcPr>
            <w:tcW w:w="567" w:type="dxa"/>
          </w:tcPr>
          <w:p w14:paraId="0839330D" w14:textId="77777777" w:rsidR="00AD1F54" w:rsidRPr="00264D5D" w:rsidRDefault="00941227">
            <w:pPr>
              <w:pStyle w:val="EBTablenorm"/>
              <w:ind w:left="57" w:right="57"/>
              <w:contextualSpacing w:val="0"/>
              <w:jc w:val="center"/>
              <w:rPr>
                <w:sz w:val="22"/>
                <w:szCs w:val="22"/>
              </w:rPr>
            </w:pPr>
            <w:r w:rsidRPr="00264D5D">
              <w:rPr>
                <w:bCs/>
                <w:sz w:val="22"/>
                <w:szCs w:val="22"/>
                <w:lang w:val="en-US"/>
              </w:rPr>
              <w:t>С</w:t>
            </w:r>
          </w:p>
        </w:tc>
        <w:tc>
          <w:tcPr>
            <w:tcW w:w="1134" w:type="dxa"/>
          </w:tcPr>
          <w:p w14:paraId="156825DC" w14:textId="77777777" w:rsidR="00AD1F54" w:rsidRPr="00264D5D" w:rsidRDefault="00941227">
            <w:pPr>
              <w:pStyle w:val="EBTablenorm"/>
              <w:ind w:left="57" w:right="57"/>
              <w:contextualSpacing w:val="0"/>
              <w:jc w:val="left"/>
              <w:rPr>
                <w:sz w:val="22"/>
                <w:szCs w:val="22"/>
                <w:lang w:val="en-US"/>
              </w:rPr>
            </w:pPr>
            <w:r w:rsidRPr="00264D5D">
              <w:rPr>
                <w:bCs/>
                <w:sz w:val="22"/>
                <w:szCs w:val="22"/>
                <w:lang w:val="en-US"/>
              </w:rPr>
              <w:t>tTotalFaip</w:t>
            </w:r>
          </w:p>
        </w:tc>
        <w:tc>
          <w:tcPr>
            <w:tcW w:w="567" w:type="dxa"/>
          </w:tcPr>
          <w:p w14:paraId="57811BDF" w14:textId="77777777" w:rsidR="00AD1F54" w:rsidRPr="00264D5D" w:rsidRDefault="00941227">
            <w:pPr>
              <w:pStyle w:val="EBTablenorm"/>
              <w:ind w:left="57" w:right="57"/>
              <w:contextualSpacing w:val="0"/>
              <w:jc w:val="center"/>
              <w:rPr>
                <w:sz w:val="22"/>
                <w:szCs w:val="22"/>
              </w:rPr>
            </w:pPr>
            <w:r w:rsidRPr="00264D5D">
              <w:rPr>
                <w:bCs/>
                <w:sz w:val="22"/>
                <w:szCs w:val="22"/>
                <w:lang w:val="en-US"/>
              </w:rPr>
              <w:t>О</w:t>
            </w:r>
          </w:p>
        </w:tc>
        <w:tc>
          <w:tcPr>
            <w:tcW w:w="3963" w:type="dxa"/>
          </w:tcPr>
          <w:p w14:paraId="0F1727A3" w14:textId="77777777" w:rsidR="00AD1F54" w:rsidRPr="00264D5D" w:rsidRDefault="00941227">
            <w:pPr>
              <w:pStyle w:val="EBTablenorm"/>
              <w:ind w:left="57" w:right="57"/>
              <w:contextualSpacing w:val="0"/>
              <w:rPr>
                <w:sz w:val="22"/>
                <w:szCs w:val="22"/>
              </w:rPr>
            </w:pPr>
            <w:r w:rsidRPr="00264D5D">
              <w:rPr>
                <w:sz w:val="22"/>
                <w:szCs w:val="22"/>
              </w:rPr>
              <w:t xml:space="preserve">Итоговые суммы по коду ОКС (ОКВ), КМИ. </w:t>
            </w:r>
          </w:p>
          <w:p w14:paraId="065841BB" w14:textId="05BF69FE" w:rsidR="00AD1F54" w:rsidRPr="00264D5D" w:rsidRDefault="00941227">
            <w:pPr>
              <w:pStyle w:val="EBTablenorm"/>
              <w:ind w:left="57" w:right="57"/>
              <w:contextualSpacing w:val="0"/>
              <w:rPr>
                <w:sz w:val="22"/>
                <w:szCs w:val="22"/>
              </w:rPr>
            </w:pPr>
            <w:r w:rsidRPr="00264D5D">
              <w:rPr>
                <w:sz w:val="22"/>
                <w:szCs w:val="22"/>
              </w:rPr>
              <w:t>Состав элемента представлен в таблице</w:t>
            </w:r>
            <w:r w:rsidRPr="00264D5D">
              <w:rPr>
                <w:b/>
                <w:sz w:val="22"/>
                <w:szCs w:val="22"/>
              </w:rPr>
              <w:t xml:space="preserve"> </w:t>
            </w:r>
            <w:r w:rsidRPr="00264D5D">
              <w:rPr>
                <w:b/>
                <w:sz w:val="22"/>
                <w:szCs w:val="22"/>
              </w:rPr>
              <w:fldChar w:fldCharType="begin"/>
            </w:r>
            <w:r w:rsidRPr="00264D5D">
              <w:rPr>
                <w:b/>
                <w:sz w:val="22"/>
                <w:szCs w:val="22"/>
              </w:rPr>
              <w:instrText xml:space="preserve"> REF _Ref494365963 \h  \* MERGEFORMAT </w:instrText>
            </w:r>
            <w:r w:rsidRPr="00264D5D">
              <w:rPr>
                <w:b/>
                <w:sz w:val="22"/>
                <w:szCs w:val="22"/>
              </w:rPr>
            </w:r>
            <w:r w:rsidRPr="00264D5D">
              <w:rPr>
                <w:b/>
                <w:sz w:val="22"/>
                <w:szCs w:val="22"/>
              </w:rPr>
              <w:fldChar w:fldCharType="separate"/>
            </w:r>
            <w:r w:rsidR="008D797C" w:rsidRPr="008D797C">
              <w:rPr>
                <w:rFonts w:eastAsia="Calibri"/>
                <w:b/>
                <w:sz w:val="22"/>
                <w:szCs w:val="22"/>
              </w:rPr>
              <w:t>217</w:t>
            </w:r>
            <w:r w:rsidRPr="00264D5D">
              <w:rPr>
                <w:b/>
                <w:sz w:val="22"/>
                <w:szCs w:val="22"/>
              </w:rPr>
              <w:fldChar w:fldCharType="end"/>
            </w:r>
          </w:p>
        </w:tc>
      </w:tr>
    </w:tbl>
    <w:p w14:paraId="2483A464" w14:textId="77777777" w:rsidR="00AD1F54" w:rsidRPr="00264D5D" w:rsidRDefault="00941227">
      <w:pPr>
        <w:pStyle w:val="31"/>
      </w:pPr>
      <w:bookmarkStart w:id="2062" w:name="_Toc496984046"/>
      <w:bookmarkStart w:id="2063" w:name="_Toc219309679"/>
      <w:r w:rsidRPr="00264D5D">
        <w:t>Описание комплексного типа «tTotalFaip»</w:t>
      </w:r>
      <w:bookmarkEnd w:id="2062"/>
      <w:bookmarkEnd w:id="2063"/>
    </w:p>
    <w:p w14:paraId="69465317" w14:textId="77777777" w:rsidR="00AD1F54" w:rsidRPr="00264D5D" w:rsidRDefault="00941227">
      <w:pPr>
        <w:spacing w:before="60" w:after="120"/>
        <w:ind w:firstLine="567"/>
        <w:rPr>
          <w:rFonts w:eastAsia="Calibri"/>
          <w:szCs w:val="24"/>
        </w:rPr>
      </w:pPr>
      <w:r w:rsidRPr="00264D5D">
        <w:rPr>
          <w:rFonts w:eastAsia="Calibri"/>
          <w:szCs w:val="24"/>
        </w:rPr>
        <w:t xml:space="preserve">Описание комплексного типа «tTotalFaip» </w:t>
      </w:r>
      <w:r w:rsidRPr="00264D5D">
        <w:t xml:space="preserve">блока </w:t>
      </w:r>
      <w:r w:rsidRPr="00264D5D">
        <w:rPr>
          <w:rFonts w:eastAsia="Calibri"/>
          <w:szCs w:val="24"/>
        </w:rPr>
        <w:t xml:space="preserve">«Итоговые суммы по коду </w:t>
      </w:r>
      <w:r w:rsidRPr="00264D5D">
        <w:rPr>
          <w:szCs w:val="24"/>
        </w:rPr>
        <w:t>ОКС (ОКВ), КМИ</w:t>
      </w:r>
      <w:r w:rsidRPr="00264D5D">
        <w:rPr>
          <w:rFonts w:eastAsia="Calibri"/>
          <w:szCs w:val="24"/>
        </w:rPr>
        <w:t>».</w:t>
      </w:r>
    </w:p>
    <w:bookmarkStart w:id="2064" w:name="_Ref495936697"/>
    <w:p w14:paraId="49EE8421" w14:textId="7A000354"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2065" w:name="_Ref494365963"/>
      <w:bookmarkStart w:id="2066" w:name="_Toc30503396"/>
      <w:bookmarkStart w:id="2067" w:name="_Toc30507994"/>
      <w:bookmarkStart w:id="2068" w:name="_Toc219309247"/>
      <w:r w:rsidR="008D797C">
        <w:rPr>
          <w:rFonts w:eastAsia="Calibri"/>
          <w:noProof/>
          <w:szCs w:val="24"/>
        </w:rPr>
        <w:t>217</w:t>
      </w:r>
      <w:bookmarkEnd w:id="2065"/>
      <w:r w:rsidRPr="00264D5D">
        <w:rPr>
          <w:rFonts w:eastAsia="Calibri"/>
          <w:szCs w:val="24"/>
        </w:rPr>
        <w:fldChar w:fldCharType="end"/>
      </w:r>
      <w:r w:rsidRPr="00264D5D">
        <w:rPr>
          <w:rFonts w:eastAsia="Calibri"/>
          <w:szCs w:val="24"/>
        </w:rPr>
        <w:t xml:space="preserve"> – Описание комплексного типа «tTotalFaip»</w:t>
      </w:r>
      <w:bookmarkEnd w:id="2064"/>
      <w:bookmarkEnd w:id="2066"/>
      <w:bookmarkEnd w:id="2067"/>
      <w:bookmarkEnd w:id="2068"/>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5EE2B721"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5E4FB99B" w14:textId="77777777" w:rsidR="00AD1F54" w:rsidRPr="00264D5D" w:rsidRDefault="00941227">
            <w:pPr>
              <w:pStyle w:val="EBTableHead"/>
              <w:ind w:left="57" w:right="57"/>
              <w:contextualSpacing w:val="0"/>
              <w:rPr>
                <w:sz w:val="22"/>
                <w:szCs w:val="22"/>
              </w:rPr>
            </w:pPr>
            <w:r w:rsidRPr="00264D5D">
              <w:rPr>
                <w:bCs w:val="0"/>
                <w:sz w:val="22"/>
                <w:szCs w:val="22"/>
              </w:rPr>
              <w:t>Наименование элемента</w:t>
            </w:r>
          </w:p>
        </w:tc>
        <w:tc>
          <w:tcPr>
            <w:tcW w:w="1701" w:type="dxa"/>
          </w:tcPr>
          <w:p w14:paraId="3390646C" w14:textId="77777777" w:rsidR="00AD1F54" w:rsidRPr="00264D5D" w:rsidRDefault="00941227">
            <w:pPr>
              <w:pStyle w:val="EBTableHead"/>
              <w:ind w:left="57" w:right="57"/>
              <w:contextualSpacing w:val="0"/>
              <w:rPr>
                <w:sz w:val="22"/>
                <w:szCs w:val="22"/>
              </w:rPr>
            </w:pPr>
            <w:r w:rsidRPr="00264D5D">
              <w:rPr>
                <w:bCs w:val="0"/>
                <w:sz w:val="22"/>
                <w:szCs w:val="22"/>
              </w:rPr>
              <w:t>Сокращенное наименование (код) элемента</w:t>
            </w:r>
          </w:p>
        </w:tc>
        <w:tc>
          <w:tcPr>
            <w:tcW w:w="567" w:type="dxa"/>
          </w:tcPr>
          <w:p w14:paraId="45695967" w14:textId="77777777" w:rsidR="00AD1F54" w:rsidRPr="00264D5D" w:rsidRDefault="00941227">
            <w:pPr>
              <w:pStyle w:val="EBTableHead"/>
              <w:ind w:left="57" w:right="57"/>
              <w:contextualSpacing w:val="0"/>
              <w:rPr>
                <w:sz w:val="22"/>
                <w:szCs w:val="22"/>
              </w:rPr>
            </w:pPr>
            <w:r w:rsidRPr="00264D5D">
              <w:rPr>
                <w:bCs w:val="0"/>
                <w:sz w:val="22"/>
                <w:szCs w:val="22"/>
              </w:rPr>
              <w:t>Тип</w:t>
            </w:r>
          </w:p>
        </w:tc>
        <w:tc>
          <w:tcPr>
            <w:tcW w:w="1134" w:type="dxa"/>
          </w:tcPr>
          <w:p w14:paraId="759799E9" w14:textId="77777777" w:rsidR="00AD1F54" w:rsidRPr="00264D5D" w:rsidRDefault="00941227">
            <w:pPr>
              <w:pStyle w:val="EBTableHead"/>
              <w:ind w:left="57" w:right="57"/>
              <w:contextualSpacing w:val="0"/>
              <w:rPr>
                <w:sz w:val="22"/>
                <w:szCs w:val="22"/>
              </w:rPr>
            </w:pPr>
            <w:r w:rsidRPr="00264D5D">
              <w:rPr>
                <w:bCs w:val="0"/>
                <w:sz w:val="22"/>
                <w:szCs w:val="22"/>
              </w:rPr>
              <w:t>Формат элемента</w:t>
            </w:r>
          </w:p>
        </w:tc>
        <w:tc>
          <w:tcPr>
            <w:tcW w:w="567" w:type="dxa"/>
          </w:tcPr>
          <w:p w14:paraId="53F86326" w14:textId="77777777" w:rsidR="00AD1F54" w:rsidRPr="00264D5D" w:rsidRDefault="00941227">
            <w:pPr>
              <w:spacing w:before="60" w:after="60"/>
              <w:ind w:left="57" w:right="57"/>
              <w:jc w:val="center"/>
              <w:rPr>
                <w:b/>
                <w:bCs/>
                <w:sz w:val="22"/>
                <w:szCs w:val="22"/>
              </w:rPr>
            </w:pPr>
            <w:r w:rsidRPr="00264D5D">
              <w:rPr>
                <w:b/>
                <w:bCs/>
                <w:sz w:val="22"/>
                <w:szCs w:val="22"/>
              </w:rPr>
              <w:t>Обязательность</w:t>
            </w:r>
          </w:p>
        </w:tc>
        <w:tc>
          <w:tcPr>
            <w:tcW w:w="3963" w:type="dxa"/>
          </w:tcPr>
          <w:p w14:paraId="7B008B08" w14:textId="77777777" w:rsidR="00AD1F54" w:rsidRPr="00264D5D" w:rsidRDefault="00941227">
            <w:pPr>
              <w:pStyle w:val="EBTableHead"/>
              <w:ind w:left="57" w:right="57"/>
              <w:contextualSpacing w:val="0"/>
              <w:rPr>
                <w:sz w:val="22"/>
                <w:szCs w:val="22"/>
              </w:rPr>
            </w:pPr>
            <w:r w:rsidRPr="00264D5D">
              <w:rPr>
                <w:bCs w:val="0"/>
                <w:sz w:val="22"/>
                <w:szCs w:val="22"/>
              </w:rPr>
              <w:t>Дополнительная информация</w:t>
            </w:r>
          </w:p>
        </w:tc>
      </w:tr>
      <w:tr w:rsidR="00AD1F54" w:rsidRPr="00264D5D" w14:paraId="587FC7F9"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A984554" w14:textId="77777777" w:rsidR="00AD1F54" w:rsidRPr="00264D5D" w:rsidRDefault="00941227">
            <w:pPr>
              <w:pStyle w:val="EBTablenorm"/>
              <w:ind w:left="57" w:right="57"/>
              <w:contextualSpacing w:val="0"/>
              <w:rPr>
                <w:rFonts w:eastAsia="Calibri"/>
                <w:sz w:val="22"/>
                <w:szCs w:val="22"/>
              </w:rPr>
            </w:pPr>
            <w:r w:rsidRPr="00264D5D">
              <w:rPr>
                <w:sz w:val="22"/>
                <w:szCs w:val="22"/>
              </w:rPr>
              <w:t>Сумма за январь</w:t>
            </w:r>
          </w:p>
        </w:tc>
        <w:tc>
          <w:tcPr>
            <w:tcW w:w="1701" w:type="dxa"/>
          </w:tcPr>
          <w:p w14:paraId="7EA88745" w14:textId="77777777" w:rsidR="00AD1F54" w:rsidRPr="00264D5D" w:rsidRDefault="00941227">
            <w:pPr>
              <w:pStyle w:val="EBTablenorm"/>
              <w:ind w:left="57" w:right="57"/>
              <w:contextualSpacing w:val="0"/>
              <w:rPr>
                <w:rFonts w:eastAsia="Calibri"/>
                <w:sz w:val="22"/>
                <w:szCs w:val="22"/>
              </w:rPr>
            </w:pPr>
            <w:r w:rsidRPr="00264D5D">
              <w:rPr>
                <w:sz w:val="22"/>
                <w:szCs w:val="22"/>
                <w:lang w:val="en-US"/>
              </w:rPr>
              <w:t>SheduleSumInf_january</w:t>
            </w:r>
          </w:p>
        </w:tc>
        <w:tc>
          <w:tcPr>
            <w:tcW w:w="567" w:type="dxa"/>
          </w:tcPr>
          <w:p w14:paraId="225A6784"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0141F9C4" w14:textId="77777777" w:rsidR="00AD1F54" w:rsidRPr="00264D5D" w:rsidRDefault="00941227">
            <w:pPr>
              <w:pStyle w:val="EBTablenorm"/>
              <w:ind w:left="57" w:right="57"/>
              <w:contextualSpacing w:val="0"/>
              <w:jc w:val="left"/>
              <w:rPr>
                <w:rFonts w:eastAsia="Calibri"/>
                <w:sz w:val="22"/>
                <w:szCs w:val="22"/>
              </w:rPr>
            </w:pPr>
            <w:r w:rsidRPr="00264D5D">
              <w:rPr>
                <w:rFonts w:eastAsia="Calibri"/>
                <w:sz w:val="22"/>
                <w:szCs w:val="22"/>
              </w:rPr>
              <w:t>N(14.2)</w:t>
            </w:r>
          </w:p>
        </w:tc>
        <w:tc>
          <w:tcPr>
            <w:tcW w:w="567" w:type="dxa"/>
          </w:tcPr>
          <w:p w14:paraId="5B177A44" w14:textId="77777777" w:rsidR="00AD1F54" w:rsidRPr="00264D5D" w:rsidRDefault="00941227">
            <w:pPr>
              <w:pStyle w:val="EBTablenorm"/>
              <w:ind w:left="57" w:right="57"/>
              <w:contextualSpacing w:val="0"/>
              <w:jc w:val="center"/>
              <w:rPr>
                <w:rFonts w:eastAsia="Calibri"/>
                <w:sz w:val="22"/>
                <w:szCs w:val="22"/>
              </w:rPr>
            </w:pPr>
            <w:r w:rsidRPr="00264D5D">
              <w:rPr>
                <w:sz w:val="22"/>
                <w:szCs w:val="22"/>
              </w:rPr>
              <w:t>О</w:t>
            </w:r>
          </w:p>
        </w:tc>
        <w:tc>
          <w:tcPr>
            <w:tcW w:w="3963" w:type="dxa"/>
          </w:tcPr>
          <w:p w14:paraId="2EBA6709" w14:textId="77777777" w:rsidR="00AD1F54" w:rsidRPr="00264D5D" w:rsidRDefault="00941227">
            <w:pPr>
              <w:pStyle w:val="EBTableHead"/>
              <w:ind w:left="57" w:right="57"/>
              <w:contextualSpacing w:val="0"/>
              <w:jc w:val="both"/>
              <w:rPr>
                <w:b w:val="0"/>
                <w:sz w:val="22"/>
                <w:szCs w:val="22"/>
              </w:rPr>
            </w:pPr>
            <w:r w:rsidRPr="00264D5D">
              <w:rPr>
                <w:b w:val="0"/>
                <w:sz w:val="22"/>
                <w:szCs w:val="22"/>
              </w:rPr>
              <w:t>Итого по коду ОКС (ОКВ), КМИ.</w:t>
            </w:r>
          </w:p>
          <w:p w14:paraId="400F8B87" w14:textId="77777777" w:rsidR="00AD1F54" w:rsidRPr="00264D5D" w:rsidRDefault="00941227">
            <w:pPr>
              <w:pStyle w:val="EBTablenorm"/>
              <w:ind w:left="57" w:right="57"/>
              <w:contextualSpacing w:val="0"/>
              <w:rPr>
                <w:sz w:val="22"/>
                <w:szCs w:val="22"/>
              </w:rPr>
            </w:pPr>
            <w:r w:rsidRPr="00264D5D">
              <w:rPr>
                <w:sz w:val="22"/>
                <w:szCs w:val="22"/>
              </w:rPr>
              <w:t xml:space="preserve">Сумма за январь. </w:t>
            </w:r>
          </w:p>
          <w:p w14:paraId="2F6889EB" w14:textId="77777777" w:rsidR="00AD1F54" w:rsidRPr="00264D5D" w:rsidRDefault="00941227">
            <w:pPr>
              <w:pStyle w:val="EBTablenorm"/>
              <w:ind w:left="57" w:right="57"/>
              <w:contextualSpacing w:val="0"/>
              <w:rPr>
                <w:sz w:val="22"/>
                <w:szCs w:val="22"/>
              </w:rPr>
            </w:pPr>
            <w:r w:rsidRPr="00264D5D">
              <w:rPr>
                <w:sz w:val="22"/>
                <w:szCs w:val="22"/>
              </w:rPr>
              <w:t>При отсутствии указывается 0.00</w:t>
            </w:r>
          </w:p>
        </w:tc>
      </w:tr>
      <w:tr w:rsidR="00AD1F54" w:rsidRPr="00264D5D" w14:paraId="116A3AB8"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39277FDD"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Сумма за февраль</w:t>
            </w:r>
          </w:p>
        </w:tc>
        <w:tc>
          <w:tcPr>
            <w:tcW w:w="1701" w:type="dxa"/>
          </w:tcPr>
          <w:p w14:paraId="3B61040C" w14:textId="77777777" w:rsidR="00AD1F54" w:rsidRPr="00264D5D" w:rsidRDefault="00941227">
            <w:pPr>
              <w:pStyle w:val="EBTablenorm"/>
              <w:ind w:left="57" w:right="57"/>
              <w:contextualSpacing w:val="0"/>
              <w:rPr>
                <w:sz w:val="22"/>
                <w:szCs w:val="22"/>
                <w:lang w:val="en-US"/>
              </w:rPr>
            </w:pPr>
            <w:r w:rsidRPr="00264D5D">
              <w:rPr>
                <w:sz w:val="22"/>
                <w:szCs w:val="22"/>
                <w:lang w:val="en-US"/>
              </w:rPr>
              <w:t>SheduleSumInf</w:t>
            </w:r>
            <w:r w:rsidRPr="00264D5D">
              <w:rPr>
                <w:sz w:val="22"/>
                <w:szCs w:val="22"/>
              </w:rPr>
              <w:t>_</w:t>
            </w:r>
            <w:r w:rsidRPr="00264D5D">
              <w:rPr>
                <w:sz w:val="22"/>
                <w:szCs w:val="22"/>
                <w:lang w:val="en-US"/>
              </w:rPr>
              <w:t>february</w:t>
            </w:r>
          </w:p>
        </w:tc>
        <w:tc>
          <w:tcPr>
            <w:tcW w:w="567" w:type="dxa"/>
          </w:tcPr>
          <w:p w14:paraId="13E51422"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564212AC" w14:textId="77777777" w:rsidR="00AD1F54" w:rsidRPr="00264D5D" w:rsidRDefault="00941227">
            <w:pPr>
              <w:pStyle w:val="EBTablenorm"/>
              <w:ind w:left="57" w:right="57"/>
              <w:contextualSpacing w:val="0"/>
              <w:jc w:val="left"/>
              <w:rPr>
                <w:sz w:val="22"/>
                <w:szCs w:val="22"/>
              </w:rPr>
            </w:pPr>
            <w:r w:rsidRPr="00264D5D">
              <w:rPr>
                <w:rFonts w:eastAsia="Calibri"/>
                <w:sz w:val="22"/>
                <w:szCs w:val="22"/>
              </w:rPr>
              <w:t>N(14.2)</w:t>
            </w:r>
          </w:p>
        </w:tc>
        <w:tc>
          <w:tcPr>
            <w:tcW w:w="567" w:type="dxa"/>
          </w:tcPr>
          <w:p w14:paraId="3FD344C6"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2702362D" w14:textId="77777777" w:rsidR="00AD1F54" w:rsidRPr="00264D5D" w:rsidRDefault="00941227">
            <w:pPr>
              <w:pStyle w:val="EBTableHead"/>
              <w:ind w:left="57" w:right="57"/>
              <w:contextualSpacing w:val="0"/>
              <w:jc w:val="both"/>
              <w:rPr>
                <w:b w:val="0"/>
                <w:sz w:val="22"/>
                <w:szCs w:val="22"/>
              </w:rPr>
            </w:pPr>
            <w:r w:rsidRPr="00264D5D">
              <w:rPr>
                <w:b w:val="0"/>
                <w:sz w:val="22"/>
                <w:szCs w:val="22"/>
              </w:rPr>
              <w:t>Итого по коду ОКС (ОКВ), КМИ.</w:t>
            </w:r>
          </w:p>
          <w:p w14:paraId="1AE51273" w14:textId="77777777" w:rsidR="00AD1F54" w:rsidRPr="00264D5D" w:rsidRDefault="00941227">
            <w:pPr>
              <w:pStyle w:val="EBTableHead"/>
              <w:ind w:left="57" w:right="57"/>
              <w:contextualSpacing w:val="0"/>
              <w:jc w:val="both"/>
              <w:rPr>
                <w:b w:val="0"/>
                <w:sz w:val="22"/>
                <w:szCs w:val="22"/>
              </w:rPr>
            </w:pPr>
            <w:r w:rsidRPr="00264D5D">
              <w:rPr>
                <w:b w:val="0"/>
                <w:sz w:val="22"/>
                <w:szCs w:val="22"/>
              </w:rPr>
              <w:t xml:space="preserve">Сумма за февраль. </w:t>
            </w:r>
          </w:p>
          <w:p w14:paraId="61017ECC" w14:textId="77777777" w:rsidR="00AD1F54" w:rsidRPr="00264D5D" w:rsidRDefault="007E37F3">
            <w:pPr>
              <w:pStyle w:val="EBTableHead"/>
              <w:ind w:left="57" w:right="57"/>
              <w:contextualSpacing w:val="0"/>
              <w:jc w:val="both"/>
              <w:rPr>
                <w:sz w:val="22"/>
                <w:szCs w:val="22"/>
              </w:rPr>
            </w:pPr>
            <w:r w:rsidRPr="00264D5D">
              <w:rPr>
                <w:b w:val="0"/>
                <w:sz w:val="22"/>
                <w:szCs w:val="22"/>
              </w:rPr>
              <w:t>При отсутствии указывается 0.00</w:t>
            </w:r>
          </w:p>
        </w:tc>
      </w:tr>
      <w:tr w:rsidR="00AD1F54" w:rsidRPr="00264D5D" w14:paraId="56C953D2"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35B59D2"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Сумма за март</w:t>
            </w:r>
          </w:p>
        </w:tc>
        <w:tc>
          <w:tcPr>
            <w:tcW w:w="1701" w:type="dxa"/>
          </w:tcPr>
          <w:p w14:paraId="529190E0" w14:textId="77777777" w:rsidR="00AD1F54" w:rsidRPr="00264D5D" w:rsidRDefault="00941227">
            <w:pPr>
              <w:pStyle w:val="EBTablenorm"/>
              <w:ind w:left="57" w:right="57"/>
              <w:contextualSpacing w:val="0"/>
              <w:rPr>
                <w:sz w:val="22"/>
                <w:szCs w:val="22"/>
                <w:lang w:val="en-US"/>
              </w:rPr>
            </w:pPr>
            <w:r w:rsidRPr="00264D5D">
              <w:rPr>
                <w:sz w:val="22"/>
                <w:szCs w:val="22"/>
                <w:lang w:val="en-US"/>
              </w:rPr>
              <w:t>SheduleSumInf</w:t>
            </w:r>
            <w:r w:rsidRPr="00264D5D">
              <w:rPr>
                <w:sz w:val="22"/>
                <w:szCs w:val="22"/>
              </w:rPr>
              <w:t>_</w:t>
            </w:r>
            <w:r w:rsidRPr="00264D5D">
              <w:rPr>
                <w:sz w:val="22"/>
                <w:szCs w:val="22"/>
                <w:lang w:val="en-US"/>
              </w:rPr>
              <w:t>march</w:t>
            </w:r>
          </w:p>
        </w:tc>
        <w:tc>
          <w:tcPr>
            <w:tcW w:w="567" w:type="dxa"/>
          </w:tcPr>
          <w:p w14:paraId="356FB512"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19824942" w14:textId="77777777" w:rsidR="00AD1F54" w:rsidRPr="00264D5D" w:rsidRDefault="00941227">
            <w:pPr>
              <w:pStyle w:val="EBTablenorm"/>
              <w:ind w:left="57" w:right="57"/>
              <w:contextualSpacing w:val="0"/>
              <w:jc w:val="left"/>
              <w:rPr>
                <w:sz w:val="22"/>
                <w:szCs w:val="22"/>
              </w:rPr>
            </w:pPr>
            <w:r w:rsidRPr="00264D5D">
              <w:rPr>
                <w:rFonts w:eastAsia="Calibri"/>
                <w:sz w:val="22"/>
                <w:szCs w:val="22"/>
              </w:rPr>
              <w:t>N(14.2)</w:t>
            </w:r>
          </w:p>
        </w:tc>
        <w:tc>
          <w:tcPr>
            <w:tcW w:w="567" w:type="dxa"/>
          </w:tcPr>
          <w:p w14:paraId="36413B06"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7F822B0B" w14:textId="77777777" w:rsidR="00AD1F54" w:rsidRPr="00264D5D" w:rsidRDefault="00941227">
            <w:pPr>
              <w:pStyle w:val="EBTableHead"/>
              <w:ind w:left="57" w:right="57"/>
              <w:contextualSpacing w:val="0"/>
              <w:jc w:val="both"/>
              <w:rPr>
                <w:b w:val="0"/>
                <w:sz w:val="22"/>
                <w:szCs w:val="22"/>
              </w:rPr>
            </w:pPr>
            <w:r w:rsidRPr="00264D5D">
              <w:rPr>
                <w:b w:val="0"/>
                <w:sz w:val="22"/>
                <w:szCs w:val="22"/>
              </w:rPr>
              <w:t>Итого по коду ОКС (ОКВ), КМИ.</w:t>
            </w:r>
          </w:p>
          <w:p w14:paraId="3FBA4B58" w14:textId="77777777" w:rsidR="00AD1F54" w:rsidRPr="00264D5D" w:rsidRDefault="00941227">
            <w:pPr>
              <w:pStyle w:val="EBTablenorm"/>
              <w:ind w:left="57" w:right="57"/>
              <w:contextualSpacing w:val="0"/>
              <w:rPr>
                <w:sz w:val="22"/>
                <w:szCs w:val="22"/>
              </w:rPr>
            </w:pPr>
            <w:r w:rsidRPr="00264D5D">
              <w:rPr>
                <w:sz w:val="22"/>
                <w:szCs w:val="22"/>
              </w:rPr>
              <w:t xml:space="preserve">Сумма за март. </w:t>
            </w:r>
          </w:p>
          <w:p w14:paraId="68E93CAB" w14:textId="77777777" w:rsidR="00AD1F54" w:rsidRPr="00264D5D" w:rsidRDefault="007E37F3">
            <w:pPr>
              <w:pStyle w:val="EBTablenorm"/>
              <w:ind w:left="57" w:right="57"/>
              <w:contextualSpacing w:val="0"/>
              <w:rPr>
                <w:b/>
                <w:sz w:val="22"/>
                <w:szCs w:val="22"/>
              </w:rPr>
            </w:pPr>
            <w:r w:rsidRPr="00264D5D">
              <w:rPr>
                <w:sz w:val="22"/>
                <w:szCs w:val="22"/>
              </w:rPr>
              <w:t>При отсутствии указывается 0.00</w:t>
            </w:r>
          </w:p>
        </w:tc>
      </w:tr>
      <w:tr w:rsidR="00AD1F54" w:rsidRPr="00264D5D" w14:paraId="39D85D3F"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04A1881E"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Сумма за апрель</w:t>
            </w:r>
          </w:p>
        </w:tc>
        <w:tc>
          <w:tcPr>
            <w:tcW w:w="1701" w:type="dxa"/>
          </w:tcPr>
          <w:p w14:paraId="43EF9ECC" w14:textId="77777777" w:rsidR="00AD1F54" w:rsidRPr="00264D5D" w:rsidRDefault="00941227">
            <w:pPr>
              <w:pStyle w:val="EBTablenorm"/>
              <w:ind w:left="57" w:right="57"/>
              <w:contextualSpacing w:val="0"/>
              <w:rPr>
                <w:sz w:val="22"/>
                <w:szCs w:val="22"/>
                <w:lang w:val="en-US"/>
              </w:rPr>
            </w:pPr>
            <w:r w:rsidRPr="00264D5D">
              <w:rPr>
                <w:sz w:val="22"/>
                <w:szCs w:val="22"/>
                <w:lang w:val="en-US"/>
              </w:rPr>
              <w:t>SheduleSumInf</w:t>
            </w:r>
            <w:r w:rsidRPr="00264D5D">
              <w:rPr>
                <w:sz w:val="22"/>
                <w:szCs w:val="22"/>
              </w:rPr>
              <w:t>_</w:t>
            </w:r>
            <w:r w:rsidRPr="00264D5D">
              <w:rPr>
                <w:sz w:val="22"/>
                <w:szCs w:val="22"/>
                <w:lang w:val="en-US"/>
              </w:rPr>
              <w:t>april</w:t>
            </w:r>
          </w:p>
        </w:tc>
        <w:tc>
          <w:tcPr>
            <w:tcW w:w="567" w:type="dxa"/>
          </w:tcPr>
          <w:p w14:paraId="5AABBEEA"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09C809CD" w14:textId="77777777" w:rsidR="00AD1F54" w:rsidRPr="00264D5D" w:rsidRDefault="00941227">
            <w:pPr>
              <w:pStyle w:val="EBTablenorm"/>
              <w:ind w:left="57" w:right="57"/>
              <w:contextualSpacing w:val="0"/>
              <w:jc w:val="left"/>
              <w:rPr>
                <w:sz w:val="22"/>
                <w:szCs w:val="22"/>
              </w:rPr>
            </w:pPr>
            <w:r w:rsidRPr="00264D5D">
              <w:rPr>
                <w:rFonts w:eastAsia="Calibri"/>
                <w:sz w:val="22"/>
                <w:szCs w:val="22"/>
              </w:rPr>
              <w:t>N(14.2)</w:t>
            </w:r>
          </w:p>
        </w:tc>
        <w:tc>
          <w:tcPr>
            <w:tcW w:w="567" w:type="dxa"/>
          </w:tcPr>
          <w:p w14:paraId="5A2CBB70"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011F99D9" w14:textId="77777777" w:rsidR="00AD1F54" w:rsidRPr="00264D5D" w:rsidRDefault="00941227">
            <w:pPr>
              <w:pStyle w:val="EBTableHead"/>
              <w:ind w:left="57" w:right="57"/>
              <w:contextualSpacing w:val="0"/>
              <w:jc w:val="both"/>
              <w:rPr>
                <w:b w:val="0"/>
                <w:sz w:val="22"/>
                <w:szCs w:val="22"/>
              </w:rPr>
            </w:pPr>
            <w:r w:rsidRPr="00264D5D">
              <w:rPr>
                <w:b w:val="0"/>
                <w:sz w:val="22"/>
                <w:szCs w:val="22"/>
              </w:rPr>
              <w:t>Итого по коду ОКС (ОКВ), КМИ.</w:t>
            </w:r>
          </w:p>
          <w:p w14:paraId="345DCB5C" w14:textId="77777777" w:rsidR="00AD1F54" w:rsidRPr="00264D5D" w:rsidRDefault="00941227">
            <w:pPr>
              <w:pStyle w:val="EBTablenorm"/>
              <w:ind w:left="57" w:right="57"/>
              <w:contextualSpacing w:val="0"/>
              <w:rPr>
                <w:sz w:val="22"/>
                <w:szCs w:val="22"/>
              </w:rPr>
            </w:pPr>
            <w:r w:rsidRPr="00264D5D">
              <w:rPr>
                <w:sz w:val="22"/>
                <w:szCs w:val="22"/>
              </w:rPr>
              <w:t xml:space="preserve">Сумма за апрель. </w:t>
            </w:r>
          </w:p>
          <w:p w14:paraId="0D4F64BD" w14:textId="77777777" w:rsidR="00AD1F54" w:rsidRPr="00264D5D" w:rsidRDefault="007E37F3">
            <w:pPr>
              <w:pStyle w:val="EBTablenorm"/>
              <w:ind w:left="57" w:right="57"/>
              <w:contextualSpacing w:val="0"/>
              <w:rPr>
                <w:sz w:val="22"/>
                <w:szCs w:val="22"/>
              </w:rPr>
            </w:pPr>
            <w:r w:rsidRPr="00264D5D">
              <w:rPr>
                <w:sz w:val="22"/>
                <w:szCs w:val="22"/>
              </w:rPr>
              <w:t>При отсутствии указывается 0.00</w:t>
            </w:r>
          </w:p>
        </w:tc>
      </w:tr>
      <w:tr w:rsidR="00AD1F54" w:rsidRPr="00264D5D" w14:paraId="2E2EC2D1"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C7E0D05"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Сумма за май</w:t>
            </w:r>
          </w:p>
        </w:tc>
        <w:tc>
          <w:tcPr>
            <w:tcW w:w="1701" w:type="dxa"/>
          </w:tcPr>
          <w:p w14:paraId="4AC653C7" w14:textId="77777777" w:rsidR="00AD1F54" w:rsidRPr="00264D5D" w:rsidRDefault="00941227">
            <w:pPr>
              <w:pStyle w:val="EBTablenorm"/>
              <w:ind w:left="57" w:right="57"/>
              <w:contextualSpacing w:val="0"/>
              <w:rPr>
                <w:sz w:val="22"/>
                <w:szCs w:val="22"/>
                <w:lang w:val="en-US"/>
              </w:rPr>
            </w:pPr>
            <w:r w:rsidRPr="00264D5D">
              <w:rPr>
                <w:sz w:val="22"/>
                <w:szCs w:val="22"/>
                <w:lang w:val="en-US"/>
              </w:rPr>
              <w:t>SheduleSumInf_may</w:t>
            </w:r>
          </w:p>
        </w:tc>
        <w:tc>
          <w:tcPr>
            <w:tcW w:w="567" w:type="dxa"/>
          </w:tcPr>
          <w:p w14:paraId="3588E6C4"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6009AF23" w14:textId="77777777" w:rsidR="00AD1F54" w:rsidRPr="00264D5D" w:rsidRDefault="00941227">
            <w:pPr>
              <w:pStyle w:val="EBTablenorm"/>
              <w:ind w:left="57" w:right="57"/>
              <w:contextualSpacing w:val="0"/>
              <w:jc w:val="left"/>
              <w:rPr>
                <w:sz w:val="22"/>
                <w:szCs w:val="22"/>
              </w:rPr>
            </w:pPr>
            <w:r w:rsidRPr="00264D5D">
              <w:rPr>
                <w:rFonts w:eastAsia="Calibri"/>
                <w:sz w:val="22"/>
                <w:szCs w:val="22"/>
              </w:rPr>
              <w:t>N(14.2)</w:t>
            </w:r>
          </w:p>
        </w:tc>
        <w:tc>
          <w:tcPr>
            <w:tcW w:w="567" w:type="dxa"/>
          </w:tcPr>
          <w:p w14:paraId="6E90CBEC"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43EC0064" w14:textId="77777777" w:rsidR="00AD1F54" w:rsidRPr="00264D5D" w:rsidRDefault="00941227">
            <w:pPr>
              <w:pStyle w:val="EBTableHead"/>
              <w:ind w:left="57" w:right="57"/>
              <w:contextualSpacing w:val="0"/>
              <w:jc w:val="both"/>
              <w:rPr>
                <w:b w:val="0"/>
                <w:sz w:val="22"/>
                <w:szCs w:val="22"/>
              </w:rPr>
            </w:pPr>
            <w:r w:rsidRPr="00264D5D">
              <w:rPr>
                <w:b w:val="0"/>
                <w:sz w:val="22"/>
                <w:szCs w:val="22"/>
              </w:rPr>
              <w:t>Итого по коду ОКС (ОКВ), КМИ.</w:t>
            </w:r>
          </w:p>
          <w:p w14:paraId="4FD7C648" w14:textId="77777777" w:rsidR="00AD1F54" w:rsidRPr="00264D5D" w:rsidRDefault="00941227">
            <w:pPr>
              <w:pStyle w:val="EBTablenorm"/>
              <w:ind w:left="57" w:right="57"/>
              <w:contextualSpacing w:val="0"/>
              <w:rPr>
                <w:sz w:val="22"/>
                <w:szCs w:val="22"/>
              </w:rPr>
            </w:pPr>
            <w:r w:rsidRPr="00264D5D">
              <w:rPr>
                <w:sz w:val="22"/>
                <w:szCs w:val="22"/>
              </w:rPr>
              <w:t xml:space="preserve">Сумма за май. </w:t>
            </w:r>
          </w:p>
          <w:p w14:paraId="23DE9CB6" w14:textId="77777777" w:rsidR="00AD1F54" w:rsidRPr="00264D5D" w:rsidRDefault="007E37F3">
            <w:pPr>
              <w:pStyle w:val="EBTablenorm"/>
              <w:ind w:left="57" w:right="57"/>
              <w:contextualSpacing w:val="0"/>
              <w:rPr>
                <w:sz w:val="22"/>
                <w:szCs w:val="22"/>
              </w:rPr>
            </w:pPr>
            <w:r w:rsidRPr="00264D5D">
              <w:rPr>
                <w:sz w:val="22"/>
                <w:szCs w:val="22"/>
              </w:rPr>
              <w:t>При отсутствии указывается 0.00</w:t>
            </w:r>
          </w:p>
        </w:tc>
      </w:tr>
      <w:tr w:rsidR="00AD1F54" w:rsidRPr="00264D5D" w14:paraId="3598F14E"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52F49774"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Сумма за июнь</w:t>
            </w:r>
          </w:p>
        </w:tc>
        <w:tc>
          <w:tcPr>
            <w:tcW w:w="1701" w:type="dxa"/>
          </w:tcPr>
          <w:p w14:paraId="0C631A94" w14:textId="77777777" w:rsidR="00AD1F54" w:rsidRPr="00264D5D" w:rsidRDefault="00941227">
            <w:pPr>
              <w:pStyle w:val="EBTablenorm"/>
              <w:ind w:left="57" w:right="57"/>
              <w:contextualSpacing w:val="0"/>
              <w:rPr>
                <w:sz w:val="22"/>
                <w:szCs w:val="22"/>
                <w:lang w:val="en-US"/>
              </w:rPr>
            </w:pPr>
            <w:r w:rsidRPr="00264D5D">
              <w:rPr>
                <w:sz w:val="22"/>
                <w:szCs w:val="22"/>
                <w:lang w:val="en-US"/>
              </w:rPr>
              <w:t>SheduleSumInf_june</w:t>
            </w:r>
          </w:p>
        </w:tc>
        <w:tc>
          <w:tcPr>
            <w:tcW w:w="567" w:type="dxa"/>
          </w:tcPr>
          <w:p w14:paraId="50FF66A6"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7111C1B2" w14:textId="77777777" w:rsidR="00AD1F54" w:rsidRPr="00264D5D" w:rsidRDefault="00941227">
            <w:pPr>
              <w:pStyle w:val="EBTablenorm"/>
              <w:ind w:left="57" w:right="57"/>
              <w:contextualSpacing w:val="0"/>
              <w:jc w:val="left"/>
              <w:rPr>
                <w:sz w:val="22"/>
                <w:szCs w:val="22"/>
              </w:rPr>
            </w:pPr>
            <w:r w:rsidRPr="00264D5D">
              <w:rPr>
                <w:rFonts w:eastAsia="Calibri"/>
                <w:sz w:val="22"/>
                <w:szCs w:val="22"/>
              </w:rPr>
              <w:t>N(14.2)</w:t>
            </w:r>
          </w:p>
        </w:tc>
        <w:tc>
          <w:tcPr>
            <w:tcW w:w="567" w:type="dxa"/>
          </w:tcPr>
          <w:p w14:paraId="5140D03C" w14:textId="77777777" w:rsidR="00AD1F54" w:rsidRPr="00264D5D" w:rsidRDefault="00941227">
            <w:pPr>
              <w:pStyle w:val="EBTablenorm"/>
              <w:ind w:left="57" w:right="57"/>
              <w:contextualSpacing w:val="0"/>
              <w:jc w:val="center"/>
              <w:rPr>
                <w:sz w:val="22"/>
                <w:szCs w:val="22"/>
              </w:rPr>
            </w:pPr>
            <w:r w:rsidRPr="00264D5D">
              <w:rPr>
                <w:sz w:val="22"/>
                <w:szCs w:val="22"/>
                <w:lang w:val="en-US"/>
              </w:rPr>
              <w:t>О</w:t>
            </w:r>
          </w:p>
        </w:tc>
        <w:tc>
          <w:tcPr>
            <w:tcW w:w="3963" w:type="dxa"/>
          </w:tcPr>
          <w:p w14:paraId="3E817054" w14:textId="77777777" w:rsidR="00AD1F54" w:rsidRPr="00264D5D" w:rsidRDefault="00941227">
            <w:pPr>
              <w:pStyle w:val="EBTableHead"/>
              <w:ind w:left="57" w:right="57"/>
              <w:contextualSpacing w:val="0"/>
              <w:jc w:val="both"/>
              <w:rPr>
                <w:b w:val="0"/>
                <w:sz w:val="22"/>
                <w:szCs w:val="22"/>
              </w:rPr>
            </w:pPr>
            <w:r w:rsidRPr="00264D5D">
              <w:rPr>
                <w:b w:val="0"/>
                <w:sz w:val="22"/>
                <w:szCs w:val="22"/>
              </w:rPr>
              <w:t>Итого по коду ОКС (ОКВ), КМИ.</w:t>
            </w:r>
          </w:p>
          <w:p w14:paraId="06BF1AE4" w14:textId="77777777" w:rsidR="00AD1F54" w:rsidRPr="00264D5D" w:rsidRDefault="00941227">
            <w:pPr>
              <w:pStyle w:val="EBTablenorm"/>
              <w:ind w:left="57" w:right="57"/>
              <w:contextualSpacing w:val="0"/>
              <w:rPr>
                <w:sz w:val="22"/>
                <w:szCs w:val="22"/>
              </w:rPr>
            </w:pPr>
            <w:r w:rsidRPr="00264D5D">
              <w:rPr>
                <w:sz w:val="22"/>
                <w:szCs w:val="22"/>
              </w:rPr>
              <w:t xml:space="preserve">Сумма за июнь. </w:t>
            </w:r>
          </w:p>
          <w:p w14:paraId="6C773E2B" w14:textId="77777777" w:rsidR="00AD1F54" w:rsidRPr="00264D5D" w:rsidRDefault="007E37F3">
            <w:pPr>
              <w:pStyle w:val="EBTablenorm"/>
              <w:ind w:left="57" w:right="57"/>
              <w:contextualSpacing w:val="0"/>
              <w:rPr>
                <w:sz w:val="22"/>
                <w:szCs w:val="22"/>
              </w:rPr>
            </w:pPr>
            <w:r w:rsidRPr="00264D5D">
              <w:rPr>
                <w:sz w:val="22"/>
                <w:szCs w:val="22"/>
              </w:rPr>
              <w:t>При отсутствии указывается 0.00</w:t>
            </w:r>
          </w:p>
        </w:tc>
      </w:tr>
      <w:tr w:rsidR="00AD1F54" w:rsidRPr="00264D5D" w14:paraId="7C932157"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76E1693"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Сумма за июль</w:t>
            </w:r>
          </w:p>
        </w:tc>
        <w:tc>
          <w:tcPr>
            <w:tcW w:w="1701" w:type="dxa"/>
          </w:tcPr>
          <w:p w14:paraId="6564EC0D" w14:textId="77777777" w:rsidR="00AD1F54" w:rsidRPr="00264D5D" w:rsidRDefault="00941227">
            <w:pPr>
              <w:pStyle w:val="EBTablenorm"/>
              <w:ind w:left="57" w:right="57"/>
              <w:contextualSpacing w:val="0"/>
              <w:rPr>
                <w:sz w:val="22"/>
                <w:szCs w:val="22"/>
                <w:lang w:val="en-US"/>
              </w:rPr>
            </w:pPr>
            <w:r w:rsidRPr="00264D5D">
              <w:rPr>
                <w:sz w:val="22"/>
                <w:szCs w:val="22"/>
                <w:lang w:val="en-US"/>
              </w:rPr>
              <w:t>SheduleSumInf_july</w:t>
            </w:r>
          </w:p>
        </w:tc>
        <w:tc>
          <w:tcPr>
            <w:tcW w:w="567" w:type="dxa"/>
          </w:tcPr>
          <w:p w14:paraId="6BC0A914"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592355DB" w14:textId="77777777" w:rsidR="00AD1F54" w:rsidRPr="00264D5D" w:rsidRDefault="00941227">
            <w:pPr>
              <w:pStyle w:val="EBTablenorm"/>
              <w:ind w:left="57" w:right="57"/>
              <w:contextualSpacing w:val="0"/>
              <w:jc w:val="left"/>
              <w:rPr>
                <w:sz w:val="22"/>
                <w:szCs w:val="22"/>
                <w:lang w:val="en-US"/>
              </w:rPr>
            </w:pPr>
            <w:r w:rsidRPr="00264D5D">
              <w:rPr>
                <w:rFonts w:eastAsia="Calibri"/>
                <w:sz w:val="22"/>
                <w:szCs w:val="22"/>
              </w:rPr>
              <w:t>N(14.2)</w:t>
            </w:r>
          </w:p>
        </w:tc>
        <w:tc>
          <w:tcPr>
            <w:tcW w:w="567" w:type="dxa"/>
          </w:tcPr>
          <w:p w14:paraId="3BA19A7C" w14:textId="77777777" w:rsidR="00AD1F54" w:rsidRPr="00264D5D" w:rsidRDefault="00941227">
            <w:pPr>
              <w:pStyle w:val="EBTablenorm"/>
              <w:ind w:left="57" w:right="57"/>
              <w:contextualSpacing w:val="0"/>
              <w:jc w:val="center"/>
              <w:rPr>
                <w:sz w:val="22"/>
                <w:szCs w:val="22"/>
                <w:lang w:val="en-US"/>
              </w:rPr>
            </w:pPr>
            <w:r w:rsidRPr="00264D5D">
              <w:rPr>
                <w:sz w:val="22"/>
                <w:szCs w:val="22"/>
                <w:lang w:val="en-US"/>
              </w:rPr>
              <w:t>О</w:t>
            </w:r>
          </w:p>
        </w:tc>
        <w:tc>
          <w:tcPr>
            <w:tcW w:w="3963" w:type="dxa"/>
          </w:tcPr>
          <w:p w14:paraId="41B05E6A" w14:textId="77777777" w:rsidR="00AD1F54" w:rsidRPr="00264D5D" w:rsidRDefault="00941227">
            <w:pPr>
              <w:pStyle w:val="EBTableHead"/>
              <w:ind w:left="57" w:right="57"/>
              <w:contextualSpacing w:val="0"/>
              <w:jc w:val="both"/>
              <w:rPr>
                <w:b w:val="0"/>
                <w:sz w:val="22"/>
                <w:szCs w:val="22"/>
              </w:rPr>
            </w:pPr>
            <w:r w:rsidRPr="00264D5D">
              <w:rPr>
                <w:b w:val="0"/>
                <w:sz w:val="22"/>
                <w:szCs w:val="22"/>
              </w:rPr>
              <w:t>Итого по коду ОКС (ОКВ), КМИ.</w:t>
            </w:r>
          </w:p>
          <w:p w14:paraId="2622DA68" w14:textId="77777777" w:rsidR="00AD1F54" w:rsidRPr="00264D5D" w:rsidRDefault="00941227">
            <w:pPr>
              <w:pStyle w:val="EBTablenorm"/>
              <w:ind w:left="57" w:right="57"/>
              <w:contextualSpacing w:val="0"/>
              <w:rPr>
                <w:sz w:val="22"/>
                <w:szCs w:val="22"/>
              </w:rPr>
            </w:pPr>
            <w:r w:rsidRPr="00264D5D">
              <w:rPr>
                <w:sz w:val="22"/>
                <w:szCs w:val="22"/>
              </w:rPr>
              <w:t xml:space="preserve">Сумма за июль. </w:t>
            </w:r>
          </w:p>
          <w:p w14:paraId="22218FB7" w14:textId="77777777" w:rsidR="00AD1F54" w:rsidRPr="00264D5D" w:rsidRDefault="007E37F3">
            <w:pPr>
              <w:pStyle w:val="EBTablenorm"/>
              <w:ind w:left="57" w:right="57"/>
              <w:contextualSpacing w:val="0"/>
              <w:rPr>
                <w:sz w:val="22"/>
                <w:szCs w:val="22"/>
              </w:rPr>
            </w:pPr>
            <w:r w:rsidRPr="00264D5D">
              <w:rPr>
                <w:sz w:val="22"/>
                <w:szCs w:val="22"/>
              </w:rPr>
              <w:t>При отсутствии указывается 0.00</w:t>
            </w:r>
          </w:p>
        </w:tc>
      </w:tr>
      <w:tr w:rsidR="00AD1F54" w:rsidRPr="00264D5D" w14:paraId="656FC36E"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3372F9D9"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Сумма за август</w:t>
            </w:r>
          </w:p>
        </w:tc>
        <w:tc>
          <w:tcPr>
            <w:tcW w:w="1701" w:type="dxa"/>
          </w:tcPr>
          <w:p w14:paraId="5CE7BB65" w14:textId="77777777" w:rsidR="00AD1F54" w:rsidRPr="00264D5D" w:rsidRDefault="00941227">
            <w:pPr>
              <w:pStyle w:val="EBTablenorm"/>
              <w:ind w:left="57" w:right="57"/>
              <w:contextualSpacing w:val="0"/>
              <w:rPr>
                <w:sz w:val="22"/>
                <w:szCs w:val="22"/>
                <w:lang w:val="en-US"/>
              </w:rPr>
            </w:pPr>
            <w:r w:rsidRPr="00264D5D">
              <w:rPr>
                <w:sz w:val="22"/>
                <w:szCs w:val="22"/>
                <w:lang w:val="en-US"/>
              </w:rPr>
              <w:t>SheduleSumInf_august</w:t>
            </w:r>
          </w:p>
        </w:tc>
        <w:tc>
          <w:tcPr>
            <w:tcW w:w="567" w:type="dxa"/>
          </w:tcPr>
          <w:p w14:paraId="410CE90F"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2755B659" w14:textId="77777777" w:rsidR="00AD1F54" w:rsidRPr="00264D5D" w:rsidRDefault="00941227">
            <w:pPr>
              <w:pStyle w:val="EBTablenorm"/>
              <w:ind w:left="57" w:right="57"/>
              <w:contextualSpacing w:val="0"/>
              <w:jc w:val="left"/>
              <w:rPr>
                <w:sz w:val="22"/>
                <w:szCs w:val="22"/>
                <w:lang w:val="en-US"/>
              </w:rPr>
            </w:pPr>
            <w:r w:rsidRPr="00264D5D">
              <w:rPr>
                <w:rFonts w:eastAsia="Calibri"/>
                <w:sz w:val="22"/>
                <w:szCs w:val="22"/>
              </w:rPr>
              <w:t>N(14.2)</w:t>
            </w:r>
          </w:p>
        </w:tc>
        <w:tc>
          <w:tcPr>
            <w:tcW w:w="567" w:type="dxa"/>
          </w:tcPr>
          <w:p w14:paraId="1E413C44" w14:textId="77777777" w:rsidR="00AD1F54" w:rsidRPr="00264D5D" w:rsidRDefault="00941227">
            <w:pPr>
              <w:pStyle w:val="EBTablenorm"/>
              <w:ind w:left="57" w:right="57"/>
              <w:contextualSpacing w:val="0"/>
              <w:jc w:val="center"/>
              <w:rPr>
                <w:sz w:val="22"/>
                <w:szCs w:val="22"/>
                <w:lang w:val="en-US"/>
              </w:rPr>
            </w:pPr>
            <w:r w:rsidRPr="00264D5D">
              <w:rPr>
                <w:sz w:val="22"/>
                <w:szCs w:val="22"/>
              </w:rPr>
              <w:t>О</w:t>
            </w:r>
          </w:p>
        </w:tc>
        <w:tc>
          <w:tcPr>
            <w:tcW w:w="3963" w:type="dxa"/>
          </w:tcPr>
          <w:p w14:paraId="47B1BE91" w14:textId="77777777" w:rsidR="00AD1F54" w:rsidRPr="00264D5D" w:rsidRDefault="00941227">
            <w:pPr>
              <w:pStyle w:val="EBTableHead"/>
              <w:ind w:left="57" w:right="57"/>
              <w:contextualSpacing w:val="0"/>
              <w:jc w:val="both"/>
              <w:rPr>
                <w:b w:val="0"/>
                <w:sz w:val="22"/>
                <w:szCs w:val="22"/>
              </w:rPr>
            </w:pPr>
            <w:r w:rsidRPr="00264D5D">
              <w:rPr>
                <w:b w:val="0"/>
                <w:sz w:val="22"/>
                <w:szCs w:val="22"/>
              </w:rPr>
              <w:t>Итого по коду ОКС (ОКВ), КМИ.</w:t>
            </w:r>
          </w:p>
          <w:p w14:paraId="08E88D8E" w14:textId="77777777" w:rsidR="00AD1F54" w:rsidRPr="00264D5D" w:rsidRDefault="00941227">
            <w:pPr>
              <w:pStyle w:val="EBTablenorm"/>
              <w:ind w:left="57" w:right="57"/>
              <w:contextualSpacing w:val="0"/>
              <w:rPr>
                <w:sz w:val="22"/>
                <w:szCs w:val="22"/>
              </w:rPr>
            </w:pPr>
            <w:r w:rsidRPr="00264D5D">
              <w:rPr>
                <w:sz w:val="22"/>
                <w:szCs w:val="22"/>
              </w:rPr>
              <w:t xml:space="preserve">Сумма за август. </w:t>
            </w:r>
          </w:p>
          <w:p w14:paraId="5C8B41FF" w14:textId="77777777" w:rsidR="00AD1F54" w:rsidRPr="00264D5D" w:rsidRDefault="007E37F3">
            <w:pPr>
              <w:pStyle w:val="EBTablenorm"/>
              <w:ind w:left="57" w:right="57"/>
              <w:contextualSpacing w:val="0"/>
              <w:rPr>
                <w:sz w:val="22"/>
                <w:szCs w:val="22"/>
              </w:rPr>
            </w:pPr>
            <w:r w:rsidRPr="00264D5D">
              <w:rPr>
                <w:sz w:val="22"/>
                <w:szCs w:val="22"/>
              </w:rPr>
              <w:lastRenderedPageBreak/>
              <w:t>При отсутствии указывается 0.00</w:t>
            </w:r>
          </w:p>
        </w:tc>
      </w:tr>
      <w:tr w:rsidR="00AD1F54" w:rsidRPr="00264D5D" w14:paraId="11618331"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BA92D1A"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lastRenderedPageBreak/>
              <w:t>Сумма за сентябрь</w:t>
            </w:r>
          </w:p>
        </w:tc>
        <w:tc>
          <w:tcPr>
            <w:tcW w:w="1701" w:type="dxa"/>
          </w:tcPr>
          <w:p w14:paraId="743405A0" w14:textId="77777777" w:rsidR="00AD1F54" w:rsidRPr="00264D5D" w:rsidRDefault="00941227">
            <w:pPr>
              <w:pStyle w:val="EBTablenorm"/>
              <w:ind w:left="57" w:right="57"/>
              <w:contextualSpacing w:val="0"/>
              <w:rPr>
                <w:sz w:val="22"/>
                <w:szCs w:val="22"/>
                <w:lang w:val="en-US"/>
              </w:rPr>
            </w:pPr>
            <w:r w:rsidRPr="00264D5D">
              <w:rPr>
                <w:sz w:val="22"/>
                <w:szCs w:val="22"/>
                <w:lang w:val="en-US"/>
              </w:rPr>
              <w:t>SheduleSumInf_september</w:t>
            </w:r>
          </w:p>
        </w:tc>
        <w:tc>
          <w:tcPr>
            <w:tcW w:w="567" w:type="dxa"/>
          </w:tcPr>
          <w:p w14:paraId="0AC8BA66"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51A3847D" w14:textId="77777777" w:rsidR="00AD1F54" w:rsidRPr="00264D5D" w:rsidRDefault="00941227">
            <w:pPr>
              <w:pStyle w:val="EBTablenorm"/>
              <w:ind w:left="57" w:right="57"/>
              <w:contextualSpacing w:val="0"/>
              <w:jc w:val="left"/>
              <w:rPr>
                <w:sz w:val="22"/>
                <w:szCs w:val="22"/>
              </w:rPr>
            </w:pPr>
            <w:r w:rsidRPr="00264D5D">
              <w:rPr>
                <w:rFonts w:eastAsia="Calibri"/>
                <w:sz w:val="22"/>
                <w:szCs w:val="22"/>
              </w:rPr>
              <w:t>N(14.2)</w:t>
            </w:r>
          </w:p>
        </w:tc>
        <w:tc>
          <w:tcPr>
            <w:tcW w:w="567" w:type="dxa"/>
          </w:tcPr>
          <w:p w14:paraId="091E9A69" w14:textId="77777777" w:rsidR="00AD1F54" w:rsidRPr="00264D5D" w:rsidRDefault="00941227">
            <w:pPr>
              <w:pStyle w:val="EBTablenorm"/>
              <w:ind w:left="57" w:right="57"/>
              <w:contextualSpacing w:val="0"/>
              <w:jc w:val="center"/>
              <w:rPr>
                <w:sz w:val="22"/>
                <w:szCs w:val="22"/>
              </w:rPr>
            </w:pPr>
            <w:r w:rsidRPr="00264D5D">
              <w:rPr>
                <w:sz w:val="22"/>
                <w:szCs w:val="22"/>
                <w:lang w:val="en-US"/>
              </w:rPr>
              <w:t>О</w:t>
            </w:r>
          </w:p>
        </w:tc>
        <w:tc>
          <w:tcPr>
            <w:tcW w:w="3963" w:type="dxa"/>
          </w:tcPr>
          <w:p w14:paraId="7616704E" w14:textId="77777777" w:rsidR="00AD1F54" w:rsidRPr="00264D5D" w:rsidRDefault="00941227">
            <w:pPr>
              <w:pStyle w:val="EBTableHead"/>
              <w:ind w:left="57" w:right="57"/>
              <w:contextualSpacing w:val="0"/>
              <w:jc w:val="both"/>
              <w:rPr>
                <w:b w:val="0"/>
                <w:sz w:val="22"/>
                <w:szCs w:val="22"/>
              </w:rPr>
            </w:pPr>
            <w:r w:rsidRPr="00264D5D">
              <w:rPr>
                <w:b w:val="0"/>
                <w:sz w:val="22"/>
                <w:szCs w:val="22"/>
              </w:rPr>
              <w:t>Итого по коду ОКС (ОКВ), КМИ.</w:t>
            </w:r>
          </w:p>
          <w:p w14:paraId="55DF4916" w14:textId="77777777" w:rsidR="00AD1F54" w:rsidRPr="00264D5D" w:rsidRDefault="00941227">
            <w:pPr>
              <w:pStyle w:val="EBTablenorm"/>
              <w:ind w:left="57" w:right="57"/>
              <w:contextualSpacing w:val="0"/>
              <w:rPr>
                <w:sz w:val="22"/>
                <w:szCs w:val="22"/>
              </w:rPr>
            </w:pPr>
            <w:r w:rsidRPr="00264D5D">
              <w:rPr>
                <w:sz w:val="22"/>
                <w:szCs w:val="22"/>
              </w:rPr>
              <w:t xml:space="preserve">Сумма за сентябрь. </w:t>
            </w:r>
          </w:p>
          <w:p w14:paraId="7203A86E" w14:textId="77777777" w:rsidR="00AD1F54" w:rsidRPr="00264D5D" w:rsidRDefault="007E37F3">
            <w:pPr>
              <w:pStyle w:val="EBTablenorm"/>
              <w:ind w:left="57" w:right="57"/>
              <w:contextualSpacing w:val="0"/>
              <w:rPr>
                <w:sz w:val="22"/>
                <w:szCs w:val="22"/>
              </w:rPr>
            </w:pPr>
            <w:r w:rsidRPr="00264D5D">
              <w:rPr>
                <w:sz w:val="22"/>
                <w:szCs w:val="22"/>
              </w:rPr>
              <w:t>При отсутствии указывается 0.00</w:t>
            </w:r>
          </w:p>
        </w:tc>
      </w:tr>
      <w:tr w:rsidR="00AD1F54" w:rsidRPr="00264D5D" w14:paraId="73A00A61"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64F2B2C2"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Сумма за октябрь</w:t>
            </w:r>
          </w:p>
        </w:tc>
        <w:tc>
          <w:tcPr>
            <w:tcW w:w="1701" w:type="dxa"/>
          </w:tcPr>
          <w:p w14:paraId="4DC0B303" w14:textId="77777777" w:rsidR="00AD1F54" w:rsidRPr="00264D5D" w:rsidRDefault="00941227">
            <w:pPr>
              <w:pStyle w:val="EBTablenorm"/>
              <w:ind w:left="57" w:right="57"/>
              <w:contextualSpacing w:val="0"/>
              <w:rPr>
                <w:sz w:val="22"/>
                <w:szCs w:val="22"/>
                <w:lang w:val="en-US"/>
              </w:rPr>
            </w:pPr>
            <w:r w:rsidRPr="00264D5D">
              <w:rPr>
                <w:sz w:val="22"/>
                <w:szCs w:val="22"/>
                <w:lang w:val="en-US"/>
              </w:rPr>
              <w:t>SheduleSumInf_october</w:t>
            </w:r>
          </w:p>
        </w:tc>
        <w:tc>
          <w:tcPr>
            <w:tcW w:w="567" w:type="dxa"/>
          </w:tcPr>
          <w:p w14:paraId="74A06190"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47CBCB98" w14:textId="77777777" w:rsidR="00AD1F54" w:rsidRPr="00264D5D" w:rsidRDefault="00941227">
            <w:pPr>
              <w:pStyle w:val="EBTablenorm"/>
              <w:ind w:left="57" w:right="57"/>
              <w:contextualSpacing w:val="0"/>
              <w:jc w:val="left"/>
              <w:rPr>
                <w:sz w:val="22"/>
                <w:szCs w:val="22"/>
                <w:lang w:val="en-US"/>
              </w:rPr>
            </w:pPr>
            <w:r w:rsidRPr="00264D5D">
              <w:rPr>
                <w:rFonts w:eastAsia="Calibri"/>
                <w:sz w:val="22"/>
                <w:szCs w:val="22"/>
              </w:rPr>
              <w:t>N(14.2)</w:t>
            </w:r>
          </w:p>
        </w:tc>
        <w:tc>
          <w:tcPr>
            <w:tcW w:w="567" w:type="dxa"/>
          </w:tcPr>
          <w:p w14:paraId="704E70D7" w14:textId="77777777" w:rsidR="00AD1F54" w:rsidRPr="00264D5D" w:rsidRDefault="00941227">
            <w:pPr>
              <w:pStyle w:val="EBTablenorm"/>
              <w:ind w:left="57" w:right="57"/>
              <w:contextualSpacing w:val="0"/>
              <w:jc w:val="center"/>
              <w:rPr>
                <w:sz w:val="22"/>
                <w:szCs w:val="22"/>
                <w:lang w:val="en-US"/>
              </w:rPr>
            </w:pPr>
            <w:r w:rsidRPr="00264D5D">
              <w:rPr>
                <w:sz w:val="22"/>
                <w:szCs w:val="22"/>
                <w:lang w:val="en-US"/>
              </w:rPr>
              <w:t>О</w:t>
            </w:r>
          </w:p>
        </w:tc>
        <w:tc>
          <w:tcPr>
            <w:tcW w:w="3963" w:type="dxa"/>
          </w:tcPr>
          <w:p w14:paraId="0C4BD428" w14:textId="77777777" w:rsidR="00AD1F54" w:rsidRPr="00264D5D" w:rsidRDefault="00941227">
            <w:pPr>
              <w:pStyle w:val="EBTableHead"/>
              <w:ind w:left="57" w:right="57"/>
              <w:contextualSpacing w:val="0"/>
              <w:jc w:val="both"/>
              <w:rPr>
                <w:b w:val="0"/>
                <w:sz w:val="22"/>
                <w:szCs w:val="22"/>
              </w:rPr>
            </w:pPr>
            <w:r w:rsidRPr="00264D5D">
              <w:rPr>
                <w:b w:val="0"/>
                <w:sz w:val="22"/>
                <w:szCs w:val="22"/>
              </w:rPr>
              <w:t>Итого по коду ОКС (ОКВ), КМИ.</w:t>
            </w:r>
          </w:p>
          <w:p w14:paraId="5416B34F" w14:textId="77777777" w:rsidR="00AD1F54" w:rsidRPr="00264D5D" w:rsidRDefault="00941227">
            <w:pPr>
              <w:pStyle w:val="EBTablenorm"/>
              <w:ind w:left="57" w:right="57"/>
              <w:contextualSpacing w:val="0"/>
              <w:rPr>
                <w:sz w:val="22"/>
                <w:szCs w:val="22"/>
              </w:rPr>
            </w:pPr>
            <w:r w:rsidRPr="00264D5D">
              <w:rPr>
                <w:sz w:val="22"/>
                <w:szCs w:val="22"/>
              </w:rPr>
              <w:t>Сумма за октябрь.</w:t>
            </w:r>
          </w:p>
          <w:p w14:paraId="05E9C10F" w14:textId="77777777" w:rsidR="00AD1F54" w:rsidRPr="00264D5D" w:rsidRDefault="007E37F3">
            <w:pPr>
              <w:pStyle w:val="EBTablenorm"/>
              <w:ind w:left="57" w:right="57"/>
              <w:contextualSpacing w:val="0"/>
              <w:rPr>
                <w:sz w:val="22"/>
                <w:szCs w:val="22"/>
              </w:rPr>
            </w:pPr>
            <w:r w:rsidRPr="00264D5D">
              <w:rPr>
                <w:sz w:val="22"/>
                <w:szCs w:val="22"/>
              </w:rPr>
              <w:t>При отсутствии указывается 0.00</w:t>
            </w:r>
          </w:p>
        </w:tc>
      </w:tr>
      <w:tr w:rsidR="00AD1F54" w:rsidRPr="00264D5D" w14:paraId="4C90F545"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5DBB1257"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Сумма за ноябрь</w:t>
            </w:r>
          </w:p>
        </w:tc>
        <w:tc>
          <w:tcPr>
            <w:tcW w:w="1701" w:type="dxa"/>
          </w:tcPr>
          <w:p w14:paraId="6CBB6B0B" w14:textId="77777777" w:rsidR="00AD1F54" w:rsidRPr="00264D5D" w:rsidRDefault="00941227">
            <w:pPr>
              <w:pStyle w:val="EBTablenorm"/>
              <w:ind w:left="57" w:right="57"/>
              <w:contextualSpacing w:val="0"/>
              <w:rPr>
                <w:sz w:val="22"/>
                <w:szCs w:val="22"/>
                <w:lang w:val="en-US"/>
              </w:rPr>
            </w:pPr>
            <w:r w:rsidRPr="00264D5D">
              <w:rPr>
                <w:sz w:val="22"/>
                <w:szCs w:val="22"/>
                <w:lang w:val="en-US"/>
              </w:rPr>
              <w:t>SheduleSumInf_november</w:t>
            </w:r>
          </w:p>
        </w:tc>
        <w:tc>
          <w:tcPr>
            <w:tcW w:w="567" w:type="dxa"/>
          </w:tcPr>
          <w:p w14:paraId="6D068439"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2E0B6908" w14:textId="77777777" w:rsidR="00AD1F54" w:rsidRPr="00264D5D" w:rsidRDefault="00941227">
            <w:pPr>
              <w:pStyle w:val="EBTablenorm"/>
              <w:ind w:left="57" w:right="57"/>
              <w:contextualSpacing w:val="0"/>
              <w:jc w:val="left"/>
              <w:rPr>
                <w:sz w:val="22"/>
                <w:szCs w:val="22"/>
                <w:lang w:val="en-US"/>
              </w:rPr>
            </w:pPr>
            <w:r w:rsidRPr="00264D5D">
              <w:rPr>
                <w:rFonts w:eastAsia="Calibri"/>
                <w:sz w:val="22"/>
                <w:szCs w:val="22"/>
              </w:rPr>
              <w:t>N(14.2)</w:t>
            </w:r>
          </w:p>
        </w:tc>
        <w:tc>
          <w:tcPr>
            <w:tcW w:w="567" w:type="dxa"/>
          </w:tcPr>
          <w:p w14:paraId="06C92829" w14:textId="77777777" w:rsidR="00AD1F54" w:rsidRPr="00264D5D" w:rsidRDefault="00941227">
            <w:pPr>
              <w:pStyle w:val="EBTablenorm"/>
              <w:ind w:left="57" w:right="57"/>
              <w:contextualSpacing w:val="0"/>
              <w:jc w:val="center"/>
              <w:rPr>
                <w:sz w:val="22"/>
                <w:szCs w:val="22"/>
                <w:lang w:val="en-US"/>
              </w:rPr>
            </w:pPr>
            <w:r w:rsidRPr="00264D5D">
              <w:rPr>
                <w:sz w:val="22"/>
                <w:szCs w:val="22"/>
                <w:lang w:val="en-US"/>
              </w:rPr>
              <w:t>О</w:t>
            </w:r>
          </w:p>
        </w:tc>
        <w:tc>
          <w:tcPr>
            <w:tcW w:w="3963" w:type="dxa"/>
          </w:tcPr>
          <w:p w14:paraId="6E164E9C" w14:textId="77777777" w:rsidR="00AD1F54" w:rsidRPr="00264D5D" w:rsidRDefault="00941227">
            <w:pPr>
              <w:pStyle w:val="EBTableHead"/>
              <w:ind w:left="57" w:right="57"/>
              <w:contextualSpacing w:val="0"/>
              <w:jc w:val="both"/>
              <w:rPr>
                <w:b w:val="0"/>
                <w:sz w:val="22"/>
                <w:szCs w:val="22"/>
              </w:rPr>
            </w:pPr>
            <w:r w:rsidRPr="00264D5D">
              <w:rPr>
                <w:b w:val="0"/>
                <w:sz w:val="22"/>
                <w:szCs w:val="22"/>
              </w:rPr>
              <w:t>Итого по коду ОКС (ОКВ), КМИ.</w:t>
            </w:r>
          </w:p>
          <w:p w14:paraId="68D2ACD5" w14:textId="77777777" w:rsidR="00AD1F54" w:rsidRPr="00264D5D" w:rsidRDefault="00941227">
            <w:pPr>
              <w:pStyle w:val="EBTablenorm"/>
              <w:ind w:left="57" w:right="57"/>
              <w:contextualSpacing w:val="0"/>
              <w:rPr>
                <w:sz w:val="22"/>
                <w:szCs w:val="22"/>
              </w:rPr>
            </w:pPr>
            <w:r w:rsidRPr="00264D5D">
              <w:rPr>
                <w:sz w:val="22"/>
                <w:szCs w:val="22"/>
              </w:rPr>
              <w:t xml:space="preserve">Сумма за ноябрь. </w:t>
            </w:r>
          </w:p>
          <w:p w14:paraId="753D5273" w14:textId="77777777" w:rsidR="00AD1F54" w:rsidRPr="00264D5D" w:rsidRDefault="007E37F3">
            <w:pPr>
              <w:pStyle w:val="EBTablenorm"/>
              <w:ind w:left="57" w:right="57"/>
              <w:contextualSpacing w:val="0"/>
              <w:rPr>
                <w:sz w:val="22"/>
                <w:szCs w:val="22"/>
              </w:rPr>
            </w:pPr>
            <w:r w:rsidRPr="00264D5D">
              <w:rPr>
                <w:sz w:val="22"/>
                <w:szCs w:val="22"/>
              </w:rPr>
              <w:t>При отсутствии указывается 0.00</w:t>
            </w:r>
          </w:p>
        </w:tc>
      </w:tr>
      <w:tr w:rsidR="00AD1F54" w:rsidRPr="00264D5D" w14:paraId="17C4A978"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01E3CB1"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Сумма за декабрь</w:t>
            </w:r>
          </w:p>
        </w:tc>
        <w:tc>
          <w:tcPr>
            <w:tcW w:w="1701" w:type="dxa"/>
          </w:tcPr>
          <w:p w14:paraId="530B5054" w14:textId="77777777" w:rsidR="00AD1F54" w:rsidRPr="00264D5D" w:rsidRDefault="00941227">
            <w:pPr>
              <w:pStyle w:val="EBTablenorm"/>
              <w:ind w:left="57" w:right="57"/>
              <w:contextualSpacing w:val="0"/>
              <w:rPr>
                <w:sz w:val="22"/>
                <w:szCs w:val="22"/>
                <w:lang w:val="en-US"/>
              </w:rPr>
            </w:pPr>
            <w:r w:rsidRPr="00264D5D">
              <w:rPr>
                <w:sz w:val="22"/>
                <w:szCs w:val="22"/>
                <w:lang w:val="en-US"/>
              </w:rPr>
              <w:t>SheduleSumInf_december</w:t>
            </w:r>
          </w:p>
        </w:tc>
        <w:tc>
          <w:tcPr>
            <w:tcW w:w="567" w:type="dxa"/>
          </w:tcPr>
          <w:p w14:paraId="7415946F"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7AEC5211" w14:textId="77777777" w:rsidR="00AD1F54" w:rsidRPr="00264D5D" w:rsidRDefault="00941227">
            <w:pPr>
              <w:pStyle w:val="EBTablenorm"/>
              <w:ind w:left="57" w:right="57"/>
              <w:contextualSpacing w:val="0"/>
              <w:jc w:val="left"/>
              <w:rPr>
                <w:sz w:val="22"/>
                <w:szCs w:val="22"/>
                <w:lang w:val="en-US"/>
              </w:rPr>
            </w:pPr>
            <w:r w:rsidRPr="00264D5D">
              <w:rPr>
                <w:rFonts w:eastAsia="Calibri"/>
                <w:sz w:val="22"/>
                <w:szCs w:val="22"/>
              </w:rPr>
              <w:t>N(14.2)</w:t>
            </w:r>
          </w:p>
        </w:tc>
        <w:tc>
          <w:tcPr>
            <w:tcW w:w="567" w:type="dxa"/>
          </w:tcPr>
          <w:p w14:paraId="57155E2B" w14:textId="77777777" w:rsidR="00AD1F54" w:rsidRPr="00264D5D" w:rsidRDefault="00941227">
            <w:pPr>
              <w:pStyle w:val="EBTablenorm"/>
              <w:ind w:left="57" w:right="57"/>
              <w:contextualSpacing w:val="0"/>
              <w:jc w:val="center"/>
              <w:rPr>
                <w:sz w:val="22"/>
                <w:szCs w:val="22"/>
                <w:lang w:val="en-US"/>
              </w:rPr>
            </w:pPr>
            <w:r w:rsidRPr="00264D5D">
              <w:rPr>
                <w:sz w:val="22"/>
                <w:szCs w:val="22"/>
                <w:lang w:val="en-US"/>
              </w:rPr>
              <w:t>О</w:t>
            </w:r>
          </w:p>
        </w:tc>
        <w:tc>
          <w:tcPr>
            <w:tcW w:w="3963" w:type="dxa"/>
          </w:tcPr>
          <w:p w14:paraId="69CA8B88" w14:textId="77777777" w:rsidR="00AD1F54" w:rsidRPr="00264D5D" w:rsidRDefault="00941227">
            <w:pPr>
              <w:pStyle w:val="EBTableHead"/>
              <w:ind w:left="57" w:right="57"/>
              <w:contextualSpacing w:val="0"/>
              <w:jc w:val="both"/>
              <w:rPr>
                <w:b w:val="0"/>
                <w:sz w:val="22"/>
                <w:szCs w:val="22"/>
              </w:rPr>
            </w:pPr>
            <w:r w:rsidRPr="00264D5D">
              <w:rPr>
                <w:b w:val="0"/>
                <w:sz w:val="22"/>
                <w:szCs w:val="22"/>
              </w:rPr>
              <w:t>Итого по коду ОКС (ОКВ), КМИ.</w:t>
            </w:r>
          </w:p>
          <w:p w14:paraId="1A57E089" w14:textId="77777777" w:rsidR="00AD1F54" w:rsidRPr="00264D5D" w:rsidRDefault="00941227">
            <w:pPr>
              <w:pStyle w:val="EBTablenorm"/>
              <w:ind w:left="57" w:right="57"/>
              <w:contextualSpacing w:val="0"/>
              <w:rPr>
                <w:sz w:val="22"/>
                <w:szCs w:val="22"/>
              </w:rPr>
            </w:pPr>
            <w:r w:rsidRPr="00264D5D">
              <w:rPr>
                <w:sz w:val="22"/>
                <w:szCs w:val="22"/>
              </w:rPr>
              <w:t xml:space="preserve">Сумма за декабрь. </w:t>
            </w:r>
          </w:p>
          <w:p w14:paraId="384DB279" w14:textId="77777777" w:rsidR="00AD1F54" w:rsidRPr="00264D5D" w:rsidRDefault="007E37F3">
            <w:pPr>
              <w:pStyle w:val="EBTablenorm"/>
              <w:ind w:left="57" w:right="57"/>
              <w:contextualSpacing w:val="0"/>
              <w:rPr>
                <w:sz w:val="22"/>
                <w:szCs w:val="22"/>
              </w:rPr>
            </w:pPr>
            <w:r w:rsidRPr="00264D5D">
              <w:rPr>
                <w:sz w:val="22"/>
                <w:szCs w:val="22"/>
              </w:rPr>
              <w:t>При отсутствии указывается 0.00</w:t>
            </w:r>
          </w:p>
        </w:tc>
      </w:tr>
      <w:tr w:rsidR="00AD1F54" w:rsidRPr="00264D5D" w14:paraId="7A4399A1"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EA62E71"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Cумма на текущий финансовый год</w:t>
            </w:r>
          </w:p>
        </w:tc>
        <w:tc>
          <w:tcPr>
            <w:tcW w:w="1701" w:type="dxa"/>
          </w:tcPr>
          <w:p w14:paraId="78509AAF" w14:textId="77777777" w:rsidR="00AD1F54" w:rsidRPr="00264D5D" w:rsidRDefault="00941227">
            <w:pPr>
              <w:pStyle w:val="EBTablenorm"/>
              <w:ind w:left="57" w:right="57"/>
              <w:contextualSpacing w:val="0"/>
              <w:rPr>
                <w:sz w:val="22"/>
                <w:szCs w:val="22"/>
                <w:lang w:val="en-US"/>
              </w:rPr>
            </w:pPr>
            <w:r w:rsidRPr="00264D5D">
              <w:rPr>
                <w:sz w:val="22"/>
                <w:szCs w:val="22"/>
                <w:lang w:val="en-US"/>
              </w:rPr>
              <w:t>yearSum</w:t>
            </w:r>
          </w:p>
        </w:tc>
        <w:tc>
          <w:tcPr>
            <w:tcW w:w="567" w:type="dxa"/>
          </w:tcPr>
          <w:p w14:paraId="474B32AB"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2AE3B725" w14:textId="77777777" w:rsidR="00AD1F54" w:rsidRPr="00264D5D" w:rsidRDefault="00941227">
            <w:pPr>
              <w:pStyle w:val="EBTablenorm"/>
              <w:ind w:left="57" w:right="57"/>
              <w:contextualSpacing w:val="0"/>
              <w:jc w:val="left"/>
              <w:rPr>
                <w:sz w:val="22"/>
                <w:szCs w:val="22"/>
                <w:lang w:val="en-US"/>
              </w:rPr>
            </w:pPr>
            <w:r w:rsidRPr="00264D5D">
              <w:rPr>
                <w:rFonts w:eastAsia="Calibri"/>
                <w:sz w:val="22"/>
                <w:szCs w:val="22"/>
              </w:rPr>
              <w:t>N(14.2)</w:t>
            </w:r>
          </w:p>
        </w:tc>
        <w:tc>
          <w:tcPr>
            <w:tcW w:w="567" w:type="dxa"/>
          </w:tcPr>
          <w:p w14:paraId="7CF5C4EE" w14:textId="77777777" w:rsidR="00AD1F54" w:rsidRPr="00264D5D" w:rsidRDefault="00941227">
            <w:pPr>
              <w:pStyle w:val="EBTablenorm"/>
              <w:ind w:left="57" w:right="57"/>
              <w:contextualSpacing w:val="0"/>
              <w:jc w:val="center"/>
              <w:rPr>
                <w:sz w:val="22"/>
                <w:szCs w:val="22"/>
                <w:lang w:val="en-US"/>
              </w:rPr>
            </w:pPr>
            <w:r w:rsidRPr="00264D5D">
              <w:rPr>
                <w:sz w:val="22"/>
                <w:szCs w:val="22"/>
              </w:rPr>
              <w:t>О</w:t>
            </w:r>
          </w:p>
        </w:tc>
        <w:tc>
          <w:tcPr>
            <w:tcW w:w="3963" w:type="dxa"/>
          </w:tcPr>
          <w:p w14:paraId="7B90CB07" w14:textId="77777777" w:rsidR="00AD1F54" w:rsidRPr="00264D5D" w:rsidRDefault="00941227">
            <w:pPr>
              <w:pStyle w:val="EBTableHead"/>
              <w:ind w:left="57" w:right="57"/>
              <w:contextualSpacing w:val="0"/>
              <w:jc w:val="both"/>
              <w:rPr>
                <w:b w:val="0"/>
                <w:sz w:val="22"/>
                <w:szCs w:val="22"/>
              </w:rPr>
            </w:pPr>
            <w:r w:rsidRPr="00264D5D">
              <w:rPr>
                <w:b w:val="0"/>
                <w:sz w:val="22"/>
                <w:szCs w:val="22"/>
              </w:rPr>
              <w:t>Итого по коду ОКС (ОКВ), КМИ.</w:t>
            </w:r>
          </w:p>
          <w:p w14:paraId="7CC9D362" w14:textId="77777777" w:rsidR="00AD1F54" w:rsidRPr="00264D5D" w:rsidRDefault="00941227">
            <w:pPr>
              <w:pStyle w:val="EBTablenorm"/>
              <w:ind w:left="57" w:right="57"/>
              <w:contextualSpacing w:val="0"/>
              <w:rPr>
                <w:sz w:val="22"/>
                <w:szCs w:val="22"/>
              </w:rPr>
            </w:pPr>
            <w:r w:rsidRPr="00264D5D">
              <w:rPr>
                <w:sz w:val="22"/>
                <w:szCs w:val="22"/>
              </w:rPr>
              <w:t>Cумма на текущий финанс</w:t>
            </w:r>
            <w:r w:rsidR="007E37F3" w:rsidRPr="00264D5D">
              <w:rPr>
                <w:sz w:val="22"/>
                <w:szCs w:val="22"/>
              </w:rPr>
              <w:t>овый год в валюте обязательства</w:t>
            </w:r>
            <w:r w:rsidR="002C4632" w:rsidRPr="00264D5D">
              <w:rPr>
                <w:sz w:val="22"/>
                <w:szCs w:val="22"/>
              </w:rPr>
              <w:t>.</w:t>
            </w:r>
          </w:p>
          <w:p w14:paraId="65BF62F1" w14:textId="77777777" w:rsidR="002C4632" w:rsidRPr="00264D5D" w:rsidRDefault="002C4632">
            <w:pPr>
              <w:pStyle w:val="EBTablenorm"/>
              <w:ind w:left="57" w:right="57"/>
              <w:contextualSpacing w:val="0"/>
              <w:rPr>
                <w:sz w:val="22"/>
                <w:szCs w:val="22"/>
              </w:rPr>
            </w:pPr>
            <w:r w:rsidRPr="00264D5D">
              <w:rPr>
                <w:sz w:val="22"/>
                <w:szCs w:val="22"/>
              </w:rPr>
              <w:t>При отсутствии указывается 0.00</w:t>
            </w:r>
          </w:p>
        </w:tc>
      </w:tr>
      <w:tr w:rsidR="00AD1F54" w:rsidRPr="00264D5D" w14:paraId="7CCE662A"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0E69ACC7"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Сумма на первый год планового периода</w:t>
            </w:r>
          </w:p>
        </w:tc>
        <w:tc>
          <w:tcPr>
            <w:tcW w:w="1701" w:type="dxa"/>
          </w:tcPr>
          <w:p w14:paraId="0716085E" w14:textId="77777777" w:rsidR="00AD1F54" w:rsidRPr="00264D5D" w:rsidRDefault="00941227">
            <w:pPr>
              <w:pStyle w:val="EBTablenorm"/>
              <w:ind w:left="57" w:right="57"/>
              <w:contextualSpacing w:val="0"/>
              <w:rPr>
                <w:sz w:val="22"/>
                <w:szCs w:val="22"/>
                <w:lang w:val="en-US"/>
              </w:rPr>
            </w:pPr>
            <w:r w:rsidRPr="00264D5D">
              <w:rPr>
                <w:sz w:val="22"/>
                <w:szCs w:val="22"/>
                <w:lang w:val="en-US"/>
              </w:rPr>
              <w:t>firstYearSum</w:t>
            </w:r>
          </w:p>
        </w:tc>
        <w:tc>
          <w:tcPr>
            <w:tcW w:w="567" w:type="dxa"/>
          </w:tcPr>
          <w:p w14:paraId="734BA8DB"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3899C7EE" w14:textId="77777777" w:rsidR="00AD1F54" w:rsidRPr="00264D5D" w:rsidRDefault="00941227">
            <w:pPr>
              <w:pStyle w:val="EBTablenorm"/>
              <w:ind w:left="57" w:right="57"/>
              <w:contextualSpacing w:val="0"/>
              <w:jc w:val="left"/>
              <w:rPr>
                <w:sz w:val="22"/>
                <w:szCs w:val="22"/>
              </w:rPr>
            </w:pPr>
            <w:r w:rsidRPr="00264D5D">
              <w:rPr>
                <w:rFonts w:eastAsia="Calibri"/>
                <w:sz w:val="22"/>
                <w:szCs w:val="22"/>
              </w:rPr>
              <w:t>N(14.2)</w:t>
            </w:r>
          </w:p>
        </w:tc>
        <w:tc>
          <w:tcPr>
            <w:tcW w:w="567" w:type="dxa"/>
          </w:tcPr>
          <w:p w14:paraId="7E97BE5D"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1E6EEBE0" w14:textId="77777777" w:rsidR="00AD1F54" w:rsidRPr="00264D5D" w:rsidRDefault="00941227">
            <w:pPr>
              <w:pStyle w:val="EBTableHead"/>
              <w:ind w:left="57" w:right="57"/>
              <w:contextualSpacing w:val="0"/>
              <w:jc w:val="both"/>
              <w:rPr>
                <w:b w:val="0"/>
                <w:sz w:val="22"/>
                <w:szCs w:val="22"/>
              </w:rPr>
            </w:pPr>
            <w:r w:rsidRPr="00264D5D">
              <w:rPr>
                <w:b w:val="0"/>
                <w:sz w:val="22"/>
                <w:szCs w:val="22"/>
              </w:rPr>
              <w:t>Итого по коду ОКС (ОКВ), КМИ.</w:t>
            </w:r>
          </w:p>
          <w:p w14:paraId="205BAE0B" w14:textId="77777777" w:rsidR="00AD1F54" w:rsidRPr="00264D5D" w:rsidRDefault="00941227">
            <w:pPr>
              <w:pStyle w:val="EBTablenorm"/>
              <w:ind w:left="57" w:right="57"/>
              <w:contextualSpacing w:val="0"/>
              <w:rPr>
                <w:sz w:val="22"/>
                <w:szCs w:val="22"/>
              </w:rPr>
            </w:pPr>
            <w:r w:rsidRPr="00264D5D">
              <w:rPr>
                <w:sz w:val="22"/>
                <w:szCs w:val="22"/>
              </w:rPr>
              <w:t xml:space="preserve">Сумма на первый год планового периода. </w:t>
            </w:r>
          </w:p>
          <w:p w14:paraId="7830A247" w14:textId="77777777" w:rsidR="00AD1F54" w:rsidRPr="00264D5D" w:rsidRDefault="007E37F3">
            <w:pPr>
              <w:pStyle w:val="EBTablenorm"/>
              <w:ind w:left="57" w:right="57"/>
              <w:contextualSpacing w:val="0"/>
              <w:rPr>
                <w:sz w:val="22"/>
                <w:szCs w:val="22"/>
              </w:rPr>
            </w:pPr>
            <w:r w:rsidRPr="00264D5D">
              <w:rPr>
                <w:sz w:val="22"/>
                <w:szCs w:val="22"/>
              </w:rPr>
              <w:t>При отсутствии указывается 0.00</w:t>
            </w:r>
          </w:p>
        </w:tc>
      </w:tr>
      <w:tr w:rsidR="00AD1F54" w:rsidRPr="00264D5D" w14:paraId="48F37622"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5325A83"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Сумма на второй год планового периода</w:t>
            </w:r>
          </w:p>
        </w:tc>
        <w:tc>
          <w:tcPr>
            <w:tcW w:w="1701" w:type="dxa"/>
          </w:tcPr>
          <w:p w14:paraId="47C713CE" w14:textId="77777777" w:rsidR="00AD1F54" w:rsidRPr="00264D5D" w:rsidRDefault="00941227">
            <w:pPr>
              <w:pStyle w:val="EBTablenorm"/>
              <w:ind w:left="57" w:right="57"/>
              <w:contextualSpacing w:val="0"/>
              <w:rPr>
                <w:sz w:val="22"/>
                <w:szCs w:val="22"/>
                <w:lang w:val="en-US"/>
              </w:rPr>
            </w:pPr>
            <w:r w:rsidRPr="00264D5D">
              <w:rPr>
                <w:sz w:val="22"/>
                <w:szCs w:val="22"/>
                <w:lang w:val="en-US"/>
              </w:rPr>
              <w:t>secondYearSum</w:t>
            </w:r>
          </w:p>
        </w:tc>
        <w:tc>
          <w:tcPr>
            <w:tcW w:w="567" w:type="dxa"/>
          </w:tcPr>
          <w:p w14:paraId="3B4F92DD"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76C1F7A2" w14:textId="77777777" w:rsidR="00AD1F54" w:rsidRPr="00264D5D" w:rsidRDefault="00941227">
            <w:pPr>
              <w:pStyle w:val="EBTablenorm"/>
              <w:ind w:left="57" w:right="57"/>
              <w:contextualSpacing w:val="0"/>
              <w:jc w:val="left"/>
              <w:rPr>
                <w:sz w:val="22"/>
                <w:szCs w:val="22"/>
              </w:rPr>
            </w:pPr>
            <w:r w:rsidRPr="00264D5D">
              <w:rPr>
                <w:rFonts w:eastAsia="Calibri"/>
                <w:sz w:val="22"/>
                <w:szCs w:val="22"/>
              </w:rPr>
              <w:t>N(14.2)</w:t>
            </w:r>
          </w:p>
        </w:tc>
        <w:tc>
          <w:tcPr>
            <w:tcW w:w="567" w:type="dxa"/>
          </w:tcPr>
          <w:p w14:paraId="0A45E968"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3717EF75" w14:textId="77777777" w:rsidR="00AD1F54" w:rsidRPr="00264D5D" w:rsidRDefault="00941227">
            <w:pPr>
              <w:pStyle w:val="EBTableHead"/>
              <w:ind w:left="57" w:right="57"/>
              <w:contextualSpacing w:val="0"/>
              <w:jc w:val="both"/>
              <w:rPr>
                <w:b w:val="0"/>
                <w:sz w:val="22"/>
                <w:szCs w:val="22"/>
              </w:rPr>
            </w:pPr>
            <w:r w:rsidRPr="00264D5D">
              <w:rPr>
                <w:b w:val="0"/>
                <w:sz w:val="22"/>
                <w:szCs w:val="22"/>
              </w:rPr>
              <w:t>Итого по коду ОКС (ОКВ), КМИ.</w:t>
            </w:r>
          </w:p>
          <w:p w14:paraId="2C4A2995" w14:textId="77777777" w:rsidR="00AD1F54" w:rsidRPr="00264D5D" w:rsidRDefault="00941227">
            <w:pPr>
              <w:pStyle w:val="EBTablenorm"/>
              <w:ind w:left="57" w:right="57"/>
              <w:contextualSpacing w:val="0"/>
              <w:rPr>
                <w:sz w:val="22"/>
                <w:szCs w:val="22"/>
              </w:rPr>
            </w:pPr>
            <w:r w:rsidRPr="00264D5D">
              <w:rPr>
                <w:sz w:val="22"/>
                <w:szCs w:val="22"/>
              </w:rPr>
              <w:t xml:space="preserve">Сумма на второй год планового периода. </w:t>
            </w:r>
          </w:p>
          <w:p w14:paraId="3429F6F2" w14:textId="77777777" w:rsidR="00AD1F54" w:rsidRPr="00264D5D" w:rsidRDefault="007E37F3">
            <w:pPr>
              <w:pStyle w:val="EBTablenorm"/>
              <w:ind w:left="57" w:right="57"/>
              <w:contextualSpacing w:val="0"/>
              <w:rPr>
                <w:sz w:val="22"/>
                <w:szCs w:val="22"/>
              </w:rPr>
            </w:pPr>
            <w:r w:rsidRPr="00264D5D">
              <w:rPr>
                <w:sz w:val="22"/>
                <w:szCs w:val="22"/>
              </w:rPr>
              <w:t>При отсутствии указывается 0.00</w:t>
            </w:r>
          </w:p>
        </w:tc>
      </w:tr>
      <w:tr w:rsidR="00AD1F54" w:rsidRPr="00264D5D" w14:paraId="78227241"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3F07D67C"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Сумма на третий год после текущего</w:t>
            </w:r>
          </w:p>
        </w:tc>
        <w:tc>
          <w:tcPr>
            <w:tcW w:w="1701" w:type="dxa"/>
          </w:tcPr>
          <w:p w14:paraId="2ABC2E9C" w14:textId="77777777" w:rsidR="00AD1F54" w:rsidRPr="00264D5D" w:rsidRDefault="00941227">
            <w:pPr>
              <w:pStyle w:val="EBTablenorm"/>
              <w:ind w:left="57" w:right="57"/>
              <w:contextualSpacing w:val="0"/>
              <w:rPr>
                <w:sz w:val="22"/>
                <w:szCs w:val="22"/>
                <w:lang w:val="en-US"/>
              </w:rPr>
            </w:pPr>
            <w:r w:rsidRPr="00264D5D">
              <w:rPr>
                <w:sz w:val="22"/>
                <w:szCs w:val="22"/>
                <w:lang w:val="en-US"/>
              </w:rPr>
              <w:t>thirdYearSum</w:t>
            </w:r>
          </w:p>
        </w:tc>
        <w:tc>
          <w:tcPr>
            <w:tcW w:w="567" w:type="dxa"/>
          </w:tcPr>
          <w:p w14:paraId="1054EF2A"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2567E597" w14:textId="77777777" w:rsidR="00AD1F54" w:rsidRPr="00264D5D" w:rsidRDefault="00941227">
            <w:pPr>
              <w:pStyle w:val="EBTablenorm"/>
              <w:ind w:left="57" w:right="57"/>
              <w:contextualSpacing w:val="0"/>
              <w:jc w:val="left"/>
              <w:rPr>
                <w:sz w:val="22"/>
                <w:szCs w:val="22"/>
              </w:rPr>
            </w:pPr>
            <w:r w:rsidRPr="00264D5D">
              <w:rPr>
                <w:rFonts w:eastAsia="Calibri"/>
                <w:sz w:val="22"/>
                <w:szCs w:val="22"/>
              </w:rPr>
              <w:t>N(14.2)</w:t>
            </w:r>
          </w:p>
        </w:tc>
        <w:tc>
          <w:tcPr>
            <w:tcW w:w="567" w:type="dxa"/>
          </w:tcPr>
          <w:p w14:paraId="1DDFA8B3"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2857A283" w14:textId="77777777" w:rsidR="00AD1F54" w:rsidRPr="00264D5D" w:rsidRDefault="00941227">
            <w:pPr>
              <w:pStyle w:val="EBTableHead"/>
              <w:ind w:left="57" w:right="57"/>
              <w:contextualSpacing w:val="0"/>
              <w:jc w:val="both"/>
              <w:rPr>
                <w:b w:val="0"/>
                <w:sz w:val="22"/>
                <w:szCs w:val="22"/>
              </w:rPr>
            </w:pPr>
            <w:r w:rsidRPr="00264D5D">
              <w:rPr>
                <w:b w:val="0"/>
                <w:sz w:val="22"/>
                <w:szCs w:val="22"/>
              </w:rPr>
              <w:t>Итого по коду ОКС (ОКВ), КМИ.</w:t>
            </w:r>
          </w:p>
          <w:p w14:paraId="45023A01" w14:textId="77777777" w:rsidR="00AD1F54" w:rsidRPr="00264D5D" w:rsidRDefault="00941227">
            <w:pPr>
              <w:pStyle w:val="EBTablenorm"/>
              <w:ind w:left="57" w:right="57"/>
              <w:contextualSpacing w:val="0"/>
              <w:rPr>
                <w:sz w:val="22"/>
                <w:szCs w:val="22"/>
              </w:rPr>
            </w:pPr>
            <w:r w:rsidRPr="00264D5D">
              <w:rPr>
                <w:sz w:val="22"/>
                <w:szCs w:val="22"/>
              </w:rPr>
              <w:t xml:space="preserve">Сумма на третий год после текущего. </w:t>
            </w:r>
          </w:p>
          <w:p w14:paraId="01781DF8" w14:textId="77777777" w:rsidR="00AD1F54" w:rsidRPr="00264D5D" w:rsidRDefault="007E37F3">
            <w:pPr>
              <w:pStyle w:val="EBTablenorm"/>
              <w:ind w:left="57" w:right="57"/>
              <w:contextualSpacing w:val="0"/>
              <w:rPr>
                <w:sz w:val="22"/>
                <w:szCs w:val="22"/>
              </w:rPr>
            </w:pPr>
            <w:r w:rsidRPr="00264D5D">
              <w:rPr>
                <w:sz w:val="22"/>
                <w:szCs w:val="22"/>
              </w:rPr>
              <w:t>При отсутствии указывается 0.00</w:t>
            </w:r>
          </w:p>
        </w:tc>
      </w:tr>
      <w:tr w:rsidR="00AD1F54" w:rsidRPr="00264D5D" w14:paraId="3F5E66C5"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5C862C89"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Сумма на последующие годы</w:t>
            </w:r>
          </w:p>
        </w:tc>
        <w:tc>
          <w:tcPr>
            <w:tcW w:w="1701" w:type="dxa"/>
          </w:tcPr>
          <w:p w14:paraId="226771FE" w14:textId="77777777" w:rsidR="00AD1F54" w:rsidRPr="00264D5D" w:rsidRDefault="00941227">
            <w:pPr>
              <w:pStyle w:val="EBTablenorm"/>
              <w:ind w:left="57" w:right="57"/>
              <w:contextualSpacing w:val="0"/>
              <w:rPr>
                <w:sz w:val="22"/>
                <w:szCs w:val="22"/>
                <w:lang w:val="en-US"/>
              </w:rPr>
            </w:pPr>
            <w:r w:rsidRPr="00264D5D">
              <w:rPr>
                <w:sz w:val="22"/>
                <w:szCs w:val="22"/>
                <w:lang w:val="en-US"/>
              </w:rPr>
              <w:t>followingYearsSum</w:t>
            </w:r>
          </w:p>
        </w:tc>
        <w:tc>
          <w:tcPr>
            <w:tcW w:w="567" w:type="dxa"/>
          </w:tcPr>
          <w:p w14:paraId="758CD82A"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374DBA9F" w14:textId="77777777" w:rsidR="00AD1F54" w:rsidRPr="00264D5D" w:rsidRDefault="00941227">
            <w:pPr>
              <w:pStyle w:val="EBTablenorm"/>
              <w:ind w:left="57" w:right="57"/>
              <w:contextualSpacing w:val="0"/>
              <w:jc w:val="left"/>
              <w:rPr>
                <w:sz w:val="22"/>
                <w:szCs w:val="22"/>
              </w:rPr>
            </w:pPr>
            <w:r w:rsidRPr="00264D5D">
              <w:rPr>
                <w:rFonts w:eastAsia="Calibri"/>
                <w:sz w:val="22"/>
                <w:szCs w:val="22"/>
              </w:rPr>
              <w:t>N(14.2)</w:t>
            </w:r>
          </w:p>
        </w:tc>
        <w:tc>
          <w:tcPr>
            <w:tcW w:w="567" w:type="dxa"/>
          </w:tcPr>
          <w:p w14:paraId="3BFD26E0"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79C9334B" w14:textId="77777777" w:rsidR="00AD1F54" w:rsidRPr="00264D5D" w:rsidRDefault="00941227">
            <w:pPr>
              <w:pStyle w:val="EBTableHead"/>
              <w:ind w:left="57" w:right="57"/>
              <w:contextualSpacing w:val="0"/>
              <w:jc w:val="both"/>
              <w:rPr>
                <w:b w:val="0"/>
                <w:sz w:val="22"/>
                <w:szCs w:val="22"/>
              </w:rPr>
            </w:pPr>
            <w:r w:rsidRPr="00264D5D">
              <w:rPr>
                <w:b w:val="0"/>
                <w:sz w:val="22"/>
                <w:szCs w:val="22"/>
              </w:rPr>
              <w:t>Итого по коду ОКС (ОКВ), КМИ.</w:t>
            </w:r>
          </w:p>
          <w:p w14:paraId="36C1AEDF" w14:textId="77777777" w:rsidR="00AD1F54" w:rsidRPr="00264D5D" w:rsidRDefault="00941227">
            <w:pPr>
              <w:pStyle w:val="EBTablenorm"/>
              <w:ind w:left="57" w:right="57"/>
              <w:contextualSpacing w:val="0"/>
              <w:rPr>
                <w:sz w:val="22"/>
                <w:szCs w:val="22"/>
              </w:rPr>
            </w:pPr>
            <w:r w:rsidRPr="00264D5D">
              <w:rPr>
                <w:sz w:val="22"/>
                <w:szCs w:val="22"/>
              </w:rPr>
              <w:t xml:space="preserve">Сумма на последующие годы. </w:t>
            </w:r>
            <w:r w:rsidR="007E37F3" w:rsidRPr="00264D5D">
              <w:rPr>
                <w:sz w:val="22"/>
                <w:szCs w:val="22"/>
              </w:rPr>
              <w:t>При отсутствии указывается 0.00</w:t>
            </w:r>
          </w:p>
        </w:tc>
      </w:tr>
    </w:tbl>
    <w:p w14:paraId="23997187" w14:textId="77777777" w:rsidR="00AD1F54" w:rsidRPr="00264D5D" w:rsidRDefault="00941227">
      <w:pPr>
        <w:pStyle w:val="31"/>
      </w:pPr>
      <w:bookmarkStart w:id="2069" w:name="_Toc493090508"/>
      <w:bookmarkStart w:id="2070" w:name="_Toc496984047"/>
      <w:bookmarkStart w:id="2071" w:name="_Toc219309680"/>
      <w:r w:rsidRPr="00264D5D">
        <w:t>Описание комплексного типа «tSheduleKbkInf»</w:t>
      </w:r>
      <w:bookmarkEnd w:id="2069"/>
      <w:bookmarkEnd w:id="2070"/>
      <w:bookmarkEnd w:id="2071"/>
    </w:p>
    <w:p w14:paraId="50A51957" w14:textId="77777777" w:rsidR="00AD1F54" w:rsidRPr="00264D5D" w:rsidRDefault="00941227">
      <w:pPr>
        <w:spacing w:before="60" w:after="120"/>
        <w:ind w:firstLine="567"/>
        <w:rPr>
          <w:rFonts w:eastAsia="Calibri"/>
          <w:szCs w:val="24"/>
        </w:rPr>
      </w:pPr>
      <w:r w:rsidRPr="00264D5D">
        <w:rPr>
          <w:rFonts w:eastAsia="Calibri"/>
          <w:szCs w:val="24"/>
        </w:rPr>
        <w:t xml:space="preserve">Описание комплексного типа </w:t>
      </w:r>
      <w:r w:rsidRPr="00264D5D">
        <w:rPr>
          <w:szCs w:val="24"/>
        </w:rPr>
        <w:t>«</w:t>
      </w:r>
      <w:r w:rsidRPr="00264D5D">
        <w:rPr>
          <w:szCs w:val="24"/>
          <w:lang w:val="en-US"/>
        </w:rPr>
        <w:t>tSheduleKbkInf</w:t>
      </w:r>
      <w:r w:rsidRPr="00264D5D">
        <w:rPr>
          <w:szCs w:val="24"/>
        </w:rPr>
        <w:t xml:space="preserve">» </w:t>
      </w:r>
      <w:r w:rsidRPr="00264D5D">
        <w:t>блока «</w:t>
      </w:r>
      <w:r w:rsidRPr="00264D5D">
        <w:rPr>
          <w:szCs w:val="24"/>
        </w:rPr>
        <w:t>График перечисления субсидии, бюджетных инвестиций»</w:t>
      </w:r>
      <w:r w:rsidRPr="00264D5D">
        <w:rPr>
          <w:rFonts w:eastAsia="Calibri"/>
          <w:szCs w:val="24"/>
        </w:rPr>
        <w:t>.</w:t>
      </w:r>
    </w:p>
    <w:p w14:paraId="68C9FB84" w14:textId="6338064E" w:rsidR="00AD1F54" w:rsidRPr="00264D5D" w:rsidRDefault="00941227">
      <w:pPr>
        <w:pStyle w:val="GOSTNameTable"/>
        <w:numPr>
          <w:ilvl w:val="0"/>
          <w:numId w:val="2"/>
        </w:numPr>
        <w:ind w:left="425" w:hanging="357"/>
        <w:rPr>
          <w:rFonts w:eastAsia="Calibri"/>
          <w:szCs w:val="24"/>
        </w:rPr>
      </w:pPr>
      <w:r w:rsidRPr="00264D5D">
        <w:rPr>
          <w:rFonts w:eastAsia="Calibri"/>
          <w:szCs w:val="24"/>
        </w:rPr>
        <w:lastRenderedPageBreak/>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2072" w:name="_Ref494366089"/>
      <w:bookmarkStart w:id="2073" w:name="_Toc30503397"/>
      <w:bookmarkStart w:id="2074" w:name="_Toc30507995"/>
      <w:bookmarkStart w:id="2075" w:name="_Toc219309248"/>
      <w:r w:rsidR="008D797C">
        <w:rPr>
          <w:rFonts w:eastAsia="Calibri"/>
          <w:noProof/>
          <w:szCs w:val="24"/>
        </w:rPr>
        <w:t>218</w:t>
      </w:r>
      <w:bookmarkEnd w:id="2072"/>
      <w:r w:rsidRPr="00264D5D">
        <w:rPr>
          <w:rFonts w:eastAsia="Calibri"/>
          <w:szCs w:val="24"/>
        </w:rPr>
        <w:fldChar w:fldCharType="end"/>
      </w:r>
      <w:r w:rsidRPr="00264D5D">
        <w:rPr>
          <w:rFonts w:eastAsia="Calibri"/>
          <w:szCs w:val="24"/>
        </w:rPr>
        <w:t xml:space="preserve"> – Описание комплексного типа «tSheduleKbkInf»</w:t>
      </w:r>
      <w:bookmarkEnd w:id="2073"/>
      <w:bookmarkEnd w:id="2074"/>
      <w:bookmarkEnd w:id="2075"/>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49FBBECF"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27C2D9C9" w14:textId="77777777" w:rsidR="00AD1F54" w:rsidRPr="00264D5D" w:rsidRDefault="00941227">
            <w:pPr>
              <w:pStyle w:val="EBTableHead"/>
              <w:ind w:left="57" w:right="57"/>
              <w:contextualSpacing w:val="0"/>
              <w:rPr>
                <w:sz w:val="22"/>
                <w:szCs w:val="22"/>
              </w:rPr>
            </w:pPr>
            <w:r w:rsidRPr="00264D5D">
              <w:rPr>
                <w:bCs w:val="0"/>
                <w:sz w:val="22"/>
                <w:szCs w:val="22"/>
              </w:rPr>
              <w:t>Наименование элемента</w:t>
            </w:r>
          </w:p>
        </w:tc>
        <w:tc>
          <w:tcPr>
            <w:tcW w:w="1701" w:type="dxa"/>
          </w:tcPr>
          <w:p w14:paraId="7929BDE5" w14:textId="77777777" w:rsidR="00AD1F54" w:rsidRPr="00264D5D" w:rsidRDefault="00941227">
            <w:pPr>
              <w:pStyle w:val="EBTableHead"/>
              <w:ind w:left="57" w:right="57"/>
              <w:contextualSpacing w:val="0"/>
              <w:rPr>
                <w:sz w:val="22"/>
                <w:szCs w:val="22"/>
              </w:rPr>
            </w:pPr>
            <w:r w:rsidRPr="00264D5D">
              <w:rPr>
                <w:bCs w:val="0"/>
                <w:sz w:val="22"/>
                <w:szCs w:val="22"/>
              </w:rPr>
              <w:t>Сокращенное наименование (код) элемента</w:t>
            </w:r>
          </w:p>
        </w:tc>
        <w:tc>
          <w:tcPr>
            <w:tcW w:w="567" w:type="dxa"/>
          </w:tcPr>
          <w:p w14:paraId="5166FE24" w14:textId="77777777" w:rsidR="00AD1F54" w:rsidRPr="00264D5D" w:rsidRDefault="00941227">
            <w:pPr>
              <w:pStyle w:val="EBTableHead"/>
              <w:ind w:left="57" w:right="57"/>
              <w:contextualSpacing w:val="0"/>
              <w:rPr>
                <w:sz w:val="22"/>
                <w:szCs w:val="22"/>
              </w:rPr>
            </w:pPr>
            <w:r w:rsidRPr="00264D5D">
              <w:rPr>
                <w:bCs w:val="0"/>
                <w:sz w:val="22"/>
                <w:szCs w:val="22"/>
              </w:rPr>
              <w:t>Тип</w:t>
            </w:r>
          </w:p>
        </w:tc>
        <w:tc>
          <w:tcPr>
            <w:tcW w:w="1134" w:type="dxa"/>
          </w:tcPr>
          <w:p w14:paraId="77307FF8" w14:textId="77777777" w:rsidR="00AD1F54" w:rsidRPr="00264D5D" w:rsidRDefault="00941227">
            <w:pPr>
              <w:pStyle w:val="EBTableHead"/>
              <w:ind w:left="57" w:right="57"/>
              <w:contextualSpacing w:val="0"/>
              <w:rPr>
                <w:sz w:val="22"/>
                <w:szCs w:val="22"/>
              </w:rPr>
            </w:pPr>
            <w:r w:rsidRPr="00264D5D">
              <w:rPr>
                <w:bCs w:val="0"/>
                <w:sz w:val="22"/>
                <w:szCs w:val="22"/>
              </w:rPr>
              <w:t>Формат элемента</w:t>
            </w:r>
          </w:p>
        </w:tc>
        <w:tc>
          <w:tcPr>
            <w:tcW w:w="567" w:type="dxa"/>
          </w:tcPr>
          <w:p w14:paraId="1AAA4595" w14:textId="77777777" w:rsidR="00AD1F54" w:rsidRPr="00264D5D" w:rsidRDefault="00941227">
            <w:pPr>
              <w:spacing w:before="60" w:after="60"/>
              <w:ind w:left="57" w:right="57"/>
              <w:jc w:val="center"/>
              <w:rPr>
                <w:b/>
                <w:bCs/>
                <w:sz w:val="22"/>
                <w:szCs w:val="22"/>
              </w:rPr>
            </w:pPr>
            <w:r w:rsidRPr="00264D5D">
              <w:rPr>
                <w:b/>
                <w:bCs/>
                <w:sz w:val="22"/>
                <w:szCs w:val="22"/>
              </w:rPr>
              <w:t>Обязательность</w:t>
            </w:r>
          </w:p>
        </w:tc>
        <w:tc>
          <w:tcPr>
            <w:tcW w:w="3963" w:type="dxa"/>
          </w:tcPr>
          <w:p w14:paraId="113C1B9B" w14:textId="77777777" w:rsidR="00AD1F54" w:rsidRPr="00264D5D" w:rsidRDefault="00941227">
            <w:pPr>
              <w:pStyle w:val="EBTableHead"/>
              <w:ind w:left="57" w:right="57"/>
              <w:contextualSpacing w:val="0"/>
              <w:rPr>
                <w:sz w:val="22"/>
                <w:szCs w:val="22"/>
              </w:rPr>
            </w:pPr>
            <w:r w:rsidRPr="00264D5D">
              <w:rPr>
                <w:bCs w:val="0"/>
                <w:sz w:val="22"/>
                <w:szCs w:val="22"/>
              </w:rPr>
              <w:t>Дополнительная информация</w:t>
            </w:r>
          </w:p>
        </w:tc>
      </w:tr>
      <w:tr w:rsidR="00AD1F54" w:rsidRPr="00264D5D" w14:paraId="1AFFEDD2"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59D3D933" w14:textId="77777777" w:rsidR="00AD1F54" w:rsidRPr="00264D5D" w:rsidRDefault="00941227">
            <w:pPr>
              <w:pStyle w:val="EBTablenorm"/>
              <w:ind w:left="57" w:right="57"/>
              <w:contextualSpacing w:val="0"/>
              <w:rPr>
                <w:sz w:val="22"/>
                <w:szCs w:val="22"/>
              </w:rPr>
            </w:pPr>
            <w:r w:rsidRPr="00264D5D">
              <w:rPr>
                <w:sz w:val="22"/>
                <w:szCs w:val="22"/>
              </w:rPr>
              <w:t>КБК</w:t>
            </w:r>
          </w:p>
        </w:tc>
        <w:tc>
          <w:tcPr>
            <w:tcW w:w="1701" w:type="dxa"/>
          </w:tcPr>
          <w:p w14:paraId="2F4056BD" w14:textId="77777777" w:rsidR="00AD1F54" w:rsidRPr="00264D5D" w:rsidRDefault="00941227">
            <w:pPr>
              <w:pStyle w:val="EBTablenorm"/>
              <w:ind w:left="57" w:right="57"/>
              <w:contextualSpacing w:val="0"/>
              <w:rPr>
                <w:sz w:val="22"/>
                <w:szCs w:val="22"/>
                <w:lang w:val="en-US"/>
              </w:rPr>
            </w:pPr>
            <w:r w:rsidRPr="00264D5D">
              <w:rPr>
                <w:sz w:val="22"/>
                <w:szCs w:val="22"/>
                <w:lang w:val="en-US"/>
              </w:rPr>
              <w:t>SheduleKbk</w:t>
            </w:r>
          </w:p>
        </w:tc>
        <w:tc>
          <w:tcPr>
            <w:tcW w:w="567" w:type="dxa"/>
          </w:tcPr>
          <w:p w14:paraId="524C6900"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586504C2"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Т(20)</w:t>
            </w:r>
          </w:p>
        </w:tc>
        <w:tc>
          <w:tcPr>
            <w:tcW w:w="567" w:type="dxa"/>
          </w:tcPr>
          <w:p w14:paraId="36746590" w14:textId="77777777" w:rsidR="00AD1F54" w:rsidRPr="00264D5D" w:rsidRDefault="00941227">
            <w:pPr>
              <w:pStyle w:val="EBTablenorm"/>
              <w:ind w:left="57" w:right="57"/>
              <w:contextualSpacing w:val="0"/>
              <w:jc w:val="center"/>
              <w:rPr>
                <w:sz w:val="22"/>
                <w:szCs w:val="22"/>
                <w:lang w:val="en-US"/>
              </w:rPr>
            </w:pPr>
            <w:r w:rsidRPr="00264D5D">
              <w:rPr>
                <w:sz w:val="22"/>
                <w:szCs w:val="22"/>
                <w:lang w:val="en-US"/>
              </w:rPr>
              <w:t>О</w:t>
            </w:r>
          </w:p>
        </w:tc>
        <w:tc>
          <w:tcPr>
            <w:tcW w:w="3963" w:type="dxa"/>
          </w:tcPr>
          <w:p w14:paraId="2A690C0C" w14:textId="77777777" w:rsidR="00AD1F54" w:rsidRPr="00264D5D" w:rsidRDefault="00941227">
            <w:pPr>
              <w:pStyle w:val="EBTablenorm"/>
              <w:ind w:left="57" w:right="57"/>
              <w:contextualSpacing w:val="0"/>
              <w:rPr>
                <w:sz w:val="22"/>
                <w:szCs w:val="22"/>
              </w:rPr>
            </w:pPr>
            <w:r w:rsidRPr="00264D5D">
              <w:rPr>
                <w:sz w:val="22"/>
                <w:szCs w:val="22"/>
              </w:rPr>
              <w:t>Код классификации расходов федерального бюджета (КБК) указывается в соответствии с Приказом Минфина России от 01.07.2013 №</w:t>
            </w:r>
            <w:r w:rsidRPr="00264D5D">
              <w:rPr>
                <w:sz w:val="22"/>
                <w:szCs w:val="22"/>
                <w:lang w:val="en-US"/>
              </w:rPr>
              <w:t> </w:t>
            </w:r>
            <w:r w:rsidRPr="00264D5D">
              <w:rPr>
                <w:sz w:val="22"/>
                <w:szCs w:val="22"/>
              </w:rPr>
              <w:t>65н «Об утверждении Указаний о порядке применения бюджетной клас</w:t>
            </w:r>
            <w:r w:rsidR="007E37F3" w:rsidRPr="00264D5D">
              <w:rPr>
                <w:sz w:val="22"/>
                <w:szCs w:val="22"/>
              </w:rPr>
              <w:t>сификации Российской Федерации»</w:t>
            </w:r>
          </w:p>
        </w:tc>
      </w:tr>
      <w:tr w:rsidR="00AD1F54" w:rsidRPr="00264D5D" w14:paraId="53E759F0"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67535360" w14:textId="77777777" w:rsidR="00AD1F54" w:rsidRPr="00264D5D" w:rsidRDefault="00941227">
            <w:pPr>
              <w:pStyle w:val="EBTablenorm"/>
              <w:ind w:left="57" w:right="57"/>
              <w:contextualSpacing w:val="0"/>
              <w:rPr>
                <w:sz w:val="22"/>
                <w:szCs w:val="22"/>
              </w:rPr>
            </w:pPr>
            <w:r w:rsidRPr="00264D5D">
              <w:rPr>
                <w:sz w:val="22"/>
                <w:szCs w:val="22"/>
              </w:rPr>
              <w:t>Наименование ОКС (ОКВ), КМИ)</w:t>
            </w:r>
          </w:p>
        </w:tc>
        <w:tc>
          <w:tcPr>
            <w:tcW w:w="1701" w:type="dxa"/>
          </w:tcPr>
          <w:p w14:paraId="02B26BA9" w14:textId="77777777" w:rsidR="00AD1F54" w:rsidRPr="00264D5D" w:rsidRDefault="00941227">
            <w:pPr>
              <w:pStyle w:val="EBTablenorm"/>
              <w:ind w:left="57" w:right="57"/>
              <w:contextualSpacing w:val="0"/>
              <w:rPr>
                <w:sz w:val="22"/>
                <w:szCs w:val="22"/>
                <w:lang w:val="en-US"/>
              </w:rPr>
            </w:pPr>
            <w:r w:rsidRPr="00264D5D">
              <w:rPr>
                <w:sz w:val="22"/>
                <w:szCs w:val="22"/>
                <w:lang w:val="en-US"/>
              </w:rPr>
              <w:t>FaipName</w:t>
            </w:r>
          </w:p>
        </w:tc>
        <w:tc>
          <w:tcPr>
            <w:tcW w:w="567" w:type="dxa"/>
          </w:tcPr>
          <w:p w14:paraId="11D8E772"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4933CAF8" w14:textId="77777777" w:rsidR="00AD1F54" w:rsidRPr="00264D5D" w:rsidRDefault="00941227">
            <w:pPr>
              <w:pStyle w:val="EBTablenorm"/>
              <w:ind w:left="57" w:right="57"/>
              <w:contextualSpacing w:val="0"/>
              <w:jc w:val="left"/>
              <w:rPr>
                <w:sz w:val="22"/>
                <w:szCs w:val="22"/>
              </w:rPr>
            </w:pPr>
            <w:r w:rsidRPr="00264D5D">
              <w:rPr>
                <w:sz w:val="22"/>
                <w:szCs w:val="22"/>
              </w:rPr>
              <w:t>Т(1-2000)</w:t>
            </w:r>
          </w:p>
        </w:tc>
        <w:tc>
          <w:tcPr>
            <w:tcW w:w="567" w:type="dxa"/>
          </w:tcPr>
          <w:p w14:paraId="62FE72AB" w14:textId="77777777" w:rsidR="00AD1F54" w:rsidRPr="00264D5D" w:rsidRDefault="00941227">
            <w:pPr>
              <w:pStyle w:val="EBTablenorm"/>
              <w:ind w:left="57" w:right="57"/>
              <w:contextualSpacing w:val="0"/>
              <w:jc w:val="center"/>
              <w:rPr>
                <w:sz w:val="22"/>
                <w:szCs w:val="22"/>
              </w:rPr>
            </w:pPr>
            <w:r w:rsidRPr="00264D5D">
              <w:rPr>
                <w:sz w:val="22"/>
                <w:szCs w:val="22"/>
              </w:rPr>
              <w:t>Н</w:t>
            </w:r>
          </w:p>
        </w:tc>
        <w:tc>
          <w:tcPr>
            <w:tcW w:w="3963" w:type="dxa"/>
          </w:tcPr>
          <w:p w14:paraId="5681FD82" w14:textId="77777777" w:rsidR="00AD1F54" w:rsidRPr="00264D5D" w:rsidRDefault="00941227">
            <w:pPr>
              <w:pStyle w:val="EBTablenorm"/>
              <w:ind w:left="57" w:right="57"/>
              <w:contextualSpacing w:val="0"/>
              <w:rPr>
                <w:sz w:val="22"/>
                <w:szCs w:val="22"/>
              </w:rPr>
            </w:pPr>
            <w:r w:rsidRPr="00264D5D">
              <w:rPr>
                <w:sz w:val="22"/>
                <w:szCs w:val="22"/>
              </w:rPr>
              <w:t>Наименов</w:t>
            </w:r>
            <w:r w:rsidR="007E37F3" w:rsidRPr="00264D5D">
              <w:rPr>
                <w:sz w:val="22"/>
                <w:szCs w:val="22"/>
              </w:rPr>
              <w:t>ание ОКС (ОКВ), КМИ</w:t>
            </w:r>
          </w:p>
        </w:tc>
      </w:tr>
      <w:tr w:rsidR="00AD1F54" w:rsidRPr="00264D5D" w14:paraId="72F7A2B6"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D7233BC" w14:textId="77777777" w:rsidR="00AD1F54" w:rsidRPr="00264D5D" w:rsidRDefault="00941227">
            <w:pPr>
              <w:pStyle w:val="EBTablenorm"/>
              <w:ind w:left="57" w:right="57"/>
              <w:contextualSpacing w:val="0"/>
              <w:rPr>
                <w:sz w:val="22"/>
                <w:szCs w:val="22"/>
                <w:lang w:val="en-US"/>
              </w:rPr>
            </w:pPr>
            <w:r w:rsidRPr="00264D5D">
              <w:rPr>
                <w:sz w:val="22"/>
                <w:szCs w:val="22"/>
              </w:rPr>
              <w:t>Код ОКС (ОКВ), КМИ</w:t>
            </w:r>
          </w:p>
        </w:tc>
        <w:tc>
          <w:tcPr>
            <w:tcW w:w="1701" w:type="dxa"/>
          </w:tcPr>
          <w:p w14:paraId="5137B48C" w14:textId="77777777" w:rsidR="00AD1F54" w:rsidRPr="00264D5D" w:rsidRDefault="00941227">
            <w:pPr>
              <w:pStyle w:val="EBTablenorm"/>
              <w:ind w:left="57" w:right="57"/>
              <w:contextualSpacing w:val="0"/>
              <w:rPr>
                <w:sz w:val="22"/>
                <w:szCs w:val="22"/>
                <w:lang w:val="en-US"/>
              </w:rPr>
            </w:pPr>
            <w:r w:rsidRPr="00264D5D">
              <w:rPr>
                <w:sz w:val="22"/>
                <w:szCs w:val="22"/>
                <w:lang w:val="en-US"/>
              </w:rPr>
              <w:t>FaipCode</w:t>
            </w:r>
          </w:p>
        </w:tc>
        <w:tc>
          <w:tcPr>
            <w:tcW w:w="567" w:type="dxa"/>
          </w:tcPr>
          <w:p w14:paraId="6116456F"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2E72A6B7" w14:textId="77777777" w:rsidR="00AD1F54" w:rsidRPr="00264D5D" w:rsidRDefault="00941227">
            <w:pPr>
              <w:pStyle w:val="EBTablenorm"/>
              <w:ind w:left="57" w:right="57"/>
              <w:contextualSpacing w:val="0"/>
              <w:jc w:val="left"/>
              <w:rPr>
                <w:sz w:val="22"/>
                <w:szCs w:val="22"/>
                <w:lang w:val="en-US"/>
              </w:rPr>
            </w:pPr>
            <w:r w:rsidRPr="00264D5D">
              <w:rPr>
                <w:sz w:val="22"/>
                <w:szCs w:val="22"/>
              </w:rPr>
              <w:t>Т(1-24)</w:t>
            </w:r>
          </w:p>
        </w:tc>
        <w:tc>
          <w:tcPr>
            <w:tcW w:w="567" w:type="dxa"/>
          </w:tcPr>
          <w:p w14:paraId="7F7289D3" w14:textId="77777777" w:rsidR="00AD1F54" w:rsidRPr="00264D5D" w:rsidRDefault="00941227">
            <w:pPr>
              <w:pStyle w:val="EBTablenorm"/>
              <w:ind w:left="57" w:right="57"/>
              <w:contextualSpacing w:val="0"/>
              <w:jc w:val="center"/>
              <w:rPr>
                <w:sz w:val="22"/>
                <w:szCs w:val="22"/>
                <w:lang w:val="en-US"/>
              </w:rPr>
            </w:pPr>
            <w:r w:rsidRPr="00264D5D">
              <w:rPr>
                <w:sz w:val="22"/>
                <w:szCs w:val="22"/>
              </w:rPr>
              <w:t>Н</w:t>
            </w:r>
          </w:p>
        </w:tc>
        <w:tc>
          <w:tcPr>
            <w:tcW w:w="3963" w:type="dxa"/>
          </w:tcPr>
          <w:p w14:paraId="681E7190" w14:textId="77777777" w:rsidR="00AD1F54" w:rsidRPr="00264D5D" w:rsidRDefault="00941227">
            <w:pPr>
              <w:pStyle w:val="EBTablenorm"/>
              <w:ind w:left="57" w:right="57"/>
              <w:contextualSpacing w:val="0"/>
              <w:rPr>
                <w:sz w:val="22"/>
                <w:szCs w:val="22"/>
              </w:rPr>
            </w:pPr>
            <w:r w:rsidRPr="00264D5D">
              <w:rPr>
                <w:sz w:val="22"/>
                <w:szCs w:val="22"/>
              </w:rPr>
              <w:t>Может указываться уникальный код объекта капитального строительства или объекта недвижимости, ко</w:t>
            </w:r>
            <w:r w:rsidR="007E37F3" w:rsidRPr="00264D5D">
              <w:rPr>
                <w:sz w:val="22"/>
                <w:szCs w:val="22"/>
              </w:rPr>
              <w:t>д мероприятия по информатизации</w:t>
            </w:r>
          </w:p>
        </w:tc>
      </w:tr>
      <w:tr w:rsidR="00AD1F54" w:rsidRPr="00264D5D" w14:paraId="4AED7576"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212A148F" w14:textId="77777777" w:rsidR="00AD1F54" w:rsidRPr="00264D5D" w:rsidRDefault="00941227">
            <w:pPr>
              <w:pStyle w:val="EBTablenorm"/>
              <w:ind w:left="57" w:right="57"/>
              <w:contextualSpacing w:val="0"/>
              <w:rPr>
                <w:sz w:val="22"/>
                <w:szCs w:val="22"/>
                <w:lang w:val="en-US"/>
              </w:rPr>
            </w:pPr>
            <w:r w:rsidRPr="00264D5D">
              <w:rPr>
                <w:sz w:val="22"/>
                <w:szCs w:val="22"/>
              </w:rPr>
              <w:t>Наименование вида средств</w:t>
            </w:r>
          </w:p>
        </w:tc>
        <w:tc>
          <w:tcPr>
            <w:tcW w:w="1701" w:type="dxa"/>
          </w:tcPr>
          <w:p w14:paraId="66636FEA" w14:textId="77777777" w:rsidR="00AD1F54" w:rsidRPr="00264D5D" w:rsidRDefault="00941227">
            <w:pPr>
              <w:pStyle w:val="EBTablenorm"/>
              <w:ind w:left="57" w:right="57"/>
              <w:contextualSpacing w:val="0"/>
              <w:rPr>
                <w:sz w:val="22"/>
                <w:szCs w:val="22"/>
                <w:lang w:val="en-US"/>
              </w:rPr>
            </w:pPr>
            <w:r w:rsidRPr="00264D5D">
              <w:rPr>
                <w:sz w:val="22"/>
                <w:szCs w:val="22"/>
                <w:lang w:val="en-US"/>
              </w:rPr>
              <w:t>SrrFin</w:t>
            </w:r>
          </w:p>
        </w:tc>
        <w:tc>
          <w:tcPr>
            <w:tcW w:w="567" w:type="dxa"/>
          </w:tcPr>
          <w:p w14:paraId="0FC9462B"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37959126" w14:textId="77777777" w:rsidR="00AD1F54" w:rsidRPr="00264D5D" w:rsidRDefault="00941227">
            <w:pPr>
              <w:pStyle w:val="EBTablenorm"/>
              <w:ind w:left="57" w:right="57"/>
              <w:contextualSpacing w:val="0"/>
              <w:jc w:val="left"/>
              <w:rPr>
                <w:sz w:val="22"/>
                <w:szCs w:val="22"/>
                <w:lang w:val="en-US"/>
              </w:rPr>
            </w:pPr>
            <w:r w:rsidRPr="00264D5D">
              <w:rPr>
                <w:sz w:val="22"/>
                <w:szCs w:val="22"/>
              </w:rPr>
              <w:t>Т(1)</w:t>
            </w:r>
          </w:p>
        </w:tc>
        <w:tc>
          <w:tcPr>
            <w:tcW w:w="567" w:type="dxa"/>
          </w:tcPr>
          <w:p w14:paraId="7FEE3B1D" w14:textId="77777777" w:rsidR="00AD1F54" w:rsidRPr="00264D5D" w:rsidRDefault="00941227">
            <w:pPr>
              <w:pStyle w:val="EBTablenorm"/>
              <w:ind w:left="57" w:right="57"/>
              <w:contextualSpacing w:val="0"/>
              <w:jc w:val="center"/>
              <w:rPr>
                <w:sz w:val="22"/>
                <w:szCs w:val="22"/>
                <w:lang w:val="en-US"/>
              </w:rPr>
            </w:pPr>
            <w:r w:rsidRPr="00264D5D">
              <w:rPr>
                <w:sz w:val="22"/>
                <w:szCs w:val="22"/>
              </w:rPr>
              <w:t>О</w:t>
            </w:r>
          </w:p>
        </w:tc>
        <w:tc>
          <w:tcPr>
            <w:tcW w:w="3963" w:type="dxa"/>
          </w:tcPr>
          <w:p w14:paraId="715EBF58" w14:textId="77777777" w:rsidR="00AD1F54" w:rsidRPr="00264D5D" w:rsidRDefault="00941227">
            <w:pPr>
              <w:pStyle w:val="EBTablenorm"/>
              <w:ind w:left="57" w:right="57"/>
              <w:contextualSpacing w:val="0"/>
              <w:rPr>
                <w:sz w:val="22"/>
                <w:szCs w:val="22"/>
              </w:rPr>
            </w:pPr>
            <w:r w:rsidRPr="00264D5D">
              <w:rPr>
                <w:sz w:val="22"/>
                <w:szCs w:val="22"/>
              </w:rPr>
              <w:t>Наименование вида средств. Допустимые значения:</w:t>
            </w:r>
          </w:p>
          <w:p w14:paraId="5ADF7DE4" w14:textId="77777777" w:rsidR="00AD1F54" w:rsidRPr="00264D5D" w:rsidRDefault="007E37F3" w:rsidP="00E7460C">
            <w:pPr>
              <w:pStyle w:val="EBTablenorm"/>
              <w:numPr>
                <w:ilvl w:val="0"/>
                <w:numId w:val="107"/>
              </w:numPr>
              <w:ind w:left="284" w:right="57" w:hanging="227"/>
              <w:contextualSpacing w:val="0"/>
              <w:rPr>
                <w:sz w:val="22"/>
                <w:szCs w:val="22"/>
              </w:rPr>
            </w:pPr>
            <w:r w:rsidRPr="00264D5D">
              <w:rPr>
                <w:sz w:val="22"/>
                <w:szCs w:val="22"/>
              </w:rPr>
              <w:t>«1» – средства бюджета</w:t>
            </w:r>
          </w:p>
        </w:tc>
      </w:tr>
      <w:tr w:rsidR="00AD1F54" w:rsidRPr="00264D5D" w14:paraId="41CF0FD1"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2BFFD59" w14:textId="77777777" w:rsidR="00AD1F54" w:rsidRPr="00264D5D" w:rsidRDefault="00941227">
            <w:pPr>
              <w:pStyle w:val="EBTablenorm"/>
              <w:ind w:left="57" w:right="57"/>
              <w:contextualSpacing w:val="0"/>
              <w:rPr>
                <w:sz w:val="22"/>
                <w:szCs w:val="22"/>
                <w:lang w:val="en-US"/>
              </w:rPr>
            </w:pPr>
            <w:r w:rsidRPr="00264D5D">
              <w:rPr>
                <w:sz w:val="22"/>
                <w:szCs w:val="22"/>
              </w:rPr>
              <w:t>Признак безусловности платежа</w:t>
            </w:r>
          </w:p>
        </w:tc>
        <w:tc>
          <w:tcPr>
            <w:tcW w:w="1701" w:type="dxa"/>
          </w:tcPr>
          <w:p w14:paraId="6A66EBC3" w14:textId="77777777" w:rsidR="00AD1F54" w:rsidRPr="00264D5D" w:rsidRDefault="00941227">
            <w:pPr>
              <w:pStyle w:val="EBTablenorm"/>
              <w:ind w:left="57" w:right="57"/>
              <w:contextualSpacing w:val="0"/>
              <w:rPr>
                <w:sz w:val="22"/>
                <w:szCs w:val="22"/>
                <w:lang w:val="en-US"/>
              </w:rPr>
            </w:pPr>
            <w:r w:rsidRPr="00264D5D">
              <w:rPr>
                <w:sz w:val="22"/>
                <w:szCs w:val="22"/>
                <w:lang w:val="en-US"/>
              </w:rPr>
              <w:t>PrznPl</w:t>
            </w:r>
          </w:p>
        </w:tc>
        <w:tc>
          <w:tcPr>
            <w:tcW w:w="567" w:type="dxa"/>
          </w:tcPr>
          <w:p w14:paraId="096F8D08"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178222AE" w14:textId="77777777" w:rsidR="00AD1F54" w:rsidRPr="00264D5D" w:rsidRDefault="00941227">
            <w:pPr>
              <w:pStyle w:val="EBTablenorm"/>
              <w:ind w:left="57" w:right="57"/>
              <w:contextualSpacing w:val="0"/>
              <w:jc w:val="left"/>
              <w:rPr>
                <w:sz w:val="22"/>
                <w:szCs w:val="22"/>
                <w:lang w:val="en-US"/>
              </w:rPr>
            </w:pPr>
            <w:r w:rsidRPr="00264D5D">
              <w:rPr>
                <w:sz w:val="22"/>
                <w:szCs w:val="22"/>
              </w:rPr>
              <w:t>Т(1)</w:t>
            </w:r>
          </w:p>
        </w:tc>
        <w:tc>
          <w:tcPr>
            <w:tcW w:w="567" w:type="dxa"/>
          </w:tcPr>
          <w:p w14:paraId="76793E94" w14:textId="77777777" w:rsidR="00AD1F54" w:rsidRPr="00264D5D" w:rsidRDefault="00941227">
            <w:pPr>
              <w:pStyle w:val="EBTablenorm"/>
              <w:ind w:left="57" w:right="57"/>
              <w:contextualSpacing w:val="0"/>
              <w:jc w:val="center"/>
              <w:rPr>
                <w:sz w:val="22"/>
                <w:szCs w:val="22"/>
                <w:lang w:val="en-US"/>
              </w:rPr>
            </w:pPr>
            <w:r w:rsidRPr="00264D5D">
              <w:rPr>
                <w:sz w:val="22"/>
                <w:szCs w:val="22"/>
              </w:rPr>
              <w:t>О</w:t>
            </w:r>
          </w:p>
        </w:tc>
        <w:tc>
          <w:tcPr>
            <w:tcW w:w="3963" w:type="dxa"/>
          </w:tcPr>
          <w:p w14:paraId="2462BE03" w14:textId="77777777" w:rsidR="00AD1F54" w:rsidRPr="00264D5D" w:rsidRDefault="00941227">
            <w:pPr>
              <w:pStyle w:val="EBTablenorm"/>
              <w:ind w:left="57" w:right="57"/>
              <w:contextualSpacing w:val="0"/>
              <w:rPr>
                <w:sz w:val="22"/>
                <w:szCs w:val="22"/>
              </w:rPr>
            </w:pPr>
            <w:r w:rsidRPr="00264D5D">
              <w:rPr>
                <w:sz w:val="22"/>
                <w:szCs w:val="22"/>
              </w:rPr>
              <w:t xml:space="preserve">Признак безусловности платежа. </w:t>
            </w:r>
          </w:p>
          <w:p w14:paraId="7B203182" w14:textId="77777777" w:rsidR="00AD1F54" w:rsidRPr="00264D5D" w:rsidRDefault="00941227">
            <w:pPr>
              <w:pStyle w:val="EBTablenorm"/>
              <w:ind w:left="57" w:right="57"/>
              <w:contextualSpacing w:val="0"/>
              <w:rPr>
                <w:sz w:val="22"/>
                <w:szCs w:val="22"/>
              </w:rPr>
            </w:pPr>
            <w:r w:rsidRPr="00264D5D">
              <w:rPr>
                <w:sz w:val="22"/>
                <w:szCs w:val="22"/>
              </w:rPr>
              <w:t>Допустимые значения:</w:t>
            </w:r>
          </w:p>
          <w:p w14:paraId="1D183FD1" w14:textId="77777777" w:rsidR="00AD1F54" w:rsidRPr="00264D5D" w:rsidRDefault="00941227" w:rsidP="00E7460C">
            <w:pPr>
              <w:pStyle w:val="EBTablenorm"/>
              <w:numPr>
                <w:ilvl w:val="0"/>
                <w:numId w:val="107"/>
              </w:numPr>
              <w:ind w:left="284" w:right="57" w:hanging="227"/>
              <w:contextualSpacing w:val="0"/>
              <w:rPr>
                <w:sz w:val="22"/>
                <w:szCs w:val="22"/>
              </w:rPr>
            </w:pPr>
            <w:r w:rsidRPr="00264D5D">
              <w:rPr>
                <w:sz w:val="22"/>
                <w:szCs w:val="22"/>
              </w:rPr>
              <w:t>«0» – безусловное;</w:t>
            </w:r>
          </w:p>
          <w:p w14:paraId="4654E481" w14:textId="77777777" w:rsidR="00AD1F54" w:rsidRPr="00264D5D" w:rsidRDefault="007E37F3" w:rsidP="00E7460C">
            <w:pPr>
              <w:pStyle w:val="EBTablenorm"/>
              <w:numPr>
                <w:ilvl w:val="0"/>
                <w:numId w:val="107"/>
              </w:numPr>
              <w:ind w:left="284" w:right="57" w:hanging="227"/>
              <w:contextualSpacing w:val="0"/>
              <w:rPr>
                <w:sz w:val="22"/>
                <w:szCs w:val="22"/>
              </w:rPr>
            </w:pPr>
            <w:r w:rsidRPr="00264D5D">
              <w:rPr>
                <w:sz w:val="22"/>
                <w:szCs w:val="22"/>
              </w:rPr>
              <w:t>«1» – условное</w:t>
            </w:r>
          </w:p>
        </w:tc>
      </w:tr>
      <w:tr w:rsidR="00AD1F54" w:rsidRPr="00264D5D" w14:paraId="5F986E3F"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3F9E8E6E" w14:textId="77777777" w:rsidR="00AD1F54" w:rsidRPr="00264D5D" w:rsidRDefault="00941227">
            <w:pPr>
              <w:pStyle w:val="EBTablenorm"/>
              <w:ind w:left="57" w:right="57"/>
              <w:contextualSpacing w:val="0"/>
              <w:jc w:val="left"/>
              <w:rPr>
                <w:sz w:val="22"/>
                <w:szCs w:val="22"/>
              </w:rPr>
            </w:pPr>
            <w:r w:rsidRPr="00264D5D">
              <w:rPr>
                <w:sz w:val="22"/>
                <w:szCs w:val="22"/>
              </w:rPr>
              <w:t>Сумма в валюте платежа</w:t>
            </w:r>
          </w:p>
        </w:tc>
        <w:tc>
          <w:tcPr>
            <w:tcW w:w="1701" w:type="dxa"/>
          </w:tcPr>
          <w:p w14:paraId="40CAF311" w14:textId="77777777" w:rsidR="00AD1F54" w:rsidRPr="00264D5D" w:rsidRDefault="00941227">
            <w:pPr>
              <w:pStyle w:val="EBTablenorm"/>
              <w:ind w:left="57" w:right="57"/>
              <w:contextualSpacing w:val="0"/>
              <w:rPr>
                <w:sz w:val="22"/>
                <w:szCs w:val="22"/>
                <w:lang w:val="en-US"/>
              </w:rPr>
            </w:pPr>
            <w:r w:rsidRPr="00264D5D">
              <w:rPr>
                <w:sz w:val="22"/>
                <w:szCs w:val="22"/>
                <w:lang w:val="en-US"/>
              </w:rPr>
              <w:t>SheduleSumInf</w:t>
            </w:r>
          </w:p>
        </w:tc>
        <w:tc>
          <w:tcPr>
            <w:tcW w:w="567" w:type="dxa"/>
          </w:tcPr>
          <w:p w14:paraId="44DBBC9A" w14:textId="77777777" w:rsidR="00AD1F54" w:rsidRPr="00264D5D" w:rsidRDefault="00941227">
            <w:pPr>
              <w:pStyle w:val="EBTablenorm"/>
              <w:ind w:left="57" w:right="57"/>
              <w:contextualSpacing w:val="0"/>
              <w:jc w:val="center"/>
              <w:rPr>
                <w:sz w:val="22"/>
                <w:szCs w:val="22"/>
                <w:lang w:val="en-US"/>
              </w:rPr>
            </w:pPr>
            <w:r w:rsidRPr="00264D5D">
              <w:rPr>
                <w:sz w:val="22"/>
                <w:szCs w:val="22"/>
                <w:lang w:val="en-US"/>
              </w:rPr>
              <w:t>С</w:t>
            </w:r>
          </w:p>
        </w:tc>
        <w:tc>
          <w:tcPr>
            <w:tcW w:w="1134" w:type="dxa"/>
          </w:tcPr>
          <w:p w14:paraId="3CDF293A"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tSheduleSumInf</w:t>
            </w:r>
          </w:p>
        </w:tc>
        <w:tc>
          <w:tcPr>
            <w:tcW w:w="567" w:type="dxa"/>
          </w:tcPr>
          <w:p w14:paraId="583D6245" w14:textId="77777777" w:rsidR="00AD1F54" w:rsidRPr="00264D5D" w:rsidRDefault="00941227">
            <w:pPr>
              <w:pStyle w:val="EBTablenorm"/>
              <w:ind w:left="57" w:right="57"/>
              <w:contextualSpacing w:val="0"/>
              <w:jc w:val="center"/>
              <w:rPr>
                <w:sz w:val="22"/>
                <w:szCs w:val="22"/>
                <w:lang w:val="en-US"/>
              </w:rPr>
            </w:pPr>
            <w:r w:rsidRPr="00264D5D">
              <w:rPr>
                <w:sz w:val="22"/>
                <w:szCs w:val="22"/>
                <w:lang w:val="en-US"/>
              </w:rPr>
              <w:t>ОМ</w:t>
            </w:r>
          </w:p>
        </w:tc>
        <w:tc>
          <w:tcPr>
            <w:tcW w:w="3963" w:type="dxa"/>
          </w:tcPr>
          <w:p w14:paraId="45EFE6DB" w14:textId="77777777" w:rsidR="00AD1F54" w:rsidRPr="00264D5D" w:rsidRDefault="00941227">
            <w:pPr>
              <w:pStyle w:val="EBTablenorm"/>
              <w:ind w:left="57" w:right="57"/>
              <w:contextualSpacing w:val="0"/>
              <w:rPr>
                <w:sz w:val="22"/>
                <w:szCs w:val="22"/>
              </w:rPr>
            </w:pPr>
            <w:r w:rsidRPr="00264D5D">
              <w:rPr>
                <w:sz w:val="22"/>
                <w:szCs w:val="22"/>
              </w:rPr>
              <w:t xml:space="preserve">Информация о сумме в валюте платежа. </w:t>
            </w:r>
          </w:p>
          <w:p w14:paraId="1F7827B8" w14:textId="107CCFB0" w:rsidR="00AD1F54" w:rsidRPr="00264D5D" w:rsidRDefault="00941227">
            <w:pPr>
              <w:pStyle w:val="EBTablenorm"/>
              <w:ind w:left="57" w:right="57"/>
              <w:contextualSpacing w:val="0"/>
              <w:rPr>
                <w:sz w:val="22"/>
                <w:szCs w:val="22"/>
              </w:rPr>
            </w:pPr>
            <w:r w:rsidRPr="00264D5D">
              <w:rPr>
                <w:sz w:val="22"/>
                <w:szCs w:val="22"/>
              </w:rPr>
              <w:t>Состав элемента представлен в таблице</w:t>
            </w:r>
            <w:r w:rsidRPr="00264D5D">
              <w:rPr>
                <w:b/>
                <w:sz w:val="22"/>
                <w:szCs w:val="22"/>
              </w:rPr>
              <w:t xml:space="preserve"> </w:t>
            </w:r>
            <w:r w:rsidRPr="00264D5D">
              <w:rPr>
                <w:b/>
                <w:sz w:val="22"/>
                <w:szCs w:val="22"/>
              </w:rPr>
              <w:fldChar w:fldCharType="begin"/>
            </w:r>
            <w:r w:rsidRPr="00264D5D">
              <w:rPr>
                <w:b/>
                <w:sz w:val="22"/>
                <w:szCs w:val="22"/>
              </w:rPr>
              <w:instrText xml:space="preserve"> REF _Ref494366232 \h  \* MERGEFORMAT </w:instrText>
            </w:r>
            <w:r w:rsidRPr="00264D5D">
              <w:rPr>
                <w:b/>
                <w:sz w:val="22"/>
                <w:szCs w:val="22"/>
              </w:rPr>
            </w:r>
            <w:r w:rsidRPr="00264D5D">
              <w:rPr>
                <w:b/>
                <w:sz w:val="22"/>
                <w:szCs w:val="22"/>
              </w:rPr>
              <w:fldChar w:fldCharType="separate"/>
            </w:r>
            <w:r w:rsidR="008D797C" w:rsidRPr="008D797C">
              <w:rPr>
                <w:rFonts w:eastAsia="Calibri"/>
                <w:b/>
                <w:sz w:val="22"/>
                <w:szCs w:val="22"/>
              </w:rPr>
              <w:t>219</w:t>
            </w:r>
            <w:r w:rsidRPr="00264D5D">
              <w:rPr>
                <w:b/>
                <w:sz w:val="22"/>
                <w:szCs w:val="22"/>
              </w:rPr>
              <w:fldChar w:fldCharType="end"/>
            </w:r>
          </w:p>
        </w:tc>
      </w:tr>
      <w:tr w:rsidR="00AD1F54" w:rsidRPr="00264D5D" w14:paraId="7C56166E"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75CA4DC3" w14:textId="77777777" w:rsidR="00AD1F54" w:rsidRPr="00264D5D" w:rsidRDefault="00941227">
            <w:pPr>
              <w:pStyle w:val="EBTablenorm"/>
              <w:ind w:left="57" w:right="57"/>
              <w:contextualSpacing w:val="0"/>
              <w:rPr>
                <w:sz w:val="22"/>
                <w:szCs w:val="22"/>
              </w:rPr>
            </w:pPr>
            <w:r w:rsidRPr="00264D5D">
              <w:rPr>
                <w:sz w:val="22"/>
                <w:szCs w:val="22"/>
              </w:rPr>
              <w:t>Сумма исполненного обязательства прошлых лет</w:t>
            </w:r>
          </w:p>
        </w:tc>
        <w:tc>
          <w:tcPr>
            <w:tcW w:w="1701" w:type="dxa"/>
          </w:tcPr>
          <w:p w14:paraId="6D161ABD" w14:textId="77777777" w:rsidR="00AD1F54" w:rsidRPr="00264D5D" w:rsidRDefault="00941227">
            <w:pPr>
              <w:pStyle w:val="EBTablenorm"/>
              <w:ind w:left="57" w:right="57"/>
              <w:contextualSpacing w:val="0"/>
              <w:rPr>
                <w:sz w:val="22"/>
                <w:szCs w:val="22"/>
                <w:lang w:val="en-US"/>
              </w:rPr>
            </w:pPr>
            <w:r w:rsidRPr="00264D5D">
              <w:rPr>
                <w:sz w:val="22"/>
                <w:szCs w:val="22"/>
                <w:lang w:val="en-US"/>
              </w:rPr>
              <w:t>SummIsp</w:t>
            </w:r>
          </w:p>
        </w:tc>
        <w:tc>
          <w:tcPr>
            <w:tcW w:w="567" w:type="dxa"/>
          </w:tcPr>
          <w:p w14:paraId="040CA9E4" w14:textId="77777777" w:rsidR="00AD1F54" w:rsidRPr="00264D5D" w:rsidRDefault="00941227">
            <w:pPr>
              <w:pStyle w:val="EBTablenorm"/>
              <w:ind w:left="57" w:right="57"/>
              <w:contextualSpacing w:val="0"/>
              <w:jc w:val="center"/>
              <w:rPr>
                <w:sz w:val="22"/>
                <w:szCs w:val="22"/>
                <w:lang w:val="en-US"/>
              </w:rPr>
            </w:pPr>
            <w:r w:rsidRPr="00264D5D">
              <w:rPr>
                <w:sz w:val="22"/>
                <w:szCs w:val="22"/>
              </w:rPr>
              <w:t>П</w:t>
            </w:r>
          </w:p>
        </w:tc>
        <w:tc>
          <w:tcPr>
            <w:tcW w:w="1134" w:type="dxa"/>
          </w:tcPr>
          <w:p w14:paraId="74DE5296" w14:textId="77777777" w:rsidR="00AD1F54" w:rsidRPr="00264D5D" w:rsidRDefault="00941227">
            <w:pPr>
              <w:pStyle w:val="EBTablenorm"/>
              <w:ind w:left="57" w:right="57"/>
              <w:contextualSpacing w:val="0"/>
              <w:jc w:val="left"/>
              <w:rPr>
                <w:sz w:val="22"/>
                <w:szCs w:val="22"/>
                <w:lang w:val="en-US"/>
              </w:rPr>
            </w:pPr>
            <w:r w:rsidRPr="00264D5D">
              <w:rPr>
                <w:rFonts w:eastAsia="Calibri"/>
                <w:sz w:val="22"/>
                <w:szCs w:val="22"/>
              </w:rPr>
              <w:t>N(14.2)</w:t>
            </w:r>
          </w:p>
        </w:tc>
        <w:tc>
          <w:tcPr>
            <w:tcW w:w="567" w:type="dxa"/>
          </w:tcPr>
          <w:p w14:paraId="10133EA1" w14:textId="77777777" w:rsidR="00AD1F54" w:rsidRPr="00264D5D" w:rsidRDefault="00941227">
            <w:pPr>
              <w:pStyle w:val="EBTablenorm"/>
              <w:ind w:left="57" w:right="57"/>
              <w:contextualSpacing w:val="0"/>
              <w:jc w:val="center"/>
              <w:rPr>
                <w:sz w:val="22"/>
                <w:szCs w:val="22"/>
                <w:lang w:val="en-US"/>
              </w:rPr>
            </w:pPr>
            <w:r w:rsidRPr="00264D5D">
              <w:rPr>
                <w:sz w:val="22"/>
                <w:szCs w:val="22"/>
              </w:rPr>
              <w:t>О</w:t>
            </w:r>
          </w:p>
        </w:tc>
        <w:tc>
          <w:tcPr>
            <w:tcW w:w="3963" w:type="dxa"/>
          </w:tcPr>
          <w:p w14:paraId="4D565CF6" w14:textId="77777777" w:rsidR="00AD1F54" w:rsidRPr="00264D5D" w:rsidRDefault="00941227">
            <w:pPr>
              <w:pStyle w:val="EBTablenorm"/>
              <w:ind w:left="57" w:right="57"/>
              <w:contextualSpacing w:val="0"/>
              <w:rPr>
                <w:sz w:val="22"/>
                <w:szCs w:val="22"/>
              </w:rPr>
            </w:pPr>
            <w:r w:rsidRPr="00264D5D">
              <w:rPr>
                <w:sz w:val="22"/>
                <w:szCs w:val="22"/>
              </w:rPr>
              <w:t xml:space="preserve">Сумма исполненного обязательства прошлых лет. </w:t>
            </w:r>
          </w:p>
          <w:p w14:paraId="0539253C" w14:textId="77777777" w:rsidR="00AD1F54" w:rsidRPr="00264D5D" w:rsidRDefault="007E37F3">
            <w:pPr>
              <w:pStyle w:val="EBTablenorm"/>
              <w:ind w:left="57" w:right="57"/>
              <w:contextualSpacing w:val="0"/>
              <w:rPr>
                <w:sz w:val="22"/>
                <w:szCs w:val="22"/>
              </w:rPr>
            </w:pPr>
            <w:r w:rsidRPr="00264D5D">
              <w:rPr>
                <w:sz w:val="22"/>
                <w:szCs w:val="22"/>
              </w:rPr>
              <w:t>При отсутствии указывается 0.00</w:t>
            </w:r>
          </w:p>
        </w:tc>
      </w:tr>
      <w:tr w:rsidR="00AD1F54" w:rsidRPr="00264D5D" w14:paraId="35633D21"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0DA77D8A" w14:textId="77777777" w:rsidR="00AD1F54" w:rsidRPr="00264D5D" w:rsidRDefault="00941227">
            <w:pPr>
              <w:pStyle w:val="EBTablenorm"/>
              <w:ind w:left="57" w:right="57"/>
              <w:contextualSpacing w:val="0"/>
              <w:rPr>
                <w:sz w:val="22"/>
                <w:szCs w:val="22"/>
              </w:rPr>
            </w:pPr>
            <w:r w:rsidRPr="00264D5D">
              <w:rPr>
                <w:sz w:val="22"/>
                <w:szCs w:val="22"/>
              </w:rPr>
              <w:t>Сумма неисполненного обязательства прошлых лет</w:t>
            </w:r>
          </w:p>
        </w:tc>
        <w:tc>
          <w:tcPr>
            <w:tcW w:w="1701" w:type="dxa"/>
          </w:tcPr>
          <w:p w14:paraId="6D87C91C" w14:textId="77777777" w:rsidR="00AD1F54" w:rsidRPr="00264D5D" w:rsidRDefault="00941227">
            <w:pPr>
              <w:pStyle w:val="EBTablenorm"/>
              <w:ind w:left="57" w:right="57"/>
              <w:contextualSpacing w:val="0"/>
              <w:rPr>
                <w:sz w:val="22"/>
                <w:szCs w:val="22"/>
                <w:lang w:val="en-US"/>
              </w:rPr>
            </w:pPr>
            <w:r w:rsidRPr="00264D5D">
              <w:rPr>
                <w:sz w:val="22"/>
                <w:szCs w:val="22"/>
                <w:lang w:val="en-US"/>
              </w:rPr>
              <w:t>SummNeisp</w:t>
            </w:r>
          </w:p>
        </w:tc>
        <w:tc>
          <w:tcPr>
            <w:tcW w:w="567" w:type="dxa"/>
          </w:tcPr>
          <w:p w14:paraId="0D3B16EF" w14:textId="77777777" w:rsidR="00AD1F54" w:rsidRPr="00264D5D" w:rsidRDefault="00941227">
            <w:pPr>
              <w:pStyle w:val="EBTablenorm"/>
              <w:ind w:left="57" w:right="57"/>
              <w:contextualSpacing w:val="0"/>
              <w:jc w:val="center"/>
              <w:rPr>
                <w:sz w:val="22"/>
                <w:szCs w:val="22"/>
                <w:lang w:val="en-US"/>
              </w:rPr>
            </w:pPr>
            <w:r w:rsidRPr="00264D5D">
              <w:rPr>
                <w:sz w:val="22"/>
                <w:szCs w:val="22"/>
              </w:rPr>
              <w:t>П</w:t>
            </w:r>
          </w:p>
        </w:tc>
        <w:tc>
          <w:tcPr>
            <w:tcW w:w="1134" w:type="dxa"/>
          </w:tcPr>
          <w:p w14:paraId="2EEB87B2" w14:textId="77777777" w:rsidR="00AD1F54" w:rsidRPr="00264D5D" w:rsidRDefault="00941227">
            <w:pPr>
              <w:pStyle w:val="EBTablenorm"/>
              <w:ind w:left="57" w:right="57"/>
              <w:contextualSpacing w:val="0"/>
              <w:jc w:val="left"/>
              <w:rPr>
                <w:sz w:val="22"/>
                <w:szCs w:val="22"/>
                <w:lang w:val="en-US"/>
              </w:rPr>
            </w:pPr>
            <w:r w:rsidRPr="00264D5D">
              <w:rPr>
                <w:rFonts w:eastAsia="Calibri"/>
                <w:sz w:val="22"/>
                <w:szCs w:val="22"/>
              </w:rPr>
              <w:t>N(14.2)</w:t>
            </w:r>
          </w:p>
        </w:tc>
        <w:tc>
          <w:tcPr>
            <w:tcW w:w="567" w:type="dxa"/>
          </w:tcPr>
          <w:p w14:paraId="1CC18C56" w14:textId="77777777" w:rsidR="00AD1F54" w:rsidRPr="00264D5D" w:rsidRDefault="00941227">
            <w:pPr>
              <w:pStyle w:val="EBTablenorm"/>
              <w:ind w:left="57" w:right="57"/>
              <w:contextualSpacing w:val="0"/>
              <w:jc w:val="center"/>
              <w:rPr>
                <w:sz w:val="22"/>
                <w:szCs w:val="22"/>
                <w:lang w:val="en-US"/>
              </w:rPr>
            </w:pPr>
            <w:r w:rsidRPr="00264D5D">
              <w:rPr>
                <w:sz w:val="22"/>
                <w:szCs w:val="22"/>
              </w:rPr>
              <w:t>О</w:t>
            </w:r>
          </w:p>
        </w:tc>
        <w:tc>
          <w:tcPr>
            <w:tcW w:w="3963" w:type="dxa"/>
          </w:tcPr>
          <w:p w14:paraId="48317C75" w14:textId="77777777" w:rsidR="00AD1F54" w:rsidRPr="00264D5D" w:rsidRDefault="00941227">
            <w:pPr>
              <w:pStyle w:val="EBTablenorm"/>
              <w:ind w:left="57" w:right="57"/>
              <w:contextualSpacing w:val="0"/>
              <w:rPr>
                <w:sz w:val="22"/>
                <w:szCs w:val="22"/>
              </w:rPr>
            </w:pPr>
            <w:r w:rsidRPr="00264D5D">
              <w:rPr>
                <w:sz w:val="22"/>
                <w:szCs w:val="22"/>
              </w:rPr>
              <w:t xml:space="preserve">Сумма неисполненного обязательства прошлых лет. </w:t>
            </w:r>
          </w:p>
          <w:p w14:paraId="2D807DB4" w14:textId="77777777" w:rsidR="00AD1F54" w:rsidRPr="00264D5D" w:rsidRDefault="007E37F3">
            <w:pPr>
              <w:pStyle w:val="EBTablenorm"/>
              <w:ind w:left="57" w:right="57"/>
              <w:contextualSpacing w:val="0"/>
              <w:rPr>
                <w:sz w:val="22"/>
                <w:szCs w:val="22"/>
              </w:rPr>
            </w:pPr>
            <w:r w:rsidRPr="00264D5D">
              <w:rPr>
                <w:sz w:val="22"/>
                <w:szCs w:val="22"/>
              </w:rPr>
              <w:t>При отсутствии указывается 0.00</w:t>
            </w:r>
          </w:p>
        </w:tc>
      </w:tr>
      <w:tr w:rsidR="00AD1F54" w:rsidRPr="00264D5D" w14:paraId="5E2CD85D"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B2CF38E" w14:textId="77777777" w:rsidR="00AD1F54" w:rsidRPr="00264D5D" w:rsidRDefault="00941227">
            <w:pPr>
              <w:pStyle w:val="EBTablenorm"/>
              <w:ind w:left="57" w:right="57"/>
              <w:contextualSpacing w:val="0"/>
              <w:rPr>
                <w:sz w:val="22"/>
                <w:szCs w:val="22"/>
                <w:lang w:val="en-US"/>
              </w:rPr>
            </w:pPr>
            <w:r w:rsidRPr="00264D5D">
              <w:rPr>
                <w:sz w:val="22"/>
                <w:szCs w:val="22"/>
              </w:rPr>
              <w:t>Аналитический код цели</w:t>
            </w:r>
          </w:p>
        </w:tc>
        <w:tc>
          <w:tcPr>
            <w:tcW w:w="1701" w:type="dxa"/>
          </w:tcPr>
          <w:p w14:paraId="46885CE3" w14:textId="77777777" w:rsidR="00AD1F54" w:rsidRPr="00264D5D" w:rsidRDefault="00941227">
            <w:pPr>
              <w:pStyle w:val="EBTablenorm"/>
              <w:ind w:left="57" w:right="57"/>
              <w:contextualSpacing w:val="0"/>
              <w:rPr>
                <w:sz w:val="22"/>
                <w:szCs w:val="22"/>
                <w:lang w:val="en-US"/>
              </w:rPr>
            </w:pPr>
            <w:r w:rsidRPr="00264D5D">
              <w:rPr>
                <w:sz w:val="22"/>
                <w:szCs w:val="22"/>
                <w:lang w:val="en-US"/>
              </w:rPr>
              <w:t>TrgtCode</w:t>
            </w:r>
          </w:p>
        </w:tc>
        <w:tc>
          <w:tcPr>
            <w:tcW w:w="567" w:type="dxa"/>
          </w:tcPr>
          <w:p w14:paraId="7860432F" w14:textId="77777777" w:rsidR="00AD1F54" w:rsidRPr="00264D5D" w:rsidRDefault="00941227">
            <w:pPr>
              <w:pStyle w:val="EBTablenorm"/>
              <w:ind w:left="57" w:right="57"/>
              <w:contextualSpacing w:val="0"/>
              <w:jc w:val="center"/>
              <w:rPr>
                <w:sz w:val="22"/>
                <w:szCs w:val="22"/>
                <w:lang w:val="en-US"/>
              </w:rPr>
            </w:pPr>
            <w:r w:rsidRPr="00264D5D">
              <w:rPr>
                <w:sz w:val="22"/>
                <w:szCs w:val="22"/>
              </w:rPr>
              <w:t>П</w:t>
            </w:r>
          </w:p>
        </w:tc>
        <w:tc>
          <w:tcPr>
            <w:tcW w:w="1134" w:type="dxa"/>
          </w:tcPr>
          <w:p w14:paraId="1FFE504C" w14:textId="77777777" w:rsidR="00AD1F54" w:rsidRPr="00264D5D" w:rsidRDefault="00941227">
            <w:pPr>
              <w:pStyle w:val="EBTablenorm"/>
              <w:ind w:left="57" w:right="57"/>
              <w:contextualSpacing w:val="0"/>
              <w:jc w:val="left"/>
              <w:rPr>
                <w:sz w:val="22"/>
                <w:szCs w:val="22"/>
                <w:lang w:val="en-US"/>
              </w:rPr>
            </w:pPr>
            <w:r w:rsidRPr="00264D5D">
              <w:rPr>
                <w:sz w:val="22"/>
                <w:szCs w:val="22"/>
              </w:rPr>
              <w:t>Т(1-20)</w:t>
            </w:r>
          </w:p>
        </w:tc>
        <w:tc>
          <w:tcPr>
            <w:tcW w:w="567" w:type="dxa"/>
          </w:tcPr>
          <w:p w14:paraId="7A5B2E93" w14:textId="77777777" w:rsidR="00AD1F54" w:rsidRPr="00264D5D" w:rsidRDefault="00941227">
            <w:pPr>
              <w:pStyle w:val="EBTablenorm"/>
              <w:ind w:left="57" w:right="57"/>
              <w:contextualSpacing w:val="0"/>
              <w:jc w:val="center"/>
              <w:rPr>
                <w:sz w:val="22"/>
                <w:szCs w:val="22"/>
                <w:lang w:val="en-US"/>
              </w:rPr>
            </w:pPr>
            <w:r w:rsidRPr="00264D5D">
              <w:rPr>
                <w:sz w:val="22"/>
                <w:szCs w:val="22"/>
              </w:rPr>
              <w:t>Н</w:t>
            </w:r>
          </w:p>
        </w:tc>
        <w:tc>
          <w:tcPr>
            <w:tcW w:w="3963" w:type="dxa"/>
          </w:tcPr>
          <w:p w14:paraId="1716BBBC" w14:textId="77777777" w:rsidR="00AD1F54" w:rsidRPr="00264D5D" w:rsidRDefault="007E37F3">
            <w:pPr>
              <w:pStyle w:val="EBTablenorm"/>
              <w:ind w:left="57" w:right="57"/>
              <w:contextualSpacing w:val="0"/>
              <w:rPr>
                <w:sz w:val="22"/>
                <w:szCs w:val="22"/>
              </w:rPr>
            </w:pPr>
            <w:r w:rsidRPr="00264D5D">
              <w:rPr>
                <w:sz w:val="22"/>
                <w:szCs w:val="22"/>
              </w:rPr>
              <w:t>Аналитический код цели</w:t>
            </w:r>
          </w:p>
        </w:tc>
      </w:tr>
      <w:tr w:rsidR="00AD1F54" w:rsidRPr="00264D5D" w14:paraId="0EE38B2D"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975430B" w14:textId="77777777" w:rsidR="00AD1F54" w:rsidRPr="00264D5D" w:rsidRDefault="00941227">
            <w:pPr>
              <w:pStyle w:val="EBTablenorm"/>
              <w:ind w:left="57" w:right="57"/>
              <w:contextualSpacing w:val="0"/>
              <w:rPr>
                <w:sz w:val="22"/>
                <w:szCs w:val="22"/>
                <w:lang w:val="en-US"/>
              </w:rPr>
            </w:pPr>
            <w:r w:rsidRPr="00264D5D">
              <w:rPr>
                <w:sz w:val="22"/>
                <w:szCs w:val="22"/>
              </w:rPr>
              <w:t>Примечание</w:t>
            </w:r>
          </w:p>
        </w:tc>
        <w:tc>
          <w:tcPr>
            <w:tcW w:w="1701" w:type="dxa"/>
          </w:tcPr>
          <w:p w14:paraId="229A0657" w14:textId="77777777" w:rsidR="00AD1F54" w:rsidRPr="00264D5D" w:rsidRDefault="00941227">
            <w:pPr>
              <w:pStyle w:val="EBTablenorm"/>
              <w:ind w:left="57" w:right="57"/>
              <w:contextualSpacing w:val="0"/>
              <w:rPr>
                <w:sz w:val="22"/>
                <w:szCs w:val="22"/>
                <w:lang w:val="en-US"/>
              </w:rPr>
            </w:pPr>
            <w:r w:rsidRPr="00264D5D">
              <w:rPr>
                <w:sz w:val="22"/>
                <w:szCs w:val="22"/>
                <w:lang w:val="en-US"/>
              </w:rPr>
              <w:t>Note</w:t>
            </w:r>
          </w:p>
        </w:tc>
        <w:tc>
          <w:tcPr>
            <w:tcW w:w="567" w:type="dxa"/>
          </w:tcPr>
          <w:p w14:paraId="09F20F80" w14:textId="77777777" w:rsidR="00AD1F54" w:rsidRPr="00264D5D" w:rsidRDefault="00941227">
            <w:pPr>
              <w:pStyle w:val="EBTablenorm"/>
              <w:ind w:left="57" w:right="57"/>
              <w:contextualSpacing w:val="0"/>
              <w:jc w:val="center"/>
              <w:rPr>
                <w:sz w:val="22"/>
                <w:szCs w:val="22"/>
                <w:lang w:val="en-US"/>
              </w:rPr>
            </w:pPr>
            <w:r w:rsidRPr="00264D5D">
              <w:rPr>
                <w:sz w:val="22"/>
                <w:szCs w:val="22"/>
              </w:rPr>
              <w:t>П</w:t>
            </w:r>
          </w:p>
        </w:tc>
        <w:tc>
          <w:tcPr>
            <w:tcW w:w="1134" w:type="dxa"/>
          </w:tcPr>
          <w:p w14:paraId="26495773" w14:textId="77777777" w:rsidR="00AD1F54" w:rsidRPr="00264D5D" w:rsidRDefault="00941227">
            <w:pPr>
              <w:pStyle w:val="EBTablenorm"/>
              <w:ind w:left="57" w:right="57"/>
              <w:contextualSpacing w:val="0"/>
              <w:jc w:val="left"/>
              <w:rPr>
                <w:sz w:val="22"/>
                <w:szCs w:val="22"/>
                <w:lang w:val="en-US"/>
              </w:rPr>
            </w:pPr>
            <w:r w:rsidRPr="00264D5D">
              <w:rPr>
                <w:sz w:val="22"/>
                <w:szCs w:val="22"/>
              </w:rPr>
              <w:t>Т(1-2000)</w:t>
            </w:r>
          </w:p>
        </w:tc>
        <w:tc>
          <w:tcPr>
            <w:tcW w:w="567" w:type="dxa"/>
          </w:tcPr>
          <w:p w14:paraId="66ACA839" w14:textId="77777777" w:rsidR="00AD1F54" w:rsidRPr="00264D5D" w:rsidRDefault="00941227">
            <w:pPr>
              <w:pStyle w:val="EBTablenorm"/>
              <w:ind w:left="57" w:right="57"/>
              <w:contextualSpacing w:val="0"/>
              <w:jc w:val="center"/>
              <w:rPr>
                <w:sz w:val="22"/>
                <w:szCs w:val="22"/>
                <w:lang w:val="en-US"/>
              </w:rPr>
            </w:pPr>
            <w:r w:rsidRPr="00264D5D">
              <w:rPr>
                <w:sz w:val="22"/>
                <w:szCs w:val="22"/>
              </w:rPr>
              <w:t>Н</w:t>
            </w:r>
          </w:p>
        </w:tc>
        <w:tc>
          <w:tcPr>
            <w:tcW w:w="3963" w:type="dxa"/>
          </w:tcPr>
          <w:p w14:paraId="08BE7D8F" w14:textId="77777777" w:rsidR="00AD1F54" w:rsidRPr="00264D5D" w:rsidRDefault="00941227">
            <w:pPr>
              <w:pStyle w:val="EBTablenorm"/>
              <w:ind w:left="57" w:right="57"/>
              <w:contextualSpacing w:val="0"/>
              <w:rPr>
                <w:sz w:val="22"/>
                <w:szCs w:val="22"/>
              </w:rPr>
            </w:pPr>
            <w:r w:rsidRPr="00264D5D">
              <w:rPr>
                <w:sz w:val="22"/>
                <w:szCs w:val="22"/>
              </w:rPr>
              <w:t>При</w:t>
            </w:r>
            <w:r w:rsidR="007E37F3" w:rsidRPr="00264D5D">
              <w:rPr>
                <w:sz w:val="22"/>
                <w:szCs w:val="22"/>
              </w:rPr>
              <w:t>мечание</w:t>
            </w:r>
          </w:p>
        </w:tc>
      </w:tr>
    </w:tbl>
    <w:p w14:paraId="4A5F07FA" w14:textId="77777777" w:rsidR="00AD1F54" w:rsidRPr="00264D5D" w:rsidRDefault="00941227">
      <w:pPr>
        <w:pStyle w:val="31"/>
      </w:pPr>
      <w:bookmarkStart w:id="2076" w:name="_Toc496984048"/>
      <w:bookmarkStart w:id="2077" w:name="_Toc219309681"/>
      <w:r w:rsidRPr="00264D5D">
        <w:lastRenderedPageBreak/>
        <w:t>Описание комплексного типа «tSheduleSumInf»</w:t>
      </w:r>
      <w:bookmarkEnd w:id="2076"/>
      <w:bookmarkEnd w:id="2077"/>
    </w:p>
    <w:p w14:paraId="3AC1D85D" w14:textId="77777777" w:rsidR="00AD1F54" w:rsidRPr="00264D5D" w:rsidRDefault="00941227">
      <w:pPr>
        <w:spacing w:before="60" w:after="120"/>
        <w:ind w:firstLine="567"/>
        <w:rPr>
          <w:szCs w:val="24"/>
        </w:rPr>
      </w:pPr>
      <w:bookmarkStart w:id="2078" w:name="OLE_LINK35"/>
      <w:bookmarkStart w:id="2079" w:name="OLE_LINK36"/>
      <w:bookmarkStart w:id="2080" w:name="OLE_LINK37"/>
      <w:r w:rsidRPr="00264D5D">
        <w:rPr>
          <w:szCs w:val="24"/>
        </w:rPr>
        <w:t>Описание комплексного типа «</w:t>
      </w:r>
      <w:r w:rsidRPr="00264D5D">
        <w:rPr>
          <w:szCs w:val="24"/>
          <w:lang w:val="en-US"/>
        </w:rPr>
        <w:t>tSheduleSumInf</w:t>
      </w:r>
      <w:r w:rsidRPr="00264D5D">
        <w:rPr>
          <w:szCs w:val="24"/>
        </w:rPr>
        <w:t xml:space="preserve">» </w:t>
      </w:r>
      <w:r w:rsidRPr="00264D5D">
        <w:t>блока «</w:t>
      </w:r>
      <w:r w:rsidRPr="00264D5D">
        <w:rPr>
          <w:szCs w:val="24"/>
        </w:rPr>
        <w:t>Информация о сумме и валюте графика перечисления субсидии, бюджетных инвестиций по месяцам</w:t>
      </w:r>
      <w:bookmarkEnd w:id="2078"/>
      <w:bookmarkEnd w:id="2079"/>
      <w:bookmarkEnd w:id="2080"/>
      <w:r w:rsidRPr="00264D5D">
        <w:rPr>
          <w:szCs w:val="24"/>
        </w:rPr>
        <w:t>».</w:t>
      </w:r>
    </w:p>
    <w:p w14:paraId="399639C2" w14:textId="69108A87"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2081" w:name="_Ref494366232"/>
      <w:bookmarkStart w:id="2082" w:name="_Toc30503398"/>
      <w:bookmarkStart w:id="2083" w:name="_Toc30507996"/>
      <w:bookmarkStart w:id="2084" w:name="_Toc219309249"/>
      <w:r w:rsidR="008D797C">
        <w:rPr>
          <w:rFonts w:eastAsia="Calibri"/>
          <w:noProof/>
          <w:szCs w:val="24"/>
        </w:rPr>
        <w:t>219</w:t>
      </w:r>
      <w:bookmarkEnd w:id="2081"/>
      <w:r w:rsidRPr="00264D5D">
        <w:rPr>
          <w:rFonts w:eastAsia="Calibri"/>
          <w:szCs w:val="24"/>
        </w:rPr>
        <w:fldChar w:fldCharType="end"/>
      </w:r>
      <w:r w:rsidRPr="00264D5D">
        <w:rPr>
          <w:rFonts w:eastAsia="Calibri"/>
          <w:szCs w:val="24"/>
        </w:rPr>
        <w:t xml:space="preserve"> – Описание комплексного типа «tSheduleSumInf»</w:t>
      </w:r>
      <w:bookmarkEnd w:id="2082"/>
      <w:bookmarkEnd w:id="2083"/>
      <w:bookmarkEnd w:id="2084"/>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1816029C"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53329660" w14:textId="77777777" w:rsidR="00AD1F54" w:rsidRPr="00264D5D" w:rsidRDefault="00941227">
            <w:pPr>
              <w:pStyle w:val="EBTableHead"/>
              <w:ind w:left="57" w:right="57"/>
              <w:contextualSpacing w:val="0"/>
              <w:rPr>
                <w:sz w:val="22"/>
                <w:szCs w:val="22"/>
              </w:rPr>
            </w:pPr>
            <w:r w:rsidRPr="00264D5D">
              <w:rPr>
                <w:bCs w:val="0"/>
                <w:sz w:val="22"/>
                <w:szCs w:val="22"/>
              </w:rPr>
              <w:t>Наименование элемента</w:t>
            </w:r>
          </w:p>
        </w:tc>
        <w:tc>
          <w:tcPr>
            <w:tcW w:w="1701" w:type="dxa"/>
          </w:tcPr>
          <w:p w14:paraId="56BFC4FA" w14:textId="77777777" w:rsidR="00AD1F54" w:rsidRPr="00264D5D" w:rsidRDefault="00941227">
            <w:pPr>
              <w:pStyle w:val="EBTableHead"/>
              <w:ind w:left="57" w:right="57"/>
              <w:contextualSpacing w:val="0"/>
              <w:rPr>
                <w:sz w:val="22"/>
                <w:szCs w:val="22"/>
              </w:rPr>
            </w:pPr>
            <w:r w:rsidRPr="00264D5D">
              <w:rPr>
                <w:bCs w:val="0"/>
                <w:sz w:val="22"/>
                <w:szCs w:val="22"/>
              </w:rPr>
              <w:t>Сокращенное наименование (код) элемента</w:t>
            </w:r>
          </w:p>
        </w:tc>
        <w:tc>
          <w:tcPr>
            <w:tcW w:w="567" w:type="dxa"/>
          </w:tcPr>
          <w:p w14:paraId="15F49E70" w14:textId="77777777" w:rsidR="00AD1F54" w:rsidRPr="00264D5D" w:rsidRDefault="00941227">
            <w:pPr>
              <w:pStyle w:val="EBTableHead"/>
              <w:ind w:left="57" w:right="57"/>
              <w:contextualSpacing w:val="0"/>
              <w:rPr>
                <w:sz w:val="22"/>
                <w:szCs w:val="22"/>
              </w:rPr>
            </w:pPr>
            <w:r w:rsidRPr="00264D5D">
              <w:rPr>
                <w:bCs w:val="0"/>
                <w:sz w:val="22"/>
                <w:szCs w:val="22"/>
              </w:rPr>
              <w:t>Тип</w:t>
            </w:r>
          </w:p>
        </w:tc>
        <w:tc>
          <w:tcPr>
            <w:tcW w:w="1134" w:type="dxa"/>
          </w:tcPr>
          <w:p w14:paraId="646EEC94" w14:textId="77777777" w:rsidR="00AD1F54" w:rsidRPr="00264D5D" w:rsidRDefault="00941227">
            <w:pPr>
              <w:pStyle w:val="EBTableHead"/>
              <w:ind w:left="57" w:right="57"/>
              <w:contextualSpacing w:val="0"/>
              <w:rPr>
                <w:sz w:val="22"/>
                <w:szCs w:val="22"/>
              </w:rPr>
            </w:pPr>
            <w:r w:rsidRPr="00264D5D">
              <w:rPr>
                <w:bCs w:val="0"/>
                <w:sz w:val="22"/>
                <w:szCs w:val="22"/>
              </w:rPr>
              <w:t>Формат элемента</w:t>
            </w:r>
          </w:p>
        </w:tc>
        <w:tc>
          <w:tcPr>
            <w:tcW w:w="567" w:type="dxa"/>
          </w:tcPr>
          <w:p w14:paraId="0E76C4F5" w14:textId="77777777" w:rsidR="00AD1F54" w:rsidRPr="00264D5D" w:rsidRDefault="00941227">
            <w:pPr>
              <w:spacing w:before="60" w:after="60"/>
              <w:ind w:left="57" w:right="57"/>
              <w:jc w:val="center"/>
              <w:rPr>
                <w:b/>
                <w:bCs/>
                <w:sz w:val="22"/>
                <w:szCs w:val="22"/>
              </w:rPr>
            </w:pPr>
            <w:r w:rsidRPr="00264D5D">
              <w:rPr>
                <w:b/>
                <w:bCs/>
                <w:sz w:val="22"/>
                <w:szCs w:val="22"/>
              </w:rPr>
              <w:t>Обязательность</w:t>
            </w:r>
          </w:p>
        </w:tc>
        <w:tc>
          <w:tcPr>
            <w:tcW w:w="3963" w:type="dxa"/>
          </w:tcPr>
          <w:p w14:paraId="7D6EA0A6" w14:textId="77777777" w:rsidR="00AD1F54" w:rsidRPr="00264D5D" w:rsidRDefault="00941227">
            <w:pPr>
              <w:pStyle w:val="EBTableHead"/>
              <w:ind w:left="57" w:right="57"/>
              <w:contextualSpacing w:val="0"/>
              <w:rPr>
                <w:sz w:val="22"/>
                <w:szCs w:val="22"/>
              </w:rPr>
            </w:pPr>
            <w:r w:rsidRPr="00264D5D">
              <w:rPr>
                <w:bCs w:val="0"/>
                <w:sz w:val="22"/>
                <w:szCs w:val="22"/>
              </w:rPr>
              <w:t>Дополнительная информация</w:t>
            </w:r>
          </w:p>
        </w:tc>
      </w:tr>
      <w:tr w:rsidR="00AD1F54" w:rsidRPr="00264D5D" w14:paraId="39750929"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F6EC95B" w14:textId="77777777" w:rsidR="00AD1F54" w:rsidRPr="00264D5D" w:rsidRDefault="00941227">
            <w:pPr>
              <w:pStyle w:val="EBTableHead"/>
              <w:keepNext w:val="0"/>
              <w:widowControl w:val="0"/>
              <w:ind w:left="57" w:right="57"/>
              <w:contextualSpacing w:val="0"/>
              <w:jc w:val="both"/>
              <w:rPr>
                <w:b w:val="0"/>
                <w:bCs w:val="0"/>
                <w:sz w:val="22"/>
                <w:szCs w:val="22"/>
              </w:rPr>
            </w:pPr>
            <w:r w:rsidRPr="00264D5D">
              <w:rPr>
                <w:b w:val="0"/>
                <w:bCs w:val="0"/>
                <w:sz w:val="22"/>
                <w:szCs w:val="22"/>
              </w:rPr>
              <w:t>Месяц осуществления платежа</w:t>
            </w:r>
          </w:p>
        </w:tc>
        <w:tc>
          <w:tcPr>
            <w:tcW w:w="1701" w:type="dxa"/>
          </w:tcPr>
          <w:p w14:paraId="782F61C0" w14:textId="77777777" w:rsidR="00AD1F54" w:rsidRPr="00264D5D" w:rsidRDefault="00941227">
            <w:pPr>
              <w:pStyle w:val="EBTablenorm"/>
              <w:widowControl w:val="0"/>
              <w:ind w:left="57" w:right="57"/>
              <w:contextualSpacing w:val="0"/>
              <w:rPr>
                <w:sz w:val="22"/>
                <w:szCs w:val="22"/>
                <w:lang w:val="en-US"/>
              </w:rPr>
            </w:pPr>
            <w:r w:rsidRPr="00264D5D">
              <w:rPr>
                <w:sz w:val="22"/>
                <w:szCs w:val="22"/>
                <w:lang w:val="en-US"/>
              </w:rPr>
              <w:t>SheduleSumInf_mon</w:t>
            </w:r>
          </w:p>
        </w:tc>
        <w:tc>
          <w:tcPr>
            <w:tcW w:w="567" w:type="dxa"/>
          </w:tcPr>
          <w:p w14:paraId="4CC5FDB5" w14:textId="77777777" w:rsidR="00AD1F54" w:rsidRPr="00264D5D" w:rsidRDefault="00941227">
            <w:pPr>
              <w:pStyle w:val="EBTablenorm"/>
              <w:widowControl w:val="0"/>
              <w:ind w:left="57" w:right="57"/>
              <w:contextualSpacing w:val="0"/>
              <w:jc w:val="center"/>
              <w:rPr>
                <w:sz w:val="22"/>
                <w:szCs w:val="22"/>
              </w:rPr>
            </w:pPr>
            <w:r w:rsidRPr="00264D5D">
              <w:rPr>
                <w:sz w:val="22"/>
                <w:szCs w:val="22"/>
              </w:rPr>
              <w:t>П</w:t>
            </w:r>
          </w:p>
        </w:tc>
        <w:tc>
          <w:tcPr>
            <w:tcW w:w="1134" w:type="dxa"/>
          </w:tcPr>
          <w:p w14:paraId="62A2E570" w14:textId="77777777" w:rsidR="00AD1F54" w:rsidRPr="00264D5D" w:rsidRDefault="00941227">
            <w:pPr>
              <w:pStyle w:val="EBTablenorm"/>
              <w:widowControl w:val="0"/>
              <w:ind w:left="57" w:right="57"/>
              <w:contextualSpacing w:val="0"/>
              <w:jc w:val="left"/>
              <w:rPr>
                <w:sz w:val="22"/>
                <w:szCs w:val="22"/>
              </w:rPr>
            </w:pPr>
            <w:r w:rsidRPr="00264D5D">
              <w:rPr>
                <w:sz w:val="22"/>
                <w:szCs w:val="22"/>
              </w:rPr>
              <w:t>Т(2)</w:t>
            </w:r>
          </w:p>
          <w:p w14:paraId="1E48EDFB" w14:textId="77777777" w:rsidR="00AD1F54" w:rsidRPr="00264D5D" w:rsidRDefault="00AD1F54">
            <w:pPr>
              <w:pStyle w:val="EBTablenorm"/>
              <w:widowControl w:val="0"/>
              <w:ind w:left="57" w:right="57"/>
              <w:contextualSpacing w:val="0"/>
              <w:jc w:val="left"/>
              <w:rPr>
                <w:sz w:val="22"/>
                <w:szCs w:val="22"/>
                <w:lang w:val="en-US"/>
              </w:rPr>
            </w:pPr>
          </w:p>
        </w:tc>
        <w:tc>
          <w:tcPr>
            <w:tcW w:w="567" w:type="dxa"/>
          </w:tcPr>
          <w:p w14:paraId="6EDE660F" w14:textId="77777777" w:rsidR="00AD1F54" w:rsidRPr="00264D5D" w:rsidRDefault="00941227">
            <w:pPr>
              <w:pStyle w:val="EBTablenorm"/>
              <w:widowControl w:val="0"/>
              <w:ind w:left="57" w:right="57"/>
              <w:contextualSpacing w:val="0"/>
              <w:jc w:val="center"/>
              <w:rPr>
                <w:sz w:val="22"/>
                <w:szCs w:val="22"/>
                <w:lang w:val="en-US"/>
              </w:rPr>
            </w:pPr>
            <w:r w:rsidRPr="00264D5D">
              <w:rPr>
                <w:sz w:val="22"/>
                <w:szCs w:val="22"/>
                <w:lang w:val="en-US"/>
              </w:rPr>
              <w:t>Н</w:t>
            </w:r>
          </w:p>
        </w:tc>
        <w:tc>
          <w:tcPr>
            <w:tcW w:w="3963" w:type="dxa"/>
          </w:tcPr>
          <w:p w14:paraId="64FE5046" w14:textId="77777777" w:rsidR="00AD1F54" w:rsidRPr="00264D5D" w:rsidRDefault="00941227">
            <w:pPr>
              <w:pStyle w:val="EBTablenorm"/>
              <w:widowControl w:val="0"/>
              <w:ind w:left="57" w:right="57"/>
              <w:contextualSpacing w:val="0"/>
              <w:rPr>
                <w:sz w:val="22"/>
                <w:szCs w:val="22"/>
              </w:rPr>
            </w:pPr>
            <w:r w:rsidRPr="00264D5D">
              <w:rPr>
                <w:sz w:val="22"/>
                <w:szCs w:val="22"/>
              </w:rPr>
              <w:t>Месяц осуществления платежа.</w:t>
            </w:r>
          </w:p>
          <w:p w14:paraId="0B5A6CF8" w14:textId="77777777" w:rsidR="00AD1F54" w:rsidRPr="00264D5D" w:rsidRDefault="00941227">
            <w:pPr>
              <w:pStyle w:val="EBTablenorm"/>
              <w:widowControl w:val="0"/>
              <w:ind w:left="57" w:right="57"/>
              <w:contextualSpacing w:val="0"/>
              <w:rPr>
                <w:sz w:val="22"/>
                <w:szCs w:val="22"/>
              </w:rPr>
            </w:pPr>
            <w:r w:rsidRPr="00264D5D">
              <w:rPr>
                <w:sz w:val="22"/>
                <w:szCs w:val="22"/>
              </w:rPr>
              <w:t>Допустимые значения:</w:t>
            </w:r>
            <w:r w:rsidRPr="00264D5D">
              <w:t xml:space="preserve"> </w:t>
            </w:r>
          </w:p>
          <w:p w14:paraId="271309E9" w14:textId="77777777" w:rsidR="00AD1F54" w:rsidRPr="00264D5D" w:rsidRDefault="00941227" w:rsidP="00E7460C">
            <w:pPr>
              <w:pStyle w:val="EBTablenorm"/>
              <w:widowControl w:val="0"/>
              <w:numPr>
                <w:ilvl w:val="0"/>
                <w:numId w:val="107"/>
              </w:numPr>
              <w:ind w:left="284" w:right="57" w:hanging="227"/>
              <w:contextualSpacing w:val="0"/>
              <w:rPr>
                <w:sz w:val="22"/>
                <w:szCs w:val="22"/>
              </w:rPr>
            </w:pPr>
            <w:r w:rsidRPr="00264D5D">
              <w:rPr>
                <w:sz w:val="22"/>
                <w:szCs w:val="22"/>
              </w:rPr>
              <w:t>«01» – январь;</w:t>
            </w:r>
          </w:p>
          <w:p w14:paraId="207002BE" w14:textId="77777777" w:rsidR="00AD1F54" w:rsidRPr="00264D5D" w:rsidRDefault="00941227" w:rsidP="00E7460C">
            <w:pPr>
              <w:pStyle w:val="EBTablenorm"/>
              <w:widowControl w:val="0"/>
              <w:numPr>
                <w:ilvl w:val="0"/>
                <w:numId w:val="107"/>
              </w:numPr>
              <w:ind w:left="284" w:right="57" w:hanging="227"/>
              <w:contextualSpacing w:val="0"/>
              <w:rPr>
                <w:sz w:val="22"/>
                <w:szCs w:val="22"/>
              </w:rPr>
            </w:pPr>
            <w:r w:rsidRPr="00264D5D">
              <w:rPr>
                <w:sz w:val="22"/>
                <w:szCs w:val="22"/>
              </w:rPr>
              <w:t>«02» – февраль;</w:t>
            </w:r>
          </w:p>
          <w:p w14:paraId="0425F75D" w14:textId="77777777" w:rsidR="00AD1F54" w:rsidRPr="00264D5D" w:rsidRDefault="00941227" w:rsidP="00E7460C">
            <w:pPr>
              <w:pStyle w:val="EBTablenorm"/>
              <w:widowControl w:val="0"/>
              <w:numPr>
                <w:ilvl w:val="0"/>
                <w:numId w:val="107"/>
              </w:numPr>
              <w:ind w:left="284" w:right="57" w:hanging="227"/>
              <w:contextualSpacing w:val="0"/>
              <w:rPr>
                <w:sz w:val="22"/>
                <w:szCs w:val="22"/>
              </w:rPr>
            </w:pPr>
            <w:r w:rsidRPr="00264D5D">
              <w:rPr>
                <w:sz w:val="22"/>
                <w:szCs w:val="22"/>
              </w:rPr>
              <w:t>«03» – март;</w:t>
            </w:r>
          </w:p>
          <w:p w14:paraId="3F8F5113" w14:textId="77777777" w:rsidR="00AD1F54" w:rsidRPr="00264D5D" w:rsidRDefault="00941227" w:rsidP="00E7460C">
            <w:pPr>
              <w:pStyle w:val="EBTablenorm"/>
              <w:widowControl w:val="0"/>
              <w:numPr>
                <w:ilvl w:val="0"/>
                <w:numId w:val="107"/>
              </w:numPr>
              <w:ind w:left="284" w:right="57" w:hanging="227"/>
              <w:contextualSpacing w:val="0"/>
              <w:rPr>
                <w:sz w:val="22"/>
                <w:szCs w:val="22"/>
              </w:rPr>
            </w:pPr>
            <w:r w:rsidRPr="00264D5D">
              <w:rPr>
                <w:sz w:val="22"/>
                <w:szCs w:val="22"/>
              </w:rPr>
              <w:t>«04» – апрель;</w:t>
            </w:r>
          </w:p>
          <w:p w14:paraId="782618C5" w14:textId="77777777" w:rsidR="00AD1F54" w:rsidRPr="00264D5D" w:rsidRDefault="00941227" w:rsidP="00E7460C">
            <w:pPr>
              <w:pStyle w:val="EBTablenorm"/>
              <w:widowControl w:val="0"/>
              <w:numPr>
                <w:ilvl w:val="0"/>
                <w:numId w:val="107"/>
              </w:numPr>
              <w:ind w:left="284" w:right="57" w:hanging="227"/>
              <w:contextualSpacing w:val="0"/>
              <w:rPr>
                <w:sz w:val="22"/>
                <w:szCs w:val="22"/>
              </w:rPr>
            </w:pPr>
            <w:r w:rsidRPr="00264D5D">
              <w:rPr>
                <w:sz w:val="22"/>
                <w:szCs w:val="22"/>
              </w:rPr>
              <w:t>«05» – май;</w:t>
            </w:r>
          </w:p>
          <w:p w14:paraId="689139B8" w14:textId="77777777" w:rsidR="00AD1F54" w:rsidRPr="00264D5D" w:rsidRDefault="00941227" w:rsidP="00E7460C">
            <w:pPr>
              <w:pStyle w:val="EBTablenorm"/>
              <w:widowControl w:val="0"/>
              <w:numPr>
                <w:ilvl w:val="0"/>
                <w:numId w:val="107"/>
              </w:numPr>
              <w:ind w:left="284" w:right="57" w:hanging="227"/>
              <w:contextualSpacing w:val="0"/>
              <w:rPr>
                <w:sz w:val="22"/>
                <w:szCs w:val="22"/>
              </w:rPr>
            </w:pPr>
            <w:r w:rsidRPr="00264D5D">
              <w:rPr>
                <w:sz w:val="22"/>
                <w:szCs w:val="22"/>
              </w:rPr>
              <w:t>«06» – июнь;</w:t>
            </w:r>
          </w:p>
          <w:p w14:paraId="2660474C" w14:textId="77777777" w:rsidR="00AD1F54" w:rsidRPr="00264D5D" w:rsidRDefault="00941227" w:rsidP="00E7460C">
            <w:pPr>
              <w:pStyle w:val="EBTablenorm"/>
              <w:widowControl w:val="0"/>
              <w:numPr>
                <w:ilvl w:val="0"/>
                <w:numId w:val="107"/>
              </w:numPr>
              <w:ind w:left="284" w:right="57" w:hanging="227"/>
              <w:contextualSpacing w:val="0"/>
              <w:rPr>
                <w:sz w:val="22"/>
                <w:szCs w:val="22"/>
              </w:rPr>
            </w:pPr>
            <w:r w:rsidRPr="00264D5D">
              <w:rPr>
                <w:sz w:val="22"/>
                <w:szCs w:val="22"/>
              </w:rPr>
              <w:t>«07» – июль;</w:t>
            </w:r>
          </w:p>
          <w:p w14:paraId="569C0753" w14:textId="77777777" w:rsidR="00AD1F54" w:rsidRPr="00264D5D" w:rsidRDefault="00941227" w:rsidP="00E7460C">
            <w:pPr>
              <w:pStyle w:val="EBTablenorm"/>
              <w:widowControl w:val="0"/>
              <w:numPr>
                <w:ilvl w:val="0"/>
                <w:numId w:val="107"/>
              </w:numPr>
              <w:ind w:left="284" w:right="57" w:hanging="227"/>
              <w:contextualSpacing w:val="0"/>
              <w:rPr>
                <w:sz w:val="22"/>
                <w:szCs w:val="22"/>
              </w:rPr>
            </w:pPr>
            <w:r w:rsidRPr="00264D5D">
              <w:rPr>
                <w:sz w:val="22"/>
                <w:szCs w:val="22"/>
              </w:rPr>
              <w:t>«08» – август;</w:t>
            </w:r>
          </w:p>
          <w:p w14:paraId="3AD1D764" w14:textId="77777777" w:rsidR="00AD1F54" w:rsidRPr="00264D5D" w:rsidRDefault="00941227" w:rsidP="00E7460C">
            <w:pPr>
              <w:pStyle w:val="EBTablenorm"/>
              <w:widowControl w:val="0"/>
              <w:numPr>
                <w:ilvl w:val="0"/>
                <w:numId w:val="107"/>
              </w:numPr>
              <w:ind w:left="284" w:right="57" w:hanging="227"/>
              <w:contextualSpacing w:val="0"/>
              <w:rPr>
                <w:sz w:val="22"/>
                <w:szCs w:val="22"/>
              </w:rPr>
            </w:pPr>
            <w:r w:rsidRPr="00264D5D">
              <w:rPr>
                <w:sz w:val="22"/>
                <w:szCs w:val="22"/>
              </w:rPr>
              <w:t>«09» – сентябрь;</w:t>
            </w:r>
          </w:p>
          <w:p w14:paraId="1F40E1CF" w14:textId="77777777" w:rsidR="00AD1F54" w:rsidRPr="00264D5D" w:rsidRDefault="00941227" w:rsidP="00E7460C">
            <w:pPr>
              <w:pStyle w:val="EBTablenorm"/>
              <w:widowControl w:val="0"/>
              <w:numPr>
                <w:ilvl w:val="0"/>
                <w:numId w:val="107"/>
              </w:numPr>
              <w:ind w:left="284" w:right="57" w:hanging="227"/>
              <w:contextualSpacing w:val="0"/>
              <w:rPr>
                <w:sz w:val="22"/>
                <w:szCs w:val="22"/>
              </w:rPr>
            </w:pPr>
            <w:r w:rsidRPr="00264D5D">
              <w:rPr>
                <w:sz w:val="22"/>
                <w:szCs w:val="22"/>
              </w:rPr>
              <w:t>«10» – октябрь;</w:t>
            </w:r>
          </w:p>
          <w:p w14:paraId="17238ACF" w14:textId="77777777" w:rsidR="00AD1F54" w:rsidRPr="00264D5D" w:rsidRDefault="00941227" w:rsidP="00E7460C">
            <w:pPr>
              <w:pStyle w:val="EBTablenorm"/>
              <w:widowControl w:val="0"/>
              <w:numPr>
                <w:ilvl w:val="0"/>
                <w:numId w:val="107"/>
              </w:numPr>
              <w:ind w:left="284" w:right="57" w:hanging="227"/>
              <w:contextualSpacing w:val="0"/>
              <w:rPr>
                <w:sz w:val="22"/>
                <w:szCs w:val="22"/>
              </w:rPr>
            </w:pPr>
            <w:r w:rsidRPr="00264D5D">
              <w:rPr>
                <w:sz w:val="22"/>
                <w:szCs w:val="22"/>
              </w:rPr>
              <w:t>«11» – ноябрь;</w:t>
            </w:r>
          </w:p>
          <w:p w14:paraId="4990DB0D" w14:textId="77777777" w:rsidR="00AD1F54" w:rsidRPr="00264D5D" w:rsidRDefault="00941227" w:rsidP="00E7460C">
            <w:pPr>
              <w:pStyle w:val="EBTablenorm"/>
              <w:widowControl w:val="0"/>
              <w:numPr>
                <w:ilvl w:val="0"/>
                <w:numId w:val="107"/>
              </w:numPr>
              <w:ind w:left="284" w:right="57" w:hanging="227"/>
              <w:contextualSpacing w:val="0"/>
              <w:rPr>
                <w:sz w:val="22"/>
                <w:szCs w:val="22"/>
              </w:rPr>
            </w:pPr>
            <w:r w:rsidRPr="00264D5D">
              <w:rPr>
                <w:sz w:val="22"/>
                <w:szCs w:val="22"/>
              </w:rPr>
              <w:t>«12» – декабрь.</w:t>
            </w:r>
          </w:p>
          <w:p w14:paraId="55304FDF" w14:textId="77777777" w:rsidR="00AD1F54" w:rsidRPr="00264D5D" w:rsidRDefault="00941227">
            <w:pPr>
              <w:pStyle w:val="EBTablenorm"/>
              <w:widowControl w:val="0"/>
              <w:ind w:left="57" w:right="57"/>
              <w:contextualSpacing w:val="0"/>
              <w:rPr>
                <w:sz w:val="22"/>
                <w:szCs w:val="22"/>
              </w:rPr>
            </w:pPr>
            <w:r w:rsidRPr="00264D5D">
              <w:rPr>
                <w:sz w:val="22"/>
                <w:szCs w:val="22"/>
              </w:rPr>
              <w:t>Обязательно для заполнения при указании в элементе «</w:t>
            </w:r>
            <w:r w:rsidRPr="00264D5D">
              <w:rPr>
                <w:bCs/>
                <w:sz w:val="22"/>
                <w:szCs w:val="22"/>
              </w:rPr>
              <w:t>Год осуществления платежа</w:t>
            </w:r>
            <w:r w:rsidRPr="00264D5D">
              <w:rPr>
                <w:sz w:val="22"/>
                <w:szCs w:val="22"/>
              </w:rPr>
              <w:t>» текущего</w:t>
            </w:r>
            <w:r w:rsidR="007E37F3" w:rsidRPr="00264D5D">
              <w:rPr>
                <w:sz w:val="22"/>
                <w:szCs w:val="22"/>
              </w:rPr>
              <w:t xml:space="preserve"> финансового года</w:t>
            </w:r>
          </w:p>
        </w:tc>
      </w:tr>
      <w:tr w:rsidR="00AD1F54" w:rsidRPr="00264D5D" w14:paraId="31859AFA"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59ED39FE" w14:textId="77777777" w:rsidR="00AD1F54" w:rsidRPr="00264D5D" w:rsidRDefault="00941227">
            <w:pPr>
              <w:pStyle w:val="EBTableHead"/>
              <w:ind w:left="57" w:right="57"/>
              <w:contextualSpacing w:val="0"/>
              <w:jc w:val="both"/>
              <w:rPr>
                <w:b w:val="0"/>
                <w:bCs w:val="0"/>
                <w:sz w:val="22"/>
                <w:szCs w:val="22"/>
              </w:rPr>
            </w:pPr>
            <w:r w:rsidRPr="00264D5D">
              <w:rPr>
                <w:b w:val="0"/>
                <w:bCs w:val="0"/>
                <w:sz w:val="22"/>
                <w:szCs w:val="22"/>
              </w:rPr>
              <w:t>Год осуществления платежа</w:t>
            </w:r>
          </w:p>
        </w:tc>
        <w:tc>
          <w:tcPr>
            <w:tcW w:w="1701" w:type="dxa"/>
          </w:tcPr>
          <w:p w14:paraId="7CD6A5C7" w14:textId="77777777" w:rsidR="00AD1F54" w:rsidRPr="00264D5D" w:rsidRDefault="00941227">
            <w:pPr>
              <w:pStyle w:val="EBTablenorm"/>
              <w:ind w:left="57" w:right="57"/>
              <w:contextualSpacing w:val="0"/>
              <w:rPr>
                <w:sz w:val="22"/>
                <w:szCs w:val="22"/>
                <w:lang w:val="en-US"/>
              </w:rPr>
            </w:pPr>
            <w:r w:rsidRPr="00264D5D">
              <w:rPr>
                <w:sz w:val="22"/>
                <w:szCs w:val="22"/>
                <w:lang w:val="en-US"/>
              </w:rPr>
              <w:t>SheduleYear</w:t>
            </w:r>
          </w:p>
        </w:tc>
        <w:tc>
          <w:tcPr>
            <w:tcW w:w="567" w:type="dxa"/>
          </w:tcPr>
          <w:p w14:paraId="51A2C1B2"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6BEDB3FC" w14:textId="77777777" w:rsidR="00AD1F54" w:rsidRPr="00264D5D" w:rsidRDefault="00941227">
            <w:pPr>
              <w:pStyle w:val="EBTablenorm"/>
              <w:ind w:left="57" w:right="57"/>
              <w:contextualSpacing w:val="0"/>
              <w:jc w:val="left"/>
              <w:rPr>
                <w:sz w:val="22"/>
                <w:szCs w:val="22"/>
              </w:rPr>
            </w:pPr>
            <w:r w:rsidRPr="00264D5D">
              <w:rPr>
                <w:sz w:val="22"/>
                <w:szCs w:val="22"/>
                <w:lang w:val="en-US"/>
              </w:rPr>
              <w:t>Т(4)</w:t>
            </w:r>
          </w:p>
        </w:tc>
        <w:tc>
          <w:tcPr>
            <w:tcW w:w="567" w:type="dxa"/>
          </w:tcPr>
          <w:p w14:paraId="191EC116" w14:textId="77777777" w:rsidR="00AD1F54" w:rsidRPr="00264D5D" w:rsidRDefault="00941227">
            <w:pPr>
              <w:pStyle w:val="EBTablenorm"/>
              <w:ind w:left="57" w:right="57"/>
              <w:contextualSpacing w:val="0"/>
              <w:jc w:val="center"/>
              <w:rPr>
                <w:sz w:val="22"/>
                <w:szCs w:val="22"/>
                <w:lang w:val="en-US"/>
              </w:rPr>
            </w:pPr>
            <w:r w:rsidRPr="00264D5D">
              <w:rPr>
                <w:sz w:val="22"/>
                <w:szCs w:val="22"/>
                <w:lang w:val="en-US"/>
              </w:rPr>
              <w:t>Н</w:t>
            </w:r>
          </w:p>
        </w:tc>
        <w:tc>
          <w:tcPr>
            <w:tcW w:w="3963" w:type="dxa"/>
          </w:tcPr>
          <w:p w14:paraId="4BE22A41" w14:textId="77777777" w:rsidR="00AD1F54" w:rsidRPr="00264D5D" w:rsidRDefault="00941227">
            <w:pPr>
              <w:pStyle w:val="EBTableHead"/>
              <w:ind w:left="57" w:right="57"/>
              <w:contextualSpacing w:val="0"/>
              <w:jc w:val="both"/>
              <w:rPr>
                <w:b w:val="0"/>
                <w:bCs w:val="0"/>
                <w:sz w:val="22"/>
                <w:szCs w:val="22"/>
              </w:rPr>
            </w:pPr>
            <w:r w:rsidRPr="00264D5D">
              <w:rPr>
                <w:b w:val="0"/>
                <w:bCs w:val="0"/>
                <w:sz w:val="22"/>
                <w:szCs w:val="22"/>
              </w:rPr>
              <w:t xml:space="preserve">Год осуществления платежа. </w:t>
            </w:r>
          </w:p>
          <w:p w14:paraId="3E7BE178" w14:textId="77777777" w:rsidR="00AD1F54" w:rsidRPr="00264D5D" w:rsidRDefault="00941227">
            <w:pPr>
              <w:pStyle w:val="EBTableHead"/>
              <w:ind w:left="57" w:right="57"/>
              <w:contextualSpacing w:val="0"/>
              <w:jc w:val="both"/>
              <w:rPr>
                <w:b w:val="0"/>
                <w:bCs w:val="0"/>
                <w:sz w:val="22"/>
                <w:szCs w:val="22"/>
              </w:rPr>
            </w:pPr>
            <w:r w:rsidRPr="00264D5D">
              <w:rPr>
                <w:b w:val="0"/>
                <w:bCs w:val="0"/>
                <w:sz w:val="22"/>
                <w:szCs w:val="22"/>
              </w:rPr>
              <w:t xml:space="preserve">Не заполняется для последующих лет по отношению к третьему году </w:t>
            </w:r>
            <w:r w:rsidR="007E37F3" w:rsidRPr="00264D5D">
              <w:rPr>
                <w:b w:val="0"/>
                <w:bCs w:val="0"/>
                <w:sz w:val="22"/>
                <w:szCs w:val="22"/>
              </w:rPr>
              <w:t>после текущего финансового года</w:t>
            </w:r>
          </w:p>
        </w:tc>
      </w:tr>
      <w:tr w:rsidR="00AD1F54" w:rsidRPr="00264D5D" w14:paraId="41F51C18"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D972F40" w14:textId="77777777" w:rsidR="00AD1F54" w:rsidRPr="00264D5D" w:rsidRDefault="00941227">
            <w:pPr>
              <w:pStyle w:val="EBTablenorm"/>
              <w:ind w:left="57" w:right="57"/>
              <w:contextualSpacing w:val="0"/>
              <w:rPr>
                <w:sz w:val="22"/>
                <w:szCs w:val="22"/>
              </w:rPr>
            </w:pPr>
            <w:r w:rsidRPr="00264D5D">
              <w:rPr>
                <w:sz w:val="22"/>
                <w:szCs w:val="22"/>
              </w:rPr>
              <w:t>Сумма платежа в валюте</w:t>
            </w:r>
          </w:p>
        </w:tc>
        <w:tc>
          <w:tcPr>
            <w:tcW w:w="1701" w:type="dxa"/>
          </w:tcPr>
          <w:p w14:paraId="5BFCA08F" w14:textId="77777777" w:rsidR="00AD1F54" w:rsidRPr="00264D5D" w:rsidRDefault="00941227">
            <w:pPr>
              <w:pStyle w:val="EBTablenorm"/>
              <w:ind w:left="57" w:right="57"/>
              <w:contextualSpacing w:val="0"/>
              <w:rPr>
                <w:sz w:val="22"/>
                <w:szCs w:val="22"/>
                <w:lang w:val="en-US"/>
              </w:rPr>
            </w:pPr>
            <w:r w:rsidRPr="00264D5D">
              <w:rPr>
                <w:sz w:val="22"/>
                <w:szCs w:val="22"/>
                <w:lang w:val="en-US"/>
              </w:rPr>
              <w:t>SheduleSumInf_sum</w:t>
            </w:r>
          </w:p>
        </w:tc>
        <w:tc>
          <w:tcPr>
            <w:tcW w:w="567" w:type="dxa"/>
          </w:tcPr>
          <w:p w14:paraId="05A886F6"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2D4E4C42" w14:textId="77777777" w:rsidR="00AD1F54" w:rsidRPr="00264D5D" w:rsidRDefault="00941227">
            <w:pPr>
              <w:pStyle w:val="EBTablenorm"/>
              <w:ind w:left="57" w:right="57"/>
              <w:contextualSpacing w:val="0"/>
              <w:jc w:val="left"/>
              <w:rPr>
                <w:sz w:val="22"/>
                <w:szCs w:val="22"/>
                <w:lang w:val="en-US"/>
              </w:rPr>
            </w:pPr>
            <w:r w:rsidRPr="00264D5D">
              <w:rPr>
                <w:rFonts w:eastAsia="Calibri"/>
                <w:sz w:val="22"/>
                <w:szCs w:val="22"/>
              </w:rPr>
              <w:t>N(14.2)</w:t>
            </w:r>
          </w:p>
        </w:tc>
        <w:tc>
          <w:tcPr>
            <w:tcW w:w="567" w:type="dxa"/>
          </w:tcPr>
          <w:p w14:paraId="2FD03EFE" w14:textId="77777777" w:rsidR="00AD1F54" w:rsidRPr="00264D5D" w:rsidRDefault="00941227">
            <w:pPr>
              <w:pStyle w:val="EBTablenorm"/>
              <w:ind w:left="57" w:right="57"/>
              <w:contextualSpacing w:val="0"/>
              <w:jc w:val="center"/>
              <w:rPr>
                <w:sz w:val="22"/>
                <w:szCs w:val="22"/>
                <w:lang w:val="en-US"/>
              </w:rPr>
            </w:pPr>
            <w:r w:rsidRPr="00264D5D">
              <w:rPr>
                <w:sz w:val="22"/>
                <w:szCs w:val="22"/>
                <w:lang w:val="en-US"/>
              </w:rPr>
              <w:t>О</w:t>
            </w:r>
          </w:p>
        </w:tc>
        <w:tc>
          <w:tcPr>
            <w:tcW w:w="3963" w:type="dxa"/>
          </w:tcPr>
          <w:p w14:paraId="630D66E5" w14:textId="77777777" w:rsidR="00AD1F54" w:rsidRPr="00264D5D" w:rsidRDefault="00941227">
            <w:pPr>
              <w:pStyle w:val="EBTableHead"/>
              <w:ind w:left="57" w:right="57"/>
              <w:contextualSpacing w:val="0"/>
              <w:jc w:val="both"/>
              <w:rPr>
                <w:b w:val="0"/>
                <w:bCs w:val="0"/>
                <w:sz w:val="22"/>
                <w:szCs w:val="22"/>
              </w:rPr>
            </w:pPr>
            <w:r w:rsidRPr="00264D5D">
              <w:rPr>
                <w:b w:val="0"/>
                <w:bCs w:val="0"/>
                <w:sz w:val="22"/>
                <w:szCs w:val="22"/>
              </w:rPr>
              <w:t>Сумма платежа в единицах указанной валюты. С точностью до сотого знака после запятой.</w:t>
            </w:r>
          </w:p>
          <w:p w14:paraId="14314A1E" w14:textId="77777777" w:rsidR="00AD1F54" w:rsidRPr="00264D5D" w:rsidRDefault="00941227">
            <w:pPr>
              <w:pStyle w:val="EBTableHead"/>
              <w:ind w:left="57" w:right="57"/>
              <w:contextualSpacing w:val="0"/>
              <w:jc w:val="both"/>
              <w:rPr>
                <w:b w:val="0"/>
                <w:bCs w:val="0"/>
                <w:sz w:val="22"/>
                <w:szCs w:val="22"/>
              </w:rPr>
            </w:pPr>
            <w:r w:rsidRPr="00264D5D">
              <w:rPr>
                <w:b w:val="0"/>
                <w:bCs w:val="0"/>
                <w:sz w:val="22"/>
                <w:szCs w:val="22"/>
              </w:rPr>
              <w:t xml:space="preserve">При указании в элементе «Тип сведений о соглашении» значения «3», «4» указывается изменение сумм: со знаком «плюс» при их увеличении, со знаком </w:t>
            </w:r>
            <w:r w:rsidR="007E37F3" w:rsidRPr="00264D5D">
              <w:rPr>
                <w:b w:val="0"/>
                <w:bCs w:val="0"/>
                <w:sz w:val="22"/>
                <w:szCs w:val="22"/>
              </w:rPr>
              <w:t>«минус» при их уменьшении</w:t>
            </w:r>
          </w:p>
        </w:tc>
      </w:tr>
      <w:tr w:rsidR="00AD1F54" w:rsidRPr="00264D5D" w14:paraId="0A46CCC9"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3438B39" w14:textId="77777777" w:rsidR="00AD1F54" w:rsidRPr="00264D5D" w:rsidRDefault="00941227">
            <w:pPr>
              <w:pStyle w:val="EBTablenorm"/>
              <w:ind w:left="57" w:right="57"/>
              <w:contextualSpacing w:val="0"/>
              <w:rPr>
                <w:sz w:val="22"/>
                <w:szCs w:val="22"/>
              </w:rPr>
            </w:pPr>
            <w:r w:rsidRPr="00264D5D">
              <w:rPr>
                <w:sz w:val="22"/>
                <w:szCs w:val="22"/>
              </w:rPr>
              <w:t>Сумма платежа в рублях</w:t>
            </w:r>
          </w:p>
        </w:tc>
        <w:tc>
          <w:tcPr>
            <w:tcW w:w="1701" w:type="dxa"/>
          </w:tcPr>
          <w:p w14:paraId="014106FE" w14:textId="77777777" w:rsidR="00AD1F54" w:rsidRPr="00264D5D" w:rsidRDefault="00941227">
            <w:pPr>
              <w:pStyle w:val="EBTablenorm"/>
              <w:ind w:left="57" w:right="57"/>
              <w:contextualSpacing w:val="0"/>
              <w:rPr>
                <w:sz w:val="22"/>
                <w:szCs w:val="22"/>
                <w:lang w:val="en-US"/>
              </w:rPr>
            </w:pPr>
            <w:r w:rsidRPr="00264D5D">
              <w:rPr>
                <w:sz w:val="22"/>
                <w:szCs w:val="22"/>
                <w:lang w:val="en-US"/>
              </w:rPr>
              <w:t>SheduleSumInf_FrgnSum</w:t>
            </w:r>
          </w:p>
        </w:tc>
        <w:tc>
          <w:tcPr>
            <w:tcW w:w="567" w:type="dxa"/>
          </w:tcPr>
          <w:p w14:paraId="36B5E65C"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7B533814" w14:textId="77777777" w:rsidR="00AD1F54" w:rsidRPr="00264D5D" w:rsidRDefault="00941227">
            <w:pPr>
              <w:pStyle w:val="EBTablenorm"/>
              <w:ind w:left="57" w:right="57"/>
              <w:contextualSpacing w:val="0"/>
              <w:jc w:val="left"/>
              <w:rPr>
                <w:sz w:val="22"/>
                <w:szCs w:val="22"/>
                <w:lang w:val="en-US"/>
              </w:rPr>
            </w:pPr>
            <w:r w:rsidRPr="00264D5D">
              <w:rPr>
                <w:rFonts w:eastAsia="Calibri"/>
                <w:sz w:val="22"/>
                <w:szCs w:val="22"/>
              </w:rPr>
              <w:t>N(14.2)</w:t>
            </w:r>
          </w:p>
        </w:tc>
        <w:tc>
          <w:tcPr>
            <w:tcW w:w="567" w:type="dxa"/>
          </w:tcPr>
          <w:p w14:paraId="429B48B5" w14:textId="77777777" w:rsidR="00AD1F54" w:rsidRPr="00264D5D" w:rsidRDefault="00941227">
            <w:pPr>
              <w:pStyle w:val="EBTablenorm"/>
              <w:ind w:left="57" w:right="57"/>
              <w:contextualSpacing w:val="0"/>
              <w:jc w:val="center"/>
              <w:rPr>
                <w:sz w:val="22"/>
                <w:szCs w:val="22"/>
                <w:lang w:val="en-US"/>
              </w:rPr>
            </w:pPr>
            <w:r w:rsidRPr="00264D5D">
              <w:rPr>
                <w:sz w:val="22"/>
                <w:szCs w:val="22"/>
                <w:lang w:val="en-US"/>
              </w:rPr>
              <w:t>О</w:t>
            </w:r>
          </w:p>
        </w:tc>
        <w:tc>
          <w:tcPr>
            <w:tcW w:w="3963" w:type="dxa"/>
          </w:tcPr>
          <w:p w14:paraId="5A4121E4" w14:textId="77777777" w:rsidR="00AD1F54" w:rsidRPr="00264D5D" w:rsidRDefault="00941227">
            <w:pPr>
              <w:pStyle w:val="EBTableHead"/>
              <w:ind w:left="57" w:right="57"/>
              <w:contextualSpacing w:val="0"/>
              <w:jc w:val="both"/>
              <w:rPr>
                <w:b w:val="0"/>
                <w:bCs w:val="0"/>
                <w:sz w:val="22"/>
                <w:szCs w:val="22"/>
              </w:rPr>
            </w:pPr>
            <w:r w:rsidRPr="00264D5D">
              <w:rPr>
                <w:b w:val="0"/>
                <w:bCs w:val="0"/>
                <w:sz w:val="22"/>
                <w:szCs w:val="22"/>
              </w:rPr>
              <w:t>Сумма в пересчете на рубли.</w:t>
            </w:r>
          </w:p>
          <w:p w14:paraId="0FBE1560" w14:textId="77777777" w:rsidR="00AD1F54" w:rsidRPr="00264D5D" w:rsidRDefault="00941227">
            <w:pPr>
              <w:pStyle w:val="EBTableHead"/>
              <w:ind w:left="57" w:right="57"/>
              <w:contextualSpacing w:val="0"/>
              <w:jc w:val="both"/>
              <w:rPr>
                <w:b w:val="0"/>
                <w:bCs w:val="0"/>
                <w:sz w:val="22"/>
                <w:szCs w:val="22"/>
              </w:rPr>
            </w:pPr>
            <w:r w:rsidRPr="00264D5D">
              <w:rPr>
                <w:b w:val="0"/>
                <w:bCs w:val="0"/>
                <w:sz w:val="22"/>
                <w:szCs w:val="22"/>
              </w:rPr>
              <w:t>При указании в элементе «Тип сведений о соглашении» значения «3», «4» указывается изменение сумм: со знаком «плюс» при их увеличении, со з</w:t>
            </w:r>
            <w:r w:rsidR="007E37F3" w:rsidRPr="00264D5D">
              <w:rPr>
                <w:b w:val="0"/>
                <w:bCs w:val="0"/>
                <w:sz w:val="22"/>
                <w:szCs w:val="22"/>
              </w:rPr>
              <w:t xml:space="preserve">наком </w:t>
            </w:r>
            <w:r w:rsidR="007E37F3" w:rsidRPr="00264D5D">
              <w:rPr>
                <w:b w:val="0"/>
                <w:bCs w:val="0"/>
                <w:sz w:val="22"/>
                <w:szCs w:val="22"/>
              </w:rPr>
              <w:lastRenderedPageBreak/>
              <w:t>«минус» при их уменьшении</w:t>
            </w:r>
          </w:p>
        </w:tc>
      </w:tr>
    </w:tbl>
    <w:p w14:paraId="592AE461" w14:textId="77777777" w:rsidR="00AD1F54" w:rsidRPr="00264D5D" w:rsidRDefault="00941227">
      <w:pPr>
        <w:pStyle w:val="31"/>
      </w:pPr>
      <w:bookmarkStart w:id="2085" w:name="_Toc496984049"/>
      <w:bookmarkStart w:id="2086" w:name="_Toc219309682"/>
      <w:r w:rsidRPr="00264D5D">
        <w:lastRenderedPageBreak/>
        <w:t>Описание комплексного типа «tSgnGRBS_PBS»</w:t>
      </w:r>
      <w:bookmarkEnd w:id="2085"/>
      <w:bookmarkEnd w:id="2086"/>
    </w:p>
    <w:p w14:paraId="5D884144" w14:textId="77777777" w:rsidR="00AD1F54" w:rsidRPr="00264D5D" w:rsidRDefault="00941227">
      <w:pPr>
        <w:spacing w:before="60" w:after="120"/>
        <w:ind w:firstLine="567"/>
        <w:rPr>
          <w:szCs w:val="24"/>
        </w:rPr>
      </w:pPr>
      <w:r w:rsidRPr="00264D5D">
        <w:rPr>
          <w:szCs w:val="24"/>
        </w:rPr>
        <w:t xml:space="preserve">Описание комплексного типа «tSgnGRBS_PBS» </w:t>
      </w:r>
      <w:r w:rsidRPr="00264D5D">
        <w:t>блока «</w:t>
      </w:r>
      <w:r w:rsidRPr="00264D5D">
        <w:rPr>
          <w:szCs w:val="24"/>
        </w:rPr>
        <w:t>Подписи ГРБС/подведомственного ГРБС ПБС».</w:t>
      </w:r>
    </w:p>
    <w:p w14:paraId="4F3CBA59" w14:textId="5B441043"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2087" w:name="_Ref494366260"/>
      <w:bookmarkStart w:id="2088" w:name="_Toc30503399"/>
      <w:bookmarkStart w:id="2089" w:name="_Toc30507997"/>
      <w:bookmarkStart w:id="2090" w:name="_Toc219309250"/>
      <w:r w:rsidR="008D797C">
        <w:rPr>
          <w:rFonts w:eastAsia="Calibri"/>
          <w:noProof/>
          <w:szCs w:val="24"/>
        </w:rPr>
        <w:t>220</w:t>
      </w:r>
      <w:bookmarkEnd w:id="2087"/>
      <w:r w:rsidRPr="00264D5D">
        <w:rPr>
          <w:rFonts w:eastAsia="Calibri"/>
          <w:szCs w:val="24"/>
        </w:rPr>
        <w:fldChar w:fldCharType="end"/>
      </w:r>
      <w:r w:rsidRPr="00264D5D">
        <w:rPr>
          <w:rFonts w:eastAsia="Calibri"/>
          <w:szCs w:val="24"/>
        </w:rPr>
        <w:t xml:space="preserve"> – Описание комплексного типа «tSgnGRBS_PBS»</w:t>
      </w:r>
      <w:bookmarkEnd w:id="2088"/>
      <w:bookmarkEnd w:id="2089"/>
      <w:bookmarkEnd w:id="2090"/>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327F3C74"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67C5D0B4" w14:textId="77777777" w:rsidR="00AD1F54" w:rsidRPr="00264D5D" w:rsidRDefault="00941227">
            <w:pPr>
              <w:pStyle w:val="EBTableHead"/>
              <w:ind w:left="57" w:right="57"/>
              <w:contextualSpacing w:val="0"/>
              <w:rPr>
                <w:sz w:val="22"/>
                <w:szCs w:val="22"/>
              </w:rPr>
            </w:pPr>
            <w:r w:rsidRPr="00264D5D">
              <w:rPr>
                <w:bCs w:val="0"/>
                <w:sz w:val="22"/>
                <w:szCs w:val="22"/>
              </w:rPr>
              <w:t>Наименование элемента</w:t>
            </w:r>
          </w:p>
        </w:tc>
        <w:tc>
          <w:tcPr>
            <w:tcW w:w="1701" w:type="dxa"/>
          </w:tcPr>
          <w:p w14:paraId="2AE48A92" w14:textId="77777777" w:rsidR="00AD1F54" w:rsidRPr="00264D5D" w:rsidRDefault="00941227">
            <w:pPr>
              <w:pStyle w:val="EBTableHead"/>
              <w:ind w:left="57" w:right="57"/>
              <w:contextualSpacing w:val="0"/>
              <w:rPr>
                <w:sz w:val="22"/>
                <w:szCs w:val="22"/>
              </w:rPr>
            </w:pPr>
            <w:r w:rsidRPr="00264D5D">
              <w:rPr>
                <w:bCs w:val="0"/>
                <w:sz w:val="22"/>
                <w:szCs w:val="22"/>
              </w:rPr>
              <w:t>Сокращенное наименование (код) элемента</w:t>
            </w:r>
          </w:p>
        </w:tc>
        <w:tc>
          <w:tcPr>
            <w:tcW w:w="567" w:type="dxa"/>
          </w:tcPr>
          <w:p w14:paraId="1CA4BC36" w14:textId="77777777" w:rsidR="00AD1F54" w:rsidRPr="00264D5D" w:rsidRDefault="00941227">
            <w:pPr>
              <w:pStyle w:val="EBTableHead"/>
              <w:ind w:left="57" w:right="57"/>
              <w:contextualSpacing w:val="0"/>
              <w:rPr>
                <w:sz w:val="22"/>
                <w:szCs w:val="22"/>
              </w:rPr>
            </w:pPr>
            <w:r w:rsidRPr="00264D5D">
              <w:rPr>
                <w:bCs w:val="0"/>
                <w:sz w:val="22"/>
                <w:szCs w:val="22"/>
              </w:rPr>
              <w:t>Тип</w:t>
            </w:r>
          </w:p>
        </w:tc>
        <w:tc>
          <w:tcPr>
            <w:tcW w:w="1134" w:type="dxa"/>
          </w:tcPr>
          <w:p w14:paraId="76D52DCB" w14:textId="77777777" w:rsidR="00AD1F54" w:rsidRPr="00264D5D" w:rsidRDefault="00941227">
            <w:pPr>
              <w:pStyle w:val="EBTableHead"/>
              <w:ind w:left="57" w:right="57"/>
              <w:contextualSpacing w:val="0"/>
              <w:rPr>
                <w:sz w:val="22"/>
                <w:szCs w:val="22"/>
              </w:rPr>
            </w:pPr>
            <w:r w:rsidRPr="00264D5D">
              <w:rPr>
                <w:bCs w:val="0"/>
                <w:sz w:val="22"/>
                <w:szCs w:val="22"/>
              </w:rPr>
              <w:t>Формат элемента</w:t>
            </w:r>
          </w:p>
        </w:tc>
        <w:tc>
          <w:tcPr>
            <w:tcW w:w="567" w:type="dxa"/>
          </w:tcPr>
          <w:p w14:paraId="6B4ABE34" w14:textId="77777777" w:rsidR="00AD1F54" w:rsidRPr="00264D5D" w:rsidRDefault="00941227">
            <w:pPr>
              <w:spacing w:before="60" w:after="60"/>
              <w:ind w:left="57" w:right="57"/>
              <w:jc w:val="center"/>
              <w:rPr>
                <w:b/>
                <w:bCs/>
                <w:sz w:val="22"/>
                <w:szCs w:val="22"/>
              </w:rPr>
            </w:pPr>
            <w:r w:rsidRPr="00264D5D">
              <w:rPr>
                <w:b/>
                <w:bCs/>
                <w:sz w:val="22"/>
                <w:szCs w:val="22"/>
              </w:rPr>
              <w:t>Обязательность</w:t>
            </w:r>
          </w:p>
        </w:tc>
        <w:tc>
          <w:tcPr>
            <w:tcW w:w="3963" w:type="dxa"/>
          </w:tcPr>
          <w:p w14:paraId="2D6FBBAA" w14:textId="77777777" w:rsidR="00AD1F54" w:rsidRPr="00264D5D" w:rsidRDefault="00941227">
            <w:pPr>
              <w:pStyle w:val="EBTableHead"/>
              <w:ind w:left="57" w:right="57"/>
              <w:contextualSpacing w:val="0"/>
              <w:rPr>
                <w:sz w:val="22"/>
                <w:szCs w:val="22"/>
              </w:rPr>
            </w:pPr>
            <w:r w:rsidRPr="00264D5D">
              <w:rPr>
                <w:bCs w:val="0"/>
                <w:sz w:val="22"/>
                <w:szCs w:val="22"/>
              </w:rPr>
              <w:t>Дополнительная информация</w:t>
            </w:r>
          </w:p>
        </w:tc>
      </w:tr>
      <w:tr w:rsidR="00AD1F54" w:rsidRPr="00264D5D" w14:paraId="06687757"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563F03DC" w14:textId="77777777" w:rsidR="00AD1F54" w:rsidRPr="00264D5D" w:rsidRDefault="00941227">
            <w:pPr>
              <w:pStyle w:val="EBTablenorm"/>
              <w:ind w:left="57" w:right="57"/>
              <w:contextualSpacing w:val="0"/>
              <w:rPr>
                <w:sz w:val="22"/>
                <w:szCs w:val="22"/>
                <w:lang w:val="en-US"/>
              </w:rPr>
            </w:pPr>
            <w:r w:rsidRPr="00264D5D">
              <w:rPr>
                <w:sz w:val="22"/>
                <w:szCs w:val="22"/>
                <w:lang w:val="en-US"/>
              </w:rPr>
              <w:t>ФИО руководителя</w:t>
            </w:r>
          </w:p>
        </w:tc>
        <w:tc>
          <w:tcPr>
            <w:tcW w:w="1701" w:type="dxa"/>
          </w:tcPr>
          <w:p w14:paraId="4A83E0F8" w14:textId="77777777" w:rsidR="00AD1F54" w:rsidRPr="00264D5D" w:rsidRDefault="00941227">
            <w:pPr>
              <w:pStyle w:val="EBTablenorm"/>
              <w:ind w:left="57" w:right="57"/>
              <w:contextualSpacing w:val="0"/>
              <w:rPr>
                <w:sz w:val="22"/>
                <w:szCs w:val="22"/>
                <w:lang w:val="en-US"/>
              </w:rPr>
            </w:pPr>
            <w:r w:rsidRPr="00264D5D">
              <w:rPr>
                <w:sz w:val="22"/>
                <w:szCs w:val="22"/>
                <w:lang w:val="en-US"/>
              </w:rPr>
              <w:t>GRBSHdName</w:t>
            </w:r>
          </w:p>
        </w:tc>
        <w:tc>
          <w:tcPr>
            <w:tcW w:w="567" w:type="dxa"/>
          </w:tcPr>
          <w:p w14:paraId="405A5FF6"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66204059"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Т(1-240)</w:t>
            </w:r>
          </w:p>
        </w:tc>
        <w:tc>
          <w:tcPr>
            <w:tcW w:w="567" w:type="dxa"/>
          </w:tcPr>
          <w:p w14:paraId="7E518A51" w14:textId="77777777" w:rsidR="00AD1F54" w:rsidRPr="00264D5D" w:rsidRDefault="00941227">
            <w:pPr>
              <w:pStyle w:val="EBTablenorm"/>
              <w:ind w:left="57" w:right="57"/>
              <w:contextualSpacing w:val="0"/>
              <w:jc w:val="center"/>
              <w:rPr>
                <w:sz w:val="22"/>
                <w:szCs w:val="22"/>
                <w:lang w:val="en-US"/>
              </w:rPr>
            </w:pPr>
            <w:r w:rsidRPr="00264D5D">
              <w:rPr>
                <w:sz w:val="22"/>
                <w:szCs w:val="22"/>
                <w:lang w:val="en-US"/>
              </w:rPr>
              <w:t>О</w:t>
            </w:r>
          </w:p>
        </w:tc>
        <w:tc>
          <w:tcPr>
            <w:tcW w:w="3963" w:type="dxa"/>
          </w:tcPr>
          <w:p w14:paraId="19344C86" w14:textId="77777777" w:rsidR="00AD1F54" w:rsidRPr="00264D5D" w:rsidRDefault="00941227">
            <w:pPr>
              <w:pStyle w:val="EBTablenorm"/>
              <w:ind w:left="57" w:right="57"/>
              <w:contextualSpacing w:val="0"/>
              <w:rPr>
                <w:sz w:val="22"/>
                <w:szCs w:val="22"/>
              </w:rPr>
            </w:pPr>
            <w:r w:rsidRPr="00264D5D">
              <w:rPr>
                <w:sz w:val="22"/>
                <w:szCs w:val="22"/>
                <w:lang w:val="en-US"/>
              </w:rPr>
              <w:t>ФИО руководителя</w:t>
            </w:r>
          </w:p>
        </w:tc>
      </w:tr>
      <w:tr w:rsidR="00AD1F54" w:rsidRPr="00264D5D" w14:paraId="29B6805F"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0B70318" w14:textId="77777777" w:rsidR="00AD1F54" w:rsidRPr="00264D5D" w:rsidRDefault="00941227">
            <w:pPr>
              <w:pStyle w:val="EBTablenorm"/>
              <w:ind w:left="57" w:right="57"/>
              <w:contextualSpacing w:val="0"/>
              <w:rPr>
                <w:sz w:val="22"/>
                <w:szCs w:val="22"/>
                <w:lang w:val="en-US"/>
              </w:rPr>
            </w:pPr>
            <w:r w:rsidRPr="00264D5D">
              <w:rPr>
                <w:sz w:val="22"/>
                <w:szCs w:val="22"/>
                <w:lang w:val="en-US"/>
              </w:rPr>
              <w:t>Должность руководителя</w:t>
            </w:r>
          </w:p>
        </w:tc>
        <w:tc>
          <w:tcPr>
            <w:tcW w:w="1701" w:type="dxa"/>
          </w:tcPr>
          <w:p w14:paraId="37FE9C4A" w14:textId="77777777" w:rsidR="00AD1F54" w:rsidRPr="00264D5D" w:rsidRDefault="00941227">
            <w:pPr>
              <w:pStyle w:val="EBTablenorm"/>
              <w:ind w:left="57" w:right="57"/>
              <w:contextualSpacing w:val="0"/>
              <w:rPr>
                <w:sz w:val="22"/>
                <w:szCs w:val="22"/>
                <w:lang w:val="en-US"/>
              </w:rPr>
            </w:pPr>
            <w:r w:rsidRPr="00264D5D">
              <w:rPr>
                <w:sz w:val="22"/>
                <w:szCs w:val="22"/>
                <w:lang w:val="en-US"/>
              </w:rPr>
              <w:t>GRBSHdPos</w:t>
            </w:r>
          </w:p>
        </w:tc>
        <w:tc>
          <w:tcPr>
            <w:tcW w:w="567" w:type="dxa"/>
          </w:tcPr>
          <w:p w14:paraId="3DBEA45D"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55B469B0"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Т(1-240)</w:t>
            </w:r>
          </w:p>
        </w:tc>
        <w:tc>
          <w:tcPr>
            <w:tcW w:w="567" w:type="dxa"/>
          </w:tcPr>
          <w:p w14:paraId="05475FFB" w14:textId="77777777" w:rsidR="00AD1F54" w:rsidRPr="00264D5D" w:rsidRDefault="00941227">
            <w:pPr>
              <w:pStyle w:val="EBTablenorm"/>
              <w:ind w:left="57" w:right="57"/>
              <w:contextualSpacing w:val="0"/>
              <w:jc w:val="center"/>
              <w:rPr>
                <w:sz w:val="22"/>
                <w:szCs w:val="22"/>
                <w:lang w:val="en-US"/>
              </w:rPr>
            </w:pPr>
            <w:r w:rsidRPr="00264D5D">
              <w:rPr>
                <w:sz w:val="22"/>
                <w:szCs w:val="22"/>
                <w:lang w:val="en-US"/>
              </w:rPr>
              <w:t>О</w:t>
            </w:r>
          </w:p>
        </w:tc>
        <w:tc>
          <w:tcPr>
            <w:tcW w:w="3963" w:type="dxa"/>
          </w:tcPr>
          <w:p w14:paraId="1E39C7E6" w14:textId="77777777" w:rsidR="00AD1F54" w:rsidRPr="00264D5D" w:rsidRDefault="00941227">
            <w:pPr>
              <w:pStyle w:val="EBTablenorm"/>
              <w:ind w:left="57" w:right="57"/>
              <w:contextualSpacing w:val="0"/>
              <w:rPr>
                <w:sz w:val="22"/>
                <w:szCs w:val="22"/>
              </w:rPr>
            </w:pPr>
            <w:r w:rsidRPr="00264D5D">
              <w:rPr>
                <w:sz w:val="22"/>
                <w:szCs w:val="22"/>
                <w:lang w:val="en-US"/>
              </w:rPr>
              <w:t>Должность руководителя</w:t>
            </w:r>
          </w:p>
        </w:tc>
      </w:tr>
      <w:tr w:rsidR="00AD1F54" w:rsidRPr="00264D5D" w14:paraId="5D602BDB"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596790BB" w14:textId="77777777" w:rsidR="00AD1F54" w:rsidRPr="00264D5D" w:rsidRDefault="00941227">
            <w:pPr>
              <w:pStyle w:val="EBTablenorm"/>
              <w:ind w:left="57" w:right="57"/>
              <w:contextualSpacing w:val="0"/>
              <w:rPr>
                <w:sz w:val="22"/>
                <w:szCs w:val="22"/>
              </w:rPr>
            </w:pPr>
            <w:r w:rsidRPr="00264D5D">
              <w:rPr>
                <w:sz w:val="22"/>
                <w:szCs w:val="22"/>
                <w:lang w:val="en-US"/>
              </w:rPr>
              <w:t>Дата подписания</w:t>
            </w:r>
          </w:p>
        </w:tc>
        <w:tc>
          <w:tcPr>
            <w:tcW w:w="1701" w:type="dxa"/>
          </w:tcPr>
          <w:p w14:paraId="75283610" w14:textId="77777777" w:rsidR="00AD1F54" w:rsidRPr="00264D5D" w:rsidRDefault="00941227">
            <w:pPr>
              <w:pStyle w:val="EBTablenorm"/>
              <w:ind w:left="57" w:right="57"/>
              <w:contextualSpacing w:val="0"/>
              <w:rPr>
                <w:sz w:val="22"/>
                <w:szCs w:val="22"/>
                <w:lang w:val="en-US"/>
              </w:rPr>
            </w:pPr>
            <w:r w:rsidRPr="00264D5D">
              <w:rPr>
                <w:sz w:val="22"/>
                <w:szCs w:val="22"/>
                <w:lang w:val="en-US"/>
              </w:rPr>
              <w:t>GRBSHdSgnDate</w:t>
            </w:r>
          </w:p>
        </w:tc>
        <w:tc>
          <w:tcPr>
            <w:tcW w:w="567" w:type="dxa"/>
          </w:tcPr>
          <w:p w14:paraId="22AF05BE"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2F7BFC4D"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Date</w:t>
            </w:r>
          </w:p>
        </w:tc>
        <w:tc>
          <w:tcPr>
            <w:tcW w:w="567" w:type="dxa"/>
          </w:tcPr>
          <w:p w14:paraId="428AEB3E" w14:textId="77777777" w:rsidR="00AD1F54" w:rsidRPr="00264D5D" w:rsidRDefault="00941227">
            <w:pPr>
              <w:pStyle w:val="EBTablenorm"/>
              <w:ind w:left="57" w:right="57"/>
              <w:contextualSpacing w:val="0"/>
              <w:jc w:val="center"/>
              <w:rPr>
                <w:sz w:val="22"/>
                <w:szCs w:val="22"/>
                <w:lang w:val="en-US"/>
              </w:rPr>
            </w:pPr>
            <w:r w:rsidRPr="00264D5D">
              <w:rPr>
                <w:sz w:val="22"/>
                <w:szCs w:val="22"/>
                <w:lang w:val="en-US"/>
              </w:rPr>
              <w:t>О</w:t>
            </w:r>
          </w:p>
        </w:tc>
        <w:tc>
          <w:tcPr>
            <w:tcW w:w="3963" w:type="dxa"/>
          </w:tcPr>
          <w:p w14:paraId="666F781F" w14:textId="77777777" w:rsidR="00AD1F54" w:rsidRPr="00264D5D" w:rsidRDefault="00941227">
            <w:pPr>
              <w:pStyle w:val="EBTablenorm"/>
              <w:ind w:left="57" w:right="57"/>
              <w:contextualSpacing w:val="0"/>
              <w:rPr>
                <w:sz w:val="22"/>
                <w:szCs w:val="22"/>
              </w:rPr>
            </w:pPr>
            <w:r w:rsidRPr="00264D5D">
              <w:rPr>
                <w:sz w:val="22"/>
                <w:szCs w:val="22"/>
                <w:lang w:val="en-US"/>
              </w:rPr>
              <w:t>Дата подписания документа руководителем</w:t>
            </w:r>
          </w:p>
        </w:tc>
      </w:tr>
      <w:tr w:rsidR="00AD1F54" w:rsidRPr="00264D5D" w14:paraId="18E9343E"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4D7F4E4B" w14:textId="77777777" w:rsidR="00AD1F54" w:rsidRPr="00264D5D" w:rsidRDefault="00941227">
            <w:pPr>
              <w:pStyle w:val="EBTablenorm"/>
              <w:ind w:left="57" w:right="57"/>
              <w:contextualSpacing w:val="0"/>
              <w:rPr>
                <w:sz w:val="22"/>
                <w:szCs w:val="22"/>
              </w:rPr>
            </w:pPr>
            <w:r w:rsidRPr="00264D5D">
              <w:rPr>
                <w:sz w:val="22"/>
                <w:szCs w:val="22"/>
                <w:lang w:val="en-US"/>
              </w:rPr>
              <w:t>ФИО ответственного исполнител</w:t>
            </w:r>
            <w:r w:rsidRPr="00264D5D">
              <w:rPr>
                <w:sz w:val="22"/>
                <w:szCs w:val="22"/>
              </w:rPr>
              <w:t>я</w:t>
            </w:r>
          </w:p>
        </w:tc>
        <w:tc>
          <w:tcPr>
            <w:tcW w:w="1701" w:type="dxa"/>
          </w:tcPr>
          <w:p w14:paraId="27EB7601" w14:textId="77777777" w:rsidR="00AD1F54" w:rsidRPr="00264D5D" w:rsidRDefault="00941227">
            <w:pPr>
              <w:pStyle w:val="EBTablenorm"/>
              <w:ind w:left="57" w:right="57"/>
              <w:contextualSpacing w:val="0"/>
              <w:rPr>
                <w:sz w:val="22"/>
                <w:szCs w:val="22"/>
                <w:lang w:val="en-US"/>
              </w:rPr>
            </w:pPr>
            <w:r w:rsidRPr="00264D5D">
              <w:rPr>
                <w:sz w:val="22"/>
                <w:szCs w:val="22"/>
                <w:lang w:val="en-US"/>
              </w:rPr>
              <w:t>GRBSExctrName</w:t>
            </w:r>
          </w:p>
        </w:tc>
        <w:tc>
          <w:tcPr>
            <w:tcW w:w="567" w:type="dxa"/>
          </w:tcPr>
          <w:p w14:paraId="0F1AC747"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115BAA24"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Т(1-240)</w:t>
            </w:r>
          </w:p>
        </w:tc>
        <w:tc>
          <w:tcPr>
            <w:tcW w:w="567" w:type="dxa"/>
          </w:tcPr>
          <w:p w14:paraId="049AD52A" w14:textId="77777777" w:rsidR="00AD1F54" w:rsidRPr="00264D5D" w:rsidRDefault="00941227">
            <w:pPr>
              <w:pStyle w:val="EBTablenorm"/>
              <w:ind w:left="57" w:right="57"/>
              <w:contextualSpacing w:val="0"/>
              <w:jc w:val="center"/>
              <w:rPr>
                <w:sz w:val="22"/>
                <w:szCs w:val="22"/>
                <w:lang w:val="en-US"/>
              </w:rPr>
            </w:pPr>
            <w:r w:rsidRPr="00264D5D">
              <w:rPr>
                <w:sz w:val="22"/>
                <w:szCs w:val="22"/>
                <w:lang w:val="en-US"/>
              </w:rPr>
              <w:t>О</w:t>
            </w:r>
          </w:p>
        </w:tc>
        <w:tc>
          <w:tcPr>
            <w:tcW w:w="3963" w:type="dxa"/>
          </w:tcPr>
          <w:p w14:paraId="42F05492" w14:textId="77777777" w:rsidR="00AD1F54" w:rsidRPr="00264D5D" w:rsidRDefault="00941227">
            <w:pPr>
              <w:pStyle w:val="EBTablenorm"/>
              <w:ind w:left="57" w:right="57"/>
              <w:contextualSpacing w:val="0"/>
              <w:rPr>
                <w:sz w:val="22"/>
                <w:szCs w:val="22"/>
              </w:rPr>
            </w:pPr>
            <w:r w:rsidRPr="00264D5D">
              <w:rPr>
                <w:sz w:val="22"/>
                <w:szCs w:val="22"/>
                <w:lang w:val="en-US"/>
              </w:rPr>
              <w:t>ФИО ответственного исполнителя</w:t>
            </w:r>
          </w:p>
        </w:tc>
      </w:tr>
      <w:tr w:rsidR="00AD1F54" w:rsidRPr="00264D5D" w14:paraId="3647D9DC"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585E1C6" w14:textId="77777777" w:rsidR="00AD1F54" w:rsidRPr="00264D5D" w:rsidRDefault="00941227">
            <w:pPr>
              <w:pStyle w:val="EBTablenorm"/>
              <w:ind w:left="57" w:right="57"/>
              <w:contextualSpacing w:val="0"/>
              <w:rPr>
                <w:sz w:val="22"/>
                <w:szCs w:val="22"/>
                <w:lang w:val="en-US"/>
              </w:rPr>
            </w:pPr>
            <w:r w:rsidRPr="00264D5D">
              <w:rPr>
                <w:sz w:val="22"/>
                <w:szCs w:val="22"/>
                <w:lang w:val="en-US"/>
              </w:rPr>
              <w:t>Должность ответственного исполнителя</w:t>
            </w:r>
          </w:p>
        </w:tc>
        <w:tc>
          <w:tcPr>
            <w:tcW w:w="1701" w:type="dxa"/>
          </w:tcPr>
          <w:p w14:paraId="3C334C0F" w14:textId="77777777" w:rsidR="00AD1F54" w:rsidRPr="00264D5D" w:rsidRDefault="00941227">
            <w:pPr>
              <w:pStyle w:val="EBTablenorm"/>
              <w:ind w:left="57" w:right="57"/>
              <w:contextualSpacing w:val="0"/>
              <w:rPr>
                <w:sz w:val="22"/>
                <w:szCs w:val="22"/>
                <w:lang w:val="en-US"/>
              </w:rPr>
            </w:pPr>
            <w:r w:rsidRPr="00264D5D">
              <w:rPr>
                <w:sz w:val="22"/>
                <w:szCs w:val="22"/>
                <w:lang w:val="en-US"/>
              </w:rPr>
              <w:t>GRBSExtrPos</w:t>
            </w:r>
          </w:p>
        </w:tc>
        <w:tc>
          <w:tcPr>
            <w:tcW w:w="567" w:type="dxa"/>
          </w:tcPr>
          <w:p w14:paraId="16F9C134"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0675B4FF"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Т(1-240)</w:t>
            </w:r>
          </w:p>
        </w:tc>
        <w:tc>
          <w:tcPr>
            <w:tcW w:w="567" w:type="dxa"/>
          </w:tcPr>
          <w:p w14:paraId="6CAD4A97" w14:textId="77777777" w:rsidR="00AD1F54" w:rsidRPr="00264D5D" w:rsidRDefault="00941227">
            <w:pPr>
              <w:pStyle w:val="EBTablenorm"/>
              <w:ind w:left="57" w:right="57"/>
              <w:contextualSpacing w:val="0"/>
              <w:jc w:val="center"/>
              <w:rPr>
                <w:sz w:val="22"/>
                <w:szCs w:val="22"/>
                <w:lang w:val="en-US"/>
              </w:rPr>
            </w:pPr>
            <w:r w:rsidRPr="00264D5D">
              <w:rPr>
                <w:sz w:val="22"/>
                <w:szCs w:val="22"/>
                <w:lang w:val="en-US"/>
              </w:rPr>
              <w:t>О</w:t>
            </w:r>
          </w:p>
        </w:tc>
        <w:tc>
          <w:tcPr>
            <w:tcW w:w="3963" w:type="dxa"/>
          </w:tcPr>
          <w:p w14:paraId="4F136649" w14:textId="77777777" w:rsidR="00AD1F54" w:rsidRPr="00264D5D" w:rsidRDefault="00941227">
            <w:pPr>
              <w:pStyle w:val="EBTablenorm"/>
              <w:ind w:left="57" w:right="57"/>
              <w:contextualSpacing w:val="0"/>
              <w:rPr>
                <w:sz w:val="22"/>
                <w:szCs w:val="22"/>
              </w:rPr>
            </w:pPr>
            <w:r w:rsidRPr="00264D5D">
              <w:rPr>
                <w:sz w:val="22"/>
                <w:szCs w:val="22"/>
                <w:lang w:val="en-US"/>
              </w:rPr>
              <w:t>Должность ответственного исполнителя</w:t>
            </w:r>
          </w:p>
        </w:tc>
      </w:tr>
    </w:tbl>
    <w:p w14:paraId="7D7D9081" w14:textId="77777777" w:rsidR="00AD1F54" w:rsidRPr="00264D5D" w:rsidRDefault="00941227">
      <w:pPr>
        <w:pStyle w:val="31"/>
      </w:pPr>
      <w:bookmarkStart w:id="2091" w:name="_Toc496787762"/>
      <w:bookmarkStart w:id="2092" w:name="_Toc496787763"/>
      <w:bookmarkStart w:id="2093" w:name="_Toc496787764"/>
      <w:bookmarkStart w:id="2094" w:name="_Toc496787780"/>
      <w:bookmarkStart w:id="2095" w:name="_Toc496787781"/>
      <w:bookmarkStart w:id="2096" w:name="_Toc496787782"/>
      <w:bookmarkStart w:id="2097" w:name="_Toc496787819"/>
      <w:bookmarkStart w:id="2098" w:name="_Toc496787820"/>
      <w:bookmarkStart w:id="2099" w:name="_Toc496787821"/>
      <w:bookmarkStart w:id="2100" w:name="_Toc494719912"/>
      <w:bookmarkStart w:id="2101" w:name="_Toc494720228"/>
      <w:bookmarkStart w:id="2102" w:name="_Toc494720544"/>
      <w:bookmarkStart w:id="2103" w:name="_Toc494719951"/>
      <w:bookmarkStart w:id="2104" w:name="_Toc494720267"/>
      <w:bookmarkStart w:id="2105" w:name="_Toc494720583"/>
      <w:bookmarkStart w:id="2106" w:name="_Toc494719976"/>
      <w:bookmarkStart w:id="2107" w:name="_Toc494720292"/>
      <w:bookmarkStart w:id="2108" w:name="_Toc494720608"/>
      <w:bookmarkStart w:id="2109" w:name="_Toc494720007"/>
      <w:bookmarkStart w:id="2110" w:name="_Toc494720323"/>
      <w:bookmarkStart w:id="2111" w:name="_Toc494720639"/>
      <w:bookmarkStart w:id="2112" w:name="_Toc494720048"/>
      <w:bookmarkStart w:id="2113" w:name="_Toc494720364"/>
      <w:bookmarkStart w:id="2114" w:name="_Toc494720680"/>
      <w:bookmarkStart w:id="2115" w:name="_Toc494720049"/>
      <w:bookmarkStart w:id="2116" w:name="_Toc494720365"/>
      <w:bookmarkStart w:id="2117" w:name="_Toc494720681"/>
      <w:bookmarkStart w:id="2118" w:name="_Toc494720084"/>
      <w:bookmarkStart w:id="2119" w:name="_Toc494720400"/>
      <w:bookmarkStart w:id="2120" w:name="_Toc494720716"/>
      <w:bookmarkStart w:id="2121" w:name="_Toc494720085"/>
      <w:bookmarkStart w:id="2122" w:name="_Toc494720401"/>
      <w:bookmarkStart w:id="2123" w:name="_Toc494720717"/>
      <w:bookmarkStart w:id="2124" w:name="_Toc494720110"/>
      <w:bookmarkStart w:id="2125" w:name="_Toc494720426"/>
      <w:bookmarkStart w:id="2126" w:name="_Toc494720742"/>
      <w:bookmarkStart w:id="2127" w:name="_Toc496787851"/>
      <w:bookmarkStart w:id="2128" w:name="_Toc496787852"/>
      <w:bookmarkStart w:id="2129" w:name="_Toc496787853"/>
      <w:bookmarkStart w:id="2130" w:name="_Toc496984054"/>
      <w:bookmarkStart w:id="2131" w:name="OLE_LINK298"/>
      <w:bookmarkStart w:id="2132" w:name="_Toc219309683"/>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r w:rsidRPr="00264D5D">
        <w:t>Пример XML</w:t>
      </w:r>
      <w:bookmarkEnd w:id="2130"/>
      <w:r w:rsidRPr="00264D5D">
        <w:t xml:space="preserve"> (файловое взаимодействие)</w:t>
      </w:r>
      <w:bookmarkEnd w:id="2132"/>
    </w:p>
    <w:p w14:paraId="551D9EE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bookmarkStart w:id="2133" w:name="OLE_LINK295"/>
      <w:bookmarkStart w:id="2134" w:name="OLE_LINK296"/>
      <w:bookmarkEnd w:id="2131"/>
      <w:r w:rsidRPr="00264D5D">
        <w:rPr>
          <w:rFonts w:cs="Courier New"/>
          <w:sz w:val="20"/>
        </w:rPr>
        <w:t>&lt;?xml version="1.0" encoding="UTF-8"?&gt;</w:t>
      </w:r>
    </w:p>
    <w:p w14:paraId="6C66998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&lt;self:exchangePacket xsi:schemaLocation="http://www.roskazna.ru/eb/domain/ImpAgr/extHeader extHeader.xsd" xmlns:self="http://www.roskazna.ru/eb/domain/ImpAgr/extHeader" xmlns:cm="http://www.roskazna.ru/eb/domain/common" xmlns:xsi="http://www.w3.org/2001/XMLSchema-instance"&gt;</w:t>
      </w:r>
    </w:p>
    <w:p w14:paraId="371CA90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&lt;packetHeader&gt;</w:t>
      </w:r>
    </w:p>
    <w:p w14:paraId="618E763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&lt;serviceInfo&gt;</w:t>
      </w:r>
    </w:p>
    <w:p w14:paraId="31593C8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&lt;creationDateTime&gt;2024-01-24T09:30:47Z&lt;/creationDateTime&gt;</w:t>
      </w:r>
    </w:p>
    <w:p w14:paraId="4773AAC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&lt;documentType&gt;ImpAgr&lt;/documentType&gt;</w:t>
      </w:r>
    </w:p>
    <w:p w14:paraId="3B6BAD2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&lt;/serviceInfo&gt;</w:t>
      </w:r>
    </w:p>
    <w:p w14:paraId="2CDE534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&lt;senderParty&gt;</w:t>
      </w:r>
    </w:p>
    <w:p w14:paraId="682CFD9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&lt;organizationParty&gt;</w:t>
      </w:r>
    </w:p>
    <w:p w14:paraId="210A6CC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&lt;SRCode&gt;12345678&lt;/SRCode&gt;</w:t>
      </w:r>
    </w:p>
    <w:p w14:paraId="27FC6BC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&lt;/organizationParty&gt;</w:t>
      </w:r>
    </w:p>
    <w:p w14:paraId="19BFAEC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&lt;/senderParty&gt;</w:t>
      </w:r>
    </w:p>
    <w:p w14:paraId="69A1AB7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&lt;receiverParty&gt;</w:t>
      </w:r>
    </w:p>
    <w:p w14:paraId="7A3BC88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&lt;TOFKParty&gt;</w:t>
      </w:r>
    </w:p>
    <w:p w14:paraId="6288A3C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&lt;TOFKCode&gt;6300&lt;/TOFKCode&gt;</w:t>
      </w:r>
    </w:p>
    <w:p w14:paraId="2F00071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ab/>
      </w:r>
      <w:r w:rsidRPr="00264D5D">
        <w:rPr>
          <w:rFonts w:cs="Courier New"/>
          <w:sz w:val="20"/>
        </w:rPr>
        <w:tab/>
      </w:r>
      <w:r w:rsidRPr="00264D5D">
        <w:rPr>
          <w:rFonts w:cs="Courier New"/>
          <w:sz w:val="20"/>
        </w:rPr>
        <w:tab/>
        <w:t>&lt;/TOFKParty&gt;</w:t>
      </w:r>
    </w:p>
    <w:p w14:paraId="2F1D22F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&lt;/receiverParty&gt;</w:t>
      </w:r>
    </w:p>
    <w:p w14:paraId="0BD2881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&lt;/packetHeader&gt;</w:t>
      </w:r>
    </w:p>
    <w:p w14:paraId="26BB9C9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&lt;self:formularCollection&gt;</w:t>
      </w:r>
    </w:p>
    <w:p w14:paraId="06733C9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&lt;formular metaType="formular" versionID="3.0" xsi:type="self:tImpAgr" xsi:schemaLocation="http://www.roskazna.ru/eb/domain/ImpAgr/formular formulars.xsd" xmlns:self="http://www.roskazna.ru/eb/domain/ImpAgr/formular" xmlns:xsi="http://www.w3.org/2001/XMLSchema-instance"&gt;</w:t>
      </w:r>
    </w:p>
    <w:p w14:paraId="0DE7A69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&lt;SrcGuid&gt;e123ffc1-80b5-4753-9fa2-94ffe6c9df70&lt;/SrcGuid&gt;</w:t>
      </w:r>
    </w:p>
    <w:p w14:paraId="0AEE20B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&lt;TpDcmnt&gt;0&lt;/TpDcmnt&gt;</w:t>
      </w:r>
    </w:p>
    <w:p w14:paraId="6C69884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&lt;Calendar&gt;</w:t>
      </w:r>
    </w:p>
    <w:p w14:paraId="279E2BC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&lt;ReportType&gt;1&lt;/ReportType&gt;</w:t>
      </w:r>
    </w:p>
    <w:p w14:paraId="7A01D08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&lt;ReportTime&gt;1&lt;/ReportTime&gt;</w:t>
      </w:r>
    </w:p>
    <w:p w14:paraId="32AA7C9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&lt;CalendarDate&gt;</w:t>
      </w:r>
    </w:p>
    <w:p w14:paraId="517AEF9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&lt;ReportDate&gt;2024-01-24&lt;/ReportDate&gt;</w:t>
      </w:r>
    </w:p>
    <w:p w14:paraId="7446774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&lt;PlanReportProvide&gt;2024-01-24&lt;/PlanReportProvide&gt;</w:t>
      </w:r>
    </w:p>
    <w:p w14:paraId="4E5ACF8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&lt;/CalendarDate&gt;</w:t>
      </w:r>
    </w:p>
    <w:p w14:paraId="0CD9890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 xml:space="preserve">&lt;/Calendar&gt; </w:t>
      </w:r>
    </w:p>
    <w:p w14:paraId="106A907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&lt;GRBS&gt;</w:t>
      </w:r>
    </w:p>
    <w:p w14:paraId="6335AEB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GRBSCode</w:t>
      </w:r>
      <w:r w:rsidRPr="00264D5D">
        <w:rPr>
          <w:rFonts w:cs="Courier New"/>
          <w:sz w:val="20"/>
          <w:lang w:val="ru-RU"/>
        </w:rPr>
        <w:t>&gt;177&lt;/</w:t>
      </w:r>
      <w:r w:rsidRPr="00264D5D">
        <w:rPr>
          <w:rFonts w:cs="Courier New"/>
          <w:sz w:val="20"/>
        </w:rPr>
        <w:t>GRBSCode</w:t>
      </w:r>
      <w:r w:rsidRPr="00264D5D">
        <w:rPr>
          <w:rFonts w:cs="Courier New"/>
          <w:sz w:val="20"/>
          <w:lang w:val="ru-RU"/>
        </w:rPr>
        <w:t>&gt;</w:t>
      </w:r>
    </w:p>
    <w:p w14:paraId="1D7BF81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 xml:space="preserve"> </w:t>
      </w:r>
      <w:r w:rsidRPr="00264D5D">
        <w:rPr>
          <w:rFonts w:cs="Courier New"/>
          <w:sz w:val="20"/>
          <w:lang w:val="ru-RU"/>
        </w:rPr>
        <w:tab/>
      </w:r>
      <w:r w:rsidRPr="00264D5D">
        <w:rPr>
          <w:rFonts w:cs="Courier New"/>
          <w:sz w:val="20"/>
          <w:lang w:val="ru-RU"/>
        </w:rPr>
        <w:tab/>
        <w:t>&lt;</w:t>
      </w:r>
      <w:r w:rsidRPr="00264D5D">
        <w:rPr>
          <w:rFonts w:cs="Courier New"/>
          <w:sz w:val="20"/>
        </w:rPr>
        <w:t>FullName</w:t>
      </w:r>
      <w:r w:rsidRPr="00264D5D">
        <w:rPr>
          <w:rFonts w:cs="Courier New"/>
          <w:sz w:val="20"/>
          <w:lang w:val="ru-RU"/>
        </w:rPr>
        <w:t>&gt;ГЛАВНОЕ УПРАВЛЕНИЕ МИНИСТЕРСТВА РОССИЙСКОЙ ФЕДЕРАЦИИ ПО ДЕЛАМ ГРАЖДАНСКОЙ ОБОРОНЫ, ЧРЕЗВЫЧАЙНЫМ СИТУАЦИЯМ И ЛИКВИДАЦИИ ПОСЛЕДСТВИЙ СТИХИЙНЫХ БЕДСТВИЙ ПО БЕЛГОРОДСКОЙ ОБЛАСТИ&lt;/</w:t>
      </w:r>
      <w:r w:rsidRPr="00264D5D">
        <w:rPr>
          <w:rFonts w:cs="Courier New"/>
          <w:sz w:val="20"/>
        </w:rPr>
        <w:t>FullName</w:t>
      </w:r>
      <w:r w:rsidRPr="00264D5D">
        <w:rPr>
          <w:rFonts w:cs="Courier New"/>
          <w:sz w:val="20"/>
          <w:lang w:val="ru-RU"/>
        </w:rPr>
        <w:t>&gt;</w:t>
      </w:r>
    </w:p>
    <w:p w14:paraId="37E8ABB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ShrtName</w:t>
      </w:r>
      <w:r w:rsidRPr="00264D5D">
        <w:rPr>
          <w:rFonts w:cs="Courier New"/>
          <w:sz w:val="20"/>
          <w:lang w:val="ru-RU"/>
        </w:rPr>
        <w:t>&gt;ГЛАВНОЕ УПРАВЛЕНИЕ МЧС РОССИИ ПО БЕЛГОРОДСКОЙ ОБЛАСТИ&lt;/</w:t>
      </w:r>
      <w:r w:rsidRPr="00264D5D">
        <w:rPr>
          <w:rFonts w:cs="Courier New"/>
          <w:sz w:val="20"/>
        </w:rPr>
        <w:t>ShrtName</w:t>
      </w:r>
      <w:r w:rsidRPr="00264D5D">
        <w:rPr>
          <w:rFonts w:cs="Courier New"/>
          <w:sz w:val="20"/>
          <w:lang w:val="ru-RU"/>
        </w:rPr>
        <w:t>&gt;</w:t>
      </w:r>
    </w:p>
    <w:p w14:paraId="7410A23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rPr>
        <w:t>&lt;SRCode&gt;00178394&lt;/SRCode&gt;</w:t>
      </w:r>
    </w:p>
    <w:p w14:paraId="3D2CC35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&lt;Okopf&gt;75104&lt;/Okopf&gt;</w:t>
      </w:r>
    </w:p>
    <w:p w14:paraId="794DED7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&lt;Inn&gt;3123112398&lt;/Inn&gt;</w:t>
      </w:r>
    </w:p>
    <w:p w14:paraId="3D9ADAE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&lt;Kpp&gt;312301001&lt;/Kpp&gt;</w:t>
      </w:r>
    </w:p>
    <w:p w14:paraId="78CD65A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&lt;RegDate&gt;2004-11-17&lt;/RegDate&gt;</w:t>
      </w:r>
    </w:p>
    <w:p w14:paraId="7AC284C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&lt;/GRBS&gt;</w:t>
      </w:r>
    </w:p>
    <w:p w14:paraId="136D762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Rcpt</w:t>
      </w:r>
      <w:r w:rsidRPr="00264D5D">
        <w:rPr>
          <w:rFonts w:cs="Courier New"/>
          <w:sz w:val="20"/>
          <w:lang w:val="ru-RU"/>
        </w:rPr>
        <w:t>&gt;</w:t>
      </w:r>
    </w:p>
    <w:p w14:paraId="695998B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FullName</w:t>
      </w:r>
      <w:r w:rsidRPr="00264D5D">
        <w:rPr>
          <w:rFonts w:cs="Courier New"/>
          <w:sz w:val="20"/>
          <w:lang w:val="ru-RU"/>
        </w:rPr>
        <w:t>&gt;ФЕДЕРАЛЬНОЕ ГОСУДАРСТВЕННОЕ БЮДЖЕТНОЕ УЧРЕЖДЕНИЕ "СУДЕБНО-ЭКСПЕРТНОЕ УЧРЕЖДЕНИЕ ФЕДЕРАЛЬНОЙ ПРОТИВОПОЖАРНОЙ СЛУЖБЫ "ИСПЫТАТЕЛЬНАЯ ПОЖАРНАЯ ЛАБОРАТОРИЯ" ПО БЕЛГОРОДСКОЙ ОБЛАСТИ"&lt;/</w:t>
      </w:r>
      <w:r w:rsidRPr="00264D5D">
        <w:rPr>
          <w:rFonts w:cs="Courier New"/>
          <w:sz w:val="20"/>
        </w:rPr>
        <w:t>FullName</w:t>
      </w:r>
      <w:r w:rsidRPr="00264D5D">
        <w:rPr>
          <w:rFonts w:cs="Courier New"/>
          <w:sz w:val="20"/>
          <w:lang w:val="ru-RU"/>
        </w:rPr>
        <w:t>&gt;</w:t>
      </w:r>
    </w:p>
    <w:p w14:paraId="2D45992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ShrtName</w:t>
      </w:r>
      <w:r w:rsidRPr="00264D5D">
        <w:rPr>
          <w:rFonts w:cs="Courier New"/>
          <w:sz w:val="20"/>
          <w:lang w:val="ru-RU"/>
        </w:rPr>
        <w:t>&gt;ФГБУ СЭУ ФПС ИПЛ ПО БЕЛГОРОДСКОЙ ОБЛАСТИ&lt;/</w:t>
      </w:r>
      <w:r w:rsidRPr="00264D5D">
        <w:rPr>
          <w:rFonts w:cs="Courier New"/>
          <w:sz w:val="20"/>
        </w:rPr>
        <w:t>ShrtName</w:t>
      </w:r>
      <w:r w:rsidRPr="00264D5D">
        <w:rPr>
          <w:rFonts w:cs="Courier New"/>
          <w:sz w:val="20"/>
          <w:lang w:val="ru-RU"/>
        </w:rPr>
        <w:t>&gt;</w:t>
      </w:r>
    </w:p>
    <w:p w14:paraId="6212194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rPr>
        <w:t>&lt;SRCode&gt;001X7326&lt;/SRCode&gt;</w:t>
      </w:r>
    </w:p>
    <w:p w14:paraId="6B5FBE8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&lt;Okopf&gt;75103&lt;/Okopf&gt;</w:t>
      </w:r>
    </w:p>
    <w:p w14:paraId="531C70A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&lt;Inn&gt;3123148820&lt;/Inn&gt;</w:t>
      </w:r>
    </w:p>
    <w:p w14:paraId="051A47A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&lt;Kpp&gt;312301001&lt;/Kpp&gt;</w:t>
      </w:r>
    </w:p>
    <w:p w14:paraId="5C3C9A9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&lt;RegDate&gt;2006-12-27&lt;/RegDate&gt;</w:t>
      </w:r>
    </w:p>
    <w:p w14:paraId="1C03EF3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&lt;NmbrAccnt&gt;03281190060&lt;/NmbrAccnt&gt;</w:t>
      </w:r>
    </w:p>
    <w:p w14:paraId="5DFD190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&lt;/Rcpt&gt;</w:t>
      </w:r>
    </w:p>
    <w:p w14:paraId="51B6DC2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&lt;AgrCode&gt;011&lt;/AgrCode&gt;</w:t>
      </w:r>
    </w:p>
    <w:p w14:paraId="6F292C4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AgrName</w:t>
      </w:r>
      <w:r w:rsidRPr="00264D5D">
        <w:rPr>
          <w:rFonts w:cs="Courier New"/>
          <w:sz w:val="20"/>
          <w:lang w:val="ru-RU"/>
        </w:rPr>
        <w:t>&gt;Соглашения (договора) о предоставлении субсидий федеральным бюджетным и федеральным автономным учреждениям на финансовое обеспечение выполнения государственного задания на оказание государственных услуг (выполнение работ&lt;/</w:t>
      </w:r>
      <w:r w:rsidRPr="00264D5D">
        <w:rPr>
          <w:rFonts w:cs="Courier New"/>
          <w:sz w:val="20"/>
        </w:rPr>
        <w:t>AgrName</w:t>
      </w:r>
      <w:r w:rsidRPr="00264D5D">
        <w:rPr>
          <w:rFonts w:cs="Courier New"/>
          <w:sz w:val="20"/>
          <w:lang w:val="ru-RU"/>
        </w:rPr>
        <w:t>&gt;</w:t>
      </w:r>
    </w:p>
    <w:p w14:paraId="19952ED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GRBSLctn</w:t>
      </w:r>
      <w:r w:rsidRPr="00264D5D">
        <w:rPr>
          <w:rFonts w:cs="Courier New"/>
          <w:sz w:val="20"/>
          <w:lang w:val="ru-RU"/>
        </w:rPr>
        <w:t>&gt;</w:t>
      </w:r>
    </w:p>
    <w:p w14:paraId="0B3194E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CntrName</w:t>
      </w:r>
      <w:r w:rsidRPr="00264D5D">
        <w:rPr>
          <w:rFonts w:cs="Courier New"/>
          <w:sz w:val="20"/>
          <w:lang w:val="ru-RU"/>
        </w:rPr>
        <w:t>&gt;Российская Федерация&lt;/</w:t>
      </w:r>
      <w:r w:rsidRPr="00264D5D">
        <w:rPr>
          <w:rFonts w:cs="Courier New"/>
          <w:sz w:val="20"/>
        </w:rPr>
        <w:t>CntrName</w:t>
      </w:r>
      <w:r w:rsidRPr="00264D5D">
        <w:rPr>
          <w:rFonts w:cs="Courier New"/>
          <w:sz w:val="20"/>
          <w:lang w:val="ru-RU"/>
        </w:rPr>
        <w:t>&gt;</w:t>
      </w:r>
    </w:p>
    <w:p w14:paraId="0829B29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CntrCode</w:t>
      </w:r>
      <w:r w:rsidRPr="00264D5D">
        <w:rPr>
          <w:rFonts w:cs="Courier New"/>
          <w:sz w:val="20"/>
          <w:lang w:val="ru-RU"/>
        </w:rPr>
        <w:t>&gt;643&lt;/</w:t>
      </w:r>
      <w:r w:rsidRPr="00264D5D">
        <w:rPr>
          <w:rFonts w:cs="Courier New"/>
          <w:sz w:val="20"/>
        </w:rPr>
        <w:t>CntrCode</w:t>
      </w:r>
      <w:r w:rsidRPr="00264D5D">
        <w:rPr>
          <w:rFonts w:cs="Courier New"/>
          <w:sz w:val="20"/>
          <w:lang w:val="ru-RU"/>
        </w:rPr>
        <w:t>&gt;</w:t>
      </w:r>
    </w:p>
    <w:p w14:paraId="42B41FF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SubName</w:t>
      </w:r>
      <w:r w:rsidRPr="00264D5D">
        <w:rPr>
          <w:rFonts w:cs="Courier New"/>
          <w:sz w:val="20"/>
          <w:lang w:val="ru-RU"/>
        </w:rPr>
        <w:t>&gt;ОБЛ БЕЛГОРОДСКАЯ&lt;/</w:t>
      </w:r>
      <w:r w:rsidRPr="00264D5D">
        <w:rPr>
          <w:rFonts w:cs="Courier New"/>
          <w:sz w:val="20"/>
        </w:rPr>
        <w:t>SubName</w:t>
      </w:r>
      <w:r w:rsidRPr="00264D5D">
        <w:rPr>
          <w:rFonts w:cs="Courier New"/>
          <w:sz w:val="20"/>
          <w:lang w:val="ru-RU"/>
        </w:rPr>
        <w:t>&gt;</w:t>
      </w:r>
    </w:p>
    <w:p w14:paraId="133A546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rPr>
        <w:t>&lt;SubCode&gt;31&lt;/SubCode&gt;</w:t>
      </w:r>
    </w:p>
    <w:p w14:paraId="3FC4532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&lt;AreaName&gt;г Белгород&lt;/AreaName&gt;</w:t>
      </w:r>
    </w:p>
    <w:p w14:paraId="69B5C17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&lt;TwnOktmo&gt;14701000001&lt;/TwnOktmo&gt;</w:t>
      </w:r>
    </w:p>
    <w:p w14:paraId="7CCB35E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&lt;RdNtwrkName&gt;УЛ ВОЛЧАНСКАЯ&lt;/RdNtwrkName&gt;</w:t>
      </w:r>
    </w:p>
    <w:p w14:paraId="1AE0236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&lt;BldngType&gt;Не выбран&lt;/BldngType&gt;</w:t>
      </w:r>
    </w:p>
    <w:p w14:paraId="23BA244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&lt;BldngNum&gt;163&lt;/BldngNum&gt;</w:t>
      </w:r>
    </w:p>
    <w:p w14:paraId="370E315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&lt;/GRBSLctn&gt;</w:t>
      </w:r>
    </w:p>
    <w:p w14:paraId="36880BB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ab/>
      </w:r>
      <w:r w:rsidRPr="00264D5D">
        <w:rPr>
          <w:rFonts w:cs="Courier New"/>
          <w:sz w:val="20"/>
        </w:rPr>
        <w:tab/>
        <w:t>&lt;RcptType&gt;1&lt;/RcptType&gt;</w:t>
      </w:r>
    </w:p>
    <w:p w14:paraId="1C35F99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&lt;RcptLctn&gt;</w:t>
      </w:r>
    </w:p>
    <w:p w14:paraId="5DB40F3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&lt;CntrName&gt;Российская Федерация&lt;/CntrName&gt;</w:t>
      </w:r>
    </w:p>
    <w:p w14:paraId="5FB854C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&lt;CntrCode&gt;643&lt;/CntrCode&gt;</w:t>
      </w:r>
    </w:p>
    <w:p w14:paraId="3D99E93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&lt;SubName&gt;обл БЕЛГОРОДСКАЯ&lt;/SubName&gt;</w:t>
      </w:r>
    </w:p>
    <w:p w14:paraId="54945A9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&lt;SubCode&gt;31&lt;/SubCode&gt;</w:t>
      </w:r>
    </w:p>
    <w:p w14:paraId="5A641F8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&lt;AreaName&gt;г Белгород&lt;/AreaName&gt;</w:t>
      </w:r>
    </w:p>
    <w:p w14:paraId="4E19911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&lt;TwnOktmo&gt;14701000001&lt;/TwnOktmo&gt;</w:t>
      </w:r>
    </w:p>
    <w:p w14:paraId="45E041E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&lt;RdNtwrkName&gt;ул ВОЛЧАНСКАЯ&lt;/RdNtwrkName&gt;</w:t>
      </w:r>
    </w:p>
    <w:p w14:paraId="474C076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&lt;BldngType&gt;Дом&lt;/BldngType&gt;</w:t>
      </w:r>
    </w:p>
    <w:p w14:paraId="4AC4591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&lt;BldngNum&gt;163&lt;/BldngNum&gt;</w:t>
      </w:r>
    </w:p>
    <w:p w14:paraId="699A0E4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&lt;/RcptLctn&gt;</w:t>
      </w:r>
    </w:p>
    <w:p w14:paraId="5621EA7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&lt;GRBSLS&gt;</w:t>
      </w:r>
    </w:p>
    <w:p w14:paraId="6E2BE38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&lt;GRBSAcNum&gt;03261783940&lt;/GRBSAcNum&gt;</w:t>
      </w:r>
    </w:p>
    <w:p w14:paraId="24C513F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&lt;TOFKCode&gt;2600&lt;/TOFKCode&gt;</w:t>
      </w:r>
    </w:p>
    <w:p w14:paraId="379B43F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ToFKName</w:t>
      </w:r>
      <w:r w:rsidRPr="00264D5D">
        <w:rPr>
          <w:rFonts w:cs="Courier New"/>
          <w:sz w:val="20"/>
          <w:lang w:val="ru-RU"/>
        </w:rPr>
        <w:t>&gt;УФК по Белгородской области&lt;/</w:t>
      </w:r>
      <w:r w:rsidRPr="00264D5D">
        <w:rPr>
          <w:rFonts w:cs="Courier New"/>
          <w:sz w:val="20"/>
        </w:rPr>
        <w:t>ToFKName</w:t>
      </w:r>
      <w:r w:rsidRPr="00264D5D">
        <w:rPr>
          <w:rFonts w:cs="Courier New"/>
          <w:sz w:val="20"/>
          <w:lang w:val="ru-RU"/>
        </w:rPr>
        <w:t>&gt;</w:t>
      </w:r>
    </w:p>
    <w:p w14:paraId="5A8C44A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rPr>
        <w:t>&lt;/GRBSLS&gt;</w:t>
      </w:r>
    </w:p>
    <w:p w14:paraId="5231E12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&lt;Summ&gt;</w:t>
      </w:r>
    </w:p>
    <w:p w14:paraId="5E96868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&lt;AgrSumKbk&gt;</w:t>
      </w:r>
    </w:p>
    <w:p w14:paraId="4FB2E2B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&lt;Kbkcode&gt;17703101010390059611&lt;/Kbkcode&gt;</w:t>
      </w:r>
    </w:p>
    <w:p w14:paraId="1CAFACB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TrgtName</w:t>
      </w:r>
      <w:r w:rsidRPr="00264D5D">
        <w:rPr>
          <w:rFonts w:cs="Courier New"/>
          <w:sz w:val="20"/>
          <w:lang w:val="ru-RU"/>
        </w:rPr>
        <w:t>&gt;Субсидии бюджетным учреждениям на финансовое обеспечение государственного (муниципального) задания на оказание государственных (муниципальных) услуг (выполнение работ)&lt;/</w:t>
      </w:r>
      <w:r w:rsidRPr="00264D5D">
        <w:rPr>
          <w:rFonts w:cs="Courier New"/>
          <w:sz w:val="20"/>
        </w:rPr>
        <w:t>TrgtName</w:t>
      </w:r>
      <w:r w:rsidRPr="00264D5D">
        <w:rPr>
          <w:rFonts w:cs="Courier New"/>
          <w:sz w:val="20"/>
          <w:lang w:val="ru-RU"/>
        </w:rPr>
        <w:t>&gt;</w:t>
      </w:r>
    </w:p>
    <w:p w14:paraId="1A81D17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rPr>
        <w:t>&lt;VolSub&gt;</w:t>
      </w:r>
    </w:p>
    <w:p w14:paraId="014D3B5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&lt;YearPlan&gt;2019&lt;/YearPlan&gt;</w:t>
      </w:r>
    </w:p>
    <w:p w14:paraId="0AEA372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&lt;AgrCurSumKbk&gt;100000.00&lt;/AgrCurSumKbk&gt;</w:t>
      </w:r>
    </w:p>
    <w:p w14:paraId="5653602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&lt;AgrRubSumKbk&gt;100000.00&lt;/AgrRubSumKbk&gt;</w:t>
      </w:r>
    </w:p>
    <w:p w14:paraId="579CEDA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&lt;/VolSub&gt;</w:t>
      </w:r>
    </w:p>
    <w:p w14:paraId="3A571A3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&lt;/AgrSumKbk&gt;</w:t>
      </w:r>
    </w:p>
    <w:p w14:paraId="3A952F9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&lt;AgrCurCd&gt;643&lt;/AgrCurCd&gt;</w:t>
      </w:r>
    </w:p>
    <w:p w14:paraId="08502AA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&lt;AgrCurName&gt;Российский рубль&lt;/AgrCurName&gt;</w:t>
      </w:r>
    </w:p>
    <w:p w14:paraId="0681C86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&lt;CurRate&gt;1.0000&lt;/CurRate&gt;</w:t>
      </w:r>
    </w:p>
    <w:p w14:paraId="3BF1C89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&lt;AgrCurSum&gt;144000.00&lt;/AgrCurSum&gt;</w:t>
      </w:r>
    </w:p>
    <w:p w14:paraId="45A868D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&lt;/Summ&gt;</w:t>
      </w:r>
    </w:p>
    <w:p w14:paraId="68CC191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&lt;AgrInf&gt;</w:t>
      </w:r>
    </w:p>
    <w:p w14:paraId="78EA63C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&lt;AgrNum&gt;177-03-042&lt;/AgrNum&gt;</w:t>
      </w:r>
    </w:p>
    <w:p w14:paraId="5303023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&lt;AgrInsNum&gt;1/ИПЛ&lt;/AgrInsNum&gt;</w:t>
      </w:r>
    </w:p>
    <w:p w14:paraId="3578DCE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&lt;AgrCnclDate&gt;2018-12-11&lt;/AgrCnclDate&gt;</w:t>
      </w:r>
    </w:p>
    <w:p w14:paraId="78BFA3D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&lt;AgrStrtDate&gt;2018-12-11&lt;/AgrStrtDate&gt;</w:t>
      </w:r>
    </w:p>
    <w:p w14:paraId="6AFC8C9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&lt;AgrEndDate&gt;2018-12-31&lt;/AgrEndDate&gt;</w:t>
      </w:r>
    </w:p>
    <w:p w14:paraId="75A9C2C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&lt;PublicationInf_RegisterNumber&gt;177001X73261701&lt;/PublicationInf_RegisterNumber&gt;</w:t>
      </w:r>
    </w:p>
    <w:p w14:paraId="0CA27BB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&lt;/AgrInf&gt;</w:t>
      </w:r>
    </w:p>
    <w:p w14:paraId="5070646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&lt;NPA_rule&gt;</w:t>
      </w:r>
    </w:p>
    <w:p w14:paraId="02C8D69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&lt;NPAtype&gt;Правило предоставления&lt;/NPAtype&gt;</w:t>
      </w:r>
    </w:p>
    <w:p w14:paraId="6DDCBBB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AdpDate</w:t>
      </w:r>
      <w:r w:rsidRPr="00264D5D">
        <w:rPr>
          <w:rFonts w:cs="Courier New"/>
          <w:sz w:val="20"/>
          <w:lang w:val="ru-RU"/>
        </w:rPr>
        <w:t>&gt;2017-05-25&lt;/</w:t>
      </w:r>
      <w:r w:rsidRPr="00264D5D">
        <w:rPr>
          <w:rFonts w:cs="Courier New"/>
          <w:sz w:val="20"/>
        </w:rPr>
        <w:t>AdpDate</w:t>
      </w:r>
      <w:r w:rsidRPr="00264D5D">
        <w:rPr>
          <w:rFonts w:cs="Courier New"/>
          <w:sz w:val="20"/>
          <w:lang w:val="ru-RU"/>
        </w:rPr>
        <w:t>&gt;</w:t>
      </w:r>
    </w:p>
    <w:p w14:paraId="481A2E0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NPANum</w:t>
      </w:r>
      <w:r w:rsidRPr="00264D5D">
        <w:rPr>
          <w:rFonts w:cs="Courier New"/>
          <w:sz w:val="20"/>
          <w:lang w:val="ru-RU"/>
        </w:rPr>
        <w:t>&gt;640&lt;/</w:t>
      </w:r>
      <w:r w:rsidRPr="00264D5D">
        <w:rPr>
          <w:rFonts w:cs="Courier New"/>
          <w:sz w:val="20"/>
        </w:rPr>
        <w:t>NPANum</w:t>
      </w:r>
      <w:r w:rsidRPr="00264D5D">
        <w:rPr>
          <w:rFonts w:cs="Courier New"/>
          <w:sz w:val="20"/>
          <w:lang w:val="ru-RU"/>
        </w:rPr>
        <w:t>&gt;</w:t>
      </w:r>
    </w:p>
    <w:p w14:paraId="2F65A01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NPAName</w:t>
      </w:r>
      <w:r w:rsidRPr="00264D5D">
        <w:rPr>
          <w:rFonts w:cs="Courier New"/>
          <w:sz w:val="20"/>
          <w:lang w:val="ru-RU"/>
        </w:rPr>
        <w:t>&gt;О порядке формирования государственного задания на оказание государственных услуг (выполнение работ) в отношении федеральных государственных учреждений и финансового обеспечения выполнения государственного задания&lt;/</w:t>
      </w:r>
      <w:r w:rsidRPr="00264D5D">
        <w:rPr>
          <w:rFonts w:cs="Courier New"/>
          <w:sz w:val="20"/>
        </w:rPr>
        <w:t>NPAName</w:t>
      </w:r>
      <w:r w:rsidRPr="00264D5D">
        <w:rPr>
          <w:rFonts w:cs="Courier New"/>
          <w:sz w:val="20"/>
          <w:lang w:val="ru-RU"/>
        </w:rPr>
        <w:t>&gt;</w:t>
      </w:r>
    </w:p>
    <w:p w14:paraId="68BB2D0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rPr>
        <w:t>&lt;NPAEndDate&gt;2018-10-03&lt;/NPAEndDate&gt;</w:t>
      </w:r>
    </w:p>
    <w:p w14:paraId="6FBB58D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&lt;/NPA_rule&gt;</w:t>
      </w:r>
    </w:p>
    <w:p w14:paraId="014CB84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&lt;CptlConstrctnLst&gt;</w:t>
      </w:r>
    </w:p>
    <w:p w14:paraId="77474DC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&lt;CptlConstrctnName&gt;ФГБУ СЭУ ФПС ИПЛ ПО БЕЛГОРОДСКОЙ ОБЛАСТИ&lt;/CptlConstrctnName&gt;</w:t>
      </w:r>
    </w:p>
    <w:p w14:paraId="05804D3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&lt;CptlConstrctnPwr&gt;850&lt;/CptlConstrctnPwr&gt;</w:t>
      </w:r>
    </w:p>
    <w:p w14:paraId="261E647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&lt;CptlConstrctnCost&gt;1350000.00&lt;/CptlConstrctnCost&gt;</w:t>
      </w:r>
    </w:p>
    <w:p w14:paraId="7701C36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&lt;CptlDate&gt;5&lt;/CptlDate&gt;</w:t>
      </w:r>
    </w:p>
    <w:p w14:paraId="19B26F3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&lt;CptlDirect&gt;Активные инвестиции&lt;/CptlDirect&gt;</w:t>
      </w:r>
    </w:p>
    <w:p w14:paraId="6D620D6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ab/>
      </w:r>
      <w:r w:rsidRPr="00264D5D">
        <w:rPr>
          <w:rFonts w:cs="Courier New"/>
          <w:sz w:val="20"/>
        </w:rPr>
        <w:tab/>
        <w:t>&lt;CptlInform&gt;ФГБУ СЭУ ФПС ИПЛ ПО БЕЛГОРОДСКОЙ ОБЛАСТИ&lt;/CptlInform&gt;</w:t>
      </w:r>
    </w:p>
    <w:p w14:paraId="65A9735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&lt;/CptlConstrctnLst&gt;</w:t>
      </w:r>
    </w:p>
    <w:p w14:paraId="30BA0C7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&lt;Shedule&gt;</w:t>
      </w:r>
    </w:p>
    <w:p w14:paraId="6C7E39B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&lt;SheduleKbkInfs&gt;</w:t>
      </w:r>
    </w:p>
    <w:p w14:paraId="417898D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&lt;TotalsSumInfs&gt;</w:t>
      </w:r>
    </w:p>
    <w:p w14:paraId="4A8D347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&lt;SheduleKbk&gt;17703101010390059611&lt;/SheduleKbk&gt;</w:t>
      </w:r>
    </w:p>
    <w:p w14:paraId="2622C5C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&lt;SrrFin&gt;1&lt;/SrrFin&gt;</w:t>
      </w:r>
    </w:p>
    <w:p w14:paraId="1F0AF3A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&lt;PrznPl&gt;1&lt;/PrznPl&gt;</w:t>
      </w:r>
    </w:p>
    <w:p w14:paraId="023257F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&lt;SummIsp&gt;0.00&lt;/SummIsp&gt;</w:t>
      </w:r>
    </w:p>
    <w:p w14:paraId="6066443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&lt;SummNeisp&gt;0.00&lt;/SummNeisp&gt;</w:t>
      </w:r>
    </w:p>
    <w:p w14:paraId="4E542B3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&lt;DetalsSumInf&gt;</w:t>
      </w:r>
    </w:p>
    <w:p w14:paraId="0E0A5B5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&lt;SumThisYear&gt;</w:t>
      </w:r>
    </w:p>
    <w:p w14:paraId="3E5EA5D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&lt;SheduleSumInf_january&gt;0.00&lt;/SheduleSumInf_january&gt;</w:t>
      </w:r>
    </w:p>
    <w:p w14:paraId="500E154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&lt;SheduleSumInf_february&gt;0.00&lt;/SheduleSumInf_february&gt;</w:t>
      </w:r>
    </w:p>
    <w:p w14:paraId="4752562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&lt;SheduleSumInf_march&gt;0.00&lt;/SheduleSumInf_march&gt;</w:t>
      </w:r>
    </w:p>
    <w:p w14:paraId="3CBED89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&lt;SheduleSumInf_april&gt;0.00&lt;/SheduleSumInf_april&gt;</w:t>
      </w:r>
    </w:p>
    <w:p w14:paraId="008850A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&lt;SheduleSumInf_may&gt;0.00&lt;/SheduleSumInf_may&gt;</w:t>
      </w:r>
    </w:p>
    <w:p w14:paraId="088B062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&lt;SheduleSumInf_june&gt;0.00&lt;/SheduleSumInf_june&gt;</w:t>
      </w:r>
    </w:p>
    <w:p w14:paraId="5878378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&lt;SheduleSumInf_july&gt;0.00&lt;/SheduleSumInf_july&gt;</w:t>
      </w:r>
    </w:p>
    <w:p w14:paraId="16F6F2D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&lt;SheduleSumInf_august&gt;0.00&lt;/SheduleSumInf_august&gt;</w:t>
      </w:r>
    </w:p>
    <w:p w14:paraId="1ACF44D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&lt;SheduleSumInf_september&gt;14000.00&lt;/SheduleSumInf_september&gt;</w:t>
      </w:r>
    </w:p>
    <w:p w14:paraId="1C9126C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&lt;SheduleSumInf_october&gt;0.00&lt;/SheduleSumInf_october&gt;</w:t>
      </w:r>
    </w:p>
    <w:p w14:paraId="07887F8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&lt;SheduleSumInf_november&gt;0.00&lt;/SheduleSumInf_november&gt;</w:t>
      </w:r>
    </w:p>
    <w:p w14:paraId="1A900C9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&lt;SheduleSumInf_december&gt;0.00&lt;/SheduleSumInf_december&gt;</w:t>
      </w:r>
    </w:p>
    <w:p w14:paraId="2340EF4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&lt;yearSum&gt;14000.00&lt;/yearSum&gt;</w:t>
      </w:r>
    </w:p>
    <w:p w14:paraId="0D29380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&lt;/SumThisYear&gt;</w:t>
      </w:r>
    </w:p>
    <w:p w14:paraId="0156992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&lt;SumPlanPeriod&gt;</w:t>
      </w:r>
    </w:p>
    <w:p w14:paraId="723EC46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&lt;firstYearSum&gt;14000.00&lt;/firstYearSum&gt;</w:t>
      </w:r>
    </w:p>
    <w:p w14:paraId="6D02D0E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&lt;secondYearSum&gt;20000.00&lt;/secondYearSum&gt;</w:t>
      </w:r>
    </w:p>
    <w:p w14:paraId="20153FF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&lt;thirdYearSum&gt;26000.00&lt;/thirdYearSum&gt;</w:t>
      </w:r>
    </w:p>
    <w:p w14:paraId="6A434E3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&lt;followingYearsSum&gt;60000.00&lt;/followingYearsSum&gt;</w:t>
      </w:r>
    </w:p>
    <w:p w14:paraId="331CF81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&lt;/SumPlanPeriod&gt;</w:t>
      </w:r>
    </w:p>
    <w:p w14:paraId="7965545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&lt;/DetalsSumInf&gt;</w:t>
      </w:r>
    </w:p>
    <w:p w14:paraId="3F61F90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&lt;/TotalsSumInfs&gt;</w:t>
      </w:r>
    </w:p>
    <w:p w14:paraId="2C9B76F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&lt;SheduleKbkInf&gt;</w:t>
      </w:r>
    </w:p>
    <w:p w14:paraId="632F60AE" w14:textId="77777777" w:rsidR="00AD1F54" w:rsidRPr="00264D5D" w:rsidRDefault="00941227" w:rsidP="003D514B">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&lt;SheduleKbk&gt;17703101010390059611&lt;/SheduleKbk&gt;</w:t>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&lt;SrrFin&gt;1&lt;/SrrFin&gt;</w:t>
      </w:r>
    </w:p>
    <w:p w14:paraId="2B9CDE9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&lt;PrznPl&gt;1&lt;/PrznPl&gt;</w:t>
      </w:r>
    </w:p>
    <w:p w14:paraId="3C13DF2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&lt;SheduleSumInf&gt;</w:t>
      </w:r>
    </w:p>
    <w:p w14:paraId="6163EF7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&lt;SheduleSumInf_mon&gt;12&lt;/SheduleSumInf_mon&gt;</w:t>
      </w:r>
    </w:p>
    <w:p w14:paraId="51E7B44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&lt;SheduleYear&gt;2018&lt;/SheduleYear&gt;</w:t>
      </w:r>
    </w:p>
    <w:p w14:paraId="40FCCDA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&lt;SheduleSumInf_sum&gt;36000.00&lt;/SheduleSumInf_sum&gt;</w:t>
      </w:r>
    </w:p>
    <w:p w14:paraId="3D6A7E2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&lt;SheduleSumInf_FrgnSum&gt;36000.00&lt;/SheduleSumInf_FrgnSum&gt;</w:t>
      </w:r>
    </w:p>
    <w:p w14:paraId="397642A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&lt;/SheduleSumInf&gt;</w:t>
      </w:r>
    </w:p>
    <w:p w14:paraId="08E8127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&lt;SheduleSumInf&gt;</w:t>
      </w:r>
    </w:p>
    <w:p w14:paraId="4A19BE4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&lt;SheduleSumInf_mon&gt;03&lt;/SheduleSumInf_mon&gt;</w:t>
      </w:r>
    </w:p>
    <w:p w14:paraId="58A6134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&lt;SheduleYear&gt;2018&lt;/SheduleYear&gt;</w:t>
      </w:r>
    </w:p>
    <w:p w14:paraId="763E179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&lt;SheduleSumInf_sum&gt;36000.00&lt;/SheduleSumInf_sum&gt;</w:t>
      </w:r>
    </w:p>
    <w:p w14:paraId="471C717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&lt;SheduleSumInf_FrgnSum&gt;36000.00&lt;/SheduleSumInf_FrgnSum&gt;</w:t>
      </w:r>
    </w:p>
    <w:p w14:paraId="2939F29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&lt;/SheduleSumInf&gt;</w:t>
      </w:r>
    </w:p>
    <w:p w14:paraId="2F1D721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&lt;SheduleSumInf&gt;</w:t>
      </w:r>
    </w:p>
    <w:p w14:paraId="17ADA16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&lt;SheduleSumInf_mon&gt;09&lt;/SheduleSumInf_mon&gt;</w:t>
      </w:r>
    </w:p>
    <w:p w14:paraId="7B160B9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&lt;SheduleYear&gt;2018&lt;/SheduleYear&gt;</w:t>
      </w:r>
    </w:p>
    <w:p w14:paraId="17C68C0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&lt;SheduleSumInf_sum&gt;36000.00&lt;/SheduleSumInf_sum&gt;</w:t>
      </w:r>
    </w:p>
    <w:p w14:paraId="36F68DA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&lt;SheduleSumInf_FrgnSum&gt;36000.00&lt;/SheduleSumInf_FrgnSum&gt;</w:t>
      </w:r>
    </w:p>
    <w:p w14:paraId="2BA4565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&lt;/SheduleSumInf&gt;</w:t>
      </w:r>
    </w:p>
    <w:p w14:paraId="5A9052C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&lt;SheduleSumInf&gt;</w:t>
      </w:r>
    </w:p>
    <w:p w14:paraId="6DC508C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&lt;SheduleSumInf_mon&gt;06&lt;/SheduleSumInf_mon&gt;</w:t>
      </w:r>
    </w:p>
    <w:p w14:paraId="3AEE2AE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&lt;SheduleYear&gt;2018&lt;/SheduleYear&gt;</w:t>
      </w:r>
    </w:p>
    <w:p w14:paraId="5DF1E3A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&lt;SheduleSumInf_sum&gt;36000.00&lt;/SheduleSumInf_sum&gt;</w:t>
      </w:r>
    </w:p>
    <w:p w14:paraId="23B816F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&lt;SheduleSumInf_FrgnSum&gt;36000.00&lt;/SheduleSumInf_FrgnSum&gt;</w:t>
      </w:r>
    </w:p>
    <w:p w14:paraId="68553D7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&lt;/SheduleSumInf&gt;</w:t>
      </w:r>
    </w:p>
    <w:p w14:paraId="2924129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&lt;SheduleSumInf&gt;</w:t>
      </w:r>
    </w:p>
    <w:p w14:paraId="67E9F73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&lt;SheduleYear&gt;2019&lt;/SheduleYear&gt;</w:t>
      </w:r>
    </w:p>
    <w:p w14:paraId="15BD899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&lt;SheduleSumInf_sum&gt;0.00&lt;/SheduleSumInf_sum&gt;</w:t>
      </w:r>
    </w:p>
    <w:p w14:paraId="2355325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&lt;SheduleSumInf_FrgnSum&gt;0.00&lt;/SheduleSumInf_FrgnSum&gt;</w:t>
      </w:r>
    </w:p>
    <w:p w14:paraId="1677FE9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&lt;/SheduleSumInf&gt;</w:t>
      </w:r>
    </w:p>
    <w:p w14:paraId="146E539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&lt;SheduleSumInf&gt;</w:t>
      </w:r>
    </w:p>
    <w:p w14:paraId="6789FAA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&lt;SheduleYear&gt;2020&lt;/SheduleYear&gt;</w:t>
      </w:r>
    </w:p>
    <w:p w14:paraId="336101D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&lt;SheduleSumInf_sum&gt;0.00&lt;/SheduleSumInf_sum&gt;</w:t>
      </w:r>
    </w:p>
    <w:p w14:paraId="2B8FE7D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&lt;SheduleSumInf_FrgnSum&gt;0.00&lt;/SheduleSumInf_FrgnSum&gt;</w:t>
      </w:r>
    </w:p>
    <w:p w14:paraId="4ABE54C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&lt;/SheduleSumInf&gt;</w:t>
      </w:r>
    </w:p>
    <w:p w14:paraId="02C68A0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&lt;SummIsp&gt;0.00&lt;/SummIsp&gt;</w:t>
      </w:r>
    </w:p>
    <w:p w14:paraId="15A998B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&lt;SummNeisp&gt;0.00&lt;/SummNeisp&gt;</w:t>
      </w:r>
    </w:p>
    <w:p w14:paraId="265569F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&lt;/SheduleKbkInf&gt;</w:t>
      </w:r>
    </w:p>
    <w:p w14:paraId="35CF41B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&lt;/SheduleKbkInfs&gt;</w:t>
      </w:r>
    </w:p>
    <w:p w14:paraId="6B199FB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&lt;SheduleCurCode&gt;643&lt;/SheduleCurCode&gt;</w:t>
      </w:r>
    </w:p>
    <w:p w14:paraId="51100D5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&lt;SheduleCurName&gt;Российский рубль&lt;/SheduleCurName&gt;</w:t>
      </w:r>
    </w:p>
    <w:p w14:paraId="6FDC736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&lt;SheduleFrgnExch&gt;1.0000&lt;/SheduleFrgnExch&gt;</w:t>
      </w:r>
    </w:p>
    <w:p w14:paraId="774359F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&lt;/Shedule&gt;</w:t>
      </w:r>
    </w:p>
    <w:p w14:paraId="6DDEE07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&lt;SignFKsup&gt;0&lt;/SignFKsup&gt;</w:t>
      </w:r>
    </w:p>
    <w:p w14:paraId="1A556A8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&lt;BudComOb&gt;Выполнение работ&lt;/BudComOb&gt;</w:t>
      </w:r>
    </w:p>
    <w:p w14:paraId="59E4934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&lt;SgnGRBS_PBS&gt;</w:t>
      </w:r>
    </w:p>
    <w:p w14:paraId="30F333F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GRBSHdName</w:t>
      </w:r>
      <w:r w:rsidRPr="00264D5D">
        <w:rPr>
          <w:rFonts w:cs="Courier New"/>
          <w:sz w:val="20"/>
          <w:lang w:val="ru-RU"/>
        </w:rPr>
        <w:t>&gt;ПОТАПОВ СЕРГЕЙ ПЕТРОВИЧ&lt;/</w:t>
      </w:r>
      <w:r w:rsidRPr="00264D5D">
        <w:rPr>
          <w:rFonts w:cs="Courier New"/>
          <w:sz w:val="20"/>
        </w:rPr>
        <w:t>GRBSHdName</w:t>
      </w:r>
      <w:r w:rsidRPr="00264D5D">
        <w:rPr>
          <w:rFonts w:cs="Courier New"/>
          <w:sz w:val="20"/>
          <w:lang w:val="ru-RU"/>
        </w:rPr>
        <w:t>&gt;</w:t>
      </w:r>
    </w:p>
    <w:p w14:paraId="7D1E039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GRBSHdPos</w:t>
      </w:r>
      <w:r w:rsidRPr="00264D5D">
        <w:rPr>
          <w:rFonts w:cs="Courier New"/>
          <w:sz w:val="20"/>
          <w:lang w:val="ru-RU"/>
        </w:rPr>
        <w:t>&gt;Начальник Главного управления&lt;/</w:t>
      </w:r>
      <w:r w:rsidRPr="00264D5D">
        <w:rPr>
          <w:rFonts w:cs="Courier New"/>
          <w:sz w:val="20"/>
        </w:rPr>
        <w:t>GRBSHdPos</w:t>
      </w:r>
      <w:r w:rsidRPr="00264D5D">
        <w:rPr>
          <w:rFonts w:cs="Courier New"/>
          <w:sz w:val="20"/>
          <w:lang w:val="ru-RU"/>
        </w:rPr>
        <w:t>&gt;</w:t>
      </w:r>
    </w:p>
    <w:p w14:paraId="037BB44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GRBSHdSgnDate</w:t>
      </w:r>
      <w:r w:rsidRPr="00264D5D">
        <w:rPr>
          <w:rFonts w:cs="Courier New"/>
          <w:sz w:val="20"/>
          <w:lang w:val="ru-RU"/>
        </w:rPr>
        <w:t>&gt;2024-01-24&lt;/</w:t>
      </w:r>
      <w:r w:rsidRPr="00264D5D">
        <w:rPr>
          <w:rFonts w:cs="Courier New"/>
          <w:sz w:val="20"/>
        </w:rPr>
        <w:t>GRBSHdSgnDate</w:t>
      </w:r>
      <w:r w:rsidRPr="00264D5D">
        <w:rPr>
          <w:rFonts w:cs="Courier New"/>
          <w:sz w:val="20"/>
          <w:lang w:val="ru-RU"/>
        </w:rPr>
        <w:t>&gt;</w:t>
      </w:r>
    </w:p>
    <w:p w14:paraId="3BC0097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GRBSExctrName</w:t>
      </w:r>
      <w:r w:rsidRPr="00264D5D">
        <w:rPr>
          <w:rFonts w:cs="Courier New"/>
          <w:sz w:val="20"/>
          <w:lang w:val="ru-RU"/>
        </w:rPr>
        <w:t>&gt;ПОТАПОВ СЕРГЕЙ ПЕТРОВИЧ&lt;/</w:t>
      </w:r>
      <w:r w:rsidRPr="00264D5D">
        <w:rPr>
          <w:rFonts w:cs="Courier New"/>
          <w:sz w:val="20"/>
        </w:rPr>
        <w:t>GRBSExctrName</w:t>
      </w:r>
      <w:r w:rsidRPr="00264D5D">
        <w:rPr>
          <w:rFonts w:cs="Courier New"/>
          <w:sz w:val="20"/>
          <w:lang w:val="ru-RU"/>
        </w:rPr>
        <w:t>&gt;</w:t>
      </w:r>
    </w:p>
    <w:p w14:paraId="513910B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GRBSExtrPos</w:t>
      </w:r>
      <w:r w:rsidRPr="00264D5D">
        <w:rPr>
          <w:rFonts w:cs="Courier New"/>
          <w:sz w:val="20"/>
          <w:lang w:val="ru-RU"/>
        </w:rPr>
        <w:t>&gt;Начальник Главного управления&lt;/</w:t>
      </w:r>
      <w:r w:rsidRPr="00264D5D">
        <w:rPr>
          <w:rFonts w:cs="Courier New"/>
          <w:sz w:val="20"/>
        </w:rPr>
        <w:t>GRBSExtrPos</w:t>
      </w:r>
      <w:r w:rsidRPr="00264D5D">
        <w:rPr>
          <w:rFonts w:cs="Courier New"/>
          <w:sz w:val="20"/>
          <w:lang w:val="ru-RU"/>
        </w:rPr>
        <w:t>&gt;</w:t>
      </w:r>
    </w:p>
    <w:p w14:paraId="15435CE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rPr>
        <w:t>&lt;/SgnGRBS_PBS&gt;</w:t>
      </w:r>
    </w:p>
    <w:p w14:paraId="544FDFA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&lt;/formular&gt;</w:t>
      </w:r>
    </w:p>
    <w:p w14:paraId="1743424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&lt;/self:formularCollection&gt;</w:t>
      </w:r>
    </w:p>
    <w:p w14:paraId="0A51DA3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264D5D">
        <w:rPr>
          <w:rFonts w:cs="Courier New"/>
          <w:sz w:val="20"/>
        </w:rPr>
        <w:t>&lt;/self:exchangePacket&gt;</w:t>
      </w:r>
    </w:p>
    <w:p w14:paraId="012D033E" w14:textId="77777777" w:rsidR="00AD1F54" w:rsidRPr="00264D5D" w:rsidRDefault="00941227">
      <w:pPr>
        <w:pStyle w:val="31"/>
      </w:pPr>
      <w:bookmarkStart w:id="2135" w:name="_Toc494291515"/>
      <w:bookmarkStart w:id="2136" w:name="_Toc494291517"/>
      <w:bookmarkStart w:id="2137" w:name="_Toc494291534"/>
      <w:bookmarkStart w:id="2138" w:name="_Toc494291541"/>
      <w:bookmarkStart w:id="2139" w:name="_Toc494291557"/>
      <w:bookmarkStart w:id="2140" w:name="_Toc494291564"/>
      <w:bookmarkStart w:id="2141" w:name="_Toc494291571"/>
      <w:bookmarkStart w:id="2142" w:name="_Toc494291579"/>
      <w:bookmarkStart w:id="2143" w:name="_Toc494291587"/>
      <w:bookmarkStart w:id="2144" w:name="_Toc494291594"/>
      <w:bookmarkStart w:id="2145" w:name="_Toc494291610"/>
      <w:bookmarkStart w:id="2146" w:name="_Toc494291617"/>
      <w:bookmarkStart w:id="2147" w:name="_Toc494291624"/>
      <w:bookmarkStart w:id="2148" w:name="_Toc494291631"/>
      <w:bookmarkStart w:id="2149" w:name="_Toc494291647"/>
      <w:bookmarkStart w:id="2150" w:name="_Toc435447883"/>
      <w:bookmarkStart w:id="2151" w:name="_Toc435447768"/>
      <w:bookmarkStart w:id="2152" w:name="_Toc435447424"/>
      <w:bookmarkStart w:id="2153" w:name="_Toc494291648"/>
      <w:bookmarkStart w:id="2154" w:name="_Toc494291664"/>
      <w:bookmarkStart w:id="2155" w:name="_Toc494291673"/>
      <w:bookmarkStart w:id="2156" w:name="_Toc494291682"/>
      <w:bookmarkStart w:id="2157" w:name="_Toc494291689"/>
      <w:bookmarkStart w:id="2158" w:name="_Toc494291696"/>
      <w:bookmarkStart w:id="2159" w:name="_Toc494291712"/>
      <w:bookmarkStart w:id="2160" w:name="_Toc494291728"/>
      <w:bookmarkStart w:id="2161" w:name="_Toc494291735"/>
      <w:bookmarkStart w:id="2162" w:name="_Toc494291742"/>
      <w:bookmarkStart w:id="2163" w:name="_Toc435447427"/>
      <w:bookmarkStart w:id="2164" w:name="_Toc435447771"/>
      <w:bookmarkStart w:id="2165" w:name="_Toc435447886"/>
      <w:bookmarkStart w:id="2166" w:name="_Toc494291749"/>
      <w:bookmarkStart w:id="2167" w:name="_Ref495395181"/>
      <w:bookmarkStart w:id="2168" w:name="_Toc496984055"/>
      <w:bookmarkStart w:id="2169" w:name="_Toc219309684"/>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r w:rsidRPr="00264D5D">
        <w:t>Пример XML (сервисное взаимодействие)</w:t>
      </w:r>
      <w:bookmarkEnd w:id="2169"/>
    </w:p>
    <w:p w14:paraId="36E208C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&lt;?xml version="1.0" encoding="UTF-8"?&gt;</w:t>
      </w:r>
    </w:p>
    <w:p w14:paraId="1877E7C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&lt;self:ImpAgr metaType="formular" versionID="3.0" xsi:schemaLocation="http://www.roskazna.ru/eb/domain/ImpAgr/formular ImpAgr.xsd" xmlns:self="http://www.roskazna.ru/eb/domain/ImpAgr/formular" xmlns:xsi="http://www.w3.org/2001/XMLSchema-instance"&gt;</w:t>
      </w:r>
    </w:p>
    <w:p w14:paraId="4B02A92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&lt;SrcGuid&gt;e123ffc1-80b5-4753-9fa2-94ffe6c9df70&lt;/SrcGuid&gt;</w:t>
      </w:r>
    </w:p>
    <w:p w14:paraId="40205FC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&lt;TpDcmnt&gt;0&lt;/TpDcmnt&gt;</w:t>
      </w:r>
    </w:p>
    <w:p w14:paraId="35069BD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&lt;Calendar&gt;</w:t>
      </w:r>
    </w:p>
    <w:p w14:paraId="5994BB4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&lt;ReportType&gt;1&lt;/ReportType&gt;</w:t>
      </w:r>
    </w:p>
    <w:p w14:paraId="39E1738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&lt;ReportTime&gt;1&lt;/ReportTime&gt;</w:t>
      </w:r>
    </w:p>
    <w:p w14:paraId="1919C8A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&lt;CalendarDate&gt;</w:t>
      </w:r>
    </w:p>
    <w:p w14:paraId="0D32800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&lt;ReportDate&gt;2024-01-24&lt;/ReportDate&gt;</w:t>
      </w:r>
    </w:p>
    <w:p w14:paraId="6565BD6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&lt;PlanReportProvide&gt;2024-01-24&lt;/PlanReportProvide&gt;</w:t>
      </w:r>
    </w:p>
    <w:p w14:paraId="0B2092E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&lt;/CalendarDate&gt;</w:t>
      </w:r>
    </w:p>
    <w:p w14:paraId="7BB08A5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&lt;/Calendar&gt;</w:t>
      </w:r>
    </w:p>
    <w:p w14:paraId="3EB9524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&lt;GRBS&gt;</w:t>
      </w:r>
    </w:p>
    <w:p w14:paraId="669639B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GRBSCode</w:t>
      </w:r>
      <w:r w:rsidRPr="00264D5D">
        <w:rPr>
          <w:rFonts w:cs="Courier New"/>
          <w:sz w:val="20"/>
          <w:lang w:val="ru-RU"/>
        </w:rPr>
        <w:t>&gt;177&lt;/</w:t>
      </w:r>
      <w:r w:rsidRPr="00264D5D">
        <w:rPr>
          <w:rFonts w:cs="Courier New"/>
          <w:sz w:val="20"/>
        </w:rPr>
        <w:t>GRBSCode</w:t>
      </w:r>
      <w:r w:rsidRPr="00264D5D">
        <w:rPr>
          <w:rFonts w:cs="Courier New"/>
          <w:sz w:val="20"/>
          <w:lang w:val="ru-RU"/>
        </w:rPr>
        <w:t>&gt;</w:t>
      </w:r>
    </w:p>
    <w:p w14:paraId="2C303B9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FullName</w:t>
      </w:r>
      <w:r w:rsidRPr="00264D5D">
        <w:rPr>
          <w:rFonts w:cs="Courier New"/>
          <w:sz w:val="20"/>
          <w:lang w:val="ru-RU"/>
        </w:rPr>
        <w:t xml:space="preserve">&gt;ГЛАВНОЕ УПРАВЛЕНИЕ МИНИСТЕРСТВА РОССИЙСКОЙ ФЕДЕРАЦИИ ПО ДЕЛАМ ГРАЖДАНСКОЙ ОБОРОНЫ, ЧРЕЗВЫЧАЙНЫМ СИТУАЦИЯМ И ЛИКВИДАЦИИ ПОСЛЕДСТВИЙ СТИХИЙНЫХ БЕДСТВИЙ ПО </w:t>
      </w:r>
      <w:r w:rsidRPr="00264D5D">
        <w:rPr>
          <w:rFonts w:cs="Courier New"/>
          <w:sz w:val="20"/>
          <w:lang w:val="ru-RU"/>
        </w:rPr>
        <w:lastRenderedPageBreak/>
        <w:t>БЕЛГОРОДСКОЙ ОБЛАСТИ&lt;/</w:t>
      </w:r>
      <w:r w:rsidRPr="00264D5D">
        <w:rPr>
          <w:rFonts w:cs="Courier New"/>
          <w:sz w:val="20"/>
        </w:rPr>
        <w:t>FullName</w:t>
      </w:r>
      <w:r w:rsidRPr="00264D5D">
        <w:rPr>
          <w:rFonts w:cs="Courier New"/>
          <w:sz w:val="20"/>
          <w:lang w:val="ru-RU"/>
        </w:rPr>
        <w:t>&gt;</w:t>
      </w:r>
    </w:p>
    <w:p w14:paraId="516A756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ShrtName</w:t>
      </w:r>
      <w:r w:rsidRPr="00264D5D">
        <w:rPr>
          <w:rFonts w:cs="Courier New"/>
          <w:sz w:val="20"/>
          <w:lang w:val="ru-RU"/>
        </w:rPr>
        <w:t>&gt;ГЛАВНОЕ УПРАВЛЕНИЕ МЧС РОССИИ ПО БЕЛГОРОДСКОЙ ОБЛАСТИ&lt;/</w:t>
      </w:r>
      <w:r w:rsidRPr="00264D5D">
        <w:rPr>
          <w:rFonts w:cs="Courier New"/>
          <w:sz w:val="20"/>
        </w:rPr>
        <w:t>ShrtName</w:t>
      </w:r>
      <w:r w:rsidRPr="00264D5D">
        <w:rPr>
          <w:rFonts w:cs="Courier New"/>
          <w:sz w:val="20"/>
          <w:lang w:val="ru-RU"/>
        </w:rPr>
        <w:t>&gt;</w:t>
      </w:r>
    </w:p>
    <w:p w14:paraId="7C26EC0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rPr>
        <w:t>&lt;SRCode&gt;00178394&lt;/SRCode&gt;</w:t>
      </w:r>
    </w:p>
    <w:p w14:paraId="7C3A7D5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&lt;Okopf&gt;75104&lt;/Okopf&gt;</w:t>
      </w:r>
    </w:p>
    <w:p w14:paraId="6AE6A17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&lt;Ogrn&gt;1043107040448&lt;/Ogrn&gt;</w:t>
      </w:r>
      <w:r w:rsidRPr="00264D5D">
        <w:rPr>
          <w:rFonts w:cs="Courier New"/>
          <w:sz w:val="20"/>
        </w:rPr>
        <w:tab/>
      </w:r>
      <w:r w:rsidRPr="00264D5D">
        <w:rPr>
          <w:rFonts w:cs="Courier New"/>
          <w:sz w:val="20"/>
        </w:rPr>
        <w:tab/>
      </w:r>
      <w:r w:rsidRPr="00264D5D">
        <w:rPr>
          <w:rFonts w:cs="Courier New"/>
          <w:sz w:val="20"/>
        </w:rPr>
        <w:tab/>
        <w:t>&lt;Inn&gt;3123112398&lt;/Inn&gt;</w:t>
      </w:r>
    </w:p>
    <w:p w14:paraId="2CCCEA4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&lt;Kpp&gt;312301001&lt;/Kpp&gt;</w:t>
      </w:r>
    </w:p>
    <w:p w14:paraId="4C44B1D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&lt;RegDate&gt;2004-11-17&lt;/RegDate&gt;</w:t>
      </w:r>
    </w:p>
    <w:p w14:paraId="026724E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&lt;/GRBS&gt;</w:t>
      </w:r>
    </w:p>
    <w:p w14:paraId="49FE7FD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Rcpt</w:t>
      </w:r>
      <w:r w:rsidRPr="00264D5D">
        <w:rPr>
          <w:rFonts w:cs="Courier New"/>
          <w:sz w:val="20"/>
          <w:lang w:val="ru-RU"/>
        </w:rPr>
        <w:t>&gt;</w:t>
      </w:r>
    </w:p>
    <w:p w14:paraId="437A319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FullName</w:t>
      </w:r>
      <w:r w:rsidRPr="00264D5D">
        <w:rPr>
          <w:rFonts w:cs="Courier New"/>
          <w:sz w:val="20"/>
          <w:lang w:val="ru-RU"/>
        </w:rPr>
        <w:t>&gt;ФЕДЕРАЛЬНОЕ ГОСУДАРСТВЕННОЕ БЮДЖЕТНОЕ УЧРЕЖДЕНИЕ "СУДЕБНО-ЭКСПЕРТНОЕ УЧРЕЖДЕНИЕ ФЕДЕРАЛЬНОЙ ПРОТИВОПОЖАРНОЙ СЛУЖБЫ "ИСПЫТАТЕЛЬНАЯ ПОЖАРНАЯ ЛАБОРАТОРИЯ" ПО БЕЛГОРОДСКОЙ ОБЛАСТИ"&lt;/</w:t>
      </w:r>
      <w:r w:rsidRPr="00264D5D">
        <w:rPr>
          <w:rFonts w:cs="Courier New"/>
          <w:sz w:val="20"/>
        </w:rPr>
        <w:t>FullName</w:t>
      </w:r>
      <w:r w:rsidRPr="00264D5D">
        <w:rPr>
          <w:rFonts w:cs="Courier New"/>
          <w:sz w:val="20"/>
          <w:lang w:val="ru-RU"/>
        </w:rPr>
        <w:t>&gt;</w:t>
      </w:r>
    </w:p>
    <w:p w14:paraId="41CE703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ShrtName</w:t>
      </w:r>
      <w:r w:rsidRPr="00264D5D">
        <w:rPr>
          <w:rFonts w:cs="Courier New"/>
          <w:sz w:val="20"/>
          <w:lang w:val="ru-RU"/>
        </w:rPr>
        <w:t>&gt;ФГБУ СЭУ ФПС ИПЛ ПО БЕЛГОРОДСКОЙ ОБЛАСТИ&lt;/</w:t>
      </w:r>
      <w:r w:rsidRPr="00264D5D">
        <w:rPr>
          <w:rFonts w:cs="Courier New"/>
          <w:sz w:val="20"/>
        </w:rPr>
        <w:t>ShrtName</w:t>
      </w:r>
      <w:r w:rsidRPr="00264D5D">
        <w:rPr>
          <w:rFonts w:cs="Courier New"/>
          <w:sz w:val="20"/>
          <w:lang w:val="ru-RU"/>
        </w:rPr>
        <w:t>&gt;</w:t>
      </w:r>
    </w:p>
    <w:p w14:paraId="27B2A99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rPr>
        <w:t>&lt;SRCode&gt;001X7326&lt;/SRCode&gt;</w:t>
      </w:r>
    </w:p>
    <w:p w14:paraId="0C2102F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&lt;Okopf&gt;75103&lt;/Okopf&gt;</w:t>
      </w:r>
    </w:p>
    <w:p w14:paraId="697C646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&lt;Ogrn&gt;1063123157019&lt;/Ogrn&gt;</w:t>
      </w:r>
    </w:p>
    <w:p w14:paraId="64256C2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&lt;Inn&gt;3123148820&lt;/Inn&gt;</w:t>
      </w:r>
    </w:p>
    <w:p w14:paraId="0AB2399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&lt;Kpp&gt;312301001&lt;/Kpp&gt;</w:t>
      </w:r>
    </w:p>
    <w:p w14:paraId="7257CBD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&lt;RegDate&gt;2006-12-27&lt;/RegDate&gt;</w:t>
      </w:r>
    </w:p>
    <w:p w14:paraId="2D32DDB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&lt;NmbrAccnt&gt;03281190060&lt;/NmbrAccnt&gt;</w:t>
      </w:r>
    </w:p>
    <w:p w14:paraId="1371097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&lt;/Rcpt&gt;</w:t>
      </w:r>
    </w:p>
    <w:p w14:paraId="72847BA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AgrCode</w:t>
      </w:r>
      <w:r w:rsidRPr="00264D5D">
        <w:rPr>
          <w:rFonts w:cs="Courier New"/>
          <w:sz w:val="20"/>
          <w:lang w:val="ru-RU"/>
        </w:rPr>
        <w:t>&gt;011&lt;/</w:t>
      </w:r>
      <w:r w:rsidRPr="00264D5D">
        <w:rPr>
          <w:rFonts w:cs="Courier New"/>
          <w:sz w:val="20"/>
        </w:rPr>
        <w:t>AgrCode</w:t>
      </w:r>
      <w:r w:rsidRPr="00264D5D">
        <w:rPr>
          <w:rFonts w:cs="Courier New"/>
          <w:sz w:val="20"/>
          <w:lang w:val="ru-RU"/>
        </w:rPr>
        <w:t>&gt;</w:t>
      </w:r>
    </w:p>
    <w:p w14:paraId="5F88D80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AgrName</w:t>
      </w:r>
      <w:r w:rsidRPr="00264D5D">
        <w:rPr>
          <w:rFonts w:cs="Courier New"/>
          <w:sz w:val="20"/>
          <w:lang w:val="ru-RU"/>
        </w:rPr>
        <w:t>&gt;Соглашения (договора) о предоставлении субсидий федеральным бюджетным и федеральным автономным учреждениям на финансовое обеспечение выполнения государственного задания на оказание государственных услуг (выполнение работ) &lt;/</w:t>
      </w:r>
      <w:r w:rsidRPr="00264D5D">
        <w:rPr>
          <w:rFonts w:cs="Courier New"/>
          <w:sz w:val="20"/>
        </w:rPr>
        <w:t>AgrName</w:t>
      </w:r>
      <w:r w:rsidRPr="00264D5D">
        <w:rPr>
          <w:rFonts w:cs="Courier New"/>
          <w:sz w:val="20"/>
          <w:lang w:val="ru-RU"/>
        </w:rPr>
        <w:t>&gt;</w:t>
      </w:r>
    </w:p>
    <w:p w14:paraId="1FD4C2C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GRBSLctn</w:t>
      </w:r>
      <w:r w:rsidRPr="00264D5D">
        <w:rPr>
          <w:rFonts w:cs="Courier New"/>
          <w:sz w:val="20"/>
          <w:lang w:val="ru-RU"/>
        </w:rPr>
        <w:t>&gt;</w:t>
      </w:r>
    </w:p>
    <w:p w14:paraId="404179F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CntrName</w:t>
      </w:r>
      <w:r w:rsidRPr="00264D5D">
        <w:rPr>
          <w:rFonts w:cs="Courier New"/>
          <w:sz w:val="20"/>
          <w:lang w:val="ru-RU"/>
        </w:rPr>
        <w:t>&gt;Российская Федерация&lt;/</w:t>
      </w:r>
      <w:r w:rsidRPr="00264D5D">
        <w:rPr>
          <w:rFonts w:cs="Courier New"/>
          <w:sz w:val="20"/>
        </w:rPr>
        <w:t>CntrName</w:t>
      </w:r>
      <w:r w:rsidRPr="00264D5D">
        <w:rPr>
          <w:rFonts w:cs="Courier New"/>
          <w:sz w:val="20"/>
          <w:lang w:val="ru-RU"/>
        </w:rPr>
        <w:t>&gt;</w:t>
      </w:r>
    </w:p>
    <w:p w14:paraId="2AF1474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CntrCode</w:t>
      </w:r>
      <w:r w:rsidRPr="00264D5D">
        <w:rPr>
          <w:rFonts w:cs="Courier New"/>
          <w:sz w:val="20"/>
          <w:lang w:val="ru-RU"/>
        </w:rPr>
        <w:t>&gt;643&lt;/</w:t>
      </w:r>
      <w:r w:rsidRPr="00264D5D">
        <w:rPr>
          <w:rFonts w:cs="Courier New"/>
          <w:sz w:val="20"/>
        </w:rPr>
        <w:t>CntrCode</w:t>
      </w:r>
      <w:r w:rsidRPr="00264D5D">
        <w:rPr>
          <w:rFonts w:cs="Courier New"/>
          <w:sz w:val="20"/>
          <w:lang w:val="ru-RU"/>
        </w:rPr>
        <w:t>&gt;</w:t>
      </w:r>
    </w:p>
    <w:p w14:paraId="0549733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SubName</w:t>
      </w:r>
      <w:r w:rsidRPr="00264D5D">
        <w:rPr>
          <w:rFonts w:cs="Courier New"/>
          <w:sz w:val="20"/>
          <w:lang w:val="ru-RU"/>
        </w:rPr>
        <w:t>&gt;ОБЛ БЕЛГОРОДСКАЯ&lt;/</w:t>
      </w:r>
      <w:r w:rsidRPr="00264D5D">
        <w:rPr>
          <w:rFonts w:cs="Courier New"/>
          <w:sz w:val="20"/>
        </w:rPr>
        <w:t>SubName</w:t>
      </w:r>
      <w:r w:rsidRPr="00264D5D">
        <w:rPr>
          <w:rFonts w:cs="Courier New"/>
          <w:sz w:val="20"/>
          <w:lang w:val="ru-RU"/>
        </w:rPr>
        <w:t>&gt;</w:t>
      </w:r>
    </w:p>
    <w:p w14:paraId="6DD61D2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rPr>
        <w:t>&lt;SubCode&gt;31&lt;/SubCode&gt;</w:t>
      </w:r>
    </w:p>
    <w:p w14:paraId="4A29845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&lt;AreaName&gt;г Белгород&lt;/AreaName&gt;</w:t>
      </w:r>
    </w:p>
    <w:p w14:paraId="35C7AEF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&lt;TwnOktmo&gt;14701000001&lt;/TwnOktmo&gt;</w:t>
      </w:r>
    </w:p>
    <w:p w14:paraId="488F0E2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&lt;RdNtwrkName&gt;УЛ ВОЛЧАНСКАЯ&lt;/RdNtwrkName&gt;</w:t>
      </w:r>
    </w:p>
    <w:p w14:paraId="331E7CE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&lt;BldngType&gt;Не выбран&lt;/BldngType&gt;</w:t>
      </w:r>
    </w:p>
    <w:p w14:paraId="33AB87F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&lt;BldngNum&gt;163&lt;/BldngNum&gt;</w:t>
      </w:r>
    </w:p>
    <w:p w14:paraId="568C9A0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&lt;/GRBSLctn&gt;</w:t>
      </w:r>
    </w:p>
    <w:p w14:paraId="6AFCC87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&lt;RcptType&gt;1&lt;/RcptType&gt;</w:t>
      </w:r>
    </w:p>
    <w:p w14:paraId="7EA36E9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&lt;RcptLctn&gt;</w:t>
      </w:r>
    </w:p>
    <w:p w14:paraId="5ED6B6A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&lt;CntrName&gt;Российская Федерация&lt;/CntrName&gt;</w:t>
      </w:r>
    </w:p>
    <w:p w14:paraId="6E2AF59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&lt;CntrCode&gt;643&lt;/CntrCode&gt;</w:t>
      </w:r>
    </w:p>
    <w:p w14:paraId="011DA86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&lt;SubName&gt;обл БЕЛГОРОДСКАЯ&lt;/SubName&gt;</w:t>
      </w:r>
    </w:p>
    <w:p w14:paraId="69D1865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&lt;SubCode&gt;31&lt;/SubCode&gt;</w:t>
      </w:r>
    </w:p>
    <w:p w14:paraId="261C00D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&lt;AreaName&gt;г Белгород&lt;/AreaName&gt;</w:t>
      </w:r>
    </w:p>
    <w:p w14:paraId="1B59FF3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&lt;TwnOktmo&gt;14701000001&lt;/TwnOktmo&gt;</w:t>
      </w:r>
    </w:p>
    <w:p w14:paraId="66A1C90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&lt;RdNtwrkName&gt;ул ВОЛЧАНСКАЯ&lt;/RdNtwrkName&gt;</w:t>
      </w:r>
    </w:p>
    <w:p w14:paraId="67A9499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&lt;BldngType&gt;Дом&lt;/BldngType&gt;</w:t>
      </w:r>
    </w:p>
    <w:p w14:paraId="6479D77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&lt;BldngNum&gt;163&lt;/BldngNum&gt;</w:t>
      </w:r>
    </w:p>
    <w:p w14:paraId="314CACE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&lt;/RcptLctn&gt;</w:t>
      </w:r>
    </w:p>
    <w:p w14:paraId="6590FEB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&lt;GRBSLS&gt;</w:t>
      </w:r>
    </w:p>
    <w:p w14:paraId="0689920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&lt;GRBSAcNum&gt;03261783940&lt;/GRBSAcNum&gt;</w:t>
      </w:r>
    </w:p>
    <w:p w14:paraId="66B493B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&lt;TOFKCode&gt;2600&lt;/TOFKCode&gt;</w:t>
      </w:r>
    </w:p>
    <w:p w14:paraId="3894175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ToFKName</w:t>
      </w:r>
      <w:r w:rsidRPr="00264D5D">
        <w:rPr>
          <w:rFonts w:cs="Courier New"/>
          <w:sz w:val="20"/>
          <w:lang w:val="ru-RU"/>
        </w:rPr>
        <w:t>&gt;УФК по Белгородской области&lt;/</w:t>
      </w:r>
      <w:r w:rsidRPr="00264D5D">
        <w:rPr>
          <w:rFonts w:cs="Courier New"/>
          <w:sz w:val="20"/>
        </w:rPr>
        <w:t>ToFKName</w:t>
      </w:r>
      <w:r w:rsidRPr="00264D5D">
        <w:rPr>
          <w:rFonts w:cs="Courier New"/>
          <w:sz w:val="20"/>
          <w:lang w:val="ru-RU"/>
        </w:rPr>
        <w:t>&gt;</w:t>
      </w:r>
    </w:p>
    <w:p w14:paraId="24505D7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rPr>
        <w:t>&lt;/GRBSLS&gt;</w:t>
      </w:r>
    </w:p>
    <w:p w14:paraId="3A1E778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&lt;Summ&gt;</w:t>
      </w:r>
    </w:p>
    <w:p w14:paraId="3DDCFD1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&lt;AgrSumKbk&gt;</w:t>
      </w:r>
    </w:p>
    <w:p w14:paraId="61E737C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&lt;Kbkcode&gt;17703101010390059611&lt;/Kbkcode&gt;</w:t>
      </w:r>
    </w:p>
    <w:p w14:paraId="7E53728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TrgtName</w:t>
      </w:r>
      <w:r w:rsidRPr="00264D5D">
        <w:rPr>
          <w:rFonts w:cs="Courier New"/>
          <w:sz w:val="20"/>
          <w:lang w:val="ru-RU"/>
        </w:rPr>
        <w:t xml:space="preserve">&gt;Субсидии бюджетным учреждениям на финансовое обеспечение </w:t>
      </w:r>
      <w:r w:rsidRPr="00264D5D">
        <w:rPr>
          <w:rFonts w:cs="Courier New"/>
          <w:sz w:val="20"/>
          <w:lang w:val="ru-RU"/>
        </w:rPr>
        <w:lastRenderedPageBreak/>
        <w:t>государственного (муниципального) задания на оказание государственных (муниципальных) услуг (выполнение работ)&lt;/</w:t>
      </w:r>
      <w:r w:rsidRPr="00264D5D">
        <w:rPr>
          <w:rFonts w:cs="Courier New"/>
          <w:sz w:val="20"/>
        </w:rPr>
        <w:t>TrgtName</w:t>
      </w:r>
      <w:r w:rsidRPr="00264D5D">
        <w:rPr>
          <w:rFonts w:cs="Courier New"/>
          <w:sz w:val="20"/>
          <w:lang w:val="ru-RU"/>
        </w:rPr>
        <w:t>&gt;</w:t>
      </w:r>
    </w:p>
    <w:p w14:paraId="625DAFC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rPr>
        <w:t>&lt;VolSub&gt;</w:t>
      </w:r>
    </w:p>
    <w:p w14:paraId="3F2E815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&lt;YearPlan&gt;2019&lt;/YearPlan&gt;</w:t>
      </w:r>
    </w:p>
    <w:p w14:paraId="762420E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&lt;AgrCurSumKbk&gt;100000.00&lt;/AgrCurSumKbk&gt;</w:t>
      </w:r>
    </w:p>
    <w:p w14:paraId="630FDA6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&lt;AgrRubSumKbk&gt;100000.00&lt;/AgrRubSumKbk&gt;</w:t>
      </w:r>
    </w:p>
    <w:p w14:paraId="723B2F3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&lt;/VolSub&gt;</w:t>
      </w:r>
    </w:p>
    <w:p w14:paraId="638FEE0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&lt;/AgrSumKbk&gt;</w:t>
      </w:r>
    </w:p>
    <w:p w14:paraId="23AA9B1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&lt;AgrCurCd&gt;643&lt;/AgrCurCd&gt;</w:t>
      </w:r>
    </w:p>
    <w:p w14:paraId="630BBAE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&lt;AgrCurName&gt;Российский рубль&lt;/AgrCurName&gt;</w:t>
      </w:r>
    </w:p>
    <w:p w14:paraId="540F41E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&lt;CurRate&gt;1.0000&lt;/CurRate&gt;</w:t>
      </w:r>
    </w:p>
    <w:p w14:paraId="68604E6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&lt;AgrCurSum&gt;144000.00&lt;/AgrCurSum&gt;</w:t>
      </w:r>
    </w:p>
    <w:p w14:paraId="51ABA4B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&lt;/Summ&gt;</w:t>
      </w:r>
    </w:p>
    <w:p w14:paraId="40DA291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&lt;AgrInf&gt;</w:t>
      </w:r>
    </w:p>
    <w:p w14:paraId="0C681F5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&lt;AgrNum&gt;177-03-042&lt;/AgrNum&gt;</w:t>
      </w:r>
    </w:p>
    <w:p w14:paraId="118641D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&lt;AgrInsNum&gt;1/ИПЛ&lt;/AgrInsNum&gt;</w:t>
      </w:r>
    </w:p>
    <w:p w14:paraId="66989FA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&lt;AgrCnclDate&gt;2018-12-11&lt;/AgrCnclDate&gt;</w:t>
      </w:r>
    </w:p>
    <w:p w14:paraId="0831E5F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&lt;AgrStrtDate&gt;2018-12-11&lt;/AgrStrtDate&gt;</w:t>
      </w:r>
    </w:p>
    <w:p w14:paraId="7D50312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&lt;AgrEndDate&gt;2018-12-31&lt;/AgrEndDate&gt;</w:t>
      </w:r>
    </w:p>
    <w:p w14:paraId="087BCCF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&lt;PublicationInf_RegisterNumber&gt;177001X73261701&lt;/PublicationInf_RegisterNumber&gt;</w:t>
      </w:r>
    </w:p>
    <w:p w14:paraId="1072E0F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&lt;/AgrInf&gt;</w:t>
      </w:r>
    </w:p>
    <w:p w14:paraId="222E522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&lt;NPA_rule&gt;</w:t>
      </w:r>
    </w:p>
    <w:p w14:paraId="66119E5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&lt;NPAtype&gt;Правило предоставления&lt;/NPAtype&gt;</w:t>
      </w:r>
    </w:p>
    <w:p w14:paraId="4CF568F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AdpDate</w:t>
      </w:r>
      <w:r w:rsidRPr="00264D5D">
        <w:rPr>
          <w:rFonts w:cs="Courier New"/>
          <w:sz w:val="20"/>
          <w:lang w:val="ru-RU"/>
        </w:rPr>
        <w:t>&gt;2017-05-25&lt;/</w:t>
      </w:r>
      <w:r w:rsidRPr="00264D5D">
        <w:rPr>
          <w:rFonts w:cs="Courier New"/>
          <w:sz w:val="20"/>
        </w:rPr>
        <w:t>AdpDate</w:t>
      </w:r>
      <w:r w:rsidRPr="00264D5D">
        <w:rPr>
          <w:rFonts w:cs="Courier New"/>
          <w:sz w:val="20"/>
          <w:lang w:val="ru-RU"/>
        </w:rPr>
        <w:t>&gt;</w:t>
      </w:r>
    </w:p>
    <w:p w14:paraId="7DC7DBD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NPANum</w:t>
      </w:r>
      <w:r w:rsidRPr="00264D5D">
        <w:rPr>
          <w:rFonts w:cs="Courier New"/>
          <w:sz w:val="20"/>
          <w:lang w:val="ru-RU"/>
        </w:rPr>
        <w:t>&gt;640&lt;/</w:t>
      </w:r>
      <w:r w:rsidRPr="00264D5D">
        <w:rPr>
          <w:rFonts w:cs="Courier New"/>
          <w:sz w:val="20"/>
        </w:rPr>
        <w:t>NPANum</w:t>
      </w:r>
      <w:r w:rsidRPr="00264D5D">
        <w:rPr>
          <w:rFonts w:cs="Courier New"/>
          <w:sz w:val="20"/>
          <w:lang w:val="ru-RU"/>
        </w:rPr>
        <w:t>&gt;</w:t>
      </w:r>
    </w:p>
    <w:p w14:paraId="774A7FD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NPAName</w:t>
      </w:r>
      <w:r w:rsidRPr="00264D5D">
        <w:rPr>
          <w:rFonts w:cs="Courier New"/>
          <w:sz w:val="20"/>
          <w:lang w:val="ru-RU"/>
        </w:rPr>
        <w:t>&gt;О порядке формирования государственного задания на оказание государственных услуг (выполнение работ) в отношении федеральных государственных учреждений и финансового обеспечения выполнения государственного задания&lt;/</w:t>
      </w:r>
      <w:r w:rsidRPr="00264D5D">
        <w:rPr>
          <w:rFonts w:cs="Courier New"/>
          <w:sz w:val="20"/>
        </w:rPr>
        <w:t>NPAName</w:t>
      </w:r>
      <w:r w:rsidRPr="00264D5D">
        <w:rPr>
          <w:rFonts w:cs="Courier New"/>
          <w:sz w:val="20"/>
          <w:lang w:val="ru-RU"/>
        </w:rPr>
        <w:t>&gt;</w:t>
      </w:r>
    </w:p>
    <w:p w14:paraId="0017D4F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rPr>
        <w:t>&lt;NPAEndDate&gt;2018-10-03&lt;/NPAEndDate&gt;</w:t>
      </w:r>
    </w:p>
    <w:p w14:paraId="2D52E56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&lt;/NPA_rule&gt;</w:t>
      </w:r>
    </w:p>
    <w:p w14:paraId="60382F3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&lt;CptlConstrctnLst&gt;</w:t>
      </w:r>
    </w:p>
    <w:p w14:paraId="6677FCF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&lt;CptlConstrctnName&gt;ФГБУ СЭУ ФПС ИПЛ ПО БЕЛГОРОДСКОЙ ОБЛАСТИ&lt;/CptlConstrctnName&gt;</w:t>
      </w:r>
    </w:p>
    <w:p w14:paraId="24305B1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&lt;CptlConstrctnPwr&gt;850&lt;/CptlConstrctnPwr&gt;</w:t>
      </w:r>
    </w:p>
    <w:p w14:paraId="6E2410A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&lt;CptlConstrctnCost&gt;1350000.00&lt;/CptlConstrctnCost&gt;</w:t>
      </w:r>
    </w:p>
    <w:p w14:paraId="78A0659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&lt;CptlDate&gt;5&lt;/CptlDate&gt;</w:t>
      </w:r>
    </w:p>
    <w:p w14:paraId="3C66E45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&lt;CptlDirect&gt;Активные инвестиции&lt;/CptlDirect&gt;</w:t>
      </w:r>
    </w:p>
    <w:p w14:paraId="5251DEC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&lt;CptlInform&gt;ФГБУ СЭУ ФПС ИПЛ ПО БЕЛГОРОДСКОЙ ОБЛАСТИ&lt;/CptlInform&gt;</w:t>
      </w:r>
    </w:p>
    <w:p w14:paraId="29DB581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&lt;/CptlConstrctnLst&gt;</w:t>
      </w:r>
    </w:p>
    <w:p w14:paraId="5ECF839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&lt;Shedule&gt;</w:t>
      </w:r>
    </w:p>
    <w:p w14:paraId="59F7D66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&lt;SheduleKbkInfs&gt;</w:t>
      </w:r>
    </w:p>
    <w:p w14:paraId="13E9F1A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&lt;TotalsSumInfs&gt;</w:t>
      </w:r>
    </w:p>
    <w:p w14:paraId="10E7AC1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&lt;SheduleKbk&gt;17703101010390059611&lt;/SheduleKbk&gt;</w:t>
      </w:r>
    </w:p>
    <w:p w14:paraId="22C2D3B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&lt;SrrFin&gt;1&lt;/SrrFin&gt;</w:t>
      </w:r>
    </w:p>
    <w:p w14:paraId="273FEA2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&lt;PrznPl&gt;1&lt;/PrznPl&gt;</w:t>
      </w:r>
    </w:p>
    <w:p w14:paraId="5A0653C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&lt;SummIsp&gt;0.00&lt;/SummIsp&gt;</w:t>
      </w:r>
    </w:p>
    <w:p w14:paraId="3FC9A87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&lt;SummNeisp&gt;0.00&lt;/SummNeisp&gt;</w:t>
      </w:r>
    </w:p>
    <w:p w14:paraId="365040D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&lt;DetalsSumInf&gt;</w:t>
      </w:r>
    </w:p>
    <w:p w14:paraId="3FD40B4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&lt;SumThisYear&gt;</w:t>
      </w:r>
    </w:p>
    <w:p w14:paraId="44C1DC8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&lt;SheduleSumInf_january&gt;0.00&lt;/SheduleSumInf_january&gt;</w:t>
      </w:r>
    </w:p>
    <w:p w14:paraId="5C367EF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&lt;SheduleSumInf_february&gt;0.00&lt;/SheduleSumInf_february&gt;</w:t>
      </w:r>
    </w:p>
    <w:p w14:paraId="31B2761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&lt;SheduleSumInf_march&gt;0.00&lt;/SheduleSumInf_march&gt;</w:t>
      </w:r>
    </w:p>
    <w:p w14:paraId="266A3E4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&lt;SheduleSumInf_april&gt;0.00&lt;/SheduleSumInf_april&gt;</w:t>
      </w:r>
    </w:p>
    <w:p w14:paraId="54E5154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&lt;SheduleSumInf_may&gt;0.00&lt;/SheduleSumInf_may&gt;</w:t>
      </w:r>
    </w:p>
    <w:p w14:paraId="736DD73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&lt;SheduleSumInf_june&gt;0.00&lt;/SheduleSumInf_june&gt;</w:t>
      </w:r>
    </w:p>
    <w:p w14:paraId="57E699C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&lt;SheduleSumInf_july&gt;0.00&lt;/SheduleSumInf_july&gt;</w:t>
      </w:r>
    </w:p>
    <w:p w14:paraId="44A6025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&lt;SheduleSumInf_august&gt;0.00&lt;/SheduleSumInf_august&gt;</w:t>
      </w:r>
    </w:p>
    <w:p w14:paraId="2FB4B36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&lt;SheduleSumInf_september&gt;14000.00&lt;/SheduleSumInf_september&gt;</w:t>
      </w:r>
    </w:p>
    <w:p w14:paraId="42532A3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&lt;SheduleSumInf_october&gt;0.00&lt;/SheduleSumInf_october&gt;</w:t>
      </w:r>
    </w:p>
    <w:p w14:paraId="0B86875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&lt;SheduleSumInf_november&gt;0.00&lt;/SheduleSumInf_november&gt;</w:t>
      </w:r>
    </w:p>
    <w:p w14:paraId="43032A3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&lt;SheduleSumInf_december&gt;0.00&lt;/SheduleSumInf_december&gt;</w:t>
      </w:r>
    </w:p>
    <w:p w14:paraId="6B7835E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&lt;yearSum&gt;14000.00&lt;/yearSum&gt;</w:t>
      </w:r>
    </w:p>
    <w:p w14:paraId="7DB8032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&lt;/SumThisYear&gt;</w:t>
      </w:r>
    </w:p>
    <w:p w14:paraId="175CF5B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&lt;SumPlanPeriod&gt;</w:t>
      </w:r>
    </w:p>
    <w:p w14:paraId="644B102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&lt;firstYearSum&gt;14000.00&lt;/firstYearSum&gt;</w:t>
      </w:r>
    </w:p>
    <w:p w14:paraId="2EB845A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&lt;secondYearSum&gt;20000.00&lt;/secondYearSum&gt;</w:t>
      </w:r>
    </w:p>
    <w:p w14:paraId="6E54A6B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&lt;thirdYearSum&gt;26000.00&lt;/thirdYearSum&gt;</w:t>
      </w:r>
    </w:p>
    <w:p w14:paraId="408D1AF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&lt;followingYearsSum&gt;60000.00&lt;/followingYearsSum&gt;</w:t>
      </w:r>
    </w:p>
    <w:p w14:paraId="0050571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&lt;/SumPlanPeriod&gt;</w:t>
      </w:r>
    </w:p>
    <w:p w14:paraId="2528D8C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&lt;/DetalsSumInf&gt;</w:t>
      </w:r>
    </w:p>
    <w:p w14:paraId="2B112D9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&lt;/TotalsSumInfs&gt;</w:t>
      </w:r>
    </w:p>
    <w:p w14:paraId="4D0E3C1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&lt;SheduleKbkInf&gt;</w:t>
      </w:r>
    </w:p>
    <w:p w14:paraId="36250AF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&lt;SheduleKbk&gt;17703101010390059611&lt;/SheduleKbk&gt;</w:t>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&lt;SrrFin&gt;1&lt;/SrrFin&gt;</w:t>
      </w:r>
    </w:p>
    <w:p w14:paraId="462264D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&lt;PrznPl&gt;1&lt;/PrznPl&gt;</w:t>
      </w:r>
    </w:p>
    <w:p w14:paraId="3082A3E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&lt;SheduleSumInf&gt;</w:t>
      </w:r>
    </w:p>
    <w:p w14:paraId="1ED5D58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&lt;SheduleSumInf_mon&gt;12&lt;/SheduleSumInf_mon&gt;</w:t>
      </w:r>
    </w:p>
    <w:p w14:paraId="0C6DF11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&lt;SheduleYear&gt;2018&lt;/SheduleYear&gt;</w:t>
      </w:r>
    </w:p>
    <w:p w14:paraId="70C5DC2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&lt;SheduleSumInf_sum&gt;36000.00&lt;/SheduleSumInf_sum&gt;</w:t>
      </w:r>
    </w:p>
    <w:p w14:paraId="719BF99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&lt;SheduleSumInf_FrgnSum&gt;36000.00&lt;/SheduleSumInf_FrgnSum&gt;</w:t>
      </w:r>
    </w:p>
    <w:p w14:paraId="07C2267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&lt;/SheduleSumInf&gt;</w:t>
      </w:r>
    </w:p>
    <w:p w14:paraId="3E496CC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&lt;SheduleSumInf&gt;</w:t>
      </w:r>
    </w:p>
    <w:p w14:paraId="21DF032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&lt;SheduleSumInf_mon&gt;03&lt;/SheduleSumInf_mon&gt;</w:t>
      </w:r>
    </w:p>
    <w:p w14:paraId="0389E35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&lt;SheduleYear&gt;2018&lt;/SheduleYear&gt;</w:t>
      </w:r>
    </w:p>
    <w:p w14:paraId="5BE33C1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&lt;SheduleSumInf_sum&gt;36000.00&lt;/SheduleSumInf_sum&gt;</w:t>
      </w:r>
    </w:p>
    <w:p w14:paraId="37856D7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&lt;SheduleSumInf_FrgnSum&gt;36000.00&lt;/SheduleSumInf_FrgnSum&gt;</w:t>
      </w:r>
    </w:p>
    <w:p w14:paraId="14C534A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&lt;/SheduleSumInf&gt;</w:t>
      </w:r>
    </w:p>
    <w:p w14:paraId="6C822DB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&lt;SheduleSumInf&gt;</w:t>
      </w:r>
    </w:p>
    <w:p w14:paraId="59204B5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&lt;SheduleSumInf_mon&gt;09&lt;/SheduleSumInf_mon&gt;</w:t>
      </w:r>
    </w:p>
    <w:p w14:paraId="46F68F9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&lt;SheduleYear&gt;2018&lt;/SheduleYear&gt;</w:t>
      </w:r>
    </w:p>
    <w:p w14:paraId="7BEF3E9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&lt;SheduleSumInf_sum&gt;36000.00&lt;/SheduleSumInf_sum&gt;</w:t>
      </w:r>
    </w:p>
    <w:p w14:paraId="244008A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&lt;SheduleSumInf_FrgnSum&gt;36000.00&lt;/SheduleSumInf_FrgnSum&gt;</w:t>
      </w:r>
    </w:p>
    <w:p w14:paraId="4799EA7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&lt;/SheduleSumInf&gt;</w:t>
      </w:r>
    </w:p>
    <w:p w14:paraId="76C5406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&lt;SheduleSumInf&gt;</w:t>
      </w:r>
    </w:p>
    <w:p w14:paraId="0844B9D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&lt;SheduleSumInf_mon&gt;06&lt;/SheduleSumInf_mon&gt;</w:t>
      </w:r>
    </w:p>
    <w:p w14:paraId="4F9926E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&lt;SheduleYear&gt;2018&lt;/SheduleYear&gt;</w:t>
      </w:r>
    </w:p>
    <w:p w14:paraId="4176F4B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&lt;SheduleSumInf_sum&gt;36000.00&lt;/SheduleSumInf_sum&gt;</w:t>
      </w:r>
    </w:p>
    <w:p w14:paraId="0B96E72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&lt;SheduleSumInf_FrgnSum&gt;36000.00&lt;/SheduleSumInf_FrgnSum&gt;</w:t>
      </w:r>
    </w:p>
    <w:p w14:paraId="372F62E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&lt;/SheduleSumInf&gt;</w:t>
      </w:r>
    </w:p>
    <w:p w14:paraId="2FF1B1D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&lt;SheduleSumInf&gt;</w:t>
      </w:r>
    </w:p>
    <w:p w14:paraId="6640B6A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&lt;SheduleYear&gt;2019&lt;/SheduleYear&gt;</w:t>
      </w:r>
    </w:p>
    <w:p w14:paraId="5BAD442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&lt;SheduleSumInf_sum&gt;0.00&lt;/SheduleSumInf_sum&gt;</w:t>
      </w:r>
    </w:p>
    <w:p w14:paraId="211C20D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&lt;SheduleSumInf_FrgnSum&gt;0.00&lt;/SheduleSumInf_FrgnSum&gt;</w:t>
      </w:r>
    </w:p>
    <w:p w14:paraId="4F2503C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&lt;/SheduleSumInf&gt;</w:t>
      </w:r>
    </w:p>
    <w:p w14:paraId="5A0E555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&lt;SheduleSumInf&gt;</w:t>
      </w:r>
    </w:p>
    <w:p w14:paraId="72ED9E7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&lt;SheduleYear&gt;2020&lt;/SheduleYear&gt;</w:t>
      </w:r>
    </w:p>
    <w:p w14:paraId="20E5E2C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&lt;SheduleSumInf_sum&gt;0.00&lt;/SheduleSumInf_sum&gt;</w:t>
      </w:r>
    </w:p>
    <w:p w14:paraId="2E38A23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&lt;SheduleSumInf_FrgnSum&gt;0.00&lt;/SheduleSumInf_FrgnSum&gt;</w:t>
      </w:r>
    </w:p>
    <w:p w14:paraId="4DB3CFE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&lt;/SheduleSumInf&gt;</w:t>
      </w:r>
    </w:p>
    <w:p w14:paraId="063AB18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&lt;SummIsp&gt;0.00&lt;/SummIsp&gt;</w:t>
      </w:r>
    </w:p>
    <w:p w14:paraId="14BA144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&lt;SummNeisp&gt;0.00&lt;/SummNeisp&gt;</w:t>
      </w:r>
    </w:p>
    <w:p w14:paraId="41A918D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&lt;/SheduleKbkInf&gt;</w:t>
      </w:r>
    </w:p>
    <w:p w14:paraId="0F2B1EF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&lt;/SheduleKbkInfs&gt;</w:t>
      </w:r>
    </w:p>
    <w:p w14:paraId="0450A7C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&lt;SheduleCurCode&gt;643&lt;/SheduleCurCode&gt;</w:t>
      </w:r>
    </w:p>
    <w:p w14:paraId="25423FC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ab/>
      </w:r>
      <w:r w:rsidRPr="00264D5D">
        <w:rPr>
          <w:rFonts w:cs="Courier New"/>
          <w:sz w:val="20"/>
        </w:rPr>
        <w:tab/>
      </w:r>
      <w:r w:rsidRPr="00264D5D">
        <w:rPr>
          <w:rFonts w:cs="Courier New"/>
          <w:sz w:val="20"/>
        </w:rPr>
        <w:tab/>
        <w:t>&lt;SheduleCurName&gt;Российский рубль&lt;/SheduleCurName&gt;</w:t>
      </w:r>
    </w:p>
    <w:p w14:paraId="7995D37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&lt;SheduleFrgnExch&gt;1.0000&lt;/SheduleFrgnExch&gt;</w:t>
      </w:r>
    </w:p>
    <w:p w14:paraId="03DE671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&lt;/Shedule&gt;</w:t>
      </w:r>
    </w:p>
    <w:p w14:paraId="0625450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&lt;SignFKsup&gt;0&lt;/SignFKsup&gt;</w:t>
      </w:r>
    </w:p>
    <w:p w14:paraId="5ED50FE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&lt;BudComOb&gt;Выполнение работ&lt;/BudComOb&gt;</w:t>
      </w:r>
    </w:p>
    <w:p w14:paraId="2ED0EBC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&lt;SgnGRBS_PBS&gt;</w:t>
      </w:r>
    </w:p>
    <w:p w14:paraId="1FF16A9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GRBSHdName</w:t>
      </w:r>
      <w:r w:rsidRPr="00264D5D">
        <w:rPr>
          <w:rFonts w:cs="Courier New"/>
          <w:sz w:val="20"/>
          <w:lang w:val="ru-RU"/>
        </w:rPr>
        <w:t>&gt;ПОТАПОВ СЕРГЕЙ ПЕТРОВИЧ&lt;/</w:t>
      </w:r>
      <w:r w:rsidRPr="00264D5D">
        <w:rPr>
          <w:rFonts w:cs="Courier New"/>
          <w:sz w:val="20"/>
        </w:rPr>
        <w:t>GRBSHdName</w:t>
      </w:r>
      <w:r w:rsidRPr="00264D5D">
        <w:rPr>
          <w:rFonts w:cs="Courier New"/>
          <w:sz w:val="20"/>
          <w:lang w:val="ru-RU"/>
        </w:rPr>
        <w:t>&gt;</w:t>
      </w:r>
    </w:p>
    <w:p w14:paraId="0B91DE2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GRBSHdPos</w:t>
      </w:r>
      <w:r w:rsidRPr="00264D5D">
        <w:rPr>
          <w:rFonts w:cs="Courier New"/>
          <w:sz w:val="20"/>
          <w:lang w:val="ru-RU"/>
        </w:rPr>
        <w:t>&gt;Начальник Главного управления&lt;/</w:t>
      </w:r>
      <w:r w:rsidRPr="00264D5D">
        <w:rPr>
          <w:rFonts w:cs="Courier New"/>
          <w:sz w:val="20"/>
        </w:rPr>
        <w:t>GRBSHdPos</w:t>
      </w:r>
      <w:r w:rsidRPr="00264D5D">
        <w:rPr>
          <w:rFonts w:cs="Courier New"/>
          <w:sz w:val="20"/>
          <w:lang w:val="ru-RU"/>
        </w:rPr>
        <w:t>&gt;</w:t>
      </w:r>
    </w:p>
    <w:p w14:paraId="7604F8E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GRBSHdSgnDate</w:t>
      </w:r>
      <w:r w:rsidRPr="00264D5D">
        <w:rPr>
          <w:rFonts w:cs="Courier New"/>
          <w:sz w:val="20"/>
          <w:lang w:val="ru-RU"/>
        </w:rPr>
        <w:t>&gt;2024-01-24&lt;/</w:t>
      </w:r>
      <w:r w:rsidRPr="00264D5D">
        <w:rPr>
          <w:rFonts w:cs="Courier New"/>
          <w:sz w:val="20"/>
        </w:rPr>
        <w:t>GRBSHdSgnDate</w:t>
      </w:r>
      <w:r w:rsidRPr="00264D5D">
        <w:rPr>
          <w:rFonts w:cs="Courier New"/>
          <w:sz w:val="20"/>
          <w:lang w:val="ru-RU"/>
        </w:rPr>
        <w:t>&gt;</w:t>
      </w:r>
    </w:p>
    <w:p w14:paraId="37CCA0B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GRBSExctrName</w:t>
      </w:r>
      <w:r w:rsidRPr="00264D5D">
        <w:rPr>
          <w:rFonts w:cs="Courier New"/>
          <w:sz w:val="20"/>
          <w:lang w:val="ru-RU"/>
        </w:rPr>
        <w:t>&gt;ПОТАПОВ СЕРГЕЙ ПЕТРОВИЧ&lt;/</w:t>
      </w:r>
      <w:r w:rsidRPr="00264D5D">
        <w:rPr>
          <w:rFonts w:cs="Courier New"/>
          <w:sz w:val="20"/>
        </w:rPr>
        <w:t>GRBSExctrName</w:t>
      </w:r>
      <w:r w:rsidRPr="00264D5D">
        <w:rPr>
          <w:rFonts w:cs="Courier New"/>
          <w:sz w:val="20"/>
          <w:lang w:val="ru-RU"/>
        </w:rPr>
        <w:t>&gt;</w:t>
      </w:r>
    </w:p>
    <w:p w14:paraId="403F33C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GRBSExtrPos</w:t>
      </w:r>
      <w:r w:rsidRPr="00264D5D">
        <w:rPr>
          <w:rFonts w:cs="Courier New"/>
          <w:sz w:val="20"/>
          <w:lang w:val="ru-RU"/>
        </w:rPr>
        <w:t>&gt;Начальник Главного управления&lt;/</w:t>
      </w:r>
      <w:r w:rsidRPr="00264D5D">
        <w:rPr>
          <w:rFonts w:cs="Courier New"/>
          <w:sz w:val="20"/>
        </w:rPr>
        <w:t>GRBSExtrPos</w:t>
      </w:r>
      <w:r w:rsidRPr="00264D5D">
        <w:rPr>
          <w:rFonts w:cs="Courier New"/>
          <w:sz w:val="20"/>
          <w:lang w:val="ru-RU"/>
        </w:rPr>
        <w:t>&gt;</w:t>
      </w:r>
    </w:p>
    <w:p w14:paraId="53B206D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rPr>
        <w:t>&lt;/SgnGRBS_PBS&gt;</w:t>
      </w:r>
    </w:p>
    <w:p w14:paraId="6FBD9D7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264D5D">
        <w:rPr>
          <w:rFonts w:cs="Courier New"/>
          <w:sz w:val="20"/>
        </w:rPr>
        <w:tab/>
        <w:t>&lt;/self:ImpAgr&gt;</w:t>
      </w:r>
    </w:p>
    <w:p w14:paraId="584E5730" w14:textId="77777777" w:rsidR="00AD1F54" w:rsidRPr="00264D5D" w:rsidRDefault="00941227">
      <w:pPr>
        <w:pStyle w:val="22"/>
        <w:rPr>
          <w:lang w:val="ru-RU"/>
        </w:rPr>
      </w:pPr>
      <w:bookmarkStart w:id="2170" w:name="_Ref2160451"/>
      <w:bookmarkStart w:id="2171" w:name="_Toc219309685"/>
      <w:r w:rsidRPr="00264D5D">
        <w:rPr>
          <w:lang w:val="ru-RU"/>
        </w:rPr>
        <w:t>Описание документа «</w:t>
      </w:r>
      <w:bookmarkStart w:id="2172" w:name="OLE_LINK41"/>
      <w:bookmarkStart w:id="2173" w:name="OLE_LINK42"/>
      <w:r w:rsidRPr="00264D5D">
        <w:rPr>
          <w:lang w:val="ru-RU"/>
        </w:rPr>
        <w:t>Информация об отчетности</w:t>
      </w:r>
      <w:bookmarkEnd w:id="2172"/>
      <w:bookmarkEnd w:id="2173"/>
      <w:r w:rsidRPr="00264D5D">
        <w:rPr>
          <w:lang w:val="ru-RU"/>
        </w:rPr>
        <w:t>»</w:t>
      </w:r>
      <w:bookmarkEnd w:id="2167"/>
      <w:bookmarkEnd w:id="2168"/>
      <w:bookmarkEnd w:id="2170"/>
      <w:bookmarkEnd w:id="2171"/>
      <w:r w:rsidRPr="00264D5D">
        <w:rPr>
          <w:lang w:val="ru-RU"/>
        </w:rPr>
        <w:t xml:space="preserve"> </w:t>
      </w:r>
    </w:p>
    <w:p w14:paraId="5073A394" w14:textId="77777777" w:rsidR="00AD1F54" w:rsidRPr="00264D5D" w:rsidRDefault="00941227">
      <w:pPr>
        <w:pStyle w:val="31"/>
      </w:pPr>
      <w:bookmarkStart w:id="2174" w:name="_Toc496984056"/>
      <w:bookmarkStart w:id="2175" w:name="_Toc219309686"/>
      <w:r w:rsidRPr="00264D5D">
        <w:t>Назначение и маршрут документа</w:t>
      </w:r>
      <w:bookmarkEnd w:id="2174"/>
      <w:bookmarkEnd w:id="2175"/>
    </w:p>
    <w:p w14:paraId="7F57481E" w14:textId="77777777" w:rsidR="00AD1F54" w:rsidRPr="00264D5D" w:rsidRDefault="00941227">
      <w:pPr>
        <w:pStyle w:val="OTRNormal"/>
        <w:rPr>
          <w:sz w:val="24"/>
          <w:szCs w:val="24"/>
        </w:rPr>
      </w:pPr>
      <w:r w:rsidRPr="00264D5D">
        <w:rPr>
          <w:sz w:val="24"/>
          <w:szCs w:val="24"/>
        </w:rPr>
        <w:t>Документ «Информация об отчетности» формируется ГРБС и предоставляется в ТОФК.</w:t>
      </w:r>
    </w:p>
    <w:p w14:paraId="5276A18E" w14:textId="51723706"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2176" w:name="_Toc30503400"/>
      <w:bookmarkStart w:id="2177" w:name="_Toc30507998"/>
      <w:bookmarkStart w:id="2178" w:name="_Toc219309251"/>
      <w:r w:rsidR="008D797C">
        <w:rPr>
          <w:rFonts w:eastAsia="Calibri"/>
          <w:noProof/>
          <w:szCs w:val="24"/>
        </w:rPr>
        <w:t>221</w:t>
      </w:r>
      <w:r w:rsidRPr="00264D5D">
        <w:rPr>
          <w:rFonts w:eastAsia="Calibri"/>
          <w:szCs w:val="24"/>
        </w:rPr>
        <w:fldChar w:fldCharType="end"/>
      </w:r>
      <w:r w:rsidRPr="00264D5D">
        <w:rPr>
          <w:rFonts w:eastAsia="Calibri"/>
          <w:szCs w:val="24"/>
        </w:rPr>
        <w:t xml:space="preserve"> – Маршрут документа «Информация об отчетности»</w:t>
      </w:r>
      <w:bookmarkEnd w:id="2176"/>
      <w:bookmarkEnd w:id="2177"/>
      <w:bookmarkEnd w:id="2178"/>
    </w:p>
    <w:tbl>
      <w:tblPr>
        <w:tblStyle w:val="GOSTTable"/>
        <w:tblW w:w="5000" w:type="pct"/>
        <w:tblLook w:val="01E0" w:firstRow="1" w:lastRow="1" w:firstColumn="1" w:lastColumn="1" w:noHBand="0" w:noVBand="0"/>
      </w:tblPr>
      <w:tblGrid>
        <w:gridCol w:w="2556"/>
        <w:gridCol w:w="2555"/>
        <w:gridCol w:w="4539"/>
      </w:tblGrid>
      <w:tr w:rsidR="00AD1F54" w:rsidRPr="00264D5D" w14:paraId="297C3FE6"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324" w:type="pct"/>
          </w:tcPr>
          <w:p w14:paraId="2C20ABC4" w14:textId="77777777" w:rsidR="00AD1F54" w:rsidRPr="00264D5D" w:rsidRDefault="00941227">
            <w:pPr>
              <w:pStyle w:val="OTRTableHead"/>
              <w:widowControl w:val="0"/>
              <w:rPr>
                <w:b w:val="0"/>
                <w:sz w:val="22"/>
                <w:szCs w:val="22"/>
              </w:rPr>
            </w:pPr>
            <w:r w:rsidRPr="00264D5D">
              <w:rPr>
                <w:sz w:val="22"/>
                <w:szCs w:val="22"/>
              </w:rPr>
              <w:t>Отправитель</w:t>
            </w:r>
          </w:p>
        </w:tc>
        <w:tc>
          <w:tcPr>
            <w:tcW w:w="1324" w:type="pct"/>
          </w:tcPr>
          <w:p w14:paraId="7C6A363F" w14:textId="77777777" w:rsidR="00AD1F54" w:rsidRPr="00264D5D" w:rsidRDefault="00941227">
            <w:pPr>
              <w:pStyle w:val="OTRTableHead"/>
              <w:widowControl w:val="0"/>
              <w:rPr>
                <w:b w:val="0"/>
                <w:sz w:val="22"/>
                <w:szCs w:val="22"/>
              </w:rPr>
            </w:pPr>
            <w:r w:rsidRPr="00264D5D">
              <w:rPr>
                <w:sz w:val="22"/>
                <w:szCs w:val="22"/>
              </w:rPr>
              <w:t>Получатель</w:t>
            </w:r>
          </w:p>
        </w:tc>
        <w:tc>
          <w:tcPr>
            <w:tcW w:w="2352" w:type="pct"/>
          </w:tcPr>
          <w:p w14:paraId="11B009FF" w14:textId="77777777" w:rsidR="00AD1F54" w:rsidRPr="00264D5D" w:rsidRDefault="00941227">
            <w:pPr>
              <w:pStyle w:val="OTRTableHead"/>
              <w:widowControl w:val="0"/>
              <w:rPr>
                <w:b w:val="0"/>
                <w:sz w:val="22"/>
                <w:szCs w:val="22"/>
              </w:rPr>
            </w:pPr>
            <w:r w:rsidRPr="00264D5D">
              <w:rPr>
                <w:sz w:val="22"/>
                <w:szCs w:val="22"/>
              </w:rPr>
              <w:t>Примечание</w:t>
            </w:r>
          </w:p>
        </w:tc>
      </w:tr>
      <w:tr w:rsidR="00AD1F54" w:rsidRPr="00264D5D" w14:paraId="6C87E307" w14:textId="77777777" w:rsidTr="00AD1F54">
        <w:trPr>
          <w:cnfStyle w:val="000000100000" w:firstRow="0" w:lastRow="0" w:firstColumn="0" w:lastColumn="0" w:oddVBand="0" w:evenVBand="0" w:oddHBand="1" w:evenHBand="0" w:firstRowFirstColumn="0" w:firstRowLastColumn="0" w:lastRowFirstColumn="0" w:lastRowLastColumn="0"/>
        </w:trPr>
        <w:tc>
          <w:tcPr>
            <w:tcW w:w="1324" w:type="pct"/>
          </w:tcPr>
          <w:p w14:paraId="1EAC203E" w14:textId="77777777" w:rsidR="00AD1F54" w:rsidRPr="00264D5D" w:rsidRDefault="00941227">
            <w:pPr>
              <w:spacing w:before="60" w:after="60"/>
              <w:rPr>
                <w:sz w:val="22"/>
                <w:szCs w:val="22"/>
              </w:rPr>
            </w:pPr>
            <w:r w:rsidRPr="00264D5D">
              <w:rPr>
                <w:sz w:val="22"/>
                <w:szCs w:val="22"/>
              </w:rPr>
              <w:t>ГРБС</w:t>
            </w:r>
          </w:p>
        </w:tc>
        <w:tc>
          <w:tcPr>
            <w:tcW w:w="1324" w:type="pct"/>
          </w:tcPr>
          <w:p w14:paraId="4C5D9B27" w14:textId="77777777" w:rsidR="00AD1F54" w:rsidRPr="00264D5D" w:rsidRDefault="00941227">
            <w:pPr>
              <w:spacing w:before="60" w:after="60"/>
              <w:rPr>
                <w:sz w:val="22"/>
                <w:szCs w:val="22"/>
              </w:rPr>
            </w:pPr>
            <w:r w:rsidRPr="00264D5D">
              <w:rPr>
                <w:sz w:val="22"/>
                <w:szCs w:val="22"/>
              </w:rPr>
              <w:t>ТОФК (ПУР ЭБ)</w:t>
            </w:r>
          </w:p>
        </w:tc>
        <w:tc>
          <w:tcPr>
            <w:tcW w:w="2352" w:type="pct"/>
          </w:tcPr>
          <w:p w14:paraId="3E15FC96" w14:textId="77777777" w:rsidR="00AD1F54" w:rsidRPr="00264D5D" w:rsidRDefault="00AD1F54">
            <w:pPr>
              <w:spacing w:before="60" w:after="60"/>
              <w:rPr>
                <w:sz w:val="22"/>
                <w:szCs w:val="22"/>
              </w:rPr>
            </w:pPr>
          </w:p>
        </w:tc>
      </w:tr>
    </w:tbl>
    <w:p w14:paraId="341D69E5" w14:textId="77777777" w:rsidR="00AD1F54" w:rsidRPr="00264D5D" w:rsidRDefault="00941227">
      <w:pPr>
        <w:pStyle w:val="31"/>
      </w:pPr>
      <w:bookmarkStart w:id="2179" w:name="_Toc496984057"/>
      <w:bookmarkStart w:id="2180" w:name="_Toc219309687"/>
      <w:r w:rsidRPr="00264D5D">
        <w:t>Описание комплексного типа «</w:t>
      </w:r>
      <w:bookmarkStart w:id="2181" w:name="OLE_LINK222"/>
      <w:bookmarkStart w:id="2182" w:name="OLE_LINK223"/>
      <w:bookmarkStart w:id="2183" w:name="OLE_LINK224"/>
      <w:r w:rsidRPr="00264D5D">
        <w:t>tEXP_InformatReport</w:t>
      </w:r>
      <w:bookmarkEnd w:id="2181"/>
      <w:bookmarkEnd w:id="2182"/>
      <w:bookmarkEnd w:id="2183"/>
      <w:r w:rsidRPr="00264D5D">
        <w:t>»</w:t>
      </w:r>
      <w:bookmarkEnd w:id="2179"/>
      <w:bookmarkEnd w:id="2180"/>
    </w:p>
    <w:p w14:paraId="677454D3" w14:textId="312B7E92"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2184" w:name="_Ref494703563"/>
      <w:bookmarkStart w:id="2185" w:name="_Toc30503401"/>
      <w:bookmarkStart w:id="2186" w:name="_Toc30507999"/>
      <w:bookmarkStart w:id="2187" w:name="_Toc219309252"/>
      <w:r w:rsidR="008D797C">
        <w:rPr>
          <w:rFonts w:eastAsia="Calibri"/>
          <w:noProof/>
          <w:szCs w:val="24"/>
        </w:rPr>
        <w:t>222</w:t>
      </w:r>
      <w:bookmarkEnd w:id="2184"/>
      <w:r w:rsidRPr="00264D5D">
        <w:rPr>
          <w:rFonts w:eastAsia="Calibri"/>
          <w:szCs w:val="24"/>
        </w:rPr>
        <w:fldChar w:fldCharType="end"/>
      </w:r>
      <w:r w:rsidRPr="00264D5D">
        <w:rPr>
          <w:rFonts w:eastAsia="Calibri"/>
          <w:szCs w:val="24"/>
        </w:rPr>
        <w:t xml:space="preserve"> – Описание комплексного типа «tEXP_InformatReport»</w:t>
      </w:r>
      <w:bookmarkEnd w:id="2185"/>
      <w:bookmarkEnd w:id="2186"/>
      <w:bookmarkEnd w:id="2187"/>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51B94882"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74E70C4C" w14:textId="77777777" w:rsidR="00AD1F54" w:rsidRPr="00264D5D" w:rsidRDefault="00941227">
            <w:pPr>
              <w:pStyle w:val="EBTableHead"/>
              <w:ind w:left="57" w:right="57"/>
              <w:contextualSpacing w:val="0"/>
              <w:rPr>
                <w:sz w:val="22"/>
                <w:szCs w:val="22"/>
              </w:rPr>
            </w:pPr>
            <w:r w:rsidRPr="00264D5D">
              <w:rPr>
                <w:bCs w:val="0"/>
                <w:sz w:val="22"/>
                <w:szCs w:val="22"/>
              </w:rPr>
              <w:t>Наименование элемента</w:t>
            </w:r>
          </w:p>
        </w:tc>
        <w:tc>
          <w:tcPr>
            <w:tcW w:w="1701" w:type="dxa"/>
          </w:tcPr>
          <w:p w14:paraId="5ECFC428" w14:textId="77777777" w:rsidR="00AD1F54" w:rsidRPr="00264D5D" w:rsidRDefault="00941227">
            <w:pPr>
              <w:pStyle w:val="EBTableHead"/>
              <w:ind w:left="57" w:right="57"/>
              <w:contextualSpacing w:val="0"/>
              <w:rPr>
                <w:sz w:val="22"/>
                <w:szCs w:val="22"/>
              </w:rPr>
            </w:pPr>
            <w:r w:rsidRPr="00264D5D">
              <w:rPr>
                <w:bCs w:val="0"/>
                <w:sz w:val="22"/>
                <w:szCs w:val="22"/>
              </w:rPr>
              <w:t>Сокращенное наименование (код) элемента</w:t>
            </w:r>
          </w:p>
        </w:tc>
        <w:tc>
          <w:tcPr>
            <w:tcW w:w="567" w:type="dxa"/>
          </w:tcPr>
          <w:p w14:paraId="63A518CE" w14:textId="77777777" w:rsidR="00AD1F54" w:rsidRPr="00264D5D" w:rsidRDefault="00941227">
            <w:pPr>
              <w:pStyle w:val="EBTableHead"/>
              <w:ind w:left="57" w:right="57"/>
              <w:contextualSpacing w:val="0"/>
              <w:rPr>
                <w:sz w:val="22"/>
                <w:szCs w:val="22"/>
              </w:rPr>
            </w:pPr>
            <w:r w:rsidRPr="00264D5D">
              <w:rPr>
                <w:bCs w:val="0"/>
                <w:sz w:val="22"/>
                <w:szCs w:val="22"/>
              </w:rPr>
              <w:t>Тип</w:t>
            </w:r>
          </w:p>
        </w:tc>
        <w:tc>
          <w:tcPr>
            <w:tcW w:w="1134" w:type="dxa"/>
          </w:tcPr>
          <w:p w14:paraId="4FB594B7" w14:textId="77777777" w:rsidR="00AD1F54" w:rsidRPr="00264D5D" w:rsidRDefault="00941227">
            <w:pPr>
              <w:pStyle w:val="EBTableHead"/>
              <w:ind w:left="57" w:right="57"/>
              <w:contextualSpacing w:val="0"/>
              <w:rPr>
                <w:sz w:val="22"/>
                <w:szCs w:val="22"/>
              </w:rPr>
            </w:pPr>
            <w:r w:rsidRPr="00264D5D">
              <w:rPr>
                <w:bCs w:val="0"/>
                <w:sz w:val="22"/>
                <w:szCs w:val="22"/>
              </w:rPr>
              <w:t>Формат элемента</w:t>
            </w:r>
          </w:p>
        </w:tc>
        <w:tc>
          <w:tcPr>
            <w:tcW w:w="567" w:type="dxa"/>
          </w:tcPr>
          <w:p w14:paraId="04171051" w14:textId="77777777" w:rsidR="00AD1F54" w:rsidRPr="00264D5D" w:rsidRDefault="00941227">
            <w:pPr>
              <w:spacing w:before="60" w:after="60"/>
              <w:ind w:left="57" w:right="57"/>
              <w:jc w:val="center"/>
              <w:rPr>
                <w:b/>
                <w:bCs/>
                <w:sz w:val="22"/>
                <w:szCs w:val="22"/>
              </w:rPr>
            </w:pPr>
            <w:r w:rsidRPr="00264D5D">
              <w:rPr>
                <w:b/>
                <w:bCs/>
                <w:sz w:val="22"/>
                <w:szCs w:val="22"/>
              </w:rPr>
              <w:t>Обязательность</w:t>
            </w:r>
          </w:p>
        </w:tc>
        <w:tc>
          <w:tcPr>
            <w:tcW w:w="3963" w:type="dxa"/>
          </w:tcPr>
          <w:p w14:paraId="03D9B31E" w14:textId="77777777" w:rsidR="00AD1F54" w:rsidRPr="00264D5D" w:rsidRDefault="00941227">
            <w:pPr>
              <w:pStyle w:val="EBTableHead"/>
              <w:ind w:left="57" w:right="57"/>
              <w:contextualSpacing w:val="0"/>
              <w:rPr>
                <w:sz w:val="22"/>
                <w:szCs w:val="22"/>
              </w:rPr>
            </w:pPr>
            <w:r w:rsidRPr="00264D5D">
              <w:rPr>
                <w:bCs w:val="0"/>
                <w:sz w:val="22"/>
                <w:szCs w:val="22"/>
              </w:rPr>
              <w:t>Дополнительная информация</w:t>
            </w:r>
          </w:p>
        </w:tc>
      </w:tr>
      <w:tr w:rsidR="00AD1F54" w:rsidRPr="00264D5D" w14:paraId="07D354E6"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C1F8F6C" w14:textId="77777777" w:rsidR="00AD1F54" w:rsidRPr="00264D5D" w:rsidRDefault="00941227">
            <w:pPr>
              <w:pStyle w:val="EBTablenorm"/>
              <w:ind w:left="57" w:right="57"/>
              <w:contextualSpacing w:val="0"/>
              <w:rPr>
                <w:sz w:val="22"/>
                <w:szCs w:val="22"/>
                <w:lang w:val="en-US"/>
              </w:rPr>
            </w:pPr>
            <w:bookmarkStart w:id="2188" w:name="_Hlk494721015"/>
            <w:r w:rsidRPr="00264D5D">
              <w:rPr>
                <w:sz w:val="22"/>
                <w:szCs w:val="22"/>
              </w:rPr>
              <w:t>Глобальный уникальный идентификатор</w:t>
            </w:r>
          </w:p>
        </w:tc>
        <w:tc>
          <w:tcPr>
            <w:tcW w:w="1701" w:type="dxa"/>
          </w:tcPr>
          <w:p w14:paraId="71CE0729" w14:textId="77777777" w:rsidR="00AD1F54" w:rsidRPr="00264D5D" w:rsidRDefault="00941227">
            <w:pPr>
              <w:pStyle w:val="EBTablenorm"/>
              <w:ind w:left="57" w:right="57"/>
              <w:contextualSpacing w:val="0"/>
              <w:jc w:val="left"/>
              <w:rPr>
                <w:sz w:val="22"/>
                <w:szCs w:val="22"/>
              </w:rPr>
            </w:pPr>
            <w:r w:rsidRPr="00264D5D">
              <w:rPr>
                <w:sz w:val="22"/>
                <w:szCs w:val="22"/>
              </w:rPr>
              <w:t>GUID</w:t>
            </w:r>
          </w:p>
        </w:tc>
        <w:tc>
          <w:tcPr>
            <w:tcW w:w="567" w:type="dxa"/>
          </w:tcPr>
          <w:p w14:paraId="07F5A370"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758BB6C2" w14:textId="77777777" w:rsidR="00AD1F54" w:rsidRPr="00264D5D" w:rsidRDefault="00941227">
            <w:pPr>
              <w:pStyle w:val="EBTablenorm"/>
              <w:ind w:left="57" w:right="57"/>
              <w:contextualSpacing w:val="0"/>
              <w:jc w:val="left"/>
              <w:rPr>
                <w:sz w:val="22"/>
                <w:szCs w:val="22"/>
              </w:rPr>
            </w:pPr>
            <w:r w:rsidRPr="00264D5D">
              <w:rPr>
                <w:sz w:val="22"/>
                <w:szCs w:val="22"/>
              </w:rPr>
              <w:t>Т(36)</w:t>
            </w:r>
          </w:p>
        </w:tc>
        <w:tc>
          <w:tcPr>
            <w:tcW w:w="567" w:type="dxa"/>
          </w:tcPr>
          <w:p w14:paraId="0BEF1DBA" w14:textId="77777777" w:rsidR="00AD1F54" w:rsidRPr="00264D5D" w:rsidRDefault="00941227">
            <w:pPr>
              <w:pStyle w:val="EBTablenorm"/>
              <w:ind w:left="57" w:right="57"/>
              <w:contextualSpacing w:val="0"/>
              <w:jc w:val="center"/>
              <w:rPr>
                <w:sz w:val="22"/>
                <w:szCs w:val="22"/>
              </w:rPr>
            </w:pPr>
            <w:r w:rsidRPr="00264D5D">
              <w:rPr>
                <w:sz w:val="22"/>
                <w:szCs w:val="22"/>
                <w:lang w:val="en-US"/>
              </w:rPr>
              <w:t>О</w:t>
            </w:r>
          </w:p>
        </w:tc>
        <w:tc>
          <w:tcPr>
            <w:tcW w:w="3963" w:type="dxa"/>
          </w:tcPr>
          <w:p w14:paraId="6F5415C0" w14:textId="77777777" w:rsidR="00AD1F54" w:rsidRPr="00264D5D" w:rsidRDefault="00941227">
            <w:pPr>
              <w:pStyle w:val="EBTablenorm"/>
              <w:ind w:left="57" w:right="57"/>
              <w:contextualSpacing w:val="0"/>
              <w:rPr>
                <w:sz w:val="22"/>
                <w:szCs w:val="22"/>
              </w:rPr>
            </w:pPr>
            <w:r w:rsidRPr="00264D5D">
              <w:rPr>
                <w:sz w:val="22"/>
                <w:szCs w:val="22"/>
              </w:rPr>
              <w:t>Глобальный уникальный идентификатор</w:t>
            </w:r>
            <w:bookmarkEnd w:id="2188"/>
          </w:p>
        </w:tc>
      </w:tr>
      <w:tr w:rsidR="00AD1F54" w:rsidRPr="00264D5D" w14:paraId="365B6873"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516CAFA1" w14:textId="77777777" w:rsidR="00AD1F54" w:rsidRPr="00264D5D" w:rsidRDefault="00941227">
            <w:pPr>
              <w:pStyle w:val="EBTablenorm"/>
              <w:ind w:left="57" w:right="57"/>
              <w:contextualSpacing w:val="0"/>
              <w:rPr>
                <w:sz w:val="22"/>
                <w:szCs w:val="22"/>
              </w:rPr>
            </w:pPr>
            <w:r w:rsidRPr="00264D5D">
              <w:rPr>
                <w:sz w:val="22"/>
                <w:szCs w:val="22"/>
              </w:rPr>
              <w:t>GUID Информации об отчетности</w:t>
            </w:r>
          </w:p>
          <w:p w14:paraId="519A968B" w14:textId="77777777" w:rsidR="00AD1F54" w:rsidRPr="00264D5D" w:rsidRDefault="00AD1F54">
            <w:pPr>
              <w:pStyle w:val="EBTablenorm"/>
              <w:ind w:left="57" w:right="57"/>
              <w:contextualSpacing w:val="0"/>
              <w:rPr>
                <w:sz w:val="22"/>
                <w:szCs w:val="22"/>
              </w:rPr>
            </w:pPr>
          </w:p>
        </w:tc>
        <w:tc>
          <w:tcPr>
            <w:tcW w:w="1701" w:type="dxa"/>
          </w:tcPr>
          <w:p w14:paraId="328E3148" w14:textId="77777777" w:rsidR="00AD1F54" w:rsidRPr="00264D5D" w:rsidRDefault="00941227">
            <w:pPr>
              <w:pStyle w:val="EBTablenorm"/>
              <w:ind w:left="57" w:right="57"/>
              <w:contextualSpacing w:val="0"/>
              <w:jc w:val="left"/>
              <w:rPr>
                <w:sz w:val="22"/>
                <w:szCs w:val="22"/>
              </w:rPr>
            </w:pPr>
            <w:r w:rsidRPr="00264D5D">
              <w:rPr>
                <w:sz w:val="22"/>
                <w:szCs w:val="22"/>
              </w:rPr>
              <w:t>ReportGUID</w:t>
            </w:r>
          </w:p>
        </w:tc>
        <w:tc>
          <w:tcPr>
            <w:tcW w:w="567" w:type="dxa"/>
          </w:tcPr>
          <w:p w14:paraId="14056862"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2E82272F" w14:textId="77777777" w:rsidR="00AD1F54" w:rsidRPr="00264D5D" w:rsidRDefault="00941227">
            <w:pPr>
              <w:pStyle w:val="EBTablenorm"/>
              <w:ind w:left="57" w:right="57"/>
              <w:contextualSpacing w:val="0"/>
              <w:jc w:val="left"/>
              <w:rPr>
                <w:sz w:val="22"/>
                <w:szCs w:val="22"/>
              </w:rPr>
            </w:pPr>
            <w:r w:rsidRPr="00264D5D">
              <w:rPr>
                <w:sz w:val="22"/>
                <w:szCs w:val="22"/>
              </w:rPr>
              <w:t>Т(36)</w:t>
            </w:r>
          </w:p>
        </w:tc>
        <w:tc>
          <w:tcPr>
            <w:tcW w:w="567" w:type="dxa"/>
          </w:tcPr>
          <w:p w14:paraId="5225F6A9" w14:textId="77777777" w:rsidR="00AD1F54" w:rsidRPr="00264D5D" w:rsidRDefault="00941227">
            <w:pPr>
              <w:pStyle w:val="EBTablenorm"/>
              <w:ind w:left="57" w:right="57"/>
              <w:contextualSpacing w:val="0"/>
              <w:jc w:val="center"/>
              <w:rPr>
                <w:sz w:val="22"/>
                <w:szCs w:val="22"/>
              </w:rPr>
            </w:pPr>
            <w:r w:rsidRPr="00264D5D">
              <w:rPr>
                <w:sz w:val="22"/>
                <w:szCs w:val="22"/>
              </w:rPr>
              <w:t>Н</w:t>
            </w:r>
          </w:p>
        </w:tc>
        <w:tc>
          <w:tcPr>
            <w:tcW w:w="3963" w:type="dxa"/>
          </w:tcPr>
          <w:p w14:paraId="1574A144" w14:textId="77777777" w:rsidR="00AD1F54" w:rsidRPr="00264D5D" w:rsidRDefault="00941227">
            <w:pPr>
              <w:pStyle w:val="EBTablenorm"/>
              <w:ind w:left="57" w:right="57"/>
              <w:contextualSpacing w:val="0"/>
              <w:rPr>
                <w:sz w:val="22"/>
                <w:szCs w:val="22"/>
              </w:rPr>
            </w:pPr>
            <w:r w:rsidRPr="00264D5D">
              <w:rPr>
                <w:sz w:val="22"/>
                <w:szCs w:val="22"/>
              </w:rPr>
              <w:t xml:space="preserve">Указывается глобальный уникальный идентификатор ранее переданной Информации об отчетности, взамен которой </w:t>
            </w:r>
            <w:r w:rsidR="007E37F3" w:rsidRPr="00264D5D">
              <w:rPr>
                <w:sz w:val="22"/>
                <w:szCs w:val="22"/>
              </w:rPr>
              <w:t>направляется настоящий документ</w:t>
            </w:r>
          </w:p>
        </w:tc>
      </w:tr>
      <w:tr w:rsidR="00AD1F54" w:rsidRPr="00264D5D" w14:paraId="100A1828"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BC2C6D6" w14:textId="77777777" w:rsidR="00AD1F54" w:rsidRPr="00264D5D" w:rsidRDefault="00941227">
            <w:pPr>
              <w:pStyle w:val="EBTablenorm"/>
              <w:ind w:left="57" w:right="57"/>
              <w:contextualSpacing w:val="0"/>
              <w:rPr>
                <w:sz w:val="22"/>
                <w:szCs w:val="22"/>
              </w:rPr>
            </w:pPr>
            <w:r w:rsidRPr="00264D5D">
              <w:rPr>
                <w:sz w:val="22"/>
                <w:szCs w:val="22"/>
              </w:rPr>
              <w:t>Тип отчета</w:t>
            </w:r>
          </w:p>
        </w:tc>
        <w:tc>
          <w:tcPr>
            <w:tcW w:w="1701" w:type="dxa"/>
          </w:tcPr>
          <w:p w14:paraId="2A52EF63" w14:textId="77777777" w:rsidR="00AD1F54" w:rsidRPr="00264D5D" w:rsidRDefault="00941227">
            <w:pPr>
              <w:pStyle w:val="EBTablenorm"/>
              <w:ind w:left="57" w:right="57"/>
              <w:contextualSpacing w:val="0"/>
              <w:rPr>
                <w:sz w:val="22"/>
                <w:szCs w:val="22"/>
              </w:rPr>
            </w:pPr>
            <w:r w:rsidRPr="00264D5D">
              <w:rPr>
                <w:sz w:val="22"/>
                <w:szCs w:val="22"/>
              </w:rPr>
              <w:t>ReportType</w:t>
            </w:r>
          </w:p>
        </w:tc>
        <w:tc>
          <w:tcPr>
            <w:tcW w:w="567" w:type="dxa"/>
          </w:tcPr>
          <w:p w14:paraId="4AB67551"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54BF81C9" w14:textId="77777777" w:rsidR="00AD1F54" w:rsidRPr="00264D5D" w:rsidRDefault="00941227">
            <w:pPr>
              <w:pStyle w:val="EBTablenorm"/>
              <w:ind w:left="57" w:right="57"/>
              <w:contextualSpacing w:val="0"/>
              <w:jc w:val="left"/>
              <w:rPr>
                <w:sz w:val="22"/>
                <w:szCs w:val="22"/>
              </w:rPr>
            </w:pPr>
            <w:r w:rsidRPr="00264D5D">
              <w:rPr>
                <w:sz w:val="22"/>
                <w:szCs w:val="22"/>
              </w:rPr>
              <w:t>Т(1)</w:t>
            </w:r>
          </w:p>
        </w:tc>
        <w:tc>
          <w:tcPr>
            <w:tcW w:w="567" w:type="dxa"/>
          </w:tcPr>
          <w:p w14:paraId="51E2E24C"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08105521" w14:textId="77777777" w:rsidR="00AD1F54" w:rsidRPr="00264D5D" w:rsidRDefault="00941227">
            <w:pPr>
              <w:pStyle w:val="EBTablenorm"/>
              <w:ind w:left="57" w:right="57"/>
              <w:contextualSpacing w:val="0"/>
              <w:rPr>
                <w:sz w:val="22"/>
                <w:szCs w:val="22"/>
              </w:rPr>
            </w:pPr>
            <w:r w:rsidRPr="00264D5D">
              <w:rPr>
                <w:sz w:val="22"/>
                <w:szCs w:val="22"/>
              </w:rPr>
              <w:t xml:space="preserve">Указывается тип отчета. </w:t>
            </w:r>
          </w:p>
          <w:p w14:paraId="759E8C75" w14:textId="77777777" w:rsidR="00AD1F54" w:rsidRPr="00264D5D" w:rsidRDefault="00941227">
            <w:pPr>
              <w:pStyle w:val="EBTablenorm"/>
              <w:ind w:left="57" w:right="57"/>
              <w:contextualSpacing w:val="0"/>
              <w:rPr>
                <w:sz w:val="22"/>
                <w:szCs w:val="22"/>
              </w:rPr>
            </w:pPr>
            <w:r w:rsidRPr="00264D5D">
              <w:rPr>
                <w:sz w:val="22"/>
                <w:szCs w:val="22"/>
              </w:rPr>
              <w:t>Допустимые значения:</w:t>
            </w:r>
          </w:p>
          <w:p w14:paraId="5E7F4A8E" w14:textId="77777777" w:rsidR="00AD1F54" w:rsidRPr="00264D5D" w:rsidRDefault="00941227" w:rsidP="00E7460C">
            <w:pPr>
              <w:pStyle w:val="EBTablenorm"/>
              <w:numPr>
                <w:ilvl w:val="0"/>
                <w:numId w:val="108"/>
              </w:numPr>
              <w:ind w:left="284" w:right="57" w:hanging="227"/>
              <w:contextualSpacing w:val="0"/>
              <w:rPr>
                <w:sz w:val="22"/>
                <w:szCs w:val="22"/>
              </w:rPr>
            </w:pPr>
            <w:r w:rsidRPr="00264D5D">
              <w:rPr>
                <w:sz w:val="22"/>
                <w:szCs w:val="22"/>
              </w:rPr>
              <w:t>«1» – отчет о достижении значений показателей результативности;</w:t>
            </w:r>
          </w:p>
          <w:p w14:paraId="545C12B6" w14:textId="77777777" w:rsidR="00AD1F54" w:rsidRPr="00264D5D" w:rsidRDefault="00941227" w:rsidP="00E7460C">
            <w:pPr>
              <w:pStyle w:val="EBTablenorm"/>
              <w:numPr>
                <w:ilvl w:val="0"/>
                <w:numId w:val="108"/>
              </w:numPr>
              <w:ind w:left="284" w:right="57" w:hanging="227"/>
              <w:contextualSpacing w:val="0"/>
              <w:rPr>
                <w:sz w:val="22"/>
                <w:szCs w:val="22"/>
              </w:rPr>
            </w:pPr>
            <w:r w:rsidRPr="00264D5D">
              <w:rPr>
                <w:sz w:val="22"/>
                <w:szCs w:val="22"/>
              </w:rPr>
              <w:t>«2» – отчет о расходах;</w:t>
            </w:r>
          </w:p>
          <w:p w14:paraId="6B46A3E2" w14:textId="77777777" w:rsidR="00AD1F54" w:rsidRPr="00264D5D" w:rsidRDefault="00941227" w:rsidP="00E7460C">
            <w:pPr>
              <w:pStyle w:val="EBTablenorm"/>
              <w:numPr>
                <w:ilvl w:val="0"/>
                <w:numId w:val="108"/>
              </w:numPr>
              <w:ind w:left="284" w:right="57" w:hanging="227"/>
              <w:contextualSpacing w:val="0"/>
              <w:rPr>
                <w:sz w:val="22"/>
                <w:szCs w:val="22"/>
              </w:rPr>
            </w:pPr>
            <w:r w:rsidRPr="00264D5D">
              <w:rPr>
                <w:sz w:val="22"/>
                <w:szCs w:val="22"/>
              </w:rPr>
              <w:t>«3» – иной отчет</w:t>
            </w:r>
          </w:p>
        </w:tc>
      </w:tr>
      <w:tr w:rsidR="00AD1F54" w:rsidRPr="00264D5D" w14:paraId="13C826AF"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6E4D5E2A" w14:textId="77777777" w:rsidR="00AD1F54" w:rsidRPr="00264D5D" w:rsidRDefault="00941227">
            <w:pPr>
              <w:pStyle w:val="EBTablenorm"/>
              <w:ind w:left="57" w:right="57"/>
              <w:contextualSpacing w:val="0"/>
              <w:rPr>
                <w:sz w:val="22"/>
                <w:szCs w:val="22"/>
              </w:rPr>
            </w:pPr>
            <w:r w:rsidRPr="00264D5D">
              <w:rPr>
                <w:sz w:val="22"/>
                <w:szCs w:val="22"/>
              </w:rPr>
              <w:t xml:space="preserve">Периодичность </w:t>
            </w:r>
            <w:r w:rsidRPr="00264D5D">
              <w:rPr>
                <w:sz w:val="22"/>
                <w:szCs w:val="22"/>
              </w:rPr>
              <w:lastRenderedPageBreak/>
              <w:t>отчета</w:t>
            </w:r>
          </w:p>
          <w:p w14:paraId="292274D5" w14:textId="77777777" w:rsidR="00AD1F54" w:rsidRPr="00264D5D" w:rsidRDefault="00AD1F54">
            <w:pPr>
              <w:pStyle w:val="EBTablenorm"/>
              <w:ind w:left="57" w:right="57"/>
              <w:contextualSpacing w:val="0"/>
              <w:rPr>
                <w:sz w:val="22"/>
                <w:szCs w:val="22"/>
              </w:rPr>
            </w:pPr>
          </w:p>
        </w:tc>
        <w:tc>
          <w:tcPr>
            <w:tcW w:w="1701" w:type="dxa"/>
          </w:tcPr>
          <w:p w14:paraId="29E8E7B9" w14:textId="77777777" w:rsidR="00AD1F54" w:rsidRPr="00264D5D" w:rsidRDefault="00941227">
            <w:pPr>
              <w:pStyle w:val="EBTablenorm"/>
              <w:ind w:left="57" w:right="57"/>
              <w:contextualSpacing w:val="0"/>
              <w:rPr>
                <w:sz w:val="22"/>
                <w:szCs w:val="22"/>
              </w:rPr>
            </w:pPr>
            <w:r w:rsidRPr="00264D5D">
              <w:rPr>
                <w:sz w:val="22"/>
                <w:szCs w:val="22"/>
              </w:rPr>
              <w:lastRenderedPageBreak/>
              <w:t>ReportTime</w:t>
            </w:r>
          </w:p>
        </w:tc>
        <w:tc>
          <w:tcPr>
            <w:tcW w:w="567" w:type="dxa"/>
          </w:tcPr>
          <w:p w14:paraId="670E5D9A" w14:textId="77777777" w:rsidR="00AD1F54" w:rsidRPr="00264D5D" w:rsidRDefault="00941227">
            <w:pPr>
              <w:pStyle w:val="EBTablenorm"/>
              <w:ind w:left="57" w:right="57"/>
              <w:contextualSpacing w:val="0"/>
              <w:rPr>
                <w:sz w:val="22"/>
                <w:szCs w:val="22"/>
              </w:rPr>
            </w:pPr>
            <w:r w:rsidRPr="00264D5D">
              <w:rPr>
                <w:sz w:val="22"/>
                <w:szCs w:val="22"/>
              </w:rPr>
              <w:t>П</w:t>
            </w:r>
          </w:p>
        </w:tc>
        <w:tc>
          <w:tcPr>
            <w:tcW w:w="1134" w:type="dxa"/>
          </w:tcPr>
          <w:p w14:paraId="2D29BC08" w14:textId="77777777" w:rsidR="00AD1F54" w:rsidRPr="00264D5D" w:rsidRDefault="00941227">
            <w:pPr>
              <w:pStyle w:val="EBTablenorm"/>
              <w:ind w:left="57" w:right="57"/>
              <w:contextualSpacing w:val="0"/>
              <w:rPr>
                <w:sz w:val="22"/>
                <w:szCs w:val="22"/>
              </w:rPr>
            </w:pPr>
            <w:r w:rsidRPr="00264D5D">
              <w:rPr>
                <w:sz w:val="22"/>
                <w:szCs w:val="22"/>
              </w:rPr>
              <w:t>Т(1)</w:t>
            </w:r>
          </w:p>
        </w:tc>
        <w:tc>
          <w:tcPr>
            <w:tcW w:w="567" w:type="dxa"/>
          </w:tcPr>
          <w:p w14:paraId="351F45A4"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0BBF6A0A" w14:textId="77777777" w:rsidR="00AD1F54" w:rsidRPr="00264D5D" w:rsidRDefault="00941227">
            <w:pPr>
              <w:pStyle w:val="EBTablenorm"/>
              <w:ind w:left="57" w:right="57"/>
              <w:contextualSpacing w:val="0"/>
              <w:rPr>
                <w:sz w:val="22"/>
                <w:szCs w:val="22"/>
              </w:rPr>
            </w:pPr>
            <w:r w:rsidRPr="00264D5D">
              <w:rPr>
                <w:sz w:val="22"/>
                <w:szCs w:val="22"/>
              </w:rPr>
              <w:t>Допустимые значения:</w:t>
            </w:r>
          </w:p>
          <w:p w14:paraId="4953C3B8" w14:textId="77777777" w:rsidR="00AD1F54" w:rsidRPr="00264D5D" w:rsidRDefault="00941227" w:rsidP="00E7460C">
            <w:pPr>
              <w:pStyle w:val="EBTablenorm"/>
              <w:numPr>
                <w:ilvl w:val="0"/>
                <w:numId w:val="108"/>
              </w:numPr>
              <w:ind w:left="284" w:right="57" w:hanging="227"/>
              <w:contextualSpacing w:val="0"/>
              <w:rPr>
                <w:sz w:val="22"/>
                <w:szCs w:val="22"/>
              </w:rPr>
            </w:pPr>
            <w:r w:rsidRPr="00264D5D">
              <w:rPr>
                <w:sz w:val="22"/>
                <w:szCs w:val="22"/>
              </w:rPr>
              <w:lastRenderedPageBreak/>
              <w:t>«1» – ежемесячная,</w:t>
            </w:r>
          </w:p>
          <w:p w14:paraId="2D884BA0" w14:textId="77777777" w:rsidR="00AD1F54" w:rsidRPr="00264D5D" w:rsidRDefault="00941227" w:rsidP="00E7460C">
            <w:pPr>
              <w:pStyle w:val="EBTablenorm"/>
              <w:numPr>
                <w:ilvl w:val="0"/>
                <w:numId w:val="108"/>
              </w:numPr>
              <w:ind w:left="284" w:right="57" w:hanging="227"/>
              <w:contextualSpacing w:val="0"/>
              <w:rPr>
                <w:sz w:val="22"/>
                <w:szCs w:val="22"/>
              </w:rPr>
            </w:pPr>
            <w:r w:rsidRPr="00264D5D">
              <w:rPr>
                <w:sz w:val="22"/>
                <w:szCs w:val="22"/>
              </w:rPr>
              <w:t xml:space="preserve">«2» – ежеквартальная, </w:t>
            </w:r>
          </w:p>
          <w:p w14:paraId="60CA1489" w14:textId="77777777" w:rsidR="00AD1F54" w:rsidRPr="00264D5D" w:rsidRDefault="00941227" w:rsidP="00E7460C">
            <w:pPr>
              <w:pStyle w:val="EBTablenorm"/>
              <w:numPr>
                <w:ilvl w:val="0"/>
                <w:numId w:val="108"/>
              </w:numPr>
              <w:ind w:left="284" w:right="57" w:hanging="227"/>
              <w:contextualSpacing w:val="0"/>
              <w:rPr>
                <w:sz w:val="22"/>
                <w:szCs w:val="22"/>
              </w:rPr>
            </w:pPr>
            <w:r w:rsidRPr="00264D5D">
              <w:rPr>
                <w:sz w:val="22"/>
                <w:szCs w:val="22"/>
              </w:rPr>
              <w:t>«3» – полугодовая,</w:t>
            </w:r>
          </w:p>
          <w:p w14:paraId="4382BCB0" w14:textId="77777777" w:rsidR="00AD1F54" w:rsidRPr="00264D5D" w:rsidRDefault="00941227" w:rsidP="00E7460C">
            <w:pPr>
              <w:pStyle w:val="EBTablenorm"/>
              <w:numPr>
                <w:ilvl w:val="0"/>
                <w:numId w:val="108"/>
              </w:numPr>
              <w:ind w:left="284" w:right="57" w:hanging="227"/>
              <w:contextualSpacing w:val="0"/>
              <w:rPr>
                <w:sz w:val="22"/>
                <w:szCs w:val="22"/>
              </w:rPr>
            </w:pPr>
            <w:r w:rsidRPr="00264D5D">
              <w:rPr>
                <w:sz w:val="22"/>
                <w:szCs w:val="22"/>
              </w:rPr>
              <w:t>«4» – годовая,</w:t>
            </w:r>
          </w:p>
          <w:p w14:paraId="098D7B84" w14:textId="77777777" w:rsidR="00AD1F54" w:rsidRPr="00264D5D" w:rsidRDefault="007E37F3" w:rsidP="00E7460C">
            <w:pPr>
              <w:pStyle w:val="EBTablenorm"/>
              <w:numPr>
                <w:ilvl w:val="0"/>
                <w:numId w:val="108"/>
              </w:numPr>
              <w:ind w:left="284" w:right="57" w:hanging="227"/>
              <w:contextualSpacing w:val="0"/>
              <w:rPr>
                <w:color w:val="000000"/>
                <w:sz w:val="22"/>
                <w:szCs w:val="22"/>
              </w:rPr>
            </w:pPr>
            <w:r w:rsidRPr="00264D5D">
              <w:rPr>
                <w:sz w:val="22"/>
                <w:szCs w:val="22"/>
              </w:rPr>
              <w:t>«5» – иная</w:t>
            </w:r>
          </w:p>
        </w:tc>
      </w:tr>
      <w:tr w:rsidR="00AD1F54" w:rsidRPr="00264D5D" w14:paraId="08F4192C"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080D61A" w14:textId="77777777" w:rsidR="00AD1F54" w:rsidRPr="00264D5D" w:rsidRDefault="00941227">
            <w:pPr>
              <w:pStyle w:val="EBTablenorm"/>
              <w:ind w:left="57" w:right="57"/>
              <w:contextualSpacing w:val="0"/>
              <w:rPr>
                <w:sz w:val="22"/>
                <w:szCs w:val="22"/>
              </w:rPr>
            </w:pPr>
            <w:r w:rsidRPr="00264D5D">
              <w:rPr>
                <w:sz w:val="22"/>
                <w:szCs w:val="22"/>
              </w:rPr>
              <w:lastRenderedPageBreak/>
              <w:t>Дата, на которую предоставляется информация</w:t>
            </w:r>
          </w:p>
        </w:tc>
        <w:tc>
          <w:tcPr>
            <w:tcW w:w="1701" w:type="dxa"/>
          </w:tcPr>
          <w:p w14:paraId="69A264B5" w14:textId="77777777" w:rsidR="00AD1F54" w:rsidRPr="00264D5D" w:rsidRDefault="00941227">
            <w:pPr>
              <w:pStyle w:val="EBTablenorm"/>
              <w:ind w:left="57" w:right="57"/>
              <w:contextualSpacing w:val="0"/>
              <w:rPr>
                <w:sz w:val="22"/>
                <w:szCs w:val="22"/>
              </w:rPr>
            </w:pPr>
            <w:r w:rsidRPr="00264D5D">
              <w:rPr>
                <w:sz w:val="22"/>
                <w:szCs w:val="22"/>
              </w:rPr>
              <w:t>InformDate</w:t>
            </w:r>
          </w:p>
        </w:tc>
        <w:tc>
          <w:tcPr>
            <w:tcW w:w="567" w:type="dxa"/>
          </w:tcPr>
          <w:p w14:paraId="15FE559D" w14:textId="77777777" w:rsidR="00AD1F54" w:rsidRPr="00264D5D" w:rsidRDefault="00941227">
            <w:pPr>
              <w:pStyle w:val="EBTablenorm"/>
              <w:ind w:left="57" w:right="57"/>
              <w:contextualSpacing w:val="0"/>
              <w:rPr>
                <w:sz w:val="22"/>
                <w:szCs w:val="22"/>
              </w:rPr>
            </w:pPr>
            <w:r w:rsidRPr="00264D5D">
              <w:rPr>
                <w:sz w:val="22"/>
                <w:szCs w:val="22"/>
              </w:rPr>
              <w:t>П</w:t>
            </w:r>
          </w:p>
        </w:tc>
        <w:tc>
          <w:tcPr>
            <w:tcW w:w="1134" w:type="dxa"/>
          </w:tcPr>
          <w:p w14:paraId="59272F84" w14:textId="77777777" w:rsidR="00AD1F54" w:rsidRPr="00264D5D" w:rsidRDefault="00941227">
            <w:pPr>
              <w:pStyle w:val="EBTablenorm"/>
              <w:ind w:left="57" w:right="57"/>
              <w:contextualSpacing w:val="0"/>
              <w:rPr>
                <w:sz w:val="22"/>
                <w:szCs w:val="22"/>
              </w:rPr>
            </w:pPr>
            <w:r w:rsidRPr="00264D5D">
              <w:rPr>
                <w:sz w:val="22"/>
                <w:szCs w:val="22"/>
              </w:rPr>
              <w:t>Date</w:t>
            </w:r>
          </w:p>
        </w:tc>
        <w:tc>
          <w:tcPr>
            <w:tcW w:w="567" w:type="dxa"/>
          </w:tcPr>
          <w:p w14:paraId="4F56BFBB" w14:textId="77777777" w:rsidR="00AD1F54" w:rsidRPr="00264D5D" w:rsidRDefault="00941227">
            <w:pPr>
              <w:pStyle w:val="EBTablenorm"/>
              <w:ind w:left="57" w:right="57"/>
              <w:contextualSpacing w:val="0"/>
              <w:jc w:val="center"/>
              <w:rPr>
                <w:sz w:val="22"/>
                <w:szCs w:val="22"/>
              </w:rPr>
            </w:pPr>
            <w:r w:rsidRPr="00264D5D">
              <w:rPr>
                <w:sz w:val="22"/>
                <w:szCs w:val="22"/>
              </w:rPr>
              <w:t>Н</w:t>
            </w:r>
          </w:p>
        </w:tc>
        <w:tc>
          <w:tcPr>
            <w:tcW w:w="3963" w:type="dxa"/>
          </w:tcPr>
          <w:p w14:paraId="4E064E89" w14:textId="77777777" w:rsidR="00AD1F54" w:rsidRPr="00264D5D" w:rsidRDefault="00941227">
            <w:pPr>
              <w:pStyle w:val="EBTablenorm"/>
              <w:ind w:left="57" w:right="57"/>
              <w:contextualSpacing w:val="0"/>
              <w:rPr>
                <w:sz w:val="22"/>
                <w:szCs w:val="22"/>
              </w:rPr>
            </w:pPr>
            <w:r w:rsidRPr="00264D5D">
              <w:rPr>
                <w:sz w:val="22"/>
                <w:szCs w:val="22"/>
              </w:rPr>
              <w:t xml:space="preserve">Дата, на которую предоставляется информация (отчетная дата). Обязателен для заполнения при указании в элементе «Тип отчета» значения «3». </w:t>
            </w:r>
          </w:p>
          <w:p w14:paraId="62FFC34C" w14:textId="77777777" w:rsidR="00AD1F54" w:rsidRPr="00264D5D" w:rsidRDefault="007E37F3">
            <w:pPr>
              <w:pStyle w:val="EBTablenorm"/>
              <w:ind w:left="57" w:right="57"/>
              <w:contextualSpacing w:val="0"/>
              <w:rPr>
                <w:sz w:val="22"/>
                <w:szCs w:val="22"/>
              </w:rPr>
            </w:pPr>
            <w:r w:rsidRPr="00264D5D">
              <w:rPr>
                <w:color w:val="000000"/>
                <w:sz w:val="22"/>
                <w:szCs w:val="22"/>
              </w:rPr>
              <w:t>В иных случаях не заполняется</w:t>
            </w:r>
          </w:p>
        </w:tc>
      </w:tr>
      <w:tr w:rsidR="00AD1F54" w:rsidRPr="00264D5D" w14:paraId="05A0E600"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776694E" w14:textId="77777777" w:rsidR="00AD1F54" w:rsidRPr="00264D5D" w:rsidRDefault="00941227">
            <w:pPr>
              <w:pStyle w:val="EBTablenorm"/>
              <w:ind w:left="57" w:right="57"/>
              <w:contextualSpacing w:val="0"/>
              <w:rPr>
                <w:sz w:val="22"/>
                <w:szCs w:val="22"/>
              </w:rPr>
            </w:pPr>
            <w:r w:rsidRPr="00264D5D">
              <w:rPr>
                <w:sz w:val="22"/>
                <w:szCs w:val="22"/>
              </w:rPr>
              <w:t>Дата утверждения отчета получателем средств</w:t>
            </w:r>
          </w:p>
        </w:tc>
        <w:tc>
          <w:tcPr>
            <w:tcW w:w="1701" w:type="dxa"/>
          </w:tcPr>
          <w:p w14:paraId="34B29148" w14:textId="77777777" w:rsidR="00AD1F54" w:rsidRPr="00264D5D" w:rsidRDefault="00941227">
            <w:pPr>
              <w:pStyle w:val="EBTablenorm"/>
              <w:ind w:left="57" w:right="57"/>
              <w:contextualSpacing w:val="0"/>
              <w:rPr>
                <w:sz w:val="22"/>
                <w:szCs w:val="22"/>
              </w:rPr>
            </w:pPr>
            <w:r w:rsidRPr="00264D5D">
              <w:rPr>
                <w:sz w:val="22"/>
                <w:szCs w:val="22"/>
              </w:rPr>
              <w:t>FactReportProvide</w:t>
            </w:r>
          </w:p>
        </w:tc>
        <w:tc>
          <w:tcPr>
            <w:tcW w:w="567" w:type="dxa"/>
          </w:tcPr>
          <w:p w14:paraId="417C369F" w14:textId="77777777" w:rsidR="00AD1F54" w:rsidRPr="00264D5D" w:rsidRDefault="00941227">
            <w:pPr>
              <w:pStyle w:val="EBTablenorm"/>
              <w:ind w:left="57" w:right="57"/>
              <w:contextualSpacing w:val="0"/>
              <w:rPr>
                <w:sz w:val="22"/>
                <w:szCs w:val="22"/>
              </w:rPr>
            </w:pPr>
            <w:r w:rsidRPr="00264D5D">
              <w:rPr>
                <w:sz w:val="22"/>
                <w:szCs w:val="22"/>
              </w:rPr>
              <w:t>П</w:t>
            </w:r>
          </w:p>
        </w:tc>
        <w:tc>
          <w:tcPr>
            <w:tcW w:w="1134" w:type="dxa"/>
          </w:tcPr>
          <w:p w14:paraId="554845D5" w14:textId="77777777" w:rsidR="00AD1F54" w:rsidRPr="00264D5D" w:rsidRDefault="00941227">
            <w:pPr>
              <w:pStyle w:val="EBTablenorm"/>
              <w:ind w:left="57" w:right="57"/>
              <w:contextualSpacing w:val="0"/>
              <w:rPr>
                <w:sz w:val="22"/>
                <w:szCs w:val="22"/>
              </w:rPr>
            </w:pPr>
            <w:r w:rsidRPr="00264D5D">
              <w:rPr>
                <w:sz w:val="22"/>
                <w:szCs w:val="22"/>
              </w:rPr>
              <w:t>Date</w:t>
            </w:r>
          </w:p>
        </w:tc>
        <w:tc>
          <w:tcPr>
            <w:tcW w:w="567" w:type="dxa"/>
          </w:tcPr>
          <w:p w14:paraId="50ABCE93"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6A20C134" w14:textId="77777777" w:rsidR="00AD1F54" w:rsidRPr="00264D5D" w:rsidRDefault="00941227">
            <w:pPr>
              <w:pStyle w:val="EBTablenorm"/>
              <w:ind w:left="57" w:right="57"/>
              <w:contextualSpacing w:val="0"/>
              <w:rPr>
                <w:sz w:val="22"/>
                <w:szCs w:val="22"/>
              </w:rPr>
            </w:pPr>
            <w:r w:rsidRPr="00264D5D">
              <w:rPr>
                <w:sz w:val="22"/>
                <w:szCs w:val="22"/>
              </w:rPr>
              <w:t>Дата утверждения отчета получателем средств (фактическая дата пред</w:t>
            </w:r>
            <w:r w:rsidR="007E37F3" w:rsidRPr="00264D5D">
              <w:rPr>
                <w:sz w:val="22"/>
                <w:szCs w:val="22"/>
              </w:rPr>
              <w:t>оставления отчета в адрес ГРБС)</w:t>
            </w:r>
          </w:p>
        </w:tc>
      </w:tr>
      <w:tr w:rsidR="00AD1F54" w:rsidRPr="00264D5D" w14:paraId="260BB588"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8A43604" w14:textId="77777777" w:rsidR="00AD1F54" w:rsidRPr="00264D5D" w:rsidRDefault="00941227">
            <w:pPr>
              <w:pStyle w:val="EBTablenorm"/>
              <w:ind w:left="57" w:right="57"/>
              <w:contextualSpacing w:val="0"/>
              <w:rPr>
                <w:sz w:val="22"/>
                <w:szCs w:val="22"/>
              </w:rPr>
            </w:pPr>
            <w:r w:rsidRPr="00264D5D">
              <w:rPr>
                <w:sz w:val="22"/>
                <w:szCs w:val="22"/>
              </w:rPr>
              <w:t>Версия отчета</w:t>
            </w:r>
          </w:p>
        </w:tc>
        <w:tc>
          <w:tcPr>
            <w:tcW w:w="1701" w:type="dxa"/>
          </w:tcPr>
          <w:p w14:paraId="1EB8EAC8" w14:textId="77777777" w:rsidR="00AD1F54" w:rsidRPr="00264D5D" w:rsidRDefault="00941227">
            <w:pPr>
              <w:pStyle w:val="EBTablenorm"/>
              <w:ind w:left="57" w:right="57"/>
              <w:contextualSpacing w:val="0"/>
              <w:rPr>
                <w:sz w:val="22"/>
                <w:szCs w:val="22"/>
              </w:rPr>
            </w:pPr>
            <w:r w:rsidRPr="00264D5D">
              <w:rPr>
                <w:sz w:val="22"/>
                <w:szCs w:val="22"/>
              </w:rPr>
              <w:t>ReportVersion</w:t>
            </w:r>
          </w:p>
        </w:tc>
        <w:tc>
          <w:tcPr>
            <w:tcW w:w="567" w:type="dxa"/>
          </w:tcPr>
          <w:p w14:paraId="3713BE64" w14:textId="77777777" w:rsidR="00AD1F54" w:rsidRPr="00264D5D" w:rsidRDefault="00941227">
            <w:pPr>
              <w:pStyle w:val="EBTablenorm"/>
              <w:ind w:left="57" w:right="57"/>
              <w:contextualSpacing w:val="0"/>
              <w:rPr>
                <w:sz w:val="22"/>
                <w:szCs w:val="22"/>
              </w:rPr>
            </w:pPr>
            <w:r w:rsidRPr="00264D5D">
              <w:rPr>
                <w:sz w:val="22"/>
                <w:szCs w:val="22"/>
              </w:rPr>
              <w:t>П</w:t>
            </w:r>
          </w:p>
        </w:tc>
        <w:tc>
          <w:tcPr>
            <w:tcW w:w="1134" w:type="dxa"/>
          </w:tcPr>
          <w:p w14:paraId="0B7BE3F7" w14:textId="77777777" w:rsidR="00AD1F54" w:rsidRPr="00264D5D" w:rsidRDefault="00941227">
            <w:pPr>
              <w:pStyle w:val="EBTablenorm"/>
              <w:ind w:left="57" w:right="57"/>
              <w:contextualSpacing w:val="0"/>
              <w:rPr>
                <w:sz w:val="22"/>
                <w:szCs w:val="22"/>
              </w:rPr>
            </w:pPr>
            <w:r w:rsidRPr="00264D5D">
              <w:rPr>
                <w:sz w:val="22"/>
                <w:szCs w:val="22"/>
              </w:rPr>
              <w:t>Т(1-30)</w:t>
            </w:r>
          </w:p>
        </w:tc>
        <w:tc>
          <w:tcPr>
            <w:tcW w:w="567" w:type="dxa"/>
          </w:tcPr>
          <w:p w14:paraId="2AE521D8"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33502E44" w14:textId="77777777" w:rsidR="00AD1F54" w:rsidRPr="00264D5D" w:rsidRDefault="007E37F3">
            <w:pPr>
              <w:pStyle w:val="EBTablenorm"/>
              <w:ind w:left="57" w:right="57"/>
              <w:contextualSpacing w:val="0"/>
              <w:rPr>
                <w:sz w:val="22"/>
                <w:szCs w:val="22"/>
              </w:rPr>
            </w:pPr>
            <w:r w:rsidRPr="00264D5D">
              <w:rPr>
                <w:sz w:val="22"/>
                <w:szCs w:val="22"/>
              </w:rPr>
              <w:t>Указывается версия отчета</w:t>
            </w:r>
          </w:p>
        </w:tc>
      </w:tr>
      <w:tr w:rsidR="00AD1F54" w:rsidRPr="00264D5D" w14:paraId="14800715"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2A3FD92E"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 xml:space="preserve">Расходы, источником финансового обеспечения которых является </w:t>
            </w:r>
            <w:r w:rsidRPr="00264D5D">
              <w:rPr>
                <w:sz w:val="22"/>
                <w:szCs w:val="22"/>
              </w:rPr>
              <w:t>субсидия, бюджетные инвестиции, межбюджетные трансферты</w:t>
            </w:r>
          </w:p>
        </w:tc>
        <w:tc>
          <w:tcPr>
            <w:tcW w:w="1701" w:type="dxa"/>
          </w:tcPr>
          <w:p w14:paraId="6E7B8B15" w14:textId="77777777" w:rsidR="00AD1F54" w:rsidRPr="00264D5D" w:rsidRDefault="00941227">
            <w:pPr>
              <w:pStyle w:val="EBTablenorm"/>
              <w:ind w:left="57" w:right="57"/>
              <w:contextualSpacing w:val="0"/>
              <w:jc w:val="left"/>
              <w:rPr>
                <w:rFonts w:eastAsia="Calibri"/>
                <w:sz w:val="22"/>
                <w:szCs w:val="22"/>
              </w:rPr>
            </w:pPr>
            <w:bookmarkStart w:id="2189" w:name="OLE_LINK251"/>
            <w:bookmarkStart w:id="2190" w:name="OLE_LINK252"/>
            <w:bookmarkStart w:id="2191" w:name="OLE_LINK263"/>
            <w:r w:rsidRPr="00264D5D">
              <w:rPr>
                <w:sz w:val="22"/>
                <w:szCs w:val="22"/>
                <w:lang w:val="en-US"/>
              </w:rPr>
              <w:t>I</w:t>
            </w:r>
            <w:r w:rsidRPr="00264D5D">
              <w:rPr>
                <w:sz w:val="22"/>
                <w:szCs w:val="22"/>
              </w:rPr>
              <w:t>nformationCosts</w:t>
            </w:r>
            <w:bookmarkEnd w:id="2189"/>
            <w:bookmarkEnd w:id="2190"/>
            <w:bookmarkEnd w:id="2191"/>
          </w:p>
        </w:tc>
        <w:tc>
          <w:tcPr>
            <w:tcW w:w="567" w:type="dxa"/>
          </w:tcPr>
          <w:p w14:paraId="14938883" w14:textId="77777777" w:rsidR="00AD1F54" w:rsidRPr="00264D5D" w:rsidRDefault="00941227">
            <w:pPr>
              <w:pStyle w:val="EBTablenorm"/>
              <w:ind w:left="57" w:right="57"/>
              <w:contextualSpacing w:val="0"/>
              <w:jc w:val="center"/>
              <w:rPr>
                <w:sz w:val="22"/>
                <w:szCs w:val="22"/>
              </w:rPr>
            </w:pPr>
            <w:r w:rsidRPr="00264D5D">
              <w:rPr>
                <w:sz w:val="22"/>
                <w:szCs w:val="22"/>
              </w:rPr>
              <w:t>С</w:t>
            </w:r>
          </w:p>
        </w:tc>
        <w:tc>
          <w:tcPr>
            <w:tcW w:w="1134" w:type="dxa"/>
          </w:tcPr>
          <w:p w14:paraId="7AE8C202" w14:textId="77777777" w:rsidR="00AD1F54" w:rsidRPr="00264D5D" w:rsidRDefault="00941227">
            <w:pPr>
              <w:pStyle w:val="EBTablenorm"/>
              <w:ind w:left="57" w:right="57"/>
              <w:contextualSpacing w:val="0"/>
              <w:jc w:val="left"/>
              <w:rPr>
                <w:rFonts w:eastAsia="Calibri"/>
                <w:sz w:val="22"/>
                <w:szCs w:val="22"/>
              </w:rPr>
            </w:pPr>
            <w:bookmarkStart w:id="2192" w:name="OLE_LINK237"/>
            <w:bookmarkStart w:id="2193" w:name="OLE_LINK238"/>
            <w:bookmarkStart w:id="2194" w:name="OLE_LINK243"/>
            <w:r w:rsidRPr="00264D5D">
              <w:rPr>
                <w:sz w:val="22"/>
                <w:szCs w:val="22"/>
              </w:rPr>
              <w:t>tInformationCosts</w:t>
            </w:r>
            <w:bookmarkEnd w:id="2192"/>
            <w:bookmarkEnd w:id="2193"/>
            <w:bookmarkEnd w:id="2194"/>
          </w:p>
        </w:tc>
        <w:tc>
          <w:tcPr>
            <w:tcW w:w="567" w:type="dxa"/>
          </w:tcPr>
          <w:p w14:paraId="4E67BE50" w14:textId="77777777" w:rsidR="00AD1F54" w:rsidRPr="00264D5D" w:rsidRDefault="00941227">
            <w:pPr>
              <w:pStyle w:val="EBTablenorm"/>
              <w:ind w:left="57" w:right="57"/>
              <w:contextualSpacing w:val="0"/>
              <w:jc w:val="center"/>
              <w:rPr>
                <w:rFonts w:eastAsia="Calibri"/>
                <w:sz w:val="22"/>
                <w:szCs w:val="22"/>
              </w:rPr>
            </w:pPr>
            <w:r w:rsidRPr="00264D5D">
              <w:rPr>
                <w:sz w:val="22"/>
                <w:szCs w:val="22"/>
              </w:rPr>
              <w:t>Н</w:t>
            </w:r>
          </w:p>
        </w:tc>
        <w:tc>
          <w:tcPr>
            <w:tcW w:w="3963" w:type="dxa"/>
          </w:tcPr>
          <w:p w14:paraId="7CFCD900" w14:textId="77777777" w:rsidR="00AD1F54" w:rsidRPr="00264D5D" w:rsidRDefault="00941227">
            <w:pPr>
              <w:pStyle w:val="EBTablenorm"/>
              <w:ind w:left="57" w:right="57"/>
              <w:contextualSpacing w:val="0"/>
              <w:rPr>
                <w:sz w:val="22"/>
                <w:szCs w:val="22"/>
              </w:rPr>
            </w:pPr>
            <w:r w:rsidRPr="00264D5D">
              <w:rPr>
                <w:sz w:val="22"/>
                <w:szCs w:val="22"/>
              </w:rPr>
              <w:t xml:space="preserve">Информация об осуществлении расходов, источником финансового обеспечения которых является субсидия, бюджетные инвестиции, межбюджетные трансферты, а также о достижении значений показателей результативности их использования </w:t>
            </w:r>
            <w:r w:rsidRPr="00264D5D">
              <w:rPr>
                <w:bCs/>
                <w:sz w:val="22"/>
                <w:szCs w:val="22"/>
              </w:rPr>
              <w:t xml:space="preserve">(в соответствии с п. 5.26 Порядка). </w:t>
            </w:r>
          </w:p>
          <w:p w14:paraId="0B1DE251" w14:textId="18ADA26E" w:rsidR="00AD1F54" w:rsidRPr="00264D5D" w:rsidRDefault="00941227">
            <w:pPr>
              <w:pStyle w:val="EBTablenorm"/>
              <w:ind w:left="57" w:right="57"/>
              <w:contextualSpacing w:val="0"/>
              <w:rPr>
                <w:rFonts w:eastAsia="Calibri"/>
                <w:sz w:val="22"/>
                <w:szCs w:val="22"/>
              </w:rPr>
            </w:pPr>
            <w:r w:rsidRPr="00264D5D">
              <w:rPr>
                <w:sz w:val="22"/>
                <w:szCs w:val="22"/>
              </w:rPr>
              <w:t>Состав элемента представлен в таблице</w:t>
            </w:r>
            <w:r w:rsidRPr="00264D5D">
              <w:rPr>
                <w:b/>
                <w:sz w:val="22"/>
                <w:szCs w:val="22"/>
              </w:rPr>
              <w:t xml:space="preserve"> </w:t>
            </w:r>
            <w:r w:rsidRPr="00264D5D">
              <w:rPr>
                <w:b/>
                <w:sz w:val="22"/>
                <w:szCs w:val="22"/>
              </w:rPr>
              <w:fldChar w:fldCharType="begin"/>
            </w:r>
            <w:r w:rsidRPr="00264D5D">
              <w:rPr>
                <w:b/>
                <w:sz w:val="22"/>
                <w:szCs w:val="22"/>
              </w:rPr>
              <w:instrText xml:space="preserve"> REF _Ref494721017 \h  \* MERGEFORMAT </w:instrText>
            </w:r>
            <w:r w:rsidRPr="00264D5D">
              <w:rPr>
                <w:b/>
                <w:sz w:val="22"/>
                <w:szCs w:val="22"/>
              </w:rPr>
            </w:r>
            <w:r w:rsidRPr="00264D5D">
              <w:rPr>
                <w:b/>
                <w:sz w:val="22"/>
                <w:szCs w:val="22"/>
              </w:rPr>
              <w:fldChar w:fldCharType="separate"/>
            </w:r>
            <w:r w:rsidR="008D797C" w:rsidRPr="008D797C">
              <w:rPr>
                <w:rFonts w:eastAsia="Calibri"/>
                <w:b/>
                <w:sz w:val="22"/>
                <w:szCs w:val="22"/>
              </w:rPr>
              <w:t>223</w:t>
            </w:r>
            <w:r w:rsidRPr="00264D5D">
              <w:rPr>
                <w:b/>
                <w:sz w:val="22"/>
                <w:szCs w:val="22"/>
              </w:rPr>
              <w:fldChar w:fldCharType="end"/>
            </w:r>
          </w:p>
        </w:tc>
      </w:tr>
      <w:tr w:rsidR="00AD1F54" w:rsidRPr="00264D5D" w14:paraId="40662A98"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E9C7950" w14:textId="77777777" w:rsidR="00AD1F54" w:rsidRPr="00264D5D" w:rsidRDefault="00941227">
            <w:pPr>
              <w:pStyle w:val="EBTablenorm"/>
              <w:ind w:left="57" w:right="57"/>
              <w:contextualSpacing w:val="0"/>
              <w:rPr>
                <w:rFonts w:eastAsia="Calibri"/>
                <w:sz w:val="22"/>
                <w:szCs w:val="22"/>
              </w:rPr>
            </w:pPr>
            <w:bookmarkStart w:id="2195" w:name="_Hlk494722228"/>
            <w:r w:rsidRPr="00264D5D">
              <w:rPr>
                <w:sz w:val="22"/>
                <w:szCs w:val="22"/>
              </w:rPr>
              <w:t>Номер реестровой записи</w:t>
            </w:r>
          </w:p>
        </w:tc>
        <w:tc>
          <w:tcPr>
            <w:tcW w:w="1701" w:type="dxa"/>
          </w:tcPr>
          <w:p w14:paraId="23E6ACE2" w14:textId="77777777" w:rsidR="00AD1F54" w:rsidRPr="00264D5D" w:rsidRDefault="00941227">
            <w:pPr>
              <w:pStyle w:val="EBTablenorm"/>
              <w:ind w:left="57" w:right="57"/>
              <w:contextualSpacing w:val="0"/>
              <w:jc w:val="left"/>
              <w:rPr>
                <w:rFonts w:eastAsia="Calibri"/>
                <w:sz w:val="22"/>
                <w:szCs w:val="22"/>
              </w:rPr>
            </w:pPr>
            <w:bookmarkStart w:id="2196" w:name="OLE_LINK253"/>
            <w:bookmarkStart w:id="2197" w:name="OLE_LINK254"/>
            <w:r w:rsidRPr="00264D5D">
              <w:rPr>
                <w:sz w:val="22"/>
                <w:szCs w:val="22"/>
                <w:lang w:val="en-US"/>
              </w:rPr>
              <w:t>DocRegNum</w:t>
            </w:r>
            <w:bookmarkEnd w:id="2196"/>
            <w:bookmarkEnd w:id="2197"/>
          </w:p>
        </w:tc>
        <w:tc>
          <w:tcPr>
            <w:tcW w:w="567" w:type="dxa"/>
          </w:tcPr>
          <w:p w14:paraId="63832421"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390DF183" w14:textId="77777777" w:rsidR="00AD1F54" w:rsidRPr="00264D5D" w:rsidRDefault="00941227">
            <w:pPr>
              <w:pStyle w:val="EBTablenorm"/>
              <w:ind w:left="57" w:right="57"/>
              <w:contextualSpacing w:val="0"/>
              <w:jc w:val="left"/>
              <w:rPr>
                <w:rFonts w:eastAsia="Calibri"/>
                <w:sz w:val="22"/>
                <w:szCs w:val="22"/>
              </w:rPr>
            </w:pPr>
            <w:r w:rsidRPr="00264D5D">
              <w:rPr>
                <w:sz w:val="22"/>
                <w:szCs w:val="22"/>
              </w:rPr>
              <w:t>Т(11)</w:t>
            </w:r>
          </w:p>
        </w:tc>
        <w:tc>
          <w:tcPr>
            <w:tcW w:w="567" w:type="dxa"/>
          </w:tcPr>
          <w:p w14:paraId="66F6FB2A" w14:textId="77777777" w:rsidR="00AD1F54" w:rsidRPr="00264D5D" w:rsidRDefault="00941227">
            <w:pPr>
              <w:pStyle w:val="EBTablenorm"/>
              <w:ind w:left="57" w:right="57"/>
              <w:contextualSpacing w:val="0"/>
              <w:jc w:val="center"/>
              <w:rPr>
                <w:rFonts w:eastAsia="Calibri"/>
                <w:sz w:val="22"/>
                <w:szCs w:val="22"/>
              </w:rPr>
            </w:pPr>
            <w:r w:rsidRPr="00264D5D">
              <w:rPr>
                <w:sz w:val="22"/>
                <w:szCs w:val="22"/>
              </w:rPr>
              <w:t>О</w:t>
            </w:r>
          </w:p>
        </w:tc>
        <w:tc>
          <w:tcPr>
            <w:tcW w:w="3963" w:type="dxa"/>
          </w:tcPr>
          <w:p w14:paraId="2C0E6C86" w14:textId="77777777" w:rsidR="00AD1F54" w:rsidRPr="00264D5D" w:rsidRDefault="00941227">
            <w:pPr>
              <w:pStyle w:val="EBTablenorm"/>
              <w:ind w:left="57" w:right="57"/>
              <w:contextualSpacing w:val="0"/>
              <w:rPr>
                <w:rFonts w:eastAsia="Calibri"/>
                <w:sz w:val="22"/>
                <w:szCs w:val="22"/>
              </w:rPr>
            </w:pPr>
            <w:r w:rsidRPr="00264D5D">
              <w:rPr>
                <w:sz w:val="22"/>
                <w:szCs w:val="22"/>
              </w:rPr>
              <w:t>Постоянная часть уникального номера реестровой записи в реестре соглашени</w:t>
            </w:r>
            <w:r w:rsidR="007E37F3" w:rsidRPr="00264D5D">
              <w:rPr>
                <w:sz w:val="22"/>
                <w:szCs w:val="22"/>
              </w:rPr>
              <w:t>й, в которую вносятся изменения</w:t>
            </w:r>
          </w:p>
        </w:tc>
      </w:tr>
      <w:tr w:rsidR="00AD1F54" w:rsidRPr="00264D5D" w14:paraId="1DCB5F9C"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2A7CE1DC" w14:textId="77777777" w:rsidR="00AD1F54" w:rsidRPr="00264D5D" w:rsidRDefault="00941227">
            <w:pPr>
              <w:pStyle w:val="EBTablenorm"/>
              <w:ind w:left="57" w:right="57"/>
              <w:contextualSpacing w:val="0"/>
              <w:rPr>
                <w:sz w:val="22"/>
                <w:szCs w:val="22"/>
                <w:lang w:val="en-US"/>
              </w:rPr>
            </w:pPr>
            <w:r w:rsidRPr="00264D5D">
              <w:rPr>
                <w:sz w:val="22"/>
                <w:szCs w:val="22"/>
              </w:rPr>
              <w:t>Уникальный номер реестровой записи</w:t>
            </w:r>
          </w:p>
        </w:tc>
        <w:tc>
          <w:tcPr>
            <w:tcW w:w="1701" w:type="dxa"/>
          </w:tcPr>
          <w:p w14:paraId="13F18A31"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TOFK_RSNum</w:t>
            </w:r>
          </w:p>
        </w:tc>
        <w:tc>
          <w:tcPr>
            <w:tcW w:w="567" w:type="dxa"/>
          </w:tcPr>
          <w:p w14:paraId="344F4867"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60995FA6" w14:textId="77777777" w:rsidR="00AD1F54" w:rsidRPr="00264D5D" w:rsidRDefault="00941227">
            <w:pPr>
              <w:pStyle w:val="EBTablenorm"/>
              <w:ind w:left="57" w:right="57"/>
              <w:contextualSpacing w:val="0"/>
              <w:jc w:val="left"/>
              <w:rPr>
                <w:sz w:val="22"/>
                <w:szCs w:val="22"/>
              </w:rPr>
            </w:pPr>
            <w:r w:rsidRPr="00264D5D">
              <w:rPr>
                <w:sz w:val="22"/>
                <w:szCs w:val="22"/>
              </w:rPr>
              <w:t>Т(14)</w:t>
            </w:r>
          </w:p>
        </w:tc>
        <w:tc>
          <w:tcPr>
            <w:tcW w:w="567" w:type="dxa"/>
          </w:tcPr>
          <w:p w14:paraId="76F74109" w14:textId="77777777" w:rsidR="00AD1F54" w:rsidRPr="00264D5D" w:rsidRDefault="00941227">
            <w:pPr>
              <w:pStyle w:val="EBTablenorm"/>
              <w:ind w:left="57" w:right="57"/>
              <w:contextualSpacing w:val="0"/>
              <w:jc w:val="center"/>
              <w:rPr>
                <w:sz w:val="22"/>
                <w:szCs w:val="22"/>
              </w:rPr>
            </w:pPr>
            <w:r w:rsidRPr="00264D5D">
              <w:rPr>
                <w:sz w:val="22"/>
                <w:szCs w:val="22"/>
              </w:rPr>
              <w:t>Н</w:t>
            </w:r>
          </w:p>
        </w:tc>
        <w:tc>
          <w:tcPr>
            <w:tcW w:w="3963" w:type="dxa"/>
          </w:tcPr>
          <w:p w14:paraId="0686FF64" w14:textId="77777777" w:rsidR="00AD1F54" w:rsidRPr="00264D5D" w:rsidRDefault="00941227">
            <w:pPr>
              <w:pStyle w:val="EBTablenorm"/>
              <w:ind w:left="57" w:right="57"/>
              <w:contextualSpacing w:val="0"/>
              <w:rPr>
                <w:sz w:val="22"/>
                <w:szCs w:val="22"/>
              </w:rPr>
            </w:pPr>
            <w:r w:rsidRPr="00264D5D">
              <w:rPr>
                <w:sz w:val="22"/>
                <w:szCs w:val="22"/>
              </w:rPr>
              <w:t>Уникальный номер реестровой записи, присвоенный при включении Информации об отчетности в реестр соглашений.</w:t>
            </w:r>
          </w:p>
          <w:p w14:paraId="04006265" w14:textId="77777777" w:rsidR="00AD1F54" w:rsidRPr="00264D5D" w:rsidRDefault="007E37F3">
            <w:pPr>
              <w:pStyle w:val="EBTablenorm"/>
              <w:ind w:left="57" w:right="57"/>
              <w:contextualSpacing w:val="0"/>
              <w:rPr>
                <w:sz w:val="22"/>
                <w:szCs w:val="22"/>
              </w:rPr>
            </w:pPr>
            <w:r w:rsidRPr="00264D5D">
              <w:rPr>
                <w:sz w:val="22"/>
                <w:szCs w:val="22"/>
              </w:rPr>
              <w:t>Заполняется в ТОФК</w:t>
            </w:r>
          </w:p>
        </w:tc>
      </w:tr>
      <w:tr w:rsidR="00AD1F54" w:rsidRPr="00264D5D" w14:paraId="03F9E20F"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E1FAFE0" w14:textId="77777777" w:rsidR="00AD1F54" w:rsidRPr="00264D5D" w:rsidRDefault="00941227">
            <w:pPr>
              <w:pStyle w:val="EBTablenorm"/>
              <w:ind w:left="57" w:right="57"/>
              <w:contextualSpacing w:val="0"/>
              <w:rPr>
                <w:sz w:val="22"/>
                <w:szCs w:val="22"/>
              </w:rPr>
            </w:pPr>
            <w:r w:rsidRPr="00264D5D">
              <w:rPr>
                <w:sz w:val="22"/>
                <w:szCs w:val="22"/>
              </w:rPr>
              <w:t>Дата включения в реестр соглашений</w:t>
            </w:r>
          </w:p>
        </w:tc>
        <w:tc>
          <w:tcPr>
            <w:tcW w:w="1701" w:type="dxa"/>
          </w:tcPr>
          <w:p w14:paraId="40AAF3CD"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TOFK_RSDate</w:t>
            </w:r>
          </w:p>
        </w:tc>
        <w:tc>
          <w:tcPr>
            <w:tcW w:w="567" w:type="dxa"/>
          </w:tcPr>
          <w:p w14:paraId="7957C7A0"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37924242" w14:textId="77777777" w:rsidR="00AD1F54" w:rsidRPr="00264D5D" w:rsidRDefault="00941227">
            <w:pPr>
              <w:pStyle w:val="EBTablenorm"/>
              <w:ind w:left="57" w:right="57"/>
              <w:contextualSpacing w:val="0"/>
              <w:jc w:val="left"/>
              <w:rPr>
                <w:sz w:val="22"/>
                <w:szCs w:val="22"/>
              </w:rPr>
            </w:pPr>
            <w:r w:rsidRPr="00264D5D">
              <w:rPr>
                <w:sz w:val="22"/>
                <w:szCs w:val="22"/>
                <w:lang w:val="en-US"/>
              </w:rPr>
              <w:t>Date</w:t>
            </w:r>
          </w:p>
        </w:tc>
        <w:tc>
          <w:tcPr>
            <w:tcW w:w="567" w:type="dxa"/>
          </w:tcPr>
          <w:p w14:paraId="01049EA5" w14:textId="77777777" w:rsidR="00AD1F54" w:rsidRPr="00264D5D" w:rsidRDefault="00941227">
            <w:pPr>
              <w:pStyle w:val="EBTablenorm"/>
              <w:ind w:left="57" w:right="57"/>
              <w:contextualSpacing w:val="0"/>
              <w:jc w:val="center"/>
              <w:rPr>
                <w:sz w:val="22"/>
                <w:szCs w:val="22"/>
              </w:rPr>
            </w:pPr>
            <w:r w:rsidRPr="00264D5D">
              <w:rPr>
                <w:sz w:val="22"/>
                <w:szCs w:val="22"/>
              </w:rPr>
              <w:t>Н</w:t>
            </w:r>
          </w:p>
        </w:tc>
        <w:tc>
          <w:tcPr>
            <w:tcW w:w="3963" w:type="dxa"/>
          </w:tcPr>
          <w:p w14:paraId="2946CA0E" w14:textId="77777777" w:rsidR="00AD1F54" w:rsidRPr="00264D5D" w:rsidRDefault="00941227">
            <w:pPr>
              <w:pStyle w:val="EBTablenorm"/>
              <w:ind w:left="57" w:right="57"/>
              <w:contextualSpacing w:val="0"/>
              <w:rPr>
                <w:sz w:val="22"/>
                <w:szCs w:val="22"/>
              </w:rPr>
            </w:pPr>
            <w:r w:rsidRPr="00264D5D">
              <w:rPr>
                <w:sz w:val="22"/>
                <w:szCs w:val="22"/>
              </w:rPr>
              <w:t>Дата включения Информации об отчетности в реестр соглашений.</w:t>
            </w:r>
          </w:p>
          <w:p w14:paraId="1BC231B6" w14:textId="77777777" w:rsidR="00AD1F54" w:rsidRPr="00264D5D" w:rsidRDefault="007E37F3">
            <w:pPr>
              <w:pStyle w:val="EBTablenorm"/>
              <w:ind w:left="57" w:right="57"/>
              <w:contextualSpacing w:val="0"/>
              <w:rPr>
                <w:sz w:val="22"/>
                <w:szCs w:val="22"/>
              </w:rPr>
            </w:pPr>
            <w:r w:rsidRPr="00264D5D">
              <w:rPr>
                <w:sz w:val="22"/>
                <w:szCs w:val="22"/>
              </w:rPr>
              <w:t>Заполняется в ТОФК</w:t>
            </w:r>
          </w:p>
        </w:tc>
      </w:tr>
      <w:tr w:rsidR="00AD1F54" w:rsidRPr="00264D5D" w14:paraId="5D4D984B"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2462077F" w14:textId="77777777" w:rsidR="00AD1F54" w:rsidRPr="00264D5D" w:rsidRDefault="00941227">
            <w:pPr>
              <w:pStyle w:val="EBTablenorm"/>
              <w:ind w:left="57" w:right="57"/>
              <w:contextualSpacing w:val="0"/>
              <w:rPr>
                <w:sz w:val="22"/>
                <w:szCs w:val="22"/>
              </w:rPr>
            </w:pPr>
            <w:r w:rsidRPr="00264D5D">
              <w:rPr>
                <w:sz w:val="22"/>
                <w:szCs w:val="22"/>
              </w:rPr>
              <w:t xml:space="preserve">Полное </w:t>
            </w:r>
            <w:r w:rsidRPr="00264D5D">
              <w:rPr>
                <w:sz w:val="22"/>
                <w:szCs w:val="22"/>
              </w:rPr>
              <w:lastRenderedPageBreak/>
              <w:t>наименование ГРБС</w:t>
            </w:r>
          </w:p>
        </w:tc>
        <w:tc>
          <w:tcPr>
            <w:tcW w:w="1701" w:type="dxa"/>
          </w:tcPr>
          <w:p w14:paraId="5FC64B25" w14:textId="77777777" w:rsidR="00AD1F54" w:rsidRPr="00264D5D" w:rsidRDefault="00941227">
            <w:pPr>
              <w:pStyle w:val="EBTablenorm"/>
              <w:ind w:left="57" w:right="57"/>
              <w:contextualSpacing w:val="0"/>
              <w:jc w:val="left"/>
              <w:rPr>
                <w:sz w:val="22"/>
                <w:szCs w:val="22"/>
                <w:lang w:val="en-US"/>
              </w:rPr>
            </w:pPr>
            <w:r w:rsidRPr="00264D5D">
              <w:rPr>
                <w:sz w:val="22"/>
                <w:szCs w:val="22"/>
              </w:rPr>
              <w:lastRenderedPageBreak/>
              <w:t>FullName</w:t>
            </w:r>
          </w:p>
        </w:tc>
        <w:tc>
          <w:tcPr>
            <w:tcW w:w="567" w:type="dxa"/>
          </w:tcPr>
          <w:p w14:paraId="553DAEE2"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3A6AED91" w14:textId="77777777" w:rsidR="00AD1F54" w:rsidRPr="00264D5D" w:rsidRDefault="00941227">
            <w:pPr>
              <w:pStyle w:val="EBTablenorm"/>
              <w:ind w:left="57" w:right="57"/>
              <w:contextualSpacing w:val="0"/>
              <w:jc w:val="left"/>
              <w:rPr>
                <w:sz w:val="22"/>
                <w:szCs w:val="22"/>
                <w:lang w:val="en-US"/>
              </w:rPr>
            </w:pPr>
            <w:r w:rsidRPr="00264D5D">
              <w:rPr>
                <w:sz w:val="22"/>
                <w:szCs w:val="22"/>
              </w:rPr>
              <w:t>Т(1-2000)</w:t>
            </w:r>
          </w:p>
        </w:tc>
        <w:tc>
          <w:tcPr>
            <w:tcW w:w="567" w:type="dxa"/>
          </w:tcPr>
          <w:p w14:paraId="3328A8DF"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39E33AA5" w14:textId="77777777" w:rsidR="00AD1F54" w:rsidRPr="00264D5D" w:rsidRDefault="00941227">
            <w:pPr>
              <w:pStyle w:val="EBTablenorm"/>
              <w:ind w:left="57" w:right="57"/>
              <w:contextualSpacing w:val="0"/>
              <w:rPr>
                <w:sz w:val="22"/>
                <w:szCs w:val="22"/>
              </w:rPr>
            </w:pPr>
            <w:r w:rsidRPr="00264D5D">
              <w:rPr>
                <w:sz w:val="22"/>
                <w:szCs w:val="22"/>
              </w:rPr>
              <w:t>Полное наименование ГРБС (в</w:t>
            </w:r>
            <w:r w:rsidR="007E37F3" w:rsidRPr="00264D5D">
              <w:rPr>
                <w:sz w:val="22"/>
                <w:szCs w:val="22"/>
              </w:rPr>
              <w:t xml:space="preserve"> </w:t>
            </w:r>
            <w:r w:rsidR="007E37F3" w:rsidRPr="00264D5D">
              <w:rPr>
                <w:sz w:val="22"/>
                <w:szCs w:val="22"/>
              </w:rPr>
              <w:lastRenderedPageBreak/>
              <w:t>соответствии с п. 5.5 Порядка)</w:t>
            </w:r>
          </w:p>
        </w:tc>
      </w:tr>
      <w:tr w:rsidR="00AD1F54" w:rsidRPr="00264D5D" w14:paraId="1C71E8A8"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4D8529C" w14:textId="77777777" w:rsidR="00AD1F54" w:rsidRPr="00264D5D" w:rsidRDefault="00941227">
            <w:pPr>
              <w:pStyle w:val="EBTablenorm"/>
              <w:ind w:left="57" w:right="57"/>
              <w:contextualSpacing w:val="0"/>
              <w:rPr>
                <w:sz w:val="22"/>
                <w:szCs w:val="22"/>
              </w:rPr>
            </w:pPr>
            <w:r w:rsidRPr="00264D5D">
              <w:rPr>
                <w:sz w:val="22"/>
                <w:szCs w:val="22"/>
              </w:rPr>
              <w:lastRenderedPageBreak/>
              <w:t>Код ГРБС по Сводному реестру</w:t>
            </w:r>
          </w:p>
        </w:tc>
        <w:tc>
          <w:tcPr>
            <w:tcW w:w="1701" w:type="dxa"/>
          </w:tcPr>
          <w:p w14:paraId="79E5EA95" w14:textId="77777777" w:rsidR="00AD1F54" w:rsidRPr="00264D5D" w:rsidRDefault="00941227">
            <w:pPr>
              <w:pStyle w:val="EBTablenorm"/>
              <w:ind w:left="57" w:right="57"/>
              <w:contextualSpacing w:val="0"/>
              <w:jc w:val="left"/>
              <w:rPr>
                <w:sz w:val="22"/>
                <w:szCs w:val="22"/>
                <w:lang w:val="en-US"/>
              </w:rPr>
            </w:pPr>
            <w:bookmarkStart w:id="2198" w:name="OLE_LINK255"/>
            <w:bookmarkStart w:id="2199" w:name="OLE_LINK256"/>
            <w:r w:rsidRPr="00264D5D">
              <w:rPr>
                <w:sz w:val="22"/>
                <w:szCs w:val="22"/>
              </w:rPr>
              <w:t>SRCode</w:t>
            </w:r>
            <w:bookmarkEnd w:id="2198"/>
            <w:bookmarkEnd w:id="2199"/>
          </w:p>
        </w:tc>
        <w:tc>
          <w:tcPr>
            <w:tcW w:w="567" w:type="dxa"/>
          </w:tcPr>
          <w:p w14:paraId="04655403"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3E54B08F" w14:textId="77777777" w:rsidR="00AD1F54" w:rsidRPr="00264D5D" w:rsidRDefault="00941227">
            <w:pPr>
              <w:pStyle w:val="EBTablenorm"/>
              <w:ind w:left="57" w:right="57"/>
              <w:contextualSpacing w:val="0"/>
              <w:jc w:val="left"/>
              <w:rPr>
                <w:sz w:val="22"/>
                <w:szCs w:val="22"/>
              </w:rPr>
            </w:pPr>
            <w:r w:rsidRPr="00264D5D">
              <w:rPr>
                <w:sz w:val="22"/>
                <w:szCs w:val="22"/>
              </w:rPr>
              <w:t>Т(8)</w:t>
            </w:r>
          </w:p>
        </w:tc>
        <w:tc>
          <w:tcPr>
            <w:tcW w:w="567" w:type="dxa"/>
          </w:tcPr>
          <w:p w14:paraId="52064400"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556B9CF9" w14:textId="77777777" w:rsidR="00AD1F54" w:rsidRPr="00264D5D" w:rsidRDefault="00941227">
            <w:pPr>
              <w:pStyle w:val="EBTablenorm"/>
              <w:ind w:left="57" w:right="57"/>
              <w:contextualSpacing w:val="0"/>
              <w:rPr>
                <w:sz w:val="22"/>
                <w:szCs w:val="22"/>
              </w:rPr>
            </w:pPr>
            <w:r w:rsidRPr="00264D5D">
              <w:rPr>
                <w:sz w:val="22"/>
                <w:szCs w:val="22"/>
              </w:rPr>
              <w:t xml:space="preserve">Уникальный код ГРБС по Сводному реестру (в </w:t>
            </w:r>
            <w:r w:rsidR="007E37F3" w:rsidRPr="00264D5D">
              <w:rPr>
                <w:sz w:val="22"/>
                <w:szCs w:val="22"/>
              </w:rPr>
              <w:t>соответствии с п. 5.14 Порядка)</w:t>
            </w:r>
          </w:p>
        </w:tc>
      </w:tr>
      <w:tr w:rsidR="00AD1F54" w:rsidRPr="00264D5D" w14:paraId="7868B3CC"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58F73398" w14:textId="77777777" w:rsidR="00AD1F54" w:rsidRPr="00264D5D" w:rsidRDefault="00941227">
            <w:pPr>
              <w:pStyle w:val="EBTablenorm"/>
              <w:ind w:left="57" w:right="57"/>
              <w:contextualSpacing w:val="0"/>
              <w:rPr>
                <w:sz w:val="22"/>
                <w:szCs w:val="22"/>
              </w:rPr>
            </w:pPr>
            <w:r w:rsidRPr="00264D5D">
              <w:rPr>
                <w:rFonts w:eastAsia="Calibri"/>
                <w:sz w:val="22"/>
                <w:szCs w:val="22"/>
              </w:rPr>
              <w:t>Номер соглашения</w:t>
            </w:r>
          </w:p>
        </w:tc>
        <w:tc>
          <w:tcPr>
            <w:tcW w:w="1701" w:type="dxa"/>
          </w:tcPr>
          <w:p w14:paraId="1E8341C3" w14:textId="77777777" w:rsidR="00AD1F54" w:rsidRPr="00264D5D" w:rsidRDefault="00941227">
            <w:pPr>
              <w:pStyle w:val="EBTablenorm"/>
              <w:ind w:left="57" w:right="57"/>
              <w:contextualSpacing w:val="0"/>
              <w:jc w:val="left"/>
              <w:rPr>
                <w:sz w:val="22"/>
                <w:szCs w:val="22"/>
              </w:rPr>
            </w:pPr>
            <w:r w:rsidRPr="00264D5D">
              <w:rPr>
                <w:rFonts w:eastAsia="Calibri"/>
                <w:sz w:val="22"/>
                <w:szCs w:val="22"/>
              </w:rPr>
              <w:t>AgrNum</w:t>
            </w:r>
          </w:p>
        </w:tc>
        <w:tc>
          <w:tcPr>
            <w:tcW w:w="567" w:type="dxa"/>
          </w:tcPr>
          <w:p w14:paraId="2C7E8CC4"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0DEAF427" w14:textId="77777777" w:rsidR="00AD1F54" w:rsidRPr="00264D5D" w:rsidRDefault="00941227">
            <w:pPr>
              <w:pStyle w:val="EBTablenorm"/>
              <w:ind w:left="57" w:right="57"/>
              <w:contextualSpacing w:val="0"/>
              <w:jc w:val="left"/>
              <w:rPr>
                <w:sz w:val="22"/>
                <w:szCs w:val="22"/>
              </w:rPr>
            </w:pPr>
            <w:r w:rsidRPr="00264D5D">
              <w:rPr>
                <w:rFonts w:eastAsia="Calibri"/>
                <w:sz w:val="22"/>
                <w:szCs w:val="22"/>
              </w:rPr>
              <w:t>Т(1-45)</w:t>
            </w:r>
          </w:p>
        </w:tc>
        <w:tc>
          <w:tcPr>
            <w:tcW w:w="567" w:type="dxa"/>
          </w:tcPr>
          <w:p w14:paraId="09A53172" w14:textId="77777777" w:rsidR="00AD1F54" w:rsidRPr="00264D5D" w:rsidRDefault="00941227">
            <w:pPr>
              <w:pStyle w:val="EBTablenorm"/>
              <w:ind w:left="57" w:right="57"/>
              <w:contextualSpacing w:val="0"/>
              <w:jc w:val="center"/>
              <w:rPr>
                <w:sz w:val="22"/>
                <w:szCs w:val="22"/>
              </w:rPr>
            </w:pPr>
            <w:r w:rsidRPr="00264D5D">
              <w:rPr>
                <w:rFonts w:eastAsia="Calibri"/>
                <w:sz w:val="22"/>
                <w:szCs w:val="22"/>
              </w:rPr>
              <w:t>О</w:t>
            </w:r>
          </w:p>
        </w:tc>
        <w:tc>
          <w:tcPr>
            <w:tcW w:w="3963" w:type="dxa"/>
          </w:tcPr>
          <w:p w14:paraId="21669B83" w14:textId="77777777" w:rsidR="00AD1F54" w:rsidRPr="00264D5D" w:rsidRDefault="00941227">
            <w:pPr>
              <w:pStyle w:val="EBTablenorm"/>
              <w:ind w:left="57" w:right="57"/>
              <w:contextualSpacing w:val="0"/>
              <w:rPr>
                <w:sz w:val="22"/>
                <w:szCs w:val="22"/>
              </w:rPr>
            </w:pPr>
            <w:r w:rsidRPr="00264D5D">
              <w:rPr>
                <w:rFonts w:eastAsia="Calibri"/>
                <w:sz w:val="22"/>
                <w:szCs w:val="22"/>
              </w:rPr>
              <w:t>Указывает</w:t>
            </w:r>
            <w:r w:rsidR="007E37F3" w:rsidRPr="00264D5D">
              <w:rPr>
                <w:rFonts w:eastAsia="Calibri"/>
                <w:sz w:val="22"/>
                <w:szCs w:val="22"/>
              </w:rPr>
              <w:t>ся номер соглашения (договора).</w:t>
            </w:r>
          </w:p>
        </w:tc>
      </w:tr>
      <w:tr w:rsidR="00AD1F54" w:rsidRPr="00264D5D" w14:paraId="3E961BBA"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3C696B0"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Код вида соглашения</w:t>
            </w:r>
          </w:p>
        </w:tc>
        <w:tc>
          <w:tcPr>
            <w:tcW w:w="1701" w:type="dxa"/>
          </w:tcPr>
          <w:p w14:paraId="548FC843" w14:textId="77777777" w:rsidR="00AD1F54" w:rsidRPr="00264D5D" w:rsidRDefault="00941227">
            <w:pPr>
              <w:pStyle w:val="EBTablenorm"/>
              <w:ind w:left="57" w:right="57"/>
              <w:contextualSpacing w:val="0"/>
              <w:jc w:val="left"/>
              <w:rPr>
                <w:rFonts w:eastAsia="Calibri"/>
                <w:sz w:val="22"/>
                <w:szCs w:val="22"/>
              </w:rPr>
            </w:pPr>
            <w:r w:rsidRPr="00264D5D">
              <w:rPr>
                <w:rFonts w:eastAsia="Calibri"/>
                <w:sz w:val="22"/>
                <w:szCs w:val="22"/>
              </w:rPr>
              <w:t xml:space="preserve">AgrCode </w:t>
            </w:r>
          </w:p>
        </w:tc>
        <w:tc>
          <w:tcPr>
            <w:tcW w:w="567" w:type="dxa"/>
          </w:tcPr>
          <w:p w14:paraId="2B028284" w14:textId="77777777" w:rsidR="00AD1F54" w:rsidRPr="00264D5D" w:rsidRDefault="00941227">
            <w:pPr>
              <w:pStyle w:val="EBTablenorm"/>
              <w:ind w:left="57" w:right="57"/>
              <w:contextualSpacing w:val="0"/>
              <w:jc w:val="center"/>
              <w:rPr>
                <w:rFonts w:eastAsia="Calibri"/>
                <w:sz w:val="22"/>
                <w:szCs w:val="22"/>
              </w:rPr>
            </w:pPr>
            <w:r w:rsidRPr="00264D5D">
              <w:rPr>
                <w:rFonts w:eastAsia="Calibri"/>
                <w:sz w:val="22"/>
                <w:szCs w:val="22"/>
              </w:rPr>
              <w:t>П</w:t>
            </w:r>
          </w:p>
        </w:tc>
        <w:tc>
          <w:tcPr>
            <w:tcW w:w="1134" w:type="dxa"/>
          </w:tcPr>
          <w:p w14:paraId="1A55C312" w14:textId="77777777" w:rsidR="00AD1F54" w:rsidRPr="00264D5D" w:rsidRDefault="00941227">
            <w:pPr>
              <w:pStyle w:val="EBTablenorm"/>
              <w:ind w:left="57" w:right="57"/>
              <w:contextualSpacing w:val="0"/>
              <w:jc w:val="left"/>
              <w:rPr>
                <w:rFonts w:eastAsia="Calibri"/>
                <w:sz w:val="22"/>
                <w:szCs w:val="22"/>
              </w:rPr>
            </w:pPr>
            <w:r w:rsidRPr="00264D5D">
              <w:rPr>
                <w:rFonts w:eastAsia="Calibri"/>
                <w:sz w:val="22"/>
                <w:szCs w:val="22"/>
              </w:rPr>
              <w:t>Т(3)</w:t>
            </w:r>
          </w:p>
        </w:tc>
        <w:tc>
          <w:tcPr>
            <w:tcW w:w="567" w:type="dxa"/>
          </w:tcPr>
          <w:p w14:paraId="67293718" w14:textId="77777777" w:rsidR="00AD1F54" w:rsidRPr="00264D5D" w:rsidRDefault="00941227">
            <w:pPr>
              <w:pStyle w:val="EBTablenorm"/>
              <w:ind w:left="57" w:right="57"/>
              <w:contextualSpacing w:val="0"/>
              <w:jc w:val="center"/>
              <w:rPr>
                <w:rFonts w:eastAsia="Calibri"/>
                <w:sz w:val="22"/>
                <w:szCs w:val="22"/>
              </w:rPr>
            </w:pPr>
            <w:r w:rsidRPr="00264D5D">
              <w:rPr>
                <w:rFonts w:eastAsia="Calibri"/>
                <w:sz w:val="22"/>
                <w:szCs w:val="22"/>
              </w:rPr>
              <w:t>О</w:t>
            </w:r>
          </w:p>
        </w:tc>
        <w:tc>
          <w:tcPr>
            <w:tcW w:w="3963" w:type="dxa"/>
          </w:tcPr>
          <w:p w14:paraId="33337E58" w14:textId="77777777" w:rsidR="00AD1F54" w:rsidRPr="00264D5D" w:rsidRDefault="00941227">
            <w:pPr>
              <w:pStyle w:val="EBTablenorm"/>
              <w:ind w:left="57" w:right="57"/>
              <w:contextualSpacing w:val="0"/>
              <w:rPr>
                <w:sz w:val="22"/>
                <w:szCs w:val="22"/>
              </w:rPr>
            </w:pPr>
            <w:r w:rsidRPr="00264D5D">
              <w:rPr>
                <w:sz w:val="22"/>
                <w:szCs w:val="22"/>
              </w:rPr>
              <w:t>Код вида соглашения (договора, нормативного правового акта) в соответствии со справочником видов соглашений (договора, нормативного правового акта).</w:t>
            </w:r>
          </w:p>
          <w:p w14:paraId="5982BBA7" w14:textId="77777777" w:rsidR="00AD1F54" w:rsidRPr="00264D5D" w:rsidRDefault="00941227">
            <w:pPr>
              <w:pStyle w:val="EBTablenorm"/>
              <w:ind w:left="57" w:right="57"/>
              <w:contextualSpacing w:val="0"/>
              <w:rPr>
                <w:sz w:val="22"/>
                <w:szCs w:val="22"/>
              </w:rPr>
            </w:pPr>
            <w:r w:rsidRPr="00264D5D">
              <w:rPr>
                <w:sz w:val="22"/>
                <w:szCs w:val="22"/>
              </w:rPr>
              <w:t>Допустимые значения:</w:t>
            </w:r>
          </w:p>
          <w:p w14:paraId="0765CCAA" w14:textId="77777777" w:rsidR="00AD1F54" w:rsidRPr="00264D5D" w:rsidRDefault="00941227" w:rsidP="00E7460C">
            <w:pPr>
              <w:pStyle w:val="EBTablenorm"/>
              <w:numPr>
                <w:ilvl w:val="0"/>
                <w:numId w:val="108"/>
              </w:numPr>
              <w:ind w:left="284" w:right="57" w:hanging="227"/>
              <w:contextualSpacing w:val="0"/>
              <w:rPr>
                <w:sz w:val="22"/>
                <w:szCs w:val="22"/>
              </w:rPr>
            </w:pPr>
            <w:r w:rsidRPr="00264D5D">
              <w:rPr>
                <w:sz w:val="22"/>
                <w:szCs w:val="22"/>
              </w:rPr>
              <w:t>«011» – Соглашения (договора) о предоставлении субсидий федеральным бюджетным и федеральным автономным учреждениям на финансовое обеспечение выполнения государственного задания на оказание государственных услуг (выполнение работ);</w:t>
            </w:r>
          </w:p>
          <w:p w14:paraId="676944D0" w14:textId="77777777" w:rsidR="00AD1F54" w:rsidRPr="00264D5D" w:rsidRDefault="00941227" w:rsidP="00E7460C">
            <w:pPr>
              <w:pStyle w:val="EBTablenorm"/>
              <w:numPr>
                <w:ilvl w:val="0"/>
                <w:numId w:val="108"/>
              </w:numPr>
              <w:ind w:left="284" w:right="57" w:hanging="227"/>
              <w:contextualSpacing w:val="0"/>
              <w:rPr>
                <w:sz w:val="22"/>
                <w:szCs w:val="22"/>
              </w:rPr>
            </w:pPr>
            <w:r w:rsidRPr="00264D5D">
              <w:rPr>
                <w:sz w:val="22"/>
                <w:szCs w:val="22"/>
              </w:rPr>
              <w:t>«012» – Соглашения (договора) о предоставлении субсидий федеральным бюджетным и федеральным автономным учреждениям на иные цели, в том числе грантов;</w:t>
            </w:r>
          </w:p>
          <w:p w14:paraId="4C81BC19" w14:textId="77777777" w:rsidR="00AD1F54" w:rsidRPr="00264D5D" w:rsidRDefault="00941227" w:rsidP="00E7460C">
            <w:pPr>
              <w:pStyle w:val="EBTablenorm"/>
              <w:numPr>
                <w:ilvl w:val="0"/>
                <w:numId w:val="108"/>
              </w:numPr>
              <w:ind w:left="284" w:right="57" w:hanging="227"/>
              <w:contextualSpacing w:val="0"/>
              <w:rPr>
                <w:sz w:val="22"/>
                <w:szCs w:val="22"/>
              </w:rPr>
            </w:pPr>
            <w:r w:rsidRPr="00264D5D">
              <w:rPr>
                <w:sz w:val="22"/>
                <w:szCs w:val="22"/>
              </w:rPr>
              <w:t>«013» – Соглашения (договора) о предоставлении субсидий федеральным бюджетным и федеральным автономным учреждениям, федеральным государственным унитарным предприятиям на осуществление капитальных вложений в объекты капитального строительства государственной собственности Российской Федерации и на приобретение объектов недвижимого имущества в государственную собственность Российской Федерации;</w:t>
            </w:r>
          </w:p>
          <w:p w14:paraId="2819F170" w14:textId="77777777" w:rsidR="00AD1F54" w:rsidRPr="00264D5D" w:rsidRDefault="00941227" w:rsidP="00E7460C">
            <w:pPr>
              <w:pStyle w:val="EBTablenorm"/>
              <w:numPr>
                <w:ilvl w:val="0"/>
                <w:numId w:val="108"/>
              </w:numPr>
              <w:ind w:left="284" w:right="57" w:hanging="227"/>
              <w:contextualSpacing w:val="0"/>
              <w:rPr>
                <w:sz w:val="22"/>
                <w:szCs w:val="22"/>
              </w:rPr>
            </w:pPr>
            <w:r w:rsidRPr="00264D5D">
              <w:rPr>
                <w:sz w:val="22"/>
                <w:szCs w:val="22"/>
              </w:rPr>
              <w:t xml:space="preserve">«014» – Соглашения (договора) о </w:t>
            </w:r>
            <w:r w:rsidRPr="00264D5D">
              <w:rPr>
                <w:sz w:val="22"/>
                <w:szCs w:val="22"/>
              </w:rPr>
              <w:lastRenderedPageBreak/>
              <w:t>предоставлении субсидий иным некоммерческим организациям, не являющимся федеральными государственными учреждениями;</w:t>
            </w:r>
          </w:p>
          <w:p w14:paraId="06500DD0" w14:textId="77777777" w:rsidR="00AD1F54" w:rsidRPr="00264D5D" w:rsidRDefault="00941227" w:rsidP="00E7460C">
            <w:pPr>
              <w:pStyle w:val="EBTablenorm"/>
              <w:numPr>
                <w:ilvl w:val="0"/>
                <w:numId w:val="108"/>
              </w:numPr>
              <w:ind w:left="284" w:right="57" w:hanging="227"/>
              <w:contextualSpacing w:val="0"/>
              <w:rPr>
                <w:sz w:val="22"/>
                <w:szCs w:val="22"/>
              </w:rPr>
            </w:pPr>
            <w:r w:rsidRPr="00264D5D">
              <w:rPr>
                <w:sz w:val="22"/>
                <w:szCs w:val="22"/>
              </w:rPr>
              <w:t>«015» – Соглашения (договора) о предоставлении субсидий юридическим лицам (за исключением федеральных государственных учреждений), индивидуальным предпринимателям, физическим лицам – производителям товаров, работ, услуг, в том числе грантов;</w:t>
            </w:r>
          </w:p>
          <w:p w14:paraId="482E99E9" w14:textId="77777777" w:rsidR="00AD1F54" w:rsidRPr="00264D5D" w:rsidRDefault="00941227" w:rsidP="00E7460C">
            <w:pPr>
              <w:pStyle w:val="EBTablenorm"/>
              <w:numPr>
                <w:ilvl w:val="0"/>
                <w:numId w:val="108"/>
              </w:numPr>
              <w:ind w:left="284" w:right="57" w:hanging="227"/>
              <w:contextualSpacing w:val="0"/>
              <w:rPr>
                <w:sz w:val="22"/>
                <w:szCs w:val="22"/>
              </w:rPr>
            </w:pPr>
            <w:r w:rsidRPr="00264D5D">
              <w:rPr>
                <w:sz w:val="22"/>
                <w:szCs w:val="22"/>
              </w:rPr>
              <w:t>«016» – Соглашения (договора) о предоставлении бюджетных инвестиций юридическим лицам, не являющимся федеральными государственными учреждениями и федеральными государственными унитарными предприятиями;</w:t>
            </w:r>
          </w:p>
          <w:p w14:paraId="3ED36612" w14:textId="77777777" w:rsidR="00AD1F54" w:rsidRPr="00264D5D" w:rsidRDefault="00941227" w:rsidP="00E7460C">
            <w:pPr>
              <w:pStyle w:val="EBTablenorm"/>
              <w:numPr>
                <w:ilvl w:val="0"/>
                <w:numId w:val="108"/>
              </w:numPr>
              <w:ind w:left="284" w:right="57" w:hanging="227"/>
              <w:contextualSpacing w:val="0"/>
              <w:rPr>
                <w:sz w:val="22"/>
                <w:szCs w:val="22"/>
              </w:rPr>
            </w:pPr>
            <w:r w:rsidRPr="00264D5D">
              <w:rPr>
                <w:sz w:val="22"/>
                <w:szCs w:val="22"/>
              </w:rPr>
              <w:t>«020» – Соглашения (договора) о предоставлении субсидии, полученной из федерального бюджета, третьим лицам на конкурсной основе;</w:t>
            </w:r>
          </w:p>
          <w:p w14:paraId="4EFFA5FE" w14:textId="77777777" w:rsidR="00AD1F54" w:rsidRPr="00264D5D" w:rsidRDefault="00941227" w:rsidP="00E7460C">
            <w:pPr>
              <w:pStyle w:val="EBTablenorm"/>
              <w:numPr>
                <w:ilvl w:val="0"/>
                <w:numId w:val="108"/>
              </w:numPr>
              <w:ind w:left="284" w:right="57" w:hanging="227"/>
              <w:contextualSpacing w:val="0"/>
              <w:rPr>
                <w:sz w:val="22"/>
                <w:szCs w:val="22"/>
              </w:rPr>
            </w:pPr>
            <w:r w:rsidRPr="00264D5D">
              <w:rPr>
                <w:sz w:val="22"/>
                <w:szCs w:val="22"/>
              </w:rPr>
              <w:t>«031» – Соглашения о предоставлении субсидий бюджетам субъектов Российской Федерации;</w:t>
            </w:r>
          </w:p>
          <w:p w14:paraId="408FD8DD" w14:textId="77777777" w:rsidR="00AD1F54" w:rsidRPr="00264D5D" w:rsidRDefault="00941227" w:rsidP="00E7460C">
            <w:pPr>
              <w:pStyle w:val="EBTablenorm"/>
              <w:numPr>
                <w:ilvl w:val="0"/>
                <w:numId w:val="108"/>
              </w:numPr>
              <w:ind w:left="284" w:right="57" w:hanging="227"/>
              <w:contextualSpacing w:val="0"/>
              <w:rPr>
                <w:sz w:val="22"/>
                <w:szCs w:val="22"/>
              </w:rPr>
            </w:pPr>
            <w:r w:rsidRPr="00264D5D">
              <w:rPr>
                <w:sz w:val="22"/>
                <w:szCs w:val="22"/>
              </w:rPr>
              <w:t>«032» – Соглашения о предоставлении субвенций бюджетам субъектов Российской Федерации;</w:t>
            </w:r>
          </w:p>
          <w:p w14:paraId="697F7D16" w14:textId="77777777" w:rsidR="00AD1F54" w:rsidRPr="00264D5D" w:rsidRDefault="00941227" w:rsidP="00E7460C">
            <w:pPr>
              <w:pStyle w:val="EBTablenorm"/>
              <w:numPr>
                <w:ilvl w:val="0"/>
                <w:numId w:val="108"/>
              </w:numPr>
              <w:ind w:left="284" w:right="57" w:hanging="227"/>
              <w:contextualSpacing w:val="0"/>
              <w:rPr>
                <w:sz w:val="22"/>
                <w:szCs w:val="22"/>
              </w:rPr>
            </w:pPr>
            <w:r w:rsidRPr="00264D5D">
              <w:rPr>
                <w:sz w:val="22"/>
                <w:szCs w:val="22"/>
              </w:rPr>
              <w:t>«033» – Соглашения о предоставлении иных межбюджетных трансфертов, имеющих целевое назначение, бюджетам субъектов Российской Федерации;</w:t>
            </w:r>
          </w:p>
          <w:p w14:paraId="5AEE96EC" w14:textId="77777777" w:rsidR="00AD1F54" w:rsidRPr="00264D5D" w:rsidRDefault="00941227" w:rsidP="00E7460C">
            <w:pPr>
              <w:pStyle w:val="EBTablenorm"/>
              <w:numPr>
                <w:ilvl w:val="0"/>
                <w:numId w:val="108"/>
              </w:numPr>
              <w:ind w:left="284" w:right="57" w:hanging="227"/>
              <w:contextualSpacing w:val="0"/>
              <w:rPr>
                <w:sz w:val="22"/>
                <w:szCs w:val="22"/>
              </w:rPr>
            </w:pPr>
            <w:r w:rsidRPr="00264D5D">
              <w:rPr>
                <w:sz w:val="22"/>
                <w:szCs w:val="22"/>
              </w:rPr>
              <w:t>«041» – Правовые акты о предоставлении субсидий федеральным бюджетным и федеральным автономным учреждениям на финансовое обеспечение выполнения государственного задания на оказание государственных услуг (выполнение работ);</w:t>
            </w:r>
          </w:p>
          <w:p w14:paraId="0E20C516" w14:textId="77777777" w:rsidR="00AD1F54" w:rsidRPr="00264D5D" w:rsidRDefault="00941227" w:rsidP="00E7460C">
            <w:pPr>
              <w:pStyle w:val="EBTablenorm"/>
              <w:numPr>
                <w:ilvl w:val="0"/>
                <w:numId w:val="108"/>
              </w:numPr>
              <w:ind w:left="284" w:right="57" w:hanging="227"/>
              <w:contextualSpacing w:val="0"/>
              <w:rPr>
                <w:sz w:val="22"/>
                <w:szCs w:val="22"/>
              </w:rPr>
            </w:pPr>
            <w:r w:rsidRPr="00264D5D">
              <w:rPr>
                <w:sz w:val="22"/>
                <w:szCs w:val="22"/>
              </w:rPr>
              <w:t xml:space="preserve">«042» – Правовые акты о </w:t>
            </w:r>
            <w:r w:rsidRPr="00264D5D">
              <w:rPr>
                <w:sz w:val="22"/>
                <w:szCs w:val="22"/>
              </w:rPr>
              <w:lastRenderedPageBreak/>
              <w:t>предоставлении субсидий федеральным бюджетным и федеральным автономным учреждениям на иные цели, в том числе грантов;</w:t>
            </w:r>
          </w:p>
          <w:p w14:paraId="1A359F4E" w14:textId="77777777" w:rsidR="00AD1F54" w:rsidRPr="00264D5D" w:rsidRDefault="00941227" w:rsidP="00E7460C">
            <w:pPr>
              <w:pStyle w:val="EBTablenorm"/>
              <w:numPr>
                <w:ilvl w:val="0"/>
                <w:numId w:val="108"/>
              </w:numPr>
              <w:ind w:left="284" w:right="57" w:hanging="227"/>
              <w:contextualSpacing w:val="0"/>
              <w:rPr>
                <w:sz w:val="22"/>
                <w:szCs w:val="22"/>
              </w:rPr>
            </w:pPr>
            <w:r w:rsidRPr="00264D5D">
              <w:rPr>
                <w:sz w:val="22"/>
                <w:szCs w:val="22"/>
              </w:rPr>
              <w:t>«043» – Правовые акты о предоставлении субсидий федеральным бюджетным и федеральным автономным учреждениям, федеральным государственным унитарным предприятиям на осуществление капитальных вложений в объекты капитального строительства государственной собственности Российской Федерации и на приобретение объектов недвижимого имущества в государственную собственность Российской Федерации;</w:t>
            </w:r>
          </w:p>
          <w:p w14:paraId="162D43A9" w14:textId="77777777" w:rsidR="00AD1F54" w:rsidRPr="00264D5D" w:rsidRDefault="00941227" w:rsidP="00E7460C">
            <w:pPr>
              <w:pStyle w:val="EBTablenorm"/>
              <w:numPr>
                <w:ilvl w:val="0"/>
                <w:numId w:val="108"/>
              </w:numPr>
              <w:ind w:left="284" w:right="57" w:hanging="227"/>
              <w:contextualSpacing w:val="0"/>
              <w:rPr>
                <w:sz w:val="22"/>
                <w:szCs w:val="22"/>
              </w:rPr>
            </w:pPr>
            <w:r w:rsidRPr="00264D5D">
              <w:rPr>
                <w:sz w:val="22"/>
                <w:szCs w:val="22"/>
              </w:rPr>
              <w:t>«044» – Нормативные правовые акты о предоставлении субсидий бюджетам субъектов Российской Федерации;</w:t>
            </w:r>
          </w:p>
          <w:p w14:paraId="61897971" w14:textId="77777777" w:rsidR="00AD1F54" w:rsidRPr="00264D5D" w:rsidRDefault="00941227" w:rsidP="00E7460C">
            <w:pPr>
              <w:pStyle w:val="EBTablenorm"/>
              <w:numPr>
                <w:ilvl w:val="0"/>
                <w:numId w:val="108"/>
              </w:numPr>
              <w:ind w:left="284" w:right="57" w:hanging="227"/>
              <w:contextualSpacing w:val="0"/>
              <w:rPr>
                <w:sz w:val="22"/>
                <w:szCs w:val="22"/>
              </w:rPr>
            </w:pPr>
            <w:r w:rsidRPr="00264D5D">
              <w:rPr>
                <w:sz w:val="22"/>
                <w:szCs w:val="22"/>
              </w:rPr>
              <w:t>«045» – Нормативные правовые акты о предоставлении субвенций бюджетам субъектов Российской Федерации;</w:t>
            </w:r>
          </w:p>
          <w:p w14:paraId="7204D617" w14:textId="77777777" w:rsidR="00AD1F54" w:rsidRPr="00264D5D" w:rsidRDefault="00941227" w:rsidP="00E7460C">
            <w:pPr>
              <w:pStyle w:val="EBTablenorm"/>
              <w:numPr>
                <w:ilvl w:val="0"/>
                <w:numId w:val="108"/>
              </w:numPr>
              <w:ind w:left="284" w:right="57" w:hanging="227"/>
              <w:contextualSpacing w:val="0"/>
              <w:rPr>
                <w:rFonts w:eastAsia="Calibri"/>
                <w:sz w:val="22"/>
                <w:szCs w:val="22"/>
              </w:rPr>
            </w:pPr>
            <w:r w:rsidRPr="00264D5D">
              <w:rPr>
                <w:sz w:val="22"/>
                <w:szCs w:val="22"/>
              </w:rPr>
              <w:t>«046» – Нормативные правовые акты о предоставлении иных межбюджетных трансфертов, имеющих целевое назначение, бюджетам</w:t>
            </w:r>
            <w:r w:rsidR="007E37F3" w:rsidRPr="00264D5D">
              <w:rPr>
                <w:sz w:val="22"/>
                <w:szCs w:val="22"/>
              </w:rPr>
              <w:t xml:space="preserve"> субъектов Российской Федерации</w:t>
            </w:r>
          </w:p>
        </w:tc>
      </w:tr>
      <w:tr w:rsidR="00AD1F54" w:rsidRPr="00264D5D" w14:paraId="585A1573"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FB293A7"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lastRenderedPageBreak/>
              <w:t>Дата заключения соглашения</w:t>
            </w:r>
          </w:p>
        </w:tc>
        <w:tc>
          <w:tcPr>
            <w:tcW w:w="1701" w:type="dxa"/>
          </w:tcPr>
          <w:p w14:paraId="20D7226B" w14:textId="77777777" w:rsidR="00AD1F54" w:rsidRPr="00264D5D" w:rsidRDefault="00941227">
            <w:pPr>
              <w:pStyle w:val="EBTablenorm"/>
              <w:ind w:left="57" w:right="57"/>
              <w:contextualSpacing w:val="0"/>
              <w:jc w:val="left"/>
              <w:rPr>
                <w:rFonts w:eastAsia="Calibri"/>
                <w:sz w:val="22"/>
                <w:szCs w:val="22"/>
              </w:rPr>
            </w:pPr>
            <w:bookmarkStart w:id="2200" w:name="OLE_LINK227"/>
            <w:r w:rsidRPr="00264D5D">
              <w:rPr>
                <w:rFonts w:eastAsia="Calibri"/>
                <w:sz w:val="22"/>
                <w:szCs w:val="22"/>
              </w:rPr>
              <w:t>AgrCnclDate</w:t>
            </w:r>
            <w:bookmarkEnd w:id="2200"/>
          </w:p>
        </w:tc>
        <w:tc>
          <w:tcPr>
            <w:tcW w:w="567" w:type="dxa"/>
          </w:tcPr>
          <w:p w14:paraId="785037E9"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387DEC11" w14:textId="77777777" w:rsidR="00AD1F54" w:rsidRPr="00264D5D" w:rsidRDefault="00941227">
            <w:pPr>
              <w:pStyle w:val="EBTablenorm"/>
              <w:ind w:left="57" w:right="57"/>
              <w:contextualSpacing w:val="0"/>
              <w:jc w:val="left"/>
              <w:rPr>
                <w:rFonts w:eastAsia="Calibri"/>
                <w:sz w:val="22"/>
                <w:szCs w:val="22"/>
              </w:rPr>
            </w:pPr>
            <w:r w:rsidRPr="00264D5D">
              <w:rPr>
                <w:rFonts w:eastAsia="Calibri"/>
                <w:sz w:val="22"/>
                <w:szCs w:val="22"/>
              </w:rPr>
              <w:t>Date</w:t>
            </w:r>
          </w:p>
        </w:tc>
        <w:tc>
          <w:tcPr>
            <w:tcW w:w="567" w:type="dxa"/>
          </w:tcPr>
          <w:p w14:paraId="51D61CEB" w14:textId="77777777" w:rsidR="00AD1F54" w:rsidRPr="00264D5D" w:rsidRDefault="00941227">
            <w:pPr>
              <w:pStyle w:val="EBTablenorm"/>
              <w:ind w:left="57" w:right="57"/>
              <w:contextualSpacing w:val="0"/>
              <w:jc w:val="center"/>
              <w:rPr>
                <w:rFonts w:eastAsia="Calibri"/>
                <w:sz w:val="22"/>
                <w:szCs w:val="22"/>
              </w:rPr>
            </w:pPr>
            <w:r w:rsidRPr="00264D5D">
              <w:rPr>
                <w:rFonts w:eastAsia="Calibri"/>
                <w:sz w:val="22"/>
                <w:szCs w:val="22"/>
              </w:rPr>
              <w:t>О</w:t>
            </w:r>
          </w:p>
        </w:tc>
        <w:tc>
          <w:tcPr>
            <w:tcW w:w="3963" w:type="dxa"/>
          </w:tcPr>
          <w:p w14:paraId="1E204DEC" w14:textId="77777777" w:rsidR="00AD1F54" w:rsidRPr="00264D5D" w:rsidRDefault="00941227">
            <w:pPr>
              <w:pStyle w:val="EBTablenorm"/>
              <w:ind w:left="57" w:right="57"/>
              <w:contextualSpacing w:val="0"/>
              <w:rPr>
                <w:rFonts w:eastAsia="Calibri"/>
                <w:sz w:val="22"/>
                <w:szCs w:val="22"/>
              </w:rPr>
            </w:pPr>
            <w:r w:rsidRPr="00264D5D">
              <w:rPr>
                <w:rFonts w:eastAsia="Calibri"/>
                <w:sz w:val="22"/>
                <w:szCs w:val="22"/>
              </w:rPr>
              <w:t>Указывается дата заключения соглаш</w:t>
            </w:r>
            <w:r w:rsidR="007E37F3" w:rsidRPr="00264D5D">
              <w:rPr>
                <w:rFonts w:eastAsia="Calibri"/>
                <w:sz w:val="22"/>
                <w:szCs w:val="22"/>
              </w:rPr>
              <w:t>ения (договора)</w:t>
            </w:r>
          </w:p>
        </w:tc>
      </w:tr>
    </w:tbl>
    <w:p w14:paraId="12F5B7E5" w14:textId="77777777" w:rsidR="00AD1F54" w:rsidRPr="00264D5D" w:rsidRDefault="00941227">
      <w:pPr>
        <w:pStyle w:val="31"/>
      </w:pPr>
      <w:bookmarkStart w:id="2201" w:name="_Toc531792796"/>
      <w:bookmarkStart w:id="2202" w:name="_Toc531799814"/>
      <w:bookmarkStart w:id="2203" w:name="_Toc532204857"/>
      <w:bookmarkStart w:id="2204" w:name="_Toc532217227"/>
      <w:bookmarkStart w:id="2205" w:name="_Toc496984060"/>
      <w:bookmarkStart w:id="2206" w:name="_Toc219309688"/>
      <w:bookmarkEnd w:id="2195"/>
      <w:bookmarkEnd w:id="2201"/>
      <w:bookmarkEnd w:id="2202"/>
      <w:bookmarkEnd w:id="2203"/>
      <w:bookmarkEnd w:id="2204"/>
      <w:r w:rsidRPr="00264D5D">
        <w:t>Описание комплексного типа «</w:t>
      </w:r>
      <w:bookmarkStart w:id="2207" w:name="OLE_LINK208"/>
      <w:bookmarkStart w:id="2208" w:name="OLE_LINK209"/>
      <w:r w:rsidRPr="00264D5D">
        <w:t>tInformationCosts</w:t>
      </w:r>
      <w:bookmarkEnd w:id="2207"/>
      <w:bookmarkEnd w:id="2208"/>
      <w:r w:rsidRPr="00264D5D">
        <w:t>»</w:t>
      </w:r>
      <w:bookmarkEnd w:id="2205"/>
      <w:bookmarkEnd w:id="2206"/>
    </w:p>
    <w:p w14:paraId="779C7ADE" w14:textId="77777777" w:rsidR="00AD1F54" w:rsidRPr="00264D5D" w:rsidRDefault="00941227">
      <w:pPr>
        <w:spacing w:before="60" w:after="120"/>
        <w:ind w:firstLine="567"/>
        <w:rPr>
          <w:szCs w:val="24"/>
        </w:rPr>
      </w:pPr>
      <w:r w:rsidRPr="00264D5D">
        <w:rPr>
          <w:szCs w:val="24"/>
        </w:rPr>
        <w:t>Описание комплексного типа «tInformationCosts» блока «Информация об осуществлении расходов, источником финансового обеспечения которых является субсидия, бюджетные инвестиции, межбюджетные трансферты, а также о достижении значений показателей результативности их использования».</w:t>
      </w:r>
    </w:p>
    <w:p w14:paraId="49229D12" w14:textId="4F276AD3" w:rsidR="00AD1F54" w:rsidRPr="00264D5D" w:rsidRDefault="00941227">
      <w:pPr>
        <w:pStyle w:val="GOSTNameTable"/>
        <w:numPr>
          <w:ilvl w:val="0"/>
          <w:numId w:val="2"/>
        </w:numPr>
        <w:ind w:left="425" w:hanging="357"/>
        <w:rPr>
          <w:rFonts w:eastAsia="Calibri"/>
          <w:szCs w:val="24"/>
        </w:rPr>
      </w:pPr>
      <w:r w:rsidRPr="00264D5D">
        <w:rPr>
          <w:rFonts w:eastAsia="Calibri"/>
          <w:szCs w:val="24"/>
        </w:rPr>
        <w:lastRenderedPageBreak/>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2209" w:name="_Ref494721017"/>
      <w:bookmarkStart w:id="2210" w:name="_Toc30503402"/>
      <w:bookmarkStart w:id="2211" w:name="_Toc30508000"/>
      <w:bookmarkStart w:id="2212" w:name="_Toc219309253"/>
      <w:r w:rsidR="008D797C">
        <w:rPr>
          <w:rFonts w:eastAsia="Calibri"/>
          <w:noProof/>
          <w:szCs w:val="24"/>
        </w:rPr>
        <w:t>223</w:t>
      </w:r>
      <w:bookmarkEnd w:id="2209"/>
      <w:r w:rsidRPr="00264D5D">
        <w:rPr>
          <w:rFonts w:eastAsia="Calibri"/>
          <w:szCs w:val="24"/>
        </w:rPr>
        <w:fldChar w:fldCharType="end"/>
      </w:r>
      <w:r w:rsidRPr="00264D5D">
        <w:rPr>
          <w:rFonts w:eastAsia="Calibri"/>
          <w:szCs w:val="24"/>
        </w:rPr>
        <w:t xml:space="preserve"> – Описание комплексного типа «tInformationCosts»</w:t>
      </w:r>
      <w:bookmarkEnd w:id="2210"/>
      <w:bookmarkEnd w:id="2211"/>
      <w:bookmarkEnd w:id="2212"/>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29926438"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4FF09048" w14:textId="77777777" w:rsidR="00AD1F54" w:rsidRPr="00264D5D" w:rsidRDefault="00941227">
            <w:pPr>
              <w:pStyle w:val="EBTableHead"/>
              <w:ind w:left="57" w:right="57"/>
              <w:contextualSpacing w:val="0"/>
              <w:rPr>
                <w:sz w:val="22"/>
                <w:szCs w:val="22"/>
              </w:rPr>
            </w:pPr>
            <w:r w:rsidRPr="00264D5D">
              <w:rPr>
                <w:bCs w:val="0"/>
                <w:sz w:val="22"/>
                <w:szCs w:val="22"/>
              </w:rPr>
              <w:t>Наименование элемента</w:t>
            </w:r>
          </w:p>
        </w:tc>
        <w:tc>
          <w:tcPr>
            <w:tcW w:w="1701" w:type="dxa"/>
          </w:tcPr>
          <w:p w14:paraId="5ADC04B4" w14:textId="77777777" w:rsidR="00AD1F54" w:rsidRPr="00264D5D" w:rsidRDefault="00941227">
            <w:pPr>
              <w:pStyle w:val="EBTableHead"/>
              <w:ind w:left="57" w:right="57"/>
              <w:contextualSpacing w:val="0"/>
              <w:rPr>
                <w:sz w:val="22"/>
                <w:szCs w:val="22"/>
              </w:rPr>
            </w:pPr>
            <w:r w:rsidRPr="00264D5D">
              <w:rPr>
                <w:bCs w:val="0"/>
                <w:sz w:val="22"/>
                <w:szCs w:val="22"/>
              </w:rPr>
              <w:t>Сокращенное наименование (код) элемента</w:t>
            </w:r>
          </w:p>
        </w:tc>
        <w:tc>
          <w:tcPr>
            <w:tcW w:w="567" w:type="dxa"/>
          </w:tcPr>
          <w:p w14:paraId="45AD5278" w14:textId="77777777" w:rsidR="00AD1F54" w:rsidRPr="00264D5D" w:rsidRDefault="00941227">
            <w:pPr>
              <w:pStyle w:val="EBTableHead"/>
              <w:ind w:left="57" w:right="57"/>
              <w:contextualSpacing w:val="0"/>
              <w:rPr>
                <w:sz w:val="22"/>
                <w:szCs w:val="22"/>
              </w:rPr>
            </w:pPr>
            <w:r w:rsidRPr="00264D5D">
              <w:rPr>
                <w:bCs w:val="0"/>
                <w:sz w:val="22"/>
                <w:szCs w:val="22"/>
              </w:rPr>
              <w:t>Тип</w:t>
            </w:r>
          </w:p>
        </w:tc>
        <w:tc>
          <w:tcPr>
            <w:tcW w:w="1134" w:type="dxa"/>
          </w:tcPr>
          <w:p w14:paraId="2541A0B5" w14:textId="77777777" w:rsidR="00AD1F54" w:rsidRPr="00264D5D" w:rsidRDefault="00941227">
            <w:pPr>
              <w:pStyle w:val="EBTableHead"/>
              <w:ind w:left="57" w:right="57"/>
              <w:contextualSpacing w:val="0"/>
              <w:rPr>
                <w:sz w:val="22"/>
                <w:szCs w:val="22"/>
              </w:rPr>
            </w:pPr>
            <w:r w:rsidRPr="00264D5D">
              <w:rPr>
                <w:bCs w:val="0"/>
                <w:sz w:val="22"/>
                <w:szCs w:val="22"/>
              </w:rPr>
              <w:t>Формат элемента</w:t>
            </w:r>
          </w:p>
        </w:tc>
        <w:tc>
          <w:tcPr>
            <w:tcW w:w="567" w:type="dxa"/>
          </w:tcPr>
          <w:p w14:paraId="61BF14CC" w14:textId="77777777" w:rsidR="00AD1F54" w:rsidRPr="00264D5D" w:rsidRDefault="00941227">
            <w:pPr>
              <w:spacing w:before="60" w:after="60"/>
              <w:ind w:left="57" w:right="57"/>
              <w:jc w:val="center"/>
              <w:rPr>
                <w:b/>
                <w:bCs/>
                <w:sz w:val="22"/>
                <w:szCs w:val="22"/>
              </w:rPr>
            </w:pPr>
            <w:r w:rsidRPr="00264D5D">
              <w:rPr>
                <w:b/>
                <w:bCs/>
                <w:sz w:val="22"/>
                <w:szCs w:val="22"/>
              </w:rPr>
              <w:t>Обязательность</w:t>
            </w:r>
          </w:p>
        </w:tc>
        <w:tc>
          <w:tcPr>
            <w:tcW w:w="3963" w:type="dxa"/>
          </w:tcPr>
          <w:p w14:paraId="7A8DB62A" w14:textId="77777777" w:rsidR="00AD1F54" w:rsidRPr="00264D5D" w:rsidRDefault="00941227">
            <w:pPr>
              <w:pStyle w:val="EBTableHead"/>
              <w:ind w:left="57" w:right="57"/>
              <w:contextualSpacing w:val="0"/>
              <w:rPr>
                <w:sz w:val="22"/>
                <w:szCs w:val="22"/>
              </w:rPr>
            </w:pPr>
            <w:r w:rsidRPr="00264D5D">
              <w:rPr>
                <w:bCs w:val="0"/>
                <w:sz w:val="22"/>
                <w:szCs w:val="22"/>
              </w:rPr>
              <w:t>Дополнительная информация</w:t>
            </w:r>
          </w:p>
        </w:tc>
      </w:tr>
      <w:tr w:rsidR="00AD1F54" w:rsidRPr="00264D5D" w14:paraId="31C97EB6"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701B6EAA" w14:textId="77777777" w:rsidR="00AD1F54" w:rsidRPr="00264D5D" w:rsidRDefault="00941227">
            <w:pPr>
              <w:pStyle w:val="EBTablenorm"/>
              <w:ind w:left="57" w:right="57"/>
              <w:contextualSpacing w:val="0"/>
              <w:rPr>
                <w:sz w:val="22"/>
                <w:szCs w:val="22"/>
              </w:rPr>
            </w:pPr>
            <w:bookmarkStart w:id="2213" w:name="_Hlk494722440"/>
            <w:r w:rsidRPr="00264D5D">
              <w:rPr>
                <w:sz w:val="22"/>
                <w:szCs w:val="22"/>
              </w:rPr>
              <w:t>Расходы, источником финансового обеспечения которых являются субсидии, бюджетные инвестиции, межбюджетные трансферты</w:t>
            </w:r>
          </w:p>
        </w:tc>
        <w:tc>
          <w:tcPr>
            <w:tcW w:w="1701" w:type="dxa"/>
          </w:tcPr>
          <w:p w14:paraId="6771640B" w14:textId="77777777" w:rsidR="00AD1F54" w:rsidRPr="00264D5D" w:rsidRDefault="00941227">
            <w:pPr>
              <w:pStyle w:val="EBTablenorm"/>
              <w:ind w:left="57" w:right="57"/>
              <w:contextualSpacing w:val="0"/>
              <w:rPr>
                <w:sz w:val="22"/>
                <w:szCs w:val="22"/>
                <w:lang w:val="en-US"/>
              </w:rPr>
            </w:pPr>
            <w:r w:rsidRPr="00264D5D">
              <w:rPr>
                <w:sz w:val="22"/>
                <w:szCs w:val="22"/>
                <w:lang w:val="en-US"/>
              </w:rPr>
              <w:t>CostsCommited</w:t>
            </w:r>
          </w:p>
        </w:tc>
        <w:tc>
          <w:tcPr>
            <w:tcW w:w="567" w:type="dxa"/>
          </w:tcPr>
          <w:p w14:paraId="0417F69B" w14:textId="77777777" w:rsidR="00AD1F54" w:rsidRPr="00264D5D" w:rsidRDefault="00941227">
            <w:pPr>
              <w:pStyle w:val="EBTablenorm"/>
              <w:ind w:left="57" w:right="57"/>
              <w:contextualSpacing w:val="0"/>
              <w:jc w:val="center"/>
              <w:rPr>
                <w:sz w:val="22"/>
                <w:szCs w:val="22"/>
                <w:lang w:val="en-US"/>
              </w:rPr>
            </w:pPr>
            <w:r w:rsidRPr="00264D5D">
              <w:rPr>
                <w:sz w:val="22"/>
                <w:szCs w:val="22"/>
                <w:lang w:val="en-US"/>
              </w:rPr>
              <w:t>С</w:t>
            </w:r>
          </w:p>
        </w:tc>
        <w:tc>
          <w:tcPr>
            <w:tcW w:w="1134" w:type="dxa"/>
          </w:tcPr>
          <w:p w14:paraId="265C4E69"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tCostsCommited</w:t>
            </w:r>
          </w:p>
        </w:tc>
        <w:tc>
          <w:tcPr>
            <w:tcW w:w="567" w:type="dxa"/>
          </w:tcPr>
          <w:p w14:paraId="3E38CB2A" w14:textId="77777777" w:rsidR="00AD1F54" w:rsidRPr="00264D5D" w:rsidRDefault="00941227">
            <w:pPr>
              <w:pStyle w:val="EBTablenorm"/>
              <w:ind w:left="57" w:right="57"/>
              <w:contextualSpacing w:val="0"/>
              <w:jc w:val="center"/>
              <w:rPr>
                <w:sz w:val="22"/>
                <w:szCs w:val="22"/>
                <w:lang w:val="en-US"/>
              </w:rPr>
            </w:pPr>
            <w:r w:rsidRPr="00264D5D">
              <w:rPr>
                <w:sz w:val="22"/>
                <w:szCs w:val="22"/>
                <w:lang w:val="en-US"/>
              </w:rPr>
              <w:t>Н</w:t>
            </w:r>
          </w:p>
        </w:tc>
        <w:tc>
          <w:tcPr>
            <w:tcW w:w="3963" w:type="dxa"/>
          </w:tcPr>
          <w:p w14:paraId="23D6ECDE" w14:textId="77777777" w:rsidR="00AD1F54" w:rsidRPr="00264D5D" w:rsidRDefault="00941227">
            <w:pPr>
              <w:pStyle w:val="EBTablenorm"/>
              <w:ind w:left="57" w:right="57"/>
              <w:contextualSpacing w:val="0"/>
              <w:rPr>
                <w:sz w:val="22"/>
                <w:szCs w:val="22"/>
              </w:rPr>
            </w:pPr>
            <w:r w:rsidRPr="00264D5D">
              <w:rPr>
                <w:sz w:val="22"/>
                <w:szCs w:val="22"/>
              </w:rPr>
              <w:t>Информация об осуществлении расходов, источником финансового обеспечения которых являются субсидии, бюджетные инвестиции, межбюджетные трансферты.</w:t>
            </w:r>
          </w:p>
          <w:p w14:paraId="0749B5A0" w14:textId="6F20DDD9" w:rsidR="00AD1F54" w:rsidRPr="00264D5D" w:rsidRDefault="00941227">
            <w:pPr>
              <w:pStyle w:val="EBTablenorm"/>
              <w:ind w:left="57" w:right="57"/>
              <w:contextualSpacing w:val="0"/>
              <w:rPr>
                <w:sz w:val="22"/>
                <w:szCs w:val="22"/>
              </w:rPr>
            </w:pPr>
            <w:r w:rsidRPr="00264D5D">
              <w:rPr>
                <w:sz w:val="22"/>
                <w:szCs w:val="22"/>
              </w:rPr>
              <w:t>Состав элемента представлен в таблице</w:t>
            </w:r>
            <w:r w:rsidRPr="00264D5D">
              <w:rPr>
                <w:b/>
                <w:sz w:val="22"/>
                <w:szCs w:val="22"/>
              </w:rPr>
              <w:t xml:space="preserve"> </w:t>
            </w:r>
            <w:r w:rsidRPr="00264D5D">
              <w:rPr>
                <w:b/>
                <w:sz w:val="22"/>
                <w:szCs w:val="22"/>
              </w:rPr>
              <w:fldChar w:fldCharType="begin"/>
            </w:r>
            <w:r w:rsidRPr="00264D5D">
              <w:rPr>
                <w:b/>
                <w:sz w:val="22"/>
                <w:szCs w:val="22"/>
              </w:rPr>
              <w:instrText xml:space="preserve"> REF _Ref494721019 \h  \* MERGEFORMAT </w:instrText>
            </w:r>
            <w:r w:rsidRPr="00264D5D">
              <w:rPr>
                <w:b/>
                <w:sz w:val="22"/>
                <w:szCs w:val="22"/>
              </w:rPr>
            </w:r>
            <w:r w:rsidRPr="00264D5D">
              <w:rPr>
                <w:b/>
                <w:sz w:val="22"/>
                <w:szCs w:val="22"/>
              </w:rPr>
              <w:fldChar w:fldCharType="separate"/>
            </w:r>
            <w:r w:rsidR="008D797C" w:rsidRPr="008D797C">
              <w:rPr>
                <w:rFonts w:eastAsia="Calibri"/>
                <w:b/>
                <w:sz w:val="22"/>
                <w:szCs w:val="22"/>
              </w:rPr>
              <w:t>224</w:t>
            </w:r>
            <w:r w:rsidRPr="00264D5D">
              <w:rPr>
                <w:b/>
                <w:sz w:val="22"/>
                <w:szCs w:val="22"/>
              </w:rPr>
              <w:fldChar w:fldCharType="end"/>
            </w:r>
          </w:p>
        </w:tc>
      </w:tr>
      <w:tr w:rsidR="00AD1F54" w:rsidRPr="00264D5D" w14:paraId="30E38B92"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A0EDFD1" w14:textId="77777777" w:rsidR="00AD1F54" w:rsidRPr="00264D5D" w:rsidRDefault="00941227">
            <w:pPr>
              <w:pStyle w:val="EBTablenorm"/>
              <w:ind w:left="57" w:right="57"/>
              <w:contextualSpacing w:val="0"/>
              <w:rPr>
                <w:sz w:val="22"/>
                <w:szCs w:val="22"/>
              </w:rPr>
            </w:pPr>
            <w:r w:rsidRPr="00264D5D">
              <w:rPr>
                <w:sz w:val="22"/>
                <w:szCs w:val="22"/>
              </w:rPr>
              <w:t>Неиспользованные остатки субсидий, бюджетных инвестиций, межбюджетных трансфертов</w:t>
            </w:r>
          </w:p>
        </w:tc>
        <w:tc>
          <w:tcPr>
            <w:tcW w:w="1701" w:type="dxa"/>
          </w:tcPr>
          <w:p w14:paraId="47AD0448" w14:textId="77777777" w:rsidR="00AD1F54" w:rsidRPr="00264D5D" w:rsidRDefault="00941227">
            <w:pPr>
              <w:pStyle w:val="EBTablenorm"/>
              <w:ind w:left="57" w:right="57"/>
              <w:contextualSpacing w:val="0"/>
              <w:rPr>
                <w:sz w:val="22"/>
                <w:szCs w:val="22"/>
                <w:lang w:val="en-US"/>
              </w:rPr>
            </w:pPr>
            <w:r w:rsidRPr="00264D5D">
              <w:rPr>
                <w:sz w:val="22"/>
                <w:szCs w:val="22"/>
                <w:lang w:val="en-US"/>
              </w:rPr>
              <w:t>AmountBalance</w:t>
            </w:r>
          </w:p>
        </w:tc>
        <w:tc>
          <w:tcPr>
            <w:tcW w:w="567" w:type="dxa"/>
          </w:tcPr>
          <w:p w14:paraId="538A1034" w14:textId="77777777" w:rsidR="00AD1F54" w:rsidRPr="00264D5D" w:rsidRDefault="00941227">
            <w:pPr>
              <w:pStyle w:val="EBTablenorm"/>
              <w:ind w:left="57" w:right="57"/>
              <w:contextualSpacing w:val="0"/>
              <w:jc w:val="center"/>
              <w:rPr>
                <w:sz w:val="22"/>
                <w:szCs w:val="22"/>
                <w:lang w:val="en-US"/>
              </w:rPr>
            </w:pPr>
            <w:r w:rsidRPr="00264D5D">
              <w:rPr>
                <w:sz w:val="22"/>
                <w:szCs w:val="22"/>
                <w:lang w:val="en-US"/>
              </w:rPr>
              <w:t>С</w:t>
            </w:r>
          </w:p>
        </w:tc>
        <w:tc>
          <w:tcPr>
            <w:tcW w:w="1134" w:type="dxa"/>
          </w:tcPr>
          <w:p w14:paraId="729C70C1"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tAmountBalance</w:t>
            </w:r>
          </w:p>
        </w:tc>
        <w:tc>
          <w:tcPr>
            <w:tcW w:w="567" w:type="dxa"/>
          </w:tcPr>
          <w:p w14:paraId="769EA275" w14:textId="77777777" w:rsidR="00AD1F54" w:rsidRPr="00264D5D" w:rsidRDefault="00941227">
            <w:pPr>
              <w:pStyle w:val="EBTablenorm"/>
              <w:ind w:left="57" w:right="57"/>
              <w:contextualSpacing w:val="0"/>
              <w:jc w:val="center"/>
              <w:rPr>
                <w:sz w:val="22"/>
                <w:szCs w:val="22"/>
                <w:lang w:val="en-US"/>
              </w:rPr>
            </w:pPr>
            <w:r w:rsidRPr="00264D5D">
              <w:rPr>
                <w:sz w:val="22"/>
                <w:szCs w:val="22"/>
                <w:lang w:val="en-US"/>
              </w:rPr>
              <w:t>Н</w:t>
            </w:r>
          </w:p>
        </w:tc>
        <w:tc>
          <w:tcPr>
            <w:tcW w:w="3963" w:type="dxa"/>
          </w:tcPr>
          <w:p w14:paraId="3ECB5691" w14:textId="77777777" w:rsidR="00AD1F54" w:rsidRPr="00264D5D" w:rsidRDefault="00941227">
            <w:pPr>
              <w:pStyle w:val="EBTablenorm"/>
              <w:ind w:left="57" w:right="57"/>
              <w:contextualSpacing w:val="0"/>
              <w:rPr>
                <w:sz w:val="22"/>
                <w:szCs w:val="22"/>
              </w:rPr>
            </w:pPr>
            <w:r w:rsidRPr="00264D5D">
              <w:rPr>
                <w:sz w:val="22"/>
                <w:szCs w:val="22"/>
              </w:rPr>
              <w:t>Информация о неиспользованных по итогам финансового года остаткам субсидий, бюджетных инвестиций, межбюджетных трансфертов.</w:t>
            </w:r>
          </w:p>
          <w:p w14:paraId="19C4E074" w14:textId="7C6EF466" w:rsidR="00AD1F54" w:rsidRPr="00264D5D" w:rsidRDefault="00941227">
            <w:pPr>
              <w:pStyle w:val="EBTablenorm"/>
              <w:ind w:left="57" w:right="57"/>
              <w:contextualSpacing w:val="0"/>
              <w:rPr>
                <w:sz w:val="22"/>
                <w:szCs w:val="22"/>
              </w:rPr>
            </w:pPr>
            <w:r w:rsidRPr="00264D5D">
              <w:rPr>
                <w:sz w:val="22"/>
                <w:szCs w:val="22"/>
              </w:rPr>
              <w:t>Состав элемента представлен в таблице</w:t>
            </w:r>
            <w:r w:rsidRPr="00264D5D">
              <w:rPr>
                <w:b/>
                <w:sz w:val="22"/>
                <w:szCs w:val="22"/>
              </w:rPr>
              <w:t xml:space="preserve"> </w:t>
            </w:r>
            <w:r w:rsidRPr="00264D5D">
              <w:rPr>
                <w:b/>
                <w:sz w:val="22"/>
                <w:szCs w:val="22"/>
              </w:rPr>
              <w:fldChar w:fldCharType="begin"/>
            </w:r>
            <w:r w:rsidRPr="00264D5D">
              <w:rPr>
                <w:b/>
                <w:sz w:val="22"/>
                <w:szCs w:val="22"/>
              </w:rPr>
              <w:instrText xml:space="preserve"> REF _Ref494721020 \h  \* MERGEFORMAT </w:instrText>
            </w:r>
            <w:r w:rsidRPr="00264D5D">
              <w:rPr>
                <w:b/>
                <w:sz w:val="22"/>
                <w:szCs w:val="22"/>
              </w:rPr>
            </w:r>
            <w:r w:rsidRPr="00264D5D">
              <w:rPr>
                <w:b/>
                <w:sz w:val="22"/>
                <w:szCs w:val="22"/>
              </w:rPr>
              <w:fldChar w:fldCharType="separate"/>
            </w:r>
            <w:r w:rsidR="008D797C" w:rsidRPr="008D797C">
              <w:rPr>
                <w:rFonts w:eastAsia="Calibri"/>
                <w:b/>
                <w:sz w:val="22"/>
                <w:szCs w:val="22"/>
              </w:rPr>
              <w:t>225</w:t>
            </w:r>
            <w:r w:rsidRPr="00264D5D">
              <w:rPr>
                <w:b/>
                <w:sz w:val="22"/>
                <w:szCs w:val="22"/>
              </w:rPr>
              <w:fldChar w:fldCharType="end"/>
            </w:r>
          </w:p>
        </w:tc>
      </w:tr>
      <w:tr w:rsidR="00AD1F54" w:rsidRPr="00264D5D" w14:paraId="6EDC7972"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46E3A2E" w14:textId="77777777" w:rsidR="00AD1F54" w:rsidRPr="00264D5D" w:rsidRDefault="00941227">
            <w:pPr>
              <w:pStyle w:val="EBTablenorm"/>
              <w:ind w:left="57" w:right="57"/>
              <w:contextualSpacing w:val="0"/>
              <w:rPr>
                <w:sz w:val="22"/>
                <w:szCs w:val="22"/>
              </w:rPr>
            </w:pPr>
            <w:r w:rsidRPr="00264D5D">
              <w:rPr>
                <w:sz w:val="22"/>
                <w:szCs w:val="22"/>
              </w:rPr>
              <w:t>Достигнутые значения показателей</w:t>
            </w:r>
          </w:p>
        </w:tc>
        <w:tc>
          <w:tcPr>
            <w:tcW w:w="1701" w:type="dxa"/>
          </w:tcPr>
          <w:p w14:paraId="33BABDE5" w14:textId="77777777" w:rsidR="00AD1F54" w:rsidRPr="00264D5D" w:rsidRDefault="00941227">
            <w:pPr>
              <w:pStyle w:val="EBTablenorm"/>
              <w:ind w:left="57" w:right="57"/>
              <w:contextualSpacing w:val="0"/>
              <w:rPr>
                <w:sz w:val="22"/>
                <w:szCs w:val="22"/>
                <w:lang w:val="en-US"/>
              </w:rPr>
            </w:pPr>
            <w:r w:rsidRPr="00264D5D">
              <w:rPr>
                <w:sz w:val="22"/>
                <w:szCs w:val="22"/>
                <w:lang w:val="en-US"/>
              </w:rPr>
              <w:t>AchievedInds</w:t>
            </w:r>
          </w:p>
        </w:tc>
        <w:tc>
          <w:tcPr>
            <w:tcW w:w="567" w:type="dxa"/>
          </w:tcPr>
          <w:p w14:paraId="1E13C319" w14:textId="77777777" w:rsidR="00AD1F54" w:rsidRPr="00264D5D" w:rsidRDefault="00941227">
            <w:pPr>
              <w:pStyle w:val="EBTablenorm"/>
              <w:ind w:left="57" w:right="57"/>
              <w:contextualSpacing w:val="0"/>
              <w:jc w:val="center"/>
              <w:rPr>
                <w:sz w:val="22"/>
                <w:szCs w:val="22"/>
                <w:lang w:val="en-US"/>
              </w:rPr>
            </w:pPr>
            <w:r w:rsidRPr="00264D5D">
              <w:rPr>
                <w:sz w:val="22"/>
                <w:szCs w:val="22"/>
                <w:lang w:val="en-US"/>
              </w:rPr>
              <w:t>С</w:t>
            </w:r>
          </w:p>
        </w:tc>
        <w:tc>
          <w:tcPr>
            <w:tcW w:w="1134" w:type="dxa"/>
          </w:tcPr>
          <w:p w14:paraId="773065CD"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tAchievedInds</w:t>
            </w:r>
          </w:p>
        </w:tc>
        <w:tc>
          <w:tcPr>
            <w:tcW w:w="567" w:type="dxa"/>
          </w:tcPr>
          <w:p w14:paraId="16BE73DE" w14:textId="77777777" w:rsidR="00AD1F54" w:rsidRPr="00264D5D" w:rsidRDefault="00941227">
            <w:pPr>
              <w:pStyle w:val="EBTablenorm"/>
              <w:ind w:left="57" w:right="57"/>
              <w:contextualSpacing w:val="0"/>
              <w:jc w:val="center"/>
              <w:rPr>
                <w:sz w:val="22"/>
                <w:szCs w:val="22"/>
                <w:lang w:val="en-US"/>
              </w:rPr>
            </w:pPr>
            <w:r w:rsidRPr="00264D5D">
              <w:rPr>
                <w:sz w:val="22"/>
                <w:szCs w:val="22"/>
                <w:lang w:val="en-US"/>
              </w:rPr>
              <w:t>Н</w:t>
            </w:r>
          </w:p>
        </w:tc>
        <w:tc>
          <w:tcPr>
            <w:tcW w:w="3963" w:type="dxa"/>
          </w:tcPr>
          <w:p w14:paraId="236FD202" w14:textId="77777777" w:rsidR="00AD1F54" w:rsidRPr="00264D5D" w:rsidRDefault="00941227">
            <w:pPr>
              <w:pStyle w:val="EBTablenorm"/>
              <w:ind w:left="57" w:right="57"/>
              <w:contextualSpacing w:val="0"/>
              <w:rPr>
                <w:sz w:val="22"/>
                <w:szCs w:val="22"/>
              </w:rPr>
            </w:pPr>
            <w:r w:rsidRPr="00264D5D">
              <w:rPr>
                <w:sz w:val="22"/>
                <w:szCs w:val="22"/>
              </w:rPr>
              <w:t>Информация о достигнутых значениях показателей (целевых показателей) результативности использования субсидий, бюджетных инвестиций, межбюджетных трансфертов.</w:t>
            </w:r>
          </w:p>
          <w:p w14:paraId="13D85FB6" w14:textId="0956DB4B" w:rsidR="00AD1F54" w:rsidRPr="00264D5D" w:rsidRDefault="00941227">
            <w:pPr>
              <w:pStyle w:val="EBTablenorm"/>
              <w:ind w:left="57" w:right="57"/>
              <w:contextualSpacing w:val="0"/>
              <w:rPr>
                <w:sz w:val="22"/>
                <w:szCs w:val="22"/>
              </w:rPr>
            </w:pPr>
            <w:r w:rsidRPr="00264D5D">
              <w:rPr>
                <w:sz w:val="22"/>
                <w:szCs w:val="22"/>
              </w:rPr>
              <w:t>Состав элемента представлен в таблице</w:t>
            </w:r>
            <w:r w:rsidRPr="00264D5D">
              <w:rPr>
                <w:b/>
                <w:sz w:val="22"/>
                <w:szCs w:val="22"/>
              </w:rPr>
              <w:t xml:space="preserve"> </w:t>
            </w:r>
            <w:r w:rsidRPr="00264D5D">
              <w:rPr>
                <w:b/>
                <w:sz w:val="22"/>
                <w:szCs w:val="22"/>
              </w:rPr>
              <w:fldChar w:fldCharType="begin"/>
            </w:r>
            <w:r w:rsidRPr="00264D5D">
              <w:rPr>
                <w:b/>
                <w:sz w:val="22"/>
                <w:szCs w:val="22"/>
              </w:rPr>
              <w:instrText xml:space="preserve"> REF _Ref494721021 \h  \* MERGEFORMAT </w:instrText>
            </w:r>
            <w:r w:rsidRPr="00264D5D">
              <w:rPr>
                <w:b/>
                <w:sz w:val="22"/>
                <w:szCs w:val="22"/>
              </w:rPr>
            </w:r>
            <w:r w:rsidRPr="00264D5D">
              <w:rPr>
                <w:b/>
                <w:sz w:val="22"/>
                <w:szCs w:val="22"/>
              </w:rPr>
              <w:fldChar w:fldCharType="separate"/>
            </w:r>
            <w:r w:rsidR="008D797C" w:rsidRPr="008D797C">
              <w:rPr>
                <w:rFonts w:eastAsia="Calibri"/>
                <w:b/>
                <w:sz w:val="22"/>
                <w:szCs w:val="22"/>
              </w:rPr>
              <w:t>226</w:t>
            </w:r>
            <w:r w:rsidRPr="00264D5D">
              <w:rPr>
                <w:b/>
                <w:sz w:val="22"/>
                <w:szCs w:val="22"/>
              </w:rPr>
              <w:fldChar w:fldCharType="end"/>
            </w:r>
          </w:p>
        </w:tc>
      </w:tr>
    </w:tbl>
    <w:p w14:paraId="1B2BEA53" w14:textId="77777777" w:rsidR="00AD1F54" w:rsidRPr="00264D5D" w:rsidRDefault="00941227">
      <w:pPr>
        <w:pStyle w:val="31"/>
      </w:pPr>
      <w:bookmarkStart w:id="2214" w:name="_Toc496984061"/>
      <w:bookmarkStart w:id="2215" w:name="_Toc219309689"/>
      <w:bookmarkEnd w:id="2213"/>
      <w:r w:rsidRPr="00264D5D">
        <w:t>Описание комплексного типа «</w:t>
      </w:r>
      <w:bookmarkStart w:id="2216" w:name="OLE_LINK210"/>
      <w:bookmarkStart w:id="2217" w:name="OLE_LINK211"/>
      <w:r w:rsidRPr="00264D5D">
        <w:t>tCostsCommited</w:t>
      </w:r>
      <w:bookmarkEnd w:id="2216"/>
      <w:bookmarkEnd w:id="2217"/>
      <w:r w:rsidRPr="00264D5D">
        <w:t>»</w:t>
      </w:r>
      <w:bookmarkEnd w:id="2214"/>
      <w:bookmarkEnd w:id="2215"/>
    </w:p>
    <w:p w14:paraId="7EC938CE" w14:textId="77777777" w:rsidR="00AD1F54" w:rsidRPr="00264D5D" w:rsidRDefault="00941227">
      <w:pPr>
        <w:spacing w:before="60" w:after="120"/>
        <w:ind w:firstLine="567"/>
        <w:rPr>
          <w:szCs w:val="24"/>
        </w:rPr>
      </w:pPr>
      <w:r w:rsidRPr="00264D5D">
        <w:rPr>
          <w:szCs w:val="24"/>
        </w:rPr>
        <w:t>Описание комплексного типа «tCostsCommited» блока «Информация об осуществлении расходов, источником финансового обеспечения которых являются субсидии, бюджетные инвестиции, межбюджетные трансферты».</w:t>
      </w:r>
    </w:p>
    <w:p w14:paraId="0895420E" w14:textId="3865F3AC"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2218" w:name="_Ref494721019"/>
      <w:bookmarkStart w:id="2219" w:name="_Toc30503403"/>
      <w:bookmarkStart w:id="2220" w:name="_Toc30508001"/>
      <w:bookmarkStart w:id="2221" w:name="_Toc219309254"/>
      <w:r w:rsidR="008D797C">
        <w:rPr>
          <w:rFonts w:eastAsia="Calibri"/>
          <w:noProof/>
          <w:szCs w:val="24"/>
        </w:rPr>
        <w:t>224</w:t>
      </w:r>
      <w:bookmarkEnd w:id="2218"/>
      <w:r w:rsidRPr="00264D5D">
        <w:rPr>
          <w:rFonts w:eastAsia="Calibri"/>
          <w:szCs w:val="24"/>
        </w:rPr>
        <w:fldChar w:fldCharType="end"/>
      </w:r>
      <w:r w:rsidRPr="00264D5D">
        <w:rPr>
          <w:rFonts w:eastAsia="Calibri"/>
          <w:szCs w:val="24"/>
        </w:rPr>
        <w:t xml:space="preserve"> – Описание комплексного типа «tCostsCommited»</w:t>
      </w:r>
      <w:bookmarkEnd w:id="2219"/>
      <w:bookmarkEnd w:id="2220"/>
      <w:bookmarkEnd w:id="2221"/>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49539362"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6113D971" w14:textId="77777777" w:rsidR="00AD1F54" w:rsidRPr="00264D5D" w:rsidRDefault="00941227">
            <w:pPr>
              <w:pStyle w:val="EBTableHead"/>
              <w:ind w:left="57" w:right="57"/>
              <w:contextualSpacing w:val="0"/>
              <w:rPr>
                <w:sz w:val="22"/>
                <w:szCs w:val="22"/>
              </w:rPr>
            </w:pPr>
            <w:r w:rsidRPr="00264D5D">
              <w:rPr>
                <w:bCs w:val="0"/>
                <w:sz w:val="22"/>
                <w:szCs w:val="22"/>
              </w:rPr>
              <w:t>Наименование элемента</w:t>
            </w:r>
          </w:p>
        </w:tc>
        <w:tc>
          <w:tcPr>
            <w:tcW w:w="1701" w:type="dxa"/>
          </w:tcPr>
          <w:p w14:paraId="5189B365" w14:textId="77777777" w:rsidR="00AD1F54" w:rsidRPr="00264D5D" w:rsidRDefault="00941227">
            <w:pPr>
              <w:pStyle w:val="EBTableHead"/>
              <w:ind w:left="57" w:right="57"/>
              <w:contextualSpacing w:val="0"/>
              <w:rPr>
                <w:sz w:val="22"/>
                <w:szCs w:val="22"/>
              </w:rPr>
            </w:pPr>
            <w:r w:rsidRPr="00264D5D">
              <w:rPr>
                <w:bCs w:val="0"/>
                <w:sz w:val="22"/>
                <w:szCs w:val="22"/>
              </w:rPr>
              <w:t>Сокращенное наименование (код) элемента</w:t>
            </w:r>
          </w:p>
        </w:tc>
        <w:tc>
          <w:tcPr>
            <w:tcW w:w="567" w:type="dxa"/>
          </w:tcPr>
          <w:p w14:paraId="2AB40063" w14:textId="77777777" w:rsidR="00AD1F54" w:rsidRPr="00264D5D" w:rsidRDefault="00941227">
            <w:pPr>
              <w:pStyle w:val="EBTableHead"/>
              <w:ind w:left="57" w:right="57"/>
              <w:contextualSpacing w:val="0"/>
              <w:rPr>
                <w:sz w:val="22"/>
                <w:szCs w:val="22"/>
              </w:rPr>
            </w:pPr>
            <w:r w:rsidRPr="00264D5D">
              <w:rPr>
                <w:bCs w:val="0"/>
                <w:sz w:val="22"/>
                <w:szCs w:val="22"/>
              </w:rPr>
              <w:t>Тип</w:t>
            </w:r>
          </w:p>
        </w:tc>
        <w:tc>
          <w:tcPr>
            <w:tcW w:w="1134" w:type="dxa"/>
          </w:tcPr>
          <w:p w14:paraId="567F8F82" w14:textId="77777777" w:rsidR="00AD1F54" w:rsidRPr="00264D5D" w:rsidRDefault="00941227">
            <w:pPr>
              <w:pStyle w:val="EBTableHead"/>
              <w:ind w:left="57" w:right="57"/>
              <w:contextualSpacing w:val="0"/>
              <w:rPr>
                <w:sz w:val="22"/>
                <w:szCs w:val="22"/>
              </w:rPr>
            </w:pPr>
            <w:r w:rsidRPr="00264D5D">
              <w:rPr>
                <w:bCs w:val="0"/>
                <w:sz w:val="22"/>
                <w:szCs w:val="22"/>
              </w:rPr>
              <w:t>Формат элемента</w:t>
            </w:r>
          </w:p>
        </w:tc>
        <w:tc>
          <w:tcPr>
            <w:tcW w:w="567" w:type="dxa"/>
          </w:tcPr>
          <w:p w14:paraId="76B15B3F" w14:textId="77777777" w:rsidR="00AD1F54" w:rsidRPr="00264D5D" w:rsidRDefault="00941227">
            <w:pPr>
              <w:spacing w:before="60" w:after="60"/>
              <w:ind w:left="57" w:right="57"/>
              <w:jc w:val="center"/>
              <w:rPr>
                <w:b/>
                <w:bCs/>
                <w:sz w:val="22"/>
                <w:szCs w:val="22"/>
              </w:rPr>
            </w:pPr>
            <w:r w:rsidRPr="00264D5D">
              <w:rPr>
                <w:b/>
                <w:bCs/>
                <w:sz w:val="22"/>
                <w:szCs w:val="22"/>
              </w:rPr>
              <w:t>Обязательность</w:t>
            </w:r>
          </w:p>
        </w:tc>
        <w:tc>
          <w:tcPr>
            <w:tcW w:w="3963" w:type="dxa"/>
          </w:tcPr>
          <w:p w14:paraId="0D0664BE" w14:textId="77777777" w:rsidR="00AD1F54" w:rsidRPr="00264D5D" w:rsidRDefault="00941227">
            <w:pPr>
              <w:pStyle w:val="EBTableHead"/>
              <w:ind w:left="57" w:right="57"/>
              <w:contextualSpacing w:val="0"/>
              <w:rPr>
                <w:sz w:val="22"/>
                <w:szCs w:val="22"/>
              </w:rPr>
            </w:pPr>
            <w:r w:rsidRPr="00264D5D">
              <w:rPr>
                <w:bCs w:val="0"/>
                <w:sz w:val="22"/>
                <w:szCs w:val="22"/>
              </w:rPr>
              <w:t>Дополнительная информация</w:t>
            </w:r>
          </w:p>
        </w:tc>
      </w:tr>
      <w:tr w:rsidR="00AD1F54" w:rsidRPr="00264D5D" w14:paraId="45E53045"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649DF95" w14:textId="77777777" w:rsidR="00AD1F54" w:rsidRPr="00264D5D" w:rsidRDefault="00941227">
            <w:pPr>
              <w:pStyle w:val="EBTablenorm"/>
              <w:ind w:left="57" w:right="57"/>
              <w:contextualSpacing w:val="0"/>
              <w:rPr>
                <w:sz w:val="22"/>
                <w:szCs w:val="22"/>
                <w:lang w:val="en-US"/>
              </w:rPr>
            </w:pPr>
            <w:bookmarkStart w:id="2222" w:name="_Hlk494722886"/>
            <w:r w:rsidRPr="00264D5D">
              <w:rPr>
                <w:sz w:val="22"/>
                <w:szCs w:val="22"/>
              </w:rPr>
              <w:t>Дата</w:t>
            </w:r>
          </w:p>
        </w:tc>
        <w:tc>
          <w:tcPr>
            <w:tcW w:w="1701" w:type="dxa"/>
          </w:tcPr>
          <w:p w14:paraId="7B132DD1" w14:textId="77777777" w:rsidR="00AD1F54" w:rsidRPr="00264D5D" w:rsidRDefault="00941227">
            <w:pPr>
              <w:pStyle w:val="EBTablenorm"/>
              <w:ind w:left="57" w:right="57"/>
              <w:contextualSpacing w:val="0"/>
              <w:rPr>
                <w:sz w:val="22"/>
                <w:szCs w:val="22"/>
                <w:lang w:val="en-US"/>
              </w:rPr>
            </w:pPr>
            <w:r w:rsidRPr="00264D5D">
              <w:rPr>
                <w:sz w:val="22"/>
                <w:szCs w:val="22"/>
                <w:lang w:val="en-US"/>
              </w:rPr>
              <w:t>InformDate</w:t>
            </w:r>
          </w:p>
        </w:tc>
        <w:tc>
          <w:tcPr>
            <w:tcW w:w="567" w:type="dxa"/>
          </w:tcPr>
          <w:p w14:paraId="29D1B133"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6C87B82F"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Date</w:t>
            </w:r>
          </w:p>
        </w:tc>
        <w:tc>
          <w:tcPr>
            <w:tcW w:w="567" w:type="dxa"/>
          </w:tcPr>
          <w:p w14:paraId="2DB1C7EE" w14:textId="77777777" w:rsidR="00AD1F54" w:rsidRPr="00264D5D" w:rsidRDefault="00941227">
            <w:pPr>
              <w:pStyle w:val="EBTablenorm"/>
              <w:ind w:left="57" w:right="57"/>
              <w:contextualSpacing w:val="0"/>
              <w:jc w:val="center"/>
              <w:rPr>
                <w:sz w:val="22"/>
                <w:szCs w:val="22"/>
                <w:lang w:val="en-US"/>
              </w:rPr>
            </w:pPr>
            <w:r w:rsidRPr="00264D5D">
              <w:rPr>
                <w:sz w:val="22"/>
                <w:szCs w:val="22"/>
                <w:lang w:val="en-US"/>
              </w:rPr>
              <w:t>О</w:t>
            </w:r>
          </w:p>
        </w:tc>
        <w:tc>
          <w:tcPr>
            <w:tcW w:w="3963" w:type="dxa"/>
          </w:tcPr>
          <w:p w14:paraId="184FBBD2" w14:textId="77777777" w:rsidR="00AD1F54" w:rsidRPr="00264D5D" w:rsidRDefault="00941227">
            <w:pPr>
              <w:pStyle w:val="EBTablenorm"/>
              <w:ind w:left="57" w:right="57"/>
              <w:contextualSpacing w:val="0"/>
              <w:rPr>
                <w:sz w:val="22"/>
                <w:szCs w:val="22"/>
              </w:rPr>
            </w:pPr>
            <w:r w:rsidRPr="00264D5D">
              <w:rPr>
                <w:sz w:val="22"/>
                <w:szCs w:val="22"/>
              </w:rPr>
              <w:t>Дата, на которую предоставля</w:t>
            </w:r>
            <w:r w:rsidR="007E37F3" w:rsidRPr="00264D5D">
              <w:rPr>
                <w:sz w:val="22"/>
                <w:szCs w:val="22"/>
              </w:rPr>
              <w:t>ется информация (отчетная дата)</w:t>
            </w:r>
          </w:p>
        </w:tc>
      </w:tr>
      <w:tr w:rsidR="00AD1F54" w:rsidRPr="00264D5D" w14:paraId="3590B86A"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04799DC3" w14:textId="77777777" w:rsidR="00AD1F54" w:rsidRPr="00264D5D" w:rsidRDefault="00941227">
            <w:pPr>
              <w:pStyle w:val="EBTablenorm"/>
              <w:ind w:left="57" w:right="57"/>
              <w:contextualSpacing w:val="0"/>
              <w:rPr>
                <w:sz w:val="22"/>
                <w:szCs w:val="22"/>
              </w:rPr>
            </w:pPr>
            <w:r w:rsidRPr="00264D5D">
              <w:rPr>
                <w:sz w:val="22"/>
                <w:szCs w:val="22"/>
              </w:rPr>
              <w:t>Код валюты по ОКВ</w:t>
            </w:r>
          </w:p>
        </w:tc>
        <w:tc>
          <w:tcPr>
            <w:tcW w:w="1701" w:type="dxa"/>
          </w:tcPr>
          <w:p w14:paraId="48A5FB62" w14:textId="77777777" w:rsidR="00AD1F54" w:rsidRPr="00264D5D" w:rsidRDefault="00941227">
            <w:pPr>
              <w:pStyle w:val="EBTablenorm"/>
              <w:ind w:left="57" w:right="57"/>
              <w:contextualSpacing w:val="0"/>
              <w:rPr>
                <w:sz w:val="22"/>
                <w:szCs w:val="22"/>
                <w:lang w:val="en-US"/>
              </w:rPr>
            </w:pPr>
            <w:r w:rsidRPr="00264D5D">
              <w:rPr>
                <w:sz w:val="22"/>
                <w:szCs w:val="22"/>
                <w:lang w:val="en-US"/>
              </w:rPr>
              <w:t>CurCode</w:t>
            </w:r>
          </w:p>
        </w:tc>
        <w:tc>
          <w:tcPr>
            <w:tcW w:w="567" w:type="dxa"/>
          </w:tcPr>
          <w:p w14:paraId="22A9CBA0"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66F5779D"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Т(3)</w:t>
            </w:r>
          </w:p>
        </w:tc>
        <w:tc>
          <w:tcPr>
            <w:tcW w:w="567" w:type="dxa"/>
          </w:tcPr>
          <w:p w14:paraId="71FAAE9B" w14:textId="77777777" w:rsidR="00AD1F54" w:rsidRPr="00264D5D" w:rsidRDefault="00941227">
            <w:pPr>
              <w:pStyle w:val="EBTablenorm"/>
              <w:ind w:left="57" w:right="57"/>
              <w:contextualSpacing w:val="0"/>
              <w:jc w:val="center"/>
              <w:rPr>
                <w:sz w:val="22"/>
                <w:szCs w:val="22"/>
                <w:lang w:val="en-US"/>
              </w:rPr>
            </w:pPr>
            <w:r w:rsidRPr="00264D5D">
              <w:rPr>
                <w:sz w:val="22"/>
                <w:szCs w:val="22"/>
                <w:lang w:val="en-US"/>
              </w:rPr>
              <w:t>О</w:t>
            </w:r>
          </w:p>
        </w:tc>
        <w:tc>
          <w:tcPr>
            <w:tcW w:w="3963" w:type="dxa"/>
          </w:tcPr>
          <w:p w14:paraId="390951B7" w14:textId="77777777" w:rsidR="00AD1F54" w:rsidRPr="00264D5D" w:rsidRDefault="007E37F3">
            <w:pPr>
              <w:pStyle w:val="EBTablenorm"/>
              <w:ind w:left="57" w:right="57"/>
              <w:contextualSpacing w:val="0"/>
              <w:rPr>
                <w:sz w:val="22"/>
                <w:szCs w:val="22"/>
              </w:rPr>
            </w:pPr>
            <w:r w:rsidRPr="00264D5D">
              <w:rPr>
                <w:sz w:val="22"/>
                <w:szCs w:val="22"/>
              </w:rPr>
              <w:t>Код валюты по ОКВ</w:t>
            </w:r>
          </w:p>
        </w:tc>
      </w:tr>
      <w:tr w:rsidR="00AD1F54" w:rsidRPr="00264D5D" w14:paraId="0F9589CC"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BFF99AC" w14:textId="77777777" w:rsidR="00AD1F54" w:rsidRPr="00264D5D" w:rsidRDefault="00941227">
            <w:pPr>
              <w:pStyle w:val="EBTablenorm"/>
              <w:ind w:left="57" w:right="57"/>
              <w:contextualSpacing w:val="0"/>
              <w:rPr>
                <w:sz w:val="22"/>
                <w:szCs w:val="22"/>
              </w:rPr>
            </w:pPr>
            <w:r w:rsidRPr="00264D5D">
              <w:rPr>
                <w:sz w:val="22"/>
                <w:szCs w:val="22"/>
              </w:rPr>
              <w:t xml:space="preserve">Наименование </w:t>
            </w:r>
            <w:r w:rsidRPr="00264D5D">
              <w:rPr>
                <w:sz w:val="22"/>
                <w:szCs w:val="22"/>
              </w:rPr>
              <w:lastRenderedPageBreak/>
              <w:t>валюты по ОКВ</w:t>
            </w:r>
          </w:p>
        </w:tc>
        <w:tc>
          <w:tcPr>
            <w:tcW w:w="1701" w:type="dxa"/>
          </w:tcPr>
          <w:p w14:paraId="67B702D2" w14:textId="77777777" w:rsidR="00AD1F54" w:rsidRPr="00264D5D" w:rsidRDefault="00941227">
            <w:pPr>
              <w:pStyle w:val="EBTablenorm"/>
              <w:ind w:left="57" w:right="57"/>
              <w:contextualSpacing w:val="0"/>
              <w:rPr>
                <w:sz w:val="22"/>
                <w:szCs w:val="22"/>
                <w:lang w:val="en-US"/>
              </w:rPr>
            </w:pPr>
            <w:r w:rsidRPr="00264D5D">
              <w:rPr>
                <w:sz w:val="22"/>
                <w:szCs w:val="22"/>
                <w:lang w:val="en-US"/>
              </w:rPr>
              <w:lastRenderedPageBreak/>
              <w:t>CurName</w:t>
            </w:r>
          </w:p>
        </w:tc>
        <w:tc>
          <w:tcPr>
            <w:tcW w:w="567" w:type="dxa"/>
          </w:tcPr>
          <w:p w14:paraId="72F419FD"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1995E7BD"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Т(1-2000)</w:t>
            </w:r>
          </w:p>
        </w:tc>
        <w:tc>
          <w:tcPr>
            <w:tcW w:w="567" w:type="dxa"/>
          </w:tcPr>
          <w:p w14:paraId="26E7F5A2" w14:textId="77777777" w:rsidR="00AD1F54" w:rsidRPr="00264D5D" w:rsidRDefault="00941227">
            <w:pPr>
              <w:pStyle w:val="EBTablenorm"/>
              <w:ind w:left="57" w:right="57"/>
              <w:contextualSpacing w:val="0"/>
              <w:jc w:val="center"/>
              <w:rPr>
                <w:sz w:val="22"/>
                <w:szCs w:val="22"/>
                <w:lang w:val="en-US"/>
              </w:rPr>
            </w:pPr>
            <w:r w:rsidRPr="00264D5D">
              <w:rPr>
                <w:sz w:val="22"/>
                <w:szCs w:val="22"/>
                <w:lang w:val="en-US"/>
              </w:rPr>
              <w:t>О</w:t>
            </w:r>
          </w:p>
        </w:tc>
        <w:tc>
          <w:tcPr>
            <w:tcW w:w="3963" w:type="dxa"/>
          </w:tcPr>
          <w:p w14:paraId="2BC715A1" w14:textId="77777777" w:rsidR="00AD1F54" w:rsidRPr="00264D5D" w:rsidRDefault="007E37F3">
            <w:pPr>
              <w:pStyle w:val="EBTablenorm"/>
              <w:ind w:left="57" w:right="57"/>
              <w:contextualSpacing w:val="0"/>
              <w:rPr>
                <w:sz w:val="22"/>
                <w:szCs w:val="22"/>
              </w:rPr>
            </w:pPr>
            <w:r w:rsidRPr="00264D5D">
              <w:rPr>
                <w:sz w:val="22"/>
                <w:szCs w:val="22"/>
              </w:rPr>
              <w:t>Наименование валюты по ОКВ</w:t>
            </w:r>
          </w:p>
        </w:tc>
      </w:tr>
      <w:tr w:rsidR="00AD1F54" w:rsidRPr="00264D5D" w14:paraId="1ABF94C4"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6D41572" w14:textId="77777777" w:rsidR="00AD1F54" w:rsidRPr="00264D5D" w:rsidRDefault="00941227">
            <w:pPr>
              <w:pStyle w:val="EBTablenorm"/>
              <w:ind w:left="57" w:right="57"/>
              <w:contextualSpacing w:val="0"/>
              <w:rPr>
                <w:sz w:val="22"/>
                <w:szCs w:val="22"/>
              </w:rPr>
            </w:pPr>
            <w:r w:rsidRPr="00264D5D">
              <w:rPr>
                <w:sz w:val="22"/>
                <w:szCs w:val="22"/>
              </w:rPr>
              <w:lastRenderedPageBreak/>
              <w:t>Объем осуществленных расходов</w:t>
            </w:r>
          </w:p>
        </w:tc>
        <w:tc>
          <w:tcPr>
            <w:tcW w:w="1701" w:type="dxa"/>
          </w:tcPr>
          <w:p w14:paraId="4147BB69" w14:textId="77777777" w:rsidR="00AD1F54" w:rsidRPr="00264D5D" w:rsidRDefault="00941227">
            <w:pPr>
              <w:pStyle w:val="EBTablenorm"/>
              <w:ind w:left="57" w:right="57"/>
              <w:contextualSpacing w:val="0"/>
              <w:rPr>
                <w:sz w:val="22"/>
                <w:szCs w:val="22"/>
                <w:lang w:val="en-US"/>
              </w:rPr>
            </w:pPr>
            <w:r w:rsidRPr="00264D5D">
              <w:rPr>
                <w:sz w:val="22"/>
                <w:szCs w:val="22"/>
                <w:lang w:val="en-US"/>
              </w:rPr>
              <w:t>SummCosts</w:t>
            </w:r>
          </w:p>
        </w:tc>
        <w:tc>
          <w:tcPr>
            <w:tcW w:w="567" w:type="dxa"/>
          </w:tcPr>
          <w:p w14:paraId="77ED94DE"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7074EDCD" w14:textId="77777777" w:rsidR="00AD1F54" w:rsidRPr="00264D5D" w:rsidRDefault="00941227">
            <w:pPr>
              <w:pStyle w:val="EBTablenorm"/>
              <w:ind w:left="57" w:right="57"/>
              <w:contextualSpacing w:val="0"/>
              <w:jc w:val="left"/>
              <w:rPr>
                <w:sz w:val="22"/>
                <w:szCs w:val="22"/>
                <w:lang w:val="en-US"/>
              </w:rPr>
            </w:pPr>
            <w:r w:rsidRPr="00264D5D">
              <w:rPr>
                <w:rFonts w:eastAsia="Calibri"/>
                <w:sz w:val="22"/>
                <w:szCs w:val="22"/>
              </w:rPr>
              <w:t>N(14.2)</w:t>
            </w:r>
          </w:p>
        </w:tc>
        <w:tc>
          <w:tcPr>
            <w:tcW w:w="567" w:type="dxa"/>
          </w:tcPr>
          <w:p w14:paraId="50D3B3B4" w14:textId="77777777" w:rsidR="00AD1F54" w:rsidRPr="00264D5D" w:rsidRDefault="00941227">
            <w:pPr>
              <w:pStyle w:val="EBTablenorm"/>
              <w:ind w:left="57" w:right="57"/>
              <w:contextualSpacing w:val="0"/>
              <w:jc w:val="center"/>
              <w:rPr>
                <w:sz w:val="22"/>
                <w:szCs w:val="22"/>
                <w:lang w:val="en-US"/>
              </w:rPr>
            </w:pPr>
            <w:r w:rsidRPr="00264D5D">
              <w:rPr>
                <w:sz w:val="22"/>
                <w:szCs w:val="22"/>
                <w:lang w:val="en-US"/>
              </w:rPr>
              <w:t>О</w:t>
            </w:r>
          </w:p>
        </w:tc>
        <w:tc>
          <w:tcPr>
            <w:tcW w:w="3963" w:type="dxa"/>
          </w:tcPr>
          <w:p w14:paraId="64A1DF53" w14:textId="77777777" w:rsidR="00AD1F54" w:rsidRPr="00264D5D" w:rsidRDefault="00941227">
            <w:pPr>
              <w:pStyle w:val="EBTablenorm"/>
              <w:ind w:left="57" w:right="57"/>
              <w:contextualSpacing w:val="0"/>
              <w:rPr>
                <w:sz w:val="22"/>
                <w:szCs w:val="22"/>
              </w:rPr>
            </w:pPr>
            <w:r w:rsidRPr="00264D5D">
              <w:rPr>
                <w:sz w:val="22"/>
                <w:szCs w:val="22"/>
              </w:rPr>
              <w:t>Объем осуществленных расходов на цели предоставления субсидий, бюджетных инвестиций, межбюджетных трансфертов.</w:t>
            </w:r>
          </w:p>
          <w:p w14:paraId="31015250" w14:textId="77777777" w:rsidR="00AD1F54" w:rsidRPr="00264D5D" w:rsidRDefault="007E37F3">
            <w:pPr>
              <w:pStyle w:val="EBTablenorm"/>
              <w:ind w:left="57" w:right="57"/>
              <w:contextualSpacing w:val="0"/>
              <w:rPr>
                <w:sz w:val="22"/>
                <w:szCs w:val="22"/>
              </w:rPr>
            </w:pPr>
            <w:r w:rsidRPr="00264D5D">
              <w:rPr>
                <w:sz w:val="22"/>
                <w:szCs w:val="22"/>
              </w:rPr>
              <w:t>При отсутствии указывается 0.00</w:t>
            </w:r>
          </w:p>
        </w:tc>
      </w:tr>
    </w:tbl>
    <w:p w14:paraId="42BAE48A" w14:textId="77777777" w:rsidR="00AD1F54" w:rsidRPr="00264D5D" w:rsidRDefault="00941227">
      <w:pPr>
        <w:pStyle w:val="31"/>
      </w:pPr>
      <w:bookmarkStart w:id="2223" w:name="_Toc496984062"/>
      <w:bookmarkStart w:id="2224" w:name="_Toc219309690"/>
      <w:bookmarkEnd w:id="2222"/>
      <w:r w:rsidRPr="00264D5D">
        <w:t>Описание комплексного типа «tAmountBalance»</w:t>
      </w:r>
      <w:bookmarkEnd w:id="2223"/>
      <w:bookmarkEnd w:id="2224"/>
    </w:p>
    <w:p w14:paraId="16DE6AF6" w14:textId="77777777" w:rsidR="00AD1F54" w:rsidRPr="00264D5D" w:rsidRDefault="00941227">
      <w:pPr>
        <w:spacing w:before="60" w:after="120"/>
        <w:ind w:firstLine="567"/>
        <w:rPr>
          <w:rFonts w:eastAsia="Calibri"/>
          <w:sz w:val="28"/>
          <w:szCs w:val="28"/>
        </w:rPr>
      </w:pPr>
      <w:r w:rsidRPr="00264D5D">
        <w:rPr>
          <w:szCs w:val="24"/>
        </w:rPr>
        <w:t>Описание комплексного типа «tAmountBalance» блока «Информация о неиспользованных по итогам финансового года остаткам субсидий, бюджетных инвестиций, межбюджетных трансфертов».</w:t>
      </w:r>
    </w:p>
    <w:p w14:paraId="6DBA1743" w14:textId="203232E5"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2225" w:name="_Ref494721020"/>
      <w:bookmarkStart w:id="2226" w:name="_Toc30503404"/>
      <w:bookmarkStart w:id="2227" w:name="_Toc30508002"/>
      <w:bookmarkStart w:id="2228" w:name="_Toc219309255"/>
      <w:r w:rsidR="008D797C">
        <w:rPr>
          <w:rFonts w:eastAsia="Calibri"/>
          <w:noProof/>
          <w:szCs w:val="24"/>
        </w:rPr>
        <w:t>225</w:t>
      </w:r>
      <w:bookmarkEnd w:id="2225"/>
      <w:r w:rsidRPr="00264D5D">
        <w:rPr>
          <w:rFonts w:eastAsia="Calibri"/>
          <w:szCs w:val="24"/>
        </w:rPr>
        <w:fldChar w:fldCharType="end"/>
      </w:r>
      <w:r w:rsidRPr="00264D5D">
        <w:rPr>
          <w:rFonts w:eastAsia="Calibri"/>
          <w:szCs w:val="24"/>
        </w:rPr>
        <w:t xml:space="preserve"> – Описание комплексного типа «</w:t>
      </w:r>
      <w:bookmarkStart w:id="2229" w:name="OLE_LINK212"/>
      <w:bookmarkStart w:id="2230" w:name="OLE_LINK213"/>
      <w:r w:rsidRPr="00264D5D">
        <w:rPr>
          <w:rFonts w:eastAsia="Calibri"/>
          <w:szCs w:val="24"/>
        </w:rPr>
        <w:t>tAmountBalance</w:t>
      </w:r>
      <w:bookmarkEnd w:id="2229"/>
      <w:bookmarkEnd w:id="2230"/>
      <w:r w:rsidRPr="00264D5D">
        <w:rPr>
          <w:rFonts w:eastAsia="Calibri"/>
          <w:szCs w:val="24"/>
        </w:rPr>
        <w:t>»</w:t>
      </w:r>
      <w:bookmarkEnd w:id="2226"/>
      <w:bookmarkEnd w:id="2227"/>
      <w:bookmarkEnd w:id="2228"/>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5F077E91"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171B5283" w14:textId="77777777" w:rsidR="00AD1F54" w:rsidRPr="00264D5D" w:rsidRDefault="00941227">
            <w:pPr>
              <w:pStyle w:val="EBTableHead"/>
              <w:ind w:left="57" w:right="57"/>
              <w:contextualSpacing w:val="0"/>
              <w:rPr>
                <w:sz w:val="22"/>
                <w:szCs w:val="22"/>
              </w:rPr>
            </w:pPr>
            <w:r w:rsidRPr="00264D5D">
              <w:rPr>
                <w:bCs w:val="0"/>
                <w:sz w:val="22"/>
                <w:szCs w:val="22"/>
              </w:rPr>
              <w:t>Наименование элемента</w:t>
            </w:r>
          </w:p>
        </w:tc>
        <w:tc>
          <w:tcPr>
            <w:tcW w:w="1701" w:type="dxa"/>
          </w:tcPr>
          <w:p w14:paraId="0E393818" w14:textId="77777777" w:rsidR="00AD1F54" w:rsidRPr="00264D5D" w:rsidRDefault="00941227">
            <w:pPr>
              <w:pStyle w:val="EBTableHead"/>
              <w:ind w:left="57" w:right="57"/>
              <w:contextualSpacing w:val="0"/>
              <w:rPr>
                <w:sz w:val="22"/>
                <w:szCs w:val="22"/>
              </w:rPr>
            </w:pPr>
            <w:r w:rsidRPr="00264D5D">
              <w:rPr>
                <w:bCs w:val="0"/>
                <w:sz w:val="22"/>
                <w:szCs w:val="22"/>
              </w:rPr>
              <w:t>Сокращенное наименование (код) элемента</w:t>
            </w:r>
          </w:p>
        </w:tc>
        <w:tc>
          <w:tcPr>
            <w:tcW w:w="567" w:type="dxa"/>
          </w:tcPr>
          <w:p w14:paraId="4429B5A7" w14:textId="77777777" w:rsidR="00AD1F54" w:rsidRPr="00264D5D" w:rsidRDefault="00941227">
            <w:pPr>
              <w:pStyle w:val="EBTableHead"/>
              <w:ind w:left="57" w:right="57"/>
              <w:contextualSpacing w:val="0"/>
              <w:rPr>
                <w:sz w:val="22"/>
                <w:szCs w:val="22"/>
              </w:rPr>
            </w:pPr>
            <w:r w:rsidRPr="00264D5D">
              <w:rPr>
                <w:bCs w:val="0"/>
                <w:sz w:val="22"/>
                <w:szCs w:val="22"/>
              </w:rPr>
              <w:t>Тип</w:t>
            </w:r>
          </w:p>
        </w:tc>
        <w:tc>
          <w:tcPr>
            <w:tcW w:w="1134" w:type="dxa"/>
          </w:tcPr>
          <w:p w14:paraId="0F2AA5B5" w14:textId="77777777" w:rsidR="00AD1F54" w:rsidRPr="00264D5D" w:rsidRDefault="00941227">
            <w:pPr>
              <w:pStyle w:val="EBTableHead"/>
              <w:ind w:left="57" w:right="57"/>
              <w:contextualSpacing w:val="0"/>
              <w:rPr>
                <w:sz w:val="22"/>
                <w:szCs w:val="22"/>
              </w:rPr>
            </w:pPr>
            <w:r w:rsidRPr="00264D5D">
              <w:rPr>
                <w:bCs w:val="0"/>
                <w:sz w:val="22"/>
                <w:szCs w:val="22"/>
              </w:rPr>
              <w:t>Формат элемента</w:t>
            </w:r>
          </w:p>
        </w:tc>
        <w:tc>
          <w:tcPr>
            <w:tcW w:w="567" w:type="dxa"/>
          </w:tcPr>
          <w:p w14:paraId="7223C2A7" w14:textId="77777777" w:rsidR="00AD1F54" w:rsidRPr="00264D5D" w:rsidRDefault="00941227">
            <w:pPr>
              <w:spacing w:before="60" w:after="60"/>
              <w:ind w:left="57" w:right="57"/>
              <w:jc w:val="center"/>
              <w:rPr>
                <w:b/>
                <w:bCs/>
                <w:sz w:val="22"/>
                <w:szCs w:val="22"/>
              </w:rPr>
            </w:pPr>
            <w:r w:rsidRPr="00264D5D">
              <w:rPr>
                <w:b/>
                <w:bCs/>
                <w:sz w:val="22"/>
                <w:szCs w:val="22"/>
              </w:rPr>
              <w:t>Обязательность</w:t>
            </w:r>
          </w:p>
        </w:tc>
        <w:tc>
          <w:tcPr>
            <w:tcW w:w="3963" w:type="dxa"/>
          </w:tcPr>
          <w:p w14:paraId="60EF7FD2" w14:textId="77777777" w:rsidR="00AD1F54" w:rsidRPr="00264D5D" w:rsidRDefault="00941227">
            <w:pPr>
              <w:pStyle w:val="EBTableHead"/>
              <w:ind w:left="57" w:right="57"/>
              <w:contextualSpacing w:val="0"/>
              <w:rPr>
                <w:sz w:val="22"/>
                <w:szCs w:val="22"/>
              </w:rPr>
            </w:pPr>
            <w:r w:rsidRPr="00264D5D">
              <w:rPr>
                <w:bCs w:val="0"/>
                <w:sz w:val="22"/>
                <w:szCs w:val="22"/>
              </w:rPr>
              <w:t>Дополнительная информация</w:t>
            </w:r>
          </w:p>
        </w:tc>
      </w:tr>
      <w:tr w:rsidR="00AD1F54" w:rsidRPr="00264D5D" w14:paraId="3DE91480"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D8F745E" w14:textId="77777777" w:rsidR="00AD1F54" w:rsidRPr="00264D5D" w:rsidRDefault="00941227">
            <w:pPr>
              <w:pStyle w:val="EBTablenorm"/>
              <w:ind w:left="57" w:right="57"/>
              <w:contextualSpacing w:val="0"/>
              <w:rPr>
                <w:sz w:val="22"/>
                <w:szCs w:val="22"/>
              </w:rPr>
            </w:pPr>
            <w:r w:rsidRPr="00264D5D">
              <w:rPr>
                <w:sz w:val="22"/>
                <w:szCs w:val="22"/>
              </w:rPr>
              <w:t>Дата</w:t>
            </w:r>
          </w:p>
        </w:tc>
        <w:tc>
          <w:tcPr>
            <w:tcW w:w="1701" w:type="dxa"/>
          </w:tcPr>
          <w:p w14:paraId="436FFF02" w14:textId="77777777" w:rsidR="00AD1F54" w:rsidRPr="00264D5D" w:rsidRDefault="00941227">
            <w:pPr>
              <w:pStyle w:val="EBTablenorm"/>
              <w:ind w:left="57" w:right="57"/>
              <w:contextualSpacing w:val="0"/>
              <w:rPr>
                <w:sz w:val="22"/>
                <w:szCs w:val="22"/>
              </w:rPr>
            </w:pPr>
            <w:r w:rsidRPr="00264D5D">
              <w:rPr>
                <w:sz w:val="22"/>
                <w:szCs w:val="22"/>
              </w:rPr>
              <w:t>InformDate</w:t>
            </w:r>
          </w:p>
        </w:tc>
        <w:tc>
          <w:tcPr>
            <w:tcW w:w="567" w:type="dxa"/>
          </w:tcPr>
          <w:p w14:paraId="3A96C6CB"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45553622" w14:textId="77777777" w:rsidR="00AD1F54" w:rsidRPr="00264D5D" w:rsidRDefault="00941227">
            <w:pPr>
              <w:pStyle w:val="EBTablenorm"/>
              <w:ind w:left="57" w:right="57"/>
              <w:contextualSpacing w:val="0"/>
              <w:jc w:val="left"/>
              <w:rPr>
                <w:sz w:val="22"/>
                <w:szCs w:val="22"/>
              </w:rPr>
            </w:pPr>
            <w:r w:rsidRPr="00264D5D">
              <w:rPr>
                <w:sz w:val="22"/>
                <w:szCs w:val="22"/>
              </w:rPr>
              <w:t>Date</w:t>
            </w:r>
          </w:p>
        </w:tc>
        <w:tc>
          <w:tcPr>
            <w:tcW w:w="567" w:type="dxa"/>
          </w:tcPr>
          <w:p w14:paraId="710A8EC4"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3D13DBEE" w14:textId="77777777" w:rsidR="00AD1F54" w:rsidRPr="00264D5D" w:rsidRDefault="00941227">
            <w:pPr>
              <w:pStyle w:val="EBTablenorm"/>
              <w:ind w:left="57" w:right="57"/>
              <w:contextualSpacing w:val="0"/>
              <w:rPr>
                <w:sz w:val="22"/>
                <w:szCs w:val="22"/>
              </w:rPr>
            </w:pPr>
            <w:r w:rsidRPr="00264D5D">
              <w:rPr>
                <w:sz w:val="22"/>
                <w:szCs w:val="22"/>
              </w:rPr>
              <w:t>Дата, на которую предоставля</w:t>
            </w:r>
            <w:r w:rsidR="007E37F3" w:rsidRPr="00264D5D">
              <w:rPr>
                <w:sz w:val="22"/>
                <w:szCs w:val="22"/>
              </w:rPr>
              <w:t>ется информация (отчетная дата)</w:t>
            </w:r>
          </w:p>
        </w:tc>
      </w:tr>
      <w:tr w:rsidR="00AD1F54" w:rsidRPr="00264D5D" w14:paraId="147C3C9E"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31C44094" w14:textId="77777777" w:rsidR="00AD1F54" w:rsidRPr="00264D5D" w:rsidRDefault="00941227">
            <w:pPr>
              <w:pStyle w:val="EBTablenorm"/>
              <w:ind w:left="57" w:right="57"/>
              <w:contextualSpacing w:val="0"/>
              <w:rPr>
                <w:sz w:val="22"/>
                <w:szCs w:val="22"/>
              </w:rPr>
            </w:pPr>
            <w:r w:rsidRPr="00264D5D">
              <w:rPr>
                <w:sz w:val="22"/>
                <w:szCs w:val="22"/>
              </w:rPr>
              <w:t>Объем средств субсидий, бюджетных инвестиций, межбюджетных трансфертов, возвращенных в федеральный бюджет</w:t>
            </w:r>
          </w:p>
        </w:tc>
        <w:tc>
          <w:tcPr>
            <w:tcW w:w="1701" w:type="dxa"/>
          </w:tcPr>
          <w:p w14:paraId="50EE2B95" w14:textId="77777777" w:rsidR="00AD1F54" w:rsidRPr="00264D5D" w:rsidRDefault="00941227">
            <w:pPr>
              <w:pStyle w:val="EBTablenorm"/>
              <w:ind w:left="57" w:right="57"/>
              <w:contextualSpacing w:val="0"/>
              <w:rPr>
                <w:sz w:val="22"/>
                <w:szCs w:val="22"/>
              </w:rPr>
            </w:pPr>
            <w:bookmarkStart w:id="2231" w:name="OLE_LINK276"/>
            <w:bookmarkStart w:id="2232" w:name="OLE_LINK277"/>
            <w:r w:rsidRPr="00264D5D">
              <w:rPr>
                <w:sz w:val="22"/>
                <w:szCs w:val="22"/>
              </w:rPr>
              <w:t>SummReturn</w:t>
            </w:r>
            <w:bookmarkEnd w:id="2231"/>
            <w:bookmarkEnd w:id="2232"/>
          </w:p>
        </w:tc>
        <w:tc>
          <w:tcPr>
            <w:tcW w:w="567" w:type="dxa"/>
          </w:tcPr>
          <w:p w14:paraId="5C0AC759"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248E8178" w14:textId="77777777" w:rsidR="00AD1F54" w:rsidRPr="00264D5D" w:rsidRDefault="00941227">
            <w:pPr>
              <w:pStyle w:val="EBTablenorm"/>
              <w:ind w:left="57" w:right="57"/>
              <w:contextualSpacing w:val="0"/>
              <w:jc w:val="left"/>
              <w:rPr>
                <w:sz w:val="22"/>
                <w:szCs w:val="22"/>
              </w:rPr>
            </w:pPr>
            <w:r w:rsidRPr="00264D5D">
              <w:rPr>
                <w:rFonts w:eastAsia="Calibri"/>
                <w:sz w:val="22"/>
                <w:szCs w:val="22"/>
              </w:rPr>
              <w:t>N(14.2)</w:t>
            </w:r>
          </w:p>
        </w:tc>
        <w:tc>
          <w:tcPr>
            <w:tcW w:w="567" w:type="dxa"/>
          </w:tcPr>
          <w:p w14:paraId="0A098DCC"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2B917D3D" w14:textId="77777777" w:rsidR="00AD1F54" w:rsidRPr="00264D5D" w:rsidRDefault="00941227">
            <w:pPr>
              <w:pStyle w:val="EBTablenorm"/>
              <w:ind w:left="57" w:right="57"/>
              <w:contextualSpacing w:val="0"/>
              <w:rPr>
                <w:sz w:val="22"/>
                <w:szCs w:val="22"/>
              </w:rPr>
            </w:pPr>
            <w:r w:rsidRPr="00264D5D">
              <w:rPr>
                <w:sz w:val="22"/>
                <w:szCs w:val="22"/>
              </w:rPr>
              <w:t>Объем средств субсидий, бюджетных инвестиций, межбюджетных трансфертов, возвращенных в федеральный бюджет.</w:t>
            </w:r>
          </w:p>
          <w:p w14:paraId="077E547F" w14:textId="77777777" w:rsidR="00AD1F54" w:rsidRPr="00264D5D" w:rsidRDefault="007E37F3">
            <w:pPr>
              <w:pStyle w:val="EBTablenorm"/>
              <w:ind w:left="57" w:right="57"/>
              <w:contextualSpacing w:val="0"/>
              <w:rPr>
                <w:sz w:val="22"/>
                <w:szCs w:val="22"/>
              </w:rPr>
            </w:pPr>
            <w:r w:rsidRPr="00264D5D">
              <w:rPr>
                <w:sz w:val="22"/>
                <w:szCs w:val="22"/>
              </w:rPr>
              <w:t>При отсутствии указывается 0.00</w:t>
            </w:r>
          </w:p>
        </w:tc>
      </w:tr>
      <w:tr w:rsidR="00AD1F54" w:rsidRPr="00264D5D" w14:paraId="46F370AD"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7D2E40E0" w14:textId="77777777" w:rsidR="00AD1F54" w:rsidRPr="00264D5D" w:rsidRDefault="00941227">
            <w:pPr>
              <w:pStyle w:val="EBTablenorm"/>
              <w:ind w:left="57" w:right="57"/>
              <w:contextualSpacing w:val="0"/>
              <w:rPr>
                <w:sz w:val="22"/>
                <w:szCs w:val="22"/>
              </w:rPr>
            </w:pPr>
            <w:r w:rsidRPr="00264D5D">
              <w:rPr>
                <w:sz w:val="22"/>
                <w:szCs w:val="22"/>
              </w:rPr>
              <w:t>Объем восстановленных средств субсидий, бюджетных инвестиций, межбюджетных трансфертов</w:t>
            </w:r>
          </w:p>
        </w:tc>
        <w:tc>
          <w:tcPr>
            <w:tcW w:w="1701" w:type="dxa"/>
          </w:tcPr>
          <w:p w14:paraId="727BDC84" w14:textId="77777777" w:rsidR="00AD1F54" w:rsidRPr="00264D5D" w:rsidRDefault="00941227">
            <w:pPr>
              <w:pStyle w:val="EBTablenorm"/>
              <w:ind w:left="57" w:right="57"/>
              <w:contextualSpacing w:val="0"/>
              <w:rPr>
                <w:sz w:val="22"/>
                <w:szCs w:val="22"/>
              </w:rPr>
            </w:pPr>
            <w:bookmarkStart w:id="2233" w:name="OLE_LINK278"/>
            <w:bookmarkStart w:id="2234" w:name="OLE_LINK279"/>
            <w:r w:rsidRPr="00264D5D">
              <w:rPr>
                <w:sz w:val="22"/>
                <w:szCs w:val="22"/>
              </w:rPr>
              <w:t>SummRecovery</w:t>
            </w:r>
            <w:bookmarkEnd w:id="2233"/>
            <w:bookmarkEnd w:id="2234"/>
          </w:p>
        </w:tc>
        <w:tc>
          <w:tcPr>
            <w:tcW w:w="567" w:type="dxa"/>
          </w:tcPr>
          <w:p w14:paraId="14C799A2"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485DA20F" w14:textId="77777777" w:rsidR="00AD1F54" w:rsidRPr="00264D5D" w:rsidRDefault="00941227">
            <w:pPr>
              <w:pStyle w:val="EBTablenorm"/>
              <w:ind w:left="57" w:right="57"/>
              <w:contextualSpacing w:val="0"/>
              <w:jc w:val="left"/>
              <w:rPr>
                <w:sz w:val="22"/>
                <w:szCs w:val="22"/>
              </w:rPr>
            </w:pPr>
            <w:r w:rsidRPr="00264D5D">
              <w:rPr>
                <w:rFonts w:eastAsia="Calibri"/>
                <w:sz w:val="22"/>
                <w:szCs w:val="22"/>
              </w:rPr>
              <w:t>N(14.2)</w:t>
            </w:r>
          </w:p>
        </w:tc>
        <w:tc>
          <w:tcPr>
            <w:tcW w:w="567" w:type="dxa"/>
          </w:tcPr>
          <w:p w14:paraId="4B1EFADB"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7E8A827D" w14:textId="77777777" w:rsidR="00AD1F54" w:rsidRPr="00264D5D" w:rsidRDefault="00941227">
            <w:pPr>
              <w:pStyle w:val="EBTablenorm"/>
              <w:ind w:left="57" w:right="57"/>
              <w:contextualSpacing w:val="0"/>
              <w:rPr>
                <w:sz w:val="22"/>
                <w:szCs w:val="22"/>
              </w:rPr>
            </w:pPr>
            <w:r w:rsidRPr="00264D5D">
              <w:rPr>
                <w:sz w:val="22"/>
                <w:szCs w:val="22"/>
              </w:rPr>
              <w:t>Объем восстановленных средств субсидий, бюджетных инвестиций, межбюджетных трансфертов прошлых лет в текущем году.</w:t>
            </w:r>
          </w:p>
          <w:p w14:paraId="22BCFAEF" w14:textId="77777777" w:rsidR="00AD1F54" w:rsidRPr="00264D5D" w:rsidRDefault="007E37F3">
            <w:pPr>
              <w:pStyle w:val="EBTablenorm"/>
              <w:ind w:left="57" w:right="57"/>
              <w:contextualSpacing w:val="0"/>
              <w:rPr>
                <w:sz w:val="22"/>
                <w:szCs w:val="22"/>
              </w:rPr>
            </w:pPr>
            <w:r w:rsidRPr="00264D5D">
              <w:rPr>
                <w:sz w:val="22"/>
                <w:szCs w:val="22"/>
              </w:rPr>
              <w:t>При отсутствии указывается 0.00</w:t>
            </w:r>
          </w:p>
        </w:tc>
      </w:tr>
    </w:tbl>
    <w:p w14:paraId="04366C20" w14:textId="77777777" w:rsidR="00AD1F54" w:rsidRPr="00264D5D" w:rsidRDefault="00941227">
      <w:pPr>
        <w:pStyle w:val="31"/>
      </w:pPr>
      <w:bookmarkStart w:id="2235" w:name="_Toc496984063"/>
      <w:bookmarkStart w:id="2236" w:name="_Toc219309691"/>
      <w:r w:rsidRPr="00264D5D">
        <w:t>Описание комплексного типа «</w:t>
      </w:r>
      <w:bookmarkStart w:id="2237" w:name="OLE_LINK214"/>
      <w:r w:rsidRPr="00264D5D">
        <w:t>tAchievedInds</w:t>
      </w:r>
      <w:bookmarkEnd w:id="2237"/>
      <w:r w:rsidRPr="00264D5D">
        <w:t>»</w:t>
      </w:r>
      <w:bookmarkEnd w:id="2235"/>
      <w:bookmarkEnd w:id="2236"/>
    </w:p>
    <w:p w14:paraId="36DEC1D8" w14:textId="77777777" w:rsidR="00AD1F54" w:rsidRPr="00264D5D" w:rsidRDefault="00941227">
      <w:pPr>
        <w:spacing w:before="60" w:after="120"/>
        <w:ind w:firstLine="567"/>
        <w:rPr>
          <w:rFonts w:eastAsia="Calibri"/>
          <w:sz w:val="28"/>
          <w:szCs w:val="28"/>
        </w:rPr>
      </w:pPr>
      <w:r w:rsidRPr="00264D5D">
        <w:rPr>
          <w:szCs w:val="24"/>
        </w:rPr>
        <w:t>Описание комплексного типа «tAchievedInds» блока «Информация о достигнутых значениях показателей (целевых показателей) результативности использования субсидий, бюджетных инвестиций, межбюджетных трансфертов».</w:t>
      </w:r>
    </w:p>
    <w:p w14:paraId="1ABF5A7B" w14:textId="4F201D70" w:rsidR="00AD1F54" w:rsidRPr="00264D5D" w:rsidRDefault="00941227">
      <w:pPr>
        <w:pStyle w:val="GOSTNameTable"/>
        <w:numPr>
          <w:ilvl w:val="0"/>
          <w:numId w:val="2"/>
        </w:numPr>
        <w:ind w:left="425" w:hanging="357"/>
        <w:rPr>
          <w:rFonts w:eastAsia="Calibri"/>
          <w:szCs w:val="24"/>
        </w:rPr>
      </w:pPr>
      <w:r w:rsidRPr="00264D5D">
        <w:rPr>
          <w:rFonts w:eastAsia="Calibri"/>
          <w:szCs w:val="24"/>
        </w:rPr>
        <w:lastRenderedPageBreak/>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2238" w:name="_Ref494721021"/>
      <w:bookmarkStart w:id="2239" w:name="_Toc30503405"/>
      <w:bookmarkStart w:id="2240" w:name="_Toc30508003"/>
      <w:bookmarkStart w:id="2241" w:name="_Toc219309256"/>
      <w:r w:rsidR="008D797C">
        <w:rPr>
          <w:rFonts w:eastAsia="Calibri"/>
          <w:noProof/>
          <w:szCs w:val="24"/>
        </w:rPr>
        <w:t>226</w:t>
      </w:r>
      <w:bookmarkEnd w:id="2238"/>
      <w:r w:rsidRPr="00264D5D">
        <w:rPr>
          <w:rFonts w:eastAsia="Calibri"/>
          <w:szCs w:val="24"/>
        </w:rPr>
        <w:fldChar w:fldCharType="end"/>
      </w:r>
      <w:r w:rsidRPr="00264D5D">
        <w:rPr>
          <w:rFonts w:eastAsia="Calibri"/>
          <w:szCs w:val="24"/>
        </w:rPr>
        <w:t xml:space="preserve"> – Описание комплексного типа «tAchievedInds»</w:t>
      </w:r>
      <w:bookmarkEnd w:id="2239"/>
      <w:bookmarkEnd w:id="2240"/>
      <w:bookmarkEnd w:id="2241"/>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5F25E5C1"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39FEE073" w14:textId="77777777" w:rsidR="00AD1F54" w:rsidRPr="00264D5D" w:rsidRDefault="00941227">
            <w:pPr>
              <w:pStyle w:val="EBTableHead"/>
              <w:ind w:left="57" w:right="57"/>
              <w:contextualSpacing w:val="0"/>
              <w:rPr>
                <w:sz w:val="22"/>
                <w:szCs w:val="22"/>
              </w:rPr>
            </w:pPr>
            <w:r w:rsidRPr="00264D5D">
              <w:rPr>
                <w:bCs w:val="0"/>
                <w:sz w:val="22"/>
                <w:szCs w:val="22"/>
              </w:rPr>
              <w:t>Наименование элемента</w:t>
            </w:r>
          </w:p>
        </w:tc>
        <w:tc>
          <w:tcPr>
            <w:tcW w:w="1701" w:type="dxa"/>
          </w:tcPr>
          <w:p w14:paraId="01F5655C" w14:textId="77777777" w:rsidR="00AD1F54" w:rsidRPr="00264D5D" w:rsidRDefault="00941227">
            <w:pPr>
              <w:pStyle w:val="EBTableHead"/>
              <w:ind w:left="57" w:right="57"/>
              <w:contextualSpacing w:val="0"/>
              <w:rPr>
                <w:sz w:val="22"/>
                <w:szCs w:val="22"/>
              </w:rPr>
            </w:pPr>
            <w:r w:rsidRPr="00264D5D">
              <w:rPr>
                <w:bCs w:val="0"/>
                <w:sz w:val="22"/>
                <w:szCs w:val="22"/>
              </w:rPr>
              <w:t>Сокращенное наименование (код) элемента</w:t>
            </w:r>
          </w:p>
        </w:tc>
        <w:tc>
          <w:tcPr>
            <w:tcW w:w="567" w:type="dxa"/>
          </w:tcPr>
          <w:p w14:paraId="3E3E3C22" w14:textId="77777777" w:rsidR="00AD1F54" w:rsidRPr="00264D5D" w:rsidRDefault="00941227">
            <w:pPr>
              <w:pStyle w:val="EBTableHead"/>
              <w:ind w:left="57" w:right="57"/>
              <w:contextualSpacing w:val="0"/>
              <w:rPr>
                <w:sz w:val="22"/>
                <w:szCs w:val="22"/>
              </w:rPr>
            </w:pPr>
            <w:r w:rsidRPr="00264D5D">
              <w:rPr>
                <w:bCs w:val="0"/>
                <w:sz w:val="22"/>
                <w:szCs w:val="22"/>
              </w:rPr>
              <w:t>Тип</w:t>
            </w:r>
          </w:p>
        </w:tc>
        <w:tc>
          <w:tcPr>
            <w:tcW w:w="1134" w:type="dxa"/>
          </w:tcPr>
          <w:p w14:paraId="7495C9A7" w14:textId="77777777" w:rsidR="00AD1F54" w:rsidRPr="00264D5D" w:rsidRDefault="00941227">
            <w:pPr>
              <w:pStyle w:val="EBTableHead"/>
              <w:ind w:left="57" w:right="57"/>
              <w:contextualSpacing w:val="0"/>
              <w:rPr>
                <w:sz w:val="22"/>
                <w:szCs w:val="22"/>
              </w:rPr>
            </w:pPr>
            <w:r w:rsidRPr="00264D5D">
              <w:rPr>
                <w:bCs w:val="0"/>
                <w:sz w:val="22"/>
                <w:szCs w:val="22"/>
              </w:rPr>
              <w:t>Формат элемента</w:t>
            </w:r>
          </w:p>
        </w:tc>
        <w:tc>
          <w:tcPr>
            <w:tcW w:w="567" w:type="dxa"/>
          </w:tcPr>
          <w:p w14:paraId="316612B1" w14:textId="77777777" w:rsidR="00AD1F54" w:rsidRPr="00264D5D" w:rsidRDefault="00941227">
            <w:pPr>
              <w:spacing w:before="60" w:after="60"/>
              <w:ind w:left="57" w:right="57"/>
              <w:jc w:val="center"/>
              <w:rPr>
                <w:b/>
                <w:bCs/>
                <w:sz w:val="22"/>
                <w:szCs w:val="22"/>
              </w:rPr>
            </w:pPr>
            <w:r w:rsidRPr="00264D5D">
              <w:rPr>
                <w:b/>
                <w:bCs/>
                <w:sz w:val="22"/>
                <w:szCs w:val="22"/>
              </w:rPr>
              <w:t>Обязательность</w:t>
            </w:r>
          </w:p>
        </w:tc>
        <w:tc>
          <w:tcPr>
            <w:tcW w:w="3963" w:type="dxa"/>
          </w:tcPr>
          <w:p w14:paraId="33E7D011" w14:textId="77777777" w:rsidR="00AD1F54" w:rsidRPr="00264D5D" w:rsidRDefault="00941227">
            <w:pPr>
              <w:pStyle w:val="EBTableHead"/>
              <w:ind w:left="57" w:right="57"/>
              <w:contextualSpacing w:val="0"/>
              <w:rPr>
                <w:sz w:val="22"/>
                <w:szCs w:val="22"/>
              </w:rPr>
            </w:pPr>
            <w:r w:rsidRPr="00264D5D">
              <w:rPr>
                <w:bCs w:val="0"/>
                <w:sz w:val="22"/>
                <w:szCs w:val="22"/>
              </w:rPr>
              <w:t>Дополнительная информация</w:t>
            </w:r>
          </w:p>
        </w:tc>
      </w:tr>
      <w:tr w:rsidR="00AD1F54" w:rsidRPr="00264D5D" w14:paraId="64AF036B"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BEC0530" w14:textId="77777777" w:rsidR="00AD1F54" w:rsidRPr="00264D5D" w:rsidRDefault="00941227">
            <w:pPr>
              <w:pStyle w:val="EBTablenorm"/>
              <w:ind w:left="57" w:right="57"/>
              <w:contextualSpacing w:val="0"/>
              <w:rPr>
                <w:sz w:val="22"/>
                <w:szCs w:val="22"/>
                <w:lang w:val="en-US"/>
              </w:rPr>
            </w:pPr>
            <w:bookmarkStart w:id="2242" w:name="_Hlk494723096"/>
            <w:r w:rsidRPr="00264D5D">
              <w:rPr>
                <w:sz w:val="22"/>
                <w:szCs w:val="22"/>
              </w:rPr>
              <w:t>Дата</w:t>
            </w:r>
          </w:p>
        </w:tc>
        <w:tc>
          <w:tcPr>
            <w:tcW w:w="1701" w:type="dxa"/>
          </w:tcPr>
          <w:p w14:paraId="388FE7BE" w14:textId="77777777" w:rsidR="00AD1F54" w:rsidRPr="00264D5D" w:rsidRDefault="00941227">
            <w:pPr>
              <w:pStyle w:val="EBTablenorm"/>
              <w:ind w:left="57" w:right="57"/>
              <w:contextualSpacing w:val="0"/>
              <w:rPr>
                <w:sz w:val="22"/>
                <w:szCs w:val="22"/>
                <w:lang w:val="en-US"/>
              </w:rPr>
            </w:pPr>
            <w:r w:rsidRPr="00264D5D">
              <w:rPr>
                <w:sz w:val="22"/>
                <w:szCs w:val="22"/>
                <w:lang w:val="en-US"/>
              </w:rPr>
              <w:t>InformDate</w:t>
            </w:r>
          </w:p>
        </w:tc>
        <w:tc>
          <w:tcPr>
            <w:tcW w:w="567" w:type="dxa"/>
          </w:tcPr>
          <w:p w14:paraId="03BA2DAF"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187734E5"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Date</w:t>
            </w:r>
          </w:p>
        </w:tc>
        <w:tc>
          <w:tcPr>
            <w:tcW w:w="567" w:type="dxa"/>
          </w:tcPr>
          <w:p w14:paraId="3034F003" w14:textId="77777777" w:rsidR="00AD1F54" w:rsidRPr="00264D5D" w:rsidRDefault="00941227">
            <w:pPr>
              <w:pStyle w:val="EBTablenorm"/>
              <w:ind w:left="57" w:right="57"/>
              <w:contextualSpacing w:val="0"/>
              <w:jc w:val="center"/>
              <w:rPr>
                <w:sz w:val="22"/>
                <w:szCs w:val="22"/>
                <w:lang w:val="en-US"/>
              </w:rPr>
            </w:pPr>
            <w:r w:rsidRPr="00264D5D">
              <w:rPr>
                <w:sz w:val="22"/>
                <w:szCs w:val="22"/>
                <w:lang w:val="en-US"/>
              </w:rPr>
              <w:t>О</w:t>
            </w:r>
          </w:p>
        </w:tc>
        <w:tc>
          <w:tcPr>
            <w:tcW w:w="3963" w:type="dxa"/>
          </w:tcPr>
          <w:p w14:paraId="79E86D1E" w14:textId="77777777" w:rsidR="00AD1F54" w:rsidRPr="00264D5D" w:rsidRDefault="00941227">
            <w:pPr>
              <w:pStyle w:val="EBTablenorm"/>
              <w:ind w:left="57" w:right="57"/>
              <w:contextualSpacing w:val="0"/>
              <w:rPr>
                <w:sz w:val="22"/>
                <w:szCs w:val="22"/>
              </w:rPr>
            </w:pPr>
            <w:r w:rsidRPr="00264D5D">
              <w:rPr>
                <w:sz w:val="22"/>
                <w:szCs w:val="22"/>
              </w:rPr>
              <w:t>Дата, на которую предоставля</w:t>
            </w:r>
            <w:r w:rsidR="007E37F3" w:rsidRPr="00264D5D">
              <w:rPr>
                <w:sz w:val="22"/>
                <w:szCs w:val="22"/>
              </w:rPr>
              <w:t>ется информация (отчетная дата)</w:t>
            </w:r>
          </w:p>
        </w:tc>
      </w:tr>
      <w:tr w:rsidR="00AD1F54" w:rsidRPr="00264D5D" w14:paraId="0A70C980"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292312E3" w14:textId="77777777" w:rsidR="00AD1F54" w:rsidRPr="00264D5D" w:rsidRDefault="00941227">
            <w:pPr>
              <w:pStyle w:val="EBTablenorm"/>
              <w:ind w:left="57" w:right="57"/>
              <w:contextualSpacing w:val="0"/>
              <w:rPr>
                <w:sz w:val="22"/>
                <w:szCs w:val="22"/>
              </w:rPr>
            </w:pPr>
            <w:r w:rsidRPr="00264D5D">
              <w:rPr>
                <w:sz w:val="22"/>
                <w:szCs w:val="22"/>
              </w:rPr>
              <w:t>Достигнутое значение показателя</w:t>
            </w:r>
          </w:p>
        </w:tc>
        <w:tc>
          <w:tcPr>
            <w:tcW w:w="1701" w:type="dxa"/>
          </w:tcPr>
          <w:p w14:paraId="41986156" w14:textId="77777777" w:rsidR="00AD1F54" w:rsidRPr="00264D5D" w:rsidRDefault="00941227">
            <w:pPr>
              <w:pStyle w:val="EBTablenorm"/>
              <w:ind w:left="57" w:right="57"/>
              <w:contextualSpacing w:val="0"/>
              <w:rPr>
                <w:sz w:val="22"/>
                <w:szCs w:val="22"/>
                <w:lang w:val="en-US"/>
              </w:rPr>
            </w:pPr>
            <w:r w:rsidRPr="00264D5D">
              <w:rPr>
                <w:sz w:val="22"/>
                <w:szCs w:val="22"/>
                <w:lang w:val="en-US"/>
              </w:rPr>
              <w:t>AchievedInd</w:t>
            </w:r>
          </w:p>
        </w:tc>
        <w:tc>
          <w:tcPr>
            <w:tcW w:w="567" w:type="dxa"/>
          </w:tcPr>
          <w:p w14:paraId="0DDAF60A" w14:textId="77777777" w:rsidR="00AD1F54" w:rsidRPr="00264D5D" w:rsidRDefault="00941227">
            <w:pPr>
              <w:pStyle w:val="EBTablenorm"/>
              <w:ind w:left="57" w:right="57"/>
              <w:contextualSpacing w:val="0"/>
              <w:jc w:val="center"/>
              <w:rPr>
                <w:sz w:val="22"/>
                <w:szCs w:val="22"/>
              </w:rPr>
            </w:pPr>
            <w:r w:rsidRPr="00264D5D">
              <w:rPr>
                <w:sz w:val="22"/>
                <w:szCs w:val="22"/>
                <w:lang w:val="en-US"/>
              </w:rPr>
              <w:t>С</w:t>
            </w:r>
          </w:p>
        </w:tc>
        <w:tc>
          <w:tcPr>
            <w:tcW w:w="1134" w:type="dxa"/>
          </w:tcPr>
          <w:p w14:paraId="241D9049"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tAchievedInd</w:t>
            </w:r>
          </w:p>
        </w:tc>
        <w:tc>
          <w:tcPr>
            <w:tcW w:w="567" w:type="dxa"/>
          </w:tcPr>
          <w:p w14:paraId="1D351245" w14:textId="77777777" w:rsidR="00AD1F54" w:rsidRPr="00264D5D" w:rsidRDefault="00941227">
            <w:pPr>
              <w:pStyle w:val="EBTablenorm"/>
              <w:ind w:left="57" w:right="57"/>
              <w:contextualSpacing w:val="0"/>
              <w:jc w:val="center"/>
              <w:rPr>
                <w:sz w:val="22"/>
                <w:szCs w:val="22"/>
                <w:lang w:val="en-US"/>
              </w:rPr>
            </w:pPr>
            <w:r w:rsidRPr="00264D5D">
              <w:rPr>
                <w:sz w:val="22"/>
                <w:szCs w:val="22"/>
                <w:lang w:val="en-US"/>
              </w:rPr>
              <w:t>ОМ</w:t>
            </w:r>
          </w:p>
        </w:tc>
        <w:tc>
          <w:tcPr>
            <w:tcW w:w="3963" w:type="dxa"/>
          </w:tcPr>
          <w:p w14:paraId="180A9B10" w14:textId="77777777" w:rsidR="00AD1F54" w:rsidRPr="00264D5D" w:rsidRDefault="00941227">
            <w:pPr>
              <w:pStyle w:val="EBTablenorm"/>
              <w:ind w:left="57" w:right="57"/>
              <w:contextualSpacing w:val="0"/>
              <w:rPr>
                <w:sz w:val="22"/>
                <w:szCs w:val="22"/>
              </w:rPr>
            </w:pPr>
            <w:r w:rsidRPr="00264D5D">
              <w:rPr>
                <w:sz w:val="22"/>
                <w:szCs w:val="22"/>
              </w:rPr>
              <w:t>Достигнутое значение показателя (целевого показателя) результативности предоставления субсидии, бюджетных инвестиций, межбюджетного трансферта.</w:t>
            </w:r>
          </w:p>
          <w:p w14:paraId="69EB7EEA" w14:textId="32CCF0E8" w:rsidR="00AD1F54" w:rsidRPr="00264D5D" w:rsidRDefault="00941227">
            <w:pPr>
              <w:pStyle w:val="EBTablenorm"/>
              <w:ind w:left="57" w:right="57"/>
              <w:contextualSpacing w:val="0"/>
              <w:rPr>
                <w:sz w:val="22"/>
                <w:szCs w:val="22"/>
              </w:rPr>
            </w:pPr>
            <w:r w:rsidRPr="00264D5D">
              <w:rPr>
                <w:sz w:val="22"/>
                <w:szCs w:val="22"/>
              </w:rPr>
              <w:t>Состав элемента представлен в таблице</w:t>
            </w:r>
            <w:r w:rsidRPr="00264D5D">
              <w:rPr>
                <w:b/>
                <w:sz w:val="22"/>
                <w:szCs w:val="22"/>
              </w:rPr>
              <w:t xml:space="preserve"> </w:t>
            </w:r>
            <w:r w:rsidRPr="00264D5D">
              <w:rPr>
                <w:b/>
                <w:sz w:val="22"/>
                <w:szCs w:val="22"/>
              </w:rPr>
              <w:fldChar w:fldCharType="begin"/>
            </w:r>
            <w:r w:rsidRPr="00264D5D">
              <w:rPr>
                <w:b/>
                <w:sz w:val="22"/>
                <w:szCs w:val="22"/>
              </w:rPr>
              <w:instrText xml:space="preserve"> REF _Ref494721022 \h  \* MERGEFORMAT </w:instrText>
            </w:r>
            <w:r w:rsidRPr="00264D5D">
              <w:rPr>
                <w:b/>
                <w:sz w:val="22"/>
                <w:szCs w:val="22"/>
              </w:rPr>
            </w:r>
            <w:r w:rsidRPr="00264D5D">
              <w:rPr>
                <w:b/>
                <w:sz w:val="22"/>
                <w:szCs w:val="22"/>
              </w:rPr>
              <w:fldChar w:fldCharType="separate"/>
            </w:r>
            <w:r w:rsidR="008D797C" w:rsidRPr="008D797C">
              <w:rPr>
                <w:rFonts w:eastAsia="Calibri"/>
                <w:b/>
                <w:sz w:val="22"/>
                <w:szCs w:val="22"/>
              </w:rPr>
              <w:t>227</w:t>
            </w:r>
            <w:r w:rsidRPr="00264D5D">
              <w:rPr>
                <w:b/>
                <w:sz w:val="22"/>
                <w:szCs w:val="22"/>
              </w:rPr>
              <w:fldChar w:fldCharType="end"/>
            </w:r>
          </w:p>
        </w:tc>
      </w:tr>
    </w:tbl>
    <w:p w14:paraId="23EEFBF5" w14:textId="77777777" w:rsidR="00AD1F54" w:rsidRPr="00264D5D" w:rsidRDefault="00941227">
      <w:pPr>
        <w:pStyle w:val="31"/>
      </w:pPr>
      <w:bookmarkStart w:id="2243" w:name="_Toc496984064"/>
      <w:bookmarkStart w:id="2244" w:name="_Toc219309692"/>
      <w:bookmarkEnd w:id="2242"/>
      <w:r w:rsidRPr="00264D5D">
        <w:t>Описание комплексного типа «</w:t>
      </w:r>
      <w:bookmarkStart w:id="2245" w:name="OLE_LINK215"/>
      <w:r w:rsidRPr="00264D5D">
        <w:t>tAchievedInd</w:t>
      </w:r>
      <w:bookmarkEnd w:id="2245"/>
      <w:r w:rsidRPr="00264D5D">
        <w:t>»</w:t>
      </w:r>
      <w:bookmarkEnd w:id="2243"/>
      <w:bookmarkEnd w:id="2244"/>
    </w:p>
    <w:p w14:paraId="2244B248" w14:textId="77777777" w:rsidR="00AD1F54" w:rsidRPr="00264D5D" w:rsidRDefault="00941227">
      <w:pPr>
        <w:spacing w:before="60" w:after="120"/>
        <w:ind w:firstLine="567"/>
        <w:rPr>
          <w:szCs w:val="24"/>
        </w:rPr>
      </w:pPr>
      <w:r w:rsidRPr="00264D5D">
        <w:rPr>
          <w:szCs w:val="24"/>
        </w:rPr>
        <w:t>Описание комплексного типа «tAchievedInd» блока «Достигнутое значение показателя (целевого показателя) результативности предоставления субсидии, бюджетных инвестиций, межбюджетного трансферта».</w:t>
      </w:r>
    </w:p>
    <w:p w14:paraId="40784A8D" w14:textId="7CA3CDE3"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2246" w:name="_Ref494721022"/>
      <w:bookmarkStart w:id="2247" w:name="_Toc30503406"/>
      <w:bookmarkStart w:id="2248" w:name="_Toc30508004"/>
      <w:bookmarkStart w:id="2249" w:name="_Toc219309257"/>
      <w:r w:rsidR="008D797C">
        <w:rPr>
          <w:rFonts w:eastAsia="Calibri"/>
          <w:noProof/>
          <w:szCs w:val="24"/>
        </w:rPr>
        <w:t>227</w:t>
      </w:r>
      <w:bookmarkEnd w:id="2246"/>
      <w:r w:rsidRPr="00264D5D">
        <w:rPr>
          <w:rFonts w:eastAsia="Calibri"/>
          <w:szCs w:val="24"/>
        </w:rPr>
        <w:fldChar w:fldCharType="end"/>
      </w:r>
      <w:r w:rsidRPr="00264D5D">
        <w:rPr>
          <w:rFonts w:eastAsia="Calibri"/>
          <w:szCs w:val="24"/>
        </w:rPr>
        <w:t xml:space="preserve"> – Описание комплексного типа «tAchievedInd»</w:t>
      </w:r>
      <w:bookmarkEnd w:id="2247"/>
      <w:bookmarkEnd w:id="2248"/>
      <w:bookmarkEnd w:id="2249"/>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1D8F31DD"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61D0C741" w14:textId="77777777" w:rsidR="00AD1F54" w:rsidRPr="00264D5D" w:rsidRDefault="00941227">
            <w:pPr>
              <w:pStyle w:val="EBTableHead"/>
              <w:ind w:left="57" w:right="57"/>
              <w:contextualSpacing w:val="0"/>
              <w:rPr>
                <w:sz w:val="22"/>
                <w:szCs w:val="22"/>
              </w:rPr>
            </w:pPr>
            <w:r w:rsidRPr="00264D5D">
              <w:rPr>
                <w:bCs w:val="0"/>
                <w:sz w:val="22"/>
                <w:szCs w:val="22"/>
              </w:rPr>
              <w:t>Наименование элемента</w:t>
            </w:r>
          </w:p>
        </w:tc>
        <w:tc>
          <w:tcPr>
            <w:tcW w:w="1701" w:type="dxa"/>
          </w:tcPr>
          <w:p w14:paraId="2179061F" w14:textId="77777777" w:rsidR="00AD1F54" w:rsidRPr="00264D5D" w:rsidRDefault="00941227">
            <w:pPr>
              <w:pStyle w:val="EBTableHead"/>
              <w:ind w:left="57" w:right="57"/>
              <w:contextualSpacing w:val="0"/>
              <w:rPr>
                <w:sz w:val="22"/>
                <w:szCs w:val="22"/>
              </w:rPr>
            </w:pPr>
            <w:r w:rsidRPr="00264D5D">
              <w:rPr>
                <w:bCs w:val="0"/>
                <w:sz w:val="22"/>
                <w:szCs w:val="22"/>
              </w:rPr>
              <w:t>Сокращенное наименование (код) элемента</w:t>
            </w:r>
          </w:p>
        </w:tc>
        <w:tc>
          <w:tcPr>
            <w:tcW w:w="567" w:type="dxa"/>
          </w:tcPr>
          <w:p w14:paraId="3AEC9041" w14:textId="77777777" w:rsidR="00AD1F54" w:rsidRPr="00264D5D" w:rsidRDefault="00941227">
            <w:pPr>
              <w:pStyle w:val="EBTableHead"/>
              <w:ind w:left="57" w:right="57"/>
              <w:contextualSpacing w:val="0"/>
              <w:rPr>
                <w:sz w:val="22"/>
                <w:szCs w:val="22"/>
              </w:rPr>
            </w:pPr>
            <w:r w:rsidRPr="00264D5D">
              <w:rPr>
                <w:bCs w:val="0"/>
                <w:sz w:val="22"/>
                <w:szCs w:val="22"/>
              </w:rPr>
              <w:t>Тип</w:t>
            </w:r>
          </w:p>
        </w:tc>
        <w:tc>
          <w:tcPr>
            <w:tcW w:w="1134" w:type="dxa"/>
          </w:tcPr>
          <w:p w14:paraId="2066E1E9" w14:textId="77777777" w:rsidR="00AD1F54" w:rsidRPr="00264D5D" w:rsidRDefault="00941227">
            <w:pPr>
              <w:pStyle w:val="EBTableHead"/>
              <w:ind w:left="57" w:right="57"/>
              <w:contextualSpacing w:val="0"/>
              <w:rPr>
                <w:sz w:val="22"/>
                <w:szCs w:val="22"/>
              </w:rPr>
            </w:pPr>
            <w:r w:rsidRPr="00264D5D">
              <w:rPr>
                <w:bCs w:val="0"/>
                <w:sz w:val="22"/>
                <w:szCs w:val="22"/>
              </w:rPr>
              <w:t>Формат элемента</w:t>
            </w:r>
          </w:p>
        </w:tc>
        <w:tc>
          <w:tcPr>
            <w:tcW w:w="567" w:type="dxa"/>
          </w:tcPr>
          <w:p w14:paraId="25F56862" w14:textId="77777777" w:rsidR="00AD1F54" w:rsidRPr="00264D5D" w:rsidRDefault="00941227">
            <w:pPr>
              <w:spacing w:before="60" w:after="60"/>
              <w:ind w:left="57" w:right="57"/>
              <w:jc w:val="center"/>
              <w:rPr>
                <w:b/>
                <w:bCs/>
                <w:sz w:val="22"/>
                <w:szCs w:val="22"/>
              </w:rPr>
            </w:pPr>
            <w:r w:rsidRPr="00264D5D">
              <w:rPr>
                <w:b/>
                <w:bCs/>
                <w:sz w:val="22"/>
                <w:szCs w:val="22"/>
              </w:rPr>
              <w:t>Обязательность</w:t>
            </w:r>
          </w:p>
        </w:tc>
        <w:tc>
          <w:tcPr>
            <w:tcW w:w="3963" w:type="dxa"/>
          </w:tcPr>
          <w:p w14:paraId="52B24F0B" w14:textId="77777777" w:rsidR="00AD1F54" w:rsidRPr="00264D5D" w:rsidRDefault="00941227">
            <w:pPr>
              <w:pStyle w:val="EBTableHead"/>
              <w:ind w:left="57" w:right="57"/>
              <w:contextualSpacing w:val="0"/>
              <w:rPr>
                <w:sz w:val="22"/>
                <w:szCs w:val="22"/>
              </w:rPr>
            </w:pPr>
            <w:r w:rsidRPr="00264D5D">
              <w:rPr>
                <w:bCs w:val="0"/>
                <w:sz w:val="22"/>
                <w:szCs w:val="22"/>
              </w:rPr>
              <w:t>Дополнительная информация</w:t>
            </w:r>
          </w:p>
        </w:tc>
      </w:tr>
      <w:tr w:rsidR="00AD1F54" w:rsidRPr="00264D5D" w14:paraId="58939AF6"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978AF19" w14:textId="77777777" w:rsidR="00AD1F54" w:rsidRPr="00264D5D" w:rsidRDefault="00941227">
            <w:pPr>
              <w:pStyle w:val="EBTablenorm"/>
              <w:ind w:left="57" w:right="57"/>
              <w:contextualSpacing w:val="0"/>
              <w:rPr>
                <w:sz w:val="22"/>
                <w:szCs w:val="22"/>
                <w:lang w:val="en-US"/>
              </w:rPr>
            </w:pPr>
            <w:bookmarkStart w:id="2250" w:name="_Hlk494723289"/>
            <w:r w:rsidRPr="00264D5D">
              <w:rPr>
                <w:sz w:val="22"/>
                <w:szCs w:val="22"/>
              </w:rPr>
              <w:t>Номер показателя</w:t>
            </w:r>
          </w:p>
        </w:tc>
        <w:tc>
          <w:tcPr>
            <w:tcW w:w="1701" w:type="dxa"/>
          </w:tcPr>
          <w:p w14:paraId="45E21452" w14:textId="77777777" w:rsidR="00AD1F54" w:rsidRPr="00264D5D" w:rsidRDefault="00941227">
            <w:pPr>
              <w:pStyle w:val="EBTablenorm"/>
              <w:ind w:left="57" w:right="57"/>
              <w:contextualSpacing w:val="0"/>
              <w:rPr>
                <w:sz w:val="22"/>
                <w:szCs w:val="22"/>
                <w:lang w:val="en-US"/>
              </w:rPr>
            </w:pPr>
            <w:r w:rsidRPr="00264D5D">
              <w:rPr>
                <w:sz w:val="22"/>
                <w:szCs w:val="22"/>
              </w:rPr>
              <w:t>AchievedIndN</w:t>
            </w:r>
            <w:r w:rsidRPr="00264D5D">
              <w:rPr>
                <w:sz w:val="22"/>
                <w:szCs w:val="22"/>
                <w:lang w:val="en-US"/>
              </w:rPr>
              <w:t>u</w:t>
            </w:r>
            <w:r w:rsidRPr="00264D5D">
              <w:rPr>
                <w:sz w:val="22"/>
                <w:szCs w:val="22"/>
              </w:rPr>
              <w:t>m</w:t>
            </w:r>
            <w:r w:rsidRPr="00264D5D">
              <w:rPr>
                <w:sz w:val="22"/>
                <w:szCs w:val="22"/>
                <w:lang w:val="en-US"/>
              </w:rPr>
              <w:t>ber</w:t>
            </w:r>
          </w:p>
        </w:tc>
        <w:tc>
          <w:tcPr>
            <w:tcW w:w="567" w:type="dxa"/>
          </w:tcPr>
          <w:p w14:paraId="0D325726"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5F45F99C"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Т(1-2000)</w:t>
            </w:r>
          </w:p>
        </w:tc>
        <w:tc>
          <w:tcPr>
            <w:tcW w:w="567" w:type="dxa"/>
          </w:tcPr>
          <w:p w14:paraId="1A85C757" w14:textId="77777777" w:rsidR="00AD1F54" w:rsidRPr="00264D5D" w:rsidRDefault="00941227">
            <w:pPr>
              <w:pStyle w:val="EBTablenorm"/>
              <w:ind w:left="57" w:right="57"/>
              <w:contextualSpacing w:val="0"/>
              <w:jc w:val="center"/>
              <w:rPr>
                <w:sz w:val="22"/>
                <w:szCs w:val="22"/>
                <w:lang w:val="en-US"/>
              </w:rPr>
            </w:pPr>
            <w:r w:rsidRPr="00264D5D">
              <w:rPr>
                <w:sz w:val="22"/>
                <w:szCs w:val="22"/>
              </w:rPr>
              <w:t>О</w:t>
            </w:r>
          </w:p>
        </w:tc>
        <w:tc>
          <w:tcPr>
            <w:tcW w:w="3963" w:type="dxa"/>
          </w:tcPr>
          <w:p w14:paraId="193D1D24" w14:textId="77777777" w:rsidR="00AD1F54" w:rsidRPr="00264D5D" w:rsidRDefault="00941227">
            <w:pPr>
              <w:pStyle w:val="EBTablenorm"/>
              <w:ind w:left="57" w:right="57"/>
              <w:contextualSpacing w:val="0"/>
              <w:rPr>
                <w:sz w:val="22"/>
                <w:szCs w:val="22"/>
              </w:rPr>
            </w:pPr>
            <w:bookmarkStart w:id="2251" w:name="OLE_LINK282"/>
            <w:bookmarkStart w:id="2252" w:name="OLE_LINK283"/>
            <w:r w:rsidRPr="00264D5D">
              <w:rPr>
                <w:sz w:val="22"/>
                <w:szCs w:val="22"/>
              </w:rPr>
              <w:t xml:space="preserve">Номер показателя результативности </w:t>
            </w:r>
            <w:bookmarkEnd w:id="2251"/>
            <w:bookmarkEnd w:id="2252"/>
            <w:r w:rsidRPr="00264D5D">
              <w:rPr>
                <w:sz w:val="22"/>
                <w:szCs w:val="22"/>
              </w:rPr>
              <w:t>предоставления субсидии, межбюджетных трансфертов, средств для ид</w:t>
            </w:r>
            <w:r w:rsidR="007E37F3" w:rsidRPr="00264D5D">
              <w:rPr>
                <w:sz w:val="22"/>
                <w:szCs w:val="22"/>
              </w:rPr>
              <w:t>ентификации в рамках соглашения</w:t>
            </w:r>
          </w:p>
        </w:tc>
      </w:tr>
      <w:tr w:rsidR="00AD1F54" w:rsidRPr="00264D5D" w14:paraId="6483CED2"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31ACA1A4" w14:textId="77777777" w:rsidR="00AD1F54" w:rsidRPr="00264D5D" w:rsidRDefault="00941227">
            <w:pPr>
              <w:pStyle w:val="EBTablenorm"/>
              <w:ind w:left="57" w:right="57"/>
              <w:contextualSpacing w:val="0"/>
              <w:rPr>
                <w:sz w:val="22"/>
                <w:szCs w:val="22"/>
              </w:rPr>
            </w:pPr>
            <w:r w:rsidRPr="00264D5D">
              <w:rPr>
                <w:sz w:val="22"/>
                <w:szCs w:val="22"/>
              </w:rPr>
              <w:t>Наименование показателя</w:t>
            </w:r>
          </w:p>
        </w:tc>
        <w:tc>
          <w:tcPr>
            <w:tcW w:w="1701" w:type="dxa"/>
          </w:tcPr>
          <w:p w14:paraId="46C1D4FD" w14:textId="77777777" w:rsidR="00AD1F54" w:rsidRPr="00264D5D" w:rsidRDefault="00941227">
            <w:pPr>
              <w:pStyle w:val="EBTablenorm"/>
              <w:ind w:left="57" w:right="57"/>
              <w:contextualSpacing w:val="0"/>
              <w:rPr>
                <w:sz w:val="22"/>
                <w:szCs w:val="22"/>
                <w:lang w:val="en-US"/>
              </w:rPr>
            </w:pPr>
            <w:bookmarkStart w:id="2253" w:name="OLE_LINK284"/>
            <w:bookmarkStart w:id="2254" w:name="OLE_LINK285"/>
            <w:bookmarkStart w:id="2255" w:name="OLE_LINK286"/>
            <w:r w:rsidRPr="00264D5D">
              <w:rPr>
                <w:sz w:val="22"/>
                <w:szCs w:val="22"/>
              </w:rPr>
              <w:t>AchievedInd</w:t>
            </w:r>
            <w:bookmarkEnd w:id="2253"/>
            <w:bookmarkEnd w:id="2254"/>
            <w:bookmarkEnd w:id="2255"/>
            <w:r w:rsidRPr="00264D5D">
              <w:rPr>
                <w:sz w:val="22"/>
                <w:szCs w:val="22"/>
              </w:rPr>
              <w:t>Name</w:t>
            </w:r>
          </w:p>
        </w:tc>
        <w:tc>
          <w:tcPr>
            <w:tcW w:w="567" w:type="dxa"/>
          </w:tcPr>
          <w:p w14:paraId="1514C188"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58514D28"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Т(1-2000)</w:t>
            </w:r>
          </w:p>
        </w:tc>
        <w:tc>
          <w:tcPr>
            <w:tcW w:w="567" w:type="dxa"/>
          </w:tcPr>
          <w:p w14:paraId="4209CDB3"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0D252186" w14:textId="77777777" w:rsidR="00AD1F54" w:rsidRPr="00264D5D" w:rsidRDefault="00941227">
            <w:pPr>
              <w:pStyle w:val="EBTablenorm"/>
              <w:ind w:left="57" w:right="57"/>
              <w:contextualSpacing w:val="0"/>
              <w:rPr>
                <w:sz w:val="22"/>
                <w:szCs w:val="22"/>
              </w:rPr>
            </w:pPr>
            <w:r w:rsidRPr="00264D5D">
              <w:rPr>
                <w:sz w:val="22"/>
                <w:szCs w:val="22"/>
              </w:rPr>
              <w:t>Наименование показателя результативности предоставления субсидии, бюджетных инвес</w:t>
            </w:r>
            <w:r w:rsidR="007E37F3" w:rsidRPr="00264D5D">
              <w:rPr>
                <w:sz w:val="22"/>
                <w:szCs w:val="22"/>
              </w:rPr>
              <w:t>тиций, межбюджетного трансферта</w:t>
            </w:r>
          </w:p>
        </w:tc>
      </w:tr>
      <w:tr w:rsidR="00AD1F54" w:rsidRPr="00264D5D" w14:paraId="14C924F9"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FA23085" w14:textId="77777777" w:rsidR="00AD1F54" w:rsidRPr="00264D5D" w:rsidRDefault="00941227">
            <w:pPr>
              <w:pStyle w:val="EBTablenorm"/>
              <w:ind w:left="57" w:right="57"/>
              <w:contextualSpacing w:val="0"/>
              <w:rPr>
                <w:sz w:val="22"/>
                <w:szCs w:val="22"/>
              </w:rPr>
            </w:pPr>
            <w:r w:rsidRPr="00264D5D">
              <w:rPr>
                <w:sz w:val="22"/>
                <w:szCs w:val="22"/>
              </w:rPr>
              <w:t>Единица измерения показателя</w:t>
            </w:r>
          </w:p>
        </w:tc>
        <w:tc>
          <w:tcPr>
            <w:tcW w:w="1701" w:type="dxa"/>
          </w:tcPr>
          <w:p w14:paraId="7C2C3D2C" w14:textId="77777777" w:rsidR="00AD1F54" w:rsidRPr="00264D5D" w:rsidRDefault="00941227">
            <w:pPr>
              <w:pStyle w:val="EBTablenorm"/>
              <w:ind w:left="57" w:right="57"/>
              <w:contextualSpacing w:val="0"/>
              <w:rPr>
                <w:sz w:val="22"/>
                <w:szCs w:val="22"/>
              </w:rPr>
            </w:pPr>
            <w:r w:rsidRPr="00264D5D">
              <w:rPr>
                <w:sz w:val="22"/>
                <w:szCs w:val="22"/>
              </w:rPr>
              <w:t>AchievedIndUnit</w:t>
            </w:r>
          </w:p>
        </w:tc>
        <w:tc>
          <w:tcPr>
            <w:tcW w:w="567" w:type="dxa"/>
          </w:tcPr>
          <w:p w14:paraId="4833BF8A"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0447E309"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Т(1-2000)</w:t>
            </w:r>
          </w:p>
        </w:tc>
        <w:tc>
          <w:tcPr>
            <w:tcW w:w="567" w:type="dxa"/>
          </w:tcPr>
          <w:p w14:paraId="54DD71D6"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4E6506F8" w14:textId="77777777" w:rsidR="00AD1F54" w:rsidRPr="00264D5D" w:rsidRDefault="00941227">
            <w:pPr>
              <w:pStyle w:val="EBTablenorm"/>
              <w:ind w:left="57" w:right="57"/>
              <w:contextualSpacing w:val="0"/>
              <w:rPr>
                <w:sz w:val="22"/>
                <w:szCs w:val="22"/>
              </w:rPr>
            </w:pPr>
            <w:r w:rsidRPr="00264D5D">
              <w:rPr>
                <w:sz w:val="22"/>
                <w:szCs w:val="22"/>
              </w:rPr>
              <w:t>Единица измерения показателя результативности предоставления субсидии, бюджетных инвес</w:t>
            </w:r>
            <w:r w:rsidR="007E37F3" w:rsidRPr="00264D5D">
              <w:rPr>
                <w:sz w:val="22"/>
                <w:szCs w:val="22"/>
              </w:rPr>
              <w:t>тиций, межбюджетного трансферта</w:t>
            </w:r>
          </w:p>
        </w:tc>
      </w:tr>
      <w:tr w:rsidR="00AD1F54" w:rsidRPr="00264D5D" w14:paraId="29C22B51"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039C25E0" w14:textId="77777777" w:rsidR="00AD1F54" w:rsidRPr="00264D5D" w:rsidRDefault="00941227">
            <w:pPr>
              <w:pStyle w:val="EBTablenorm"/>
              <w:ind w:left="57" w:right="57"/>
              <w:contextualSpacing w:val="0"/>
              <w:rPr>
                <w:sz w:val="22"/>
                <w:szCs w:val="22"/>
              </w:rPr>
            </w:pPr>
            <w:r w:rsidRPr="00264D5D">
              <w:rPr>
                <w:sz w:val="22"/>
                <w:szCs w:val="22"/>
              </w:rPr>
              <w:t>Значение показателя</w:t>
            </w:r>
          </w:p>
        </w:tc>
        <w:tc>
          <w:tcPr>
            <w:tcW w:w="1701" w:type="dxa"/>
          </w:tcPr>
          <w:p w14:paraId="1865A572" w14:textId="77777777" w:rsidR="00AD1F54" w:rsidRPr="00264D5D" w:rsidRDefault="00941227">
            <w:pPr>
              <w:pStyle w:val="EBTablenorm"/>
              <w:ind w:left="57" w:right="57"/>
              <w:contextualSpacing w:val="0"/>
              <w:rPr>
                <w:sz w:val="22"/>
                <w:szCs w:val="22"/>
              </w:rPr>
            </w:pPr>
            <w:r w:rsidRPr="00264D5D">
              <w:rPr>
                <w:sz w:val="22"/>
                <w:szCs w:val="22"/>
              </w:rPr>
              <w:t>AchievedIndVal</w:t>
            </w:r>
          </w:p>
        </w:tc>
        <w:tc>
          <w:tcPr>
            <w:tcW w:w="567" w:type="dxa"/>
          </w:tcPr>
          <w:p w14:paraId="0E88BA31"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2E5BB0FC"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Т(1-2000)</w:t>
            </w:r>
          </w:p>
        </w:tc>
        <w:tc>
          <w:tcPr>
            <w:tcW w:w="567" w:type="dxa"/>
          </w:tcPr>
          <w:p w14:paraId="0EA17C75" w14:textId="77777777" w:rsidR="00AD1F54" w:rsidRPr="00264D5D" w:rsidRDefault="00941227">
            <w:pPr>
              <w:pStyle w:val="EBTablenorm"/>
              <w:ind w:left="57" w:right="57"/>
              <w:contextualSpacing w:val="0"/>
              <w:jc w:val="center"/>
              <w:rPr>
                <w:sz w:val="22"/>
                <w:szCs w:val="22"/>
              </w:rPr>
            </w:pPr>
            <w:r w:rsidRPr="00264D5D">
              <w:rPr>
                <w:sz w:val="22"/>
                <w:szCs w:val="22"/>
              </w:rPr>
              <w:t>О</w:t>
            </w:r>
          </w:p>
        </w:tc>
        <w:tc>
          <w:tcPr>
            <w:tcW w:w="3963" w:type="dxa"/>
          </w:tcPr>
          <w:p w14:paraId="64303DDD" w14:textId="77777777" w:rsidR="00AD1F54" w:rsidRPr="00264D5D" w:rsidRDefault="00941227">
            <w:pPr>
              <w:pStyle w:val="EBTablenorm"/>
              <w:ind w:left="57" w:right="57"/>
              <w:contextualSpacing w:val="0"/>
              <w:rPr>
                <w:sz w:val="22"/>
                <w:szCs w:val="22"/>
              </w:rPr>
            </w:pPr>
            <w:r w:rsidRPr="00264D5D">
              <w:rPr>
                <w:sz w:val="22"/>
                <w:szCs w:val="22"/>
              </w:rPr>
              <w:t>Значение показателя результативности предоставления субсидии, бюджетных инвес</w:t>
            </w:r>
            <w:r w:rsidR="007E37F3" w:rsidRPr="00264D5D">
              <w:rPr>
                <w:sz w:val="22"/>
                <w:szCs w:val="22"/>
              </w:rPr>
              <w:t>тиций, межбюджетного трансферта</w:t>
            </w:r>
          </w:p>
        </w:tc>
      </w:tr>
      <w:tr w:rsidR="00AD1F54" w:rsidRPr="00264D5D" w14:paraId="3F69A293"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90488B6" w14:textId="77777777" w:rsidR="00AD1F54" w:rsidRPr="00264D5D" w:rsidRDefault="00941227">
            <w:pPr>
              <w:pStyle w:val="EBTablenorm"/>
              <w:ind w:left="57" w:right="57"/>
              <w:contextualSpacing w:val="0"/>
              <w:rPr>
                <w:sz w:val="22"/>
                <w:szCs w:val="22"/>
              </w:rPr>
            </w:pPr>
            <w:r w:rsidRPr="00264D5D">
              <w:rPr>
                <w:sz w:val="22"/>
                <w:szCs w:val="22"/>
              </w:rPr>
              <w:t xml:space="preserve">Причина отклонения достигнутых значений </w:t>
            </w:r>
            <w:r w:rsidRPr="00264D5D">
              <w:rPr>
                <w:sz w:val="22"/>
                <w:szCs w:val="22"/>
              </w:rPr>
              <w:lastRenderedPageBreak/>
              <w:t>показателей</w:t>
            </w:r>
          </w:p>
        </w:tc>
        <w:tc>
          <w:tcPr>
            <w:tcW w:w="1701" w:type="dxa"/>
          </w:tcPr>
          <w:p w14:paraId="5DFD7021" w14:textId="77777777" w:rsidR="00AD1F54" w:rsidRPr="00264D5D" w:rsidRDefault="00941227">
            <w:pPr>
              <w:pStyle w:val="EBTablenorm"/>
              <w:ind w:left="57" w:right="57"/>
              <w:contextualSpacing w:val="0"/>
              <w:rPr>
                <w:sz w:val="22"/>
                <w:szCs w:val="22"/>
              </w:rPr>
            </w:pPr>
            <w:r w:rsidRPr="00264D5D">
              <w:rPr>
                <w:sz w:val="22"/>
                <w:szCs w:val="22"/>
              </w:rPr>
              <w:lastRenderedPageBreak/>
              <w:t>Reason</w:t>
            </w:r>
            <w:r w:rsidRPr="00264D5D">
              <w:rPr>
                <w:sz w:val="22"/>
                <w:szCs w:val="22"/>
                <w:lang w:val="en-US"/>
              </w:rPr>
              <w:t>D</w:t>
            </w:r>
            <w:r w:rsidRPr="00264D5D">
              <w:rPr>
                <w:sz w:val="22"/>
                <w:szCs w:val="22"/>
              </w:rPr>
              <w:t>eviation</w:t>
            </w:r>
          </w:p>
        </w:tc>
        <w:tc>
          <w:tcPr>
            <w:tcW w:w="567" w:type="dxa"/>
          </w:tcPr>
          <w:p w14:paraId="5EC37CCD"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0C97A402" w14:textId="77777777" w:rsidR="00AD1F54" w:rsidRPr="00264D5D" w:rsidRDefault="00941227">
            <w:pPr>
              <w:pStyle w:val="EBTablenorm"/>
              <w:ind w:left="57" w:right="57"/>
              <w:contextualSpacing w:val="0"/>
              <w:jc w:val="left"/>
              <w:rPr>
                <w:sz w:val="22"/>
                <w:szCs w:val="22"/>
                <w:lang w:val="en-US"/>
              </w:rPr>
            </w:pPr>
            <w:r w:rsidRPr="00264D5D">
              <w:rPr>
                <w:sz w:val="22"/>
                <w:szCs w:val="22"/>
              </w:rPr>
              <w:t>Т(</w:t>
            </w:r>
            <w:r w:rsidRPr="00264D5D">
              <w:rPr>
                <w:sz w:val="22"/>
                <w:szCs w:val="22"/>
                <w:lang w:val="en-US"/>
              </w:rPr>
              <w:t>1-</w:t>
            </w:r>
            <w:r w:rsidRPr="00264D5D">
              <w:rPr>
                <w:sz w:val="22"/>
                <w:szCs w:val="22"/>
              </w:rPr>
              <w:t>10000)</w:t>
            </w:r>
          </w:p>
        </w:tc>
        <w:tc>
          <w:tcPr>
            <w:tcW w:w="567" w:type="dxa"/>
          </w:tcPr>
          <w:p w14:paraId="307BAAE8" w14:textId="77777777" w:rsidR="00AD1F54" w:rsidRPr="00264D5D" w:rsidRDefault="00941227">
            <w:pPr>
              <w:pStyle w:val="EBTablenorm"/>
              <w:ind w:left="57" w:right="57"/>
              <w:contextualSpacing w:val="0"/>
              <w:jc w:val="center"/>
              <w:rPr>
                <w:sz w:val="22"/>
                <w:szCs w:val="22"/>
              </w:rPr>
            </w:pPr>
            <w:r w:rsidRPr="00264D5D">
              <w:rPr>
                <w:sz w:val="22"/>
                <w:szCs w:val="22"/>
                <w:lang w:val="en-US"/>
              </w:rPr>
              <w:t>Н</w:t>
            </w:r>
          </w:p>
        </w:tc>
        <w:tc>
          <w:tcPr>
            <w:tcW w:w="3963" w:type="dxa"/>
          </w:tcPr>
          <w:p w14:paraId="13585961" w14:textId="77777777" w:rsidR="00AD1F54" w:rsidRPr="00264D5D" w:rsidRDefault="00941227">
            <w:pPr>
              <w:pStyle w:val="EBTablenorm"/>
              <w:ind w:left="57" w:right="57"/>
              <w:contextualSpacing w:val="0"/>
              <w:rPr>
                <w:sz w:val="22"/>
                <w:szCs w:val="22"/>
              </w:rPr>
            </w:pPr>
            <w:bookmarkStart w:id="2256" w:name="OLE_LINK289"/>
            <w:bookmarkStart w:id="2257" w:name="OLE_LINK290"/>
            <w:r w:rsidRPr="00264D5D">
              <w:rPr>
                <w:sz w:val="22"/>
                <w:szCs w:val="22"/>
              </w:rPr>
              <w:t xml:space="preserve">Причина отклонения достигнутых значений показателей результативности предоставления субсидии, бюджетных инвестиций, </w:t>
            </w:r>
            <w:bookmarkEnd w:id="2256"/>
            <w:bookmarkEnd w:id="2257"/>
            <w:r w:rsidRPr="00264D5D">
              <w:rPr>
                <w:sz w:val="22"/>
                <w:szCs w:val="22"/>
              </w:rPr>
              <w:t xml:space="preserve">межбюджетного </w:t>
            </w:r>
            <w:r w:rsidRPr="00264D5D">
              <w:rPr>
                <w:sz w:val="22"/>
                <w:szCs w:val="22"/>
              </w:rPr>
              <w:lastRenderedPageBreak/>
              <w:t>тра</w:t>
            </w:r>
            <w:r w:rsidR="007E37F3" w:rsidRPr="00264D5D">
              <w:rPr>
                <w:sz w:val="22"/>
                <w:szCs w:val="22"/>
              </w:rPr>
              <w:t>нсферта</w:t>
            </w:r>
          </w:p>
        </w:tc>
      </w:tr>
      <w:tr w:rsidR="00AD1F54" w:rsidRPr="00264D5D" w14:paraId="44DA75FD"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528EAE0E" w14:textId="77777777" w:rsidR="00AD1F54" w:rsidRPr="00264D5D" w:rsidRDefault="00941227">
            <w:pPr>
              <w:pStyle w:val="EBTablenorm"/>
              <w:ind w:left="57" w:right="57"/>
              <w:contextualSpacing w:val="0"/>
              <w:rPr>
                <w:sz w:val="22"/>
                <w:szCs w:val="22"/>
              </w:rPr>
            </w:pPr>
            <w:r w:rsidRPr="00264D5D">
              <w:rPr>
                <w:sz w:val="22"/>
                <w:szCs w:val="22"/>
              </w:rPr>
              <w:lastRenderedPageBreak/>
              <w:t>Сведения отчета об исполнении государственного задания</w:t>
            </w:r>
          </w:p>
        </w:tc>
        <w:tc>
          <w:tcPr>
            <w:tcW w:w="1701" w:type="dxa"/>
          </w:tcPr>
          <w:p w14:paraId="46B821F5" w14:textId="77777777" w:rsidR="00AD1F54" w:rsidRPr="00264D5D" w:rsidRDefault="00941227">
            <w:pPr>
              <w:pStyle w:val="EBTablenorm"/>
              <w:ind w:left="57" w:right="57"/>
              <w:contextualSpacing w:val="0"/>
              <w:rPr>
                <w:sz w:val="22"/>
                <w:szCs w:val="22"/>
              </w:rPr>
            </w:pPr>
            <w:r w:rsidRPr="00264D5D">
              <w:rPr>
                <w:sz w:val="22"/>
                <w:szCs w:val="22"/>
              </w:rPr>
              <w:t>AchRepStateTaskGUID</w:t>
            </w:r>
          </w:p>
        </w:tc>
        <w:tc>
          <w:tcPr>
            <w:tcW w:w="567" w:type="dxa"/>
          </w:tcPr>
          <w:p w14:paraId="20FB89CD"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1134" w:type="dxa"/>
          </w:tcPr>
          <w:p w14:paraId="6CE2301F" w14:textId="77777777" w:rsidR="00AD1F54" w:rsidRPr="00264D5D" w:rsidRDefault="00941227">
            <w:pPr>
              <w:pStyle w:val="EBTablenorm"/>
              <w:ind w:left="57" w:right="57"/>
              <w:contextualSpacing w:val="0"/>
              <w:jc w:val="left"/>
              <w:rPr>
                <w:sz w:val="22"/>
                <w:szCs w:val="22"/>
              </w:rPr>
            </w:pPr>
            <w:r w:rsidRPr="00264D5D">
              <w:rPr>
                <w:sz w:val="22"/>
                <w:szCs w:val="22"/>
              </w:rPr>
              <w:t>Т(36)</w:t>
            </w:r>
          </w:p>
        </w:tc>
        <w:tc>
          <w:tcPr>
            <w:tcW w:w="567" w:type="dxa"/>
          </w:tcPr>
          <w:p w14:paraId="3C5D0D5F" w14:textId="77777777" w:rsidR="00AD1F54" w:rsidRPr="00264D5D" w:rsidRDefault="00941227">
            <w:pPr>
              <w:pStyle w:val="EBTablenorm"/>
              <w:ind w:left="57" w:right="57"/>
              <w:contextualSpacing w:val="0"/>
              <w:jc w:val="center"/>
              <w:rPr>
                <w:sz w:val="22"/>
                <w:szCs w:val="22"/>
              </w:rPr>
            </w:pPr>
            <w:r w:rsidRPr="00264D5D">
              <w:rPr>
                <w:sz w:val="22"/>
                <w:szCs w:val="22"/>
              </w:rPr>
              <w:t>Н</w:t>
            </w:r>
          </w:p>
        </w:tc>
        <w:tc>
          <w:tcPr>
            <w:tcW w:w="3963" w:type="dxa"/>
          </w:tcPr>
          <w:p w14:paraId="58D6D5F1" w14:textId="77777777" w:rsidR="00AD1F54" w:rsidRPr="00264D5D" w:rsidRDefault="00941227">
            <w:pPr>
              <w:pStyle w:val="EBTablenorm"/>
              <w:ind w:left="57" w:right="57"/>
              <w:contextualSpacing w:val="0"/>
              <w:rPr>
                <w:sz w:val="22"/>
                <w:szCs w:val="22"/>
              </w:rPr>
            </w:pPr>
            <w:r w:rsidRPr="00264D5D">
              <w:rPr>
                <w:sz w:val="22"/>
                <w:szCs w:val="22"/>
              </w:rPr>
              <w:t xml:space="preserve">Сведения отчета об исполнении государственного задания. Указывается GUID документа «Сведения отчета об исполнении государственного задания» (в соответствии с п. </w:t>
            </w:r>
            <w:r w:rsidR="007E37F3" w:rsidRPr="00264D5D">
              <w:rPr>
                <w:sz w:val="22"/>
                <w:szCs w:val="22"/>
              </w:rPr>
              <w:t>4.24 Порядка)</w:t>
            </w:r>
          </w:p>
        </w:tc>
      </w:tr>
    </w:tbl>
    <w:p w14:paraId="0BED32EB" w14:textId="77777777" w:rsidR="00AD1F54" w:rsidRPr="00264D5D" w:rsidRDefault="00941227">
      <w:pPr>
        <w:pStyle w:val="31"/>
      </w:pPr>
      <w:bookmarkStart w:id="2258" w:name="_Toc496984065"/>
      <w:bookmarkStart w:id="2259" w:name="_Toc219309693"/>
      <w:bookmarkEnd w:id="2250"/>
      <w:r w:rsidRPr="00264D5D">
        <w:t>Пример XML</w:t>
      </w:r>
      <w:bookmarkEnd w:id="2258"/>
      <w:r w:rsidRPr="00264D5D">
        <w:t xml:space="preserve"> (файловое взаимодействие)</w:t>
      </w:r>
      <w:bookmarkEnd w:id="2259"/>
    </w:p>
    <w:p w14:paraId="25C72A3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&lt;?xml version="1.0" encoding="UTF-8"?&gt;</w:t>
      </w:r>
    </w:p>
    <w:p w14:paraId="64AAD5A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&lt;self:exchangePacket xsi:schemaLocation="http://www.roskazna.ru/eb/domain/EXP_InformatReport/extHeader extHeaderIO.xsd" xmlns:self="http://www.roskazna.ru/eb/domain/EXP_InformatReport/extHeader" xmlns:cm="http://www.roskazna.ru/eb/domain/common" xmlns:xsi="http://www.w3.org/2001/XMLSchema-instance"&gt;</w:t>
      </w:r>
    </w:p>
    <w:p w14:paraId="08D3031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&lt;packetHeader&gt;</w:t>
      </w:r>
    </w:p>
    <w:p w14:paraId="222A75A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&lt;serviceInfo&gt;</w:t>
      </w:r>
    </w:p>
    <w:p w14:paraId="51EF670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&lt;creationDateTime&gt;2018-01-11T09:30:47Z&lt;/creationDateTime&gt;</w:t>
      </w:r>
    </w:p>
    <w:p w14:paraId="68501A3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&lt;documentType&gt;EXP_InformatReport&lt;/documentType&gt;</w:t>
      </w:r>
    </w:p>
    <w:p w14:paraId="640B4D7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&lt;/serviceInfo&gt;</w:t>
      </w:r>
    </w:p>
    <w:p w14:paraId="20A75D4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&lt;senderParty&gt;</w:t>
      </w:r>
    </w:p>
    <w:p w14:paraId="4FB2CD4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&lt;organizationParty&gt;</w:t>
      </w:r>
    </w:p>
    <w:p w14:paraId="1979FE2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&lt;SRCode&gt;001X7326&lt;/SRCode&gt;</w:t>
      </w:r>
    </w:p>
    <w:p w14:paraId="7816E99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&lt;/organizationParty&gt;</w:t>
      </w:r>
    </w:p>
    <w:p w14:paraId="220C292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&lt;/senderParty&gt;</w:t>
      </w:r>
    </w:p>
    <w:p w14:paraId="4792F11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&lt;receiverParty&gt;</w:t>
      </w:r>
    </w:p>
    <w:p w14:paraId="6B38D7B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&lt;TOFKParty&gt;</w:t>
      </w:r>
    </w:p>
    <w:p w14:paraId="7EB8CD8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&lt;TOFKCode&gt;6300&lt;/TOFKCode&gt;</w:t>
      </w:r>
    </w:p>
    <w:p w14:paraId="12B11DC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&lt;/TOFKParty&gt;</w:t>
      </w:r>
    </w:p>
    <w:p w14:paraId="2FD0AA5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&lt;/receiverParty&gt;</w:t>
      </w:r>
    </w:p>
    <w:p w14:paraId="7322E0C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&lt;/packetHeader&gt;</w:t>
      </w:r>
    </w:p>
    <w:p w14:paraId="1C154B9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&lt;self:formularCollection&gt;</w:t>
      </w:r>
    </w:p>
    <w:p w14:paraId="7800D27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&lt;formular metaType="formular" versionID="2.0" xsi:type="self:EXP_InformatReport" xsi:schemaLocation="http://www.roskazna.ru/eb/domain/EXP_InformatReport/formular EXP_InformatReport.xsd" xmlns:self="http://www.roskazna.ru/eb/domain/EXP_InformatReport/formular" xmlns:xsi="http://www.w3.org/2001/XMLSchema-instance"&gt;</w:t>
      </w:r>
    </w:p>
    <w:p w14:paraId="5297026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&lt;GUID&gt;e123ffc1-80b5-4753-9fa2-94ffe6c9df70&lt;/GUID&gt;</w:t>
      </w:r>
    </w:p>
    <w:p w14:paraId="0645490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&lt;ReportGUID&gt;6a4b54c6-d792-4871-bfbf-7c8b708c19d0&lt;/ReportGUID&gt;</w:t>
      </w:r>
    </w:p>
    <w:p w14:paraId="2B101A5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&lt;ReportType&gt;3&lt;/ReportType&gt;</w:t>
      </w:r>
    </w:p>
    <w:p w14:paraId="23CF524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&lt;ReportTime&gt;1&lt;/ReportTime&gt;</w:t>
      </w:r>
    </w:p>
    <w:p w14:paraId="63950D8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&lt;FactReportProvide&gt;2018-12-20&lt;/FactReportProvide&gt;</w:t>
      </w:r>
    </w:p>
    <w:p w14:paraId="68346DF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&lt;ReportVersion&gt;1.1&lt;/ReportVersion&gt;</w:t>
      </w:r>
    </w:p>
    <w:p w14:paraId="3E6BCE5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&lt;InformationCosts&gt;</w:t>
      </w:r>
    </w:p>
    <w:p w14:paraId="48D6994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&lt;CostsCommited&gt;</w:t>
      </w:r>
    </w:p>
    <w:p w14:paraId="6BC2CD7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&lt;InformDate&gt;2018-01-11&lt;/InformDate&gt;</w:t>
      </w:r>
    </w:p>
    <w:p w14:paraId="2B5179E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&lt;CurCode&gt;643&lt;/CurCode&gt;</w:t>
      </w:r>
    </w:p>
    <w:p w14:paraId="6FBDFF0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&lt;CurName&gt;Российский рубль&lt;/CurName&gt;</w:t>
      </w:r>
    </w:p>
    <w:p w14:paraId="66EEDD7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&lt;SummCosts&gt;1000.00&lt;/SummCosts&gt;</w:t>
      </w:r>
    </w:p>
    <w:p w14:paraId="74B39B6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&lt;/CostsCommited&gt;</w:t>
      </w:r>
    </w:p>
    <w:p w14:paraId="295E024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ab/>
      </w:r>
      <w:r w:rsidRPr="00264D5D">
        <w:rPr>
          <w:rFonts w:cs="Courier New"/>
          <w:sz w:val="20"/>
        </w:rPr>
        <w:tab/>
      </w:r>
      <w:r w:rsidRPr="00264D5D">
        <w:rPr>
          <w:rFonts w:cs="Courier New"/>
          <w:sz w:val="20"/>
        </w:rPr>
        <w:tab/>
        <w:t>&lt;AmountBalance&gt;</w:t>
      </w:r>
    </w:p>
    <w:p w14:paraId="168A56C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&lt;InformDate&gt;2018-01-11&lt;/InformDate&gt;</w:t>
      </w:r>
    </w:p>
    <w:p w14:paraId="5430DDB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&lt;SummReturn&gt;1000.00&lt;/SummReturn&gt;</w:t>
      </w:r>
    </w:p>
    <w:p w14:paraId="71B6E79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&lt;SummRecovery&gt;1000.00&lt;/SummRecovery&gt;</w:t>
      </w:r>
    </w:p>
    <w:p w14:paraId="10DF361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&lt;/AmountBalance&gt;</w:t>
      </w:r>
    </w:p>
    <w:p w14:paraId="5E2BE17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&lt;AchievedInds&gt;</w:t>
      </w:r>
    </w:p>
    <w:p w14:paraId="5475270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&lt;InformDate&gt;2018-01-11&lt;/InformDate&gt;</w:t>
      </w:r>
    </w:p>
    <w:p w14:paraId="2D68575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&lt;AchievedInd&gt;</w:t>
      </w:r>
    </w:p>
    <w:p w14:paraId="16EABBB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&lt;AchievedIndNumber&gt;2.2&lt;/AchievedIndNumber&gt;</w:t>
      </w:r>
    </w:p>
    <w:p w14:paraId="462FDD3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AchievedIndName</w:t>
      </w:r>
      <w:r w:rsidRPr="00264D5D">
        <w:rPr>
          <w:rFonts w:cs="Courier New"/>
          <w:sz w:val="20"/>
          <w:lang w:val="ru-RU"/>
        </w:rPr>
        <w:t>&gt;Основное общее образование&lt;/</w:t>
      </w:r>
      <w:r w:rsidRPr="00264D5D">
        <w:rPr>
          <w:rFonts w:cs="Courier New"/>
          <w:sz w:val="20"/>
        </w:rPr>
        <w:t>AchievedIndName</w:t>
      </w:r>
      <w:r w:rsidRPr="00264D5D">
        <w:rPr>
          <w:rFonts w:cs="Courier New"/>
          <w:sz w:val="20"/>
          <w:lang w:val="ru-RU"/>
        </w:rPr>
        <w:t>&gt;</w:t>
      </w:r>
    </w:p>
    <w:p w14:paraId="3545F48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rPr>
        <w:t>&lt;AchievedIndUnit&gt;проценты&lt;/AchievedIndUnit&gt;</w:t>
      </w:r>
    </w:p>
    <w:p w14:paraId="57C384D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&lt;AchievedIndVal&gt;0.7&lt;/AchievedIndVal&gt;</w:t>
      </w:r>
    </w:p>
    <w:p w14:paraId="02CBE7C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&lt;ReasonDeviation&gt;Некорректные данные&lt;/ReasonDeviation&gt;</w:t>
      </w:r>
    </w:p>
    <w:p w14:paraId="63867AB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&lt;/AchievedInd&gt;</w:t>
      </w:r>
    </w:p>
    <w:p w14:paraId="391E2FF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&lt;/AchievedInds&gt;</w:t>
      </w:r>
    </w:p>
    <w:p w14:paraId="56223E9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&lt;/InformationCosts&gt;</w:t>
      </w:r>
    </w:p>
    <w:p w14:paraId="7AC8F5D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&lt;DocRegNum&gt;17700173261&lt;/DocRegNum&gt;</w:t>
      </w:r>
    </w:p>
    <w:p w14:paraId="0A8CD72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&lt;FullName&gt;ГЛАВНОЕ УПРАВЛЕНИЕ МЧС РОССИИ ПО БЕЛГОРОДСКОЙ ОБЛАСТИ &lt;/FullName&gt;</w:t>
      </w:r>
    </w:p>
    <w:p w14:paraId="5827ED0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&lt;SRCode&gt;001X7326&lt;/SRCode&gt;</w:t>
      </w:r>
    </w:p>
    <w:p w14:paraId="0EBD264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&lt;AgrNum&gt;177-03-042&lt;/AgrNum&gt;</w:t>
      </w:r>
    </w:p>
    <w:p w14:paraId="0972012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&lt;AgrCode&gt;044&lt;/AgrCode&gt;</w:t>
      </w:r>
    </w:p>
    <w:p w14:paraId="75A3181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&lt;AgrCnclDate&gt;2018-01-11&lt;/AgrCnclDate&gt;</w:t>
      </w:r>
    </w:p>
    <w:p w14:paraId="0CDF61C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&lt;/formular&gt;</w:t>
      </w:r>
    </w:p>
    <w:p w14:paraId="70B5DC4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&lt;/self:formularCollection&gt;</w:t>
      </w:r>
    </w:p>
    <w:p w14:paraId="0BD0DF0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&lt;/self:exchangePacket&gt;</w:t>
      </w:r>
      <w:bookmarkStart w:id="2260" w:name="_Toc516670576"/>
      <w:bookmarkStart w:id="2261" w:name="_Toc517363469"/>
      <w:bookmarkStart w:id="2262" w:name="_Toc517364047"/>
      <w:bookmarkStart w:id="2263" w:name="_Toc517439947"/>
      <w:bookmarkStart w:id="2264" w:name="_Toc517681316"/>
      <w:bookmarkStart w:id="2265" w:name="_Toc517733555"/>
      <w:bookmarkStart w:id="2266" w:name="_Toc517733848"/>
      <w:bookmarkStart w:id="2267" w:name="_Toc516670588"/>
      <w:bookmarkStart w:id="2268" w:name="_Toc517363481"/>
      <w:bookmarkStart w:id="2269" w:name="_Toc517364059"/>
      <w:bookmarkStart w:id="2270" w:name="_Toc517439959"/>
      <w:bookmarkStart w:id="2271" w:name="_Toc517681328"/>
      <w:bookmarkStart w:id="2272" w:name="_Toc517733567"/>
      <w:bookmarkStart w:id="2273" w:name="_Toc517733860"/>
      <w:bookmarkStart w:id="2274" w:name="_Ref517871703"/>
      <w:bookmarkStart w:id="2275" w:name="_Toc501722646"/>
      <w:bookmarkStart w:id="2276" w:name="_Ref501555287"/>
      <w:bookmarkStart w:id="2277" w:name="_Ref504580556"/>
      <w:bookmarkStart w:id="2278" w:name="_Ref504580562"/>
      <w:bookmarkStart w:id="2279" w:name="_Toc505776077"/>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67099304" w14:textId="77777777" w:rsidR="00AD1F54" w:rsidRPr="00D83D19" w:rsidRDefault="00941227">
      <w:pPr>
        <w:pStyle w:val="22"/>
        <w:rPr>
          <w:highlight w:val="green"/>
          <w:lang w:val="ru-RU"/>
        </w:rPr>
      </w:pPr>
      <w:bookmarkStart w:id="2280" w:name="OLE_LINK108"/>
      <w:bookmarkStart w:id="2281" w:name="_Ref46776935"/>
      <w:bookmarkStart w:id="2282" w:name="OLE_LINK697"/>
      <w:bookmarkStart w:id="2283" w:name="OLE_LINK698"/>
      <w:bookmarkStart w:id="2284" w:name="_Ref529293653"/>
      <w:bookmarkStart w:id="2285" w:name="OLE_LINK347"/>
      <w:bookmarkStart w:id="2286" w:name="OLE_LINK348"/>
      <w:bookmarkStart w:id="2287" w:name="OLE_LINK1205"/>
      <w:bookmarkStart w:id="2288" w:name="OLE_LINK1310"/>
      <w:bookmarkStart w:id="2289" w:name="OLE_LINK1311"/>
      <w:bookmarkStart w:id="2290" w:name="OLE_LINK1312"/>
      <w:bookmarkStart w:id="2291" w:name="_Toc219309694"/>
      <w:bookmarkEnd w:id="2274"/>
      <w:bookmarkEnd w:id="2280"/>
      <w:r w:rsidRPr="00D83D19">
        <w:rPr>
          <w:highlight w:val="green"/>
          <w:lang w:val="ru-RU"/>
        </w:rPr>
        <w:t>Описание документа «Заявление на выдачу (перевод, отзыв) Казначейского обеспечения обязательств» (ф. 0506108)</w:t>
      </w:r>
      <w:bookmarkEnd w:id="2281"/>
      <w:bookmarkEnd w:id="2291"/>
    </w:p>
    <w:p w14:paraId="755A017A" w14:textId="77777777" w:rsidR="00AD1F54" w:rsidRPr="00D83D19" w:rsidRDefault="00941227">
      <w:pPr>
        <w:pStyle w:val="31"/>
        <w:rPr>
          <w:highlight w:val="green"/>
        </w:rPr>
      </w:pPr>
      <w:bookmarkStart w:id="2292" w:name="_Toc219309695"/>
      <w:r w:rsidRPr="00D83D19">
        <w:rPr>
          <w:highlight w:val="green"/>
        </w:rPr>
        <w:t>Назначение и маршрут документа</w:t>
      </w:r>
      <w:bookmarkEnd w:id="2292"/>
    </w:p>
    <w:p w14:paraId="18F79D49" w14:textId="77777777" w:rsidR="00AD1F54" w:rsidRPr="00264D5D" w:rsidRDefault="00941227">
      <w:pPr>
        <w:pStyle w:val="ASFKNormal"/>
        <w:spacing w:before="60" w:after="120"/>
        <w:contextualSpacing w:val="0"/>
        <w:jc w:val="both"/>
        <w:rPr>
          <w:rFonts w:eastAsia="Calibri"/>
          <w:sz w:val="24"/>
        </w:rPr>
      </w:pPr>
      <w:r w:rsidRPr="00264D5D">
        <w:rPr>
          <w:rFonts w:eastAsia="Calibri"/>
          <w:sz w:val="24"/>
        </w:rPr>
        <w:t>Документ «Заявление на выдачу (перевод, отзыв) Казначейского обеспечения обязательств» (ф. 0506108) предназначен для отзыва, перевода или выдачи документа «Казначейское обеспечение обязательств» (ф. 0506110) до его исполнения.</w:t>
      </w:r>
    </w:p>
    <w:p w14:paraId="6E59A5A6" w14:textId="16490FD8" w:rsidR="00AD1F54" w:rsidRPr="00D83D19" w:rsidRDefault="001E5517">
      <w:pPr>
        <w:pStyle w:val="GOSTNameTable"/>
        <w:numPr>
          <w:ilvl w:val="0"/>
          <w:numId w:val="2"/>
        </w:numPr>
        <w:ind w:left="425" w:hanging="357"/>
        <w:jc w:val="both"/>
        <w:rPr>
          <w:highlight w:val="green"/>
        </w:rPr>
      </w:pPr>
      <w:r w:rsidRPr="00D83D19">
        <w:rPr>
          <w:noProof/>
          <w:highlight w:val="green"/>
        </w:rPr>
        <w:fldChar w:fldCharType="begin"/>
      </w:r>
      <w:r w:rsidRPr="00D83D19">
        <w:rPr>
          <w:noProof/>
          <w:highlight w:val="green"/>
        </w:rPr>
        <w:instrText xml:space="preserve"> SEQ Таблица \* ARABIC </w:instrText>
      </w:r>
      <w:r w:rsidRPr="00D83D19">
        <w:rPr>
          <w:noProof/>
          <w:highlight w:val="green"/>
        </w:rPr>
        <w:fldChar w:fldCharType="separate"/>
      </w:r>
      <w:bookmarkStart w:id="2293" w:name="_Toc219309258"/>
      <w:r w:rsidR="008D797C">
        <w:rPr>
          <w:noProof/>
          <w:highlight w:val="green"/>
        </w:rPr>
        <w:t>228</w:t>
      </w:r>
      <w:r w:rsidRPr="00D83D19">
        <w:rPr>
          <w:noProof/>
          <w:highlight w:val="green"/>
        </w:rPr>
        <w:fldChar w:fldCharType="end"/>
      </w:r>
      <w:r w:rsidR="00941227" w:rsidRPr="00D83D19">
        <w:rPr>
          <w:rFonts w:eastAsia="Calibri"/>
          <w:szCs w:val="24"/>
          <w:highlight w:val="green"/>
        </w:rPr>
        <w:t xml:space="preserve"> – </w:t>
      </w:r>
      <w:r w:rsidR="00941227" w:rsidRPr="00D83D19">
        <w:rPr>
          <w:highlight w:val="green"/>
        </w:rPr>
        <w:t>Маршрут документа «Заявление на выдачу (перевод, отзыв) Казначейского обеспечения обязательств» (ф. 0506108)</w:t>
      </w:r>
      <w:bookmarkEnd w:id="229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10"/>
        <w:gridCol w:w="2610"/>
        <w:gridCol w:w="4634"/>
      </w:tblGrid>
      <w:tr w:rsidR="00AD1F54" w:rsidRPr="00264D5D" w14:paraId="49F2C017" w14:textId="77777777" w:rsidTr="005056E2">
        <w:trPr>
          <w:trHeight w:val="96"/>
          <w:tblHeader/>
        </w:trPr>
        <w:tc>
          <w:tcPr>
            <w:tcW w:w="2610" w:type="dxa"/>
            <w:tcBorders>
              <w:top w:val="single" w:sz="4" w:space="0" w:color="auto"/>
              <w:left w:val="single" w:sz="4" w:space="0" w:color="auto"/>
              <w:bottom w:val="single" w:sz="4" w:space="0" w:color="auto"/>
              <w:right w:val="single" w:sz="4" w:space="0" w:color="auto"/>
            </w:tcBorders>
            <w:shd w:val="clear" w:color="auto" w:fill="E7E6E6" w:themeFill="background2"/>
          </w:tcPr>
          <w:p w14:paraId="0034D0FD" w14:textId="77777777" w:rsidR="00AD1F54" w:rsidRPr="00264D5D" w:rsidRDefault="00941227">
            <w:pPr>
              <w:pStyle w:val="ASFKTableHead"/>
            </w:pPr>
            <w:r w:rsidRPr="00264D5D">
              <w:t>Отправитель</w:t>
            </w:r>
          </w:p>
        </w:tc>
        <w:tc>
          <w:tcPr>
            <w:tcW w:w="2610" w:type="dxa"/>
            <w:tcBorders>
              <w:top w:val="single" w:sz="4" w:space="0" w:color="auto"/>
              <w:left w:val="single" w:sz="4" w:space="0" w:color="auto"/>
              <w:bottom w:val="single" w:sz="4" w:space="0" w:color="auto"/>
              <w:right w:val="single" w:sz="4" w:space="0" w:color="auto"/>
            </w:tcBorders>
            <w:shd w:val="clear" w:color="auto" w:fill="E7E6E6" w:themeFill="background2"/>
          </w:tcPr>
          <w:p w14:paraId="05421ACF" w14:textId="77777777" w:rsidR="00AD1F54" w:rsidRPr="00264D5D" w:rsidRDefault="00941227">
            <w:pPr>
              <w:pStyle w:val="ASFKTableHead"/>
            </w:pPr>
            <w:r w:rsidRPr="00264D5D">
              <w:t>Получатель</w:t>
            </w:r>
          </w:p>
        </w:tc>
        <w:tc>
          <w:tcPr>
            <w:tcW w:w="4634" w:type="dxa"/>
            <w:tcBorders>
              <w:top w:val="single" w:sz="4" w:space="0" w:color="auto"/>
              <w:left w:val="single" w:sz="4" w:space="0" w:color="auto"/>
              <w:bottom w:val="single" w:sz="4" w:space="0" w:color="auto"/>
              <w:right w:val="single" w:sz="4" w:space="0" w:color="auto"/>
            </w:tcBorders>
            <w:shd w:val="clear" w:color="auto" w:fill="E7E6E6" w:themeFill="background2"/>
          </w:tcPr>
          <w:p w14:paraId="540B20B6" w14:textId="77777777" w:rsidR="00AD1F54" w:rsidRPr="00264D5D" w:rsidRDefault="00941227">
            <w:pPr>
              <w:pStyle w:val="ASFKTableHead"/>
            </w:pPr>
            <w:r w:rsidRPr="00264D5D">
              <w:t>Примечание</w:t>
            </w:r>
          </w:p>
        </w:tc>
      </w:tr>
      <w:tr w:rsidR="00AD1F54" w:rsidRPr="00264D5D" w14:paraId="71538DA0" w14:textId="77777777" w:rsidTr="005056E2">
        <w:tc>
          <w:tcPr>
            <w:tcW w:w="2610" w:type="dxa"/>
            <w:shd w:val="clear" w:color="auto" w:fill="auto"/>
          </w:tcPr>
          <w:p w14:paraId="00C0217A" w14:textId="77777777" w:rsidR="00AD1F54" w:rsidRPr="00264D5D" w:rsidRDefault="00941227">
            <w:pPr>
              <w:pStyle w:val="GOSTTablenorm"/>
              <w:rPr>
                <w:szCs w:val="22"/>
              </w:rPr>
            </w:pPr>
            <w:r w:rsidRPr="00264D5D">
              <w:rPr>
                <w:szCs w:val="22"/>
              </w:rPr>
              <w:t>ПБС (ПФХД)</w:t>
            </w:r>
          </w:p>
        </w:tc>
        <w:tc>
          <w:tcPr>
            <w:tcW w:w="2610" w:type="dxa"/>
            <w:shd w:val="clear" w:color="auto" w:fill="auto"/>
          </w:tcPr>
          <w:p w14:paraId="65D1071B" w14:textId="77777777" w:rsidR="00AD1F54" w:rsidRPr="00264D5D" w:rsidRDefault="00941227">
            <w:pPr>
              <w:pStyle w:val="GOSTTablenorm"/>
            </w:pPr>
            <w:r w:rsidRPr="00264D5D">
              <w:t>ТОФК (ПУР ЭБ)</w:t>
            </w:r>
          </w:p>
        </w:tc>
        <w:tc>
          <w:tcPr>
            <w:tcW w:w="4634" w:type="dxa"/>
            <w:shd w:val="clear" w:color="auto" w:fill="auto"/>
          </w:tcPr>
          <w:p w14:paraId="1F0A8315" w14:textId="77777777" w:rsidR="00AD1F54" w:rsidRPr="00264D5D" w:rsidRDefault="00AD1F54">
            <w:pPr>
              <w:pStyle w:val="ASFKTablenorm"/>
              <w:rPr>
                <w:rFonts w:ascii="Times New Roman" w:hAnsi="Times New Roman"/>
                <w:sz w:val="22"/>
              </w:rPr>
            </w:pPr>
          </w:p>
        </w:tc>
      </w:tr>
      <w:tr w:rsidR="00AD1F54" w:rsidRPr="00264D5D" w14:paraId="03F92921" w14:textId="77777777" w:rsidTr="005056E2">
        <w:tc>
          <w:tcPr>
            <w:tcW w:w="2610" w:type="dxa"/>
            <w:shd w:val="clear" w:color="auto" w:fill="auto"/>
          </w:tcPr>
          <w:p w14:paraId="2D6D1A87" w14:textId="77777777" w:rsidR="00AD1F54" w:rsidRPr="00264D5D" w:rsidRDefault="00941227">
            <w:pPr>
              <w:pStyle w:val="GOSTTablenorm"/>
              <w:rPr>
                <w:szCs w:val="22"/>
              </w:rPr>
            </w:pPr>
            <w:r w:rsidRPr="00264D5D">
              <w:rPr>
                <w:szCs w:val="22"/>
              </w:rPr>
              <w:t>ЮЛ НУБП</w:t>
            </w:r>
          </w:p>
        </w:tc>
        <w:tc>
          <w:tcPr>
            <w:tcW w:w="2610" w:type="dxa"/>
            <w:shd w:val="clear" w:color="auto" w:fill="auto"/>
          </w:tcPr>
          <w:p w14:paraId="4D9F79FE" w14:textId="77777777" w:rsidR="00AD1F54" w:rsidRPr="00264D5D" w:rsidRDefault="00941227">
            <w:pPr>
              <w:pStyle w:val="GOSTTablenorm"/>
            </w:pPr>
            <w:r w:rsidRPr="00264D5D">
              <w:t>ТОФК (Компонент КС ПУР ЭБ)</w:t>
            </w:r>
          </w:p>
        </w:tc>
        <w:tc>
          <w:tcPr>
            <w:tcW w:w="4634" w:type="dxa"/>
            <w:shd w:val="clear" w:color="auto" w:fill="auto"/>
          </w:tcPr>
          <w:p w14:paraId="7A17F404" w14:textId="77777777" w:rsidR="00AD1F54" w:rsidRPr="00264D5D" w:rsidRDefault="00AD1F54">
            <w:pPr>
              <w:pStyle w:val="ASFKTablenorm"/>
              <w:rPr>
                <w:rFonts w:ascii="Times New Roman" w:hAnsi="Times New Roman"/>
                <w:sz w:val="22"/>
              </w:rPr>
            </w:pPr>
          </w:p>
        </w:tc>
      </w:tr>
      <w:tr w:rsidR="00AD1F54" w:rsidRPr="00264D5D" w14:paraId="5AC409F3" w14:textId="77777777" w:rsidTr="005056E2">
        <w:tc>
          <w:tcPr>
            <w:tcW w:w="2610" w:type="dxa"/>
            <w:shd w:val="clear" w:color="auto" w:fill="auto"/>
          </w:tcPr>
          <w:p w14:paraId="08AB8B38" w14:textId="77777777" w:rsidR="00AD1F54" w:rsidRPr="00264D5D" w:rsidRDefault="00941227">
            <w:pPr>
              <w:pStyle w:val="GOSTTablenorm"/>
              <w:rPr>
                <w:szCs w:val="22"/>
              </w:rPr>
            </w:pPr>
            <w:r w:rsidRPr="00264D5D">
              <w:t>ТОФК (Компонент КС ПУР ЭБ)</w:t>
            </w:r>
          </w:p>
        </w:tc>
        <w:tc>
          <w:tcPr>
            <w:tcW w:w="2610" w:type="dxa"/>
            <w:shd w:val="clear" w:color="auto" w:fill="auto"/>
          </w:tcPr>
          <w:p w14:paraId="3808879C" w14:textId="77777777" w:rsidR="00AD1F54" w:rsidRPr="00264D5D" w:rsidRDefault="00941227">
            <w:pPr>
              <w:pStyle w:val="GOSTTablenorm"/>
            </w:pPr>
            <w:r w:rsidRPr="00264D5D">
              <w:rPr>
                <w:szCs w:val="22"/>
              </w:rPr>
              <w:t>ЮЛ НУБП</w:t>
            </w:r>
          </w:p>
        </w:tc>
        <w:tc>
          <w:tcPr>
            <w:tcW w:w="4634" w:type="dxa"/>
            <w:shd w:val="clear" w:color="auto" w:fill="auto"/>
          </w:tcPr>
          <w:p w14:paraId="3A474237" w14:textId="77777777" w:rsidR="00AD1F54" w:rsidRPr="00264D5D" w:rsidRDefault="00AD1F54">
            <w:pPr>
              <w:pStyle w:val="ASFKTablenorm"/>
              <w:rPr>
                <w:rFonts w:ascii="Times New Roman" w:hAnsi="Times New Roman"/>
                <w:sz w:val="22"/>
              </w:rPr>
            </w:pPr>
          </w:p>
        </w:tc>
      </w:tr>
      <w:tr w:rsidR="00D83D19" w:rsidRPr="00264D5D" w14:paraId="38DA0366" w14:textId="77777777" w:rsidTr="005056E2">
        <w:tc>
          <w:tcPr>
            <w:tcW w:w="2610" w:type="dxa"/>
            <w:shd w:val="clear" w:color="auto" w:fill="auto"/>
          </w:tcPr>
          <w:p w14:paraId="2DBEA48B" w14:textId="77777777" w:rsidR="00D83D19" w:rsidRPr="00A87E1B" w:rsidRDefault="00D83D19" w:rsidP="00D83D19">
            <w:pPr>
              <w:pStyle w:val="GOSTTablenorm"/>
              <w:rPr>
                <w:highlight w:val="green"/>
              </w:rPr>
            </w:pPr>
            <w:r>
              <w:rPr>
                <w:highlight w:val="green"/>
              </w:rPr>
              <w:t>ПБС</w:t>
            </w:r>
          </w:p>
        </w:tc>
        <w:tc>
          <w:tcPr>
            <w:tcW w:w="2610" w:type="dxa"/>
            <w:shd w:val="clear" w:color="auto" w:fill="auto"/>
          </w:tcPr>
          <w:p w14:paraId="05BB263E" w14:textId="77777777" w:rsidR="00D83D19" w:rsidRPr="00A87E1B" w:rsidRDefault="00D83D19" w:rsidP="00D83D19">
            <w:pPr>
              <w:pStyle w:val="GOSTTablenorm"/>
              <w:rPr>
                <w:highlight w:val="green"/>
              </w:rPr>
            </w:pPr>
            <w:r w:rsidRPr="00BC6DE9">
              <w:rPr>
                <w:szCs w:val="22"/>
                <w:highlight w:val="green"/>
              </w:rPr>
              <w:t>ТОФК (ПУР ЭБ)</w:t>
            </w:r>
          </w:p>
        </w:tc>
        <w:tc>
          <w:tcPr>
            <w:tcW w:w="4634" w:type="dxa"/>
            <w:shd w:val="clear" w:color="auto" w:fill="auto"/>
          </w:tcPr>
          <w:p w14:paraId="77B6BF68" w14:textId="77777777" w:rsidR="00D83D19" w:rsidRPr="00264D5D" w:rsidRDefault="00D83D19" w:rsidP="00D83D19">
            <w:pPr>
              <w:pStyle w:val="ASFKTablenorm"/>
              <w:rPr>
                <w:rFonts w:ascii="Times New Roman" w:hAnsi="Times New Roman"/>
                <w:sz w:val="22"/>
              </w:rPr>
            </w:pPr>
          </w:p>
        </w:tc>
      </w:tr>
    </w:tbl>
    <w:p w14:paraId="1EC13B65" w14:textId="77777777" w:rsidR="00AD1F54" w:rsidRPr="00264D5D" w:rsidRDefault="00941227">
      <w:pPr>
        <w:pStyle w:val="31"/>
      </w:pPr>
      <w:bookmarkStart w:id="2294" w:name="_Toc219309696"/>
      <w:r w:rsidRPr="00264D5D">
        <w:lastRenderedPageBreak/>
        <w:t>Описание комплексного типа «tMSC_LETTEROFCREDITAPP»</w:t>
      </w:r>
      <w:bookmarkEnd w:id="2294"/>
    </w:p>
    <w:p w14:paraId="76105546" w14:textId="0CDCFA36" w:rsidR="00AD1F54" w:rsidRPr="00264D5D" w:rsidRDefault="001E5517">
      <w:pPr>
        <w:pStyle w:val="GOSTNameTable"/>
        <w:numPr>
          <w:ilvl w:val="0"/>
          <w:numId w:val="2"/>
        </w:numPr>
        <w:ind w:left="425" w:hanging="357"/>
      </w:pPr>
      <w:r w:rsidRPr="00264D5D">
        <w:rPr>
          <w:noProof/>
        </w:rPr>
        <w:fldChar w:fldCharType="begin"/>
      </w:r>
      <w:r w:rsidRPr="00264D5D">
        <w:rPr>
          <w:noProof/>
        </w:rPr>
        <w:instrText xml:space="preserve"> SEQ Таблица \* ARABIC </w:instrText>
      </w:r>
      <w:r w:rsidRPr="00264D5D">
        <w:rPr>
          <w:noProof/>
        </w:rPr>
        <w:fldChar w:fldCharType="separate"/>
      </w:r>
      <w:bookmarkStart w:id="2295" w:name="_Toc219309259"/>
      <w:r w:rsidR="008D797C">
        <w:rPr>
          <w:noProof/>
        </w:rPr>
        <w:t>229</w:t>
      </w:r>
      <w:r w:rsidRPr="00264D5D">
        <w:rPr>
          <w:noProof/>
        </w:rPr>
        <w:fldChar w:fldCharType="end"/>
      </w:r>
      <w:r w:rsidR="00941227" w:rsidRPr="00264D5D">
        <w:rPr>
          <w:rFonts w:eastAsia="Calibri"/>
          <w:szCs w:val="24"/>
        </w:rPr>
        <w:t xml:space="preserve"> – </w:t>
      </w:r>
      <w:r w:rsidR="00941227" w:rsidRPr="00264D5D">
        <w:t>Описание комплексного типа «</w:t>
      </w:r>
      <w:r w:rsidR="00941227" w:rsidRPr="00264D5D">
        <w:rPr>
          <w:lang w:val="en-US"/>
        </w:rPr>
        <w:t>tMSC</w:t>
      </w:r>
      <w:r w:rsidR="00941227" w:rsidRPr="00264D5D">
        <w:t>_</w:t>
      </w:r>
      <w:r w:rsidR="00941227" w:rsidRPr="00264D5D">
        <w:rPr>
          <w:lang w:val="en-US"/>
        </w:rPr>
        <w:t>LETTEROFCREDITAPP</w:t>
      </w:r>
      <w:r w:rsidR="00941227" w:rsidRPr="00264D5D">
        <w:t>»</w:t>
      </w:r>
      <w:bookmarkEnd w:id="2295"/>
    </w:p>
    <w:tbl>
      <w:tblPr>
        <w:tblStyle w:val="GOSTTable"/>
        <w:tblW w:w="9634" w:type="dxa"/>
        <w:tblLayout w:type="fixed"/>
        <w:tblLook w:val="01E0" w:firstRow="1" w:lastRow="1" w:firstColumn="1" w:lastColumn="1" w:noHBand="0" w:noVBand="0"/>
      </w:tblPr>
      <w:tblGrid>
        <w:gridCol w:w="1701"/>
        <w:gridCol w:w="1701"/>
        <w:gridCol w:w="567"/>
        <w:gridCol w:w="1134"/>
        <w:gridCol w:w="567"/>
        <w:gridCol w:w="3964"/>
      </w:tblGrid>
      <w:tr w:rsidR="00AD1F54" w:rsidRPr="00264D5D" w14:paraId="604F73AD"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6BA4587C" w14:textId="77777777" w:rsidR="00AD1F54" w:rsidRPr="00264D5D" w:rsidRDefault="00941227">
            <w:pPr>
              <w:pStyle w:val="ASFKTableHead"/>
            </w:pPr>
            <w:r w:rsidRPr="00264D5D">
              <w:t>Наименование элемента</w:t>
            </w:r>
          </w:p>
        </w:tc>
        <w:tc>
          <w:tcPr>
            <w:tcW w:w="1701" w:type="dxa"/>
          </w:tcPr>
          <w:p w14:paraId="1AE38935" w14:textId="77777777" w:rsidR="00AD1F54" w:rsidRPr="00264D5D" w:rsidRDefault="00941227">
            <w:pPr>
              <w:pStyle w:val="ASFKTableHead"/>
            </w:pPr>
            <w:r w:rsidRPr="00264D5D">
              <w:t>Сокращенное наименование (код) элемента</w:t>
            </w:r>
          </w:p>
        </w:tc>
        <w:tc>
          <w:tcPr>
            <w:tcW w:w="567" w:type="dxa"/>
          </w:tcPr>
          <w:p w14:paraId="261368FB" w14:textId="77777777" w:rsidR="00AD1F54" w:rsidRPr="00264D5D" w:rsidRDefault="00941227">
            <w:pPr>
              <w:pStyle w:val="ASFKTableHead"/>
            </w:pPr>
            <w:r w:rsidRPr="00264D5D">
              <w:t>Тип</w:t>
            </w:r>
          </w:p>
        </w:tc>
        <w:tc>
          <w:tcPr>
            <w:tcW w:w="1134" w:type="dxa"/>
          </w:tcPr>
          <w:p w14:paraId="51AF3DE6" w14:textId="77777777" w:rsidR="00AD1F54" w:rsidRPr="00264D5D" w:rsidRDefault="00941227">
            <w:pPr>
              <w:pStyle w:val="ASFKTableHead"/>
            </w:pPr>
            <w:r w:rsidRPr="00264D5D">
              <w:t>Формат элемента</w:t>
            </w:r>
          </w:p>
        </w:tc>
        <w:tc>
          <w:tcPr>
            <w:tcW w:w="567" w:type="dxa"/>
          </w:tcPr>
          <w:p w14:paraId="4AE67CCB" w14:textId="77777777" w:rsidR="00AD1F54" w:rsidRPr="00264D5D" w:rsidRDefault="00941227">
            <w:pPr>
              <w:pStyle w:val="ASFKTableHead"/>
            </w:pPr>
            <w:r w:rsidRPr="00264D5D">
              <w:t>Обязательность</w:t>
            </w:r>
          </w:p>
        </w:tc>
        <w:tc>
          <w:tcPr>
            <w:tcW w:w="3963" w:type="dxa"/>
          </w:tcPr>
          <w:p w14:paraId="074E423B" w14:textId="77777777" w:rsidR="00AD1F54" w:rsidRPr="00264D5D" w:rsidRDefault="00941227">
            <w:pPr>
              <w:pStyle w:val="ASFKTableHead"/>
            </w:pPr>
            <w:r w:rsidRPr="00264D5D">
              <w:t>Дополнительная информация</w:t>
            </w:r>
          </w:p>
        </w:tc>
      </w:tr>
      <w:tr w:rsidR="00AD1F54" w:rsidRPr="00264D5D" w14:paraId="1FE49F35"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3158E0F" w14:textId="77777777" w:rsidR="00AD1F54" w:rsidRPr="00264D5D" w:rsidRDefault="00941227">
            <w:pPr>
              <w:pStyle w:val="GOSTTablenorm"/>
            </w:pPr>
            <w:r w:rsidRPr="00264D5D">
              <w:rPr>
                <w:szCs w:val="22"/>
              </w:rPr>
              <w:t xml:space="preserve">Номер </w:t>
            </w:r>
          </w:p>
        </w:tc>
        <w:tc>
          <w:tcPr>
            <w:tcW w:w="1701" w:type="dxa"/>
          </w:tcPr>
          <w:p w14:paraId="4CF7C9F6" w14:textId="77777777" w:rsidR="00AD1F54" w:rsidRPr="00264D5D" w:rsidRDefault="00941227">
            <w:pPr>
              <w:pStyle w:val="GOSTTablenorm"/>
            </w:pPr>
            <w:r w:rsidRPr="00264D5D">
              <w:rPr>
                <w:szCs w:val="22"/>
              </w:rPr>
              <w:t>TtlPrt_DcNmbr</w:t>
            </w:r>
          </w:p>
        </w:tc>
        <w:tc>
          <w:tcPr>
            <w:tcW w:w="567" w:type="dxa"/>
          </w:tcPr>
          <w:p w14:paraId="590BCD83" w14:textId="77777777" w:rsidR="00AD1F54" w:rsidRPr="00264D5D" w:rsidRDefault="00941227">
            <w:pPr>
              <w:pStyle w:val="GOSTTablenorm"/>
              <w:jc w:val="center"/>
            </w:pPr>
            <w:r w:rsidRPr="00264D5D">
              <w:rPr>
                <w:szCs w:val="22"/>
              </w:rPr>
              <w:t>П</w:t>
            </w:r>
          </w:p>
        </w:tc>
        <w:tc>
          <w:tcPr>
            <w:tcW w:w="1134" w:type="dxa"/>
          </w:tcPr>
          <w:p w14:paraId="34D8110D" w14:textId="77777777" w:rsidR="00AD1F54" w:rsidRPr="00264D5D" w:rsidRDefault="00941227">
            <w:pPr>
              <w:pStyle w:val="GOSTTablenorm"/>
            </w:pPr>
            <w:r w:rsidRPr="00264D5D">
              <w:rPr>
                <w:szCs w:val="22"/>
              </w:rPr>
              <w:t>Т(1-50)</w:t>
            </w:r>
          </w:p>
        </w:tc>
        <w:tc>
          <w:tcPr>
            <w:tcW w:w="567" w:type="dxa"/>
          </w:tcPr>
          <w:p w14:paraId="6013003B" w14:textId="77777777" w:rsidR="00AD1F54" w:rsidRPr="00264D5D" w:rsidRDefault="00941227">
            <w:pPr>
              <w:pStyle w:val="GOSTTablenorm"/>
              <w:jc w:val="center"/>
            </w:pPr>
            <w:r w:rsidRPr="00264D5D">
              <w:rPr>
                <w:szCs w:val="22"/>
              </w:rPr>
              <w:t>О</w:t>
            </w:r>
          </w:p>
        </w:tc>
        <w:tc>
          <w:tcPr>
            <w:tcW w:w="3963" w:type="dxa"/>
          </w:tcPr>
          <w:p w14:paraId="53FCAF79" w14:textId="77777777" w:rsidR="00AD1F54" w:rsidRPr="00264D5D" w:rsidRDefault="00941227">
            <w:pPr>
              <w:pStyle w:val="GOSTTablenorm"/>
              <w:rPr>
                <w:b/>
                <w:bCs/>
              </w:rPr>
            </w:pPr>
            <w:r w:rsidRPr="00264D5D">
              <w:rPr>
                <w:szCs w:val="22"/>
              </w:rPr>
              <w:t>Указывае</w:t>
            </w:r>
            <w:r w:rsidR="008279A4" w:rsidRPr="00264D5D">
              <w:rPr>
                <w:szCs w:val="22"/>
              </w:rPr>
              <w:t>тся номер, присвоенный клиентом</w:t>
            </w:r>
          </w:p>
        </w:tc>
      </w:tr>
      <w:tr w:rsidR="00AD1F54" w:rsidRPr="00264D5D" w14:paraId="4B761681"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20BC7D76" w14:textId="77777777" w:rsidR="00AD1F54" w:rsidRPr="00264D5D" w:rsidRDefault="00941227">
            <w:pPr>
              <w:pStyle w:val="GOSTTablenorm"/>
              <w:rPr>
                <w:szCs w:val="22"/>
              </w:rPr>
            </w:pPr>
            <w:r w:rsidRPr="00264D5D">
              <w:rPr>
                <w:szCs w:val="22"/>
              </w:rPr>
              <w:t xml:space="preserve">Дата </w:t>
            </w:r>
          </w:p>
        </w:tc>
        <w:tc>
          <w:tcPr>
            <w:tcW w:w="1701" w:type="dxa"/>
          </w:tcPr>
          <w:p w14:paraId="7A25DD19" w14:textId="77777777" w:rsidR="00AD1F54" w:rsidRPr="00264D5D" w:rsidRDefault="00941227">
            <w:pPr>
              <w:pStyle w:val="GOSTTablenorm"/>
              <w:rPr>
                <w:szCs w:val="22"/>
              </w:rPr>
            </w:pPr>
            <w:r w:rsidRPr="00264D5D">
              <w:rPr>
                <w:szCs w:val="22"/>
              </w:rPr>
              <w:t>TtlPrt_DcDt</w:t>
            </w:r>
          </w:p>
        </w:tc>
        <w:tc>
          <w:tcPr>
            <w:tcW w:w="567" w:type="dxa"/>
          </w:tcPr>
          <w:p w14:paraId="19A001FE" w14:textId="77777777" w:rsidR="00AD1F54" w:rsidRPr="00264D5D" w:rsidRDefault="00941227">
            <w:pPr>
              <w:pStyle w:val="GOSTTablenorm"/>
              <w:jc w:val="center"/>
              <w:rPr>
                <w:szCs w:val="22"/>
              </w:rPr>
            </w:pPr>
            <w:r w:rsidRPr="00264D5D">
              <w:rPr>
                <w:szCs w:val="22"/>
              </w:rPr>
              <w:t>П</w:t>
            </w:r>
          </w:p>
        </w:tc>
        <w:tc>
          <w:tcPr>
            <w:tcW w:w="1134" w:type="dxa"/>
          </w:tcPr>
          <w:p w14:paraId="2A793522" w14:textId="77777777" w:rsidR="00AD1F54" w:rsidRPr="00264D5D" w:rsidRDefault="00941227">
            <w:pPr>
              <w:pStyle w:val="GOSTTablenorm"/>
              <w:rPr>
                <w:szCs w:val="22"/>
              </w:rPr>
            </w:pPr>
            <w:r w:rsidRPr="00264D5D">
              <w:rPr>
                <w:szCs w:val="22"/>
                <w:lang w:val="en-US"/>
              </w:rPr>
              <w:t>Date</w:t>
            </w:r>
          </w:p>
        </w:tc>
        <w:tc>
          <w:tcPr>
            <w:tcW w:w="567" w:type="dxa"/>
          </w:tcPr>
          <w:p w14:paraId="06F81440" w14:textId="77777777" w:rsidR="00AD1F54" w:rsidRPr="00264D5D" w:rsidRDefault="00941227">
            <w:pPr>
              <w:pStyle w:val="GOSTTablenorm"/>
              <w:jc w:val="center"/>
              <w:rPr>
                <w:szCs w:val="22"/>
              </w:rPr>
            </w:pPr>
            <w:r w:rsidRPr="00264D5D">
              <w:rPr>
                <w:szCs w:val="22"/>
              </w:rPr>
              <w:t>О</w:t>
            </w:r>
          </w:p>
        </w:tc>
        <w:tc>
          <w:tcPr>
            <w:tcW w:w="3963" w:type="dxa"/>
          </w:tcPr>
          <w:p w14:paraId="762D85E2" w14:textId="77777777" w:rsidR="00AD1F54" w:rsidRPr="00264D5D" w:rsidRDefault="00941227">
            <w:pPr>
              <w:pStyle w:val="GOSTTablenorm"/>
              <w:rPr>
                <w:szCs w:val="22"/>
              </w:rPr>
            </w:pPr>
            <w:r w:rsidRPr="00264D5D">
              <w:rPr>
                <w:szCs w:val="22"/>
              </w:rPr>
              <w:t xml:space="preserve">Указывается дата, </w:t>
            </w:r>
            <w:r w:rsidR="008279A4" w:rsidRPr="00264D5D">
              <w:rPr>
                <w:szCs w:val="22"/>
              </w:rPr>
              <w:t>на которую сформирован документ</w:t>
            </w:r>
          </w:p>
        </w:tc>
      </w:tr>
      <w:tr w:rsidR="00AD1F54" w:rsidRPr="00264D5D" w14:paraId="2FE18F7B"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C4A1FD1" w14:textId="77777777" w:rsidR="00AD1F54" w:rsidRPr="00264D5D" w:rsidRDefault="00941227">
            <w:pPr>
              <w:pStyle w:val="GOSTTablenorm"/>
              <w:rPr>
                <w:szCs w:val="22"/>
              </w:rPr>
            </w:pPr>
            <w:r w:rsidRPr="00264D5D">
              <w:rPr>
                <w:szCs w:val="22"/>
              </w:rPr>
              <w:t>Вид документа</w:t>
            </w:r>
          </w:p>
        </w:tc>
        <w:tc>
          <w:tcPr>
            <w:tcW w:w="1701" w:type="dxa"/>
          </w:tcPr>
          <w:p w14:paraId="12B35D4F" w14:textId="77777777" w:rsidR="00AD1F54" w:rsidRPr="00264D5D" w:rsidRDefault="00941227">
            <w:pPr>
              <w:pStyle w:val="GOSTTablenorm"/>
              <w:rPr>
                <w:szCs w:val="22"/>
              </w:rPr>
            </w:pPr>
            <w:r w:rsidRPr="00264D5D">
              <w:rPr>
                <w:szCs w:val="22"/>
              </w:rPr>
              <w:t>TtlPrt_ApplTypeNotFounded</w:t>
            </w:r>
          </w:p>
        </w:tc>
        <w:tc>
          <w:tcPr>
            <w:tcW w:w="567" w:type="dxa"/>
          </w:tcPr>
          <w:p w14:paraId="060F6503" w14:textId="77777777" w:rsidR="00AD1F54" w:rsidRPr="00264D5D" w:rsidRDefault="00941227">
            <w:pPr>
              <w:pStyle w:val="GOSTTablenorm"/>
              <w:jc w:val="center"/>
              <w:rPr>
                <w:szCs w:val="22"/>
              </w:rPr>
            </w:pPr>
            <w:r w:rsidRPr="00264D5D">
              <w:rPr>
                <w:szCs w:val="22"/>
              </w:rPr>
              <w:t>П</w:t>
            </w:r>
          </w:p>
        </w:tc>
        <w:tc>
          <w:tcPr>
            <w:tcW w:w="1134" w:type="dxa"/>
          </w:tcPr>
          <w:p w14:paraId="17A2D83E" w14:textId="77777777" w:rsidR="00AD1F54" w:rsidRPr="00264D5D" w:rsidRDefault="00941227">
            <w:pPr>
              <w:pStyle w:val="GOSTTablenorm"/>
              <w:rPr>
                <w:szCs w:val="22"/>
                <w:lang w:val="en-US"/>
              </w:rPr>
            </w:pPr>
            <w:r w:rsidRPr="00264D5D">
              <w:rPr>
                <w:szCs w:val="22"/>
              </w:rPr>
              <w:t>Т(1-100)</w:t>
            </w:r>
          </w:p>
        </w:tc>
        <w:tc>
          <w:tcPr>
            <w:tcW w:w="567" w:type="dxa"/>
          </w:tcPr>
          <w:p w14:paraId="5D4E862F" w14:textId="77777777" w:rsidR="00AD1F54" w:rsidRPr="00264D5D" w:rsidRDefault="00941227">
            <w:pPr>
              <w:pStyle w:val="GOSTTablenorm"/>
              <w:jc w:val="center"/>
              <w:rPr>
                <w:szCs w:val="22"/>
              </w:rPr>
            </w:pPr>
            <w:r w:rsidRPr="00264D5D">
              <w:rPr>
                <w:szCs w:val="22"/>
              </w:rPr>
              <w:t>О</w:t>
            </w:r>
          </w:p>
        </w:tc>
        <w:tc>
          <w:tcPr>
            <w:tcW w:w="3963" w:type="dxa"/>
          </w:tcPr>
          <w:p w14:paraId="287E93BD" w14:textId="77777777" w:rsidR="00AD1F54" w:rsidRPr="00264D5D" w:rsidRDefault="00941227">
            <w:pPr>
              <w:pStyle w:val="GOSTTablenorm"/>
              <w:rPr>
                <w:szCs w:val="22"/>
              </w:rPr>
            </w:pPr>
            <w:r w:rsidRPr="00264D5D">
              <w:rPr>
                <w:szCs w:val="22"/>
              </w:rPr>
              <w:t>Указывается вид заявления. Возможные значения:</w:t>
            </w:r>
          </w:p>
          <w:p w14:paraId="1AF68B42" w14:textId="77777777" w:rsidR="00AD1F54" w:rsidRPr="00264D5D" w:rsidRDefault="00941227" w:rsidP="00E7460C">
            <w:pPr>
              <w:pStyle w:val="GOSTTablenorm"/>
              <w:numPr>
                <w:ilvl w:val="0"/>
                <w:numId w:val="80"/>
              </w:numPr>
              <w:ind w:left="284" w:hanging="227"/>
            </w:pPr>
            <w:r w:rsidRPr="00264D5D">
              <w:t>на выдачу Казначейского обеспечения обязательств;</w:t>
            </w:r>
          </w:p>
          <w:p w14:paraId="7F493565" w14:textId="77777777" w:rsidR="00AD1F54" w:rsidRPr="00264D5D" w:rsidRDefault="00941227" w:rsidP="00E7460C">
            <w:pPr>
              <w:pStyle w:val="GOSTTablenorm"/>
              <w:numPr>
                <w:ilvl w:val="0"/>
                <w:numId w:val="80"/>
              </w:numPr>
              <w:ind w:left="284" w:hanging="227"/>
            </w:pPr>
            <w:r w:rsidRPr="00264D5D">
              <w:t>на перевод Казначейского обеспечения обязательств;</w:t>
            </w:r>
          </w:p>
          <w:p w14:paraId="36925C67" w14:textId="77777777" w:rsidR="00AD1F54" w:rsidRPr="00264D5D" w:rsidRDefault="00941227" w:rsidP="00E7460C">
            <w:pPr>
              <w:pStyle w:val="GOSTTablenorm"/>
              <w:numPr>
                <w:ilvl w:val="0"/>
                <w:numId w:val="80"/>
              </w:numPr>
              <w:ind w:left="284" w:hanging="227"/>
            </w:pPr>
            <w:r w:rsidRPr="00264D5D">
              <w:t>на изменение Казначейского обеспечения обязательств;</w:t>
            </w:r>
          </w:p>
          <w:p w14:paraId="27EFA6DF" w14:textId="77777777" w:rsidR="00AD1F54" w:rsidRPr="00264D5D" w:rsidRDefault="00941227" w:rsidP="00E7460C">
            <w:pPr>
              <w:pStyle w:val="GOSTTablenorm"/>
              <w:numPr>
                <w:ilvl w:val="0"/>
                <w:numId w:val="80"/>
              </w:numPr>
              <w:ind w:left="284" w:hanging="227"/>
              <w:rPr>
                <w:szCs w:val="22"/>
              </w:rPr>
            </w:pPr>
            <w:r w:rsidRPr="00264D5D">
              <w:t xml:space="preserve">на отзыв Казначейского </w:t>
            </w:r>
            <w:r w:rsidR="008279A4" w:rsidRPr="00264D5D">
              <w:t>обеспечения обязательств</w:t>
            </w:r>
          </w:p>
        </w:tc>
      </w:tr>
      <w:tr w:rsidR="00AD1F54" w:rsidRPr="00264D5D" w14:paraId="67A12EF5" w14:textId="77777777" w:rsidTr="00AD1F54">
        <w:trPr>
          <w:cnfStyle w:val="000000010000" w:firstRow="0" w:lastRow="0" w:firstColumn="0" w:lastColumn="0" w:oddVBand="0" w:evenVBand="0" w:oddHBand="0" w:evenHBand="1" w:firstRowFirstColumn="0" w:firstRowLastColumn="0" w:lastRowFirstColumn="0" w:lastRowLastColumn="0"/>
        </w:trPr>
        <w:tc>
          <w:tcPr>
            <w:tcW w:w="9634" w:type="dxa"/>
            <w:gridSpan w:val="6"/>
          </w:tcPr>
          <w:p w14:paraId="7B4A2CAF" w14:textId="77777777" w:rsidR="00AD1F54" w:rsidRPr="00264D5D" w:rsidRDefault="00941227">
            <w:pPr>
              <w:pStyle w:val="GOSTTablenorm"/>
              <w:rPr>
                <w:szCs w:val="22"/>
              </w:rPr>
            </w:pPr>
            <w:r w:rsidRPr="00264D5D">
              <w:rPr>
                <w:b/>
                <w:szCs w:val="22"/>
              </w:rPr>
              <w:t>Реквизиты «От кого»</w:t>
            </w:r>
          </w:p>
        </w:tc>
      </w:tr>
      <w:tr w:rsidR="00AD1F54" w:rsidRPr="00264D5D" w14:paraId="2DAF933B"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D9350BC" w14:textId="77777777" w:rsidR="00AD1F54" w:rsidRPr="00264D5D" w:rsidRDefault="00941227">
            <w:pPr>
              <w:pStyle w:val="GOSTTablenorm"/>
              <w:rPr>
                <w:szCs w:val="22"/>
              </w:rPr>
            </w:pPr>
            <w:r w:rsidRPr="00264D5D">
              <w:rPr>
                <w:szCs w:val="22"/>
              </w:rPr>
              <w:t>От кого: Получатель бюджетных средств (организация)</w:t>
            </w:r>
          </w:p>
        </w:tc>
        <w:tc>
          <w:tcPr>
            <w:tcW w:w="1701" w:type="dxa"/>
          </w:tcPr>
          <w:p w14:paraId="078D0D13" w14:textId="77777777" w:rsidR="00AD1F54" w:rsidRPr="00264D5D" w:rsidRDefault="00941227">
            <w:pPr>
              <w:pStyle w:val="GOSTTablenorm"/>
              <w:rPr>
                <w:szCs w:val="22"/>
              </w:rPr>
            </w:pPr>
            <w:r w:rsidRPr="00264D5D">
              <w:rPr>
                <w:szCs w:val="22"/>
              </w:rPr>
              <w:t>TtlPrt_SND_PBS</w:t>
            </w:r>
          </w:p>
        </w:tc>
        <w:tc>
          <w:tcPr>
            <w:tcW w:w="567" w:type="dxa"/>
          </w:tcPr>
          <w:p w14:paraId="493B3E09" w14:textId="77777777" w:rsidR="00AD1F54" w:rsidRPr="00264D5D" w:rsidRDefault="00941227">
            <w:pPr>
              <w:pStyle w:val="GOSTTablenorm"/>
              <w:jc w:val="center"/>
              <w:rPr>
                <w:szCs w:val="22"/>
              </w:rPr>
            </w:pPr>
            <w:r w:rsidRPr="00264D5D">
              <w:rPr>
                <w:szCs w:val="22"/>
              </w:rPr>
              <w:t>С</w:t>
            </w:r>
          </w:p>
        </w:tc>
        <w:tc>
          <w:tcPr>
            <w:tcW w:w="1134" w:type="dxa"/>
          </w:tcPr>
          <w:p w14:paraId="00C7B897" w14:textId="77777777" w:rsidR="00AD1F54" w:rsidRPr="00264D5D" w:rsidRDefault="00941227">
            <w:pPr>
              <w:pStyle w:val="GOSTTablenorm"/>
              <w:rPr>
                <w:szCs w:val="22"/>
              </w:rPr>
            </w:pPr>
            <w:r w:rsidRPr="00264D5D">
              <w:rPr>
                <w:szCs w:val="22"/>
              </w:rPr>
              <w:t>tMSC_PBS_UBP</w:t>
            </w:r>
          </w:p>
        </w:tc>
        <w:tc>
          <w:tcPr>
            <w:tcW w:w="567" w:type="dxa"/>
          </w:tcPr>
          <w:p w14:paraId="090119C1" w14:textId="77777777" w:rsidR="00AD1F54" w:rsidRPr="00264D5D" w:rsidRDefault="00941227">
            <w:pPr>
              <w:pStyle w:val="GOSTTablenorm"/>
              <w:jc w:val="center"/>
              <w:rPr>
                <w:szCs w:val="22"/>
              </w:rPr>
            </w:pPr>
            <w:r w:rsidRPr="00264D5D">
              <w:rPr>
                <w:szCs w:val="22"/>
              </w:rPr>
              <w:t>О</w:t>
            </w:r>
          </w:p>
        </w:tc>
        <w:tc>
          <w:tcPr>
            <w:tcW w:w="3963" w:type="dxa"/>
          </w:tcPr>
          <w:p w14:paraId="0A45AAA1" w14:textId="1BD9AA3C" w:rsidR="00AD1F54" w:rsidRPr="00264D5D" w:rsidRDefault="00941227">
            <w:pPr>
              <w:pStyle w:val="GOSTTablenorm"/>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_Ref17447942 \h  \* MERGEFORMAT </w:instrText>
            </w:r>
            <w:r w:rsidRPr="00264D5D">
              <w:rPr>
                <w:b/>
                <w:szCs w:val="22"/>
              </w:rPr>
            </w:r>
            <w:r w:rsidRPr="00264D5D">
              <w:rPr>
                <w:b/>
                <w:szCs w:val="22"/>
              </w:rPr>
              <w:fldChar w:fldCharType="separate"/>
            </w:r>
            <w:r w:rsidR="008D797C" w:rsidRPr="008D797C">
              <w:rPr>
                <w:b/>
                <w:szCs w:val="22"/>
              </w:rPr>
              <w:t>231</w:t>
            </w:r>
            <w:r w:rsidRPr="00264D5D">
              <w:rPr>
                <w:b/>
                <w:szCs w:val="22"/>
              </w:rPr>
              <w:fldChar w:fldCharType="end"/>
            </w:r>
          </w:p>
        </w:tc>
      </w:tr>
      <w:tr w:rsidR="00AD1F54" w:rsidRPr="00264D5D" w14:paraId="0A4652E6"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43B00B1F" w14:textId="77777777" w:rsidR="00AD1F54" w:rsidRPr="00264D5D" w:rsidRDefault="00941227">
            <w:pPr>
              <w:pStyle w:val="GOSTTablenorm"/>
              <w:rPr>
                <w:szCs w:val="22"/>
              </w:rPr>
            </w:pPr>
            <w:r w:rsidRPr="00264D5D">
              <w:rPr>
                <w:szCs w:val="22"/>
              </w:rPr>
              <w:t>От кого:</w:t>
            </w:r>
          </w:p>
          <w:p w14:paraId="53A78DCC" w14:textId="77777777" w:rsidR="00AD1F54" w:rsidRPr="00264D5D" w:rsidRDefault="00941227">
            <w:pPr>
              <w:pStyle w:val="GOSTTablenorm"/>
              <w:rPr>
                <w:szCs w:val="22"/>
              </w:rPr>
            </w:pPr>
            <w:r w:rsidRPr="00264D5D">
              <w:rPr>
                <w:szCs w:val="22"/>
              </w:rPr>
              <w:t>Код по ОКПО</w:t>
            </w:r>
          </w:p>
        </w:tc>
        <w:tc>
          <w:tcPr>
            <w:tcW w:w="1701" w:type="dxa"/>
          </w:tcPr>
          <w:p w14:paraId="5DF7B20F" w14:textId="77777777" w:rsidR="00AD1F54" w:rsidRPr="00264D5D" w:rsidRDefault="00941227">
            <w:pPr>
              <w:pStyle w:val="GOSTTablenorm"/>
              <w:rPr>
                <w:szCs w:val="22"/>
              </w:rPr>
            </w:pPr>
            <w:r w:rsidRPr="00264D5D">
              <w:rPr>
                <w:szCs w:val="22"/>
              </w:rPr>
              <w:t>TtlPrt_SND_OKPOCd</w:t>
            </w:r>
          </w:p>
        </w:tc>
        <w:tc>
          <w:tcPr>
            <w:tcW w:w="567" w:type="dxa"/>
          </w:tcPr>
          <w:p w14:paraId="0276D952" w14:textId="77777777" w:rsidR="00AD1F54" w:rsidRPr="00264D5D" w:rsidRDefault="00941227">
            <w:pPr>
              <w:pStyle w:val="GOSTTablenorm"/>
              <w:jc w:val="center"/>
              <w:rPr>
                <w:szCs w:val="22"/>
              </w:rPr>
            </w:pPr>
            <w:r w:rsidRPr="00264D5D">
              <w:rPr>
                <w:szCs w:val="22"/>
              </w:rPr>
              <w:t>П</w:t>
            </w:r>
          </w:p>
        </w:tc>
        <w:tc>
          <w:tcPr>
            <w:tcW w:w="1134" w:type="dxa"/>
          </w:tcPr>
          <w:p w14:paraId="247BD989" w14:textId="77777777" w:rsidR="00AD1F54" w:rsidRPr="00264D5D" w:rsidRDefault="00941227">
            <w:pPr>
              <w:pStyle w:val="GOSTTablenorm"/>
              <w:rPr>
                <w:szCs w:val="22"/>
              </w:rPr>
            </w:pPr>
            <w:r w:rsidRPr="00264D5D">
              <w:rPr>
                <w:szCs w:val="22"/>
              </w:rPr>
              <w:t>Т(1-10)</w:t>
            </w:r>
          </w:p>
        </w:tc>
        <w:tc>
          <w:tcPr>
            <w:tcW w:w="567" w:type="dxa"/>
          </w:tcPr>
          <w:p w14:paraId="3E551FD5" w14:textId="77777777" w:rsidR="00AD1F54" w:rsidRPr="00264D5D" w:rsidRDefault="00941227">
            <w:pPr>
              <w:pStyle w:val="GOSTTablenorm"/>
              <w:jc w:val="center"/>
              <w:rPr>
                <w:szCs w:val="22"/>
              </w:rPr>
            </w:pPr>
            <w:r w:rsidRPr="00264D5D">
              <w:rPr>
                <w:szCs w:val="22"/>
              </w:rPr>
              <w:t>Н</w:t>
            </w:r>
          </w:p>
        </w:tc>
        <w:tc>
          <w:tcPr>
            <w:tcW w:w="3963" w:type="dxa"/>
          </w:tcPr>
          <w:p w14:paraId="62B30EA9" w14:textId="77777777" w:rsidR="00AD1F54" w:rsidRPr="00264D5D" w:rsidRDefault="00941227">
            <w:pPr>
              <w:pStyle w:val="GOSTTablenorm"/>
              <w:rPr>
                <w:szCs w:val="22"/>
              </w:rPr>
            </w:pPr>
            <w:r w:rsidRPr="00264D5D">
              <w:rPr>
                <w:szCs w:val="22"/>
              </w:rPr>
              <w:t>Указывается код по ОКПО</w:t>
            </w:r>
            <w:r w:rsidR="008279A4" w:rsidRPr="00264D5D">
              <w:rPr>
                <w:szCs w:val="22"/>
              </w:rPr>
              <w:t xml:space="preserve"> клиента, формирующего документ</w:t>
            </w:r>
          </w:p>
        </w:tc>
      </w:tr>
      <w:tr w:rsidR="00AD1F54" w:rsidRPr="00264D5D" w14:paraId="34A948FB"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6E6EB71" w14:textId="77777777" w:rsidR="00AD1F54" w:rsidRPr="00264D5D" w:rsidRDefault="00941227">
            <w:pPr>
              <w:pStyle w:val="GOSTTablenorm"/>
              <w:rPr>
                <w:szCs w:val="22"/>
              </w:rPr>
            </w:pPr>
            <w:r w:rsidRPr="00264D5D">
              <w:rPr>
                <w:szCs w:val="22"/>
              </w:rPr>
              <w:t>От кого:</w:t>
            </w:r>
          </w:p>
          <w:p w14:paraId="23E31622" w14:textId="77777777" w:rsidR="00AD1F54" w:rsidRPr="00264D5D" w:rsidRDefault="00941227">
            <w:pPr>
              <w:pStyle w:val="GOSTTablenorm"/>
              <w:rPr>
                <w:szCs w:val="22"/>
              </w:rPr>
            </w:pPr>
            <w:r w:rsidRPr="00264D5D">
              <w:rPr>
                <w:szCs w:val="22"/>
              </w:rPr>
              <w:t>Номер л/с</w:t>
            </w:r>
          </w:p>
        </w:tc>
        <w:tc>
          <w:tcPr>
            <w:tcW w:w="1701" w:type="dxa"/>
          </w:tcPr>
          <w:p w14:paraId="59D4E626" w14:textId="77777777" w:rsidR="00AD1F54" w:rsidRPr="00264D5D" w:rsidRDefault="00941227">
            <w:pPr>
              <w:pStyle w:val="GOSTTablenorm"/>
              <w:rPr>
                <w:szCs w:val="22"/>
              </w:rPr>
            </w:pPr>
            <w:r w:rsidRPr="00264D5D">
              <w:rPr>
                <w:szCs w:val="22"/>
              </w:rPr>
              <w:t>TtlPrt_SND_NmbLS</w:t>
            </w:r>
          </w:p>
        </w:tc>
        <w:tc>
          <w:tcPr>
            <w:tcW w:w="567" w:type="dxa"/>
          </w:tcPr>
          <w:p w14:paraId="578E2ACD" w14:textId="77777777" w:rsidR="00AD1F54" w:rsidRPr="00264D5D" w:rsidRDefault="00941227">
            <w:pPr>
              <w:pStyle w:val="GOSTTablenorm"/>
              <w:jc w:val="center"/>
              <w:rPr>
                <w:szCs w:val="22"/>
              </w:rPr>
            </w:pPr>
            <w:r w:rsidRPr="00264D5D">
              <w:rPr>
                <w:szCs w:val="22"/>
              </w:rPr>
              <w:t>П</w:t>
            </w:r>
          </w:p>
        </w:tc>
        <w:tc>
          <w:tcPr>
            <w:tcW w:w="1134" w:type="dxa"/>
          </w:tcPr>
          <w:p w14:paraId="040CE300" w14:textId="77777777" w:rsidR="00AD1F54" w:rsidRPr="00264D5D" w:rsidRDefault="00941227">
            <w:pPr>
              <w:pStyle w:val="GOSTTablenorm"/>
              <w:rPr>
                <w:szCs w:val="22"/>
              </w:rPr>
            </w:pPr>
            <w:r w:rsidRPr="00264D5D">
              <w:rPr>
                <w:szCs w:val="22"/>
              </w:rPr>
              <w:t>Т(11)</w:t>
            </w:r>
          </w:p>
        </w:tc>
        <w:tc>
          <w:tcPr>
            <w:tcW w:w="567" w:type="dxa"/>
          </w:tcPr>
          <w:p w14:paraId="7D6D3962" w14:textId="77777777" w:rsidR="00AD1F54" w:rsidRPr="00264D5D" w:rsidRDefault="00941227">
            <w:pPr>
              <w:pStyle w:val="GOSTTablenorm"/>
              <w:jc w:val="center"/>
              <w:rPr>
                <w:szCs w:val="22"/>
              </w:rPr>
            </w:pPr>
            <w:r w:rsidRPr="00264D5D">
              <w:rPr>
                <w:szCs w:val="22"/>
              </w:rPr>
              <w:t>О</w:t>
            </w:r>
          </w:p>
        </w:tc>
        <w:tc>
          <w:tcPr>
            <w:tcW w:w="3963" w:type="dxa"/>
          </w:tcPr>
          <w:p w14:paraId="623F6241" w14:textId="77777777" w:rsidR="00AD1F54" w:rsidRPr="00264D5D" w:rsidRDefault="00941227">
            <w:pPr>
              <w:pStyle w:val="GOSTTablenorm"/>
              <w:rPr>
                <w:szCs w:val="22"/>
              </w:rPr>
            </w:pPr>
            <w:r w:rsidRPr="00264D5D">
              <w:rPr>
                <w:szCs w:val="22"/>
              </w:rPr>
              <w:t xml:space="preserve">Указывается номер лицевого счета клиента, формирующего документ, открытый в </w:t>
            </w:r>
            <w:r w:rsidR="008279A4" w:rsidRPr="00264D5D">
              <w:rPr>
                <w:szCs w:val="22"/>
              </w:rPr>
              <w:t xml:space="preserve">территориальном </w:t>
            </w:r>
            <w:r w:rsidRPr="00264D5D">
              <w:rPr>
                <w:szCs w:val="22"/>
              </w:rPr>
              <w:t>о</w:t>
            </w:r>
            <w:r w:rsidR="008279A4" w:rsidRPr="00264D5D">
              <w:rPr>
                <w:szCs w:val="22"/>
              </w:rPr>
              <w:t>ргане Федерального казначейства</w:t>
            </w:r>
          </w:p>
        </w:tc>
      </w:tr>
      <w:tr w:rsidR="00AD1F54" w:rsidRPr="00264D5D" w14:paraId="0418E6A0" w14:textId="77777777" w:rsidTr="00AD1F54">
        <w:trPr>
          <w:cnfStyle w:val="000000010000" w:firstRow="0" w:lastRow="0" w:firstColumn="0" w:lastColumn="0" w:oddVBand="0" w:evenVBand="0" w:oddHBand="0" w:evenHBand="1" w:firstRowFirstColumn="0" w:firstRowLastColumn="0" w:lastRowFirstColumn="0" w:lastRowLastColumn="0"/>
        </w:trPr>
        <w:tc>
          <w:tcPr>
            <w:tcW w:w="9634" w:type="dxa"/>
            <w:gridSpan w:val="6"/>
          </w:tcPr>
          <w:p w14:paraId="5D619834" w14:textId="77777777" w:rsidR="00AD1F54" w:rsidRPr="00264D5D" w:rsidRDefault="00941227">
            <w:pPr>
              <w:pStyle w:val="GOSTTablenorm"/>
              <w:rPr>
                <w:szCs w:val="22"/>
              </w:rPr>
            </w:pPr>
            <w:r w:rsidRPr="00264D5D">
              <w:rPr>
                <w:b/>
                <w:szCs w:val="22"/>
              </w:rPr>
              <w:t>Реквизиты «Кому»</w:t>
            </w:r>
          </w:p>
        </w:tc>
      </w:tr>
      <w:tr w:rsidR="00AD1F54" w:rsidRPr="00264D5D" w14:paraId="60AD2798"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A543289" w14:textId="77777777" w:rsidR="00AD1F54" w:rsidRPr="00264D5D" w:rsidRDefault="00941227">
            <w:pPr>
              <w:pStyle w:val="GOSTTablenorm"/>
              <w:rPr>
                <w:szCs w:val="22"/>
              </w:rPr>
            </w:pPr>
            <w:r w:rsidRPr="00264D5D">
              <w:rPr>
                <w:szCs w:val="22"/>
              </w:rPr>
              <w:t>Кому: ТОФК</w:t>
            </w:r>
          </w:p>
        </w:tc>
        <w:tc>
          <w:tcPr>
            <w:tcW w:w="1701" w:type="dxa"/>
          </w:tcPr>
          <w:p w14:paraId="1B238445" w14:textId="77777777" w:rsidR="00AD1F54" w:rsidRPr="00264D5D" w:rsidRDefault="00941227">
            <w:pPr>
              <w:pStyle w:val="GOSTTablenorm"/>
              <w:rPr>
                <w:szCs w:val="22"/>
              </w:rPr>
            </w:pPr>
            <w:r w:rsidRPr="00264D5D">
              <w:rPr>
                <w:szCs w:val="22"/>
              </w:rPr>
              <w:t>TtlPrt_RCV_TOFK</w:t>
            </w:r>
          </w:p>
        </w:tc>
        <w:tc>
          <w:tcPr>
            <w:tcW w:w="567" w:type="dxa"/>
          </w:tcPr>
          <w:p w14:paraId="3C95FE05" w14:textId="77777777" w:rsidR="00AD1F54" w:rsidRPr="00264D5D" w:rsidRDefault="00941227">
            <w:pPr>
              <w:pStyle w:val="GOSTTablenorm"/>
              <w:jc w:val="center"/>
              <w:rPr>
                <w:szCs w:val="22"/>
              </w:rPr>
            </w:pPr>
            <w:r w:rsidRPr="00264D5D">
              <w:rPr>
                <w:szCs w:val="22"/>
              </w:rPr>
              <w:t>С</w:t>
            </w:r>
          </w:p>
        </w:tc>
        <w:tc>
          <w:tcPr>
            <w:tcW w:w="1134" w:type="dxa"/>
          </w:tcPr>
          <w:p w14:paraId="613ECD12" w14:textId="77777777" w:rsidR="00AD1F54" w:rsidRPr="00264D5D" w:rsidRDefault="00941227">
            <w:pPr>
              <w:pStyle w:val="GOSTTablenorm"/>
              <w:rPr>
                <w:szCs w:val="22"/>
              </w:rPr>
            </w:pPr>
            <w:r w:rsidRPr="00264D5D">
              <w:rPr>
                <w:szCs w:val="22"/>
              </w:rPr>
              <w:t>tMSC_TOFK</w:t>
            </w:r>
          </w:p>
        </w:tc>
        <w:tc>
          <w:tcPr>
            <w:tcW w:w="567" w:type="dxa"/>
          </w:tcPr>
          <w:p w14:paraId="414E21C7" w14:textId="77777777" w:rsidR="00AD1F54" w:rsidRPr="00264D5D" w:rsidRDefault="00941227">
            <w:pPr>
              <w:pStyle w:val="GOSTTablenorm"/>
              <w:jc w:val="center"/>
              <w:rPr>
                <w:szCs w:val="22"/>
              </w:rPr>
            </w:pPr>
            <w:r w:rsidRPr="00264D5D">
              <w:rPr>
                <w:szCs w:val="22"/>
              </w:rPr>
              <w:t>О</w:t>
            </w:r>
          </w:p>
        </w:tc>
        <w:tc>
          <w:tcPr>
            <w:tcW w:w="3963" w:type="dxa"/>
          </w:tcPr>
          <w:p w14:paraId="6D729AE5" w14:textId="3A5F0374" w:rsidR="00AD1F54" w:rsidRPr="00264D5D" w:rsidRDefault="00941227">
            <w:pPr>
              <w:pStyle w:val="GOSTTablenorm"/>
              <w:rPr>
                <w:szCs w:val="22"/>
              </w:rPr>
            </w:pPr>
            <w:r w:rsidRPr="00264D5D">
              <w:rPr>
                <w:szCs w:val="22"/>
              </w:rPr>
              <w:t xml:space="preserve">Состав элемента представлен в таблице </w:t>
            </w:r>
            <w:r w:rsidRPr="00264D5D">
              <w:rPr>
                <w:b/>
              </w:rPr>
              <w:fldChar w:fldCharType="begin"/>
            </w:r>
            <w:r w:rsidRPr="00264D5D">
              <w:rPr>
                <w:b/>
                <w:szCs w:val="22"/>
              </w:rPr>
              <w:instrText xml:space="preserve"> REF _Ref17447943 \h </w:instrText>
            </w:r>
            <w:r w:rsidRPr="00264D5D">
              <w:rPr>
                <w:b/>
              </w:rPr>
              <w:instrText xml:space="preserve"> \* MERGEFORMAT </w:instrText>
            </w:r>
            <w:r w:rsidRPr="00264D5D">
              <w:rPr>
                <w:b/>
              </w:rPr>
            </w:r>
            <w:r w:rsidRPr="00264D5D">
              <w:rPr>
                <w:b/>
              </w:rPr>
              <w:fldChar w:fldCharType="separate"/>
            </w:r>
            <w:r w:rsidR="008D797C" w:rsidRPr="008D797C">
              <w:rPr>
                <w:b/>
              </w:rPr>
              <w:t>230</w:t>
            </w:r>
            <w:r w:rsidRPr="00264D5D">
              <w:rPr>
                <w:b/>
              </w:rPr>
              <w:fldChar w:fldCharType="end"/>
            </w:r>
          </w:p>
        </w:tc>
      </w:tr>
      <w:tr w:rsidR="00AD1F54" w:rsidRPr="00264D5D" w14:paraId="5727DDC3"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6DD4DB57" w14:textId="77777777" w:rsidR="00AD1F54" w:rsidRPr="00264D5D" w:rsidRDefault="00941227">
            <w:pPr>
              <w:pStyle w:val="GOSTTablenorm"/>
              <w:rPr>
                <w:szCs w:val="22"/>
              </w:rPr>
            </w:pPr>
            <w:r w:rsidRPr="00264D5D">
              <w:rPr>
                <w:szCs w:val="22"/>
              </w:rPr>
              <w:t>Кому:</w:t>
            </w:r>
          </w:p>
          <w:p w14:paraId="19EF92BE" w14:textId="77777777" w:rsidR="00AD1F54" w:rsidRPr="00264D5D" w:rsidRDefault="00941227">
            <w:pPr>
              <w:pStyle w:val="GOSTTablenorm"/>
              <w:rPr>
                <w:szCs w:val="22"/>
              </w:rPr>
            </w:pPr>
            <w:r w:rsidRPr="00264D5D">
              <w:rPr>
                <w:szCs w:val="22"/>
              </w:rPr>
              <w:t>Код по ОКПО ТОФК</w:t>
            </w:r>
          </w:p>
        </w:tc>
        <w:tc>
          <w:tcPr>
            <w:tcW w:w="1701" w:type="dxa"/>
          </w:tcPr>
          <w:p w14:paraId="16DD3980" w14:textId="77777777" w:rsidR="00AD1F54" w:rsidRPr="00264D5D" w:rsidRDefault="00941227">
            <w:pPr>
              <w:pStyle w:val="GOSTTablenorm"/>
              <w:rPr>
                <w:szCs w:val="22"/>
              </w:rPr>
            </w:pPr>
            <w:r w:rsidRPr="00264D5D">
              <w:rPr>
                <w:szCs w:val="22"/>
              </w:rPr>
              <w:t>TtlPrt_RCV_OKPOCd</w:t>
            </w:r>
          </w:p>
        </w:tc>
        <w:tc>
          <w:tcPr>
            <w:tcW w:w="567" w:type="dxa"/>
          </w:tcPr>
          <w:p w14:paraId="3FF39900" w14:textId="77777777" w:rsidR="00AD1F54" w:rsidRPr="00264D5D" w:rsidRDefault="00941227">
            <w:pPr>
              <w:pStyle w:val="GOSTTablenorm"/>
              <w:jc w:val="center"/>
              <w:rPr>
                <w:szCs w:val="22"/>
              </w:rPr>
            </w:pPr>
            <w:r w:rsidRPr="00264D5D">
              <w:rPr>
                <w:szCs w:val="22"/>
              </w:rPr>
              <w:t>П</w:t>
            </w:r>
          </w:p>
        </w:tc>
        <w:tc>
          <w:tcPr>
            <w:tcW w:w="1134" w:type="dxa"/>
          </w:tcPr>
          <w:p w14:paraId="7F4162FF" w14:textId="77777777" w:rsidR="00AD1F54" w:rsidRPr="00264D5D" w:rsidRDefault="00941227">
            <w:pPr>
              <w:pStyle w:val="GOSTTablenorm"/>
              <w:rPr>
                <w:szCs w:val="22"/>
              </w:rPr>
            </w:pPr>
            <w:r w:rsidRPr="00264D5D">
              <w:rPr>
                <w:szCs w:val="22"/>
              </w:rPr>
              <w:t>Т(8)</w:t>
            </w:r>
          </w:p>
        </w:tc>
        <w:tc>
          <w:tcPr>
            <w:tcW w:w="567" w:type="dxa"/>
          </w:tcPr>
          <w:p w14:paraId="0A7FD437" w14:textId="77777777" w:rsidR="00AD1F54" w:rsidRPr="00264D5D" w:rsidRDefault="00941227">
            <w:pPr>
              <w:pStyle w:val="GOSTTablenorm"/>
              <w:jc w:val="center"/>
              <w:rPr>
                <w:szCs w:val="22"/>
              </w:rPr>
            </w:pPr>
            <w:r w:rsidRPr="00264D5D">
              <w:rPr>
                <w:szCs w:val="22"/>
              </w:rPr>
              <w:t>О</w:t>
            </w:r>
          </w:p>
        </w:tc>
        <w:tc>
          <w:tcPr>
            <w:tcW w:w="3963" w:type="dxa"/>
          </w:tcPr>
          <w:p w14:paraId="64FCF3F5" w14:textId="77777777" w:rsidR="00AD1F54" w:rsidRPr="00264D5D" w:rsidRDefault="00941227">
            <w:pPr>
              <w:pStyle w:val="GOSTTablenorm"/>
              <w:rPr>
                <w:szCs w:val="22"/>
              </w:rPr>
            </w:pPr>
            <w:r w:rsidRPr="00264D5D">
              <w:rPr>
                <w:szCs w:val="22"/>
              </w:rPr>
              <w:t>Указывается код по ОКПО территориального о</w:t>
            </w:r>
            <w:r w:rsidR="008279A4" w:rsidRPr="00264D5D">
              <w:rPr>
                <w:szCs w:val="22"/>
              </w:rPr>
              <w:t>ргана Федерального казначейства</w:t>
            </w:r>
          </w:p>
        </w:tc>
      </w:tr>
      <w:tr w:rsidR="00AD1F54" w:rsidRPr="00264D5D" w14:paraId="7CF34E41"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F7360ED" w14:textId="77777777" w:rsidR="00AD1F54" w:rsidRPr="00264D5D" w:rsidRDefault="00941227">
            <w:pPr>
              <w:pStyle w:val="GOSTTablenorm"/>
              <w:rPr>
                <w:szCs w:val="22"/>
              </w:rPr>
            </w:pPr>
            <w:r w:rsidRPr="00264D5D">
              <w:rPr>
                <w:szCs w:val="22"/>
              </w:rPr>
              <w:t>ГРБС</w:t>
            </w:r>
          </w:p>
        </w:tc>
        <w:tc>
          <w:tcPr>
            <w:tcW w:w="1701" w:type="dxa"/>
          </w:tcPr>
          <w:p w14:paraId="785A2AD4" w14:textId="77777777" w:rsidR="00AD1F54" w:rsidRPr="00264D5D" w:rsidRDefault="00941227">
            <w:pPr>
              <w:pStyle w:val="GOSTTablenorm"/>
              <w:rPr>
                <w:szCs w:val="22"/>
              </w:rPr>
            </w:pPr>
            <w:r w:rsidRPr="00264D5D">
              <w:rPr>
                <w:szCs w:val="22"/>
              </w:rPr>
              <w:t>TtlPrt_RCV_GRBS</w:t>
            </w:r>
          </w:p>
        </w:tc>
        <w:tc>
          <w:tcPr>
            <w:tcW w:w="567" w:type="dxa"/>
          </w:tcPr>
          <w:p w14:paraId="3629F2D7" w14:textId="77777777" w:rsidR="00AD1F54" w:rsidRPr="00264D5D" w:rsidRDefault="00941227">
            <w:pPr>
              <w:pStyle w:val="GOSTTablenorm"/>
              <w:jc w:val="center"/>
              <w:rPr>
                <w:szCs w:val="22"/>
              </w:rPr>
            </w:pPr>
            <w:r w:rsidRPr="00264D5D">
              <w:rPr>
                <w:szCs w:val="22"/>
              </w:rPr>
              <w:t>С</w:t>
            </w:r>
          </w:p>
        </w:tc>
        <w:tc>
          <w:tcPr>
            <w:tcW w:w="1134" w:type="dxa"/>
          </w:tcPr>
          <w:p w14:paraId="0255E445" w14:textId="77777777" w:rsidR="00AD1F54" w:rsidRPr="00264D5D" w:rsidRDefault="00941227">
            <w:pPr>
              <w:pStyle w:val="GOSTTablenorm"/>
              <w:rPr>
                <w:szCs w:val="22"/>
              </w:rPr>
            </w:pPr>
            <w:r w:rsidRPr="00264D5D">
              <w:rPr>
                <w:szCs w:val="22"/>
              </w:rPr>
              <w:t>tMSC_GRBS1</w:t>
            </w:r>
          </w:p>
        </w:tc>
        <w:tc>
          <w:tcPr>
            <w:tcW w:w="567" w:type="dxa"/>
          </w:tcPr>
          <w:p w14:paraId="3422ED74" w14:textId="77777777" w:rsidR="00AD1F54" w:rsidRPr="00264D5D" w:rsidRDefault="00941227">
            <w:pPr>
              <w:pStyle w:val="GOSTTablenorm"/>
              <w:jc w:val="center"/>
              <w:rPr>
                <w:szCs w:val="22"/>
              </w:rPr>
            </w:pPr>
            <w:r w:rsidRPr="00264D5D">
              <w:rPr>
                <w:szCs w:val="22"/>
              </w:rPr>
              <w:t>О</w:t>
            </w:r>
          </w:p>
        </w:tc>
        <w:tc>
          <w:tcPr>
            <w:tcW w:w="3963" w:type="dxa"/>
          </w:tcPr>
          <w:p w14:paraId="3AFC526F" w14:textId="122DDD61" w:rsidR="00AD1F54" w:rsidRPr="00264D5D" w:rsidRDefault="00941227">
            <w:pPr>
              <w:pStyle w:val="GOSTTablenorm"/>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_Ref17447944 \h  \* MERGEFORMAT </w:instrText>
            </w:r>
            <w:r w:rsidRPr="00264D5D">
              <w:rPr>
                <w:b/>
                <w:szCs w:val="22"/>
              </w:rPr>
            </w:r>
            <w:r w:rsidRPr="00264D5D">
              <w:rPr>
                <w:b/>
                <w:szCs w:val="22"/>
              </w:rPr>
              <w:fldChar w:fldCharType="separate"/>
            </w:r>
            <w:r w:rsidR="008D797C" w:rsidRPr="008D797C">
              <w:rPr>
                <w:b/>
                <w:szCs w:val="22"/>
              </w:rPr>
              <w:t>233</w:t>
            </w:r>
            <w:r w:rsidRPr="00264D5D">
              <w:rPr>
                <w:b/>
                <w:szCs w:val="22"/>
              </w:rPr>
              <w:fldChar w:fldCharType="end"/>
            </w:r>
          </w:p>
        </w:tc>
      </w:tr>
      <w:tr w:rsidR="00AD1F54" w:rsidRPr="00264D5D" w14:paraId="36F55E5C"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D0DFCF7" w14:textId="77777777" w:rsidR="00AD1F54" w:rsidRPr="00264D5D" w:rsidRDefault="00941227">
            <w:pPr>
              <w:pStyle w:val="GOSTTablenorm"/>
              <w:rPr>
                <w:szCs w:val="22"/>
              </w:rPr>
            </w:pPr>
            <w:r w:rsidRPr="00264D5D">
              <w:rPr>
                <w:szCs w:val="22"/>
              </w:rPr>
              <w:t>Единица измерения</w:t>
            </w:r>
          </w:p>
        </w:tc>
        <w:tc>
          <w:tcPr>
            <w:tcW w:w="1701" w:type="dxa"/>
          </w:tcPr>
          <w:p w14:paraId="3CAE5231" w14:textId="77777777" w:rsidR="00AD1F54" w:rsidRPr="00264D5D" w:rsidRDefault="00941227">
            <w:pPr>
              <w:pStyle w:val="GOSTTablenorm"/>
              <w:rPr>
                <w:szCs w:val="22"/>
              </w:rPr>
            </w:pPr>
            <w:r w:rsidRPr="00264D5D">
              <w:rPr>
                <w:szCs w:val="22"/>
              </w:rPr>
              <w:t>TtlPrt_RCV_Unt</w:t>
            </w:r>
          </w:p>
        </w:tc>
        <w:tc>
          <w:tcPr>
            <w:tcW w:w="567" w:type="dxa"/>
          </w:tcPr>
          <w:p w14:paraId="06940010" w14:textId="77777777" w:rsidR="00AD1F54" w:rsidRPr="00264D5D" w:rsidRDefault="00941227">
            <w:pPr>
              <w:pStyle w:val="GOSTTablenorm"/>
              <w:jc w:val="center"/>
              <w:rPr>
                <w:szCs w:val="22"/>
              </w:rPr>
            </w:pPr>
            <w:r w:rsidRPr="00264D5D">
              <w:rPr>
                <w:szCs w:val="22"/>
              </w:rPr>
              <w:t>С</w:t>
            </w:r>
          </w:p>
        </w:tc>
        <w:tc>
          <w:tcPr>
            <w:tcW w:w="1134" w:type="dxa"/>
          </w:tcPr>
          <w:p w14:paraId="76D32C9E" w14:textId="77777777" w:rsidR="00AD1F54" w:rsidRPr="00264D5D" w:rsidRDefault="00941227">
            <w:pPr>
              <w:pStyle w:val="GOSTTablenorm"/>
              <w:rPr>
                <w:szCs w:val="22"/>
              </w:rPr>
            </w:pPr>
            <w:r w:rsidRPr="00264D5D">
              <w:rPr>
                <w:szCs w:val="22"/>
              </w:rPr>
              <w:t>tUnt</w:t>
            </w:r>
          </w:p>
        </w:tc>
        <w:tc>
          <w:tcPr>
            <w:tcW w:w="567" w:type="dxa"/>
          </w:tcPr>
          <w:p w14:paraId="1E639C31" w14:textId="77777777" w:rsidR="00AD1F54" w:rsidRPr="00264D5D" w:rsidRDefault="00941227">
            <w:pPr>
              <w:pStyle w:val="GOSTTablenorm"/>
              <w:jc w:val="center"/>
              <w:rPr>
                <w:szCs w:val="22"/>
              </w:rPr>
            </w:pPr>
            <w:r w:rsidRPr="00264D5D">
              <w:rPr>
                <w:szCs w:val="22"/>
              </w:rPr>
              <w:t>О</w:t>
            </w:r>
          </w:p>
        </w:tc>
        <w:tc>
          <w:tcPr>
            <w:tcW w:w="3963" w:type="dxa"/>
          </w:tcPr>
          <w:p w14:paraId="6E6BC1C4" w14:textId="31AB7725" w:rsidR="00AD1F54" w:rsidRPr="00264D5D" w:rsidRDefault="00941227">
            <w:pPr>
              <w:pStyle w:val="GOSTTablenorm"/>
              <w:rPr>
                <w:szCs w:val="22"/>
              </w:rPr>
            </w:pPr>
            <w:bookmarkStart w:id="2296" w:name="OLE_LINK262"/>
            <w:bookmarkStart w:id="2297" w:name="OLE_LINK264"/>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_Ref17447945 \h  \* MERGEFORMAT </w:instrText>
            </w:r>
            <w:r w:rsidRPr="00264D5D">
              <w:rPr>
                <w:b/>
                <w:szCs w:val="22"/>
              </w:rPr>
            </w:r>
            <w:r w:rsidRPr="00264D5D">
              <w:rPr>
                <w:b/>
                <w:szCs w:val="22"/>
              </w:rPr>
              <w:fldChar w:fldCharType="separate"/>
            </w:r>
            <w:r w:rsidR="008D797C" w:rsidRPr="008D797C">
              <w:rPr>
                <w:b/>
                <w:szCs w:val="22"/>
              </w:rPr>
              <w:t>234</w:t>
            </w:r>
            <w:r w:rsidRPr="00264D5D">
              <w:rPr>
                <w:b/>
                <w:szCs w:val="22"/>
              </w:rPr>
              <w:fldChar w:fldCharType="end"/>
            </w:r>
            <w:bookmarkEnd w:id="2296"/>
            <w:bookmarkEnd w:id="2297"/>
          </w:p>
        </w:tc>
      </w:tr>
      <w:tr w:rsidR="00AD1F54" w:rsidRPr="00264D5D" w14:paraId="56BDE41D" w14:textId="77777777" w:rsidTr="00AD1F54">
        <w:trPr>
          <w:cnfStyle w:val="000000100000" w:firstRow="0" w:lastRow="0" w:firstColumn="0" w:lastColumn="0" w:oddVBand="0" w:evenVBand="0" w:oddHBand="1" w:evenHBand="0" w:firstRowFirstColumn="0" w:firstRowLastColumn="0" w:lastRowFirstColumn="0" w:lastRowLastColumn="0"/>
        </w:trPr>
        <w:tc>
          <w:tcPr>
            <w:tcW w:w="9634" w:type="dxa"/>
            <w:gridSpan w:val="6"/>
          </w:tcPr>
          <w:p w14:paraId="7E31C776" w14:textId="77777777" w:rsidR="00AD1F54" w:rsidRPr="00264D5D" w:rsidRDefault="00941227">
            <w:pPr>
              <w:pStyle w:val="GOSTTablenorm"/>
              <w:rPr>
                <w:szCs w:val="22"/>
              </w:rPr>
            </w:pPr>
            <w:r w:rsidRPr="00264D5D">
              <w:rPr>
                <w:b/>
                <w:szCs w:val="22"/>
              </w:rPr>
              <w:lastRenderedPageBreak/>
              <w:t>Информация о Казначейском обеспечении обязательств</w:t>
            </w:r>
          </w:p>
        </w:tc>
      </w:tr>
      <w:tr w:rsidR="00AD1F54" w:rsidRPr="00264D5D" w14:paraId="0FE9D4BA"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4DE51C41" w14:textId="77777777" w:rsidR="00AD1F54" w:rsidRPr="00264D5D" w:rsidRDefault="00941227">
            <w:pPr>
              <w:pStyle w:val="GOSTTablenorm"/>
              <w:rPr>
                <w:szCs w:val="22"/>
              </w:rPr>
            </w:pPr>
            <w:r w:rsidRPr="00264D5D">
              <w:rPr>
                <w:szCs w:val="22"/>
              </w:rPr>
              <w:t>Номер КОО</w:t>
            </w:r>
          </w:p>
        </w:tc>
        <w:tc>
          <w:tcPr>
            <w:tcW w:w="1701" w:type="dxa"/>
          </w:tcPr>
          <w:p w14:paraId="6979BCC8" w14:textId="77777777" w:rsidR="00AD1F54" w:rsidRPr="00264D5D" w:rsidRDefault="00941227">
            <w:pPr>
              <w:pStyle w:val="GOSTTablenorm"/>
              <w:rPr>
                <w:szCs w:val="22"/>
              </w:rPr>
            </w:pPr>
            <w:r w:rsidRPr="00264D5D">
              <w:rPr>
                <w:szCs w:val="22"/>
              </w:rPr>
              <w:t>AKR_AkrNmbr</w:t>
            </w:r>
          </w:p>
        </w:tc>
        <w:tc>
          <w:tcPr>
            <w:tcW w:w="567" w:type="dxa"/>
          </w:tcPr>
          <w:p w14:paraId="7E4C3652" w14:textId="77777777" w:rsidR="00AD1F54" w:rsidRPr="00264D5D" w:rsidRDefault="00941227">
            <w:pPr>
              <w:pStyle w:val="GOSTTablenorm"/>
              <w:jc w:val="center"/>
              <w:rPr>
                <w:szCs w:val="22"/>
              </w:rPr>
            </w:pPr>
            <w:r w:rsidRPr="00264D5D">
              <w:rPr>
                <w:szCs w:val="22"/>
              </w:rPr>
              <w:t>П</w:t>
            </w:r>
          </w:p>
        </w:tc>
        <w:tc>
          <w:tcPr>
            <w:tcW w:w="1134" w:type="dxa"/>
          </w:tcPr>
          <w:p w14:paraId="4CCCD6AF" w14:textId="77777777" w:rsidR="00AD1F54" w:rsidRPr="00264D5D" w:rsidRDefault="00941227">
            <w:pPr>
              <w:pStyle w:val="GOSTTablenorm"/>
              <w:rPr>
                <w:szCs w:val="22"/>
              </w:rPr>
            </w:pPr>
            <w:r w:rsidRPr="00264D5D">
              <w:rPr>
                <w:szCs w:val="22"/>
              </w:rPr>
              <w:t>Т(1-50)</w:t>
            </w:r>
          </w:p>
        </w:tc>
        <w:tc>
          <w:tcPr>
            <w:tcW w:w="567" w:type="dxa"/>
          </w:tcPr>
          <w:p w14:paraId="6954CAD1" w14:textId="77777777" w:rsidR="00AD1F54" w:rsidRPr="00264D5D" w:rsidRDefault="00941227">
            <w:pPr>
              <w:pStyle w:val="GOSTTablenorm"/>
              <w:jc w:val="center"/>
              <w:rPr>
                <w:szCs w:val="22"/>
              </w:rPr>
            </w:pPr>
            <w:r w:rsidRPr="00264D5D">
              <w:rPr>
                <w:szCs w:val="22"/>
              </w:rPr>
              <w:t>Н</w:t>
            </w:r>
          </w:p>
        </w:tc>
        <w:tc>
          <w:tcPr>
            <w:tcW w:w="3963" w:type="dxa"/>
          </w:tcPr>
          <w:p w14:paraId="74F5AC8F" w14:textId="77777777" w:rsidR="00AD1F54" w:rsidRPr="00264D5D" w:rsidRDefault="00941227">
            <w:pPr>
              <w:pStyle w:val="GOSTTablenorm"/>
              <w:rPr>
                <w:szCs w:val="22"/>
              </w:rPr>
            </w:pPr>
            <w:r w:rsidRPr="00264D5D">
              <w:rPr>
                <w:szCs w:val="22"/>
              </w:rPr>
              <w:t>Указывается номер КОО, по которому осуществляет</w:t>
            </w:r>
            <w:r w:rsidR="008279A4" w:rsidRPr="00264D5D">
              <w:rPr>
                <w:szCs w:val="22"/>
              </w:rPr>
              <w:t>ся перевод, изменение или отзыв</w:t>
            </w:r>
          </w:p>
        </w:tc>
      </w:tr>
      <w:tr w:rsidR="00AD1F54" w:rsidRPr="00264D5D" w14:paraId="2600CF89"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89290E8" w14:textId="77777777" w:rsidR="00AD1F54" w:rsidRPr="00264D5D" w:rsidRDefault="00941227">
            <w:pPr>
              <w:pStyle w:val="GOSTTablenorm"/>
              <w:rPr>
                <w:szCs w:val="22"/>
              </w:rPr>
            </w:pPr>
            <w:r w:rsidRPr="00264D5D">
              <w:rPr>
                <w:szCs w:val="22"/>
              </w:rPr>
              <w:t>Дата КОО</w:t>
            </w:r>
          </w:p>
        </w:tc>
        <w:tc>
          <w:tcPr>
            <w:tcW w:w="1701" w:type="dxa"/>
          </w:tcPr>
          <w:p w14:paraId="49CDC3A3" w14:textId="77777777" w:rsidR="00AD1F54" w:rsidRPr="00264D5D" w:rsidRDefault="00941227">
            <w:pPr>
              <w:pStyle w:val="GOSTTablenorm"/>
              <w:rPr>
                <w:szCs w:val="22"/>
              </w:rPr>
            </w:pPr>
            <w:r w:rsidRPr="00264D5D">
              <w:rPr>
                <w:szCs w:val="22"/>
              </w:rPr>
              <w:t>AKR_AkrDt</w:t>
            </w:r>
          </w:p>
        </w:tc>
        <w:tc>
          <w:tcPr>
            <w:tcW w:w="567" w:type="dxa"/>
          </w:tcPr>
          <w:p w14:paraId="75D71642" w14:textId="77777777" w:rsidR="00AD1F54" w:rsidRPr="00264D5D" w:rsidRDefault="00941227">
            <w:pPr>
              <w:pStyle w:val="GOSTTablenorm"/>
              <w:jc w:val="center"/>
              <w:rPr>
                <w:szCs w:val="22"/>
              </w:rPr>
            </w:pPr>
            <w:r w:rsidRPr="00264D5D">
              <w:rPr>
                <w:szCs w:val="22"/>
              </w:rPr>
              <w:t>П</w:t>
            </w:r>
          </w:p>
        </w:tc>
        <w:tc>
          <w:tcPr>
            <w:tcW w:w="1134" w:type="dxa"/>
          </w:tcPr>
          <w:p w14:paraId="577DDE35" w14:textId="77777777" w:rsidR="00AD1F54" w:rsidRPr="00264D5D" w:rsidRDefault="00941227">
            <w:pPr>
              <w:pStyle w:val="GOSTTablenorm"/>
              <w:rPr>
                <w:szCs w:val="22"/>
              </w:rPr>
            </w:pPr>
            <w:r w:rsidRPr="00264D5D">
              <w:rPr>
                <w:szCs w:val="22"/>
                <w:lang w:val="en-US"/>
              </w:rPr>
              <w:t>D</w:t>
            </w:r>
            <w:r w:rsidRPr="00264D5D">
              <w:rPr>
                <w:szCs w:val="22"/>
              </w:rPr>
              <w:t>ate</w:t>
            </w:r>
          </w:p>
        </w:tc>
        <w:tc>
          <w:tcPr>
            <w:tcW w:w="567" w:type="dxa"/>
          </w:tcPr>
          <w:p w14:paraId="12C27764" w14:textId="77777777" w:rsidR="00AD1F54" w:rsidRPr="00264D5D" w:rsidRDefault="00941227">
            <w:pPr>
              <w:pStyle w:val="GOSTTablenorm"/>
              <w:jc w:val="center"/>
              <w:rPr>
                <w:szCs w:val="22"/>
              </w:rPr>
            </w:pPr>
            <w:r w:rsidRPr="00264D5D">
              <w:rPr>
                <w:szCs w:val="22"/>
              </w:rPr>
              <w:t>Н</w:t>
            </w:r>
          </w:p>
        </w:tc>
        <w:tc>
          <w:tcPr>
            <w:tcW w:w="3963" w:type="dxa"/>
          </w:tcPr>
          <w:p w14:paraId="496AEC87" w14:textId="77777777" w:rsidR="00AD1F54" w:rsidRPr="00264D5D" w:rsidRDefault="00941227">
            <w:pPr>
              <w:pStyle w:val="GOSTTablenorm"/>
              <w:rPr>
                <w:szCs w:val="22"/>
              </w:rPr>
            </w:pPr>
            <w:r w:rsidRPr="00264D5D">
              <w:rPr>
                <w:szCs w:val="22"/>
              </w:rPr>
              <w:t>Указывается дата КОО</w:t>
            </w:r>
            <w:bookmarkStart w:id="2298" w:name="OLE_LINK180"/>
            <w:r w:rsidRPr="00264D5D">
              <w:rPr>
                <w:szCs w:val="22"/>
              </w:rPr>
              <w:t>, по которому осуществляется перевод, изменение или отзыв</w:t>
            </w:r>
            <w:bookmarkEnd w:id="2298"/>
          </w:p>
        </w:tc>
      </w:tr>
      <w:tr w:rsidR="00AD1F54" w:rsidRPr="00264D5D" w14:paraId="4AD6AA32"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0826821B" w14:textId="77777777" w:rsidR="00AD1F54" w:rsidRPr="00264D5D" w:rsidRDefault="00941227">
            <w:pPr>
              <w:pStyle w:val="GOSTTablenorm"/>
              <w:rPr>
                <w:szCs w:val="22"/>
              </w:rPr>
            </w:pPr>
            <w:r w:rsidRPr="00264D5D">
              <w:rPr>
                <w:szCs w:val="22"/>
              </w:rPr>
              <w:t>Вид расчетов</w:t>
            </w:r>
          </w:p>
        </w:tc>
        <w:tc>
          <w:tcPr>
            <w:tcW w:w="1701" w:type="dxa"/>
          </w:tcPr>
          <w:p w14:paraId="4859F649" w14:textId="77777777" w:rsidR="00AD1F54" w:rsidRPr="00264D5D" w:rsidRDefault="00941227">
            <w:pPr>
              <w:pStyle w:val="GOSTTablenorm"/>
              <w:rPr>
                <w:szCs w:val="22"/>
              </w:rPr>
            </w:pPr>
            <w:r w:rsidRPr="00264D5D">
              <w:rPr>
                <w:szCs w:val="22"/>
              </w:rPr>
              <w:t>BasicRequisites_Whom_ViewCS</w:t>
            </w:r>
          </w:p>
        </w:tc>
        <w:tc>
          <w:tcPr>
            <w:tcW w:w="567" w:type="dxa"/>
          </w:tcPr>
          <w:p w14:paraId="3E4A3C5D" w14:textId="77777777" w:rsidR="00AD1F54" w:rsidRPr="00264D5D" w:rsidRDefault="00941227">
            <w:pPr>
              <w:pStyle w:val="GOSTTablenorm"/>
              <w:jc w:val="center"/>
              <w:rPr>
                <w:szCs w:val="22"/>
              </w:rPr>
            </w:pPr>
            <w:r w:rsidRPr="00264D5D">
              <w:rPr>
                <w:szCs w:val="22"/>
              </w:rPr>
              <w:t>С</w:t>
            </w:r>
          </w:p>
        </w:tc>
        <w:tc>
          <w:tcPr>
            <w:tcW w:w="1134" w:type="dxa"/>
          </w:tcPr>
          <w:p w14:paraId="40FAA090" w14:textId="77777777" w:rsidR="00AD1F54" w:rsidRPr="00264D5D" w:rsidRDefault="00941227">
            <w:pPr>
              <w:pStyle w:val="GOSTTablenorm"/>
              <w:rPr>
                <w:szCs w:val="22"/>
              </w:rPr>
            </w:pPr>
            <w:r w:rsidRPr="00264D5D">
              <w:rPr>
                <w:szCs w:val="22"/>
              </w:rPr>
              <w:t>tCalculationTypeComplex</w:t>
            </w:r>
          </w:p>
        </w:tc>
        <w:tc>
          <w:tcPr>
            <w:tcW w:w="567" w:type="dxa"/>
          </w:tcPr>
          <w:p w14:paraId="69EE99EA" w14:textId="77777777" w:rsidR="00AD1F54" w:rsidRPr="00264D5D" w:rsidRDefault="00941227">
            <w:pPr>
              <w:pStyle w:val="GOSTTablenorm"/>
              <w:jc w:val="center"/>
              <w:rPr>
                <w:szCs w:val="22"/>
              </w:rPr>
            </w:pPr>
            <w:r w:rsidRPr="00264D5D">
              <w:rPr>
                <w:szCs w:val="22"/>
              </w:rPr>
              <w:t>Н</w:t>
            </w:r>
          </w:p>
        </w:tc>
        <w:tc>
          <w:tcPr>
            <w:tcW w:w="3963" w:type="dxa"/>
          </w:tcPr>
          <w:p w14:paraId="01938B8A" w14:textId="3B270981" w:rsidR="00AD1F54" w:rsidRPr="00264D5D" w:rsidRDefault="00941227">
            <w:pPr>
              <w:pStyle w:val="GOSTTablenorm"/>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_Ref17447946 \h  \* MERGEFORMAT </w:instrText>
            </w:r>
            <w:r w:rsidRPr="00264D5D">
              <w:rPr>
                <w:b/>
                <w:szCs w:val="22"/>
              </w:rPr>
            </w:r>
            <w:r w:rsidRPr="00264D5D">
              <w:rPr>
                <w:b/>
                <w:szCs w:val="22"/>
              </w:rPr>
              <w:fldChar w:fldCharType="separate"/>
            </w:r>
            <w:r w:rsidR="008D797C" w:rsidRPr="008D797C">
              <w:rPr>
                <w:b/>
                <w:szCs w:val="22"/>
              </w:rPr>
              <w:t>239</w:t>
            </w:r>
            <w:r w:rsidRPr="00264D5D">
              <w:rPr>
                <w:b/>
                <w:szCs w:val="22"/>
              </w:rPr>
              <w:fldChar w:fldCharType="end"/>
            </w:r>
            <w:r w:rsidRPr="00264D5D">
              <w:rPr>
                <w:szCs w:val="22"/>
              </w:rPr>
              <w:t>.</w:t>
            </w:r>
          </w:p>
          <w:p w14:paraId="145CE555" w14:textId="77777777" w:rsidR="00AD1F54" w:rsidRPr="00264D5D" w:rsidRDefault="00941227">
            <w:pPr>
              <w:pStyle w:val="GOSTTablenorm"/>
              <w:rPr>
                <w:szCs w:val="22"/>
              </w:rPr>
            </w:pPr>
            <w:r w:rsidRPr="00264D5D">
              <w:rPr>
                <w:szCs w:val="22"/>
              </w:rPr>
              <w:t>Не заполняет</w:t>
            </w:r>
            <w:r w:rsidR="008279A4" w:rsidRPr="00264D5D">
              <w:rPr>
                <w:szCs w:val="22"/>
              </w:rPr>
              <w:t>ся при изменении или отзыве КОО</w:t>
            </w:r>
          </w:p>
        </w:tc>
      </w:tr>
      <w:tr w:rsidR="00AD1F54" w:rsidRPr="00264D5D" w14:paraId="73FBC26A"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84C2DF9" w14:textId="77777777" w:rsidR="00AD1F54" w:rsidRPr="00264D5D" w:rsidRDefault="00941227">
            <w:pPr>
              <w:pStyle w:val="GOSTTablenorm"/>
              <w:rPr>
                <w:szCs w:val="22"/>
              </w:rPr>
            </w:pPr>
            <w:r w:rsidRPr="00264D5D">
              <w:rPr>
                <w:szCs w:val="22"/>
              </w:rPr>
              <w:t>Срок действия КОО</w:t>
            </w:r>
          </w:p>
        </w:tc>
        <w:tc>
          <w:tcPr>
            <w:tcW w:w="1701" w:type="dxa"/>
          </w:tcPr>
          <w:p w14:paraId="0D8C7789" w14:textId="77777777" w:rsidR="00AD1F54" w:rsidRPr="00264D5D" w:rsidRDefault="00941227">
            <w:pPr>
              <w:pStyle w:val="GOSTTablenorm"/>
              <w:rPr>
                <w:szCs w:val="22"/>
              </w:rPr>
            </w:pPr>
            <w:r w:rsidRPr="00264D5D">
              <w:rPr>
                <w:szCs w:val="22"/>
              </w:rPr>
              <w:t>AKR_EndDt</w:t>
            </w:r>
          </w:p>
        </w:tc>
        <w:tc>
          <w:tcPr>
            <w:tcW w:w="567" w:type="dxa"/>
          </w:tcPr>
          <w:p w14:paraId="60D28095" w14:textId="77777777" w:rsidR="00AD1F54" w:rsidRPr="00264D5D" w:rsidRDefault="00941227">
            <w:pPr>
              <w:pStyle w:val="GOSTTablenorm"/>
              <w:jc w:val="center"/>
              <w:rPr>
                <w:szCs w:val="22"/>
              </w:rPr>
            </w:pPr>
            <w:r w:rsidRPr="00264D5D">
              <w:rPr>
                <w:szCs w:val="22"/>
              </w:rPr>
              <w:t>П</w:t>
            </w:r>
          </w:p>
        </w:tc>
        <w:tc>
          <w:tcPr>
            <w:tcW w:w="1134" w:type="dxa"/>
          </w:tcPr>
          <w:p w14:paraId="069BCEB7" w14:textId="77777777" w:rsidR="00AD1F54" w:rsidRPr="00264D5D" w:rsidRDefault="00941227">
            <w:pPr>
              <w:pStyle w:val="GOSTTablenorm"/>
              <w:rPr>
                <w:szCs w:val="22"/>
              </w:rPr>
            </w:pPr>
            <w:r w:rsidRPr="00264D5D">
              <w:rPr>
                <w:szCs w:val="22"/>
                <w:lang w:val="en-US"/>
              </w:rPr>
              <w:t>D</w:t>
            </w:r>
            <w:r w:rsidRPr="00264D5D">
              <w:rPr>
                <w:szCs w:val="22"/>
              </w:rPr>
              <w:t>ate</w:t>
            </w:r>
          </w:p>
        </w:tc>
        <w:tc>
          <w:tcPr>
            <w:tcW w:w="567" w:type="dxa"/>
          </w:tcPr>
          <w:p w14:paraId="2255FC41" w14:textId="77777777" w:rsidR="00AD1F54" w:rsidRPr="00264D5D" w:rsidRDefault="00941227">
            <w:pPr>
              <w:pStyle w:val="GOSTTablenorm"/>
              <w:jc w:val="center"/>
              <w:rPr>
                <w:szCs w:val="22"/>
              </w:rPr>
            </w:pPr>
            <w:r w:rsidRPr="00264D5D">
              <w:rPr>
                <w:szCs w:val="22"/>
              </w:rPr>
              <w:t>Н</w:t>
            </w:r>
          </w:p>
        </w:tc>
        <w:tc>
          <w:tcPr>
            <w:tcW w:w="3963" w:type="dxa"/>
          </w:tcPr>
          <w:p w14:paraId="57BAFED0" w14:textId="77777777" w:rsidR="00AD1F54" w:rsidRPr="00264D5D" w:rsidRDefault="00941227">
            <w:pPr>
              <w:pStyle w:val="GOSTTablenorm"/>
              <w:rPr>
                <w:szCs w:val="22"/>
              </w:rPr>
            </w:pPr>
            <w:r w:rsidRPr="00264D5D">
              <w:rPr>
                <w:szCs w:val="22"/>
              </w:rPr>
              <w:t xml:space="preserve">Указывается дата истечения срока действия КОО. </w:t>
            </w:r>
          </w:p>
          <w:p w14:paraId="3BCE4A0E" w14:textId="77777777" w:rsidR="00AD1F54" w:rsidRPr="00264D5D" w:rsidRDefault="00941227">
            <w:pPr>
              <w:pStyle w:val="GOSTTablenorm"/>
              <w:rPr>
                <w:szCs w:val="22"/>
              </w:rPr>
            </w:pPr>
            <w:r w:rsidRPr="00264D5D">
              <w:rPr>
                <w:szCs w:val="22"/>
              </w:rPr>
              <w:t>В случае представления Заявления на изменение КОО поле заполняется, если изменяется да</w:t>
            </w:r>
            <w:r w:rsidR="008279A4" w:rsidRPr="00264D5D">
              <w:rPr>
                <w:szCs w:val="22"/>
              </w:rPr>
              <w:t>та истечения срока действия КОО</w:t>
            </w:r>
          </w:p>
        </w:tc>
      </w:tr>
      <w:tr w:rsidR="00AD1F54" w:rsidRPr="00264D5D" w14:paraId="0DEBAD92"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C5E59B7" w14:textId="77777777" w:rsidR="00AD1F54" w:rsidRPr="00264D5D" w:rsidRDefault="00941227">
            <w:pPr>
              <w:pStyle w:val="GOSTTablenorm"/>
              <w:rPr>
                <w:szCs w:val="22"/>
              </w:rPr>
            </w:pPr>
            <w:r w:rsidRPr="00264D5D">
              <w:rPr>
                <w:szCs w:val="22"/>
              </w:rPr>
              <w:t>Сумма КОО</w:t>
            </w:r>
          </w:p>
        </w:tc>
        <w:tc>
          <w:tcPr>
            <w:tcW w:w="1701" w:type="dxa"/>
          </w:tcPr>
          <w:p w14:paraId="6AA48909" w14:textId="77777777" w:rsidR="00AD1F54" w:rsidRPr="00264D5D" w:rsidRDefault="00941227">
            <w:pPr>
              <w:pStyle w:val="GOSTTablenorm"/>
              <w:rPr>
                <w:szCs w:val="22"/>
              </w:rPr>
            </w:pPr>
            <w:r w:rsidRPr="00264D5D">
              <w:rPr>
                <w:szCs w:val="22"/>
              </w:rPr>
              <w:t>AKR_InfAmnt</w:t>
            </w:r>
          </w:p>
        </w:tc>
        <w:tc>
          <w:tcPr>
            <w:tcW w:w="567" w:type="dxa"/>
          </w:tcPr>
          <w:p w14:paraId="452A0A04" w14:textId="77777777" w:rsidR="00AD1F54" w:rsidRPr="00264D5D" w:rsidRDefault="00941227">
            <w:pPr>
              <w:pStyle w:val="GOSTTablenorm"/>
              <w:jc w:val="center"/>
              <w:rPr>
                <w:szCs w:val="22"/>
              </w:rPr>
            </w:pPr>
            <w:r w:rsidRPr="00264D5D">
              <w:rPr>
                <w:szCs w:val="22"/>
              </w:rPr>
              <w:t>П</w:t>
            </w:r>
          </w:p>
        </w:tc>
        <w:tc>
          <w:tcPr>
            <w:tcW w:w="1134" w:type="dxa"/>
          </w:tcPr>
          <w:p w14:paraId="78CF1CEF" w14:textId="77777777" w:rsidR="00AD1F54" w:rsidRPr="00264D5D" w:rsidRDefault="00941227">
            <w:pPr>
              <w:pStyle w:val="GOSTTablenorm"/>
              <w:rPr>
                <w:szCs w:val="22"/>
              </w:rPr>
            </w:pPr>
            <w:r w:rsidRPr="00264D5D">
              <w:rPr>
                <w:szCs w:val="22"/>
              </w:rPr>
              <w:t>N(20.2)</w:t>
            </w:r>
          </w:p>
        </w:tc>
        <w:tc>
          <w:tcPr>
            <w:tcW w:w="567" w:type="dxa"/>
          </w:tcPr>
          <w:p w14:paraId="3C95E2BA" w14:textId="77777777" w:rsidR="00AD1F54" w:rsidRPr="00264D5D" w:rsidRDefault="00941227">
            <w:pPr>
              <w:pStyle w:val="GOSTTablenorm"/>
              <w:jc w:val="center"/>
              <w:rPr>
                <w:szCs w:val="22"/>
              </w:rPr>
            </w:pPr>
            <w:r w:rsidRPr="00264D5D">
              <w:rPr>
                <w:szCs w:val="22"/>
              </w:rPr>
              <w:t>Н</w:t>
            </w:r>
          </w:p>
        </w:tc>
        <w:tc>
          <w:tcPr>
            <w:tcW w:w="3963" w:type="dxa"/>
          </w:tcPr>
          <w:p w14:paraId="5D27D49B" w14:textId="77777777" w:rsidR="00AD1F54" w:rsidRPr="00264D5D" w:rsidRDefault="00941227">
            <w:pPr>
              <w:pStyle w:val="GOSTTablenorm"/>
              <w:rPr>
                <w:szCs w:val="22"/>
              </w:rPr>
            </w:pPr>
            <w:r w:rsidRPr="00264D5D">
              <w:rPr>
                <w:szCs w:val="22"/>
              </w:rPr>
              <w:t xml:space="preserve">Указывается сумма КОО в цифровом значении в валюте Российской Федерации. </w:t>
            </w:r>
          </w:p>
          <w:p w14:paraId="5C1432BF" w14:textId="77777777" w:rsidR="00AD1F54" w:rsidRPr="00264D5D" w:rsidRDefault="00941227">
            <w:pPr>
              <w:pStyle w:val="GOSTTablenorm"/>
              <w:rPr>
                <w:szCs w:val="22"/>
              </w:rPr>
            </w:pPr>
            <w:r w:rsidRPr="00264D5D">
              <w:rPr>
                <w:szCs w:val="22"/>
              </w:rPr>
              <w:t>В случае представления Заявления на изменение КОО поле заполня</w:t>
            </w:r>
            <w:r w:rsidR="008279A4" w:rsidRPr="00264D5D">
              <w:rPr>
                <w:szCs w:val="22"/>
              </w:rPr>
              <w:t>ется, если изменяется сумма КОО</w:t>
            </w:r>
          </w:p>
        </w:tc>
      </w:tr>
      <w:tr w:rsidR="00AD1F54" w:rsidRPr="00264D5D" w14:paraId="17949C54" w14:textId="77777777" w:rsidTr="00AD1F54">
        <w:trPr>
          <w:cnfStyle w:val="000000100000" w:firstRow="0" w:lastRow="0" w:firstColumn="0" w:lastColumn="0" w:oddVBand="0" w:evenVBand="0" w:oddHBand="1" w:evenHBand="0" w:firstRowFirstColumn="0" w:firstRowLastColumn="0" w:lastRowFirstColumn="0" w:lastRowLastColumn="0"/>
        </w:trPr>
        <w:tc>
          <w:tcPr>
            <w:tcW w:w="9634" w:type="dxa"/>
            <w:gridSpan w:val="6"/>
          </w:tcPr>
          <w:p w14:paraId="256E67E6" w14:textId="77777777" w:rsidR="00AD1F54" w:rsidRPr="00264D5D" w:rsidRDefault="00941227">
            <w:pPr>
              <w:pStyle w:val="GOSTTablenorm"/>
              <w:rPr>
                <w:szCs w:val="22"/>
              </w:rPr>
            </w:pPr>
            <w:r w:rsidRPr="00264D5D">
              <w:rPr>
                <w:b/>
                <w:szCs w:val="22"/>
              </w:rPr>
              <w:t>Реквизиты плательщика</w:t>
            </w:r>
          </w:p>
        </w:tc>
      </w:tr>
      <w:tr w:rsidR="00AD1F54" w:rsidRPr="00264D5D" w14:paraId="7ED81B7D"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3B3DF7B7" w14:textId="77777777" w:rsidR="00AD1F54" w:rsidRPr="00264D5D" w:rsidRDefault="00941227">
            <w:pPr>
              <w:pStyle w:val="GOSTTablenorm"/>
              <w:rPr>
                <w:szCs w:val="22"/>
              </w:rPr>
            </w:pPr>
            <w:r w:rsidRPr="00264D5D">
              <w:rPr>
                <w:szCs w:val="22"/>
              </w:rPr>
              <w:t xml:space="preserve">Плательщик </w:t>
            </w:r>
          </w:p>
        </w:tc>
        <w:tc>
          <w:tcPr>
            <w:tcW w:w="1701" w:type="dxa"/>
          </w:tcPr>
          <w:p w14:paraId="5354FFF8" w14:textId="77777777" w:rsidR="00AD1F54" w:rsidRPr="00264D5D" w:rsidRDefault="00941227">
            <w:pPr>
              <w:pStyle w:val="GOSTTablenorm"/>
              <w:rPr>
                <w:szCs w:val="22"/>
              </w:rPr>
            </w:pPr>
            <w:r w:rsidRPr="00264D5D">
              <w:rPr>
                <w:szCs w:val="22"/>
              </w:rPr>
              <w:t>TtlPrt_PAY_UBP</w:t>
            </w:r>
          </w:p>
        </w:tc>
        <w:tc>
          <w:tcPr>
            <w:tcW w:w="567" w:type="dxa"/>
          </w:tcPr>
          <w:p w14:paraId="7EECBAC9" w14:textId="77777777" w:rsidR="00AD1F54" w:rsidRPr="00264D5D" w:rsidRDefault="00941227">
            <w:pPr>
              <w:pStyle w:val="GOSTTablenorm"/>
              <w:jc w:val="center"/>
              <w:rPr>
                <w:szCs w:val="22"/>
              </w:rPr>
            </w:pPr>
            <w:r w:rsidRPr="00264D5D">
              <w:rPr>
                <w:szCs w:val="22"/>
              </w:rPr>
              <w:t>С</w:t>
            </w:r>
          </w:p>
        </w:tc>
        <w:tc>
          <w:tcPr>
            <w:tcW w:w="1134" w:type="dxa"/>
          </w:tcPr>
          <w:p w14:paraId="5AC6AE39" w14:textId="77777777" w:rsidR="00AD1F54" w:rsidRPr="00264D5D" w:rsidRDefault="00941227">
            <w:pPr>
              <w:pStyle w:val="GOSTTablenorm"/>
              <w:rPr>
                <w:szCs w:val="22"/>
              </w:rPr>
            </w:pPr>
            <w:r w:rsidRPr="00264D5D">
              <w:rPr>
                <w:szCs w:val="22"/>
              </w:rPr>
              <w:t>tMSC_PBS_UBP2</w:t>
            </w:r>
          </w:p>
        </w:tc>
        <w:tc>
          <w:tcPr>
            <w:tcW w:w="567" w:type="dxa"/>
          </w:tcPr>
          <w:p w14:paraId="1316AEA1" w14:textId="77777777" w:rsidR="00AD1F54" w:rsidRPr="00264D5D" w:rsidRDefault="00941227">
            <w:pPr>
              <w:pStyle w:val="GOSTTablenorm"/>
              <w:jc w:val="center"/>
              <w:rPr>
                <w:szCs w:val="22"/>
              </w:rPr>
            </w:pPr>
            <w:r w:rsidRPr="00264D5D">
              <w:rPr>
                <w:szCs w:val="22"/>
              </w:rPr>
              <w:t>Н</w:t>
            </w:r>
          </w:p>
        </w:tc>
        <w:tc>
          <w:tcPr>
            <w:tcW w:w="3963" w:type="dxa"/>
          </w:tcPr>
          <w:p w14:paraId="68361BDF" w14:textId="3A63F8D8" w:rsidR="00AD1F54" w:rsidRPr="00264D5D" w:rsidRDefault="00941227">
            <w:pPr>
              <w:pStyle w:val="GOSTTablenorm"/>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_Ref17447947 \h  \* MERGEFORMAT </w:instrText>
            </w:r>
            <w:r w:rsidRPr="00264D5D">
              <w:rPr>
                <w:b/>
                <w:szCs w:val="22"/>
              </w:rPr>
            </w:r>
            <w:r w:rsidRPr="00264D5D">
              <w:rPr>
                <w:b/>
                <w:szCs w:val="22"/>
              </w:rPr>
              <w:fldChar w:fldCharType="separate"/>
            </w:r>
            <w:r w:rsidR="008D797C" w:rsidRPr="008D797C">
              <w:rPr>
                <w:b/>
                <w:szCs w:val="22"/>
              </w:rPr>
              <w:t>232</w:t>
            </w:r>
            <w:r w:rsidRPr="00264D5D">
              <w:rPr>
                <w:b/>
                <w:szCs w:val="22"/>
              </w:rPr>
              <w:fldChar w:fldCharType="end"/>
            </w:r>
          </w:p>
        </w:tc>
      </w:tr>
      <w:tr w:rsidR="00AD1F54" w:rsidRPr="00264D5D" w14:paraId="13BE6EA5"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3A396AD" w14:textId="77777777" w:rsidR="00AD1F54" w:rsidRPr="00264D5D" w:rsidRDefault="00941227">
            <w:pPr>
              <w:pStyle w:val="GOSTTablenorm"/>
              <w:rPr>
                <w:szCs w:val="22"/>
              </w:rPr>
            </w:pPr>
            <w:r w:rsidRPr="00264D5D">
              <w:rPr>
                <w:szCs w:val="22"/>
              </w:rPr>
              <w:t>Наименование бюджета плательщика</w:t>
            </w:r>
          </w:p>
        </w:tc>
        <w:tc>
          <w:tcPr>
            <w:tcW w:w="1701" w:type="dxa"/>
          </w:tcPr>
          <w:p w14:paraId="75D845E2" w14:textId="77777777" w:rsidR="00AD1F54" w:rsidRPr="00264D5D" w:rsidRDefault="00941227">
            <w:pPr>
              <w:pStyle w:val="GOSTTablenorm"/>
              <w:rPr>
                <w:szCs w:val="22"/>
              </w:rPr>
            </w:pPr>
            <w:r w:rsidRPr="00264D5D">
              <w:rPr>
                <w:szCs w:val="22"/>
              </w:rPr>
              <w:t>TtlPrt_PAY_NmBdgt</w:t>
            </w:r>
          </w:p>
        </w:tc>
        <w:tc>
          <w:tcPr>
            <w:tcW w:w="567" w:type="dxa"/>
          </w:tcPr>
          <w:p w14:paraId="04FDE38B" w14:textId="77777777" w:rsidR="00AD1F54" w:rsidRPr="00264D5D" w:rsidRDefault="00941227">
            <w:pPr>
              <w:pStyle w:val="GOSTTablenorm"/>
              <w:jc w:val="center"/>
              <w:rPr>
                <w:szCs w:val="22"/>
              </w:rPr>
            </w:pPr>
            <w:r w:rsidRPr="00264D5D">
              <w:rPr>
                <w:szCs w:val="22"/>
              </w:rPr>
              <w:t>П</w:t>
            </w:r>
          </w:p>
        </w:tc>
        <w:tc>
          <w:tcPr>
            <w:tcW w:w="1134" w:type="dxa"/>
          </w:tcPr>
          <w:p w14:paraId="1B0F0977" w14:textId="77777777" w:rsidR="00AD1F54" w:rsidRPr="00264D5D" w:rsidRDefault="00941227">
            <w:pPr>
              <w:pStyle w:val="GOSTTablenorm"/>
              <w:rPr>
                <w:szCs w:val="22"/>
              </w:rPr>
            </w:pPr>
            <w:r w:rsidRPr="00264D5D">
              <w:rPr>
                <w:szCs w:val="22"/>
              </w:rPr>
              <w:t>Т(1-512)</w:t>
            </w:r>
          </w:p>
        </w:tc>
        <w:tc>
          <w:tcPr>
            <w:tcW w:w="567" w:type="dxa"/>
          </w:tcPr>
          <w:p w14:paraId="2AEAD606" w14:textId="77777777" w:rsidR="00AD1F54" w:rsidRPr="00264D5D" w:rsidRDefault="00941227">
            <w:pPr>
              <w:pStyle w:val="GOSTTablenorm"/>
              <w:jc w:val="center"/>
              <w:rPr>
                <w:szCs w:val="22"/>
              </w:rPr>
            </w:pPr>
            <w:r w:rsidRPr="00264D5D">
              <w:rPr>
                <w:szCs w:val="22"/>
              </w:rPr>
              <w:t>Н</w:t>
            </w:r>
          </w:p>
        </w:tc>
        <w:tc>
          <w:tcPr>
            <w:tcW w:w="3963" w:type="dxa"/>
          </w:tcPr>
          <w:p w14:paraId="0E217C13" w14:textId="77777777" w:rsidR="00AD1F54" w:rsidRPr="00264D5D" w:rsidRDefault="00941227">
            <w:pPr>
              <w:pStyle w:val="GOSTTablenorm"/>
              <w:rPr>
                <w:szCs w:val="22"/>
              </w:rPr>
            </w:pPr>
            <w:r w:rsidRPr="00264D5D">
              <w:rPr>
                <w:szCs w:val="22"/>
              </w:rPr>
              <w:t>Указывается наименование соответствующего бюджета.</w:t>
            </w:r>
          </w:p>
          <w:p w14:paraId="35A19ADA" w14:textId="77777777" w:rsidR="00AD1F54" w:rsidRPr="00264D5D" w:rsidRDefault="00941227">
            <w:pPr>
              <w:pStyle w:val="GOSTTablenorm"/>
              <w:rPr>
                <w:szCs w:val="22"/>
              </w:rPr>
            </w:pPr>
            <w:r w:rsidRPr="00264D5D">
              <w:rPr>
                <w:szCs w:val="22"/>
              </w:rPr>
              <w:t>Для УБП федерального уровня, у</w:t>
            </w:r>
            <w:r w:rsidR="008279A4" w:rsidRPr="00264D5D">
              <w:rPr>
                <w:szCs w:val="22"/>
              </w:rPr>
              <w:t>казывается «Федеральный бюджет»</w:t>
            </w:r>
          </w:p>
        </w:tc>
      </w:tr>
      <w:tr w:rsidR="00AD1F54" w:rsidRPr="00264D5D" w14:paraId="5DF010C1"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0BA7746E" w14:textId="77777777" w:rsidR="00AD1F54" w:rsidRPr="00264D5D" w:rsidRDefault="00941227">
            <w:pPr>
              <w:pStyle w:val="GOSTTablenorm"/>
              <w:rPr>
                <w:szCs w:val="22"/>
              </w:rPr>
            </w:pPr>
            <w:r w:rsidRPr="00264D5D">
              <w:rPr>
                <w:szCs w:val="22"/>
              </w:rPr>
              <w:t>ИНН плательщика</w:t>
            </w:r>
          </w:p>
        </w:tc>
        <w:tc>
          <w:tcPr>
            <w:tcW w:w="1701" w:type="dxa"/>
          </w:tcPr>
          <w:p w14:paraId="322A5430" w14:textId="77777777" w:rsidR="00AD1F54" w:rsidRPr="00264D5D" w:rsidRDefault="00941227">
            <w:pPr>
              <w:pStyle w:val="GOSTTablenorm"/>
              <w:rPr>
                <w:szCs w:val="22"/>
              </w:rPr>
            </w:pPr>
            <w:r w:rsidRPr="00264D5D">
              <w:rPr>
                <w:szCs w:val="22"/>
              </w:rPr>
              <w:t>TtlPrt_PAY_INN</w:t>
            </w:r>
          </w:p>
        </w:tc>
        <w:tc>
          <w:tcPr>
            <w:tcW w:w="567" w:type="dxa"/>
          </w:tcPr>
          <w:p w14:paraId="1CEC8012" w14:textId="77777777" w:rsidR="00AD1F54" w:rsidRPr="00264D5D" w:rsidRDefault="00941227">
            <w:pPr>
              <w:pStyle w:val="GOSTTablenorm"/>
              <w:jc w:val="center"/>
              <w:rPr>
                <w:szCs w:val="22"/>
              </w:rPr>
            </w:pPr>
            <w:r w:rsidRPr="00264D5D">
              <w:rPr>
                <w:szCs w:val="22"/>
              </w:rPr>
              <w:t>П</w:t>
            </w:r>
          </w:p>
        </w:tc>
        <w:tc>
          <w:tcPr>
            <w:tcW w:w="1134" w:type="dxa"/>
          </w:tcPr>
          <w:p w14:paraId="37F9E2B8" w14:textId="77777777" w:rsidR="00AD1F54" w:rsidRPr="00264D5D" w:rsidRDefault="00941227">
            <w:pPr>
              <w:pStyle w:val="GOSTTablenorm"/>
              <w:rPr>
                <w:szCs w:val="22"/>
              </w:rPr>
            </w:pPr>
            <w:r w:rsidRPr="00264D5D">
              <w:rPr>
                <w:szCs w:val="22"/>
              </w:rPr>
              <w:t>Т(1-12)</w:t>
            </w:r>
          </w:p>
        </w:tc>
        <w:tc>
          <w:tcPr>
            <w:tcW w:w="567" w:type="dxa"/>
          </w:tcPr>
          <w:p w14:paraId="087B7ED2" w14:textId="77777777" w:rsidR="00AD1F54" w:rsidRPr="00264D5D" w:rsidRDefault="00941227">
            <w:pPr>
              <w:pStyle w:val="GOSTTablenorm"/>
              <w:jc w:val="center"/>
              <w:rPr>
                <w:szCs w:val="22"/>
              </w:rPr>
            </w:pPr>
            <w:r w:rsidRPr="00264D5D">
              <w:rPr>
                <w:szCs w:val="22"/>
              </w:rPr>
              <w:t>Н</w:t>
            </w:r>
          </w:p>
        </w:tc>
        <w:tc>
          <w:tcPr>
            <w:tcW w:w="3963" w:type="dxa"/>
          </w:tcPr>
          <w:p w14:paraId="04BCE6D4" w14:textId="77777777" w:rsidR="00AD1F54" w:rsidRPr="00264D5D" w:rsidRDefault="00941227">
            <w:pPr>
              <w:pStyle w:val="GOSTTablenorm"/>
              <w:rPr>
                <w:szCs w:val="22"/>
              </w:rPr>
            </w:pPr>
            <w:r w:rsidRPr="00264D5D">
              <w:rPr>
                <w:szCs w:val="22"/>
              </w:rPr>
              <w:t>Указывается ИНН клиента, формирующего документ</w:t>
            </w:r>
          </w:p>
        </w:tc>
      </w:tr>
      <w:tr w:rsidR="00AD1F54" w:rsidRPr="00264D5D" w14:paraId="14FE23F9"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5DBFAFBA" w14:textId="77777777" w:rsidR="00AD1F54" w:rsidRPr="00264D5D" w:rsidRDefault="00941227">
            <w:pPr>
              <w:pStyle w:val="GOSTTablenorm"/>
              <w:rPr>
                <w:szCs w:val="22"/>
              </w:rPr>
            </w:pPr>
            <w:r w:rsidRPr="00264D5D">
              <w:rPr>
                <w:szCs w:val="22"/>
              </w:rPr>
              <w:t>КПП плательщика</w:t>
            </w:r>
          </w:p>
        </w:tc>
        <w:tc>
          <w:tcPr>
            <w:tcW w:w="1701" w:type="dxa"/>
          </w:tcPr>
          <w:p w14:paraId="1DC556D4" w14:textId="77777777" w:rsidR="00AD1F54" w:rsidRPr="00264D5D" w:rsidRDefault="00941227">
            <w:pPr>
              <w:pStyle w:val="GOSTTablenorm"/>
              <w:rPr>
                <w:szCs w:val="22"/>
              </w:rPr>
            </w:pPr>
            <w:r w:rsidRPr="00264D5D">
              <w:rPr>
                <w:szCs w:val="22"/>
              </w:rPr>
              <w:t>TtlPrt_PAY_KPP</w:t>
            </w:r>
          </w:p>
        </w:tc>
        <w:tc>
          <w:tcPr>
            <w:tcW w:w="567" w:type="dxa"/>
          </w:tcPr>
          <w:p w14:paraId="36A0B7D7" w14:textId="77777777" w:rsidR="00AD1F54" w:rsidRPr="00264D5D" w:rsidRDefault="00941227">
            <w:pPr>
              <w:pStyle w:val="GOSTTablenorm"/>
              <w:jc w:val="center"/>
              <w:rPr>
                <w:szCs w:val="22"/>
              </w:rPr>
            </w:pPr>
            <w:r w:rsidRPr="00264D5D">
              <w:rPr>
                <w:szCs w:val="22"/>
              </w:rPr>
              <w:t>П</w:t>
            </w:r>
          </w:p>
        </w:tc>
        <w:tc>
          <w:tcPr>
            <w:tcW w:w="1134" w:type="dxa"/>
          </w:tcPr>
          <w:p w14:paraId="4EB98F1E" w14:textId="77777777" w:rsidR="00AD1F54" w:rsidRPr="00264D5D" w:rsidRDefault="00941227">
            <w:pPr>
              <w:pStyle w:val="GOSTTablenorm"/>
              <w:rPr>
                <w:szCs w:val="22"/>
              </w:rPr>
            </w:pPr>
            <w:r w:rsidRPr="00264D5D">
              <w:rPr>
                <w:szCs w:val="22"/>
              </w:rPr>
              <w:t>Т(1-9)</w:t>
            </w:r>
          </w:p>
        </w:tc>
        <w:tc>
          <w:tcPr>
            <w:tcW w:w="567" w:type="dxa"/>
          </w:tcPr>
          <w:p w14:paraId="3FB44DD6" w14:textId="77777777" w:rsidR="00AD1F54" w:rsidRPr="00264D5D" w:rsidRDefault="00941227">
            <w:pPr>
              <w:pStyle w:val="GOSTTablenorm"/>
              <w:jc w:val="center"/>
              <w:rPr>
                <w:szCs w:val="22"/>
              </w:rPr>
            </w:pPr>
            <w:r w:rsidRPr="00264D5D">
              <w:rPr>
                <w:szCs w:val="22"/>
              </w:rPr>
              <w:t>Н</w:t>
            </w:r>
          </w:p>
        </w:tc>
        <w:tc>
          <w:tcPr>
            <w:tcW w:w="3963" w:type="dxa"/>
          </w:tcPr>
          <w:p w14:paraId="031ADFB7" w14:textId="77777777" w:rsidR="00AD1F54" w:rsidRPr="00264D5D" w:rsidRDefault="00941227">
            <w:pPr>
              <w:pStyle w:val="GOSTTablenorm"/>
              <w:rPr>
                <w:szCs w:val="22"/>
              </w:rPr>
            </w:pPr>
            <w:bookmarkStart w:id="2299" w:name="OLE_LINK280"/>
            <w:bookmarkStart w:id="2300" w:name="OLE_LINK281"/>
            <w:r w:rsidRPr="00264D5D">
              <w:rPr>
                <w:szCs w:val="22"/>
              </w:rPr>
              <w:t>Указывается</w:t>
            </w:r>
            <w:bookmarkEnd w:id="2299"/>
            <w:bookmarkEnd w:id="2300"/>
            <w:r w:rsidRPr="00264D5D">
              <w:rPr>
                <w:szCs w:val="22"/>
              </w:rPr>
              <w:t xml:space="preserve"> КПП клиента, формирующего документ. </w:t>
            </w:r>
          </w:p>
          <w:p w14:paraId="39052235" w14:textId="77777777" w:rsidR="00AD1F54" w:rsidRPr="00264D5D" w:rsidRDefault="008279A4">
            <w:pPr>
              <w:pStyle w:val="GOSTTablenorm"/>
              <w:rPr>
                <w:szCs w:val="22"/>
              </w:rPr>
            </w:pPr>
            <w:r w:rsidRPr="00264D5D">
              <w:rPr>
                <w:szCs w:val="22"/>
              </w:rPr>
              <w:t>По ИП указывается ноль («0»)</w:t>
            </w:r>
          </w:p>
        </w:tc>
      </w:tr>
      <w:tr w:rsidR="00AD1F54" w:rsidRPr="00264D5D" w14:paraId="1ED3C551"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4B6D455" w14:textId="77777777" w:rsidR="00AD1F54" w:rsidRPr="00264D5D" w:rsidRDefault="00941227">
            <w:pPr>
              <w:pStyle w:val="GOSTTablenorm"/>
              <w:rPr>
                <w:szCs w:val="22"/>
              </w:rPr>
            </w:pPr>
            <w:r w:rsidRPr="00264D5D">
              <w:rPr>
                <w:szCs w:val="22"/>
              </w:rPr>
              <w:t>Номер лицевого счета плательщика</w:t>
            </w:r>
          </w:p>
        </w:tc>
        <w:tc>
          <w:tcPr>
            <w:tcW w:w="1701" w:type="dxa"/>
          </w:tcPr>
          <w:p w14:paraId="24FCA8A8" w14:textId="77777777" w:rsidR="00AD1F54" w:rsidRPr="00264D5D" w:rsidRDefault="00941227">
            <w:pPr>
              <w:pStyle w:val="GOSTTablenorm"/>
              <w:rPr>
                <w:szCs w:val="22"/>
              </w:rPr>
            </w:pPr>
            <w:r w:rsidRPr="00264D5D">
              <w:rPr>
                <w:szCs w:val="22"/>
              </w:rPr>
              <w:t>TtlPrt_PAY_NmbLS</w:t>
            </w:r>
          </w:p>
        </w:tc>
        <w:tc>
          <w:tcPr>
            <w:tcW w:w="567" w:type="dxa"/>
          </w:tcPr>
          <w:p w14:paraId="0BDEFE8A" w14:textId="77777777" w:rsidR="00AD1F54" w:rsidRPr="00264D5D" w:rsidRDefault="00941227">
            <w:pPr>
              <w:pStyle w:val="GOSTTablenorm"/>
              <w:jc w:val="center"/>
              <w:rPr>
                <w:szCs w:val="22"/>
              </w:rPr>
            </w:pPr>
            <w:r w:rsidRPr="00264D5D">
              <w:rPr>
                <w:szCs w:val="22"/>
              </w:rPr>
              <w:t>П</w:t>
            </w:r>
          </w:p>
        </w:tc>
        <w:tc>
          <w:tcPr>
            <w:tcW w:w="1134" w:type="dxa"/>
          </w:tcPr>
          <w:p w14:paraId="04D7AEE1" w14:textId="77777777" w:rsidR="00AD1F54" w:rsidRPr="00264D5D" w:rsidRDefault="00941227">
            <w:pPr>
              <w:pStyle w:val="GOSTTablenorm"/>
              <w:rPr>
                <w:szCs w:val="22"/>
              </w:rPr>
            </w:pPr>
            <w:r w:rsidRPr="00264D5D">
              <w:rPr>
                <w:szCs w:val="22"/>
              </w:rPr>
              <w:t>Т(11)</w:t>
            </w:r>
          </w:p>
        </w:tc>
        <w:tc>
          <w:tcPr>
            <w:tcW w:w="567" w:type="dxa"/>
          </w:tcPr>
          <w:p w14:paraId="615CB0CC" w14:textId="77777777" w:rsidR="00AD1F54" w:rsidRPr="00264D5D" w:rsidRDefault="00941227">
            <w:pPr>
              <w:pStyle w:val="GOSTTablenorm"/>
              <w:jc w:val="center"/>
              <w:rPr>
                <w:szCs w:val="22"/>
              </w:rPr>
            </w:pPr>
            <w:r w:rsidRPr="00264D5D">
              <w:rPr>
                <w:szCs w:val="22"/>
              </w:rPr>
              <w:t>Н</w:t>
            </w:r>
          </w:p>
        </w:tc>
        <w:tc>
          <w:tcPr>
            <w:tcW w:w="3963" w:type="dxa"/>
          </w:tcPr>
          <w:p w14:paraId="3BF771C1" w14:textId="77777777" w:rsidR="00AD1F54" w:rsidRPr="00264D5D" w:rsidRDefault="00941227">
            <w:pPr>
              <w:pStyle w:val="GOSTTablenorm"/>
              <w:rPr>
                <w:szCs w:val="22"/>
              </w:rPr>
            </w:pPr>
            <w:r w:rsidRPr="00264D5D">
              <w:rPr>
                <w:szCs w:val="22"/>
              </w:rPr>
              <w:t xml:space="preserve">Указывается номер лицевого счета клиента, формирующего документ, открытый в </w:t>
            </w:r>
            <w:r w:rsidR="008279A4" w:rsidRPr="00264D5D">
              <w:rPr>
                <w:szCs w:val="22"/>
              </w:rPr>
              <w:t xml:space="preserve">территориальном </w:t>
            </w:r>
            <w:r w:rsidRPr="00264D5D">
              <w:rPr>
                <w:szCs w:val="22"/>
              </w:rPr>
              <w:t>о</w:t>
            </w:r>
            <w:r w:rsidR="008279A4" w:rsidRPr="00264D5D">
              <w:rPr>
                <w:szCs w:val="22"/>
              </w:rPr>
              <w:t>ргане Федерального казначейства</w:t>
            </w:r>
          </w:p>
        </w:tc>
      </w:tr>
      <w:tr w:rsidR="00AD1F54" w:rsidRPr="00264D5D" w14:paraId="2EB1570D"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D4583DA" w14:textId="77777777" w:rsidR="00AD1F54" w:rsidRPr="00264D5D" w:rsidRDefault="00941227">
            <w:pPr>
              <w:pStyle w:val="GOSTTablenorm"/>
              <w:rPr>
                <w:szCs w:val="22"/>
              </w:rPr>
            </w:pPr>
            <w:r w:rsidRPr="00264D5D">
              <w:rPr>
                <w:szCs w:val="22"/>
              </w:rPr>
              <w:lastRenderedPageBreak/>
              <w:t>Аналитический код плательщика</w:t>
            </w:r>
          </w:p>
        </w:tc>
        <w:tc>
          <w:tcPr>
            <w:tcW w:w="1701" w:type="dxa"/>
          </w:tcPr>
          <w:p w14:paraId="2EE00A5A" w14:textId="77777777" w:rsidR="00AD1F54" w:rsidRPr="00264D5D" w:rsidRDefault="00941227">
            <w:pPr>
              <w:pStyle w:val="GOSTTablenorm"/>
              <w:rPr>
                <w:szCs w:val="22"/>
              </w:rPr>
            </w:pPr>
            <w:r w:rsidRPr="00264D5D">
              <w:rPr>
                <w:szCs w:val="22"/>
              </w:rPr>
              <w:t>TtlPrt_PAY_ObjCd</w:t>
            </w:r>
          </w:p>
        </w:tc>
        <w:tc>
          <w:tcPr>
            <w:tcW w:w="567" w:type="dxa"/>
          </w:tcPr>
          <w:p w14:paraId="63F9F576" w14:textId="77777777" w:rsidR="00AD1F54" w:rsidRPr="00264D5D" w:rsidRDefault="00941227">
            <w:pPr>
              <w:pStyle w:val="GOSTTablenorm"/>
              <w:jc w:val="center"/>
              <w:rPr>
                <w:szCs w:val="22"/>
              </w:rPr>
            </w:pPr>
            <w:r w:rsidRPr="00264D5D">
              <w:rPr>
                <w:szCs w:val="22"/>
              </w:rPr>
              <w:t>П</w:t>
            </w:r>
          </w:p>
        </w:tc>
        <w:tc>
          <w:tcPr>
            <w:tcW w:w="1134" w:type="dxa"/>
          </w:tcPr>
          <w:p w14:paraId="074A96BF" w14:textId="77777777" w:rsidR="00AD1F54" w:rsidRPr="00264D5D" w:rsidRDefault="00941227">
            <w:pPr>
              <w:pStyle w:val="GOSTTablenorm"/>
              <w:rPr>
                <w:szCs w:val="22"/>
              </w:rPr>
            </w:pPr>
            <w:r w:rsidRPr="00264D5D">
              <w:rPr>
                <w:szCs w:val="22"/>
              </w:rPr>
              <w:t>Т(1-25)</w:t>
            </w:r>
          </w:p>
        </w:tc>
        <w:tc>
          <w:tcPr>
            <w:tcW w:w="567" w:type="dxa"/>
          </w:tcPr>
          <w:p w14:paraId="5385DFEC" w14:textId="77777777" w:rsidR="00AD1F54" w:rsidRPr="00264D5D" w:rsidRDefault="00941227">
            <w:pPr>
              <w:pStyle w:val="GOSTTablenorm"/>
              <w:jc w:val="center"/>
              <w:rPr>
                <w:szCs w:val="22"/>
              </w:rPr>
            </w:pPr>
            <w:r w:rsidRPr="00264D5D">
              <w:rPr>
                <w:szCs w:val="22"/>
              </w:rPr>
              <w:t>Н</w:t>
            </w:r>
          </w:p>
        </w:tc>
        <w:tc>
          <w:tcPr>
            <w:tcW w:w="3963" w:type="dxa"/>
          </w:tcPr>
          <w:p w14:paraId="51EC45F6" w14:textId="77777777" w:rsidR="00AD1F54" w:rsidRPr="00264D5D" w:rsidRDefault="00941227">
            <w:pPr>
              <w:pStyle w:val="GOSTTablenorm"/>
              <w:rPr>
                <w:szCs w:val="22"/>
              </w:rPr>
            </w:pPr>
            <w:r w:rsidRPr="00264D5D">
              <w:rPr>
                <w:szCs w:val="22"/>
              </w:rPr>
              <w:t>Поле не заполняется в случае предоставления Заявления на изменение КОО.</w:t>
            </w:r>
          </w:p>
          <w:p w14:paraId="7044D76A" w14:textId="77777777" w:rsidR="00AD1F54" w:rsidRPr="00264D5D" w:rsidRDefault="00941227">
            <w:pPr>
              <w:pStyle w:val="GOSTTablenorm"/>
              <w:rPr>
                <w:szCs w:val="22"/>
              </w:rPr>
            </w:pPr>
            <w:r w:rsidRPr="00264D5D">
              <w:rPr>
                <w:szCs w:val="22"/>
              </w:rPr>
              <w:t>В случае если в элементе «Номер л/с плательщика» указан:</w:t>
            </w:r>
          </w:p>
          <w:p w14:paraId="1C08F0AD" w14:textId="77777777" w:rsidR="00AD1F54" w:rsidRPr="00264D5D" w:rsidRDefault="00941227" w:rsidP="00E7460C">
            <w:pPr>
              <w:pStyle w:val="GOSTTablenorm"/>
              <w:numPr>
                <w:ilvl w:val="0"/>
                <w:numId w:val="80"/>
              </w:numPr>
              <w:ind w:left="284" w:hanging="227"/>
              <w:rPr>
                <w:szCs w:val="22"/>
              </w:rPr>
            </w:pPr>
            <w:r w:rsidRPr="00264D5D">
              <w:rPr>
                <w:szCs w:val="22"/>
              </w:rPr>
              <w:t>л/с с кодом 03, 14 ФБ – не заполняется, или при необходимости указывается аналитический код по дополнительным ЛБО;</w:t>
            </w:r>
          </w:p>
          <w:p w14:paraId="1E05D75E" w14:textId="77777777" w:rsidR="00AD1F54" w:rsidRPr="00264D5D" w:rsidRDefault="00941227" w:rsidP="00E7460C">
            <w:pPr>
              <w:pStyle w:val="GOSTTablenorm"/>
              <w:numPr>
                <w:ilvl w:val="0"/>
                <w:numId w:val="80"/>
              </w:numPr>
              <w:ind w:left="284" w:hanging="227"/>
              <w:rPr>
                <w:szCs w:val="22"/>
              </w:rPr>
            </w:pPr>
            <w:r w:rsidRPr="00264D5D">
              <w:rPr>
                <w:szCs w:val="22"/>
              </w:rPr>
              <w:t>л/с с кодом 03, 14 БС/МБ – не заполняется, или при необходимости указывается код субсидии;</w:t>
            </w:r>
          </w:p>
          <w:p w14:paraId="612405AA" w14:textId="77777777" w:rsidR="00AD1F54" w:rsidRPr="00264D5D" w:rsidRDefault="00941227" w:rsidP="00E7460C">
            <w:pPr>
              <w:pStyle w:val="GOSTTablenorm"/>
              <w:numPr>
                <w:ilvl w:val="0"/>
                <w:numId w:val="80"/>
              </w:numPr>
              <w:ind w:left="284" w:hanging="227"/>
              <w:rPr>
                <w:szCs w:val="22"/>
              </w:rPr>
            </w:pPr>
            <w:r w:rsidRPr="00264D5D">
              <w:rPr>
                <w:szCs w:val="22"/>
              </w:rPr>
              <w:t>л/с с кодом 02 БС/МБ – указывается код субсидии МБТ;</w:t>
            </w:r>
          </w:p>
          <w:p w14:paraId="3DFA46C4" w14:textId="77777777" w:rsidR="00AD1F54" w:rsidRPr="00264D5D" w:rsidRDefault="00941227" w:rsidP="00E7460C">
            <w:pPr>
              <w:pStyle w:val="GOSTTablenorm"/>
              <w:numPr>
                <w:ilvl w:val="0"/>
                <w:numId w:val="80"/>
              </w:numPr>
              <w:ind w:left="284" w:hanging="227"/>
              <w:rPr>
                <w:szCs w:val="22"/>
              </w:rPr>
            </w:pPr>
            <w:r w:rsidRPr="00264D5D">
              <w:rPr>
                <w:szCs w:val="22"/>
              </w:rPr>
              <w:t>л/с с кодом 41, 71 – указывается код для учета выплат на л/с с кодом 41, 71 в соответствии с Перечнем направлений расходования целевых средств;</w:t>
            </w:r>
          </w:p>
          <w:p w14:paraId="45799848" w14:textId="77777777" w:rsidR="00AD1F54" w:rsidRPr="00264D5D" w:rsidRDefault="00941227" w:rsidP="00E7460C">
            <w:pPr>
              <w:pStyle w:val="GOSTTablenorm"/>
              <w:numPr>
                <w:ilvl w:val="0"/>
                <w:numId w:val="80"/>
              </w:numPr>
              <w:ind w:left="284" w:hanging="227"/>
              <w:rPr>
                <w:szCs w:val="22"/>
              </w:rPr>
            </w:pPr>
            <w:r w:rsidRPr="00264D5D">
              <w:rPr>
                <w:szCs w:val="22"/>
              </w:rPr>
              <w:t>л/с с кодом 20, 30 – указывается код субсидии (при наличии), который должен совпадать с кодом субсидии в поле «Аналитический код плательщика» в реквизитах плательщика переводимого КОО;</w:t>
            </w:r>
          </w:p>
          <w:p w14:paraId="64D3DC25" w14:textId="77777777" w:rsidR="00AD1F54" w:rsidRPr="00264D5D" w:rsidRDefault="00941227" w:rsidP="00E7460C">
            <w:pPr>
              <w:pStyle w:val="GOSTTablenorm"/>
              <w:numPr>
                <w:ilvl w:val="0"/>
                <w:numId w:val="80"/>
              </w:numPr>
              <w:ind w:left="284" w:hanging="227"/>
              <w:rPr>
                <w:szCs w:val="22"/>
              </w:rPr>
            </w:pPr>
            <w:r w:rsidRPr="00264D5D">
              <w:rPr>
                <w:szCs w:val="22"/>
              </w:rPr>
              <w:t>л/с с кодом 21, 31 – указывается код субсидии, который должен совпадать с кодом субсидии в поле «Аналитический код плательщика» в реквизит</w:t>
            </w:r>
            <w:r w:rsidR="008279A4" w:rsidRPr="00264D5D">
              <w:rPr>
                <w:szCs w:val="22"/>
              </w:rPr>
              <w:t>ах плательщика переводимого КОО</w:t>
            </w:r>
          </w:p>
        </w:tc>
      </w:tr>
      <w:tr w:rsidR="00AD1F54" w:rsidRPr="00264D5D" w14:paraId="361CC137"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64655EDE" w14:textId="77777777" w:rsidR="00AD1F54" w:rsidRPr="00264D5D" w:rsidRDefault="00941227">
            <w:pPr>
              <w:pStyle w:val="GOSTTablenorm"/>
              <w:rPr>
                <w:szCs w:val="22"/>
              </w:rPr>
            </w:pPr>
            <w:r w:rsidRPr="00264D5D">
              <w:rPr>
                <w:szCs w:val="22"/>
              </w:rPr>
              <w:t>Аналитический код (1) плательщика</w:t>
            </w:r>
          </w:p>
        </w:tc>
        <w:tc>
          <w:tcPr>
            <w:tcW w:w="1701" w:type="dxa"/>
          </w:tcPr>
          <w:p w14:paraId="1FF55FFD" w14:textId="77777777" w:rsidR="00AD1F54" w:rsidRPr="00264D5D" w:rsidRDefault="00941227">
            <w:pPr>
              <w:pStyle w:val="GOSTTablenorm"/>
              <w:rPr>
                <w:szCs w:val="22"/>
              </w:rPr>
            </w:pPr>
            <w:r w:rsidRPr="00264D5D">
              <w:rPr>
                <w:szCs w:val="22"/>
              </w:rPr>
              <w:t>TtlPrt_PAY_ObjCd_1</w:t>
            </w:r>
          </w:p>
        </w:tc>
        <w:tc>
          <w:tcPr>
            <w:tcW w:w="567" w:type="dxa"/>
          </w:tcPr>
          <w:p w14:paraId="2370319F" w14:textId="77777777" w:rsidR="00AD1F54" w:rsidRPr="00264D5D" w:rsidRDefault="00941227">
            <w:pPr>
              <w:pStyle w:val="GOSTTablenorm"/>
              <w:jc w:val="center"/>
              <w:rPr>
                <w:szCs w:val="22"/>
              </w:rPr>
            </w:pPr>
            <w:r w:rsidRPr="00264D5D">
              <w:rPr>
                <w:szCs w:val="22"/>
              </w:rPr>
              <w:t>П</w:t>
            </w:r>
          </w:p>
        </w:tc>
        <w:tc>
          <w:tcPr>
            <w:tcW w:w="1134" w:type="dxa"/>
          </w:tcPr>
          <w:p w14:paraId="222C69E5" w14:textId="77777777" w:rsidR="00AD1F54" w:rsidRPr="00264D5D" w:rsidRDefault="00941227">
            <w:pPr>
              <w:pStyle w:val="GOSTTablenorm"/>
              <w:rPr>
                <w:szCs w:val="22"/>
              </w:rPr>
            </w:pPr>
            <w:r w:rsidRPr="00264D5D">
              <w:rPr>
                <w:szCs w:val="22"/>
              </w:rPr>
              <w:t>Т(1-25)</w:t>
            </w:r>
          </w:p>
        </w:tc>
        <w:tc>
          <w:tcPr>
            <w:tcW w:w="567" w:type="dxa"/>
          </w:tcPr>
          <w:p w14:paraId="1CE73476" w14:textId="77777777" w:rsidR="00AD1F54" w:rsidRPr="00264D5D" w:rsidRDefault="00941227">
            <w:pPr>
              <w:pStyle w:val="GOSTTablenorm"/>
              <w:jc w:val="center"/>
              <w:rPr>
                <w:szCs w:val="22"/>
              </w:rPr>
            </w:pPr>
            <w:r w:rsidRPr="00264D5D">
              <w:rPr>
                <w:szCs w:val="22"/>
              </w:rPr>
              <w:t>Н</w:t>
            </w:r>
          </w:p>
        </w:tc>
        <w:tc>
          <w:tcPr>
            <w:tcW w:w="3963" w:type="dxa"/>
          </w:tcPr>
          <w:p w14:paraId="6CD4442B" w14:textId="77777777" w:rsidR="00AD1F54" w:rsidRPr="00264D5D" w:rsidRDefault="00941227">
            <w:pPr>
              <w:pStyle w:val="GOSTTablenorm"/>
              <w:rPr>
                <w:szCs w:val="22"/>
              </w:rPr>
            </w:pPr>
            <w:r w:rsidRPr="00264D5D">
              <w:rPr>
                <w:szCs w:val="22"/>
              </w:rPr>
              <w:t>В случае если в элементе «Номер л/с плательщика» указан л/с с кодом 20, 21, 31, то указывается трехзначный аналитический код выплат.</w:t>
            </w:r>
          </w:p>
          <w:p w14:paraId="26481365" w14:textId="77777777" w:rsidR="00AD1F54" w:rsidRPr="00264D5D" w:rsidRDefault="00941227">
            <w:pPr>
              <w:pStyle w:val="GOSTTablenorm"/>
              <w:rPr>
                <w:szCs w:val="22"/>
              </w:rPr>
            </w:pPr>
            <w:r w:rsidRPr="00264D5D">
              <w:rPr>
                <w:szCs w:val="22"/>
              </w:rPr>
              <w:t>В случае, если в элементе «Номер л/с плательщика» указан л/с с кодом 03, 14 ФБ, то не заполняется, или при необходимости указывается укрупнен</w:t>
            </w:r>
            <w:r w:rsidR="008279A4" w:rsidRPr="00264D5D">
              <w:rPr>
                <w:szCs w:val="22"/>
              </w:rPr>
              <w:t>ный (федеральный) код ОКС (ОКВ)</w:t>
            </w:r>
          </w:p>
        </w:tc>
      </w:tr>
      <w:tr w:rsidR="00AD1F54" w:rsidRPr="00264D5D" w14:paraId="64C0DAAB"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82D2550" w14:textId="77777777" w:rsidR="00AD1F54" w:rsidRPr="00264D5D" w:rsidRDefault="00941227">
            <w:pPr>
              <w:pStyle w:val="GOSTTablenorm"/>
              <w:rPr>
                <w:szCs w:val="22"/>
              </w:rPr>
            </w:pPr>
            <w:r w:rsidRPr="00264D5D">
              <w:rPr>
                <w:szCs w:val="22"/>
              </w:rPr>
              <w:t xml:space="preserve">Номер казначейского счета </w:t>
            </w:r>
            <w:r w:rsidRPr="00264D5D">
              <w:rPr>
                <w:szCs w:val="22"/>
              </w:rPr>
              <w:lastRenderedPageBreak/>
              <w:t>плательщика</w:t>
            </w:r>
          </w:p>
        </w:tc>
        <w:tc>
          <w:tcPr>
            <w:tcW w:w="1701" w:type="dxa"/>
          </w:tcPr>
          <w:p w14:paraId="46FD28BB" w14:textId="77777777" w:rsidR="00AD1F54" w:rsidRPr="00264D5D" w:rsidRDefault="00941227">
            <w:pPr>
              <w:pStyle w:val="GOSTTablenorm"/>
              <w:rPr>
                <w:szCs w:val="22"/>
              </w:rPr>
            </w:pPr>
            <w:r w:rsidRPr="00264D5D">
              <w:rPr>
                <w:szCs w:val="22"/>
              </w:rPr>
              <w:lastRenderedPageBreak/>
              <w:t>TtlPrt_PAY_BANK_BnkAcc</w:t>
            </w:r>
          </w:p>
        </w:tc>
        <w:tc>
          <w:tcPr>
            <w:tcW w:w="567" w:type="dxa"/>
          </w:tcPr>
          <w:p w14:paraId="79107063" w14:textId="77777777" w:rsidR="00AD1F54" w:rsidRPr="00264D5D" w:rsidRDefault="00941227">
            <w:pPr>
              <w:pStyle w:val="GOSTTablenorm"/>
              <w:jc w:val="center"/>
              <w:rPr>
                <w:szCs w:val="22"/>
              </w:rPr>
            </w:pPr>
            <w:r w:rsidRPr="00264D5D">
              <w:rPr>
                <w:szCs w:val="22"/>
              </w:rPr>
              <w:t>П</w:t>
            </w:r>
          </w:p>
        </w:tc>
        <w:tc>
          <w:tcPr>
            <w:tcW w:w="1134" w:type="dxa"/>
          </w:tcPr>
          <w:p w14:paraId="06B479BC" w14:textId="77777777" w:rsidR="00AD1F54" w:rsidRPr="00264D5D" w:rsidRDefault="00941227">
            <w:pPr>
              <w:pStyle w:val="GOSTTablenorm"/>
              <w:rPr>
                <w:szCs w:val="22"/>
              </w:rPr>
            </w:pPr>
            <w:r w:rsidRPr="00264D5D">
              <w:rPr>
                <w:szCs w:val="22"/>
              </w:rPr>
              <w:t>Т(20)</w:t>
            </w:r>
          </w:p>
        </w:tc>
        <w:tc>
          <w:tcPr>
            <w:tcW w:w="567" w:type="dxa"/>
          </w:tcPr>
          <w:p w14:paraId="54AEC6D6" w14:textId="77777777" w:rsidR="00AD1F54" w:rsidRPr="00264D5D" w:rsidRDefault="00941227">
            <w:pPr>
              <w:pStyle w:val="GOSTTablenorm"/>
              <w:jc w:val="center"/>
              <w:rPr>
                <w:szCs w:val="22"/>
              </w:rPr>
            </w:pPr>
            <w:r w:rsidRPr="00264D5D">
              <w:rPr>
                <w:szCs w:val="22"/>
              </w:rPr>
              <w:t>Н</w:t>
            </w:r>
          </w:p>
        </w:tc>
        <w:tc>
          <w:tcPr>
            <w:tcW w:w="3963" w:type="dxa"/>
          </w:tcPr>
          <w:p w14:paraId="500ED9A8" w14:textId="77777777" w:rsidR="00AD1F54" w:rsidRPr="00264D5D" w:rsidRDefault="00941227">
            <w:pPr>
              <w:pStyle w:val="GOSTTablenorm"/>
            </w:pPr>
            <w:r w:rsidRPr="00264D5D">
              <w:t>У</w:t>
            </w:r>
            <w:r w:rsidRPr="00264D5D">
              <w:rPr>
                <w:rStyle w:val="GOSTSymItalic"/>
                <w:i w:val="0"/>
              </w:rPr>
              <w:t xml:space="preserve">казывается номер казначейского счета </w:t>
            </w:r>
            <w:r w:rsidRPr="00264D5D">
              <w:t>по месту открытия соответствую</w:t>
            </w:r>
            <w:r w:rsidR="008279A4" w:rsidRPr="00264D5D">
              <w:t>щего лицевого счета плательщика</w:t>
            </w:r>
          </w:p>
        </w:tc>
      </w:tr>
      <w:tr w:rsidR="00AD1F54" w:rsidRPr="00264D5D" w14:paraId="73DE272E"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5591CDC0" w14:textId="77777777" w:rsidR="00AD1F54" w:rsidRPr="00264D5D" w:rsidRDefault="00941227">
            <w:pPr>
              <w:pStyle w:val="GOSTTablenorm"/>
              <w:rPr>
                <w:szCs w:val="22"/>
              </w:rPr>
            </w:pPr>
            <w:r w:rsidRPr="00264D5D">
              <w:rPr>
                <w:szCs w:val="22"/>
              </w:rPr>
              <w:lastRenderedPageBreak/>
              <w:t>БИК банка плательщика</w:t>
            </w:r>
          </w:p>
          <w:p w14:paraId="558F33B6" w14:textId="77777777" w:rsidR="00AD1F54" w:rsidRPr="00264D5D" w:rsidRDefault="00AD1F54">
            <w:pPr>
              <w:pStyle w:val="2fb"/>
            </w:pPr>
          </w:p>
        </w:tc>
        <w:tc>
          <w:tcPr>
            <w:tcW w:w="1701" w:type="dxa"/>
          </w:tcPr>
          <w:p w14:paraId="71BFBBB5" w14:textId="77777777" w:rsidR="00AD1F54" w:rsidRPr="00264D5D" w:rsidRDefault="00941227">
            <w:pPr>
              <w:pStyle w:val="GOSTTablenorm"/>
              <w:rPr>
                <w:szCs w:val="22"/>
              </w:rPr>
            </w:pPr>
            <w:r w:rsidRPr="00264D5D">
              <w:rPr>
                <w:szCs w:val="22"/>
              </w:rPr>
              <w:t>TtlPrt_PAY_BANK_BIC</w:t>
            </w:r>
          </w:p>
        </w:tc>
        <w:tc>
          <w:tcPr>
            <w:tcW w:w="567" w:type="dxa"/>
          </w:tcPr>
          <w:p w14:paraId="639112DA" w14:textId="77777777" w:rsidR="00AD1F54" w:rsidRPr="00264D5D" w:rsidRDefault="00941227">
            <w:pPr>
              <w:pStyle w:val="GOSTTablenorm"/>
              <w:jc w:val="center"/>
              <w:rPr>
                <w:szCs w:val="22"/>
              </w:rPr>
            </w:pPr>
            <w:r w:rsidRPr="00264D5D">
              <w:rPr>
                <w:szCs w:val="22"/>
              </w:rPr>
              <w:t>П</w:t>
            </w:r>
          </w:p>
        </w:tc>
        <w:tc>
          <w:tcPr>
            <w:tcW w:w="1134" w:type="dxa"/>
          </w:tcPr>
          <w:p w14:paraId="4F8D1806" w14:textId="77777777" w:rsidR="00AD1F54" w:rsidRPr="00264D5D" w:rsidRDefault="00941227">
            <w:pPr>
              <w:pStyle w:val="GOSTTablenorm"/>
              <w:rPr>
                <w:szCs w:val="22"/>
              </w:rPr>
            </w:pPr>
            <w:r w:rsidRPr="00264D5D">
              <w:rPr>
                <w:szCs w:val="22"/>
              </w:rPr>
              <w:t>Т(9)</w:t>
            </w:r>
          </w:p>
        </w:tc>
        <w:tc>
          <w:tcPr>
            <w:tcW w:w="567" w:type="dxa"/>
          </w:tcPr>
          <w:p w14:paraId="72DF8E6B" w14:textId="77777777" w:rsidR="00AD1F54" w:rsidRPr="00264D5D" w:rsidRDefault="00941227">
            <w:pPr>
              <w:pStyle w:val="GOSTTablenorm"/>
              <w:jc w:val="center"/>
              <w:rPr>
                <w:szCs w:val="22"/>
              </w:rPr>
            </w:pPr>
            <w:r w:rsidRPr="00264D5D">
              <w:rPr>
                <w:szCs w:val="22"/>
              </w:rPr>
              <w:t>Н</w:t>
            </w:r>
          </w:p>
        </w:tc>
        <w:tc>
          <w:tcPr>
            <w:tcW w:w="3963" w:type="dxa"/>
          </w:tcPr>
          <w:p w14:paraId="0567A2D3" w14:textId="77777777" w:rsidR="00AD1F54" w:rsidRPr="00264D5D" w:rsidRDefault="00941227">
            <w:pPr>
              <w:pStyle w:val="GOSTTablenorm"/>
              <w:rPr>
                <w:szCs w:val="22"/>
              </w:rPr>
            </w:pPr>
            <w:r w:rsidRPr="00264D5D">
              <w:rPr>
                <w:szCs w:val="22"/>
              </w:rPr>
              <w:t xml:space="preserve">Указывается БИК </w:t>
            </w:r>
            <w:r w:rsidRPr="00264D5D">
              <w:rPr>
                <w:rFonts w:cstheme="minorHAnsi"/>
                <w:color w:val="000000"/>
                <w:szCs w:val="22"/>
              </w:rPr>
              <w:t>Федерального казначейств</w:t>
            </w:r>
            <w:r w:rsidR="008279A4" w:rsidRPr="00264D5D">
              <w:rPr>
                <w:rFonts w:cstheme="minorHAnsi"/>
                <w:color w:val="000000"/>
                <w:szCs w:val="22"/>
              </w:rPr>
              <w:t>а (его территориального органа)</w:t>
            </w:r>
          </w:p>
        </w:tc>
      </w:tr>
      <w:tr w:rsidR="00AD1F54" w:rsidRPr="00264D5D" w14:paraId="795142FF" w14:textId="77777777" w:rsidTr="00AD1F54">
        <w:trPr>
          <w:cnfStyle w:val="000000100000" w:firstRow="0" w:lastRow="0" w:firstColumn="0" w:lastColumn="0" w:oddVBand="0" w:evenVBand="0" w:oddHBand="1" w:evenHBand="0" w:firstRowFirstColumn="0" w:firstRowLastColumn="0" w:lastRowFirstColumn="0" w:lastRowLastColumn="0"/>
        </w:trPr>
        <w:tc>
          <w:tcPr>
            <w:tcW w:w="9634" w:type="dxa"/>
            <w:gridSpan w:val="6"/>
          </w:tcPr>
          <w:p w14:paraId="2C920832" w14:textId="77777777" w:rsidR="00AD1F54" w:rsidRPr="00264D5D" w:rsidRDefault="00941227">
            <w:pPr>
              <w:pStyle w:val="GOSTTablenorm"/>
              <w:rPr>
                <w:szCs w:val="22"/>
              </w:rPr>
            </w:pPr>
            <w:r w:rsidRPr="00264D5D">
              <w:rPr>
                <w:b/>
                <w:szCs w:val="22"/>
              </w:rPr>
              <w:t>Реквизиты получателя</w:t>
            </w:r>
          </w:p>
        </w:tc>
      </w:tr>
      <w:tr w:rsidR="00AD1F54" w:rsidRPr="00264D5D" w14:paraId="4360B11E"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3D8432DD" w14:textId="77777777" w:rsidR="00AD1F54" w:rsidRPr="00264D5D" w:rsidRDefault="00941227">
            <w:pPr>
              <w:pStyle w:val="GOSTTablenorm"/>
              <w:rPr>
                <w:szCs w:val="22"/>
              </w:rPr>
            </w:pPr>
            <w:r w:rsidRPr="00264D5D">
              <w:rPr>
                <w:szCs w:val="22"/>
              </w:rPr>
              <w:t>Получатель</w:t>
            </w:r>
          </w:p>
        </w:tc>
        <w:tc>
          <w:tcPr>
            <w:tcW w:w="1701" w:type="dxa"/>
          </w:tcPr>
          <w:p w14:paraId="13A01670" w14:textId="77777777" w:rsidR="00AD1F54" w:rsidRPr="00264D5D" w:rsidRDefault="00941227">
            <w:pPr>
              <w:pStyle w:val="GOSTTablenorm"/>
              <w:rPr>
                <w:szCs w:val="22"/>
              </w:rPr>
            </w:pPr>
            <w:r w:rsidRPr="00264D5D">
              <w:rPr>
                <w:szCs w:val="22"/>
              </w:rPr>
              <w:t>TtlPrt_REC_UBP</w:t>
            </w:r>
          </w:p>
        </w:tc>
        <w:tc>
          <w:tcPr>
            <w:tcW w:w="567" w:type="dxa"/>
          </w:tcPr>
          <w:p w14:paraId="7F898B78" w14:textId="77777777" w:rsidR="00AD1F54" w:rsidRPr="00264D5D" w:rsidRDefault="00941227">
            <w:pPr>
              <w:pStyle w:val="GOSTTablenorm"/>
              <w:jc w:val="center"/>
              <w:rPr>
                <w:szCs w:val="22"/>
              </w:rPr>
            </w:pPr>
            <w:r w:rsidRPr="00264D5D">
              <w:rPr>
                <w:szCs w:val="22"/>
              </w:rPr>
              <w:t>С</w:t>
            </w:r>
          </w:p>
        </w:tc>
        <w:tc>
          <w:tcPr>
            <w:tcW w:w="1134" w:type="dxa"/>
          </w:tcPr>
          <w:p w14:paraId="5AB8710E" w14:textId="77777777" w:rsidR="00AD1F54" w:rsidRPr="00264D5D" w:rsidRDefault="00941227">
            <w:pPr>
              <w:pStyle w:val="GOSTTablenorm"/>
              <w:rPr>
                <w:szCs w:val="22"/>
              </w:rPr>
            </w:pPr>
            <w:r w:rsidRPr="00264D5D">
              <w:rPr>
                <w:szCs w:val="22"/>
              </w:rPr>
              <w:t>tMSC_PBS_UBP2</w:t>
            </w:r>
          </w:p>
        </w:tc>
        <w:tc>
          <w:tcPr>
            <w:tcW w:w="567" w:type="dxa"/>
          </w:tcPr>
          <w:p w14:paraId="70D606AA" w14:textId="77777777" w:rsidR="00AD1F54" w:rsidRPr="00264D5D" w:rsidRDefault="00941227">
            <w:pPr>
              <w:pStyle w:val="GOSTTablenorm"/>
              <w:rPr>
                <w:szCs w:val="22"/>
              </w:rPr>
            </w:pPr>
            <w:r w:rsidRPr="00264D5D">
              <w:rPr>
                <w:szCs w:val="22"/>
              </w:rPr>
              <w:t>Н</w:t>
            </w:r>
          </w:p>
        </w:tc>
        <w:tc>
          <w:tcPr>
            <w:tcW w:w="3963" w:type="dxa"/>
          </w:tcPr>
          <w:p w14:paraId="5DCAAD21" w14:textId="548AA72B" w:rsidR="00AD1F54" w:rsidRPr="00264D5D" w:rsidRDefault="00941227">
            <w:pPr>
              <w:pStyle w:val="GOSTTablenorm"/>
              <w:rPr>
                <w:szCs w:val="22"/>
              </w:rPr>
            </w:pPr>
            <w:bookmarkStart w:id="2301" w:name="OLE_LINK198"/>
            <w:bookmarkStart w:id="2302" w:name="OLE_LINK199"/>
            <w:bookmarkStart w:id="2303" w:name="OLE_LINK200"/>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_Ref17447947 \h  \* MERGEFORMAT </w:instrText>
            </w:r>
            <w:r w:rsidRPr="00264D5D">
              <w:rPr>
                <w:b/>
                <w:szCs w:val="22"/>
              </w:rPr>
            </w:r>
            <w:r w:rsidRPr="00264D5D">
              <w:rPr>
                <w:b/>
                <w:szCs w:val="22"/>
              </w:rPr>
              <w:fldChar w:fldCharType="separate"/>
            </w:r>
            <w:r w:rsidR="008D797C" w:rsidRPr="008D797C">
              <w:rPr>
                <w:b/>
                <w:szCs w:val="22"/>
              </w:rPr>
              <w:t>232</w:t>
            </w:r>
            <w:r w:rsidRPr="00264D5D">
              <w:rPr>
                <w:b/>
                <w:szCs w:val="22"/>
              </w:rPr>
              <w:fldChar w:fldCharType="end"/>
            </w:r>
            <w:bookmarkEnd w:id="2301"/>
            <w:bookmarkEnd w:id="2302"/>
            <w:bookmarkEnd w:id="2303"/>
          </w:p>
        </w:tc>
      </w:tr>
      <w:tr w:rsidR="00AD1F54" w:rsidRPr="00264D5D" w14:paraId="3682C781"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F77957A" w14:textId="77777777" w:rsidR="00AD1F54" w:rsidRPr="00264D5D" w:rsidRDefault="00941227">
            <w:pPr>
              <w:pStyle w:val="GOSTTablenorm"/>
              <w:rPr>
                <w:szCs w:val="22"/>
              </w:rPr>
            </w:pPr>
            <w:r w:rsidRPr="00264D5D">
              <w:rPr>
                <w:szCs w:val="22"/>
              </w:rPr>
              <w:t>Наименование бюджета получателя</w:t>
            </w:r>
          </w:p>
        </w:tc>
        <w:tc>
          <w:tcPr>
            <w:tcW w:w="1701" w:type="dxa"/>
          </w:tcPr>
          <w:p w14:paraId="59AE5165" w14:textId="77777777" w:rsidR="00AD1F54" w:rsidRPr="00264D5D" w:rsidRDefault="00941227">
            <w:pPr>
              <w:pStyle w:val="GOSTTablenorm"/>
              <w:rPr>
                <w:szCs w:val="22"/>
              </w:rPr>
            </w:pPr>
            <w:r w:rsidRPr="00264D5D">
              <w:rPr>
                <w:szCs w:val="22"/>
              </w:rPr>
              <w:t>TtlPrt_REC_NmBdgt</w:t>
            </w:r>
          </w:p>
        </w:tc>
        <w:tc>
          <w:tcPr>
            <w:tcW w:w="567" w:type="dxa"/>
          </w:tcPr>
          <w:p w14:paraId="0F757513" w14:textId="77777777" w:rsidR="00AD1F54" w:rsidRPr="00264D5D" w:rsidRDefault="00941227">
            <w:pPr>
              <w:pStyle w:val="GOSTTablenorm"/>
              <w:jc w:val="center"/>
              <w:rPr>
                <w:szCs w:val="22"/>
              </w:rPr>
            </w:pPr>
            <w:r w:rsidRPr="00264D5D">
              <w:rPr>
                <w:szCs w:val="22"/>
              </w:rPr>
              <w:t>П</w:t>
            </w:r>
          </w:p>
        </w:tc>
        <w:tc>
          <w:tcPr>
            <w:tcW w:w="1134" w:type="dxa"/>
          </w:tcPr>
          <w:p w14:paraId="2819042A" w14:textId="77777777" w:rsidR="00AD1F54" w:rsidRPr="00264D5D" w:rsidRDefault="00941227">
            <w:pPr>
              <w:pStyle w:val="GOSTTablenorm"/>
              <w:rPr>
                <w:szCs w:val="22"/>
              </w:rPr>
            </w:pPr>
            <w:r w:rsidRPr="00264D5D">
              <w:rPr>
                <w:szCs w:val="22"/>
              </w:rPr>
              <w:t>Т(1-512)</w:t>
            </w:r>
          </w:p>
        </w:tc>
        <w:tc>
          <w:tcPr>
            <w:tcW w:w="567" w:type="dxa"/>
          </w:tcPr>
          <w:p w14:paraId="62C183D1" w14:textId="77777777" w:rsidR="00AD1F54" w:rsidRPr="00264D5D" w:rsidRDefault="00941227">
            <w:pPr>
              <w:pStyle w:val="GOSTTablenorm"/>
              <w:jc w:val="center"/>
              <w:rPr>
                <w:szCs w:val="22"/>
              </w:rPr>
            </w:pPr>
            <w:r w:rsidRPr="00264D5D">
              <w:rPr>
                <w:szCs w:val="22"/>
              </w:rPr>
              <w:t>Н</w:t>
            </w:r>
          </w:p>
        </w:tc>
        <w:tc>
          <w:tcPr>
            <w:tcW w:w="3963" w:type="dxa"/>
          </w:tcPr>
          <w:p w14:paraId="34EACA7C" w14:textId="77777777" w:rsidR="00AD1F54" w:rsidRPr="00264D5D" w:rsidRDefault="00941227">
            <w:pPr>
              <w:pStyle w:val="GOSTTablenorm"/>
              <w:rPr>
                <w:szCs w:val="22"/>
              </w:rPr>
            </w:pPr>
            <w:r w:rsidRPr="00264D5D">
              <w:rPr>
                <w:szCs w:val="22"/>
              </w:rPr>
              <w:t xml:space="preserve">Указывается наименование бюджета получателя. </w:t>
            </w:r>
          </w:p>
          <w:p w14:paraId="2E66BD8E" w14:textId="77777777" w:rsidR="00AD1F54" w:rsidRPr="00264D5D" w:rsidRDefault="00941227">
            <w:pPr>
              <w:pStyle w:val="GOSTTablenorm"/>
              <w:rPr>
                <w:szCs w:val="22"/>
              </w:rPr>
            </w:pPr>
            <w:r w:rsidRPr="00264D5D">
              <w:rPr>
                <w:szCs w:val="22"/>
              </w:rPr>
              <w:t>Для УБП ФБ указывается «Федеральный бюджет». Для УБП БС/МБ – наимен</w:t>
            </w:r>
            <w:r w:rsidR="008279A4" w:rsidRPr="00264D5D">
              <w:rPr>
                <w:szCs w:val="22"/>
              </w:rPr>
              <w:t>ование соответствующего бюджета</w:t>
            </w:r>
          </w:p>
        </w:tc>
      </w:tr>
      <w:tr w:rsidR="00AD1F54" w:rsidRPr="00264D5D" w14:paraId="6B41F337"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522C6E50" w14:textId="77777777" w:rsidR="00AD1F54" w:rsidRPr="00264D5D" w:rsidRDefault="00941227">
            <w:pPr>
              <w:pStyle w:val="GOSTTablenorm"/>
              <w:rPr>
                <w:szCs w:val="22"/>
              </w:rPr>
            </w:pPr>
            <w:r w:rsidRPr="00264D5D">
              <w:rPr>
                <w:szCs w:val="22"/>
              </w:rPr>
              <w:t>ИНН получателя</w:t>
            </w:r>
          </w:p>
        </w:tc>
        <w:tc>
          <w:tcPr>
            <w:tcW w:w="1701" w:type="dxa"/>
          </w:tcPr>
          <w:p w14:paraId="0D90D3B9" w14:textId="77777777" w:rsidR="00AD1F54" w:rsidRPr="00264D5D" w:rsidRDefault="00941227">
            <w:pPr>
              <w:pStyle w:val="GOSTTablenorm"/>
              <w:rPr>
                <w:szCs w:val="22"/>
              </w:rPr>
            </w:pPr>
            <w:r w:rsidRPr="00264D5D">
              <w:rPr>
                <w:szCs w:val="22"/>
              </w:rPr>
              <w:t>TtlPrt_REC_INN</w:t>
            </w:r>
          </w:p>
        </w:tc>
        <w:tc>
          <w:tcPr>
            <w:tcW w:w="567" w:type="dxa"/>
          </w:tcPr>
          <w:p w14:paraId="08171FD3" w14:textId="77777777" w:rsidR="00AD1F54" w:rsidRPr="00264D5D" w:rsidRDefault="00941227">
            <w:pPr>
              <w:pStyle w:val="GOSTTablenorm"/>
              <w:jc w:val="center"/>
              <w:rPr>
                <w:szCs w:val="22"/>
              </w:rPr>
            </w:pPr>
            <w:r w:rsidRPr="00264D5D">
              <w:rPr>
                <w:szCs w:val="22"/>
              </w:rPr>
              <w:t>П</w:t>
            </w:r>
          </w:p>
        </w:tc>
        <w:tc>
          <w:tcPr>
            <w:tcW w:w="1134" w:type="dxa"/>
          </w:tcPr>
          <w:p w14:paraId="7A2C9D4B" w14:textId="77777777" w:rsidR="00AD1F54" w:rsidRPr="00264D5D" w:rsidRDefault="00941227">
            <w:pPr>
              <w:pStyle w:val="GOSTTablenorm"/>
              <w:rPr>
                <w:szCs w:val="22"/>
              </w:rPr>
            </w:pPr>
            <w:r w:rsidRPr="00264D5D">
              <w:rPr>
                <w:szCs w:val="22"/>
              </w:rPr>
              <w:t>Т(1-12)</w:t>
            </w:r>
          </w:p>
        </w:tc>
        <w:tc>
          <w:tcPr>
            <w:tcW w:w="567" w:type="dxa"/>
          </w:tcPr>
          <w:p w14:paraId="1C9B3691" w14:textId="77777777" w:rsidR="00AD1F54" w:rsidRPr="00264D5D" w:rsidRDefault="00941227">
            <w:pPr>
              <w:pStyle w:val="GOSTTablenorm"/>
              <w:jc w:val="center"/>
              <w:rPr>
                <w:szCs w:val="22"/>
              </w:rPr>
            </w:pPr>
            <w:r w:rsidRPr="00264D5D">
              <w:rPr>
                <w:szCs w:val="22"/>
              </w:rPr>
              <w:t>Н</w:t>
            </w:r>
          </w:p>
        </w:tc>
        <w:tc>
          <w:tcPr>
            <w:tcW w:w="3963" w:type="dxa"/>
          </w:tcPr>
          <w:p w14:paraId="098916F2" w14:textId="77777777" w:rsidR="00AD1F54" w:rsidRPr="00264D5D" w:rsidRDefault="00941227">
            <w:pPr>
              <w:pStyle w:val="GOSTTablenorm"/>
              <w:rPr>
                <w:szCs w:val="22"/>
              </w:rPr>
            </w:pPr>
            <w:r w:rsidRPr="00264D5D">
              <w:rPr>
                <w:szCs w:val="22"/>
              </w:rPr>
              <w:t>Указывается ИНН пол</w:t>
            </w:r>
            <w:r w:rsidR="008279A4" w:rsidRPr="00264D5D">
              <w:rPr>
                <w:szCs w:val="22"/>
              </w:rPr>
              <w:t>учателя КОО (переведенного КОО)</w:t>
            </w:r>
          </w:p>
        </w:tc>
      </w:tr>
      <w:tr w:rsidR="00AD1F54" w:rsidRPr="00264D5D" w14:paraId="2DE53055"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5C1C72C0" w14:textId="77777777" w:rsidR="00AD1F54" w:rsidRPr="00264D5D" w:rsidRDefault="00941227">
            <w:pPr>
              <w:pStyle w:val="GOSTTablenorm"/>
              <w:rPr>
                <w:szCs w:val="22"/>
              </w:rPr>
            </w:pPr>
            <w:r w:rsidRPr="00264D5D">
              <w:rPr>
                <w:szCs w:val="22"/>
              </w:rPr>
              <w:t>КПП получателя</w:t>
            </w:r>
          </w:p>
        </w:tc>
        <w:tc>
          <w:tcPr>
            <w:tcW w:w="1701" w:type="dxa"/>
          </w:tcPr>
          <w:p w14:paraId="4A6B0DA3" w14:textId="77777777" w:rsidR="00AD1F54" w:rsidRPr="00264D5D" w:rsidRDefault="00941227">
            <w:pPr>
              <w:pStyle w:val="GOSTTablenorm"/>
              <w:rPr>
                <w:szCs w:val="22"/>
              </w:rPr>
            </w:pPr>
            <w:r w:rsidRPr="00264D5D">
              <w:rPr>
                <w:szCs w:val="22"/>
              </w:rPr>
              <w:t>TtlPrt_REC_KPP</w:t>
            </w:r>
          </w:p>
        </w:tc>
        <w:tc>
          <w:tcPr>
            <w:tcW w:w="567" w:type="dxa"/>
          </w:tcPr>
          <w:p w14:paraId="07F6F08C" w14:textId="77777777" w:rsidR="00AD1F54" w:rsidRPr="00264D5D" w:rsidRDefault="00941227">
            <w:pPr>
              <w:pStyle w:val="GOSTTablenorm"/>
              <w:jc w:val="center"/>
              <w:rPr>
                <w:szCs w:val="22"/>
              </w:rPr>
            </w:pPr>
            <w:r w:rsidRPr="00264D5D">
              <w:rPr>
                <w:szCs w:val="22"/>
              </w:rPr>
              <w:t>П</w:t>
            </w:r>
          </w:p>
        </w:tc>
        <w:tc>
          <w:tcPr>
            <w:tcW w:w="1134" w:type="dxa"/>
          </w:tcPr>
          <w:p w14:paraId="2776E588" w14:textId="77777777" w:rsidR="00AD1F54" w:rsidRPr="00264D5D" w:rsidRDefault="00941227">
            <w:pPr>
              <w:pStyle w:val="GOSTTablenorm"/>
              <w:rPr>
                <w:szCs w:val="22"/>
              </w:rPr>
            </w:pPr>
            <w:r w:rsidRPr="00264D5D">
              <w:rPr>
                <w:szCs w:val="22"/>
              </w:rPr>
              <w:t>Т(1-9)</w:t>
            </w:r>
          </w:p>
        </w:tc>
        <w:tc>
          <w:tcPr>
            <w:tcW w:w="567" w:type="dxa"/>
          </w:tcPr>
          <w:p w14:paraId="17504E80" w14:textId="77777777" w:rsidR="00AD1F54" w:rsidRPr="00264D5D" w:rsidRDefault="00941227">
            <w:pPr>
              <w:pStyle w:val="GOSTTablenorm"/>
              <w:jc w:val="center"/>
              <w:rPr>
                <w:szCs w:val="22"/>
              </w:rPr>
            </w:pPr>
            <w:r w:rsidRPr="00264D5D">
              <w:rPr>
                <w:szCs w:val="22"/>
              </w:rPr>
              <w:t>Н</w:t>
            </w:r>
          </w:p>
        </w:tc>
        <w:tc>
          <w:tcPr>
            <w:tcW w:w="3963" w:type="dxa"/>
          </w:tcPr>
          <w:p w14:paraId="7EE051E6" w14:textId="77777777" w:rsidR="008279A4" w:rsidRPr="00264D5D" w:rsidRDefault="00941227">
            <w:pPr>
              <w:pStyle w:val="GOSTTablenorm"/>
              <w:rPr>
                <w:szCs w:val="22"/>
              </w:rPr>
            </w:pPr>
            <w:r w:rsidRPr="00264D5D">
              <w:rPr>
                <w:szCs w:val="22"/>
              </w:rPr>
              <w:t>Указывается КПП получателя КОО (переведенного КОО</w:t>
            </w:r>
            <w:r w:rsidR="008279A4" w:rsidRPr="00264D5D">
              <w:rPr>
                <w:szCs w:val="22"/>
              </w:rPr>
              <w:t xml:space="preserve">). </w:t>
            </w:r>
          </w:p>
          <w:p w14:paraId="7EB2D6BE" w14:textId="77777777" w:rsidR="00AD1F54" w:rsidRPr="00264D5D" w:rsidRDefault="008279A4">
            <w:pPr>
              <w:pStyle w:val="GOSTTablenorm"/>
              <w:rPr>
                <w:szCs w:val="22"/>
              </w:rPr>
            </w:pPr>
            <w:r w:rsidRPr="00264D5D">
              <w:rPr>
                <w:szCs w:val="22"/>
              </w:rPr>
              <w:t>По ИП указывается ноль («0»)</w:t>
            </w:r>
          </w:p>
        </w:tc>
      </w:tr>
      <w:tr w:rsidR="00AD1F54" w:rsidRPr="00264D5D" w14:paraId="423B368B"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4C7C09B7" w14:textId="77777777" w:rsidR="00AD1F54" w:rsidRPr="00264D5D" w:rsidRDefault="00941227">
            <w:pPr>
              <w:pStyle w:val="GOSTTablenorm"/>
            </w:pPr>
            <w:r w:rsidRPr="00264D5D">
              <w:rPr>
                <w:szCs w:val="22"/>
              </w:rPr>
              <w:t>Номер лицевого счета получателя</w:t>
            </w:r>
          </w:p>
        </w:tc>
        <w:tc>
          <w:tcPr>
            <w:tcW w:w="1701" w:type="dxa"/>
          </w:tcPr>
          <w:p w14:paraId="4D8D8D58" w14:textId="77777777" w:rsidR="00AD1F54" w:rsidRPr="00264D5D" w:rsidRDefault="00941227">
            <w:pPr>
              <w:pStyle w:val="GOSTTablenorm"/>
              <w:rPr>
                <w:szCs w:val="22"/>
              </w:rPr>
            </w:pPr>
            <w:r w:rsidRPr="00264D5D">
              <w:rPr>
                <w:szCs w:val="22"/>
              </w:rPr>
              <w:t>TtlPrt_REC_NmbLS</w:t>
            </w:r>
          </w:p>
        </w:tc>
        <w:tc>
          <w:tcPr>
            <w:tcW w:w="567" w:type="dxa"/>
          </w:tcPr>
          <w:p w14:paraId="4A7436F8" w14:textId="77777777" w:rsidR="00AD1F54" w:rsidRPr="00264D5D" w:rsidRDefault="00941227">
            <w:pPr>
              <w:pStyle w:val="GOSTTablenorm"/>
              <w:jc w:val="center"/>
              <w:rPr>
                <w:szCs w:val="22"/>
              </w:rPr>
            </w:pPr>
            <w:r w:rsidRPr="00264D5D">
              <w:rPr>
                <w:szCs w:val="22"/>
              </w:rPr>
              <w:t>П</w:t>
            </w:r>
          </w:p>
        </w:tc>
        <w:tc>
          <w:tcPr>
            <w:tcW w:w="1134" w:type="dxa"/>
          </w:tcPr>
          <w:p w14:paraId="676DA54D" w14:textId="77777777" w:rsidR="00AD1F54" w:rsidRPr="00264D5D" w:rsidRDefault="00941227">
            <w:pPr>
              <w:pStyle w:val="GOSTTablenorm"/>
              <w:rPr>
                <w:szCs w:val="22"/>
              </w:rPr>
            </w:pPr>
            <w:r w:rsidRPr="00264D5D">
              <w:rPr>
                <w:szCs w:val="22"/>
              </w:rPr>
              <w:t>Т(11)</w:t>
            </w:r>
          </w:p>
        </w:tc>
        <w:tc>
          <w:tcPr>
            <w:tcW w:w="567" w:type="dxa"/>
          </w:tcPr>
          <w:p w14:paraId="746B79AC" w14:textId="77777777" w:rsidR="00AD1F54" w:rsidRPr="00264D5D" w:rsidRDefault="00941227">
            <w:pPr>
              <w:pStyle w:val="GOSTTablenorm"/>
              <w:jc w:val="center"/>
              <w:rPr>
                <w:szCs w:val="22"/>
              </w:rPr>
            </w:pPr>
            <w:r w:rsidRPr="00264D5D">
              <w:rPr>
                <w:szCs w:val="22"/>
              </w:rPr>
              <w:t>Н</w:t>
            </w:r>
          </w:p>
        </w:tc>
        <w:tc>
          <w:tcPr>
            <w:tcW w:w="3963" w:type="dxa"/>
          </w:tcPr>
          <w:p w14:paraId="5A27C19B" w14:textId="77777777" w:rsidR="00AD1F54" w:rsidRPr="00264D5D" w:rsidRDefault="00941227">
            <w:pPr>
              <w:spacing w:before="60" w:after="60"/>
              <w:rPr>
                <w:sz w:val="22"/>
                <w:szCs w:val="22"/>
              </w:rPr>
            </w:pPr>
            <w:r w:rsidRPr="00264D5D">
              <w:rPr>
                <w:sz w:val="22"/>
                <w:szCs w:val="22"/>
              </w:rPr>
              <w:t>Указывается номер л/с получателя КОО (переведенного КОО), открытый в о</w:t>
            </w:r>
            <w:r w:rsidR="008279A4" w:rsidRPr="00264D5D">
              <w:rPr>
                <w:sz w:val="22"/>
                <w:szCs w:val="22"/>
              </w:rPr>
              <w:t>ргане Федерального казначейства</w:t>
            </w:r>
          </w:p>
        </w:tc>
      </w:tr>
      <w:tr w:rsidR="00AD1F54" w:rsidRPr="00264D5D" w14:paraId="2965A812" w14:textId="77777777" w:rsidTr="00AD1F54">
        <w:trPr>
          <w:cnfStyle w:val="000000100000" w:firstRow="0" w:lastRow="0" w:firstColumn="0" w:lastColumn="0" w:oddVBand="0" w:evenVBand="0" w:oddHBand="1" w:evenHBand="0" w:firstRowFirstColumn="0" w:firstRowLastColumn="0" w:lastRowFirstColumn="0" w:lastRowLastColumn="0"/>
          <w:trHeight w:val="855"/>
        </w:trPr>
        <w:tc>
          <w:tcPr>
            <w:tcW w:w="1701" w:type="dxa"/>
          </w:tcPr>
          <w:p w14:paraId="74A8472A" w14:textId="77777777" w:rsidR="00AD1F54" w:rsidRPr="00264D5D" w:rsidRDefault="00941227">
            <w:pPr>
              <w:pStyle w:val="GOSTTablenorm"/>
              <w:rPr>
                <w:szCs w:val="22"/>
              </w:rPr>
            </w:pPr>
            <w:r w:rsidRPr="00264D5D">
              <w:rPr>
                <w:szCs w:val="22"/>
              </w:rPr>
              <w:t>Аналитический код получателя</w:t>
            </w:r>
          </w:p>
        </w:tc>
        <w:tc>
          <w:tcPr>
            <w:tcW w:w="1701" w:type="dxa"/>
          </w:tcPr>
          <w:p w14:paraId="76BEF9D6" w14:textId="77777777" w:rsidR="00AD1F54" w:rsidRPr="00264D5D" w:rsidRDefault="00941227">
            <w:pPr>
              <w:pStyle w:val="GOSTTablenorm"/>
              <w:rPr>
                <w:szCs w:val="22"/>
              </w:rPr>
            </w:pPr>
            <w:r w:rsidRPr="00264D5D">
              <w:rPr>
                <w:szCs w:val="22"/>
              </w:rPr>
              <w:t>TtlPrt_REC_ObjCd</w:t>
            </w:r>
          </w:p>
        </w:tc>
        <w:tc>
          <w:tcPr>
            <w:tcW w:w="567" w:type="dxa"/>
          </w:tcPr>
          <w:p w14:paraId="17837005" w14:textId="77777777" w:rsidR="00AD1F54" w:rsidRPr="00264D5D" w:rsidRDefault="00941227">
            <w:pPr>
              <w:pStyle w:val="GOSTTablenorm"/>
              <w:jc w:val="center"/>
              <w:rPr>
                <w:szCs w:val="22"/>
              </w:rPr>
            </w:pPr>
            <w:r w:rsidRPr="00264D5D">
              <w:rPr>
                <w:szCs w:val="22"/>
              </w:rPr>
              <w:t>П</w:t>
            </w:r>
          </w:p>
        </w:tc>
        <w:tc>
          <w:tcPr>
            <w:tcW w:w="1134" w:type="dxa"/>
          </w:tcPr>
          <w:p w14:paraId="286D2B3C" w14:textId="77777777" w:rsidR="00AD1F54" w:rsidRPr="00264D5D" w:rsidRDefault="00941227">
            <w:pPr>
              <w:pStyle w:val="GOSTTablenorm"/>
              <w:rPr>
                <w:szCs w:val="22"/>
              </w:rPr>
            </w:pPr>
            <w:r w:rsidRPr="00264D5D">
              <w:rPr>
                <w:szCs w:val="22"/>
              </w:rPr>
              <w:t>Т(1-25)</w:t>
            </w:r>
          </w:p>
        </w:tc>
        <w:tc>
          <w:tcPr>
            <w:tcW w:w="567" w:type="dxa"/>
          </w:tcPr>
          <w:p w14:paraId="7F207835" w14:textId="77777777" w:rsidR="00AD1F54" w:rsidRPr="00264D5D" w:rsidRDefault="00941227">
            <w:pPr>
              <w:pStyle w:val="2fb"/>
            </w:pPr>
            <w:r w:rsidRPr="00264D5D">
              <w:t>Н</w:t>
            </w:r>
          </w:p>
        </w:tc>
        <w:tc>
          <w:tcPr>
            <w:tcW w:w="3963" w:type="dxa"/>
          </w:tcPr>
          <w:p w14:paraId="1BB07A2C" w14:textId="77777777" w:rsidR="00AD1F54" w:rsidRPr="00264D5D" w:rsidRDefault="00941227">
            <w:pPr>
              <w:pStyle w:val="GOSTTablenorm"/>
            </w:pPr>
            <w:r w:rsidRPr="00264D5D">
              <w:t>Поле не заполняется в случае предоставления Заявления на изменение КОО.</w:t>
            </w:r>
          </w:p>
          <w:p w14:paraId="5C4BB9A2" w14:textId="77777777" w:rsidR="00AD1F54" w:rsidRPr="00264D5D" w:rsidRDefault="00941227">
            <w:pPr>
              <w:pStyle w:val="GOSTTablenorm"/>
            </w:pPr>
            <w:r w:rsidRPr="00264D5D">
              <w:t>В случае если в реквизите «Номер л/с получателя» указан:</w:t>
            </w:r>
          </w:p>
          <w:p w14:paraId="601D58E9" w14:textId="77777777" w:rsidR="00AD1F54" w:rsidRPr="00264D5D" w:rsidRDefault="00941227" w:rsidP="00E7460C">
            <w:pPr>
              <w:pStyle w:val="GOSTTablenorm"/>
              <w:numPr>
                <w:ilvl w:val="0"/>
                <w:numId w:val="80"/>
              </w:numPr>
              <w:ind w:left="284" w:hanging="227"/>
              <w:rPr>
                <w:szCs w:val="22"/>
              </w:rPr>
            </w:pPr>
            <w:r w:rsidRPr="00264D5D">
              <w:rPr>
                <w:szCs w:val="22"/>
              </w:rPr>
              <w:t>л/с с кодом 04 – указывается код субсидии МБТ, который при выдаче регионального КОО МБТ должен совпадать с кодом субсидии в поле «Аналитический код получателя» в реквизитах получателя федерального КОО МБТ;</w:t>
            </w:r>
          </w:p>
          <w:p w14:paraId="60E8D369" w14:textId="77777777" w:rsidR="00AD1F54" w:rsidRPr="00264D5D" w:rsidRDefault="00941227" w:rsidP="00E7460C">
            <w:pPr>
              <w:pStyle w:val="GOSTTablenorm"/>
              <w:numPr>
                <w:ilvl w:val="0"/>
                <w:numId w:val="80"/>
              </w:numPr>
              <w:ind w:left="284" w:hanging="227"/>
              <w:rPr>
                <w:szCs w:val="22"/>
              </w:rPr>
            </w:pPr>
            <w:r w:rsidRPr="00264D5D">
              <w:rPr>
                <w:szCs w:val="22"/>
              </w:rPr>
              <w:t>л/с с кодом 41, 71 – указывается код для учета поступлений на л/с с кодом 41, 71 в соответствии с Перечнем источников поступлений целевых средств;</w:t>
            </w:r>
          </w:p>
          <w:p w14:paraId="5F034B25" w14:textId="77777777" w:rsidR="00AD1F54" w:rsidRPr="00264D5D" w:rsidRDefault="00941227" w:rsidP="00E7460C">
            <w:pPr>
              <w:pStyle w:val="GOSTTablenorm"/>
              <w:numPr>
                <w:ilvl w:val="0"/>
                <w:numId w:val="80"/>
              </w:numPr>
              <w:ind w:left="284" w:hanging="227"/>
              <w:rPr>
                <w:szCs w:val="22"/>
              </w:rPr>
            </w:pPr>
            <w:r w:rsidRPr="00264D5D">
              <w:rPr>
                <w:szCs w:val="22"/>
              </w:rPr>
              <w:t xml:space="preserve">л/с с кодом 20, 30 – не заполняется, или при наличии указывается код субсидии, который должен совпадать </w:t>
            </w:r>
            <w:r w:rsidRPr="00264D5D">
              <w:rPr>
                <w:szCs w:val="22"/>
              </w:rPr>
              <w:lastRenderedPageBreak/>
              <w:t>с кодом субсидии в поле «Аналитический код получателя» в реквизитах получателя переводимого КОО;</w:t>
            </w:r>
          </w:p>
          <w:p w14:paraId="1C66A8C7" w14:textId="77777777" w:rsidR="00AD1F54" w:rsidRPr="00264D5D" w:rsidRDefault="00941227" w:rsidP="00E7460C">
            <w:pPr>
              <w:pStyle w:val="GOSTTablenorm"/>
              <w:numPr>
                <w:ilvl w:val="0"/>
                <w:numId w:val="80"/>
              </w:numPr>
              <w:ind w:left="284" w:hanging="227"/>
            </w:pPr>
            <w:r w:rsidRPr="00264D5D">
              <w:rPr>
                <w:szCs w:val="22"/>
              </w:rPr>
              <w:t>л/с с кодом 21, 31 – указывается код субсидии, который должен совпадать с кодом субсидии в поле «Аналитический код получателя» в реквизи</w:t>
            </w:r>
            <w:r w:rsidR="008279A4" w:rsidRPr="00264D5D">
              <w:rPr>
                <w:szCs w:val="22"/>
              </w:rPr>
              <w:t>тах получателя переводимого КОО</w:t>
            </w:r>
          </w:p>
        </w:tc>
      </w:tr>
      <w:tr w:rsidR="00AD1F54" w:rsidRPr="00264D5D" w14:paraId="02DF3009"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3BED82D8" w14:textId="77777777" w:rsidR="00AD1F54" w:rsidRPr="00264D5D" w:rsidRDefault="00941227">
            <w:pPr>
              <w:pStyle w:val="GOSTTablenorm"/>
              <w:rPr>
                <w:rStyle w:val="GOSTSymItalic"/>
                <w:i w:val="0"/>
              </w:rPr>
            </w:pPr>
            <w:r w:rsidRPr="00264D5D">
              <w:rPr>
                <w:rStyle w:val="GOSTSymItalic"/>
                <w:i w:val="0"/>
              </w:rPr>
              <w:lastRenderedPageBreak/>
              <w:t>Аналитический код (1) получателя</w:t>
            </w:r>
          </w:p>
        </w:tc>
        <w:tc>
          <w:tcPr>
            <w:tcW w:w="1701" w:type="dxa"/>
          </w:tcPr>
          <w:p w14:paraId="21C17D2D" w14:textId="77777777" w:rsidR="00AD1F54" w:rsidRPr="00264D5D" w:rsidRDefault="00941227">
            <w:pPr>
              <w:pStyle w:val="GOSTTablenorm"/>
              <w:rPr>
                <w:rStyle w:val="GOSTSymItalic"/>
                <w:i w:val="0"/>
              </w:rPr>
            </w:pPr>
            <w:r w:rsidRPr="00264D5D">
              <w:rPr>
                <w:rStyle w:val="GOSTSymItalic"/>
                <w:i w:val="0"/>
              </w:rPr>
              <w:t>TtlPrt_REC_ObjCd_1</w:t>
            </w:r>
          </w:p>
        </w:tc>
        <w:tc>
          <w:tcPr>
            <w:tcW w:w="567" w:type="dxa"/>
          </w:tcPr>
          <w:p w14:paraId="16EBDF9F" w14:textId="77777777" w:rsidR="00AD1F54" w:rsidRPr="00264D5D" w:rsidRDefault="00941227">
            <w:pPr>
              <w:pStyle w:val="GOSTTablenorm"/>
              <w:jc w:val="center"/>
              <w:rPr>
                <w:rStyle w:val="GOSTSymItalic"/>
                <w:i w:val="0"/>
              </w:rPr>
            </w:pPr>
            <w:r w:rsidRPr="00264D5D">
              <w:rPr>
                <w:rStyle w:val="GOSTSymItalic"/>
                <w:i w:val="0"/>
              </w:rPr>
              <w:t>П</w:t>
            </w:r>
          </w:p>
        </w:tc>
        <w:tc>
          <w:tcPr>
            <w:tcW w:w="1134" w:type="dxa"/>
          </w:tcPr>
          <w:p w14:paraId="71EE9A0B" w14:textId="77777777" w:rsidR="00AD1F54" w:rsidRPr="00264D5D" w:rsidRDefault="00941227">
            <w:pPr>
              <w:pStyle w:val="GOSTTablenorm"/>
              <w:rPr>
                <w:rStyle w:val="GOSTSymItalic"/>
                <w:i w:val="0"/>
              </w:rPr>
            </w:pPr>
            <w:r w:rsidRPr="00264D5D">
              <w:rPr>
                <w:rStyle w:val="GOSTSymItalic"/>
                <w:i w:val="0"/>
              </w:rPr>
              <w:t>Т(1-25)</w:t>
            </w:r>
          </w:p>
        </w:tc>
        <w:tc>
          <w:tcPr>
            <w:tcW w:w="567" w:type="dxa"/>
          </w:tcPr>
          <w:p w14:paraId="69989C8B" w14:textId="77777777" w:rsidR="00AD1F54" w:rsidRPr="00264D5D" w:rsidRDefault="00941227">
            <w:pPr>
              <w:pStyle w:val="GOSTTablenorm"/>
              <w:jc w:val="center"/>
              <w:rPr>
                <w:rStyle w:val="GOSTSymItalic"/>
                <w:i w:val="0"/>
              </w:rPr>
            </w:pPr>
            <w:r w:rsidRPr="00264D5D">
              <w:rPr>
                <w:rStyle w:val="GOSTSymItalic"/>
                <w:i w:val="0"/>
              </w:rPr>
              <w:t>Н</w:t>
            </w:r>
          </w:p>
        </w:tc>
        <w:tc>
          <w:tcPr>
            <w:tcW w:w="3963" w:type="dxa"/>
          </w:tcPr>
          <w:p w14:paraId="1EBA66C7" w14:textId="77777777" w:rsidR="00AD1F54" w:rsidRPr="00264D5D" w:rsidRDefault="00941227">
            <w:pPr>
              <w:pStyle w:val="GOSTTablenorm"/>
              <w:rPr>
                <w:rStyle w:val="GOSTSymItalic"/>
                <w:i w:val="0"/>
              </w:rPr>
            </w:pPr>
            <w:r w:rsidRPr="00264D5D">
              <w:rPr>
                <w:rStyle w:val="GOSTSymItalic"/>
                <w:i w:val="0"/>
              </w:rPr>
              <w:t>Поле не заполняется в случае предоставления Заявления на изменение КОО.</w:t>
            </w:r>
          </w:p>
          <w:p w14:paraId="70059171" w14:textId="77777777" w:rsidR="00AD1F54" w:rsidRPr="00264D5D" w:rsidRDefault="00941227">
            <w:pPr>
              <w:pStyle w:val="GOSTTablenorm"/>
              <w:rPr>
                <w:rStyle w:val="GOSTSymItalic"/>
                <w:i w:val="0"/>
              </w:rPr>
            </w:pPr>
            <w:r w:rsidRPr="00264D5D">
              <w:rPr>
                <w:rStyle w:val="GOSTSymItalic"/>
                <w:i w:val="0"/>
              </w:rPr>
              <w:t>В случае если в элементе «Номер л/с получателя» указан:</w:t>
            </w:r>
          </w:p>
          <w:p w14:paraId="20A9A240" w14:textId="77777777" w:rsidR="00AD1F54" w:rsidRPr="00264D5D" w:rsidRDefault="00941227" w:rsidP="00E7460C">
            <w:pPr>
              <w:pStyle w:val="GOSTTablenorm"/>
              <w:numPr>
                <w:ilvl w:val="0"/>
                <w:numId w:val="80"/>
              </w:numPr>
              <w:ind w:left="284" w:hanging="227"/>
              <w:rPr>
                <w:szCs w:val="22"/>
              </w:rPr>
            </w:pPr>
            <w:r w:rsidRPr="00264D5D">
              <w:rPr>
                <w:szCs w:val="22"/>
              </w:rPr>
              <w:t>л/с с кодом 04 БС/МБ – указывается доходный КБК;</w:t>
            </w:r>
          </w:p>
          <w:p w14:paraId="26C23104" w14:textId="77777777" w:rsidR="00AD1F54" w:rsidRPr="00264D5D" w:rsidRDefault="00941227" w:rsidP="00E7460C">
            <w:pPr>
              <w:pStyle w:val="GOSTTablenorm"/>
              <w:numPr>
                <w:ilvl w:val="0"/>
                <w:numId w:val="80"/>
              </w:numPr>
              <w:ind w:left="284" w:hanging="227"/>
              <w:rPr>
                <w:rStyle w:val="GOSTSymItalic"/>
                <w:i w:val="0"/>
              </w:rPr>
            </w:pPr>
            <w:r w:rsidRPr="00264D5D">
              <w:rPr>
                <w:szCs w:val="22"/>
              </w:rPr>
              <w:t>л/с с кодом 20, 21, 31 – указывается трехзначны</w:t>
            </w:r>
            <w:r w:rsidR="008279A4" w:rsidRPr="00264D5D">
              <w:rPr>
                <w:szCs w:val="22"/>
              </w:rPr>
              <w:t>й аналитический код поступлений</w:t>
            </w:r>
          </w:p>
        </w:tc>
      </w:tr>
      <w:tr w:rsidR="00AD1F54" w:rsidRPr="00264D5D" w14:paraId="76304A86"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7428AFB" w14:textId="77777777" w:rsidR="00AD1F54" w:rsidRPr="00264D5D" w:rsidRDefault="00941227">
            <w:pPr>
              <w:pStyle w:val="GOSTTablenorm"/>
              <w:rPr>
                <w:szCs w:val="22"/>
              </w:rPr>
            </w:pPr>
            <w:r w:rsidRPr="00264D5D">
              <w:rPr>
                <w:szCs w:val="22"/>
              </w:rPr>
              <w:t>Номер казначейского счета получателя</w:t>
            </w:r>
          </w:p>
        </w:tc>
        <w:tc>
          <w:tcPr>
            <w:tcW w:w="1701" w:type="dxa"/>
          </w:tcPr>
          <w:p w14:paraId="5EDAA47D" w14:textId="77777777" w:rsidR="00AD1F54" w:rsidRPr="00264D5D" w:rsidRDefault="00941227">
            <w:pPr>
              <w:pStyle w:val="GOSTTablenorm"/>
              <w:rPr>
                <w:szCs w:val="22"/>
              </w:rPr>
            </w:pPr>
            <w:r w:rsidRPr="00264D5D">
              <w:rPr>
                <w:szCs w:val="22"/>
              </w:rPr>
              <w:t>TtlPrt_REC_BANK_BnkAcc</w:t>
            </w:r>
          </w:p>
        </w:tc>
        <w:tc>
          <w:tcPr>
            <w:tcW w:w="567" w:type="dxa"/>
          </w:tcPr>
          <w:p w14:paraId="04E53012" w14:textId="77777777" w:rsidR="00AD1F54" w:rsidRPr="00264D5D" w:rsidRDefault="00941227">
            <w:pPr>
              <w:pStyle w:val="GOSTTablenorm"/>
              <w:jc w:val="center"/>
              <w:rPr>
                <w:szCs w:val="22"/>
              </w:rPr>
            </w:pPr>
            <w:r w:rsidRPr="00264D5D">
              <w:rPr>
                <w:szCs w:val="22"/>
              </w:rPr>
              <w:t>П</w:t>
            </w:r>
          </w:p>
        </w:tc>
        <w:tc>
          <w:tcPr>
            <w:tcW w:w="1134" w:type="dxa"/>
          </w:tcPr>
          <w:p w14:paraId="6771E227" w14:textId="77777777" w:rsidR="00AD1F54" w:rsidRPr="00264D5D" w:rsidRDefault="00941227">
            <w:pPr>
              <w:pStyle w:val="GOSTTablenorm"/>
              <w:rPr>
                <w:szCs w:val="22"/>
              </w:rPr>
            </w:pPr>
            <w:r w:rsidRPr="00264D5D">
              <w:rPr>
                <w:szCs w:val="22"/>
              </w:rPr>
              <w:t>Т(20)</w:t>
            </w:r>
          </w:p>
        </w:tc>
        <w:tc>
          <w:tcPr>
            <w:tcW w:w="567" w:type="dxa"/>
          </w:tcPr>
          <w:p w14:paraId="16FDD42D" w14:textId="77777777" w:rsidR="00AD1F54" w:rsidRPr="00264D5D" w:rsidRDefault="00941227">
            <w:pPr>
              <w:pStyle w:val="GOSTTablenorm"/>
              <w:jc w:val="center"/>
              <w:rPr>
                <w:szCs w:val="22"/>
              </w:rPr>
            </w:pPr>
            <w:r w:rsidRPr="00264D5D">
              <w:rPr>
                <w:szCs w:val="22"/>
              </w:rPr>
              <w:t>Н</w:t>
            </w:r>
          </w:p>
        </w:tc>
        <w:tc>
          <w:tcPr>
            <w:tcW w:w="3963" w:type="dxa"/>
          </w:tcPr>
          <w:p w14:paraId="22C18C4E" w14:textId="77777777" w:rsidR="00AD1F54" w:rsidRPr="00264D5D" w:rsidRDefault="00941227">
            <w:pPr>
              <w:pStyle w:val="GOSTTablenorm"/>
            </w:pPr>
            <w:r w:rsidRPr="00264D5D">
              <w:rPr>
                <w:rStyle w:val="GOSTSymItalic"/>
                <w:i w:val="0"/>
              </w:rPr>
              <w:t xml:space="preserve">Указывается номер казначейского счета, </w:t>
            </w:r>
            <w:r w:rsidRPr="00264D5D">
              <w:t>по месту открытия соответству</w:t>
            </w:r>
            <w:r w:rsidR="008279A4" w:rsidRPr="00264D5D">
              <w:t>ющего лицевого счета получателя</w:t>
            </w:r>
          </w:p>
        </w:tc>
      </w:tr>
      <w:tr w:rsidR="00AD1F54" w:rsidRPr="00264D5D" w14:paraId="5DBE7461"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35A7EDBE" w14:textId="77777777" w:rsidR="00AD1F54" w:rsidRPr="00264D5D" w:rsidRDefault="00941227">
            <w:pPr>
              <w:pStyle w:val="GOSTTablenorm"/>
              <w:rPr>
                <w:szCs w:val="22"/>
              </w:rPr>
            </w:pPr>
            <w:r w:rsidRPr="00264D5D">
              <w:rPr>
                <w:szCs w:val="22"/>
              </w:rPr>
              <w:t>БИК банка получателя</w:t>
            </w:r>
          </w:p>
        </w:tc>
        <w:tc>
          <w:tcPr>
            <w:tcW w:w="1701" w:type="dxa"/>
          </w:tcPr>
          <w:p w14:paraId="06585DA1" w14:textId="77777777" w:rsidR="00AD1F54" w:rsidRPr="00264D5D" w:rsidRDefault="00941227">
            <w:pPr>
              <w:pStyle w:val="GOSTTablenorm"/>
              <w:rPr>
                <w:szCs w:val="22"/>
              </w:rPr>
            </w:pPr>
            <w:r w:rsidRPr="00264D5D">
              <w:rPr>
                <w:szCs w:val="22"/>
              </w:rPr>
              <w:t>TtlPrt_REC_BANK_BIC</w:t>
            </w:r>
          </w:p>
        </w:tc>
        <w:tc>
          <w:tcPr>
            <w:tcW w:w="567" w:type="dxa"/>
          </w:tcPr>
          <w:p w14:paraId="070CA788" w14:textId="77777777" w:rsidR="00AD1F54" w:rsidRPr="00264D5D" w:rsidRDefault="00941227">
            <w:pPr>
              <w:pStyle w:val="GOSTTablenorm"/>
              <w:jc w:val="center"/>
              <w:rPr>
                <w:szCs w:val="22"/>
              </w:rPr>
            </w:pPr>
            <w:r w:rsidRPr="00264D5D">
              <w:rPr>
                <w:szCs w:val="22"/>
              </w:rPr>
              <w:t>П</w:t>
            </w:r>
          </w:p>
        </w:tc>
        <w:tc>
          <w:tcPr>
            <w:tcW w:w="1134" w:type="dxa"/>
          </w:tcPr>
          <w:p w14:paraId="0B83CF2C" w14:textId="77777777" w:rsidR="00AD1F54" w:rsidRPr="00264D5D" w:rsidRDefault="00941227">
            <w:pPr>
              <w:pStyle w:val="GOSTTablenorm"/>
              <w:rPr>
                <w:szCs w:val="22"/>
              </w:rPr>
            </w:pPr>
            <w:r w:rsidRPr="00264D5D">
              <w:rPr>
                <w:szCs w:val="22"/>
              </w:rPr>
              <w:t>Т(9)</w:t>
            </w:r>
          </w:p>
        </w:tc>
        <w:tc>
          <w:tcPr>
            <w:tcW w:w="567" w:type="dxa"/>
          </w:tcPr>
          <w:p w14:paraId="5AAF7864" w14:textId="77777777" w:rsidR="00AD1F54" w:rsidRPr="00264D5D" w:rsidRDefault="00941227">
            <w:pPr>
              <w:pStyle w:val="GOSTTablenorm"/>
              <w:jc w:val="center"/>
              <w:rPr>
                <w:szCs w:val="22"/>
              </w:rPr>
            </w:pPr>
            <w:r w:rsidRPr="00264D5D">
              <w:rPr>
                <w:szCs w:val="22"/>
              </w:rPr>
              <w:t>Н</w:t>
            </w:r>
          </w:p>
        </w:tc>
        <w:tc>
          <w:tcPr>
            <w:tcW w:w="3963" w:type="dxa"/>
          </w:tcPr>
          <w:p w14:paraId="18AA7104" w14:textId="77777777" w:rsidR="00AD1F54" w:rsidRPr="00264D5D" w:rsidRDefault="00941227">
            <w:pPr>
              <w:pStyle w:val="GOSTTablenorm"/>
              <w:rPr>
                <w:szCs w:val="22"/>
              </w:rPr>
            </w:pPr>
            <w:r w:rsidRPr="00264D5D">
              <w:t>Указывается БИК Федерального казначейств</w:t>
            </w:r>
            <w:r w:rsidR="008279A4" w:rsidRPr="00264D5D">
              <w:t>а (его территориального органа)</w:t>
            </w:r>
          </w:p>
        </w:tc>
      </w:tr>
      <w:tr w:rsidR="00AD1F54" w:rsidRPr="00264D5D" w14:paraId="6B2D2085"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E83837A" w14:textId="77777777" w:rsidR="00AD1F54" w:rsidRPr="00264D5D" w:rsidRDefault="00941227">
            <w:pPr>
              <w:pStyle w:val="GOSTTablenorm"/>
              <w:rPr>
                <w:szCs w:val="22"/>
              </w:rPr>
            </w:pPr>
            <w:r w:rsidRPr="00264D5D">
              <w:rPr>
                <w:szCs w:val="22"/>
              </w:rPr>
              <w:t>Предмет</w:t>
            </w:r>
          </w:p>
        </w:tc>
        <w:tc>
          <w:tcPr>
            <w:tcW w:w="1701" w:type="dxa"/>
          </w:tcPr>
          <w:p w14:paraId="4657E225" w14:textId="77777777" w:rsidR="00AD1F54" w:rsidRPr="00264D5D" w:rsidRDefault="00941227">
            <w:pPr>
              <w:pStyle w:val="GOSTTablenorm"/>
              <w:rPr>
                <w:szCs w:val="22"/>
              </w:rPr>
            </w:pPr>
            <w:bookmarkStart w:id="2304" w:name="OLE_LINK306"/>
            <w:r w:rsidRPr="00264D5D">
              <w:rPr>
                <w:szCs w:val="22"/>
              </w:rPr>
              <w:t>KZA_GK_InfCntrct</w:t>
            </w:r>
            <w:bookmarkEnd w:id="2304"/>
          </w:p>
        </w:tc>
        <w:tc>
          <w:tcPr>
            <w:tcW w:w="567" w:type="dxa"/>
          </w:tcPr>
          <w:p w14:paraId="348B84FA" w14:textId="77777777" w:rsidR="00AD1F54" w:rsidRPr="00264D5D" w:rsidRDefault="00941227">
            <w:pPr>
              <w:pStyle w:val="GOSTTablenorm"/>
              <w:jc w:val="center"/>
              <w:rPr>
                <w:szCs w:val="22"/>
              </w:rPr>
            </w:pPr>
            <w:r w:rsidRPr="00264D5D">
              <w:rPr>
                <w:szCs w:val="22"/>
              </w:rPr>
              <w:t>П</w:t>
            </w:r>
          </w:p>
        </w:tc>
        <w:tc>
          <w:tcPr>
            <w:tcW w:w="1134" w:type="dxa"/>
          </w:tcPr>
          <w:p w14:paraId="677934FF" w14:textId="77777777" w:rsidR="00AD1F54" w:rsidRPr="00264D5D" w:rsidRDefault="00941227">
            <w:pPr>
              <w:pStyle w:val="GOSTTablenorm"/>
              <w:rPr>
                <w:szCs w:val="22"/>
              </w:rPr>
            </w:pPr>
            <w:r w:rsidRPr="00264D5D">
              <w:rPr>
                <w:szCs w:val="22"/>
              </w:rPr>
              <w:t>Т(1-2000)</w:t>
            </w:r>
          </w:p>
        </w:tc>
        <w:tc>
          <w:tcPr>
            <w:tcW w:w="567" w:type="dxa"/>
          </w:tcPr>
          <w:p w14:paraId="2FF31419" w14:textId="77777777" w:rsidR="00AD1F54" w:rsidRPr="00264D5D" w:rsidRDefault="00941227">
            <w:pPr>
              <w:pStyle w:val="GOSTTablenorm"/>
              <w:jc w:val="center"/>
              <w:rPr>
                <w:szCs w:val="22"/>
              </w:rPr>
            </w:pPr>
            <w:r w:rsidRPr="00264D5D">
              <w:rPr>
                <w:szCs w:val="22"/>
              </w:rPr>
              <w:t>Н</w:t>
            </w:r>
          </w:p>
        </w:tc>
        <w:tc>
          <w:tcPr>
            <w:tcW w:w="3963" w:type="dxa"/>
          </w:tcPr>
          <w:p w14:paraId="1B56C76B" w14:textId="77777777" w:rsidR="00AD1F54" w:rsidRPr="00264D5D" w:rsidRDefault="00941227">
            <w:pPr>
              <w:pStyle w:val="GOSTTablenorm"/>
              <w:rPr>
                <w:szCs w:val="22"/>
              </w:rPr>
            </w:pPr>
            <w:r w:rsidRPr="00264D5D">
              <w:rPr>
                <w:szCs w:val="22"/>
              </w:rPr>
              <w:t>Указывается цель предоставления субсидии получателю, установленная отдельным соглашением/наименование товара/наименование и/или описание работ/наименование и/или описание услуг, соответствующие предмету отдельного соглашения (отдельного контракта, договора в рамках отдельного ко</w:t>
            </w:r>
            <w:r w:rsidR="008279A4" w:rsidRPr="00264D5D">
              <w:rPr>
                <w:szCs w:val="22"/>
              </w:rPr>
              <w:t>нтракта (отдельного соглашения)</w:t>
            </w:r>
          </w:p>
        </w:tc>
      </w:tr>
      <w:tr w:rsidR="00AD1F54" w:rsidRPr="00264D5D" w14:paraId="0CC5BAB0"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3D45878D" w14:textId="77777777" w:rsidR="00AD1F54" w:rsidRPr="00264D5D" w:rsidRDefault="00941227">
            <w:pPr>
              <w:pStyle w:val="GOSTTablenorm"/>
              <w:rPr>
                <w:szCs w:val="22"/>
              </w:rPr>
            </w:pPr>
            <w:r w:rsidRPr="00264D5D">
              <w:rPr>
                <w:szCs w:val="22"/>
              </w:rPr>
              <w:t>Сведения о документе-основании</w:t>
            </w:r>
          </w:p>
        </w:tc>
        <w:tc>
          <w:tcPr>
            <w:tcW w:w="1701" w:type="dxa"/>
          </w:tcPr>
          <w:p w14:paraId="2F6E022B" w14:textId="77777777" w:rsidR="00AD1F54" w:rsidRPr="00264D5D" w:rsidRDefault="00941227">
            <w:pPr>
              <w:pStyle w:val="GOSTTablenorm"/>
              <w:rPr>
                <w:szCs w:val="22"/>
              </w:rPr>
            </w:pPr>
            <w:bookmarkStart w:id="2305" w:name="OLE_LINK307"/>
            <w:r w:rsidRPr="00264D5D">
              <w:rPr>
                <w:szCs w:val="22"/>
              </w:rPr>
              <w:t>BaseDoc_TAB_BASEDOC_D031</w:t>
            </w:r>
            <w:bookmarkEnd w:id="2305"/>
          </w:p>
        </w:tc>
        <w:tc>
          <w:tcPr>
            <w:tcW w:w="567" w:type="dxa"/>
          </w:tcPr>
          <w:p w14:paraId="2A55EC36" w14:textId="77777777" w:rsidR="00AD1F54" w:rsidRPr="00264D5D" w:rsidRDefault="00941227">
            <w:pPr>
              <w:pStyle w:val="GOSTTablenorm"/>
              <w:jc w:val="center"/>
              <w:rPr>
                <w:szCs w:val="22"/>
              </w:rPr>
            </w:pPr>
            <w:r w:rsidRPr="00264D5D">
              <w:rPr>
                <w:szCs w:val="22"/>
              </w:rPr>
              <w:t>С</w:t>
            </w:r>
          </w:p>
        </w:tc>
        <w:tc>
          <w:tcPr>
            <w:tcW w:w="1134" w:type="dxa"/>
          </w:tcPr>
          <w:p w14:paraId="3D539D1F" w14:textId="77777777" w:rsidR="00AD1F54" w:rsidRPr="00264D5D" w:rsidRDefault="00941227">
            <w:pPr>
              <w:pStyle w:val="GOSTTablenorm"/>
              <w:rPr>
                <w:szCs w:val="22"/>
              </w:rPr>
            </w:pPr>
            <w:r w:rsidRPr="00264D5D">
              <w:rPr>
                <w:szCs w:val="22"/>
              </w:rPr>
              <w:t>tBaseDoc_TAB_BASEDOC_D031</w:t>
            </w:r>
          </w:p>
        </w:tc>
        <w:tc>
          <w:tcPr>
            <w:tcW w:w="567" w:type="dxa"/>
          </w:tcPr>
          <w:p w14:paraId="4BBF8F5E" w14:textId="77777777" w:rsidR="00AD1F54" w:rsidRPr="00264D5D" w:rsidRDefault="00941227">
            <w:pPr>
              <w:pStyle w:val="GOSTTablenorm"/>
              <w:jc w:val="center"/>
              <w:rPr>
                <w:szCs w:val="22"/>
              </w:rPr>
            </w:pPr>
            <w:r w:rsidRPr="00264D5D">
              <w:rPr>
                <w:szCs w:val="22"/>
              </w:rPr>
              <w:t>Н</w:t>
            </w:r>
          </w:p>
        </w:tc>
        <w:tc>
          <w:tcPr>
            <w:tcW w:w="3963" w:type="dxa"/>
          </w:tcPr>
          <w:p w14:paraId="0EEBF293" w14:textId="1041E61F" w:rsidR="00AD1F54" w:rsidRPr="00264D5D" w:rsidRDefault="00941227">
            <w:pPr>
              <w:pStyle w:val="GOSTTablenorm"/>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_Ref17447948 \h  \* MERGEFORMAT </w:instrText>
            </w:r>
            <w:r w:rsidRPr="00264D5D">
              <w:rPr>
                <w:b/>
                <w:szCs w:val="22"/>
              </w:rPr>
            </w:r>
            <w:r w:rsidRPr="00264D5D">
              <w:rPr>
                <w:b/>
                <w:szCs w:val="22"/>
              </w:rPr>
              <w:fldChar w:fldCharType="separate"/>
            </w:r>
            <w:r w:rsidR="008D797C" w:rsidRPr="008D797C">
              <w:rPr>
                <w:b/>
                <w:szCs w:val="22"/>
              </w:rPr>
              <w:t>237</w:t>
            </w:r>
            <w:r w:rsidRPr="00264D5D">
              <w:rPr>
                <w:b/>
                <w:szCs w:val="22"/>
              </w:rPr>
              <w:fldChar w:fldCharType="end"/>
            </w:r>
          </w:p>
        </w:tc>
      </w:tr>
      <w:tr w:rsidR="00AD1F54" w:rsidRPr="00264D5D" w14:paraId="0AA67CB8" w14:textId="77777777" w:rsidTr="00AD1F54">
        <w:trPr>
          <w:cnfStyle w:val="000000100000" w:firstRow="0" w:lastRow="0" w:firstColumn="0" w:lastColumn="0" w:oddVBand="0" w:evenVBand="0" w:oddHBand="1" w:evenHBand="0" w:firstRowFirstColumn="0" w:firstRowLastColumn="0" w:lastRowFirstColumn="0" w:lastRowLastColumn="0"/>
        </w:trPr>
        <w:tc>
          <w:tcPr>
            <w:tcW w:w="9634" w:type="dxa"/>
            <w:gridSpan w:val="6"/>
          </w:tcPr>
          <w:p w14:paraId="189797C7" w14:textId="77777777" w:rsidR="00AD1F54" w:rsidRPr="00264D5D" w:rsidRDefault="00941227">
            <w:pPr>
              <w:pStyle w:val="GOSTTablenorm"/>
              <w:rPr>
                <w:szCs w:val="22"/>
              </w:rPr>
            </w:pPr>
            <w:r w:rsidRPr="00264D5D">
              <w:rPr>
                <w:b/>
                <w:szCs w:val="22"/>
              </w:rPr>
              <w:t>Дополнительная информация</w:t>
            </w:r>
          </w:p>
        </w:tc>
      </w:tr>
      <w:tr w:rsidR="00AD1F54" w:rsidRPr="00264D5D" w14:paraId="5EC9DCE2"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300B6700" w14:textId="77777777" w:rsidR="00AD1F54" w:rsidRPr="00264D5D" w:rsidRDefault="00941227">
            <w:pPr>
              <w:pStyle w:val="GOSTTablenorm"/>
              <w:rPr>
                <w:szCs w:val="22"/>
              </w:rPr>
            </w:pPr>
            <w:r w:rsidRPr="00264D5D">
              <w:rPr>
                <w:szCs w:val="22"/>
              </w:rPr>
              <w:lastRenderedPageBreak/>
              <w:t>Дополнительная информация</w:t>
            </w:r>
          </w:p>
        </w:tc>
        <w:tc>
          <w:tcPr>
            <w:tcW w:w="1701" w:type="dxa"/>
          </w:tcPr>
          <w:p w14:paraId="407B41C4" w14:textId="77777777" w:rsidR="00AD1F54" w:rsidRPr="00264D5D" w:rsidRDefault="00941227">
            <w:pPr>
              <w:pStyle w:val="GOSTTablenorm"/>
              <w:rPr>
                <w:szCs w:val="22"/>
              </w:rPr>
            </w:pPr>
            <w:r w:rsidRPr="00264D5D">
              <w:rPr>
                <w:szCs w:val="22"/>
              </w:rPr>
              <w:t>TtlPrt_Nt</w:t>
            </w:r>
          </w:p>
        </w:tc>
        <w:tc>
          <w:tcPr>
            <w:tcW w:w="567" w:type="dxa"/>
          </w:tcPr>
          <w:p w14:paraId="5396E314" w14:textId="77777777" w:rsidR="00AD1F54" w:rsidRPr="00264D5D" w:rsidRDefault="00941227">
            <w:pPr>
              <w:pStyle w:val="GOSTTablenorm"/>
              <w:jc w:val="center"/>
              <w:rPr>
                <w:szCs w:val="22"/>
              </w:rPr>
            </w:pPr>
            <w:r w:rsidRPr="00264D5D">
              <w:rPr>
                <w:szCs w:val="22"/>
              </w:rPr>
              <w:t>П</w:t>
            </w:r>
          </w:p>
        </w:tc>
        <w:tc>
          <w:tcPr>
            <w:tcW w:w="1134" w:type="dxa"/>
          </w:tcPr>
          <w:p w14:paraId="5E925F2A" w14:textId="77777777" w:rsidR="00AD1F54" w:rsidRPr="00264D5D" w:rsidRDefault="00941227">
            <w:pPr>
              <w:pStyle w:val="GOSTTablenorm"/>
              <w:rPr>
                <w:szCs w:val="22"/>
              </w:rPr>
            </w:pPr>
            <w:r w:rsidRPr="00264D5D">
              <w:rPr>
                <w:szCs w:val="22"/>
              </w:rPr>
              <w:t>Т(1-2000)</w:t>
            </w:r>
          </w:p>
        </w:tc>
        <w:tc>
          <w:tcPr>
            <w:tcW w:w="567" w:type="dxa"/>
          </w:tcPr>
          <w:p w14:paraId="3059B37D" w14:textId="77777777" w:rsidR="00AD1F54" w:rsidRPr="00264D5D" w:rsidRDefault="00941227">
            <w:pPr>
              <w:pStyle w:val="GOSTTablenorm"/>
              <w:jc w:val="center"/>
              <w:rPr>
                <w:szCs w:val="22"/>
              </w:rPr>
            </w:pPr>
            <w:r w:rsidRPr="00264D5D">
              <w:rPr>
                <w:szCs w:val="22"/>
              </w:rPr>
              <w:t>Н</w:t>
            </w:r>
          </w:p>
        </w:tc>
        <w:tc>
          <w:tcPr>
            <w:tcW w:w="3963" w:type="dxa"/>
          </w:tcPr>
          <w:p w14:paraId="7C478518" w14:textId="77777777" w:rsidR="00AD1F54" w:rsidRPr="00264D5D" w:rsidRDefault="00941227">
            <w:pPr>
              <w:pStyle w:val="GOSTTablenorm"/>
              <w:rPr>
                <w:szCs w:val="22"/>
              </w:rPr>
            </w:pPr>
            <w:r w:rsidRPr="00264D5D">
              <w:rPr>
                <w:szCs w:val="22"/>
              </w:rPr>
              <w:t>Указываются дополнительные условия и иная информация, необходимые для осуществления операций по перечислению целевых средств с прим</w:t>
            </w:r>
            <w:r w:rsidR="008279A4" w:rsidRPr="00264D5D">
              <w:rPr>
                <w:szCs w:val="22"/>
              </w:rPr>
              <w:t>енением КОО (переведенного КОО)</w:t>
            </w:r>
          </w:p>
        </w:tc>
      </w:tr>
      <w:tr w:rsidR="00AD1F54" w:rsidRPr="00264D5D" w14:paraId="034B5A12" w14:textId="77777777" w:rsidTr="00AD1F54">
        <w:trPr>
          <w:cnfStyle w:val="000000100000" w:firstRow="0" w:lastRow="0" w:firstColumn="0" w:lastColumn="0" w:oddVBand="0" w:evenVBand="0" w:oddHBand="1" w:evenHBand="0" w:firstRowFirstColumn="0" w:firstRowLastColumn="0" w:lastRowFirstColumn="0" w:lastRowLastColumn="0"/>
        </w:trPr>
        <w:tc>
          <w:tcPr>
            <w:tcW w:w="9634" w:type="dxa"/>
            <w:gridSpan w:val="6"/>
          </w:tcPr>
          <w:p w14:paraId="012BAAFD" w14:textId="77777777" w:rsidR="00AD1F54" w:rsidRPr="00264D5D" w:rsidRDefault="00941227">
            <w:pPr>
              <w:pStyle w:val="GOSTTablenorm"/>
              <w:rPr>
                <w:szCs w:val="22"/>
              </w:rPr>
            </w:pPr>
            <w:r w:rsidRPr="00264D5D">
              <w:rPr>
                <w:b/>
                <w:szCs w:val="22"/>
              </w:rPr>
              <w:t>Подписи</w:t>
            </w:r>
          </w:p>
        </w:tc>
      </w:tr>
      <w:tr w:rsidR="00AD1F54" w:rsidRPr="00264D5D" w14:paraId="1D15B2E6"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CCB13D1" w14:textId="77777777" w:rsidR="00AD1F54" w:rsidRPr="00264D5D" w:rsidRDefault="00941227">
            <w:pPr>
              <w:pStyle w:val="GOSTTablenorm"/>
              <w:rPr>
                <w:szCs w:val="22"/>
              </w:rPr>
            </w:pPr>
            <w:r w:rsidRPr="00264D5D">
              <w:rPr>
                <w:szCs w:val="22"/>
              </w:rPr>
              <w:t>Руководитель</w:t>
            </w:r>
          </w:p>
        </w:tc>
        <w:tc>
          <w:tcPr>
            <w:tcW w:w="1701" w:type="dxa"/>
          </w:tcPr>
          <w:p w14:paraId="15C435DF" w14:textId="77777777" w:rsidR="00AD1F54" w:rsidRPr="00264D5D" w:rsidRDefault="00941227">
            <w:pPr>
              <w:pStyle w:val="GOSTTablenorm"/>
              <w:rPr>
                <w:szCs w:val="22"/>
              </w:rPr>
            </w:pPr>
            <w:r w:rsidRPr="00264D5D">
              <w:rPr>
                <w:szCs w:val="22"/>
              </w:rPr>
              <w:t>Sgn_SgnHr</w:t>
            </w:r>
          </w:p>
        </w:tc>
        <w:tc>
          <w:tcPr>
            <w:tcW w:w="567" w:type="dxa"/>
          </w:tcPr>
          <w:p w14:paraId="23535766" w14:textId="77777777" w:rsidR="00AD1F54" w:rsidRPr="00264D5D" w:rsidRDefault="00941227">
            <w:pPr>
              <w:pStyle w:val="GOSTTablenorm"/>
              <w:jc w:val="center"/>
              <w:rPr>
                <w:szCs w:val="22"/>
              </w:rPr>
            </w:pPr>
            <w:r w:rsidRPr="00264D5D">
              <w:rPr>
                <w:szCs w:val="22"/>
              </w:rPr>
              <w:t>С</w:t>
            </w:r>
          </w:p>
        </w:tc>
        <w:tc>
          <w:tcPr>
            <w:tcW w:w="1134" w:type="dxa"/>
          </w:tcPr>
          <w:p w14:paraId="4F4C9E0C" w14:textId="77777777" w:rsidR="00AD1F54" w:rsidRPr="00264D5D" w:rsidRDefault="00941227">
            <w:pPr>
              <w:pStyle w:val="GOSTTablenorm"/>
              <w:rPr>
                <w:szCs w:val="22"/>
              </w:rPr>
            </w:pPr>
            <w:r w:rsidRPr="00264D5D">
              <w:rPr>
                <w:szCs w:val="22"/>
              </w:rPr>
              <w:t>tSGNNmPs</w:t>
            </w:r>
          </w:p>
        </w:tc>
        <w:tc>
          <w:tcPr>
            <w:tcW w:w="567" w:type="dxa"/>
          </w:tcPr>
          <w:p w14:paraId="495822D4" w14:textId="77777777" w:rsidR="00AD1F54" w:rsidRPr="00264D5D" w:rsidRDefault="00941227">
            <w:pPr>
              <w:pStyle w:val="GOSTTablenorm"/>
              <w:jc w:val="center"/>
              <w:rPr>
                <w:szCs w:val="22"/>
              </w:rPr>
            </w:pPr>
            <w:r w:rsidRPr="00264D5D">
              <w:rPr>
                <w:szCs w:val="22"/>
              </w:rPr>
              <w:t>О</w:t>
            </w:r>
          </w:p>
        </w:tc>
        <w:tc>
          <w:tcPr>
            <w:tcW w:w="3963" w:type="dxa"/>
          </w:tcPr>
          <w:p w14:paraId="553CEB24" w14:textId="2F5308F1" w:rsidR="00AD1F54" w:rsidRPr="00264D5D" w:rsidRDefault="00941227">
            <w:pPr>
              <w:pStyle w:val="GOSTTablenorm"/>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_Ref17447949 \h  \* MERGEFORMAT </w:instrText>
            </w:r>
            <w:r w:rsidRPr="00264D5D">
              <w:rPr>
                <w:b/>
                <w:szCs w:val="22"/>
              </w:rPr>
            </w:r>
            <w:r w:rsidRPr="00264D5D">
              <w:rPr>
                <w:b/>
                <w:szCs w:val="22"/>
              </w:rPr>
              <w:fldChar w:fldCharType="separate"/>
            </w:r>
            <w:r w:rsidR="008D797C" w:rsidRPr="008D797C">
              <w:rPr>
                <w:b/>
                <w:szCs w:val="22"/>
              </w:rPr>
              <w:t>235</w:t>
            </w:r>
            <w:r w:rsidRPr="00264D5D">
              <w:rPr>
                <w:b/>
                <w:szCs w:val="22"/>
              </w:rPr>
              <w:fldChar w:fldCharType="end"/>
            </w:r>
          </w:p>
        </w:tc>
      </w:tr>
      <w:tr w:rsidR="00AD1F54" w:rsidRPr="00264D5D" w14:paraId="1A16C928"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47CEDD4" w14:textId="77777777" w:rsidR="00AD1F54" w:rsidRPr="00264D5D" w:rsidRDefault="00941227">
            <w:pPr>
              <w:pStyle w:val="GOSTTablenorm"/>
              <w:rPr>
                <w:szCs w:val="22"/>
              </w:rPr>
            </w:pPr>
            <w:r w:rsidRPr="00264D5D">
              <w:rPr>
                <w:szCs w:val="22"/>
              </w:rPr>
              <w:t>Главный бухгалтер</w:t>
            </w:r>
          </w:p>
        </w:tc>
        <w:tc>
          <w:tcPr>
            <w:tcW w:w="1701" w:type="dxa"/>
          </w:tcPr>
          <w:p w14:paraId="27BCDAC6" w14:textId="77777777" w:rsidR="00AD1F54" w:rsidRPr="00264D5D" w:rsidRDefault="00941227">
            <w:pPr>
              <w:pStyle w:val="GOSTTablenorm"/>
              <w:rPr>
                <w:szCs w:val="22"/>
              </w:rPr>
            </w:pPr>
            <w:r w:rsidRPr="00264D5D">
              <w:rPr>
                <w:szCs w:val="22"/>
              </w:rPr>
              <w:t>Sgn_SgnAcc</w:t>
            </w:r>
          </w:p>
        </w:tc>
        <w:tc>
          <w:tcPr>
            <w:tcW w:w="567" w:type="dxa"/>
          </w:tcPr>
          <w:p w14:paraId="1321A1F8" w14:textId="77777777" w:rsidR="00AD1F54" w:rsidRPr="00264D5D" w:rsidRDefault="00941227">
            <w:pPr>
              <w:pStyle w:val="GOSTTablenorm"/>
              <w:jc w:val="center"/>
              <w:rPr>
                <w:szCs w:val="22"/>
              </w:rPr>
            </w:pPr>
            <w:r w:rsidRPr="00264D5D">
              <w:rPr>
                <w:szCs w:val="22"/>
              </w:rPr>
              <w:t>С</w:t>
            </w:r>
          </w:p>
        </w:tc>
        <w:tc>
          <w:tcPr>
            <w:tcW w:w="1134" w:type="dxa"/>
          </w:tcPr>
          <w:p w14:paraId="0C4F57E0" w14:textId="77777777" w:rsidR="00AD1F54" w:rsidRPr="00264D5D" w:rsidRDefault="00941227">
            <w:pPr>
              <w:pStyle w:val="GOSTTablenorm"/>
              <w:rPr>
                <w:szCs w:val="22"/>
              </w:rPr>
            </w:pPr>
            <w:r w:rsidRPr="00264D5D">
              <w:rPr>
                <w:szCs w:val="22"/>
              </w:rPr>
              <w:t>tSGNNmPs</w:t>
            </w:r>
          </w:p>
        </w:tc>
        <w:tc>
          <w:tcPr>
            <w:tcW w:w="567" w:type="dxa"/>
          </w:tcPr>
          <w:p w14:paraId="5AEAE95E" w14:textId="77777777" w:rsidR="00AD1F54" w:rsidRPr="00264D5D" w:rsidRDefault="00941227">
            <w:pPr>
              <w:pStyle w:val="GOSTTablenorm"/>
              <w:jc w:val="center"/>
              <w:rPr>
                <w:szCs w:val="22"/>
              </w:rPr>
            </w:pPr>
            <w:r w:rsidRPr="00264D5D">
              <w:rPr>
                <w:szCs w:val="22"/>
              </w:rPr>
              <w:t>О</w:t>
            </w:r>
          </w:p>
        </w:tc>
        <w:tc>
          <w:tcPr>
            <w:tcW w:w="3963" w:type="dxa"/>
          </w:tcPr>
          <w:p w14:paraId="01078F72" w14:textId="277336EF" w:rsidR="00AD1F54" w:rsidRPr="00264D5D" w:rsidRDefault="00941227">
            <w:pPr>
              <w:pStyle w:val="GOSTTablenorm"/>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_Ref17447949 \h  \* MERGEFORMAT </w:instrText>
            </w:r>
            <w:r w:rsidRPr="00264D5D">
              <w:rPr>
                <w:b/>
                <w:szCs w:val="22"/>
              </w:rPr>
            </w:r>
            <w:r w:rsidRPr="00264D5D">
              <w:rPr>
                <w:b/>
                <w:szCs w:val="22"/>
              </w:rPr>
              <w:fldChar w:fldCharType="separate"/>
            </w:r>
            <w:r w:rsidR="008D797C" w:rsidRPr="008D797C">
              <w:rPr>
                <w:b/>
                <w:szCs w:val="22"/>
              </w:rPr>
              <w:t>235</w:t>
            </w:r>
            <w:r w:rsidRPr="00264D5D">
              <w:rPr>
                <w:b/>
                <w:szCs w:val="22"/>
              </w:rPr>
              <w:fldChar w:fldCharType="end"/>
            </w:r>
          </w:p>
        </w:tc>
      </w:tr>
      <w:tr w:rsidR="00AD1F54" w:rsidRPr="00264D5D" w14:paraId="3BD3C66A"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72FB49B" w14:textId="77777777" w:rsidR="00AD1F54" w:rsidRPr="00264D5D" w:rsidRDefault="00941227">
            <w:pPr>
              <w:pStyle w:val="GOSTTablenorm"/>
              <w:rPr>
                <w:szCs w:val="22"/>
              </w:rPr>
            </w:pPr>
            <w:r w:rsidRPr="00264D5D">
              <w:rPr>
                <w:szCs w:val="22"/>
              </w:rPr>
              <w:t>Ответственный исполнитель</w:t>
            </w:r>
          </w:p>
        </w:tc>
        <w:tc>
          <w:tcPr>
            <w:tcW w:w="1701" w:type="dxa"/>
          </w:tcPr>
          <w:p w14:paraId="7C30A909" w14:textId="77777777" w:rsidR="00AD1F54" w:rsidRPr="00264D5D" w:rsidRDefault="00941227">
            <w:pPr>
              <w:pStyle w:val="GOSTTablenorm"/>
              <w:rPr>
                <w:szCs w:val="22"/>
              </w:rPr>
            </w:pPr>
            <w:r w:rsidRPr="00264D5D">
              <w:rPr>
                <w:szCs w:val="22"/>
              </w:rPr>
              <w:t>Sgn_SgnExec</w:t>
            </w:r>
          </w:p>
        </w:tc>
        <w:tc>
          <w:tcPr>
            <w:tcW w:w="567" w:type="dxa"/>
          </w:tcPr>
          <w:p w14:paraId="71D1B720" w14:textId="77777777" w:rsidR="00AD1F54" w:rsidRPr="00264D5D" w:rsidRDefault="00941227">
            <w:pPr>
              <w:pStyle w:val="GOSTTablenorm"/>
              <w:jc w:val="center"/>
              <w:rPr>
                <w:szCs w:val="22"/>
              </w:rPr>
            </w:pPr>
            <w:r w:rsidRPr="00264D5D">
              <w:rPr>
                <w:szCs w:val="22"/>
              </w:rPr>
              <w:t>С</w:t>
            </w:r>
          </w:p>
        </w:tc>
        <w:tc>
          <w:tcPr>
            <w:tcW w:w="1134" w:type="dxa"/>
          </w:tcPr>
          <w:p w14:paraId="156B4661" w14:textId="77777777" w:rsidR="00AD1F54" w:rsidRPr="00264D5D" w:rsidRDefault="00941227">
            <w:pPr>
              <w:pStyle w:val="GOSTTablenorm"/>
              <w:rPr>
                <w:szCs w:val="22"/>
              </w:rPr>
            </w:pPr>
            <w:r w:rsidRPr="00264D5D">
              <w:rPr>
                <w:szCs w:val="22"/>
              </w:rPr>
              <w:t>tSGNNmPsPhDt2</w:t>
            </w:r>
          </w:p>
        </w:tc>
        <w:tc>
          <w:tcPr>
            <w:tcW w:w="567" w:type="dxa"/>
          </w:tcPr>
          <w:p w14:paraId="4F77C58A" w14:textId="77777777" w:rsidR="00AD1F54" w:rsidRPr="00264D5D" w:rsidRDefault="00941227">
            <w:pPr>
              <w:pStyle w:val="GOSTTablenorm"/>
              <w:jc w:val="center"/>
              <w:rPr>
                <w:szCs w:val="22"/>
              </w:rPr>
            </w:pPr>
            <w:r w:rsidRPr="00264D5D">
              <w:rPr>
                <w:szCs w:val="22"/>
              </w:rPr>
              <w:t>О</w:t>
            </w:r>
          </w:p>
        </w:tc>
        <w:tc>
          <w:tcPr>
            <w:tcW w:w="3963" w:type="dxa"/>
          </w:tcPr>
          <w:p w14:paraId="40E211DB" w14:textId="28C6F53A" w:rsidR="00AD1F54" w:rsidRPr="00264D5D" w:rsidRDefault="00941227">
            <w:pPr>
              <w:pStyle w:val="GOSTTablenorm"/>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_Ref17447950 \h  \* MERGEFORMAT </w:instrText>
            </w:r>
            <w:r w:rsidRPr="00264D5D">
              <w:rPr>
                <w:b/>
                <w:szCs w:val="22"/>
              </w:rPr>
            </w:r>
            <w:r w:rsidRPr="00264D5D">
              <w:rPr>
                <w:b/>
                <w:szCs w:val="22"/>
              </w:rPr>
              <w:fldChar w:fldCharType="separate"/>
            </w:r>
            <w:r w:rsidR="008D797C" w:rsidRPr="008D797C">
              <w:rPr>
                <w:b/>
                <w:szCs w:val="22"/>
              </w:rPr>
              <w:t>236</w:t>
            </w:r>
            <w:r w:rsidRPr="00264D5D">
              <w:rPr>
                <w:b/>
                <w:szCs w:val="22"/>
              </w:rPr>
              <w:fldChar w:fldCharType="end"/>
            </w:r>
          </w:p>
        </w:tc>
      </w:tr>
      <w:tr w:rsidR="00AD1F54" w:rsidRPr="00264D5D" w14:paraId="46037D33" w14:textId="77777777" w:rsidTr="00AD1F54">
        <w:trPr>
          <w:cnfStyle w:val="000000100000" w:firstRow="0" w:lastRow="0" w:firstColumn="0" w:lastColumn="0" w:oddVBand="0" w:evenVBand="0" w:oddHBand="1" w:evenHBand="0" w:firstRowFirstColumn="0" w:firstRowLastColumn="0" w:lastRowFirstColumn="0" w:lastRowLastColumn="0"/>
        </w:trPr>
        <w:tc>
          <w:tcPr>
            <w:tcW w:w="9634" w:type="dxa"/>
            <w:gridSpan w:val="6"/>
          </w:tcPr>
          <w:p w14:paraId="466FB1C4" w14:textId="77777777" w:rsidR="00AD1F54" w:rsidRPr="00264D5D" w:rsidRDefault="00941227">
            <w:pPr>
              <w:pStyle w:val="GOSTTablenorm"/>
              <w:rPr>
                <w:szCs w:val="22"/>
              </w:rPr>
            </w:pPr>
            <w:r w:rsidRPr="00264D5D">
              <w:rPr>
                <w:b/>
                <w:szCs w:val="22"/>
              </w:rPr>
              <w:t>Отметки ФК обслуживания</w:t>
            </w:r>
          </w:p>
        </w:tc>
      </w:tr>
      <w:tr w:rsidR="00AD1F54" w:rsidRPr="00264D5D" w14:paraId="4C272625"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0EE6F4EF" w14:textId="77777777" w:rsidR="00AD1F54" w:rsidRPr="00264D5D" w:rsidRDefault="00941227">
            <w:pPr>
              <w:pStyle w:val="GOSTTablenorm"/>
              <w:rPr>
                <w:szCs w:val="22"/>
              </w:rPr>
            </w:pPr>
            <w:r w:rsidRPr="00264D5D">
              <w:rPr>
                <w:szCs w:val="22"/>
              </w:rPr>
              <w:t>Должность ответственного исполнителя</w:t>
            </w:r>
          </w:p>
        </w:tc>
        <w:tc>
          <w:tcPr>
            <w:tcW w:w="1701" w:type="dxa"/>
          </w:tcPr>
          <w:p w14:paraId="4D4F1B69" w14:textId="77777777" w:rsidR="00AD1F54" w:rsidRPr="00264D5D" w:rsidRDefault="00941227">
            <w:pPr>
              <w:pStyle w:val="GOSTTablenorm"/>
              <w:rPr>
                <w:szCs w:val="22"/>
              </w:rPr>
            </w:pPr>
            <w:r w:rsidRPr="00264D5D">
              <w:rPr>
                <w:szCs w:val="22"/>
              </w:rPr>
              <w:t>ExecutorCS_Executor_Post</w:t>
            </w:r>
          </w:p>
        </w:tc>
        <w:tc>
          <w:tcPr>
            <w:tcW w:w="567" w:type="dxa"/>
          </w:tcPr>
          <w:p w14:paraId="6EDB79E3" w14:textId="77777777" w:rsidR="00AD1F54" w:rsidRPr="00264D5D" w:rsidRDefault="00941227">
            <w:pPr>
              <w:pStyle w:val="GOSTTablenorm"/>
              <w:jc w:val="center"/>
              <w:rPr>
                <w:szCs w:val="22"/>
              </w:rPr>
            </w:pPr>
            <w:r w:rsidRPr="00264D5D">
              <w:rPr>
                <w:szCs w:val="22"/>
              </w:rPr>
              <w:t>П</w:t>
            </w:r>
          </w:p>
        </w:tc>
        <w:tc>
          <w:tcPr>
            <w:tcW w:w="1134" w:type="dxa"/>
          </w:tcPr>
          <w:p w14:paraId="74DFE522" w14:textId="77777777" w:rsidR="00AD1F54" w:rsidRPr="00264D5D" w:rsidRDefault="00941227">
            <w:pPr>
              <w:pStyle w:val="GOSTTablenorm"/>
              <w:rPr>
                <w:szCs w:val="22"/>
              </w:rPr>
            </w:pPr>
            <w:r w:rsidRPr="00264D5D">
              <w:rPr>
                <w:szCs w:val="22"/>
              </w:rPr>
              <w:t>Т(1-100)</w:t>
            </w:r>
          </w:p>
        </w:tc>
        <w:tc>
          <w:tcPr>
            <w:tcW w:w="567" w:type="dxa"/>
          </w:tcPr>
          <w:p w14:paraId="4C664A4D" w14:textId="77777777" w:rsidR="00AD1F54" w:rsidRPr="00264D5D" w:rsidRDefault="00941227">
            <w:pPr>
              <w:pStyle w:val="GOSTTablenorm"/>
              <w:jc w:val="center"/>
              <w:rPr>
                <w:szCs w:val="22"/>
              </w:rPr>
            </w:pPr>
            <w:r w:rsidRPr="00264D5D">
              <w:rPr>
                <w:szCs w:val="22"/>
              </w:rPr>
              <w:t>Н</w:t>
            </w:r>
          </w:p>
        </w:tc>
        <w:tc>
          <w:tcPr>
            <w:tcW w:w="3963" w:type="dxa"/>
          </w:tcPr>
          <w:p w14:paraId="0B3D5D0B" w14:textId="77777777" w:rsidR="00AD1F54" w:rsidRPr="00264D5D" w:rsidRDefault="00941227">
            <w:pPr>
              <w:pStyle w:val="GOSTTablenorm"/>
              <w:rPr>
                <w:szCs w:val="22"/>
              </w:rPr>
            </w:pPr>
            <w:r w:rsidRPr="00264D5D">
              <w:rPr>
                <w:szCs w:val="22"/>
              </w:rPr>
              <w:t>Указывается должн</w:t>
            </w:r>
            <w:r w:rsidR="008279A4" w:rsidRPr="00264D5D">
              <w:rPr>
                <w:szCs w:val="22"/>
              </w:rPr>
              <w:t>ость ответственного исполнителя</w:t>
            </w:r>
          </w:p>
        </w:tc>
      </w:tr>
      <w:tr w:rsidR="00AD1F54" w:rsidRPr="00264D5D" w14:paraId="28497191"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4EF274B" w14:textId="77777777" w:rsidR="00AD1F54" w:rsidRPr="00264D5D" w:rsidRDefault="00941227">
            <w:pPr>
              <w:pStyle w:val="GOSTTablenorm"/>
              <w:rPr>
                <w:szCs w:val="22"/>
              </w:rPr>
            </w:pPr>
            <w:r w:rsidRPr="00264D5D">
              <w:rPr>
                <w:szCs w:val="22"/>
              </w:rPr>
              <w:t>Расшифровка подписи</w:t>
            </w:r>
          </w:p>
        </w:tc>
        <w:tc>
          <w:tcPr>
            <w:tcW w:w="1701" w:type="dxa"/>
          </w:tcPr>
          <w:p w14:paraId="35C33785" w14:textId="77777777" w:rsidR="00AD1F54" w:rsidRPr="00264D5D" w:rsidRDefault="00941227">
            <w:pPr>
              <w:pStyle w:val="GOSTTablenorm"/>
              <w:rPr>
                <w:szCs w:val="22"/>
              </w:rPr>
            </w:pPr>
            <w:r w:rsidRPr="00264D5D">
              <w:rPr>
                <w:szCs w:val="22"/>
              </w:rPr>
              <w:t>ExecutorCS_Executor_SFP</w:t>
            </w:r>
          </w:p>
        </w:tc>
        <w:tc>
          <w:tcPr>
            <w:tcW w:w="567" w:type="dxa"/>
          </w:tcPr>
          <w:p w14:paraId="1D35C9E7" w14:textId="77777777" w:rsidR="00AD1F54" w:rsidRPr="00264D5D" w:rsidRDefault="00941227">
            <w:pPr>
              <w:pStyle w:val="GOSTTablenorm"/>
              <w:jc w:val="center"/>
              <w:rPr>
                <w:szCs w:val="22"/>
              </w:rPr>
            </w:pPr>
            <w:r w:rsidRPr="00264D5D">
              <w:rPr>
                <w:szCs w:val="22"/>
              </w:rPr>
              <w:t>П</w:t>
            </w:r>
          </w:p>
        </w:tc>
        <w:tc>
          <w:tcPr>
            <w:tcW w:w="1134" w:type="dxa"/>
          </w:tcPr>
          <w:p w14:paraId="338F5B91" w14:textId="77777777" w:rsidR="00AD1F54" w:rsidRPr="00264D5D" w:rsidRDefault="00941227">
            <w:pPr>
              <w:pStyle w:val="GOSTTablenorm"/>
              <w:rPr>
                <w:szCs w:val="22"/>
              </w:rPr>
            </w:pPr>
            <w:r w:rsidRPr="00264D5D">
              <w:rPr>
                <w:szCs w:val="22"/>
              </w:rPr>
              <w:t>Т(1-50)</w:t>
            </w:r>
          </w:p>
        </w:tc>
        <w:tc>
          <w:tcPr>
            <w:tcW w:w="567" w:type="dxa"/>
          </w:tcPr>
          <w:p w14:paraId="1DB88971" w14:textId="77777777" w:rsidR="00AD1F54" w:rsidRPr="00264D5D" w:rsidRDefault="00941227">
            <w:pPr>
              <w:pStyle w:val="GOSTTablenorm"/>
              <w:jc w:val="center"/>
              <w:rPr>
                <w:szCs w:val="22"/>
              </w:rPr>
            </w:pPr>
            <w:r w:rsidRPr="00264D5D">
              <w:rPr>
                <w:szCs w:val="22"/>
              </w:rPr>
              <w:t>Н</w:t>
            </w:r>
          </w:p>
        </w:tc>
        <w:tc>
          <w:tcPr>
            <w:tcW w:w="3963" w:type="dxa"/>
          </w:tcPr>
          <w:p w14:paraId="4B7D7DA1" w14:textId="77777777" w:rsidR="00AD1F54" w:rsidRPr="00264D5D" w:rsidRDefault="00941227">
            <w:pPr>
              <w:pStyle w:val="GOSTTablenorm"/>
              <w:rPr>
                <w:szCs w:val="22"/>
              </w:rPr>
            </w:pPr>
            <w:r w:rsidRPr="00264D5D">
              <w:rPr>
                <w:szCs w:val="22"/>
              </w:rPr>
              <w:t>Указывается расшифровка под</w:t>
            </w:r>
            <w:r w:rsidR="008279A4" w:rsidRPr="00264D5D">
              <w:rPr>
                <w:szCs w:val="22"/>
              </w:rPr>
              <w:t>писи ответственного исполнителя</w:t>
            </w:r>
          </w:p>
        </w:tc>
      </w:tr>
      <w:tr w:rsidR="00AD1F54" w:rsidRPr="00264D5D" w14:paraId="213E96B0"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2496869E" w14:textId="77777777" w:rsidR="00AD1F54" w:rsidRPr="00264D5D" w:rsidRDefault="00941227">
            <w:pPr>
              <w:pStyle w:val="GOSTTablenorm"/>
              <w:rPr>
                <w:szCs w:val="22"/>
              </w:rPr>
            </w:pPr>
            <w:r w:rsidRPr="00264D5D">
              <w:rPr>
                <w:szCs w:val="22"/>
              </w:rPr>
              <w:t>Дата обработки документа</w:t>
            </w:r>
          </w:p>
        </w:tc>
        <w:tc>
          <w:tcPr>
            <w:tcW w:w="1701" w:type="dxa"/>
          </w:tcPr>
          <w:p w14:paraId="3DB7250E" w14:textId="77777777" w:rsidR="00AD1F54" w:rsidRPr="00264D5D" w:rsidRDefault="00941227">
            <w:pPr>
              <w:pStyle w:val="GOSTTablenorm"/>
              <w:rPr>
                <w:szCs w:val="22"/>
              </w:rPr>
            </w:pPr>
            <w:r w:rsidRPr="00264D5D">
              <w:rPr>
                <w:szCs w:val="22"/>
              </w:rPr>
              <w:t>ExecutorCS_Executor_Date</w:t>
            </w:r>
          </w:p>
        </w:tc>
        <w:tc>
          <w:tcPr>
            <w:tcW w:w="567" w:type="dxa"/>
          </w:tcPr>
          <w:p w14:paraId="361552C4" w14:textId="77777777" w:rsidR="00AD1F54" w:rsidRPr="00264D5D" w:rsidRDefault="00941227">
            <w:pPr>
              <w:pStyle w:val="GOSTTablenorm"/>
              <w:jc w:val="center"/>
              <w:rPr>
                <w:szCs w:val="22"/>
              </w:rPr>
            </w:pPr>
            <w:r w:rsidRPr="00264D5D">
              <w:rPr>
                <w:szCs w:val="22"/>
              </w:rPr>
              <w:t>П</w:t>
            </w:r>
          </w:p>
        </w:tc>
        <w:tc>
          <w:tcPr>
            <w:tcW w:w="1134" w:type="dxa"/>
          </w:tcPr>
          <w:p w14:paraId="6B150A62" w14:textId="77777777" w:rsidR="00AD1F54" w:rsidRPr="00264D5D" w:rsidRDefault="00941227">
            <w:pPr>
              <w:pStyle w:val="GOSTTablenorm"/>
              <w:rPr>
                <w:szCs w:val="22"/>
              </w:rPr>
            </w:pPr>
            <w:r w:rsidRPr="00264D5D">
              <w:rPr>
                <w:szCs w:val="22"/>
                <w:lang w:val="en-US"/>
              </w:rPr>
              <w:t>D</w:t>
            </w:r>
            <w:r w:rsidRPr="00264D5D">
              <w:rPr>
                <w:szCs w:val="22"/>
              </w:rPr>
              <w:t>ate</w:t>
            </w:r>
          </w:p>
        </w:tc>
        <w:tc>
          <w:tcPr>
            <w:tcW w:w="567" w:type="dxa"/>
          </w:tcPr>
          <w:p w14:paraId="213C41FF" w14:textId="77777777" w:rsidR="00AD1F54" w:rsidRPr="00264D5D" w:rsidRDefault="00941227">
            <w:pPr>
              <w:pStyle w:val="GOSTTablenorm"/>
              <w:jc w:val="center"/>
              <w:rPr>
                <w:szCs w:val="22"/>
              </w:rPr>
            </w:pPr>
            <w:r w:rsidRPr="00264D5D">
              <w:rPr>
                <w:szCs w:val="22"/>
              </w:rPr>
              <w:t>Н</w:t>
            </w:r>
          </w:p>
        </w:tc>
        <w:tc>
          <w:tcPr>
            <w:tcW w:w="3963" w:type="dxa"/>
          </w:tcPr>
          <w:p w14:paraId="1FBC98CC" w14:textId="77777777" w:rsidR="00AD1F54" w:rsidRPr="00264D5D" w:rsidRDefault="00941227">
            <w:pPr>
              <w:pStyle w:val="GOSTTablenorm"/>
              <w:rPr>
                <w:szCs w:val="22"/>
              </w:rPr>
            </w:pPr>
            <w:r w:rsidRPr="00264D5D">
              <w:rPr>
                <w:szCs w:val="22"/>
              </w:rPr>
              <w:t>Указы</w:t>
            </w:r>
            <w:r w:rsidR="008279A4" w:rsidRPr="00264D5D">
              <w:rPr>
                <w:szCs w:val="22"/>
              </w:rPr>
              <w:t>вается дата обработки документа</w:t>
            </w:r>
          </w:p>
        </w:tc>
      </w:tr>
      <w:tr w:rsidR="00AD1F54" w:rsidRPr="00264D5D" w14:paraId="01AB7706" w14:textId="77777777" w:rsidTr="00AD1F54">
        <w:trPr>
          <w:cnfStyle w:val="000000100000" w:firstRow="0" w:lastRow="0" w:firstColumn="0" w:lastColumn="0" w:oddVBand="0" w:evenVBand="0" w:oddHBand="1" w:evenHBand="0" w:firstRowFirstColumn="0" w:firstRowLastColumn="0" w:lastRowFirstColumn="0" w:lastRowLastColumn="0"/>
        </w:trPr>
        <w:tc>
          <w:tcPr>
            <w:tcW w:w="9634" w:type="dxa"/>
            <w:gridSpan w:val="6"/>
          </w:tcPr>
          <w:p w14:paraId="7927A9D6" w14:textId="77777777" w:rsidR="00AD1F54" w:rsidRPr="00264D5D" w:rsidRDefault="00941227">
            <w:pPr>
              <w:pStyle w:val="GOSTTablenorm"/>
              <w:rPr>
                <w:szCs w:val="22"/>
              </w:rPr>
            </w:pPr>
            <w:r w:rsidRPr="00264D5D">
              <w:rPr>
                <w:b/>
                <w:szCs w:val="22"/>
              </w:rPr>
              <w:t>Системная информация</w:t>
            </w:r>
          </w:p>
        </w:tc>
      </w:tr>
      <w:tr w:rsidR="00AD1F54" w:rsidRPr="00264D5D" w14:paraId="16C9A882"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2A01D375" w14:textId="77777777" w:rsidR="00AD1F54" w:rsidRPr="00264D5D" w:rsidRDefault="00941227">
            <w:pPr>
              <w:pStyle w:val="GOSTTablenorm"/>
              <w:rPr>
                <w:szCs w:val="22"/>
              </w:rPr>
            </w:pPr>
            <w:r w:rsidRPr="00264D5D">
              <w:rPr>
                <w:szCs w:val="22"/>
              </w:rPr>
              <w:t>Уровень конфиденциальности</w:t>
            </w:r>
          </w:p>
        </w:tc>
        <w:tc>
          <w:tcPr>
            <w:tcW w:w="1701" w:type="dxa"/>
          </w:tcPr>
          <w:p w14:paraId="231A04C7" w14:textId="77777777" w:rsidR="00AD1F54" w:rsidRPr="00264D5D" w:rsidRDefault="00941227">
            <w:pPr>
              <w:pStyle w:val="GOSTTablenorm"/>
              <w:rPr>
                <w:szCs w:val="22"/>
              </w:rPr>
            </w:pPr>
            <w:r w:rsidRPr="00264D5D">
              <w:rPr>
                <w:szCs w:val="22"/>
              </w:rPr>
              <w:t>StmInfrmtn_AccessLevel</w:t>
            </w:r>
          </w:p>
        </w:tc>
        <w:tc>
          <w:tcPr>
            <w:tcW w:w="567" w:type="dxa"/>
          </w:tcPr>
          <w:p w14:paraId="38360589" w14:textId="77777777" w:rsidR="00AD1F54" w:rsidRPr="00264D5D" w:rsidRDefault="00941227">
            <w:pPr>
              <w:pStyle w:val="GOSTTablenorm"/>
              <w:jc w:val="center"/>
              <w:rPr>
                <w:szCs w:val="22"/>
              </w:rPr>
            </w:pPr>
            <w:r w:rsidRPr="00264D5D">
              <w:rPr>
                <w:szCs w:val="22"/>
              </w:rPr>
              <w:t>П</w:t>
            </w:r>
          </w:p>
        </w:tc>
        <w:tc>
          <w:tcPr>
            <w:tcW w:w="1134" w:type="dxa"/>
          </w:tcPr>
          <w:p w14:paraId="0B7F17F0" w14:textId="77777777" w:rsidR="00AD1F54" w:rsidRPr="00264D5D" w:rsidRDefault="00941227">
            <w:pPr>
              <w:pStyle w:val="GOSTTablenorm"/>
              <w:rPr>
                <w:szCs w:val="22"/>
                <w:lang w:val="en-US"/>
              </w:rPr>
            </w:pPr>
            <w:r w:rsidRPr="00264D5D">
              <w:rPr>
                <w:szCs w:val="22"/>
              </w:rPr>
              <w:t>Т(1)</w:t>
            </w:r>
          </w:p>
        </w:tc>
        <w:tc>
          <w:tcPr>
            <w:tcW w:w="567" w:type="dxa"/>
          </w:tcPr>
          <w:p w14:paraId="25C60A63" w14:textId="77777777" w:rsidR="00AD1F54" w:rsidRPr="00264D5D" w:rsidRDefault="00941227">
            <w:pPr>
              <w:pStyle w:val="GOSTTablenorm"/>
              <w:jc w:val="center"/>
              <w:rPr>
                <w:szCs w:val="22"/>
              </w:rPr>
            </w:pPr>
            <w:r w:rsidRPr="00264D5D">
              <w:rPr>
                <w:szCs w:val="22"/>
              </w:rPr>
              <w:t>Н</w:t>
            </w:r>
          </w:p>
        </w:tc>
        <w:tc>
          <w:tcPr>
            <w:tcW w:w="3963" w:type="dxa"/>
          </w:tcPr>
          <w:p w14:paraId="39893448" w14:textId="77777777" w:rsidR="00AD1F54" w:rsidRPr="00264D5D" w:rsidRDefault="00941227" w:rsidP="008279A4">
            <w:pPr>
              <w:pStyle w:val="GOSTTablenorm"/>
              <w:rPr>
                <w:szCs w:val="22"/>
              </w:rPr>
            </w:pPr>
            <w:r w:rsidRPr="00264D5D">
              <w:rPr>
                <w:szCs w:val="22"/>
              </w:rPr>
              <w:t>Указывается уровень конфиденциальности.</w:t>
            </w:r>
          </w:p>
          <w:p w14:paraId="5FA79076" w14:textId="77777777" w:rsidR="00AD1F54" w:rsidRPr="00264D5D" w:rsidRDefault="00941227" w:rsidP="008279A4">
            <w:pPr>
              <w:pStyle w:val="GOSTTablenorm"/>
              <w:rPr>
                <w:szCs w:val="22"/>
              </w:rPr>
            </w:pPr>
            <w:r w:rsidRPr="00264D5D">
              <w:rPr>
                <w:szCs w:val="22"/>
              </w:rPr>
              <w:t>Возможные значения:</w:t>
            </w:r>
          </w:p>
          <w:p w14:paraId="3A5DE4B2" w14:textId="77777777" w:rsidR="00AD1F54" w:rsidRPr="00264D5D" w:rsidRDefault="00941227" w:rsidP="008279A4">
            <w:pPr>
              <w:pStyle w:val="GOSTTableListMark1"/>
              <w:numPr>
                <w:ilvl w:val="0"/>
                <w:numId w:val="65"/>
              </w:numPr>
              <w:spacing w:before="60" w:after="60"/>
              <w:ind w:left="284"/>
              <w:jc w:val="both"/>
              <w:rPr>
                <w:szCs w:val="22"/>
              </w:rPr>
            </w:pPr>
            <w:r w:rsidRPr="00264D5D">
              <w:t>«0» – Несекретно;</w:t>
            </w:r>
          </w:p>
          <w:p w14:paraId="3F1B54BC" w14:textId="77777777" w:rsidR="00AD1F54" w:rsidRPr="00264D5D" w:rsidRDefault="00941227" w:rsidP="008279A4">
            <w:pPr>
              <w:pStyle w:val="GOSTTableListMark1"/>
              <w:numPr>
                <w:ilvl w:val="0"/>
                <w:numId w:val="65"/>
              </w:numPr>
              <w:spacing w:before="60" w:after="60"/>
              <w:ind w:left="284"/>
              <w:jc w:val="both"/>
              <w:rPr>
                <w:szCs w:val="22"/>
              </w:rPr>
            </w:pPr>
            <w:r w:rsidRPr="00264D5D">
              <w:t>«1» – Для служебного пользования.</w:t>
            </w:r>
          </w:p>
          <w:p w14:paraId="168E827F" w14:textId="77777777" w:rsidR="00AD1F54" w:rsidRPr="00264D5D" w:rsidRDefault="00941227" w:rsidP="008279A4">
            <w:pPr>
              <w:pStyle w:val="GOSTTableListMark1"/>
              <w:spacing w:before="60" w:after="60"/>
              <w:ind w:left="57" w:firstLine="0"/>
              <w:jc w:val="both"/>
              <w:rPr>
                <w:szCs w:val="22"/>
              </w:rPr>
            </w:pPr>
            <w:r w:rsidRPr="00264D5D">
              <w:rPr>
                <w:szCs w:val="22"/>
              </w:rPr>
              <w:t>Обязателен для заполнения в случае взаимодействия по маршруту ПБС (ПФХД) – ТОФК (ПУР ЭБ).</w:t>
            </w:r>
          </w:p>
          <w:p w14:paraId="7430FF93" w14:textId="77777777" w:rsidR="00AD1F54" w:rsidRPr="00264D5D" w:rsidRDefault="00941227" w:rsidP="008279A4">
            <w:pPr>
              <w:pStyle w:val="GOSTTableListMark1"/>
              <w:spacing w:before="60" w:after="60"/>
              <w:ind w:left="57" w:firstLine="0"/>
              <w:jc w:val="both"/>
              <w:rPr>
                <w:szCs w:val="22"/>
              </w:rPr>
            </w:pPr>
            <w:r w:rsidRPr="00264D5D">
              <w:rPr>
                <w:szCs w:val="22"/>
              </w:rPr>
              <w:t xml:space="preserve">Поле не заполняется для маршрутов ЮЛ НУБП – ТОФК (Компонент КС ПУР ЭБ) и ТОФК </w:t>
            </w:r>
            <w:r w:rsidR="008279A4" w:rsidRPr="00264D5D">
              <w:rPr>
                <w:szCs w:val="22"/>
              </w:rPr>
              <w:t>(Компонент КС ПУР ЭБ) – ЮЛ НУБП</w:t>
            </w:r>
          </w:p>
        </w:tc>
      </w:tr>
      <w:tr w:rsidR="00AD1F54" w:rsidRPr="00264D5D" w14:paraId="5E143A81" w14:textId="77777777" w:rsidTr="00AD1F54">
        <w:trPr>
          <w:cnfStyle w:val="000000100000" w:firstRow="0" w:lastRow="0" w:firstColumn="0" w:lastColumn="0" w:oddVBand="0" w:evenVBand="0" w:oddHBand="1" w:evenHBand="0" w:firstRowFirstColumn="0" w:firstRowLastColumn="0" w:lastRowFirstColumn="0" w:lastRowLastColumn="0"/>
        </w:trPr>
        <w:tc>
          <w:tcPr>
            <w:tcW w:w="9634" w:type="dxa"/>
            <w:gridSpan w:val="6"/>
          </w:tcPr>
          <w:p w14:paraId="515251AD" w14:textId="77777777" w:rsidR="00AD1F54" w:rsidRPr="00264D5D" w:rsidRDefault="00941227">
            <w:pPr>
              <w:pStyle w:val="GOSTTablenorm"/>
              <w:rPr>
                <w:szCs w:val="22"/>
              </w:rPr>
            </w:pPr>
            <w:r w:rsidRPr="00264D5D">
              <w:rPr>
                <w:b/>
                <w:szCs w:val="22"/>
              </w:rPr>
              <w:t>ЭП</w:t>
            </w:r>
          </w:p>
        </w:tc>
      </w:tr>
      <w:tr w:rsidR="00AD1F54" w:rsidRPr="00264D5D" w14:paraId="159F6F9E"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49154CD7" w14:textId="77777777" w:rsidR="00AD1F54" w:rsidRPr="00264D5D" w:rsidRDefault="00941227">
            <w:pPr>
              <w:pStyle w:val="GOSTTablenorm"/>
              <w:rPr>
                <w:szCs w:val="22"/>
              </w:rPr>
            </w:pPr>
            <w:r w:rsidRPr="00264D5D">
              <w:t>Электронная подпись</w:t>
            </w:r>
          </w:p>
        </w:tc>
        <w:tc>
          <w:tcPr>
            <w:tcW w:w="1701" w:type="dxa"/>
          </w:tcPr>
          <w:p w14:paraId="5131B61C" w14:textId="77777777" w:rsidR="00AD1F54" w:rsidRPr="00264D5D" w:rsidRDefault="00941227">
            <w:pPr>
              <w:pStyle w:val="GOSTTablenorm"/>
              <w:rPr>
                <w:szCs w:val="22"/>
              </w:rPr>
            </w:pPr>
            <w:r w:rsidRPr="00264D5D">
              <w:t>Signature</w:t>
            </w:r>
          </w:p>
        </w:tc>
        <w:tc>
          <w:tcPr>
            <w:tcW w:w="567" w:type="dxa"/>
          </w:tcPr>
          <w:p w14:paraId="7B24407C" w14:textId="77777777" w:rsidR="00AD1F54" w:rsidRPr="00264D5D" w:rsidRDefault="00941227">
            <w:pPr>
              <w:pStyle w:val="GOSTTablenorm"/>
              <w:jc w:val="center"/>
              <w:rPr>
                <w:szCs w:val="22"/>
              </w:rPr>
            </w:pPr>
            <w:r w:rsidRPr="00264D5D">
              <w:t>С</w:t>
            </w:r>
          </w:p>
        </w:tc>
        <w:tc>
          <w:tcPr>
            <w:tcW w:w="1134" w:type="dxa"/>
          </w:tcPr>
          <w:p w14:paraId="38CADFF7" w14:textId="77777777" w:rsidR="00AD1F54" w:rsidRPr="00264D5D" w:rsidRDefault="00941227">
            <w:pPr>
              <w:pStyle w:val="GOSTTablenorm"/>
              <w:rPr>
                <w:szCs w:val="22"/>
                <w:lang w:val="en-US"/>
              </w:rPr>
            </w:pPr>
            <w:r w:rsidRPr="00264D5D">
              <w:rPr>
                <w:rFonts w:eastAsia="Calibri"/>
              </w:rPr>
              <w:t>SignatureType</w:t>
            </w:r>
          </w:p>
        </w:tc>
        <w:tc>
          <w:tcPr>
            <w:tcW w:w="567" w:type="dxa"/>
          </w:tcPr>
          <w:p w14:paraId="59FED794" w14:textId="77777777" w:rsidR="00AD1F54" w:rsidRPr="00264D5D" w:rsidRDefault="00941227">
            <w:pPr>
              <w:pStyle w:val="GOSTTablenorm"/>
              <w:jc w:val="center"/>
              <w:rPr>
                <w:szCs w:val="22"/>
              </w:rPr>
            </w:pPr>
            <w:r w:rsidRPr="00264D5D">
              <w:t>НМ</w:t>
            </w:r>
          </w:p>
        </w:tc>
        <w:tc>
          <w:tcPr>
            <w:tcW w:w="3963" w:type="dxa"/>
          </w:tcPr>
          <w:p w14:paraId="20A1223B" w14:textId="77777777" w:rsidR="00AD1F54" w:rsidRPr="00264D5D" w:rsidRDefault="00941227">
            <w:pPr>
              <w:pStyle w:val="GOSTTablenorm"/>
            </w:pPr>
            <w:r w:rsidRPr="00264D5D">
              <w:t xml:space="preserve">Блок подписи в формате XAdes. </w:t>
            </w:r>
            <w:r w:rsidRPr="00264D5D">
              <w:rPr>
                <w:szCs w:val="22"/>
              </w:rPr>
              <w:t>Указывается</w:t>
            </w:r>
            <w:r w:rsidRPr="00264D5D">
              <w:t xml:space="preserve"> как референс согласно формату подписи XAdes.</w:t>
            </w:r>
          </w:p>
          <w:p w14:paraId="60AB06A0" w14:textId="77777777" w:rsidR="00AD1F54" w:rsidRPr="00264D5D" w:rsidRDefault="00941227">
            <w:pPr>
              <w:spacing w:before="60" w:after="60"/>
              <w:rPr>
                <w:sz w:val="22"/>
                <w:szCs w:val="22"/>
              </w:rPr>
            </w:pPr>
            <w:r w:rsidRPr="00264D5D">
              <w:rPr>
                <w:sz w:val="22"/>
                <w:szCs w:val="22"/>
              </w:rPr>
              <w:t xml:space="preserve">Заполняется согласно п.3.5.3 Тома 1 </w:t>
            </w:r>
            <w:r w:rsidRPr="00264D5D">
              <w:rPr>
                <w:sz w:val="22"/>
                <w:szCs w:val="22"/>
              </w:rPr>
              <w:lastRenderedPageBreak/>
              <w:t>настоящего альбома.</w:t>
            </w:r>
          </w:p>
          <w:p w14:paraId="1C2A161F" w14:textId="77777777" w:rsidR="00AD1F54" w:rsidRPr="00264D5D" w:rsidRDefault="00941227">
            <w:pPr>
              <w:pStyle w:val="GOSTTablenorm"/>
              <w:rPr>
                <w:szCs w:val="22"/>
              </w:rPr>
            </w:pPr>
            <w:r w:rsidRPr="00264D5D">
              <w:rPr>
                <w:szCs w:val="22"/>
              </w:rPr>
              <w:t>Блок заполняется только при сервисном взаимодействии ПФХД и</w:t>
            </w:r>
            <w:r w:rsidR="008279A4" w:rsidRPr="00264D5D">
              <w:rPr>
                <w:szCs w:val="22"/>
              </w:rPr>
              <w:t xml:space="preserve"> ПУР ЭБ и является обязательным</w:t>
            </w:r>
          </w:p>
        </w:tc>
      </w:tr>
    </w:tbl>
    <w:p w14:paraId="2089B766" w14:textId="77777777" w:rsidR="00AD1F54" w:rsidRPr="00264D5D" w:rsidRDefault="00941227">
      <w:pPr>
        <w:pStyle w:val="31"/>
      </w:pPr>
      <w:bookmarkStart w:id="2306" w:name="_Toc15552298"/>
      <w:bookmarkStart w:id="2307" w:name="_Toc18509306"/>
      <w:bookmarkStart w:id="2308" w:name="_Toc15552299"/>
      <w:bookmarkStart w:id="2309" w:name="_Toc18509307"/>
      <w:bookmarkStart w:id="2310" w:name="_Toc219309697"/>
      <w:r w:rsidRPr="00264D5D">
        <w:lastRenderedPageBreak/>
        <w:t>Описание комплексного типа «tMSC_TOFK»</w:t>
      </w:r>
      <w:bookmarkEnd w:id="2306"/>
      <w:bookmarkEnd w:id="2307"/>
      <w:bookmarkEnd w:id="2310"/>
    </w:p>
    <w:p w14:paraId="5E4D83F8" w14:textId="77777777" w:rsidR="00AD1F54" w:rsidRPr="00264D5D" w:rsidRDefault="00941227">
      <w:pPr>
        <w:pStyle w:val="GOSTNormal"/>
      </w:pPr>
      <w:r w:rsidRPr="00264D5D">
        <w:t xml:space="preserve">Описание комплексного типа </w:t>
      </w:r>
      <w:r w:rsidRPr="00264D5D">
        <w:rPr>
          <w:rFonts w:eastAsia="Calibri"/>
        </w:rPr>
        <w:t>«</w:t>
      </w:r>
      <w:r w:rsidRPr="00264D5D">
        <w:rPr>
          <w:color w:val="000000"/>
          <w:szCs w:val="22"/>
        </w:rPr>
        <w:t>tMSC_TOFK</w:t>
      </w:r>
      <w:r w:rsidRPr="00264D5D">
        <w:t>» блока «ТОФК».</w:t>
      </w:r>
    </w:p>
    <w:p w14:paraId="5ECC989C" w14:textId="73CC7E01"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2311" w:name="_Ref17447943"/>
      <w:bookmarkStart w:id="2312" w:name="_Toc15552416"/>
      <w:bookmarkStart w:id="2313" w:name="_Toc18509588"/>
      <w:bookmarkStart w:id="2314" w:name="_Toc219309260"/>
      <w:r w:rsidR="008D797C">
        <w:rPr>
          <w:noProof/>
        </w:rPr>
        <w:t>230</w:t>
      </w:r>
      <w:bookmarkEnd w:id="2311"/>
      <w:r w:rsidRPr="00264D5D">
        <w:fldChar w:fldCharType="end"/>
      </w:r>
      <w:r w:rsidRPr="00264D5D">
        <w:t xml:space="preserve"> – Описание комплексного типа «tMSC_TOFK»</w:t>
      </w:r>
      <w:bookmarkEnd w:id="2312"/>
      <w:bookmarkEnd w:id="2313"/>
      <w:bookmarkEnd w:id="2314"/>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6C22B365"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6A077881" w14:textId="77777777" w:rsidR="00AD1F54" w:rsidRPr="00264D5D" w:rsidRDefault="00941227">
            <w:pPr>
              <w:pStyle w:val="ASFKTableHead"/>
            </w:pPr>
            <w:r w:rsidRPr="00264D5D">
              <w:t>Наименование элемента</w:t>
            </w:r>
          </w:p>
        </w:tc>
        <w:tc>
          <w:tcPr>
            <w:tcW w:w="1701" w:type="dxa"/>
          </w:tcPr>
          <w:p w14:paraId="3BA6D2EB" w14:textId="77777777" w:rsidR="00AD1F54" w:rsidRPr="00264D5D" w:rsidRDefault="00941227">
            <w:pPr>
              <w:pStyle w:val="ASFKTableHead"/>
            </w:pPr>
            <w:r w:rsidRPr="00264D5D">
              <w:t>Сокращенное наименование (код) элемента</w:t>
            </w:r>
          </w:p>
        </w:tc>
        <w:tc>
          <w:tcPr>
            <w:tcW w:w="567" w:type="dxa"/>
          </w:tcPr>
          <w:p w14:paraId="09F643FC" w14:textId="77777777" w:rsidR="00AD1F54" w:rsidRPr="00264D5D" w:rsidRDefault="00941227">
            <w:pPr>
              <w:pStyle w:val="ASFKTableHead"/>
            </w:pPr>
            <w:r w:rsidRPr="00264D5D">
              <w:t>Тип</w:t>
            </w:r>
          </w:p>
        </w:tc>
        <w:tc>
          <w:tcPr>
            <w:tcW w:w="1134" w:type="dxa"/>
          </w:tcPr>
          <w:p w14:paraId="479AE061" w14:textId="77777777" w:rsidR="00AD1F54" w:rsidRPr="00264D5D" w:rsidRDefault="00941227">
            <w:pPr>
              <w:pStyle w:val="ASFKTableHead"/>
            </w:pPr>
            <w:r w:rsidRPr="00264D5D">
              <w:t>Формат элемента</w:t>
            </w:r>
          </w:p>
        </w:tc>
        <w:tc>
          <w:tcPr>
            <w:tcW w:w="567" w:type="dxa"/>
          </w:tcPr>
          <w:p w14:paraId="1B9ECE2B" w14:textId="77777777" w:rsidR="00AD1F54" w:rsidRPr="00264D5D" w:rsidRDefault="00941227">
            <w:pPr>
              <w:pStyle w:val="ASFKTableHead"/>
            </w:pPr>
            <w:r w:rsidRPr="00264D5D">
              <w:t>Обязательность</w:t>
            </w:r>
          </w:p>
        </w:tc>
        <w:tc>
          <w:tcPr>
            <w:tcW w:w="3963" w:type="dxa"/>
          </w:tcPr>
          <w:p w14:paraId="365814CC" w14:textId="77777777" w:rsidR="00AD1F54" w:rsidRPr="00264D5D" w:rsidRDefault="00941227">
            <w:pPr>
              <w:pStyle w:val="ASFKTableHead"/>
            </w:pPr>
            <w:r w:rsidRPr="00264D5D">
              <w:t>Дополнительная информация</w:t>
            </w:r>
          </w:p>
        </w:tc>
      </w:tr>
      <w:tr w:rsidR="00AD1F54" w:rsidRPr="00264D5D" w14:paraId="2D7CBEF3"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A490901" w14:textId="77777777" w:rsidR="00AD1F54" w:rsidRPr="00264D5D" w:rsidRDefault="00941227">
            <w:pPr>
              <w:pStyle w:val="GOSTTablenorm"/>
              <w:rPr>
                <w:color w:val="000000"/>
                <w:szCs w:val="22"/>
              </w:rPr>
            </w:pPr>
            <w:r w:rsidRPr="00264D5D">
              <w:rPr>
                <w:color w:val="000000"/>
                <w:szCs w:val="22"/>
              </w:rPr>
              <w:t>Наименование ТОФК</w:t>
            </w:r>
          </w:p>
        </w:tc>
        <w:tc>
          <w:tcPr>
            <w:tcW w:w="1701" w:type="dxa"/>
          </w:tcPr>
          <w:p w14:paraId="2EEB20A3" w14:textId="77777777" w:rsidR="00AD1F54" w:rsidRPr="00264D5D" w:rsidRDefault="00941227">
            <w:pPr>
              <w:spacing w:before="60" w:after="60"/>
              <w:ind w:firstLine="3"/>
              <w:rPr>
                <w:sz w:val="22"/>
                <w:szCs w:val="22"/>
                <w:lang w:val="en-US"/>
              </w:rPr>
            </w:pPr>
            <w:r w:rsidRPr="00264D5D">
              <w:rPr>
                <w:color w:val="000000"/>
                <w:sz w:val="22"/>
                <w:szCs w:val="22"/>
                <w:lang w:val="en-US"/>
              </w:rPr>
              <w:t>Nm</w:t>
            </w:r>
          </w:p>
        </w:tc>
        <w:tc>
          <w:tcPr>
            <w:tcW w:w="567" w:type="dxa"/>
          </w:tcPr>
          <w:p w14:paraId="0D4FECAD" w14:textId="77777777" w:rsidR="00AD1F54" w:rsidRPr="00264D5D" w:rsidRDefault="00941227">
            <w:pPr>
              <w:pStyle w:val="GOSTTablenorm"/>
              <w:ind w:firstLine="3"/>
              <w:jc w:val="center"/>
              <w:rPr>
                <w:szCs w:val="22"/>
              </w:rPr>
            </w:pPr>
            <w:r w:rsidRPr="00264D5D">
              <w:rPr>
                <w:szCs w:val="22"/>
              </w:rPr>
              <w:t>П</w:t>
            </w:r>
          </w:p>
        </w:tc>
        <w:tc>
          <w:tcPr>
            <w:tcW w:w="1134" w:type="dxa"/>
          </w:tcPr>
          <w:p w14:paraId="4E376C0F" w14:textId="77777777" w:rsidR="00AD1F54" w:rsidRPr="00264D5D" w:rsidRDefault="00941227">
            <w:pPr>
              <w:pStyle w:val="GOSTTablenorm"/>
              <w:ind w:firstLine="3"/>
              <w:rPr>
                <w:color w:val="000000"/>
                <w:szCs w:val="22"/>
              </w:rPr>
            </w:pPr>
            <w:r w:rsidRPr="00264D5D">
              <w:rPr>
                <w:color w:val="000000"/>
                <w:szCs w:val="22"/>
                <w:lang w:val="en-US"/>
              </w:rPr>
              <w:t>Т(1-2000)</w:t>
            </w:r>
          </w:p>
        </w:tc>
        <w:tc>
          <w:tcPr>
            <w:tcW w:w="567" w:type="dxa"/>
          </w:tcPr>
          <w:p w14:paraId="3F3952AB" w14:textId="77777777" w:rsidR="00AD1F54" w:rsidRPr="00264D5D" w:rsidRDefault="00941227">
            <w:pPr>
              <w:spacing w:before="60" w:after="60"/>
              <w:ind w:firstLine="3"/>
              <w:jc w:val="center"/>
              <w:rPr>
                <w:sz w:val="22"/>
                <w:szCs w:val="22"/>
              </w:rPr>
            </w:pPr>
            <w:r w:rsidRPr="00264D5D">
              <w:rPr>
                <w:sz w:val="22"/>
                <w:szCs w:val="22"/>
              </w:rPr>
              <w:t>О</w:t>
            </w:r>
          </w:p>
        </w:tc>
        <w:tc>
          <w:tcPr>
            <w:tcW w:w="3963" w:type="dxa"/>
          </w:tcPr>
          <w:p w14:paraId="15252E16" w14:textId="77777777" w:rsidR="00AD1F54" w:rsidRPr="00264D5D" w:rsidRDefault="00941227">
            <w:pPr>
              <w:pStyle w:val="GOSTTablenorm"/>
              <w:ind w:firstLine="3"/>
              <w:rPr>
                <w:szCs w:val="22"/>
              </w:rPr>
            </w:pPr>
            <w:r w:rsidRPr="00264D5D">
              <w:rPr>
                <w:szCs w:val="22"/>
              </w:rPr>
              <w:t>Указывается полное наименование ТОФК.</w:t>
            </w:r>
          </w:p>
          <w:p w14:paraId="4E65ABCD" w14:textId="77777777" w:rsidR="00AD1F54" w:rsidRPr="00264D5D" w:rsidRDefault="00941227">
            <w:pPr>
              <w:pStyle w:val="GOSTTablenorm"/>
              <w:ind w:firstLine="3"/>
              <w:rPr>
                <w:szCs w:val="22"/>
              </w:rPr>
            </w:pPr>
            <w:r w:rsidRPr="00264D5D">
              <w:rPr>
                <w:szCs w:val="22"/>
              </w:rPr>
              <w:t>Поле заполняется в соответствии с ц</w:t>
            </w:r>
            <w:r w:rsidR="008279A4" w:rsidRPr="00264D5D">
              <w:rPr>
                <w:szCs w:val="22"/>
              </w:rPr>
              <w:t>ентрализованным справочником ФК</w:t>
            </w:r>
          </w:p>
        </w:tc>
      </w:tr>
      <w:tr w:rsidR="00AD1F54" w:rsidRPr="00264D5D" w14:paraId="65ED26F1"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25B64433" w14:textId="77777777" w:rsidR="00AD1F54" w:rsidRPr="00264D5D" w:rsidRDefault="00941227">
            <w:pPr>
              <w:pStyle w:val="GOSTTablenorm"/>
              <w:rPr>
                <w:color w:val="000000"/>
                <w:szCs w:val="22"/>
              </w:rPr>
            </w:pPr>
            <w:r w:rsidRPr="00264D5D">
              <w:rPr>
                <w:color w:val="000000"/>
                <w:szCs w:val="22"/>
              </w:rPr>
              <w:t>Код ТОФК</w:t>
            </w:r>
          </w:p>
        </w:tc>
        <w:tc>
          <w:tcPr>
            <w:tcW w:w="1701" w:type="dxa"/>
          </w:tcPr>
          <w:p w14:paraId="5C631CC9" w14:textId="77777777" w:rsidR="00AD1F54" w:rsidRPr="00264D5D" w:rsidRDefault="00941227">
            <w:pPr>
              <w:spacing w:before="60" w:after="60"/>
              <w:ind w:firstLine="3"/>
              <w:rPr>
                <w:sz w:val="22"/>
                <w:szCs w:val="22"/>
                <w:lang w:val="en-US"/>
              </w:rPr>
            </w:pPr>
            <w:r w:rsidRPr="00264D5D">
              <w:rPr>
                <w:color w:val="000000"/>
                <w:sz w:val="22"/>
                <w:szCs w:val="22"/>
                <w:lang w:val="en-US"/>
              </w:rPr>
              <w:t>Cd</w:t>
            </w:r>
          </w:p>
        </w:tc>
        <w:tc>
          <w:tcPr>
            <w:tcW w:w="567" w:type="dxa"/>
          </w:tcPr>
          <w:p w14:paraId="61543710" w14:textId="77777777" w:rsidR="00AD1F54" w:rsidRPr="00264D5D" w:rsidRDefault="00941227">
            <w:pPr>
              <w:pStyle w:val="GOSTTablenorm"/>
              <w:ind w:firstLine="3"/>
              <w:jc w:val="center"/>
              <w:rPr>
                <w:szCs w:val="22"/>
              </w:rPr>
            </w:pPr>
            <w:r w:rsidRPr="00264D5D">
              <w:rPr>
                <w:szCs w:val="22"/>
              </w:rPr>
              <w:t>П</w:t>
            </w:r>
          </w:p>
        </w:tc>
        <w:tc>
          <w:tcPr>
            <w:tcW w:w="1134" w:type="dxa"/>
          </w:tcPr>
          <w:p w14:paraId="76D15E2A" w14:textId="77777777" w:rsidR="00AD1F54" w:rsidRPr="00264D5D" w:rsidRDefault="00941227">
            <w:pPr>
              <w:pStyle w:val="GOSTTablenorm"/>
              <w:ind w:firstLine="3"/>
              <w:rPr>
                <w:color w:val="000000"/>
                <w:szCs w:val="22"/>
              </w:rPr>
            </w:pPr>
            <w:r w:rsidRPr="00264D5D">
              <w:rPr>
                <w:color w:val="000000"/>
                <w:szCs w:val="22"/>
                <w:lang w:val="en-US"/>
              </w:rPr>
              <w:t>Т(4)</w:t>
            </w:r>
          </w:p>
        </w:tc>
        <w:tc>
          <w:tcPr>
            <w:tcW w:w="567" w:type="dxa"/>
          </w:tcPr>
          <w:p w14:paraId="59166D0A" w14:textId="77777777" w:rsidR="00AD1F54" w:rsidRPr="00264D5D" w:rsidRDefault="00941227">
            <w:pPr>
              <w:spacing w:before="60" w:after="60"/>
              <w:ind w:firstLine="3"/>
              <w:jc w:val="center"/>
              <w:rPr>
                <w:sz w:val="22"/>
                <w:szCs w:val="22"/>
              </w:rPr>
            </w:pPr>
            <w:r w:rsidRPr="00264D5D">
              <w:rPr>
                <w:sz w:val="22"/>
                <w:szCs w:val="22"/>
              </w:rPr>
              <w:t>О</w:t>
            </w:r>
          </w:p>
        </w:tc>
        <w:tc>
          <w:tcPr>
            <w:tcW w:w="3963" w:type="dxa"/>
          </w:tcPr>
          <w:p w14:paraId="4C61F52B" w14:textId="77777777" w:rsidR="008279A4" w:rsidRPr="00264D5D" w:rsidRDefault="00941227">
            <w:pPr>
              <w:pStyle w:val="GOSTTablenorm"/>
              <w:ind w:firstLine="3"/>
              <w:rPr>
                <w:szCs w:val="22"/>
              </w:rPr>
            </w:pPr>
            <w:r w:rsidRPr="00264D5D">
              <w:rPr>
                <w:szCs w:val="22"/>
              </w:rPr>
              <w:t xml:space="preserve">Указывается кол ТОФК. </w:t>
            </w:r>
          </w:p>
          <w:p w14:paraId="650758F9" w14:textId="77777777" w:rsidR="00AD1F54" w:rsidRPr="00264D5D" w:rsidRDefault="00941227">
            <w:pPr>
              <w:pStyle w:val="GOSTTablenorm"/>
              <w:ind w:firstLine="3"/>
              <w:rPr>
                <w:szCs w:val="22"/>
              </w:rPr>
            </w:pPr>
            <w:r w:rsidRPr="00264D5D">
              <w:rPr>
                <w:szCs w:val="22"/>
              </w:rPr>
              <w:t>Поле заполняется в соответствии с централ</w:t>
            </w:r>
            <w:r w:rsidR="008279A4" w:rsidRPr="00264D5D">
              <w:rPr>
                <w:szCs w:val="22"/>
              </w:rPr>
              <w:t>изованным справочником ФК</w:t>
            </w:r>
          </w:p>
        </w:tc>
      </w:tr>
    </w:tbl>
    <w:p w14:paraId="55FBC743" w14:textId="77777777" w:rsidR="00AD1F54" w:rsidRPr="00264D5D" w:rsidRDefault="00941227">
      <w:pPr>
        <w:pStyle w:val="31"/>
      </w:pPr>
      <w:bookmarkStart w:id="2315" w:name="_Toc219309698"/>
      <w:r w:rsidRPr="00264D5D">
        <w:t>Описание комплексного типа «tMSC_PBS_UBP»</w:t>
      </w:r>
      <w:bookmarkEnd w:id="2308"/>
      <w:bookmarkEnd w:id="2309"/>
      <w:bookmarkEnd w:id="2315"/>
    </w:p>
    <w:p w14:paraId="37183BC5" w14:textId="77777777" w:rsidR="00AD1F54" w:rsidRPr="00264D5D" w:rsidRDefault="00941227">
      <w:pPr>
        <w:pStyle w:val="GOSTNormal"/>
      </w:pPr>
      <w:r w:rsidRPr="00264D5D">
        <w:t>Описание комплексного типа «tMSC_PBS_UBP» блока «</w:t>
      </w:r>
      <w:r w:rsidRPr="00264D5D">
        <w:rPr>
          <w:szCs w:val="22"/>
        </w:rPr>
        <w:t>От кого: Получатель бюджетных средств (организация)</w:t>
      </w:r>
      <w:r w:rsidRPr="00264D5D">
        <w:t>».</w:t>
      </w:r>
    </w:p>
    <w:p w14:paraId="37B9B3A8" w14:textId="5A6556D4" w:rsidR="00AD1F54" w:rsidRPr="00264D5D" w:rsidRDefault="001E5517">
      <w:pPr>
        <w:pStyle w:val="GOSTNameTable"/>
        <w:numPr>
          <w:ilvl w:val="0"/>
          <w:numId w:val="2"/>
        </w:numPr>
        <w:ind w:left="425" w:hanging="357"/>
      </w:pPr>
      <w:r w:rsidRPr="00264D5D">
        <w:rPr>
          <w:noProof/>
        </w:rPr>
        <w:fldChar w:fldCharType="begin"/>
      </w:r>
      <w:r w:rsidRPr="00264D5D">
        <w:rPr>
          <w:noProof/>
        </w:rPr>
        <w:instrText xml:space="preserve"> SEQ Таблица \* ARABIC </w:instrText>
      </w:r>
      <w:r w:rsidRPr="00264D5D">
        <w:rPr>
          <w:noProof/>
        </w:rPr>
        <w:fldChar w:fldCharType="separate"/>
      </w:r>
      <w:bookmarkStart w:id="2316" w:name="_Ref17447942"/>
      <w:bookmarkStart w:id="2317" w:name="_Toc15552417"/>
      <w:bookmarkStart w:id="2318" w:name="_Toc18509589"/>
      <w:bookmarkStart w:id="2319" w:name="_Toc219309261"/>
      <w:r w:rsidR="008D797C">
        <w:rPr>
          <w:noProof/>
        </w:rPr>
        <w:t>231</w:t>
      </w:r>
      <w:bookmarkEnd w:id="2316"/>
      <w:r w:rsidRPr="00264D5D">
        <w:rPr>
          <w:noProof/>
        </w:rPr>
        <w:fldChar w:fldCharType="end"/>
      </w:r>
      <w:r w:rsidR="00941227" w:rsidRPr="00264D5D">
        <w:t xml:space="preserve"> – Описание комплексного типа «tMSC_PBS_UBP»</w:t>
      </w:r>
      <w:bookmarkEnd w:id="2317"/>
      <w:bookmarkEnd w:id="2318"/>
      <w:bookmarkEnd w:id="2319"/>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4E90E22C"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6A2E0B9F" w14:textId="77777777" w:rsidR="00AD1F54" w:rsidRPr="00264D5D" w:rsidRDefault="00941227">
            <w:pPr>
              <w:pStyle w:val="ASFKTableHead"/>
            </w:pPr>
            <w:r w:rsidRPr="00264D5D">
              <w:t>Наименование элемента</w:t>
            </w:r>
          </w:p>
        </w:tc>
        <w:tc>
          <w:tcPr>
            <w:tcW w:w="1701" w:type="dxa"/>
          </w:tcPr>
          <w:p w14:paraId="0380B991" w14:textId="77777777" w:rsidR="00AD1F54" w:rsidRPr="00264D5D" w:rsidRDefault="00941227">
            <w:pPr>
              <w:pStyle w:val="ASFKTableHead"/>
            </w:pPr>
            <w:r w:rsidRPr="00264D5D">
              <w:t>Сокращенное наименование (код) элемента</w:t>
            </w:r>
          </w:p>
        </w:tc>
        <w:tc>
          <w:tcPr>
            <w:tcW w:w="567" w:type="dxa"/>
          </w:tcPr>
          <w:p w14:paraId="7C5BAB3E" w14:textId="77777777" w:rsidR="00AD1F54" w:rsidRPr="00264D5D" w:rsidRDefault="00941227">
            <w:pPr>
              <w:pStyle w:val="ASFKTableHead"/>
            </w:pPr>
            <w:r w:rsidRPr="00264D5D">
              <w:t>Тип</w:t>
            </w:r>
          </w:p>
        </w:tc>
        <w:tc>
          <w:tcPr>
            <w:tcW w:w="1134" w:type="dxa"/>
          </w:tcPr>
          <w:p w14:paraId="63C552DF" w14:textId="77777777" w:rsidR="00AD1F54" w:rsidRPr="00264D5D" w:rsidRDefault="00941227">
            <w:pPr>
              <w:pStyle w:val="ASFKTableHead"/>
            </w:pPr>
            <w:r w:rsidRPr="00264D5D">
              <w:t>Формат элемента</w:t>
            </w:r>
          </w:p>
        </w:tc>
        <w:tc>
          <w:tcPr>
            <w:tcW w:w="567" w:type="dxa"/>
          </w:tcPr>
          <w:p w14:paraId="24091DD7" w14:textId="77777777" w:rsidR="00AD1F54" w:rsidRPr="00264D5D" w:rsidRDefault="00941227">
            <w:pPr>
              <w:pStyle w:val="ASFKTableHead"/>
            </w:pPr>
            <w:r w:rsidRPr="00264D5D">
              <w:t>Обязательность</w:t>
            </w:r>
          </w:p>
        </w:tc>
        <w:tc>
          <w:tcPr>
            <w:tcW w:w="3963" w:type="dxa"/>
          </w:tcPr>
          <w:p w14:paraId="0CCA7901" w14:textId="77777777" w:rsidR="00AD1F54" w:rsidRPr="00264D5D" w:rsidRDefault="00941227">
            <w:pPr>
              <w:pStyle w:val="ASFKTableHead"/>
            </w:pPr>
            <w:r w:rsidRPr="00264D5D">
              <w:t>Дополнительная информация</w:t>
            </w:r>
          </w:p>
        </w:tc>
      </w:tr>
      <w:tr w:rsidR="00AD1F54" w:rsidRPr="00264D5D" w14:paraId="7BF1C433"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7417E6A" w14:textId="77777777" w:rsidR="00AD1F54" w:rsidRPr="00264D5D" w:rsidRDefault="00941227">
            <w:pPr>
              <w:pStyle w:val="GOSTTablenorm"/>
            </w:pPr>
            <w:r w:rsidRPr="00264D5D">
              <w:t xml:space="preserve">Код по Сводному реестру </w:t>
            </w:r>
          </w:p>
        </w:tc>
        <w:tc>
          <w:tcPr>
            <w:tcW w:w="1701" w:type="dxa"/>
          </w:tcPr>
          <w:p w14:paraId="169B667A" w14:textId="77777777" w:rsidR="00AD1F54" w:rsidRPr="00264D5D" w:rsidRDefault="00941227">
            <w:pPr>
              <w:pStyle w:val="GOSTTablenorm"/>
              <w:rPr>
                <w:lang w:val="en-US"/>
              </w:rPr>
            </w:pPr>
            <w:r w:rsidRPr="00264D5D">
              <w:rPr>
                <w:lang w:val="en-US"/>
              </w:rPr>
              <w:t>Cd</w:t>
            </w:r>
          </w:p>
        </w:tc>
        <w:tc>
          <w:tcPr>
            <w:tcW w:w="567" w:type="dxa"/>
          </w:tcPr>
          <w:p w14:paraId="62B7121C" w14:textId="77777777" w:rsidR="00AD1F54" w:rsidRPr="00264D5D" w:rsidRDefault="00941227">
            <w:pPr>
              <w:pStyle w:val="GOSTTablenorm"/>
              <w:jc w:val="center"/>
            </w:pPr>
            <w:r w:rsidRPr="00264D5D">
              <w:t>П</w:t>
            </w:r>
          </w:p>
        </w:tc>
        <w:tc>
          <w:tcPr>
            <w:tcW w:w="1134" w:type="dxa"/>
          </w:tcPr>
          <w:p w14:paraId="243EBA6E" w14:textId="77777777" w:rsidR="00AD1F54" w:rsidRPr="00264D5D" w:rsidRDefault="00941227">
            <w:pPr>
              <w:pStyle w:val="GOSTTablenorm"/>
            </w:pPr>
            <w:r w:rsidRPr="00264D5D">
              <w:rPr>
                <w:lang w:val="en-US"/>
              </w:rPr>
              <w:t>Т(8)</w:t>
            </w:r>
          </w:p>
        </w:tc>
        <w:tc>
          <w:tcPr>
            <w:tcW w:w="567" w:type="dxa"/>
          </w:tcPr>
          <w:p w14:paraId="1582C3EA" w14:textId="77777777" w:rsidR="00AD1F54" w:rsidRPr="00264D5D" w:rsidRDefault="00941227">
            <w:pPr>
              <w:pStyle w:val="GOSTTablenorm"/>
              <w:jc w:val="center"/>
            </w:pPr>
            <w:r w:rsidRPr="00264D5D">
              <w:t>Н</w:t>
            </w:r>
          </w:p>
        </w:tc>
        <w:tc>
          <w:tcPr>
            <w:tcW w:w="3963" w:type="dxa"/>
          </w:tcPr>
          <w:p w14:paraId="54A29317" w14:textId="77777777" w:rsidR="00AD1F54" w:rsidRPr="00264D5D" w:rsidRDefault="00941227">
            <w:pPr>
              <w:pStyle w:val="GOSTTablenorm"/>
            </w:pPr>
            <w:r w:rsidRPr="00264D5D">
              <w:t xml:space="preserve">Указывается код по Сводному реестру </w:t>
            </w:r>
            <w:r w:rsidRPr="00264D5D">
              <w:rPr>
                <w:szCs w:val="22"/>
              </w:rPr>
              <w:t>получателя бюджетных средств (организации)</w:t>
            </w:r>
          </w:p>
        </w:tc>
      </w:tr>
      <w:tr w:rsidR="00AD1F54" w:rsidRPr="00264D5D" w14:paraId="0D5CE6F6"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0500D97C" w14:textId="77777777" w:rsidR="00AD1F54" w:rsidRPr="00264D5D" w:rsidRDefault="00941227">
            <w:pPr>
              <w:pStyle w:val="GOSTTablenorm"/>
            </w:pPr>
            <w:r w:rsidRPr="00264D5D">
              <w:t xml:space="preserve">Наименование </w:t>
            </w:r>
          </w:p>
        </w:tc>
        <w:tc>
          <w:tcPr>
            <w:tcW w:w="1701" w:type="dxa"/>
          </w:tcPr>
          <w:p w14:paraId="0CA40E64" w14:textId="77777777" w:rsidR="00AD1F54" w:rsidRPr="00264D5D" w:rsidRDefault="00941227">
            <w:pPr>
              <w:pStyle w:val="GOSTTablenorm"/>
              <w:rPr>
                <w:lang w:val="en-US"/>
              </w:rPr>
            </w:pPr>
            <w:r w:rsidRPr="00264D5D">
              <w:rPr>
                <w:lang w:val="en-US"/>
              </w:rPr>
              <w:t>Nm</w:t>
            </w:r>
          </w:p>
        </w:tc>
        <w:tc>
          <w:tcPr>
            <w:tcW w:w="567" w:type="dxa"/>
          </w:tcPr>
          <w:p w14:paraId="0CC8C97B" w14:textId="77777777" w:rsidR="00AD1F54" w:rsidRPr="00264D5D" w:rsidRDefault="00941227">
            <w:pPr>
              <w:pStyle w:val="GOSTTablenorm"/>
              <w:jc w:val="center"/>
            </w:pPr>
            <w:r w:rsidRPr="00264D5D">
              <w:t>П</w:t>
            </w:r>
          </w:p>
        </w:tc>
        <w:tc>
          <w:tcPr>
            <w:tcW w:w="1134" w:type="dxa"/>
          </w:tcPr>
          <w:p w14:paraId="0DE61B2D" w14:textId="77777777" w:rsidR="00AD1F54" w:rsidRPr="00264D5D" w:rsidRDefault="00941227">
            <w:pPr>
              <w:pStyle w:val="GOSTTablenorm"/>
            </w:pPr>
            <w:r w:rsidRPr="00264D5D">
              <w:t>Т(1-2000)</w:t>
            </w:r>
          </w:p>
        </w:tc>
        <w:tc>
          <w:tcPr>
            <w:tcW w:w="567" w:type="dxa"/>
          </w:tcPr>
          <w:p w14:paraId="4FAD3642" w14:textId="77777777" w:rsidR="00AD1F54" w:rsidRPr="00264D5D" w:rsidRDefault="00941227">
            <w:pPr>
              <w:pStyle w:val="GOSTTablenorm"/>
              <w:jc w:val="center"/>
              <w:rPr>
                <w:lang w:val="en-US"/>
              </w:rPr>
            </w:pPr>
            <w:r w:rsidRPr="00264D5D">
              <w:t>О</w:t>
            </w:r>
          </w:p>
        </w:tc>
        <w:tc>
          <w:tcPr>
            <w:tcW w:w="3963" w:type="dxa"/>
          </w:tcPr>
          <w:p w14:paraId="4307628F" w14:textId="77777777" w:rsidR="00AD1F54" w:rsidRPr="00264D5D" w:rsidRDefault="00941227">
            <w:pPr>
              <w:pStyle w:val="GOSTTablenorm"/>
              <w:rPr>
                <w:szCs w:val="22"/>
              </w:rPr>
            </w:pPr>
            <w:r w:rsidRPr="00264D5D">
              <w:t xml:space="preserve">Указывается наименование </w:t>
            </w:r>
            <w:r w:rsidRPr="00264D5D">
              <w:rPr>
                <w:szCs w:val="22"/>
              </w:rPr>
              <w:t>получателя бюджетных средств (организации)</w:t>
            </w:r>
          </w:p>
        </w:tc>
      </w:tr>
    </w:tbl>
    <w:p w14:paraId="40152B22" w14:textId="77777777" w:rsidR="00AD1F54" w:rsidRPr="00264D5D" w:rsidRDefault="00941227">
      <w:pPr>
        <w:pStyle w:val="31"/>
      </w:pPr>
      <w:bookmarkStart w:id="2320" w:name="_Toc15552300"/>
      <w:bookmarkStart w:id="2321" w:name="_Toc18509308"/>
      <w:bookmarkStart w:id="2322" w:name="_Toc219309699"/>
      <w:r w:rsidRPr="00264D5D">
        <w:t>Описание комплексного типа «tMSC_PBS_UBP2»</w:t>
      </w:r>
      <w:bookmarkEnd w:id="2320"/>
      <w:bookmarkEnd w:id="2321"/>
      <w:bookmarkEnd w:id="2322"/>
    </w:p>
    <w:p w14:paraId="072480EF" w14:textId="77777777" w:rsidR="00AD1F54" w:rsidRPr="00264D5D" w:rsidRDefault="00941227">
      <w:pPr>
        <w:pStyle w:val="GOSTNormal"/>
      </w:pPr>
      <w:r w:rsidRPr="00264D5D">
        <w:t>Описание комплексного типа «tMSC_PBS_UBP2» блоков «Получатель» и «Плательщик».</w:t>
      </w:r>
    </w:p>
    <w:p w14:paraId="1E73128A" w14:textId="34F05A7A" w:rsidR="00AD1F54" w:rsidRPr="00264D5D" w:rsidRDefault="001E5517">
      <w:pPr>
        <w:pStyle w:val="GOSTNameTable"/>
        <w:numPr>
          <w:ilvl w:val="0"/>
          <w:numId w:val="2"/>
        </w:numPr>
        <w:ind w:left="425" w:hanging="357"/>
      </w:pPr>
      <w:r w:rsidRPr="00264D5D">
        <w:rPr>
          <w:noProof/>
        </w:rPr>
        <w:lastRenderedPageBreak/>
        <w:fldChar w:fldCharType="begin"/>
      </w:r>
      <w:r w:rsidRPr="00264D5D">
        <w:rPr>
          <w:noProof/>
        </w:rPr>
        <w:instrText xml:space="preserve"> SEQ Таблица \* ARABIC </w:instrText>
      </w:r>
      <w:r w:rsidRPr="00264D5D">
        <w:rPr>
          <w:noProof/>
        </w:rPr>
        <w:fldChar w:fldCharType="separate"/>
      </w:r>
      <w:bookmarkStart w:id="2323" w:name="_Ref17447947"/>
      <w:bookmarkStart w:id="2324" w:name="_Toc15552418"/>
      <w:bookmarkStart w:id="2325" w:name="_Toc18509590"/>
      <w:bookmarkStart w:id="2326" w:name="_Toc219309262"/>
      <w:r w:rsidR="008D797C">
        <w:rPr>
          <w:noProof/>
        </w:rPr>
        <w:t>232</w:t>
      </w:r>
      <w:bookmarkEnd w:id="2323"/>
      <w:r w:rsidRPr="00264D5D">
        <w:rPr>
          <w:noProof/>
        </w:rPr>
        <w:fldChar w:fldCharType="end"/>
      </w:r>
      <w:r w:rsidR="00941227" w:rsidRPr="00264D5D">
        <w:t xml:space="preserve"> – Описание комплексного типа «tMSC_PBS_UBP2»</w:t>
      </w:r>
      <w:bookmarkEnd w:id="2324"/>
      <w:bookmarkEnd w:id="2325"/>
      <w:bookmarkEnd w:id="2326"/>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08D5A21E"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3F9AF713" w14:textId="77777777" w:rsidR="00AD1F54" w:rsidRPr="00264D5D" w:rsidRDefault="00941227">
            <w:pPr>
              <w:pStyle w:val="ASFKTableHead"/>
            </w:pPr>
            <w:r w:rsidRPr="00264D5D">
              <w:t>Наименование элемента</w:t>
            </w:r>
          </w:p>
        </w:tc>
        <w:tc>
          <w:tcPr>
            <w:tcW w:w="1701" w:type="dxa"/>
          </w:tcPr>
          <w:p w14:paraId="37055D8F" w14:textId="77777777" w:rsidR="00AD1F54" w:rsidRPr="00264D5D" w:rsidRDefault="00941227">
            <w:pPr>
              <w:pStyle w:val="ASFKTableHead"/>
            </w:pPr>
            <w:r w:rsidRPr="00264D5D">
              <w:t>Сокращенное наименование (код) элемента</w:t>
            </w:r>
          </w:p>
        </w:tc>
        <w:tc>
          <w:tcPr>
            <w:tcW w:w="567" w:type="dxa"/>
          </w:tcPr>
          <w:p w14:paraId="63E2FFA1" w14:textId="77777777" w:rsidR="00AD1F54" w:rsidRPr="00264D5D" w:rsidRDefault="00941227">
            <w:pPr>
              <w:pStyle w:val="ASFKTableHead"/>
            </w:pPr>
            <w:r w:rsidRPr="00264D5D">
              <w:t>Тип</w:t>
            </w:r>
          </w:p>
        </w:tc>
        <w:tc>
          <w:tcPr>
            <w:tcW w:w="1134" w:type="dxa"/>
          </w:tcPr>
          <w:p w14:paraId="1675A4AC" w14:textId="77777777" w:rsidR="00AD1F54" w:rsidRPr="00264D5D" w:rsidRDefault="00941227">
            <w:pPr>
              <w:pStyle w:val="ASFKTableHead"/>
            </w:pPr>
            <w:r w:rsidRPr="00264D5D">
              <w:t>Формат элемента</w:t>
            </w:r>
          </w:p>
        </w:tc>
        <w:tc>
          <w:tcPr>
            <w:tcW w:w="567" w:type="dxa"/>
          </w:tcPr>
          <w:p w14:paraId="3A3B2484" w14:textId="77777777" w:rsidR="00AD1F54" w:rsidRPr="00264D5D" w:rsidRDefault="00941227">
            <w:pPr>
              <w:pStyle w:val="ASFKTableHead"/>
            </w:pPr>
            <w:r w:rsidRPr="00264D5D">
              <w:t>Обязательность</w:t>
            </w:r>
          </w:p>
        </w:tc>
        <w:tc>
          <w:tcPr>
            <w:tcW w:w="3963" w:type="dxa"/>
          </w:tcPr>
          <w:p w14:paraId="09F4A11E" w14:textId="77777777" w:rsidR="00AD1F54" w:rsidRPr="00264D5D" w:rsidRDefault="00941227">
            <w:pPr>
              <w:pStyle w:val="ASFKTableHead"/>
            </w:pPr>
            <w:r w:rsidRPr="00264D5D">
              <w:t>Дополнительная информация</w:t>
            </w:r>
          </w:p>
        </w:tc>
      </w:tr>
      <w:tr w:rsidR="00AD1F54" w:rsidRPr="00264D5D" w14:paraId="6D309D66"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6B8FE71" w14:textId="77777777" w:rsidR="00AD1F54" w:rsidRPr="00264D5D" w:rsidRDefault="00941227">
            <w:pPr>
              <w:pStyle w:val="GOSTTablenorm"/>
            </w:pPr>
            <w:r w:rsidRPr="00264D5D">
              <w:t xml:space="preserve">Код по Сводному реестру </w:t>
            </w:r>
          </w:p>
        </w:tc>
        <w:tc>
          <w:tcPr>
            <w:tcW w:w="1701" w:type="dxa"/>
          </w:tcPr>
          <w:p w14:paraId="0205E89B" w14:textId="77777777" w:rsidR="00AD1F54" w:rsidRPr="00264D5D" w:rsidRDefault="00941227">
            <w:pPr>
              <w:pStyle w:val="GOSTTablenorm"/>
              <w:rPr>
                <w:lang w:val="en-US"/>
              </w:rPr>
            </w:pPr>
            <w:r w:rsidRPr="00264D5D">
              <w:rPr>
                <w:lang w:val="en-US"/>
              </w:rPr>
              <w:t>Cd</w:t>
            </w:r>
          </w:p>
        </w:tc>
        <w:tc>
          <w:tcPr>
            <w:tcW w:w="567" w:type="dxa"/>
          </w:tcPr>
          <w:p w14:paraId="37B93496" w14:textId="77777777" w:rsidR="00AD1F54" w:rsidRPr="00264D5D" w:rsidRDefault="00941227">
            <w:pPr>
              <w:pStyle w:val="GOSTTablenorm"/>
              <w:jc w:val="center"/>
            </w:pPr>
            <w:r w:rsidRPr="00264D5D">
              <w:t>П</w:t>
            </w:r>
          </w:p>
        </w:tc>
        <w:tc>
          <w:tcPr>
            <w:tcW w:w="1134" w:type="dxa"/>
          </w:tcPr>
          <w:p w14:paraId="572333C3" w14:textId="77777777" w:rsidR="00AD1F54" w:rsidRPr="00264D5D" w:rsidRDefault="00941227">
            <w:pPr>
              <w:pStyle w:val="GOSTTablenorm"/>
            </w:pPr>
            <w:r w:rsidRPr="00264D5D">
              <w:rPr>
                <w:lang w:val="en-US"/>
              </w:rPr>
              <w:t>Т(8)</w:t>
            </w:r>
          </w:p>
        </w:tc>
        <w:tc>
          <w:tcPr>
            <w:tcW w:w="567" w:type="dxa"/>
          </w:tcPr>
          <w:p w14:paraId="7C85A570" w14:textId="77777777" w:rsidR="00AD1F54" w:rsidRPr="00264D5D" w:rsidRDefault="00941227">
            <w:pPr>
              <w:pStyle w:val="GOSTTablenorm"/>
              <w:jc w:val="center"/>
            </w:pPr>
            <w:r w:rsidRPr="00264D5D">
              <w:t>Н</w:t>
            </w:r>
          </w:p>
        </w:tc>
        <w:tc>
          <w:tcPr>
            <w:tcW w:w="3963" w:type="dxa"/>
          </w:tcPr>
          <w:p w14:paraId="2E28C594" w14:textId="77777777" w:rsidR="00AD1F54" w:rsidRPr="00264D5D" w:rsidRDefault="00941227">
            <w:pPr>
              <w:pStyle w:val="GOSTTablenorm"/>
            </w:pPr>
            <w:r w:rsidRPr="00264D5D">
              <w:t>Указывается код по Сводному р</w:t>
            </w:r>
            <w:r w:rsidR="008279A4" w:rsidRPr="00264D5D">
              <w:t>еестру получателя (плательщика)</w:t>
            </w:r>
          </w:p>
        </w:tc>
      </w:tr>
      <w:tr w:rsidR="00AD1F54" w:rsidRPr="00264D5D" w14:paraId="49DD1F62"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D133BB3" w14:textId="77777777" w:rsidR="00AD1F54" w:rsidRPr="00264D5D" w:rsidRDefault="00941227">
            <w:pPr>
              <w:pStyle w:val="GOSTTablenorm"/>
            </w:pPr>
            <w:r w:rsidRPr="00264D5D">
              <w:t xml:space="preserve">Наименование </w:t>
            </w:r>
          </w:p>
        </w:tc>
        <w:tc>
          <w:tcPr>
            <w:tcW w:w="1701" w:type="dxa"/>
          </w:tcPr>
          <w:p w14:paraId="65E646B9" w14:textId="77777777" w:rsidR="00AD1F54" w:rsidRPr="00264D5D" w:rsidRDefault="00941227">
            <w:pPr>
              <w:pStyle w:val="GOSTTablenorm"/>
              <w:rPr>
                <w:lang w:val="en-US"/>
              </w:rPr>
            </w:pPr>
            <w:r w:rsidRPr="00264D5D">
              <w:rPr>
                <w:lang w:val="en-US"/>
              </w:rPr>
              <w:t>Nm</w:t>
            </w:r>
          </w:p>
        </w:tc>
        <w:tc>
          <w:tcPr>
            <w:tcW w:w="567" w:type="dxa"/>
          </w:tcPr>
          <w:p w14:paraId="4E341B6C" w14:textId="77777777" w:rsidR="00AD1F54" w:rsidRPr="00264D5D" w:rsidRDefault="00941227">
            <w:pPr>
              <w:pStyle w:val="GOSTTablenorm"/>
              <w:jc w:val="center"/>
            </w:pPr>
            <w:r w:rsidRPr="00264D5D">
              <w:t>П</w:t>
            </w:r>
          </w:p>
        </w:tc>
        <w:tc>
          <w:tcPr>
            <w:tcW w:w="1134" w:type="dxa"/>
          </w:tcPr>
          <w:p w14:paraId="400CCD82" w14:textId="77777777" w:rsidR="00AD1F54" w:rsidRPr="00264D5D" w:rsidRDefault="00941227">
            <w:pPr>
              <w:pStyle w:val="GOSTTablenorm"/>
            </w:pPr>
            <w:r w:rsidRPr="00264D5D">
              <w:t>Т(1-2000)</w:t>
            </w:r>
          </w:p>
        </w:tc>
        <w:tc>
          <w:tcPr>
            <w:tcW w:w="567" w:type="dxa"/>
          </w:tcPr>
          <w:p w14:paraId="4634D4CF" w14:textId="77777777" w:rsidR="00AD1F54" w:rsidRPr="00264D5D" w:rsidRDefault="00941227">
            <w:pPr>
              <w:pStyle w:val="GOSTTablenorm"/>
              <w:jc w:val="center"/>
            </w:pPr>
            <w:r w:rsidRPr="00264D5D">
              <w:t>Н</w:t>
            </w:r>
          </w:p>
        </w:tc>
        <w:tc>
          <w:tcPr>
            <w:tcW w:w="3963" w:type="dxa"/>
          </w:tcPr>
          <w:p w14:paraId="73D4E835" w14:textId="77777777" w:rsidR="00AD1F54" w:rsidRPr="00264D5D" w:rsidRDefault="00941227">
            <w:pPr>
              <w:pStyle w:val="GOSTTablenorm"/>
            </w:pPr>
            <w:r w:rsidRPr="00264D5D">
              <w:t>Указывается наимен</w:t>
            </w:r>
            <w:r w:rsidR="008279A4" w:rsidRPr="00264D5D">
              <w:t>ование получателя (плательщика)</w:t>
            </w:r>
          </w:p>
        </w:tc>
      </w:tr>
    </w:tbl>
    <w:p w14:paraId="4309BC42" w14:textId="77777777" w:rsidR="00AD1F54" w:rsidRPr="00264D5D" w:rsidRDefault="00941227">
      <w:pPr>
        <w:pStyle w:val="31"/>
      </w:pPr>
      <w:bookmarkStart w:id="2327" w:name="_Toc15552301"/>
      <w:bookmarkStart w:id="2328" w:name="_Toc18509309"/>
      <w:bookmarkStart w:id="2329" w:name="_Toc219309700"/>
      <w:r w:rsidRPr="00264D5D">
        <w:t>Описание комплексного типа «tMSC_GRBS1»</w:t>
      </w:r>
      <w:bookmarkEnd w:id="2327"/>
      <w:bookmarkEnd w:id="2328"/>
      <w:bookmarkEnd w:id="2329"/>
    </w:p>
    <w:p w14:paraId="6787F8A8" w14:textId="77777777" w:rsidR="00AD1F54" w:rsidRPr="00264D5D" w:rsidRDefault="00941227">
      <w:pPr>
        <w:pStyle w:val="GOSTNormal"/>
      </w:pPr>
      <w:r w:rsidRPr="00264D5D">
        <w:t>Описание комплексного типа «</w:t>
      </w:r>
      <w:bookmarkStart w:id="2330" w:name="OLE_LINK181"/>
      <w:r w:rsidRPr="00264D5D">
        <w:rPr>
          <w:lang w:val="en-US"/>
        </w:rPr>
        <w:t>tMSC</w:t>
      </w:r>
      <w:r w:rsidRPr="00264D5D">
        <w:t>_</w:t>
      </w:r>
      <w:r w:rsidRPr="00264D5D">
        <w:rPr>
          <w:lang w:val="en-US"/>
        </w:rPr>
        <w:t>GRBS</w:t>
      </w:r>
      <w:r w:rsidRPr="00264D5D">
        <w:t>1</w:t>
      </w:r>
      <w:bookmarkEnd w:id="2330"/>
      <w:r w:rsidRPr="00264D5D">
        <w:t>» блока «ГРБС».</w:t>
      </w:r>
    </w:p>
    <w:p w14:paraId="665B2636" w14:textId="02BAA5D9" w:rsidR="00AD1F54" w:rsidRPr="00264D5D" w:rsidRDefault="001E5517">
      <w:pPr>
        <w:pStyle w:val="GOSTNameTable"/>
        <w:numPr>
          <w:ilvl w:val="0"/>
          <w:numId w:val="2"/>
        </w:numPr>
        <w:ind w:left="425" w:hanging="357"/>
      </w:pPr>
      <w:r w:rsidRPr="00264D5D">
        <w:rPr>
          <w:noProof/>
        </w:rPr>
        <w:fldChar w:fldCharType="begin"/>
      </w:r>
      <w:r w:rsidRPr="00264D5D">
        <w:rPr>
          <w:noProof/>
        </w:rPr>
        <w:instrText xml:space="preserve"> SEQ Таблица \* ARABIC </w:instrText>
      </w:r>
      <w:r w:rsidRPr="00264D5D">
        <w:rPr>
          <w:noProof/>
        </w:rPr>
        <w:fldChar w:fldCharType="separate"/>
      </w:r>
      <w:bookmarkStart w:id="2331" w:name="_Ref17447944"/>
      <w:bookmarkStart w:id="2332" w:name="_Toc15552419"/>
      <w:bookmarkStart w:id="2333" w:name="_Toc18509591"/>
      <w:bookmarkStart w:id="2334" w:name="_Toc219309263"/>
      <w:r w:rsidR="008D797C">
        <w:rPr>
          <w:noProof/>
        </w:rPr>
        <w:t>233</w:t>
      </w:r>
      <w:bookmarkEnd w:id="2331"/>
      <w:r w:rsidRPr="00264D5D">
        <w:rPr>
          <w:noProof/>
        </w:rPr>
        <w:fldChar w:fldCharType="end"/>
      </w:r>
      <w:r w:rsidR="00941227" w:rsidRPr="00264D5D">
        <w:t xml:space="preserve"> – Описание комплексного типа «tMSC_GRBS1»</w:t>
      </w:r>
      <w:bookmarkEnd w:id="2332"/>
      <w:bookmarkEnd w:id="2333"/>
      <w:bookmarkEnd w:id="2334"/>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4070B92A"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51D5D602" w14:textId="77777777" w:rsidR="00AD1F54" w:rsidRPr="00264D5D" w:rsidRDefault="00941227">
            <w:pPr>
              <w:pStyle w:val="ASFKTableHead"/>
            </w:pPr>
            <w:r w:rsidRPr="00264D5D">
              <w:t>Наименование элемента</w:t>
            </w:r>
          </w:p>
        </w:tc>
        <w:tc>
          <w:tcPr>
            <w:tcW w:w="1701" w:type="dxa"/>
          </w:tcPr>
          <w:p w14:paraId="137FF640" w14:textId="77777777" w:rsidR="00AD1F54" w:rsidRPr="00264D5D" w:rsidRDefault="00941227">
            <w:pPr>
              <w:pStyle w:val="ASFKTableHead"/>
            </w:pPr>
            <w:r w:rsidRPr="00264D5D">
              <w:t>Сокращенное наименование (код) элемента</w:t>
            </w:r>
          </w:p>
        </w:tc>
        <w:tc>
          <w:tcPr>
            <w:tcW w:w="567" w:type="dxa"/>
          </w:tcPr>
          <w:p w14:paraId="2F16C1D4" w14:textId="77777777" w:rsidR="00AD1F54" w:rsidRPr="00264D5D" w:rsidRDefault="00941227">
            <w:pPr>
              <w:pStyle w:val="ASFKTableHead"/>
            </w:pPr>
            <w:r w:rsidRPr="00264D5D">
              <w:t>Тип</w:t>
            </w:r>
          </w:p>
        </w:tc>
        <w:tc>
          <w:tcPr>
            <w:tcW w:w="1134" w:type="dxa"/>
          </w:tcPr>
          <w:p w14:paraId="1716ADEC" w14:textId="77777777" w:rsidR="00AD1F54" w:rsidRPr="00264D5D" w:rsidRDefault="00941227">
            <w:pPr>
              <w:pStyle w:val="ASFKTableHead"/>
            </w:pPr>
            <w:r w:rsidRPr="00264D5D">
              <w:t>Формат элемента</w:t>
            </w:r>
          </w:p>
        </w:tc>
        <w:tc>
          <w:tcPr>
            <w:tcW w:w="567" w:type="dxa"/>
          </w:tcPr>
          <w:p w14:paraId="5C1AEA49" w14:textId="77777777" w:rsidR="00AD1F54" w:rsidRPr="00264D5D" w:rsidRDefault="00941227">
            <w:pPr>
              <w:pStyle w:val="ASFKTableHead"/>
            </w:pPr>
            <w:r w:rsidRPr="00264D5D">
              <w:t>Обязательность</w:t>
            </w:r>
          </w:p>
        </w:tc>
        <w:tc>
          <w:tcPr>
            <w:tcW w:w="3963" w:type="dxa"/>
          </w:tcPr>
          <w:p w14:paraId="0F9ACB2A" w14:textId="77777777" w:rsidR="00AD1F54" w:rsidRPr="00264D5D" w:rsidRDefault="00941227">
            <w:pPr>
              <w:pStyle w:val="ASFKTableHead"/>
            </w:pPr>
            <w:r w:rsidRPr="00264D5D">
              <w:t>Дополнительная информация</w:t>
            </w:r>
          </w:p>
        </w:tc>
      </w:tr>
      <w:tr w:rsidR="00AD1F54" w:rsidRPr="00264D5D" w14:paraId="05008D86"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F7C4EDC" w14:textId="77777777" w:rsidR="00AD1F54" w:rsidRPr="00264D5D" w:rsidRDefault="00941227">
            <w:pPr>
              <w:pStyle w:val="GOSTTablenorm"/>
            </w:pPr>
            <w:r w:rsidRPr="00264D5D">
              <w:t>Глава по БК</w:t>
            </w:r>
          </w:p>
        </w:tc>
        <w:tc>
          <w:tcPr>
            <w:tcW w:w="1701" w:type="dxa"/>
          </w:tcPr>
          <w:p w14:paraId="1EEA1628" w14:textId="77777777" w:rsidR="00AD1F54" w:rsidRPr="00264D5D" w:rsidRDefault="00941227">
            <w:pPr>
              <w:pStyle w:val="GOSTTablenorm"/>
            </w:pPr>
            <w:r w:rsidRPr="00264D5D">
              <w:t>Cd</w:t>
            </w:r>
          </w:p>
        </w:tc>
        <w:tc>
          <w:tcPr>
            <w:tcW w:w="567" w:type="dxa"/>
          </w:tcPr>
          <w:p w14:paraId="1560B3E8" w14:textId="77777777" w:rsidR="00AD1F54" w:rsidRPr="00264D5D" w:rsidRDefault="00941227">
            <w:pPr>
              <w:pStyle w:val="GOSTTablenorm"/>
              <w:jc w:val="center"/>
            </w:pPr>
            <w:r w:rsidRPr="00264D5D">
              <w:t>П</w:t>
            </w:r>
          </w:p>
        </w:tc>
        <w:tc>
          <w:tcPr>
            <w:tcW w:w="1134" w:type="dxa"/>
          </w:tcPr>
          <w:p w14:paraId="39E287AD" w14:textId="77777777" w:rsidR="00AD1F54" w:rsidRPr="00264D5D" w:rsidRDefault="00941227">
            <w:pPr>
              <w:pStyle w:val="GOSTTablenorm"/>
            </w:pPr>
            <w:r w:rsidRPr="00264D5D">
              <w:t>Т(3)</w:t>
            </w:r>
          </w:p>
        </w:tc>
        <w:tc>
          <w:tcPr>
            <w:tcW w:w="567" w:type="dxa"/>
          </w:tcPr>
          <w:p w14:paraId="427BBAC2" w14:textId="77777777" w:rsidR="00AD1F54" w:rsidRPr="00264D5D" w:rsidRDefault="00941227">
            <w:pPr>
              <w:pStyle w:val="GOSTTablenorm"/>
              <w:jc w:val="center"/>
            </w:pPr>
            <w:r w:rsidRPr="00264D5D">
              <w:t>О</w:t>
            </w:r>
          </w:p>
        </w:tc>
        <w:tc>
          <w:tcPr>
            <w:tcW w:w="3963" w:type="dxa"/>
          </w:tcPr>
          <w:p w14:paraId="1FB8862F" w14:textId="77777777" w:rsidR="00AD1F54" w:rsidRPr="00264D5D" w:rsidRDefault="00941227">
            <w:pPr>
              <w:pStyle w:val="GOSTTablenorm"/>
            </w:pPr>
            <w:r w:rsidRPr="00264D5D">
              <w:t>Указывается код по БК ГРБС, в ведении которого находит</w:t>
            </w:r>
            <w:r w:rsidR="008279A4" w:rsidRPr="00264D5D">
              <w:t>ся клиент, формирующий документ</w:t>
            </w:r>
          </w:p>
        </w:tc>
      </w:tr>
      <w:tr w:rsidR="00AD1F54" w:rsidRPr="00264D5D" w14:paraId="3B85BD29"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0141F5FF" w14:textId="77777777" w:rsidR="00AD1F54" w:rsidRPr="00264D5D" w:rsidRDefault="00941227">
            <w:pPr>
              <w:pStyle w:val="GOSTTablenorm"/>
            </w:pPr>
            <w:r w:rsidRPr="00264D5D">
              <w:t>Наименование ГРБС</w:t>
            </w:r>
          </w:p>
        </w:tc>
        <w:tc>
          <w:tcPr>
            <w:tcW w:w="1701" w:type="dxa"/>
          </w:tcPr>
          <w:p w14:paraId="5A86E079" w14:textId="77777777" w:rsidR="00AD1F54" w:rsidRPr="00264D5D" w:rsidRDefault="00941227">
            <w:pPr>
              <w:pStyle w:val="GOSTTablenorm"/>
            </w:pPr>
            <w:r w:rsidRPr="00264D5D">
              <w:t>Nm</w:t>
            </w:r>
          </w:p>
        </w:tc>
        <w:tc>
          <w:tcPr>
            <w:tcW w:w="567" w:type="dxa"/>
          </w:tcPr>
          <w:p w14:paraId="035E5B94" w14:textId="77777777" w:rsidR="00AD1F54" w:rsidRPr="00264D5D" w:rsidRDefault="00941227">
            <w:pPr>
              <w:pStyle w:val="GOSTTablenorm"/>
              <w:jc w:val="center"/>
            </w:pPr>
            <w:r w:rsidRPr="00264D5D">
              <w:t>П</w:t>
            </w:r>
          </w:p>
        </w:tc>
        <w:tc>
          <w:tcPr>
            <w:tcW w:w="1134" w:type="dxa"/>
          </w:tcPr>
          <w:p w14:paraId="55EBDEA2" w14:textId="77777777" w:rsidR="00AD1F54" w:rsidRPr="00264D5D" w:rsidRDefault="00941227">
            <w:pPr>
              <w:pStyle w:val="GOSTTablenorm"/>
            </w:pPr>
            <w:r w:rsidRPr="00264D5D">
              <w:t>Т(1-2000)</w:t>
            </w:r>
          </w:p>
        </w:tc>
        <w:tc>
          <w:tcPr>
            <w:tcW w:w="567" w:type="dxa"/>
          </w:tcPr>
          <w:p w14:paraId="54C8CA96" w14:textId="77777777" w:rsidR="00AD1F54" w:rsidRPr="00264D5D" w:rsidRDefault="00941227">
            <w:pPr>
              <w:pStyle w:val="GOSTTablenorm"/>
              <w:jc w:val="center"/>
            </w:pPr>
            <w:r w:rsidRPr="00264D5D">
              <w:t>О</w:t>
            </w:r>
          </w:p>
        </w:tc>
        <w:tc>
          <w:tcPr>
            <w:tcW w:w="3963" w:type="dxa"/>
          </w:tcPr>
          <w:p w14:paraId="3610BF40" w14:textId="77777777" w:rsidR="00AD1F54" w:rsidRPr="00264D5D" w:rsidRDefault="00941227">
            <w:pPr>
              <w:pStyle w:val="GOSTTablenorm"/>
            </w:pPr>
            <w:r w:rsidRPr="00264D5D">
              <w:t>Указывается наименование ГРБС, в ведении которого находит</w:t>
            </w:r>
            <w:r w:rsidR="008279A4" w:rsidRPr="00264D5D">
              <w:t>ся клиент, формирующий документ</w:t>
            </w:r>
          </w:p>
        </w:tc>
      </w:tr>
    </w:tbl>
    <w:p w14:paraId="14B6AF9B" w14:textId="77777777" w:rsidR="00AD1F54" w:rsidRPr="00264D5D" w:rsidRDefault="00941227">
      <w:pPr>
        <w:pStyle w:val="31"/>
      </w:pPr>
      <w:bookmarkStart w:id="2335" w:name="_Toc15552302"/>
      <w:bookmarkStart w:id="2336" w:name="_Toc18509310"/>
      <w:bookmarkStart w:id="2337" w:name="_Toc219309701"/>
      <w:r w:rsidRPr="00264D5D">
        <w:t>Описание комплексного типа «tUnt»</w:t>
      </w:r>
      <w:bookmarkEnd w:id="2335"/>
      <w:bookmarkEnd w:id="2336"/>
      <w:bookmarkEnd w:id="2337"/>
    </w:p>
    <w:p w14:paraId="3F7B7B64" w14:textId="77777777" w:rsidR="00AD1F54" w:rsidRPr="00264D5D" w:rsidRDefault="00941227">
      <w:pPr>
        <w:pStyle w:val="GOSTNormal"/>
      </w:pPr>
      <w:r w:rsidRPr="00264D5D">
        <w:t>Описание комплексного типа «</w:t>
      </w:r>
      <w:r w:rsidRPr="00264D5D">
        <w:rPr>
          <w:lang w:val="en-US"/>
        </w:rPr>
        <w:t>tUnt</w:t>
      </w:r>
      <w:r w:rsidRPr="00264D5D">
        <w:t>» блока «Единица измерения».</w:t>
      </w:r>
    </w:p>
    <w:p w14:paraId="7F397A00" w14:textId="5D16A3C4" w:rsidR="00AD1F54" w:rsidRPr="00264D5D" w:rsidRDefault="00941227">
      <w:pPr>
        <w:pStyle w:val="GOSTNameTable"/>
        <w:numPr>
          <w:ilvl w:val="0"/>
          <w:numId w:val="2"/>
        </w:numPr>
        <w:ind w:left="425" w:hanging="357"/>
        <w:rPr>
          <w:rFonts w:eastAsia="Calibri"/>
        </w:rPr>
      </w:pPr>
      <w:r w:rsidRPr="00264D5D">
        <w:rPr>
          <w:rFonts w:eastAsia="Calibri"/>
        </w:rPr>
        <w:fldChar w:fldCharType="begin"/>
      </w:r>
      <w:r w:rsidRPr="00264D5D">
        <w:rPr>
          <w:rFonts w:eastAsia="Calibri"/>
        </w:rPr>
        <w:instrText xml:space="preserve"> SEQ Таблица \* ARABIC </w:instrText>
      </w:r>
      <w:r w:rsidRPr="00264D5D">
        <w:rPr>
          <w:rFonts w:eastAsia="Calibri"/>
        </w:rPr>
        <w:fldChar w:fldCharType="separate"/>
      </w:r>
      <w:bookmarkStart w:id="2338" w:name="_Ref17447945"/>
      <w:bookmarkStart w:id="2339" w:name="_Toc15552420"/>
      <w:bookmarkStart w:id="2340" w:name="_Toc18509592"/>
      <w:bookmarkStart w:id="2341" w:name="_Toc219309264"/>
      <w:r w:rsidR="008D797C">
        <w:rPr>
          <w:rFonts w:eastAsia="Calibri"/>
          <w:noProof/>
        </w:rPr>
        <w:t>234</w:t>
      </w:r>
      <w:bookmarkEnd w:id="2338"/>
      <w:r w:rsidRPr="00264D5D">
        <w:rPr>
          <w:rFonts w:eastAsia="Calibri"/>
        </w:rPr>
        <w:fldChar w:fldCharType="end"/>
      </w:r>
      <w:r w:rsidRPr="00264D5D">
        <w:rPr>
          <w:rFonts w:eastAsia="Calibri"/>
        </w:rPr>
        <w:t xml:space="preserve"> – Описание комплексного типа «</w:t>
      </w:r>
      <w:r w:rsidRPr="00264D5D">
        <w:rPr>
          <w:lang w:val="en-US"/>
        </w:rPr>
        <w:t>tUnt</w:t>
      </w:r>
      <w:r w:rsidRPr="00264D5D">
        <w:rPr>
          <w:rFonts w:eastAsia="Calibri"/>
        </w:rPr>
        <w:t>»</w:t>
      </w:r>
      <w:bookmarkEnd w:id="2339"/>
      <w:bookmarkEnd w:id="2340"/>
      <w:bookmarkEnd w:id="2341"/>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1A8CBC0B"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5B0A4790" w14:textId="77777777" w:rsidR="00AD1F54" w:rsidRPr="00264D5D" w:rsidRDefault="00941227">
            <w:pPr>
              <w:pStyle w:val="ASFKTableHead"/>
            </w:pPr>
            <w:r w:rsidRPr="00264D5D">
              <w:t>Наименование элемента</w:t>
            </w:r>
          </w:p>
        </w:tc>
        <w:tc>
          <w:tcPr>
            <w:tcW w:w="1701" w:type="dxa"/>
          </w:tcPr>
          <w:p w14:paraId="34683901" w14:textId="77777777" w:rsidR="00AD1F54" w:rsidRPr="00264D5D" w:rsidRDefault="00941227">
            <w:pPr>
              <w:pStyle w:val="ASFKTableHead"/>
            </w:pPr>
            <w:r w:rsidRPr="00264D5D">
              <w:t>Сокращенное наименование (код) элемента</w:t>
            </w:r>
          </w:p>
        </w:tc>
        <w:tc>
          <w:tcPr>
            <w:tcW w:w="567" w:type="dxa"/>
          </w:tcPr>
          <w:p w14:paraId="1D5F9F1A" w14:textId="77777777" w:rsidR="00AD1F54" w:rsidRPr="00264D5D" w:rsidRDefault="00941227">
            <w:pPr>
              <w:pStyle w:val="ASFKTableHead"/>
            </w:pPr>
            <w:r w:rsidRPr="00264D5D">
              <w:t>Тип</w:t>
            </w:r>
          </w:p>
        </w:tc>
        <w:tc>
          <w:tcPr>
            <w:tcW w:w="1134" w:type="dxa"/>
          </w:tcPr>
          <w:p w14:paraId="786763B6" w14:textId="77777777" w:rsidR="00AD1F54" w:rsidRPr="00264D5D" w:rsidRDefault="00941227">
            <w:pPr>
              <w:pStyle w:val="ASFKTableHead"/>
            </w:pPr>
            <w:r w:rsidRPr="00264D5D">
              <w:t>Формат элемента</w:t>
            </w:r>
          </w:p>
        </w:tc>
        <w:tc>
          <w:tcPr>
            <w:tcW w:w="567" w:type="dxa"/>
          </w:tcPr>
          <w:p w14:paraId="316930F5" w14:textId="77777777" w:rsidR="00AD1F54" w:rsidRPr="00264D5D" w:rsidRDefault="00941227">
            <w:pPr>
              <w:pStyle w:val="ASFKTableHead"/>
            </w:pPr>
            <w:r w:rsidRPr="00264D5D">
              <w:t>Обязательность</w:t>
            </w:r>
          </w:p>
        </w:tc>
        <w:tc>
          <w:tcPr>
            <w:tcW w:w="3963" w:type="dxa"/>
          </w:tcPr>
          <w:p w14:paraId="2B87F9F3" w14:textId="77777777" w:rsidR="00AD1F54" w:rsidRPr="00264D5D" w:rsidRDefault="00941227">
            <w:pPr>
              <w:pStyle w:val="ASFKTableHead"/>
            </w:pPr>
            <w:r w:rsidRPr="00264D5D">
              <w:t>Дополнительная информация</w:t>
            </w:r>
          </w:p>
        </w:tc>
      </w:tr>
      <w:tr w:rsidR="00AD1F54" w:rsidRPr="00264D5D" w14:paraId="7E97EC4B"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416A087" w14:textId="77777777" w:rsidR="00AD1F54" w:rsidRPr="00264D5D" w:rsidRDefault="00941227">
            <w:pPr>
              <w:pStyle w:val="GOSTTablenorm"/>
            </w:pPr>
            <w:r w:rsidRPr="00264D5D">
              <w:t>Код по ОКЕИ</w:t>
            </w:r>
          </w:p>
        </w:tc>
        <w:tc>
          <w:tcPr>
            <w:tcW w:w="1701" w:type="dxa"/>
          </w:tcPr>
          <w:p w14:paraId="13192D2B" w14:textId="77777777" w:rsidR="00AD1F54" w:rsidRPr="00264D5D" w:rsidRDefault="00941227">
            <w:pPr>
              <w:pStyle w:val="GOSTTablenorm"/>
              <w:rPr>
                <w:lang w:val="en-US"/>
              </w:rPr>
            </w:pPr>
            <w:r w:rsidRPr="00264D5D">
              <w:rPr>
                <w:lang w:val="en-US"/>
              </w:rPr>
              <w:t>OKEI</w:t>
            </w:r>
          </w:p>
        </w:tc>
        <w:tc>
          <w:tcPr>
            <w:tcW w:w="567" w:type="dxa"/>
          </w:tcPr>
          <w:p w14:paraId="47E68118" w14:textId="77777777" w:rsidR="00AD1F54" w:rsidRPr="00264D5D" w:rsidRDefault="00941227">
            <w:pPr>
              <w:pStyle w:val="GOSTTablenorm"/>
              <w:jc w:val="center"/>
            </w:pPr>
            <w:r w:rsidRPr="00264D5D">
              <w:t>П</w:t>
            </w:r>
          </w:p>
        </w:tc>
        <w:tc>
          <w:tcPr>
            <w:tcW w:w="1134" w:type="dxa"/>
          </w:tcPr>
          <w:p w14:paraId="70F35194" w14:textId="77777777" w:rsidR="00AD1F54" w:rsidRPr="00264D5D" w:rsidRDefault="00941227">
            <w:pPr>
              <w:pStyle w:val="GOSTTablenorm"/>
            </w:pPr>
            <w:r w:rsidRPr="00264D5D">
              <w:t>Т(3)</w:t>
            </w:r>
          </w:p>
        </w:tc>
        <w:tc>
          <w:tcPr>
            <w:tcW w:w="567" w:type="dxa"/>
          </w:tcPr>
          <w:p w14:paraId="418D8F21" w14:textId="77777777" w:rsidR="00AD1F54" w:rsidRPr="00264D5D" w:rsidRDefault="00941227">
            <w:pPr>
              <w:pStyle w:val="GOSTTablenorm"/>
              <w:jc w:val="center"/>
            </w:pPr>
            <w:r w:rsidRPr="00264D5D">
              <w:t>О</w:t>
            </w:r>
          </w:p>
        </w:tc>
        <w:tc>
          <w:tcPr>
            <w:tcW w:w="3963" w:type="dxa"/>
          </w:tcPr>
          <w:p w14:paraId="6EB8C245" w14:textId="77777777" w:rsidR="008279A4" w:rsidRPr="00264D5D" w:rsidRDefault="00941227">
            <w:pPr>
              <w:pStyle w:val="GOSTTablenorm"/>
            </w:pPr>
            <w:r w:rsidRPr="00264D5D">
              <w:t>Указывается код по О</w:t>
            </w:r>
            <w:r w:rsidR="008279A4" w:rsidRPr="00264D5D">
              <w:t xml:space="preserve">КЕИ. </w:t>
            </w:r>
          </w:p>
          <w:p w14:paraId="4101D6BD" w14:textId="77777777" w:rsidR="00AD1F54" w:rsidRPr="00264D5D" w:rsidRDefault="008279A4">
            <w:pPr>
              <w:pStyle w:val="GOSTTablenorm"/>
            </w:pPr>
            <w:r w:rsidRPr="00264D5D">
              <w:t>Указывается значение «383»</w:t>
            </w:r>
          </w:p>
        </w:tc>
      </w:tr>
      <w:tr w:rsidR="00AD1F54" w:rsidRPr="00264D5D" w14:paraId="7808A5DF"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2550FF12" w14:textId="77777777" w:rsidR="00AD1F54" w:rsidRPr="00264D5D" w:rsidRDefault="00941227">
            <w:pPr>
              <w:pStyle w:val="GOSTTablenorm"/>
            </w:pPr>
            <w:r w:rsidRPr="00264D5D">
              <w:t>Наименование единицы измерения</w:t>
            </w:r>
          </w:p>
        </w:tc>
        <w:tc>
          <w:tcPr>
            <w:tcW w:w="1701" w:type="dxa"/>
          </w:tcPr>
          <w:p w14:paraId="2F5618E7" w14:textId="77777777" w:rsidR="00AD1F54" w:rsidRPr="00264D5D" w:rsidRDefault="00941227">
            <w:pPr>
              <w:pStyle w:val="GOSTTablenorm"/>
              <w:rPr>
                <w:lang w:val="en-US"/>
              </w:rPr>
            </w:pPr>
            <w:r w:rsidRPr="00264D5D">
              <w:rPr>
                <w:lang w:val="en-US"/>
              </w:rPr>
              <w:t>Nm</w:t>
            </w:r>
          </w:p>
        </w:tc>
        <w:tc>
          <w:tcPr>
            <w:tcW w:w="567" w:type="dxa"/>
          </w:tcPr>
          <w:p w14:paraId="150614B6" w14:textId="77777777" w:rsidR="00AD1F54" w:rsidRPr="00264D5D" w:rsidRDefault="00941227">
            <w:pPr>
              <w:pStyle w:val="GOSTTablenorm"/>
              <w:jc w:val="center"/>
            </w:pPr>
            <w:r w:rsidRPr="00264D5D">
              <w:t>П</w:t>
            </w:r>
          </w:p>
        </w:tc>
        <w:tc>
          <w:tcPr>
            <w:tcW w:w="1134" w:type="dxa"/>
          </w:tcPr>
          <w:p w14:paraId="255545D6" w14:textId="77777777" w:rsidR="00AD1F54" w:rsidRPr="00264D5D" w:rsidRDefault="00941227">
            <w:pPr>
              <w:pStyle w:val="GOSTTablenorm"/>
            </w:pPr>
            <w:r w:rsidRPr="00264D5D">
              <w:t>Т(1-50)</w:t>
            </w:r>
          </w:p>
        </w:tc>
        <w:tc>
          <w:tcPr>
            <w:tcW w:w="567" w:type="dxa"/>
          </w:tcPr>
          <w:p w14:paraId="5364F3AA" w14:textId="77777777" w:rsidR="00AD1F54" w:rsidRPr="00264D5D" w:rsidRDefault="00941227">
            <w:pPr>
              <w:pStyle w:val="GOSTTablenorm"/>
              <w:jc w:val="center"/>
            </w:pPr>
            <w:r w:rsidRPr="00264D5D">
              <w:t>О</w:t>
            </w:r>
          </w:p>
        </w:tc>
        <w:tc>
          <w:tcPr>
            <w:tcW w:w="3963" w:type="dxa"/>
          </w:tcPr>
          <w:p w14:paraId="62E4A130" w14:textId="77777777" w:rsidR="00AD1F54" w:rsidRPr="00264D5D" w:rsidRDefault="00941227">
            <w:pPr>
              <w:pStyle w:val="GOSTTablenorm"/>
            </w:pPr>
            <w:r w:rsidRPr="00264D5D">
              <w:t>Указывается значение «руб (с точностью</w:t>
            </w:r>
            <w:r w:rsidR="008279A4" w:rsidRPr="00264D5D">
              <w:t xml:space="preserve"> до второго десятичного знака)»</w:t>
            </w:r>
          </w:p>
        </w:tc>
      </w:tr>
    </w:tbl>
    <w:p w14:paraId="7ED04A61" w14:textId="77777777" w:rsidR="00AD1F54" w:rsidRPr="00264D5D" w:rsidRDefault="00941227">
      <w:pPr>
        <w:pStyle w:val="31"/>
      </w:pPr>
      <w:bookmarkStart w:id="2342" w:name="_Toc15552303"/>
      <w:bookmarkStart w:id="2343" w:name="_Toc18509311"/>
      <w:bookmarkStart w:id="2344" w:name="_Toc219309702"/>
      <w:r w:rsidRPr="00264D5D">
        <w:t>Описание комплексного типа «tSGNNmPs»</w:t>
      </w:r>
      <w:bookmarkEnd w:id="2342"/>
      <w:bookmarkEnd w:id="2343"/>
      <w:bookmarkEnd w:id="2344"/>
    </w:p>
    <w:p w14:paraId="17C25A82" w14:textId="77777777" w:rsidR="00AD1F54" w:rsidRPr="00264D5D" w:rsidRDefault="00941227">
      <w:pPr>
        <w:pStyle w:val="GOSTNormal"/>
      </w:pPr>
      <w:r w:rsidRPr="00264D5D">
        <w:t>Описание комплексного типа «tSGNNmPs» блоков «Руководитель» и «Главный бухгалтер».</w:t>
      </w:r>
    </w:p>
    <w:p w14:paraId="1616FD07" w14:textId="369340A1" w:rsidR="00AD1F54" w:rsidRPr="00264D5D" w:rsidRDefault="00941227">
      <w:pPr>
        <w:pStyle w:val="GOSTNameTable"/>
        <w:numPr>
          <w:ilvl w:val="0"/>
          <w:numId w:val="2"/>
        </w:numPr>
        <w:ind w:left="425" w:hanging="357"/>
        <w:rPr>
          <w:rFonts w:eastAsia="Calibri"/>
        </w:rPr>
      </w:pPr>
      <w:r w:rsidRPr="00264D5D">
        <w:rPr>
          <w:rFonts w:eastAsia="Calibri"/>
        </w:rPr>
        <w:lastRenderedPageBreak/>
        <w:fldChar w:fldCharType="begin"/>
      </w:r>
      <w:r w:rsidRPr="00264D5D">
        <w:rPr>
          <w:rFonts w:eastAsia="Calibri"/>
        </w:rPr>
        <w:instrText>SEQ Таблица \* ARABIC</w:instrText>
      </w:r>
      <w:r w:rsidRPr="00264D5D">
        <w:rPr>
          <w:rFonts w:eastAsia="Calibri"/>
        </w:rPr>
        <w:fldChar w:fldCharType="separate"/>
      </w:r>
      <w:bookmarkStart w:id="2345" w:name="_Ref17447949"/>
      <w:bookmarkStart w:id="2346" w:name="_Toc15552421"/>
      <w:bookmarkStart w:id="2347" w:name="_Toc18509593"/>
      <w:bookmarkStart w:id="2348" w:name="_Toc219309265"/>
      <w:r w:rsidR="008D797C">
        <w:rPr>
          <w:rFonts w:eastAsia="Calibri"/>
          <w:noProof/>
        </w:rPr>
        <w:t>235</w:t>
      </w:r>
      <w:bookmarkEnd w:id="2345"/>
      <w:r w:rsidRPr="00264D5D">
        <w:rPr>
          <w:rFonts w:eastAsia="Calibri"/>
        </w:rPr>
        <w:fldChar w:fldCharType="end"/>
      </w:r>
      <w:r w:rsidRPr="00264D5D">
        <w:rPr>
          <w:rFonts w:eastAsia="Calibri"/>
        </w:rPr>
        <w:t xml:space="preserve"> – Описание комплексного типа «tSGNNmPs»</w:t>
      </w:r>
      <w:bookmarkEnd w:id="2346"/>
      <w:bookmarkEnd w:id="2347"/>
      <w:bookmarkEnd w:id="2348"/>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3C4D7D2E"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0AF5BA2E" w14:textId="77777777" w:rsidR="00AD1F54" w:rsidRPr="00264D5D" w:rsidRDefault="00941227">
            <w:pPr>
              <w:pStyle w:val="ASFKTableHead"/>
            </w:pPr>
            <w:r w:rsidRPr="00264D5D">
              <w:t>Наименование элемента</w:t>
            </w:r>
          </w:p>
        </w:tc>
        <w:tc>
          <w:tcPr>
            <w:tcW w:w="1701" w:type="dxa"/>
          </w:tcPr>
          <w:p w14:paraId="0FF438E0" w14:textId="77777777" w:rsidR="00AD1F54" w:rsidRPr="00264D5D" w:rsidRDefault="00941227">
            <w:pPr>
              <w:pStyle w:val="ASFKTableHead"/>
            </w:pPr>
            <w:r w:rsidRPr="00264D5D">
              <w:t>Сокращенное наименование (код) элемента</w:t>
            </w:r>
          </w:p>
        </w:tc>
        <w:tc>
          <w:tcPr>
            <w:tcW w:w="567" w:type="dxa"/>
          </w:tcPr>
          <w:p w14:paraId="2736ABC3" w14:textId="77777777" w:rsidR="00AD1F54" w:rsidRPr="00264D5D" w:rsidRDefault="00941227">
            <w:pPr>
              <w:pStyle w:val="ASFKTableHead"/>
            </w:pPr>
            <w:r w:rsidRPr="00264D5D">
              <w:t>Тип</w:t>
            </w:r>
          </w:p>
        </w:tc>
        <w:tc>
          <w:tcPr>
            <w:tcW w:w="1134" w:type="dxa"/>
          </w:tcPr>
          <w:p w14:paraId="77682F21" w14:textId="77777777" w:rsidR="00AD1F54" w:rsidRPr="00264D5D" w:rsidRDefault="00941227">
            <w:pPr>
              <w:pStyle w:val="ASFKTableHead"/>
            </w:pPr>
            <w:r w:rsidRPr="00264D5D">
              <w:t>Формат элемента</w:t>
            </w:r>
          </w:p>
        </w:tc>
        <w:tc>
          <w:tcPr>
            <w:tcW w:w="567" w:type="dxa"/>
          </w:tcPr>
          <w:p w14:paraId="72E4F647" w14:textId="77777777" w:rsidR="00AD1F54" w:rsidRPr="00264D5D" w:rsidRDefault="00941227">
            <w:pPr>
              <w:pStyle w:val="ASFKTableHead"/>
            </w:pPr>
            <w:r w:rsidRPr="00264D5D">
              <w:t>Обязательность</w:t>
            </w:r>
          </w:p>
        </w:tc>
        <w:tc>
          <w:tcPr>
            <w:tcW w:w="3963" w:type="dxa"/>
          </w:tcPr>
          <w:p w14:paraId="54C8F435" w14:textId="77777777" w:rsidR="00AD1F54" w:rsidRPr="00264D5D" w:rsidRDefault="00941227">
            <w:pPr>
              <w:pStyle w:val="ASFKTableHead"/>
            </w:pPr>
            <w:r w:rsidRPr="00264D5D">
              <w:t>Дополнительная информация</w:t>
            </w:r>
          </w:p>
        </w:tc>
      </w:tr>
      <w:tr w:rsidR="00AD1F54" w:rsidRPr="00264D5D" w14:paraId="3515AFEB"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3C82515" w14:textId="77777777" w:rsidR="00AD1F54" w:rsidRPr="00264D5D" w:rsidRDefault="00941227">
            <w:pPr>
              <w:pStyle w:val="GOSTTablenorm"/>
              <w:rPr>
                <w:szCs w:val="22"/>
              </w:rPr>
            </w:pPr>
            <w:r w:rsidRPr="00264D5D">
              <w:rPr>
                <w:color w:val="000000"/>
                <w:szCs w:val="22"/>
              </w:rPr>
              <w:t>Должность</w:t>
            </w:r>
          </w:p>
        </w:tc>
        <w:tc>
          <w:tcPr>
            <w:tcW w:w="1701" w:type="dxa"/>
          </w:tcPr>
          <w:p w14:paraId="3043422A" w14:textId="77777777" w:rsidR="00AD1F54" w:rsidRPr="00264D5D" w:rsidRDefault="00941227">
            <w:pPr>
              <w:pStyle w:val="GOSTTablenorm"/>
              <w:rPr>
                <w:szCs w:val="22"/>
                <w:lang w:val="en-US"/>
              </w:rPr>
            </w:pPr>
            <w:r w:rsidRPr="00264D5D">
              <w:rPr>
                <w:color w:val="000000"/>
                <w:szCs w:val="22"/>
              </w:rPr>
              <w:t>Pst</w:t>
            </w:r>
          </w:p>
        </w:tc>
        <w:tc>
          <w:tcPr>
            <w:tcW w:w="567" w:type="dxa"/>
          </w:tcPr>
          <w:p w14:paraId="1F4E0D31" w14:textId="77777777" w:rsidR="00AD1F54" w:rsidRPr="00264D5D" w:rsidRDefault="00941227">
            <w:pPr>
              <w:pStyle w:val="GOSTTablenorm"/>
              <w:jc w:val="center"/>
              <w:rPr>
                <w:szCs w:val="22"/>
              </w:rPr>
            </w:pPr>
            <w:r w:rsidRPr="00264D5D">
              <w:rPr>
                <w:szCs w:val="22"/>
              </w:rPr>
              <w:t>П</w:t>
            </w:r>
          </w:p>
        </w:tc>
        <w:tc>
          <w:tcPr>
            <w:tcW w:w="1134" w:type="dxa"/>
          </w:tcPr>
          <w:p w14:paraId="105CD2AA" w14:textId="77777777" w:rsidR="00AD1F54" w:rsidRPr="00264D5D" w:rsidRDefault="00941227">
            <w:pPr>
              <w:pStyle w:val="GOSTTablenorm"/>
              <w:rPr>
                <w:szCs w:val="22"/>
              </w:rPr>
            </w:pPr>
            <w:r w:rsidRPr="00264D5D">
              <w:rPr>
                <w:color w:val="000000"/>
                <w:szCs w:val="22"/>
                <w:lang w:val="en-US"/>
              </w:rPr>
              <w:t>Т(1-</w:t>
            </w:r>
            <w:r w:rsidRPr="00264D5D">
              <w:rPr>
                <w:color w:val="000000"/>
                <w:szCs w:val="22"/>
              </w:rPr>
              <w:t>1</w:t>
            </w:r>
            <w:r w:rsidRPr="00264D5D">
              <w:rPr>
                <w:color w:val="000000"/>
                <w:szCs w:val="22"/>
                <w:lang w:val="en-US"/>
              </w:rPr>
              <w:t>00)</w:t>
            </w:r>
          </w:p>
        </w:tc>
        <w:tc>
          <w:tcPr>
            <w:tcW w:w="567" w:type="dxa"/>
          </w:tcPr>
          <w:p w14:paraId="540A90A2" w14:textId="77777777" w:rsidR="00AD1F54" w:rsidRPr="00264D5D" w:rsidRDefault="00941227">
            <w:pPr>
              <w:pStyle w:val="GOSTTablenorm"/>
              <w:jc w:val="center"/>
              <w:rPr>
                <w:szCs w:val="22"/>
              </w:rPr>
            </w:pPr>
            <w:r w:rsidRPr="00264D5D">
              <w:rPr>
                <w:szCs w:val="22"/>
              </w:rPr>
              <w:t>Н</w:t>
            </w:r>
          </w:p>
        </w:tc>
        <w:tc>
          <w:tcPr>
            <w:tcW w:w="3963" w:type="dxa"/>
          </w:tcPr>
          <w:p w14:paraId="345B7EA1" w14:textId="77777777" w:rsidR="00AD1F54" w:rsidRPr="00264D5D" w:rsidRDefault="00941227">
            <w:pPr>
              <w:pStyle w:val="GOSTTablenorm"/>
              <w:rPr>
                <w:szCs w:val="22"/>
              </w:rPr>
            </w:pPr>
            <w:r w:rsidRPr="00264D5D">
              <w:rPr>
                <w:szCs w:val="22"/>
              </w:rPr>
              <w:t>Указывается</w:t>
            </w:r>
            <w:r w:rsidR="008279A4" w:rsidRPr="00264D5D">
              <w:rPr>
                <w:color w:val="000000"/>
                <w:szCs w:val="22"/>
              </w:rPr>
              <w:t xml:space="preserve"> должность</w:t>
            </w:r>
          </w:p>
        </w:tc>
      </w:tr>
      <w:tr w:rsidR="00AD1F54" w:rsidRPr="00264D5D" w14:paraId="54632E49"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C0AA483" w14:textId="77777777" w:rsidR="00AD1F54" w:rsidRPr="00264D5D" w:rsidRDefault="00941227">
            <w:pPr>
              <w:pStyle w:val="GOSTTablenorm"/>
              <w:rPr>
                <w:color w:val="000000"/>
                <w:szCs w:val="22"/>
              </w:rPr>
            </w:pPr>
            <w:r w:rsidRPr="00264D5D">
              <w:rPr>
                <w:color w:val="000000"/>
                <w:szCs w:val="22"/>
              </w:rPr>
              <w:t>Расшифровка подписи</w:t>
            </w:r>
          </w:p>
        </w:tc>
        <w:tc>
          <w:tcPr>
            <w:tcW w:w="1701" w:type="dxa"/>
          </w:tcPr>
          <w:p w14:paraId="5F55FCC5" w14:textId="77777777" w:rsidR="00AD1F54" w:rsidRPr="00264D5D" w:rsidRDefault="00941227">
            <w:pPr>
              <w:pStyle w:val="GOSTTablenorm"/>
              <w:rPr>
                <w:color w:val="000000"/>
                <w:szCs w:val="22"/>
              </w:rPr>
            </w:pPr>
            <w:r w:rsidRPr="00264D5D">
              <w:rPr>
                <w:color w:val="000000"/>
                <w:szCs w:val="22"/>
              </w:rPr>
              <w:t>FIO</w:t>
            </w:r>
          </w:p>
        </w:tc>
        <w:tc>
          <w:tcPr>
            <w:tcW w:w="567" w:type="dxa"/>
          </w:tcPr>
          <w:p w14:paraId="00CF00D7" w14:textId="77777777" w:rsidR="00AD1F54" w:rsidRPr="00264D5D" w:rsidRDefault="00941227">
            <w:pPr>
              <w:pStyle w:val="GOSTTablenorm"/>
              <w:jc w:val="center"/>
              <w:rPr>
                <w:szCs w:val="22"/>
              </w:rPr>
            </w:pPr>
            <w:r w:rsidRPr="00264D5D">
              <w:rPr>
                <w:szCs w:val="22"/>
              </w:rPr>
              <w:t>П</w:t>
            </w:r>
          </w:p>
        </w:tc>
        <w:tc>
          <w:tcPr>
            <w:tcW w:w="1134" w:type="dxa"/>
          </w:tcPr>
          <w:p w14:paraId="205FE178" w14:textId="77777777" w:rsidR="00AD1F54" w:rsidRPr="00264D5D" w:rsidRDefault="00941227">
            <w:pPr>
              <w:pStyle w:val="GOSTTablenorm"/>
              <w:rPr>
                <w:color w:val="000000"/>
                <w:szCs w:val="22"/>
                <w:lang w:val="en-US"/>
              </w:rPr>
            </w:pPr>
            <w:r w:rsidRPr="00264D5D">
              <w:rPr>
                <w:color w:val="000000"/>
                <w:szCs w:val="22"/>
                <w:lang w:val="en-US"/>
              </w:rPr>
              <w:t>Т(1-</w:t>
            </w:r>
            <w:r w:rsidRPr="00264D5D">
              <w:rPr>
                <w:color w:val="000000"/>
                <w:szCs w:val="22"/>
              </w:rPr>
              <w:t>50</w:t>
            </w:r>
            <w:r w:rsidRPr="00264D5D">
              <w:rPr>
                <w:color w:val="000000"/>
                <w:szCs w:val="22"/>
                <w:lang w:val="en-US"/>
              </w:rPr>
              <w:t>)</w:t>
            </w:r>
          </w:p>
        </w:tc>
        <w:tc>
          <w:tcPr>
            <w:tcW w:w="567" w:type="dxa"/>
          </w:tcPr>
          <w:p w14:paraId="19597643" w14:textId="77777777" w:rsidR="00AD1F54" w:rsidRPr="00264D5D" w:rsidRDefault="00941227">
            <w:pPr>
              <w:pStyle w:val="GOSTTablenorm"/>
              <w:jc w:val="center"/>
              <w:rPr>
                <w:szCs w:val="22"/>
              </w:rPr>
            </w:pPr>
            <w:r w:rsidRPr="00264D5D">
              <w:rPr>
                <w:szCs w:val="22"/>
              </w:rPr>
              <w:t>О</w:t>
            </w:r>
          </w:p>
        </w:tc>
        <w:tc>
          <w:tcPr>
            <w:tcW w:w="3963" w:type="dxa"/>
          </w:tcPr>
          <w:p w14:paraId="181ABA20" w14:textId="77777777" w:rsidR="00AD1F54" w:rsidRPr="00264D5D" w:rsidRDefault="00941227">
            <w:pPr>
              <w:pStyle w:val="GOSTTablenorm"/>
              <w:rPr>
                <w:szCs w:val="22"/>
              </w:rPr>
            </w:pPr>
            <w:r w:rsidRPr="00264D5D">
              <w:rPr>
                <w:szCs w:val="22"/>
              </w:rPr>
              <w:t xml:space="preserve">Указывается </w:t>
            </w:r>
            <w:r w:rsidR="008279A4" w:rsidRPr="00264D5D">
              <w:t>фамилия, имя, отчество</w:t>
            </w:r>
          </w:p>
        </w:tc>
      </w:tr>
    </w:tbl>
    <w:p w14:paraId="7BF381BE" w14:textId="77777777" w:rsidR="00AD1F54" w:rsidRPr="00264D5D" w:rsidRDefault="00941227">
      <w:pPr>
        <w:pStyle w:val="31"/>
      </w:pPr>
      <w:bookmarkStart w:id="2349" w:name="_Toc15552304"/>
      <w:bookmarkStart w:id="2350" w:name="_Toc18509312"/>
      <w:bookmarkStart w:id="2351" w:name="_Toc219309703"/>
      <w:r w:rsidRPr="00264D5D">
        <w:t>Описание комплексного типа «tSGNNmPsPhDt2»</w:t>
      </w:r>
      <w:bookmarkEnd w:id="2349"/>
      <w:bookmarkEnd w:id="2350"/>
      <w:bookmarkEnd w:id="2351"/>
    </w:p>
    <w:p w14:paraId="47C548AA" w14:textId="77777777" w:rsidR="00AD1F54" w:rsidRPr="00264D5D" w:rsidRDefault="00941227">
      <w:pPr>
        <w:pStyle w:val="GOSTNormal"/>
        <w:rPr>
          <w:szCs w:val="24"/>
        </w:rPr>
      </w:pPr>
      <w:r w:rsidRPr="00264D5D">
        <w:t xml:space="preserve">Описание комплексного </w:t>
      </w:r>
      <w:r w:rsidRPr="00264D5D">
        <w:rPr>
          <w:szCs w:val="24"/>
        </w:rPr>
        <w:t xml:space="preserve">типа </w:t>
      </w:r>
      <w:r w:rsidRPr="00264D5D">
        <w:rPr>
          <w:rFonts w:eastAsia="Calibri"/>
          <w:szCs w:val="24"/>
        </w:rPr>
        <w:t>«</w:t>
      </w:r>
      <w:r w:rsidRPr="00264D5D">
        <w:rPr>
          <w:szCs w:val="24"/>
          <w:lang w:val="en-US"/>
        </w:rPr>
        <w:t>tSGNNmPsPhDt</w:t>
      </w:r>
      <w:r w:rsidRPr="00264D5D">
        <w:rPr>
          <w:szCs w:val="24"/>
        </w:rPr>
        <w:t>2» блока «Ответственный исполнитель».</w:t>
      </w:r>
    </w:p>
    <w:p w14:paraId="7681784C" w14:textId="00CE0B51"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2352" w:name="_Ref17447950"/>
      <w:bookmarkStart w:id="2353" w:name="_Toc15552422"/>
      <w:bookmarkStart w:id="2354" w:name="_Toc18509594"/>
      <w:bookmarkStart w:id="2355" w:name="_Toc219309266"/>
      <w:r w:rsidR="008D797C">
        <w:rPr>
          <w:noProof/>
        </w:rPr>
        <w:t>236</w:t>
      </w:r>
      <w:bookmarkEnd w:id="2352"/>
      <w:r w:rsidRPr="00264D5D">
        <w:fldChar w:fldCharType="end"/>
      </w:r>
      <w:r w:rsidRPr="00264D5D">
        <w:t xml:space="preserve"> – Описание комплексного типа «</w:t>
      </w:r>
      <w:r w:rsidRPr="00264D5D">
        <w:rPr>
          <w:szCs w:val="24"/>
          <w:lang w:val="en-US"/>
        </w:rPr>
        <w:t>tSGNNmPsPhDt2</w:t>
      </w:r>
      <w:r w:rsidRPr="00264D5D">
        <w:t>»</w:t>
      </w:r>
      <w:bookmarkEnd w:id="2353"/>
      <w:bookmarkEnd w:id="2354"/>
      <w:bookmarkEnd w:id="2355"/>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7F4E5526"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5FF0F3F1" w14:textId="77777777" w:rsidR="00AD1F54" w:rsidRPr="00264D5D" w:rsidRDefault="00941227">
            <w:pPr>
              <w:pStyle w:val="ASFKTableHead"/>
            </w:pPr>
            <w:r w:rsidRPr="00264D5D">
              <w:t>Наименование элемента</w:t>
            </w:r>
          </w:p>
        </w:tc>
        <w:tc>
          <w:tcPr>
            <w:tcW w:w="1701" w:type="dxa"/>
          </w:tcPr>
          <w:p w14:paraId="39CB59F7" w14:textId="77777777" w:rsidR="00AD1F54" w:rsidRPr="00264D5D" w:rsidRDefault="00941227">
            <w:pPr>
              <w:pStyle w:val="ASFKTableHead"/>
            </w:pPr>
            <w:r w:rsidRPr="00264D5D">
              <w:t>Сокращенное наименование (код) элемента</w:t>
            </w:r>
          </w:p>
        </w:tc>
        <w:tc>
          <w:tcPr>
            <w:tcW w:w="567" w:type="dxa"/>
          </w:tcPr>
          <w:p w14:paraId="49472468" w14:textId="77777777" w:rsidR="00AD1F54" w:rsidRPr="00264D5D" w:rsidRDefault="00941227">
            <w:pPr>
              <w:pStyle w:val="ASFKTableHead"/>
            </w:pPr>
            <w:r w:rsidRPr="00264D5D">
              <w:t>Тип</w:t>
            </w:r>
          </w:p>
        </w:tc>
        <w:tc>
          <w:tcPr>
            <w:tcW w:w="1134" w:type="dxa"/>
          </w:tcPr>
          <w:p w14:paraId="494C9527" w14:textId="77777777" w:rsidR="00AD1F54" w:rsidRPr="00264D5D" w:rsidRDefault="00941227">
            <w:pPr>
              <w:pStyle w:val="ASFKTableHead"/>
            </w:pPr>
            <w:r w:rsidRPr="00264D5D">
              <w:t>Формат элемента</w:t>
            </w:r>
          </w:p>
        </w:tc>
        <w:tc>
          <w:tcPr>
            <w:tcW w:w="567" w:type="dxa"/>
          </w:tcPr>
          <w:p w14:paraId="1A02DE2D" w14:textId="77777777" w:rsidR="00AD1F54" w:rsidRPr="00264D5D" w:rsidRDefault="00941227">
            <w:pPr>
              <w:pStyle w:val="ASFKTableHead"/>
            </w:pPr>
            <w:r w:rsidRPr="00264D5D">
              <w:t>Обязательность</w:t>
            </w:r>
          </w:p>
        </w:tc>
        <w:tc>
          <w:tcPr>
            <w:tcW w:w="3963" w:type="dxa"/>
          </w:tcPr>
          <w:p w14:paraId="7B121220" w14:textId="77777777" w:rsidR="00AD1F54" w:rsidRPr="00264D5D" w:rsidRDefault="00941227">
            <w:pPr>
              <w:pStyle w:val="ASFKTableHead"/>
            </w:pPr>
            <w:r w:rsidRPr="00264D5D">
              <w:t>Дополнительная информация</w:t>
            </w:r>
          </w:p>
        </w:tc>
      </w:tr>
      <w:tr w:rsidR="00AD1F54" w:rsidRPr="00264D5D" w14:paraId="690FE42A"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7B2598FF" w14:textId="77777777" w:rsidR="00AD1F54" w:rsidRPr="00264D5D" w:rsidRDefault="00941227">
            <w:pPr>
              <w:pStyle w:val="GOSTTablenorm"/>
              <w:rPr>
                <w:szCs w:val="22"/>
              </w:rPr>
            </w:pPr>
            <w:r w:rsidRPr="00264D5D">
              <w:rPr>
                <w:color w:val="000000"/>
                <w:szCs w:val="22"/>
              </w:rPr>
              <w:t>Должность</w:t>
            </w:r>
          </w:p>
        </w:tc>
        <w:tc>
          <w:tcPr>
            <w:tcW w:w="1701" w:type="dxa"/>
          </w:tcPr>
          <w:p w14:paraId="6C6B7B20" w14:textId="77777777" w:rsidR="00AD1F54" w:rsidRPr="00264D5D" w:rsidRDefault="00941227">
            <w:pPr>
              <w:pStyle w:val="GOSTTablenorm"/>
              <w:rPr>
                <w:szCs w:val="22"/>
                <w:lang w:val="en-US"/>
              </w:rPr>
            </w:pPr>
            <w:r w:rsidRPr="00264D5D">
              <w:rPr>
                <w:color w:val="000000"/>
                <w:szCs w:val="22"/>
              </w:rPr>
              <w:t>Pst</w:t>
            </w:r>
          </w:p>
        </w:tc>
        <w:tc>
          <w:tcPr>
            <w:tcW w:w="567" w:type="dxa"/>
          </w:tcPr>
          <w:p w14:paraId="725F6AA4" w14:textId="77777777" w:rsidR="00AD1F54" w:rsidRPr="00264D5D" w:rsidRDefault="00941227">
            <w:pPr>
              <w:pStyle w:val="GOSTTablenorm"/>
              <w:jc w:val="center"/>
              <w:rPr>
                <w:szCs w:val="22"/>
              </w:rPr>
            </w:pPr>
            <w:r w:rsidRPr="00264D5D">
              <w:rPr>
                <w:szCs w:val="22"/>
              </w:rPr>
              <w:t>П</w:t>
            </w:r>
          </w:p>
        </w:tc>
        <w:tc>
          <w:tcPr>
            <w:tcW w:w="1134" w:type="dxa"/>
          </w:tcPr>
          <w:p w14:paraId="518B04B2" w14:textId="77777777" w:rsidR="00AD1F54" w:rsidRPr="00264D5D" w:rsidRDefault="00941227">
            <w:pPr>
              <w:pStyle w:val="GOSTTablenorm"/>
              <w:rPr>
                <w:szCs w:val="22"/>
              </w:rPr>
            </w:pPr>
            <w:r w:rsidRPr="00264D5D">
              <w:rPr>
                <w:color w:val="000000"/>
                <w:szCs w:val="22"/>
                <w:lang w:val="en-US"/>
              </w:rPr>
              <w:t>Т(1-</w:t>
            </w:r>
            <w:r w:rsidRPr="00264D5D">
              <w:rPr>
                <w:color w:val="000000"/>
                <w:szCs w:val="22"/>
              </w:rPr>
              <w:t>1</w:t>
            </w:r>
            <w:r w:rsidRPr="00264D5D">
              <w:rPr>
                <w:color w:val="000000"/>
                <w:szCs w:val="22"/>
                <w:lang w:val="en-US"/>
              </w:rPr>
              <w:t>00)</w:t>
            </w:r>
          </w:p>
        </w:tc>
        <w:tc>
          <w:tcPr>
            <w:tcW w:w="567" w:type="dxa"/>
          </w:tcPr>
          <w:p w14:paraId="5D4008E3" w14:textId="77777777" w:rsidR="00AD1F54" w:rsidRPr="00264D5D" w:rsidRDefault="00941227">
            <w:pPr>
              <w:pStyle w:val="GOSTTablenorm"/>
              <w:jc w:val="center"/>
              <w:rPr>
                <w:szCs w:val="22"/>
              </w:rPr>
            </w:pPr>
            <w:r w:rsidRPr="00264D5D">
              <w:rPr>
                <w:szCs w:val="22"/>
              </w:rPr>
              <w:t>Н</w:t>
            </w:r>
          </w:p>
        </w:tc>
        <w:tc>
          <w:tcPr>
            <w:tcW w:w="3963" w:type="dxa"/>
          </w:tcPr>
          <w:p w14:paraId="7CA1DFB4" w14:textId="77777777" w:rsidR="00AD1F54" w:rsidRPr="00264D5D" w:rsidRDefault="00941227">
            <w:pPr>
              <w:pStyle w:val="GOSTTablenorm"/>
              <w:rPr>
                <w:szCs w:val="22"/>
              </w:rPr>
            </w:pPr>
            <w:r w:rsidRPr="00264D5D">
              <w:t>Указывается должность ответственного исполн</w:t>
            </w:r>
            <w:r w:rsidR="008279A4" w:rsidRPr="00264D5D">
              <w:t>ителя, сформировавшего документ</w:t>
            </w:r>
          </w:p>
        </w:tc>
      </w:tr>
      <w:tr w:rsidR="00AD1F54" w:rsidRPr="00264D5D" w14:paraId="4CDE2D07"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21B10F21" w14:textId="77777777" w:rsidR="00AD1F54" w:rsidRPr="00264D5D" w:rsidRDefault="00941227">
            <w:pPr>
              <w:pStyle w:val="GOSTTablenorm"/>
              <w:rPr>
                <w:color w:val="000000"/>
                <w:szCs w:val="22"/>
              </w:rPr>
            </w:pPr>
            <w:r w:rsidRPr="00264D5D">
              <w:rPr>
                <w:color w:val="000000"/>
                <w:szCs w:val="22"/>
              </w:rPr>
              <w:t>Расшифровка подписи</w:t>
            </w:r>
          </w:p>
        </w:tc>
        <w:tc>
          <w:tcPr>
            <w:tcW w:w="1701" w:type="dxa"/>
          </w:tcPr>
          <w:p w14:paraId="209E1FBC" w14:textId="77777777" w:rsidR="00AD1F54" w:rsidRPr="00264D5D" w:rsidRDefault="00941227">
            <w:pPr>
              <w:pStyle w:val="GOSTTablenorm"/>
              <w:rPr>
                <w:color w:val="000000"/>
                <w:szCs w:val="22"/>
              </w:rPr>
            </w:pPr>
            <w:r w:rsidRPr="00264D5D">
              <w:rPr>
                <w:color w:val="000000"/>
                <w:szCs w:val="22"/>
              </w:rPr>
              <w:t>FIO</w:t>
            </w:r>
          </w:p>
        </w:tc>
        <w:tc>
          <w:tcPr>
            <w:tcW w:w="567" w:type="dxa"/>
          </w:tcPr>
          <w:p w14:paraId="6D34325B" w14:textId="77777777" w:rsidR="00AD1F54" w:rsidRPr="00264D5D" w:rsidRDefault="00941227">
            <w:pPr>
              <w:pStyle w:val="GOSTTablenorm"/>
              <w:jc w:val="center"/>
              <w:rPr>
                <w:szCs w:val="22"/>
              </w:rPr>
            </w:pPr>
            <w:r w:rsidRPr="00264D5D">
              <w:rPr>
                <w:szCs w:val="22"/>
              </w:rPr>
              <w:t>П</w:t>
            </w:r>
          </w:p>
        </w:tc>
        <w:tc>
          <w:tcPr>
            <w:tcW w:w="1134" w:type="dxa"/>
          </w:tcPr>
          <w:p w14:paraId="067CBCB5" w14:textId="77777777" w:rsidR="00AD1F54" w:rsidRPr="00264D5D" w:rsidRDefault="00941227">
            <w:pPr>
              <w:pStyle w:val="GOSTTablenorm"/>
              <w:rPr>
                <w:color w:val="000000"/>
                <w:szCs w:val="22"/>
                <w:lang w:val="en-US"/>
              </w:rPr>
            </w:pPr>
            <w:r w:rsidRPr="00264D5D">
              <w:rPr>
                <w:color w:val="000000"/>
                <w:szCs w:val="22"/>
                <w:lang w:val="en-US"/>
              </w:rPr>
              <w:t>Т(1-</w:t>
            </w:r>
            <w:r w:rsidRPr="00264D5D">
              <w:rPr>
                <w:color w:val="000000"/>
                <w:szCs w:val="22"/>
              </w:rPr>
              <w:t>50</w:t>
            </w:r>
            <w:r w:rsidRPr="00264D5D">
              <w:rPr>
                <w:color w:val="000000"/>
                <w:szCs w:val="22"/>
                <w:lang w:val="en-US"/>
              </w:rPr>
              <w:t>)</w:t>
            </w:r>
          </w:p>
        </w:tc>
        <w:tc>
          <w:tcPr>
            <w:tcW w:w="567" w:type="dxa"/>
          </w:tcPr>
          <w:p w14:paraId="7A6011BD" w14:textId="77777777" w:rsidR="00AD1F54" w:rsidRPr="00264D5D" w:rsidRDefault="00941227">
            <w:pPr>
              <w:pStyle w:val="GOSTTablenorm"/>
              <w:jc w:val="center"/>
              <w:rPr>
                <w:szCs w:val="22"/>
              </w:rPr>
            </w:pPr>
            <w:r w:rsidRPr="00264D5D">
              <w:rPr>
                <w:szCs w:val="22"/>
              </w:rPr>
              <w:t>О</w:t>
            </w:r>
          </w:p>
        </w:tc>
        <w:tc>
          <w:tcPr>
            <w:tcW w:w="3963" w:type="dxa"/>
          </w:tcPr>
          <w:p w14:paraId="52958362" w14:textId="77777777" w:rsidR="00AD1F54" w:rsidRPr="00264D5D" w:rsidRDefault="00941227">
            <w:pPr>
              <w:pStyle w:val="GOSTTablenorm"/>
              <w:rPr>
                <w:szCs w:val="22"/>
              </w:rPr>
            </w:pPr>
            <w:r w:rsidRPr="00264D5D">
              <w:t>Указывается расшифровка подписи ответственного исполнителя, сформировавш</w:t>
            </w:r>
            <w:r w:rsidR="008279A4" w:rsidRPr="00264D5D">
              <w:t>его документ</w:t>
            </w:r>
          </w:p>
        </w:tc>
      </w:tr>
      <w:tr w:rsidR="00AD1F54" w:rsidRPr="00264D5D" w14:paraId="7A6F22D4"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2724B00" w14:textId="77777777" w:rsidR="00AD1F54" w:rsidRPr="00264D5D" w:rsidRDefault="00941227">
            <w:pPr>
              <w:pStyle w:val="GOSTTablenorm"/>
              <w:rPr>
                <w:color w:val="000000"/>
                <w:szCs w:val="22"/>
              </w:rPr>
            </w:pPr>
            <w:r w:rsidRPr="00264D5D">
              <w:rPr>
                <w:color w:val="000000"/>
                <w:szCs w:val="22"/>
              </w:rPr>
              <w:t>Телефон</w:t>
            </w:r>
          </w:p>
        </w:tc>
        <w:tc>
          <w:tcPr>
            <w:tcW w:w="1701" w:type="dxa"/>
          </w:tcPr>
          <w:p w14:paraId="75B3F03A" w14:textId="77777777" w:rsidR="00AD1F54" w:rsidRPr="00264D5D" w:rsidRDefault="00941227">
            <w:pPr>
              <w:pStyle w:val="GOSTTablenorm"/>
              <w:rPr>
                <w:color w:val="000000"/>
                <w:szCs w:val="22"/>
              </w:rPr>
            </w:pPr>
            <w:r w:rsidRPr="00264D5D">
              <w:rPr>
                <w:color w:val="000000"/>
                <w:szCs w:val="22"/>
              </w:rPr>
              <w:t>AdditionalInfoSign_Sign_ExecutorClient_PhoneNumber</w:t>
            </w:r>
          </w:p>
        </w:tc>
        <w:tc>
          <w:tcPr>
            <w:tcW w:w="567" w:type="dxa"/>
          </w:tcPr>
          <w:p w14:paraId="1313C7E1" w14:textId="77777777" w:rsidR="00AD1F54" w:rsidRPr="00264D5D" w:rsidRDefault="00941227">
            <w:pPr>
              <w:pStyle w:val="GOSTTablenorm"/>
              <w:jc w:val="center"/>
              <w:rPr>
                <w:szCs w:val="22"/>
              </w:rPr>
            </w:pPr>
            <w:r w:rsidRPr="00264D5D">
              <w:rPr>
                <w:szCs w:val="22"/>
              </w:rPr>
              <w:t>П</w:t>
            </w:r>
          </w:p>
        </w:tc>
        <w:tc>
          <w:tcPr>
            <w:tcW w:w="1134" w:type="dxa"/>
          </w:tcPr>
          <w:p w14:paraId="78E7AF05" w14:textId="77777777" w:rsidR="00AD1F54" w:rsidRPr="00264D5D" w:rsidRDefault="00941227">
            <w:pPr>
              <w:pStyle w:val="GOSTTablenorm"/>
              <w:rPr>
                <w:color w:val="000000"/>
                <w:szCs w:val="22"/>
                <w:lang w:val="en-US"/>
              </w:rPr>
            </w:pPr>
            <w:r w:rsidRPr="00264D5D">
              <w:rPr>
                <w:color w:val="000000"/>
                <w:szCs w:val="22"/>
                <w:lang w:val="en-US"/>
              </w:rPr>
              <w:t>Т(1-</w:t>
            </w:r>
            <w:r w:rsidRPr="00264D5D">
              <w:rPr>
                <w:color w:val="000000"/>
                <w:szCs w:val="22"/>
              </w:rPr>
              <w:t>50</w:t>
            </w:r>
            <w:r w:rsidRPr="00264D5D">
              <w:rPr>
                <w:color w:val="000000"/>
                <w:szCs w:val="22"/>
                <w:lang w:val="en-US"/>
              </w:rPr>
              <w:t>)</w:t>
            </w:r>
          </w:p>
        </w:tc>
        <w:tc>
          <w:tcPr>
            <w:tcW w:w="567" w:type="dxa"/>
          </w:tcPr>
          <w:p w14:paraId="6B323A11" w14:textId="77777777" w:rsidR="00AD1F54" w:rsidRPr="00264D5D" w:rsidRDefault="00941227">
            <w:pPr>
              <w:pStyle w:val="GOSTTablenorm"/>
              <w:jc w:val="center"/>
              <w:rPr>
                <w:szCs w:val="22"/>
              </w:rPr>
            </w:pPr>
            <w:r w:rsidRPr="00264D5D">
              <w:rPr>
                <w:szCs w:val="22"/>
              </w:rPr>
              <w:t>Н</w:t>
            </w:r>
          </w:p>
        </w:tc>
        <w:tc>
          <w:tcPr>
            <w:tcW w:w="3963" w:type="dxa"/>
          </w:tcPr>
          <w:p w14:paraId="00EA83B5" w14:textId="77777777" w:rsidR="00AD1F54" w:rsidRPr="00264D5D" w:rsidRDefault="00941227">
            <w:pPr>
              <w:pStyle w:val="GOSTTablenorm"/>
            </w:pPr>
            <w:r w:rsidRPr="00264D5D">
              <w:t>Указывается телефон ответственного исполнителя, сформировавшего документ.</w:t>
            </w:r>
          </w:p>
          <w:p w14:paraId="3FCB6F07" w14:textId="77777777" w:rsidR="00AD1F54" w:rsidRPr="00264D5D" w:rsidRDefault="00941227">
            <w:pPr>
              <w:pStyle w:val="GOSTTablenorm"/>
            </w:pPr>
            <w:r w:rsidRPr="00264D5D">
              <w:t>Поле обязательно к заполне</w:t>
            </w:r>
            <w:r w:rsidR="008279A4" w:rsidRPr="00264D5D">
              <w:t>нию в случае, если заоплнена ЭП</w:t>
            </w:r>
          </w:p>
        </w:tc>
      </w:tr>
      <w:tr w:rsidR="00AD1F54" w:rsidRPr="00264D5D" w14:paraId="798A2C08"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49808AB" w14:textId="77777777" w:rsidR="00AD1F54" w:rsidRPr="00264D5D" w:rsidRDefault="00941227">
            <w:pPr>
              <w:pStyle w:val="GOSTTablenorm"/>
              <w:rPr>
                <w:color w:val="000000"/>
                <w:szCs w:val="22"/>
              </w:rPr>
            </w:pPr>
            <w:r w:rsidRPr="00264D5D">
              <w:rPr>
                <w:color w:val="000000"/>
                <w:szCs w:val="22"/>
              </w:rPr>
              <w:t>Дата подписи</w:t>
            </w:r>
          </w:p>
        </w:tc>
        <w:tc>
          <w:tcPr>
            <w:tcW w:w="1701" w:type="dxa"/>
          </w:tcPr>
          <w:p w14:paraId="27914018" w14:textId="77777777" w:rsidR="00AD1F54" w:rsidRPr="00264D5D" w:rsidRDefault="00941227">
            <w:pPr>
              <w:pStyle w:val="GOSTTablenorm"/>
              <w:rPr>
                <w:color w:val="000000"/>
                <w:szCs w:val="22"/>
              </w:rPr>
            </w:pPr>
            <w:r w:rsidRPr="00264D5D">
              <w:rPr>
                <w:color w:val="000000"/>
                <w:szCs w:val="22"/>
              </w:rPr>
              <w:t>DtSgn</w:t>
            </w:r>
          </w:p>
        </w:tc>
        <w:tc>
          <w:tcPr>
            <w:tcW w:w="567" w:type="dxa"/>
          </w:tcPr>
          <w:p w14:paraId="0A54A67F" w14:textId="77777777" w:rsidR="00AD1F54" w:rsidRPr="00264D5D" w:rsidRDefault="00941227">
            <w:pPr>
              <w:pStyle w:val="GOSTTablenorm"/>
              <w:jc w:val="center"/>
              <w:rPr>
                <w:szCs w:val="22"/>
              </w:rPr>
            </w:pPr>
            <w:r w:rsidRPr="00264D5D">
              <w:rPr>
                <w:szCs w:val="22"/>
              </w:rPr>
              <w:t>П</w:t>
            </w:r>
          </w:p>
        </w:tc>
        <w:tc>
          <w:tcPr>
            <w:tcW w:w="1134" w:type="dxa"/>
          </w:tcPr>
          <w:p w14:paraId="6C841E71" w14:textId="77777777" w:rsidR="00AD1F54" w:rsidRPr="00264D5D" w:rsidRDefault="00941227">
            <w:pPr>
              <w:pStyle w:val="GOSTTablenorm"/>
              <w:rPr>
                <w:color w:val="000000"/>
                <w:szCs w:val="22"/>
                <w:lang w:val="en-US"/>
              </w:rPr>
            </w:pPr>
            <w:r w:rsidRPr="00264D5D">
              <w:rPr>
                <w:color w:val="000000"/>
                <w:szCs w:val="22"/>
                <w:lang w:val="en-US"/>
              </w:rPr>
              <w:t>Date</w:t>
            </w:r>
          </w:p>
        </w:tc>
        <w:tc>
          <w:tcPr>
            <w:tcW w:w="567" w:type="dxa"/>
          </w:tcPr>
          <w:p w14:paraId="2390B9C2" w14:textId="77777777" w:rsidR="00AD1F54" w:rsidRPr="00264D5D" w:rsidRDefault="00941227">
            <w:pPr>
              <w:pStyle w:val="GOSTTablenorm"/>
              <w:jc w:val="center"/>
              <w:rPr>
                <w:szCs w:val="22"/>
              </w:rPr>
            </w:pPr>
            <w:r w:rsidRPr="00264D5D">
              <w:rPr>
                <w:szCs w:val="22"/>
              </w:rPr>
              <w:t>О</w:t>
            </w:r>
          </w:p>
        </w:tc>
        <w:tc>
          <w:tcPr>
            <w:tcW w:w="3963" w:type="dxa"/>
          </w:tcPr>
          <w:p w14:paraId="0232FFC0" w14:textId="77777777" w:rsidR="00AD1F54" w:rsidRPr="00264D5D" w:rsidRDefault="00941227">
            <w:pPr>
              <w:pStyle w:val="GOSTTablenorm"/>
              <w:rPr>
                <w:szCs w:val="22"/>
              </w:rPr>
            </w:pPr>
            <w:r w:rsidRPr="00264D5D">
              <w:rPr>
                <w:color w:val="000000"/>
                <w:szCs w:val="22"/>
              </w:rPr>
              <w:t xml:space="preserve">Указывается дата подписания документа руководителем </w:t>
            </w:r>
            <w:r w:rsidR="008279A4" w:rsidRPr="00264D5D">
              <w:rPr>
                <w:color w:val="000000"/>
                <w:szCs w:val="22"/>
              </w:rPr>
              <w:t>(уполномоченным лицом)</w:t>
            </w:r>
          </w:p>
        </w:tc>
      </w:tr>
    </w:tbl>
    <w:p w14:paraId="44C83375" w14:textId="77777777" w:rsidR="00AD1F54" w:rsidRPr="00264D5D" w:rsidRDefault="00941227">
      <w:pPr>
        <w:pStyle w:val="31"/>
      </w:pPr>
      <w:bookmarkStart w:id="2356" w:name="_Toc15552305"/>
      <w:bookmarkStart w:id="2357" w:name="_Toc18509313"/>
      <w:r w:rsidRPr="00264D5D">
        <w:t xml:space="preserve"> </w:t>
      </w:r>
      <w:bookmarkStart w:id="2358" w:name="_Toc219309704"/>
      <w:r w:rsidRPr="00264D5D">
        <w:t>Описание комплексного типа «tBaseDoc_TAB_BASEDOC_D031»</w:t>
      </w:r>
      <w:bookmarkEnd w:id="2356"/>
      <w:bookmarkEnd w:id="2357"/>
      <w:bookmarkEnd w:id="2358"/>
    </w:p>
    <w:p w14:paraId="4F6AE658" w14:textId="77777777" w:rsidR="00AD1F54" w:rsidRPr="00264D5D" w:rsidRDefault="00941227">
      <w:pPr>
        <w:pStyle w:val="GOSTNormal"/>
      </w:pPr>
      <w:r w:rsidRPr="00264D5D">
        <w:t>Описание комплексного типа «</w:t>
      </w:r>
      <w:r w:rsidRPr="00264D5D">
        <w:rPr>
          <w:szCs w:val="22"/>
          <w:lang w:val="en-US"/>
        </w:rPr>
        <w:t>t</w:t>
      </w:r>
      <w:r w:rsidRPr="00264D5D">
        <w:rPr>
          <w:szCs w:val="22"/>
        </w:rPr>
        <w:t>BaseDoc_TAB_BASEDOC_D031</w:t>
      </w:r>
      <w:r w:rsidRPr="00264D5D">
        <w:t>» блока «Сведения о документе-основании».</w:t>
      </w:r>
    </w:p>
    <w:p w14:paraId="5313ABD0" w14:textId="340E2503" w:rsidR="00AD1F54" w:rsidRPr="00264D5D" w:rsidRDefault="00941227">
      <w:pPr>
        <w:pStyle w:val="GOSTNameTable"/>
        <w:numPr>
          <w:ilvl w:val="0"/>
          <w:numId w:val="2"/>
        </w:numPr>
        <w:ind w:left="425" w:hanging="357"/>
        <w:rPr>
          <w:rFonts w:eastAsia="Calibri"/>
        </w:rPr>
      </w:pPr>
      <w:r w:rsidRPr="00264D5D">
        <w:rPr>
          <w:rFonts w:eastAsia="Calibri"/>
        </w:rPr>
        <w:fldChar w:fldCharType="begin"/>
      </w:r>
      <w:r w:rsidRPr="00264D5D">
        <w:rPr>
          <w:rFonts w:eastAsia="Calibri"/>
        </w:rPr>
        <w:instrText xml:space="preserve"> SEQ Таблица \* ARABIC </w:instrText>
      </w:r>
      <w:r w:rsidRPr="00264D5D">
        <w:rPr>
          <w:rFonts w:eastAsia="Calibri"/>
        </w:rPr>
        <w:fldChar w:fldCharType="separate"/>
      </w:r>
      <w:bookmarkStart w:id="2359" w:name="_Ref17447948"/>
      <w:bookmarkStart w:id="2360" w:name="_Toc15552423"/>
      <w:bookmarkStart w:id="2361" w:name="_Toc18509595"/>
      <w:bookmarkStart w:id="2362" w:name="_Toc219309267"/>
      <w:r w:rsidR="008D797C">
        <w:rPr>
          <w:rFonts w:eastAsia="Calibri"/>
          <w:noProof/>
        </w:rPr>
        <w:t>237</w:t>
      </w:r>
      <w:bookmarkEnd w:id="2359"/>
      <w:r w:rsidRPr="00264D5D">
        <w:rPr>
          <w:rFonts w:eastAsia="Calibri"/>
        </w:rPr>
        <w:fldChar w:fldCharType="end"/>
      </w:r>
      <w:r w:rsidRPr="00264D5D">
        <w:rPr>
          <w:rFonts w:eastAsia="Calibri"/>
        </w:rPr>
        <w:t xml:space="preserve"> – Описание комплексного типа «tBaseDoc_TAB_BASEDOC_D031»</w:t>
      </w:r>
      <w:bookmarkEnd w:id="2360"/>
      <w:bookmarkEnd w:id="2361"/>
      <w:bookmarkEnd w:id="2362"/>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0E3DDCDC"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34B32F58" w14:textId="77777777" w:rsidR="00AD1F54" w:rsidRPr="00264D5D" w:rsidRDefault="00941227">
            <w:pPr>
              <w:pStyle w:val="ASFKTableHead"/>
            </w:pPr>
            <w:r w:rsidRPr="00264D5D">
              <w:t>Наименование комплексного типа</w:t>
            </w:r>
          </w:p>
        </w:tc>
        <w:tc>
          <w:tcPr>
            <w:tcW w:w="1701" w:type="dxa"/>
          </w:tcPr>
          <w:p w14:paraId="592C0235" w14:textId="77777777" w:rsidR="00AD1F54" w:rsidRPr="00264D5D" w:rsidRDefault="00941227">
            <w:pPr>
              <w:pStyle w:val="ASFKTableHead"/>
            </w:pPr>
            <w:r w:rsidRPr="00264D5D">
              <w:t>Текущий элемент/ атрибут</w:t>
            </w:r>
          </w:p>
        </w:tc>
        <w:tc>
          <w:tcPr>
            <w:tcW w:w="567" w:type="dxa"/>
          </w:tcPr>
          <w:p w14:paraId="085D90C9" w14:textId="77777777" w:rsidR="00AD1F54" w:rsidRPr="00264D5D" w:rsidRDefault="00941227">
            <w:pPr>
              <w:pStyle w:val="ASFKTableHead"/>
            </w:pPr>
            <w:r w:rsidRPr="00264D5D">
              <w:t>Тип</w:t>
            </w:r>
          </w:p>
        </w:tc>
        <w:tc>
          <w:tcPr>
            <w:tcW w:w="1134" w:type="dxa"/>
          </w:tcPr>
          <w:p w14:paraId="08882738" w14:textId="77777777" w:rsidR="00AD1F54" w:rsidRPr="00264D5D" w:rsidRDefault="00941227">
            <w:pPr>
              <w:pStyle w:val="ASFKTableHead"/>
            </w:pPr>
            <w:r w:rsidRPr="00264D5D">
              <w:t>Формат элемента</w:t>
            </w:r>
          </w:p>
        </w:tc>
        <w:tc>
          <w:tcPr>
            <w:tcW w:w="567" w:type="dxa"/>
          </w:tcPr>
          <w:p w14:paraId="6A554BA9" w14:textId="77777777" w:rsidR="00AD1F54" w:rsidRPr="00264D5D" w:rsidRDefault="00941227">
            <w:pPr>
              <w:pStyle w:val="ASFKTableHead"/>
            </w:pPr>
            <w:r w:rsidRPr="00264D5D">
              <w:t>Обязательность</w:t>
            </w:r>
          </w:p>
        </w:tc>
        <w:tc>
          <w:tcPr>
            <w:tcW w:w="3963" w:type="dxa"/>
          </w:tcPr>
          <w:p w14:paraId="654474B3" w14:textId="77777777" w:rsidR="00AD1F54" w:rsidRPr="00264D5D" w:rsidRDefault="00941227">
            <w:pPr>
              <w:pStyle w:val="ASFKTableHead"/>
            </w:pPr>
            <w:r w:rsidRPr="00264D5D">
              <w:t>Дополнительная информация</w:t>
            </w:r>
          </w:p>
        </w:tc>
      </w:tr>
      <w:tr w:rsidR="00AD1F54" w:rsidRPr="00264D5D" w14:paraId="05E3BCD6"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764E91A0" w14:textId="77777777" w:rsidR="00AD1F54" w:rsidRPr="00264D5D" w:rsidRDefault="00941227">
            <w:pPr>
              <w:pStyle w:val="GOSTTablenorm"/>
            </w:pPr>
            <w:r w:rsidRPr="00264D5D">
              <w:rPr>
                <w:rFonts w:eastAsia="Calibri"/>
              </w:rPr>
              <w:t>tBaseDoc_TAB_BASEDOC_D031</w:t>
            </w:r>
          </w:p>
        </w:tc>
        <w:tc>
          <w:tcPr>
            <w:tcW w:w="1701" w:type="dxa"/>
          </w:tcPr>
          <w:p w14:paraId="3F359FAF" w14:textId="77777777" w:rsidR="00AD1F54" w:rsidRPr="00264D5D" w:rsidRDefault="00941227">
            <w:pPr>
              <w:pStyle w:val="GOSTTablenorm"/>
            </w:pPr>
            <w:r w:rsidRPr="00264D5D">
              <w:t>TAB_BASEDOC_D031_ITEM</w:t>
            </w:r>
          </w:p>
        </w:tc>
        <w:tc>
          <w:tcPr>
            <w:tcW w:w="567" w:type="dxa"/>
          </w:tcPr>
          <w:p w14:paraId="073BE075" w14:textId="77777777" w:rsidR="00AD1F54" w:rsidRPr="00264D5D" w:rsidRDefault="00941227">
            <w:pPr>
              <w:pStyle w:val="GOSTTablenorm"/>
              <w:jc w:val="center"/>
            </w:pPr>
            <w:r w:rsidRPr="00264D5D">
              <w:t>С</w:t>
            </w:r>
          </w:p>
        </w:tc>
        <w:tc>
          <w:tcPr>
            <w:tcW w:w="1134" w:type="dxa"/>
          </w:tcPr>
          <w:p w14:paraId="1F1EA0DA" w14:textId="77777777" w:rsidR="00AD1F54" w:rsidRPr="00264D5D" w:rsidRDefault="00941227">
            <w:pPr>
              <w:pStyle w:val="GOSTTablenorm"/>
              <w:rPr>
                <w:lang w:val="en-US"/>
              </w:rPr>
            </w:pPr>
            <w:r w:rsidRPr="00264D5D">
              <w:rPr>
                <w:lang w:val="en-US"/>
              </w:rPr>
              <w:t>tTAB_BASEDOC_D031_ITEM</w:t>
            </w:r>
          </w:p>
        </w:tc>
        <w:tc>
          <w:tcPr>
            <w:tcW w:w="567" w:type="dxa"/>
          </w:tcPr>
          <w:p w14:paraId="750D9572" w14:textId="77777777" w:rsidR="00AD1F54" w:rsidRPr="00264D5D" w:rsidRDefault="00941227">
            <w:pPr>
              <w:pStyle w:val="GOSTTablenorm"/>
              <w:jc w:val="center"/>
            </w:pPr>
            <w:r w:rsidRPr="00264D5D">
              <w:t>ОМ</w:t>
            </w:r>
          </w:p>
        </w:tc>
        <w:tc>
          <w:tcPr>
            <w:tcW w:w="3963" w:type="dxa"/>
          </w:tcPr>
          <w:p w14:paraId="252B36D8" w14:textId="76A296B4" w:rsidR="00AD1F54" w:rsidRPr="00264D5D" w:rsidRDefault="00941227">
            <w:pPr>
              <w:pStyle w:val="GOSTTablenorm"/>
            </w:pPr>
            <w:r w:rsidRPr="00264D5D">
              <w:t>Состав элемента представлен в таблице </w:t>
            </w:r>
            <w:r w:rsidRPr="00264D5D">
              <w:rPr>
                <w:b/>
              </w:rPr>
              <w:fldChar w:fldCharType="begin"/>
            </w:r>
            <w:r w:rsidRPr="00264D5D">
              <w:rPr>
                <w:b/>
              </w:rPr>
              <w:instrText xml:space="preserve"> REF _Ref17447951 \h  \* MERGEFORMAT </w:instrText>
            </w:r>
            <w:r w:rsidRPr="00264D5D">
              <w:rPr>
                <w:b/>
              </w:rPr>
            </w:r>
            <w:r w:rsidRPr="00264D5D">
              <w:rPr>
                <w:b/>
              </w:rPr>
              <w:fldChar w:fldCharType="separate"/>
            </w:r>
            <w:r w:rsidR="008D797C" w:rsidRPr="008D797C">
              <w:rPr>
                <w:b/>
              </w:rPr>
              <w:t>238</w:t>
            </w:r>
            <w:r w:rsidRPr="00264D5D">
              <w:rPr>
                <w:b/>
              </w:rPr>
              <w:fldChar w:fldCharType="end"/>
            </w:r>
          </w:p>
        </w:tc>
      </w:tr>
    </w:tbl>
    <w:p w14:paraId="0CD01258" w14:textId="77777777" w:rsidR="00AD1F54" w:rsidRPr="00264D5D" w:rsidRDefault="00941227">
      <w:pPr>
        <w:pStyle w:val="31"/>
      </w:pPr>
      <w:bookmarkStart w:id="2363" w:name="_Toc15552306"/>
      <w:bookmarkStart w:id="2364" w:name="_Toc18509314"/>
      <w:r w:rsidRPr="00264D5D">
        <w:lastRenderedPageBreak/>
        <w:t xml:space="preserve"> </w:t>
      </w:r>
      <w:bookmarkStart w:id="2365" w:name="_Toc219309705"/>
      <w:r w:rsidRPr="00264D5D">
        <w:t>Описание комплексного типа «tTAB_BASEDOC_D031_ITEM»</w:t>
      </w:r>
      <w:bookmarkEnd w:id="2363"/>
      <w:bookmarkEnd w:id="2364"/>
      <w:bookmarkEnd w:id="2365"/>
    </w:p>
    <w:p w14:paraId="255C8114" w14:textId="77777777" w:rsidR="00AD1F54" w:rsidRPr="00264D5D" w:rsidRDefault="00941227">
      <w:pPr>
        <w:pStyle w:val="GOSTNormal"/>
      </w:pPr>
      <w:r w:rsidRPr="00264D5D">
        <w:t>Описание комплексного типа «</w:t>
      </w:r>
      <w:bookmarkStart w:id="2366" w:name="OLE_LINK220"/>
      <w:bookmarkStart w:id="2367" w:name="OLE_LINK221"/>
      <w:r w:rsidRPr="00264D5D">
        <w:rPr>
          <w:lang w:val="en-US"/>
        </w:rPr>
        <w:t>tTAB</w:t>
      </w:r>
      <w:r w:rsidRPr="00264D5D">
        <w:t>_</w:t>
      </w:r>
      <w:r w:rsidRPr="00264D5D">
        <w:rPr>
          <w:lang w:val="en-US"/>
        </w:rPr>
        <w:t>BASEDOC</w:t>
      </w:r>
      <w:r w:rsidRPr="00264D5D">
        <w:t>_</w:t>
      </w:r>
      <w:r w:rsidRPr="00264D5D">
        <w:rPr>
          <w:lang w:val="en-US"/>
        </w:rPr>
        <w:t>D</w:t>
      </w:r>
      <w:r w:rsidRPr="00264D5D">
        <w:t>031_</w:t>
      </w:r>
      <w:r w:rsidRPr="00264D5D">
        <w:rPr>
          <w:lang w:val="en-US"/>
        </w:rPr>
        <w:t>ITEM</w:t>
      </w:r>
      <w:bookmarkEnd w:id="2366"/>
      <w:bookmarkEnd w:id="2367"/>
      <w:r w:rsidRPr="00264D5D">
        <w:t>» блока «Сведения о документе-основании (строки)».</w:t>
      </w:r>
    </w:p>
    <w:p w14:paraId="68D09E33" w14:textId="79F97DF7" w:rsidR="00AD1F54" w:rsidRPr="00264D5D" w:rsidRDefault="00941227">
      <w:pPr>
        <w:pStyle w:val="GOSTNameTable"/>
        <w:numPr>
          <w:ilvl w:val="0"/>
          <w:numId w:val="2"/>
        </w:numPr>
        <w:ind w:left="425" w:hanging="357"/>
        <w:rPr>
          <w:rFonts w:eastAsia="Calibri"/>
        </w:rPr>
      </w:pPr>
      <w:r w:rsidRPr="00264D5D">
        <w:rPr>
          <w:rFonts w:eastAsia="Calibri"/>
        </w:rPr>
        <w:fldChar w:fldCharType="begin"/>
      </w:r>
      <w:r w:rsidRPr="00264D5D">
        <w:rPr>
          <w:rFonts w:eastAsia="Calibri"/>
        </w:rPr>
        <w:instrText xml:space="preserve"> SEQ Таблица \* ARABIC </w:instrText>
      </w:r>
      <w:r w:rsidRPr="00264D5D">
        <w:rPr>
          <w:rFonts w:eastAsia="Calibri"/>
        </w:rPr>
        <w:fldChar w:fldCharType="separate"/>
      </w:r>
      <w:bookmarkStart w:id="2368" w:name="_Ref17447951"/>
      <w:bookmarkStart w:id="2369" w:name="_Toc15552424"/>
      <w:bookmarkStart w:id="2370" w:name="_Toc18509596"/>
      <w:bookmarkStart w:id="2371" w:name="_Toc219309268"/>
      <w:r w:rsidR="008D797C">
        <w:rPr>
          <w:rFonts w:eastAsia="Calibri"/>
          <w:noProof/>
        </w:rPr>
        <w:t>238</w:t>
      </w:r>
      <w:bookmarkEnd w:id="2368"/>
      <w:r w:rsidRPr="00264D5D">
        <w:rPr>
          <w:rFonts w:eastAsia="Calibri"/>
        </w:rPr>
        <w:fldChar w:fldCharType="end"/>
      </w:r>
      <w:r w:rsidRPr="00264D5D">
        <w:rPr>
          <w:rFonts w:eastAsia="Calibri"/>
        </w:rPr>
        <w:t xml:space="preserve"> – Описание комплексного типа «tTAB_BASEDOC_D031_ITEM»</w:t>
      </w:r>
      <w:bookmarkEnd w:id="2369"/>
      <w:bookmarkEnd w:id="2370"/>
      <w:bookmarkEnd w:id="2371"/>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3338F827"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265204BD" w14:textId="77777777" w:rsidR="00AD1F54" w:rsidRPr="00264D5D" w:rsidRDefault="00941227">
            <w:pPr>
              <w:pStyle w:val="ASFKTableHead"/>
            </w:pPr>
            <w:r w:rsidRPr="00264D5D">
              <w:t>Наименование элемента</w:t>
            </w:r>
          </w:p>
        </w:tc>
        <w:tc>
          <w:tcPr>
            <w:tcW w:w="1701" w:type="dxa"/>
          </w:tcPr>
          <w:p w14:paraId="338C83F4" w14:textId="77777777" w:rsidR="00AD1F54" w:rsidRPr="00264D5D" w:rsidRDefault="00941227">
            <w:pPr>
              <w:pStyle w:val="ASFKTableHead"/>
            </w:pPr>
            <w:r w:rsidRPr="00264D5D">
              <w:t>Сокращенное наименование (код) элемента</w:t>
            </w:r>
          </w:p>
        </w:tc>
        <w:tc>
          <w:tcPr>
            <w:tcW w:w="567" w:type="dxa"/>
          </w:tcPr>
          <w:p w14:paraId="30AEF172" w14:textId="77777777" w:rsidR="00AD1F54" w:rsidRPr="00264D5D" w:rsidRDefault="00941227">
            <w:pPr>
              <w:pStyle w:val="ASFKTableHead"/>
            </w:pPr>
            <w:r w:rsidRPr="00264D5D">
              <w:t>Тип</w:t>
            </w:r>
          </w:p>
        </w:tc>
        <w:tc>
          <w:tcPr>
            <w:tcW w:w="1134" w:type="dxa"/>
          </w:tcPr>
          <w:p w14:paraId="42717908" w14:textId="77777777" w:rsidR="00AD1F54" w:rsidRPr="00264D5D" w:rsidRDefault="00941227">
            <w:pPr>
              <w:pStyle w:val="ASFKTableHead"/>
            </w:pPr>
            <w:r w:rsidRPr="00264D5D">
              <w:t>Формат элемента</w:t>
            </w:r>
          </w:p>
        </w:tc>
        <w:tc>
          <w:tcPr>
            <w:tcW w:w="567" w:type="dxa"/>
          </w:tcPr>
          <w:p w14:paraId="163D00D9" w14:textId="77777777" w:rsidR="00AD1F54" w:rsidRPr="00264D5D" w:rsidRDefault="00941227">
            <w:pPr>
              <w:pStyle w:val="ASFKTableHead"/>
            </w:pPr>
            <w:r w:rsidRPr="00264D5D">
              <w:t>Обязательность</w:t>
            </w:r>
          </w:p>
        </w:tc>
        <w:tc>
          <w:tcPr>
            <w:tcW w:w="3963" w:type="dxa"/>
          </w:tcPr>
          <w:p w14:paraId="3D564F9C" w14:textId="77777777" w:rsidR="00AD1F54" w:rsidRPr="00264D5D" w:rsidRDefault="00941227">
            <w:pPr>
              <w:pStyle w:val="ASFKTableHead"/>
            </w:pPr>
            <w:r w:rsidRPr="00264D5D">
              <w:t>Дополнительная информация</w:t>
            </w:r>
          </w:p>
        </w:tc>
      </w:tr>
      <w:tr w:rsidR="00AD1F54" w:rsidRPr="00264D5D" w14:paraId="7E19014E"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B94B9E6" w14:textId="77777777" w:rsidR="00AD1F54" w:rsidRPr="00264D5D" w:rsidRDefault="00941227">
            <w:pPr>
              <w:pStyle w:val="GOSTTablenorm"/>
              <w:rPr>
                <w:szCs w:val="22"/>
              </w:rPr>
            </w:pPr>
            <w:r w:rsidRPr="00264D5D">
              <w:rPr>
                <w:szCs w:val="22"/>
              </w:rPr>
              <w:t>Код строки</w:t>
            </w:r>
          </w:p>
        </w:tc>
        <w:tc>
          <w:tcPr>
            <w:tcW w:w="1701" w:type="dxa"/>
          </w:tcPr>
          <w:p w14:paraId="03AC7C35" w14:textId="77777777" w:rsidR="00AD1F54" w:rsidRPr="00264D5D" w:rsidRDefault="00941227">
            <w:pPr>
              <w:pStyle w:val="GOSTTablenorm"/>
              <w:rPr>
                <w:szCs w:val="22"/>
              </w:rPr>
            </w:pPr>
            <w:r w:rsidRPr="00264D5D">
              <w:rPr>
                <w:szCs w:val="22"/>
              </w:rPr>
              <w:t>CodeLine</w:t>
            </w:r>
          </w:p>
        </w:tc>
        <w:tc>
          <w:tcPr>
            <w:tcW w:w="567" w:type="dxa"/>
          </w:tcPr>
          <w:p w14:paraId="0B25B3F5" w14:textId="77777777" w:rsidR="00AD1F54" w:rsidRPr="00264D5D" w:rsidRDefault="00941227">
            <w:pPr>
              <w:pStyle w:val="GOSTTablenorm"/>
              <w:jc w:val="center"/>
              <w:rPr>
                <w:szCs w:val="22"/>
              </w:rPr>
            </w:pPr>
            <w:r w:rsidRPr="00264D5D">
              <w:rPr>
                <w:szCs w:val="22"/>
              </w:rPr>
              <w:t>П</w:t>
            </w:r>
          </w:p>
        </w:tc>
        <w:tc>
          <w:tcPr>
            <w:tcW w:w="1134" w:type="dxa"/>
          </w:tcPr>
          <w:p w14:paraId="4075620B" w14:textId="77777777" w:rsidR="00AD1F54" w:rsidRPr="00264D5D" w:rsidRDefault="00941227">
            <w:pPr>
              <w:pStyle w:val="GOSTTablenorm"/>
              <w:rPr>
                <w:szCs w:val="22"/>
              </w:rPr>
            </w:pPr>
            <w:r w:rsidRPr="00264D5D">
              <w:rPr>
                <w:szCs w:val="22"/>
              </w:rPr>
              <w:t>Т(2)</w:t>
            </w:r>
          </w:p>
        </w:tc>
        <w:tc>
          <w:tcPr>
            <w:tcW w:w="567" w:type="dxa"/>
          </w:tcPr>
          <w:p w14:paraId="723F27FE" w14:textId="77777777" w:rsidR="00AD1F54" w:rsidRPr="00264D5D" w:rsidRDefault="00941227">
            <w:pPr>
              <w:pStyle w:val="GOSTTablenorm"/>
              <w:jc w:val="center"/>
              <w:rPr>
                <w:szCs w:val="22"/>
              </w:rPr>
            </w:pPr>
            <w:r w:rsidRPr="00264D5D">
              <w:rPr>
                <w:szCs w:val="22"/>
              </w:rPr>
              <w:t>О</w:t>
            </w:r>
          </w:p>
        </w:tc>
        <w:tc>
          <w:tcPr>
            <w:tcW w:w="3963" w:type="dxa"/>
          </w:tcPr>
          <w:p w14:paraId="7BEE3FF8" w14:textId="77777777" w:rsidR="00AD1F54" w:rsidRPr="00264D5D" w:rsidRDefault="00941227">
            <w:pPr>
              <w:pStyle w:val="GOSTTablenorm"/>
              <w:rPr>
                <w:szCs w:val="22"/>
              </w:rPr>
            </w:pPr>
            <w:r w:rsidRPr="00264D5D">
              <w:rPr>
                <w:szCs w:val="22"/>
              </w:rPr>
              <w:t>Ука</w:t>
            </w:r>
            <w:r w:rsidR="008279A4" w:rsidRPr="00264D5D">
              <w:rPr>
                <w:szCs w:val="22"/>
              </w:rPr>
              <w:t>зывается значение «01» или «02»</w:t>
            </w:r>
          </w:p>
        </w:tc>
      </w:tr>
      <w:tr w:rsidR="00AD1F54" w:rsidRPr="00264D5D" w14:paraId="18C7A802"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2054030D" w14:textId="77777777" w:rsidR="00AD1F54" w:rsidRPr="00264D5D" w:rsidRDefault="00941227">
            <w:pPr>
              <w:pStyle w:val="GOSTTablenorm"/>
              <w:rPr>
                <w:szCs w:val="22"/>
              </w:rPr>
            </w:pPr>
            <w:r w:rsidRPr="00264D5D">
              <w:rPr>
                <w:szCs w:val="22"/>
              </w:rPr>
              <w:t>Наименование документа-основания</w:t>
            </w:r>
          </w:p>
        </w:tc>
        <w:tc>
          <w:tcPr>
            <w:tcW w:w="1701" w:type="dxa"/>
          </w:tcPr>
          <w:p w14:paraId="5205CAFC" w14:textId="77777777" w:rsidR="00AD1F54" w:rsidRPr="00264D5D" w:rsidRDefault="00941227">
            <w:pPr>
              <w:pStyle w:val="GOSTTablenorm"/>
              <w:rPr>
                <w:szCs w:val="22"/>
              </w:rPr>
            </w:pPr>
            <w:r w:rsidRPr="00264D5D">
              <w:rPr>
                <w:szCs w:val="22"/>
              </w:rPr>
              <w:t>NameBaseDoc</w:t>
            </w:r>
          </w:p>
        </w:tc>
        <w:tc>
          <w:tcPr>
            <w:tcW w:w="567" w:type="dxa"/>
          </w:tcPr>
          <w:p w14:paraId="43490767" w14:textId="77777777" w:rsidR="00AD1F54" w:rsidRPr="00264D5D" w:rsidRDefault="00941227">
            <w:pPr>
              <w:pStyle w:val="GOSTTablenorm"/>
              <w:jc w:val="center"/>
              <w:rPr>
                <w:szCs w:val="22"/>
              </w:rPr>
            </w:pPr>
            <w:r w:rsidRPr="00264D5D">
              <w:rPr>
                <w:szCs w:val="22"/>
              </w:rPr>
              <w:t>П</w:t>
            </w:r>
          </w:p>
        </w:tc>
        <w:tc>
          <w:tcPr>
            <w:tcW w:w="1134" w:type="dxa"/>
          </w:tcPr>
          <w:p w14:paraId="63ADDCCC" w14:textId="77777777" w:rsidR="00AD1F54" w:rsidRPr="00264D5D" w:rsidRDefault="00941227">
            <w:pPr>
              <w:pStyle w:val="GOSTTablenorm"/>
              <w:rPr>
                <w:szCs w:val="22"/>
              </w:rPr>
            </w:pPr>
            <w:r w:rsidRPr="00264D5D">
              <w:rPr>
                <w:szCs w:val="22"/>
              </w:rPr>
              <w:t>Т(1-512)</w:t>
            </w:r>
          </w:p>
        </w:tc>
        <w:tc>
          <w:tcPr>
            <w:tcW w:w="567" w:type="dxa"/>
          </w:tcPr>
          <w:p w14:paraId="1FFC6AE8" w14:textId="77777777" w:rsidR="00AD1F54" w:rsidRPr="00264D5D" w:rsidRDefault="00941227">
            <w:pPr>
              <w:pStyle w:val="GOSTTablenorm"/>
              <w:jc w:val="center"/>
              <w:rPr>
                <w:szCs w:val="22"/>
              </w:rPr>
            </w:pPr>
            <w:r w:rsidRPr="00264D5D">
              <w:rPr>
                <w:szCs w:val="22"/>
              </w:rPr>
              <w:t>Н</w:t>
            </w:r>
          </w:p>
        </w:tc>
        <w:tc>
          <w:tcPr>
            <w:tcW w:w="3963" w:type="dxa"/>
          </w:tcPr>
          <w:p w14:paraId="319E163B" w14:textId="77777777" w:rsidR="00AD1F54" w:rsidRPr="00264D5D" w:rsidRDefault="00941227">
            <w:pPr>
              <w:pStyle w:val="GOSTTablenorm"/>
              <w:rPr>
                <w:szCs w:val="22"/>
              </w:rPr>
            </w:pPr>
            <w:r w:rsidRPr="00264D5D">
              <w:rPr>
                <w:szCs w:val="22"/>
              </w:rPr>
              <w:t>Указывается наименование документа</w:t>
            </w:r>
            <w:bookmarkStart w:id="2372" w:name="OLE_LINK228"/>
            <w:bookmarkStart w:id="2373" w:name="OLE_LINK229"/>
            <w:r w:rsidRPr="00264D5D">
              <w:rPr>
                <w:szCs w:val="22"/>
              </w:rPr>
              <w:t>-основания</w:t>
            </w:r>
            <w:bookmarkEnd w:id="2372"/>
            <w:bookmarkEnd w:id="2373"/>
          </w:p>
        </w:tc>
      </w:tr>
      <w:tr w:rsidR="00AD1F54" w:rsidRPr="00264D5D" w14:paraId="6977A29B"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E850EA6" w14:textId="77777777" w:rsidR="00AD1F54" w:rsidRPr="00264D5D" w:rsidRDefault="00941227">
            <w:pPr>
              <w:pStyle w:val="GOSTTablenorm"/>
              <w:rPr>
                <w:szCs w:val="22"/>
              </w:rPr>
            </w:pPr>
            <w:r w:rsidRPr="00264D5D">
              <w:rPr>
                <w:szCs w:val="22"/>
                <w:lang w:val="en-US"/>
              </w:rPr>
              <w:t>Номер</w:t>
            </w:r>
            <w:r w:rsidRPr="00264D5D">
              <w:rPr>
                <w:szCs w:val="22"/>
              </w:rPr>
              <w:t xml:space="preserve"> документа</w:t>
            </w:r>
          </w:p>
        </w:tc>
        <w:tc>
          <w:tcPr>
            <w:tcW w:w="1701" w:type="dxa"/>
          </w:tcPr>
          <w:p w14:paraId="118FB972" w14:textId="77777777" w:rsidR="00AD1F54" w:rsidRPr="00264D5D" w:rsidRDefault="00941227">
            <w:pPr>
              <w:pStyle w:val="GOSTTablenorm"/>
              <w:rPr>
                <w:szCs w:val="22"/>
              </w:rPr>
            </w:pPr>
            <w:r w:rsidRPr="00264D5D">
              <w:rPr>
                <w:szCs w:val="22"/>
              </w:rPr>
              <w:t>DocNum</w:t>
            </w:r>
          </w:p>
        </w:tc>
        <w:tc>
          <w:tcPr>
            <w:tcW w:w="567" w:type="dxa"/>
          </w:tcPr>
          <w:p w14:paraId="51C9F44C" w14:textId="77777777" w:rsidR="00AD1F54" w:rsidRPr="00264D5D" w:rsidRDefault="00941227">
            <w:pPr>
              <w:pStyle w:val="GOSTTablenorm"/>
              <w:jc w:val="center"/>
              <w:rPr>
                <w:szCs w:val="22"/>
              </w:rPr>
            </w:pPr>
            <w:r w:rsidRPr="00264D5D">
              <w:rPr>
                <w:szCs w:val="22"/>
              </w:rPr>
              <w:t>П</w:t>
            </w:r>
          </w:p>
        </w:tc>
        <w:tc>
          <w:tcPr>
            <w:tcW w:w="1134" w:type="dxa"/>
          </w:tcPr>
          <w:p w14:paraId="4BADF60E" w14:textId="77777777" w:rsidR="00AD1F54" w:rsidRPr="00264D5D" w:rsidRDefault="00941227">
            <w:pPr>
              <w:pStyle w:val="GOSTTablenorm"/>
              <w:rPr>
                <w:szCs w:val="22"/>
              </w:rPr>
            </w:pPr>
            <w:r w:rsidRPr="00264D5D">
              <w:rPr>
                <w:szCs w:val="22"/>
              </w:rPr>
              <w:t>Т(1-100)</w:t>
            </w:r>
          </w:p>
        </w:tc>
        <w:tc>
          <w:tcPr>
            <w:tcW w:w="567" w:type="dxa"/>
          </w:tcPr>
          <w:p w14:paraId="6BC546E2" w14:textId="77777777" w:rsidR="00AD1F54" w:rsidRPr="00264D5D" w:rsidRDefault="00941227">
            <w:pPr>
              <w:pStyle w:val="GOSTTablenorm"/>
              <w:jc w:val="center"/>
              <w:rPr>
                <w:szCs w:val="22"/>
              </w:rPr>
            </w:pPr>
            <w:r w:rsidRPr="00264D5D">
              <w:rPr>
                <w:szCs w:val="22"/>
              </w:rPr>
              <w:t>Н</w:t>
            </w:r>
          </w:p>
        </w:tc>
        <w:tc>
          <w:tcPr>
            <w:tcW w:w="3963" w:type="dxa"/>
          </w:tcPr>
          <w:p w14:paraId="0A3D371A" w14:textId="77777777" w:rsidR="00AD1F54" w:rsidRPr="00264D5D" w:rsidRDefault="00941227">
            <w:pPr>
              <w:pStyle w:val="GOSTTablenorm"/>
              <w:rPr>
                <w:szCs w:val="22"/>
              </w:rPr>
            </w:pPr>
            <w:r w:rsidRPr="00264D5D">
              <w:rPr>
                <w:szCs w:val="22"/>
              </w:rPr>
              <w:t>Указыв</w:t>
            </w:r>
            <w:r w:rsidR="008279A4" w:rsidRPr="00264D5D">
              <w:rPr>
                <w:szCs w:val="22"/>
              </w:rPr>
              <w:t>ается номер документа-основания</w:t>
            </w:r>
          </w:p>
        </w:tc>
      </w:tr>
      <w:tr w:rsidR="00AD1F54" w:rsidRPr="00264D5D" w14:paraId="216B4870"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2DA5FD0F" w14:textId="77777777" w:rsidR="00AD1F54" w:rsidRPr="00264D5D" w:rsidRDefault="00941227">
            <w:pPr>
              <w:pStyle w:val="GOSTTablenorm"/>
              <w:rPr>
                <w:szCs w:val="22"/>
              </w:rPr>
            </w:pPr>
            <w:r w:rsidRPr="00264D5D">
              <w:rPr>
                <w:szCs w:val="22"/>
              </w:rPr>
              <w:t>Дата</w:t>
            </w:r>
          </w:p>
        </w:tc>
        <w:tc>
          <w:tcPr>
            <w:tcW w:w="1701" w:type="dxa"/>
          </w:tcPr>
          <w:p w14:paraId="53E9FFBD" w14:textId="77777777" w:rsidR="00AD1F54" w:rsidRPr="00264D5D" w:rsidRDefault="00941227">
            <w:pPr>
              <w:pStyle w:val="GOSTTablenorm"/>
              <w:rPr>
                <w:szCs w:val="22"/>
              </w:rPr>
            </w:pPr>
            <w:r w:rsidRPr="00264D5D">
              <w:rPr>
                <w:szCs w:val="22"/>
              </w:rPr>
              <w:t>DateBaseDoc</w:t>
            </w:r>
          </w:p>
        </w:tc>
        <w:tc>
          <w:tcPr>
            <w:tcW w:w="567" w:type="dxa"/>
          </w:tcPr>
          <w:p w14:paraId="5304E6F3" w14:textId="77777777" w:rsidR="00AD1F54" w:rsidRPr="00264D5D" w:rsidRDefault="00941227">
            <w:pPr>
              <w:pStyle w:val="GOSTTablenorm"/>
              <w:jc w:val="center"/>
              <w:rPr>
                <w:szCs w:val="22"/>
              </w:rPr>
            </w:pPr>
            <w:r w:rsidRPr="00264D5D">
              <w:rPr>
                <w:szCs w:val="22"/>
              </w:rPr>
              <w:t>П</w:t>
            </w:r>
          </w:p>
        </w:tc>
        <w:tc>
          <w:tcPr>
            <w:tcW w:w="1134" w:type="dxa"/>
          </w:tcPr>
          <w:p w14:paraId="7E1CEAB0" w14:textId="77777777" w:rsidR="00AD1F54" w:rsidRPr="00264D5D" w:rsidRDefault="00941227">
            <w:pPr>
              <w:pStyle w:val="GOSTTablenorm"/>
              <w:rPr>
                <w:szCs w:val="22"/>
              </w:rPr>
            </w:pPr>
            <w:r w:rsidRPr="00264D5D">
              <w:rPr>
                <w:szCs w:val="22"/>
                <w:lang w:val="en-US"/>
              </w:rPr>
              <w:t>Date</w:t>
            </w:r>
          </w:p>
        </w:tc>
        <w:tc>
          <w:tcPr>
            <w:tcW w:w="567" w:type="dxa"/>
          </w:tcPr>
          <w:p w14:paraId="36647027" w14:textId="77777777" w:rsidR="00AD1F54" w:rsidRPr="00264D5D" w:rsidRDefault="00941227">
            <w:pPr>
              <w:pStyle w:val="GOSTTablenorm"/>
              <w:jc w:val="center"/>
              <w:rPr>
                <w:szCs w:val="22"/>
              </w:rPr>
            </w:pPr>
            <w:r w:rsidRPr="00264D5D">
              <w:rPr>
                <w:szCs w:val="22"/>
              </w:rPr>
              <w:t>Н</w:t>
            </w:r>
          </w:p>
        </w:tc>
        <w:tc>
          <w:tcPr>
            <w:tcW w:w="3963" w:type="dxa"/>
          </w:tcPr>
          <w:p w14:paraId="462F58B7" w14:textId="77777777" w:rsidR="00AD1F54" w:rsidRPr="00264D5D" w:rsidRDefault="00941227">
            <w:pPr>
              <w:pStyle w:val="GOSTTablenorm"/>
              <w:rPr>
                <w:szCs w:val="22"/>
              </w:rPr>
            </w:pPr>
            <w:r w:rsidRPr="00264D5D">
              <w:rPr>
                <w:szCs w:val="22"/>
              </w:rPr>
              <w:t>Указы</w:t>
            </w:r>
            <w:r w:rsidR="008279A4" w:rsidRPr="00264D5D">
              <w:rPr>
                <w:szCs w:val="22"/>
              </w:rPr>
              <w:t>вается дата документа-основания</w:t>
            </w:r>
          </w:p>
        </w:tc>
      </w:tr>
      <w:tr w:rsidR="00AD1F54" w:rsidRPr="00264D5D" w14:paraId="450B33C2"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BC6B001" w14:textId="77777777" w:rsidR="00AD1F54" w:rsidRPr="00264D5D" w:rsidRDefault="00941227">
            <w:pPr>
              <w:pStyle w:val="GOSTTablenorm"/>
              <w:rPr>
                <w:szCs w:val="22"/>
                <w:lang w:val="en-US"/>
              </w:rPr>
            </w:pPr>
            <w:r w:rsidRPr="00264D5D">
              <w:rPr>
                <w:szCs w:val="22"/>
              </w:rPr>
              <w:t>Идентификатор</w:t>
            </w:r>
          </w:p>
        </w:tc>
        <w:tc>
          <w:tcPr>
            <w:tcW w:w="1701" w:type="dxa"/>
          </w:tcPr>
          <w:p w14:paraId="005ADC80" w14:textId="77777777" w:rsidR="00AD1F54" w:rsidRPr="00264D5D" w:rsidRDefault="00941227">
            <w:pPr>
              <w:pStyle w:val="GOSTTablenorm"/>
              <w:rPr>
                <w:szCs w:val="22"/>
              </w:rPr>
            </w:pPr>
            <w:r w:rsidRPr="00264D5D">
              <w:rPr>
                <w:szCs w:val="22"/>
              </w:rPr>
              <w:t>BaseDocID</w:t>
            </w:r>
          </w:p>
        </w:tc>
        <w:tc>
          <w:tcPr>
            <w:tcW w:w="567" w:type="dxa"/>
          </w:tcPr>
          <w:p w14:paraId="38C9CE93" w14:textId="77777777" w:rsidR="00AD1F54" w:rsidRPr="00264D5D" w:rsidRDefault="00941227">
            <w:pPr>
              <w:pStyle w:val="GOSTTablenorm"/>
              <w:jc w:val="center"/>
              <w:rPr>
                <w:szCs w:val="22"/>
              </w:rPr>
            </w:pPr>
            <w:r w:rsidRPr="00264D5D">
              <w:rPr>
                <w:szCs w:val="22"/>
              </w:rPr>
              <w:t>П</w:t>
            </w:r>
          </w:p>
        </w:tc>
        <w:tc>
          <w:tcPr>
            <w:tcW w:w="1134" w:type="dxa"/>
          </w:tcPr>
          <w:p w14:paraId="3106C076" w14:textId="77777777" w:rsidR="00AD1F54" w:rsidRPr="00264D5D" w:rsidRDefault="00941227">
            <w:pPr>
              <w:pStyle w:val="GOSTTablenorm"/>
              <w:rPr>
                <w:szCs w:val="22"/>
              </w:rPr>
            </w:pPr>
            <w:r w:rsidRPr="00264D5D">
              <w:rPr>
                <w:szCs w:val="22"/>
              </w:rPr>
              <w:t>Т(1-25)</w:t>
            </w:r>
          </w:p>
        </w:tc>
        <w:tc>
          <w:tcPr>
            <w:tcW w:w="567" w:type="dxa"/>
          </w:tcPr>
          <w:p w14:paraId="6B1235AC" w14:textId="77777777" w:rsidR="00AD1F54" w:rsidRPr="00264D5D" w:rsidRDefault="00941227">
            <w:pPr>
              <w:pStyle w:val="GOSTTablenorm"/>
              <w:jc w:val="center"/>
              <w:rPr>
                <w:szCs w:val="22"/>
              </w:rPr>
            </w:pPr>
            <w:r w:rsidRPr="00264D5D">
              <w:rPr>
                <w:szCs w:val="22"/>
              </w:rPr>
              <w:t>Н</w:t>
            </w:r>
          </w:p>
        </w:tc>
        <w:tc>
          <w:tcPr>
            <w:tcW w:w="3963" w:type="dxa"/>
          </w:tcPr>
          <w:p w14:paraId="34A1FA47" w14:textId="77777777" w:rsidR="00AD1F54" w:rsidRPr="00264D5D" w:rsidRDefault="00941227">
            <w:pPr>
              <w:pStyle w:val="GOSTTablenorm"/>
              <w:rPr>
                <w:b/>
                <w:bCs/>
                <w:szCs w:val="22"/>
              </w:rPr>
            </w:pPr>
            <w:r w:rsidRPr="00264D5D">
              <w:rPr>
                <w:szCs w:val="22"/>
              </w:rPr>
              <w:t>Идентификатор отдельного со</w:t>
            </w:r>
            <w:r w:rsidR="008279A4" w:rsidRPr="00264D5D">
              <w:rPr>
                <w:szCs w:val="22"/>
              </w:rPr>
              <w:t>глашения (отдельного контракта)</w:t>
            </w:r>
          </w:p>
        </w:tc>
      </w:tr>
      <w:tr w:rsidR="00AD1F54" w:rsidRPr="00264D5D" w14:paraId="4EF8ECB8"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59CD7BA2" w14:textId="77777777" w:rsidR="00AD1F54" w:rsidRPr="00264D5D" w:rsidRDefault="00941227">
            <w:pPr>
              <w:pStyle w:val="GOSTTablenorm"/>
              <w:rPr>
                <w:szCs w:val="22"/>
              </w:rPr>
            </w:pPr>
            <w:r w:rsidRPr="00264D5D">
              <w:rPr>
                <w:szCs w:val="22"/>
                <w:lang w:val="en-US"/>
              </w:rPr>
              <w:t>Номер обязательств</w:t>
            </w:r>
            <w:r w:rsidRPr="00264D5D">
              <w:rPr>
                <w:szCs w:val="22"/>
              </w:rPr>
              <w:t>а</w:t>
            </w:r>
          </w:p>
          <w:p w14:paraId="3B0CCDBE" w14:textId="77777777" w:rsidR="00AD1F54" w:rsidRPr="00264D5D" w:rsidRDefault="00AD1F54">
            <w:pPr>
              <w:pStyle w:val="GOSTTablenorm"/>
              <w:ind w:firstLine="567"/>
              <w:rPr>
                <w:szCs w:val="22"/>
                <w:lang w:val="en-US"/>
              </w:rPr>
            </w:pPr>
          </w:p>
        </w:tc>
        <w:tc>
          <w:tcPr>
            <w:tcW w:w="1701" w:type="dxa"/>
          </w:tcPr>
          <w:p w14:paraId="753DCE55" w14:textId="77777777" w:rsidR="00AD1F54" w:rsidRPr="00264D5D" w:rsidRDefault="00941227">
            <w:pPr>
              <w:pStyle w:val="GOSTTablenorm"/>
              <w:rPr>
                <w:szCs w:val="22"/>
              </w:rPr>
            </w:pPr>
            <w:r w:rsidRPr="00264D5D">
              <w:rPr>
                <w:szCs w:val="22"/>
              </w:rPr>
              <w:t>NumberBO</w:t>
            </w:r>
          </w:p>
        </w:tc>
        <w:tc>
          <w:tcPr>
            <w:tcW w:w="567" w:type="dxa"/>
          </w:tcPr>
          <w:p w14:paraId="5F218AB0" w14:textId="77777777" w:rsidR="00AD1F54" w:rsidRPr="00264D5D" w:rsidRDefault="00941227">
            <w:pPr>
              <w:pStyle w:val="GOSTTablenorm"/>
              <w:jc w:val="center"/>
              <w:rPr>
                <w:szCs w:val="22"/>
              </w:rPr>
            </w:pPr>
            <w:r w:rsidRPr="00264D5D">
              <w:rPr>
                <w:szCs w:val="22"/>
              </w:rPr>
              <w:t>П</w:t>
            </w:r>
          </w:p>
        </w:tc>
        <w:tc>
          <w:tcPr>
            <w:tcW w:w="1134" w:type="dxa"/>
          </w:tcPr>
          <w:p w14:paraId="24D26CDD" w14:textId="77777777" w:rsidR="00AD1F54" w:rsidRPr="00264D5D" w:rsidRDefault="00941227">
            <w:pPr>
              <w:pStyle w:val="GOSTTablenorm"/>
              <w:rPr>
                <w:szCs w:val="22"/>
              </w:rPr>
            </w:pPr>
            <w:r w:rsidRPr="00264D5D">
              <w:rPr>
                <w:szCs w:val="22"/>
              </w:rPr>
              <w:t>Т(1-19)</w:t>
            </w:r>
          </w:p>
        </w:tc>
        <w:tc>
          <w:tcPr>
            <w:tcW w:w="567" w:type="dxa"/>
          </w:tcPr>
          <w:p w14:paraId="37A7157B" w14:textId="77777777" w:rsidR="00AD1F54" w:rsidRPr="00264D5D" w:rsidRDefault="00941227">
            <w:pPr>
              <w:pStyle w:val="GOSTTablenorm"/>
              <w:jc w:val="center"/>
              <w:rPr>
                <w:szCs w:val="22"/>
              </w:rPr>
            </w:pPr>
            <w:r w:rsidRPr="00264D5D">
              <w:rPr>
                <w:szCs w:val="22"/>
              </w:rPr>
              <w:t>Н</w:t>
            </w:r>
          </w:p>
        </w:tc>
        <w:tc>
          <w:tcPr>
            <w:tcW w:w="3963" w:type="dxa"/>
          </w:tcPr>
          <w:p w14:paraId="1FEFD632" w14:textId="77777777" w:rsidR="00AD1F54" w:rsidRPr="00264D5D" w:rsidRDefault="00941227">
            <w:pPr>
              <w:pStyle w:val="GOSTTablenorm"/>
              <w:rPr>
                <w:b/>
                <w:bCs/>
                <w:szCs w:val="22"/>
              </w:rPr>
            </w:pPr>
            <w:r w:rsidRPr="00264D5D">
              <w:rPr>
                <w:szCs w:val="22"/>
              </w:rPr>
              <w:t xml:space="preserve">Номер, присвоенный органом Федерального казначейства бюджетному обязательству, возникшему на основании отдельного соглашения (отдельного </w:t>
            </w:r>
            <w:r w:rsidR="008279A4" w:rsidRPr="00264D5D">
              <w:rPr>
                <w:szCs w:val="22"/>
              </w:rPr>
              <w:t>контракта)</w:t>
            </w:r>
          </w:p>
        </w:tc>
      </w:tr>
      <w:tr w:rsidR="00AD1F54" w:rsidRPr="00264D5D" w14:paraId="4CEC19DC"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E9E1D4B" w14:textId="77777777" w:rsidR="00AD1F54" w:rsidRPr="00264D5D" w:rsidRDefault="00941227">
            <w:pPr>
              <w:spacing w:before="60" w:after="60"/>
              <w:rPr>
                <w:sz w:val="22"/>
                <w:szCs w:val="22"/>
                <w:lang w:val="en-US"/>
              </w:rPr>
            </w:pPr>
            <w:r w:rsidRPr="00264D5D">
              <w:rPr>
                <w:sz w:val="22"/>
                <w:szCs w:val="22"/>
                <w:lang w:val="en-US"/>
              </w:rPr>
              <w:t xml:space="preserve">Код </w:t>
            </w:r>
            <w:r w:rsidRPr="00264D5D">
              <w:rPr>
                <w:sz w:val="22"/>
                <w:szCs w:val="22"/>
              </w:rPr>
              <w:t>ОКС (ОКВ), КМИ</w:t>
            </w:r>
          </w:p>
        </w:tc>
        <w:tc>
          <w:tcPr>
            <w:tcW w:w="1701" w:type="dxa"/>
          </w:tcPr>
          <w:p w14:paraId="52D6A6E7" w14:textId="77777777" w:rsidR="00AD1F54" w:rsidRPr="00264D5D" w:rsidRDefault="00941227">
            <w:pPr>
              <w:pStyle w:val="GOSTTablenorm"/>
              <w:rPr>
                <w:szCs w:val="22"/>
              </w:rPr>
            </w:pPr>
            <w:r w:rsidRPr="00264D5D">
              <w:rPr>
                <w:szCs w:val="22"/>
              </w:rPr>
              <w:t>CodeFAIP</w:t>
            </w:r>
          </w:p>
        </w:tc>
        <w:tc>
          <w:tcPr>
            <w:tcW w:w="567" w:type="dxa"/>
          </w:tcPr>
          <w:p w14:paraId="0FCDD1E6" w14:textId="77777777" w:rsidR="00AD1F54" w:rsidRPr="00264D5D" w:rsidRDefault="00941227">
            <w:pPr>
              <w:pStyle w:val="GOSTTablenorm"/>
              <w:jc w:val="center"/>
              <w:rPr>
                <w:szCs w:val="22"/>
              </w:rPr>
            </w:pPr>
            <w:r w:rsidRPr="00264D5D">
              <w:rPr>
                <w:szCs w:val="22"/>
              </w:rPr>
              <w:t>П</w:t>
            </w:r>
          </w:p>
        </w:tc>
        <w:tc>
          <w:tcPr>
            <w:tcW w:w="1134" w:type="dxa"/>
          </w:tcPr>
          <w:p w14:paraId="65FA2032" w14:textId="77777777" w:rsidR="00AD1F54" w:rsidRPr="00264D5D" w:rsidRDefault="00941227">
            <w:pPr>
              <w:pStyle w:val="GOSTTablenorm"/>
              <w:rPr>
                <w:szCs w:val="22"/>
              </w:rPr>
            </w:pPr>
            <w:r w:rsidRPr="00264D5D">
              <w:rPr>
                <w:szCs w:val="22"/>
              </w:rPr>
              <w:t>Т(1-</w:t>
            </w:r>
            <w:r w:rsidRPr="00264D5D">
              <w:rPr>
                <w:szCs w:val="22"/>
                <w:lang w:val="en-US"/>
              </w:rPr>
              <w:t>2</w:t>
            </w:r>
            <w:r w:rsidRPr="00264D5D">
              <w:rPr>
                <w:szCs w:val="22"/>
              </w:rPr>
              <w:t>4)</w:t>
            </w:r>
          </w:p>
        </w:tc>
        <w:tc>
          <w:tcPr>
            <w:tcW w:w="567" w:type="dxa"/>
          </w:tcPr>
          <w:p w14:paraId="47B20E7B" w14:textId="77777777" w:rsidR="00AD1F54" w:rsidRPr="00264D5D" w:rsidRDefault="00941227">
            <w:pPr>
              <w:pStyle w:val="GOSTTablenorm"/>
              <w:jc w:val="center"/>
              <w:rPr>
                <w:szCs w:val="22"/>
              </w:rPr>
            </w:pPr>
            <w:r w:rsidRPr="00264D5D">
              <w:rPr>
                <w:szCs w:val="22"/>
              </w:rPr>
              <w:t>Н</w:t>
            </w:r>
          </w:p>
        </w:tc>
        <w:tc>
          <w:tcPr>
            <w:tcW w:w="3963" w:type="dxa"/>
          </w:tcPr>
          <w:p w14:paraId="14E2693E" w14:textId="77777777" w:rsidR="00AD1F54" w:rsidRPr="00264D5D" w:rsidRDefault="00941227">
            <w:pPr>
              <w:spacing w:before="60" w:after="60"/>
              <w:rPr>
                <w:sz w:val="22"/>
                <w:szCs w:val="22"/>
              </w:rPr>
            </w:pPr>
            <w:r w:rsidRPr="00264D5D">
              <w:rPr>
                <w:sz w:val="22"/>
                <w:szCs w:val="22"/>
              </w:rPr>
              <w:t>Может указываться уникальный код объекта капитального строительства или объекта недвижимости, код мероприятия по информатизации.</w:t>
            </w:r>
          </w:p>
        </w:tc>
      </w:tr>
      <w:tr w:rsidR="00AD1F54" w:rsidRPr="00264D5D" w14:paraId="1ACF4417"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8A8D874" w14:textId="77777777" w:rsidR="00AD1F54" w:rsidRPr="00264D5D" w:rsidRDefault="00941227">
            <w:pPr>
              <w:spacing w:before="60" w:after="60"/>
              <w:rPr>
                <w:sz w:val="22"/>
                <w:szCs w:val="22"/>
              </w:rPr>
            </w:pPr>
            <w:r w:rsidRPr="00264D5D">
              <w:rPr>
                <w:sz w:val="22"/>
                <w:szCs w:val="22"/>
              </w:rPr>
              <w:t>Код по БК</w:t>
            </w:r>
          </w:p>
        </w:tc>
        <w:tc>
          <w:tcPr>
            <w:tcW w:w="1701" w:type="dxa"/>
          </w:tcPr>
          <w:p w14:paraId="20849137" w14:textId="77777777" w:rsidR="00AD1F54" w:rsidRPr="00264D5D" w:rsidRDefault="00941227">
            <w:pPr>
              <w:pStyle w:val="GOSTTablenorm"/>
              <w:rPr>
                <w:szCs w:val="22"/>
              </w:rPr>
            </w:pPr>
            <w:r w:rsidRPr="00264D5D">
              <w:rPr>
                <w:szCs w:val="22"/>
              </w:rPr>
              <w:t>CodeBK</w:t>
            </w:r>
          </w:p>
        </w:tc>
        <w:tc>
          <w:tcPr>
            <w:tcW w:w="567" w:type="dxa"/>
          </w:tcPr>
          <w:p w14:paraId="18C3B1DE" w14:textId="77777777" w:rsidR="00AD1F54" w:rsidRPr="00264D5D" w:rsidRDefault="00941227">
            <w:pPr>
              <w:pStyle w:val="GOSTTablenorm"/>
              <w:jc w:val="center"/>
              <w:rPr>
                <w:szCs w:val="22"/>
              </w:rPr>
            </w:pPr>
            <w:r w:rsidRPr="00264D5D">
              <w:rPr>
                <w:szCs w:val="22"/>
              </w:rPr>
              <w:t>П</w:t>
            </w:r>
          </w:p>
        </w:tc>
        <w:tc>
          <w:tcPr>
            <w:tcW w:w="1134" w:type="dxa"/>
          </w:tcPr>
          <w:p w14:paraId="268B3EAF" w14:textId="77777777" w:rsidR="00AD1F54" w:rsidRPr="00264D5D" w:rsidRDefault="00941227">
            <w:pPr>
              <w:pStyle w:val="GOSTTablenorm"/>
              <w:rPr>
                <w:szCs w:val="22"/>
              </w:rPr>
            </w:pPr>
            <w:r w:rsidRPr="00264D5D">
              <w:rPr>
                <w:szCs w:val="22"/>
              </w:rPr>
              <w:t>Т(20)</w:t>
            </w:r>
          </w:p>
        </w:tc>
        <w:tc>
          <w:tcPr>
            <w:tcW w:w="567" w:type="dxa"/>
          </w:tcPr>
          <w:p w14:paraId="46F0796B" w14:textId="77777777" w:rsidR="00AD1F54" w:rsidRPr="00264D5D" w:rsidRDefault="00941227">
            <w:pPr>
              <w:pStyle w:val="GOSTTablenorm"/>
              <w:jc w:val="center"/>
              <w:rPr>
                <w:szCs w:val="22"/>
              </w:rPr>
            </w:pPr>
            <w:r w:rsidRPr="00264D5D">
              <w:rPr>
                <w:szCs w:val="22"/>
              </w:rPr>
              <w:t>Н</w:t>
            </w:r>
          </w:p>
        </w:tc>
        <w:tc>
          <w:tcPr>
            <w:tcW w:w="3963" w:type="dxa"/>
          </w:tcPr>
          <w:p w14:paraId="126EE068" w14:textId="77777777" w:rsidR="00AD1F54" w:rsidRPr="00264D5D" w:rsidRDefault="00941227">
            <w:pPr>
              <w:pStyle w:val="GOSTTablenorm"/>
              <w:rPr>
                <w:szCs w:val="22"/>
              </w:rPr>
            </w:pPr>
            <w:r w:rsidRPr="00264D5D">
              <w:rPr>
                <w:szCs w:val="22"/>
              </w:rPr>
              <w:t xml:space="preserve">Указывается КБК плательщика, по которому осуществляется исполнение отдельного соглашения (отдельного контракта). </w:t>
            </w:r>
          </w:p>
          <w:p w14:paraId="42A3A3CA" w14:textId="77777777" w:rsidR="00AD1F54" w:rsidRPr="00264D5D" w:rsidRDefault="00941227">
            <w:pPr>
              <w:pStyle w:val="GOSTTablenorm"/>
              <w:rPr>
                <w:b/>
                <w:bCs/>
                <w:szCs w:val="22"/>
              </w:rPr>
            </w:pPr>
            <w:r w:rsidRPr="00264D5D">
              <w:rPr>
                <w:szCs w:val="22"/>
              </w:rPr>
              <w:t>Обязательно для запол</w:t>
            </w:r>
            <w:r w:rsidR="008279A4" w:rsidRPr="00264D5D">
              <w:rPr>
                <w:szCs w:val="22"/>
              </w:rPr>
              <w:t>нения в Заявлении на выдачу КОО</w:t>
            </w:r>
          </w:p>
        </w:tc>
      </w:tr>
      <w:tr w:rsidR="00AD1F54" w:rsidRPr="00264D5D" w14:paraId="3F82C995"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C73F9AE" w14:textId="77777777" w:rsidR="00AD1F54" w:rsidRPr="00264D5D" w:rsidRDefault="00941227">
            <w:pPr>
              <w:spacing w:before="60" w:after="60"/>
              <w:rPr>
                <w:sz w:val="22"/>
                <w:szCs w:val="22"/>
              </w:rPr>
            </w:pPr>
            <w:r w:rsidRPr="00264D5D">
              <w:rPr>
                <w:sz w:val="22"/>
                <w:szCs w:val="22"/>
              </w:rPr>
              <w:t>НДС</w:t>
            </w:r>
          </w:p>
        </w:tc>
        <w:tc>
          <w:tcPr>
            <w:tcW w:w="1701" w:type="dxa"/>
          </w:tcPr>
          <w:p w14:paraId="283E3B17" w14:textId="77777777" w:rsidR="00AD1F54" w:rsidRPr="00264D5D" w:rsidRDefault="00941227">
            <w:pPr>
              <w:pStyle w:val="GOSTTablenorm"/>
              <w:rPr>
                <w:szCs w:val="22"/>
              </w:rPr>
            </w:pPr>
            <w:r w:rsidRPr="00264D5D">
              <w:rPr>
                <w:szCs w:val="22"/>
              </w:rPr>
              <w:t>NDS</w:t>
            </w:r>
          </w:p>
        </w:tc>
        <w:tc>
          <w:tcPr>
            <w:tcW w:w="567" w:type="dxa"/>
          </w:tcPr>
          <w:p w14:paraId="766DA1A4" w14:textId="77777777" w:rsidR="00AD1F54" w:rsidRPr="00264D5D" w:rsidRDefault="00941227">
            <w:pPr>
              <w:pStyle w:val="GOSTTablenorm"/>
              <w:jc w:val="center"/>
              <w:rPr>
                <w:szCs w:val="22"/>
              </w:rPr>
            </w:pPr>
            <w:r w:rsidRPr="00264D5D">
              <w:rPr>
                <w:szCs w:val="22"/>
              </w:rPr>
              <w:t>П</w:t>
            </w:r>
          </w:p>
        </w:tc>
        <w:tc>
          <w:tcPr>
            <w:tcW w:w="1134" w:type="dxa"/>
          </w:tcPr>
          <w:p w14:paraId="66DF0AEF" w14:textId="77777777" w:rsidR="00AD1F54" w:rsidRPr="00264D5D" w:rsidRDefault="00941227">
            <w:pPr>
              <w:pStyle w:val="GOSTTablenorm"/>
              <w:rPr>
                <w:szCs w:val="22"/>
              </w:rPr>
            </w:pPr>
            <w:r w:rsidRPr="00264D5D">
              <w:rPr>
                <w:szCs w:val="22"/>
                <w:lang w:val="en-US"/>
              </w:rPr>
              <w:t>N(5.2)</w:t>
            </w:r>
          </w:p>
        </w:tc>
        <w:tc>
          <w:tcPr>
            <w:tcW w:w="567" w:type="dxa"/>
          </w:tcPr>
          <w:p w14:paraId="15B3647E" w14:textId="77777777" w:rsidR="00AD1F54" w:rsidRPr="00264D5D" w:rsidRDefault="00941227">
            <w:pPr>
              <w:pStyle w:val="GOSTTablenorm"/>
              <w:jc w:val="center"/>
              <w:rPr>
                <w:szCs w:val="22"/>
              </w:rPr>
            </w:pPr>
            <w:r w:rsidRPr="00264D5D">
              <w:rPr>
                <w:szCs w:val="22"/>
              </w:rPr>
              <w:t>Н</w:t>
            </w:r>
          </w:p>
        </w:tc>
        <w:tc>
          <w:tcPr>
            <w:tcW w:w="3963" w:type="dxa"/>
          </w:tcPr>
          <w:p w14:paraId="1E22FE4E" w14:textId="77777777" w:rsidR="00AD1F54" w:rsidRPr="00264D5D" w:rsidRDefault="008279A4">
            <w:pPr>
              <w:pStyle w:val="GOSTTablenorm"/>
              <w:rPr>
                <w:b/>
                <w:bCs/>
                <w:szCs w:val="22"/>
              </w:rPr>
            </w:pPr>
            <w:r w:rsidRPr="00264D5D">
              <w:rPr>
                <w:szCs w:val="22"/>
              </w:rPr>
              <w:t>Указывается процент НДС</w:t>
            </w:r>
          </w:p>
        </w:tc>
      </w:tr>
    </w:tbl>
    <w:p w14:paraId="177C2B67" w14:textId="77777777" w:rsidR="00AD1F54" w:rsidRPr="00264D5D" w:rsidRDefault="00941227">
      <w:pPr>
        <w:pStyle w:val="31"/>
      </w:pPr>
      <w:bookmarkStart w:id="2374" w:name="_Toc15552307"/>
      <w:bookmarkStart w:id="2375" w:name="_Toc18509315"/>
      <w:r w:rsidRPr="00264D5D">
        <w:t xml:space="preserve"> </w:t>
      </w:r>
      <w:bookmarkStart w:id="2376" w:name="_Toc219309706"/>
      <w:r w:rsidRPr="00264D5D">
        <w:t>Описание комплексного типа «tCalculationTypeComplex»</w:t>
      </w:r>
      <w:bookmarkEnd w:id="2374"/>
      <w:bookmarkEnd w:id="2375"/>
      <w:bookmarkEnd w:id="2376"/>
    </w:p>
    <w:p w14:paraId="1199D2D5" w14:textId="77777777" w:rsidR="00AD1F54" w:rsidRPr="00264D5D" w:rsidRDefault="00941227">
      <w:pPr>
        <w:pStyle w:val="GOSTNormal"/>
        <w:rPr>
          <w:szCs w:val="24"/>
        </w:rPr>
      </w:pPr>
      <w:r w:rsidRPr="00264D5D">
        <w:rPr>
          <w:szCs w:val="24"/>
        </w:rPr>
        <w:t>Описание комплексного типа «</w:t>
      </w:r>
      <w:r w:rsidRPr="00264D5D">
        <w:rPr>
          <w:lang w:val="en-US"/>
        </w:rPr>
        <w:t>tCalculationTypeComplex</w:t>
      </w:r>
      <w:r w:rsidRPr="00264D5D">
        <w:rPr>
          <w:szCs w:val="24"/>
        </w:rPr>
        <w:t>» блока «</w:t>
      </w:r>
      <w:r w:rsidRPr="00264D5D">
        <w:t>Вид расчетов</w:t>
      </w:r>
      <w:r w:rsidRPr="00264D5D">
        <w:rPr>
          <w:szCs w:val="24"/>
        </w:rPr>
        <w:t>».</w:t>
      </w:r>
    </w:p>
    <w:p w14:paraId="5539E2A2" w14:textId="4156AECC" w:rsidR="00AD1F54" w:rsidRPr="00264D5D" w:rsidRDefault="00941227">
      <w:pPr>
        <w:pStyle w:val="GOSTNameTable"/>
        <w:numPr>
          <w:ilvl w:val="0"/>
          <w:numId w:val="2"/>
        </w:numPr>
        <w:ind w:left="425" w:hanging="357"/>
        <w:rPr>
          <w:rFonts w:eastAsia="Calibri"/>
        </w:rPr>
      </w:pPr>
      <w:r w:rsidRPr="00264D5D">
        <w:rPr>
          <w:rFonts w:eastAsia="Calibri"/>
        </w:rPr>
        <w:fldChar w:fldCharType="begin"/>
      </w:r>
      <w:r w:rsidRPr="00264D5D">
        <w:rPr>
          <w:rFonts w:eastAsia="Calibri"/>
        </w:rPr>
        <w:instrText xml:space="preserve"> SEQ Таблица \* ARABIC </w:instrText>
      </w:r>
      <w:r w:rsidRPr="00264D5D">
        <w:rPr>
          <w:rFonts w:eastAsia="Calibri"/>
        </w:rPr>
        <w:fldChar w:fldCharType="separate"/>
      </w:r>
      <w:bookmarkStart w:id="2377" w:name="_Ref17447946"/>
      <w:bookmarkStart w:id="2378" w:name="_Toc15552425"/>
      <w:bookmarkStart w:id="2379" w:name="_Toc18509597"/>
      <w:bookmarkStart w:id="2380" w:name="_Toc219309269"/>
      <w:r w:rsidR="008D797C">
        <w:rPr>
          <w:rFonts w:eastAsia="Calibri"/>
          <w:noProof/>
        </w:rPr>
        <w:t>239</w:t>
      </w:r>
      <w:bookmarkEnd w:id="2377"/>
      <w:r w:rsidRPr="00264D5D">
        <w:rPr>
          <w:rFonts w:eastAsia="Calibri"/>
        </w:rPr>
        <w:fldChar w:fldCharType="end"/>
      </w:r>
      <w:r w:rsidRPr="00264D5D">
        <w:rPr>
          <w:rFonts w:eastAsia="Calibri"/>
        </w:rPr>
        <w:t xml:space="preserve"> – Описание комплексного типа «tCalculationTypeComplex»</w:t>
      </w:r>
      <w:bookmarkEnd w:id="2378"/>
      <w:bookmarkEnd w:id="2379"/>
      <w:bookmarkEnd w:id="2380"/>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60F9AB9F"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28B855F7" w14:textId="77777777" w:rsidR="00AD1F54" w:rsidRPr="00264D5D" w:rsidRDefault="00941227">
            <w:pPr>
              <w:pStyle w:val="ASFKTableHead"/>
            </w:pPr>
            <w:r w:rsidRPr="00264D5D">
              <w:t>Наименование элемента</w:t>
            </w:r>
          </w:p>
        </w:tc>
        <w:tc>
          <w:tcPr>
            <w:tcW w:w="1701" w:type="dxa"/>
          </w:tcPr>
          <w:p w14:paraId="42C6BAE6" w14:textId="77777777" w:rsidR="00AD1F54" w:rsidRPr="00264D5D" w:rsidRDefault="00941227">
            <w:pPr>
              <w:pStyle w:val="ASFKTableHead"/>
            </w:pPr>
            <w:r w:rsidRPr="00264D5D">
              <w:t>Сокращенное наименование (код) элемента</w:t>
            </w:r>
          </w:p>
        </w:tc>
        <w:tc>
          <w:tcPr>
            <w:tcW w:w="567" w:type="dxa"/>
          </w:tcPr>
          <w:p w14:paraId="5CFCDF0C" w14:textId="77777777" w:rsidR="00AD1F54" w:rsidRPr="00264D5D" w:rsidRDefault="00941227">
            <w:pPr>
              <w:pStyle w:val="ASFKTableHead"/>
            </w:pPr>
            <w:r w:rsidRPr="00264D5D">
              <w:t>Тип</w:t>
            </w:r>
          </w:p>
        </w:tc>
        <w:tc>
          <w:tcPr>
            <w:tcW w:w="1134" w:type="dxa"/>
          </w:tcPr>
          <w:p w14:paraId="6C05B2DD" w14:textId="77777777" w:rsidR="00AD1F54" w:rsidRPr="00264D5D" w:rsidRDefault="00941227">
            <w:pPr>
              <w:pStyle w:val="ASFKTableHead"/>
            </w:pPr>
            <w:r w:rsidRPr="00264D5D">
              <w:t>Формат элемента</w:t>
            </w:r>
          </w:p>
        </w:tc>
        <w:tc>
          <w:tcPr>
            <w:tcW w:w="567" w:type="dxa"/>
          </w:tcPr>
          <w:p w14:paraId="31ABAA84" w14:textId="77777777" w:rsidR="00AD1F54" w:rsidRPr="00264D5D" w:rsidRDefault="00941227">
            <w:pPr>
              <w:pStyle w:val="ASFKTableHead"/>
            </w:pPr>
            <w:r w:rsidRPr="00264D5D">
              <w:t>Обязательность</w:t>
            </w:r>
          </w:p>
        </w:tc>
        <w:tc>
          <w:tcPr>
            <w:tcW w:w="3963" w:type="dxa"/>
          </w:tcPr>
          <w:p w14:paraId="21B968E4" w14:textId="77777777" w:rsidR="00AD1F54" w:rsidRPr="00264D5D" w:rsidRDefault="00941227">
            <w:pPr>
              <w:pStyle w:val="ASFKTableHead"/>
            </w:pPr>
            <w:r w:rsidRPr="00264D5D">
              <w:t>Дополнительная информация</w:t>
            </w:r>
          </w:p>
        </w:tc>
      </w:tr>
      <w:tr w:rsidR="00AD1F54" w:rsidRPr="00264D5D" w14:paraId="7686FA6B"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539E6D3" w14:textId="77777777" w:rsidR="00AD1F54" w:rsidRPr="00264D5D" w:rsidRDefault="00941227">
            <w:pPr>
              <w:pStyle w:val="GOSTTablenorm"/>
              <w:rPr>
                <w:szCs w:val="22"/>
              </w:rPr>
            </w:pPr>
            <w:r w:rsidRPr="00264D5D">
              <w:rPr>
                <w:szCs w:val="22"/>
              </w:rPr>
              <w:t xml:space="preserve">Код вида </w:t>
            </w:r>
            <w:r w:rsidRPr="00264D5D">
              <w:rPr>
                <w:szCs w:val="22"/>
              </w:rPr>
              <w:lastRenderedPageBreak/>
              <w:t>расчетов</w:t>
            </w:r>
          </w:p>
        </w:tc>
        <w:tc>
          <w:tcPr>
            <w:tcW w:w="1701" w:type="dxa"/>
          </w:tcPr>
          <w:p w14:paraId="7959145A" w14:textId="77777777" w:rsidR="00AD1F54" w:rsidRPr="00264D5D" w:rsidRDefault="00941227">
            <w:pPr>
              <w:pStyle w:val="GOSTTablenorm"/>
              <w:rPr>
                <w:szCs w:val="22"/>
                <w:lang w:val="en-US"/>
              </w:rPr>
            </w:pPr>
            <w:r w:rsidRPr="00264D5D">
              <w:rPr>
                <w:szCs w:val="22"/>
              </w:rPr>
              <w:lastRenderedPageBreak/>
              <w:t>code</w:t>
            </w:r>
          </w:p>
        </w:tc>
        <w:tc>
          <w:tcPr>
            <w:tcW w:w="567" w:type="dxa"/>
          </w:tcPr>
          <w:p w14:paraId="696EA985" w14:textId="77777777" w:rsidR="00AD1F54" w:rsidRPr="00264D5D" w:rsidRDefault="00941227">
            <w:pPr>
              <w:pStyle w:val="GOSTTablenorm"/>
              <w:jc w:val="center"/>
              <w:rPr>
                <w:szCs w:val="22"/>
                <w:lang w:val="en-US"/>
              </w:rPr>
            </w:pPr>
            <w:r w:rsidRPr="00264D5D">
              <w:rPr>
                <w:szCs w:val="22"/>
              </w:rPr>
              <w:t>А</w:t>
            </w:r>
          </w:p>
        </w:tc>
        <w:tc>
          <w:tcPr>
            <w:tcW w:w="1134" w:type="dxa"/>
          </w:tcPr>
          <w:p w14:paraId="556A31A6" w14:textId="77777777" w:rsidR="00AD1F54" w:rsidRPr="00264D5D" w:rsidRDefault="00941227">
            <w:pPr>
              <w:pStyle w:val="GOSTTablenorm"/>
              <w:rPr>
                <w:szCs w:val="22"/>
                <w:lang w:val="en-US"/>
              </w:rPr>
            </w:pPr>
            <w:r w:rsidRPr="00264D5D">
              <w:rPr>
                <w:szCs w:val="22"/>
              </w:rPr>
              <w:t>-</w:t>
            </w:r>
          </w:p>
        </w:tc>
        <w:tc>
          <w:tcPr>
            <w:tcW w:w="567" w:type="dxa"/>
          </w:tcPr>
          <w:p w14:paraId="65FFA171" w14:textId="77777777" w:rsidR="00AD1F54" w:rsidRPr="00264D5D" w:rsidRDefault="00941227">
            <w:pPr>
              <w:pStyle w:val="GOSTTablenorm"/>
              <w:jc w:val="center"/>
              <w:rPr>
                <w:szCs w:val="22"/>
              </w:rPr>
            </w:pPr>
            <w:r w:rsidRPr="00264D5D">
              <w:rPr>
                <w:szCs w:val="22"/>
              </w:rPr>
              <w:t>О</w:t>
            </w:r>
          </w:p>
        </w:tc>
        <w:tc>
          <w:tcPr>
            <w:tcW w:w="3963" w:type="dxa"/>
          </w:tcPr>
          <w:p w14:paraId="1AE15AB9" w14:textId="77777777" w:rsidR="00AD1F54" w:rsidRPr="00264D5D" w:rsidRDefault="00941227">
            <w:pPr>
              <w:pStyle w:val="GOSTTablenorm"/>
              <w:rPr>
                <w:szCs w:val="22"/>
              </w:rPr>
            </w:pPr>
            <w:r w:rsidRPr="00264D5D">
              <w:rPr>
                <w:szCs w:val="22"/>
              </w:rPr>
              <w:t xml:space="preserve">Указывается код вида расчетов. </w:t>
            </w:r>
          </w:p>
          <w:p w14:paraId="5262298C" w14:textId="77777777" w:rsidR="00AD1F54" w:rsidRPr="00264D5D" w:rsidRDefault="00941227">
            <w:pPr>
              <w:pStyle w:val="GOSTTablenorm"/>
              <w:rPr>
                <w:szCs w:val="22"/>
              </w:rPr>
            </w:pPr>
            <w:r w:rsidRPr="00264D5D">
              <w:rPr>
                <w:szCs w:val="22"/>
              </w:rPr>
              <w:lastRenderedPageBreak/>
              <w:t>Может принимать значения:</w:t>
            </w:r>
          </w:p>
          <w:p w14:paraId="1AE0BE7F" w14:textId="77777777" w:rsidR="00AD1F54" w:rsidRPr="00264D5D" w:rsidRDefault="00941227" w:rsidP="00E7460C">
            <w:pPr>
              <w:pStyle w:val="GOSTTablenorm"/>
              <w:numPr>
                <w:ilvl w:val="0"/>
                <w:numId w:val="80"/>
              </w:numPr>
              <w:ind w:left="284" w:hanging="227"/>
            </w:pPr>
            <w:r w:rsidRPr="00264D5D">
              <w:t xml:space="preserve">03 – расчеты, связанные с предварительной оплатой; </w:t>
            </w:r>
          </w:p>
          <w:p w14:paraId="3AF8D16C" w14:textId="77777777" w:rsidR="00AD1F54" w:rsidRPr="00264D5D" w:rsidRDefault="00941227" w:rsidP="00E7460C">
            <w:pPr>
              <w:pStyle w:val="GOSTTablenorm"/>
              <w:numPr>
                <w:ilvl w:val="0"/>
                <w:numId w:val="80"/>
              </w:numPr>
              <w:ind w:left="284" w:hanging="227"/>
              <w:rPr>
                <w:b/>
                <w:bCs/>
                <w:szCs w:val="22"/>
              </w:rPr>
            </w:pPr>
            <w:r w:rsidRPr="00264D5D">
              <w:t>04 – расчеты, связанные с исполнением госуда</w:t>
            </w:r>
            <w:r w:rsidR="008279A4" w:rsidRPr="00264D5D">
              <w:t>рственного контракта (договора)</w:t>
            </w:r>
          </w:p>
        </w:tc>
      </w:tr>
      <w:tr w:rsidR="00AD1F54" w:rsidRPr="00264D5D" w14:paraId="1DA5EC4C"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3341C113" w14:textId="77777777" w:rsidR="00AD1F54" w:rsidRPr="00264D5D" w:rsidRDefault="00941227">
            <w:pPr>
              <w:pStyle w:val="GOSTTablenorm"/>
              <w:rPr>
                <w:szCs w:val="22"/>
              </w:rPr>
            </w:pPr>
            <w:r w:rsidRPr="00264D5D">
              <w:rPr>
                <w:szCs w:val="22"/>
              </w:rPr>
              <w:lastRenderedPageBreak/>
              <w:t>Наименование вида расчетов</w:t>
            </w:r>
          </w:p>
        </w:tc>
        <w:tc>
          <w:tcPr>
            <w:tcW w:w="1701" w:type="dxa"/>
          </w:tcPr>
          <w:p w14:paraId="7C98C672" w14:textId="77777777" w:rsidR="00AD1F54" w:rsidRPr="00264D5D" w:rsidRDefault="00941227">
            <w:pPr>
              <w:pStyle w:val="GOSTTablenorm"/>
              <w:rPr>
                <w:rFonts w:eastAsia="Calibri"/>
                <w:color w:val="000000"/>
                <w:szCs w:val="22"/>
                <w:lang w:eastAsia="en-US"/>
              </w:rPr>
            </w:pPr>
            <w:r w:rsidRPr="00264D5D">
              <w:rPr>
                <w:szCs w:val="22"/>
              </w:rPr>
              <w:t>value</w:t>
            </w:r>
          </w:p>
        </w:tc>
        <w:tc>
          <w:tcPr>
            <w:tcW w:w="567" w:type="dxa"/>
          </w:tcPr>
          <w:p w14:paraId="0C020DBC" w14:textId="77777777" w:rsidR="00AD1F54" w:rsidRPr="00264D5D" w:rsidRDefault="00941227">
            <w:pPr>
              <w:pStyle w:val="GOSTTablenorm"/>
              <w:jc w:val="center"/>
              <w:rPr>
                <w:b/>
                <w:bCs/>
                <w:szCs w:val="22"/>
              </w:rPr>
            </w:pPr>
            <w:r w:rsidRPr="00264D5D">
              <w:rPr>
                <w:szCs w:val="22"/>
              </w:rPr>
              <w:t>А</w:t>
            </w:r>
          </w:p>
        </w:tc>
        <w:tc>
          <w:tcPr>
            <w:tcW w:w="1134" w:type="dxa"/>
          </w:tcPr>
          <w:p w14:paraId="45D5A4C3" w14:textId="77777777" w:rsidR="00AD1F54" w:rsidRPr="00264D5D" w:rsidRDefault="00941227">
            <w:pPr>
              <w:pStyle w:val="GOSTTablenorm"/>
              <w:rPr>
                <w:rFonts w:eastAsia="Calibri"/>
                <w:b/>
                <w:bCs/>
                <w:color w:val="000000"/>
                <w:szCs w:val="22"/>
                <w:lang w:eastAsia="en-US"/>
              </w:rPr>
            </w:pPr>
            <w:r w:rsidRPr="00264D5D">
              <w:rPr>
                <w:szCs w:val="22"/>
              </w:rPr>
              <w:t>-</w:t>
            </w:r>
          </w:p>
        </w:tc>
        <w:tc>
          <w:tcPr>
            <w:tcW w:w="567" w:type="dxa"/>
          </w:tcPr>
          <w:p w14:paraId="301EA0E9" w14:textId="77777777" w:rsidR="00AD1F54" w:rsidRPr="00264D5D" w:rsidRDefault="00941227">
            <w:pPr>
              <w:pStyle w:val="GOSTTablenorm"/>
              <w:jc w:val="center"/>
              <w:rPr>
                <w:szCs w:val="22"/>
              </w:rPr>
            </w:pPr>
            <w:r w:rsidRPr="00264D5D">
              <w:rPr>
                <w:szCs w:val="22"/>
              </w:rPr>
              <w:t>О</w:t>
            </w:r>
          </w:p>
        </w:tc>
        <w:tc>
          <w:tcPr>
            <w:tcW w:w="3963" w:type="dxa"/>
          </w:tcPr>
          <w:p w14:paraId="220FDCD8" w14:textId="77777777" w:rsidR="00AD1F54" w:rsidRPr="00264D5D" w:rsidRDefault="00941227">
            <w:pPr>
              <w:pStyle w:val="GOSTTablenorm"/>
            </w:pPr>
            <w:r w:rsidRPr="00264D5D">
              <w:t xml:space="preserve">Указывается наименование вида расчетов. </w:t>
            </w:r>
          </w:p>
          <w:p w14:paraId="559807E9" w14:textId="77777777" w:rsidR="00AD1F54" w:rsidRPr="00264D5D" w:rsidRDefault="00941227">
            <w:pPr>
              <w:pStyle w:val="GOSTTablenorm"/>
            </w:pPr>
            <w:r w:rsidRPr="00264D5D">
              <w:t>Может принимать значения:</w:t>
            </w:r>
          </w:p>
          <w:p w14:paraId="44744D63" w14:textId="77777777" w:rsidR="00AD1F54" w:rsidRPr="00264D5D" w:rsidRDefault="00941227" w:rsidP="00E7460C">
            <w:pPr>
              <w:pStyle w:val="GOSTTablenorm"/>
              <w:numPr>
                <w:ilvl w:val="0"/>
                <w:numId w:val="80"/>
              </w:numPr>
              <w:ind w:left="284" w:hanging="227"/>
            </w:pPr>
            <w:r w:rsidRPr="00264D5D">
              <w:t xml:space="preserve"> расчеты, связанные с предварительной оплатой; </w:t>
            </w:r>
          </w:p>
          <w:p w14:paraId="3CC99D57" w14:textId="77777777" w:rsidR="00AD1F54" w:rsidRPr="00264D5D" w:rsidRDefault="00941227" w:rsidP="00E7460C">
            <w:pPr>
              <w:pStyle w:val="GOSTTablenorm"/>
              <w:numPr>
                <w:ilvl w:val="0"/>
                <w:numId w:val="80"/>
              </w:numPr>
              <w:ind w:left="284" w:hanging="227"/>
              <w:rPr>
                <w:b/>
                <w:bCs/>
                <w:szCs w:val="22"/>
              </w:rPr>
            </w:pPr>
            <w:bookmarkStart w:id="2381" w:name="OLE_LINK274"/>
            <w:bookmarkStart w:id="2382" w:name="OLE_LINK275"/>
            <w:r w:rsidRPr="00264D5D">
              <w:t>расчеты, связанные с исполнением государственного контракта (договора)</w:t>
            </w:r>
            <w:bookmarkEnd w:id="2381"/>
            <w:bookmarkEnd w:id="2382"/>
          </w:p>
        </w:tc>
      </w:tr>
    </w:tbl>
    <w:p w14:paraId="0166E359" w14:textId="77777777" w:rsidR="00AD1F54" w:rsidRPr="00264D5D" w:rsidRDefault="00941227">
      <w:pPr>
        <w:pStyle w:val="31"/>
      </w:pPr>
      <w:r w:rsidRPr="00264D5D">
        <w:t xml:space="preserve"> </w:t>
      </w:r>
      <w:bookmarkStart w:id="2383" w:name="_Toc219309707"/>
      <w:r w:rsidRPr="00264D5D">
        <w:t>Пример XML</w:t>
      </w:r>
      <w:bookmarkEnd w:id="2383"/>
    </w:p>
    <w:p w14:paraId="632C889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&lt;?xml version="1.0" encoding="UTF-8"?&gt;</w:t>
      </w:r>
    </w:p>
    <w:p w14:paraId="3E81496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&lt;soapenv:Envelope xmlns:soapenv="http://schemas.xmlsoap.org/soap/envelope/" xmlns:wsu="http://docs.oasis-open.org/wss/2004/01/oasis-200401-wss-wssecurity-utility-1.0.xsd" xmlns:wsse="http://docs.oasis-open.org/wss/2004/01/oasis-200401-wss-wssecurity-secext-1.0.xsd"&gt;</w:t>
      </w:r>
    </w:p>
    <w:p w14:paraId="00EA928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&lt;soapenv:Header xmlns:env="http://schemas.xmlsoap.org/soap/envelope/"&gt;&lt;wsse:Security wsu:Id="Id-sec-f9cb3040b7ca31cd7876d625c632e1aed304"&gt;</w:t>
      </w:r>
    </w:p>
    <w:p w14:paraId="4202D8F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 xmlns="http://www.w3.org/2000/09/xmldsig#" Id="Id-sig-b9199ca934cfa91bcff69e807d7b0dbd26f6"&gt;</w:t>
      </w:r>
    </w:p>
    <w:p w14:paraId="0249885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5A00616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&lt;CanonicalizationMethod Algorithm="http://www.w3.org/2001/10/xml-exc-c14n#"/&gt;</w:t>
      </w:r>
    </w:p>
    <w:p w14:paraId="5BA5603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&lt;SignatureMethod Algorithm="http://www.w3.org/2001/04/xmldsig-more#gostr34102001-gostr3411"/&gt;</w:t>
      </w:r>
    </w:p>
    <w:p w14:paraId="72683C5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URI="#Id-wssecdata-29cef34e3106063e64fead91c94aeda97ff4" Id="Id-dataref-ea575c0bb2c994b98298d2c77dcd5a7dbaa1"&gt;</w:t>
      </w:r>
    </w:p>
    <w:p w14:paraId="23E0088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64B4405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7214476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0F0339E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09D1B29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&lt;DigestValue&gt;4bqC9/3OSJqEHDz00XLzUf29YFcetigx2jr08qUp7fQ=&lt;/DigestValue&gt;</w:t>
      </w:r>
    </w:p>
    <w:p w14:paraId="4CBCB92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7F18ABE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Type="http://www.w3.org/TR/2002/REC-xmldsig-core-20020212/xmldsig-core-schema.xsd#X509Data" URI="#Id-keyinfo-11712390bc17243d110193ac033f54873ad8" Id="Id-keyinforef-ac3c6eb29c9af1964819db52ec661b26c339"&gt;</w:t>
      </w:r>
    </w:p>
    <w:p w14:paraId="7088358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347A704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5831635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79BC4EB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48242A4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&lt;DigestValue&gt;+0q515JTexjW0go5SdPl7+ydqXUKST91N44lIbXt8Yo=&lt;/DigestValue&gt;</w:t>
      </w:r>
    </w:p>
    <w:p w14:paraId="2E76CC5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1E8B258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URI="#Id-sp-4179cfd1e4ba9c0aaed70450fc3c741c9c08" Id="Id-ref-cb8cc265f168034494eca1c25ec74bf9433c"&gt;</w:t>
      </w:r>
    </w:p>
    <w:p w14:paraId="5B2BEE7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3F68CC3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&lt;Transform Algorithm="http://www.w3.org/2001/10/xml-exc-c14n#"/&gt;</w:t>
      </w:r>
    </w:p>
    <w:p w14:paraId="326FF4B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0C0AC41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1410F95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&lt;DigestValue&gt;f10/P/MZ5W1AwvdMPGkqpWfYGkK10xUw6SycuQIgFIc=&lt;/DigestValue&gt;</w:t>
      </w:r>
    </w:p>
    <w:p w14:paraId="6A39B89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436C92F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374DDF9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&lt;SignatureValue&gt;Xg8mlCU46QdjuUgHR/GFI13DKE7tfRDOphsVyNpFnxC/Sa2XnEuGBKeW7azroY19</w:t>
      </w:r>
    </w:p>
    <w:p w14:paraId="4187C55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3u7EHXe4dKfnrJ7k7Eq5+A==&lt;/SignatureValue&gt;</w:t>
      </w:r>
    </w:p>
    <w:p w14:paraId="10A9EBB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61C4171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3AB741E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 xmlns="http://uri.etsi.org/01903/v1.4.1#" Target="Id-sig-b9199ca934cfa91bcff69e807d7b0dbd26f6"&gt;</w:t>
      </w:r>
    </w:p>
    <w:p w14:paraId="2368CFC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 Id="Id-sp-4179cfd1e4ba9c0aaed70450fc3c741c9c08"&gt;</w:t>
      </w:r>
    </w:p>
    <w:p w14:paraId="06F7E55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&lt;SignedSignatureProperties Id="Id-ssp-408cecc6a155b8a0f2850e81d5f57496bb2b"/&gt;</w:t>
      </w:r>
    </w:p>
    <w:p w14:paraId="6F26824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&lt;/SignedProperties&gt;</w:t>
      </w:r>
    </w:p>
    <w:p w14:paraId="33612D7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&lt;/QualifyingProperties&gt;</w:t>
      </w:r>
    </w:p>
    <w:p w14:paraId="321B281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56DDFB1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1CF630B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CVNlcnZlciBDQTEgMB4GCSqGSIb3DQEJARYRdWNfZmtAcm9za2F6bmEucnUxHDAa</w:t>
      </w:r>
    </w:p>
    <w:p w14:paraId="2BB7BF6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BgNVBAgMEzc3INCzLiDQnNC+0YHQutCy0LAxGjAYBggqhQMDgQMBARIMMDA3NzEw</w:t>
      </w:r>
    </w:p>
    <w:p w14:paraId="433609D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NTY4NzYwMRgwFgYFKoUDZAESDTEwNDc3OTcwMTk4MzAxLDAqBgNVBAkMI9GD0LvQ</w:t>
      </w:r>
    </w:p>
    <w:p w14:paraId="0B234A0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uNGG0LAg0JjQu9GM0LjQvdC60LAsINC00L7QvCA3MRUwEwYDVQQHDAzQnNC+0YHQ</w:t>
      </w:r>
    </w:p>
    <w:p w14:paraId="63DBC3B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utCy0LAxCzAJBgNVBAYTAlJVMTgwNgYDVQQKDC/QpNC10LTQtdGA0LDQu9GM0L3Q</w:t>
      </w:r>
    </w:p>
    <w:p w14:paraId="00F0F14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vtC1INC60LDQt9C90LDRh9C10LnRgdGC0LLQvjE/MD0GA1UEAww20KPQpiDQpNC1</w:t>
      </w:r>
    </w:p>
    <w:p w14:paraId="3665969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0LTQtdGA0LDQu9GM0L3QvtCz0L4g0LrQsNC30L3QsNGH0LXQudGB0YLQstCwMB4X</w:t>
      </w:r>
    </w:p>
    <w:p w14:paraId="724F48F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DTE2MDQwNzA4MTExMFoXDTE3MDcwNzA4MTExMFowggITMRYwFAYFKoUDZAMSCzEy</w:t>
      </w:r>
    </w:p>
    <w:p w14:paraId="66AE374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MzQ1Njc4OTAxMRgwFgYFKoUDZAESDTAxMjM0NTY3ODkxMjMxGjAYBggqhQMDgQMB</w:t>
      </w:r>
    </w:p>
    <w:p w14:paraId="448C07E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ARIMMDAxMjM0NTY3ODkwMSYwJAYJKoZIhvcNAQkBFhduLm5hZ292aXRzeW5AaW5m</w:t>
      </w:r>
    </w:p>
    <w:p w14:paraId="4B17B94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b3NlYy5ydTELMAkGA1UEBhMCUlUxHDAaBgNVBAgMEzc3INCzLiDQnNC+0YHQutCy</w:t>
      </w:r>
    </w:p>
    <w:p w14:paraId="682ABD0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0LAxFTATBgNVBAcMDNCc0L7RgdC60LLQsDE4MDYGA1UECgwv0KTQtdC00LXRgNCw</w:t>
      </w:r>
    </w:p>
    <w:p w14:paraId="4AA22A7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0LvRjNC90L7QtSDQutCw0LfQvdCw0YfQtdC50YHRgtCy0L4xNDAyBgNVBAsMK9GC</w:t>
      </w:r>
    </w:p>
    <w:p w14:paraId="4A43827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0LXRgdGC0L7QstC+0LUg0L/QvtC00YDQsNC30LTQtdC70LXQvdC40LUxHDAaBgNV</w:t>
      </w:r>
    </w:p>
    <w:p w14:paraId="1AF1501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BCoME2PQtdGA0YLQuNGE0LjQutCw0YIxGTAXBgNVBAQMENCi0LXRgdGC0L7QstGL</w:t>
      </w:r>
    </w:p>
    <w:p w14:paraId="369A976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0LkxPTA7BgNVBAwMNNCi0LXRgdGC0L7QstGL0Lkg0YHQtdGA0YLQuNGE0LjQutCw</w:t>
      </w:r>
    </w:p>
    <w:p w14:paraId="63AE95A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0YIg0L/QvtC00L/QuNGB0LgxQTA/BgkqhkiG9w0BCQIMMklOTlw9MDEyMzQ1Njc4</w:t>
      </w:r>
    </w:p>
    <w:p w14:paraId="3BB09FC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OS9LUFBcPTEyMzQ1Njc4OS9PR1JOXD0wMTIzNDU2Nzg5MTIzMS4wLAYDVQQDDCXQ</w:t>
      </w:r>
    </w:p>
    <w:p w14:paraId="01ED98C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otC10YHRgtC+0LLRi9C5INGB0LXRgNGC0LjRhNC40LrQsNGCMGMwHAYGKoUDAgIT</w:t>
      </w:r>
    </w:p>
    <w:p w14:paraId="130A4F0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MBIGByqFAwICJAAGByqFAwICHgEDQwAEQM/mE38gcSmh2U183WL3aPaP3tJu0vTq</w:t>
      </w:r>
    </w:p>
    <w:p w14:paraId="0D867F6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CndMDcb72IGcv8nO7QkaqnFwXrkt6zScdQlQgUX78ct0+jNJa7ZIdLGjggRJMIIE</w:t>
      </w:r>
    </w:p>
    <w:p w14:paraId="7BD1BA2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RTAMBgNVHRMBAf8EAjAAMB0GA1UdIAQWMBQwCAYGKoUDZHEBMAgGBiqFA2RxAjBN</w:t>
      </w:r>
    </w:p>
    <w:p w14:paraId="37DF450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BgUqhQNkbwREDELQmtGA0LjQv9GC0L7Qn9GA0L4gQ1NQICjQstC10YDRgdC40Y8g</w:t>
      </w:r>
    </w:p>
    <w:p w14:paraId="0B6910A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My42KSAo0LjRgdC/0L7Qu9C90LXQvdC40LUgMikwggFhBgUqhQNkcASCAVYwggFS</w:t>
      </w:r>
    </w:p>
    <w:p w14:paraId="58B116C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DEQi0JrRgNC40L/RgtC+0J/RgNC+IENTUCIgKNCy0LXRgNGB0LjRjyAzLjYpICjQ</w:t>
      </w:r>
    </w:p>
    <w:p w14:paraId="1CC3EC5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uNGB0L/QvtC70L3QtdC90LjQtSAyKQxoItCf0YDQvtCz0YDQsNC80LzQvdC+LdCw</w:t>
      </w:r>
    </w:p>
    <w:p w14:paraId="234FB9B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0L/Qv9Cw0YDQsNGC0L3Ri9C5INC60L7QvNC/0LvQtdC60YEgItCu0L3QuNGB0LXR</w:t>
      </w:r>
    </w:p>
    <w:p w14:paraId="4493E2E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gNGCLdCT0J7QodCiIi4g0JLQtdGA0YHQuNGPIDIuMSIMT9Ch0LXRgNGC0LjRhNC4</w:t>
      </w:r>
    </w:p>
    <w:p w14:paraId="7875118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0LrQsNGCINGB0L7QvtGC0LLQtdGC0YHRgtCy0LjRjyDihJYg0KHQpC8xMjQtMjcz</w:t>
      </w:r>
    </w:p>
    <w:p w14:paraId="3E2D94A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OCDQvtGCIDAxLjA3LjIwMTUMT9Ch0LXRgNGC0LjRhNC40LrQsNGCINGB0L7QvtGC</w:t>
      </w:r>
    </w:p>
    <w:p w14:paraId="75AC77D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0LLQtdGC0YHRgtCy0LjRjyDihJYg0KHQpC8xMjgtMjE3NSDQvtGCIDIwLjA2LjIw</w:t>
      </w:r>
    </w:p>
    <w:p w14:paraId="747EADF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MTMwDgYDVR0PAQH/BAQDAgTwMBMGA1UdJQQMMAoGCCsGAQUFBwMDMCsGA1UdEAQk</w:t>
      </w:r>
    </w:p>
    <w:p w14:paraId="3AE52A4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MCKADzIwMTYwNDA3MDgwNDI4WoEPMjAxNzA3MDcwODA0MjhaMIIBjwYDVR0jBIIB</w:t>
      </w:r>
    </w:p>
    <w:p w14:paraId="0493091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hjCCAYKAFJ5xDg/atAEoXz/iy49lFZcCR4yroYIBZaSCAWEwggFdMRgwFgYJKoZI</w:t>
      </w:r>
    </w:p>
    <w:p w14:paraId="17D1369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hvcNAQkCEwlTZXJ2ZXIgQ0ExIDAeBgkqhkiG9w0BCQEWEXVjX2ZrQHJvc2them5h</w:t>
      </w:r>
    </w:p>
    <w:p w14:paraId="5026FF6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LnJ1MRwwGgYDVQQIDBM3NyDQsy4g0JzQvtGB0LrQstCwMRowGAYIKoUDA4EDAQES</w:t>
      </w:r>
    </w:p>
    <w:p w14:paraId="03215BD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DDAwNzcxMDU2ODc2MDEYMBYGBSqFA2QBEg0xMDQ3Nzk3MDE5ODMwMSwwKgYDVQQJ</w:t>
      </w:r>
    </w:p>
    <w:p w14:paraId="31CC911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DCPRg9C70LjRhtCwINCY0LvRjNC40L3QutCwLCDQtNC+0LwgNzEVMBMGA1UEBwwM</w:t>
      </w:r>
    </w:p>
    <w:p w14:paraId="0FE6ADE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0JzQvtGB0LrQstCwMQswCQYDVQQGEwJSVTE4MDYGA1UECgwv0KTQtdC00LXRgNCw</w:t>
      </w:r>
    </w:p>
    <w:p w14:paraId="1FA9FDD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0LvRjNC90L7QtSDQutCw0LfQvdCw0YfQtdC50YHRgtCy0L4xPzA9BgNVBAMMNtCj</w:t>
      </w:r>
    </w:p>
    <w:p w14:paraId="577AE35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0KYg0KTQtdC00LXRgNCw0LvRjNC90L7Qs9C+INC60LDQt9C90LDRh9C10LnRgdGC</w:t>
      </w:r>
    </w:p>
    <w:p w14:paraId="206F4A3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0LLQsIIBATBeBgNVHR8EVzBVMCmgJ6AlhiNodHRwOi8vY3JsLnJvc2them5hLnJ1</w:t>
      </w:r>
    </w:p>
    <w:p w14:paraId="687F8EE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L2NybC9mazAxLmNybDAooCagJIYiaHR0cDovL2NybC5mc2ZrLmxvY2FsL2NybC9m</w:t>
      </w:r>
    </w:p>
    <w:p w14:paraId="009AFD9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azAxLmNybDAdBgNVHQ4EFgQUt0m7wwTPyJQ+5TDMkq5Z0WnD5vQwCAYGKoUDAgID</w:t>
      </w:r>
    </w:p>
    <w:p w14:paraId="54FFDF2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A0EAReUQeQpqERyFF5XRWG8RnguKCWvPIQOt26PZmVTccxOXVHwZyI0rqdcQ2i4L</w:t>
      </w:r>
    </w:p>
    <w:p w14:paraId="7721A03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p87xs4bqOAO1BwhmKL/TsoC4pA==&lt;/wsse:BinarySecurityToken&gt;&lt;/wsse:Security&gt;&lt;/soapenv:Header&gt;</w:t>
      </w:r>
    </w:p>
    <w:p w14:paraId="600BF4E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&lt;soapenv:Body xmlns:env="http://schemas.xmlsoap.org/soap/envelope/" wsu:Id="Id-wssecdata-29cef34e3106063e64fead91c94aeda97ff4"&gt;</w:t>
      </w:r>
    </w:p>
    <w:p w14:paraId="45BF589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&lt;transferDocumentRequest xmlns:typ="http://www.roskazna.ru/eb/services/transferDocumentService/types" xmlns="http://www.roskazna.ru/eb/services/transferDocumentService/types" versionId="1.0"&gt;</w:t>
      </w:r>
    </w:p>
    <w:p w14:paraId="58B6CA2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&lt;typ:header&gt;</w:t>
      </w:r>
    </w:p>
    <w:p w14:paraId="7775716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&lt;typ:packageId&gt;e8bf66bf-9cf1-47f1-a48b-394d18467fe3&lt;/typ:packageId&gt;</w:t>
      </w:r>
    </w:p>
    <w:p w14:paraId="6F8CBB0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&lt;typ:senderSystemId&gt;PFHD&lt;/typ:senderSystemId&gt;</w:t>
      </w:r>
    </w:p>
    <w:p w14:paraId="04F025B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&lt;typ:targetSystemId&gt;EXP&lt;/typ:targetSystemId&gt;</w:t>
      </w:r>
    </w:p>
    <w:p w14:paraId="0BE357B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&lt;typ:documentType&gt;MSC_STATEKZA_0506108&lt;/typ:documentType&gt;</w:t>
      </w:r>
    </w:p>
    <w:p w14:paraId="2BA8BB7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&lt;typ:documentGuid&gt;c2e4c9b1-753d-6e55-a382-a46db4ac954a&lt;/typ:documentGuid&gt;</w:t>
      </w:r>
    </w:p>
    <w:p w14:paraId="032D39C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&lt;typ:creationDateTime&gt;2024-01-24T16:46:07.689+04:00&lt;/typ:creationDateTime&gt;</w:t>
      </w:r>
    </w:p>
    <w:p w14:paraId="790E1D7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&lt;typ:params&gt;</w:t>
      </w:r>
    </w:p>
    <w:p w14:paraId="2D8D7BC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 name="tofkCode" value="3200"/&gt;</w:t>
      </w:r>
    </w:p>
    <w:p w14:paraId="27D37E4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 name="versionId" value="2.0"/&gt;</w:t>
      </w:r>
    </w:p>
    <w:p w14:paraId="77A1427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&lt;/typ:params&gt;</w:t>
      </w:r>
    </w:p>
    <w:p w14:paraId="007F97B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&lt;/typ:header&gt;</w:t>
      </w:r>
    </w:p>
    <w:p w14:paraId="39EB074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&lt;typ:document&gt;</w:t>
      </w:r>
    </w:p>
    <w:p w14:paraId="08837F4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&lt;self:MSC_LETTEROFCREDITAPP metaType="formular" versionID="2.0" xsi:schemaLocation="http://www.roskazna.ru/eb/domain/MSC_LETTEROFCREDITAPP/formular formulars.xsd" xmlns:self="http://www.roskazna.ru/eb/domain/MSC_LETTEROFCREDITAPP/formular" xmlns:xsi="http://www.w3.org/2001/XMLSchema-instance"&gt;</w:t>
      </w:r>
    </w:p>
    <w:p w14:paraId="37B55F4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&lt;TtlPrt_DcNmbr xmlns=""&gt;1&lt;/TtlPrt_DcNmbr&gt;</w:t>
      </w:r>
    </w:p>
    <w:p w14:paraId="4414833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&lt;TtlPrt_DcDt xmlns=""&gt;2024-01-24&lt;/TtlPrt_DcDt&gt;</w:t>
      </w:r>
    </w:p>
    <w:p w14:paraId="61FA310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&lt;TtlPrt_ApplTypeNotFounded&gt;На выдачу Казначейского обеспечения обязательств&lt;/TtlPrt_ApplTypeNotFounded&gt;</w:t>
      </w:r>
    </w:p>
    <w:p w14:paraId="5637391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&lt;TtlPrt_SND_PBS xmlns=""&gt;</w:t>
      </w:r>
    </w:p>
    <w:p w14:paraId="1F965B5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&lt;Cd&gt;11564378&lt;/Cd&gt;</w:t>
      </w:r>
    </w:p>
    <w:p w14:paraId="663AB14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Nm</w:t>
      </w:r>
      <w:r w:rsidRPr="00264D5D">
        <w:rPr>
          <w:rFonts w:cs="Courier New"/>
          <w:sz w:val="20"/>
          <w:lang w:val="ru-RU"/>
        </w:rPr>
        <w:t>&gt;ФКУ Дирекция космодрома "Восточный"&lt;/</w:t>
      </w:r>
      <w:r w:rsidRPr="00264D5D">
        <w:rPr>
          <w:rFonts w:cs="Courier New"/>
          <w:sz w:val="20"/>
        </w:rPr>
        <w:t>Nm</w:t>
      </w:r>
      <w:r w:rsidRPr="00264D5D">
        <w:rPr>
          <w:rFonts w:cs="Courier New"/>
          <w:sz w:val="20"/>
          <w:lang w:val="ru-RU"/>
        </w:rPr>
        <w:t>&gt;</w:t>
      </w:r>
    </w:p>
    <w:p w14:paraId="74AF019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TtlPrt</w:t>
      </w:r>
      <w:r w:rsidRPr="00264D5D">
        <w:rPr>
          <w:rFonts w:cs="Courier New"/>
          <w:sz w:val="20"/>
          <w:lang w:val="ru-RU"/>
        </w:rPr>
        <w:t>_</w:t>
      </w:r>
      <w:r w:rsidRPr="00264D5D">
        <w:rPr>
          <w:rFonts w:cs="Courier New"/>
          <w:sz w:val="20"/>
        </w:rPr>
        <w:t>SND</w:t>
      </w:r>
      <w:r w:rsidRPr="00264D5D">
        <w:rPr>
          <w:rFonts w:cs="Courier New"/>
          <w:sz w:val="20"/>
          <w:lang w:val="ru-RU"/>
        </w:rPr>
        <w:t>_</w:t>
      </w:r>
      <w:r w:rsidRPr="00264D5D">
        <w:rPr>
          <w:rFonts w:cs="Courier New"/>
          <w:sz w:val="20"/>
        </w:rPr>
        <w:t>PBS</w:t>
      </w:r>
      <w:r w:rsidRPr="00264D5D">
        <w:rPr>
          <w:rFonts w:cs="Courier New"/>
          <w:sz w:val="20"/>
          <w:lang w:val="ru-RU"/>
        </w:rPr>
        <w:t>&gt;</w:t>
      </w:r>
    </w:p>
    <w:p w14:paraId="78DD358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TtlPrt</w:t>
      </w:r>
      <w:r w:rsidRPr="00264D5D">
        <w:rPr>
          <w:rFonts w:cs="Courier New"/>
          <w:sz w:val="20"/>
          <w:lang w:val="ru-RU"/>
        </w:rPr>
        <w:t>_</w:t>
      </w:r>
      <w:r w:rsidRPr="00264D5D">
        <w:rPr>
          <w:rFonts w:cs="Courier New"/>
          <w:sz w:val="20"/>
        </w:rPr>
        <w:t>SND</w:t>
      </w:r>
      <w:r w:rsidRPr="00264D5D">
        <w:rPr>
          <w:rFonts w:cs="Courier New"/>
          <w:sz w:val="20"/>
          <w:lang w:val="ru-RU"/>
        </w:rPr>
        <w:t>_</w:t>
      </w:r>
      <w:r w:rsidRPr="00264D5D">
        <w:rPr>
          <w:rFonts w:cs="Courier New"/>
          <w:sz w:val="20"/>
        </w:rPr>
        <w:t>OKPOCd</w:t>
      </w:r>
      <w:r w:rsidRPr="00264D5D">
        <w:rPr>
          <w:rFonts w:cs="Courier New"/>
          <w:sz w:val="20"/>
          <w:lang w:val="ru-RU"/>
        </w:rPr>
        <w:t xml:space="preserve"> </w:t>
      </w:r>
      <w:r w:rsidRPr="00264D5D">
        <w:rPr>
          <w:rFonts w:cs="Courier New"/>
          <w:sz w:val="20"/>
        </w:rPr>
        <w:t>xmlns</w:t>
      </w:r>
      <w:r w:rsidRPr="00264D5D">
        <w:rPr>
          <w:rFonts w:cs="Courier New"/>
          <w:sz w:val="20"/>
          <w:lang w:val="ru-RU"/>
        </w:rPr>
        <w:t>=""&gt;11002350&lt;/</w:t>
      </w:r>
      <w:r w:rsidRPr="00264D5D">
        <w:rPr>
          <w:rFonts w:cs="Courier New"/>
          <w:sz w:val="20"/>
        </w:rPr>
        <w:t>TtlPrt</w:t>
      </w:r>
      <w:r w:rsidRPr="00264D5D">
        <w:rPr>
          <w:rFonts w:cs="Courier New"/>
          <w:sz w:val="20"/>
          <w:lang w:val="ru-RU"/>
        </w:rPr>
        <w:t>_</w:t>
      </w:r>
      <w:r w:rsidRPr="00264D5D">
        <w:rPr>
          <w:rFonts w:cs="Courier New"/>
          <w:sz w:val="20"/>
        </w:rPr>
        <w:t>SND</w:t>
      </w:r>
      <w:r w:rsidRPr="00264D5D">
        <w:rPr>
          <w:rFonts w:cs="Courier New"/>
          <w:sz w:val="20"/>
          <w:lang w:val="ru-RU"/>
        </w:rPr>
        <w:t>_</w:t>
      </w:r>
      <w:r w:rsidRPr="00264D5D">
        <w:rPr>
          <w:rFonts w:cs="Courier New"/>
          <w:sz w:val="20"/>
        </w:rPr>
        <w:t>OKPOCd</w:t>
      </w:r>
      <w:r w:rsidRPr="00264D5D">
        <w:rPr>
          <w:rFonts w:cs="Courier New"/>
          <w:sz w:val="20"/>
          <w:lang w:val="ru-RU"/>
        </w:rPr>
        <w:t>&gt;</w:t>
      </w:r>
    </w:p>
    <w:p w14:paraId="595A777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&lt;</w:t>
      </w:r>
      <w:r w:rsidRPr="00264D5D">
        <w:rPr>
          <w:rFonts w:cs="Courier New"/>
          <w:sz w:val="20"/>
        </w:rPr>
        <w:t>TtlPrt</w:t>
      </w:r>
      <w:r w:rsidRPr="00264D5D">
        <w:rPr>
          <w:rFonts w:cs="Courier New"/>
          <w:sz w:val="20"/>
          <w:lang w:val="ru-RU"/>
        </w:rPr>
        <w:t>_</w:t>
      </w:r>
      <w:r w:rsidRPr="00264D5D">
        <w:rPr>
          <w:rFonts w:cs="Courier New"/>
          <w:sz w:val="20"/>
        </w:rPr>
        <w:t>SND</w:t>
      </w:r>
      <w:r w:rsidRPr="00264D5D">
        <w:rPr>
          <w:rFonts w:cs="Courier New"/>
          <w:sz w:val="20"/>
          <w:lang w:val="ru-RU"/>
        </w:rPr>
        <w:t>_</w:t>
      </w:r>
      <w:r w:rsidRPr="00264D5D">
        <w:rPr>
          <w:rFonts w:cs="Courier New"/>
          <w:sz w:val="20"/>
        </w:rPr>
        <w:t>NmbLS</w:t>
      </w:r>
      <w:r w:rsidRPr="00264D5D">
        <w:rPr>
          <w:rFonts w:cs="Courier New"/>
          <w:sz w:val="20"/>
          <w:lang w:val="ru-RU"/>
        </w:rPr>
        <w:t xml:space="preserve"> </w:t>
      </w:r>
      <w:r w:rsidRPr="00264D5D">
        <w:rPr>
          <w:rFonts w:cs="Courier New"/>
          <w:sz w:val="20"/>
        </w:rPr>
        <w:t>xmlns</w:t>
      </w:r>
      <w:r w:rsidRPr="00264D5D">
        <w:rPr>
          <w:rFonts w:cs="Courier New"/>
          <w:sz w:val="20"/>
          <w:lang w:val="ru-RU"/>
        </w:rPr>
        <w:t>=""&gt;11102321025&lt;/</w:t>
      </w:r>
      <w:r w:rsidRPr="00264D5D">
        <w:rPr>
          <w:rFonts w:cs="Courier New"/>
          <w:sz w:val="20"/>
        </w:rPr>
        <w:t>TtlPrt</w:t>
      </w:r>
      <w:r w:rsidRPr="00264D5D">
        <w:rPr>
          <w:rFonts w:cs="Courier New"/>
          <w:sz w:val="20"/>
          <w:lang w:val="ru-RU"/>
        </w:rPr>
        <w:t>_</w:t>
      </w:r>
      <w:r w:rsidRPr="00264D5D">
        <w:rPr>
          <w:rFonts w:cs="Courier New"/>
          <w:sz w:val="20"/>
        </w:rPr>
        <w:t>SND</w:t>
      </w:r>
      <w:r w:rsidRPr="00264D5D">
        <w:rPr>
          <w:rFonts w:cs="Courier New"/>
          <w:sz w:val="20"/>
          <w:lang w:val="ru-RU"/>
        </w:rPr>
        <w:t>_</w:t>
      </w:r>
      <w:r w:rsidRPr="00264D5D">
        <w:rPr>
          <w:rFonts w:cs="Courier New"/>
          <w:sz w:val="20"/>
        </w:rPr>
        <w:t>NmbLS</w:t>
      </w:r>
      <w:r w:rsidRPr="00264D5D">
        <w:rPr>
          <w:rFonts w:cs="Courier New"/>
          <w:sz w:val="20"/>
          <w:lang w:val="ru-RU"/>
        </w:rPr>
        <w:t>&gt;</w:t>
      </w:r>
    </w:p>
    <w:p w14:paraId="7EA710A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TtlPrt</w:t>
      </w:r>
      <w:r w:rsidRPr="00264D5D">
        <w:rPr>
          <w:rFonts w:cs="Courier New"/>
          <w:sz w:val="20"/>
          <w:lang w:val="ru-RU"/>
        </w:rPr>
        <w:t>_</w:t>
      </w:r>
      <w:r w:rsidRPr="00264D5D">
        <w:rPr>
          <w:rFonts w:cs="Courier New"/>
          <w:sz w:val="20"/>
        </w:rPr>
        <w:t>RCV</w:t>
      </w:r>
      <w:r w:rsidRPr="00264D5D">
        <w:rPr>
          <w:rFonts w:cs="Courier New"/>
          <w:sz w:val="20"/>
          <w:lang w:val="ru-RU"/>
        </w:rPr>
        <w:t>_</w:t>
      </w:r>
      <w:r w:rsidRPr="00264D5D">
        <w:rPr>
          <w:rFonts w:cs="Courier New"/>
          <w:sz w:val="20"/>
        </w:rPr>
        <w:t>TOFK</w:t>
      </w:r>
      <w:r w:rsidRPr="00264D5D">
        <w:rPr>
          <w:rFonts w:cs="Courier New"/>
          <w:sz w:val="20"/>
          <w:lang w:val="ru-RU"/>
        </w:rPr>
        <w:t xml:space="preserve"> </w:t>
      </w:r>
      <w:r w:rsidRPr="00264D5D">
        <w:rPr>
          <w:rFonts w:cs="Courier New"/>
          <w:sz w:val="20"/>
        </w:rPr>
        <w:t>xmlns</w:t>
      </w:r>
      <w:r w:rsidRPr="00264D5D">
        <w:rPr>
          <w:rFonts w:cs="Courier New"/>
          <w:sz w:val="20"/>
          <w:lang w:val="ru-RU"/>
        </w:rPr>
        <w:t>=""&gt;</w:t>
      </w:r>
    </w:p>
    <w:p w14:paraId="6A3809B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Nm</w:t>
      </w:r>
      <w:r w:rsidRPr="00264D5D">
        <w:rPr>
          <w:rFonts w:cs="Courier New"/>
          <w:sz w:val="20"/>
          <w:lang w:val="ru-RU"/>
        </w:rPr>
        <w:t>&gt;Управление Федерального казначейства по Москве&lt;/</w:t>
      </w:r>
      <w:r w:rsidRPr="00264D5D">
        <w:rPr>
          <w:rFonts w:cs="Courier New"/>
          <w:sz w:val="20"/>
        </w:rPr>
        <w:t>Nm</w:t>
      </w:r>
      <w:r w:rsidRPr="00264D5D">
        <w:rPr>
          <w:rFonts w:cs="Courier New"/>
          <w:sz w:val="20"/>
          <w:lang w:val="ru-RU"/>
        </w:rPr>
        <w:t>&gt;</w:t>
      </w:r>
    </w:p>
    <w:p w14:paraId="02D9094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rPr>
        <w:t>&lt;Cd&gt;7300&lt;/Cd&gt;</w:t>
      </w:r>
    </w:p>
    <w:p w14:paraId="5B447AF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&lt;/TtlPrt_RCV_TOFK&gt;</w:t>
      </w:r>
    </w:p>
    <w:p w14:paraId="6D2E681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&lt;TtlPrt_RCV_OKPOCd xmlns=""&gt;11564377&lt;/TtlPrt_RCV_OKPOCd&gt;</w:t>
      </w:r>
    </w:p>
    <w:p w14:paraId="285B3B3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&lt;TtlPrt_RCV_GRBS xmlns=""&gt;</w:t>
      </w:r>
    </w:p>
    <w:p w14:paraId="4EFB0A7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&lt;Cd&gt;259&lt;/Cd&gt;</w:t>
      </w:r>
    </w:p>
    <w:p w14:paraId="0FCC4EA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Nm</w:t>
      </w:r>
      <w:r w:rsidRPr="00264D5D">
        <w:rPr>
          <w:rFonts w:cs="Courier New"/>
          <w:sz w:val="20"/>
          <w:lang w:val="ru-RU"/>
        </w:rPr>
        <w:t>&gt;Федеральное космическое агентство&lt;/</w:t>
      </w:r>
      <w:r w:rsidRPr="00264D5D">
        <w:rPr>
          <w:rFonts w:cs="Courier New"/>
          <w:sz w:val="20"/>
        </w:rPr>
        <w:t>Nm</w:t>
      </w:r>
      <w:r w:rsidRPr="00264D5D">
        <w:rPr>
          <w:rFonts w:cs="Courier New"/>
          <w:sz w:val="20"/>
          <w:lang w:val="ru-RU"/>
        </w:rPr>
        <w:t>&gt;</w:t>
      </w:r>
    </w:p>
    <w:p w14:paraId="2BF1CF4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TtlPrt</w:t>
      </w:r>
      <w:r w:rsidRPr="00264D5D">
        <w:rPr>
          <w:rFonts w:cs="Courier New"/>
          <w:sz w:val="20"/>
          <w:lang w:val="ru-RU"/>
        </w:rPr>
        <w:t>_</w:t>
      </w:r>
      <w:r w:rsidRPr="00264D5D">
        <w:rPr>
          <w:rFonts w:cs="Courier New"/>
          <w:sz w:val="20"/>
        </w:rPr>
        <w:t>RCV</w:t>
      </w:r>
      <w:r w:rsidRPr="00264D5D">
        <w:rPr>
          <w:rFonts w:cs="Courier New"/>
          <w:sz w:val="20"/>
          <w:lang w:val="ru-RU"/>
        </w:rPr>
        <w:t>_</w:t>
      </w:r>
      <w:r w:rsidRPr="00264D5D">
        <w:rPr>
          <w:rFonts w:cs="Courier New"/>
          <w:sz w:val="20"/>
        </w:rPr>
        <w:t>GRBS</w:t>
      </w:r>
      <w:r w:rsidRPr="00264D5D">
        <w:rPr>
          <w:rFonts w:cs="Courier New"/>
          <w:sz w:val="20"/>
          <w:lang w:val="ru-RU"/>
        </w:rPr>
        <w:t>&gt;</w:t>
      </w:r>
    </w:p>
    <w:p w14:paraId="76A8DD1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TtlPrt</w:t>
      </w:r>
      <w:r w:rsidRPr="00264D5D">
        <w:rPr>
          <w:rFonts w:cs="Courier New"/>
          <w:sz w:val="20"/>
          <w:lang w:val="ru-RU"/>
        </w:rPr>
        <w:t>_</w:t>
      </w:r>
      <w:r w:rsidRPr="00264D5D">
        <w:rPr>
          <w:rFonts w:cs="Courier New"/>
          <w:sz w:val="20"/>
        </w:rPr>
        <w:t>RCV</w:t>
      </w:r>
      <w:r w:rsidRPr="00264D5D">
        <w:rPr>
          <w:rFonts w:cs="Courier New"/>
          <w:sz w:val="20"/>
          <w:lang w:val="ru-RU"/>
        </w:rPr>
        <w:t>_</w:t>
      </w:r>
      <w:r w:rsidRPr="00264D5D">
        <w:rPr>
          <w:rFonts w:cs="Courier New"/>
          <w:sz w:val="20"/>
        </w:rPr>
        <w:t>Unt</w:t>
      </w:r>
      <w:r w:rsidRPr="00264D5D">
        <w:rPr>
          <w:rFonts w:cs="Courier New"/>
          <w:sz w:val="20"/>
          <w:lang w:val="ru-RU"/>
        </w:rPr>
        <w:t xml:space="preserve"> </w:t>
      </w:r>
      <w:r w:rsidRPr="00264D5D">
        <w:rPr>
          <w:rFonts w:cs="Courier New"/>
          <w:sz w:val="20"/>
        </w:rPr>
        <w:t>xmlns</w:t>
      </w:r>
      <w:r w:rsidRPr="00264D5D">
        <w:rPr>
          <w:rFonts w:cs="Courier New"/>
          <w:sz w:val="20"/>
          <w:lang w:val="ru-RU"/>
        </w:rPr>
        <w:t>=""&gt;</w:t>
      </w:r>
    </w:p>
    <w:p w14:paraId="4737559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lastRenderedPageBreak/>
        <w:tab/>
      </w:r>
      <w:r w:rsidRPr="00264D5D">
        <w:rPr>
          <w:rFonts w:cs="Courier New"/>
          <w:sz w:val="20"/>
          <w:lang w:val="ru-RU"/>
        </w:rPr>
        <w:tab/>
      </w:r>
      <w:r w:rsidRPr="00264D5D">
        <w:rPr>
          <w:rFonts w:cs="Courier New"/>
          <w:sz w:val="20"/>
        </w:rPr>
        <w:t>&lt;OKEI&gt;873&lt;/OKEI&gt;</w:t>
      </w:r>
    </w:p>
    <w:p w14:paraId="30DC24C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&lt;Nm&gt;руб&lt;/Nm&gt;</w:t>
      </w:r>
    </w:p>
    <w:p w14:paraId="087CB23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&lt;/TtlPrt_RCV_Unt&gt;</w:t>
      </w:r>
      <w:r w:rsidRPr="00264D5D">
        <w:rPr>
          <w:rFonts w:cs="Courier New"/>
          <w:sz w:val="20"/>
        </w:rPr>
        <w:tab/>
      </w:r>
    </w:p>
    <w:p w14:paraId="32CE282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&lt;AKR_EndDt xmlns=""&gt;2024-01-24&lt;/AKR_EndDt&gt;</w:t>
      </w:r>
    </w:p>
    <w:p w14:paraId="29E7F64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&lt;AKR_InfAmnt xmlns=""&gt;100000.00&lt;/AKR_InfAmnt&gt;</w:t>
      </w:r>
    </w:p>
    <w:p w14:paraId="42E0CB6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&lt;TtlPrt_PAY_UBP xmlns=""&gt;</w:t>
      </w:r>
    </w:p>
    <w:p w14:paraId="44E809A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&lt;Cd&gt;11564378&lt;/Cd&gt;</w:t>
      </w:r>
    </w:p>
    <w:p w14:paraId="14C83B3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Nm</w:t>
      </w:r>
      <w:r w:rsidRPr="00264D5D">
        <w:rPr>
          <w:rFonts w:cs="Courier New"/>
          <w:sz w:val="20"/>
          <w:lang w:val="ru-RU"/>
        </w:rPr>
        <w:t>&gt;ФКУ Дирекция космодрома "Восточный&lt;/</w:t>
      </w:r>
      <w:r w:rsidRPr="00264D5D">
        <w:rPr>
          <w:rFonts w:cs="Courier New"/>
          <w:sz w:val="20"/>
        </w:rPr>
        <w:t>Nm</w:t>
      </w:r>
      <w:r w:rsidRPr="00264D5D">
        <w:rPr>
          <w:rFonts w:cs="Courier New"/>
          <w:sz w:val="20"/>
          <w:lang w:val="ru-RU"/>
        </w:rPr>
        <w:t>&gt;</w:t>
      </w:r>
    </w:p>
    <w:p w14:paraId="60939E9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TtlPrt</w:t>
      </w:r>
      <w:r w:rsidRPr="00264D5D">
        <w:rPr>
          <w:rFonts w:cs="Courier New"/>
          <w:sz w:val="20"/>
          <w:lang w:val="ru-RU"/>
        </w:rPr>
        <w:t>_</w:t>
      </w:r>
      <w:r w:rsidRPr="00264D5D">
        <w:rPr>
          <w:rFonts w:cs="Courier New"/>
          <w:sz w:val="20"/>
        </w:rPr>
        <w:t>PAY</w:t>
      </w:r>
      <w:r w:rsidRPr="00264D5D">
        <w:rPr>
          <w:rFonts w:cs="Courier New"/>
          <w:sz w:val="20"/>
          <w:lang w:val="ru-RU"/>
        </w:rPr>
        <w:t>_</w:t>
      </w:r>
      <w:r w:rsidRPr="00264D5D">
        <w:rPr>
          <w:rFonts w:cs="Courier New"/>
          <w:sz w:val="20"/>
        </w:rPr>
        <w:t>UBP</w:t>
      </w:r>
      <w:r w:rsidRPr="00264D5D">
        <w:rPr>
          <w:rFonts w:cs="Courier New"/>
          <w:sz w:val="20"/>
          <w:lang w:val="ru-RU"/>
        </w:rPr>
        <w:t>&gt;</w:t>
      </w:r>
    </w:p>
    <w:p w14:paraId="1A38E8B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TtlPrt</w:t>
      </w:r>
      <w:r w:rsidRPr="00264D5D">
        <w:rPr>
          <w:rFonts w:cs="Courier New"/>
          <w:sz w:val="20"/>
          <w:lang w:val="ru-RU"/>
        </w:rPr>
        <w:t>_</w:t>
      </w:r>
      <w:r w:rsidRPr="00264D5D">
        <w:rPr>
          <w:rFonts w:cs="Courier New"/>
          <w:sz w:val="20"/>
        </w:rPr>
        <w:t>PAY</w:t>
      </w:r>
      <w:r w:rsidRPr="00264D5D">
        <w:rPr>
          <w:rFonts w:cs="Courier New"/>
          <w:sz w:val="20"/>
          <w:lang w:val="ru-RU"/>
        </w:rPr>
        <w:t>_</w:t>
      </w:r>
      <w:r w:rsidRPr="00264D5D">
        <w:rPr>
          <w:rFonts w:cs="Courier New"/>
          <w:sz w:val="20"/>
        </w:rPr>
        <w:t>NmBdgt</w:t>
      </w:r>
      <w:r w:rsidRPr="00264D5D">
        <w:rPr>
          <w:rFonts w:cs="Courier New"/>
          <w:sz w:val="20"/>
          <w:lang w:val="ru-RU"/>
        </w:rPr>
        <w:t xml:space="preserve"> </w:t>
      </w:r>
      <w:r w:rsidRPr="00264D5D">
        <w:rPr>
          <w:rFonts w:cs="Courier New"/>
          <w:sz w:val="20"/>
        </w:rPr>
        <w:t>xmlns</w:t>
      </w:r>
      <w:r w:rsidRPr="00264D5D">
        <w:rPr>
          <w:rFonts w:cs="Courier New"/>
          <w:sz w:val="20"/>
          <w:lang w:val="ru-RU"/>
        </w:rPr>
        <w:t>=""&gt;Федеральный бюджет&lt;/</w:t>
      </w:r>
      <w:r w:rsidRPr="00264D5D">
        <w:rPr>
          <w:rFonts w:cs="Courier New"/>
          <w:sz w:val="20"/>
        </w:rPr>
        <w:t>TtlPrt</w:t>
      </w:r>
      <w:r w:rsidRPr="00264D5D">
        <w:rPr>
          <w:rFonts w:cs="Courier New"/>
          <w:sz w:val="20"/>
          <w:lang w:val="ru-RU"/>
        </w:rPr>
        <w:t>_</w:t>
      </w:r>
      <w:r w:rsidRPr="00264D5D">
        <w:rPr>
          <w:rFonts w:cs="Courier New"/>
          <w:sz w:val="20"/>
        </w:rPr>
        <w:t>PAY</w:t>
      </w:r>
      <w:r w:rsidRPr="00264D5D">
        <w:rPr>
          <w:rFonts w:cs="Courier New"/>
          <w:sz w:val="20"/>
          <w:lang w:val="ru-RU"/>
        </w:rPr>
        <w:t>_</w:t>
      </w:r>
      <w:r w:rsidRPr="00264D5D">
        <w:rPr>
          <w:rFonts w:cs="Courier New"/>
          <w:sz w:val="20"/>
        </w:rPr>
        <w:t>NmBdgt</w:t>
      </w:r>
      <w:r w:rsidRPr="00264D5D">
        <w:rPr>
          <w:rFonts w:cs="Courier New"/>
          <w:sz w:val="20"/>
          <w:lang w:val="ru-RU"/>
        </w:rPr>
        <w:t>&gt;</w:t>
      </w:r>
    </w:p>
    <w:p w14:paraId="1445969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rPr>
        <w:t>&lt;TtlPrt_PAY_INN xmlns=""&gt;11564378&lt;/TtlPrt_PAY_INN&gt;</w:t>
      </w:r>
    </w:p>
    <w:p w14:paraId="4CAF095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&lt;TtlPrt_PAY_KPP xmlns=""&gt;100023000&lt;/TtlPrt_PAY_KPP&gt;</w:t>
      </w:r>
    </w:p>
    <w:p w14:paraId="7205B99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&lt;TtlPrt_PAY_NmbLS xmlns=""&gt;10002356200&lt;/TtlPrt_PAY_NmbLS&gt;</w:t>
      </w:r>
    </w:p>
    <w:p w14:paraId="60AF0E5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&lt;TtlPrt_PAY_ObjCd xmlns=""&gt;1203222202&lt;/TtlPrt_PAY_ObjCd&gt;</w:t>
      </w:r>
    </w:p>
    <w:p w14:paraId="36C6B42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&lt;TtlPrt_PAY_ObjCd_1 xmlns=""&gt;24200001&lt;/TtlPrt_PAY_ObjCd_1&gt;</w:t>
      </w:r>
    </w:p>
    <w:p w14:paraId="7FFA99C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&lt;TtlPrt_PAY_BANK_BnkAcc xmlns=""&gt;03211643000000073500&lt;/TtlPrt_PAY_BANK_BnkAcc&gt;</w:t>
      </w:r>
    </w:p>
    <w:p w14:paraId="4BEB58E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&lt;TtlPrt_PAY_BANK_BIC xmlns=""&gt;044588101&lt;/TtlPrt_PAY_BANK_BIC&gt;</w:t>
      </w:r>
    </w:p>
    <w:p w14:paraId="1EBEE43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&lt;TtlPrt_REC_UBP xmlns=""&gt;</w:t>
      </w:r>
    </w:p>
    <w:p w14:paraId="1C452E2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&lt;Cd&gt;23000156&lt;/Cd&gt;</w:t>
      </w:r>
    </w:p>
    <w:p w14:paraId="2509504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Nm</w:t>
      </w:r>
      <w:r w:rsidRPr="00264D5D">
        <w:rPr>
          <w:rFonts w:cs="Courier New"/>
          <w:sz w:val="20"/>
          <w:lang w:val="ru-RU"/>
        </w:rPr>
        <w:t>&gt;ФГУП "ГУСС "Дальспецстрой" при Спецстрое России"&lt;/</w:t>
      </w:r>
      <w:r w:rsidRPr="00264D5D">
        <w:rPr>
          <w:rFonts w:cs="Courier New"/>
          <w:sz w:val="20"/>
        </w:rPr>
        <w:t>Nm</w:t>
      </w:r>
      <w:r w:rsidRPr="00264D5D">
        <w:rPr>
          <w:rFonts w:cs="Courier New"/>
          <w:sz w:val="20"/>
          <w:lang w:val="ru-RU"/>
        </w:rPr>
        <w:t>&gt;</w:t>
      </w:r>
    </w:p>
    <w:p w14:paraId="7159D57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TtlPrt</w:t>
      </w:r>
      <w:r w:rsidRPr="00264D5D">
        <w:rPr>
          <w:rFonts w:cs="Courier New"/>
          <w:sz w:val="20"/>
          <w:lang w:val="ru-RU"/>
        </w:rPr>
        <w:t>_</w:t>
      </w:r>
      <w:r w:rsidRPr="00264D5D">
        <w:rPr>
          <w:rFonts w:cs="Courier New"/>
          <w:sz w:val="20"/>
        </w:rPr>
        <w:t>REC</w:t>
      </w:r>
      <w:r w:rsidRPr="00264D5D">
        <w:rPr>
          <w:rFonts w:cs="Courier New"/>
          <w:sz w:val="20"/>
          <w:lang w:val="ru-RU"/>
        </w:rPr>
        <w:t>_</w:t>
      </w:r>
      <w:r w:rsidRPr="00264D5D">
        <w:rPr>
          <w:rFonts w:cs="Courier New"/>
          <w:sz w:val="20"/>
        </w:rPr>
        <w:t>UBP</w:t>
      </w:r>
      <w:r w:rsidRPr="00264D5D">
        <w:rPr>
          <w:rFonts w:cs="Courier New"/>
          <w:sz w:val="20"/>
          <w:lang w:val="ru-RU"/>
        </w:rPr>
        <w:t>&gt;</w:t>
      </w:r>
    </w:p>
    <w:p w14:paraId="1E5FF58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TtlPrt</w:t>
      </w:r>
      <w:r w:rsidRPr="00264D5D">
        <w:rPr>
          <w:rFonts w:cs="Courier New"/>
          <w:sz w:val="20"/>
          <w:lang w:val="ru-RU"/>
        </w:rPr>
        <w:t>_</w:t>
      </w:r>
      <w:r w:rsidRPr="00264D5D">
        <w:rPr>
          <w:rFonts w:cs="Courier New"/>
          <w:sz w:val="20"/>
        </w:rPr>
        <w:t>REC</w:t>
      </w:r>
      <w:r w:rsidRPr="00264D5D">
        <w:rPr>
          <w:rFonts w:cs="Courier New"/>
          <w:sz w:val="20"/>
          <w:lang w:val="ru-RU"/>
        </w:rPr>
        <w:t>_</w:t>
      </w:r>
      <w:r w:rsidRPr="00264D5D">
        <w:rPr>
          <w:rFonts w:cs="Courier New"/>
          <w:sz w:val="20"/>
        </w:rPr>
        <w:t>NmBdgt</w:t>
      </w:r>
      <w:r w:rsidRPr="00264D5D">
        <w:rPr>
          <w:rFonts w:cs="Courier New"/>
          <w:sz w:val="20"/>
          <w:lang w:val="ru-RU"/>
        </w:rPr>
        <w:t xml:space="preserve"> </w:t>
      </w:r>
      <w:r w:rsidRPr="00264D5D">
        <w:rPr>
          <w:rFonts w:cs="Courier New"/>
          <w:sz w:val="20"/>
        </w:rPr>
        <w:t>xmlns</w:t>
      </w:r>
      <w:r w:rsidRPr="00264D5D">
        <w:rPr>
          <w:rFonts w:cs="Courier New"/>
          <w:sz w:val="20"/>
          <w:lang w:val="ru-RU"/>
        </w:rPr>
        <w:t>=""&gt;Федеральный бюджет</w:t>
      </w:r>
      <w:r w:rsidRPr="00264D5D">
        <w:rPr>
          <w:rFonts w:cs="Courier New"/>
          <w:sz w:val="20"/>
          <w:lang w:val="ru-RU"/>
        </w:rPr>
        <w:tab/>
        <w:t>&lt;/</w:t>
      </w:r>
      <w:r w:rsidRPr="00264D5D">
        <w:rPr>
          <w:rFonts w:cs="Courier New"/>
          <w:sz w:val="20"/>
        </w:rPr>
        <w:t>TtlPrt</w:t>
      </w:r>
      <w:r w:rsidRPr="00264D5D">
        <w:rPr>
          <w:rFonts w:cs="Courier New"/>
          <w:sz w:val="20"/>
          <w:lang w:val="ru-RU"/>
        </w:rPr>
        <w:t>_</w:t>
      </w:r>
      <w:r w:rsidRPr="00264D5D">
        <w:rPr>
          <w:rFonts w:cs="Courier New"/>
          <w:sz w:val="20"/>
        </w:rPr>
        <w:t>REC</w:t>
      </w:r>
      <w:r w:rsidRPr="00264D5D">
        <w:rPr>
          <w:rFonts w:cs="Courier New"/>
          <w:sz w:val="20"/>
          <w:lang w:val="ru-RU"/>
        </w:rPr>
        <w:t>_</w:t>
      </w:r>
      <w:r w:rsidRPr="00264D5D">
        <w:rPr>
          <w:rFonts w:cs="Courier New"/>
          <w:sz w:val="20"/>
        </w:rPr>
        <w:t>NmBdgt</w:t>
      </w:r>
      <w:r w:rsidRPr="00264D5D">
        <w:rPr>
          <w:rFonts w:cs="Courier New"/>
          <w:sz w:val="20"/>
          <w:lang w:val="ru-RU"/>
        </w:rPr>
        <w:t>&gt;</w:t>
      </w:r>
    </w:p>
    <w:p w14:paraId="625A084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rPr>
        <w:t>&lt;TtlPrt_REC_INN xmlns=""&gt;235600025601&lt;/TtlPrt_REC_INN&gt;</w:t>
      </w:r>
    </w:p>
    <w:p w14:paraId="32FCE21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&lt;TtlPrt_REC_KPP xmlns=""&gt;230014899&lt;/TtlPrt_REC_KPP&gt;</w:t>
      </w:r>
    </w:p>
    <w:p w14:paraId="2A7A52B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&lt;TtlPrt_REC_NmbLS xmlns=""&gt;21000000001&lt;/TtlPrt_REC_NmbLS&gt;</w:t>
      </w:r>
    </w:p>
    <w:p w14:paraId="31C3FF7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&lt;TtlPrt_REC_ObjCd xmlns=""&gt;123202&lt;/TtlPrt_REC_ObjCd&gt;</w:t>
      </w:r>
    </w:p>
    <w:p w14:paraId="472C288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&lt;TtlPrt_REC_ObjCd_1 xmlns=""&gt;501301&lt;/TtlPrt_REC_ObjCd_1&gt;</w:t>
      </w:r>
    </w:p>
    <w:p w14:paraId="041CD5D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&lt;TtlPrt_REC_BANK_BnkAcc xmlns=""&gt;03215643000000072300&lt;/TtlPrt_REC_BANK_BnkAcc&gt;</w:t>
      </w:r>
    </w:p>
    <w:p w14:paraId="61451F9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&lt;TtlPrt_REC_BANK_BIC xmlns=""&gt;044080104&lt;/TtlPrt_REC_BANK_BIC&gt;</w:t>
      </w:r>
    </w:p>
    <w:p w14:paraId="33D9559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&lt;KZA_GK_InfCntrct xmlns=""&gt;Контракт №5&lt;/KZA_GK_InfCntrct&gt;</w:t>
      </w:r>
    </w:p>
    <w:p w14:paraId="33B67AF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&lt;BaseDoc_TAB_BASEDOC_D031&gt;</w:t>
      </w:r>
    </w:p>
    <w:p w14:paraId="7A985D7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&lt;TAB_BASEDOC_D031_ITEM&gt;</w:t>
      </w:r>
    </w:p>
    <w:p w14:paraId="4247D66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&lt;CodeLine&gt;01&lt;/CodeLine&gt;</w:t>
      </w:r>
      <w:r w:rsidRPr="00264D5D">
        <w:rPr>
          <w:rFonts w:cs="Courier New"/>
          <w:sz w:val="20"/>
        </w:rPr>
        <w:tab/>
      </w:r>
      <w:r w:rsidRPr="00264D5D">
        <w:rPr>
          <w:rFonts w:cs="Courier New"/>
          <w:sz w:val="20"/>
        </w:rPr>
        <w:tab/>
      </w:r>
    </w:p>
    <w:p w14:paraId="58FA3F8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&lt;DocNum&gt;111&lt;/DocNum&gt;</w:t>
      </w:r>
    </w:p>
    <w:p w14:paraId="1365259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&lt;DateBaseDoc&gt;2024-01-24&lt;/DateBaseDoc&gt;</w:t>
      </w:r>
    </w:p>
    <w:p w14:paraId="2A6101F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&lt;BaseDocID&gt;1021325&lt;/BaseDocID&gt;</w:t>
      </w:r>
    </w:p>
    <w:p w14:paraId="6695BD0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&lt;NumberBO&gt;1002366665002134895&lt;/NumberBO&gt;</w:t>
      </w:r>
    </w:p>
    <w:p w14:paraId="1981438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&lt;CodeFAIP&gt;900112501244805646&lt;/CodeFAIP&gt;</w:t>
      </w:r>
    </w:p>
    <w:p w14:paraId="0F09772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&lt;CodeBK&gt;12021212200000009999&lt;/CodeBK&gt;</w:t>
      </w:r>
    </w:p>
    <w:p w14:paraId="792CE17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&lt;NDS&gt;100.00&lt;/NDS&gt;</w:t>
      </w:r>
    </w:p>
    <w:p w14:paraId="49D28B5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&lt;/TAB_BASEDOC_D031_ITEM&gt;</w:t>
      </w:r>
    </w:p>
    <w:p w14:paraId="2D376A4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&lt;/BaseDoc_TAB_BASEDOC_D031&gt;</w:t>
      </w:r>
      <w:r w:rsidRPr="00264D5D">
        <w:rPr>
          <w:rFonts w:cs="Courier New"/>
          <w:sz w:val="20"/>
        </w:rPr>
        <w:tab/>
      </w:r>
    </w:p>
    <w:p w14:paraId="41F52D6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&lt;TtlPrt_Nt xmlns=""&gt;Работы&lt;/TtlPrt_Nt&gt;</w:t>
      </w:r>
    </w:p>
    <w:p w14:paraId="75DC0C8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&lt;Sgn_SgnHr xmlns=""&gt;</w:t>
      </w:r>
      <w:r w:rsidRPr="00264D5D">
        <w:rPr>
          <w:rFonts w:cs="Courier New"/>
          <w:sz w:val="20"/>
        </w:rPr>
        <w:tab/>
      </w:r>
      <w:r w:rsidRPr="00264D5D">
        <w:rPr>
          <w:rFonts w:cs="Courier New"/>
          <w:sz w:val="20"/>
        </w:rPr>
        <w:tab/>
      </w:r>
    </w:p>
    <w:p w14:paraId="15D8984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&lt;Pst&gt;Руководитель&lt;/Pst&gt;</w:t>
      </w:r>
      <w:r w:rsidRPr="00264D5D">
        <w:rPr>
          <w:rFonts w:cs="Courier New"/>
          <w:sz w:val="20"/>
        </w:rPr>
        <w:tab/>
      </w:r>
      <w:r w:rsidRPr="00264D5D">
        <w:rPr>
          <w:rFonts w:cs="Courier New"/>
          <w:sz w:val="20"/>
        </w:rPr>
        <w:tab/>
      </w:r>
    </w:p>
    <w:p w14:paraId="315635A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FIO</w:t>
      </w:r>
      <w:r w:rsidRPr="00264D5D">
        <w:rPr>
          <w:rFonts w:cs="Courier New"/>
          <w:sz w:val="20"/>
          <w:lang w:val="ru-RU"/>
        </w:rPr>
        <w:t>&gt;Иванов И.И.&lt;/</w:t>
      </w:r>
      <w:r w:rsidRPr="00264D5D">
        <w:rPr>
          <w:rFonts w:cs="Courier New"/>
          <w:sz w:val="20"/>
        </w:rPr>
        <w:t>FIO</w:t>
      </w:r>
      <w:r w:rsidRPr="00264D5D">
        <w:rPr>
          <w:rFonts w:cs="Courier New"/>
          <w:sz w:val="20"/>
          <w:lang w:val="ru-RU"/>
        </w:rPr>
        <w:t>&gt;</w:t>
      </w:r>
    </w:p>
    <w:p w14:paraId="5355366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Sgn</w:t>
      </w:r>
      <w:r w:rsidRPr="00264D5D">
        <w:rPr>
          <w:rFonts w:cs="Courier New"/>
          <w:sz w:val="20"/>
          <w:lang w:val="ru-RU"/>
        </w:rPr>
        <w:t>_</w:t>
      </w:r>
      <w:r w:rsidRPr="00264D5D">
        <w:rPr>
          <w:rFonts w:cs="Courier New"/>
          <w:sz w:val="20"/>
        </w:rPr>
        <w:t>SgnHr</w:t>
      </w:r>
      <w:r w:rsidRPr="00264D5D">
        <w:rPr>
          <w:rFonts w:cs="Courier New"/>
          <w:sz w:val="20"/>
          <w:lang w:val="ru-RU"/>
        </w:rPr>
        <w:t>&gt;</w:t>
      </w:r>
    </w:p>
    <w:p w14:paraId="071545D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Sgn</w:t>
      </w:r>
      <w:r w:rsidRPr="00264D5D">
        <w:rPr>
          <w:rFonts w:cs="Courier New"/>
          <w:sz w:val="20"/>
          <w:lang w:val="ru-RU"/>
        </w:rPr>
        <w:t>_</w:t>
      </w:r>
      <w:r w:rsidRPr="00264D5D">
        <w:rPr>
          <w:rFonts w:cs="Courier New"/>
          <w:sz w:val="20"/>
        </w:rPr>
        <w:t>SgnAcc</w:t>
      </w:r>
      <w:r w:rsidRPr="00264D5D">
        <w:rPr>
          <w:rFonts w:cs="Courier New"/>
          <w:sz w:val="20"/>
          <w:lang w:val="ru-RU"/>
        </w:rPr>
        <w:t xml:space="preserve"> </w:t>
      </w:r>
      <w:r w:rsidRPr="00264D5D">
        <w:rPr>
          <w:rFonts w:cs="Courier New"/>
          <w:sz w:val="20"/>
        </w:rPr>
        <w:t>xmlns</w:t>
      </w:r>
      <w:r w:rsidRPr="00264D5D">
        <w:rPr>
          <w:rFonts w:cs="Courier New"/>
          <w:sz w:val="20"/>
          <w:lang w:val="ru-RU"/>
        </w:rPr>
        <w:t>=""&gt;</w:t>
      </w:r>
    </w:p>
    <w:p w14:paraId="56243D7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Pst</w:t>
      </w:r>
      <w:r w:rsidRPr="00264D5D">
        <w:rPr>
          <w:rFonts w:cs="Courier New"/>
          <w:sz w:val="20"/>
          <w:lang w:val="ru-RU"/>
        </w:rPr>
        <w:t>&gt;Главный бухгалтер&lt;/</w:t>
      </w:r>
      <w:r w:rsidRPr="00264D5D">
        <w:rPr>
          <w:rFonts w:cs="Courier New"/>
          <w:sz w:val="20"/>
        </w:rPr>
        <w:t>Pst</w:t>
      </w:r>
      <w:r w:rsidRPr="00264D5D">
        <w:rPr>
          <w:rFonts w:cs="Courier New"/>
          <w:sz w:val="20"/>
          <w:lang w:val="ru-RU"/>
        </w:rPr>
        <w:t>&gt;</w:t>
      </w:r>
    </w:p>
    <w:p w14:paraId="4755DBB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FIO</w:t>
      </w:r>
      <w:r w:rsidRPr="00264D5D">
        <w:rPr>
          <w:rFonts w:cs="Courier New"/>
          <w:sz w:val="20"/>
          <w:lang w:val="ru-RU"/>
        </w:rPr>
        <w:t>&gt;Таишева А.Р.&lt;/</w:t>
      </w:r>
      <w:r w:rsidRPr="00264D5D">
        <w:rPr>
          <w:rFonts w:cs="Courier New"/>
          <w:sz w:val="20"/>
        </w:rPr>
        <w:t>FIO</w:t>
      </w:r>
      <w:r w:rsidRPr="00264D5D">
        <w:rPr>
          <w:rFonts w:cs="Courier New"/>
          <w:sz w:val="20"/>
          <w:lang w:val="ru-RU"/>
        </w:rPr>
        <w:t>&gt;</w:t>
      </w:r>
    </w:p>
    <w:p w14:paraId="43DAAFC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rPr>
        <w:t>&lt;/Sgn_SgnAcc&gt;</w:t>
      </w:r>
    </w:p>
    <w:p w14:paraId="37965D4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&lt;Sgn_SgnExec xmlns=""&gt;</w:t>
      </w:r>
    </w:p>
    <w:p w14:paraId="1E84590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Pst</w:t>
      </w:r>
      <w:r w:rsidRPr="00264D5D">
        <w:rPr>
          <w:rFonts w:cs="Courier New"/>
          <w:sz w:val="20"/>
          <w:lang w:val="ru-RU"/>
        </w:rPr>
        <w:t>&gt;Ответственный исполнитель&lt;/</w:t>
      </w:r>
      <w:r w:rsidRPr="00264D5D">
        <w:rPr>
          <w:rFonts w:cs="Courier New"/>
          <w:sz w:val="20"/>
        </w:rPr>
        <w:t>Pst</w:t>
      </w:r>
      <w:r w:rsidRPr="00264D5D">
        <w:rPr>
          <w:rFonts w:cs="Courier New"/>
          <w:sz w:val="20"/>
          <w:lang w:val="ru-RU"/>
        </w:rPr>
        <w:t>&gt;</w:t>
      </w:r>
    </w:p>
    <w:p w14:paraId="5658809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FIO</w:t>
      </w:r>
      <w:r w:rsidRPr="00264D5D">
        <w:rPr>
          <w:rFonts w:cs="Courier New"/>
          <w:sz w:val="20"/>
          <w:lang w:val="ru-RU"/>
        </w:rPr>
        <w:t>&gt;Бортко В.А.&lt;/</w:t>
      </w:r>
      <w:r w:rsidRPr="00264D5D">
        <w:rPr>
          <w:rFonts w:cs="Courier New"/>
          <w:sz w:val="20"/>
        </w:rPr>
        <w:t>FIO</w:t>
      </w:r>
      <w:r w:rsidRPr="00264D5D">
        <w:rPr>
          <w:rFonts w:cs="Courier New"/>
          <w:sz w:val="20"/>
          <w:lang w:val="ru-RU"/>
        </w:rPr>
        <w:t>&gt;</w:t>
      </w:r>
    </w:p>
    <w:p w14:paraId="1C4AF8C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rPr>
        <w:t>&lt;DtSgn&gt;2024-01-24&lt;/DtSgn&gt;</w:t>
      </w:r>
    </w:p>
    <w:p w14:paraId="0336B9C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&lt;/Sgn_SgnExec&gt;</w:t>
      </w:r>
    </w:p>
    <w:p w14:paraId="65826FD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&lt;StmInfrmtn_AccessLevel&gt;0&lt;/StmInfrmtn_AccessLevel&gt;</w:t>
      </w:r>
    </w:p>
    <w:p w14:paraId="580A90A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&lt;/self:MSC_LETTEROFCREDITAPP&gt;</w:t>
      </w:r>
    </w:p>
    <w:p w14:paraId="285C7B4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&lt;/typ:document&gt;</w:t>
      </w:r>
    </w:p>
    <w:p w14:paraId="7EF27BD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&lt;/transferDocumentRequest&gt;</w:t>
      </w:r>
    </w:p>
    <w:p w14:paraId="37856BD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264D5D">
        <w:rPr>
          <w:rFonts w:cs="Courier New"/>
          <w:sz w:val="20"/>
        </w:rPr>
        <w:t>&lt;/soapenv:Body&gt;</w:t>
      </w:r>
    </w:p>
    <w:p w14:paraId="14866894" w14:textId="77777777" w:rsidR="00AD1F54" w:rsidRPr="00264D5D" w:rsidRDefault="00941227">
      <w:pPr>
        <w:pStyle w:val="22"/>
        <w:rPr>
          <w:lang w:val="ru-RU"/>
        </w:rPr>
      </w:pPr>
      <w:bookmarkStart w:id="2384" w:name="_Ref46776948"/>
      <w:bookmarkStart w:id="2385" w:name="_Toc219309708"/>
      <w:r w:rsidRPr="00264D5D">
        <w:rPr>
          <w:lang w:val="ru-RU"/>
        </w:rPr>
        <w:t xml:space="preserve">Описание документа «Заявление на </w:t>
      </w:r>
      <w:bookmarkStart w:id="2386" w:name="OLE_LINK602"/>
      <w:bookmarkStart w:id="2387" w:name="OLE_LINK603"/>
      <w:bookmarkStart w:id="2388" w:name="OLE_LINK604"/>
      <w:bookmarkStart w:id="2389" w:name="OLE_LINK605"/>
      <w:bookmarkStart w:id="2390" w:name="OLE_LINK606"/>
      <w:r w:rsidRPr="00264D5D">
        <w:rPr>
          <w:lang w:val="ru-RU"/>
        </w:rPr>
        <w:t xml:space="preserve">выдачу </w:t>
      </w:r>
      <w:bookmarkEnd w:id="2282"/>
      <w:bookmarkEnd w:id="2283"/>
      <w:r w:rsidRPr="00264D5D">
        <w:rPr>
          <w:lang w:val="ru-RU"/>
        </w:rPr>
        <w:t>(перевод, исполнение)</w:t>
      </w:r>
      <w:bookmarkEnd w:id="2386"/>
      <w:bookmarkEnd w:id="2387"/>
      <w:r w:rsidRPr="00264D5D">
        <w:rPr>
          <w:lang w:val="ru-RU"/>
        </w:rPr>
        <w:t xml:space="preserve"> Казначейского обеспечения обязательств</w:t>
      </w:r>
      <w:bookmarkEnd w:id="2388"/>
      <w:bookmarkEnd w:id="2389"/>
      <w:bookmarkEnd w:id="2390"/>
      <w:r w:rsidRPr="00264D5D">
        <w:rPr>
          <w:lang w:val="ru-RU"/>
        </w:rPr>
        <w:t xml:space="preserve"> (банковское)</w:t>
      </w:r>
      <w:bookmarkEnd w:id="2284"/>
      <w:r w:rsidRPr="00264D5D">
        <w:rPr>
          <w:lang w:val="ru-RU"/>
        </w:rPr>
        <w:t>»</w:t>
      </w:r>
      <w:bookmarkEnd w:id="2384"/>
      <w:bookmarkEnd w:id="2385"/>
    </w:p>
    <w:p w14:paraId="0366B0F7" w14:textId="77777777" w:rsidR="00AD1F54" w:rsidRPr="00264D5D" w:rsidRDefault="00941227">
      <w:pPr>
        <w:pStyle w:val="31"/>
      </w:pPr>
      <w:bookmarkStart w:id="2391" w:name="_Toc520451424"/>
      <w:bookmarkStart w:id="2392" w:name="_Toc219309709"/>
      <w:bookmarkEnd w:id="2285"/>
      <w:bookmarkEnd w:id="2286"/>
      <w:bookmarkEnd w:id="2287"/>
      <w:r w:rsidRPr="00264D5D">
        <w:t>Назначение и маршрут документа</w:t>
      </w:r>
      <w:bookmarkEnd w:id="2391"/>
      <w:bookmarkEnd w:id="2392"/>
    </w:p>
    <w:p w14:paraId="159F93E1" w14:textId="77777777" w:rsidR="00AD1F54" w:rsidRPr="00264D5D" w:rsidRDefault="00941227">
      <w:pPr>
        <w:pStyle w:val="OTRNormal"/>
      </w:pPr>
      <w:r w:rsidRPr="00264D5D">
        <w:rPr>
          <w:sz w:val="24"/>
        </w:rPr>
        <w:t>Документ «</w:t>
      </w:r>
      <w:bookmarkStart w:id="2393" w:name="OLE_LINK1295"/>
      <w:bookmarkStart w:id="2394" w:name="OLE_LINK1296"/>
      <w:bookmarkStart w:id="2395" w:name="OLE_LINK46"/>
      <w:bookmarkStart w:id="2396" w:name="OLE_LINK49"/>
      <w:bookmarkStart w:id="2397" w:name="OLE_LINK66"/>
      <w:r w:rsidRPr="00264D5D">
        <w:rPr>
          <w:sz w:val="24"/>
        </w:rPr>
        <w:t>Заявление на выдачу (перевод, исполнение) Казначейского обеспечения обязательств</w:t>
      </w:r>
      <w:bookmarkEnd w:id="2393"/>
      <w:bookmarkEnd w:id="2394"/>
      <w:r w:rsidRPr="00264D5D">
        <w:rPr>
          <w:sz w:val="24"/>
        </w:rPr>
        <w:t xml:space="preserve"> (банковское)»</w:t>
      </w:r>
      <w:bookmarkEnd w:id="2395"/>
      <w:bookmarkEnd w:id="2396"/>
      <w:bookmarkEnd w:id="2397"/>
      <w:r w:rsidRPr="00264D5D">
        <w:rPr>
          <w:sz w:val="24"/>
        </w:rPr>
        <w:t xml:space="preserve"> предназначен для применения государственным заказчиком в части выдачи и отзыва документа «Казначейское обеспечение обязательств» (далее – КОО) при банковском сопровождении государственных контрактов.</w:t>
      </w:r>
    </w:p>
    <w:p w14:paraId="25F8CF4B" w14:textId="7BEF3BAF"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2398" w:name="_Toc219309270"/>
      <w:r w:rsidR="008D797C">
        <w:rPr>
          <w:rFonts w:eastAsia="Calibri"/>
          <w:noProof/>
          <w:szCs w:val="24"/>
        </w:rPr>
        <w:t>240</w:t>
      </w:r>
      <w:r w:rsidRPr="00264D5D">
        <w:rPr>
          <w:rFonts w:eastAsia="Calibri"/>
          <w:szCs w:val="24"/>
        </w:rPr>
        <w:fldChar w:fldCharType="end"/>
      </w:r>
      <w:r w:rsidRPr="00264D5D">
        <w:rPr>
          <w:rFonts w:eastAsia="Calibri"/>
          <w:szCs w:val="24"/>
        </w:rPr>
        <w:t xml:space="preserve"> – Маршрут документа «</w:t>
      </w:r>
      <w:r w:rsidRPr="00264D5D">
        <w:t xml:space="preserve">Заявление на выдачу (перевод, исполнение) Казначейского обеспечения обязательств </w:t>
      </w:r>
      <w:r w:rsidRPr="00264D5D">
        <w:rPr>
          <w:szCs w:val="24"/>
        </w:rPr>
        <w:t>(банковское)</w:t>
      </w:r>
      <w:r w:rsidRPr="00264D5D">
        <w:rPr>
          <w:rFonts w:eastAsia="Calibri"/>
          <w:szCs w:val="24"/>
        </w:rPr>
        <w:t>»</w:t>
      </w:r>
      <w:bookmarkEnd w:id="2398"/>
    </w:p>
    <w:tbl>
      <w:tblPr>
        <w:tblStyle w:val="GOSTTable"/>
        <w:tblW w:w="5000" w:type="pct"/>
        <w:tblLook w:val="01E0" w:firstRow="1" w:lastRow="1" w:firstColumn="1" w:lastColumn="1" w:noHBand="0" w:noVBand="0"/>
      </w:tblPr>
      <w:tblGrid>
        <w:gridCol w:w="2556"/>
        <w:gridCol w:w="2555"/>
        <w:gridCol w:w="4539"/>
      </w:tblGrid>
      <w:tr w:rsidR="00AD1F54" w:rsidRPr="00264D5D" w14:paraId="44EB3F49"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324" w:type="pct"/>
          </w:tcPr>
          <w:p w14:paraId="55353EB2" w14:textId="77777777" w:rsidR="00AD1F54" w:rsidRPr="00264D5D" w:rsidRDefault="00941227">
            <w:pPr>
              <w:pStyle w:val="OTRTableHead"/>
              <w:widowControl w:val="0"/>
              <w:rPr>
                <w:szCs w:val="22"/>
              </w:rPr>
            </w:pPr>
            <w:r w:rsidRPr="00264D5D">
              <w:rPr>
                <w:sz w:val="22"/>
                <w:szCs w:val="22"/>
              </w:rPr>
              <w:t>Отправитель</w:t>
            </w:r>
          </w:p>
        </w:tc>
        <w:tc>
          <w:tcPr>
            <w:tcW w:w="1324" w:type="pct"/>
          </w:tcPr>
          <w:p w14:paraId="76B31352" w14:textId="77777777" w:rsidR="00AD1F54" w:rsidRPr="00264D5D" w:rsidRDefault="00941227">
            <w:pPr>
              <w:pStyle w:val="OTRTableHead"/>
              <w:widowControl w:val="0"/>
              <w:rPr>
                <w:szCs w:val="22"/>
              </w:rPr>
            </w:pPr>
            <w:r w:rsidRPr="00264D5D">
              <w:rPr>
                <w:sz w:val="22"/>
                <w:szCs w:val="22"/>
              </w:rPr>
              <w:t>Получатель</w:t>
            </w:r>
          </w:p>
        </w:tc>
        <w:tc>
          <w:tcPr>
            <w:tcW w:w="2352" w:type="pct"/>
          </w:tcPr>
          <w:p w14:paraId="4EF916C4" w14:textId="77777777" w:rsidR="00AD1F54" w:rsidRPr="00264D5D" w:rsidRDefault="00941227">
            <w:pPr>
              <w:pStyle w:val="OTRTableHead"/>
              <w:widowControl w:val="0"/>
              <w:rPr>
                <w:szCs w:val="22"/>
              </w:rPr>
            </w:pPr>
            <w:r w:rsidRPr="00264D5D">
              <w:rPr>
                <w:sz w:val="22"/>
                <w:szCs w:val="22"/>
              </w:rPr>
              <w:t>Примечание</w:t>
            </w:r>
          </w:p>
        </w:tc>
      </w:tr>
      <w:tr w:rsidR="00AD1F54" w:rsidRPr="00264D5D" w14:paraId="4F7E3644" w14:textId="77777777" w:rsidTr="00AD1F54">
        <w:trPr>
          <w:cnfStyle w:val="000000100000" w:firstRow="0" w:lastRow="0" w:firstColumn="0" w:lastColumn="0" w:oddVBand="0" w:evenVBand="0" w:oddHBand="1" w:evenHBand="0" w:firstRowFirstColumn="0" w:firstRowLastColumn="0" w:lastRowFirstColumn="0" w:lastRowLastColumn="0"/>
        </w:trPr>
        <w:tc>
          <w:tcPr>
            <w:tcW w:w="1324" w:type="pct"/>
          </w:tcPr>
          <w:p w14:paraId="0FE7A472" w14:textId="77777777" w:rsidR="00AD1F54" w:rsidRPr="00264D5D" w:rsidRDefault="00941227">
            <w:pPr>
              <w:spacing w:before="60" w:after="60"/>
              <w:rPr>
                <w:sz w:val="22"/>
              </w:rPr>
            </w:pPr>
            <w:r w:rsidRPr="00264D5D">
              <w:rPr>
                <w:sz w:val="22"/>
              </w:rPr>
              <w:t xml:space="preserve">Клиент </w:t>
            </w:r>
            <w:bookmarkStart w:id="2399" w:name="OLE_LINK22"/>
            <w:bookmarkStart w:id="2400" w:name="OLE_LINK23"/>
            <w:bookmarkStart w:id="2401" w:name="OLE_LINK24"/>
            <w:r w:rsidRPr="00264D5D">
              <w:rPr>
                <w:sz w:val="22"/>
              </w:rPr>
              <w:t>(ПБС, АУ, БУ, НУБП)</w:t>
            </w:r>
            <w:bookmarkEnd w:id="2399"/>
            <w:bookmarkEnd w:id="2400"/>
            <w:bookmarkEnd w:id="2401"/>
          </w:p>
        </w:tc>
        <w:tc>
          <w:tcPr>
            <w:tcW w:w="1324" w:type="pct"/>
          </w:tcPr>
          <w:p w14:paraId="449C637C" w14:textId="77777777" w:rsidR="00AD1F54" w:rsidRPr="00264D5D" w:rsidRDefault="00941227">
            <w:pPr>
              <w:spacing w:before="60" w:after="60"/>
              <w:rPr>
                <w:sz w:val="22"/>
              </w:rPr>
            </w:pPr>
            <w:r w:rsidRPr="00264D5D">
              <w:rPr>
                <w:sz w:val="22"/>
              </w:rPr>
              <w:t>ТОФК (ППО АСФК)</w:t>
            </w:r>
          </w:p>
        </w:tc>
        <w:tc>
          <w:tcPr>
            <w:tcW w:w="2352" w:type="pct"/>
          </w:tcPr>
          <w:p w14:paraId="3EA15D1F" w14:textId="77777777" w:rsidR="00AD1F54" w:rsidRPr="00264D5D" w:rsidRDefault="00AD1F54">
            <w:pPr>
              <w:spacing w:before="60" w:after="60"/>
              <w:rPr>
                <w:szCs w:val="22"/>
              </w:rPr>
            </w:pPr>
          </w:p>
        </w:tc>
      </w:tr>
    </w:tbl>
    <w:p w14:paraId="37F4BDE6" w14:textId="77777777" w:rsidR="00AD1F54" w:rsidRPr="00264D5D" w:rsidRDefault="00941227">
      <w:pPr>
        <w:pStyle w:val="31"/>
      </w:pPr>
      <w:bookmarkStart w:id="2402" w:name="_Toc520451425"/>
      <w:bookmarkStart w:id="2403" w:name="_Toc219309710"/>
      <w:r w:rsidRPr="00264D5D">
        <w:t>Описание комплексного типа «</w:t>
      </w:r>
      <w:bookmarkStart w:id="2404" w:name="OLE_LINK699"/>
      <w:bookmarkStart w:id="2405" w:name="OLE_LINK700"/>
      <w:bookmarkStart w:id="2406" w:name="OLE_LINK701"/>
      <w:bookmarkStart w:id="2407" w:name="OLE_LINK1206"/>
      <w:bookmarkStart w:id="2408" w:name="OLE_LINK1508"/>
      <w:bookmarkStart w:id="2409" w:name="OLE_LINK1509"/>
      <w:r w:rsidRPr="00264D5D">
        <w:t>tApp_Extradition</w:t>
      </w:r>
      <w:bookmarkEnd w:id="2404"/>
      <w:bookmarkEnd w:id="2405"/>
      <w:bookmarkEnd w:id="2406"/>
      <w:bookmarkEnd w:id="2407"/>
      <w:bookmarkEnd w:id="2408"/>
      <w:bookmarkEnd w:id="2409"/>
      <w:r w:rsidRPr="00264D5D">
        <w:t>»</w:t>
      </w:r>
      <w:bookmarkEnd w:id="2402"/>
      <w:bookmarkEnd w:id="2403"/>
    </w:p>
    <w:p w14:paraId="4325E94F" w14:textId="59BFBBFE"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2410" w:name="_Toc30503407"/>
      <w:bookmarkStart w:id="2411" w:name="_Toc30508005"/>
      <w:bookmarkStart w:id="2412" w:name="_Toc219309271"/>
      <w:r w:rsidR="008D797C">
        <w:rPr>
          <w:rFonts w:eastAsia="Calibri"/>
          <w:noProof/>
          <w:szCs w:val="24"/>
        </w:rPr>
        <w:t>241</w:t>
      </w:r>
      <w:r w:rsidRPr="00264D5D">
        <w:rPr>
          <w:rFonts w:eastAsia="Calibri"/>
          <w:szCs w:val="24"/>
        </w:rPr>
        <w:fldChar w:fldCharType="end"/>
      </w:r>
      <w:r w:rsidRPr="00264D5D">
        <w:rPr>
          <w:rFonts w:eastAsia="Calibri"/>
          <w:szCs w:val="24"/>
        </w:rPr>
        <w:t xml:space="preserve"> – Описание комплексного типа </w:t>
      </w:r>
      <w:bookmarkStart w:id="2413" w:name="OLE_LINK1083"/>
      <w:bookmarkStart w:id="2414" w:name="OLE_LINK1084"/>
      <w:bookmarkStart w:id="2415" w:name="OLE_LINK1085"/>
      <w:bookmarkStart w:id="2416" w:name="OLE_LINK1086"/>
      <w:r w:rsidRPr="00264D5D">
        <w:rPr>
          <w:rFonts w:eastAsia="Calibri"/>
          <w:szCs w:val="24"/>
        </w:rPr>
        <w:t>«</w:t>
      </w:r>
      <w:r w:rsidRPr="00264D5D">
        <w:t>tApp_Extradition</w:t>
      </w:r>
      <w:bookmarkEnd w:id="2413"/>
      <w:bookmarkEnd w:id="2414"/>
      <w:bookmarkEnd w:id="2415"/>
      <w:bookmarkEnd w:id="2416"/>
      <w:r w:rsidRPr="00264D5D">
        <w:rPr>
          <w:rFonts w:eastAsia="Calibri"/>
          <w:szCs w:val="24"/>
        </w:rPr>
        <w:t>»</w:t>
      </w:r>
      <w:bookmarkEnd w:id="2410"/>
      <w:bookmarkEnd w:id="2411"/>
      <w:bookmarkEnd w:id="2412"/>
    </w:p>
    <w:tbl>
      <w:tblPr>
        <w:tblStyle w:val="GOSTTable"/>
        <w:tblW w:w="9634" w:type="dxa"/>
        <w:tblLayout w:type="fixed"/>
        <w:tblLook w:val="04A0" w:firstRow="1" w:lastRow="0" w:firstColumn="1" w:lastColumn="0" w:noHBand="0" w:noVBand="1"/>
      </w:tblPr>
      <w:tblGrid>
        <w:gridCol w:w="1701"/>
        <w:gridCol w:w="1701"/>
        <w:gridCol w:w="567"/>
        <w:gridCol w:w="1134"/>
        <w:gridCol w:w="567"/>
        <w:gridCol w:w="3964"/>
      </w:tblGrid>
      <w:tr w:rsidR="00AD1F54" w:rsidRPr="00264D5D" w14:paraId="08234A1E"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207463DA" w14:textId="77777777" w:rsidR="00AD1F54" w:rsidRPr="00264D5D" w:rsidRDefault="00941227">
            <w:pPr>
              <w:spacing w:before="60" w:after="60"/>
              <w:jc w:val="center"/>
              <w:rPr>
                <w:b/>
                <w:bCs/>
                <w:sz w:val="22"/>
                <w:szCs w:val="22"/>
              </w:rPr>
            </w:pPr>
            <w:r w:rsidRPr="00264D5D">
              <w:rPr>
                <w:b/>
                <w:bCs/>
                <w:sz w:val="22"/>
                <w:szCs w:val="22"/>
              </w:rPr>
              <w:t>Наименование элемента</w:t>
            </w:r>
          </w:p>
        </w:tc>
        <w:tc>
          <w:tcPr>
            <w:tcW w:w="1701" w:type="dxa"/>
          </w:tcPr>
          <w:p w14:paraId="2C27681B" w14:textId="77777777" w:rsidR="00AD1F54" w:rsidRPr="00264D5D" w:rsidRDefault="00941227">
            <w:pPr>
              <w:spacing w:before="60" w:after="60"/>
              <w:jc w:val="center"/>
              <w:rPr>
                <w:b/>
                <w:bCs/>
                <w:sz w:val="22"/>
                <w:szCs w:val="22"/>
              </w:rPr>
            </w:pPr>
            <w:r w:rsidRPr="00264D5D">
              <w:rPr>
                <w:b/>
                <w:bCs/>
                <w:sz w:val="22"/>
                <w:szCs w:val="22"/>
              </w:rPr>
              <w:t>Сокращенное наименование (код) элемента</w:t>
            </w:r>
          </w:p>
        </w:tc>
        <w:tc>
          <w:tcPr>
            <w:tcW w:w="567" w:type="dxa"/>
          </w:tcPr>
          <w:p w14:paraId="7ED19957" w14:textId="77777777" w:rsidR="00AD1F54" w:rsidRPr="00264D5D" w:rsidRDefault="00941227">
            <w:pPr>
              <w:spacing w:before="60" w:after="60"/>
              <w:jc w:val="center"/>
              <w:rPr>
                <w:b/>
                <w:sz w:val="22"/>
                <w:szCs w:val="22"/>
              </w:rPr>
            </w:pPr>
            <w:r w:rsidRPr="00264D5D">
              <w:rPr>
                <w:b/>
                <w:bCs/>
                <w:sz w:val="22"/>
                <w:szCs w:val="22"/>
              </w:rPr>
              <w:t>Тип</w:t>
            </w:r>
          </w:p>
        </w:tc>
        <w:tc>
          <w:tcPr>
            <w:tcW w:w="1134" w:type="dxa"/>
          </w:tcPr>
          <w:p w14:paraId="49F48E06" w14:textId="77777777" w:rsidR="00AD1F54" w:rsidRPr="00264D5D" w:rsidRDefault="00941227">
            <w:pPr>
              <w:spacing w:before="60" w:after="60"/>
              <w:jc w:val="center"/>
              <w:rPr>
                <w:b/>
                <w:sz w:val="22"/>
                <w:szCs w:val="22"/>
              </w:rPr>
            </w:pPr>
            <w:r w:rsidRPr="00264D5D">
              <w:rPr>
                <w:b/>
                <w:bCs/>
                <w:sz w:val="22"/>
                <w:szCs w:val="22"/>
              </w:rPr>
              <w:t>Формат элемента</w:t>
            </w:r>
          </w:p>
        </w:tc>
        <w:tc>
          <w:tcPr>
            <w:tcW w:w="567" w:type="dxa"/>
          </w:tcPr>
          <w:p w14:paraId="45F959EA" w14:textId="77777777" w:rsidR="00AD1F54" w:rsidRPr="00264D5D" w:rsidRDefault="00941227">
            <w:pPr>
              <w:spacing w:before="60" w:after="60"/>
              <w:jc w:val="center"/>
              <w:rPr>
                <w:b/>
                <w:sz w:val="22"/>
                <w:szCs w:val="22"/>
              </w:rPr>
            </w:pPr>
            <w:r w:rsidRPr="00264D5D">
              <w:rPr>
                <w:b/>
                <w:bCs/>
                <w:sz w:val="22"/>
                <w:szCs w:val="22"/>
              </w:rPr>
              <w:t>Обязательность</w:t>
            </w:r>
          </w:p>
        </w:tc>
        <w:tc>
          <w:tcPr>
            <w:tcW w:w="3963" w:type="dxa"/>
          </w:tcPr>
          <w:p w14:paraId="09FB48C4" w14:textId="77777777" w:rsidR="00AD1F54" w:rsidRPr="00264D5D" w:rsidRDefault="00941227">
            <w:pPr>
              <w:spacing w:before="60" w:after="60"/>
              <w:jc w:val="center"/>
              <w:rPr>
                <w:b/>
                <w:bCs/>
                <w:sz w:val="22"/>
                <w:szCs w:val="22"/>
              </w:rPr>
            </w:pPr>
            <w:r w:rsidRPr="00264D5D">
              <w:rPr>
                <w:b/>
                <w:bCs/>
                <w:sz w:val="22"/>
                <w:szCs w:val="22"/>
              </w:rPr>
              <w:t>Дополнительная информация</w:t>
            </w:r>
          </w:p>
        </w:tc>
      </w:tr>
      <w:tr w:rsidR="00AD1F54" w:rsidRPr="00264D5D" w14:paraId="264B4AF8"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9634" w:type="dxa"/>
            <w:gridSpan w:val="6"/>
          </w:tcPr>
          <w:p w14:paraId="4CDF1C3E" w14:textId="77777777" w:rsidR="00AD1F54" w:rsidRPr="00264D5D" w:rsidRDefault="00941227">
            <w:pPr>
              <w:spacing w:before="60" w:after="60"/>
              <w:rPr>
                <w:sz w:val="22"/>
                <w:szCs w:val="22"/>
              </w:rPr>
            </w:pPr>
            <w:bookmarkStart w:id="2417" w:name="_Hlk524686300"/>
            <w:r w:rsidRPr="00264D5D">
              <w:rPr>
                <w:b/>
                <w:sz w:val="22"/>
                <w:szCs w:val="22"/>
              </w:rPr>
              <w:t>Заголовок</w:t>
            </w:r>
            <w:bookmarkEnd w:id="2288"/>
            <w:bookmarkEnd w:id="2289"/>
            <w:bookmarkEnd w:id="2290"/>
            <w:bookmarkEnd w:id="2417"/>
          </w:p>
        </w:tc>
      </w:tr>
      <w:tr w:rsidR="00AD1F54" w:rsidRPr="00264D5D" w14:paraId="3301D5A6"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701" w:type="dxa"/>
          </w:tcPr>
          <w:p w14:paraId="3187DAC5" w14:textId="77777777" w:rsidR="00AD1F54" w:rsidRPr="00264D5D" w:rsidRDefault="00941227">
            <w:pPr>
              <w:spacing w:before="60" w:after="60"/>
              <w:rPr>
                <w:sz w:val="22"/>
                <w:szCs w:val="22"/>
                <w:lang w:val="en-US"/>
              </w:rPr>
            </w:pPr>
            <w:r w:rsidRPr="00264D5D">
              <w:rPr>
                <w:sz w:val="22"/>
                <w:szCs w:val="22"/>
                <w:lang w:val="en-US"/>
              </w:rPr>
              <w:t>GUID</w:t>
            </w:r>
          </w:p>
        </w:tc>
        <w:tc>
          <w:tcPr>
            <w:tcW w:w="1701" w:type="dxa"/>
          </w:tcPr>
          <w:p w14:paraId="43E086C4" w14:textId="77777777" w:rsidR="00AD1F54" w:rsidRPr="00264D5D" w:rsidRDefault="00941227">
            <w:pPr>
              <w:spacing w:before="60" w:after="60"/>
              <w:jc w:val="left"/>
              <w:rPr>
                <w:sz w:val="22"/>
                <w:szCs w:val="22"/>
                <w:lang w:val="en-US"/>
              </w:rPr>
            </w:pPr>
            <w:r w:rsidRPr="00264D5D">
              <w:rPr>
                <w:sz w:val="22"/>
                <w:szCs w:val="22"/>
                <w:lang w:val="en-US"/>
              </w:rPr>
              <w:t>GUID</w:t>
            </w:r>
          </w:p>
        </w:tc>
        <w:tc>
          <w:tcPr>
            <w:tcW w:w="567" w:type="dxa"/>
          </w:tcPr>
          <w:p w14:paraId="179EE6D2" w14:textId="77777777" w:rsidR="00AD1F54" w:rsidRPr="00264D5D" w:rsidRDefault="00941227">
            <w:pPr>
              <w:spacing w:before="60" w:after="60"/>
              <w:jc w:val="center"/>
              <w:rPr>
                <w:sz w:val="22"/>
                <w:szCs w:val="22"/>
              </w:rPr>
            </w:pPr>
            <w:r w:rsidRPr="00264D5D">
              <w:rPr>
                <w:sz w:val="22"/>
                <w:szCs w:val="22"/>
              </w:rPr>
              <w:t>П</w:t>
            </w:r>
          </w:p>
        </w:tc>
        <w:tc>
          <w:tcPr>
            <w:tcW w:w="1134" w:type="dxa"/>
          </w:tcPr>
          <w:p w14:paraId="4609C30E" w14:textId="77777777" w:rsidR="00AD1F54" w:rsidRPr="00264D5D" w:rsidRDefault="00941227">
            <w:pPr>
              <w:spacing w:before="60" w:after="60"/>
              <w:jc w:val="left"/>
              <w:rPr>
                <w:sz w:val="22"/>
                <w:szCs w:val="22"/>
              </w:rPr>
            </w:pPr>
            <w:bookmarkStart w:id="2418" w:name="OLE_LINK595"/>
            <w:bookmarkStart w:id="2419" w:name="OLE_LINK596"/>
            <w:bookmarkStart w:id="2420" w:name="OLE_LINK597"/>
            <w:r w:rsidRPr="00264D5D">
              <w:rPr>
                <w:sz w:val="22"/>
                <w:szCs w:val="22"/>
              </w:rPr>
              <w:t>Т(36)</w:t>
            </w:r>
            <w:bookmarkEnd w:id="2418"/>
            <w:bookmarkEnd w:id="2419"/>
            <w:bookmarkEnd w:id="2420"/>
          </w:p>
        </w:tc>
        <w:tc>
          <w:tcPr>
            <w:tcW w:w="567" w:type="dxa"/>
          </w:tcPr>
          <w:p w14:paraId="7F8CD5D6" w14:textId="77777777" w:rsidR="00AD1F54" w:rsidRPr="00264D5D" w:rsidRDefault="00941227">
            <w:pPr>
              <w:spacing w:before="60" w:after="60"/>
              <w:jc w:val="center"/>
              <w:rPr>
                <w:sz w:val="22"/>
                <w:szCs w:val="22"/>
              </w:rPr>
            </w:pPr>
            <w:r w:rsidRPr="00264D5D">
              <w:rPr>
                <w:sz w:val="22"/>
                <w:szCs w:val="22"/>
              </w:rPr>
              <w:t>Н</w:t>
            </w:r>
          </w:p>
        </w:tc>
        <w:tc>
          <w:tcPr>
            <w:tcW w:w="3963" w:type="dxa"/>
          </w:tcPr>
          <w:p w14:paraId="58F46635" w14:textId="77777777" w:rsidR="00AD1F54" w:rsidRPr="00264D5D" w:rsidRDefault="00941227">
            <w:pPr>
              <w:spacing w:before="60" w:after="60"/>
              <w:rPr>
                <w:sz w:val="22"/>
                <w:szCs w:val="22"/>
              </w:rPr>
            </w:pPr>
            <w:r w:rsidRPr="00264D5D">
              <w:rPr>
                <w:sz w:val="22"/>
                <w:szCs w:val="22"/>
              </w:rPr>
              <w:t xml:space="preserve">Глобальный уникальный идентификатор </w:t>
            </w:r>
            <w:r w:rsidRPr="00264D5D">
              <w:rPr>
                <w:sz w:val="22"/>
                <w:szCs w:val="22"/>
                <w:lang w:val="en-US"/>
              </w:rPr>
              <w:t>документа</w:t>
            </w:r>
          </w:p>
        </w:tc>
      </w:tr>
      <w:tr w:rsidR="00AD1F54" w:rsidRPr="00264D5D" w14:paraId="3B7A9745"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701" w:type="dxa"/>
          </w:tcPr>
          <w:p w14:paraId="686E0556" w14:textId="77777777" w:rsidR="00AD1F54" w:rsidRPr="00264D5D" w:rsidRDefault="00941227">
            <w:pPr>
              <w:spacing w:before="60" w:after="60"/>
              <w:rPr>
                <w:sz w:val="22"/>
                <w:szCs w:val="22"/>
              </w:rPr>
            </w:pPr>
            <w:bookmarkStart w:id="2421" w:name="OLE_LINK1078"/>
            <w:bookmarkStart w:id="2422" w:name="OLE_LINK1079"/>
            <w:r w:rsidRPr="00264D5D">
              <w:rPr>
                <w:sz w:val="22"/>
                <w:szCs w:val="22"/>
              </w:rPr>
              <w:t>Вид</w:t>
            </w:r>
            <w:bookmarkEnd w:id="2421"/>
            <w:bookmarkEnd w:id="2422"/>
          </w:p>
        </w:tc>
        <w:tc>
          <w:tcPr>
            <w:tcW w:w="1701" w:type="dxa"/>
          </w:tcPr>
          <w:p w14:paraId="5FCFB1BF" w14:textId="77777777" w:rsidR="00AD1F54" w:rsidRPr="00264D5D" w:rsidRDefault="00941227">
            <w:pPr>
              <w:spacing w:before="60" w:after="60"/>
              <w:jc w:val="left"/>
              <w:rPr>
                <w:sz w:val="22"/>
                <w:szCs w:val="22"/>
              </w:rPr>
            </w:pPr>
            <w:bookmarkStart w:id="2423" w:name="OLE_LINK885"/>
            <w:bookmarkStart w:id="2424" w:name="OLE_LINK886"/>
            <w:bookmarkStart w:id="2425" w:name="OLE_LINK887"/>
            <w:bookmarkStart w:id="2426" w:name="OLE_LINK1077"/>
            <w:bookmarkStart w:id="2427" w:name="OLE_LINK1087"/>
            <w:bookmarkStart w:id="2428" w:name="OLE_LINK1512"/>
            <w:bookmarkStart w:id="2429" w:name="OLE_LINK1513"/>
            <w:r w:rsidRPr="00264D5D">
              <w:rPr>
                <w:sz w:val="22"/>
                <w:szCs w:val="22"/>
                <w:lang w:val="en-US"/>
              </w:rPr>
              <w:t>Type</w:t>
            </w:r>
            <w:bookmarkStart w:id="2430" w:name="OLE_LINK1510"/>
            <w:bookmarkStart w:id="2431" w:name="OLE_LINK1511"/>
            <w:bookmarkEnd w:id="2423"/>
            <w:bookmarkEnd w:id="2424"/>
            <w:bookmarkEnd w:id="2425"/>
            <w:bookmarkEnd w:id="2426"/>
            <w:bookmarkEnd w:id="2427"/>
            <w:r w:rsidRPr="00264D5D">
              <w:rPr>
                <w:sz w:val="22"/>
                <w:szCs w:val="22"/>
              </w:rPr>
              <w:t>App</w:t>
            </w:r>
            <w:bookmarkEnd w:id="2428"/>
            <w:bookmarkEnd w:id="2429"/>
            <w:bookmarkEnd w:id="2430"/>
            <w:bookmarkEnd w:id="2431"/>
          </w:p>
        </w:tc>
        <w:tc>
          <w:tcPr>
            <w:tcW w:w="567" w:type="dxa"/>
          </w:tcPr>
          <w:p w14:paraId="3DE2CFBE" w14:textId="77777777" w:rsidR="00AD1F54" w:rsidRPr="00264D5D" w:rsidRDefault="00941227">
            <w:pPr>
              <w:spacing w:before="60" w:after="60"/>
              <w:jc w:val="center"/>
              <w:rPr>
                <w:sz w:val="22"/>
                <w:szCs w:val="22"/>
              </w:rPr>
            </w:pPr>
            <w:r w:rsidRPr="00264D5D">
              <w:rPr>
                <w:sz w:val="22"/>
                <w:szCs w:val="22"/>
              </w:rPr>
              <w:t>П</w:t>
            </w:r>
          </w:p>
        </w:tc>
        <w:tc>
          <w:tcPr>
            <w:tcW w:w="1134" w:type="dxa"/>
          </w:tcPr>
          <w:p w14:paraId="41488051" w14:textId="77777777" w:rsidR="00AD1F54" w:rsidRPr="00264D5D" w:rsidRDefault="00941227">
            <w:pPr>
              <w:spacing w:before="60" w:after="60"/>
              <w:jc w:val="left"/>
              <w:rPr>
                <w:sz w:val="22"/>
                <w:szCs w:val="22"/>
              </w:rPr>
            </w:pPr>
            <w:r w:rsidRPr="00264D5D">
              <w:rPr>
                <w:sz w:val="22"/>
                <w:szCs w:val="22"/>
                <w:lang w:val="en-US"/>
              </w:rPr>
              <w:t>N</w:t>
            </w:r>
            <w:r w:rsidRPr="00264D5D">
              <w:rPr>
                <w:sz w:val="22"/>
                <w:szCs w:val="22"/>
              </w:rPr>
              <w:t>(1)</w:t>
            </w:r>
          </w:p>
        </w:tc>
        <w:tc>
          <w:tcPr>
            <w:tcW w:w="567" w:type="dxa"/>
          </w:tcPr>
          <w:p w14:paraId="156F8A88" w14:textId="77777777" w:rsidR="00AD1F54" w:rsidRPr="00264D5D" w:rsidRDefault="00941227">
            <w:pPr>
              <w:spacing w:before="60" w:after="60"/>
              <w:jc w:val="center"/>
              <w:rPr>
                <w:sz w:val="22"/>
                <w:szCs w:val="22"/>
              </w:rPr>
            </w:pPr>
            <w:r w:rsidRPr="00264D5D">
              <w:rPr>
                <w:sz w:val="22"/>
                <w:szCs w:val="22"/>
              </w:rPr>
              <w:t>О</w:t>
            </w:r>
          </w:p>
        </w:tc>
        <w:tc>
          <w:tcPr>
            <w:tcW w:w="3963" w:type="dxa"/>
          </w:tcPr>
          <w:p w14:paraId="7322347B" w14:textId="77777777" w:rsidR="00AD1F54" w:rsidRPr="00264D5D" w:rsidRDefault="00941227">
            <w:pPr>
              <w:spacing w:before="60" w:after="60"/>
              <w:rPr>
                <w:sz w:val="22"/>
                <w:szCs w:val="22"/>
              </w:rPr>
            </w:pPr>
            <w:bookmarkStart w:id="2432" w:name="OLE_LINK923"/>
            <w:bookmarkStart w:id="2433" w:name="OLE_LINK924"/>
            <w:bookmarkStart w:id="2434" w:name="OLE_LINK925"/>
            <w:bookmarkStart w:id="2435" w:name="OLE_LINK926"/>
            <w:bookmarkStart w:id="2436" w:name="OLE_LINK927"/>
            <w:bookmarkStart w:id="2437" w:name="OLE_LINK928"/>
            <w:bookmarkStart w:id="2438" w:name="OLE_LINK929"/>
            <w:bookmarkStart w:id="2439" w:name="OLE_LINK930"/>
            <w:bookmarkStart w:id="2440" w:name="OLE_LINK931"/>
            <w:bookmarkStart w:id="2441" w:name="OLE_LINK932"/>
            <w:bookmarkStart w:id="2442" w:name="OLE_LINK933"/>
            <w:bookmarkStart w:id="2443" w:name="OLE_LINK934"/>
            <w:bookmarkStart w:id="2444" w:name="OLE_LINK935"/>
            <w:bookmarkStart w:id="2445" w:name="OLE_LINK936"/>
            <w:bookmarkStart w:id="2446" w:name="OLE_LINK937"/>
            <w:bookmarkStart w:id="2447" w:name="OLE_LINK938"/>
            <w:bookmarkStart w:id="2448" w:name="OLE_LINK939"/>
            <w:bookmarkStart w:id="2449" w:name="OLE_LINK940"/>
            <w:bookmarkStart w:id="2450" w:name="OLE_LINK941"/>
            <w:bookmarkStart w:id="2451" w:name="OLE_LINK942"/>
            <w:bookmarkStart w:id="2452" w:name="OLE_LINK943"/>
            <w:bookmarkStart w:id="2453" w:name="OLE_LINK944"/>
            <w:bookmarkStart w:id="2454" w:name="OLE_LINK945"/>
            <w:bookmarkStart w:id="2455" w:name="OLE_LINK946"/>
            <w:bookmarkStart w:id="2456" w:name="OLE_LINK947"/>
            <w:bookmarkStart w:id="2457" w:name="OLE_LINK948"/>
            <w:bookmarkStart w:id="2458" w:name="OLE_LINK949"/>
            <w:bookmarkStart w:id="2459" w:name="OLE_LINK950"/>
            <w:bookmarkStart w:id="2460" w:name="OLE_LINK951"/>
            <w:bookmarkStart w:id="2461" w:name="OLE_LINK952"/>
            <w:r w:rsidRPr="00264D5D">
              <w:rPr>
                <w:sz w:val="22"/>
                <w:szCs w:val="22"/>
              </w:rPr>
              <w:t>Указывается</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r w:rsidRPr="00264D5D">
              <w:rPr>
                <w:sz w:val="22"/>
                <w:szCs w:val="22"/>
              </w:rPr>
              <w:t xml:space="preserve"> вид </w:t>
            </w:r>
            <w:bookmarkStart w:id="2462" w:name="OLE_LINK617"/>
            <w:bookmarkStart w:id="2463" w:name="OLE_LINK618"/>
            <w:r w:rsidRPr="00264D5D">
              <w:rPr>
                <w:sz w:val="22"/>
                <w:szCs w:val="22"/>
              </w:rPr>
              <w:t>заявления на выдачу (отзыв) КОО</w:t>
            </w:r>
            <w:bookmarkEnd w:id="2462"/>
            <w:bookmarkEnd w:id="2463"/>
            <w:r w:rsidRPr="00264D5D">
              <w:rPr>
                <w:sz w:val="22"/>
                <w:szCs w:val="22"/>
              </w:rPr>
              <w:t>:</w:t>
            </w:r>
          </w:p>
          <w:p w14:paraId="024451EA" w14:textId="77777777" w:rsidR="00AD1F54" w:rsidRPr="00264D5D" w:rsidRDefault="00941227" w:rsidP="00E7460C">
            <w:pPr>
              <w:pStyle w:val="af5"/>
              <w:numPr>
                <w:ilvl w:val="0"/>
                <w:numId w:val="109"/>
              </w:numPr>
              <w:spacing w:before="60" w:after="60"/>
              <w:ind w:left="284" w:hanging="227"/>
              <w:rPr>
                <w:sz w:val="22"/>
                <w:szCs w:val="22"/>
              </w:rPr>
            </w:pPr>
            <w:r w:rsidRPr="00264D5D">
              <w:rPr>
                <w:sz w:val="22"/>
                <w:szCs w:val="22"/>
              </w:rPr>
              <w:t>«1» – заявление на выдачу КОО;</w:t>
            </w:r>
          </w:p>
          <w:p w14:paraId="120741F9" w14:textId="77777777" w:rsidR="00AD1F54" w:rsidRPr="00264D5D" w:rsidRDefault="008279A4" w:rsidP="00E7460C">
            <w:pPr>
              <w:pStyle w:val="GOSTTablenorm"/>
              <w:numPr>
                <w:ilvl w:val="0"/>
                <w:numId w:val="109"/>
              </w:numPr>
              <w:ind w:left="284" w:hanging="227"/>
              <w:rPr>
                <w:szCs w:val="22"/>
              </w:rPr>
            </w:pPr>
            <w:r w:rsidRPr="00264D5D">
              <w:rPr>
                <w:szCs w:val="22"/>
              </w:rPr>
              <w:t>«4» – заявление на отзыв КОО</w:t>
            </w:r>
          </w:p>
        </w:tc>
      </w:tr>
      <w:tr w:rsidR="00AD1F54" w:rsidRPr="00264D5D" w14:paraId="18256E5A"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701" w:type="dxa"/>
          </w:tcPr>
          <w:p w14:paraId="690A0A2E" w14:textId="77777777" w:rsidR="00AD1F54" w:rsidRPr="00264D5D" w:rsidRDefault="00941227">
            <w:pPr>
              <w:spacing w:before="60" w:after="60"/>
              <w:rPr>
                <w:sz w:val="22"/>
                <w:szCs w:val="22"/>
              </w:rPr>
            </w:pPr>
            <w:bookmarkStart w:id="2464" w:name="OLE_LINK590"/>
            <w:bookmarkStart w:id="2465" w:name="OLE_LINK591"/>
            <w:bookmarkStart w:id="2466" w:name="OLE_LINK1082"/>
            <w:bookmarkStart w:id="2467" w:name="OLE_LINK1089"/>
            <w:bookmarkStart w:id="2468" w:name="_Hlk524685581"/>
            <w:r w:rsidRPr="00264D5D">
              <w:rPr>
                <w:sz w:val="22"/>
                <w:szCs w:val="22"/>
              </w:rPr>
              <w:t>Номер</w:t>
            </w:r>
            <w:bookmarkEnd w:id="2464"/>
            <w:bookmarkEnd w:id="2465"/>
            <w:bookmarkEnd w:id="2466"/>
            <w:bookmarkEnd w:id="2467"/>
          </w:p>
        </w:tc>
        <w:tc>
          <w:tcPr>
            <w:tcW w:w="1701" w:type="dxa"/>
          </w:tcPr>
          <w:p w14:paraId="413577EE" w14:textId="77777777" w:rsidR="00AD1F54" w:rsidRPr="00264D5D" w:rsidRDefault="00941227">
            <w:pPr>
              <w:spacing w:before="60" w:after="60"/>
              <w:jc w:val="left"/>
              <w:rPr>
                <w:sz w:val="22"/>
                <w:szCs w:val="22"/>
                <w:lang w:val="en-US"/>
              </w:rPr>
            </w:pPr>
            <w:bookmarkStart w:id="2469" w:name="OLE_LINK1080"/>
            <w:bookmarkStart w:id="2470" w:name="OLE_LINK1081"/>
            <w:bookmarkStart w:id="2471" w:name="OLE_LINK1088"/>
            <w:r w:rsidRPr="00264D5D">
              <w:rPr>
                <w:sz w:val="22"/>
                <w:szCs w:val="22"/>
                <w:lang w:val="en-US"/>
              </w:rPr>
              <w:t>NumApp</w:t>
            </w:r>
            <w:bookmarkEnd w:id="2469"/>
            <w:bookmarkEnd w:id="2470"/>
            <w:bookmarkEnd w:id="2471"/>
          </w:p>
        </w:tc>
        <w:tc>
          <w:tcPr>
            <w:tcW w:w="567" w:type="dxa"/>
          </w:tcPr>
          <w:p w14:paraId="3B46AA8C" w14:textId="77777777" w:rsidR="00AD1F54" w:rsidRPr="00264D5D" w:rsidRDefault="00941227">
            <w:pPr>
              <w:spacing w:before="60" w:after="60"/>
              <w:jc w:val="center"/>
              <w:rPr>
                <w:sz w:val="22"/>
                <w:szCs w:val="22"/>
              </w:rPr>
            </w:pPr>
            <w:r w:rsidRPr="00264D5D">
              <w:rPr>
                <w:sz w:val="22"/>
                <w:szCs w:val="22"/>
              </w:rPr>
              <w:t>П</w:t>
            </w:r>
          </w:p>
        </w:tc>
        <w:tc>
          <w:tcPr>
            <w:tcW w:w="1134" w:type="dxa"/>
          </w:tcPr>
          <w:p w14:paraId="21098278" w14:textId="77777777" w:rsidR="00AD1F54" w:rsidRPr="00264D5D" w:rsidRDefault="00941227">
            <w:pPr>
              <w:spacing w:before="60" w:after="60"/>
              <w:rPr>
                <w:sz w:val="22"/>
                <w:szCs w:val="22"/>
              </w:rPr>
            </w:pPr>
            <w:r w:rsidRPr="00264D5D">
              <w:rPr>
                <w:sz w:val="22"/>
                <w:szCs w:val="22"/>
              </w:rPr>
              <w:t>Т(1-50)</w:t>
            </w:r>
          </w:p>
        </w:tc>
        <w:tc>
          <w:tcPr>
            <w:tcW w:w="567" w:type="dxa"/>
          </w:tcPr>
          <w:p w14:paraId="04DF059F" w14:textId="77777777" w:rsidR="00AD1F54" w:rsidRPr="00264D5D" w:rsidRDefault="00941227">
            <w:pPr>
              <w:spacing w:before="60" w:after="60"/>
              <w:jc w:val="center"/>
              <w:rPr>
                <w:sz w:val="22"/>
                <w:szCs w:val="22"/>
              </w:rPr>
            </w:pPr>
            <w:r w:rsidRPr="00264D5D">
              <w:rPr>
                <w:sz w:val="22"/>
                <w:szCs w:val="22"/>
              </w:rPr>
              <w:t>О</w:t>
            </w:r>
          </w:p>
        </w:tc>
        <w:tc>
          <w:tcPr>
            <w:tcW w:w="3963" w:type="dxa"/>
          </w:tcPr>
          <w:p w14:paraId="7AE757EF" w14:textId="77777777" w:rsidR="00AD1F54" w:rsidRPr="00264D5D" w:rsidRDefault="00941227">
            <w:pPr>
              <w:spacing w:before="60" w:after="60"/>
              <w:rPr>
                <w:sz w:val="22"/>
                <w:szCs w:val="22"/>
              </w:rPr>
            </w:pPr>
            <w:r w:rsidRPr="00264D5D">
              <w:rPr>
                <w:sz w:val="22"/>
                <w:szCs w:val="22"/>
              </w:rPr>
              <w:t xml:space="preserve">Указывается номер </w:t>
            </w:r>
            <w:bookmarkStart w:id="2472" w:name="OLE_LINK619"/>
            <w:bookmarkStart w:id="2473" w:name="OLE_LINK620"/>
            <w:bookmarkStart w:id="2474" w:name="OLE_LINK621"/>
            <w:r w:rsidRPr="00264D5D">
              <w:rPr>
                <w:sz w:val="22"/>
                <w:szCs w:val="22"/>
              </w:rPr>
              <w:t>документа, присвоенный клиентом</w:t>
            </w:r>
            <w:bookmarkEnd w:id="2472"/>
            <w:bookmarkEnd w:id="2473"/>
            <w:bookmarkEnd w:id="2474"/>
          </w:p>
        </w:tc>
      </w:tr>
      <w:tr w:rsidR="00AD1F54" w:rsidRPr="00264D5D" w14:paraId="5C9A4F13"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701" w:type="dxa"/>
          </w:tcPr>
          <w:p w14:paraId="6F07365A" w14:textId="77777777" w:rsidR="00AD1F54" w:rsidRPr="00264D5D" w:rsidRDefault="00941227">
            <w:pPr>
              <w:spacing w:before="60" w:after="60"/>
              <w:rPr>
                <w:sz w:val="22"/>
                <w:szCs w:val="22"/>
              </w:rPr>
            </w:pPr>
            <w:bookmarkStart w:id="2475" w:name="OLE_LINK1090"/>
            <w:bookmarkStart w:id="2476" w:name="OLE_LINK1091"/>
            <w:bookmarkStart w:id="2477" w:name="_Hlk524686468"/>
            <w:bookmarkStart w:id="2478" w:name="_Hlk524691316"/>
            <w:bookmarkEnd w:id="2468"/>
            <w:r w:rsidRPr="00264D5D">
              <w:rPr>
                <w:sz w:val="22"/>
                <w:szCs w:val="22"/>
              </w:rPr>
              <w:t>Дата</w:t>
            </w:r>
            <w:bookmarkEnd w:id="2475"/>
            <w:bookmarkEnd w:id="2476"/>
          </w:p>
        </w:tc>
        <w:tc>
          <w:tcPr>
            <w:tcW w:w="1701" w:type="dxa"/>
          </w:tcPr>
          <w:p w14:paraId="02BD1BBA" w14:textId="77777777" w:rsidR="00AD1F54" w:rsidRPr="00264D5D" w:rsidRDefault="00941227">
            <w:pPr>
              <w:spacing w:before="60" w:after="60"/>
              <w:jc w:val="left"/>
              <w:rPr>
                <w:sz w:val="22"/>
                <w:szCs w:val="22"/>
              </w:rPr>
            </w:pPr>
            <w:bookmarkStart w:id="2479" w:name="OLE_LINK1092"/>
            <w:bookmarkStart w:id="2480" w:name="OLE_LINK1093"/>
            <w:r w:rsidRPr="00264D5D">
              <w:rPr>
                <w:sz w:val="22"/>
                <w:szCs w:val="22"/>
                <w:lang w:val="en-US"/>
              </w:rPr>
              <w:t>DateApp</w:t>
            </w:r>
            <w:bookmarkEnd w:id="2479"/>
            <w:bookmarkEnd w:id="2480"/>
          </w:p>
        </w:tc>
        <w:tc>
          <w:tcPr>
            <w:tcW w:w="567" w:type="dxa"/>
          </w:tcPr>
          <w:p w14:paraId="2BDD59F5" w14:textId="77777777" w:rsidR="00AD1F54" w:rsidRPr="00264D5D" w:rsidRDefault="00941227">
            <w:pPr>
              <w:spacing w:before="60" w:after="60"/>
              <w:jc w:val="center"/>
              <w:rPr>
                <w:sz w:val="22"/>
                <w:szCs w:val="22"/>
              </w:rPr>
            </w:pPr>
            <w:r w:rsidRPr="00264D5D">
              <w:rPr>
                <w:sz w:val="22"/>
                <w:szCs w:val="22"/>
              </w:rPr>
              <w:t>П</w:t>
            </w:r>
          </w:p>
        </w:tc>
        <w:tc>
          <w:tcPr>
            <w:tcW w:w="1134" w:type="dxa"/>
          </w:tcPr>
          <w:p w14:paraId="65D0C600" w14:textId="77777777" w:rsidR="00AD1F54" w:rsidRPr="00264D5D" w:rsidRDefault="00941227">
            <w:pPr>
              <w:spacing w:before="60" w:after="60"/>
              <w:rPr>
                <w:sz w:val="22"/>
                <w:szCs w:val="22"/>
              </w:rPr>
            </w:pPr>
            <w:bookmarkStart w:id="2481" w:name="OLE_LINK655"/>
            <w:bookmarkStart w:id="2482" w:name="OLE_LINK656"/>
            <w:r w:rsidRPr="00264D5D">
              <w:rPr>
                <w:sz w:val="22"/>
                <w:szCs w:val="22"/>
                <w:lang w:val="en-US"/>
              </w:rPr>
              <w:t>D</w:t>
            </w:r>
            <w:r w:rsidRPr="00264D5D">
              <w:rPr>
                <w:sz w:val="22"/>
                <w:szCs w:val="22"/>
              </w:rPr>
              <w:t>ate</w:t>
            </w:r>
            <w:bookmarkEnd w:id="2481"/>
            <w:bookmarkEnd w:id="2482"/>
          </w:p>
        </w:tc>
        <w:tc>
          <w:tcPr>
            <w:tcW w:w="567" w:type="dxa"/>
          </w:tcPr>
          <w:p w14:paraId="1548CF1C" w14:textId="77777777" w:rsidR="00AD1F54" w:rsidRPr="00264D5D" w:rsidRDefault="00941227">
            <w:pPr>
              <w:spacing w:before="60" w:after="60"/>
              <w:jc w:val="center"/>
              <w:rPr>
                <w:sz w:val="22"/>
                <w:szCs w:val="22"/>
              </w:rPr>
            </w:pPr>
            <w:r w:rsidRPr="00264D5D">
              <w:rPr>
                <w:sz w:val="22"/>
                <w:szCs w:val="22"/>
              </w:rPr>
              <w:t>О</w:t>
            </w:r>
          </w:p>
        </w:tc>
        <w:tc>
          <w:tcPr>
            <w:tcW w:w="3963" w:type="dxa"/>
          </w:tcPr>
          <w:p w14:paraId="253E283C" w14:textId="77777777" w:rsidR="00AD1F54" w:rsidRPr="00264D5D" w:rsidRDefault="00941227">
            <w:pPr>
              <w:spacing w:before="60" w:after="60"/>
              <w:rPr>
                <w:sz w:val="22"/>
                <w:szCs w:val="22"/>
              </w:rPr>
            </w:pPr>
            <w:r w:rsidRPr="00264D5D">
              <w:rPr>
                <w:sz w:val="22"/>
                <w:szCs w:val="22"/>
              </w:rPr>
              <w:t xml:space="preserve">Указывается дата </w:t>
            </w:r>
            <w:r w:rsidR="008279A4" w:rsidRPr="00264D5D">
              <w:rPr>
                <w:sz w:val="22"/>
                <w:szCs w:val="22"/>
              </w:rPr>
              <w:t>составления документа клиентом</w:t>
            </w:r>
          </w:p>
        </w:tc>
      </w:tr>
      <w:tr w:rsidR="00AD1F54" w:rsidRPr="00264D5D" w14:paraId="36150AC6"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701" w:type="dxa"/>
          </w:tcPr>
          <w:p w14:paraId="26D87E78" w14:textId="77777777" w:rsidR="00AD1F54" w:rsidRPr="00264D5D" w:rsidRDefault="00941227">
            <w:pPr>
              <w:spacing w:before="60" w:after="60"/>
              <w:rPr>
                <w:sz w:val="22"/>
                <w:szCs w:val="22"/>
              </w:rPr>
            </w:pPr>
            <w:bookmarkStart w:id="2483" w:name="OLE_LINK1095"/>
            <w:bookmarkStart w:id="2484" w:name="OLE_LINK1096"/>
            <w:bookmarkStart w:id="2485" w:name="_Hlk524961397"/>
            <w:bookmarkEnd w:id="2477"/>
            <w:r w:rsidRPr="00264D5D">
              <w:rPr>
                <w:sz w:val="22"/>
                <w:szCs w:val="22"/>
              </w:rPr>
              <w:t>Сумма</w:t>
            </w:r>
            <w:bookmarkEnd w:id="2483"/>
            <w:bookmarkEnd w:id="2484"/>
          </w:p>
        </w:tc>
        <w:tc>
          <w:tcPr>
            <w:tcW w:w="1701" w:type="dxa"/>
          </w:tcPr>
          <w:p w14:paraId="5A789104" w14:textId="77777777" w:rsidR="00AD1F54" w:rsidRPr="00264D5D" w:rsidRDefault="00941227">
            <w:pPr>
              <w:spacing w:before="60" w:after="60"/>
              <w:jc w:val="left"/>
              <w:rPr>
                <w:sz w:val="22"/>
                <w:szCs w:val="22"/>
                <w:lang w:val="en-US"/>
              </w:rPr>
            </w:pPr>
            <w:bookmarkStart w:id="2486" w:name="OLE_LINK592"/>
            <w:bookmarkStart w:id="2487" w:name="OLE_LINK593"/>
            <w:bookmarkStart w:id="2488" w:name="OLE_LINK594"/>
            <w:bookmarkStart w:id="2489" w:name="OLE_LINK1094"/>
            <w:r w:rsidRPr="00264D5D">
              <w:rPr>
                <w:sz w:val="22"/>
                <w:szCs w:val="22"/>
                <w:lang w:val="en-US"/>
              </w:rPr>
              <w:t>SumApp</w:t>
            </w:r>
            <w:bookmarkEnd w:id="2486"/>
            <w:bookmarkEnd w:id="2487"/>
            <w:bookmarkEnd w:id="2488"/>
            <w:bookmarkEnd w:id="2489"/>
          </w:p>
        </w:tc>
        <w:tc>
          <w:tcPr>
            <w:tcW w:w="567" w:type="dxa"/>
          </w:tcPr>
          <w:p w14:paraId="5E6034F9" w14:textId="77777777" w:rsidR="00AD1F54" w:rsidRPr="00264D5D" w:rsidRDefault="00941227">
            <w:pPr>
              <w:tabs>
                <w:tab w:val="left" w:pos="1122"/>
              </w:tabs>
              <w:spacing w:before="60" w:after="60"/>
              <w:jc w:val="center"/>
              <w:rPr>
                <w:sz w:val="22"/>
                <w:szCs w:val="22"/>
              </w:rPr>
            </w:pPr>
            <w:r w:rsidRPr="00264D5D">
              <w:rPr>
                <w:sz w:val="22"/>
                <w:szCs w:val="22"/>
              </w:rPr>
              <w:t>П</w:t>
            </w:r>
          </w:p>
        </w:tc>
        <w:tc>
          <w:tcPr>
            <w:tcW w:w="1134" w:type="dxa"/>
          </w:tcPr>
          <w:p w14:paraId="2BDD0B3A" w14:textId="77777777" w:rsidR="00AD1F54" w:rsidRPr="00264D5D" w:rsidRDefault="00941227">
            <w:pPr>
              <w:tabs>
                <w:tab w:val="left" w:pos="1122"/>
              </w:tabs>
              <w:spacing w:before="60" w:after="60"/>
              <w:jc w:val="left"/>
              <w:rPr>
                <w:sz w:val="22"/>
                <w:szCs w:val="22"/>
              </w:rPr>
            </w:pPr>
            <w:r w:rsidRPr="00264D5D">
              <w:rPr>
                <w:sz w:val="22"/>
                <w:szCs w:val="22"/>
              </w:rPr>
              <w:t>N(20.2)</w:t>
            </w:r>
          </w:p>
        </w:tc>
        <w:tc>
          <w:tcPr>
            <w:tcW w:w="567" w:type="dxa"/>
          </w:tcPr>
          <w:p w14:paraId="5A047095" w14:textId="77777777" w:rsidR="00AD1F54" w:rsidRPr="00264D5D" w:rsidRDefault="00941227">
            <w:pPr>
              <w:tabs>
                <w:tab w:val="left" w:pos="1122"/>
              </w:tabs>
              <w:spacing w:before="60" w:after="60"/>
              <w:jc w:val="center"/>
              <w:rPr>
                <w:sz w:val="22"/>
                <w:szCs w:val="22"/>
              </w:rPr>
            </w:pPr>
            <w:r w:rsidRPr="00264D5D">
              <w:rPr>
                <w:sz w:val="22"/>
                <w:szCs w:val="22"/>
              </w:rPr>
              <w:t>О</w:t>
            </w:r>
          </w:p>
        </w:tc>
        <w:tc>
          <w:tcPr>
            <w:tcW w:w="3963" w:type="dxa"/>
          </w:tcPr>
          <w:p w14:paraId="775FED07" w14:textId="77777777" w:rsidR="00AD1F54" w:rsidRPr="00264D5D" w:rsidRDefault="00941227">
            <w:pPr>
              <w:spacing w:before="60" w:after="60"/>
              <w:rPr>
                <w:sz w:val="22"/>
                <w:szCs w:val="22"/>
              </w:rPr>
            </w:pPr>
            <w:bookmarkStart w:id="2490" w:name="OLE_LINK607"/>
            <w:bookmarkStart w:id="2491" w:name="OLE_LINK608"/>
            <w:bookmarkStart w:id="2492" w:name="OLE_LINK609"/>
            <w:r w:rsidRPr="00264D5D">
              <w:rPr>
                <w:sz w:val="22"/>
                <w:szCs w:val="22"/>
              </w:rPr>
              <w:t xml:space="preserve">Указывается сумма </w:t>
            </w:r>
            <w:bookmarkEnd w:id="2490"/>
            <w:bookmarkEnd w:id="2491"/>
            <w:bookmarkEnd w:id="2492"/>
            <w:r w:rsidR="008279A4" w:rsidRPr="00264D5D">
              <w:rPr>
                <w:sz w:val="22"/>
                <w:szCs w:val="22"/>
              </w:rPr>
              <w:t>КОО</w:t>
            </w:r>
          </w:p>
        </w:tc>
      </w:tr>
      <w:tr w:rsidR="00AD1F54" w:rsidRPr="00264D5D" w14:paraId="33DEAAC8"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701" w:type="dxa"/>
          </w:tcPr>
          <w:p w14:paraId="604B10B0" w14:textId="77777777" w:rsidR="00AD1F54" w:rsidRPr="00264D5D" w:rsidRDefault="00941227">
            <w:pPr>
              <w:spacing w:before="60" w:after="60"/>
              <w:rPr>
                <w:sz w:val="22"/>
                <w:szCs w:val="22"/>
              </w:rPr>
            </w:pPr>
            <w:bookmarkStart w:id="2493" w:name="OLE_LINK588"/>
            <w:bookmarkStart w:id="2494" w:name="OLE_LINK589"/>
            <w:bookmarkStart w:id="2495" w:name="OLE_LINK1099"/>
            <w:bookmarkEnd w:id="2478"/>
            <w:r w:rsidRPr="00264D5D">
              <w:rPr>
                <w:sz w:val="22"/>
                <w:szCs w:val="22"/>
              </w:rPr>
              <w:t>Сумма прописью</w:t>
            </w:r>
            <w:bookmarkEnd w:id="2493"/>
            <w:bookmarkEnd w:id="2494"/>
            <w:bookmarkEnd w:id="2495"/>
          </w:p>
        </w:tc>
        <w:tc>
          <w:tcPr>
            <w:tcW w:w="1701" w:type="dxa"/>
          </w:tcPr>
          <w:p w14:paraId="3ACC2A12" w14:textId="77777777" w:rsidR="00AD1F54" w:rsidRPr="00264D5D" w:rsidRDefault="00941227">
            <w:pPr>
              <w:spacing w:before="60" w:after="60"/>
              <w:jc w:val="left"/>
              <w:rPr>
                <w:sz w:val="22"/>
                <w:szCs w:val="22"/>
              </w:rPr>
            </w:pPr>
            <w:bookmarkStart w:id="2496" w:name="OLE_LINK1097"/>
            <w:bookmarkStart w:id="2497" w:name="OLE_LINK1098"/>
            <w:bookmarkStart w:id="2498" w:name="OLE_LINK1125"/>
            <w:r w:rsidRPr="00264D5D">
              <w:rPr>
                <w:sz w:val="22"/>
                <w:szCs w:val="22"/>
                <w:lang w:val="en-US"/>
              </w:rPr>
              <w:t>SumApp</w:t>
            </w:r>
            <w:r w:rsidRPr="00264D5D">
              <w:rPr>
                <w:sz w:val="22"/>
                <w:szCs w:val="22"/>
              </w:rPr>
              <w:t>W</w:t>
            </w:r>
            <w:bookmarkEnd w:id="2496"/>
            <w:bookmarkEnd w:id="2497"/>
            <w:bookmarkEnd w:id="2498"/>
          </w:p>
        </w:tc>
        <w:tc>
          <w:tcPr>
            <w:tcW w:w="567" w:type="dxa"/>
          </w:tcPr>
          <w:p w14:paraId="4576D13A" w14:textId="77777777" w:rsidR="00AD1F54" w:rsidRPr="00264D5D" w:rsidRDefault="00941227">
            <w:pPr>
              <w:spacing w:before="60" w:after="60"/>
              <w:jc w:val="center"/>
              <w:rPr>
                <w:sz w:val="22"/>
                <w:szCs w:val="22"/>
              </w:rPr>
            </w:pPr>
            <w:r w:rsidRPr="00264D5D">
              <w:rPr>
                <w:sz w:val="22"/>
                <w:szCs w:val="22"/>
              </w:rPr>
              <w:t>П</w:t>
            </w:r>
          </w:p>
        </w:tc>
        <w:tc>
          <w:tcPr>
            <w:tcW w:w="1134" w:type="dxa"/>
          </w:tcPr>
          <w:p w14:paraId="7A456BFE" w14:textId="77777777" w:rsidR="00AD1F54" w:rsidRPr="00264D5D" w:rsidRDefault="00941227">
            <w:pPr>
              <w:spacing w:before="60" w:after="60"/>
              <w:rPr>
                <w:sz w:val="22"/>
                <w:szCs w:val="22"/>
              </w:rPr>
            </w:pPr>
            <w:r w:rsidRPr="00264D5D">
              <w:rPr>
                <w:sz w:val="22"/>
                <w:szCs w:val="22"/>
              </w:rPr>
              <w:t>Т(1-2000)</w:t>
            </w:r>
          </w:p>
        </w:tc>
        <w:tc>
          <w:tcPr>
            <w:tcW w:w="567" w:type="dxa"/>
          </w:tcPr>
          <w:p w14:paraId="544CEBE1" w14:textId="77777777" w:rsidR="00AD1F54" w:rsidRPr="00264D5D" w:rsidRDefault="00941227">
            <w:pPr>
              <w:spacing w:before="60" w:after="60"/>
              <w:jc w:val="center"/>
              <w:rPr>
                <w:sz w:val="22"/>
                <w:szCs w:val="22"/>
              </w:rPr>
            </w:pPr>
            <w:r w:rsidRPr="00264D5D">
              <w:rPr>
                <w:sz w:val="22"/>
                <w:szCs w:val="22"/>
              </w:rPr>
              <w:t>О</w:t>
            </w:r>
          </w:p>
        </w:tc>
        <w:tc>
          <w:tcPr>
            <w:tcW w:w="3963" w:type="dxa"/>
          </w:tcPr>
          <w:p w14:paraId="2601F347" w14:textId="77777777" w:rsidR="00AD1F54" w:rsidRPr="00264D5D" w:rsidRDefault="008279A4">
            <w:pPr>
              <w:spacing w:before="60" w:after="60"/>
              <w:rPr>
                <w:sz w:val="22"/>
                <w:szCs w:val="22"/>
              </w:rPr>
            </w:pPr>
            <w:r w:rsidRPr="00264D5D">
              <w:rPr>
                <w:sz w:val="22"/>
                <w:szCs w:val="22"/>
              </w:rPr>
              <w:t>Указывается сумма прописью КОО</w:t>
            </w:r>
          </w:p>
        </w:tc>
      </w:tr>
      <w:tr w:rsidR="00AD1F54" w:rsidRPr="00264D5D" w14:paraId="6E006927"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701" w:type="dxa"/>
          </w:tcPr>
          <w:p w14:paraId="004A9925" w14:textId="77777777" w:rsidR="00AD1F54" w:rsidRPr="00264D5D" w:rsidRDefault="00941227">
            <w:pPr>
              <w:spacing w:before="60" w:after="60"/>
              <w:rPr>
                <w:sz w:val="22"/>
                <w:szCs w:val="22"/>
              </w:rPr>
            </w:pPr>
            <w:bookmarkStart w:id="2499" w:name="OLE_LINK1102"/>
            <w:bookmarkStart w:id="2500" w:name="OLE_LINK1103"/>
            <w:bookmarkEnd w:id="2485"/>
            <w:r w:rsidRPr="00264D5D">
              <w:rPr>
                <w:sz w:val="22"/>
                <w:szCs w:val="22"/>
              </w:rPr>
              <w:t>Дата окончания</w:t>
            </w:r>
            <w:bookmarkEnd w:id="2499"/>
            <w:bookmarkEnd w:id="2500"/>
          </w:p>
        </w:tc>
        <w:tc>
          <w:tcPr>
            <w:tcW w:w="1701" w:type="dxa"/>
          </w:tcPr>
          <w:p w14:paraId="48E1D5CA" w14:textId="77777777" w:rsidR="00AD1F54" w:rsidRPr="00264D5D" w:rsidRDefault="00941227">
            <w:pPr>
              <w:spacing w:before="60" w:after="60"/>
              <w:jc w:val="left"/>
              <w:rPr>
                <w:sz w:val="22"/>
                <w:szCs w:val="22"/>
                <w:lang w:val="en-US"/>
              </w:rPr>
            </w:pPr>
            <w:r w:rsidRPr="00264D5D">
              <w:rPr>
                <w:sz w:val="22"/>
                <w:szCs w:val="22"/>
                <w:lang w:val="en-US"/>
              </w:rPr>
              <w:t>DateEnd</w:t>
            </w:r>
            <w:r w:rsidRPr="00264D5D">
              <w:rPr>
                <w:sz w:val="22"/>
                <w:szCs w:val="22"/>
              </w:rPr>
              <w:t>TreasOb</w:t>
            </w:r>
            <w:r w:rsidRPr="00264D5D">
              <w:rPr>
                <w:sz w:val="22"/>
                <w:szCs w:val="22"/>
              </w:rPr>
              <w:lastRenderedPageBreak/>
              <w:t>lig</w:t>
            </w:r>
          </w:p>
        </w:tc>
        <w:tc>
          <w:tcPr>
            <w:tcW w:w="567" w:type="dxa"/>
          </w:tcPr>
          <w:p w14:paraId="1AD38CD0" w14:textId="77777777" w:rsidR="00AD1F54" w:rsidRPr="00264D5D" w:rsidRDefault="00941227">
            <w:pPr>
              <w:spacing w:before="60" w:after="60"/>
              <w:jc w:val="center"/>
              <w:rPr>
                <w:sz w:val="22"/>
                <w:szCs w:val="22"/>
              </w:rPr>
            </w:pPr>
            <w:r w:rsidRPr="00264D5D">
              <w:rPr>
                <w:sz w:val="22"/>
                <w:szCs w:val="22"/>
              </w:rPr>
              <w:lastRenderedPageBreak/>
              <w:t>П</w:t>
            </w:r>
          </w:p>
        </w:tc>
        <w:tc>
          <w:tcPr>
            <w:tcW w:w="1134" w:type="dxa"/>
          </w:tcPr>
          <w:p w14:paraId="40CDD50A" w14:textId="77777777" w:rsidR="00AD1F54" w:rsidRPr="00264D5D" w:rsidRDefault="00941227">
            <w:pPr>
              <w:spacing w:before="60" w:after="60"/>
              <w:rPr>
                <w:sz w:val="22"/>
                <w:szCs w:val="22"/>
              </w:rPr>
            </w:pPr>
            <w:r w:rsidRPr="00264D5D">
              <w:rPr>
                <w:sz w:val="22"/>
                <w:szCs w:val="22"/>
                <w:lang w:val="en-US"/>
              </w:rPr>
              <w:t>D</w:t>
            </w:r>
            <w:r w:rsidRPr="00264D5D">
              <w:rPr>
                <w:sz w:val="22"/>
                <w:szCs w:val="22"/>
              </w:rPr>
              <w:t>ate</w:t>
            </w:r>
          </w:p>
        </w:tc>
        <w:tc>
          <w:tcPr>
            <w:tcW w:w="567" w:type="dxa"/>
          </w:tcPr>
          <w:p w14:paraId="3372B36E" w14:textId="77777777" w:rsidR="00AD1F54" w:rsidRPr="00264D5D" w:rsidRDefault="00941227">
            <w:pPr>
              <w:spacing w:before="60" w:after="60"/>
              <w:jc w:val="center"/>
              <w:rPr>
                <w:sz w:val="22"/>
                <w:szCs w:val="22"/>
                <w:lang w:val="en-US"/>
              </w:rPr>
            </w:pPr>
            <w:r w:rsidRPr="00264D5D">
              <w:rPr>
                <w:sz w:val="22"/>
                <w:szCs w:val="22"/>
              </w:rPr>
              <w:t>О</w:t>
            </w:r>
          </w:p>
        </w:tc>
        <w:tc>
          <w:tcPr>
            <w:tcW w:w="3963" w:type="dxa"/>
          </w:tcPr>
          <w:p w14:paraId="525A51C9" w14:textId="77777777" w:rsidR="00AD1F54" w:rsidRPr="00264D5D" w:rsidRDefault="00941227">
            <w:pPr>
              <w:spacing w:before="60" w:after="60"/>
              <w:rPr>
                <w:sz w:val="22"/>
                <w:szCs w:val="22"/>
              </w:rPr>
            </w:pPr>
            <w:r w:rsidRPr="00264D5D">
              <w:rPr>
                <w:sz w:val="22"/>
                <w:szCs w:val="22"/>
              </w:rPr>
              <w:t>Указывается да</w:t>
            </w:r>
            <w:r w:rsidR="008279A4" w:rsidRPr="00264D5D">
              <w:rPr>
                <w:sz w:val="22"/>
                <w:szCs w:val="22"/>
              </w:rPr>
              <w:t xml:space="preserve">та окончания срока </w:t>
            </w:r>
            <w:r w:rsidR="008279A4" w:rsidRPr="00264D5D">
              <w:rPr>
                <w:sz w:val="22"/>
                <w:szCs w:val="22"/>
              </w:rPr>
              <w:lastRenderedPageBreak/>
              <w:t>действия КОО</w:t>
            </w:r>
          </w:p>
        </w:tc>
      </w:tr>
      <w:tr w:rsidR="00AD1F54" w:rsidRPr="00264D5D" w14:paraId="20E5AAE2"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701" w:type="dxa"/>
          </w:tcPr>
          <w:p w14:paraId="20CEF4E8" w14:textId="77777777" w:rsidR="00AD1F54" w:rsidRPr="00264D5D" w:rsidRDefault="00941227">
            <w:pPr>
              <w:spacing w:before="60" w:after="60"/>
              <w:rPr>
                <w:sz w:val="22"/>
                <w:szCs w:val="22"/>
              </w:rPr>
            </w:pPr>
            <w:bookmarkStart w:id="2501" w:name="OLE_LINK381"/>
            <w:bookmarkStart w:id="2502" w:name="OLE_LINK382"/>
            <w:bookmarkStart w:id="2503" w:name="OLE_LINK383"/>
            <w:bookmarkStart w:id="2504" w:name="OLE_LINK1108"/>
            <w:bookmarkStart w:id="2505" w:name="OLE_LINK1109"/>
            <w:bookmarkStart w:id="2506" w:name="_Hlk524612278"/>
            <w:r w:rsidRPr="00264D5D">
              <w:rPr>
                <w:sz w:val="22"/>
                <w:szCs w:val="22"/>
              </w:rPr>
              <w:lastRenderedPageBreak/>
              <w:t>Информация о государственном контракт</w:t>
            </w:r>
            <w:bookmarkEnd w:id="2501"/>
            <w:bookmarkEnd w:id="2502"/>
            <w:bookmarkEnd w:id="2503"/>
            <w:r w:rsidRPr="00264D5D">
              <w:rPr>
                <w:sz w:val="22"/>
                <w:szCs w:val="22"/>
              </w:rPr>
              <w:t>е (контракте)</w:t>
            </w:r>
            <w:bookmarkEnd w:id="2504"/>
            <w:bookmarkEnd w:id="2505"/>
          </w:p>
        </w:tc>
        <w:tc>
          <w:tcPr>
            <w:tcW w:w="1701" w:type="dxa"/>
          </w:tcPr>
          <w:p w14:paraId="3E9625F3" w14:textId="77777777" w:rsidR="00AD1F54" w:rsidRPr="00264D5D" w:rsidRDefault="00941227">
            <w:pPr>
              <w:spacing w:before="60" w:after="60"/>
              <w:jc w:val="left"/>
              <w:rPr>
                <w:sz w:val="22"/>
                <w:szCs w:val="22"/>
              </w:rPr>
            </w:pPr>
            <w:bookmarkStart w:id="2507" w:name="OLE_LINK626"/>
            <w:bookmarkStart w:id="2508" w:name="OLE_LINK627"/>
            <w:bookmarkStart w:id="2509" w:name="OLE_LINK628"/>
            <w:bookmarkStart w:id="2510" w:name="OLE_LINK1107"/>
            <w:r w:rsidRPr="00264D5D">
              <w:rPr>
                <w:sz w:val="22"/>
                <w:szCs w:val="22"/>
                <w:lang w:val="en-US"/>
              </w:rPr>
              <w:t>G</w:t>
            </w:r>
            <w:r w:rsidRPr="00264D5D">
              <w:rPr>
                <w:sz w:val="22"/>
                <w:szCs w:val="22"/>
              </w:rPr>
              <w:t>ovСontract</w:t>
            </w:r>
            <w:bookmarkEnd w:id="2507"/>
            <w:bookmarkEnd w:id="2508"/>
            <w:bookmarkEnd w:id="2509"/>
            <w:bookmarkEnd w:id="2510"/>
          </w:p>
        </w:tc>
        <w:tc>
          <w:tcPr>
            <w:tcW w:w="567" w:type="dxa"/>
          </w:tcPr>
          <w:p w14:paraId="213AA190" w14:textId="77777777" w:rsidR="00AD1F54" w:rsidRPr="00264D5D" w:rsidRDefault="00941227">
            <w:pPr>
              <w:spacing w:before="60" w:after="60"/>
              <w:jc w:val="center"/>
              <w:rPr>
                <w:sz w:val="22"/>
                <w:szCs w:val="22"/>
                <w:lang w:val="en-US"/>
              </w:rPr>
            </w:pPr>
            <w:r w:rsidRPr="00264D5D">
              <w:rPr>
                <w:sz w:val="22"/>
                <w:szCs w:val="22"/>
                <w:lang w:val="en-US"/>
              </w:rPr>
              <w:t>С</w:t>
            </w:r>
          </w:p>
        </w:tc>
        <w:tc>
          <w:tcPr>
            <w:tcW w:w="1134" w:type="dxa"/>
          </w:tcPr>
          <w:p w14:paraId="6154D353" w14:textId="77777777" w:rsidR="00AD1F54" w:rsidRPr="00264D5D" w:rsidRDefault="00941227">
            <w:pPr>
              <w:spacing w:before="60" w:after="60"/>
              <w:jc w:val="left"/>
              <w:rPr>
                <w:sz w:val="22"/>
                <w:szCs w:val="22"/>
                <w:lang w:val="en-US"/>
              </w:rPr>
            </w:pPr>
            <w:bookmarkStart w:id="2511" w:name="OLE_LINK629"/>
            <w:bookmarkStart w:id="2512" w:name="OLE_LINK630"/>
            <w:bookmarkStart w:id="2513" w:name="OLE_LINK631"/>
            <w:bookmarkStart w:id="2514" w:name="OLE_LINK632"/>
            <w:bookmarkStart w:id="2515" w:name="OLE_LINK633"/>
            <w:r w:rsidRPr="00264D5D">
              <w:rPr>
                <w:sz w:val="22"/>
                <w:szCs w:val="22"/>
                <w:lang w:val="en-US"/>
              </w:rPr>
              <w:t>tGovСontract</w:t>
            </w:r>
            <w:bookmarkEnd w:id="2511"/>
            <w:bookmarkEnd w:id="2512"/>
            <w:bookmarkEnd w:id="2513"/>
            <w:bookmarkEnd w:id="2514"/>
            <w:bookmarkEnd w:id="2515"/>
          </w:p>
        </w:tc>
        <w:tc>
          <w:tcPr>
            <w:tcW w:w="567" w:type="dxa"/>
          </w:tcPr>
          <w:p w14:paraId="0E3BF1F8" w14:textId="77777777" w:rsidR="00AD1F54" w:rsidRPr="00264D5D" w:rsidRDefault="00941227">
            <w:pPr>
              <w:spacing w:before="60" w:after="60"/>
              <w:jc w:val="center"/>
              <w:rPr>
                <w:sz w:val="22"/>
                <w:szCs w:val="22"/>
                <w:lang w:val="en-US"/>
              </w:rPr>
            </w:pPr>
            <w:r w:rsidRPr="00264D5D">
              <w:rPr>
                <w:sz w:val="22"/>
                <w:szCs w:val="22"/>
                <w:lang w:val="en-US"/>
              </w:rPr>
              <w:t>О</w:t>
            </w:r>
          </w:p>
        </w:tc>
        <w:tc>
          <w:tcPr>
            <w:tcW w:w="3963" w:type="dxa"/>
          </w:tcPr>
          <w:p w14:paraId="2CBE7044" w14:textId="60C299F5" w:rsidR="00AD1F54" w:rsidRPr="00264D5D" w:rsidRDefault="00941227">
            <w:pPr>
              <w:pStyle w:val="ASFKTablenorm"/>
              <w:contextualSpacing w:val="0"/>
              <w:rPr>
                <w:sz w:val="22"/>
                <w:szCs w:val="22"/>
              </w:rPr>
            </w:pPr>
            <w:bookmarkStart w:id="2516" w:name="OLE_LINK690"/>
            <w:bookmarkStart w:id="2517" w:name="OLE_LINK691"/>
            <w:bookmarkStart w:id="2518" w:name="OLE_LINK692"/>
            <w:r w:rsidRPr="00264D5D">
              <w:rPr>
                <w:sz w:val="22"/>
                <w:szCs w:val="22"/>
              </w:rPr>
              <w:t xml:space="preserve">Состав элемента представлен в таблице </w:t>
            </w:r>
            <w:r w:rsidRPr="00264D5D">
              <w:rPr>
                <w:b/>
                <w:sz w:val="22"/>
                <w:szCs w:val="22"/>
              </w:rPr>
              <w:fldChar w:fldCharType="begin"/>
            </w:r>
            <w:r w:rsidRPr="00264D5D">
              <w:rPr>
                <w:b/>
                <w:sz w:val="22"/>
                <w:szCs w:val="22"/>
              </w:rPr>
              <w:instrText xml:space="preserve"> REF _Ref528839621 \h  \* MERGEFORMAT </w:instrText>
            </w:r>
            <w:r w:rsidRPr="00264D5D">
              <w:rPr>
                <w:b/>
                <w:sz w:val="22"/>
                <w:szCs w:val="22"/>
              </w:rPr>
            </w:r>
            <w:r w:rsidRPr="00264D5D">
              <w:rPr>
                <w:b/>
                <w:sz w:val="22"/>
                <w:szCs w:val="22"/>
              </w:rPr>
              <w:fldChar w:fldCharType="separate"/>
            </w:r>
            <w:r w:rsidR="008D797C" w:rsidRPr="008D797C">
              <w:rPr>
                <w:b/>
                <w:sz w:val="22"/>
                <w:szCs w:val="22"/>
              </w:rPr>
              <w:t>242</w:t>
            </w:r>
            <w:r w:rsidRPr="00264D5D">
              <w:rPr>
                <w:b/>
                <w:sz w:val="22"/>
                <w:szCs w:val="22"/>
              </w:rPr>
              <w:fldChar w:fldCharType="end"/>
            </w:r>
            <w:bookmarkEnd w:id="2516"/>
            <w:bookmarkEnd w:id="2517"/>
            <w:bookmarkEnd w:id="2518"/>
          </w:p>
        </w:tc>
      </w:tr>
      <w:tr w:rsidR="00AD1F54" w:rsidRPr="00264D5D" w14:paraId="3F65CD8F"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701" w:type="dxa"/>
          </w:tcPr>
          <w:p w14:paraId="25D97333" w14:textId="77777777" w:rsidR="00AD1F54" w:rsidRPr="00264D5D" w:rsidRDefault="00941227">
            <w:pPr>
              <w:spacing w:before="60" w:after="60"/>
              <w:rPr>
                <w:sz w:val="22"/>
                <w:szCs w:val="22"/>
                <w:lang w:val="en-US"/>
              </w:rPr>
            </w:pPr>
            <w:bookmarkStart w:id="2519" w:name="OLE_LINK389"/>
            <w:bookmarkStart w:id="2520" w:name="OLE_LINK390"/>
            <w:bookmarkStart w:id="2521" w:name="OLE_LINK391"/>
            <w:bookmarkStart w:id="2522" w:name="OLE_LINK1111"/>
            <w:bookmarkStart w:id="2523" w:name="OLE_LINK1112"/>
            <w:bookmarkStart w:id="2524" w:name="_Hlk524612927"/>
            <w:bookmarkEnd w:id="2506"/>
            <w:r w:rsidRPr="00264D5D">
              <w:rPr>
                <w:sz w:val="22"/>
                <w:szCs w:val="22"/>
                <w:lang w:val="en-US"/>
              </w:rPr>
              <w:t>Информация о с</w:t>
            </w:r>
            <w:r w:rsidRPr="00264D5D">
              <w:rPr>
                <w:sz w:val="22"/>
                <w:szCs w:val="22"/>
              </w:rPr>
              <w:t>вязанн</w:t>
            </w:r>
            <w:r w:rsidRPr="00264D5D">
              <w:rPr>
                <w:sz w:val="22"/>
                <w:szCs w:val="22"/>
                <w:lang w:val="en-US"/>
              </w:rPr>
              <w:t>ом</w:t>
            </w:r>
            <w:r w:rsidRPr="00264D5D">
              <w:rPr>
                <w:sz w:val="22"/>
                <w:szCs w:val="22"/>
              </w:rPr>
              <w:t xml:space="preserve"> документ</w:t>
            </w:r>
            <w:bookmarkEnd w:id="2519"/>
            <w:bookmarkEnd w:id="2520"/>
            <w:bookmarkEnd w:id="2521"/>
            <w:r w:rsidRPr="00264D5D">
              <w:rPr>
                <w:sz w:val="22"/>
                <w:szCs w:val="22"/>
                <w:lang w:val="en-US"/>
              </w:rPr>
              <w:t>е</w:t>
            </w:r>
            <w:bookmarkEnd w:id="2522"/>
            <w:bookmarkEnd w:id="2523"/>
          </w:p>
        </w:tc>
        <w:tc>
          <w:tcPr>
            <w:tcW w:w="1701" w:type="dxa"/>
          </w:tcPr>
          <w:p w14:paraId="22252FDD" w14:textId="77777777" w:rsidR="00AD1F54" w:rsidRPr="00264D5D" w:rsidRDefault="00941227">
            <w:pPr>
              <w:spacing w:before="60" w:after="60"/>
              <w:jc w:val="left"/>
              <w:rPr>
                <w:sz w:val="22"/>
                <w:szCs w:val="22"/>
              </w:rPr>
            </w:pPr>
            <w:bookmarkStart w:id="2525" w:name="OLE_LINK687"/>
            <w:bookmarkStart w:id="2526" w:name="OLE_LINK688"/>
            <w:bookmarkStart w:id="2527" w:name="OLE_LINK689"/>
            <w:bookmarkStart w:id="2528" w:name="OLE_LINK1110"/>
            <w:r w:rsidRPr="00264D5D">
              <w:rPr>
                <w:sz w:val="22"/>
                <w:szCs w:val="22"/>
              </w:rPr>
              <w:t>LinkDoc</w:t>
            </w:r>
            <w:bookmarkEnd w:id="2525"/>
            <w:bookmarkEnd w:id="2526"/>
            <w:bookmarkEnd w:id="2527"/>
            <w:bookmarkEnd w:id="2528"/>
          </w:p>
        </w:tc>
        <w:tc>
          <w:tcPr>
            <w:tcW w:w="567" w:type="dxa"/>
          </w:tcPr>
          <w:p w14:paraId="07A9FDF1" w14:textId="77777777" w:rsidR="00AD1F54" w:rsidRPr="00264D5D" w:rsidRDefault="00941227">
            <w:pPr>
              <w:spacing w:before="60" w:after="60"/>
              <w:jc w:val="center"/>
              <w:rPr>
                <w:sz w:val="22"/>
                <w:szCs w:val="22"/>
                <w:lang w:val="en-US"/>
              </w:rPr>
            </w:pPr>
            <w:r w:rsidRPr="00264D5D">
              <w:rPr>
                <w:sz w:val="22"/>
                <w:szCs w:val="22"/>
                <w:lang w:val="en-US"/>
              </w:rPr>
              <w:t>С</w:t>
            </w:r>
          </w:p>
        </w:tc>
        <w:tc>
          <w:tcPr>
            <w:tcW w:w="1134" w:type="dxa"/>
          </w:tcPr>
          <w:p w14:paraId="1F7FB30F" w14:textId="77777777" w:rsidR="00AD1F54" w:rsidRPr="00264D5D" w:rsidRDefault="00941227">
            <w:pPr>
              <w:spacing w:before="60" w:after="60"/>
              <w:jc w:val="center"/>
              <w:rPr>
                <w:sz w:val="22"/>
                <w:szCs w:val="22"/>
                <w:lang w:val="en-US"/>
              </w:rPr>
            </w:pPr>
            <w:bookmarkStart w:id="2529" w:name="OLE_LINK693"/>
            <w:bookmarkStart w:id="2530" w:name="OLE_LINK694"/>
            <w:bookmarkStart w:id="2531" w:name="OLE_LINK695"/>
            <w:bookmarkStart w:id="2532" w:name="OLE_LINK696"/>
            <w:r w:rsidRPr="00264D5D">
              <w:rPr>
                <w:sz w:val="22"/>
                <w:szCs w:val="22"/>
                <w:lang w:val="en-US"/>
              </w:rPr>
              <w:t>tLinkDoc</w:t>
            </w:r>
            <w:bookmarkEnd w:id="2529"/>
            <w:bookmarkEnd w:id="2530"/>
            <w:bookmarkEnd w:id="2531"/>
            <w:bookmarkEnd w:id="2532"/>
          </w:p>
        </w:tc>
        <w:tc>
          <w:tcPr>
            <w:tcW w:w="567" w:type="dxa"/>
          </w:tcPr>
          <w:p w14:paraId="01051C3F" w14:textId="77777777" w:rsidR="00AD1F54" w:rsidRPr="00264D5D" w:rsidRDefault="00941227">
            <w:pPr>
              <w:spacing w:before="60" w:after="60"/>
              <w:jc w:val="center"/>
              <w:rPr>
                <w:sz w:val="22"/>
                <w:szCs w:val="22"/>
              </w:rPr>
            </w:pPr>
            <w:r w:rsidRPr="00264D5D">
              <w:rPr>
                <w:sz w:val="22"/>
                <w:szCs w:val="22"/>
              </w:rPr>
              <w:t>Н</w:t>
            </w:r>
          </w:p>
        </w:tc>
        <w:tc>
          <w:tcPr>
            <w:tcW w:w="3963" w:type="dxa"/>
          </w:tcPr>
          <w:p w14:paraId="3C194F8A" w14:textId="77777777" w:rsidR="00AD1F54" w:rsidRPr="00264D5D" w:rsidRDefault="00941227">
            <w:pPr>
              <w:spacing w:before="60" w:after="60"/>
              <w:rPr>
                <w:sz w:val="22"/>
                <w:szCs w:val="22"/>
              </w:rPr>
            </w:pPr>
            <w:r w:rsidRPr="00264D5D">
              <w:rPr>
                <w:sz w:val="22"/>
                <w:szCs w:val="22"/>
              </w:rPr>
              <w:t xml:space="preserve">Заполняется при значении поля «Вид» = 4. </w:t>
            </w:r>
          </w:p>
          <w:p w14:paraId="320D32E2" w14:textId="7C346F2D" w:rsidR="00AD1F54" w:rsidRPr="00264D5D" w:rsidRDefault="00941227">
            <w:pPr>
              <w:spacing w:before="60" w:after="60"/>
              <w:rPr>
                <w:sz w:val="22"/>
                <w:szCs w:val="22"/>
              </w:rPr>
            </w:pPr>
            <w:bookmarkStart w:id="2533" w:name="OLE_LINK702"/>
            <w:bookmarkStart w:id="2534" w:name="OLE_LINK703"/>
            <w:bookmarkStart w:id="2535" w:name="OLE_LINK704"/>
            <w:bookmarkStart w:id="2536" w:name="OLE_LINK705"/>
            <w:bookmarkStart w:id="2537" w:name="OLE_LINK706"/>
            <w:bookmarkStart w:id="2538" w:name="OLE_LINK707"/>
            <w:r w:rsidRPr="00264D5D">
              <w:rPr>
                <w:sz w:val="22"/>
                <w:szCs w:val="22"/>
              </w:rPr>
              <w:t xml:space="preserve">Состав элемента представлен в таблице </w:t>
            </w:r>
            <w:r w:rsidRPr="00264D5D">
              <w:rPr>
                <w:b/>
                <w:sz w:val="22"/>
                <w:szCs w:val="22"/>
              </w:rPr>
              <w:fldChar w:fldCharType="begin"/>
            </w:r>
            <w:r w:rsidRPr="00264D5D">
              <w:rPr>
                <w:b/>
                <w:sz w:val="22"/>
                <w:szCs w:val="22"/>
              </w:rPr>
              <w:instrText xml:space="preserve"> REF _Ref524687650 \h  \* MERGEFORMAT </w:instrText>
            </w:r>
            <w:r w:rsidRPr="00264D5D">
              <w:rPr>
                <w:b/>
                <w:sz w:val="22"/>
                <w:szCs w:val="22"/>
              </w:rPr>
            </w:r>
            <w:r w:rsidRPr="00264D5D">
              <w:rPr>
                <w:b/>
                <w:sz w:val="22"/>
                <w:szCs w:val="22"/>
              </w:rPr>
              <w:fldChar w:fldCharType="separate"/>
            </w:r>
            <w:r w:rsidR="008D797C" w:rsidRPr="008D797C">
              <w:rPr>
                <w:rFonts w:eastAsia="Calibri"/>
                <w:b/>
                <w:sz w:val="22"/>
                <w:szCs w:val="22"/>
              </w:rPr>
              <w:t>243</w:t>
            </w:r>
            <w:r w:rsidRPr="00264D5D">
              <w:rPr>
                <w:b/>
                <w:sz w:val="22"/>
                <w:szCs w:val="22"/>
              </w:rPr>
              <w:fldChar w:fldCharType="end"/>
            </w:r>
            <w:bookmarkEnd w:id="2533"/>
            <w:bookmarkEnd w:id="2534"/>
            <w:bookmarkEnd w:id="2535"/>
            <w:bookmarkEnd w:id="2536"/>
            <w:bookmarkEnd w:id="2537"/>
            <w:bookmarkEnd w:id="2538"/>
          </w:p>
        </w:tc>
      </w:tr>
      <w:tr w:rsidR="00AD1F54" w:rsidRPr="00264D5D" w14:paraId="1CD60BFC"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701" w:type="dxa"/>
          </w:tcPr>
          <w:p w14:paraId="3F8BCF66" w14:textId="77777777" w:rsidR="00AD1F54" w:rsidRPr="00264D5D" w:rsidRDefault="00941227">
            <w:pPr>
              <w:spacing w:before="60" w:after="60"/>
              <w:rPr>
                <w:sz w:val="22"/>
                <w:szCs w:val="22"/>
                <w:lang w:val="en-US"/>
              </w:rPr>
            </w:pPr>
            <w:bookmarkStart w:id="2539" w:name="OLE_LINK1114"/>
            <w:bookmarkStart w:id="2540" w:name="OLE_LINK1115"/>
            <w:bookmarkStart w:id="2541" w:name="_Hlk524960614"/>
            <w:bookmarkEnd w:id="2524"/>
            <w:r w:rsidRPr="00264D5D">
              <w:rPr>
                <w:sz w:val="22"/>
                <w:szCs w:val="22"/>
                <w:lang w:val="en-US"/>
              </w:rPr>
              <w:t>Информация о заявителе</w:t>
            </w:r>
            <w:bookmarkEnd w:id="2539"/>
            <w:bookmarkEnd w:id="2540"/>
          </w:p>
        </w:tc>
        <w:tc>
          <w:tcPr>
            <w:tcW w:w="1701" w:type="dxa"/>
          </w:tcPr>
          <w:p w14:paraId="71A05DD5" w14:textId="77777777" w:rsidR="00AD1F54" w:rsidRPr="00264D5D" w:rsidRDefault="00941227">
            <w:pPr>
              <w:spacing w:before="60" w:after="60"/>
              <w:jc w:val="left"/>
              <w:rPr>
                <w:sz w:val="22"/>
                <w:szCs w:val="22"/>
                <w:lang w:val="en-US"/>
              </w:rPr>
            </w:pPr>
            <w:bookmarkStart w:id="2542" w:name="OLE_LINK718"/>
            <w:bookmarkStart w:id="2543" w:name="OLE_LINK719"/>
            <w:bookmarkStart w:id="2544" w:name="OLE_LINK720"/>
            <w:bookmarkStart w:id="2545" w:name="OLE_LINK1113"/>
            <w:r w:rsidRPr="00264D5D">
              <w:rPr>
                <w:sz w:val="22"/>
                <w:szCs w:val="22"/>
                <w:lang w:val="en-US"/>
              </w:rPr>
              <w:t>Applicant</w:t>
            </w:r>
            <w:bookmarkEnd w:id="2542"/>
            <w:bookmarkEnd w:id="2543"/>
            <w:bookmarkEnd w:id="2544"/>
            <w:bookmarkEnd w:id="2545"/>
          </w:p>
        </w:tc>
        <w:tc>
          <w:tcPr>
            <w:tcW w:w="567" w:type="dxa"/>
          </w:tcPr>
          <w:p w14:paraId="303CB628" w14:textId="77777777" w:rsidR="00AD1F54" w:rsidRPr="00264D5D" w:rsidRDefault="00941227">
            <w:pPr>
              <w:spacing w:before="60" w:after="60"/>
              <w:jc w:val="center"/>
              <w:rPr>
                <w:sz w:val="22"/>
                <w:szCs w:val="22"/>
                <w:lang w:val="en-US"/>
              </w:rPr>
            </w:pPr>
            <w:r w:rsidRPr="00264D5D">
              <w:rPr>
                <w:sz w:val="22"/>
                <w:szCs w:val="22"/>
                <w:lang w:val="en-US"/>
              </w:rPr>
              <w:t>С</w:t>
            </w:r>
          </w:p>
        </w:tc>
        <w:tc>
          <w:tcPr>
            <w:tcW w:w="1134" w:type="dxa"/>
          </w:tcPr>
          <w:p w14:paraId="2424E716" w14:textId="77777777" w:rsidR="00AD1F54" w:rsidRPr="00264D5D" w:rsidRDefault="00941227">
            <w:pPr>
              <w:spacing w:before="60" w:after="60"/>
              <w:jc w:val="left"/>
              <w:rPr>
                <w:sz w:val="22"/>
                <w:szCs w:val="22"/>
                <w:lang w:val="en-US"/>
              </w:rPr>
            </w:pPr>
            <w:bookmarkStart w:id="2546" w:name="OLE_LINK721"/>
            <w:bookmarkStart w:id="2547" w:name="OLE_LINK722"/>
            <w:bookmarkStart w:id="2548" w:name="OLE_LINK723"/>
            <w:bookmarkStart w:id="2549" w:name="OLE_LINK724"/>
            <w:bookmarkStart w:id="2550" w:name="OLE_LINK725"/>
            <w:bookmarkStart w:id="2551" w:name="OLE_LINK726"/>
            <w:r w:rsidRPr="00264D5D">
              <w:rPr>
                <w:sz w:val="22"/>
                <w:szCs w:val="22"/>
                <w:lang w:val="en-US"/>
              </w:rPr>
              <w:t>tApplicant</w:t>
            </w:r>
            <w:bookmarkEnd w:id="2546"/>
            <w:bookmarkEnd w:id="2547"/>
            <w:bookmarkEnd w:id="2548"/>
            <w:bookmarkEnd w:id="2549"/>
            <w:bookmarkEnd w:id="2550"/>
            <w:bookmarkEnd w:id="2551"/>
          </w:p>
        </w:tc>
        <w:tc>
          <w:tcPr>
            <w:tcW w:w="567" w:type="dxa"/>
          </w:tcPr>
          <w:p w14:paraId="36C20691" w14:textId="77777777" w:rsidR="00AD1F54" w:rsidRPr="00264D5D" w:rsidRDefault="00941227">
            <w:pPr>
              <w:spacing w:before="60" w:after="60"/>
              <w:jc w:val="center"/>
              <w:rPr>
                <w:sz w:val="22"/>
                <w:szCs w:val="22"/>
              </w:rPr>
            </w:pPr>
            <w:r w:rsidRPr="00264D5D">
              <w:rPr>
                <w:sz w:val="22"/>
                <w:szCs w:val="22"/>
              </w:rPr>
              <w:t>О</w:t>
            </w:r>
          </w:p>
        </w:tc>
        <w:tc>
          <w:tcPr>
            <w:tcW w:w="3963" w:type="dxa"/>
          </w:tcPr>
          <w:p w14:paraId="4C82BEC5" w14:textId="77777777" w:rsidR="00AD1F54" w:rsidRPr="00264D5D" w:rsidRDefault="00941227">
            <w:pPr>
              <w:spacing w:before="60" w:after="60"/>
              <w:rPr>
                <w:sz w:val="22"/>
                <w:szCs w:val="22"/>
              </w:rPr>
            </w:pPr>
            <w:r w:rsidRPr="00264D5D">
              <w:rPr>
                <w:sz w:val="22"/>
                <w:szCs w:val="22"/>
              </w:rPr>
              <w:t>При формировании документа со значением поля «Вид» = 1 указываются реквизиты государственного заказчика.</w:t>
            </w:r>
          </w:p>
          <w:p w14:paraId="4EDD5A17" w14:textId="3BFA3F3A" w:rsidR="00AD1F54" w:rsidRPr="00264D5D" w:rsidRDefault="00941227">
            <w:pPr>
              <w:spacing w:before="60" w:after="60"/>
              <w:rPr>
                <w:sz w:val="22"/>
                <w:szCs w:val="22"/>
              </w:rPr>
            </w:pPr>
            <w:r w:rsidRPr="00264D5D">
              <w:rPr>
                <w:sz w:val="22"/>
                <w:szCs w:val="22"/>
              </w:rPr>
              <w:t xml:space="preserve">Состав элемента представлен в таблице </w:t>
            </w:r>
            <w:r w:rsidRPr="00264D5D">
              <w:rPr>
                <w:b/>
                <w:sz w:val="22"/>
                <w:szCs w:val="22"/>
                <w:lang w:val="en-US"/>
              </w:rPr>
              <w:fldChar w:fldCharType="begin"/>
            </w:r>
            <w:r w:rsidRPr="00264D5D">
              <w:rPr>
                <w:b/>
                <w:sz w:val="22"/>
                <w:szCs w:val="22"/>
              </w:rPr>
              <w:instrText xml:space="preserve"> </w:instrText>
            </w:r>
            <w:r w:rsidRPr="00264D5D">
              <w:rPr>
                <w:b/>
                <w:sz w:val="22"/>
                <w:szCs w:val="22"/>
                <w:lang w:val="en-US"/>
              </w:rPr>
              <w:instrText>REF</w:instrText>
            </w:r>
            <w:r w:rsidRPr="00264D5D">
              <w:rPr>
                <w:b/>
                <w:sz w:val="22"/>
                <w:szCs w:val="22"/>
              </w:rPr>
              <w:instrText xml:space="preserve"> _</w:instrText>
            </w:r>
            <w:r w:rsidRPr="00264D5D">
              <w:rPr>
                <w:b/>
                <w:sz w:val="22"/>
                <w:szCs w:val="22"/>
                <w:lang w:val="en-US"/>
              </w:rPr>
              <w:instrText>Ref</w:instrText>
            </w:r>
            <w:r w:rsidRPr="00264D5D">
              <w:rPr>
                <w:b/>
                <w:sz w:val="22"/>
                <w:szCs w:val="22"/>
              </w:rPr>
              <w:instrText>524687857 \</w:instrText>
            </w:r>
            <w:r w:rsidRPr="00264D5D">
              <w:rPr>
                <w:b/>
                <w:sz w:val="22"/>
                <w:szCs w:val="22"/>
                <w:lang w:val="en-US"/>
              </w:rPr>
              <w:instrText>h</w:instrText>
            </w:r>
            <w:r w:rsidRPr="00264D5D">
              <w:rPr>
                <w:b/>
                <w:sz w:val="22"/>
                <w:szCs w:val="22"/>
              </w:rPr>
              <w:instrText xml:space="preserve">  \* </w:instrText>
            </w:r>
            <w:r w:rsidRPr="00264D5D">
              <w:rPr>
                <w:b/>
                <w:sz w:val="22"/>
                <w:szCs w:val="22"/>
                <w:lang w:val="en-US"/>
              </w:rPr>
              <w:instrText>MERGEFORMAT</w:instrText>
            </w:r>
            <w:r w:rsidRPr="00264D5D">
              <w:rPr>
                <w:b/>
                <w:sz w:val="22"/>
                <w:szCs w:val="22"/>
              </w:rPr>
              <w:instrText xml:space="preserve"> </w:instrText>
            </w:r>
            <w:r w:rsidRPr="00264D5D">
              <w:rPr>
                <w:b/>
                <w:sz w:val="22"/>
                <w:szCs w:val="22"/>
                <w:lang w:val="en-US"/>
              </w:rPr>
            </w:r>
            <w:r w:rsidRPr="00264D5D">
              <w:rPr>
                <w:b/>
                <w:sz w:val="22"/>
                <w:szCs w:val="22"/>
                <w:lang w:val="en-US"/>
              </w:rPr>
              <w:fldChar w:fldCharType="separate"/>
            </w:r>
            <w:r w:rsidR="008D797C" w:rsidRPr="008D797C">
              <w:rPr>
                <w:b/>
                <w:sz w:val="22"/>
                <w:szCs w:val="22"/>
              </w:rPr>
              <w:t>244</w:t>
            </w:r>
            <w:r w:rsidRPr="00264D5D">
              <w:rPr>
                <w:b/>
                <w:sz w:val="22"/>
                <w:szCs w:val="22"/>
                <w:lang w:val="en-US"/>
              </w:rPr>
              <w:fldChar w:fldCharType="end"/>
            </w:r>
          </w:p>
        </w:tc>
      </w:tr>
      <w:tr w:rsidR="00AD1F54" w:rsidRPr="00264D5D" w14:paraId="4F33BF5C"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701" w:type="dxa"/>
          </w:tcPr>
          <w:p w14:paraId="5A967E0A" w14:textId="77777777" w:rsidR="00AD1F54" w:rsidRPr="00264D5D" w:rsidRDefault="00941227">
            <w:pPr>
              <w:spacing w:before="60" w:after="60"/>
              <w:rPr>
                <w:sz w:val="22"/>
                <w:szCs w:val="22"/>
                <w:lang w:val="en-US"/>
              </w:rPr>
            </w:pPr>
            <w:bookmarkStart w:id="2552" w:name="OLE_LINK1118"/>
            <w:bookmarkStart w:id="2553" w:name="OLE_LINK1119"/>
            <w:r w:rsidRPr="00264D5D">
              <w:rPr>
                <w:sz w:val="22"/>
                <w:szCs w:val="22"/>
                <w:lang w:val="en-US"/>
              </w:rPr>
              <w:t>Информация о получателе</w:t>
            </w:r>
            <w:bookmarkEnd w:id="2552"/>
            <w:bookmarkEnd w:id="2553"/>
          </w:p>
        </w:tc>
        <w:tc>
          <w:tcPr>
            <w:tcW w:w="1701" w:type="dxa"/>
          </w:tcPr>
          <w:p w14:paraId="5A6E2803" w14:textId="77777777" w:rsidR="00AD1F54" w:rsidRPr="00264D5D" w:rsidRDefault="00941227">
            <w:pPr>
              <w:spacing w:before="60" w:after="60"/>
              <w:jc w:val="left"/>
              <w:rPr>
                <w:sz w:val="22"/>
                <w:szCs w:val="22"/>
                <w:lang w:val="en-US"/>
              </w:rPr>
            </w:pPr>
            <w:bookmarkStart w:id="2554" w:name="OLE_LINK1116"/>
            <w:bookmarkStart w:id="2555" w:name="OLE_LINK1117"/>
            <w:r w:rsidRPr="00264D5D">
              <w:rPr>
                <w:sz w:val="22"/>
                <w:szCs w:val="22"/>
                <w:lang w:val="en-US"/>
              </w:rPr>
              <w:t>Recipient</w:t>
            </w:r>
            <w:bookmarkEnd w:id="2554"/>
            <w:bookmarkEnd w:id="2555"/>
          </w:p>
        </w:tc>
        <w:tc>
          <w:tcPr>
            <w:tcW w:w="567" w:type="dxa"/>
          </w:tcPr>
          <w:p w14:paraId="4F01E7E3" w14:textId="77777777" w:rsidR="00AD1F54" w:rsidRPr="00264D5D" w:rsidRDefault="00941227">
            <w:pPr>
              <w:spacing w:before="60" w:after="60"/>
              <w:jc w:val="center"/>
              <w:rPr>
                <w:sz w:val="22"/>
                <w:szCs w:val="22"/>
                <w:lang w:val="en-US"/>
              </w:rPr>
            </w:pPr>
            <w:r w:rsidRPr="00264D5D">
              <w:rPr>
                <w:sz w:val="22"/>
                <w:szCs w:val="22"/>
                <w:lang w:val="en-US"/>
              </w:rPr>
              <w:t>С</w:t>
            </w:r>
          </w:p>
        </w:tc>
        <w:tc>
          <w:tcPr>
            <w:tcW w:w="1134" w:type="dxa"/>
          </w:tcPr>
          <w:p w14:paraId="1729BF6B" w14:textId="77777777" w:rsidR="00AD1F54" w:rsidRPr="00264D5D" w:rsidRDefault="00941227">
            <w:pPr>
              <w:spacing w:before="60" w:after="60"/>
              <w:jc w:val="left"/>
              <w:rPr>
                <w:sz w:val="22"/>
                <w:szCs w:val="22"/>
                <w:lang w:val="en-US"/>
              </w:rPr>
            </w:pPr>
            <w:r w:rsidRPr="00264D5D">
              <w:rPr>
                <w:sz w:val="22"/>
                <w:szCs w:val="22"/>
                <w:lang w:val="en-US"/>
              </w:rPr>
              <w:t>tRecipient</w:t>
            </w:r>
          </w:p>
        </w:tc>
        <w:tc>
          <w:tcPr>
            <w:tcW w:w="567" w:type="dxa"/>
          </w:tcPr>
          <w:p w14:paraId="37A11814" w14:textId="77777777" w:rsidR="00AD1F54" w:rsidRPr="00264D5D" w:rsidRDefault="00941227">
            <w:pPr>
              <w:spacing w:before="60" w:after="60"/>
              <w:jc w:val="center"/>
              <w:rPr>
                <w:sz w:val="22"/>
                <w:szCs w:val="22"/>
              </w:rPr>
            </w:pPr>
            <w:r w:rsidRPr="00264D5D">
              <w:rPr>
                <w:sz w:val="22"/>
                <w:szCs w:val="22"/>
              </w:rPr>
              <w:t>О</w:t>
            </w:r>
          </w:p>
        </w:tc>
        <w:tc>
          <w:tcPr>
            <w:tcW w:w="3963" w:type="dxa"/>
          </w:tcPr>
          <w:p w14:paraId="3A25978D" w14:textId="3E9E9354" w:rsidR="00AD1F54" w:rsidRPr="00264D5D" w:rsidRDefault="00941227">
            <w:pPr>
              <w:spacing w:before="60" w:after="60"/>
              <w:rPr>
                <w:sz w:val="22"/>
                <w:szCs w:val="22"/>
              </w:rPr>
            </w:pPr>
            <w:r w:rsidRPr="00264D5D">
              <w:rPr>
                <w:sz w:val="22"/>
                <w:szCs w:val="22"/>
              </w:rPr>
              <w:t xml:space="preserve">Состав элемента представлен в таблице </w:t>
            </w:r>
            <w:r w:rsidRPr="00264D5D">
              <w:rPr>
                <w:b/>
                <w:sz w:val="22"/>
                <w:szCs w:val="22"/>
                <w:lang w:val="en-US"/>
              </w:rPr>
              <w:fldChar w:fldCharType="begin"/>
            </w:r>
            <w:r w:rsidRPr="00264D5D">
              <w:rPr>
                <w:b/>
                <w:sz w:val="22"/>
                <w:szCs w:val="22"/>
              </w:rPr>
              <w:instrText xml:space="preserve"> </w:instrText>
            </w:r>
            <w:r w:rsidRPr="00264D5D">
              <w:rPr>
                <w:b/>
                <w:sz w:val="22"/>
                <w:szCs w:val="22"/>
                <w:lang w:val="en-US"/>
              </w:rPr>
              <w:instrText>REF</w:instrText>
            </w:r>
            <w:r w:rsidRPr="00264D5D">
              <w:rPr>
                <w:b/>
                <w:sz w:val="22"/>
                <w:szCs w:val="22"/>
              </w:rPr>
              <w:instrText xml:space="preserve"> _</w:instrText>
            </w:r>
            <w:r w:rsidRPr="00264D5D">
              <w:rPr>
                <w:b/>
                <w:sz w:val="22"/>
                <w:szCs w:val="22"/>
                <w:lang w:val="en-US"/>
              </w:rPr>
              <w:instrText>Ref</w:instrText>
            </w:r>
            <w:r w:rsidRPr="00264D5D">
              <w:rPr>
                <w:b/>
                <w:sz w:val="22"/>
                <w:szCs w:val="22"/>
              </w:rPr>
              <w:instrText>524688350 \</w:instrText>
            </w:r>
            <w:r w:rsidRPr="00264D5D">
              <w:rPr>
                <w:b/>
                <w:sz w:val="22"/>
                <w:szCs w:val="22"/>
                <w:lang w:val="en-US"/>
              </w:rPr>
              <w:instrText>h</w:instrText>
            </w:r>
            <w:r w:rsidRPr="00264D5D">
              <w:rPr>
                <w:b/>
                <w:sz w:val="22"/>
                <w:szCs w:val="22"/>
              </w:rPr>
              <w:instrText xml:space="preserve">  \* </w:instrText>
            </w:r>
            <w:r w:rsidRPr="00264D5D">
              <w:rPr>
                <w:b/>
                <w:sz w:val="22"/>
                <w:szCs w:val="22"/>
                <w:lang w:val="en-US"/>
              </w:rPr>
              <w:instrText>MERGEFORMAT</w:instrText>
            </w:r>
            <w:r w:rsidRPr="00264D5D">
              <w:rPr>
                <w:b/>
                <w:sz w:val="22"/>
                <w:szCs w:val="22"/>
              </w:rPr>
              <w:instrText xml:space="preserve"> </w:instrText>
            </w:r>
            <w:r w:rsidRPr="00264D5D">
              <w:rPr>
                <w:b/>
                <w:sz w:val="22"/>
                <w:szCs w:val="22"/>
                <w:lang w:val="en-US"/>
              </w:rPr>
            </w:r>
            <w:r w:rsidRPr="00264D5D">
              <w:rPr>
                <w:b/>
                <w:sz w:val="22"/>
                <w:szCs w:val="22"/>
                <w:lang w:val="en-US"/>
              </w:rPr>
              <w:fldChar w:fldCharType="separate"/>
            </w:r>
            <w:r w:rsidR="008D797C" w:rsidRPr="008D797C">
              <w:rPr>
                <w:b/>
                <w:sz w:val="22"/>
                <w:szCs w:val="22"/>
              </w:rPr>
              <w:t>245</w:t>
            </w:r>
            <w:r w:rsidRPr="00264D5D">
              <w:rPr>
                <w:b/>
                <w:sz w:val="22"/>
                <w:szCs w:val="22"/>
                <w:lang w:val="en-US"/>
              </w:rPr>
              <w:fldChar w:fldCharType="end"/>
            </w:r>
          </w:p>
        </w:tc>
      </w:tr>
      <w:tr w:rsidR="00AD1F54" w:rsidRPr="00264D5D" w14:paraId="7FDDE7BE"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701" w:type="dxa"/>
          </w:tcPr>
          <w:p w14:paraId="0F40FCAC" w14:textId="77777777" w:rsidR="00AD1F54" w:rsidRPr="00264D5D" w:rsidRDefault="00941227">
            <w:pPr>
              <w:spacing w:before="60" w:after="60"/>
              <w:rPr>
                <w:sz w:val="22"/>
                <w:szCs w:val="22"/>
              </w:rPr>
            </w:pPr>
            <w:bookmarkStart w:id="2556" w:name="OLE_LINK482"/>
            <w:bookmarkStart w:id="2557" w:name="OLE_LINK483"/>
            <w:bookmarkStart w:id="2558" w:name="OLE_LINK484"/>
            <w:bookmarkStart w:id="2559" w:name="OLE_LINK485"/>
            <w:bookmarkStart w:id="2560" w:name="OLE_LINK486"/>
            <w:bookmarkStart w:id="2561" w:name="OLE_LINK487"/>
            <w:bookmarkStart w:id="2562" w:name="OLE_LINK488"/>
            <w:bookmarkStart w:id="2563" w:name="OLE_LINK489"/>
            <w:bookmarkStart w:id="2564" w:name="OLE_LINK490"/>
            <w:bookmarkStart w:id="2565" w:name="OLE_LINK491"/>
            <w:bookmarkStart w:id="2566" w:name="OLE_LINK492"/>
            <w:bookmarkStart w:id="2567" w:name="OLE_LINK493"/>
            <w:bookmarkStart w:id="2568" w:name="OLE_LINK494"/>
            <w:bookmarkStart w:id="2569" w:name="OLE_LINK495"/>
            <w:bookmarkStart w:id="2570" w:name="OLE_LINK496"/>
            <w:bookmarkStart w:id="2571" w:name="OLE_LINK497"/>
            <w:bookmarkStart w:id="2572" w:name="OLE_LINK498"/>
            <w:bookmarkStart w:id="2573" w:name="OLE_LINK1121"/>
            <w:bookmarkStart w:id="2574" w:name="_Hlk524960676"/>
            <w:bookmarkEnd w:id="2541"/>
            <w:r w:rsidRPr="00264D5D">
              <w:rPr>
                <w:sz w:val="22"/>
                <w:szCs w:val="22"/>
              </w:rPr>
              <w:t>Перечень подтверждающих документов</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tc>
        <w:tc>
          <w:tcPr>
            <w:tcW w:w="1701" w:type="dxa"/>
          </w:tcPr>
          <w:p w14:paraId="4B2A1A91" w14:textId="77777777" w:rsidR="00AD1F54" w:rsidRPr="00264D5D" w:rsidRDefault="00941227">
            <w:pPr>
              <w:spacing w:before="60" w:after="60"/>
              <w:jc w:val="left"/>
              <w:rPr>
                <w:sz w:val="22"/>
                <w:szCs w:val="22"/>
              </w:rPr>
            </w:pPr>
            <w:bookmarkStart w:id="2575" w:name="OLE_LINK813"/>
            <w:bookmarkStart w:id="2576" w:name="OLE_LINK814"/>
            <w:bookmarkStart w:id="2577" w:name="OLE_LINK815"/>
            <w:bookmarkStart w:id="2578" w:name="OLE_LINK816"/>
            <w:bookmarkStart w:id="2579" w:name="OLE_LINK1120"/>
            <w:r w:rsidRPr="00264D5D">
              <w:rPr>
                <w:sz w:val="22"/>
                <w:szCs w:val="22"/>
                <w:lang w:val="en-US"/>
              </w:rPr>
              <w:t>SuppDocs</w:t>
            </w:r>
            <w:bookmarkEnd w:id="2575"/>
            <w:bookmarkEnd w:id="2576"/>
            <w:bookmarkEnd w:id="2577"/>
            <w:bookmarkEnd w:id="2578"/>
            <w:bookmarkEnd w:id="2579"/>
          </w:p>
        </w:tc>
        <w:tc>
          <w:tcPr>
            <w:tcW w:w="567" w:type="dxa"/>
          </w:tcPr>
          <w:p w14:paraId="2949FC7A" w14:textId="77777777" w:rsidR="00AD1F54" w:rsidRPr="00264D5D" w:rsidRDefault="00941227">
            <w:pPr>
              <w:spacing w:before="60" w:after="60"/>
              <w:jc w:val="center"/>
              <w:rPr>
                <w:sz w:val="22"/>
                <w:szCs w:val="22"/>
              </w:rPr>
            </w:pPr>
            <w:bookmarkStart w:id="2580" w:name="OLE_LINK821"/>
            <w:r w:rsidRPr="00264D5D">
              <w:rPr>
                <w:sz w:val="22"/>
                <w:szCs w:val="22"/>
                <w:lang w:val="en-US"/>
              </w:rPr>
              <w:t>C</w:t>
            </w:r>
            <w:bookmarkEnd w:id="2580"/>
          </w:p>
        </w:tc>
        <w:tc>
          <w:tcPr>
            <w:tcW w:w="1134" w:type="dxa"/>
          </w:tcPr>
          <w:p w14:paraId="166798F5" w14:textId="77777777" w:rsidR="00AD1F54" w:rsidRPr="00264D5D" w:rsidRDefault="00941227">
            <w:pPr>
              <w:spacing w:before="60" w:after="60"/>
              <w:jc w:val="left"/>
              <w:rPr>
                <w:sz w:val="22"/>
                <w:szCs w:val="22"/>
              </w:rPr>
            </w:pPr>
            <w:bookmarkStart w:id="2581" w:name="OLE_LINK824"/>
            <w:bookmarkStart w:id="2582" w:name="OLE_LINK825"/>
            <w:bookmarkStart w:id="2583" w:name="OLE_LINK826"/>
            <w:bookmarkStart w:id="2584" w:name="OLE_LINK827"/>
            <w:bookmarkStart w:id="2585" w:name="OLE_LINK828"/>
            <w:r w:rsidRPr="00264D5D">
              <w:rPr>
                <w:sz w:val="22"/>
                <w:szCs w:val="22"/>
                <w:lang w:val="en-US"/>
              </w:rPr>
              <w:t>tSuppDocs</w:t>
            </w:r>
            <w:bookmarkEnd w:id="2581"/>
            <w:bookmarkEnd w:id="2582"/>
            <w:bookmarkEnd w:id="2583"/>
            <w:bookmarkEnd w:id="2584"/>
            <w:bookmarkEnd w:id="2585"/>
          </w:p>
        </w:tc>
        <w:tc>
          <w:tcPr>
            <w:tcW w:w="567" w:type="dxa"/>
          </w:tcPr>
          <w:p w14:paraId="1F63B12B" w14:textId="77777777" w:rsidR="00AD1F54" w:rsidRPr="00264D5D" w:rsidRDefault="00941227">
            <w:pPr>
              <w:spacing w:before="60" w:after="60"/>
              <w:jc w:val="center"/>
              <w:rPr>
                <w:sz w:val="22"/>
                <w:szCs w:val="22"/>
              </w:rPr>
            </w:pPr>
            <w:r w:rsidRPr="00264D5D">
              <w:rPr>
                <w:sz w:val="22"/>
                <w:szCs w:val="22"/>
              </w:rPr>
              <w:t>Н</w:t>
            </w:r>
          </w:p>
        </w:tc>
        <w:tc>
          <w:tcPr>
            <w:tcW w:w="3963" w:type="dxa"/>
          </w:tcPr>
          <w:p w14:paraId="4E908102" w14:textId="77777777" w:rsidR="00AD1F54" w:rsidRPr="00264D5D" w:rsidRDefault="00941227">
            <w:pPr>
              <w:spacing w:before="60" w:after="60"/>
              <w:rPr>
                <w:sz w:val="22"/>
                <w:szCs w:val="22"/>
              </w:rPr>
            </w:pPr>
            <w:r w:rsidRPr="00264D5D">
              <w:rPr>
                <w:sz w:val="22"/>
                <w:szCs w:val="22"/>
              </w:rPr>
              <w:t>Заполняется при значении поля «Вид» = 1.</w:t>
            </w:r>
          </w:p>
          <w:p w14:paraId="18B20105" w14:textId="1E9FFC32" w:rsidR="00AD1F54" w:rsidRPr="00264D5D" w:rsidRDefault="00941227">
            <w:pPr>
              <w:spacing w:before="60" w:after="60"/>
              <w:rPr>
                <w:sz w:val="22"/>
                <w:szCs w:val="22"/>
              </w:rPr>
            </w:pPr>
            <w:r w:rsidRPr="00264D5D">
              <w:rPr>
                <w:sz w:val="22"/>
                <w:szCs w:val="22"/>
              </w:rPr>
              <w:t xml:space="preserve">Состав элемента представлен в таблице </w:t>
            </w:r>
            <w:r w:rsidRPr="00264D5D">
              <w:rPr>
                <w:b/>
                <w:sz w:val="22"/>
                <w:szCs w:val="22"/>
              </w:rPr>
              <w:fldChar w:fldCharType="begin"/>
            </w:r>
            <w:r w:rsidRPr="00264D5D">
              <w:rPr>
                <w:b/>
                <w:sz w:val="22"/>
                <w:szCs w:val="22"/>
              </w:rPr>
              <w:instrText xml:space="preserve"> REF _Ref524689961 \h  \* MERGEFORMAT </w:instrText>
            </w:r>
            <w:r w:rsidRPr="00264D5D">
              <w:rPr>
                <w:b/>
                <w:sz w:val="22"/>
                <w:szCs w:val="22"/>
              </w:rPr>
            </w:r>
            <w:r w:rsidRPr="00264D5D">
              <w:rPr>
                <w:b/>
                <w:sz w:val="22"/>
                <w:szCs w:val="22"/>
              </w:rPr>
              <w:fldChar w:fldCharType="separate"/>
            </w:r>
            <w:r w:rsidR="008D797C" w:rsidRPr="008D797C">
              <w:rPr>
                <w:b/>
                <w:sz w:val="22"/>
                <w:szCs w:val="22"/>
              </w:rPr>
              <w:t>247</w:t>
            </w:r>
            <w:r w:rsidRPr="00264D5D">
              <w:rPr>
                <w:b/>
                <w:sz w:val="22"/>
                <w:szCs w:val="22"/>
              </w:rPr>
              <w:fldChar w:fldCharType="end"/>
            </w:r>
          </w:p>
        </w:tc>
      </w:tr>
      <w:tr w:rsidR="00AD1F54" w:rsidRPr="00264D5D" w14:paraId="081B06C6"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701" w:type="dxa"/>
          </w:tcPr>
          <w:p w14:paraId="7F10566F" w14:textId="77777777" w:rsidR="00AD1F54" w:rsidRPr="00264D5D" w:rsidRDefault="00941227">
            <w:pPr>
              <w:spacing w:before="60" w:after="60"/>
              <w:rPr>
                <w:sz w:val="22"/>
                <w:szCs w:val="22"/>
              </w:rPr>
            </w:pPr>
            <w:bookmarkStart w:id="2586" w:name="_Hlk525033341"/>
            <w:bookmarkEnd w:id="2574"/>
            <w:r w:rsidRPr="00264D5D">
              <w:rPr>
                <w:sz w:val="22"/>
                <w:szCs w:val="22"/>
              </w:rPr>
              <w:t>Подписи</w:t>
            </w:r>
          </w:p>
        </w:tc>
        <w:tc>
          <w:tcPr>
            <w:tcW w:w="1701" w:type="dxa"/>
          </w:tcPr>
          <w:p w14:paraId="30D0EE9D" w14:textId="77777777" w:rsidR="00AD1F54" w:rsidRPr="00264D5D" w:rsidRDefault="00941227">
            <w:pPr>
              <w:pStyle w:val="affffff"/>
              <w:spacing w:before="60" w:after="60" w:line="240" w:lineRule="auto"/>
              <w:ind w:firstLine="0"/>
              <w:rPr>
                <w:sz w:val="22"/>
                <w:szCs w:val="22"/>
              </w:rPr>
            </w:pPr>
            <w:r w:rsidRPr="00264D5D">
              <w:rPr>
                <w:sz w:val="22"/>
                <w:szCs w:val="22"/>
              </w:rPr>
              <w:t>Signature</w:t>
            </w:r>
          </w:p>
        </w:tc>
        <w:tc>
          <w:tcPr>
            <w:tcW w:w="567" w:type="dxa"/>
          </w:tcPr>
          <w:p w14:paraId="5A5ED47A" w14:textId="77777777" w:rsidR="00AD1F54" w:rsidRPr="00264D5D" w:rsidRDefault="00941227">
            <w:pPr>
              <w:pStyle w:val="affffff"/>
              <w:spacing w:before="60" w:after="60" w:line="240" w:lineRule="auto"/>
              <w:ind w:firstLine="0"/>
              <w:jc w:val="center"/>
              <w:rPr>
                <w:rFonts w:eastAsia="Calibri"/>
                <w:sz w:val="22"/>
                <w:szCs w:val="22"/>
              </w:rPr>
            </w:pPr>
            <w:r w:rsidRPr="00264D5D">
              <w:rPr>
                <w:rFonts w:eastAsia="Calibri"/>
                <w:sz w:val="22"/>
                <w:szCs w:val="22"/>
              </w:rPr>
              <w:t>C</w:t>
            </w:r>
          </w:p>
        </w:tc>
        <w:tc>
          <w:tcPr>
            <w:tcW w:w="1134" w:type="dxa"/>
          </w:tcPr>
          <w:p w14:paraId="030A2530" w14:textId="77777777" w:rsidR="00AD1F54" w:rsidRPr="00264D5D" w:rsidRDefault="00941227">
            <w:pPr>
              <w:pStyle w:val="affffff"/>
              <w:spacing w:before="60" w:after="60" w:line="240" w:lineRule="auto"/>
              <w:ind w:firstLine="0"/>
              <w:jc w:val="left"/>
              <w:rPr>
                <w:sz w:val="22"/>
                <w:szCs w:val="22"/>
              </w:rPr>
            </w:pPr>
            <w:bookmarkStart w:id="2587" w:name="OLE_LINK964"/>
            <w:bookmarkStart w:id="2588" w:name="OLE_LINK965"/>
            <w:bookmarkStart w:id="2589" w:name="OLE_LINK966"/>
            <w:bookmarkStart w:id="2590" w:name="OLE_LINK967"/>
            <w:r w:rsidRPr="00264D5D">
              <w:rPr>
                <w:sz w:val="22"/>
                <w:szCs w:val="22"/>
              </w:rPr>
              <w:t>tSignature</w:t>
            </w:r>
            <w:bookmarkEnd w:id="2587"/>
            <w:bookmarkEnd w:id="2588"/>
            <w:bookmarkEnd w:id="2589"/>
            <w:bookmarkEnd w:id="2590"/>
          </w:p>
        </w:tc>
        <w:tc>
          <w:tcPr>
            <w:tcW w:w="567" w:type="dxa"/>
          </w:tcPr>
          <w:p w14:paraId="37416640" w14:textId="77777777" w:rsidR="00AD1F54" w:rsidRPr="00264D5D" w:rsidRDefault="00941227">
            <w:pPr>
              <w:pStyle w:val="affffff"/>
              <w:spacing w:before="60" w:after="60" w:line="240" w:lineRule="auto"/>
              <w:ind w:firstLine="0"/>
              <w:jc w:val="center"/>
              <w:rPr>
                <w:sz w:val="22"/>
                <w:szCs w:val="22"/>
                <w:lang w:val="en-US"/>
              </w:rPr>
            </w:pPr>
            <w:r w:rsidRPr="00264D5D">
              <w:rPr>
                <w:sz w:val="22"/>
                <w:szCs w:val="22"/>
                <w:lang w:val="en-US"/>
              </w:rPr>
              <w:t>О</w:t>
            </w:r>
          </w:p>
        </w:tc>
        <w:tc>
          <w:tcPr>
            <w:tcW w:w="3963" w:type="dxa"/>
          </w:tcPr>
          <w:p w14:paraId="62FC677D" w14:textId="3474E86E" w:rsidR="00AD1F54" w:rsidRPr="00264D5D" w:rsidRDefault="00941227">
            <w:pPr>
              <w:spacing w:before="60" w:after="60"/>
              <w:rPr>
                <w:sz w:val="22"/>
                <w:szCs w:val="22"/>
              </w:rPr>
            </w:pPr>
            <w:r w:rsidRPr="00264D5D">
              <w:rPr>
                <w:sz w:val="22"/>
                <w:szCs w:val="22"/>
              </w:rPr>
              <w:t xml:space="preserve">Состав элемента представлен в таблице </w:t>
            </w:r>
            <w:r w:rsidRPr="00264D5D">
              <w:rPr>
                <w:b/>
                <w:sz w:val="22"/>
                <w:szCs w:val="22"/>
              </w:rPr>
              <w:fldChar w:fldCharType="begin"/>
            </w:r>
            <w:r w:rsidRPr="00264D5D">
              <w:rPr>
                <w:b/>
                <w:sz w:val="22"/>
                <w:szCs w:val="22"/>
              </w:rPr>
              <w:instrText xml:space="preserve"> REF _Ref524948506 \h  \* MERGEFORMAT </w:instrText>
            </w:r>
            <w:r w:rsidRPr="00264D5D">
              <w:rPr>
                <w:b/>
                <w:sz w:val="22"/>
                <w:szCs w:val="22"/>
              </w:rPr>
            </w:r>
            <w:r w:rsidRPr="00264D5D">
              <w:rPr>
                <w:b/>
                <w:sz w:val="22"/>
                <w:szCs w:val="22"/>
              </w:rPr>
              <w:fldChar w:fldCharType="separate"/>
            </w:r>
            <w:r w:rsidR="008D797C" w:rsidRPr="008D797C">
              <w:rPr>
                <w:rFonts w:eastAsia="Calibri"/>
                <w:b/>
                <w:sz w:val="22"/>
                <w:szCs w:val="22"/>
              </w:rPr>
              <w:t>249</w:t>
            </w:r>
            <w:r w:rsidRPr="00264D5D">
              <w:rPr>
                <w:b/>
                <w:sz w:val="22"/>
                <w:szCs w:val="22"/>
              </w:rPr>
              <w:fldChar w:fldCharType="end"/>
            </w:r>
          </w:p>
        </w:tc>
      </w:tr>
      <w:tr w:rsidR="00AD1F54" w:rsidRPr="00264D5D" w14:paraId="3B8EB6F7"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701" w:type="dxa"/>
          </w:tcPr>
          <w:p w14:paraId="0FDF7DAC" w14:textId="77777777" w:rsidR="00AD1F54" w:rsidRPr="00264D5D" w:rsidRDefault="00941227">
            <w:pPr>
              <w:spacing w:before="60" w:after="60"/>
              <w:rPr>
                <w:b/>
                <w:sz w:val="22"/>
                <w:szCs w:val="22"/>
              </w:rPr>
            </w:pPr>
            <w:r w:rsidRPr="00264D5D">
              <w:rPr>
                <w:rStyle w:val="GOSTSymBold"/>
                <w:b w:val="0"/>
                <w:sz w:val="22"/>
                <w:szCs w:val="22"/>
              </w:rPr>
              <w:t>Отметки ТОФК, банка заявителя</w:t>
            </w:r>
          </w:p>
        </w:tc>
        <w:tc>
          <w:tcPr>
            <w:tcW w:w="1701" w:type="dxa"/>
          </w:tcPr>
          <w:p w14:paraId="0BE4FB9D" w14:textId="77777777" w:rsidR="00AD1F54" w:rsidRPr="00264D5D" w:rsidRDefault="00941227">
            <w:pPr>
              <w:pStyle w:val="affffff"/>
              <w:spacing w:before="60" w:after="60" w:line="240" w:lineRule="auto"/>
              <w:ind w:firstLine="0"/>
              <w:rPr>
                <w:sz w:val="22"/>
                <w:szCs w:val="22"/>
                <w:lang w:val="en-US"/>
              </w:rPr>
            </w:pPr>
            <w:r w:rsidRPr="00264D5D">
              <w:rPr>
                <w:sz w:val="22"/>
                <w:szCs w:val="22"/>
                <w:lang w:val="en-US"/>
              </w:rPr>
              <w:t>MarksFK</w:t>
            </w:r>
          </w:p>
        </w:tc>
        <w:tc>
          <w:tcPr>
            <w:tcW w:w="567" w:type="dxa"/>
          </w:tcPr>
          <w:p w14:paraId="6A957E7D" w14:textId="77777777" w:rsidR="00AD1F54" w:rsidRPr="00264D5D" w:rsidRDefault="00941227">
            <w:pPr>
              <w:pStyle w:val="affffff"/>
              <w:spacing w:before="60" w:after="60" w:line="240" w:lineRule="auto"/>
              <w:ind w:firstLine="0"/>
              <w:jc w:val="center"/>
              <w:rPr>
                <w:rFonts w:eastAsia="Calibri"/>
                <w:sz w:val="22"/>
                <w:szCs w:val="22"/>
                <w:lang w:val="en-US"/>
              </w:rPr>
            </w:pPr>
            <w:r w:rsidRPr="00264D5D">
              <w:rPr>
                <w:rFonts w:eastAsia="Calibri"/>
                <w:sz w:val="22"/>
                <w:szCs w:val="22"/>
                <w:lang w:val="en-US"/>
              </w:rPr>
              <w:t>C</w:t>
            </w:r>
          </w:p>
        </w:tc>
        <w:tc>
          <w:tcPr>
            <w:tcW w:w="1134" w:type="dxa"/>
          </w:tcPr>
          <w:p w14:paraId="0422740E" w14:textId="77777777" w:rsidR="00AD1F54" w:rsidRPr="00264D5D" w:rsidRDefault="00941227">
            <w:pPr>
              <w:pStyle w:val="affffff"/>
              <w:spacing w:before="60" w:after="60" w:line="240" w:lineRule="auto"/>
              <w:ind w:firstLine="0"/>
              <w:jc w:val="left"/>
              <w:rPr>
                <w:sz w:val="22"/>
                <w:szCs w:val="22"/>
              </w:rPr>
            </w:pPr>
            <w:r w:rsidRPr="00264D5D">
              <w:rPr>
                <w:sz w:val="22"/>
                <w:szCs w:val="22"/>
                <w:lang w:val="en-US"/>
              </w:rPr>
              <w:t>tMarksFK</w:t>
            </w:r>
          </w:p>
        </w:tc>
        <w:tc>
          <w:tcPr>
            <w:tcW w:w="567" w:type="dxa"/>
          </w:tcPr>
          <w:p w14:paraId="38CAED1E" w14:textId="77777777" w:rsidR="00AD1F54" w:rsidRPr="00264D5D" w:rsidRDefault="00941227">
            <w:pPr>
              <w:pStyle w:val="affffff"/>
              <w:spacing w:before="60" w:after="60" w:line="240" w:lineRule="auto"/>
              <w:ind w:firstLine="0"/>
              <w:jc w:val="center"/>
              <w:rPr>
                <w:sz w:val="22"/>
                <w:szCs w:val="22"/>
              </w:rPr>
            </w:pPr>
            <w:r w:rsidRPr="00264D5D">
              <w:rPr>
                <w:sz w:val="22"/>
                <w:szCs w:val="22"/>
              </w:rPr>
              <w:t>Н</w:t>
            </w:r>
          </w:p>
        </w:tc>
        <w:tc>
          <w:tcPr>
            <w:tcW w:w="3963" w:type="dxa"/>
          </w:tcPr>
          <w:p w14:paraId="5BF75BEF" w14:textId="76DC604E" w:rsidR="00AD1F54" w:rsidRPr="00264D5D" w:rsidRDefault="00941227">
            <w:pPr>
              <w:spacing w:before="60" w:after="60"/>
              <w:rPr>
                <w:sz w:val="22"/>
                <w:szCs w:val="22"/>
              </w:rPr>
            </w:pPr>
            <w:r w:rsidRPr="00264D5D">
              <w:rPr>
                <w:sz w:val="22"/>
                <w:szCs w:val="22"/>
              </w:rPr>
              <w:t xml:space="preserve">Состав элемента представлен в таблице </w:t>
            </w:r>
            <w:r w:rsidRPr="00264D5D">
              <w:rPr>
                <w:b/>
                <w:sz w:val="22"/>
                <w:szCs w:val="22"/>
              </w:rPr>
              <w:fldChar w:fldCharType="begin"/>
            </w:r>
            <w:r w:rsidRPr="00264D5D">
              <w:rPr>
                <w:b/>
                <w:sz w:val="22"/>
                <w:szCs w:val="22"/>
              </w:rPr>
              <w:instrText xml:space="preserve"> REF _Ref528839663 \h  \* MERGEFORMAT </w:instrText>
            </w:r>
            <w:r w:rsidRPr="00264D5D">
              <w:rPr>
                <w:b/>
                <w:sz w:val="22"/>
                <w:szCs w:val="22"/>
              </w:rPr>
            </w:r>
            <w:r w:rsidRPr="00264D5D">
              <w:rPr>
                <w:b/>
                <w:sz w:val="22"/>
                <w:szCs w:val="22"/>
              </w:rPr>
              <w:fldChar w:fldCharType="separate"/>
            </w:r>
            <w:r w:rsidR="008D797C" w:rsidRPr="008D797C">
              <w:rPr>
                <w:rFonts w:eastAsia="Calibri"/>
                <w:b/>
                <w:sz w:val="22"/>
                <w:szCs w:val="22"/>
              </w:rPr>
              <w:t>250</w:t>
            </w:r>
            <w:r w:rsidRPr="00264D5D">
              <w:rPr>
                <w:b/>
                <w:sz w:val="22"/>
                <w:szCs w:val="22"/>
              </w:rPr>
              <w:fldChar w:fldCharType="end"/>
            </w:r>
          </w:p>
        </w:tc>
      </w:tr>
    </w:tbl>
    <w:p w14:paraId="6D0E0515" w14:textId="77777777" w:rsidR="00AD1F54" w:rsidRPr="00264D5D" w:rsidRDefault="00941227">
      <w:pPr>
        <w:pStyle w:val="31"/>
      </w:pPr>
      <w:bookmarkStart w:id="2591" w:name="_Toc520451426"/>
      <w:bookmarkStart w:id="2592" w:name="OLE_LINK387"/>
      <w:bookmarkStart w:id="2593" w:name="OLE_LINK388"/>
      <w:bookmarkStart w:id="2594" w:name="OLE_LINK1320"/>
      <w:bookmarkStart w:id="2595" w:name="OLE_LINK1321"/>
      <w:bookmarkStart w:id="2596" w:name="OLE_LINK1322"/>
      <w:bookmarkStart w:id="2597" w:name="_Toc219309711"/>
      <w:bookmarkEnd w:id="2586"/>
      <w:r w:rsidRPr="00264D5D">
        <w:t>Описание комплексного типа «tGovСontract»</w:t>
      </w:r>
      <w:bookmarkEnd w:id="2591"/>
      <w:bookmarkEnd w:id="2597"/>
    </w:p>
    <w:p w14:paraId="4DE5F149" w14:textId="77777777" w:rsidR="00AD1F54" w:rsidRPr="00264D5D" w:rsidRDefault="00941227">
      <w:pPr>
        <w:pStyle w:val="ASFKNormal"/>
        <w:spacing w:before="60" w:after="120"/>
        <w:contextualSpacing w:val="0"/>
        <w:jc w:val="both"/>
        <w:rPr>
          <w:sz w:val="24"/>
          <w:szCs w:val="24"/>
        </w:rPr>
      </w:pPr>
      <w:r w:rsidRPr="00264D5D">
        <w:rPr>
          <w:sz w:val="24"/>
          <w:szCs w:val="24"/>
        </w:rPr>
        <w:t>Описание комплексного типа «tGovСontract» блока «Информация о государственном контракте (контракте)».</w:t>
      </w:r>
      <w:bookmarkStart w:id="2598" w:name="OLE_LINK392"/>
      <w:bookmarkStart w:id="2599" w:name="OLE_LINK393"/>
      <w:bookmarkEnd w:id="2592"/>
      <w:bookmarkEnd w:id="2593"/>
    </w:p>
    <w:p w14:paraId="096664B3" w14:textId="38355710"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2600" w:name="_Ref528839621"/>
      <w:bookmarkStart w:id="2601" w:name="_Toc30503408"/>
      <w:bookmarkStart w:id="2602" w:name="_Toc30508006"/>
      <w:bookmarkStart w:id="2603" w:name="_Toc219309272"/>
      <w:r w:rsidR="008D797C">
        <w:rPr>
          <w:rFonts w:eastAsia="Calibri"/>
          <w:noProof/>
          <w:szCs w:val="24"/>
        </w:rPr>
        <w:t>242</w:t>
      </w:r>
      <w:bookmarkEnd w:id="2600"/>
      <w:r w:rsidRPr="00264D5D">
        <w:rPr>
          <w:rFonts w:eastAsia="Calibri"/>
          <w:szCs w:val="24"/>
        </w:rPr>
        <w:fldChar w:fldCharType="end"/>
      </w:r>
      <w:r w:rsidRPr="00264D5D">
        <w:rPr>
          <w:rFonts w:eastAsia="Calibri"/>
          <w:szCs w:val="24"/>
        </w:rPr>
        <w:t xml:space="preserve"> – Описание комплексного типа «tGovСontract»</w:t>
      </w:r>
      <w:bookmarkEnd w:id="2601"/>
      <w:bookmarkEnd w:id="2602"/>
      <w:bookmarkEnd w:id="2603"/>
    </w:p>
    <w:tbl>
      <w:tblPr>
        <w:tblStyle w:val="GOSTTable"/>
        <w:tblW w:w="9641" w:type="dxa"/>
        <w:tblLayout w:type="fixed"/>
        <w:tblLook w:val="04A0" w:firstRow="1" w:lastRow="0" w:firstColumn="1" w:lastColumn="0" w:noHBand="0" w:noVBand="1"/>
      </w:tblPr>
      <w:tblGrid>
        <w:gridCol w:w="1708"/>
        <w:gridCol w:w="1703"/>
        <w:gridCol w:w="567"/>
        <w:gridCol w:w="1134"/>
        <w:gridCol w:w="567"/>
        <w:gridCol w:w="3962"/>
      </w:tblGrid>
      <w:tr w:rsidR="00AD1F54" w:rsidRPr="00264D5D" w14:paraId="55C998AB" w14:textId="77777777" w:rsidTr="00AD1F54">
        <w:trPr>
          <w:cnfStyle w:val="100000000000" w:firstRow="1" w:lastRow="0" w:firstColumn="0" w:lastColumn="0" w:oddVBand="0" w:evenVBand="0" w:oddHBand="0" w:evenHBand="0" w:firstRowFirstColumn="0" w:firstRowLastColumn="0" w:lastRowFirstColumn="0" w:lastRowLastColumn="0"/>
          <w:trHeight w:val="282"/>
          <w:tblHeader/>
        </w:trPr>
        <w:tc>
          <w:tcPr>
            <w:tcW w:w="886" w:type="pct"/>
          </w:tcPr>
          <w:p w14:paraId="3831DF13" w14:textId="77777777" w:rsidR="00AD1F54" w:rsidRPr="00264D5D" w:rsidRDefault="00941227">
            <w:pPr>
              <w:spacing w:before="60" w:after="60"/>
              <w:jc w:val="center"/>
              <w:rPr>
                <w:b/>
                <w:bCs/>
                <w:sz w:val="22"/>
                <w:szCs w:val="22"/>
              </w:rPr>
            </w:pPr>
            <w:r w:rsidRPr="00264D5D">
              <w:rPr>
                <w:b/>
                <w:bCs/>
                <w:sz w:val="22"/>
                <w:szCs w:val="22"/>
              </w:rPr>
              <w:t>Наименование элемента</w:t>
            </w:r>
          </w:p>
        </w:tc>
        <w:tc>
          <w:tcPr>
            <w:tcW w:w="883" w:type="pct"/>
          </w:tcPr>
          <w:p w14:paraId="6C47B0A5" w14:textId="77777777" w:rsidR="00AD1F54" w:rsidRPr="00264D5D" w:rsidRDefault="00941227">
            <w:pPr>
              <w:spacing w:before="60" w:after="60"/>
              <w:jc w:val="center"/>
              <w:rPr>
                <w:b/>
                <w:bCs/>
                <w:sz w:val="22"/>
                <w:szCs w:val="22"/>
              </w:rPr>
            </w:pPr>
            <w:r w:rsidRPr="00264D5D">
              <w:rPr>
                <w:b/>
                <w:bCs/>
                <w:sz w:val="22"/>
                <w:szCs w:val="22"/>
              </w:rPr>
              <w:t>Сокращенное наименование (код) элемента</w:t>
            </w:r>
          </w:p>
        </w:tc>
        <w:tc>
          <w:tcPr>
            <w:tcW w:w="294" w:type="pct"/>
          </w:tcPr>
          <w:p w14:paraId="1550947E" w14:textId="77777777" w:rsidR="00AD1F54" w:rsidRPr="00264D5D" w:rsidRDefault="00941227">
            <w:pPr>
              <w:spacing w:before="60" w:after="60"/>
              <w:jc w:val="center"/>
              <w:rPr>
                <w:b/>
                <w:sz w:val="22"/>
                <w:szCs w:val="22"/>
              </w:rPr>
            </w:pPr>
            <w:r w:rsidRPr="00264D5D">
              <w:rPr>
                <w:b/>
                <w:bCs/>
                <w:sz w:val="22"/>
                <w:szCs w:val="22"/>
              </w:rPr>
              <w:t>Тип</w:t>
            </w:r>
          </w:p>
        </w:tc>
        <w:tc>
          <w:tcPr>
            <w:tcW w:w="588" w:type="pct"/>
          </w:tcPr>
          <w:p w14:paraId="4F5D64A3" w14:textId="77777777" w:rsidR="00AD1F54" w:rsidRPr="00264D5D" w:rsidRDefault="00941227">
            <w:pPr>
              <w:spacing w:before="60" w:after="60"/>
              <w:jc w:val="center"/>
              <w:rPr>
                <w:b/>
                <w:sz w:val="22"/>
                <w:szCs w:val="22"/>
              </w:rPr>
            </w:pPr>
            <w:r w:rsidRPr="00264D5D">
              <w:rPr>
                <w:b/>
                <w:bCs/>
                <w:sz w:val="22"/>
                <w:szCs w:val="22"/>
              </w:rPr>
              <w:t>Формат элемента</w:t>
            </w:r>
          </w:p>
        </w:tc>
        <w:tc>
          <w:tcPr>
            <w:tcW w:w="294" w:type="pct"/>
          </w:tcPr>
          <w:p w14:paraId="4CEAAA44" w14:textId="77777777" w:rsidR="00AD1F54" w:rsidRPr="00264D5D" w:rsidRDefault="00941227">
            <w:pPr>
              <w:spacing w:before="60" w:after="60"/>
              <w:jc w:val="center"/>
              <w:rPr>
                <w:b/>
                <w:sz w:val="22"/>
                <w:szCs w:val="22"/>
              </w:rPr>
            </w:pPr>
            <w:r w:rsidRPr="00264D5D">
              <w:rPr>
                <w:b/>
                <w:bCs/>
                <w:sz w:val="22"/>
                <w:szCs w:val="22"/>
              </w:rPr>
              <w:t>Обязательность</w:t>
            </w:r>
          </w:p>
        </w:tc>
        <w:tc>
          <w:tcPr>
            <w:tcW w:w="2055" w:type="pct"/>
          </w:tcPr>
          <w:p w14:paraId="6192BF81" w14:textId="77777777" w:rsidR="00AD1F54" w:rsidRPr="00264D5D" w:rsidRDefault="00941227">
            <w:pPr>
              <w:spacing w:before="60" w:after="60"/>
              <w:jc w:val="center"/>
              <w:rPr>
                <w:b/>
                <w:bCs/>
                <w:sz w:val="22"/>
                <w:szCs w:val="22"/>
              </w:rPr>
            </w:pPr>
            <w:r w:rsidRPr="00264D5D">
              <w:rPr>
                <w:b/>
                <w:bCs/>
                <w:sz w:val="22"/>
                <w:szCs w:val="22"/>
              </w:rPr>
              <w:t>Дополнительная информация</w:t>
            </w:r>
          </w:p>
        </w:tc>
      </w:tr>
      <w:tr w:rsidR="00AD1F54" w:rsidRPr="00264D5D" w14:paraId="0A217F06" w14:textId="77777777" w:rsidTr="00AD1F54">
        <w:trPr>
          <w:cnfStyle w:val="000000100000" w:firstRow="0" w:lastRow="0" w:firstColumn="0" w:lastColumn="0" w:oddVBand="0" w:evenVBand="0" w:oddHBand="1" w:evenHBand="0" w:firstRowFirstColumn="0" w:firstRowLastColumn="0" w:lastRowFirstColumn="0" w:lastRowLastColumn="0"/>
          <w:trHeight w:val="282"/>
        </w:trPr>
        <w:tc>
          <w:tcPr>
            <w:tcW w:w="886" w:type="pct"/>
          </w:tcPr>
          <w:p w14:paraId="31F2CC09" w14:textId="77777777" w:rsidR="00AD1F54" w:rsidRPr="00264D5D" w:rsidRDefault="00941227">
            <w:pPr>
              <w:spacing w:before="60" w:after="60"/>
              <w:rPr>
                <w:sz w:val="22"/>
                <w:szCs w:val="22"/>
                <w:lang w:val="en-US"/>
              </w:rPr>
            </w:pPr>
            <w:bookmarkStart w:id="2604" w:name="OLE_LINK1126"/>
            <w:bookmarkStart w:id="2605" w:name="OLE_LINK1127"/>
            <w:bookmarkStart w:id="2606" w:name="_Hlk524687702"/>
            <w:r w:rsidRPr="00264D5D">
              <w:rPr>
                <w:sz w:val="22"/>
                <w:szCs w:val="22"/>
                <w:lang w:val="en-US"/>
              </w:rPr>
              <w:t>Номер</w:t>
            </w:r>
            <w:bookmarkEnd w:id="2604"/>
            <w:bookmarkEnd w:id="2605"/>
          </w:p>
        </w:tc>
        <w:tc>
          <w:tcPr>
            <w:tcW w:w="883" w:type="pct"/>
          </w:tcPr>
          <w:p w14:paraId="4A8A4F09" w14:textId="77777777" w:rsidR="00AD1F54" w:rsidRPr="00264D5D" w:rsidRDefault="00941227">
            <w:pPr>
              <w:spacing w:before="60" w:after="60"/>
              <w:rPr>
                <w:sz w:val="22"/>
                <w:szCs w:val="22"/>
                <w:lang w:val="en-US"/>
              </w:rPr>
            </w:pPr>
            <w:bookmarkStart w:id="2607" w:name="OLE_LINK1128"/>
            <w:bookmarkStart w:id="2608" w:name="OLE_LINK1129"/>
            <w:bookmarkStart w:id="2609" w:name="OLE_LINK1144"/>
            <w:r w:rsidRPr="00264D5D">
              <w:rPr>
                <w:sz w:val="22"/>
                <w:szCs w:val="22"/>
                <w:lang w:val="en-US"/>
              </w:rPr>
              <w:t>Num</w:t>
            </w:r>
            <w:bookmarkStart w:id="2610" w:name="OLE_LINK634"/>
            <w:bookmarkStart w:id="2611" w:name="OLE_LINK635"/>
            <w:bookmarkStart w:id="2612" w:name="OLE_LINK636"/>
            <w:r w:rsidRPr="00264D5D">
              <w:rPr>
                <w:sz w:val="22"/>
                <w:szCs w:val="22"/>
                <w:lang w:val="en-US"/>
              </w:rPr>
              <w:t>Contract</w:t>
            </w:r>
            <w:bookmarkEnd w:id="2607"/>
            <w:bookmarkEnd w:id="2608"/>
            <w:bookmarkEnd w:id="2609"/>
            <w:bookmarkEnd w:id="2610"/>
            <w:bookmarkEnd w:id="2611"/>
            <w:bookmarkEnd w:id="2612"/>
          </w:p>
        </w:tc>
        <w:tc>
          <w:tcPr>
            <w:tcW w:w="294" w:type="pct"/>
          </w:tcPr>
          <w:p w14:paraId="3706D6F9" w14:textId="77777777" w:rsidR="00AD1F54" w:rsidRPr="00264D5D" w:rsidRDefault="00941227">
            <w:pPr>
              <w:spacing w:before="60" w:after="60"/>
              <w:jc w:val="center"/>
              <w:rPr>
                <w:sz w:val="22"/>
                <w:szCs w:val="22"/>
              </w:rPr>
            </w:pPr>
            <w:r w:rsidRPr="00264D5D">
              <w:rPr>
                <w:sz w:val="22"/>
                <w:szCs w:val="22"/>
              </w:rPr>
              <w:t>П</w:t>
            </w:r>
          </w:p>
        </w:tc>
        <w:tc>
          <w:tcPr>
            <w:tcW w:w="588" w:type="pct"/>
          </w:tcPr>
          <w:p w14:paraId="1C71EBF8" w14:textId="77777777" w:rsidR="00AD1F54" w:rsidRPr="00264D5D" w:rsidRDefault="00941227">
            <w:pPr>
              <w:spacing w:before="60" w:after="60"/>
              <w:jc w:val="left"/>
              <w:rPr>
                <w:sz w:val="22"/>
                <w:szCs w:val="22"/>
              </w:rPr>
            </w:pPr>
            <w:r w:rsidRPr="00264D5D">
              <w:rPr>
                <w:sz w:val="22"/>
                <w:szCs w:val="22"/>
              </w:rPr>
              <w:t>Т(1-100)</w:t>
            </w:r>
          </w:p>
        </w:tc>
        <w:tc>
          <w:tcPr>
            <w:tcW w:w="294" w:type="pct"/>
          </w:tcPr>
          <w:p w14:paraId="597656F1" w14:textId="77777777" w:rsidR="00AD1F54" w:rsidRPr="00264D5D" w:rsidRDefault="00941227">
            <w:pPr>
              <w:spacing w:before="60" w:after="60"/>
              <w:jc w:val="center"/>
              <w:rPr>
                <w:sz w:val="22"/>
                <w:szCs w:val="22"/>
                <w:lang w:val="en-US"/>
              </w:rPr>
            </w:pPr>
            <w:bookmarkStart w:id="2613" w:name="OLE_LINK640"/>
            <w:bookmarkStart w:id="2614" w:name="OLE_LINK641"/>
            <w:bookmarkStart w:id="2615" w:name="OLE_LINK642"/>
            <w:r w:rsidRPr="00264D5D">
              <w:rPr>
                <w:sz w:val="22"/>
                <w:szCs w:val="22"/>
                <w:lang w:val="en-US"/>
              </w:rPr>
              <w:t>О</w:t>
            </w:r>
            <w:bookmarkEnd w:id="2613"/>
            <w:bookmarkEnd w:id="2614"/>
            <w:bookmarkEnd w:id="2615"/>
          </w:p>
        </w:tc>
        <w:tc>
          <w:tcPr>
            <w:tcW w:w="2055" w:type="pct"/>
          </w:tcPr>
          <w:p w14:paraId="2BF25131" w14:textId="77777777" w:rsidR="00AD1F54" w:rsidRPr="00264D5D" w:rsidRDefault="00941227">
            <w:pPr>
              <w:spacing w:before="60" w:after="60"/>
              <w:rPr>
                <w:sz w:val="22"/>
                <w:szCs w:val="22"/>
              </w:rPr>
            </w:pPr>
            <w:r w:rsidRPr="00264D5D">
              <w:rPr>
                <w:sz w:val="22"/>
                <w:szCs w:val="22"/>
              </w:rPr>
              <w:t xml:space="preserve">Указывается номер </w:t>
            </w:r>
            <w:bookmarkStart w:id="2616" w:name="OLE_LINK657"/>
            <w:bookmarkStart w:id="2617" w:name="OLE_LINK658"/>
            <w:bookmarkStart w:id="2618" w:name="OLE_LINK659"/>
            <w:bookmarkStart w:id="2619" w:name="OLE_LINK660"/>
            <w:r w:rsidRPr="00264D5D">
              <w:rPr>
                <w:sz w:val="22"/>
                <w:szCs w:val="22"/>
              </w:rPr>
              <w:t>государственного контракта (контракта)</w:t>
            </w:r>
            <w:bookmarkEnd w:id="2616"/>
            <w:bookmarkEnd w:id="2617"/>
            <w:bookmarkEnd w:id="2618"/>
            <w:bookmarkEnd w:id="2619"/>
          </w:p>
        </w:tc>
      </w:tr>
      <w:tr w:rsidR="00AD1F54" w:rsidRPr="00264D5D" w14:paraId="68CFBF4F" w14:textId="77777777" w:rsidTr="00AD1F54">
        <w:trPr>
          <w:cnfStyle w:val="000000010000" w:firstRow="0" w:lastRow="0" w:firstColumn="0" w:lastColumn="0" w:oddVBand="0" w:evenVBand="0" w:oddHBand="0" w:evenHBand="1" w:firstRowFirstColumn="0" w:firstRowLastColumn="0" w:lastRowFirstColumn="0" w:lastRowLastColumn="0"/>
          <w:trHeight w:val="282"/>
        </w:trPr>
        <w:tc>
          <w:tcPr>
            <w:tcW w:w="886" w:type="pct"/>
          </w:tcPr>
          <w:p w14:paraId="4212C1D3" w14:textId="77777777" w:rsidR="00AD1F54" w:rsidRPr="00264D5D" w:rsidRDefault="00941227">
            <w:pPr>
              <w:spacing w:before="60" w:after="60"/>
              <w:rPr>
                <w:sz w:val="22"/>
                <w:szCs w:val="22"/>
              </w:rPr>
            </w:pPr>
            <w:r w:rsidRPr="00264D5D">
              <w:rPr>
                <w:sz w:val="22"/>
                <w:szCs w:val="22"/>
              </w:rPr>
              <w:t>Дата</w:t>
            </w:r>
          </w:p>
        </w:tc>
        <w:tc>
          <w:tcPr>
            <w:tcW w:w="883" w:type="pct"/>
          </w:tcPr>
          <w:p w14:paraId="64A2A1C7" w14:textId="77777777" w:rsidR="00AD1F54" w:rsidRPr="00264D5D" w:rsidRDefault="00941227">
            <w:pPr>
              <w:spacing w:before="60" w:after="60"/>
              <w:rPr>
                <w:sz w:val="22"/>
                <w:szCs w:val="22"/>
              </w:rPr>
            </w:pPr>
            <w:bookmarkStart w:id="2620" w:name="OLE_LINK1130"/>
            <w:bookmarkStart w:id="2621" w:name="OLE_LINK1131"/>
            <w:r w:rsidRPr="00264D5D">
              <w:rPr>
                <w:sz w:val="22"/>
                <w:szCs w:val="22"/>
                <w:lang w:val="en-US"/>
              </w:rPr>
              <w:t>Date</w:t>
            </w:r>
            <w:bookmarkStart w:id="2622" w:name="OLE_LINK637"/>
            <w:bookmarkStart w:id="2623" w:name="OLE_LINK638"/>
            <w:bookmarkStart w:id="2624" w:name="OLE_LINK639"/>
            <w:r w:rsidRPr="00264D5D">
              <w:rPr>
                <w:sz w:val="22"/>
                <w:szCs w:val="22"/>
                <w:lang w:val="en-US"/>
              </w:rPr>
              <w:t>Contract</w:t>
            </w:r>
            <w:bookmarkEnd w:id="2620"/>
            <w:bookmarkEnd w:id="2621"/>
            <w:bookmarkEnd w:id="2622"/>
            <w:bookmarkEnd w:id="2623"/>
            <w:bookmarkEnd w:id="2624"/>
          </w:p>
        </w:tc>
        <w:tc>
          <w:tcPr>
            <w:tcW w:w="294" w:type="pct"/>
          </w:tcPr>
          <w:p w14:paraId="4E253F3C" w14:textId="77777777" w:rsidR="00AD1F54" w:rsidRPr="00264D5D" w:rsidRDefault="00941227">
            <w:pPr>
              <w:spacing w:before="60" w:after="60"/>
              <w:jc w:val="center"/>
              <w:rPr>
                <w:sz w:val="22"/>
                <w:szCs w:val="22"/>
              </w:rPr>
            </w:pPr>
            <w:r w:rsidRPr="00264D5D">
              <w:rPr>
                <w:sz w:val="22"/>
                <w:szCs w:val="22"/>
              </w:rPr>
              <w:t>П</w:t>
            </w:r>
          </w:p>
        </w:tc>
        <w:tc>
          <w:tcPr>
            <w:tcW w:w="588" w:type="pct"/>
          </w:tcPr>
          <w:p w14:paraId="05F7C8E0" w14:textId="77777777" w:rsidR="00AD1F54" w:rsidRPr="00264D5D" w:rsidRDefault="00941227">
            <w:pPr>
              <w:spacing w:before="60" w:after="60"/>
              <w:jc w:val="left"/>
              <w:rPr>
                <w:sz w:val="22"/>
                <w:szCs w:val="22"/>
              </w:rPr>
            </w:pPr>
            <w:r w:rsidRPr="00264D5D">
              <w:rPr>
                <w:sz w:val="22"/>
                <w:szCs w:val="22"/>
                <w:lang w:val="en-US"/>
              </w:rPr>
              <w:t>D</w:t>
            </w:r>
            <w:r w:rsidRPr="00264D5D">
              <w:rPr>
                <w:sz w:val="22"/>
                <w:szCs w:val="22"/>
              </w:rPr>
              <w:t>ate</w:t>
            </w:r>
          </w:p>
        </w:tc>
        <w:tc>
          <w:tcPr>
            <w:tcW w:w="294" w:type="pct"/>
          </w:tcPr>
          <w:p w14:paraId="0DE1F851" w14:textId="77777777" w:rsidR="00AD1F54" w:rsidRPr="00264D5D" w:rsidRDefault="00941227">
            <w:pPr>
              <w:spacing w:before="60" w:after="60"/>
              <w:jc w:val="center"/>
              <w:rPr>
                <w:sz w:val="22"/>
                <w:szCs w:val="22"/>
              </w:rPr>
            </w:pPr>
            <w:r w:rsidRPr="00264D5D">
              <w:rPr>
                <w:sz w:val="22"/>
                <w:szCs w:val="22"/>
              </w:rPr>
              <w:t>О</w:t>
            </w:r>
          </w:p>
        </w:tc>
        <w:tc>
          <w:tcPr>
            <w:tcW w:w="2055" w:type="pct"/>
          </w:tcPr>
          <w:p w14:paraId="31000515" w14:textId="77777777" w:rsidR="00AD1F54" w:rsidRPr="00264D5D" w:rsidRDefault="00941227">
            <w:pPr>
              <w:spacing w:before="60" w:after="60"/>
              <w:rPr>
                <w:sz w:val="22"/>
                <w:szCs w:val="22"/>
              </w:rPr>
            </w:pPr>
            <w:r w:rsidRPr="00264D5D">
              <w:rPr>
                <w:sz w:val="22"/>
                <w:szCs w:val="22"/>
              </w:rPr>
              <w:t>Указывается дата государственного контракта (контракта)</w:t>
            </w:r>
            <w:bookmarkEnd w:id="2606"/>
          </w:p>
        </w:tc>
      </w:tr>
      <w:tr w:rsidR="00AD1F54" w:rsidRPr="00264D5D" w14:paraId="5586FA14" w14:textId="77777777" w:rsidTr="00AD1F54">
        <w:trPr>
          <w:cnfStyle w:val="000000100000" w:firstRow="0" w:lastRow="0" w:firstColumn="0" w:lastColumn="0" w:oddVBand="0" w:evenVBand="0" w:oddHBand="1" w:evenHBand="0" w:firstRowFirstColumn="0" w:firstRowLastColumn="0" w:lastRowFirstColumn="0" w:lastRowLastColumn="0"/>
          <w:trHeight w:val="282"/>
        </w:trPr>
        <w:tc>
          <w:tcPr>
            <w:tcW w:w="886" w:type="pct"/>
          </w:tcPr>
          <w:p w14:paraId="04EB1AE3" w14:textId="77777777" w:rsidR="00AD1F54" w:rsidRPr="00264D5D" w:rsidRDefault="00941227">
            <w:pPr>
              <w:spacing w:before="60" w:after="60"/>
              <w:rPr>
                <w:sz w:val="22"/>
                <w:szCs w:val="22"/>
              </w:rPr>
            </w:pPr>
            <w:r w:rsidRPr="00264D5D">
              <w:rPr>
                <w:sz w:val="22"/>
                <w:szCs w:val="22"/>
              </w:rPr>
              <w:t>ИГК</w:t>
            </w:r>
          </w:p>
        </w:tc>
        <w:tc>
          <w:tcPr>
            <w:tcW w:w="883" w:type="pct"/>
          </w:tcPr>
          <w:p w14:paraId="4A731A21" w14:textId="77777777" w:rsidR="00AD1F54" w:rsidRPr="00264D5D" w:rsidRDefault="00941227">
            <w:pPr>
              <w:spacing w:before="60" w:after="60"/>
              <w:rPr>
                <w:sz w:val="22"/>
                <w:szCs w:val="22"/>
              </w:rPr>
            </w:pPr>
            <w:r w:rsidRPr="00264D5D">
              <w:rPr>
                <w:sz w:val="22"/>
                <w:szCs w:val="22"/>
                <w:lang w:val="en-US"/>
              </w:rPr>
              <w:t>IGK</w:t>
            </w:r>
          </w:p>
        </w:tc>
        <w:tc>
          <w:tcPr>
            <w:tcW w:w="294" w:type="pct"/>
          </w:tcPr>
          <w:p w14:paraId="3CBE4F83" w14:textId="77777777" w:rsidR="00AD1F54" w:rsidRPr="00264D5D" w:rsidRDefault="00941227">
            <w:pPr>
              <w:spacing w:before="60" w:after="60"/>
              <w:jc w:val="center"/>
              <w:rPr>
                <w:sz w:val="22"/>
                <w:szCs w:val="22"/>
              </w:rPr>
            </w:pPr>
            <w:r w:rsidRPr="00264D5D">
              <w:rPr>
                <w:sz w:val="22"/>
                <w:szCs w:val="22"/>
              </w:rPr>
              <w:t>П</w:t>
            </w:r>
          </w:p>
        </w:tc>
        <w:tc>
          <w:tcPr>
            <w:tcW w:w="588" w:type="pct"/>
          </w:tcPr>
          <w:p w14:paraId="6BFD212A" w14:textId="77777777" w:rsidR="00AD1F54" w:rsidRPr="00264D5D" w:rsidRDefault="00941227">
            <w:pPr>
              <w:spacing w:before="60" w:after="60"/>
              <w:jc w:val="left"/>
              <w:rPr>
                <w:sz w:val="22"/>
                <w:szCs w:val="22"/>
              </w:rPr>
            </w:pPr>
            <w:r w:rsidRPr="00264D5D">
              <w:rPr>
                <w:sz w:val="22"/>
                <w:szCs w:val="22"/>
              </w:rPr>
              <w:t xml:space="preserve">Т(20) или </w:t>
            </w:r>
            <w:r w:rsidRPr="00264D5D">
              <w:rPr>
                <w:sz w:val="22"/>
                <w:szCs w:val="22"/>
              </w:rPr>
              <w:lastRenderedPageBreak/>
              <w:t>Т(25)</w:t>
            </w:r>
          </w:p>
        </w:tc>
        <w:tc>
          <w:tcPr>
            <w:tcW w:w="294" w:type="pct"/>
          </w:tcPr>
          <w:p w14:paraId="68EE3A85" w14:textId="77777777" w:rsidR="00AD1F54" w:rsidRPr="00264D5D" w:rsidRDefault="00941227">
            <w:pPr>
              <w:spacing w:before="60" w:after="60"/>
              <w:jc w:val="center"/>
              <w:rPr>
                <w:sz w:val="22"/>
                <w:szCs w:val="22"/>
              </w:rPr>
            </w:pPr>
            <w:r w:rsidRPr="00264D5D">
              <w:rPr>
                <w:sz w:val="22"/>
                <w:szCs w:val="22"/>
              </w:rPr>
              <w:lastRenderedPageBreak/>
              <w:t>О</w:t>
            </w:r>
          </w:p>
        </w:tc>
        <w:tc>
          <w:tcPr>
            <w:tcW w:w="2055" w:type="pct"/>
          </w:tcPr>
          <w:p w14:paraId="164800AC" w14:textId="77777777" w:rsidR="00AD1F54" w:rsidRPr="00264D5D" w:rsidRDefault="00941227">
            <w:pPr>
              <w:pStyle w:val="affffff"/>
              <w:spacing w:before="60" w:after="60" w:line="240" w:lineRule="auto"/>
              <w:ind w:firstLine="0"/>
              <w:rPr>
                <w:sz w:val="22"/>
                <w:szCs w:val="22"/>
              </w:rPr>
            </w:pPr>
            <w:r w:rsidRPr="00264D5D">
              <w:rPr>
                <w:sz w:val="22"/>
                <w:szCs w:val="22"/>
              </w:rPr>
              <w:t xml:space="preserve">Указывается идентификатор </w:t>
            </w:r>
            <w:r w:rsidRPr="00264D5D">
              <w:rPr>
                <w:sz w:val="22"/>
                <w:szCs w:val="22"/>
              </w:rPr>
              <w:lastRenderedPageBreak/>
              <w:t>государственного контракта (контракта).</w:t>
            </w:r>
          </w:p>
          <w:p w14:paraId="634E7FBA" w14:textId="77777777" w:rsidR="00AD1F54" w:rsidRPr="00264D5D" w:rsidRDefault="00941227">
            <w:pPr>
              <w:spacing w:before="60" w:after="60"/>
              <w:rPr>
                <w:sz w:val="22"/>
                <w:szCs w:val="22"/>
              </w:rPr>
            </w:pPr>
            <w:r w:rsidRPr="00264D5D">
              <w:rPr>
                <w:sz w:val="22"/>
                <w:szCs w:val="22"/>
              </w:rPr>
              <w:t>Заполняет</w:t>
            </w:r>
            <w:r w:rsidR="008279A4" w:rsidRPr="00264D5D">
              <w:rPr>
                <w:sz w:val="22"/>
                <w:szCs w:val="22"/>
              </w:rPr>
              <w:t>ся значением 20 или 25 символов</w:t>
            </w:r>
          </w:p>
        </w:tc>
      </w:tr>
      <w:tr w:rsidR="00AD1F54" w:rsidRPr="00264D5D" w14:paraId="1DC42692" w14:textId="77777777" w:rsidTr="00AD1F54">
        <w:trPr>
          <w:cnfStyle w:val="000000010000" w:firstRow="0" w:lastRow="0" w:firstColumn="0" w:lastColumn="0" w:oddVBand="0" w:evenVBand="0" w:oddHBand="0" w:evenHBand="1" w:firstRowFirstColumn="0" w:firstRowLastColumn="0" w:lastRowFirstColumn="0" w:lastRowLastColumn="0"/>
          <w:trHeight w:val="282"/>
        </w:trPr>
        <w:tc>
          <w:tcPr>
            <w:tcW w:w="886" w:type="pct"/>
          </w:tcPr>
          <w:p w14:paraId="3634C69B" w14:textId="77777777" w:rsidR="00AD1F54" w:rsidRPr="00264D5D" w:rsidRDefault="00941227">
            <w:pPr>
              <w:spacing w:before="60" w:after="60"/>
              <w:rPr>
                <w:sz w:val="22"/>
                <w:szCs w:val="22"/>
                <w:lang w:val="en-US"/>
              </w:rPr>
            </w:pPr>
            <w:bookmarkStart w:id="2625" w:name="OLE_LINK1134"/>
            <w:bookmarkStart w:id="2626" w:name="OLE_LINK1135"/>
            <w:r w:rsidRPr="00264D5D">
              <w:rPr>
                <w:sz w:val="22"/>
                <w:szCs w:val="22"/>
                <w:lang w:val="en-US"/>
              </w:rPr>
              <w:lastRenderedPageBreak/>
              <w:t>Предмет</w:t>
            </w:r>
            <w:bookmarkEnd w:id="2625"/>
            <w:bookmarkEnd w:id="2626"/>
          </w:p>
        </w:tc>
        <w:tc>
          <w:tcPr>
            <w:tcW w:w="883" w:type="pct"/>
          </w:tcPr>
          <w:p w14:paraId="21B3ED05" w14:textId="77777777" w:rsidR="00AD1F54" w:rsidRPr="00264D5D" w:rsidRDefault="00941227">
            <w:pPr>
              <w:spacing w:before="60" w:after="60"/>
              <w:rPr>
                <w:sz w:val="22"/>
                <w:szCs w:val="22"/>
              </w:rPr>
            </w:pPr>
            <w:bookmarkStart w:id="2627" w:name="OLE_LINK1132"/>
            <w:bookmarkStart w:id="2628" w:name="OLE_LINK1133"/>
            <w:r w:rsidRPr="00264D5D">
              <w:rPr>
                <w:sz w:val="22"/>
                <w:szCs w:val="22"/>
              </w:rPr>
              <w:t>Subj</w:t>
            </w:r>
            <w:r w:rsidRPr="00264D5D">
              <w:rPr>
                <w:sz w:val="22"/>
                <w:szCs w:val="22"/>
                <w:lang w:val="en-US"/>
              </w:rPr>
              <w:t>Contract</w:t>
            </w:r>
            <w:bookmarkEnd w:id="2627"/>
            <w:bookmarkEnd w:id="2628"/>
          </w:p>
        </w:tc>
        <w:tc>
          <w:tcPr>
            <w:tcW w:w="294" w:type="pct"/>
          </w:tcPr>
          <w:p w14:paraId="0E98A1F3"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588" w:type="pct"/>
          </w:tcPr>
          <w:p w14:paraId="1089A58C" w14:textId="77777777" w:rsidR="00AD1F54" w:rsidRPr="00264D5D" w:rsidRDefault="00941227">
            <w:pPr>
              <w:pStyle w:val="EBTablenorm"/>
              <w:ind w:left="57" w:right="57"/>
              <w:contextualSpacing w:val="0"/>
              <w:jc w:val="left"/>
              <w:rPr>
                <w:sz w:val="22"/>
                <w:szCs w:val="22"/>
              </w:rPr>
            </w:pPr>
            <w:r w:rsidRPr="00264D5D">
              <w:rPr>
                <w:sz w:val="22"/>
                <w:szCs w:val="22"/>
              </w:rPr>
              <w:t>Т(1-2000)</w:t>
            </w:r>
          </w:p>
        </w:tc>
        <w:tc>
          <w:tcPr>
            <w:tcW w:w="294" w:type="pct"/>
          </w:tcPr>
          <w:p w14:paraId="0BA09D2A" w14:textId="77777777" w:rsidR="00AD1F54" w:rsidRPr="00264D5D" w:rsidRDefault="00941227">
            <w:pPr>
              <w:spacing w:before="60" w:after="60"/>
              <w:jc w:val="center"/>
              <w:rPr>
                <w:sz w:val="22"/>
                <w:szCs w:val="22"/>
              </w:rPr>
            </w:pPr>
            <w:r w:rsidRPr="00264D5D">
              <w:rPr>
                <w:sz w:val="22"/>
                <w:szCs w:val="22"/>
                <w:lang w:val="en-US"/>
              </w:rPr>
              <w:t>О</w:t>
            </w:r>
          </w:p>
        </w:tc>
        <w:tc>
          <w:tcPr>
            <w:tcW w:w="2055" w:type="pct"/>
          </w:tcPr>
          <w:p w14:paraId="2BBA1BAB" w14:textId="77777777" w:rsidR="00AD1F54" w:rsidRPr="00264D5D" w:rsidRDefault="00941227">
            <w:pPr>
              <w:spacing w:before="60" w:after="60"/>
              <w:rPr>
                <w:sz w:val="22"/>
                <w:szCs w:val="22"/>
              </w:rPr>
            </w:pPr>
            <w:r w:rsidRPr="00264D5D">
              <w:rPr>
                <w:sz w:val="22"/>
                <w:szCs w:val="22"/>
              </w:rPr>
              <w:t>Указывается предмет государ</w:t>
            </w:r>
            <w:r w:rsidR="008279A4" w:rsidRPr="00264D5D">
              <w:rPr>
                <w:sz w:val="22"/>
                <w:szCs w:val="22"/>
              </w:rPr>
              <w:t>ственного контракта (контракта)</w:t>
            </w:r>
          </w:p>
        </w:tc>
      </w:tr>
      <w:tr w:rsidR="00AD1F54" w:rsidRPr="00264D5D" w14:paraId="18426695" w14:textId="77777777" w:rsidTr="00AD1F54">
        <w:trPr>
          <w:cnfStyle w:val="000000100000" w:firstRow="0" w:lastRow="0" w:firstColumn="0" w:lastColumn="0" w:oddVBand="0" w:evenVBand="0" w:oddHBand="1" w:evenHBand="0" w:firstRowFirstColumn="0" w:firstRowLastColumn="0" w:lastRowFirstColumn="0" w:lastRowLastColumn="0"/>
          <w:trHeight w:val="282"/>
        </w:trPr>
        <w:tc>
          <w:tcPr>
            <w:tcW w:w="886" w:type="pct"/>
          </w:tcPr>
          <w:p w14:paraId="09087267" w14:textId="77777777" w:rsidR="00AD1F54" w:rsidRPr="00264D5D" w:rsidRDefault="00941227">
            <w:pPr>
              <w:spacing w:before="60" w:after="60"/>
              <w:rPr>
                <w:sz w:val="22"/>
                <w:szCs w:val="22"/>
              </w:rPr>
            </w:pPr>
            <w:bookmarkStart w:id="2629" w:name="OLE_LINK667"/>
            <w:bookmarkStart w:id="2630" w:name="OLE_LINK668"/>
            <w:bookmarkStart w:id="2631" w:name="OLE_LINK1138"/>
            <w:r w:rsidRPr="00264D5D">
              <w:rPr>
                <w:sz w:val="22"/>
                <w:szCs w:val="22"/>
              </w:rPr>
              <w:t>Номер БО</w:t>
            </w:r>
            <w:bookmarkEnd w:id="2629"/>
            <w:bookmarkEnd w:id="2630"/>
            <w:bookmarkEnd w:id="2631"/>
          </w:p>
        </w:tc>
        <w:tc>
          <w:tcPr>
            <w:tcW w:w="883" w:type="pct"/>
          </w:tcPr>
          <w:p w14:paraId="24199836" w14:textId="77777777" w:rsidR="00AD1F54" w:rsidRPr="00264D5D" w:rsidRDefault="00941227">
            <w:pPr>
              <w:spacing w:before="60" w:after="60"/>
              <w:rPr>
                <w:sz w:val="22"/>
                <w:szCs w:val="22"/>
              </w:rPr>
            </w:pPr>
            <w:bookmarkStart w:id="2632" w:name="OLE_LINK1136"/>
            <w:bookmarkStart w:id="2633" w:name="OLE_LINK1137"/>
            <w:r w:rsidRPr="00264D5D">
              <w:rPr>
                <w:sz w:val="22"/>
                <w:szCs w:val="22"/>
              </w:rPr>
              <w:t>NumBO</w:t>
            </w:r>
            <w:bookmarkEnd w:id="2632"/>
            <w:bookmarkEnd w:id="2633"/>
          </w:p>
        </w:tc>
        <w:tc>
          <w:tcPr>
            <w:tcW w:w="294" w:type="pct"/>
          </w:tcPr>
          <w:p w14:paraId="04F10B57" w14:textId="77777777" w:rsidR="00AD1F54" w:rsidRPr="00264D5D" w:rsidRDefault="00941227">
            <w:pPr>
              <w:spacing w:before="60" w:after="60"/>
              <w:jc w:val="center"/>
              <w:rPr>
                <w:sz w:val="22"/>
                <w:szCs w:val="22"/>
              </w:rPr>
            </w:pPr>
            <w:r w:rsidRPr="00264D5D">
              <w:rPr>
                <w:sz w:val="22"/>
                <w:szCs w:val="22"/>
              </w:rPr>
              <w:t>П</w:t>
            </w:r>
          </w:p>
        </w:tc>
        <w:tc>
          <w:tcPr>
            <w:tcW w:w="588" w:type="pct"/>
          </w:tcPr>
          <w:p w14:paraId="2E4CB32B" w14:textId="77777777" w:rsidR="00AD1F54" w:rsidRPr="00264D5D" w:rsidRDefault="00941227">
            <w:pPr>
              <w:spacing w:before="60" w:after="60"/>
              <w:jc w:val="left"/>
              <w:rPr>
                <w:sz w:val="22"/>
                <w:szCs w:val="22"/>
              </w:rPr>
            </w:pPr>
            <w:r w:rsidRPr="00264D5D">
              <w:rPr>
                <w:sz w:val="22"/>
                <w:szCs w:val="22"/>
              </w:rPr>
              <w:t>Т(16) или Т(19)</w:t>
            </w:r>
          </w:p>
        </w:tc>
        <w:tc>
          <w:tcPr>
            <w:tcW w:w="294" w:type="pct"/>
          </w:tcPr>
          <w:p w14:paraId="4F8232B1" w14:textId="77777777" w:rsidR="00AD1F54" w:rsidRPr="00264D5D" w:rsidRDefault="00941227">
            <w:pPr>
              <w:spacing w:before="60" w:after="60"/>
              <w:jc w:val="center"/>
              <w:rPr>
                <w:sz w:val="22"/>
                <w:szCs w:val="22"/>
              </w:rPr>
            </w:pPr>
            <w:r w:rsidRPr="00264D5D">
              <w:rPr>
                <w:sz w:val="22"/>
                <w:szCs w:val="22"/>
              </w:rPr>
              <w:t>О</w:t>
            </w:r>
          </w:p>
        </w:tc>
        <w:tc>
          <w:tcPr>
            <w:tcW w:w="2055" w:type="pct"/>
          </w:tcPr>
          <w:p w14:paraId="50DF815F" w14:textId="77777777" w:rsidR="00AD1F54" w:rsidRPr="00264D5D" w:rsidRDefault="00941227">
            <w:pPr>
              <w:spacing w:before="60" w:after="60"/>
              <w:rPr>
                <w:sz w:val="22"/>
                <w:szCs w:val="22"/>
              </w:rPr>
            </w:pPr>
            <w:r w:rsidRPr="00264D5D">
              <w:rPr>
                <w:sz w:val="22"/>
                <w:szCs w:val="22"/>
              </w:rPr>
              <w:t xml:space="preserve">Указывается номер бюджетного обязательства, присвоенный территориальным органом Федерального казначейства </w:t>
            </w:r>
            <w:r w:rsidR="008279A4" w:rsidRPr="00264D5D">
              <w:rPr>
                <w:sz w:val="22"/>
                <w:szCs w:val="22"/>
              </w:rPr>
              <w:t>бюджетному обязательству,</w:t>
            </w:r>
            <w:r w:rsidRPr="00264D5D">
              <w:rPr>
                <w:sz w:val="22"/>
                <w:szCs w:val="22"/>
              </w:rPr>
              <w:t xml:space="preserve"> возникшему на основании государственного контракта.</w:t>
            </w:r>
          </w:p>
          <w:p w14:paraId="297307E2" w14:textId="77777777" w:rsidR="00AD1F54" w:rsidRPr="00264D5D" w:rsidRDefault="00941227">
            <w:pPr>
              <w:spacing w:before="60" w:after="60"/>
              <w:rPr>
                <w:sz w:val="22"/>
                <w:szCs w:val="22"/>
              </w:rPr>
            </w:pPr>
            <w:r w:rsidRPr="00264D5D">
              <w:rPr>
                <w:sz w:val="22"/>
                <w:szCs w:val="22"/>
              </w:rPr>
              <w:t>Для БО, принятых на учет до 31.12.2015, размерность поля устанавливается как «=16».</w:t>
            </w:r>
          </w:p>
          <w:p w14:paraId="3D0231EF" w14:textId="77777777" w:rsidR="00AD1F54" w:rsidRPr="00264D5D" w:rsidRDefault="00941227">
            <w:pPr>
              <w:spacing w:before="60" w:after="60"/>
              <w:rPr>
                <w:sz w:val="22"/>
                <w:szCs w:val="22"/>
              </w:rPr>
            </w:pPr>
            <w:r w:rsidRPr="00264D5D">
              <w:rPr>
                <w:sz w:val="22"/>
                <w:szCs w:val="22"/>
              </w:rPr>
              <w:t>Для БО, принятых на учет после 01.01.2016, размерность</w:t>
            </w:r>
            <w:r w:rsidR="008279A4" w:rsidRPr="00264D5D">
              <w:rPr>
                <w:sz w:val="22"/>
                <w:szCs w:val="22"/>
              </w:rPr>
              <w:t xml:space="preserve"> поля устанавливается как «=19»</w:t>
            </w:r>
          </w:p>
        </w:tc>
      </w:tr>
      <w:tr w:rsidR="00AD1F54" w:rsidRPr="00264D5D" w14:paraId="0F6131A1" w14:textId="77777777" w:rsidTr="00AD1F54">
        <w:trPr>
          <w:cnfStyle w:val="000000010000" w:firstRow="0" w:lastRow="0" w:firstColumn="0" w:lastColumn="0" w:oddVBand="0" w:evenVBand="0" w:oddHBand="0" w:evenHBand="1" w:firstRowFirstColumn="0" w:firstRowLastColumn="0" w:lastRowFirstColumn="0" w:lastRowLastColumn="0"/>
          <w:trHeight w:val="282"/>
        </w:trPr>
        <w:tc>
          <w:tcPr>
            <w:tcW w:w="886" w:type="pct"/>
          </w:tcPr>
          <w:p w14:paraId="466623EA" w14:textId="77777777" w:rsidR="00AD1F54" w:rsidRPr="00264D5D" w:rsidRDefault="00941227">
            <w:pPr>
              <w:spacing w:before="60" w:after="60"/>
              <w:rPr>
                <w:sz w:val="22"/>
                <w:szCs w:val="22"/>
                <w:lang w:val="en-US"/>
              </w:rPr>
            </w:pPr>
            <w:bookmarkStart w:id="2634" w:name="OLE_LINK673"/>
            <w:bookmarkStart w:id="2635" w:name="OLE_LINK674"/>
            <w:bookmarkStart w:id="2636" w:name="OLE_LINK1141"/>
            <w:r w:rsidRPr="00264D5D">
              <w:rPr>
                <w:sz w:val="22"/>
                <w:szCs w:val="22"/>
                <w:lang w:val="en-US"/>
              </w:rPr>
              <w:t>Код ФАИП</w:t>
            </w:r>
            <w:bookmarkEnd w:id="2634"/>
            <w:bookmarkEnd w:id="2635"/>
            <w:bookmarkEnd w:id="2636"/>
          </w:p>
        </w:tc>
        <w:tc>
          <w:tcPr>
            <w:tcW w:w="883" w:type="pct"/>
          </w:tcPr>
          <w:p w14:paraId="577CB447" w14:textId="77777777" w:rsidR="00AD1F54" w:rsidRPr="00264D5D" w:rsidRDefault="00941227">
            <w:pPr>
              <w:pStyle w:val="EBTablenorm"/>
              <w:ind w:left="57" w:right="57"/>
              <w:contextualSpacing w:val="0"/>
              <w:rPr>
                <w:sz w:val="22"/>
                <w:szCs w:val="22"/>
                <w:lang w:val="en-US"/>
              </w:rPr>
            </w:pPr>
            <w:bookmarkStart w:id="2637" w:name="OLE_LINK1139"/>
            <w:bookmarkStart w:id="2638" w:name="OLE_LINK1140"/>
            <w:r w:rsidRPr="00264D5D">
              <w:rPr>
                <w:sz w:val="22"/>
                <w:szCs w:val="22"/>
                <w:lang w:val="en-US"/>
              </w:rPr>
              <w:t>FaipCode</w:t>
            </w:r>
            <w:bookmarkEnd w:id="2637"/>
            <w:bookmarkEnd w:id="2638"/>
          </w:p>
        </w:tc>
        <w:tc>
          <w:tcPr>
            <w:tcW w:w="294" w:type="pct"/>
          </w:tcPr>
          <w:p w14:paraId="661CF3B0" w14:textId="77777777" w:rsidR="00AD1F54" w:rsidRPr="00264D5D" w:rsidRDefault="00941227">
            <w:pPr>
              <w:pStyle w:val="EBTablenorm"/>
              <w:ind w:left="57" w:right="57"/>
              <w:contextualSpacing w:val="0"/>
              <w:jc w:val="center"/>
              <w:rPr>
                <w:sz w:val="22"/>
                <w:szCs w:val="22"/>
              </w:rPr>
            </w:pPr>
            <w:r w:rsidRPr="00264D5D">
              <w:rPr>
                <w:sz w:val="22"/>
                <w:szCs w:val="22"/>
              </w:rPr>
              <w:t>П</w:t>
            </w:r>
          </w:p>
        </w:tc>
        <w:tc>
          <w:tcPr>
            <w:tcW w:w="588" w:type="pct"/>
          </w:tcPr>
          <w:p w14:paraId="7FBD965A"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Т(</w:t>
            </w:r>
            <w:r w:rsidRPr="00264D5D">
              <w:rPr>
                <w:sz w:val="22"/>
                <w:szCs w:val="22"/>
              </w:rPr>
              <w:t>1-</w:t>
            </w:r>
            <w:r w:rsidRPr="00264D5D">
              <w:rPr>
                <w:sz w:val="22"/>
                <w:szCs w:val="22"/>
                <w:lang w:val="en-US"/>
              </w:rPr>
              <w:t>24)</w:t>
            </w:r>
          </w:p>
        </w:tc>
        <w:tc>
          <w:tcPr>
            <w:tcW w:w="294" w:type="pct"/>
          </w:tcPr>
          <w:p w14:paraId="273DFEB9" w14:textId="77777777" w:rsidR="00AD1F54" w:rsidRPr="00264D5D" w:rsidRDefault="00941227">
            <w:pPr>
              <w:pStyle w:val="EBTablenorm"/>
              <w:ind w:left="57" w:right="57"/>
              <w:contextualSpacing w:val="0"/>
              <w:jc w:val="center"/>
              <w:rPr>
                <w:sz w:val="22"/>
                <w:szCs w:val="22"/>
                <w:lang w:val="en-US"/>
              </w:rPr>
            </w:pPr>
            <w:r w:rsidRPr="00264D5D">
              <w:rPr>
                <w:sz w:val="22"/>
                <w:szCs w:val="22"/>
                <w:lang w:val="en-US"/>
              </w:rPr>
              <w:t>Н</w:t>
            </w:r>
          </w:p>
        </w:tc>
        <w:tc>
          <w:tcPr>
            <w:tcW w:w="2055" w:type="pct"/>
          </w:tcPr>
          <w:p w14:paraId="1061B4C9" w14:textId="77777777" w:rsidR="00AD1F54" w:rsidRPr="00264D5D" w:rsidRDefault="00941227">
            <w:pPr>
              <w:pStyle w:val="EBTablenorm"/>
              <w:ind w:left="57" w:right="57"/>
              <w:contextualSpacing w:val="0"/>
              <w:rPr>
                <w:sz w:val="22"/>
                <w:szCs w:val="22"/>
              </w:rPr>
            </w:pPr>
            <w:r w:rsidRPr="00264D5D">
              <w:rPr>
                <w:sz w:val="22"/>
                <w:szCs w:val="22"/>
              </w:rPr>
              <w:t>Может указываться уникальный код объекта капитального строительства или объекта недвижимости, ко</w:t>
            </w:r>
            <w:r w:rsidR="008279A4" w:rsidRPr="00264D5D">
              <w:rPr>
                <w:sz w:val="22"/>
                <w:szCs w:val="22"/>
              </w:rPr>
              <w:t>д мероприятия по информатизации</w:t>
            </w:r>
          </w:p>
        </w:tc>
      </w:tr>
      <w:tr w:rsidR="00AD1F54" w:rsidRPr="00264D5D" w14:paraId="243FEED3" w14:textId="77777777" w:rsidTr="00AD1F54">
        <w:trPr>
          <w:cnfStyle w:val="000000100000" w:firstRow="0" w:lastRow="0" w:firstColumn="0" w:lastColumn="0" w:oddVBand="0" w:evenVBand="0" w:oddHBand="1" w:evenHBand="0" w:firstRowFirstColumn="0" w:firstRowLastColumn="0" w:lastRowFirstColumn="0" w:lastRowLastColumn="0"/>
          <w:trHeight w:val="282"/>
        </w:trPr>
        <w:tc>
          <w:tcPr>
            <w:tcW w:w="886" w:type="pct"/>
          </w:tcPr>
          <w:p w14:paraId="1EB9A038" w14:textId="77777777" w:rsidR="00AD1F54" w:rsidRPr="00264D5D" w:rsidRDefault="00941227">
            <w:pPr>
              <w:spacing w:before="60" w:after="60"/>
              <w:rPr>
                <w:sz w:val="22"/>
                <w:szCs w:val="22"/>
                <w:lang w:val="en-US"/>
              </w:rPr>
            </w:pPr>
            <w:r w:rsidRPr="00264D5D">
              <w:rPr>
                <w:sz w:val="22"/>
                <w:szCs w:val="22"/>
                <w:lang w:val="en-US"/>
              </w:rPr>
              <w:t>Код БК</w:t>
            </w:r>
          </w:p>
        </w:tc>
        <w:tc>
          <w:tcPr>
            <w:tcW w:w="883" w:type="pct"/>
          </w:tcPr>
          <w:p w14:paraId="524436B2" w14:textId="77777777" w:rsidR="00AD1F54" w:rsidRPr="00264D5D" w:rsidRDefault="00941227">
            <w:pPr>
              <w:spacing w:before="60" w:after="60"/>
              <w:rPr>
                <w:sz w:val="22"/>
                <w:szCs w:val="22"/>
              </w:rPr>
            </w:pPr>
            <w:bookmarkStart w:id="2639" w:name="OLE_LINK1142"/>
            <w:bookmarkStart w:id="2640" w:name="OLE_LINK1143"/>
            <w:r w:rsidRPr="00264D5D">
              <w:rPr>
                <w:sz w:val="22"/>
                <w:szCs w:val="22"/>
              </w:rPr>
              <w:t>KBK</w:t>
            </w:r>
            <w:bookmarkEnd w:id="2639"/>
            <w:bookmarkEnd w:id="2640"/>
          </w:p>
        </w:tc>
        <w:tc>
          <w:tcPr>
            <w:tcW w:w="294" w:type="pct"/>
          </w:tcPr>
          <w:p w14:paraId="1DF326E7" w14:textId="77777777" w:rsidR="00AD1F54" w:rsidRPr="00264D5D" w:rsidRDefault="00941227">
            <w:pPr>
              <w:spacing w:before="60" w:after="60"/>
              <w:jc w:val="center"/>
              <w:rPr>
                <w:sz w:val="22"/>
                <w:szCs w:val="22"/>
              </w:rPr>
            </w:pPr>
            <w:r w:rsidRPr="00264D5D">
              <w:rPr>
                <w:sz w:val="22"/>
                <w:szCs w:val="22"/>
                <w:lang w:val="en-US"/>
              </w:rPr>
              <w:t>П</w:t>
            </w:r>
          </w:p>
        </w:tc>
        <w:tc>
          <w:tcPr>
            <w:tcW w:w="588" w:type="pct"/>
          </w:tcPr>
          <w:p w14:paraId="14283666" w14:textId="77777777" w:rsidR="00AD1F54" w:rsidRPr="00264D5D" w:rsidRDefault="00941227">
            <w:pPr>
              <w:pStyle w:val="EBTablenorm"/>
              <w:ind w:left="57" w:right="57"/>
              <w:contextualSpacing w:val="0"/>
              <w:jc w:val="left"/>
              <w:rPr>
                <w:sz w:val="22"/>
                <w:szCs w:val="22"/>
                <w:lang w:val="en-US"/>
              </w:rPr>
            </w:pPr>
            <w:r w:rsidRPr="00264D5D">
              <w:rPr>
                <w:sz w:val="22"/>
                <w:szCs w:val="22"/>
                <w:lang w:val="en-US"/>
              </w:rPr>
              <w:t>Т(20)</w:t>
            </w:r>
          </w:p>
        </w:tc>
        <w:tc>
          <w:tcPr>
            <w:tcW w:w="294" w:type="pct"/>
          </w:tcPr>
          <w:p w14:paraId="65BBAFA9" w14:textId="77777777" w:rsidR="00AD1F54" w:rsidRPr="00264D5D" w:rsidRDefault="00941227">
            <w:pPr>
              <w:pStyle w:val="EBTablenorm"/>
              <w:ind w:left="57" w:right="57"/>
              <w:contextualSpacing w:val="0"/>
              <w:jc w:val="center"/>
              <w:rPr>
                <w:sz w:val="22"/>
                <w:szCs w:val="22"/>
                <w:lang w:val="en-US"/>
              </w:rPr>
            </w:pPr>
            <w:r w:rsidRPr="00264D5D">
              <w:rPr>
                <w:sz w:val="22"/>
                <w:szCs w:val="22"/>
                <w:lang w:val="en-US"/>
              </w:rPr>
              <w:t>О</w:t>
            </w:r>
          </w:p>
        </w:tc>
        <w:tc>
          <w:tcPr>
            <w:tcW w:w="2055" w:type="pct"/>
          </w:tcPr>
          <w:p w14:paraId="6C4EC09B" w14:textId="77777777" w:rsidR="00AD1F54" w:rsidRPr="00264D5D" w:rsidRDefault="00941227">
            <w:pPr>
              <w:spacing w:before="60" w:after="60"/>
              <w:rPr>
                <w:sz w:val="22"/>
                <w:szCs w:val="22"/>
              </w:rPr>
            </w:pPr>
            <w:r w:rsidRPr="00264D5D">
              <w:rPr>
                <w:sz w:val="22"/>
                <w:szCs w:val="22"/>
              </w:rPr>
              <w:t>Указывается код классификации расходов федерального бюджета в соответствии с предм</w:t>
            </w:r>
            <w:r w:rsidR="008279A4" w:rsidRPr="00264D5D">
              <w:rPr>
                <w:sz w:val="22"/>
                <w:szCs w:val="22"/>
              </w:rPr>
              <w:t>етом государственного контракта</w:t>
            </w:r>
          </w:p>
        </w:tc>
      </w:tr>
    </w:tbl>
    <w:p w14:paraId="43B9D983" w14:textId="77777777" w:rsidR="00AD1F54" w:rsidRPr="00264D5D" w:rsidRDefault="00941227">
      <w:pPr>
        <w:pStyle w:val="31"/>
      </w:pPr>
      <w:bookmarkStart w:id="2641" w:name="OLE_LINK400"/>
      <w:bookmarkStart w:id="2642" w:name="OLE_LINK401"/>
      <w:bookmarkStart w:id="2643" w:name="_Toc219309712"/>
      <w:bookmarkEnd w:id="2594"/>
      <w:bookmarkEnd w:id="2595"/>
      <w:bookmarkEnd w:id="2596"/>
      <w:bookmarkEnd w:id="2598"/>
      <w:bookmarkEnd w:id="2599"/>
      <w:r w:rsidRPr="00264D5D">
        <w:t>Описание комплексного типа «tLinkDoc»</w:t>
      </w:r>
      <w:bookmarkEnd w:id="2643"/>
    </w:p>
    <w:p w14:paraId="4BDA4DA8" w14:textId="77777777" w:rsidR="00AD1F54" w:rsidRPr="00264D5D" w:rsidRDefault="00941227">
      <w:pPr>
        <w:pStyle w:val="ASFKNormal"/>
        <w:spacing w:before="60" w:after="120"/>
        <w:contextualSpacing w:val="0"/>
        <w:jc w:val="both"/>
        <w:rPr>
          <w:sz w:val="24"/>
          <w:szCs w:val="24"/>
        </w:rPr>
      </w:pPr>
      <w:r w:rsidRPr="00264D5D">
        <w:rPr>
          <w:sz w:val="24"/>
          <w:szCs w:val="24"/>
        </w:rPr>
        <w:t>Описание комплексного типа «tLinkDoc» блока «Информация о связанном документе».</w:t>
      </w:r>
    </w:p>
    <w:p w14:paraId="10E2026C" w14:textId="18125DD7"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2644" w:name="_Ref524687650"/>
      <w:bookmarkStart w:id="2645" w:name="_Toc30503409"/>
      <w:bookmarkStart w:id="2646" w:name="_Toc30508007"/>
      <w:bookmarkStart w:id="2647" w:name="_Toc219309273"/>
      <w:r w:rsidR="008D797C">
        <w:rPr>
          <w:rFonts w:eastAsia="Calibri"/>
          <w:noProof/>
          <w:szCs w:val="24"/>
        </w:rPr>
        <w:t>243</w:t>
      </w:r>
      <w:bookmarkEnd w:id="2644"/>
      <w:r w:rsidRPr="00264D5D">
        <w:rPr>
          <w:rFonts w:eastAsia="Calibri"/>
          <w:szCs w:val="24"/>
        </w:rPr>
        <w:fldChar w:fldCharType="end"/>
      </w:r>
      <w:r w:rsidRPr="00264D5D">
        <w:rPr>
          <w:rFonts w:eastAsia="Calibri"/>
          <w:szCs w:val="24"/>
        </w:rPr>
        <w:t xml:space="preserve"> – Описание комплексного типа «t</w:t>
      </w:r>
      <w:bookmarkStart w:id="2648" w:name="OLE_LINK708"/>
      <w:bookmarkStart w:id="2649" w:name="OLE_LINK709"/>
      <w:bookmarkStart w:id="2650" w:name="OLE_LINK710"/>
      <w:r w:rsidRPr="00264D5D">
        <w:rPr>
          <w:rFonts w:eastAsia="Calibri"/>
          <w:szCs w:val="24"/>
        </w:rPr>
        <w:t>LinkDoc</w:t>
      </w:r>
      <w:bookmarkEnd w:id="2648"/>
      <w:bookmarkEnd w:id="2649"/>
      <w:bookmarkEnd w:id="2650"/>
      <w:r w:rsidRPr="00264D5D">
        <w:rPr>
          <w:rFonts w:eastAsia="Calibri"/>
          <w:szCs w:val="24"/>
        </w:rPr>
        <w:t>»</w:t>
      </w:r>
      <w:bookmarkEnd w:id="2645"/>
      <w:bookmarkEnd w:id="2646"/>
      <w:bookmarkEnd w:id="2647"/>
    </w:p>
    <w:tbl>
      <w:tblPr>
        <w:tblStyle w:val="GOSTTable"/>
        <w:tblW w:w="9636" w:type="dxa"/>
        <w:tblLayout w:type="fixed"/>
        <w:tblLook w:val="04A0" w:firstRow="1" w:lastRow="0" w:firstColumn="1" w:lastColumn="0" w:noHBand="0" w:noVBand="1"/>
      </w:tblPr>
      <w:tblGrid>
        <w:gridCol w:w="1705"/>
        <w:gridCol w:w="1704"/>
        <w:gridCol w:w="567"/>
        <w:gridCol w:w="1131"/>
        <w:gridCol w:w="567"/>
        <w:gridCol w:w="3962"/>
      </w:tblGrid>
      <w:tr w:rsidR="00AD1F54" w:rsidRPr="00264D5D" w14:paraId="1904F316" w14:textId="77777777" w:rsidTr="00AD1F54">
        <w:trPr>
          <w:cnfStyle w:val="100000000000" w:firstRow="1" w:lastRow="0" w:firstColumn="0" w:lastColumn="0" w:oddVBand="0" w:evenVBand="0" w:oddHBand="0" w:evenHBand="0" w:firstRowFirstColumn="0" w:firstRowLastColumn="0" w:lastRowFirstColumn="0" w:lastRowLastColumn="0"/>
          <w:trHeight w:val="282"/>
          <w:tblHeader/>
        </w:trPr>
        <w:tc>
          <w:tcPr>
            <w:tcW w:w="884" w:type="pct"/>
          </w:tcPr>
          <w:p w14:paraId="49839B49" w14:textId="77777777" w:rsidR="00AD1F54" w:rsidRPr="00264D5D" w:rsidRDefault="00941227">
            <w:pPr>
              <w:spacing w:before="60" w:after="60"/>
              <w:jc w:val="center"/>
              <w:rPr>
                <w:b/>
                <w:bCs/>
                <w:sz w:val="22"/>
                <w:szCs w:val="22"/>
              </w:rPr>
            </w:pPr>
            <w:r w:rsidRPr="00264D5D">
              <w:rPr>
                <w:b/>
                <w:bCs/>
                <w:sz w:val="22"/>
                <w:szCs w:val="22"/>
              </w:rPr>
              <w:t>Наименование элемента</w:t>
            </w:r>
          </w:p>
        </w:tc>
        <w:tc>
          <w:tcPr>
            <w:tcW w:w="884" w:type="pct"/>
          </w:tcPr>
          <w:p w14:paraId="58E9263F" w14:textId="77777777" w:rsidR="00AD1F54" w:rsidRPr="00264D5D" w:rsidRDefault="00941227">
            <w:pPr>
              <w:spacing w:before="60" w:after="60"/>
              <w:jc w:val="center"/>
              <w:rPr>
                <w:b/>
                <w:bCs/>
                <w:sz w:val="22"/>
                <w:szCs w:val="22"/>
              </w:rPr>
            </w:pPr>
            <w:r w:rsidRPr="00264D5D">
              <w:rPr>
                <w:b/>
                <w:bCs/>
                <w:sz w:val="22"/>
                <w:szCs w:val="22"/>
              </w:rPr>
              <w:t>Сокращенное наименование (код) элемента</w:t>
            </w:r>
          </w:p>
        </w:tc>
        <w:tc>
          <w:tcPr>
            <w:tcW w:w="294" w:type="pct"/>
          </w:tcPr>
          <w:p w14:paraId="036D19DB" w14:textId="77777777" w:rsidR="00AD1F54" w:rsidRPr="00264D5D" w:rsidRDefault="00941227">
            <w:pPr>
              <w:spacing w:before="60" w:after="60"/>
              <w:jc w:val="center"/>
              <w:rPr>
                <w:b/>
                <w:sz w:val="22"/>
                <w:szCs w:val="22"/>
              </w:rPr>
            </w:pPr>
            <w:r w:rsidRPr="00264D5D">
              <w:rPr>
                <w:b/>
                <w:bCs/>
                <w:sz w:val="22"/>
                <w:szCs w:val="22"/>
              </w:rPr>
              <w:t>Тип</w:t>
            </w:r>
          </w:p>
        </w:tc>
        <w:tc>
          <w:tcPr>
            <w:tcW w:w="587" w:type="pct"/>
          </w:tcPr>
          <w:p w14:paraId="0B85874E" w14:textId="77777777" w:rsidR="00AD1F54" w:rsidRPr="00264D5D" w:rsidRDefault="00941227">
            <w:pPr>
              <w:spacing w:before="60" w:after="60"/>
              <w:jc w:val="center"/>
              <w:rPr>
                <w:b/>
                <w:sz w:val="22"/>
                <w:szCs w:val="22"/>
              </w:rPr>
            </w:pPr>
            <w:r w:rsidRPr="00264D5D">
              <w:rPr>
                <w:b/>
                <w:bCs/>
                <w:sz w:val="22"/>
                <w:szCs w:val="22"/>
              </w:rPr>
              <w:t>Формат элемента</w:t>
            </w:r>
          </w:p>
        </w:tc>
        <w:tc>
          <w:tcPr>
            <w:tcW w:w="294" w:type="pct"/>
          </w:tcPr>
          <w:p w14:paraId="1CA47D46" w14:textId="77777777" w:rsidR="00AD1F54" w:rsidRPr="00264D5D" w:rsidRDefault="00941227">
            <w:pPr>
              <w:spacing w:before="60" w:after="60"/>
              <w:jc w:val="center"/>
              <w:rPr>
                <w:b/>
                <w:sz w:val="22"/>
                <w:szCs w:val="22"/>
              </w:rPr>
            </w:pPr>
            <w:r w:rsidRPr="00264D5D">
              <w:rPr>
                <w:b/>
                <w:bCs/>
                <w:sz w:val="22"/>
                <w:szCs w:val="22"/>
              </w:rPr>
              <w:t>Обязательность</w:t>
            </w:r>
          </w:p>
        </w:tc>
        <w:tc>
          <w:tcPr>
            <w:tcW w:w="2056" w:type="pct"/>
          </w:tcPr>
          <w:p w14:paraId="6D66BA46" w14:textId="77777777" w:rsidR="00AD1F54" w:rsidRPr="00264D5D" w:rsidRDefault="00941227">
            <w:pPr>
              <w:spacing w:before="60" w:after="60"/>
              <w:jc w:val="center"/>
              <w:rPr>
                <w:b/>
                <w:bCs/>
                <w:sz w:val="22"/>
                <w:szCs w:val="22"/>
              </w:rPr>
            </w:pPr>
            <w:r w:rsidRPr="00264D5D">
              <w:rPr>
                <w:b/>
                <w:bCs/>
                <w:sz w:val="22"/>
                <w:szCs w:val="22"/>
              </w:rPr>
              <w:t>Дополнительная информация</w:t>
            </w:r>
          </w:p>
        </w:tc>
      </w:tr>
      <w:tr w:rsidR="00AD1F54" w:rsidRPr="00264D5D" w14:paraId="0A90973F" w14:textId="77777777" w:rsidTr="00AD1F54">
        <w:trPr>
          <w:cnfStyle w:val="000000100000" w:firstRow="0" w:lastRow="0" w:firstColumn="0" w:lastColumn="0" w:oddVBand="0" w:evenVBand="0" w:oddHBand="1" w:evenHBand="0" w:firstRowFirstColumn="0" w:firstRowLastColumn="0" w:lastRowFirstColumn="0" w:lastRowLastColumn="0"/>
          <w:trHeight w:val="282"/>
        </w:trPr>
        <w:tc>
          <w:tcPr>
            <w:tcW w:w="884" w:type="pct"/>
          </w:tcPr>
          <w:p w14:paraId="6DEE5CF2" w14:textId="77777777" w:rsidR="00AD1F54" w:rsidRPr="00264D5D" w:rsidRDefault="00941227">
            <w:pPr>
              <w:spacing w:before="60" w:after="60"/>
              <w:rPr>
                <w:sz w:val="22"/>
                <w:szCs w:val="22"/>
                <w:lang w:val="en-US"/>
              </w:rPr>
            </w:pPr>
            <w:bookmarkStart w:id="2651" w:name="OLE_LINK1150"/>
            <w:bookmarkStart w:id="2652" w:name="OLE_LINK1151"/>
            <w:bookmarkStart w:id="2653" w:name="OLE_LINK1152"/>
            <w:bookmarkStart w:id="2654" w:name="_Hlk524688034"/>
            <w:r w:rsidRPr="00264D5D">
              <w:rPr>
                <w:sz w:val="22"/>
                <w:szCs w:val="22"/>
                <w:lang w:val="en-US"/>
              </w:rPr>
              <w:t xml:space="preserve">Номер </w:t>
            </w:r>
            <w:bookmarkEnd w:id="2651"/>
            <w:bookmarkEnd w:id="2652"/>
            <w:bookmarkEnd w:id="2653"/>
          </w:p>
        </w:tc>
        <w:tc>
          <w:tcPr>
            <w:tcW w:w="884" w:type="pct"/>
          </w:tcPr>
          <w:p w14:paraId="6C709477" w14:textId="77777777" w:rsidR="00AD1F54" w:rsidRPr="00264D5D" w:rsidRDefault="00941227">
            <w:pPr>
              <w:spacing w:before="60" w:after="60"/>
              <w:rPr>
                <w:sz w:val="22"/>
                <w:szCs w:val="22"/>
                <w:lang w:val="en-US"/>
              </w:rPr>
            </w:pPr>
            <w:bookmarkStart w:id="2655" w:name="OLE_LINK1148"/>
            <w:bookmarkStart w:id="2656" w:name="OLE_LINK1149"/>
            <w:r w:rsidRPr="00264D5D">
              <w:rPr>
                <w:sz w:val="22"/>
                <w:szCs w:val="22"/>
                <w:lang w:val="en-US"/>
              </w:rPr>
              <w:t>NumLinkDoc</w:t>
            </w:r>
            <w:bookmarkEnd w:id="2655"/>
            <w:bookmarkEnd w:id="2656"/>
          </w:p>
        </w:tc>
        <w:tc>
          <w:tcPr>
            <w:tcW w:w="294" w:type="pct"/>
          </w:tcPr>
          <w:p w14:paraId="35FC9071" w14:textId="77777777" w:rsidR="00AD1F54" w:rsidRPr="00264D5D" w:rsidRDefault="00941227">
            <w:pPr>
              <w:spacing w:before="60" w:after="60"/>
              <w:jc w:val="center"/>
              <w:rPr>
                <w:sz w:val="22"/>
                <w:szCs w:val="22"/>
              </w:rPr>
            </w:pPr>
            <w:r w:rsidRPr="00264D5D">
              <w:rPr>
                <w:sz w:val="22"/>
                <w:szCs w:val="22"/>
              </w:rPr>
              <w:t>П</w:t>
            </w:r>
          </w:p>
        </w:tc>
        <w:tc>
          <w:tcPr>
            <w:tcW w:w="587" w:type="pct"/>
          </w:tcPr>
          <w:p w14:paraId="353E1897" w14:textId="77777777" w:rsidR="00AD1F54" w:rsidRPr="00264D5D" w:rsidRDefault="00941227">
            <w:pPr>
              <w:spacing w:before="60" w:after="60"/>
              <w:jc w:val="left"/>
              <w:rPr>
                <w:sz w:val="22"/>
                <w:szCs w:val="22"/>
              </w:rPr>
            </w:pPr>
            <w:r w:rsidRPr="00264D5D">
              <w:rPr>
                <w:sz w:val="22"/>
                <w:szCs w:val="22"/>
              </w:rPr>
              <w:t>Т(1-50)</w:t>
            </w:r>
          </w:p>
        </w:tc>
        <w:tc>
          <w:tcPr>
            <w:tcW w:w="294" w:type="pct"/>
          </w:tcPr>
          <w:p w14:paraId="2A423505" w14:textId="77777777" w:rsidR="00AD1F54" w:rsidRPr="00264D5D" w:rsidRDefault="00941227">
            <w:pPr>
              <w:spacing w:before="60" w:after="60"/>
              <w:jc w:val="center"/>
              <w:rPr>
                <w:sz w:val="22"/>
                <w:szCs w:val="22"/>
              </w:rPr>
            </w:pPr>
            <w:r w:rsidRPr="00264D5D">
              <w:rPr>
                <w:sz w:val="22"/>
                <w:szCs w:val="22"/>
              </w:rPr>
              <w:t>О</w:t>
            </w:r>
          </w:p>
        </w:tc>
        <w:tc>
          <w:tcPr>
            <w:tcW w:w="2056" w:type="pct"/>
          </w:tcPr>
          <w:p w14:paraId="48F8C454" w14:textId="77777777" w:rsidR="00AD1F54" w:rsidRPr="00264D5D" w:rsidRDefault="00941227">
            <w:pPr>
              <w:spacing w:before="60" w:after="60"/>
              <w:rPr>
                <w:sz w:val="22"/>
                <w:szCs w:val="22"/>
              </w:rPr>
            </w:pPr>
            <w:bookmarkStart w:id="2657" w:name="OLE_LINK715"/>
            <w:bookmarkStart w:id="2658" w:name="OLE_LINK716"/>
            <w:bookmarkStart w:id="2659" w:name="OLE_LINK717"/>
            <w:r w:rsidRPr="00264D5D">
              <w:rPr>
                <w:sz w:val="22"/>
                <w:szCs w:val="22"/>
              </w:rPr>
              <w:t>Указывается номер КОО, по которому осуществляется перевод (исполнение)</w:t>
            </w:r>
            <w:bookmarkEnd w:id="2654"/>
            <w:bookmarkEnd w:id="2657"/>
            <w:bookmarkEnd w:id="2658"/>
            <w:bookmarkEnd w:id="2659"/>
          </w:p>
        </w:tc>
      </w:tr>
      <w:tr w:rsidR="00AD1F54" w:rsidRPr="00264D5D" w14:paraId="4E9AD888" w14:textId="77777777" w:rsidTr="00AD1F54">
        <w:trPr>
          <w:cnfStyle w:val="000000010000" w:firstRow="0" w:lastRow="0" w:firstColumn="0" w:lastColumn="0" w:oddVBand="0" w:evenVBand="0" w:oddHBand="0" w:evenHBand="1" w:firstRowFirstColumn="0" w:firstRowLastColumn="0" w:lastRowFirstColumn="0" w:lastRowLastColumn="0"/>
          <w:trHeight w:val="282"/>
        </w:trPr>
        <w:tc>
          <w:tcPr>
            <w:tcW w:w="884" w:type="pct"/>
          </w:tcPr>
          <w:p w14:paraId="6806FF5C" w14:textId="77777777" w:rsidR="00AD1F54" w:rsidRPr="00264D5D" w:rsidRDefault="00941227">
            <w:pPr>
              <w:spacing w:before="60" w:after="60"/>
              <w:rPr>
                <w:sz w:val="22"/>
                <w:szCs w:val="22"/>
                <w:lang w:val="en-US"/>
              </w:rPr>
            </w:pPr>
            <w:r w:rsidRPr="00264D5D">
              <w:rPr>
                <w:sz w:val="22"/>
                <w:szCs w:val="22"/>
                <w:lang w:val="en-US"/>
              </w:rPr>
              <w:t>Дата</w:t>
            </w:r>
          </w:p>
        </w:tc>
        <w:tc>
          <w:tcPr>
            <w:tcW w:w="884" w:type="pct"/>
          </w:tcPr>
          <w:p w14:paraId="6F7F6474" w14:textId="77777777" w:rsidR="00AD1F54" w:rsidRPr="00264D5D" w:rsidRDefault="00941227">
            <w:pPr>
              <w:spacing w:before="60" w:after="60"/>
              <w:rPr>
                <w:sz w:val="22"/>
                <w:szCs w:val="22"/>
                <w:lang w:val="en-US"/>
              </w:rPr>
            </w:pPr>
            <w:bookmarkStart w:id="2660" w:name="OLE_LINK1153"/>
            <w:bookmarkStart w:id="2661" w:name="OLE_LINK1154"/>
            <w:r w:rsidRPr="00264D5D">
              <w:rPr>
                <w:sz w:val="22"/>
                <w:szCs w:val="22"/>
                <w:lang w:val="en-US"/>
              </w:rPr>
              <w:t>DateLinkDoc</w:t>
            </w:r>
            <w:bookmarkEnd w:id="2660"/>
            <w:bookmarkEnd w:id="2661"/>
          </w:p>
        </w:tc>
        <w:tc>
          <w:tcPr>
            <w:tcW w:w="294" w:type="pct"/>
          </w:tcPr>
          <w:p w14:paraId="053DB5E6" w14:textId="77777777" w:rsidR="00AD1F54" w:rsidRPr="00264D5D" w:rsidRDefault="00941227">
            <w:pPr>
              <w:spacing w:before="60" w:after="60"/>
              <w:jc w:val="center"/>
            </w:pPr>
            <w:r w:rsidRPr="00264D5D">
              <w:rPr>
                <w:sz w:val="22"/>
                <w:szCs w:val="22"/>
                <w:lang w:val="en-US"/>
              </w:rPr>
              <w:t>П</w:t>
            </w:r>
          </w:p>
        </w:tc>
        <w:tc>
          <w:tcPr>
            <w:tcW w:w="587" w:type="pct"/>
          </w:tcPr>
          <w:p w14:paraId="2B77E07E" w14:textId="77777777" w:rsidR="00AD1F54" w:rsidRPr="00264D5D" w:rsidRDefault="00941227">
            <w:pPr>
              <w:spacing w:before="60" w:after="60"/>
              <w:jc w:val="left"/>
              <w:rPr>
                <w:sz w:val="22"/>
                <w:szCs w:val="22"/>
              </w:rPr>
            </w:pPr>
            <w:r w:rsidRPr="00264D5D">
              <w:rPr>
                <w:sz w:val="22"/>
                <w:lang w:val="en-US"/>
              </w:rPr>
              <w:t>D</w:t>
            </w:r>
            <w:r w:rsidRPr="00264D5D">
              <w:rPr>
                <w:sz w:val="22"/>
              </w:rPr>
              <w:t>ate</w:t>
            </w:r>
          </w:p>
        </w:tc>
        <w:tc>
          <w:tcPr>
            <w:tcW w:w="294" w:type="pct"/>
          </w:tcPr>
          <w:p w14:paraId="30EC147F" w14:textId="77777777" w:rsidR="00AD1F54" w:rsidRPr="00264D5D" w:rsidRDefault="00941227">
            <w:pPr>
              <w:spacing w:before="60" w:after="60"/>
              <w:jc w:val="center"/>
            </w:pPr>
            <w:r w:rsidRPr="00264D5D">
              <w:rPr>
                <w:sz w:val="22"/>
                <w:szCs w:val="22"/>
              </w:rPr>
              <w:t>О</w:t>
            </w:r>
          </w:p>
        </w:tc>
        <w:tc>
          <w:tcPr>
            <w:tcW w:w="2056" w:type="pct"/>
          </w:tcPr>
          <w:p w14:paraId="6BDB13FE" w14:textId="77777777" w:rsidR="00AD1F54" w:rsidRPr="00264D5D" w:rsidRDefault="00941227">
            <w:pPr>
              <w:spacing w:before="60" w:after="60"/>
              <w:rPr>
                <w:sz w:val="22"/>
                <w:szCs w:val="22"/>
              </w:rPr>
            </w:pPr>
            <w:r w:rsidRPr="00264D5D">
              <w:rPr>
                <w:sz w:val="22"/>
                <w:szCs w:val="22"/>
              </w:rPr>
              <w:t>Указывается дата КОО, по которому осущ</w:t>
            </w:r>
            <w:r w:rsidR="008279A4" w:rsidRPr="00264D5D">
              <w:rPr>
                <w:sz w:val="22"/>
                <w:szCs w:val="22"/>
              </w:rPr>
              <w:t>ествляется перевод (исполнение)</w:t>
            </w:r>
          </w:p>
        </w:tc>
      </w:tr>
    </w:tbl>
    <w:p w14:paraId="2571AA8E" w14:textId="77777777" w:rsidR="00AD1F54" w:rsidRPr="00264D5D" w:rsidRDefault="00941227">
      <w:pPr>
        <w:pStyle w:val="31"/>
      </w:pPr>
      <w:bookmarkStart w:id="2662" w:name="OLE_LINK424"/>
      <w:bookmarkStart w:id="2663" w:name="OLE_LINK425"/>
      <w:bookmarkStart w:id="2664" w:name="OLE_LINK1327"/>
      <w:bookmarkStart w:id="2665" w:name="OLE_LINK1328"/>
      <w:bookmarkStart w:id="2666" w:name="OLE_LINK1329"/>
      <w:bookmarkStart w:id="2667" w:name="OLE_LINK1330"/>
      <w:bookmarkStart w:id="2668" w:name="_Toc219309713"/>
      <w:bookmarkEnd w:id="2641"/>
      <w:bookmarkEnd w:id="2642"/>
      <w:r w:rsidRPr="00264D5D">
        <w:lastRenderedPageBreak/>
        <w:t>Описание комплексного типа «tApplicant»</w:t>
      </w:r>
      <w:bookmarkEnd w:id="2668"/>
    </w:p>
    <w:p w14:paraId="14A8D890" w14:textId="77777777" w:rsidR="00AD1F54" w:rsidRPr="00264D5D" w:rsidRDefault="00941227">
      <w:pPr>
        <w:pStyle w:val="ASFKNormal"/>
        <w:spacing w:before="60" w:after="120"/>
        <w:contextualSpacing w:val="0"/>
        <w:jc w:val="both"/>
        <w:rPr>
          <w:sz w:val="24"/>
          <w:szCs w:val="24"/>
        </w:rPr>
      </w:pPr>
      <w:r w:rsidRPr="00264D5D">
        <w:rPr>
          <w:sz w:val="24"/>
          <w:szCs w:val="24"/>
        </w:rPr>
        <w:t>Описание комплексного типа «</w:t>
      </w:r>
      <w:bookmarkStart w:id="2669" w:name="OLE_LINK727"/>
      <w:bookmarkStart w:id="2670" w:name="OLE_LINK728"/>
      <w:bookmarkStart w:id="2671" w:name="OLE_LINK729"/>
      <w:r w:rsidRPr="00264D5D">
        <w:rPr>
          <w:sz w:val="24"/>
          <w:szCs w:val="24"/>
        </w:rPr>
        <w:t>tApplicant</w:t>
      </w:r>
      <w:bookmarkEnd w:id="2669"/>
      <w:bookmarkEnd w:id="2670"/>
      <w:bookmarkEnd w:id="2671"/>
      <w:r w:rsidRPr="00264D5D">
        <w:rPr>
          <w:sz w:val="24"/>
          <w:szCs w:val="24"/>
        </w:rPr>
        <w:t>» блока «Информация о заявителе».</w:t>
      </w:r>
    </w:p>
    <w:p w14:paraId="2C88D106" w14:textId="50000212"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2672" w:name="_Ref524687857"/>
      <w:bookmarkStart w:id="2673" w:name="_Toc30503410"/>
      <w:bookmarkStart w:id="2674" w:name="_Toc30508008"/>
      <w:bookmarkStart w:id="2675" w:name="_Toc219309274"/>
      <w:r w:rsidR="008D797C">
        <w:rPr>
          <w:rFonts w:eastAsia="Calibri"/>
          <w:noProof/>
          <w:szCs w:val="24"/>
        </w:rPr>
        <w:t>244</w:t>
      </w:r>
      <w:bookmarkEnd w:id="2672"/>
      <w:r w:rsidRPr="00264D5D">
        <w:rPr>
          <w:rFonts w:eastAsia="Calibri"/>
          <w:szCs w:val="24"/>
        </w:rPr>
        <w:fldChar w:fldCharType="end"/>
      </w:r>
      <w:r w:rsidRPr="00264D5D">
        <w:rPr>
          <w:rFonts w:eastAsia="Calibri"/>
          <w:szCs w:val="24"/>
        </w:rPr>
        <w:t xml:space="preserve"> – Описание комплексного типа «tApplicant»</w:t>
      </w:r>
      <w:bookmarkEnd w:id="2673"/>
      <w:bookmarkEnd w:id="2674"/>
      <w:bookmarkEnd w:id="2675"/>
    </w:p>
    <w:tbl>
      <w:tblPr>
        <w:tblStyle w:val="GOSTTable"/>
        <w:tblW w:w="9633" w:type="dxa"/>
        <w:tblLayout w:type="fixed"/>
        <w:tblLook w:val="04A0" w:firstRow="1" w:lastRow="0" w:firstColumn="1" w:lastColumn="0" w:noHBand="0" w:noVBand="1"/>
      </w:tblPr>
      <w:tblGrid>
        <w:gridCol w:w="1700"/>
        <w:gridCol w:w="1700"/>
        <w:gridCol w:w="567"/>
        <w:gridCol w:w="1135"/>
        <w:gridCol w:w="568"/>
        <w:gridCol w:w="3963"/>
      </w:tblGrid>
      <w:tr w:rsidR="00AD1F54" w:rsidRPr="00264D5D" w14:paraId="636C9B4A" w14:textId="77777777" w:rsidTr="00AD1F54">
        <w:trPr>
          <w:cnfStyle w:val="100000000000" w:firstRow="1" w:lastRow="0" w:firstColumn="0" w:lastColumn="0" w:oddVBand="0" w:evenVBand="0" w:oddHBand="0" w:evenHBand="0" w:firstRowFirstColumn="0" w:firstRowLastColumn="0" w:lastRowFirstColumn="0" w:lastRowLastColumn="0"/>
          <w:trHeight w:val="282"/>
          <w:tblHeader/>
        </w:trPr>
        <w:tc>
          <w:tcPr>
            <w:tcW w:w="882" w:type="pct"/>
          </w:tcPr>
          <w:p w14:paraId="17C79C50" w14:textId="77777777" w:rsidR="00AD1F54" w:rsidRPr="00264D5D" w:rsidRDefault="00941227">
            <w:pPr>
              <w:spacing w:before="60" w:after="60"/>
              <w:jc w:val="center"/>
              <w:rPr>
                <w:b/>
                <w:bCs/>
                <w:sz w:val="22"/>
                <w:szCs w:val="22"/>
              </w:rPr>
            </w:pPr>
            <w:r w:rsidRPr="00264D5D">
              <w:rPr>
                <w:b/>
                <w:bCs/>
                <w:sz w:val="22"/>
                <w:szCs w:val="22"/>
              </w:rPr>
              <w:t>Наименование элемента</w:t>
            </w:r>
          </w:p>
        </w:tc>
        <w:tc>
          <w:tcPr>
            <w:tcW w:w="882" w:type="pct"/>
          </w:tcPr>
          <w:p w14:paraId="5FC46754" w14:textId="77777777" w:rsidR="00AD1F54" w:rsidRPr="00264D5D" w:rsidRDefault="00941227">
            <w:pPr>
              <w:spacing w:before="60" w:after="60"/>
              <w:jc w:val="center"/>
              <w:rPr>
                <w:b/>
                <w:bCs/>
                <w:sz w:val="22"/>
                <w:szCs w:val="22"/>
              </w:rPr>
            </w:pPr>
            <w:r w:rsidRPr="00264D5D">
              <w:rPr>
                <w:b/>
                <w:bCs/>
                <w:sz w:val="22"/>
                <w:szCs w:val="22"/>
              </w:rPr>
              <w:t>Сокращенное наименование (код) элемента</w:t>
            </w:r>
          </w:p>
        </w:tc>
        <w:tc>
          <w:tcPr>
            <w:tcW w:w="294" w:type="pct"/>
          </w:tcPr>
          <w:p w14:paraId="0CBCD92F" w14:textId="77777777" w:rsidR="00AD1F54" w:rsidRPr="00264D5D" w:rsidRDefault="00941227">
            <w:pPr>
              <w:spacing w:before="60" w:after="60"/>
              <w:jc w:val="center"/>
              <w:rPr>
                <w:b/>
                <w:sz w:val="22"/>
                <w:szCs w:val="22"/>
              </w:rPr>
            </w:pPr>
            <w:r w:rsidRPr="00264D5D">
              <w:rPr>
                <w:b/>
                <w:bCs/>
                <w:sz w:val="22"/>
                <w:szCs w:val="22"/>
              </w:rPr>
              <w:t>Тип</w:t>
            </w:r>
          </w:p>
        </w:tc>
        <w:tc>
          <w:tcPr>
            <w:tcW w:w="589" w:type="pct"/>
          </w:tcPr>
          <w:p w14:paraId="43E4A77B" w14:textId="77777777" w:rsidR="00AD1F54" w:rsidRPr="00264D5D" w:rsidRDefault="00941227">
            <w:pPr>
              <w:spacing w:before="60" w:after="60"/>
              <w:jc w:val="center"/>
              <w:rPr>
                <w:b/>
                <w:sz w:val="22"/>
                <w:szCs w:val="22"/>
              </w:rPr>
            </w:pPr>
            <w:r w:rsidRPr="00264D5D">
              <w:rPr>
                <w:b/>
                <w:bCs/>
                <w:sz w:val="22"/>
                <w:szCs w:val="22"/>
              </w:rPr>
              <w:t>Формат элемента</w:t>
            </w:r>
          </w:p>
        </w:tc>
        <w:tc>
          <w:tcPr>
            <w:tcW w:w="295" w:type="pct"/>
          </w:tcPr>
          <w:p w14:paraId="35F9F77F" w14:textId="77777777" w:rsidR="00AD1F54" w:rsidRPr="00264D5D" w:rsidRDefault="00941227">
            <w:pPr>
              <w:spacing w:before="60" w:after="60"/>
              <w:jc w:val="center"/>
              <w:rPr>
                <w:b/>
                <w:sz w:val="22"/>
                <w:szCs w:val="22"/>
              </w:rPr>
            </w:pPr>
            <w:r w:rsidRPr="00264D5D">
              <w:rPr>
                <w:b/>
                <w:bCs/>
                <w:sz w:val="22"/>
                <w:szCs w:val="22"/>
              </w:rPr>
              <w:t>Обязательность</w:t>
            </w:r>
          </w:p>
        </w:tc>
        <w:tc>
          <w:tcPr>
            <w:tcW w:w="2057" w:type="pct"/>
          </w:tcPr>
          <w:p w14:paraId="5198867F" w14:textId="77777777" w:rsidR="00AD1F54" w:rsidRPr="00264D5D" w:rsidRDefault="00941227">
            <w:pPr>
              <w:spacing w:before="60" w:after="60"/>
              <w:jc w:val="center"/>
              <w:rPr>
                <w:b/>
                <w:bCs/>
                <w:sz w:val="22"/>
                <w:szCs w:val="22"/>
              </w:rPr>
            </w:pPr>
            <w:r w:rsidRPr="00264D5D">
              <w:rPr>
                <w:b/>
                <w:bCs/>
                <w:sz w:val="22"/>
                <w:szCs w:val="22"/>
              </w:rPr>
              <w:t>Дополнительная информация</w:t>
            </w:r>
          </w:p>
        </w:tc>
      </w:tr>
      <w:tr w:rsidR="00AD1F54" w:rsidRPr="00264D5D" w14:paraId="2C11F616" w14:textId="77777777" w:rsidTr="00AD1F54">
        <w:trPr>
          <w:cnfStyle w:val="000000100000" w:firstRow="0" w:lastRow="0" w:firstColumn="0" w:lastColumn="0" w:oddVBand="0" w:evenVBand="0" w:oddHBand="1" w:evenHBand="0" w:firstRowFirstColumn="0" w:firstRowLastColumn="0" w:lastRowFirstColumn="0" w:lastRowLastColumn="0"/>
          <w:trHeight w:val="282"/>
        </w:trPr>
        <w:tc>
          <w:tcPr>
            <w:tcW w:w="882" w:type="pct"/>
          </w:tcPr>
          <w:p w14:paraId="588E47F6" w14:textId="77777777" w:rsidR="00AD1F54" w:rsidRPr="00264D5D" w:rsidRDefault="00941227">
            <w:pPr>
              <w:spacing w:before="60" w:after="60"/>
              <w:rPr>
                <w:sz w:val="22"/>
                <w:szCs w:val="22"/>
              </w:rPr>
            </w:pPr>
            <w:bookmarkStart w:id="2676" w:name="OLE_LINK1157"/>
            <w:bookmarkStart w:id="2677" w:name="OLE_LINK1158"/>
            <w:bookmarkStart w:id="2678" w:name="_Hlk524688793"/>
            <w:r w:rsidRPr="00264D5D">
              <w:rPr>
                <w:sz w:val="22"/>
                <w:szCs w:val="22"/>
              </w:rPr>
              <w:t>Наименование</w:t>
            </w:r>
            <w:bookmarkEnd w:id="2676"/>
            <w:bookmarkEnd w:id="2677"/>
            <w:r w:rsidRPr="00264D5D">
              <w:rPr>
                <w:sz w:val="22"/>
                <w:szCs w:val="22"/>
              </w:rPr>
              <w:t xml:space="preserve"> </w:t>
            </w:r>
          </w:p>
        </w:tc>
        <w:tc>
          <w:tcPr>
            <w:tcW w:w="882" w:type="pct"/>
          </w:tcPr>
          <w:p w14:paraId="656B9FA7" w14:textId="77777777" w:rsidR="00AD1F54" w:rsidRPr="00264D5D" w:rsidRDefault="00941227">
            <w:pPr>
              <w:spacing w:before="60" w:after="60"/>
              <w:rPr>
                <w:sz w:val="22"/>
                <w:szCs w:val="22"/>
                <w:lang w:val="en-US"/>
              </w:rPr>
            </w:pPr>
            <w:bookmarkStart w:id="2679" w:name="OLE_LINK1156"/>
            <w:r w:rsidRPr="00264D5D">
              <w:rPr>
                <w:sz w:val="22"/>
                <w:szCs w:val="22"/>
              </w:rPr>
              <w:t>Name</w:t>
            </w:r>
            <w:bookmarkStart w:id="2680" w:name="OLE_LINK764"/>
            <w:bookmarkStart w:id="2681" w:name="OLE_LINK765"/>
            <w:bookmarkStart w:id="2682" w:name="OLE_LINK766"/>
            <w:bookmarkStart w:id="2683" w:name="OLE_LINK767"/>
            <w:bookmarkStart w:id="2684" w:name="OLE_LINK768"/>
            <w:bookmarkStart w:id="2685" w:name="OLE_LINK769"/>
            <w:r w:rsidRPr="00264D5D">
              <w:rPr>
                <w:sz w:val="22"/>
                <w:szCs w:val="22"/>
              </w:rPr>
              <w:t>Applicant</w:t>
            </w:r>
            <w:bookmarkEnd w:id="2679"/>
            <w:bookmarkEnd w:id="2680"/>
            <w:bookmarkEnd w:id="2681"/>
            <w:bookmarkEnd w:id="2682"/>
            <w:bookmarkEnd w:id="2683"/>
            <w:bookmarkEnd w:id="2684"/>
            <w:bookmarkEnd w:id="2685"/>
          </w:p>
        </w:tc>
        <w:tc>
          <w:tcPr>
            <w:tcW w:w="294" w:type="pct"/>
          </w:tcPr>
          <w:p w14:paraId="6CD8AA19" w14:textId="77777777" w:rsidR="00AD1F54" w:rsidRPr="00264D5D" w:rsidRDefault="00941227">
            <w:pPr>
              <w:spacing w:before="60" w:after="60"/>
              <w:jc w:val="center"/>
              <w:rPr>
                <w:sz w:val="22"/>
                <w:szCs w:val="22"/>
              </w:rPr>
            </w:pPr>
            <w:r w:rsidRPr="00264D5D">
              <w:rPr>
                <w:sz w:val="22"/>
                <w:szCs w:val="22"/>
              </w:rPr>
              <w:t>П</w:t>
            </w:r>
          </w:p>
        </w:tc>
        <w:tc>
          <w:tcPr>
            <w:tcW w:w="589" w:type="pct"/>
          </w:tcPr>
          <w:p w14:paraId="4F027884" w14:textId="77777777" w:rsidR="00AD1F54" w:rsidRPr="00264D5D" w:rsidRDefault="00941227">
            <w:pPr>
              <w:spacing w:before="60" w:after="60"/>
              <w:jc w:val="left"/>
              <w:rPr>
                <w:sz w:val="22"/>
                <w:szCs w:val="22"/>
              </w:rPr>
            </w:pPr>
            <w:r w:rsidRPr="00264D5D">
              <w:rPr>
                <w:sz w:val="22"/>
                <w:szCs w:val="22"/>
              </w:rPr>
              <w:t>Т(1-2000)</w:t>
            </w:r>
          </w:p>
        </w:tc>
        <w:tc>
          <w:tcPr>
            <w:tcW w:w="295" w:type="pct"/>
          </w:tcPr>
          <w:p w14:paraId="2CD64E79" w14:textId="77777777" w:rsidR="00AD1F54" w:rsidRPr="00264D5D" w:rsidRDefault="00941227">
            <w:pPr>
              <w:spacing w:before="60" w:after="60"/>
              <w:jc w:val="center"/>
              <w:rPr>
                <w:sz w:val="22"/>
                <w:szCs w:val="22"/>
                <w:lang w:val="en-US"/>
              </w:rPr>
            </w:pPr>
            <w:r w:rsidRPr="00264D5D">
              <w:rPr>
                <w:sz w:val="22"/>
                <w:szCs w:val="22"/>
                <w:lang w:val="en-US"/>
              </w:rPr>
              <w:t>О</w:t>
            </w:r>
          </w:p>
        </w:tc>
        <w:tc>
          <w:tcPr>
            <w:tcW w:w="2057" w:type="pct"/>
          </w:tcPr>
          <w:p w14:paraId="348D4EBA" w14:textId="77777777" w:rsidR="00AD1F54" w:rsidRPr="00264D5D" w:rsidRDefault="00941227">
            <w:pPr>
              <w:spacing w:before="60" w:after="60"/>
              <w:rPr>
                <w:sz w:val="22"/>
                <w:szCs w:val="22"/>
              </w:rPr>
            </w:pPr>
            <w:bookmarkStart w:id="2686" w:name="OLE_LINK779"/>
            <w:bookmarkStart w:id="2687" w:name="OLE_LINK780"/>
            <w:bookmarkStart w:id="2688" w:name="OLE_LINK781"/>
            <w:r w:rsidRPr="00264D5D">
              <w:rPr>
                <w:sz w:val="22"/>
                <w:szCs w:val="22"/>
              </w:rPr>
              <w:t xml:space="preserve">Указывается полное либо сокращенное наименование </w:t>
            </w:r>
            <w:bookmarkStart w:id="2689" w:name="OLE_LINK740"/>
            <w:bookmarkStart w:id="2690" w:name="OLE_LINK741"/>
            <w:bookmarkStart w:id="2691" w:name="OLE_LINK742"/>
            <w:bookmarkStart w:id="2692" w:name="OLE_LINK743"/>
            <w:bookmarkStart w:id="2693" w:name="OLE_LINK744"/>
            <w:bookmarkEnd w:id="2686"/>
            <w:bookmarkEnd w:id="2687"/>
            <w:bookmarkEnd w:id="2688"/>
            <w:r w:rsidRPr="00264D5D">
              <w:rPr>
                <w:sz w:val="22"/>
                <w:szCs w:val="22"/>
              </w:rPr>
              <w:t>государственного заказчика (исполнителя, соисполнителя)</w:t>
            </w:r>
            <w:bookmarkEnd w:id="2689"/>
            <w:bookmarkEnd w:id="2690"/>
            <w:bookmarkEnd w:id="2691"/>
            <w:bookmarkEnd w:id="2692"/>
            <w:bookmarkEnd w:id="2693"/>
          </w:p>
        </w:tc>
      </w:tr>
      <w:tr w:rsidR="00AD1F54" w:rsidRPr="00264D5D" w14:paraId="74FA8815" w14:textId="77777777" w:rsidTr="00AD1F54">
        <w:trPr>
          <w:cnfStyle w:val="000000010000" w:firstRow="0" w:lastRow="0" w:firstColumn="0" w:lastColumn="0" w:oddVBand="0" w:evenVBand="0" w:oddHBand="0" w:evenHBand="1" w:firstRowFirstColumn="0" w:firstRowLastColumn="0" w:lastRowFirstColumn="0" w:lastRowLastColumn="0"/>
          <w:trHeight w:val="282"/>
        </w:trPr>
        <w:tc>
          <w:tcPr>
            <w:tcW w:w="882" w:type="pct"/>
          </w:tcPr>
          <w:p w14:paraId="481A6C87" w14:textId="77777777" w:rsidR="00AD1F54" w:rsidRPr="00264D5D" w:rsidRDefault="00941227">
            <w:pPr>
              <w:spacing w:before="60" w:after="60"/>
              <w:rPr>
                <w:sz w:val="22"/>
                <w:szCs w:val="22"/>
                <w:lang w:val="en-US"/>
              </w:rPr>
            </w:pPr>
            <w:bookmarkStart w:id="2694" w:name="OLE_LINK1161"/>
            <w:bookmarkStart w:id="2695" w:name="OLE_LINK1162"/>
            <w:bookmarkStart w:id="2696" w:name="_Hlk524688881"/>
            <w:bookmarkEnd w:id="2678"/>
            <w:r w:rsidRPr="00264D5D">
              <w:rPr>
                <w:sz w:val="22"/>
                <w:szCs w:val="22"/>
                <w:lang w:val="en-US"/>
              </w:rPr>
              <w:t xml:space="preserve">ИНН </w:t>
            </w:r>
            <w:bookmarkEnd w:id="2694"/>
            <w:bookmarkEnd w:id="2695"/>
          </w:p>
        </w:tc>
        <w:tc>
          <w:tcPr>
            <w:tcW w:w="882" w:type="pct"/>
          </w:tcPr>
          <w:p w14:paraId="38C25C46" w14:textId="77777777" w:rsidR="00AD1F54" w:rsidRPr="00264D5D" w:rsidRDefault="00941227">
            <w:pPr>
              <w:spacing w:before="60" w:after="60"/>
              <w:rPr>
                <w:sz w:val="22"/>
                <w:szCs w:val="22"/>
                <w:lang w:val="en-US"/>
              </w:rPr>
            </w:pPr>
            <w:bookmarkStart w:id="2697" w:name="OLE_LINK1159"/>
            <w:bookmarkStart w:id="2698" w:name="OLE_LINK1160"/>
            <w:r w:rsidRPr="00264D5D">
              <w:rPr>
                <w:sz w:val="22"/>
                <w:szCs w:val="22"/>
                <w:lang w:val="en-US"/>
              </w:rPr>
              <w:t>INN</w:t>
            </w:r>
            <w:r w:rsidRPr="00264D5D">
              <w:rPr>
                <w:sz w:val="22"/>
                <w:szCs w:val="22"/>
              </w:rPr>
              <w:t>Applicant</w:t>
            </w:r>
            <w:bookmarkEnd w:id="2697"/>
            <w:bookmarkEnd w:id="2698"/>
          </w:p>
        </w:tc>
        <w:tc>
          <w:tcPr>
            <w:tcW w:w="294" w:type="pct"/>
          </w:tcPr>
          <w:p w14:paraId="135AAC1E" w14:textId="77777777" w:rsidR="00AD1F54" w:rsidRPr="00264D5D" w:rsidRDefault="00941227">
            <w:pPr>
              <w:pStyle w:val="affffff"/>
              <w:spacing w:before="60" w:after="60" w:line="240" w:lineRule="auto"/>
              <w:ind w:firstLine="0"/>
              <w:jc w:val="center"/>
              <w:rPr>
                <w:sz w:val="22"/>
                <w:szCs w:val="22"/>
              </w:rPr>
            </w:pPr>
            <w:r w:rsidRPr="00264D5D">
              <w:rPr>
                <w:sz w:val="22"/>
                <w:szCs w:val="22"/>
              </w:rPr>
              <w:t>П</w:t>
            </w:r>
          </w:p>
        </w:tc>
        <w:tc>
          <w:tcPr>
            <w:tcW w:w="589" w:type="pct"/>
          </w:tcPr>
          <w:p w14:paraId="1889C7B4" w14:textId="77777777" w:rsidR="00AD1F54" w:rsidRPr="00264D5D" w:rsidRDefault="00941227">
            <w:pPr>
              <w:pStyle w:val="affffff"/>
              <w:spacing w:before="60" w:after="60" w:line="240" w:lineRule="auto"/>
              <w:ind w:firstLine="0"/>
              <w:rPr>
                <w:sz w:val="22"/>
                <w:szCs w:val="22"/>
                <w:lang w:eastAsia="ru-RU"/>
              </w:rPr>
            </w:pPr>
            <w:r w:rsidRPr="00264D5D">
              <w:rPr>
                <w:sz w:val="22"/>
                <w:szCs w:val="22"/>
                <w:lang w:eastAsia="ru-RU"/>
              </w:rPr>
              <w:t>Т(10)</w:t>
            </w:r>
            <w:r w:rsidRPr="00264D5D">
              <w:rPr>
                <w:sz w:val="22"/>
                <w:szCs w:val="22"/>
                <w:lang w:val="en-US" w:eastAsia="ru-RU"/>
              </w:rPr>
              <w:t xml:space="preserve"> </w:t>
            </w:r>
            <w:r w:rsidRPr="00264D5D">
              <w:rPr>
                <w:sz w:val="22"/>
                <w:szCs w:val="22"/>
                <w:lang w:eastAsia="ru-RU"/>
              </w:rPr>
              <w:t>или Т(12)</w:t>
            </w:r>
          </w:p>
        </w:tc>
        <w:tc>
          <w:tcPr>
            <w:tcW w:w="295" w:type="pct"/>
          </w:tcPr>
          <w:p w14:paraId="78BEFED5" w14:textId="77777777" w:rsidR="00AD1F54" w:rsidRPr="00264D5D" w:rsidRDefault="00941227">
            <w:pPr>
              <w:pStyle w:val="affffff"/>
              <w:spacing w:before="60" w:after="60" w:line="240" w:lineRule="auto"/>
              <w:ind w:firstLine="0"/>
              <w:jc w:val="center"/>
              <w:rPr>
                <w:sz w:val="22"/>
                <w:szCs w:val="22"/>
                <w:lang w:eastAsia="ru-RU"/>
              </w:rPr>
            </w:pPr>
            <w:bookmarkStart w:id="2699" w:name="OLE_LINK747"/>
            <w:bookmarkStart w:id="2700" w:name="OLE_LINK748"/>
            <w:bookmarkStart w:id="2701" w:name="OLE_LINK749"/>
            <w:r w:rsidRPr="00264D5D">
              <w:rPr>
                <w:sz w:val="22"/>
                <w:szCs w:val="22"/>
                <w:lang w:eastAsia="ru-RU"/>
              </w:rPr>
              <w:t>О</w:t>
            </w:r>
            <w:bookmarkEnd w:id="2699"/>
            <w:bookmarkEnd w:id="2700"/>
            <w:bookmarkEnd w:id="2701"/>
          </w:p>
        </w:tc>
        <w:tc>
          <w:tcPr>
            <w:tcW w:w="2057" w:type="pct"/>
          </w:tcPr>
          <w:p w14:paraId="5243254B" w14:textId="77777777" w:rsidR="00AD1F54" w:rsidRPr="00264D5D" w:rsidRDefault="00941227">
            <w:pPr>
              <w:spacing w:before="60" w:after="60"/>
              <w:rPr>
                <w:sz w:val="22"/>
                <w:szCs w:val="22"/>
              </w:rPr>
            </w:pPr>
            <w:r w:rsidRPr="00264D5D">
              <w:rPr>
                <w:sz w:val="22"/>
                <w:szCs w:val="22"/>
              </w:rPr>
              <w:t xml:space="preserve">Указывается ИНН государственного заказчика (исполнителя, </w:t>
            </w:r>
            <w:r w:rsidR="008279A4" w:rsidRPr="00264D5D">
              <w:rPr>
                <w:sz w:val="22"/>
                <w:szCs w:val="22"/>
              </w:rPr>
              <w:t>соисполнителя)</w:t>
            </w:r>
          </w:p>
        </w:tc>
      </w:tr>
      <w:tr w:rsidR="00AD1F54" w:rsidRPr="00264D5D" w14:paraId="6448A706" w14:textId="77777777" w:rsidTr="00AD1F54">
        <w:trPr>
          <w:cnfStyle w:val="000000100000" w:firstRow="0" w:lastRow="0" w:firstColumn="0" w:lastColumn="0" w:oddVBand="0" w:evenVBand="0" w:oddHBand="1" w:evenHBand="0" w:firstRowFirstColumn="0" w:firstRowLastColumn="0" w:lastRowFirstColumn="0" w:lastRowLastColumn="0"/>
          <w:trHeight w:val="282"/>
        </w:trPr>
        <w:tc>
          <w:tcPr>
            <w:tcW w:w="882" w:type="pct"/>
          </w:tcPr>
          <w:p w14:paraId="4A4385AA" w14:textId="77777777" w:rsidR="00AD1F54" w:rsidRPr="00264D5D" w:rsidRDefault="00941227">
            <w:pPr>
              <w:spacing w:before="60" w:after="60"/>
              <w:rPr>
                <w:sz w:val="22"/>
                <w:szCs w:val="22"/>
                <w:lang w:val="en-US"/>
              </w:rPr>
            </w:pPr>
            <w:bookmarkStart w:id="2702" w:name="_Hlk524688141"/>
            <w:bookmarkEnd w:id="2662"/>
            <w:bookmarkEnd w:id="2663"/>
            <w:r w:rsidRPr="00264D5D">
              <w:rPr>
                <w:sz w:val="22"/>
                <w:szCs w:val="22"/>
                <w:lang w:val="en-US"/>
              </w:rPr>
              <w:t xml:space="preserve">КПП </w:t>
            </w:r>
          </w:p>
        </w:tc>
        <w:tc>
          <w:tcPr>
            <w:tcW w:w="882" w:type="pct"/>
          </w:tcPr>
          <w:p w14:paraId="1B6BA44D" w14:textId="77777777" w:rsidR="00AD1F54" w:rsidRPr="00264D5D" w:rsidRDefault="00941227">
            <w:pPr>
              <w:spacing w:before="60" w:after="60"/>
              <w:rPr>
                <w:sz w:val="22"/>
                <w:szCs w:val="22"/>
                <w:lang w:val="en-US"/>
              </w:rPr>
            </w:pPr>
            <w:bookmarkStart w:id="2703" w:name="OLE_LINK1163"/>
            <w:bookmarkStart w:id="2704" w:name="OLE_LINK1164"/>
            <w:r w:rsidRPr="00264D5D">
              <w:rPr>
                <w:sz w:val="22"/>
                <w:szCs w:val="22"/>
                <w:lang w:val="en-US"/>
              </w:rPr>
              <w:t>KPP</w:t>
            </w:r>
            <w:r w:rsidRPr="00264D5D">
              <w:rPr>
                <w:sz w:val="22"/>
                <w:szCs w:val="22"/>
              </w:rPr>
              <w:t>Applicant</w:t>
            </w:r>
            <w:bookmarkEnd w:id="2703"/>
            <w:bookmarkEnd w:id="2704"/>
          </w:p>
        </w:tc>
        <w:tc>
          <w:tcPr>
            <w:tcW w:w="294" w:type="pct"/>
          </w:tcPr>
          <w:p w14:paraId="0B8AD3C6" w14:textId="77777777" w:rsidR="00AD1F54" w:rsidRPr="00264D5D" w:rsidRDefault="00941227">
            <w:pPr>
              <w:spacing w:before="60" w:after="60"/>
              <w:jc w:val="center"/>
              <w:rPr>
                <w:sz w:val="22"/>
                <w:szCs w:val="22"/>
              </w:rPr>
            </w:pPr>
            <w:r w:rsidRPr="00264D5D">
              <w:rPr>
                <w:sz w:val="22"/>
                <w:szCs w:val="22"/>
              </w:rPr>
              <w:t>П</w:t>
            </w:r>
          </w:p>
        </w:tc>
        <w:tc>
          <w:tcPr>
            <w:tcW w:w="589" w:type="pct"/>
          </w:tcPr>
          <w:p w14:paraId="67EB1670" w14:textId="77777777" w:rsidR="00AD1F54" w:rsidRPr="00264D5D" w:rsidRDefault="00941227">
            <w:pPr>
              <w:spacing w:before="60" w:after="60"/>
              <w:jc w:val="left"/>
              <w:rPr>
                <w:sz w:val="22"/>
                <w:szCs w:val="22"/>
              </w:rPr>
            </w:pPr>
            <w:r w:rsidRPr="00264D5D">
              <w:rPr>
                <w:sz w:val="22"/>
                <w:szCs w:val="22"/>
              </w:rPr>
              <w:t>Т(9)</w:t>
            </w:r>
          </w:p>
        </w:tc>
        <w:tc>
          <w:tcPr>
            <w:tcW w:w="295" w:type="pct"/>
          </w:tcPr>
          <w:p w14:paraId="40C8B9C7" w14:textId="77777777" w:rsidR="00AD1F54" w:rsidRPr="00264D5D" w:rsidRDefault="00941227">
            <w:pPr>
              <w:spacing w:before="60" w:after="60"/>
              <w:jc w:val="center"/>
              <w:rPr>
                <w:sz w:val="22"/>
                <w:szCs w:val="22"/>
              </w:rPr>
            </w:pPr>
            <w:r w:rsidRPr="00264D5D">
              <w:rPr>
                <w:sz w:val="22"/>
                <w:szCs w:val="22"/>
              </w:rPr>
              <w:t>Н</w:t>
            </w:r>
          </w:p>
        </w:tc>
        <w:tc>
          <w:tcPr>
            <w:tcW w:w="2057" w:type="pct"/>
          </w:tcPr>
          <w:p w14:paraId="6F8BE121" w14:textId="77777777" w:rsidR="00AD1F54" w:rsidRPr="00264D5D" w:rsidRDefault="00941227">
            <w:pPr>
              <w:spacing w:before="60" w:after="60"/>
              <w:rPr>
                <w:sz w:val="22"/>
                <w:szCs w:val="22"/>
              </w:rPr>
            </w:pPr>
            <w:r w:rsidRPr="00264D5D">
              <w:rPr>
                <w:sz w:val="22"/>
                <w:szCs w:val="22"/>
              </w:rPr>
              <w:t>Указывается КПП государственного заказчик</w:t>
            </w:r>
            <w:r w:rsidR="008279A4" w:rsidRPr="00264D5D">
              <w:rPr>
                <w:sz w:val="22"/>
                <w:szCs w:val="22"/>
              </w:rPr>
              <w:t>а. (исполнителя, соисполнителя)</w:t>
            </w:r>
          </w:p>
        </w:tc>
      </w:tr>
      <w:tr w:rsidR="00AD1F54" w:rsidRPr="00264D5D" w14:paraId="773FDB51" w14:textId="77777777" w:rsidTr="00AD1F54">
        <w:trPr>
          <w:cnfStyle w:val="000000010000" w:firstRow="0" w:lastRow="0" w:firstColumn="0" w:lastColumn="0" w:oddVBand="0" w:evenVBand="0" w:oddHBand="0" w:evenHBand="1" w:firstRowFirstColumn="0" w:firstRowLastColumn="0" w:lastRowFirstColumn="0" w:lastRowLastColumn="0"/>
          <w:trHeight w:val="282"/>
        </w:trPr>
        <w:tc>
          <w:tcPr>
            <w:tcW w:w="882" w:type="pct"/>
          </w:tcPr>
          <w:p w14:paraId="523C6AB8" w14:textId="77777777" w:rsidR="00AD1F54" w:rsidRPr="00264D5D" w:rsidRDefault="00941227">
            <w:pPr>
              <w:spacing w:before="60" w:after="60"/>
              <w:rPr>
                <w:sz w:val="22"/>
                <w:szCs w:val="22"/>
              </w:rPr>
            </w:pPr>
            <w:bookmarkStart w:id="2705" w:name="OLE_LINK1167"/>
            <w:bookmarkStart w:id="2706" w:name="OLE_LINK1168"/>
            <w:bookmarkStart w:id="2707" w:name="_Hlk524613037"/>
            <w:bookmarkEnd w:id="2702"/>
            <w:r w:rsidRPr="00264D5D">
              <w:rPr>
                <w:sz w:val="22"/>
                <w:szCs w:val="22"/>
              </w:rPr>
              <w:t xml:space="preserve">Номер </w:t>
            </w:r>
            <w:bookmarkEnd w:id="2705"/>
            <w:bookmarkEnd w:id="2706"/>
            <w:r w:rsidRPr="00264D5D">
              <w:rPr>
                <w:sz w:val="22"/>
                <w:szCs w:val="22"/>
              </w:rPr>
              <w:t>счета</w:t>
            </w:r>
          </w:p>
        </w:tc>
        <w:tc>
          <w:tcPr>
            <w:tcW w:w="882" w:type="pct"/>
          </w:tcPr>
          <w:p w14:paraId="72D6F101" w14:textId="77777777" w:rsidR="00AD1F54" w:rsidRPr="00264D5D" w:rsidRDefault="00941227">
            <w:pPr>
              <w:spacing w:before="60" w:after="60"/>
              <w:rPr>
                <w:sz w:val="22"/>
                <w:szCs w:val="22"/>
              </w:rPr>
            </w:pPr>
            <w:bookmarkStart w:id="2708" w:name="OLE_LINK1165"/>
            <w:bookmarkStart w:id="2709" w:name="OLE_LINK1166"/>
            <w:r w:rsidRPr="00264D5D">
              <w:rPr>
                <w:sz w:val="22"/>
                <w:szCs w:val="22"/>
              </w:rPr>
              <w:t>LSApplicant</w:t>
            </w:r>
            <w:bookmarkEnd w:id="2708"/>
            <w:bookmarkEnd w:id="2709"/>
          </w:p>
        </w:tc>
        <w:tc>
          <w:tcPr>
            <w:tcW w:w="294" w:type="pct"/>
          </w:tcPr>
          <w:p w14:paraId="3AE89D3D" w14:textId="77777777" w:rsidR="00AD1F54" w:rsidRPr="00264D5D" w:rsidRDefault="00941227">
            <w:pPr>
              <w:spacing w:before="60" w:after="60"/>
              <w:jc w:val="center"/>
              <w:rPr>
                <w:sz w:val="22"/>
                <w:szCs w:val="22"/>
              </w:rPr>
            </w:pPr>
            <w:r w:rsidRPr="00264D5D">
              <w:rPr>
                <w:sz w:val="22"/>
                <w:szCs w:val="22"/>
              </w:rPr>
              <w:t>П</w:t>
            </w:r>
          </w:p>
        </w:tc>
        <w:tc>
          <w:tcPr>
            <w:tcW w:w="589" w:type="pct"/>
          </w:tcPr>
          <w:p w14:paraId="08E4F9F7" w14:textId="77777777" w:rsidR="00AD1F54" w:rsidRPr="00264D5D" w:rsidRDefault="00941227">
            <w:pPr>
              <w:spacing w:before="60" w:after="60"/>
              <w:jc w:val="left"/>
              <w:rPr>
                <w:sz w:val="22"/>
                <w:szCs w:val="22"/>
              </w:rPr>
            </w:pPr>
            <w:r w:rsidRPr="00264D5D">
              <w:rPr>
                <w:sz w:val="22"/>
                <w:szCs w:val="22"/>
              </w:rPr>
              <w:t>Т(11) или Т(20)</w:t>
            </w:r>
          </w:p>
        </w:tc>
        <w:tc>
          <w:tcPr>
            <w:tcW w:w="295" w:type="pct"/>
          </w:tcPr>
          <w:p w14:paraId="5356332C" w14:textId="77777777" w:rsidR="00AD1F54" w:rsidRPr="00264D5D" w:rsidRDefault="00941227">
            <w:pPr>
              <w:spacing w:before="60" w:after="60"/>
              <w:jc w:val="center"/>
              <w:rPr>
                <w:sz w:val="22"/>
                <w:szCs w:val="22"/>
              </w:rPr>
            </w:pPr>
            <w:r w:rsidRPr="00264D5D">
              <w:rPr>
                <w:sz w:val="22"/>
                <w:szCs w:val="22"/>
              </w:rPr>
              <w:t>О</w:t>
            </w:r>
          </w:p>
        </w:tc>
        <w:tc>
          <w:tcPr>
            <w:tcW w:w="2057" w:type="pct"/>
          </w:tcPr>
          <w:p w14:paraId="2CF612E6" w14:textId="77777777" w:rsidR="00AD1F54" w:rsidRPr="00264D5D" w:rsidRDefault="00941227">
            <w:pPr>
              <w:spacing w:before="60" w:after="60"/>
              <w:rPr>
                <w:sz w:val="22"/>
                <w:szCs w:val="22"/>
              </w:rPr>
            </w:pPr>
            <w:r w:rsidRPr="00264D5D">
              <w:rPr>
                <w:sz w:val="22"/>
                <w:szCs w:val="22"/>
              </w:rPr>
              <w:t>Указывается номер л/с ПБС, открытый государственному заказчику в ТОФК, размерностью 11 символов или номер банковского счета исполнителя (соисполни</w:t>
            </w:r>
            <w:r w:rsidR="008279A4" w:rsidRPr="00264D5D">
              <w:rPr>
                <w:sz w:val="22"/>
                <w:szCs w:val="22"/>
              </w:rPr>
              <w:t>теля) размерностью 20 символов</w:t>
            </w:r>
          </w:p>
        </w:tc>
      </w:tr>
      <w:tr w:rsidR="00AD1F54" w:rsidRPr="00264D5D" w14:paraId="33B7EDAD" w14:textId="77777777" w:rsidTr="00AD1F54">
        <w:trPr>
          <w:cnfStyle w:val="000000100000" w:firstRow="0" w:lastRow="0" w:firstColumn="0" w:lastColumn="0" w:oddVBand="0" w:evenVBand="0" w:oddHBand="1" w:evenHBand="0" w:firstRowFirstColumn="0" w:firstRowLastColumn="0" w:lastRowFirstColumn="0" w:lastRowLastColumn="0"/>
          <w:trHeight w:val="282"/>
        </w:trPr>
        <w:tc>
          <w:tcPr>
            <w:tcW w:w="882" w:type="pct"/>
          </w:tcPr>
          <w:p w14:paraId="67CDA37E" w14:textId="77777777" w:rsidR="00AD1F54" w:rsidRPr="00264D5D" w:rsidRDefault="00941227">
            <w:pPr>
              <w:spacing w:before="60" w:after="60"/>
              <w:rPr>
                <w:sz w:val="22"/>
                <w:szCs w:val="22"/>
              </w:rPr>
            </w:pPr>
            <w:bookmarkStart w:id="2710" w:name="OLE_LINK777"/>
            <w:bookmarkStart w:id="2711" w:name="OLE_LINK778"/>
            <w:bookmarkStart w:id="2712" w:name="OLE_LINK1171"/>
            <w:bookmarkEnd w:id="2696"/>
            <w:r w:rsidRPr="00264D5D">
              <w:rPr>
                <w:sz w:val="22"/>
                <w:szCs w:val="22"/>
              </w:rPr>
              <w:t>ТОФК</w:t>
            </w:r>
            <w:bookmarkEnd w:id="2710"/>
            <w:bookmarkEnd w:id="2711"/>
            <w:bookmarkEnd w:id="2712"/>
          </w:p>
        </w:tc>
        <w:tc>
          <w:tcPr>
            <w:tcW w:w="882" w:type="pct"/>
          </w:tcPr>
          <w:p w14:paraId="5705F65C" w14:textId="77777777" w:rsidR="00AD1F54" w:rsidRPr="00264D5D" w:rsidRDefault="00941227">
            <w:pPr>
              <w:spacing w:before="60" w:after="60"/>
              <w:rPr>
                <w:sz w:val="22"/>
                <w:szCs w:val="22"/>
              </w:rPr>
            </w:pPr>
            <w:bookmarkStart w:id="2713" w:name="OLE_LINK1169"/>
            <w:bookmarkStart w:id="2714" w:name="OLE_LINK1170"/>
            <w:r w:rsidRPr="00264D5D">
              <w:rPr>
                <w:sz w:val="22"/>
                <w:szCs w:val="22"/>
              </w:rPr>
              <w:t>ORFK</w:t>
            </w:r>
            <w:bookmarkEnd w:id="2713"/>
            <w:bookmarkEnd w:id="2714"/>
          </w:p>
        </w:tc>
        <w:tc>
          <w:tcPr>
            <w:tcW w:w="294" w:type="pct"/>
          </w:tcPr>
          <w:p w14:paraId="1AC8FC3E" w14:textId="77777777" w:rsidR="00AD1F54" w:rsidRPr="00264D5D" w:rsidRDefault="00941227">
            <w:pPr>
              <w:spacing w:before="60" w:after="60"/>
              <w:jc w:val="center"/>
              <w:rPr>
                <w:sz w:val="22"/>
                <w:szCs w:val="22"/>
              </w:rPr>
            </w:pPr>
            <w:r w:rsidRPr="00264D5D">
              <w:rPr>
                <w:sz w:val="22"/>
                <w:szCs w:val="22"/>
              </w:rPr>
              <w:t>П</w:t>
            </w:r>
          </w:p>
        </w:tc>
        <w:tc>
          <w:tcPr>
            <w:tcW w:w="589" w:type="pct"/>
          </w:tcPr>
          <w:p w14:paraId="2B81A1AE" w14:textId="77777777" w:rsidR="00AD1F54" w:rsidRPr="00264D5D" w:rsidRDefault="00941227">
            <w:pPr>
              <w:spacing w:before="60" w:after="60"/>
              <w:jc w:val="left"/>
              <w:rPr>
                <w:sz w:val="22"/>
                <w:szCs w:val="22"/>
              </w:rPr>
            </w:pPr>
            <w:r w:rsidRPr="00264D5D">
              <w:rPr>
                <w:sz w:val="22"/>
                <w:szCs w:val="22"/>
              </w:rPr>
              <w:t>Т(1-2000)</w:t>
            </w:r>
          </w:p>
        </w:tc>
        <w:tc>
          <w:tcPr>
            <w:tcW w:w="295" w:type="pct"/>
          </w:tcPr>
          <w:p w14:paraId="27244ACF" w14:textId="77777777" w:rsidR="00AD1F54" w:rsidRPr="00264D5D" w:rsidRDefault="00941227">
            <w:pPr>
              <w:spacing w:before="60" w:after="60"/>
              <w:jc w:val="center"/>
              <w:rPr>
                <w:sz w:val="22"/>
                <w:szCs w:val="22"/>
              </w:rPr>
            </w:pPr>
            <w:r w:rsidRPr="00264D5D">
              <w:rPr>
                <w:sz w:val="22"/>
                <w:szCs w:val="22"/>
              </w:rPr>
              <w:t>О</w:t>
            </w:r>
          </w:p>
        </w:tc>
        <w:tc>
          <w:tcPr>
            <w:tcW w:w="2057" w:type="pct"/>
          </w:tcPr>
          <w:p w14:paraId="36569C53" w14:textId="77777777" w:rsidR="00AD1F54" w:rsidRPr="00264D5D" w:rsidRDefault="00941227">
            <w:pPr>
              <w:spacing w:before="60" w:after="60"/>
              <w:rPr>
                <w:sz w:val="22"/>
                <w:szCs w:val="22"/>
              </w:rPr>
            </w:pPr>
            <w:r w:rsidRPr="00264D5D">
              <w:rPr>
                <w:sz w:val="22"/>
                <w:szCs w:val="22"/>
              </w:rPr>
              <w:t>Указывается полное либо сокращенное наименование территориального органа Федерального казначейства по месту открытия государственному заказчику лицевого сче</w:t>
            </w:r>
            <w:r w:rsidR="008279A4" w:rsidRPr="00264D5D">
              <w:rPr>
                <w:sz w:val="22"/>
                <w:szCs w:val="22"/>
              </w:rPr>
              <w:t>та получателя бюджетных средств</w:t>
            </w:r>
          </w:p>
        </w:tc>
      </w:tr>
    </w:tbl>
    <w:p w14:paraId="3225D14D" w14:textId="77777777" w:rsidR="00AD1F54" w:rsidRPr="00264D5D" w:rsidRDefault="00941227">
      <w:pPr>
        <w:pStyle w:val="31"/>
      </w:pPr>
      <w:bookmarkStart w:id="2715" w:name="OLE_LINK437"/>
      <w:bookmarkStart w:id="2716" w:name="OLE_LINK438"/>
      <w:bookmarkStart w:id="2717" w:name="_Toc219309714"/>
      <w:bookmarkEnd w:id="2707"/>
      <w:r w:rsidRPr="00264D5D">
        <w:t>Описание комплексного типа «</w:t>
      </w:r>
      <w:bookmarkStart w:id="2718" w:name="OLE_LINK750"/>
      <w:bookmarkStart w:id="2719" w:name="OLE_LINK751"/>
      <w:bookmarkStart w:id="2720" w:name="OLE_LINK752"/>
      <w:bookmarkStart w:id="2721" w:name="OLE_LINK753"/>
      <w:r w:rsidRPr="00264D5D">
        <w:t>tRecipient</w:t>
      </w:r>
      <w:bookmarkEnd w:id="2718"/>
      <w:bookmarkEnd w:id="2719"/>
      <w:bookmarkEnd w:id="2720"/>
      <w:bookmarkEnd w:id="2721"/>
      <w:r w:rsidRPr="00264D5D">
        <w:t>»</w:t>
      </w:r>
      <w:bookmarkEnd w:id="2717"/>
    </w:p>
    <w:p w14:paraId="6FDB4D70" w14:textId="77777777" w:rsidR="00AD1F54" w:rsidRPr="00264D5D" w:rsidRDefault="00941227">
      <w:pPr>
        <w:pStyle w:val="ASFKNormal"/>
        <w:spacing w:before="60" w:after="120"/>
        <w:contextualSpacing w:val="0"/>
        <w:jc w:val="both"/>
        <w:rPr>
          <w:sz w:val="24"/>
          <w:szCs w:val="24"/>
        </w:rPr>
      </w:pPr>
      <w:r w:rsidRPr="00264D5D">
        <w:rPr>
          <w:sz w:val="24"/>
          <w:szCs w:val="24"/>
        </w:rPr>
        <w:t>Описание комплексного типа «</w:t>
      </w:r>
      <w:bookmarkStart w:id="2722" w:name="OLE_LINK754"/>
      <w:bookmarkStart w:id="2723" w:name="OLE_LINK755"/>
      <w:bookmarkStart w:id="2724" w:name="OLE_LINK756"/>
      <w:bookmarkStart w:id="2725" w:name="OLE_LINK757"/>
      <w:bookmarkStart w:id="2726" w:name="OLE_LINK758"/>
      <w:bookmarkStart w:id="2727" w:name="OLE_LINK759"/>
      <w:r w:rsidRPr="00264D5D">
        <w:rPr>
          <w:sz w:val="24"/>
          <w:szCs w:val="24"/>
        </w:rPr>
        <w:t>tRecipient</w:t>
      </w:r>
      <w:bookmarkEnd w:id="2722"/>
      <w:bookmarkEnd w:id="2723"/>
      <w:bookmarkEnd w:id="2724"/>
      <w:bookmarkEnd w:id="2725"/>
      <w:bookmarkEnd w:id="2726"/>
      <w:bookmarkEnd w:id="2727"/>
      <w:r w:rsidRPr="00264D5D">
        <w:rPr>
          <w:sz w:val="24"/>
          <w:szCs w:val="24"/>
        </w:rPr>
        <w:t>» блока «Информация о получателе».</w:t>
      </w:r>
    </w:p>
    <w:p w14:paraId="4B36B30E" w14:textId="19925D33"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2728" w:name="_Ref524688350"/>
      <w:bookmarkStart w:id="2729" w:name="_Toc30503411"/>
      <w:bookmarkStart w:id="2730" w:name="_Toc30508009"/>
      <w:bookmarkStart w:id="2731" w:name="_Toc219309275"/>
      <w:r w:rsidR="008D797C">
        <w:rPr>
          <w:rFonts w:eastAsia="Calibri"/>
          <w:noProof/>
          <w:szCs w:val="24"/>
        </w:rPr>
        <w:t>245</w:t>
      </w:r>
      <w:bookmarkEnd w:id="2728"/>
      <w:r w:rsidRPr="00264D5D">
        <w:rPr>
          <w:rFonts w:eastAsia="Calibri"/>
          <w:szCs w:val="24"/>
        </w:rPr>
        <w:fldChar w:fldCharType="end"/>
      </w:r>
      <w:r w:rsidRPr="00264D5D">
        <w:rPr>
          <w:rFonts w:eastAsia="Calibri"/>
          <w:szCs w:val="24"/>
        </w:rPr>
        <w:t xml:space="preserve"> – Описание комплексного типа «tRecipient»</w:t>
      </w:r>
      <w:bookmarkEnd w:id="2729"/>
      <w:bookmarkEnd w:id="2730"/>
      <w:bookmarkEnd w:id="2731"/>
    </w:p>
    <w:tbl>
      <w:tblPr>
        <w:tblStyle w:val="GOSTTable"/>
        <w:tblW w:w="9630" w:type="dxa"/>
        <w:tblLayout w:type="fixed"/>
        <w:tblLook w:val="04A0" w:firstRow="1" w:lastRow="0" w:firstColumn="1" w:lastColumn="0" w:noHBand="0" w:noVBand="1"/>
      </w:tblPr>
      <w:tblGrid>
        <w:gridCol w:w="1700"/>
        <w:gridCol w:w="1702"/>
        <w:gridCol w:w="566"/>
        <w:gridCol w:w="1134"/>
        <w:gridCol w:w="566"/>
        <w:gridCol w:w="3962"/>
      </w:tblGrid>
      <w:tr w:rsidR="00AD1F54" w:rsidRPr="00264D5D" w14:paraId="2AC551BC" w14:textId="77777777" w:rsidTr="00AD1F54">
        <w:trPr>
          <w:cnfStyle w:val="100000000000" w:firstRow="1" w:lastRow="0" w:firstColumn="0" w:lastColumn="0" w:oddVBand="0" w:evenVBand="0" w:oddHBand="0" w:evenHBand="0" w:firstRowFirstColumn="0" w:firstRowLastColumn="0" w:lastRowFirstColumn="0" w:lastRowLastColumn="0"/>
          <w:trHeight w:val="282"/>
          <w:tblHeader/>
        </w:trPr>
        <w:tc>
          <w:tcPr>
            <w:tcW w:w="882" w:type="pct"/>
          </w:tcPr>
          <w:p w14:paraId="0C7FF32F" w14:textId="77777777" w:rsidR="00AD1F54" w:rsidRPr="00264D5D" w:rsidRDefault="00941227">
            <w:pPr>
              <w:spacing w:before="60" w:after="60"/>
              <w:jc w:val="center"/>
              <w:rPr>
                <w:b/>
                <w:bCs/>
                <w:sz w:val="22"/>
                <w:szCs w:val="22"/>
              </w:rPr>
            </w:pPr>
            <w:r w:rsidRPr="00264D5D">
              <w:rPr>
                <w:b/>
                <w:bCs/>
                <w:sz w:val="22"/>
                <w:szCs w:val="22"/>
              </w:rPr>
              <w:t>Наименование элемента</w:t>
            </w:r>
          </w:p>
        </w:tc>
        <w:tc>
          <w:tcPr>
            <w:tcW w:w="883" w:type="pct"/>
          </w:tcPr>
          <w:p w14:paraId="23A11669" w14:textId="77777777" w:rsidR="00AD1F54" w:rsidRPr="00264D5D" w:rsidRDefault="00941227">
            <w:pPr>
              <w:spacing w:before="60" w:after="60"/>
              <w:jc w:val="center"/>
              <w:rPr>
                <w:b/>
                <w:bCs/>
                <w:sz w:val="22"/>
                <w:szCs w:val="22"/>
              </w:rPr>
            </w:pPr>
            <w:r w:rsidRPr="00264D5D">
              <w:rPr>
                <w:b/>
                <w:bCs/>
                <w:sz w:val="22"/>
                <w:szCs w:val="22"/>
              </w:rPr>
              <w:t>Сокращенное наименование (код) элемента</w:t>
            </w:r>
          </w:p>
        </w:tc>
        <w:tc>
          <w:tcPr>
            <w:tcW w:w="294" w:type="pct"/>
          </w:tcPr>
          <w:p w14:paraId="75E586CB" w14:textId="77777777" w:rsidR="00AD1F54" w:rsidRPr="00264D5D" w:rsidRDefault="00941227">
            <w:pPr>
              <w:spacing w:before="60" w:after="60"/>
              <w:jc w:val="center"/>
              <w:rPr>
                <w:b/>
                <w:sz w:val="22"/>
                <w:szCs w:val="22"/>
              </w:rPr>
            </w:pPr>
            <w:r w:rsidRPr="00264D5D">
              <w:rPr>
                <w:b/>
                <w:bCs/>
                <w:sz w:val="22"/>
                <w:szCs w:val="22"/>
              </w:rPr>
              <w:t>Тип</w:t>
            </w:r>
          </w:p>
        </w:tc>
        <w:tc>
          <w:tcPr>
            <w:tcW w:w="589" w:type="pct"/>
          </w:tcPr>
          <w:p w14:paraId="017112FC" w14:textId="77777777" w:rsidR="00AD1F54" w:rsidRPr="00264D5D" w:rsidRDefault="00941227">
            <w:pPr>
              <w:spacing w:before="60" w:after="60"/>
              <w:jc w:val="center"/>
              <w:rPr>
                <w:b/>
                <w:sz w:val="22"/>
                <w:szCs w:val="22"/>
              </w:rPr>
            </w:pPr>
            <w:r w:rsidRPr="00264D5D">
              <w:rPr>
                <w:b/>
                <w:bCs/>
                <w:sz w:val="22"/>
                <w:szCs w:val="22"/>
              </w:rPr>
              <w:t>Формат элемента</w:t>
            </w:r>
          </w:p>
        </w:tc>
        <w:tc>
          <w:tcPr>
            <w:tcW w:w="294" w:type="pct"/>
          </w:tcPr>
          <w:p w14:paraId="69F1FD20" w14:textId="77777777" w:rsidR="00AD1F54" w:rsidRPr="00264D5D" w:rsidRDefault="00941227">
            <w:pPr>
              <w:spacing w:before="60" w:after="60"/>
              <w:jc w:val="center"/>
              <w:rPr>
                <w:b/>
                <w:sz w:val="22"/>
                <w:szCs w:val="22"/>
              </w:rPr>
            </w:pPr>
            <w:r w:rsidRPr="00264D5D">
              <w:rPr>
                <w:b/>
                <w:bCs/>
                <w:sz w:val="22"/>
                <w:szCs w:val="22"/>
              </w:rPr>
              <w:t>Обязательность</w:t>
            </w:r>
          </w:p>
        </w:tc>
        <w:tc>
          <w:tcPr>
            <w:tcW w:w="2057" w:type="pct"/>
          </w:tcPr>
          <w:p w14:paraId="03889B95" w14:textId="77777777" w:rsidR="00AD1F54" w:rsidRPr="00264D5D" w:rsidRDefault="00941227">
            <w:pPr>
              <w:spacing w:before="60" w:after="60"/>
              <w:jc w:val="center"/>
              <w:rPr>
                <w:b/>
                <w:bCs/>
                <w:sz w:val="22"/>
                <w:szCs w:val="22"/>
              </w:rPr>
            </w:pPr>
            <w:r w:rsidRPr="00264D5D">
              <w:rPr>
                <w:b/>
                <w:bCs/>
                <w:sz w:val="22"/>
                <w:szCs w:val="22"/>
              </w:rPr>
              <w:t>Дополнительная информация</w:t>
            </w:r>
          </w:p>
        </w:tc>
      </w:tr>
      <w:tr w:rsidR="00AD1F54" w:rsidRPr="00264D5D" w14:paraId="536214FD" w14:textId="77777777" w:rsidTr="00AD1F54">
        <w:trPr>
          <w:cnfStyle w:val="000000100000" w:firstRow="0" w:lastRow="0" w:firstColumn="0" w:lastColumn="0" w:oddVBand="0" w:evenVBand="0" w:oddHBand="1" w:evenHBand="0" w:firstRowFirstColumn="0" w:firstRowLastColumn="0" w:lastRowFirstColumn="0" w:lastRowLastColumn="0"/>
          <w:trHeight w:val="282"/>
        </w:trPr>
        <w:tc>
          <w:tcPr>
            <w:tcW w:w="882" w:type="pct"/>
          </w:tcPr>
          <w:p w14:paraId="6EDD7262" w14:textId="77777777" w:rsidR="00AD1F54" w:rsidRPr="00264D5D" w:rsidRDefault="00941227">
            <w:pPr>
              <w:spacing w:before="60" w:after="60"/>
              <w:jc w:val="left"/>
              <w:rPr>
                <w:sz w:val="22"/>
                <w:szCs w:val="22"/>
              </w:rPr>
            </w:pPr>
            <w:r w:rsidRPr="00264D5D">
              <w:rPr>
                <w:sz w:val="22"/>
                <w:szCs w:val="22"/>
              </w:rPr>
              <w:t xml:space="preserve">Наименование </w:t>
            </w:r>
          </w:p>
        </w:tc>
        <w:tc>
          <w:tcPr>
            <w:tcW w:w="883" w:type="pct"/>
          </w:tcPr>
          <w:p w14:paraId="407A18AE" w14:textId="77777777" w:rsidR="00AD1F54" w:rsidRPr="00264D5D" w:rsidRDefault="00941227">
            <w:pPr>
              <w:spacing w:before="60" w:after="60"/>
              <w:jc w:val="left"/>
              <w:rPr>
                <w:sz w:val="22"/>
                <w:szCs w:val="22"/>
              </w:rPr>
            </w:pPr>
            <w:bookmarkStart w:id="2732" w:name="OLE_LINK1172"/>
            <w:bookmarkStart w:id="2733" w:name="OLE_LINK1173"/>
            <w:r w:rsidRPr="00264D5D">
              <w:rPr>
                <w:sz w:val="22"/>
                <w:szCs w:val="22"/>
              </w:rPr>
              <w:t>Name</w:t>
            </w:r>
            <w:bookmarkStart w:id="2734" w:name="OLE_LINK760"/>
            <w:bookmarkStart w:id="2735" w:name="OLE_LINK761"/>
            <w:bookmarkStart w:id="2736" w:name="OLE_LINK762"/>
            <w:bookmarkStart w:id="2737" w:name="OLE_LINK763"/>
            <w:r w:rsidRPr="00264D5D">
              <w:rPr>
                <w:sz w:val="22"/>
                <w:szCs w:val="22"/>
              </w:rPr>
              <w:t>Recip</w:t>
            </w:r>
            <w:bookmarkEnd w:id="2732"/>
            <w:bookmarkEnd w:id="2733"/>
            <w:bookmarkEnd w:id="2734"/>
            <w:bookmarkEnd w:id="2735"/>
            <w:bookmarkEnd w:id="2736"/>
            <w:bookmarkEnd w:id="2737"/>
          </w:p>
        </w:tc>
        <w:tc>
          <w:tcPr>
            <w:tcW w:w="294" w:type="pct"/>
          </w:tcPr>
          <w:p w14:paraId="2711A773" w14:textId="77777777" w:rsidR="00AD1F54" w:rsidRPr="00264D5D" w:rsidRDefault="00941227">
            <w:pPr>
              <w:spacing w:before="60" w:after="60"/>
              <w:jc w:val="center"/>
              <w:rPr>
                <w:sz w:val="22"/>
                <w:szCs w:val="22"/>
              </w:rPr>
            </w:pPr>
            <w:r w:rsidRPr="00264D5D">
              <w:rPr>
                <w:sz w:val="22"/>
                <w:szCs w:val="22"/>
              </w:rPr>
              <w:t>П</w:t>
            </w:r>
          </w:p>
        </w:tc>
        <w:tc>
          <w:tcPr>
            <w:tcW w:w="589" w:type="pct"/>
          </w:tcPr>
          <w:p w14:paraId="6B51B141" w14:textId="77777777" w:rsidR="00AD1F54" w:rsidRPr="00264D5D" w:rsidRDefault="00941227">
            <w:pPr>
              <w:spacing w:before="60" w:after="60"/>
              <w:jc w:val="left"/>
              <w:rPr>
                <w:sz w:val="22"/>
                <w:szCs w:val="22"/>
              </w:rPr>
            </w:pPr>
            <w:r w:rsidRPr="00264D5D">
              <w:rPr>
                <w:sz w:val="22"/>
                <w:szCs w:val="22"/>
              </w:rPr>
              <w:t>Т(1-2000)</w:t>
            </w:r>
          </w:p>
        </w:tc>
        <w:tc>
          <w:tcPr>
            <w:tcW w:w="294" w:type="pct"/>
          </w:tcPr>
          <w:p w14:paraId="3809F995" w14:textId="77777777" w:rsidR="00AD1F54" w:rsidRPr="00264D5D" w:rsidRDefault="00941227">
            <w:pPr>
              <w:spacing w:before="60" w:after="60"/>
              <w:jc w:val="center"/>
              <w:rPr>
                <w:sz w:val="22"/>
                <w:szCs w:val="22"/>
                <w:lang w:val="en-US"/>
              </w:rPr>
            </w:pPr>
            <w:r w:rsidRPr="00264D5D">
              <w:rPr>
                <w:sz w:val="22"/>
                <w:szCs w:val="22"/>
                <w:lang w:val="en-US"/>
              </w:rPr>
              <w:t>О</w:t>
            </w:r>
          </w:p>
        </w:tc>
        <w:tc>
          <w:tcPr>
            <w:tcW w:w="2057" w:type="pct"/>
          </w:tcPr>
          <w:p w14:paraId="71B8A36A" w14:textId="77777777" w:rsidR="00AD1F54" w:rsidRPr="00264D5D" w:rsidRDefault="00941227">
            <w:pPr>
              <w:spacing w:before="60" w:after="60"/>
              <w:rPr>
                <w:sz w:val="22"/>
                <w:szCs w:val="22"/>
              </w:rPr>
            </w:pPr>
            <w:r w:rsidRPr="00264D5D">
              <w:rPr>
                <w:sz w:val="22"/>
                <w:szCs w:val="22"/>
              </w:rPr>
              <w:t>Указывается полное или сокращенное наименование исполнителя (соисполнителя)</w:t>
            </w:r>
            <w:bookmarkEnd w:id="2715"/>
            <w:bookmarkEnd w:id="2716"/>
          </w:p>
        </w:tc>
      </w:tr>
      <w:tr w:rsidR="00AD1F54" w:rsidRPr="00264D5D" w14:paraId="0C5193EC" w14:textId="77777777" w:rsidTr="00AD1F54">
        <w:trPr>
          <w:cnfStyle w:val="000000010000" w:firstRow="0" w:lastRow="0" w:firstColumn="0" w:lastColumn="0" w:oddVBand="0" w:evenVBand="0" w:oddHBand="0" w:evenHBand="1" w:firstRowFirstColumn="0" w:firstRowLastColumn="0" w:lastRowFirstColumn="0" w:lastRowLastColumn="0"/>
          <w:trHeight w:val="282"/>
        </w:trPr>
        <w:tc>
          <w:tcPr>
            <w:tcW w:w="882" w:type="pct"/>
          </w:tcPr>
          <w:p w14:paraId="74CC14EF" w14:textId="77777777" w:rsidR="00AD1F54" w:rsidRPr="00264D5D" w:rsidRDefault="00941227">
            <w:pPr>
              <w:spacing w:before="60" w:after="60"/>
              <w:jc w:val="left"/>
              <w:rPr>
                <w:sz w:val="22"/>
                <w:szCs w:val="22"/>
                <w:lang w:val="en-US"/>
              </w:rPr>
            </w:pPr>
            <w:r w:rsidRPr="00264D5D">
              <w:rPr>
                <w:sz w:val="22"/>
                <w:szCs w:val="22"/>
                <w:lang w:val="en-US"/>
              </w:rPr>
              <w:t>ИНН</w:t>
            </w:r>
            <w:bookmarkStart w:id="2738" w:name="OLE_LINK430"/>
            <w:bookmarkStart w:id="2739" w:name="OLE_LINK431"/>
            <w:bookmarkStart w:id="2740" w:name="OLE_LINK432"/>
            <w:r w:rsidRPr="00264D5D">
              <w:rPr>
                <w:sz w:val="22"/>
                <w:szCs w:val="22"/>
                <w:lang w:val="en-US"/>
              </w:rPr>
              <w:t xml:space="preserve"> </w:t>
            </w:r>
            <w:bookmarkEnd w:id="2738"/>
            <w:bookmarkEnd w:id="2739"/>
            <w:bookmarkEnd w:id="2740"/>
          </w:p>
        </w:tc>
        <w:tc>
          <w:tcPr>
            <w:tcW w:w="883" w:type="pct"/>
          </w:tcPr>
          <w:p w14:paraId="544C0BA9" w14:textId="77777777" w:rsidR="00AD1F54" w:rsidRPr="00264D5D" w:rsidRDefault="00941227">
            <w:pPr>
              <w:spacing w:before="60" w:after="60"/>
              <w:jc w:val="left"/>
              <w:rPr>
                <w:sz w:val="22"/>
                <w:szCs w:val="22"/>
              </w:rPr>
            </w:pPr>
            <w:bookmarkStart w:id="2741" w:name="OLE_LINK1174"/>
            <w:bookmarkStart w:id="2742" w:name="OLE_LINK1175"/>
            <w:r w:rsidRPr="00264D5D">
              <w:rPr>
                <w:sz w:val="22"/>
                <w:szCs w:val="22"/>
              </w:rPr>
              <w:t>INNRecip</w:t>
            </w:r>
            <w:bookmarkEnd w:id="2741"/>
            <w:bookmarkEnd w:id="2742"/>
          </w:p>
        </w:tc>
        <w:tc>
          <w:tcPr>
            <w:tcW w:w="294" w:type="pct"/>
          </w:tcPr>
          <w:p w14:paraId="04682F89" w14:textId="77777777" w:rsidR="00AD1F54" w:rsidRPr="00264D5D" w:rsidRDefault="00941227">
            <w:pPr>
              <w:pStyle w:val="affffff"/>
              <w:spacing w:before="60" w:after="60" w:line="240" w:lineRule="auto"/>
              <w:ind w:firstLine="0"/>
              <w:jc w:val="center"/>
              <w:rPr>
                <w:sz w:val="22"/>
                <w:szCs w:val="22"/>
              </w:rPr>
            </w:pPr>
            <w:bookmarkStart w:id="2743" w:name="OLE_LINK797"/>
            <w:bookmarkStart w:id="2744" w:name="OLE_LINK798"/>
            <w:bookmarkStart w:id="2745" w:name="OLE_LINK799"/>
            <w:r w:rsidRPr="00264D5D">
              <w:rPr>
                <w:sz w:val="22"/>
                <w:szCs w:val="22"/>
              </w:rPr>
              <w:t>П</w:t>
            </w:r>
            <w:bookmarkEnd w:id="2743"/>
            <w:bookmarkEnd w:id="2744"/>
            <w:bookmarkEnd w:id="2745"/>
          </w:p>
        </w:tc>
        <w:tc>
          <w:tcPr>
            <w:tcW w:w="589" w:type="pct"/>
          </w:tcPr>
          <w:p w14:paraId="2BF445C8" w14:textId="77777777" w:rsidR="00AD1F54" w:rsidRPr="00264D5D" w:rsidRDefault="00941227">
            <w:pPr>
              <w:pStyle w:val="affffff"/>
              <w:spacing w:before="60" w:after="60" w:line="240" w:lineRule="auto"/>
              <w:ind w:firstLine="0"/>
              <w:rPr>
                <w:sz w:val="22"/>
                <w:szCs w:val="22"/>
                <w:lang w:eastAsia="ru-RU"/>
              </w:rPr>
            </w:pPr>
            <w:bookmarkStart w:id="2746" w:name="OLE_LINK25"/>
            <w:bookmarkStart w:id="2747" w:name="OLE_LINK26"/>
            <w:bookmarkStart w:id="2748" w:name="OLE_LINK69"/>
            <w:r w:rsidRPr="00264D5D">
              <w:rPr>
                <w:sz w:val="22"/>
                <w:szCs w:val="22"/>
                <w:lang w:eastAsia="ru-RU"/>
              </w:rPr>
              <w:t>Т(10) или Т(12)</w:t>
            </w:r>
            <w:bookmarkEnd w:id="2746"/>
            <w:bookmarkEnd w:id="2747"/>
            <w:bookmarkEnd w:id="2748"/>
          </w:p>
        </w:tc>
        <w:tc>
          <w:tcPr>
            <w:tcW w:w="294" w:type="pct"/>
          </w:tcPr>
          <w:p w14:paraId="5525C72C" w14:textId="77777777" w:rsidR="00AD1F54" w:rsidRPr="00264D5D" w:rsidRDefault="00941227">
            <w:pPr>
              <w:pStyle w:val="affffff"/>
              <w:spacing w:before="60" w:after="60" w:line="240" w:lineRule="auto"/>
              <w:ind w:firstLine="0"/>
              <w:jc w:val="center"/>
              <w:rPr>
                <w:sz w:val="22"/>
                <w:szCs w:val="22"/>
                <w:lang w:eastAsia="ru-RU"/>
              </w:rPr>
            </w:pPr>
            <w:r w:rsidRPr="00264D5D">
              <w:rPr>
                <w:sz w:val="22"/>
                <w:szCs w:val="22"/>
                <w:lang w:eastAsia="ru-RU"/>
              </w:rPr>
              <w:t>О</w:t>
            </w:r>
          </w:p>
        </w:tc>
        <w:tc>
          <w:tcPr>
            <w:tcW w:w="2057" w:type="pct"/>
          </w:tcPr>
          <w:p w14:paraId="2556C1B2" w14:textId="77777777" w:rsidR="00AD1F54" w:rsidRPr="00264D5D" w:rsidRDefault="00941227">
            <w:pPr>
              <w:spacing w:before="60" w:after="60"/>
              <w:rPr>
                <w:sz w:val="22"/>
                <w:szCs w:val="22"/>
                <w:lang w:val="en-US"/>
              </w:rPr>
            </w:pPr>
            <w:r w:rsidRPr="00264D5D">
              <w:rPr>
                <w:sz w:val="22"/>
                <w:szCs w:val="22"/>
              </w:rPr>
              <w:t xml:space="preserve">Указывается ИНН </w:t>
            </w:r>
            <w:bookmarkStart w:id="2749" w:name="OLE_LINK788"/>
            <w:bookmarkStart w:id="2750" w:name="OLE_LINK789"/>
            <w:bookmarkStart w:id="2751" w:name="OLE_LINK790"/>
            <w:bookmarkStart w:id="2752" w:name="OLE_LINK791"/>
            <w:r w:rsidRPr="00264D5D">
              <w:rPr>
                <w:sz w:val="22"/>
                <w:szCs w:val="22"/>
                <w:lang w:val="en-US"/>
              </w:rPr>
              <w:t>исполнителя (соисполнителя)</w:t>
            </w:r>
            <w:bookmarkEnd w:id="2749"/>
            <w:bookmarkEnd w:id="2750"/>
            <w:bookmarkEnd w:id="2751"/>
            <w:bookmarkEnd w:id="2752"/>
          </w:p>
        </w:tc>
      </w:tr>
      <w:tr w:rsidR="00AD1F54" w:rsidRPr="00264D5D" w14:paraId="69242FBE" w14:textId="77777777" w:rsidTr="00AD1F54">
        <w:trPr>
          <w:cnfStyle w:val="000000100000" w:firstRow="0" w:lastRow="0" w:firstColumn="0" w:lastColumn="0" w:oddVBand="0" w:evenVBand="0" w:oddHBand="1" w:evenHBand="0" w:firstRowFirstColumn="0" w:firstRowLastColumn="0" w:lastRowFirstColumn="0" w:lastRowLastColumn="0"/>
          <w:trHeight w:val="282"/>
        </w:trPr>
        <w:tc>
          <w:tcPr>
            <w:tcW w:w="882" w:type="pct"/>
          </w:tcPr>
          <w:p w14:paraId="30A47870" w14:textId="77777777" w:rsidR="00AD1F54" w:rsidRPr="00264D5D" w:rsidRDefault="00941227">
            <w:pPr>
              <w:spacing w:before="60" w:after="60"/>
              <w:jc w:val="left"/>
              <w:rPr>
                <w:sz w:val="22"/>
                <w:szCs w:val="22"/>
                <w:lang w:val="en-US"/>
              </w:rPr>
            </w:pPr>
            <w:r w:rsidRPr="00264D5D">
              <w:rPr>
                <w:sz w:val="22"/>
                <w:szCs w:val="22"/>
                <w:lang w:val="en-US"/>
              </w:rPr>
              <w:t xml:space="preserve">КПП </w:t>
            </w:r>
          </w:p>
        </w:tc>
        <w:tc>
          <w:tcPr>
            <w:tcW w:w="883" w:type="pct"/>
          </w:tcPr>
          <w:p w14:paraId="30AD20E7" w14:textId="77777777" w:rsidR="00AD1F54" w:rsidRPr="00264D5D" w:rsidRDefault="00941227">
            <w:pPr>
              <w:spacing w:before="60" w:after="60"/>
              <w:jc w:val="left"/>
              <w:rPr>
                <w:sz w:val="22"/>
                <w:szCs w:val="22"/>
              </w:rPr>
            </w:pPr>
            <w:bookmarkStart w:id="2753" w:name="OLE_LINK1176"/>
            <w:bookmarkStart w:id="2754" w:name="OLE_LINK1177"/>
            <w:r w:rsidRPr="00264D5D">
              <w:rPr>
                <w:sz w:val="22"/>
                <w:szCs w:val="22"/>
              </w:rPr>
              <w:t>KPP</w:t>
            </w:r>
            <w:bookmarkStart w:id="2755" w:name="OLE_LINK770"/>
            <w:bookmarkStart w:id="2756" w:name="OLE_LINK771"/>
            <w:bookmarkStart w:id="2757" w:name="OLE_LINK772"/>
            <w:bookmarkStart w:id="2758" w:name="OLE_LINK773"/>
            <w:r w:rsidRPr="00264D5D">
              <w:rPr>
                <w:sz w:val="22"/>
                <w:szCs w:val="22"/>
              </w:rPr>
              <w:t>Recip</w:t>
            </w:r>
            <w:bookmarkEnd w:id="2753"/>
            <w:bookmarkEnd w:id="2754"/>
            <w:bookmarkEnd w:id="2755"/>
            <w:bookmarkEnd w:id="2756"/>
            <w:bookmarkEnd w:id="2757"/>
            <w:bookmarkEnd w:id="2758"/>
          </w:p>
        </w:tc>
        <w:tc>
          <w:tcPr>
            <w:tcW w:w="294" w:type="pct"/>
          </w:tcPr>
          <w:p w14:paraId="7CD40AF1" w14:textId="77777777" w:rsidR="00AD1F54" w:rsidRPr="00264D5D" w:rsidRDefault="00941227">
            <w:pPr>
              <w:spacing w:before="60" w:after="60"/>
              <w:jc w:val="center"/>
              <w:rPr>
                <w:sz w:val="22"/>
                <w:szCs w:val="22"/>
              </w:rPr>
            </w:pPr>
            <w:r w:rsidRPr="00264D5D">
              <w:rPr>
                <w:sz w:val="22"/>
                <w:szCs w:val="22"/>
              </w:rPr>
              <w:t>П</w:t>
            </w:r>
          </w:p>
        </w:tc>
        <w:tc>
          <w:tcPr>
            <w:tcW w:w="589" w:type="pct"/>
          </w:tcPr>
          <w:p w14:paraId="6DB4B543" w14:textId="77777777" w:rsidR="00AD1F54" w:rsidRPr="00264D5D" w:rsidRDefault="00941227">
            <w:pPr>
              <w:spacing w:before="60" w:after="60"/>
              <w:jc w:val="left"/>
              <w:rPr>
                <w:sz w:val="22"/>
                <w:szCs w:val="22"/>
              </w:rPr>
            </w:pPr>
            <w:r w:rsidRPr="00264D5D">
              <w:rPr>
                <w:sz w:val="22"/>
                <w:szCs w:val="22"/>
              </w:rPr>
              <w:t>Т(9)</w:t>
            </w:r>
          </w:p>
        </w:tc>
        <w:tc>
          <w:tcPr>
            <w:tcW w:w="294" w:type="pct"/>
          </w:tcPr>
          <w:p w14:paraId="489AB2F7" w14:textId="77777777" w:rsidR="00AD1F54" w:rsidRPr="00264D5D" w:rsidRDefault="00941227">
            <w:pPr>
              <w:spacing w:before="60" w:after="60"/>
              <w:jc w:val="center"/>
              <w:rPr>
                <w:sz w:val="22"/>
                <w:szCs w:val="22"/>
                <w:lang w:val="en-US"/>
              </w:rPr>
            </w:pPr>
            <w:r w:rsidRPr="00264D5D">
              <w:rPr>
                <w:sz w:val="22"/>
                <w:szCs w:val="22"/>
                <w:lang w:val="en-US"/>
              </w:rPr>
              <w:t>Н</w:t>
            </w:r>
          </w:p>
        </w:tc>
        <w:tc>
          <w:tcPr>
            <w:tcW w:w="2057" w:type="pct"/>
          </w:tcPr>
          <w:p w14:paraId="71D08FA9" w14:textId="77777777" w:rsidR="00AD1F54" w:rsidRPr="00264D5D" w:rsidRDefault="00941227">
            <w:pPr>
              <w:spacing w:before="60" w:after="60"/>
              <w:rPr>
                <w:sz w:val="22"/>
                <w:szCs w:val="22"/>
              </w:rPr>
            </w:pPr>
            <w:r w:rsidRPr="00264D5D">
              <w:rPr>
                <w:sz w:val="22"/>
                <w:szCs w:val="22"/>
              </w:rPr>
              <w:t xml:space="preserve">Указывается КПП </w:t>
            </w:r>
            <w:r w:rsidR="008279A4" w:rsidRPr="00264D5D">
              <w:rPr>
                <w:sz w:val="22"/>
                <w:szCs w:val="22"/>
                <w:lang w:val="en-US"/>
              </w:rPr>
              <w:t>исполнителя (соисполнителя)</w:t>
            </w:r>
          </w:p>
        </w:tc>
      </w:tr>
      <w:tr w:rsidR="00AD1F54" w:rsidRPr="00264D5D" w14:paraId="04FBFA00" w14:textId="77777777" w:rsidTr="00AD1F54">
        <w:trPr>
          <w:cnfStyle w:val="000000010000" w:firstRow="0" w:lastRow="0" w:firstColumn="0" w:lastColumn="0" w:oddVBand="0" w:evenVBand="0" w:oddHBand="0" w:evenHBand="1" w:firstRowFirstColumn="0" w:firstRowLastColumn="0" w:lastRowFirstColumn="0" w:lastRowLastColumn="0"/>
          <w:trHeight w:val="282"/>
        </w:trPr>
        <w:tc>
          <w:tcPr>
            <w:tcW w:w="882" w:type="pct"/>
          </w:tcPr>
          <w:p w14:paraId="2C4874DA" w14:textId="77777777" w:rsidR="00AD1F54" w:rsidRPr="00264D5D" w:rsidRDefault="00941227">
            <w:pPr>
              <w:spacing w:before="60" w:after="60"/>
              <w:jc w:val="left"/>
              <w:rPr>
                <w:sz w:val="22"/>
                <w:szCs w:val="22"/>
                <w:lang w:val="en-US"/>
              </w:rPr>
            </w:pPr>
            <w:r w:rsidRPr="00264D5D">
              <w:rPr>
                <w:sz w:val="22"/>
                <w:szCs w:val="22"/>
              </w:rPr>
              <w:lastRenderedPageBreak/>
              <w:t>Номер</w:t>
            </w:r>
            <w:r w:rsidRPr="00264D5D">
              <w:rPr>
                <w:sz w:val="22"/>
                <w:szCs w:val="22"/>
                <w:lang w:val="en-US"/>
              </w:rPr>
              <w:t xml:space="preserve"> счета</w:t>
            </w:r>
          </w:p>
        </w:tc>
        <w:tc>
          <w:tcPr>
            <w:tcW w:w="883" w:type="pct"/>
          </w:tcPr>
          <w:p w14:paraId="72B78717" w14:textId="77777777" w:rsidR="00AD1F54" w:rsidRPr="00264D5D" w:rsidRDefault="00941227">
            <w:pPr>
              <w:spacing w:before="60" w:after="60"/>
              <w:jc w:val="left"/>
              <w:rPr>
                <w:sz w:val="22"/>
                <w:szCs w:val="22"/>
              </w:rPr>
            </w:pPr>
            <w:r w:rsidRPr="00264D5D">
              <w:rPr>
                <w:sz w:val="22"/>
                <w:szCs w:val="22"/>
                <w:lang w:val="en-US"/>
              </w:rPr>
              <w:t>Num</w:t>
            </w:r>
            <w:r w:rsidRPr="00264D5D">
              <w:rPr>
                <w:sz w:val="22"/>
                <w:szCs w:val="22"/>
              </w:rPr>
              <w:t>Recip</w:t>
            </w:r>
          </w:p>
        </w:tc>
        <w:tc>
          <w:tcPr>
            <w:tcW w:w="294" w:type="pct"/>
          </w:tcPr>
          <w:p w14:paraId="05C66A88" w14:textId="77777777" w:rsidR="00AD1F54" w:rsidRPr="00264D5D" w:rsidRDefault="00941227">
            <w:pPr>
              <w:spacing w:before="60" w:after="60"/>
              <w:jc w:val="center"/>
              <w:rPr>
                <w:sz w:val="22"/>
                <w:szCs w:val="22"/>
              </w:rPr>
            </w:pPr>
            <w:r w:rsidRPr="00264D5D">
              <w:rPr>
                <w:sz w:val="22"/>
                <w:szCs w:val="22"/>
              </w:rPr>
              <w:t>П</w:t>
            </w:r>
          </w:p>
        </w:tc>
        <w:tc>
          <w:tcPr>
            <w:tcW w:w="589" w:type="pct"/>
          </w:tcPr>
          <w:p w14:paraId="27F1898C" w14:textId="77777777" w:rsidR="00AD1F54" w:rsidRPr="00264D5D" w:rsidRDefault="00941227">
            <w:pPr>
              <w:spacing w:before="60" w:after="60"/>
              <w:jc w:val="left"/>
              <w:rPr>
                <w:sz w:val="22"/>
                <w:szCs w:val="22"/>
              </w:rPr>
            </w:pPr>
            <w:r w:rsidRPr="00264D5D">
              <w:rPr>
                <w:sz w:val="22"/>
                <w:szCs w:val="22"/>
              </w:rPr>
              <w:t>Т(20)</w:t>
            </w:r>
          </w:p>
        </w:tc>
        <w:tc>
          <w:tcPr>
            <w:tcW w:w="294" w:type="pct"/>
          </w:tcPr>
          <w:p w14:paraId="783684CA" w14:textId="77777777" w:rsidR="00AD1F54" w:rsidRPr="00264D5D" w:rsidRDefault="00941227">
            <w:pPr>
              <w:spacing w:before="60" w:after="60"/>
              <w:jc w:val="center"/>
              <w:rPr>
                <w:sz w:val="22"/>
                <w:szCs w:val="22"/>
              </w:rPr>
            </w:pPr>
            <w:r w:rsidRPr="00264D5D">
              <w:rPr>
                <w:sz w:val="22"/>
                <w:szCs w:val="22"/>
              </w:rPr>
              <w:t>О</w:t>
            </w:r>
          </w:p>
        </w:tc>
        <w:tc>
          <w:tcPr>
            <w:tcW w:w="2057" w:type="pct"/>
          </w:tcPr>
          <w:p w14:paraId="5E913DC8" w14:textId="77777777" w:rsidR="00AD1F54" w:rsidRPr="00264D5D" w:rsidRDefault="00941227">
            <w:pPr>
              <w:spacing w:before="60" w:after="60"/>
              <w:rPr>
                <w:sz w:val="22"/>
                <w:szCs w:val="22"/>
              </w:rPr>
            </w:pPr>
            <w:bookmarkStart w:id="2759" w:name="OLE_LINK792"/>
            <w:bookmarkStart w:id="2760" w:name="OLE_LINK793"/>
            <w:r w:rsidRPr="00264D5D">
              <w:rPr>
                <w:sz w:val="22"/>
                <w:szCs w:val="22"/>
              </w:rPr>
              <w:t xml:space="preserve">Указывается номер банковского счета </w:t>
            </w:r>
            <w:bookmarkEnd w:id="2759"/>
            <w:bookmarkEnd w:id="2760"/>
            <w:r w:rsidR="008279A4" w:rsidRPr="00264D5D">
              <w:rPr>
                <w:sz w:val="22"/>
                <w:szCs w:val="22"/>
              </w:rPr>
              <w:t>исполнителя (соисполнителя)</w:t>
            </w:r>
          </w:p>
        </w:tc>
      </w:tr>
      <w:tr w:rsidR="00AD1F54" w:rsidRPr="00264D5D" w14:paraId="3E7E7D5D" w14:textId="77777777" w:rsidTr="00AD1F54">
        <w:trPr>
          <w:cnfStyle w:val="000000100000" w:firstRow="0" w:lastRow="0" w:firstColumn="0" w:lastColumn="0" w:oddVBand="0" w:evenVBand="0" w:oddHBand="1" w:evenHBand="0" w:firstRowFirstColumn="0" w:firstRowLastColumn="0" w:lastRowFirstColumn="0" w:lastRowLastColumn="0"/>
          <w:trHeight w:val="282"/>
        </w:trPr>
        <w:tc>
          <w:tcPr>
            <w:tcW w:w="882" w:type="pct"/>
          </w:tcPr>
          <w:p w14:paraId="51B28B65" w14:textId="77777777" w:rsidR="00AD1F54" w:rsidRPr="00264D5D" w:rsidRDefault="00941227">
            <w:pPr>
              <w:spacing w:before="60" w:after="60"/>
              <w:jc w:val="left"/>
              <w:rPr>
                <w:sz w:val="22"/>
                <w:szCs w:val="22"/>
                <w:lang w:val="en-US"/>
              </w:rPr>
            </w:pPr>
            <w:bookmarkStart w:id="2761" w:name="OLE_LINK459"/>
            <w:bookmarkStart w:id="2762" w:name="OLE_LINK460"/>
            <w:bookmarkStart w:id="2763" w:name="OLE_LINK461"/>
            <w:bookmarkStart w:id="2764" w:name="OLE_LINK1181"/>
            <w:r w:rsidRPr="00264D5D">
              <w:rPr>
                <w:sz w:val="22"/>
                <w:szCs w:val="22"/>
                <w:lang w:val="en-US"/>
              </w:rPr>
              <w:t>Информация о банке получателя</w:t>
            </w:r>
            <w:bookmarkEnd w:id="2761"/>
            <w:bookmarkEnd w:id="2762"/>
            <w:bookmarkEnd w:id="2763"/>
            <w:bookmarkEnd w:id="2764"/>
          </w:p>
        </w:tc>
        <w:tc>
          <w:tcPr>
            <w:tcW w:w="883" w:type="pct"/>
          </w:tcPr>
          <w:p w14:paraId="499A80C6" w14:textId="77777777" w:rsidR="00AD1F54" w:rsidRPr="00264D5D" w:rsidRDefault="00941227">
            <w:pPr>
              <w:spacing w:before="60" w:after="60"/>
              <w:jc w:val="left"/>
              <w:rPr>
                <w:sz w:val="22"/>
                <w:szCs w:val="22"/>
              </w:rPr>
            </w:pPr>
            <w:bookmarkStart w:id="2765" w:name="OLE_LINK774"/>
            <w:bookmarkStart w:id="2766" w:name="OLE_LINK775"/>
            <w:bookmarkStart w:id="2767" w:name="OLE_LINK776"/>
            <w:bookmarkStart w:id="2768" w:name="OLE_LINK1180"/>
            <w:r w:rsidRPr="00264D5D">
              <w:rPr>
                <w:sz w:val="22"/>
                <w:szCs w:val="22"/>
              </w:rPr>
              <w:t>BankRecip</w:t>
            </w:r>
            <w:bookmarkEnd w:id="2765"/>
            <w:bookmarkEnd w:id="2766"/>
            <w:bookmarkEnd w:id="2767"/>
            <w:bookmarkEnd w:id="2768"/>
          </w:p>
        </w:tc>
        <w:tc>
          <w:tcPr>
            <w:tcW w:w="294" w:type="pct"/>
          </w:tcPr>
          <w:p w14:paraId="474B1906" w14:textId="77777777" w:rsidR="00AD1F54" w:rsidRPr="00264D5D" w:rsidRDefault="00941227">
            <w:pPr>
              <w:spacing w:before="60" w:after="60"/>
              <w:jc w:val="center"/>
              <w:rPr>
                <w:sz w:val="22"/>
                <w:szCs w:val="22"/>
              </w:rPr>
            </w:pPr>
            <w:r w:rsidRPr="00264D5D">
              <w:rPr>
                <w:sz w:val="22"/>
                <w:szCs w:val="22"/>
                <w:lang w:val="en-US"/>
              </w:rPr>
              <w:t>С</w:t>
            </w:r>
          </w:p>
        </w:tc>
        <w:tc>
          <w:tcPr>
            <w:tcW w:w="589" w:type="pct"/>
          </w:tcPr>
          <w:p w14:paraId="270BE701" w14:textId="77777777" w:rsidR="00AD1F54" w:rsidRPr="00264D5D" w:rsidRDefault="00941227">
            <w:pPr>
              <w:spacing w:before="60" w:after="60"/>
              <w:rPr>
                <w:sz w:val="22"/>
                <w:szCs w:val="22"/>
              </w:rPr>
            </w:pPr>
            <w:bookmarkStart w:id="2769" w:name="OLE_LINK454"/>
            <w:bookmarkStart w:id="2770" w:name="OLE_LINK455"/>
            <w:bookmarkStart w:id="2771" w:name="OLE_LINK456"/>
            <w:bookmarkStart w:id="2772" w:name="OLE_LINK457"/>
            <w:bookmarkStart w:id="2773" w:name="OLE_LINK458"/>
            <w:bookmarkStart w:id="2774" w:name="OLE_LINK807"/>
            <w:bookmarkStart w:id="2775" w:name="OLE_LINK808"/>
            <w:bookmarkStart w:id="2776" w:name="OLE_LINK809"/>
            <w:bookmarkStart w:id="2777" w:name="OLE_LINK810"/>
            <w:bookmarkStart w:id="2778" w:name="OLE_LINK811"/>
            <w:bookmarkStart w:id="2779" w:name="OLE_LINK812"/>
            <w:r w:rsidRPr="00264D5D">
              <w:rPr>
                <w:sz w:val="22"/>
                <w:szCs w:val="22"/>
              </w:rPr>
              <w:t>tBankRecip</w:t>
            </w:r>
            <w:bookmarkEnd w:id="2769"/>
            <w:bookmarkEnd w:id="2770"/>
            <w:bookmarkEnd w:id="2771"/>
            <w:bookmarkEnd w:id="2772"/>
            <w:bookmarkEnd w:id="2773"/>
            <w:bookmarkEnd w:id="2774"/>
            <w:bookmarkEnd w:id="2775"/>
            <w:bookmarkEnd w:id="2776"/>
            <w:bookmarkEnd w:id="2777"/>
            <w:bookmarkEnd w:id="2778"/>
            <w:bookmarkEnd w:id="2779"/>
          </w:p>
        </w:tc>
        <w:tc>
          <w:tcPr>
            <w:tcW w:w="294" w:type="pct"/>
          </w:tcPr>
          <w:p w14:paraId="0EA9D374" w14:textId="77777777" w:rsidR="00AD1F54" w:rsidRPr="00264D5D" w:rsidRDefault="00941227">
            <w:pPr>
              <w:spacing w:before="60" w:after="60"/>
              <w:jc w:val="center"/>
              <w:rPr>
                <w:sz w:val="22"/>
                <w:szCs w:val="22"/>
                <w:lang w:val="en-US"/>
              </w:rPr>
            </w:pPr>
            <w:r w:rsidRPr="00264D5D">
              <w:rPr>
                <w:sz w:val="22"/>
                <w:szCs w:val="22"/>
                <w:lang w:val="en-US"/>
              </w:rPr>
              <w:t>О</w:t>
            </w:r>
          </w:p>
        </w:tc>
        <w:tc>
          <w:tcPr>
            <w:tcW w:w="2057" w:type="pct"/>
          </w:tcPr>
          <w:p w14:paraId="2421C490" w14:textId="064AA574" w:rsidR="00AD1F54" w:rsidRPr="00264D5D" w:rsidRDefault="00941227">
            <w:pPr>
              <w:spacing w:before="60" w:after="60"/>
              <w:rPr>
                <w:sz w:val="22"/>
                <w:szCs w:val="22"/>
              </w:rPr>
            </w:pPr>
            <w:bookmarkStart w:id="2780" w:name="OLE_LINK829"/>
            <w:bookmarkStart w:id="2781" w:name="OLE_LINK830"/>
            <w:bookmarkStart w:id="2782" w:name="OLE_LINK831"/>
            <w:r w:rsidRPr="00264D5D">
              <w:rPr>
                <w:sz w:val="22"/>
                <w:szCs w:val="22"/>
              </w:rPr>
              <w:t xml:space="preserve">Состав элемента представлен в таблице </w:t>
            </w:r>
            <w:r w:rsidRPr="00264D5D">
              <w:rPr>
                <w:b/>
                <w:sz w:val="22"/>
                <w:szCs w:val="22"/>
              </w:rPr>
              <w:fldChar w:fldCharType="begin"/>
            </w:r>
            <w:r w:rsidRPr="00264D5D">
              <w:rPr>
                <w:b/>
                <w:sz w:val="22"/>
                <w:szCs w:val="22"/>
              </w:rPr>
              <w:instrText xml:space="preserve"> REF _Ref524689060 \h  \* MERGEFORMAT </w:instrText>
            </w:r>
            <w:r w:rsidRPr="00264D5D">
              <w:rPr>
                <w:b/>
                <w:sz w:val="22"/>
                <w:szCs w:val="22"/>
              </w:rPr>
            </w:r>
            <w:r w:rsidRPr="00264D5D">
              <w:rPr>
                <w:b/>
                <w:sz w:val="22"/>
                <w:szCs w:val="22"/>
              </w:rPr>
              <w:fldChar w:fldCharType="separate"/>
            </w:r>
            <w:r w:rsidR="008D797C" w:rsidRPr="008D797C">
              <w:rPr>
                <w:rFonts w:eastAsia="Calibri"/>
                <w:b/>
                <w:sz w:val="22"/>
                <w:szCs w:val="22"/>
              </w:rPr>
              <w:t>246</w:t>
            </w:r>
            <w:r w:rsidRPr="00264D5D">
              <w:rPr>
                <w:b/>
                <w:sz w:val="22"/>
                <w:szCs w:val="22"/>
              </w:rPr>
              <w:fldChar w:fldCharType="end"/>
            </w:r>
            <w:bookmarkEnd w:id="2780"/>
            <w:bookmarkEnd w:id="2781"/>
            <w:bookmarkEnd w:id="2782"/>
          </w:p>
        </w:tc>
      </w:tr>
    </w:tbl>
    <w:p w14:paraId="159C2357" w14:textId="77777777" w:rsidR="00AD1F54" w:rsidRPr="00264D5D" w:rsidRDefault="00941227">
      <w:pPr>
        <w:pStyle w:val="31"/>
      </w:pPr>
      <w:bookmarkStart w:id="2783" w:name="OLE_LINK480"/>
      <w:bookmarkStart w:id="2784" w:name="OLE_LINK481"/>
      <w:bookmarkStart w:id="2785" w:name="_Toc219309715"/>
      <w:r w:rsidRPr="00264D5D">
        <w:t>Описание комплексного типа «tBankRecip»</w:t>
      </w:r>
      <w:bookmarkEnd w:id="2785"/>
    </w:p>
    <w:p w14:paraId="2204902E" w14:textId="77777777" w:rsidR="00AD1F54" w:rsidRPr="00264D5D" w:rsidRDefault="00941227">
      <w:pPr>
        <w:pStyle w:val="ASFKNormal"/>
        <w:spacing w:before="60" w:after="120"/>
        <w:contextualSpacing w:val="0"/>
        <w:jc w:val="both"/>
        <w:rPr>
          <w:sz w:val="24"/>
          <w:szCs w:val="24"/>
        </w:rPr>
      </w:pPr>
      <w:r w:rsidRPr="00264D5D">
        <w:rPr>
          <w:sz w:val="24"/>
          <w:szCs w:val="24"/>
        </w:rPr>
        <w:t>Описание комплексного типа «tBankRecip» блока «</w:t>
      </w:r>
      <w:r w:rsidRPr="00264D5D">
        <w:rPr>
          <w:sz w:val="22"/>
        </w:rPr>
        <w:t>Информация о банке получателя</w:t>
      </w:r>
      <w:r w:rsidRPr="00264D5D">
        <w:rPr>
          <w:sz w:val="24"/>
          <w:szCs w:val="24"/>
        </w:rPr>
        <w:t>».</w:t>
      </w:r>
    </w:p>
    <w:p w14:paraId="241C0ACE" w14:textId="417119F5"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2786" w:name="_Ref524689060"/>
      <w:bookmarkStart w:id="2787" w:name="_Toc30503412"/>
      <w:bookmarkStart w:id="2788" w:name="_Toc30508010"/>
      <w:bookmarkStart w:id="2789" w:name="_Toc219309276"/>
      <w:r w:rsidR="008D797C">
        <w:rPr>
          <w:rFonts w:eastAsia="Calibri"/>
          <w:noProof/>
          <w:szCs w:val="24"/>
        </w:rPr>
        <w:t>246</w:t>
      </w:r>
      <w:bookmarkEnd w:id="2786"/>
      <w:r w:rsidRPr="00264D5D">
        <w:rPr>
          <w:rFonts w:eastAsia="Calibri"/>
          <w:szCs w:val="24"/>
        </w:rPr>
        <w:fldChar w:fldCharType="end"/>
      </w:r>
      <w:r w:rsidRPr="00264D5D">
        <w:rPr>
          <w:rFonts w:eastAsia="Calibri"/>
          <w:szCs w:val="24"/>
        </w:rPr>
        <w:t xml:space="preserve"> – Описание комплексного типа «</w:t>
      </w:r>
      <w:r w:rsidRPr="00264D5D">
        <w:rPr>
          <w:sz w:val="22"/>
        </w:rPr>
        <w:t>tBank</w:t>
      </w:r>
      <w:r w:rsidRPr="00264D5D">
        <w:rPr>
          <w:szCs w:val="24"/>
        </w:rPr>
        <w:t>Recip</w:t>
      </w:r>
      <w:r w:rsidRPr="00264D5D">
        <w:rPr>
          <w:rFonts w:eastAsia="Calibri"/>
          <w:szCs w:val="24"/>
        </w:rPr>
        <w:t>»</w:t>
      </w:r>
      <w:bookmarkEnd w:id="2787"/>
      <w:bookmarkEnd w:id="2788"/>
      <w:bookmarkEnd w:id="2789"/>
    </w:p>
    <w:tbl>
      <w:tblPr>
        <w:tblStyle w:val="GOSTTable"/>
        <w:tblW w:w="9631" w:type="dxa"/>
        <w:tblLayout w:type="fixed"/>
        <w:tblLook w:val="04A0" w:firstRow="1" w:lastRow="0" w:firstColumn="1" w:lastColumn="0" w:noHBand="0" w:noVBand="1"/>
      </w:tblPr>
      <w:tblGrid>
        <w:gridCol w:w="1702"/>
        <w:gridCol w:w="1702"/>
        <w:gridCol w:w="566"/>
        <w:gridCol w:w="1133"/>
        <w:gridCol w:w="566"/>
        <w:gridCol w:w="3962"/>
      </w:tblGrid>
      <w:tr w:rsidR="00AD1F54" w:rsidRPr="00264D5D" w14:paraId="200A2644" w14:textId="77777777" w:rsidTr="00AD1F54">
        <w:trPr>
          <w:cnfStyle w:val="100000000000" w:firstRow="1" w:lastRow="0" w:firstColumn="0" w:lastColumn="0" w:oddVBand="0" w:evenVBand="0" w:oddHBand="0" w:evenHBand="0" w:firstRowFirstColumn="0" w:firstRowLastColumn="0" w:lastRowFirstColumn="0" w:lastRowLastColumn="0"/>
          <w:trHeight w:val="282"/>
          <w:tblHeader/>
        </w:trPr>
        <w:tc>
          <w:tcPr>
            <w:tcW w:w="883" w:type="pct"/>
          </w:tcPr>
          <w:p w14:paraId="62D74F5C" w14:textId="77777777" w:rsidR="00AD1F54" w:rsidRPr="00264D5D" w:rsidRDefault="00941227">
            <w:pPr>
              <w:widowControl w:val="0"/>
              <w:spacing w:before="60" w:after="60"/>
              <w:jc w:val="center"/>
              <w:rPr>
                <w:b/>
                <w:bCs/>
                <w:sz w:val="22"/>
                <w:szCs w:val="22"/>
              </w:rPr>
            </w:pPr>
            <w:r w:rsidRPr="00264D5D">
              <w:rPr>
                <w:b/>
                <w:bCs/>
                <w:sz w:val="22"/>
                <w:szCs w:val="22"/>
              </w:rPr>
              <w:t>Наименование элемента</w:t>
            </w:r>
          </w:p>
        </w:tc>
        <w:tc>
          <w:tcPr>
            <w:tcW w:w="883" w:type="pct"/>
          </w:tcPr>
          <w:p w14:paraId="790C640B" w14:textId="77777777" w:rsidR="00AD1F54" w:rsidRPr="00264D5D" w:rsidRDefault="00941227">
            <w:pPr>
              <w:widowControl w:val="0"/>
              <w:spacing w:before="60" w:after="60"/>
              <w:jc w:val="center"/>
              <w:rPr>
                <w:b/>
                <w:bCs/>
                <w:sz w:val="22"/>
                <w:szCs w:val="22"/>
              </w:rPr>
            </w:pPr>
            <w:r w:rsidRPr="00264D5D">
              <w:rPr>
                <w:b/>
                <w:bCs/>
                <w:sz w:val="22"/>
                <w:szCs w:val="22"/>
              </w:rPr>
              <w:t>Сокращенное наименование (код) элемента</w:t>
            </w:r>
          </w:p>
        </w:tc>
        <w:tc>
          <w:tcPr>
            <w:tcW w:w="294" w:type="pct"/>
          </w:tcPr>
          <w:p w14:paraId="6B670237" w14:textId="77777777" w:rsidR="00AD1F54" w:rsidRPr="00264D5D" w:rsidRDefault="00941227">
            <w:pPr>
              <w:widowControl w:val="0"/>
              <w:spacing w:before="60" w:after="60"/>
              <w:jc w:val="center"/>
              <w:rPr>
                <w:b/>
                <w:sz w:val="22"/>
                <w:szCs w:val="22"/>
              </w:rPr>
            </w:pPr>
            <w:r w:rsidRPr="00264D5D">
              <w:rPr>
                <w:b/>
                <w:bCs/>
                <w:sz w:val="22"/>
                <w:szCs w:val="22"/>
              </w:rPr>
              <w:t>Тип</w:t>
            </w:r>
          </w:p>
        </w:tc>
        <w:tc>
          <w:tcPr>
            <w:tcW w:w="588" w:type="pct"/>
          </w:tcPr>
          <w:p w14:paraId="69CCDA82" w14:textId="77777777" w:rsidR="00AD1F54" w:rsidRPr="00264D5D" w:rsidRDefault="00941227">
            <w:pPr>
              <w:widowControl w:val="0"/>
              <w:spacing w:before="60" w:after="60"/>
              <w:jc w:val="center"/>
              <w:rPr>
                <w:b/>
                <w:sz w:val="22"/>
                <w:szCs w:val="22"/>
              </w:rPr>
            </w:pPr>
            <w:r w:rsidRPr="00264D5D">
              <w:rPr>
                <w:b/>
                <w:bCs/>
                <w:sz w:val="22"/>
                <w:szCs w:val="22"/>
              </w:rPr>
              <w:t>Формат элемента</w:t>
            </w:r>
          </w:p>
        </w:tc>
        <w:tc>
          <w:tcPr>
            <w:tcW w:w="294" w:type="pct"/>
          </w:tcPr>
          <w:p w14:paraId="72E7A808" w14:textId="77777777" w:rsidR="00AD1F54" w:rsidRPr="00264D5D" w:rsidRDefault="00941227">
            <w:pPr>
              <w:widowControl w:val="0"/>
              <w:spacing w:before="60" w:after="60"/>
              <w:jc w:val="center"/>
              <w:rPr>
                <w:b/>
                <w:sz w:val="22"/>
                <w:szCs w:val="22"/>
              </w:rPr>
            </w:pPr>
            <w:r w:rsidRPr="00264D5D">
              <w:rPr>
                <w:b/>
                <w:bCs/>
                <w:sz w:val="22"/>
                <w:szCs w:val="22"/>
              </w:rPr>
              <w:t>Обязательность</w:t>
            </w:r>
          </w:p>
        </w:tc>
        <w:tc>
          <w:tcPr>
            <w:tcW w:w="2057" w:type="pct"/>
          </w:tcPr>
          <w:p w14:paraId="3C262FF2" w14:textId="77777777" w:rsidR="00AD1F54" w:rsidRPr="00264D5D" w:rsidRDefault="00941227">
            <w:pPr>
              <w:widowControl w:val="0"/>
              <w:spacing w:before="60" w:after="60"/>
              <w:jc w:val="center"/>
              <w:rPr>
                <w:b/>
                <w:bCs/>
                <w:sz w:val="22"/>
                <w:szCs w:val="22"/>
              </w:rPr>
            </w:pPr>
            <w:r w:rsidRPr="00264D5D">
              <w:rPr>
                <w:b/>
                <w:bCs/>
                <w:sz w:val="22"/>
                <w:szCs w:val="22"/>
              </w:rPr>
              <w:t>Дополнительная информация</w:t>
            </w:r>
          </w:p>
        </w:tc>
      </w:tr>
      <w:tr w:rsidR="00AD1F54" w:rsidRPr="00264D5D" w14:paraId="5CBF2B01" w14:textId="77777777" w:rsidTr="00AD1F54">
        <w:trPr>
          <w:cnfStyle w:val="000000100000" w:firstRow="0" w:lastRow="0" w:firstColumn="0" w:lastColumn="0" w:oddVBand="0" w:evenVBand="0" w:oddHBand="1" w:evenHBand="0" w:firstRowFirstColumn="0" w:firstRowLastColumn="0" w:lastRowFirstColumn="0" w:lastRowLastColumn="0"/>
          <w:trHeight w:val="282"/>
        </w:trPr>
        <w:tc>
          <w:tcPr>
            <w:tcW w:w="883" w:type="pct"/>
          </w:tcPr>
          <w:p w14:paraId="406ABFE4" w14:textId="77777777" w:rsidR="00AD1F54" w:rsidRPr="00264D5D" w:rsidRDefault="00941227">
            <w:pPr>
              <w:widowControl w:val="0"/>
              <w:spacing w:before="60" w:after="60"/>
              <w:rPr>
                <w:sz w:val="22"/>
                <w:szCs w:val="22"/>
                <w:lang w:val="en-US"/>
              </w:rPr>
            </w:pPr>
            <w:bookmarkStart w:id="2790" w:name="OLE_LINK1185"/>
            <w:bookmarkStart w:id="2791" w:name="OLE_LINK1186"/>
            <w:r w:rsidRPr="00264D5D">
              <w:rPr>
                <w:sz w:val="22"/>
                <w:szCs w:val="22"/>
                <w:lang w:val="en-US"/>
              </w:rPr>
              <w:t>Наименование банка получателя</w:t>
            </w:r>
            <w:bookmarkEnd w:id="2790"/>
            <w:bookmarkEnd w:id="2791"/>
          </w:p>
        </w:tc>
        <w:tc>
          <w:tcPr>
            <w:tcW w:w="883" w:type="pct"/>
          </w:tcPr>
          <w:p w14:paraId="5A5068B7" w14:textId="77777777" w:rsidR="00AD1F54" w:rsidRPr="00264D5D" w:rsidRDefault="00941227">
            <w:pPr>
              <w:widowControl w:val="0"/>
              <w:spacing w:before="60" w:after="60"/>
              <w:rPr>
                <w:sz w:val="22"/>
                <w:szCs w:val="22"/>
                <w:lang w:val="en-US"/>
              </w:rPr>
            </w:pPr>
            <w:bookmarkStart w:id="2792" w:name="OLE_LINK1182"/>
            <w:bookmarkStart w:id="2793" w:name="OLE_LINK1183"/>
            <w:bookmarkStart w:id="2794" w:name="OLE_LINK1184"/>
            <w:r w:rsidRPr="00264D5D">
              <w:rPr>
                <w:sz w:val="22"/>
                <w:szCs w:val="22"/>
              </w:rPr>
              <w:t>NameBnk</w:t>
            </w:r>
            <w:r w:rsidRPr="00264D5D">
              <w:rPr>
                <w:sz w:val="22"/>
                <w:szCs w:val="22"/>
                <w:lang w:val="en-US"/>
              </w:rPr>
              <w:t>Recip</w:t>
            </w:r>
            <w:bookmarkEnd w:id="2792"/>
            <w:bookmarkEnd w:id="2793"/>
            <w:bookmarkEnd w:id="2794"/>
          </w:p>
        </w:tc>
        <w:tc>
          <w:tcPr>
            <w:tcW w:w="294" w:type="pct"/>
          </w:tcPr>
          <w:p w14:paraId="59CE1AFB" w14:textId="77777777" w:rsidR="00AD1F54" w:rsidRPr="00264D5D" w:rsidRDefault="00941227">
            <w:pPr>
              <w:pStyle w:val="affffff"/>
              <w:widowControl w:val="0"/>
              <w:spacing w:before="60" w:after="60" w:line="240" w:lineRule="auto"/>
              <w:ind w:firstLine="0"/>
              <w:jc w:val="center"/>
              <w:rPr>
                <w:sz w:val="22"/>
                <w:szCs w:val="22"/>
              </w:rPr>
            </w:pPr>
            <w:r w:rsidRPr="00264D5D">
              <w:rPr>
                <w:sz w:val="22"/>
                <w:szCs w:val="22"/>
              </w:rPr>
              <w:t>П</w:t>
            </w:r>
          </w:p>
        </w:tc>
        <w:tc>
          <w:tcPr>
            <w:tcW w:w="588" w:type="pct"/>
          </w:tcPr>
          <w:p w14:paraId="52EDFB9B" w14:textId="77777777" w:rsidR="00AD1F54" w:rsidRPr="00264D5D" w:rsidRDefault="00941227">
            <w:pPr>
              <w:pStyle w:val="affffff"/>
              <w:widowControl w:val="0"/>
              <w:spacing w:before="60" w:after="60" w:line="240" w:lineRule="auto"/>
              <w:ind w:firstLine="0"/>
              <w:rPr>
                <w:sz w:val="22"/>
                <w:szCs w:val="22"/>
              </w:rPr>
            </w:pPr>
            <w:r w:rsidRPr="00264D5D">
              <w:rPr>
                <w:sz w:val="22"/>
                <w:szCs w:val="22"/>
                <w:lang w:val="en-US"/>
              </w:rPr>
              <w:t>T(1-</w:t>
            </w:r>
            <w:r w:rsidRPr="00264D5D">
              <w:rPr>
                <w:sz w:val="22"/>
                <w:szCs w:val="22"/>
              </w:rPr>
              <w:t>2000</w:t>
            </w:r>
            <w:r w:rsidRPr="00264D5D">
              <w:rPr>
                <w:sz w:val="22"/>
                <w:szCs w:val="22"/>
                <w:lang w:val="en-US"/>
              </w:rPr>
              <w:t>)</w:t>
            </w:r>
          </w:p>
        </w:tc>
        <w:tc>
          <w:tcPr>
            <w:tcW w:w="294" w:type="pct"/>
          </w:tcPr>
          <w:p w14:paraId="0EDA3CC8" w14:textId="77777777" w:rsidR="00AD1F54" w:rsidRPr="00264D5D" w:rsidRDefault="00941227">
            <w:pPr>
              <w:widowControl w:val="0"/>
              <w:spacing w:before="60" w:after="60"/>
              <w:jc w:val="center"/>
              <w:rPr>
                <w:sz w:val="22"/>
                <w:szCs w:val="22"/>
              </w:rPr>
            </w:pPr>
            <w:r w:rsidRPr="00264D5D">
              <w:rPr>
                <w:sz w:val="22"/>
                <w:szCs w:val="22"/>
              </w:rPr>
              <w:t>О</w:t>
            </w:r>
          </w:p>
        </w:tc>
        <w:tc>
          <w:tcPr>
            <w:tcW w:w="2057" w:type="pct"/>
          </w:tcPr>
          <w:p w14:paraId="655A8578" w14:textId="77777777" w:rsidR="00AD1F54" w:rsidRPr="00264D5D" w:rsidRDefault="00941227">
            <w:pPr>
              <w:widowControl w:val="0"/>
              <w:spacing w:before="60" w:after="60"/>
              <w:rPr>
                <w:sz w:val="22"/>
                <w:szCs w:val="22"/>
              </w:rPr>
            </w:pPr>
            <w:r w:rsidRPr="00264D5D">
              <w:rPr>
                <w:sz w:val="22"/>
                <w:szCs w:val="22"/>
              </w:rPr>
              <w:t>Указывается наи</w:t>
            </w:r>
            <w:r w:rsidR="008279A4" w:rsidRPr="00264D5D">
              <w:rPr>
                <w:sz w:val="22"/>
                <w:szCs w:val="22"/>
              </w:rPr>
              <w:t>менование банка получателя</w:t>
            </w:r>
          </w:p>
        </w:tc>
      </w:tr>
      <w:tr w:rsidR="00AD1F54" w:rsidRPr="00264D5D" w14:paraId="53B6C9D2" w14:textId="77777777" w:rsidTr="00AD1F54">
        <w:trPr>
          <w:cnfStyle w:val="000000010000" w:firstRow="0" w:lastRow="0" w:firstColumn="0" w:lastColumn="0" w:oddVBand="0" w:evenVBand="0" w:oddHBand="0" w:evenHBand="1" w:firstRowFirstColumn="0" w:firstRowLastColumn="0" w:lastRowFirstColumn="0" w:lastRowLastColumn="0"/>
          <w:trHeight w:val="282"/>
        </w:trPr>
        <w:tc>
          <w:tcPr>
            <w:tcW w:w="883" w:type="pct"/>
          </w:tcPr>
          <w:p w14:paraId="2CE19A1C" w14:textId="77777777" w:rsidR="00AD1F54" w:rsidRPr="00264D5D" w:rsidRDefault="00941227">
            <w:pPr>
              <w:widowControl w:val="0"/>
              <w:spacing w:before="60" w:after="60"/>
              <w:rPr>
                <w:sz w:val="22"/>
                <w:szCs w:val="22"/>
                <w:lang w:val="en-US"/>
              </w:rPr>
            </w:pPr>
            <w:bookmarkStart w:id="2795" w:name="OLE_LINK1189"/>
            <w:bookmarkStart w:id="2796" w:name="OLE_LINK1190"/>
            <w:bookmarkEnd w:id="2783"/>
            <w:bookmarkEnd w:id="2784"/>
            <w:r w:rsidRPr="00264D5D">
              <w:rPr>
                <w:sz w:val="22"/>
                <w:szCs w:val="22"/>
                <w:lang w:val="en-US"/>
              </w:rPr>
              <w:t>БИК</w:t>
            </w:r>
            <w:bookmarkEnd w:id="2795"/>
            <w:bookmarkEnd w:id="2796"/>
          </w:p>
        </w:tc>
        <w:tc>
          <w:tcPr>
            <w:tcW w:w="883" w:type="pct"/>
          </w:tcPr>
          <w:p w14:paraId="65E1E85B" w14:textId="77777777" w:rsidR="00AD1F54" w:rsidRPr="00264D5D" w:rsidRDefault="00941227">
            <w:pPr>
              <w:widowControl w:val="0"/>
              <w:spacing w:before="60" w:after="60"/>
              <w:rPr>
                <w:sz w:val="22"/>
                <w:szCs w:val="22"/>
                <w:lang w:val="en-US"/>
              </w:rPr>
            </w:pPr>
            <w:bookmarkStart w:id="2797" w:name="OLE_LINK1187"/>
            <w:bookmarkStart w:id="2798" w:name="OLE_LINK1188"/>
            <w:r w:rsidRPr="00264D5D">
              <w:rPr>
                <w:sz w:val="22"/>
                <w:szCs w:val="22"/>
              </w:rPr>
              <w:t>BIKBnk</w:t>
            </w:r>
            <w:r w:rsidRPr="00264D5D">
              <w:rPr>
                <w:sz w:val="22"/>
                <w:szCs w:val="22"/>
                <w:lang w:val="en-US"/>
              </w:rPr>
              <w:t>Recip</w:t>
            </w:r>
            <w:bookmarkEnd w:id="2797"/>
            <w:bookmarkEnd w:id="2798"/>
          </w:p>
        </w:tc>
        <w:tc>
          <w:tcPr>
            <w:tcW w:w="294" w:type="pct"/>
          </w:tcPr>
          <w:p w14:paraId="269BD024" w14:textId="77777777" w:rsidR="00AD1F54" w:rsidRPr="00264D5D" w:rsidRDefault="00941227">
            <w:pPr>
              <w:widowControl w:val="0"/>
              <w:spacing w:before="60" w:after="60"/>
              <w:jc w:val="center"/>
              <w:rPr>
                <w:sz w:val="22"/>
                <w:szCs w:val="22"/>
              </w:rPr>
            </w:pPr>
            <w:r w:rsidRPr="00264D5D">
              <w:rPr>
                <w:sz w:val="22"/>
                <w:szCs w:val="22"/>
              </w:rPr>
              <w:t>П</w:t>
            </w:r>
          </w:p>
        </w:tc>
        <w:tc>
          <w:tcPr>
            <w:tcW w:w="588" w:type="pct"/>
          </w:tcPr>
          <w:p w14:paraId="428CA9D4" w14:textId="77777777" w:rsidR="00AD1F54" w:rsidRPr="00264D5D" w:rsidRDefault="00941227">
            <w:pPr>
              <w:widowControl w:val="0"/>
              <w:spacing w:before="60" w:after="60"/>
              <w:jc w:val="left"/>
              <w:rPr>
                <w:sz w:val="22"/>
                <w:szCs w:val="22"/>
              </w:rPr>
            </w:pPr>
            <w:r w:rsidRPr="00264D5D">
              <w:rPr>
                <w:sz w:val="22"/>
                <w:szCs w:val="22"/>
              </w:rPr>
              <w:t>Т(9)</w:t>
            </w:r>
          </w:p>
        </w:tc>
        <w:tc>
          <w:tcPr>
            <w:tcW w:w="294" w:type="pct"/>
          </w:tcPr>
          <w:p w14:paraId="295BFF10" w14:textId="77777777" w:rsidR="00AD1F54" w:rsidRPr="00264D5D" w:rsidRDefault="00941227">
            <w:pPr>
              <w:widowControl w:val="0"/>
              <w:spacing w:before="60" w:after="60"/>
              <w:jc w:val="center"/>
              <w:rPr>
                <w:sz w:val="22"/>
                <w:szCs w:val="22"/>
              </w:rPr>
            </w:pPr>
            <w:r w:rsidRPr="00264D5D">
              <w:rPr>
                <w:sz w:val="22"/>
                <w:szCs w:val="22"/>
              </w:rPr>
              <w:t>О</w:t>
            </w:r>
          </w:p>
        </w:tc>
        <w:tc>
          <w:tcPr>
            <w:tcW w:w="2057" w:type="pct"/>
          </w:tcPr>
          <w:p w14:paraId="4954C282" w14:textId="77777777" w:rsidR="00AD1F54" w:rsidRPr="00264D5D" w:rsidRDefault="00941227">
            <w:pPr>
              <w:widowControl w:val="0"/>
              <w:spacing w:before="60" w:after="60"/>
              <w:rPr>
                <w:sz w:val="22"/>
                <w:szCs w:val="22"/>
              </w:rPr>
            </w:pPr>
            <w:r w:rsidRPr="00264D5D">
              <w:rPr>
                <w:sz w:val="22"/>
                <w:szCs w:val="22"/>
              </w:rPr>
              <w:t>Ук</w:t>
            </w:r>
            <w:r w:rsidR="008279A4" w:rsidRPr="00264D5D">
              <w:rPr>
                <w:sz w:val="22"/>
                <w:szCs w:val="22"/>
              </w:rPr>
              <w:t>азывается БИК банка получателя</w:t>
            </w:r>
          </w:p>
        </w:tc>
      </w:tr>
      <w:tr w:rsidR="00AD1F54" w:rsidRPr="00264D5D" w14:paraId="5D0C202F" w14:textId="77777777" w:rsidTr="00AD1F54">
        <w:trPr>
          <w:cnfStyle w:val="000000100000" w:firstRow="0" w:lastRow="0" w:firstColumn="0" w:lastColumn="0" w:oddVBand="0" w:evenVBand="0" w:oddHBand="1" w:evenHBand="0" w:firstRowFirstColumn="0" w:firstRowLastColumn="0" w:lastRowFirstColumn="0" w:lastRowLastColumn="0"/>
          <w:trHeight w:val="282"/>
        </w:trPr>
        <w:tc>
          <w:tcPr>
            <w:tcW w:w="883" w:type="pct"/>
          </w:tcPr>
          <w:p w14:paraId="266959E7" w14:textId="77777777" w:rsidR="00AD1F54" w:rsidRPr="00264D5D" w:rsidRDefault="00941227">
            <w:pPr>
              <w:widowControl w:val="0"/>
              <w:spacing w:before="60" w:after="60"/>
              <w:rPr>
                <w:sz w:val="22"/>
                <w:szCs w:val="22"/>
                <w:lang w:val="en-US"/>
              </w:rPr>
            </w:pPr>
            <w:bookmarkStart w:id="2799" w:name="OLE_LINK1193"/>
            <w:bookmarkStart w:id="2800" w:name="OLE_LINK1194"/>
            <w:r w:rsidRPr="00264D5D">
              <w:rPr>
                <w:sz w:val="22"/>
                <w:szCs w:val="22"/>
                <w:lang w:val="en-US"/>
              </w:rPr>
              <w:t>Номер счета</w:t>
            </w:r>
            <w:bookmarkEnd w:id="2799"/>
            <w:bookmarkEnd w:id="2800"/>
          </w:p>
        </w:tc>
        <w:tc>
          <w:tcPr>
            <w:tcW w:w="883" w:type="pct"/>
          </w:tcPr>
          <w:p w14:paraId="32AAB9E0" w14:textId="77777777" w:rsidR="00AD1F54" w:rsidRPr="00264D5D" w:rsidRDefault="00941227">
            <w:pPr>
              <w:widowControl w:val="0"/>
              <w:spacing w:before="60" w:after="60"/>
              <w:rPr>
                <w:sz w:val="22"/>
                <w:szCs w:val="22"/>
                <w:lang w:val="en-US"/>
              </w:rPr>
            </w:pPr>
            <w:bookmarkStart w:id="2801" w:name="OLE_LINK1191"/>
            <w:bookmarkStart w:id="2802" w:name="OLE_LINK1192"/>
            <w:r w:rsidRPr="00264D5D">
              <w:rPr>
                <w:sz w:val="22"/>
                <w:szCs w:val="22"/>
                <w:lang w:val="en-US"/>
              </w:rPr>
              <w:t>AccRecip</w:t>
            </w:r>
            <w:bookmarkEnd w:id="2801"/>
            <w:bookmarkEnd w:id="2802"/>
          </w:p>
        </w:tc>
        <w:tc>
          <w:tcPr>
            <w:tcW w:w="294" w:type="pct"/>
          </w:tcPr>
          <w:p w14:paraId="5AA9A0BD" w14:textId="77777777" w:rsidR="00AD1F54" w:rsidRPr="00264D5D" w:rsidRDefault="00941227">
            <w:pPr>
              <w:pStyle w:val="EBTablenorm"/>
              <w:widowControl w:val="0"/>
              <w:ind w:left="57" w:right="57"/>
              <w:contextualSpacing w:val="0"/>
              <w:jc w:val="center"/>
              <w:rPr>
                <w:sz w:val="22"/>
                <w:szCs w:val="22"/>
              </w:rPr>
            </w:pPr>
            <w:r w:rsidRPr="00264D5D">
              <w:rPr>
                <w:sz w:val="22"/>
                <w:szCs w:val="22"/>
              </w:rPr>
              <w:t>П</w:t>
            </w:r>
          </w:p>
        </w:tc>
        <w:tc>
          <w:tcPr>
            <w:tcW w:w="588" w:type="pct"/>
          </w:tcPr>
          <w:p w14:paraId="38884EBF" w14:textId="77777777" w:rsidR="00AD1F54" w:rsidRPr="00264D5D" w:rsidRDefault="00941227">
            <w:pPr>
              <w:pStyle w:val="EBTablenorm"/>
              <w:widowControl w:val="0"/>
              <w:ind w:left="57" w:right="57"/>
              <w:contextualSpacing w:val="0"/>
              <w:rPr>
                <w:sz w:val="22"/>
                <w:szCs w:val="22"/>
                <w:lang w:val="en-US"/>
              </w:rPr>
            </w:pPr>
            <w:r w:rsidRPr="00264D5D">
              <w:rPr>
                <w:sz w:val="22"/>
                <w:szCs w:val="22"/>
              </w:rPr>
              <w:t>Т(20)</w:t>
            </w:r>
          </w:p>
        </w:tc>
        <w:tc>
          <w:tcPr>
            <w:tcW w:w="294" w:type="pct"/>
          </w:tcPr>
          <w:p w14:paraId="6041D84A" w14:textId="77777777" w:rsidR="00AD1F54" w:rsidRPr="00264D5D" w:rsidRDefault="00941227">
            <w:pPr>
              <w:widowControl w:val="0"/>
              <w:spacing w:before="60" w:after="60"/>
              <w:jc w:val="center"/>
              <w:rPr>
                <w:sz w:val="22"/>
                <w:szCs w:val="22"/>
              </w:rPr>
            </w:pPr>
            <w:r w:rsidRPr="00264D5D">
              <w:rPr>
                <w:sz w:val="22"/>
                <w:szCs w:val="22"/>
              </w:rPr>
              <w:t>О</w:t>
            </w:r>
          </w:p>
        </w:tc>
        <w:tc>
          <w:tcPr>
            <w:tcW w:w="2057" w:type="pct"/>
          </w:tcPr>
          <w:p w14:paraId="59138618" w14:textId="77777777" w:rsidR="00AD1F54" w:rsidRPr="00264D5D" w:rsidRDefault="00941227">
            <w:pPr>
              <w:widowControl w:val="0"/>
              <w:spacing w:before="60" w:after="60"/>
              <w:rPr>
                <w:sz w:val="22"/>
                <w:szCs w:val="22"/>
              </w:rPr>
            </w:pPr>
            <w:r w:rsidRPr="00264D5D">
              <w:rPr>
                <w:sz w:val="22"/>
                <w:szCs w:val="22"/>
              </w:rPr>
              <w:t xml:space="preserve">Указывается корреспондентского счета кредитной организации или корреспондентского субсчета филиала кредитной организации, открытого в </w:t>
            </w:r>
            <w:r w:rsidR="008279A4" w:rsidRPr="00264D5D">
              <w:rPr>
                <w:sz w:val="22"/>
                <w:szCs w:val="22"/>
              </w:rPr>
              <w:t>Банке России</w:t>
            </w:r>
          </w:p>
        </w:tc>
      </w:tr>
    </w:tbl>
    <w:p w14:paraId="353B8045" w14:textId="77777777" w:rsidR="00AD1F54" w:rsidRPr="00264D5D" w:rsidRDefault="00941227">
      <w:pPr>
        <w:pStyle w:val="31"/>
      </w:pPr>
      <w:bookmarkStart w:id="2803" w:name="OLE_LINK499"/>
      <w:bookmarkStart w:id="2804" w:name="OLE_LINK500"/>
      <w:bookmarkStart w:id="2805" w:name="OLE_LINK1338"/>
      <w:bookmarkStart w:id="2806" w:name="OLE_LINK503"/>
      <w:bookmarkStart w:id="2807" w:name="OLE_LINK504"/>
      <w:bookmarkStart w:id="2808" w:name="_Toc219309716"/>
      <w:bookmarkEnd w:id="2664"/>
      <w:bookmarkEnd w:id="2665"/>
      <w:bookmarkEnd w:id="2666"/>
      <w:bookmarkEnd w:id="2667"/>
      <w:r w:rsidRPr="00264D5D">
        <w:t>Описание комплексного типа «</w:t>
      </w:r>
      <w:bookmarkStart w:id="2809" w:name="OLE_LINK1195"/>
      <w:bookmarkStart w:id="2810" w:name="OLE_LINK1196"/>
      <w:bookmarkStart w:id="2811" w:name="OLE_LINK1197"/>
      <w:r w:rsidRPr="00264D5D">
        <w:t>tSuppDocs</w:t>
      </w:r>
      <w:bookmarkEnd w:id="2809"/>
      <w:bookmarkEnd w:id="2810"/>
      <w:bookmarkEnd w:id="2811"/>
      <w:r w:rsidRPr="00264D5D">
        <w:t>»</w:t>
      </w:r>
      <w:bookmarkEnd w:id="2808"/>
    </w:p>
    <w:p w14:paraId="46B49EB3" w14:textId="77777777" w:rsidR="00AD1F54" w:rsidRPr="00264D5D" w:rsidRDefault="00941227">
      <w:pPr>
        <w:pStyle w:val="ASFKNormal"/>
        <w:spacing w:before="60" w:after="120"/>
        <w:contextualSpacing w:val="0"/>
        <w:jc w:val="both"/>
        <w:rPr>
          <w:sz w:val="24"/>
          <w:szCs w:val="24"/>
        </w:rPr>
      </w:pPr>
      <w:r w:rsidRPr="00264D5D">
        <w:rPr>
          <w:sz w:val="24"/>
          <w:szCs w:val="24"/>
        </w:rPr>
        <w:t>Описание комплексного типа «tSuppDocs» блока «Перечень подтверждающих документов».</w:t>
      </w:r>
    </w:p>
    <w:p w14:paraId="1A390562" w14:textId="191D4F88"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2812" w:name="_Ref524689961"/>
      <w:bookmarkStart w:id="2813" w:name="_Toc30503413"/>
      <w:bookmarkStart w:id="2814" w:name="_Toc30508011"/>
      <w:bookmarkStart w:id="2815" w:name="_Toc219309277"/>
      <w:r w:rsidR="008D797C">
        <w:rPr>
          <w:rFonts w:eastAsia="Calibri"/>
          <w:noProof/>
          <w:szCs w:val="24"/>
        </w:rPr>
        <w:t>247</w:t>
      </w:r>
      <w:bookmarkEnd w:id="2812"/>
      <w:r w:rsidRPr="00264D5D">
        <w:rPr>
          <w:rFonts w:eastAsia="Calibri"/>
          <w:szCs w:val="24"/>
        </w:rPr>
        <w:fldChar w:fldCharType="end"/>
      </w:r>
      <w:r w:rsidRPr="00264D5D">
        <w:rPr>
          <w:rFonts w:eastAsia="Calibri"/>
          <w:szCs w:val="24"/>
        </w:rPr>
        <w:t xml:space="preserve"> – </w:t>
      </w:r>
      <w:bookmarkStart w:id="2816" w:name="OLE_LINK501"/>
      <w:bookmarkStart w:id="2817" w:name="OLE_LINK502"/>
      <w:r w:rsidRPr="00264D5D">
        <w:rPr>
          <w:rFonts w:eastAsia="Calibri"/>
          <w:szCs w:val="24"/>
        </w:rPr>
        <w:t>Описание комплексного типа «tSuppDocs»</w:t>
      </w:r>
      <w:bookmarkEnd w:id="2813"/>
      <w:bookmarkEnd w:id="2814"/>
      <w:bookmarkEnd w:id="2815"/>
    </w:p>
    <w:tbl>
      <w:tblPr>
        <w:tblStyle w:val="GOSTTable"/>
        <w:tblW w:w="9636" w:type="dxa"/>
        <w:tblLayout w:type="fixed"/>
        <w:tblLook w:val="04A0" w:firstRow="1" w:lastRow="0" w:firstColumn="1" w:lastColumn="0" w:noHBand="0" w:noVBand="1"/>
      </w:tblPr>
      <w:tblGrid>
        <w:gridCol w:w="1703"/>
        <w:gridCol w:w="1700"/>
        <w:gridCol w:w="569"/>
        <w:gridCol w:w="1135"/>
        <w:gridCol w:w="567"/>
        <w:gridCol w:w="3962"/>
      </w:tblGrid>
      <w:tr w:rsidR="00AD1F54" w:rsidRPr="00264D5D" w14:paraId="53716533" w14:textId="77777777" w:rsidTr="00AD1F54">
        <w:trPr>
          <w:cnfStyle w:val="100000000000" w:firstRow="1" w:lastRow="0" w:firstColumn="0" w:lastColumn="0" w:oddVBand="0" w:evenVBand="0" w:oddHBand="0" w:evenHBand="0" w:firstRowFirstColumn="0" w:firstRowLastColumn="0" w:lastRowFirstColumn="0" w:lastRowLastColumn="0"/>
          <w:trHeight w:val="282"/>
          <w:tblHeader/>
        </w:trPr>
        <w:tc>
          <w:tcPr>
            <w:tcW w:w="883" w:type="pct"/>
          </w:tcPr>
          <w:p w14:paraId="1890379A" w14:textId="77777777" w:rsidR="00AD1F54" w:rsidRPr="00264D5D" w:rsidRDefault="00941227">
            <w:pPr>
              <w:spacing w:before="60" w:after="60"/>
              <w:jc w:val="center"/>
              <w:rPr>
                <w:b/>
                <w:bCs/>
                <w:sz w:val="22"/>
                <w:szCs w:val="22"/>
              </w:rPr>
            </w:pPr>
            <w:r w:rsidRPr="00264D5D">
              <w:rPr>
                <w:b/>
                <w:bCs/>
                <w:sz w:val="22"/>
                <w:szCs w:val="22"/>
              </w:rPr>
              <w:t>Наименование элемента</w:t>
            </w:r>
          </w:p>
        </w:tc>
        <w:tc>
          <w:tcPr>
            <w:tcW w:w="882" w:type="pct"/>
          </w:tcPr>
          <w:p w14:paraId="6FB1CEDB" w14:textId="77777777" w:rsidR="00AD1F54" w:rsidRPr="00264D5D" w:rsidRDefault="00941227">
            <w:pPr>
              <w:spacing w:before="60" w:after="60"/>
              <w:jc w:val="center"/>
              <w:rPr>
                <w:b/>
                <w:bCs/>
                <w:sz w:val="22"/>
                <w:szCs w:val="22"/>
              </w:rPr>
            </w:pPr>
            <w:r w:rsidRPr="00264D5D">
              <w:rPr>
                <w:b/>
                <w:bCs/>
                <w:sz w:val="22"/>
                <w:szCs w:val="22"/>
              </w:rPr>
              <w:t>Сокращенное наименование (код) элемента</w:t>
            </w:r>
          </w:p>
        </w:tc>
        <w:tc>
          <w:tcPr>
            <w:tcW w:w="295" w:type="pct"/>
          </w:tcPr>
          <w:p w14:paraId="1359A571" w14:textId="77777777" w:rsidR="00AD1F54" w:rsidRPr="00264D5D" w:rsidRDefault="00941227">
            <w:pPr>
              <w:spacing w:before="60" w:after="60"/>
              <w:jc w:val="center"/>
              <w:rPr>
                <w:b/>
                <w:sz w:val="22"/>
                <w:szCs w:val="22"/>
              </w:rPr>
            </w:pPr>
            <w:r w:rsidRPr="00264D5D">
              <w:rPr>
                <w:b/>
                <w:bCs/>
                <w:sz w:val="22"/>
                <w:szCs w:val="22"/>
              </w:rPr>
              <w:t>Тип</w:t>
            </w:r>
          </w:p>
        </w:tc>
        <w:tc>
          <w:tcPr>
            <w:tcW w:w="589" w:type="pct"/>
          </w:tcPr>
          <w:p w14:paraId="712C9985" w14:textId="77777777" w:rsidR="00AD1F54" w:rsidRPr="00264D5D" w:rsidRDefault="00941227">
            <w:pPr>
              <w:spacing w:before="60" w:after="60"/>
              <w:jc w:val="center"/>
              <w:rPr>
                <w:b/>
                <w:sz w:val="22"/>
                <w:szCs w:val="22"/>
              </w:rPr>
            </w:pPr>
            <w:r w:rsidRPr="00264D5D">
              <w:rPr>
                <w:b/>
                <w:bCs/>
                <w:sz w:val="22"/>
                <w:szCs w:val="22"/>
              </w:rPr>
              <w:t>Формат элемента</w:t>
            </w:r>
          </w:p>
        </w:tc>
        <w:tc>
          <w:tcPr>
            <w:tcW w:w="294" w:type="pct"/>
          </w:tcPr>
          <w:p w14:paraId="570A695E" w14:textId="77777777" w:rsidR="00AD1F54" w:rsidRPr="00264D5D" w:rsidRDefault="00941227">
            <w:pPr>
              <w:spacing w:before="60" w:after="60"/>
              <w:jc w:val="center"/>
              <w:rPr>
                <w:b/>
                <w:sz w:val="22"/>
                <w:szCs w:val="22"/>
              </w:rPr>
            </w:pPr>
            <w:r w:rsidRPr="00264D5D">
              <w:rPr>
                <w:b/>
                <w:bCs/>
                <w:sz w:val="22"/>
                <w:szCs w:val="22"/>
              </w:rPr>
              <w:t>Обязательность</w:t>
            </w:r>
          </w:p>
        </w:tc>
        <w:tc>
          <w:tcPr>
            <w:tcW w:w="2056" w:type="pct"/>
          </w:tcPr>
          <w:p w14:paraId="45792446" w14:textId="77777777" w:rsidR="00AD1F54" w:rsidRPr="00264D5D" w:rsidRDefault="00941227">
            <w:pPr>
              <w:spacing w:before="60" w:after="60"/>
              <w:jc w:val="center"/>
              <w:rPr>
                <w:b/>
                <w:bCs/>
                <w:sz w:val="22"/>
                <w:szCs w:val="22"/>
              </w:rPr>
            </w:pPr>
            <w:r w:rsidRPr="00264D5D">
              <w:rPr>
                <w:b/>
                <w:bCs/>
                <w:sz w:val="22"/>
                <w:szCs w:val="22"/>
              </w:rPr>
              <w:t>Дополнительная информация</w:t>
            </w:r>
          </w:p>
        </w:tc>
      </w:tr>
      <w:tr w:rsidR="00AD1F54" w:rsidRPr="00264D5D" w14:paraId="21E28E4C" w14:textId="77777777" w:rsidTr="00AD1F54">
        <w:trPr>
          <w:cnfStyle w:val="000000100000" w:firstRow="0" w:lastRow="0" w:firstColumn="0" w:lastColumn="0" w:oddVBand="0" w:evenVBand="0" w:oddHBand="1" w:evenHBand="0" w:firstRowFirstColumn="0" w:firstRowLastColumn="0" w:lastRowFirstColumn="0" w:lastRowLastColumn="0"/>
          <w:trHeight w:val="282"/>
        </w:trPr>
        <w:tc>
          <w:tcPr>
            <w:tcW w:w="883" w:type="pct"/>
          </w:tcPr>
          <w:p w14:paraId="40443237" w14:textId="77777777" w:rsidR="00AD1F54" w:rsidRPr="00264D5D" w:rsidRDefault="00941227">
            <w:pPr>
              <w:spacing w:before="60" w:after="60"/>
              <w:rPr>
                <w:sz w:val="22"/>
                <w:szCs w:val="22"/>
                <w:lang w:val="en-US"/>
              </w:rPr>
            </w:pPr>
            <w:bookmarkStart w:id="2818" w:name="OLE_LINK838"/>
            <w:bookmarkStart w:id="2819" w:name="OLE_LINK839"/>
            <w:bookmarkStart w:id="2820" w:name="OLE_LINK843"/>
            <w:bookmarkStart w:id="2821" w:name="OLE_LINK844"/>
            <w:bookmarkStart w:id="2822" w:name="OLE_LINK1199"/>
            <w:r w:rsidRPr="00264D5D">
              <w:rPr>
                <w:sz w:val="22"/>
                <w:szCs w:val="22"/>
                <w:lang w:val="en-US"/>
              </w:rPr>
              <w:t>Перечень подтверждающих документов</w:t>
            </w:r>
            <w:bookmarkEnd w:id="2818"/>
            <w:bookmarkEnd w:id="2819"/>
            <w:bookmarkEnd w:id="2820"/>
            <w:bookmarkEnd w:id="2821"/>
            <w:bookmarkEnd w:id="2822"/>
          </w:p>
        </w:tc>
        <w:tc>
          <w:tcPr>
            <w:tcW w:w="882" w:type="pct"/>
          </w:tcPr>
          <w:p w14:paraId="134735E9" w14:textId="77777777" w:rsidR="00AD1F54" w:rsidRPr="00264D5D" w:rsidRDefault="00941227">
            <w:pPr>
              <w:spacing w:before="60" w:after="60"/>
              <w:rPr>
                <w:sz w:val="22"/>
                <w:szCs w:val="22"/>
                <w:lang w:val="en-US"/>
              </w:rPr>
            </w:pPr>
            <w:bookmarkStart w:id="2823" w:name="OLE_LINK840"/>
            <w:bookmarkStart w:id="2824" w:name="OLE_LINK841"/>
            <w:bookmarkStart w:id="2825" w:name="OLE_LINK842"/>
            <w:bookmarkStart w:id="2826" w:name="OLE_LINK832"/>
            <w:bookmarkStart w:id="2827" w:name="OLE_LINK833"/>
            <w:bookmarkStart w:id="2828" w:name="OLE_LINK834"/>
            <w:bookmarkStart w:id="2829" w:name="OLE_LINK835"/>
            <w:bookmarkStart w:id="2830" w:name="OLE_LINK836"/>
            <w:bookmarkStart w:id="2831" w:name="OLE_LINK837"/>
            <w:bookmarkStart w:id="2832" w:name="OLE_LINK872"/>
            <w:bookmarkStart w:id="2833" w:name="OLE_LINK873"/>
            <w:bookmarkStart w:id="2834" w:name="OLE_LINK1198"/>
            <w:r w:rsidRPr="00264D5D">
              <w:rPr>
                <w:sz w:val="22"/>
                <w:szCs w:val="22"/>
                <w:lang w:val="en-US"/>
              </w:rPr>
              <w:t>SuppDocs</w:t>
            </w:r>
            <w:bookmarkEnd w:id="2823"/>
            <w:bookmarkEnd w:id="2824"/>
            <w:bookmarkEnd w:id="2825"/>
            <w:r w:rsidRPr="00264D5D">
              <w:rPr>
                <w:sz w:val="22"/>
                <w:szCs w:val="22"/>
                <w:lang w:val="en-US"/>
              </w:rPr>
              <w:t>Item</w:t>
            </w:r>
            <w:bookmarkEnd w:id="2826"/>
            <w:bookmarkEnd w:id="2827"/>
            <w:bookmarkEnd w:id="2828"/>
            <w:bookmarkEnd w:id="2829"/>
            <w:bookmarkEnd w:id="2830"/>
            <w:bookmarkEnd w:id="2831"/>
            <w:bookmarkEnd w:id="2832"/>
            <w:bookmarkEnd w:id="2833"/>
            <w:bookmarkEnd w:id="2834"/>
          </w:p>
        </w:tc>
        <w:tc>
          <w:tcPr>
            <w:tcW w:w="295" w:type="pct"/>
          </w:tcPr>
          <w:p w14:paraId="2DEBDB86" w14:textId="77777777" w:rsidR="00AD1F54" w:rsidRPr="00264D5D" w:rsidRDefault="00941227">
            <w:pPr>
              <w:pStyle w:val="affffff"/>
              <w:spacing w:before="60" w:after="60" w:line="240" w:lineRule="auto"/>
              <w:ind w:firstLine="0"/>
              <w:jc w:val="center"/>
              <w:rPr>
                <w:sz w:val="22"/>
                <w:szCs w:val="22"/>
                <w:lang w:val="en-US" w:eastAsia="ru-RU"/>
              </w:rPr>
            </w:pPr>
            <w:r w:rsidRPr="00264D5D">
              <w:rPr>
                <w:sz w:val="22"/>
                <w:szCs w:val="22"/>
                <w:lang w:val="en-US" w:eastAsia="ru-RU"/>
              </w:rPr>
              <w:t>С</w:t>
            </w:r>
          </w:p>
        </w:tc>
        <w:tc>
          <w:tcPr>
            <w:tcW w:w="589" w:type="pct"/>
          </w:tcPr>
          <w:p w14:paraId="4C518024" w14:textId="77777777" w:rsidR="00AD1F54" w:rsidRPr="00264D5D" w:rsidRDefault="00941227">
            <w:pPr>
              <w:pStyle w:val="affffff"/>
              <w:spacing w:before="60" w:after="60" w:line="240" w:lineRule="auto"/>
              <w:ind w:firstLine="0"/>
              <w:rPr>
                <w:sz w:val="22"/>
                <w:szCs w:val="22"/>
                <w:lang w:val="en-US" w:eastAsia="ru-RU"/>
              </w:rPr>
            </w:pPr>
            <w:bookmarkStart w:id="2835" w:name="OLE_LINK1200"/>
            <w:bookmarkStart w:id="2836" w:name="OLE_LINK1201"/>
            <w:r w:rsidRPr="00264D5D">
              <w:rPr>
                <w:sz w:val="22"/>
                <w:szCs w:val="22"/>
                <w:lang w:val="en-US"/>
              </w:rPr>
              <w:t>tSuppDocsItem</w:t>
            </w:r>
            <w:bookmarkEnd w:id="2835"/>
            <w:bookmarkEnd w:id="2836"/>
          </w:p>
        </w:tc>
        <w:tc>
          <w:tcPr>
            <w:tcW w:w="294" w:type="pct"/>
          </w:tcPr>
          <w:p w14:paraId="6DADC476" w14:textId="77777777" w:rsidR="00AD1F54" w:rsidRPr="00264D5D" w:rsidRDefault="00941227">
            <w:pPr>
              <w:spacing w:before="60" w:after="60"/>
              <w:jc w:val="center"/>
              <w:rPr>
                <w:sz w:val="22"/>
                <w:szCs w:val="22"/>
                <w:lang w:val="en-US"/>
              </w:rPr>
            </w:pPr>
            <w:r w:rsidRPr="00264D5D">
              <w:rPr>
                <w:sz w:val="22"/>
                <w:szCs w:val="22"/>
              </w:rPr>
              <w:t>Н</w:t>
            </w:r>
            <w:r w:rsidRPr="00264D5D">
              <w:rPr>
                <w:sz w:val="22"/>
                <w:szCs w:val="22"/>
                <w:lang w:val="en-US"/>
              </w:rPr>
              <w:t>М</w:t>
            </w:r>
          </w:p>
        </w:tc>
        <w:tc>
          <w:tcPr>
            <w:tcW w:w="2056" w:type="pct"/>
          </w:tcPr>
          <w:p w14:paraId="3E56C579" w14:textId="01C81784" w:rsidR="00AD1F54" w:rsidRPr="00264D5D" w:rsidRDefault="00941227">
            <w:pPr>
              <w:spacing w:before="60" w:after="60"/>
              <w:rPr>
                <w:sz w:val="22"/>
                <w:szCs w:val="22"/>
              </w:rPr>
            </w:pPr>
            <w:bookmarkStart w:id="2837" w:name="OLE_LINK874"/>
            <w:bookmarkStart w:id="2838" w:name="OLE_LINK875"/>
            <w:bookmarkStart w:id="2839" w:name="OLE_LINK876"/>
            <w:r w:rsidRPr="00264D5D">
              <w:rPr>
                <w:sz w:val="22"/>
                <w:szCs w:val="22"/>
              </w:rPr>
              <w:t>Состав элемента представлен в таблице </w:t>
            </w:r>
            <w:r w:rsidRPr="00264D5D">
              <w:rPr>
                <w:b/>
                <w:sz w:val="22"/>
                <w:szCs w:val="22"/>
                <w:lang w:val="en-US"/>
              </w:rPr>
              <w:fldChar w:fldCharType="begin"/>
            </w:r>
            <w:r w:rsidRPr="00264D5D">
              <w:rPr>
                <w:b/>
                <w:sz w:val="22"/>
                <w:szCs w:val="22"/>
              </w:rPr>
              <w:instrText xml:space="preserve"> </w:instrText>
            </w:r>
            <w:r w:rsidRPr="00264D5D">
              <w:rPr>
                <w:b/>
                <w:sz w:val="22"/>
                <w:szCs w:val="22"/>
                <w:lang w:val="en-US"/>
              </w:rPr>
              <w:instrText>REF</w:instrText>
            </w:r>
            <w:r w:rsidRPr="00264D5D">
              <w:rPr>
                <w:b/>
                <w:sz w:val="22"/>
                <w:szCs w:val="22"/>
              </w:rPr>
              <w:instrText xml:space="preserve"> _</w:instrText>
            </w:r>
            <w:r w:rsidRPr="00264D5D">
              <w:rPr>
                <w:b/>
                <w:sz w:val="22"/>
                <w:szCs w:val="22"/>
                <w:lang w:val="en-US"/>
              </w:rPr>
              <w:instrText>Ref</w:instrText>
            </w:r>
            <w:r w:rsidRPr="00264D5D">
              <w:rPr>
                <w:b/>
                <w:sz w:val="22"/>
                <w:szCs w:val="22"/>
              </w:rPr>
              <w:instrText>524690140 \</w:instrText>
            </w:r>
            <w:r w:rsidRPr="00264D5D">
              <w:rPr>
                <w:b/>
                <w:sz w:val="22"/>
                <w:szCs w:val="22"/>
                <w:lang w:val="en-US"/>
              </w:rPr>
              <w:instrText>h</w:instrText>
            </w:r>
            <w:r w:rsidRPr="00264D5D">
              <w:rPr>
                <w:b/>
                <w:sz w:val="22"/>
                <w:szCs w:val="22"/>
              </w:rPr>
              <w:instrText xml:space="preserve">  \* </w:instrText>
            </w:r>
            <w:r w:rsidRPr="00264D5D">
              <w:rPr>
                <w:b/>
                <w:sz w:val="22"/>
                <w:szCs w:val="22"/>
                <w:lang w:val="en-US"/>
              </w:rPr>
              <w:instrText>MERGEFORMAT</w:instrText>
            </w:r>
            <w:r w:rsidRPr="00264D5D">
              <w:rPr>
                <w:b/>
                <w:sz w:val="22"/>
                <w:szCs w:val="22"/>
              </w:rPr>
              <w:instrText xml:space="preserve"> </w:instrText>
            </w:r>
            <w:r w:rsidRPr="00264D5D">
              <w:rPr>
                <w:b/>
                <w:sz w:val="22"/>
                <w:szCs w:val="22"/>
                <w:lang w:val="en-US"/>
              </w:rPr>
            </w:r>
            <w:r w:rsidRPr="00264D5D">
              <w:rPr>
                <w:b/>
                <w:sz w:val="22"/>
                <w:szCs w:val="22"/>
                <w:lang w:val="en-US"/>
              </w:rPr>
              <w:fldChar w:fldCharType="separate"/>
            </w:r>
            <w:r w:rsidR="008D797C" w:rsidRPr="008D797C">
              <w:rPr>
                <w:b/>
                <w:sz w:val="22"/>
                <w:szCs w:val="22"/>
              </w:rPr>
              <w:t>248</w:t>
            </w:r>
            <w:r w:rsidRPr="00264D5D">
              <w:rPr>
                <w:b/>
                <w:sz w:val="22"/>
                <w:szCs w:val="22"/>
                <w:lang w:val="en-US"/>
              </w:rPr>
              <w:fldChar w:fldCharType="end"/>
            </w:r>
            <w:bookmarkEnd w:id="2837"/>
            <w:bookmarkEnd w:id="2838"/>
            <w:bookmarkEnd w:id="2839"/>
          </w:p>
        </w:tc>
      </w:tr>
    </w:tbl>
    <w:p w14:paraId="0B79BD33" w14:textId="77777777" w:rsidR="00AD1F54" w:rsidRPr="00264D5D" w:rsidRDefault="00941227">
      <w:pPr>
        <w:pStyle w:val="31"/>
      </w:pPr>
      <w:bookmarkStart w:id="2840" w:name="OLE_LINK1335"/>
      <w:bookmarkStart w:id="2841" w:name="OLE_LINK1336"/>
      <w:bookmarkStart w:id="2842" w:name="OLE_LINK1337"/>
      <w:bookmarkStart w:id="2843" w:name="_Toc219309717"/>
      <w:bookmarkEnd w:id="2803"/>
      <w:bookmarkEnd w:id="2804"/>
      <w:bookmarkEnd w:id="2805"/>
      <w:r w:rsidRPr="00264D5D">
        <w:t>Описание комплексного типа «tSuppDocsItem»</w:t>
      </w:r>
      <w:bookmarkEnd w:id="2843"/>
    </w:p>
    <w:p w14:paraId="585BFADC" w14:textId="77777777" w:rsidR="00AD1F54" w:rsidRPr="00264D5D" w:rsidRDefault="00941227">
      <w:pPr>
        <w:pStyle w:val="ASFKNormal"/>
        <w:spacing w:before="60" w:after="120"/>
        <w:contextualSpacing w:val="0"/>
        <w:jc w:val="both"/>
        <w:rPr>
          <w:rFonts w:eastAsia="Calibri"/>
          <w:b/>
          <w:sz w:val="24"/>
          <w:szCs w:val="24"/>
        </w:rPr>
      </w:pPr>
      <w:r w:rsidRPr="00264D5D">
        <w:rPr>
          <w:sz w:val="24"/>
          <w:szCs w:val="24"/>
        </w:rPr>
        <w:t>Описание комплексного типа «</w:t>
      </w:r>
      <w:r w:rsidRPr="00264D5D">
        <w:rPr>
          <w:sz w:val="24"/>
          <w:szCs w:val="24"/>
          <w:lang w:val="en-US"/>
        </w:rPr>
        <w:t>tSuppDocsItem</w:t>
      </w:r>
      <w:r w:rsidRPr="00264D5D">
        <w:rPr>
          <w:sz w:val="24"/>
          <w:szCs w:val="24"/>
        </w:rPr>
        <w:t>» блока «Перечень подтверждающих документов».</w:t>
      </w:r>
    </w:p>
    <w:p w14:paraId="5BB39FA3" w14:textId="33AA3F46" w:rsidR="00AD1F54" w:rsidRPr="00264D5D" w:rsidRDefault="00941227">
      <w:pPr>
        <w:pStyle w:val="GOSTNameTable"/>
        <w:numPr>
          <w:ilvl w:val="0"/>
          <w:numId w:val="2"/>
        </w:numPr>
        <w:ind w:left="425" w:hanging="357"/>
        <w:rPr>
          <w:rFonts w:eastAsia="Calibri"/>
          <w:szCs w:val="24"/>
        </w:rPr>
      </w:pPr>
      <w:r w:rsidRPr="00264D5D">
        <w:rPr>
          <w:rFonts w:eastAsia="Calibri"/>
          <w:szCs w:val="24"/>
        </w:rPr>
        <w:lastRenderedPageBreak/>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2844" w:name="_Ref524690140"/>
      <w:bookmarkStart w:id="2845" w:name="_Toc30503414"/>
      <w:bookmarkStart w:id="2846" w:name="_Toc30508012"/>
      <w:bookmarkStart w:id="2847" w:name="_Toc219309278"/>
      <w:r w:rsidR="008D797C">
        <w:rPr>
          <w:rFonts w:eastAsia="Calibri"/>
          <w:noProof/>
          <w:szCs w:val="24"/>
        </w:rPr>
        <w:t>248</w:t>
      </w:r>
      <w:bookmarkEnd w:id="2844"/>
      <w:r w:rsidRPr="00264D5D">
        <w:rPr>
          <w:rFonts w:eastAsia="Calibri"/>
          <w:szCs w:val="24"/>
        </w:rPr>
        <w:fldChar w:fldCharType="end"/>
      </w:r>
      <w:r w:rsidRPr="00264D5D">
        <w:rPr>
          <w:rFonts w:eastAsia="Calibri"/>
          <w:szCs w:val="24"/>
        </w:rPr>
        <w:t xml:space="preserve"> – Описание комплексного типа «t</w:t>
      </w:r>
      <w:bookmarkStart w:id="2848" w:name="OLE_LINK853"/>
      <w:bookmarkStart w:id="2849" w:name="OLE_LINK854"/>
      <w:bookmarkStart w:id="2850" w:name="OLE_LINK855"/>
      <w:bookmarkStart w:id="2851" w:name="OLE_LINK856"/>
      <w:r w:rsidRPr="00264D5D">
        <w:rPr>
          <w:rFonts w:eastAsia="Calibri"/>
          <w:szCs w:val="24"/>
        </w:rPr>
        <w:t>SuppDocs</w:t>
      </w:r>
      <w:bookmarkEnd w:id="2848"/>
      <w:bookmarkEnd w:id="2849"/>
      <w:bookmarkEnd w:id="2850"/>
      <w:bookmarkEnd w:id="2851"/>
      <w:r w:rsidRPr="00264D5D">
        <w:rPr>
          <w:rFonts w:eastAsia="Calibri"/>
          <w:szCs w:val="24"/>
        </w:rPr>
        <w:t>Item»</w:t>
      </w:r>
      <w:bookmarkEnd w:id="2845"/>
      <w:bookmarkEnd w:id="2846"/>
      <w:bookmarkEnd w:id="2847"/>
    </w:p>
    <w:tbl>
      <w:tblPr>
        <w:tblStyle w:val="GOSTTable"/>
        <w:tblW w:w="9633" w:type="dxa"/>
        <w:tblLayout w:type="fixed"/>
        <w:tblLook w:val="04A0" w:firstRow="1" w:lastRow="0" w:firstColumn="1" w:lastColumn="0" w:noHBand="0" w:noVBand="1"/>
      </w:tblPr>
      <w:tblGrid>
        <w:gridCol w:w="1704"/>
        <w:gridCol w:w="1702"/>
        <w:gridCol w:w="567"/>
        <w:gridCol w:w="1133"/>
        <w:gridCol w:w="566"/>
        <w:gridCol w:w="3961"/>
      </w:tblGrid>
      <w:tr w:rsidR="00AD1F54" w:rsidRPr="00264D5D" w14:paraId="4B5A8294" w14:textId="77777777" w:rsidTr="00AD1F54">
        <w:trPr>
          <w:cnfStyle w:val="100000000000" w:firstRow="1" w:lastRow="0" w:firstColumn="0" w:lastColumn="0" w:oddVBand="0" w:evenVBand="0" w:oddHBand="0" w:evenHBand="0" w:firstRowFirstColumn="0" w:firstRowLastColumn="0" w:lastRowFirstColumn="0" w:lastRowLastColumn="0"/>
          <w:trHeight w:val="282"/>
          <w:tblHeader/>
        </w:trPr>
        <w:tc>
          <w:tcPr>
            <w:tcW w:w="884" w:type="pct"/>
          </w:tcPr>
          <w:p w14:paraId="150028A1" w14:textId="77777777" w:rsidR="00AD1F54" w:rsidRPr="00264D5D" w:rsidRDefault="00941227">
            <w:pPr>
              <w:spacing w:before="60" w:after="60"/>
              <w:jc w:val="center"/>
              <w:rPr>
                <w:b/>
                <w:bCs/>
                <w:sz w:val="22"/>
                <w:szCs w:val="22"/>
              </w:rPr>
            </w:pPr>
            <w:r w:rsidRPr="00264D5D">
              <w:rPr>
                <w:b/>
                <w:bCs/>
                <w:sz w:val="22"/>
                <w:szCs w:val="22"/>
              </w:rPr>
              <w:t>Наименование элемента</w:t>
            </w:r>
          </w:p>
        </w:tc>
        <w:tc>
          <w:tcPr>
            <w:tcW w:w="883" w:type="pct"/>
          </w:tcPr>
          <w:p w14:paraId="422357FE" w14:textId="77777777" w:rsidR="00AD1F54" w:rsidRPr="00264D5D" w:rsidRDefault="00941227">
            <w:pPr>
              <w:spacing w:before="60" w:after="60"/>
              <w:jc w:val="center"/>
              <w:rPr>
                <w:b/>
                <w:bCs/>
                <w:sz w:val="22"/>
                <w:szCs w:val="22"/>
              </w:rPr>
            </w:pPr>
            <w:r w:rsidRPr="00264D5D">
              <w:rPr>
                <w:b/>
                <w:bCs/>
                <w:sz w:val="22"/>
                <w:szCs w:val="22"/>
              </w:rPr>
              <w:t>Сокращенное наименование (код) элемента</w:t>
            </w:r>
          </w:p>
        </w:tc>
        <w:tc>
          <w:tcPr>
            <w:tcW w:w="294" w:type="pct"/>
          </w:tcPr>
          <w:p w14:paraId="60F38B41" w14:textId="77777777" w:rsidR="00AD1F54" w:rsidRPr="00264D5D" w:rsidRDefault="00941227">
            <w:pPr>
              <w:spacing w:before="60" w:after="60"/>
              <w:jc w:val="center"/>
              <w:rPr>
                <w:b/>
                <w:sz w:val="22"/>
                <w:szCs w:val="22"/>
              </w:rPr>
            </w:pPr>
            <w:r w:rsidRPr="00264D5D">
              <w:rPr>
                <w:b/>
                <w:bCs/>
                <w:sz w:val="22"/>
                <w:szCs w:val="22"/>
              </w:rPr>
              <w:t>Тип</w:t>
            </w:r>
          </w:p>
        </w:tc>
        <w:tc>
          <w:tcPr>
            <w:tcW w:w="588" w:type="pct"/>
          </w:tcPr>
          <w:p w14:paraId="7A323099" w14:textId="77777777" w:rsidR="00AD1F54" w:rsidRPr="00264D5D" w:rsidRDefault="00941227">
            <w:pPr>
              <w:spacing w:before="60" w:after="60"/>
              <w:jc w:val="center"/>
              <w:rPr>
                <w:b/>
                <w:sz w:val="22"/>
                <w:szCs w:val="22"/>
              </w:rPr>
            </w:pPr>
            <w:r w:rsidRPr="00264D5D">
              <w:rPr>
                <w:b/>
                <w:bCs/>
                <w:sz w:val="22"/>
                <w:szCs w:val="22"/>
              </w:rPr>
              <w:t>Формат элемента</w:t>
            </w:r>
          </w:p>
        </w:tc>
        <w:tc>
          <w:tcPr>
            <w:tcW w:w="294" w:type="pct"/>
          </w:tcPr>
          <w:p w14:paraId="727F64AD" w14:textId="77777777" w:rsidR="00AD1F54" w:rsidRPr="00264D5D" w:rsidRDefault="00941227">
            <w:pPr>
              <w:spacing w:before="60" w:after="60"/>
              <w:jc w:val="center"/>
              <w:rPr>
                <w:b/>
                <w:sz w:val="22"/>
                <w:szCs w:val="22"/>
              </w:rPr>
            </w:pPr>
            <w:r w:rsidRPr="00264D5D">
              <w:rPr>
                <w:b/>
                <w:bCs/>
                <w:sz w:val="22"/>
                <w:szCs w:val="22"/>
              </w:rPr>
              <w:t>Обязательность</w:t>
            </w:r>
          </w:p>
        </w:tc>
        <w:tc>
          <w:tcPr>
            <w:tcW w:w="2056" w:type="pct"/>
          </w:tcPr>
          <w:p w14:paraId="1C462DDF" w14:textId="77777777" w:rsidR="00AD1F54" w:rsidRPr="00264D5D" w:rsidRDefault="00941227">
            <w:pPr>
              <w:spacing w:before="60" w:after="60"/>
              <w:jc w:val="center"/>
              <w:rPr>
                <w:b/>
                <w:bCs/>
                <w:sz w:val="22"/>
                <w:szCs w:val="22"/>
              </w:rPr>
            </w:pPr>
            <w:r w:rsidRPr="00264D5D">
              <w:rPr>
                <w:b/>
                <w:bCs/>
                <w:sz w:val="22"/>
                <w:szCs w:val="22"/>
              </w:rPr>
              <w:t>Дополнительная информация</w:t>
            </w:r>
          </w:p>
        </w:tc>
      </w:tr>
      <w:tr w:rsidR="00AD1F54" w:rsidRPr="00264D5D" w14:paraId="1BCB8648" w14:textId="77777777" w:rsidTr="00AD1F54">
        <w:trPr>
          <w:cnfStyle w:val="000000100000" w:firstRow="0" w:lastRow="0" w:firstColumn="0" w:lastColumn="0" w:oddVBand="0" w:evenVBand="0" w:oddHBand="1" w:evenHBand="0" w:firstRowFirstColumn="0" w:firstRowLastColumn="0" w:lastRowFirstColumn="0" w:lastRowLastColumn="0"/>
          <w:trHeight w:val="282"/>
        </w:trPr>
        <w:tc>
          <w:tcPr>
            <w:tcW w:w="884" w:type="pct"/>
          </w:tcPr>
          <w:p w14:paraId="6A5034F1" w14:textId="77777777" w:rsidR="00AD1F54" w:rsidRPr="00264D5D" w:rsidRDefault="00941227">
            <w:pPr>
              <w:spacing w:before="60" w:after="60"/>
              <w:rPr>
                <w:sz w:val="22"/>
                <w:szCs w:val="22"/>
              </w:rPr>
            </w:pPr>
            <w:bookmarkStart w:id="2852" w:name="_Hlk524691231"/>
            <w:r w:rsidRPr="00264D5D">
              <w:rPr>
                <w:sz w:val="22"/>
                <w:szCs w:val="22"/>
              </w:rPr>
              <w:t>Порядковый номер документа</w:t>
            </w:r>
          </w:p>
        </w:tc>
        <w:tc>
          <w:tcPr>
            <w:tcW w:w="883" w:type="pct"/>
          </w:tcPr>
          <w:p w14:paraId="220BDED7" w14:textId="77777777" w:rsidR="00AD1F54" w:rsidRPr="00264D5D" w:rsidRDefault="00941227">
            <w:pPr>
              <w:spacing w:before="60" w:after="60"/>
              <w:rPr>
                <w:sz w:val="22"/>
                <w:szCs w:val="22"/>
              </w:rPr>
            </w:pPr>
            <w:bookmarkStart w:id="2853" w:name="OLE_LINK893"/>
            <w:bookmarkStart w:id="2854" w:name="OLE_LINK894"/>
            <w:bookmarkStart w:id="2855" w:name="OLE_LINK895"/>
            <w:bookmarkStart w:id="2856" w:name="OLE_LINK1202"/>
            <w:r w:rsidRPr="00264D5D">
              <w:rPr>
                <w:sz w:val="22"/>
                <w:szCs w:val="22"/>
                <w:lang w:val="en-US"/>
              </w:rPr>
              <w:t>SerialN</w:t>
            </w:r>
            <w:r w:rsidRPr="00264D5D">
              <w:rPr>
                <w:sz w:val="22"/>
                <w:szCs w:val="22"/>
              </w:rPr>
              <w:t>um</w:t>
            </w:r>
            <w:bookmarkEnd w:id="2853"/>
            <w:bookmarkEnd w:id="2854"/>
            <w:bookmarkEnd w:id="2855"/>
            <w:bookmarkEnd w:id="2856"/>
          </w:p>
        </w:tc>
        <w:tc>
          <w:tcPr>
            <w:tcW w:w="294" w:type="pct"/>
          </w:tcPr>
          <w:p w14:paraId="3C70970D" w14:textId="77777777" w:rsidR="00AD1F54" w:rsidRPr="00264D5D" w:rsidRDefault="00941227">
            <w:pPr>
              <w:spacing w:before="60" w:after="60"/>
              <w:jc w:val="center"/>
              <w:rPr>
                <w:sz w:val="22"/>
                <w:szCs w:val="22"/>
              </w:rPr>
            </w:pPr>
            <w:r w:rsidRPr="00264D5D">
              <w:rPr>
                <w:sz w:val="22"/>
                <w:szCs w:val="22"/>
              </w:rPr>
              <w:t>П</w:t>
            </w:r>
          </w:p>
        </w:tc>
        <w:tc>
          <w:tcPr>
            <w:tcW w:w="588" w:type="pct"/>
          </w:tcPr>
          <w:p w14:paraId="465FA95C" w14:textId="77777777" w:rsidR="00AD1F54" w:rsidRPr="00264D5D" w:rsidRDefault="00941227">
            <w:pPr>
              <w:spacing w:before="60" w:after="60"/>
              <w:jc w:val="left"/>
              <w:rPr>
                <w:sz w:val="22"/>
                <w:szCs w:val="22"/>
              </w:rPr>
            </w:pPr>
            <w:r w:rsidRPr="00264D5D">
              <w:rPr>
                <w:sz w:val="22"/>
                <w:szCs w:val="22"/>
                <w:lang w:val="en-US"/>
              </w:rPr>
              <w:t>N</w:t>
            </w:r>
            <w:r w:rsidRPr="00264D5D">
              <w:rPr>
                <w:sz w:val="22"/>
                <w:szCs w:val="22"/>
              </w:rPr>
              <w:t>(1-5)</w:t>
            </w:r>
          </w:p>
        </w:tc>
        <w:tc>
          <w:tcPr>
            <w:tcW w:w="294" w:type="pct"/>
          </w:tcPr>
          <w:p w14:paraId="5EF10DE1" w14:textId="77777777" w:rsidR="00AD1F54" w:rsidRPr="00264D5D" w:rsidRDefault="00941227">
            <w:pPr>
              <w:spacing w:before="60" w:after="60"/>
              <w:jc w:val="center"/>
              <w:rPr>
                <w:sz w:val="22"/>
                <w:szCs w:val="22"/>
              </w:rPr>
            </w:pPr>
            <w:r w:rsidRPr="00264D5D">
              <w:rPr>
                <w:sz w:val="22"/>
                <w:szCs w:val="22"/>
              </w:rPr>
              <w:t>О</w:t>
            </w:r>
          </w:p>
        </w:tc>
        <w:tc>
          <w:tcPr>
            <w:tcW w:w="2056" w:type="pct"/>
          </w:tcPr>
          <w:p w14:paraId="60AE5A50" w14:textId="77777777" w:rsidR="00AD1F54" w:rsidRPr="00264D5D" w:rsidRDefault="00941227">
            <w:pPr>
              <w:spacing w:before="60" w:after="60"/>
              <w:rPr>
                <w:sz w:val="22"/>
                <w:szCs w:val="22"/>
              </w:rPr>
            </w:pPr>
            <w:r w:rsidRPr="00264D5D">
              <w:rPr>
                <w:sz w:val="22"/>
                <w:szCs w:val="22"/>
              </w:rPr>
              <w:t xml:space="preserve">Указывается порядковый </w:t>
            </w:r>
            <w:r w:rsidR="00B06B9A" w:rsidRPr="00264D5D">
              <w:rPr>
                <w:sz w:val="22"/>
                <w:szCs w:val="22"/>
              </w:rPr>
              <w:t>номер подтверждающего документа</w:t>
            </w:r>
          </w:p>
        </w:tc>
      </w:tr>
      <w:tr w:rsidR="00AD1F54" w:rsidRPr="00264D5D" w14:paraId="3F758B3A" w14:textId="77777777" w:rsidTr="00AD1F54">
        <w:trPr>
          <w:cnfStyle w:val="000000010000" w:firstRow="0" w:lastRow="0" w:firstColumn="0" w:lastColumn="0" w:oddVBand="0" w:evenVBand="0" w:oddHBand="0" w:evenHBand="1" w:firstRowFirstColumn="0" w:firstRowLastColumn="0" w:lastRowFirstColumn="0" w:lastRowLastColumn="0"/>
          <w:trHeight w:val="282"/>
        </w:trPr>
        <w:tc>
          <w:tcPr>
            <w:tcW w:w="884" w:type="pct"/>
          </w:tcPr>
          <w:p w14:paraId="69EB3C1D" w14:textId="77777777" w:rsidR="00AD1F54" w:rsidRPr="00264D5D" w:rsidRDefault="00941227">
            <w:pPr>
              <w:spacing w:before="60" w:after="60"/>
              <w:rPr>
                <w:sz w:val="22"/>
                <w:szCs w:val="22"/>
              </w:rPr>
            </w:pPr>
            <w:bookmarkStart w:id="2857" w:name="OLE_LINK1234"/>
            <w:bookmarkStart w:id="2858" w:name="OLE_LINK1235"/>
            <w:bookmarkStart w:id="2859" w:name="_Hlk524690584"/>
            <w:bookmarkEnd w:id="2852"/>
            <w:r w:rsidRPr="00264D5D">
              <w:rPr>
                <w:sz w:val="22"/>
                <w:szCs w:val="22"/>
              </w:rPr>
              <w:t>Тип</w:t>
            </w:r>
            <w:bookmarkEnd w:id="2857"/>
            <w:bookmarkEnd w:id="2858"/>
          </w:p>
        </w:tc>
        <w:tc>
          <w:tcPr>
            <w:tcW w:w="883" w:type="pct"/>
          </w:tcPr>
          <w:p w14:paraId="006E1B13" w14:textId="77777777" w:rsidR="00AD1F54" w:rsidRPr="00264D5D" w:rsidRDefault="00941227">
            <w:pPr>
              <w:spacing w:before="60" w:after="60"/>
              <w:rPr>
                <w:sz w:val="22"/>
                <w:szCs w:val="22"/>
              </w:rPr>
            </w:pPr>
            <w:bookmarkStart w:id="2860" w:name="OLE_LINK1232"/>
            <w:bookmarkStart w:id="2861" w:name="OLE_LINK1233"/>
            <w:r w:rsidRPr="00264D5D">
              <w:rPr>
                <w:sz w:val="22"/>
                <w:szCs w:val="22"/>
              </w:rPr>
              <w:t>Type</w:t>
            </w:r>
            <w:bookmarkStart w:id="2862" w:name="OLE_LINK921"/>
            <w:bookmarkStart w:id="2863" w:name="OLE_LINK922"/>
            <w:r w:rsidRPr="00264D5D">
              <w:rPr>
                <w:sz w:val="22"/>
                <w:szCs w:val="22"/>
              </w:rPr>
              <w:t>SuppDoc</w:t>
            </w:r>
            <w:bookmarkEnd w:id="2860"/>
            <w:bookmarkEnd w:id="2861"/>
            <w:bookmarkEnd w:id="2862"/>
            <w:bookmarkEnd w:id="2863"/>
          </w:p>
        </w:tc>
        <w:tc>
          <w:tcPr>
            <w:tcW w:w="294" w:type="pct"/>
          </w:tcPr>
          <w:p w14:paraId="1B116905" w14:textId="77777777" w:rsidR="00AD1F54" w:rsidRPr="00264D5D" w:rsidRDefault="00941227">
            <w:pPr>
              <w:spacing w:before="60" w:after="60"/>
              <w:jc w:val="center"/>
              <w:rPr>
                <w:sz w:val="22"/>
                <w:szCs w:val="22"/>
                <w:lang w:eastAsia="en-US"/>
              </w:rPr>
            </w:pPr>
            <w:r w:rsidRPr="00264D5D">
              <w:rPr>
                <w:sz w:val="22"/>
                <w:szCs w:val="22"/>
                <w:lang w:eastAsia="en-US"/>
              </w:rPr>
              <w:t>П</w:t>
            </w:r>
          </w:p>
        </w:tc>
        <w:tc>
          <w:tcPr>
            <w:tcW w:w="588" w:type="pct"/>
          </w:tcPr>
          <w:p w14:paraId="05F69261" w14:textId="77777777" w:rsidR="00AD1F54" w:rsidRPr="00264D5D" w:rsidRDefault="00941227">
            <w:pPr>
              <w:tabs>
                <w:tab w:val="left" w:pos="947"/>
              </w:tabs>
              <w:spacing w:before="60" w:after="60"/>
              <w:jc w:val="left"/>
              <w:rPr>
                <w:sz w:val="22"/>
                <w:szCs w:val="22"/>
                <w:lang w:eastAsia="en-US"/>
              </w:rPr>
            </w:pPr>
            <w:r w:rsidRPr="00264D5D">
              <w:rPr>
                <w:sz w:val="22"/>
                <w:szCs w:val="22"/>
                <w:lang w:eastAsia="en-US"/>
              </w:rPr>
              <w:t>T(1-50)</w:t>
            </w:r>
          </w:p>
        </w:tc>
        <w:tc>
          <w:tcPr>
            <w:tcW w:w="294" w:type="pct"/>
          </w:tcPr>
          <w:p w14:paraId="5F5A3CA2" w14:textId="77777777" w:rsidR="00AD1F54" w:rsidRPr="00264D5D" w:rsidRDefault="00941227">
            <w:pPr>
              <w:spacing w:before="60" w:after="60"/>
              <w:jc w:val="center"/>
              <w:rPr>
                <w:sz w:val="22"/>
                <w:szCs w:val="22"/>
              </w:rPr>
            </w:pPr>
            <w:r w:rsidRPr="00264D5D">
              <w:rPr>
                <w:sz w:val="22"/>
                <w:szCs w:val="22"/>
              </w:rPr>
              <w:t>О</w:t>
            </w:r>
          </w:p>
        </w:tc>
        <w:tc>
          <w:tcPr>
            <w:tcW w:w="2056" w:type="pct"/>
          </w:tcPr>
          <w:p w14:paraId="23D50D8C" w14:textId="77777777" w:rsidR="00AD1F54" w:rsidRPr="00264D5D" w:rsidRDefault="00941227">
            <w:pPr>
              <w:spacing w:before="60" w:after="60"/>
              <w:rPr>
                <w:sz w:val="22"/>
                <w:szCs w:val="22"/>
              </w:rPr>
            </w:pPr>
            <w:r w:rsidRPr="00264D5D">
              <w:rPr>
                <w:sz w:val="22"/>
                <w:szCs w:val="22"/>
              </w:rPr>
              <w:t>Указывается тип подтверждающего документа (товарная накладная, счет, акт, иной</w:t>
            </w:r>
            <w:r w:rsidR="00B06B9A" w:rsidRPr="00264D5D">
              <w:rPr>
                <w:sz w:val="22"/>
                <w:szCs w:val="22"/>
              </w:rPr>
              <w:t xml:space="preserve"> тип подтверждающего документа)</w:t>
            </w:r>
          </w:p>
        </w:tc>
      </w:tr>
      <w:tr w:rsidR="00AD1F54" w:rsidRPr="00264D5D" w14:paraId="30160FD5" w14:textId="77777777" w:rsidTr="00AD1F54">
        <w:trPr>
          <w:cnfStyle w:val="000000100000" w:firstRow="0" w:lastRow="0" w:firstColumn="0" w:lastColumn="0" w:oddVBand="0" w:evenVBand="0" w:oddHBand="1" w:evenHBand="0" w:firstRowFirstColumn="0" w:firstRowLastColumn="0" w:lastRowFirstColumn="0" w:lastRowLastColumn="0"/>
          <w:trHeight w:val="282"/>
        </w:trPr>
        <w:tc>
          <w:tcPr>
            <w:tcW w:w="884" w:type="pct"/>
          </w:tcPr>
          <w:p w14:paraId="1B6B01F8" w14:textId="77777777" w:rsidR="00AD1F54" w:rsidRPr="00264D5D" w:rsidRDefault="00941227">
            <w:pPr>
              <w:spacing w:before="60" w:after="60"/>
              <w:rPr>
                <w:sz w:val="22"/>
                <w:szCs w:val="22"/>
              </w:rPr>
            </w:pPr>
            <w:r w:rsidRPr="00264D5D">
              <w:rPr>
                <w:sz w:val="22"/>
                <w:szCs w:val="22"/>
              </w:rPr>
              <w:t>Справочная информация</w:t>
            </w:r>
          </w:p>
        </w:tc>
        <w:tc>
          <w:tcPr>
            <w:tcW w:w="883" w:type="pct"/>
          </w:tcPr>
          <w:p w14:paraId="73374F06" w14:textId="77777777" w:rsidR="00AD1F54" w:rsidRPr="00264D5D" w:rsidRDefault="00941227">
            <w:pPr>
              <w:spacing w:before="60" w:after="60"/>
              <w:rPr>
                <w:sz w:val="22"/>
                <w:szCs w:val="22"/>
                <w:lang w:val="en-US"/>
              </w:rPr>
            </w:pPr>
            <w:r w:rsidRPr="00264D5D">
              <w:rPr>
                <w:sz w:val="22"/>
                <w:szCs w:val="22"/>
                <w:lang w:val="en-US"/>
              </w:rPr>
              <w:t>RefInf</w:t>
            </w:r>
          </w:p>
        </w:tc>
        <w:tc>
          <w:tcPr>
            <w:tcW w:w="294" w:type="pct"/>
          </w:tcPr>
          <w:p w14:paraId="2BDF8168" w14:textId="77777777" w:rsidR="00AD1F54" w:rsidRPr="00264D5D" w:rsidRDefault="00941227">
            <w:pPr>
              <w:spacing w:before="60" w:after="60"/>
              <w:jc w:val="center"/>
              <w:rPr>
                <w:sz w:val="22"/>
                <w:szCs w:val="22"/>
                <w:lang w:eastAsia="en-US"/>
              </w:rPr>
            </w:pPr>
            <w:r w:rsidRPr="00264D5D">
              <w:rPr>
                <w:sz w:val="22"/>
                <w:szCs w:val="22"/>
                <w:lang w:eastAsia="en-US"/>
              </w:rPr>
              <w:t>П</w:t>
            </w:r>
          </w:p>
        </w:tc>
        <w:tc>
          <w:tcPr>
            <w:tcW w:w="588" w:type="pct"/>
          </w:tcPr>
          <w:p w14:paraId="38743FBC" w14:textId="77777777" w:rsidR="00AD1F54" w:rsidRPr="00264D5D" w:rsidRDefault="00941227">
            <w:pPr>
              <w:tabs>
                <w:tab w:val="left" w:pos="947"/>
              </w:tabs>
              <w:spacing w:before="60" w:after="60"/>
              <w:jc w:val="left"/>
              <w:rPr>
                <w:sz w:val="22"/>
                <w:szCs w:val="22"/>
                <w:lang w:eastAsia="en-US"/>
              </w:rPr>
            </w:pPr>
            <w:r w:rsidRPr="00264D5D">
              <w:rPr>
                <w:sz w:val="22"/>
                <w:szCs w:val="22"/>
                <w:lang w:eastAsia="en-US"/>
              </w:rPr>
              <w:t>T(1-2000)</w:t>
            </w:r>
          </w:p>
        </w:tc>
        <w:tc>
          <w:tcPr>
            <w:tcW w:w="294" w:type="pct"/>
          </w:tcPr>
          <w:p w14:paraId="5EBDD7AD" w14:textId="77777777" w:rsidR="00AD1F54" w:rsidRPr="00264D5D" w:rsidRDefault="00941227">
            <w:pPr>
              <w:spacing w:before="60" w:after="60"/>
              <w:jc w:val="center"/>
              <w:rPr>
                <w:sz w:val="22"/>
                <w:szCs w:val="22"/>
              </w:rPr>
            </w:pPr>
            <w:r w:rsidRPr="00264D5D">
              <w:rPr>
                <w:sz w:val="22"/>
                <w:szCs w:val="22"/>
              </w:rPr>
              <w:t>Н</w:t>
            </w:r>
          </w:p>
        </w:tc>
        <w:tc>
          <w:tcPr>
            <w:tcW w:w="2056" w:type="pct"/>
          </w:tcPr>
          <w:p w14:paraId="3407F385" w14:textId="77777777" w:rsidR="00AD1F54" w:rsidRPr="00264D5D" w:rsidRDefault="00941227">
            <w:pPr>
              <w:spacing w:before="60" w:after="60"/>
              <w:rPr>
                <w:sz w:val="22"/>
                <w:szCs w:val="22"/>
              </w:rPr>
            </w:pPr>
            <w:r w:rsidRPr="00264D5D">
              <w:rPr>
                <w:sz w:val="22"/>
                <w:szCs w:val="22"/>
              </w:rPr>
              <w:t>Указывается справочная информ</w:t>
            </w:r>
            <w:r w:rsidR="00B06B9A" w:rsidRPr="00264D5D">
              <w:rPr>
                <w:sz w:val="22"/>
                <w:szCs w:val="22"/>
              </w:rPr>
              <w:t>ация о подтверждающем документе</w:t>
            </w:r>
          </w:p>
        </w:tc>
      </w:tr>
    </w:tbl>
    <w:p w14:paraId="596A220A" w14:textId="77777777" w:rsidR="00AD1F54" w:rsidRPr="00264D5D" w:rsidRDefault="00941227">
      <w:pPr>
        <w:pStyle w:val="31"/>
      </w:pPr>
      <w:bookmarkStart w:id="2864" w:name="_Toc219309718"/>
      <w:bookmarkEnd w:id="2806"/>
      <w:bookmarkEnd w:id="2807"/>
      <w:bookmarkEnd w:id="2816"/>
      <w:bookmarkEnd w:id="2817"/>
      <w:bookmarkEnd w:id="2840"/>
      <w:bookmarkEnd w:id="2841"/>
      <w:bookmarkEnd w:id="2842"/>
      <w:bookmarkEnd w:id="2859"/>
      <w:r w:rsidRPr="00264D5D">
        <w:t>Описание комплексного типа «</w:t>
      </w:r>
      <w:bookmarkStart w:id="2865" w:name="OLE_LINK1260"/>
      <w:bookmarkStart w:id="2866" w:name="OLE_LINK1261"/>
      <w:r w:rsidRPr="00264D5D">
        <w:t>tSignature</w:t>
      </w:r>
      <w:bookmarkEnd w:id="2865"/>
      <w:bookmarkEnd w:id="2866"/>
      <w:r w:rsidRPr="00264D5D">
        <w:t>»</w:t>
      </w:r>
      <w:bookmarkEnd w:id="2864"/>
    </w:p>
    <w:p w14:paraId="57A8B44C" w14:textId="77777777" w:rsidR="00AD1F54" w:rsidRPr="00264D5D" w:rsidRDefault="00941227">
      <w:pPr>
        <w:pStyle w:val="ASFKNormal"/>
        <w:spacing w:before="60" w:after="120"/>
        <w:contextualSpacing w:val="0"/>
        <w:jc w:val="both"/>
        <w:rPr>
          <w:sz w:val="24"/>
          <w:szCs w:val="24"/>
        </w:rPr>
      </w:pPr>
      <w:r w:rsidRPr="00264D5D">
        <w:rPr>
          <w:sz w:val="24"/>
          <w:szCs w:val="24"/>
        </w:rPr>
        <w:t>Описание комплексного типа «</w:t>
      </w:r>
      <w:bookmarkStart w:id="2867" w:name="OLE_LINK1293"/>
      <w:bookmarkStart w:id="2868" w:name="OLE_LINK1294"/>
      <w:r w:rsidRPr="00264D5D">
        <w:rPr>
          <w:sz w:val="24"/>
          <w:szCs w:val="24"/>
        </w:rPr>
        <w:t>tSignature</w:t>
      </w:r>
      <w:bookmarkEnd w:id="2867"/>
      <w:bookmarkEnd w:id="2868"/>
      <w:r w:rsidRPr="00264D5D">
        <w:rPr>
          <w:sz w:val="24"/>
          <w:szCs w:val="24"/>
        </w:rPr>
        <w:t>» блока «Подписи».</w:t>
      </w:r>
    </w:p>
    <w:p w14:paraId="7E199934" w14:textId="6666094E" w:rsidR="00AD1F54" w:rsidRPr="00264D5D" w:rsidRDefault="00941227">
      <w:pPr>
        <w:pStyle w:val="GOSTNameTable"/>
        <w:numPr>
          <w:ilvl w:val="0"/>
          <w:numId w:val="2"/>
        </w:numPr>
        <w:ind w:left="425" w:hanging="357"/>
        <w:jc w:val="both"/>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2869" w:name="_Ref524948506"/>
      <w:bookmarkStart w:id="2870" w:name="_Toc30503415"/>
      <w:bookmarkStart w:id="2871" w:name="_Toc30508013"/>
      <w:bookmarkStart w:id="2872" w:name="_Toc219309279"/>
      <w:r w:rsidR="008D797C">
        <w:rPr>
          <w:rFonts w:eastAsia="Calibri"/>
          <w:noProof/>
          <w:szCs w:val="24"/>
        </w:rPr>
        <w:t>249</w:t>
      </w:r>
      <w:bookmarkEnd w:id="2869"/>
      <w:r w:rsidRPr="00264D5D">
        <w:rPr>
          <w:rFonts w:eastAsia="Calibri"/>
          <w:szCs w:val="24"/>
        </w:rPr>
        <w:fldChar w:fldCharType="end"/>
      </w:r>
      <w:r w:rsidRPr="00264D5D">
        <w:rPr>
          <w:rFonts w:eastAsia="Calibri"/>
          <w:szCs w:val="24"/>
        </w:rPr>
        <w:t xml:space="preserve"> – Описание комплексного типа «tSignature»</w:t>
      </w:r>
      <w:bookmarkEnd w:id="2870"/>
      <w:bookmarkEnd w:id="2871"/>
      <w:bookmarkEnd w:id="2872"/>
    </w:p>
    <w:tbl>
      <w:tblPr>
        <w:tblStyle w:val="GOSTTable"/>
        <w:tblW w:w="9636" w:type="dxa"/>
        <w:tblLayout w:type="fixed"/>
        <w:tblLook w:val="04A0" w:firstRow="1" w:lastRow="0" w:firstColumn="1" w:lastColumn="0" w:noHBand="0" w:noVBand="1"/>
      </w:tblPr>
      <w:tblGrid>
        <w:gridCol w:w="1703"/>
        <w:gridCol w:w="1702"/>
        <w:gridCol w:w="569"/>
        <w:gridCol w:w="1133"/>
        <w:gridCol w:w="567"/>
        <w:gridCol w:w="3962"/>
      </w:tblGrid>
      <w:tr w:rsidR="00AD1F54" w:rsidRPr="00264D5D" w14:paraId="7EA09B4B" w14:textId="77777777" w:rsidTr="00AD1F54">
        <w:trPr>
          <w:cnfStyle w:val="100000000000" w:firstRow="1" w:lastRow="0" w:firstColumn="0" w:lastColumn="0" w:oddVBand="0" w:evenVBand="0" w:oddHBand="0" w:evenHBand="0" w:firstRowFirstColumn="0" w:firstRowLastColumn="0" w:lastRowFirstColumn="0" w:lastRowLastColumn="0"/>
          <w:trHeight w:val="282"/>
          <w:tblHeader/>
        </w:trPr>
        <w:tc>
          <w:tcPr>
            <w:tcW w:w="883" w:type="pct"/>
          </w:tcPr>
          <w:p w14:paraId="371758AD" w14:textId="77777777" w:rsidR="00AD1F54" w:rsidRPr="00264D5D" w:rsidRDefault="00941227">
            <w:pPr>
              <w:spacing w:before="60" w:after="60"/>
              <w:jc w:val="center"/>
              <w:rPr>
                <w:b/>
                <w:bCs/>
                <w:sz w:val="22"/>
                <w:szCs w:val="22"/>
              </w:rPr>
            </w:pPr>
            <w:r w:rsidRPr="00264D5D">
              <w:rPr>
                <w:b/>
                <w:bCs/>
                <w:sz w:val="22"/>
                <w:szCs w:val="22"/>
              </w:rPr>
              <w:t>Наименование элемента</w:t>
            </w:r>
          </w:p>
        </w:tc>
        <w:tc>
          <w:tcPr>
            <w:tcW w:w="883" w:type="pct"/>
          </w:tcPr>
          <w:p w14:paraId="15B1B732" w14:textId="77777777" w:rsidR="00AD1F54" w:rsidRPr="00264D5D" w:rsidRDefault="00941227">
            <w:pPr>
              <w:spacing w:before="60" w:after="60"/>
              <w:jc w:val="center"/>
              <w:rPr>
                <w:b/>
                <w:bCs/>
                <w:sz w:val="22"/>
                <w:szCs w:val="22"/>
              </w:rPr>
            </w:pPr>
            <w:r w:rsidRPr="00264D5D">
              <w:rPr>
                <w:b/>
                <w:bCs/>
                <w:sz w:val="22"/>
                <w:szCs w:val="22"/>
              </w:rPr>
              <w:t>Сокращенное наименование (код) элемента</w:t>
            </w:r>
          </w:p>
        </w:tc>
        <w:tc>
          <w:tcPr>
            <w:tcW w:w="295" w:type="pct"/>
          </w:tcPr>
          <w:p w14:paraId="5DCDC48A" w14:textId="77777777" w:rsidR="00AD1F54" w:rsidRPr="00264D5D" w:rsidRDefault="00941227">
            <w:pPr>
              <w:spacing w:before="60" w:after="60"/>
              <w:jc w:val="center"/>
              <w:rPr>
                <w:b/>
                <w:sz w:val="22"/>
                <w:szCs w:val="22"/>
              </w:rPr>
            </w:pPr>
            <w:r w:rsidRPr="00264D5D">
              <w:rPr>
                <w:b/>
                <w:bCs/>
                <w:sz w:val="22"/>
                <w:szCs w:val="22"/>
              </w:rPr>
              <w:t>Тип</w:t>
            </w:r>
          </w:p>
        </w:tc>
        <w:tc>
          <w:tcPr>
            <w:tcW w:w="588" w:type="pct"/>
          </w:tcPr>
          <w:p w14:paraId="39F9D7FF" w14:textId="77777777" w:rsidR="00AD1F54" w:rsidRPr="00264D5D" w:rsidRDefault="00941227">
            <w:pPr>
              <w:spacing w:before="60" w:after="60"/>
              <w:jc w:val="center"/>
              <w:rPr>
                <w:b/>
                <w:sz w:val="22"/>
                <w:szCs w:val="22"/>
              </w:rPr>
            </w:pPr>
            <w:r w:rsidRPr="00264D5D">
              <w:rPr>
                <w:b/>
                <w:bCs/>
                <w:sz w:val="22"/>
                <w:szCs w:val="22"/>
              </w:rPr>
              <w:t>Формат элемента</w:t>
            </w:r>
          </w:p>
        </w:tc>
        <w:tc>
          <w:tcPr>
            <w:tcW w:w="294" w:type="pct"/>
          </w:tcPr>
          <w:p w14:paraId="40E020C3" w14:textId="77777777" w:rsidR="00AD1F54" w:rsidRPr="00264D5D" w:rsidRDefault="00941227">
            <w:pPr>
              <w:spacing w:before="60" w:after="60"/>
              <w:jc w:val="center"/>
              <w:rPr>
                <w:b/>
                <w:sz w:val="22"/>
                <w:szCs w:val="22"/>
              </w:rPr>
            </w:pPr>
            <w:r w:rsidRPr="00264D5D">
              <w:rPr>
                <w:b/>
                <w:bCs/>
                <w:sz w:val="22"/>
                <w:szCs w:val="22"/>
              </w:rPr>
              <w:t>Обязательность</w:t>
            </w:r>
          </w:p>
        </w:tc>
        <w:tc>
          <w:tcPr>
            <w:tcW w:w="2056" w:type="pct"/>
          </w:tcPr>
          <w:p w14:paraId="7155AB7C" w14:textId="77777777" w:rsidR="00AD1F54" w:rsidRPr="00264D5D" w:rsidRDefault="00941227">
            <w:pPr>
              <w:spacing w:before="60" w:after="60"/>
              <w:jc w:val="center"/>
              <w:rPr>
                <w:b/>
                <w:bCs/>
                <w:sz w:val="22"/>
                <w:szCs w:val="22"/>
              </w:rPr>
            </w:pPr>
            <w:r w:rsidRPr="00264D5D">
              <w:rPr>
                <w:b/>
                <w:bCs/>
                <w:sz w:val="22"/>
                <w:szCs w:val="22"/>
              </w:rPr>
              <w:t>Дополнительная информация</w:t>
            </w:r>
          </w:p>
        </w:tc>
      </w:tr>
      <w:tr w:rsidR="00AD1F54" w:rsidRPr="00264D5D" w14:paraId="331835A1" w14:textId="77777777" w:rsidTr="00AD1F54">
        <w:trPr>
          <w:cnfStyle w:val="000000100000" w:firstRow="0" w:lastRow="0" w:firstColumn="0" w:lastColumn="0" w:oddVBand="0" w:evenVBand="0" w:oddHBand="1" w:evenHBand="0" w:firstRowFirstColumn="0" w:firstRowLastColumn="0" w:lastRowFirstColumn="0" w:lastRowLastColumn="0"/>
          <w:trHeight w:val="282"/>
        </w:trPr>
        <w:tc>
          <w:tcPr>
            <w:tcW w:w="883" w:type="pct"/>
          </w:tcPr>
          <w:p w14:paraId="72729822" w14:textId="77777777" w:rsidR="00AD1F54" w:rsidRPr="00264D5D" w:rsidRDefault="00941227">
            <w:pPr>
              <w:spacing w:before="60" w:after="60"/>
              <w:rPr>
                <w:sz w:val="22"/>
                <w:szCs w:val="22"/>
              </w:rPr>
            </w:pPr>
            <w:bookmarkStart w:id="2873" w:name="OLE_LINK1271"/>
            <w:bookmarkStart w:id="2874" w:name="OLE_LINK1272"/>
            <w:bookmarkStart w:id="2875" w:name="_Hlk524948394"/>
            <w:r w:rsidRPr="00264D5D">
              <w:rPr>
                <w:sz w:val="22"/>
                <w:szCs w:val="22"/>
              </w:rPr>
              <w:t>Руководитель (должность уполномоченного лица)</w:t>
            </w:r>
            <w:bookmarkEnd w:id="2873"/>
            <w:bookmarkEnd w:id="2874"/>
          </w:p>
        </w:tc>
        <w:tc>
          <w:tcPr>
            <w:tcW w:w="883" w:type="pct"/>
          </w:tcPr>
          <w:p w14:paraId="3143555A" w14:textId="77777777" w:rsidR="00AD1F54" w:rsidRPr="00264D5D" w:rsidRDefault="00941227">
            <w:pPr>
              <w:spacing w:before="60" w:after="60"/>
              <w:rPr>
                <w:sz w:val="22"/>
                <w:szCs w:val="22"/>
              </w:rPr>
            </w:pPr>
            <w:bookmarkStart w:id="2876" w:name="OLE_LINK1262"/>
            <w:bookmarkStart w:id="2877" w:name="OLE_LINK1263"/>
            <w:r w:rsidRPr="00264D5D">
              <w:rPr>
                <w:sz w:val="22"/>
                <w:szCs w:val="22"/>
                <w:lang w:val="en-US"/>
              </w:rPr>
              <w:t>D</w:t>
            </w:r>
            <w:r w:rsidRPr="00264D5D">
              <w:rPr>
                <w:sz w:val="22"/>
                <w:szCs w:val="22"/>
              </w:rPr>
              <w:t>ol</w:t>
            </w:r>
            <w:r w:rsidRPr="00264D5D">
              <w:rPr>
                <w:sz w:val="22"/>
                <w:szCs w:val="22"/>
                <w:lang w:val="en-US"/>
              </w:rPr>
              <w:t>R</w:t>
            </w:r>
            <w:r w:rsidRPr="00264D5D">
              <w:rPr>
                <w:sz w:val="22"/>
                <w:szCs w:val="22"/>
              </w:rPr>
              <w:t>uk</w:t>
            </w:r>
            <w:bookmarkEnd w:id="2876"/>
            <w:bookmarkEnd w:id="2877"/>
          </w:p>
        </w:tc>
        <w:tc>
          <w:tcPr>
            <w:tcW w:w="295" w:type="pct"/>
          </w:tcPr>
          <w:p w14:paraId="7F2E210D" w14:textId="77777777" w:rsidR="00AD1F54" w:rsidRPr="00264D5D" w:rsidRDefault="00941227">
            <w:pPr>
              <w:spacing w:before="60" w:after="60"/>
              <w:jc w:val="center"/>
              <w:rPr>
                <w:sz w:val="22"/>
                <w:szCs w:val="22"/>
              </w:rPr>
            </w:pPr>
            <w:r w:rsidRPr="00264D5D">
              <w:rPr>
                <w:sz w:val="22"/>
                <w:szCs w:val="22"/>
              </w:rPr>
              <w:t>П</w:t>
            </w:r>
          </w:p>
        </w:tc>
        <w:tc>
          <w:tcPr>
            <w:tcW w:w="588" w:type="pct"/>
          </w:tcPr>
          <w:p w14:paraId="27B6FB3E" w14:textId="77777777" w:rsidR="00AD1F54" w:rsidRPr="00264D5D" w:rsidRDefault="00941227">
            <w:pPr>
              <w:spacing w:before="60" w:after="60"/>
              <w:rPr>
                <w:sz w:val="22"/>
                <w:szCs w:val="22"/>
              </w:rPr>
            </w:pPr>
            <w:r w:rsidRPr="00264D5D">
              <w:rPr>
                <w:sz w:val="22"/>
                <w:szCs w:val="22"/>
                <w:lang w:val="en-US"/>
              </w:rPr>
              <w:t>T(1-100)</w:t>
            </w:r>
          </w:p>
        </w:tc>
        <w:tc>
          <w:tcPr>
            <w:tcW w:w="294" w:type="pct"/>
          </w:tcPr>
          <w:p w14:paraId="31D13564" w14:textId="77777777" w:rsidR="00AD1F54" w:rsidRPr="00264D5D" w:rsidRDefault="00941227">
            <w:pPr>
              <w:spacing w:before="60" w:after="60"/>
              <w:jc w:val="center"/>
              <w:rPr>
                <w:sz w:val="22"/>
                <w:szCs w:val="22"/>
              </w:rPr>
            </w:pPr>
            <w:r w:rsidRPr="00264D5D">
              <w:rPr>
                <w:sz w:val="22"/>
                <w:szCs w:val="22"/>
              </w:rPr>
              <w:t>Н</w:t>
            </w:r>
          </w:p>
        </w:tc>
        <w:tc>
          <w:tcPr>
            <w:tcW w:w="2056" w:type="pct"/>
          </w:tcPr>
          <w:p w14:paraId="41FA1C30" w14:textId="77777777" w:rsidR="00AD1F54" w:rsidRPr="00264D5D" w:rsidRDefault="00941227">
            <w:pPr>
              <w:spacing w:before="60" w:after="60"/>
              <w:rPr>
                <w:sz w:val="22"/>
                <w:szCs w:val="22"/>
              </w:rPr>
            </w:pPr>
            <w:r w:rsidRPr="00264D5D">
              <w:rPr>
                <w:sz w:val="22"/>
                <w:szCs w:val="22"/>
              </w:rPr>
              <w:t>Указывается должность уполномоченн</w:t>
            </w:r>
            <w:r w:rsidR="00B06B9A" w:rsidRPr="00264D5D">
              <w:rPr>
                <w:sz w:val="22"/>
                <w:szCs w:val="22"/>
              </w:rPr>
              <w:t>ого лица, подписавшего документ</w:t>
            </w:r>
          </w:p>
        </w:tc>
      </w:tr>
      <w:tr w:rsidR="00AD1F54" w:rsidRPr="00264D5D" w14:paraId="19BB6354" w14:textId="77777777" w:rsidTr="00AD1F54">
        <w:trPr>
          <w:cnfStyle w:val="000000010000" w:firstRow="0" w:lastRow="0" w:firstColumn="0" w:lastColumn="0" w:oddVBand="0" w:evenVBand="0" w:oddHBand="0" w:evenHBand="1" w:firstRowFirstColumn="0" w:firstRowLastColumn="0" w:lastRowFirstColumn="0" w:lastRowLastColumn="0"/>
          <w:trHeight w:val="282"/>
        </w:trPr>
        <w:tc>
          <w:tcPr>
            <w:tcW w:w="883" w:type="pct"/>
          </w:tcPr>
          <w:p w14:paraId="42CE334F" w14:textId="77777777" w:rsidR="00AD1F54" w:rsidRPr="00264D5D" w:rsidRDefault="00941227">
            <w:pPr>
              <w:spacing w:before="60" w:after="60"/>
              <w:rPr>
                <w:sz w:val="22"/>
                <w:szCs w:val="22"/>
              </w:rPr>
            </w:pPr>
            <w:bookmarkStart w:id="2878" w:name="OLE_LINK1273"/>
            <w:bookmarkStart w:id="2879" w:name="OLE_LINK1274"/>
            <w:bookmarkStart w:id="2880" w:name="OLE_LINK1275"/>
            <w:r w:rsidRPr="00264D5D">
              <w:rPr>
                <w:sz w:val="22"/>
                <w:szCs w:val="22"/>
              </w:rPr>
              <w:t>ФИО руководителя (уполномоченного лица)</w:t>
            </w:r>
            <w:bookmarkEnd w:id="2878"/>
            <w:bookmarkEnd w:id="2879"/>
            <w:bookmarkEnd w:id="2880"/>
          </w:p>
        </w:tc>
        <w:tc>
          <w:tcPr>
            <w:tcW w:w="883" w:type="pct"/>
          </w:tcPr>
          <w:p w14:paraId="7B934506" w14:textId="77777777" w:rsidR="00AD1F54" w:rsidRPr="00264D5D" w:rsidRDefault="00941227">
            <w:pPr>
              <w:spacing w:before="60" w:after="60"/>
              <w:rPr>
                <w:sz w:val="22"/>
                <w:szCs w:val="22"/>
              </w:rPr>
            </w:pPr>
            <w:bookmarkStart w:id="2881" w:name="OLE_LINK1264"/>
            <w:bookmarkStart w:id="2882" w:name="OLE_LINK1265"/>
            <w:r w:rsidRPr="00264D5D">
              <w:rPr>
                <w:sz w:val="22"/>
                <w:szCs w:val="22"/>
                <w:lang w:val="en-US"/>
              </w:rPr>
              <w:t>N</w:t>
            </w:r>
            <w:r w:rsidRPr="00264D5D">
              <w:rPr>
                <w:sz w:val="22"/>
                <w:szCs w:val="22"/>
              </w:rPr>
              <w:t>am</w:t>
            </w:r>
            <w:r w:rsidRPr="00264D5D">
              <w:rPr>
                <w:sz w:val="22"/>
                <w:szCs w:val="22"/>
                <w:lang w:val="en-US"/>
              </w:rPr>
              <w:t>eR</w:t>
            </w:r>
            <w:r w:rsidRPr="00264D5D">
              <w:rPr>
                <w:sz w:val="22"/>
                <w:szCs w:val="22"/>
              </w:rPr>
              <w:t>uk</w:t>
            </w:r>
            <w:bookmarkEnd w:id="2881"/>
            <w:bookmarkEnd w:id="2882"/>
          </w:p>
        </w:tc>
        <w:tc>
          <w:tcPr>
            <w:tcW w:w="295" w:type="pct"/>
          </w:tcPr>
          <w:p w14:paraId="5BCBE386" w14:textId="77777777" w:rsidR="00AD1F54" w:rsidRPr="00264D5D" w:rsidRDefault="00941227">
            <w:pPr>
              <w:spacing w:before="60" w:after="60"/>
              <w:jc w:val="center"/>
              <w:rPr>
                <w:sz w:val="22"/>
                <w:szCs w:val="22"/>
              </w:rPr>
            </w:pPr>
            <w:r w:rsidRPr="00264D5D">
              <w:rPr>
                <w:sz w:val="22"/>
                <w:szCs w:val="22"/>
              </w:rPr>
              <w:t>П</w:t>
            </w:r>
          </w:p>
        </w:tc>
        <w:tc>
          <w:tcPr>
            <w:tcW w:w="588" w:type="pct"/>
          </w:tcPr>
          <w:p w14:paraId="37E47EB2" w14:textId="77777777" w:rsidR="00AD1F54" w:rsidRPr="00264D5D" w:rsidRDefault="00941227">
            <w:pPr>
              <w:spacing w:before="60" w:after="60"/>
              <w:rPr>
                <w:sz w:val="22"/>
                <w:szCs w:val="22"/>
              </w:rPr>
            </w:pPr>
            <w:r w:rsidRPr="00264D5D">
              <w:rPr>
                <w:sz w:val="22"/>
                <w:szCs w:val="22"/>
                <w:lang w:val="en-US"/>
              </w:rPr>
              <w:t>T(1-50)</w:t>
            </w:r>
          </w:p>
        </w:tc>
        <w:tc>
          <w:tcPr>
            <w:tcW w:w="294" w:type="pct"/>
          </w:tcPr>
          <w:p w14:paraId="53DD4589" w14:textId="77777777" w:rsidR="00AD1F54" w:rsidRPr="00264D5D" w:rsidRDefault="00941227">
            <w:pPr>
              <w:spacing w:before="60" w:after="60"/>
              <w:jc w:val="center"/>
              <w:rPr>
                <w:sz w:val="22"/>
                <w:szCs w:val="22"/>
              </w:rPr>
            </w:pPr>
            <w:r w:rsidRPr="00264D5D">
              <w:rPr>
                <w:sz w:val="22"/>
                <w:szCs w:val="22"/>
              </w:rPr>
              <w:t>О</w:t>
            </w:r>
          </w:p>
        </w:tc>
        <w:tc>
          <w:tcPr>
            <w:tcW w:w="2056" w:type="pct"/>
          </w:tcPr>
          <w:p w14:paraId="6AC16E8F" w14:textId="77777777" w:rsidR="00AD1F54" w:rsidRPr="00264D5D" w:rsidRDefault="00941227">
            <w:pPr>
              <w:spacing w:before="60" w:after="60"/>
              <w:rPr>
                <w:sz w:val="22"/>
                <w:szCs w:val="22"/>
              </w:rPr>
            </w:pPr>
            <w:r w:rsidRPr="00264D5D">
              <w:rPr>
                <w:sz w:val="22"/>
                <w:szCs w:val="22"/>
              </w:rPr>
              <w:t>Указывается расшифровка подписи руководителя (уполномоченно</w:t>
            </w:r>
            <w:r w:rsidR="00B06B9A" w:rsidRPr="00264D5D">
              <w:rPr>
                <w:sz w:val="22"/>
                <w:szCs w:val="22"/>
              </w:rPr>
              <w:t>го лица), подписавшего документ</w:t>
            </w:r>
          </w:p>
        </w:tc>
      </w:tr>
      <w:tr w:rsidR="00AD1F54" w:rsidRPr="00264D5D" w14:paraId="630DDF52" w14:textId="77777777" w:rsidTr="00AD1F54">
        <w:trPr>
          <w:cnfStyle w:val="000000100000" w:firstRow="0" w:lastRow="0" w:firstColumn="0" w:lastColumn="0" w:oddVBand="0" w:evenVBand="0" w:oddHBand="1" w:evenHBand="0" w:firstRowFirstColumn="0" w:firstRowLastColumn="0" w:lastRowFirstColumn="0" w:lastRowLastColumn="0"/>
          <w:trHeight w:val="282"/>
        </w:trPr>
        <w:tc>
          <w:tcPr>
            <w:tcW w:w="883" w:type="pct"/>
          </w:tcPr>
          <w:p w14:paraId="44DE5F43" w14:textId="77777777" w:rsidR="00AD1F54" w:rsidRPr="00264D5D" w:rsidRDefault="00941227">
            <w:pPr>
              <w:spacing w:before="60" w:after="60"/>
              <w:rPr>
                <w:sz w:val="22"/>
                <w:szCs w:val="22"/>
              </w:rPr>
            </w:pPr>
            <w:bookmarkStart w:id="2883" w:name="OLE_LINK1276"/>
            <w:bookmarkStart w:id="2884" w:name="OLE_LINK1277"/>
            <w:bookmarkEnd w:id="2875"/>
            <w:r w:rsidRPr="00264D5D">
              <w:rPr>
                <w:sz w:val="22"/>
                <w:szCs w:val="22"/>
              </w:rPr>
              <w:t>Главный бухгалтер (должность уполномоченного лица)</w:t>
            </w:r>
            <w:bookmarkEnd w:id="2883"/>
            <w:bookmarkEnd w:id="2884"/>
          </w:p>
        </w:tc>
        <w:tc>
          <w:tcPr>
            <w:tcW w:w="883" w:type="pct"/>
          </w:tcPr>
          <w:p w14:paraId="21F96DB3" w14:textId="77777777" w:rsidR="00AD1F54" w:rsidRPr="00264D5D" w:rsidRDefault="00941227">
            <w:pPr>
              <w:spacing w:before="60" w:after="60"/>
              <w:rPr>
                <w:sz w:val="22"/>
                <w:szCs w:val="22"/>
              </w:rPr>
            </w:pPr>
            <w:bookmarkStart w:id="2885" w:name="OLE_LINK1266"/>
            <w:bookmarkStart w:id="2886" w:name="OLE_LINK1267"/>
            <w:bookmarkStart w:id="2887" w:name="OLE_LINK1268"/>
            <w:r w:rsidRPr="00264D5D">
              <w:rPr>
                <w:sz w:val="22"/>
                <w:szCs w:val="22"/>
                <w:lang w:val="en-US"/>
              </w:rPr>
              <w:t>D</w:t>
            </w:r>
            <w:r w:rsidRPr="00264D5D">
              <w:rPr>
                <w:sz w:val="22"/>
                <w:szCs w:val="22"/>
              </w:rPr>
              <w:t>ol</w:t>
            </w:r>
            <w:r w:rsidRPr="00264D5D">
              <w:rPr>
                <w:sz w:val="22"/>
                <w:szCs w:val="22"/>
                <w:lang w:val="en-US"/>
              </w:rPr>
              <w:t>B</w:t>
            </w:r>
            <w:r w:rsidRPr="00264D5D">
              <w:rPr>
                <w:sz w:val="22"/>
                <w:szCs w:val="22"/>
              </w:rPr>
              <w:t>uh</w:t>
            </w:r>
            <w:bookmarkEnd w:id="2885"/>
            <w:bookmarkEnd w:id="2886"/>
            <w:bookmarkEnd w:id="2887"/>
          </w:p>
        </w:tc>
        <w:tc>
          <w:tcPr>
            <w:tcW w:w="295" w:type="pct"/>
          </w:tcPr>
          <w:p w14:paraId="78F23621" w14:textId="77777777" w:rsidR="00AD1F54" w:rsidRPr="00264D5D" w:rsidRDefault="00941227">
            <w:pPr>
              <w:spacing w:before="60" w:after="60"/>
              <w:jc w:val="center"/>
              <w:rPr>
                <w:sz w:val="22"/>
                <w:szCs w:val="22"/>
              </w:rPr>
            </w:pPr>
            <w:r w:rsidRPr="00264D5D">
              <w:rPr>
                <w:sz w:val="22"/>
                <w:szCs w:val="22"/>
              </w:rPr>
              <w:t>П</w:t>
            </w:r>
          </w:p>
        </w:tc>
        <w:tc>
          <w:tcPr>
            <w:tcW w:w="588" w:type="pct"/>
          </w:tcPr>
          <w:p w14:paraId="7F13827A" w14:textId="77777777" w:rsidR="00AD1F54" w:rsidRPr="00264D5D" w:rsidRDefault="00941227">
            <w:pPr>
              <w:spacing w:before="60" w:after="60"/>
              <w:rPr>
                <w:sz w:val="22"/>
                <w:szCs w:val="22"/>
              </w:rPr>
            </w:pPr>
            <w:r w:rsidRPr="00264D5D">
              <w:rPr>
                <w:sz w:val="22"/>
                <w:szCs w:val="22"/>
                <w:lang w:val="en-US"/>
              </w:rPr>
              <w:t>T(1-100)</w:t>
            </w:r>
          </w:p>
        </w:tc>
        <w:tc>
          <w:tcPr>
            <w:tcW w:w="294" w:type="pct"/>
          </w:tcPr>
          <w:p w14:paraId="2A817124" w14:textId="77777777" w:rsidR="00AD1F54" w:rsidRPr="00264D5D" w:rsidRDefault="00941227">
            <w:pPr>
              <w:spacing w:before="60" w:after="60"/>
              <w:jc w:val="center"/>
              <w:rPr>
                <w:sz w:val="22"/>
                <w:szCs w:val="22"/>
              </w:rPr>
            </w:pPr>
            <w:r w:rsidRPr="00264D5D">
              <w:rPr>
                <w:sz w:val="22"/>
                <w:szCs w:val="22"/>
              </w:rPr>
              <w:t>Н</w:t>
            </w:r>
          </w:p>
        </w:tc>
        <w:tc>
          <w:tcPr>
            <w:tcW w:w="2056" w:type="pct"/>
          </w:tcPr>
          <w:p w14:paraId="42DE3E6E" w14:textId="77777777" w:rsidR="00AD1F54" w:rsidRPr="00264D5D" w:rsidRDefault="00941227">
            <w:pPr>
              <w:spacing w:before="60" w:after="60"/>
              <w:rPr>
                <w:sz w:val="22"/>
                <w:szCs w:val="22"/>
              </w:rPr>
            </w:pPr>
            <w:r w:rsidRPr="00264D5D">
              <w:rPr>
                <w:sz w:val="22"/>
                <w:szCs w:val="22"/>
              </w:rPr>
              <w:t>Указывается должность уполномоченн</w:t>
            </w:r>
            <w:r w:rsidR="00B06B9A" w:rsidRPr="00264D5D">
              <w:rPr>
                <w:sz w:val="22"/>
                <w:szCs w:val="22"/>
              </w:rPr>
              <w:t>ого лица, подписавшего документ</w:t>
            </w:r>
          </w:p>
        </w:tc>
      </w:tr>
      <w:tr w:rsidR="00AD1F54" w:rsidRPr="00264D5D" w14:paraId="20D50B8B" w14:textId="77777777" w:rsidTr="00AD1F54">
        <w:trPr>
          <w:cnfStyle w:val="000000010000" w:firstRow="0" w:lastRow="0" w:firstColumn="0" w:lastColumn="0" w:oddVBand="0" w:evenVBand="0" w:oddHBand="0" w:evenHBand="1" w:firstRowFirstColumn="0" w:firstRowLastColumn="0" w:lastRowFirstColumn="0" w:lastRowLastColumn="0"/>
          <w:trHeight w:val="282"/>
        </w:trPr>
        <w:tc>
          <w:tcPr>
            <w:tcW w:w="883" w:type="pct"/>
          </w:tcPr>
          <w:p w14:paraId="263D3311" w14:textId="77777777" w:rsidR="00AD1F54" w:rsidRPr="00264D5D" w:rsidRDefault="00941227">
            <w:pPr>
              <w:spacing w:before="60" w:after="60"/>
              <w:rPr>
                <w:sz w:val="22"/>
                <w:szCs w:val="22"/>
              </w:rPr>
            </w:pPr>
            <w:bookmarkStart w:id="2888" w:name="OLE_LINK1278"/>
            <w:bookmarkStart w:id="2889" w:name="OLE_LINK1279"/>
            <w:r w:rsidRPr="00264D5D">
              <w:rPr>
                <w:sz w:val="22"/>
                <w:szCs w:val="22"/>
              </w:rPr>
              <w:t>ФИО главного бухгалтера (уполномоченного лица)</w:t>
            </w:r>
            <w:bookmarkEnd w:id="2888"/>
            <w:bookmarkEnd w:id="2889"/>
          </w:p>
        </w:tc>
        <w:tc>
          <w:tcPr>
            <w:tcW w:w="883" w:type="pct"/>
          </w:tcPr>
          <w:p w14:paraId="14DCEAB2" w14:textId="77777777" w:rsidR="00AD1F54" w:rsidRPr="00264D5D" w:rsidRDefault="00941227">
            <w:pPr>
              <w:spacing w:before="60" w:after="60"/>
              <w:rPr>
                <w:sz w:val="22"/>
                <w:szCs w:val="22"/>
              </w:rPr>
            </w:pPr>
            <w:bookmarkStart w:id="2890" w:name="OLE_LINK1269"/>
            <w:bookmarkStart w:id="2891" w:name="OLE_LINK1270"/>
            <w:r w:rsidRPr="00264D5D">
              <w:rPr>
                <w:sz w:val="22"/>
                <w:szCs w:val="22"/>
                <w:lang w:val="en-US"/>
              </w:rPr>
              <w:t>N</w:t>
            </w:r>
            <w:r w:rsidRPr="00264D5D">
              <w:rPr>
                <w:sz w:val="22"/>
                <w:szCs w:val="22"/>
              </w:rPr>
              <w:t>ame</w:t>
            </w:r>
            <w:r w:rsidRPr="00264D5D">
              <w:rPr>
                <w:sz w:val="22"/>
                <w:szCs w:val="22"/>
                <w:lang w:val="en-US"/>
              </w:rPr>
              <w:t>B</w:t>
            </w:r>
            <w:r w:rsidRPr="00264D5D">
              <w:rPr>
                <w:sz w:val="22"/>
                <w:szCs w:val="22"/>
              </w:rPr>
              <w:t>uh</w:t>
            </w:r>
            <w:bookmarkEnd w:id="2890"/>
            <w:bookmarkEnd w:id="2891"/>
          </w:p>
        </w:tc>
        <w:tc>
          <w:tcPr>
            <w:tcW w:w="295" w:type="pct"/>
          </w:tcPr>
          <w:p w14:paraId="7A246821" w14:textId="77777777" w:rsidR="00AD1F54" w:rsidRPr="00264D5D" w:rsidRDefault="00941227">
            <w:pPr>
              <w:tabs>
                <w:tab w:val="left" w:pos="1122"/>
              </w:tabs>
              <w:spacing w:before="60" w:after="60"/>
              <w:jc w:val="center"/>
              <w:rPr>
                <w:sz w:val="22"/>
                <w:szCs w:val="22"/>
              </w:rPr>
            </w:pPr>
            <w:r w:rsidRPr="00264D5D">
              <w:rPr>
                <w:sz w:val="22"/>
                <w:szCs w:val="22"/>
              </w:rPr>
              <w:t>П</w:t>
            </w:r>
          </w:p>
        </w:tc>
        <w:tc>
          <w:tcPr>
            <w:tcW w:w="588" w:type="pct"/>
          </w:tcPr>
          <w:p w14:paraId="61BBC667" w14:textId="77777777" w:rsidR="00AD1F54" w:rsidRPr="00264D5D" w:rsidRDefault="00941227">
            <w:pPr>
              <w:spacing w:before="60" w:after="60"/>
              <w:rPr>
                <w:sz w:val="22"/>
                <w:szCs w:val="22"/>
              </w:rPr>
            </w:pPr>
            <w:r w:rsidRPr="00264D5D">
              <w:rPr>
                <w:sz w:val="22"/>
                <w:szCs w:val="22"/>
                <w:lang w:val="en-US"/>
              </w:rPr>
              <w:t>T(1-50)</w:t>
            </w:r>
          </w:p>
        </w:tc>
        <w:tc>
          <w:tcPr>
            <w:tcW w:w="294" w:type="pct"/>
          </w:tcPr>
          <w:p w14:paraId="7BB7468A" w14:textId="77777777" w:rsidR="00AD1F54" w:rsidRPr="00264D5D" w:rsidRDefault="00941227">
            <w:pPr>
              <w:spacing w:before="60" w:after="60"/>
              <w:jc w:val="center"/>
              <w:rPr>
                <w:sz w:val="22"/>
                <w:szCs w:val="22"/>
              </w:rPr>
            </w:pPr>
            <w:r w:rsidRPr="00264D5D">
              <w:rPr>
                <w:sz w:val="22"/>
                <w:szCs w:val="22"/>
              </w:rPr>
              <w:t>О</w:t>
            </w:r>
          </w:p>
        </w:tc>
        <w:tc>
          <w:tcPr>
            <w:tcW w:w="2056" w:type="pct"/>
          </w:tcPr>
          <w:p w14:paraId="411A1644" w14:textId="77777777" w:rsidR="00AD1F54" w:rsidRPr="00264D5D" w:rsidRDefault="00941227">
            <w:pPr>
              <w:spacing w:before="60" w:after="60"/>
              <w:rPr>
                <w:sz w:val="22"/>
                <w:szCs w:val="22"/>
              </w:rPr>
            </w:pPr>
            <w:r w:rsidRPr="00264D5D">
              <w:rPr>
                <w:sz w:val="22"/>
                <w:szCs w:val="22"/>
              </w:rPr>
              <w:t>Указывается расшифровка подписи главного бухгалтера (уполномоченного лица), подписавшего докумен</w:t>
            </w:r>
            <w:r w:rsidR="00B06B9A" w:rsidRPr="00264D5D">
              <w:rPr>
                <w:sz w:val="22"/>
                <w:szCs w:val="22"/>
              </w:rPr>
              <w:t>т</w:t>
            </w:r>
          </w:p>
        </w:tc>
      </w:tr>
      <w:tr w:rsidR="00AD1F54" w:rsidRPr="00264D5D" w14:paraId="7A46349F" w14:textId="77777777" w:rsidTr="00AD1F54">
        <w:trPr>
          <w:cnfStyle w:val="000000100000" w:firstRow="0" w:lastRow="0" w:firstColumn="0" w:lastColumn="0" w:oddVBand="0" w:evenVBand="0" w:oddHBand="1" w:evenHBand="0" w:firstRowFirstColumn="0" w:firstRowLastColumn="0" w:lastRowFirstColumn="0" w:lastRowLastColumn="0"/>
          <w:trHeight w:val="282"/>
        </w:trPr>
        <w:tc>
          <w:tcPr>
            <w:tcW w:w="883" w:type="pct"/>
          </w:tcPr>
          <w:p w14:paraId="282888FF" w14:textId="77777777" w:rsidR="00AD1F54" w:rsidRPr="00264D5D" w:rsidRDefault="00941227">
            <w:pPr>
              <w:spacing w:before="60" w:after="60"/>
              <w:rPr>
                <w:sz w:val="22"/>
                <w:szCs w:val="22"/>
              </w:rPr>
            </w:pPr>
            <w:bookmarkStart w:id="2892" w:name="OLE_LINK1280"/>
            <w:bookmarkStart w:id="2893" w:name="OLE_LINK1281"/>
            <w:bookmarkStart w:id="2894" w:name="OLE_LINK1286"/>
            <w:bookmarkStart w:id="2895" w:name="_Hlk525033432"/>
            <w:r w:rsidRPr="00264D5D">
              <w:rPr>
                <w:sz w:val="22"/>
                <w:szCs w:val="22"/>
              </w:rPr>
              <w:t>Должность ответственного исполнителя</w:t>
            </w:r>
            <w:bookmarkEnd w:id="2892"/>
            <w:bookmarkEnd w:id="2893"/>
            <w:bookmarkEnd w:id="2894"/>
          </w:p>
        </w:tc>
        <w:tc>
          <w:tcPr>
            <w:tcW w:w="883" w:type="pct"/>
          </w:tcPr>
          <w:p w14:paraId="361C6CA3" w14:textId="77777777" w:rsidR="00AD1F54" w:rsidRPr="00264D5D" w:rsidRDefault="00941227">
            <w:pPr>
              <w:spacing w:before="60" w:after="60"/>
              <w:rPr>
                <w:sz w:val="22"/>
                <w:szCs w:val="22"/>
              </w:rPr>
            </w:pPr>
            <w:bookmarkStart w:id="2896" w:name="OLE_LINK1282"/>
            <w:bookmarkStart w:id="2897" w:name="OLE_LINK1283"/>
            <w:r w:rsidRPr="00264D5D">
              <w:rPr>
                <w:sz w:val="22"/>
                <w:szCs w:val="22"/>
                <w:lang w:val="en-US"/>
              </w:rPr>
              <w:t>D</w:t>
            </w:r>
            <w:r w:rsidRPr="00264D5D">
              <w:rPr>
                <w:sz w:val="22"/>
                <w:szCs w:val="22"/>
              </w:rPr>
              <w:t>ol</w:t>
            </w:r>
            <w:r w:rsidRPr="00264D5D">
              <w:rPr>
                <w:sz w:val="22"/>
                <w:szCs w:val="22"/>
                <w:lang w:val="en-US"/>
              </w:rPr>
              <w:t>I</w:t>
            </w:r>
            <w:r w:rsidRPr="00264D5D">
              <w:rPr>
                <w:sz w:val="22"/>
                <w:szCs w:val="22"/>
              </w:rPr>
              <w:t>sp</w:t>
            </w:r>
            <w:bookmarkEnd w:id="2896"/>
            <w:bookmarkEnd w:id="2897"/>
          </w:p>
        </w:tc>
        <w:tc>
          <w:tcPr>
            <w:tcW w:w="295" w:type="pct"/>
          </w:tcPr>
          <w:p w14:paraId="7B80866C" w14:textId="77777777" w:rsidR="00AD1F54" w:rsidRPr="00264D5D" w:rsidRDefault="00941227">
            <w:pPr>
              <w:spacing w:before="60" w:after="60"/>
              <w:jc w:val="center"/>
              <w:rPr>
                <w:sz w:val="22"/>
                <w:szCs w:val="22"/>
              </w:rPr>
            </w:pPr>
            <w:r w:rsidRPr="00264D5D">
              <w:rPr>
                <w:sz w:val="22"/>
                <w:szCs w:val="22"/>
              </w:rPr>
              <w:t>П</w:t>
            </w:r>
          </w:p>
        </w:tc>
        <w:tc>
          <w:tcPr>
            <w:tcW w:w="588" w:type="pct"/>
          </w:tcPr>
          <w:p w14:paraId="0CB1DBF1" w14:textId="77777777" w:rsidR="00AD1F54" w:rsidRPr="00264D5D" w:rsidRDefault="00941227">
            <w:pPr>
              <w:spacing w:before="60" w:after="60"/>
              <w:rPr>
                <w:sz w:val="22"/>
                <w:szCs w:val="22"/>
              </w:rPr>
            </w:pPr>
            <w:bookmarkStart w:id="2898" w:name="OLE_LINK1222"/>
            <w:bookmarkStart w:id="2899" w:name="OLE_LINK1223"/>
            <w:bookmarkStart w:id="2900" w:name="OLE_LINK1224"/>
            <w:bookmarkStart w:id="2901" w:name="OLE_LINK1225"/>
            <w:r w:rsidRPr="00264D5D">
              <w:rPr>
                <w:sz w:val="22"/>
                <w:szCs w:val="22"/>
                <w:lang w:val="en-US"/>
              </w:rPr>
              <w:t>T(1-100)</w:t>
            </w:r>
            <w:bookmarkEnd w:id="2898"/>
            <w:bookmarkEnd w:id="2899"/>
            <w:bookmarkEnd w:id="2900"/>
            <w:bookmarkEnd w:id="2901"/>
          </w:p>
        </w:tc>
        <w:tc>
          <w:tcPr>
            <w:tcW w:w="294" w:type="pct"/>
          </w:tcPr>
          <w:p w14:paraId="1E4F6606" w14:textId="77777777" w:rsidR="00AD1F54" w:rsidRPr="00264D5D" w:rsidRDefault="00941227">
            <w:pPr>
              <w:spacing w:before="60" w:after="60"/>
              <w:jc w:val="center"/>
              <w:rPr>
                <w:sz w:val="22"/>
                <w:szCs w:val="22"/>
              </w:rPr>
            </w:pPr>
            <w:r w:rsidRPr="00264D5D">
              <w:rPr>
                <w:sz w:val="22"/>
                <w:szCs w:val="22"/>
              </w:rPr>
              <w:t>Н</w:t>
            </w:r>
          </w:p>
        </w:tc>
        <w:tc>
          <w:tcPr>
            <w:tcW w:w="2056" w:type="pct"/>
          </w:tcPr>
          <w:p w14:paraId="6709B3DE" w14:textId="77777777" w:rsidR="00AD1F54" w:rsidRPr="00264D5D" w:rsidRDefault="00941227">
            <w:pPr>
              <w:spacing w:before="60" w:after="60"/>
              <w:rPr>
                <w:sz w:val="22"/>
                <w:szCs w:val="22"/>
              </w:rPr>
            </w:pPr>
            <w:r w:rsidRPr="00264D5D">
              <w:rPr>
                <w:sz w:val="22"/>
                <w:szCs w:val="22"/>
              </w:rPr>
              <w:t>Указывается должность ответственного исполн</w:t>
            </w:r>
            <w:r w:rsidR="00B06B9A" w:rsidRPr="00264D5D">
              <w:rPr>
                <w:sz w:val="22"/>
                <w:szCs w:val="22"/>
              </w:rPr>
              <w:t>ителя, сформировавшего документ</w:t>
            </w:r>
          </w:p>
        </w:tc>
      </w:tr>
      <w:tr w:rsidR="00AD1F54" w:rsidRPr="00264D5D" w14:paraId="0BC21D80" w14:textId="77777777" w:rsidTr="00AD1F54">
        <w:trPr>
          <w:cnfStyle w:val="000000010000" w:firstRow="0" w:lastRow="0" w:firstColumn="0" w:lastColumn="0" w:oddVBand="0" w:evenVBand="0" w:oddHBand="0" w:evenHBand="1" w:firstRowFirstColumn="0" w:firstRowLastColumn="0" w:lastRowFirstColumn="0" w:lastRowLastColumn="0"/>
          <w:trHeight w:val="282"/>
        </w:trPr>
        <w:tc>
          <w:tcPr>
            <w:tcW w:w="883" w:type="pct"/>
          </w:tcPr>
          <w:p w14:paraId="725DA3F5" w14:textId="77777777" w:rsidR="00AD1F54" w:rsidRPr="00264D5D" w:rsidRDefault="00941227">
            <w:pPr>
              <w:spacing w:before="60" w:after="60"/>
              <w:rPr>
                <w:sz w:val="22"/>
                <w:szCs w:val="22"/>
              </w:rPr>
            </w:pPr>
            <w:bookmarkStart w:id="2902" w:name="OLE_LINK1287"/>
            <w:bookmarkStart w:id="2903" w:name="OLE_LINK1288"/>
            <w:r w:rsidRPr="00264D5D">
              <w:rPr>
                <w:sz w:val="22"/>
                <w:szCs w:val="22"/>
              </w:rPr>
              <w:t xml:space="preserve">ФИО ответственного </w:t>
            </w:r>
            <w:r w:rsidRPr="00264D5D">
              <w:rPr>
                <w:sz w:val="22"/>
                <w:szCs w:val="22"/>
              </w:rPr>
              <w:lastRenderedPageBreak/>
              <w:t>исполнителя</w:t>
            </w:r>
            <w:bookmarkEnd w:id="2902"/>
            <w:bookmarkEnd w:id="2903"/>
          </w:p>
        </w:tc>
        <w:tc>
          <w:tcPr>
            <w:tcW w:w="883" w:type="pct"/>
          </w:tcPr>
          <w:p w14:paraId="0D67D2F0" w14:textId="77777777" w:rsidR="00AD1F54" w:rsidRPr="00264D5D" w:rsidRDefault="00941227">
            <w:pPr>
              <w:spacing w:before="60" w:after="60"/>
              <w:rPr>
                <w:sz w:val="22"/>
                <w:szCs w:val="22"/>
              </w:rPr>
            </w:pPr>
            <w:bookmarkStart w:id="2904" w:name="OLE_LINK1284"/>
            <w:bookmarkStart w:id="2905" w:name="OLE_LINK1285"/>
            <w:r w:rsidRPr="00264D5D">
              <w:rPr>
                <w:sz w:val="22"/>
                <w:szCs w:val="22"/>
                <w:lang w:val="en-US"/>
              </w:rPr>
              <w:lastRenderedPageBreak/>
              <w:t>N</w:t>
            </w:r>
            <w:r w:rsidRPr="00264D5D">
              <w:rPr>
                <w:sz w:val="22"/>
                <w:szCs w:val="22"/>
              </w:rPr>
              <w:t>ame</w:t>
            </w:r>
            <w:r w:rsidRPr="00264D5D">
              <w:rPr>
                <w:sz w:val="22"/>
                <w:szCs w:val="22"/>
                <w:lang w:val="en-US"/>
              </w:rPr>
              <w:t>I</w:t>
            </w:r>
            <w:r w:rsidRPr="00264D5D">
              <w:rPr>
                <w:sz w:val="22"/>
                <w:szCs w:val="22"/>
              </w:rPr>
              <w:t>sp</w:t>
            </w:r>
            <w:bookmarkEnd w:id="2904"/>
            <w:bookmarkEnd w:id="2905"/>
          </w:p>
        </w:tc>
        <w:tc>
          <w:tcPr>
            <w:tcW w:w="295" w:type="pct"/>
          </w:tcPr>
          <w:p w14:paraId="6313E813" w14:textId="77777777" w:rsidR="00AD1F54" w:rsidRPr="00264D5D" w:rsidRDefault="00941227">
            <w:pPr>
              <w:spacing w:before="60" w:after="60"/>
              <w:jc w:val="center"/>
              <w:rPr>
                <w:sz w:val="22"/>
                <w:szCs w:val="22"/>
              </w:rPr>
            </w:pPr>
            <w:r w:rsidRPr="00264D5D">
              <w:rPr>
                <w:sz w:val="22"/>
                <w:szCs w:val="22"/>
              </w:rPr>
              <w:t>П</w:t>
            </w:r>
          </w:p>
        </w:tc>
        <w:tc>
          <w:tcPr>
            <w:tcW w:w="588" w:type="pct"/>
          </w:tcPr>
          <w:p w14:paraId="0DBB0529" w14:textId="77777777" w:rsidR="00AD1F54" w:rsidRPr="00264D5D" w:rsidRDefault="00941227">
            <w:pPr>
              <w:spacing w:before="60" w:after="60"/>
              <w:rPr>
                <w:sz w:val="22"/>
                <w:szCs w:val="22"/>
                <w:lang w:val="en-US"/>
              </w:rPr>
            </w:pPr>
            <w:bookmarkStart w:id="2906" w:name="OLE_LINK1216"/>
            <w:bookmarkStart w:id="2907" w:name="OLE_LINK1217"/>
            <w:bookmarkStart w:id="2908" w:name="OLE_LINK1218"/>
            <w:bookmarkStart w:id="2909" w:name="OLE_LINK1219"/>
            <w:bookmarkStart w:id="2910" w:name="OLE_LINK1220"/>
            <w:bookmarkStart w:id="2911" w:name="OLE_LINK1221"/>
            <w:r w:rsidRPr="00264D5D">
              <w:rPr>
                <w:sz w:val="22"/>
                <w:szCs w:val="22"/>
                <w:lang w:val="en-US"/>
              </w:rPr>
              <w:t>T(1-50)</w:t>
            </w:r>
            <w:bookmarkEnd w:id="2906"/>
            <w:bookmarkEnd w:id="2907"/>
            <w:bookmarkEnd w:id="2908"/>
            <w:bookmarkEnd w:id="2909"/>
            <w:bookmarkEnd w:id="2910"/>
            <w:bookmarkEnd w:id="2911"/>
          </w:p>
        </w:tc>
        <w:tc>
          <w:tcPr>
            <w:tcW w:w="294" w:type="pct"/>
          </w:tcPr>
          <w:p w14:paraId="5AC1AAB8" w14:textId="77777777" w:rsidR="00AD1F54" w:rsidRPr="00264D5D" w:rsidRDefault="00941227">
            <w:pPr>
              <w:spacing w:before="60" w:after="60"/>
              <w:jc w:val="center"/>
              <w:rPr>
                <w:sz w:val="22"/>
                <w:szCs w:val="22"/>
              </w:rPr>
            </w:pPr>
            <w:r w:rsidRPr="00264D5D">
              <w:rPr>
                <w:sz w:val="22"/>
                <w:szCs w:val="22"/>
              </w:rPr>
              <w:t>О</w:t>
            </w:r>
          </w:p>
        </w:tc>
        <w:tc>
          <w:tcPr>
            <w:tcW w:w="2056" w:type="pct"/>
          </w:tcPr>
          <w:p w14:paraId="52BF30DB" w14:textId="77777777" w:rsidR="00AD1F54" w:rsidRPr="00264D5D" w:rsidRDefault="00941227">
            <w:pPr>
              <w:spacing w:before="60" w:after="60"/>
              <w:rPr>
                <w:sz w:val="22"/>
                <w:szCs w:val="22"/>
              </w:rPr>
            </w:pPr>
            <w:r w:rsidRPr="00264D5D">
              <w:rPr>
                <w:sz w:val="22"/>
                <w:szCs w:val="22"/>
              </w:rPr>
              <w:t xml:space="preserve">Указывается расшифровка подписи ответственного исполнителя, </w:t>
            </w:r>
            <w:r w:rsidRPr="00264D5D">
              <w:rPr>
                <w:sz w:val="22"/>
                <w:szCs w:val="22"/>
              </w:rPr>
              <w:lastRenderedPageBreak/>
              <w:t>сформир</w:t>
            </w:r>
            <w:r w:rsidR="00B06B9A" w:rsidRPr="00264D5D">
              <w:rPr>
                <w:sz w:val="22"/>
                <w:szCs w:val="22"/>
              </w:rPr>
              <w:t>овавшего документ</w:t>
            </w:r>
          </w:p>
        </w:tc>
      </w:tr>
      <w:tr w:rsidR="00AD1F54" w:rsidRPr="00264D5D" w14:paraId="644E3A82" w14:textId="77777777" w:rsidTr="00AD1F54">
        <w:trPr>
          <w:cnfStyle w:val="000000100000" w:firstRow="0" w:lastRow="0" w:firstColumn="0" w:lastColumn="0" w:oddVBand="0" w:evenVBand="0" w:oddHBand="1" w:evenHBand="0" w:firstRowFirstColumn="0" w:firstRowLastColumn="0" w:lastRowFirstColumn="0" w:lastRowLastColumn="0"/>
          <w:trHeight w:val="282"/>
        </w:trPr>
        <w:tc>
          <w:tcPr>
            <w:tcW w:w="883" w:type="pct"/>
          </w:tcPr>
          <w:p w14:paraId="30F2661B" w14:textId="77777777" w:rsidR="00AD1F54" w:rsidRPr="00264D5D" w:rsidRDefault="00941227">
            <w:pPr>
              <w:spacing w:before="60" w:after="60"/>
              <w:rPr>
                <w:sz w:val="22"/>
                <w:szCs w:val="22"/>
              </w:rPr>
            </w:pPr>
            <w:bookmarkStart w:id="2912" w:name="OLE_LINK1291"/>
            <w:bookmarkStart w:id="2913" w:name="OLE_LINK1292"/>
            <w:r w:rsidRPr="00264D5D">
              <w:rPr>
                <w:sz w:val="22"/>
                <w:szCs w:val="22"/>
              </w:rPr>
              <w:lastRenderedPageBreak/>
              <w:t>Дата подписания</w:t>
            </w:r>
            <w:bookmarkEnd w:id="2912"/>
            <w:bookmarkEnd w:id="2913"/>
          </w:p>
        </w:tc>
        <w:tc>
          <w:tcPr>
            <w:tcW w:w="883" w:type="pct"/>
          </w:tcPr>
          <w:p w14:paraId="5E43F2E6" w14:textId="77777777" w:rsidR="00AD1F54" w:rsidRPr="00264D5D" w:rsidRDefault="00941227">
            <w:pPr>
              <w:spacing w:before="60" w:after="60"/>
              <w:rPr>
                <w:sz w:val="22"/>
                <w:szCs w:val="22"/>
              </w:rPr>
            </w:pPr>
            <w:bookmarkStart w:id="2914" w:name="OLE_LINK1289"/>
            <w:bookmarkStart w:id="2915" w:name="OLE_LINK1290"/>
            <w:r w:rsidRPr="00264D5D">
              <w:rPr>
                <w:sz w:val="22"/>
                <w:szCs w:val="22"/>
                <w:lang w:val="en-US"/>
              </w:rPr>
              <w:t>D</w:t>
            </w:r>
            <w:r w:rsidRPr="00264D5D">
              <w:rPr>
                <w:sz w:val="22"/>
                <w:szCs w:val="22"/>
              </w:rPr>
              <w:t>ate</w:t>
            </w:r>
            <w:r w:rsidRPr="00264D5D">
              <w:rPr>
                <w:sz w:val="22"/>
                <w:szCs w:val="22"/>
                <w:lang w:val="en-US"/>
              </w:rPr>
              <w:t>P</w:t>
            </w:r>
            <w:r w:rsidRPr="00264D5D">
              <w:rPr>
                <w:sz w:val="22"/>
                <w:szCs w:val="22"/>
              </w:rPr>
              <w:t>od</w:t>
            </w:r>
            <w:bookmarkEnd w:id="2914"/>
            <w:bookmarkEnd w:id="2915"/>
          </w:p>
        </w:tc>
        <w:tc>
          <w:tcPr>
            <w:tcW w:w="295" w:type="pct"/>
          </w:tcPr>
          <w:p w14:paraId="6FCA3A44" w14:textId="77777777" w:rsidR="00AD1F54" w:rsidRPr="00264D5D" w:rsidRDefault="00941227">
            <w:pPr>
              <w:spacing w:before="60" w:after="60"/>
              <w:jc w:val="center"/>
              <w:rPr>
                <w:sz w:val="22"/>
                <w:szCs w:val="22"/>
              </w:rPr>
            </w:pPr>
            <w:r w:rsidRPr="00264D5D">
              <w:rPr>
                <w:sz w:val="22"/>
                <w:szCs w:val="22"/>
              </w:rPr>
              <w:t>П</w:t>
            </w:r>
          </w:p>
        </w:tc>
        <w:tc>
          <w:tcPr>
            <w:tcW w:w="588" w:type="pct"/>
          </w:tcPr>
          <w:p w14:paraId="3C2A454E" w14:textId="77777777" w:rsidR="00AD1F54" w:rsidRPr="00264D5D" w:rsidRDefault="00941227">
            <w:pPr>
              <w:spacing w:before="60" w:after="60"/>
              <w:rPr>
                <w:sz w:val="22"/>
                <w:szCs w:val="22"/>
                <w:lang w:val="en-US"/>
              </w:rPr>
            </w:pPr>
            <w:r w:rsidRPr="00264D5D">
              <w:rPr>
                <w:sz w:val="22"/>
                <w:szCs w:val="22"/>
                <w:lang w:val="en-US"/>
              </w:rPr>
              <w:t>Date</w:t>
            </w:r>
          </w:p>
        </w:tc>
        <w:tc>
          <w:tcPr>
            <w:tcW w:w="294" w:type="pct"/>
          </w:tcPr>
          <w:p w14:paraId="3CB18BE4" w14:textId="77777777" w:rsidR="00AD1F54" w:rsidRPr="00264D5D" w:rsidRDefault="00941227">
            <w:pPr>
              <w:spacing w:before="60" w:after="60"/>
              <w:jc w:val="center"/>
              <w:rPr>
                <w:sz w:val="22"/>
                <w:szCs w:val="22"/>
              </w:rPr>
            </w:pPr>
            <w:r w:rsidRPr="00264D5D">
              <w:rPr>
                <w:sz w:val="22"/>
                <w:szCs w:val="22"/>
              </w:rPr>
              <w:t>О</w:t>
            </w:r>
          </w:p>
        </w:tc>
        <w:tc>
          <w:tcPr>
            <w:tcW w:w="2056" w:type="pct"/>
          </w:tcPr>
          <w:p w14:paraId="02507968" w14:textId="77777777" w:rsidR="00AD1F54" w:rsidRPr="00264D5D" w:rsidRDefault="00941227">
            <w:pPr>
              <w:spacing w:before="60" w:after="60"/>
              <w:rPr>
                <w:sz w:val="22"/>
                <w:szCs w:val="22"/>
              </w:rPr>
            </w:pPr>
            <w:r w:rsidRPr="00264D5D">
              <w:rPr>
                <w:sz w:val="22"/>
                <w:szCs w:val="22"/>
              </w:rPr>
              <w:t>Указывается дата подписания документа руков</w:t>
            </w:r>
            <w:r w:rsidR="00B06B9A" w:rsidRPr="00264D5D">
              <w:rPr>
                <w:sz w:val="22"/>
                <w:szCs w:val="22"/>
              </w:rPr>
              <w:t>одителем (уполномоченным лицом)</w:t>
            </w:r>
          </w:p>
        </w:tc>
      </w:tr>
    </w:tbl>
    <w:p w14:paraId="2827821E" w14:textId="77777777" w:rsidR="00AD1F54" w:rsidRPr="00264D5D" w:rsidRDefault="00941227">
      <w:pPr>
        <w:pStyle w:val="31"/>
      </w:pPr>
      <w:bookmarkStart w:id="2916" w:name="_Toc219309719"/>
      <w:bookmarkEnd w:id="2895"/>
      <w:r w:rsidRPr="00264D5D">
        <w:t>Описание комплексного типа «tMarksFK»</w:t>
      </w:r>
      <w:bookmarkEnd w:id="2916"/>
    </w:p>
    <w:p w14:paraId="0EB7912B" w14:textId="77777777" w:rsidR="00AD1F54" w:rsidRPr="00264D5D" w:rsidRDefault="00941227">
      <w:pPr>
        <w:pStyle w:val="ASFKNormal"/>
        <w:spacing w:before="60" w:after="120"/>
        <w:contextualSpacing w:val="0"/>
        <w:jc w:val="both"/>
        <w:rPr>
          <w:sz w:val="24"/>
          <w:szCs w:val="24"/>
        </w:rPr>
      </w:pPr>
      <w:r w:rsidRPr="00264D5D">
        <w:rPr>
          <w:sz w:val="24"/>
          <w:szCs w:val="24"/>
        </w:rPr>
        <w:t>Описание комплексного типа «tMarksFK» блока «Отметки ТОФК, банка заявителя».</w:t>
      </w:r>
    </w:p>
    <w:p w14:paraId="3348D10D" w14:textId="5DEAA72F" w:rsidR="00AD1F54" w:rsidRPr="00264D5D" w:rsidRDefault="00941227">
      <w:pPr>
        <w:pStyle w:val="GOSTNameTable"/>
        <w:numPr>
          <w:ilvl w:val="0"/>
          <w:numId w:val="2"/>
        </w:numPr>
        <w:ind w:left="425" w:hanging="357"/>
        <w:jc w:val="both"/>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2917" w:name="_Ref528839663"/>
      <w:bookmarkStart w:id="2918" w:name="_Toc30503416"/>
      <w:bookmarkStart w:id="2919" w:name="_Toc30508014"/>
      <w:bookmarkStart w:id="2920" w:name="_Toc219309280"/>
      <w:r w:rsidR="008D797C">
        <w:rPr>
          <w:rFonts w:eastAsia="Calibri"/>
          <w:noProof/>
          <w:szCs w:val="24"/>
        </w:rPr>
        <w:t>250</w:t>
      </w:r>
      <w:bookmarkEnd w:id="2917"/>
      <w:r w:rsidRPr="00264D5D">
        <w:rPr>
          <w:rFonts w:eastAsia="Calibri"/>
          <w:szCs w:val="24"/>
        </w:rPr>
        <w:fldChar w:fldCharType="end"/>
      </w:r>
      <w:r w:rsidRPr="00264D5D">
        <w:rPr>
          <w:rFonts w:eastAsia="Calibri"/>
          <w:szCs w:val="24"/>
        </w:rPr>
        <w:t xml:space="preserve"> – Описание комплексного типа «</w:t>
      </w:r>
      <w:r w:rsidRPr="00264D5D">
        <w:rPr>
          <w:sz w:val="22"/>
          <w:szCs w:val="22"/>
          <w:lang w:val="en-US"/>
        </w:rPr>
        <w:t>tMarksFK</w:t>
      </w:r>
      <w:r w:rsidRPr="00264D5D">
        <w:rPr>
          <w:rFonts w:eastAsia="Calibri"/>
          <w:szCs w:val="24"/>
        </w:rPr>
        <w:t>»</w:t>
      </w:r>
      <w:bookmarkEnd w:id="2918"/>
      <w:bookmarkEnd w:id="2919"/>
      <w:bookmarkEnd w:id="2920"/>
    </w:p>
    <w:tbl>
      <w:tblPr>
        <w:tblStyle w:val="GOSTTable"/>
        <w:tblW w:w="5000" w:type="pct"/>
        <w:tblLayout w:type="fixed"/>
        <w:tblLook w:val="04A0" w:firstRow="1" w:lastRow="0" w:firstColumn="1" w:lastColumn="0" w:noHBand="0" w:noVBand="1"/>
      </w:tblPr>
      <w:tblGrid>
        <w:gridCol w:w="1703"/>
        <w:gridCol w:w="1704"/>
        <w:gridCol w:w="569"/>
        <w:gridCol w:w="1135"/>
        <w:gridCol w:w="569"/>
        <w:gridCol w:w="3970"/>
      </w:tblGrid>
      <w:tr w:rsidR="00AD1F54" w:rsidRPr="00264D5D" w14:paraId="7A63AB88" w14:textId="77777777" w:rsidTr="00AD1F54">
        <w:trPr>
          <w:cnfStyle w:val="100000000000" w:firstRow="1" w:lastRow="0" w:firstColumn="0" w:lastColumn="0" w:oddVBand="0" w:evenVBand="0" w:oddHBand="0" w:evenHBand="0" w:firstRowFirstColumn="0" w:firstRowLastColumn="0" w:lastRowFirstColumn="0" w:lastRowLastColumn="0"/>
          <w:trHeight w:val="282"/>
          <w:tblHeader/>
        </w:trPr>
        <w:tc>
          <w:tcPr>
            <w:tcW w:w="882" w:type="pct"/>
          </w:tcPr>
          <w:p w14:paraId="0B889C91" w14:textId="77777777" w:rsidR="00AD1F54" w:rsidRPr="00264D5D" w:rsidRDefault="00941227">
            <w:pPr>
              <w:spacing w:before="60" w:after="60"/>
              <w:jc w:val="center"/>
              <w:rPr>
                <w:b/>
                <w:bCs/>
                <w:sz w:val="22"/>
                <w:szCs w:val="22"/>
              </w:rPr>
            </w:pPr>
            <w:r w:rsidRPr="00264D5D">
              <w:rPr>
                <w:b/>
                <w:bCs/>
                <w:sz w:val="22"/>
                <w:szCs w:val="22"/>
              </w:rPr>
              <w:t>Наименование элемента</w:t>
            </w:r>
          </w:p>
        </w:tc>
        <w:tc>
          <w:tcPr>
            <w:tcW w:w="883" w:type="pct"/>
          </w:tcPr>
          <w:p w14:paraId="12EB2D09" w14:textId="77777777" w:rsidR="00AD1F54" w:rsidRPr="00264D5D" w:rsidRDefault="00941227">
            <w:pPr>
              <w:spacing w:before="60" w:after="60"/>
              <w:jc w:val="center"/>
              <w:rPr>
                <w:b/>
                <w:bCs/>
                <w:sz w:val="22"/>
                <w:szCs w:val="22"/>
              </w:rPr>
            </w:pPr>
            <w:r w:rsidRPr="00264D5D">
              <w:rPr>
                <w:b/>
                <w:bCs/>
                <w:sz w:val="22"/>
                <w:szCs w:val="22"/>
              </w:rPr>
              <w:t>Сокращенное наименование (код) элемента</w:t>
            </w:r>
          </w:p>
        </w:tc>
        <w:tc>
          <w:tcPr>
            <w:tcW w:w="295" w:type="pct"/>
          </w:tcPr>
          <w:p w14:paraId="632B7B3F" w14:textId="77777777" w:rsidR="00AD1F54" w:rsidRPr="00264D5D" w:rsidRDefault="00941227">
            <w:pPr>
              <w:spacing w:before="60" w:after="60"/>
              <w:jc w:val="center"/>
              <w:rPr>
                <w:b/>
                <w:sz w:val="22"/>
                <w:szCs w:val="22"/>
              </w:rPr>
            </w:pPr>
            <w:r w:rsidRPr="00264D5D">
              <w:rPr>
                <w:b/>
                <w:bCs/>
                <w:sz w:val="22"/>
                <w:szCs w:val="22"/>
              </w:rPr>
              <w:t>Тип</w:t>
            </w:r>
          </w:p>
        </w:tc>
        <w:tc>
          <w:tcPr>
            <w:tcW w:w="588" w:type="pct"/>
          </w:tcPr>
          <w:p w14:paraId="16241CF2" w14:textId="77777777" w:rsidR="00AD1F54" w:rsidRPr="00264D5D" w:rsidRDefault="00941227">
            <w:pPr>
              <w:spacing w:before="60" w:after="60"/>
              <w:jc w:val="center"/>
              <w:rPr>
                <w:b/>
                <w:sz w:val="22"/>
                <w:szCs w:val="22"/>
              </w:rPr>
            </w:pPr>
            <w:r w:rsidRPr="00264D5D">
              <w:rPr>
                <w:b/>
                <w:bCs/>
                <w:sz w:val="22"/>
                <w:szCs w:val="22"/>
              </w:rPr>
              <w:t>Формат элемента</w:t>
            </w:r>
          </w:p>
        </w:tc>
        <w:tc>
          <w:tcPr>
            <w:tcW w:w="295" w:type="pct"/>
          </w:tcPr>
          <w:p w14:paraId="02772977" w14:textId="77777777" w:rsidR="00AD1F54" w:rsidRPr="00264D5D" w:rsidRDefault="00941227">
            <w:pPr>
              <w:spacing w:before="60" w:after="60"/>
              <w:jc w:val="center"/>
              <w:rPr>
                <w:b/>
                <w:sz w:val="22"/>
                <w:szCs w:val="22"/>
              </w:rPr>
            </w:pPr>
            <w:r w:rsidRPr="00264D5D">
              <w:rPr>
                <w:b/>
                <w:bCs/>
                <w:sz w:val="22"/>
                <w:szCs w:val="22"/>
              </w:rPr>
              <w:t>Обязательность</w:t>
            </w:r>
          </w:p>
        </w:tc>
        <w:tc>
          <w:tcPr>
            <w:tcW w:w="2057" w:type="pct"/>
          </w:tcPr>
          <w:p w14:paraId="307E5A87" w14:textId="77777777" w:rsidR="00AD1F54" w:rsidRPr="00264D5D" w:rsidRDefault="00941227">
            <w:pPr>
              <w:spacing w:before="60" w:after="60"/>
              <w:jc w:val="center"/>
              <w:rPr>
                <w:b/>
                <w:bCs/>
                <w:sz w:val="22"/>
                <w:szCs w:val="22"/>
              </w:rPr>
            </w:pPr>
            <w:r w:rsidRPr="00264D5D">
              <w:rPr>
                <w:b/>
                <w:bCs/>
                <w:sz w:val="22"/>
                <w:szCs w:val="22"/>
              </w:rPr>
              <w:t>Дополнительная информация</w:t>
            </w:r>
          </w:p>
        </w:tc>
      </w:tr>
      <w:tr w:rsidR="00AD1F54" w:rsidRPr="00264D5D" w14:paraId="66081E6E" w14:textId="77777777" w:rsidTr="00AD1F54">
        <w:trPr>
          <w:cnfStyle w:val="000000100000" w:firstRow="0" w:lastRow="0" w:firstColumn="0" w:lastColumn="0" w:oddVBand="0" w:evenVBand="0" w:oddHBand="1" w:evenHBand="0" w:firstRowFirstColumn="0" w:firstRowLastColumn="0" w:lastRowFirstColumn="0" w:lastRowLastColumn="0"/>
          <w:trHeight w:val="282"/>
        </w:trPr>
        <w:tc>
          <w:tcPr>
            <w:tcW w:w="882" w:type="pct"/>
          </w:tcPr>
          <w:p w14:paraId="5CB883FB" w14:textId="77777777" w:rsidR="00AD1F54" w:rsidRPr="00264D5D" w:rsidRDefault="00941227">
            <w:pPr>
              <w:spacing w:before="60" w:after="60"/>
              <w:rPr>
                <w:sz w:val="22"/>
                <w:szCs w:val="22"/>
              </w:rPr>
            </w:pPr>
            <w:r w:rsidRPr="00264D5D">
              <w:rPr>
                <w:sz w:val="22"/>
                <w:szCs w:val="22"/>
              </w:rPr>
              <w:t>Должность ответственного исполнителя</w:t>
            </w:r>
          </w:p>
        </w:tc>
        <w:tc>
          <w:tcPr>
            <w:tcW w:w="883" w:type="pct"/>
          </w:tcPr>
          <w:p w14:paraId="2DAC0C87" w14:textId="77777777" w:rsidR="00AD1F54" w:rsidRPr="00264D5D" w:rsidRDefault="00941227">
            <w:pPr>
              <w:spacing w:before="60" w:after="60"/>
              <w:rPr>
                <w:sz w:val="22"/>
                <w:szCs w:val="22"/>
              </w:rPr>
            </w:pPr>
            <w:r w:rsidRPr="00264D5D">
              <w:rPr>
                <w:sz w:val="22"/>
                <w:szCs w:val="22"/>
                <w:lang w:val="en-US"/>
              </w:rPr>
              <w:t>D</w:t>
            </w:r>
            <w:r w:rsidRPr="00264D5D">
              <w:rPr>
                <w:sz w:val="22"/>
                <w:szCs w:val="22"/>
              </w:rPr>
              <w:t>ol</w:t>
            </w:r>
            <w:r w:rsidRPr="00264D5D">
              <w:rPr>
                <w:sz w:val="22"/>
                <w:szCs w:val="22"/>
                <w:lang w:val="en-US"/>
              </w:rPr>
              <w:t>ExecOff</w:t>
            </w:r>
          </w:p>
        </w:tc>
        <w:tc>
          <w:tcPr>
            <w:tcW w:w="295" w:type="pct"/>
          </w:tcPr>
          <w:p w14:paraId="3C695070" w14:textId="77777777" w:rsidR="00AD1F54" w:rsidRPr="00264D5D" w:rsidRDefault="00941227">
            <w:pPr>
              <w:spacing w:before="60" w:after="60"/>
              <w:jc w:val="center"/>
              <w:rPr>
                <w:sz w:val="22"/>
                <w:szCs w:val="22"/>
              </w:rPr>
            </w:pPr>
            <w:r w:rsidRPr="00264D5D">
              <w:rPr>
                <w:sz w:val="22"/>
                <w:szCs w:val="22"/>
              </w:rPr>
              <w:t>П</w:t>
            </w:r>
          </w:p>
        </w:tc>
        <w:tc>
          <w:tcPr>
            <w:tcW w:w="588" w:type="pct"/>
          </w:tcPr>
          <w:p w14:paraId="2F3FB7C6" w14:textId="77777777" w:rsidR="00AD1F54" w:rsidRPr="00264D5D" w:rsidRDefault="00941227">
            <w:pPr>
              <w:spacing w:before="60" w:after="60"/>
              <w:rPr>
                <w:sz w:val="22"/>
                <w:szCs w:val="22"/>
              </w:rPr>
            </w:pPr>
            <w:r w:rsidRPr="00264D5D">
              <w:rPr>
                <w:sz w:val="22"/>
                <w:szCs w:val="22"/>
                <w:lang w:val="en-US"/>
              </w:rPr>
              <w:t>T(1-100)</w:t>
            </w:r>
          </w:p>
        </w:tc>
        <w:tc>
          <w:tcPr>
            <w:tcW w:w="295" w:type="pct"/>
          </w:tcPr>
          <w:p w14:paraId="3A79EDAA" w14:textId="77777777" w:rsidR="00AD1F54" w:rsidRPr="00264D5D" w:rsidRDefault="00941227">
            <w:pPr>
              <w:spacing w:before="60" w:after="60"/>
              <w:jc w:val="center"/>
              <w:rPr>
                <w:sz w:val="22"/>
                <w:szCs w:val="22"/>
              </w:rPr>
            </w:pPr>
            <w:r w:rsidRPr="00264D5D">
              <w:rPr>
                <w:sz w:val="22"/>
                <w:szCs w:val="22"/>
              </w:rPr>
              <w:t>Н</w:t>
            </w:r>
          </w:p>
        </w:tc>
        <w:tc>
          <w:tcPr>
            <w:tcW w:w="2057" w:type="pct"/>
          </w:tcPr>
          <w:p w14:paraId="729F5837" w14:textId="77777777" w:rsidR="00AD1F54" w:rsidRPr="00264D5D" w:rsidRDefault="00941227">
            <w:pPr>
              <w:spacing w:before="60" w:after="60"/>
              <w:rPr>
                <w:sz w:val="22"/>
                <w:szCs w:val="22"/>
              </w:rPr>
            </w:pPr>
            <w:r w:rsidRPr="00264D5D">
              <w:rPr>
                <w:sz w:val="22"/>
                <w:szCs w:val="22"/>
              </w:rPr>
              <w:t>Указывается должн</w:t>
            </w:r>
            <w:r w:rsidR="00B06B9A" w:rsidRPr="00264D5D">
              <w:rPr>
                <w:sz w:val="22"/>
                <w:szCs w:val="22"/>
              </w:rPr>
              <w:t>ость ответственного исполнителя</w:t>
            </w:r>
          </w:p>
        </w:tc>
      </w:tr>
      <w:tr w:rsidR="00AD1F54" w:rsidRPr="00264D5D" w14:paraId="63957FF2" w14:textId="77777777" w:rsidTr="00AD1F54">
        <w:trPr>
          <w:cnfStyle w:val="000000010000" w:firstRow="0" w:lastRow="0" w:firstColumn="0" w:lastColumn="0" w:oddVBand="0" w:evenVBand="0" w:oddHBand="0" w:evenHBand="1" w:firstRowFirstColumn="0" w:firstRowLastColumn="0" w:lastRowFirstColumn="0" w:lastRowLastColumn="0"/>
          <w:trHeight w:val="282"/>
        </w:trPr>
        <w:tc>
          <w:tcPr>
            <w:tcW w:w="882" w:type="pct"/>
          </w:tcPr>
          <w:p w14:paraId="608443E4" w14:textId="77777777" w:rsidR="00AD1F54" w:rsidRPr="00264D5D" w:rsidRDefault="00941227">
            <w:pPr>
              <w:spacing w:before="60" w:after="60"/>
              <w:rPr>
                <w:sz w:val="22"/>
                <w:szCs w:val="22"/>
              </w:rPr>
            </w:pPr>
            <w:r w:rsidRPr="00264D5D">
              <w:rPr>
                <w:sz w:val="22"/>
                <w:szCs w:val="22"/>
              </w:rPr>
              <w:t>ФИО ответственного исполнителя</w:t>
            </w:r>
          </w:p>
        </w:tc>
        <w:tc>
          <w:tcPr>
            <w:tcW w:w="883" w:type="pct"/>
          </w:tcPr>
          <w:p w14:paraId="4D2D6B2D" w14:textId="77777777" w:rsidR="00AD1F54" w:rsidRPr="00264D5D" w:rsidRDefault="00941227">
            <w:pPr>
              <w:spacing w:before="60" w:after="60"/>
              <w:rPr>
                <w:sz w:val="22"/>
                <w:szCs w:val="22"/>
              </w:rPr>
            </w:pPr>
            <w:r w:rsidRPr="00264D5D">
              <w:rPr>
                <w:sz w:val="22"/>
                <w:szCs w:val="22"/>
                <w:lang w:val="en-US"/>
              </w:rPr>
              <w:t>N</w:t>
            </w:r>
            <w:r w:rsidRPr="00264D5D">
              <w:rPr>
                <w:sz w:val="22"/>
                <w:szCs w:val="22"/>
              </w:rPr>
              <w:t>am</w:t>
            </w:r>
            <w:r w:rsidRPr="00264D5D">
              <w:rPr>
                <w:sz w:val="22"/>
                <w:szCs w:val="22"/>
                <w:lang w:val="en-US"/>
              </w:rPr>
              <w:t>eExecOff</w:t>
            </w:r>
          </w:p>
        </w:tc>
        <w:tc>
          <w:tcPr>
            <w:tcW w:w="295" w:type="pct"/>
          </w:tcPr>
          <w:p w14:paraId="62758605" w14:textId="77777777" w:rsidR="00AD1F54" w:rsidRPr="00264D5D" w:rsidRDefault="00941227">
            <w:pPr>
              <w:spacing w:before="60" w:after="60"/>
              <w:jc w:val="center"/>
              <w:rPr>
                <w:sz w:val="22"/>
                <w:szCs w:val="22"/>
              </w:rPr>
            </w:pPr>
            <w:r w:rsidRPr="00264D5D">
              <w:rPr>
                <w:sz w:val="22"/>
                <w:szCs w:val="22"/>
              </w:rPr>
              <w:t>П</w:t>
            </w:r>
          </w:p>
        </w:tc>
        <w:tc>
          <w:tcPr>
            <w:tcW w:w="588" w:type="pct"/>
          </w:tcPr>
          <w:p w14:paraId="51A36481" w14:textId="77777777" w:rsidR="00AD1F54" w:rsidRPr="00264D5D" w:rsidRDefault="00941227">
            <w:pPr>
              <w:spacing w:before="60" w:after="60"/>
              <w:rPr>
                <w:sz w:val="22"/>
                <w:szCs w:val="22"/>
              </w:rPr>
            </w:pPr>
            <w:r w:rsidRPr="00264D5D">
              <w:rPr>
                <w:sz w:val="22"/>
                <w:szCs w:val="22"/>
                <w:lang w:val="en-US"/>
              </w:rPr>
              <w:t>T(1-50)</w:t>
            </w:r>
          </w:p>
        </w:tc>
        <w:tc>
          <w:tcPr>
            <w:tcW w:w="295" w:type="pct"/>
          </w:tcPr>
          <w:p w14:paraId="045377EB" w14:textId="77777777" w:rsidR="00AD1F54" w:rsidRPr="00264D5D" w:rsidRDefault="00941227">
            <w:pPr>
              <w:spacing w:before="60" w:after="60"/>
              <w:jc w:val="center"/>
              <w:rPr>
                <w:sz w:val="22"/>
                <w:szCs w:val="22"/>
              </w:rPr>
            </w:pPr>
            <w:r w:rsidRPr="00264D5D">
              <w:rPr>
                <w:sz w:val="22"/>
                <w:szCs w:val="22"/>
              </w:rPr>
              <w:t>Н</w:t>
            </w:r>
          </w:p>
        </w:tc>
        <w:tc>
          <w:tcPr>
            <w:tcW w:w="2057" w:type="pct"/>
          </w:tcPr>
          <w:p w14:paraId="112C17B0" w14:textId="77777777" w:rsidR="00AD1F54" w:rsidRPr="00264D5D" w:rsidRDefault="00941227">
            <w:pPr>
              <w:spacing w:before="60" w:after="60"/>
              <w:rPr>
                <w:sz w:val="22"/>
                <w:szCs w:val="22"/>
              </w:rPr>
            </w:pPr>
            <w:r w:rsidRPr="00264D5D">
              <w:rPr>
                <w:sz w:val="22"/>
                <w:szCs w:val="22"/>
              </w:rPr>
              <w:t>Указывается расшифровка под</w:t>
            </w:r>
            <w:r w:rsidR="00B06B9A" w:rsidRPr="00264D5D">
              <w:rPr>
                <w:sz w:val="22"/>
                <w:szCs w:val="22"/>
              </w:rPr>
              <w:t>писи ответственного исполнителя</w:t>
            </w:r>
          </w:p>
        </w:tc>
      </w:tr>
      <w:tr w:rsidR="00AD1F54" w:rsidRPr="00264D5D" w14:paraId="7439D979" w14:textId="77777777" w:rsidTr="00AD1F54">
        <w:trPr>
          <w:cnfStyle w:val="000000100000" w:firstRow="0" w:lastRow="0" w:firstColumn="0" w:lastColumn="0" w:oddVBand="0" w:evenVBand="0" w:oddHBand="1" w:evenHBand="0" w:firstRowFirstColumn="0" w:firstRowLastColumn="0" w:lastRowFirstColumn="0" w:lastRowLastColumn="0"/>
          <w:trHeight w:val="282"/>
        </w:trPr>
        <w:tc>
          <w:tcPr>
            <w:tcW w:w="882" w:type="pct"/>
          </w:tcPr>
          <w:p w14:paraId="795A4BEA" w14:textId="77777777" w:rsidR="00AD1F54" w:rsidRPr="00264D5D" w:rsidRDefault="00941227">
            <w:pPr>
              <w:spacing w:before="60" w:after="60"/>
              <w:rPr>
                <w:sz w:val="22"/>
                <w:szCs w:val="22"/>
              </w:rPr>
            </w:pPr>
            <w:r w:rsidRPr="00264D5D">
              <w:rPr>
                <w:sz w:val="22"/>
                <w:szCs w:val="22"/>
              </w:rPr>
              <w:t>Дата обработки документа</w:t>
            </w:r>
          </w:p>
        </w:tc>
        <w:tc>
          <w:tcPr>
            <w:tcW w:w="883" w:type="pct"/>
          </w:tcPr>
          <w:p w14:paraId="181F4A85" w14:textId="77777777" w:rsidR="00AD1F54" w:rsidRPr="00264D5D" w:rsidRDefault="00941227">
            <w:pPr>
              <w:spacing w:before="60" w:after="60"/>
              <w:rPr>
                <w:sz w:val="22"/>
                <w:szCs w:val="22"/>
                <w:lang w:val="en-US"/>
              </w:rPr>
            </w:pPr>
            <w:r w:rsidRPr="00264D5D">
              <w:rPr>
                <w:sz w:val="22"/>
                <w:szCs w:val="22"/>
                <w:lang w:val="en-US"/>
              </w:rPr>
              <w:t>D</w:t>
            </w:r>
            <w:r w:rsidRPr="00264D5D">
              <w:rPr>
                <w:sz w:val="22"/>
                <w:szCs w:val="22"/>
              </w:rPr>
              <w:t>ate</w:t>
            </w:r>
            <w:r w:rsidRPr="00264D5D">
              <w:rPr>
                <w:sz w:val="22"/>
                <w:szCs w:val="22"/>
                <w:lang w:val="en-US"/>
              </w:rPr>
              <w:t>Proccess</w:t>
            </w:r>
          </w:p>
        </w:tc>
        <w:tc>
          <w:tcPr>
            <w:tcW w:w="295" w:type="pct"/>
          </w:tcPr>
          <w:p w14:paraId="037A8332" w14:textId="77777777" w:rsidR="00AD1F54" w:rsidRPr="00264D5D" w:rsidRDefault="00941227">
            <w:pPr>
              <w:spacing w:before="60" w:after="60"/>
              <w:jc w:val="center"/>
              <w:rPr>
                <w:sz w:val="22"/>
                <w:szCs w:val="22"/>
              </w:rPr>
            </w:pPr>
            <w:r w:rsidRPr="00264D5D">
              <w:rPr>
                <w:sz w:val="22"/>
                <w:szCs w:val="22"/>
              </w:rPr>
              <w:t>П</w:t>
            </w:r>
          </w:p>
        </w:tc>
        <w:tc>
          <w:tcPr>
            <w:tcW w:w="588" w:type="pct"/>
          </w:tcPr>
          <w:p w14:paraId="0E07D575" w14:textId="77777777" w:rsidR="00AD1F54" w:rsidRPr="00264D5D" w:rsidRDefault="00941227">
            <w:pPr>
              <w:spacing w:before="60" w:after="60"/>
              <w:rPr>
                <w:sz w:val="22"/>
                <w:szCs w:val="22"/>
              </w:rPr>
            </w:pPr>
            <w:r w:rsidRPr="00264D5D">
              <w:rPr>
                <w:sz w:val="22"/>
                <w:szCs w:val="22"/>
                <w:lang w:val="en-US"/>
              </w:rPr>
              <w:t>Date</w:t>
            </w:r>
          </w:p>
        </w:tc>
        <w:tc>
          <w:tcPr>
            <w:tcW w:w="295" w:type="pct"/>
          </w:tcPr>
          <w:p w14:paraId="5D949722" w14:textId="77777777" w:rsidR="00AD1F54" w:rsidRPr="00264D5D" w:rsidRDefault="00941227">
            <w:pPr>
              <w:spacing w:before="60" w:after="60"/>
              <w:jc w:val="center"/>
              <w:rPr>
                <w:sz w:val="22"/>
                <w:szCs w:val="22"/>
              </w:rPr>
            </w:pPr>
            <w:r w:rsidRPr="00264D5D">
              <w:rPr>
                <w:sz w:val="22"/>
                <w:szCs w:val="22"/>
              </w:rPr>
              <w:t>Н</w:t>
            </w:r>
          </w:p>
        </w:tc>
        <w:tc>
          <w:tcPr>
            <w:tcW w:w="2057" w:type="pct"/>
          </w:tcPr>
          <w:p w14:paraId="2876E4F2" w14:textId="77777777" w:rsidR="00AD1F54" w:rsidRPr="00264D5D" w:rsidRDefault="00941227">
            <w:pPr>
              <w:spacing w:before="60" w:after="60"/>
              <w:rPr>
                <w:sz w:val="22"/>
                <w:szCs w:val="22"/>
              </w:rPr>
            </w:pPr>
            <w:r w:rsidRPr="00264D5D">
              <w:rPr>
                <w:sz w:val="22"/>
                <w:szCs w:val="22"/>
              </w:rPr>
              <w:t>Указы</w:t>
            </w:r>
            <w:r w:rsidR="00B06B9A" w:rsidRPr="00264D5D">
              <w:rPr>
                <w:sz w:val="22"/>
                <w:szCs w:val="22"/>
              </w:rPr>
              <w:t>вается дата обработки документа</w:t>
            </w:r>
          </w:p>
        </w:tc>
      </w:tr>
    </w:tbl>
    <w:p w14:paraId="6A58F4AF" w14:textId="77777777" w:rsidR="00AD1F54" w:rsidRPr="00264D5D" w:rsidRDefault="00941227">
      <w:pPr>
        <w:pStyle w:val="31"/>
      </w:pPr>
      <w:bookmarkStart w:id="2921" w:name="_Toc219309720"/>
      <w:r w:rsidRPr="00264D5D">
        <w:t>Пример XML (файловое взаимодействие)</w:t>
      </w:r>
      <w:bookmarkEnd w:id="2921"/>
    </w:p>
    <w:p w14:paraId="71AFD5F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&lt;?xml version="1.0" encoding="UTF-8"?&gt;</w:t>
      </w:r>
    </w:p>
    <w:p w14:paraId="01B0FA6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&lt;self:exchangePacket xsi:schemaLocation="http://www.roskazna.ru/eb/domain/App_Extradition/extHeader extHeader.xsd" xmlns:self="http://www.roskazna.ru/eb/domain/App_Extradition/extHeader" xmlns:cm="http://www.roskazna.ru/eb/domain/common" xmlns:xsi="http://www.w3.org/2001/XMLSchema-instance"&gt;</w:t>
      </w:r>
    </w:p>
    <w:p w14:paraId="7D8394A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&lt;packetHeader&gt;</w:t>
      </w:r>
      <w:r w:rsidRPr="00264D5D">
        <w:rPr>
          <w:rFonts w:cs="Courier New"/>
          <w:sz w:val="20"/>
        </w:rPr>
        <w:tab/>
      </w:r>
    </w:p>
    <w:p w14:paraId="3BEA332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&lt;serviceInfo&gt;</w:t>
      </w:r>
    </w:p>
    <w:p w14:paraId="22B8DBA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&lt;creationDateTime&gt;2019-0-01T09:30:47Z&lt;/creationDateTime&gt;</w:t>
      </w:r>
    </w:p>
    <w:p w14:paraId="28CF348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&lt;documentType&gt;App_Extradition&lt;/documentType&gt;</w:t>
      </w:r>
    </w:p>
    <w:p w14:paraId="301F65A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&lt;/serviceInfo&gt;</w:t>
      </w:r>
    </w:p>
    <w:p w14:paraId="3F8C8BF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&lt;senderParty&gt;</w:t>
      </w:r>
    </w:p>
    <w:p w14:paraId="0DE3699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&lt;organizationParty&gt;</w:t>
      </w:r>
    </w:p>
    <w:p w14:paraId="68558E6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&lt;SRCode&gt;12345678&lt;/SRCode&gt;</w:t>
      </w:r>
    </w:p>
    <w:p w14:paraId="3545F8F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&lt;/organizationParty&gt;</w:t>
      </w:r>
    </w:p>
    <w:p w14:paraId="586DD26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&lt;/senderParty&gt;</w:t>
      </w:r>
    </w:p>
    <w:p w14:paraId="082CD69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&lt;receiverParty&gt;</w:t>
      </w:r>
    </w:p>
    <w:p w14:paraId="3B31224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&lt;TOFKParty&gt;</w:t>
      </w:r>
    </w:p>
    <w:p w14:paraId="66FD5D0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&lt;TOFKCode&gt;7400&lt;/TOFKCode&gt;</w:t>
      </w:r>
    </w:p>
    <w:p w14:paraId="20E5CD5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&lt;/TOFKParty&gt;</w:t>
      </w:r>
    </w:p>
    <w:p w14:paraId="2B02BA7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&lt;/receiverParty&gt;</w:t>
      </w:r>
    </w:p>
    <w:p w14:paraId="22B7AAB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ab/>
        <w:t>&lt;/packetHeader&gt;</w:t>
      </w:r>
    </w:p>
    <w:p w14:paraId="7B1C04C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&lt;self:formularCollection&gt;</w:t>
      </w:r>
    </w:p>
    <w:p w14:paraId="7CEFC37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&lt;formular metaType="formular" versionID="1.0" xsi:type="self:tApp_Extradition" xmlns:self="http://www.roskazna.ru/eb/domain/App_Extradition/formular" xmlns:xsi="http://www.w3.org/2001/XMLSchema-instance" xsi:schemaLocation="http://www.roskazna.ru/eb/domain/App_Extradition/formular formulars.xsd"&gt;</w:t>
      </w:r>
    </w:p>
    <w:p w14:paraId="1529CA2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&lt;GUID&gt;6a4b54c6-d792-4871-bfbf-7c8b708c18d0&lt;/GUID&gt;</w:t>
      </w:r>
    </w:p>
    <w:p w14:paraId="7F3CF6A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&lt;TypeApp&gt;1&lt;/TypeApp&gt;</w:t>
      </w:r>
    </w:p>
    <w:p w14:paraId="60CE951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&lt;NumApp&gt;1&lt;/NumApp&gt;</w:t>
      </w:r>
    </w:p>
    <w:p w14:paraId="703A977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&lt;DateApp&gt;2019-01-01&lt;/DateApp&gt;</w:t>
      </w:r>
    </w:p>
    <w:p w14:paraId="12D11FE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&lt;SumApp&gt;100.00&lt;/SumApp&gt;</w:t>
      </w:r>
    </w:p>
    <w:p w14:paraId="7BC17D9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&lt;SumAppW&gt;Сто рублей 00 копеек&lt;/SumAppW&gt;</w:t>
      </w:r>
    </w:p>
    <w:p w14:paraId="48FCDFA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&lt;DateEndTreasOblig&gt;2020-12-31&lt;/DateEndTreasOblig&gt;</w:t>
      </w:r>
    </w:p>
    <w:p w14:paraId="281DE29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&lt;GovСontract&gt;</w:t>
      </w:r>
    </w:p>
    <w:p w14:paraId="1D898BA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&lt;NumContract&gt;112&lt;/NumContract&gt;</w:t>
      </w:r>
    </w:p>
    <w:p w14:paraId="40C02BC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&lt;DateContract&gt;2019-01-01&lt;/DateContract&gt;</w:t>
      </w:r>
    </w:p>
    <w:p w14:paraId="275BAF5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&lt;IGK&gt;12345678901234567890&lt;/IGK&gt;</w:t>
      </w:r>
    </w:p>
    <w:p w14:paraId="036315E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&lt;SubjContract&gt;a&lt;/SubjContract&gt;</w:t>
      </w:r>
    </w:p>
    <w:p w14:paraId="0B4BB1E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&lt;NumBO&gt;1234567890123450000&lt;/NumBO&gt;</w:t>
      </w:r>
    </w:p>
    <w:p w14:paraId="71F3EDB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&lt;KBK&gt;24000000000000000000&lt;/KBK&gt;</w:t>
      </w:r>
    </w:p>
    <w:p w14:paraId="35F34B5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&lt;/GovСontract&gt;</w:t>
      </w:r>
    </w:p>
    <w:p w14:paraId="519D20F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lang w:val="ru-RU"/>
        </w:rPr>
        <w:t>&lt;</w:t>
      </w:r>
      <w:r w:rsidRPr="00264D5D">
        <w:rPr>
          <w:rFonts w:cs="Courier New"/>
          <w:sz w:val="20"/>
        </w:rPr>
        <w:t>Applicant</w:t>
      </w:r>
      <w:r w:rsidRPr="00264D5D">
        <w:rPr>
          <w:rFonts w:cs="Courier New"/>
          <w:sz w:val="20"/>
          <w:lang w:val="ru-RU"/>
        </w:rPr>
        <w:t>&gt;</w:t>
      </w:r>
    </w:p>
    <w:p w14:paraId="14077D7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NameApplicant</w:t>
      </w:r>
      <w:r w:rsidRPr="00264D5D">
        <w:rPr>
          <w:rFonts w:cs="Courier New"/>
          <w:sz w:val="20"/>
          <w:lang w:val="ru-RU"/>
        </w:rPr>
        <w:t>&gt;Федеральное агентство по образованию&lt;/</w:t>
      </w:r>
      <w:r w:rsidRPr="00264D5D">
        <w:rPr>
          <w:rFonts w:cs="Courier New"/>
          <w:sz w:val="20"/>
        </w:rPr>
        <w:t>NameApplicant</w:t>
      </w:r>
      <w:r w:rsidRPr="00264D5D">
        <w:rPr>
          <w:rFonts w:cs="Courier New"/>
          <w:sz w:val="20"/>
          <w:lang w:val="ru-RU"/>
        </w:rPr>
        <w:t>&gt;</w:t>
      </w:r>
    </w:p>
    <w:p w14:paraId="7E64820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rPr>
        <w:t>&lt;INNApplicant&gt;4501441201&lt;/INNApplicant&gt;</w:t>
      </w:r>
    </w:p>
    <w:p w14:paraId="70DE7F1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&lt;KPPApplicant&gt;450211001&lt;/KPPApplicant&gt;</w:t>
      </w:r>
    </w:p>
    <w:p w14:paraId="22BFA3E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&lt;LSApplicant&gt;01073000730&lt;/LSApplicant&gt;</w:t>
      </w:r>
    </w:p>
    <w:p w14:paraId="2CFF8E1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ORFK</w:t>
      </w:r>
      <w:r w:rsidRPr="00264D5D">
        <w:rPr>
          <w:rFonts w:cs="Courier New"/>
          <w:sz w:val="20"/>
          <w:lang w:val="ru-RU"/>
        </w:rPr>
        <w:t>&gt;УФК по г. Москва&lt;/</w:t>
      </w:r>
      <w:r w:rsidRPr="00264D5D">
        <w:rPr>
          <w:rFonts w:cs="Courier New"/>
          <w:sz w:val="20"/>
        </w:rPr>
        <w:t>ORFK</w:t>
      </w:r>
      <w:r w:rsidRPr="00264D5D">
        <w:rPr>
          <w:rFonts w:cs="Courier New"/>
          <w:sz w:val="20"/>
          <w:lang w:val="ru-RU"/>
        </w:rPr>
        <w:t>&gt;</w:t>
      </w:r>
    </w:p>
    <w:p w14:paraId="62FAD28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rPr>
        <w:t>&lt;/Applicant&gt;</w:t>
      </w:r>
    </w:p>
    <w:p w14:paraId="4B6BA4D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&lt;Recipient&gt;</w:t>
      </w:r>
    </w:p>
    <w:p w14:paraId="7BA09CF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&lt;NameRecip&gt;ООО "Закат"&lt;/NameRecip&gt;</w:t>
      </w:r>
    </w:p>
    <w:p w14:paraId="5BB33C3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&lt;INNRecip&gt;4501021201&lt;/INNRecip&gt;</w:t>
      </w:r>
    </w:p>
    <w:p w14:paraId="0619437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&lt;KPPRecip&gt;450101001&lt;/KPPRecip&gt;</w:t>
      </w:r>
    </w:p>
    <w:p w14:paraId="123E55B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&lt;NumRecip&gt;40702810300000009245&lt;/NumRecip&gt;</w:t>
      </w:r>
    </w:p>
    <w:p w14:paraId="7C6B48B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&lt;BankRecip&gt;</w:t>
      </w:r>
    </w:p>
    <w:p w14:paraId="3AD24CC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&lt;NameBnkRecip&gt;Отделение-НБ Чувашская Республика&lt;/NameBnkRecip&gt;</w:t>
      </w:r>
    </w:p>
    <w:p w14:paraId="30D8717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&lt;BIKBnkRecip&gt;049706001&lt;/BIKBnkRecip&gt;</w:t>
      </w:r>
    </w:p>
    <w:p w14:paraId="7A86CAA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&lt;AccRecip&gt;40101810900000010005&lt;/AccRecip&gt;</w:t>
      </w:r>
    </w:p>
    <w:p w14:paraId="20189D3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&lt;/BankRecip&gt;</w:t>
      </w:r>
    </w:p>
    <w:p w14:paraId="6B54244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&lt;/Recipient&gt;</w:t>
      </w:r>
    </w:p>
    <w:p w14:paraId="1600240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&lt;SuppDocs&gt;</w:t>
      </w:r>
    </w:p>
    <w:p w14:paraId="1E7262B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&lt;SuppDocsItem&gt;</w:t>
      </w:r>
    </w:p>
    <w:p w14:paraId="2542590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&lt;SerialNum&gt;1&lt;/SerialNum&gt;</w:t>
      </w:r>
    </w:p>
    <w:p w14:paraId="7D5E4B1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&lt;TypeSuppDoc&gt;Акт&lt;/TypeSuppDoc&gt;</w:t>
      </w:r>
    </w:p>
    <w:p w14:paraId="2574951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&lt;/SuppDocsItem&gt;</w:t>
      </w:r>
    </w:p>
    <w:p w14:paraId="048963D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&lt;/SuppDocs&gt;</w:t>
      </w:r>
    </w:p>
    <w:p w14:paraId="25C8BF1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&lt;Signature&gt;</w:t>
      </w:r>
    </w:p>
    <w:p w14:paraId="2157E33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&lt;DolRuk&gt;Руководитель&lt;/DolRuk&gt;</w:t>
      </w:r>
    </w:p>
    <w:p w14:paraId="43B3C91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&lt;NameRuk&gt;Иванов И.И.&lt;/NameRuk&gt;</w:t>
      </w:r>
    </w:p>
    <w:p w14:paraId="6336154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&lt;DolBuh&gt;главный бухгалтер&lt;/DolBuh&gt;</w:t>
      </w:r>
    </w:p>
    <w:p w14:paraId="2CDA244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&lt;NameBuh&gt;Ромашкина А.Н.&lt;/NameBuh&gt;</w:t>
      </w:r>
    </w:p>
    <w:p w14:paraId="47AF4E9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&lt;DolIsp&gt;Специалист&lt;/DolIsp&gt;</w:t>
      </w:r>
    </w:p>
    <w:p w14:paraId="2B673F5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&lt;NameIsp&gt;Петров Р.М.&lt;/NameIsp&gt;</w:t>
      </w:r>
    </w:p>
    <w:p w14:paraId="32F6AF5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&lt;DatePod&gt;2019-01-01&lt;/DatePod&gt;</w:t>
      </w:r>
    </w:p>
    <w:p w14:paraId="3CB0C32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&lt;/Signature&gt;</w:t>
      </w:r>
    </w:p>
    <w:p w14:paraId="643B1A9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&lt;MarksFK&gt;</w:t>
      </w:r>
    </w:p>
    <w:p w14:paraId="4A76E20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&lt;DolExecOff&gt;Специалист&lt;/DolExecOff&gt;</w:t>
      </w:r>
    </w:p>
    <w:p w14:paraId="4DC9E69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&lt;NameExecOff&gt;Сидоров А.А.&lt;/NameExecOff&gt;</w:t>
      </w:r>
    </w:p>
    <w:p w14:paraId="55A0ADC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ab/>
      </w:r>
      <w:r w:rsidRPr="00264D5D">
        <w:rPr>
          <w:rFonts w:cs="Courier New"/>
          <w:sz w:val="20"/>
        </w:rPr>
        <w:tab/>
        <w:t>&lt;DateProccess&gt;2019-01-01&lt;/DateProccess&gt;</w:t>
      </w:r>
    </w:p>
    <w:p w14:paraId="1036E96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&lt;/MarksFK&gt;</w:t>
      </w:r>
    </w:p>
    <w:p w14:paraId="25A607C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&lt;/formular&gt;</w:t>
      </w:r>
    </w:p>
    <w:p w14:paraId="6D84A5C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&lt;/self:formularCollection&gt;</w:t>
      </w:r>
    </w:p>
    <w:p w14:paraId="14D85FE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264D5D">
        <w:rPr>
          <w:rFonts w:cs="Courier New"/>
          <w:sz w:val="20"/>
        </w:rPr>
        <w:t>&lt;/self:exchangePacket&gt;</w:t>
      </w:r>
    </w:p>
    <w:p w14:paraId="4BE47CD5" w14:textId="77777777" w:rsidR="00AD1F54" w:rsidRPr="00264D5D" w:rsidRDefault="00941227">
      <w:pPr>
        <w:pStyle w:val="31"/>
      </w:pPr>
      <w:bookmarkStart w:id="2922" w:name="_Ref529293665"/>
      <w:bookmarkStart w:id="2923" w:name="_Toc219309721"/>
      <w:r w:rsidRPr="00264D5D">
        <w:t>Пример XML (сервисное взаимодействие)</w:t>
      </w:r>
      <w:bookmarkEnd w:id="2923"/>
    </w:p>
    <w:p w14:paraId="1795D5A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&lt;?xml version="1.0" encoding="UTF-8"?&gt;</w:t>
      </w:r>
    </w:p>
    <w:p w14:paraId="6A31BB6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&lt;self:App_Extradition metaType="formular" versionID="1.0" xsi:schemaLocation="http://www.roskazna.ru/eb/domain/App_Extradition/formular formulars.xsd" xmlns:self="http://www.roskazna.ru/eb/domain/App_Extradition/formular" xmlns:xsi="http://www.w3.org/2001/XMLSchema-instance" &gt;</w:t>
      </w:r>
    </w:p>
    <w:p w14:paraId="10EE916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&lt;GUID&gt;6a4b54c6-d792-4871-bfbf-7c8b708c18d0&lt;/GUID&gt;</w:t>
      </w:r>
    </w:p>
    <w:p w14:paraId="2B4C8DA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&lt;TypeApp&gt;1&lt;/TypeApp&gt;</w:t>
      </w:r>
    </w:p>
    <w:p w14:paraId="32E3483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&lt;NumApp&gt;1&lt;/NumApp&gt;</w:t>
      </w:r>
    </w:p>
    <w:p w14:paraId="5455315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&lt;DateApp&gt;2019-01-01&lt;/DateApp&gt;</w:t>
      </w:r>
    </w:p>
    <w:p w14:paraId="63523FD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&lt;SumApp&gt;100.00&lt;/SumApp&gt;</w:t>
      </w:r>
    </w:p>
    <w:p w14:paraId="6567797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&lt;SumAppW&gt;Сто рублей 00 копеек&lt;/SumAppW&gt;</w:t>
      </w:r>
    </w:p>
    <w:p w14:paraId="4DAB8EB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&lt;DateEndTreasOblig&gt;2020-12-31&lt;/DateEndTreasOblig&gt;</w:t>
      </w:r>
    </w:p>
    <w:p w14:paraId="498EDD1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&lt;GovСontract&gt;</w:t>
      </w:r>
    </w:p>
    <w:p w14:paraId="08C3C62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&lt;NumContract&gt;112&lt;/NumContract&gt;</w:t>
      </w:r>
    </w:p>
    <w:p w14:paraId="5996362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&lt;DateContract&gt;2019-01-01&lt;/DateContract&gt;</w:t>
      </w:r>
    </w:p>
    <w:p w14:paraId="72A8BB3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&lt;IGK&gt;12345678901234567890&lt;/IGK&gt;</w:t>
      </w:r>
    </w:p>
    <w:p w14:paraId="4E23955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&lt;SubjContract&gt;a&lt;/SubjContract&gt;</w:t>
      </w:r>
    </w:p>
    <w:p w14:paraId="4624C20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&lt;NumBO&gt;1234567890123450000&lt;/NumBO&gt;</w:t>
      </w:r>
    </w:p>
    <w:p w14:paraId="0B358DA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&lt;KBK&gt;24000000000000000000&lt;/KBK&gt;</w:t>
      </w:r>
    </w:p>
    <w:p w14:paraId="2088B94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&lt;/GovСontract&gt;</w:t>
      </w:r>
    </w:p>
    <w:p w14:paraId="3837CE2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lang w:val="ru-RU"/>
        </w:rPr>
        <w:t>&lt;</w:t>
      </w:r>
      <w:r w:rsidRPr="00264D5D">
        <w:rPr>
          <w:rFonts w:cs="Courier New"/>
          <w:sz w:val="20"/>
        </w:rPr>
        <w:t>Applicant</w:t>
      </w:r>
      <w:r w:rsidRPr="00264D5D">
        <w:rPr>
          <w:rFonts w:cs="Courier New"/>
          <w:sz w:val="20"/>
          <w:lang w:val="ru-RU"/>
        </w:rPr>
        <w:t>&gt;</w:t>
      </w:r>
    </w:p>
    <w:p w14:paraId="4FED6CD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NameApplicant</w:t>
      </w:r>
      <w:r w:rsidRPr="00264D5D">
        <w:rPr>
          <w:rFonts w:cs="Courier New"/>
          <w:sz w:val="20"/>
          <w:lang w:val="ru-RU"/>
        </w:rPr>
        <w:t>&gt;Федеральное агентство по образованию&lt;/</w:t>
      </w:r>
      <w:r w:rsidRPr="00264D5D">
        <w:rPr>
          <w:rFonts w:cs="Courier New"/>
          <w:sz w:val="20"/>
        </w:rPr>
        <w:t>NameApplicant</w:t>
      </w:r>
      <w:r w:rsidRPr="00264D5D">
        <w:rPr>
          <w:rFonts w:cs="Courier New"/>
          <w:sz w:val="20"/>
          <w:lang w:val="ru-RU"/>
        </w:rPr>
        <w:t>&gt;</w:t>
      </w:r>
    </w:p>
    <w:p w14:paraId="62753B6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rPr>
        <w:t>&lt;INNApplicant&gt;4501441201&lt;/INNApplicant&gt;</w:t>
      </w:r>
    </w:p>
    <w:p w14:paraId="46760E8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&lt;KPPApplicant&gt;450211001&lt;/KPPApplicant&gt;</w:t>
      </w:r>
    </w:p>
    <w:p w14:paraId="3A183EE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&lt;LSApplicant&gt;01073000730&lt;/LSApplicant&gt;</w:t>
      </w:r>
    </w:p>
    <w:p w14:paraId="4F316F3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ORFK</w:t>
      </w:r>
      <w:r w:rsidRPr="00264D5D">
        <w:rPr>
          <w:rFonts w:cs="Courier New"/>
          <w:sz w:val="20"/>
          <w:lang w:val="ru-RU"/>
        </w:rPr>
        <w:t>&gt;УФК по г. Москва&lt;/</w:t>
      </w:r>
      <w:r w:rsidRPr="00264D5D">
        <w:rPr>
          <w:rFonts w:cs="Courier New"/>
          <w:sz w:val="20"/>
        </w:rPr>
        <w:t>ORFK</w:t>
      </w:r>
      <w:r w:rsidRPr="00264D5D">
        <w:rPr>
          <w:rFonts w:cs="Courier New"/>
          <w:sz w:val="20"/>
          <w:lang w:val="ru-RU"/>
        </w:rPr>
        <w:t>&gt;</w:t>
      </w:r>
    </w:p>
    <w:p w14:paraId="3685832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rPr>
        <w:t>&lt;/Applicant&gt;</w:t>
      </w:r>
    </w:p>
    <w:p w14:paraId="3B04482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&lt;Recipient&gt;</w:t>
      </w:r>
    </w:p>
    <w:p w14:paraId="2E50DEB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&lt;NameRecip&gt;ООО "Закат"&lt;/NameRecip&gt;</w:t>
      </w:r>
    </w:p>
    <w:p w14:paraId="6F7D684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&lt;INNRecip&gt;4501021201&lt;/INNRecip&gt;</w:t>
      </w:r>
    </w:p>
    <w:p w14:paraId="3915418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&lt;KPPRecip&gt;450101001&lt;/KPPRecip&gt;</w:t>
      </w:r>
    </w:p>
    <w:p w14:paraId="7F80CA6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&lt;NumRecip&gt;40702810300000009245&lt;/NumRecip&gt;</w:t>
      </w:r>
    </w:p>
    <w:p w14:paraId="0AE2189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&lt;BankRecip&gt;</w:t>
      </w:r>
    </w:p>
    <w:p w14:paraId="1ED5B81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&lt;NameBnkRecip&gt;Отделение-НБ Чувашская Республика&lt;/NameBnkRecip&gt;</w:t>
      </w:r>
    </w:p>
    <w:p w14:paraId="0804FBE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&lt;BIKBnkRecip&gt;049706001&lt;/BIKBnkRecip&gt;</w:t>
      </w:r>
    </w:p>
    <w:p w14:paraId="42410F8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&lt;AccRecip&gt;40101810900000010005&lt;/AccRecip&gt;</w:t>
      </w:r>
    </w:p>
    <w:p w14:paraId="54FCBD5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&lt;/BankRecip&gt;</w:t>
      </w:r>
    </w:p>
    <w:p w14:paraId="7EF8F85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&lt;/Recipient&gt;</w:t>
      </w:r>
    </w:p>
    <w:p w14:paraId="305C08D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&lt;SuppDocs&gt;</w:t>
      </w:r>
    </w:p>
    <w:p w14:paraId="55CC9F1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&lt;SuppDocsItem&gt;</w:t>
      </w:r>
    </w:p>
    <w:p w14:paraId="25FFED8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&lt;SerialNum&gt;1&lt;/SerialNum&gt;</w:t>
      </w:r>
    </w:p>
    <w:p w14:paraId="66491CE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&lt;TypeSuppDoc&gt;Акт&lt;/TypeSuppDoc&gt;</w:t>
      </w:r>
    </w:p>
    <w:p w14:paraId="1DE6AC3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&lt;/SuppDocsItem&gt;</w:t>
      </w:r>
    </w:p>
    <w:p w14:paraId="3569EC8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&lt;/SuppDocs&gt;</w:t>
      </w:r>
    </w:p>
    <w:p w14:paraId="3BA417D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&lt;Signature&gt;</w:t>
      </w:r>
    </w:p>
    <w:p w14:paraId="2133654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&lt;DolRuk&gt;Руководитель&lt;/DolRuk&gt;</w:t>
      </w:r>
    </w:p>
    <w:p w14:paraId="4BC21EC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&lt;NameRuk&gt;Иванов И.И.&lt;/NameRuk&gt;</w:t>
      </w:r>
    </w:p>
    <w:p w14:paraId="7123900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&lt;DolBuh&gt;главный бухгалтер&lt;/DolBuh&gt;</w:t>
      </w:r>
    </w:p>
    <w:p w14:paraId="7C5977A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ab/>
      </w:r>
      <w:r w:rsidRPr="00264D5D">
        <w:rPr>
          <w:rFonts w:cs="Courier New"/>
          <w:sz w:val="20"/>
        </w:rPr>
        <w:tab/>
        <w:t>&lt;NameBuh&gt;Ромашкина А.Н.&lt;/NameBuh&gt;</w:t>
      </w:r>
    </w:p>
    <w:p w14:paraId="0F4FCEC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&lt;DolIsp&gt;Специалист&lt;/DolIsp&gt;</w:t>
      </w:r>
    </w:p>
    <w:p w14:paraId="03BCA06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&lt;NameIsp&gt;Петров Р.М.&lt;/NameIsp&gt;</w:t>
      </w:r>
    </w:p>
    <w:p w14:paraId="76626FC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&lt;DatePod&gt;2019-01-01&lt;/DatePod&gt;</w:t>
      </w:r>
    </w:p>
    <w:p w14:paraId="3966EF6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&lt;/Signature&gt;</w:t>
      </w:r>
    </w:p>
    <w:p w14:paraId="3CFAE84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&lt;MarksFK&gt;</w:t>
      </w:r>
    </w:p>
    <w:p w14:paraId="00ACFB6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&lt;DolExecOff&gt;Специалист&lt;/DolExecOff&gt;</w:t>
      </w:r>
    </w:p>
    <w:p w14:paraId="0735669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&lt;NameExecOff&gt;Сидоров А.А.&lt;/NameExecOff&gt;</w:t>
      </w:r>
    </w:p>
    <w:p w14:paraId="26ACEC2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&lt;DateProccess&gt;2019-01-01&lt;/DateProccess&gt;</w:t>
      </w:r>
    </w:p>
    <w:p w14:paraId="52ED200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&lt;/MarksFK&gt;</w:t>
      </w:r>
    </w:p>
    <w:p w14:paraId="6DF1712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264D5D">
        <w:rPr>
          <w:rFonts w:cs="Courier New"/>
          <w:sz w:val="20"/>
        </w:rPr>
        <w:t>&lt;/self:App_Extradition&gt;</w:t>
      </w:r>
    </w:p>
    <w:p w14:paraId="628FFDAD" w14:textId="77777777" w:rsidR="00AD1F54" w:rsidRPr="00030525" w:rsidRDefault="00941227">
      <w:pPr>
        <w:pStyle w:val="22"/>
        <w:rPr>
          <w:highlight w:val="green"/>
          <w:lang w:val="ru-RU"/>
        </w:rPr>
      </w:pPr>
      <w:bookmarkStart w:id="2924" w:name="_Ref46776970"/>
      <w:bookmarkStart w:id="2925" w:name="_Ref46767822"/>
      <w:bookmarkStart w:id="2926" w:name="_Toc219309722"/>
      <w:r w:rsidRPr="00030525">
        <w:rPr>
          <w:highlight w:val="green"/>
          <w:lang w:val="ru-RU"/>
        </w:rPr>
        <w:t>Описание документа «Заявка на получение денежных средств, перечисляемых на карту» (ф. 0531243)</w:t>
      </w:r>
      <w:bookmarkEnd w:id="2924"/>
      <w:bookmarkEnd w:id="2926"/>
    </w:p>
    <w:p w14:paraId="4903BB60" w14:textId="77777777" w:rsidR="00AD1F54" w:rsidRPr="00030525" w:rsidRDefault="00941227">
      <w:pPr>
        <w:pStyle w:val="31"/>
        <w:rPr>
          <w:highlight w:val="green"/>
        </w:rPr>
      </w:pPr>
      <w:bookmarkStart w:id="2927" w:name="_Toc219309723"/>
      <w:r w:rsidRPr="00030525">
        <w:rPr>
          <w:highlight w:val="green"/>
        </w:rPr>
        <w:t>Назначение и маршрут документа</w:t>
      </w:r>
      <w:bookmarkEnd w:id="2927"/>
    </w:p>
    <w:p w14:paraId="2F383070" w14:textId="77777777" w:rsidR="00AD1F54" w:rsidRPr="00264D5D" w:rsidRDefault="00941227">
      <w:pPr>
        <w:pStyle w:val="ASFKNormal"/>
        <w:widowControl w:val="0"/>
        <w:spacing w:before="60" w:after="120"/>
        <w:contextualSpacing w:val="0"/>
        <w:jc w:val="both"/>
        <w:rPr>
          <w:rFonts w:eastAsia="Calibri"/>
          <w:sz w:val="24"/>
        </w:rPr>
      </w:pPr>
      <w:r w:rsidRPr="00264D5D">
        <w:rPr>
          <w:rFonts w:eastAsia="Calibri"/>
          <w:sz w:val="24"/>
        </w:rPr>
        <w:t>Документ «Заявка на получение денежных средств, перечисляемых на карту» (ф. 0531243) предназначен для доведения до ТОФК потребностей ПБС в денежных средствах, перечисляемых на банковскую карту, и доставляется от ПБС до ТОФК, в котором ему открыт л/с.</w:t>
      </w:r>
    </w:p>
    <w:p w14:paraId="19A6F502" w14:textId="77777777" w:rsidR="00AD1F54" w:rsidRPr="00264D5D" w:rsidRDefault="00941227">
      <w:pPr>
        <w:widowControl w:val="0"/>
        <w:spacing w:before="60" w:after="120"/>
        <w:ind w:firstLine="709"/>
        <w:contextualSpacing/>
        <w:rPr>
          <w:szCs w:val="24"/>
        </w:rPr>
      </w:pPr>
      <w:r w:rsidRPr="00264D5D">
        <w:rPr>
          <w:szCs w:val="24"/>
        </w:rPr>
        <w:t>Документ «Заявка на получение денежных средств, перечисляемых на карту» (ф. 0531243) предназначен для обеспечения наличными денежными средствами клиентов, включая бюджетные и автономные учреждения, с использованием карт.</w:t>
      </w:r>
    </w:p>
    <w:p w14:paraId="351209AC" w14:textId="0D8E03C4" w:rsidR="00AD1F54" w:rsidRPr="00030525" w:rsidRDefault="001E5517">
      <w:pPr>
        <w:pStyle w:val="GOSTNameTable"/>
        <w:numPr>
          <w:ilvl w:val="0"/>
          <w:numId w:val="2"/>
        </w:numPr>
        <w:ind w:left="425" w:hanging="357"/>
        <w:jc w:val="both"/>
        <w:rPr>
          <w:highlight w:val="green"/>
        </w:rPr>
      </w:pPr>
      <w:r w:rsidRPr="00030525">
        <w:rPr>
          <w:noProof/>
          <w:highlight w:val="green"/>
        </w:rPr>
        <w:fldChar w:fldCharType="begin"/>
      </w:r>
      <w:r w:rsidRPr="00030525">
        <w:rPr>
          <w:noProof/>
          <w:highlight w:val="green"/>
        </w:rPr>
        <w:instrText xml:space="preserve"> SEQ Таблица \* ARABIC </w:instrText>
      </w:r>
      <w:r w:rsidRPr="00030525">
        <w:rPr>
          <w:noProof/>
          <w:highlight w:val="green"/>
        </w:rPr>
        <w:fldChar w:fldCharType="separate"/>
      </w:r>
      <w:bookmarkStart w:id="2928" w:name="_Toc219309281"/>
      <w:r w:rsidR="008D797C">
        <w:rPr>
          <w:noProof/>
          <w:highlight w:val="green"/>
        </w:rPr>
        <w:t>251</w:t>
      </w:r>
      <w:r w:rsidRPr="00030525">
        <w:rPr>
          <w:noProof/>
          <w:highlight w:val="green"/>
        </w:rPr>
        <w:fldChar w:fldCharType="end"/>
      </w:r>
      <w:r w:rsidR="00941227" w:rsidRPr="00030525">
        <w:rPr>
          <w:highlight w:val="green"/>
        </w:rPr>
        <w:t xml:space="preserve"> </w:t>
      </w:r>
      <w:r w:rsidR="00941227" w:rsidRPr="00030525">
        <w:rPr>
          <w:rFonts w:eastAsia="Calibri"/>
          <w:szCs w:val="24"/>
          <w:highlight w:val="green"/>
        </w:rPr>
        <w:t xml:space="preserve">– </w:t>
      </w:r>
      <w:r w:rsidR="00941227" w:rsidRPr="00030525">
        <w:rPr>
          <w:highlight w:val="green"/>
        </w:rPr>
        <w:t>Маршрут документа «Заявка на получение денежных средств, перечисляемых на карту» (ф. 0531243)</w:t>
      </w:r>
      <w:bookmarkEnd w:id="2928"/>
    </w:p>
    <w:tbl>
      <w:tblPr>
        <w:tblW w:w="96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2551"/>
        <w:gridCol w:w="4530"/>
      </w:tblGrid>
      <w:tr w:rsidR="00AD1F54" w:rsidRPr="00264D5D" w14:paraId="400246D9" w14:textId="77777777">
        <w:trPr>
          <w:trHeight w:val="96"/>
          <w:tblHeader/>
        </w:trPr>
        <w:tc>
          <w:tcPr>
            <w:tcW w:w="2551" w:type="dxa"/>
            <w:tcBorders>
              <w:top w:val="single" w:sz="4" w:space="0" w:color="auto"/>
              <w:left w:val="single" w:sz="4" w:space="0" w:color="auto"/>
              <w:bottom w:val="single" w:sz="4" w:space="0" w:color="auto"/>
              <w:right w:val="single" w:sz="4" w:space="0" w:color="auto"/>
            </w:tcBorders>
            <w:shd w:val="clear" w:color="auto" w:fill="E7E6E6" w:themeFill="background2"/>
          </w:tcPr>
          <w:p w14:paraId="1009CAF4" w14:textId="77777777" w:rsidR="00AD1F54" w:rsidRPr="00264D5D" w:rsidRDefault="00941227">
            <w:pPr>
              <w:pStyle w:val="ASFKTableHead"/>
            </w:pPr>
            <w:r w:rsidRPr="00264D5D">
              <w:t>Отправитель</w:t>
            </w:r>
          </w:p>
        </w:tc>
        <w:tc>
          <w:tcPr>
            <w:tcW w:w="2551" w:type="dxa"/>
            <w:tcBorders>
              <w:top w:val="single" w:sz="4" w:space="0" w:color="auto"/>
              <w:left w:val="single" w:sz="4" w:space="0" w:color="auto"/>
              <w:bottom w:val="single" w:sz="4" w:space="0" w:color="auto"/>
              <w:right w:val="single" w:sz="4" w:space="0" w:color="auto"/>
            </w:tcBorders>
            <w:shd w:val="clear" w:color="auto" w:fill="E7E6E6" w:themeFill="background2"/>
          </w:tcPr>
          <w:p w14:paraId="62BBA058" w14:textId="77777777" w:rsidR="00AD1F54" w:rsidRPr="00264D5D" w:rsidRDefault="00941227">
            <w:pPr>
              <w:pStyle w:val="ASFKTableHead"/>
            </w:pPr>
            <w:r w:rsidRPr="00264D5D">
              <w:t>Получатель</w:t>
            </w:r>
          </w:p>
        </w:tc>
        <w:tc>
          <w:tcPr>
            <w:tcW w:w="4530" w:type="dxa"/>
            <w:tcBorders>
              <w:top w:val="single" w:sz="4" w:space="0" w:color="auto"/>
              <w:left w:val="single" w:sz="4" w:space="0" w:color="auto"/>
              <w:bottom w:val="single" w:sz="4" w:space="0" w:color="auto"/>
              <w:right w:val="single" w:sz="4" w:space="0" w:color="auto"/>
            </w:tcBorders>
            <w:shd w:val="clear" w:color="auto" w:fill="E7E6E6" w:themeFill="background2"/>
          </w:tcPr>
          <w:p w14:paraId="53034887" w14:textId="77777777" w:rsidR="00AD1F54" w:rsidRPr="00264D5D" w:rsidRDefault="00941227">
            <w:pPr>
              <w:pStyle w:val="ASFKTableHead"/>
            </w:pPr>
            <w:r w:rsidRPr="00264D5D">
              <w:t>Примечание</w:t>
            </w:r>
          </w:p>
        </w:tc>
      </w:tr>
      <w:tr w:rsidR="00AD1F54" w:rsidRPr="00264D5D" w14:paraId="7776D547" w14:textId="77777777">
        <w:tc>
          <w:tcPr>
            <w:tcW w:w="2551" w:type="dxa"/>
            <w:shd w:val="clear" w:color="auto" w:fill="auto"/>
          </w:tcPr>
          <w:p w14:paraId="3264CA93" w14:textId="77777777" w:rsidR="00AD1F54" w:rsidRPr="00264D5D" w:rsidRDefault="00941227">
            <w:pPr>
              <w:pStyle w:val="GOSTTablenorm"/>
              <w:rPr>
                <w:szCs w:val="22"/>
              </w:rPr>
            </w:pPr>
            <w:r w:rsidRPr="00264D5D">
              <w:rPr>
                <w:szCs w:val="22"/>
              </w:rPr>
              <w:t>ПБС (ПФХД)</w:t>
            </w:r>
          </w:p>
        </w:tc>
        <w:tc>
          <w:tcPr>
            <w:tcW w:w="2551" w:type="dxa"/>
            <w:shd w:val="clear" w:color="auto" w:fill="auto"/>
          </w:tcPr>
          <w:p w14:paraId="5FBC37C7" w14:textId="77777777" w:rsidR="00AD1F54" w:rsidRPr="00264D5D" w:rsidRDefault="00941227">
            <w:pPr>
              <w:pStyle w:val="GOSTTablenorm"/>
              <w:rPr>
                <w:szCs w:val="22"/>
              </w:rPr>
            </w:pPr>
            <w:r w:rsidRPr="00264D5D">
              <w:rPr>
                <w:szCs w:val="22"/>
              </w:rPr>
              <w:t>ТОФК (ПУР ЭБ)</w:t>
            </w:r>
          </w:p>
        </w:tc>
        <w:tc>
          <w:tcPr>
            <w:tcW w:w="4530" w:type="dxa"/>
            <w:shd w:val="clear" w:color="auto" w:fill="auto"/>
          </w:tcPr>
          <w:p w14:paraId="52B4A6FB" w14:textId="77777777" w:rsidR="00AD1F54" w:rsidRPr="00264D5D" w:rsidRDefault="00AD1F54">
            <w:pPr>
              <w:pStyle w:val="ASFKTablenorm"/>
              <w:rPr>
                <w:rFonts w:ascii="Times New Roman" w:hAnsi="Times New Roman"/>
                <w:sz w:val="22"/>
              </w:rPr>
            </w:pPr>
          </w:p>
        </w:tc>
      </w:tr>
      <w:tr w:rsidR="00AD1F54" w:rsidRPr="00264D5D" w14:paraId="31ED8B8F" w14:textId="77777777">
        <w:tc>
          <w:tcPr>
            <w:tcW w:w="2551" w:type="dxa"/>
            <w:shd w:val="clear" w:color="auto" w:fill="auto"/>
          </w:tcPr>
          <w:p w14:paraId="24E10CCA" w14:textId="77777777" w:rsidR="00AD1F54" w:rsidRPr="00030525" w:rsidRDefault="00030525" w:rsidP="00030525">
            <w:pPr>
              <w:pStyle w:val="GOSTTablenorm"/>
              <w:rPr>
                <w:szCs w:val="22"/>
                <w:highlight w:val="green"/>
              </w:rPr>
            </w:pPr>
            <w:r w:rsidRPr="00030525">
              <w:rPr>
                <w:szCs w:val="22"/>
                <w:highlight w:val="green"/>
              </w:rPr>
              <w:t>ПБС</w:t>
            </w:r>
          </w:p>
        </w:tc>
        <w:tc>
          <w:tcPr>
            <w:tcW w:w="2551" w:type="dxa"/>
            <w:shd w:val="clear" w:color="auto" w:fill="auto"/>
          </w:tcPr>
          <w:p w14:paraId="68B46EEE" w14:textId="77777777" w:rsidR="00AD1F54" w:rsidRPr="00030525" w:rsidRDefault="00941227">
            <w:pPr>
              <w:pStyle w:val="GOSTTablenorm"/>
              <w:rPr>
                <w:szCs w:val="22"/>
                <w:highlight w:val="green"/>
              </w:rPr>
            </w:pPr>
            <w:r w:rsidRPr="00030525">
              <w:rPr>
                <w:szCs w:val="22"/>
                <w:highlight w:val="green"/>
              </w:rPr>
              <w:t>ТОФК (ПУР ЭБ)</w:t>
            </w:r>
          </w:p>
        </w:tc>
        <w:tc>
          <w:tcPr>
            <w:tcW w:w="4530" w:type="dxa"/>
            <w:shd w:val="clear" w:color="auto" w:fill="auto"/>
          </w:tcPr>
          <w:p w14:paraId="6D10A096" w14:textId="77777777" w:rsidR="00AD1F54" w:rsidRPr="00264D5D" w:rsidRDefault="00AD1F54">
            <w:pPr>
              <w:pStyle w:val="ASFKTablenorm"/>
              <w:rPr>
                <w:rFonts w:ascii="Times New Roman" w:hAnsi="Times New Roman"/>
                <w:sz w:val="22"/>
              </w:rPr>
            </w:pPr>
          </w:p>
        </w:tc>
      </w:tr>
    </w:tbl>
    <w:p w14:paraId="010FCA8A" w14:textId="77777777" w:rsidR="00AD1F54" w:rsidRPr="00264D5D" w:rsidRDefault="00941227">
      <w:pPr>
        <w:pStyle w:val="31"/>
      </w:pPr>
      <w:bookmarkStart w:id="2929" w:name="_Toc105671408"/>
      <w:bookmarkStart w:id="2930" w:name="_Toc109222572"/>
      <w:bookmarkStart w:id="2931" w:name="_Toc109920522"/>
      <w:bookmarkStart w:id="2932" w:name="_Toc109921765"/>
      <w:bookmarkStart w:id="2933" w:name="_Toc112842630"/>
      <w:bookmarkStart w:id="2934" w:name="_Toc115776598"/>
      <w:bookmarkStart w:id="2935" w:name="_Toc115777474"/>
      <w:bookmarkStart w:id="2936" w:name="_Toc116492458"/>
      <w:bookmarkStart w:id="2937" w:name="_Toc116576542"/>
      <w:bookmarkStart w:id="2938" w:name="_Toc219309724"/>
      <w:bookmarkEnd w:id="2929"/>
      <w:bookmarkEnd w:id="2930"/>
      <w:bookmarkEnd w:id="2931"/>
      <w:bookmarkEnd w:id="2932"/>
      <w:bookmarkEnd w:id="2933"/>
      <w:bookmarkEnd w:id="2934"/>
      <w:bookmarkEnd w:id="2935"/>
      <w:bookmarkEnd w:id="2936"/>
      <w:bookmarkEnd w:id="2937"/>
      <w:r w:rsidRPr="00264D5D">
        <w:t>Описание комплексного типа «tMSC_AplFndsCrd»</w:t>
      </w:r>
      <w:bookmarkEnd w:id="2938"/>
    </w:p>
    <w:p w14:paraId="55D9BE96" w14:textId="18E467BE" w:rsidR="00AD1F54" w:rsidRPr="00264D5D" w:rsidRDefault="001E5517">
      <w:pPr>
        <w:pStyle w:val="GOSTNameTable"/>
        <w:numPr>
          <w:ilvl w:val="0"/>
          <w:numId w:val="2"/>
        </w:numPr>
        <w:ind w:left="425" w:hanging="357"/>
      </w:pPr>
      <w:r w:rsidRPr="00264D5D">
        <w:rPr>
          <w:noProof/>
        </w:rPr>
        <w:fldChar w:fldCharType="begin"/>
      </w:r>
      <w:r w:rsidRPr="00264D5D">
        <w:rPr>
          <w:noProof/>
        </w:rPr>
        <w:instrText xml:space="preserve"> SEQ Таблица \* ARABIC </w:instrText>
      </w:r>
      <w:r w:rsidRPr="00264D5D">
        <w:rPr>
          <w:noProof/>
        </w:rPr>
        <w:fldChar w:fldCharType="separate"/>
      </w:r>
      <w:bookmarkStart w:id="2939" w:name="_Toc219309282"/>
      <w:r w:rsidR="008D797C">
        <w:rPr>
          <w:noProof/>
        </w:rPr>
        <w:t>252</w:t>
      </w:r>
      <w:r w:rsidRPr="00264D5D">
        <w:rPr>
          <w:noProof/>
        </w:rPr>
        <w:fldChar w:fldCharType="end"/>
      </w:r>
      <w:r w:rsidR="00941227" w:rsidRPr="00264D5D">
        <w:rPr>
          <w:rFonts w:eastAsia="Calibri"/>
          <w:szCs w:val="24"/>
        </w:rPr>
        <w:t xml:space="preserve"> – </w:t>
      </w:r>
      <w:r w:rsidR="00941227" w:rsidRPr="00264D5D">
        <w:t>Описание комплексного типа «</w:t>
      </w:r>
      <w:r w:rsidR="00941227" w:rsidRPr="00264D5D">
        <w:rPr>
          <w:lang w:val="en-US"/>
        </w:rPr>
        <w:t>tMSC</w:t>
      </w:r>
      <w:r w:rsidR="00941227" w:rsidRPr="00264D5D">
        <w:t>_</w:t>
      </w:r>
      <w:r w:rsidR="00941227" w:rsidRPr="00264D5D">
        <w:rPr>
          <w:lang w:val="en-US"/>
        </w:rPr>
        <w:t>AplFndsCrd</w:t>
      </w:r>
      <w:r w:rsidR="00941227" w:rsidRPr="00264D5D">
        <w:t>»</w:t>
      </w:r>
      <w:bookmarkEnd w:id="2939"/>
    </w:p>
    <w:tbl>
      <w:tblPr>
        <w:tblStyle w:val="GOSTTable"/>
        <w:tblW w:w="9634" w:type="dxa"/>
        <w:tblLayout w:type="fixed"/>
        <w:tblLook w:val="01E0" w:firstRow="1" w:lastRow="1" w:firstColumn="1" w:lastColumn="1" w:noHBand="0" w:noVBand="0"/>
      </w:tblPr>
      <w:tblGrid>
        <w:gridCol w:w="1701"/>
        <w:gridCol w:w="1701"/>
        <w:gridCol w:w="567"/>
        <w:gridCol w:w="1134"/>
        <w:gridCol w:w="567"/>
        <w:gridCol w:w="3964"/>
      </w:tblGrid>
      <w:tr w:rsidR="00AD1F54" w:rsidRPr="00264D5D" w14:paraId="022E180B"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1D717203" w14:textId="77777777" w:rsidR="00AD1F54" w:rsidRPr="00264D5D" w:rsidRDefault="00941227">
            <w:pPr>
              <w:pStyle w:val="ASFKTableHead"/>
            </w:pPr>
            <w:r w:rsidRPr="00264D5D">
              <w:t>Наименование элемента</w:t>
            </w:r>
          </w:p>
        </w:tc>
        <w:tc>
          <w:tcPr>
            <w:tcW w:w="1701" w:type="dxa"/>
          </w:tcPr>
          <w:p w14:paraId="242FA326" w14:textId="77777777" w:rsidR="00AD1F54" w:rsidRPr="00264D5D" w:rsidRDefault="00941227">
            <w:pPr>
              <w:pStyle w:val="ASFKTableHead"/>
            </w:pPr>
            <w:r w:rsidRPr="00264D5D">
              <w:t>Сокращенное наименование (код) элемента</w:t>
            </w:r>
          </w:p>
        </w:tc>
        <w:tc>
          <w:tcPr>
            <w:tcW w:w="567" w:type="dxa"/>
          </w:tcPr>
          <w:p w14:paraId="5292BC46" w14:textId="77777777" w:rsidR="00AD1F54" w:rsidRPr="00264D5D" w:rsidRDefault="00941227">
            <w:pPr>
              <w:pStyle w:val="ASFKTableHead"/>
            </w:pPr>
            <w:r w:rsidRPr="00264D5D">
              <w:t>Тип</w:t>
            </w:r>
          </w:p>
        </w:tc>
        <w:tc>
          <w:tcPr>
            <w:tcW w:w="1134" w:type="dxa"/>
          </w:tcPr>
          <w:p w14:paraId="624DB09B" w14:textId="77777777" w:rsidR="00AD1F54" w:rsidRPr="00264D5D" w:rsidRDefault="00941227">
            <w:pPr>
              <w:pStyle w:val="ASFKTableHead"/>
            </w:pPr>
            <w:r w:rsidRPr="00264D5D">
              <w:t>Формат элемента</w:t>
            </w:r>
          </w:p>
        </w:tc>
        <w:tc>
          <w:tcPr>
            <w:tcW w:w="567" w:type="dxa"/>
          </w:tcPr>
          <w:p w14:paraId="597D08B8" w14:textId="77777777" w:rsidR="00AD1F54" w:rsidRPr="00264D5D" w:rsidRDefault="00941227">
            <w:pPr>
              <w:pStyle w:val="ASFKTableHead"/>
            </w:pPr>
            <w:r w:rsidRPr="00264D5D">
              <w:t>Обязательность</w:t>
            </w:r>
          </w:p>
        </w:tc>
        <w:tc>
          <w:tcPr>
            <w:tcW w:w="3963" w:type="dxa"/>
          </w:tcPr>
          <w:p w14:paraId="2CC44F97" w14:textId="77777777" w:rsidR="00AD1F54" w:rsidRPr="00264D5D" w:rsidRDefault="00941227">
            <w:pPr>
              <w:pStyle w:val="ASFKTableHead"/>
            </w:pPr>
            <w:r w:rsidRPr="00264D5D">
              <w:t>Дополнительная информация</w:t>
            </w:r>
          </w:p>
        </w:tc>
      </w:tr>
      <w:tr w:rsidR="00AD1F54" w:rsidRPr="00264D5D" w14:paraId="5903EA83"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D5D1CB6" w14:textId="77777777" w:rsidR="00AD1F54" w:rsidRPr="00264D5D" w:rsidRDefault="00941227">
            <w:pPr>
              <w:pStyle w:val="GOSTTablenorm"/>
            </w:pPr>
            <w:r w:rsidRPr="00264D5D">
              <w:rPr>
                <w:szCs w:val="22"/>
              </w:rPr>
              <w:t>Номер документа</w:t>
            </w:r>
          </w:p>
        </w:tc>
        <w:tc>
          <w:tcPr>
            <w:tcW w:w="1701" w:type="dxa"/>
          </w:tcPr>
          <w:p w14:paraId="38234D3C" w14:textId="77777777" w:rsidR="00AD1F54" w:rsidRPr="00264D5D" w:rsidRDefault="00941227">
            <w:pPr>
              <w:pStyle w:val="GOSTTablenorm"/>
            </w:pPr>
            <w:bookmarkStart w:id="2940" w:name="OLE_LINK665"/>
            <w:bookmarkStart w:id="2941" w:name="OLE_LINK666"/>
            <w:r w:rsidRPr="00264D5D">
              <w:rPr>
                <w:szCs w:val="22"/>
              </w:rPr>
              <w:t>ZN_DcNmbr</w:t>
            </w:r>
            <w:bookmarkEnd w:id="2940"/>
            <w:bookmarkEnd w:id="2941"/>
          </w:p>
        </w:tc>
        <w:tc>
          <w:tcPr>
            <w:tcW w:w="567" w:type="dxa"/>
          </w:tcPr>
          <w:p w14:paraId="3D56BC7B" w14:textId="77777777" w:rsidR="00AD1F54" w:rsidRPr="00264D5D" w:rsidRDefault="00941227">
            <w:pPr>
              <w:pStyle w:val="GOSTTablenorm"/>
              <w:jc w:val="center"/>
            </w:pPr>
            <w:r w:rsidRPr="00264D5D">
              <w:rPr>
                <w:szCs w:val="22"/>
              </w:rPr>
              <w:t>П</w:t>
            </w:r>
          </w:p>
        </w:tc>
        <w:tc>
          <w:tcPr>
            <w:tcW w:w="1134" w:type="dxa"/>
          </w:tcPr>
          <w:p w14:paraId="438991AD" w14:textId="77777777" w:rsidR="00AD1F54" w:rsidRPr="00264D5D" w:rsidRDefault="00941227">
            <w:pPr>
              <w:pStyle w:val="GOSTTablenorm"/>
            </w:pPr>
            <w:r w:rsidRPr="00264D5D">
              <w:rPr>
                <w:szCs w:val="22"/>
                <w:lang w:val="en-US"/>
              </w:rPr>
              <w:t>Т(1-</w:t>
            </w:r>
            <w:r w:rsidRPr="00264D5D">
              <w:rPr>
                <w:szCs w:val="22"/>
              </w:rPr>
              <w:t>15</w:t>
            </w:r>
            <w:r w:rsidRPr="00264D5D">
              <w:rPr>
                <w:szCs w:val="22"/>
                <w:lang w:val="en-US"/>
              </w:rPr>
              <w:t>)</w:t>
            </w:r>
          </w:p>
        </w:tc>
        <w:tc>
          <w:tcPr>
            <w:tcW w:w="567" w:type="dxa"/>
          </w:tcPr>
          <w:p w14:paraId="0FA66F45" w14:textId="77777777" w:rsidR="00AD1F54" w:rsidRPr="00264D5D" w:rsidRDefault="00941227">
            <w:pPr>
              <w:pStyle w:val="GOSTTablenorm"/>
              <w:jc w:val="center"/>
            </w:pPr>
            <w:r w:rsidRPr="00264D5D">
              <w:rPr>
                <w:szCs w:val="22"/>
              </w:rPr>
              <w:t>О</w:t>
            </w:r>
          </w:p>
        </w:tc>
        <w:tc>
          <w:tcPr>
            <w:tcW w:w="3963" w:type="dxa"/>
          </w:tcPr>
          <w:p w14:paraId="7F07603C" w14:textId="77777777" w:rsidR="00AD1F54" w:rsidRPr="00264D5D" w:rsidRDefault="00941227">
            <w:pPr>
              <w:pStyle w:val="GOSTTablenorm"/>
              <w:rPr>
                <w:b/>
                <w:bCs/>
              </w:rPr>
            </w:pPr>
            <w:r w:rsidRPr="00264D5D">
              <w:rPr>
                <w:szCs w:val="22"/>
              </w:rPr>
              <w:t>Ном</w:t>
            </w:r>
            <w:r w:rsidR="00B06B9A" w:rsidRPr="00264D5D">
              <w:rPr>
                <w:szCs w:val="22"/>
              </w:rPr>
              <w:t>ер заявки, присвоенный клиентом</w:t>
            </w:r>
          </w:p>
        </w:tc>
      </w:tr>
      <w:tr w:rsidR="00AD1F54" w:rsidRPr="00264D5D" w14:paraId="26B8AE5C" w14:textId="77777777" w:rsidTr="00AD1F54">
        <w:trPr>
          <w:cnfStyle w:val="000000010000" w:firstRow="0" w:lastRow="0" w:firstColumn="0" w:lastColumn="0" w:oddVBand="0" w:evenVBand="0" w:oddHBand="0" w:evenHBand="1" w:firstRowFirstColumn="0" w:firstRowLastColumn="0" w:lastRowFirstColumn="0" w:lastRowLastColumn="0"/>
        </w:trPr>
        <w:tc>
          <w:tcPr>
            <w:tcW w:w="9634" w:type="dxa"/>
            <w:gridSpan w:val="6"/>
          </w:tcPr>
          <w:p w14:paraId="0648823A" w14:textId="77777777" w:rsidR="00AD1F54" w:rsidRPr="00264D5D" w:rsidRDefault="00941227">
            <w:pPr>
              <w:pStyle w:val="GOSTTablenorm"/>
              <w:rPr>
                <w:szCs w:val="22"/>
              </w:rPr>
            </w:pPr>
            <w:r w:rsidRPr="00264D5D">
              <w:rPr>
                <w:b/>
                <w:szCs w:val="22"/>
              </w:rPr>
              <w:t>Информация о клиенте</w:t>
            </w:r>
          </w:p>
        </w:tc>
      </w:tr>
      <w:tr w:rsidR="00AD1F54" w:rsidRPr="00264D5D" w14:paraId="133A39DF"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605B73F" w14:textId="77777777" w:rsidR="00AD1F54" w:rsidRPr="00264D5D" w:rsidRDefault="00941227">
            <w:pPr>
              <w:pStyle w:val="GOSTTablenorm"/>
              <w:rPr>
                <w:i/>
                <w:szCs w:val="22"/>
              </w:rPr>
            </w:pPr>
            <w:r w:rsidRPr="00264D5D">
              <w:rPr>
                <w:szCs w:val="22"/>
              </w:rPr>
              <w:t>Клиент</w:t>
            </w:r>
          </w:p>
        </w:tc>
        <w:tc>
          <w:tcPr>
            <w:tcW w:w="1701" w:type="dxa"/>
          </w:tcPr>
          <w:p w14:paraId="7453ABB9" w14:textId="77777777" w:rsidR="00AD1F54" w:rsidRPr="00264D5D" w:rsidRDefault="00941227">
            <w:pPr>
              <w:pStyle w:val="GOSTTablenorm"/>
              <w:rPr>
                <w:szCs w:val="22"/>
              </w:rPr>
            </w:pPr>
            <w:r w:rsidRPr="00264D5D">
              <w:rPr>
                <w:szCs w:val="22"/>
              </w:rPr>
              <w:t>ZN_MSC_Cstmr</w:t>
            </w:r>
          </w:p>
        </w:tc>
        <w:tc>
          <w:tcPr>
            <w:tcW w:w="567" w:type="dxa"/>
          </w:tcPr>
          <w:p w14:paraId="48EFCF1E" w14:textId="77777777" w:rsidR="00AD1F54" w:rsidRPr="00264D5D" w:rsidRDefault="00941227">
            <w:pPr>
              <w:pStyle w:val="GOSTTablenorm"/>
              <w:jc w:val="center"/>
              <w:rPr>
                <w:szCs w:val="22"/>
              </w:rPr>
            </w:pPr>
            <w:r w:rsidRPr="00264D5D">
              <w:rPr>
                <w:szCs w:val="22"/>
              </w:rPr>
              <w:t>С</w:t>
            </w:r>
          </w:p>
        </w:tc>
        <w:tc>
          <w:tcPr>
            <w:tcW w:w="1134" w:type="dxa"/>
          </w:tcPr>
          <w:p w14:paraId="32E995EE" w14:textId="77777777" w:rsidR="00AD1F54" w:rsidRPr="00264D5D" w:rsidRDefault="00941227">
            <w:pPr>
              <w:pStyle w:val="GOSTTablenorm"/>
              <w:rPr>
                <w:szCs w:val="22"/>
                <w:lang w:val="en-US"/>
              </w:rPr>
            </w:pPr>
            <w:r w:rsidRPr="00264D5D">
              <w:rPr>
                <w:szCs w:val="22"/>
                <w:lang w:val="en-US"/>
              </w:rPr>
              <w:t>tMSC_Cstmr</w:t>
            </w:r>
            <w:r w:rsidRPr="00264D5D">
              <w:rPr>
                <w:szCs w:val="22"/>
              </w:rPr>
              <w:t>1</w:t>
            </w:r>
          </w:p>
        </w:tc>
        <w:tc>
          <w:tcPr>
            <w:tcW w:w="567" w:type="dxa"/>
          </w:tcPr>
          <w:p w14:paraId="462991BE" w14:textId="77777777" w:rsidR="00AD1F54" w:rsidRPr="00264D5D" w:rsidRDefault="00941227">
            <w:pPr>
              <w:pStyle w:val="GOSTTablenorm"/>
              <w:jc w:val="center"/>
              <w:rPr>
                <w:szCs w:val="22"/>
              </w:rPr>
            </w:pPr>
            <w:r w:rsidRPr="00264D5D">
              <w:rPr>
                <w:szCs w:val="22"/>
              </w:rPr>
              <w:t>О</w:t>
            </w:r>
          </w:p>
        </w:tc>
        <w:tc>
          <w:tcPr>
            <w:tcW w:w="3963" w:type="dxa"/>
          </w:tcPr>
          <w:p w14:paraId="43C90E66" w14:textId="00B61B4C" w:rsidR="00AD1F54" w:rsidRPr="00264D5D" w:rsidRDefault="00941227">
            <w:pPr>
              <w:pStyle w:val="GOSTTablenorm"/>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_Ref524690561 \h  \* MERGEFORMAT </w:instrText>
            </w:r>
            <w:r w:rsidRPr="00264D5D">
              <w:rPr>
                <w:b/>
                <w:szCs w:val="22"/>
              </w:rPr>
            </w:r>
            <w:r w:rsidRPr="00264D5D">
              <w:rPr>
                <w:b/>
                <w:szCs w:val="22"/>
              </w:rPr>
              <w:fldChar w:fldCharType="separate"/>
            </w:r>
            <w:r w:rsidR="008D797C" w:rsidRPr="008D797C">
              <w:rPr>
                <w:b/>
                <w:szCs w:val="22"/>
              </w:rPr>
              <w:t>253</w:t>
            </w:r>
            <w:r w:rsidRPr="00264D5D">
              <w:rPr>
                <w:b/>
                <w:szCs w:val="22"/>
              </w:rPr>
              <w:fldChar w:fldCharType="end"/>
            </w:r>
          </w:p>
        </w:tc>
      </w:tr>
      <w:tr w:rsidR="00AD1F54" w:rsidRPr="00264D5D" w14:paraId="46240549"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3BCAD92F" w14:textId="77777777" w:rsidR="00AD1F54" w:rsidRPr="00264D5D" w:rsidRDefault="00941227">
            <w:pPr>
              <w:pStyle w:val="GOSTTablenorm"/>
              <w:rPr>
                <w:szCs w:val="22"/>
              </w:rPr>
            </w:pPr>
            <w:r w:rsidRPr="00264D5D">
              <w:rPr>
                <w:szCs w:val="22"/>
              </w:rPr>
              <w:t>ТОФК</w:t>
            </w:r>
          </w:p>
        </w:tc>
        <w:tc>
          <w:tcPr>
            <w:tcW w:w="1701" w:type="dxa"/>
          </w:tcPr>
          <w:p w14:paraId="6FFAAA40" w14:textId="77777777" w:rsidR="00AD1F54" w:rsidRPr="00264D5D" w:rsidRDefault="00941227">
            <w:pPr>
              <w:pStyle w:val="GOSTTablenorm"/>
              <w:rPr>
                <w:szCs w:val="22"/>
              </w:rPr>
            </w:pPr>
            <w:r w:rsidRPr="00264D5D">
              <w:rPr>
                <w:szCs w:val="22"/>
              </w:rPr>
              <w:t>ZN_MSC_OrFK</w:t>
            </w:r>
          </w:p>
        </w:tc>
        <w:tc>
          <w:tcPr>
            <w:tcW w:w="567" w:type="dxa"/>
          </w:tcPr>
          <w:p w14:paraId="7E6252B5" w14:textId="77777777" w:rsidR="00AD1F54" w:rsidRPr="00264D5D" w:rsidRDefault="00941227">
            <w:pPr>
              <w:pStyle w:val="GOSTTablenorm"/>
              <w:jc w:val="center"/>
              <w:rPr>
                <w:szCs w:val="22"/>
              </w:rPr>
            </w:pPr>
            <w:r w:rsidRPr="00264D5D">
              <w:rPr>
                <w:szCs w:val="22"/>
              </w:rPr>
              <w:t>С</w:t>
            </w:r>
          </w:p>
        </w:tc>
        <w:tc>
          <w:tcPr>
            <w:tcW w:w="1134" w:type="dxa"/>
          </w:tcPr>
          <w:p w14:paraId="1D0BD487" w14:textId="77777777" w:rsidR="00AD1F54" w:rsidRPr="00264D5D" w:rsidRDefault="00941227">
            <w:pPr>
              <w:pStyle w:val="GOSTTablenorm"/>
              <w:rPr>
                <w:szCs w:val="22"/>
                <w:lang w:val="en-US"/>
              </w:rPr>
            </w:pPr>
            <w:r w:rsidRPr="00264D5D">
              <w:rPr>
                <w:szCs w:val="22"/>
              </w:rPr>
              <w:t>tMSC_TOFK</w:t>
            </w:r>
          </w:p>
        </w:tc>
        <w:tc>
          <w:tcPr>
            <w:tcW w:w="567" w:type="dxa"/>
          </w:tcPr>
          <w:p w14:paraId="69E512BC" w14:textId="77777777" w:rsidR="00AD1F54" w:rsidRPr="00264D5D" w:rsidRDefault="00941227">
            <w:pPr>
              <w:pStyle w:val="GOSTTablenorm"/>
              <w:jc w:val="center"/>
              <w:rPr>
                <w:szCs w:val="22"/>
              </w:rPr>
            </w:pPr>
            <w:r w:rsidRPr="00264D5D">
              <w:rPr>
                <w:szCs w:val="22"/>
              </w:rPr>
              <w:t>О</w:t>
            </w:r>
          </w:p>
        </w:tc>
        <w:tc>
          <w:tcPr>
            <w:tcW w:w="3963" w:type="dxa"/>
          </w:tcPr>
          <w:p w14:paraId="140CB262" w14:textId="5EE3C40C" w:rsidR="00AD1F54" w:rsidRPr="00264D5D" w:rsidRDefault="00941227">
            <w:pPr>
              <w:pStyle w:val="GOSTTablenorm"/>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_Ref524614769 \h  \* MERGEFORMAT </w:instrText>
            </w:r>
            <w:r w:rsidRPr="00264D5D">
              <w:rPr>
                <w:b/>
                <w:szCs w:val="22"/>
              </w:rPr>
            </w:r>
            <w:r w:rsidRPr="00264D5D">
              <w:rPr>
                <w:b/>
                <w:szCs w:val="22"/>
              </w:rPr>
              <w:fldChar w:fldCharType="separate"/>
            </w:r>
            <w:r w:rsidR="008D797C" w:rsidRPr="008D797C">
              <w:rPr>
                <w:b/>
                <w:szCs w:val="22"/>
              </w:rPr>
              <w:t>53</w:t>
            </w:r>
            <w:r w:rsidRPr="00264D5D">
              <w:rPr>
                <w:b/>
                <w:szCs w:val="22"/>
              </w:rPr>
              <w:fldChar w:fldCharType="end"/>
            </w:r>
          </w:p>
        </w:tc>
      </w:tr>
      <w:tr w:rsidR="00AD1F54" w:rsidRPr="00264D5D" w14:paraId="071A2140"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EEB9763" w14:textId="77777777" w:rsidR="00AD1F54" w:rsidRPr="00264D5D" w:rsidRDefault="00941227">
            <w:pPr>
              <w:pStyle w:val="GOSTTablenorm"/>
              <w:rPr>
                <w:szCs w:val="22"/>
              </w:rPr>
            </w:pPr>
            <w:r w:rsidRPr="00264D5D">
              <w:rPr>
                <w:szCs w:val="22"/>
              </w:rPr>
              <w:t xml:space="preserve">Номер бюджетного </w:t>
            </w:r>
            <w:r w:rsidRPr="00264D5D">
              <w:rPr>
                <w:szCs w:val="22"/>
              </w:rPr>
              <w:lastRenderedPageBreak/>
              <w:t>обязательства</w:t>
            </w:r>
          </w:p>
        </w:tc>
        <w:tc>
          <w:tcPr>
            <w:tcW w:w="1701" w:type="dxa"/>
          </w:tcPr>
          <w:p w14:paraId="5F1B90F2" w14:textId="77777777" w:rsidR="00AD1F54" w:rsidRPr="00264D5D" w:rsidRDefault="00941227">
            <w:pPr>
              <w:pStyle w:val="GOSTTablenorm"/>
              <w:rPr>
                <w:szCs w:val="22"/>
              </w:rPr>
            </w:pPr>
            <w:r w:rsidRPr="00264D5D">
              <w:rPr>
                <w:szCs w:val="22"/>
              </w:rPr>
              <w:lastRenderedPageBreak/>
              <w:t>ZN_BdOblgtNm</w:t>
            </w:r>
          </w:p>
        </w:tc>
        <w:tc>
          <w:tcPr>
            <w:tcW w:w="567" w:type="dxa"/>
          </w:tcPr>
          <w:p w14:paraId="3F9487FA" w14:textId="77777777" w:rsidR="00AD1F54" w:rsidRPr="00264D5D" w:rsidRDefault="00941227">
            <w:pPr>
              <w:pStyle w:val="GOSTTablenorm"/>
              <w:jc w:val="center"/>
              <w:rPr>
                <w:szCs w:val="22"/>
              </w:rPr>
            </w:pPr>
            <w:r w:rsidRPr="00264D5D">
              <w:rPr>
                <w:szCs w:val="22"/>
              </w:rPr>
              <w:t>П</w:t>
            </w:r>
          </w:p>
        </w:tc>
        <w:tc>
          <w:tcPr>
            <w:tcW w:w="1134" w:type="dxa"/>
          </w:tcPr>
          <w:p w14:paraId="40316985" w14:textId="77777777" w:rsidR="00AD1F54" w:rsidRPr="00264D5D" w:rsidRDefault="00941227">
            <w:pPr>
              <w:pStyle w:val="GOSTTablenorm"/>
              <w:rPr>
                <w:szCs w:val="22"/>
              </w:rPr>
            </w:pPr>
            <w:r w:rsidRPr="00264D5D">
              <w:rPr>
                <w:szCs w:val="22"/>
                <w:lang w:val="en-US"/>
              </w:rPr>
              <w:t>Т(1-</w:t>
            </w:r>
            <w:r w:rsidRPr="00264D5D">
              <w:rPr>
                <w:szCs w:val="22"/>
              </w:rPr>
              <w:t>19</w:t>
            </w:r>
            <w:r w:rsidRPr="00264D5D">
              <w:rPr>
                <w:szCs w:val="22"/>
                <w:lang w:val="en-US"/>
              </w:rPr>
              <w:t>)</w:t>
            </w:r>
          </w:p>
        </w:tc>
        <w:tc>
          <w:tcPr>
            <w:tcW w:w="567" w:type="dxa"/>
          </w:tcPr>
          <w:p w14:paraId="42A9FC24" w14:textId="77777777" w:rsidR="00AD1F54" w:rsidRPr="00264D5D" w:rsidRDefault="00941227">
            <w:pPr>
              <w:pStyle w:val="GOSTTablenorm"/>
              <w:jc w:val="center"/>
              <w:rPr>
                <w:szCs w:val="22"/>
              </w:rPr>
            </w:pPr>
            <w:r w:rsidRPr="00264D5D">
              <w:rPr>
                <w:szCs w:val="22"/>
              </w:rPr>
              <w:t>Н</w:t>
            </w:r>
          </w:p>
        </w:tc>
        <w:tc>
          <w:tcPr>
            <w:tcW w:w="3963" w:type="dxa"/>
          </w:tcPr>
          <w:p w14:paraId="0E3ACF57" w14:textId="77777777" w:rsidR="00AD1F54" w:rsidRPr="00264D5D" w:rsidRDefault="00941227">
            <w:pPr>
              <w:spacing w:before="60" w:after="60"/>
              <w:rPr>
                <w:sz w:val="22"/>
                <w:szCs w:val="22"/>
              </w:rPr>
            </w:pPr>
            <w:r w:rsidRPr="00264D5D">
              <w:rPr>
                <w:sz w:val="22"/>
                <w:szCs w:val="22"/>
              </w:rPr>
              <w:t xml:space="preserve">Номер, присвоенный ТОФК обязательству при постановке его на </w:t>
            </w:r>
            <w:r w:rsidRPr="00264D5D">
              <w:rPr>
                <w:sz w:val="22"/>
                <w:szCs w:val="22"/>
              </w:rPr>
              <w:lastRenderedPageBreak/>
              <w:t xml:space="preserve">учет или тип первичного бюджетного обязательства. </w:t>
            </w:r>
          </w:p>
          <w:p w14:paraId="0131036B" w14:textId="77777777" w:rsidR="00AD1F54" w:rsidRPr="00264D5D" w:rsidRDefault="00941227">
            <w:pPr>
              <w:spacing w:before="60" w:after="60"/>
              <w:rPr>
                <w:sz w:val="22"/>
                <w:szCs w:val="22"/>
              </w:rPr>
            </w:pPr>
            <w:r w:rsidRPr="00264D5D">
              <w:rPr>
                <w:sz w:val="22"/>
                <w:szCs w:val="22"/>
              </w:rPr>
              <w:t>В случае первичного присвоения номера обязательству при регистрации заявки (без предварительной регистрации самого обязательства) данное поле заполняется ТОФК.</w:t>
            </w:r>
          </w:p>
          <w:p w14:paraId="505CC5EF" w14:textId="77777777" w:rsidR="00AD1F54" w:rsidRPr="00264D5D" w:rsidRDefault="00941227">
            <w:pPr>
              <w:spacing w:before="60" w:after="60"/>
              <w:rPr>
                <w:sz w:val="22"/>
                <w:szCs w:val="22"/>
              </w:rPr>
            </w:pPr>
            <w:r w:rsidRPr="00264D5D">
              <w:rPr>
                <w:sz w:val="22"/>
                <w:szCs w:val="22"/>
              </w:rPr>
              <w:t>Для обязательств, принятых на учет до 31.12.2015, размерность поля устанавливается как «=16».</w:t>
            </w:r>
          </w:p>
          <w:p w14:paraId="12224628" w14:textId="77777777" w:rsidR="00AD1F54" w:rsidRPr="00264D5D" w:rsidRDefault="00941227">
            <w:pPr>
              <w:spacing w:before="60" w:after="60"/>
              <w:rPr>
                <w:sz w:val="22"/>
                <w:szCs w:val="22"/>
              </w:rPr>
            </w:pPr>
            <w:r w:rsidRPr="00264D5D">
              <w:rPr>
                <w:sz w:val="22"/>
                <w:szCs w:val="22"/>
              </w:rPr>
              <w:t>Для обязательств, принятых на учет после 01.01.2016, размерность поля устанавливается как «=19».</w:t>
            </w:r>
          </w:p>
          <w:p w14:paraId="47EA33CA" w14:textId="77777777" w:rsidR="00AD1F54" w:rsidRPr="00264D5D" w:rsidRDefault="00941227">
            <w:pPr>
              <w:pStyle w:val="GOSTTablenorm"/>
              <w:rPr>
                <w:szCs w:val="22"/>
              </w:rPr>
            </w:pPr>
            <w:r w:rsidRPr="00264D5D">
              <w:rPr>
                <w:szCs w:val="22"/>
              </w:rPr>
              <w:t>Для первичного присвоения номера бюджетного обязательства размерность поля устанавливается как «=1», реквизит может принимать значения «1» (закупка) или «2» (прочее).</w:t>
            </w:r>
          </w:p>
          <w:p w14:paraId="7ED19C41" w14:textId="77777777" w:rsidR="00AD1F54" w:rsidRPr="00264D5D" w:rsidRDefault="00941227">
            <w:pPr>
              <w:pStyle w:val="GOSTTablenorm"/>
            </w:pPr>
            <w:r w:rsidRPr="00264D5D">
              <w:t>Поле не заполняется, если значение поля «Код источника средств» равно «5 – Средства, поступающие во временное распоряжение казенных учреждений».</w:t>
            </w:r>
          </w:p>
          <w:p w14:paraId="4A645B94" w14:textId="77777777" w:rsidR="00AD1F54" w:rsidRPr="00264D5D" w:rsidRDefault="00941227">
            <w:pPr>
              <w:pStyle w:val="GOSTTablenorm"/>
              <w:rPr>
                <w:szCs w:val="22"/>
              </w:rPr>
            </w:pPr>
            <w:r w:rsidRPr="00264D5D">
              <w:t>Поле обязательно для заполнения, если значение поля «Код источника средст</w:t>
            </w:r>
            <w:r w:rsidR="00B06B9A" w:rsidRPr="00264D5D">
              <w:t>в» равно «1 – Средства бюджета»</w:t>
            </w:r>
          </w:p>
        </w:tc>
      </w:tr>
      <w:tr w:rsidR="00AD1F54" w:rsidRPr="00264D5D" w14:paraId="3F3FC847"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07A379F" w14:textId="77777777" w:rsidR="00AD1F54" w:rsidRPr="00264D5D" w:rsidRDefault="00941227">
            <w:pPr>
              <w:pStyle w:val="GOSTTablenorm"/>
              <w:rPr>
                <w:szCs w:val="22"/>
              </w:rPr>
            </w:pPr>
            <w:r w:rsidRPr="00264D5D">
              <w:rPr>
                <w:szCs w:val="22"/>
              </w:rPr>
              <w:lastRenderedPageBreak/>
              <w:t>Код объекта по ФАИП (КМИ)</w:t>
            </w:r>
          </w:p>
        </w:tc>
        <w:tc>
          <w:tcPr>
            <w:tcW w:w="1701" w:type="dxa"/>
          </w:tcPr>
          <w:p w14:paraId="3BB4780C" w14:textId="77777777" w:rsidR="00AD1F54" w:rsidRPr="00264D5D" w:rsidRDefault="00941227">
            <w:pPr>
              <w:pStyle w:val="GOSTTablenorm"/>
              <w:rPr>
                <w:szCs w:val="22"/>
              </w:rPr>
            </w:pPr>
            <w:r w:rsidRPr="00264D5D">
              <w:rPr>
                <w:szCs w:val="22"/>
              </w:rPr>
              <w:t>ZN_FAIPObjCd</w:t>
            </w:r>
          </w:p>
        </w:tc>
        <w:tc>
          <w:tcPr>
            <w:tcW w:w="567" w:type="dxa"/>
          </w:tcPr>
          <w:p w14:paraId="156E416C" w14:textId="77777777" w:rsidR="00AD1F54" w:rsidRPr="00264D5D" w:rsidRDefault="00941227">
            <w:pPr>
              <w:pStyle w:val="GOSTTablenorm"/>
              <w:jc w:val="center"/>
              <w:rPr>
                <w:szCs w:val="22"/>
              </w:rPr>
            </w:pPr>
            <w:r w:rsidRPr="00264D5D">
              <w:rPr>
                <w:szCs w:val="22"/>
              </w:rPr>
              <w:t>П</w:t>
            </w:r>
          </w:p>
        </w:tc>
        <w:tc>
          <w:tcPr>
            <w:tcW w:w="1134" w:type="dxa"/>
          </w:tcPr>
          <w:p w14:paraId="41D096A3" w14:textId="77777777" w:rsidR="00AD1F54" w:rsidRPr="00264D5D" w:rsidRDefault="00941227">
            <w:pPr>
              <w:pStyle w:val="GOSTTablenorm"/>
              <w:rPr>
                <w:szCs w:val="22"/>
                <w:lang w:val="en-US"/>
              </w:rPr>
            </w:pPr>
            <w:r w:rsidRPr="00264D5D">
              <w:rPr>
                <w:szCs w:val="22"/>
                <w:lang w:val="en-US"/>
              </w:rPr>
              <w:t>Т(1-</w:t>
            </w:r>
            <w:r w:rsidRPr="00264D5D">
              <w:rPr>
                <w:szCs w:val="22"/>
              </w:rPr>
              <w:t>24</w:t>
            </w:r>
            <w:r w:rsidRPr="00264D5D">
              <w:rPr>
                <w:szCs w:val="22"/>
                <w:lang w:val="en-US"/>
              </w:rPr>
              <w:t>)</w:t>
            </w:r>
          </w:p>
        </w:tc>
        <w:tc>
          <w:tcPr>
            <w:tcW w:w="567" w:type="dxa"/>
          </w:tcPr>
          <w:p w14:paraId="7A2FD336" w14:textId="77777777" w:rsidR="00AD1F54" w:rsidRPr="00264D5D" w:rsidRDefault="00941227">
            <w:pPr>
              <w:pStyle w:val="GOSTTablenorm"/>
              <w:jc w:val="center"/>
              <w:rPr>
                <w:szCs w:val="22"/>
              </w:rPr>
            </w:pPr>
            <w:r w:rsidRPr="00264D5D">
              <w:rPr>
                <w:szCs w:val="22"/>
              </w:rPr>
              <w:t>Н</w:t>
            </w:r>
          </w:p>
        </w:tc>
        <w:tc>
          <w:tcPr>
            <w:tcW w:w="3963" w:type="dxa"/>
          </w:tcPr>
          <w:p w14:paraId="17C6C351" w14:textId="77777777" w:rsidR="00AD1F54" w:rsidRPr="00264D5D" w:rsidRDefault="00941227">
            <w:pPr>
              <w:spacing w:before="60" w:after="60"/>
              <w:rPr>
                <w:sz w:val="22"/>
                <w:szCs w:val="22"/>
              </w:rPr>
            </w:pPr>
            <w:r w:rsidRPr="00264D5D">
              <w:rPr>
                <w:sz w:val="22"/>
                <w:szCs w:val="22"/>
              </w:rPr>
              <w:t>Может указываться уникальный код объекта капитального строительства или объекта недвижимости, ко</w:t>
            </w:r>
            <w:r w:rsidR="00B06B9A" w:rsidRPr="00264D5D">
              <w:rPr>
                <w:sz w:val="22"/>
                <w:szCs w:val="22"/>
              </w:rPr>
              <w:t>д мероприятия по информатизации</w:t>
            </w:r>
          </w:p>
        </w:tc>
      </w:tr>
      <w:tr w:rsidR="00AD1F54" w:rsidRPr="00264D5D" w14:paraId="58E17F49"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CF31B12" w14:textId="77777777" w:rsidR="00AD1F54" w:rsidRPr="00264D5D" w:rsidRDefault="00941227">
            <w:pPr>
              <w:pStyle w:val="GOSTTablenorm"/>
              <w:rPr>
                <w:szCs w:val="22"/>
              </w:rPr>
            </w:pPr>
            <w:r w:rsidRPr="00264D5D">
              <w:rPr>
                <w:szCs w:val="22"/>
              </w:rPr>
              <w:t>Номер банковской карты</w:t>
            </w:r>
          </w:p>
        </w:tc>
        <w:tc>
          <w:tcPr>
            <w:tcW w:w="1701" w:type="dxa"/>
          </w:tcPr>
          <w:p w14:paraId="65623BC2" w14:textId="77777777" w:rsidR="00AD1F54" w:rsidRPr="00264D5D" w:rsidRDefault="00941227">
            <w:pPr>
              <w:pStyle w:val="GOSTTablenorm"/>
              <w:rPr>
                <w:szCs w:val="22"/>
              </w:rPr>
            </w:pPr>
            <w:r w:rsidRPr="00264D5D">
              <w:rPr>
                <w:szCs w:val="22"/>
              </w:rPr>
              <w:t>ZN_BnkCrdNm</w:t>
            </w:r>
          </w:p>
        </w:tc>
        <w:tc>
          <w:tcPr>
            <w:tcW w:w="567" w:type="dxa"/>
          </w:tcPr>
          <w:p w14:paraId="049B607D" w14:textId="77777777" w:rsidR="00AD1F54" w:rsidRPr="00264D5D" w:rsidRDefault="00941227">
            <w:pPr>
              <w:pStyle w:val="GOSTTablenorm"/>
              <w:jc w:val="center"/>
              <w:rPr>
                <w:szCs w:val="22"/>
              </w:rPr>
            </w:pPr>
            <w:r w:rsidRPr="00264D5D">
              <w:rPr>
                <w:szCs w:val="22"/>
              </w:rPr>
              <w:t>П</w:t>
            </w:r>
          </w:p>
        </w:tc>
        <w:tc>
          <w:tcPr>
            <w:tcW w:w="1134" w:type="dxa"/>
          </w:tcPr>
          <w:p w14:paraId="57D15B2C" w14:textId="77777777" w:rsidR="00AD1F54" w:rsidRPr="00264D5D" w:rsidRDefault="00941227">
            <w:pPr>
              <w:pStyle w:val="GOSTTablenorm"/>
              <w:rPr>
                <w:szCs w:val="22"/>
                <w:lang w:val="en-US"/>
              </w:rPr>
            </w:pPr>
            <w:r w:rsidRPr="00264D5D">
              <w:rPr>
                <w:szCs w:val="22"/>
                <w:lang w:val="en-US"/>
              </w:rPr>
              <w:t>Т(1-</w:t>
            </w:r>
            <w:r w:rsidRPr="00264D5D">
              <w:rPr>
                <w:szCs w:val="22"/>
              </w:rPr>
              <w:t>20</w:t>
            </w:r>
            <w:r w:rsidRPr="00264D5D">
              <w:rPr>
                <w:szCs w:val="22"/>
                <w:lang w:val="en-US"/>
              </w:rPr>
              <w:t>)</w:t>
            </w:r>
          </w:p>
        </w:tc>
        <w:tc>
          <w:tcPr>
            <w:tcW w:w="567" w:type="dxa"/>
          </w:tcPr>
          <w:p w14:paraId="15A396EE" w14:textId="77777777" w:rsidR="00AD1F54" w:rsidRPr="00264D5D" w:rsidRDefault="00941227">
            <w:pPr>
              <w:pStyle w:val="GOSTTablenorm"/>
              <w:jc w:val="center"/>
              <w:rPr>
                <w:szCs w:val="22"/>
              </w:rPr>
            </w:pPr>
            <w:r w:rsidRPr="00264D5D">
              <w:rPr>
                <w:szCs w:val="22"/>
              </w:rPr>
              <w:t>О</w:t>
            </w:r>
          </w:p>
        </w:tc>
        <w:tc>
          <w:tcPr>
            <w:tcW w:w="3963" w:type="dxa"/>
          </w:tcPr>
          <w:p w14:paraId="3FE1EA2C" w14:textId="77777777" w:rsidR="00AD1F54" w:rsidRPr="00264D5D" w:rsidRDefault="00B06B9A">
            <w:pPr>
              <w:spacing w:before="60" w:after="60"/>
              <w:rPr>
                <w:sz w:val="22"/>
                <w:szCs w:val="22"/>
              </w:rPr>
            </w:pPr>
            <w:r w:rsidRPr="00264D5D">
              <w:rPr>
                <w:sz w:val="22"/>
                <w:szCs w:val="22"/>
              </w:rPr>
              <w:t>Номер банковской карты</w:t>
            </w:r>
          </w:p>
        </w:tc>
      </w:tr>
      <w:tr w:rsidR="00AD1F54" w:rsidRPr="00264D5D" w14:paraId="78B35327"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5DDD0389" w14:textId="77777777" w:rsidR="00AD1F54" w:rsidRPr="00264D5D" w:rsidRDefault="00941227">
            <w:pPr>
              <w:pStyle w:val="GOSTTablenorm"/>
              <w:rPr>
                <w:szCs w:val="22"/>
              </w:rPr>
            </w:pPr>
            <w:r w:rsidRPr="00264D5D">
              <w:rPr>
                <w:szCs w:val="22"/>
              </w:rPr>
              <w:t>Должность владельца банковской карты</w:t>
            </w:r>
          </w:p>
        </w:tc>
        <w:tc>
          <w:tcPr>
            <w:tcW w:w="1701" w:type="dxa"/>
          </w:tcPr>
          <w:p w14:paraId="02DD8DD1" w14:textId="77777777" w:rsidR="00AD1F54" w:rsidRPr="00264D5D" w:rsidRDefault="00941227">
            <w:pPr>
              <w:pStyle w:val="GOSTTablenorm"/>
              <w:rPr>
                <w:szCs w:val="22"/>
              </w:rPr>
            </w:pPr>
            <w:bookmarkStart w:id="2942" w:name="OLE_LINK669"/>
            <w:bookmarkStart w:id="2943" w:name="OLE_LINK670"/>
            <w:r w:rsidRPr="00264D5D">
              <w:rPr>
                <w:szCs w:val="22"/>
                <w:lang w:val="en-US"/>
              </w:rPr>
              <w:t>ZN_OwnCrdCrdPstn</w:t>
            </w:r>
            <w:bookmarkEnd w:id="2942"/>
            <w:bookmarkEnd w:id="2943"/>
          </w:p>
        </w:tc>
        <w:tc>
          <w:tcPr>
            <w:tcW w:w="567" w:type="dxa"/>
          </w:tcPr>
          <w:p w14:paraId="089645C0" w14:textId="77777777" w:rsidR="00AD1F54" w:rsidRPr="00264D5D" w:rsidRDefault="00941227">
            <w:pPr>
              <w:pStyle w:val="GOSTTablenorm"/>
              <w:jc w:val="center"/>
              <w:rPr>
                <w:szCs w:val="22"/>
              </w:rPr>
            </w:pPr>
            <w:r w:rsidRPr="00264D5D">
              <w:rPr>
                <w:szCs w:val="22"/>
              </w:rPr>
              <w:t>П</w:t>
            </w:r>
          </w:p>
        </w:tc>
        <w:tc>
          <w:tcPr>
            <w:tcW w:w="1134" w:type="dxa"/>
          </w:tcPr>
          <w:p w14:paraId="07FE7A6C" w14:textId="77777777" w:rsidR="00AD1F54" w:rsidRPr="00264D5D" w:rsidRDefault="00941227">
            <w:pPr>
              <w:pStyle w:val="GOSTTablenorm"/>
              <w:rPr>
                <w:szCs w:val="22"/>
                <w:lang w:val="en-US"/>
              </w:rPr>
            </w:pPr>
            <w:r w:rsidRPr="00264D5D">
              <w:rPr>
                <w:szCs w:val="22"/>
                <w:lang w:val="en-US"/>
              </w:rPr>
              <w:t>Т(1-</w:t>
            </w:r>
            <w:r w:rsidRPr="00264D5D">
              <w:rPr>
                <w:szCs w:val="22"/>
              </w:rPr>
              <w:t>100</w:t>
            </w:r>
            <w:r w:rsidRPr="00264D5D">
              <w:rPr>
                <w:szCs w:val="22"/>
                <w:lang w:val="en-US"/>
              </w:rPr>
              <w:t>)</w:t>
            </w:r>
          </w:p>
        </w:tc>
        <w:tc>
          <w:tcPr>
            <w:tcW w:w="567" w:type="dxa"/>
          </w:tcPr>
          <w:p w14:paraId="48AB3706" w14:textId="77777777" w:rsidR="00AD1F54" w:rsidRPr="00264D5D" w:rsidRDefault="00941227">
            <w:pPr>
              <w:pStyle w:val="GOSTTablenorm"/>
              <w:jc w:val="center"/>
              <w:rPr>
                <w:szCs w:val="22"/>
              </w:rPr>
            </w:pPr>
            <w:r w:rsidRPr="00264D5D">
              <w:rPr>
                <w:szCs w:val="22"/>
              </w:rPr>
              <w:t>О</w:t>
            </w:r>
          </w:p>
        </w:tc>
        <w:tc>
          <w:tcPr>
            <w:tcW w:w="3963" w:type="dxa"/>
          </w:tcPr>
          <w:p w14:paraId="6B6ABBCB" w14:textId="77777777" w:rsidR="00AD1F54" w:rsidRPr="00264D5D" w:rsidRDefault="00941227">
            <w:pPr>
              <w:spacing w:before="60" w:after="60"/>
              <w:rPr>
                <w:sz w:val="22"/>
                <w:szCs w:val="22"/>
              </w:rPr>
            </w:pPr>
            <w:r w:rsidRPr="00264D5D">
              <w:rPr>
                <w:sz w:val="22"/>
                <w:szCs w:val="22"/>
              </w:rPr>
              <w:t>Должность работника, на имя которого за</w:t>
            </w:r>
            <w:r w:rsidR="00B06B9A" w:rsidRPr="00264D5D">
              <w:rPr>
                <w:sz w:val="22"/>
                <w:szCs w:val="22"/>
              </w:rPr>
              <w:t>регистрирована банковская карта</w:t>
            </w:r>
          </w:p>
        </w:tc>
      </w:tr>
      <w:tr w:rsidR="00AD1F54" w:rsidRPr="00264D5D" w14:paraId="43546379"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289FB7A" w14:textId="77777777" w:rsidR="00AD1F54" w:rsidRPr="00264D5D" w:rsidRDefault="00941227">
            <w:pPr>
              <w:pStyle w:val="GOSTTablenorm"/>
              <w:rPr>
                <w:szCs w:val="22"/>
              </w:rPr>
            </w:pPr>
            <w:r w:rsidRPr="00264D5D">
              <w:rPr>
                <w:szCs w:val="22"/>
              </w:rPr>
              <w:t>Владелец банковской карты</w:t>
            </w:r>
          </w:p>
        </w:tc>
        <w:tc>
          <w:tcPr>
            <w:tcW w:w="1701" w:type="dxa"/>
          </w:tcPr>
          <w:p w14:paraId="528137FC" w14:textId="77777777" w:rsidR="00AD1F54" w:rsidRPr="00264D5D" w:rsidRDefault="00941227">
            <w:pPr>
              <w:pStyle w:val="GOSTTablenorm"/>
              <w:rPr>
                <w:szCs w:val="22"/>
                <w:lang w:val="en-US"/>
              </w:rPr>
            </w:pPr>
            <w:r w:rsidRPr="00264D5D">
              <w:rPr>
                <w:szCs w:val="22"/>
              </w:rPr>
              <w:t>ZN_MSC_FlNm</w:t>
            </w:r>
          </w:p>
        </w:tc>
        <w:tc>
          <w:tcPr>
            <w:tcW w:w="567" w:type="dxa"/>
          </w:tcPr>
          <w:p w14:paraId="424D8F05" w14:textId="77777777" w:rsidR="00AD1F54" w:rsidRPr="00264D5D" w:rsidRDefault="00941227">
            <w:pPr>
              <w:pStyle w:val="GOSTTablenorm"/>
              <w:jc w:val="center"/>
              <w:rPr>
                <w:szCs w:val="22"/>
              </w:rPr>
            </w:pPr>
            <w:r w:rsidRPr="00264D5D">
              <w:rPr>
                <w:szCs w:val="22"/>
              </w:rPr>
              <w:t>С</w:t>
            </w:r>
          </w:p>
        </w:tc>
        <w:tc>
          <w:tcPr>
            <w:tcW w:w="1134" w:type="dxa"/>
          </w:tcPr>
          <w:p w14:paraId="34748FCE" w14:textId="77777777" w:rsidR="00AD1F54" w:rsidRPr="00264D5D" w:rsidRDefault="00941227">
            <w:pPr>
              <w:pStyle w:val="GOSTTablenorm"/>
              <w:rPr>
                <w:szCs w:val="22"/>
                <w:lang w:val="en-US"/>
              </w:rPr>
            </w:pPr>
            <w:r w:rsidRPr="00264D5D">
              <w:rPr>
                <w:szCs w:val="22"/>
                <w:lang w:val="en-US"/>
              </w:rPr>
              <w:t>tMSC_FlNm</w:t>
            </w:r>
          </w:p>
        </w:tc>
        <w:tc>
          <w:tcPr>
            <w:tcW w:w="567" w:type="dxa"/>
          </w:tcPr>
          <w:p w14:paraId="76BD9545" w14:textId="77777777" w:rsidR="00AD1F54" w:rsidRPr="00264D5D" w:rsidRDefault="00941227">
            <w:pPr>
              <w:pStyle w:val="GOSTTablenorm"/>
              <w:jc w:val="center"/>
              <w:rPr>
                <w:szCs w:val="22"/>
              </w:rPr>
            </w:pPr>
            <w:r w:rsidRPr="00264D5D">
              <w:rPr>
                <w:szCs w:val="22"/>
              </w:rPr>
              <w:t>О</w:t>
            </w:r>
          </w:p>
        </w:tc>
        <w:tc>
          <w:tcPr>
            <w:tcW w:w="3963" w:type="dxa"/>
          </w:tcPr>
          <w:p w14:paraId="62146430" w14:textId="6E771F97" w:rsidR="00AD1F54" w:rsidRPr="00264D5D" w:rsidRDefault="00941227">
            <w:pPr>
              <w:spacing w:before="60" w:after="60"/>
              <w:rPr>
                <w:sz w:val="22"/>
                <w:szCs w:val="22"/>
              </w:rPr>
            </w:pPr>
            <w:r w:rsidRPr="00264D5D">
              <w:rPr>
                <w:sz w:val="22"/>
                <w:szCs w:val="22"/>
              </w:rPr>
              <w:t xml:space="preserve">ФИО владельца банковской карты. Состав элемента представлен в таблице </w:t>
            </w:r>
            <w:r w:rsidRPr="00264D5D">
              <w:rPr>
                <w:b/>
                <w:sz w:val="22"/>
                <w:szCs w:val="22"/>
              </w:rPr>
              <w:fldChar w:fldCharType="begin"/>
            </w:r>
            <w:r w:rsidRPr="00264D5D">
              <w:rPr>
                <w:b/>
                <w:sz w:val="22"/>
                <w:szCs w:val="22"/>
              </w:rPr>
              <w:instrText xml:space="preserve"> REF _Ref524690601 \h  \* MERGEFORMAT </w:instrText>
            </w:r>
            <w:r w:rsidRPr="00264D5D">
              <w:rPr>
                <w:b/>
                <w:sz w:val="22"/>
                <w:szCs w:val="22"/>
              </w:rPr>
            </w:r>
            <w:r w:rsidRPr="00264D5D">
              <w:rPr>
                <w:b/>
                <w:sz w:val="22"/>
                <w:szCs w:val="22"/>
              </w:rPr>
              <w:fldChar w:fldCharType="separate"/>
            </w:r>
            <w:r w:rsidR="008D797C" w:rsidRPr="008D797C">
              <w:rPr>
                <w:b/>
                <w:sz w:val="22"/>
                <w:szCs w:val="22"/>
              </w:rPr>
              <w:t>256</w:t>
            </w:r>
            <w:r w:rsidRPr="00264D5D">
              <w:rPr>
                <w:b/>
                <w:sz w:val="22"/>
                <w:szCs w:val="22"/>
              </w:rPr>
              <w:fldChar w:fldCharType="end"/>
            </w:r>
          </w:p>
        </w:tc>
      </w:tr>
      <w:tr w:rsidR="00AD1F54" w:rsidRPr="00264D5D" w14:paraId="5730BAEC"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778F13A" w14:textId="77777777" w:rsidR="00AD1F54" w:rsidRPr="00264D5D" w:rsidRDefault="00941227">
            <w:pPr>
              <w:pStyle w:val="GOSTTablenorm"/>
              <w:rPr>
                <w:szCs w:val="22"/>
              </w:rPr>
            </w:pPr>
            <w:r w:rsidRPr="00264D5D">
              <w:rPr>
                <w:szCs w:val="22"/>
              </w:rPr>
              <w:t>Сумма денежных средств</w:t>
            </w:r>
          </w:p>
        </w:tc>
        <w:tc>
          <w:tcPr>
            <w:tcW w:w="1701" w:type="dxa"/>
          </w:tcPr>
          <w:p w14:paraId="15CAF080" w14:textId="77777777" w:rsidR="00AD1F54" w:rsidRPr="00264D5D" w:rsidRDefault="00941227">
            <w:pPr>
              <w:pStyle w:val="GOSTTablenorm"/>
              <w:rPr>
                <w:szCs w:val="22"/>
              </w:rPr>
            </w:pPr>
            <w:r w:rsidRPr="00264D5D">
              <w:rPr>
                <w:szCs w:val="22"/>
              </w:rPr>
              <w:t>ZN_Amnt</w:t>
            </w:r>
          </w:p>
        </w:tc>
        <w:tc>
          <w:tcPr>
            <w:tcW w:w="567" w:type="dxa"/>
          </w:tcPr>
          <w:p w14:paraId="25791B58" w14:textId="77777777" w:rsidR="00AD1F54" w:rsidRPr="00264D5D" w:rsidRDefault="00941227">
            <w:pPr>
              <w:pStyle w:val="GOSTTablenorm"/>
              <w:jc w:val="center"/>
              <w:rPr>
                <w:szCs w:val="22"/>
              </w:rPr>
            </w:pPr>
            <w:r w:rsidRPr="00264D5D">
              <w:rPr>
                <w:szCs w:val="22"/>
              </w:rPr>
              <w:t>П</w:t>
            </w:r>
          </w:p>
        </w:tc>
        <w:tc>
          <w:tcPr>
            <w:tcW w:w="1134" w:type="dxa"/>
          </w:tcPr>
          <w:p w14:paraId="321AC554" w14:textId="77777777" w:rsidR="00AD1F54" w:rsidRPr="00264D5D" w:rsidRDefault="00941227">
            <w:pPr>
              <w:pStyle w:val="GOSTTablenorm"/>
              <w:rPr>
                <w:szCs w:val="22"/>
                <w:lang w:val="en-US"/>
              </w:rPr>
            </w:pPr>
            <w:r w:rsidRPr="00264D5D">
              <w:rPr>
                <w:szCs w:val="22"/>
                <w:lang w:val="en-US"/>
              </w:rPr>
              <w:t>N</w:t>
            </w:r>
            <w:r w:rsidRPr="00264D5D">
              <w:rPr>
                <w:szCs w:val="22"/>
              </w:rPr>
              <w:t>(20.2)</w:t>
            </w:r>
          </w:p>
        </w:tc>
        <w:tc>
          <w:tcPr>
            <w:tcW w:w="567" w:type="dxa"/>
          </w:tcPr>
          <w:p w14:paraId="4810F07F" w14:textId="77777777" w:rsidR="00AD1F54" w:rsidRPr="00264D5D" w:rsidRDefault="00941227">
            <w:pPr>
              <w:pStyle w:val="GOSTTablenorm"/>
              <w:jc w:val="center"/>
              <w:rPr>
                <w:szCs w:val="22"/>
              </w:rPr>
            </w:pPr>
            <w:r w:rsidRPr="00264D5D">
              <w:rPr>
                <w:szCs w:val="22"/>
              </w:rPr>
              <w:t>О</w:t>
            </w:r>
          </w:p>
        </w:tc>
        <w:tc>
          <w:tcPr>
            <w:tcW w:w="3963" w:type="dxa"/>
          </w:tcPr>
          <w:p w14:paraId="4CE70ED4" w14:textId="77777777" w:rsidR="00AD1F54" w:rsidRPr="00264D5D" w:rsidRDefault="00941227">
            <w:pPr>
              <w:spacing w:before="60" w:after="60"/>
              <w:rPr>
                <w:szCs w:val="22"/>
              </w:rPr>
            </w:pPr>
            <w:r w:rsidRPr="00264D5D">
              <w:rPr>
                <w:sz w:val="22"/>
                <w:szCs w:val="22"/>
              </w:rPr>
              <w:t>С</w:t>
            </w:r>
            <w:r w:rsidR="00B06B9A" w:rsidRPr="00264D5D">
              <w:rPr>
                <w:sz w:val="22"/>
                <w:szCs w:val="22"/>
              </w:rPr>
              <w:t>умма денежных средств по заявке</w:t>
            </w:r>
          </w:p>
        </w:tc>
      </w:tr>
      <w:tr w:rsidR="00AD1F54" w:rsidRPr="00264D5D" w14:paraId="76CCFFC7"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37FDCC2" w14:textId="77777777" w:rsidR="00AD1F54" w:rsidRPr="00264D5D" w:rsidRDefault="00941227">
            <w:pPr>
              <w:pStyle w:val="GOSTTablenorm"/>
              <w:rPr>
                <w:szCs w:val="22"/>
              </w:rPr>
            </w:pPr>
            <w:r w:rsidRPr="00264D5D">
              <w:rPr>
                <w:szCs w:val="22"/>
              </w:rPr>
              <w:lastRenderedPageBreak/>
              <w:t>Общая сумма</w:t>
            </w:r>
          </w:p>
        </w:tc>
        <w:tc>
          <w:tcPr>
            <w:tcW w:w="1701" w:type="dxa"/>
          </w:tcPr>
          <w:p w14:paraId="5B44BCF7" w14:textId="77777777" w:rsidR="00AD1F54" w:rsidRPr="00264D5D" w:rsidRDefault="00941227">
            <w:pPr>
              <w:pStyle w:val="GOSTTablenorm"/>
              <w:rPr>
                <w:szCs w:val="22"/>
              </w:rPr>
            </w:pPr>
            <w:r w:rsidRPr="00264D5D">
              <w:rPr>
                <w:szCs w:val="22"/>
              </w:rPr>
              <w:t>ZN_TtlAmnt</w:t>
            </w:r>
          </w:p>
        </w:tc>
        <w:tc>
          <w:tcPr>
            <w:tcW w:w="567" w:type="dxa"/>
          </w:tcPr>
          <w:p w14:paraId="77123C4C" w14:textId="77777777" w:rsidR="00AD1F54" w:rsidRPr="00264D5D" w:rsidRDefault="00941227">
            <w:pPr>
              <w:pStyle w:val="GOSTTablenorm"/>
              <w:jc w:val="center"/>
              <w:rPr>
                <w:szCs w:val="22"/>
              </w:rPr>
            </w:pPr>
            <w:r w:rsidRPr="00264D5D">
              <w:rPr>
                <w:szCs w:val="22"/>
              </w:rPr>
              <w:t>П</w:t>
            </w:r>
          </w:p>
        </w:tc>
        <w:tc>
          <w:tcPr>
            <w:tcW w:w="1134" w:type="dxa"/>
          </w:tcPr>
          <w:p w14:paraId="11A03762" w14:textId="77777777" w:rsidR="00AD1F54" w:rsidRPr="00264D5D" w:rsidRDefault="00941227">
            <w:pPr>
              <w:pStyle w:val="GOSTTablenorm"/>
              <w:rPr>
                <w:szCs w:val="22"/>
                <w:lang w:val="en-US"/>
              </w:rPr>
            </w:pPr>
            <w:r w:rsidRPr="00264D5D">
              <w:rPr>
                <w:szCs w:val="22"/>
                <w:lang w:val="en-US"/>
              </w:rPr>
              <w:t>N</w:t>
            </w:r>
            <w:r w:rsidRPr="00264D5D">
              <w:rPr>
                <w:szCs w:val="22"/>
              </w:rPr>
              <w:t>(20.2)</w:t>
            </w:r>
          </w:p>
        </w:tc>
        <w:tc>
          <w:tcPr>
            <w:tcW w:w="567" w:type="dxa"/>
          </w:tcPr>
          <w:p w14:paraId="4A79632C" w14:textId="77777777" w:rsidR="00AD1F54" w:rsidRPr="00264D5D" w:rsidRDefault="00941227">
            <w:pPr>
              <w:pStyle w:val="GOSTTablenorm"/>
              <w:jc w:val="center"/>
              <w:rPr>
                <w:szCs w:val="22"/>
              </w:rPr>
            </w:pPr>
            <w:r w:rsidRPr="00264D5D">
              <w:rPr>
                <w:szCs w:val="22"/>
              </w:rPr>
              <w:t>О</w:t>
            </w:r>
          </w:p>
        </w:tc>
        <w:tc>
          <w:tcPr>
            <w:tcW w:w="3963" w:type="dxa"/>
          </w:tcPr>
          <w:p w14:paraId="2DDE6E25" w14:textId="77777777" w:rsidR="00AD1F54" w:rsidRPr="00264D5D" w:rsidRDefault="00941227">
            <w:pPr>
              <w:spacing w:before="60" w:after="60"/>
              <w:rPr>
                <w:sz w:val="22"/>
                <w:szCs w:val="22"/>
              </w:rPr>
            </w:pPr>
            <w:r w:rsidRPr="00264D5D">
              <w:rPr>
                <w:sz w:val="22"/>
                <w:szCs w:val="22"/>
              </w:rPr>
              <w:t xml:space="preserve">Общая сумма по блоку «Расшифровка заявки на получение денег». </w:t>
            </w:r>
          </w:p>
          <w:p w14:paraId="49344F24" w14:textId="77777777" w:rsidR="00AD1F54" w:rsidRPr="00264D5D" w:rsidRDefault="00941227">
            <w:pPr>
              <w:spacing w:before="60" w:after="60"/>
              <w:rPr>
                <w:sz w:val="22"/>
                <w:szCs w:val="22"/>
              </w:rPr>
            </w:pPr>
            <w:r w:rsidRPr="00264D5D">
              <w:rPr>
                <w:sz w:val="22"/>
                <w:szCs w:val="22"/>
              </w:rPr>
              <w:t>Должна быть равна значению поля «Сумма де</w:t>
            </w:r>
            <w:r w:rsidR="00B06B9A" w:rsidRPr="00264D5D">
              <w:rPr>
                <w:sz w:val="22"/>
                <w:szCs w:val="22"/>
              </w:rPr>
              <w:t>нежных средств»</w:t>
            </w:r>
          </w:p>
        </w:tc>
      </w:tr>
      <w:tr w:rsidR="00AD1F54" w:rsidRPr="00264D5D" w14:paraId="1795C561"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317D5E1E" w14:textId="77777777" w:rsidR="00AD1F54" w:rsidRPr="00264D5D" w:rsidRDefault="00941227">
            <w:pPr>
              <w:pStyle w:val="GOSTTablenorm"/>
              <w:rPr>
                <w:szCs w:val="22"/>
              </w:rPr>
            </w:pPr>
            <w:r w:rsidRPr="00264D5D">
              <w:t>Уровень конфиденциальности</w:t>
            </w:r>
          </w:p>
        </w:tc>
        <w:tc>
          <w:tcPr>
            <w:tcW w:w="1701" w:type="dxa"/>
          </w:tcPr>
          <w:p w14:paraId="3190833C" w14:textId="77777777" w:rsidR="00AD1F54" w:rsidRPr="00264D5D" w:rsidRDefault="00941227">
            <w:pPr>
              <w:pStyle w:val="GOSTTablenorm"/>
              <w:rPr>
                <w:szCs w:val="22"/>
              </w:rPr>
            </w:pPr>
            <w:r w:rsidRPr="00264D5D">
              <w:t>TtlPrt_SECRECY</w:t>
            </w:r>
          </w:p>
        </w:tc>
        <w:tc>
          <w:tcPr>
            <w:tcW w:w="567" w:type="dxa"/>
          </w:tcPr>
          <w:p w14:paraId="10076293" w14:textId="77777777" w:rsidR="00AD1F54" w:rsidRPr="00264D5D" w:rsidRDefault="00941227">
            <w:pPr>
              <w:pStyle w:val="GOSTTablenorm"/>
              <w:jc w:val="center"/>
              <w:rPr>
                <w:szCs w:val="22"/>
              </w:rPr>
            </w:pPr>
            <w:r w:rsidRPr="00264D5D">
              <w:rPr>
                <w:szCs w:val="22"/>
              </w:rPr>
              <w:t>П</w:t>
            </w:r>
          </w:p>
        </w:tc>
        <w:tc>
          <w:tcPr>
            <w:tcW w:w="1134" w:type="dxa"/>
          </w:tcPr>
          <w:p w14:paraId="065D69B6" w14:textId="77777777" w:rsidR="00AD1F54" w:rsidRPr="00264D5D" w:rsidRDefault="00941227">
            <w:pPr>
              <w:pStyle w:val="GOSTTablenorm"/>
              <w:rPr>
                <w:szCs w:val="22"/>
                <w:lang w:val="en-US"/>
              </w:rPr>
            </w:pPr>
            <w:r w:rsidRPr="00264D5D">
              <w:rPr>
                <w:szCs w:val="22"/>
              </w:rPr>
              <w:t>Т(1)</w:t>
            </w:r>
          </w:p>
        </w:tc>
        <w:tc>
          <w:tcPr>
            <w:tcW w:w="567" w:type="dxa"/>
          </w:tcPr>
          <w:p w14:paraId="48AD2975" w14:textId="77777777" w:rsidR="00AD1F54" w:rsidRPr="00264D5D" w:rsidRDefault="00941227">
            <w:pPr>
              <w:pStyle w:val="GOSTTablenorm"/>
              <w:jc w:val="center"/>
              <w:rPr>
                <w:szCs w:val="22"/>
              </w:rPr>
            </w:pPr>
            <w:r w:rsidRPr="00264D5D">
              <w:rPr>
                <w:szCs w:val="22"/>
              </w:rPr>
              <w:t>Н</w:t>
            </w:r>
          </w:p>
        </w:tc>
        <w:tc>
          <w:tcPr>
            <w:tcW w:w="3963" w:type="dxa"/>
          </w:tcPr>
          <w:p w14:paraId="361C4C24" w14:textId="77777777" w:rsidR="00AD1F54" w:rsidRPr="00264D5D" w:rsidRDefault="00941227">
            <w:pPr>
              <w:spacing w:before="60" w:after="60"/>
              <w:rPr>
                <w:sz w:val="22"/>
                <w:szCs w:val="22"/>
              </w:rPr>
            </w:pPr>
            <w:r w:rsidRPr="00264D5D">
              <w:rPr>
                <w:sz w:val="22"/>
                <w:szCs w:val="22"/>
              </w:rPr>
              <w:t>Указывается уровень конфиденциальности.</w:t>
            </w:r>
          </w:p>
          <w:p w14:paraId="76A1C45C" w14:textId="77777777" w:rsidR="00AD1F54" w:rsidRPr="00264D5D" w:rsidRDefault="00941227">
            <w:pPr>
              <w:spacing w:before="60" w:after="60"/>
              <w:rPr>
                <w:sz w:val="22"/>
                <w:szCs w:val="22"/>
              </w:rPr>
            </w:pPr>
            <w:r w:rsidRPr="00264D5D">
              <w:rPr>
                <w:sz w:val="22"/>
                <w:szCs w:val="22"/>
              </w:rPr>
              <w:t>Возможные значения:</w:t>
            </w:r>
          </w:p>
          <w:p w14:paraId="36F701F9" w14:textId="77777777" w:rsidR="00AD1F54" w:rsidRPr="00264D5D" w:rsidRDefault="00941227" w:rsidP="00B06B9A">
            <w:pPr>
              <w:pStyle w:val="GOSTTableListMark1"/>
              <w:widowControl w:val="0"/>
              <w:numPr>
                <w:ilvl w:val="0"/>
                <w:numId w:val="65"/>
              </w:numPr>
              <w:tabs>
                <w:tab w:val="clear" w:pos="340"/>
                <w:tab w:val="num" w:pos="227"/>
              </w:tabs>
              <w:spacing w:before="60" w:after="60"/>
              <w:ind w:left="284"/>
              <w:jc w:val="both"/>
              <w:rPr>
                <w:szCs w:val="22"/>
              </w:rPr>
            </w:pPr>
            <w:r w:rsidRPr="00264D5D">
              <w:rPr>
                <w:szCs w:val="22"/>
              </w:rPr>
              <w:t>«0» – Несекретно;</w:t>
            </w:r>
          </w:p>
          <w:p w14:paraId="3D136D5F" w14:textId="77777777" w:rsidR="00AD1F54" w:rsidRPr="00264D5D" w:rsidRDefault="00941227" w:rsidP="00B06B9A">
            <w:pPr>
              <w:pStyle w:val="GOSTTableListMark1"/>
              <w:widowControl w:val="0"/>
              <w:numPr>
                <w:ilvl w:val="0"/>
                <w:numId w:val="65"/>
              </w:numPr>
              <w:tabs>
                <w:tab w:val="clear" w:pos="340"/>
                <w:tab w:val="num" w:pos="227"/>
              </w:tabs>
              <w:spacing w:before="60" w:after="60"/>
              <w:ind w:left="284"/>
              <w:jc w:val="both"/>
              <w:rPr>
                <w:szCs w:val="22"/>
              </w:rPr>
            </w:pPr>
            <w:r w:rsidRPr="00264D5D">
              <w:rPr>
                <w:szCs w:val="22"/>
              </w:rPr>
              <w:t>«1» – Для служебного пользования.</w:t>
            </w:r>
          </w:p>
          <w:p w14:paraId="2D57AD08" w14:textId="77777777" w:rsidR="00AD1F54" w:rsidRPr="00264D5D" w:rsidRDefault="00941227">
            <w:pPr>
              <w:spacing w:before="60" w:after="60"/>
              <w:rPr>
                <w:sz w:val="22"/>
                <w:szCs w:val="22"/>
              </w:rPr>
            </w:pPr>
            <w:r w:rsidRPr="00264D5D">
              <w:rPr>
                <w:sz w:val="22"/>
                <w:szCs w:val="22"/>
              </w:rPr>
              <w:t>Обязателен для заполнения в случае взаимодействия по маршруту ПБС (ПФХД) –</w:t>
            </w:r>
            <w:r w:rsidR="00B06B9A" w:rsidRPr="00264D5D">
              <w:rPr>
                <w:sz w:val="22"/>
                <w:szCs w:val="22"/>
              </w:rPr>
              <w:t xml:space="preserve"> ТОФК (ПУР ЭБ)</w:t>
            </w:r>
          </w:p>
        </w:tc>
      </w:tr>
      <w:tr w:rsidR="00AD1F54" w:rsidRPr="00264D5D" w14:paraId="12D24213" w14:textId="77777777" w:rsidTr="00AD1F54">
        <w:trPr>
          <w:cnfStyle w:val="000000100000" w:firstRow="0" w:lastRow="0" w:firstColumn="0" w:lastColumn="0" w:oddVBand="0" w:evenVBand="0" w:oddHBand="1" w:evenHBand="0" w:firstRowFirstColumn="0" w:firstRowLastColumn="0" w:lastRowFirstColumn="0" w:lastRowLastColumn="0"/>
        </w:trPr>
        <w:tc>
          <w:tcPr>
            <w:tcW w:w="9634" w:type="dxa"/>
            <w:gridSpan w:val="6"/>
          </w:tcPr>
          <w:p w14:paraId="67C1D9ED" w14:textId="77777777" w:rsidR="00AD1F54" w:rsidRPr="00264D5D" w:rsidRDefault="00941227">
            <w:pPr>
              <w:spacing w:before="60" w:after="60"/>
              <w:rPr>
                <w:sz w:val="22"/>
                <w:szCs w:val="22"/>
              </w:rPr>
            </w:pPr>
            <w:r w:rsidRPr="00264D5D">
              <w:rPr>
                <w:b/>
                <w:sz w:val="22"/>
                <w:szCs w:val="22"/>
              </w:rPr>
              <w:t>Подписи</w:t>
            </w:r>
          </w:p>
        </w:tc>
      </w:tr>
      <w:tr w:rsidR="00AD1F54" w:rsidRPr="00264D5D" w14:paraId="4D5A26D5"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273D98BD" w14:textId="77777777" w:rsidR="00AD1F54" w:rsidRPr="00264D5D" w:rsidRDefault="00941227">
            <w:pPr>
              <w:pStyle w:val="GOSTTablenorm"/>
              <w:rPr>
                <w:i/>
                <w:szCs w:val="22"/>
              </w:rPr>
            </w:pPr>
            <w:r w:rsidRPr="00264D5D">
              <w:rPr>
                <w:szCs w:val="22"/>
              </w:rPr>
              <w:t>Руководитель (уполномоченное им лицо)</w:t>
            </w:r>
          </w:p>
        </w:tc>
        <w:tc>
          <w:tcPr>
            <w:tcW w:w="1701" w:type="dxa"/>
          </w:tcPr>
          <w:p w14:paraId="0119493B" w14:textId="77777777" w:rsidR="00AD1F54" w:rsidRPr="00264D5D" w:rsidRDefault="00941227">
            <w:pPr>
              <w:pStyle w:val="GOSTTablenorm"/>
              <w:rPr>
                <w:szCs w:val="22"/>
              </w:rPr>
            </w:pPr>
            <w:r w:rsidRPr="00264D5D">
              <w:rPr>
                <w:szCs w:val="22"/>
              </w:rPr>
              <w:t>ZN_MSC_Hd</w:t>
            </w:r>
          </w:p>
        </w:tc>
        <w:tc>
          <w:tcPr>
            <w:tcW w:w="567" w:type="dxa"/>
          </w:tcPr>
          <w:p w14:paraId="421B033F" w14:textId="77777777" w:rsidR="00AD1F54" w:rsidRPr="00264D5D" w:rsidRDefault="00941227">
            <w:pPr>
              <w:pStyle w:val="GOSTTablenorm"/>
              <w:jc w:val="center"/>
              <w:rPr>
                <w:szCs w:val="22"/>
              </w:rPr>
            </w:pPr>
            <w:r w:rsidRPr="00264D5D">
              <w:rPr>
                <w:szCs w:val="22"/>
              </w:rPr>
              <w:t>С</w:t>
            </w:r>
          </w:p>
        </w:tc>
        <w:tc>
          <w:tcPr>
            <w:tcW w:w="1134" w:type="dxa"/>
          </w:tcPr>
          <w:p w14:paraId="2158652D" w14:textId="77777777" w:rsidR="00AD1F54" w:rsidRPr="00264D5D" w:rsidRDefault="00941227">
            <w:pPr>
              <w:pStyle w:val="GOSTTablenorm"/>
              <w:rPr>
                <w:szCs w:val="22"/>
                <w:lang w:val="en-US"/>
              </w:rPr>
            </w:pPr>
            <w:r w:rsidRPr="00264D5D">
              <w:rPr>
                <w:szCs w:val="22"/>
              </w:rPr>
              <w:t>tSGNNmPs100</w:t>
            </w:r>
          </w:p>
        </w:tc>
        <w:tc>
          <w:tcPr>
            <w:tcW w:w="567" w:type="dxa"/>
          </w:tcPr>
          <w:p w14:paraId="572E33C2" w14:textId="77777777" w:rsidR="00AD1F54" w:rsidRPr="00264D5D" w:rsidRDefault="00941227">
            <w:pPr>
              <w:pStyle w:val="GOSTTablenorm"/>
              <w:jc w:val="center"/>
              <w:rPr>
                <w:szCs w:val="22"/>
              </w:rPr>
            </w:pPr>
            <w:r w:rsidRPr="00264D5D">
              <w:rPr>
                <w:szCs w:val="22"/>
              </w:rPr>
              <w:t>Н</w:t>
            </w:r>
          </w:p>
        </w:tc>
        <w:tc>
          <w:tcPr>
            <w:tcW w:w="3963" w:type="dxa"/>
          </w:tcPr>
          <w:p w14:paraId="22846D19" w14:textId="56E046AB" w:rsidR="00AD1F54" w:rsidRPr="00264D5D" w:rsidRDefault="00941227">
            <w:pPr>
              <w:spacing w:before="60" w:after="60"/>
              <w:rPr>
                <w:sz w:val="22"/>
                <w:szCs w:val="22"/>
              </w:rPr>
            </w:pPr>
            <w:r w:rsidRPr="00264D5D">
              <w:rPr>
                <w:sz w:val="22"/>
                <w:szCs w:val="22"/>
              </w:rPr>
              <w:t xml:space="preserve">Состав элемента представлен в таблице </w:t>
            </w:r>
            <w:r w:rsidRPr="00264D5D">
              <w:rPr>
                <w:b/>
                <w:sz w:val="22"/>
                <w:szCs w:val="22"/>
                <w:lang w:val="en-US"/>
              </w:rPr>
              <w:fldChar w:fldCharType="begin"/>
            </w:r>
            <w:r w:rsidRPr="00264D5D">
              <w:rPr>
                <w:b/>
                <w:sz w:val="22"/>
                <w:szCs w:val="22"/>
              </w:rPr>
              <w:instrText xml:space="preserve"> </w:instrText>
            </w:r>
            <w:r w:rsidRPr="00264D5D">
              <w:rPr>
                <w:b/>
                <w:sz w:val="22"/>
                <w:szCs w:val="22"/>
                <w:lang w:val="en-US"/>
              </w:rPr>
              <w:instrText>REF</w:instrText>
            </w:r>
            <w:r w:rsidRPr="00264D5D">
              <w:rPr>
                <w:b/>
                <w:sz w:val="22"/>
                <w:szCs w:val="22"/>
              </w:rPr>
              <w:instrText xml:space="preserve"> _</w:instrText>
            </w:r>
            <w:r w:rsidRPr="00264D5D">
              <w:rPr>
                <w:b/>
                <w:sz w:val="22"/>
                <w:szCs w:val="22"/>
                <w:lang w:val="en-US"/>
              </w:rPr>
              <w:instrText>Ref</w:instrText>
            </w:r>
            <w:r w:rsidRPr="00264D5D">
              <w:rPr>
                <w:b/>
                <w:sz w:val="22"/>
                <w:szCs w:val="22"/>
              </w:rPr>
              <w:instrText>528763301 \</w:instrText>
            </w:r>
            <w:r w:rsidRPr="00264D5D">
              <w:rPr>
                <w:b/>
                <w:sz w:val="22"/>
                <w:szCs w:val="22"/>
                <w:lang w:val="en-US"/>
              </w:rPr>
              <w:instrText>h</w:instrText>
            </w:r>
            <w:r w:rsidRPr="00264D5D">
              <w:rPr>
                <w:b/>
                <w:sz w:val="22"/>
                <w:szCs w:val="22"/>
              </w:rPr>
              <w:instrText xml:space="preserve">  \* </w:instrText>
            </w:r>
            <w:r w:rsidRPr="00264D5D">
              <w:rPr>
                <w:b/>
                <w:sz w:val="22"/>
                <w:szCs w:val="22"/>
                <w:lang w:val="en-US"/>
              </w:rPr>
              <w:instrText>MERGEFORMAT</w:instrText>
            </w:r>
            <w:r w:rsidRPr="00264D5D">
              <w:rPr>
                <w:b/>
                <w:sz w:val="22"/>
                <w:szCs w:val="22"/>
              </w:rPr>
              <w:instrText xml:space="preserve"> </w:instrText>
            </w:r>
            <w:r w:rsidRPr="00264D5D">
              <w:rPr>
                <w:b/>
                <w:sz w:val="22"/>
                <w:szCs w:val="22"/>
                <w:lang w:val="en-US"/>
              </w:rPr>
            </w:r>
            <w:r w:rsidRPr="00264D5D">
              <w:rPr>
                <w:b/>
                <w:sz w:val="22"/>
                <w:szCs w:val="22"/>
                <w:lang w:val="en-US"/>
              </w:rPr>
              <w:fldChar w:fldCharType="separate"/>
            </w:r>
            <w:r w:rsidR="008D797C" w:rsidRPr="008D797C">
              <w:rPr>
                <w:b/>
                <w:sz w:val="22"/>
                <w:szCs w:val="22"/>
              </w:rPr>
              <w:t>255</w:t>
            </w:r>
            <w:r w:rsidRPr="00264D5D">
              <w:rPr>
                <w:b/>
                <w:sz w:val="22"/>
                <w:szCs w:val="22"/>
                <w:lang w:val="en-US"/>
              </w:rPr>
              <w:fldChar w:fldCharType="end"/>
            </w:r>
          </w:p>
        </w:tc>
      </w:tr>
      <w:tr w:rsidR="00AD1F54" w:rsidRPr="00264D5D" w14:paraId="64AE2125"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6908F8D" w14:textId="77777777" w:rsidR="00AD1F54" w:rsidRPr="00264D5D" w:rsidRDefault="00941227">
            <w:pPr>
              <w:pStyle w:val="GOSTTablenorm"/>
              <w:rPr>
                <w:szCs w:val="22"/>
              </w:rPr>
            </w:pPr>
            <w:r w:rsidRPr="00264D5D">
              <w:rPr>
                <w:szCs w:val="22"/>
              </w:rPr>
              <w:t>Главный бухгалтер (уполномоченное лицо)</w:t>
            </w:r>
          </w:p>
        </w:tc>
        <w:tc>
          <w:tcPr>
            <w:tcW w:w="1701" w:type="dxa"/>
          </w:tcPr>
          <w:p w14:paraId="42DFC35A" w14:textId="77777777" w:rsidR="00AD1F54" w:rsidRPr="00264D5D" w:rsidRDefault="00941227">
            <w:pPr>
              <w:pStyle w:val="GOSTTablenorm"/>
              <w:rPr>
                <w:szCs w:val="22"/>
              </w:rPr>
            </w:pPr>
            <w:r w:rsidRPr="00264D5D">
              <w:rPr>
                <w:szCs w:val="22"/>
              </w:rPr>
              <w:t>ZN_MSC_RspnExctr</w:t>
            </w:r>
          </w:p>
        </w:tc>
        <w:tc>
          <w:tcPr>
            <w:tcW w:w="567" w:type="dxa"/>
          </w:tcPr>
          <w:p w14:paraId="1D563734" w14:textId="77777777" w:rsidR="00AD1F54" w:rsidRPr="00264D5D" w:rsidRDefault="00941227">
            <w:pPr>
              <w:pStyle w:val="GOSTTablenorm"/>
              <w:jc w:val="center"/>
              <w:rPr>
                <w:szCs w:val="22"/>
              </w:rPr>
            </w:pPr>
            <w:r w:rsidRPr="00264D5D">
              <w:rPr>
                <w:szCs w:val="22"/>
              </w:rPr>
              <w:t>С</w:t>
            </w:r>
          </w:p>
        </w:tc>
        <w:tc>
          <w:tcPr>
            <w:tcW w:w="1134" w:type="dxa"/>
          </w:tcPr>
          <w:p w14:paraId="0F9081C3" w14:textId="77777777" w:rsidR="00AD1F54" w:rsidRPr="00264D5D" w:rsidRDefault="00941227">
            <w:pPr>
              <w:pStyle w:val="GOSTTablenorm"/>
              <w:rPr>
                <w:szCs w:val="22"/>
              </w:rPr>
            </w:pPr>
            <w:r w:rsidRPr="00264D5D">
              <w:rPr>
                <w:szCs w:val="22"/>
              </w:rPr>
              <w:t>tSGNNmPs100</w:t>
            </w:r>
          </w:p>
        </w:tc>
        <w:tc>
          <w:tcPr>
            <w:tcW w:w="567" w:type="dxa"/>
          </w:tcPr>
          <w:p w14:paraId="35CECE56" w14:textId="77777777" w:rsidR="00AD1F54" w:rsidRPr="00264D5D" w:rsidRDefault="00941227">
            <w:pPr>
              <w:pStyle w:val="GOSTTablenorm"/>
              <w:jc w:val="center"/>
              <w:rPr>
                <w:szCs w:val="22"/>
              </w:rPr>
            </w:pPr>
            <w:r w:rsidRPr="00264D5D">
              <w:rPr>
                <w:szCs w:val="22"/>
              </w:rPr>
              <w:t>Н</w:t>
            </w:r>
          </w:p>
        </w:tc>
        <w:tc>
          <w:tcPr>
            <w:tcW w:w="3963" w:type="dxa"/>
          </w:tcPr>
          <w:p w14:paraId="59CE916E" w14:textId="5DA252FF" w:rsidR="00AD1F54" w:rsidRPr="00264D5D" w:rsidRDefault="00941227">
            <w:pPr>
              <w:spacing w:before="60" w:after="60"/>
              <w:rPr>
                <w:sz w:val="22"/>
                <w:szCs w:val="22"/>
              </w:rPr>
            </w:pPr>
            <w:r w:rsidRPr="00264D5D">
              <w:rPr>
                <w:sz w:val="22"/>
                <w:szCs w:val="22"/>
              </w:rPr>
              <w:t xml:space="preserve">Состав элемента представлен в таблице </w:t>
            </w:r>
            <w:r w:rsidRPr="00264D5D">
              <w:rPr>
                <w:b/>
                <w:sz w:val="22"/>
                <w:szCs w:val="22"/>
                <w:lang w:val="en-US"/>
              </w:rPr>
              <w:fldChar w:fldCharType="begin"/>
            </w:r>
            <w:r w:rsidRPr="00264D5D">
              <w:rPr>
                <w:b/>
                <w:sz w:val="22"/>
                <w:szCs w:val="22"/>
              </w:rPr>
              <w:instrText xml:space="preserve"> </w:instrText>
            </w:r>
            <w:r w:rsidRPr="00264D5D">
              <w:rPr>
                <w:b/>
                <w:sz w:val="22"/>
                <w:szCs w:val="22"/>
                <w:lang w:val="en-US"/>
              </w:rPr>
              <w:instrText>REF</w:instrText>
            </w:r>
            <w:r w:rsidRPr="00264D5D">
              <w:rPr>
                <w:b/>
                <w:sz w:val="22"/>
                <w:szCs w:val="22"/>
              </w:rPr>
              <w:instrText xml:space="preserve"> _</w:instrText>
            </w:r>
            <w:r w:rsidRPr="00264D5D">
              <w:rPr>
                <w:b/>
                <w:sz w:val="22"/>
                <w:szCs w:val="22"/>
                <w:lang w:val="en-US"/>
              </w:rPr>
              <w:instrText>Ref</w:instrText>
            </w:r>
            <w:r w:rsidRPr="00264D5D">
              <w:rPr>
                <w:b/>
                <w:sz w:val="22"/>
                <w:szCs w:val="22"/>
              </w:rPr>
              <w:instrText>528763301 \</w:instrText>
            </w:r>
            <w:r w:rsidRPr="00264D5D">
              <w:rPr>
                <w:b/>
                <w:sz w:val="22"/>
                <w:szCs w:val="22"/>
                <w:lang w:val="en-US"/>
              </w:rPr>
              <w:instrText>h</w:instrText>
            </w:r>
            <w:r w:rsidRPr="00264D5D">
              <w:rPr>
                <w:b/>
                <w:sz w:val="22"/>
                <w:szCs w:val="22"/>
              </w:rPr>
              <w:instrText xml:space="preserve">  \* </w:instrText>
            </w:r>
            <w:r w:rsidRPr="00264D5D">
              <w:rPr>
                <w:b/>
                <w:sz w:val="22"/>
                <w:szCs w:val="22"/>
                <w:lang w:val="en-US"/>
              </w:rPr>
              <w:instrText>MERGEFORMAT</w:instrText>
            </w:r>
            <w:r w:rsidRPr="00264D5D">
              <w:rPr>
                <w:b/>
                <w:sz w:val="22"/>
                <w:szCs w:val="22"/>
              </w:rPr>
              <w:instrText xml:space="preserve"> </w:instrText>
            </w:r>
            <w:r w:rsidRPr="00264D5D">
              <w:rPr>
                <w:b/>
                <w:sz w:val="22"/>
                <w:szCs w:val="22"/>
                <w:lang w:val="en-US"/>
              </w:rPr>
            </w:r>
            <w:r w:rsidRPr="00264D5D">
              <w:rPr>
                <w:b/>
                <w:sz w:val="22"/>
                <w:szCs w:val="22"/>
                <w:lang w:val="en-US"/>
              </w:rPr>
              <w:fldChar w:fldCharType="separate"/>
            </w:r>
            <w:r w:rsidR="008D797C" w:rsidRPr="008D797C">
              <w:rPr>
                <w:b/>
                <w:sz w:val="22"/>
                <w:szCs w:val="22"/>
              </w:rPr>
              <w:t>255</w:t>
            </w:r>
            <w:r w:rsidRPr="00264D5D">
              <w:rPr>
                <w:b/>
                <w:sz w:val="22"/>
                <w:szCs w:val="22"/>
                <w:lang w:val="en-US"/>
              </w:rPr>
              <w:fldChar w:fldCharType="end"/>
            </w:r>
          </w:p>
        </w:tc>
      </w:tr>
      <w:tr w:rsidR="00AD1F54" w:rsidRPr="00264D5D" w14:paraId="4A603D14"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073A6FC5" w14:textId="77777777" w:rsidR="00AD1F54" w:rsidRPr="00264D5D" w:rsidRDefault="00941227">
            <w:pPr>
              <w:pStyle w:val="GOSTTablenorm"/>
              <w:rPr>
                <w:szCs w:val="22"/>
              </w:rPr>
            </w:pPr>
            <w:r w:rsidRPr="00264D5D">
              <w:rPr>
                <w:szCs w:val="22"/>
              </w:rPr>
              <w:t>Дата подписания документа</w:t>
            </w:r>
          </w:p>
        </w:tc>
        <w:tc>
          <w:tcPr>
            <w:tcW w:w="1701" w:type="dxa"/>
          </w:tcPr>
          <w:p w14:paraId="67DE9E8C" w14:textId="77777777" w:rsidR="00AD1F54" w:rsidRPr="00264D5D" w:rsidRDefault="00941227">
            <w:pPr>
              <w:pStyle w:val="GOSTTablenorm"/>
              <w:rPr>
                <w:szCs w:val="22"/>
              </w:rPr>
            </w:pPr>
            <w:r w:rsidRPr="00264D5D">
              <w:rPr>
                <w:szCs w:val="22"/>
              </w:rPr>
              <w:t>ZN_SgngDt</w:t>
            </w:r>
          </w:p>
        </w:tc>
        <w:tc>
          <w:tcPr>
            <w:tcW w:w="567" w:type="dxa"/>
          </w:tcPr>
          <w:p w14:paraId="627553B9" w14:textId="77777777" w:rsidR="00AD1F54" w:rsidRPr="00264D5D" w:rsidRDefault="00941227">
            <w:pPr>
              <w:pStyle w:val="GOSTTablenorm"/>
              <w:jc w:val="center"/>
              <w:rPr>
                <w:szCs w:val="22"/>
              </w:rPr>
            </w:pPr>
            <w:r w:rsidRPr="00264D5D">
              <w:rPr>
                <w:szCs w:val="22"/>
              </w:rPr>
              <w:t>П</w:t>
            </w:r>
          </w:p>
        </w:tc>
        <w:tc>
          <w:tcPr>
            <w:tcW w:w="1134" w:type="dxa"/>
          </w:tcPr>
          <w:p w14:paraId="4A19CB81" w14:textId="77777777" w:rsidR="00AD1F54" w:rsidRPr="00264D5D" w:rsidRDefault="00941227">
            <w:pPr>
              <w:pStyle w:val="GOSTTablenorm"/>
              <w:rPr>
                <w:szCs w:val="22"/>
              </w:rPr>
            </w:pPr>
            <w:r w:rsidRPr="00264D5D">
              <w:rPr>
                <w:szCs w:val="22"/>
                <w:lang w:val="en-US"/>
              </w:rPr>
              <w:t>Date</w:t>
            </w:r>
          </w:p>
        </w:tc>
        <w:tc>
          <w:tcPr>
            <w:tcW w:w="567" w:type="dxa"/>
          </w:tcPr>
          <w:p w14:paraId="5AA0F1E6" w14:textId="77777777" w:rsidR="00AD1F54" w:rsidRPr="00264D5D" w:rsidRDefault="00941227">
            <w:pPr>
              <w:pStyle w:val="GOSTTablenorm"/>
              <w:jc w:val="center"/>
              <w:rPr>
                <w:szCs w:val="22"/>
              </w:rPr>
            </w:pPr>
            <w:r w:rsidRPr="00264D5D">
              <w:rPr>
                <w:szCs w:val="22"/>
              </w:rPr>
              <w:t>Н</w:t>
            </w:r>
          </w:p>
        </w:tc>
        <w:tc>
          <w:tcPr>
            <w:tcW w:w="3963" w:type="dxa"/>
          </w:tcPr>
          <w:p w14:paraId="6B6CDCD1" w14:textId="77777777" w:rsidR="00AD1F54" w:rsidRPr="00264D5D" w:rsidRDefault="00B06B9A">
            <w:pPr>
              <w:spacing w:before="60" w:after="60"/>
              <w:rPr>
                <w:sz w:val="22"/>
                <w:szCs w:val="22"/>
              </w:rPr>
            </w:pPr>
            <w:r w:rsidRPr="00264D5D">
              <w:rPr>
                <w:sz w:val="22"/>
                <w:szCs w:val="22"/>
              </w:rPr>
              <w:t>Дата подписания документа</w:t>
            </w:r>
          </w:p>
        </w:tc>
      </w:tr>
      <w:tr w:rsidR="00AD1F54" w:rsidRPr="00264D5D" w14:paraId="410BC730" w14:textId="77777777" w:rsidTr="00AD1F54">
        <w:trPr>
          <w:cnfStyle w:val="000000100000" w:firstRow="0" w:lastRow="0" w:firstColumn="0" w:lastColumn="0" w:oddVBand="0" w:evenVBand="0" w:oddHBand="1" w:evenHBand="0" w:firstRowFirstColumn="0" w:firstRowLastColumn="0" w:lastRowFirstColumn="0" w:lastRowLastColumn="0"/>
        </w:trPr>
        <w:tc>
          <w:tcPr>
            <w:tcW w:w="9634" w:type="dxa"/>
            <w:gridSpan w:val="6"/>
          </w:tcPr>
          <w:p w14:paraId="69140B8B" w14:textId="77777777" w:rsidR="00AD1F54" w:rsidRPr="00264D5D" w:rsidRDefault="00941227">
            <w:pPr>
              <w:spacing w:before="60" w:after="60"/>
              <w:rPr>
                <w:sz w:val="22"/>
                <w:szCs w:val="22"/>
              </w:rPr>
            </w:pPr>
            <w:r w:rsidRPr="00264D5D">
              <w:rPr>
                <w:b/>
                <w:sz w:val="22"/>
                <w:szCs w:val="22"/>
              </w:rPr>
              <w:t>Расшифровка заявки на получение денег</w:t>
            </w:r>
          </w:p>
        </w:tc>
      </w:tr>
      <w:tr w:rsidR="00AD1F54" w:rsidRPr="00264D5D" w14:paraId="70C4A8AB"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BE5414B" w14:textId="77777777" w:rsidR="00AD1F54" w:rsidRPr="00264D5D" w:rsidRDefault="00941227">
            <w:pPr>
              <w:pStyle w:val="GOSTTablenorm"/>
              <w:rPr>
                <w:i/>
                <w:szCs w:val="22"/>
              </w:rPr>
            </w:pPr>
            <w:r w:rsidRPr="00264D5D">
              <w:rPr>
                <w:szCs w:val="22"/>
              </w:rPr>
              <w:t>Расшифровка заявки на получение денег</w:t>
            </w:r>
          </w:p>
        </w:tc>
        <w:tc>
          <w:tcPr>
            <w:tcW w:w="1701" w:type="dxa"/>
          </w:tcPr>
          <w:p w14:paraId="2506D7AE" w14:textId="77777777" w:rsidR="00AD1F54" w:rsidRPr="00264D5D" w:rsidRDefault="00941227">
            <w:pPr>
              <w:pStyle w:val="GOSTTablenorm"/>
              <w:rPr>
                <w:szCs w:val="22"/>
              </w:rPr>
            </w:pPr>
            <w:r w:rsidRPr="00264D5D">
              <w:rPr>
                <w:szCs w:val="22"/>
              </w:rPr>
              <w:t>ZNKBK</w:t>
            </w:r>
          </w:p>
        </w:tc>
        <w:tc>
          <w:tcPr>
            <w:tcW w:w="567" w:type="dxa"/>
          </w:tcPr>
          <w:p w14:paraId="128CE463" w14:textId="77777777" w:rsidR="00AD1F54" w:rsidRPr="00264D5D" w:rsidRDefault="00941227">
            <w:pPr>
              <w:pStyle w:val="GOSTTablenorm"/>
              <w:jc w:val="center"/>
              <w:rPr>
                <w:szCs w:val="22"/>
              </w:rPr>
            </w:pPr>
            <w:r w:rsidRPr="00264D5D">
              <w:rPr>
                <w:szCs w:val="22"/>
              </w:rPr>
              <w:t>С</w:t>
            </w:r>
          </w:p>
        </w:tc>
        <w:tc>
          <w:tcPr>
            <w:tcW w:w="1134" w:type="dxa"/>
          </w:tcPr>
          <w:p w14:paraId="422269F4" w14:textId="77777777" w:rsidR="00AD1F54" w:rsidRPr="00264D5D" w:rsidRDefault="00941227">
            <w:pPr>
              <w:pStyle w:val="GOSTTablenorm"/>
              <w:rPr>
                <w:szCs w:val="22"/>
                <w:lang w:val="en-US"/>
              </w:rPr>
            </w:pPr>
            <w:r w:rsidRPr="00264D5D">
              <w:rPr>
                <w:szCs w:val="22"/>
                <w:lang w:val="en-US"/>
              </w:rPr>
              <w:t>tZNKBK</w:t>
            </w:r>
          </w:p>
        </w:tc>
        <w:tc>
          <w:tcPr>
            <w:tcW w:w="567" w:type="dxa"/>
          </w:tcPr>
          <w:p w14:paraId="3D479420" w14:textId="77777777" w:rsidR="00AD1F54" w:rsidRPr="00264D5D" w:rsidRDefault="00941227">
            <w:pPr>
              <w:pStyle w:val="GOSTTablenorm"/>
              <w:jc w:val="center"/>
              <w:rPr>
                <w:szCs w:val="22"/>
              </w:rPr>
            </w:pPr>
            <w:r w:rsidRPr="00264D5D">
              <w:rPr>
                <w:szCs w:val="22"/>
              </w:rPr>
              <w:t>О</w:t>
            </w:r>
          </w:p>
        </w:tc>
        <w:tc>
          <w:tcPr>
            <w:tcW w:w="3963" w:type="dxa"/>
          </w:tcPr>
          <w:p w14:paraId="7E0A6B55" w14:textId="72B7C4BD" w:rsidR="00AD1F54" w:rsidRPr="00264D5D" w:rsidRDefault="00941227">
            <w:pPr>
              <w:spacing w:before="60" w:after="60"/>
              <w:rPr>
                <w:sz w:val="22"/>
                <w:szCs w:val="22"/>
              </w:rPr>
            </w:pPr>
            <w:r w:rsidRPr="00264D5D">
              <w:rPr>
                <w:sz w:val="22"/>
                <w:szCs w:val="22"/>
              </w:rPr>
              <w:t xml:space="preserve">Состав элемента представлен в таблице </w:t>
            </w:r>
            <w:r w:rsidRPr="00264D5D">
              <w:rPr>
                <w:b/>
                <w:sz w:val="22"/>
                <w:szCs w:val="22"/>
              </w:rPr>
              <w:fldChar w:fldCharType="begin"/>
            </w:r>
            <w:r w:rsidRPr="00264D5D">
              <w:rPr>
                <w:b/>
                <w:sz w:val="22"/>
                <w:szCs w:val="22"/>
              </w:rPr>
              <w:instrText xml:space="preserve"> REF _Ref524690629 \h  \* MERGEFORMAT </w:instrText>
            </w:r>
            <w:r w:rsidRPr="00264D5D">
              <w:rPr>
                <w:b/>
                <w:sz w:val="22"/>
                <w:szCs w:val="22"/>
              </w:rPr>
            </w:r>
            <w:r w:rsidRPr="00264D5D">
              <w:rPr>
                <w:b/>
                <w:sz w:val="22"/>
                <w:szCs w:val="22"/>
              </w:rPr>
              <w:fldChar w:fldCharType="separate"/>
            </w:r>
            <w:r w:rsidR="008D797C" w:rsidRPr="008D797C">
              <w:rPr>
                <w:b/>
                <w:sz w:val="22"/>
                <w:szCs w:val="22"/>
              </w:rPr>
              <w:t>257</w:t>
            </w:r>
            <w:r w:rsidRPr="00264D5D">
              <w:rPr>
                <w:b/>
                <w:sz w:val="22"/>
                <w:szCs w:val="22"/>
              </w:rPr>
              <w:fldChar w:fldCharType="end"/>
            </w:r>
          </w:p>
        </w:tc>
      </w:tr>
      <w:tr w:rsidR="00AD1F54" w:rsidRPr="00264D5D" w14:paraId="4251F7F0" w14:textId="77777777" w:rsidTr="00AD1F54">
        <w:trPr>
          <w:cnfStyle w:val="000000100000" w:firstRow="0" w:lastRow="0" w:firstColumn="0" w:lastColumn="0" w:oddVBand="0" w:evenVBand="0" w:oddHBand="1" w:evenHBand="0" w:firstRowFirstColumn="0" w:firstRowLastColumn="0" w:lastRowFirstColumn="0" w:lastRowLastColumn="0"/>
        </w:trPr>
        <w:tc>
          <w:tcPr>
            <w:tcW w:w="9634" w:type="dxa"/>
            <w:gridSpan w:val="6"/>
          </w:tcPr>
          <w:p w14:paraId="43878DA6" w14:textId="77777777" w:rsidR="00AD1F54" w:rsidRPr="00264D5D" w:rsidRDefault="00941227">
            <w:pPr>
              <w:spacing w:before="60" w:after="60"/>
              <w:rPr>
                <w:sz w:val="22"/>
                <w:szCs w:val="22"/>
              </w:rPr>
            </w:pPr>
            <w:r w:rsidRPr="00264D5D">
              <w:rPr>
                <w:b/>
                <w:sz w:val="22"/>
                <w:szCs w:val="22"/>
              </w:rPr>
              <w:t>Системная информация документа</w:t>
            </w:r>
          </w:p>
        </w:tc>
      </w:tr>
      <w:tr w:rsidR="00AD1F54" w:rsidRPr="00264D5D" w14:paraId="581CC585"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5DA19BD6" w14:textId="77777777" w:rsidR="00AD1F54" w:rsidRPr="00264D5D" w:rsidRDefault="00941227">
            <w:pPr>
              <w:pStyle w:val="GOSTTablenorm"/>
              <w:rPr>
                <w:i/>
                <w:szCs w:val="22"/>
              </w:rPr>
            </w:pPr>
            <w:r w:rsidRPr="00264D5D">
              <w:rPr>
                <w:szCs w:val="22"/>
              </w:rPr>
              <w:t>Системная информация документа</w:t>
            </w:r>
          </w:p>
        </w:tc>
        <w:tc>
          <w:tcPr>
            <w:tcW w:w="1701" w:type="dxa"/>
          </w:tcPr>
          <w:p w14:paraId="1BE43EEE" w14:textId="77777777" w:rsidR="00AD1F54" w:rsidRPr="00264D5D" w:rsidRDefault="00941227">
            <w:pPr>
              <w:pStyle w:val="GOSTTablenorm"/>
              <w:rPr>
                <w:szCs w:val="22"/>
              </w:rPr>
            </w:pPr>
            <w:r w:rsidRPr="00264D5D">
              <w:rPr>
                <w:szCs w:val="22"/>
              </w:rPr>
              <w:t>ZN_MSC_Infrmtn</w:t>
            </w:r>
          </w:p>
        </w:tc>
        <w:tc>
          <w:tcPr>
            <w:tcW w:w="567" w:type="dxa"/>
          </w:tcPr>
          <w:p w14:paraId="1E4EF04D" w14:textId="77777777" w:rsidR="00AD1F54" w:rsidRPr="00264D5D" w:rsidRDefault="00941227">
            <w:pPr>
              <w:pStyle w:val="GOSTTablenorm"/>
              <w:jc w:val="center"/>
              <w:rPr>
                <w:szCs w:val="22"/>
              </w:rPr>
            </w:pPr>
            <w:r w:rsidRPr="00264D5D">
              <w:rPr>
                <w:szCs w:val="22"/>
              </w:rPr>
              <w:t>С</w:t>
            </w:r>
          </w:p>
        </w:tc>
        <w:tc>
          <w:tcPr>
            <w:tcW w:w="1134" w:type="dxa"/>
          </w:tcPr>
          <w:p w14:paraId="55658A85" w14:textId="77777777" w:rsidR="00AD1F54" w:rsidRPr="00264D5D" w:rsidRDefault="00941227">
            <w:pPr>
              <w:pStyle w:val="GOSTTablenorm"/>
              <w:rPr>
                <w:szCs w:val="22"/>
              </w:rPr>
            </w:pPr>
            <w:r w:rsidRPr="00264D5D">
              <w:rPr>
                <w:szCs w:val="22"/>
                <w:lang w:val="en-US"/>
              </w:rPr>
              <w:t>tMSC_Infrmtn</w:t>
            </w:r>
          </w:p>
        </w:tc>
        <w:tc>
          <w:tcPr>
            <w:tcW w:w="567" w:type="dxa"/>
          </w:tcPr>
          <w:p w14:paraId="337FF446" w14:textId="77777777" w:rsidR="00AD1F54" w:rsidRPr="00264D5D" w:rsidRDefault="00941227">
            <w:pPr>
              <w:pStyle w:val="GOSTTablenorm"/>
              <w:jc w:val="center"/>
              <w:rPr>
                <w:szCs w:val="22"/>
              </w:rPr>
            </w:pPr>
            <w:r w:rsidRPr="00264D5D">
              <w:rPr>
                <w:szCs w:val="22"/>
              </w:rPr>
              <w:t>О</w:t>
            </w:r>
          </w:p>
        </w:tc>
        <w:tc>
          <w:tcPr>
            <w:tcW w:w="3963" w:type="dxa"/>
          </w:tcPr>
          <w:p w14:paraId="4ECAE0BE" w14:textId="765A8329" w:rsidR="00AD1F54" w:rsidRPr="00264D5D" w:rsidRDefault="00941227">
            <w:pPr>
              <w:spacing w:before="60" w:after="60"/>
              <w:rPr>
                <w:sz w:val="22"/>
                <w:szCs w:val="22"/>
              </w:rPr>
            </w:pPr>
            <w:r w:rsidRPr="00264D5D">
              <w:rPr>
                <w:sz w:val="22"/>
                <w:szCs w:val="22"/>
              </w:rPr>
              <w:t xml:space="preserve">Состав элемента представлен в таблице </w:t>
            </w:r>
            <w:r w:rsidRPr="00264D5D">
              <w:rPr>
                <w:b/>
                <w:sz w:val="22"/>
                <w:szCs w:val="22"/>
              </w:rPr>
              <w:fldChar w:fldCharType="begin"/>
            </w:r>
            <w:r w:rsidRPr="00264D5D">
              <w:rPr>
                <w:b/>
                <w:sz w:val="22"/>
                <w:szCs w:val="22"/>
              </w:rPr>
              <w:instrText xml:space="preserve"> REF _Ref529351121 \h  \* MERGEFORMAT </w:instrText>
            </w:r>
            <w:r w:rsidRPr="00264D5D">
              <w:rPr>
                <w:b/>
                <w:sz w:val="22"/>
                <w:szCs w:val="22"/>
              </w:rPr>
            </w:r>
            <w:r w:rsidRPr="00264D5D">
              <w:rPr>
                <w:b/>
                <w:sz w:val="22"/>
                <w:szCs w:val="22"/>
              </w:rPr>
              <w:fldChar w:fldCharType="separate"/>
            </w:r>
            <w:r w:rsidR="008D797C" w:rsidRPr="008D797C">
              <w:rPr>
                <w:rFonts w:eastAsia="Calibri"/>
                <w:b/>
                <w:sz w:val="22"/>
                <w:szCs w:val="22"/>
              </w:rPr>
              <w:t>135</w:t>
            </w:r>
            <w:r w:rsidRPr="00264D5D">
              <w:rPr>
                <w:b/>
                <w:sz w:val="22"/>
                <w:szCs w:val="22"/>
              </w:rPr>
              <w:fldChar w:fldCharType="end"/>
            </w:r>
          </w:p>
        </w:tc>
      </w:tr>
      <w:tr w:rsidR="00AD1F54" w:rsidRPr="00264D5D" w14:paraId="3ACA242B" w14:textId="77777777" w:rsidTr="00AD1F54">
        <w:trPr>
          <w:cnfStyle w:val="000000100000" w:firstRow="0" w:lastRow="0" w:firstColumn="0" w:lastColumn="0" w:oddVBand="0" w:evenVBand="0" w:oddHBand="1" w:evenHBand="0" w:firstRowFirstColumn="0" w:firstRowLastColumn="0" w:lastRowFirstColumn="0" w:lastRowLastColumn="0"/>
        </w:trPr>
        <w:tc>
          <w:tcPr>
            <w:tcW w:w="9634" w:type="dxa"/>
            <w:gridSpan w:val="6"/>
          </w:tcPr>
          <w:p w14:paraId="62D259C1" w14:textId="77777777" w:rsidR="00AD1F54" w:rsidRPr="00264D5D" w:rsidRDefault="00941227">
            <w:pPr>
              <w:spacing w:before="60" w:after="60"/>
              <w:rPr>
                <w:sz w:val="22"/>
                <w:szCs w:val="22"/>
              </w:rPr>
            </w:pPr>
            <w:r w:rsidRPr="00264D5D">
              <w:rPr>
                <w:b/>
                <w:sz w:val="22"/>
                <w:szCs w:val="22"/>
              </w:rPr>
              <w:t>ЭП</w:t>
            </w:r>
          </w:p>
        </w:tc>
      </w:tr>
      <w:tr w:rsidR="00AD1F54" w:rsidRPr="00264D5D" w14:paraId="50E59C4B"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7DA6467" w14:textId="77777777" w:rsidR="00AD1F54" w:rsidRPr="00264D5D" w:rsidRDefault="00941227">
            <w:pPr>
              <w:pStyle w:val="GOSTTablenorm"/>
              <w:rPr>
                <w:i/>
                <w:szCs w:val="22"/>
              </w:rPr>
            </w:pPr>
            <w:r w:rsidRPr="00264D5D">
              <w:rPr>
                <w:szCs w:val="22"/>
              </w:rPr>
              <w:t>Электронная подпись</w:t>
            </w:r>
          </w:p>
        </w:tc>
        <w:tc>
          <w:tcPr>
            <w:tcW w:w="1701" w:type="dxa"/>
          </w:tcPr>
          <w:p w14:paraId="104ABB02" w14:textId="77777777" w:rsidR="00AD1F54" w:rsidRPr="00264D5D" w:rsidRDefault="00941227">
            <w:pPr>
              <w:pStyle w:val="GOSTTablenorm"/>
              <w:rPr>
                <w:szCs w:val="22"/>
              </w:rPr>
            </w:pPr>
            <w:r w:rsidRPr="00264D5D">
              <w:rPr>
                <w:szCs w:val="22"/>
              </w:rPr>
              <w:t>Signature</w:t>
            </w:r>
          </w:p>
        </w:tc>
        <w:tc>
          <w:tcPr>
            <w:tcW w:w="567" w:type="dxa"/>
          </w:tcPr>
          <w:p w14:paraId="1DF4EB4F" w14:textId="77777777" w:rsidR="00AD1F54" w:rsidRPr="00264D5D" w:rsidRDefault="00941227">
            <w:pPr>
              <w:pStyle w:val="GOSTTablenorm"/>
              <w:jc w:val="center"/>
              <w:rPr>
                <w:szCs w:val="22"/>
              </w:rPr>
            </w:pPr>
            <w:r w:rsidRPr="00264D5D">
              <w:rPr>
                <w:szCs w:val="22"/>
              </w:rPr>
              <w:t>С</w:t>
            </w:r>
          </w:p>
        </w:tc>
        <w:tc>
          <w:tcPr>
            <w:tcW w:w="1134" w:type="dxa"/>
          </w:tcPr>
          <w:p w14:paraId="57F3F649" w14:textId="77777777" w:rsidR="00AD1F54" w:rsidRPr="00264D5D" w:rsidRDefault="00941227">
            <w:pPr>
              <w:pStyle w:val="GOSTTablenorm"/>
              <w:rPr>
                <w:szCs w:val="22"/>
                <w:lang w:val="en-US"/>
              </w:rPr>
            </w:pPr>
            <w:r w:rsidRPr="00264D5D">
              <w:rPr>
                <w:rFonts w:eastAsia="Calibri"/>
                <w:szCs w:val="22"/>
              </w:rPr>
              <w:t>SignatureType</w:t>
            </w:r>
          </w:p>
        </w:tc>
        <w:tc>
          <w:tcPr>
            <w:tcW w:w="567" w:type="dxa"/>
          </w:tcPr>
          <w:p w14:paraId="453C3E63" w14:textId="77777777" w:rsidR="00AD1F54" w:rsidRPr="00264D5D" w:rsidRDefault="00941227">
            <w:pPr>
              <w:pStyle w:val="GOSTTablenorm"/>
              <w:jc w:val="center"/>
              <w:rPr>
                <w:szCs w:val="22"/>
              </w:rPr>
            </w:pPr>
            <w:r w:rsidRPr="00264D5D">
              <w:rPr>
                <w:szCs w:val="22"/>
              </w:rPr>
              <w:t>НМ</w:t>
            </w:r>
          </w:p>
        </w:tc>
        <w:tc>
          <w:tcPr>
            <w:tcW w:w="3963" w:type="dxa"/>
          </w:tcPr>
          <w:p w14:paraId="33323D13" w14:textId="77777777" w:rsidR="00AD1F54" w:rsidRPr="00264D5D" w:rsidRDefault="00941227">
            <w:pPr>
              <w:spacing w:before="60" w:after="60"/>
              <w:rPr>
                <w:sz w:val="22"/>
                <w:szCs w:val="22"/>
              </w:rPr>
            </w:pPr>
            <w:r w:rsidRPr="00264D5D">
              <w:rPr>
                <w:sz w:val="22"/>
                <w:szCs w:val="22"/>
              </w:rPr>
              <w:t>Блок подписи в формате XAdes. Указывается как референс согласно формату подписи XAdes.</w:t>
            </w:r>
          </w:p>
          <w:p w14:paraId="295DC4F7" w14:textId="77777777" w:rsidR="00AD1F54" w:rsidRPr="00264D5D" w:rsidRDefault="00941227">
            <w:pPr>
              <w:spacing w:before="60" w:after="60"/>
              <w:rPr>
                <w:sz w:val="22"/>
                <w:szCs w:val="22"/>
              </w:rPr>
            </w:pPr>
            <w:r w:rsidRPr="00264D5D">
              <w:rPr>
                <w:sz w:val="22"/>
                <w:szCs w:val="22"/>
              </w:rPr>
              <w:t>Заполняется согласно п.3.5.3 Тома 1 настоящего альбома.</w:t>
            </w:r>
          </w:p>
          <w:p w14:paraId="0D5A0104" w14:textId="77777777" w:rsidR="00AD1F54" w:rsidRPr="00264D5D" w:rsidRDefault="00941227">
            <w:pPr>
              <w:spacing w:before="60" w:after="60"/>
              <w:rPr>
                <w:sz w:val="22"/>
                <w:szCs w:val="22"/>
              </w:rPr>
            </w:pPr>
            <w:r w:rsidRPr="00264D5D">
              <w:rPr>
                <w:sz w:val="22"/>
                <w:szCs w:val="22"/>
              </w:rPr>
              <w:t>Обязателен для заполнения при сервисном взаимодействии ПФХД</w:t>
            </w:r>
            <w:r w:rsidR="00B06B9A" w:rsidRPr="00264D5D">
              <w:rPr>
                <w:sz w:val="22"/>
                <w:szCs w:val="22"/>
              </w:rPr>
              <w:t xml:space="preserve"> и </w:t>
            </w:r>
            <w:r w:rsidR="00B06B9A" w:rsidRPr="00264D5D">
              <w:rPr>
                <w:sz w:val="22"/>
                <w:szCs w:val="22"/>
              </w:rPr>
              <w:lastRenderedPageBreak/>
              <w:t>ПУР ЭБ</w:t>
            </w:r>
          </w:p>
        </w:tc>
      </w:tr>
    </w:tbl>
    <w:p w14:paraId="13A9B8AC" w14:textId="77777777" w:rsidR="00AD1F54" w:rsidRPr="00264D5D" w:rsidRDefault="00941227">
      <w:pPr>
        <w:pStyle w:val="31"/>
      </w:pPr>
      <w:bookmarkStart w:id="2944" w:name="_Toc18509295"/>
      <w:bookmarkStart w:id="2945" w:name="_Toc219309725"/>
      <w:r w:rsidRPr="00264D5D">
        <w:lastRenderedPageBreak/>
        <w:t>Описание комплексного типа «tMSC_Cstmr1»</w:t>
      </w:r>
      <w:bookmarkEnd w:id="2944"/>
      <w:bookmarkEnd w:id="2945"/>
    </w:p>
    <w:p w14:paraId="711E66A3" w14:textId="77777777" w:rsidR="00AD1F54" w:rsidRPr="00264D5D" w:rsidRDefault="00941227">
      <w:pPr>
        <w:pStyle w:val="GOSTNormal"/>
      </w:pPr>
      <w:r w:rsidRPr="00264D5D">
        <w:t xml:space="preserve">Описание комплексного типа </w:t>
      </w:r>
      <w:r w:rsidRPr="00264D5D">
        <w:rPr>
          <w:rFonts w:eastAsia="Calibri"/>
        </w:rPr>
        <w:t>«</w:t>
      </w:r>
      <w:r w:rsidRPr="00264D5D">
        <w:rPr>
          <w:lang w:val="en-US"/>
        </w:rPr>
        <w:t>tMSC</w:t>
      </w:r>
      <w:r w:rsidRPr="00264D5D">
        <w:t>_</w:t>
      </w:r>
      <w:r w:rsidRPr="00264D5D">
        <w:rPr>
          <w:lang w:val="en-US"/>
        </w:rPr>
        <w:t>Cstmr</w:t>
      </w:r>
      <w:r w:rsidRPr="00264D5D">
        <w:t>1» блока «Клиент».</w:t>
      </w:r>
    </w:p>
    <w:p w14:paraId="36547859" w14:textId="01D4AF8B"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2946" w:name="_Ref524690561"/>
      <w:bookmarkStart w:id="2947" w:name="_Toc18509578"/>
      <w:bookmarkStart w:id="2948" w:name="_Toc219309283"/>
      <w:r w:rsidR="008D797C">
        <w:rPr>
          <w:noProof/>
        </w:rPr>
        <w:t>253</w:t>
      </w:r>
      <w:bookmarkEnd w:id="2946"/>
      <w:r w:rsidRPr="00264D5D">
        <w:fldChar w:fldCharType="end"/>
      </w:r>
      <w:r w:rsidRPr="00264D5D">
        <w:t xml:space="preserve"> – Описание комплексного типа «tMSC_Cstmr1»</w:t>
      </w:r>
      <w:bookmarkEnd w:id="2947"/>
      <w:bookmarkEnd w:id="2948"/>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2A1B20A6"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6199AEFE" w14:textId="77777777" w:rsidR="00AD1F54" w:rsidRPr="00264D5D" w:rsidRDefault="00941227">
            <w:pPr>
              <w:pStyle w:val="ASFKTableHead"/>
            </w:pPr>
            <w:r w:rsidRPr="00264D5D">
              <w:t>Наименование элемента</w:t>
            </w:r>
          </w:p>
        </w:tc>
        <w:tc>
          <w:tcPr>
            <w:tcW w:w="1701" w:type="dxa"/>
          </w:tcPr>
          <w:p w14:paraId="5FDB3D1C" w14:textId="77777777" w:rsidR="00AD1F54" w:rsidRPr="00264D5D" w:rsidRDefault="00941227">
            <w:pPr>
              <w:pStyle w:val="ASFKTableHead"/>
            </w:pPr>
            <w:r w:rsidRPr="00264D5D">
              <w:t>Сокращенное наименование (код) элемента</w:t>
            </w:r>
          </w:p>
        </w:tc>
        <w:tc>
          <w:tcPr>
            <w:tcW w:w="567" w:type="dxa"/>
          </w:tcPr>
          <w:p w14:paraId="78C43828" w14:textId="77777777" w:rsidR="00AD1F54" w:rsidRPr="00264D5D" w:rsidRDefault="00941227">
            <w:pPr>
              <w:pStyle w:val="ASFKTableHead"/>
            </w:pPr>
            <w:r w:rsidRPr="00264D5D">
              <w:t>Тип</w:t>
            </w:r>
          </w:p>
        </w:tc>
        <w:tc>
          <w:tcPr>
            <w:tcW w:w="1134" w:type="dxa"/>
          </w:tcPr>
          <w:p w14:paraId="1AAB4055" w14:textId="77777777" w:rsidR="00AD1F54" w:rsidRPr="00264D5D" w:rsidRDefault="00941227">
            <w:pPr>
              <w:pStyle w:val="ASFKTableHead"/>
            </w:pPr>
            <w:r w:rsidRPr="00264D5D">
              <w:t>Формат элемента</w:t>
            </w:r>
          </w:p>
        </w:tc>
        <w:tc>
          <w:tcPr>
            <w:tcW w:w="567" w:type="dxa"/>
          </w:tcPr>
          <w:p w14:paraId="36CFC2A3" w14:textId="77777777" w:rsidR="00AD1F54" w:rsidRPr="00264D5D" w:rsidRDefault="00941227">
            <w:pPr>
              <w:pStyle w:val="ASFKTableHead"/>
            </w:pPr>
            <w:r w:rsidRPr="00264D5D">
              <w:t>Обязательность</w:t>
            </w:r>
          </w:p>
        </w:tc>
        <w:tc>
          <w:tcPr>
            <w:tcW w:w="3963" w:type="dxa"/>
          </w:tcPr>
          <w:p w14:paraId="5B6AC52C" w14:textId="77777777" w:rsidR="00AD1F54" w:rsidRPr="00264D5D" w:rsidRDefault="00941227">
            <w:pPr>
              <w:pStyle w:val="ASFKTableHead"/>
            </w:pPr>
            <w:r w:rsidRPr="00264D5D">
              <w:t>Дополнительная информация</w:t>
            </w:r>
          </w:p>
        </w:tc>
      </w:tr>
      <w:tr w:rsidR="00AD1F54" w:rsidRPr="00264D5D" w14:paraId="4FF730E9"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DC036DA" w14:textId="77777777" w:rsidR="00AD1F54" w:rsidRPr="00264D5D" w:rsidRDefault="00941227">
            <w:pPr>
              <w:spacing w:before="60" w:after="60"/>
              <w:rPr>
                <w:sz w:val="22"/>
                <w:szCs w:val="22"/>
              </w:rPr>
            </w:pPr>
            <w:r w:rsidRPr="00264D5D">
              <w:rPr>
                <w:sz w:val="22"/>
                <w:szCs w:val="22"/>
              </w:rPr>
              <w:t>Код по Сводному реестру</w:t>
            </w:r>
          </w:p>
        </w:tc>
        <w:tc>
          <w:tcPr>
            <w:tcW w:w="1701" w:type="dxa"/>
          </w:tcPr>
          <w:p w14:paraId="02052C08" w14:textId="77777777" w:rsidR="00AD1F54" w:rsidRPr="00264D5D" w:rsidRDefault="00941227">
            <w:pPr>
              <w:spacing w:before="60" w:after="60"/>
              <w:rPr>
                <w:sz w:val="22"/>
                <w:szCs w:val="22"/>
                <w:lang w:val="en-US"/>
              </w:rPr>
            </w:pPr>
            <w:r w:rsidRPr="00264D5D">
              <w:rPr>
                <w:sz w:val="22"/>
                <w:szCs w:val="22"/>
                <w:lang w:val="en-US"/>
              </w:rPr>
              <w:t>Cd</w:t>
            </w:r>
          </w:p>
        </w:tc>
        <w:tc>
          <w:tcPr>
            <w:tcW w:w="567" w:type="dxa"/>
          </w:tcPr>
          <w:p w14:paraId="1B76D280" w14:textId="77777777" w:rsidR="00AD1F54" w:rsidRPr="00264D5D" w:rsidRDefault="00941227">
            <w:pPr>
              <w:pStyle w:val="GOSTTablenorm"/>
              <w:jc w:val="center"/>
              <w:rPr>
                <w:szCs w:val="22"/>
              </w:rPr>
            </w:pPr>
            <w:r w:rsidRPr="00264D5D">
              <w:rPr>
                <w:szCs w:val="22"/>
              </w:rPr>
              <w:t>П</w:t>
            </w:r>
          </w:p>
        </w:tc>
        <w:tc>
          <w:tcPr>
            <w:tcW w:w="1134" w:type="dxa"/>
          </w:tcPr>
          <w:p w14:paraId="387636B2" w14:textId="77777777" w:rsidR="00AD1F54" w:rsidRPr="00264D5D" w:rsidRDefault="00941227">
            <w:pPr>
              <w:spacing w:before="60" w:after="60"/>
              <w:rPr>
                <w:sz w:val="22"/>
                <w:szCs w:val="22"/>
                <w:lang w:val="en-US"/>
              </w:rPr>
            </w:pPr>
            <w:r w:rsidRPr="00264D5D">
              <w:rPr>
                <w:sz w:val="22"/>
                <w:szCs w:val="22"/>
                <w:lang w:val="en-US"/>
              </w:rPr>
              <w:t>Т(</w:t>
            </w:r>
            <w:r w:rsidRPr="00264D5D">
              <w:rPr>
                <w:sz w:val="22"/>
                <w:szCs w:val="22"/>
              </w:rPr>
              <w:t>8</w:t>
            </w:r>
            <w:r w:rsidRPr="00264D5D">
              <w:rPr>
                <w:sz w:val="22"/>
                <w:szCs w:val="22"/>
                <w:lang w:val="en-US"/>
              </w:rPr>
              <w:t>)</w:t>
            </w:r>
          </w:p>
        </w:tc>
        <w:tc>
          <w:tcPr>
            <w:tcW w:w="567" w:type="dxa"/>
          </w:tcPr>
          <w:p w14:paraId="2A1D0C01" w14:textId="77777777" w:rsidR="00AD1F54" w:rsidRPr="00264D5D" w:rsidRDefault="00941227">
            <w:pPr>
              <w:spacing w:before="60" w:after="60"/>
              <w:jc w:val="center"/>
              <w:rPr>
                <w:sz w:val="22"/>
                <w:szCs w:val="22"/>
              </w:rPr>
            </w:pPr>
            <w:r w:rsidRPr="00264D5D">
              <w:rPr>
                <w:sz w:val="22"/>
                <w:szCs w:val="22"/>
              </w:rPr>
              <w:t>О</w:t>
            </w:r>
          </w:p>
        </w:tc>
        <w:tc>
          <w:tcPr>
            <w:tcW w:w="3963" w:type="dxa"/>
          </w:tcPr>
          <w:p w14:paraId="376244D3" w14:textId="77777777" w:rsidR="00AD1F54" w:rsidRPr="00264D5D" w:rsidRDefault="00B06B9A">
            <w:pPr>
              <w:spacing w:before="60" w:after="60"/>
              <w:rPr>
                <w:sz w:val="22"/>
                <w:szCs w:val="22"/>
              </w:rPr>
            </w:pPr>
            <w:r w:rsidRPr="00264D5D">
              <w:rPr>
                <w:sz w:val="22"/>
                <w:szCs w:val="22"/>
              </w:rPr>
              <w:t>Код клиента по Сводному реестру</w:t>
            </w:r>
          </w:p>
        </w:tc>
      </w:tr>
      <w:tr w:rsidR="00AD1F54" w:rsidRPr="00264D5D" w14:paraId="20B17E0A"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591C47D0" w14:textId="77777777" w:rsidR="00AD1F54" w:rsidRPr="00264D5D" w:rsidRDefault="00941227">
            <w:pPr>
              <w:spacing w:before="60" w:after="60"/>
              <w:rPr>
                <w:sz w:val="22"/>
                <w:szCs w:val="22"/>
              </w:rPr>
            </w:pPr>
            <w:r w:rsidRPr="00264D5D">
              <w:rPr>
                <w:sz w:val="22"/>
                <w:szCs w:val="22"/>
              </w:rPr>
              <w:t>Наименование клиента</w:t>
            </w:r>
          </w:p>
        </w:tc>
        <w:tc>
          <w:tcPr>
            <w:tcW w:w="1701" w:type="dxa"/>
          </w:tcPr>
          <w:p w14:paraId="2CFBE95B" w14:textId="77777777" w:rsidR="00AD1F54" w:rsidRPr="00264D5D" w:rsidRDefault="00941227">
            <w:pPr>
              <w:spacing w:before="60" w:after="60"/>
              <w:rPr>
                <w:sz w:val="22"/>
                <w:szCs w:val="22"/>
                <w:lang w:val="en-US"/>
              </w:rPr>
            </w:pPr>
            <w:r w:rsidRPr="00264D5D">
              <w:rPr>
                <w:sz w:val="22"/>
                <w:szCs w:val="22"/>
                <w:lang w:val="en-US"/>
              </w:rPr>
              <w:t>FullNm</w:t>
            </w:r>
          </w:p>
        </w:tc>
        <w:tc>
          <w:tcPr>
            <w:tcW w:w="567" w:type="dxa"/>
          </w:tcPr>
          <w:p w14:paraId="57340606" w14:textId="77777777" w:rsidR="00AD1F54" w:rsidRPr="00264D5D" w:rsidRDefault="00941227">
            <w:pPr>
              <w:pStyle w:val="GOSTTablenorm"/>
              <w:jc w:val="center"/>
              <w:rPr>
                <w:szCs w:val="22"/>
              </w:rPr>
            </w:pPr>
            <w:r w:rsidRPr="00264D5D">
              <w:rPr>
                <w:szCs w:val="22"/>
              </w:rPr>
              <w:t>П</w:t>
            </w:r>
          </w:p>
        </w:tc>
        <w:tc>
          <w:tcPr>
            <w:tcW w:w="1134" w:type="dxa"/>
          </w:tcPr>
          <w:p w14:paraId="01D7F657" w14:textId="77777777" w:rsidR="00AD1F54" w:rsidRPr="00264D5D" w:rsidRDefault="00941227">
            <w:pPr>
              <w:spacing w:before="60" w:after="60"/>
              <w:rPr>
                <w:sz w:val="22"/>
                <w:szCs w:val="22"/>
                <w:lang w:val="en-US"/>
              </w:rPr>
            </w:pPr>
            <w:r w:rsidRPr="00264D5D">
              <w:rPr>
                <w:sz w:val="22"/>
                <w:szCs w:val="22"/>
                <w:lang w:val="en-US"/>
              </w:rPr>
              <w:t>Т(1-</w:t>
            </w:r>
            <w:r w:rsidRPr="00264D5D">
              <w:rPr>
                <w:sz w:val="22"/>
                <w:szCs w:val="22"/>
              </w:rPr>
              <w:t>2000</w:t>
            </w:r>
            <w:r w:rsidRPr="00264D5D">
              <w:rPr>
                <w:sz w:val="22"/>
                <w:szCs w:val="22"/>
                <w:lang w:val="en-US"/>
              </w:rPr>
              <w:t>)</w:t>
            </w:r>
          </w:p>
        </w:tc>
        <w:tc>
          <w:tcPr>
            <w:tcW w:w="567" w:type="dxa"/>
          </w:tcPr>
          <w:p w14:paraId="55121922" w14:textId="77777777" w:rsidR="00AD1F54" w:rsidRPr="00264D5D" w:rsidRDefault="00941227">
            <w:pPr>
              <w:spacing w:before="60" w:after="60"/>
              <w:jc w:val="center"/>
              <w:rPr>
                <w:sz w:val="22"/>
                <w:szCs w:val="22"/>
              </w:rPr>
            </w:pPr>
            <w:r w:rsidRPr="00264D5D">
              <w:rPr>
                <w:sz w:val="22"/>
                <w:szCs w:val="22"/>
              </w:rPr>
              <w:t>О</w:t>
            </w:r>
          </w:p>
        </w:tc>
        <w:tc>
          <w:tcPr>
            <w:tcW w:w="3963" w:type="dxa"/>
          </w:tcPr>
          <w:p w14:paraId="325B09AB" w14:textId="77777777" w:rsidR="00AD1F54" w:rsidRPr="00264D5D" w:rsidRDefault="00941227">
            <w:pPr>
              <w:spacing w:before="60" w:after="60"/>
              <w:rPr>
                <w:sz w:val="22"/>
                <w:szCs w:val="22"/>
              </w:rPr>
            </w:pPr>
            <w:r w:rsidRPr="00264D5D">
              <w:rPr>
                <w:sz w:val="22"/>
                <w:szCs w:val="22"/>
              </w:rPr>
              <w:t>Полное или сокращенное наименование клиента.</w:t>
            </w:r>
          </w:p>
          <w:p w14:paraId="698EA735" w14:textId="77777777" w:rsidR="00AD1F54" w:rsidRPr="00264D5D" w:rsidRDefault="00941227">
            <w:pPr>
              <w:spacing w:before="60" w:after="60"/>
              <w:rPr>
                <w:sz w:val="22"/>
                <w:szCs w:val="22"/>
              </w:rPr>
            </w:pPr>
            <w:r w:rsidRPr="00264D5D">
              <w:rPr>
                <w:sz w:val="22"/>
                <w:szCs w:val="22"/>
              </w:rPr>
              <w:t>Заполняется в с</w:t>
            </w:r>
            <w:r w:rsidR="00B06B9A" w:rsidRPr="00264D5D">
              <w:rPr>
                <w:sz w:val="22"/>
                <w:szCs w:val="22"/>
              </w:rPr>
              <w:t>оответствии со Сводным реестром</w:t>
            </w:r>
          </w:p>
        </w:tc>
      </w:tr>
      <w:tr w:rsidR="00AD1F54" w:rsidRPr="00264D5D" w14:paraId="32B4491E"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543CFAAE" w14:textId="77777777" w:rsidR="00AD1F54" w:rsidRPr="00264D5D" w:rsidRDefault="00941227">
            <w:pPr>
              <w:pStyle w:val="GOSTTablenorm"/>
              <w:rPr>
                <w:color w:val="000000"/>
                <w:szCs w:val="22"/>
              </w:rPr>
            </w:pPr>
            <w:r w:rsidRPr="00264D5D">
              <w:rPr>
                <w:szCs w:val="22"/>
              </w:rPr>
              <w:t>Номер лицевого счета клиента</w:t>
            </w:r>
          </w:p>
        </w:tc>
        <w:tc>
          <w:tcPr>
            <w:tcW w:w="1701" w:type="dxa"/>
          </w:tcPr>
          <w:p w14:paraId="4269D621" w14:textId="77777777" w:rsidR="00AD1F54" w:rsidRPr="00264D5D" w:rsidRDefault="00941227">
            <w:pPr>
              <w:spacing w:before="60" w:after="60"/>
              <w:rPr>
                <w:sz w:val="22"/>
                <w:szCs w:val="22"/>
                <w:lang w:val="en-US"/>
              </w:rPr>
            </w:pPr>
            <w:r w:rsidRPr="00264D5D">
              <w:rPr>
                <w:sz w:val="22"/>
                <w:szCs w:val="22"/>
                <w:lang w:val="en-US"/>
              </w:rPr>
              <w:t>AcntNmbr</w:t>
            </w:r>
          </w:p>
        </w:tc>
        <w:tc>
          <w:tcPr>
            <w:tcW w:w="567" w:type="dxa"/>
          </w:tcPr>
          <w:p w14:paraId="71487F8F" w14:textId="77777777" w:rsidR="00AD1F54" w:rsidRPr="00264D5D" w:rsidRDefault="00941227">
            <w:pPr>
              <w:pStyle w:val="GOSTTablenorm"/>
              <w:jc w:val="center"/>
              <w:rPr>
                <w:szCs w:val="22"/>
              </w:rPr>
            </w:pPr>
            <w:r w:rsidRPr="00264D5D">
              <w:rPr>
                <w:szCs w:val="22"/>
              </w:rPr>
              <w:t>П</w:t>
            </w:r>
          </w:p>
        </w:tc>
        <w:tc>
          <w:tcPr>
            <w:tcW w:w="1134" w:type="dxa"/>
          </w:tcPr>
          <w:p w14:paraId="05528D69" w14:textId="77777777" w:rsidR="00AD1F54" w:rsidRPr="00264D5D" w:rsidRDefault="00941227">
            <w:pPr>
              <w:spacing w:before="60" w:after="60"/>
              <w:rPr>
                <w:sz w:val="22"/>
                <w:szCs w:val="22"/>
                <w:lang w:val="en-US"/>
              </w:rPr>
            </w:pPr>
            <w:r w:rsidRPr="00264D5D">
              <w:rPr>
                <w:sz w:val="22"/>
                <w:szCs w:val="22"/>
                <w:lang w:val="en-US"/>
              </w:rPr>
              <w:t>Т(</w:t>
            </w:r>
            <w:r w:rsidRPr="00264D5D">
              <w:rPr>
                <w:sz w:val="22"/>
                <w:szCs w:val="22"/>
              </w:rPr>
              <w:t>11</w:t>
            </w:r>
            <w:r w:rsidRPr="00264D5D">
              <w:rPr>
                <w:sz w:val="22"/>
                <w:szCs w:val="22"/>
                <w:lang w:val="en-US"/>
              </w:rPr>
              <w:t>)</w:t>
            </w:r>
          </w:p>
        </w:tc>
        <w:tc>
          <w:tcPr>
            <w:tcW w:w="567" w:type="dxa"/>
          </w:tcPr>
          <w:p w14:paraId="4B079D61" w14:textId="77777777" w:rsidR="00AD1F54" w:rsidRPr="00264D5D" w:rsidRDefault="00941227">
            <w:pPr>
              <w:spacing w:before="60" w:after="60"/>
              <w:jc w:val="center"/>
              <w:rPr>
                <w:sz w:val="22"/>
                <w:szCs w:val="22"/>
              </w:rPr>
            </w:pPr>
            <w:r w:rsidRPr="00264D5D">
              <w:rPr>
                <w:sz w:val="22"/>
                <w:szCs w:val="22"/>
              </w:rPr>
              <w:t>О</w:t>
            </w:r>
          </w:p>
        </w:tc>
        <w:tc>
          <w:tcPr>
            <w:tcW w:w="3963" w:type="dxa"/>
          </w:tcPr>
          <w:p w14:paraId="7E2D80D4" w14:textId="77777777" w:rsidR="00AD1F54" w:rsidRPr="00264D5D" w:rsidRDefault="00B06B9A">
            <w:pPr>
              <w:spacing w:before="60" w:after="60"/>
              <w:rPr>
                <w:sz w:val="22"/>
                <w:szCs w:val="22"/>
              </w:rPr>
            </w:pPr>
            <w:r w:rsidRPr="00264D5D">
              <w:rPr>
                <w:sz w:val="22"/>
                <w:szCs w:val="22"/>
              </w:rPr>
              <w:t>Номер лицевого счета клиента</w:t>
            </w:r>
          </w:p>
        </w:tc>
      </w:tr>
      <w:tr w:rsidR="00AD1F54" w:rsidRPr="00264D5D" w14:paraId="725CE306"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4965C05E" w14:textId="77777777" w:rsidR="00AD1F54" w:rsidRPr="00264D5D" w:rsidRDefault="00941227">
            <w:pPr>
              <w:spacing w:before="60" w:after="60"/>
              <w:rPr>
                <w:sz w:val="22"/>
                <w:szCs w:val="22"/>
              </w:rPr>
            </w:pPr>
            <w:r w:rsidRPr="00264D5D">
              <w:rPr>
                <w:sz w:val="22"/>
                <w:szCs w:val="22"/>
              </w:rPr>
              <w:t>ИНН</w:t>
            </w:r>
          </w:p>
        </w:tc>
        <w:tc>
          <w:tcPr>
            <w:tcW w:w="1701" w:type="dxa"/>
          </w:tcPr>
          <w:p w14:paraId="5F91A007" w14:textId="77777777" w:rsidR="00AD1F54" w:rsidRPr="00264D5D" w:rsidRDefault="00941227">
            <w:pPr>
              <w:spacing w:before="60" w:after="60"/>
              <w:rPr>
                <w:sz w:val="22"/>
                <w:szCs w:val="22"/>
                <w:lang w:val="en-US"/>
              </w:rPr>
            </w:pPr>
            <w:r w:rsidRPr="00264D5D">
              <w:rPr>
                <w:sz w:val="22"/>
                <w:szCs w:val="22"/>
                <w:lang w:val="en-US"/>
              </w:rPr>
              <w:t>INN</w:t>
            </w:r>
          </w:p>
        </w:tc>
        <w:tc>
          <w:tcPr>
            <w:tcW w:w="567" w:type="dxa"/>
          </w:tcPr>
          <w:p w14:paraId="70B50A20" w14:textId="77777777" w:rsidR="00AD1F54" w:rsidRPr="00264D5D" w:rsidRDefault="00941227">
            <w:pPr>
              <w:pStyle w:val="GOSTTablenorm"/>
              <w:jc w:val="center"/>
              <w:rPr>
                <w:szCs w:val="22"/>
              </w:rPr>
            </w:pPr>
            <w:r w:rsidRPr="00264D5D">
              <w:rPr>
                <w:szCs w:val="22"/>
              </w:rPr>
              <w:t>П</w:t>
            </w:r>
          </w:p>
        </w:tc>
        <w:tc>
          <w:tcPr>
            <w:tcW w:w="1134" w:type="dxa"/>
          </w:tcPr>
          <w:p w14:paraId="6C5268CE" w14:textId="77777777" w:rsidR="00AD1F54" w:rsidRPr="00264D5D" w:rsidRDefault="00941227">
            <w:pPr>
              <w:spacing w:before="60" w:after="60"/>
              <w:rPr>
                <w:sz w:val="22"/>
                <w:szCs w:val="22"/>
                <w:lang w:val="en-US"/>
              </w:rPr>
            </w:pPr>
            <w:r w:rsidRPr="00264D5D">
              <w:rPr>
                <w:sz w:val="22"/>
                <w:szCs w:val="22"/>
                <w:lang w:val="en-US"/>
              </w:rPr>
              <w:t>Т(</w:t>
            </w:r>
            <w:r w:rsidRPr="00264D5D">
              <w:rPr>
                <w:sz w:val="22"/>
                <w:szCs w:val="22"/>
              </w:rPr>
              <w:t>1-12</w:t>
            </w:r>
            <w:r w:rsidRPr="00264D5D">
              <w:rPr>
                <w:sz w:val="22"/>
                <w:szCs w:val="22"/>
                <w:lang w:val="en-US"/>
              </w:rPr>
              <w:t>)</w:t>
            </w:r>
          </w:p>
        </w:tc>
        <w:tc>
          <w:tcPr>
            <w:tcW w:w="567" w:type="dxa"/>
          </w:tcPr>
          <w:p w14:paraId="308B985B" w14:textId="77777777" w:rsidR="00AD1F54" w:rsidRPr="00264D5D" w:rsidRDefault="00941227">
            <w:pPr>
              <w:spacing w:before="60" w:after="60"/>
              <w:jc w:val="center"/>
              <w:rPr>
                <w:sz w:val="22"/>
                <w:szCs w:val="22"/>
              </w:rPr>
            </w:pPr>
            <w:r w:rsidRPr="00264D5D">
              <w:rPr>
                <w:sz w:val="22"/>
                <w:szCs w:val="22"/>
              </w:rPr>
              <w:t>О</w:t>
            </w:r>
          </w:p>
        </w:tc>
        <w:tc>
          <w:tcPr>
            <w:tcW w:w="3963" w:type="dxa"/>
          </w:tcPr>
          <w:p w14:paraId="766095B9" w14:textId="77777777" w:rsidR="00AD1F54" w:rsidRPr="00264D5D" w:rsidRDefault="00B06B9A">
            <w:pPr>
              <w:spacing w:before="60" w:after="60"/>
              <w:rPr>
                <w:sz w:val="22"/>
                <w:szCs w:val="22"/>
              </w:rPr>
            </w:pPr>
            <w:r w:rsidRPr="00264D5D">
              <w:rPr>
                <w:sz w:val="22"/>
                <w:szCs w:val="22"/>
              </w:rPr>
              <w:t>ИНН клиента</w:t>
            </w:r>
          </w:p>
        </w:tc>
      </w:tr>
      <w:tr w:rsidR="00AD1F54" w:rsidRPr="00264D5D" w14:paraId="65AFC7C2"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707E5117" w14:textId="77777777" w:rsidR="00AD1F54" w:rsidRPr="00264D5D" w:rsidRDefault="00941227">
            <w:pPr>
              <w:spacing w:before="60" w:after="60"/>
              <w:rPr>
                <w:sz w:val="22"/>
                <w:szCs w:val="22"/>
              </w:rPr>
            </w:pPr>
            <w:r w:rsidRPr="00264D5D">
              <w:rPr>
                <w:sz w:val="22"/>
                <w:szCs w:val="22"/>
              </w:rPr>
              <w:t>КПП</w:t>
            </w:r>
          </w:p>
        </w:tc>
        <w:tc>
          <w:tcPr>
            <w:tcW w:w="1701" w:type="dxa"/>
          </w:tcPr>
          <w:p w14:paraId="38F9DF8F" w14:textId="77777777" w:rsidR="00AD1F54" w:rsidRPr="00264D5D" w:rsidRDefault="00941227">
            <w:pPr>
              <w:spacing w:before="60" w:after="60"/>
              <w:rPr>
                <w:sz w:val="22"/>
                <w:szCs w:val="22"/>
                <w:lang w:val="en-US"/>
              </w:rPr>
            </w:pPr>
            <w:r w:rsidRPr="00264D5D">
              <w:rPr>
                <w:sz w:val="22"/>
                <w:szCs w:val="22"/>
                <w:lang w:val="en-US"/>
              </w:rPr>
              <w:t>KPP</w:t>
            </w:r>
          </w:p>
        </w:tc>
        <w:tc>
          <w:tcPr>
            <w:tcW w:w="567" w:type="dxa"/>
          </w:tcPr>
          <w:p w14:paraId="650242B2" w14:textId="77777777" w:rsidR="00AD1F54" w:rsidRPr="00264D5D" w:rsidRDefault="00941227">
            <w:pPr>
              <w:pStyle w:val="GOSTTablenorm"/>
              <w:jc w:val="center"/>
              <w:rPr>
                <w:szCs w:val="22"/>
              </w:rPr>
            </w:pPr>
            <w:r w:rsidRPr="00264D5D">
              <w:rPr>
                <w:szCs w:val="22"/>
              </w:rPr>
              <w:t>П</w:t>
            </w:r>
          </w:p>
        </w:tc>
        <w:tc>
          <w:tcPr>
            <w:tcW w:w="1134" w:type="dxa"/>
          </w:tcPr>
          <w:p w14:paraId="22C58706" w14:textId="77777777" w:rsidR="00AD1F54" w:rsidRPr="00264D5D" w:rsidRDefault="00941227">
            <w:pPr>
              <w:spacing w:before="60" w:after="60"/>
              <w:rPr>
                <w:sz w:val="22"/>
                <w:szCs w:val="22"/>
                <w:lang w:val="en-US"/>
              </w:rPr>
            </w:pPr>
            <w:r w:rsidRPr="00264D5D">
              <w:rPr>
                <w:sz w:val="22"/>
                <w:szCs w:val="22"/>
                <w:lang w:val="en-US"/>
              </w:rPr>
              <w:t>Т(</w:t>
            </w:r>
            <w:r w:rsidRPr="00264D5D">
              <w:rPr>
                <w:sz w:val="22"/>
                <w:szCs w:val="22"/>
              </w:rPr>
              <w:t>9</w:t>
            </w:r>
            <w:r w:rsidRPr="00264D5D">
              <w:rPr>
                <w:sz w:val="22"/>
                <w:szCs w:val="22"/>
                <w:lang w:val="en-US"/>
              </w:rPr>
              <w:t>)</w:t>
            </w:r>
          </w:p>
        </w:tc>
        <w:tc>
          <w:tcPr>
            <w:tcW w:w="567" w:type="dxa"/>
          </w:tcPr>
          <w:p w14:paraId="0ED9BB49" w14:textId="77777777" w:rsidR="00AD1F54" w:rsidRPr="00264D5D" w:rsidRDefault="00941227">
            <w:pPr>
              <w:spacing w:before="60" w:after="60"/>
              <w:jc w:val="center"/>
              <w:rPr>
                <w:sz w:val="22"/>
                <w:szCs w:val="22"/>
              </w:rPr>
            </w:pPr>
            <w:r w:rsidRPr="00264D5D">
              <w:rPr>
                <w:sz w:val="22"/>
                <w:szCs w:val="22"/>
              </w:rPr>
              <w:t>Н</w:t>
            </w:r>
          </w:p>
        </w:tc>
        <w:tc>
          <w:tcPr>
            <w:tcW w:w="3963" w:type="dxa"/>
          </w:tcPr>
          <w:p w14:paraId="51F2ABA5" w14:textId="77777777" w:rsidR="00AD1F54" w:rsidRPr="00264D5D" w:rsidRDefault="00B06B9A">
            <w:pPr>
              <w:spacing w:before="60" w:after="60"/>
              <w:rPr>
                <w:sz w:val="22"/>
                <w:szCs w:val="22"/>
              </w:rPr>
            </w:pPr>
            <w:r w:rsidRPr="00264D5D">
              <w:rPr>
                <w:sz w:val="22"/>
                <w:szCs w:val="22"/>
              </w:rPr>
              <w:t>КПП клиента</w:t>
            </w:r>
          </w:p>
        </w:tc>
      </w:tr>
    </w:tbl>
    <w:p w14:paraId="238F501E" w14:textId="77777777" w:rsidR="00AD1F54" w:rsidRPr="00264D5D" w:rsidRDefault="00941227">
      <w:pPr>
        <w:pStyle w:val="31"/>
      </w:pPr>
      <w:bookmarkStart w:id="2949" w:name="_Toc18509296"/>
      <w:bookmarkStart w:id="2950" w:name="_Toc219309726"/>
      <w:r w:rsidRPr="00264D5D">
        <w:t>Описание комплексного типа «tMSC_SrcTypeComplex6»</w:t>
      </w:r>
      <w:bookmarkEnd w:id="2949"/>
      <w:bookmarkEnd w:id="2950"/>
    </w:p>
    <w:p w14:paraId="4C01654A" w14:textId="77777777" w:rsidR="00AD1F54" w:rsidRPr="00264D5D" w:rsidRDefault="00941227">
      <w:pPr>
        <w:pStyle w:val="GOSTNormal"/>
      </w:pPr>
      <w:r w:rsidRPr="00264D5D">
        <w:t>Описание комплексного типа «tMSC_SrcTypeComplex6» блока «Вид средств».</w:t>
      </w:r>
    </w:p>
    <w:p w14:paraId="6C97B247" w14:textId="0AE2A80E"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2951" w:name="_Ref524014229"/>
      <w:bookmarkStart w:id="2952" w:name="_Toc18509579"/>
      <w:bookmarkStart w:id="2953" w:name="_Toc219309284"/>
      <w:r w:rsidR="008D797C">
        <w:rPr>
          <w:noProof/>
        </w:rPr>
        <w:t>254</w:t>
      </w:r>
      <w:bookmarkEnd w:id="2951"/>
      <w:r w:rsidRPr="00264D5D">
        <w:fldChar w:fldCharType="end"/>
      </w:r>
      <w:r w:rsidRPr="00264D5D">
        <w:t xml:space="preserve"> – Описание комплексного типа «</w:t>
      </w:r>
      <w:bookmarkStart w:id="2954" w:name="OLE_LINK675"/>
      <w:bookmarkStart w:id="2955" w:name="OLE_LINK676"/>
      <w:r w:rsidRPr="00264D5D">
        <w:t>tMSC_SrcTypeComplex6</w:t>
      </w:r>
      <w:bookmarkEnd w:id="2954"/>
      <w:bookmarkEnd w:id="2955"/>
      <w:r w:rsidRPr="00264D5D">
        <w:t>»</w:t>
      </w:r>
      <w:bookmarkEnd w:id="2952"/>
      <w:bookmarkEnd w:id="2953"/>
    </w:p>
    <w:tbl>
      <w:tblPr>
        <w:tblStyle w:val="GOSTTable"/>
        <w:tblW w:w="9633" w:type="dxa"/>
        <w:tblLayout w:type="fixed"/>
        <w:tblLook w:val="04A0" w:firstRow="1" w:lastRow="0" w:firstColumn="1" w:lastColumn="0" w:noHBand="0" w:noVBand="1"/>
      </w:tblPr>
      <w:tblGrid>
        <w:gridCol w:w="1701"/>
        <w:gridCol w:w="1701"/>
        <w:gridCol w:w="567"/>
        <w:gridCol w:w="1134"/>
        <w:gridCol w:w="567"/>
        <w:gridCol w:w="3963"/>
      </w:tblGrid>
      <w:tr w:rsidR="00AD1F54" w:rsidRPr="00264D5D" w14:paraId="1FB7137F"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129F4B4D" w14:textId="77777777" w:rsidR="00AD1F54" w:rsidRPr="00264D5D" w:rsidRDefault="00941227">
            <w:pPr>
              <w:pStyle w:val="ASFKTableHead"/>
            </w:pPr>
            <w:r w:rsidRPr="00264D5D">
              <w:t>Наименование элемента</w:t>
            </w:r>
          </w:p>
        </w:tc>
        <w:tc>
          <w:tcPr>
            <w:tcW w:w="1701" w:type="dxa"/>
          </w:tcPr>
          <w:p w14:paraId="0418860B" w14:textId="77777777" w:rsidR="00AD1F54" w:rsidRPr="00264D5D" w:rsidRDefault="00941227">
            <w:pPr>
              <w:pStyle w:val="ASFKTableHead"/>
            </w:pPr>
            <w:r w:rsidRPr="00264D5D">
              <w:t>Сокращенное наименование (код) элемента</w:t>
            </w:r>
          </w:p>
        </w:tc>
        <w:tc>
          <w:tcPr>
            <w:tcW w:w="567" w:type="dxa"/>
          </w:tcPr>
          <w:p w14:paraId="3BDB08E5" w14:textId="77777777" w:rsidR="00AD1F54" w:rsidRPr="00264D5D" w:rsidRDefault="00941227">
            <w:pPr>
              <w:pStyle w:val="ASFKTableHead"/>
            </w:pPr>
            <w:r w:rsidRPr="00264D5D">
              <w:t>Тип</w:t>
            </w:r>
          </w:p>
        </w:tc>
        <w:tc>
          <w:tcPr>
            <w:tcW w:w="1134" w:type="dxa"/>
          </w:tcPr>
          <w:p w14:paraId="5CF11C2C" w14:textId="77777777" w:rsidR="00AD1F54" w:rsidRPr="00264D5D" w:rsidRDefault="00941227">
            <w:pPr>
              <w:pStyle w:val="ASFKTableHead"/>
            </w:pPr>
            <w:r w:rsidRPr="00264D5D">
              <w:t>Формат элемента</w:t>
            </w:r>
          </w:p>
        </w:tc>
        <w:tc>
          <w:tcPr>
            <w:tcW w:w="567" w:type="dxa"/>
          </w:tcPr>
          <w:p w14:paraId="28D29BCD" w14:textId="77777777" w:rsidR="00AD1F54" w:rsidRPr="00264D5D" w:rsidRDefault="00941227">
            <w:pPr>
              <w:pStyle w:val="ASFKTableHead"/>
            </w:pPr>
            <w:r w:rsidRPr="00264D5D">
              <w:t>Обязательность</w:t>
            </w:r>
          </w:p>
        </w:tc>
        <w:tc>
          <w:tcPr>
            <w:tcW w:w="3963" w:type="dxa"/>
          </w:tcPr>
          <w:p w14:paraId="32AFDCD1" w14:textId="77777777" w:rsidR="00AD1F54" w:rsidRPr="00264D5D" w:rsidRDefault="00941227">
            <w:pPr>
              <w:pStyle w:val="ASFKTableHead"/>
            </w:pPr>
            <w:r w:rsidRPr="00264D5D">
              <w:t>Дополнительная информация</w:t>
            </w:r>
          </w:p>
        </w:tc>
      </w:tr>
      <w:tr w:rsidR="00AD1F54" w:rsidRPr="00264D5D" w14:paraId="7A324DDE"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D73B33F" w14:textId="77777777" w:rsidR="00AD1F54" w:rsidRPr="00264D5D" w:rsidRDefault="00941227">
            <w:pPr>
              <w:pStyle w:val="GOSTTablenorm"/>
              <w:rPr>
                <w:szCs w:val="22"/>
              </w:rPr>
            </w:pPr>
            <w:r w:rsidRPr="00264D5D">
              <w:rPr>
                <w:szCs w:val="22"/>
              </w:rPr>
              <w:t>Код вида средств</w:t>
            </w:r>
          </w:p>
        </w:tc>
        <w:tc>
          <w:tcPr>
            <w:tcW w:w="1701" w:type="dxa"/>
          </w:tcPr>
          <w:p w14:paraId="6AB055FF" w14:textId="77777777" w:rsidR="00AD1F54" w:rsidRPr="00264D5D" w:rsidRDefault="00941227">
            <w:pPr>
              <w:pStyle w:val="GOSTTablenorm"/>
              <w:rPr>
                <w:szCs w:val="22"/>
              </w:rPr>
            </w:pPr>
            <w:r w:rsidRPr="00264D5D">
              <w:rPr>
                <w:szCs w:val="22"/>
              </w:rPr>
              <w:t>code</w:t>
            </w:r>
          </w:p>
        </w:tc>
        <w:tc>
          <w:tcPr>
            <w:tcW w:w="567" w:type="dxa"/>
          </w:tcPr>
          <w:p w14:paraId="09DFF6E0" w14:textId="77777777" w:rsidR="00AD1F54" w:rsidRPr="00264D5D" w:rsidRDefault="00941227">
            <w:pPr>
              <w:pStyle w:val="GOSTTablenorm"/>
              <w:jc w:val="center"/>
              <w:rPr>
                <w:szCs w:val="22"/>
              </w:rPr>
            </w:pPr>
            <w:r w:rsidRPr="00264D5D">
              <w:rPr>
                <w:szCs w:val="22"/>
              </w:rPr>
              <w:t>А</w:t>
            </w:r>
          </w:p>
        </w:tc>
        <w:tc>
          <w:tcPr>
            <w:tcW w:w="1134" w:type="dxa"/>
          </w:tcPr>
          <w:p w14:paraId="700E9DAE" w14:textId="77777777" w:rsidR="00AD1F54" w:rsidRPr="00264D5D" w:rsidRDefault="00941227">
            <w:pPr>
              <w:pStyle w:val="GOSTTablenorm"/>
              <w:rPr>
                <w:szCs w:val="22"/>
              </w:rPr>
            </w:pPr>
            <w:r w:rsidRPr="00264D5D">
              <w:rPr>
                <w:szCs w:val="22"/>
              </w:rPr>
              <w:t>-</w:t>
            </w:r>
          </w:p>
        </w:tc>
        <w:tc>
          <w:tcPr>
            <w:tcW w:w="567" w:type="dxa"/>
          </w:tcPr>
          <w:p w14:paraId="7BC3FFCA" w14:textId="77777777" w:rsidR="00AD1F54" w:rsidRPr="00264D5D" w:rsidRDefault="00941227">
            <w:pPr>
              <w:spacing w:before="60" w:after="60"/>
              <w:ind w:firstLine="59"/>
              <w:jc w:val="center"/>
              <w:rPr>
                <w:sz w:val="22"/>
                <w:szCs w:val="22"/>
              </w:rPr>
            </w:pPr>
            <w:r w:rsidRPr="00264D5D">
              <w:rPr>
                <w:sz w:val="22"/>
                <w:szCs w:val="22"/>
              </w:rPr>
              <w:t>О</w:t>
            </w:r>
          </w:p>
        </w:tc>
        <w:tc>
          <w:tcPr>
            <w:tcW w:w="3963" w:type="dxa"/>
          </w:tcPr>
          <w:p w14:paraId="2938D1A9" w14:textId="77777777" w:rsidR="00AD1F54" w:rsidRPr="00264D5D" w:rsidRDefault="00941227">
            <w:pPr>
              <w:spacing w:before="60" w:after="60"/>
              <w:rPr>
                <w:sz w:val="22"/>
                <w:szCs w:val="22"/>
              </w:rPr>
            </w:pPr>
            <w:r w:rsidRPr="00264D5D">
              <w:rPr>
                <w:sz w:val="22"/>
                <w:szCs w:val="22"/>
              </w:rPr>
              <w:t>Указывается вид средств, за счет которого должны быть выданы наличные денежные средства. Допустимые значения:</w:t>
            </w:r>
          </w:p>
          <w:p w14:paraId="03CFFBD1" w14:textId="77777777" w:rsidR="00AD1F54" w:rsidRPr="00264D5D" w:rsidRDefault="00941227" w:rsidP="00E7460C">
            <w:pPr>
              <w:pStyle w:val="GOSTTablenorm"/>
              <w:numPr>
                <w:ilvl w:val="0"/>
                <w:numId w:val="80"/>
              </w:numPr>
              <w:ind w:left="284" w:hanging="227"/>
            </w:pPr>
            <w:r w:rsidRPr="00264D5D">
              <w:t>1 – Средства бюджета;</w:t>
            </w:r>
          </w:p>
          <w:p w14:paraId="5CFC35F9" w14:textId="77777777" w:rsidR="00AD1F54" w:rsidRPr="00264D5D" w:rsidRDefault="00941227" w:rsidP="00E7460C">
            <w:pPr>
              <w:pStyle w:val="GOSTTablenorm"/>
              <w:numPr>
                <w:ilvl w:val="0"/>
                <w:numId w:val="80"/>
              </w:numPr>
              <w:ind w:left="284" w:hanging="227"/>
            </w:pPr>
            <w:r w:rsidRPr="00264D5D">
              <w:t>4 – Средства для финансирования мероприятий по оперативно-розыскной деятельности;</w:t>
            </w:r>
          </w:p>
          <w:p w14:paraId="52AF8260" w14:textId="77777777" w:rsidR="00AD1F54" w:rsidRPr="00264D5D" w:rsidRDefault="00941227" w:rsidP="00E7460C">
            <w:pPr>
              <w:pStyle w:val="GOSTTablenorm"/>
              <w:numPr>
                <w:ilvl w:val="0"/>
                <w:numId w:val="80"/>
              </w:numPr>
              <w:ind w:left="284" w:hanging="227"/>
            </w:pPr>
            <w:r w:rsidRPr="00264D5D">
              <w:t>5 – Средства, поступающие во временное распоряжение казенных учреждений;</w:t>
            </w:r>
          </w:p>
          <w:p w14:paraId="32296C73" w14:textId="77777777" w:rsidR="00AD1F54" w:rsidRPr="00264D5D" w:rsidRDefault="00B06B9A" w:rsidP="00E7460C">
            <w:pPr>
              <w:pStyle w:val="GOSTTablenorm"/>
              <w:numPr>
                <w:ilvl w:val="0"/>
                <w:numId w:val="80"/>
              </w:numPr>
              <w:ind w:left="284" w:hanging="227"/>
            </w:pPr>
            <w:r w:rsidRPr="00264D5D">
              <w:lastRenderedPageBreak/>
              <w:t>6 – Средства юридических лиц</w:t>
            </w:r>
          </w:p>
        </w:tc>
      </w:tr>
      <w:tr w:rsidR="00AD1F54" w:rsidRPr="00264D5D" w14:paraId="0FA6676E" w14:textId="77777777" w:rsidTr="00AD1F54">
        <w:trPr>
          <w:cnfStyle w:val="000000010000" w:firstRow="0" w:lastRow="0" w:firstColumn="0" w:lastColumn="0" w:oddVBand="0" w:evenVBand="0" w:oddHBand="0" w:evenHBand="1" w:firstRowFirstColumn="0" w:firstRowLastColumn="0" w:lastRowFirstColumn="0" w:lastRowLastColumn="0"/>
          <w:trHeight w:val="537"/>
        </w:trPr>
        <w:tc>
          <w:tcPr>
            <w:tcW w:w="1701" w:type="dxa"/>
          </w:tcPr>
          <w:p w14:paraId="76E23289" w14:textId="77777777" w:rsidR="00AD1F54" w:rsidRPr="00264D5D" w:rsidRDefault="00941227">
            <w:pPr>
              <w:pStyle w:val="GOSTTablenorm"/>
              <w:rPr>
                <w:szCs w:val="22"/>
              </w:rPr>
            </w:pPr>
            <w:r w:rsidRPr="00264D5D">
              <w:rPr>
                <w:szCs w:val="22"/>
              </w:rPr>
              <w:lastRenderedPageBreak/>
              <w:t>Наименование вида средств</w:t>
            </w:r>
          </w:p>
        </w:tc>
        <w:tc>
          <w:tcPr>
            <w:tcW w:w="1701" w:type="dxa"/>
          </w:tcPr>
          <w:p w14:paraId="5EB99965" w14:textId="77777777" w:rsidR="00AD1F54" w:rsidRPr="00264D5D" w:rsidRDefault="00941227">
            <w:pPr>
              <w:pStyle w:val="GOSTTablenorm"/>
              <w:rPr>
                <w:szCs w:val="22"/>
              </w:rPr>
            </w:pPr>
            <w:r w:rsidRPr="00264D5D">
              <w:rPr>
                <w:szCs w:val="22"/>
                <w:lang w:val="en-US"/>
              </w:rPr>
              <w:t>value</w:t>
            </w:r>
          </w:p>
        </w:tc>
        <w:tc>
          <w:tcPr>
            <w:tcW w:w="567" w:type="dxa"/>
          </w:tcPr>
          <w:p w14:paraId="113E99A0" w14:textId="77777777" w:rsidR="00AD1F54" w:rsidRPr="00264D5D" w:rsidRDefault="00941227">
            <w:pPr>
              <w:pStyle w:val="GOSTTablenorm"/>
              <w:jc w:val="center"/>
              <w:rPr>
                <w:szCs w:val="22"/>
              </w:rPr>
            </w:pPr>
            <w:r w:rsidRPr="00264D5D">
              <w:rPr>
                <w:szCs w:val="22"/>
              </w:rPr>
              <w:t>А</w:t>
            </w:r>
          </w:p>
        </w:tc>
        <w:tc>
          <w:tcPr>
            <w:tcW w:w="1134" w:type="dxa"/>
          </w:tcPr>
          <w:p w14:paraId="2998521D" w14:textId="77777777" w:rsidR="00AD1F54" w:rsidRPr="00264D5D" w:rsidRDefault="00941227">
            <w:pPr>
              <w:pStyle w:val="GOSTTablenorm"/>
              <w:rPr>
                <w:szCs w:val="22"/>
              </w:rPr>
            </w:pPr>
            <w:r w:rsidRPr="00264D5D">
              <w:rPr>
                <w:szCs w:val="22"/>
              </w:rPr>
              <w:t>-</w:t>
            </w:r>
          </w:p>
        </w:tc>
        <w:tc>
          <w:tcPr>
            <w:tcW w:w="567" w:type="dxa"/>
          </w:tcPr>
          <w:p w14:paraId="5392E4D9" w14:textId="77777777" w:rsidR="00AD1F54" w:rsidRPr="00264D5D" w:rsidRDefault="00941227">
            <w:pPr>
              <w:pStyle w:val="GOSTTablenorm"/>
              <w:jc w:val="center"/>
              <w:rPr>
                <w:szCs w:val="22"/>
              </w:rPr>
            </w:pPr>
            <w:r w:rsidRPr="00264D5D">
              <w:rPr>
                <w:szCs w:val="22"/>
              </w:rPr>
              <w:t>Н</w:t>
            </w:r>
          </w:p>
        </w:tc>
        <w:tc>
          <w:tcPr>
            <w:tcW w:w="3963" w:type="dxa"/>
          </w:tcPr>
          <w:p w14:paraId="45622928" w14:textId="77777777" w:rsidR="00AD1F54" w:rsidRPr="00264D5D" w:rsidRDefault="00941227">
            <w:pPr>
              <w:spacing w:before="60" w:after="60"/>
              <w:rPr>
                <w:sz w:val="22"/>
                <w:szCs w:val="22"/>
              </w:rPr>
            </w:pPr>
            <w:r w:rsidRPr="00264D5D">
              <w:rPr>
                <w:sz w:val="22"/>
                <w:szCs w:val="22"/>
              </w:rPr>
              <w:t>Указывается наименование вида средств, за счет которого должны быть выданы наличные денежные средства.</w:t>
            </w:r>
          </w:p>
          <w:p w14:paraId="61D1B294" w14:textId="77777777" w:rsidR="00AD1F54" w:rsidRPr="00264D5D" w:rsidRDefault="00941227">
            <w:pPr>
              <w:pStyle w:val="af5"/>
              <w:spacing w:before="60" w:after="60"/>
              <w:ind w:left="57"/>
              <w:jc w:val="both"/>
              <w:rPr>
                <w:sz w:val="22"/>
                <w:szCs w:val="22"/>
              </w:rPr>
            </w:pPr>
            <w:r w:rsidRPr="00264D5D">
              <w:rPr>
                <w:sz w:val="22"/>
                <w:szCs w:val="22"/>
              </w:rPr>
              <w:t>Соответствующие допустимые значения:</w:t>
            </w:r>
          </w:p>
          <w:p w14:paraId="44BCC9CE" w14:textId="77777777" w:rsidR="00AD1F54" w:rsidRPr="00264D5D" w:rsidRDefault="00941227" w:rsidP="00E7460C">
            <w:pPr>
              <w:pStyle w:val="GOSTTablenorm"/>
              <w:numPr>
                <w:ilvl w:val="0"/>
                <w:numId w:val="80"/>
              </w:numPr>
              <w:ind w:left="284" w:hanging="227"/>
            </w:pPr>
            <w:r w:rsidRPr="00264D5D">
              <w:t>Средства бюджета;</w:t>
            </w:r>
          </w:p>
          <w:p w14:paraId="1996CF36" w14:textId="77777777" w:rsidR="00AD1F54" w:rsidRPr="00264D5D" w:rsidRDefault="00941227" w:rsidP="00E7460C">
            <w:pPr>
              <w:pStyle w:val="GOSTTablenorm"/>
              <w:numPr>
                <w:ilvl w:val="0"/>
                <w:numId w:val="80"/>
              </w:numPr>
              <w:ind w:left="284" w:hanging="227"/>
            </w:pPr>
            <w:r w:rsidRPr="00264D5D">
              <w:t>Средства для финансирования мероприятий по оперативно-розыскной деятельности;</w:t>
            </w:r>
          </w:p>
          <w:p w14:paraId="49980942" w14:textId="77777777" w:rsidR="00AD1F54" w:rsidRPr="00264D5D" w:rsidRDefault="00941227" w:rsidP="00E7460C">
            <w:pPr>
              <w:pStyle w:val="GOSTTablenorm"/>
              <w:numPr>
                <w:ilvl w:val="0"/>
                <w:numId w:val="80"/>
              </w:numPr>
              <w:ind w:left="284" w:hanging="227"/>
            </w:pPr>
            <w:r w:rsidRPr="00264D5D">
              <w:t>Средства, поступающие во временное распоряжение казенных учреждений;</w:t>
            </w:r>
          </w:p>
          <w:p w14:paraId="68A7FD1E" w14:textId="77777777" w:rsidR="00AD1F54" w:rsidRPr="00264D5D" w:rsidRDefault="00B06B9A" w:rsidP="00E7460C">
            <w:pPr>
              <w:pStyle w:val="GOSTTablenorm"/>
              <w:numPr>
                <w:ilvl w:val="0"/>
                <w:numId w:val="80"/>
              </w:numPr>
              <w:ind w:left="284" w:hanging="227"/>
            </w:pPr>
            <w:r w:rsidRPr="00264D5D">
              <w:t>Средства юридических лиц</w:t>
            </w:r>
          </w:p>
        </w:tc>
      </w:tr>
    </w:tbl>
    <w:p w14:paraId="7DDAA047" w14:textId="77777777" w:rsidR="00AD1F54" w:rsidRPr="00264D5D" w:rsidRDefault="00941227">
      <w:pPr>
        <w:pStyle w:val="31"/>
      </w:pPr>
      <w:bookmarkStart w:id="2956" w:name="_Toc18509297"/>
      <w:bookmarkStart w:id="2957" w:name="_Toc219309727"/>
      <w:r w:rsidRPr="00264D5D">
        <w:t>Описание комплексного типа «tSGNNmPs100»</w:t>
      </w:r>
      <w:bookmarkEnd w:id="2956"/>
      <w:bookmarkEnd w:id="2957"/>
    </w:p>
    <w:p w14:paraId="4743C246" w14:textId="77777777" w:rsidR="00AD1F54" w:rsidRPr="00264D5D" w:rsidRDefault="00941227">
      <w:pPr>
        <w:pStyle w:val="GOSTNormal"/>
      </w:pPr>
      <w:r w:rsidRPr="00264D5D">
        <w:t xml:space="preserve">Описание комплексного типа </w:t>
      </w:r>
      <w:r w:rsidRPr="00264D5D">
        <w:rPr>
          <w:rFonts w:eastAsia="Calibri"/>
        </w:rPr>
        <w:t>«</w:t>
      </w:r>
      <w:r w:rsidRPr="00264D5D">
        <w:t>tSGNNmPs100» блоков «</w:t>
      </w:r>
      <w:r w:rsidRPr="00264D5D">
        <w:rPr>
          <w:sz w:val="22"/>
          <w:szCs w:val="22"/>
        </w:rPr>
        <w:t>Руководитель (уполномоченное им лицо)</w:t>
      </w:r>
      <w:r w:rsidRPr="00264D5D">
        <w:t>» и «</w:t>
      </w:r>
      <w:r w:rsidRPr="00264D5D">
        <w:rPr>
          <w:sz w:val="22"/>
          <w:szCs w:val="22"/>
        </w:rPr>
        <w:t>Главный бухгалтер (уполномоченное лицо)</w:t>
      </w:r>
      <w:r w:rsidRPr="00264D5D">
        <w:t>».</w:t>
      </w:r>
    </w:p>
    <w:p w14:paraId="0D80C249" w14:textId="36E7C7B4"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2958" w:name="_Ref528763301"/>
      <w:bookmarkStart w:id="2959" w:name="_Toc18509580"/>
      <w:bookmarkStart w:id="2960" w:name="_Toc219309285"/>
      <w:r w:rsidR="008D797C">
        <w:rPr>
          <w:noProof/>
        </w:rPr>
        <w:t>255</w:t>
      </w:r>
      <w:bookmarkEnd w:id="2958"/>
      <w:r w:rsidRPr="00264D5D">
        <w:fldChar w:fldCharType="end"/>
      </w:r>
      <w:r w:rsidRPr="00264D5D">
        <w:t xml:space="preserve"> – Описание комплексного типа «tSGNNmPs100»</w:t>
      </w:r>
      <w:bookmarkEnd w:id="2959"/>
      <w:bookmarkEnd w:id="2960"/>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41568A72"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1FAA2F9B" w14:textId="77777777" w:rsidR="00AD1F54" w:rsidRPr="00264D5D" w:rsidRDefault="00941227">
            <w:pPr>
              <w:pStyle w:val="ASFKTableHead"/>
            </w:pPr>
            <w:r w:rsidRPr="00264D5D">
              <w:t>Наименование элемента</w:t>
            </w:r>
          </w:p>
        </w:tc>
        <w:tc>
          <w:tcPr>
            <w:tcW w:w="1701" w:type="dxa"/>
          </w:tcPr>
          <w:p w14:paraId="5EF112EA" w14:textId="77777777" w:rsidR="00AD1F54" w:rsidRPr="00264D5D" w:rsidRDefault="00941227">
            <w:pPr>
              <w:pStyle w:val="ASFKTableHead"/>
            </w:pPr>
            <w:r w:rsidRPr="00264D5D">
              <w:t>Сокращенное наименование (код) элемента</w:t>
            </w:r>
          </w:p>
        </w:tc>
        <w:tc>
          <w:tcPr>
            <w:tcW w:w="567" w:type="dxa"/>
          </w:tcPr>
          <w:p w14:paraId="616F9165" w14:textId="77777777" w:rsidR="00AD1F54" w:rsidRPr="00264D5D" w:rsidRDefault="00941227">
            <w:pPr>
              <w:pStyle w:val="ASFKTableHead"/>
            </w:pPr>
            <w:r w:rsidRPr="00264D5D">
              <w:t>Тип</w:t>
            </w:r>
          </w:p>
        </w:tc>
        <w:tc>
          <w:tcPr>
            <w:tcW w:w="1134" w:type="dxa"/>
          </w:tcPr>
          <w:p w14:paraId="1029A93C" w14:textId="77777777" w:rsidR="00AD1F54" w:rsidRPr="00264D5D" w:rsidRDefault="00941227">
            <w:pPr>
              <w:pStyle w:val="ASFKTableHead"/>
            </w:pPr>
            <w:r w:rsidRPr="00264D5D">
              <w:t>Формат элемента</w:t>
            </w:r>
          </w:p>
        </w:tc>
        <w:tc>
          <w:tcPr>
            <w:tcW w:w="567" w:type="dxa"/>
          </w:tcPr>
          <w:p w14:paraId="294E1899" w14:textId="77777777" w:rsidR="00AD1F54" w:rsidRPr="00264D5D" w:rsidRDefault="00941227">
            <w:pPr>
              <w:pStyle w:val="ASFKTableHead"/>
            </w:pPr>
            <w:r w:rsidRPr="00264D5D">
              <w:t>Обязательность</w:t>
            </w:r>
          </w:p>
        </w:tc>
        <w:tc>
          <w:tcPr>
            <w:tcW w:w="3963" w:type="dxa"/>
          </w:tcPr>
          <w:p w14:paraId="34126918" w14:textId="77777777" w:rsidR="00AD1F54" w:rsidRPr="00264D5D" w:rsidRDefault="00941227">
            <w:pPr>
              <w:pStyle w:val="ASFKTableHead"/>
            </w:pPr>
            <w:r w:rsidRPr="00264D5D">
              <w:t>Дополнительная информация</w:t>
            </w:r>
          </w:p>
        </w:tc>
      </w:tr>
      <w:tr w:rsidR="00AD1F54" w:rsidRPr="00264D5D" w14:paraId="4D988798"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00A1141" w14:textId="77777777" w:rsidR="00AD1F54" w:rsidRPr="00264D5D" w:rsidRDefault="00941227">
            <w:pPr>
              <w:pStyle w:val="GOSTTablenorm"/>
              <w:rPr>
                <w:szCs w:val="22"/>
              </w:rPr>
            </w:pPr>
            <w:r w:rsidRPr="00264D5D">
              <w:rPr>
                <w:color w:val="000000"/>
                <w:szCs w:val="22"/>
              </w:rPr>
              <w:t>Должность</w:t>
            </w:r>
          </w:p>
        </w:tc>
        <w:tc>
          <w:tcPr>
            <w:tcW w:w="1701" w:type="dxa"/>
          </w:tcPr>
          <w:p w14:paraId="0D44BC4A" w14:textId="77777777" w:rsidR="00AD1F54" w:rsidRPr="00264D5D" w:rsidRDefault="00941227">
            <w:pPr>
              <w:pStyle w:val="GOSTTablenorm"/>
              <w:rPr>
                <w:szCs w:val="22"/>
                <w:lang w:val="en-US"/>
              </w:rPr>
            </w:pPr>
            <w:r w:rsidRPr="00264D5D">
              <w:rPr>
                <w:color w:val="000000"/>
                <w:szCs w:val="22"/>
              </w:rPr>
              <w:t>Pst</w:t>
            </w:r>
          </w:p>
        </w:tc>
        <w:tc>
          <w:tcPr>
            <w:tcW w:w="567" w:type="dxa"/>
          </w:tcPr>
          <w:p w14:paraId="20F815E9" w14:textId="77777777" w:rsidR="00AD1F54" w:rsidRPr="00264D5D" w:rsidRDefault="00941227">
            <w:pPr>
              <w:pStyle w:val="GOSTTablenorm"/>
              <w:jc w:val="center"/>
              <w:rPr>
                <w:szCs w:val="22"/>
              </w:rPr>
            </w:pPr>
            <w:r w:rsidRPr="00264D5D">
              <w:rPr>
                <w:szCs w:val="22"/>
              </w:rPr>
              <w:t>П</w:t>
            </w:r>
          </w:p>
        </w:tc>
        <w:tc>
          <w:tcPr>
            <w:tcW w:w="1134" w:type="dxa"/>
          </w:tcPr>
          <w:p w14:paraId="686D59DE" w14:textId="77777777" w:rsidR="00AD1F54" w:rsidRPr="00264D5D" w:rsidRDefault="00941227">
            <w:pPr>
              <w:pStyle w:val="GOSTTablenorm"/>
              <w:rPr>
                <w:szCs w:val="22"/>
              </w:rPr>
            </w:pPr>
            <w:r w:rsidRPr="00264D5D">
              <w:rPr>
                <w:color w:val="000000"/>
                <w:szCs w:val="22"/>
                <w:lang w:val="en-US"/>
              </w:rPr>
              <w:t>Т(1-</w:t>
            </w:r>
            <w:r w:rsidRPr="00264D5D">
              <w:rPr>
                <w:color w:val="000000"/>
                <w:szCs w:val="22"/>
              </w:rPr>
              <w:t>1</w:t>
            </w:r>
            <w:r w:rsidRPr="00264D5D">
              <w:rPr>
                <w:color w:val="000000"/>
                <w:szCs w:val="22"/>
                <w:lang w:val="en-US"/>
              </w:rPr>
              <w:t>00)</w:t>
            </w:r>
          </w:p>
        </w:tc>
        <w:tc>
          <w:tcPr>
            <w:tcW w:w="567" w:type="dxa"/>
          </w:tcPr>
          <w:p w14:paraId="461D8BC4" w14:textId="77777777" w:rsidR="00AD1F54" w:rsidRPr="00264D5D" w:rsidRDefault="00941227">
            <w:pPr>
              <w:pStyle w:val="GOSTTablenorm"/>
              <w:jc w:val="center"/>
              <w:rPr>
                <w:szCs w:val="22"/>
              </w:rPr>
            </w:pPr>
            <w:r w:rsidRPr="00264D5D">
              <w:rPr>
                <w:szCs w:val="22"/>
              </w:rPr>
              <w:t>Н</w:t>
            </w:r>
          </w:p>
        </w:tc>
        <w:tc>
          <w:tcPr>
            <w:tcW w:w="3963" w:type="dxa"/>
          </w:tcPr>
          <w:p w14:paraId="7687AA2D" w14:textId="77777777" w:rsidR="00AD1F54" w:rsidRPr="00264D5D" w:rsidRDefault="00941227">
            <w:pPr>
              <w:pStyle w:val="GOSTTablenorm"/>
              <w:rPr>
                <w:szCs w:val="22"/>
              </w:rPr>
            </w:pPr>
            <w:r w:rsidRPr="00264D5D">
              <w:rPr>
                <w:szCs w:val="22"/>
              </w:rPr>
              <w:t>Указывается</w:t>
            </w:r>
            <w:r w:rsidR="00B06B9A" w:rsidRPr="00264D5D">
              <w:rPr>
                <w:color w:val="000000"/>
                <w:szCs w:val="22"/>
              </w:rPr>
              <w:t xml:space="preserve"> должность</w:t>
            </w:r>
          </w:p>
        </w:tc>
      </w:tr>
      <w:tr w:rsidR="00AD1F54" w:rsidRPr="00264D5D" w14:paraId="4CAE690D"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6F96A6CF" w14:textId="77777777" w:rsidR="00AD1F54" w:rsidRPr="00264D5D" w:rsidRDefault="00941227">
            <w:pPr>
              <w:pStyle w:val="GOSTTablenorm"/>
              <w:rPr>
                <w:color w:val="000000"/>
                <w:szCs w:val="22"/>
              </w:rPr>
            </w:pPr>
            <w:r w:rsidRPr="00264D5D">
              <w:rPr>
                <w:color w:val="000000"/>
                <w:szCs w:val="22"/>
              </w:rPr>
              <w:t>Расшифровка подписи</w:t>
            </w:r>
          </w:p>
        </w:tc>
        <w:tc>
          <w:tcPr>
            <w:tcW w:w="1701" w:type="dxa"/>
          </w:tcPr>
          <w:p w14:paraId="018A562E" w14:textId="77777777" w:rsidR="00AD1F54" w:rsidRPr="00264D5D" w:rsidRDefault="00941227">
            <w:pPr>
              <w:pStyle w:val="GOSTTablenorm"/>
              <w:rPr>
                <w:color w:val="000000"/>
                <w:szCs w:val="22"/>
              </w:rPr>
            </w:pPr>
            <w:r w:rsidRPr="00264D5D">
              <w:rPr>
                <w:color w:val="000000"/>
                <w:szCs w:val="22"/>
              </w:rPr>
              <w:t>FIO</w:t>
            </w:r>
          </w:p>
        </w:tc>
        <w:tc>
          <w:tcPr>
            <w:tcW w:w="567" w:type="dxa"/>
          </w:tcPr>
          <w:p w14:paraId="3318C34E" w14:textId="77777777" w:rsidR="00AD1F54" w:rsidRPr="00264D5D" w:rsidRDefault="00941227">
            <w:pPr>
              <w:pStyle w:val="GOSTTablenorm"/>
              <w:jc w:val="center"/>
              <w:rPr>
                <w:szCs w:val="22"/>
              </w:rPr>
            </w:pPr>
            <w:r w:rsidRPr="00264D5D">
              <w:rPr>
                <w:szCs w:val="22"/>
              </w:rPr>
              <w:t>П</w:t>
            </w:r>
          </w:p>
        </w:tc>
        <w:tc>
          <w:tcPr>
            <w:tcW w:w="1134" w:type="dxa"/>
          </w:tcPr>
          <w:p w14:paraId="580961B3" w14:textId="77777777" w:rsidR="00AD1F54" w:rsidRPr="00264D5D" w:rsidRDefault="00941227">
            <w:pPr>
              <w:pStyle w:val="GOSTTablenorm"/>
              <w:rPr>
                <w:color w:val="000000"/>
                <w:szCs w:val="22"/>
                <w:lang w:val="en-US"/>
              </w:rPr>
            </w:pPr>
            <w:r w:rsidRPr="00264D5D">
              <w:rPr>
                <w:color w:val="000000"/>
                <w:szCs w:val="22"/>
                <w:lang w:val="en-US"/>
              </w:rPr>
              <w:t>Т(1-</w:t>
            </w:r>
            <w:r w:rsidRPr="00264D5D">
              <w:rPr>
                <w:color w:val="000000"/>
                <w:szCs w:val="22"/>
              </w:rPr>
              <w:t>100</w:t>
            </w:r>
            <w:r w:rsidRPr="00264D5D">
              <w:rPr>
                <w:color w:val="000000"/>
                <w:szCs w:val="22"/>
                <w:lang w:val="en-US"/>
              </w:rPr>
              <w:t>)</w:t>
            </w:r>
          </w:p>
        </w:tc>
        <w:tc>
          <w:tcPr>
            <w:tcW w:w="567" w:type="dxa"/>
          </w:tcPr>
          <w:p w14:paraId="7AF5F79D" w14:textId="77777777" w:rsidR="00AD1F54" w:rsidRPr="00264D5D" w:rsidRDefault="00941227">
            <w:pPr>
              <w:pStyle w:val="GOSTTablenorm"/>
              <w:jc w:val="center"/>
              <w:rPr>
                <w:szCs w:val="22"/>
              </w:rPr>
            </w:pPr>
            <w:r w:rsidRPr="00264D5D">
              <w:rPr>
                <w:szCs w:val="22"/>
              </w:rPr>
              <w:t>Н</w:t>
            </w:r>
          </w:p>
        </w:tc>
        <w:tc>
          <w:tcPr>
            <w:tcW w:w="3963" w:type="dxa"/>
          </w:tcPr>
          <w:p w14:paraId="492933A0" w14:textId="77777777" w:rsidR="00AD1F54" w:rsidRPr="00264D5D" w:rsidRDefault="00941227">
            <w:pPr>
              <w:pStyle w:val="GOSTTablenorm"/>
              <w:rPr>
                <w:szCs w:val="22"/>
              </w:rPr>
            </w:pPr>
            <w:r w:rsidRPr="00264D5D">
              <w:rPr>
                <w:szCs w:val="22"/>
              </w:rPr>
              <w:t xml:space="preserve">Указывается </w:t>
            </w:r>
            <w:r w:rsidR="00B06B9A" w:rsidRPr="00264D5D">
              <w:t>фамилия, имя, отчество</w:t>
            </w:r>
          </w:p>
        </w:tc>
      </w:tr>
    </w:tbl>
    <w:p w14:paraId="5A00EF16" w14:textId="77777777" w:rsidR="00AD1F54" w:rsidRPr="00264D5D" w:rsidRDefault="00941227">
      <w:pPr>
        <w:pStyle w:val="31"/>
      </w:pPr>
      <w:bookmarkStart w:id="2961" w:name="_Toc18509298"/>
      <w:bookmarkStart w:id="2962" w:name="_Toc219309728"/>
      <w:r w:rsidRPr="00264D5D">
        <w:t>Описание комплексного типа «tMSC_FlNm»</w:t>
      </w:r>
      <w:bookmarkEnd w:id="2961"/>
      <w:bookmarkEnd w:id="2962"/>
    </w:p>
    <w:p w14:paraId="70E11740" w14:textId="77777777" w:rsidR="00AD1F54" w:rsidRPr="00264D5D" w:rsidRDefault="00941227">
      <w:pPr>
        <w:pStyle w:val="GOSTNormal"/>
      </w:pPr>
      <w:r w:rsidRPr="00264D5D">
        <w:t xml:space="preserve">Описание </w:t>
      </w:r>
      <w:r w:rsidRPr="00264D5D">
        <w:rPr>
          <w:szCs w:val="24"/>
        </w:rPr>
        <w:t>комплексного типа «</w:t>
      </w:r>
      <w:r w:rsidRPr="00264D5D">
        <w:rPr>
          <w:color w:val="000000"/>
          <w:szCs w:val="24"/>
        </w:rPr>
        <w:t>tMSC_FlNm</w:t>
      </w:r>
      <w:r w:rsidRPr="00264D5D">
        <w:rPr>
          <w:szCs w:val="24"/>
        </w:rPr>
        <w:t>» блока «Владелец банковской карты».</w:t>
      </w:r>
    </w:p>
    <w:p w14:paraId="0645E08C" w14:textId="464D4A59"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2963" w:name="_Ref524690601"/>
      <w:bookmarkStart w:id="2964" w:name="_Toc18509581"/>
      <w:bookmarkStart w:id="2965" w:name="_Toc219309286"/>
      <w:r w:rsidR="008D797C">
        <w:rPr>
          <w:noProof/>
        </w:rPr>
        <w:t>256</w:t>
      </w:r>
      <w:bookmarkEnd w:id="2963"/>
      <w:r w:rsidRPr="00264D5D">
        <w:fldChar w:fldCharType="end"/>
      </w:r>
      <w:r w:rsidRPr="00264D5D">
        <w:t xml:space="preserve"> – Описание комплексного типа «tMSC_FlNm»</w:t>
      </w:r>
      <w:bookmarkEnd w:id="2964"/>
      <w:bookmarkEnd w:id="2965"/>
    </w:p>
    <w:tbl>
      <w:tblPr>
        <w:tblStyle w:val="GOSTTable"/>
        <w:tblW w:w="9628" w:type="dxa"/>
        <w:tblLayout w:type="fixed"/>
        <w:tblLook w:val="04A0" w:firstRow="1" w:lastRow="0" w:firstColumn="1" w:lastColumn="0" w:noHBand="0" w:noVBand="1"/>
      </w:tblPr>
      <w:tblGrid>
        <w:gridCol w:w="1703"/>
        <w:gridCol w:w="1700"/>
        <w:gridCol w:w="566"/>
        <w:gridCol w:w="1132"/>
        <w:gridCol w:w="564"/>
        <w:gridCol w:w="3963"/>
      </w:tblGrid>
      <w:tr w:rsidR="00AD1F54" w:rsidRPr="00264D5D" w14:paraId="2DDC6C4D"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4" w:type="pct"/>
          </w:tcPr>
          <w:p w14:paraId="41C41CB9" w14:textId="77777777" w:rsidR="00AD1F54" w:rsidRPr="00264D5D" w:rsidRDefault="00941227">
            <w:pPr>
              <w:pStyle w:val="ASFKTableHead"/>
            </w:pPr>
            <w:r w:rsidRPr="00264D5D">
              <w:t>Наименование элемента</w:t>
            </w:r>
          </w:p>
        </w:tc>
        <w:tc>
          <w:tcPr>
            <w:tcW w:w="883" w:type="pct"/>
          </w:tcPr>
          <w:p w14:paraId="1B8EB216" w14:textId="77777777" w:rsidR="00AD1F54" w:rsidRPr="00264D5D" w:rsidRDefault="00941227">
            <w:pPr>
              <w:pStyle w:val="ASFKTableHead"/>
            </w:pPr>
            <w:r w:rsidRPr="00264D5D">
              <w:t>Сокращенное наименование (код) элемента</w:t>
            </w:r>
          </w:p>
        </w:tc>
        <w:tc>
          <w:tcPr>
            <w:tcW w:w="294" w:type="pct"/>
          </w:tcPr>
          <w:p w14:paraId="4C52B767" w14:textId="77777777" w:rsidR="00AD1F54" w:rsidRPr="00264D5D" w:rsidRDefault="00941227">
            <w:pPr>
              <w:pStyle w:val="ASFKTableHead"/>
            </w:pPr>
            <w:r w:rsidRPr="00264D5D">
              <w:t>Тип</w:t>
            </w:r>
          </w:p>
        </w:tc>
        <w:tc>
          <w:tcPr>
            <w:tcW w:w="588" w:type="pct"/>
          </w:tcPr>
          <w:p w14:paraId="1C52DA37" w14:textId="77777777" w:rsidR="00AD1F54" w:rsidRPr="00264D5D" w:rsidRDefault="00941227">
            <w:pPr>
              <w:pStyle w:val="ASFKTableHead"/>
            </w:pPr>
            <w:r w:rsidRPr="00264D5D">
              <w:t>Формат элемента</w:t>
            </w:r>
          </w:p>
        </w:tc>
        <w:tc>
          <w:tcPr>
            <w:tcW w:w="293" w:type="pct"/>
          </w:tcPr>
          <w:p w14:paraId="318A23C2" w14:textId="77777777" w:rsidR="00AD1F54" w:rsidRPr="00264D5D" w:rsidRDefault="00941227">
            <w:pPr>
              <w:pStyle w:val="ASFKTableHead"/>
            </w:pPr>
            <w:r w:rsidRPr="00264D5D">
              <w:t>Обязательность</w:t>
            </w:r>
          </w:p>
        </w:tc>
        <w:tc>
          <w:tcPr>
            <w:tcW w:w="2058" w:type="pct"/>
          </w:tcPr>
          <w:p w14:paraId="1B8A90A9" w14:textId="77777777" w:rsidR="00AD1F54" w:rsidRPr="00264D5D" w:rsidRDefault="00941227">
            <w:pPr>
              <w:pStyle w:val="ASFKTableHead"/>
            </w:pPr>
            <w:r w:rsidRPr="00264D5D">
              <w:t>Дополнительная информация</w:t>
            </w:r>
          </w:p>
        </w:tc>
      </w:tr>
      <w:tr w:rsidR="00AD1F54" w:rsidRPr="00264D5D" w14:paraId="24762614"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7C3395B1" w14:textId="77777777" w:rsidR="00AD1F54" w:rsidRPr="00264D5D" w:rsidRDefault="00941227">
            <w:pPr>
              <w:pStyle w:val="GOSTTablenorm"/>
              <w:rPr>
                <w:color w:val="000000"/>
                <w:szCs w:val="22"/>
              </w:rPr>
            </w:pPr>
            <w:r w:rsidRPr="00264D5D">
              <w:rPr>
                <w:color w:val="000000"/>
                <w:szCs w:val="22"/>
              </w:rPr>
              <w:t>Фамилия</w:t>
            </w:r>
          </w:p>
        </w:tc>
        <w:tc>
          <w:tcPr>
            <w:tcW w:w="883" w:type="pct"/>
          </w:tcPr>
          <w:p w14:paraId="6202B1B1" w14:textId="77777777" w:rsidR="00AD1F54" w:rsidRPr="00264D5D" w:rsidRDefault="00941227">
            <w:pPr>
              <w:pStyle w:val="GOSTTablenorm"/>
              <w:rPr>
                <w:color w:val="000000"/>
                <w:szCs w:val="22"/>
                <w:lang w:val="en-US"/>
              </w:rPr>
            </w:pPr>
            <w:r w:rsidRPr="00264D5D">
              <w:rPr>
                <w:color w:val="000000"/>
                <w:szCs w:val="22"/>
                <w:lang w:val="en-US"/>
              </w:rPr>
              <w:t>Srnm</w:t>
            </w:r>
          </w:p>
        </w:tc>
        <w:tc>
          <w:tcPr>
            <w:tcW w:w="294" w:type="pct"/>
          </w:tcPr>
          <w:p w14:paraId="1C67C006" w14:textId="77777777" w:rsidR="00AD1F54" w:rsidRPr="00264D5D" w:rsidRDefault="00941227">
            <w:pPr>
              <w:pStyle w:val="GOSTTablenorm"/>
              <w:jc w:val="center"/>
              <w:rPr>
                <w:szCs w:val="22"/>
              </w:rPr>
            </w:pPr>
            <w:r w:rsidRPr="00264D5D">
              <w:rPr>
                <w:szCs w:val="22"/>
              </w:rPr>
              <w:t>П</w:t>
            </w:r>
          </w:p>
        </w:tc>
        <w:tc>
          <w:tcPr>
            <w:tcW w:w="588" w:type="pct"/>
          </w:tcPr>
          <w:p w14:paraId="533E6F29" w14:textId="77777777" w:rsidR="00AD1F54" w:rsidRPr="00264D5D" w:rsidRDefault="00941227">
            <w:pPr>
              <w:spacing w:before="60" w:after="60"/>
              <w:rPr>
                <w:sz w:val="22"/>
                <w:szCs w:val="22"/>
                <w:lang w:val="en-US"/>
              </w:rPr>
            </w:pPr>
            <w:r w:rsidRPr="00264D5D">
              <w:rPr>
                <w:sz w:val="22"/>
                <w:szCs w:val="22"/>
                <w:lang w:val="en-US"/>
              </w:rPr>
              <w:t>Т(1-</w:t>
            </w:r>
            <w:r w:rsidRPr="00264D5D">
              <w:rPr>
                <w:sz w:val="22"/>
                <w:szCs w:val="22"/>
              </w:rPr>
              <w:t>40</w:t>
            </w:r>
            <w:r w:rsidRPr="00264D5D">
              <w:rPr>
                <w:sz w:val="22"/>
                <w:szCs w:val="22"/>
                <w:lang w:val="en-US"/>
              </w:rPr>
              <w:t>)</w:t>
            </w:r>
          </w:p>
        </w:tc>
        <w:tc>
          <w:tcPr>
            <w:tcW w:w="293" w:type="pct"/>
          </w:tcPr>
          <w:p w14:paraId="1D3B4E97" w14:textId="77777777" w:rsidR="00AD1F54" w:rsidRPr="00264D5D" w:rsidRDefault="00941227">
            <w:pPr>
              <w:spacing w:before="60" w:after="60"/>
              <w:jc w:val="center"/>
              <w:rPr>
                <w:sz w:val="22"/>
                <w:szCs w:val="22"/>
              </w:rPr>
            </w:pPr>
            <w:r w:rsidRPr="00264D5D">
              <w:rPr>
                <w:sz w:val="22"/>
                <w:szCs w:val="22"/>
              </w:rPr>
              <w:t>О</w:t>
            </w:r>
          </w:p>
        </w:tc>
        <w:tc>
          <w:tcPr>
            <w:tcW w:w="2058" w:type="pct"/>
          </w:tcPr>
          <w:p w14:paraId="0742B067" w14:textId="77777777" w:rsidR="00AD1F54" w:rsidRPr="00264D5D" w:rsidRDefault="00941227">
            <w:pPr>
              <w:spacing w:before="60" w:after="60"/>
              <w:rPr>
                <w:sz w:val="22"/>
                <w:szCs w:val="22"/>
              </w:rPr>
            </w:pPr>
            <w:r w:rsidRPr="00264D5D">
              <w:rPr>
                <w:sz w:val="22"/>
                <w:szCs w:val="22"/>
              </w:rPr>
              <w:t>Фамилия работника, на имя которого заре</w:t>
            </w:r>
            <w:r w:rsidR="00B06B9A" w:rsidRPr="00264D5D">
              <w:rPr>
                <w:sz w:val="22"/>
                <w:szCs w:val="22"/>
              </w:rPr>
              <w:t>гистрирована банковская карта</w:t>
            </w:r>
          </w:p>
        </w:tc>
      </w:tr>
      <w:tr w:rsidR="00AD1F54" w:rsidRPr="00264D5D" w14:paraId="76A15181"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639F8BC1" w14:textId="77777777" w:rsidR="00AD1F54" w:rsidRPr="00264D5D" w:rsidRDefault="00941227">
            <w:pPr>
              <w:pStyle w:val="GOSTTablenorm"/>
              <w:rPr>
                <w:color w:val="000000"/>
                <w:szCs w:val="22"/>
              </w:rPr>
            </w:pPr>
            <w:r w:rsidRPr="00264D5D">
              <w:rPr>
                <w:color w:val="000000"/>
                <w:szCs w:val="22"/>
              </w:rPr>
              <w:t>Имя</w:t>
            </w:r>
          </w:p>
        </w:tc>
        <w:tc>
          <w:tcPr>
            <w:tcW w:w="883" w:type="pct"/>
          </w:tcPr>
          <w:p w14:paraId="7AC157AE" w14:textId="77777777" w:rsidR="00AD1F54" w:rsidRPr="00264D5D" w:rsidRDefault="00941227">
            <w:pPr>
              <w:pStyle w:val="GOSTTablenorm"/>
              <w:rPr>
                <w:color w:val="000000"/>
                <w:szCs w:val="22"/>
                <w:lang w:val="en-US"/>
              </w:rPr>
            </w:pPr>
            <w:r w:rsidRPr="00264D5D">
              <w:rPr>
                <w:color w:val="000000"/>
                <w:szCs w:val="22"/>
                <w:lang w:val="en-US"/>
              </w:rPr>
              <w:t>SubNm</w:t>
            </w:r>
          </w:p>
        </w:tc>
        <w:tc>
          <w:tcPr>
            <w:tcW w:w="294" w:type="pct"/>
          </w:tcPr>
          <w:p w14:paraId="664DB5FB" w14:textId="77777777" w:rsidR="00AD1F54" w:rsidRPr="00264D5D" w:rsidRDefault="00941227">
            <w:pPr>
              <w:pStyle w:val="GOSTTablenorm"/>
              <w:jc w:val="center"/>
              <w:rPr>
                <w:szCs w:val="22"/>
              </w:rPr>
            </w:pPr>
            <w:r w:rsidRPr="00264D5D">
              <w:rPr>
                <w:szCs w:val="22"/>
              </w:rPr>
              <w:t>П</w:t>
            </w:r>
          </w:p>
        </w:tc>
        <w:tc>
          <w:tcPr>
            <w:tcW w:w="588" w:type="pct"/>
          </w:tcPr>
          <w:p w14:paraId="4E4B3D1E" w14:textId="77777777" w:rsidR="00AD1F54" w:rsidRPr="00264D5D" w:rsidRDefault="00941227">
            <w:pPr>
              <w:spacing w:before="60" w:after="60"/>
              <w:rPr>
                <w:sz w:val="22"/>
                <w:szCs w:val="22"/>
                <w:lang w:val="en-US"/>
              </w:rPr>
            </w:pPr>
            <w:r w:rsidRPr="00264D5D">
              <w:rPr>
                <w:sz w:val="22"/>
                <w:szCs w:val="22"/>
                <w:lang w:val="en-US"/>
              </w:rPr>
              <w:t>Т(1-</w:t>
            </w:r>
            <w:r w:rsidRPr="00264D5D">
              <w:rPr>
                <w:sz w:val="22"/>
                <w:szCs w:val="22"/>
              </w:rPr>
              <w:t>20</w:t>
            </w:r>
            <w:r w:rsidRPr="00264D5D">
              <w:rPr>
                <w:sz w:val="22"/>
                <w:szCs w:val="22"/>
                <w:lang w:val="en-US"/>
              </w:rPr>
              <w:t>)</w:t>
            </w:r>
          </w:p>
        </w:tc>
        <w:tc>
          <w:tcPr>
            <w:tcW w:w="293" w:type="pct"/>
          </w:tcPr>
          <w:p w14:paraId="3774870F" w14:textId="77777777" w:rsidR="00AD1F54" w:rsidRPr="00264D5D" w:rsidRDefault="00941227">
            <w:pPr>
              <w:spacing w:before="60" w:after="60"/>
              <w:jc w:val="center"/>
              <w:rPr>
                <w:sz w:val="22"/>
                <w:szCs w:val="22"/>
              </w:rPr>
            </w:pPr>
            <w:r w:rsidRPr="00264D5D">
              <w:rPr>
                <w:sz w:val="22"/>
                <w:szCs w:val="22"/>
              </w:rPr>
              <w:t>О</w:t>
            </w:r>
          </w:p>
        </w:tc>
        <w:tc>
          <w:tcPr>
            <w:tcW w:w="2058" w:type="pct"/>
          </w:tcPr>
          <w:p w14:paraId="0C6E1827" w14:textId="77777777" w:rsidR="00AD1F54" w:rsidRPr="00264D5D" w:rsidRDefault="00941227">
            <w:pPr>
              <w:spacing w:before="60" w:after="60"/>
              <w:rPr>
                <w:sz w:val="22"/>
                <w:szCs w:val="22"/>
              </w:rPr>
            </w:pPr>
            <w:r w:rsidRPr="00264D5D">
              <w:rPr>
                <w:sz w:val="22"/>
                <w:szCs w:val="22"/>
              </w:rPr>
              <w:t>Имя работника, на имя которого зар</w:t>
            </w:r>
            <w:r w:rsidR="00B06B9A" w:rsidRPr="00264D5D">
              <w:rPr>
                <w:sz w:val="22"/>
                <w:szCs w:val="22"/>
              </w:rPr>
              <w:t>егистрирована банковская карта</w:t>
            </w:r>
          </w:p>
        </w:tc>
      </w:tr>
      <w:tr w:rsidR="00AD1F54" w:rsidRPr="00264D5D" w14:paraId="294FF753"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25C0AAB1" w14:textId="77777777" w:rsidR="00AD1F54" w:rsidRPr="00264D5D" w:rsidRDefault="00941227">
            <w:pPr>
              <w:pStyle w:val="GOSTTablenorm"/>
              <w:rPr>
                <w:color w:val="000000"/>
                <w:szCs w:val="22"/>
              </w:rPr>
            </w:pPr>
            <w:r w:rsidRPr="00264D5D">
              <w:rPr>
                <w:color w:val="000000"/>
                <w:szCs w:val="22"/>
              </w:rPr>
              <w:t>Отчество</w:t>
            </w:r>
          </w:p>
        </w:tc>
        <w:tc>
          <w:tcPr>
            <w:tcW w:w="883" w:type="pct"/>
          </w:tcPr>
          <w:p w14:paraId="6B610045" w14:textId="77777777" w:rsidR="00AD1F54" w:rsidRPr="00264D5D" w:rsidRDefault="00941227">
            <w:pPr>
              <w:pStyle w:val="GOSTTablenorm"/>
              <w:rPr>
                <w:color w:val="000000"/>
                <w:szCs w:val="22"/>
                <w:lang w:val="en-US"/>
              </w:rPr>
            </w:pPr>
            <w:r w:rsidRPr="00264D5D">
              <w:rPr>
                <w:color w:val="000000"/>
                <w:szCs w:val="22"/>
                <w:lang w:val="en-US"/>
              </w:rPr>
              <w:t>MdlNm</w:t>
            </w:r>
          </w:p>
        </w:tc>
        <w:tc>
          <w:tcPr>
            <w:tcW w:w="294" w:type="pct"/>
          </w:tcPr>
          <w:p w14:paraId="03544B36" w14:textId="77777777" w:rsidR="00AD1F54" w:rsidRPr="00264D5D" w:rsidRDefault="00941227">
            <w:pPr>
              <w:pStyle w:val="GOSTTablenorm"/>
              <w:jc w:val="center"/>
              <w:rPr>
                <w:szCs w:val="22"/>
              </w:rPr>
            </w:pPr>
            <w:r w:rsidRPr="00264D5D">
              <w:rPr>
                <w:szCs w:val="22"/>
              </w:rPr>
              <w:t>П</w:t>
            </w:r>
          </w:p>
        </w:tc>
        <w:tc>
          <w:tcPr>
            <w:tcW w:w="588" w:type="pct"/>
          </w:tcPr>
          <w:p w14:paraId="53D5F8B5" w14:textId="77777777" w:rsidR="00AD1F54" w:rsidRPr="00264D5D" w:rsidRDefault="00941227">
            <w:pPr>
              <w:spacing w:before="60" w:after="60"/>
              <w:rPr>
                <w:sz w:val="22"/>
                <w:szCs w:val="22"/>
                <w:lang w:val="en-US"/>
              </w:rPr>
            </w:pPr>
            <w:r w:rsidRPr="00264D5D">
              <w:rPr>
                <w:sz w:val="22"/>
                <w:szCs w:val="22"/>
                <w:lang w:val="en-US"/>
              </w:rPr>
              <w:t>Т(1-</w:t>
            </w:r>
            <w:r w:rsidRPr="00264D5D">
              <w:rPr>
                <w:sz w:val="22"/>
                <w:szCs w:val="22"/>
              </w:rPr>
              <w:t>30</w:t>
            </w:r>
            <w:r w:rsidRPr="00264D5D">
              <w:rPr>
                <w:sz w:val="22"/>
                <w:szCs w:val="22"/>
                <w:lang w:val="en-US"/>
              </w:rPr>
              <w:t>)</w:t>
            </w:r>
          </w:p>
        </w:tc>
        <w:tc>
          <w:tcPr>
            <w:tcW w:w="293" w:type="pct"/>
          </w:tcPr>
          <w:p w14:paraId="52B32A65" w14:textId="77777777" w:rsidR="00AD1F54" w:rsidRPr="00264D5D" w:rsidRDefault="00941227">
            <w:pPr>
              <w:spacing w:before="60" w:after="60"/>
              <w:jc w:val="center"/>
              <w:rPr>
                <w:sz w:val="22"/>
                <w:szCs w:val="22"/>
              </w:rPr>
            </w:pPr>
            <w:r w:rsidRPr="00264D5D">
              <w:rPr>
                <w:sz w:val="22"/>
                <w:szCs w:val="22"/>
              </w:rPr>
              <w:t>О</w:t>
            </w:r>
          </w:p>
        </w:tc>
        <w:tc>
          <w:tcPr>
            <w:tcW w:w="2058" w:type="pct"/>
          </w:tcPr>
          <w:p w14:paraId="3E6E5216" w14:textId="77777777" w:rsidR="00AD1F54" w:rsidRPr="00264D5D" w:rsidRDefault="00941227">
            <w:pPr>
              <w:spacing w:before="60" w:after="60"/>
              <w:rPr>
                <w:sz w:val="22"/>
                <w:szCs w:val="22"/>
              </w:rPr>
            </w:pPr>
            <w:r w:rsidRPr="00264D5D">
              <w:rPr>
                <w:sz w:val="22"/>
                <w:szCs w:val="22"/>
              </w:rPr>
              <w:t>Отчество работника, на имя которого за</w:t>
            </w:r>
            <w:r w:rsidR="00B06B9A" w:rsidRPr="00264D5D">
              <w:rPr>
                <w:sz w:val="22"/>
                <w:szCs w:val="22"/>
              </w:rPr>
              <w:t>регистрирована банковская карта</w:t>
            </w:r>
          </w:p>
        </w:tc>
      </w:tr>
    </w:tbl>
    <w:p w14:paraId="7BD0031D" w14:textId="77777777" w:rsidR="00AD1F54" w:rsidRPr="00264D5D" w:rsidRDefault="00941227">
      <w:pPr>
        <w:pStyle w:val="31"/>
      </w:pPr>
      <w:bookmarkStart w:id="2966" w:name="_Toc18509299"/>
      <w:bookmarkStart w:id="2967" w:name="_Toc219309729"/>
      <w:r w:rsidRPr="00264D5D">
        <w:lastRenderedPageBreak/>
        <w:t>Описание комплексного типа «tZNKBK»</w:t>
      </w:r>
      <w:bookmarkEnd w:id="2966"/>
      <w:bookmarkEnd w:id="2967"/>
    </w:p>
    <w:p w14:paraId="7614792D" w14:textId="77777777" w:rsidR="00AD1F54" w:rsidRPr="00264D5D" w:rsidRDefault="00941227">
      <w:pPr>
        <w:pStyle w:val="GOSTNormal"/>
        <w:rPr>
          <w:szCs w:val="24"/>
        </w:rPr>
      </w:pPr>
      <w:r w:rsidRPr="00264D5D">
        <w:rPr>
          <w:szCs w:val="24"/>
        </w:rPr>
        <w:t>Описание комплексного типа «tZNKBK» блока «Расшифровка заявки на получение денег».</w:t>
      </w:r>
    </w:p>
    <w:p w14:paraId="0A79A71E" w14:textId="1F708367"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2968" w:name="_Ref524690629"/>
      <w:bookmarkStart w:id="2969" w:name="_Toc18509582"/>
      <w:bookmarkStart w:id="2970" w:name="_Toc219309287"/>
      <w:r w:rsidR="008D797C">
        <w:rPr>
          <w:noProof/>
        </w:rPr>
        <w:t>257</w:t>
      </w:r>
      <w:bookmarkEnd w:id="2968"/>
      <w:r w:rsidRPr="00264D5D">
        <w:fldChar w:fldCharType="end"/>
      </w:r>
      <w:r w:rsidRPr="00264D5D">
        <w:t xml:space="preserve"> – Описание комплексного типа «tZNKBK»</w:t>
      </w:r>
      <w:bookmarkEnd w:id="2969"/>
      <w:bookmarkEnd w:id="2970"/>
    </w:p>
    <w:tbl>
      <w:tblPr>
        <w:tblStyle w:val="GOSTTable"/>
        <w:tblW w:w="9633" w:type="dxa"/>
        <w:tblLayout w:type="fixed"/>
        <w:tblLook w:val="04A0" w:firstRow="1" w:lastRow="0" w:firstColumn="1" w:lastColumn="0" w:noHBand="0" w:noVBand="1"/>
      </w:tblPr>
      <w:tblGrid>
        <w:gridCol w:w="1701"/>
        <w:gridCol w:w="1701"/>
        <w:gridCol w:w="567"/>
        <w:gridCol w:w="1134"/>
        <w:gridCol w:w="567"/>
        <w:gridCol w:w="3963"/>
      </w:tblGrid>
      <w:tr w:rsidR="00AD1F54" w:rsidRPr="00264D5D" w14:paraId="72318230"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780CCF6F" w14:textId="77777777" w:rsidR="00AD1F54" w:rsidRPr="00264D5D" w:rsidRDefault="00941227">
            <w:pPr>
              <w:pStyle w:val="ASFKTableHead"/>
            </w:pPr>
            <w:r w:rsidRPr="00264D5D">
              <w:t>Наименование комплексного типа</w:t>
            </w:r>
          </w:p>
        </w:tc>
        <w:tc>
          <w:tcPr>
            <w:tcW w:w="1701" w:type="dxa"/>
          </w:tcPr>
          <w:p w14:paraId="1E7ED59B" w14:textId="77777777" w:rsidR="00AD1F54" w:rsidRPr="00264D5D" w:rsidRDefault="00941227">
            <w:pPr>
              <w:pStyle w:val="ASFKTableHead"/>
            </w:pPr>
            <w:r w:rsidRPr="00264D5D">
              <w:t>Текущий элемент/ атрибут</w:t>
            </w:r>
          </w:p>
        </w:tc>
        <w:tc>
          <w:tcPr>
            <w:tcW w:w="567" w:type="dxa"/>
          </w:tcPr>
          <w:p w14:paraId="02D54D97" w14:textId="77777777" w:rsidR="00AD1F54" w:rsidRPr="00264D5D" w:rsidRDefault="00941227">
            <w:pPr>
              <w:pStyle w:val="ASFKTableHead"/>
            </w:pPr>
            <w:r w:rsidRPr="00264D5D">
              <w:t>Тип</w:t>
            </w:r>
          </w:p>
        </w:tc>
        <w:tc>
          <w:tcPr>
            <w:tcW w:w="1134" w:type="dxa"/>
          </w:tcPr>
          <w:p w14:paraId="4C0E48C3" w14:textId="77777777" w:rsidR="00AD1F54" w:rsidRPr="00264D5D" w:rsidRDefault="00941227">
            <w:pPr>
              <w:pStyle w:val="ASFKTableHead"/>
            </w:pPr>
            <w:r w:rsidRPr="00264D5D">
              <w:t>Формат элемента</w:t>
            </w:r>
          </w:p>
        </w:tc>
        <w:tc>
          <w:tcPr>
            <w:tcW w:w="567" w:type="dxa"/>
          </w:tcPr>
          <w:p w14:paraId="5B0A2F71" w14:textId="77777777" w:rsidR="00AD1F54" w:rsidRPr="00264D5D" w:rsidRDefault="00941227">
            <w:pPr>
              <w:pStyle w:val="ASFKTableHead"/>
            </w:pPr>
            <w:r w:rsidRPr="00264D5D">
              <w:t>Обязательность</w:t>
            </w:r>
          </w:p>
        </w:tc>
        <w:tc>
          <w:tcPr>
            <w:tcW w:w="3963" w:type="dxa"/>
          </w:tcPr>
          <w:p w14:paraId="30CAE149" w14:textId="77777777" w:rsidR="00AD1F54" w:rsidRPr="00264D5D" w:rsidRDefault="00941227">
            <w:pPr>
              <w:pStyle w:val="ASFKTableHead"/>
            </w:pPr>
            <w:r w:rsidRPr="00264D5D">
              <w:t>Дополнительная информация</w:t>
            </w:r>
          </w:p>
        </w:tc>
      </w:tr>
      <w:tr w:rsidR="00AD1F54" w:rsidRPr="00264D5D" w14:paraId="7E932A88"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705C4F04" w14:textId="77777777" w:rsidR="00AD1F54" w:rsidRPr="00264D5D" w:rsidRDefault="00941227">
            <w:pPr>
              <w:pStyle w:val="GOSTTablenorm"/>
            </w:pPr>
            <w:r w:rsidRPr="00264D5D">
              <w:t>tZNKBK</w:t>
            </w:r>
          </w:p>
        </w:tc>
        <w:tc>
          <w:tcPr>
            <w:tcW w:w="1701" w:type="dxa"/>
          </w:tcPr>
          <w:p w14:paraId="205035BB" w14:textId="77777777" w:rsidR="00AD1F54" w:rsidRPr="00264D5D" w:rsidRDefault="00941227">
            <w:pPr>
              <w:pStyle w:val="GOSTTablenorm"/>
            </w:pPr>
            <w:r w:rsidRPr="00264D5D">
              <w:t>ZNKBK_ITEM</w:t>
            </w:r>
          </w:p>
        </w:tc>
        <w:tc>
          <w:tcPr>
            <w:tcW w:w="567" w:type="dxa"/>
          </w:tcPr>
          <w:p w14:paraId="402A025A" w14:textId="77777777" w:rsidR="00AD1F54" w:rsidRPr="00264D5D" w:rsidRDefault="00941227">
            <w:pPr>
              <w:pStyle w:val="GOSTTablenorm"/>
              <w:jc w:val="center"/>
            </w:pPr>
            <w:r w:rsidRPr="00264D5D">
              <w:t>С</w:t>
            </w:r>
          </w:p>
        </w:tc>
        <w:tc>
          <w:tcPr>
            <w:tcW w:w="1134" w:type="dxa"/>
          </w:tcPr>
          <w:p w14:paraId="26A9121C" w14:textId="77777777" w:rsidR="00AD1F54" w:rsidRPr="00264D5D" w:rsidRDefault="00941227">
            <w:pPr>
              <w:pStyle w:val="GOSTTablenorm"/>
            </w:pPr>
            <w:r w:rsidRPr="00264D5D">
              <w:t>tZNKBK_ITEM</w:t>
            </w:r>
          </w:p>
        </w:tc>
        <w:tc>
          <w:tcPr>
            <w:tcW w:w="567" w:type="dxa"/>
          </w:tcPr>
          <w:p w14:paraId="3F2886BA" w14:textId="77777777" w:rsidR="00AD1F54" w:rsidRPr="00264D5D" w:rsidRDefault="00941227">
            <w:pPr>
              <w:pStyle w:val="GOSTTablenorm"/>
              <w:jc w:val="center"/>
            </w:pPr>
            <w:r w:rsidRPr="00264D5D">
              <w:t>ОМ</w:t>
            </w:r>
          </w:p>
        </w:tc>
        <w:tc>
          <w:tcPr>
            <w:tcW w:w="3963" w:type="dxa"/>
          </w:tcPr>
          <w:p w14:paraId="10C55D26" w14:textId="0074CE87" w:rsidR="00AD1F54" w:rsidRPr="00264D5D" w:rsidRDefault="00941227">
            <w:pPr>
              <w:pStyle w:val="GOSTTablenorm"/>
            </w:pPr>
            <w:r w:rsidRPr="00264D5D">
              <w:t xml:space="preserve">Состав элемента представлен в таблице </w:t>
            </w:r>
            <w:r w:rsidRPr="00264D5D">
              <w:rPr>
                <w:b/>
              </w:rPr>
              <w:fldChar w:fldCharType="begin"/>
            </w:r>
            <w:r w:rsidRPr="00264D5D">
              <w:rPr>
                <w:b/>
              </w:rPr>
              <w:instrText xml:space="preserve"> REF _Ref524691127 \h  \* MERGEFORMAT </w:instrText>
            </w:r>
            <w:r w:rsidRPr="00264D5D">
              <w:rPr>
                <w:b/>
              </w:rPr>
            </w:r>
            <w:r w:rsidRPr="00264D5D">
              <w:rPr>
                <w:b/>
              </w:rPr>
              <w:fldChar w:fldCharType="separate"/>
            </w:r>
            <w:r w:rsidR="008D797C" w:rsidRPr="008D797C">
              <w:rPr>
                <w:b/>
                <w:szCs w:val="24"/>
              </w:rPr>
              <w:t>258</w:t>
            </w:r>
            <w:r w:rsidRPr="00264D5D">
              <w:rPr>
                <w:b/>
              </w:rPr>
              <w:fldChar w:fldCharType="end"/>
            </w:r>
          </w:p>
        </w:tc>
      </w:tr>
    </w:tbl>
    <w:p w14:paraId="6ED3984B" w14:textId="77777777" w:rsidR="00AD1F54" w:rsidRPr="00264D5D" w:rsidRDefault="00941227">
      <w:pPr>
        <w:pStyle w:val="31"/>
      </w:pPr>
      <w:bookmarkStart w:id="2971" w:name="_Toc18509300"/>
      <w:bookmarkStart w:id="2972" w:name="_Toc219309730"/>
      <w:r w:rsidRPr="00264D5D">
        <w:t>Описание комплексного типа «tZNKBK_ITEM»</w:t>
      </w:r>
      <w:bookmarkEnd w:id="2971"/>
      <w:bookmarkEnd w:id="2972"/>
    </w:p>
    <w:p w14:paraId="46865CDF" w14:textId="77777777" w:rsidR="00AD1F54" w:rsidRPr="00264D5D" w:rsidRDefault="00941227">
      <w:pPr>
        <w:pStyle w:val="GOSTNormal"/>
        <w:rPr>
          <w:szCs w:val="24"/>
        </w:rPr>
      </w:pPr>
      <w:r w:rsidRPr="00264D5D">
        <w:rPr>
          <w:szCs w:val="24"/>
        </w:rPr>
        <w:t>Описание комплексного типа «tZNKBK_ITEM» блока «Расшифровка заявки на получение денег (строки)».</w:t>
      </w:r>
    </w:p>
    <w:p w14:paraId="2BA5B8F2" w14:textId="1579EE4B" w:rsidR="00AD1F54" w:rsidRPr="00264D5D" w:rsidRDefault="001E5517">
      <w:pPr>
        <w:pStyle w:val="GOSTNameTable"/>
        <w:numPr>
          <w:ilvl w:val="0"/>
          <w:numId w:val="2"/>
        </w:numPr>
        <w:ind w:left="425" w:hanging="357"/>
      </w:pPr>
      <w:r w:rsidRPr="00264D5D">
        <w:rPr>
          <w:noProof/>
        </w:rPr>
        <w:fldChar w:fldCharType="begin"/>
      </w:r>
      <w:r w:rsidRPr="00264D5D">
        <w:rPr>
          <w:noProof/>
        </w:rPr>
        <w:instrText xml:space="preserve"> SEQ Таблица \* ARABIC </w:instrText>
      </w:r>
      <w:r w:rsidRPr="00264D5D">
        <w:rPr>
          <w:noProof/>
        </w:rPr>
        <w:fldChar w:fldCharType="separate"/>
      </w:r>
      <w:bookmarkStart w:id="2973" w:name="_Ref524691127"/>
      <w:bookmarkStart w:id="2974" w:name="_Toc18509583"/>
      <w:bookmarkStart w:id="2975" w:name="_Toc219309288"/>
      <w:r w:rsidR="008D797C">
        <w:rPr>
          <w:noProof/>
        </w:rPr>
        <w:t>258</w:t>
      </w:r>
      <w:bookmarkEnd w:id="2973"/>
      <w:r w:rsidRPr="00264D5D">
        <w:rPr>
          <w:noProof/>
        </w:rPr>
        <w:fldChar w:fldCharType="end"/>
      </w:r>
      <w:r w:rsidR="00941227" w:rsidRPr="00264D5D">
        <w:t xml:space="preserve"> – Описание комплексного типа «tZNKBK_ITEM»</w:t>
      </w:r>
      <w:bookmarkEnd w:id="2974"/>
      <w:bookmarkEnd w:id="2975"/>
    </w:p>
    <w:tbl>
      <w:tblPr>
        <w:tblStyle w:val="GOSTTable"/>
        <w:tblW w:w="5000" w:type="pct"/>
        <w:tblLayout w:type="fixed"/>
        <w:tblLook w:val="01E0" w:firstRow="1" w:lastRow="1" w:firstColumn="1" w:lastColumn="1" w:noHBand="0" w:noVBand="0"/>
      </w:tblPr>
      <w:tblGrid>
        <w:gridCol w:w="1704"/>
        <w:gridCol w:w="1704"/>
        <w:gridCol w:w="568"/>
        <w:gridCol w:w="1136"/>
        <w:gridCol w:w="568"/>
        <w:gridCol w:w="3970"/>
      </w:tblGrid>
      <w:tr w:rsidR="00AD1F54" w:rsidRPr="00264D5D" w14:paraId="152A6149"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0FB4DEE7" w14:textId="77777777" w:rsidR="00AD1F54" w:rsidRPr="00264D5D" w:rsidRDefault="00941227">
            <w:pPr>
              <w:pStyle w:val="ASFKTableHead"/>
            </w:pPr>
            <w:r w:rsidRPr="00264D5D">
              <w:t>Наименование элемента</w:t>
            </w:r>
          </w:p>
        </w:tc>
        <w:tc>
          <w:tcPr>
            <w:tcW w:w="1701" w:type="dxa"/>
          </w:tcPr>
          <w:p w14:paraId="28D8063B" w14:textId="77777777" w:rsidR="00AD1F54" w:rsidRPr="00264D5D" w:rsidRDefault="00941227">
            <w:pPr>
              <w:pStyle w:val="ASFKTableHead"/>
            </w:pPr>
            <w:r w:rsidRPr="00264D5D">
              <w:t>Сокращенное наименование (код) элемента</w:t>
            </w:r>
          </w:p>
        </w:tc>
        <w:tc>
          <w:tcPr>
            <w:tcW w:w="567" w:type="dxa"/>
          </w:tcPr>
          <w:p w14:paraId="0273D5C3" w14:textId="77777777" w:rsidR="00AD1F54" w:rsidRPr="00264D5D" w:rsidRDefault="00941227">
            <w:pPr>
              <w:pStyle w:val="ASFKTableHead"/>
            </w:pPr>
            <w:r w:rsidRPr="00264D5D">
              <w:t>Тип</w:t>
            </w:r>
          </w:p>
        </w:tc>
        <w:tc>
          <w:tcPr>
            <w:tcW w:w="1134" w:type="dxa"/>
          </w:tcPr>
          <w:p w14:paraId="30DC4287" w14:textId="77777777" w:rsidR="00AD1F54" w:rsidRPr="00264D5D" w:rsidRDefault="00941227">
            <w:pPr>
              <w:pStyle w:val="ASFKTableHead"/>
            </w:pPr>
            <w:r w:rsidRPr="00264D5D">
              <w:t>Формат элемента</w:t>
            </w:r>
          </w:p>
        </w:tc>
        <w:tc>
          <w:tcPr>
            <w:tcW w:w="567" w:type="dxa"/>
          </w:tcPr>
          <w:p w14:paraId="0CF100BA" w14:textId="77777777" w:rsidR="00AD1F54" w:rsidRPr="00264D5D" w:rsidRDefault="00941227">
            <w:pPr>
              <w:pStyle w:val="ASFKTableHead"/>
            </w:pPr>
            <w:r w:rsidRPr="00264D5D">
              <w:t>Обязательность</w:t>
            </w:r>
          </w:p>
        </w:tc>
        <w:tc>
          <w:tcPr>
            <w:tcW w:w="3963" w:type="dxa"/>
          </w:tcPr>
          <w:p w14:paraId="14B59539" w14:textId="77777777" w:rsidR="00AD1F54" w:rsidRPr="00264D5D" w:rsidRDefault="00941227">
            <w:pPr>
              <w:pStyle w:val="ASFKTableHead"/>
            </w:pPr>
            <w:r w:rsidRPr="00264D5D">
              <w:t>Дополнительная информация</w:t>
            </w:r>
          </w:p>
        </w:tc>
      </w:tr>
      <w:tr w:rsidR="00AD1F54" w:rsidRPr="00264D5D" w14:paraId="7E00671B" w14:textId="77777777" w:rsidTr="00AD1F54">
        <w:trPr>
          <w:cnfStyle w:val="000000100000" w:firstRow="0" w:lastRow="0" w:firstColumn="0" w:lastColumn="0" w:oddVBand="0" w:evenVBand="0" w:oddHBand="1" w:evenHBand="0" w:firstRowFirstColumn="0" w:firstRowLastColumn="0" w:lastRowFirstColumn="0" w:lastRowLastColumn="0"/>
          <w:trHeight w:val="85"/>
        </w:trPr>
        <w:tc>
          <w:tcPr>
            <w:tcW w:w="1701" w:type="dxa"/>
          </w:tcPr>
          <w:p w14:paraId="15E2DC21" w14:textId="77777777" w:rsidR="00AD1F54" w:rsidRPr="00264D5D" w:rsidRDefault="00941227">
            <w:pPr>
              <w:pStyle w:val="GOSTTablenorm"/>
              <w:rPr>
                <w:szCs w:val="22"/>
              </w:rPr>
            </w:pPr>
            <w:r w:rsidRPr="00264D5D">
              <w:rPr>
                <w:szCs w:val="22"/>
              </w:rPr>
              <w:t>Порядковый номер</w:t>
            </w:r>
          </w:p>
        </w:tc>
        <w:tc>
          <w:tcPr>
            <w:tcW w:w="1701" w:type="dxa"/>
          </w:tcPr>
          <w:p w14:paraId="3B2390B7" w14:textId="77777777" w:rsidR="00AD1F54" w:rsidRPr="00264D5D" w:rsidRDefault="00941227">
            <w:pPr>
              <w:pStyle w:val="GOSTTablenorm"/>
              <w:rPr>
                <w:szCs w:val="22"/>
                <w:lang w:val="en-US"/>
              </w:rPr>
            </w:pPr>
            <w:r w:rsidRPr="00264D5D">
              <w:rPr>
                <w:szCs w:val="22"/>
                <w:lang w:val="en-US"/>
              </w:rPr>
              <w:t>RcrdNm</w:t>
            </w:r>
          </w:p>
        </w:tc>
        <w:tc>
          <w:tcPr>
            <w:tcW w:w="567" w:type="dxa"/>
          </w:tcPr>
          <w:p w14:paraId="5E739532" w14:textId="77777777" w:rsidR="00AD1F54" w:rsidRPr="00264D5D" w:rsidRDefault="00941227">
            <w:pPr>
              <w:pStyle w:val="GOSTTablenorm"/>
              <w:jc w:val="center"/>
              <w:rPr>
                <w:szCs w:val="22"/>
              </w:rPr>
            </w:pPr>
            <w:r w:rsidRPr="00264D5D">
              <w:rPr>
                <w:szCs w:val="22"/>
              </w:rPr>
              <w:t>П</w:t>
            </w:r>
          </w:p>
        </w:tc>
        <w:tc>
          <w:tcPr>
            <w:tcW w:w="1134" w:type="dxa"/>
          </w:tcPr>
          <w:p w14:paraId="132F7B67" w14:textId="77777777" w:rsidR="00AD1F54" w:rsidRPr="00264D5D" w:rsidRDefault="00941227">
            <w:pPr>
              <w:pStyle w:val="GOSTTablenorm"/>
              <w:rPr>
                <w:szCs w:val="22"/>
                <w:lang w:val="en-US"/>
              </w:rPr>
            </w:pPr>
            <w:r w:rsidRPr="00264D5D">
              <w:rPr>
                <w:szCs w:val="22"/>
                <w:lang w:val="en-US"/>
              </w:rPr>
              <w:t>Т(1-</w:t>
            </w:r>
            <w:r w:rsidRPr="00264D5D">
              <w:rPr>
                <w:szCs w:val="22"/>
              </w:rPr>
              <w:t>25</w:t>
            </w:r>
            <w:r w:rsidRPr="00264D5D">
              <w:rPr>
                <w:szCs w:val="22"/>
                <w:lang w:val="en-US"/>
              </w:rPr>
              <w:t>)</w:t>
            </w:r>
          </w:p>
        </w:tc>
        <w:tc>
          <w:tcPr>
            <w:tcW w:w="567" w:type="dxa"/>
          </w:tcPr>
          <w:p w14:paraId="1F9DE8E6" w14:textId="77777777" w:rsidR="00AD1F54" w:rsidRPr="00264D5D" w:rsidRDefault="00941227">
            <w:pPr>
              <w:spacing w:before="60" w:after="60"/>
              <w:ind w:firstLine="13"/>
              <w:jc w:val="center"/>
              <w:rPr>
                <w:sz w:val="22"/>
                <w:szCs w:val="22"/>
              </w:rPr>
            </w:pPr>
            <w:r w:rsidRPr="00264D5D">
              <w:rPr>
                <w:sz w:val="22"/>
                <w:szCs w:val="22"/>
              </w:rPr>
              <w:t>О</w:t>
            </w:r>
          </w:p>
        </w:tc>
        <w:tc>
          <w:tcPr>
            <w:tcW w:w="3963" w:type="dxa"/>
          </w:tcPr>
          <w:p w14:paraId="07FC882A" w14:textId="77777777" w:rsidR="00AD1F54" w:rsidRPr="00264D5D" w:rsidRDefault="00941227">
            <w:pPr>
              <w:spacing w:before="60" w:after="60"/>
              <w:ind w:firstLine="13"/>
              <w:rPr>
                <w:sz w:val="22"/>
                <w:szCs w:val="22"/>
              </w:rPr>
            </w:pPr>
            <w:r w:rsidRPr="00264D5D">
              <w:rPr>
                <w:sz w:val="22"/>
                <w:szCs w:val="22"/>
              </w:rPr>
              <w:t>Порядков</w:t>
            </w:r>
            <w:r w:rsidR="00B06B9A" w:rsidRPr="00264D5D">
              <w:rPr>
                <w:sz w:val="22"/>
                <w:szCs w:val="22"/>
              </w:rPr>
              <w:t>ый номер записи</w:t>
            </w:r>
          </w:p>
        </w:tc>
      </w:tr>
      <w:tr w:rsidR="00AD1F54" w:rsidRPr="00264D5D" w14:paraId="100219B9" w14:textId="77777777" w:rsidTr="00AD1F54">
        <w:trPr>
          <w:cnfStyle w:val="000000010000" w:firstRow="0" w:lastRow="0" w:firstColumn="0" w:lastColumn="0" w:oddVBand="0" w:evenVBand="0" w:oddHBand="0" w:evenHBand="1" w:firstRowFirstColumn="0" w:firstRowLastColumn="0" w:lastRowFirstColumn="0" w:lastRowLastColumn="0"/>
          <w:trHeight w:val="85"/>
        </w:trPr>
        <w:tc>
          <w:tcPr>
            <w:tcW w:w="1701" w:type="dxa"/>
          </w:tcPr>
          <w:p w14:paraId="70806B52" w14:textId="77777777" w:rsidR="00AD1F54" w:rsidRPr="00264D5D" w:rsidRDefault="00941227">
            <w:pPr>
              <w:pStyle w:val="GOSTTablenorm"/>
              <w:rPr>
                <w:szCs w:val="22"/>
              </w:rPr>
            </w:pPr>
            <w:r w:rsidRPr="00264D5D">
              <w:rPr>
                <w:szCs w:val="22"/>
              </w:rPr>
              <w:t>Вид средств</w:t>
            </w:r>
          </w:p>
        </w:tc>
        <w:tc>
          <w:tcPr>
            <w:tcW w:w="1701" w:type="dxa"/>
          </w:tcPr>
          <w:p w14:paraId="09A21404" w14:textId="77777777" w:rsidR="00AD1F54" w:rsidRPr="00264D5D" w:rsidRDefault="00941227">
            <w:pPr>
              <w:pStyle w:val="GOSTTablenorm"/>
              <w:rPr>
                <w:szCs w:val="22"/>
                <w:lang w:val="en-US"/>
              </w:rPr>
            </w:pPr>
            <w:r w:rsidRPr="00264D5D">
              <w:rPr>
                <w:szCs w:val="22"/>
              </w:rPr>
              <w:t>FndSrcCd</w:t>
            </w:r>
          </w:p>
        </w:tc>
        <w:tc>
          <w:tcPr>
            <w:tcW w:w="567" w:type="dxa"/>
          </w:tcPr>
          <w:p w14:paraId="29E68E3C" w14:textId="77777777" w:rsidR="00AD1F54" w:rsidRPr="00264D5D" w:rsidRDefault="00941227">
            <w:pPr>
              <w:pStyle w:val="GOSTTablenorm"/>
              <w:jc w:val="center"/>
              <w:rPr>
                <w:szCs w:val="22"/>
              </w:rPr>
            </w:pPr>
            <w:r w:rsidRPr="00264D5D">
              <w:rPr>
                <w:szCs w:val="22"/>
              </w:rPr>
              <w:t>С</w:t>
            </w:r>
          </w:p>
        </w:tc>
        <w:tc>
          <w:tcPr>
            <w:tcW w:w="1134" w:type="dxa"/>
          </w:tcPr>
          <w:p w14:paraId="0CEB50CB" w14:textId="77777777" w:rsidR="00AD1F54" w:rsidRPr="00264D5D" w:rsidRDefault="00941227">
            <w:pPr>
              <w:pStyle w:val="GOSTTablenorm"/>
              <w:rPr>
                <w:szCs w:val="22"/>
                <w:lang w:val="en-US"/>
              </w:rPr>
            </w:pPr>
            <w:r w:rsidRPr="00264D5D">
              <w:rPr>
                <w:rFonts w:eastAsia="Calibri"/>
                <w:szCs w:val="22"/>
              </w:rPr>
              <w:t>tMSC_SrcTypeComplex6</w:t>
            </w:r>
          </w:p>
        </w:tc>
        <w:tc>
          <w:tcPr>
            <w:tcW w:w="567" w:type="dxa"/>
          </w:tcPr>
          <w:p w14:paraId="3A8729AE" w14:textId="77777777" w:rsidR="00AD1F54" w:rsidRPr="00264D5D" w:rsidRDefault="00941227">
            <w:pPr>
              <w:spacing w:before="60" w:after="60"/>
              <w:ind w:firstLine="13"/>
              <w:jc w:val="center"/>
              <w:rPr>
                <w:sz w:val="22"/>
                <w:szCs w:val="22"/>
              </w:rPr>
            </w:pPr>
            <w:r w:rsidRPr="00264D5D">
              <w:rPr>
                <w:sz w:val="22"/>
                <w:szCs w:val="22"/>
              </w:rPr>
              <w:t>О</w:t>
            </w:r>
          </w:p>
        </w:tc>
        <w:tc>
          <w:tcPr>
            <w:tcW w:w="3963" w:type="dxa"/>
          </w:tcPr>
          <w:p w14:paraId="6E56B8F2" w14:textId="300BC67D" w:rsidR="00AD1F54" w:rsidRPr="00264D5D" w:rsidRDefault="00941227">
            <w:pPr>
              <w:spacing w:before="60" w:after="60"/>
              <w:ind w:firstLine="13"/>
              <w:rPr>
                <w:sz w:val="22"/>
                <w:szCs w:val="22"/>
              </w:rPr>
            </w:pPr>
            <w:r w:rsidRPr="00264D5D">
              <w:rPr>
                <w:sz w:val="22"/>
                <w:szCs w:val="22"/>
              </w:rPr>
              <w:t xml:space="preserve">Состав элемента представлен в таблице </w:t>
            </w:r>
            <w:r w:rsidRPr="00264D5D">
              <w:rPr>
                <w:b/>
              </w:rPr>
              <w:fldChar w:fldCharType="begin"/>
            </w:r>
            <w:r w:rsidRPr="00264D5D">
              <w:rPr>
                <w:b/>
              </w:rPr>
              <w:instrText xml:space="preserve"> REF _Ref524014229 \h  \* MERGEFORMAT </w:instrText>
            </w:r>
            <w:r w:rsidRPr="00264D5D">
              <w:rPr>
                <w:b/>
              </w:rPr>
            </w:r>
            <w:r w:rsidRPr="00264D5D">
              <w:rPr>
                <w:b/>
              </w:rPr>
              <w:fldChar w:fldCharType="separate"/>
            </w:r>
            <w:r w:rsidR="008D797C" w:rsidRPr="008D797C">
              <w:rPr>
                <w:b/>
                <w:sz w:val="22"/>
                <w:szCs w:val="22"/>
              </w:rPr>
              <w:t>254</w:t>
            </w:r>
            <w:r w:rsidRPr="00264D5D">
              <w:rPr>
                <w:b/>
              </w:rPr>
              <w:fldChar w:fldCharType="end"/>
            </w:r>
          </w:p>
        </w:tc>
      </w:tr>
      <w:tr w:rsidR="00AD1F54" w:rsidRPr="00264D5D" w14:paraId="46E8E0A2" w14:textId="77777777" w:rsidTr="00AD1F54">
        <w:trPr>
          <w:cnfStyle w:val="000000100000" w:firstRow="0" w:lastRow="0" w:firstColumn="0" w:lastColumn="0" w:oddVBand="0" w:evenVBand="0" w:oddHBand="1" w:evenHBand="0" w:firstRowFirstColumn="0" w:firstRowLastColumn="0" w:lastRowFirstColumn="0" w:lastRowLastColumn="0"/>
          <w:trHeight w:val="85"/>
        </w:trPr>
        <w:tc>
          <w:tcPr>
            <w:tcW w:w="1701" w:type="dxa"/>
          </w:tcPr>
          <w:p w14:paraId="3BA180C9" w14:textId="77777777" w:rsidR="00AD1F54" w:rsidRPr="00264D5D" w:rsidRDefault="00941227">
            <w:pPr>
              <w:pStyle w:val="GOSTTablenorm"/>
              <w:rPr>
                <w:szCs w:val="22"/>
              </w:rPr>
            </w:pPr>
            <w:r w:rsidRPr="00264D5D">
              <w:rPr>
                <w:szCs w:val="22"/>
              </w:rPr>
              <w:t>КБК</w:t>
            </w:r>
          </w:p>
        </w:tc>
        <w:tc>
          <w:tcPr>
            <w:tcW w:w="1701" w:type="dxa"/>
          </w:tcPr>
          <w:p w14:paraId="3DD669CC" w14:textId="77777777" w:rsidR="00AD1F54" w:rsidRPr="00264D5D" w:rsidRDefault="00941227">
            <w:pPr>
              <w:pStyle w:val="GOSTTablenorm"/>
              <w:rPr>
                <w:szCs w:val="22"/>
                <w:lang w:val="en-US"/>
              </w:rPr>
            </w:pPr>
            <w:r w:rsidRPr="00264D5D">
              <w:rPr>
                <w:szCs w:val="22"/>
                <w:lang w:val="en-US"/>
              </w:rPr>
              <w:t>MSC_KBK10_20</w:t>
            </w:r>
          </w:p>
        </w:tc>
        <w:tc>
          <w:tcPr>
            <w:tcW w:w="567" w:type="dxa"/>
          </w:tcPr>
          <w:p w14:paraId="65A59B96" w14:textId="77777777" w:rsidR="00AD1F54" w:rsidRPr="00264D5D" w:rsidRDefault="00941227">
            <w:pPr>
              <w:pStyle w:val="GOSTTablenorm"/>
              <w:jc w:val="center"/>
              <w:rPr>
                <w:szCs w:val="22"/>
              </w:rPr>
            </w:pPr>
            <w:r w:rsidRPr="00264D5D">
              <w:rPr>
                <w:szCs w:val="22"/>
              </w:rPr>
              <w:t>С</w:t>
            </w:r>
          </w:p>
        </w:tc>
        <w:tc>
          <w:tcPr>
            <w:tcW w:w="1134" w:type="dxa"/>
          </w:tcPr>
          <w:p w14:paraId="1D4EB996" w14:textId="77777777" w:rsidR="00AD1F54" w:rsidRPr="00264D5D" w:rsidRDefault="00941227">
            <w:pPr>
              <w:spacing w:before="60" w:after="60"/>
              <w:ind w:firstLine="16"/>
              <w:rPr>
                <w:sz w:val="22"/>
                <w:szCs w:val="22"/>
                <w:lang w:val="en-US"/>
              </w:rPr>
            </w:pPr>
            <w:r w:rsidRPr="00264D5D">
              <w:rPr>
                <w:sz w:val="22"/>
                <w:szCs w:val="22"/>
              </w:rPr>
              <w:t>tMSC_KBK10_20_</w:t>
            </w:r>
            <w:r w:rsidRPr="00264D5D">
              <w:rPr>
                <w:sz w:val="22"/>
                <w:szCs w:val="22"/>
                <w:lang w:val="en-US"/>
              </w:rPr>
              <w:t>KS</w:t>
            </w:r>
          </w:p>
        </w:tc>
        <w:tc>
          <w:tcPr>
            <w:tcW w:w="567" w:type="dxa"/>
          </w:tcPr>
          <w:p w14:paraId="70327F23" w14:textId="77777777" w:rsidR="00AD1F54" w:rsidRPr="00264D5D" w:rsidRDefault="00941227">
            <w:pPr>
              <w:spacing w:before="60" w:after="60"/>
              <w:ind w:firstLine="13"/>
              <w:jc w:val="center"/>
              <w:rPr>
                <w:sz w:val="22"/>
                <w:szCs w:val="22"/>
              </w:rPr>
            </w:pPr>
            <w:r w:rsidRPr="00264D5D">
              <w:rPr>
                <w:sz w:val="22"/>
                <w:szCs w:val="22"/>
              </w:rPr>
              <w:t>Н</w:t>
            </w:r>
          </w:p>
        </w:tc>
        <w:tc>
          <w:tcPr>
            <w:tcW w:w="3963" w:type="dxa"/>
          </w:tcPr>
          <w:p w14:paraId="5C446523" w14:textId="3790FC5E" w:rsidR="00AD1F54" w:rsidRPr="00264D5D" w:rsidRDefault="00941227">
            <w:pPr>
              <w:spacing w:before="60" w:after="60"/>
              <w:ind w:firstLine="13"/>
              <w:rPr>
                <w:sz w:val="22"/>
                <w:szCs w:val="22"/>
              </w:rPr>
            </w:pPr>
            <w:r w:rsidRPr="00264D5D">
              <w:rPr>
                <w:sz w:val="22"/>
                <w:szCs w:val="22"/>
              </w:rPr>
              <w:t xml:space="preserve">Состав элемента представлен в таблице </w:t>
            </w:r>
            <w:r w:rsidRPr="00264D5D">
              <w:rPr>
                <w:b/>
              </w:rPr>
              <w:fldChar w:fldCharType="begin"/>
            </w:r>
            <w:r w:rsidRPr="00264D5D">
              <w:rPr>
                <w:b/>
              </w:rPr>
              <w:instrText xml:space="preserve"> REF _Ref524014315 \h  \* MERGEFORMAT </w:instrText>
            </w:r>
            <w:r w:rsidRPr="00264D5D">
              <w:rPr>
                <w:b/>
              </w:rPr>
            </w:r>
            <w:r w:rsidRPr="00264D5D">
              <w:rPr>
                <w:b/>
              </w:rPr>
              <w:fldChar w:fldCharType="separate"/>
            </w:r>
            <w:r w:rsidR="008D797C" w:rsidRPr="008D797C">
              <w:rPr>
                <w:b/>
                <w:sz w:val="22"/>
                <w:szCs w:val="22"/>
              </w:rPr>
              <w:t>259</w:t>
            </w:r>
            <w:r w:rsidRPr="00264D5D">
              <w:rPr>
                <w:b/>
              </w:rPr>
              <w:fldChar w:fldCharType="end"/>
            </w:r>
          </w:p>
        </w:tc>
      </w:tr>
      <w:tr w:rsidR="00AD1F54" w:rsidRPr="00264D5D" w14:paraId="5BBB4B9C" w14:textId="77777777" w:rsidTr="00AD1F54">
        <w:trPr>
          <w:cnfStyle w:val="000000010000" w:firstRow="0" w:lastRow="0" w:firstColumn="0" w:lastColumn="0" w:oddVBand="0" w:evenVBand="0" w:oddHBand="0" w:evenHBand="1" w:firstRowFirstColumn="0" w:firstRowLastColumn="0" w:lastRowFirstColumn="0" w:lastRowLastColumn="0"/>
          <w:trHeight w:val="85"/>
        </w:trPr>
        <w:tc>
          <w:tcPr>
            <w:tcW w:w="1701" w:type="dxa"/>
          </w:tcPr>
          <w:p w14:paraId="6EFE766C" w14:textId="77777777" w:rsidR="00AD1F54" w:rsidRPr="00264D5D" w:rsidRDefault="00941227">
            <w:pPr>
              <w:pStyle w:val="GOSTTablenorm"/>
              <w:rPr>
                <w:szCs w:val="22"/>
              </w:rPr>
            </w:pPr>
            <w:r w:rsidRPr="00264D5D">
              <w:t>Символ кассовой отчетности</w:t>
            </w:r>
          </w:p>
        </w:tc>
        <w:tc>
          <w:tcPr>
            <w:tcW w:w="1701" w:type="dxa"/>
          </w:tcPr>
          <w:p w14:paraId="331209B1" w14:textId="77777777" w:rsidR="00AD1F54" w:rsidRPr="00264D5D" w:rsidRDefault="00941227">
            <w:pPr>
              <w:pStyle w:val="GOSTTablenorm"/>
              <w:rPr>
                <w:szCs w:val="22"/>
              </w:rPr>
            </w:pPr>
            <w:r w:rsidRPr="00264D5D">
              <w:rPr>
                <w:szCs w:val="22"/>
                <w:lang w:val="en-US"/>
              </w:rPr>
              <w:t>Smbl</w:t>
            </w:r>
          </w:p>
        </w:tc>
        <w:tc>
          <w:tcPr>
            <w:tcW w:w="567" w:type="dxa"/>
          </w:tcPr>
          <w:p w14:paraId="560A99E6" w14:textId="77777777" w:rsidR="00AD1F54" w:rsidRPr="00264D5D" w:rsidRDefault="00941227">
            <w:pPr>
              <w:pStyle w:val="GOSTTablenorm"/>
              <w:jc w:val="center"/>
              <w:rPr>
                <w:szCs w:val="22"/>
              </w:rPr>
            </w:pPr>
            <w:r w:rsidRPr="00264D5D">
              <w:rPr>
                <w:szCs w:val="22"/>
              </w:rPr>
              <w:t>П</w:t>
            </w:r>
          </w:p>
        </w:tc>
        <w:tc>
          <w:tcPr>
            <w:tcW w:w="1134" w:type="dxa"/>
          </w:tcPr>
          <w:p w14:paraId="6FBEFB25" w14:textId="77777777" w:rsidR="00AD1F54" w:rsidRPr="00264D5D" w:rsidRDefault="00941227">
            <w:pPr>
              <w:spacing w:before="60" w:after="60"/>
              <w:ind w:firstLine="16"/>
              <w:rPr>
                <w:sz w:val="22"/>
                <w:szCs w:val="22"/>
              </w:rPr>
            </w:pPr>
            <w:r w:rsidRPr="00264D5D">
              <w:rPr>
                <w:sz w:val="22"/>
                <w:szCs w:val="22"/>
              </w:rPr>
              <w:t>Т(2)</w:t>
            </w:r>
          </w:p>
        </w:tc>
        <w:tc>
          <w:tcPr>
            <w:tcW w:w="567" w:type="dxa"/>
          </w:tcPr>
          <w:p w14:paraId="0CB5BE8B" w14:textId="77777777" w:rsidR="00AD1F54" w:rsidRPr="00264D5D" w:rsidRDefault="00941227">
            <w:pPr>
              <w:spacing w:before="60" w:after="60"/>
              <w:ind w:firstLine="13"/>
              <w:jc w:val="center"/>
              <w:rPr>
                <w:sz w:val="22"/>
                <w:szCs w:val="22"/>
              </w:rPr>
            </w:pPr>
            <w:r w:rsidRPr="00264D5D">
              <w:rPr>
                <w:sz w:val="22"/>
                <w:szCs w:val="22"/>
              </w:rPr>
              <w:t>Н</w:t>
            </w:r>
          </w:p>
        </w:tc>
        <w:tc>
          <w:tcPr>
            <w:tcW w:w="3963" w:type="dxa"/>
          </w:tcPr>
          <w:p w14:paraId="335B96F7" w14:textId="77777777" w:rsidR="00AD1F54" w:rsidRPr="00264D5D" w:rsidRDefault="00941227">
            <w:pPr>
              <w:spacing w:before="60" w:after="60"/>
              <w:ind w:firstLine="13"/>
              <w:rPr>
                <w:sz w:val="22"/>
                <w:szCs w:val="22"/>
              </w:rPr>
            </w:pPr>
            <w:r w:rsidRPr="00264D5D">
              <w:rPr>
                <w:sz w:val="22"/>
                <w:szCs w:val="22"/>
              </w:rPr>
              <w:t>Указыва</w:t>
            </w:r>
            <w:r w:rsidR="00B06B9A" w:rsidRPr="00264D5D">
              <w:rPr>
                <w:sz w:val="22"/>
                <w:szCs w:val="22"/>
              </w:rPr>
              <w:t>ется символ кассовой отчетности</w:t>
            </w:r>
          </w:p>
        </w:tc>
      </w:tr>
      <w:tr w:rsidR="00AD1F54" w:rsidRPr="00264D5D" w14:paraId="6885DDC2"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B507D42" w14:textId="77777777" w:rsidR="00AD1F54" w:rsidRPr="00264D5D" w:rsidRDefault="00941227">
            <w:pPr>
              <w:pStyle w:val="GOSTTablenorm"/>
              <w:rPr>
                <w:szCs w:val="22"/>
              </w:rPr>
            </w:pPr>
            <w:r w:rsidRPr="00264D5D">
              <w:rPr>
                <w:szCs w:val="22"/>
              </w:rPr>
              <w:t>Назначение платежа</w:t>
            </w:r>
          </w:p>
        </w:tc>
        <w:tc>
          <w:tcPr>
            <w:tcW w:w="1701" w:type="dxa"/>
          </w:tcPr>
          <w:p w14:paraId="19E221CC" w14:textId="77777777" w:rsidR="00AD1F54" w:rsidRPr="00264D5D" w:rsidRDefault="00941227">
            <w:pPr>
              <w:pStyle w:val="GOSTTablenorm"/>
              <w:rPr>
                <w:szCs w:val="22"/>
                <w:lang w:val="en-US"/>
              </w:rPr>
            </w:pPr>
            <w:r w:rsidRPr="00264D5D">
              <w:rPr>
                <w:szCs w:val="22"/>
                <w:lang w:val="en-US"/>
              </w:rPr>
              <w:t>PyPrps</w:t>
            </w:r>
          </w:p>
        </w:tc>
        <w:tc>
          <w:tcPr>
            <w:tcW w:w="567" w:type="dxa"/>
          </w:tcPr>
          <w:p w14:paraId="13375A44" w14:textId="77777777" w:rsidR="00AD1F54" w:rsidRPr="00264D5D" w:rsidRDefault="00941227">
            <w:pPr>
              <w:pStyle w:val="GOSTTablenorm"/>
              <w:jc w:val="center"/>
              <w:rPr>
                <w:szCs w:val="22"/>
              </w:rPr>
            </w:pPr>
            <w:r w:rsidRPr="00264D5D">
              <w:rPr>
                <w:szCs w:val="22"/>
              </w:rPr>
              <w:t>П</w:t>
            </w:r>
          </w:p>
        </w:tc>
        <w:tc>
          <w:tcPr>
            <w:tcW w:w="1134" w:type="dxa"/>
          </w:tcPr>
          <w:p w14:paraId="4D8E9D4C" w14:textId="77777777" w:rsidR="00AD1F54" w:rsidRPr="00264D5D" w:rsidRDefault="00941227">
            <w:pPr>
              <w:spacing w:before="60" w:after="60"/>
              <w:ind w:firstLine="16"/>
              <w:rPr>
                <w:sz w:val="22"/>
                <w:szCs w:val="22"/>
                <w:lang w:val="en-US"/>
              </w:rPr>
            </w:pPr>
            <w:r w:rsidRPr="00264D5D">
              <w:rPr>
                <w:sz w:val="22"/>
                <w:szCs w:val="22"/>
                <w:lang w:val="en-US"/>
              </w:rPr>
              <w:t>Т(1-</w:t>
            </w:r>
            <w:r w:rsidRPr="00264D5D">
              <w:rPr>
                <w:sz w:val="22"/>
                <w:szCs w:val="22"/>
              </w:rPr>
              <w:t>210</w:t>
            </w:r>
            <w:r w:rsidRPr="00264D5D">
              <w:rPr>
                <w:sz w:val="22"/>
                <w:szCs w:val="22"/>
                <w:lang w:val="en-US"/>
              </w:rPr>
              <w:t>)</w:t>
            </w:r>
          </w:p>
        </w:tc>
        <w:tc>
          <w:tcPr>
            <w:tcW w:w="567" w:type="dxa"/>
          </w:tcPr>
          <w:p w14:paraId="73354818" w14:textId="77777777" w:rsidR="00AD1F54" w:rsidRPr="00264D5D" w:rsidRDefault="00941227">
            <w:pPr>
              <w:spacing w:before="60" w:after="60"/>
              <w:ind w:firstLine="13"/>
              <w:jc w:val="center"/>
              <w:rPr>
                <w:sz w:val="22"/>
                <w:szCs w:val="22"/>
              </w:rPr>
            </w:pPr>
            <w:r w:rsidRPr="00264D5D">
              <w:rPr>
                <w:sz w:val="22"/>
                <w:szCs w:val="22"/>
              </w:rPr>
              <w:t>Н</w:t>
            </w:r>
          </w:p>
        </w:tc>
        <w:tc>
          <w:tcPr>
            <w:tcW w:w="3963" w:type="dxa"/>
          </w:tcPr>
          <w:p w14:paraId="5E1BB89A" w14:textId="77777777" w:rsidR="00AD1F54" w:rsidRPr="00264D5D" w:rsidRDefault="00B06B9A">
            <w:pPr>
              <w:spacing w:before="60" w:after="60"/>
              <w:ind w:firstLine="13"/>
              <w:rPr>
                <w:b/>
                <w:bCs/>
                <w:sz w:val="22"/>
                <w:szCs w:val="22"/>
              </w:rPr>
            </w:pPr>
            <w:r w:rsidRPr="00264D5D">
              <w:rPr>
                <w:sz w:val="22"/>
                <w:szCs w:val="22"/>
              </w:rPr>
              <w:t>Назначение платежа</w:t>
            </w:r>
          </w:p>
        </w:tc>
      </w:tr>
      <w:tr w:rsidR="00AD1F54" w:rsidRPr="00264D5D" w14:paraId="6961699E"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299584E" w14:textId="77777777" w:rsidR="00AD1F54" w:rsidRPr="00264D5D" w:rsidRDefault="00941227">
            <w:pPr>
              <w:spacing w:before="60" w:after="60"/>
              <w:ind w:hanging="6"/>
              <w:rPr>
                <w:sz w:val="22"/>
                <w:szCs w:val="22"/>
              </w:rPr>
            </w:pPr>
            <w:r w:rsidRPr="00264D5D">
              <w:rPr>
                <w:sz w:val="22"/>
                <w:szCs w:val="22"/>
              </w:rPr>
              <w:t>Сумма</w:t>
            </w:r>
          </w:p>
        </w:tc>
        <w:tc>
          <w:tcPr>
            <w:tcW w:w="1701" w:type="dxa"/>
          </w:tcPr>
          <w:p w14:paraId="7FDD99B3" w14:textId="77777777" w:rsidR="00AD1F54" w:rsidRPr="00264D5D" w:rsidRDefault="00941227">
            <w:pPr>
              <w:pStyle w:val="GOSTTablenorm"/>
              <w:rPr>
                <w:szCs w:val="22"/>
                <w:lang w:val="en-US"/>
              </w:rPr>
            </w:pPr>
            <w:r w:rsidRPr="00264D5D">
              <w:rPr>
                <w:szCs w:val="22"/>
                <w:lang w:val="en-US"/>
              </w:rPr>
              <w:t>Amnt</w:t>
            </w:r>
          </w:p>
        </w:tc>
        <w:tc>
          <w:tcPr>
            <w:tcW w:w="567" w:type="dxa"/>
          </w:tcPr>
          <w:p w14:paraId="735E617C" w14:textId="77777777" w:rsidR="00AD1F54" w:rsidRPr="00264D5D" w:rsidRDefault="00941227">
            <w:pPr>
              <w:pStyle w:val="GOSTTablenorm"/>
              <w:jc w:val="center"/>
              <w:rPr>
                <w:szCs w:val="22"/>
              </w:rPr>
            </w:pPr>
            <w:r w:rsidRPr="00264D5D">
              <w:rPr>
                <w:szCs w:val="22"/>
              </w:rPr>
              <w:t>П</w:t>
            </w:r>
          </w:p>
        </w:tc>
        <w:tc>
          <w:tcPr>
            <w:tcW w:w="1134" w:type="dxa"/>
          </w:tcPr>
          <w:p w14:paraId="06CEBCD3" w14:textId="77777777" w:rsidR="00AD1F54" w:rsidRPr="00264D5D" w:rsidRDefault="00941227">
            <w:pPr>
              <w:spacing w:before="60" w:after="60"/>
              <w:ind w:firstLine="16"/>
              <w:rPr>
                <w:sz w:val="22"/>
                <w:szCs w:val="22"/>
                <w:lang w:val="en-US"/>
              </w:rPr>
            </w:pPr>
            <w:r w:rsidRPr="00264D5D">
              <w:rPr>
                <w:sz w:val="22"/>
                <w:szCs w:val="22"/>
                <w:lang w:val="en-US"/>
              </w:rPr>
              <w:t>N(20.2)</w:t>
            </w:r>
          </w:p>
        </w:tc>
        <w:tc>
          <w:tcPr>
            <w:tcW w:w="567" w:type="dxa"/>
          </w:tcPr>
          <w:p w14:paraId="442E97FC" w14:textId="77777777" w:rsidR="00AD1F54" w:rsidRPr="00264D5D" w:rsidRDefault="00941227">
            <w:pPr>
              <w:spacing w:before="60" w:after="60"/>
              <w:ind w:firstLine="13"/>
              <w:jc w:val="center"/>
              <w:rPr>
                <w:sz w:val="22"/>
                <w:szCs w:val="22"/>
              </w:rPr>
            </w:pPr>
            <w:r w:rsidRPr="00264D5D">
              <w:rPr>
                <w:sz w:val="22"/>
                <w:szCs w:val="22"/>
              </w:rPr>
              <w:t>О</w:t>
            </w:r>
          </w:p>
        </w:tc>
        <w:tc>
          <w:tcPr>
            <w:tcW w:w="3963" w:type="dxa"/>
          </w:tcPr>
          <w:p w14:paraId="4A897444" w14:textId="77777777" w:rsidR="00AD1F54" w:rsidRPr="00264D5D" w:rsidRDefault="00941227">
            <w:pPr>
              <w:spacing w:before="60" w:after="60"/>
              <w:rPr>
                <w:sz w:val="22"/>
                <w:szCs w:val="22"/>
              </w:rPr>
            </w:pPr>
            <w:r w:rsidRPr="00264D5D">
              <w:rPr>
                <w:sz w:val="22"/>
                <w:szCs w:val="22"/>
              </w:rPr>
              <w:t>Сумма по БК.</w:t>
            </w:r>
          </w:p>
          <w:p w14:paraId="163E26C1" w14:textId="77777777" w:rsidR="00AD1F54" w:rsidRPr="00264D5D" w:rsidRDefault="00941227">
            <w:pPr>
              <w:spacing w:before="60" w:after="60"/>
              <w:rPr>
                <w:sz w:val="22"/>
                <w:szCs w:val="22"/>
              </w:rPr>
            </w:pPr>
            <w:r w:rsidRPr="00264D5D">
              <w:rPr>
                <w:sz w:val="22"/>
                <w:szCs w:val="22"/>
              </w:rPr>
              <w:t>При одновременном отсутствии показателей по КБК и коду цели заполн</w:t>
            </w:r>
            <w:r w:rsidR="00B06B9A" w:rsidRPr="00264D5D">
              <w:rPr>
                <w:sz w:val="22"/>
                <w:szCs w:val="22"/>
              </w:rPr>
              <w:t>яется значением суммы документа</w:t>
            </w:r>
          </w:p>
        </w:tc>
      </w:tr>
      <w:tr w:rsidR="00AD1F54" w:rsidRPr="00264D5D" w14:paraId="0000F6DF"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591DB261" w14:textId="77777777" w:rsidR="00AD1F54" w:rsidRPr="00264D5D" w:rsidRDefault="00941227">
            <w:pPr>
              <w:spacing w:before="60" w:after="60"/>
              <w:ind w:hanging="6"/>
              <w:rPr>
                <w:sz w:val="22"/>
                <w:szCs w:val="22"/>
              </w:rPr>
            </w:pPr>
            <w:r w:rsidRPr="00264D5D">
              <w:rPr>
                <w:sz w:val="22"/>
                <w:szCs w:val="22"/>
              </w:rPr>
              <w:t>Примечание</w:t>
            </w:r>
          </w:p>
        </w:tc>
        <w:tc>
          <w:tcPr>
            <w:tcW w:w="1701" w:type="dxa"/>
          </w:tcPr>
          <w:p w14:paraId="6351273A" w14:textId="77777777" w:rsidR="00AD1F54" w:rsidRPr="00264D5D" w:rsidRDefault="00941227">
            <w:pPr>
              <w:pStyle w:val="GOSTTablenorm"/>
              <w:rPr>
                <w:szCs w:val="22"/>
                <w:lang w:val="en-US"/>
              </w:rPr>
            </w:pPr>
            <w:r w:rsidRPr="00264D5D">
              <w:rPr>
                <w:szCs w:val="22"/>
                <w:lang w:val="en-US"/>
              </w:rPr>
              <w:t>DcCmnt</w:t>
            </w:r>
          </w:p>
        </w:tc>
        <w:tc>
          <w:tcPr>
            <w:tcW w:w="567" w:type="dxa"/>
          </w:tcPr>
          <w:p w14:paraId="3B5ABCCE" w14:textId="77777777" w:rsidR="00AD1F54" w:rsidRPr="00264D5D" w:rsidRDefault="00941227">
            <w:pPr>
              <w:pStyle w:val="GOSTTablenorm"/>
              <w:jc w:val="center"/>
              <w:rPr>
                <w:szCs w:val="22"/>
              </w:rPr>
            </w:pPr>
            <w:r w:rsidRPr="00264D5D">
              <w:rPr>
                <w:szCs w:val="22"/>
              </w:rPr>
              <w:t>П</w:t>
            </w:r>
          </w:p>
        </w:tc>
        <w:tc>
          <w:tcPr>
            <w:tcW w:w="1134" w:type="dxa"/>
          </w:tcPr>
          <w:p w14:paraId="2309F16C" w14:textId="77777777" w:rsidR="00AD1F54" w:rsidRPr="00264D5D" w:rsidRDefault="00941227">
            <w:pPr>
              <w:spacing w:before="60" w:after="60"/>
              <w:ind w:firstLine="16"/>
              <w:rPr>
                <w:sz w:val="22"/>
                <w:szCs w:val="22"/>
                <w:lang w:val="en-US"/>
              </w:rPr>
            </w:pPr>
            <w:r w:rsidRPr="00264D5D">
              <w:rPr>
                <w:sz w:val="22"/>
                <w:szCs w:val="22"/>
                <w:lang w:val="en-US"/>
              </w:rPr>
              <w:t>Т(1-</w:t>
            </w:r>
            <w:r w:rsidRPr="00264D5D">
              <w:rPr>
                <w:sz w:val="22"/>
                <w:szCs w:val="22"/>
              </w:rPr>
              <w:t>2000</w:t>
            </w:r>
            <w:r w:rsidRPr="00264D5D">
              <w:rPr>
                <w:sz w:val="22"/>
                <w:szCs w:val="22"/>
                <w:lang w:val="en-US"/>
              </w:rPr>
              <w:t>)</w:t>
            </w:r>
          </w:p>
        </w:tc>
        <w:tc>
          <w:tcPr>
            <w:tcW w:w="567" w:type="dxa"/>
          </w:tcPr>
          <w:p w14:paraId="4F7F73C1" w14:textId="77777777" w:rsidR="00AD1F54" w:rsidRPr="00264D5D" w:rsidRDefault="00941227">
            <w:pPr>
              <w:spacing w:before="60" w:after="60"/>
              <w:ind w:firstLine="13"/>
              <w:jc w:val="center"/>
              <w:rPr>
                <w:sz w:val="22"/>
                <w:szCs w:val="22"/>
              </w:rPr>
            </w:pPr>
            <w:r w:rsidRPr="00264D5D">
              <w:rPr>
                <w:sz w:val="22"/>
                <w:szCs w:val="22"/>
              </w:rPr>
              <w:t>Н</w:t>
            </w:r>
          </w:p>
        </w:tc>
        <w:tc>
          <w:tcPr>
            <w:tcW w:w="3963" w:type="dxa"/>
          </w:tcPr>
          <w:p w14:paraId="6788A3CE" w14:textId="77777777" w:rsidR="00AD1F54" w:rsidRPr="00264D5D" w:rsidRDefault="00941227">
            <w:pPr>
              <w:spacing w:before="60" w:after="60"/>
              <w:ind w:firstLine="13"/>
              <w:rPr>
                <w:sz w:val="22"/>
                <w:szCs w:val="22"/>
              </w:rPr>
            </w:pPr>
            <w:r w:rsidRPr="00264D5D">
              <w:rPr>
                <w:sz w:val="22"/>
                <w:szCs w:val="22"/>
              </w:rPr>
              <w:t>Информация, нео</w:t>
            </w:r>
            <w:r w:rsidR="00B06B9A" w:rsidRPr="00264D5D">
              <w:rPr>
                <w:sz w:val="22"/>
                <w:szCs w:val="22"/>
              </w:rPr>
              <w:t>бходимая для исполнения бюджета</w:t>
            </w:r>
          </w:p>
        </w:tc>
      </w:tr>
    </w:tbl>
    <w:p w14:paraId="400B851B" w14:textId="77777777" w:rsidR="00AD1F54" w:rsidRPr="00264D5D" w:rsidRDefault="00941227">
      <w:pPr>
        <w:pStyle w:val="31"/>
      </w:pPr>
      <w:bookmarkStart w:id="2976" w:name="_Toc18509301"/>
      <w:bookmarkStart w:id="2977" w:name="_Toc219309731"/>
      <w:r w:rsidRPr="00264D5D">
        <w:t>Описание комплексного типа «tMSC_KBK10_20_KS»</w:t>
      </w:r>
      <w:bookmarkEnd w:id="2976"/>
      <w:bookmarkEnd w:id="2977"/>
    </w:p>
    <w:p w14:paraId="14FE2A37" w14:textId="77777777" w:rsidR="00AD1F54" w:rsidRPr="00264D5D" w:rsidRDefault="00941227">
      <w:pPr>
        <w:pStyle w:val="GOSTNormal"/>
        <w:rPr>
          <w:szCs w:val="24"/>
        </w:rPr>
      </w:pPr>
      <w:r w:rsidRPr="00264D5D">
        <w:rPr>
          <w:szCs w:val="24"/>
        </w:rPr>
        <w:t>Описание комплексного типа «tMSC_KBK10_20</w:t>
      </w:r>
      <w:r w:rsidRPr="00264D5D">
        <w:rPr>
          <w:sz w:val="28"/>
          <w:szCs w:val="28"/>
        </w:rPr>
        <w:t>_</w:t>
      </w:r>
      <w:r w:rsidRPr="00264D5D">
        <w:rPr>
          <w:sz w:val="28"/>
          <w:szCs w:val="28"/>
          <w:lang w:val="en-US"/>
        </w:rPr>
        <w:t>KS</w:t>
      </w:r>
      <w:r w:rsidRPr="00264D5D">
        <w:rPr>
          <w:szCs w:val="24"/>
        </w:rPr>
        <w:t>» блока «</w:t>
      </w:r>
      <w:r w:rsidRPr="00264D5D">
        <w:rPr>
          <w:szCs w:val="22"/>
        </w:rPr>
        <w:t>КБК</w:t>
      </w:r>
      <w:r w:rsidRPr="00264D5D">
        <w:rPr>
          <w:szCs w:val="24"/>
        </w:rPr>
        <w:t>».</w:t>
      </w:r>
    </w:p>
    <w:p w14:paraId="75A6334E" w14:textId="3F0CE7CD" w:rsidR="00AD1F54" w:rsidRPr="00264D5D" w:rsidRDefault="001E5517">
      <w:pPr>
        <w:pStyle w:val="GOSTNameTable"/>
        <w:numPr>
          <w:ilvl w:val="0"/>
          <w:numId w:val="2"/>
        </w:numPr>
        <w:ind w:left="425" w:hanging="357"/>
      </w:pPr>
      <w:r w:rsidRPr="00264D5D">
        <w:rPr>
          <w:noProof/>
        </w:rPr>
        <w:lastRenderedPageBreak/>
        <w:fldChar w:fldCharType="begin"/>
      </w:r>
      <w:r w:rsidRPr="00264D5D">
        <w:rPr>
          <w:noProof/>
        </w:rPr>
        <w:instrText xml:space="preserve"> SEQ Таблица \* ARABIC </w:instrText>
      </w:r>
      <w:r w:rsidRPr="00264D5D">
        <w:rPr>
          <w:noProof/>
        </w:rPr>
        <w:fldChar w:fldCharType="separate"/>
      </w:r>
      <w:bookmarkStart w:id="2978" w:name="_Ref524014315"/>
      <w:bookmarkStart w:id="2979" w:name="_Toc18509584"/>
      <w:bookmarkStart w:id="2980" w:name="_Toc219309289"/>
      <w:r w:rsidR="008D797C">
        <w:rPr>
          <w:noProof/>
        </w:rPr>
        <w:t>259</w:t>
      </w:r>
      <w:bookmarkEnd w:id="2978"/>
      <w:r w:rsidRPr="00264D5D">
        <w:rPr>
          <w:noProof/>
        </w:rPr>
        <w:fldChar w:fldCharType="end"/>
      </w:r>
      <w:r w:rsidR="00941227" w:rsidRPr="00264D5D">
        <w:t xml:space="preserve"> – Описание комплексного типа «tMSC_KBK10_20_KS»</w:t>
      </w:r>
      <w:bookmarkEnd w:id="2979"/>
      <w:bookmarkEnd w:id="2980"/>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2BD4273C"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040B2170" w14:textId="77777777" w:rsidR="00AD1F54" w:rsidRPr="00264D5D" w:rsidRDefault="00941227">
            <w:pPr>
              <w:pStyle w:val="ASFKTableHead"/>
            </w:pPr>
            <w:r w:rsidRPr="00264D5D">
              <w:t>Наименование элемента</w:t>
            </w:r>
          </w:p>
        </w:tc>
        <w:tc>
          <w:tcPr>
            <w:tcW w:w="1701" w:type="dxa"/>
          </w:tcPr>
          <w:p w14:paraId="3A0E80F5" w14:textId="77777777" w:rsidR="00AD1F54" w:rsidRPr="00264D5D" w:rsidRDefault="00941227">
            <w:pPr>
              <w:pStyle w:val="ASFKTableHead"/>
            </w:pPr>
            <w:r w:rsidRPr="00264D5D">
              <w:t>Сокращенное наименование (код) элемента</w:t>
            </w:r>
          </w:p>
        </w:tc>
        <w:tc>
          <w:tcPr>
            <w:tcW w:w="567" w:type="dxa"/>
          </w:tcPr>
          <w:p w14:paraId="5976047B" w14:textId="77777777" w:rsidR="00AD1F54" w:rsidRPr="00264D5D" w:rsidRDefault="00941227">
            <w:pPr>
              <w:pStyle w:val="ASFKTableHead"/>
            </w:pPr>
            <w:r w:rsidRPr="00264D5D">
              <w:t>Тип</w:t>
            </w:r>
          </w:p>
        </w:tc>
        <w:tc>
          <w:tcPr>
            <w:tcW w:w="1134" w:type="dxa"/>
          </w:tcPr>
          <w:p w14:paraId="1F96B57B" w14:textId="77777777" w:rsidR="00AD1F54" w:rsidRPr="00264D5D" w:rsidRDefault="00941227">
            <w:pPr>
              <w:pStyle w:val="ASFKTableHead"/>
            </w:pPr>
            <w:r w:rsidRPr="00264D5D">
              <w:t>Формат элемента</w:t>
            </w:r>
          </w:p>
        </w:tc>
        <w:tc>
          <w:tcPr>
            <w:tcW w:w="567" w:type="dxa"/>
          </w:tcPr>
          <w:p w14:paraId="73BCFE81" w14:textId="77777777" w:rsidR="00AD1F54" w:rsidRPr="00264D5D" w:rsidRDefault="00941227">
            <w:pPr>
              <w:pStyle w:val="ASFKTableHead"/>
            </w:pPr>
            <w:r w:rsidRPr="00264D5D">
              <w:t>Обязательность</w:t>
            </w:r>
          </w:p>
        </w:tc>
        <w:tc>
          <w:tcPr>
            <w:tcW w:w="3963" w:type="dxa"/>
          </w:tcPr>
          <w:p w14:paraId="347C9E5D" w14:textId="77777777" w:rsidR="00AD1F54" w:rsidRPr="00264D5D" w:rsidRDefault="00941227">
            <w:pPr>
              <w:pStyle w:val="ASFKTableHead"/>
            </w:pPr>
            <w:r w:rsidRPr="00264D5D">
              <w:t>Дополнительная информация</w:t>
            </w:r>
          </w:p>
        </w:tc>
      </w:tr>
      <w:tr w:rsidR="00AD1F54" w:rsidRPr="00264D5D" w14:paraId="4CA72EB1" w14:textId="77777777" w:rsidTr="00AD1F54">
        <w:trPr>
          <w:cnfStyle w:val="000000100000" w:firstRow="0" w:lastRow="0" w:firstColumn="0" w:lastColumn="0" w:oddVBand="0" w:evenVBand="0" w:oddHBand="1" w:evenHBand="0" w:firstRowFirstColumn="0" w:firstRowLastColumn="0" w:lastRowFirstColumn="0" w:lastRowLastColumn="0"/>
          <w:trHeight w:val="85"/>
        </w:trPr>
        <w:tc>
          <w:tcPr>
            <w:tcW w:w="1701" w:type="dxa"/>
          </w:tcPr>
          <w:p w14:paraId="04F1ED49" w14:textId="77777777" w:rsidR="00AD1F54" w:rsidRPr="00264D5D" w:rsidRDefault="00941227">
            <w:pPr>
              <w:pStyle w:val="GOSTTablenorm"/>
              <w:rPr>
                <w:szCs w:val="22"/>
              </w:rPr>
            </w:pPr>
            <w:r w:rsidRPr="00264D5D">
              <w:rPr>
                <w:szCs w:val="22"/>
              </w:rPr>
              <w:t>Код по БК</w:t>
            </w:r>
          </w:p>
        </w:tc>
        <w:tc>
          <w:tcPr>
            <w:tcW w:w="1701" w:type="dxa"/>
          </w:tcPr>
          <w:p w14:paraId="5028BDBE" w14:textId="77777777" w:rsidR="00AD1F54" w:rsidRPr="00264D5D" w:rsidRDefault="00941227">
            <w:pPr>
              <w:pStyle w:val="GOSTTablenorm"/>
              <w:rPr>
                <w:szCs w:val="22"/>
                <w:lang w:val="en-US"/>
              </w:rPr>
            </w:pPr>
            <w:r w:rsidRPr="00264D5D">
              <w:rPr>
                <w:szCs w:val="22"/>
                <w:lang w:val="en-US"/>
              </w:rPr>
              <w:t>KBK</w:t>
            </w:r>
          </w:p>
        </w:tc>
        <w:tc>
          <w:tcPr>
            <w:tcW w:w="567" w:type="dxa"/>
          </w:tcPr>
          <w:p w14:paraId="46041304" w14:textId="77777777" w:rsidR="00AD1F54" w:rsidRPr="00264D5D" w:rsidRDefault="00941227">
            <w:pPr>
              <w:pStyle w:val="GOSTTablenorm"/>
              <w:jc w:val="center"/>
              <w:rPr>
                <w:szCs w:val="22"/>
              </w:rPr>
            </w:pPr>
            <w:r w:rsidRPr="00264D5D">
              <w:rPr>
                <w:szCs w:val="22"/>
              </w:rPr>
              <w:t>П</w:t>
            </w:r>
          </w:p>
        </w:tc>
        <w:tc>
          <w:tcPr>
            <w:tcW w:w="1134" w:type="dxa"/>
          </w:tcPr>
          <w:p w14:paraId="255A56FF" w14:textId="77777777" w:rsidR="00AD1F54" w:rsidRPr="00264D5D" w:rsidRDefault="00941227">
            <w:pPr>
              <w:spacing w:before="60" w:after="60"/>
              <w:ind w:firstLine="16"/>
              <w:rPr>
                <w:sz w:val="22"/>
                <w:szCs w:val="22"/>
                <w:lang w:val="en-US"/>
              </w:rPr>
            </w:pPr>
            <w:r w:rsidRPr="00264D5D">
              <w:rPr>
                <w:sz w:val="22"/>
                <w:szCs w:val="22"/>
                <w:lang w:val="en-US"/>
              </w:rPr>
              <w:t>Т(</w:t>
            </w:r>
            <w:r w:rsidRPr="00264D5D">
              <w:rPr>
                <w:sz w:val="22"/>
                <w:szCs w:val="22"/>
              </w:rPr>
              <w:t>1-20</w:t>
            </w:r>
            <w:r w:rsidRPr="00264D5D">
              <w:rPr>
                <w:sz w:val="22"/>
                <w:szCs w:val="22"/>
                <w:lang w:val="en-US"/>
              </w:rPr>
              <w:t>)</w:t>
            </w:r>
          </w:p>
        </w:tc>
        <w:tc>
          <w:tcPr>
            <w:tcW w:w="567" w:type="dxa"/>
          </w:tcPr>
          <w:p w14:paraId="15C8469C" w14:textId="77777777" w:rsidR="00AD1F54" w:rsidRPr="00264D5D" w:rsidRDefault="00941227">
            <w:pPr>
              <w:spacing w:before="60" w:after="60"/>
              <w:ind w:firstLine="16"/>
              <w:jc w:val="center"/>
              <w:rPr>
                <w:sz w:val="22"/>
                <w:szCs w:val="22"/>
              </w:rPr>
            </w:pPr>
            <w:r w:rsidRPr="00264D5D">
              <w:rPr>
                <w:sz w:val="22"/>
                <w:szCs w:val="22"/>
              </w:rPr>
              <w:t>Н</w:t>
            </w:r>
          </w:p>
        </w:tc>
        <w:tc>
          <w:tcPr>
            <w:tcW w:w="3963" w:type="dxa"/>
          </w:tcPr>
          <w:p w14:paraId="3F499D92" w14:textId="77777777" w:rsidR="00AD1F54" w:rsidRPr="00264D5D" w:rsidRDefault="00941227">
            <w:pPr>
              <w:spacing w:before="60" w:after="60"/>
              <w:ind w:firstLine="16"/>
              <w:rPr>
                <w:sz w:val="22"/>
                <w:szCs w:val="22"/>
              </w:rPr>
            </w:pPr>
            <w:r w:rsidRPr="00264D5D">
              <w:rPr>
                <w:sz w:val="22"/>
                <w:szCs w:val="22"/>
              </w:rPr>
              <w:t>Код бюджетной классификации.</w:t>
            </w:r>
          </w:p>
          <w:p w14:paraId="062ECE26" w14:textId="77777777" w:rsidR="00AD1F54" w:rsidRPr="00264D5D" w:rsidRDefault="00941227">
            <w:pPr>
              <w:spacing w:before="60" w:after="60"/>
              <w:ind w:firstLine="16"/>
              <w:rPr>
                <w:b/>
                <w:bCs/>
                <w:sz w:val="22"/>
                <w:szCs w:val="22"/>
              </w:rPr>
            </w:pPr>
            <w:r w:rsidRPr="00264D5D">
              <w:rPr>
                <w:sz w:val="22"/>
                <w:szCs w:val="22"/>
              </w:rPr>
              <w:t>Не заполняется для ПБС, осуществляющим операции со средс</w:t>
            </w:r>
            <w:r w:rsidR="00B06B9A" w:rsidRPr="00264D5D">
              <w:rPr>
                <w:sz w:val="22"/>
                <w:szCs w:val="22"/>
              </w:rPr>
              <w:t>твами во временном распоряжении</w:t>
            </w:r>
          </w:p>
        </w:tc>
      </w:tr>
      <w:tr w:rsidR="00AD1F54" w:rsidRPr="00264D5D" w14:paraId="70D9D299"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44B7208E" w14:textId="77777777" w:rsidR="00AD1F54" w:rsidRPr="00264D5D" w:rsidRDefault="00941227">
            <w:pPr>
              <w:pStyle w:val="GOSTTablenorm"/>
              <w:rPr>
                <w:szCs w:val="22"/>
              </w:rPr>
            </w:pPr>
            <w:r w:rsidRPr="00264D5D">
              <w:rPr>
                <w:szCs w:val="22"/>
              </w:rPr>
              <w:t>Код цели (аналитический код)</w:t>
            </w:r>
          </w:p>
        </w:tc>
        <w:tc>
          <w:tcPr>
            <w:tcW w:w="1701" w:type="dxa"/>
          </w:tcPr>
          <w:p w14:paraId="4068C2C6" w14:textId="77777777" w:rsidR="00AD1F54" w:rsidRPr="00264D5D" w:rsidRDefault="00941227">
            <w:pPr>
              <w:pStyle w:val="GOSTTablenorm"/>
              <w:rPr>
                <w:szCs w:val="22"/>
                <w:lang w:val="en-US"/>
              </w:rPr>
            </w:pPr>
            <w:r w:rsidRPr="00264D5D">
              <w:rPr>
                <w:szCs w:val="22"/>
                <w:lang w:val="en-US"/>
              </w:rPr>
              <w:t>TrgtCd</w:t>
            </w:r>
          </w:p>
        </w:tc>
        <w:tc>
          <w:tcPr>
            <w:tcW w:w="567" w:type="dxa"/>
          </w:tcPr>
          <w:p w14:paraId="0E0501F2" w14:textId="77777777" w:rsidR="00AD1F54" w:rsidRPr="00264D5D" w:rsidRDefault="00941227">
            <w:pPr>
              <w:pStyle w:val="GOSTTablenorm"/>
              <w:jc w:val="center"/>
              <w:rPr>
                <w:szCs w:val="22"/>
              </w:rPr>
            </w:pPr>
            <w:r w:rsidRPr="00264D5D">
              <w:rPr>
                <w:szCs w:val="22"/>
              </w:rPr>
              <w:t>П</w:t>
            </w:r>
          </w:p>
        </w:tc>
        <w:tc>
          <w:tcPr>
            <w:tcW w:w="1134" w:type="dxa"/>
          </w:tcPr>
          <w:p w14:paraId="7128567C" w14:textId="77777777" w:rsidR="00AD1F54" w:rsidRPr="00264D5D" w:rsidRDefault="00941227">
            <w:pPr>
              <w:spacing w:before="60" w:after="60"/>
              <w:ind w:firstLine="16"/>
              <w:rPr>
                <w:sz w:val="22"/>
                <w:szCs w:val="22"/>
                <w:lang w:val="en-US"/>
              </w:rPr>
            </w:pPr>
            <w:r w:rsidRPr="00264D5D">
              <w:rPr>
                <w:sz w:val="22"/>
                <w:szCs w:val="22"/>
                <w:lang w:val="en-US"/>
              </w:rPr>
              <w:t>Т(1-</w:t>
            </w:r>
            <w:r w:rsidRPr="00264D5D">
              <w:rPr>
                <w:sz w:val="22"/>
                <w:szCs w:val="22"/>
              </w:rPr>
              <w:t>25</w:t>
            </w:r>
            <w:r w:rsidRPr="00264D5D">
              <w:rPr>
                <w:sz w:val="22"/>
                <w:szCs w:val="22"/>
                <w:lang w:val="en-US"/>
              </w:rPr>
              <w:t>)</w:t>
            </w:r>
          </w:p>
        </w:tc>
        <w:tc>
          <w:tcPr>
            <w:tcW w:w="567" w:type="dxa"/>
          </w:tcPr>
          <w:p w14:paraId="338ACE61" w14:textId="77777777" w:rsidR="00AD1F54" w:rsidRPr="00264D5D" w:rsidRDefault="00941227">
            <w:pPr>
              <w:spacing w:before="60" w:after="60"/>
              <w:ind w:firstLine="16"/>
              <w:jc w:val="center"/>
              <w:rPr>
                <w:sz w:val="22"/>
                <w:szCs w:val="22"/>
              </w:rPr>
            </w:pPr>
            <w:r w:rsidRPr="00264D5D">
              <w:rPr>
                <w:sz w:val="22"/>
                <w:szCs w:val="22"/>
              </w:rPr>
              <w:t>Н</w:t>
            </w:r>
          </w:p>
        </w:tc>
        <w:tc>
          <w:tcPr>
            <w:tcW w:w="3963" w:type="dxa"/>
          </w:tcPr>
          <w:p w14:paraId="6F1C387A" w14:textId="77777777" w:rsidR="00AD1F54" w:rsidRPr="00264D5D" w:rsidRDefault="00941227">
            <w:pPr>
              <w:spacing w:before="60" w:after="60"/>
              <w:ind w:firstLine="16"/>
              <w:rPr>
                <w:sz w:val="22"/>
                <w:szCs w:val="22"/>
              </w:rPr>
            </w:pPr>
            <w:r w:rsidRPr="00264D5D">
              <w:rPr>
                <w:sz w:val="22"/>
                <w:szCs w:val="22"/>
              </w:rPr>
              <w:t>Указывается код цели (аналитический код).</w:t>
            </w:r>
          </w:p>
          <w:p w14:paraId="28AF86F9" w14:textId="77777777" w:rsidR="00AD1F54" w:rsidRPr="00264D5D" w:rsidRDefault="00941227">
            <w:pPr>
              <w:spacing w:before="60" w:after="60"/>
              <w:ind w:firstLine="16"/>
              <w:rPr>
                <w:sz w:val="22"/>
                <w:szCs w:val="22"/>
              </w:rPr>
            </w:pPr>
            <w:r w:rsidRPr="00264D5D">
              <w:rPr>
                <w:sz w:val="22"/>
                <w:szCs w:val="22"/>
              </w:rPr>
              <w:t>При оформлении Заявка на получение денежных средств, перечисляемых на карту по л/с федерального бюджета с кодом «05» указывается идентификационный код выплат, предусмотренный Порядком санкционирования операций со средствами, поступающими во временное распоряжение получател</w:t>
            </w:r>
            <w:r w:rsidR="00B06B9A" w:rsidRPr="00264D5D">
              <w:rPr>
                <w:sz w:val="22"/>
                <w:szCs w:val="22"/>
              </w:rPr>
              <w:t>ей средств федерального бюджета</w:t>
            </w:r>
          </w:p>
        </w:tc>
      </w:tr>
      <w:tr w:rsidR="00AD1F54" w:rsidRPr="00264D5D" w14:paraId="7D2177CD"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F71371C" w14:textId="77777777" w:rsidR="00AD1F54" w:rsidRPr="00264D5D" w:rsidRDefault="00941227">
            <w:pPr>
              <w:pStyle w:val="GOSTTablenorm"/>
              <w:rPr>
                <w:szCs w:val="22"/>
              </w:rPr>
            </w:pPr>
            <w:r w:rsidRPr="00264D5D">
              <w:rPr>
                <w:szCs w:val="22"/>
              </w:rPr>
              <w:t>Тип БК</w:t>
            </w:r>
          </w:p>
        </w:tc>
        <w:tc>
          <w:tcPr>
            <w:tcW w:w="1701" w:type="dxa"/>
          </w:tcPr>
          <w:p w14:paraId="655C0D01" w14:textId="77777777" w:rsidR="00AD1F54" w:rsidRPr="00264D5D" w:rsidRDefault="00941227">
            <w:pPr>
              <w:pStyle w:val="GOSTTablenorm"/>
              <w:rPr>
                <w:szCs w:val="22"/>
                <w:lang w:val="en-US"/>
              </w:rPr>
            </w:pPr>
            <w:r w:rsidRPr="00264D5D">
              <w:rPr>
                <w:szCs w:val="22"/>
                <w:lang w:val="en-US"/>
              </w:rPr>
              <w:t>BKTp</w:t>
            </w:r>
          </w:p>
        </w:tc>
        <w:tc>
          <w:tcPr>
            <w:tcW w:w="567" w:type="dxa"/>
          </w:tcPr>
          <w:p w14:paraId="176BC57E" w14:textId="77777777" w:rsidR="00AD1F54" w:rsidRPr="00264D5D" w:rsidRDefault="00941227">
            <w:pPr>
              <w:pStyle w:val="GOSTTablenorm"/>
              <w:jc w:val="center"/>
              <w:rPr>
                <w:szCs w:val="22"/>
              </w:rPr>
            </w:pPr>
            <w:r w:rsidRPr="00264D5D">
              <w:rPr>
                <w:szCs w:val="22"/>
              </w:rPr>
              <w:t>С</w:t>
            </w:r>
          </w:p>
        </w:tc>
        <w:tc>
          <w:tcPr>
            <w:tcW w:w="1134" w:type="dxa"/>
          </w:tcPr>
          <w:p w14:paraId="1C843C5B" w14:textId="77777777" w:rsidR="00AD1F54" w:rsidRPr="00264D5D" w:rsidRDefault="00941227">
            <w:pPr>
              <w:spacing w:before="60" w:after="60"/>
              <w:ind w:firstLine="16"/>
              <w:rPr>
                <w:sz w:val="22"/>
                <w:szCs w:val="22"/>
              </w:rPr>
            </w:pPr>
            <w:r w:rsidRPr="00264D5D">
              <w:rPr>
                <w:sz w:val="22"/>
                <w:szCs w:val="22"/>
              </w:rPr>
              <w:t>tMSC_BKTp10_20Complex</w:t>
            </w:r>
          </w:p>
        </w:tc>
        <w:tc>
          <w:tcPr>
            <w:tcW w:w="567" w:type="dxa"/>
          </w:tcPr>
          <w:p w14:paraId="180C30C6" w14:textId="77777777" w:rsidR="00AD1F54" w:rsidRPr="00264D5D" w:rsidRDefault="00941227">
            <w:pPr>
              <w:spacing w:before="60" w:after="60"/>
              <w:ind w:firstLine="16"/>
              <w:jc w:val="center"/>
              <w:rPr>
                <w:sz w:val="22"/>
                <w:szCs w:val="22"/>
              </w:rPr>
            </w:pPr>
            <w:r w:rsidRPr="00264D5D">
              <w:rPr>
                <w:sz w:val="22"/>
                <w:szCs w:val="22"/>
              </w:rPr>
              <w:t>Н</w:t>
            </w:r>
          </w:p>
        </w:tc>
        <w:tc>
          <w:tcPr>
            <w:tcW w:w="3963" w:type="dxa"/>
          </w:tcPr>
          <w:p w14:paraId="26B7DADF" w14:textId="77777777" w:rsidR="00AD1F54" w:rsidRPr="00264D5D" w:rsidRDefault="00941227">
            <w:pPr>
              <w:spacing w:before="60" w:after="60"/>
              <w:ind w:firstLine="16"/>
              <w:rPr>
                <w:sz w:val="22"/>
                <w:szCs w:val="22"/>
              </w:rPr>
            </w:pPr>
            <w:r w:rsidRPr="00264D5D">
              <w:rPr>
                <w:sz w:val="22"/>
                <w:szCs w:val="22"/>
              </w:rPr>
              <w:t>Обязательно к заполнению, если заполнено поле «Код по БК».</w:t>
            </w:r>
          </w:p>
          <w:p w14:paraId="765466AA" w14:textId="77777777" w:rsidR="00AD1F54" w:rsidRPr="00264D5D" w:rsidRDefault="00941227">
            <w:pPr>
              <w:spacing w:before="60" w:after="60"/>
              <w:ind w:firstLine="16"/>
              <w:rPr>
                <w:sz w:val="22"/>
                <w:szCs w:val="22"/>
              </w:rPr>
            </w:pPr>
            <w:r w:rsidRPr="00264D5D">
              <w:rPr>
                <w:sz w:val="22"/>
                <w:szCs w:val="22"/>
              </w:rPr>
              <w:t>Не заполняется для ПБС, осуществляющим операции со средствами во временном распоряжении.</w:t>
            </w:r>
          </w:p>
          <w:p w14:paraId="1EF376CE" w14:textId="5188C6F9" w:rsidR="00AD1F54" w:rsidRPr="00264D5D" w:rsidRDefault="00941227">
            <w:pPr>
              <w:spacing w:before="60" w:after="60"/>
              <w:ind w:firstLine="16"/>
              <w:rPr>
                <w:sz w:val="22"/>
                <w:szCs w:val="22"/>
              </w:rPr>
            </w:pPr>
            <w:r w:rsidRPr="00264D5D">
              <w:rPr>
                <w:sz w:val="22"/>
                <w:szCs w:val="22"/>
              </w:rPr>
              <w:t xml:space="preserve">Состав элемента представлен в таблице </w:t>
            </w:r>
            <w:r w:rsidRPr="00264D5D">
              <w:rPr>
                <w:b/>
              </w:rPr>
              <w:fldChar w:fldCharType="begin"/>
            </w:r>
            <w:r w:rsidRPr="00264D5D">
              <w:rPr>
                <w:b/>
              </w:rPr>
              <w:instrText xml:space="preserve"> REF _Ref524014328 \h  \* MERGEFORMAT </w:instrText>
            </w:r>
            <w:r w:rsidRPr="00264D5D">
              <w:rPr>
                <w:b/>
              </w:rPr>
            </w:r>
            <w:r w:rsidRPr="00264D5D">
              <w:rPr>
                <w:b/>
              </w:rPr>
              <w:fldChar w:fldCharType="separate"/>
            </w:r>
            <w:r w:rsidR="008D797C" w:rsidRPr="008D797C">
              <w:rPr>
                <w:b/>
                <w:sz w:val="22"/>
                <w:szCs w:val="22"/>
              </w:rPr>
              <w:t>260</w:t>
            </w:r>
            <w:r w:rsidRPr="00264D5D">
              <w:rPr>
                <w:b/>
              </w:rPr>
              <w:fldChar w:fldCharType="end"/>
            </w:r>
          </w:p>
        </w:tc>
      </w:tr>
    </w:tbl>
    <w:p w14:paraId="07FDF1CE" w14:textId="77777777" w:rsidR="00AD1F54" w:rsidRPr="00264D5D" w:rsidRDefault="00941227">
      <w:pPr>
        <w:pStyle w:val="31"/>
      </w:pPr>
      <w:bookmarkStart w:id="2981" w:name="_Toc18509302"/>
      <w:r w:rsidRPr="00264D5D">
        <w:t xml:space="preserve"> </w:t>
      </w:r>
      <w:bookmarkStart w:id="2982" w:name="_Toc219309732"/>
      <w:r w:rsidRPr="00264D5D">
        <w:t>Описание комплексного типа «tMSC_BKTp10_20Complex»</w:t>
      </w:r>
      <w:bookmarkEnd w:id="2981"/>
      <w:bookmarkEnd w:id="2982"/>
    </w:p>
    <w:p w14:paraId="343228E7" w14:textId="77777777" w:rsidR="00AD1F54" w:rsidRPr="00264D5D" w:rsidRDefault="00941227">
      <w:pPr>
        <w:pStyle w:val="GOSTNormal"/>
      </w:pPr>
      <w:r w:rsidRPr="00264D5D">
        <w:t>Описание комплексного типа «tMSC_BKTp10_20Complex» блока «Тип БК».</w:t>
      </w:r>
    </w:p>
    <w:p w14:paraId="0358012F" w14:textId="1CB9F98C"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2983" w:name="_Ref524014328"/>
      <w:bookmarkStart w:id="2984" w:name="_Toc18509585"/>
      <w:bookmarkStart w:id="2985" w:name="_Toc219309290"/>
      <w:r w:rsidR="008D797C">
        <w:rPr>
          <w:noProof/>
        </w:rPr>
        <w:t>260</w:t>
      </w:r>
      <w:bookmarkEnd w:id="2983"/>
      <w:r w:rsidRPr="00264D5D">
        <w:fldChar w:fldCharType="end"/>
      </w:r>
      <w:r w:rsidRPr="00264D5D">
        <w:t xml:space="preserve"> – Описание комплексного типа «tMSC_BKTp10_20Complex»</w:t>
      </w:r>
      <w:bookmarkEnd w:id="2984"/>
      <w:bookmarkEnd w:id="2985"/>
    </w:p>
    <w:tbl>
      <w:tblPr>
        <w:tblStyle w:val="GOSTTable"/>
        <w:tblW w:w="9633" w:type="dxa"/>
        <w:tblLayout w:type="fixed"/>
        <w:tblLook w:val="04A0" w:firstRow="1" w:lastRow="0" w:firstColumn="1" w:lastColumn="0" w:noHBand="0" w:noVBand="1"/>
      </w:tblPr>
      <w:tblGrid>
        <w:gridCol w:w="1701"/>
        <w:gridCol w:w="1701"/>
        <w:gridCol w:w="567"/>
        <w:gridCol w:w="1134"/>
        <w:gridCol w:w="567"/>
        <w:gridCol w:w="3963"/>
      </w:tblGrid>
      <w:tr w:rsidR="00AD1F54" w:rsidRPr="00264D5D" w14:paraId="4D3EDBDC"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623224B0" w14:textId="77777777" w:rsidR="00AD1F54" w:rsidRPr="00264D5D" w:rsidRDefault="00941227">
            <w:pPr>
              <w:pStyle w:val="ASFKTableHead"/>
            </w:pPr>
            <w:r w:rsidRPr="00264D5D">
              <w:t>Наименование элемента</w:t>
            </w:r>
          </w:p>
        </w:tc>
        <w:tc>
          <w:tcPr>
            <w:tcW w:w="1701" w:type="dxa"/>
          </w:tcPr>
          <w:p w14:paraId="38B6721E" w14:textId="77777777" w:rsidR="00AD1F54" w:rsidRPr="00264D5D" w:rsidRDefault="00941227">
            <w:pPr>
              <w:pStyle w:val="ASFKTableHead"/>
            </w:pPr>
            <w:r w:rsidRPr="00264D5D">
              <w:t>Сокращенное наименование (код) элемента</w:t>
            </w:r>
          </w:p>
        </w:tc>
        <w:tc>
          <w:tcPr>
            <w:tcW w:w="567" w:type="dxa"/>
          </w:tcPr>
          <w:p w14:paraId="4A44BE3E" w14:textId="77777777" w:rsidR="00AD1F54" w:rsidRPr="00264D5D" w:rsidRDefault="00941227">
            <w:pPr>
              <w:pStyle w:val="ASFKTableHead"/>
            </w:pPr>
            <w:r w:rsidRPr="00264D5D">
              <w:t>Тип</w:t>
            </w:r>
          </w:p>
        </w:tc>
        <w:tc>
          <w:tcPr>
            <w:tcW w:w="1134" w:type="dxa"/>
          </w:tcPr>
          <w:p w14:paraId="4A432617" w14:textId="77777777" w:rsidR="00AD1F54" w:rsidRPr="00264D5D" w:rsidRDefault="00941227">
            <w:pPr>
              <w:pStyle w:val="ASFKTableHead"/>
            </w:pPr>
            <w:r w:rsidRPr="00264D5D">
              <w:t>Формат элемента</w:t>
            </w:r>
          </w:p>
        </w:tc>
        <w:tc>
          <w:tcPr>
            <w:tcW w:w="567" w:type="dxa"/>
          </w:tcPr>
          <w:p w14:paraId="0D192AD5" w14:textId="77777777" w:rsidR="00AD1F54" w:rsidRPr="00264D5D" w:rsidRDefault="00941227">
            <w:pPr>
              <w:pStyle w:val="ASFKTableHead"/>
            </w:pPr>
            <w:r w:rsidRPr="00264D5D">
              <w:t>Обязательность</w:t>
            </w:r>
          </w:p>
        </w:tc>
        <w:tc>
          <w:tcPr>
            <w:tcW w:w="3963" w:type="dxa"/>
          </w:tcPr>
          <w:p w14:paraId="198CE521" w14:textId="77777777" w:rsidR="00AD1F54" w:rsidRPr="00264D5D" w:rsidRDefault="00941227">
            <w:pPr>
              <w:pStyle w:val="ASFKTableHead"/>
            </w:pPr>
            <w:r w:rsidRPr="00264D5D">
              <w:t>Дополнительная информация</w:t>
            </w:r>
          </w:p>
        </w:tc>
      </w:tr>
      <w:tr w:rsidR="00AD1F54" w:rsidRPr="00264D5D" w14:paraId="5566F72B"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7F855B96" w14:textId="77777777" w:rsidR="00AD1F54" w:rsidRPr="00264D5D" w:rsidRDefault="00941227">
            <w:pPr>
              <w:pStyle w:val="GOSTTablenorm"/>
              <w:rPr>
                <w:szCs w:val="22"/>
              </w:rPr>
            </w:pPr>
            <w:r w:rsidRPr="00264D5D">
              <w:rPr>
                <w:szCs w:val="22"/>
              </w:rPr>
              <w:t>Код типа КБК</w:t>
            </w:r>
          </w:p>
        </w:tc>
        <w:tc>
          <w:tcPr>
            <w:tcW w:w="1701" w:type="dxa"/>
          </w:tcPr>
          <w:p w14:paraId="3A179370" w14:textId="77777777" w:rsidR="00AD1F54" w:rsidRPr="00264D5D" w:rsidRDefault="00941227">
            <w:pPr>
              <w:pStyle w:val="GOSTTablenorm"/>
              <w:rPr>
                <w:szCs w:val="22"/>
              </w:rPr>
            </w:pPr>
            <w:r w:rsidRPr="00264D5D">
              <w:rPr>
                <w:szCs w:val="22"/>
              </w:rPr>
              <w:t>code</w:t>
            </w:r>
          </w:p>
        </w:tc>
        <w:tc>
          <w:tcPr>
            <w:tcW w:w="567" w:type="dxa"/>
          </w:tcPr>
          <w:p w14:paraId="357FF299" w14:textId="77777777" w:rsidR="00AD1F54" w:rsidRPr="00264D5D" w:rsidRDefault="00941227">
            <w:pPr>
              <w:pStyle w:val="GOSTTablenorm"/>
              <w:jc w:val="center"/>
              <w:rPr>
                <w:szCs w:val="22"/>
              </w:rPr>
            </w:pPr>
            <w:r w:rsidRPr="00264D5D">
              <w:rPr>
                <w:szCs w:val="22"/>
              </w:rPr>
              <w:t>А</w:t>
            </w:r>
          </w:p>
        </w:tc>
        <w:tc>
          <w:tcPr>
            <w:tcW w:w="1134" w:type="dxa"/>
          </w:tcPr>
          <w:p w14:paraId="088AB94B" w14:textId="77777777" w:rsidR="00AD1F54" w:rsidRPr="00264D5D" w:rsidRDefault="00941227">
            <w:pPr>
              <w:pStyle w:val="GOSTTablenorm"/>
              <w:rPr>
                <w:szCs w:val="22"/>
              </w:rPr>
            </w:pPr>
            <w:r w:rsidRPr="00264D5D">
              <w:rPr>
                <w:szCs w:val="22"/>
              </w:rPr>
              <w:t>-</w:t>
            </w:r>
          </w:p>
        </w:tc>
        <w:tc>
          <w:tcPr>
            <w:tcW w:w="567" w:type="dxa"/>
          </w:tcPr>
          <w:p w14:paraId="4CF32054" w14:textId="77777777" w:rsidR="00AD1F54" w:rsidRPr="00264D5D" w:rsidRDefault="00941227">
            <w:pPr>
              <w:pStyle w:val="GOSTTablenorm"/>
              <w:jc w:val="center"/>
              <w:rPr>
                <w:szCs w:val="22"/>
              </w:rPr>
            </w:pPr>
            <w:r w:rsidRPr="00264D5D">
              <w:rPr>
                <w:szCs w:val="22"/>
              </w:rPr>
              <w:t>О</w:t>
            </w:r>
          </w:p>
        </w:tc>
        <w:tc>
          <w:tcPr>
            <w:tcW w:w="3963" w:type="dxa"/>
          </w:tcPr>
          <w:p w14:paraId="262C0531" w14:textId="77777777" w:rsidR="00AD1F54" w:rsidRPr="00264D5D" w:rsidRDefault="00941227">
            <w:pPr>
              <w:spacing w:before="60" w:after="60"/>
              <w:ind w:firstLine="29"/>
              <w:rPr>
                <w:sz w:val="22"/>
                <w:szCs w:val="22"/>
              </w:rPr>
            </w:pPr>
            <w:r w:rsidRPr="00264D5D">
              <w:rPr>
                <w:sz w:val="22"/>
                <w:szCs w:val="22"/>
              </w:rPr>
              <w:t>Допустимые значения:</w:t>
            </w:r>
          </w:p>
          <w:p w14:paraId="01CFF801" w14:textId="77777777" w:rsidR="00AD1F54" w:rsidRPr="00264D5D" w:rsidRDefault="00941227" w:rsidP="00E7460C">
            <w:pPr>
              <w:pStyle w:val="GOSTTablenorm"/>
              <w:numPr>
                <w:ilvl w:val="0"/>
                <w:numId w:val="80"/>
              </w:numPr>
              <w:ind w:left="284" w:hanging="227"/>
            </w:pPr>
            <w:r w:rsidRPr="00264D5D">
              <w:t>10 – Расходы;</w:t>
            </w:r>
          </w:p>
          <w:p w14:paraId="2269F19E" w14:textId="77777777" w:rsidR="00AD1F54" w:rsidRPr="00264D5D" w:rsidRDefault="00B06B9A" w:rsidP="00E7460C">
            <w:pPr>
              <w:pStyle w:val="GOSTTablenorm"/>
              <w:numPr>
                <w:ilvl w:val="0"/>
                <w:numId w:val="80"/>
              </w:numPr>
              <w:ind w:left="284" w:hanging="227"/>
            </w:pPr>
            <w:r w:rsidRPr="00264D5D">
              <w:t>20 – Доходы</w:t>
            </w:r>
          </w:p>
        </w:tc>
      </w:tr>
      <w:tr w:rsidR="00AD1F54" w:rsidRPr="00264D5D" w14:paraId="151C19F0" w14:textId="77777777" w:rsidTr="00AD1F54">
        <w:trPr>
          <w:cnfStyle w:val="000000010000" w:firstRow="0" w:lastRow="0" w:firstColumn="0" w:lastColumn="0" w:oddVBand="0" w:evenVBand="0" w:oddHBand="0" w:evenHBand="1" w:firstRowFirstColumn="0" w:firstRowLastColumn="0" w:lastRowFirstColumn="0" w:lastRowLastColumn="0"/>
          <w:trHeight w:val="537"/>
        </w:trPr>
        <w:tc>
          <w:tcPr>
            <w:tcW w:w="1701" w:type="dxa"/>
          </w:tcPr>
          <w:p w14:paraId="6A250303" w14:textId="77777777" w:rsidR="00AD1F54" w:rsidRPr="00264D5D" w:rsidRDefault="00941227">
            <w:pPr>
              <w:pStyle w:val="GOSTTablenorm"/>
              <w:rPr>
                <w:szCs w:val="22"/>
              </w:rPr>
            </w:pPr>
            <w:r w:rsidRPr="00264D5D">
              <w:rPr>
                <w:szCs w:val="22"/>
              </w:rPr>
              <w:t>Тип КБК</w:t>
            </w:r>
          </w:p>
        </w:tc>
        <w:tc>
          <w:tcPr>
            <w:tcW w:w="1701" w:type="dxa"/>
          </w:tcPr>
          <w:p w14:paraId="28F1747D" w14:textId="77777777" w:rsidR="00AD1F54" w:rsidRPr="00264D5D" w:rsidRDefault="00941227">
            <w:pPr>
              <w:pStyle w:val="GOSTTablenorm"/>
              <w:rPr>
                <w:szCs w:val="22"/>
              </w:rPr>
            </w:pPr>
            <w:r w:rsidRPr="00264D5D">
              <w:rPr>
                <w:szCs w:val="22"/>
                <w:lang w:val="en-US"/>
              </w:rPr>
              <w:t>value</w:t>
            </w:r>
          </w:p>
        </w:tc>
        <w:tc>
          <w:tcPr>
            <w:tcW w:w="567" w:type="dxa"/>
          </w:tcPr>
          <w:p w14:paraId="520EB68D" w14:textId="77777777" w:rsidR="00AD1F54" w:rsidRPr="00264D5D" w:rsidRDefault="00941227">
            <w:pPr>
              <w:pStyle w:val="GOSTTablenorm"/>
              <w:jc w:val="center"/>
              <w:rPr>
                <w:szCs w:val="22"/>
              </w:rPr>
            </w:pPr>
            <w:r w:rsidRPr="00264D5D">
              <w:rPr>
                <w:szCs w:val="22"/>
              </w:rPr>
              <w:t>А</w:t>
            </w:r>
          </w:p>
        </w:tc>
        <w:tc>
          <w:tcPr>
            <w:tcW w:w="1134" w:type="dxa"/>
          </w:tcPr>
          <w:p w14:paraId="197E2295" w14:textId="77777777" w:rsidR="00AD1F54" w:rsidRPr="00264D5D" w:rsidRDefault="00941227">
            <w:pPr>
              <w:pStyle w:val="GOSTTablenorm"/>
              <w:rPr>
                <w:szCs w:val="22"/>
              </w:rPr>
            </w:pPr>
            <w:r w:rsidRPr="00264D5D">
              <w:rPr>
                <w:szCs w:val="22"/>
              </w:rPr>
              <w:t>-</w:t>
            </w:r>
          </w:p>
        </w:tc>
        <w:tc>
          <w:tcPr>
            <w:tcW w:w="567" w:type="dxa"/>
          </w:tcPr>
          <w:p w14:paraId="17015C10" w14:textId="77777777" w:rsidR="00AD1F54" w:rsidRPr="00264D5D" w:rsidRDefault="00941227">
            <w:pPr>
              <w:pStyle w:val="GOSTTablenorm"/>
              <w:jc w:val="center"/>
              <w:rPr>
                <w:szCs w:val="22"/>
              </w:rPr>
            </w:pPr>
            <w:r w:rsidRPr="00264D5D">
              <w:rPr>
                <w:szCs w:val="22"/>
              </w:rPr>
              <w:t>Н</w:t>
            </w:r>
          </w:p>
        </w:tc>
        <w:tc>
          <w:tcPr>
            <w:tcW w:w="3963" w:type="dxa"/>
          </w:tcPr>
          <w:p w14:paraId="2A35928D" w14:textId="77777777" w:rsidR="00AD1F54" w:rsidRPr="00264D5D" w:rsidRDefault="00941227">
            <w:pPr>
              <w:spacing w:before="60" w:after="60"/>
              <w:ind w:firstLine="29"/>
              <w:rPr>
                <w:sz w:val="22"/>
                <w:szCs w:val="22"/>
              </w:rPr>
            </w:pPr>
            <w:r w:rsidRPr="00264D5D">
              <w:rPr>
                <w:sz w:val="22"/>
                <w:szCs w:val="22"/>
              </w:rPr>
              <w:t>Допустимые значения:</w:t>
            </w:r>
          </w:p>
          <w:p w14:paraId="644402A9" w14:textId="77777777" w:rsidR="00AD1F54" w:rsidRPr="00264D5D" w:rsidRDefault="00941227" w:rsidP="00E7460C">
            <w:pPr>
              <w:pStyle w:val="GOSTTablenorm"/>
              <w:numPr>
                <w:ilvl w:val="0"/>
                <w:numId w:val="80"/>
              </w:numPr>
              <w:ind w:left="284" w:hanging="227"/>
            </w:pPr>
            <w:r w:rsidRPr="00264D5D">
              <w:t>Расходы;</w:t>
            </w:r>
          </w:p>
          <w:p w14:paraId="20270CA0" w14:textId="77777777" w:rsidR="00AD1F54" w:rsidRPr="00264D5D" w:rsidRDefault="00B06B9A" w:rsidP="00E7460C">
            <w:pPr>
              <w:pStyle w:val="GOSTTablenorm"/>
              <w:numPr>
                <w:ilvl w:val="0"/>
                <w:numId w:val="80"/>
              </w:numPr>
              <w:ind w:left="284" w:hanging="227"/>
            </w:pPr>
            <w:r w:rsidRPr="00264D5D">
              <w:t>Доходы</w:t>
            </w:r>
          </w:p>
        </w:tc>
      </w:tr>
    </w:tbl>
    <w:p w14:paraId="721BCE6C" w14:textId="77777777" w:rsidR="00AD1F54" w:rsidRPr="00264D5D" w:rsidRDefault="00941227">
      <w:pPr>
        <w:pStyle w:val="31"/>
      </w:pPr>
      <w:r w:rsidRPr="00264D5D">
        <w:lastRenderedPageBreak/>
        <w:t xml:space="preserve"> </w:t>
      </w:r>
      <w:bookmarkStart w:id="2986" w:name="_Toc219309733"/>
      <w:r w:rsidRPr="00264D5D">
        <w:t>Пример XML</w:t>
      </w:r>
      <w:bookmarkEnd w:id="2986"/>
    </w:p>
    <w:p w14:paraId="2FCAF4F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&lt;?xml version="1.0" encoding="UTF-8"?&gt;</w:t>
      </w:r>
    </w:p>
    <w:p w14:paraId="182407E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&lt;soapenv:Envelope xmlns:soapenv="http://schemas.xmlsoap.org/soap/envelope/" xmlns:wsu="http://docs.oasis-open.org/wss/2004/01/oasis-200401-wss-wssecurity-utility-1.0.xsd" xmlns:wsse="http://docs.oasis-open.org/wss/2004/01/oasis-200401-wss-wssecurity-secext-1.0.xsd"&gt;</w:t>
      </w:r>
    </w:p>
    <w:p w14:paraId="394F61B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&lt;soapenv:Header xmlns:env="http://schemas.xmlsoap.org/soap/envelope/"&gt;&lt;wsse:Security wsu:Id="Id-sec-f9cb3040b7ca31cd7876d625c632e1aed304"&gt;</w:t>
      </w:r>
    </w:p>
    <w:p w14:paraId="3565541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 xmlns="http://www.w3.org/2000/09/xmldsig#" Id="Id-sig-b9199ca934cfa91bcff69e807d7b0dbd26f6"&gt;</w:t>
      </w:r>
    </w:p>
    <w:p w14:paraId="0B570A2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252D95A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&lt;CanonicalizationMethod Algorithm="http://www.w3.org/2001/10/xml-exc-c14n#"/&gt;</w:t>
      </w:r>
    </w:p>
    <w:p w14:paraId="60D2B11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&lt;SignatureMethod Algorithm="http://www.w3.org/2001/04/xmldsig-more#gostr34102001-gostr3411"/&gt;</w:t>
      </w:r>
    </w:p>
    <w:p w14:paraId="0DE154A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URI="#Id-wssecdata-29cef34e3106063e64fead91c94aeda97ff4" Id="Id-dataref-ea575c0bb2c994b98298d2c77dcd5a7dbaa1"&gt;</w:t>
      </w:r>
    </w:p>
    <w:p w14:paraId="1879E14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16C3A99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6B4D24E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098D63C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1038684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&lt;DigestValue&gt;4bqC9/3OSJqEHDz00XLzUf29YFcetigx2jr08qUp7fQ=&lt;/DigestValue&gt;</w:t>
      </w:r>
    </w:p>
    <w:p w14:paraId="5F05807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711DA40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Type="http://www.w3.org/TR/2002/REC-xmldsig-core-20020212/xmldsig-core-schema.xsd#X509Data" URI="#Id-keyinfo-11712390bc17243d110193ac033f54873ad8" Id="Id-keyinforef-ac3c6eb29c9af1964819db52ec661b26c339"&gt;</w:t>
      </w:r>
    </w:p>
    <w:p w14:paraId="1929873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6936171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5B207E5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089C615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724E4EB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&lt;DigestValue&gt;+0q515JTexjW0go5SdPl7+ydqXUKST91N44lIbXt8Yo=&lt;/DigestValue&gt;</w:t>
      </w:r>
    </w:p>
    <w:p w14:paraId="412ED11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3C176C7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URI="#Id-sp-4179cfd1e4ba9c0aaed70450fc3c741c9c08" Id="Id-ref-cb8cc265f168034494eca1c25ec74bf9433c"&gt;</w:t>
      </w:r>
    </w:p>
    <w:p w14:paraId="69A9E62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35EF51D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39237F9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21E3BA6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38739BE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&lt;DigestValue&gt;f10/P/MZ5W1AwvdMPGkqpWfYGkK10xUw6SycuQIgFIc=&lt;/DigestValue&gt;</w:t>
      </w:r>
    </w:p>
    <w:p w14:paraId="4630982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5149E29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1A868D3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&lt;SignatureValue&gt;Xg8mlCU46QdjuUgHR/GFI13DKE7tfRDOphsVyNpFnxC/Sa2XnEuGBKeW7azroY19</w:t>
      </w:r>
    </w:p>
    <w:p w14:paraId="36E3CF4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3u7EHXe4dKfnrJ7k7Eq5+A==&lt;/SignatureValue&gt;</w:t>
      </w:r>
    </w:p>
    <w:p w14:paraId="5C93599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1BDFDEC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7673311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 xmlns="http://uri.etsi.org/01903/v1.4.1#" Target="Id-sig-b9199ca934cfa91bcff69e807d7b0dbd26f6"&gt;</w:t>
      </w:r>
    </w:p>
    <w:p w14:paraId="3C30332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 Id="Id-sp-4179cfd1e4ba9c0aaed70450fc3c741c9c08"&gt;</w:t>
      </w:r>
    </w:p>
    <w:p w14:paraId="20271E5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&lt;SignedSignatureProperties Id="Id-ssp-408cecc6a155b8a0f2850e81d5f57496bb2b"/&gt;</w:t>
      </w:r>
    </w:p>
    <w:p w14:paraId="17C3817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&lt;/SignedProperties&gt;</w:t>
      </w:r>
    </w:p>
    <w:p w14:paraId="4249885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&lt;/QualifyingProperties&gt;</w:t>
      </w:r>
    </w:p>
    <w:p w14:paraId="1A01607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41DE27F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02B0292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CVNlcnZlciBDQTEgMB4GCSqGSIb3DQEJARYRdWNfZmtAcm9za2F6bmEucnUxHDAa</w:t>
      </w:r>
    </w:p>
    <w:p w14:paraId="3B28027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BgNVBAgMEzc3INCzLiDQnNC+0YHQutCy0LAxGjAYBggqhQMDgQMBARIMMDA3NzEw</w:t>
      </w:r>
    </w:p>
    <w:p w14:paraId="08F2FFF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NTY4NzYwMRgwFgYFKoUDZAESDTEwNDc3OTcwMTk4MzAxLDAqBgNVBAkMI9GD0LvQ</w:t>
      </w:r>
    </w:p>
    <w:p w14:paraId="6D51D5A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uNGG0LAg0JjQu9GM0LjQvdC60LAsINC00L7QvCA3MRUwEwYDVQQHDAzQnNC+0YHQ</w:t>
      </w:r>
    </w:p>
    <w:p w14:paraId="777E79B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utCy0LAxCzAJBgNVBAYTAlJVMTgwNgYDVQQKDC/QpNC10LTQtdGA0LDQu9GM0L3Q</w:t>
      </w:r>
    </w:p>
    <w:p w14:paraId="4A0FC8F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vtC1INC60LDQt9C90LDRh9C10LnRgdGC0LLQvjE/MD0GA1UEAww20KPQpiDQpNC1</w:t>
      </w:r>
    </w:p>
    <w:p w14:paraId="5A9E0FE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0LTQtdGA0LDQu9GM0L3QvtCz0L4g0LrQsNC30L3QsNGH0LXQudGB0YLQstCwMB4X</w:t>
      </w:r>
    </w:p>
    <w:p w14:paraId="7CD454F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DTE2MDQwNzA4MTExMFoXDTE3MDcwNzA4MTExMFowggITMRYwFAYFKoUDZAMSCzEy</w:t>
      </w:r>
    </w:p>
    <w:p w14:paraId="78CCC8A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MzQ1Njc4OTAxMRgwFgYFKoUDZAESDTAxMjM0NTY3ODkxMjMxGjAYBggqhQMDgQMB</w:t>
      </w:r>
    </w:p>
    <w:p w14:paraId="633B3DD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ARIMMDAxMjM0NTY3ODkwMSYwJAYJKoZIhvcNAQkBFhduLm5hZ292aXRzeW5AaW5m</w:t>
      </w:r>
    </w:p>
    <w:p w14:paraId="72BFFC0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b3NlYy5ydTELMAkGA1UEBhMCUlUxHDAaBgNVBAgMEzc3INCzLiDQnNC+0YHQutCy</w:t>
      </w:r>
    </w:p>
    <w:p w14:paraId="4A33943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0LAxFTATBgNVBAcMDNCc0L7RgdC60LLQsDE4MDYGA1UECgwv0KTQtdC00LXRgNCw</w:t>
      </w:r>
    </w:p>
    <w:p w14:paraId="37CA0AE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0LvRjNC90L7QtSDQutCw0LfQvdCw0YfQtdC50YHRgtCy0L4xNDAyBgNVBAsMK9GC</w:t>
      </w:r>
    </w:p>
    <w:p w14:paraId="5D1007B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0LXRgdGC0L7QstC+0LUg0L/QvtC00YDQsNC30LTQtdC70LXQvdC40LUxHDAaBgNV</w:t>
      </w:r>
    </w:p>
    <w:p w14:paraId="4B05F21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BCoME2PQtdGA0YLQuNGE0LjQutCw0YIxGTAXBgNVBAQMENCi0LXRgdGC0L7QstGL</w:t>
      </w:r>
    </w:p>
    <w:p w14:paraId="3E25560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0LkxPTA7BgNVBAwMNNCi0LXRgdGC0L7QstGL0Lkg0YHQtdGA0YLQuNGE0LjQutCw</w:t>
      </w:r>
    </w:p>
    <w:p w14:paraId="396296E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0YIg0L/QvtC00L/QuNGB0LgxQTA/BgkqhkiG9w0BCQIMMklOTlw9MDEyMzQ1Njc4</w:t>
      </w:r>
    </w:p>
    <w:p w14:paraId="1642CFA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OS9LUFBcPTEyMzQ1Njc4OS9PR1JOXD0wMTIzNDU2Nzg5MTIzMS4wLAYDVQQDDCXQ</w:t>
      </w:r>
    </w:p>
    <w:p w14:paraId="1C2580C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otC10YHRgtC+0LLRi9C5INGB0LXRgNGC0LjRhNC40LrQsNGCMGMwHAYGKoUDAgIT</w:t>
      </w:r>
    </w:p>
    <w:p w14:paraId="65C9375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MBIGByqFAwICJAAGByqFAwICHgEDQwAEQM/mE38gcSmh2U183WL3aPaP3tJu0vTq</w:t>
      </w:r>
    </w:p>
    <w:p w14:paraId="735CEC8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CndMDcb72IGcv8nO7QkaqnFwXrkt6zScdQlQgUX78ct0+jNJa7ZIdLGjggRJMIIE</w:t>
      </w:r>
    </w:p>
    <w:p w14:paraId="4EEAF4C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RTAMBgNVHRMBAf8EAjAAMB0GA1UdIAQWMBQwCAYGKoUDZHEBMAgGBiqFA2RxAjBN</w:t>
      </w:r>
    </w:p>
    <w:p w14:paraId="26BD21F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BgUqhQNkbwREDELQmtGA0LjQv9GC0L7Qn9GA0L4gQ1NQICjQstC10YDRgdC40Y8g</w:t>
      </w:r>
    </w:p>
    <w:p w14:paraId="40CD49B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My42KSAo0LjRgdC/0L7Qu9C90LXQvdC40LUgMikwggFhBgUqhQNkcASCAVYwggFS</w:t>
      </w:r>
    </w:p>
    <w:p w14:paraId="1E90C4E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DEQi0JrRgNC40L/RgtC+0J/RgNC+IENTUCIgKNCy0LXRgNGB0LjRjyAzLjYpICjQ</w:t>
      </w:r>
    </w:p>
    <w:p w14:paraId="32DF5F5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uNGB0L/QvtC70L3QtdC90LjQtSAyKQxoItCf0YDQvtCz0YDQsNC80LzQvdC+LdCw</w:t>
      </w:r>
    </w:p>
    <w:p w14:paraId="3E5A2D2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0L/Qv9Cw0YDQsNGC0L3Ri9C5INC60L7QvNC/0LvQtdC60YEgItCu0L3QuNGB0LXR</w:t>
      </w:r>
    </w:p>
    <w:p w14:paraId="24831E1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gNGCLdCT0J7QodCiIi4g0JLQtdGA0YHQuNGPIDIuMSIMT9Ch0LXRgNGC0LjRhNC4</w:t>
      </w:r>
    </w:p>
    <w:p w14:paraId="55271C6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0LrQsNGCINGB0L7QvtGC0LLQtdGC0YHRgtCy0LjRjyDihJYg0KHQpC8xMjQtMjcz</w:t>
      </w:r>
    </w:p>
    <w:p w14:paraId="587A259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OCDQvtGCIDAxLjA3LjIwMTUMT9Ch0LXRgNGC0LjRhNC40LrQsNGCINGB0L7QvtGC</w:t>
      </w:r>
    </w:p>
    <w:p w14:paraId="60FFE65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0LLQtdGC0YHRgtCy0LjRjyDihJYg0KHQpC8xMjgtMjE3NSDQvtGCIDIwLjA2LjIw</w:t>
      </w:r>
    </w:p>
    <w:p w14:paraId="5434A06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MTMwDgYDVR0PAQH/BAQDAgTwMBMGA1UdJQQMMAoGCCsGAQUFBwMDMCsGA1UdEAQk</w:t>
      </w:r>
    </w:p>
    <w:p w14:paraId="01FB430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MCKADzIwMTYwNDA3MDgwNDI4WoEPMjAxNzA3MDcwODA0MjhaMIIBjwYDVR0jBIIB</w:t>
      </w:r>
    </w:p>
    <w:p w14:paraId="1F4622D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hjCCAYKAFJ5xDg/atAEoXz/iy49lFZcCR4yroYIBZaSCAWEwggFdMRgwFgYJKoZI</w:t>
      </w:r>
    </w:p>
    <w:p w14:paraId="60B2F1F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hvcNAQkCEwlTZXJ2ZXIgQ0ExIDAeBgkqhkiG9w0BCQEWEXVjX2ZrQHJvc2them5h</w:t>
      </w:r>
    </w:p>
    <w:p w14:paraId="4BF95E2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LnJ1MRwwGgYDVQQIDBM3NyDQsy4g0JzQvtGB0LrQstCwMRowGAYIKoUDA4EDAQES</w:t>
      </w:r>
    </w:p>
    <w:p w14:paraId="389D0A2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DDAwNzcxMDU2ODc2MDEYMBYGBSqFA2QBEg0xMDQ3Nzk3MDE5ODMwMSwwKgYDVQQJ</w:t>
      </w:r>
    </w:p>
    <w:p w14:paraId="7B9C59A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DCPRg9C70LjRhtCwINCY0LvRjNC40L3QutCwLCDQtNC+0LwgNzEVMBMGA1UEBwwM</w:t>
      </w:r>
    </w:p>
    <w:p w14:paraId="38285EC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0JzQvtGB0LrQstCwMQswCQYDVQQGEwJSVTE4MDYGA1UECgwv0KTQtdC00LXRgNCw</w:t>
      </w:r>
    </w:p>
    <w:p w14:paraId="7FC966C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0LvRjNC90L7QtSDQutCw0LfQvdCw0YfQtdC50YHRgtCy0L4xPzA9BgNVBAMMNtCj</w:t>
      </w:r>
    </w:p>
    <w:p w14:paraId="6C79337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0KYg0KTQtdC00LXRgNCw0LvRjNC90L7Qs9C+INC60LDQt9C90LDRh9C10LnRgdGC</w:t>
      </w:r>
    </w:p>
    <w:p w14:paraId="00B74AC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0LLQsIIBATBeBgNVHR8EVzBVMCmgJ6AlhiNodHRwOi8vY3JsLnJvc2them5hLnJ1</w:t>
      </w:r>
    </w:p>
    <w:p w14:paraId="12BD385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L2NybC9mazAxLmNybDAooCagJIYiaHR0cDovL2NybC5mc2ZrLmxvY2FsL2NybC9m</w:t>
      </w:r>
    </w:p>
    <w:p w14:paraId="00285A3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azAxLmNybDAdBgNVHQ4EFgQUt0m7wwTPyJQ+5TDMkq5Z0WnD5vQwCAYGKoUDAgID</w:t>
      </w:r>
    </w:p>
    <w:p w14:paraId="271912A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A0EAReUQeQpqERyFF5XRWG8RnguKCWvPIQOt26PZmVTccxOXVHwZyI0rqdcQ2i4L</w:t>
      </w:r>
    </w:p>
    <w:p w14:paraId="07ED9B1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p87xs4bqOAO1BwhmKL/TsoC4pA==&lt;/wsse:BinarySecurityToken&gt;&lt;/wsse:Security&gt;&lt;/soapenv:Header&gt;</w:t>
      </w:r>
    </w:p>
    <w:p w14:paraId="4163F96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&lt;soapenv:Body xmlns:env="http://schemas.xmlsoap.org/soap/envelope/" wsu:Id="Id-wssecdata-29cef34e3106063e64fead91c94aeda97ff4"&gt;</w:t>
      </w:r>
    </w:p>
    <w:p w14:paraId="33644C3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&lt;transferDocumentRequest xmlns:typ="http://www.roskazna.ru/eb/services/transferDocumentService/types" xmlns="http://www.roskazna.ru/eb/services/transferDocumentService/types" versionId="1.0"&gt;</w:t>
      </w:r>
    </w:p>
    <w:p w14:paraId="29CC769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&lt;typ:header&gt;</w:t>
      </w:r>
    </w:p>
    <w:p w14:paraId="23EEDA9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&lt;typ:packageId&gt;e8bf66bf-9cf1-47f1-a48b-394d18467fe3&lt;/typ:packageId&gt;</w:t>
      </w:r>
    </w:p>
    <w:p w14:paraId="1D45D61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&lt;typ:senderSystemId&gt;PFHD&lt;/typ:senderSystemId&gt;</w:t>
      </w:r>
    </w:p>
    <w:p w14:paraId="1B32D90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&lt;typ:targetSystemId&gt;EXP&lt;/typ:targetSystemId&gt;</w:t>
      </w:r>
    </w:p>
    <w:p w14:paraId="08BD46A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&lt;typ:documentType&gt;MSC_ApplFundsCard&lt;/typ:documentType&gt;</w:t>
      </w:r>
    </w:p>
    <w:p w14:paraId="604D1FD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&lt;typ:documentGuid&gt;a2e4e9b1-711d-4e55-a382-</w:t>
      </w:r>
      <w:r w:rsidRPr="00264D5D">
        <w:rPr>
          <w:rFonts w:cs="Courier New"/>
          <w:sz w:val="20"/>
        </w:rPr>
        <w:lastRenderedPageBreak/>
        <w:t>a46db4ac956a&lt;/typ:documentGuid&gt;</w:t>
      </w:r>
    </w:p>
    <w:p w14:paraId="09CBF99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&lt;typ:creationDateTime&gt;2021-01-03T16:46:07.689+04:00&lt;/typ:creationDateTime&gt;</w:t>
      </w:r>
    </w:p>
    <w:p w14:paraId="7131DD7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&lt;typ:params&gt;</w:t>
      </w:r>
    </w:p>
    <w:p w14:paraId="2109AAA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 name="tofkCode" value="3200"/&gt;</w:t>
      </w:r>
    </w:p>
    <w:p w14:paraId="0AE541F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 name="versionId" value="1.0"/&gt;</w:t>
      </w:r>
    </w:p>
    <w:p w14:paraId="182013B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&lt;/typ:params&gt;</w:t>
      </w:r>
    </w:p>
    <w:p w14:paraId="21A0564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&lt;/typ:header&gt;</w:t>
      </w:r>
    </w:p>
    <w:p w14:paraId="1F1AA7A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&lt;typ:document&gt;</w:t>
      </w:r>
    </w:p>
    <w:p w14:paraId="5C9D8A0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&lt;self:MSC_AplFndsCrd metaType="formular" versionID="1.0" Id="Id-xadesdata-eaf97d94646411e9b78d005056834f23" xsi:schemaLocation="http://www.roskazna.ru/eb/domain/MSC_AplFndsCrd/formular formulars.xsd" xmlns:self="http://www.roskazna.ru/eb/domain/MSC_AplFndsCrd/formular" xmlns:xsi="http://www.w3.org/2001/XMLSchema-instance"&gt;</w:t>
      </w:r>
    </w:p>
    <w:p w14:paraId="22C6084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&lt;ZN_DcNmbr xmlns=""&gt;572&lt;/ZN_DcNmbr&gt;</w:t>
      </w:r>
    </w:p>
    <w:p w14:paraId="2237CFA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&lt;ZN_MSC_Cstmr xmlns=""&gt;</w:t>
      </w:r>
    </w:p>
    <w:p w14:paraId="52250C6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&lt;Cd&gt;18170554&lt;/Cd&gt;</w:t>
      </w:r>
    </w:p>
    <w:p w14:paraId="725AD9F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&lt;FullNm&gt;Школа № 434&lt;/FullNm&gt;</w:t>
      </w:r>
    </w:p>
    <w:p w14:paraId="226891D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&lt;AcntNmbr&gt;03211871580&lt;/AcntNmbr&gt;</w:t>
      </w:r>
    </w:p>
    <w:p w14:paraId="20AF356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&lt;INN&gt;2310021269&lt;/INN&gt;</w:t>
      </w:r>
    </w:p>
    <w:p w14:paraId="7C9F890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&lt;KPP&gt;231001001&lt;/KPP&gt;</w:t>
      </w:r>
    </w:p>
    <w:p w14:paraId="0F58B3A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&lt;/ZN_MSC_Cstmr&gt;</w:t>
      </w:r>
    </w:p>
    <w:p w14:paraId="58EFD21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lang w:val="ru-RU"/>
        </w:rPr>
        <w:t>&lt;</w:t>
      </w:r>
      <w:r w:rsidRPr="00264D5D">
        <w:rPr>
          <w:rFonts w:cs="Courier New"/>
          <w:sz w:val="20"/>
        </w:rPr>
        <w:t>ZN</w:t>
      </w:r>
      <w:r w:rsidRPr="00264D5D">
        <w:rPr>
          <w:rFonts w:cs="Courier New"/>
          <w:sz w:val="20"/>
          <w:lang w:val="ru-RU"/>
        </w:rPr>
        <w:t>_</w:t>
      </w:r>
      <w:r w:rsidRPr="00264D5D">
        <w:rPr>
          <w:rFonts w:cs="Courier New"/>
          <w:sz w:val="20"/>
        </w:rPr>
        <w:t>MSC</w:t>
      </w:r>
      <w:r w:rsidRPr="00264D5D">
        <w:rPr>
          <w:rFonts w:cs="Courier New"/>
          <w:sz w:val="20"/>
          <w:lang w:val="ru-RU"/>
        </w:rPr>
        <w:t>_</w:t>
      </w:r>
      <w:r w:rsidRPr="00264D5D">
        <w:rPr>
          <w:rFonts w:cs="Courier New"/>
          <w:sz w:val="20"/>
        </w:rPr>
        <w:t>OrFK</w:t>
      </w:r>
      <w:r w:rsidRPr="00264D5D">
        <w:rPr>
          <w:rFonts w:cs="Courier New"/>
          <w:sz w:val="20"/>
          <w:lang w:val="ru-RU"/>
        </w:rPr>
        <w:t xml:space="preserve"> </w:t>
      </w:r>
      <w:r w:rsidRPr="00264D5D">
        <w:rPr>
          <w:rFonts w:cs="Courier New"/>
          <w:sz w:val="20"/>
        </w:rPr>
        <w:t>xmlns</w:t>
      </w:r>
      <w:r w:rsidRPr="00264D5D">
        <w:rPr>
          <w:rFonts w:cs="Courier New"/>
          <w:sz w:val="20"/>
          <w:lang w:val="ru-RU"/>
        </w:rPr>
        <w:t>=""&gt;</w:t>
      </w:r>
    </w:p>
    <w:p w14:paraId="035CD6A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Nm</w:t>
      </w:r>
      <w:r w:rsidRPr="00264D5D">
        <w:rPr>
          <w:rFonts w:cs="Courier New"/>
          <w:sz w:val="20"/>
          <w:lang w:val="ru-RU"/>
        </w:rPr>
        <w:t>&gt;УФК по Краснодарскому краю&lt;/</w:t>
      </w:r>
      <w:r w:rsidRPr="00264D5D">
        <w:rPr>
          <w:rFonts w:cs="Courier New"/>
          <w:sz w:val="20"/>
        </w:rPr>
        <w:t>Nm</w:t>
      </w:r>
      <w:r w:rsidRPr="00264D5D">
        <w:rPr>
          <w:rFonts w:cs="Courier New"/>
          <w:sz w:val="20"/>
          <w:lang w:val="ru-RU"/>
        </w:rPr>
        <w:t>&gt;</w:t>
      </w:r>
      <w:r w:rsidRPr="00264D5D">
        <w:rPr>
          <w:rFonts w:cs="Courier New"/>
          <w:sz w:val="20"/>
          <w:lang w:val="ru-RU"/>
        </w:rPr>
        <w:tab/>
      </w:r>
    </w:p>
    <w:p w14:paraId="1BA404B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&lt;Cd&gt;1800&lt;/Cd&gt;</w:t>
      </w:r>
    </w:p>
    <w:p w14:paraId="7E55827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&lt;/ZN_MSC_OrFK&gt;</w:t>
      </w:r>
    </w:p>
    <w:p w14:paraId="317C2DC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&lt;ZN_BnkCrdNm xmlns=""&gt;7090379004535275&lt;/ZN_BnkCrdNm&gt;</w:t>
      </w:r>
    </w:p>
    <w:p w14:paraId="03F638C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&lt;ZN_OwnCrdCrdPstn xmlns=""&gt;Специалист&lt;/ZN_OwnCrdCrdPstn&gt;</w:t>
      </w:r>
    </w:p>
    <w:p w14:paraId="17ED680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&lt;ZN_MSC_FlNm xmlns=""&gt;</w:t>
      </w:r>
    </w:p>
    <w:p w14:paraId="09BC11A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&lt;Srnm&gt;Иванов&lt;/Srnm&gt;</w:t>
      </w:r>
    </w:p>
    <w:p w14:paraId="0EFD45D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&lt;SubNm&gt;Владимир&lt;/SubNm&gt;</w:t>
      </w:r>
    </w:p>
    <w:p w14:paraId="256C7E8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&lt;MdlNm&gt;Алексеевич&lt;/MdlNm&gt;</w:t>
      </w:r>
    </w:p>
    <w:p w14:paraId="4E3FCB5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&lt;/ZN_MSC_FlNm&gt;</w:t>
      </w:r>
    </w:p>
    <w:p w14:paraId="006822C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&lt;ZN_Amnt xmlns=""&gt;40300.00&lt;/ZN_Amnt&gt;</w:t>
      </w:r>
    </w:p>
    <w:p w14:paraId="360A9D7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&lt;ZN_TtlAmnt xmlns=""&gt;40300.00&lt;/ZN_TtlAmnt&gt;</w:t>
      </w:r>
    </w:p>
    <w:p w14:paraId="50476CB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&lt;TtlPrt_SECRECY xmlns=""&gt;0&lt;/TtlPrt_SECRECY&gt;</w:t>
      </w:r>
    </w:p>
    <w:p w14:paraId="5F21ACB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&lt;ZN_MSC_Hd xmlns=""&gt;</w:t>
      </w:r>
    </w:p>
    <w:p w14:paraId="29EB262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&lt;Pst&gt;Начальник&lt;/Pst&gt;</w:t>
      </w:r>
    </w:p>
    <w:p w14:paraId="3D2422F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FIO</w:t>
      </w:r>
      <w:r w:rsidRPr="00264D5D">
        <w:rPr>
          <w:rFonts w:cs="Courier New"/>
          <w:sz w:val="20"/>
          <w:lang w:val="ru-RU"/>
        </w:rPr>
        <w:t>&gt;ВЛАСОВ А.А.&lt;/</w:t>
      </w:r>
      <w:r w:rsidRPr="00264D5D">
        <w:rPr>
          <w:rFonts w:cs="Courier New"/>
          <w:sz w:val="20"/>
        </w:rPr>
        <w:t>FIO</w:t>
      </w:r>
      <w:r w:rsidRPr="00264D5D">
        <w:rPr>
          <w:rFonts w:cs="Courier New"/>
          <w:sz w:val="20"/>
          <w:lang w:val="ru-RU"/>
        </w:rPr>
        <w:t>&gt;</w:t>
      </w:r>
    </w:p>
    <w:p w14:paraId="2E5EA51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ZN</w:t>
      </w:r>
      <w:r w:rsidRPr="00264D5D">
        <w:rPr>
          <w:rFonts w:cs="Courier New"/>
          <w:sz w:val="20"/>
          <w:lang w:val="ru-RU"/>
        </w:rPr>
        <w:t>_</w:t>
      </w:r>
      <w:r w:rsidRPr="00264D5D">
        <w:rPr>
          <w:rFonts w:cs="Courier New"/>
          <w:sz w:val="20"/>
        </w:rPr>
        <w:t>MSC</w:t>
      </w:r>
      <w:r w:rsidRPr="00264D5D">
        <w:rPr>
          <w:rFonts w:cs="Courier New"/>
          <w:sz w:val="20"/>
          <w:lang w:val="ru-RU"/>
        </w:rPr>
        <w:t>_</w:t>
      </w:r>
      <w:r w:rsidRPr="00264D5D">
        <w:rPr>
          <w:rFonts w:cs="Courier New"/>
          <w:sz w:val="20"/>
        </w:rPr>
        <w:t>Hd</w:t>
      </w:r>
      <w:r w:rsidRPr="00264D5D">
        <w:rPr>
          <w:rFonts w:cs="Courier New"/>
          <w:sz w:val="20"/>
          <w:lang w:val="ru-RU"/>
        </w:rPr>
        <w:t>&gt;</w:t>
      </w:r>
    </w:p>
    <w:p w14:paraId="7FF130A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ZN</w:t>
      </w:r>
      <w:r w:rsidRPr="00264D5D">
        <w:rPr>
          <w:rFonts w:cs="Courier New"/>
          <w:sz w:val="20"/>
          <w:lang w:val="ru-RU"/>
        </w:rPr>
        <w:t>_</w:t>
      </w:r>
      <w:r w:rsidRPr="00264D5D">
        <w:rPr>
          <w:rFonts w:cs="Courier New"/>
          <w:sz w:val="20"/>
        </w:rPr>
        <w:t>SgngDt</w:t>
      </w:r>
      <w:r w:rsidRPr="00264D5D">
        <w:rPr>
          <w:rFonts w:cs="Courier New"/>
          <w:sz w:val="20"/>
          <w:lang w:val="ru-RU"/>
        </w:rPr>
        <w:t xml:space="preserve"> </w:t>
      </w:r>
      <w:r w:rsidRPr="00264D5D">
        <w:rPr>
          <w:rFonts w:cs="Courier New"/>
          <w:sz w:val="20"/>
        </w:rPr>
        <w:t>xmlns</w:t>
      </w:r>
      <w:r w:rsidRPr="00264D5D">
        <w:rPr>
          <w:rFonts w:cs="Courier New"/>
          <w:sz w:val="20"/>
          <w:lang w:val="ru-RU"/>
        </w:rPr>
        <w:t>=""&gt;2021-01-03&lt;/</w:t>
      </w:r>
      <w:r w:rsidRPr="00264D5D">
        <w:rPr>
          <w:rFonts w:cs="Courier New"/>
          <w:sz w:val="20"/>
        </w:rPr>
        <w:t>ZN</w:t>
      </w:r>
      <w:r w:rsidRPr="00264D5D">
        <w:rPr>
          <w:rFonts w:cs="Courier New"/>
          <w:sz w:val="20"/>
          <w:lang w:val="ru-RU"/>
        </w:rPr>
        <w:t>_</w:t>
      </w:r>
      <w:r w:rsidRPr="00264D5D">
        <w:rPr>
          <w:rFonts w:cs="Courier New"/>
          <w:sz w:val="20"/>
        </w:rPr>
        <w:t>SgngDt</w:t>
      </w:r>
      <w:r w:rsidRPr="00264D5D">
        <w:rPr>
          <w:rFonts w:cs="Courier New"/>
          <w:sz w:val="20"/>
          <w:lang w:val="ru-RU"/>
        </w:rPr>
        <w:t>&gt;</w:t>
      </w:r>
    </w:p>
    <w:p w14:paraId="62E3B4A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ZNKBK</w:t>
      </w:r>
      <w:r w:rsidRPr="00264D5D">
        <w:rPr>
          <w:rFonts w:cs="Courier New"/>
          <w:sz w:val="20"/>
          <w:lang w:val="ru-RU"/>
        </w:rPr>
        <w:t xml:space="preserve"> </w:t>
      </w:r>
      <w:r w:rsidRPr="00264D5D">
        <w:rPr>
          <w:rFonts w:cs="Courier New"/>
          <w:sz w:val="20"/>
        </w:rPr>
        <w:t>xmlns</w:t>
      </w:r>
      <w:r w:rsidRPr="00264D5D">
        <w:rPr>
          <w:rFonts w:cs="Courier New"/>
          <w:sz w:val="20"/>
          <w:lang w:val="ru-RU"/>
        </w:rPr>
        <w:t>=""&gt;</w:t>
      </w:r>
    </w:p>
    <w:p w14:paraId="549669F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ZNKBK</w:t>
      </w:r>
      <w:r w:rsidRPr="00264D5D">
        <w:rPr>
          <w:rFonts w:cs="Courier New"/>
          <w:sz w:val="20"/>
          <w:lang w:val="ru-RU"/>
        </w:rPr>
        <w:t>_</w:t>
      </w:r>
      <w:r w:rsidRPr="00264D5D">
        <w:rPr>
          <w:rFonts w:cs="Courier New"/>
          <w:sz w:val="20"/>
        </w:rPr>
        <w:t>ITEM</w:t>
      </w:r>
      <w:r w:rsidRPr="00264D5D">
        <w:rPr>
          <w:rFonts w:cs="Courier New"/>
          <w:sz w:val="20"/>
          <w:lang w:val="ru-RU"/>
        </w:rPr>
        <w:t xml:space="preserve"> </w:t>
      </w:r>
      <w:r w:rsidRPr="00264D5D">
        <w:rPr>
          <w:rFonts w:cs="Courier New"/>
          <w:sz w:val="20"/>
        </w:rPr>
        <w:t>xmlns</w:t>
      </w:r>
      <w:r w:rsidRPr="00264D5D">
        <w:rPr>
          <w:rFonts w:cs="Courier New"/>
          <w:sz w:val="20"/>
          <w:lang w:val="ru-RU"/>
        </w:rPr>
        <w:t>=""&gt;</w:t>
      </w:r>
    </w:p>
    <w:p w14:paraId="296C403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RcrdNm</w:t>
      </w:r>
      <w:r w:rsidRPr="00264D5D">
        <w:rPr>
          <w:rFonts w:cs="Courier New"/>
          <w:sz w:val="20"/>
          <w:lang w:val="ru-RU"/>
        </w:rPr>
        <w:t>&gt;1&lt;/</w:t>
      </w:r>
      <w:r w:rsidRPr="00264D5D">
        <w:rPr>
          <w:rFonts w:cs="Courier New"/>
          <w:sz w:val="20"/>
        </w:rPr>
        <w:t>RcrdNm</w:t>
      </w:r>
      <w:r w:rsidRPr="00264D5D">
        <w:rPr>
          <w:rFonts w:cs="Courier New"/>
          <w:sz w:val="20"/>
          <w:lang w:val="ru-RU"/>
        </w:rPr>
        <w:t>&gt;</w:t>
      </w:r>
    </w:p>
    <w:p w14:paraId="38E9224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FndSrcCd</w:t>
      </w:r>
      <w:r w:rsidRPr="00264D5D">
        <w:rPr>
          <w:rFonts w:cs="Courier New"/>
          <w:sz w:val="20"/>
          <w:lang w:val="ru-RU"/>
        </w:rPr>
        <w:t xml:space="preserve"> </w:t>
      </w:r>
      <w:r w:rsidRPr="00264D5D">
        <w:rPr>
          <w:rFonts w:cs="Courier New"/>
          <w:sz w:val="20"/>
        </w:rPr>
        <w:t>code</w:t>
      </w:r>
      <w:r w:rsidRPr="00264D5D">
        <w:rPr>
          <w:rFonts w:cs="Courier New"/>
          <w:sz w:val="20"/>
          <w:lang w:val="ru-RU"/>
        </w:rPr>
        <w:t xml:space="preserve">="5" </w:t>
      </w:r>
      <w:r w:rsidRPr="00264D5D">
        <w:rPr>
          <w:rFonts w:cs="Courier New"/>
          <w:sz w:val="20"/>
        </w:rPr>
        <w:t>value</w:t>
      </w:r>
      <w:r w:rsidRPr="00264D5D">
        <w:rPr>
          <w:rFonts w:cs="Courier New"/>
          <w:sz w:val="20"/>
          <w:lang w:val="ru-RU"/>
        </w:rPr>
        <w:t>="Средства, поступающие во временное распоряжение казенных учреждений"/&gt;</w:t>
      </w:r>
    </w:p>
    <w:p w14:paraId="62D4C78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rPr>
        <w:t>&lt;Smbl&gt;10&lt;/Smbl&gt;</w:t>
      </w:r>
    </w:p>
    <w:p w14:paraId="17F72F5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&lt;Amnt&gt;20300.00&lt;/Amnt&gt;</w:t>
      </w:r>
    </w:p>
    <w:p w14:paraId="00DF869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&lt;/ZNKBK_ITEM&gt;</w:t>
      </w:r>
    </w:p>
    <w:p w14:paraId="1A3AA62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&lt;/ZNKBK&gt;</w:t>
      </w:r>
    </w:p>
    <w:p w14:paraId="5705A79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&lt;ZN_MSC_Infrmtn xmlns=""&gt;</w:t>
      </w:r>
    </w:p>
    <w:p w14:paraId="0EFC689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&lt;GUID&gt;a2e4e9b1-711d-4e55-a382-a46db4ac956a&lt;/GUID&gt;</w:t>
      </w:r>
    </w:p>
    <w:p w14:paraId="0445920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&lt;CrtnDt&gt;2021-01-03&lt;/CrtnDt&gt;</w:t>
      </w:r>
    </w:p>
    <w:p w14:paraId="7C008F6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&lt;/ZN_MSC_Infrmtn&gt;</w:t>
      </w:r>
    </w:p>
    <w:p w14:paraId="3C895ED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 xmlns="http://www.w3.org/2000/09/xmldsig#" Id="Id-sig-d373256b5942f08343bc8d034aadd7158f61"&gt;</w:t>
      </w:r>
    </w:p>
    <w:p w14:paraId="7D085FC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45504BC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ab/>
        <w:t>&lt;CanonicalizationMethod Algorithm="http://www.w3.org/2001/10/xml-exc-c14n#"/&gt;</w:t>
      </w:r>
    </w:p>
    <w:p w14:paraId="347831D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&lt;SignatureMethod Algorithm="http://www.w3.org/2001/04/xmldsig-more#gostr34102001-gostr3411"/&gt;</w:t>
      </w:r>
    </w:p>
    <w:p w14:paraId="021DCEF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URI="Id-xadesdata-eaf97d94646411e9b78d005056834f23" Id="Id-dataref-dfd24e85a456a1a342553e99c27fd5695cff"&gt;</w:t>
      </w:r>
    </w:p>
    <w:p w14:paraId="4C98BD5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1AA522A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Algorithm="http://www.w3.org/2000/09/xmldsig#enveloped-signature"/&gt;</w:t>
      </w:r>
    </w:p>
    <w:p w14:paraId="4C3036C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70B2CB7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16342CC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&lt;DigestValue&gt;tuuoIThRLrpmXrL14i8lPFRl0pwMCiUsBbH5BypOA0I=&lt;/DigestValue&gt;</w:t>
      </w:r>
    </w:p>
    <w:p w14:paraId="6AA7CAD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421DFC3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&lt;Reference Type="http://www.w3.org/TR/2002/REC-xmldsig-core-20020212/xmldsig-core-schema.xsd#X509Data" URI="#Id-keyinfo-3dfe71fe8d5a7f7591dd337029c400ccf286" Id="Id-keyinforef-9674835ee89ca1067673b6fbb04db381a2a6"&gt;</w:t>
      </w:r>
    </w:p>
    <w:p w14:paraId="1362915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476EA6F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7B09702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3420A17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62DF6B0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&lt;DigestValue&gt;fIKSx5SIme2CRgDvDzflubM+Qqh4IkAWCXPpzXWD/AQ=&lt;/DigestValue&gt;</w:t>
      </w:r>
    </w:p>
    <w:p w14:paraId="3019139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4D10E52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&lt;Reference URI="#Id-sp-c353e147090ff61f2f90dcd64635bcf70055" Id="Id-ref-dbee882997a09b88ec14dafcd7da585e2467"&gt;</w:t>
      </w:r>
    </w:p>
    <w:p w14:paraId="1C34524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1E45355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601C831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40DD77B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0B47C04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&lt;DigestValue&gt;ffi2NrwgQYkFPoTAefkLKH2wMBSNjwN3zzDBV+mhwQg=&lt;/DigestValue&gt;</w:t>
      </w:r>
    </w:p>
    <w:p w14:paraId="5AA8B1E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14BE78D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6A2D816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&lt;SignatureValue&gt;zolZ5HI+TT6shtnB1YnAZeMq9mcqWLWAZlSR+MuKJXXN2NRZS/zapvyY4rW+I5gM</w:t>
      </w:r>
    </w:p>
    <w:p w14:paraId="6EC93A7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py5+uThVv9x8n5TApPOJCg==&lt;/SignatureValue&gt;</w:t>
      </w:r>
    </w:p>
    <w:p w14:paraId="38D47AA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&lt;KeyInfo Id="Id-keyinfo-3dfe71fe8d5a7f7591dd337029c400ccf286"&gt;</w:t>
      </w:r>
    </w:p>
    <w:p w14:paraId="4A719AD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&lt;X509Data&gt;</w:t>
      </w:r>
    </w:p>
    <w:p w14:paraId="034E7CA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&lt;X509Certificate&gt;MIIHbzCCBx6gAwIBAgIUCw+9bFynffs/n08sYLaljBr5oXAwCAYGKoUDAgIDMIIB</w:t>
      </w:r>
    </w:p>
    <w:p w14:paraId="7510FC3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OTEgMB4GCSqGSIb3DQEJARYRdWNfZmtAcm9za2F6bmEucnUxGTAXBgNVBAgMENCz</w:t>
      </w:r>
    </w:p>
    <w:p w14:paraId="27A9ADB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LiDQnNC+0YHQutCy0LAxGjAYBggqhQMDgQMBARIMMDA3NzEwNTY4NzYwMRgwFgYF</w:t>
      </w:r>
    </w:p>
    <w:p w14:paraId="337B2D1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KoUDZAESDTEwNDc3OTcwMTk4MzAxLDAqBgNVBAkMI9GD0LvQuNGG0LAg0JjQu9GM</w:t>
      </w:r>
    </w:p>
    <w:p w14:paraId="177C8CE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0LjQvdC60LAsINC00L7QvCA3MRUwEwYDVQQHDAzQnNC+0YHQutCy0LAxCzAJBgNV</w:t>
      </w:r>
    </w:p>
    <w:p w14:paraId="2035C4A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BAYTAlJVMTgwNgYDVQQKDC/QpNC10LTQtdGA0LDQu9GM0L3QvtC1INC60LDQt9C9</w:t>
      </w:r>
    </w:p>
    <w:p w14:paraId="49C5C22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0LDRh9C10LnRgdGC0LLQvjE4MDYGA1UEAwwv0KTQtdC00LXRgNCw0LvRjNC90L7Q</w:t>
      </w:r>
    </w:p>
    <w:p w14:paraId="42B67F0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tSDQutCw0LfQvdCw0YfQtdC50YHRgtCy0L4wHhcNMTgwNDA1MTMzNDQ3WhcNMTkw</w:t>
      </w:r>
    </w:p>
    <w:p w14:paraId="6E340B1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NzA1MTMzNDQ3WjCCAS0xGjAYBggqhQMDgQMBARIMMDA3NzEwNTY4NzYwMRgwFgYF</w:t>
      </w:r>
    </w:p>
    <w:p w14:paraId="5D9AE34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KoUDZAESDTEwNDc3OTcwMTk4MzAxIzAhBgNVBAkMGtGD0LsuINCY0LvRjNC40L3Q</w:t>
      </w:r>
    </w:p>
    <w:p w14:paraId="1A0EC86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utCwLCDQtC43MR4wHAYJKoZIhvcNAQkBFg83NzdAcm9za2F6bmEucnUxCzAJBgNV</w:t>
      </w:r>
    </w:p>
    <w:p w14:paraId="442A0F0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BAYTAlJVMRgwFgYDVQQIDA/Qsy7QnNC+0YHQutCy0LAxFTATBgNVBAcMDNCc0L7R</w:t>
      </w:r>
    </w:p>
    <w:p w14:paraId="1C90291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gdC60LLQsDE4MDYGA1UECgwv0KTQtdC00LXRgNCw0LvRjNC90L7QtSDQutCw0LfQ</w:t>
      </w:r>
    </w:p>
    <w:p w14:paraId="6184EFC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vdCw0YfQtdC50YHRgtCy0L4xODA2BgNVBAMML9Ck0LXQtNC10YDQsNC70YzQvdC+</w:t>
      </w:r>
    </w:p>
    <w:p w14:paraId="43EFADB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0LUg0LrQsNC30L3QsNGH0LXQudGB0YLQstC+MGMwHAYGKoUDAgITMBIGByqFAwIC</w:t>
      </w:r>
    </w:p>
    <w:p w14:paraId="5CE8FC9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IwEGByqFAwICHgEDQwAEQDmzpZ5HcFrSdwi3/h6QJ/jU0i6sTgtJqrYL/Tr+gxBg</w:t>
      </w:r>
    </w:p>
    <w:p w14:paraId="712EC08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Ud3B/sLCyhk3sR3aCrZ0K4YlsFHVmbBhDYe62UsOcnOjggQCMIID/jAMBgNVHRMB</w:t>
      </w:r>
    </w:p>
    <w:p w14:paraId="299E256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Af8EAjAAMB0GA1UdIAQWMBQwCAYGKoUDZHEBMAgGBiqFA2RxAjA2BgUqhQNkbwQt</w:t>
      </w:r>
    </w:p>
    <w:p w14:paraId="330D0F1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DCsi0JrRgNC40L/RgtC+0J/RgNC+IENTUCIgKNCy0LXRgNGB0LjRjyA0LjApMIIB</w:t>
      </w:r>
    </w:p>
    <w:p w14:paraId="1709EF0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MQYFKoUDZHAEggEmMIIBIgxEItCa0YDQuNC/0YLQvtCf0YDQviBDU1AiICjQstC1</w:t>
      </w:r>
    </w:p>
    <w:p w14:paraId="7323C66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0YDRgdC40Y8gMy42KSAo0LjRgdC/0L7Qu9C90LXQvdC40LUgMikMaCLQn9GA0L7Q</w:t>
      </w:r>
    </w:p>
    <w:p w14:paraId="3E7FDFC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s9GA0LDQvNC80L3Qvi3QsNC/0L/QsNGA0LDRgtC90YvQuSDQutC+0LzQv9C70LXQ</w:t>
      </w:r>
    </w:p>
    <w:p w14:paraId="4AB86DC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utGBICLQrtC90LjRgdC10YDRgi3Qk9Ce0KHQoiIuINCS0LXRgNGB0LjRjyAyLjEi</w:t>
      </w:r>
    </w:p>
    <w:p w14:paraId="2058EDC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DB/ihJYgMTQ5LzcvNi01Njkg0L7RgiAyMS4xMi4yMDE3DE/QodC10YDRgtC40YTQ</w:t>
      </w:r>
    </w:p>
    <w:p w14:paraId="0EA777E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uNC60LDRgiDRgdC+0L7RgtCy0LXRgtGB0YLQstC40Y8g4oSWINCh0KQvMTI4LTI4</w:t>
      </w:r>
    </w:p>
    <w:p w14:paraId="49B0067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Nzgg0L7RgiAyMC4wNi4yMDE2MA4GA1UdDwEB/wQEAwID+DAdBgNVHSUEFjAUBggr</w:t>
      </w:r>
    </w:p>
    <w:p w14:paraId="00F45DB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BgEFBQcDAgYIKwYBBQUHAwMwKwYDVR0QBCQwIoAPMjAxODA0MDUxMzM0NDVagQ8y</w:t>
      </w:r>
    </w:p>
    <w:p w14:paraId="39BB291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MDE5MDcwNTEzMzQ0NVowggGFBgNVHSMEggF8MIIBeIAUFlWRplFYxIksa1Fb0oUZ</w:t>
      </w:r>
    </w:p>
    <w:p w14:paraId="5C233BE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CgFESCKhggFSpIIBTjCCAUoxHjAcBgkqhkiG9w0BCQEWD2RpdEBtaW5zdnlhei5y</w:t>
      </w:r>
    </w:p>
    <w:p w14:paraId="4EBD0FB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dTELMAkGA1UEBhMCUlUxHDAaBgNVBAgMEzc3INCzLiDQnNC+0YHQutCy0LAxFTAT</w:t>
      </w:r>
    </w:p>
    <w:p w14:paraId="4610A55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BgNVBAcMDNCc0L7RgdC60LLQsDE/MD0GA1UECQw2MTI1Mzc1INCzLiDQnNC+0YHQ</w:t>
      </w:r>
    </w:p>
    <w:p w14:paraId="07A2D2F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utCy0LAsINGD0LsuINCi0LLQtdGA0YHQutCw0Y8sINC0LiA3MSwwKgYDVQQKDCPQ</w:t>
      </w:r>
    </w:p>
    <w:p w14:paraId="0C85277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nNC40L3QutC+0LzRgdCy0Y/Qt9GMINCg0L7RgdGB0LjQuDEYMBYGBSqFA2QBEg0x</w:t>
      </w:r>
    </w:p>
    <w:p w14:paraId="6B47441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MDQ3NzAyMDI2NzAxMRowGAYIKoUDA4EDAQESDDAwNzcxMDQ3NDM3NTFBMD8GA1UE</w:t>
      </w:r>
    </w:p>
    <w:p w14:paraId="280AF92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Aww40JPQvtC70L7QstC90L7QuSDRg9C00L7RgdGC0L7QstC10YDRj9GO0YnQuNC5</w:t>
      </w:r>
    </w:p>
    <w:p w14:paraId="4803F5E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INGG0LXQvdGC0YCCCjas1FUAAAAAAS8wXgYDVR0fBFcwVTApoCegJYYjaHR0cDov</w:t>
      </w:r>
    </w:p>
    <w:p w14:paraId="5AFD580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L2NybC5yb3NrYXpuYS5ydS9jcmwvdWNmay5jcmwwKKAmoCSGImh0dHA6Ly9jcmwu</w:t>
      </w:r>
    </w:p>
    <w:p w14:paraId="442654A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ZnNmay5sb2NhbC9jcmwvdWNmay5jcmwwHQYDVR0OBBYEFLkvJG7Rfzg6F53wdndv</w:t>
      </w:r>
    </w:p>
    <w:p w14:paraId="0D8AD4F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NLDQ/i3nMAgGBiqFAwICAwNBAH1LMUVqEV/HRyesHDkB5eBUk6qDOJwnOBHil2Y1</w:t>
      </w:r>
    </w:p>
    <w:p w14:paraId="22193EC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qNiUhWK7AqT93ErNsumpe8dDCswJmvps2nbQA7xwIJjzJjk=&lt;/X509Certificate&gt;</w:t>
      </w:r>
    </w:p>
    <w:p w14:paraId="3D8A4ED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&lt;/X509Data&gt;</w:t>
      </w:r>
    </w:p>
    <w:p w14:paraId="7DFF027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&lt;/KeyInfo&gt;</w:t>
      </w:r>
    </w:p>
    <w:p w14:paraId="3B0F6FB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5A3CC3E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 xmlns="http://uri.etsi.org/01903/v1.4.1#" Target="Id-sig-d373256b5942f08343bc8d034aadd7158f61"&gt;</w:t>
      </w:r>
    </w:p>
    <w:p w14:paraId="683520C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 Id="Id-sp-c353e147090ff61f2f90dcd64635bcf70055"&gt;</w:t>
      </w:r>
    </w:p>
    <w:p w14:paraId="59376FA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&lt;SignedSignatureProperties Id="Id-ssp-7fd861712d758e7e3004067202146d020fd2"/&gt;</w:t>
      </w:r>
    </w:p>
    <w:p w14:paraId="3EC308B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&lt;/SignedProperties&gt;</w:t>
      </w:r>
    </w:p>
    <w:p w14:paraId="5B327DB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&lt;/QualifyingProperties&gt;</w:t>
      </w:r>
    </w:p>
    <w:p w14:paraId="3B0EC86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4129E95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&lt;/Signature&gt;&lt;/self:MSC_AplFndsCrd&gt;</w:t>
      </w:r>
    </w:p>
    <w:p w14:paraId="7FEA4A2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&lt;/typ:document&gt;</w:t>
      </w:r>
    </w:p>
    <w:p w14:paraId="5A2AE0C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&lt;/transferDocumentRequest&gt;</w:t>
      </w:r>
    </w:p>
    <w:p w14:paraId="39FE17D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&lt;/soapenv:Body&gt;</w:t>
      </w:r>
    </w:p>
    <w:p w14:paraId="63E4B1D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264D5D">
        <w:rPr>
          <w:rFonts w:cs="Courier New"/>
          <w:sz w:val="20"/>
        </w:rPr>
        <w:t>&lt;/soapenv:Envelope&gt;</w:t>
      </w:r>
    </w:p>
    <w:p w14:paraId="5787B483" w14:textId="77777777" w:rsidR="00AD1F54" w:rsidRPr="008B26A8" w:rsidRDefault="00941227">
      <w:pPr>
        <w:pStyle w:val="22"/>
        <w:rPr>
          <w:highlight w:val="green"/>
          <w:lang w:val="ru-RU"/>
        </w:rPr>
      </w:pPr>
      <w:bookmarkStart w:id="2987" w:name="_Ref46776983"/>
      <w:bookmarkStart w:id="2988" w:name="_Toc219309734"/>
      <w:r w:rsidRPr="008B26A8">
        <w:rPr>
          <w:highlight w:val="green"/>
          <w:lang w:val="ru-RU"/>
        </w:rPr>
        <w:t>Описание документа «Расшифровка сумм неиспользованных средств (ф.0531251), Заявка о внесении наличных денежных средств»</w:t>
      </w:r>
      <w:bookmarkEnd w:id="2987"/>
      <w:bookmarkEnd w:id="2988"/>
    </w:p>
    <w:p w14:paraId="0C24E7E6" w14:textId="77777777" w:rsidR="00AD1F54" w:rsidRPr="008B26A8" w:rsidRDefault="00941227">
      <w:pPr>
        <w:pStyle w:val="31"/>
        <w:rPr>
          <w:highlight w:val="green"/>
        </w:rPr>
      </w:pPr>
      <w:bookmarkStart w:id="2989" w:name="_Toc219309735"/>
      <w:r w:rsidRPr="008B26A8">
        <w:rPr>
          <w:highlight w:val="green"/>
        </w:rPr>
        <w:t>Назначение и маршрут документа</w:t>
      </w:r>
      <w:bookmarkEnd w:id="2989"/>
    </w:p>
    <w:p w14:paraId="7EE12204" w14:textId="77777777" w:rsidR="00AD1F54" w:rsidRPr="00264D5D" w:rsidRDefault="00941227">
      <w:pPr>
        <w:pStyle w:val="ASFKNormal"/>
        <w:spacing w:before="60" w:after="120"/>
        <w:contextualSpacing w:val="0"/>
        <w:jc w:val="both"/>
        <w:rPr>
          <w:sz w:val="24"/>
          <w:szCs w:val="24"/>
        </w:rPr>
      </w:pPr>
      <w:r w:rsidRPr="00264D5D">
        <w:rPr>
          <w:rFonts w:eastAsia="Calibri"/>
          <w:sz w:val="24"/>
        </w:rPr>
        <w:t xml:space="preserve">Документ </w:t>
      </w:r>
      <w:r w:rsidRPr="00264D5D">
        <w:rPr>
          <w:rFonts w:eastAsia="Calibri"/>
          <w:sz w:val="24"/>
          <w:szCs w:val="24"/>
        </w:rPr>
        <w:t>«</w:t>
      </w:r>
      <w:r w:rsidRPr="00264D5D">
        <w:rPr>
          <w:sz w:val="24"/>
          <w:szCs w:val="24"/>
        </w:rPr>
        <w:t>Расшифровка сумм неиспользованных средств (ф.0531251), Заявка о внесении наличных денежных средств»</w:t>
      </w:r>
      <w:r w:rsidRPr="00264D5D">
        <w:rPr>
          <w:rFonts w:eastAsia="Calibri"/>
          <w:sz w:val="24"/>
          <w:szCs w:val="24"/>
        </w:rPr>
        <w:t xml:space="preserve"> предназначен</w:t>
      </w:r>
      <w:r w:rsidRPr="00264D5D">
        <w:rPr>
          <w:rFonts w:eastAsia="Calibri"/>
          <w:sz w:val="24"/>
        </w:rPr>
        <w:t xml:space="preserve"> для информирования ТОФК о внесении клиентом денежных средств через банкомат или пункт выдачи наличных денежных средств и доставляется от ПБС, АУ, БУ до ТОФК, в котором ему открыт л/с (уполномоченного подразделения, удаленного ПБС, АУ, БУ до ТОФК, который осуществляет обеспечение клиента наличными средствами).</w:t>
      </w:r>
    </w:p>
    <w:p w14:paraId="1DE2EDE3" w14:textId="59887BF2" w:rsidR="00AD1F54" w:rsidRPr="008B26A8" w:rsidRDefault="006951CE">
      <w:pPr>
        <w:pStyle w:val="GOSTNameTable"/>
        <w:numPr>
          <w:ilvl w:val="0"/>
          <w:numId w:val="2"/>
        </w:numPr>
        <w:ind w:left="425" w:hanging="357"/>
        <w:jc w:val="both"/>
        <w:rPr>
          <w:highlight w:val="green"/>
        </w:rPr>
      </w:pPr>
      <w:r w:rsidRPr="008B26A8">
        <w:rPr>
          <w:highlight w:val="green"/>
        </w:rPr>
        <w:fldChar w:fldCharType="begin"/>
      </w:r>
      <w:r w:rsidRPr="008B26A8">
        <w:rPr>
          <w:highlight w:val="green"/>
        </w:rPr>
        <w:instrText xml:space="preserve"> SEQ Таблица \* ARABIC </w:instrText>
      </w:r>
      <w:r w:rsidRPr="008B26A8">
        <w:rPr>
          <w:highlight w:val="green"/>
        </w:rPr>
        <w:fldChar w:fldCharType="separate"/>
      </w:r>
      <w:bookmarkStart w:id="2990" w:name="_Toc219309291"/>
      <w:r w:rsidR="008D797C">
        <w:rPr>
          <w:noProof/>
          <w:highlight w:val="green"/>
        </w:rPr>
        <w:t>261</w:t>
      </w:r>
      <w:r w:rsidRPr="008B26A8">
        <w:rPr>
          <w:noProof/>
          <w:highlight w:val="green"/>
        </w:rPr>
        <w:fldChar w:fldCharType="end"/>
      </w:r>
      <w:r w:rsidR="00941227" w:rsidRPr="008B26A8">
        <w:rPr>
          <w:rFonts w:eastAsia="Calibri"/>
          <w:szCs w:val="24"/>
          <w:highlight w:val="green"/>
        </w:rPr>
        <w:t xml:space="preserve"> – </w:t>
      </w:r>
      <w:r w:rsidR="00941227" w:rsidRPr="008B26A8">
        <w:rPr>
          <w:highlight w:val="green"/>
        </w:rPr>
        <w:t>Маршрут документа «Расшифровка сумм неиспользованных средств (ф.0531251), Заявка о внесении наличных денежных средств»</w:t>
      </w:r>
      <w:bookmarkEnd w:id="2990"/>
    </w:p>
    <w:tbl>
      <w:tblPr>
        <w:tblStyle w:val="GOSTTable"/>
        <w:tblW w:w="9632" w:type="dxa"/>
        <w:tblLayout w:type="fixed"/>
        <w:tblLook w:val="01E0" w:firstRow="1" w:lastRow="1" w:firstColumn="1" w:lastColumn="1" w:noHBand="0" w:noVBand="0"/>
      </w:tblPr>
      <w:tblGrid>
        <w:gridCol w:w="2551"/>
        <w:gridCol w:w="2551"/>
        <w:gridCol w:w="4530"/>
      </w:tblGrid>
      <w:tr w:rsidR="00AD1F54" w:rsidRPr="00264D5D" w14:paraId="67DDABD8" w14:textId="77777777" w:rsidTr="00AD1F54">
        <w:trPr>
          <w:cnfStyle w:val="100000000000" w:firstRow="1" w:lastRow="0" w:firstColumn="0" w:lastColumn="0" w:oddVBand="0" w:evenVBand="0" w:oddHBand="0" w:evenHBand="0" w:firstRowFirstColumn="0" w:firstRowLastColumn="0" w:lastRowFirstColumn="0" w:lastRowLastColumn="0"/>
          <w:trHeight w:val="96"/>
          <w:tblHeader/>
        </w:trPr>
        <w:tc>
          <w:tcPr>
            <w:tcW w:w="2551" w:type="dxa"/>
          </w:tcPr>
          <w:p w14:paraId="25CCEFD0" w14:textId="77777777" w:rsidR="00AD1F54" w:rsidRPr="00264D5D" w:rsidRDefault="00941227">
            <w:pPr>
              <w:pStyle w:val="ASFKTableHead"/>
            </w:pPr>
            <w:r w:rsidRPr="00264D5D">
              <w:t>Отправитель</w:t>
            </w:r>
          </w:p>
        </w:tc>
        <w:tc>
          <w:tcPr>
            <w:tcW w:w="2551" w:type="dxa"/>
          </w:tcPr>
          <w:p w14:paraId="4218C9F1" w14:textId="77777777" w:rsidR="00AD1F54" w:rsidRPr="00264D5D" w:rsidRDefault="00941227">
            <w:pPr>
              <w:pStyle w:val="ASFKTableHead"/>
            </w:pPr>
            <w:r w:rsidRPr="00264D5D">
              <w:t>Получатель</w:t>
            </w:r>
          </w:p>
        </w:tc>
        <w:tc>
          <w:tcPr>
            <w:tcW w:w="4530" w:type="dxa"/>
          </w:tcPr>
          <w:p w14:paraId="4C07F20D" w14:textId="77777777" w:rsidR="00AD1F54" w:rsidRPr="00264D5D" w:rsidRDefault="00941227">
            <w:pPr>
              <w:pStyle w:val="ASFKTableHead"/>
            </w:pPr>
            <w:r w:rsidRPr="00264D5D">
              <w:t>Примечание</w:t>
            </w:r>
          </w:p>
        </w:tc>
      </w:tr>
      <w:tr w:rsidR="00AD1F54" w:rsidRPr="00264D5D" w14:paraId="06F1FC93" w14:textId="77777777" w:rsidTr="00AD1F54">
        <w:trPr>
          <w:cnfStyle w:val="000000100000" w:firstRow="0" w:lastRow="0" w:firstColumn="0" w:lastColumn="0" w:oddVBand="0" w:evenVBand="0" w:oddHBand="1" w:evenHBand="0" w:firstRowFirstColumn="0" w:firstRowLastColumn="0" w:lastRowFirstColumn="0" w:lastRowLastColumn="0"/>
        </w:trPr>
        <w:tc>
          <w:tcPr>
            <w:tcW w:w="2551" w:type="dxa"/>
          </w:tcPr>
          <w:p w14:paraId="3E16767A" w14:textId="77777777" w:rsidR="00AD1F54" w:rsidRPr="00264D5D" w:rsidRDefault="00941227">
            <w:pPr>
              <w:pStyle w:val="GOSTTablenorm"/>
              <w:rPr>
                <w:szCs w:val="22"/>
              </w:rPr>
            </w:pPr>
            <w:r w:rsidRPr="00264D5D">
              <w:rPr>
                <w:szCs w:val="28"/>
              </w:rPr>
              <w:t>ПБС (ПФХД)</w:t>
            </w:r>
          </w:p>
        </w:tc>
        <w:tc>
          <w:tcPr>
            <w:tcW w:w="2551" w:type="dxa"/>
          </w:tcPr>
          <w:p w14:paraId="7ECC0D91" w14:textId="77777777" w:rsidR="00AD1F54" w:rsidRPr="00264D5D" w:rsidRDefault="00941227">
            <w:pPr>
              <w:pStyle w:val="GOSTTablenorm"/>
              <w:rPr>
                <w:szCs w:val="22"/>
              </w:rPr>
            </w:pPr>
            <w:r w:rsidRPr="00264D5D">
              <w:t>ТОФК (ПУР ЭБ)</w:t>
            </w:r>
          </w:p>
        </w:tc>
        <w:tc>
          <w:tcPr>
            <w:tcW w:w="4530" w:type="dxa"/>
          </w:tcPr>
          <w:p w14:paraId="75317F6A" w14:textId="77777777" w:rsidR="00AD1F54" w:rsidRPr="00264D5D" w:rsidRDefault="00AD1F54">
            <w:pPr>
              <w:pStyle w:val="ASFKTablenorm"/>
              <w:rPr>
                <w:sz w:val="22"/>
              </w:rPr>
            </w:pPr>
          </w:p>
        </w:tc>
      </w:tr>
      <w:tr w:rsidR="00AD1F54" w:rsidRPr="00264D5D" w14:paraId="289CDF79" w14:textId="77777777" w:rsidTr="00AD1F54">
        <w:trPr>
          <w:cnfStyle w:val="000000010000" w:firstRow="0" w:lastRow="0" w:firstColumn="0" w:lastColumn="0" w:oddVBand="0" w:evenVBand="0" w:oddHBand="0" w:evenHBand="1" w:firstRowFirstColumn="0" w:firstRowLastColumn="0" w:lastRowFirstColumn="0" w:lastRowLastColumn="0"/>
        </w:trPr>
        <w:tc>
          <w:tcPr>
            <w:tcW w:w="2551" w:type="dxa"/>
          </w:tcPr>
          <w:p w14:paraId="0C7338A5" w14:textId="77777777" w:rsidR="00AD1F54" w:rsidRPr="00264D5D" w:rsidRDefault="00D83D19">
            <w:pPr>
              <w:pStyle w:val="GOSTTablenorm"/>
              <w:rPr>
                <w:szCs w:val="22"/>
              </w:rPr>
            </w:pPr>
            <w:r>
              <w:t>ТОФК (ПУР ЭБ)</w:t>
            </w:r>
          </w:p>
        </w:tc>
        <w:tc>
          <w:tcPr>
            <w:tcW w:w="2551" w:type="dxa"/>
          </w:tcPr>
          <w:p w14:paraId="3B50CFFC" w14:textId="77777777" w:rsidR="00AD1F54" w:rsidRPr="00264D5D" w:rsidRDefault="00D83D19">
            <w:pPr>
              <w:pStyle w:val="GOSTTablenorm"/>
              <w:rPr>
                <w:szCs w:val="22"/>
              </w:rPr>
            </w:pPr>
            <w:r>
              <w:t>ТОФК (ППО АСФК)</w:t>
            </w:r>
          </w:p>
        </w:tc>
        <w:tc>
          <w:tcPr>
            <w:tcW w:w="4530" w:type="dxa"/>
          </w:tcPr>
          <w:p w14:paraId="2647B94F" w14:textId="77777777" w:rsidR="00AD1F54" w:rsidRPr="00264D5D" w:rsidRDefault="00AD1F54">
            <w:pPr>
              <w:pStyle w:val="ASFKTablenorm"/>
              <w:rPr>
                <w:sz w:val="22"/>
              </w:rPr>
            </w:pPr>
          </w:p>
        </w:tc>
      </w:tr>
      <w:tr w:rsidR="00AD1F54" w:rsidRPr="00264D5D" w14:paraId="36221579" w14:textId="77777777" w:rsidTr="00AD1F54">
        <w:trPr>
          <w:cnfStyle w:val="000000100000" w:firstRow="0" w:lastRow="0" w:firstColumn="0" w:lastColumn="0" w:oddVBand="0" w:evenVBand="0" w:oddHBand="1" w:evenHBand="0" w:firstRowFirstColumn="0" w:firstRowLastColumn="0" w:lastRowFirstColumn="0" w:lastRowLastColumn="0"/>
        </w:trPr>
        <w:tc>
          <w:tcPr>
            <w:tcW w:w="2551" w:type="dxa"/>
          </w:tcPr>
          <w:p w14:paraId="2535DB48" w14:textId="77777777" w:rsidR="00AD1F54" w:rsidRPr="00264D5D" w:rsidRDefault="00941227">
            <w:pPr>
              <w:pStyle w:val="GOSTTablenorm"/>
            </w:pPr>
            <w:r w:rsidRPr="00264D5D">
              <w:t xml:space="preserve">ТОФК (Компонент АУ, </w:t>
            </w:r>
            <w:r w:rsidRPr="00264D5D">
              <w:lastRenderedPageBreak/>
              <w:t>БУ ПУР ЭБ)</w:t>
            </w:r>
          </w:p>
        </w:tc>
        <w:tc>
          <w:tcPr>
            <w:tcW w:w="2551" w:type="dxa"/>
          </w:tcPr>
          <w:p w14:paraId="1E2A2716" w14:textId="77777777" w:rsidR="00AD1F54" w:rsidRPr="00264D5D" w:rsidRDefault="00941227">
            <w:pPr>
              <w:pStyle w:val="GOSTTablenorm"/>
            </w:pPr>
            <w:r w:rsidRPr="00264D5D">
              <w:lastRenderedPageBreak/>
              <w:t>ТОФК (ППО АСФК)</w:t>
            </w:r>
          </w:p>
        </w:tc>
        <w:tc>
          <w:tcPr>
            <w:tcW w:w="4530" w:type="dxa"/>
          </w:tcPr>
          <w:p w14:paraId="522A26DF" w14:textId="77777777" w:rsidR="00AD1F54" w:rsidRPr="00264D5D" w:rsidRDefault="00AD1F54">
            <w:pPr>
              <w:pStyle w:val="ASFKTablenorm"/>
              <w:rPr>
                <w:sz w:val="22"/>
              </w:rPr>
            </w:pPr>
          </w:p>
        </w:tc>
      </w:tr>
      <w:tr w:rsidR="004058D4" w:rsidRPr="00264D5D" w14:paraId="27F8DA97" w14:textId="77777777" w:rsidTr="00AD1F54">
        <w:trPr>
          <w:cnfStyle w:val="000000010000" w:firstRow="0" w:lastRow="0" w:firstColumn="0" w:lastColumn="0" w:oddVBand="0" w:evenVBand="0" w:oddHBand="0" w:evenHBand="1" w:firstRowFirstColumn="0" w:firstRowLastColumn="0" w:lastRowFirstColumn="0" w:lastRowLastColumn="0"/>
        </w:trPr>
        <w:tc>
          <w:tcPr>
            <w:tcW w:w="2551" w:type="dxa"/>
          </w:tcPr>
          <w:p w14:paraId="549EA257" w14:textId="77777777" w:rsidR="004058D4" w:rsidRPr="00264D5D" w:rsidRDefault="004058D4" w:rsidP="004058D4">
            <w:pPr>
              <w:pStyle w:val="GOSTTablenorm"/>
              <w:rPr>
                <w:szCs w:val="22"/>
              </w:rPr>
            </w:pPr>
            <w:r w:rsidRPr="00264D5D">
              <w:rPr>
                <w:szCs w:val="22"/>
              </w:rPr>
              <w:lastRenderedPageBreak/>
              <w:t>НУБП (ПСБ и Росавтодор)</w:t>
            </w:r>
          </w:p>
        </w:tc>
        <w:tc>
          <w:tcPr>
            <w:tcW w:w="2551" w:type="dxa"/>
          </w:tcPr>
          <w:p w14:paraId="64C6C636" w14:textId="77777777" w:rsidR="004058D4" w:rsidRPr="00264D5D" w:rsidRDefault="004058D4" w:rsidP="004058D4">
            <w:pPr>
              <w:pStyle w:val="GOSTTablenorm"/>
              <w:rPr>
                <w:szCs w:val="22"/>
              </w:rPr>
            </w:pPr>
            <w:r w:rsidRPr="00264D5D">
              <w:rPr>
                <w:szCs w:val="22"/>
              </w:rPr>
              <w:t>ТОФК</w:t>
            </w:r>
          </w:p>
        </w:tc>
        <w:tc>
          <w:tcPr>
            <w:tcW w:w="4530" w:type="dxa"/>
          </w:tcPr>
          <w:p w14:paraId="38AEE0F5" w14:textId="77777777" w:rsidR="004058D4" w:rsidRPr="00264D5D" w:rsidRDefault="004058D4" w:rsidP="004058D4">
            <w:pPr>
              <w:pStyle w:val="GOSTTablenorm"/>
              <w:rPr>
                <w:szCs w:val="22"/>
              </w:rPr>
            </w:pPr>
            <w:r w:rsidRPr="00264D5D">
              <w:rPr>
                <w:szCs w:val="22"/>
              </w:rPr>
              <w:t>Применяется для л/с с кодом 41, обслуживающихся в ГИИС ЭБ, только при предоставлении документа «Заявка о внесении наличных денежных средств»</w:t>
            </w:r>
          </w:p>
        </w:tc>
      </w:tr>
      <w:tr w:rsidR="004058D4" w:rsidRPr="00264D5D" w14:paraId="01DDFA87" w14:textId="77777777" w:rsidTr="00AD1F54">
        <w:trPr>
          <w:cnfStyle w:val="000000100000" w:firstRow="0" w:lastRow="0" w:firstColumn="0" w:lastColumn="0" w:oddVBand="0" w:evenVBand="0" w:oddHBand="1" w:evenHBand="0" w:firstRowFirstColumn="0" w:firstRowLastColumn="0" w:lastRowFirstColumn="0" w:lastRowLastColumn="0"/>
        </w:trPr>
        <w:tc>
          <w:tcPr>
            <w:tcW w:w="2551" w:type="dxa"/>
          </w:tcPr>
          <w:p w14:paraId="10E6A68E" w14:textId="77777777" w:rsidR="004058D4" w:rsidRPr="00264D5D" w:rsidRDefault="004058D4" w:rsidP="004058D4">
            <w:pPr>
              <w:pStyle w:val="GOSTTablenorm"/>
            </w:pPr>
            <w:r w:rsidRPr="00264D5D">
              <w:t>АУ, БУ</w:t>
            </w:r>
          </w:p>
        </w:tc>
        <w:tc>
          <w:tcPr>
            <w:tcW w:w="2551" w:type="dxa"/>
          </w:tcPr>
          <w:p w14:paraId="7B9044F0" w14:textId="77777777" w:rsidR="004058D4" w:rsidRPr="00264D5D" w:rsidRDefault="004058D4" w:rsidP="004058D4">
            <w:pPr>
              <w:pStyle w:val="GOSTTablenorm"/>
            </w:pPr>
            <w:r w:rsidRPr="00264D5D">
              <w:t>ТОФК (Компонент АУ, БУ ПУР ЭБ)</w:t>
            </w:r>
          </w:p>
        </w:tc>
        <w:tc>
          <w:tcPr>
            <w:tcW w:w="4530" w:type="dxa"/>
          </w:tcPr>
          <w:p w14:paraId="68B1A398" w14:textId="77777777" w:rsidR="004058D4" w:rsidRPr="00264D5D" w:rsidRDefault="004058D4" w:rsidP="004058D4">
            <w:pPr>
              <w:pStyle w:val="ASFKTablenorm"/>
              <w:rPr>
                <w:sz w:val="22"/>
              </w:rPr>
            </w:pPr>
          </w:p>
        </w:tc>
      </w:tr>
      <w:tr w:rsidR="00D83D19" w:rsidRPr="00264D5D" w14:paraId="463531FB" w14:textId="77777777" w:rsidTr="00AD1F54">
        <w:trPr>
          <w:cnfStyle w:val="000000010000" w:firstRow="0" w:lastRow="0" w:firstColumn="0" w:lastColumn="0" w:oddVBand="0" w:evenVBand="0" w:oddHBand="0" w:evenHBand="1" w:firstRowFirstColumn="0" w:firstRowLastColumn="0" w:lastRowFirstColumn="0" w:lastRowLastColumn="0"/>
        </w:trPr>
        <w:tc>
          <w:tcPr>
            <w:tcW w:w="2551" w:type="dxa"/>
          </w:tcPr>
          <w:p w14:paraId="3BE0CDA2" w14:textId="77777777" w:rsidR="00D83D19" w:rsidRPr="001D0039" w:rsidRDefault="00D83D19" w:rsidP="00D83D19">
            <w:pPr>
              <w:pStyle w:val="GOSTTablenorm"/>
              <w:rPr>
                <w:szCs w:val="22"/>
                <w:highlight w:val="green"/>
              </w:rPr>
            </w:pPr>
            <w:r w:rsidRPr="001D0039">
              <w:rPr>
                <w:szCs w:val="22"/>
                <w:highlight w:val="green"/>
              </w:rPr>
              <w:t>ПБС</w:t>
            </w:r>
          </w:p>
        </w:tc>
        <w:tc>
          <w:tcPr>
            <w:tcW w:w="2551" w:type="dxa"/>
          </w:tcPr>
          <w:p w14:paraId="3A3D895C" w14:textId="77777777" w:rsidR="00D83D19" w:rsidRPr="001D0039" w:rsidRDefault="00D83D19" w:rsidP="00D83D19">
            <w:pPr>
              <w:pStyle w:val="GOSTTablenorm"/>
              <w:rPr>
                <w:szCs w:val="22"/>
                <w:highlight w:val="green"/>
              </w:rPr>
            </w:pPr>
            <w:r w:rsidRPr="001D0039">
              <w:rPr>
                <w:szCs w:val="22"/>
                <w:highlight w:val="green"/>
              </w:rPr>
              <w:t>ТОФК (ПУР ЭБ)</w:t>
            </w:r>
          </w:p>
        </w:tc>
        <w:tc>
          <w:tcPr>
            <w:tcW w:w="4530" w:type="dxa"/>
          </w:tcPr>
          <w:p w14:paraId="65CB602B" w14:textId="77777777" w:rsidR="00D83D19" w:rsidRPr="001D0039" w:rsidRDefault="00D83D19" w:rsidP="00D83D19">
            <w:pPr>
              <w:pStyle w:val="GOSTTablenorm"/>
              <w:rPr>
                <w:szCs w:val="22"/>
                <w:highlight w:val="green"/>
              </w:rPr>
            </w:pPr>
          </w:p>
        </w:tc>
      </w:tr>
      <w:tr w:rsidR="00E34D23" w:rsidRPr="00264D5D" w14:paraId="50A28C23" w14:textId="77777777" w:rsidTr="00AD1F54">
        <w:trPr>
          <w:cnfStyle w:val="000000100000" w:firstRow="0" w:lastRow="0" w:firstColumn="0" w:lastColumn="0" w:oddVBand="0" w:evenVBand="0" w:oddHBand="1" w:evenHBand="0" w:firstRowFirstColumn="0" w:firstRowLastColumn="0" w:lastRowFirstColumn="0" w:lastRowLastColumn="0"/>
        </w:trPr>
        <w:tc>
          <w:tcPr>
            <w:tcW w:w="2551" w:type="dxa"/>
          </w:tcPr>
          <w:p w14:paraId="01CB344B" w14:textId="77777777" w:rsidR="00E34D23" w:rsidRPr="0021139B" w:rsidRDefault="00E34D23" w:rsidP="00E34D23">
            <w:pPr>
              <w:pStyle w:val="GOSTTablenorm"/>
              <w:rPr>
                <w:szCs w:val="22"/>
              </w:rPr>
            </w:pPr>
            <w:r w:rsidRPr="00E34D23">
              <w:rPr>
                <w:szCs w:val="22"/>
                <w:highlight w:val="green"/>
              </w:rPr>
              <w:t>Уполномоченный ТОФК (МУО СГ)</w:t>
            </w:r>
          </w:p>
        </w:tc>
        <w:tc>
          <w:tcPr>
            <w:tcW w:w="2551" w:type="dxa"/>
          </w:tcPr>
          <w:p w14:paraId="6BA1C702" w14:textId="77777777" w:rsidR="00E34D23" w:rsidRPr="0021139B" w:rsidRDefault="00E34D23" w:rsidP="00E34D23">
            <w:pPr>
              <w:pStyle w:val="GOSTTablenorm"/>
              <w:rPr>
                <w:szCs w:val="22"/>
              </w:rPr>
            </w:pPr>
            <w:r w:rsidRPr="0021139B">
              <w:rPr>
                <w:szCs w:val="22"/>
                <w:highlight w:val="green"/>
              </w:rPr>
              <w:t>ТОФК (ППО АСФК)</w:t>
            </w:r>
          </w:p>
        </w:tc>
        <w:tc>
          <w:tcPr>
            <w:tcW w:w="4530" w:type="dxa"/>
          </w:tcPr>
          <w:p w14:paraId="385C868C" w14:textId="77777777" w:rsidR="00E34D23" w:rsidRPr="00E34D23" w:rsidRDefault="00E34D23" w:rsidP="00E34D23">
            <w:pPr>
              <w:pStyle w:val="ASFKTablenorm"/>
              <w:widowControl w:val="0"/>
              <w:rPr>
                <w:sz w:val="22"/>
                <w:szCs w:val="22"/>
              </w:rPr>
            </w:pPr>
            <w:r w:rsidRPr="008B26A8">
              <w:rPr>
                <w:sz w:val="22"/>
                <w:szCs w:val="22"/>
                <w:highlight w:val="green"/>
              </w:rPr>
              <w:t>На первом этапе уполномоченным ТОФК по исполнению бюджета Союзного государства является МОУ ФК</w:t>
            </w:r>
          </w:p>
        </w:tc>
      </w:tr>
    </w:tbl>
    <w:p w14:paraId="06E70E68" w14:textId="77777777" w:rsidR="00AD1F54" w:rsidRPr="008B26A8" w:rsidRDefault="00941227">
      <w:pPr>
        <w:pStyle w:val="31"/>
        <w:rPr>
          <w:highlight w:val="green"/>
        </w:rPr>
      </w:pPr>
      <w:bookmarkStart w:id="2991" w:name="_Toc219309736"/>
      <w:r w:rsidRPr="008B26A8">
        <w:rPr>
          <w:highlight w:val="green"/>
        </w:rPr>
        <w:t>Описание комплексного типа «tMSC_RKG_0531251»</w:t>
      </w:r>
      <w:bookmarkEnd w:id="2991"/>
    </w:p>
    <w:p w14:paraId="692070A3" w14:textId="06C7B752" w:rsidR="00AD1F54" w:rsidRPr="008B26A8" w:rsidRDefault="006951CE">
      <w:pPr>
        <w:pStyle w:val="GOSTNameTable"/>
        <w:numPr>
          <w:ilvl w:val="0"/>
          <w:numId w:val="2"/>
        </w:numPr>
        <w:ind w:left="425" w:hanging="357"/>
        <w:rPr>
          <w:highlight w:val="green"/>
        </w:rPr>
      </w:pPr>
      <w:r w:rsidRPr="008B26A8">
        <w:rPr>
          <w:highlight w:val="green"/>
        </w:rPr>
        <w:fldChar w:fldCharType="begin"/>
      </w:r>
      <w:r w:rsidRPr="008B26A8">
        <w:rPr>
          <w:highlight w:val="green"/>
        </w:rPr>
        <w:instrText xml:space="preserve"> SEQ Таблица \* ARABIC </w:instrText>
      </w:r>
      <w:r w:rsidRPr="008B26A8">
        <w:rPr>
          <w:highlight w:val="green"/>
        </w:rPr>
        <w:fldChar w:fldCharType="separate"/>
      </w:r>
      <w:bookmarkStart w:id="2992" w:name="_Toc219309292"/>
      <w:r w:rsidR="008D797C">
        <w:rPr>
          <w:noProof/>
          <w:highlight w:val="green"/>
        </w:rPr>
        <w:t>262</w:t>
      </w:r>
      <w:r w:rsidRPr="008B26A8">
        <w:rPr>
          <w:noProof/>
          <w:highlight w:val="green"/>
        </w:rPr>
        <w:fldChar w:fldCharType="end"/>
      </w:r>
      <w:r w:rsidR="00941227" w:rsidRPr="008B26A8">
        <w:rPr>
          <w:rFonts w:eastAsia="Calibri"/>
          <w:szCs w:val="24"/>
          <w:highlight w:val="green"/>
        </w:rPr>
        <w:t xml:space="preserve"> – </w:t>
      </w:r>
      <w:r w:rsidR="00941227" w:rsidRPr="008B26A8">
        <w:rPr>
          <w:highlight w:val="green"/>
        </w:rPr>
        <w:t>Описание комплексного типа «</w:t>
      </w:r>
      <w:r w:rsidR="00941227" w:rsidRPr="008B26A8">
        <w:rPr>
          <w:highlight w:val="green"/>
          <w:lang w:val="en-US"/>
        </w:rPr>
        <w:t>tMSC</w:t>
      </w:r>
      <w:r w:rsidR="00941227" w:rsidRPr="008B26A8">
        <w:rPr>
          <w:highlight w:val="green"/>
        </w:rPr>
        <w:t>_</w:t>
      </w:r>
      <w:r w:rsidR="00941227" w:rsidRPr="008B26A8">
        <w:rPr>
          <w:highlight w:val="green"/>
          <w:lang w:val="en-US"/>
        </w:rPr>
        <w:t>RKG</w:t>
      </w:r>
      <w:r w:rsidR="00941227" w:rsidRPr="008B26A8">
        <w:rPr>
          <w:highlight w:val="green"/>
        </w:rPr>
        <w:t>_0531251»</w:t>
      </w:r>
      <w:bookmarkEnd w:id="2992"/>
    </w:p>
    <w:tbl>
      <w:tblPr>
        <w:tblStyle w:val="GOSTTable"/>
        <w:tblW w:w="9634" w:type="dxa"/>
        <w:tblLayout w:type="fixed"/>
        <w:tblLook w:val="01E0" w:firstRow="1" w:lastRow="1" w:firstColumn="1" w:lastColumn="1" w:noHBand="0" w:noVBand="0"/>
      </w:tblPr>
      <w:tblGrid>
        <w:gridCol w:w="1701"/>
        <w:gridCol w:w="1701"/>
        <w:gridCol w:w="567"/>
        <w:gridCol w:w="1134"/>
        <w:gridCol w:w="567"/>
        <w:gridCol w:w="3964"/>
      </w:tblGrid>
      <w:tr w:rsidR="00AD1F54" w:rsidRPr="00264D5D" w14:paraId="303211FB"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1C8E1AA6" w14:textId="77777777" w:rsidR="00AD1F54" w:rsidRPr="00264D5D" w:rsidRDefault="00941227">
            <w:pPr>
              <w:pStyle w:val="ASFKTableHead"/>
            </w:pPr>
            <w:r w:rsidRPr="00264D5D">
              <w:t>Наименование элемента</w:t>
            </w:r>
          </w:p>
        </w:tc>
        <w:tc>
          <w:tcPr>
            <w:tcW w:w="1701" w:type="dxa"/>
          </w:tcPr>
          <w:p w14:paraId="12A10855" w14:textId="77777777" w:rsidR="00AD1F54" w:rsidRPr="00264D5D" w:rsidRDefault="00941227">
            <w:pPr>
              <w:pStyle w:val="ASFKTableHead"/>
            </w:pPr>
            <w:r w:rsidRPr="00264D5D">
              <w:t>Сокращенное наименование (код) элемента</w:t>
            </w:r>
          </w:p>
        </w:tc>
        <w:tc>
          <w:tcPr>
            <w:tcW w:w="567" w:type="dxa"/>
          </w:tcPr>
          <w:p w14:paraId="46C956EE" w14:textId="77777777" w:rsidR="00AD1F54" w:rsidRPr="00264D5D" w:rsidRDefault="00941227">
            <w:pPr>
              <w:pStyle w:val="ASFKTableHead"/>
            </w:pPr>
            <w:r w:rsidRPr="00264D5D">
              <w:t>Тип</w:t>
            </w:r>
          </w:p>
        </w:tc>
        <w:tc>
          <w:tcPr>
            <w:tcW w:w="1134" w:type="dxa"/>
          </w:tcPr>
          <w:p w14:paraId="3518CF30" w14:textId="77777777" w:rsidR="00AD1F54" w:rsidRPr="00264D5D" w:rsidRDefault="00941227">
            <w:pPr>
              <w:pStyle w:val="ASFKTableHead"/>
            </w:pPr>
            <w:r w:rsidRPr="00264D5D">
              <w:t>Формат элемента</w:t>
            </w:r>
          </w:p>
        </w:tc>
        <w:tc>
          <w:tcPr>
            <w:tcW w:w="567" w:type="dxa"/>
          </w:tcPr>
          <w:p w14:paraId="13D13F67" w14:textId="77777777" w:rsidR="00AD1F54" w:rsidRPr="00264D5D" w:rsidRDefault="00941227">
            <w:pPr>
              <w:pStyle w:val="ASFKTableHead"/>
            </w:pPr>
            <w:r w:rsidRPr="00264D5D">
              <w:t>Обязательность</w:t>
            </w:r>
          </w:p>
        </w:tc>
        <w:tc>
          <w:tcPr>
            <w:tcW w:w="3964" w:type="dxa"/>
          </w:tcPr>
          <w:p w14:paraId="5D7A1986" w14:textId="77777777" w:rsidR="00AD1F54" w:rsidRPr="00264D5D" w:rsidRDefault="00941227">
            <w:pPr>
              <w:pStyle w:val="ASFKTableHead"/>
            </w:pPr>
            <w:r w:rsidRPr="00264D5D">
              <w:t>Дополнительная информация</w:t>
            </w:r>
          </w:p>
        </w:tc>
      </w:tr>
      <w:tr w:rsidR="00AD1F54" w:rsidRPr="00264D5D" w14:paraId="2CAA999F"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BE89E08" w14:textId="77777777" w:rsidR="00AD1F54" w:rsidRPr="00264D5D" w:rsidRDefault="00941227">
            <w:pPr>
              <w:pStyle w:val="GOSTTablenorm"/>
              <w:rPr>
                <w:szCs w:val="22"/>
              </w:rPr>
            </w:pPr>
            <w:r w:rsidRPr="00264D5D">
              <w:rPr>
                <w:szCs w:val="22"/>
              </w:rPr>
              <w:t>Номер документа</w:t>
            </w:r>
          </w:p>
        </w:tc>
        <w:tc>
          <w:tcPr>
            <w:tcW w:w="1701" w:type="dxa"/>
          </w:tcPr>
          <w:p w14:paraId="76035632" w14:textId="77777777" w:rsidR="00AD1F54" w:rsidRPr="00264D5D" w:rsidRDefault="00941227">
            <w:pPr>
              <w:pStyle w:val="GOSTTablenorm"/>
              <w:rPr>
                <w:szCs w:val="22"/>
              </w:rPr>
            </w:pPr>
            <w:r w:rsidRPr="00264D5D">
              <w:rPr>
                <w:szCs w:val="22"/>
              </w:rPr>
              <w:t>TtlPrt_DcNmbr</w:t>
            </w:r>
          </w:p>
        </w:tc>
        <w:tc>
          <w:tcPr>
            <w:tcW w:w="567" w:type="dxa"/>
          </w:tcPr>
          <w:p w14:paraId="790EAC54" w14:textId="77777777" w:rsidR="00AD1F54" w:rsidRPr="00264D5D" w:rsidRDefault="00941227">
            <w:pPr>
              <w:pStyle w:val="GOSTTablenorm"/>
              <w:jc w:val="center"/>
              <w:rPr>
                <w:szCs w:val="22"/>
              </w:rPr>
            </w:pPr>
            <w:r w:rsidRPr="00264D5D">
              <w:rPr>
                <w:szCs w:val="22"/>
              </w:rPr>
              <w:t>П</w:t>
            </w:r>
          </w:p>
        </w:tc>
        <w:tc>
          <w:tcPr>
            <w:tcW w:w="1134" w:type="dxa"/>
          </w:tcPr>
          <w:p w14:paraId="42F60F92" w14:textId="77777777" w:rsidR="00AD1F54" w:rsidRPr="00264D5D" w:rsidRDefault="00941227">
            <w:pPr>
              <w:pStyle w:val="GOSTTablenorm"/>
              <w:rPr>
                <w:szCs w:val="22"/>
              </w:rPr>
            </w:pPr>
            <w:r w:rsidRPr="00264D5D">
              <w:rPr>
                <w:szCs w:val="22"/>
                <w:lang w:val="en-US"/>
              </w:rPr>
              <w:t>Т(1-</w:t>
            </w:r>
            <w:r w:rsidRPr="00264D5D">
              <w:rPr>
                <w:szCs w:val="22"/>
              </w:rPr>
              <w:t>15</w:t>
            </w:r>
            <w:r w:rsidRPr="00264D5D">
              <w:rPr>
                <w:szCs w:val="22"/>
                <w:lang w:val="en-US"/>
              </w:rPr>
              <w:t>)</w:t>
            </w:r>
          </w:p>
        </w:tc>
        <w:tc>
          <w:tcPr>
            <w:tcW w:w="567" w:type="dxa"/>
          </w:tcPr>
          <w:p w14:paraId="74C03405" w14:textId="77777777" w:rsidR="00AD1F54" w:rsidRPr="00264D5D" w:rsidRDefault="00941227">
            <w:pPr>
              <w:pStyle w:val="GOSTTablenorm"/>
              <w:jc w:val="center"/>
              <w:rPr>
                <w:szCs w:val="22"/>
              </w:rPr>
            </w:pPr>
            <w:r w:rsidRPr="00264D5D">
              <w:rPr>
                <w:szCs w:val="22"/>
              </w:rPr>
              <w:t>О</w:t>
            </w:r>
          </w:p>
        </w:tc>
        <w:tc>
          <w:tcPr>
            <w:tcW w:w="3964" w:type="dxa"/>
          </w:tcPr>
          <w:p w14:paraId="0C9897CF" w14:textId="77777777" w:rsidR="00AD1F54" w:rsidRPr="00264D5D" w:rsidRDefault="00941227">
            <w:pPr>
              <w:spacing w:before="60" w:after="60"/>
              <w:rPr>
                <w:sz w:val="22"/>
                <w:szCs w:val="22"/>
              </w:rPr>
            </w:pPr>
            <w:r w:rsidRPr="00264D5D">
              <w:rPr>
                <w:sz w:val="22"/>
                <w:szCs w:val="22"/>
              </w:rPr>
              <w:t>Номер Расшифровки, присвоенный клиентом.</w:t>
            </w:r>
          </w:p>
          <w:p w14:paraId="55049A91" w14:textId="77777777" w:rsidR="00AD1F54" w:rsidRPr="00264D5D" w:rsidRDefault="00941227">
            <w:pPr>
              <w:pStyle w:val="GOSTTablenorm"/>
              <w:rPr>
                <w:b/>
                <w:bCs/>
                <w:szCs w:val="22"/>
              </w:rPr>
            </w:pPr>
            <w:r w:rsidRPr="00264D5D">
              <w:rPr>
                <w:szCs w:val="22"/>
              </w:rPr>
              <w:t>Номер должен быть уникальным в пределах даты документа и кл</w:t>
            </w:r>
            <w:r w:rsidR="00B06B9A" w:rsidRPr="00264D5D">
              <w:rPr>
                <w:szCs w:val="22"/>
              </w:rPr>
              <w:t>иента, предоставившего документ</w:t>
            </w:r>
          </w:p>
        </w:tc>
      </w:tr>
      <w:tr w:rsidR="00AD1F54" w:rsidRPr="00264D5D" w14:paraId="6B35AF59"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27D446A6" w14:textId="77777777" w:rsidR="00AD1F54" w:rsidRPr="00264D5D" w:rsidRDefault="00941227">
            <w:pPr>
              <w:pStyle w:val="GOSTTablenorm"/>
              <w:rPr>
                <w:szCs w:val="22"/>
              </w:rPr>
            </w:pPr>
            <w:r w:rsidRPr="00264D5D">
              <w:rPr>
                <w:szCs w:val="22"/>
              </w:rPr>
              <w:t>Дата документа</w:t>
            </w:r>
          </w:p>
        </w:tc>
        <w:tc>
          <w:tcPr>
            <w:tcW w:w="1701" w:type="dxa"/>
          </w:tcPr>
          <w:p w14:paraId="15A718A3" w14:textId="77777777" w:rsidR="00AD1F54" w:rsidRPr="00264D5D" w:rsidRDefault="00941227">
            <w:pPr>
              <w:pStyle w:val="GOSTTablenorm"/>
              <w:rPr>
                <w:szCs w:val="22"/>
              </w:rPr>
            </w:pPr>
            <w:r w:rsidRPr="00264D5D">
              <w:rPr>
                <w:szCs w:val="22"/>
              </w:rPr>
              <w:t>TtlPrt_DcDt</w:t>
            </w:r>
          </w:p>
        </w:tc>
        <w:tc>
          <w:tcPr>
            <w:tcW w:w="567" w:type="dxa"/>
          </w:tcPr>
          <w:p w14:paraId="4668DFE2" w14:textId="77777777" w:rsidR="00AD1F54" w:rsidRPr="00264D5D" w:rsidRDefault="00941227">
            <w:pPr>
              <w:pStyle w:val="GOSTTablenorm"/>
              <w:jc w:val="center"/>
              <w:rPr>
                <w:szCs w:val="22"/>
              </w:rPr>
            </w:pPr>
            <w:r w:rsidRPr="00264D5D">
              <w:rPr>
                <w:szCs w:val="22"/>
              </w:rPr>
              <w:t>П</w:t>
            </w:r>
          </w:p>
        </w:tc>
        <w:tc>
          <w:tcPr>
            <w:tcW w:w="1134" w:type="dxa"/>
          </w:tcPr>
          <w:p w14:paraId="4061C38F" w14:textId="77777777" w:rsidR="00AD1F54" w:rsidRPr="00264D5D" w:rsidRDefault="00941227">
            <w:pPr>
              <w:pStyle w:val="GOSTTablenorm"/>
              <w:rPr>
                <w:szCs w:val="22"/>
              </w:rPr>
            </w:pPr>
            <w:r w:rsidRPr="00264D5D">
              <w:rPr>
                <w:szCs w:val="22"/>
                <w:lang w:val="en-US"/>
              </w:rPr>
              <w:t>Date</w:t>
            </w:r>
          </w:p>
        </w:tc>
        <w:tc>
          <w:tcPr>
            <w:tcW w:w="567" w:type="dxa"/>
          </w:tcPr>
          <w:p w14:paraId="0198125B" w14:textId="77777777" w:rsidR="00AD1F54" w:rsidRPr="00264D5D" w:rsidRDefault="00941227">
            <w:pPr>
              <w:pStyle w:val="GOSTTablenorm"/>
              <w:jc w:val="center"/>
              <w:rPr>
                <w:szCs w:val="22"/>
              </w:rPr>
            </w:pPr>
            <w:r w:rsidRPr="00264D5D">
              <w:rPr>
                <w:szCs w:val="22"/>
              </w:rPr>
              <w:t>О</w:t>
            </w:r>
          </w:p>
        </w:tc>
        <w:tc>
          <w:tcPr>
            <w:tcW w:w="3964" w:type="dxa"/>
          </w:tcPr>
          <w:p w14:paraId="4204D286" w14:textId="77777777" w:rsidR="00AD1F54" w:rsidRPr="00264D5D" w:rsidRDefault="00941227">
            <w:pPr>
              <w:spacing w:before="60" w:after="60"/>
              <w:rPr>
                <w:sz w:val="22"/>
                <w:szCs w:val="22"/>
              </w:rPr>
            </w:pPr>
            <w:r w:rsidRPr="00264D5D">
              <w:rPr>
                <w:sz w:val="22"/>
                <w:szCs w:val="22"/>
              </w:rPr>
              <w:t>Дата, на которую сформирован документ.</w:t>
            </w:r>
          </w:p>
          <w:p w14:paraId="4E0D31A0" w14:textId="77777777" w:rsidR="00AD1F54" w:rsidRPr="00264D5D" w:rsidRDefault="00941227">
            <w:pPr>
              <w:pStyle w:val="GOSTTablenorm"/>
              <w:rPr>
                <w:szCs w:val="22"/>
              </w:rPr>
            </w:pPr>
            <w:r w:rsidRPr="00264D5D">
              <w:rPr>
                <w:szCs w:val="22"/>
              </w:rPr>
              <w:t>При предоставлении клиентом Расшифровки позже дня внесения средств указывается</w:t>
            </w:r>
            <w:r w:rsidR="00B06B9A" w:rsidRPr="00264D5D">
              <w:rPr>
                <w:szCs w:val="22"/>
              </w:rPr>
              <w:t xml:space="preserve"> дата внесения средств клиентом</w:t>
            </w:r>
          </w:p>
        </w:tc>
      </w:tr>
      <w:tr w:rsidR="00AD1F54" w:rsidRPr="00264D5D" w14:paraId="6AFCB44B"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594DC93" w14:textId="77777777" w:rsidR="00AD1F54" w:rsidRPr="00264D5D" w:rsidRDefault="00941227">
            <w:pPr>
              <w:pStyle w:val="GOSTTablenorm"/>
              <w:rPr>
                <w:szCs w:val="22"/>
              </w:rPr>
            </w:pPr>
            <w:r w:rsidRPr="00264D5D">
              <w:rPr>
                <w:szCs w:val="22"/>
              </w:rPr>
              <w:t>Код платежного документа</w:t>
            </w:r>
          </w:p>
        </w:tc>
        <w:tc>
          <w:tcPr>
            <w:tcW w:w="1701" w:type="dxa"/>
          </w:tcPr>
          <w:p w14:paraId="3ADEB4F7" w14:textId="77777777" w:rsidR="00AD1F54" w:rsidRPr="00264D5D" w:rsidRDefault="00941227">
            <w:pPr>
              <w:pStyle w:val="GOSTTablenorm"/>
              <w:rPr>
                <w:szCs w:val="22"/>
              </w:rPr>
            </w:pPr>
            <w:r w:rsidRPr="00264D5D">
              <w:rPr>
                <w:rFonts w:eastAsiaTheme="minorHAnsi"/>
                <w:szCs w:val="22"/>
              </w:rPr>
              <w:t>TtlPrt_DocKindCode</w:t>
            </w:r>
          </w:p>
        </w:tc>
        <w:tc>
          <w:tcPr>
            <w:tcW w:w="567" w:type="dxa"/>
          </w:tcPr>
          <w:p w14:paraId="0CD13F1A" w14:textId="77777777" w:rsidR="00AD1F54" w:rsidRPr="00264D5D" w:rsidRDefault="00941227">
            <w:pPr>
              <w:pStyle w:val="GOSTTablenorm"/>
              <w:jc w:val="center"/>
              <w:rPr>
                <w:szCs w:val="22"/>
              </w:rPr>
            </w:pPr>
            <w:r w:rsidRPr="00264D5D">
              <w:rPr>
                <w:szCs w:val="22"/>
              </w:rPr>
              <w:t>С</w:t>
            </w:r>
          </w:p>
        </w:tc>
        <w:tc>
          <w:tcPr>
            <w:tcW w:w="1134" w:type="dxa"/>
          </w:tcPr>
          <w:p w14:paraId="526E73FA" w14:textId="77777777" w:rsidR="00AD1F54" w:rsidRPr="00264D5D" w:rsidRDefault="00941227">
            <w:pPr>
              <w:pStyle w:val="GOSTTablenorm"/>
              <w:rPr>
                <w:szCs w:val="22"/>
                <w:lang w:val="en-US"/>
              </w:rPr>
            </w:pPr>
            <w:r w:rsidRPr="00264D5D">
              <w:rPr>
                <w:rFonts w:eastAsiaTheme="minorHAnsi"/>
                <w:szCs w:val="22"/>
              </w:rPr>
              <w:t>tTtlPrt_DocKindCodeComplex</w:t>
            </w:r>
          </w:p>
        </w:tc>
        <w:tc>
          <w:tcPr>
            <w:tcW w:w="567" w:type="dxa"/>
          </w:tcPr>
          <w:p w14:paraId="72642C1D" w14:textId="77777777" w:rsidR="00AD1F54" w:rsidRPr="00264D5D" w:rsidRDefault="00941227">
            <w:pPr>
              <w:pStyle w:val="GOSTTablenorm"/>
              <w:jc w:val="center"/>
              <w:rPr>
                <w:szCs w:val="22"/>
              </w:rPr>
            </w:pPr>
            <w:r w:rsidRPr="00264D5D">
              <w:rPr>
                <w:szCs w:val="22"/>
              </w:rPr>
              <w:t>Н</w:t>
            </w:r>
          </w:p>
        </w:tc>
        <w:tc>
          <w:tcPr>
            <w:tcW w:w="3964" w:type="dxa"/>
          </w:tcPr>
          <w:p w14:paraId="07FD3CC4" w14:textId="42D43CD6" w:rsidR="00AD1F54" w:rsidRPr="00264D5D" w:rsidRDefault="00941227">
            <w:pPr>
              <w:pStyle w:val="GOSTTablenorm"/>
              <w:rPr>
                <w:szCs w:val="22"/>
              </w:rPr>
            </w:pPr>
            <w:r w:rsidRPr="00264D5D">
              <w:rPr>
                <w:szCs w:val="22"/>
              </w:rPr>
              <w:t xml:space="preserve">Состав элемента представлен в таблице </w:t>
            </w:r>
            <w:r w:rsidRPr="00264D5D">
              <w:rPr>
                <w:szCs w:val="22"/>
              </w:rPr>
              <w:fldChar w:fldCharType="begin"/>
            </w:r>
            <w:r w:rsidRPr="00264D5D">
              <w:rPr>
                <w:szCs w:val="22"/>
              </w:rPr>
              <w:instrText xml:space="preserve"> REF _Ref130303177 \h  \* MERGEFORMAT </w:instrText>
            </w:r>
            <w:r w:rsidRPr="00264D5D">
              <w:rPr>
                <w:szCs w:val="22"/>
              </w:rPr>
            </w:r>
            <w:r w:rsidRPr="00264D5D">
              <w:rPr>
                <w:szCs w:val="22"/>
              </w:rPr>
              <w:fldChar w:fldCharType="separate"/>
            </w:r>
            <w:r w:rsidR="008D797C" w:rsidRPr="008D797C">
              <w:rPr>
                <w:szCs w:val="22"/>
              </w:rPr>
              <w:t>263</w:t>
            </w:r>
            <w:r w:rsidRPr="00264D5D">
              <w:rPr>
                <w:szCs w:val="22"/>
              </w:rPr>
              <w:fldChar w:fldCharType="end"/>
            </w:r>
            <w:r w:rsidRPr="00264D5D">
              <w:rPr>
                <w:szCs w:val="22"/>
              </w:rPr>
              <w:t>.</w:t>
            </w:r>
          </w:p>
          <w:p w14:paraId="1910D1CB" w14:textId="77777777" w:rsidR="004058D4" w:rsidRPr="00264D5D" w:rsidRDefault="00941227" w:rsidP="004058D4">
            <w:pPr>
              <w:pStyle w:val="GOSTTablenorm"/>
              <w:rPr>
                <w:szCs w:val="22"/>
              </w:rPr>
            </w:pPr>
            <w:r w:rsidRPr="00264D5D">
              <w:rPr>
                <w:szCs w:val="22"/>
              </w:rPr>
              <w:t xml:space="preserve">Используется при информационном взаимодействии по маршрутам ПБС (ПФХД) – ТОФК (ПУР ЭБ), </w:t>
            </w:r>
            <w:r w:rsidR="004058D4" w:rsidRPr="00264D5D">
              <w:rPr>
                <w:szCs w:val="22"/>
              </w:rPr>
              <w:t>НУБП (ПСБ и Росавтодор) – ТОФК.</w:t>
            </w:r>
          </w:p>
          <w:p w14:paraId="354D2121" w14:textId="77777777" w:rsidR="00AD1F54" w:rsidRPr="00264D5D" w:rsidRDefault="004058D4" w:rsidP="004058D4">
            <w:pPr>
              <w:spacing w:before="60" w:after="60"/>
              <w:rPr>
                <w:sz w:val="22"/>
                <w:szCs w:val="22"/>
              </w:rPr>
            </w:pPr>
            <w:r w:rsidRPr="00264D5D">
              <w:rPr>
                <w:sz w:val="22"/>
                <w:szCs w:val="22"/>
              </w:rPr>
              <w:t>Для маршрута НУБП (ПСБ и Росавтодор) – ТОФК указывается только значение OC – «Заявка о внесении наличных денежных средств»</w:t>
            </w:r>
          </w:p>
        </w:tc>
      </w:tr>
      <w:tr w:rsidR="00AD1F54" w:rsidRPr="00264D5D" w14:paraId="69616948" w14:textId="77777777" w:rsidTr="00AD1F54">
        <w:trPr>
          <w:cnfStyle w:val="000000010000" w:firstRow="0" w:lastRow="0" w:firstColumn="0" w:lastColumn="0" w:oddVBand="0" w:evenVBand="0" w:oddHBand="0" w:evenHBand="1" w:firstRowFirstColumn="0" w:firstRowLastColumn="0" w:lastRowFirstColumn="0" w:lastRowLastColumn="0"/>
        </w:trPr>
        <w:tc>
          <w:tcPr>
            <w:tcW w:w="9634" w:type="dxa"/>
            <w:gridSpan w:val="6"/>
          </w:tcPr>
          <w:p w14:paraId="7B9DA21F" w14:textId="77777777" w:rsidR="00AD1F54" w:rsidRPr="00264D5D" w:rsidRDefault="00941227">
            <w:pPr>
              <w:spacing w:before="60" w:after="60"/>
              <w:rPr>
                <w:sz w:val="22"/>
                <w:szCs w:val="22"/>
              </w:rPr>
            </w:pPr>
            <w:r w:rsidRPr="00264D5D">
              <w:rPr>
                <w:b/>
                <w:sz w:val="22"/>
                <w:szCs w:val="22"/>
              </w:rPr>
              <w:t>Информация о клиенте</w:t>
            </w:r>
          </w:p>
        </w:tc>
      </w:tr>
      <w:tr w:rsidR="00AD1F54" w:rsidRPr="00264D5D" w14:paraId="0363F5C5"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5910F042" w14:textId="77777777" w:rsidR="00AD1F54" w:rsidRPr="00264D5D" w:rsidRDefault="00941227">
            <w:pPr>
              <w:pStyle w:val="GOSTTablenorm"/>
              <w:rPr>
                <w:i/>
                <w:color w:val="000000"/>
                <w:szCs w:val="22"/>
              </w:rPr>
            </w:pPr>
            <w:r w:rsidRPr="00264D5D">
              <w:rPr>
                <w:szCs w:val="22"/>
              </w:rPr>
              <w:t>Номер л/с клиента</w:t>
            </w:r>
          </w:p>
        </w:tc>
        <w:tc>
          <w:tcPr>
            <w:tcW w:w="1701" w:type="dxa"/>
          </w:tcPr>
          <w:p w14:paraId="79DDEC8A" w14:textId="77777777" w:rsidR="00AD1F54" w:rsidRPr="00264D5D" w:rsidRDefault="00941227">
            <w:pPr>
              <w:pStyle w:val="GOSTTablenorm"/>
              <w:rPr>
                <w:szCs w:val="22"/>
              </w:rPr>
            </w:pPr>
            <w:r w:rsidRPr="00264D5D">
              <w:rPr>
                <w:szCs w:val="22"/>
              </w:rPr>
              <w:t>TtlPrt_NmbLS</w:t>
            </w:r>
          </w:p>
        </w:tc>
        <w:tc>
          <w:tcPr>
            <w:tcW w:w="567" w:type="dxa"/>
          </w:tcPr>
          <w:p w14:paraId="51C85ECC" w14:textId="77777777" w:rsidR="00AD1F54" w:rsidRPr="00264D5D" w:rsidRDefault="00941227">
            <w:pPr>
              <w:pStyle w:val="GOSTTablenorm"/>
              <w:jc w:val="center"/>
              <w:rPr>
                <w:szCs w:val="22"/>
              </w:rPr>
            </w:pPr>
            <w:r w:rsidRPr="00264D5D">
              <w:rPr>
                <w:szCs w:val="22"/>
              </w:rPr>
              <w:t>П</w:t>
            </w:r>
          </w:p>
        </w:tc>
        <w:tc>
          <w:tcPr>
            <w:tcW w:w="1134" w:type="dxa"/>
          </w:tcPr>
          <w:p w14:paraId="0EE98AE9" w14:textId="77777777" w:rsidR="00AD1F54" w:rsidRPr="00264D5D" w:rsidRDefault="00941227">
            <w:pPr>
              <w:pStyle w:val="GOSTTablenorm"/>
              <w:rPr>
                <w:szCs w:val="22"/>
                <w:lang w:val="en-US"/>
              </w:rPr>
            </w:pPr>
            <w:r w:rsidRPr="00264D5D">
              <w:rPr>
                <w:szCs w:val="22"/>
                <w:lang w:val="en-US"/>
              </w:rPr>
              <w:t>Т(</w:t>
            </w:r>
            <w:r w:rsidRPr="00264D5D">
              <w:rPr>
                <w:szCs w:val="22"/>
              </w:rPr>
              <w:t>11</w:t>
            </w:r>
            <w:r w:rsidRPr="00264D5D">
              <w:rPr>
                <w:szCs w:val="22"/>
                <w:lang w:val="en-US"/>
              </w:rPr>
              <w:t>)</w:t>
            </w:r>
          </w:p>
        </w:tc>
        <w:tc>
          <w:tcPr>
            <w:tcW w:w="567" w:type="dxa"/>
          </w:tcPr>
          <w:p w14:paraId="3082B51B" w14:textId="77777777" w:rsidR="00AD1F54" w:rsidRPr="00264D5D" w:rsidRDefault="00941227">
            <w:pPr>
              <w:pStyle w:val="GOSTTablenorm"/>
              <w:jc w:val="center"/>
              <w:rPr>
                <w:szCs w:val="22"/>
              </w:rPr>
            </w:pPr>
            <w:r w:rsidRPr="00264D5D">
              <w:rPr>
                <w:szCs w:val="22"/>
              </w:rPr>
              <w:t>Н</w:t>
            </w:r>
          </w:p>
        </w:tc>
        <w:tc>
          <w:tcPr>
            <w:tcW w:w="3964" w:type="dxa"/>
          </w:tcPr>
          <w:p w14:paraId="216AA9F2" w14:textId="77777777" w:rsidR="00AD1F54" w:rsidRPr="00264D5D" w:rsidRDefault="00941227">
            <w:pPr>
              <w:spacing w:before="60" w:after="60"/>
              <w:rPr>
                <w:sz w:val="22"/>
                <w:szCs w:val="22"/>
              </w:rPr>
            </w:pPr>
            <w:r w:rsidRPr="00264D5D">
              <w:rPr>
                <w:sz w:val="22"/>
                <w:szCs w:val="22"/>
              </w:rPr>
              <w:t xml:space="preserve">Номер л/с клиента (его вышестоящей организации, ФО, АДБ), открытый в ТОФК, на который должны быть </w:t>
            </w:r>
            <w:r w:rsidRPr="00264D5D">
              <w:rPr>
                <w:sz w:val="22"/>
                <w:szCs w:val="22"/>
              </w:rPr>
              <w:lastRenderedPageBreak/>
              <w:t>зачислены неиспользованные (внесенные) денежные средства.</w:t>
            </w:r>
          </w:p>
          <w:p w14:paraId="14067A4A" w14:textId="77777777" w:rsidR="00AD1F54" w:rsidRPr="00264D5D" w:rsidRDefault="00941227">
            <w:pPr>
              <w:pStyle w:val="GOSTTablenorm"/>
              <w:rPr>
                <w:szCs w:val="22"/>
              </w:rPr>
            </w:pPr>
            <w:r w:rsidRPr="00264D5D">
              <w:rPr>
                <w:szCs w:val="22"/>
              </w:rPr>
              <w:t>Поле не заполняется удаленным НУБП, а также удаленным ПБС, если значение поля «NAME_V_SR» равно «5».</w:t>
            </w:r>
          </w:p>
          <w:p w14:paraId="578E2666" w14:textId="77777777" w:rsidR="00AD1F54" w:rsidRPr="00264D5D" w:rsidRDefault="00941227">
            <w:pPr>
              <w:spacing w:before="60" w:after="60"/>
              <w:rPr>
                <w:sz w:val="22"/>
                <w:szCs w:val="22"/>
              </w:rPr>
            </w:pPr>
            <w:r w:rsidRPr="00264D5D">
              <w:rPr>
                <w:sz w:val="22"/>
                <w:szCs w:val="22"/>
              </w:rPr>
              <w:t>Для осталь</w:t>
            </w:r>
            <w:r w:rsidR="00B06B9A" w:rsidRPr="00264D5D">
              <w:rPr>
                <w:sz w:val="22"/>
                <w:szCs w:val="22"/>
              </w:rPr>
              <w:t>ных – обязателен для заполнения</w:t>
            </w:r>
          </w:p>
        </w:tc>
      </w:tr>
      <w:tr w:rsidR="00AD1F54" w:rsidRPr="00264D5D" w14:paraId="12BF1A4E"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2CD82A75" w14:textId="77777777" w:rsidR="00AD1F54" w:rsidRPr="00264D5D" w:rsidRDefault="00941227">
            <w:pPr>
              <w:pStyle w:val="GOSTTablenorm"/>
              <w:rPr>
                <w:szCs w:val="22"/>
              </w:rPr>
            </w:pPr>
            <w:r w:rsidRPr="00264D5D">
              <w:rPr>
                <w:color w:val="000000"/>
                <w:szCs w:val="22"/>
              </w:rPr>
              <w:lastRenderedPageBreak/>
              <w:t>Вид операции</w:t>
            </w:r>
          </w:p>
        </w:tc>
        <w:tc>
          <w:tcPr>
            <w:tcW w:w="1701" w:type="dxa"/>
          </w:tcPr>
          <w:p w14:paraId="7BE1A490" w14:textId="77777777" w:rsidR="00AD1F54" w:rsidRPr="00264D5D" w:rsidRDefault="00941227">
            <w:pPr>
              <w:pStyle w:val="GOSTTablenorm"/>
              <w:rPr>
                <w:szCs w:val="22"/>
              </w:rPr>
            </w:pPr>
            <w:r w:rsidRPr="00264D5D">
              <w:rPr>
                <w:szCs w:val="22"/>
              </w:rPr>
              <w:t>TtlPrt_OprTp</w:t>
            </w:r>
          </w:p>
        </w:tc>
        <w:tc>
          <w:tcPr>
            <w:tcW w:w="567" w:type="dxa"/>
          </w:tcPr>
          <w:p w14:paraId="1A733541" w14:textId="77777777" w:rsidR="00AD1F54" w:rsidRPr="00264D5D" w:rsidRDefault="00941227">
            <w:pPr>
              <w:pStyle w:val="GOSTTablenorm"/>
              <w:jc w:val="center"/>
              <w:rPr>
                <w:szCs w:val="22"/>
              </w:rPr>
            </w:pPr>
            <w:r w:rsidRPr="00264D5D">
              <w:rPr>
                <w:szCs w:val="22"/>
                <w:lang w:val="en-US"/>
              </w:rPr>
              <w:t>C</w:t>
            </w:r>
          </w:p>
        </w:tc>
        <w:tc>
          <w:tcPr>
            <w:tcW w:w="1134" w:type="dxa"/>
          </w:tcPr>
          <w:p w14:paraId="50CECBB7" w14:textId="77777777" w:rsidR="00AD1F54" w:rsidRPr="00264D5D" w:rsidRDefault="00941227">
            <w:pPr>
              <w:pStyle w:val="GOSTTablenorm"/>
              <w:rPr>
                <w:szCs w:val="22"/>
                <w:lang w:val="en-US"/>
              </w:rPr>
            </w:pPr>
            <w:r w:rsidRPr="00264D5D">
              <w:rPr>
                <w:szCs w:val="22"/>
                <w:lang w:val="en-US"/>
              </w:rPr>
              <w:t>tOprTpComplex</w:t>
            </w:r>
          </w:p>
        </w:tc>
        <w:tc>
          <w:tcPr>
            <w:tcW w:w="567" w:type="dxa"/>
          </w:tcPr>
          <w:p w14:paraId="286A01CD" w14:textId="77777777" w:rsidR="00AD1F54" w:rsidRPr="00264D5D" w:rsidRDefault="00941227">
            <w:pPr>
              <w:pStyle w:val="GOSTTablenorm"/>
              <w:jc w:val="center"/>
              <w:rPr>
                <w:szCs w:val="22"/>
              </w:rPr>
            </w:pPr>
            <w:r w:rsidRPr="00264D5D">
              <w:rPr>
                <w:szCs w:val="22"/>
              </w:rPr>
              <w:t>Н</w:t>
            </w:r>
          </w:p>
        </w:tc>
        <w:tc>
          <w:tcPr>
            <w:tcW w:w="3964" w:type="dxa"/>
          </w:tcPr>
          <w:p w14:paraId="05D3D28B" w14:textId="1C99BDDD" w:rsidR="00AD1F54" w:rsidRPr="00264D5D" w:rsidRDefault="00941227">
            <w:pPr>
              <w:pStyle w:val="GOSTTablenorm"/>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_Ref531618127 \h  \* MERGEFORMAT </w:instrText>
            </w:r>
            <w:r w:rsidRPr="00264D5D">
              <w:rPr>
                <w:b/>
                <w:szCs w:val="22"/>
              </w:rPr>
            </w:r>
            <w:r w:rsidRPr="00264D5D">
              <w:rPr>
                <w:b/>
                <w:szCs w:val="22"/>
              </w:rPr>
              <w:fldChar w:fldCharType="separate"/>
            </w:r>
            <w:r w:rsidR="008D797C" w:rsidRPr="008D797C">
              <w:rPr>
                <w:b/>
                <w:szCs w:val="22"/>
              </w:rPr>
              <w:t>264</w:t>
            </w:r>
            <w:r w:rsidRPr="00264D5D">
              <w:rPr>
                <w:b/>
                <w:szCs w:val="22"/>
              </w:rPr>
              <w:fldChar w:fldCharType="end"/>
            </w:r>
            <w:r w:rsidRPr="00264D5D">
              <w:rPr>
                <w:szCs w:val="22"/>
              </w:rPr>
              <w:t xml:space="preserve">. </w:t>
            </w:r>
          </w:p>
          <w:p w14:paraId="2A40D366" w14:textId="77777777" w:rsidR="004058D4" w:rsidRPr="00264D5D" w:rsidRDefault="00941227" w:rsidP="004058D4">
            <w:pPr>
              <w:pStyle w:val="GOSTTablenorm"/>
              <w:rPr>
                <w:szCs w:val="22"/>
              </w:rPr>
            </w:pPr>
            <w:r w:rsidRPr="00264D5D">
              <w:rPr>
                <w:szCs w:val="22"/>
              </w:rPr>
              <w:t>Обязательно для заполнения, если код платежного документа равен «RN»</w:t>
            </w:r>
            <w:r w:rsidR="004058D4" w:rsidRPr="00264D5D">
              <w:rPr>
                <w:szCs w:val="22"/>
              </w:rPr>
              <w:t>.</w:t>
            </w:r>
          </w:p>
          <w:p w14:paraId="13FAACAD" w14:textId="77777777" w:rsidR="00AD1F54" w:rsidRPr="00264D5D" w:rsidRDefault="004058D4" w:rsidP="004058D4">
            <w:pPr>
              <w:spacing w:before="60" w:after="60"/>
              <w:rPr>
                <w:sz w:val="22"/>
                <w:szCs w:val="22"/>
              </w:rPr>
            </w:pPr>
            <w:r w:rsidRPr="00264D5D">
              <w:rPr>
                <w:sz w:val="22"/>
                <w:szCs w:val="22"/>
              </w:rPr>
              <w:t>Не заполняется для маршрута НУБП (ПСБ и Росавтодор) – ТОФК</w:t>
            </w:r>
          </w:p>
        </w:tc>
      </w:tr>
      <w:tr w:rsidR="00AD1F54" w:rsidRPr="00264D5D" w14:paraId="6733E04A"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860D151" w14:textId="77777777" w:rsidR="00AD1F54" w:rsidRPr="00264D5D" w:rsidRDefault="00941227">
            <w:pPr>
              <w:pStyle w:val="GOSTTablenorm"/>
              <w:rPr>
                <w:color w:val="000000"/>
                <w:szCs w:val="22"/>
              </w:rPr>
            </w:pPr>
            <w:r w:rsidRPr="00264D5D">
              <w:rPr>
                <w:szCs w:val="22"/>
              </w:rPr>
              <w:t>Клиент</w:t>
            </w:r>
          </w:p>
        </w:tc>
        <w:tc>
          <w:tcPr>
            <w:tcW w:w="1701" w:type="dxa"/>
          </w:tcPr>
          <w:p w14:paraId="454AE5FE" w14:textId="77777777" w:rsidR="00AD1F54" w:rsidRPr="00264D5D" w:rsidRDefault="00941227">
            <w:pPr>
              <w:pStyle w:val="GOSTTablenorm"/>
              <w:rPr>
                <w:szCs w:val="22"/>
              </w:rPr>
            </w:pPr>
            <w:r w:rsidRPr="00264D5D">
              <w:rPr>
                <w:szCs w:val="22"/>
              </w:rPr>
              <w:t>TtlPrt_PBS</w:t>
            </w:r>
          </w:p>
        </w:tc>
        <w:tc>
          <w:tcPr>
            <w:tcW w:w="567" w:type="dxa"/>
          </w:tcPr>
          <w:p w14:paraId="65662BBF" w14:textId="77777777" w:rsidR="00AD1F54" w:rsidRPr="00264D5D" w:rsidRDefault="00941227">
            <w:pPr>
              <w:pStyle w:val="GOSTTablenorm"/>
              <w:jc w:val="center"/>
              <w:rPr>
                <w:szCs w:val="22"/>
                <w:lang w:val="en-US"/>
              </w:rPr>
            </w:pPr>
            <w:r w:rsidRPr="00264D5D">
              <w:rPr>
                <w:szCs w:val="22"/>
              </w:rPr>
              <w:t>С</w:t>
            </w:r>
          </w:p>
        </w:tc>
        <w:tc>
          <w:tcPr>
            <w:tcW w:w="1134" w:type="dxa"/>
          </w:tcPr>
          <w:p w14:paraId="1BA91C80" w14:textId="3862147B" w:rsidR="00AD1F54" w:rsidRPr="00264D5D" w:rsidRDefault="0021139B">
            <w:pPr>
              <w:pStyle w:val="GOSTTablenorm"/>
              <w:rPr>
                <w:szCs w:val="22"/>
              </w:rPr>
            </w:pPr>
            <w:r w:rsidRPr="00986A45">
              <w:rPr>
                <w:lang w:val="en-US"/>
              </w:rPr>
              <w:t>tMSC_PBS_UB</w:t>
            </w:r>
            <w:r w:rsidRPr="009571B1">
              <w:rPr>
                <w:highlight w:val="green"/>
                <w:lang w:val="en-US"/>
              </w:rPr>
              <w:t>P</w:t>
            </w:r>
          </w:p>
        </w:tc>
        <w:tc>
          <w:tcPr>
            <w:tcW w:w="567" w:type="dxa"/>
          </w:tcPr>
          <w:p w14:paraId="41B7135F" w14:textId="77777777" w:rsidR="00AD1F54" w:rsidRPr="00264D5D" w:rsidRDefault="00941227">
            <w:pPr>
              <w:pStyle w:val="GOSTTablenorm"/>
              <w:jc w:val="center"/>
              <w:rPr>
                <w:szCs w:val="22"/>
              </w:rPr>
            </w:pPr>
            <w:r w:rsidRPr="00264D5D">
              <w:rPr>
                <w:szCs w:val="22"/>
              </w:rPr>
              <w:t>О</w:t>
            </w:r>
          </w:p>
        </w:tc>
        <w:tc>
          <w:tcPr>
            <w:tcW w:w="3964" w:type="dxa"/>
          </w:tcPr>
          <w:p w14:paraId="276EF82F" w14:textId="1757C255" w:rsidR="00AD1F54" w:rsidRPr="00264D5D" w:rsidRDefault="00941227">
            <w:pPr>
              <w:spacing w:before="60" w:after="60"/>
              <w:rPr>
                <w:sz w:val="22"/>
                <w:szCs w:val="22"/>
              </w:rPr>
            </w:pPr>
            <w:r w:rsidRPr="00264D5D">
              <w:rPr>
                <w:sz w:val="22"/>
                <w:szCs w:val="22"/>
              </w:rPr>
              <w:t xml:space="preserve">Состав элемента представлен в таблице </w:t>
            </w:r>
            <w:r w:rsidRPr="00264D5D">
              <w:rPr>
                <w:b/>
                <w:sz w:val="22"/>
                <w:szCs w:val="22"/>
              </w:rPr>
              <w:fldChar w:fldCharType="begin"/>
            </w:r>
            <w:r w:rsidRPr="00264D5D">
              <w:rPr>
                <w:b/>
                <w:sz w:val="22"/>
                <w:szCs w:val="22"/>
              </w:rPr>
              <w:instrText xml:space="preserve"> REF _Ref524698668 \h  \* MERGEFORMAT </w:instrText>
            </w:r>
            <w:r w:rsidRPr="00264D5D">
              <w:rPr>
                <w:b/>
                <w:sz w:val="22"/>
                <w:szCs w:val="22"/>
              </w:rPr>
            </w:r>
            <w:r w:rsidRPr="00264D5D">
              <w:rPr>
                <w:b/>
                <w:sz w:val="22"/>
                <w:szCs w:val="22"/>
              </w:rPr>
              <w:fldChar w:fldCharType="separate"/>
            </w:r>
            <w:r w:rsidR="008D797C" w:rsidRPr="008D797C">
              <w:rPr>
                <w:b/>
                <w:sz w:val="22"/>
                <w:szCs w:val="22"/>
              </w:rPr>
              <w:t>265</w:t>
            </w:r>
            <w:r w:rsidRPr="00264D5D">
              <w:rPr>
                <w:b/>
                <w:sz w:val="22"/>
                <w:szCs w:val="22"/>
              </w:rPr>
              <w:fldChar w:fldCharType="end"/>
            </w:r>
          </w:p>
        </w:tc>
      </w:tr>
      <w:tr w:rsidR="00AD1F54" w:rsidRPr="00264D5D" w14:paraId="4189EF0D"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4C306015" w14:textId="77777777" w:rsidR="00AD1F54" w:rsidRPr="00264D5D" w:rsidRDefault="00941227">
            <w:pPr>
              <w:pStyle w:val="GOSTTablenorm"/>
              <w:rPr>
                <w:szCs w:val="22"/>
              </w:rPr>
            </w:pPr>
            <w:r w:rsidRPr="00264D5D">
              <w:rPr>
                <w:szCs w:val="22"/>
              </w:rPr>
              <w:t>Код по ОКПО</w:t>
            </w:r>
          </w:p>
        </w:tc>
        <w:tc>
          <w:tcPr>
            <w:tcW w:w="1701" w:type="dxa"/>
          </w:tcPr>
          <w:p w14:paraId="76E2E05D" w14:textId="77777777" w:rsidR="00AD1F54" w:rsidRPr="00264D5D" w:rsidRDefault="00941227">
            <w:pPr>
              <w:pStyle w:val="GOSTTablenorm"/>
              <w:rPr>
                <w:szCs w:val="22"/>
              </w:rPr>
            </w:pPr>
            <w:r w:rsidRPr="00264D5D">
              <w:rPr>
                <w:rFonts w:eastAsiaTheme="minorHAnsi"/>
                <w:szCs w:val="22"/>
              </w:rPr>
              <w:t>TtlPrt_Recipient_OKPOCODE</w:t>
            </w:r>
          </w:p>
        </w:tc>
        <w:tc>
          <w:tcPr>
            <w:tcW w:w="567" w:type="dxa"/>
          </w:tcPr>
          <w:p w14:paraId="78C64EB6" w14:textId="77777777" w:rsidR="00AD1F54" w:rsidRPr="00264D5D" w:rsidRDefault="00941227">
            <w:pPr>
              <w:pStyle w:val="GOSTTablenorm"/>
              <w:jc w:val="center"/>
              <w:rPr>
                <w:szCs w:val="22"/>
              </w:rPr>
            </w:pPr>
            <w:r w:rsidRPr="00264D5D">
              <w:rPr>
                <w:szCs w:val="22"/>
              </w:rPr>
              <w:t>П</w:t>
            </w:r>
          </w:p>
        </w:tc>
        <w:tc>
          <w:tcPr>
            <w:tcW w:w="1134" w:type="dxa"/>
          </w:tcPr>
          <w:p w14:paraId="6AC690EE" w14:textId="77777777" w:rsidR="00AD1F54" w:rsidRPr="00264D5D" w:rsidRDefault="00941227">
            <w:pPr>
              <w:pStyle w:val="GOSTTablenorm"/>
              <w:rPr>
                <w:szCs w:val="22"/>
                <w:lang w:val="en-US"/>
              </w:rPr>
            </w:pPr>
            <w:r w:rsidRPr="00264D5D">
              <w:rPr>
                <w:szCs w:val="22"/>
              </w:rPr>
              <w:t>Т(8)</w:t>
            </w:r>
          </w:p>
        </w:tc>
        <w:tc>
          <w:tcPr>
            <w:tcW w:w="567" w:type="dxa"/>
          </w:tcPr>
          <w:p w14:paraId="5EB2DB31" w14:textId="77777777" w:rsidR="00AD1F54" w:rsidRPr="00264D5D" w:rsidRDefault="00941227">
            <w:pPr>
              <w:pStyle w:val="GOSTTablenorm"/>
              <w:jc w:val="center"/>
              <w:rPr>
                <w:szCs w:val="22"/>
              </w:rPr>
            </w:pPr>
            <w:r w:rsidRPr="00264D5D">
              <w:rPr>
                <w:szCs w:val="22"/>
              </w:rPr>
              <w:t>Н</w:t>
            </w:r>
          </w:p>
        </w:tc>
        <w:tc>
          <w:tcPr>
            <w:tcW w:w="3964" w:type="dxa"/>
          </w:tcPr>
          <w:p w14:paraId="0E8FD3D3" w14:textId="77777777" w:rsidR="00AD1F54" w:rsidRPr="00264D5D" w:rsidRDefault="00941227">
            <w:pPr>
              <w:pStyle w:val="GOSTTablenorm"/>
              <w:rPr>
                <w:szCs w:val="22"/>
              </w:rPr>
            </w:pPr>
            <w:r w:rsidRPr="00264D5D">
              <w:rPr>
                <w:szCs w:val="22"/>
              </w:rPr>
              <w:t>Указывается код по ОКПО.</w:t>
            </w:r>
          </w:p>
          <w:p w14:paraId="3EBE0425" w14:textId="77777777" w:rsidR="00AD1F54" w:rsidRPr="00264D5D" w:rsidRDefault="00941227">
            <w:pPr>
              <w:pStyle w:val="GOSTTablenorm"/>
              <w:rPr>
                <w:szCs w:val="22"/>
              </w:rPr>
            </w:pPr>
            <w:r w:rsidRPr="00264D5D">
              <w:rPr>
                <w:szCs w:val="22"/>
              </w:rPr>
              <w:t>Обязательно для заполнения, если код платежного документа равен «</w:t>
            </w:r>
            <w:r w:rsidRPr="00264D5D">
              <w:rPr>
                <w:szCs w:val="22"/>
                <w:lang w:val="en-US"/>
              </w:rPr>
              <w:t>OC</w:t>
            </w:r>
            <w:r w:rsidRPr="00264D5D">
              <w:rPr>
                <w:szCs w:val="22"/>
              </w:rPr>
              <w:t>».</w:t>
            </w:r>
          </w:p>
          <w:p w14:paraId="1AB1C5A7" w14:textId="77777777" w:rsidR="004058D4" w:rsidRPr="00264D5D" w:rsidRDefault="00941227" w:rsidP="004058D4">
            <w:pPr>
              <w:pStyle w:val="GOSTTablenorm"/>
              <w:rPr>
                <w:szCs w:val="22"/>
              </w:rPr>
            </w:pPr>
            <w:r w:rsidRPr="00264D5D">
              <w:rPr>
                <w:szCs w:val="22"/>
              </w:rPr>
              <w:t>Используется при информационном взаимодействии по маршрутам ПБС (ПФХД) – ТОФК (ПУР ЭБ),</w:t>
            </w:r>
            <w:r w:rsidR="004058D4" w:rsidRPr="00264D5D">
              <w:rPr>
                <w:szCs w:val="22"/>
              </w:rPr>
              <w:t xml:space="preserve"> НУБП (ПСБ и Росавтодор) – ТОФК.</w:t>
            </w:r>
          </w:p>
          <w:p w14:paraId="30F852B6" w14:textId="77777777" w:rsidR="00AD1F54" w:rsidRPr="00264D5D" w:rsidRDefault="004058D4" w:rsidP="004058D4">
            <w:pPr>
              <w:spacing w:before="60" w:after="60"/>
              <w:rPr>
                <w:sz w:val="22"/>
                <w:szCs w:val="22"/>
              </w:rPr>
            </w:pPr>
            <w:r w:rsidRPr="00264D5D">
              <w:rPr>
                <w:sz w:val="22"/>
                <w:szCs w:val="22"/>
              </w:rPr>
              <w:t>Для маршрута НУБП (ПСБ и Росавтодор) – ТОФК может не заполняться</w:t>
            </w:r>
          </w:p>
        </w:tc>
      </w:tr>
      <w:tr w:rsidR="00AD1F54" w:rsidRPr="00264D5D" w14:paraId="2A0859B6"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3A4A4E1" w14:textId="77777777" w:rsidR="00AD1F54" w:rsidRPr="00264D5D" w:rsidRDefault="00941227">
            <w:pPr>
              <w:pStyle w:val="GOSTTablenorm"/>
              <w:rPr>
                <w:szCs w:val="22"/>
              </w:rPr>
            </w:pPr>
            <w:r w:rsidRPr="00264D5D">
              <w:rPr>
                <w:szCs w:val="22"/>
              </w:rPr>
              <w:t>Планируемая дата совершения операции</w:t>
            </w:r>
          </w:p>
        </w:tc>
        <w:tc>
          <w:tcPr>
            <w:tcW w:w="1701" w:type="dxa"/>
          </w:tcPr>
          <w:p w14:paraId="3E563FCD" w14:textId="77777777" w:rsidR="00AD1F54" w:rsidRPr="00264D5D" w:rsidRDefault="00941227">
            <w:pPr>
              <w:pStyle w:val="GOSTTablenorm"/>
              <w:rPr>
                <w:szCs w:val="22"/>
              </w:rPr>
            </w:pPr>
            <w:r w:rsidRPr="00264D5D">
              <w:rPr>
                <w:rFonts w:eastAsiaTheme="minorHAnsi"/>
                <w:szCs w:val="22"/>
              </w:rPr>
              <w:t>TtlPrt_PlnTrnsctDate</w:t>
            </w:r>
          </w:p>
        </w:tc>
        <w:tc>
          <w:tcPr>
            <w:tcW w:w="567" w:type="dxa"/>
          </w:tcPr>
          <w:p w14:paraId="0DDA832D" w14:textId="77777777" w:rsidR="00AD1F54" w:rsidRPr="00264D5D" w:rsidRDefault="00941227">
            <w:pPr>
              <w:pStyle w:val="GOSTTablenorm"/>
              <w:jc w:val="center"/>
              <w:rPr>
                <w:szCs w:val="22"/>
              </w:rPr>
            </w:pPr>
            <w:r w:rsidRPr="00264D5D">
              <w:rPr>
                <w:szCs w:val="22"/>
              </w:rPr>
              <w:t>П</w:t>
            </w:r>
          </w:p>
        </w:tc>
        <w:tc>
          <w:tcPr>
            <w:tcW w:w="1134" w:type="dxa"/>
          </w:tcPr>
          <w:p w14:paraId="12E717D0" w14:textId="77777777" w:rsidR="00AD1F54" w:rsidRPr="00264D5D" w:rsidRDefault="00941227">
            <w:pPr>
              <w:pStyle w:val="GOSTTablenorm"/>
              <w:rPr>
                <w:szCs w:val="22"/>
                <w:lang w:val="en-US"/>
              </w:rPr>
            </w:pPr>
            <w:r w:rsidRPr="00264D5D">
              <w:rPr>
                <w:szCs w:val="22"/>
                <w:lang w:val="en-US"/>
              </w:rPr>
              <w:t>Date</w:t>
            </w:r>
          </w:p>
        </w:tc>
        <w:tc>
          <w:tcPr>
            <w:tcW w:w="567" w:type="dxa"/>
          </w:tcPr>
          <w:p w14:paraId="46893E75" w14:textId="77777777" w:rsidR="00AD1F54" w:rsidRPr="00264D5D" w:rsidRDefault="00941227">
            <w:pPr>
              <w:pStyle w:val="GOSTTablenorm"/>
              <w:jc w:val="center"/>
              <w:rPr>
                <w:szCs w:val="22"/>
              </w:rPr>
            </w:pPr>
            <w:r w:rsidRPr="00264D5D">
              <w:rPr>
                <w:szCs w:val="22"/>
              </w:rPr>
              <w:t>Н</w:t>
            </w:r>
          </w:p>
        </w:tc>
        <w:tc>
          <w:tcPr>
            <w:tcW w:w="3964" w:type="dxa"/>
          </w:tcPr>
          <w:p w14:paraId="1A2DFBAD" w14:textId="77777777" w:rsidR="00AD1F54" w:rsidRPr="00264D5D" w:rsidRDefault="00941227">
            <w:pPr>
              <w:pStyle w:val="GOSTTablenorm"/>
              <w:rPr>
                <w:szCs w:val="22"/>
              </w:rPr>
            </w:pPr>
            <w:r w:rsidRPr="00264D5D">
              <w:rPr>
                <w:szCs w:val="22"/>
              </w:rPr>
              <w:t>Указывается планируемая дата внесения денежных средств.</w:t>
            </w:r>
          </w:p>
          <w:p w14:paraId="711CE846" w14:textId="77777777" w:rsidR="00AD1F54" w:rsidRPr="00264D5D" w:rsidRDefault="00941227">
            <w:pPr>
              <w:pStyle w:val="GOSTTablenorm"/>
              <w:rPr>
                <w:szCs w:val="22"/>
              </w:rPr>
            </w:pPr>
            <w:r w:rsidRPr="00264D5D">
              <w:rPr>
                <w:szCs w:val="22"/>
              </w:rPr>
              <w:t>Обязательно для заполнения, если код платежного документа равен «OC».</w:t>
            </w:r>
          </w:p>
          <w:p w14:paraId="7D07A9C1" w14:textId="77777777" w:rsidR="00AD1F54" w:rsidRPr="00264D5D" w:rsidRDefault="00941227" w:rsidP="00D65AFB">
            <w:pPr>
              <w:spacing w:before="60" w:after="60"/>
              <w:rPr>
                <w:sz w:val="22"/>
                <w:szCs w:val="22"/>
              </w:rPr>
            </w:pPr>
            <w:r w:rsidRPr="00264D5D">
              <w:rPr>
                <w:sz w:val="22"/>
                <w:szCs w:val="22"/>
              </w:rPr>
              <w:t>Используется при информационном взаимодействии по маршрутам ПБС (ПФХД</w:t>
            </w:r>
            <w:r w:rsidR="00D65AFB">
              <w:rPr>
                <w:sz w:val="22"/>
                <w:szCs w:val="22"/>
              </w:rPr>
              <w:t>) – ТОФК (ПУР ЭБ)</w:t>
            </w:r>
          </w:p>
        </w:tc>
      </w:tr>
      <w:tr w:rsidR="00AD1F54" w:rsidRPr="00264D5D" w14:paraId="27E42912"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D6653B1" w14:textId="77777777" w:rsidR="00AD1F54" w:rsidRPr="00264D5D" w:rsidRDefault="00941227">
            <w:pPr>
              <w:pStyle w:val="GOSTTablenorm"/>
              <w:rPr>
                <w:szCs w:val="22"/>
              </w:rPr>
            </w:pPr>
            <w:r w:rsidRPr="00264D5D">
              <w:rPr>
                <w:szCs w:val="22"/>
              </w:rPr>
              <w:t>Код по ОКВ</w:t>
            </w:r>
          </w:p>
        </w:tc>
        <w:tc>
          <w:tcPr>
            <w:tcW w:w="1701" w:type="dxa"/>
          </w:tcPr>
          <w:p w14:paraId="79A56618" w14:textId="77777777" w:rsidR="00AD1F54" w:rsidRPr="00264D5D" w:rsidRDefault="00941227">
            <w:pPr>
              <w:pStyle w:val="GOSTTablenorm"/>
              <w:rPr>
                <w:szCs w:val="22"/>
              </w:rPr>
            </w:pPr>
            <w:r w:rsidRPr="00264D5D">
              <w:rPr>
                <w:rFonts w:eastAsiaTheme="minorHAnsi"/>
                <w:szCs w:val="22"/>
              </w:rPr>
              <w:t>TtlPrt_OKVCODE</w:t>
            </w:r>
          </w:p>
        </w:tc>
        <w:tc>
          <w:tcPr>
            <w:tcW w:w="567" w:type="dxa"/>
          </w:tcPr>
          <w:p w14:paraId="594A9AC8" w14:textId="77777777" w:rsidR="00AD1F54" w:rsidRPr="00264D5D" w:rsidRDefault="00941227">
            <w:pPr>
              <w:pStyle w:val="GOSTTablenorm"/>
              <w:jc w:val="center"/>
              <w:rPr>
                <w:szCs w:val="22"/>
              </w:rPr>
            </w:pPr>
            <w:r w:rsidRPr="00264D5D">
              <w:rPr>
                <w:szCs w:val="22"/>
              </w:rPr>
              <w:t>П</w:t>
            </w:r>
          </w:p>
        </w:tc>
        <w:tc>
          <w:tcPr>
            <w:tcW w:w="1134" w:type="dxa"/>
          </w:tcPr>
          <w:p w14:paraId="1E20D26F" w14:textId="77777777" w:rsidR="00AD1F54" w:rsidRPr="00264D5D" w:rsidRDefault="00941227">
            <w:pPr>
              <w:pStyle w:val="GOSTTablenorm"/>
              <w:rPr>
                <w:szCs w:val="22"/>
                <w:lang w:val="en-US"/>
              </w:rPr>
            </w:pPr>
            <w:r w:rsidRPr="00264D5D">
              <w:rPr>
                <w:szCs w:val="22"/>
              </w:rPr>
              <w:t>Т(3)</w:t>
            </w:r>
          </w:p>
        </w:tc>
        <w:tc>
          <w:tcPr>
            <w:tcW w:w="567" w:type="dxa"/>
          </w:tcPr>
          <w:p w14:paraId="6C35B5C0" w14:textId="77777777" w:rsidR="00AD1F54" w:rsidRPr="00264D5D" w:rsidRDefault="00941227">
            <w:pPr>
              <w:pStyle w:val="GOSTTablenorm"/>
              <w:jc w:val="center"/>
              <w:rPr>
                <w:szCs w:val="22"/>
              </w:rPr>
            </w:pPr>
            <w:r w:rsidRPr="00264D5D">
              <w:rPr>
                <w:szCs w:val="22"/>
              </w:rPr>
              <w:t>Н</w:t>
            </w:r>
          </w:p>
        </w:tc>
        <w:tc>
          <w:tcPr>
            <w:tcW w:w="3964" w:type="dxa"/>
          </w:tcPr>
          <w:p w14:paraId="638A8740" w14:textId="77777777" w:rsidR="00AD1F54" w:rsidRPr="00264D5D" w:rsidRDefault="00941227">
            <w:pPr>
              <w:pStyle w:val="GOSTTablenorm"/>
              <w:rPr>
                <w:szCs w:val="22"/>
              </w:rPr>
            </w:pPr>
            <w:r w:rsidRPr="00264D5D">
              <w:rPr>
                <w:szCs w:val="22"/>
              </w:rPr>
              <w:t xml:space="preserve">Указывается </w:t>
            </w:r>
            <w:r w:rsidR="009169AF" w:rsidRPr="00264D5D">
              <w:rPr>
                <w:szCs w:val="22"/>
              </w:rPr>
              <w:t xml:space="preserve">цифровой </w:t>
            </w:r>
            <w:r w:rsidRPr="00264D5D">
              <w:rPr>
                <w:szCs w:val="22"/>
              </w:rPr>
              <w:t>код по ОКВ.</w:t>
            </w:r>
          </w:p>
          <w:p w14:paraId="54738FDF" w14:textId="77777777" w:rsidR="00AD1F54" w:rsidRPr="00264D5D" w:rsidRDefault="00941227">
            <w:pPr>
              <w:pStyle w:val="GOSTTablenorm"/>
              <w:rPr>
                <w:szCs w:val="22"/>
              </w:rPr>
            </w:pPr>
            <w:r w:rsidRPr="00264D5D">
              <w:rPr>
                <w:szCs w:val="22"/>
              </w:rPr>
              <w:t>Обязательно для заполнения, если код платежного документа равен «OC».</w:t>
            </w:r>
          </w:p>
          <w:p w14:paraId="70632DE2" w14:textId="77777777" w:rsidR="00AD1F54" w:rsidRPr="00264D5D" w:rsidRDefault="00941227" w:rsidP="00D65AFB">
            <w:pPr>
              <w:spacing w:before="60" w:after="60"/>
              <w:rPr>
                <w:sz w:val="22"/>
                <w:szCs w:val="22"/>
              </w:rPr>
            </w:pPr>
            <w:r w:rsidRPr="00264D5D">
              <w:rPr>
                <w:sz w:val="22"/>
                <w:szCs w:val="22"/>
              </w:rPr>
              <w:t>Используется при информационном взаимодействии по маршрутам ПБ</w:t>
            </w:r>
            <w:r w:rsidR="00D65AFB">
              <w:rPr>
                <w:sz w:val="22"/>
                <w:szCs w:val="22"/>
              </w:rPr>
              <w:t>С (ПФХД) – ТОФК (ПУР ЭБ)</w:t>
            </w:r>
          </w:p>
        </w:tc>
      </w:tr>
      <w:tr w:rsidR="00AD1F54" w:rsidRPr="00264D5D" w14:paraId="60C51982"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770855A7" w14:textId="77777777" w:rsidR="00AD1F54" w:rsidRPr="00264D5D" w:rsidRDefault="00941227">
            <w:pPr>
              <w:pStyle w:val="GOSTTablenorm"/>
              <w:rPr>
                <w:szCs w:val="22"/>
              </w:rPr>
            </w:pPr>
            <w:r w:rsidRPr="00264D5D">
              <w:rPr>
                <w:szCs w:val="22"/>
              </w:rPr>
              <w:t>ИНН</w:t>
            </w:r>
          </w:p>
        </w:tc>
        <w:tc>
          <w:tcPr>
            <w:tcW w:w="1701" w:type="dxa"/>
          </w:tcPr>
          <w:p w14:paraId="15CAD7C3" w14:textId="77777777" w:rsidR="00AD1F54" w:rsidRPr="00264D5D" w:rsidRDefault="00941227">
            <w:pPr>
              <w:pStyle w:val="GOSTTablenorm"/>
              <w:rPr>
                <w:szCs w:val="22"/>
              </w:rPr>
            </w:pPr>
            <w:r w:rsidRPr="00264D5D">
              <w:rPr>
                <w:szCs w:val="22"/>
              </w:rPr>
              <w:t>TtlPrt_INN</w:t>
            </w:r>
          </w:p>
        </w:tc>
        <w:tc>
          <w:tcPr>
            <w:tcW w:w="567" w:type="dxa"/>
          </w:tcPr>
          <w:p w14:paraId="21C4237E" w14:textId="77777777" w:rsidR="00AD1F54" w:rsidRPr="00264D5D" w:rsidRDefault="00941227">
            <w:pPr>
              <w:pStyle w:val="GOSTTablenorm"/>
              <w:jc w:val="center"/>
              <w:rPr>
                <w:szCs w:val="22"/>
              </w:rPr>
            </w:pPr>
            <w:r w:rsidRPr="00264D5D">
              <w:rPr>
                <w:szCs w:val="22"/>
              </w:rPr>
              <w:t>П</w:t>
            </w:r>
          </w:p>
        </w:tc>
        <w:tc>
          <w:tcPr>
            <w:tcW w:w="1134" w:type="dxa"/>
          </w:tcPr>
          <w:p w14:paraId="7C924F78" w14:textId="77777777" w:rsidR="00AD1F54" w:rsidRPr="00264D5D" w:rsidRDefault="00941227">
            <w:pPr>
              <w:pStyle w:val="GOSTTablenorm"/>
              <w:rPr>
                <w:szCs w:val="22"/>
                <w:lang w:val="en-US"/>
              </w:rPr>
            </w:pPr>
            <w:r w:rsidRPr="00264D5D">
              <w:rPr>
                <w:szCs w:val="22"/>
                <w:lang w:val="en-US"/>
              </w:rPr>
              <w:t>Т(</w:t>
            </w:r>
            <w:r w:rsidRPr="00264D5D">
              <w:rPr>
                <w:szCs w:val="22"/>
              </w:rPr>
              <w:t>1-12</w:t>
            </w:r>
            <w:r w:rsidRPr="00264D5D">
              <w:rPr>
                <w:szCs w:val="22"/>
                <w:lang w:val="en-US"/>
              </w:rPr>
              <w:t>)</w:t>
            </w:r>
          </w:p>
        </w:tc>
        <w:tc>
          <w:tcPr>
            <w:tcW w:w="567" w:type="dxa"/>
          </w:tcPr>
          <w:p w14:paraId="13FF9F5D" w14:textId="77777777" w:rsidR="00AD1F54" w:rsidRPr="00264D5D" w:rsidRDefault="00941227">
            <w:pPr>
              <w:pStyle w:val="GOSTTablenorm"/>
              <w:jc w:val="center"/>
              <w:rPr>
                <w:szCs w:val="22"/>
              </w:rPr>
            </w:pPr>
            <w:r w:rsidRPr="00264D5D">
              <w:rPr>
                <w:szCs w:val="22"/>
              </w:rPr>
              <w:t>О</w:t>
            </w:r>
          </w:p>
        </w:tc>
        <w:tc>
          <w:tcPr>
            <w:tcW w:w="3964" w:type="dxa"/>
          </w:tcPr>
          <w:p w14:paraId="5091747F" w14:textId="77777777" w:rsidR="00AD1F54" w:rsidRPr="00264D5D" w:rsidRDefault="00941227">
            <w:pPr>
              <w:spacing w:before="60" w:after="60"/>
              <w:rPr>
                <w:sz w:val="22"/>
                <w:szCs w:val="22"/>
              </w:rPr>
            </w:pPr>
            <w:r w:rsidRPr="00264D5D">
              <w:rPr>
                <w:sz w:val="22"/>
                <w:szCs w:val="22"/>
              </w:rPr>
              <w:t>ИНН клиента.</w:t>
            </w:r>
          </w:p>
          <w:p w14:paraId="772F1170" w14:textId="77777777" w:rsidR="00AD1F54" w:rsidRPr="00264D5D" w:rsidRDefault="00941227">
            <w:pPr>
              <w:spacing w:before="60" w:after="60"/>
              <w:rPr>
                <w:sz w:val="22"/>
                <w:szCs w:val="22"/>
              </w:rPr>
            </w:pPr>
            <w:r w:rsidRPr="00264D5D">
              <w:rPr>
                <w:sz w:val="22"/>
                <w:szCs w:val="22"/>
              </w:rPr>
              <w:t xml:space="preserve">В случае предоставления уполномоченным подразделением </w:t>
            </w:r>
            <w:r w:rsidRPr="00264D5D">
              <w:rPr>
                <w:sz w:val="22"/>
                <w:szCs w:val="22"/>
              </w:rPr>
              <w:lastRenderedPageBreak/>
              <w:t>заполняется реквизитами вышестоящей организации.</w:t>
            </w:r>
          </w:p>
          <w:p w14:paraId="63BCE5B4" w14:textId="77777777" w:rsidR="00AD1F54" w:rsidRPr="00264D5D" w:rsidRDefault="00941227">
            <w:pPr>
              <w:spacing w:before="60" w:after="60"/>
              <w:rPr>
                <w:sz w:val="22"/>
                <w:szCs w:val="22"/>
              </w:rPr>
            </w:pPr>
            <w:r w:rsidRPr="00264D5D">
              <w:rPr>
                <w:sz w:val="22"/>
                <w:szCs w:val="22"/>
              </w:rPr>
              <w:t>В случае предоставления удаленным ПБС заполня</w:t>
            </w:r>
            <w:r w:rsidR="00B06B9A" w:rsidRPr="00264D5D">
              <w:rPr>
                <w:sz w:val="22"/>
                <w:szCs w:val="22"/>
              </w:rPr>
              <w:t>ется реквизитами удаленного ПБС</w:t>
            </w:r>
          </w:p>
        </w:tc>
      </w:tr>
      <w:tr w:rsidR="00AD1F54" w:rsidRPr="00264D5D" w14:paraId="3512A4B9"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04707861" w14:textId="77777777" w:rsidR="00AD1F54" w:rsidRPr="00264D5D" w:rsidRDefault="00941227">
            <w:pPr>
              <w:pStyle w:val="GOSTTablenorm"/>
              <w:rPr>
                <w:szCs w:val="22"/>
              </w:rPr>
            </w:pPr>
            <w:r w:rsidRPr="00264D5D">
              <w:rPr>
                <w:szCs w:val="22"/>
              </w:rPr>
              <w:lastRenderedPageBreak/>
              <w:t>КПП</w:t>
            </w:r>
          </w:p>
        </w:tc>
        <w:tc>
          <w:tcPr>
            <w:tcW w:w="1701" w:type="dxa"/>
          </w:tcPr>
          <w:p w14:paraId="69C6E725" w14:textId="77777777" w:rsidR="00AD1F54" w:rsidRPr="00264D5D" w:rsidRDefault="00941227">
            <w:pPr>
              <w:pStyle w:val="GOSTTablenorm"/>
              <w:rPr>
                <w:szCs w:val="22"/>
              </w:rPr>
            </w:pPr>
            <w:r w:rsidRPr="00264D5D">
              <w:rPr>
                <w:szCs w:val="22"/>
              </w:rPr>
              <w:t>TtlPrt_KPP</w:t>
            </w:r>
          </w:p>
        </w:tc>
        <w:tc>
          <w:tcPr>
            <w:tcW w:w="567" w:type="dxa"/>
          </w:tcPr>
          <w:p w14:paraId="0E9E6257" w14:textId="77777777" w:rsidR="00AD1F54" w:rsidRPr="00264D5D" w:rsidRDefault="00941227">
            <w:pPr>
              <w:pStyle w:val="GOSTTablenorm"/>
              <w:jc w:val="center"/>
              <w:rPr>
                <w:szCs w:val="22"/>
              </w:rPr>
            </w:pPr>
            <w:r w:rsidRPr="00264D5D">
              <w:rPr>
                <w:szCs w:val="22"/>
              </w:rPr>
              <w:t>П</w:t>
            </w:r>
          </w:p>
        </w:tc>
        <w:tc>
          <w:tcPr>
            <w:tcW w:w="1134" w:type="dxa"/>
          </w:tcPr>
          <w:p w14:paraId="6D2F6CA8" w14:textId="77777777" w:rsidR="00AD1F54" w:rsidRPr="00264D5D" w:rsidRDefault="00941227">
            <w:pPr>
              <w:pStyle w:val="GOSTTablenorm"/>
              <w:rPr>
                <w:szCs w:val="22"/>
                <w:lang w:val="en-US"/>
              </w:rPr>
            </w:pPr>
            <w:r w:rsidRPr="00264D5D">
              <w:rPr>
                <w:szCs w:val="22"/>
                <w:lang w:val="en-US"/>
              </w:rPr>
              <w:t>Т(</w:t>
            </w:r>
            <w:r w:rsidRPr="00264D5D">
              <w:rPr>
                <w:szCs w:val="22"/>
              </w:rPr>
              <w:t>9</w:t>
            </w:r>
            <w:r w:rsidRPr="00264D5D">
              <w:rPr>
                <w:szCs w:val="22"/>
                <w:lang w:val="en-US"/>
              </w:rPr>
              <w:t>)</w:t>
            </w:r>
          </w:p>
        </w:tc>
        <w:tc>
          <w:tcPr>
            <w:tcW w:w="567" w:type="dxa"/>
          </w:tcPr>
          <w:p w14:paraId="4F686D0E" w14:textId="77777777" w:rsidR="00AD1F54" w:rsidRPr="00264D5D" w:rsidRDefault="00941227">
            <w:pPr>
              <w:pStyle w:val="GOSTTablenorm"/>
              <w:jc w:val="center"/>
              <w:rPr>
                <w:szCs w:val="22"/>
              </w:rPr>
            </w:pPr>
            <w:r w:rsidRPr="00264D5D">
              <w:rPr>
                <w:szCs w:val="22"/>
              </w:rPr>
              <w:t>Н</w:t>
            </w:r>
          </w:p>
        </w:tc>
        <w:tc>
          <w:tcPr>
            <w:tcW w:w="3964" w:type="dxa"/>
          </w:tcPr>
          <w:p w14:paraId="742C8E05" w14:textId="77777777" w:rsidR="00AD1F54" w:rsidRPr="00264D5D" w:rsidRDefault="00941227">
            <w:pPr>
              <w:spacing w:before="60" w:after="60"/>
              <w:rPr>
                <w:sz w:val="22"/>
                <w:szCs w:val="22"/>
              </w:rPr>
            </w:pPr>
            <w:r w:rsidRPr="00264D5D">
              <w:rPr>
                <w:sz w:val="22"/>
                <w:szCs w:val="22"/>
              </w:rPr>
              <w:t>КПП клиента.</w:t>
            </w:r>
          </w:p>
          <w:p w14:paraId="6C515125" w14:textId="77777777" w:rsidR="00AD1F54" w:rsidRPr="00264D5D" w:rsidRDefault="00941227">
            <w:pPr>
              <w:spacing w:before="60" w:after="60"/>
              <w:rPr>
                <w:sz w:val="22"/>
                <w:szCs w:val="22"/>
              </w:rPr>
            </w:pPr>
            <w:r w:rsidRPr="00264D5D">
              <w:rPr>
                <w:sz w:val="22"/>
                <w:szCs w:val="22"/>
              </w:rPr>
              <w:t>В случае предоставления уполномоченным подразделением заполняется реквизитами вышестоящей организации.</w:t>
            </w:r>
          </w:p>
          <w:p w14:paraId="06A2F80C" w14:textId="77777777" w:rsidR="00AD1F54" w:rsidRPr="00264D5D" w:rsidRDefault="00941227">
            <w:pPr>
              <w:spacing w:before="60" w:after="60"/>
              <w:rPr>
                <w:sz w:val="22"/>
                <w:szCs w:val="22"/>
              </w:rPr>
            </w:pPr>
            <w:r w:rsidRPr="00264D5D">
              <w:rPr>
                <w:sz w:val="22"/>
                <w:szCs w:val="22"/>
              </w:rPr>
              <w:t>В случае предоставления удаленным ПБС заполняется реквизитам</w:t>
            </w:r>
            <w:r w:rsidR="00B06B9A" w:rsidRPr="00264D5D">
              <w:rPr>
                <w:sz w:val="22"/>
                <w:szCs w:val="22"/>
              </w:rPr>
              <w:t>и удаленного ПБС</w:t>
            </w:r>
          </w:p>
        </w:tc>
      </w:tr>
      <w:tr w:rsidR="00AD1F54" w:rsidRPr="00264D5D" w14:paraId="46B8E9F0"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746282C" w14:textId="77777777" w:rsidR="00AD1F54" w:rsidRPr="00264D5D" w:rsidRDefault="00941227">
            <w:pPr>
              <w:pStyle w:val="GOSTTablenorm"/>
              <w:rPr>
                <w:szCs w:val="22"/>
              </w:rPr>
            </w:pPr>
            <w:r w:rsidRPr="00264D5D">
              <w:rPr>
                <w:szCs w:val="22"/>
              </w:rPr>
              <w:t>ТОФК</w:t>
            </w:r>
          </w:p>
        </w:tc>
        <w:tc>
          <w:tcPr>
            <w:tcW w:w="1701" w:type="dxa"/>
          </w:tcPr>
          <w:p w14:paraId="497FE717" w14:textId="77777777" w:rsidR="00AD1F54" w:rsidRPr="00264D5D" w:rsidRDefault="00941227">
            <w:pPr>
              <w:pStyle w:val="GOSTTablenorm"/>
              <w:rPr>
                <w:szCs w:val="22"/>
              </w:rPr>
            </w:pPr>
            <w:r w:rsidRPr="00264D5D">
              <w:rPr>
                <w:szCs w:val="22"/>
              </w:rPr>
              <w:t>TtlPrt_TOFK</w:t>
            </w:r>
          </w:p>
        </w:tc>
        <w:tc>
          <w:tcPr>
            <w:tcW w:w="567" w:type="dxa"/>
          </w:tcPr>
          <w:p w14:paraId="4AD145A8" w14:textId="77777777" w:rsidR="00AD1F54" w:rsidRPr="00264D5D" w:rsidRDefault="00941227">
            <w:pPr>
              <w:pStyle w:val="GOSTTablenorm"/>
              <w:jc w:val="center"/>
              <w:rPr>
                <w:szCs w:val="22"/>
              </w:rPr>
            </w:pPr>
            <w:r w:rsidRPr="00264D5D">
              <w:rPr>
                <w:szCs w:val="22"/>
              </w:rPr>
              <w:t>С</w:t>
            </w:r>
          </w:p>
        </w:tc>
        <w:tc>
          <w:tcPr>
            <w:tcW w:w="1134" w:type="dxa"/>
          </w:tcPr>
          <w:p w14:paraId="596A11E0" w14:textId="77777777" w:rsidR="00AD1F54" w:rsidRPr="00264D5D" w:rsidRDefault="00941227">
            <w:pPr>
              <w:pStyle w:val="GOSTTablenorm"/>
              <w:rPr>
                <w:szCs w:val="22"/>
                <w:lang w:val="en-US"/>
              </w:rPr>
            </w:pPr>
            <w:r w:rsidRPr="00264D5D">
              <w:rPr>
                <w:szCs w:val="22"/>
                <w:lang w:val="en-US"/>
              </w:rPr>
              <w:t>tMSC_TOFK</w:t>
            </w:r>
          </w:p>
        </w:tc>
        <w:tc>
          <w:tcPr>
            <w:tcW w:w="567" w:type="dxa"/>
          </w:tcPr>
          <w:p w14:paraId="553CA207" w14:textId="77777777" w:rsidR="00AD1F54" w:rsidRPr="00264D5D" w:rsidRDefault="004058D4">
            <w:pPr>
              <w:pStyle w:val="GOSTTablenorm"/>
              <w:jc w:val="center"/>
              <w:rPr>
                <w:szCs w:val="22"/>
              </w:rPr>
            </w:pPr>
            <w:r w:rsidRPr="00264D5D">
              <w:rPr>
                <w:szCs w:val="22"/>
              </w:rPr>
              <w:t>Н</w:t>
            </w:r>
          </w:p>
        </w:tc>
        <w:tc>
          <w:tcPr>
            <w:tcW w:w="3964" w:type="dxa"/>
          </w:tcPr>
          <w:p w14:paraId="1220D6B7" w14:textId="77777777" w:rsidR="004058D4" w:rsidRPr="00264D5D" w:rsidRDefault="00941227" w:rsidP="004058D4">
            <w:pPr>
              <w:pStyle w:val="GOSTTablenorm"/>
              <w:rPr>
                <w:szCs w:val="22"/>
              </w:rPr>
            </w:pPr>
            <w:r w:rsidRPr="00264D5D">
              <w:rPr>
                <w:szCs w:val="22"/>
              </w:rPr>
              <w:t>ТОФК, в котором обслуживается клиент.</w:t>
            </w:r>
            <w:r w:rsidR="004058D4" w:rsidRPr="00264D5D">
              <w:rPr>
                <w:szCs w:val="22"/>
              </w:rPr>
              <w:t xml:space="preserve"> </w:t>
            </w:r>
          </w:p>
          <w:p w14:paraId="10D9DABD" w14:textId="77777777" w:rsidR="004058D4" w:rsidRPr="00264D5D" w:rsidRDefault="004058D4" w:rsidP="004058D4">
            <w:pPr>
              <w:pStyle w:val="GOSTTablenorm"/>
              <w:rPr>
                <w:szCs w:val="22"/>
              </w:rPr>
            </w:pPr>
            <w:r w:rsidRPr="00264D5D">
              <w:rPr>
                <w:szCs w:val="22"/>
              </w:rPr>
              <w:t>Не заполняется для маршрута НУБП (ПСБ и Росавтодор) – ТОФК.</w:t>
            </w:r>
          </w:p>
          <w:p w14:paraId="10A9373D" w14:textId="24C72505" w:rsidR="00AD1F54" w:rsidRPr="00264D5D" w:rsidRDefault="00941227">
            <w:pPr>
              <w:spacing w:before="60" w:after="60"/>
              <w:rPr>
                <w:sz w:val="22"/>
                <w:szCs w:val="22"/>
              </w:rPr>
            </w:pPr>
            <w:r w:rsidRPr="00264D5D">
              <w:rPr>
                <w:sz w:val="22"/>
                <w:szCs w:val="22"/>
              </w:rPr>
              <w:t>Состав элемента представлен в таблице</w:t>
            </w:r>
            <w:r w:rsidRPr="00264D5D">
              <w:rPr>
                <w:b/>
                <w:sz w:val="22"/>
                <w:szCs w:val="22"/>
              </w:rPr>
              <w:t xml:space="preserve"> </w:t>
            </w:r>
            <w:r w:rsidRPr="00264D5D">
              <w:rPr>
                <w:b/>
                <w:sz w:val="22"/>
                <w:szCs w:val="22"/>
              </w:rPr>
              <w:fldChar w:fldCharType="begin"/>
            </w:r>
            <w:r w:rsidRPr="00264D5D">
              <w:rPr>
                <w:b/>
                <w:sz w:val="22"/>
                <w:szCs w:val="22"/>
              </w:rPr>
              <w:instrText xml:space="preserve"> REF _Ref153203810 \h  \* MERGEFORMAT </w:instrText>
            </w:r>
            <w:r w:rsidRPr="00264D5D">
              <w:rPr>
                <w:b/>
                <w:sz w:val="22"/>
                <w:szCs w:val="22"/>
              </w:rPr>
            </w:r>
            <w:r w:rsidRPr="00264D5D">
              <w:rPr>
                <w:b/>
                <w:sz w:val="22"/>
                <w:szCs w:val="22"/>
              </w:rPr>
              <w:fldChar w:fldCharType="separate"/>
            </w:r>
            <w:r w:rsidR="008D797C" w:rsidRPr="008D797C">
              <w:rPr>
                <w:sz w:val="22"/>
                <w:szCs w:val="22"/>
              </w:rPr>
              <w:t>266</w:t>
            </w:r>
            <w:r w:rsidRPr="00264D5D">
              <w:rPr>
                <w:b/>
                <w:sz w:val="22"/>
                <w:szCs w:val="22"/>
              </w:rPr>
              <w:fldChar w:fldCharType="end"/>
            </w:r>
          </w:p>
        </w:tc>
      </w:tr>
      <w:tr w:rsidR="00AD1F54" w:rsidRPr="00264D5D" w14:paraId="4CA4D4DD"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3EF380AB" w14:textId="77777777" w:rsidR="00AD1F54" w:rsidRPr="00264D5D" w:rsidRDefault="00941227">
            <w:pPr>
              <w:pStyle w:val="GOSTTablenorm"/>
              <w:rPr>
                <w:szCs w:val="22"/>
              </w:rPr>
            </w:pPr>
            <w:r w:rsidRPr="00264D5D">
              <w:rPr>
                <w:szCs w:val="22"/>
              </w:rPr>
              <w:t>Код объекта ФАИП (КМИ)</w:t>
            </w:r>
          </w:p>
        </w:tc>
        <w:tc>
          <w:tcPr>
            <w:tcW w:w="1701" w:type="dxa"/>
          </w:tcPr>
          <w:p w14:paraId="1E9BE9DA" w14:textId="77777777" w:rsidR="00AD1F54" w:rsidRPr="00264D5D" w:rsidRDefault="00941227">
            <w:pPr>
              <w:pStyle w:val="GOSTTablenorm"/>
              <w:rPr>
                <w:szCs w:val="22"/>
              </w:rPr>
            </w:pPr>
            <w:r w:rsidRPr="00264D5D">
              <w:rPr>
                <w:szCs w:val="22"/>
              </w:rPr>
              <w:t>TtlPrt_FAIPObjCd</w:t>
            </w:r>
          </w:p>
        </w:tc>
        <w:tc>
          <w:tcPr>
            <w:tcW w:w="567" w:type="dxa"/>
          </w:tcPr>
          <w:p w14:paraId="5E671FD8" w14:textId="77777777" w:rsidR="00AD1F54" w:rsidRPr="00264D5D" w:rsidRDefault="00941227">
            <w:pPr>
              <w:pStyle w:val="GOSTTablenorm"/>
              <w:jc w:val="center"/>
              <w:rPr>
                <w:szCs w:val="22"/>
              </w:rPr>
            </w:pPr>
            <w:r w:rsidRPr="00264D5D">
              <w:rPr>
                <w:szCs w:val="22"/>
              </w:rPr>
              <w:t>П</w:t>
            </w:r>
          </w:p>
        </w:tc>
        <w:tc>
          <w:tcPr>
            <w:tcW w:w="1134" w:type="dxa"/>
          </w:tcPr>
          <w:p w14:paraId="353D7E88" w14:textId="77777777" w:rsidR="00AD1F54" w:rsidRPr="00264D5D" w:rsidRDefault="00941227">
            <w:pPr>
              <w:pStyle w:val="GOSTTablenorm"/>
              <w:rPr>
                <w:szCs w:val="22"/>
                <w:lang w:val="en-US"/>
              </w:rPr>
            </w:pPr>
            <w:r w:rsidRPr="00264D5D">
              <w:rPr>
                <w:szCs w:val="22"/>
                <w:lang w:val="en-US"/>
              </w:rPr>
              <w:t>Т(</w:t>
            </w:r>
            <w:r w:rsidRPr="00264D5D">
              <w:rPr>
                <w:szCs w:val="22"/>
              </w:rPr>
              <w:t>1-24</w:t>
            </w:r>
            <w:r w:rsidRPr="00264D5D">
              <w:rPr>
                <w:szCs w:val="22"/>
                <w:lang w:val="en-US"/>
              </w:rPr>
              <w:t>)</w:t>
            </w:r>
          </w:p>
        </w:tc>
        <w:tc>
          <w:tcPr>
            <w:tcW w:w="567" w:type="dxa"/>
          </w:tcPr>
          <w:p w14:paraId="132BF1D0" w14:textId="77777777" w:rsidR="00AD1F54" w:rsidRPr="00264D5D" w:rsidRDefault="00941227">
            <w:pPr>
              <w:pStyle w:val="GOSTTablenorm"/>
              <w:jc w:val="center"/>
              <w:rPr>
                <w:szCs w:val="22"/>
              </w:rPr>
            </w:pPr>
            <w:r w:rsidRPr="00264D5D">
              <w:rPr>
                <w:szCs w:val="22"/>
              </w:rPr>
              <w:t>Н</w:t>
            </w:r>
          </w:p>
        </w:tc>
        <w:tc>
          <w:tcPr>
            <w:tcW w:w="3964" w:type="dxa"/>
          </w:tcPr>
          <w:p w14:paraId="17E87A34" w14:textId="77777777" w:rsidR="00AD1F54" w:rsidRPr="00264D5D" w:rsidRDefault="00941227">
            <w:pPr>
              <w:spacing w:before="60" w:after="60"/>
              <w:rPr>
                <w:sz w:val="22"/>
                <w:szCs w:val="22"/>
              </w:rPr>
            </w:pPr>
            <w:r w:rsidRPr="00264D5D">
              <w:rPr>
                <w:sz w:val="22"/>
                <w:szCs w:val="22"/>
              </w:rPr>
              <w:t>Может указываться уникальный код объекта капитального строительства или объекта недвижимости, ко</w:t>
            </w:r>
            <w:r w:rsidR="00B06B9A" w:rsidRPr="00264D5D">
              <w:rPr>
                <w:sz w:val="22"/>
                <w:szCs w:val="22"/>
              </w:rPr>
              <w:t>д мероприятия по информатизации</w:t>
            </w:r>
          </w:p>
        </w:tc>
      </w:tr>
      <w:tr w:rsidR="00AD1F54" w:rsidRPr="00264D5D" w14:paraId="57DED7C2"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A86F00F" w14:textId="77777777" w:rsidR="00AD1F54" w:rsidRPr="00264D5D" w:rsidRDefault="00941227">
            <w:pPr>
              <w:pStyle w:val="GOSTTablenorm"/>
              <w:rPr>
                <w:szCs w:val="22"/>
              </w:rPr>
            </w:pPr>
            <w:r w:rsidRPr="00264D5D">
              <w:rPr>
                <w:szCs w:val="22"/>
              </w:rPr>
              <w:t>Учетный номер обязательства</w:t>
            </w:r>
          </w:p>
        </w:tc>
        <w:tc>
          <w:tcPr>
            <w:tcW w:w="1701" w:type="dxa"/>
          </w:tcPr>
          <w:p w14:paraId="55B45E1E" w14:textId="77777777" w:rsidR="00AD1F54" w:rsidRPr="00264D5D" w:rsidRDefault="00941227">
            <w:pPr>
              <w:pStyle w:val="GOSTTablenorm"/>
              <w:rPr>
                <w:szCs w:val="22"/>
              </w:rPr>
            </w:pPr>
            <w:r w:rsidRPr="00264D5D">
              <w:rPr>
                <w:szCs w:val="22"/>
              </w:rPr>
              <w:t>TtlPrt_NUM_BO</w:t>
            </w:r>
          </w:p>
        </w:tc>
        <w:tc>
          <w:tcPr>
            <w:tcW w:w="567" w:type="dxa"/>
          </w:tcPr>
          <w:p w14:paraId="038B899B" w14:textId="77777777" w:rsidR="00AD1F54" w:rsidRPr="00264D5D" w:rsidRDefault="00941227">
            <w:pPr>
              <w:pStyle w:val="GOSTTablenorm"/>
              <w:jc w:val="center"/>
              <w:rPr>
                <w:szCs w:val="22"/>
              </w:rPr>
            </w:pPr>
            <w:r w:rsidRPr="00264D5D">
              <w:rPr>
                <w:szCs w:val="22"/>
              </w:rPr>
              <w:t>П</w:t>
            </w:r>
          </w:p>
        </w:tc>
        <w:tc>
          <w:tcPr>
            <w:tcW w:w="1134" w:type="dxa"/>
          </w:tcPr>
          <w:p w14:paraId="1B2AB795" w14:textId="77777777" w:rsidR="00AD1F54" w:rsidRPr="00264D5D" w:rsidRDefault="00941227">
            <w:pPr>
              <w:pStyle w:val="GOSTTablenorm"/>
              <w:rPr>
                <w:szCs w:val="22"/>
                <w:lang w:val="en-US"/>
              </w:rPr>
            </w:pPr>
            <w:r w:rsidRPr="00264D5D">
              <w:rPr>
                <w:szCs w:val="22"/>
              </w:rPr>
              <w:t>Т(1-19)</w:t>
            </w:r>
          </w:p>
        </w:tc>
        <w:tc>
          <w:tcPr>
            <w:tcW w:w="567" w:type="dxa"/>
          </w:tcPr>
          <w:p w14:paraId="50D1926A" w14:textId="77777777" w:rsidR="00AD1F54" w:rsidRPr="00264D5D" w:rsidRDefault="00941227">
            <w:pPr>
              <w:pStyle w:val="GOSTTablenorm"/>
              <w:jc w:val="center"/>
              <w:rPr>
                <w:szCs w:val="22"/>
              </w:rPr>
            </w:pPr>
            <w:r w:rsidRPr="00264D5D">
              <w:rPr>
                <w:szCs w:val="22"/>
              </w:rPr>
              <w:t>Н</w:t>
            </w:r>
          </w:p>
        </w:tc>
        <w:tc>
          <w:tcPr>
            <w:tcW w:w="3964" w:type="dxa"/>
          </w:tcPr>
          <w:p w14:paraId="12EACAB2" w14:textId="77777777" w:rsidR="00AD1F54" w:rsidRPr="00264D5D" w:rsidRDefault="00941227">
            <w:pPr>
              <w:spacing w:before="60" w:after="60"/>
              <w:rPr>
                <w:sz w:val="22"/>
                <w:szCs w:val="22"/>
              </w:rPr>
            </w:pPr>
            <w:r w:rsidRPr="00264D5D">
              <w:rPr>
                <w:sz w:val="22"/>
                <w:szCs w:val="22"/>
              </w:rPr>
              <w:t>Указывается учетный номер обязательства.</w:t>
            </w:r>
          </w:p>
          <w:p w14:paraId="546ECE81" w14:textId="77777777" w:rsidR="00AD1F54" w:rsidRPr="00264D5D" w:rsidRDefault="00941227">
            <w:pPr>
              <w:pStyle w:val="GOSTTablenorm"/>
              <w:rPr>
                <w:szCs w:val="22"/>
              </w:rPr>
            </w:pPr>
            <w:r w:rsidRPr="00264D5D">
              <w:rPr>
                <w:szCs w:val="22"/>
              </w:rPr>
              <w:t>Поле не заполняется для ПБС, если значение поля «Код вида средств» равно «5 – Средства, поступающие во временное распоряжение казенных учреждений».</w:t>
            </w:r>
          </w:p>
          <w:p w14:paraId="39F4FB69" w14:textId="77777777" w:rsidR="00AD1F54" w:rsidRPr="00264D5D" w:rsidRDefault="00941227">
            <w:pPr>
              <w:pStyle w:val="GOSTTablenorm"/>
            </w:pPr>
            <w:r w:rsidRPr="00264D5D">
              <w:rPr>
                <w:szCs w:val="22"/>
              </w:rPr>
              <w:t>Поле может заполняться для ПБС, если значение поля «Код вида средств» равно «1 – Средства бюджета».</w:t>
            </w:r>
            <w:r w:rsidRPr="00264D5D">
              <w:t xml:space="preserve"> </w:t>
            </w:r>
          </w:p>
          <w:p w14:paraId="065DCF1A" w14:textId="77777777" w:rsidR="00AD1F54" w:rsidRPr="00264D5D" w:rsidRDefault="00941227">
            <w:pPr>
              <w:pStyle w:val="GOSTTablenorm"/>
              <w:rPr>
                <w:szCs w:val="22"/>
              </w:rPr>
            </w:pPr>
            <w:r w:rsidRPr="00264D5D">
              <w:t xml:space="preserve">Не заполняется при взаимодействии по маршруту АУ, </w:t>
            </w:r>
            <w:r w:rsidRPr="00264D5D">
              <w:rPr>
                <w:szCs w:val="22"/>
              </w:rPr>
              <w:t>БУ – ТОФК (Компонент АУ, БУ ПУР ЭБ)</w:t>
            </w:r>
            <w:r w:rsidR="004058D4" w:rsidRPr="00264D5D">
              <w:rPr>
                <w:szCs w:val="22"/>
              </w:rPr>
              <w:t>, НУБП (ПСБ и Росавтодор) – ТОФК</w:t>
            </w:r>
          </w:p>
        </w:tc>
      </w:tr>
      <w:tr w:rsidR="00AD1F54" w:rsidRPr="00264D5D" w14:paraId="2F99F7E8"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B0819FA" w14:textId="77777777" w:rsidR="00AD1F54" w:rsidRPr="00264D5D" w:rsidRDefault="00941227">
            <w:pPr>
              <w:pStyle w:val="GOSTTablenorm"/>
              <w:rPr>
                <w:szCs w:val="22"/>
              </w:rPr>
            </w:pPr>
            <w:r w:rsidRPr="00264D5D">
              <w:rPr>
                <w:szCs w:val="22"/>
              </w:rPr>
              <w:t>Номер банковской карты</w:t>
            </w:r>
          </w:p>
        </w:tc>
        <w:tc>
          <w:tcPr>
            <w:tcW w:w="1701" w:type="dxa"/>
          </w:tcPr>
          <w:p w14:paraId="20D93FE6" w14:textId="77777777" w:rsidR="00AD1F54" w:rsidRPr="00264D5D" w:rsidRDefault="00941227">
            <w:pPr>
              <w:pStyle w:val="GOSTTablenorm"/>
              <w:rPr>
                <w:szCs w:val="22"/>
              </w:rPr>
            </w:pPr>
            <w:r w:rsidRPr="00264D5D">
              <w:rPr>
                <w:szCs w:val="22"/>
              </w:rPr>
              <w:t>TtlPrt_NmCrd</w:t>
            </w:r>
          </w:p>
        </w:tc>
        <w:tc>
          <w:tcPr>
            <w:tcW w:w="567" w:type="dxa"/>
          </w:tcPr>
          <w:p w14:paraId="4975173F" w14:textId="77777777" w:rsidR="00AD1F54" w:rsidRPr="00264D5D" w:rsidRDefault="00941227">
            <w:pPr>
              <w:pStyle w:val="GOSTTablenorm"/>
              <w:jc w:val="center"/>
              <w:rPr>
                <w:szCs w:val="22"/>
              </w:rPr>
            </w:pPr>
            <w:r w:rsidRPr="00264D5D">
              <w:rPr>
                <w:szCs w:val="22"/>
              </w:rPr>
              <w:t>П</w:t>
            </w:r>
          </w:p>
        </w:tc>
        <w:tc>
          <w:tcPr>
            <w:tcW w:w="1134" w:type="dxa"/>
          </w:tcPr>
          <w:p w14:paraId="2C09AAAC" w14:textId="77777777" w:rsidR="00AD1F54" w:rsidRPr="00264D5D" w:rsidRDefault="00941227">
            <w:pPr>
              <w:pStyle w:val="GOSTTablenorm"/>
              <w:rPr>
                <w:szCs w:val="22"/>
              </w:rPr>
            </w:pPr>
            <w:r w:rsidRPr="00264D5D">
              <w:rPr>
                <w:szCs w:val="22"/>
                <w:lang w:val="en-US"/>
              </w:rPr>
              <w:t>Т(1-</w:t>
            </w:r>
            <w:r w:rsidRPr="00264D5D">
              <w:rPr>
                <w:szCs w:val="22"/>
              </w:rPr>
              <w:t>20</w:t>
            </w:r>
            <w:r w:rsidRPr="00264D5D">
              <w:rPr>
                <w:szCs w:val="22"/>
                <w:lang w:val="en-US"/>
              </w:rPr>
              <w:t>)</w:t>
            </w:r>
          </w:p>
        </w:tc>
        <w:tc>
          <w:tcPr>
            <w:tcW w:w="567" w:type="dxa"/>
          </w:tcPr>
          <w:p w14:paraId="09E559B6" w14:textId="77777777" w:rsidR="00AD1F54" w:rsidRPr="00264D5D" w:rsidRDefault="00941227">
            <w:pPr>
              <w:pStyle w:val="GOSTTablenorm"/>
              <w:jc w:val="center"/>
              <w:rPr>
                <w:szCs w:val="22"/>
              </w:rPr>
            </w:pPr>
            <w:r w:rsidRPr="00264D5D">
              <w:rPr>
                <w:szCs w:val="22"/>
              </w:rPr>
              <w:t>Н</w:t>
            </w:r>
          </w:p>
        </w:tc>
        <w:tc>
          <w:tcPr>
            <w:tcW w:w="3964" w:type="dxa"/>
          </w:tcPr>
          <w:p w14:paraId="3EAF4AB2" w14:textId="77777777" w:rsidR="00AD1F54" w:rsidRPr="00264D5D" w:rsidRDefault="00941227">
            <w:pPr>
              <w:pStyle w:val="GOSTTablenorm"/>
              <w:rPr>
                <w:szCs w:val="22"/>
              </w:rPr>
            </w:pPr>
            <w:r w:rsidRPr="00264D5D">
              <w:rPr>
                <w:szCs w:val="22"/>
              </w:rPr>
              <w:t xml:space="preserve"> Номер банковской карты.</w:t>
            </w:r>
          </w:p>
          <w:p w14:paraId="65D1759D" w14:textId="77777777" w:rsidR="00AD1F54" w:rsidRPr="00264D5D" w:rsidRDefault="00941227">
            <w:pPr>
              <w:spacing w:before="60" w:after="60"/>
              <w:rPr>
                <w:sz w:val="22"/>
                <w:szCs w:val="22"/>
              </w:rPr>
            </w:pPr>
            <w:r w:rsidRPr="00264D5D">
              <w:rPr>
                <w:sz w:val="22"/>
                <w:szCs w:val="22"/>
              </w:rPr>
              <w:t xml:space="preserve"> Обязательно для заполнения, если код платежного документа равен «RN»</w:t>
            </w:r>
          </w:p>
        </w:tc>
      </w:tr>
      <w:tr w:rsidR="00AD1F54" w:rsidRPr="00264D5D" w14:paraId="59430B10"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0C83A06" w14:textId="77777777" w:rsidR="00AD1F54" w:rsidRPr="00264D5D" w:rsidRDefault="00941227">
            <w:pPr>
              <w:pStyle w:val="GOSTTablenorm"/>
              <w:rPr>
                <w:szCs w:val="22"/>
              </w:rPr>
            </w:pPr>
            <w:r w:rsidRPr="00264D5D">
              <w:rPr>
                <w:szCs w:val="22"/>
              </w:rPr>
              <w:t xml:space="preserve">Сумма денежных </w:t>
            </w:r>
            <w:r w:rsidRPr="00264D5D">
              <w:rPr>
                <w:szCs w:val="22"/>
              </w:rPr>
              <w:lastRenderedPageBreak/>
              <w:t>средств</w:t>
            </w:r>
          </w:p>
        </w:tc>
        <w:tc>
          <w:tcPr>
            <w:tcW w:w="1701" w:type="dxa"/>
          </w:tcPr>
          <w:p w14:paraId="5C66E19A" w14:textId="77777777" w:rsidR="00AD1F54" w:rsidRPr="00264D5D" w:rsidRDefault="00941227">
            <w:pPr>
              <w:pStyle w:val="GOSTTablenorm"/>
              <w:rPr>
                <w:szCs w:val="22"/>
              </w:rPr>
            </w:pPr>
            <w:r w:rsidRPr="00264D5D">
              <w:rPr>
                <w:szCs w:val="22"/>
              </w:rPr>
              <w:lastRenderedPageBreak/>
              <w:t>TtlPrt_Sm</w:t>
            </w:r>
          </w:p>
        </w:tc>
        <w:tc>
          <w:tcPr>
            <w:tcW w:w="567" w:type="dxa"/>
          </w:tcPr>
          <w:p w14:paraId="71E9C096" w14:textId="77777777" w:rsidR="00AD1F54" w:rsidRPr="00264D5D" w:rsidRDefault="00941227">
            <w:pPr>
              <w:pStyle w:val="GOSTTablenorm"/>
              <w:jc w:val="center"/>
              <w:rPr>
                <w:szCs w:val="22"/>
              </w:rPr>
            </w:pPr>
            <w:r w:rsidRPr="00264D5D">
              <w:rPr>
                <w:szCs w:val="22"/>
              </w:rPr>
              <w:t>П</w:t>
            </w:r>
          </w:p>
        </w:tc>
        <w:tc>
          <w:tcPr>
            <w:tcW w:w="1134" w:type="dxa"/>
          </w:tcPr>
          <w:p w14:paraId="2F8E2D0F" w14:textId="77777777" w:rsidR="00AD1F54" w:rsidRPr="00264D5D" w:rsidRDefault="00941227">
            <w:pPr>
              <w:pStyle w:val="GOSTTablenorm"/>
              <w:rPr>
                <w:szCs w:val="22"/>
                <w:lang w:val="en-US"/>
              </w:rPr>
            </w:pPr>
            <w:r w:rsidRPr="00264D5D">
              <w:rPr>
                <w:szCs w:val="22"/>
                <w:lang w:val="en-US"/>
              </w:rPr>
              <w:t>N(</w:t>
            </w:r>
            <w:r w:rsidRPr="00264D5D">
              <w:rPr>
                <w:szCs w:val="22"/>
              </w:rPr>
              <w:t>20</w:t>
            </w:r>
            <w:r w:rsidRPr="00264D5D">
              <w:rPr>
                <w:szCs w:val="22"/>
                <w:lang w:val="en-US"/>
              </w:rPr>
              <w:t>.2)</w:t>
            </w:r>
          </w:p>
        </w:tc>
        <w:tc>
          <w:tcPr>
            <w:tcW w:w="567" w:type="dxa"/>
          </w:tcPr>
          <w:p w14:paraId="7C6367F2" w14:textId="77777777" w:rsidR="00AD1F54" w:rsidRPr="00264D5D" w:rsidRDefault="00941227">
            <w:pPr>
              <w:pStyle w:val="GOSTTablenorm"/>
              <w:jc w:val="center"/>
              <w:rPr>
                <w:szCs w:val="22"/>
              </w:rPr>
            </w:pPr>
            <w:r w:rsidRPr="00264D5D">
              <w:rPr>
                <w:szCs w:val="22"/>
              </w:rPr>
              <w:t>Н</w:t>
            </w:r>
          </w:p>
        </w:tc>
        <w:tc>
          <w:tcPr>
            <w:tcW w:w="3964" w:type="dxa"/>
          </w:tcPr>
          <w:p w14:paraId="0C97A468" w14:textId="77777777" w:rsidR="00AD1F54" w:rsidRPr="00264D5D" w:rsidRDefault="00941227">
            <w:pPr>
              <w:pStyle w:val="GOSTTablenorm"/>
              <w:rPr>
                <w:szCs w:val="22"/>
              </w:rPr>
            </w:pPr>
            <w:r w:rsidRPr="00264D5D">
              <w:rPr>
                <w:szCs w:val="22"/>
              </w:rPr>
              <w:t>Сумма внесённых денежных средств.</w:t>
            </w:r>
          </w:p>
          <w:p w14:paraId="308AD611" w14:textId="77777777" w:rsidR="00AD1F54" w:rsidRPr="00264D5D" w:rsidRDefault="00941227">
            <w:pPr>
              <w:spacing w:before="60" w:after="60"/>
              <w:rPr>
                <w:sz w:val="22"/>
                <w:szCs w:val="22"/>
              </w:rPr>
            </w:pPr>
            <w:r w:rsidRPr="00264D5D">
              <w:rPr>
                <w:sz w:val="22"/>
                <w:szCs w:val="22"/>
              </w:rPr>
              <w:t xml:space="preserve">Обязательно для заполнения, если код </w:t>
            </w:r>
            <w:r w:rsidRPr="00264D5D">
              <w:rPr>
                <w:sz w:val="22"/>
                <w:szCs w:val="22"/>
              </w:rPr>
              <w:lastRenderedPageBreak/>
              <w:t>платежного документа равен «RN»</w:t>
            </w:r>
          </w:p>
        </w:tc>
      </w:tr>
      <w:tr w:rsidR="00AD1F54" w:rsidRPr="00264D5D" w14:paraId="6A77BE8B"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C0C4A30" w14:textId="77777777" w:rsidR="00AD1F54" w:rsidRPr="00264D5D" w:rsidRDefault="00941227">
            <w:pPr>
              <w:pStyle w:val="GOSTTablenorm"/>
              <w:rPr>
                <w:szCs w:val="22"/>
              </w:rPr>
            </w:pPr>
            <w:r w:rsidRPr="00264D5D">
              <w:rPr>
                <w:szCs w:val="22"/>
              </w:rPr>
              <w:lastRenderedPageBreak/>
              <w:t>Общая сумма</w:t>
            </w:r>
          </w:p>
        </w:tc>
        <w:tc>
          <w:tcPr>
            <w:tcW w:w="1701" w:type="dxa"/>
          </w:tcPr>
          <w:p w14:paraId="7E870A6C" w14:textId="77777777" w:rsidR="00AD1F54" w:rsidRPr="00264D5D" w:rsidRDefault="00941227">
            <w:pPr>
              <w:pStyle w:val="GOSTTablenorm"/>
              <w:rPr>
                <w:szCs w:val="22"/>
              </w:rPr>
            </w:pPr>
            <w:r w:rsidRPr="00264D5D">
              <w:rPr>
                <w:szCs w:val="22"/>
              </w:rPr>
              <w:t>RKG_Ttl</w:t>
            </w:r>
          </w:p>
        </w:tc>
        <w:tc>
          <w:tcPr>
            <w:tcW w:w="567" w:type="dxa"/>
          </w:tcPr>
          <w:p w14:paraId="1DA7BC29" w14:textId="77777777" w:rsidR="00AD1F54" w:rsidRPr="00264D5D" w:rsidRDefault="00941227">
            <w:pPr>
              <w:pStyle w:val="GOSTTablenorm"/>
              <w:jc w:val="center"/>
              <w:rPr>
                <w:szCs w:val="22"/>
              </w:rPr>
            </w:pPr>
            <w:r w:rsidRPr="00264D5D">
              <w:rPr>
                <w:szCs w:val="22"/>
              </w:rPr>
              <w:t>П</w:t>
            </w:r>
          </w:p>
        </w:tc>
        <w:tc>
          <w:tcPr>
            <w:tcW w:w="1134" w:type="dxa"/>
          </w:tcPr>
          <w:p w14:paraId="46EA2C2A" w14:textId="77777777" w:rsidR="00AD1F54" w:rsidRPr="00264D5D" w:rsidRDefault="00941227">
            <w:pPr>
              <w:pStyle w:val="GOSTTablenorm"/>
              <w:rPr>
                <w:szCs w:val="22"/>
                <w:lang w:val="en-US"/>
              </w:rPr>
            </w:pPr>
            <w:r w:rsidRPr="00264D5D">
              <w:rPr>
                <w:szCs w:val="22"/>
                <w:lang w:val="en-US"/>
              </w:rPr>
              <w:t>N(</w:t>
            </w:r>
            <w:r w:rsidRPr="00264D5D">
              <w:rPr>
                <w:szCs w:val="22"/>
              </w:rPr>
              <w:t>20</w:t>
            </w:r>
            <w:r w:rsidRPr="00264D5D">
              <w:rPr>
                <w:szCs w:val="22"/>
                <w:lang w:val="en-US"/>
              </w:rPr>
              <w:t>.2)</w:t>
            </w:r>
          </w:p>
        </w:tc>
        <w:tc>
          <w:tcPr>
            <w:tcW w:w="567" w:type="dxa"/>
          </w:tcPr>
          <w:p w14:paraId="20AD14BC" w14:textId="77777777" w:rsidR="00AD1F54" w:rsidRPr="00264D5D" w:rsidRDefault="00941227">
            <w:pPr>
              <w:pStyle w:val="GOSTTablenorm"/>
              <w:jc w:val="center"/>
              <w:rPr>
                <w:szCs w:val="22"/>
              </w:rPr>
            </w:pPr>
            <w:r w:rsidRPr="00264D5D">
              <w:rPr>
                <w:szCs w:val="22"/>
              </w:rPr>
              <w:t>О</w:t>
            </w:r>
          </w:p>
        </w:tc>
        <w:tc>
          <w:tcPr>
            <w:tcW w:w="3964" w:type="dxa"/>
          </w:tcPr>
          <w:p w14:paraId="2B014318" w14:textId="77777777" w:rsidR="00AD1F54" w:rsidRPr="00264D5D" w:rsidRDefault="00941227">
            <w:pPr>
              <w:spacing w:before="60" w:after="60"/>
              <w:rPr>
                <w:sz w:val="22"/>
                <w:szCs w:val="22"/>
              </w:rPr>
            </w:pPr>
            <w:r w:rsidRPr="00264D5D">
              <w:rPr>
                <w:sz w:val="22"/>
                <w:szCs w:val="22"/>
              </w:rPr>
              <w:t>Общая сумма по блоку «Расшифровка сумм неиспользованных средств». Должна быть равна значени</w:t>
            </w:r>
            <w:r w:rsidR="00B06B9A" w:rsidRPr="00264D5D">
              <w:rPr>
                <w:sz w:val="22"/>
                <w:szCs w:val="22"/>
              </w:rPr>
              <w:t>ю поля «Сумма денежных средств»</w:t>
            </w:r>
          </w:p>
        </w:tc>
      </w:tr>
      <w:tr w:rsidR="00AD1F54" w:rsidRPr="00264D5D" w14:paraId="36A34215"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ED5B7A3" w14:textId="77777777" w:rsidR="00AD1F54" w:rsidRPr="00264D5D" w:rsidRDefault="00941227">
            <w:pPr>
              <w:pStyle w:val="GOSTTablenorm"/>
              <w:rPr>
                <w:szCs w:val="22"/>
              </w:rPr>
            </w:pPr>
            <w:r w:rsidRPr="00264D5D">
              <w:rPr>
                <w:szCs w:val="22"/>
              </w:rPr>
              <w:t>Уровень конфиденциальности</w:t>
            </w:r>
          </w:p>
        </w:tc>
        <w:tc>
          <w:tcPr>
            <w:tcW w:w="1701" w:type="dxa"/>
          </w:tcPr>
          <w:p w14:paraId="37F29339" w14:textId="77777777" w:rsidR="00AD1F54" w:rsidRPr="00264D5D" w:rsidRDefault="00941227">
            <w:pPr>
              <w:pStyle w:val="GOSTTablenorm"/>
              <w:rPr>
                <w:szCs w:val="22"/>
              </w:rPr>
            </w:pPr>
            <w:r w:rsidRPr="00264D5D">
              <w:rPr>
                <w:szCs w:val="22"/>
              </w:rPr>
              <w:t>TtlPrt_SECRECY</w:t>
            </w:r>
          </w:p>
        </w:tc>
        <w:tc>
          <w:tcPr>
            <w:tcW w:w="567" w:type="dxa"/>
          </w:tcPr>
          <w:p w14:paraId="7006D595" w14:textId="77777777" w:rsidR="00AD1F54" w:rsidRPr="00264D5D" w:rsidRDefault="00941227">
            <w:pPr>
              <w:pStyle w:val="GOSTTablenorm"/>
              <w:jc w:val="center"/>
              <w:rPr>
                <w:szCs w:val="22"/>
              </w:rPr>
            </w:pPr>
            <w:r w:rsidRPr="00264D5D">
              <w:rPr>
                <w:szCs w:val="22"/>
              </w:rPr>
              <w:t>П</w:t>
            </w:r>
          </w:p>
        </w:tc>
        <w:tc>
          <w:tcPr>
            <w:tcW w:w="1134" w:type="dxa"/>
          </w:tcPr>
          <w:p w14:paraId="513CBA33" w14:textId="77777777" w:rsidR="00AD1F54" w:rsidRPr="00264D5D" w:rsidRDefault="00941227">
            <w:pPr>
              <w:pStyle w:val="GOSTTablenorm"/>
              <w:rPr>
                <w:szCs w:val="22"/>
                <w:lang w:val="en-US"/>
              </w:rPr>
            </w:pPr>
            <w:r w:rsidRPr="00264D5D">
              <w:rPr>
                <w:szCs w:val="22"/>
              </w:rPr>
              <w:t>Т(1)</w:t>
            </w:r>
          </w:p>
        </w:tc>
        <w:tc>
          <w:tcPr>
            <w:tcW w:w="567" w:type="dxa"/>
          </w:tcPr>
          <w:p w14:paraId="21C02726" w14:textId="77777777" w:rsidR="00AD1F54" w:rsidRPr="00264D5D" w:rsidRDefault="00941227">
            <w:pPr>
              <w:pStyle w:val="GOSTTablenorm"/>
              <w:jc w:val="center"/>
              <w:rPr>
                <w:szCs w:val="22"/>
              </w:rPr>
            </w:pPr>
            <w:r w:rsidRPr="00264D5D">
              <w:rPr>
                <w:szCs w:val="22"/>
              </w:rPr>
              <w:t>Н</w:t>
            </w:r>
          </w:p>
        </w:tc>
        <w:tc>
          <w:tcPr>
            <w:tcW w:w="3964" w:type="dxa"/>
          </w:tcPr>
          <w:p w14:paraId="63AA9081" w14:textId="77777777" w:rsidR="00AD1F54" w:rsidRPr="00264D5D" w:rsidRDefault="00941227">
            <w:pPr>
              <w:spacing w:before="60" w:after="60"/>
              <w:rPr>
                <w:sz w:val="22"/>
                <w:szCs w:val="22"/>
              </w:rPr>
            </w:pPr>
            <w:r w:rsidRPr="00264D5D">
              <w:rPr>
                <w:sz w:val="22"/>
                <w:szCs w:val="22"/>
              </w:rPr>
              <w:t>Указывается уровень конфиденциальности.</w:t>
            </w:r>
          </w:p>
          <w:p w14:paraId="21768B71" w14:textId="77777777" w:rsidR="00AD1F54" w:rsidRPr="00264D5D" w:rsidRDefault="00941227">
            <w:pPr>
              <w:spacing w:before="60" w:after="60"/>
              <w:rPr>
                <w:sz w:val="22"/>
                <w:szCs w:val="22"/>
              </w:rPr>
            </w:pPr>
            <w:r w:rsidRPr="00264D5D">
              <w:rPr>
                <w:sz w:val="22"/>
                <w:szCs w:val="22"/>
              </w:rPr>
              <w:t>Возможные значения:</w:t>
            </w:r>
          </w:p>
          <w:p w14:paraId="5BD03B13" w14:textId="77777777" w:rsidR="00AD1F54" w:rsidRPr="00264D5D" w:rsidRDefault="00941227" w:rsidP="00B06B9A">
            <w:pPr>
              <w:pStyle w:val="GOSTTableListMark1"/>
              <w:widowControl w:val="0"/>
              <w:numPr>
                <w:ilvl w:val="0"/>
                <w:numId w:val="65"/>
              </w:numPr>
              <w:tabs>
                <w:tab w:val="clear" w:pos="340"/>
                <w:tab w:val="num" w:pos="227"/>
              </w:tabs>
              <w:spacing w:before="60" w:after="60"/>
              <w:ind w:left="284"/>
              <w:jc w:val="both"/>
              <w:rPr>
                <w:szCs w:val="22"/>
              </w:rPr>
            </w:pPr>
            <w:r w:rsidRPr="00264D5D">
              <w:rPr>
                <w:szCs w:val="22"/>
              </w:rPr>
              <w:t>«0» – Несекретно;</w:t>
            </w:r>
          </w:p>
          <w:p w14:paraId="5E773D9D" w14:textId="77777777" w:rsidR="00AD1F54" w:rsidRPr="00264D5D" w:rsidRDefault="00941227" w:rsidP="00B06B9A">
            <w:pPr>
              <w:pStyle w:val="GOSTTableListMark1"/>
              <w:widowControl w:val="0"/>
              <w:numPr>
                <w:ilvl w:val="0"/>
                <w:numId w:val="65"/>
              </w:numPr>
              <w:tabs>
                <w:tab w:val="clear" w:pos="340"/>
                <w:tab w:val="num" w:pos="227"/>
              </w:tabs>
              <w:spacing w:before="60" w:after="60"/>
              <w:ind w:left="284"/>
              <w:jc w:val="both"/>
              <w:rPr>
                <w:szCs w:val="22"/>
              </w:rPr>
            </w:pPr>
            <w:r w:rsidRPr="00264D5D">
              <w:rPr>
                <w:szCs w:val="22"/>
              </w:rPr>
              <w:t>«1» – Для служебного пользования.</w:t>
            </w:r>
          </w:p>
          <w:p w14:paraId="1F839797" w14:textId="77777777" w:rsidR="004058D4" w:rsidRPr="00264D5D" w:rsidRDefault="00941227" w:rsidP="004058D4">
            <w:pPr>
              <w:pStyle w:val="GOSTTablenorm"/>
              <w:rPr>
                <w:szCs w:val="22"/>
              </w:rPr>
            </w:pPr>
            <w:r w:rsidRPr="00264D5D">
              <w:rPr>
                <w:szCs w:val="22"/>
              </w:rPr>
              <w:t>Обязателен для заполнения в случае взаимодействия по марш</w:t>
            </w:r>
            <w:r w:rsidR="00B06B9A" w:rsidRPr="00264D5D">
              <w:rPr>
                <w:szCs w:val="22"/>
              </w:rPr>
              <w:t>руту ПБС (ПФХД) – ТОФК (ПУР ЭБ)</w:t>
            </w:r>
            <w:r w:rsidR="004058D4" w:rsidRPr="00264D5D">
              <w:rPr>
                <w:szCs w:val="22"/>
              </w:rPr>
              <w:t>.</w:t>
            </w:r>
          </w:p>
          <w:p w14:paraId="165B3062" w14:textId="77777777" w:rsidR="0021139B" w:rsidRPr="0021139B" w:rsidRDefault="004058D4" w:rsidP="0021139B">
            <w:pPr>
              <w:pStyle w:val="GOSTTablenorm"/>
              <w:rPr>
                <w:szCs w:val="22"/>
              </w:rPr>
            </w:pPr>
            <w:r w:rsidRPr="00264D5D">
              <w:rPr>
                <w:szCs w:val="22"/>
              </w:rPr>
              <w:t>Не заполняется для маршрута НУБП (ПСБ и Росавтодор</w:t>
            </w:r>
            <w:r w:rsidRPr="0021139B">
              <w:rPr>
                <w:szCs w:val="22"/>
              </w:rPr>
              <w:t>) – ТОФК</w:t>
            </w:r>
            <w:r w:rsidR="0021139B" w:rsidRPr="0021139B">
              <w:rPr>
                <w:szCs w:val="22"/>
              </w:rPr>
              <w:t>.</w:t>
            </w:r>
          </w:p>
          <w:p w14:paraId="435BDFBE" w14:textId="77777777" w:rsidR="00AD1F54" w:rsidRPr="00264D5D" w:rsidRDefault="0021139B" w:rsidP="0021139B">
            <w:pPr>
              <w:spacing w:before="60" w:after="60"/>
              <w:rPr>
                <w:sz w:val="22"/>
                <w:szCs w:val="22"/>
              </w:rPr>
            </w:pPr>
            <w:r w:rsidRPr="008B26A8">
              <w:rPr>
                <w:sz w:val="22"/>
                <w:szCs w:val="22"/>
                <w:highlight w:val="green"/>
              </w:rPr>
              <w:t>Для маршрута Уполномоченный ТОФК (МУО СГ) – ТОФК (ППО АСФК)</w:t>
            </w:r>
            <w:r w:rsidRPr="008B26A8">
              <w:rPr>
                <w:sz w:val="22"/>
                <w:szCs w:val="22"/>
              </w:rPr>
              <w:t xml:space="preserve"> </w:t>
            </w:r>
            <w:r w:rsidRPr="008B26A8">
              <w:rPr>
                <w:sz w:val="22"/>
                <w:szCs w:val="22"/>
                <w:highlight w:val="green"/>
              </w:rPr>
              <w:t>указывается значение «0» – «Несекретно»</w:t>
            </w:r>
          </w:p>
        </w:tc>
      </w:tr>
      <w:tr w:rsidR="00AD1F54" w:rsidRPr="00264D5D" w14:paraId="7ABCED41" w14:textId="77777777" w:rsidTr="00AD1F54">
        <w:trPr>
          <w:cnfStyle w:val="000000010000" w:firstRow="0" w:lastRow="0" w:firstColumn="0" w:lastColumn="0" w:oddVBand="0" w:evenVBand="0" w:oddHBand="0" w:evenHBand="1" w:firstRowFirstColumn="0" w:firstRowLastColumn="0" w:lastRowFirstColumn="0" w:lastRowLastColumn="0"/>
        </w:trPr>
        <w:tc>
          <w:tcPr>
            <w:tcW w:w="9634" w:type="dxa"/>
            <w:gridSpan w:val="6"/>
          </w:tcPr>
          <w:p w14:paraId="302AF31A" w14:textId="77777777" w:rsidR="00AD1F54" w:rsidRPr="00264D5D" w:rsidRDefault="00941227">
            <w:pPr>
              <w:spacing w:before="60" w:after="60"/>
              <w:rPr>
                <w:sz w:val="22"/>
                <w:szCs w:val="22"/>
              </w:rPr>
            </w:pPr>
            <w:r w:rsidRPr="00264D5D">
              <w:rPr>
                <w:b/>
                <w:bCs/>
                <w:sz w:val="22"/>
                <w:szCs w:val="22"/>
              </w:rPr>
              <w:t>Реквизиты получателя</w:t>
            </w:r>
          </w:p>
        </w:tc>
      </w:tr>
      <w:tr w:rsidR="00AD1F54" w:rsidRPr="00264D5D" w14:paraId="1B8459A7"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CE6DB63" w14:textId="77777777" w:rsidR="00AD1F54" w:rsidRPr="00264D5D" w:rsidRDefault="00941227">
            <w:pPr>
              <w:pStyle w:val="GOSTTablenorm"/>
              <w:rPr>
                <w:szCs w:val="22"/>
              </w:rPr>
            </w:pPr>
            <w:r w:rsidRPr="00264D5D">
              <w:rPr>
                <w:szCs w:val="22"/>
              </w:rPr>
              <w:t>Наименование банка-получателя</w:t>
            </w:r>
          </w:p>
        </w:tc>
        <w:tc>
          <w:tcPr>
            <w:tcW w:w="1701" w:type="dxa"/>
          </w:tcPr>
          <w:p w14:paraId="7F7B39B5" w14:textId="77777777" w:rsidR="00AD1F54" w:rsidRPr="00264D5D" w:rsidRDefault="00941227">
            <w:pPr>
              <w:pStyle w:val="GOSTTablenorm"/>
              <w:rPr>
                <w:szCs w:val="22"/>
              </w:rPr>
            </w:pPr>
            <w:r w:rsidRPr="00264D5D">
              <w:rPr>
                <w:rFonts w:eastAsiaTheme="minorHAnsi"/>
                <w:szCs w:val="22"/>
              </w:rPr>
              <w:t>TtlPrt_Recipient_BNK_NAME</w:t>
            </w:r>
          </w:p>
        </w:tc>
        <w:tc>
          <w:tcPr>
            <w:tcW w:w="567" w:type="dxa"/>
          </w:tcPr>
          <w:p w14:paraId="3561BF4E" w14:textId="77777777" w:rsidR="00AD1F54" w:rsidRPr="00264D5D" w:rsidRDefault="00941227">
            <w:pPr>
              <w:pStyle w:val="GOSTTablenorm"/>
              <w:jc w:val="center"/>
              <w:rPr>
                <w:szCs w:val="22"/>
              </w:rPr>
            </w:pPr>
            <w:r w:rsidRPr="00264D5D">
              <w:rPr>
                <w:szCs w:val="22"/>
              </w:rPr>
              <w:t>П</w:t>
            </w:r>
          </w:p>
        </w:tc>
        <w:tc>
          <w:tcPr>
            <w:tcW w:w="1134" w:type="dxa"/>
          </w:tcPr>
          <w:p w14:paraId="01F4D234" w14:textId="77777777" w:rsidR="00AD1F54" w:rsidRPr="00264D5D" w:rsidRDefault="00941227">
            <w:pPr>
              <w:pStyle w:val="GOSTTablenorm"/>
              <w:rPr>
                <w:szCs w:val="22"/>
              </w:rPr>
            </w:pPr>
            <w:r w:rsidRPr="00264D5D">
              <w:rPr>
                <w:szCs w:val="22"/>
              </w:rPr>
              <w:t>Т(1-160)</w:t>
            </w:r>
          </w:p>
        </w:tc>
        <w:tc>
          <w:tcPr>
            <w:tcW w:w="567" w:type="dxa"/>
          </w:tcPr>
          <w:p w14:paraId="2830D794" w14:textId="77777777" w:rsidR="00AD1F54" w:rsidRPr="00264D5D" w:rsidRDefault="00941227">
            <w:pPr>
              <w:pStyle w:val="GOSTTablenorm"/>
              <w:jc w:val="center"/>
              <w:rPr>
                <w:szCs w:val="22"/>
              </w:rPr>
            </w:pPr>
            <w:r w:rsidRPr="00264D5D">
              <w:rPr>
                <w:szCs w:val="22"/>
              </w:rPr>
              <w:t>Н</w:t>
            </w:r>
          </w:p>
        </w:tc>
        <w:tc>
          <w:tcPr>
            <w:tcW w:w="3964" w:type="dxa"/>
          </w:tcPr>
          <w:p w14:paraId="74CB1591" w14:textId="77777777" w:rsidR="00AD1F54" w:rsidRPr="00264D5D" w:rsidRDefault="00941227">
            <w:pPr>
              <w:pStyle w:val="GOSTTablenorm"/>
              <w:rPr>
                <w:szCs w:val="22"/>
              </w:rPr>
            </w:pPr>
            <w:r w:rsidRPr="00264D5D">
              <w:rPr>
                <w:szCs w:val="22"/>
              </w:rPr>
              <w:t>Указывается наименование банка.</w:t>
            </w:r>
          </w:p>
          <w:p w14:paraId="2E07537D" w14:textId="77777777" w:rsidR="00AD1F54" w:rsidRPr="00264D5D" w:rsidRDefault="00941227">
            <w:pPr>
              <w:pStyle w:val="GOSTTablenorm"/>
              <w:rPr>
                <w:szCs w:val="22"/>
              </w:rPr>
            </w:pPr>
            <w:r w:rsidRPr="00264D5D">
              <w:rPr>
                <w:szCs w:val="22"/>
              </w:rPr>
              <w:t>Обязательно для заполнения, если код платежного документа равен «OC».</w:t>
            </w:r>
          </w:p>
          <w:p w14:paraId="6A1AA6F8" w14:textId="77777777" w:rsidR="00AD1F54" w:rsidRPr="00264D5D" w:rsidRDefault="00941227" w:rsidP="00D65AFB">
            <w:pPr>
              <w:spacing w:before="60" w:after="60"/>
              <w:rPr>
                <w:sz w:val="22"/>
                <w:szCs w:val="22"/>
              </w:rPr>
            </w:pPr>
            <w:r w:rsidRPr="00264D5D">
              <w:rPr>
                <w:sz w:val="22"/>
                <w:szCs w:val="22"/>
              </w:rPr>
              <w:t>Используется при информационном взаимодействии по маршру</w:t>
            </w:r>
            <w:r w:rsidR="00D65AFB">
              <w:rPr>
                <w:sz w:val="22"/>
                <w:szCs w:val="22"/>
              </w:rPr>
              <w:t>там ПБС (ПФХД) – ТОФК (ПУР ЭБ)</w:t>
            </w:r>
          </w:p>
        </w:tc>
      </w:tr>
      <w:tr w:rsidR="00AD1F54" w:rsidRPr="00264D5D" w14:paraId="4B548358"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3F70222D" w14:textId="77777777" w:rsidR="00AD1F54" w:rsidRPr="00264D5D" w:rsidRDefault="00941227">
            <w:pPr>
              <w:pStyle w:val="GOSTTablenorm"/>
              <w:rPr>
                <w:szCs w:val="22"/>
              </w:rPr>
            </w:pPr>
            <w:r w:rsidRPr="00264D5D">
              <w:rPr>
                <w:szCs w:val="22"/>
              </w:rPr>
              <w:t>БИК банка-получателя</w:t>
            </w:r>
          </w:p>
        </w:tc>
        <w:tc>
          <w:tcPr>
            <w:tcW w:w="1701" w:type="dxa"/>
          </w:tcPr>
          <w:p w14:paraId="4BDBEF44" w14:textId="77777777" w:rsidR="00AD1F54" w:rsidRPr="00264D5D" w:rsidRDefault="00941227">
            <w:pPr>
              <w:pStyle w:val="GOSTTablenorm"/>
              <w:rPr>
                <w:szCs w:val="22"/>
              </w:rPr>
            </w:pPr>
            <w:r w:rsidRPr="00264D5D">
              <w:rPr>
                <w:rFonts w:eastAsiaTheme="minorHAnsi"/>
                <w:szCs w:val="22"/>
              </w:rPr>
              <w:t>TtlPrt_Recipient_BNK_BIK</w:t>
            </w:r>
          </w:p>
        </w:tc>
        <w:tc>
          <w:tcPr>
            <w:tcW w:w="567" w:type="dxa"/>
          </w:tcPr>
          <w:p w14:paraId="4F76D227" w14:textId="77777777" w:rsidR="00AD1F54" w:rsidRPr="00264D5D" w:rsidRDefault="00941227">
            <w:pPr>
              <w:pStyle w:val="GOSTTablenorm"/>
              <w:jc w:val="center"/>
              <w:rPr>
                <w:szCs w:val="22"/>
              </w:rPr>
            </w:pPr>
            <w:r w:rsidRPr="00264D5D">
              <w:rPr>
                <w:szCs w:val="22"/>
              </w:rPr>
              <w:t>П</w:t>
            </w:r>
          </w:p>
        </w:tc>
        <w:tc>
          <w:tcPr>
            <w:tcW w:w="1134" w:type="dxa"/>
          </w:tcPr>
          <w:p w14:paraId="1C6902D4" w14:textId="77777777" w:rsidR="00AD1F54" w:rsidRPr="00264D5D" w:rsidRDefault="00941227">
            <w:pPr>
              <w:pStyle w:val="GOSTTablenorm"/>
              <w:rPr>
                <w:szCs w:val="22"/>
              </w:rPr>
            </w:pPr>
            <w:r w:rsidRPr="00264D5D">
              <w:rPr>
                <w:szCs w:val="22"/>
              </w:rPr>
              <w:t>Т(9)</w:t>
            </w:r>
          </w:p>
        </w:tc>
        <w:tc>
          <w:tcPr>
            <w:tcW w:w="567" w:type="dxa"/>
          </w:tcPr>
          <w:p w14:paraId="039E3EA2" w14:textId="77777777" w:rsidR="00AD1F54" w:rsidRPr="00264D5D" w:rsidRDefault="00941227">
            <w:pPr>
              <w:pStyle w:val="GOSTTablenorm"/>
              <w:jc w:val="center"/>
              <w:rPr>
                <w:szCs w:val="22"/>
              </w:rPr>
            </w:pPr>
            <w:r w:rsidRPr="00264D5D">
              <w:rPr>
                <w:szCs w:val="22"/>
              </w:rPr>
              <w:t>Н</w:t>
            </w:r>
          </w:p>
        </w:tc>
        <w:tc>
          <w:tcPr>
            <w:tcW w:w="3964" w:type="dxa"/>
          </w:tcPr>
          <w:p w14:paraId="68D5887E" w14:textId="77777777" w:rsidR="00AD1F54" w:rsidRPr="00264D5D" w:rsidRDefault="00941227">
            <w:pPr>
              <w:pStyle w:val="GOSTTablenorm"/>
              <w:rPr>
                <w:szCs w:val="22"/>
              </w:rPr>
            </w:pPr>
            <w:r w:rsidRPr="00264D5D">
              <w:rPr>
                <w:szCs w:val="22"/>
              </w:rPr>
              <w:t>Указывается БИК банка</w:t>
            </w:r>
          </w:p>
          <w:p w14:paraId="62E23A17" w14:textId="77777777" w:rsidR="00AD1F54" w:rsidRPr="00264D5D" w:rsidRDefault="00941227">
            <w:pPr>
              <w:pStyle w:val="GOSTTablenorm"/>
              <w:rPr>
                <w:szCs w:val="22"/>
              </w:rPr>
            </w:pPr>
            <w:r w:rsidRPr="00264D5D">
              <w:rPr>
                <w:szCs w:val="22"/>
              </w:rPr>
              <w:t>Обязательно для заполнения, если код платежного документа равен «OC».</w:t>
            </w:r>
          </w:p>
          <w:p w14:paraId="1BDB68E9" w14:textId="77777777" w:rsidR="00AD1F54" w:rsidRPr="00264D5D" w:rsidRDefault="00941227" w:rsidP="00D65AFB">
            <w:pPr>
              <w:spacing w:before="60" w:after="60"/>
              <w:rPr>
                <w:sz w:val="22"/>
                <w:szCs w:val="22"/>
              </w:rPr>
            </w:pPr>
            <w:r w:rsidRPr="00264D5D">
              <w:rPr>
                <w:sz w:val="22"/>
                <w:szCs w:val="22"/>
              </w:rPr>
              <w:t>Используется при информационном взаимодействии по маршру</w:t>
            </w:r>
            <w:r w:rsidR="00D65AFB">
              <w:rPr>
                <w:sz w:val="22"/>
                <w:szCs w:val="22"/>
              </w:rPr>
              <w:t>там ПБС (ПФХД) – ТОФК (ПУР ЭБ)</w:t>
            </w:r>
          </w:p>
        </w:tc>
      </w:tr>
      <w:tr w:rsidR="00AD1F54" w:rsidRPr="00264D5D" w14:paraId="15651B4D"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43F9280" w14:textId="77777777" w:rsidR="00AD1F54" w:rsidRPr="00264D5D" w:rsidRDefault="00941227">
            <w:pPr>
              <w:pStyle w:val="GOSTTablenorm"/>
              <w:rPr>
                <w:szCs w:val="22"/>
              </w:rPr>
            </w:pPr>
            <w:r w:rsidRPr="00264D5D">
              <w:rPr>
                <w:szCs w:val="22"/>
              </w:rPr>
              <w:t>Номер банковского счета банка-получателя</w:t>
            </w:r>
          </w:p>
        </w:tc>
        <w:tc>
          <w:tcPr>
            <w:tcW w:w="1701" w:type="dxa"/>
          </w:tcPr>
          <w:p w14:paraId="15E3EF93" w14:textId="77777777" w:rsidR="00AD1F54" w:rsidRPr="00264D5D" w:rsidRDefault="00941227">
            <w:pPr>
              <w:pStyle w:val="GOSTTablenorm"/>
              <w:rPr>
                <w:szCs w:val="22"/>
              </w:rPr>
            </w:pPr>
            <w:r w:rsidRPr="00264D5D">
              <w:rPr>
                <w:rFonts w:eastAsiaTheme="minorHAnsi"/>
                <w:szCs w:val="22"/>
              </w:rPr>
              <w:t>TtlPrt_Recipient_BNK_ACCNUM</w:t>
            </w:r>
          </w:p>
        </w:tc>
        <w:tc>
          <w:tcPr>
            <w:tcW w:w="567" w:type="dxa"/>
          </w:tcPr>
          <w:p w14:paraId="646AA148" w14:textId="77777777" w:rsidR="00AD1F54" w:rsidRPr="00264D5D" w:rsidRDefault="00941227">
            <w:pPr>
              <w:pStyle w:val="GOSTTablenorm"/>
              <w:jc w:val="center"/>
              <w:rPr>
                <w:szCs w:val="22"/>
              </w:rPr>
            </w:pPr>
            <w:r w:rsidRPr="00264D5D">
              <w:rPr>
                <w:szCs w:val="22"/>
              </w:rPr>
              <w:t>П</w:t>
            </w:r>
          </w:p>
        </w:tc>
        <w:tc>
          <w:tcPr>
            <w:tcW w:w="1134" w:type="dxa"/>
          </w:tcPr>
          <w:p w14:paraId="69BA40EA" w14:textId="77777777" w:rsidR="00AD1F54" w:rsidRPr="00264D5D" w:rsidRDefault="00941227">
            <w:pPr>
              <w:pStyle w:val="GOSTTablenorm"/>
              <w:rPr>
                <w:szCs w:val="22"/>
              </w:rPr>
            </w:pPr>
            <w:r w:rsidRPr="00264D5D">
              <w:rPr>
                <w:szCs w:val="22"/>
              </w:rPr>
              <w:t>Т(20)</w:t>
            </w:r>
          </w:p>
        </w:tc>
        <w:tc>
          <w:tcPr>
            <w:tcW w:w="567" w:type="dxa"/>
          </w:tcPr>
          <w:p w14:paraId="29593138" w14:textId="77777777" w:rsidR="00AD1F54" w:rsidRPr="00264D5D" w:rsidRDefault="00941227">
            <w:pPr>
              <w:pStyle w:val="GOSTTablenorm"/>
              <w:jc w:val="center"/>
              <w:rPr>
                <w:szCs w:val="22"/>
              </w:rPr>
            </w:pPr>
            <w:r w:rsidRPr="00264D5D">
              <w:rPr>
                <w:szCs w:val="22"/>
              </w:rPr>
              <w:t>Н</w:t>
            </w:r>
          </w:p>
        </w:tc>
        <w:tc>
          <w:tcPr>
            <w:tcW w:w="3964" w:type="dxa"/>
          </w:tcPr>
          <w:p w14:paraId="5DC1ED82" w14:textId="77777777" w:rsidR="00AD1F54" w:rsidRPr="00264D5D" w:rsidRDefault="00941227">
            <w:pPr>
              <w:pStyle w:val="GOSTTablenorm"/>
              <w:rPr>
                <w:szCs w:val="22"/>
              </w:rPr>
            </w:pPr>
            <w:r w:rsidRPr="00264D5D">
              <w:rPr>
                <w:szCs w:val="22"/>
              </w:rPr>
              <w:t>Указывается номер банковского счета.</w:t>
            </w:r>
          </w:p>
          <w:p w14:paraId="73C18EF5" w14:textId="77777777" w:rsidR="00AD1F54" w:rsidRPr="00264D5D" w:rsidRDefault="00941227">
            <w:pPr>
              <w:pStyle w:val="GOSTTablenorm"/>
              <w:rPr>
                <w:szCs w:val="22"/>
              </w:rPr>
            </w:pPr>
            <w:r w:rsidRPr="00264D5D">
              <w:rPr>
                <w:szCs w:val="22"/>
              </w:rPr>
              <w:t>Обязательно для заполнения, если код платежного документа равен «OC».</w:t>
            </w:r>
          </w:p>
          <w:p w14:paraId="63963B12" w14:textId="77777777" w:rsidR="00AD1F54" w:rsidRPr="00264D5D" w:rsidRDefault="00941227" w:rsidP="00D65AFB">
            <w:pPr>
              <w:spacing w:before="60" w:after="60"/>
              <w:rPr>
                <w:sz w:val="22"/>
                <w:szCs w:val="22"/>
              </w:rPr>
            </w:pPr>
            <w:r w:rsidRPr="00264D5D">
              <w:rPr>
                <w:sz w:val="22"/>
                <w:szCs w:val="22"/>
              </w:rPr>
              <w:t xml:space="preserve">Используется при информационном взаимодействии по маршрутам ПБС (ПФХД) – </w:t>
            </w:r>
            <w:r w:rsidR="00D65AFB">
              <w:rPr>
                <w:sz w:val="22"/>
                <w:szCs w:val="22"/>
              </w:rPr>
              <w:t>ТОФК (ПУР ЭБ)</w:t>
            </w:r>
          </w:p>
        </w:tc>
      </w:tr>
      <w:tr w:rsidR="00AD1F54" w:rsidRPr="00264D5D" w14:paraId="233FBE75" w14:textId="77777777" w:rsidTr="00AD1F54">
        <w:trPr>
          <w:cnfStyle w:val="000000010000" w:firstRow="0" w:lastRow="0" w:firstColumn="0" w:lastColumn="0" w:oddVBand="0" w:evenVBand="0" w:oddHBand="0" w:evenHBand="1" w:firstRowFirstColumn="0" w:firstRowLastColumn="0" w:lastRowFirstColumn="0" w:lastRowLastColumn="0"/>
        </w:trPr>
        <w:tc>
          <w:tcPr>
            <w:tcW w:w="9634" w:type="dxa"/>
            <w:gridSpan w:val="6"/>
          </w:tcPr>
          <w:p w14:paraId="62D512D1" w14:textId="77777777" w:rsidR="00AD1F54" w:rsidRPr="00264D5D" w:rsidRDefault="00941227">
            <w:pPr>
              <w:spacing w:before="60" w:after="60"/>
              <w:rPr>
                <w:sz w:val="22"/>
                <w:szCs w:val="22"/>
              </w:rPr>
            </w:pPr>
            <w:r w:rsidRPr="00264D5D">
              <w:rPr>
                <w:b/>
                <w:sz w:val="22"/>
                <w:szCs w:val="22"/>
              </w:rPr>
              <w:t>Реквизиты вносителя</w:t>
            </w:r>
          </w:p>
        </w:tc>
      </w:tr>
      <w:tr w:rsidR="00AD1F54" w:rsidRPr="00264D5D" w14:paraId="3E2B1C87"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5F7A62DF" w14:textId="77777777" w:rsidR="00AD1F54" w:rsidRPr="00264D5D" w:rsidRDefault="00941227">
            <w:pPr>
              <w:pStyle w:val="GOSTTablenorm"/>
              <w:rPr>
                <w:szCs w:val="22"/>
              </w:rPr>
            </w:pPr>
            <w:r w:rsidRPr="00264D5D">
              <w:rPr>
                <w:szCs w:val="22"/>
              </w:rPr>
              <w:t>ФИО вносителя</w:t>
            </w:r>
          </w:p>
        </w:tc>
        <w:tc>
          <w:tcPr>
            <w:tcW w:w="1701" w:type="dxa"/>
          </w:tcPr>
          <w:p w14:paraId="752FF314" w14:textId="77777777" w:rsidR="00AD1F54" w:rsidRPr="00264D5D" w:rsidRDefault="00941227">
            <w:pPr>
              <w:pStyle w:val="GOSTTablenorm"/>
              <w:rPr>
                <w:szCs w:val="22"/>
              </w:rPr>
            </w:pPr>
            <w:r w:rsidRPr="00264D5D">
              <w:rPr>
                <w:rFonts w:eastAsiaTheme="minorHAnsi"/>
                <w:szCs w:val="22"/>
              </w:rPr>
              <w:t>TtlPrt_Contribut</w:t>
            </w:r>
            <w:r w:rsidRPr="00264D5D">
              <w:rPr>
                <w:rFonts w:eastAsiaTheme="minorHAnsi"/>
                <w:szCs w:val="22"/>
              </w:rPr>
              <w:lastRenderedPageBreak/>
              <w:t>or_FIO</w:t>
            </w:r>
          </w:p>
        </w:tc>
        <w:tc>
          <w:tcPr>
            <w:tcW w:w="567" w:type="dxa"/>
          </w:tcPr>
          <w:p w14:paraId="4B8D3FF3" w14:textId="77777777" w:rsidR="00AD1F54" w:rsidRPr="00264D5D" w:rsidRDefault="00941227">
            <w:pPr>
              <w:pStyle w:val="GOSTTablenorm"/>
              <w:jc w:val="center"/>
              <w:rPr>
                <w:szCs w:val="22"/>
              </w:rPr>
            </w:pPr>
            <w:r w:rsidRPr="00264D5D">
              <w:rPr>
                <w:szCs w:val="22"/>
              </w:rPr>
              <w:lastRenderedPageBreak/>
              <w:t>П</w:t>
            </w:r>
          </w:p>
        </w:tc>
        <w:tc>
          <w:tcPr>
            <w:tcW w:w="1134" w:type="dxa"/>
          </w:tcPr>
          <w:p w14:paraId="04DB2685" w14:textId="77777777" w:rsidR="00AD1F54" w:rsidRPr="00264D5D" w:rsidRDefault="00941227">
            <w:pPr>
              <w:pStyle w:val="GOSTTablenorm"/>
              <w:rPr>
                <w:szCs w:val="22"/>
              </w:rPr>
            </w:pPr>
            <w:r w:rsidRPr="00264D5D">
              <w:rPr>
                <w:szCs w:val="22"/>
              </w:rPr>
              <w:t>Т(1-100)</w:t>
            </w:r>
          </w:p>
        </w:tc>
        <w:tc>
          <w:tcPr>
            <w:tcW w:w="567" w:type="dxa"/>
          </w:tcPr>
          <w:p w14:paraId="66617C9A" w14:textId="77777777" w:rsidR="00AD1F54" w:rsidRPr="00264D5D" w:rsidRDefault="00941227">
            <w:pPr>
              <w:pStyle w:val="GOSTTablenorm"/>
              <w:jc w:val="center"/>
              <w:rPr>
                <w:szCs w:val="22"/>
              </w:rPr>
            </w:pPr>
            <w:r w:rsidRPr="00264D5D">
              <w:rPr>
                <w:szCs w:val="22"/>
              </w:rPr>
              <w:t>Н</w:t>
            </w:r>
          </w:p>
        </w:tc>
        <w:tc>
          <w:tcPr>
            <w:tcW w:w="3964" w:type="dxa"/>
          </w:tcPr>
          <w:p w14:paraId="44F61A4E" w14:textId="77777777" w:rsidR="00AD1F54" w:rsidRPr="00264D5D" w:rsidRDefault="00941227">
            <w:pPr>
              <w:pStyle w:val="GOSTTablenorm"/>
              <w:rPr>
                <w:szCs w:val="22"/>
              </w:rPr>
            </w:pPr>
            <w:r w:rsidRPr="00264D5D">
              <w:rPr>
                <w:szCs w:val="22"/>
              </w:rPr>
              <w:t xml:space="preserve">Указывается ФИО представителя </w:t>
            </w:r>
            <w:r w:rsidRPr="00264D5D">
              <w:rPr>
                <w:szCs w:val="22"/>
              </w:rPr>
              <w:lastRenderedPageBreak/>
              <w:t>организации.</w:t>
            </w:r>
          </w:p>
          <w:p w14:paraId="305BED91" w14:textId="77777777" w:rsidR="00AD1F54" w:rsidRPr="00264D5D" w:rsidRDefault="00941227">
            <w:pPr>
              <w:pStyle w:val="GOSTTablenorm"/>
              <w:rPr>
                <w:szCs w:val="22"/>
              </w:rPr>
            </w:pPr>
            <w:r w:rsidRPr="00264D5D">
              <w:rPr>
                <w:szCs w:val="22"/>
              </w:rPr>
              <w:t>Обязательно для заполнения, если код платежного документа равен «OC».</w:t>
            </w:r>
          </w:p>
          <w:p w14:paraId="51B5953D" w14:textId="77777777" w:rsidR="00AD1F54" w:rsidRPr="00264D5D" w:rsidRDefault="00941227" w:rsidP="00D65AFB">
            <w:pPr>
              <w:spacing w:before="60" w:after="60"/>
              <w:rPr>
                <w:sz w:val="22"/>
                <w:szCs w:val="22"/>
              </w:rPr>
            </w:pPr>
            <w:r w:rsidRPr="00264D5D">
              <w:rPr>
                <w:sz w:val="22"/>
                <w:szCs w:val="22"/>
              </w:rPr>
              <w:t>Используется при информационном взаимодействии по маршру</w:t>
            </w:r>
            <w:r w:rsidR="00D65AFB">
              <w:rPr>
                <w:sz w:val="22"/>
                <w:szCs w:val="22"/>
              </w:rPr>
              <w:t>там ПБС (ПФХД) – ТОФК (ПУР ЭБ)</w:t>
            </w:r>
          </w:p>
        </w:tc>
      </w:tr>
      <w:tr w:rsidR="00AD1F54" w:rsidRPr="00264D5D" w14:paraId="193F1BFD"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6F238F1" w14:textId="77777777" w:rsidR="00AD1F54" w:rsidRPr="00264D5D" w:rsidRDefault="00941227">
            <w:pPr>
              <w:pStyle w:val="GOSTTablenorm"/>
              <w:rPr>
                <w:szCs w:val="22"/>
              </w:rPr>
            </w:pPr>
            <w:r w:rsidRPr="00264D5D">
              <w:rPr>
                <w:szCs w:val="22"/>
              </w:rPr>
              <w:lastRenderedPageBreak/>
              <w:t>Наименование организации</w:t>
            </w:r>
            <w:r w:rsidRPr="00264D5D">
              <w:rPr>
                <w:szCs w:val="22"/>
                <w:lang w:val="en-US"/>
              </w:rPr>
              <w:t>-</w:t>
            </w:r>
            <w:r w:rsidRPr="00264D5D">
              <w:rPr>
                <w:szCs w:val="22"/>
              </w:rPr>
              <w:t>вносителя</w:t>
            </w:r>
          </w:p>
        </w:tc>
        <w:tc>
          <w:tcPr>
            <w:tcW w:w="1701" w:type="dxa"/>
          </w:tcPr>
          <w:p w14:paraId="657F3D7B" w14:textId="77777777" w:rsidR="00AD1F54" w:rsidRPr="00264D5D" w:rsidRDefault="00941227">
            <w:pPr>
              <w:pStyle w:val="GOSTTablenorm"/>
              <w:rPr>
                <w:szCs w:val="22"/>
              </w:rPr>
            </w:pPr>
            <w:r w:rsidRPr="00264D5D">
              <w:rPr>
                <w:rFonts w:eastAsiaTheme="minorHAnsi"/>
                <w:szCs w:val="22"/>
              </w:rPr>
              <w:t>TtlPrt_Contributor_ORGNAME</w:t>
            </w:r>
          </w:p>
        </w:tc>
        <w:tc>
          <w:tcPr>
            <w:tcW w:w="567" w:type="dxa"/>
          </w:tcPr>
          <w:p w14:paraId="5D667FE8" w14:textId="77777777" w:rsidR="00AD1F54" w:rsidRPr="00264D5D" w:rsidRDefault="00941227">
            <w:pPr>
              <w:pStyle w:val="GOSTTablenorm"/>
              <w:jc w:val="center"/>
              <w:rPr>
                <w:szCs w:val="22"/>
              </w:rPr>
            </w:pPr>
            <w:r w:rsidRPr="00264D5D">
              <w:rPr>
                <w:szCs w:val="22"/>
              </w:rPr>
              <w:t>П</w:t>
            </w:r>
          </w:p>
        </w:tc>
        <w:tc>
          <w:tcPr>
            <w:tcW w:w="1134" w:type="dxa"/>
          </w:tcPr>
          <w:p w14:paraId="4045DA85" w14:textId="77777777" w:rsidR="00AD1F54" w:rsidRPr="00264D5D" w:rsidRDefault="00941227">
            <w:pPr>
              <w:pStyle w:val="GOSTTablenorm"/>
              <w:rPr>
                <w:szCs w:val="22"/>
              </w:rPr>
            </w:pPr>
            <w:r w:rsidRPr="00264D5D">
              <w:rPr>
                <w:szCs w:val="22"/>
              </w:rPr>
              <w:t>Т(1-200</w:t>
            </w:r>
            <w:r w:rsidR="00F51521" w:rsidRPr="00264D5D">
              <w:rPr>
                <w:szCs w:val="22"/>
                <w:lang w:val="en-US"/>
              </w:rPr>
              <w:t>0</w:t>
            </w:r>
            <w:r w:rsidRPr="00264D5D">
              <w:rPr>
                <w:szCs w:val="22"/>
              </w:rPr>
              <w:t>)</w:t>
            </w:r>
          </w:p>
        </w:tc>
        <w:tc>
          <w:tcPr>
            <w:tcW w:w="567" w:type="dxa"/>
          </w:tcPr>
          <w:p w14:paraId="52DD0817" w14:textId="77777777" w:rsidR="00AD1F54" w:rsidRPr="00264D5D" w:rsidRDefault="00941227">
            <w:pPr>
              <w:pStyle w:val="GOSTTablenorm"/>
              <w:jc w:val="center"/>
              <w:rPr>
                <w:szCs w:val="22"/>
              </w:rPr>
            </w:pPr>
            <w:r w:rsidRPr="00264D5D">
              <w:rPr>
                <w:szCs w:val="22"/>
              </w:rPr>
              <w:t>Н</w:t>
            </w:r>
          </w:p>
        </w:tc>
        <w:tc>
          <w:tcPr>
            <w:tcW w:w="3964" w:type="dxa"/>
          </w:tcPr>
          <w:p w14:paraId="048C4A27" w14:textId="77777777" w:rsidR="00AD1F54" w:rsidRPr="00264D5D" w:rsidRDefault="00941227">
            <w:pPr>
              <w:pStyle w:val="GOSTTablenorm"/>
              <w:rPr>
                <w:szCs w:val="22"/>
              </w:rPr>
            </w:pPr>
            <w:r w:rsidRPr="00264D5D">
              <w:rPr>
                <w:szCs w:val="22"/>
              </w:rPr>
              <w:t>Указывается наименование организации.</w:t>
            </w:r>
          </w:p>
          <w:p w14:paraId="15056DF2" w14:textId="77777777" w:rsidR="00AD1F54" w:rsidRPr="00264D5D" w:rsidRDefault="00941227">
            <w:pPr>
              <w:pStyle w:val="GOSTTablenorm"/>
              <w:rPr>
                <w:szCs w:val="22"/>
              </w:rPr>
            </w:pPr>
            <w:r w:rsidRPr="00264D5D">
              <w:rPr>
                <w:szCs w:val="22"/>
              </w:rPr>
              <w:t>Обязательно для заполнения, если код платежного документа равен «OC».</w:t>
            </w:r>
          </w:p>
          <w:p w14:paraId="0C57A419" w14:textId="77777777" w:rsidR="00AD1F54" w:rsidRPr="00264D5D" w:rsidRDefault="00941227" w:rsidP="00D65AFB">
            <w:pPr>
              <w:spacing w:before="60" w:after="60"/>
              <w:rPr>
                <w:sz w:val="22"/>
                <w:szCs w:val="22"/>
              </w:rPr>
            </w:pPr>
            <w:r w:rsidRPr="00264D5D">
              <w:rPr>
                <w:sz w:val="22"/>
                <w:szCs w:val="22"/>
              </w:rPr>
              <w:t>Используется при информационном взаимодействии по маршру</w:t>
            </w:r>
            <w:r w:rsidR="00D65AFB">
              <w:rPr>
                <w:sz w:val="22"/>
                <w:szCs w:val="22"/>
              </w:rPr>
              <w:t>там ПБС (ПФХД) – ТОФК (ПУР ЭБ)</w:t>
            </w:r>
          </w:p>
        </w:tc>
      </w:tr>
      <w:tr w:rsidR="00AD1F54" w:rsidRPr="00264D5D" w14:paraId="26F3EEC0"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52188A3" w14:textId="77777777" w:rsidR="00AD1F54" w:rsidRPr="00264D5D" w:rsidRDefault="00941227">
            <w:pPr>
              <w:pStyle w:val="GOSTTablenorm"/>
              <w:rPr>
                <w:szCs w:val="22"/>
              </w:rPr>
            </w:pPr>
            <w:r w:rsidRPr="00264D5D">
              <w:rPr>
                <w:szCs w:val="22"/>
              </w:rPr>
              <w:t>Код по Сводному реестру организации-вносителя</w:t>
            </w:r>
          </w:p>
        </w:tc>
        <w:tc>
          <w:tcPr>
            <w:tcW w:w="1701" w:type="dxa"/>
          </w:tcPr>
          <w:p w14:paraId="128392E2" w14:textId="77777777" w:rsidR="00AD1F54" w:rsidRPr="00264D5D" w:rsidRDefault="00941227">
            <w:pPr>
              <w:pStyle w:val="GOSTTablenorm"/>
              <w:rPr>
                <w:szCs w:val="22"/>
              </w:rPr>
            </w:pPr>
            <w:r w:rsidRPr="00264D5D">
              <w:rPr>
                <w:rFonts w:eastAsiaTheme="minorHAnsi"/>
                <w:szCs w:val="22"/>
              </w:rPr>
              <w:t>TtlPrt_Contributor_ORGCODE</w:t>
            </w:r>
          </w:p>
        </w:tc>
        <w:tc>
          <w:tcPr>
            <w:tcW w:w="567" w:type="dxa"/>
          </w:tcPr>
          <w:p w14:paraId="5CA6AE62" w14:textId="77777777" w:rsidR="00AD1F54" w:rsidRPr="00264D5D" w:rsidRDefault="00941227">
            <w:pPr>
              <w:pStyle w:val="GOSTTablenorm"/>
              <w:jc w:val="center"/>
              <w:rPr>
                <w:szCs w:val="22"/>
              </w:rPr>
            </w:pPr>
            <w:r w:rsidRPr="00264D5D">
              <w:rPr>
                <w:szCs w:val="22"/>
              </w:rPr>
              <w:t>П</w:t>
            </w:r>
          </w:p>
        </w:tc>
        <w:tc>
          <w:tcPr>
            <w:tcW w:w="1134" w:type="dxa"/>
          </w:tcPr>
          <w:p w14:paraId="017CCDFB" w14:textId="77777777" w:rsidR="00AD1F54" w:rsidRPr="00264D5D" w:rsidRDefault="00941227">
            <w:pPr>
              <w:pStyle w:val="GOSTTablenorm"/>
              <w:rPr>
                <w:szCs w:val="22"/>
              </w:rPr>
            </w:pPr>
            <w:r w:rsidRPr="00264D5D">
              <w:rPr>
                <w:szCs w:val="22"/>
              </w:rPr>
              <w:t>Т(8)</w:t>
            </w:r>
          </w:p>
        </w:tc>
        <w:tc>
          <w:tcPr>
            <w:tcW w:w="567" w:type="dxa"/>
          </w:tcPr>
          <w:p w14:paraId="2BF6CAA3" w14:textId="77777777" w:rsidR="00AD1F54" w:rsidRPr="00264D5D" w:rsidRDefault="00941227">
            <w:pPr>
              <w:pStyle w:val="GOSTTablenorm"/>
              <w:jc w:val="center"/>
              <w:rPr>
                <w:szCs w:val="22"/>
              </w:rPr>
            </w:pPr>
            <w:r w:rsidRPr="00264D5D">
              <w:rPr>
                <w:szCs w:val="22"/>
              </w:rPr>
              <w:t>Н</w:t>
            </w:r>
          </w:p>
        </w:tc>
        <w:tc>
          <w:tcPr>
            <w:tcW w:w="3964" w:type="dxa"/>
          </w:tcPr>
          <w:p w14:paraId="35C88863" w14:textId="77777777" w:rsidR="00AD1F54" w:rsidRPr="00264D5D" w:rsidRDefault="00941227">
            <w:pPr>
              <w:pStyle w:val="GOSTTablenorm"/>
              <w:rPr>
                <w:szCs w:val="22"/>
              </w:rPr>
            </w:pPr>
            <w:r w:rsidRPr="00264D5D">
              <w:rPr>
                <w:szCs w:val="22"/>
              </w:rPr>
              <w:t>Указывается код по Сводному реестру.</w:t>
            </w:r>
          </w:p>
          <w:p w14:paraId="692513A5" w14:textId="77777777" w:rsidR="00AD1F54" w:rsidRPr="00264D5D" w:rsidRDefault="00941227">
            <w:pPr>
              <w:pStyle w:val="GOSTTablenorm"/>
              <w:rPr>
                <w:szCs w:val="22"/>
              </w:rPr>
            </w:pPr>
            <w:r w:rsidRPr="00264D5D">
              <w:rPr>
                <w:szCs w:val="22"/>
              </w:rPr>
              <w:t>Обязательно для заполнения, если код платежного документа равен «OC».</w:t>
            </w:r>
          </w:p>
          <w:p w14:paraId="4E6F82A6" w14:textId="77777777" w:rsidR="00AD1F54" w:rsidRPr="00264D5D" w:rsidRDefault="00941227" w:rsidP="00D65AFB">
            <w:pPr>
              <w:spacing w:before="60" w:after="60"/>
              <w:rPr>
                <w:sz w:val="22"/>
                <w:szCs w:val="22"/>
              </w:rPr>
            </w:pPr>
            <w:r w:rsidRPr="00264D5D">
              <w:rPr>
                <w:sz w:val="22"/>
                <w:szCs w:val="22"/>
              </w:rPr>
              <w:t>Используется при информационном взаимодействии по маршру</w:t>
            </w:r>
            <w:r w:rsidR="00D65AFB">
              <w:rPr>
                <w:sz w:val="22"/>
                <w:szCs w:val="22"/>
              </w:rPr>
              <w:t>там ПБС (ПФХД) – ТОФК (ПУР ЭБ)</w:t>
            </w:r>
          </w:p>
        </w:tc>
      </w:tr>
      <w:tr w:rsidR="00AD1F54" w:rsidRPr="00264D5D" w14:paraId="1BA0D1E7"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71B0A6C" w14:textId="77777777" w:rsidR="00AD1F54" w:rsidRPr="00264D5D" w:rsidRDefault="00941227">
            <w:pPr>
              <w:pStyle w:val="GOSTTablenorm"/>
              <w:rPr>
                <w:szCs w:val="22"/>
              </w:rPr>
            </w:pPr>
            <w:r w:rsidRPr="00264D5D">
              <w:rPr>
                <w:szCs w:val="22"/>
              </w:rPr>
              <w:t>Код по ОКПО организации-вносителя</w:t>
            </w:r>
          </w:p>
        </w:tc>
        <w:tc>
          <w:tcPr>
            <w:tcW w:w="1701" w:type="dxa"/>
          </w:tcPr>
          <w:p w14:paraId="636BC6CC" w14:textId="77777777" w:rsidR="00AD1F54" w:rsidRPr="00264D5D" w:rsidRDefault="00941227">
            <w:pPr>
              <w:pStyle w:val="GOSTTablenorm"/>
              <w:rPr>
                <w:szCs w:val="22"/>
              </w:rPr>
            </w:pPr>
            <w:r w:rsidRPr="00264D5D">
              <w:rPr>
                <w:rFonts w:eastAsiaTheme="minorHAnsi"/>
                <w:szCs w:val="22"/>
              </w:rPr>
              <w:t>TtlPrt_Contributor_OKPOCODE</w:t>
            </w:r>
          </w:p>
        </w:tc>
        <w:tc>
          <w:tcPr>
            <w:tcW w:w="567" w:type="dxa"/>
          </w:tcPr>
          <w:p w14:paraId="38B659CD" w14:textId="77777777" w:rsidR="00AD1F54" w:rsidRPr="00264D5D" w:rsidRDefault="00941227">
            <w:pPr>
              <w:pStyle w:val="GOSTTablenorm"/>
              <w:jc w:val="center"/>
              <w:rPr>
                <w:szCs w:val="22"/>
              </w:rPr>
            </w:pPr>
            <w:r w:rsidRPr="00264D5D">
              <w:rPr>
                <w:szCs w:val="22"/>
              </w:rPr>
              <w:t>П</w:t>
            </w:r>
          </w:p>
        </w:tc>
        <w:tc>
          <w:tcPr>
            <w:tcW w:w="1134" w:type="dxa"/>
          </w:tcPr>
          <w:p w14:paraId="469FD135" w14:textId="77777777" w:rsidR="00AD1F54" w:rsidRPr="00264D5D" w:rsidRDefault="00941227">
            <w:pPr>
              <w:pStyle w:val="GOSTTablenorm"/>
              <w:rPr>
                <w:szCs w:val="22"/>
              </w:rPr>
            </w:pPr>
            <w:r w:rsidRPr="00264D5D">
              <w:rPr>
                <w:szCs w:val="22"/>
              </w:rPr>
              <w:t>Т(8)</w:t>
            </w:r>
          </w:p>
        </w:tc>
        <w:tc>
          <w:tcPr>
            <w:tcW w:w="567" w:type="dxa"/>
          </w:tcPr>
          <w:p w14:paraId="7C29BFE2" w14:textId="77777777" w:rsidR="00AD1F54" w:rsidRPr="00264D5D" w:rsidRDefault="00941227">
            <w:pPr>
              <w:pStyle w:val="GOSTTablenorm"/>
              <w:jc w:val="center"/>
              <w:rPr>
                <w:szCs w:val="22"/>
              </w:rPr>
            </w:pPr>
            <w:r w:rsidRPr="00264D5D">
              <w:rPr>
                <w:szCs w:val="22"/>
              </w:rPr>
              <w:t>Н</w:t>
            </w:r>
          </w:p>
        </w:tc>
        <w:tc>
          <w:tcPr>
            <w:tcW w:w="3964" w:type="dxa"/>
          </w:tcPr>
          <w:p w14:paraId="68B334F0" w14:textId="77777777" w:rsidR="00AD1F54" w:rsidRPr="00264D5D" w:rsidRDefault="00941227">
            <w:pPr>
              <w:pStyle w:val="GOSTTablenorm"/>
              <w:rPr>
                <w:szCs w:val="22"/>
              </w:rPr>
            </w:pPr>
            <w:r w:rsidRPr="00264D5D">
              <w:rPr>
                <w:szCs w:val="22"/>
              </w:rPr>
              <w:t>Указывается код по ОКПО организации.</w:t>
            </w:r>
          </w:p>
          <w:p w14:paraId="3E02D47F" w14:textId="77777777" w:rsidR="00AD1F54" w:rsidRPr="00264D5D" w:rsidRDefault="00941227">
            <w:pPr>
              <w:pStyle w:val="GOSTTablenorm"/>
              <w:rPr>
                <w:szCs w:val="22"/>
              </w:rPr>
            </w:pPr>
            <w:r w:rsidRPr="00264D5D">
              <w:rPr>
                <w:szCs w:val="22"/>
              </w:rPr>
              <w:t>Обязательно для заполнения, если код платежного документа равен «OC».</w:t>
            </w:r>
          </w:p>
          <w:p w14:paraId="0D9EE8E7" w14:textId="77777777" w:rsidR="004058D4" w:rsidRPr="00264D5D" w:rsidRDefault="00941227" w:rsidP="004058D4">
            <w:pPr>
              <w:pStyle w:val="GOSTTablenorm"/>
              <w:rPr>
                <w:szCs w:val="22"/>
              </w:rPr>
            </w:pPr>
            <w:r w:rsidRPr="00264D5D">
              <w:rPr>
                <w:szCs w:val="22"/>
              </w:rPr>
              <w:t xml:space="preserve">Используется при информационном взаимодействии по маршрутам ПБС (ПФХД) – ТОФК (ПУР ЭБ), </w:t>
            </w:r>
            <w:r w:rsidR="004058D4" w:rsidRPr="00264D5D">
              <w:rPr>
                <w:szCs w:val="22"/>
              </w:rPr>
              <w:t>НУБП (ПСБ и Росавтодор) – ТОФК.</w:t>
            </w:r>
          </w:p>
          <w:p w14:paraId="24599473" w14:textId="77777777" w:rsidR="00AD1F54" w:rsidRPr="00264D5D" w:rsidRDefault="004058D4" w:rsidP="004058D4">
            <w:pPr>
              <w:spacing w:before="60" w:after="60"/>
              <w:rPr>
                <w:sz w:val="22"/>
                <w:szCs w:val="22"/>
              </w:rPr>
            </w:pPr>
            <w:r w:rsidRPr="00264D5D">
              <w:rPr>
                <w:sz w:val="22"/>
                <w:szCs w:val="22"/>
              </w:rPr>
              <w:t>Для маршрута НУБП (ПСБ и Росавтодор) – ТОФК может не заполняться</w:t>
            </w:r>
          </w:p>
        </w:tc>
      </w:tr>
      <w:tr w:rsidR="00AD1F54" w:rsidRPr="00264D5D" w14:paraId="5A460123"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3A14165" w14:textId="77777777" w:rsidR="00AD1F54" w:rsidRPr="00264D5D" w:rsidRDefault="00941227">
            <w:pPr>
              <w:pStyle w:val="GOSTTablenorm"/>
              <w:rPr>
                <w:szCs w:val="22"/>
              </w:rPr>
            </w:pPr>
            <w:r w:rsidRPr="00264D5D">
              <w:rPr>
                <w:szCs w:val="22"/>
              </w:rPr>
              <w:t>Наименование банка-вносителя</w:t>
            </w:r>
          </w:p>
        </w:tc>
        <w:tc>
          <w:tcPr>
            <w:tcW w:w="1701" w:type="dxa"/>
          </w:tcPr>
          <w:p w14:paraId="5C567530" w14:textId="77777777" w:rsidR="00AD1F54" w:rsidRPr="00264D5D" w:rsidRDefault="00941227">
            <w:pPr>
              <w:pStyle w:val="GOSTTablenorm"/>
              <w:rPr>
                <w:szCs w:val="22"/>
              </w:rPr>
            </w:pPr>
            <w:r w:rsidRPr="00264D5D">
              <w:rPr>
                <w:rFonts w:eastAsiaTheme="minorHAnsi"/>
                <w:szCs w:val="22"/>
              </w:rPr>
              <w:t>TtlPrt_Contributor_BNK_NAME</w:t>
            </w:r>
          </w:p>
        </w:tc>
        <w:tc>
          <w:tcPr>
            <w:tcW w:w="567" w:type="dxa"/>
          </w:tcPr>
          <w:p w14:paraId="7BDAA6CC" w14:textId="77777777" w:rsidR="00AD1F54" w:rsidRPr="00264D5D" w:rsidRDefault="00941227">
            <w:pPr>
              <w:pStyle w:val="GOSTTablenorm"/>
              <w:jc w:val="center"/>
              <w:rPr>
                <w:szCs w:val="22"/>
              </w:rPr>
            </w:pPr>
            <w:r w:rsidRPr="00264D5D">
              <w:rPr>
                <w:szCs w:val="22"/>
              </w:rPr>
              <w:t>П</w:t>
            </w:r>
          </w:p>
        </w:tc>
        <w:tc>
          <w:tcPr>
            <w:tcW w:w="1134" w:type="dxa"/>
          </w:tcPr>
          <w:p w14:paraId="0E3DE3B0" w14:textId="77777777" w:rsidR="00AD1F54" w:rsidRPr="00264D5D" w:rsidRDefault="00941227">
            <w:pPr>
              <w:pStyle w:val="GOSTTablenorm"/>
              <w:rPr>
                <w:szCs w:val="22"/>
              </w:rPr>
            </w:pPr>
            <w:r w:rsidRPr="00264D5D">
              <w:rPr>
                <w:szCs w:val="22"/>
              </w:rPr>
              <w:t>Т(1-160)</w:t>
            </w:r>
          </w:p>
        </w:tc>
        <w:tc>
          <w:tcPr>
            <w:tcW w:w="567" w:type="dxa"/>
          </w:tcPr>
          <w:p w14:paraId="775488E9" w14:textId="77777777" w:rsidR="00AD1F54" w:rsidRPr="00264D5D" w:rsidRDefault="00941227">
            <w:pPr>
              <w:pStyle w:val="GOSTTablenorm"/>
              <w:jc w:val="center"/>
              <w:rPr>
                <w:szCs w:val="22"/>
              </w:rPr>
            </w:pPr>
            <w:r w:rsidRPr="00264D5D">
              <w:rPr>
                <w:szCs w:val="22"/>
              </w:rPr>
              <w:t>Н</w:t>
            </w:r>
          </w:p>
        </w:tc>
        <w:tc>
          <w:tcPr>
            <w:tcW w:w="3964" w:type="dxa"/>
          </w:tcPr>
          <w:p w14:paraId="011558C5" w14:textId="77777777" w:rsidR="00AD1F54" w:rsidRPr="00264D5D" w:rsidRDefault="00941227">
            <w:pPr>
              <w:pStyle w:val="GOSTTablenorm"/>
              <w:rPr>
                <w:szCs w:val="22"/>
              </w:rPr>
            </w:pPr>
            <w:r w:rsidRPr="00264D5D">
              <w:rPr>
                <w:szCs w:val="22"/>
              </w:rPr>
              <w:t>Указывается наименование банка-вносителя.</w:t>
            </w:r>
          </w:p>
          <w:p w14:paraId="2AFB3670" w14:textId="77777777" w:rsidR="00AD1F54" w:rsidRPr="00264D5D" w:rsidRDefault="00941227">
            <w:pPr>
              <w:pStyle w:val="GOSTTablenorm"/>
              <w:rPr>
                <w:szCs w:val="22"/>
              </w:rPr>
            </w:pPr>
            <w:r w:rsidRPr="00264D5D">
              <w:rPr>
                <w:szCs w:val="22"/>
              </w:rPr>
              <w:t>Обязательно для заполнения, если код платежного документа равен «OC».</w:t>
            </w:r>
          </w:p>
          <w:p w14:paraId="02643B5D" w14:textId="77777777" w:rsidR="00AD1F54" w:rsidRPr="00264D5D" w:rsidRDefault="00941227" w:rsidP="00D65AFB">
            <w:pPr>
              <w:spacing w:before="60" w:after="60"/>
              <w:rPr>
                <w:sz w:val="22"/>
                <w:szCs w:val="22"/>
              </w:rPr>
            </w:pPr>
            <w:r w:rsidRPr="00264D5D">
              <w:rPr>
                <w:sz w:val="22"/>
                <w:szCs w:val="22"/>
              </w:rPr>
              <w:t>Используется при информационном взаимодействии по маршру</w:t>
            </w:r>
            <w:r w:rsidR="00D65AFB">
              <w:rPr>
                <w:sz w:val="22"/>
                <w:szCs w:val="22"/>
              </w:rPr>
              <w:t>там ПБС (ПФХД) – ТОФК (ПУР ЭБ)</w:t>
            </w:r>
          </w:p>
        </w:tc>
      </w:tr>
      <w:tr w:rsidR="00AD1F54" w:rsidRPr="00264D5D" w14:paraId="30AF1381"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4AA69391" w14:textId="77777777" w:rsidR="00AD1F54" w:rsidRPr="00264D5D" w:rsidRDefault="00941227">
            <w:pPr>
              <w:pStyle w:val="GOSTTablenorm"/>
              <w:rPr>
                <w:szCs w:val="22"/>
              </w:rPr>
            </w:pPr>
            <w:r w:rsidRPr="00264D5D">
              <w:rPr>
                <w:szCs w:val="22"/>
              </w:rPr>
              <w:t>БИК банка-вносителя</w:t>
            </w:r>
          </w:p>
        </w:tc>
        <w:tc>
          <w:tcPr>
            <w:tcW w:w="1701" w:type="dxa"/>
          </w:tcPr>
          <w:p w14:paraId="7377ED6D" w14:textId="77777777" w:rsidR="00AD1F54" w:rsidRPr="00264D5D" w:rsidRDefault="00941227">
            <w:pPr>
              <w:pStyle w:val="GOSTTablenorm"/>
              <w:rPr>
                <w:szCs w:val="22"/>
              </w:rPr>
            </w:pPr>
            <w:r w:rsidRPr="00264D5D">
              <w:rPr>
                <w:rFonts w:eastAsiaTheme="minorHAnsi"/>
                <w:szCs w:val="22"/>
              </w:rPr>
              <w:t>TtlPrt_Contributor_BNK_BIK</w:t>
            </w:r>
          </w:p>
        </w:tc>
        <w:tc>
          <w:tcPr>
            <w:tcW w:w="567" w:type="dxa"/>
          </w:tcPr>
          <w:p w14:paraId="5ADC60F0" w14:textId="77777777" w:rsidR="00AD1F54" w:rsidRPr="00264D5D" w:rsidRDefault="00941227">
            <w:pPr>
              <w:pStyle w:val="GOSTTablenorm"/>
              <w:jc w:val="center"/>
              <w:rPr>
                <w:szCs w:val="22"/>
              </w:rPr>
            </w:pPr>
            <w:r w:rsidRPr="00264D5D">
              <w:rPr>
                <w:szCs w:val="22"/>
              </w:rPr>
              <w:t>П</w:t>
            </w:r>
          </w:p>
        </w:tc>
        <w:tc>
          <w:tcPr>
            <w:tcW w:w="1134" w:type="dxa"/>
          </w:tcPr>
          <w:p w14:paraId="537FB838" w14:textId="77777777" w:rsidR="00AD1F54" w:rsidRPr="00264D5D" w:rsidRDefault="00941227">
            <w:pPr>
              <w:pStyle w:val="GOSTTablenorm"/>
              <w:rPr>
                <w:szCs w:val="22"/>
              </w:rPr>
            </w:pPr>
            <w:r w:rsidRPr="00264D5D">
              <w:rPr>
                <w:szCs w:val="22"/>
              </w:rPr>
              <w:t>Т(9)</w:t>
            </w:r>
          </w:p>
        </w:tc>
        <w:tc>
          <w:tcPr>
            <w:tcW w:w="567" w:type="dxa"/>
          </w:tcPr>
          <w:p w14:paraId="65CB1ECC" w14:textId="77777777" w:rsidR="00AD1F54" w:rsidRPr="00264D5D" w:rsidRDefault="00941227">
            <w:pPr>
              <w:pStyle w:val="GOSTTablenorm"/>
              <w:jc w:val="center"/>
              <w:rPr>
                <w:szCs w:val="22"/>
              </w:rPr>
            </w:pPr>
            <w:r w:rsidRPr="00264D5D">
              <w:rPr>
                <w:szCs w:val="22"/>
              </w:rPr>
              <w:t>Н</w:t>
            </w:r>
          </w:p>
        </w:tc>
        <w:tc>
          <w:tcPr>
            <w:tcW w:w="3964" w:type="dxa"/>
          </w:tcPr>
          <w:p w14:paraId="3C696BE0" w14:textId="77777777" w:rsidR="00AD1F54" w:rsidRPr="00264D5D" w:rsidRDefault="00941227">
            <w:pPr>
              <w:pStyle w:val="GOSTTablenorm"/>
              <w:rPr>
                <w:szCs w:val="22"/>
              </w:rPr>
            </w:pPr>
            <w:r w:rsidRPr="00264D5D">
              <w:rPr>
                <w:szCs w:val="22"/>
              </w:rPr>
              <w:t>Указывается БИК банка-вносителя.</w:t>
            </w:r>
          </w:p>
          <w:p w14:paraId="335C3C34" w14:textId="77777777" w:rsidR="00AD1F54" w:rsidRPr="00264D5D" w:rsidRDefault="00941227">
            <w:pPr>
              <w:pStyle w:val="GOSTTablenorm"/>
              <w:rPr>
                <w:szCs w:val="22"/>
              </w:rPr>
            </w:pPr>
            <w:r w:rsidRPr="00264D5D">
              <w:rPr>
                <w:szCs w:val="22"/>
              </w:rPr>
              <w:t>Обязательно для заполнения, если код платежного документа равен «OC».</w:t>
            </w:r>
          </w:p>
          <w:p w14:paraId="747E69D5" w14:textId="77777777" w:rsidR="00AD1F54" w:rsidRPr="00264D5D" w:rsidRDefault="00941227" w:rsidP="00D65AFB">
            <w:pPr>
              <w:spacing w:before="60" w:after="60"/>
              <w:rPr>
                <w:sz w:val="22"/>
                <w:szCs w:val="22"/>
              </w:rPr>
            </w:pPr>
            <w:r w:rsidRPr="00264D5D">
              <w:rPr>
                <w:sz w:val="22"/>
                <w:szCs w:val="22"/>
              </w:rPr>
              <w:t xml:space="preserve">Используется при информационном взаимодействии по маршрутам ПБС </w:t>
            </w:r>
            <w:r w:rsidR="00D65AFB">
              <w:rPr>
                <w:sz w:val="22"/>
                <w:szCs w:val="22"/>
              </w:rPr>
              <w:lastRenderedPageBreak/>
              <w:t>(ПФХД) – ТОФК (ПУР ЭБ)</w:t>
            </w:r>
          </w:p>
        </w:tc>
      </w:tr>
      <w:tr w:rsidR="00AD1F54" w:rsidRPr="00264D5D" w14:paraId="5FCED791"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78C10E8" w14:textId="77777777" w:rsidR="00AD1F54" w:rsidRPr="00264D5D" w:rsidRDefault="00941227">
            <w:pPr>
              <w:pStyle w:val="GOSTTablenorm"/>
              <w:rPr>
                <w:szCs w:val="22"/>
              </w:rPr>
            </w:pPr>
            <w:r w:rsidRPr="00264D5D">
              <w:rPr>
                <w:szCs w:val="22"/>
              </w:rPr>
              <w:lastRenderedPageBreak/>
              <w:t>Номер банковского счета банка-вносителя</w:t>
            </w:r>
          </w:p>
        </w:tc>
        <w:tc>
          <w:tcPr>
            <w:tcW w:w="1701" w:type="dxa"/>
          </w:tcPr>
          <w:p w14:paraId="63717456" w14:textId="77777777" w:rsidR="00AD1F54" w:rsidRPr="00264D5D" w:rsidRDefault="00941227">
            <w:pPr>
              <w:pStyle w:val="GOSTTablenorm"/>
              <w:rPr>
                <w:szCs w:val="22"/>
              </w:rPr>
            </w:pPr>
            <w:r w:rsidRPr="00264D5D">
              <w:rPr>
                <w:rFonts w:eastAsiaTheme="minorHAnsi"/>
                <w:szCs w:val="22"/>
              </w:rPr>
              <w:t>TtlPrt_Contributor_BNK_ACCNUM</w:t>
            </w:r>
          </w:p>
        </w:tc>
        <w:tc>
          <w:tcPr>
            <w:tcW w:w="567" w:type="dxa"/>
          </w:tcPr>
          <w:p w14:paraId="12890234" w14:textId="77777777" w:rsidR="00AD1F54" w:rsidRPr="00264D5D" w:rsidRDefault="00941227">
            <w:pPr>
              <w:pStyle w:val="GOSTTablenorm"/>
              <w:jc w:val="center"/>
              <w:rPr>
                <w:szCs w:val="22"/>
              </w:rPr>
            </w:pPr>
            <w:r w:rsidRPr="00264D5D">
              <w:rPr>
                <w:szCs w:val="22"/>
              </w:rPr>
              <w:t>П</w:t>
            </w:r>
          </w:p>
        </w:tc>
        <w:tc>
          <w:tcPr>
            <w:tcW w:w="1134" w:type="dxa"/>
          </w:tcPr>
          <w:p w14:paraId="2D263B24" w14:textId="77777777" w:rsidR="00AD1F54" w:rsidRPr="00264D5D" w:rsidRDefault="00941227">
            <w:pPr>
              <w:pStyle w:val="GOSTTablenorm"/>
              <w:rPr>
                <w:szCs w:val="22"/>
              </w:rPr>
            </w:pPr>
            <w:r w:rsidRPr="00264D5D">
              <w:rPr>
                <w:szCs w:val="22"/>
              </w:rPr>
              <w:t>Т(20)</w:t>
            </w:r>
          </w:p>
        </w:tc>
        <w:tc>
          <w:tcPr>
            <w:tcW w:w="567" w:type="dxa"/>
          </w:tcPr>
          <w:p w14:paraId="2EB79B09" w14:textId="77777777" w:rsidR="00AD1F54" w:rsidRPr="00264D5D" w:rsidRDefault="00941227">
            <w:pPr>
              <w:pStyle w:val="GOSTTablenorm"/>
              <w:jc w:val="center"/>
              <w:rPr>
                <w:szCs w:val="22"/>
              </w:rPr>
            </w:pPr>
            <w:r w:rsidRPr="00264D5D">
              <w:rPr>
                <w:szCs w:val="22"/>
              </w:rPr>
              <w:t>Н</w:t>
            </w:r>
          </w:p>
        </w:tc>
        <w:tc>
          <w:tcPr>
            <w:tcW w:w="3964" w:type="dxa"/>
          </w:tcPr>
          <w:p w14:paraId="54C382A2" w14:textId="77777777" w:rsidR="00AD1F54" w:rsidRPr="00264D5D" w:rsidRDefault="00941227">
            <w:pPr>
              <w:pStyle w:val="GOSTTablenorm"/>
              <w:rPr>
                <w:szCs w:val="22"/>
              </w:rPr>
            </w:pPr>
            <w:r w:rsidRPr="00264D5D">
              <w:rPr>
                <w:szCs w:val="22"/>
              </w:rPr>
              <w:t xml:space="preserve">Указывается Номер банковского счета банка-вносителя. </w:t>
            </w:r>
          </w:p>
          <w:p w14:paraId="6B775CF0" w14:textId="77777777" w:rsidR="00AD1F54" w:rsidRPr="00264D5D" w:rsidRDefault="00941227">
            <w:pPr>
              <w:pStyle w:val="GOSTTablenorm"/>
              <w:rPr>
                <w:szCs w:val="22"/>
              </w:rPr>
            </w:pPr>
            <w:r w:rsidRPr="00264D5D">
              <w:rPr>
                <w:szCs w:val="22"/>
              </w:rPr>
              <w:t>Обязательно для заполнения, если код платежного документа равен «OC».</w:t>
            </w:r>
          </w:p>
          <w:p w14:paraId="5D354617" w14:textId="77777777" w:rsidR="00AD1F54" w:rsidRPr="00264D5D" w:rsidRDefault="00941227" w:rsidP="00D65AFB">
            <w:pPr>
              <w:spacing w:before="60" w:after="60"/>
              <w:rPr>
                <w:sz w:val="22"/>
                <w:szCs w:val="22"/>
              </w:rPr>
            </w:pPr>
            <w:r w:rsidRPr="00264D5D">
              <w:rPr>
                <w:sz w:val="22"/>
                <w:szCs w:val="22"/>
              </w:rPr>
              <w:t>Используется при информационном взаимодействии по маршру</w:t>
            </w:r>
            <w:r w:rsidR="00D65AFB">
              <w:rPr>
                <w:sz w:val="22"/>
                <w:szCs w:val="22"/>
              </w:rPr>
              <w:t>там ПБС (ПФХД) – ТОФК (ПУР ЭБ)</w:t>
            </w:r>
          </w:p>
        </w:tc>
      </w:tr>
      <w:tr w:rsidR="00AD1F54" w:rsidRPr="00264D5D" w14:paraId="6FBBCD45" w14:textId="77777777" w:rsidTr="00AD1F54">
        <w:trPr>
          <w:cnfStyle w:val="000000010000" w:firstRow="0" w:lastRow="0" w:firstColumn="0" w:lastColumn="0" w:oddVBand="0" w:evenVBand="0" w:oddHBand="0" w:evenHBand="1" w:firstRowFirstColumn="0" w:firstRowLastColumn="0" w:lastRowFirstColumn="0" w:lastRowLastColumn="0"/>
        </w:trPr>
        <w:tc>
          <w:tcPr>
            <w:tcW w:w="9634" w:type="dxa"/>
            <w:gridSpan w:val="6"/>
          </w:tcPr>
          <w:p w14:paraId="1D30AF25" w14:textId="77777777" w:rsidR="00AD1F54" w:rsidRPr="00264D5D" w:rsidRDefault="00941227">
            <w:pPr>
              <w:spacing w:before="60" w:after="60"/>
              <w:rPr>
                <w:sz w:val="22"/>
                <w:szCs w:val="22"/>
              </w:rPr>
            </w:pPr>
            <w:r w:rsidRPr="00264D5D">
              <w:rPr>
                <w:b/>
                <w:bCs/>
                <w:sz w:val="22"/>
                <w:szCs w:val="22"/>
              </w:rPr>
              <w:t>Информация о номиналах</w:t>
            </w:r>
          </w:p>
        </w:tc>
      </w:tr>
      <w:tr w:rsidR="00AD1F54" w:rsidRPr="00264D5D" w14:paraId="636D29BF"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2BEBE10" w14:textId="77777777" w:rsidR="00AD1F54" w:rsidRPr="00264D5D" w:rsidRDefault="00941227">
            <w:pPr>
              <w:pStyle w:val="GOSTTablenorm"/>
              <w:rPr>
                <w:szCs w:val="22"/>
              </w:rPr>
            </w:pPr>
            <w:r w:rsidRPr="00264D5D">
              <w:rPr>
                <w:szCs w:val="22"/>
              </w:rPr>
              <w:t>Информация о номиналах</w:t>
            </w:r>
          </w:p>
        </w:tc>
        <w:tc>
          <w:tcPr>
            <w:tcW w:w="1701" w:type="dxa"/>
          </w:tcPr>
          <w:p w14:paraId="3A8E382A" w14:textId="77777777" w:rsidR="00AD1F54" w:rsidRPr="00264D5D" w:rsidRDefault="00941227">
            <w:pPr>
              <w:pStyle w:val="GOSTTablenorm"/>
              <w:rPr>
                <w:szCs w:val="22"/>
              </w:rPr>
            </w:pPr>
            <w:r w:rsidRPr="00264D5D">
              <w:rPr>
                <w:rFonts w:eastAsiaTheme="minorHAnsi"/>
                <w:szCs w:val="22"/>
              </w:rPr>
              <w:t>NominalInfo</w:t>
            </w:r>
          </w:p>
        </w:tc>
        <w:tc>
          <w:tcPr>
            <w:tcW w:w="567" w:type="dxa"/>
          </w:tcPr>
          <w:p w14:paraId="7D0D809D" w14:textId="77777777" w:rsidR="00AD1F54" w:rsidRPr="00264D5D" w:rsidRDefault="00941227">
            <w:pPr>
              <w:pStyle w:val="GOSTTablenorm"/>
              <w:jc w:val="center"/>
              <w:rPr>
                <w:szCs w:val="22"/>
              </w:rPr>
            </w:pPr>
            <w:r w:rsidRPr="00264D5D">
              <w:rPr>
                <w:szCs w:val="22"/>
              </w:rPr>
              <w:t>С</w:t>
            </w:r>
          </w:p>
        </w:tc>
        <w:tc>
          <w:tcPr>
            <w:tcW w:w="1134" w:type="dxa"/>
          </w:tcPr>
          <w:p w14:paraId="0A0C13AE" w14:textId="77777777" w:rsidR="00AD1F54" w:rsidRPr="00264D5D" w:rsidRDefault="00941227">
            <w:pPr>
              <w:pStyle w:val="GOSTTablenorm"/>
              <w:rPr>
                <w:szCs w:val="22"/>
              </w:rPr>
            </w:pPr>
            <w:r w:rsidRPr="00264D5D">
              <w:rPr>
                <w:rFonts w:eastAsiaTheme="minorHAnsi"/>
                <w:szCs w:val="22"/>
              </w:rPr>
              <w:t>tNominalInfo</w:t>
            </w:r>
          </w:p>
        </w:tc>
        <w:tc>
          <w:tcPr>
            <w:tcW w:w="567" w:type="dxa"/>
          </w:tcPr>
          <w:p w14:paraId="0C5BAB71" w14:textId="77777777" w:rsidR="00AD1F54" w:rsidRPr="00264D5D" w:rsidRDefault="00941227">
            <w:pPr>
              <w:pStyle w:val="GOSTTablenorm"/>
              <w:jc w:val="center"/>
              <w:rPr>
                <w:szCs w:val="22"/>
              </w:rPr>
            </w:pPr>
            <w:r w:rsidRPr="00264D5D">
              <w:rPr>
                <w:szCs w:val="22"/>
              </w:rPr>
              <w:t>Н</w:t>
            </w:r>
          </w:p>
        </w:tc>
        <w:tc>
          <w:tcPr>
            <w:tcW w:w="3964" w:type="dxa"/>
          </w:tcPr>
          <w:p w14:paraId="33CCCE7D" w14:textId="7BB0D491" w:rsidR="00AD1F54" w:rsidRPr="00264D5D" w:rsidRDefault="00941227">
            <w:pPr>
              <w:pStyle w:val="GOSTTablenorm"/>
              <w:rPr>
                <w:szCs w:val="22"/>
              </w:rPr>
            </w:pPr>
            <w:r w:rsidRPr="00264D5D">
              <w:rPr>
                <w:szCs w:val="22"/>
              </w:rPr>
              <w:t xml:space="preserve">Состав элемента представлен в таблице </w:t>
            </w:r>
            <w:r w:rsidRPr="00264D5D">
              <w:rPr>
                <w:szCs w:val="22"/>
              </w:rPr>
              <w:fldChar w:fldCharType="begin"/>
            </w:r>
            <w:r w:rsidRPr="00264D5D">
              <w:rPr>
                <w:szCs w:val="22"/>
              </w:rPr>
              <w:instrText xml:space="preserve"> REF _Ref129774100 \h  \* MERGEFORMAT </w:instrText>
            </w:r>
            <w:r w:rsidRPr="00264D5D">
              <w:rPr>
                <w:szCs w:val="22"/>
              </w:rPr>
            </w:r>
            <w:r w:rsidRPr="00264D5D">
              <w:rPr>
                <w:szCs w:val="22"/>
              </w:rPr>
              <w:fldChar w:fldCharType="separate"/>
            </w:r>
            <w:r w:rsidR="008D797C" w:rsidRPr="008D797C">
              <w:rPr>
                <w:b/>
                <w:bCs/>
                <w:szCs w:val="22"/>
              </w:rPr>
              <w:t>267</w:t>
            </w:r>
            <w:r w:rsidRPr="00264D5D">
              <w:rPr>
                <w:szCs w:val="22"/>
              </w:rPr>
              <w:fldChar w:fldCharType="end"/>
            </w:r>
          </w:p>
          <w:p w14:paraId="531A7357" w14:textId="77777777" w:rsidR="00AD1F54" w:rsidRPr="00264D5D" w:rsidRDefault="00941227">
            <w:pPr>
              <w:pStyle w:val="GOSTTablenorm"/>
              <w:rPr>
                <w:szCs w:val="22"/>
              </w:rPr>
            </w:pPr>
            <w:r w:rsidRPr="00264D5D">
              <w:rPr>
                <w:szCs w:val="22"/>
              </w:rPr>
              <w:t>Может быть заполнено, если код платежного документа равен «OC».</w:t>
            </w:r>
          </w:p>
          <w:p w14:paraId="38C7B9F5" w14:textId="77777777" w:rsidR="009169AF" w:rsidRPr="00264D5D" w:rsidRDefault="009169AF" w:rsidP="009169AF">
            <w:pPr>
              <w:pStyle w:val="GOSTTablenorm"/>
              <w:rPr>
                <w:szCs w:val="22"/>
              </w:rPr>
            </w:pPr>
            <w:r w:rsidRPr="00264D5D">
              <w:rPr>
                <w:szCs w:val="22"/>
              </w:rPr>
              <w:t>Не заполняется при осуществлении операций в иностранной валюте.</w:t>
            </w:r>
          </w:p>
          <w:p w14:paraId="6135AE50" w14:textId="77777777" w:rsidR="00AD1F54" w:rsidRPr="00264D5D" w:rsidRDefault="00941227" w:rsidP="00D65AFB">
            <w:pPr>
              <w:spacing w:before="60" w:after="60"/>
              <w:rPr>
                <w:sz w:val="22"/>
                <w:szCs w:val="22"/>
              </w:rPr>
            </w:pPr>
            <w:r w:rsidRPr="00264D5D">
              <w:rPr>
                <w:sz w:val="22"/>
                <w:szCs w:val="22"/>
              </w:rPr>
              <w:t>Используется при информационном взаимодействии по маршру</w:t>
            </w:r>
            <w:r w:rsidR="00D65AFB">
              <w:rPr>
                <w:sz w:val="22"/>
                <w:szCs w:val="22"/>
              </w:rPr>
              <w:t>там ПБС (ПФХД) – ТОФК (ПУР ЭБ)</w:t>
            </w:r>
          </w:p>
        </w:tc>
      </w:tr>
      <w:tr w:rsidR="00AD1F54" w:rsidRPr="00264D5D" w14:paraId="64387926" w14:textId="77777777" w:rsidTr="00AD1F54">
        <w:trPr>
          <w:cnfStyle w:val="000000010000" w:firstRow="0" w:lastRow="0" w:firstColumn="0" w:lastColumn="0" w:oddVBand="0" w:evenVBand="0" w:oddHBand="0" w:evenHBand="1" w:firstRowFirstColumn="0" w:firstRowLastColumn="0" w:lastRowFirstColumn="0" w:lastRowLastColumn="0"/>
        </w:trPr>
        <w:tc>
          <w:tcPr>
            <w:tcW w:w="9634" w:type="dxa"/>
            <w:gridSpan w:val="6"/>
          </w:tcPr>
          <w:p w14:paraId="6DE779CC" w14:textId="77777777" w:rsidR="00AD1F54" w:rsidRPr="00264D5D" w:rsidRDefault="00941227">
            <w:pPr>
              <w:spacing w:before="60" w:after="60"/>
              <w:rPr>
                <w:sz w:val="22"/>
                <w:szCs w:val="22"/>
              </w:rPr>
            </w:pPr>
            <w:r w:rsidRPr="00264D5D">
              <w:rPr>
                <w:b/>
                <w:sz w:val="22"/>
                <w:szCs w:val="22"/>
              </w:rPr>
              <w:t>Подписи</w:t>
            </w:r>
          </w:p>
        </w:tc>
      </w:tr>
      <w:tr w:rsidR="00AD1F54" w:rsidRPr="00264D5D" w14:paraId="01F3BC7C"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58C9253" w14:textId="77777777" w:rsidR="00AD1F54" w:rsidRPr="00264D5D" w:rsidRDefault="00941227">
            <w:pPr>
              <w:pStyle w:val="GOSTTablenorm"/>
              <w:rPr>
                <w:i/>
                <w:szCs w:val="22"/>
              </w:rPr>
            </w:pPr>
            <w:r w:rsidRPr="00264D5D">
              <w:rPr>
                <w:szCs w:val="22"/>
              </w:rPr>
              <w:t>Должность ответственного исполнителя</w:t>
            </w:r>
          </w:p>
        </w:tc>
        <w:tc>
          <w:tcPr>
            <w:tcW w:w="1701" w:type="dxa"/>
          </w:tcPr>
          <w:p w14:paraId="5CD66D17" w14:textId="77777777" w:rsidR="00AD1F54" w:rsidRPr="00264D5D" w:rsidRDefault="00941227">
            <w:pPr>
              <w:pStyle w:val="GOSTTablenorm"/>
              <w:rPr>
                <w:szCs w:val="22"/>
              </w:rPr>
            </w:pPr>
            <w:r w:rsidRPr="00264D5D">
              <w:rPr>
                <w:szCs w:val="22"/>
              </w:rPr>
              <w:t>Sgn_Exec_Post</w:t>
            </w:r>
          </w:p>
        </w:tc>
        <w:tc>
          <w:tcPr>
            <w:tcW w:w="567" w:type="dxa"/>
          </w:tcPr>
          <w:p w14:paraId="2923FD9F" w14:textId="77777777" w:rsidR="00AD1F54" w:rsidRPr="00264D5D" w:rsidRDefault="00941227">
            <w:pPr>
              <w:pStyle w:val="GOSTTablenorm"/>
              <w:jc w:val="center"/>
              <w:rPr>
                <w:szCs w:val="22"/>
              </w:rPr>
            </w:pPr>
            <w:r w:rsidRPr="00264D5D">
              <w:rPr>
                <w:szCs w:val="22"/>
              </w:rPr>
              <w:t>П</w:t>
            </w:r>
          </w:p>
        </w:tc>
        <w:tc>
          <w:tcPr>
            <w:tcW w:w="1134" w:type="dxa"/>
          </w:tcPr>
          <w:p w14:paraId="64C596AC" w14:textId="77777777" w:rsidR="00AD1F54" w:rsidRPr="00264D5D" w:rsidRDefault="00941227">
            <w:pPr>
              <w:pStyle w:val="GOSTTablenorm"/>
              <w:rPr>
                <w:szCs w:val="22"/>
              </w:rPr>
            </w:pPr>
            <w:r w:rsidRPr="00264D5D">
              <w:rPr>
                <w:szCs w:val="22"/>
                <w:lang w:val="en-US"/>
              </w:rPr>
              <w:t>T(1-100)</w:t>
            </w:r>
          </w:p>
        </w:tc>
        <w:tc>
          <w:tcPr>
            <w:tcW w:w="567" w:type="dxa"/>
          </w:tcPr>
          <w:p w14:paraId="0B32437E" w14:textId="77777777" w:rsidR="00AD1F54" w:rsidRPr="00264D5D" w:rsidRDefault="00941227">
            <w:pPr>
              <w:pStyle w:val="GOSTTablenorm"/>
              <w:jc w:val="center"/>
              <w:rPr>
                <w:szCs w:val="22"/>
              </w:rPr>
            </w:pPr>
            <w:r w:rsidRPr="00264D5D">
              <w:rPr>
                <w:szCs w:val="22"/>
              </w:rPr>
              <w:t>Н</w:t>
            </w:r>
          </w:p>
        </w:tc>
        <w:tc>
          <w:tcPr>
            <w:tcW w:w="3964" w:type="dxa"/>
          </w:tcPr>
          <w:p w14:paraId="2253E7AE" w14:textId="77777777" w:rsidR="00AD1F54" w:rsidRPr="00264D5D" w:rsidRDefault="00941227">
            <w:pPr>
              <w:pStyle w:val="GOSTTablenorm"/>
              <w:rPr>
                <w:szCs w:val="22"/>
              </w:rPr>
            </w:pPr>
            <w:r w:rsidRPr="00264D5D">
              <w:rPr>
                <w:szCs w:val="22"/>
              </w:rPr>
              <w:t>Указывается должность ответственного исполнителя.</w:t>
            </w:r>
          </w:p>
          <w:p w14:paraId="07EBCCD1" w14:textId="77777777" w:rsidR="00AD1F54" w:rsidRPr="00264D5D" w:rsidRDefault="00941227">
            <w:pPr>
              <w:pStyle w:val="GOSTTablenorm"/>
              <w:rPr>
                <w:szCs w:val="22"/>
              </w:rPr>
            </w:pPr>
            <w:r w:rsidRPr="00264D5D">
              <w:rPr>
                <w:szCs w:val="22"/>
              </w:rPr>
              <w:t>Обязательно для заполнения, если код платежного документа равен «OC».</w:t>
            </w:r>
          </w:p>
          <w:p w14:paraId="7C1D0FCA" w14:textId="77777777" w:rsidR="00AD1F54" w:rsidRPr="00264D5D" w:rsidRDefault="00941227" w:rsidP="00D65AFB">
            <w:pPr>
              <w:spacing w:before="60" w:after="60"/>
              <w:rPr>
                <w:sz w:val="22"/>
                <w:szCs w:val="22"/>
              </w:rPr>
            </w:pPr>
            <w:r w:rsidRPr="00264D5D">
              <w:rPr>
                <w:sz w:val="22"/>
                <w:szCs w:val="22"/>
              </w:rPr>
              <w:t>Используется при информационном взаимодействии по маршру</w:t>
            </w:r>
            <w:r w:rsidR="00D65AFB">
              <w:rPr>
                <w:sz w:val="22"/>
                <w:szCs w:val="22"/>
              </w:rPr>
              <w:t>там ПБС (ПФХД) – ТОФК (ПУР ЭБ)</w:t>
            </w:r>
          </w:p>
        </w:tc>
      </w:tr>
      <w:tr w:rsidR="00AD1F54" w:rsidRPr="00264D5D" w14:paraId="12A42403"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E929D83" w14:textId="77777777" w:rsidR="00AD1F54" w:rsidRPr="00264D5D" w:rsidRDefault="00941227">
            <w:pPr>
              <w:pStyle w:val="GOSTTablenorm"/>
              <w:rPr>
                <w:color w:val="000000"/>
                <w:szCs w:val="22"/>
              </w:rPr>
            </w:pPr>
            <w:r w:rsidRPr="00264D5D">
              <w:rPr>
                <w:szCs w:val="22"/>
              </w:rPr>
              <w:t>ФИО ответственного исполнителя</w:t>
            </w:r>
          </w:p>
        </w:tc>
        <w:tc>
          <w:tcPr>
            <w:tcW w:w="1701" w:type="dxa"/>
          </w:tcPr>
          <w:p w14:paraId="59B19AD5" w14:textId="77777777" w:rsidR="00AD1F54" w:rsidRPr="00264D5D" w:rsidRDefault="00941227">
            <w:pPr>
              <w:pStyle w:val="GOSTTablenorm"/>
              <w:rPr>
                <w:szCs w:val="22"/>
              </w:rPr>
            </w:pPr>
            <w:r w:rsidRPr="00264D5D">
              <w:rPr>
                <w:szCs w:val="22"/>
              </w:rPr>
              <w:t>Sgn_Exec_FIO</w:t>
            </w:r>
          </w:p>
        </w:tc>
        <w:tc>
          <w:tcPr>
            <w:tcW w:w="567" w:type="dxa"/>
          </w:tcPr>
          <w:p w14:paraId="0D8DD20C" w14:textId="77777777" w:rsidR="00AD1F54" w:rsidRPr="00264D5D" w:rsidRDefault="00941227">
            <w:pPr>
              <w:pStyle w:val="GOSTTablenorm"/>
              <w:jc w:val="center"/>
              <w:rPr>
                <w:szCs w:val="22"/>
              </w:rPr>
            </w:pPr>
            <w:r w:rsidRPr="00264D5D">
              <w:rPr>
                <w:szCs w:val="22"/>
              </w:rPr>
              <w:t>П</w:t>
            </w:r>
          </w:p>
        </w:tc>
        <w:tc>
          <w:tcPr>
            <w:tcW w:w="1134" w:type="dxa"/>
          </w:tcPr>
          <w:p w14:paraId="14BFC2B8" w14:textId="77777777" w:rsidR="00AD1F54" w:rsidRPr="00264D5D" w:rsidRDefault="00941227">
            <w:pPr>
              <w:pStyle w:val="GOSTTablenorm"/>
              <w:rPr>
                <w:szCs w:val="22"/>
                <w:lang w:val="en-US"/>
              </w:rPr>
            </w:pPr>
            <w:r w:rsidRPr="00264D5D">
              <w:rPr>
                <w:szCs w:val="22"/>
                <w:lang w:val="en-US"/>
              </w:rPr>
              <w:t>T(1-50)</w:t>
            </w:r>
          </w:p>
        </w:tc>
        <w:tc>
          <w:tcPr>
            <w:tcW w:w="567" w:type="dxa"/>
          </w:tcPr>
          <w:p w14:paraId="1B9DD4B4" w14:textId="77777777" w:rsidR="00AD1F54" w:rsidRPr="00264D5D" w:rsidRDefault="00941227">
            <w:pPr>
              <w:pStyle w:val="GOSTTablenorm"/>
              <w:jc w:val="center"/>
              <w:rPr>
                <w:szCs w:val="22"/>
              </w:rPr>
            </w:pPr>
            <w:r w:rsidRPr="00264D5D">
              <w:rPr>
                <w:szCs w:val="22"/>
              </w:rPr>
              <w:t>Н</w:t>
            </w:r>
          </w:p>
        </w:tc>
        <w:tc>
          <w:tcPr>
            <w:tcW w:w="3964" w:type="dxa"/>
          </w:tcPr>
          <w:p w14:paraId="10F5B84A" w14:textId="77777777" w:rsidR="00AD1F54" w:rsidRPr="00264D5D" w:rsidRDefault="00941227">
            <w:pPr>
              <w:pStyle w:val="GOSTTablenorm"/>
              <w:rPr>
                <w:szCs w:val="22"/>
              </w:rPr>
            </w:pPr>
            <w:r w:rsidRPr="00264D5D">
              <w:rPr>
                <w:szCs w:val="22"/>
              </w:rPr>
              <w:t>Указывается ФИО ответственного исполнителя.</w:t>
            </w:r>
          </w:p>
          <w:p w14:paraId="3DAB9984" w14:textId="77777777" w:rsidR="00AD1F54" w:rsidRPr="00264D5D" w:rsidRDefault="00941227">
            <w:pPr>
              <w:pStyle w:val="GOSTTablenorm"/>
              <w:rPr>
                <w:szCs w:val="22"/>
              </w:rPr>
            </w:pPr>
            <w:r w:rsidRPr="00264D5D">
              <w:rPr>
                <w:szCs w:val="22"/>
              </w:rPr>
              <w:t>Обязательно для заполнения, если код платежного документа равен «OC».</w:t>
            </w:r>
          </w:p>
          <w:p w14:paraId="7B2D445A" w14:textId="77777777" w:rsidR="00AD1F54" w:rsidRPr="00264D5D" w:rsidRDefault="00941227" w:rsidP="00D65AFB">
            <w:pPr>
              <w:spacing w:before="60" w:after="60"/>
              <w:rPr>
                <w:sz w:val="22"/>
                <w:szCs w:val="22"/>
              </w:rPr>
            </w:pPr>
            <w:r w:rsidRPr="00264D5D">
              <w:rPr>
                <w:sz w:val="22"/>
                <w:szCs w:val="22"/>
              </w:rPr>
              <w:t>Используется при информационном взаимодействии по маршру</w:t>
            </w:r>
            <w:r w:rsidR="00D65AFB">
              <w:rPr>
                <w:sz w:val="22"/>
                <w:szCs w:val="22"/>
              </w:rPr>
              <w:t>там ПБС (ПФХД) – ТОФК (ПУР ЭБ)</w:t>
            </w:r>
          </w:p>
        </w:tc>
      </w:tr>
      <w:tr w:rsidR="00AD1F54" w:rsidRPr="00264D5D" w14:paraId="620BBBA7"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E064F8C" w14:textId="77777777" w:rsidR="00AD1F54" w:rsidRPr="00264D5D" w:rsidRDefault="00941227">
            <w:pPr>
              <w:pStyle w:val="GOSTTablenorm"/>
              <w:rPr>
                <w:color w:val="000000"/>
                <w:szCs w:val="22"/>
              </w:rPr>
            </w:pPr>
            <w:r w:rsidRPr="00264D5D">
              <w:rPr>
                <w:color w:val="000000"/>
                <w:szCs w:val="22"/>
              </w:rPr>
              <w:t>Руководитель (уполномоченное лицо)</w:t>
            </w:r>
          </w:p>
        </w:tc>
        <w:tc>
          <w:tcPr>
            <w:tcW w:w="1701" w:type="dxa"/>
          </w:tcPr>
          <w:p w14:paraId="13267A24" w14:textId="77777777" w:rsidR="00AD1F54" w:rsidRPr="00264D5D" w:rsidRDefault="00941227">
            <w:pPr>
              <w:pStyle w:val="GOSTTablenorm"/>
              <w:rPr>
                <w:szCs w:val="22"/>
              </w:rPr>
            </w:pPr>
            <w:r w:rsidRPr="00264D5D">
              <w:rPr>
                <w:szCs w:val="22"/>
              </w:rPr>
              <w:t>Sgn_SgnHr</w:t>
            </w:r>
          </w:p>
        </w:tc>
        <w:tc>
          <w:tcPr>
            <w:tcW w:w="567" w:type="dxa"/>
          </w:tcPr>
          <w:p w14:paraId="4628671B" w14:textId="77777777" w:rsidR="00AD1F54" w:rsidRPr="00264D5D" w:rsidRDefault="00941227">
            <w:pPr>
              <w:pStyle w:val="GOSTTablenorm"/>
              <w:jc w:val="center"/>
              <w:rPr>
                <w:szCs w:val="22"/>
              </w:rPr>
            </w:pPr>
            <w:r w:rsidRPr="00264D5D">
              <w:rPr>
                <w:szCs w:val="22"/>
              </w:rPr>
              <w:t>С</w:t>
            </w:r>
          </w:p>
        </w:tc>
        <w:tc>
          <w:tcPr>
            <w:tcW w:w="1134" w:type="dxa"/>
          </w:tcPr>
          <w:p w14:paraId="17086136" w14:textId="77777777" w:rsidR="00AD1F54" w:rsidRPr="00264D5D" w:rsidRDefault="00941227">
            <w:pPr>
              <w:pStyle w:val="GOSTTablenorm"/>
              <w:rPr>
                <w:szCs w:val="22"/>
                <w:lang w:val="en-US"/>
              </w:rPr>
            </w:pPr>
            <w:r w:rsidRPr="00264D5D">
              <w:rPr>
                <w:szCs w:val="22"/>
                <w:lang w:val="en-US"/>
              </w:rPr>
              <w:t>tSGNNmPs</w:t>
            </w:r>
            <w:r w:rsidRPr="00264D5D">
              <w:rPr>
                <w:szCs w:val="22"/>
              </w:rPr>
              <w:t>100</w:t>
            </w:r>
          </w:p>
        </w:tc>
        <w:tc>
          <w:tcPr>
            <w:tcW w:w="567" w:type="dxa"/>
          </w:tcPr>
          <w:p w14:paraId="37860565" w14:textId="77777777" w:rsidR="00AD1F54" w:rsidRPr="00264D5D" w:rsidRDefault="00941227">
            <w:pPr>
              <w:pStyle w:val="GOSTTablenorm"/>
              <w:jc w:val="center"/>
              <w:rPr>
                <w:szCs w:val="22"/>
              </w:rPr>
            </w:pPr>
            <w:r w:rsidRPr="00264D5D">
              <w:rPr>
                <w:szCs w:val="22"/>
              </w:rPr>
              <w:t>Н</w:t>
            </w:r>
          </w:p>
        </w:tc>
        <w:tc>
          <w:tcPr>
            <w:tcW w:w="3964" w:type="dxa"/>
          </w:tcPr>
          <w:p w14:paraId="2B89D70C" w14:textId="7FFD2B78" w:rsidR="00AD1F54" w:rsidRPr="00264D5D" w:rsidRDefault="00941227">
            <w:pPr>
              <w:spacing w:before="60" w:after="60"/>
              <w:rPr>
                <w:sz w:val="22"/>
                <w:szCs w:val="22"/>
              </w:rPr>
            </w:pPr>
            <w:r w:rsidRPr="00264D5D">
              <w:rPr>
                <w:sz w:val="22"/>
                <w:szCs w:val="22"/>
              </w:rPr>
              <w:t xml:space="preserve">Состав элемента представлен в таблице </w:t>
            </w:r>
            <w:r w:rsidRPr="00264D5D">
              <w:rPr>
                <w:b/>
                <w:sz w:val="22"/>
                <w:szCs w:val="22"/>
              </w:rPr>
              <w:fldChar w:fldCharType="begin"/>
            </w:r>
            <w:r w:rsidRPr="00264D5D">
              <w:rPr>
                <w:b/>
                <w:sz w:val="22"/>
                <w:szCs w:val="22"/>
              </w:rPr>
              <w:instrText xml:space="preserve"> REF _Ref11915944 \h  \* MERGEFORMAT </w:instrText>
            </w:r>
            <w:r w:rsidRPr="00264D5D">
              <w:rPr>
                <w:b/>
                <w:sz w:val="22"/>
                <w:szCs w:val="22"/>
              </w:rPr>
            </w:r>
            <w:r w:rsidRPr="00264D5D">
              <w:rPr>
                <w:b/>
                <w:sz w:val="22"/>
                <w:szCs w:val="22"/>
              </w:rPr>
              <w:fldChar w:fldCharType="separate"/>
            </w:r>
            <w:r w:rsidR="008D797C" w:rsidRPr="008D797C">
              <w:rPr>
                <w:b/>
                <w:sz w:val="22"/>
                <w:szCs w:val="22"/>
              </w:rPr>
              <w:t>270</w:t>
            </w:r>
            <w:r w:rsidRPr="00264D5D">
              <w:rPr>
                <w:b/>
                <w:sz w:val="22"/>
                <w:szCs w:val="22"/>
              </w:rPr>
              <w:fldChar w:fldCharType="end"/>
            </w:r>
          </w:p>
        </w:tc>
      </w:tr>
      <w:tr w:rsidR="00AD1F54" w:rsidRPr="00264D5D" w14:paraId="1E1E9EA7"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72ADCC4" w14:textId="77777777" w:rsidR="00AD1F54" w:rsidRPr="00264D5D" w:rsidRDefault="00941227">
            <w:pPr>
              <w:pStyle w:val="GOSTTablenorm"/>
              <w:rPr>
                <w:color w:val="000000"/>
                <w:szCs w:val="22"/>
              </w:rPr>
            </w:pPr>
            <w:r w:rsidRPr="00264D5D">
              <w:rPr>
                <w:szCs w:val="22"/>
              </w:rPr>
              <w:t xml:space="preserve">Главный </w:t>
            </w:r>
            <w:r w:rsidRPr="00264D5D">
              <w:rPr>
                <w:color w:val="000000"/>
                <w:szCs w:val="22"/>
              </w:rPr>
              <w:t>бухгалтер (уполномоченное лицо)</w:t>
            </w:r>
          </w:p>
        </w:tc>
        <w:tc>
          <w:tcPr>
            <w:tcW w:w="1701" w:type="dxa"/>
          </w:tcPr>
          <w:p w14:paraId="42644902" w14:textId="77777777" w:rsidR="00AD1F54" w:rsidRPr="00264D5D" w:rsidRDefault="00941227">
            <w:pPr>
              <w:pStyle w:val="GOSTTablenorm"/>
              <w:rPr>
                <w:szCs w:val="22"/>
              </w:rPr>
            </w:pPr>
            <w:r w:rsidRPr="00264D5D">
              <w:rPr>
                <w:szCs w:val="22"/>
              </w:rPr>
              <w:t>Sgn_SgnAcc</w:t>
            </w:r>
          </w:p>
        </w:tc>
        <w:tc>
          <w:tcPr>
            <w:tcW w:w="567" w:type="dxa"/>
          </w:tcPr>
          <w:p w14:paraId="1C51AAAB" w14:textId="77777777" w:rsidR="00AD1F54" w:rsidRPr="00264D5D" w:rsidRDefault="00941227">
            <w:pPr>
              <w:pStyle w:val="GOSTTablenorm"/>
              <w:jc w:val="center"/>
              <w:rPr>
                <w:szCs w:val="22"/>
              </w:rPr>
            </w:pPr>
            <w:r w:rsidRPr="00264D5D">
              <w:rPr>
                <w:szCs w:val="22"/>
              </w:rPr>
              <w:t>С</w:t>
            </w:r>
          </w:p>
        </w:tc>
        <w:tc>
          <w:tcPr>
            <w:tcW w:w="1134" w:type="dxa"/>
          </w:tcPr>
          <w:p w14:paraId="040D2CE7" w14:textId="77777777" w:rsidR="00AD1F54" w:rsidRPr="00264D5D" w:rsidRDefault="00941227">
            <w:pPr>
              <w:pStyle w:val="GOSTTablenorm"/>
              <w:rPr>
                <w:szCs w:val="22"/>
                <w:lang w:val="en-US"/>
              </w:rPr>
            </w:pPr>
            <w:r w:rsidRPr="00264D5D">
              <w:rPr>
                <w:szCs w:val="22"/>
              </w:rPr>
              <w:t>tSGNNmPs100</w:t>
            </w:r>
          </w:p>
        </w:tc>
        <w:tc>
          <w:tcPr>
            <w:tcW w:w="567" w:type="dxa"/>
          </w:tcPr>
          <w:p w14:paraId="0880580A" w14:textId="77777777" w:rsidR="00AD1F54" w:rsidRPr="00264D5D" w:rsidRDefault="00941227">
            <w:pPr>
              <w:pStyle w:val="GOSTTablenorm"/>
              <w:jc w:val="center"/>
              <w:rPr>
                <w:szCs w:val="22"/>
              </w:rPr>
            </w:pPr>
            <w:r w:rsidRPr="00264D5D">
              <w:rPr>
                <w:szCs w:val="22"/>
              </w:rPr>
              <w:t>Н</w:t>
            </w:r>
          </w:p>
        </w:tc>
        <w:tc>
          <w:tcPr>
            <w:tcW w:w="3964" w:type="dxa"/>
          </w:tcPr>
          <w:p w14:paraId="3EBE1B00" w14:textId="3C604588" w:rsidR="00AD1F54" w:rsidRPr="00264D5D" w:rsidRDefault="00941227">
            <w:pPr>
              <w:spacing w:before="60" w:after="60"/>
              <w:rPr>
                <w:sz w:val="22"/>
                <w:szCs w:val="22"/>
              </w:rPr>
            </w:pPr>
            <w:r w:rsidRPr="00264D5D">
              <w:rPr>
                <w:sz w:val="22"/>
                <w:szCs w:val="22"/>
              </w:rPr>
              <w:t xml:space="preserve">Состав элемента представлен в таблице </w:t>
            </w:r>
            <w:r w:rsidRPr="00264D5D">
              <w:rPr>
                <w:b/>
                <w:sz w:val="22"/>
                <w:szCs w:val="22"/>
              </w:rPr>
              <w:fldChar w:fldCharType="begin"/>
            </w:r>
            <w:r w:rsidRPr="00264D5D">
              <w:rPr>
                <w:b/>
                <w:sz w:val="22"/>
                <w:szCs w:val="22"/>
              </w:rPr>
              <w:instrText xml:space="preserve"> REF _Ref11915944 \h  \* MERGEFORMAT </w:instrText>
            </w:r>
            <w:r w:rsidRPr="00264D5D">
              <w:rPr>
                <w:b/>
                <w:sz w:val="22"/>
                <w:szCs w:val="22"/>
              </w:rPr>
            </w:r>
            <w:r w:rsidRPr="00264D5D">
              <w:rPr>
                <w:b/>
                <w:sz w:val="22"/>
                <w:szCs w:val="22"/>
              </w:rPr>
              <w:fldChar w:fldCharType="separate"/>
            </w:r>
            <w:r w:rsidR="008D797C" w:rsidRPr="008D797C">
              <w:rPr>
                <w:b/>
                <w:sz w:val="22"/>
                <w:szCs w:val="22"/>
              </w:rPr>
              <w:t>270</w:t>
            </w:r>
            <w:r w:rsidRPr="00264D5D">
              <w:rPr>
                <w:b/>
                <w:sz w:val="22"/>
                <w:szCs w:val="22"/>
              </w:rPr>
              <w:fldChar w:fldCharType="end"/>
            </w:r>
          </w:p>
        </w:tc>
      </w:tr>
      <w:tr w:rsidR="00AD1F54" w:rsidRPr="00264D5D" w14:paraId="42BA8280"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7B9235E" w14:textId="77777777" w:rsidR="00AD1F54" w:rsidRPr="00264D5D" w:rsidRDefault="00941227">
            <w:pPr>
              <w:pStyle w:val="GOSTTablenorm"/>
              <w:rPr>
                <w:szCs w:val="22"/>
              </w:rPr>
            </w:pPr>
            <w:r w:rsidRPr="00264D5D">
              <w:rPr>
                <w:szCs w:val="22"/>
              </w:rPr>
              <w:lastRenderedPageBreak/>
              <w:t>Дата подписания</w:t>
            </w:r>
          </w:p>
        </w:tc>
        <w:tc>
          <w:tcPr>
            <w:tcW w:w="1701" w:type="dxa"/>
          </w:tcPr>
          <w:p w14:paraId="348E978E" w14:textId="77777777" w:rsidR="00AD1F54" w:rsidRPr="00264D5D" w:rsidRDefault="00941227">
            <w:pPr>
              <w:pStyle w:val="GOSTTablenorm"/>
              <w:rPr>
                <w:szCs w:val="22"/>
              </w:rPr>
            </w:pPr>
            <w:r w:rsidRPr="00264D5D">
              <w:rPr>
                <w:szCs w:val="22"/>
              </w:rPr>
              <w:t>Sgn_</w:t>
            </w:r>
            <w:r w:rsidRPr="00264D5D">
              <w:rPr>
                <w:szCs w:val="22"/>
                <w:lang w:val="en-US"/>
              </w:rPr>
              <w:t>Dt</w:t>
            </w:r>
          </w:p>
        </w:tc>
        <w:tc>
          <w:tcPr>
            <w:tcW w:w="567" w:type="dxa"/>
          </w:tcPr>
          <w:p w14:paraId="5D58E439" w14:textId="77777777" w:rsidR="00AD1F54" w:rsidRPr="00264D5D" w:rsidRDefault="00941227">
            <w:pPr>
              <w:pStyle w:val="GOSTTablenorm"/>
              <w:jc w:val="center"/>
              <w:rPr>
                <w:szCs w:val="22"/>
              </w:rPr>
            </w:pPr>
            <w:r w:rsidRPr="00264D5D">
              <w:rPr>
                <w:szCs w:val="22"/>
              </w:rPr>
              <w:t>П</w:t>
            </w:r>
          </w:p>
        </w:tc>
        <w:tc>
          <w:tcPr>
            <w:tcW w:w="1134" w:type="dxa"/>
          </w:tcPr>
          <w:p w14:paraId="36383D0B" w14:textId="77777777" w:rsidR="00AD1F54" w:rsidRPr="00264D5D" w:rsidRDefault="00941227">
            <w:pPr>
              <w:pStyle w:val="GOSTTablenorm"/>
              <w:rPr>
                <w:szCs w:val="22"/>
              </w:rPr>
            </w:pPr>
            <w:r w:rsidRPr="00264D5D">
              <w:rPr>
                <w:szCs w:val="22"/>
                <w:lang w:val="en-US"/>
              </w:rPr>
              <w:t>Date</w:t>
            </w:r>
          </w:p>
        </w:tc>
        <w:tc>
          <w:tcPr>
            <w:tcW w:w="567" w:type="dxa"/>
          </w:tcPr>
          <w:p w14:paraId="268A9CC6" w14:textId="77777777" w:rsidR="00AD1F54" w:rsidRPr="00264D5D" w:rsidRDefault="00941227">
            <w:pPr>
              <w:pStyle w:val="GOSTTablenorm"/>
              <w:jc w:val="center"/>
              <w:rPr>
                <w:szCs w:val="22"/>
              </w:rPr>
            </w:pPr>
            <w:r w:rsidRPr="00264D5D">
              <w:rPr>
                <w:szCs w:val="22"/>
              </w:rPr>
              <w:t>Н</w:t>
            </w:r>
          </w:p>
        </w:tc>
        <w:tc>
          <w:tcPr>
            <w:tcW w:w="3964" w:type="dxa"/>
          </w:tcPr>
          <w:p w14:paraId="2EAD203D" w14:textId="77777777" w:rsidR="00AD1F54" w:rsidRPr="00264D5D" w:rsidRDefault="00B06B9A">
            <w:pPr>
              <w:spacing w:before="60" w:after="60"/>
              <w:rPr>
                <w:sz w:val="22"/>
                <w:szCs w:val="22"/>
              </w:rPr>
            </w:pPr>
            <w:r w:rsidRPr="00264D5D">
              <w:rPr>
                <w:sz w:val="22"/>
                <w:szCs w:val="22"/>
              </w:rPr>
              <w:t>Указывается дата подписания</w:t>
            </w:r>
          </w:p>
        </w:tc>
      </w:tr>
      <w:tr w:rsidR="00AD1F54" w:rsidRPr="00264D5D" w14:paraId="4C0ECD00" w14:textId="77777777" w:rsidTr="00AD1F54">
        <w:trPr>
          <w:cnfStyle w:val="000000010000" w:firstRow="0" w:lastRow="0" w:firstColumn="0" w:lastColumn="0" w:oddVBand="0" w:evenVBand="0" w:oddHBand="0" w:evenHBand="1" w:firstRowFirstColumn="0" w:firstRowLastColumn="0" w:lastRowFirstColumn="0" w:lastRowLastColumn="0"/>
        </w:trPr>
        <w:tc>
          <w:tcPr>
            <w:tcW w:w="9634" w:type="dxa"/>
            <w:gridSpan w:val="6"/>
          </w:tcPr>
          <w:p w14:paraId="082D4723" w14:textId="77777777" w:rsidR="00AD1F54" w:rsidRPr="00264D5D" w:rsidRDefault="00941227">
            <w:pPr>
              <w:spacing w:before="60" w:after="60"/>
              <w:rPr>
                <w:sz w:val="22"/>
                <w:szCs w:val="22"/>
              </w:rPr>
            </w:pPr>
            <w:r w:rsidRPr="00264D5D">
              <w:rPr>
                <w:b/>
                <w:sz w:val="22"/>
                <w:szCs w:val="22"/>
              </w:rPr>
              <w:t>Расшифровка заявки</w:t>
            </w:r>
          </w:p>
        </w:tc>
      </w:tr>
      <w:tr w:rsidR="00AD1F54" w:rsidRPr="00264D5D" w14:paraId="76456824"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EDB572F" w14:textId="77777777" w:rsidR="00AD1F54" w:rsidRPr="00264D5D" w:rsidRDefault="00941227">
            <w:pPr>
              <w:pStyle w:val="GOSTTablenorm"/>
              <w:rPr>
                <w:i/>
                <w:szCs w:val="22"/>
              </w:rPr>
            </w:pPr>
            <w:r w:rsidRPr="00264D5D">
              <w:rPr>
                <w:szCs w:val="22"/>
              </w:rPr>
              <w:t>Расшифровка сумм неиспользованных средств</w:t>
            </w:r>
          </w:p>
        </w:tc>
        <w:tc>
          <w:tcPr>
            <w:tcW w:w="1701" w:type="dxa"/>
          </w:tcPr>
          <w:p w14:paraId="6FAC8C46" w14:textId="77777777" w:rsidR="00AD1F54" w:rsidRPr="00264D5D" w:rsidRDefault="00941227">
            <w:pPr>
              <w:pStyle w:val="GOSTTablenorm"/>
              <w:rPr>
                <w:szCs w:val="22"/>
              </w:rPr>
            </w:pPr>
            <w:r w:rsidRPr="00264D5D">
              <w:rPr>
                <w:szCs w:val="22"/>
              </w:rPr>
              <w:t>RKG_RKG251</w:t>
            </w:r>
          </w:p>
        </w:tc>
        <w:tc>
          <w:tcPr>
            <w:tcW w:w="567" w:type="dxa"/>
          </w:tcPr>
          <w:p w14:paraId="498E5057" w14:textId="77777777" w:rsidR="00AD1F54" w:rsidRPr="00264D5D" w:rsidRDefault="00941227">
            <w:pPr>
              <w:pStyle w:val="GOSTTablenorm"/>
              <w:jc w:val="center"/>
              <w:rPr>
                <w:szCs w:val="22"/>
              </w:rPr>
            </w:pPr>
            <w:r w:rsidRPr="00264D5D">
              <w:rPr>
                <w:szCs w:val="22"/>
              </w:rPr>
              <w:t>С</w:t>
            </w:r>
          </w:p>
        </w:tc>
        <w:tc>
          <w:tcPr>
            <w:tcW w:w="1134" w:type="dxa"/>
          </w:tcPr>
          <w:p w14:paraId="73ACFDA2" w14:textId="77777777" w:rsidR="00AD1F54" w:rsidRPr="00264D5D" w:rsidRDefault="00941227">
            <w:pPr>
              <w:pStyle w:val="GOSTTablenorm"/>
              <w:rPr>
                <w:szCs w:val="22"/>
                <w:lang w:val="en-US"/>
              </w:rPr>
            </w:pPr>
            <w:r w:rsidRPr="00264D5D">
              <w:rPr>
                <w:szCs w:val="22"/>
              </w:rPr>
              <w:t>tRKG_RKG251</w:t>
            </w:r>
          </w:p>
        </w:tc>
        <w:tc>
          <w:tcPr>
            <w:tcW w:w="567" w:type="dxa"/>
          </w:tcPr>
          <w:p w14:paraId="4E8B1C7F" w14:textId="77777777" w:rsidR="00AD1F54" w:rsidRPr="00264D5D" w:rsidRDefault="00941227">
            <w:pPr>
              <w:pStyle w:val="GOSTTablenorm"/>
              <w:jc w:val="center"/>
              <w:rPr>
                <w:szCs w:val="22"/>
              </w:rPr>
            </w:pPr>
            <w:r w:rsidRPr="00264D5D">
              <w:rPr>
                <w:szCs w:val="22"/>
              </w:rPr>
              <w:t>О</w:t>
            </w:r>
          </w:p>
        </w:tc>
        <w:tc>
          <w:tcPr>
            <w:tcW w:w="3964" w:type="dxa"/>
          </w:tcPr>
          <w:p w14:paraId="49D11CA9" w14:textId="338797BA" w:rsidR="00AD1F54" w:rsidRPr="00264D5D" w:rsidRDefault="00941227">
            <w:pPr>
              <w:spacing w:before="60" w:after="60"/>
              <w:rPr>
                <w:sz w:val="22"/>
                <w:szCs w:val="22"/>
              </w:rPr>
            </w:pPr>
            <w:r w:rsidRPr="00264D5D">
              <w:rPr>
                <w:sz w:val="22"/>
                <w:szCs w:val="22"/>
              </w:rPr>
              <w:t xml:space="preserve">Состав элемента представлен в таблице </w:t>
            </w:r>
            <w:r w:rsidRPr="00264D5D">
              <w:rPr>
                <w:b/>
                <w:sz w:val="22"/>
                <w:szCs w:val="22"/>
              </w:rPr>
              <w:fldChar w:fldCharType="begin"/>
            </w:r>
            <w:r w:rsidRPr="00264D5D">
              <w:rPr>
                <w:b/>
                <w:sz w:val="22"/>
                <w:szCs w:val="22"/>
              </w:rPr>
              <w:instrText xml:space="preserve"> REF _Ref524698774 \h  \* MERGEFORMAT </w:instrText>
            </w:r>
            <w:r w:rsidRPr="00264D5D">
              <w:rPr>
                <w:b/>
                <w:sz w:val="22"/>
                <w:szCs w:val="22"/>
              </w:rPr>
            </w:r>
            <w:r w:rsidRPr="00264D5D">
              <w:rPr>
                <w:b/>
                <w:sz w:val="22"/>
                <w:szCs w:val="22"/>
              </w:rPr>
              <w:fldChar w:fldCharType="separate"/>
            </w:r>
            <w:r w:rsidR="008D797C" w:rsidRPr="008D797C">
              <w:rPr>
                <w:b/>
                <w:sz w:val="22"/>
                <w:szCs w:val="22"/>
              </w:rPr>
              <w:t>271</w:t>
            </w:r>
            <w:r w:rsidRPr="00264D5D">
              <w:rPr>
                <w:b/>
                <w:sz w:val="22"/>
                <w:szCs w:val="22"/>
              </w:rPr>
              <w:fldChar w:fldCharType="end"/>
            </w:r>
          </w:p>
        </w:tc>
      </w:tr>
      <w:tr w:rsidR="00AD1F54" w:rsidRPr="00264D5D" w14:paraId="5DA9394C" w14:textId="77777777" w:rsidTr="00AD1F54">
        <w:trPr>
          <w:cnfStyle w:val="000000010000" w:firstRow="0" w:lastRow="0" w:firstColumn="0" w:lastColumn="0" w:oddVBand="0" w:evenVBand="0" w:oddHBand="0" w:evenHBand="1" w:firstRowFirstColumn="0" w:firstRowLastColumn="0" w:lastRowFirstColumn="0" w:lastRowLastColumn="0"/>
        </w:trPr>
        <w:tc>
          <w:tcPr>
            <w:tcW w:w="9634" w:type="dxa"/>
            <w:gridSpan w:val="6"/>
          </w:tcPr>
          <w:p w14:paraId="5FB92ABB" w14:textId="77777777" w:rsidR="00AD1F54" w:rsidRPr="00264D5D" w:rsidRDefault="00941227">
            <w:pPr>
              <w:spacing w:before="60" w:after="60"/>
              <w:rPr>
                <w:sz w:val="22"/>
                <w:szCs w:val="22"/>
              </w:rPr>
            </w:pPr>
            <w:r w:rsidRPr="00264D5D">
              <w:rPr>
                <w:b/>
                <w:sz w:val="22"/>
                <w:szCs w:val="22"/>
              </w:rPr>
              <w:t>Отметка ТОФК о регистрации</w:t>
            </w:r>
          </w:p>
        </w:tc>
      </w:tr>
      <w:tr w:rsidR="00AD1F54" w:rsidRPr="00264D5D" w14:paraId="4DA35D40"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00811FE" w14:textId="77777777" w:rsidR="00AD1F54" w:rsidRPr="00264D5D" w:rsidRDefault="00941227">
            <w:pPr>
              <w:pStyle w:val="GOSTTablenorm"/>
              <w:rPr>
                <w:szCs w:val="22"/>
              </w:rPr>
            </w:pPr>
            <w:r w:rsidRPr="00264D5D">
              <w:rPr>
                <w:szCs w:val="22"/>
              </w:rPr>
              <w:t>Дата регистрации</w:t>
            </w:r>
          </w:p>
        </w:tc>
        <w:tc>
          <w:tcPr>
            <w:tcW w:w="1701" w:type="dxa"/>
          </w:tcPr>
          <w:p w14:paraId="10A72102" w14:textId="77777777" w:rsidR="00AD1F54" w:rsidRPr="00264D5D" w:rsidRDefault="00941227">
            <w:pPr>
              <w:pStyle w:val="GOSTTablenorm"/>
              <w:rPr>
                <w:szCs w:val="22"/>
              </w:rPr>
            </w:pPr>
            <w:r w:rsidRPr="00264D5D">
              <w:rPr>
                <w:rFonts w:eastAsiaTheme="minorHAnsi"/>
                <w:szCs w:val="22"/>
              </w:rPr>
              <w:t>TtlPrt_MarkOrFK_RegisDate</w:t>
            </w:r>
          </w:p>
        </w:tc>
        <w:tc>
          <w:tcPr>
            <w:tcW w:w="567" w:type="dxa"/>
          </w:tcPr>
          <w:p w14:paraId="76A9F422" w14:textId="77777777" w:rsidR="00AD1F54" w:rsidRPr="00264D5D" w:rsidRDefault="00941227">
            <w:pPr>
              <w:pStyle w:val="GOSTTablenorm"/>
              <w:jc w:val="center"/>
              <w:rPr>
                <w:szCs w:val="22"/>
              </w:rPr>
            </w:pPr>
            <w:r w:rsidRPr="00264D5D">
              <w:rPr>
                <w:szCs w:val="22"/>
              </w:rPr>
              <w:t>П</w:t>
            </w:r>
          </w:p>
        </w:tc>
        <w:tc>
          <w:tcPr>
            <w:tcW w:w="1134" w:type="dxa"/>
          </w:tcPr>
          <w:p w14:paraId="7107B535" w14:textId="77777777" w:rsidR="00AD1F54" w:rsidRPr="00264D5D" w:rsidRDefault="00941227">
            <w:pPr>
              <w:pStyle w:val="GOSTTablenorm"/>
              <w:rPr>
                <w:szCs w:val="22"/>
              </w:rPr>
            </w:pPr>
            <w:r w:rsidRPr="00264D5D">
              <w:rPr>
                <w:szCs w:val="22"/>
              </w:rPr>
              <w:t>Date</w:t>
            </w:r>
          </w:p>
        </w:tc>
        <w:tc>
          <w:tcPr>
            <w:tcW w:w="567" w:type="dxa"/>
          </w:tcPr>
          <w:p w14:paraId="4FBFB202" w14:textId="77777777" w:rsidR="00AD1F54" w:rsidRPr="00264D5D" w:rsidRDefault="00941227">
            <w:pPr>
              <w:pStyle w:val="GOSTTablenorm"/>
              <w:jc w:val="center"/>
              <w:rPr>
                <w:szCs w:val="22"/>
              </w:rPr>
            </w:pPr>
            <w:r w:rsidRPr="00264D5D">
              <w:rPr>
                <w:szCs w:val="22"/>
              </w:rPr>
              <w:t>Н</w:t>
            </w:r>
          </w:p>
        </w:tc>
        <w:tc>
          <w:tcPr>
            <w:tcW w:w="3964" w:type="dxa"/>
          </w:tcPr>
          <w:p w14:paraId="081CC508" w14:textId="77777777" w:rsidR="00AD1F54" w:rsidRPr="00264D5D" w:rsidRDefault="00941227">
            <w:pPr>
              <w:pStyle w:val="GOSTTablenorm"/>
              <w:rPr>
                <w:szCs w:val="22"/>
              </w:rPr>
            </w:pPr>
            <w:r w:rsidRPr="00264D5D">
              <w:rPr>
                <w:szCs w:val="22"/>
              </w:rPr>
              <w:t>Указывается дата регистрации.</w:t>
            </w:r>
          </w:p>
          <w:p w14:paraId="52BF7043" w14:textId="77777777" w:rsidR="00AD1F54" w:rsidRPr="00264D5D" w:rsidRDefault="00941227">
            <w:pPr>
              <w:pStyle w:val="GOSTTablenorm"/>
              <w:rPr>
                <w:szCs w:val="22"/>
              </w:rPr>
            </w:pPr>
            <w:r w:rsidRPr="00264D5D">
              <w:rPr>
                <w:szCs w:val="22"/>
              </w:rPr>
              <w:t>Обязательно для заполнения, если код платежного документа равен «OC».</w:t>
            </w:r>
          </w:p>
          <w:p w14:paraId="1542A890" w14:textId="77777777" w:rsidR="004058D4" w:rsidRPr="00264D5D" w:rsidRDefault="00941227" w:rsidP="004058D4">
            <w:pPr>
              <w:pStyle w:val="GOSTTablenorm"/>
              <w:rPr>
                <w:szCs w:val="22"/>
              </w:rPr>
            </w:pPr>
            <w:r w:rsidRPr="00264D5D">
              <w:rPr>
                <w:szCs w:val="22"/>
              </w:rPr>
              <w:t>Используется при информационном взаимодействии по маршру</w:t>
            </w:r>
            <w:r w:rsidR="00D65AFB">
              <w:rPr>
                <w:szCs w:val="22"/>
              </w:rPr>
              <w:t>там ПБС (ПФХД) – ТОФК (ПУР ЭБ).</w:t>
            </w:r>
          </w:p>
          <w:p w14:paraId="39495735" w14:textId="77777777" w:rsidR="00AD1F54" w:rsidRPr="00264D5D" w:rsidRDefault="004058D4" w:rsidP="004058D4">
            <w:pPr>
              <w:spacing w:before="60" w:after="60"/>
              <w:rPr>
                <w:sz w:val="22"/>
                <w:szCs w:val="22"/>
              </w:rPr>
            </w:pPr>
            <w:r w:rsidRPr="00264D5D">
              <w:rPr>
                <w:sz w:val="22"/>
                <w:szCs w:val="22"/>
              </w:rPr>
              <w:t>Не заполняется для маршрута НУБП (ПСБ и Росавтодор) – ТОФК</w:t>
            </w:r>
          </w:p>
        </w:tc>
      </w:tr>
      <w:tr w:rsidR="00AD1F54" w:rsidRPr="00264D5D" w14:paraId="5FB59F9B"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0F3D47A8" w14:textId="77777777" w:rsidR="00AD1F54" w:rsidRPr="00264D5D" w:rsidRDefault="00941227">
            <w:pPr>
              <w:pStyle w:val="GOSTTablenorm"/>
              <w:rPr>
                <w:szCs w:val="22"/>
              </w:rPr>
            </w:pPr>
            <w:r w:rsidRPr="00264D5D">
              <w:rPr>
                <w:szCs w:val="22"/>
              </w:rPr>
              <w:t>Должность ответственного исполнителя</w:t>
            </w:r>
          </w:p>
        </w:tc>
        <w:tc>
          <w:tcPr>
            <w:tcW w:w="1701" w:type="dxa"/>
          </w:tcPr>
          <w:p w14:paraId="3CF29E9F" w14:textId="77777777" w:rsidR="00AD1F54" w:rsidRPr="00264D5D" w:rsidRDefault="00941227">
            <w:pPr>
              <w:pStyle w:val="GOSTTablenorm"/>
              <w:rPr>
                <w:szCs w:val="22"/>
              </w:rPr>
            </w:pPr>
            <w:r w:rsidRPr="00264D5D">
              <w:rPr>
                <w:rFonts w:eastAsiaTheme="minorHAnsi"/>
                <w:szCs w:val="22"/>
              </w:rPr>
              <w:t>TtlPrt_MarkOrFK_Position</w:t>
            </w:r>
          </w:p>
        </w:tc>
        <w:tc>
          <w:tcPr>
            <w:tcW w:w="567" w:type="dxa"/>
          </w:tcPr>
          <w:p w14:paraId="42BC0225" w14:textId="77777777" w:rsidR="00AD1F54" w:rsidRPr="00264D5D" w:rsidRDefault="00941227">
            <w:pPr>
              <w:pStyle w:val="GOSTTablenorm"/>
              <w:jc w:val="center"/>
              <w:rPr>
                <w:szCs w:val="22"/>
              </w:rPr>
            </w:pPr>
            <w:r w:rsidRPr="00264D5D">
              <w:rPr>
                <w:szCs w:val="22"/>
              </w:rPr>
              <w:t>П</w:t>
            </w:r>
          </w:p>
        </w:tc>
        <w:tc>
          <w:tcPr>
            <w:tcW w:w="1134" w:type="dxa"/>
          </w:tcPr>
          <w:p w14:paraId="41AB0AC0" w14:textId="77777777" w:rsidR="00AD1F54" w:rsidRPr="00264D5D" w:rsidRDefault="00941227">
            <w:pPr>
              <w:pStyle w:val="GOSTTablenorm"/>
              <w:rPr>
                <w:szCs w:val="22"/>
              </w:rPr>
            </w:pPr>
            <w:r w:rsidRPr="00264D5D">
              <w:rPr>
                <w:szCs w:val="22"/>
              </w:rPr>
              <w:t>Т(1-100)</w:t>
            </w:r>
          </w:p>
        </w:tc>
        <w:tc>
          <w:tcPr>
            <w:tcW w:w="567" w:type="dxa"/>
          </w:tcPr>
          <w:p w14:paraId="59C84243" w14:textId="77777777" w:rsidR="00AD1F54" w:rsidRPr="00264D5D" w:rsidRDefault="00941227">
            <w:pPr>
              <w:pStyle w:val="GOSTTablenorm"/>
              <w:jc w:val="center"/>
              <w:rPr>
                <w:szCs w:val="22"/>
              </w:rPr>
            </w:pPr>
            <w:r w:rsidRPr="00264D5D">
              <w:rPr>
                <w:szCs w:val="22"/>
              </w:rPr>
              <w:t>Н</w:t>
            </w:r>
          </w:p>
        </w:tc>
        <w:tc>
          <w:tcPr>
            <w:tcW w:w="3964" w:type="dxa"/>
          </w:tcPr>
          <w:p w14:paraId="72A2EE5C" w14:textId="77777777" w:rsidR="00AD1F54" w:rsidRPr="00264D5D" w:rsidRDefault="00941227">
            <w:pPr>
              <w:pStyle w:val="GOSTTablenorm"/>
              <w:rPr>
                <w:szCs w:val="22"/>
              </w:rPr>
            </w:pPr>
            <w:r w:rsidRPr="00264D5D">
              <w:rPr>
                <w:szCs w:val="22"/>
              </w:rPr>
              <w:t>Указывается должность ответственного исполнителя.</w:t>
            </w:r>
          </w:p>
          <w:p w14:paraId="6F9F4072" w14:textId="77777777" w:rsidR="00AD1F54" w:rsidRPr="00264D5D" w:rsidRDefault="00941227">
            <w:pPr>
              <w:pStyle w:val="GOSTTablenorm"/>
              <w:rPr>
                <w:szCs w:val="22"/>
              </w:rPr>
            </w:pPr>
            <w:r w:rsidRPr="00264D5D">
              <w:rPr>
                <w:szCs w:val="22"/>
              </w:rPr>
              <w:t>Обязательно для заполнения, если код платежного документа равен «OC».</w:t>
            </w:r>
          </w:p>
          <w:p w14:paraId="4B784D86" w14:textId="77777777" w:rsidR="004058D4" w:rsidRPr="00264D5D" w:rsidRDefault="00941227" w:rsidP="004058D4">
            <w:pPr>
              <w:pStyle w:val="GOSTTablenorm"/>
              <w:rPr>
                <w:szCs w:val="22"/>
              </w:rPr>
            </w:pPr>
            <w:r w:rsidRPr="00264D5D">
              <w:rPr>
                <w:szCs w:val="22"/>
              </w:rPr>
              <w:t>Используется при информационном взаимодействии по маршр</w:t>
            </w:r>
            <w:r w:rsidR="00D65AFB">
              <w:rPr>
                <w:szCs w:val="22"/>
              </w:rPr>
              <w:t>утам ПБС (ПФХД) – ТОФК (ПУР ЭБ)</w:t>
            </w:r>
            <w:r w:rsidR="004058D4" w:rsidRPr="00264D5D">
              <w:rPr>
                <w:szCs w:val="22"/>
              </w:rPr>
              <w:t xml:space="preserve">. </w:t>
            </w:r>
          </w:p>
          <w:p w14:paraId="6142EE1C" w14:textId="77777777" w:rsidR="00AD1F54" w:rsidRPr="00264D5D" w:rsidRDefault="004058D4" w:rsidP="004058D4">
            <w:pPr>
              <w:spacing w:before="60" w:after="60"/>
              <w:rPr>
                <w:sz w:val="22"/>
                <w:szCs w:val="22"/>
              </w:rPr>
            </w:pPr>
            <w:r w:rsidRPr="00264D5D">
              <w:rPr>
                <w:sz w:val="22"/>
                <w:szCs w:val="22"/>
              </w:rPr>
              <w:t>Не заполняется для маршрута НУБП (ПСБ и Росавтодор) – ТОФК</w:t>
            </w:r>
          </w:p>
        </w:tc>
      </w:tr>
      <w:tr w:rsidR="00AD1F54" w:rsidRPr="00264D5D" w14:paraId="3B80CC92"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55B8EBAD" w14:textId="77777777" w:rsidR="00AD1F54" w:rsidRPr="00264D5D" w:rsidRDefault="00941227">
            <w:pPr>
              <w:pStyle w:val="GOSTTablenorm"/>
              <w:rPr>
                <w:szCs w:val="22"/>
              </w:rPr>
            </w:pPr>
            <w:r w:rsidRPr="00264D5D">
              <w:rPr>
                <w:szCs w:val="22"/>
              </w:rPr>
              <w:t>Расшифровка подписи</w:t>
            </w:r>
          </w:p>
        </w:tc>
        <w:tc>
          <w:tcPr>
            <w:tcW w:w="1701" w:type="dxa"/>
          </w:tcPr>
          <w:p w14:paraId="32363B0B" w14:textId="77777777" w:rsidR="00AD1F54" w:rsidRPr="00264D5D" w:rsidRDefault="00941227">
            <w:pPr>
              <w:pStyle w:val="GOSTTablenorm"/>
              <w:rPr>
                <w:szCs w:val="22"/>
              </w:rPr>
            </w:pPr>
            <w:r w:rsidRPr="00264D5D">
              <w:rPr>
                <w:rFonts w:eastAsiaTheme="minorHAnsi"/>
                <w:szCs w:val="22"/>
              </w:rPr>
              <w:t>TtlPrt_MarkOrFK_FullName</w:t>
            </w:r>
          </w:p>
        </w:tc>
        <w:tc>
          <w:tcPr>
            <w:tcW w:w="567" w:type="dxa"/>
          </w:tcPr>
          <w:p w14:paraId="6583DDC0" w14:textId="77777777" w:rsidR="00AD1F54" w:rsidRPr="00264D5D" w:rsidRDefault="00941227">
            <w:pPr>
              <w:pStyle w:val="GOSTTablenorm"/>
              <w:jc w:val="center"/>
              <w:rPr>
                <w:szCs w:val="22"/>
              </w:rPr>
            </w:pPr>
            <w:r w:rsidRPr="00264D5D">
              <w:rPr>
                <w:szCs w:val="22"/>
              </w:rPr>
              <w:t>П</w:t>
            </w:r>
          </w:p>
        </w:tc>
        <w:tc>
          <w:tcPr>
            <w:tcW w:w="1134" w:type="dxa"/>
          </w:tcPr>
          <w:p w14:paraId="0EDEF6E7" w14:textId="77777777" w:rsidR="00AD1F54" w:rsidRPr="00264D5D" w:rsidRDefault="00941227">
            <w:pPr>
              <w:pStyle w:val="GOSTTablenorm"/>
              <w:rPr>
                <w:szCs w:val="22"/>
              </w:rPr>
            </w:pPr>
            <w:r w:rsidRPr="00264D5D">
              <w:rPr>
                <w:szCs w:val="22"/>
              </w:rPr>
              <w:t>Т(1-50)</w:t>
            </w:r>
          </w:p>
        </w:tc>
        <w:tc>
          <w:tcPr>
            <w:tcW w:w="567" w:type="dxa"/>
          </w:tcPr>
          <w:p w14:paraId="1AB2C1D4" w14:textId="77777777" w:rsidR="00AD1F54" w:rsidRPr="00264D5D" w:rsidRDefault="00941227">
            <w:pPr>
              <w:pStyle w:val="GOSTTablenorm"/>
              <w:jc w:val="center"/>
              <w:rPr>
                <w:szCs w:val="22"/>
              </w:rPr>
            </w:pPr>
            <w:r w:rsidRPr="00264D5D">
              <w:rPr>
                <w:szCs w:val="22"/>
              </w:rPr>
              <w:t>Н</w:t>
            </w:r>
          </w:p>
        </w:tc>
        <w:tc>
          <w:tcPr>
            <w:tcW w:w="3964" w:type="dxa"/>
          </w:tcPr>
          <w:p w14:paraId="56C2A78C" w14:textId="77777777" w:rsidR="00AD1F54" w:rsidRPr="00264D5D" w:rsidRDefault="00941227">
            <w:pPr>
              <w:pStyle w:val="GOSTTablenorm"/>
              <w:rPr>
                <w:szCs w:val="22"/>
              </w:rPr>
            </w:pPr>
            <w:r w:rsidRPr="00264D5D">
              <w:rPr>
                <w:szCs w:val="22"/>
              </w:rPr>
              <w:t>Указывается ФИО ответственного исполнителя.</w:t>
            </w:r>
          </w:p>
          <w:p w14:paraId="04A29548" w14:textId="77777777" w:rsidR="00AD1F54" w:rsidRPr="00264D5D" w:rsidRDefault="00941227">
            <w:pPr>
              <w:pStyle w:val="GOSTTablenorm"/>
              <w:rPr>
                <w:szCs w:val="22"/>
              </w:rPr>
            </w:pPr>
            <w:r w:rsidRPr="00264D5D">
              <w:rPr>
                <w:szCs w:val="22"/>
              </w:rPr>
              <w:t>Обязательно для заполнения, если код платежного документа равен «OC».</w:t>
            </w:r>
          </w:p>
          <w:p w14:paraId="6C45A273" w14:textId="77777777" w:rsidR="004058D4" w:rsidRPr="00264D5D" w:rsidRDefault="00941227" w:rsidP="004058D4">
            <w:pPr>
              <w:pStyle w:val="GOSTTablenorm"/>
              <w:rPr>
                <w:szCs w:val="22"/>
              </w:rPr>
            </w:pPr>
            <w:r w:rsidRPr="00264D5D">
              <w:rPr>
                <w:szCs w:val="22"/>
              </w:rPr>
              <w:t xml:space="preserve">Используется при информационном взаимодействии по маршрутам ПБС (ПФХД) – ТОФК (ПУР </w:t>
            </w:r>
            <w:r w:rsidR="00D65AFB">
              <w:rPr>
                <w:szCs w:val="22"/>
              </w:rPr>
              <w:t>ЭБ)</w:t>
            </w:r>
            <w:r w:rsidR="004058D4" w:rsidRPr="00264D5D">
              <w:rPr>
                <w:szCs w:val="22"/>
              </w:rPr>
              <w:t xml:space="preserve">. </w:t>
            </w:r>
          </w:p>
          <w:p w14:paraId="467617ED" w14:textId="77777777" w:rsidR="00AD1F54" w:rsidRPr="00264D5D" w:rsidRDefault="004058D4" w:rsidP="004058D4">
            <w:pPr>
              <w:spacing w:before="60" w:after="60"/>
              <w:rPr>
                <w:sz w:val="22"/>
                <w:szCs w:val="22"/>
              </w:rPr>
            </w:pPr>
            <w:r w:rsidRPr="00264D5D">
              <w:rPr>
                <w:sz w:val="22"/>
                <w:szCs w:val="22"/>
              </w:rPr>
              <w:t>Не заполняется для маршрута НУБП (ПСБ и Росавтодор) – ТОФК</w:t>
            </w:r>
          </w:p>
        </w:tc>
      </w:tr>
      <w:tr w:rsidR="00AD1F54" w:rsidRPr="00264D5D" w14:paraId="71080CE1"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5734BEFA" w14:textId="77777777" w:rsidR="00AD1F54" w:rsidRPr="00264D5D" w:rsidRDefault="00941227">
            <w:pPr>
              <w:pStyle w:val="GOSTTablenorm"/>
              <w:rPr>
                <w:szCs w:val="22"/>
              </w:rPr>
            </w:pPr>
            <w:r w:rsidRPr="00264D5D">
              <w:rPr>
                <w:szCs w:val="22"/>
              </w:rPr>
              <w:t>Телефон</w:t>
            </w:r>
          </w:p>
        </w:tc>
        <w:tc>
          <w:tcPr>
            <w:tcW w:w="1701" w:type="dxa"/>
          </w:tcPr>
          <w:p w14:paraId="1D8F50AB" w14:textId="77777777" w:rsidR="00AD1F54" w:rsidRPr="00264D5D" w:rsidRDefault="00941227">
            <w:pPr>
              <w:pStyle w:val="GOSTTablenorm"/>
              <w:rPr>
                <w:szCs w:val="22"/>
              </w:rPr>
            </w:pPr>
            <w:r w:rsidRPr="00264D5D">
              <w:rPr>
                <w:rFonts w:eastAsiaTheme="minorHAnsi"/>
                <w:szCs w:val="22"/>
              </w:rPr>
              <w:t>TtlPrt_MarkOrFK_Telephone</w:t>
            </w:r>
          </w:p>
        </w:tc>
        <w:tc>
          <w:tcPr>
            <w:tcW w:w="567" w:type="dxa"/>
          </w:tcPr>
          <w:p w14:paraId="1E166D6A" w14:textId="77777777" w:rsidR="00AD1F54" w:rsidRPr="00264D5D" w:rsidRDefault="00941227">
            <w:pPr>
              <w:pStyle w:val="GOSTTablenorm"/>
              <w:jc w:val="center"/>
              <w:rPr>
                <w:szCs w:val="22"/>
              </w:rPr>
            </w:pPr>
            <w:r w:rsidRPr="00264D5D">
              <w:rPr>
                <w:szCs w:val="22"/>
              </w:rPr>
              <w:t>П</w:t>
            </w:r>
          </w:p>
        </w:tc>
        <w:tc>
          <w:tcPr>
            <w:tcW w:w="1134" w:type="dxa"/>
          </w:tcPr>
          <w:p w14:paraId="5D704550" w14:textId="77777777" w:rsidR="00AD1F54" w:rsidRPr="00264D5D" w:rsidRDefault="00941227">
            <w:pPr>
              <w:pStyle w:val="GOSTTablenorm"/>
              <w:rPr>
                <w:szCs w:val="22"/>
              </w:rPr>
            </w:pPr>
            <w:r w:rsidRPr="00264D5D">
              <w:rPr>
                <w:szCs w:val="22"/>
              </w:rPr>
              <w:t>Т(1-50)</w:t>
            </w:r>
          </w:p>
        </w:tc>
        <w:tc>
          <w:tcPr>
            <w:tcW w:w="567" w:type="dxa"/>
          </w:tcPr>
          <w:p w14:paraId="371FE4AE" w14:textId="77777777" w:rsidR="00AD1F54" w:rsidRPr="00264D5D" w:rsidRDefault="00941227">
            <w:pPr>
              <w:pStyle w:val="GOSTTablenorm"/>
              <w:jc w:val="center"/>
              <w:rPr>
                <w:szCs w:val="22"/>
              </w:rPr>
            </w:pPr>
            <w:r w:rsidRPr="00264D5D">
              <w:rPr>
                <w:szCs w:val="22"/>
              </w:rPr>
              <w:t>Н</w:t>
            </w:r>
          </w:p>
        </w:tc>
        <w:tc>
          <w:tcPr>
            <w:tcW w:w="3964" w:type="dxa"/>
          </w:tcPr>
          <w:p w14:paraId="5D94C026" w14:textId="77777777" w:rsidR="00AD1F54" w:rsidRPr="00264D5D" w:rsidRDefault="00941227">
            <w:pPr>
              <w:pStyle w:val="GOSTTablenorm"/>
              <w:rPr>
                <w:szCs w:val="22"/>
              </w:rPr>
            </w:pPr>
            <w:r w:rsidRPr="00264D5D">
              <w:rPr>
                <w:szCs w:val="22"/>
              </w:rPr>
              <w:t>Указывается телефон ответственного исполнителя.</w:t>
            </w:r>
          </w:p>
          <w:p w14:paraId="2E9C62F3" w14:textId="77777777" w:rsidR="00AD1F54" w:rsidRPr="00264D5D" w:rsidRDefault="00941227">
            <w:pPr>
              <w:pStyle w:val="GOSTTablenorm"/>
              <w:rPr>
                <w:szCs w:val="22"/>
              </w:rPr>
            </w:pPr>
            <w:r w:rsidRPr="00264D5D">
              <w:rPr>
                <w:szCs w:val="22"/>
              </w:rPr>
              <w:t>Обязательно для заполнения, если код платежного документа равен «OC».</w:t>
            </w:r>
          </w:p>
          <w:p w14:paraId="408CC265" w14:textId="77777777" w:rsidR="004058D4" w:rsidRPr="00264D5D" w:rsidRDefault="00941227" w:rsidP="004058D4">
            <w:pPr>
              <w:pStyle w:val="GOSTTablenorm"/>
              <w:rPr>
                <w:szCs w:val="22"/>
              </w:rPr>
            </w:pPr>
            <w:r w:rsidRPr="00264D5D">
              <w:rPr>
                <w:szCs w:val="22"/>
              </w:rPr>
              <w:t xml:space="preserve">Используется при информационном взаимодействии по маршрутам ПБС </w:t>
            </w:r>
            <w:r w:rsidR="00D65AFB">
              <w:rPr>
                <w:szCs w:val="22"/>
              </w:rPr>
              <w:lastRenderedPageBreak/>
              <w:t>(ПФХД) – ТОФК (ПУР ЭБ)</w:t>
            </w:r>
            <w:r w:rsidR="004058D4" w:rsidRPr="00264D5D">
              <w:rPr>
                <w:szCs w:val="22"/>
              </w:rPr>
              <w:t xml:space="preserve">. </w:t>
            </w:r>
          </w:p>
          <w:p w14:paraId="730A666B" w14:textId="77777777" w:rsidR="00AD1F54" w:rsidRPr="00264D5D" w:rsidRDefault="004058D4" w:rsidP="004058D4">
            <w:pPr>
              <w:spacing w:before="60" w:after="60"/>
              <w:rPr>
                <w:sz w:val="22"/>
                <w:szCs w:val="22"/>
              </w:rPr>
            </w:pPr>
            <w:r w:rsidRPr="00264D5D">
              <w:rPr>
                <w:sz w:val="22"/>
                <w:szCs w:val="22"/>
              </w:rPr>
              <w:t>Не заполняется для маршрута НУБП (ПСБ и Росавтодор) – ТОФК</w:t>
            </w:r>
          </w:p>
        </w:tc>
      </w:tr>
      <w:tr w:rsidR="00AD1F54" w:rsidRPr="00264D5D" w14:paraId="0EFF509C" w14:textId="77777777" w:rsidTr="00AD1F54">
        <w:trPr>
          <w:cnfStyle w:val="000000100000" w:firstRow="0" w:lastRow="0" w:firstColumn="0" w:lastColumn="0" w:oddVBand="0" w:evenVBand="0" w:oddHBand="1" w:evenHBand="0" w:firstRowFirstColumn="0" w:firstRowLastColumn="0" w:lastRowFirstColumn="0" w:lastRowLastColumn="0"/>
        </w:trPr>
        <w:tc>
          <w:tcPr>
            <w:tcW w:w="9634" w:type="dxa"/>
            <w:gridSpan w:val="6"/>
          </w:tcPr>
          <w:p w14:paraId="5CE3173C" w14:textId="77777777" w:rsidR="00AD1F54" w:rsidRPr="00264D5D" w:rsidRDefault="00941227">
            <w:pPr>
              <w:spacing w:before="60" w:after="60"/>
              <w:rPr>
                <w:sz w:val="22"/>
                <w:szCs w:val="22"/>
              </w:rPr>
            </w:pPr>
            <w:r w:rsidRPr="00264D5D">
              <w:rPr>
                <w:b/>
                <w:sz w:val="22"/>
                <w:szCs w:val="22"/>
              </w:rPr>
              <w:lastRenderedPageBreak/>
              <w:t>Системная информация</w:t>
            </w:r>
          </w:p>
        </w:tc>
      </w:tr>
      <w:tr w:rsidR="00AD1F54" w:rsidRPr="00264D5D" w14:paraId="111EAA64"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3C43527" w14:textId="77777777" w:rsidR="00AD1F54" w:rsidRPr="00264D5D" w:rsidRDefault="00941227">
            <w:pPr>
              <w:pStyle w:val="GOSTTablenorm"/>
              <w:rPr>
                <w:szCs w:val="22"/>
              </w:rPr>
            </w:pPr>
            <w:r w:rsidRPr="00264D5D">
              <w:rPr>
                <w:szCs w:val="22"/>
              </w:rPr>
              <w:t xml:space="preserve">Системная информация </w:t>
            </w:r>
          </w:p>
        </w:tc>
        <w:tc>
          <w:tcPr>
            <w:tcW w:w="1701" w:type="dxa"/>
          </w:tcPr>
          <w:p w14:paraId="49381A1F" w14:textId="77777777" w:rsidR="00AD1F54" w:rsidRPr="00264D5D" w:rsidRDefault="00941227">
            <w:pPr>
              <w:pStyle w:val="GOSTTablenorm"/>
              <w:rPr>
                <w:szCs w:val="22"/>
              </w:rPr>
            </w:pPr>
            <w:r w:rsidRPr="00264D5D">
              <w:rPr>
                <w:szCs w:val="22"/>
              </w:rPr>
              <w:t>StmInfrmtn_TF</w:t>
            </w:r>
          </w:p>
        </w:tc>
        <w:tc>
          <w:tcPr>
            <w:tcW w:w="567" w:type="dxa"/>
          </w:tcPr>
          <w:p w14:paraId="084EE1F8" w14:textId="77777777" w:rsidR="00AD1F54" w:rsidRPr="00264D5D" w:rsidRDefault="00941227">
            <w:pPr>
              <w:pStyle w:val="GOSTTablenorm"/>
              <w:jc w:val="center"/>
              <w:rPr>
                <w:szCs w:val="22"/>
              </w:rPr>
            </w:pPr>
            <w:r w:rsidRPr="00264D5D">
              <w:rPr>
                <w:szCs w:val="22"/>
              </w:rPr>
              <w:t>С</w:t>
            </w:r>
          </w:p>
        </w:tc>
        <w:tc>
          <w:tcPr>
            <w:tcW w:w="1134" w:type="dxa"/>
          </w:tcPr>
          <w:p w14:paraId="553F9E3D" w14:textId="77777777" w:rsidR="00AD1F54" w:rsidRPr="00264D5D" w:rsidRDefault="00941227">
            <w:pPr>
              <w:pStyle w:val="GOSTTablenorm"/>
              <w:rPr>
                <w:szCs w:val="22"/>
              </w:rPr>
            </w:pPr>
            <w:r w:rsidRPr="00264D5D">
              <w:rPr>
                <w:szCs w:val="22"/>
              </w:rPr>
              <w:t>tTF</w:t>
            </w:r>
          </w:p>
        </w:tc>
        <w:tc>
          <w:tcPr>
            <w:tcW w:w="567" w:type="dxa"/>
          </w:tcPr>
          <w:p w14:paraId="04A67E61" w14:textId="77777777" w:rsidR="00AD1F54" w:rsidRPr="00264D5D" w:rsidRDefault="00941227">
            <w:pPr>
              <w:pStyle w:val="GOSTTablenorm"/>
              <w:jc w:val="center"/>
              <w:rPr>
                <w:szCs w:val="22"/>
              </w:rPr>
            </w:pPr>
            <w:r w:rsidRPr="00264D5D">
              <w:rPr>
                <w:szCs w:val="22"/>
              </w:rPr>
              <w:t>О</w:t>
            </w:r>
          </w:p>
        </w:tc>
        <w:tc>
          <w:tcPr>
            <w:tcW w:w="3964" w:type="dxa"/>
          </w:tcPr>
          <w:p w14:paraId="024AF827" w14:textId="71BEB343" w:rsidR="00AD1F54" w:rsidRPr="00264D5D" w:rsidRDefault="00941227">
            <w:pPr>
              <w:spacing w:before="60" w:after="60"/>
              <w:rPr>
                <w:sz w:val="22"/>
                <w:szCs w:val="22"/>
              </w:rPr>
            </w:pPr>
            <w:r w:rsidRPr="00264D5D">
              <w:rPr>
                <w:sz w:val="22"/>
                <w:szCs w:val="22"/>
              </w:rPr>
              <w:t>Состав элемента представлен в таблице</w:t>
            </w:r>
            <w:r w:rsidRPr="00264D5D">
              <w:rPr>
                <w:b/>
                <w:sz w:val="22"/>
                <w:szCs w:val="22"/>
              </w:rPr>
              <w:t xml:space="preserve"> </w:t>
            </w:r>
            <w:r w:rsidRPr="00264D5D">
              <w:rPr>
                <w:b/>
                <w:sz w:val="22"/>
                <w:szCs w:val="22"/>
              </w:rPr>
              <w:fldChar w:fldCharType="begin"/>
            </w:r>
            <w:r w:rsidRPr="00264D5D">
              <w:rPr>
                <w:b/>
                <w:sz w:val="22"/>
                <w:szCs w:val="22"/>
              </w:rPr>
              <w:instrText xml:space="preserve"> REF _Ref153206454 \h  \* MERGEFORMAT </w:instrText>
            </w:r>
            <w:r w:rsidRPr="00264D5D">
              <w:rPr>
                <w:b/>
                <w:sz w:val="22"/>
                <w:szCs w:val="22"/>
              </w:rPr>
            </w:r>
            <w:r w:rsidRPr="00264D5D">
              <w:rPr>
                <w:b/>
                <w:sz w:val="22"/>
                <w:szCs w:val="22"/>
              </w:rPr>
              <w:fldChar w:fldCharType="separate"/>
            </w:r>
            <w:r w:rsidR="008D797C" w:rsidRPr="008D797C">
              <w:rPr>
                <w:sz w:val="22"/>
                <w:szCs w:val="22"/>
              </w:rPr>
              <w:t>277</w:t>
            </w:r>
            <w:r w:rsidRPr="00264D5D">
              <w:rPr>
                <w:b/>
                <w:sz w:val="22"/>
                <w:szCs w:val="22"/>
              </w:rPr>
              <w:fldChar w:fldCharType="end"/>
            </w:r>
          </w:p>
        </w:tc>
      </w:tr>
      <w:tr w:rsidR="00AD1F54" w:rsidRPr="00264D5D" w14:paraId="7B902B95" w14:textId="77777777" w:rsidTr="00AD1F54">
        <w:trPr>
          <w:cnfStyle w:val="000000100000" w:firstRow="0" w:lastRow="0" w:firstColumn="0" w:lastColumn="0" w:oddVBand="0" w:evenVBand="0" w:oddHBand="1" w:evenHBand="0" w:firstRowFirstColumn="0" w:firstRowLastColumn="0" w:lastRowFirstColumn="0" w:lastRowLastColumn="0"/>
        </w:trPr>
        <w:tc>
          <w:tcPr>
            <w:tcW w:w="9634" w:type="dxa"/>
            <w:gridSpan w:val="6"/>
          </w:tcPr>
          <w:p w14:paraId="607B76F9" w14:textId="77777777" w:rsidR="00AD1F54" w:rsidRPr="00264D5D" w:rsidRDefault="00941227">
            <w:pPr>
              <w:spacing w:before="60" w:after="60"/>
              <w:rPr>
                <w:sz w:val="22"/>
                <w:szCs w:val="22"/>
              </w:rPr>
            </w:pPr>
            <w:r w:rsidRPr="00264D5D">
              <w:rPr>
                <w:b/>
                <w:sz w:val="22"/>
                <w:szCs w:val="22"/>
              </w:rPr>
              <w:t>ЭП</w:t>
            </w:r>
          </w:p>
        </w:tc>
      </w:tr>
      <w:tr w:rsidR="00AD1F54" w:rsidRPr="00264D5D" w14:paraId="4D1862A0"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64E5005E" w14:textId="77777777" w:rsidR="00AD1F54" w:rsidRPr="00264D5D" w:rsidRDefault="00941227">
            <w:pPr>
              <w:pStyle w:val="GOSTTablenorm"/>
              <w:rPr>
                <w:i/>
                <w:szCs w:val="22"/>
              </w:rPr>
            </w:pPr>
            <w:r w:rsidRPr="00264D5D">
              <w:rPr>
                <w:szCs w:val="22"/>
              </w:rPr>
              <w:t>Электронная подпись</w:t>
            </w:r>
          </w:p>
        </w:tc>
        <w:tc>
          <w:tcPr>
            <w:tcW w:w="1701" w:type="dxa"/>
          </w:tcPr>
          <w:p w14:paraId="404BFF20" w14:textId="77777777" w:rsidR="00AD1F54" w:rsidRPr="00264D5D" w:rsidRDefault="00941227">
            <w:pPr>
              <w:pStyle w:val="GOSTTablenorm"/>
              <w:rPr>
                <w:szCs w:val="22"/>
              </w:rPr>
            </w:pPr>
            <w:r w:rsidRPr="00264D5D">
              <w:rPr>
                <w:szCs w:val="22"/>
              </w:rPr>
              <w:t>Signature</w:t>
            </w:r>
          </w:p>
        </w:tc>
        <w:tc>
          <w:tcPr>
            <w:tcW w:w="567" w:type="dxa"/>
          </w:tcPr>
          <w:p w14:paraId="3E873475" w14:textId="77777777" w:rsidR="00AD1F54" w:rsidRPr="00264D5D" w:rsidRDefault="00941227">
            <w:pPr>
              <w:pStyle w:val="GOSTTablenorm"/>
              <w:jc w:val="center"/>
              <w:rPr>
                <w:szCs w:val="22"/>
              </w:rPr>
            </w:pPr>
            <w:r w:rsidRPr="00264D5D">
              <w:rPr>
                <w:szCs w:val="22"/>
              </w:rPr>
              <w:t>С</w:t>
            </w:r>
          </w:p>
        </w:tc>
        <w:tc>
          <w:tcPr>
            <w:tcW w:w="1134" w:type="dxa"/>
          </w:tcPr>
          <w:p w14:paraId="63F4516E" w14:textId="77777777" w:rsidR="00AD1F54" w:rsidRPr="00264D5D" w:rsidRDefault="00941227">
            <w:pPr>
              <w:pStyle w:val="GOSTTablenorm"/>
              <w:rPr>
                <w:szCs w:val="22"/>
              </w:rPr>
            </w:pPr>
            <w:r w:rsidRPr="00264D5D">
              <w:rPr>
                <w:rFonts w:eastAsia="Calibri"/>
                <w:szCs w:val="22"/>
              </w:rPr>
              <w:t>SignatureType</w:t>
            </w:r>
          </w:p>
        </w:tc>
        <w:tc>
          <w:tcPr>
            <w:tcW w:w="567" w:type="dxa"/>
          </w:tcPr>
          <w:p w14:paraId="2EE4DC80" w14:textId="77777777" w:rsidR="00AD1F54" w:rsidRPr="00264D5D" w:rsidRDefault="00941227">
            <w:pPr>
              <w:pStyle w:val="GOSTTablenorm"/>
              <w:jc w:val="center"/>
              <w:rPr>
                <w:szCs w:val="22"/>
              </w:rPr>
            </w:pPr>
            <w:r w:rsidRPr="00264D5D">
              <w:rPr>
                <w:szCs w:val="22"/>
              </w:rPr>
              <w:t>НМ</w:t>
            </w:r>
          </w:p>
        </w:tc>
        <w:tc>
          <w:tcPr>
            <w:tcW w:w="3964" w:type="dxa"/>
          </w:tcPr>
          <w:p w14:paraId="1CEBF7CA" w14:textId="77777777" w:rsidR="00AD1F54" w:rsidRPr="00264D5D" w:rsidRDefault="00941227">
            <w:pPr>
              <w:pStyle w:val="GOSTTablenorm"/>
              <w:rPr>
                <w:szCs w:val="22"/>
              </w:rPr>
            </w:pPr>
            <w:r w:rsidRPr="00264D5D">
              <w:rPr>
                <w:szCs w:val="22"/>
              </w:rPr>
              <w:t>Блок подписи в формате XAdes. Указывается как референс согласно формату подписи XAdes.</w:t>
            </w:r>
          </w:p>
          <w:p w14:paraId="238DB955" w14:textId="77777777" w:rsidR="00AD1F54" w:rsidRPr="00264D5D" w:rsidRDefault="00941227">
            <w:pPr>
              <w:spacing w:before="60" w:after="60"/>
              <w:rPr>
                <w:sz w:val="22"/>
                <w:szCs w:val="22"/>
              </w:rPr>
            </w:pPr>
            <w:r w:rsidRPr="00264D5D">
              <w:rPr>
                <w:sz w:val="22"/>
                <w:szCs w:val="22"/>
              </w:rPr>
              <w:t>Заполняется согласно п.3.5.3 Тома 1 настоящего альбома.</w:t>
            </w:r>
          </w:p>
          <w:p w14:paraId="0F0BA728" w14:textId="77777777" w:rsidR="00AD1F54" w:rsidRPr="00264D5D" w:rsidRDefault="00941227">
            <w:pPr>
              <w:pStyle w:val="GOSTTablenorm"/>
              <w:rPr>
                <w:szCs w:val="22"/>
              </w:rPr>
            </w:pPr>
            <w:r w:rsidRPr="00264D5D">
              <w:rPr>
                <w:szCs w:val="22"/>
              </w:rPr>
              <w:t>Обязателен для заполнения при сервисн</w:t>
            </w:r>
            <w:r w:rsidR="00B06B9A" w:rsidRPr="00264D5D">
              <w:rPr>
                <w:szCs w:val="22"/>
              </w:rPr>
              <w:t>ом взаимодействии ПФХД и ПУР ЭБ</w:t>
            </w:r>
          </w:p>
        </w:tc>
      </w:tr>
    </w:tbl>
    <w:p w14:paraId="3B8C7DB3" w14:textId="77777777" w:rsidR="00AD1F54" w:rsidRPr="00264D5D" w:rsidRDefault="00941227">
      <w:pPr>
        <w:pStyle w:val="31"/>
      </w:pPr>
      <w:bookmarkStart w:id="2993" w:name="_Toc18509331"/>
      <w:r w:rsidRPr="00264D5D">
        <w:t xml:space="preserve"> </w:t>
      </w:r>
      <w:bookmarkStart w:id="2994" w:name="_Toc143690215"/>
      <w:bookmarkStart w:id="2995" w:name="_Toc219309737"/>
      <w:r w:rsidRPr="00264D5D">
        <w:t>Описание комплексного типа «</w:t>
      </w:r>
      <w:r w:rsidRPr="00264D5D">
        <w:rPr>
          <w:rFonts w:eastAsiaTheme="minorHAnsi"/>
        </w:rPr>
        <w:t>tTtlPrt_DocKindCodeComplex</w:t>
      </w:r>
      <w:r w:rsidRPr="00264D5D">
        <w:t>»</w:t>
      </w:r>
      <w:bookmarkEnd w:id="2994"/>
      <w:bookmarkEnd w:id="2995"/>
    </w:p>
    <w:p w14:paraId="17BF133F" w14:textId="77777777" w:rsidR="00AD1F54" w:rsidRPr="00264D5D" w:rsidRDefault="00941227">
      <w:pPr>
        <w:pStyle w:val="GOSTNormal"/>
      </w:pPr>
      <w:r w:rsidRPr="00264D5D">
        <w:t>Описание комплексного типа «tTtlPrt_DocKindCodeComplex» блока «Код платежного документа».</w:t>
      </w:r>
    </w:p>
    <w:p w14:paraId="18521BD9" w14:textId="7CECFE75" w:rsidR="00AD1F54" w:rsidRPr="00264D5D" w:rsidRDefault="00941227">
      <w:pPr>
        <w:pStyle w:val="GOSTNameTable"/>
        <w:numPr>
          <w:ilvl w:val="0"/>
          <w:numId w:val="2"/>
        </w:numPr>
        <w:spacing w:before="240" w:after="120"/>
      </w:pPr>
      <w:r w:rsidRPr="00264D5D">
        <w:fldChar w:fldCharType="begin"/>
      </w:r>
      <w:r w:rsidRPr="00264D5D">
        <w:instrText>SEQ Таблица \* ARABIC</w:instrText>
      </w:r>
      <w:r w:rsidRPr="00264D5D">
        <w:fldChar w:fldCharType="separate"/>
      </w:r>
      <w:bookmarkStart w:id="2996" w:name="_Ref130303177"/>
      <w:bookmarkStart w:id="2997" w:name="_Toc219309293"/>
      <w:r w:rsidR="008D797C">
        <w:rPr>
          <w:noProof/>
        </w:rPr>
        <w:t>263</w:t>
      </w:r>
      <w:bookmarkEnd w:id="2996"/>
      <w:r w:rsidRPr="00264D5D">
        <w:fldChar w:fldCharType="end"/>
      </w:r>
      <w:r w:rsidRPr="00264D5D">
        <w:t xml:space="preserve"> – Описание комплексного типа «</w:t>
      </w:r>
      <w:r w:rsidRPr="00264D5D">
        <w:rPr>
          <w:rFonts w:eastAsiaTheme="minorHAnsi"/>
        </w:rPr>
        <w:t>tTtlPrt_DocKindCodeComplex</w:t>
      </w:r>
      <w:r w:rsidRPr="00264D5D">
        <w:t>»</w:t>
      </w:r>
      <w:bookmarkEnd w:id="2997"/>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AD1F54" w:rsidRPr="00264D5D" w14:paraId="2D6BEB03" w14:textId="77777777" w:rsidTr="00AD1F54">
        <w:trPr>
          <w:cnfStyle w:val="100000000000" w:firstRow="1" w:lastRow="0" w:firstColumn="0" w:lastColumn="0" w:oddVBand="0" w:evenVBand="0" w:oddHBand="0" w:evenHBand="0" w:firstRowFirstColumn="0" w:firstRowLastColumn="0" w:lastRowFirstColumn="0" w:lastRowLastColumn="0"/>
        </w:trPr>
        <w:tc>
          <w:tcPr>
            <w:tcW w:w="1701" w:type="dxa"/>
          </w:tcPr>
          <w:p w14:paraId="21032402" w14:textId="77777777" w:rsidR="00AD1F54" w:rsidRPr="00264D5D" w:rsidRDefault="00941227">
            <w:pPr>
              <w:pStyle w:val="GOSTTableHead"/>
            </w:pPr>
            <w:r w:rsidRPr="00264D5D">
              <w:t>Наименование элемента</w:t>
            </w:r>
          </w:p>
        </w:tc>
        <w:tc>
          <w:tcPr>
            <w:tcW w:w="1701" w:type="dxa"/>
          </w:tcPr>
          <w:p w14:paraId="108921D8" w14:textId="77777777" w:rsidR="00AD1F54" w:rsidRPr="00264D5D" w:rsidRDefault="00941227">
            <w:pPr>
              <w:pStyle w:val="GOSTTableHead"/>
            </w:pPr>
            <w:r w:rsidRPr="00264D5D">
              <w:t>Сокращенное наименование (код) элемента</w:t>
            </w:r>
          </w:p>
        </w:tc>
        <w:tc>
          <w:tcPr>
            <w:tcW w:w="567" w:type="dxa"/>
          </w:tcPr>
          <w:p w14:paraId="77E40906" w14:textId="77777777" w:rsidR="00AD1F54" w:rsidRPr="00264D5D" w:rsidRDefault="00941227">
            <w:pPr>
              <w:pStyle w:val="GOSTTableHead"/>
            </w:pPr>
            <w:r w:rsidRPr="00264D5D">
              <w:t>Тип</w:t>
            </w:r>
          </w:p>
        </w:tc>
        <w:tc>
          <w:tcPr>
            <w:tcW w:w="1134" w:type="dxa"/>
          </w:tcPr>
          <w:p w14:paraId="023B15CF" w14:textId="77777777" w:rsidR="00AD1F54" w:rsidRPr="00264D5D" w:rsidRDefault="00941227">
            <w:pPr>
              <w:pStyle w:val="GOSTTableHead"/>
            </w:pPr>
            <w:r w:rsidRPr="00264D5D">
              <w:t>Формат элемента</w:t>
            </w:r>
          </w:p>
        </w:tc>
        <w:tc>
          <w:tcPr>
            <w:tcW w:w="567" w:type="dxa"/>
          </w:tcPr>
          <w:p w14:paraId="2FC04598" w14:textId="77777777" w:rsidR="00AD1F54" w:rsidRPr="00264D5D" w:rsidRDefault="00941227">
            <w:pPr>
              <w:pStyle w:val="GOSTTableHead"/>
            </w:pPr>
            <w:r w:rsidRPr="00264D5D">
              <w:t>Обязательность</w:t>
            </w:r>
          </w:p>
        </w:tc>
        <w:tc>
          <w:tcPr>
            <w:tcW w:w="3963" w:type="dxa"/>
          </w:tcPr>
          <w:p w14:paraId="7E3AB62D" w14:textId="77777777" w:rsidR="00AD1F54" w:rsidRPr="00264D5D" w:rsidRDefault="00941227">
            <w:pPr>
              <w:pStyle w:val="GOSTTableHead"/>
            </w:pPr>
            <w:r w:rsidRPr="00264D5D">
              <w:t>Дополнительная информация</w:t>
            </w:r>
          </w:p>
        </w:tc>
      </w:tr>
      <w:tr w:rsidR="00AD1F54" w:rsidRPr="00264D5D" w14:paraId="3843C526" w14:textId="77777777" w:rsidTr="00AD1F54">
        <w:tc>
          <w:tcPr>
            <w:tcW w:w="1701" w:type="dxa"/>
          </w:tcPr>
          <w:p w14:paraId="2023A5F0" w14:textId="77777777" w:rsidR="00AD1F54" w:rsidRPr="00264D5D" w:rsidRDefault="00941227">
            <w:pPr>
              <w:pStyle w:val="GOSTTablenorm"/>
            </w:pPr>
            <w:r w:rsidRPr="00264D5D">
              <w:t>Код платежного документа</w:t>
            </w:r>
          </w:p>
        </w:tc>
        <w:tc>
          <w:tcPr>
            <w:tcW w:w="1701" w:type="dxa"/>
          </w:tcPr>
          <w:p w14:paraId="12A1A57B" w14:textId="77777777" w:rsidR="00AD1F54" w:rsidRPr="00264D5D" w:rsidRDefault="00941227">
            <w:pPr>
              <w:pStyle w:val="GOSTTablenorm"/>
            </w:pPr>
            <w:r w:rsidRPr="00264D5D">
              <w:t>code</w:t>
            </w:r>
          </w:p>
        </w:tc>
        <w:tc>
          <w:tcPr>
            <w:tcW w:w="567" w:type="dxa"/>
          </w:tcPr>
          <w:p w14:paraId="5E56297D" w14:textId="77777777" w:rsidR="00AD1F54" w:rsidRPr="00264D5D" w:rsidRDefault="00941227">
            <w:pPr>
              <w:pStyle w:val="GOSTTablenorm"/>
              <w:jc w:val="center"/>
            </w:pPr>
            <w:r w:rsidRPr="00264D5D">
              <w:t>А</w:t>
            </w:r>
          </w:p>
        </w:tc>
        <w:tc>
          <w:tcPr>
            <w:tcW w:w="1134" w:type="dxa"/>
          </w:tcPr>
          <w:p w14:paraId="2A827707" w14:textId="77777777" w:rsidR="00AD1F54" w:rsidRPr="00264D5D" w:rsidRDefault="00941227">
            <w:pPr>
              <w:pStyle w:val="GOSTTablenorm"/>
            </w:pPr>
            <w:r w:rsidRPr="00264D5D">
              <w:t>-</w:t>
            </w:r>
          </w:p>
        </w:tc>
        <w:tc>
          <w:tcPr>
            <w:tcW w:w="567" w:type="dxa"/>
          </w:tcPr>
          <w:p w14:paraId="6A1D207B" w14:textId="77777777" w:rsidR="00AD1F54" w:rsidRPr="00264D5D" w:rsidRDefault="00941227">
            <w:pPr>
              <w:pStyle w:val="GOSTTablenorm"/>
              <w:jc w:val="center"/>
            </w:pPr>
            <w:r w:rsidRPr="00264D5D">
              <w:t>О</w:t>
            </w:r>
          </w:p>
        </w:tc>
        <w:tc>
          <w:tcPr>
            <w:tcW w:w="3963" w:type="dxa"/>
          </w:tcPr>
          <w:p w14:paraId="7A73FFD2" w14:textId="77777777" w:rsidR="00AD1F54" w:rsidRPr="00264D5D" w:rsidRDefault="00941227">
            <w:pPr>
              <w:pStyle w:val="GOSTTablenorm"/>
            </w:pPr>
            <w:r w:rsidRPr="00264D5D">
              <w:t>Допустимые значения:</w:t>
            </w:r>
          </w:p>
          <w:p w14:paraId="4F2A2621" w14:textId="77777777" w:rsidR="00AD1F54" w:rsidRPr="00264D5D" w:rsidRDefault="003A6860" w:rsidP="00101F62">
            <w:pPr>
              <w:pStyle w:val="GOSTTablenorm"/>
              <w:numPr>
                <w:ilvl w:val="0"/>
                <w:numId w:val="142"/>
              </w:numPr>
              <w:ind w:left="284" w:hanging="227"/>
              <w:rPr>
                <w:szCs w:val="24"/>
              </w:rPr>
            </w:pPr>
            <w:r w:rsidRPr="00264D5D">
              <w:t>«</w:t>
            </w:r>
            <w:r w:rsidR="00941227" w:rsidRPr="00264D5D">
              <w:t>RN</w:t>
            </w:r>
            <w:r w:rsidRPr="00264D5D">
              <w:t>»</w:t>
            </w:r>
            <w:r w:rsidRPr="00264D5D">
              <w:rPr>
                <w:szCs w:val="24"/>
              </w:rPr>
              <w:t xml:space="preserve"> – </w:t>
            </w:r>
            <w:r w:rsidR="00941227" w:rsidRPr="00264D5D">
              <w:t>Расшифровка сумм неиспользованных (внесенных через банкомат или пункт выдачи нал</w:t>
            </w:r>
            <w:r w:rsidRPr="00264D5D">
              <w:t>ичных денежных средств) средств</w:t>
            </w:r>
            <w:r w:rsidR="00941227" w:rsidRPr="00264D5D">
              <w:rPr>
                <w:szCs w:val="24"/>
              </w:rPr>
              <w:t>;</w:t>
            </w:r>
          </w:p>
          <w:p w14:paraId="1F05B029" w14:textId="77777777" w:rsidR="00AD1F54" w:rsidRPr="00264D5D" w:rsidRDefault="003A6860" w:rsidP="00101F62">
            <w:pPr>
              <w:pStyle w:val="GOSTTablenorm"/>
              <w:numPr>
                <w:ilvl w:val="0"/>
                <w:numId w:val="142"/>
              </w:numPr>
              <w:ind w:left="284" w:hanging="227"/>
            </w:pPr>
            <w:r w:rsidRPr="00264D5D">
              <w:t>«</w:t>
            </w:r>
            <w:r w:rsidR="00941227" w:rsidRPr="00264D5D">
              <w:t>OC</w:t>
            </w:r>
            <w:r w:rsidRPr="00264D5D">
              <w:t>»</w:t>
            </w:r>
            <w:r w:rsidRPr="00264D5D">
              <w:rPr>
                <w:szCs w:val="24"/>
              </w:rPr>
              <w:t xml:space="preserve"> – </w:t>
            </w:r>
            <w:r w:rsidR="00941227" w:rsidRPr="00264D5D">
              <w:t>Заявка о внес</w:t>
            </w:r>
            <w:r w:rsidR="00B06B9A" w:rsidRPr="00264D5D">
              <w:t xml:space="preserve">ении наличных </w:t>
            </w:r>
            <w:r w:rsidRPr="00264D5D">
              <w:t>денежных средств</w:t>
            </w:r>
          </w:p>
        </w:tc>
      </w:tr>
      <w:tr w:rsidR="00AD1F54" w:rsidRPr="00264D5D" w14:paraId="6A993A9E" w14:textId="77777777" w:rsidTr="00AD1F54">
        <w:trPr>
          <w:trHeight w:val="537"/>
        </w:trPr>
        <w:tc>
          <w:tcPr>
            <w:tcW w:w="1701" w:type="dxa"/>
          </w:tcPr>
          <w:p w14:paraId="1AEF1BBF" w14:textId="77777777" w:rsidR="00AD1F54" w:rsidRPr="00264D5D" w:rsidRDefault="00941227">
            <w:pPr>
              <w:pStyle w:val="GOSTTablenorm"/>
            </w:pPr>
            <w:r w:rsidRPr="00264D5D">
              <w:t>Тип платежного документа</w:t>
            </w:r>
          </w:p>
        </w:tc>
        <w:tc>
          <w:tcPr>
            <w:tcW w:w="1701" w:type="dxa"/>
          </w:tcPr>
          <w:p w14:paraId="6208392A" w14:textId="77777777" w:rsidR="00AD1F54" w:rsidRPr="00264D5D" w:rsidRDefault="00941227">
            <w:pPr>
              <w:pStyle w:val="GOSTTablenorm"/>
            </w:pPr>
            <w:r w:rsidRPr="00264D5D">
              <w:t>value</w:t>
            </w:r>
          </w:p>
        </w:tc>
        <w:tc>
          <w:tcPr>
            <w:tcW w:w="567" w:type="dxa"/>
          </w:tcPr>
          <w:p w14:paraId="7085E4BC" w14:textId="77777777" w:rsidR="00AD1F54" w:rsidRPr="00264D5D" w:rsidRDefault="00941227">
            <w:pPr>
              <w:pStyle w:val="GOSTTablenorm"/>
              <w:jc w:val="center"/>
            </w:pPr>
            <w:r w:rsidRPr="00264D5D">
              <w:t>А</w:t>
            </w:r>
          </w:p>
        </w:tc>
        <w:tc>
          <w:tcPr>
            <w:tcW w:w="1134" w:type="dxa"/>
          </w:tcPr>
          <w:p w14:paraId="5BA4F063" w14:textId="77777777" w:rsidR="00AD1F54" w:rsidRPr="00264D5D" w:rsidRDefault="00941227">
            <w:pPr>
              <w:pStyle w:val="GOSTTablenorm"/>
            </w:pPr>
            <w:r w:rsidRPr="00264D5D">
              <w:t>-</w:t>
            </w:r>
          </w:p>
        </w:tc>
        <w:tc>
          <w:tcPr>
            <w:tcW w:w="567" w:type="dxa"/>
          </w:tcPr>
          <w:p w14:paraId="61A6FBFA" w14:textId="77777777" w:rsidR="00AD1F54" w:rsidRPr="00264D5D" w:rsidRDefault="00941227">
            <w:pPr>
              <w:pStyle w:val="GOSTTablenorm"/>
              <w:jc w:val="center"/>
            </w:pPr>
            <w:r w:rsidRPr="00264D5D">
              <w:t>Н</w:t>
            </w:r>
          </w:p>
        </w:tc>
        <w:tc>
          <w:tcPr>
            <w:tcW w:w="3963" w:type="dxa"/>
          </w:tcPr>
          <w:p w14:paraId="5E1D82E1" w14:textId="77777777" w:rsidR="00AD1F54" w:rsidRPr="00264D5D" w:rsidRDefault="00941227">
            <w:pPr>
              <w:pStyle w:val="GOSTTablenorm"/>
            </w:pPr>
            <w:r w:rsidRPr="00264D5D">
              <w:t>Допустимые значения:</w:t>
            </w:r>
          </w:p>
          <w:p w14:paraId="2D32E282" w14:textId="77777777" w:rsidR="00AD1F54" w:rsidRPr="00264D5D" w:rsidRDefault="00941227" w:rsidP="00101F62">
            <w:pPr>
              <w:pStyle w:val="GOSTTablenorm"/>
              <w:numPr>
                <w:ilvl w:val="0"/>
                <w:numId w:val="142"/>
              </w:numPr>
              <w:ind w:left="284" w:hanging="227"/>
            </w:pPr>
            <w:r w:rsidRPr="00264D5D">
              <w:t>Расшифровка сумм неиспользованных (внесенных через банкомат или пункт выдачи нал</w:t>
            </w:r>
            <w:r w:rsidR="003A6860" w:rsidRPr="00264D5D">
              <w:t>ичных денежных средств) средств</w:t>
            </w:r>
            <w:r w:rsidRPr="00264D5D">
              <w:t>;</w:t>
            </w:r>
          </w:p>
          <w:p w14:paraId="142856DE" w14:textId="77777777" w:rsidR="00AD1F54" w:rsidRPr="00264D5D" w:rsidRDefault="00941227" w:rsidP="00101F62">
            <w:pPr>
              <w:pStyle w:val="GOSTTablenorm"/>
              <w:numPr>
                <w:ilvl w:val="0"/>
                <w:numId w:val="142"/>
              </w:numPr>
              <w:ind w:left="284" w:hanging="227"/>
            </w:pPr>
            <w:r w:rsidRPr="00264D5D">
              <w:t>Заявка о внесен</w:t>
            </w:r>
            <w:r w:rsidR="003A6860" w:rsidRPr="00264D5D">
              <w:t>ии наличных денежных средств</w:t>
            </w:r>
          </w:p>
        </w:tc>
      </w:tr>
    </w:tbl>
    <w:p w14:paraId="136AB38A" w14:textId="77777777" w:rsidR="00AD1F54" w:rsidRPr="00264D5D" w:rsidRDefault="00941227">
      <w:pPr>
        <w:pStyle w:val="31"/>
      </w:pPr>
      <w:bookmarkStart w:id="2998" w:name="_Toc219309738"/>
      <w:r w:rsidRPr="00264D5D">
        <w:lastRenderedPageBreak/>
        <w:t>Описание комплексного типа «tOprTpComplex»</w:t>
      </w:r>
      <w:bookmarkEnd w:id="2993"/>
      <w:bookmarkEnd w:id="2998"/>
    </w:p>
    <w:p w14:paraId="7F767D6F" w14:textId="77777777" w:rsidR="00AD1F54" w:rsidRPr="00264D5D" w:rsidRDefault="00941227">
      <w:pPr>
        <w:pStyle w:val="GOSTNormal"/>
      </w:pPr>
      <w:r w:rsidRPr="00264D5D">
        <w:t>Описание комплексного типа «tOprTpComplex» блока «Вид операции».</w:t>
      </w:r>
    </w:p>
    <w:p w14:paraId="7FB71663" w14:textId="247D2DCC"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2999" w:name="_Ref531618127"/>
      <w:bookmarkStart w:id="3000" w:name="_Toc18509610"/>
      <w:bookmarkStart w:id="3001" w:name="_Toc219309294"/>
      <w:r w:rsidR="008D797C">
        <w:rPr>
          <w:noProof/>
        </w:rPr>
        <w:t>264</w:t>
      </w:r>
      <w:bookmarkEnd w:id="2999"/>
      <w:r w:rsidRPr="00264D5D">
        <w:fldChar w:fldCharType="end"/>
      </w:r>
      <w:r w:rsidRPr="00264D5D">
        <w:t xml:space="preserve"> – Описание комплексного типа «tOprTpComplex»</w:t>
      </w:r>
      <w:bookmarkEnd w:id="3000"/>
      <w:bookmarkEnd w:id="3001"/>
    </w:p>
    <w:tbl>
      <w:tblPr>
        <w:tblStyle w:val="GOSTTable"/>
        <w:tblW w:w="9633" w:type="dxa"/>
        <w:tblLayout w:type="fixed"/>
        <w:tblLook w:val="04A0" w:firstRow="1" w:lastRow="0" w:firstColumn="1" w:lastColumn="0" w:noHBand="0" w:noVBand="1"/>
      </w:tblPr>
      <w:tblGrid>
        <w:gridCol w:w="1701"/>
        <w:gridCol w:w="1701"/>
        <w:gridCol w:w="567"/>
        <w:gridCol w:w="1134"/>
        <w:gridCol w:w="567"/>
        <w:gridCol w:w="3963"/>
      </w:tblGrid>
      <w:tr w:rsidR="00AD1F54" w:rsidRPr="00264D5D" w14:paraId="05E29DA5"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2DE2D8F7" w14:textId="77777777" w:rsidR="00AD1F54" w:rsidRPr="00264D5D" w:rsidRDefault="00941227">
            <w:pPr>
              <w:pStyle w:val="ASFKTableHead"/>
            </w:pPr>
            <w:r w:rsidRPr="00264D5D">
              <w:t>Наименование элемента</w:t>
            </w:r>
          </w:p>
        </w:tc>
        <w:tc>
          <w:tcPr>
            <w:tcW w:w="1701" w:type="dxa"/>
          </w:tcPr>
          <w:p w14:paraId="72AA3F17" w14:textId="77777777" w:rsidR="00AD1F54" w:rsidRPr="00264D5D" w:rsidRDefault="00941227">
            <w:pPr>
              <w:pStyle w:val="ASFKTableHead"/>
            </w:pPr>
            <w:r w:rsidRPr="00264D5D">
              <w:t>Сокращенное наименование (код) элемента</w:t>
            </w:r>
          </w:p>
        </w:tc>
        <w:tc>
          <w:tcPr>
            <w:tcW w:w="567" w:type="dxa"/>
          </w:tcPr>
          <w:p w14:paraId="08433A83" w14:textId="77777777" w:rsidR="00AD1F54" w:rsidRPr="00264D5D" w:rsidRDefault="00941227">
            <w:pPr>
              <w:pStyle w:val="ASFKTableHead"/>
            </w:pPr>
            <w:r w:rsidRPr="00264D5D">
              <w:t>Тип</w:t>
            </w:r>
          </w:p>
        </w:tc>
        <w:tc>
          <w:tcPr>
            <w:tcW w:w="1134" w:type="dxa"/>
          </w:tcPr>
          <w:p w14:paraId="16286F76" w14:textId="77777777" w:rsidR="00AD1F54" w:rsidRPr="00264D5D" w:rsidRDefault="00941227">
            <w:pPr>
              <w:pStyle w:val="ASFKTableHead"/>
            </w:pPr>
            <w:r w:rsidRPr="00264D5D">
              <w:t>Формат элемента</w:t>
            </w:r>
          </w:p>
        </w:tc>
        <w:tc>
          <w:tcPr>
            <w:tcW w:w="567" w:type="dxa"/>
          </w:tcPr>
          <w:p w14:paraId="2848BA5D" w14:textId="77777777" w:rsidR="00AD1F54" w:rsidRPr="00264D5D" w:rsidRDefault="00941227">
            <w:pPr>
              <w:pStyle w:val="ASFKTableHead"/>
            </w:pPr>
            <w:r w:rsidRPr="00264D5D">
              <w:t>Обязательность</w:t>
            </w:r>
          </w:p>
        </w:tc>
        <w:tc>
          <w:tcPr>
            <w:tcW w:w="3963" w:type="dxa"/>
          </w:tcPr>
          <w:p w14:paraId="092259FB" w14:textId="77777777" w:rsidR="00AD1F54" w:rsidRPr="00264D5D" w:rsidRDefault="00941227">
            <w:pPr>
              <w:pStyle w:val="ASFKTableHead"/>
            </w:pPr>
            <w:r w:rsidRPr="00264D5D">
              <w:t>Дополнительная информация</w:t>
            </w:r>
          </w:p>
        </w:tc>
      </w:tr>
      <w:tr w:rsidR="00AD1F54" w:rsidRPr="00264D5D" w14:paraId="23035571"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1C683E7" w14:textId="77777777" w:rsidR="00AD1F54" w:rsidRPr="00264D5D" w:rsidRDefault="00941227">
            <w:pPr>
              <w:pStyle w:val="GOSTTablenorm"/>
              <w:rPr>
                <w:szCs w:val="22"/>
              </w:rPr>
            </w:pPr>
            <w:r w:rsidRPr="00264D5D">
              <w:rPr>
                <w:szCs w:val="22"/>
              </w:rPr>
              <w:t>Код вида операции</w:t>
            </w:r>
          </w:p>
        </w:tc>
        <w:tc>
          <w:tcPr>
            <w:tcW w:w="1701" w:type="dxa"/>
          </w:tcPr>
          <w:p w14:paraId="17BF2144" w14:textId="77777777" w:rsidR="00AD1F54" w:rsidRPr="00264D5D" w:rsidRDefault="00941227">
            <w:pPr>
              <w:pStyle w:val="GOSTTablenorm"/>
              <w:rPr>
                <w:szCs w:val="22"/>
              </w:rPr>
            </w:pPr>
            <w:r w:rsidRPr="00264D5D">
              <w:rPr>
                <w:szCs w:val="22"/>
              </w:rPr>
              <w:t>code</w:t>
            </w:r>
          </w:p>
        </w:tc>
        <w:tc>
          <w:tcPr>
            <w:tcW w:w="567" w:type="dxa"/>
          </w:tcPr>
          <w:p w14:paraId="1A6BFA35" w14:textId="77777777" w:rsidR="00AD1F54" w:rsidRPr="00264D5D" w:rsidRDefault="00941227">
            <w:pPr>
              <w:pStyle w:val="GOSTTablenorm"/>
              <w:jc w:val="center"/>
              <w:rPr>
                <w:szCs w:val="22"/>
              </w:rPr>
            </w:pPr>
            <w:r w:rsidRPr="00264D5D">
              <w:rPr>
                <w:szCs w:val="22"/>
              </w:rPr>
              <w:t>А</w:t>
            </w:r>
          </w:p>
        </w:tc>
        <w:tc>
          <w:tcPr>
            <w:tcW w:w="1134" w:type="dxa"/>
          </w:tcPr>
          <w:p w14:paraId="3B6A8830" w14:textId="77777777" w:rsidR="00AD1F54" w:rsidRPr="00264D5D" w:rsidRDefault="00941227">
            <w:pPr>
              <w:pStyle w:val="GOSTTablenorm"/>
              <w:rPr>
                <w:szCs w:val="22"/>
              </w:rPr>
            </w:pPr>
            <w:r w:rsidRPr="00264D5D">
              <w:rPr>
                <w:szCs w:val="22"/>
              </w:rPr>
              <w:t>-</w:t>
            </w:r>
          </w:p>
        </w:tc>
        <w:tc>
          <w:tcPr>
            <w:tcW w:w="567" w:type="dxa"/>
          </w:tcPr>
          <w:p w14:paraId="00F7777A" w14:textId="77777777" w:rsidR="00AD1F54" w:rsidRPr="00264D5D" w:rsidRDefault="00941227">
            <w:pPr>
              <w:spacing w:before="60" w:after="60"/>
              <w:jc w:val="center"/>
              <w:rPr>
                <w:sz w:val="22"/>
                <w:szCs w:val="22"/>
              </w:rPr>
            </w:pPr>
            <w:r w:rsidRPr="00264D5D">
              <w:rPr>
                <w:sz w:val="22"/>
                <w:szCs w:val="22"/>
              </w:rPr>
              <w:t>О</w:t>
            </w:r>
          </w:p>
        </w:tc>
        <w:tc>
          <w:tcPr>
            <w:tcW w:w="3963" w:type="dxa"/>
          </w:tcPr>
          <w:p w14:paraId="30AF3539" w14:textId="77777777" w:rsidR="00AD1F54" w:rsidRPr="00264D5D" w:rsidRDefault="00941227">
            <w:pPr>
              <w:spacing w:before="60" w:after="60"/>
              <w:rPr>
                <w:sz w:val="22"/>
                <w:szCs w:val="22"/>
              </w:rPr>
            </w:pPr>
            <w:r w:rsidRPr="00264D5D">
              <w:rPr>
                <w:sz w:val="22"/>
                <w:szCs w:val="22"/>
              </w:rPr>
              <w:t>Допустимые значения:</w:t>
            </w:r>
          </w:p>
          <w:p w14:paraId="4C99A47F" w14:textId="3549D2F6" w:rsidR="00AD1F54" w:rsidRPr="00264D5D" w:rsidRDefault="0021139B" w:rsidP="00E7460C">
            <w:pPr>
              <w:pStyle w:val="GOSTTablenorm"/>
              <w:numPr>
                <w:ilvl w:val="0"/>
                <w:numId w:val="80"/>
              </w:numPr>
              <w:ind w:left="284" w:hanging="227"/>
            </w:pPr>
            <w:r>
              <w:t>«</w:t>
            </w:r>
            <w:r w:rsidR="00941227" w:rsidRPr="00264D5D">
              <w:t>1</w:t>
            </w:r>
            <w:r>
              <w:t>»</w:t>
            </w:r>
            <w:r w:rsidR="00941227" w:rsidRPr="00264D5D">
              <w:t xml:space="preserve"> – Взнос наличных;</w:t>
            </w:r>
          </w:p>
          <w:p w14:paraId="3D488AD8" w14:textId="637BF258" w:rsidR="00AD1F54" w:rsidRPr="00264D5D" w:rsidRDefault="0021139B" w:rsidP="00E7460C">
            <w:pPr>
              <w:pStyle w:val="GOSTTablenorm"/>
              <w:numPr>
                <w:ilvl w:val="0"/>
                <w:numId w:val="80"/>
              </w:numPr>
              <w:ind w:left="284" w:hanging="227"/>
              <w:rPr>
                <w:b/>
                <w:bCs/>
              </w:rPr>
            </w:pPr>
            <w:r>
              <w:t>«</w:t>
            </w:r>
            <w:r w:rsidR="00B06B9A" w:rsidRPr="00264D5D">
              <w:t>2</w:t>
            </w:r>
            <w:r>
              <w:t>»</w:t>
            </w:r>
            <w:r w:rsidR="00B06B9A" w:rsidRPr="00264D5D">
              <w:t xml:space="preserve"> – Неиспользованные</w:t>
            </w:r>
          </w:p>
        </w:tc>
      </w:tr>
      <w:tr w:rsidR="00AD1F54" w:rsidRPr="00264D5D" w14:paraId="6A7AF8F4" w14:textId="77777777" w:rsidTr="00AD1F54">
        <w:trPr>
          <w:cnfStyle w:val="000000010000" w:firstRow="0" w:lastRow="0" w:firstColumn="0" w:lastColumn="0" w:oddVBand="0" w:evenVBand="0" w:oddHBand="0" w:evenHBand="1" w:firstRowFirstColumn="0" w:firstRowLastColumn="0" w:lastRowFirstColumn="0" w:lastRowLastColumn="0"/>
          <w:trHeight w:val="548"/>
        </w:trPr>
        <w:tc>
          <w:tcPr>
            <w:tcW w:w="1701" w:type="dxa"/>
          </w:tcPr>
          <w:p w14:paraId="51F182C7" w14:textId="77777777" w:rsidR="00AD1F54" w:rsidRPr="00264D5D" w:rsidRDefault="00941227">
            <w:pPr>
              <w:pStyle w:val="GOSTTablenorm"/>
              <w:rPr>
                <w:szCs w:val="22"/>
              </w:rPr>
            </w:pPr>
            <w:r w:rsidRPr="00264D5D">
              <w:rPr>
                <w:szCs w:val="22"/>
              </w:rPr>
              <w:t>Вид операции</w:t>
            </w:r>
          </w:p>
        </w:tc>
        <w:tc>
          <w:tcPr>
            <w:tcW w:w="1701" w:type="dxa"/>
          </w:tcPr>
          <w:p w14:paraId="3932E502" w14:textId="77777777" w:rsidR="00AD1F54" w:rsidRPr="00264D5D" w:rsidRDefault="00941227">
            <w:pPr>
              <w:pStyle w:val="GOSTTablenorm"/>
              <w:rPr>
                <w:szCs w:val="22"/>
              </w:rPr>
            </w:pPr>
            <w:r w:rsidRPr="00264D5D">
              <w:rPr>
                <w:szCs w:val="22"/>
                <w:lang w:val="en-US"/>
              </w:rPr>
              <w:t>value</w:t>
            </w:r>
          </w:p>
        </w:tc>
        <w:tc>
          <w:tcPr>
            <w:tcW w:w="567" w:type="dxa"/>
          </w:tcPr>
          <w:p w14:paraId="708859F6" w14:textId="77777777" w:rsidR="00AD1F54" w:rsidRPr="00264D5D" w:rsidRDefault="00941227">
            <w:pPr>
              <w:pStyle w:val="GOSTTablenorm"/>
              <w:jc w:val="center"/>
              <w:rPr>
                <w:szCs w:val="22"/>
              </w:rPr>
            </w:pPr>
            <w:r w:rsidRPr="00264D5D">
              <w:rPr>
                <w:szCs w:val="22"/>
              </w:rPr>
              <w:t>А</w:t>
            </w:r>
          </w:p>
        </w:tc>
        <w:tc>
          <w:tcPr>
            <w:tcW w:w="1134" w:type="dxa"/>
          </w:tcPr>
          <w:p w14:paraId="39F02336" w14:textId="77777777" w:rsidR="00AD1F54" w:rsidRPr="00264D5D" w:rsidRDefault="00941227">
            <w:pPr>
              <w:pStyle w:val="GOSTTablenorm"/>
              <w:rPr>
                <w:szCs w:val="22"/>
              </w:rPr>
            </w:pPr>
            <w:r w:rsidRPr="00264D5D">
              <w:rPr>
                <w:szCs w:val="22"/>
              </w:rPr>
              <w:t>-</w:t>
            </w:r>
          </w:p>
        </w:tc>
        <w:tc>
          <w:tcPr>
            <w:tcW w:w="567" w:type="dxa"/>
          </w:tcPr>
          <w:p w14:paraId="4C83975F" w14:textId="77777777" w:rsidR="00AD1F54" w:rsidRPr="00264D5D" w:rsidRDefault="00941227">
            <w:pPr>
              <w:pStyle w:val="GOSTTablenorm"/>
              <w:jc w:val="center"/>
              <w:rPr>
                <w:szCs w:val="22"/>
              </w:rPr>
            </w:pPr>
            <w:r w:rsidRPr="00264D5D">
              <w:rPr>
                <w:szCs w:val="22"/>
              </w:rPr>
              <w:t>Н</w:t>
            </w:r>
          </w:p>
        </w:tc>
        <w:tc>
          <w:tcPr>
            <w:tcW w:w="3963" w:type="dxa"/>
          </w:tcPr>
          <w:p w14:paraId="6F52FFA9" w14:textId="77777777" w:rsidR="00AD1F54" w:rsidRPr="00264D5D" w:rsidRDefault="00941227">
            <w:pPr>
              <w:spacing w:before="60" w:after="60"/>
              <w:rPr>
                <w:sz w:val="22"/>
                <w:szCs w:val="22"/>
              </w:rPr>
            </w:pPr>
            <w:r w:rsidRPr="00264D5D">
              <w:rPr>
                <w:sz w:val="22"/>
                <w:szCs w:val="22"/>
              </w:rPr>
              <w:t>Допустимые значения:</w:t>
            </w:r>
          </w:p>
          <w:p w14:paraId="5E26E2AA" w14:textId="77777777" w:rsidR="00AD1F54" w:rsidRPr="00264D5D" w:rsidRDefault="00941227" w:rsidP="00E7460C">
            <w:pPr>
              <w:pStyle w:val="GOSTTablenorm"/>
              <w:numPr>
                <w:ilvl w:val="0"/>
                <w:numId w:val="80"/>
              </w:numPr>
              <w:ind w:left="284" w:hanging="227"/>
            </w:pPr>
            <w:r w:rsidRPr="00264D5D">
              <w:t>Взнос наличных;</w:t>
            </w:r>
          </w:p>
          <w:p w14:paraId="14D27FBC" w14:textId="77777777" w:rsidR="00AD1F54" w:rsidRPr="00264D5D" w:rsidRDefault="00941227" w:rsidP="00E7460C">
            <w:pPr>
              <w:pStyle w:val="GOSTTablenorm"/>
              <w:numPr>
                <w:ilvl w:val="0"/>
                <w:numId w:val="80"/>
              </w:numPr>
              <w:ind w:left="284" w:hanging="227"/>
              <w:rPr>
                <w:b/>
                <w:bCs/>
              </w:rPr>
            </w:pPr>
            <w:r w:rsidRPr="00264D5D">
              <w:t>Неиспользованные</w:t>
            </w:r>
          </w:p>
        </w:tc>
      </w:tr>
    </w:tbl>
    <w:p w14:paraId="0AADA88C" w14:textId="250D0F15" w:rsidR="00AD1F54" w:rsidRPr="00264D5D" w:rsidRDefault="00941227">
      <w:pPr>
        <w:pStyle w:val="31"/>
      </w:pPr>
      <w:bookmarkStart w:id="3002" w:name="_Toc18509332"/>
      <w:bookmarkStart w:id="3003" w:name="_Toc219309739"/>
      <w:r w:rsidRPr="00264D5D">
        <w:t>Описание комплексного типа «tMSC_PBS_UB</w:t>
      </w:r>
      <w:r w:rsidRPr="008B26A8">
        <w:rPr>
          <w:highlight w:val="green"/>
        </w:rPr>
        <w:t>P</w:t>
      </w:r>
      <w:r w:rsidRPr="00264D5D">
        <w:t>»</w:t>
      </w:r>
      <w:bookmarkEnd w:id="3002"/>
      <w:bookmarkEnd w:id="3003"/>
    </w:p>
    <w:p w14:paraId="4327B8A8" w14:textId="01086ECD" w:rsidR="00AD1F54" w:rsidRPr="00264D5D" w:rsidRDefault="00941227">
      <w:pPr>
        <w:pStyle w:val="GOSTNormal"/>
      </w:pPr>
      <w:r w:rsidRPr="00264D5D">
        <w:t>Описание комплексного типа «tMSC_PBS_UB</w:t>
      </w:r>
      <w:r w:rsidRPr="008B26A8">
        <w:rPr>
          <w:highlight w:val="green"/>
        </w:rPr>
        <w:t>P</w:t>
      </w:r>
      <w:r w:rsidRPr="00264D5D">
        <w:t>» блока «Клиент».</w:t>
      </w:r>
    </w:p>
    <w:p w14:paraId="65E3EEE7" w14:textId="3B8F5D9A"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3004" w:name="_Ref524698668"/>
      <w:bookmarkStart w:id="3005" w:name="_Toc18509611"/>
      <w:bookmarkStart w:id="3006" w:name="_Toc219309295"/>
      <w:r w:rsidR="008D797C">
        <w:rPr>
          <w:noProof/>
        </w:rPr>
        <w:t>265</w:t>
      </w:r>
      <w:bookmarkEnd w:id="3004"/>
      <w:r w:rsidRPr="00264D5D">
        <w:fldChar w:fldCharType="end"/>
      </w:r>
      <w:r w:rsidRPr="00264D5D">
        <w:t xml:space="preserve"> – Описание комплексного типа «tMSC_PBS_UB</w:t>
      </w:r>
      <w:r w:rsidRPr="008B26A8">
        <w:rPr>
          <w:highlight w:val="green"/>
        </w:rPr>
        <w:t>P</w:t>
      </w:r>
      <w:r w:rsidRPr="00264D5D">
        <w:t>»</w:t>
      </w:r>
      <w:bookmarkEnd w:id="3005"/>
      <w:bookmarkEnd w:id="3006"/>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73A3AB9C"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74510701" w14:textId="77777777" w:rsidR="00AD1F54" w:rsidRPr="00264D5D" w:rsidRDefault="00941227">
            <w:pPr>
              <w:pStyle w:val="ASFKTableHead"/>
            </w:pPr>
            <w:r w:rsidRPr="00264D5D">
              <w:t>Наименование элемента</w:t>
            </w:r>
          </w:p>
        </w:tc>
        <w:tc>
          <w:tcPr>
            <w:tcW w:w="1701" w:type="dxa"/>
          </w:tcPr>
          <w:p w14:paraId="6386B190" w14:textId="77777777" w:rsidR="00AD1F54" w:rsidRPr="00264D5D" w:rsidRDefault="00941227">
            <w:pPr>
              <w:pStyle w:val="ASFKTableHead"/>
            </w:pPr>
            <w:r w:rsidRPr="00264D5D">
              <w:t>Сокращенное наименование (код) элемента</w:t>
            </w:r>
          </w:p>
        </w:tc>
        <w:tc>
          <w:tcPr>
            <w:tcW w:w="567" w:type="dxa"/>
          </w:tcPr>
          <w:p w14:paraId="4156D96C" w14:textId="77777777" w:rsidR="00AD1F54" w:rsidRPr="00264D5D" w:rsidRDefault="00941227">
            <w:pPr>
              <w:pStyle w:val="ASFKTableHead"/>
            </w:pPr>
            <w:r w:rsidRPr="00264D5D">
              <w:t>Тип</w:t>
            </w:r>
          </w:p>
        </w:tc>
        <w:tc>
          <w:tcPr>
            <w:tcW w:w="1134" w:type="dxa"/>
          </w:tcPr>
          <w:p w14:paraId="3BDFE498" w14:textId="77777777" w:rsidR="00AD1F54" w:rsidRPr="00264D5D" w:rsidRDefault="00941227">
            <w:pPr>
              <w:pStyle w:val="ASFKTableHead"/>
            </w:pPr>
            <w:r w:rsidRPr="00264D5D">
              <w:t>Формат элемента</w:t>
            </w:r>
          </w:p>
        </w:tc>
        <w:tc>
          <w:tcPr>
            <w:tcW w:w="567" w:type="dxa"/>
          </w:tcPr>
          <w:p w14:paraId="17516553" w14:textId="77777777" w:rsidR="00AD1F54" w:rsidRPr="00264D5D" w:rsidRDefault="00941227">
            <w:pPr>
              <w:pStyle w:val="ASFKTableHead"/>
            </w:pPr>
            <w:r w:rsidRPr="00264D5D">
              <w:t>Обязательность</w:t>
            </w:r>
          </w:p>
        </w:tc>
        <w:tc>
          <w:tcPr>
            <w:tcW w:w="3963" w:type="dxa"/>
          </w:tcPr>
          <w:p w14:paraId="28A8ED48" w14:textId="77777777" w:rsidR="00AD1F54" w:rsidRPr="00264D5D" w:rsidRDefault="00941227">
            <w:pPr>
              <w:pStyle w:val="ASFKTableHead"/>
            </w:pPr>
            <w:r w:rsidRPr="00264D5D">
              <w:t>Дополнительная информация</w:t>
            </w:r>
          </w:p>
        </w:tc>
      </w:tr>
      <w:tr w:rsidR="00AD1F54" w:rsidRPr="00264D5D" w14:paraId="196C10BE"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8FB724F" w14:textId="77777777" w:rsidR="00AD1F54" w:rsidRPr="00264D5D" w:rsidRDefault="00941227">
            <w:pPr>
              <w:pStyle w:val="GOSTTablenorm"/>
              <w:rPr>
                <w:color w:val="000000"/>
                <w:szCs w:val="22"/>
              </w:rPr>
            </w:pPr>
            <w:r w:rsidRPr="00264D5D">
              <w:rPr>
                <w:szCs w:val="22"/>
              </w:rPr>
              <w:t>Код по Сводному реестру</w:t>
            </w:r>
          </w:p>
        </w:tc>
        <w:tc>
          <w:tcPr>
            <w:tcW w:w="1701" w:type="dxa"/>
          </w:tcPr>
          <w:p w14:paraId="115D3D9C" w14:textId="77777777" w:rsidR="00AD1F54" w:rsidRPr="00264D5D" w:rsidRDefault="00941227">
            <w:pPr>
              <w:spacing w:before="60" w:after="60"/>
              <w:ind w:firstLine="42"/>
              <w:rPr>
                <w:sz w:val="22"/>
                <w:szCs w:val="22"/>
                <w:lang w:val="en-US"/>
              </w:rPr>
            </w:pPr>
            <w:r w:rsidRPr="00264D5D">
              <w:rPr>
                <w:color w:val="000000"/>
                <w:sz w:val="22"/>
                <w:szCs w:val="22"/>
                <w:lang w:val="en-US"/>
              </w:rPr>
              <w:t>Cd</w:t>
            </w:r>
          </w:p>
        </w:tc>
        <w:tc>
          <w:tcPr>
            <w:tcW w:w="567" w:type="dxa"/>
          </w:tcPr>
          <w:p w14:paraId="41113548" w14:textId="77777777" w:rsidR="00AD1F54" w:rsidRPr="00264D5D" w:rsidRDefault="00941227">
            <w:pPr>
              <w:pStyle w:val="GOSTTablenorm"/>
              <w:jc w:val="center"/>
              <w:rPr>
                <w:szCs w:val="22"/>
              </w:rPr>
            </w:pPr>
            <w:r w:rsidRPr="00264D5D">
              <w:rPr>
                <w:szCs w:val="22"/>
              </w:rPr>
              <w:t>П</w:t>
            </w:r>
          </w:p>
        </w:tc>
        <w:tc>
          <w:tcPr>
            <w:tcW w:w="1134" w:type="dxa"/>
          </w:tcPr>
          <w:p w14:paraId="4C35DA0E" w14:textId="77777777" w:rsidR="00AD1F54" w:rsidRPr="00264D5D" w:rsidRDefault="00941227">
            <w:pPr>
              <w:pStyle w:val="GOSTTablenorm"/>
              <w:rPr>
                <w:color w:val="000000"/>
                <w:szCs w:val="22"/>
              </w:rPr>
            </w:pPr>
            <w:r w:rsidRPr="00264D5D">
              <w:rPr>
                <w:color w:val="000000"/>
                <w:szCs w:val="22"/>
                <w:lang w:val="en-US"/>
              </w:rPr>
              <w:t>Т(</w:t>
            </w:r>
            <w:r w:rsidRPr="00264D5D">
              <w:rPr>
                <w:color w:val="000000"/>
                <w:szCs w:val="22"/>
              </w:rPr>
              <w:t>8</w:t>
            </w:r>
            <w:r w:rsidRPr="00264D5D">
              <w:rPr>
                <w:color w:val="000000"/>
                <w:szCs w:val="22"/>
                <w:lang w:val="en-US"/>
              </w:rPr>
              <w:t>)</w:t>
            </w:r>
          </w:p>
        </w:tc>
        <w:tc>
          <w:tcPr>
            <w:tcW w:w="567" w:type="dxa"/>
          </w:tcPr>
          <w:p w14:paraId="48FB2F31" w14:textId="0606C075" w:rsidR="00AD1F54" w:rsidRPr="007C0882" w:rsidRDefault="007C0882">
            <w:pPr>
              <w:spacing w:before="60" w:after="60"/>
              <w:ind w:firstLine="13"/>
              <w:jc w:val="center"/>
              <w:rPr>
                <w:sz w:val="22"/>
                <w:szCs w:val="22"/>
              </w:rPr>
            </w:pPr>
            <w:r w:rsidRPr="008B26A8">
              <w:rPr>
                <w:sz w:val="22"/>
                <w:szCs w:val="22"/>
                <w:highlight w:val="green"/>
              </w:rPr>
              <w:t>Н</w:t>
            </w:r>
          </w:p>
        </w:tc>
        <w:tc>
          <w:tcPr>
            <w:tcW w:w="3963" w:type="dxa"/>
          </w:tcPr>
          <w:p w14:paraId="674E380D" w14:textId="77777777" w:rsidR="00AD1F54" w:rsidRPr="007C0882" w:rsidRDefault="00941227">
            <w:pPr>
              <w:spacing w:before="60" w:after="60"/>
              <w:rPr>
                <w:sz w:val="22"/>
                <w:szCs w:val="22"/>
              </w:rPr>
            </w:pPr>
            <w:r w:rsidRPr="007C0882">
              <w:rPr>
                <w:sz w:val="22"/>
                <w:szCs w:val="22"/>
              </w:rPr>
              <w:t>Код клиента по Сводному реестру, на лицевой счет которого в ТОФК должны быть зачислены денежные средства.</w:t>
            </w:r>
          </w:p>
          <w:p w14:paraId="3EC92EFA" w14:textId="77777777" w:rsidR="007C0882" w:rsidRPr="007C0882" w:rsidRDefault="00941227" w:rsidP="007C0882">
            <w:pPr>
              <w:pStyle w:val="GOSTTablenorm"/>
              <w:rPr>
                <w:szCs w:val="22"/>
              </w:rPr>
            </w:pPr>
            <w:r w:rsidRPr="007C0882">
              <w:rPr>
                <w:szCs w:val="22"/>
              </w:rPr>
              <w:t>Для удаленного ПБС указывается код по Сводному реестру удаленного ПБ</w:t>
            </w:r>
            <w:r w:rsidR="00B06B9A" w:rsidRPr="007C0882">
              <w:rPr>
                <w:szCs w:val="22"/>
              </w:rPr>
              <w:t>С</w:t>
            </w:r>
            <w:r w:rsidR="007C0882" w:rsidRPr="007C0882">
              <w:rPr>
                <w:szCs w:val="22"/>
              </w:rPr>
              <w:t>.</w:t>
            </w:r>
          </w:p>
          <w:p w14:paraId="471C0802" w14:textId="77777777" w:rsidR="00AD1F54" w:rsidRPr="007C0882" w:rsidRDefault="007C0882" w:rsidP="007C0882">
            <w:pPr>
              <w:spacing w:before="60" w:after="60"/>
              <w:rPr>
                <w:sz w:val="22"/>
                <w:szCs w:val="22"/>
              </w:rPr>
            </w:pPr>
            <w:r w:rsidRPr="008B26A8">
              <w:rPr>
                <w:sz w:val="22"/>
                <w:szCs w:val="22"/>
                <w:highlight w:val="green"/>
              </w:rPr>
              <w:t>Поле обязательно к заполнению для всех маршрутов, кроме маршрута Уполномоченный ТОФК (МУО СГ) – ТОФК (ППО АСФК). Для маршрута Уполномоченный ТОФК (МУО СГ) – ТОФК (ППО АСФК) поле не заполняется</w:t>
            </w:r>
          </w:p>
        </w:tc>
      </w:tr>
      <w:tr w:rsidR="00AD1F54" w:rsidRPr="00264D5D" w14:paraId="1D2474F0"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61CAFE98" w14:textId="77777777" w:rsidR="00AD1F54" w:rsidRPr="00264D5D" w:rsidRDefault="00941227">
            <w:pPr>
              <w:pStyle w:val="GOSTTablenorm"/>
              <w:rPr>
                <w:color w:val="000000"/>
                <w:szCs w:val="22"/>
              </w:rPr>
            </w:pPr>
            <w:r w:rsidRPr="00264D5D">
              <w:rPr>
                <w:szCs w:val="22"/>
              </w:rPr>
              <w:t>Наименование клиента</w:t>
            </w:r>
          </w:p>
        </w:tc>
        <w:tc>
          <w:tcPr>
            <w:tcW w:w="1701" w:type="dxa"/>
          </w:tcPr>
          <w:p w14:paraId="4396088D" w14:textId="77777777" w:rsidR="00AD1F54" w:rsidRPr="00264D5D" w:rsidRDefault="00941227">
            <w:pPr>
              <w:spacing w:before="60" w:after="60"/>
              <w:ind w:firstLine="42"/>
              <w:rPr>
                <w:sz w:val="22"/>
                <w:szCs w:val="22"/>
                <w:lang w:val="en-US"/>
              </w:rPr>
            </w:pPr>
            <w:r w:rsidRPr="00264D5D">
              <w:rPr>
                <w:color w:val="000000"/>
                <w:sz w:val="22"/>
                <w:szCs w:val="22"/>
                <w:lang w:val="en-US"/>
              </w:rPr>
              <w:t>Nm</w:t>
            </w:r>
          </w:p>
        </w:tc>
        <w:tc>
          <w:tcPr>
            <w:tcW w:w="567" w:type="dxa"/>
          </w:tcPr>
          <w:p w14:paraId="6DD2E24F" w14:textId="77777777" w:rsidR="00AD1F54" w:rsidRPr="00264D5D" w:rsidRDefault="00941227">
            <w:pPr>
              <w:pStyle w:val="GOSTTablenorm"/>
              <w:jc w:val="center"/>
              <w:rPr>
                <w:szCs w:val="22"/>
              </w:rPr>
            </w:pPr>
            <w:r w:rsidRPr="00264D5D">
              <w:rPr>
                <w:szCs w:val="22"/>
              </w:rPr>
              <w:t>П</w:t>
            </w:r>
          </w:p>
        </w:tc>
        <w:tc>
          <w:tcPr>
            <w:tcW w:w="1134" w:type="dxa"/>
          </w:tcPr>
          <w:p w14:paraId="4E40EFC7" w14:textId="77777777" w:rsidR="00AD1F54" w:rsidRPr="00264D5D" w:rsidRDefault="00941227">
            <w:pPr>
              <w:pStyle w:val="GOSTTablenorm"/>
              <w:rPr>
                <w:color w:val="000000"/>
                <w:szCs w:val="22"/>
              </w:rPr>
            </w:pPr>
            <w:r w:rsidRPr="00264D5D">
              <w:rPr>
                <w:color w:val="000000"/>
                <w:szCs w:val="22"/>
                <w:lang w:val="en-US"/>
              </w:rPr>
              <w:t>Т(1-2000)</w:t>
            </w:r>
          </w:p>
        </w:tc>
        <w:tc>
          <w:tcPr>
            <w:tcW w:w="567" w:type="dxa"/>
          </w:tcPr>
          <w:p w14:paraId="2C3B8188" w14:textId="77777777" w:rsidR="00AD1F54" w:rsidRPr="00264D5D" w:rsidRDefault="00941227">
            <w:pPr>
              <w:spacing w:before="60" w:after="60"/>
              <w:ind w:firstLine="13"/>
              <w:jc w:val="center"/>
              <w:rPr>
                <w:sz w:val="22"/>
                <w:szCs w:val="22"/>
              </w:rPr>
            </w:pPr>
            <w:r w:rsidRPr="00264D5D">
              <w:rPr>
                <w:sz w:val="22"/>
                <w:szCs w:val="22"/>
              </w:rPr>
              <w:t>О</w:t>
            </w:r>
          </w:p>
        </w:tc>
        <w:tc>
          <w:tcPr>
            <w:tcW w:w="3963" w:type="dxa"/>
          </w:tcPr>
          <w:p w14:paraId="01E508E4" w14:textId="77777777" w:rsidR="00AD1F54" w:rsidRPr="00264D5D" w:rsidRDefault="00941227">
            <w:pPr>
              <w:spacing w:before="60" w:after="60"/>
              <w:rPr>
                <w:sz w:val="22"/>
                <w:szCs w:val="22"/>
              </w:rPr>
            </w:pPr>
            <w:r w:rsidRPr="00264D5D">
              <w:rPr>
                <w:sz w:val="22"/>
                <w:szCs w:val="22"/>
              </w:rPr>
              <w:t>Полное или сокращенное наименование клиента (его вышестоящей организации, АДБ), на лицевой счет которого в ТОФК должны быть зачислены денежные средства.</w:t>
            </w:r>
          </w:p>
          <w:p w14:paraId="4A92B512" w14:textId="77777777" w:rsidR="00AD1F54" w:rsidRPr="00264D5D" w:rsidRDefault="00941227">
            <w:pPr>
              <w:spacing w:before="60" w:after="60"/>
              <w:rPr>
                <w:sz w:val="22"/>
                <w:szCs w:val="22"/>
              </w:rPr>
            </w:pPr>
            <w:r w:rsidRPr="00264D5D">
              <w:rPr>
                <w:sz w:val="22"/>
                <w:szCs w:val="22"/>
              </w:rPr>
              <w:t>В случае предоставления удаленным ПБС, указывается наименование удаленного ПБС.</w:t>
            </w:r>
          </w:p>
          <w:p w14:paraId="79394DC0" w14:textId="77777777" w:rsidR="007C0882" w:rsidRPr="007C0882" w:rsidRDefault="00941227" w:rsidP="007C0882">
            <w:pPr>
              <w:pStyle w:val="GOSTTablenorm"/>
              <w:rPr>
                <w:szCs w:val="22"/>
              </w:rPr>
            </w:pPr>
            <w:r w:rsidRPr="00264D5D">
              <w:rPr>
                <w:szCs w:val="22"/>
              </w:rPr>
              <w:t>Поле заполняется в с</w:t>
            </w:r>
            <w:r w:rsidR="00B06B9A" w:rsidRPr="00264D5D">
              <w:rPr>
                <w:szCs w:val="22"/>
              </w:rPr>
              <w:t xml:space="preserve">оответствии со </w:t>
            </w:r>
            <w:r w:rsidR="00B06B9A" w:rsidRPr="007C0882">
              <w:rPr>
                <w:szCs w:val="22"/>
              </w:rPr>
              <w:t>Сводным реестром</w:t>
            </w:r>
            <w:r w:rsidR="007C0882" w:rsidRPr="007C0882">
              <w:rPr>
                <w:szCs w:val="22"/>
              </w:rPr>
              <w:t>.</w:t>
            </w:r>
          </w:p>
          <w:p w14:paraId="2668CA45" w14:textId="77777777" w:rsidR="00AD1F54" w:rsidRPr="00264D5D" w:rsidRDefault="007C0882" w:rsidP="007C0882">
            <w:pPr>
              <w:spacing w:before="60" w:after="60"/>
              <w:rPr>
                <w:sz w:val="22"/>
                <w:szCs w:val="22"/>
              </w:rPr>
            </w:pPr>
            <w:r w:rsidRPr="008B26A8">
              <w:rPr>
                <w:sz w:val="22"/>
                <w:szCs w:val="22"/>
                <w:highlight w:val="green"/>
              </w:rPr>
              <w:t xml:space="preserve">Для организаций, отсутствующих в </w:t>
            </w:r>
            <w:r w:rsidRPr="008B26A8">
              <w:rPr>
                <w:sz w:val="22"/>
                <w:szCs w:val="22"/>
                <w:highlight w:val="green"/>
              </w:rPr>
              <w:lastRenderedPageBreak/>
              <w:t>Сводном реестре, заполняется в соответствии с регистрационными данными, присвоенными ТОФК</w:t>
            </w:r>
          </w:p>
        </w:tc>
      </w:tr>
    </w:tbl>
    <w:p w14:paraId="1AA6D3B0" w14:textId="77777777" w:rsidR="00AD1F54" w:rsidRPr="00264D5D" w:rsidRDefault="00941227">
      <w:pPr>
        <w:pStyle w:val="31"/>
        <w:ind w:left="964" w:hanging="964"/>
      </w:pPr>
      <w:bookmarkStart w:id="3007" w:name="_Toc122436767"/>
      <w:bookmarkStart w:id="3008" w:name="_Toc143690218"/>
      <w:bookmarkStart w:id="3009" w:name="_Toc18509333"/>
      <w:bookmarkStart w:id="3010" w:name="_Toc219309740"/>
      <w:r w:rsidRPr="00264D5D">
        <w:lastRenderedPageBreak/>
        <w:t>Описание комплексного типа «tMSC_TOFK»</w:t>
      </w:r>
      <w:bookmarkEnd w:id="3007"/>
      <w:bookmarkEnd w:id="3008"/>
      <w:bookmarkEnd w:id="3010"/>
    </w:p>
    <w:p w14:paraId="0D13B8C5" w14:textId="77777777" w:rsidR="00AD1F54" w:rsidRPr="00264D5D" w:rsidRDefault="00941227">
      <w:pPr>
        <w:pStyle w:val="GOSTNormal"/>
      </w:pPr>
      <w:r w:rsidRPr="00264D5D">
        <w:t xml:space="preserve">Описание комплексного типа </w:t>
      </w:r>
      <w:r w:rsidRPr="00264D5D">
        <w:rPr>
          <w:rFonts w:eastAsia="Calibri"/>
        </w:rPr>
        <w:t>«</w:t>
      </w:r>
      <w:r w:rsidRPr="00264D5D">
        <w:t>tMSC_TOFK» блока «ТОФК».</w:t>
      </w:r>
    </w:p>
    <w:p w14:paraId="48A40906" w14:textId="4CF41229" w:rsidR="00AD1F54" w:rsidRPr="00264D5D" w:rsidRDefault="00941227">
      <w:pPr>
        <w:pStyle w:val="GOSTNameTable"/>
        <w:numPr>
          <w:ilvl w:val="0"/>
          <w:numId w:val="2"/>
        </w:numPr>
        <w:spacing w:before="240" w:after="120"/>
      </w:pPr>
      <w:r w:rsidRPr="00264D5D">
        <w:fldChar w:fldCharType="begin"/>
      </w:r>
      <w:r w:rsidRPr="00264D5D">
        <w:instrText>SEQ Таблица \* ARABIC</w:instrText>
      </w:r>
      <w:r w:rsidRPr="00264D5D">
        <w:fldChar w:fldCharType="separate"/>
      </w:r>
      <w:bookmarkStart w:id="3011" w:name="_Ref153203810"/>
      <w:bookmarkStart w:id="3012" w:name="_Toc122436358"/>
      <w:bookmarkStart w:id="3013" w:name="_Toc219309296"/>
      <w:r w:rsidR="008D797C">
        <w:rPr>
          <w:noProof/>
        </w:rPr>
        <w:t>266</w:t>
      </w:r>
      <w:bookmarkEnd w:id="3011"/>
      <w:r w:rsidRPr="00264D5D">
        <w:fldChar w:fldCharType="end"/>
      </w:r>
      <w:r w:rsidRPr="00264D5D">
        <w:rPr>
          <w:rFonts w:eastAsia="Calibri"/>
        </w:rPr>
        <w:t xml:space="preserve"> – </w:t>
      </w:r>
      <w:r w:rsidRPr="00264D5D">
        <w:t>Описание комплексного типа «tMSC_TOFK»</w:t>
      </w:r>
      <w:bookmarkEnd w:id="3012"/>
      <w:bookmarkEnd w:id="3013"/>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599AB189" w14:textId="77777777" w:rsidTr="00AD1F54">
        <w:trPr>
          <w:cnfStyle w:val="100000000000" w:firstRow="1" w:lastRow="0" w:firstColumn="0" w:lastColumn="0" w:oddVBand="0" w:evenVBand="0" w:oddHBand="0" w:evenHBand="0" w:firstRowFirstColumn="0" w:firstRowLastColumn="0" w:lastRowFirstColumn="0" w:lastRowLastColumn="0"/>
        </w:trPr>
        <w:tc>
          <w:tcPr>
            <w:tcW w:w="1701" w:type="dxa"/>
          </w:tcPr>
          <w:p w14:paraId="57FB1281" w14:textId="77777777" w:rsidR="00AD1F54" w:rsidRPr="00264D5D" w:rsidRDefault="00941227">
            <w:pPr>
              <w:pStyle w:val="GOSTTableHead"/>
            </w:pPr>
            <w:r w:rsidRPr="00264D5D">
              <w:t>Наименование элемента</w:t>
            </w:r>
          </w:p>
        </w:tc>
        <w:tc>
          <w:tcPr>
            <w:tcW w:w="1701" w:type="dxa"/>
          </w:tcPr>
          <w:p w14:paraId="5601CB35" w14:textId="77777777" w:rsidR="00AD1F54" w:rsidRPr="00264D5D" w:rsidRDefault="00941227">
            <w:pPr>
              <w:pStyle w:val="GOSTTableHead"/>
            </w:pPr>
            <w:r w:rsidRPr="00264D5D">
              <w:t>Сокращенное наименование (код) элемента</w:t>
            </w:r>
          </w:p>
        </w:tc>
        <w:tc>
          <w:tcPr>
            <w:tcW w:w="567" w:type="dxa"/>
          </w:tcPr>
          <w:p w14:paraId="1DDDA31F" w14:textId="77777777" w:rsidR="00AD1F54" w:rsidRPr="00264D5D" w:rsidRDefault="00941227">
            <w:pPr>
              <w:pStyle w:val="GOSTTableHead"/>
            </w:pPr>
            <w:r w:rsidRPr="00264D5D">
              <w:t>Тип</w:t>
            </w:r>
          </w:p>
        </w:tc>
        <w:tc>
          <w:tcPr>
            <w:tcW w:w="1134" w:type="dxa"/>
          </w:tcPr>
          <w:p w14:paraId="5AC7A132" w14:textId="77777777" w:rsidR="00AD1F54" w:rsidRPr="00264D5D" w:rsidRDefault="00941227">
            <w:pPr>
              <w:pStyle w:val="GOSTTableHead"/>
            </w:pPr>
            <w:r w:rsidRPr="00264D5D">
              <w:t>Формат элемента</w:t>
            </w:r>
          </w:p>
        </w:tc>
        <w:tc>
          <w:tcPr>
            <w:tcW w:w="567" w:type="dxa"/>
          </w:tcPr>
          <w:p w14:paraId="377FD933" w14:textId="77777777" w:rsidR="00AD1F54" w:rsidRPr="00264D5D" w:rsidRDefault="00941227">
            <w:pPr>
              <w:pStyle w:val="GOSTTableHead"/>
            </w:pPr>
            <w:r w:rsidRPr="00264D5D">
              <w:t>Обязательность</w:t>
            </w:r>
          </w:p>
        </w:tc>
        <w:tc>
          <w:tcPr>
            <w:tcW w:w="3963" w:type="dxa"/>
          </w:tcPr>
          <w:p w14:paraId="3EBC51CB" w14:textId="77777777" w:rsidR="00AD1F54" w:rsidRPr="00264D5D" w:rsidRDefault="00941227">
            <w:pPr>
              <w:pStyle w:val="GOSTTableHead"/>
            </w:pPr>
            <w:r w:rsidRPr="00264D5D">
              <w:t>Дополнительная информация</w:t>
            </w:r>
          </w:p>
        </w:tc>
      </w:tr>
      <w:tr w:rsidR="00AD1F54" w:rsidRPr="00264D5D" w14:paraId="3D6163CB"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E99B7FA" w14:textId="77777777" w:rsidR="00AD1F54" w:rsidRPr="00264D5D" w:rsidRDefault="00941227">
            <w:pPr>
              <w:pStyle w:val="GOSTTablenorm"/>
              <w:rPr>
                <w:szCs w:val="22"/>
              </w:rPr>
            </w:pPr>
            <w:r w:rsidRPr="00264D5D">
              <w:rPr>
                <w:szCs w:val="22"/>
              </w:rPr>
              <w:t>Наименование ТОФК</w:t>
            </w:r>
          </w:p>
        </w:tc>
        <w:tc>
          <w:tcPr>
            <w:tcW w:w="1701" w:type="dxa"/>
          </w:tcPr>
          <w:p w14:paraId="0A33B82E" w14:textId="77777777" w:rsidR="00AD1F54" w:rsidRPr="00264D5D" w:rsidRDefault="00941227">
            <w:pPr>
              <w:pStyle w:val="GOSTTablenorm"/>
              <w:rPr>
                <w:szCs w:val="22"/>
              </w:rPr>
            </w:pPr>
            <w:r w:rsidRPr="00264D5D">
              <w:rPr>
                <w:szCs w:val="22"/>
              </w:rPr>
              <w:t>Nm</w:t>
            </w:r>
          </w:p>
        </w:tc>
        <w:tc>
          <w:tcPr>
            <w:tcW w:w="567" w:type="dxa"/>
          </w:tcPr>
          <w:p w14:paraId="7D2D85B0" w14:textId="77777777" w:rsidR="00AD1F54" w:rsidRPr="00264D5D" w:rsidRDefault="00941227">
            <w:pPr>
              <w:pStyle w:val="GOSTTablenorm"/>
              <w:jc w:val="center"/>
              <w:rPr>
                <w:szCs w:val="22"/>
              </w:rPr>
            </w:pPr>
            <w:r w:rsidRPr="00264D5D">
              <w:rPr>
                <w:szCs w:val="22"/>
              </w:rPr>
              <w:t>П</w:t>
            </w:r>
          </w:p>
        </w:tc>
        <w:tc>
          <w:tcPr>
            <w:tcW w:w="1134" w:type="dxa"/>
          </w:tcPr>
          <w:p w14:paraId="566EADFE" w14:textId="77777777" w:rsidR="00AD1F54" w:rsidRPr="00264D5D" w:rsidRDefault="00941227">
            <w:pPr>
              <w:pStyle w:val="GOSTTablenorm"/>
              <w:rPr>
                <w:szCs w:val="22"/>
              </w:rPr>
            </w:pPr>
            <w:r w:rsidRPr="00264D5D">
              <w:rPr>
                <w:szCs w:val="22"/>
              </w:rPr>
              <w:t>Т(1-2000)</w:t>
            </w:r>
          </w:p>
        </w:tc>
        <w:tc>
          <w:tcPr>
            <w:tcW w:w="567" w:type="dxa"/>
          </w:tcPr>
          <w:p w14:paraId="6F15C941" w14:textId="77777777" w:rsidR="00AD1F54" w:rsidRPr="00264D5D" w:rsidRDefault="00941227">
            <w:pPr>
              <w:pStyle w:val="GOSTTablenorm"/>
              <w:jc w:val="center"/>
              <w:rPr>
                <w:szCs w:val="22"/>
              </w:rPr>
            </w:pPr>
            <w:r w:rsidRPr="00264D5D">
              <w:rPr>
                <w:szCs w:val="22"/>
              </w:rPr>
              <w:t>О</w:t>
            </w:r>
          </w:p>
        </w:tc>
        <w:tc>
          <w:tcPr>
            <w:tcW w:w="3963" w:type="dxa"/>
          </w:tcPr>
          <w:p w14:paraId="31D6B69A" w14:textId="77777777" w:rsidR="00AD1F54" w:rsidRPr="00264D5D" w:rsidRDefault="00941227">
            <w:pPr>
              <w:pStyle w:val="GOSTTablenorm"/>
              <w:rPr>
                <w:szCs w:val="22"/>
              </w:rPr>
            </w:pPr>
            <w:r w:rsidRPr="00264D5D">
              <w:rPr>
                <w:szCs w:val="22"/>
              </w:rPr>
              <w:t>Полное наименование ТОФК.</w:t>
            </w:r>
          </w:p>
          <w:p w14:paraId="152812AE" w14:textId="77777777" w:rsidR="00AD1F54" w:rsidRPr="00264D5D" w:rsidRDefault="00941227">
            <w:pPr>
              <w:pStyle w:val="GOSTTablenorm"/>
              <w:rPr>
                <w:szCs w:val="22"/>
              </w:rPr>
            </w:pPr>
            <w:r w:rsidRPr="00264D5D">
              <w:rPr>
                <w:szCs w:val="22"/>
              </w:rPr>
              <w:t>Поле заполняется в соответствии с ц</w:t>
            </w:r>
            <w:r w:rsidR="00B06B9A" w:rsidRPr="00264D5D">
              <w:rPr>
                <w:szCs w:val="22"/>
              </w:rPr>
              <w:t>ентрализованным справочником ФК</w:t>
            </w:r>
          </w:p>
        </w:tc>
      </w:tr>
      <w:tr w:rsidR="00AD1F54" w:rsidRPr="00264D5D" w14:paraId="37723B1B"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5C3E40A1" w14:textId="77777777" w:rsidR="00AD1F54" w:rsidRPr="00264D5D" w:rsidRDefault="00941227">
            <w:pPr>
              <w:pStyle w:val="GOSTTablenorm"/>
              <w:rPr>
                <w:szCs w:val="22"/>
              </w:rPr>
            </w:pPr>
            <w:r w:rsidRPr="00264D5D">
              <w:rPr>
                <w:szCs w:val="22"/>
              </w:rPr>
              <w:t>Код ТОФК</w:t>
            </w:r>
          </w:p>
        </w:tc>
        <w:tc>
          <w:tcPr>
            <w:tcW w:w="1701" w:type="dxa"/>
          </w:tcPr>
          <w:p w14:paraId="5B42512E" w14:textId="77777777" w:rsidR="00AD1F54" w:rsidRPr="00264D5D" w:rsidRDefault="00941227">
            <w:pPr>
              <w:pStyle w:val="GOSTTablenorm"/>
              <w:rPr>
                <w:szCs w:val="22"/>
              </w:rPr>
            </w:pPr>
            <w:r w:rsidRPr="00264D5D">
              <w:rPr>
                <w:szCs w:val="22"/>
              </w:rPr>
              <w:t>Cd</w:t>
            </w:r>
          </w:p>
        </w:tc>
        <w:tc>
          <w:tcPr>
            <w:tcW w:w="567" w:type="dxa"/>
          </w:tcPr>
          <w:p w14:paraId="1A3132BF" w14:textId="77777777" w:rsidR="00AD1F54" w:rsidRPr="00264D5D" w:rsidRDefault="00941227">
            <w:pPr>
              <w:pStyle w:val="GOSTTablenorm"/>
              <w:jc w:val="center"/>
              <w:rPr>
                <w:szCs w:val="22"/>
              </w:rPr>
            </w:pPr>
            <w:r w:rsidRPr="00264D5D">
              <w:rPr>
                <w:szCs w:val="22"/>
              </w:rPr>
              <w:t>П</w:t>
            </w:r>
          </w:p>
        </w:tc>
        <w:tc>
          <w:tcPr>
            <w:tcW w:w="1134" w:type="dxa"/>
          </w:tcPr>
          <w:p w14:paraId="6C74857A" w14:textId="77777777" w:rsidR="00AD1F54" w:rsidRPr="00264D5D" w:rsidRDefault="00941227">
            <w:pPr>
              <w:pStyle w:val="GOSTTablenorm"/>
              <w:rPr>
                <w:szCs w:val="22"/>
              </w:rPr>
            </w:pPr>
            <w:r w:rsidRPr="00264D5D">
              <w:rPr>
                <w:szCs w:val="22"/>
              </w:rPr>
              <w:t>Т(4)</w:t>
            </w:r>
          </w:p>
        </w:tc>
        <w:tc>
          <w:tcPr>
            <w:tcW w:w="567" w:type="dxa"/>
          </w:tcPr>
          <w:p w14:paraId="4D318D16" w14:textId="77777777" w:rsidR="00AD1F54" w:rsidRPr="00264D5D" w:rsidRDefault="00941227">
            <w:pPr>
              <w:pStyle w:val="GOSTTablenorm"/>
              <w:jc w:val="center"/>
              <w:rPr>
                <w:szCs w:val="22"/>
              </w:rPr>
            </w:pPr>
            <w:r w:rsidRPr="00264D5D">
              <w:rPr>
                <w:szCs w:val="22"/>
              </w:rPr>
              <w:t>О</w:t>
            </w:r>
          </w:p>
        </w:tc>
        <w:tc>
          <w:tcPr>
            <w:tcW w:w="3963" w:type="dxa"/>
          </w:tcPr>
          <w:p w14:paraId="00FE50E6" w14:textId="77777777" w:rsidR="00AD1F54" w:rsidRPr="00264D5D" w:rsidRDefault="00941227">
            <w:pPr>
              <w:pStyle w:val="GOSTTablenorm"/>
              <w:rPr>
                <w:szCs w:val="22"/>
              </w:rPr>
            </w:pPr>
            <w:r w:rsidRPr="00264D5D">
              <w:rPr>
                <w:szCs w:val="22"/>
              </w:rPr>
              <w:t>Поле заполняется в соответствии с ц</w:t>
            </w:r>
            <w:r w:rsidR="00B06B9A" w:rsidRPr="00264D5D">
              <w:rPr>
                <w:szCs w:val="22"/>
              </w:rPr>
              <w:t>ентрализованным справочником ФК</w:t>
            </w:r>
          </w:p>
        </w:tc>
      </w:tr>
    </w:tbl>
    <w:p w14:paraId="34525373" w14:textId="77777777" w:rsidR="00AD1F54" w:rsidRPr="00264D5D" w:rsidRDefault="00941227">
      <w:pPr>
        <w:pStyle w:val="31"/>
      </w:pPr>
      <w:bookmarkStart w:id="3014" w:name="_Toc143690219"/>
      <w:bookmarkStart w:id="3015" w:name="_Toc219309741"/>
      <w:r w:rsidRPr="00264D5D">
        <w:t>Описание комплексного типа «</w:t>
      </w:r>
      <w:r w:rsidRPr="00264D5D">
        <w:rPr>
          <w:rFonts w:eastAsiaTheme="minorHAnsi"/>
        </w:rPr>
        <w:t>tNominalInfo</w:t>
      </w:r>
      <w:r w:rsidRPr="00264D5D">
        <w:t>»</w:t>
      </w:r>
      <w:bookmarkEnd w:id="3014"/>
      <w:bookmarkEnd w:id="3015"/>
    </w:p>
    <w:p w14:paraId="55584382" w14:textId="77777777" w:rsidR="00AD1F54" w:rsidRPr="00264D5D" w:rsidRDefault="00941227">
      <w:pPr>
        <w:pStyle w:val="GOSTNormal"/>
      </w:pPr>
      <w:r w:rsidRPr="00264D5D">
        <w:t xml:space="preserve">Описание комплексного типа «tNominalInfo» блока «Информация о номиналах». </w:t>
      </w:r>
    </w:p>
    <w:p w14:paraId="3622BF2C" w14:textId="5CE72886" w:rsidR="00AD1F54" w:rsidRPr="00264D5D" w:rsidRDefault="001E5517">
      <w:pPr>
        <w:pStyle w:val="GOSTNameTable"/>
        <w:numPr>
          <w:ilvl w:val="0"/>
          <w:numId w:val="2"/>
        </w:numPr>
        <w:spacing w:before="240" w:after="120"/>
      </w:pPr>
      <w:r w:rsidRPr="00264D5D">
        <w:rPr>
          <w:noProof/>
        </w:rPr>
        <w:fldChar w:fldCharType="begin"/>
      </w:r>
      <w:r w:rsidRPr="00264D5D">
        <w:rPr>
          <w:noProof/>
        </w:rPr>
        <w:instrText xml:space="preserve"> SEQ Таблица \* ARABIC </w:instrText>
      </w:r>
      <w:r w:rsidRPr="00264D5D">
        <w:rPr>
          <w:noProof/>
        </w:rPr>
        <w:fldChar w:fldCharType="separate"/>
      </w:r>
      <w:bookmarkStart w:id="3016" w:name="_Ref129774100"/>
      <w:bookmarkStart w:id="3017" w:name="_Toc219309297"/>
      <w:r w:rsidR="008D797C">
        <w:rPr>
          <w:noProof/>
        </w:rPr>
        <w:t>267</w:t>
      </w:r>
      <w:bookmarkEnd w:id="3016"/>
      <w:r w:rsidRPr="00264D5D">
        <w:rPr>
          <w:noProof/>
        </w:rPr>
        <w:fldChar w:fldCharType="end"/>
      </w:r>
      <w:r w:rsidR="00941227" w:rsidRPr="00264D5D">
        <w:rPr>
          <w:rFonts w:eastAsia="Calibri"/>
        </w:rPr>
        <w:t xml:space="preserve"> – </w:t>
      </w:r>
      <w:r w:rsidR="00941227" w:rsidRPr="00264D5D">
        <w:t>Описание комплексного типа «</w:t>
      </w:r>
      <w:r w:rsidR="00941227" w:rsidRPr="00264D5D">
        <w:rPr>
          <w:rFonts w:eastAsiaTheme="minorHAnsi"/>
        </w:rPr>
        <w:t>tNominalInfo</w:t>
      </w:r>
      <w:r w:rsidR="00941227" w:rsidRPr="00264D5D">
        <w:t>»</w:t>
      </w:r>
      <w:bookmarkEnd w:id="3017"/>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074B3067" w14:textId="77777777" w:rsidTr="00AD1F54">
        <w:trPr>
          <w:cnfStyle w:val="100000000000" w:firstRow="1" w:lastRow="0" w:firstColumn="0" w:lastColumn="0" w:oddVBand="0" w:evenVBand="0" w:oddHBand="0" w:evenHBand="0" w:firstRowFirstColumn="0" w:firstRowLastColumn="0" w:lastRowFirstColumn="0" w:lastRowLastColumn="0"/>
        </w:trPr>
        <w:tc>
          <w:tcPr>
            <w:tcW w:w="1701" w:type="dxa"/>
          </w:tcPr>
          <w:p w14:paraId="6E0CD8DE" w14:textId="77777777" w:rsidR="00AD1F54" w:rsidRPr="00264D5D" w:rsidRDefault="00941227">
            <w:pPr>
              <w:pStyle w:val="GOSTTableHead"/>
            </w:pPr>
            <w:r w:rsidRPr="00264D5D">
              <w:t>Наименование комплексного типа</w:t>
            </w:r>
          </w:p>
        </w:tc>
        <w:tc>
          <w:tcPr>
            <w:tcW w:w="1701" w:type="dxa"/>
          </w:tcPr>
          <w:p w14:paraId="7DE8AD56" w14:textId="77777777" w:rsidR="00AD1F54" w:rsidRPr="00264D5D" w:rsidRDefault="00941227">
            <w:pPr>
              <w:pStyle w:val="GOSTTableHead"/>
            </w:pPr>
            <w:r w:rsidRPr="00264D5D">
              <w:t>Текущий элемент/ атрибут</w:t>
            </w:r>
          </w:p>
        </w:tc>
        <w:tc>
          <w:tcPr>
            <w:tcW w:w="567" w:type="dxa"/>
          </w:tcPr>
          <w:p w14:paraId="624EC3A3" w14:textId="77777777" w:rsidR="00AD1F54" w:rsidRPr="00264D5D" w:rsidRDefault="00941227">
            <w:pPr>
              <w:pStyle w:val="GOSTTableHead"/>
            </w:pPr>
            <w:r w:rsidRPr="00264D5D">
              <w:t>Тип</w:t>
            </w:r>
          </w:p>
        </w:tc>
        <w:tc>
          <w:tcPr>
            <w:tcW w:w="1134" w:type="dxa"/>
          </w:tcPr>
          <w:p w14:paraId="02B426C0" w14:textId="77777777" w:rsidR="00AD1F54" w:rsidRPr="00264D5D" w:rsidRDefault="00941227">
            <w:pPr>
              <w:pStyle w:val="GOSTTableHead"/>
            </w:pPr>
            <w:r w:rsidRPr="00264D5D">
              <w:t>Формат элемента</w:t>
            </w:r>
          </w:p>
        </w:tc>
        <w:tc>
          <w:tcPr>
            <w:tcW w:w="567" w:type="dxa"/>
          </w:tcPr>
          <w:p w14:paraId="543F41C1" w14:textId="77777777" w:rsidR="00AD1F54" w:rsidRPr="00264D5D" w:rsidRDefault="00941227">
            <w:pPr>
              <w:pStyle w:val="GOSTTableHead"/>
            </w:pPr>
            <w:r w:rsidRPr="00264D5D">
              <w:t>Обязательность</w:t>
            </w:r>
          </w:p>
        </w:tc>
        <w:tc>
          <w:tcPr>
            <w:tcW w:w="3963" w:type="dxa"/>
          </w:tcPr>
          <w:p w14:paraId="19CA7730" w14:textId="77777777" w:rsidR="00AD1F54" w:rsidRPr="00264D5D" w:rsidRDefault="00941227">
            <w:pPr>
              <w:pStyle w:val="GOSTTableHead"/>
            </w:pPr>
            <w:r w:rsidRPr="00264D5D">
              <w:t>Дополнительная информация</w:t>
            </w:r>
          </w:p>
        </w:tc>
      </w:tr>
      <w:tr w:rsidR="00AD1F54" w:rsidRPr="00264D5D" w14:paraId="126B9CB0"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A8C893A" w14:textId="77777777" w:rsidR="00AD1F54" w:rsidRPr="00264D5D" w:rsidRDefault="00941227">
            <w:pPr>
              <w:pStyle w:val="GOSTTablenorm"/>
              <w:rPr>
                <w:szCs w:val="22"/>
              </w:rPr>
            </w:pPr>
            <w:r w:rsidRPr="00264D5D">
              <w:rPr>
                <w:rFonts w:eastAsiaTheme="minorHAnsi"/>
                <w:szCs w:val="22"/>
              </w:rPr>
              <w:t>tNominalInfo</w:t>
            </w:r>
          </w:p>
        </w:tc>
        <w:tc>
          <w:tcPr>
            <w:tcW w:w="1701" w:type="dxa"/>
          </w:tcPr>
          <w:p w14:paraId="2C795D8C" w14:textId="77777777" w:rsidR="00AD1F54" w:rsidRPr="00264D5D" w:rsidRDefault="00941227">
            <w:pPr>
              <w:pStyle w:val="GOSTTablenorm"/>
              <w:rPr>
                <w:szCs w:val="22"/>
              </w:rPr>
            </w:pPr>
            <w:r w:rsidRPr="00264D5D">
              <w:rPr>
                <w:rFonts w:eastAsiaTheme="minorHAnsi"/>
                <w:szCs w:val="22"/>
              </w:rPr>
              <w:t>NominalInfo_ITEM</w:t>
            </w:r>
          </w:p>
        </w:tc>
        <w:tc>
          <w:tcPr>
            <w:tcW w:w="567" w:type="dxa"/>
          </w:tcPr>
          <w:p w14:paraId="470697C7" w14:textId="77777777" w:rsidR="00AD1F54" w:rsidRPr="00264D5D" w:rsidRDefault="00941227">
            <w:pPr>
              <w:pStyle w:val="GOSTTablenorm"/>
              <w:jc w:val="center"/>
              <w:rPr>
                <w:szCs w:val="22"/>
              </w:rPr>
            </w:pPr>
            <w:r w:rsidRPr="00264D5D">
              <w:rPr>
                <w:szCs w:val="22"/>
              </w:rPr>
              <w:t>С</w:t>
            </w:r>
          </w:p>
        </w:tc>
        <w:tc>
          <w:tcPr>
            <w:tcW w:w="1134" w:type="dxa"/>
          </w:tcPr>
          <w:p w14:paraId="62F997EA" w14:textId="77777777" w:rsidR="00AD1F54" w:rsidRPr="00264D5D" w:rsidRDefault="00941227">
            <w:pPr>
              <w:pStyle w:val="GOSTTablenorm"/>
              <w:rPr>
                <w:szCs w:val="22"/>
              </w:rPr>
            </w:pPr>
            <w:r w:rsidRPr="00264D5D">
              <w:rPr>
                <w:rFonts w:eastAsiaTheme="minorHAnsi"/>
                <w:szCs w:val="22"/>
              </w:rPr>
              <w:t>tNominalInfo_ITEM</w:t>
            </w:r>
          </w:p>
        </w:tc>
        <w:tc>
          <w:tcPr>
            <w:tcW w:w="567" w:type="dxa"/>
          </w:tcPr>
          <w:p w14:paraId="1C45D80F" w14:textId="77777777" w:rsidR="00AD1F54" w:rsidRPr="00264D5D" w:rsidRDefault="00941227">
            <w:pPr>
              <w:pStyle w:val="GOSTTablenorm"/>
              <w:jc w:val="center"/>
              <w:rPr>
                <w:szCs w:val="22"/>
              </w:rPr>
            </w:pPr>
            <w:r w:rsidRPr="00264D5D">
              <w:rPr>
                <w:szCs w:val="22"/>
              </w:rPr>
              <w:t>ОМ</w:t>
            </w:r>
          </w:p>
        </w:tc>
        <w:tc>
          <w:tcPr>
            <w:tcW w:w="3963" w:type="dxa"/>
          </w:tcPr>
          <w:p w14:paraId="3E7E6814" w14:textId="54462CA6" w:rsidR="00AD1F54" w:rsidRPr="00264D5D" w:rsidRDefault="00941227">
            <w:pPr>
              <w:pStyle w:val="GOSTTablenorm"/>
              <w:rPr>
                <w:szCs w:val="22"/>
              </w:rPr>
            </w:pPr>
            <w:r w:rsidRPr="00264D5D">
              <w:rPr>
                <w:szCs w:val="22"/>
              </w:rPr>
              <w:t xml:space="preserve">Состав элемента представлен в таблице </w:t>
            </w:r>
            <w:r w:rsidRPr="00264D5D">
              <w:rPr>
                <w:szCs w:val="22"/>
              </w:rPr>
              <w:fldChar w:fldCharType="begin"/>
            </w:r>
            <w:r w:rsidRPr="00264D5D">
              <w:rPr>
                <w:szCs w:val="22"/>
              </w:rPr>
              <w:instrText xml:space="preserve"> REF _Ref129777295 \h  \* MERGEFORMAT </w:instrText>
            </w:r>
            <w:r w:rsidRPr="00264D5D">
              <w:rPr>
                <w:szCs w:val="22"/>
              </w:rPr>
            </w:r>
            <w:r w:rsidRPr="00264D5D">
              <w:rPr>
                <w:szCs w:val="22"/>
              </w:rPr>
              <w:fldChar w:fldCharType="separate"/>
            </w:r>
            <w:r w:rsidR="008D797C" w:rsidRPr="008D797C">
              <w:rPr>
                <w:szCs w:val="22"/>
              </w:rPr>
              <w:t>268</w:t>
            </w:r>
            <w:r w:rsidRPr="00264D5D">
              <w:rPr>
                <w:szCs w:val="22"/>
              </w:rPr>
              <w:fldChar w:fldCharType="end"/>
            </w:r>
          </w:p>
        </w:tc>
      </w:tr>
    </w:tbl>
    <w:p w14:paraId="4566C21C" w14:textId="77777777" w:rsidR="00AD1F54" w:rsidRPr="00264D5D" w:rsidRDefault="00941227">
      <w:pPr>
        <w:pStyle w:val="31"/>
      </w:pPr>
      <w:r w:rsidRPr="00264D5D">
        <w:t xml:space="preserve"> </w:t>
      </w:r>
      <w:bookmarkStart w:id="3018" w:name="_Toc143690220"/>
      <w:bookmarkStart w:id="3019" w:name="_Toc219309742"/>
      <w:r w:rsidRPr="00264D5D">
        <w:t>Описание комплексного типа «</w:t>
      </w:r>
      <w:r w:rsidRPr="00264D5D">
        <w:rPr>
          <w:rFonts w:eastAsiaTheme="minorHAnsi"/>
        </w:rPr>
        <w:t>tNominalInfo_ITEM</w:t>
      </w:r>
      <w:r w:rsidRPr="00264D5D">
        <w:t>»</w:t>
      </w:r>
      <w:bookmarkEnd w:id="3018"/>
      <w:bookmarkEnd w:id="3019"/>
    </w:p>
    <w:p w14:paraId="12319287" w14:textId="77777777" w:rsidR="00AD1F54" w:rsidRPr="00264D5D" w:rsidRDefault="00941227">
      <w:pPr>
        <w:pStyle w:val="GOSTNormal"/>
      </w:pPr>
      <w:r w:rsidRPr="00264D5D">
        <w:t>Описание комплексного типа</w:t>
      </w:r>
      <w:r w:rsidRPr="00264D5D">
        <w:rPr>
          <w:b/>
          <w:iCs/>
        </w:rPr>
        <w:t xml:space="preserve"> «</w:t>
      </w:r>
      <w:r w:rsidRPr="00264D5D">
        <w:rPr>
          <w:rFonts w:eastAsiaTheme="minorHAnsi"/>
        </w:rPr>
        <w:t>tNominalInfo_ITEM</w:t>
      </w:r>
      <w:r w:rsidRPr="00264D5D">
        <w:t>» блока «Информация о номиналах</w:t>
      </w:r>
      <w:r w:rsidR="00B06B9A" w:rsidRPr="00264D5D">
        <w:t xml:space="preserve"> </w:t>
      </w:r>
      <w:r w:rsidRPr="00264D5D">
        <w:t xml:space="preserve">(строки)». </w:t>
      </w:r>
    </w:p>
    <w:p w14:paraId="12CEFD2B" w14:textId="0FE151FA" w:rsidR="00AD1F54" w:rsidRPr="00264D5D" w:rsidRDefault="001E5517">
      <w:pPr>
        <w:pStyle w:val="GOSTNameTable"/>
        <w:numPr>
          <w:ilvl w:val="0"/>
          <w:numId w:val="2"/>
        </w:numPr>
        <w:spacing w:before="240" w:after="120"/>
      </w:pPr>
      <w:r w:rsidRPr="00264D5D">
        <w:rPr>
          <w:noProof/>
        </w:rPr>
        <w:lastRenderedPageBreak/>
        <w:fldChar w:fldCharType="begin"/>
      </w:r>
      <w:r w:rsidRPr="00264D5D">
        <w:rPr>
          <w:noProof/>
        </w:rPr>
        <w:instrText xml:space="preserve"> SEQ Таблица \* ARABIC </w:instrText>
      </w:r>
      <w:r w:rsidRPr="00264D5D">
        <w:rPr>
          <w:noProof/>
        </w:rPr>
        <w:fldChar w:fldCharType="separate"/>
      </w:r>
      <w:bookmarkStart w:id="3020" w:name="_Ref129777295"/>
      <w:bookmarkStart w:id="3021" w:name="_Toc219309298"/>
      <w:r w:rsidR="008D797C">
        <w:rPr>
          <w:noProof/>
        </w:rPr>
        <w:t>268</w:t>
      </w:r>
      <w:bookmarkEnd w:id="3020"/>
      <w:r w:rsidRPr="00264D5D">
        <w:rPr>
          <w:noProof/>
        </w:rPr>
        <w:fldChar w:fldCharType="end"/>
      </w:r>
      <w:r w:rsidR="00941227" w:rsidRPr="00264D5D">
        <w:rPr>
          <w:rFonts w:eastAsia="Calibri"/>
          <w:szCs w:val="24"/>
        </w:rPr>
        <w:t xml:space="preserve"> –</w:t>
      </w:r>
      <w:r w:rsidR="00941227" w:rsidRPr="00264D5D">
        <w:t xml:space="preserve"> Описание комплексного типа «</w:t>
      </w:r>
      <w:r w:rsidR="00941227" w:rsidRPr="00264D5D">
        <w:rPr>
          <w:rFonts w:eastAsiaTheme="minorHAnsi"/>
        </w:rPr>
        <w:t>tNominalInfo_ITEM</w:t>
      </w:r>
      <w:r w:rsidR="00941227" w:rsidRPr="00264D5D">
        <w:t>»</w:t>
      </w:r>
      <w:bookmarkEnd w:id="3021"/>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00E77CA1" w14:textId="77777777" w:rsidTr="004058D4">
        <w:trPr>
          <w:cnfStyle w:val="100000000000" w:firstRow="1" w:lastRow="0" w:firstColumn="0" w:lastColumn="0" w:oddVBand="0" w:evenVBand="0" w:oddHBand="0" w:evenHBand="0" w:firstRowFirstColumn="0" w:firstRowLastColumn="0" w:lastRowFirstColumn="0" w:lastRowLastColumn="0"/>
          <w:tblHeader/>
        </w:trPr>
        <w:tc>
          <w:tcPr>
            <w:tcW w:w="1701" w:type="dxa"/>
          </w:tcPr>
          <w:p w14:paraId="29D30FF9" w14:textId="77777777" w:rsidR="00AD1F54" w:rsidRPr="00264D5D" w:rsidRDefault="00941227">
            <w:pPr>
              <w:pStyle w:val="GOSTTableHead"/>
            </w:pPr>
            <w:r w:rsidRPr="00264D5D">
              <w:t>Наименование элемента</w:t>
            </w:r>
          </w:p>
        </w:tc>
        <w:tc>
          <w:tcPr>
            <w:tcW w:w="1701" w:type="dxa"/>
          </w:tcPr>
          <w:p w14:paraId="21188386" w14:textId="77777777" w:rsidR="00AD1F54" w:rsidRPr="00264D5D" w:rsidRDefault="00941227">
            <w:pPr>
              <w:pStyle w:val="GOSTTableHead"/>
            </w:pPr>
            <w:r w:rsidRPr="00264D5D">
              <w:t>Сокращенное наименование (код) элемента</w:t>
            </w:r>
          </w:p>
        </w:tc>
        <w:tc>
          <w:tcPr>
            <w:tcW w:w="567" w:type="dxa"/>
          </w:tcPr>
          <w:p w14:paraId="447A6AC5" w14:textId="77777777" w:rsidR="00AD1F54" w:rsidRPr="00264D5D" w:rsidRDefault="00941227">
            <w:pPr>
              <w:pStyle w:val="GOSTTableHead"/>
            </w:pPr>
            <w:r w:rsidRPr="00264D5D">
              <w:t>Тип</w:t>
            </w:r>
          </w:p>
        </w:tc>
        <w:tc>
          <w:tcPr>
            <w:tcW w:w="1134" w:type="dxa"/>
          </w:tcPr>
          <w:p w14:paraId="275EDF29" w14:textId="77777777" w:rsidR="00AD1F54" w:rsidRPr="00264D5D" w:rsidRDefault="00941227">
            <w:pPr>
              <w:pStyle w:val="GOSTTableHead"/>
            </w:pPr>
            <w:r w:rsidRPr="00264D5D">
              <w:t>Формат элемента</w:t>
            </w:r>
          </w:p>
        </w:tc>
        <w:tc>
          <w:tcPr>
            <w:tcW w:w="567" w:type="dxa"/>
          </w:tcPr>
          <w:p w14:paraId="7DA3E854" w14:textId="77777777" w:rsidR="00AD1F54" w:rsidRPr="00264D5D" w:rsidRDefault="00941227">
            <w:pPr>
              <w:pStyle w:val="GOSTTableHead"/>
            </w:pPr>
            <w:r w:rsidRPr="00264D5D">
              <w:t>Обязательность</w:t>
            </w:r>
          </w:p>
        </w:tc>
        <w:tc>
          <w:tcPr>
            <w:tcW w:w="3963" w:type="dxa"/>
          </w:tcPr>
          <w:p w14:paraId="1414E6D0" w14:textId="77777777" w:rsidR="00AD1F54" w:rsidRPr="00264D5D" w:rsidRDefault="00941227">
            <w:pPr>
              <w:pStyle w:val="GOSTTableHead"/>
            </w:pPr>
            <w:r w:rsidRPr="00264D5D">
              <w:t>Дополнительная информация</w:t>
            </w:r>
          </w:p>
        </w:tc>
      </w:tr>
      <w:tr w:rsidR="00AD1F54" w:rsidRPr="00264D5D" w14:paraId="69724C8E"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BA4CF68" w14:textId="77777777" w:rsidR="00AD1F54" w:rsidRPr="00264D5D" w:rsidRDefault="00941227">
            <w:pPr>
              <w:pStyle w:val="GOSTTablenorm"/>
              <w:rPr>
                <w:szCs w:val="22"/>
              </w:rPr>
            </w:pPr>
            <w:r w:rsidRPr="00264D5D">
              <w:rPr>
                <w:szCs w:val="22"/>
              </w:rPr>
              <w:t>Вид наличности</w:t>
            </w:r>
          </w:p>
        </w:tc>
        <w:tc>
          <w:tcPr>
            <w:tcW w:w="1701" w:type="dxa"/>
          </w:tcPr>
          <w:p w14:paraId="0CB594FD" w14:textId="77777777" w:rsidR="00AD1F54" w:rsidRPr="00264D5D" w:rsidRDefault="00941227">
            <w:pPr>
              <w:pStyle w:val="GOSTTablenorm"/>
              <w:rPr>
                <w:szCs w:val="22"/>
              </w:rPr>
            </w:pPr>
            <w:r w:rsidRPr="00264D5D">
              <w:rPr>
                <w:rFonts w:eastAsiaTheme="minorHAnsi"/>
                <w:szCs w:val="22"/>
              </w:rPr>
              <w:t>CashKind</w:t>
            </w:r>
          </w:p>
        </w:tc>
        <w:tc>
          <w:tcPr>
            <w:tcW w:w="567" w:type="dxa"/>
          </w:tcPr>
          <w:p w14:paraId="2D216270" w14:textId="77777777" w:rsidR="00AD1F54" w:rsidRPr="00264D5D" w:rsidRDefault="00941227">
            <w:pPr>
              <w:pStyle w:val="GOSTTablenorm"/>
              <w:jc w:val="center"/>
              <w:rPr>
                <w:szCs w:val="22"/>
              </w:rPr>
            </w:pPr>
            <w:r w:rsidRPr="00264D5D">
              <w:rPr>
                <w:szCs w:val="22"/>
              </w:rPr>
              <w:t>С</w:t>
            </w:r>
          </w:p>
        </w:tc>
        <w:tc>
          <w:tcPr>
            <w:tcW w:w="1134" w:type="dxa"/>
          </w:tcPr>
          <w:p w14:paraId="74CA22D3" w14:textId="77777777" w:rsidR="00AD1F54" w:rsidRPr="00264D5D" w:rsidRDefault="00941227">
            <w:pPr>
              <w:pStyle w:val="GOSTTablenorm"/>
              <w:rPr>
                <w:szCs w:val="22"/>
              </w:rPr>
            </w:pPr>
            <w:r w:rsidRPr="00264D5D">
              <w:rPr>
                <w:rFonts w:eastAsiaTheme="minorHAnsi"/>
                <w:szCs w:val="22"/>
              </w:rPr>
              <w:t>tNominalInfo_CashKindComplex</w:t>
            </w:r>
          </w:p>
        </w:tc>
        <w:tc>
          <w:tcPr>
            <w:tcW w:w="567" w:type="dxa"/>
          </w:tcPr>
          <w:p w14:paraId="09A6E514" w14:textId="77777777" w:rsidR="00AD1F54" w:rsidRPr="00264D5D" w:rsidRDefault="00941227">
            <w:pPr>
              <w:pStyle w:val="GOSTTablenorm"/>
              <w:jc w:val="center"/>
              <w:rPr>
                <w:szCs w:val="22"/>
              </w:rPr>
            </w:pPr>
            <w:r w:rsidRPr="00264D5D">
              <w:rPr>
                <w:szCs w:val="22"/>
              </w:rPr>
              <w:t>О</w:t>
            </w:r>
          </w:p>
        </w:tc>
        <w:tc>
          <w:tcPr>
            <w:tcW w:w="3963" w:type="dxa"/>
          </w:tcPr>
          <w:p w14:paraId="62AEDD72" w14:textId="209F465F" w:rsidR="00AD1F54" w:rsidRPr="00264D5D" w:rsidRDefault="00941227">
            <w:pPr>
              <w:pStyle w:val="GOSTTablenorm"/>
              <w:rPr>
                <w:szCs w:val="22"/>
              </w:rPr>
            </w:pPr>
            <w:r w:rsidRPr="00264D5D">
              <w:rPr>
                <w:szCs w:val="22"/>
              </w:rPr>
              <w:t xml:space="preserve">Состав элемента представлен в таблице </w:t>
            </w:r>
            <w:r w:rsidRPr="00264D5D">
              <w:rPr>
                <w:szCs w:val="22"/>
              </w:rPr>
              <w:fldChar w:fldCharType="begin"/>
            </w:r>
            <w:r w:rsidRPr="00264D5D">
              <w:rPr>
                <w:szCs w:val="22"/>
              </w:rPr>
              <w:instrText xml:space="preserve"> REF _Ref129605946 \h  \* MERGEFORMAT </w:instrText>
            </w:r>
            <w:r w:rsidRPr="00264D5D">
              <w:rPr>
                <w:szCs w:val="22"/>
              </w:rPr>
            </w:r>
            <w:r w:rsidRPr="00264D5D">
              <w:rPr>
                <w:szCs w:val="22"/>
              </w:rPr>
              <w:fldChar w:fldCharType="separate"/>
            </w:r>
            <w:r w:rsidR="008D797C" w:rsidRPr="008D797C">
              <w:rPr>
                <w:szCs w:val="22"/>
              </w:rPr>
              <w:t>269</w:t>
            </w:r>
            <w:r w:rsidRPr="00264D5D">
              <w:rPr>
                <w:szCs w:val="22"/>
              </w:rPr>
              <w:fldChar w:fldCharType="end"/>
            </w:r>
          </w:p>
        </w:tc>
      </w:tr>
      <w:tr w:rsidR="00AD1F54" w:rsidRPr="00264D5D" w14:paraId="6D2BB80D"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60EFE43C" w14:textId="77777777" w:rsidR="00AD1F54" w:rsidRPr="00264D5D" w:rsidRDefault="00941227">
            <w:pPr>
              <w:pStyle w:val="GOSTTablenorm"/>
              <w:rPr>
                <w:szCs w:val="22"/>
              </w:rPr>
            </w:pPr>
            <w:r w:rsidRPr="00264D5D">
              <w:rPr>
                <w:szCs w:val="22"/>
              </w:rPr>
              <w:t>Номинал</w:t>
            </w:r>
          </w:p>
        </w:tc>
        <w:tc>
          <w:tcPr>
            <w:tcW w:w="1701" w:type="dxa"/>
          </w:tcPr>
          <w:p w14:paraId="6E13CD47" w14:textId="77777777" w:rsidR="00AD1F54" w:rsidRPr="00264D5D" w:rsidRDefault="00941227">
            <w:pPr>
              <w:pStyle w:val="GOSTTablenorm"/>
              <w:rPr>
                <w:szCs w:val="22"/>
              </w:rPr>
            </w:pPr>
            <w:r w:rsidRPr="00264D5D">
              <w:rPr>
                <w:rFonts w:eastAsiaTheme="minorHAnsi"/>
                <w:szCs w:val="22"/>
              </w:rPr>
              <w:t>Nominal</w:t>
            </w:r>
          </w:p>
        </w:tc>
        <w:tc>
          <w:tcPr>
            <w:tcW w:w="567" w:type="dxa"/>
          </w:tcPr>
          <w:p w14:paraId="08B703D3" w14:textId="77777777" w:rsidR="00AD1F54" w:rsidRPr="00264D5D" w:rsidRDefault="00941227">
            <w:pPr>
              <w:pStyle w:val="GOSTTablenorm"/>
              <w:jc w:val="center"/>
              <w:rPr>
                <w:szCs w:val="22"/>
              </w:rPr>
            </w:pPr>
            <w:r w:rsidRPr="00264D5D">
              <w:rPr>
                <w:szCs w:val="22"/>
              </w:rPr>
              <w:t>П</w:t>
            </w:r>
          </w:p>
        </w:tc>
        <w:tc>
          <w:tcPr>
            <w:tcW w:w="1134" w:type="dxa"/>
          </w:tcPr>
          <w:p w14:paraId="701A5FD6" w14:textId="77777777" w:rsidR="00AD1F54" w:rsidRPr="00264D5D" w:rsidRDefault="00941227">
            <w:pPr>
              <w:pStyle w:val="GOSTTablenorm"/>
              <w:rPr>
                <w:szCs w:val="22"/>
              </w:rPr>
            </w:pPr>
            <w:r w:rsidRPr="00264D5D">
              <w:rPr>
                <w:szCs w:val="22"/>
                <w:lang w:val="en-US"/>
              </w:rPr>
              <w:t>N(20</w:t>
            </w:r>
            <w:r w:rsidRPr="00264D5D">
              <w:rPr>
                <w:szCs w:val="22"/>
              </w:rPr>
              <w:t>.</w:t>
            </w:r>
            <w:r w:rsidRPr="00264D5D">
              <w:rPr>
                <w:szCs w:val="22"/>
                <w:lang w:val="en-US"/>
              </w:rPr>
              <w:t>2)</w:t>
            </w:r>
          </w:p>
        </w:tc>
        <w:tc>
          <w:tcPr>
            <w:tcW w:w="567" w:type="dxa"/>
          </w:tcPr>
          <w:p w14:paraId="3EDB78B2" w14:textId="77777777" w:rsidR="00AD1F54" w:rsidRPr="00264D5D" w:rsidRDefault="00941227">
            <w:pPr>
              <w:pStyle w:val="GOSTTablenorm"/>
              <w:jc w:val="center"/>
              <w:rPr>
                <w:szCs w:val="22"/>
              </w:rPr>
            </w:pPr>
            <w:r w:rsidRPr="00264D5D">
              <w:rPr>
                <w:szCs w:val="22"/>
              </w:rPr>
              <w:t>О</w:t>
            </w:r>
          </w:p>
        </w:tc>
        <w:tc>
          <w:tcPr>
            <w:tcW w:w="3963" w:type="dxa"/>
          </w:tcPr>
          <w:p w14:paraId="04B22A7F" w14:textId="77777777" w:rsidR="00B06B9A" w:rsidRPr="00264D5D" w:rsidRDefault="00941227">
            <w:pPr>
              <w:pStyle w:val="GOSTTablenorm"/>
              <w:rPr>
                <w:szCs w:val="22"/>
              </w:rPr>
            </w:pPr>
            <w:r w:rsidRPr="00264D5D">
              <w:rPr>
                <w:szCs w:val="22"/>
              </w:rPr>
              <w:t xml:space="preserve">Если «Код вида наличности» </w:t>
            </w:r>
            <w:r w:rsidR="00B06B9A" w:rsidRPr="00264D5D">
              <w:rPr>
                <w:rFonts w:eastAsia="Calibri"/>
              </w:rPr>
              <w:t>–</w:t>
            </w:r>
            <w:r w:rsidRPr="00264D5D">
              <w:rPr>
                <w:szCs w:val="22"/>
              </w:rPr>
              <w:t xml:space="preserve"> «0»</w:t>
            </w:r>
            <w:r w:rsidR="00B06B9A" w:rsidRPr="00264D5D">
              <w:rPr>
                <w:szCs w:val="22"/>
              </w:rPr>
              <w:t>, то указывается</w:t>
            </w:r>
            <w:r w:rsidRPr="00264D5D">
              <w:rPr>
                <w:szCs w:val="22"/>
              </w:rPr>
              <w:t xml:space="preserve"> значение номинала: </w:t>
            </w:r>
          </w:p>
          <w:p w14:paraId="4214F7D8" w14:textId="77777777" w:rsidR="00AD1F54" w:rsidRPr="00264D5D" w:rsidRDefault="00941227">
            <w:pPr>
              <w:pStyle w:val="GOSTTablenorm"/>
              <w:rPr>
                <w:szCs w:val="22"/>
              </w:rPr>
            </w:pPr>
            <w:r w:rsidRPr="00264D5D">
              <w:rPr>
                <w:szCs w:val="22"/>
              </w:rPr>
              <w:t xml:space="preserve">«0.01», «0.05», «0.10», «0.50», </w:t>
            </w:r>
            <w:r w:rsidR="00B06B9A" w:rsidRPr="00264D5D">
              <w:rPr>
                <w:szCs w:val="22"/>
              </w:rPr>
              <w:t>«1.00», «2.00», «5.00», «10.00».</w:t>
            </w:r>
          </w:p>
          <w:p w14:paraId="3974EBAA" w14:textId="77777777" w:rsidR="00B06B9A" w:rsidRPr="00264D5D" w:rsidRDefault="00941227">
            <w:pPr>
              <w:pStyle w:val="GOSTTablenorm"/>
              <w:rPr>
                <w:szCs w:val="22"/>
              </w:rPr>
            </w:pPr>
            <w:r w:rsidRPr="00264D5D">
              <w:rPr>
                <w:szCs w:val="22"/>
              </w:rPr>
              <w:t xml:space="preserve">Если «Код вида наличности» </w:t>
            </w:r>
            <w:r w:rsidR="00B06B9A" w:rsidRPr="00264D5D">
              <w:rPr>
                <w:rFonts w:eastAsia="Calibri"/>
              </w:rPr>
              <w:t>–</w:t>
            </w:r>
            <w:r w:rsidRPr="00264D5D">
              <w:rPr>
                <w:szCs w:val="22"/>
              </w:rPr>
              <w:t xml:space="preserve"> «1»</w:t>
            </w:r>
            <w:r w:rsidR="00B06B9A" w:rsidRPr="00264D5D">
              <w:rPr>
                <w:szCs w:val="22"/>
              </w:rPr>
              <w:t>, то указывается</w:t>
            </w:r>
            <w:r w:rsidRPr="00264D5D">
              <w:rPr>
                <w:szCs w:val="22"/>
              </w:rPr>
              <w:t xml:space="preserve"> значение номинала: </w:t>
            </w:r>
          </w:p>
          <w:p w14:paraId="5581BC90" w14:textId="77777777" w:rsidR="00AD1F54" w:rsidRPr="00264D5D" w:rsidRDefault="00941227">
            <w:pPr>
              <w:pStyle w:val="GOSTTablenorm"/>
              <w:rPr>
                <w:szCs w:val="22"/>
              </w:rPr>
            </w:pPr>
            <w:r w:rsidRPr="00264D5D">
              <w:rPr>
                <w:szCs w:val="22"/>
              </w:rPr>
              <w:t>«5.00», «10.00», «50.00», «100.00», «200.00», «500.00», «1000.00»</w:t>
            </w:r>
            <w:r w:rsidR="00B06B9A" w:rsidRPr="00264D5D">
              <w:rPr>
                <w:szCs w:val="22"/>
              </w:rPr>
              <w:t>, «2000.00», «5000.00»</w:t>
            </w:r>
          </w:p>
        </w:tc>
      </w:tr>
      <w:tr w:rsidR="00AD1F54" w:rsidRPr="00264D5D" w14:paraId="012C77B9"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140BF76" w14:textId="77777777" w:rsidR="00AD1F54" w:rsidRPr="00264D5D" w:rsidRDefault="00941227">
            <w:pPr>
              <w:pStyle w:val="GOSTTablenorm"/>
              <w:rPr>
                <w:szCs w:val="22"/>
              </w:rPr>
            </w:pPr>
            <w:r w:rsidRPr="00264D5D">
              <w:rPr>
                <w:szCs w:val="22"/>
              </w:rPr>
              <w:t>Сумма</w:t>
            </w:r>
          </w:p>
        </w:tc>
        <w:tc>
          <w:tcPr>
            <w:tcW w:w="1701" w:type="dxa"/>
          </w:tcPr>
          <w:p w14:paraId="6BFDEBB4" w14:textId="77777777" w:rsidR="00AD1F54" w:rsidRPr="00264D5D" w:rsidRDefault="00941227">
            <w:pPr>
              <w:pStyle w:val="GOSTTablenorm"/>
              <w:rPr>
                <w:szCs w:val="22"/>
              </w:rPr>
            </w:pPr>
            <w:r w:rsidRPr="00264D5D">
              <w:rPr>
                <w:szCs w:val="22"/>
              </w:rPr>
              <w:t>Sum</w:t>
            </w:r>
          </w:p>
        </w:tc>
        <w:tc>
          <w:tcPr>
            <w:tcW w:w="567" w:type="dxa"/>
          </w:tcPr>
          <w:p w14:paraId="0748506E" w14:textId="77777777" w:rsidR="00AD1F54" w:rsidRPr="00264D5D" w:rsidRDefault="00941227">
            <w:pPr>
              <w:pStyle w:val="GOSTTablenorm"/>
              <w:jc w:val="center"/>
              <w:rPr>
                <w:szCs w:val="22"/>
              </w:rPr>
            </w:pPr>
            <w:r w:rsidRPr="00264D5D">
              <w:rPr>
                <w:szCs w:val="22"/>
              </w:rPr>
              <w:t>П</w:t>
            </w:r>
          </w:p>
        </w:tc>
        <w:tc>
          <w:tcPr>
            <w:tcW w:w="1134" w:type="dxa"/>
          </w:tcPr>
          <w:p w14:paraId="7C423F22" w14:textId="77777777" w:rsidR="00AD1F54" w:rsidRPr="00264D5D" w:rsidRDefault="00941227">
            <w:pPr>
              <w:pStyle w:val="GOSTTablenorm"/>
              <w:rPr>
                <w:szCs w:val="22"/>
              </w:rPr>
            </w:pPr>
            <w:r w:rsidRPr="00264D5D">
              <w:rPr>
                <w:szCs w:val="22"/>
                <w:lang w:val="en-US"/>
              </w:rPr>
              <w:t>N(20</w:t>
            </w:r>
            <w:r w:rsidRPr="00264D5D">
              <w:rPr>
                <w:szCs w:val="22"/>
              </w:rPr>
              <w:t>.</w:t>
            </w:r>
            <w:r w:rsidRPr="00264D5D">
              <w:rPr>
                <w:szCs w:val="22"/>
                <w:lang w:val="en-US"/>
              </w:rPr>
              <w:t>2)</w:t>
            </w:r>
          </w:p>
        </w:tc>
        <w:tc>
          <w:tcPr>
            <w:tcW w:w="567" w:type="dxa"/>
          </w:tcPr>
          <w:p w14:paraId="147CFDE1" w14:textId="77777777" w:rsidR="00AD1F54" w:rsidRPr="00264D5D" w:rsidRDefault="00941227">
            <w:pPr>
              <w:pStyle w:val="GOSTTablenorm"/>
              <w:jc w:val="center"/>
              <w:rPr>
                <w:szCs w:val="22"/>
              </w:rPr>
            </w:pPr>
            <w:r w:rsidRPr="00264D5D">
              <w:rPr>
                <w:szCs w:val="22"/>
              </w:rPr>
              <w:t>О</w:t>
            </w:r>
          </w:p>
        </w:tc>
        <w:tc>
          <w:tcPr>
            <w:tcW w:w="3963" w:type="dxa"/>
          </w:tcPr>
          <w:p w14:paraId="1A246467" w14:textId="77777777" w:rsidR="00AD1F54" w:rsidRPr="00264D5D" w:rsidRDefault="00B06B9A">
            <w:pPr>
              <w:pStyle w:val="GOSTTablenorm"/>
              <w:rPr>
                <w:szCs w:val="22"/>
              </w:rPr>
            </w:pPr>
            <w:r w:rsidRPr="00264D5D">
              <w:rPr>
                <w:szCs w:val="22"/>
              </w:rPr>
              <w:t>Указывается сумма наличности</w:t>
            </w:r>
          </w:p>
        </w:tc>
      </w:tr>
    </w:tbl>
    <w:p w14:paraId="21F99F71" w14:textId="77777777" w:rsidR="00AD1F54" w:rsidRPr="00264D5D" w:rsidRDefault="00941227">
      <w:pPr>
        <w:pStyle w:val="31"/>
      </w:pPr>
      <w:bookmarkStart w:id="3022" w:name="_Toc128656151"/>
      <w:bookmarkStart w:id="3023" w:name="_Toc129607755"/>
      <w:bookmarkStart w:id="3024" w:name="_Toc143690221"/>
      <w:bookmarkStart w:id="3025" w:name="_Toc219309743"/>
      <w:r w:rsidRPr="00264D5D">
        <w:t>Описание комплексного типа «</w:t>
      </w:r>
      <w:r w:rsidRPr="00264D5D">
        <w:rPr>
          <w:rFonts w:eastAsiaTheme="minorHAnsi"/>
        </w:rPr>
        <w:t>tNominalInfo_CashKindComplex</w:t>
      </w:r>
      <w:r w:rsidRPr="00264D5D">
        <w:t>»</w:t>
      </w:r>
      <w:bookmarkEnd w:id="3022"/>
      <w:bookmarkEnd w:id="3023"/>
      <w:bookmarkEnd w:id="3024"/>
      <w:bookmarkEnd w:id="3025"/>
    </w:p>
    <w:p w14:paraId="0066847A" w14:textId="77777777" w:rsidR="00AD1F54" w:rsidRPr="00264D5D" w:rsidRDefault="00941227">
      <w:pPr>
        <w:pStyle w:val="GOSTNormal"/>
      </w:pPr>
      <w:r w:rsidRPr="00264D5D">
        <w:t>Описание комплексного типа «</w:t>
      </w:r>
      <w:r w:rsidRPr="00264D5D">
        <w:rPr>
          <w:rFonts w:eastAsiaTheme="minorHAnsi"/>
        </w:rPr>
        <w:t>tNominalInfo_CashKindComplex</w:t>
      </w:r>
      <w:r w:rsidRPr="00264D5D">
        <w:t>» блока «Вид наличности».</w:t>
      </w:r>
    </w:p>
    <w:p w14:paraId="77F4F3CD" w14:textId="3B0CFB42" w:rsidR="00AD1F54" w:rsidRPr="00264D5D" w:rsidRDefault="00941227">
      <w:pPr>
        <w:pStyle w:val="GOSTNameTable"/>
        <w:numPr>
          <w:ilvl w:val="0"/>
          <w:numId w:val="2"/>
        </w:numPr>
        <w:spacing w:before="240" w:after="120"/>
      </w:pPr>
      <w:r w:rsidRPr="00264D5D">
        <w:fldChar w:fldCharType="begin"/>
      </w:r>
      <w:r w:rsidRPr="00264D5D">
        <w:instrText>SEQ Таблица \* ARABIC</w:instrText>
      </w:r>
      <w:r w:rsidRPr="00264D5D">
        <w:fldChar w:fldCharType="separate"/>
      </w:r>
      <w:bookmarkStart w:id="3026" w:name="_Ref129605946"/>
      <w:bookmarkStart w:id="3027" w:name="_Toc129608178"/>
      <w:bookmarkStart w:id="3028" w:name="_Toc219309299"/>
      <w:r w:rsidR="008D797C">
        <w:rPr>
          <w:noProof/>
        </w:rPr>
        <w:t>269</w:t>
      </w:r>
      <w:bookmarkEnd w:id="3026"/>
      <w:r w:rsidRPr="00264D5D">
        <w:fldChar w:fldCharType="end"/>
      </w:r>
      <w:r w:rsidRPr="00264D5D">
        <w:rPr>
          <w:rFonts w:eastAsia="Calibri"/>
        </w:rPr>
        <w:t xml:space="preserve"> –</w:t>
      </w:r>
      <w:r w:rsidRPr="00264D5D">
        <w:t xml:space="preserve"> Описание комплексного типа «</w:t>
      </w:r>
      <w:r w:rsidRPr="00264D5D">
        <w:rPr>
          <w:rFonts w:eastAsiaTheme="minorHAnsi"/>
        </w:rPr>
        <w:t>tNominalInfo_CashKindComplex</w:t>
      </w:r>
      <w:r w:rsidRPr="00264D5D">
        <w:t>»</w:t>
      </w:r>
      <w:bookmarkEnd w:id="3027"/>
      <w:bookmarkEnd w:id="3028"/>
    </w:p>
    <w:tbl>
      <w:tblPr>
        <w:tblStyle w:val="GOSTTable"/>
        <w:tblW w:w="9633" w:type="dxa"/>
        <w:tblLayout w:type="fixed"/>
        <w:tblLook w:val="04A0" w:firstRow="1" w:lastRow="0" w:firstColumn="1" w:lastColumn="0" w:noHBand="0" w:noVBand="1"/>
      </w:tblPr>
      <w:tblGrid>
        <w:gridCol w:w="1701"/>
        <w:gridCol w:w="1701"/>
        <w:gridCol w:w="567"/>
        <w:gridCol w:w="1134"/>
        <w:gridCol w:w="567"/>
        <w:gridCol w:w="3963"/>
      </w:tblGrid>
      <w:tr w:rsidR="00AD1F54" w:rsidRPr="00264D5D" w14:paraId="39B3C017" w14:textId="77777777" w:rsidTr="00AD1F54">
        <w:trPr>
          <w:cnfStyle w:val="100000000000" w:firstRow="1" w:lastRow="0" w:firstColumn="0" w:lastColumn="0" w:oddVBand="0" w:evenVBand="0" w:oddHBand="0" w:evenHBand="0" w:firstRowFirstColumn="0" w:firstRowLastColumn="0" w:lastRowFirstColumn="0" w:lastRowLastColumn="0"/>
        </w:trPr>
        <w:tc>
          <w:tcPr>
            <w:tcW w:w="1701" w:type="dxa"/>
          </w:tcPr>
          <w:p w14:paraId="0B39FFDE" w14:textId="77777777" w:rsidR="00AD1F54" w:rsidRPr="00264D5D" w:rsidRDefault="00941227">
            <w:pPr>
              <w:pStyle w:val="GOSTTableHead"/>
            </w:pPr>
            <w:r w:rsidRPr="00264D5D">
              <w:t>Наименование элемента</w:t>
            </w:r>
          </w:p>
        </w:tc>
        <w:tc>
          <w:tcPr>
            <w:tcW w:w="1701" w:type="dxa"/>
          </w:tcPr>
          <w:p w14:paraId="4B199F9F" w14:textId="77777777" w:rsidR="00AD1F54" w:rsidRPr="00264D5D" w:rsidRDefault="00941227">
            <w:pPr>
              <w:pStyle w:val="GOSTTableHead"/>
            </w:pPr>
            <w:r w:rsidRPr="00264D5D">
              <w:t>Сокращенное наименование (код) элемента</w:t>
            </w:r>
          </w:p>
        </w:tc>
        <w:tc>
          <w:tcPr>
            <w:tcW w:w="567" w:type="dxa"/>
          </w:tcPr>
          <w:p w14:paraId="310D648A" w14:textId="77777777" w:rsidR="00AD1F54" w:rsidRPr="00264D5D" w:rsidRDefault="00941227">
            <w:pPr>
              <w:pStyle w:val="GOSTTableHead"/>
            </w:pPr>
            <w:r w:rsidRPr="00264D5D">
              <w:t>Тип</w:t>
            </w:r>
          </w:p>
        </w:tc>
        <w:tc>
          <w:tcPr>
            <w:tcW w:w="1134" w:type="dxa"/>
          </w:tcPr>
          <w:p w14:paraId="69D6CA70" w14:textId="77777777" w:rsidR="00AD1F54" w:rsidRPr="00264D5D" w:rsidRDefault="00941227">
            <w:pPr>
              <w:pStyle w:val="GOSTTableHead"/>
            </w:pPr>
            <w:r w:rsidRPr="00264D5D">
              <w:t>Формат элемента</w:t>
            </w:r>
          </w:p>
        </w:tc>
        <w:tc>
          <w:tcPr>
            <w:tcW w:w="567" w:type="dxa"/>
          </w:tcPr>
          <w:p w14:paraId="70210F63" w14:textId="77777777" w:rsidR="00AD1F54" w:rsidRPr="00264D5D" w:rsidRDefault="00941227">
            <w:pPr>
              <w:pStyle w:val="GOSTTableHead"/>
            </w:pPr>
            <w:r w:rsidRPr="00264D5D">
              <w:t>Обязательность</w:t>
            </w:r>
          </w:p>
        </w:tc>
        <w:tc>
          <w:tcPr>
            <w:tcW w:w="3963" w:type="dxa"/>
          </w:tcPr>
          <w:p w14:paraId="3F584DF7" w14:textId="77777777" w:rsidR="00AD1F54" w:rsidRPr="00264D5D" w:rsidRDefault="00941227">
            <w:pPr>
              <w:pStyle w:val="GOSTTableHead"/>
            </w:pPr>
            <w:r w:rsidRPr="00264D5D">
              <w:t>Дополнительная информация</w:t>
            </w:r>
          </w:p>
        </w:tc>
      </w:tr>
      <w:tr w:rsidR="00AD1F54" w:rsidRPr="00264D5D" w14:paraId="32CDAC3D"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FDD1782" w14:textId="77777777" w:rsidR="00AD1F54" w:rsidRPr="00264D5D" w:rsidRDefault="00941227">
            <w:pPr>
              <w:pStyle w:val="GOSTTablenorm"/>
              <w:rPr>
                <w:szCs w:val="22"/>
              </w:rPr>
            </w:pPr>
            <w:r w:rsidRPr="00264D5D">
              <w:rPr>
                <w:szCs w:val="22"/>
              </w:rPr>
              <w:t>Код Вида наличности</w:t>
            </w:r>
          </w:p>
        </w:tc>
        <w:tc>
          <w:tcPr>
            <w:tcW w:w="1701" w:type="dxa"/>
          </w:tcPr>
          <w:p w14:paraId="1FDBB84F" w14:textId="77777777" w:rsidR="00AD1F54" w:rsidRPr="00264D5D" w:rsidRDefault="00941227">
            <w:pPr>
              <w:pStyle w:val="GOSTTablenorm"/>
              <w:rPr>
                <w:szCs w:val="22"/>
              </w:rPr>
            </w:pPr>
            <w:r w:rsidRPr="00264D5D">
              <w:rPr>
                <w:szCs w:val="22"/>
              </w:rPr>
              <w:t>сode</w:t>
            </w:r>
          </w:p>
        </w:tc>
        <w:tc>
          <w:tcPr>
            <w:tcW w:w="567" w:type="dxa"/>
          </w:tcPr>
          <w:p w14:paraId="4B3A7F9F" w14:textId="77777777" w:rsidR="00AD1F54" w:rsidRPr="00264D5D" w:rsidRDefault="00941227">
            <w:pPr>
              <w:pStyle w:val="GOSTTablenorm"/>
              <w:jc w:val="center"/>
              <w:rPr>
                <w:szCs w:val="22"/>
              </w:rPr>
            </w:pPr>
            <w:r w:rsidRPr="00264D5D">
              <w:rPr>
                <w:szCs w:val="22"/>
              </w:rPr>
              <w:t>А</w:t>
            </w:r>
          </w:p>
        </w:tc>
        <w:tc>
          <w:tcPr>
            <w:tcW w:w="1134" w:type="dxa"/>
          </w:tcPr>
          <w:p w14:paraId="1E3ED732" w14:textId="77777777" w:rsidR="00AD1F54" w:rsidRPr="00264D5D" w:rsidRDefault="00941227">
            <w:pPr>
              <w:pStyle w:val="GOSTTablenorm"/>
              <w:rPr>
                <w:szCs w:val="22"/>
              </w:rPr>
            </w:pPr>
            <w:r w:rsidRPr="00264D5D">
              <w:rPr>
                <w:szCs w:val="22"/>
              </w:rPr>
              <w:t>-</w:t>
            </w:r>
          </w:p>
        </w:tc>
        <w:tc>
          <w:tcPr>
            <w:tcW w:w="567" w:type="dxa"/>
          </w:tcPr>
          <w:p w14:paraId="6BD26A3C" w14:textId="77777777" w:rsidR="00AD1F54" w:rsidRPr="00264D5D" w:rsidRDefault="003A6860">
            <w:pPr>
              <w:pStyle w:val="GOSTTablenorm"/>
              <w:jc w:val="center"/>
              <w:rPr>
                <w:szCs w:val="22"/>
              </w:rPr>
            </w:pPr>
            <w:r w:rsidRPr="00264D5D">
              <w:rPr>
                <w:szCs w:val="22"/>
              </w:rPr>
              <w:t>О</w:t>
            </w:r>
          </w:p>
        </w:tc>
        <w:tc>
          <w:tcPr>
            <w:tcW w:w="3963" w:type="dxa"/>
          </w:tcPr>
          <w:p w14:paraId="02426E2C" w14:textId="77777777" w:rsidR="00AD1F54" w:rsidRPr="00264D5D" w:rsidRDefault="00B06B9A">
            <w:pPr>
              <w:pStyle w:val="GOSTTablenorm"/>
              <w:rPr>
                <w:szCs w:val="22"/>
              </w:rPr>
            </w:pPr>
            <w:r w:rsidRPr="00264D5D">
              <w:rPr>
                <w:szCs w:val="22"/>
              </w:rPr>
              <w:t>Указывается код вида наличности:</w:t>
            </w:r>
          </w:p>
          <w:p w14:paraId="49893087" w14:textId="77777777" w:rsidR="00AD1F54" w:rsidRPr="00264D5D" w:rsidRDefault="007C0882" w:rsidP="00101F62">
            <w:pPr>
              <w:pStyle w:val="GOSTTablenorm"/>
              <w:numPr>
                <w:ilvl w:val="0"/>
                <w:numId w:val="143"/>
              </w:numPr>
              <w:ind w:left="284" w:hanging="227"/>
              <w:rPr>
                <w:szCs w:val="22"/>
              </w:rPr>
            </w:pPr>
            <w:r>
              <w:rPr>
                <w:szCs w:val="22"/>
              </w:rPr>
              <w:t>«</w:t>
            </w:r>
            <w:r w:rsidR="00D76395" w:rsidRPr="00264D5D">
              <w:rPr>
                <w:szCs w:val="22"/>
              </w:rPr>
              <w:t>0</w:t>
            </w:r>
            <w:r>
              <w:rPr>
                <w:szCs w:val="22"/>
              </w:rPr>
              <w:t>»</w:t>
            </w:r>
            <w:r w:rsidR="00941227" w:rsidRPr="00264D5D">
              <w:rPr>
                <w:szCs w:val="22"/>
              </w:rPr>
              <w:t xml:space="preserve"> </w:t>
            </w:r>
            <w:r w:rsidR="00B06B9A" w:rsidRPr="00264D5D">
              <w:rPr>
                <w:szCs w:val="22"/>
              </w:rPr>
              <w:t>–</w:t>
            </w:r>
            <w:r w:rsidR="00D76395" w:rsidRPr="00264D5D">
              <w:rPr>
                <w:szCs w:val="22"/>
              </w:rPr>
              <w:t xml:space="preserve"> монета Банка России</w:t>
            </w:r>
            <w:r w:rsidR="00941227" w:rsidRPr="00264D5D">
              <w:rPr>
                <w:szCs w:val="22"/>
              </w:rPr>
              <w:t>;</w:t>
            </w:r>
          </w:p>
          <w:p w14:paraId="2F177AC5" w14:textId="77777777" w:rsidR="00AD1F54" w:rsidRPr="00264D5D" w:rsidRDefault="007C0882" w:rsidP="00101F62">
            <w:pPr>
              <w:pStyle w:val="GOSTTablenorm"/>
              <w:numPr>
                <w:ilvl w:val="0"/>
                <w:numId w:val="143"/>
              </w:numPr>
              <w:ind w:left="284" w:hanging="227"/>
              <w:rPr>
                <w:szCs w:val="22"/>
              </w:rPr>
            </w:pPr>
            <w:r>
              <w:rPr>
                <w:szCs w:val="22"/>
              </w:rPr>
              <w:t>«</w:t>
            </w:r>
            <w:r w:rsidR="00D76395" w:rsidRPr="00264D5D">
              <w:rPr>
                <w:szCs w:val="22"/>
              </w:rPr>
              <w:t>1</w:t>
            </w:r>
            <w:r>
              <w:rPr>
                <w:szCs w:val="22"/>
              </w:rPr>
              <w:t>»</w:t>
            </w:r>
            <w:r w:rsidR="00941227" w:rsidRPr="00264D5D">
              <w:rPr>
                <w:szCs w:val="22"/>
              </w:rPr>
              <w:t xml:space="preserve"> </w:t>
            </w:r>
            <w:r w:rsidR="00B06B9A" w:rsidRPr="00264D5D">
              <w:rPr>
                <w:szCs w:val="22"/>
              </w:rPr>
              <w:t>–</w:t>
            </w:r>
            <w:r w:rsidR="00D76395" w:rsidRPr="00264D5D">
              <w:rPr>
                <w:szCs w:val="22"/>
              </w:rPr>
              <w:t xml:space="preserve"> банкноты Банка России</w:t>
            </w:r>
          </w:p>
        </w:tc>
      </w:tr>
      <w:tr w:rsidR="00AD1F54" w:rsidRPr="00264D5D" w14:paraId="491D97A7"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7555D61" w14:textId="77777777" w:rsidR="00AD1F54" w:rsidRPr="00264D5D" w:rsidRDefault="00941227">
            <w:pPr>
              <w:pStyle w:val="GOSTTablenorm"/>
              <w:rPr>
                <w:szCs w:val="22"/>
              </w:rPr>
            </w:pPr>
            <w:r w:rsidRPr="00264D5D">
              <w:rPr>
                <w:szCs w:val="22"/>
              </w:rPr>
              <w:t>Значение Вида наличности</w:t>
            </w:r>
          </w:p>
        </w:tc>
        <w:tc>
          <w:tcPr>
            <w:tcW w:w="1701" w:type="dxa"/>
          </w:tcPr>
          <w:p w14:paraId="40EC1513" w14:textId="77777777" w:rsidR="00AD1F54" w:rsidRPr="00264D5D" w:rsidRDefault="00941227">
            <w:pPr>
              <w:pStyle w:val="GOSTTablenorm"/>
              <w:rPr>
                <w:szCs w:val="22"/>
              </w:rPr>
            </w:pPr>
            <w:r w:rsidRPr="00264D5D">
              <w:rPr>
                <w:szCs w:val="22"/>
              </w:rPr>
              <w:t>value</w:t>
            </w:r>
          </w:p>
        </w:tc>
        <w:tc>
          <w:tcPr>
            <w:tcW w:w="567" w:type="dxa"/>
          </w:tcPr>
          <w:p w14:paraId="3BF154A4" w14:textId="77777777" w:rsidR="00AD1F54" w:rsidRPr="00264D5D" w:rsidRDefault="00941227">
            <w:pPr>
              <w:pStyle w:val="GOSTTablenorm"/>
              <w:jc w:val="center"/>
              <w:rPr>
                <w:szCs w:val="22"/>
              </w:rPr>
            </w:pPr>
            <w:r w:rsidRPr="00264D5D">
              <w:rPr>
                <w:szCs w:val="22"/>
              </w:rPr>
              <w:t>А</w:t>
            </w:r>
          </w:p>
        </w:tc>
        <w:tc>
          <w:tcPr>
            <w:tcW w:w="1134" w:type="dxa"/>
          </w:tcPr>
          <w:p w14:paraId="3448F025" w14:textId="77777777" w:rsidR="00AD1F54" w:rsidRPr="00264D5D" w:rsidRDefault="00941227">
            <w:pPr>
              <w:pStyle w:val="GOSTTablenorm"/>
              <w:rPr>
                <w:szCs w:val="22"/>
              </w:rPr>
            </w:pPr>
            <w:r w:rsidRPr="00264D5D">
              <w:rPr>
                <w:szCs w:val="22"/>
              </w:rPr>
              <w:t>-</w:t>
            </w:r>
          </w:p>
        </w:tc>
        <w:tc>
          <w:tcPr>
            <w:tcW w:w="567" w:type="dxa"/>
          </w:tcPr>
          <w:p w14:paraId="6D3189BD" w14:textId="77777777" w:rsidR="00AD1F54" w:rsidRPr="00264D5D" w:rsidRDefault="003A6860">
            <w:pPr>
              <w:pStyle w:val="GOSTTablenorm"/>
              <w:jc w:val="center"/>
              <w:rPr>
                <w:szCs w:val="22"/>
              </w:rPr>
            </w:pPr>
            <w:r w:rsidRPr="00264D5D">
              <w:rPr>
                <w:szCs w:val="22"/>
              </w:rPr>
              <w:t>Н</w:t>
            </w:r>
          </w:p>
        </w:tc>
        <w:tc>
          <w:tcPr>
            <w:tcW w:w="3963" w:type="dxa"/>
          </w:tcPr>
          <w:p w14:paraId="207E10BF" w14:textId="77777777" w:rsidR="00AD1F54" w:rsidRPr="00264D5D" w:rsidRDefault="00941227">
            <w:pPr>
              <w:pStyle w:val="GOSTTablenorm"/>
              <w:rPr>
                <w:szCs w:val="22"/>
              </w:rPr>
            </w:pPr>
            <w:r w:rsidRPr="00264D5D">
              <w:rPr>
                <w:szCs w:val="22"/>
              </w:rPr>
              <w:t>Указывается значение вида наличности</w:t>
            </w:r>
            <w:r w:rsidR="00B06B9A" w:rsidRPr="00264D5D">
              <w:rPr>
                <w:szCs w:val="22"/>
              </w:rPr>
              <w:t>:</w:t>
            </w:r>
          </w:p>
          <w:p w14:paraId="1F55373F" w14:textId="77777777" w:rsidR="00AD1F54" w:rsidRPr="00264D5D" w:rsidRDefault="00D76395" w:rsidP="00101F62">
            <w:pPr>
              <w:pStyle w:val="GOSTTablenorm"/>
              <w:numPr>
                <w:ilvl w:val="0"/>
                <w:numId w:val="143"/>
              </w:numPr>
              <w:ind w:left="284" w:hanging="227"/>
              <w:rPr>
                <w:szCs w:val="22"/>
              </w:rPr>
            </w:pPr>
            <w:r w:rsidRPr="00264D5D">
              <w:rPr>
                <w:szCs w:val="22"/>
              </w:rPr>
              <w:t>монета Банка России</w:t>
            </w:r>
            <w:r w:rsidR="00B06B9A" w:rsidRPr="00264D5D">
              <w:rPr>
                <w:szCs w:val="22"/>
              </w:rPr>
              <w:t>;</w:t>
            </w:r>
          </w:p>
          <w:p w14:paraId="233526C8" w14:textId="77777777" w:rsidR="00AD1F54" w:rsidRPr="00264D5D" w:rsidRDefault="00941227" w:rsidP="00101F62">
            <w:pPr>
              <w:pStyle w:val="GOSTTablenorm"/>
              <w:numPr>
                <w:ilvl w:val="0"/>
                <w:numId w:val="143"/>
              </w:numPr>
              <w:ind w:left="284" w:hanging="227"/>
              <w:rPr>
                <w:szCs w:val="22"/>
              </w:rPr>
            </w:pPr>
            <w:r w:rsidRPr="00264D5D">
              <w:rPr>
                <w:szCs w:val="22"/>
              </w:rPr>
              <w:t>банкноты Банка России</w:t>
            </w:r>
          </w:p>
        </w:tc>
      </w:tr>
    </w:tbl>
    <w:p w14:paraId="0F4FC913" w14:textId="77777777" w:rsidR="00AD1F54" w:rsidRPr="00264D5D" w:rsidRDefault="00941227">
      <w:pPr>
        <w:pStyle w:val="31"/>
      </w:pPr>
      <w:bookmarkStart w:id="3029" w:name="_Toc219309744"/>
      <w:r w:rsidRPr="00264D5D">
        <w:t>Описание комплексного типа «tSGNNmPs100»</w:t>
      </w:r>
      <w:bookmarkEnd w:id="3009"/>
      <w:bookmarkEnd w:id="3029"/>
    </w:p>
    <w:p w14:paraId="02E1847F" w14:textId="77777777" w:rsidR="00AD1F54" w:rsidRPr="00264D5D" w:rsidRDefault="00941227">
      <w:pPr>
        <w:pStyle w:val="GOSTNormal"/>
        <w:rPr>
          <w:szCs w:val="24"/>
        </w:rPr>
      </w:pPr>
      <w:r w:rsidRPr="00264D5D">
        <w:t xml:space="preserve">Описание комплексного типа </w:t>
      </w:r>
      <w:r w:rsidRPr="00264D5D">
        <w:rPr>
          <w:rFonts w:eastAsia="Calibri"/>
          <w:szCs w:val="24"/>
        </w:rPr>
        <w:t>«tSGNNmPs100</w:t>
      </w:r>
      <w:r w:rsidRPr="00264D5D">
        <w:rPr>
          <w:szCs w:val="24"/>
        </w:rPr>
        <w:t>» блока «Подписи».</w:t>
      </w:r>
    </w:p>
    <w:p w14:paraId="20A49E28" w14:textId="4DA00E0A" w:rsidR="00AD1F54" w:rsidRPr="00264D5D" w:rsidRDefault="00941227">
      <w:pPr>
        <w:pStyle w:val="GOSTNameTable"/>
        <w:numPr>
          <w:ilvl w:val="0"/>
          <w:numId w:val="2"/>
        </w:numPr>
        <w:ind w:left="425" w:hanging="357"/>
      </w:pPr>
      <w:r w:rsidRPr="00264D5D">
        <w:lastRenderedPageBreak/>
        <w:fldChar w:fldCharType="begin"/>
      </w:r>
      <w:r w:rsidRPr="00264D5D">
        <w:instrText>SEQ Таблица \* ARABIC</w:instrText>
      </w:r>
      <w:r w:rsidRPr="00264D5D">
        <w:fldChar w:fldCharType="separate"/>
      </w:r>
      <w:bookmarkStart w:id="3030" w:name="_Ref11915944"/>
      <w:bookmarkStart w:id="3031" w:name="_Toc18509612"/>
      <w:bookmarkStart w:id="3032" w:name="_Toc219309300"/>
      <w:r w:rsidR="008D797C">
        <w:rPr>
          <w:noProof/>
        </w:rPr>
        <w:t>270</w:t>
      </w:r>
      <w:bookmarkEnd w:id="3030"/>
      <w:r w:rsidRPr="00264D5D">
        <w:fldChar w:fldCharType="end"/>
      </w:r>
      <w:r w:rsidRPr="00264D5D">
        <w:t xml:space="preserve"> – Описание комплексного типа «tSGNNmPs100»</w:t>
      </w:r>
      <w:bookmarkEnd w:id="3031"/>
      <w:bookmarkEnd w:id="3032"/>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4E81E17A"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665429D7" w14:textId="77777777" w:rsidR="00AD1F54" w:rsidRPr="00264D5D" w:rsidRDefault="00941227">
            <w:pPr>
              <w:pStyle w:val="ASFKTableHead"/>
            </w:pPr>
            <w:r w:rsidRPr="00264D5D">
              <w:t>Наименование элемента</w:t>
            </w:r>
          </w:p>
        </w:tc>
        <w:tc>
          <w:tcPr>
            <w:tcW w:w="1701" w:type="dxa"/>
          </w:tcPr>
          <w:p w14:paraId="45D60E9F" w14:textId="77777777" w:rsidR="00AD1F54" w:rsidRPr="00264D5D" w:rsidRDefault="00941227">
            <w:pPr>
              <w:pStyle w:val="ASFKTableHead"/>
            </w:pPr>
            <w:r w:rsidRPr="00264D5D">
              <w:t>Сокращенное наименование (код) элемента</w:t>
            </w:r>
          </w:p>
        </w:tc>
        <w:tc>
          <w:tcPr>
            <w:tcW w:w="567" w:type="dxa"/>
          </w:tcPr>
          <w:p w14:paraId="3FFBCAB8" w14:textId="77777777" w:rsidR="00AD1F54" w:rsidRPr="00264D5D" w:rsidRDefault="00941227">
            <w:pPr>
              <w:pStyle w:val="ASFKTableHead"/>
            </w:pPr>
            <w:r w:rsidRPr="00264D5D">
              <w:t>Тип</w:t>
            </w:r>
          </w:p>
        </w:tc>
        <w:tc>
          <w:tcPr>
            <w:tcW w:w="1134" w:type="dxa"/>
          </w:tcPr>
          <w:p w14:paraId="399CD055" w14:textId="77777777" w:rsidR="00AD1F54" w:rsidRPr="00264D5D" w:rsidRDefault="00941227">
            <w:pPr>
              <w:pStyle w:val="ASFKTableHead"/>
            </w:pPr>
            <w:r w:rsidRPr="00264D5D">
              <w:t>Формат элемента</w:t>
            </w:r>
          </w:p>
        </w:tc>
        <w:tc>
          <w:tcPr>
            <w:tcW w:w="567" w:type="dxa"/>
          </w:tcPr>
          <w:p w14:paraId="4FF11E66" w14:textId="77777777" w:rsidR="00AD1F54" w:rsidRPr="00264D5D" w:rsidRDefault="00941227">
            <w:pPr>
              <w:pStyle w:val="ASFKTableHead"/>
            </w:pPr>
            <w:r w:rsidRPr="00264D5D">
              <w:t>Обязательность</w:t>
            </w:r>
          </w:p>
        </w:tc>
        <w:tc>
          <w:tcPr>
            <w:tcW w:w="3963" w:type="dxa"/>
          </w:tcPr>
          <w:p w14:paraId="702820DE" w14:textId="77777777" w:rsidR="00AD1F54" w:rsidRPr="00264D5D" w:rsidRDefault="00941227">
            <w:pPr>
              <w:pStyle w:val="ASFKTableHead"/>
            </w:pPr>
            <w:r w:rsidRPr="00264D5D">
              <w:t>Дополнительная информация</w:t>
            </w:r>
          </w:p>
        </w:tc>
      </w:tr>
      <w:tr w:rsidR="00AD1F54" w:rsidRPr="00264D5D" w14:paraId="6D320E26"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7B3F6D6" w14:textId="77777777" w:rsidR="00AD1F54" w:rsidRPr="00264D5D" w:rsidRDefault="00941227">
            <w:pPr>
              <w:pStyle w:val="GOSTTablenorm"/>
              <w:rPr>
                <w:szCs w:val="22"/>
              </w:rPr>
            </w:pPr>
            <w:r w:rsidRPr="00264D5D">
              <w:rPr>
                <w:color w:val="000000"/>
                <w:szCs w:val="22"/>
              </w:rPr>
              <w:t>Должность</w:t>
            </w:r>
          </w:p>
        </w:tc>
        <w:tc>
          <w:tcPr>
            <w:tcW w:w="1701" w:type="dxa"/>
          </w:tcPr>
          <w:p w14:paraId="7E1150B2" w14:textId="77777777" w:rsidR="00AD1F54" w:rsidRPr="00264D5D" w:rsidRDefault="00941227">
            <w:pPr>
              <w:pStyle w:val="GOSTTablenorm"/>
              <w:rPr>
                <w:szCs w:val="22"/>
                <w:lang w:val="en-US"/>
              </w:rPr>
            </w:pPr>
            <w:r w:rsidRPr="00264D5D">
              <w:rPr>
                <w:color w:val="000000"/>
                <w:szCs w:val="22"/>
              </w:rPr>
              <w:t>Pst</w:t>
            </w:r>
          </w:p>
        </w:tc>
        <w:tc>
          <w:tcPr>
            <w:tcW w:w="567" w:type="dxa"/>
          </w:tcPr>
          <w:p w14:paraId="7951BE83" w14:textId="77777777" w:rsidR="00AD1F54" w:rsidRPr="00264D5D" w:rsidRDefault="00941227">
            <w:pPr>
              <w:pStyle w:val="GOSTTablenorm"/>
              <w:jc w:val="center"/>
              <w:rPr>
                <w:szCs w:val="22"/>
              </w:rPr>
            </w:pPr>
            <w:r w:rsidRPr="00264D5D">
              <w:rPr>
                <w:szCs w:val="22"/>
              </w:rPr>
              <w:t>П</w:t>
            </w:r>
          </w:p>
        </w:tc>
        <w:tc>
          <w:tcPr>
            <w:tcW w:w="1134" w:type="dxa"/>
          </w:tcPr>
          <w:p w14:paraId="50069F8D" w14:textId="77777777" w:rsidR="00AD1F54" w:rsidRPr="00264D5D" w:rsidRDefault="00941227">
            <w:pPr>
              <w:pStyle w:val="GOSTTablenorm"/>
              <w:rPr>
                <w:szCs w:val="22"/>
              </w:rPr>
            </w:pPr>
            <w:r w:rsidRPr="00264D5D">
              <w:rPr>
                <w:color w:val="000000"/>
                <w:szCs w:val="22"/>
                <w:lang w:val="en-US"/>
              </w:rPr>
              <w:t>Т(1-</w:t>
            </w:r>
            <w:r w:rsidRPr="00264D5D">
              <w:rPr>
                <w:color w:val="000000"/>
                <w:szCs w:val="22"/>
              </w:rPr>
              <w:t>1</w:t>
            </w:r>
            <w:r w:rsidRPr="00264D5D">
              <w:rPr>
                <w:color w:val="000000"/>
                <w:szCs w:val="22"/>
                <w:lang w:val="en-US"/>
              </w:rPr>
              <w:t>00)</w:t>
            </w:r>
          </w:p>
        </w:tc>
        <w:tc>
          <w:tcPr>
            <w:tcW w:w="567" w:type="dxa"/>
          </w:tcPr>
          <w:p w14:paraId="2923B6B8" w14:textId="77777777" w:rsidR="00AD1F54" w:rsidRPr="00264D5D" w:rsidRDefault="00941227">
            <w:pPr>
              <w:pStyle w:val="GOSTTablenorm"/>
              <w:jc w:val="center"/>
              <w:rPr>
                <w:szCs w:val="22"/>
              </w:rPr>
            </w:pPr>
            <w:r w:rsidRPr="00264D5D">
              <w:rPr>
                <w:szCs w:val="22"/>
              </w:rPr>
              <w:t>Н</w:t>
            </w:r>
          </w:p>
        </w:tc>
        <w:tc>
          <w:tcPr>
            <w:tcW w:w="3963" w:type="dxa"/>
          </w:tcPr>
          <w:p w14:paraId="5A258A28" w14:textId="77777777" w:rsidR="00AD1F54" w:rsidRPr="00264D5D" w:rsidRDefault="00941227">
            <w:pPr>
              <w:pStyle w:val="GOSTTablenorm"/>
              <w:rPr>
                <w:szCs w:val="22"/>
              </w:rPr>
            </w:pPr>
            <w:r w:rsidRPr="00264D5D">
              <w:rPr>
                <w:szCs w:val="22"/>
              </w:rPr>
              <w:t>Указывается</w:t>
            </w:r>
            <w:r w:rsidR="00B06B9A" w:rsidRPr="00264D5D">
              <w:rPr>
                <w:color w:val="000000"/>
                <w:szCs w:val="22"/>
              </w:rPr>
              <w:t xml:space="preserve"> должность</w:t>
            </w:r>
          </w:p>
        </w:tc>
      </w:tr>
      <w:tr w:rsidR="00AD1F54" w:rsidRPr="00264D5D" w14:paraId="1AC3E1B7"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3455BE0B" w14:textId="77777777" w:rsidR="00AD1F54" w:rsidRPr="00264D5D" w:rsidRDefault="00941227">
            <w:pPr>
              <w:pStyle w:val="GOSTTablenorm"/>
              <w:rPr>
                <w:color w:val="000000"/>
                <w:szCs w:val="22"/>
              </w:rPr>
            </w:pPr>
            <w:r w:rsidRPr="00264D5D">
              <w:rPr>
                <w:color w:val="000000"/>
                <w:szCs w:val="22"/>
              </w:rPr>
              <w:t>Расшифровка подписи</w:t>
            </w:r>
          </w:p>
        </w:tc>
        <w:tc>
          <w:tcPr>
            <w:tcW w:w="1701" w:type="dxa"/>
          </w:tcPr>
          <w:p w14:paraId="586877BF" w14:textId="77777777" w:rsidR="00AD1F54" w:rsidRPr="00264D5D" w:rsidRDefault="00941227">
            <w:pPr>
              <w:pStyle w:val="GOSTTablenorm"/>
              <w:rPr>
                <w:color w:val="000000"/>
                <w:szCs w:val="22"/>
              </w:rPr>
            </w:pPr>
            <w:r w:rsidRPr="00264D5D">
              <w:rPr>
                <w:color w:val="000000"/>
                <w:szCs w:val="22"/>
              </w:rPr>
              <w:t>FIO</w:t>
            </w:r>
          </w:p>
        </w:tc>
        <w:tc>
          <w:tcPr>
            <w:tcW w:w="567" w:type="dxa"/>
          </w:tcPr>
          <w:p w14:paraId="3AC6CCBA" w14:textId="77777777" w:rsidR="00AD1F54" w:rsidRPr="00264D5D" w:rsidRDefault="00941227">
            <w:pPr>
              <w:pStyle w:val="GOSTTablenorm"/>
              <w:jc w:val="center"/>
              <w:rPr>
                <w:szCs w:val="22"/>
              </w:rPr>
            </w:pPr>
            <w:r w:rsidRPr="00264D5D">
              <w:rPr>
                <w:szCs w:val="22"/>
              </w:rPr>
              <w:t>П</w:t>
            </w:r>
          </w:p>
        </w:tc>
        <w:tc>
          <w:tcPr>
            <w:tcW w:w="1134" w:type="dxa"/>
          </w:tcPr>
          <w:p w14:paraId="77A8DC73" w14:textId="77777777" w:rsidR="00AD1F54" w:rsidRPr="00264D5D" w:rsidRDefault="00941227">
            <w:pPr>
              <w:pStyle w:val="GOSTTablenorm"/>
              <w:rPr>
                <w:color w:val="000000"/>
                <w:szCs w:val="22"/>
                <w:lang w:val="en-US"/>
              </w:rPr>
            </w:pPr>
            <w:r w:rsidRPr="00264D5D">
              <w:rPr>
                <w:color w:val="000000"/>
                <w:szCs w:val="22"/>
                <w:lang w:val="en-US"/>
              </w:rPr>
              <w:t>Т(1-</w:t>
            </w:r>
            <w:r w:rsidRPr="00264D5D">
              <w:rPr>
                <w:color w:val="000000"/>
                <w:szCs w:val="22"/>
              </w:rPr>
              <w:t>100</w:t>
            </w:r>
            <w:r w:rsidRPr="00264D5D">
              <w:rPr>
                <w:color w:val="000000"/>
                <w:szCs w:val="22"/>
                <w:lang w:val="en-US"/>
              </w:rPr>
              <w:t>)</w:t>
            </w:r>
          </w:p>
        </w:tc>
        <w:tc>
          <w:tcPr>
            <w:tcW w:w="567" w:type="dxa"/>
          </w:tcPr>
          <w:p w14:paraId="241E22A9" w14:textId="77777777" w:rsidR="00AD1F54" w:rsidRPr="00264D5D" w:rsidRDefault="00941227">
            <w:pPr>
              <w:pStyle w:val="GOSTTablenorm"/>
              <w:jc w:val="center"/>
              <w:rPr>
                <w:szCs w:val="22"/>
              </w:rPr>
            </w:pPr>
            <w:r w:rsidRPr="00264D5D">
              <w:rPr>
                <w:szCs w:val="22"/>
              </w:rPr>
              <w:t>Н</w:t>
            </w:r>
          </w:p>
        </w:tc>
        <w:tc>
          <w:tcPr>
            <w:tcW w:w="3963" w:type="dxa"/>
          </w:tcPr>
          <w:p w14:paraId="3324830A" w14:textId="77777777" w:rsidR="00AD1F54" w:rsidRPr="00264D5D" w:rsidRDefault="00941227">
            <w:pPr>
              <w:pStyle w:val="GOSTTablenorm"/>
              <w:rPr>
                <w:szCs w:val="22"/>
              </w:rPr>
            </w:pPr>
            <w:r w:rsidRPr="00264D5D">
              <w:rPr>
                <w:szCs w:val="22"/>
              </w:rPr>
              <w:t xml:space="preserve">Указывается </w:t>
            </w:r>
            <w:r w:rsidR="00B06B9A" w:rsidRPr="00264D5D">
              <w:t>фамилия, имя, отчество</w:t>
            </w:r>
          </w:p>
        </w:tc>
      </w:tr>
    </w:tbl>
    <w:p w14:paraId="67B6DD1B" w14:textId="77777777" w:rsidR="00AD1F54" w:rsidRPr="00264D5D" w:rsidRDefault="00941227">
      <w:pPr>
        <w:pStyle w:val="31"/>
      </w:pPr>
      <w:bookmarkStart w:id="3033" w:name="_Toc18509334"/>
      <w:bookmarkStart w:id="3034" w:name="_Toc219309745"/>
      <w:r w:rsidRPr="00264D5D">
        <w:t>Описание комплексного типа «tRKG_RKG251»</w:t>
      </w:r>
      <w:bookmarkEnd w:id="3033"/>
      <w:bookmarkEnd w:id="3034"/>
    </w:p>
    <w:p w14:paraId="6D4D346A" w14:textId="77777777" w:rsidR="00AD1F54" w:rsidRPr="00264D5D" w:rsidRDefault="00941227">
      <w:pPr>
        <w:pStyle w:val="GOSTNormal"/>
      </w:pPr>
      <w:r w:rsidRPr="00264D5D">
        <w:t>Описание комплексного типа «tRKG_RKG251» блока «Расшифровка сумм неиспользованных средств».</w:t>
      </w:r>
    </w:p>
    <w:p w14:paraId="45E0BE05" w14:textId="5CE565AE"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3035" w:name="_Ref524698774"/>
      <w:bookmarkStart w:id="3036" w:name="_Toc18509613"/>
      <w:bookmarkStart w:id="3037" w:name="_Toc219309301"/>
      <w:r w:rsidR="008D797C">
        <w:rPr>
          <w:noProof/>
        </w:rPr>
        <w:t>271</w:t>
      </w:r>
      <w:bookmarkEnd w:id="3035"/>
      <w:r w:rsidRPr="00264D5D">
        <w:fldChar w:fldCharType="end"/>
      </w:r>
      <w:r w:rsidRPr="00264D5D">
        <w:t xml:space="preserve"> – Описание комплексного типа «tRKG_RKG251»</w:t>
      </w:r>
      <w:bookmarkEnd w:id="3036"/>
      <w:bookmarkEnd w:id="3037"/>
    </w:p>
    <w:tbl>
      <w:tblPr>
        <w:tblStyle w:val="GOSTTable"/>
        <w:tblW w:w="9634" w:type="dxa"/>
        <w:tblLayout w:type="fixed"/>
        <w:tblLook w:val="04A0" w:firstRow="1" w:lastRow="0" w:firstColumn="1" w:lastColumn="0" w:noHBand="0" w:noVBand="1"/>
      </w:tblPr>
      <w:tblGrid>
        <w:gridCol w:w="1702"/>
        <w:gridCol w:w="1701"/>
        <w:gridCol w:w="567"/>
        <w:gridCol w:w="1134"/>
        <w:gridCol w:w="567"/>
        <w:gridCol w:w="3963"/>
      </w:tblGrid>
      <w:tr w:rsidR="00AD1F54" w:rsidRPr="00264D5D" w14:paraId="6EF9599C"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2" w:type="dxa"/>
          </w:tcPr>
          <w:p w14:paraId="59E694DD" w14:textId="77777777" w:rsidR="00AD1F54" w:rsidRPr="00264D5D" w:rsidRDefault="00941227">
            <w:pPr>
              <w:pStyle w:val="ASFKTableHead"/>
            </w:pPr>
            <w:r w:rsidRPr="00264D5D">
              <w:t>Наименование комплексного типа</w:t>
            </w:r>
          </w:p>
        </w:tc>
        <w:tc>
          <w:tcPr>
            <w:tcW w:w="1701" w:type="dxa"/>
          </w:tcPr>
          <w:p w14:paraId="7DE9D453" w14:textId="77777777" w:rsidR="00AD1F54" w:rsidRPr="00264D5D" w:rsidRDefault="00941227">
            <w:pPr>
              <w:pStyle w:val="ASFKTableHead"/>
            </w:pPr>
            <w:r w:rsidRPr="00264D5D">
              <w:t>Текущий элемент/ атрибут</w:t>
            </w:r>
          </w:p>
        </w:tc>
        <w:tc>
          <w:tcPr>
            <w:tcW w:w="567" w:type="dxa"/>
          </w:tcPr>
          <w:p w14:paraId="0E835F87" w14:textId="77777777" w:rsidR="00AD1F54" w:rsidRPr="00264D5D" w:rsidRDefault="00941227">
            <w:pPr>
              <w:pStyle w:val="ASFKTableHead"/>
            </w:pPr>
            <w:r w:rsidRPr="00264D5D">
              <w:t>Тип</w:t>
            </w:r>
          </w:p>
        </w:tc>
        <w:tc>
          <w:tcPr>
            <w:tcW w:w="1134" w:type="dxa"/>
          </w:tcPr>
          <w:p w14:paraId="60F47CC2" w14:textId="77777777" w:rsidR="00AD1F54" w:rsidRPr="00264D5D" w:rsidRDefault="00941227">
            <w:pPr>
              <w:pStyle w:val="ASFKTableHead"/>
            </w:pPr>
            <w:r w:rsidRPr="00264D5D">
              <w:t>Формат элемента</w:t>
            </w:r>
          </w:p>
        </w:tc>
        <w:tc>
          <w:tcPr>
            <w:tcW w:w="567" w:type="dxa"/>
          </w:tcPr>
          <w:p w14:paraId="1E62F997" w14:textId="77777777" w:rsidR="00AD1F54" w:rsidRPr="00264D5D" w:rsidRDefault="00941227">
            <w:pPr>
              <w:pStyle w:val="ASFKTableHead"/>
            </w:pPr>
            <w:r w:rsidRPr="00264D5D">
              <w:t>Обязательность</w:t>
            </w:r>
          </w:p>
        </w:tc>
        <w:tc>
          <w:tcPr>
            <w:tcW w:w="3963" w:type="dxa"/>
          </w:tcPr>
          <w:p w14:paraId="560DEAE6" w14:textId="77777777" w:rsidR="00AD1F54" w:rsidRPr="00264D5D" w:rsidRDefault="00941227">
            <w:pPr>
              <w:pStyle w:val="ASFKTableHead"/>
            </w:pPr>
            <w:r w:rsidRPr="00264D5D">
              <w:t>Дополнительная информация</w:t>
            </w:r>
          </w:p>
        </w:tc>
      </w:tr>
      <w:tr w:rsidR="00AD1F54" w:rsidRPr="00264D5D" w14:paraId="6D08AADC" w14:textId="77777777" w:rsidTr="00AD1F54">
        <w:trPr>
          <w:cnfStyle w:val="000000100000" w:firstRow="0" w:lastRow="0" w:firstColumn="0" w:lastColumn="0" w:oddVBand="0" w:evenVBand="0" w:oddHBand="1" w:evenHBand="0" w:firstRowFirstColumn="0" w:firstRowLastColumn="0" w:lastRowFirstColumn="0" w:lastRowLastColumn="0"/>
        </w:trPr>
        <w:tc>
          <w:tcPr>
            <w:tcW w:w="1702" w:type="dxa"/>
          </w:tcPr>
          <w:p w14:paraId="6EEFB0A0" w14:textId="77777777" w:rsidR="00AD1F54" w:rsidRPr="00264D5D" w:rsidRDefault="00941227">
            <w:pPr>
              <w:pStyle w:val="GOSTTablenorm"/>
            </w:pPr>
            <w:r w:rsidRPr="00264D5D">
              <w:t>tRKG_RKG251</w:t>
            </w:r>
          </w:p>
        </w:tc>
        <w:tc>
          <w:tcPr>
            <w:tcW w:w="1701" w:type="dxa"/>
          </w:tcPr>
          <w:p w14:paraId="7C57ED2C" w14:textId="77777777" w:rsidR="00AD1F54" w:rsidRPr="00264D5D" w:rsidRDefault="00941227">
            <w:pPr>
              <w:pStyle w:val="GOSTTablenorm"/>
            </w:pPr>
            <w:r w:rsidRPr="00264D5D">
              <w:t>RKG251_ITEM</w:t>
            </w:r>
          </w:p>
        </w:tc>
        <w:tc>
          <w:tcPr>
            <w:tcW w:w="567" w:type="dxa"/>
          </w:tcPr>
          <w:p w14:paraId="5432A559" w14:textId="77777777" w:rsidR="00AD1F54" w:rsidRPr="00264D5D" w:rsidRDefault="00941227">
            <w:pPr>
              <w:pStyle w:val="GOSTTablenorm"/>
              <w:jc w:val="center"/>
            </w:pPr>
            <w:r w:rsidRPr="00264D5D">
              <w:t>С</w:t>
            </w:r>
          </w:p>
        </w:tc>
        <w:tc>
          <w:tcPr>
            <w:tcW w:w="1134" w:type="dxa"/>
          </w:tcPr>
          <w:p w14:paraId="35FE249E" w14:textId="77777777" w:rsidR="00AD1F54" w:rsidRPr="00264D5D" w:rsidRDefault="00941227">
            <w:pPr>
              <w:pStyle w:val="GOSTTablenorm"/>
            </w:pPr>
            <w:r w:rsidRPr="00264D5D">
              <w:t>tRKG_RKG251_ITEM</w:t>
            </w:r>
          </w:p>
        </w:tc>
        <w:tc>
          <w:tcPr>
            <w:tcW w:w="567" w:type="dxa"/>
          </w:tcPr>
          <w:p w14:paraId="71CFA0B4" w14:textId="77777777" w:rsidR="00AD1F54" w:rsidRPr="00264D5D" w:rsidRDefault="00941227">
            <w:pPr>
              <w:pStyle w:val="GOSTTablenorm"/>
              <w:jc w:val="center"/>
            </w:pPr>
            <w:r w:rsidRPr="00264D5D">
              <w:t>ОМ</w:t>
            </w:r>
          </w:p>
        </w:tc>
        <w:tc>
          <w:tcPr>
            <w:tcW w:w="3963" w:type="dxa"/>
          </w:tcPr>
          <w:p w14:paraId="45551B64" w14:textId="149E4957" w:rsidR="00AD1F54" w:rsidRPr="00264D5D" w:rsidRDefault="00941227">
            <w:pPr>
              <w:pStyle w:val="GOSTTablenorm"/>
            </w:pPr>
            <w:r w:rsidRPr="00264D5D">
              <w:t xml:space="preserve">Состав элемента представлен в таблице </w:t>
            </w:r>
            <w:r w:rsidRPr="00264D5D">
              <w:rPr>
                <w:b/>
              </w:rPr>
              <w:fldChar w:fldCharType="begin"/>
            </w:r>
            <w:r w:rsidRPr="00264D5D">
              <w:rPr>
                <w:b/>
              </w:rPr>
              <w:instrText xml:space="preserve"> REF _Ref524698950 \h  \* MERGEFORMAT </w:instrText>
            </w:r>
            <w:r w:rsidRPr="00264D5D">
              <w:rPr>
                <w:b/>
              </w:rPr>
            </w:r>
            <w:r w:rsidRPr="00264D5D">
              <w:rPr>
                <w:b/>
              </w:rPr>
              <w:fldChar w:fldCharType="separate"/>
            </w:r>
            <w:r w:rsidR="008D797C" w:rsidRPr="008D797C">
              <w:rPr>
                <w:b/>
              </w:rPr>
              <w:t>272</w:t>
            </w:r>
            <w:r w:rsidRPr="00264D5D">
              <w:rPr>
                <w:b/>
              </w:rPr>
              <w:fldChar w:fldCharType="end"/>
            </w:r>
          </w:p>
        </w:tc>
      </w:tr>
    </w:tbl>
    <w:p w14:paraId="008FAA78" w14:textId="77777777" w:rsidR="00AD1F54" w:rsidRPr="008B26A8" w:rsidRDefault="00941227">
      <w:pPr>
        <w:pStyle w:val="31"/>
        <w:rPr>
          <w:highlight w:val="green"/>
        </w:rPr>
      </w:pPr>
      <w:bookmarkStart w:id="3038" w:name="_Toc18509335"/>
      <w:bookmarkStart w:id="3039" w:name="_Toc219309746"/>
      <w:r w:rsidRPr="008B26A8">
        <w:rPr>
          <w:highlight w:val="green"/>
        </w:rPr>
        <w:t>Описание комплексного типа «tRKG_RKG251_ITEM»</w:t>
      </w:r>
      <w:bookmarkEnd w:id="3038"/>
      <w:bookmarkEnd w:id="3039"/>
    </w:p>
    <w:p w14:paraId="228B6A7A" w14:textId="77777777" w:rsidR="00AD1F54" w:rsidRPr="00264D5D" w:rsidRDefault="00941227">
      <w:pPr>
        <w:pStyle w:val="GOSTNormal"/>
        <w:rPr>
          <w:szCs w:val="24"/>
        </w:rPr>
      </w:pPr>
      <w:r w:rsidRPr="00264D5D">
        <w:rPr>
          <w:szCs w:val="24"/>
        </w:rPr>
        <w:t>Описание комплексного типа «tRKG_RKG251_ITEM» блока «</w:t>
      </w:r>
      <w:r w:rsidRPr="00264D5D">
        <w:t>Расшифровка сумм неиспользованных средств (строки)</w:t>
      </w:r>
      <w:r w:rsidRPr="00264D5D">
        <w:rPr>
          <w:szCs w:val="24"/>
        </w:rPr>
        <w:t>».</w:t>
      </w:r>
    </w:p>
    <w:p w14:paraId="59809C97" w14:textId="3945F154" w:rsidR="00AD1F54" w:rsidRPr="008B26A8" w:rsidRDefault="006951CE">
      <w:pPr>
        <w:pStyle w:val="GOSTNameTable"/>
        <w:numPr>
          <w:ilvl w:val="0"/>
          <w:numId w:val="2"/>
        </w:numPr>
        <w:ind w:left="425" w:hanging="357"/>
        <w:rPr>
          <w:highlight w:val="green"/>
        </w:rPr>
      </w:pPr>
      <w:r w:rsidRPr="008B26A8">
        <w:rPr>
          <w:highlight w:val="green"/>
        </w:rPr>
        <w:fldChar w:fldCharType="begin"/>
      </w:r>
      <w:r w:rsidRPr="008B26A8">
        <w:rPr>
          <w:highlight w:val="green"/>
        </w:rPr>
        <w:instrText xml:space="preserve"> SEQ Таблица \* ARABIC </w:instrText>
      </w:r>
      <w:r w:rsidRPr="008B26A8">
        <w:rPr>
          <w:highlight w:val="green"/>
        </w:rPr>
        <w:fldChar w:fldCharType="separate"/>
      </w:r>
      <w:bookmarkStart w:id="3040" w:name="_Ref524698950"/>
      <w:bookmarkStart w:id="3041" w:name="_Toc18509614"/>
      <w:bookmarkStart w:id="3042" w:name="_Toc219309302"/>
      <w:r w:rsidR="008D797C">
        <w:rPr>
          <w:noProof/>
          <w:highlight w:val="green"/>
        </w:rPr>
        <w:t>272</w:t>
      </w:r>
      <w:bookmarkEnd w:id="3040"/>
      <w:r w:rsidRPr="008B26A8">
        <w:rPr>
          <w:noProof/>
          <w:highlight w:val="green"/>
        </w:rPr>
        <w:fldChar w:fldCharType="end"/>
      </w:r>
      <w:r w:rsidR="00941227" w:rsidRPr="008B26A8">
        <w:rPr>
          <w:highlight w:val="green"/>
        </w:rPr>
        <w:t xml:space="preserve"> – Описание комплексного типа «tRKG_RKG251_ITEM»</w:t>
      </w:r>
      <w:bookmarkEnd w:id="3041"/>
      <w:bookmarkEnd w:id="3042"/>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5D9B6BB2"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36044321" w14:textId="77777777" w:rsidR="00AD1F54" w:rsidRPr="00264D5D" w:rsidRDefault="00941227">
            <w:pPr>
              <w:pStyle w:val="ASFKTableHead"/>
            </w:pPr>
            <w:r w:rsidRPr="00264D5D">
              <w:t>Наименование элемента</w:t>
            </w:r>
          </w:p>
        </w:tc>
        <w:tc>
          <w:tcPr>
            <w:tcW w:w="1701" w:type="dxa"/>
          </w:tcPr>
          <w:p w14:paraId="5C902B4B" w14:textId="77777777" w:rsidR="00AD1F54" w:rsidRPr="00264D5D" w:rsidRDefault="00941227">
            <w:pPr>
              <w:pStyle w:val="ASFKTableHead"/>
            </w:pPr>
            <w:r w:rsidRPr="00264D5D">
              <w:t>Сокращенное наименование (код) элемента</w:t>
            </w:r>
          </w:p>
        </w:tc>
        <w:tc>
          <w:tcPr>
            <w:tcW w:w="567" w:type="dxa"/>
          </w:tcPr>
          <w:p w14:paraId="21D9C213" w14:textId="77777777" w:rsidR="00AD1F54" w:rsidRPr="00264D5D" w:rsidRDefault="00941227">
            <w:pPr>
              <w:pStyle w:val="ASFKTableHead"/>
            </w:pPr>
            <w:r w:rsidRPr="00264D5D">
              <w:t>Тип</w:t>
            </w:r>
          </w:p>
        </w:tc>
        <w:tc>
          <w:tcPr>
            <w:tcW w:w="1134" w:type="dxa"/>
          </w:tcPr>
          <w:p w14:paraId="39F726F9" w14:textId="77777777" w:rsidR="00AD1F54" w:rsidRPr="00264D5D" w:rsidRDefault="00941227">
            <w:pPr>
              <w:pStyle w:val="ASFKTableHead"/>
            </w:pPr>
            <w:r w:rsidRPr="00264D5D">
              <w:t>Формат элемента</w:t>
            </w:r>
          </w:p>
        </w:tc>
        <w:tc>
          <w:tcPr>
            <w:tcW w:w="567" w:type="dxa"/>
          </w:tcPr>
          <w:p w14:paraId="599EF0A7" w14:textId="77777777" w:rsidR="00AD1F54" w:rsidRPr="00264D5D" w:rsidRDefault="00941227">
            <w:pPr>
              <w:pStyle w:val="ASFKTableHead"/>
            </w:pPr>
            <w:r w:rsidRPr="00264D5D">
              <w:t>Обязательность</w:t>
            </w:r>
          </w:p>
        </w:tc>
        <w:tc>
          <w:tcPr>
            <w:tcW w:w="3963" w:type="dxa"/>
          </w:tcPr>
          <w:p w14:paraId="41831A79" w14:textId="77777777" w:rsidR="00AD1F54" w:rsidRPr="00264D5D" w:rsidRDefault="00941227">
            <w:pPr>
              <w:pStyle w:val="ASFKTableHead"/>
            </w:pPr>
            <w:r w:rsidRPr="00264D5D">
              <w:t>Дополнительная информация</w:t>
            </w:r>
          </w:p>
        </w:tc>
      </w:tr>
      <w:tr w:rsidR="00AD1F54" w:rsidRPr="00264D5D" w14:paraId="2731CF62" w14:textId="77777777" w:rsidTr="00AD1F54">
        <w:trPr>
          <w:cnfStyle w:val="000000100000" w:firstRow="0" w:lastRow="0" w:firstColumn="0" w:lastColumn="0" w:oddVBand="0" w:evenVBand="0" w:oddHBand="1" w:evenHBand="0" w:firstRowFirstColumn="0" w:firstRowLastColumn="0" w:lastRowFirstColumn="0" w:lastRowLastColumn="0"/>
          <w:trHeight w:val="85"/>
        </w:trPr>
        <w:tc>
          <w:tcPr>
            <w:tcW w:w="1701" w:type="dxa"/>
          </w:tcPr>
          <w:p w14:paraId="2E7F8067" w14:textId="77777777" w:rsidR="00AD1F54" w:rsidRPr="00264D5D" w:rsidRDefault="00941227">
            <w:pPr>
              <w:pStyle w:val="GOSTTablenorm"/>
              <w:rPr>
                <w:szCs w:val="22"/>
              </w:rPr>
            </w:pPr>
            <w:r w:rsidRPr="00264D5D">
              <w:rPr>
                <w:szCs w:val="22"/>
              </w:rPr>
              <w:t>Порядковый номер</w:t>
            </w:r>
          </w:p>
        </w:tc>
        <w:tc>
          <w:tcPr>
            <w:tcW w:w="1701" w:type="dxa"/>
          </w:tcPr>
          <w:p w14:paraId="6C6DC91B" w14:textId="77777777" w:rsidR="00AD1F54" w:rsidRPr="00264D5D" w:rsidRDefault="00941227">
            <w:pPr>
              <w:pStyle w:val="GOSTTablenorm"/>
              <w:rPr>
                <w:szCs w:val="22"/>
                <w:lang w:val="en-US"/>
              </w:rPr>
            </w:pPr>
            <w:r w:rsidRPr="00264D5D">
              <w:rPr>
                <w:szCs w:val="22"/>
                <w:lang w:val="en-US"/>
              </w:rPr>
              <w:t>NmbRw</w:t>
            </w:r>
          </w:p>
        </w:tc>
        <w:tc>
          <w:tcPr>
            <w:tcW w:w="567" w:type="dxa"/>
          </w:tcPr>
          <w:p w14:paraId="4AC8FAE8" w14:textId="77777777" w:rsidR="00AD1F54" w:rsidRPr="00264D5D" w:rsidRDefault="00941227">
            <w:pPr>
              <w:pStyle w:val="GOSTTablenorm"/>
              <w:jc w:val="center"/>
              <w:rPr>
                <w:szCs w:val="22"/>
              </w:rPr>
            </w:pPr>
            <w:r w:rsidRPr="00264D5D">
              <w:rPr>
                <w:szCs w:val="22"/>
              </w:rPr>
              <w:t>П</w:t>
            </w:r>
          </w:p>
        </w:tc>
        <w:tc>
          <w:tcPr>
            <w:tcW w:w="1134" w:type="dxa"/>
          </w:tcPr>
          <w:p w14:paraId="1B4E77EA" w14:textId="77777777" w:rsidR="00AD1F54" w:rsidRPr="00264D5D" w:rsidRDefault="00941227">
            <w:pPr>
              <w:pStyle w:val="GOSTTablenorm"/>
              <w:rPr>
                <w:szCs w:val="22"/>
                <w:lang w:val="en-US"/>
              </w:rPr>
            </w:pPr>
            <w:r w:rsidRPr="00264D5D">
              <w:rPr>
                <w:szCs w:val="22"/>
                <w:lang w:val="en-US"/>
              </w:rPr>
              <w:t>Т(1-7)</w:t>
            </w:r>
          </w:p>
        </w:tc>
        <w:tc>
          <w:tcPr>
            <w:tcW w:w="567" w:type="dxa"/>
          </w:tcPr>
          <w:p w14:paraId="2C5B197C" w14:textId="77777777" w:rsidR="00AD1F54" w:rsidRPr="00264D5D" w:rsidRDefault="004058D4">
            <w:pPr>
              <w:spacing w:before="60" w:after="60"/>
              <w:jc w:val="center"/>
              <w:rPr>
                <w:sz w:val="22"/>
                <w:szCs w:val="22"/>
              </w:rPr>
            </w:pPr>
            <w:r w:rsidRPr="00264D5D">
              <w:rPr>
                <w:sz w:val="22"/>
                <w:szCs w:val="22"/>
              </w:rPr>
              <w:t>Н</w:t>
            </w:r>
          </w:p>
        </w:tc>
        <w:tc>
          <w:tcPr>
            <w:tcW w:w="3963" w:type="dxa"/>
          </w:tcPr>
          <w:p w14:paraId="3DED7CD8" w14:textId="77777777" w:rsidR="00AD1F54" w:rsidRPr="00264D5D" w:rsidRDefault="00B06B9A">
            <w:pPr>
              <w:spacing w:before="60" w:after="60"/>
              <w:rPr>
                <w:sz w:val="22"/>
                <w:szCs w:val="22"/>
              </w:rPr>
            </w:pPr>
            <w:r w:rsidRPr="00264D5D">
              <w:rPr>
                <w:sz w:val="22"/>
                <w:szCs w:val="22"/>
              </w:rPr>
              <w:t>Порядковый номер записи</w:t>
            </w:r>
            <w:r w:rsidR="004058D4" w:rsidRPr="00264D5D">
              <w:rPr>
                <w:sz w:val="22"/>
                <w:szCs w:val="22"/>
              </w:rPr>
              <w:t>.</w:t>
            </w:r>
          </w:p>
          <w:p w14:paraId="5ADB394B" w14:textId="77777777" w:rsidR="004058D4" w:rsidRPr="00264D5D" w:rsidRDefault="004058D4">
            <w:pPr>
              <w:spacing w:before="60" w:after="60"/>
              <w:rPr>
                <w:sz w:val="22"/>
                <w:szCs w:val="22"/>
              </w:rPr>
            </w:pPr>
            <w:r w:rsidRPr="00264D5D">
              <w:rPr>
                <w:sz w:val="22"/>
                <w:szCs w:val="22"/>
              </w:rPr>
              <w:t>Не заполняется для маршрута НУБП (ПСБ и Росавтодор) – ТОФК</w:t>
            </w:r>
          </w:p>
        </w:tc>
      </w:tr>
      <w:tr w:rsidR="00AD1F54" w:rsidRPr="00264D5D" w14:paraId="66B26DE6" w14:textId="77777777" w:rsidTr="00AD1F54">
        <w:trPr>
          <w:cnfStyle w:val="000000010000" w:firstRow="0" w:lastRow="0" w:firstColumn="0" w:lastColumn="0" w:oddVBand="0" w:evenVBand="0" w:oddHBand="0" w:evenHBand="1" w:firstRowFirstColumn="0" w:firstRowLastColumn="0" w:lastRowFirstColumn="0" w:lastRowLastColumn="0"/>
          <w:trHeight w:val="85"/>
        </w:trPr>
        <w:tc>
          <w:tcPr>
            <w:tcW w:w="1701" w:type="dxa"/>
          </w:tcPr>
          <w:p w14:paraId="3CEDB3F9" w14:textId="77777777" w:rsidR="00AD1F54" w:rsidRPr="00264D5D" w:rsidRDefault="00941227">
            <w:pPr>
              <w:pStyle w:val="GOSTTablenorm"/>
              <w:rPr>
                <w:szCs w:val="22"/>
              </w:rPr>
            </w:pPr>
            <w:r w:rsidRPr="00264D5D">
              <w:rPr>
                <w:szCs w:val="22"/>
              </w:rPr>
              <w:t>КБК</w:t>
            </w:r>
          </w:p>
        </w:tc>
        <w:tc>
          <w:tcPr>
            <w:tcW w:w="1701" w:type="dxa"/>
          </w:tcPr>
          <w:p w14:paraId="061E3B57" w14:textId="77777777" w:rsidR="00AD1F54" w:rsidRPr="00264D5D" w:rsidRDefault="00941227">
            <w:pPr>
              <w:pStyle w:val="GOSTTablenorm"/>
              <w:rPr>
                <w:szCs w:val="22"/>
                <w:lang w:val="en-US"/>
              </w:rPr>
            </w:pPr>
            <w:r w:rsidRPr="00264D5D">
              <w:rPr>
                <w:szCs w:val="22"/>
                <w:lang w:val="en-US"/>
              </w:rPr>
              <w:t>KBK</w:t>
            </w:r>
          </w:p>
        </w:tc>
        <w:tc>
          <w:tcPr>
            <w:tcW w:w="567" w:type="dxa"/>
          </w:tcPr>
          <w:p w14:paraId="50D730F3" w14:textId="77777777" w:rsidR="00AD1F54" w:rsidRPr="00264D5D" w:rsidRDefault="00941227">
            <w:pPr>
              <w:pStyle w:val="GOSTTablenorm"/>
              <w:jc w:val="center"/>
              <w:rPr>
                <w:szCs w:val="22"/>
                <w:lang w:val="en-US"/>
              </w:rPr>
            </w:pPr>
            <w:r w:rsidRPr="00264D5D">
              <w:rPr>
                <w:szCs w:val="22"/>
              </w:rPr>
              <w:t>С</w:t>
            </w:r>
          </w:p>
        </w:tc>
        <w:tc>
          <w:tcPr>
            <w:tcW w:w="1134" w:type="dxa"/>
          </w:tcPr>
          <w:p w14:paraId="6A7DCAE4" w14:textId="77777777" w:rsidR="00AD1F54" w:rsidRPr="00264D5D" w:rsidRDefault="004058D4">
            <w:pPr>
              <w:spacing w:before="60" w:after="60"/>
              <w:rPr>
                <w:sz w:val="22"/>
                <w:szCs w:val="22"/>
              </w:rPr>
            </w:pPr>
            <w:r w:rsidRPr="00264D5D">
              <w:rPr>
                <w:sz w:val="22"/>
                <w:szCs w:val="22"/>
              </w:rPr>
              <w:t>tMSC_KBK10_20_KS</w:t>
            </w:r>
          </w:p>
        </w:tc>
        <w:tc>
          <w:tcPr>
            <w:tcW w:w="567" w:type="dxa"/>
          </w:tcPr>
          <w:p w14:paraId="76DD8D41" w14:textId="77777777" w:rsidR="00AD1F54" w:rsidRPr="00264D5D" w:rsidRDefault="00941227">
            <w:pPr>
              <w:spacing w:before="60" w:after="60"/>
              <w:jc w:val="center"/>
              <w:rPr>
                <w:sz w:val="22"/>
                <w:szCs w:val="22"/>
              </w:rPr>
            </w:pPr>
            <w:r w:rsidRPr="00264D5D">
              <w:rPr>
                <w:sz w:val="22"/>
                <w:szCs w:val="22"/>
              </w:rPr>
              <w:t>Н</w:t>
            </w:r>
          </w:p>
        </w:tc>
        <w:tc>
          <w:tcPr>
            <w:tcW w:w="3963" w:type="dxa"/>
          </w:tcPr>
          <w:p w14:paraId="2C80DD31" w14:textId="2A5E569A" w:rsidR="00AD1F54" w:rsidRPr="00264D5D" w:rsidRDefault="00941227">
            <w:pPr>
              <w:spacing w:before="60" w:after="60"/>
              <w:rPr>
                <w:sz w:val="22"/>
                <w:szCs w:val="22"/>
              </w:rPr>
            </w:pPr>
            <w:r w:rsidRPr="00264D5D">
              <w:rPr>
                <w:sz w:val="22"/>
                <w:szCs w:val="22"/>
              </w:rPr>
              <w:t xml:space="preserve">Состав элемента представлен в таблице </w:t>
            </w:r>
            <w:r w:rsidRPr="00264D5D">
              <w:rPr>
                <w:b/>
                <w:sz w:val="22"/>
                <w:szCs w:val="22"/>
              </w:rPr>
              <w:fldChar w:fldCharType="begin"/>
            </w:r>
            <w:r w:rsidRPr="00264D5D">
              <w:rPr>
                <w:b/>
                <w:sz w:val="22"/>
                <w:szCs w:val="22"/>
              </w:rPr>
              <w:instrText xml:space="preserve"> REF _Ref529898023 \h  \* MERGEFORMAT </w:instrText>
            </w:r>
            <w:r w:rsidRPr="00264D5D">
              <w:rPr>
                <w:b/>
                <w:sz w:val="22"/>
                <w:szCs w:val="22"/>
              </w:rPr>
            </w:r>
            <w:r w:rsidRPr="00264D5D">
              <w:rPr>
                <w:b/>
                <w:sz w:val="22"/>
                <w:szCs w:val="22"/>
              </w:rPr>
              <w:fldChar w:fldCharType="separate"/>
            </w:r>
            <w:r w:rsidR="008D797C" w:rsidRPr="008D797C">
              <w:rPr>
                <w:b/>
                <w:sz w:val="22"/>
                <w:szCs w:val="22"/>
              </w:rPr>
              <w:t>273</w:t>
            </w:r>
            <w:r w:rsidRPr="00264D5D">
              <w:rPr>
                <w:b/>
                <w:sz w:val="22"/>
                <w:szCs w:val="22"/>
              </w:rPr>
              <w:fldChar w:fldCharType="end"/>
            </w:r>
          </w:p>
        </w:tc>
      </w:tr>
      <w:tr w:rsidR="00AD1F54" w:rsidRPr="00264D5D" w14:paraId="683FB05B" w14:textId="77777777" w:rsidTr="00AD1F54">
        <w:trPr>
          <w:cnfStyle w:val="000000100000" w:firstRow="0" w:lastRow="0" w:firstColumn="0" w:lastColumn="0" w:oddVBand="0" w:evenVBand="0" w:oddHBand="1" w:evenHBand="0" w:firstRowFirstColumn="0" w:firstRowLastColumn="0" w:lastRowFirstColumn="0" w:lastRowLastColumn="0"/>
          <w:trHeight w:val="85"/>
        </w:trPr>
        <w:tc>
          <w:tcPr>
            <w:tcW w:w="1701" w:type="dxa"/>
          </w:tcPr>
          <w:p w14:paraId="662F0D3C" w14:textId="77777777" w:rsidR="00AD1F54" w:rsidRPr="00264D5D" w:rsidRDefault="00941227">
            <w:pPr>
              <w:pStyle w:val="GOSTTablenorm"/>
              <w:rPr>
                <w:szCs w:val="22"/>
              </w:rPr>
            </w:pPr>
            <w:r w:rsidRPr="00264D5D">
              <w:rPr>
                <w:szCs w:val="22"/>
              </w:rPr>
              <w:t>Код по ОКТМО</w:t>
            </w:r>
          </w:p>
        </w:tc>
        <w:tc>
          <w:tcPr>
            <w:tcW w:w="1701" w:type="dxa"/>
          </w:tcPr>
          <w:p w14:paraId="361B9A3A" w14:textId="77777777" w:rsidR="00AD1F54" w:rsidRPr="00264D5D" w:rsidRDefault="00941227">
            <w:pPr>
              <w:pStyle w:val="GOSTTablenorm"/>
              <w:rPr>
                <w:szCs w:val="22"/>
                <w:lang w:val="en-US"/>
              </w:rPr>
            </w:pPr>
            <w:r w:rsidRPr="00264D5D">
              <w:rPr>
                <w:szCs w:val="22"/>
                <w:lang w:val="en-US"/>
              </w:rPr>
              <w:t>OKTMO</w:t>
            </w:r>
          </w:p>
        </w:tc>
        <w:tc>
          <w:tcPr>
            <w:tcW w:w="567" w:type="dxa"/>
          </w:tcPr>
          <w:p w14:paraId="5BF87E55" w14:textId="77777777" w:rsidR="00AD1F54" w:rsidRPr="00264D5D" w:rsidRDefault="00941227">
            <w:pPr>
              <w:pStyle w:val="GOSTTablenorm"/>
              <w:jc w:val="center"/>
              <w:rPr>
                <w:szCs w:val="22"/>
              </w:rPr>
            </w:pPr>
            <w:r w:rsidRPr="00264D5D">
              <w:rPr>
                <w:szCs w:val="22"/>
              </w:rPr>
              <w:t>П</w:t>
            </w:r>
          </w:p>
        </w:tc>
        <w:tc>
          <w:tcPr>
            <w:tcW w:w="1134" w:type="dxa"/>
          </w:tcPr>
          <w:p w14:paraId="671365DB" w14:textId="77777777" w:rsidR="00AD1F54" w:rsidRPr="00264D5D" w:rsidRDefault="00941227">
            <w:pPr>
              <w:spacing w:before="60" w:after="60"/>
              <w:rPr>
                <w:sz w:val="22"/>
                <w:szCs w:val="22"/>
              </w:rPr>
            </w:pPr>
            <w:r w:rsidRPr="00264D5D">
              <w:rPr>
                <w:sz w:val="22"/>
                <w:szCs w:val="22"/>
                <w:lang w:val="en-US"/>
              </w:rPr>
              <w:t>Т(</w:t>
            </w:r>
            <w:r w:rsidRPr="00264D5D">
              <w:rPr>
                <w:sz w:val="22"/>
                <w:szCs w:val="22"/>
              </w:rPr>
              <w:t>8)</w:t>
            </w:r>
          </w:p>
        </w:tc>
        <w:tc>
          <w:tcPr>
            <w:tcW w:w="567" w:type="dxa"/>
          </w:tcPr>
          <w:p w14:paraId="6E3780BC" w14:textId="77777777" w:rsidR="00AD1F54" w:rsidRPr="00264D5D" w:rsidRDefault="00941227">
            <w:pPr>
              <w:spacing w:before="60" w:after="60"/>
              <w:jc w:val="center"/>
              <w:rPr>
                <w:sz w:val="22"/>
                <w:szCs w:val="22"/>
              </w:rPr>
            </w:pPr>
            <w:r w:rsidRPr="00264D5D">
              <w:rPr>
                <w:sz w:val="22"/>
                <w:szCs w:val="22"/>
              </w:rPr>
              <w:t>Н</w:t>
            </w:r>
          </w:p>
        </w:tc>
        <w:tc>
          <w:tcPr>
            <w:tcW w:w="3963" w:type="dxa"/>
          </w:tcPr>
          <w:p w14:paraId="6252A800" w14:textId="77777777" w:rsidR="00AD1F54" w:rsidRPr="00264D5D" w:rsidRDefault="00941227">
            <w:pPr>
              <w:spacing w:before="60" w:after="60"/>
              <w:rPr>
                <w:sz w:val="22"/>
                <w:szCs w:val="22"/>
              </w:rPr>
            </w:pPr>
            <w:r w:rsidRPr="00264D5D">
              <w:rPr>
                <w:sz w:val="22"/>
                <w:szCs w:val="22"/>
              </w:rPr>
              <w:t>Указывается код ОКТМО территории муниципального образования (межселенной территории) или входящего в состав муниципального образования населенного пункта, на которой мобилизуются доходы от платных услуг.</w:t>
            </w:r>
          </w:p>
          <w:p w14:paraId="18040402" w14:textId="77777777" w:rsidR="00AD1F54" w:rsidRPr="00264D5D" w:rsidRDefault="00941227">
            <w:pPr>
              <w:spacing w:before="60" w:after="60"/>
              <w:rPr>
                <w:sz w:val="22"/>
                <w:szCs w:val="22"/>
              </w:rPr>
            </w:pPr>
            <w:r w:rsidRPr="00264D5D">
              <w:rPr>
                <w:sz w:val="22"/>
                <w:szCs w:val="22"/>
              </w:rPr>
              <w:t xml:space="preserve">Обязательно для заполнения, если в поле «Вид средств» указано одно из </w:t>
            </w:r>
            <w:r w:rsidRPr="00264D5D">
              <w:rPr>
                <w:sz w:val="22"/>
                <w:szCs w:val="22"/>
              </w:rPr>
              <w:lastRenderedPageBreak/>
              <w:t>значений:</w:t>
            </w:r>
          </w:p>
          <w:p w14:paraId="6D1A8BCD" w14:textId="77777777" w:rsidR="00AD1F54" w:rsidRPr="00264D5D" w:rsidRDefault="00941227" w:rsidP="00E7460C">
            <w:pPr>
              <w:pStyle w:val="af5"/>
              <w:numPr>
                <w:ilvl w:val="0"/>
                <w:numId w:val="110"/>
              </w:numPr>
              <w:spacing w:before="60" w:after="60"/>
              <w:ind w:left="284" w:hanging="227"/>
              <w:jc w:val="both"/>
              <w:rPr>
                <w:sz w:val="22"/>
                <w:szCs w:val="22"/>
              </w:rPr>
            </w:pPr>
            <w:r w:rsidRPr="00264D5D">
              <w:rPr>
                <w:sz w:val="22"/>
                <w:szCs w:val="22"/>
              </w:rPr>
              <w:t>2 – «доходы от оказания получателями средств бюджета платных услуг»;</w:t>
            </w:r>
          </w:p>
          <w:p w14:paraId="2E7237D4" w14:textId="77777777" w:rsidR="00AD1F54" w:rsidRPr="00264D5D" w:rsidRDefault="00941227" w:rsidP="00E7460C">
            <w:pPr>
              <w:pStyle w:val="af5"/>
              <w:numPr>
                <w:ilvl w:val="0"/>
                <w:numId w:val="110"/>
              </w:numPr>
              <w:spacing w:before="60" w:after="60"/>
              <w:ind w:left="284" w:hanging="227"/>
              <w:jc w:val="both"/>
              <w:rPr>
                <w:sz w:val="22"/>
                <w:szCs w:val="22"/>
              </w:rPr>
            </w:pPr>
            <w:r w:rsidRPr="00264D5D">
              <w:rPr>
                <w:sz w:val="22"/>
                <w:szCs w:val="22"/>
              </w:rPr>
              <w:t>3 – «средства дополнительного бюджетного финансирования».</w:t>
            </w:r>
          </w:p>
          <w:p w14:paraId="6ED47955" w14:textId="77777777" w:rsidR="00AD1F54" w:rsidRPr="00264D5D" w:rsidRDefault="00941227">
            <w:pPr>
              <w:spacing w:before="60" w:after="60"/>
              <w:rPr>
                <w:sz w:val="22"/>
                <w:szCs w:val="22"/>
              </w:rPr>
            </w:pPr>
            <w:r w:rsidRPr="00264D5D">
              <w:rPr>
                <w:sz w:val="22"/>
                <w:szCs w:val="22"/>
              </w:rPr>
              <w:t>В других случаях не запо</w:t>
            </w:r>
            <w:r w:rsidR="00B06B9A" w:rsidRPr="00264D5D">
              <w:rPr>
                <w:sz w:val="22"/>
                <w:szCs w:val="22"/>
              </w:rPr>
              <w:t>лняется</w:t>
            </w:r>
          </w:p>
        </w:tc>
      </w:tr>
      <w:tr w:rsidR="00AD1F54" w:rsidRPr="00264D5D" w14:paraId="111C5C19" w14:textId="77777777" w:rsidTr="00AD1F54">
        <w:trPr>
          <w:cnfStyle w:val="000000010000" w:firstRow="0" w:lastRow="0" w:firstColumn="0" w:lastColumn="0" w:oddVBand="0" w:evenVBand="0" w:oddHBand="0" w:evenHBand="1" w:firstRowFirstColumn="0" w:firstRowLastColumn="0" w:lastRowFirstColumn="0" w:lastRowLastColumn="0"/>
          <w:trHeight w:val="85"/>
        </w:trPr>
        <w:tc>
          <w:tcPr>
            <w:tcW w:w="1701" w:type="dxa"/>
          </w:tcPr>
          <w:p w14:paraId="6E5D8446" w14:textId="77777777" w:rsidR="00AD1F54" w:rsidRPr="00264D5D" w:rsidRDefault="00941227">
            <w:pPr>
              <w:pStyle w:val="GOSTTablenorm"/>
              <w:rPr>
                <w:szCs w:val="22"/>
              </w:rPr>
            </w:pPr>
            <w:bookmarkStart w:id="3043" w:name="_Hlk8979166"/>
            <w:r w:rsidRPr="00264D5D">
              <w:rPr>
                <w:szCs w:val="22"/>
              </w:rPr>
              <w:lastRenderedPageBreak/>
              <w:t>Символ</w:t>
            </w:r>
          </w:p>
        </w:tc>
        <w:tc>
          <w:tcPr>
            <w:tcW w:w="1701" w:type="dxa"/>
          </w:tcPr>
          <w:p w14:paraId="14A85CE1" w14:textId="77777777" w:rsidR="00AD1F54" w:rsidRPr="00264D5D" w:rsidRDefault="00941227">
            <w:pPr>
              <w:pStyle w:val="GOSTTablenorm"/>
              <w:rPr>
                <w:szCs w:val="22"/>
                <w:lang w:val="en-US"/>
              </w:rPr>
            </w:pPr>
            <w:r w:rsidRPr="00264D5D">
              <w:rPr>
                <w:szCs w:val="22"/>
                <w:lang w:val="en-US"/>
              </w:rPr>
              <w:t>Smbl</w:t>
            </w:r>
          </w:p>
        </w:tc>
        <w:tc>
          <w:tcPr>
            <w:tcW w:w="567" w:type="dxa"/>
          </w:tcPr>
          <w:p w14:paraId="19FFE980" w14:textId="77777777" w:rsidR="00AD1F54" w:rsidRPr="00264D5D" w:rsidRDefault="00941227">
            <w:pPr>
              <w:pStyle w:val="GOSTTablenorm"/>
              <w:jc w:val="center"/>
              <w:rPr>
                <w:szCs w:val="22"/>
              </w:rPr>
            </w:pPr>
            <w:r w:rsidRPr="00264D5D">
              <w:rPr>
                <w:szCs w:val="22"/>
              </w:rPr>
              <w:t>П</w:t>
            </w:r>
          </w:p>
        </w:tc>
        <w:tc>
          <w:tcPr>
            <w:tcW w:w="1134" w:type="dxa"/>
          </w:tcPr>
          <w:p w14:paraId="09AD8B1A" w14:textId="77777777" w:rsidR="00AD1F54" w:rsidRPr="00264D5D" w:rsidRDefault="00941227">
            <w:pPr>
              <w:spacing w:before="60" w:after="60"/>
              <w:rPr>
                <w:sz w:val="22"/>
                <w:szCs w:val="22"/>
                <w:lang w:val="en-US"/>
              </w:rPr>
            </w:pPr>
            <w:r w:rsidRPr="00264D5D">
              <w:rPr>
                <w:sz w:val="22"/>
                <w:szCs w:val="22"/>
                <w:lang w:val="en-US"/>
              </w:rPr>
              <w:t>Т(2)</w:t>
            </w:r>
          </w:p>
        </w:tc>
        <w:tc>
          <w:tcPr>
            <w:tcW w:w="567" w:type="dxa"/>
          </w:tcPr>
          <w:p w14:paraId="61BE0F61" w14:textId="77777777" w:rsidR="00AD1F54" w:rsidRPr="00264D5D" w:rsidRDefault="00941227">
            <w:pPr>
              <w:spacing w:before="60" w:after="60"/>
              <w:jc w:val="center"/>
              <w:rPr>
                <w:sz w:val="22"/>
                <w:szCs w:val="22"/>
              </w:rPr>
            </w:pPr>
            <w:r w:rsidRPr="00264D5D">
              <w:rPr>
                <w:sz w:val="22"/>
                <w:szCs w:val="22"/>
              </w:rPr>
              <w:t>Н</w:t>
            </w:r>
          </w:p>
        </w:tc>
        <w:tc>
          <w:tcPr>
            <w:tcW w:w="3963" w:type="dxa"/>
          </w:tcPr>
          <w:p w14:paraId="5360D926" w14:textId="77777777" w:rsidR="007C0882" w:rsidRPr="007C0882" w:rsidRDefault="00941227" w:rsidP="007C0882">
            <w:pPr>
              <w:pStyle w:val="GOSTTablenorm"/>
              <w:rPr>
                <w:szCs w:val="22"/>
              </w:rPr>
            </w:pPr>
            <w:r w:rsidRPr="00264D5D">
              <w:rPr>
                <w:szCs w:val="22"/>
              </w:rPr>
              <w:t xml:space="preserve">Указывается символ кассовой </w:t>
            </w:r>
            <w:r w:rsidRPr="007C0882">
              <w:rPr>
                <w:szCs w:val="22"/>
              </w:rPr>
              <w:t>отчетности</w:t>
            </w:r>
            <w:bookmarkEnd w:id="3043"/>
            <w:r w:rsidR="007C0882" w:rsidRPr="007C0882">
              <w:rPr>
                <w:szCs w:val="22"/>
              </w:rPr>
              <w:t>.</w:t>
            </w:r>
          </w:p>
          <w:p w14:paraId="457769A3" w14:textId="77777777" w:rsidR="00AD1F54" w:rsidRPr="00264D5D" w:rsidRDefault="007C0882" w:rsidP="007C0882">
            <w:pPr>
              <w:spacing w:before="60" w:after="60"/>
              <w:rPr>
                <w:sz w:val="22"/>
                <w:szCs w:val="22"/>
              </w:rPr>
            </w:pPr>
            <w:r w:rsidRPr="008B26A8">
              <w:rPr>
                <w:sz w:val="22"/>
                <w:szCs w:val="22"/>
                <w:highlight w:val="green"/>
              </w:rPr>
              <w:t>Поле обязательно к заполнению для маршрута Уполномоченный ТОФК (МУО СГ) – ТОФК (ППО АСФК)</w:t>
            </w:r>
          </w:p>
        </w:tc>
      </w:tr>
      <w:tr w:rsidR="00AD1F54" w:rsidRPr="00264D5D" w14:paraId="29A9564B"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805E24F" w14:textId="77777777" w:rsidR="00AD1F54" w:rsidRPr="00264D5D" w:rsidRDefault="00941227">
            <w:pPr>
              <w:pStyle w:val="GOSTTablenorm"/>
              <w:rPr>
                <w:szCs w:val="22"/>
              </w:rPr>
            </w:pPr>
            <w:r w:rsidRPr="00264D5D">
              <w:rPr>
                <w:color w:val="000000"/>
                <w:szCs w:val="22"/>
              </w:rPr>
              <w:t>Код вида средств</w:t>
            </w:r>
          </w:p>
        </w:tc>
        <w:tc>
          <w:tcPr>
            <w:tcW w:w="1701" w:type="dxa"/>
          </w:tcPr>
          <w:p w14:paraId="64C79F27" w14:textId="77777777" w:rsidR="00AD1F54" w:rsidRPr="00264D5D" w:rsidRDefault="00941227">
            <w:pPr>
              <w:pStyle w:val="GOSTTablenorm"/>
              <w:rPr>
                <w:szCs w:val="22"/>
                <w:lang w:val="en-US"/>
              </w:rPr>
            </w:pPr>
            <w:r w:rsidRPr="00264D5D">
              <w:rPr>
                <w:szCs w:val="22"/>
                <w:lang w:val="en-US"/>
              </w:rPr>
              <w:t>FndSrcCd</w:t>
            </w:r>
          </w:p>
        </w:tc>
        <w:tc>
          <w:tcPr>
            <w:tcW w:w="567" w:type="dxa"/>
          </w:tcPr>
          <w:p w14:paraId="59318CAF" w14:textId="77777777" w:rsidR="00AD1F54" w:rsidRPr="00264D5D" w:rsidRDefault="00941227">
            <w:pPr>
              <w:pStyle w:val="GOSTTablenorm"/>
              <w:jc w:val="center"/>
              <w:rPr>
                <w:szCs w:val="22"/>
              </w:rPr>
            </w:pPr>
            <w:r w:rsidRPr="00264D5D">
              <w:rPr>
                <w:szCs w:val="22"/>
              </w:rPr>
              <w:t>С</w:t>
            </w:r>
          </w:p>
        </w:tc>
        <w:tc>
          <w:tcPr>
            <w:tcW w:w="1134" w:type="dxa"/>
          </w:tcPr>
          <w:p w14:paraId="5CEEF688" w14:textId="77777777" w:rsidR="00AD1F54" w:rsidRPr="00264D5D" w:rsidRDefault="00941227">
            <w:pPr>
              <w:pStyle w:val="GOSTTablenorm"/>
              <w:rPr>
                <w:szCs w:val="22"/>
                <w:lang w:val="en-US"/>
              </w:rPr>
            </w:pPr>
            <w:r w:rsidRPr="00264D5D">
              <w:rPr>
                <w:szCs w:val="22"/>
                <w:lang w:val="en-US"/>
              </w:rPr>
              <w:t>tMSC_SrcTypeComplex</w:t>
            </w:r>
          </w:p>
        </w:tc>
        <w:tc>
          <w:tcPr>
            <w:tcW w:w="567" w:type="dxa"/>
          </w:tcPr>
          <w:p w14:paraId="56749AE5" w14:textId="77777777" w:rsidR="00AD1F54" w:rsidRPr="00264D5D" w:rsidRDefault="00D71925">
            <w:pPr>
              <w:pStyle w:val="GOSTTablenorm"/>
              <w:jc w:val="center"/>
              <w:rPr>
                <w:szCs w:val="22"/>
              </w:rPr>
            </w:pPr>
            <w:r w:rsidRPr="00264D5D">
              <w:rPr>
                <w:szCs w:val="22"/>
              </w:rPr>
              <w:t>Н</w:t>
            </w:r>
          </w:p>
        </w:tc>
        <w:tc>
          <w:tcPr>
            <w:tcW w:w="3963" w:type="dxa"/>
          </w:tcPr>
          <w:p w14:paraId="526714B6" w14:textId="77777777" w:rsidR="00D71925" w:rsidRPr="00264D5D" w:rsidRDefault="00D71925" w:rsidP="00D71925">
            <w:pPr>
              <w:pStyle w:val="GOSTTablenorm"/>
            </w:pPr>
            <w:r w:rsidRPr="00264D5D">
              <w:rPr>
                <w:szCs w:val="22"/>
              </w:rPr>
              <w:t>Не заполняется для маршрута НУБП (ПСБ и Росавтодор) – ТОФК.</w:t>
            </w:r>
          </w:p>
          <w:p w14:paraId="57927BEF" w14:textId="736D231A" w:rsidR="00AD1F54" w:rsidRPr="00264D5D" w:rsidRDefault="00941227">
            <w:pPr>
              <w:pStyle w:val="GOSTTablenorm"/>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_Ref529898584 \h  \* MERGEFORMAT </w:instrText>
            </w:r>
            <w:r w:rsidRPr="00264D5D">
              <w:rPr>
                <w:b/>
                <w:szCs w:val="22"/>
              </w:rPr>
            </w:r>
            <w:r w:rsidRPr="00264D5D">
              <w:rPr>
                <w:b/>
                <w:szCs w:val="22"/>
              </w:rPr>
              <w:fldChar w:fldCharType="separate"/>
            </w:r>
            <w:r w:rsidR="008D797C" w:rsidRPr="008D797C">
              <w:rPr>
                <w:b/>
                <w:szCs w:val="22"/>
              </w:rPr>
              <w:t>275</w:t>
            </w:r>
            <w:r w:rsidRPr="00264D5D">
              <w:rPr>
                <w:b/>
                <w:szCs w:val="22"/>
              </w:rPr>
              <w:fldChar w:fldCharType="end"/>
            </w:r>
          </w:p>
        </w:tc>
      </w:tr>
      <w:tr w:rsidR="00AD1F54" w:rsidRPr="00264D5D" w14:paraId="7EF9336F"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6060463F" w14:textId="77777777" w:rsidR="00AD1F54" w:rsidRPr="00264D5D" w:rsidRDefault="00941227">
            <w:pPr>
              <w:spacing w:before="60" w:after="60"/>
              <w:rPr>
                <w:sz w:val="22"/>
                <w:szCs w:val="22"/>
              </w:rPr>
            </w:pPr>
            <w:r w:rsidRPr="00264D5D">
              <w:rPr>
                <w:sz w:val="22"/>
                <w:szCs w:val="22"/>
              </w:rPr>
              <w:t>Сумма по БК</w:t>
            </w:r>
          </w:p>
        </w:tc>
        <w:tc>
          <w:tcPr>
            <w:tcW w:w="1701" w:type="dxa"/>
          </w:tcPr>
          <w:p w14:paraId="6873D845" w14:textId="77777777" w:rsidR="00AD1F54" w:rsidRPr="00264D5D" w:rsidRDefault="00941227">
            <w:pPr>
              <w:pStyle w:val="GOSTTablenorm"/>
              <w:rPr>
                <w:szCs w:val="22"/>
                <w:lang w:val="en-US"/>
              </w:rPr>
            </w:pPr>
            <w:r w:rsidRPr="00264D5D">
              <w:rPr>
                <w:szCs w:val="22"/>
                <w:lang w:val="en-US"/>
              </w:rPr>
              <w:t>Sm</w:t>
            </w:r>
          </w:p>
        </w:tc>
        <w:tc>
          <w:tcPr>
            <w:tcW w:w="567" w:type="dxa"/>
          </w:tcPr>
          <w:p w14:paraId="3F3CB2CC" w14:textId="77777777" w:rsidR="00AD1F54" w:rsidRPr="00264D5D" w:rsidRDefault="00941227">
            <w:pPr>
              <w:pStyle w:val="GOSTTablenorm"/>
              <w:jc w:val="center"/>
              <w:rPr>
                <w:szCs w:val="22"/>
              </w:rPr>
            </w:pPr>
            <w:r w:rsidRPr="00264D5D">
              <w:rPr>
                <w:szCs w:val="22"/>
              </w:rPr>
              <w:t>П</w:t>
            </w:r>
          </w:p>
        </w:tc>
        <w:tc>
          <w:tcPr>
            <w:tcW w:w="1134" w:type="dxa"/>
          </w:tcPr>
          <w:p w14:paraId="16A40CE3" w14:textId="77777777" w:rsidR="00AD1F54" w:rsidRPr="00264D5D" w:rsidRDefault="00941227">
            <w:pPr>
              <w:spacing w:before="60" w:after="60"/>
              <w:rPr>
                <w:sz w:val="22"/>
                <w:szCs w:val="22"/>
                <w:lang w:val="en-US"/>
              </w:rPr>
            </w:pPr>
            <w:r w:rsidRPr="00264D5D">
              <w:rPr>
                <w:sz w:val="22"/>
                <w:szCs w:val="22"/>
                <w:lang w:val="en-US"/>
              </w:rPr>
              <w:t>N(</w:t>
            </w:r>
            <w:r w:rsidRPr="00264D5D">
              <w:rPr>
                <w:sz w:val="22"/>
                <w:szCs w:val="22"/>
              </w:rPr>
              <w:t>20</w:t>
            </w:r>
            <w:r w:rsidRPr="00264D5D">
              <w:rPr>
                <w:sz w:val="22"/>
                <w:szCs w:val="22"/>
                <w:lang w:val="en-US"/>
              </w:rPr>
              <w:t>.2)</w:t>
            </w:r>
          </w:p>
        </w:tc>
        <w:tc>
          <w:tcPr>
            <w:tcW w:w="567" w:type="dxa"/>
          </w:tcPr>
          <w:p w14:paraId="2E8F0C99" w14:textId="77777777" w:rsidR="00AD1F54" w:rsidRPr="00264D5D" w:rsidRDefault="00941227">
            <w:pPr>
              <w:spacing w:before="60" w:after="60"/>
              <w:jc w:val="center"/>
              <w:rPr>
                <w:sz w:val="22"/>
                <w:szCs w:val="22"/>
              </w:rPr>
            </w:pPr>
            <w:r w:rsidRPr="00264D5D">
              <w:rPr>
                <w:sz w:val="22"/>
                <w:szCs w:val="22"/>
              </w:rPr>
              <w:t>О</w:t>
            </w:r>
          </w:p>
        </w:tc>
        <w:tc>
          <w:tcPr>
            <w:tcW w:w="3963" w:type="dxa"/>
          </w:tcPr>
          <w:p w14:paraId="40E322E6" w14:textId="77777777" w:rsidR="00AD1F54" w:rsidRPr="00264D5D" w:rsidRDefault="00941227">
            <w:pPr>
              <w:spacing w:before="60" w:after="60"/>
              <w:rPr>
                <w:sz w:val="22"/>
                <w:szCs w:val="22"/>
              </w:rPr>
            </w:pPr>
            <w:r w:rsidRPr="00264D5D">
              <w:rPr>
                <w:sz w:val="22"/>
                <w:szCs w:val="22"/>
              </w:rPr>
              <w:t xml:space="preserve">Сумма по БК. </w:t>
            </w:r>
          </w:p>
          <w:p w14:paraId="64BE98CF" w14:textId="77777777" w:rsidR="00AD1F54" w:rsidRPr="00264D5D" w:rsidRDefault="00941227">
            <w:pPr>
              <w:spacing w:before="60" w:after="60"/>
              <w:rPr>
                <w:sz w:val="22"/>
                <w:szCs w:val="22"/>
              </w:rPr>
            </w:pPr>
            <w:r w:rsidRPr="00264D5D">
              <w:rPr>
                <w:sz w:val="22"/>
                <w:szCs w:val="22"/>
              </w:rPr>
              <w:t>При одновременном отсутствии показателей по коду БК и коду цели заполн</w:t>
            </w:r>
            <w:r w:rsidR="00B06B9A" w:rsidRPr="00264D5D">
              <w:rPr>
                <w:sz w:val="22"/>
                <w:szCs w:val="22"/>
              </w:rPr>
              <w:t>яется значением суммы документа</w:t>
            </w:r>
          </w:p>
        </w:tc>
      </w:tr>
      <w:tr w:rsidR="00AD1F54" w:rsidRPr="00264D5D" w14:paraId="73D1E9A9"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9371B4A" w14:textId="77777777" w:rsidR="00AD1F54" w:rsidRPr="00264D5D" w:rsidRDefault="00941227">
            <w:pPr>
              <w:spacing w:before="60" w:after="60"/>
              <w:rPr>
                <w:sz w:val="22"/>
                <w:szCs w:val="22"/>
              </w:rPr>
            </w:pPr>
            <w:r w:rsidRPr="00264D5D">
              <w:rPr>
                <w:sz w:val="22"/>
                <w:szCs w:val="22"/>
              </w:rPr>
              <w:t>Примечание</w:t>
            </w:r>
          </w:p>
        </w:tc>
        <w:tc>
          <w:tcPr>
            <w:tcW w:w="1701" w:type="dxa"/>
          </w:tcPr>
          <w:p w14:paraId="121ECA5D" w14:textId="77777777" w:rsidR="00AD1F54" w:rsidRPr="00264D5D" w:rsidRDefault="00941227">
            <w:pPr>
              <w:pStyle w:val="GOSTTablenorm"/>
              <w:rPr>
                <w:szCs w:val="22"/>
                <w:lang w:val="en-US"/>
              </w:rPr>
            </w:pPr>
            <w:r w:rsidRPr="00264D5D">
              <w:rPr>
                <w:szCs w:val="22"/>
                <w:lang w:val="en-US"/>
              </w:rPr>
              <w:t>Nt</w:t>
            </w:r>
          </w:p>
        </w:tc>
        <w:tc>
          <w:tcPr>
            <w:tcW w:w="567" w:type="dxa"/>
          </w:tcPr>
          <w:p w14:paraId="42461B84" w14:textId="77777777" w:rsidR="00AD1F54" w:rsidRPr="00264D5D" w:rsidRDefault="00941227">
            <w:pPr>
              <w:pStyle w:val="GOSTTablenorm"/>
              <w:jc w:val="center"/>
              <w:rPr>
                <w:szCs w:val="22"/>
              </w:rPr>
            </w:pPr>
            <w:r w:rsidRPr="00264D5D">
              <w:rPr>
                <w:szCs w:val="22"/>
              </w:rPr>
              <w:t>П</w:t>
            </w:r>
          </w:p>
        </w:tc>
        <w:tc>
          <w:tcPr>
            <w:tcW w:w="1134" w:type="dxa"/>
          </w:tcPr>
          <w:p w14:paraId="169A669B" w14:textId="77777777" w:rsidR="00AD1F54" w:rsidRPr="00264D5D" w:rsidRDefault="00941227">
            <w:pPr>
              <w:spacing w:before="60" w:after="60"/>
              <w:rPr>
                <w:sz w:val="22"/>
                <w:szCs w:val="22"/>
              </w:rPr>
            </w:pPr>
            <w:r w:rsidRPr="00264D5D">
              <w:rPr>
                <w:sz w:val="22"/>
                <w:szCs w:val="22"/>
                <w:lang w:val="en-US"/>
              </w:rPr>
              <w:t>Т(1-2000)</w:t>
            </w:r>
          </w:p>
        </w:tc>
        <w:tc>
          <w:tcPr>
            <w:tcW w:w="567" w:type="dxa"/>
          </w:tcPr>
          <w:p w14:paraId="3C5EFF02" w14:textId="77777777" w:rsidR="00AD1F54" w:rsidRPr="00264D5D" w:rsidRDefault="00941227">
            <w:pPr>
              <w:spacing w:before="60" w:after="60"/>
              <w:jc w:val="center"/>
              <w:rPr>
                <w:sz w:val="22"/>
                <w:szCs w:val="22"/>
              </w:rPr>
            </w:pPr>
            <w:r w:rsidRPr="00264D5D">
              <w:rPr>
                <w:sz w:val="22"/>
                <w:szCs w:val="22"/>
              </w:rPr>
              <w:t>Н</w:t>
            </w:r>
          </w:p>
        </w:tc>
        <w:tc>
          <w:tcPr>
            <w:tcW w:w="3963" w:type="dxa"/>
          </w:tcPr>
          <w:p w14:paraId="2369BA22" w14:textId="77777777" w:rsidR="00AD1F54" w:rsidRPr="00264D5D" w:rsidRDefault="00941227">
            <w:pPr>
              <w:spacing w:before="60" w:after="60"/>
              <w:rPr>
                <w:sz w:val="22"/>
                <w:szCs w:val="22"/>
              </w:rPr>
            </w:pPr>
            <w:r w:rsidRPr="00264D5D">
              <w:rPr>
                <w:sz w:val="22"/>
                <w:szCs w:val="22"/>
              </w:rPr>
              <w:t xml:space="preserve">Текстовое примечание. </w:t>
            </w:r>
          </w:p>
          <w:p w14:paraId="2A166BFE" w14:textId="77777777" w:rsidR="00D71925" w:rsidRPr="00264D5D" w:rsidRDefault="00941227" w:rsidP="00D71925">
            <w:pPr>
              <w:rPr>
                <w:sz w:val="22"/>
                <w:szCs w:val="22"/>
              </w:rPr>
            </w:pPr>
            <w:r w:rsidRPr="00264D5D">
              <w:rPr>
                <w:sz w:val="22"/>
                <w:szCs w:val="22"/>
              </w:rPr>
              <w:t>При внесении наличных денежных средств за другую организацию перед текстовым примечанием в скобках указывается текст «ИНН», значение ИНН, текст «КПП», значение КПП и наименование организаци</w:t>
            </w:r>
            <w:r w:rsidR="00B06B9A" w:rsidRPr="00264D5D">
              <w:rPr>
                <w:sz w:val="22"/>
                <w:szCs w:val="22"/>
              </w:rPr>
              <w:t>и, за которую вносятся средства</w:t>
            </w:r>
            <w:r w:rsidR="00D71925" w:rsidRPr="00264D5D">
              <w:rPr>
                <w:sz w:val="22"/>
                <w:szCs w:val="22"/>
              </w:rPr>
              <w:t xml:space="preserve">. </w:t>
            </w:r>
          </w:p>
          <w:p w14:paraId="3939A73F" w14:textId="77777777" w:rsidR="00AD1F54" w:rsidRPr="00264D5D" w:rsidRDefault="00D71925" w:rsidP="00D71925">
            <w:pPr>
              <w:spacing w:before="60" w:after="60"/>
              <w:rPr>
                <w:sz w:val="22"/>
                <w:szCs w:val="22"/>
              </w:rPr>
            </w:pPr>
            <w:r w:rsidRPr="00264D5D">
              <w:rPr>
                <w:sz w:val="22"/>
                <w:szCs w:val="22"/>
              </w:rPr>
              <w:t>Если код платежного документа равен «OC», то в первой строке блока «Расшифровка сумм неиспользованных средств (строки)» в поле «Примечание» при необходимости указывается информация о месте получения наличных денежных средств (код офиса подразделения кредитной организации или учреждения Банка России), которая отделяется с обеих сторон символами «//», пример: «//Калужское отделение №8608/0103 (код подразделения: 04086080103)//»</w:t>
            </w:r>
          </w:p>
        </w:tc>
      </w:tr>
      <w:tr w:rsidR="00AD1F54" w:rsidRPr="00264D5D" w14:paraId="702DB178"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56FDE710" w14:textId="77777777" w:rsidR="00AD1F54" w:rsidRPr="00264D5D" w:rsidRDefault="00941227">
            <w:pPr>
              <w:spacing w:before="60" w:after="60"/>
              <w:rPr>
                <w:sz w:val="22"/>
                <w:szCs w:val="22"/>
              </w:rPr>
            </w:pPr>
            <w:r w:rsidRPr="00264D5D">
              <w:rPr>
                <w:sz w:val="22"/>
                <w:szCs w:val="22"/>
              </w:rPr>
              <w:lastRenderedPageBreak/>
              <w:t>Содержание операции</w:t>
            </w:r>
          </w:p>
        </w:tc>
        <w:tc>
          <w:tcPr>
            <w:tcW w:w="1701" w:type="dxa"/>
          </w:tcPr>
          <w:p w14:paraId="65963597" w14:textId="77777777" w:rsidR="00AD1F54" w:rsidRPr="00264D5D" w:rsidRDefault="00941227">
            <w:pPr>
              <w:pStyle w:val="GOSTTablenorm"/>
              <w:rPr>
                <w:szCs w:val="22"/>
                <w:lang w:val="en-US"/>
              </w:rPr>
            </w:pPr>
            <w:r w:rsidRPr="00264D5D">
              <w:rPr>
                <w:rFonts w:eastAsiaTheme="minorHAnsi"/>
                <w:szCs w:val="22"/>
              </w:rPr>
              <w:t>OprContent</w:t>
            </w:r>
          </w:p>
        </w:tc>
        <w:tc>
          <w:tcPr>
            <w:tcW w:w="567" w:type="dxa"/>
          </w:tcPr>
          <w:p w14:paraId="4E92C775" w14:textId="77777777" w:rsidR="00AD1F54" w:rsidRPr="00264D5D" w:rsidRDefault="00941227">
            <w:pPr>
              <w:pStyle w:val="GOSTTablenorm"/>
              <w:jc w:val="center"/>
              <w:rPr>
                <w:szCs w:val="22"/>
              </w:rPr>
            </w:pPr>
            <w:r w:rsidRPr="00264D5D">
              <w:rPr>
                <w:szCs w:val="22"/>
              </w:rPr>
              <w:t>С</w:t>
            </w:r>
          </w:p>
        </w:tc>
        <w:tc>
          <w:tcPr>
            <w:tcW w:w="1134" w:type="dxa"/>
          </w:tcPr>
          <w:p w14:paraId="6FFAB907" w14:textId="77777777" w:rsidR="00AD1F54" w:rsidRPr="00264D5D" w:rsidRDefault="00941227">
            <w:pPr>
              <w:spacing w:before="60" w:after="60"/>
              <w:rPr>
                <w:sz w:val="22"/>
                <w:szCs w:val="22"/>
                <w:lang w:val="en-US"/>
              </w:rPr>
            </w:pPr>
            <w:r w:rsidRPr="00264D5D">
              <w:rPr>
                <w:rFonts w:eastAsiaTheme="minorHAnsi"/>
                <w:sz w:val="22"/>
                <w:szCs w:val="22"/>
                <w:lang w:eastAsia="en-US"/>
              </w:rPr>
              <w:t>tRKG251_</w:t>
            </w:r>
            <w:r w:rsidRPr="00264D5D">
              <w:rPr>
                <w:rFonts w:eastAsiaTheme="minorHAnsi"/>
                <w:sz w:val="22"/>
                <w:szCs w:val="22"/>
              </w:rPr>
              <w:t>OprContentComplex</w:t>
            </w:r>
          </w:p>
        </w:tc>
        <w:tc>
          <w:tcPr>
            <w:tcW w:w="567" w:type="dxa"/>
          </w:tcPr>
          <w:p w14:paraId="00994678" w14:textId="77777777" w:rsidR="00AD1F54" w:rsidRPr="00264D5D" w:rsidRDefault="00941227">
            <w:pPr>
              <w:spacing w:before="60" w:after="60"/>
              <w:jc w:val="center"/>
              <w:rPr>
                <w:sz w:val="22"/>
                <w:szCs w:val="22"/>
              </w:rPr>
            </w:pPr>
            <w:r w:rsidRPr="00264D5D">
              <w:rPr>
                <w:sz w:val="22"/>
                <w:szCs w:val="22"/>
              </w:rPr>
              <w:t>Н</w:t>
            </w:r>
          </w:p>
        </w:tc>
        <w:tc>
          <w:tcPr>
            <w:tcW w:w="3963" w:type="dxa"/>
          </w:tcPr>
          <w:p w14:paraId="13312610" w14:textId="1045DCA0" w:rsidR="00AD1F54" w:rsidRPr="00264D5D" w:rsidRDefault="00941227">
            <w:pPr>
              <w:pStyle w:val="GOSTTablenorm"/>
              <w:rPr>
                <w:szCs w:val="22"/>
              </w:rPr>
            </w:pPr>
            <w:r w:rsidRPr="00264D5D">
              <w:rPr>
                <w:szCs w:val="22"/>
              </w:rPr>
              <w:t xml:space="preserve">Состав элемента указан в таблице </w:t>
            </w:r>
            <w:r w:rsidRPr="00264D5D">
              <w:rPr>
                <w:szCs w:val="22"/>
              </w:rPr>
              <w:fldChar w:fldCharType="begin"/>
            </w:r>
            <w:r w:rsidRPr="00264D5D">
              <w:rPr>
                <w:szCs w:val="22"/>
              </w:rPr>
              <w:instrText xml:space="preserve"> REF _Ref129338190 \h  \* MERGEFORMAT </w:instrText>
            </w:r>
            <w:r w:rsidRPr="00264D5D">
              <w:rPr>
                <w:szCs w:val="22"/>
              </w:rPr>
            </w:r>
            <w:r w:rsidRPr="00264D5D">
              <w:rPr>
                <w:szCs w:val="22"/>
              </w:rPr>
              <w:fldChar w:fldCharType="separate"/>
            </w:r>
            <w:r w:rsidR="008D797C" w:rsidRPr="008D797C">
              <w:rPr>
                <w:szCs w:val="22"/>
              </w:rPr>
              <w:t>276</w:t>
            </w:r>
            <w:r w:rsidRPr="00264D5D">
              <w:rPr>
                <w:szCs w:val="22"/>
              </w:rPr>
              <w:fldChar w:fldCharType="end"/>
            </w:r>
            <w:r w:rsidRPr="00264D5D">
              <w:rPr>
                <w:szCs w:val="22"/>
              </w:rPr>
              <w:t>.</w:t>
            </w:r>
          </w:p>
          <w:p w14:paraId="5F8DFDB1" w14:textId="77777777" w:rsidR="00AD1F54" w:rsidRPr="00264D5D" w:rsidRDefault="00941227">
            <w:pPr>
              <w:pStyle w:val="GOSTTablenorm"/>
              <w:rPr>
                <w:szCs w:val="22"/>
              </w:rPr>
            </w:pPr>
            <w:r w:rsidRPr="00264D5D">
              <w:rPr>
                <w:szCs w:val="22"/>
              </w:rPr>
              <w:t>Обязательно для заполнения, если код платежного документа равен «OC».</w:t>
            </w:r>
          </w:p>
          <w:p w14:paraId="654A5863" w14:textId="77777777" w:rsidR="00AD1F54" w:rsidRPr="00264D5D" w:rsidRDefault="00941227" w:rsidP="00D65AFB">
            <w:pPr>
              <w:spacing w:before="60" w:after="60"/>
              <w:rPr>
                <w:sz w:val="22"/>
                <w:szCs w:val="22"/>
              </w:rPr>
            </w:pPr>
            <w:r w:rsidRPr="00264D5D">
              <w:rPr>
                <w:sz w:val="22"/>
                <w:szCs w:val="22"/>
              </w:rPr>
              <w:t>Используется при информационном взаимодействии по маршру</w:t>
            </w:r>
            <w:r w:rsidR="00D65AFB">
              <w:rPr>
                <w:sz w:val="22"/>
                <w:szCs w:val="22"/>
              </w:rPr>
              <w:t>там ПБС (ПФХД) – ТОФК (ПУР ЭБ)</w:t>
            </w:r>
          </w:p>
        </w:tc>
      </w:tr>
    </w:tbl>
    <w:p w14:paraId="23FE2AD4" w14:textId="77777777" w:rsidR="00AD1F54" w:rsidRPr="00264D5D" w:rsidRDefault="00941227">
      <w:pPr>
        <w:pStyle w:val="31"/>
      </w:pPr>
      <w:bookmarkStart w:id="3044" w:name="_Toc18509336"/>
      <w:bookmarkStart w:id="3045" w:name="_Toc219309747"/>
      <w:r w:rsidRPr="00264D5D">
        <w:t>Описание комплексного типа «</w:t>
      </w:r>
      <w:r w:rsidR="004058D4" w:rsidRPr="00264D5D">
        <w:t>tMSC_KBK10_20_KS</w:t>
      </w:r>
      <w:r w:rsidRPr="00264D5D">
        <w:t>»</w:t>
      </w:r>
      <w:bookmarkEnd w:id="3044"/>
      <w:bookmarkEnd w:id="3045"/>
    </w:p>
    <w:p w14:paraId="68BDBF96" w14:textId="77777777" w:rsidR="00AD1F54" w:rsidRPr="00264D5D" w:rsidRDefault="00941227">
      <w:pPr>
        <w:pStyle w:val="GOSTNormal"/>
      </w:pPr>
      <w:r w:rsidRPr="00264D5D">
        <w:t xml:space="preserve">Описание комплексного </w:t>
      </w:r>
      <w:r w:rsidRPr="00264D5D">
        <w:rPr>
          <w:szCs w:val="24"/>
        </w:rPr>
        <w:t>типа «</w:t>
      </w:r>
      <w:r w:rsidR="004058D4" w:rsidRPr="00264D5D">
        <w:rPr>
          <w:szCs w:val="24"/>
        </w:rPr>
        <w:t>tMSC_KBK10_20_KS</w:t>
      </w:r>
      <w:r w:rsidRPr="00264D5D">
        <w:rPr>
          <w:szCs w:val="24"/>
        </w:rPr>
        <w:t>»</w:t>
      </w:r>
      <w:r w:rsidRPr="00264D5D">
        <w:t xml:space="preserve"> блока «КБК».</w:t>
      </w:r>
    </w:p>
    <w:p w14:paraId="526BBCA6" w14:textId="4AFDFC41" w:rsidR="00AD1F54" w:rsidRPr="00264D5D" w:rsidRDefault="00183F01">
      <w:pPr>
        <w:pStyle w:val="GOSTNameTable"/>
        <w:numPr>
          <w:ilvl w:val="0"/>
          <w:numId w:val="2"/>
        </w:numPr>
        <w:ind w:left="425" w:hanging="357"/>
      </w:pPr>
      <w:r>
        <w:rPr>
          <w:noProof/>
        </w:rPr>
        <w:fldChar w:fldCharType="begin"/>
      </w:r>
      <w:r>
        <w:rPr>
          <w:noProof/>
        </w:rPr>
        <w:instrText xml:space="preserve"> SEQ Таблица \* ARABIC </w:instrText>
      </w:r>
      <w:r>
        <w:rPr>
          <w:noProof/>
        </w:rPr>
        <w:fldChar w:fldCharType="separate"/>
      </w:r>
      <w:bookmarkStart w:id="3046" w:name="_Ref529898023"/>
      <w:bookmarkStart w:id="3047" w:name="_Toc18509615"/>
      <w:bookmarkStart w:id="3048" w:name="_Toc219309303"/>
      <w:r w:rsidR="008D797C">
        <w:rPr>
          <w:noProof/>
        </w:rPr>
        <w:t>273</w:t>
      </w:r>
      <w:bookmarkEnd w:id="3046"/>
      <w:r>
        <w:rPr>
          <w:noProof/>
        </w:rPr>
        <w:fldChar w:fldCharType="end"/>
      </w:r>
      <w:r w:rsidR="00941227" w:rsidRPr="00264D5D">
        <w:t xml:space="preserve"> – Описание комплексного </w:t>
      </w:r>
      <w:r w:rsidR="00941227" w:rsidRPr="00264D5D">
        <w:rPr>
          <w:szCs w:val="24"/>
        </w:rPr>
        <w:t>типа «</w:t>
      </w:r>
      <w:r w:rsidR="004058D4" w:rsidRPr="00264D5D">
        <w:rPr>
          <w:szCs w:val="24"/>
        </w:rPr>
        <w:t>tMSC_KBK10_20_KS</w:t>
      </w:r>
      <w:r w:rsidR="00941227" w:rsidRPr="00264D5D">
        <w:rPr>
          <w:szCs w:val="24"/>
        </w:rPr>
        <w:t>»</w:t>
      </w:r>
      <w:bookmarkEnd w:id="3047"/>
      <w:bookmarkEnd w:id="3048"/>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733267EB"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0A31205F" w14:textId="77777777" w:rsidR="00AD1F54" w:rsidRPr="00264D5D" w:rsidRDefault="00941227">
            <w:pPr>
              <w:pStyle w:val="ASFKTableHead"/>
            </w:pPr>
            <w:r w:rsidRPr="00264D5D">
              <w:t>Наименование элемента</w:t>
            </w:r>
          </w:p>
        </w:tc>
        <w:tc>
          <w:tcPr>
            <w:tcW w:w="1701" w:type="dxa"/>
          </w:tcPr>
          <w:p w14:paraId="19B39DDA" w14:textId="77777777" w:rsidR="00AD1F54" w:rsidRPr="00264D5D" w:rsidRDefault="00941227">
            <w:pPr>
              <w:pStyle w:val="ASFKTableHead"/>
            </w:pPr>
            <w:r w:rsidRPr="00264D5D">
              <w:t>Сокращенное наименование (код) элемента</w:t>
            </w:r>
          </w:p>
        </w:tc>
        <w:tc>
          <w:tcPr>
            <w:tcW w:w="567" w:type="dxa"/>
          </w:tcPr>
          <w:p w14:paraId="1ABB76A9" w14:textId="77777777" w:rsidR="00AD1F54" w:rsidRPr="00264D5D" w:rsidRDefault="00941227">
            <w:pPr>
              <w:pStyle w:val="ASFKTableHead"/>
            </w:pPr>
            <w:r w:rsidRPr="00264D5D">
              <w:t>Тип</w:t>
            </w:r>
          </w:p>
        </w:tc>
        <w:tc>
          <w:tcPr>
            <w:tcW w:w="1134" w:type="dxa"/>
          </w:tcPr>
          <w:p w14:paraId="24C3E94B" w14:textId="77777777" w:rsidR="00AD1F54" w:rsidRPr="00264D5D" w:rsidRDefault="00941227">
            <w:pPr>
              <w:pStyle w:val="ASFKTableHead"/>
            </w:pPr>
            <w:r w:rsidRPr="00264D5D">
              <w:t>Формат элемента</w:t>
            </w:r>
          </w:p>
        </w:tc>
        <w:tc>
          <w:tcPr>
            <w:tcW w:w="567" w:type="dxa"/>
          </w:tcPr>
          <w:p w14:paraId="0AD9A90F" w14:textId="77777777" w:rsidR="00AD1F54" w:rsidRPr="00264D5D" w:rsidRDefault="00941227">
            <w:pPr>
              <w:pStyle w:val="ASFKTableHead"/>
            </w:pPr>
            <w:r w:rsidRPr="00264D5D">
              <w:t>Обязательность</w:t>
            </w:r>
          </w:p>
        </w:tc>
        <w:tc>
          <w:tcPr>
            <w:tcW w:w="3963" w:type="dxa"/>
          </w:tcPr>
          <w:p w14:paraId="5B374A83" w14:textId="77777777" w:rsidR="00AD1F54" w:rsidRPr="00264D5D" w:rsidRDefault="00941227">
            <w:pPr>
              <w:pStyle w:val="ASFKTableHead"/>
            </w:pPr>
            <w:r w:rsidRPr="00264D5D">
              <w:t>Дополнительная информация</w:t>
            </w:r>
          </w:p>
        </w:tc>
      </w:tr>
      <w:tr w:rsidR="00AD1F54" w:rsidRPr="00264D5D" w14:paraId="72292C54"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FC98486" w14:textId="77777777" w:rsidR="00AD1F54" w:rsidRPr="00264D5D" w:rsidRDefault="00941227">
            <w:pPr>
              <w:pStyle w:val="GOSTTablenorm"/>
            </w:pPr>
            <w:r w:rsidRPr="00264D5D">
              <w:t>Код по БК</w:t>
            </w:r>
          </w:p>
        </w:tc>
        <w:tc>
          <w:tcPr>
            <w:tcW w:w="1701" w:type="dxa"/>
          </w:tcPr>
          <w:p w14:paraId="20EE0716" w14:textId="77777777" w:rsidR="00AD1F54" w:rsidRPr="00264D5D" w:rsidRDefault="00941227">
            <w:pPr>
              <w:pStyle w:val="GOSTTablenorm"/>
              <w:rPr>
                <w:lang w:val="en-US"/>
              </w:rPr>
            </w:pPr>
            <w:r w:rsidRPr="00264D5D">
              <w:t>KBK</w:t>
            </w:r>
          </w:p>
        </w:tc>
        <w:tc>
          <w:tcPr>
            <w:tcW w:w="567" w:type="dxa"/>
          </w:tcPr>
          <w:p w14:paraId="66929AF3" w14:textId="77777777" w:rsidR="00AD1F54" w:rsidRPr="00264D5D" w:rsidRDefault="00941227">
            <w:pPr>
              <w:pStyle w:val="GOSTTablenorm"/>
              <w:jc w:val="center"/>
            </w:pPr>
            <w:r w:rsidRPr="00264D5D">
              <w:t>П</w:t>
            </w:r>
          </w:p>
        </w:tc>
        <w:tc>
          <w:tcPr>
            <w:tcW w:w="1134" w:type="dxa"/>
          </w:tcPr>
          <w:p w14:paraId="214F52D1" w14:textId="77777777" w:rsidR="00AD1F54" w:rsidRPr="00264D5D" w:rsidRDefault="00941227">
            <w:pPr>
              <w:pStyle w:val="GOSTTablenorm"/>
            </w:pPr>
            <w:r w:rsidRPr="00264D5D">
              <w:rPr>
                <w:lang w:val="en-US"/>
              </w:rPr>
              <w:t>Т(</w:t>
            </w:r>
            <w:r w:rsidRPr="00264D5D">
              <w:t>1-20</w:t>
            </w:r>
            <w:r w:rsidRPr="00264D5D">
              <w:rPr>
                <w:lang w:val="en-US"/>
              </w:rPr>
              <w:t>)</w:t>
            </w:r>
          </w:p>
        </w:tc>
        <w:tc>
          <w:tcPr>
            <w:tcW w:w="567" w:type="dxa"/>
          </w:tcPr>
          <w:p w14:paraId="7B28DD09" w14:textId="77777777" w:rsidR="00AD1F54" w:rsidRPr="00264D5D" w:rsidRDefault="00941227">
            <w:pPr>
              <w:pStyle w:val="GOSTTablenorm"/>
              <w:jc w:val="center"/>
            </w:pPr>
            <w:r w:rsidRPr="00264D5D">
              <w:t>Н</w:t>
            </w:r>
          </w:p>
        </w:tc>
        <w:tc>
          <w:tcPr>
            <w:tcW w:w="3963" w:type="dxa"/>
          </w:tcPr>
          <w:p w14:paraId="69B49C8D" w14:textId="77777777" w:rsidR="00AD1F54" w:rsidRPr="00264D5D" w:rsidRDefault="00941227">
            <w:pPr>
              <w:spacing w:before="60" w:after="60"/>
              <w:rPr>
                <w:sz w:val="22"/>
                <w:szCs w:val="22"/>
              </w:rPr>
            </w:pPr>
            <w:r w:rsidRPr="00264D5D">
              <w:rPr>
                <w:sz w:val="22"/>
                <w:szCs w:val="22"/>
              </w:rPr>
              <w:t>Код бюджетной классификации.</w:t>
            </w:r>
          </w:p>
          <w:p w14:paraId="50E6B7D8" w14:textId="77777777" w:rsidR="00AD1F54" w:rsidRPr="00264D5D" w:rsidRDefault="00941227">
            <w:pPr>
              <w:pStyle w:val="GOSTTablenorm"/>
            </w:pPr>
            <w:r w:rsidRPr="00264D5D">
              <w:rPr>
                <w:szCs w:val="22"/>
              </w:rPr>
              <w:t>Не заполняется для ПБС, осуществляющих операции со средствами во временном распоряжении.</w:t>
            </w:r>
            <w:r w:rsidRPr="00264D5D">
              <w:t xml:space="preserve"> </w:t>
            </w:r>
          </w:p>
          <w:p w14:paraId="3E27C584" w14:textId="77777777" w:rsidR="00AD1F54" w:rsidRPr="00264D5D" w:rsidRDefault="00941227">
            <w:pPr>
              <w:pStyle w:val="GOSTTablenorm"/>
            </w:pPr>
            <w:r w:rsidRPr="00264D5D">
              <w:t xml:space="preserve">Для маршрута АУ, БУ </w:t>
            </w:r>
            <w:r w:rsidRPr="00264D5D">
              <w:rPr>
                <w:szCs w:val="22"/>
              </w:rPr>
              <w:t>–</w:t>
            </w:r>
            <w:r w:rsidRPr="00264D5D">
              <w:t xml:space="preserve"> ТОФК (Компонент АУ, БУ ПУР ЭБ) (в случаях, предусмотренных законодательством) в позициях с 18 по 20 указывается</w:t>
            </w:r>
            <w:r w:rsidR="00B06B9A" w:rsidRPr="00264D5D">
              <w:t xml:space="preserve"> код по бюджетной классификации</w:t>
            </w:r>
            <w:r w:rsidR="00D71925" w:rsidRPr="00264D5D">
              <w:t>.</w:t>
            </w:r>
          </w:p>
          <w:p w14:paraId="16D12FF3" w14:textId="77777777" w:rsidR="00D71925" w:rsidRPr="00264D5D" w:rsidRDefault="00D71925">
            <w:pPr>
              <w:pStyle w:val="GOSTTablenorm"/>
              <w:rPr>
                <w:szCs w:val="22"/>
              </w:rPr>
            </w:pPr>
            <w:r w:rsidRPr="00264D5D">
              <w:t xml:space="preserve">Для маршрута </w:t>
            </w:r>
            <w:r w:rsidRPr="00264D5D">
              <w:rPr>
                <w:szCs w:val="22"/>
              </w:rPr>
              <w:t xml:space="preserve">НУБП (ПСБ и Росавтодор) – ТОФК </w:t>
            </w:r>
            <w:r w:rsidRPr="00264D5D">
              <w:t>указывается код направления расходования целевых средств плательщика, у которого схемой обслуживания предусмотрен учет операций в разрезе кодов направления расходования целевых средств</w:t>
            </w:r>
          </w:p>
        </w:tc>
      </w:tr>
      <w:tr w:rsidR="00AD1F54" w:rsidRPr="00264D5D" w14:paraId="41EEDF6F"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3096956B" w14:textId="77777777" w:rsidR="00AD1F54" w:rsidRPr="00264D5D" w:rsidRDefault="00941227">
            <w:pPr>
              <w:pStyle w:val="GOSTTablenorm"/>
            </w:pPr>
            <w:r w:rsidRPr="00264D5D">
              <w:rPr>
                <w:szCs w:val="22"/>
              </w:rPr>
              <w:t>Код цели (аналитический код)</w:t>
            </w:r>
          </w:p>
        </w:tc>
        <w:tc>
          <w:tcPr>
            <w:tcW w:w="1701" w:type="dxa"/>
          </w:tcPr>
          <w:p w14:paraId="1BEEE9F0" w14:textId="77777777" w:rsidR="00AD1F54" w:rsidRPr="00264D5D" w:rsidRDefault="00941227">
            <w:pPr>
              <w:pStyle w:val="GOSTTablenorm"/>
              <w:rPr>
                <w:lang w:val="en-US"/>
              </w:rPr>
            </w:pPr>
            <w:r w:rsidRPr="00264D5D">
              <w:t>TrgtCd</w:t>
            </w:r>
          </w:p>
        </w:tc>
        <w:tc>
          <w:tcPr>
            <w:tcW w:w="567" w:type="dxa"/>
          </w:tcPr>
          <w:p w14:paraId="37915B47" w14:textId="77777777" w:rsidR="00AD1F54" w:rsidRPr="00264D5D" w:rsidRDefault="00941227">
            <w:pPr>
              <w:pStyle w:val="GOSTTablenorm"/>
              <w:jc w:val="center"/>
            </w:pPr>
            <w:r w:rsidRPr="00264D5D">
              <w:t>П</w:t>
            </w:r>
          </w:p>
        </w:tc>
        <w:tc>
          <w:tcPr>
            <w:tcW w:w="1134" w:type="dxa"/>
          </w:tcPr>
          <w:p w14:paraId="5E678A62" w14:textId="77777777" w:rsidR="00AD1F54" w:rsidRPr="00264D5D" w:rsidRDefault="00941227">
            <w:pPr>
              <w:pStyle w:val="GOSTTablenorm"/>
            </w:pPr>
            <w:r w:rsidRPr="00264D5D">
              <w:rPr>
                <w:lang w:val="en-US"/>
              </w:rPr>
              <w:t>Т(</w:t>
            </w:r>
            <w:r w:rsidRPr="00264D5D">
              <w:t>1-2</w:t>
            </w:r>
            <w:r w:rsidRPr="00264D5D">
              <w:rPr>
                <w:lang w:val="en-US"/>
              </w:rPr>
              <w:t>5)</w:t>
            </w:r>
          </w:p>
        </w:tc>
        <w:tc>
          <w:tcPr>
            <w:tcW w:w="567" w:type="dxa"/>
          </w:tcPr>
          <w:p w14:paraId="4534B867" w14:textId="77777777" w:rsidR="00AD1F54" w:rsidRPr="00264D5D" w:rsidRDefault="00941227">
            <w:pPr>
              <w:pStyle w:val="GOSTTablenorm"/>
              <w:jc w:val="center"/>
            </w:pPr>
            <w:r w:rsidRPr="00264D5D">
              <w:t>Н</w:t>
            </w:r>
          </w:p>
        </w:tc>
        <w:tc>
          <w:tcPr>
            <w:tcW w:w="3963" w:type="dxa"/>
          </w:tcPr>
          <w:p w14:paraId="1293295A" w14:textId="77777777" w:rsidR="00AD1F54" w:rsidRPr="00264D5D" w:rsidRDefault="00941227">
            <w:pPr>
              <w:pStyle w:val="GOSTTablenorm"/>
              <w:rPr>
                <w:szCs w:val="22"/>
              </w:rPr>
            </w:pPr>
            <w:r w:rsidRPr="00264D5D">
              <w:rPr>
                <w:szCs w:val="22"/>
              </w:rPr>
              <w:t>Указывается код цели (аналитический код).</w:t>
            </w:r>
          </w:p>
          <w:p w14:paraId="32A624AF" w14:textId="77777777" w:rsidR="00AD1F54" w:rsidRPr="00264D5D" w:rsidRDefault="00941227">
            <w:pPr>
              <w:pStyle w:val="GOSTTablenorm"/>
            </w:pPr>
            <w:r w:rsidRPr="00264D5D">
              <w:rPr>
                <w:szCs w:val="22"/>
              </w:rPr>
              <w:t xml:space="preserve">При оформлении Расшифровки сумм неиспользованных (внесенных через банкомат или пункт выдачи наличных денежных средств) средств по л/с федерального бюджета с кодом «05» указывается код НПА, идентификационный код выплат, предусмотренный Порядком санкционирования операций со </w:t>
            </w:r>
            <w:r w:rsidRPr="00264D5D">
              <w:rPr>
                <w:szCs w:val="22"/>
              </w:rPr>
              <w:lastRenderedPageBreak/>
              <w:t>средствами, поступающими во временное распоряжение получателей средств федерального бюджета.</w:t>
            </w:r>
            <w:r w:rsidRPr="00264D5D">
              <w:t xml:space="preserve"> </w:t>
            </w:r>
          </w:p>
          <w:p w14:paraId="2ADA0FE3" w14:textId="77777777" w:rsidR="00D71925" w:rsidRPr="00264D5D" w:rsidRDefault="00941227" w:rsidP="00D71925">
            <w:pPr>
              <w:pStyle w:val="GOSTTablenorm"/>
            </w:pPr>
            <w:r w:rsidRPr="00264D5D">
              <w:t xml:space="preserve">Для маршрута АУ, БУ </w:t>
            </w:r>
            <w:r w:rsidRPr="00264D5D">
              <w:rPr>
                <w:szCs w:val="22"/>
              </w:rPr>
              <w:t>–</w:t>
            </w:r>
            <w:r w:rsidRPr="00264D5D">
              <w:t xml:space="preserve"> ТОФК (Компонент АУ, БУ ПУР ЭБ) обязательно для заполнения</w:t>
            </w:r>
            <w:r w:rsidR="00B06B9A" w:rsidRPr="00264D5D">
              <w:t xml:space="preserve"> в случаях, предусмотренных НПА</w:t>
            </w:r>
            <w:r w:rsidR="00D71925" w:rsidRPr="00264D5D">
              <w:t xml:space="preserve">. </w:t>
            </w:r>
          </w:p>
          <w:p w14:paraId="0AA047CB" w14:textId="77777777" w:rsidR="00AD1F54" w:rsidRPr="00264D5D" w:rsidRDefault="00D71925" w:rsidP="00D71925">
            <w:pPr>
              <w:pStyle w:val="GOSTTablenorm"/>
            </w:pPr>
            <w:r w:rsidRPr="00264D5D">
              <w:t xml:space="preserve">Для маршрута </w:t>
            </w:r>
            <w:r w:rsidRPr="00264D5D">
              <w:rPr>
                <w:szCs w:val="22"/>
              </w:rPr>
              <w:t xml:space="preserve">НУБП (ПСБ и Росавтодор) – ТОФК </w:t>
            </w:r>
            <w:r w:rsidRPr="00264D5D">
              <w:t>указывается код субсидии (цели, целевых средств) плательщика, у которого схемой обслуживания предусмотрен учет операций в разрезе кодов субсидий (целей, целевых средств)</w:t>
            </w:r>
          </w:p>
        </w:tc>
      </w:tr>
      <w:tr w:rsidR="00AD1F54" w:rsidRPr="00264D5D" w14:paraId="7B68860C"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3FE7101" w14:textId="77777777" w:rsidR="00AD1F54" w:rsidRPr="00264D5D" w:rsidRDefault="00941227">
            <w:pPr>
              <w:pStyle w:val="GOSTTablenorm"/>
            </w:pPr>
            <w:r w:rsidRPr="00264D5D">
              <w:lastRenderedPageBreak/>
              <w:t>Тип КБК</w:t>
            </w:r>
          </w:p>
        </w:tc>
        <w:tc>
          <w:tcPr>
            <w:tcW w:w="1701" w:type="dxa"/>
          </w:tcPr>
          <w:p w14:paraId="5341F85F" w14:textId="77777777" w:rsidR="00AD1F54" w:rsidRPr="00264D5D" w:rsidRDefault="00941227">
            <w:pPr>
              <w:pStyle w:val="GOSTTablenorm"/>
            </w:pPr>
            <w:r w:rsidRPr="00264D5D">
              <w:t>BKTp</w:t>
            </w:r>
          </w:p>
        </w:tc>
        <w:tc>
          <w:tcPr>
            <w:tcW w:w="567" w:type="dxa"/>
          </w:tcPr>
          <w:p w14:paraId="24E23984" w14:textId="77777777" w:rsidR="00AD1F54" w:rsidRPr="00264D5D" w:rsidRDefault="00941227">
            <w:pPr>
              <w:pStyle w:val="GOSTTablenorm"/>
              <w:jc w:val="center"/>
            </w:pPr>
            <w:r w:rsidRPr="00264D5D">
              <w:t>С</w:t>
            </w:r>
          </w:p>
        </w:tc>
        <w:tc>
          <w:tcPr>
            <w:tcW w:w="1134" w:type="dxa"/>
          </w:tcPr>
          <w:p w14:paraId="15C5511A" w14:textId="77777777" w:rsidR="00AD1F54" w:rsidRPr="00264D5D" w:rsidRDefault="00941227">
            <w:pPr>
              <w:pStyle w:val="GOSTTablenorm"/>
            </w:pPr>
            <w:r w:rsidRPr="00264D5D">
              <w:rPr>
                <w:rFonts w:eastAsia="Calibri"/>
              </w:rPr>
              <w:t>tMSC_BKTp10_20Complex</w:t>
            </w:r>
          </w:p>
        </w:tc>
        <w:tc>
          <w:tcPr>
            <w:tcW w:w="567" w:type="dxa"/>
          </w:tcPr>
          <w:p w14:paraId="4DC5053F" w14:textId="77777777" w:rsidR="00AD1F54" w:rsidRPr="00264D5D" w:rsidRDefault="00941227">
            <w:pPr>
              <w:pStyle w:val="GOSTTablenorm"/>
              <w:jc w:val="center"/>
            </w:pPr>
            <w:r w:rsidRPr="00264D5D">
              <w:t>Н</w:t>
            </w:r>
          </w:p>
        </w:tc>
        <w:tc>
          <w:tcPr>
            <w:tcW w:w="3963" w:type="dxa"/>
          </w:tcPr>
          <w:p w14:paraId="1A672193" w14:textId="77777777" w:rsidR="00D71925" w:rsidRPr="00264D5D" w:rsidRDefault="00941227" w:rsidP="00D71925">
            <w:pPr>
              <w:pStyle w:val="GOSTTablenorm"/>
              <w:rPr>
                <w:szCs w:val="22"/>
              </w:rPr>
            </w:pPr>
            <w:r w:rsidRPr="00264D5D">
              <w:rPr>
                <w:szCs w:val="22"/>
              </w:rPr>
              <w:t>Не заполняется для ПБС, осуществляющих операции со средствами во временном распоряжении и не заполняется для АУ, БУ.</w:t>
            </w:r>
            <w:r w:rsidR="00D71925" w:rsidRPr="00264D5D">
              <w:rPr>
                <w:szCs w:val="22"/>
              </w:rPr>
              <w:t xml:space="preserve"> </w:t>
            </w:r>
          </w:p>
          <w:p w14:paraId="017FB629" w14:textId="77777777" w:rsidR="00AD1F54" w:rsidRPr="00264D5D" w:rsidRDefault="00D71925" w:rsidP="00D71925">
            <w:pPr>
              <w:pStyle w:val="GOSTTablenorm"/>
            </w:pPr>
            <w:r w:rsidRPr="00264D5D">
              <w:rPr>
                <w:szCs w:val="22"/>
              </w:rPr>
              <w:t>Не заполняется для маршрута НУБП (ПСБ и Росавтодор) – ТОФК.</w:t>
            </w:r>
          </w:p>
          <w:p w14:paraId="1B7BE763" w14:textId="3AF00DA9" w:rsidR="00AD1F54" w:rsidRPr="00264D5D" w:rsidRDefault="00941227">
            <w:pPr>
              <w:pStyle w:val="GOSTTablenorm"/>
              <w:rPr>
                <w:b/>
                <w:bCs/>
              </w:rPr>
            </w:pPr>
            <w:r w:rsidRPr="00264D5D">
              <w:t xml:space="preserve">Состав элемента представлен в таблице </w:t>
            </w:r>
            <w:r w:rsidRPr="00264D5D">
              <w:rPr>
                <w:b/>
              </w:rPr>
              <w:fldChar w:fldCharType="begin"/>
            </w:r>
            <w:r w:rsidRPr="00264D5D">
              <w:rPr>
                <w:b/>
              </w:rPr>
              <w:instrText xml:space="preserve"> REF _Ref524699033 \h  \* MERGEFORMAT </w:instrText>
            </w:r>
            <w:r w:rsidRPr="00264D5D">
              <w:rPr>
                <w:b/>
              </w:rPr>
            </w:r>
            <w:r w:rsidRPr="00264D5D">
              <w:rPr>
                <w:b/>
              </w:rPr>
              <w:fldChar w:fldCharType="separate"/>
            </w:r>
            <w:r w:rsidR="008D797C" w:rsidRPr="008D797C">
              <w:rPr>
                <w:b/>
              </w:rPr>
              <w:t>274</w:t>
            </w:r>
            <w:r w:rsidRPr="00264D5D">
              <w:rPr>
                <w:b/>
              </w:rPr>
              <w:fldChar w:fldCharType="end"/>
            </w:r>
          </w:p>
        </w:tc>
      </w:tr>
    </w:tbl>
    <w:p w14:paraId="73EB71D4" w14:textId="77777777" w:rsidR="00AD1F54" w:rsidRPr="00264D5D" w:rsidRDefault="00941227">
      <w:pPr>
        <w:pStyle w:val="31"/>
      </w:pPr>
      <w:bookmarkStart w:id="3049" w:name="_Toc18509337"/>
      <w:bookmarkStart w:id="3050" w:name="_Toc219309748"/>
      <w:r w:rsidRPr="00264D5D">
        <w:t>Описание комплексного типа «tMSC_BKTp10_20Complex»</w:t>
      </w:r>
      <w:bookmarkEnd w:id="3049"/>
      <w:bookmarkEnd w:id="3050"/>
    </w:p>
    <w:p w14:paraId="2A7AD72A" w14:textId="77777777" w:rsidR="00AD1F54" w:rsidRPr="00264D5D" w:rsidRDefault="00941227">
      <w:pPr>
        <w:pStyle w:val="GOSTNormal"/>
      </w:pPr>
      <w:r w:rsidRPr="00264D5D">
        <w:t>Описание комплексного типа «tMSC_BKTp10_20Complex» блока «Тип КБК».</w:t>
      </w:r>
    </w:p>
    <w:p w14:paraId="459D378E" w14:textId="6E4B38B0"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3051" w:name="_Ref524699033"/>
      <w:bookmarkStart w:id="3052" w:name="_Toc18509616"/>
      <w:bookmarkStart w:id="3053" w:name="_Toc219309304"/>
      <w:r w:rsidR="008D797C">
        <w:rPr>
          <w:noProof/>
        </w:rPr>
        <w:t>274</w:t>
      </w:r>
      <w:bookmarkEnd w:id="3051"/>
      <w:r w:rsidRPr="00264D5D">
        <w:fldChar w:fldCharType="end"/>
      </w:r>
      <w:r w:rsidRPr="00264D5D">
        <w:t xml:space="preserve"> – Описание комплексного типа «tMSC_BKTp10_20Complex»</w:t>
      </w:r>
      <w:bookmarkEnd w:id="3052"/>
      <w:bookmarkEnd w:id="3053"/>
    </w:p>
    <w:tbl>
      <w:tblPr>
        <w:tblStyle w:val="GOSTTable"/>
        <w:tblW w:w="9633" w:type="dxa"/>
        <w:tblLayout w:type="fixed"/>
        <w:tblLook w:val="04A0" w:firstRow="1" w:lastRow="0" w:firstColumn="1" w:lastColumn="0" w:noHBand="0" w:noVBand="1"/>
      </w:tblPr>
      <w:tblGrid>
        <w:gridCol w:w="1701"/>
        <w:gridCol w:w="1701"/>
        <w:gridCol w:w="567"/>
        <w:gridCol w:w="1134"/>
        <w:gridCol w:w="567"/>
        <w:gridCol w:w="3963"/>
      </w:tblGrid>
      <w:tr w:rsidR="00AD1F54" w:rsidRPr="00264D5D" w14:paraId="3723254C"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3B691F7F" w14:textId="77777777" w:rsidR="00AD1F54" w:rsidRPr="00264D5D" w:rsidRDefault="00941227">
            <w:pPr>
              <w:pStyle w:val="ASFKTableHead"/>
            </w:pPr>
            <w:r w:rsidRPr="00264D5D">
              <w:t>Наименование элемента</w:t>
            </w:r>
          </w:p>
        </w:tc>
        <w:tc>
          <w:tcPr>
            <w:tcW w:w="1701" w:type="dxa"/>
          </w:tcPr>
          <w:p w14:paraId="4AEA2DF7" w14:textId="77777777" w:rsidR="00AD1F54" w:rsidRPr="00264D5D" w:rsidRDefault="00941227">
            <w:pPr>
              <w:pStyle w:val="ASFKTableHead"/>
            </w:pPr>
            <w:r w:rsidRPr="00264D5D">
              <w:t>Сокращенное наименование (код) элемента</w:t>
            </w:r>
          </w:p>
        </w:tc>
        <w:tc>
          <w:tcPr>
            <w:tcW w:w="567" w:type="dxa"/>
          </w:tcPr>
          <w:p w14:paraId="14F24CFA" w14:textId="77777777" w:rsidR="00AD1F54" w:rsidRPr="00264D5D" w:rsidRDefault="00941227">
            <w:pPr>
              <w:pStyle w:val="ASFKTableHead"/>
            </w:pPr>
            <w:r w:rsidRPr="00264D5D">
              <w:t>Тип</w:t>
            </w:r>
          </w:p>
        </w:tc>
        <w:tc>
          <w:tcPr>
            <w:tcW w:w="1134" w:type="dxa"/>
          </w:tcPr>
          <w:p w14:paraId="2E7FCA0B" w14:textId="77777777" w:rsidR="00AD1F54" w:rsidRPr="00264D5D" w:rsidRDefault="00941227">
            <w:pPr>
              <w:pStyle w:val="ASFKTableHead"/>
            </w:pPr>
            <w:r w:rsidRPr="00264D5D">
              <w:t>Формат элемента</w:t>
            </w:r>
          </w:p>
        </w:tc>
        <w:tc>
          <w:tcPr>
            <w:tcW w:w="567" w:type="dxa"/>
          </w:tcPr>
          <w:p w14:paraId="7776DCD0" w14:textId="77777777" w:rsidR="00AD1F54" w:rsidRPr="00264D5D" w:rsidRDefault="00941227">
            <w:pPr>
              <w:pStyle w:val="ASFKTableHead"/>
            </w:pPr>
            <w:r w:rsidRPr="00264D5D">
              <w:t>Обязательность</w:t>
            </w:r>
          </w:p>
        </w:tc>
        <w:tc>
          <w:tcPr>
            <w:tcW w:w="3963" w:type="dxa"/>
          </w:tcPr>
          <w:p w14:paraId="26020915" w14:textId="77777777" w:rsidR="00AD1F54" w:rsidRPr="00264D5D" w:rsidRDefault="00941227">
            <w:pPr>
              <w:pStyle w:val="ASFKTableHead"/>
            </w:pPr>
            <w:r w:rsidRPr="00264D5D">
              <w:t>Дополнительная информация</w:t>
            </w:r>
          </w:p>
        </w:tc>
      </w:tr>
      <w:tr w:rsidR="00AD1F54" w:rsidRPr="00264D5D" w14:paraId="48F9BD80"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5A5AB710" w14:textId="77777777" w:rsidR="00AD1F54" w:rsidRPr="00264D5D" w:rsidRDefault="00941227">
            <w:pPr>
              <w:pStyle w:val="GOSTTablenorm"/>
              <w:rPr>
                <w:szCs w:val="22"/>
              </w:rPr>
            </w:pPr>
            <w:r w:rsidRPr="00264D5D">
              <w:rPr>
                <w:szCs w:val="22"/>
              </w:rPr>
              <w:t>Код типа КБК</w:t>
            </w:r>
          </w:p>
        </w:tc>
        <w:tc>
          <w:tcPr>
            <w:tcW w:w="1701" w:type="dxa"/>
          </w:tcPr>
          <w:p w14:paraId="652DD493" w14:textId="77777777" w:rsidR="00AD1F54" w:rsidRPr="00264D5D" w:rsidRDefault="00941227">
            <w:pPr>
              <w:pStyle w:val="GOSTTablenorm"/>
              <w:rPr>
                <w:szCs w:val="22"/>
              </w:rPr>
            </w:pPr>
            <w:r w:rsidRPr="00264D5D">
              <w:rPr>
                <w:szCs w:val="22"/>
              </w:rPr>
              <w:t>code</w:t>
            </w:r>
          </w:p>
        </w:tc>
        <w:tc>
          <w:tcPr>
            <w:tcW w:w="567" w:type="dxa"/>
          </w:tcPr>
          <w:p w14:paraId="2A40FD98" w14:textId="77777777" w:rsidR="00AD1F54" w:rsidRPr="00264D5D" w:rsidRDefault="00941227">
            <w:pPr>
              <w:pStyle w:val="GOSTTablenorm"/>
              <w:jc w:val="center"/>
              <w:rPr>
                <w:szCs w:val="22"/>
              </w:rPr>
            </w:pPr>
            <w:r w:rsidRPr="00264D5D">
              <w:rPr>
                <w:szCs w:val="22"/>
              </w:rPr>
              <w:t>А</w:t>
            </w:r>
          </w:p>
        </w:tc>
        <w:tc>
          <w:tcPr>
            <w:tcW w:w="1134" w:type="dxa"/>
          </w:tcPr>
          <w:p w14:paraId="1A4D832B" w14:textId="77777777" w:rsidR="00AD1F54" w:rsidRPr="00264D5D" w:rsidRDefault="00941227">
            <w:pPr>
              <w:pStyle w:val="GOSTTablenorm"/>
              <w:rPr>
                <w:szCs w:val="22"/>
              </w:rPr>
            </w:pPr>
            <w:r w:rsidRPr="00264D5D">
              <w:rPr>
                <w:szCs w:val="22"/>
              </w:rPr>
              <w:t>-</w:t>
            </w:r>
          </w:p>
        </w:tc>
        <w:tc>
          <w:tcPr>
            <w:tcW w:w="567" w:type="dxa"/>
          </w:tcPr>
          <w:p w14:paraId="2AADBF05" w14:textId="77777777" w:rsidR="00AD1F54" w:rsidRPr="00264D5D" w:rsidRDefault="00941227">
            <w:pPr>
              <w:spacing w:before="60" w:after="60"/>
              <w:jc w:val="center"/>
              <w:rPr>
                <w:sz w:val="22"/>
                <w:szCs w:val="22"/>
              </w:rPr>
            </w:pPr>
            <w:r w:rsidRPr="00264D5D">
              <w:rPr>
                <w:sz w:val="22"/>
                <w:szCs w:val="22"/>
              </w:rPr>
              <w:t>О</w:t>
            </w:r>
          </w:p>
        </w:tc>
        <w:tc>
          <w:tcPr>
            <w:tcW w:w="3963" w:type="dxa"/>
          </w:tcPr>
          <w:p w14:paraId="6685F7B5" w14:textId="77777777" w:rsidR="00AD1F54" w:rsidRPr="00264D5D" w:rsidRDefault="00941227">
            <w:pPr>
              <w:spacing w:before="60" w:after="60"/>
              <w:rPr>
                <w:sz w:val="22"/>
                <w:szCs w:val="22"/>
              </w:rPr>
            </w:pPr>
            <w:r w:rsidRPr="00264D5D">
              <w:rPr>
                <w:sz w:val="22"/>
                <w:szCs w:val="22"/>
              </w:rPr>
              <w:t>Допустимые значения:</w:t>
            </w:r>
          </w:p>
          <w:p w14:paraId="3C7CD33D" w14:textId="77777777" w:rsidR="00AD1F54" w:rsidRPr="00264D5D" w:rsidRDefault="00941227" w:rsidP="00E7460C">
            <w:pPr>
              <w:pStyle w:val="GOSTTablenorm"/>
              <w:numPr>
                <w:ilvl w:val="0"/>
                <w:numId w:val="80"/>
              </w:numPr>
              <w:ind w:left="284" w:hanging="227"/>
            </w:pPr>
            <w:r w:rsidRPr="00264D5D">
              <w:t>10 – Расходы;</w:t>
            </w:r>
          </w:p>
          <w:p w14:paraId="1BC0A800" w14:textId="77777777" w:rsidR="00AD1F54" w:rsidRPr="00264D5D" w:rsidRDefault="00B06B9A" w:rsidP="00E7460C">
            <w:pPr>
              <w:pStyle w:val="GOSTTablenorm"/>
              <w:numPr>
                <w:ilvl w:val="0"/>
                <w:numId w:val="80"/>
              </w:numPr>
              <w:ind w:left="284" w:hanging="227"/>
            </w:pPr>
            <w:r w:rsidRPr="00264D5D">
              <w:t>20 – Доходы</w:t>
            </w:r>
          </w:p>
        </w:tc>
      </w:tr>
      <w:tr w:rsidR="00AD1F54" w:rsidRPr="00264D5D" w14:paraId="43D9DF19" w14:textId="77777777" w:rsidTr="00AD1F54">
        <w:trPr>
          <w:cnfStyle w:val="000000010000" w:firstRow="0" w:lastRow="0" w:firstColumn="0" w:lastColumn="0" w:oddVBand="0" w:evenVBand="0" w:oddHBand="0" w:evenHBand="1" w:firstRowFirstColumn="0" w:firstRowLastColumn="0" w:lastRowFirstColumn="0" w:lastRowLastColumn="0"/>
          <w:trHeight w:val="537"/>
        </w:trPr>
        <w:tc>
          <w:tcPr>
            <w:tcW w:w="1701" w:type="dxa"/>
          </w:tcPr>
          <w:p w14:paraId="2FE7A580" w14:textId="77777777" w:rsidR="00AD1F54" w:rsidRPr="00264D5D" w:rsidRDefault="00941227">
            <w:pPr>
              <w:pStyle w:val="GOSTTablenorm"/>
              <w:rPr>
                <w:szCs w:val="22"/>
              </w:rPr>
            </w:pPr>
            <w:r w:rsidRPr="00264D5D">
              <w:rPr>
                <w:szCs w:val="22"/>
              </w:rPr>
              <w:t>Тип КБК</w:t>
            </w:r>
          </w:p>
        </w:tc>
        <w:tc>
          <w:tcPr>
            <w:tcW w:w="1701" w:type="dxa"/>
          </w:tcPr>
          <w:p w14:paraId="64C4FCB5" w14:textId="77777777" w:rsidR="00AD1F54" w:rsidRPr="00264D5D" w:rsidRDefault="00941227">
            <w:pPr>
              <w:pStyle w:val="GOSTTablenorm"/>
              <w:rPr>
                <w:szCs w:val="22"/>
              </w:rPr>
            </w:pPr>
            <w:r w:rsidRPr="00264D5D">
              <w:rPr>
                <w:szCs w:val="22"/>
                <w:lang w:val="en-US"/>
              </w:rPr>
              <w:t>value</w:t>
            </w:r>
          </w:p>
        </w:tc>
        <w:tc>
          <w:tcPr>
            <w:tcW w:w="567" w:type="dxa"/>
          </w:tcPr>
          <w:p w14:paraId="741FAA74" w14:textId="77777777" w:rsidR="00AD1F54" w:rsidRPr="00264D5D" w:rsidRDefault="00941227">
            <w:pPr>
              <w:pStyle w:val="GOSTTablenorm"/>
              <w:jc w:val="center"/>
              <w:rPr>
                <w:szCs w:val="22"/>
              </w:rPr>
            </w:pPr>
            <w:r w:rsidRPr="00264D5D">
              <w:rPr>
                <w:szCs w:val="22"/>
              </w:rPr>
              <w:t>А</w:t>
            </w:r>
          </w:p>
        </w:tc>
        <w:tc>
          <w:tcPr>
            <w:tcW w:w="1134" w:type="dxa"/>
          </w:tcPr>
          <w:p w14:paraId="7DDB2A42" w14:textId="77777777" w:rsidR="00AD1F54" w:rsidRPr="00264D5D" w:rsidRDefault="00941227">
            <w:pPr>
              <w:pStyle w:val="GOSTTablenorm"/>
              <w:rPr>
                <w:szCs w:val="22"/>
              </w:rPr>
            </w:pPr>
            <w:r w:rsidRPr="00264D5D">
              <w:rPr>
                <w:szCs w:val="22"/>
              </w:rPr>
              <w:t>-</w:t>
            </w:r>
          </w:p>
        </w:tc>
        <w:tc>
          <w:tcPr>
            <w:tcW w:w="567" w:type="dxa"/>
          </w:tcPr>
          <w:p w14:paraId="5BF12B93" w14:textId="77777777" w:rsidR="00AD1F54" w:rsidRPr="00264D5D" w:rsidRDefault="00941227">
            <w:pPr>
              <w:pStyle w:val="GOSTTablenorm"/>
              <w:jc w:val="center"/>
              <w:rPr>
                <w:szCs w:val="22"/>
              </w:rPr>
            </w:pPr>
            <w:r w:rsidRPr="00264D5D">
              <w:rPr>
                <w:szCs w:val="22"/>
              </w:rPr>
              <w:t>Н</w:t>
            </w:r>
          </w:p>
        </w:tc>
        <w:tc>
          <w:tcPr>
            <w:tcW w:w="3963" w:type="dxa"/>
          </w:tcPr>
          <w:p w14:paraId="4E217B25" w14:textId="77777777" w:rsidR="00AD1F54" w:rsidRPr="00264D5D" w:rsidRDefault="00941227">
            <w:pPr>
              <w:spacing w:before="60" w:after="60"/>
              <w:rPr>
                <w:sz w:val="22"/>
                <w:szCs w:val="22"/>
              </w:rPr>
            </w:pPr>
            <w:r w:rsidRPr="00264D5D">
              <w:rPr>
                <w:sz w:val="22"/>
                <w:szCs w:val="22"/>
              </w:rPr>
              <w:t>Допустимые значения:</w:t>
            </w:r>
          </w:p>
          <w:p w14:paraId="757E24FD" w14:textId="77777777" w:rsidR="00AD1F54" w:rsidRPr="00264D5D" w:rsidRDefault="00941227" w:rsidP="00E7460C">
            <w:pPr>
              <w:pStyle w:val="GOSTTablenorm"/>
              <w:numPr>
                <w:ilvl w:val="0"/>
                <w:numId w:val="80"/>
              </w:numPr>
              <w:ind w:left="284" w:hanging="227"/>
            </w:pPr>
            <w:r w:rsidRPr="00264D5D">
              <w:t>Расходы;</w:t>
            </w:r>
          </w:p>
          <w:p w14:paraId="035DE2FE" w14:textId="77777777" w:rsidR="00AD1F54" w:rsidRPr="00264D5D" w:rsidRDefault="00B06B9A" w:rsidP="00E7460C">
            <w:pPr>
              <w:pStyle w:val="GOSTTablenorm"/>
              <w:numPr>
                <w:ilvl w:val="0"/>
                <w:numId w:val="80"/>
              </w:numPr>
              <w:ind w:left="284" w:hanging="227"/>
            </w:pPr>
            <w:r w:rsidRPr="00264D5D">
              <w:t>Доходы</w:t>
            </w:r>
          </w:p>
        </w:tc>
      </w:tr>
    </w:tbl>
    <w:p w14:paraId="18509E19" w14:textId="77777777" w:rsidR="00AD1F54" w:rsidRPr="00264D5D" w:rsidRDefault="00941227">
      <w:pPr>
        <w:pStyle w:val="31"/>
      </w:pPr>
      <w:bookmarkStart w:id="3054" w:name="_Toc18509338"/>
      <w:r w:rsidRPr="00264D5D">
        <w:t xml:space="preserve"> </w:t>
      </w:r>
      <w:bookmarkStart w:id="3055" w:name="_Toc219309749"/>
      <w:r w:rsidRPr="00264D5D">
        <w:t>Описание комплексного типа «tMSC_SrcTypeComplex»</w:t>
      </w:r>
      <w:bookmarkEnd w:id="3054"/>
      <w:bookmarkEnd w:id="3055"/>
    </w:p>
    <w:p w14:paraId="67CDDAA7" w14:textId="77777777" w:rsidR="00AD1F54" w:rsidRPr="00264D5D" w:rsidRDefault="00941227">
      <w:pPr>
        <w:pStyle w:val="GOSTNormal"/>
      </w:pPr>
      <w:r w:rsidRPr="00264D5D">
        <w:t>Описание комплексного типа «</w:t>
      </w:r>
      <w:r w:rsidRPr="00264D5D">
        <w:rPr>
          <w:szCs w:val="22"/>
          <w:lang w:val="en-US"/>
        </w:rPr>
        <w:t>tMSC</w:t>
      </w:r>
      <w:r w:rsidRPr="00264D5D">
        <w:rPr>
          <w:szCs w:val="22"/>
        </w:rPr>
        <w:t>_</w:t>
      </w:r>
      <w:r w:rsidRPr="00264D5D">
        <w:rPr>
          <w:szCs w:val="22"/>
          <w:lang w:val="en-US"/>
        </w:rPr>
        <w:t>SrcTypeComplex</w:t>
      </w:r>
      <w:r w:rsidRPr="00264D5D">
        <w:t>» блока «</w:t>
      </w:r>
      <w:r w:rsidRPr="00264D5D">
        <w:rPr>
          <w:color w:val="000000"/>
          <w:szCs w:val="22"/>
        </w:rPr>
        <w:t>Код вида средств</w:t>
      </w:r>
      <w:r w:rsidRPr="00264D5D">
        <w:t>».</w:t>
      </w:r>
    </w:p>
    <w:p w14:paraId="5F4A3400" w14:textId="4AD7BC52" w:rsidR="00AD1F54" w:rsidRPr="00264D5D" w:rsidRDefault="00941227">
      <w:pPr>
        <w:pStyle w:val="GOSTNameTable"/>
        <w:numPr>
          <w:ilvl w:val="0"/>
          <w:numId w:val="2"/>
        </w:numPr>
        <w:ind w:left="425" w:hanging="357"/>
      </w:pPr>
      <w:r w:rsidRPr="00264D5D">
        <w:lastRenderedPageBreak/>
        <w:fldChar w:fldCharType="begin"/>
      </w:r>
      <w:r w:rsidRPr="00264D5D">
        <w:instrText>SEQ Таблица \* ARABIC</w:instrText>
      </w:r>
      <w:r w:rsidRPr="00264D5D">
        <w:fldChar w:fldCharType="separate"/>
      </w:r>
      <w:bookmarkStart w:id="3056" w:name="_Ref529898584"/>
      <w:bookmarkStart w:id="3057" w:name="_Toc18509617"/>
      <w:bookmarkStart w:id="3058" w:name="_Toc219309305"/>
      <w:r w:rsidR="008D797C">
        <w:rPr>
          <w:noProof/>
        </w:rPr>
        <w:t>275</w:t>
      </w:r>
      <w:bookmarkEnd w:id="3056"/>
      <w:r w:rsidRPr="00264D5D">
        <w:fldChar w:fldCharType="end"/>
      </w:r>
      <w:r w:rsidRPr="00264D5D">
        <w:t xml:space="preserve"> – Описание комплексного типа «tMSC_SrcTypeComplex»</w:t>
      </w:r>
      <w:bookmarkEnd w:id="3057"/>
      <w:bookmarkEnd w:id="3058"/>
    </w:p>
    <w:tbl>
      <w:tblPr>
        <w:tblStyle w:val="GOSTTable"/>
        <w:tblW w:w="9633" w:type="dxa"/>
        <w:tblLayout w:type="fixed"/>
        <w:tblLook w:val="04A0" w:firstRow="1" w:lastRow="0" w:firstColumn="1" w:lastColumn="0" w:noHBand="0" w:noVBand="1"/>
      </w:tblPr>
      <w:tblGrid>
        <w:gridCol w:w="1701"/>
        <w:gridCol w:w="1701"/>
        <w:gridCol w:w="567"/>
        <w:gridCol w:w="1134"/>
        <w:gridCol w:w="567"/>
        <w:gridCol w:w="3963"/>
      </w:tblGrid>
      <w:tr w:rsidR="00AD1F54" w:rsidRPr="00264D5D" w14:paraId="2A18C0B3"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3CB9BD17" w14:textId="77777777" w:rsidR="00AD1F54" w:rsidRPr="00264D5D" w:rsidRDefault="00941227">
            <w:pPr>
              <w:pStyle w:val="ASFKTableHead"/>
            </w:pPr>
            <w:r w:rsidRPr="00264D5D">
              <w:t>Наименование элемента</w:t>
            </w:r>
          </w:p>
        </w:tc>
        <w:tc>
          <w:tcPr>
            <w:tcW w:w="1701" w:type="dxa"/>
          </w:tcPr>
          <w:p w14:paraId="3C97F412" w14:textId="77777777" w:rsidR="00AD1F54" w:rsidRPr="00264D5D" w:rsidRDefault="00941227">
            <w:pPr>
              <w:pStyle w:val="ASFKTableHead"/>
            </w:pPr>
            <w:r w:rsidRPr="00264D5D">
              <w:t>Сокращенное наименование (код) элемента</w:t>
            </w:r>
          </w:p>
        </w:tc>
        <w:tc>
          <w:tcPr>
            <w:tcW w:w="567" w:type="dxa"/>
          </w:tcPr>
          <w:p w14:paraId="2C7B32C7" w14:textId="77777777" w:rsidR="00AD1F54" w:rsidRPr="00264D5D" w:rsidRDefault="00941227">
            <w:pPr>
              <w:pStyle w:val="ASFKTableHead"/>
            </w:pPr>
            <w:r w:rsidRPr="00264D5D">
              <w:t>Тип</w:t>
            </w:r>
          </w:p>
        </w:tc>
        <w:tc>
          <w:tcPr>
            <w:tcW w:w="1134" w:type="dxa"/>
          </w:tcPr>
          <w:p w14:paraId="0D57C6C6" w14:textId="77777777" w:rsidR="00AD1F54" w:rsidRPr="00264D5D" w:rsidRDefault="00941227">
            <w:pPr>
              <w:pStyle w:val="ASFKTableHead"/>
            </w:pPr>
            <w:r w:rsidRPr="00264D5D">
              <w:t>Формат элемента</w:t>
            </w:r>
          </w:p>
        </w:tc>
        <w:tc>
          <w:tcPr>
            <w:tcW w:w="567" w:type="dxa"/>
          </w:tcPr>
          <w:p w14:paraId="7B716288" w14:textId="77777777" w:rsidR="00AD1F54" w:rsidRPr="00264D5D" w:rsidRDefault="00941227">
            <w:pPr>
              <w:pStyle w:val="ASFKTableHead"/>
            </w:pPr>
            <w:r w:rsidRPr="00264D5D">
              <w:t>Обязательность</w:t>
            </w:r>
          </w:p>
        </w:tc>
        <w:tc>
          <w:tcPr>
            <w:tcW w:w="3963" w:type="dxa"/>
          </w:tcPr>
          <w:p w14:paraId="47DDFBFC" w14:textId="77777777" w:rsidR="00AD1F54" w:rsidRPr="00264D5D" w:rsidRDefault="00941227">
            <w:pPr>
              <w:pStyle w:val="ASFKTableHead"/>
            </w:pPr>
            <w:r w:rsidRPr="00264D5D">
              <w:t>Дополнительная информация</w:t>
            </w:r>
          </w:p>
        </w:tc>
      </w:tr>
      <w:tr w:rsidR="00AD1F54" w:rsidRPr="00264D5D" w14:paraId="05603D74"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2A557D1" w14:textId="77777777" w:rsidR="00AD1F54" w:rsidRPr="00264D5D" w:rsidRDefault="00941227">
            <w:pPr>
              <w:pStyle w:val="GOSTTablenorm"/>
              <w:rPr>
                <w:b/>
                <w:color w:val="000000"/>
                <w:szCs w:val="22"/>
              </w:rPr>
            </w:pPr>
            <w:r w:rsidRPr="00264D5D">
              <w:rPr>
                <w:szCs w:val="22"/>
              </w:rPr>
              <w:t>Код вида средств</w:t>
            </w:r>
          </w:p>
        </w:tc>
        <w:tc>
          <w:tcPr>
            <w:tcW w:w="1701" w:type="dxa"/>
          </w:tcPr>
          <w:p w14:paraId="6C2696A9" w14:textId="77777777" w:rsidR="00AD1F54" w:rsidRPr="00264D5D" w:rsidRDefault="00941227">
            <w:pPr>
              <w:pStyle w:val="GOSTTablenorm"/>
              <w:rPr>
                <w:szCs w:val="22"/>
              </w:rPr>
            </w:pPr>
            <w:r w:rsidRPr="00264D5D">
              <w:rPr>
                <w:szCs w:val="22"/>
              </w:rPr>
              <w:t>code</w:t>
            </w:r>
          </w:p>
        </w:tc>
        <w:tc>
          <w:tcPr>
            <w:tcW w:w="567" w:type="dxa"/>
          </w:tcPr>
          <w:p w14:paraId="1F6EB1E8" w14:textId="77777777" w:rsidR="00AD1F54" w:rsidRPr="00264D5D" w:rsidRDefault="00941227">
            <w:pPr>
              <w:pStyle w:val="GOSTTablenorm"/>
              <w:jc w:val="center"/>
              <w:rPr>
                <w:szCs w:val="22"/>
              </w:rPr>
            </w:pPr>
            <w:r w:rsidRPr="00264D5D">
              <w:rPr>
                <w:szCs w:val="22"/>
              </w:rPr>
              <w:t>А</w:t>
            </w:r>
          </w:p>
        </w:tc>
        <w:tc>
          <w:tcPr>
            <w:tcW w:w="1134" w:type="dxa"/>
          </w:tcPr>
          <w:p w14:paraId="74ABC2F5" w14:textId="77777777" w:rsidR="00AD1F54" w:rsidRPr="00264D5D" w:rsidRDefault="00941227">
            <w:pPr>
              <w:pStyle w:val="GOSTTablenorm"/>
              <w:rPr>
                <w:szCs w:val="22"/>
              </w:rPr>
            </w:pPr>
            <w:r w:rsidRPr="00264D5D">
              <w:rPr>
                <w:szCs w:val="22"/>
              </w:rPr>
              <w:t>-</w:t>
            </w:r>
          </w:p>
        </w:tc>
        <w:tc>
          <w:tcPr>
            <w:tcW w:w="567" w:type="dxa"/>
          </w:tcPr>
          <w:p w14:paraId="7C631B40" w14:textId="77777777" w:rsidR="00AD1F54" w:rsidRPr="00264D5D" w:rsidRDefault="00941227">
            <w:pPr>
              <w:spacing w:before="60" w:after="60"/>
              <w:jc w:val="center"/>
              <w:rPr>
                <w:sz w:val="22"/>
                <w:szCs w:val="22"/>
              </w:rPr>
            </w:pPr>
            <w:r w:rsidRPr="00264D5D">
              <w:rPr>
                <w:sz w:val="22"/>
                <w:szCs w:val="22"/>
              </w:rPr>
              <w:t>О</w:t>
            </w:r>
          </w:p>
        </w:tc>
        <w:tc>
          <w:tcPr>
            <w:tcW w:w="3963" w:type="dxa"/>
          </w:tcPr>
          <w:p w14:paraId="011955F9" w14:textId="77777777" w:rsidR="00AD1F54" w:rsidRPr="00264D5D" w:rsidRDefault="00941227">
            <w:pPr>
              <w:pStyle w:val="GOSTTablenorm"/>
              <w:rPr>
                <w:szCs w:val="22"/>
              </w:rPr>
            </w:pPr>
            <w:r w:rsidRPr="00264D5D">
              <w:rPr>
                <w:szCs w:val="22"/>
              </w:rPr>
              <w:t>Указывается код вида средств, за счет которого должны быть выданы наличные денежные средства:</w:t>
            </w:r>
          </w:p>
          <w:p w14:paraId="4403DE57" w14:textId="77777777" w:rsidR="00AD1F54" w:rsidRPr="00264D5D" w:rsidRDefault="00941227" w:rsidP="00E7460C">
            <w:pPr>
              <w:pStyle w:val="GOSTTablenorm"/>
              <w:numPr>
                <w:ilvl w:val="0"/>
                <w:numId w:val="80"/>
              </w:numPr>
              <w:ind w:left="284" w:hanging="227"/>
            </w:pPr>
            <w:r w:rsidRPr="00264D5D">
              <w:t>1 – Средства бюджета;</w:t>
            </w:r>
          </w:p>
          <w:p w14:paraId="637581E0" w14:textId="77777777" w:rsidR="00AD1F54" w:rsidRPr="00264D5D" w:rsidRDefault="00941227" w:rsidP="00E7460C">
            <w:pPr>
              <w:pStyle w:val="GOSTTablenorm"/>
              <w:numPr>
                <w:ilvl w:val="0"/>
                <w:numId w:val="80"/>
              </w:numPr>
              <w:ind w:left="284" w:hanging="227"/>
            </w:pPr>
            <w:r w:rsidRPr="00264D5D">
              <w:t>2 – Доходы от оказания получателями средств бюджета платных услуг;</w:t>
            </w:r>
          </w:p>
          <w:p w14:paraId="2E04649D" w14:textId="77777777" w:rsidR="00AD1F54" w:rsidRPr="00264D5D" w:rsidRDefault="00941227" w:rsidP="00E7460C">
            <w:pPr>
              <w:pStyle w:val="GOSTTablenorm"/>
              <w:numPr>
                <w:ilvl w:val="0"/>
                <w:numId w:val="80"/>
              </w:numPr>
              <w:ind w:left="284" w:hanging="227"/>
            </w:pPr>
            <w:r w:rsidRPr="00264D5D">
              <w:t>3 – Средства дополнительного бюджетного финансирования;</w:t>
            </w:r>
          </w:p>
          <w:p w14:paraId="7994A6A2" w14:textId="77777777" w:rsidR="00AD1F54" w:rsidRPr="00264D5D" w:rsidRDefault="00941227" w:rsidP="00E7460C">
            <w:pPr>
              <w:pStyle w:val="GOSTTablenorm"/>
              <w:numPr>
                <w:ilvl w:val="0"/>
                <w:numId w:val="80"/>
              </w:numPr>
              <w:ind w:left="284" w:hanging="227"/>
            </w:pPr>
            <w:r w:rsidRPr="00264D5D">
              <w:t>4 – Средства для финансирования мероприятий по оперативно-розыскной деятельности;</w:t>
            </w:r>
          </w:p>
          <w:p w14:paraId="56C99F9E" w14:textId="77777777" w:rsidR="00AD1F54" w:rsidRPr="00264D5D" w:rsidRDefault="00941227" w:rsidP="00E7460C">
            <w:pPr>
              <w:pStyle w:val="GOSTTablenorm"/>
              <w:numPr>
                <w:ilvl w:val="0"/>
                <w:numId w:val="80"/>
              </w:numPr>
              <w:ind w:left="284" w:hanging="227"/>
            </w:pPr>
            <w:r w:rsidRPr="00264D5D">
              <w:t>5 – Средства, поступающие во временное распоряжение;</w:t>
            </w:r>
          </w:p>
          <w:p w14:paraId="0FFD5987" w14:textId="77777777" w:rsidR="00AD1F54" w:rsidRPr="00264D5D" w:rsidRDefault="00941227" w:rsidP="00E7460C">
            <w:pPr>
              <w:pStyle w:val="GOSTTablenorm"/>
              <w:numPr>
                <w:ilvl w:val="0"/>
                <w:numId w:val="80"/>
              </w:numPr>
              <w:ind w:left="284" w:hanging="227"/>
            </w:pPr>
            <w:r w:rsidRPr="00264D5D">
              <w:t>6 – Средства</w:t>
            </w:r>
            <w:r w:rsidR="00B06B9A" w:rsidRPr="00264D5D">
              <w:t xml:space="preserve"> юридических лиц</w:t>
            </w:r>
          </w:p>
        </w:tc>
      </w:tr>
      <w:tr w:rsidR="00AD1F54" w:rsidRPr="00264D5D" w14:paraId="6A24E261" w14:textId="77777777" w:rsidTr="00AD1F54">
        <w:trPr>
          <w:cnfStyle w:val="000000010000" w:firstRow="0" w:lastRow="0" w:firstColumn="0" w:lastColumn="0" w:oddVBand="0" w:evenVBand="0" w:oddHBand="0" w:evenHBand="1" w:firstRowFirstColumn="0" w:firstRowLastColumn="0" w:lastRowFirstColumn="0" w:lastRowLastColumn="0"/>
          <w:trHeight w:val="3418"/>
        </w:trPr>
        <w:tc>
          <w:tcPr>
            <w:tcW w:w="1701" w:type="dxa"/>
          </w:tcPr>
          <w:p w14:paraId="58224176" w14:textId="77777777" w:rsidR="00AD1F54" w:rsidRPr="00264D5D" w:rsidRDefault="00941227">
            <w:pPr>
              <w:pStyle w:val="GOSTTablenorm"/>
              <w:rPr>
                <w:szCs w:val="22"/>
              </w:rPr>
            </w:pPr>
            <w:r w:rsidRPr="00264D5D">
              <w:rPr>
                <w:szCs w:val="22"/>
              </w:rPr>
              <w:t>Вид средств</w:t>
            </w:r>
          </w:p>
        </w:tc>
        <w:tc>
          <w:tcPr>
            <w:tcW w:w="1701" w:type="dxa"/>
          </w:tcPr>
          <w:p w14:paraId="35364028" w14:textId="77777777" w:rsidR="00AD1F54" w:rsidRPr="00264D5D" w:rsidRDefault="00941227">
            <w:pPr>
              <w:pStyle w:val="GOSTTablenorm"/>
              <w:rPr>
                <w:szCs w:val="22"/>
              </w:rPr>
            </w:pPr>
            <w:r w:rsidRPr="00264D5D">
              <w:rPr>
                <w:szCs w:val="22"/>
                <w:lang w:val="en-US"/>
              </w:rPr>
              <w:t>value</w:t>
            </w:r>
          </w:p>
        </w:tc>
        <w:tc>
          <w:tcPr>
            <w:tcW w:w="567" w:type="dxa"/>
          </w:tcPr>
          <w:p w14:paraId="7D4814C5" w14:textId="77777777" w:rsidR="00AD1F54" w:rsidRPr="00264D5D" w:rsidRDefault="00941227">
            <w:pPr>
              <w:pStyle w:val="GOSTTablenorm"/>
              <w:jc w:val="center"/>
              <w:rPr>
                <w:szCs w:val="22"/>
              </w:rPr>
            </w:pPr>
            <w:r w:rsidRPr="00264D5D">
              <w:rPr>
                <w:szCs w:val="22"/>
              </w:rPr>
              <w:t>А</w:t>
            </w:r>
          </w:p>
        </w:tc>
        <w:tc>
          <w:tcPr>
            <w:tcW w:w="1134" w:type="dxa"/>
          </w:tcPr>
          <w:p w14:paraId="5151CC64" w14:textId="77777777" w:rsidR="00AD1F54" w:rsidRPr="00264D5D" w:rsidRDefault="00941227">
            <w:pPr>
              <w:pStyle w:val="GOSTTablenorm"/>
              <w:rPr>
                <w:szCs w:val="22"/>
              </w:rPr>
            </w:pPr>
            <w:r w:rsidRPr="00264D5D">
              <w:rPr>
                <w:szCs w:val="22"/>
              </w:rPr>
              <w:t>-</w:t>
            </w:r>
          </w:p>
        </w:tc>
        <w:tc>
          <w:tcPr>
            <w:tcW w:w="567" w:type="dxa"/>
          </w:tcPr>
          <w:p w14:paraId="4A1AF7DD" w14:textId="77777777" w:rsidR="00AD1F54" w:rsidRPr="00264D5D" w:rsidRDefault="00941227">
            <w:pPr>
              <w:pStyle w:val="GOSTTablenorm"/>
              <w:jc w:val="center"/>
              <w:rPr>
                <w:szCs w:val="22"/>
              </w:rPr>
            </w:pPr>
            <w:r w:rsidRPr="00264D5D">
              <w:rPr>
                <w:szCs w:val="22"/>
              </w:rPr>
              <w:t>Н</w:t>
            </w:r>
          </w:p>
        </w:tc>
        <w:tc>
          <w:tcPr>
            <w:tcW w:w="3963" w:type="dxa"/>
          </w:tcPr>
          <w:p w14:paraId="07A3A378" w14:textId="77777777" w:rsidR="00AD1F54" w:rsidRPr="00264D5D" w:rsidRDefault="00941227">
            <w:pPr>
              <w:spacing w:before="60" w:after="60"/>
              <w:rPr>
                <w:sz w:val="22"/>
                <w:szCs w:val="22"/>
              </w:rPr>
            </w:pPr>
            <w:r w:rsidRPr="00264D5D">
              <w:rPr>
                <w:sz w:val="22"/>
                <w:szCs w:val="22"/>
              </w:rPr>
              <w:t>Допустимые значения:</w:t>
            </w:r>
          </w:p>
          <w:p w14:paraId="2BC2DF54" w14:textId="77777777" w:rsidR="00AD1F54" w:rsidRPr="00264D5D" w:rsidRDefault="00941227" w:rsidP="00E7460C">
            <w:pPr>
              <w:pStyle w:val="GOSTTablenorm"/>
              <w:numPr>
                <w:ilvl w:val="0"/>
                <w:numId w:val="80"/>
              </w:numPr>
              <w:ind w:left="284" w:hanging="227"/>
            </w:pPr>
            <w:r w:rsidRPr="00264D5D">
              <w:t>Средства бюджета;</w:t>
            </w:r>
          </w:p>
          <w:p w14:paraId="6DFE5DD9" w14:textId="77777777" w:rsidR="00AD1F54" w:rsidRPr="00264D5D" w:rsidRDefault="00941227" w:rsidP="00E7460C">
            <w:pPr>
              <w:pStyle w:val="GOSTTablenorm"/>
              <w:numPr>
                <w:ilvl w:val="0"/>
                <w:numId w:val="80"/>
              </w:numPr>
              <w:ind w:left="284" w:hanging="227"/>
            </w:pPr>
            <w:r w:rsidRPr="00264D5D">
              <w:t xml:space="preserve"> Доходы от оказания получателями средств бюджета платных услуг;</w:t>
            </w:r>
          </w:p>
          <w:p w14:paraId="526340D9" w14:textId="77777777" w:rsidR="00AD1F54" w:rsidRPr="00264D5D" w:rsidRDefault="00941227" w:rsidP="00E7460C">
            <w:pPr>
              <w:pStyle w:val="GOSTTablenorm"/>
              <w:numPr>
                <w:ilvl w:val="0"/>
                <w:numId w:val="80"/>
              </w:numPr>
              <w:ind w:left="284" w:hanging="227"/>
            </w:pPr>
            <w:r w:rsidRPr="00264D5D">
              <w:t>Средства дополнительного бюджетного финансирования;</w:t>
            </w:r>
          </w:p>
          <w:p w14:paraId="44BB97C7" w14:textId="77777777" w:rsidR="00AD1F54" w:rsidRPr="00264D5D" w:rsidRDefault="00941227" w:rsidP="00E7460C">
            <w:pPr>
              <w:pStyle w:val="GOSTTablenorm"/>
              <w:numPr>
                <w:ilvl w:val="0"/>
                <w:numId w:val="80"/>
              </w:numPr>
              <w:ind w:left="284" w:hanging="227"/>
            </w:pPr>
            <w:r w:rsidRPr="00264D5D">
              <w:t xml:space="preserve"> Средства для финансирования мероприятий по оперативно-розыскной деятельности;</w:t>
            </w:r>
          </w:p>
          <w:p w14:paraId="6BBA8A0D" w14:textId="77777777" w:rsidR="00AD1F54" w:rsidRPr="00264D5D" w:rsidRDefault="00941227" w:rsidP="00E7460C">
            <w:pPr>
              <w:pStyle w:val="GOSTTablenorm"/>
              <w:numPr>
                <w:ilvl w:val="0"/>
                <w:numId w:val="80"/>
              </w:numPr>
              <w:ind w:left="284" w:hanging="227"/>
            </w:pPr>
            <w:r w:rsidRPr="00264D5D">
              <w:t>Средства, поступающие во временное распоряжение;</w:t>
            </w:r>
          </w:p>
          <w:p w14:paraId="6E4F0FFA" w14:textId="77777777" w:rsidR="00AD1F54" w:rsidRPr="00264D5D" w:rsidRDefault="00B06B9A" w:rsidP="00E7460C">
            <w:pPr>
              <w:pStyle w:val="GOSTTablenorm"/>
              <w:numPr>
                <w:ilvl w:val="0"/>
                <w:numId w:val="80"/>
              </w:numPr>
              <w:ind w:left="284" w:hanging="227"/>
            </w:pPr>
            <w:r w:rsidRPr="00264D5D">
              <w:t>Средства юридических лиц</w:t>
            </w:r>
          </w:p>
        </w:tc>
      </w:tr>
    </w:tbl>
    <w:p w14:paraId="240D871F" w14:textId="77777777" w:rsidR="00AD1F54" w:rsidRPr="00264D5D" w:rsidRDefault="00941227">
      <w:pPr>
        <w:pStyle w:val="31"/>
      </w:pPr>
      <w:bookmarkStart w:id="3059" w:name="_Toc143690228"/>
      <w:bookmarkStart w:id="3060" w:name="_Toc219309750"/>
      <w:r w:rsidRPr="00264D5D">
        <w:t>Описание комплексного типа «</w:t>
      </w:r>
      <w:r w:rsidRPr="00264D5D">
        <w:rPr>
          <w:rFonts w:eastAsiaTheme="minorHAnsi"/>
        </w:rPr>
        <w:t>tRKG251_OprContentComplex</w:t>
      </w:r>
      <w:r w:rsidRPr="00264D5D">
        <w:t>»</w:t>
      </w:r>
      <w:bookmarkEnd w:id="3059"/>
      <w:bookmarkEnd w:id="3060"/>
    </w:p>
    <w:p w14:paraId="3605689C" w14:textId="77777777" w:rsidR="00AD1F54" w:rsidRPr="00264D5D" w:rsidRDefault="00941227">
      <w:pPr>
        <w:pStyle w:val="GOSTNormal"/>
      </w:pPr>
      <w:r w:rsidRPr="00264D5D">
        <w:t>Описание комплексного типа «tRKG251_OprContentComplex» блока «Содержание операции».</w:t>
      </w:r>
    </w:p>
    <w:p w14:paraId="088AF2EE" w14:textId="46A798CF" w:rsidR="00AD1F54" w:rsidRPr="00264D5D" w:rsidRDefault="00941227">
      <w:pPr>
        <w:pStyle w:val="GOSTNameTable"/>
        <w:numPr>
          <w:ilvl w:val="0"/>
          <w:numId w:val="2"/>
        </w:numPr>
        <w:spacing w:before="240" w:after="120"/>
      </w:pPr>
      <w:r w:rsidRPr="00264D5D">
        <w:fldChar w:fldCharType="begin"/>
      </w:r>
      <w:r w:rsidRPr="00264D5D">
        <w:instrText>SEQ Таблица \* ARABIC</w:instrText>
      </w:r>
      <w:r w:rsidRPr="00264D5D">
        <w:fldChar w:fldCharType="separate"/>
      </w:r>
      <w:bookmarkStart w:id="3061" w:name="_Ref129338190"/>
      <w:bookmarkStart w:id="3062" w:name="_Toc219309306"/>
      <w:r w:rsidR="008D797C">
        <w:rPr>
          <w:noProof/>
        </w:rPr>
        <w:t>276</w:t>
      </w:r>
      <w:bookmarkEnd w:id="3061"/>
      <w:r w:rsidRPr="00264D5D">
        <w:fldChar w:fldCharType="end"/>
      </w:r>
      <w:r w:rsidRPr="00264D5D">
        <w:t xml:space="preserve"> – Описание комплексного типа «</w:t>
      </w:r>
      <w:r w:rsidRPr="00264D5D">
        <w:rPr>
          <w:rFonts w:eastAsiaTheme="minorHAnsi"/>
        </w:rPr>
        <w:t>tRKG251_OprContentComplex</w:t>
      </w:r>
      <w:r w:rsidRPr="00264D5D">
        <w:t>»</w:t>
      </w:r>
      <w:bookmarkEnd w:id="3062"/>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AD1F54" w:rsidRPr="00264D5D" w14:paraId="521B3D4D" w14:textId="77777777" w:rsidTr="00B06B9A">
        <w:trPr>
          <w:cnfStyle w:val="100000000000" w:firstRow="1" w:lastRow="0" w:firstColumn="0" w:lastColumn="0" w:oddVBand="0" w:evenVBand="0" w:oddHBand="0" w:evenHBand="0" w:firstRowFirstColumn="0" w:firstRowLastColumn="0" w:lastRowFirstColumn="0" w:lastRowLastColumn="0"/>
          <w:tblHeader/>
        </w:trPr>
        <w:tc>
          <w:tcPr>
            <w:tcW w:w="1701" w:type="dxa"/>
          </w:tcPr>
          <w:p w14:paraId="55964829" w14:textId="77777777" w:rsidR="00AD1F54" w:rsidRPr="00264D5D" w:rsidRDefault="00941227">
            <w:pPr>
              <w:pStyle w:val="GOSTTableHead"/>
            </w:pPr>
            <w:r w:rsidRPr="00264D5D">
              <w:t>Наименование элемента</w:t>
            </w:r>
          </w:p>
        </w:tc>
        <w:tc>
          <w:tcPr>
            <w:tcW w:w="1701" w:type="dxa"/>
          </w:tcPr>
          <w:p w14:paraId="015B337A" w14:textId="77777777" w:rsidR="00AD1F54" w:rsidRPr="00264D5D" w:rsidRDefault="00941227">
            <w:pPr>
              <w:pStyle w:val="GOSTTableHead"/>
            </w:pPr>
            <w:r w:rsidRPr="00264D5D">
              <w:t>Сокращенное наименование (код) элемента</w:t>
            </w:r>
          </w:p>
        </w:tc>
        <w:tc>
          <w:tcPr>
            <w:tcW w:w="567" w:type="dxa"/>
          </w:tcPr>
          <w:p w14:paraId="22D275FC" w14:textId="77777777" w:rsidR="00AD1F54" w:rsidRPr="00264D5D" w:rsidRDefault="00941227">
            <w:pPr>
              <w:pStyle w:val="GOSTTableHead"/>
            </w:pPr>
            <w:r w:rsidRPr="00264D5D">
              <w:t>Тип</w:t>
            </w:r>
          </w:p>
        </w:tc>
        <w:tc>
          <w:tcPr>
            <w:tcW w:w="1134" w:type="dxa"/>
          </w:tcPr>
          <w:p w14:paraId="7F0513E5" w14:textId="77777777" w:rsidR="00AD1F54" w:rsidRPr="00264D5D" w:rsidRDefault="00941227">
            <w:pPr>
              <w:pStyle w:val="GOSTTableHead"/>
            </w:pPr>
            <w:r w:rsidRPr="00264D5D">
              <w:t>Формат элемента</w:t>
            </w:r>
          </w:p>
        </w:tc>
        <w:tc>
          <w:tcPr>
            <w:tcW w:w="567" w:type="dxa"/>
          </w:tcPr>
          <w:p w14:paraId="00D92B3F" w14:textId="77777777" w:rsidR="00AD1F54" w:rsidRPr="00264D5D" w:rsidRDefault="00941227">
            <w:pPr>
              <w:pStyle w:val="GOSTTableHead"/>
            </w:pPr>
            <w:r w:rsidRPr="00264D5D">
              <w:t>Обязательность</w:t>
            </w:r>
          </w:p>
        </w:tc>
        <w:tc>
          <w:tcPr>
            <w:tcW w:w="3963" w:type="dxa"/>
          </w:tcPr>
          <w:p w14:paraId="265CD319" w14:textId="77777777" w:rsidR="00AD1F54" w:rsidRPr="00264D5D" w:rsidRDefault="00941227">
            <w:pPr>
              <w:pStyle w:val="GOSTTableHead"/>
            </w:pPr>
            <w:r w:rsidRPr="00264D5D">
              <w:t>Дополнительная информация</w:t>
            </w:r>
          </w:p>
        </w:tc>
      </w:tr>
      <w:tr w:rsidR="00AD1F54" w:rsidRPr="00264D5D" w14:paraId="3FDCD728" w14:textId="77777777" w:rsidTr="00AD1F54">
        <w:tc>
          <w:tcPr>
            <w:tcW w:w="1701" w:type="dxa"/>
          </w:tcPr>
          <w:p w14:paraId="7A0B826E" w14:textId="77777777" w:rsidR="00AD1F54" w:rsidRPr="00264D5D" w:rsidRDefault="00941227">
            <w:pPr>
              <w:pStyle w:val="GOSTTablenorm"/>
            </w:pPr>
            <w:r w:rsidRPr="00264D5D">
              <w:t>Код вида операции</w:t>
            </w:r>
          </w:p>
        </w:tc>
        <w:tc>
          <w:tcPr>
            <w:tcW w:w="1701" w:type="dxa"/>
          </w:tcPr>
          <w:p w14:paraId="2697BB2F" w14:textId="77777777" w:rsidR="00AD1F54" w:rsidRPr="00264D5D" w:rsidRDefault="00941227">
            <w:pPr>
              <w:pStyle w:val="GOSTTablenorm"/>
            </w:pPr>
            <w:r w:rsidRPr="00264D5D">
              <w:t>code</w:t>
            </w:r>
          </w:p>
        </w:tc>
        <w:tc>
          <w:tcPr>
            <w:tcW w:w="567" w:type="dxa"/>
          </w:tcPr>
          <w:p w14:paraId="25F4D26B" w14:textId="77777777" w:rsidR="00AD1F54" w:rsidRPr="00264D5D" w:rsidRDefault="00941227">
            <w:pPr>
              <w:pStyle w:val="GOSTTablenorm"/>
              <w:jc w:val="center"/>
            </w:pPr>
            <w:r w:rsidRPr="00264D5D">
              <w:t>А</w:t>
            </w:r>
          </w:p>
        </w:tc>
        <w:tc>
          <w:tcPr>
            <w:tcW w:w="1134" w:type="dxa"/>
          </w:tcPr>
          <w:p w14:paraId="3C390C44" w14:textId="77777777" w:rsidR="00AD1F54" w:rsidRPr="00264D5D" w:rsidRDefault="00941227">
            <w:pPr>
              <w:pStyle w:val="GOSTTablenorm"/>
            </w:pPr>
            <w:r w:rsidRPr="00264D5D">
              <w:t>-</w:t>
            </w:r>
          </w:p>
        </w:tc>
        <w:tc>
          <w:tcPr>
            <w:tcW w:w="567" w:type="dxa"/>
          </w:tcPr>
          <w:p w14:paraId="73986BC9" w14:textId="77777777" w:rsidR="00AD1F54" w:rsidRPr="00264D5D" w:rsidRDefault="00941227">
            <w:pPr>
              <w:pStyle w:val="GOSTTablenorm"/>
              <w:jc w:val="center"/>
            </w:pPr>
            <w:r w:rsidRPr="00264D5D">
              <w:t>О</w:t>
            </w:r>
          </w:p>
        </w:tc>
        <w:tc>
          <w:tcPr>
            <w:tcW w:w="3963" w:type="dxa"/>
          </w:tcPr>
          <w:p w14:paraId="396BEB1E" w14:textId="77777777" w:rsidR="00AD1F54" w:rsidRPr="00264D5D" w:rsidRDefault="00941227">
            <w:pPr>
              <w:pStyle w:val="GOSTTablenorm"/>
            </w:pPr>
            <w:r w:rsidRPr="00264D5D">
              <w:t>Допустимые значения:</w:t>
            </w:r>
          </w:p>
          <w:p w14:paraId="7C27A35B" w14:textId="77777777" w:rsidR="00AD1F54" w:rsidRPr="00264D5D" w:rsidRDefault="00B06B9A" w:rsidP="00E7460C">
            <w:pPr>
              <w:pStyle w:val="GOSTTablenorm"/>
              <w:numPr>
                <w:ilvl w:val="0"/>
                <w:numId w:val="122"/>
              </w:numPr>
              <w:spacing w:before="0" w:after="0"/>
              <w:ind w:left="284" w:hanging="227"/>
            </w:pPr>
            <w:r w:rsidRPr="00264D5D">
              <w:t xml:space="preserve">1 – </w:t>
            </w:r>
            <w:r w:rsidR="00941227" w:rsidRPr="00264D5D">
              <w:t>внесение нал</w:t>
            </w:r>
            <w:r w:rsidRPr="00264D5D">
              <w:t>ичных денежных средств</w:t>
            </w:r>
            <w:r w:rsidR="00941227" w:rsidRPr="00264D5D">
              <w:t>;</w:t>
            </w:r>
          </w:p>
          <w:p w14:paraId="17B2C283" w14:textId="77777777" w:rsidR="00AD1F54" w:rsidRPr="00264D5D" w:rsidRDefault="00B06B9A" w:rsidP="00E7460C">
            <w:pPr>
              <w:pStyle w:val="GOSTTablenorm"/>
              <w:numPr>
                <w:ilvl w:val="0"/>
                <w:numId w:val="122"/>
              </w:numPr>
              <w:spacing w:before="0" w:after="0"/>
              <w:ind w:left="284" w:hanging="227"/>
            </w:pPr>
            <w:r w:rsidRPr="00264D5D">
              <w:lastRenderedPageBreak/>
              <w:t xml:space="preserve">2 – </w:t>
            </w:r>
            <w:r w:rsidR="00941227" w:rsidRPr="00264D5D">
              <w:t>внесение неи</w:t>
            </w:r>
            <w:r w:rsidRPr="00264D5D">
              <w:t>спользованных денежных средств</w:t>
            </w:r>
          </w:p>
        </w:tc>
      </w:tr>
      <w:tr w:rsidR="00AD1F54" w:rsidRPr="00264D5D" w14:paraId="1AB7A2B1" w14:textId="77777777" w:rsidTr="00AD1F54">
        <w:trPr>
          <w:trHeight w:val="537"/>
        </w:trPr>
        <w:tc>
          <w:tcPr>
            <w:tcW w:w="1701" w:type="dxa"/>
          </w:tcPr>
          <w:p w14:paraId="163702E2" w14:textId="77777777" w:rsidR="00AD1F54" w:rsidRPr="00264D5D" w:rsidRDefault="00941227">
            <w:pPr>
              <w:pStyle w:val="GOSTTablenorm"/>
            </w:pPr>
            <w:r w:rsidRPr="00264D5D">
              <w:lastRenderedPageBreak/>
              <w:t>Тип вида операции</w:t>
            </w:r>
          </w:p>
        </w:tc>
        <w:tc>
          <w:tcPr>
            <w:tcW w:w="1701" w:type="dxa"/>
          </w:tcPr>
          <w:p w14:paraId="57765A69" w14:textId="77777777" w:rsidR="00AD1F54" w:rsidRPr="00264D5D" w:rsidRDefault="00941227">
            <w:pPr>
              <w:pStyle w:val="GOSTTablenorm"/>
            </w:pPr>
            <w:r w:rsidRPr="00264D5D">
              <w:t>value</w:t>
            </w:r>
          </w:p>
        </w:tc>
        <w:tc>
          <w:tcPr>
            <w:tcW w:w="567" w:type="dxa"/>
          </w:tcPr>
          <w:p w14:paraId="727764D4" w14:textId="77777777" w:rsidR="00AD1F54" w:rsidRPr="00264D5D" w:rsidRDefault="00941227">
            <w:pPr>
              <w:pStyle w:val="GOSTTablenorm"/>
              <w:jc w:val="center"/>
            </w:pPr>
            <w:r w:rsidRPr="00264D5D">
              <w:t>А</w:t>
            </w:r>
          </w:p>
        </w:tc>
        <w:tc>
          <w:tcPr>
            <w:tcW w:w="1134" w:type="dxa"/>
          </w:tcPr>
          <w:p w14:paraId="69640E6D" w14:textId="77777777" w:rsidR="00AD1F54" w:rsidRPr="00264D5D" w:rsidRDefault="00941227">
            <w:pPr>
              <w:pStyle w:val="GOSTTablenorm"/>
            </w:pPr>
            <w:r w:rsidRPr="00264D5D">
              <w:t>-</w:t>
            </w:r>
          </w:p>
        </w:tc>
        <w:tc>
          <w:tcPr>
            <w:tcW w:w="567" w:type="dxa"/>
          </w:tcPr>
          <w:p w14:paraId="3E8A5DB7" w14:textId="77777777" w:rsidR="00AD1F54" w:rsidRPr="00264D5D" w:rsidRDefault="00941227">
            <w:pPr>
              <w:pStyle w:val="GOSTTablenorm"/>
              <w:jc w:val="center"/>
            </w:pPr>
            <w:r w:rsidRPr="00264D5D">
              <w:t>Н</w:t>
            </w:r>
          </w:p>
        </w:tc>
        <w:tc>
          <w:tcPr>
            <w:tcW w:w="3963" w:type="dxa"/>
          </w:tcPr>
          <w:p w14:paraId="5D3A0175" w14:textId="77777777" w:rsidR="00AD1F54" w:rsidRPr="00264D5D" w:rsidRDefault="00941227">
            <w:pPr>
              <w:pStyle w:val="GOSTTablenorm"/>
            </w:pPr>
            <w:r w:rsidRPr="00264D5D">
              <w:t>Допустимые значения:</w:t>
            </w:r>
          </w:p>
          <w:p w14:paraId="1556C664" w14:textId="77777777" w:rsidR="00AD1F54" w:rsidRPr="00264D5D" w:rsidRDefault="00941227" w:rsidP="00E7460C">
            <w:pPr>
              <w:pStyle w:val="GOSTTablenorm"/>
              <w:numPr>
                <w:ilvl w:val="0"/>
                <w:numId w:val="122"/>
              </w:numPr>
              <w:spacing w:before="0" w:after="0"/>
              <w:ind w:left="284" w:hanging="227"/>
            </w:pPr>
            <w:r w:rsidRPr="00264D5D">
              <w:t>вне</w:t>
            </w:r>
            <w:r w:rsidR="00B06B9A" w:rsidRPr="00264D5D">
              <w:t>сение наличных денежных средств</w:t>
            </w:r>
            <w:r w:rsidRPr="00264D5D">
              <w:t>;</w:t>
            </w:r>
          </w:p>
          <w:p w14:paraId="3D05987C" w14:textId="77777777" w:rsidR="00AD1F54" w:rsidRPr="00264D5D" w:rsidRDefault="00941227" w:rsidP="00E7460C">
            <w:pPr>
              <w:pStyle w:val="GOSTTablenorm"/>
              <w:numPr>
                <w:ilvl w:val="0"/>
                <w:numId w:val="122"/>
              </w:numPr>
              <w:spacing w:before="0" w:after="0"/>
              <w:ind w:left="284" w:hanging="227"/>
            </w:pPr>
            <w:r w:rsidRPr="00264D5D">
              <w:t>внесение неи</w:t>
            </w:r>
            <w:r w:rsidR="00B06B9A" w:rsidRPr="00264D5D">
              <w:t>спользованных денежных средств</w:t>
            </w:r>
          </w:p>
        </w:tc>
      </w:tr>
    </w:tbl>
    <w:p w14:paraId="11E92B62" w14:textId="77777777" w:rsidR="00AD1F54" w:rsidRPr="00264D5D" w:rsidRDefault="00941227">
      <w:pPr>
        <w:pStyle w:val="31"/>
      </w:pPr>
      <w:bookmarkStart w:id="3063" w:name="_Toc143690229"/>
      <w:bookmarkStart w:id="3064" w:name="_Toc219309751"/>
      <w:r w:rsidRPr="00264D5D">
        <w:t>Описание комплексного типа «tTF»</w:t>
      </w:r>
      <w:bookmarkEnd w:id="3063"/>
      <w:bookmarkEnd w:id="3064"/>
    </w:p>
    <w:p w14:paraId="3932023A" w14:textId="77777777" w:rsidR="00AD1F54" w:rsidRPr="00264D5D" w:rsidRDefault="00941227">
      <w:pPr>
        <w:pStyle w:val="GOSTNormal"/>
      </w:pPr>
      <w:r w:rsidRPr="00264D5D">
        <w:t>Описание комплексного типа «tTF» блока «Системная информация».</w:t>
      </w:r>
    </w:p>
    <w:p w14:paraId="4E8C4AAE" w14:textId="11F907AA"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3065" w:name="_Ref153206454"/>
      <w:bookmarkStart w:id="3066" w:name="_Toc122436350"/>
      <w:bookmarkStart w:id="3067" w:name="_Toc219309307"/>
      <w:r w:rsidR="008D797C">
        <w:rPr>
          <w:noProof/>
        </w:rPr>
        <w:t>277</w:t>
      </w:r>
      <w:bookmarkEnd w:id="3065"/>
      <w:r w:rsidRPr="00264D5D">
        <w:fldChar w:fldCharType="end"/>
      </w:r>
      <w:r w:rsidRPr="00264D5D">
        <w:rPr>
          <w:rFonts w:eastAsia="Calibri"/>
          <w:szCs w:val="24"/>
        </w:rPr>
        <w:t xml:space="preserve"> – </w:t>
      </w:r>
      <w:r w:rsidRPr="00264D5D">
        <w:t>Описание комплексного типа «</w:t>
      </w:r>
      <w:r w:rsidRPr="00264D5D">
        <w:rPr>
          <w:szCs w:val="22"/>
        </w:rPr>
        <w:t>tTF</w:t>
      </w:r>
      <w:r w:rsidRPr="00264D5D">
        <w:t>»</w:t>
      </w:r>
      <w:bookmarkEnd w:id="3066"/>
      <w:bookmarkEnd w:id="3067"/>
    </w:p>
    <w:tbl>
      <w:tblPr>
        <w:tblStyle w:val="GOSTTable"/>
        <w:tblW w:w="5000" w:type="pct"/>
        <w:tblLayout w:type="fixed"/>
        <w:tblLook w:val="04A0" w:firstRow="1" w:lastRow="0" w:firstColumn="1" w:lastColumn="0" w:noHBand="0" w:noVBand="1"/>
      </w:tblPr>
      <w:tblGrid>
        <w:gridCol w:w="1704"/>
        <w:gridCol w:w="1704"/>
        <w:gridCol w:w="568"/>
        <w:gridCol w:w="1136"/>
        <w:gridCol w:w="568"/>
        <w:gridCol w:w="3970"/>
      </w:tblGrid>
      <w:tr w:rsidR="00AD1F54" w:rsidRPr="00264D5D" w14:paraId="7B2E6D55" w14:textId="77777777" w:rsidTr="00AD1F54">
        <w:trPr>
          <w:cnfStyle w:val="100000000000" w:firstRow="1" w:lastRow="0" w:firstColumn="0" w:lastColumn="0" w:oddVBand="0" w:evenVBand="0" w:oddHBand="0" w:evenHBand="0" w:firstRowFirstColumn="0" w:firstRowLastColumn="0" w:lastRowFirstColumn="0" w:lastRowLastColumn="0"/>
        </w:trPr>
        <w:tc>
          <w:tcPr>
            <w:tcW w:w="1701" w:type="dxa"/>
          </w:tcPr>
          <w:p w14:paraId="7719C65B" w14:textId="77777777" w:rsidR="00AD1F54" w:rsidRPr="00264D5D" w:rsidRDefault="00941227">
            <w:pPr>
              <w:pStyle w:val="GOSTTableHead"/>
            </w:pPr>
            <w:r w:rsidRPr="00264D5D">
              <w:t>Наименование элемента</w:t>
            </w:r>
          </w:p>
        </w:tc>
        <w:tc>
          <w:tcPr>
            <w:tcW w:w="1701" w:type="dxa"/>
          </w:tcPr>
          <w:p w14:paraId="32DB8666" w14:textId="77777777" w:rsidR="00AD1F54" w:rsidRPr="00264D5D" w:rsidRDefault="00941227">
            <w:pPr>
              <w:pStyle w:val="GOSTTableHead"/>
            </w:pPr>
            <w:r w:rsidRPr="00264D5D">
              <w:t>Сокращенное наименование (код) элемента</w:t>
            </w:r>
          </w:p>
        </w:tc>
        <w:tc>
          <w:tcPr>
            <w:tcW w:w="567" w:type="dxa"/>
          </w:tcPr>
          <w:p w14:paraId="2ABFBBEA" w14:textId="77777777" w:rsidR="00AD1F54" w:rsidRPr="00264D5D" w:rsidRDefault="00941227">
            <w:pPr>
              <w:pStyle w:val="GOSTTableHead"/>
            </w:pPr>
            <w:r w:rsidRPr="00264D5D">
              <w:t>Тип</w:t>
            </w:r>
          </w:p>
        </w:tc>
        <w:tc>
          <w:tcPr>
            <w:tcW w:w="1134" w:type="dxa"/>
          </w:tcPr>
          <w:p w14:paraId="1898D714" w14:textId="77777777" w:rsidR="00AD1F54" w:rsidRPr="00264D5D" w:rsidRDefault="00941227">
            <w:pPr>
              <w:pStyle w:val="GOSTTableHead"/>
            </w:pPr>
            <w:r w:rsidRPr="00264D5D">
              <w:t>Формат элемента</w:t>
            </w:r>
          </w:p>
        </w:tc>
        <w:tc>
          <w:tcPr>
            <w:tcW w:w="567" w:type="dxa"/>
          </w:tcPr>
          <w:p w14:paraId="3A7FD04A" w14:textId="77777777" w:rsidR="00AD1F54" w:rsidRPr="00264D5D" w:rsidRDefault="00941227">
            <w:pPr>
              <w:pStyle w:val="GOSTTableHead"/>
            </w:pPr>
            <w:r w:rsidRPr="00264D5D">
              <w:t>Обязательность</w:t>
            </w:r>
          </w:p>
        </w:tc>
        <w:tc>
          <w:tcPr>
            <w:tcW w:w="3963" w:type="dxa"/>
          </w:tcPr>
          <w:p w14:paraId="54667F4C" w14:textId="77777777" w:rsidR="00AD1F54" w:rsidRPr="00264D5D" w:rsidRDefault="00941227">
            <w:pPr>
              <w:pStyle w:val="GOSTTableHead"/>
            </w:pPr>
            <w:r w:rsidRPr="00264D5D">
              <w:rPr>
                <w:bCs w:val="0"/>
                <w:szCs w:val="22"/>
              </w:rPr>
              <w:t>Дополнительная информация</w:t>
            </w:r>
          </w:p>
        </w:tc>
      </w:tr>
      <w:tr w:rsidR="00AD1F54" w:rsidRPr="00264D5D" w14:paraId="6856486D"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F255735" w14:textId="77777777" w:rsidR="00AD1F54" w:rsidRPr="00264D5D" w:rsidRDefault="00941227">
            <w:pPr>
              <w:pStyle w:val="GOSTTablenorm"/>
              <w:rPr>
                <w:szCs w:val="22"/>
              </w:rPr>
            </w:pPr>
            <w:r w:rsidRPr="00264D5D">
              <w:rPr>
                <w:szCs w:val="22"/>
              </w:rPr>
              <w:t>Глобальный уникальный идентификатор документа</w:t>
            </w:r>
          </w:p>
        </w:tc>
        <w:tc>
          <w:tcPr>
            <w:tcW w:w="1701" w:type="dxa"/>
          </w:tcPr>
          <w:p w14:paraId="168F5383" w14:textId="77777777" w:rsidR="00AD1F54" w:rsidRPr="00264D5D" w:rsidRDefault="00941227">
            <w:pPr>
              <w:pStyle w:val="GOSTTablenorm"/>
              <w:rPr>
                <w:szCs w:val="22"/>
              </w:rPr>
            </w:pPr>
            <w:r w:rsidRPr="00264D5D">
              <w:rPr>
                <w:szCs w:val="22"/>
              </w:rPr>
              <w:t>GUID</w:t>
            </w:r>
          </w:p>
        </w:tc>
        <w:tc>
          <w:tcPr>
            <w:tcW w:w="567" w:type="dxa"/>
          </w:tcPr>
          <w:p w14:paraId="13839877" w14:textId="77777777" w:rsidR="00AD1F54" w:rsidRPr="00264D5D" w:rsidRDefault="00941227">
            <w:pPr>
              <w:pStyle w:val="GOSTTablenorm"/>
              <w:rPr>
                <w:szCs w:val="22"/>
              </w:rPr>
            </w:pPr>
            <w:r w:rsidRPr="00264D5D">
              <w:rPr>
                <w:szCs w:val="22"/>
              </w:rPr>
              <w:t>П</w:t>
            </w:r>
          </w:p>
        </w:tc>
        <w:tc>
          <w:tcPr>
            <w:tcW w:w="1134" w:type="dxa"/>
          </w:tcPr>
          <w:p w14:paraId="3A7CD8D5" w14:textId="77777777" w:rsidR="00AD1F54" w:rsidRPr="00264D5D" w:rsidRDefault="00941227">
            <w:pPr>
              <w:pStyle w:val="GOSTTablenorm"/>
              <w:rPr>
                <w:szCs w:val="22"/>
              </w:rPr>
            </w:pPr>
            <w:r w:rsidRPr="00264D5D">
              <w:rPr>
                <w:szCs w:val="22"/>
              </w:rPr>
              <w:t>GUID</w:t>
            </w:r>
          </w:p>
        </w:tc>
        <w:tc>
          <w:tcPr>
            <w:tcW w:w="567" w:type="dxa"/>
          </w:tcPr>
          <w:p w14:paraId="629747C8" w14:textId="77777777" w:rsidR="00AD1F54" w:rsidRPr="00264D5D" w:rsidRDefault="00941227">
            <w:pPr>
              <w:pStyle w:val="GOSTTablenorm"/>
              <w:rPr>
                <w:szCs w:val="22"/>
              </w:rPr>
            </w:pPr>
            <w:r w:rsidRPr="00264D5D">
              <w:rPr>
                <w:szCs w:val="22"/>
              </w:rPr>
              <w:t>О</w:t>
            </w:r>
          </w:p>
        </w:tc>
        <w:tc>
          <w:tcPr>
            <w:tcW w:w="3963" w:type="dxa"/>
          </w:tcPr>
          <w:p w14:paraId="60A9ACC7" w14:textId="77777777" w:rsidR="00AD1F54" w:rsidRPr="00264D5D" w:rsidRDefault="00B06B9A">
            <w:pPr>
              <w:pStyle w:val="GOSTTablenorm"/>
              <w:rPr>
                <w:szCs w:val="22"/>
              </w:rPr>
            </w:pPr>
            <w:r w:rsidRPr="00264D5D">
              <w:rPr>
                <w:szCs w:val="22"/>
              </w:rPr>
              <w:t>Служебное поле</w:t>
            </w:r>
          </w:p>
        </w:tc>
      </w:tr>
    </w:tbl>
    <w:p w14:paraId="51255A49" w14:textId="77777777" w:rsidR="00AD1F54" w:rsidRPr="00264D5D" w:rsidRDefault="00941227">
      <w:pPr>
        <w:pStyle w:val="31"/>
      </w:pPr>
      <w:bookmarkStart w:id="3068" w:name="_Toc219309752"/>
      <w:r w:rsidRPr="00264D5D">
        <w:t>Пример XML</w:t>
      </w:r>
      <w:bookmarkEnd w:id="3068"/>
    </w:p>
    <w:p w14:paraId="2105707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&lt;?xml version="1.0" encoding="UTF-8"?&gt;</w:t>
      </w:r>
    </w:p>
    <w:p w14:paraId="68B79BA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&lt;soapenv:Envelope xmlns:soapenv="http://schemas.xmlsoap.org/soap/envelope/" xmlns:wsu="http://docs.oasis-open.org/wss/2004/01/oasis-200401-wss-wssecurity-utility-1.0.xsd" xmlns:wsse="http://docs.oasis-open.org/wss/2004/01/oasis-200401-wss-wssecurity-secext-1.0.xsd"&gt;</w:t>
      </w:r>
    </w:p>
    <w:p w14:paraId="66DB587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&lt;soapenv:Header xmlns:env="http://schemas.xmlsoap.org/soap/envelope/"&gt;&lt;wsse:Security wsu:Id="Id-sec-f9cb3040b7ca31cd7876d625c632e1aed304"&gt;</w:t>
      </w:r>
    </w:p>
    <w:p w14:paraId="07DEB92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 xmlns="http://www.w3.org/2000/09/xmldsig#" Id="Id-sig-b9199ca934cfa91bcff69e807d7b0dbd26f6"&gt;</w:t>
      </w:r>
    </w:p>
    <w:p w14:paraId="0672162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61C8180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&lt;CanonicalizationMethod Algorithm="http://www.w3.org/2001/10/xml-exc-c14n#"/&gt;</w:t>
      </w:r>
    </w:p>
    <w:p w14:paraId="544F94A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&lt;SignatureMethod Algorithm="http://www.w3.org/2001/04/xmldsig-more#gostr34102001-gostr3411"/&gt;</w:t>
      </w:r>
    </w:p>
    <w:p w14:paraId="0C075E2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URI="#Id-wssecdata-29cef34e3106063e64fead91c94aeda97ff4" Id="Id-dataref-ea575c0bb2c994b98298d2c77dcd5a7dbaa1"&gt;</w:t>
      </w:r>
    </w:p>
    <w:p w14:paraId="11B4E06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6312AE0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5EAA589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48159F3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00895B8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&lt;DigestValue&gt;4bqC9/3OSJqEHDz00XLzUf29YFcetigx2jr08qUp7fQ=&lt;/DigestValue&gt;</w:t>
      </w:r>
    </w:p>
    <w:p w14:paraId="3088B7B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07FBA18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Type="http://www.w3.org/TR/2002/REC-xmldsig-core-20020212/xmldsig-core-schema.xsd#X509Data" URI="#Id-keyinfo-11712390bc17243d110193ac033f54873ad8" Id="Id-keyinforef-ac3c6eb29c9af1964819db52ec661b26c339"&gt;</w:t>
      </w:r>
    </w:p>
    <w:p w14:paraId="5B7054B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7F6E565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46F4358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&lt;/Transforms&gt;</w:t>
      </w:r>
    </w:p>
    <w:p w14:paraId="21B7678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140B387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&lt;DigestValue&gt;+0q515JTexjW0go5SdPl7+ydqXUKST91N44lIbXt8Yo=&lt;/DigestValue&gt;</w:t>
      </w:r>
    </w:p>
    <w:p w14:paraId="0D826E0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5FC39D8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URI="#Id-sp-4179cfd1e4ba9c0aaed70450fc3c741c9c08" Id="Id-ref-cb8cc265f168034494eca1c25ec74bf9433c"&gt;</w:t>
      </w:r>
    </w:p>
    <w:p w14:paraId="6E7EB9C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0EA9E58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26D83F8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510A91D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1D8A810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&lt;DigestValue&gt;f10/P/MZ5W1AwvdMPGkqpWfYGkK10xUw6SycuQIgFIc=&lt;/DigestValue&gt;</w:t>
      </w:r>
    </w:p>
    <w:p w14:paraId="65840CA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15E573B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1E94737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&lt;SignatureValue&gt;Xg8mlCU46QdjuUgHR/GFI13DKE7tfRDOphsVyNpFnxC/Sa2XnEuGBKeW7azroY19</w:t>
      </w:r>
    </w:p>
    <w:p w14:paraId="401F7DF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3u7EHXe4dKfnrJ7k7Eq5+A==&lt;/SignatureValue&gt;</w:t>
      </w:r>
    </w:p>
    <w:p w14:paraId="13305AB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41155DE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6BC1041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 xmlns="http://uri.etsi.org/01903/v1.4.1#" Target="Id-sig-b9199ca934cfa91bcff69e807d7b0dbd26f6"&gt;</w:t>
      </w:r>
    </w:p>
    <w:p w14:paraId="66C6F2F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 Id="Id-sp-4179cfd1e4ba9c0aaed70450fc3c741c9c08"&gt;</w:t>
      </w:r>
    </w:p>
    <w:p w14:paraId="7964F83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&lt;SignedSignatureProperties Id="Id-ssp-408cecc6a155b8a0f2850e81d5f57496bb2b"/&gt;</w:t>
      </w:r>
    </w:p>
    <w:p w14:paraId="3193AFE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&lt;/SignedProperties&gt;</w:t>
      </w:r>
    </w:p>
    <w:p w14:paraId="09CEDFF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&lt;/QualifyingProperties&gt;</w:t>
      </w:r>
    </w:p>
    <w:p w14:paraId="607209E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11F2A53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24B998C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CVNlcnZlciBDQTEgMB4GCSqGSIb3DQEJARYRdWNfZmtAcm9za2F6bmEucnUxHDAa</w:t>
      </w:r>
    </w:p>
    <w:p w14:paraId="7F26198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BgNVBAgMEzc3INCzLiDQnNC+0YHQutCy0LAxGjAYBggqhQMDgQMBARIMMDA3NzEw</w:t>
      </w:r>
    </w:p>
    <w:p w14:paraId="73AE1BB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NTY4NzYwMRgwFgYFKoUDZAESDTEwNDc3OTcwMTk4MzAxLDAqBgNVBAkMI9GD0LvQ</w:t>
      </w:r>
    </w:p>
    <w:p w14:paraId="796A4D5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uNGG0LAg0JjQu9GM0LjQvdC60LAsINC00L7QvCA3MRUwEwYDVQQHDAzQnNC+0YHQ</w:t>
      </w:r>
    </w:p>
    <w:p w14:paraId="7E26DBC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utCy0LAxCzAJBgNVBAYTAlJVMTgwNgYDVQQKDC/QpNC10LTQtdGA0LDQu9GM0L3Q</w:t>
      </w:r>
    </w:p>
    <w:p w14:paraId="33CB1A6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vtC1INC60LDQt9C90LDRh9C10LnRgdGC0LLQvjE/MD0GA1UEAww20KPQpiDQpNC1</w:t>
      </w:r>
    </w:p>
    <w:p w14:paraId="11C157B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0LTQtdGA0LDQu9GM0L3QvtCz0L4g0LrQsNC30L3QsNGH0LXQudGB0YLQstCwMB4X</w:t>
      </w:r>
    </w:p>
    <w:p w14:paraId="414E969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DTE2MDQwNzA4MTExMFoXDTE3MDcwNzA4MTExMFowggITMRYwFAYFKoUDZAMSCzEy</w:t>
      </w:r>
    </w:p>
    <w:p w14:paraId="7EF4F96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MzQ1Njc4OTAxMRgwFgYFKoUDZAESDTAxMjM0NTY3ODkxMjMxGjAYBggqhQMDgQMB</w:t>
      </w:r>
    </w:p>
    <w:p w14:paraId="17109B4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ARIMMDAxMjM0NTY3ODkwMSYwJAYJKoZIhvcNAQkBFhduLm5hZ292aXRzeW5AaW5m</w:t>
      </w:r>
    </w:p>
    <w:p w14:paraId="7321580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b3NlYy5ydTELMAkGA1UEBhMCUlUxHDAaBgNVBAgMEzc3INCzLiDQnNC+0YHQutCy</w:t>
      </w:r>
    </w:p>
    <w:p w14:paraId="613B7DC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0LAxFTATBgNVBAcMDNCc0L7RgdC60LLQsDE4MDYGA1UECgwv0KTQtdC00LXRgNCw</w:t>
      </w:r>
    </w:p>
    <w:p w14:paraId="4254345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0LvRjNC90L7QtSDQutCw0LfQvdCw0YfQtdC50YHRgtCy0L4xNDAyBgNVBAsMK9GC</w:t>
      </w:r>
    </w:p>
    <w:p w14:paraId="33690F0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0LXRgdGC0L7QstC+0LUg0L/QvtC00YDQsNC30LTQtdC70LXQvdC40LUxHDAaBgNV</w:t>
      </w:r>
    </w:p>
    <w:p w14:paraId="6071569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BCoME2PQtdGA0YLQuNGE0LjQutCw0YIxGTAXBgNVBAQMENCi0LXRgdGC0L7QstGL</w:t>
      </w:r>
    </w:p>
    <w:p w14:paraId="771354F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0LkxPTA7BgNVBAwMNNCi0LXRgdGC0L7QstGL0Lkg0YHQtdGA0YLQuNGE0LjQutCw</w:t>
      </w:r>
    </w:p>
    <w:p w14:paraId="3BAF627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0YIg0L/QvtC00L/QuNGB0LgxQTA/BgkqhkiG9w0BCQIMMklOTlw9MDEyMzQ1Njc4</w:t>
      </w:r>
    </w:p>
    <w:p w14:paraId="52616E3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OS9LUFBcPTEyMzQ1Njc4OS9PR1JOXD0wMTIzNDU2Nzg5MTIzMS4wLAYDVQQDDCXQ</w:t>
      </w:r>
    </w:p>
    <w:p w14:paraId="7ECEC91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otC10YHRgtC+0LLRi9C5INGB0LXRgNGC0LjRhNC40LrQsNGCMGMwHAYGKoUDAgIT</w:t>
      </w:r>
    </w:p>
    <w:p w14:paraId="5E045FC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MBIGByqFAwICJAAGByqFAwICHgEDQwAEQM/mE38gcSmh2U183WL3aPaP3tJu0vTq</w:t>
      </w:r>
    </w:p>
    <w:p w14:paraId="68DB1D9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CndMDcb72IGcv8nO7QkaqnFwXrkt6zScdQlQgUX78ct0+jNJa7ZIdLGjggRJMIIE</w:t>
      </w:r>
    </w:p>
    <w:p w14:paraId="390B5B4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RTAMBgNVHRMBAf8EAjAAMB0GA1UdIAQWMBQwCAYGKoUDZHEBMAgGBiqFA2RxAjBN</w:t>
      </w:r>
    </w:p>
    <w:p w14:paraId="03B9DE2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BgUqhQNkbwREDELQmtGA0LjQv9GC0L7Qn9GA0L4gQ1NQICjQstC10YDRgdC40Y8g</w:t>
      </w:r>
    </w:p>
    <w:p w14:paraId="0C8C67D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My42KSAo0LjRgdC/0L7Qu9C90LXQvdC40LUgMikwggFhBgUqhQNkcASCAVYwggFS</w:t>
      </w:r>
    </w:p>
    <w:p w14:paraId="01779B1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DEQi0JrRgNC40L/RgtC+0J/RgNC+IENTUCIgKNCy0LXRgNGB0LjRjyAzLjYpICjQ</w:t>
      </w:r>
    </w:p>
    <w:p w14:paraId="6486675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uNGB0L/QvtC70L3QtdC90LjQtSAyKQxoItCf0YDQvtCz0YDQsNC80LzQvdC+LdCw</w:t>
      </w:r>
    </w:p>
    <w:p w14:paraId="13389E6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0L/Qv9Cw0YDQsNGC0L3Ri9C5INC60L7QvNC/0LvQtdC60YEgItCu0L3QuNGB0LXR</w:t>
      </w:r>
    </w:p>
    <w:p w14:paraId="7E2284A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gNGCLdCT0J7QodCiIi4g0JLQtdGA0YHQuNGPIDIuMSIMT9Ch0LXRgNGC0LjRhNC4</w:t>
      </w:r>
    </w:p>
    <w:p w14:paraId="0D47D85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0LrQsNGCINGB0L7QvtGC0LLQtdGC0YHRgtCy0LjRjyDihJYg0KHQpC8xMjQtMjcz</w:t>
      </w:r>
    </w:p>
    <w:p w14:paraId="1842EA7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OCDQvtGCIDAxLjA3LjIwMTUMT9Ch0LXRgNGC0LjRhNC40LrQsNGCINGB0L7QvtGC</w:t>
      </w:r>
    </w:p>
    <w:p w14:paraId="5A29391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0LLQtdGC0YHRgtCy0LjRjyDihJYg0KHQpC8xMjgtMjE3NSDQvtGCIDIwLjA2LjIw</w:t>
      </w:r>
    </w:p>
    <w:p w14:paraId="7A80C04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MTMwDgYDVR0PAQH/BAQDAgTwMBMGA1UdJQQMMAoGCCsGAQUFBwMDMCsGA1UdEAQk</w:t>
      </w:r>
    </w:p>
    <w:p w14:paraId="385CA30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MCKADzIwMTYwNDA3MDgwNDI4WoEPMjAxNzA3MDcwODA0MjhaMIIBjwYDVR0jBIIB</w:t>
      </w:r>
    </w:p>
    <w:p w14:paraId="54E82C5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hjCCAYKAFJ5xDg/atAEoXz/iy49lFZcCR4yroYIBZaSCAWEwggFdMRgwFgYJKoZI</w:t>
      </w:r>
    </w:p>
    <w:p w14:paraId="69F936A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hvcNAQkCEwlTZXJ2ZXIgQ0ExIDAeBgkqhkiG9w0BCQEWEXVjX2ZrQHJvc2them5h</w:t>
      </w:r>
    </w:p>
    <w:p w14:paraId="18B1AD7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LnJ1MRwwGgYDVQQIDBM3NyDQsy4g0JzQvtGB0LrQstCwMRowGAYIKoUDA4EDAQES</w:t>
      </w:r>
    </w:p>
    <w:p w14:paraId="73583BB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DDAwNzcxMDU2ODc2MDEYMBYGBSqFA2QBEg0xMDQ3Nzk3MDE5ODMwMSwwKgYDVQQJ</w:t>
      </w:r>
    </w:p>
    <w:p w14:paraId="1AF7CFF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DCPRg9C70LjRhtCwINCY0LvRjNC40L3QutCwLCDQtNC+0LwgNzEVMBMGA1UEBwwM</w:t>
      </w:r>
    </w:p>
    <w:p w14:paraId="2FF32E7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0JzQvtGB0LrQstCwMQswCQYDVQQGEwJSVTE4MDYGA1UECgwv0KTQtdC00LXRgNCw</w:t>
      </w:r>
    </w:p>
    <w:p w14:paraId="1F4B953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0LvRjNC90L7QtSDQutCw0LfQvdCw0YfQtdC50YHRgtCy0L4xPzA9BgNVBAMMNtCj</w:t>
      </w:r>
    </w:p>
    <w:p w14:paraId="31A7C84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0KYg0KTQtdC00LXRgNCw0LvRjNC90L7Qs9C+INC60LDQt9C90LDRh9C10LnRgdGC</w:t>
      </w:r>
    </w:p>
    <w:p w14:paraId="0CBB243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0LLQsIIBATBeBgNVHR8EVzBVMCmgJ6AlhiNodHRwOi8vY3JsLnJvc2them5hLnJ1</w:t>
      </w:r>
    </w:p>
    <w:p w14:paraId="0268EBF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L2NybC9mazAxLmNybDAooCagJIYiaHR0cDovL2NybC5mc2ZrLmxvY2FsL2NybC9m</w:t>
      </w:r>
    </w:p>
    <w:p w14:paraId="0E31D72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azAxLmNybDAdBgNVHQ4EFgQUt0m7wwTPyJQ+5TDMkq5Z0WnD5vQwCAYGKoUDAgID</w:t>
      </w:r>
    </w:p>
    <w:p w14:paraId="291793E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A0EAReUQeQpqERyFF5XRWG8RnguKCWvPIQOt26PZmVTccxOXVHwZyI0rqdcQ2i4L</w:t>
      </w:r>
    </w:p>
    <w:p w14:paraId="089250F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p87xs4bqOAO1BwhmKL/TsoC4pA==&lt;/wsse:BinarySecurityToken&gt;&lt;/wsse:Security&gt;&lt;/soapenv:Header&gt;</w:t>
      </w:r>
    </w:p>
    <w:p w14:paraId="7038450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&lt;soapenv:Body xmlns:env="http://schemas.xmlsoap.org/soap/envelope/" wsu:Id="Id-wssecdata-29cef34e3106063e64fead91c94aeda97ff4"&gt;</w:t>
      </w:r>
    </w:p>
    <w:p w14:paraId="39BE0E9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&lt;transferDocumentRequest xmlns:typ="http://www.roskazna.ru/eb/services/transferDocumentService/types" xmlns="http://www.roskazna.ru/eb/services/transferDocumentService/types" versionId="1.0"&gt;</w:t>
      </w:r>
    </w:p>
    <w:p w14:paraId="4B419A7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&lt;typ:header&gt;</w:t>
      </w:r>
    </w:p>
    <w:p w14:paraId="2ED0374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&lt;typ:packageId&gt;e8bf66bf-9cf1-47f1-a48b-394d18467fe3&lt;/typ:packageId&gt;</w:t>
      </w:r>
    </w:p>
    <w:p w14:paraId="04E65DE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&lt;typ:senderSystemId&gt;PFHD&lt;/typ:senderSystemId&gt;</w:t>
      </w:r>
    </w:p>
    <w:p w14:paraId="14ADA4C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&lt;typ:targetSystemId&gt;EXP&lt;/typ:targetSystemId&gt;</w:t>
      </w:r>
    </w:p>
    <w:p w14:paraId="6497977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&lt;typ:documentType&gt;MSC_RKG_0531251&lt;/typ:documentType&gt;</w:t>
      </w:r>
    </w:p>
    <w:p w14:paraId="269BD33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&lt;typ:documentGuid&gt;a2e4e9b1-753d-4e55-a382-a46db4ac333a&lt;/typ:documentGuid&gt;</w:t>
      </w:r>
    </w:p>
    <w:p w14:paraId="43034E1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&lt;typ:creationDateTime&gt;2021-01-03T16:46:07.689+04:00&lt;/typ:creationDateTime&gt;</w:t>
      </w:r>
    </w:p>
    <w:p w14:paraId="70D758B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&lt;typ:params&gt;</w:t>
      </w:r>
    </w:p>
    <w:p w14:paraId="107248B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 name="tofkCode" value="3200"/&gt;</w:t>
      </w:r>
    </w:p>
    <w:p w14:paraId="0B5C097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 name="versionId" value="1.0"/&gt;</w:t>
      </w:r>
    </w:p>
    <w:p w14:paraId="64E3FF8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&lt;/typ:params&gt;</w:t>
      </w:r>
    </w:p>
    <w:p w14:paraId="19CEF46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&lt;/typ:header&gt;</w:t>
      </w:r>
    </w:p>
    <w:p w14:paraId="3383C24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&lt;typ:document&gt;</w:t>
      </w:r>
    </w:p>
    <w:p w14:paraId="60C0FEF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&lt;self:MSC_RKG_0531251 metaType="formular" versionID="1.0" Id="Id-xadesdata-eaf97d94646411e9b78d005056834f23" xsi:schemaLocation="http://www.roskazna.ru/eb/domain/MSC_RKG_0531251/formular formulars.xsd" xmlns:self="http://www.roskazna.ru/eb/domain/MSC_RKG_0531251/formular" xmlns:xsi="http://www.w3.org/2001/XMLSchema-instance"&gt;</w:t>
      </w:r>
    </w:p>
    <w:p w14:paraId="670286D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&lt;TtlPrt_DcNmbr xmlns=""&gt;572&lt;/TtlPrt_DcNmbr&gt;</w:t>
      </w:r>
    </w:p>
    <w:p w14:paraId="66FC1E5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&lt;TtlPrt_DcDt xmlns=""&gt;2021-01-03&lt;/TtlPrt_DcDt&gt;</w:t>
      </w:r>
    </w:p>
    <w:p w14:paraId="712555A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&lt;TtlPrt_NmbLS xmlns=""&gt;03211871580&lt;/TtlPrt_NmbLS&gt;</w:t>
      </w:r>
    </w:p>
    <w:p w14:paraId="40531A1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 xml:space="preserve"> &lt;TtlPrt_OprTp xmlns="" code="1" value="Взнос наличных"/&gt;</w:t>
      </w:r>
    </w:p>
    <w:p w14:paraId="4F1DCAE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&lt;TtlPrt_PBS xmlns=""&gt;</w:t>
      </w:r>
    </w:p>
    <w:p w14:paraId="44FD461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&lt;Cd&gt;18170554&lt;/Cd&gt;</w:t>
      </w:r>
    </w:p>
    <w:p w14:paraId="4376180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&lt;Nm&gt;Школа № 434&lt;/Nm&gt;</w:t>
      </w:r>
    </w:p>
    <w:p w14:paraId="248579B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&lt;/TtlPrt_PBS&gt;</w:t>
      </w:r>
    </w:p>
    <w:p w14:paraId="2F9A8CB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&lt;TtlPrt_INN xmlns=""&gt;2128041340&lt;/TtlPrt_INN&gt;</w:t>
      </w:r>
    </w:p>
    <w:p w14:paraId="5715F7C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&lt;TtlPrt_KPP xmlns=""&gt;231001001&lt;/TtlPrt_KPP&gt;</w:t>
      </w:r>
    </w:p>
    <w:p w14:paraId="00CFE50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lang w:val="ru-RU"/>
        </w:rPr>
        <w:t>&lt;</w:t>
      </w:r>
      <w:r w:rsidRPr="00264D5D">
        <w:rPr>
          <w:rFonts w:cs="Courier New"/>
          <w:sz w:val="20"/>
        </w:rPr>
        <w:t>TtlPrt</w:t>
      </w:r>
      <w:r w:rsidRPr="00264D5D">
        <w:rPr>
          <w:rFonts w:cs="Courier New"/>
          <w:sz w:val="20"/>
          <w:lang w:val="ru-RU"/>
        </w:rPr>
        <w:t>_</w:t>
      </w:r>
      <w:r w:rsidRPr="00264D5D">
        <w:rPr>
          <w:rFonts w:cs="Courier New"/>
          <w:sz w:val="20"/>
        </w:rPr>
        <w:t>TOFK</w:t>
      </w:r>
      <w:r w:rsidRPr="00264D5D">
        <w:rPr>
          <w:rFonts w:cs="Courier New"/>
          <w:sz w:val="20"/>
          <w:lang w:val="ru-RU"/>
        </w:rPr>
        <w:t xml:space="preserve"> </w:t>
      </w:r>
      <w:r w:rsidRPr="00264D5D">
        <w:rPr>
          <w:rFonts w:cs="Courier New"/>
          <w:sz w:val="20"/>
        </w:rPr>
        <w:t>xmlns</w:t>
      </w:r>
      <w:r w:rsidRPr="00264D5D">
        <w:rPr>
          <w:rFonts w:cs="Courier New"/>
          <w:sz w:val="20"/>
          <w:lang w:val="ru-RU"/>
        </w:rPr>
        <w:t>=""&gt;</w:t>
      </w:r>
    </w:p>
    <w:p w14:paraId="42917BC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Nm</w:t>
      </w:r>
      <w:r w:rsidRPr="00264D5D">
        <w:rPr>
          <w:rFonts w:cs="Courier New"/>
          <w:sz w:val="20"/>
          <w:lang w:val="ru-RU"/>
        </w:rPr>
        <w:t>&gt;УФК по Краснодарскому краю&lt;/</w:t>
      </w:r>
      <w:r w:rsidRPr="00264D5D">
        <w:rPr>
          <w:rFonts w:cs="Courier New"/>
          <w:sz w:val="20"/>
        </w:rPr>
        <w:t>Nm</w:t>
      </w:r>
      <w:r w:rsidRPr="00264D5D">
        <w:rPr>
          <w:rFonts w:cs="Courier New"/>
          <w:sz w:val="20"/>
          <w:lang w:val="ru-RU"/>
        </w:rPr>
        <w:t>&gt;</w:t>
      </w:r>
    </w:p>
    <w:p w14:paraId="624588E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lastRenderedPageBreak/>
        <w:tab/>
      </w:r>
      <w:r w:rsidRPr="00264D5D">
        <w:rPr>
          <w:rFonts w:cs="Courier New"/>
          <w:sz w:val="20"/>
          <w:lang w:val="ru-RU"/>
        </w:rPr>
        <w:tab/>
        <w:t>&lt;</w:t>
      </w:r>
      <w:r w:rsidRPr="00264D5D">
        <w:rPr>
          <w:rFonts w:cs="Courier New"/>
          <w:sz w:val="20"/>
        </w:rPr>
        <w:t>Cd</w:t>
      </w:r>
      <w:r w:rsidRPr="00264D5D">
        <w:rPr>
          <w:rFonts w:cs="Courier New"/>
          <w:sz w:val="20"/>
          <w:lang w:val="ru-RU"/>
        </w:rPr>
        <w:t>&gt;1800&lt;/</w:t>
      </w:r>
      <w:r w:rsidRPr="00264D5D">
        <w:rPr>
          <w:rFonts w:cs="Courier New"/>
          <w:sz w:val="20"/>
        </w:rPr>
        <w:t>Cd</w:t>
      </w:r>
      <w:r w:rsidRPr="00264D5D">
        <w:rPr>
          <w:rFonts w:cs="Courier New"/>
          <w:sz w:val="20"/>
          <w:lang w:val="ru-RU"/>
        </w:rPr>
        <w:t>&gt;</w:t>
      </w:r>
    </w:p>
    <w:p w14:paraId="20A12F6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TtlPrt</w:t>
      </w:r>
      <w:r w:rsidRPr="00264D5D">
        <w:rPr>
          <w:rFonts w:cs="Courier New"/>
          <w:sz w:val="20"/>
          <w:lang w:val="ru-RU"/>
        </w:rPr>
        <w:t>_</w:t>
      </w:r>
      <w:r w:rsidRPr="00264D5D">
        <w:rPr>
          <w:rFonts w:cs="Courier New"/>
          <w:sz w:val="20"/>
        </w:rPr>
        <w:t>TOFK</w:t>
      </w:r>
      <w:r w:rsidRPr="00264D5D">
        <w:rPr>
          <w:rFonts w:cs="Courier New"/>
          <w:sz w:val="20"/>
          <w:lang w:val="ru-RU"/>
        </w:rPr>
        <w:t>&gt;</w:t>
      </w:r>
    </w:p>
    <w:p w14:paraId="62A3579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TtlPrt</w:t>
      </w:r>
      <w:r w:rsidRPr="00264D5D">
        <w:rPr>
          <w:rFonts w:cs="Courier New"/>
          <w:sz w:val="20"/>
          <w:lang w:val="ru-RU"/>
        </w:rPr>
        <w:t>_</w:t>
      </w:r>
      <w:r w:rsidRPr="00264D5D">
        <w:rPr>
          <w:rFonts w:cs="Courier New"/>
          <w:sz w:val="20"/>
        </w:rPr>
        <w:t>NmCrd</w:t>
      </w:r>
      <w:r w:rsidRPr="00264D5D">
        <w:rPr>
          <w:rFonts w:cs="Courier New"/>
          <w:sz w:val="20"/>
          <w:lang w:val="ru-RU"/>
        </w:rPr>
        <w:t xml:space="preserve"> </w:t>
      </w:r>
      <w:r w:rsidRPr="00264D5D">
        <w:rPr>
          <w:rFonts w:cs="Courier New"/>
          <w:sz w:val="20"/>
        </w:rPr>
        <w:t>xmlns</w:t>
      </w:r>
      <w:r w:rsidRPr="00264D5D">
        <w:rPr>
          <w:rFonts w:cs="Courier New"/>
          <w:sz w:val="20"/>
          <w:lang w:val="ru-RU"/>
        </w:rPr>
        <w:t>=""&gt;7747401001401764&lt;/</w:t>
      </w:r>
      <w:r w:rsidRPr="00264D5D">
        <w:rPr>
          <w:rFonts w:cs="Courier New"/>
          <w:sz w:val="20"/>
        </w:rPr>
        <w:t>TtlPrt</w:t>
      </w:r>
      <w:r w:rsidRPr="00264D5D">
        <w:rPr>
          <w:rFonts w:cs="Courier New"/>
          <w:sz w:val="20"/>
          <w:lang w:val="ru-RU"/>
        </w:rPr>
        <w:t>_</w:t>
      </w:r>
      <w:r w:rsidRPr="00264D5D">
        <w:rPr>
          <w:rFonts w:cs="Courier New"/>
          <w:sz w:val="20"/>
        </w:rPr>
        <w:t>NmCrd</w:t>
      </w:r>
      <w:r w:rsidRPr="00264D5D">
        <w:rPr>
          <w:rFonts w:cs="Courier New"/>
          <w:sz w:val="20"/>
          <w:lang w:val="ru-RU"/>
        </w:rPr>
        <w:t>&gt;</w:t>
      </w:r>
    </w:p>
    <w:p w14:paraId="2F63C39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rPr>
        <w:t>&lt;TtlPrt_Sm xmlns=""&gt;40300.00&lt;/TtlPrt_Sm&gt;</w:t>
      </w:r>
    </w:p>
    <w:p w14:paraId="2152AD1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&lt;RKG_Ttl xmlns=""&gt;40300.00&lt;/RKG_Ttl&gt;</w:t>
      </w:r>
    </w:p>
    <w:p w14:paraId="7BC6A77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&lt;TtlPrt_SECRECY xmlns=""&gt;0&lt;/TtlPrt_SECRECY&gt;</w:t>
      </w:r>
    </w:p>
    <w:p w14:paraId="0F1359D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&lt;Sgn_SgnHr xmlns=""&gt;</w:t>
      </w:r>
    </w:p>
    <w:p w14:paraId="746A969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&lt;Pst&gt;Начальник&lt;/Pst&gt;</w:t>
      </w:r>
    </w:p>
    <w:p w14:paraId="3820515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FIO</w:t>
      </w:r>
      <w:r w:rsidRPr="00264D5D">
        <w:rPr>
          <w:rFonts w:cs="Courier New"/>
          <w:sz w:val="20"/>
          <w:lang w:val="ru-RU"/>
        </w:rPr>
        <w:t>&gt;Власов А.А.&lt;/</w:t>
      </w:r>
      <w:r w:rsidRPr="00264D5D">
        <w:rPr>
          <w:rFonts w:cs="Courier New"/>
          <w:sz w:val="20"/>
        </w:rPr>
        <w:t>FIO</w:t>
      </w:r>
      <w:r w:rsidRPr="00264D5D">
        <w:rPr>
          <w:rFonts w:cs="Courier New"/>
          <w:sz w:val="20"/>
          <w:lang w:val="ru-RU"/>
        </w:rPr>
        <w:t>&gt;</w:t>
      </w:r>
    </w:p>
    <w:p w14:paraId="4ADD1D7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Sgn</w:t>
      </w:r>
      <w:r w:rsidRPr="00264D5D">
        <w:rPr>
          <w:rFonts w:cs="Courier New"/>
          <w:sz w:val="20"/>
          <w:lang w:val="ru-RU"/>
        </w:rPr>
        <w:t>_</w:t>
      </w:r>
      <w:r w:rsidRPr="00264D5D">
        <w:rPr>
          <w:rFonts w:cs="Courier New"/>
          <w:sz w:val="20"/>
        </w:rPr>
        <w:t>SgnHr</w:t>
      </w:r>
      <w:r w:rsidRPr="00264D5D">
        <w:rPr>
          <w:rFonts w:cs="Courier New"/>
          <w:sz w:val="20"/>
          <w:lang w:val="ru-RU"/>
        </w:rPr>
        <w:t>&gt;</w:t>
      </w:r>
    </w:p>
    <w:p w14:paraId="1FC14F0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Sgn</w:t>
      </w:r>
      <w:r w:rsidRPr="00264D5D">
        <w:rPr>
          <w:rFonts w:cs="Courier New"/>
          <w:sz w:val="20"/>
          <w:lang w:val="ru-RU"/>
        </w:rPr>
        <w:t>_</w:t>
      </w:r>
      <w:r w:rsidRPr="00264D5D">
        <w:rPr>
          <w:rFonts w:cs="Courier New"/>
          <w:sz w:val="20"/>
        </w:rPr>
        <w:t>SgnAcc</w:t>
      </w:r>
      <w:r w:rsidRPr="00264D5D">
        <w:rPr>
          <w:rFonts w:cs="Courier New"/>
          <w:sz w:val="20"/>
          <w:lang w:val="ru-RU"/>
        </w:rPr>
        <w:t xml:space="preserve"> </w:t>
      </w:r>
      <w:r w:rsidRPr="00264D5D">
        <w:rPr>
          <w:rFonts w:cs="Courier New"/>
          <w:sz w:val="20"/>
        </w:rPr>
        <w:t>xmlns</w:t>
      </w:r>
      <w:r w:rsidRPr="00264D5D">
        <w:rPr>
          <w:rFonts w:cs="Courier New"/>
          <w:sz w:val="20"/>
          <w:lang w:val="ru-RU"/>
        </w:rPr>
        <w:t>=""&gt;</w:t>
      </w:r>
    </w:p>
    <w:p w14:paraId="56019AB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Pst</w:t>
      </w:r>
      <w:r w:rsidRPr="00264D5D">
        <w:rPr>
          <w:rFonts w:cs="Courier New"/>
          <w:sz w:val="20"/>
          <w:lang w:val="ru-RU"/>
        </w:rPr>
        <w:t>&gt;Бухгалтер&lt;/</w:t>
      </w:r>
      <w:r w:rsidRPr="00264D5D">
        <w:rPr>
          <w:rFonts w:cs="Courier New"/>
          <w:sz w:val="20"/>
        </w:rPr>
        <w:t>Pst</w:t>
      </w:r>
      <w:r w:rsidRPr="00264D5D">
        <w:rPr>
          <w:rFonts w:cs="Courier New"/>
          <w:sz w:val="20"/>
          <w:lang w:val="ru-RU"/>
        </w:rPr>
        <w:t>&gt;</w:t>
      </w:r>
    </w:p>
    <w:p w14:paraId="1699D3F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FIO</w:t>
      </w:r>
      <w:r w:rsidRPr="00264D5D">
        <w:rPr>
          <w:rFonts w:cs="Courier New"/>
          <w:sz w:val="20"/>
          <w:lang w:val="ru-RU"/>
        </w:rPr>
        <w:t>&gt;Петрова П.П.&lt;/</w:t>
      </w:r>
      <w:r w:rsidRPr="00264D5D">
        <w:rPr>
          <w:rFonts w:cs="Courier New"/>
          <w:sz w:val="20"/>
        </w:rPr>
        <w:t>FIO</w:t>
      </w:r>
      <w:r w:rsidRPr="00264D5D">
        <w:rPr>
          <w:rFonts w:cs="Courier New"/>
          <w:sz w:val="20"/>
          <w:lang w:val="ru-RU"/>
        </w:rPr>
        <w:t>&gt;</w:t>
      </w:r>
    </w:p>
    <w:p w14:paraId="2664C6D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Sgn</w:t>
      </w:r>
      <w:r w:rsidRPr="00264D5D">
        <w:rPr>
          <w:rFonts w:cs="Courier New"/>
          <w:sz w:val="20"/>
          <w:lang w:val="ru-RU"/>
        </w:rPr>
        <w:t>_</w:t>
      </w:r>
      <w:r w:rsidRPr="00264D5D">
        <w:rPr>
          <w:rFonts w:cs="Courier New"/>
          <w:sz w:val="20"/>
        </w:rPr>
        <w:t>SgnAcc</w:t>
      </w:r>
      <w:r w:rsidRPr="00264D5D">
        <w:rPr>
          <w:rFonts w:cs="Courier New"/>
          <w:sz w:val="20"/>
          <w:lang w:val="ru-RU"/>
        </w:rPr>
        <w:t>&gt;</w:t>
      </w:r>
    </w:p>
    <w:p w14:paraId="032D6E2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 xml:space="preserve"> &lt;</w:t>
      </w:r>
      <w:r w:rsidRPr="00264D5D">
        <w:rPr>
          <w:rFonts w:cs="Courier New"/>
          <w:sz w:val="20"/>
        </w:rPr>
        <w:t>Sgn</w:t>
      </w:r>
      <w:r w:rsidRPr="00264D5D">
        <w:rPr>
          <w:rFonts w:cs="Courier New"/>
          <w:sz w:val="20"/>
          <w:lang w:val="ru-RU"/>
        </w:rPr>
        <w:t>_</w:t>
      </w:r>
      <w:r w:rsidRPr="00264D5D">
        <w:rPr>
          <w:rFonts w:cs="Courier New"/>
          <w:sz w:val="20"/>
        </w:rPr>
        <w:t>Dt</w:t>
      </w:r>
      <w:r w:rsidRPr="00264D5D">
        <w:rPr>
          <w:rFonts w:cs="Courier New"/>
          <w:sz w:val="20"/>
          <w:lang w:val="ru-RU"/>
        </w:rPr>
        <w:t xml:space="preserve"> </w:t>
      </w:r>
      <w:r w:rsidRPr="00264D5D">
        <w:rPr>
          <w:rFonts w:cs="Courier New"/>
          <w:sz w:val="20"/>
        </w:rPr>
        <w:t>xmlns</w:t>
      </w:r>
      <w:r w:rsidRPr="00264D5D">
        <w:rPr>
          <w:rFonts w:cs="Courier New"/>
          <w:sz w:val="20"/>
          <w:lang w:val="ru-RU"/>
        </w:rPr>
        <w:t>=""&gt;2021-01-03&lt;/</w:t>
      </w:r>
      <w:r w:rsidRPr="00264D5D">
        <w:rPr>
          <w:rFonts w:cs="Courier New"/>
          <w:sz w:val="20"/>
        </w:rPr>
        <w:t>Sgn</w:t>
      </w:r>
      <w:r w:rsidRPr="00264D5D">
        <w:rPr>
          <w:rFonts w:cs="Courier New"/>
          <w:sz w:val="20"/>
          <w:lang w:val="ru-RU"/>
        </w:rPr>
        <w:t>_</w:t>
      </w:r>
      <w:r w:rsidRPr="00264D5D">
        <w:rPr>
          <w:rFonts w:cs="Courier New"/>
          <w:sz w:val="20"/>
        </w:rPr>
        <w:t>Dt</w:t>
      </w:r>
      <w:r w:rsidRPr="00264D5D">
        <w:rPr>
          <w:rFonts w:cs="Courier New"/>
          <w:sz w:val="20"/>
          <w:lang w:val="ru-RU"/>
        </w:rPr>
        <w:t>&gt;</w:t>
      </w:r>
    </w:p>
    <w:p w14:paraId="00E81A5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rPr>
        <w:t>&lt;RKG_RKG251 xmlns=""&gt;</w:t>
      </w:r>
    </w:p>
    <w:p w14:paraId="6347A10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&lt;RKG251_ITEM xmlns=""&gt;</w:t>
      </w:r>
    </w:p>
    <w:p w14:paraId="4DFA3C9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&lt;NmbRw&gt;1&lt;/NmbRw&gt;</w:t>
      </w:r>
    </w:p>
    <w:p w14:paraId="13F367E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&lt;Smbl&gt;aa&lt;/Smbl&gt;</w:t>
      </w:r>
    </w:p>
    <w:p w14:paraId="7BE5530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&lt;FndSrcCd code="1" value="Средства бюджета"/&gt;</w:t>
      </w:r>
    </w:p>
    <w:p w14:paraId="27AFB63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&lt;Sm&gt;10300.00&lt;/Sm&gt;</w:t>
      </w:r>
    </w:p>
    <w:p w14:paraId="1AED76E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&lt;/RKG251_ITEM&gt;</w:t>
      </w:r>
    </w:p>
    <w:p w14:paraId="22F7547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&lt;/RKG_RKG251&gt;</w:t>
      </w:r>
    </w:p>
    <w:p w14:paraId="0570E75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&lt;StmInfrmtn_TF xmlns=""&gt;</w:t>
      </w:r>
    </w:p>
    <w:p w14:paraId="5768140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&lt;GUID&gt;a2e4e9b1-753d-4e55-a382-a46db4ac333a&lt;/GUID&gt;</w:t>
      </w:r>
    </w:p>
    <w:p w14:paraId="4ED624F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&lt;/StmInfrmtn_TF&gt;</w:t>
      </w:r>
    </w:p>
    <w:p w14:paraId="085412D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 xmlns="http://www.w3.org/2000/09/xmldsig#" Id="Id-sig-d373256b5942f08343bc8d034aadd7158f61"&gt;</w:t>
      </w:r>
    </w:p>
    <w:p w14:paraId="1C62603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0511459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&lt;CanonicalizationMethod Algorithm="http://www.w3.org/2001/10/xml-exc-c14n#"/&gt;</w:t>
      </w:r>
    </w:p>
    <w:p w14:paraId="02A698A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&lt;SignatureMethod Algorithm="http://www.w3.org/2001/04/xmldsig-more#gostr34102001-gostr3411"/&gt;</w:t>
      </w:r>
    </w:p>
    <w:p w14:paraId="4C3A20D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URI="Id-xadesdata-eaf97d94646411e9b78d005056834f23" Id="Id-dataref-dfd24e85a456a1a342553e99c27fd5695cff"&gt;</w:t>
      </w:r>
    </w:p>
    <w:p w14:paraId="6D0BD05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7943CB4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Algorithm="http://www.w3.org/2000/09/xmldsig#enveloped-signature"/&gt;</w:t>
      </w:r>
    </w:p>
    <w:p w14:paraId="38DB505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50A708A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3304CF9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&lt;DigestValue&gt;tuuoIThRLrpmXrL14i8lPFRl0pwMCiUsBbH5BypOA0I=&lt;/DigestValue&gt;</w:t>
      </w:r>
    </w:p>
    <w:p w14:paraId="5A9C4ED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39893B1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&lt;Reference Type="http://www.w3.org/TR/2002/REC-xmldsig-core-20020212/xmldsig-core-schema.xsd#X509Data" URI="#Id-keyinfo-3dfe71fe8d5a7f7591dd337029c400ccf286" Id="Id-keyinforef-9674835ee89ca1067673b6fbb04db381a2a6"&gt;</w:t>
      </w:r>
    </w:p>
    <w:p w14:paraId="60ABAE0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35410F6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1BF7A9D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073C9B3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3B1C5B1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&lt;DigestValue&gt;fIKSx5SIme2CRgDvDzflubM+Qqh4IkAWCXPpzXWD/AQ=&lt;/DigestValue&gt;</w:t>
      </w:r>
    </w:p>
    <w:p w14:paraId="49DF325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129BC55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&lt;Reference URI="#Id-sp-c353e147090ff61f2f90dcd64635bcf70055" Id="Id-ref-dbee882997a09b88ec14dafcd7da585e2467"&gt;</w:t>
      </w:r>
    </w:p>
    <w:p w14:paraId="7CEDA2B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4388551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6034607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54668A2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7CCEE5D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&lt;DigestValue&gt;ffi2NrwgQYkFPoTAefkLKH2wMBSNjwN3zzDBV+mhwQg=&lt;/DigestValue&gt;</w:t>
      </w:r>
    </w:p>
    <w:p w14:paraId="2854439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43B2EE6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&lt;/SignedInfo&gt;</w:t>
      </w:r>
    </w:p>
    <w:p w14:paraId="42717FE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&lt;SignatureValue&gt;zolZ5HI+TT6shtnB1YnAZeMq9mcqWLWAZlSR+MuKJXXN2NRZS/zapvyY4rW+I5gM</w:t>
      </w:r>
    </w:p>
    <w:p w14:paraId="17446C2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py5+uThVv9x8n5TApPOJCg==&lt;/SignatureValue&gt;</w:t>
      </w:r>
    </w:p>
    <w:p w14:paraId="36F5E69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&lt;KeyInfo Id="Id-keyinfo-3dfe71fe8d5a7f7591dd337029c400ccf286"&gt;</w:t>
      </w:r>
    </w:p>
    <w:p w14:paraId="129C013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&lt;X509Data&gt;</w:t>
      </w:r>
    </w:p>
    <w:p w14:paraId="05E6F34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&lt;X509Certificate&gt;MIIHbzCCBx6gAwIBAgIUCw+9bFynffs/n08sYLaljBr5oXAwCAYGKoUDAgIDMIIB</w:t>
      </w:r>
    </w:p>
    <w:p w14:paraId="080F6D9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OTEgMB4GCSqGSIb3DQEJARYRdWNfZmtAcm9za2F6bmEucnUxGTAXBgNVBAgMENCz</w:t>
      </w:r>
    </w:p>
    <w:p w14:paraId="52EB22C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LiDQnNC+0YHQutCy0LAxGjAYBggqhQMDgQMBARIMMDA3NzEwNTY4NzYwMRgwFgYF</w:t>
      </w:r>
    </w:p>
    <w:p w14:paraId="21A2E51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KoUDZAESDTEwNDc3OTcwMTk4MzAxLDAqBgNVBAkMI9GD0LvQuNGG0LAg0JjQu9GM</w:t>
      </w:r>
    </w:p>
    <w:p w14:paraId="013C972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0LjQvdC60LAsINC00L7QvCA3MRUwEwYDVQQHDAzQnNC+0YHQutCy0LAxCzAJBgNV</w:t>
      </w:r>
    </w:p>
    <w:p w14:paraId="0C7F723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BAYTAlJVMTgwNgYDVQQKDC/QpNC10LTQtdGA0LDQu9GM0L3QvtC1INC60LDQt9C9</w:t>
      </w:r>
    </w:p>
    <w:p w14:paraId="104C45B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0LDRh9C10LnRgdGC0LLQvjE4MDYGA1UEAwwv0KTQtdC00LXRgNCw0LvRjNC90L7Q</w:t>
      </w:r>
    </w:p>
    <w:p w14:paraId="591AB41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tSDQutCw0LfQvdCw0YfQtdC50YHRgtCy0L4wHhcNMTgwNDA1MTMzNDQ3WhcNMTkw</w:t>
      </w:r>
    </w:p>
    <w:p w14:paraId="707BA03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NzA1MTMzNDQ3WjCCAS0xGjAYBggqhQMDgQMBARIMMDA3NzEwNTY4NzYwMRgwFgYF</w:t>
      </w:r>
    </w:p>
    <w:p w14:paraId="51BD8B6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KoUDZAESDTEwNDc3OTcwMTk4MzAxIzAhBgNVBAkMGtGD0LsuINCY0LvRjNC40L3Q</w:t>
      </w:r>
    </w:p>
    <w:p w14:paraId="6F9A0EB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utCwLCDQtC43MR4wHAYJKoZIhvcNAQkBFg83NzdAcm9za2F6bmEucnUxCzAJBgNV</w:t>
      </w:r>
    </w:p>
    <w:p w14:paraId="0432641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BAYTAlJVMRgwFgYDVQQIDA/Qsy7QnNC+0YHQutCy0LAxFTATBgNVBAcMDNCc0L7R</w:t>
      </w:r>
    </w:p>
    <w:p w14:paraId="1C36541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gdC60LLQsDE4MDYGA1UECgwv0KTQtdC00LXRgNCw0LvRjNC90L7QtSDQutCw0LfQ</w:t>
      </w:r>
    </w:p>
    <w:p w14:paraId="6B43F33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vdCw0YfQtdC50YHRgtCy0L4xODA2BgNVBAMML9Ck0LXQtNC10YDQsNC70YzQvdC+</w:t>
      </w:r>
    </w:p>
    <w:p w14:paraId="28D6FD3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0LUg0LrQsNC30L3QsNGH0LXQudGB0YLQstC+MGMwHAYGKoUDAgITMBIGByqFAwIC</w:t>
      </w:r>
    </w:p>
    <w:p w14:paraId="5ABD1EA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IwEGByqFAwICHgEDQwAEQDmzpZ5HcFrSdwi3/h6QJ/jU0i6sTgtJqrYL/Tr+gxBg</w:t>
      </w:r>
    </w:p>
    <w:p w14:paraId="244D567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Ud3B/sLCyhk3sR3aCrZ0K4YlsFHVmbBhDYe62UsOcnOjggQCMIID/jAMBgNVHRMB</w:t>
      </w:r>
    </w:p>
    <w:p w14:paraId="45FBDC3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Af8EAjAAMB0GA1UdIAQWMBQwCAYGKoUDZHEBMAgGBiqFA2RxAjA2BgUqhQNkbwQt</w:t>
      </w:r>
    </w:p>
    <w:p w14:paraId="6A3D006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DCsi0JrRgNC40L/RgtC+0J/RgNC+IENTUCIgKNCy0LXRgNGB0LjRjyA0LjApMIIB</w:t>
      </w:r>
    </w:p>
    <w:p w14:paraId="41454D0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MQYFKoUDZHAEggEmMIIBIgxEItCa0YDQuNC/0YLQvtCf0YDQviBDU1AiICjQstC1</w:t>
      </w:r>
    </w:p>
    <w:p w14:paraId="1AA7F42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0YDRgdC40Y8gMy42KSAo0LjRgdC/0L7Qu9C90LXQvdC40LUgMikMaCLQn9GA0L7Q</w:t>
      </w:r>
    </w:p>
    <w:p w14:paraId="384F7A3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s9GA0LDQvNC80L3Qvi3QsNC/0L/QsNGA0LDRgtC90YvQuSDQutC+0LzQv9C70LXQ</w:t>
      </w:r>
    </w:p>
    <w:p w14:paraId="5C10E40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utGBICLQrtC90LjRgdC10YDRgi3Qk9Ce0KHQoiIuINCS0LXRgNGB0LjRjyAyLjEi</w:t>
      </w:r>
    </w:p>
    <w:p w14:paraId="0F08BC0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DB/ihJYgMTQ5LzcvNi01Njkg0L7RgiAyMS4xMi4yMDE3DE/QodC10YDRgtC40YTQ</w:t>
      </w:r>
    </w:p>
    <w:p w14:paraId="5D22506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uNC60LDRgiDRgdC+0L7RgtCy0LXRgtGB0YLQstC40Y8g4oSWINCh0KQvMTI4LTI4</w:t>
      </w:r>
    </w:p>
    <w:p w14:paraId="0874576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Nzgg0L7RgiAyMC4wNi4yMDE2MA4GA1UdDwEB/wQEAwID+DAdBgNVHSUEFjAUBggr</w:t>
      </w:r>
    </w:p>
    <w:p w14:paraId="724A53F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BgEFBQcDAgYIKwYBBQUHAwMwKwYDVR0QBCQwIoAPMjAxODA0MDUxMzM0NDVagQ8y</w:t>
      </w:r>
    </w:p>
    <w:p w14:paraId="288468D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MDE5MDcwNTEzMzQ0NVowggGFBgNVHSMEggF8MIIBeIAUFlWRplFYxIksa1Fb0oUZ</w:t>
      </w:r>
    </w:p>
    <w:p w14:paraId="7AB639B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CgFESCKhggFSpIIBTjCCAUoxHjAcBgkqhkiG9w0BCQEWD2RpdEBtaW5zdnlhei5y</w:t>
      </w:r>
    </w:p>
    <w:p w14:paraId="3BD23F1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dTELMAkGA1UEBhMCUlUxHDAaBgNVBAgMEzc3INCzLiDQnNC+0YHQutCy0LAxFTAT</w:t>
      </w:r>
    </w:p>
    <w:p w14:paraId="0BCAFBA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BgNVBAcMDNCc0L7RgdC60LLQsDE/MD0GA1UECQw2MTI1Mzc1INCzLiDQnNC+0YHQ</w:t>
      </w:r>
    </w:p>
    <w:p w14:paraId="0524BBD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utCy0LAsINGD0LsuINCi0LLQtdGA0YHQutCw0Y8sINC0LiA3MSwwKgYDVQQKDCPQ</w:t>
      </w:r>
    </w:p>
    <w:p w14:paraId="6D45F05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nNC40L3QutC+0LzRgdCy0Y/Qt9GMINCg0L7RgdGB0LjQuDEYMBYGBSqFA2QBEg0x</w:t>
      </w:r>
    </w:p>
    <w:p w14:paraId="2F22AC1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MDQ3NzAyMDI2NzAxMRowGAYIKoUDA4EDAQESDDAwNzcxMDQ3NDM3NTFBMD8GA1UE</w:t>
      </w:r>
    </w:p>
    <w:p w14:paraId="603026A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Aww40JPQvtC70L7QstC90L7QuSDRg9C00L7RgdGC0L7QstC10YDRj9GO0YnQuNC5</w:t>
      </w:r>
    </w:p>
    <w:p w14:paraId="32478EA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INGG0LXQvdGC0YCCCjas1FUAAAAAAS8wXgYDVR0fBFcwVTApoCegJYYjaHR0cDov</w:t>
      </w:r>
    </w:p>
    <w:p w14:paraId="7E38D9D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L2NybC5yb3NrYXpuYS5ydS9jcmwvdWNmay5jcmwwKKAmoCSGImh0dHA6Ly9jcmwu</w:t>
      </w:r>
    </w:p>
    <w:p w14:paraId="660ABF6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ZnNmay5sb2NhbC9jcmwvdWNmay5jcmwwHQYDVR0OBBYEFLkvJG7Rfzg6F53wdndv</w:t>
      </w:r>
    </w:p>
    <w:p w14:paraId="455E0DF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NLDQ/i3nMAgGBiqFAwICAwNBAH1LMUVqEV/HRyesHDkB5eBUk6qDOJwnOBHil2Y1</w:t>
      </w:r>
    </w:p>
    <w:p w14:paraId="444A890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qNiUhWK7AqT93ErNsumpe8dDCswJmvps2nbQA7xwIJjzJjk=&lt;/X509Certificate&gt;</w:t>
      </w:r>
    </w:p>
    <w:p w14:paraId="7A76E81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&lt;/X509Data&gt;</w:t>
      </w:r>
    </w:p>
    <w:p w14:paraId="3EB3B14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&lt;/KeyInfo&gt;</w:t>
      </w:r>
    </w:p>
    <w:p w14:paraId="0EA587C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7F55B41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 xmlns="http://uri.etsi.org/01903/v1.4.1#" Target="Id-sig-d373256b5942f08343bc8d034aadd7158f61"&gt;</w:t>
      </w:r>
    </w:p>
    <w:p w14:paraId="15EB441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 Id="Id-sp-c353e147090ff61f2f90dcd64635bcf70055"&gt;</w:t>
      </w:r>
    </w:p>
    <w:p w14:paraId="7DA0809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&lt;SignedSignatureProperties Id="Id-ssp-7fd861712d758e7e3004067202146d020fd2"/&gt;</w:t>
      </w:r>
    </w:p>
    <w:p w14:paraId="1173322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&lt;/SignedProperties&gt;</w:t>
      </w:r>
    </w:p>
    <w:p w14:paraId="0B5896B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&lt;/QualifyingProperties&gt;</w:t>
      </w:r>
    </w:p>
    <w:p w14:paraId="609B481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402A8BF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&lt;/Signature&gt;&lt;/self:MSC_RKG_0531251&gt;</w:t>
      </w:r>
    </w:p>
    <w:p w14:paraId="3B48D0E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&lt;/typ:document&gt;</w:t>
      </w:r>
    </w:p>
    <w:p w14:paraId="738435D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&lt;/transferDocumentRequest&gt;</w:t>
      </w:r>
    </w:p>
    <w:p w14:paraId="321365B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&lt;/soapenv:Body&gt;</w:t>
      </w:r>
    </w:p>
    <w:p w14:paraId="2D31A58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264D5D">
        <w:rPr>
          <w:rFonts w:cs="Courier New"/>
          <w:sz w:val="20"/>
        </w:rPr>
        <w:t>&lt;/soapenv:Envelope&gt;</w:t>
      </w:r>
    </w:p>
    <w:p w14:paraId="64A6E3AF" w14:textId="77777777" w:rsidR="00AD1F54" w:rsidRPr="005056E2" w:rsidRDefault="00941227">
      <w:pPr>
        <w:pStyle w:val="22"/>
        <w:rPr>
          <w:highlight w:val="green"/>
          <w:lang w:val="ru-RU"/>
        </w:rPr>
      </w:pPr>
      <w:bookmarkStart w:id="3069" w:name="_Ref46776992"/>
      <w:bookmarkStart w:id="3070" w:name="_Toc219309753"/>
      <w:r w:rsidRPr="005056E2">
        <w:rPr>
          <w:highlight w:val="green"/>
          <w:lang w:val="ru-RU"/>
        </w:rPr>
        <w:t xml:space="preserve">Описание документа «Заявка на получение наличных денег (ф. 0531802), Заявка для обеспечения наличными денежными средствами </w:t>
      </w:r>
      <w:r w:rsidR="00C97F28" w:rsidRPr="005056E2">
        <w:rPr>
          <w:highlight w:val="green"/>
          <w:lang w:val="ru-RU"/>
        </w:rPr>
        <w:t xml:space="preserve">в </w:t>
      </w:r>
      <w:r w:rsidRPr="005056E2">
        <w:rPr>
          <w:highlight w:val="green"/>
          <w:lang w:val="ru-RU"/>
        </w:rPr>
        <w:t>электронном виде»</w:t>
      </w:r>
      <w:bookmarkEnd w:id="3069"/>
      <w:bookmarkEnd w:id="3070"/>
    </w:p>
    <w:p w14:paraId="717995A6" w14:textId="77777777" w:rsidR="00AD1F54" w:rsidRPr="005056E2" w:rsidRDefault="00941227">
      <w:pPr>
        <w:pStyle w:val="31"/>
        <w:rPr>
          <w:highlight w:val="green"/>
        </w:rPr>
      </w:pPr>
      <w:bookmarkStart w:id="3071" w:name="_Toc219309754"/>
      <w:r w:rsidRPr="005056E2">
        <w:rPr>
          <w:highlight w:val="green"/>
        </w:rPr>
        <w:t>Назначение и маршрут документа</w:t>
      </w:r>
      <w:bookmarkEnd w:id="3071"/>
    </w:p>
    <w:p w14:paraId="606F02C7" w14:textId="77777777" w:rsidR="00AD1F54" w:rsidRPr="00264D5D" w:rsidRDefault="00941227">
      <w:pPr>
        <w:pStyle w:val="ASFKNormal"/>
        <w:spacing w:before="60" w:after="120"/>
        <w:contextualSpacing w:val="0"/>
        <w:jc w:val="both"/>
        <w:rPr>
          <w:rFonts w:eastAsia="Calibri"/>
          <w:sz w:val="24"/>
        </w:rPr>
      </w:pPr>
      <w:r w:rsidRPr="00264D5D">
        <w:rPr>
          <w:rFonts w:eastAsia="Calibri"/>
          <w:sz w:val="24"/>
          <w:szCs w:val="24"/>
        </w:rPr>
        <w:t xml:space="preserve">Документ </w:t>
      </w:r>
      <w:r w:rsidRPr="00264D5D">
        <w:rPr>
          <w:sz w:val="24"/>
          <w:szCs w:val="24"/>
        </w:rPr>
        <w:t xml:space="preserve">«Заявка на получение наличных денег (ф. 0531802), Заявка для обеспечения наличными денежными средствами </w:t>
      </w:r>
      <w:r w:rsidR="00C97F28" w:rsidRPr="00264D5D">
        <w:rPr>
          <w:sz w:val="24"/>
          <w:szCs w:val="24"/>
        </w:rPr>
        <w:t xml:space="preserve">в </w:t>
      </w:r>
      <w:r w:rsidRPr="00264D5D">
        <w:rPr>
          <w:sz w:val="24"/>
          <w:szCs w:val="24"/>
        </w:rPr>
        <w:t>электронном виде»</w:t>
      </w:r>
      <w:r w:rsidRPr="00264D5D">
        <w:rPr>
          <w:rFonts w:eastAsia="Calibri"/>
          <w:sz w:val="24"/>
          <w:szCs w:val="24"/>
        </w:rPr>
        <w:t xml:space="preserve"> предоставляется ПБС, уполномоченными подразделениями, удаленными ПБС</w:t>
      </w:r>
      <w:r w:rsidRPr="00264D5D">
        <w:rPr>
          <w:rFonts w:eastAsia="Calibri"/>
          <w:sz w:val="24"/>
        </w:rPr>
        <w:t>, оформляется отдельно по каждому виду средств, за счет которых должны быть выданы наличные деньги.</w:t>
      </w:r>
    </w:p>
    <w:p w14:paraId="1DCA87B4" w14:textId="77777777" w:rsidR="00AD1F54" w:rsidRPr="00264D5D" w:rsidRDefault="00941227">
      <w:pPr>
        <w:spacing w:before="60" w:after="120"/>
        <w:ind w:firstLine="709"/>
        <w:rPr>
          <w:szCs w:val="24"/>
        </w:rPr>
      </w:pPr>
      <w:r w:rsidRPr="00264D5D">
        <w:rPr>
          <w:szCs w:val="24"/>
        </w:rPr>
        <w:t xml:space="preserve">Документ </w:t>
      </w:r>
      <w:r w:rsidRPr="00264D5D">
        <w:t xml:space="preserve">«Заявка на получение наличных денег (ф. 0531802), Заявка для обеспечения наличными денежными средствами </w:t>
      </w:r>
      <w:r w:rsidR="00C97F28" w:rsidRPr="00264D5D">
        <w:t xml:space="preserve">в </w:t>
      </w:r>
      <w:r w:rsidRPr="00264D5D">
        <w:t>электронном виде»</w:t>
      </w:r>
      <w:r w:rsidRPr="00264D5D">
        <w:rPr>
          <w:szCs w:val="24"/>
        </w:rPr>
        <w:t xml:space="preserve"> предназначен для обеспечения наличными средствами клиентов, включая бюджетные и автономные учреждения, с использованием денежных чеков.</w:t>
      </w:r>
    </w:p>
    <w:p w14:paraId="7DC4BE15" w14:textId="5632C911" w:rsidR="00AD1F54" w:rsidRPr="005056E2" w:rsidRDefault="00A50C14">
      <w:pPr>
        <w:pStyle w:val="GOSTNameTable"/>
        <w:numPr>
          <w:ilvl w:val="0"/>
          <w:numId w:val="2"/>
        </w:numPr>
        <w:ind w:left="425" w:hanging="357"/>
        <w:jc w:val="both"/>
        <w:rPr>
          <w:highlight w:val="green"/>
        </w:rPr>
      </w:pPr>
      <w:r w:rsidRPr="005056E2">
        <w:rPr>
          <w:highlight w:val="green"/>
        </w:rPr>
        <w:fldChar w:fldCharType="begin"/>
      </w:r>
      <w:r w:rsidRPr="005056E2">
        <w:rPr>
          <w:highlight w:val="green"/>
        </w:rPr>
        <w:instrText xml:space="preserve"> SEQ Таблица \* ARABIC </w:instrText>
      </w:r>
      <w:r w:rsidRPr="005056E2">
        <w:rPr>
          <w:highlight w:val="green"/>
        </w:rPr>
        <w:fldChar w:fldCharType="separate"/>
      </w:r>
      <w:bookmarkStart w:id="3072" w:name="_Toc219309308"/>
      <w:r w:rsidR="008D797C">
        <w:rPr>
          <w:noProof/>
          <w:highlight w:val="green"/>
        </w:rPr>
        <w:t>278</w:t>
      </w:r>
      <w:r w:rsidRPr="005056E2">
        <w:rPr>
          <w:noProof/>
          <w:highlight w:val="green"/>
        </w:rPr>
        <w:fldChar w:fldCharType="end"/>
      </w:r>
      <w:r w:rsidR="00941227" w:rsidRPr="005056E2">
        <w:rPr>
          <w:rFonts w:eastAsia="Calibri"/>
          <w:szCs w:val="24"/>
          <w:highlight w:val="green"/>
        </w:rPr>
        <w:t xml:space="preserve"> – </w:t>
      </w:r>
      <w:r w:rsidR="00941227" w:rsidRPr="005056E2">
        <w:rPr>
          <w:highlight w:val="green"/>
        </w:rPr>
        <w:t xml:space="preserve">Маршрут документа «Заявка на получение наличных денег (ф. 0531802), Заявка для обеспечения наличными денежными средствами </w:t>
      </w:r>
      <w:r w:rsidR="00C97F28" w:rsidRPr="005056E2">
        <w:rPr>
          <w:highlight w:val="green"/>
        </w:rPr>
        <w:t xml:space="preserve">в </w:t>
      </w:r>
      <w:r w:rsidR="00941227" w:rsidRPr="005056E2">
        <w:rPr>
          <w:highlight w:val="green"/>
        </w:rPr>
        <w:t>электронном виде»</w:t>
      </w:r>
      <w:bookmarkEnd w:id="3072"/>
    </w:p>
    <w:tbl>
      <w:tblPr>
        <w:tblW w:w="96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2551"/>
        <w:gridCol w:w="4530"/>
      </w:tblGrid>
      <w:tr w:rsidR="00AD1F54" w:rsidRPr="00264D5D" w14:paraId="4317DA54" w14:textId="77777777">
        <w:trPr>
          <w:trHeight w:val="96"/>
          <w:tblHeader/>
        </w:trPr>
        <w:tc>
          <w:tcPr>
            <w:tcW w:w="2551" w:type="dxa"/>
            <w:tcBorders>
              <w:top w:val="single" w:sz="4" w:space="0" w:color="auto"/>
              <w:left w:val="single" w:sz="4" w:space="0" w:color="auto"/>
              <w:bottom w:val="single" w:sz="4" w:space="0" w:color="auto"/>
              <w:right w:val="single" w:sz="4" w:space="0" w:color="auto"/>
            </w:tcBorders>
            <w:shd w:val="clear" w:color="auto" w:fill="E7E6E6" w:themeFill="background2"/>
          </w:tcPr>
          <w:p w14:paraId="7FBD2695" w14:textId="77777777" w:rsidR="00AD1F54" w:rsidRPr="00264D5D" w:rsidRDefault="00941227">
            <w:pPr>
              <w:pStyle w:val="ASFKTableHead"/>
            </w:pPr>
            <w:r w:rsidRPr="00264D5D">
              <w:t>Отправитель</w:t>
            </w:r>
          </w:p>
        </w:tc>
        <w:tc>
          <w:tcPr>
            <w:tcW w:w="2551" w:type="dxa"/>
            <w:tcBorders>
              <w:top w:val="single" w:sz="4" w:space="0" w:color="auto"/>
              <w:left w:val="single" w:sz="4" w:space="0" w:color="auto"/>
              <w:bottom w:val="single" w:sz="4" w:space="0" w:color="auto"/>
              <w:right w:val="single" w:sz="4" w:space="0" w:color="auto"/>
            </w:tcBorders>
            <w:shd w:val="clear" w:color="auto" w:fill="E7E6E6" w:themeFill="background2"/>
          </w:tcPr>
          <w:p w14:paraId="167E252E" w14:textId="77777777" w:rsidR="00AD1F54" w:rsidRPr="00264D5D" w:rsidRDefault="00941227">
            <w:pPr>
              <w:pStyle w:val="ASFKTableHead"/>
            </w:pPr>
            <w:r w:rsidRPr="00264D5D">
              <w:t>Получатель</w:t>
            </w:r>
          </w:p>
        </w:tc>
        <w:tc>
          <w:tcPr>
            <w:tcW w:w="4530" w:type="dxa"/>
            <w:tcBorders>
              <w:top w:val="single" w:sz="4" w:space="0" w:color="auto"/>
              <w:left w:val="single" w:sz="4" w:space="0" w:color="auto"/>
              <w:bottom w:val="single" w:sz="4" w:space="0" w:color="auto"/>
              <w:right w:val="single" w:sz="4" w:space="0" w:color="auto"/>
            </w:tcBorders>
            <w:shd w:val="clear" w:color="auto" w:fill="E7E6E6" w:themeFill="background2"/>
          </w:tcPr>
          <w:p w14:paraId="006523B7" w14:textId="77777777" w:rsidR="00AD1F54" w:rsidRPr="00264D5D" w:rsidRDefault="00941227">
            <w:pPr>
              <w:pStyle w:val="ASFKTableHead"/>
            </w:pPr>
            <w:r w:rsidRPr="00264D5D">
              <w:t>Примечание</w:t>
            </w:r>
          </w:p>
        </w:tc>
      </w:tr>
      <w:tr w:rsidR="00AD1F54" w:rsidRPr="00264D5D" w14:paraId="2E7CA655" w14:textId="77777777">
        <w:tc>
          <w:tcPr>
            <w:tcW w:w="2551" w:type="dxa"/>
            <w:shd w:val="clear" w:color="auto" w:fill="auto"/>
          </w:tcPr>
          <w:p w14:paraId="051FA0DD" w14:textId="77777777" w:rsidR="00AD1F54" w:rsidRPr="00264D5D" w:rsidRDefault="00941227">
            <w:pPr>
              <w:pStyle w:val="GOSTTablenorm"/>
              <w:rPr>
                <w:szCs w:val="22"/>
              </w:rPr>
            </w:pPr>
            <w:r w:rsidRPr="00264D5D">
              <w:rPr>
                <w:szCs w:val="22"/>
              </w:rPr>
              <w:t>ПБС (ПФХД)</w:t>
            </w:r>
          </w:p>
        </w:tc>
        <w:tc>
          <w:tcPr>
            <w:tcW w:w="2551" w:type="dxa"/>
            <w:shd w:val="clear" w:color="auto" w:fill="auto"/>
          </w:tcPr>
          <w:p w14:paraId="296ADFB4" w14:textId="77777777" w:rsidR="00AD1F54" w:rsidRPr="00264D5D" w:rsidRDefault="00941227">
            <w:pPr>
              <w:pStyle w:val="GOSTTablenorm"/>
              <w:rPr>
                <w:szCs w:val="22"/>
              </w:rPr>
            </w:pPr>
            <w:r w:rsidRPr="00264D5D">
              <w:t>ТОФК (ПУР ЭБ)</w:t>
            </w:r>
          </w:p>
        </w:tc>
        <w:tc>
          <w:tcPr>
            <w:tcW w:w="4530" w:type="dxa"/>
            <w:shd w:val="clear" w:color="auto" w:fill="auto"/>
          </w:tcPr>
          <w:p w14:paraId="0414D6AF" w14:textId="77777777" w:rsidR="00AD1F54" w:rsidRPr="00264D5D" w:rsidRDefault="00AD1F54">
            <w:pPr>
              <w:pStyle w:val="ASFKTablenorm"/>
              <w:rPr>
                <w:rFonts w:ascii="Times New Roman" w:hAnsi="Times New Roman"/>
                <w:sz w:val="22"/>
              </w:rPr>
            </w:pPr>
          </w:p>
        </w:tc>
      </w:tr>
      <w:tr w:rsidR="00AD1F54" w:rsidRPr="00264D5D" w14:paraId="3B7EEECE" w14:textId="77777777">
        <w:tc>
          <w:tcPr>
            <w:tcW w:w="2551" w:type="dxa"/>
            <w:shd w:val="clear" w:color="auto" w:fill="auto"/>
          </w:tcPr>
          <w:p w14:paraId="7F05CB8A" w14:textId="77777777" w:rsidR="00AD1F54" w:rsidRPr="00264D5D" w:rsidRDefault="00941227">
            <w:pPr>
              <w:pStyle w:val="GOSTTablenorm"/>
            </w:pPr>
            <w:r w:rsidRPr="00264D5D">
              <w:rPr>
                <w:szCs w:val="22"/>
              </w:rPr>
              <w:t>ТОФК (Компонент КС ПУР ЭБ)</w:t>
            </w:r>
          </w:p>
        </w:tc>
        <w:tc>
          <w:tcPr>
            <w:tcW w:w="2551" w:type="dxa"/>
            <w:shd w:val="clear" w:color="auto" w:fill="auto"/>
          </w:tcPr>
          <w:p w14:paraId="1C5E63F9" w14:textId="77777777" w:rsidR="00AD1F54" w:rsidRPr="00264D5D" w:rsidRDefault="00941227">
            <w:pPr>
              <w:pStyle w:val="GOSTTablenorm"/>
            </w:pPr>
            <w:r w:rsidRPr="00264D5D">
              <w:t>ТОФК (ПУДС ЭБ)</w:t>
            </w:r>
          </w:p>
        </w:tc>
        <w:tc>
          <w:tcPr>
            <w:tcW w:w="4530" w:type="dxa"/>
            <w:shd w:val="clear" w:color="auto" w:fill="auto"/>
          </w:tcPr>
          <w:p w14:paraId="6C2DFE3A" w14:textId="77777777" w:rsidR="00AD1F54" w:rsidRPr="00264D5D" w:rsidRDefault="00AD1F54">
            <w:pPr>
              <w:pStyle w:val="ASFKTablenorm"/>
              <w:rPr>
                <w:rFonts w:ascii="Times New Roman" w:hAnsi="Times New Roman"/>
                <w:sz w:val="22"/>
              </w:rPr>
            </w:pPr>
          </w:p>
        </w:tc>
      </w:tr>
      <w:tr w:rsidR="00AD1F54" w:rsidRPr="00264D5D" w14:paraId="7DD2E8A0" w14:textId="77777777">
        <w:tc>
          <w:tcPr>
            <w:tcW w:w="2551" w:type="dxa"/>
            <w:shd w:val="clear" w:color="auto" w:fill="auto"/>
          </w:tcPr>
          <w:p w14:paraId="0F9C38DE" w14:textId="77777777" w:rsidR="00AD1F54" w:rsidRPr="00264D5D" w:rsidRDefault="00941227">
            <w:pPr>
              <w:pStyle w:val="GOSTTablenorm"/>
              <w:rPr>
                <w:szCs w:val="22"/>
              </w:rPr>
            </w:pPr>
            <w:r w:rsidRPr="00264D5D">
              <w:t>АУ, БУ</w:t>
            </w:r>
          </w:p>
        </w:tc>
        <w:tc>
          <w:tcPr>
            <w:tcW w:w="2551" w:type="dxa"/>
            <w:shd w:val="clear" w:color="auto" w:fill="auto"/>
          </w:tcPr>
          <w:p w14:paraId="773E62EE" w14:textId="77777777" w:rsidR="00AD1F54" w:rsidRPr="00264D5D" w:rsidRDefault="00941227">
            <w:pPr>
              <w:pStyle w:val="GOSTTablenorm"/>
            </w:pPr>
            <w:r w:rsidRPr="00264D5D">
              <w:t>ТОФК (Компонент АУ, БУ ПУР ЭБ)</w:t>
            </w:r>
          </w:p>
        </w:tc>
        <w:tc>
          <w:tcPr>
            <w:tcW w:w="4530" w:type="dxa"/>
            <w:shd w:val="clear" w:color="auto" w:fill="auto"/>
          </w:tcPr>
          <w:p w14:paraId="2F662CD6" w14:textId="77777777" w:rsidR="00AD1F54" w:rsidRPr="00264D5D" w:rsidRDefault="00AD1F54">
            <w:pPr>
              <w:pStyle w:val="ASFKTablenorm"/>
              <w:rPr>
                <w:rFonts w:ascii="Times New Roman" w:hAnsi="Times New Roman"/>
                <w:sz w:val="22"/>
              </w:rPr>
            </w:pPr>
          </w:p>
        </w:tc>
      </w:tr>
      <w:tr w:rsidR="00C97F28" w:rsidRPr="00264D5D" w14:paraId="469C1982" w14:textId="77777777">
        <w:tc>
          <w:tcPr>
            <w:tcW w:w="2551" w:type="dxa"/>
            <w:shd w:val="clear" w:color="auto" w:fill="auto"/>
          </w:tcPr>
          <w:p w14:paraId="1F334EFE" w14:textId="77777777" w:rsidR="00C97F28" w:rsidRPr="00264D5D" w:rsidRDefault="00C97F28" w:rsidP="00C97F28">
            <w:pPr>
              <w:pStyle w:val="GOSTTablenorm"/>
            </w:pPr>
            <w:r w:rsidRPr="00264D5D">
              <w:rPr>
                <w:szCs w:val="22"/>
              </w:rPr>
              <w:t>ТОФК (Компонент КС ПУР ЭБ)</w:t>
            </w:r>
          </w:p>
        </w:tc>
        <w:tc>
          <w:tcPr>
            <w:tcW w:w="2551" w:type="dxa"/>
            <w:shd w:val="clear" w:color="auto" w:fill="auto"/>
          </w:tcPr>
          <w:p w14:paraId="0E6A2C56" w14:textId="77777777" w:rsidR="00C97F28" w:rsidRPr="00264D5D" w:rsidRDefault="00C97F28" w:rsidP="00C97F28">
            <w:pPr>
              <w:pStyle w:val="GOSTTablenorm"/>
            </w:pPr>
            <w:r w:rsidRPr="00264D5D">
              <w:t>ТОФК (ППО АСФК)</w:t>
            </w:r>
          </w:p>
        </w:tc>
        <w:tc>
          <w:tcPr>
            <w:tcW w:w="4530" w:type="dxa"/>
            <w:shd w:val="clear" w:color="auto" w:fill="auto"/>
          </w:tcPr>
          <w:p w14:paraId="1A338C5A" w14:textId="77777777" w:rsidR="00C97F28" w:rsidRPr="00264D5D" w:rsidRDefault="00C97F28" w:rsidP="00C97F28">
            <w:pPr>
              <w:pStyle w:val="GOSTTablenorm"/>
            </w:pPr>
          </w:p>
        </w:tc>
      </w:tr>
      <w:tr w:rsidR="00C97F28" w:rsidRPr="00264D5D" w14:paraId="65F8922B" w14:textId="77777777">
        <w:tc>
          <w:tcPr>
            <w:tcW w:w="2551" w:type="dxa"/>
            <w:shd w:val="clear" w:color="auto" w:fill="auto"/>
          </w:tcPr>
          <w:p w14:paraId="6D8B6EA2" w14:textId="77777777" w:rsidR="00C97F28" w:rsidRPr="00264D5D" w:rsidRDefault="00C97F28" w:rsidP="00C97F28">
            <w:pPr>
              <w:pStyle w:val="GOSTTablenorm"/>
              <w:rPr>
                <w:szCs w:val="22"/>
              </w:rPr>
            </w:pPr>
            <w:r w:rsidRPr="00264D5D">
              <w:rPr>
                <w:szCs w:val="22"/>
              </w:rPr>
              <w:t>НУБП (ПСБ и Росавтодор)</w:t>
            </w:r>
          </w:p>
        </w:tc>
        <w:tc>
          <w:tcPr>
            <w:tcW w:w="2551" w:type="dxa"/>
            <w:shd w:val="clear" w:color="auto" w:fill="auto"/>
          </w:tcPr>
          <w:p w14:paraId="192037F6" w14:textId="77777777" w:rsidR="00C97F28" w:rsidRPr="00264D5D" w:rsidRDefault="00C97F28" w:rsidP="00C97F28">
            <w:pPr>
              <w:pStyle w:val="GOSTTablenorm"/>
            </w:pPr>
            <w:r w:rsidRPr="00264D5D">
              <w:rPr>
                <w:szCs w:val="22"/>
              </w:rPr>
              <w:t>ТОФК</w:t>
            </w:r>
          </w:p>
        </w:tc>
        <w:tc>
          <w:tcPr>
            <w:tcW w:w="4530" w:type="dxa"/>
            <w:shd w:val="clear" w:color="auto" w:fill="auto"/>
          </w:tcPr>
          <w:p w14:paraId="040F9CA1" w14:textId="77777777" w:rsidR="00C97F28" w:rsidRPr="00264D5D" w:rsidRDefault="00C97F28" w:rsidP="00C97F28">
            <w:pPr>
              <w:pStyle w:val="GOSTTablenorm"/>
            </w:pPr>
            <w:r w:rsidRPr="00264D5D">
              <w:t>Применяется для л/с с кодом 41, обслуживающихся в ГИИС ЭБ, только при предоставлении документа «Заявка для обеспечения наличными денежными средствами в электронном виде»</w:t>
            </w:r>
          </w:p>
        </w:tc>
      </w:tr>
      <w:tr w:rsidR="005056E2" w:rsidRPr="00264D5D" w14:paraId="48BD9704" w14:textId="77777777">
        <w:tc>
          <w:tcPr>
            <w:tcW w:w="2551" w:type="dxa"/>
            <w:shd w:val="clear" w:color="auto" w:fill="auto"/>
          </w:tcPr>
          <w:p w14:paraId="0C0C78FB" w14:textId="77777777" w:rsidR="005056E2" w:rsidRPr="00A87E1B" w:rsidRDefault="005056E2" w:rsidP="005056E2">
            <w:pPr>
              <w:pStyle w:val="GOSTTablenorm"/>
              <w:rPr>
                <w:szCs w:val="22"/>
                <w:highlight w:val="green"/>
              </w:rPr>
            </w:pPr>
            <w:r>
              <w:rPr>
                <w:szCs w:val="22"/>
                <w:highlight w:val="green"/>
              </w:rPr>
              <w:t>ПБС</w:t>
            </w:r>
          </w:p>
        </w:tc>
        <w:tc>
          <w:tcPr>
            <w:tcW w:w="2551" w:type="dxa"/>
            <w:shd w:val="clear" w:color="auto" w:fill="auto"/>
          </w:tcPr>
          <w:p w14:paraId="5589E43D" w14:textId="77777777" w:rsidR="005056E2" w:rsidRPr="00A87E1B" w:rsidRDefault="005056E2" w:rsidP="005056E2">
            <w:pPr>
              <w:pStyle w:val="GOSTTablenorm"/>
              <w:rPr>
                <w:szCs w:val="22"/>
                <w:highlight w:val="green"/>
              </w:rPr>
            </w:pPr>
            <w:r w:rsidRPr="00A841C0">
              <w:rPr>
                <w:szCs w:val="22"/>
                <w:highlight w:val="green"/>
              </w:rPr>
              <w:t>ТОФК (ПУР ЭБ)</w:t>
            </w:r>
          </w:p>
        </w:tc>
        <w:tc>
          <w:tcPr>
            <w:tcW w:w="4530" w:type="dxa"/>
            <w:shd w:val="clear" w:color="auto" w:fill="auto"/>
          </w:tcPr>
          <w:p w14:paraId="2605D4B3" w14:textId="77777777" w:rsidR="005056E2" w:rsidRPr="004849BD" w:rsidRDefault="005056E2" w:rsidP="005056E2">
            <w:pPr>
              <w:pStyle w:val="GOSTTablenorm"/>
            </w:pPr>
          </w:p>
        </w:tc>
      </w:tr>
    </w:tbl>
    <w:p w14:paraId="2C5752F0" w14:textId="77777777" w:rsidR="00AD1F54" w:rsidRPr="00264D5D" w:rsidRDefault="00941227">
      <w:pPr>
        <w:pStyle w:val="31"/>
      </w:pPr>
      <w:bookmarkStart w:id="3073" w:name="_Toc219309755"/>
      <w:r w:rsidRPr="00264D5D">
        <w:t>Описание комплексного типа «tMSC_AplCsh»</w:t>
      </w:r>
      <w:bookmarkEnd w:id="3073"/>
    </w:p>
    <w:p w14:paraId="2D159CE7" w14:textId="6C85976E" w:rsidR="00AD1F54" w:rsidRPr="00264D5D" w:rsidRDefault="00183F01">
      <w:pPr>
        <w:pStyle w:val="GOSTNameTable"/>
        <w:numPr>
          <w:ilvl w:val="0"/>
          <w:numId w:val="2"/>
        </w:numPr>
        <w:ind w:left="425" w:hanging="357"/>
      </w:pPr>
      <w:r>
        <w:rPr>
          <w:noProof/>
        </w:rPr>
        <w:fldChar w:fldCharType="begin"/>
      </w:r>
      <w:r>
        <w:rPr>
          <w:noProof/>
        </w:rPr>
        <w:instrText xml:space="preserve"> SEQ Таблица \* ARABIC </w:instrText>
      </w:r>
      <w:r>
        <w:rPr>
          <w:noProof/>
        </w:rPr>
        <w:fldChar w:fldCharType="separate"/>
      </w:r>
      <w:bookmarkStart w:id="3074" w:name="_Toc219309309"/>
      <w:r w:rsidR="008D797C">
        <w:rPr>
          <w:noProof/>
        </w:rPr>
        <w:t>279</w:t>
      </w:r>
      <w:r>
        <w:rPr>
          <w:noProof/>
        </w:rPr>
        <w:fldChar w:fldCharType="end"/>
      </w:r>
      <w:r w:rsidR="00941227" w:rsidRPr="00264D5D">
        <w:rPr>
          <w:rFonts w:eastAsia="Calibri"/>
          <w:szCs w:val="24"/>
        </w:rPr>
        <w:t xml:space="preserve"> – </w:t>
      </w:r>
      <w:r w:rsidR="00941227" w:rsidRPr="00264D5D">
        <w:t>Описание комплексного типа «</w:t>
      </w:r>
      <w:r w:rsidR="00941227" w:rsidRPr="00264D5D">
        <w:rPr>
          <w:lang w:val="en-US"/>
        </w:rPr>
        <w:t>t</w:t>
      </w:r>
      <w:r w:rsidR="00941227" w:rsidRPr="00264D5D">
        <w:t>MSC_AplCsh»</w:t>
      </w:r>
      <w:bookmarkEnd w:id="3074"/>
    </w:p>
    <w:tbl>
      <w:tblPr>
        <w:tblStyle w:val="GOSTTable"/>
        <w:tblW w:w="9634" w:type="dxa"/>
        <w:tblLayout w:type="fixed"/>
        <w:tblLook w:val="01E0" w:firstRow="1" w:lastRow="1" w:firstColumn="1" w:lastColumn="1" w:noHBand="0" w:noVBand="0"/>
      </w:tblPr>
      <w:tblGrid>
        <w:gridCol w:w="1701"/>
        <w:gridCol w:w="1701"/>
        <w:gridCol w:w="567"/>
        <w:gridCol w:w="1134"/>
        <w:gridCol w:w="567"/>
        <w:gridCol w:w="3964"/>
      </w:tblGrid>
      <w:tr w:rsidR="00AD1F54" w:rsidRPr="00264D5D" w14:paraId="2E94F10F"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313109FC" w14:textId="77777777" w:rsidR="00AD1F54" w:rsidRPr="00264D5D" w:rsidRDefault="00941227">
            <w:pPr>
              <w:pStyle w:val="ASFKTableHead"/>
            </w:pPr>
            <w:r w:rsidRPr="00264D5D">
              <w:t>Наименование элемента</w:t>
            </w:r>
          </w:p>
        </w:tc>
        <w:tc>
          <w:tcPr>
            <w:tcW w:w="1701" w:type="dxa"/>
          </w:tcPr>
          <w:p w14:paraId="4158C7A3" w14:textId="77777777" w:rsidR="00AD1F54" w:rsidRPr="00264D5D" w:rsidRDefault="00941227">
            <w:pPr>
              <w:pStyle w:val="ASFKTableHead"/>
            </w:pPr>
            <w:r w:rsidRPr="00264D5D">
              <w:t>Сокращенное наименование (код) элемента</w:t>
            </w:r>
          </w:p>
        </w:tc>
        <w:tc>
          <w:tcPr>
            <w:tcW w:w="567" w:type="dxa"/>
          </w:tcPr>
          <w:p w14:paraId="05EF8FCF" w14:textId="77777777" w:rsidR="00AD1F54" w:rsidRPr="00264D5D" w:rsidRDefault="00941227">
            <w:pPr>
              <w:pStyle w:val="ASFKTableHead"/>
            </w:pPr>
            <w:r w:rsidRPr="00264D5D">
              <w:t>Тип</w:t>
            </w:r>
          </w:p>
        </w:tc>
        <w:tc>
          <w:tcPr>
            <w:tcW w:w="1134" w:type="dxa"/>
          </w:tcPr>
          <w:p w14:paraId="526CB8A3" w14:textId="77777777" w:rsidR="00AD1F54" w:rsidRPr="00264D5D" w:rsidRDefault="00941227">
            <w:pPr>
              <w:pStyle w:val="ASFKTableHead"/>
            </w:pPr>
            <w:r w:rsidRPr="00264D5D">
              <w:t>Формат элемента</w:t>
            </w:r>
          </w:p>
        </w:tc>
        <w:tc>
          <w:tcPr>
            <w:tcW w:w="567" w:type="dxa"/>
          </w:tcPr>
          <w:p w14:paraId="2FF42726" w14:textId="77777777" w:rsidR="00AD1F54" w:rsidRPr="00264D5D" w:rsidRDefault="00941227">
            <w:pPr>
              <w:pStyle w:val="ASFKTableHead"/>
            </w:pPr>
            <w:r w:rsidRPr="00264D5D">
              <w:t>Обязательность</w:t>
            </w:r>
          </w:p>
        </w:tc>
        <w:tc>
          <w:tcPr>
            <w:tcW w:w="3964" w:type="dxa"/>
          </w:tcPr>
          <w:p w14:paraId="448E9FCA" w14:textId="77777777" w:rsidR="00AD1F54" w:rsidRPr="00264D5D" w:rsidRDefault="00941227">
            <w:pPr>
              <w:pStyle w:val="ASFKTableHead"/>
            </w:pPr>
            <w:r w:rsidRPr="00264D5D">
              <w:t>Дополнительная информация</w:t>
            </w:r>
          </w:p>
        </w:tc>
      </w:tr>
      <w:tr w:rsidR="00AD1F54" w:rsidRPr="00264D5D" w14:paraId="3D37DE3E"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2F09CC6" w14:textId="77777777" w:rsidR="00AD1F54" w:rsidRPr="00264D5D" w:rsidRDefault="00941227">
            <w:pPr>
              <w:pStyle w:val="GOSTTablenorm"/>
              <w:widowControl w:val="0"/>
              <w:rPr>
                <w:szCs w:val="22"/>
              </w:rPr>
            </w:pPr>
            <w:r w:rsidRPr="00264D5D">
              <w:rPr>
                <w:szCs w:val="22"/>
              </w:rPr>
              <w:t xml:space="preserve">Номер </w:t>
            </w:r>
            <w:r w:rsidRPr="00264D5D">
              <w:rPr>
                <w:szCs w:val="22"/>
              </w:rPr>
              <w:lastRenderedPageBreak/>
              <w:t>документа</w:t>
            </w:r>
          </w:p>
        </w:tc>
        <w:tc>
          <w:tcPr>
            <w:tcW w:w="1701" w:type="dxa"/>
          </w:tcPr>
          <w:p w14:paraId="03BB26FC" w14:textId="77777777" w:rsidR="00AD1F54" w:rsidRPr="00264D5D" w:rsidRDefault="00941227">
            <w:pPr>
              <w:pStyle w:val="GOSTTablenorm"/>
              <w:widowControl w:val="0"/>
              <w:rPr>
                <w:szCs w:val="22"/>
              </w:rPr>
            </w:pPr>
            <w:r w:rsidRPr="00264D5D">
              <w:rPr>
                <w:szCs w:val="22"/>
              </w:rPr>
              <w:lastRenderedPageBreak/>
              <w:t>ZS_NmDc</w:t>
            </w:r>
          </w:p>
        </w:tc>
        <w:tc>
          <w:tcPr>
            <w:tcW w:w="567" w:type="dxa"/>
          </w:tcPr>
          <w:p w14:paraId="3DD336DD" w14:textId="77777777" w:rsidR="00AD1F54" w:rsidRPr="00264D5D" w:rsidRDefault="00941227">
            <w:pPr>
              <w:pStyle w:val="GOSTTablenorm"/>
              <w:widowControl w:val="0"/>
              <w:jc w:val="center"/>
              <w:rPr>
                <w:szCs w:val="22"/>
              </w:rPr>
            </w:pPr>
            <w:r w:rsidRPr="00264D5D">
              <w:rPr>
                <w:szCs w:val="22"/>
              </w:rPr>
              <w:t>П</w:t>
            </w:r>
          </w:p>
        </w:tc>
        <w:tc>
          <w:tcPr>
            <w:tcW w:w="1134" w:type="dxa"/>
          </w:tcPr>
          <w:p w14:paraId="6AEC814B" w14:textId="77777777" w:rsidR="00AD1F54" w:rsidRPr="00264D5D" w:rsidRDefault="00941227">
            <w:pPr>
              <w:pStyle w:val="GOSTTablenorm"/>
              <w:widowControl w:val="0"/>
              <w:rPr>
                <w:szCs w:val="22"/>
              </w:rPr>
            </w:pPr>
            <w:r w:rsidRPr="00264D5D">
              <w:rPr>
                <w:szCs w:val="22"/>
              </w:rPr>
              <w:t>Т(1-15)</w:t>
            </w:r>
          </w:p>
        </w:tc>
        <w:tc>
          <w:tcPr>
            <w:tcW w:w="567" w:type="dxa"/>
          </w:tcPr>
          <w:p w14:paraId="0E28FF41" w14:textId="77777777" w:rsidR="00AD1F54" w:rsidRPr="00264D5D" w:rsidRDefault="00941227">
            <w:pPr>
              <w:pStyle w:val="GOSTTablenorm"/>
              <w:widowControl w:val="0"/>
              <w:jc w:val="center"/>
              <w:rPr>
                <w:szCs w:val="22"/>
              </w:rPr>
            </w:pPr>
            <w:r w:rsidRPr="00264D5D">
              <w:rPr>
                <w:szCs w:val="22"/>
              </w:rPr>
              <w:t>О</w:t>
            </w:r>
          </w:p>
        </w:tc>
        <w:tc>
          <w:tcPr>
            <w:tcW w:w="3964" w:type="dxa"/>
          </w:tcPr>
          <w:p w14:paraId="55D50E65" w14:textId="77777777" w:rsidR="00AD1F54" w:rsidRPr="00264D5D" w:rsidRDefault="00941227">
            <w:pPr>
              <w:pStyle w:val="GOSTTablenorm"/>
              <w:widowControl w:val="0"/>
              <w:rPr>
                <w:szCs w:val="22"/>
              </w:rPr>
            </w:pPr>
            <w:r w:rsidRPr="00264D5D">
              <w:rPr>
                <w:szCs w:val="22"/>
              </w:rPr>
              <w:t xml:space="preserve">Номер, присвоенный клиентом. </w:t>
            </w:r>
          </w:p>
          <w:p w14:paraId="699611DB" w14:textId="77777777" w:rsidR="00AD1F54" w:rsidRPr="00264D5D" w:rsidRDefault="00941227">
            <w:pPr>
              <w:pStyle w:val="GOSTTablenorm"/>
              <w:widowControl w:val="0"/>
              <w:rPr>
                <w:b/>
                <w:bCs/>
                <w:szCs w:val="22"/>
              </w:rPr>
            </w:pPr>
            <w:r w:rsidRPr="00264D5D">
              <w:rPr>
                <w:szCs w:val="22"/>
              </w:rPr>
              <w:lastRenderedPageBreak/>
              <w:t>Нумерация должна быть уникальна в пределах даты, за которую оформлена Заявка, в разр</w:t>
            </w:r>
            <w:r w:rsidR="00B06B9A" w:rsidRPr="00264D5D">
              <w:rPr>
                <w:szCs w:val="22"/>
              </w:rPr>
              <w:t>езе каждого клиента</w:t>
            </w:r>
          </w:p>
        </w:tc>
      </w:tr>
      <w:tr w:rsidR="00AD1F54" w:rsidRPr="00264D5D" w14:paraId="76B9DB90"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2355C8A4" w14:textId="77777777" w:rsidR="00AD1F54" w:rsidRPr="00264D5D" w:rsidRDefault="00941227">
            <w:pPr>
              <w:pStyle w:val="GOSTTablenorm"/>
              <w:widowControl w:val="0"/>
              <w:rPr>
                <w:szCs w:val="22"/>
              </w:rPr>
            </w:pPr>
            <w:r w:rsidRPr="00264D5D">
              <w:lastRenderedPageBreak/>
              <w:t>Код платежного документа</w:t>
            </w:r>
          </w:p>
        </w:tc>
        <w:tc>
          <w:tcPr>
            <w:tcW w:w="1701" w:type="dxa"/>
          </w:tcPr>
          <w:p w14:paraId="2CFF066F" w14:textId="77777777" w:rsidR="00AD1F54" w:rsidRPr="00264D5D" w:rsidRDefault="00941227">
            <w:pPr>
              <w:pStyle w:val="GOSTTablenorm"/>
              <w:widowControl w:val="0"/>
              <w:rPr>
                <w:szCs w:val="22"/>
              </w:rPr>
            </w:pPr>
            <w:r w:rsidRPr="00264D5D">
              <w:rPr>
                <w:rFonts w:eastAsiaTheme="minorHAnsi"/>
              </w:rPr>
              <w:t>ZS_DocKindCode</w:t>
            </w:r>
          </w:p>
        </w:tc>
        <w:tc>
          <w:tcPr>
            <w:tcW w:w="567" w:type="dxa"/>
          </w:tcPr>
          <w:p w14:paraId="4EA69568" w14:textId="77777777" w:rsidR="00AD1F54" w:rsidRPr="00264D5D" w:rsidRDefault="00941227">
            <w:pPr>
              <w:pStyle w:val="GOSTTablenorm"/>
              <w:widowControl w:val="0"/>
              <w:jc w:val="center"/>
              <w:rPr>
                <w:szCs w:val="22"/>
              </w:rPr>
            </w:pPr>
            <w:r w:rsidRPr="00264D5D">
              <w:t>С</w:t>
            </w:r>
          </w:p>
        </w:tc>
        <w:tc>
          <w:tcPr>
            <w:tcW w:w="1134" w:type="dxa"/>
          </w:tcPr>
          <w:p w14:paraId="67BEA2C0" w14:textId="77777777" w:rsidR="00AD1F54" w:rsidRPr="00264D5D" w:rsidRDefault="00941227">
            <w:pPr>
              <w:pStyle w:val="GOSTTablenorm"/>
              <w:widowControl w:val="0"/>
              <w:rPr>
                <w:szCs w:val="22"/>
              </w:rPr>
            </w:pPr>
            <w:r w:rsidRPr="00264D5D">
              <w:rPr>
                <w:rFonts w:eastAsiaTheme="minorHAnsi"/>
              </w:rPr>
              <w:t>tZS_DocKindCodeComplex</w:t>
            </w:r>
          </w:p>
        </w:tc>
        <w:tc>
          <w:tcPr>
            <w:tcW w:w="567" w:type="dxa"/>
          </w:tcPr>
          <w:p w14:paraId="17769624" w14:textId="77777777" w:rsidR="00AD1F54" w:rsidRPr="00264D5D" w:rsidRDefault="00941227">
            <w:pPr>
              <w:pStyle w:val="GOSTTablenorm"/>
              <w:widowControl w:val="0"/>
              <w:jc w:val="center"/>
              <w:rPr>
                <w:szCs w:val="22"/>
              </w:rPr>
            </w:pPr>
            <w:r w:rsidRPr="00264D5D">
              <w:t>H</w:t>
            </w:r>
          </w:p>
        </w:tc>
        <w:tc>
          <w:tcPr>
            <w:tcW w:w="3964" w:type="dxa"/>
          </w:tcPr>
          <w:p w14:paraId="3B6A9641" w14:textId="5332709C" w:rsidR="00AD1F54" w:rsidRPr="00264D5D" w:rsidRDefault="00941227">
            <w:pPr>
              <w:pStyle w:val="GOSTTablenorm"/>
            </w:pPr>
            <w:r w:rsidRPr="00264D5D">
              <w:t xml:space="preserve">Состав элемента представлен в таблице </w:t>
            </w:r>
            <w:r w:rsidRPr="00264D5D">
              <w:fldChar w:fldCharType="begin"/>
            </w:r>
            <w:r w:rsidRPr="00264D5D">
              <w:instrText xml:space="preserve"> REF _Ref129342785 \h  \* MERGEFORMAT </w:instrText>
            </w:r>
            <w:r w:rsidRPr="00264D5D">
              <w:fldChar w:fldCharType="separate"/>
            </w:r>
            <w:r w:rsidR="008D797C">
              <w:t>280</w:t>
            </w:r>
            <w:r w:rsidRPr="00264D5D">
              <w:fldChar w:fldCharType="end"/>
            </w:r>
            <w:r w:rsidRPr="00264D5D">
              <w:t>.</w:t>
            </w:r>
          </w:p>
          <w:p w14:paraId="031317C7" w14:textId="77777777" w:rsidR="00C97F28" w:rsidRPr="00264D5D" w:rsidRDefault="00941227" w:rsidP="00C97F28">
            <w:pPr>
              <w:pStyle w:val="GOSTTablenorm"/>
            </w:pPr>
            <w:r w:rsidRPr="00264D5D">
              <w:t>Используется при информационном взаимодействии по маршрутам ПБС (ПФХД) – ТОФК (ПУР ЭБ),</w:t>
            </w:r>
            <w:r w:rsidR="00C97F28" w:rsidRPr="00264D5D">
              <w:t xml:space="preserve"> НУБП (ПСБ и Росавтодор) </w:t>
            </w:r>
            <w:r w:rsidR="00C97F28" w:rsidRPr="00264D5D">
              <w:rPr>
                <w:szCs w:val="24"/>
              </w:rPr>
              <w:t>–</w:t>
            </w:r>
            <w:r w:rsidR="00C97F28" w:rsidRPr="00264D5D">
              <w:t xml:space="preserve"> ТОФК.</w:t>
            </w:r>
          </w:p>
          <w:p w14:paraId="0E83F0CF" w14:textId="77777777" w:rsidR="00AD1F54" w:rsidRPr="00264D5D" w:rsidRDefault="00C97F28" w:rsidP="00C97F28">
            <w:pPr>
              <w:pStyle w:val="GOSTTablenorm"/>
              <w:widowControl w:val="0"/>
              <w:rPr>
                <w:szCs w:val="22"/>
              </w:rPr>
            </w:pPr>
            <w:r w:rsidRPr="00264D5D">
              <w:t xml:space="preserve">Поле не заполняется для маршрута </w:t>
            </w:r>
            <w:r w:rsidRPr="00264D5D">
              <w:rPr>
                <w:szCs w:val="22"/>
              </w:rPr>
              <w:t xml:space="preserve">ТОФК (Компонент КС ПУР ЭБ) </w:t>
            </w:r>
            <w:r w:rsidRPr="00264D5D">
              <w:rPr>
                <w:szCs w:val="24"/>
              </w:rPr>
              <w:t>–</w:t>
            </w:r>
            <w:r w:rsidRPr="00264D5D">
              <w:rPr>
                <w:szCs w:val="22"/>
              </w:rPr>
              <w:t xml:space="preserve"> ТОФК (ППО АСФК)</w:t>
            </w:r>
          </w:p>
        </w:tc>
      </w:tr>
      <w:tr w:rsidR="00AD1F54" w:rsidRPr="00264D5D" w14:paraId="69F70B49" w14:textId="77777777" w:rsidTr="00AD1F54">
        <w:trPr>
          <w:cnfStyle w:val="000000100000" w:firstRow="0" w:lastRow="0" w:firstColumn="0" w:lastColumn="0" w:oddVBand="0" w:evenVBand="0" w:oddHBand="1" w:evenHBand="0" w:firstRowFirstColumn="0" w:firstRowLastColumn="0" w:lastRowFirstColumn="0" w:lastRowLastColumn="0"/>
        </w:trPr>
        <w:tc>
          <w:tcPr>
            <w:tcW w:w="9634" w:type="dxa"/>
            <w:gridSpan w:val="6"/>
          </w:tcPr>
          <w:p w14:paraId="53291427" w14:textId="77777777" w:rsidR="00AD1F54" w:rsidRPr="00264D5D" w:rsidRDefault="00941227">
            <w:pPr>
              <w:pStyle w:val="GOSTTablenorm"/>
              <w:widowControl w:val="0"/>
              <w:rPr>
                <w:szCs w:val="22"/>
              </w:rPr>
            </w:pPr>
            <w:r w:rsidRPr="00264D5D">
              <w:rPr>
                <w:b/>
                <w:szCs w:val="22"/>
              </w:rPr>
              <w:t>Информация о клиенте</w:t>
            </w:r>
          </w:p>
        </w:tc>
      </w:tr>
      <w:tr w:rsidR="00AD1F54" w:rsidRPr="00264D5D" w14:paraId="5B327AAB"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4578D7AB" w14:textId="77777777" w:rsidR="00AD1F54" w:rsidRPr="00264D5D" w:rsidRDefault="00941227">
            <w:pPr>
              <w:pStyle w:val="GOSTTablenorm"/>
              <w:widowControl w:val="0"/>
              <w:rPr>
                <w:i/>
                <w:szCs w:val="22"/>
              </w:rPr>
            </w:pPr>
            <w:r w:rsidRPr="00264D5D">
              <w:rPr>
                <w:szCs w:val="22"/>
              </w:rPr>
              <w:t>Наименование бюджета</w:t>
            </w:r>
          </w:p>
        </w:tc>
        <w:tc>
          <w:tcPr>
            <w:tcW w:w="1701" w:type="dxa"/>
          </w:tcPr>
          <w:p w14:paraId="47F6A764" w14:textId="77777777" w:rsidR="00AD1F54" w:rsidRPr="00264D5D" w:rsidRDefault="00941227">
            <w:pPr>
              <w:pStyle w:val="GOSTTablenorm"/>
              <w:widowControl w:val="0"/>
              <w:rPr>
                <w:szCs w:val="22"/>
              </w:rPr>
            </w:pPr>
            <w:r w:rsidRPr="00264D5D">
              <w:rPr>
                <w:szCs w:val="22"/>
              </w:rPr>
              <w:t>ZS_NmBdgt</w:t>
            </w:r>
          </w:p>
        </w:tc>
        <w:tc>
          <w:tcPr>
            <w:tcW w:w="567" w:type="dxa"/>
          </w:tcPr>
          <w:p w14:paraId="5C809339" w14:textId="77777777" w:rsidR="00AD1F54" w:rsidRPr="00264D5D" w:rsidRDefault="00941227">
            <w:pPr>
              <w:pStyle w:val="GOSTTablenorm"/>
              <w:widowControl w:val="0"/>
              <w:jc w:val="center"/>
              <w:rPr>
                <w:szCs w:val="22"/>
              </w:rPr>
            </w:pPr>
            <w:r w:rsidRPr="00264D5D">
              <w:rPr>
                <w:szCs w:val="22"/>
              </w:rPr>
              <w:t>П</w:t>
            </w:r>
          </w:p>
        </w:tc>
        <w:tc>
          <w:tcPr>
            <w:tcW w:w="1134" w:type="dxa"/>
          </w:tcPr>
          <w:p w14:paraId="4B9CE120" w14:textId="77777777" w:rsidR="00AD1F54" w:rsidRPr="00264D5D" w:rsidRDefault="00941227">
            <w:pPr>
              <w:pStyle w:val="GOSTTablenorm"/>
              <w:widowControl w:val="0"/>
              <w:rPr>
                <w:szCs w:val="22"/>
              </w:rPr>
            </w:pPr>
            <w:r w:rsidRPr="00264D5D">
              <w:rPr>
                <w:szCs w:val="22"/>
                <w:lang w:val="en-US"/>
              </w:rPr>
              <w:t>Т(1-</w:t>
            </w:r>
            <w:r w:rsidRPr="00264D5D">
              <w:rPr>
                <w:szCs w:val="22"/>
              </w:rPr>
              <w:t>512</w:t>
            </w:r>
            <w:r w:rsidRPr="00264D5D">
              <w:rPr>
                <w:szCs w:val="22"/>
                <w:lang w:val="en-US"/>
              </w:rPr>
              <w:t>)</w:t>
            </w:r>
          </w:p>
        </w:tc>
        <w:tc>
          <w:tcPr>
            <w:tcW w:w="567" w:type="dxa"/>
          </w:tcPr>
          <w:p w14:paraId="5C756649" w14:textId="77777777" w:rsidR="00AD1F54" w:rsidRPr="00264D5D" w:rsidRDefault="00941227">
            <w:pPr>
              <w:pStyle w:val="GOSTTablenorm"/>
              <w:widowControl w:val="0"/>
              <w:jc w:val="center"/>
              <w:rPr>
                <w:szCs w:val="22"/>
              </w:rPr>
            </w:pPr>
            <w:r w:rsidRPr="00264D5D">
              <w:rPr>
                <w:szCs w:val="22"/>
              </w:rPr>
              <w:t>Н</w:t>
            </w:r>
          </w:p>
        </w:tc>
        <w:tc>
          <w:tcPr>
            <w:tcW w:w="3964" w:type="dxa"/>
          </w:tcPr>
          <w:p w14:paraId="1EE1DA4F" w14:textId="77777777" w:rsidR="00AD1F54" w:rsidRPr="00264D5D" w:rsidRDefault="00941227">
            <w:pPr>
              <w:pStyle w:val="GOSTTablenorm"/>
              <w:widowControl w:val="0"/>
              <w:rPr>
                <w:szCs w:val="22"/>
              </w:rPr>
            </w:pPr>
            <w:r w:rsidRPr="00264D5D">
              <w:rPr>
                <w:szCs w:val="22"/>
              </w:rPr>
              <w:t>Для УБП федерального уровня указывается значение «Федеральный бюджет».</w:t>
            </w:r>
          </w:p>
          <w:p w14:paraId="5980CFBB" w14:textId="77777777" w:rsidR="00AD1F54" w:rsidRPr="00264D5D" w:rsidRDefault="00941227">
            <w:pPr>
              <w:pStyle w:val="GOSTTablenorm"/>
            </w:pPr>
            <w:r w:rsidRPr="00264D5D">
              <w:t>Поле не заполняется для маршрутов ТОФК (Компонент КС ПУР ЭБ) – ТОФК (ПУДС ЭБ)</w:t>
            </w:r>
            <w:r w:rsidR="00C97F28" w:rsidRPr="00264D5D">
              <w:t xml:space="preserve">, НУБП (ПСБ и Росавтодор) – ТОФК, </w:t>
            </w:r>
            <w:r w:rsidR="00C97F28" w:rsidRPr="00264D5D">
              <w:rPr>
                <w:color w:val="000000" w:themeColor="text1"/>
              </w:rPr>
              <w:t xml:space="preserve">ТОФК (Компонент КС ПУР ЭБ) </w:t>
            </w:r>
            <w:r w:rsidR="00C97F28" w:rsidRPr="00264D5D">
              <w:t>–</w:t>
            </w:r>
            <w:r w:rsidR="00C97F28" w:rsidRPr="00264D5D">
              <w:rPr>
                <w:color w:val="000000" w:themeColor="text1"/>
              </w:rPr>
              <w:t xml:space="preserve"> ТОФК (ППО АСФК)</w:t>
            </w:r>
            <w:r w:rsidRPr="00264D5D">
              <w:t>.</w:t>
            </w:r>
          </w:p>
          <w:p w14:paraId="3DAE1A44" w14:textId="77777777" w:rsidR="00AD1F54" w:rsidRPr="00264D5D" w:rsidRDefault="00941227">
            <w:pPr>
              <w:pStyle w:val="GOSTTablenorm"/>
              <w:widowControl w:val="0"/>
              <w:rPr>
                <w:szCs w:val="22"/>
              </w:rPr>
            </w:pPr>
            <w:r w:rsidRPr="00264D5D">
              <w:t xml:space="preserve">Для остальных маршрутов </w:t>
            </w:r>
            <w:r w:rsidR="00B06B9A" w:rsidRPr="00264D5D">
              <w:t>поле обязательно для заполнения</w:t>
            </w:r>
          </w:p>
        </w:tc>
      </w:tr>
      <w:tr w:rsidR="00AD1F54" w:rsidRPr="00264D5D" w14:paraId="2C149FB2"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A98D567" w14:textId="77777777" w:rsidR="00AD1F54" w:rsidRPr="00264D5D" w:rsidRDefault="00941227">
            <w:pPr>
              <w:pStyle w:val="GOSTTablenorm"/>
              <w:rPr>
                <w:szCs w:val="22"/>
              </w:rPr>
            </w:pPr>
            <w:r w:rsidRPr="00264D5D">
              <w:rPr>
                <w:szCs w:val="22"/>
              </w:rPr>
              <w:t>Финансовый орган</w:t>
            </w:r>
          </w:p>
        </w:tc>
        <w:tc>
          <w:tcPr>
            <w:tcW w:w="1701" w:type="dxa"/>
          </w:tcPr>
          <w:p w14:paraId="143F9DBF" w14:textId="77777777" w:rsidR="00AD1F54" w:rsidRPr="00264D5D" w:rsidRDefault="00941227">
            <w:pPr>
              <w:pStyle w:val="GOSTTablenorm"/>
              <w:rPr>
                <w:szCs w:val="22"/>
              </w:rPr>
            </w:pPr>
            <w:r w:rsidRPr="00264D5D">
              <w:rPr>
                <w:szCs w:val="22"/>
              </w:rPr>
              <w:t>ZS_MSC_FnclInst</w:t>
            </w:r>
          </w:p>
        </w:tc>
        <w:tc>
          <w:tcPr>
            <w:tcW w:w="567" w:type="dxa"/>
          </w:tcPr>
          <w:p w14:paraId="67936D3E" w14:textId="77777777" w:rsidR="00AD1F54" w:rsidRPr="00264D5D" w:rsidRDefault="00941227">
            <w:pPr>
              <w:pStyle w:val="GOSTTablenorm"/>
              <w:jc w:val="center"/>
              <w:rPr>
                <w:szCs w:val="22"/>
              </w:rPr>
            </w:pPr>
            <w:r w:rsidRPr="00264D5D">
              <w:rPr>
                <w:szCs w:val="22"/>
              </w:rPr>
              <w:t>С</w:t>
            </w:r>
          </w:p>
        </w:tc>
        <w:tc>
          <w:tcPr>
            <w:tcW w:w="1134" w:type="dxa"/>
          </w:tcPr>
          <w:p w14:paraId="1DD2E0F5" w14:textId="77777777" w:rsidR="00AD1F54" w:rsidRPr="00264D5D" w:rsidRDefault="00941227">
            <w:pPr>
              <w:pStyle w:val="GOSTTablenorm"/>
              <w:rPr>
                <w:szCs w:val="22"/>
                <w:lang w:val="en-US"/>
              </w:rPr>
            </w:pPr>
            <w:r w:rsidRPr="00264D5D">
              <w:rPr>
                <w:szCs w:val="22"/>
              </w:rPr>
              <w:t>tMSC_FnclInst</w:t>
            </w:r>
          </w:p>
        </w:tc>
        <w:tc>
          <w:tcPr>
            <w:tcW w:w="567" w:type="dxa"/>
          </w:tcPr>
          <w:p w14:paraId="3E0CCD07" w14:textId="77777777" w:rsidR="00AD1F54" w:rsidRPr="00264D5D" w:rsidRDefault="00941227">
            <w:pPr>
              <w:pStyle w:val="GOSTTablenorm"/>
              <w:jc w:val="center"/>
              <w:rPr>
                <w:szCs w:val="22"/>
              </w:rPr>
            </w:pPr>
            <w:r w:rsidRPr="00264D5D">
              <w:rPr>
                <w:szCs w:val="22"/>
              </w:rPr>
              <w:t>Н</w:t>
            </w:r>
          </w:p>
        </w:tc>
        <w:tc>
          <w:tcPr>
            <w:tcW w:w="3964" w:type="dxa"/>
          </w:tcPr>
          <w:p w14:paraId="0C225DF6" w14:textId="77777777" w:rsidR="00AD1F54" w:rsidRPr="00264D5D" w:rsidRDefault="00941227">
            <w:pPr>
              <w:pStyle w:val="GOSTTablenorm"/>
              <w:rPr>
                <w:szCs w:val="22"/>
              </w:rPr>
            </w:pPr>
            <w:r w:rsidRPr="00264D5D">
              <w:rPr>
                <w:szCs w:val="22"/>
              </w:rPr>
              <w:t>Финансовый орган.</w:t>
            </w:r>
          </w:p>
          <w:p w14:paraId="1D7B66BC" w14:textId="7B615B62" w:rsidR="00AD1F54" w:rsidRPr="00264D5D" w:rsidRDefault="00941227">
            <w:pPr>
              <w:pStyle w:val="GOSTTablenorm"/>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_Ref503551773 \h  \* MERGEFORMAT </w:instrText>
            </w:r>
            <w:r w:rsidRPr="00264D5D">
              <w:rPr>
                <w:b/>
                <w:szCs w:val="22"/>
              </w:rPr>
            </w:r>
            <w:r w:rsidRPr="00264D5D">
              <w:rPr>
                <w:b/>
                <w:szCs w:val="22"/>
              </w:rPr>
              <w:fldChar w:fldCharType="separate"/>
            </w:r>
            <w:r w:rsidR="008D797C" w:rsidRPr="008D797C">
              <w:rPr>
                <w:rFonts w:eastAsia="Calibri"/>
                <w:b/>
                <w:szCs w:val="22"/>
              </w:rPr>
              <w:t>281</w:t>
            </w:r>
            <w:r w:rsidRPr="00264D5D">
              <w:rPr>
                <w:b/>
                <w:szCs w:val="22"/>
              </w:rPr>
              <w:fldChar w:fldCharType="end"/>
            </w:r>
            <w:r w:rsidRPr="00264D5D">
              <w:rPr>
                <w:szCs w:val="22"/>
              </w:rPr>
              <w:t>.</w:t>
            </w:r>
          </w:p>
          <w:p w14:paraId="2220EEE6" w14:textId="77777777" w:rsidR="00AD1F54" w:rsidRPr="00264D5D" w:rsidRDefault="00941227">
            <w:pPr>
              <w:pStyle w:val="GOSTTablenorm"/>
            </w:pPr>
            <w:r w:rsidRPr="00264D5D">
              <w:t>Поле не заполняется для маршрутов АУ, БУ – ТОФК (Компонент АУ, БУ ПУР ЭБ), ТОФК (Компонент КС ПУР ЭБ) – ТОФК (ПУДС ЭБ)</w:t>
            </w:r>
            <w:r w:rsidR="00C97F28" w:rsidRPr="00264D5D">
              <w:t xml:space="preserve">, НУБП (ПСБ и Росавтодор) – ТОФК, </w:t>
            </w:r>
            <w:r w:rsidR="00C97F28" w:rsidRPr="00264D5D">
              <w:rPr>
                <w:color w:val="000000" w:themeColor="text1"/>
              </w:rPr>
              <w:t xml:space="preserve">ТОФК (Компонент КС ПУР ЭБ) </w:t>
            </w:r>
            <w:r w:rsidR="00C97F28" w:rsidRPr="00264D5D">
              <w:t>–</w:t>
            </w:r>
            <w:r w:rsidR="00C97F28" w:rsidRPr="00264D5D">
              <w:rPr>
                <w:color w:val="000000" w:themeColor="text1"/>
              </w:rPr>
              <w:t xml:space="preserve"> ТОФК (ППО АСФК)</w:t>
            </w:r>
            <w:r w:rsidRPr="00264D5D">
              <w:t>.</w:t>
            </w:r>
          </w:p>
          <w:p w14:paraId="6479B4A9" w14:textId="77777777" w:rsidR="00AD1F54" w:rsidRPr="00264D5D" w:rsidRDefault="00941227">
            <w:pPr>
              <w:pStyle w:val="GOSTTablenorm"/>
              <w:rPr>
                <w:szCs w:val="22"/>
              </w:rPr>
            </w:pPr>
            <w:r w:rsidRPr="00264D5D">
              <w:t>Для остальных маршрутов блок обязателен для заполнения</w:t>
            </w:r>
          </w:p>
        </w:tc>
      </w:tr>
      <w:tr w:rsidR="00AD1F54" w:rsidRPr="00264D5D" w14:paraId="79AE06B9"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2E3F4383" w14:textId="77777777" w:rsidR="00AD1F54" w:rsidRPr="00264D5D" w:rsidRDefault="00941227">
            <w:pPr>
              <w:pStyle w:val="GOSTTablenorm"/>
              <w:rPr>
                <w:szCs w:val="22"/>
              </w:rPr>
            </w:pPr>
            <w:r w:rsidRPr="00264D5D">
              <w:rPr>
                <w:szCs w:val="22"/>
              </w:rPr>
              <w:t>ГРБС</w:t>
            </w:r>
          </w:p>
        </w:tc>
        <w:tc>
          <w:tcPr>
            <w:tcW w:w="1701" w:type="dxa"/>
          </w:tcPr>
          <w:p w14:paraId="4C0DB5E1" w14:textId="77777777" w:rsidR="00AD1F54" w:rsidRPr="00264D5D" w:rsidRDefault="00941227">
            <w:pPr>
              <w:pStyle w:val="GOSTTablenorm"/>
              <w:rPr>
                <w:szCs w:val="22"/>
              </w:rPr>
            </w:pPr>
            <w:r w:rsidRPr="00264D5D">
              <w:rPr>
                <w:szCs w:val="22"/>
              </w:rPr>
              <w:t>ZS_MSC_GRBS</w:t>
            </w:r>
          </w:p>
        </w:tc>
        <w:tc>
          <w:tcPr>
            <w:tcW w:w="567" w:type="dxa"/>
          </w:tcPr>
          <w:p w14:paraId="450768E8" w14:textId="77777777" w:rsidR="00AD1F54" w:rsidRPr="00264D5D" w:rsidRDefault="00941227">
            <w:pPr>
              <w:pStyle w:val="GOSTTablenorm"/>
              <w:jc w:val="center"/>
              <w:rPr>
                <w:szCs w:val="22"/>
              </w:rPr>
            </w:pPr>
            <w:r w:rsidRPr="00264D5D">
              <w:rPr>
                <w:szCs w:val="22"/>
              </w:rPr>
              <w:t>С</w:t>
            </w:r>
          </w:p>
        </w:tc>
        <w:tc>
          <w:tcPr>
            <w:tcW w:w="1134" w:type="dxa"/>
          </w:tcPr>
          <w:p w14:paraId="485062E6" w14:textId="77777777" w:rsidR="00AD1F54" w:rsidRPr="00264D5D" w:rsidRDefault="00941227">
            <w:pPr>
              <w:pStyle w:val="GOSTTablenorm"/>
              <w:rPr>
                <w:szCs w:val="22"/>
              </w:rPr>
            </w:pPr>
            <w:r w:rsidRPr="00264D5D">
              <w:rPr>
                <w:szCs w:val="22"/>
              </w:rPr>
              <w:t>tMSC_GRBS3</w:t>
            </w:r>
          </w:p>
        </w:tc>
        <w:tc>
          <w:tcPr>
            <w:tcW w:w="567" w:type="dxa"/>
          </w:tcPr>
          <w:p w14:paraId="4EEEEA7E" w14:textId="77777777" w:rsidR="00AD1F54" w:rsidRPr="00264D5D" w:rsidRDefault="00941227">
            <w:pPr>
              <w:pStyle w:val="GOSTTablenorm"/>
              <w:jc w:val="center"/>
              <w:rPr>
                <w:szCs w:val="22"/>
              </w:rPr>
            </w:pPr>
            <w:r w:rsidRPr="00264D5D">
              <w:rPr>
                <w:szCs w:val="22"/>
              </w:rPr>
              <w:t>Н</w:t>
            </w:r>
          </w:p>
        </w:tc>
        <w:tc>
          <w:tcPr>
            <w:tcW w:w="3964" w:type="dxa"/>
          </w:tcPr>
          <w:p w14:paraId="3EA6D4EA" w14:textId="081C1BAF" w:rsidR="00AD1F54" w:rsidRPr="00264D5D" w:rsidRDefault="00941227">
            <w:pPr>
              <w:pStyle w:val="GOSTTablenorm"/>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_Ref503551780 \h  \* MERGEFORMAT </w:instrText>
            </w:r>
            <w:r w:rsidRPr="00264D5D">
              <w:rPr>
                <w:b/>
                <w:szCs w:val="22"/>
              </w:rPr>
            </w:r>
            <w:r w:rsidRPr="00264D5D">
              <w:rPr>
                <w:b/>
                <w:szCs w:val="22"/>
              </w:rPr>
              <w:fldChar w:fldCharType="separate"/>
            </w:r>
            <w:r w:rsidR="008D797C" w:rsidRPr="008D797C">
              <w:rPr>
                <w:rFonts w:eastAsia="Calibri"/>
                <w:b/>
                <w:szCs w:val="22"/>
              </w:rPr>
              <w:t>282</w:t>
            </w:r>
            <w:r w:rsidRPr="00264D5D">
              <w:rPr>
                <w:b/>
                <w:szCs w:val="22"/>
              </w:rPr>
              <w:fldChar w:fldCharType="end"/>
            </w:r>
            <w:r w:rsidRPr="00264D5D">
              <w:rPr>
                <w:szCs w:val="22"/>
              </w:rPr>
              <w:t>.</w:t>
            </w:r>
            <w:r w:rsidRPr="00264D5D">
              <w:t xml:space="preserve"> </w:t>
            </w:r>
          </w:p>
          <w:p w14:paraId="2142F97D" w14:textId="77777777" w:rsidR="00AD1F54" w:rsidRPr="00264D5D" w:rsidRDefault="00941227">
            <w:pPr>
              <w:pStyle w:val="GOSTTablenorm"/>
            </w:pPr>
            <w:r w:rsidRPr="00264D5D">
              <w:t xml:space="preserve">Для маршрута АУ, БУ – ТОФК (Компонент АУ, БУ ПУР ЭБ) указывается наименование органа, осуществляющего функции и полномочия учредителя в отношении </w:t>
            </w:r>
            <w:r w:rsidRPr="00264D5D">
              <w:lastRenderedPageBreak/>
              <w:t>клиента.</w:t>
            </w:r>
          </w:p>
          <w:p w14:paraId="2169FA24" w14:textId="77777777" w:rsidR="00AD1F54" w:rsidRPr="00264D5D" w:rsidRDefault="00941227" w:rsidP="00C97F28">
            <w:pPr>
              <w:pStyle w:val="GOSTTablenorm"/>
              <w:rPr>
                <w:szCs w:val="22"/>
              </w:rPr>
            </w:pPr>
            <w:r w:rsidRPr="00264D5D">
              <w:t>Поле не заполняется для маршрут</w:t>
            </w:r>
            <w:r w:rsidR="00C97F28" w:rsidRPr="00264D5D">
              <w:t>ов</w:t>
            </w:r>
            <w:r w:rsidRPr="00264D5D">
              <w:t xml:space="preserve"> ТОФК (Компон</w:t>
            </w:r>
            <w:r w:rsidR="00B06B9A" w:rsidRPr="00264D5D">
              <w:t>ент КС ПУР ЭБ) – ТОФК (ПУДС ЭБ)</w:t>
            </w:r>
            <w:r w:rsidR="00C97F28" w:rsidRPr="00264D5D">
              <w:t xml:space="preserve">, НУБП (ПСБ и Росавтодор) – ТОФК, </w:t>
            </w:r>
            <w:r w:rsidR="00C97F28" w:rsidRPr="00264D5D">
              <w:rPr>
                <w:color w:val="000000" w:themeColor="text1"/>
              </w:rPr>
              <w:t xml:space="preserve">ТОФК (Компонент КС ПУР ЭБ) </w:t>
            </w:r>
            <w:r w:rsidR="00C97F28" w:rsidRPr="00264D5D">
              <w:t>–</w:t>
            </w:r>
            <w:r w:rsidR="00C97F28" w:rsidRPr="00264D5D">
              <w:rPr>
                <w:color w:val="000000" w:themeColor="text1"/>
              </w:rPr>
              <w:t xml:space="preserve"> ТОФК (ППО АСФК)</w:t>
            </w:r>
          </w:p>
        </w:tc>
      </w:tr>
      <w:tr w:rsidR="00AD1F54" w:rsidRPr="00264D5D" w14:paraId="13DC9A43"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444EAA2" w14:textId="77777777" w:rsidR="00AD1F54" w:rsidRPr="00264D5D" w:rsidRDefault="00941227">
            <w:pPr>
              <w:pStyle w:val="GOSTTablenorm"/>
              <w:rPr>
                <w:szCs w:val="22"/>
              </w:rPr>
            </w:pPr>
            <w:r w:rsidRPr="00264D5D">
              <w:rPr>
                <w:szCs w:val="22"/>
              </w:rPr>
              <w:lastRenderedPageBreak/>
              <w:t>Клиент</w:t>
            </w:r>
          </w:p>
        </w:tc>
        <w:tc>
          <w:tcPr>
            <w:tcW w:w="1701" w:type="dxa"/>
          </w:tcPr>
          <w:p w14:paraId="02EA1369" w14:textId="77777777" w:rsidR="00AD1F54" w:rsidRPr="00264D5D" w:rsidRDefault="00941227">
            <w:pPr>
              <w:pStyle w:val="GOSTTablenorm"/>
              <w:rPr>
                <w:szCs w:val="22"/>
              </w:rPr>
            </w:pPr>
            <w:r w:rsidRPr="00264D5D">
              <w:rPr>
                <w:szCs w:val="22"/>
              </w:rPr>
              <w:t>ZS_MSC_Cstmr</w:t>
            </w:r>
          </w:p>
        </w:tc>
        <w:tc>
          <w:tcPr>
            <w:tcW w:w="567" w:type="dxa"/>
          </w:tcPr>
          <w:p w14:paraId="68F74C5A" w14:textId="77777777" w:rsidR="00AD1F54" w:rsidRPr="00264D5D" w:rsidRDefault="00941227">
            <w:pPr>
              <w:pStyle w:val="GOSTTablenorm"/>
              <w:jc w:val="center"/>
              <w:rPr>
                <w:szCs w:val="22"/>
              </w:rPr>
            </w:pPr>
            <w:r w:rsidRPr="00264D5D">
              <w:rPr>
                <w:szCs w:val="22"/>
              </w:rPr>
              <w:t>С</w:t>
            </w:r>
          </w:p>
        </w:tc>
        <w:tc>
          <w:tcPr>
            <w:tcW w:w="1134" w:type="dxa"/>
          </w:tcPr>
          <w:p w14:paraId="72391527" w14:textId="77777777" w:rsidR="00AD1F54" w:rsidRPr="00264D5D" w:rsidRDefault="00941227">
            <w:pPr>
              <w:pStyle w:val="GOSTTablenorm"/>
              <w:rPr>
                <w:szCs w:val="22"/>
              </w:rPr>
            </w:pPr>
            <w:r w:rsidRPr="00264D5D">
              <w:rPr>
                <w:szCs w:val="22"/>
              </w:rPr>
              <w:t>tMSC_Cstmr</w:t>
            </w:r>
            <w:r w:rsidRPr="00264D5D">
              <w:t>7</w:t>
            </w:r>
          </w:p>
        </w:tc>
        <w:tc>
          <w:tcPr>
            <w:tcW w:w="567" w:type="dxa"/>
          </w:tcPr>
          <w:p w14:paraId="12ED5EB3" w14:textId="77777777" w:rsidR="00AD1F54" w:rsidRPr="00264D5D" w:rsidRDefault="00941227">
            <w:pPr>
              <w:pStyle w:val="GOSTTablenorm"/>
              <w:jc w:val="center"/>
              <w:rPr>
                <w:szCs w:val="22"/>
              </w:rPr>
            </w:pPr>
            <w:r w:rsidRPr="00264D5D">
              <w:rPr>
                <w:szCs w:val="22"/>
              </w:rPr>
              <w:t>О</w:t>
            </w:r>
          </w:p>
        </w:tc>
        <w:tc>
          <w:tcPr>
            <w:tcW w:w="3964" w:type="dxa"/>
          </w:tcPr>
          <w:p w14:paraId="3756B14D" w14:textId="7639ADD8" w:rsidR="00AD1F54" w:rsidRPr="00264D5D" w:rsidRDefault="00941227">
            <w:pPr>
              <w:pStyle w:val="GOSTTablenorm"/>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_Ref503551788 \h  \* MERGEFORMAT </w:instrText>
            </w:r>
            <w:r w:rsidRPr="00264D5D">
              <w:rPr>
                <w:b/>
                <w:szCs w:val="22"/>
              </w:rPr>
            </w:r>
            <w:r w:rsidRPr="00264D5D">
              <w:rPr>
                <w:b/>
                <w:szCs w:val="22"/>
              </w:rPr>
              <w:fldChar w:fldCharType="separate"/>
            </w:r>
            <w:r w:rsidR="008D797C" w:rsidRPr="008D797C">
              <w:rPr>
                <w:b/>
                <w:szCs w:val="22"/>
              </w:rPr>
              <w:t>283</w:t>
            </w:r>
            <w:r w:rsidRPr="00264D5D">
              <w:rPr>
                <w:b/>
                <w:szCs w:val="22"/>
              </w:rPr>
              <w:fldChar w:fldCharType="end"/>
            </w:r>
          </w:p>
        </w:tc>
      </w:tr>
      <w:tr w:rsidR="00AD1F54" w:rsidRPr="00264D5D" w14:paraId="455CBF24"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116B42A" w14:textId="77777777" w:rsidR="00AD1F54" w:rsidRPr="00264D5D" w:rsidRDefault="00941227">
            <w:pPr>
              <w:pStyle w:val="GOSTTablenorm"/>
              <w:rPr>
                <w:szCs w:val="22"/>
              </w:rPr>
            </w:pPr>
            <w:r w:rsidRPr="00264D5D">
              <w:t>Получатель</w:t>
            </w:r>
          </w:p>
        </w:tc>
        <w:tc>
          <w:tcPr>
            <w:tcW w:w="1701" w:type="dxa"/>
          </w:tcPr>
          <w:p w14:paraId="2F0A6F19" w14:textId="77777777" w:rsidR="00AD1F54" w:rsidRPr="00264D5D" w:rsidRDefault="00941227">
            <w:pPr>
              <w:pStyle w:val="GOSTTablenorm"/>
              <w:rPr>
                <w:szCs w:val="22"/>
              </w:rPr>
            </w:pPr>
            <w:r w:rsidRPr="00264D5D">
              <w:rPr>
                <w:rFonts w:eastAsiaTheme="minorHAnsi"/>
              </w:rPr>
              <w:t>ZS_MSC_Cntrctr</w:t>
            </w:r>
          </w:p>
        </w:tc>
        <w:tc>
          <w:tcPr>
            <w:tcW w:w="567" w:type="dxa"/>
          </w:tcPr>
          <w:p w14:paraId="3E54E2A1" w14:textId="77777777" w:rsidR="00AD1F54" w:rsidRPr="00264D5D" w:rsidRDefault="00941227">
            <w:pPr>
              <w:pStyle w:val="GOSTTablenorm"/>
              <w:jc w:val="center"/>
              <w:rPr>
                <w:szCs w:val="22"/>
              </w:rPr>
            </w:pPr>
            <w:r w:rsidRPr="00264D5D">
              <w:t>С</w:t>
            </w:r>
          </w:p>
        </w:tc>
        <w:tc>
          <w:tcPr>
            <w:tcW w:w="1134" w:type="dxa"/>
          </w:tcPr>
          <w:p w14:paraId="59871E71" w14:textId="77777777" w:rsidR="00AD1F54" w:rsidRPr="00264D5D" w:rsidRDefault="00941227">
            <w:pPr>
              <w:pStyle w:val="GOSTTablenorm"/>
              <w:rPr>
                <w:szCs w:val="22"/>
              </w:rPr>
            </w:pPr>
            <w:r w:rsidRPr="00264D5D">
              <w:rPr>
                <w:rFonts w:eastAsiaTheme="minorHAnsi"/>
              </w:rPr>
              <w:t>tMSC_Cntrctr2</w:t>
            </w:r>
          </w:p>
        </w:tc>
        <w:tc>
          <w:tcPr>
            <w:tcW w:w="567" w:type="dxa"/>
          </w:tcPr>
          <w:p w14:paraId="2FA7BABB" w14:textId="77777777" w:rsidR="00AD1F54" w:rsidRPr="00264D5D" w:rsidRDefault="00941227">
            <w:pPr>
              <w:pStyle w:val="GOSTTablenorm"/>
              <w:jc w:val="center"/>
              <w:rPr>
                <w:szCs w:val="22"/>
              </w:rPr>
            </w:pPr>
            <w:r w:rsidRPr="00264D5D">
              <w:t>Н</w:t>
            </w:r>
          </w:p>
        </w:tc>
        <w:tc>
          <w:tcPr>
            <w:tcW w:w="3964" w:type="dxa"/>
          </w:tcPr>
          <w:p w14:paraId="50B35E11" w14:textId="0441D14F" w:rsidR="00AD1F54" w:rsidRPr="00264D5D" w:rsidRDefault="00941227">
            <w:pPr>
              <w:pStyle w:val="GOSTTablenorm"/>
            </w:pPr>
            <w:r w:rsidRPr="00264D5D">
              <w:t xml:space="preserve">Состав элемента представлен в таблице </w:t>
            </w:r>
            <w:r w:rsidRPr="00264D5D">
              <w:fldChar w:fldCharType="begin"/>
            </w:r>
            <w:r w:rsidRPr="00264D5D">
              <w:instrText xml:space="preserve"> REF _Ref128578592 \h  \* MERGEFORMAT </w:instrText>
            </w:r>
            <w:r w:rsidRPr="00264D5D">
              <w:fldChar w:fldCharType="separate"/>
            </w:r>
            <w:r w:rsidR="008D797C">
              <w:t>284</w:t>
            </w:r>
            <w:r w:rsidRPr="00264D5D">
              <w:fldChar w:fldCharType="end"/>
            </w:r>
            <w:r w:rsidRPr="00264D5D">
              <w:t>.</w:t>
            </w:r>
          </w:p>
          <w:p w14:paraId="0C2C8C9E" w14:textId="77777777" w:rsidR="00AD1F54" w:rsidRPr="00264D5D" w:rsidRDefault="00941227">
            <w:pPr>
              <w:pStyle w:val="GOSTTablenorm"/>
            </w:pPr>
            <w:r w:rsidRPr="00264D5D">
              <w:t>Обязательно для заполнения если реквизит «Код платежного документа» = «ZP».</w:t>
            </w:r>
          </w:p>
          <w:p w14:paraId="241B4618" w14:textId="77777777" w:rsidR="00AD1F54" w:rsidRPr="00264D5D" w:rsidRDefault="00941227" w:rsidP="00D65AFB">
            <w:pPr>
              <w:pStyle w:val="GOSTTablenorm"/>
              <w:rPr>
                <w:szCs w:val="22"/>
              </w:rPr>
            </w:pPr>
            <w:r w:rsidRPr="00264D5D">
              <w:t>Используется при информационном взаимодействии по маршру</w:t>
            </w:r>
            <w:r w:rsidR="00D65AFB">
              <w:t>там ПБС (ПФХД) – ТОФК (ПУР ЭБ)</w:t>
            </w:r>
          </w:p>
        </w:tc>
      </w:tr>
      <w:tr w:rsidR="00AD1F54" w:rsidRPr="00264D5D" w14:paraId="2143A678"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21D994E" w14:textId="77777777" w:rsidR="00AD1F54" w:rsidRPr="00264D5D" w:rsidRDefault="00941227">
            <w:pPr>
              <w:pStyle w:val="GOSTTablenorm"/>
              <w:rPr>
                <w:szCs w:val="22"/>
              </w:rPr>
            </w:pPr>
            <w:r w:rsidRPr="00264D5D">
              <w:rPr>
                <w:szCs w:val="22"/>
              </w:rPr>
              <w:t>ТОФК обслуживания счета</w:t>
            </w:r>
          </w:p>
        </w:tc>
        <w:tc>
          <w:tcPr>
            <w:tcW w:w="1701" w:type="dxa"/>
          </w:tcPr>
          <w:p w14:paraId="148EF4EB" w14:textId="77777777" w:rsidR="00AD1F54" w:rsidRPr="00264D5D" w:rsidRDefault="00941227">
            <w:pPr>
              <w:pStyle w:val="GOSTTablenorm"/>
              <w:rPr>
                <w:szCs w:val="22"/>
              </w:rPr>
            </w:pPr>
            <w:r w:rsidRPr="00264D5D">
              <w:rPr>
                <w:szCs w:val="22"/>
              </w:rPr>
              <w:t>ZS_MSC_TOFK</w:t>
            </w:r>
          </w:p>
        </w:tc>
        <w:tc>
          <w:tcPr>
            <w:tcW w:w="567" w:type="dxa"/>
          </w:tcPr>
          <w:p w14:paraId="4B569BF5" w14:textId="77777777" w:rsidR="00AD1F54" w:rsidRPr="00264D5D" w:rsidRDefault="00941227">
            <w:pPr>
              <w:pStyle w:val="GOSTTablenorm"/>
              <w:jc w:val="center"/>
              <w:rPr>
                <w:szCs w:val="22"/>
              </w:rPr>
            </w:pPr>
            <w:r w:rsidRPr="00264D5D">
              <w:rPr>
                <w:szCs w:val="22"/>
              </w:rPr>
              <w:t>С</w:t>
            </w:r>
          </w:p>
        </w:tc>
        <w:tc>
          <w:tcPr>
            <w:tcW w:w="1134" w:type="dxa"/>
          </w:tcPr>
          <w:p w14:paraId="54A9F5DF" w14:textId="77777777" w:rsidR="00AD1F54" w:rsidRPr="00264D5D" w:rsidRDefault="00941227">
            <w:pPr>
              <w:pStyle w:val="GOSTTablenorm"/>
              <w:rPr>
                <w:szCs w:val="22"/>
              </w:rPr>
            </w:pPr>
            <w:r w:rsidRPr="00264D5D">
              <w:rPr>
                <w:szCs w:val="22"/>
              </w:rPr>
              <w:t>tMSC_TOFK</w:t>
            </w:r>
          </w:p>
        </w:tc>
        <w:tc>
          <w:tcPr>
            <w:tcW w:w="567" w:type="dxa"/>
          </w:tcPr>
          <w:p w14:paraId="174A4D1F" w14:textId="77777777" w:rsidR="00AD1F54" w:rsidRPr="00264D5D" w:rsidRDefault="00C97F28">
            <w:pPr>
              <w:pStyle w:val="GOSTTablenorm"/>
              <w:jc w:val="center"/>
              <w:rPr>
                <w:szCs w:val="22"/>
              </w:rPr>
            </w:pPr>
            <w:r w:rsidRPr="00264D5D">
              <w:rPr>
                <w:szCs w:val="22"/>
              </w:rPr>
              <w:t>Н</w:t>
            </w:r>
          </w:p>
        </w:tc>
        <w:tc>
          <w:tcPr>
            <w:tcW w:w="3964" w:type="dxa"/>
          </w:tcPr>
          <w:p w14:paraId="187D6153" w14:textId="77777777" w:rsidR="00C97F28" w:rsidRPr="00264D5D" w:rsidRDefault="00C97F28">
            <w:pPr>
              <w:pStyle w:val="GOSTTablenorm"/>
              <w:rPr>
                <w:szCs w:val="22"/>
              </w:rPr>
            </w:pPr>
            <w:r w:rsidRPr="00264D5D">
              <w:rPr>
                <w:szCs w:val="22"/>
              </w:rPr>
              <w:t>Указывается ТОФК обслуживания счета.</w:t>
            </w:r>
          </w:p>
          <w:p w14:paraId="1D0B766F" w14:textId="77777777" w:rsidR="00C97F28" w:rsidRPr="00264D5D" w:rsidRDefault="00C97F28">
            <w:pPr>
              <w:pStyle w:val="GOSTTablenorm"/>
              <w:rPr>
                <w:szCs w:val="22"/>
              </w:rPr>
            </w:pPr>
            <w:r w:rsidRPr="00264D5D">
              <w:rPr>
                <w:szCs w:val="22"/>
              </w:rPr>
              <w:t>Поле не заполняется для маршрута НУБП (ПСБ и Росавтодор) – ТОФК.</w:t>
            </w:r>
          </w:p>
          <w:p w14:paraId="5BCB4C86" w14:textId="5C06529D" w:rsidR="00AD1F54" w:rsidRPr="00264D5D" w:rsidRDefault="00941227">
            <w:pPr>
              <w:pStyle w:val="GOSTTablenorm"/>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_Ref523937158 \h  \* MERGEFORMAT </w:instrText>
            </w:r>
            <w:r w:rsidRPr="00264D5D">
              <w:rPr>
                <w:b/>
                <w:szCs w:val="22"/>
              </w:rPr>
            </w:r>
            <w:r w:rsidRPr="00264D5D">
              <w:rPr>
                <w:b/>
                <w:szCs w:val="22"/>
              </w:rPr>
              <w:fldChar w:fldCharType="separate"/>
            </w:r>
            <w:r w:rsidR="008D797C" w:rsidRPr="008D797C">
              <w:rPr>
                <w:b/>
                <w:szCs w:val="22"/>
              </w:rPr>
              <w:t>121</w:t>
            </w:r>
            <w:r w:rsidRPr="00264D5D">
              <w:rPr>
                <w:b/>
                <w:szCs w:val="22"/>
              </w:rPr>
              <w:fldChar w:fldCharType="end"/>
            </w:r>
          </w:p>
        </w:tc>
      </w:tr>
      <w:tr w:rsidR="00AD1F54" w:rsidRPr="00264D5D" w14:paraId="22EA143C"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3B5611C0" w14:textId="77777777" w:rsidR="00AD1F54" w:rsidRPr="00264D5D" w:rsidRDefault="00941227">
            <w:pPr>
              <w:pStyle w:val="GOSTTablenorm"/>
              <w:rPr>
                <w:szCs w:val="22"/>
              </w:rPr>
            </w:pPr>
            <w:r w:rsidRPr="00264D5D">
              <w:rPr>
                <w:szCs w:val="22"/>
              </w:rPr>
              <w:t>Предельная дата исполнения</w:t>
            </w:r>
          </w:p>
        </w:tc>
        <w:tc>
          <w:tcPr>
            <w:tcW w:w="1701" w:type="dxa"/>
          </w:tcPr>
          <w:p w14:paraId="6FF3C984" w14:textId="77777777" w:rsidR="00AD1F54" w:rsidRPr="00264D5D" w:rsidRDefault="00941227">
            <w:pPr>
              <w:pStyle w:val="GOSTTablenorm"/>
              <w:rPr>
                <w:szCs w:val="22"/>
              </w:rPr>
            </w:pPr>
            <w:r w:rsidRPr="00264D5D">
              <w:rPr>
                <w:szCs w:val="22"/>
              </w:rPr>
              <w:t>ZS_DctDtISP</w:t>
            </w:r>
          </w:p>
        </w:tc>
        <w:tc>
          <w:tcPr>
            <w:tcW w:w="567" w:type="dxa"/>
          </w:tcPr>
          <w:p w14:paraId="7686B3D4" w14:textId="77777777" w:rsidR="00AD1F54" w:rsidRPr="00264D5D" w:rsidRDefault="00941227">
            <w:pPr>
              <w:pStyle w:val="GOSTTablenorm"/>
              <w:jc w:val="center"/>
              <w:rPr>
                <w:szCs w:val="22"/>
              </w:rPr>
            </w:pPr>
            <w:r w:rsidRPr="00264D5D">
              <w:rPr>
                <w:szCs w:val="22"/>
              </w:rPr>
              <w:t>П</w:t>
            </w:r>
          </w:p>
        </w:tc>
        <w:tc>
          <w:tcPr>
            <w:tcW w:w="1134" w:type="dxa"/>
          </w:tcPr>
          <w:p w14:paraId="28ADB4FE" w14:textId="77777777" w:rsidR="00AD1F54" w:rsidRPr="00264D5D" w:rsidRDefault="00941227">
            <w:pPr>
              <w:pStyle w:val="GOSTTablenorm"/>
              <w:rPr>
                <w:szCs w:val="22"/>
              </w:rPr>
            </w:pPr>
            <w:r w:rsidRPr="00264D5D">
              <w:rPr>
                <w:szCs w:val="22"/>
                <w:lang w:val="en-US"/>
              </w:rPr>
              <w:t>Date</w:t>
            </w:r>
          </w:p>
        </w:tc>
        <w:tc>
          <w:tcPr>
            <w:tcW w:w="567" w:type="dxa"/>
          </w:tcPr>
          <w:p w14:paraId="2B053A2F" w14:textId="77777777" w:rsidR="00AD1F54" w:rsidRPr="00264D5D" w:rsidRDefault="00941227">
            <w:pPr>
              <w:pStyle w:val="GOSTTablenorm"/>
              <w:jc w:val="center"/>
              <w:rPr>
                <w:szCs w:val="22"/>
              </w:rPr>
            </w:pPr>
            <w:r w:rsidRPr="00264D5D">
              <w:rPr>
                <w:szCs w:val="22"/>
              </w:rPr>
              <w:t>Н</w:t>
            </w:r>
          </w:p>
        </w:tc>
        <w:tc>
          <w:tcPr>
            <w:tcW w:w="3964" w:type="dxa"/>
          </w:tcPr>
          <w:p w14:paraId="0295E29D" w14:textId="77777777" w:rsidR="00AD1F54" w:rsidRPr="00264D5D" w:rsidRDefault="00941227">
            <w:pPr>
              <w:pStyle w:val="GOSTTablenorm"/>
            </w:pPr>
            <w:r w:rsidRPr="00264D5D">
              <w:rPr>
                <w:szCs w:val="22"/>
              </w:rPr>
              <w:t>Указывается предельная дата исполнения. Дата не должна быть ранее даты рабочего дня, следующего за текущим.</w:t>
            </w:r>
            <w:r w:rsidRPr="00264D5D">
              <w:t xml:space="preserve"> </w:t>
            </w:r>
          </w:p>
          <w:p w14:paraId="4B2343BA" w14:textId="77777777" w:rsidR="00AD1F54" w:rsidRPr="00264D5D" w:rsidRDefault="00941227">
            <w:pPr>
              <w:pStyle w:val="GOSTTablenorm"/>
              <w:rPr>
                <w:szCs w:val="22"/>
              </w:rPr>
            </w:pPr>
            <w:r w:rsidRPr="00264D5D">
              <w:t>Обязательно для заполнения если реквизит «К</w:t>
            </w:r>
            <w:r w:rsidR="00B06B9A" w:rsidRPr="00264D5D">
              <w:t>од платежного документа» = «ZP»</w:t>
            </w:r>
          </w:p>
        </w:tc>
      </w:tr>
      <w:tr w:rsidR="00AD1F54" w:rsidRPr="00264D5D" w14:paraId="0895EFC5"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9170E3A" w14:textId="77777777" w:rsidR="00AD1F54" w:rsidRPr="00264D5D" w:rsidRDefault="00941227">
            <w:pPr>
              <w:pStyle w:val="GOSTTablenorm"/>
              <w:rPr>
                <w:szCs w:val="22"/>
              </w:rPr>
            </w:pPr>
            <w:r w:rsidRPr="00264D5D">
              <w:rPr>
                <w:szCs w:val="22"/>
              </w:rPr>
              <w:t>Номер бюджетного обязательства</w:t>
            </w:r>
          </w:p>
        </w:tc>
        <w:tc>
          <w:tcPr>
            <w:tcW w:w="1701" w:type="dxa"/>
          </w:tcPr>
          <w:p w14:paraId="54898509" w14:textId="77777777" w:rsidR="00AD1F54" w:rsidRPr="00264D5D" w:rsidRDefault="00941227">
            <w:pPr>
              <w:pStyle w:val="GOSTTablenorm"/>
              <w:rPr>
                <w:szCs w:val="22"/>
              </w:rPr>
            </w:pPr>
            <w:r w:rsidRPr="00264D5D">
              <w:rPr>
                <w:szCs w:val="22"/>
              </w:rPr>
              <w:t>ZS_OblgtNm</w:t>
            </w:r>
          </w:p>
        </w:tc>
        <w:tc>
          <w:tcPr>
            <w:tcW w:w="567" w:type="dxa"/>
          </w:tcPr>
          <w:p w14:paraId="3AC18C6D" w14:textId="77777777" w:rsidR="00AD1F54" w:rsidRPr="00264D5D" w:rsidRDefault="00941227">
            <w:pPr>
              <w:pStyle w:val="GOSTTablenorm"/>
              <w:jc w:val="center"/>
              <w:rPr>
                <w:szCs w:val="22"/>
              </w:rPr>
            </w:pPr>
            <w:r w:rsidRPr="00264D5D">
              <w:rPr>
                <w:szCs w:val="22"/>
              </w:rPr>
              <w:t>П</w:t>
            </w:r>
          </w:p>
        </w:tc>
        <w:tc>
          <w:tcPr>
            <w:tcW w:w="1134" w:type="dxa"/>
          </w:tcPr>
          <w:p w14:paraId="2E35097D" w14:textId="77777777" w:rsidR="00AD1F54" w:rsidRPr="00264D5D" w:rsidRDefault="00941227">
            <w:pPr>
              <w:pStyle w:val="GOSTTablenorm"/>
              <w:rPr>
                <w:szCs w:val="22"/>
              </w:rPr>
            </w:pPr>
            <w:r w:rsidRPr="00264D5D">
              <w:rPr>
                <w:szCs w:val="22"/>
              </w:rPr>
              <w:t>Т(1-19)</w:t>
            </w:r>
          </w:p>
        </w:tc>
        <w:tc>
          <w:tcPr>
            <w:tcW w:w="567" w:type="dxa"/>
          </w:tcPr>
          <w:p w14:paraId="43B9DCB9" w14:textId="77777777" w:rsidR="00AD1F54" w:rsidRPr="00264D5D" w:rsidRDefault="00941227">
            <w:pPr>
              <w:pStyle w:val="GOSTTablenorm"/>
              <w:jc w:val="center"/>
              <w:rPr>
                <w:szCs w:val="22"/>
              </w:rPr>
            </w:pPr>
            <w:r w:rsidRPr="00264D5D">
              <w:rPr>
                <w:szCs w:val="22"/>
              </w:rPr>
              <w:t>Н</w:t>
            </w:r>
          </w:p>
        </w:tc>
        <w:tc>
          <w:tcPr>
            <w:tcW w:w="3964" w:type="dxa"/>
          </w:tcPr>
          <w:p w14:paraId="4C5576A7" w14:textId="77777777" w:rsidR="00AD1F54" w:rsidRPr="00264D5D" w:rsidRDefault="00941227">
            <w:pPr>
              <w:pStyle w:val="GOSTTablenorm"/>
              <w:rPr>
                <w:szCs w:val="22"/>
              </w:rPr>
            </w:pPr>
            <w:r w:rsidRPr="00264D5D">
              <w:rPr>
                <w:szCs w:val="22"/>
              </w:rPr>
              <w:t>Номер, присвоенный ТОФК обязательству при постановке его на учет или тип первичного бюджетного обязательства. В случае первичного присвоения номера обязательству при регистрации заявки (без предварительной регистрации самого обязательства) данное поле заполняется ТОФК.</w:t>
            </w:r>
          </w:p>
          <w:p w14:paraId="05B5CF85" w14:textId="77777777" w:rsidR="00AD1F54" w:rsidRPr="00264D5D" w:rsidRDefault="00941227">
            <w:pPr>
              <w:pStyle w:val="GOSTTablenorm"/>
              <w:rPr>
                <w:szCs w:val="22"/>
              </w:rPr>
            </w:pPr>
            <w:r w:rsidRPr="00264D5D">
              <w:rPr>
                <w:szCs w:val="22"/>
              </w:rPr>
              <w:t>Для обязательств, принятых на учет до 31.12.2015, размерность поля устанавливается как «=16».</w:t>
            </w:r>
          </w:p>
          <w:p w14:paraId="2AE6D58B" w14:textId="77777777" w:rsidR="00AD1F54" w:rsidRPr="00264D5D" w:rsidRDefault="00941227">
            <w:pPr>
              <w:pStyle w:val="GOSTTablenorm"/>
              <w:rPr>
                <w:szCs w:val="22"/>
              </w:rPr>
            </w:pPr>
            <w:r w:rsidRPr="00264D5D">
              <w:rPr>
                <w:szCs w:val="22"/>
              </w:rPr>
              <w:t xml:space="preserve">Для обязательств, принятых на учет </w:t>
            </w:r>
            <w:r w:rsidRPr="00264D5D">
              <w:rPr>
                <w:szCs w:val="22"/>
              </w:rPr>
              <w:lastRenderedPageBreak/>
              <w:t>после 01.01.2016, размерность поля устанавливается как «=19».</w:t>
            </w:r>
          </w:p>
          <w:p w14:paraId="749B001F" w14:textId="77777777" w:rsidR="00AD1F54" w:rsidRPr="00264D5D" w:rsidRDefault="00941227">
            <w:pPr>
              <w:pStyle w:val="GOSTTablenorm"/>
              <w:rPr>
                <w:szCs w:val="22"/>
              </w:rPr>
            </w:pPr>
            <w:r w:rsidRPr="00264D5D">
              <w:rPr>
                <w:szCs w:val="22"/>
              </w:rPr>
              <w:t>Для первичного присвоения номера бюджетного обязательства размерность поля устанавливается как «=1», реквизит может принимать значения «1» (закупка) или «2» (прочее).</w:t>
            </w:r>
          </w:p>
          <w:p w14:paraId="7960A22A" w14:textId="77777777" w:rsidR="00AD1F54" w:rsidRPr="00264D5D" w:rsidRDefault="00941227">
            <w:pPr>
              <w:pStyle w:val="GOSTTablenorm"/>
              <w:rPr>
                <w:szCs w:val="22"/>
              </w:rPr>
            </w:pPr>
            <w:r w:rsidRPr="00264D5D">
              <w:rPr>
                <w:szCs w:val="22"/>
              </w:rPr>
              <w:t>Поле не заполняется, если значение поля «Код источника средств» равно «5 – Средства, поступающие во временное распоряжение казенных учреждений».</w:t>
            </w:r>
          </w:p>
          <w:p w14:paraId="0B3A1DAC" w14:textId="77777777" w:rsidR="00AD1F54" w:rsidRPr="00264D5D" w:rsidRDefault="00941227">
            <w:pPr>
              <w:pStyle w:val="GOSTTablenorm"/>
            </w:pPr>
            <w:r w:rsidRPr="00264D5D">
              <w:rPr>
                <w:szCs w:val="22"/>
              </w:rPr>
              <w:t>Поле обязательно для заполнения, если значение поля «Код источника средств» равно «1 – Средства бюджета».</w:t>
            </w:r>
            <w:r w:rsidRPr="00264D5D">
              <w:t xml:space="preserve"> </w:t>
            </w:r>
          </w:p>
          <w:p w14:paraId="4F90FF10" w14:textId="77777777" w:rsidR="00AD1F54" w:rsidRPr="00264D5D" w:rsidRDefault="00941227">
            <w:pPr>
              <w:pStyle w:val="GOSTTablenorm"/>
              <w:rPr>
                <w:szCs w:val="22"/>
              </w:rPr>
            </w:pPr>
            <w:r w:rsidRPr="00264D5D">
              <w:t xml:space="preserve">Поле не заполняется для </w:t>
            </w:r>
            <w:r w:rsidR="00B06B9A" w:rsidRPr="00264D5D">
              <w:t>маршрутов АУ</w:t>
            </w:r>
            <w:r w:rsidRPr="00264D5D">
              <w:t>, БУ – ТОФК (Компонент АУ, БУ ПУР ЭБ), ТОФК (Компон</w:t>
            </w:r>
            <w:r w:rsidR="00B06B9A" w:rsidRPr="00264D5D">
              <w:t>ент КС ПУР ЭБ) – ТОФК (ПУДС ЭБ)</w:t>
            </w:r>
            <w:r w:rsidR="00A12A8C" w:rsidRPr="00264D5D">
              <w:t xml:space="preserve">, </w:t>
            </w:r>
            <w:r w:rsidR="00A12A8C" w:rsidRPr="00264D5D">
              <w:rPr>
                <w:szCs w:val="22"/>
              </w:rPr>
              <w:t>НУБП (ПСБ и Росавтодор) – ТОФК</w:t>
            </w:r>
            <w:r w:rsidR="00A12A8C" w:rsidRPr="00264D5D">
              <w:t xml:space="preserve">, </w:t>
            </w:r>
            <w:r w:rsidR="00A12A8C" w:rsidRPr="00264D5D">
              <w:rPr>
                <w:color w:val="000000" w:themeColor="text1"/>
              </w:rPr>
              <w:t xml:space="preserve">ТОФК (Компонент КС ПУР ЭБ) </w:t>
            </w:r>
            <w:r w:rsidR="00A12A8C" w:rsidRPr="00264D5D">
              <w:t>–</w:t>
            </w:r>
            <w:r w:rsidR="00A12A8C" w:rsidRPr="00264D5D">
              <w:rPr>
                <w:color w:val="000000" w:themeColor="text1"/>
              </w:rPr>
              <w:t xml:space="preserve"> ТОФК (ППО АСФК)</w:t>
            </w:r>
          </w:p>
        </w:tc>
      </w:tr>
      <w:tr w:rsidR="00AD1F54" w:rsidRPr="00264D5D" w14:paraId="199609B2"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B1BFBB4" w14:textId="77777777" w:rsidR="00AD1F54" w:rsidRPr="00264D5D" w:rsidRDefault="00941227">
            <w:pPr>
              <w:pStyle w:val="GOSTTablenorm"/>
              <w:rPr>
                <w:szCs w:val="22"/>
              </w:rPr>
            </w:pPr>
            <w:r w:rsidRPr="00264D5D">
              <w:lastRenderedPageBreak/>
              <w:t>Код объекта по ФАИП (КМИ)</w:t>
            </w:r>
          </w:p>
        </w:tc>
        <w:tc>
          <w:tcPr>
            <w:tcW w:w="1701" w:type="dxa"/>
          </w:tcPr>
          <w:p w14:paraId="7B942FDC" w14:textId="77777777" w:rsidR="00AD1F54" w:rsidRPr="00264D5D" w:rsidRDefault="00941227">
            <w:pPr>
              <w:pStyle w:val="GOSTTablenorm"/>
              <w:rPr>
                <w:szCs w:val="22"/>
              </w:rPr>
            </w:pPr>
            <w:r w:rsidRPr="00264D5D">
              <w:rPr>
                <w:rFonts w:eastAsiaTheme="minorHAnsi"/>
              </w:rPr>
              <w:t>ZS_FAIPObjCd</w:t>
            </w:r>
          </w:p>
        </w:tc>
        <w:tc>
          <w:tcPr>
            <w:tcW w:w="567" w:type="dxa"/>
          </w:tcPr>
          <w:p w14:paraId="7EFCF458" w14:textId="77777777" w:rsidR="00AD1F54" w:rsidRPr="00264D5D" w:rsidRDefault="00941227">
            <w:pPr>
              <w:pStyle w:val="GOSTTablenorm"/>
              <w:jc w:val="center"/>
              <w:rPr>
                <w:szCs w:val="22"/>
              </w:rPr>
            </w:pPr>
            <w:r w:rsidRPr="00264D5D">
              <w:t>П</w:t>
            </w:r>
          </w:p>
        </w:tc>
        <w:tc>
          <w:tcPr>
            <w:tcW w:w="1134" w:type="dxa"/>
          </w:tcPr>
          <w:p w14:paraId="4936C3B0" w14:textId="77777777" w:rsidR="00AD1F54" w:rsidRPr="00264D5D" w:rsidRDefault="00941227">
            <w:pPr>
              <w:pStyle w:val="GOSTTablenorm"/>
              <w:rPr>
                <w:szCs w:val="22"/>
              </w:rPr>
            </w:pPr>
            <w:r w:rsidRPr="00264D5D">
              <w:t>T(1-24)</w:t>
            </w:r>
          </w:p>
        </w:tc>
        <w:tc>
          <w:tcPr>
            <w:tcW w:w="567" w:type="dxa"/>
          </w:tcPr>
          <w:p w14:paraId="54FE0A2F" w14:textId="77777777" w:rsidR="00AD1F54" w:rsidRPr="00264D5D" w:rsidRDefault="00941227">
            <w:pPr>
              <w:pStyle w:val="GOSTTablenorm"/>
              <w:jc w:val="center"/>
              <w:rPr>
                <w:szCs w:val="22"/>
              </w:rPr>
            </w:pPr>
            <w:r w:rsidRPr="00264D5D">
              <w:t>Н</w:t>
            </w:r>
          </w:p>
        </w:tc>
        <w:tc>
          <w:tcPr>
            <w:tcW w:w="3964" w:type="dxa"/>
          </w:tcPr>
          <w:p w14:paraId="30D97F59" w14:textId="77777777" w:rsidR="00A12A8C" w:rsidRPr="00264D5D" w:rsidRDefault="00941227">
            <w:pPr>
              <w:pStyle w:val="GOSTTablenorm"/>
              <w:rPr>
                <w:szCs w:val="22"/>
              </w:rPr>
            </w:pPr>
            <w:r w:rsidRPr="00264D5D">
              <w:rPr>
                <w:szCs w:val="22"/>
              </w:rPr>
              <w:t>Может указываться уникальный код объекта капитального строительства или объекта недвижимости, код мероприятия по информатизации.</w:t>
            </w:r>
            <w:r w:rsidR="00A12A8C" w:rsidRPr="00264D5D">
              <w:rPr>
                <w:szCs w:val="22"/>
              </w:rPr>
              <w:t xml:space="preserve"> </w:t>
            </w:r>
          </w:p>
          <w:p w14:paraId="22F73DBE" w14:textId="77777777" w:rsidR="00AD1F54" w:rsidRPr="00264D5D" w:rsidRDefault="00941227">
            <w:pPr>
              <w:pStyle w:val="GOSTTablenorm"/>
            </w:pPr>
            <w:r w:rsidRPr="00264D5D">
              <w:t>Не заполняется</w:t>
            </w:r>
            <w:r w:rsidR="00A12A8C" w:rsidRPr="00264D5D">
              <w:t>,</w:t>
            </w:r>
            <w:r w:rsidRPr="00264D5D">
              <w:t xml:space="preserve"> если реквизит «Код платежного документа»</w:t>
            </w:r>
            <w:r w:rsidR="00A12A8C" w:rsidRPr="00264D5D">
              <w:t xml:space="preserve"> не заполнен или значение</w:t>
            </w:r>
            <w:r w:rsidRPr="00264D5D">
              <w:t xml:space="preserve"> = «ZS».</w:t>
            </w:r>
          </w:p>
          <w:p w14:paraId="020875A6" w14:textId="77777777" w:rsidR="00AD1F54" w:rsidRPr="00264D5D" w:rsidRDefault="00941227" w:rsidP="00D65AFB">
            <w:pPr>
              <w:pStyle w:val="GOSTTablenorm"/>
              <w:rPr>
                <w:szCs w:val="22"/>
              </w:rPr>
            </w:pPr>
            <w:r w:rsidRPr="00264D5D">
              <w:t>Используется при информационном взаимодействии по маршру</w:t>
            </w:r>
            <w:r w:rsidR="00D65AFB">
              <w:t>там ПБС (ПФХД) – ТОФК (ПУР ЭБ)</w:t>
            </w:r>
          </w:p>
        </w:tc>
      </w:tr>
      <w:tr w:rsidR="00AD1F54" w:rsidRPr="00264D5D" w14:paraId="140F635E"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BFEA179" w14:textId="77777777" w:rsidR="00AD1F54" w:rsidRPr="00264D5D" w:rsidRDefault="00941227">
            <w:pPr>
              <w:pStyle w:val="GOSTTablenorm"/>
              <w:rPr>
                <w:szCs w:val="22"/>
              </w:rPr>
            </w:pPr>
            <w:r w:rsidRPr="00264D5D">
              <w:t>Код валюты по ОКВ</w:t>
            </w:r>
          </w:p>
        </w:tc>
        <w:tc>
          <w:tcPr>
            <w:tcW w:w="1701" w:type="dxa"/>
          </w:tcPr>
          <w:p w14:paraId="62856517" w14:textId="77777777" w:rsidR="00AD1F54" w:rsidRPr="00264D5D" w:rsidRDefault="00941227">
            <w:pPr>
              <w:pStyle w:val="GOSTTablenorm"/>
              <w:rPr>
                <w:szCs w:val="22"/>
              </w:rPr>
            </w:pPr>
            <w:r w:rsidRPr="00264D5D">
              <w:rPr>
                <w:rFonts w:eastAsiaTheme="minorHAnsi"/>
              </w:rPr>
              <w:t>StmInfrmtn_OKVCd</w:t>
            </w:r>
          </w:p>
        </w:tc>
        <w:tc>
          <w:tcPr>
            <w:tcW w:w="567" w:type="dxa"/>
          </w:tcPr>
          <w:p w14:paraId="3283FDCC" w14:textId="77777777" w:rsidR="00AD1F54" w:rsidRPr="00264D5D" w:rsidRDefault="00941227">
            <w:pPr>
              <w:pStyle w:val="GOSTTablenorm"/>
              <w:jc w:val="center"/>
              <w:rPr>
                <w:szCs w:val="22"/>
              </w:rPr>
            </w:pPr>
            <w:r w:rsidRPr="00264D5D">
              <w:t>П</w:t>
            </w:r>
          </w:p>
        </w:tc>
        <w:tc>
          <w:tcPr>
            <w:tcW w:w="1134" w:type="dxa"/>
          </w:tcPr>
          <w:p w14:paraId="0CAC37CE" w14:textId="77777777" w:rsidR="00AD1F54" w:rsidRPr="00264D5D" w:rsidRDefault="00941227">
            <w:pPr>
              <w:pStyle w:val="GOSTTablenorm"/>
              <w:rPr>
                <w:szCs w:val="22"/>
              </w:rPr>
            </w:pPr>
            <w:r w:rsidRPr="00264D5D">
              <w:t>Т(3)</w:t>
            </w:r>
          </w:p>
        </w:tc>
        <w:tc>
          <w:tcPr>
            <w:tcW w:w="567" w:type="dxa"/>
          </w:tcPr>
          <w:p w14:paraId="45E59242" w14:textId="77777777" w:rsidR="00AD1F54" w:rsidRPr="00264D5D" w:rsidRDefault="00941227">
            <w:pPr>
              <w:pStyle w:val="GOSTTablenorm"/>
              <w:jc w:val="center"/>
              <w:rPr>
                <w:szCs w:val="22"/>
              </w:rPr>
            </w:pPr>
            <w:r w:rsidRPr="00264D5D">
              <w:t>Н</w:t>
            </w:r>
          </w:p>
        </w:tc>
        <w:tc>
          <w:tcPr>
            <w:tcW w:w="3964" w:type="dxa"/>
          </w:tcPr>
          <w:p w14:paraId="1328BF34" w14:textId="77777777" w:rsidR="00AD1F54" w:rsidRPr="00264D5D" w:rsidRDefault="00941227">
            <w:pPr>
              <w:pStyle w:val="GOSTTablenorm"/>
            </w:pPr>
            <w:r w:rsidRPr="00264D5D">
              <w:t xml:space="preserve">Указывается </w:t>
            </w:r>
            <w:r w:rsidR="00060FD9" w:rsidRPr="00264D5D">
              <w:t xml:space="preserve">цифровой </w:t>
            </w:r>
            <w:r w:rsidRPr="00264D5D">
              <w:t>код валюты по ОКВ.</w:t>
            </w:r>
          </w:p>
          <w:p w14:paraId="1D3BDD79" w14:textId="77777777" w:rsidR="00AD1F54" w:rsidRPr="00264D5D" w:rsidRDefault="00941227">
            <w:pPr>
              <w:pStyle w:val="GOSTTablenorm"/>
            </w:pPr>
            <w:r w:rsidRPr="00264D5D">
              <w:t>Обязательно для заполнения если реквизит «Код платежного документа» = «ZP».</w:t>
            </w:r>
          </w:p>
          <w:p w14:paraId="1CAC2B8C" w14:textId="77777777" w:rsidR="00AD1F54" w:rsidRPr="00264D5D" w:rsidRDefault="00941227" w:rsidP="00D65AFB">
            <w:pPr>
              <w:pStyle w:val="GOSTTablenorm"/>
              <w:rPr>
                <w:szCs w:val="22"/>
              </w:rPr>
            </w:pPr>
            <w:r w:rsidRPr="00264D5D">
              <w:t>Используется при информационном взаимодействии по маршру</w:t>
            </w:r>
            <w:r w:rsidR="00D65AFB">
              <w:t>там ПБС (ПФХД) – ТОФК (ПУР ЭБ)</w:t>
            </w:r>
          </w:p>
        </w:tc>
      </w:tr>
      <w:tr w:rsidR="00AD1F54" w:rsidRPr="00264D5D" w14:paraId="075ADCEB"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2D63C7E5" w14:textId="77777777" w:rsidR="00AD1F54" w:rsidRPr="00264D5D" w:rsidRDefault="00941227">
            <w:pPr>
              <w:pStyle w:val="GOSTTablenorm"/>
              <w:rPr>
                <w:szCs w:val="22"/>
              </w:rPr>
            </w:pPr>
            <w:r w:rsidRPr="00264D5D">
              <w:t>Учетный номер ДО</w:t>
            </w:r>
          </w:p>
        </w:tc>
        <w:tc>
          <w:tcPr>
            <w:tcW w:w="1701" w:type="dxa"/>
          </w:tcPr>
          <w:p w14:paraId="67F85F40" w14:textId="77777777" w:rsidR="00AD1F54" w:rsidRPr="00264D5D" w:rsidRDefault="00941227">
            <w:pPr>
              <w:pStyle w:val="GOSTTablenorm"/>
              <w:rPr>
                <w:szCs w:val="22"/>
              </w:rPr>
            </w:pPr>
            <w:r w:rsidRPr="00264D5D">
              <w:t>StmInfrmtn_RegNumDo</w:t>
            </w:r>
          </w:p>
        </w:tc>
        <w:tc>
          <w:tcPr>
            <w:tcW w:w="567" w:type="dxa"/>
          </w:tcPr>
          <w:p w14:paraId="3E6B09E5" w14:textId="77777777" w:rsidR="00AD1F54" w:rsidRPr="00264D5D" w:rsidRDefault="00941227">
            <w:pPr>
              <w:pStyle w:val="GOSTTablenorm"/>
              <w:jc w:val="center"/>
              <w:rPr>
                <w:szCs w:val="22"/>
              </w:rPr>
            </w:pPr>
            <w:r w:rsidRPr="00264D5D">
              <w:t>П</w:t>
            </w:r>
          </w:p>
        </w:tc>
        <w:tc>
          <w:tcPr>
            <w:tcW w:w="1134" w:type="dxa"/>
          </w:tcPr>
          <w:p w14:paraId="2B676265" w14:textId="77777777" w:rsidR="00AD1F54" w:rsidRPr="00264D5D" w:rsidRDefault="00941227">
            <w:pPr>
              <w:pStyle w:val="GOSTTablenorm"/>
              <w:rPr>
                <w:szCs w:val="22"/>
              </w:rPr>
            </w:pPr>
            <w:r w:rsidRPr="00264D5D">
              <w:t>Т(22) или Т(25)</w:t>
            </w:r>
          </w:p>
        </w:tc>
        <w:tc>
          <w:tcPr>
            <w:tcW w:w="567" w:type="dxa"/>
          </w:tcPr>
          <w:p w14:paraId="38368C1E" w14:textId="77777777" w:rsidR="00AD1F54" w:rsidRPr="00264D5D" w:rsidRDefault="00941227">
            <w:pPr>
              <w:pStyle w:val="GOSTTablenorm"/>
              <w:jc w:val="center"/>
              <w:rPr>
                <w:szCs w:val="22"/>
              </w:rPr>
            </w:pPr>
            <w:r w:rsidRPr="00264D5D">
              <w:t>Н</w:t>
            </w:r>
          </w:p>
        </w:tc>
        <w:tc>
          <w:tcPr>
            <w:tcW w:w="3964" w:type="dxa"/>
          </w:tcPr>
          <w:p w14:paraId="1FAA230F" w14:textId="77777777" w:rsidR="00AD1F54" w:rsidRPr="00264D5D" w:rsidRDefault="00941227">
            <w:pPr>
              <w:pStyle w:val="GOSTTablenorm"/>
            </w:pPr>
            <w:r w:rsidRPr="00264D5D">
              <w:t xml:space="preserve">Указывается учетный номер денежного обязательства. </w:t>
            </w:r>
          </w:p>
          <w:p w14:paraId="5D0FA6DA" w14:textId="77777777" w:rsidR="00AD1F54" w:rsidRPr="00264D5D" w:rsidRDefault="00941227">
            <w:pPr>
              <w:pStyle w:val="GOSTTablenorm"/>
            </w:pPr>
            <w:r w:rsidRPr="00264D5D">
              <w:t>Не заполняется если реквизит «Код платежного документа» = «ZS».</w:t>
            </w:r>
          </w:p>
          <w:p w14:paraId="3C80E013" w14:textId="77777777" w:rsidR="00AD1F54" w:rsidRPr="00264D5D" w:rsidRDefault="00941227">
            <w:pPr>
              <w:pStyle w:val="GOSTTablenorm"/>
            </w:pPr>
            <w:r w:rsidRPr="00264D5D">
              <w:lastRenderedPageBreak/>
              <w:t>Используется при информационном взаимодействии по маршр</w:t>
            </w:r>
            <w:r w:rsidR="00D65AFB">
              <w:t>утам ПБС (ПФХД) – ТОФК (ПУР ЭБ)</w:t>
            </w:r>
            <w:r w:rsidRPr="00264D5D">
              <w:t>.</w:t>
            </w:r>
          </w:p>
          <w:p w14:paraId="3720FB71" w14:textId="77777777" w:rsidR="00AD1F54" w:rsidRPr="00264D5D" w:rsidRDefault="00941227" w:rsidP="00A12A8C">
            <w:pPr>
              <w:pStyle w:val="GOSTTablenorm"/>
              <w:rPr>
                <w:szCs w:val="22"/>
              </w:rPr>
            </w:pPr>
            <w:r w:rsidRPr="00264D5D">
              <w:t>Поле не заполняется для маршрут</w:t>
            </w:r>
            <w:r w:rsidR="00A12A8C" w:rsidRPr="00264D5D">
              <w:t>ов</w:t>
            </w:r>
            <w:r w:rsidRPr="00264D5D">
              <w:t xml:space="preserve"> АУ, БУ – ТОФК (Компонент АУ, БУ ПУР ЭБ)</w:t>
            </w:r>
            <w:r w:rsidR="00A12A8C" w:rsidRPr="00264D5D">
              <w:t xml:space="preserve">, </w:t>
            </w:r>
            <w:r w:rsidR="00A12A8C" w:rsidRPr="00264D5D">
              <w:rPr>
                <w:szCs w:val="22"/>
              </w:rPr>
              <w:t>НУБП (ПСБ и Росавтодор) – ТОФК</w:t>
            </w:r>
            <w:r w:rsidR="00A12A8C" w:rsidRPr="00264D5D">
              <w:t xml:space="preserve">, </w:t>
            </w:r>
            <w:r w:rsidR="00A12A8C" w:rsidRPr="00264D5D">
              <w:rPr>
                <w:color w:val="000000" w:themeColor="text1"/>
              </w:rPr>
              <w:t xml:space="preserve">ТОФК (Компонент КС ПУР ЭБ) </w:t>
            </w:r>
            <w:r w:rsidR="00A12A8C" w:rsidRPr="00264D5D">
              <w:t>–</w:t>
            </w:r>
            <w:r w:rsidR="00A12A8C" w:rsidRPr="00264D5D">
              <w:rPr>
                <w:color w:val="000000" w:themeColor="text1"/>
              </w:rPr>
              <w:t xml:space="preserve"> ТОФК (ППО АСФК)</w:t>
            </w:r>
          </w:p>
        </w:tc>
      </w:tr>
      <w:tr w:rsidR="00AD1F54" w:rsidRPr="00264D5D" w14:paraId="5B5BF752"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3D9E60F" w14:textId="77777777" w:rsidR="00AD1F54" w:rsidRPr="00264D5D" w:rsidRDefault="00941227">
            <w:pPr>
              <w:pStyle w:val="GOSTTablenorm"/>
              <w:rPr>
                <w:szCs w:val="22"/>
              </w:rPr>
            </w:pPr>
            <w:r w:rsidRPr="00264D5D">
              <w:lastRenderedPageBreak/>
              <w:t>Уровень конфиденциальности</w:t>
            </w:r>
          </w:p>
        </w:tc>
        <w:tc>
          <w:tcPr>
            <w:tcW w:w="1701" w:type="dxa"/>
          </w:tcPr>
          <w:p w14:paraId="195B9A41" w14:textId="77777777" w:rsidR="00AD1F54" w:rsidRPr="00264D5D" w:rsidRDefault="00941227">
            <w:pPr>
              <w:pStyle w:val="GOSTTablenorm"/>
              <w:rPr>
                <w:szCs w:val="22"/>
              </w:rPr>
            </w:pPr>
            <w:r w:rsidRPr="00264D5D">
              <w:t>TtlPrt_SECRECY</w:t>
            </w:r>
          </w:p>
        </w:tc>
        <w:tc>
          <w:tcPr>
            <w:tcW w:w="567" w:type="dxa"/>
          </w:tcPr>
          <w:p w14:paraId="6A396A0E" w14:textId="77777777" w:rsidR="00AD1F54" w:rsidRPr="00264D5D" w:rsidRDefault="00941227">
            <w:pPr>
              <w:pStyle w:val="GOSTTablenorm"/>
              <w:jc w:val="center"/>
              <w:rPr>
                <w:szCs w:val="22"/>
              </w:rPr>
            </w:pPr>
            <w:r w:rsidRPr="00264D5D">
              <w:rPr>
                <w:szCs w:val="22"/>
              </w:rPr>
              <w:t>П</w:t>
            </w:r>
          </w:p>
        </w:tc>
        <w:tc>
          <w:tcPr>
            <w:tcW w:w="1134" w:type="dxa"/>
          </w:tcPr>
          <w:p w14:paraId="37A68F00" w14:textId="77777777" w:rsidR="00AD1F54" w:rsidRPr="00264D5D" w:rsidRDefault="00941227">
            <w:pPr>
              <w:pStyle w:val="GOSTTablenorm"/>
              <w:rPr>
                <w:szCs w:val="22"/>
              </w:rPr>
            </w:pPr>
            <w:r w:rsidRPr="00264D5D">
              <w:rPr>
                <w:szCs w:val="22"/>
              </w:rPr>
              <w:t>Т(1)</w:t>
            </w:r>
          </w:p>
        </w:tc>
        <w:tc>
          <w:tcPr>
            <w:tcW w:w="567" w:type="dxa"/>
          </w:tcPr>
          <w:p w14:paraId="0BC8CCC5" w14:textId="77777777" w:rsidR="00AD1F54" w:rsidRPr="00264D5D" w:rsidRDefault="00941227" w:rsidP="00B06B9A">
            <w:pPr>
              <w:pStyle w:val="GOSTTablenorm"/>
              <w:jc w:val="center"/>
              <w:rPr>
                <w:szCs w:val="22"/>
              </w:rPr>
            </w:pPr>
            <w:r w:rsidRPr="00264D5D">
              <w:rPr>
                <w:szCs w:val="22"/>
              </w:rPr>
              <w:t>Н</w:t>
            </w:r>
          </w:p>
        </w:tc>
        <w:tc>
          <w:tcPr>
            <w:tcW w:w="3964" w:type="dxa"/>
          </w:tcPr>
          <w:p w14:paraId="316445E8" w14:textId="77777777" w:rsidR="00AD1F54" w:rsidRPr="00264D5D" w:rsidRDefault="00941227" w:rsidP="00B06B9A">
            <w:pPr>
              <w:pStyle w:val="GOSTTablenorm"/>
              <w:widowControl w:val="0"/>
              <w:rPr>
                <w:szCs w:val="22"/>
              </w:rPr>
            </w:pPr>
            <w:r w:rsidRPr="00264D5D">
              <w:rPr>
                <w:szCs w:val="22"/>
              </w:rPr>
              <w:t>Указывается уровень конфиденциальности.</w:t>
            </w:r>
          </w:p>
          <w:p w14:paraId="6EDAB2CA" w14:textId="77777777" w:rsidR="00AD1F54" w:rsidRPr="00264D5D" w:rsidRDefault="00941227" w:rsidP="00B06B9A">
            <w:pPr>
              <w:pStyle w:val="GOSTTablenorm"/>
              <w:widowControl w:val="0"/>
              <w:rPr>
                <w:szCs w:val="22"/>
              </w:rPr>
            </w:pPr>
            <w:r w:rsidRPr="00264D5D">
              <w:rPr>
                <w:szCs w:val="22"/>
              </w:rPr>
              <w:t>Возможные значения:</w:t>
            </w:r>
          </w:p>
          <w:p w14:paraId="5709E398" w14:textId="77777777" w:rsidR="00AD1F54" w:rsidRPr="00264D5D" w:rsidRDefault="00941227" w:rsidP="00B06B9A">
            <w:pPr>
              <w:pStyle w:val="GOSTTableListMark1"/>
              <w:widowControl w:val="0"/>
              <w:numPr>
                <w:ilvl w:val="0"/>
                <w:numId w:val="65"/>
              </w:numPr>
              <w:tabs>
                <w:tab w:val="clear" w:pos="340"/>
                <w:tab w:val="num" w:pos="227"/>
              </w:tabs>
              <w:spacing w:before="60" w:after="60"/>
              <w:ind w:left="284"/>
              <w:jc w:val="both"/>
              <w:rPr>
                <w:szCs w:val="22"/>
              </w:rPr>
            </w:pPr>
            <w:r w:rsidRPr="00264D5D">
              <w:t>«0» – Несекретно;</w:t>
            </w:r>
          </w:p>
          <w:p w14:paraId="316D33EF" w14:textId="77777777" w:rsidR="00AD1F54" w:rsidRPr="00264D5D" w:rsidRDefault="00941227" w:rsidP="00B06B9A">
            <w:pPr>
              <w:pStyle w:val="GOSTTableListMark1"/>
              <w:widowControl w:val="0"/>
              <w:numPr>
                <w:ilvl w:val="0"/>
                <w:numId w:val="65"/>
              </w:numPr>
              <w:tabs>
                <w:tab w:val="clear" w:pos="340"/>
                <w:tab w:val="num" w:pos="227"/>
              </w:tabs>
              <w:spacing w:before="60" w:after="60"/>
              <w:ind w:left="284"/>
              <w:jc w:val="both"/>
              <w:rPr>
                <w:szCs w:val="22"/>
              </w:rPr>
            </w:pPr>
            <w:r w:rsidRPr="00264D5D">
              <w:t>«1» – Для служебного пользования.</w:t>
            </w:r>
          </w:p>
          <w:p w14:paraId="456E1903" w14:textId="77777777" w:rsidR="00AD1F54" w:rsidRPr="00264D5D" w:rsidRDefault="00941227" w:rsidP="00B06B9A">
            <w:pPr>
              <w:pStyle w:val="GOSTTablenorm"/>
            </w:pPr>
            <w:r w:rsidRPr="00264D5D">
              <w:rPr>
                <w:szCs w:val="22"/>
              </w:rPr>
              <w:t>Обязателен для заполнения в случае взаимодействия по маршруту ПБС (ПФХД) – ТОФК (ПУР ЭБ).</w:t>
            </w:r>
            <w:r w:rsidRPr="00264D5D">
              <w:t xml:space="preserve"> </w:t>
            </w:r>
          </w:p>
          <w:p w14:paraId="2BC262FB" w14:textId="77777777" w:rsidR="00AD1F54" w:rsidRPr="00264D5D" w:rsidRDefault="00941227" w:rsidP="00A12A8C">
            <w:pPr>
              <w:pStyle w:val="GOSTTablenorm"/>
              <w:rPr>
                <w:szCs w:val="22"/>
              </w:rPr>
            </w:pPr>
            <w:r w:rsidRPr="00264D5D">
              <w:t>Поле не заполняется для маршрут</w:t>
            </w:r>
            <w:r w:rsidR="00A12A8C" w:rsidRPr="00264D5D">
              <w:t>ов</w:t>
            </w:r>
            <w:r w:rsidRPr="00264D5D">
              <w:t xml:space="preserve"> ТОФК (Компон</w:t>
            </w:r>
            <w:r w:rsidR="00B06B9A" w:rsidRPr="00264D5D">
              <w:t>ент КС ПУР ЭБ) – ТОФК (ПУДС ЭБ)</w:t>
            </w:r>
            <w:r w:rsidR="00A12A8C" w:rsidRPr="00264D5D">
              <w:t xml:space="preserve">, </w:t>
            </w:r>
            <w:r w:rsidR="00A12A8C" w:rsidRPr="00264D5D">
              <w:rPr>
                <w:szCs w:val="22"/>
              </w:rPr>
              <w:t>НУБП (ПСБ и Росавтодор) – ТОФК</w:t>
            </w:r>
            <w:r w:rsidR="00A12A8C" w:rsidRPr="00264D5D">
              <w:t xml:space="preserve">, </w:t>
            </w:r>
            <w:r w:rsidR="00A12A8C" w:rsidRPr="00264D5D">
              <w:rPr>
                <w:color w:val="000000" w:themeColor="text1"/>
              </w:rPr>
              <w:t xml:space="preserve">ТОФК (Компонент КС ПУР ЭБ) </w:t>
            </w:r>
            <w:r w:rsidR="00A12A8C" w:rsidRPr="00264D5D">
              <w:t>–</w:t>
            </w:r>
            <w:r w:rsidR="00A12A8C" w:rsidRPr="00264D5D">
              <w:rPr>
                <w:color w:val="000000" w:themeColor="text1"/>
              </w:rPr>
              <w:t xml:space="preserve"> ТОФК (ППО АСФК)</w:t>
            </w:r>
          </w:p>
        </w:tc>
      </w:tr>
      <w:tr w:rsidR="00AD1F54" w:rsidRPr="00264D5D" w14:paraId="1AD17817" w14:textId="77777777" w:rsidTr="00AD1F54">
        <w:trPr>
          <w:cnfStyle w:val="000000010000" w:firstRow="0" w:lastRow="0" w:firstColumn="0" w:lastColumn="0" w:oddVBand="0" w:evenVBand="0" w:oddHBand="0" w:evenHBand="1" w:firstRowFirstColumn="0" w:firstRowLastColumn="0" w:lastRowFirstColumn="0" w:lastRowLastColumn="0"/>
        </w:trPr>
        <w:tc>
          <w:tcPr>
            <w:tcW w:w="9634" w:type="dxa"/>
            <w:gridSpan w:val="6"/>
          </w:tcPr>
          <w:p w14:paraId="722BF135" w14:textId="77777777" w:rsidR="00AD1F54" w:rsidRPr="00264D5D" w:rsidRDefault="00941227">
            <w:pPr>
              <w:pStyle w:val="GOSTTablenorm"/>
              <w:widowControl w:val="0"/>
              <w:rPr>
                <w:szCs w:val="22"/>
              </w:rPr>
            </w:pPr>
            <w:r w:rsidRPr="00264D5D">
              <w:rPr>
                <w:b/>
                <w:szCs w:val="22"/>
              </w:rPr>
              <w:t>Подписи</w:t>
            </w:r>
          </w:p>
        </w:tc>
      </w:tr>
      <w:tr w:rsidR="00AD1F54" w:rsidRPr="00264D5D" w14:paraId="454EE4E2"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70F8CB51" w14:textId="77777777" w:rsidR="00AD1F54" w:rsidRPr="00264D5D" w:rsidRDefault="00941227">
            <w:pPr>
              <w:pStyle w:val="GOSTTablenorm"/>
              <w:rPr>
                <w:i/>
                <w:szCs w:val="22"/>
                <w:lang w:eastAsia="en-US"/>
              </w:rPr>
            </w:pPr>
            <w:r w:rsidRPr="00264D5D">
              <w:rPr>
                <w:szCs w:val="22"/>
              </w:rPr>
              <w:t>Руководитель</w:t>
            </w:r>
          </w:p>
        </w:tc>
        <w:tc>
          <w:tcPr>
            <w:tcW w:w="1701" w:type="dxa"/>
          </w:tcPr>
          <w:p w14:paraId="139CCEC6" w14:textId="77777777" w:rsidR="00AD1F54" w:rsidRPr="00264D5D" w:rsidRDefault="00941227">
            <w:pPr>
              <w:pStyle w:val="GOSTTablenorm"/>
              <w:rPr>
                <w:szCs w:val="22"/>
              </w:rPr>
            </w:pPr>
            <w:r w:rsidRPr="00264D5D">
              <w:rPr>
                <w:szCs w:val="22"/>
              </w:rPr>
              <w:t>ZS_MSC_Hd</w:t>
            </w:r>
          </w:p>
        </w:tc>
        <w:tc>
          <w:tcPr>
            <w:tcW w:w="567" w:type="dxa"/>
          </w:tcPr>
          <w:p w14:paraId="01B54E96" w14:textId="77777777" w:rsidR="00AD1F54" w:rsidRPr="00264D5D" w:rsidRDefault="00941227">
            <w:pPr>
              <w:pStyle w:val="GOSTTablenorm"/>
              <w:jc w:val="center"/>
              <w:rPr>
                <w:szCs w:val="22"/>
              </w:rPr>
            </w:pPr>
            <w:r w:rsidRPr="00264D5D">
              <w:rPr>
                <w:szCs w:val="22"/>
              </w:rPr>
              <w:t>С</w:t>
            </w:r>
          </w:p>
        </w:tc>
        <w:tc>
          <w:tcPr>
            <w:tcW w:w="1134" w:type="dxa"/>
          </w:tcPr>
          <w:p w14:paraId="23947D00" w14:textId="77777777" w:rsidR="00AD1F54" w:rsidRPr="00264D5D" w:rsidRDefault="00941227">
            <w:pPr>
              <w:pStyle w:val="GOSTTablenorm"/>
              <w:rPr>
                <w:szCs w:val="22"/>
                <w:lang w:val="en-US"/>
              </w:rPr>
            </w:pPr>
            <w:r w:rsidRPr="00264D5D">
              <w:rPr>
                <w:szCs w:val="22"/>
              </w:rPr>
              <w:t>tSGNNmPs1</w:t>
            </w:r>
          </w:p>
        </w:tc>
        <w:tc>
          <w:tcPr>
            <w:tcW w:w="567" w:type="dxa"/>
          </w:tcPr>
          <w:p w14:paraId="128C3ECC" w14:textId="77777777" w:rsidR="00AD1F54" w:rsidRPr="00264D5D" w:rsidRDefault="00941227">
            <w:pPr>
              <w:pStyle w:val="GOSTTablenorm"/>
              <w:jc w:val="center"/>
              <w:rPr>
                <w:szCs w:val="22"/>
              </w:rPr>
            </w:pPr>
            <w:r w:rsidRPr="00264D5D">
              <w:rPr>
                <w:szCs w:val="22"/>
              </w:rPr>
              <w:t>Н</w:t>
            </w:r>
          </w:p>
        </w:tc>
        <w:tc>
          <w:tcPr>
            <w:tcW w:w="3964" w:type="dxa"/>
          </w:tcPr>
          <w:p w14:paraId="2951E1C4" w14:textId="12E8B1F1" w:rsidR="00AD1F54" w:rsidRPr="00264D5D" w:rsidRDefault="00941227">
            <w:pPr>
              <w:pStyle w:val="ASFKTablenorm"/>
              <w:rPr>
                <w:szCs w:val="22"/>
              </w:rPr>
            </w:pPr>
            <w:r w:rsidRPr="00264D5D">
              <w:rPr>
                <w:sz w:val="22"/>
                <w:szCs w:val="22"/>
              </w:rPr>
              <w:t xml:space="preserve">Состав элемента представлен в таблице </w:t>
            </w:r>
            <w:r w:rsidRPr="00264D5D">
              <w:rPr>
                <w:b/>
                <w:sz w:val="22"/>
                <w:szCs w:val="22"/>
              </w:rPr>
              <w:fldChar w:fldCharType="begin"/>
            </w:r>
            <w:r w:rsidRPr="00264D5D">
              <w:rPr>
                <w:b/>
                <w:sz w:val="22"/>
                <w:szCs w:val="22"/>
              </w:rPr>
              <w:instrText xml:space="preserve"> REF _Ref503551832 \h  \* MERGEFORMAT </w:instrText>
            </w:r>
            <w:r w:rsidRPr="00264D5D">
              <w:rPr>
                <w:b/>
                <w:sz w:val="22"/>
                <w:szCs w:val="22"/>
              </w:rPr>
            </w:r>
            <w:r w:rsidRPr="00264D5D">
              <w:rPr>
                <w:b/>
                <w:sz w:val="22"/>
                <w:szCs w:val="22"/>
              </w:rPr>
              <w:fldChar w:fldCharType="separate"/>
            </w:r>
            <w:r w:rsidR="008D797C" w:rsidRPr="008D797C">
              <w:rPr>
                <w:b/>
                <w:sz w:val="22"/>
                <w:szCs w:val="22"/>
              </w:rPr>
              <w:t>287</w:t>
            </w:r>
            <w:r w:rsidRPr="00264D5D">
              <w:rPr>
                <w:b/>
                <w:sz w:val="22"/>
                <w:szCs w:val="22"/>
              </w:rPr>
              <w:fldChar w:fldCharType="end"/>
            </w:r>
          </w:p>
        </w:tc>
      </w:tr>
      <w:tr w:rsidR="00AD1F54" w:rsidRPr="00264D5D" w14:paraId="0AD211EC"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EAF9348" w14:textId="77777777" w:rsidR="00AD1F54" w:rsidRPr="00264D5D" w:rsidRDefault="00941227">
            <w:pPr>
              <w:pStyle w:val="GOSTTablenorm"/>
              <w:rPr>
                <w:szCs w:val="22"/>
              </w:rPr>
            </w:pPr>
            <w:r w:rsidRPr="00264D5D">
              <w:rPr>
                <w:szCs w:val="22"/>
              </w:rPr>
              <w:t>Главный бухгалтер</w:t>
            </w:r>
          </w:p>
        </w:tc>
        <w:tc>
          <w:tcPr>
            <w:tcW w:w="1701" w:type="dxa"/>
          </w:tcPr>
          <w:p w14:paraId="30B2218D" w14:textId="77777777" w:rsidR="00AD1F54" w:rsidRPr="00264D5D" w:rsidRDefault="00941227">
            <w:pPr>
              <w:pStyle w:val="GOSTTablenorm"/>
              <w:rPr>
                <w:szCs w:val="22"/>
              </w:rPr>
            </w:pPr>
            <w:r w:rsidRPr="00264D5D">
              <w:rPr>
                <w:szCs w:val="22"/>
              </w:rPr>
              <w:t>ZS_MSC_RspnExctr</w:t>
            </w:r>
          </w:p>
        </w:tc>
        <w:tc>
          <w:tcPr>
            <w:tcW w:w="567" w:type="dxa"/>
          </w:tcPr>
          <w:p w14:paraId="3CBDE362" w14:textId="77777777" w:rsidR="00AD1F54" w:rsidRPr="00264D5D" w:rsidRDefault="00941227">
            <w:pPr>
              <w:pStyle w:val="GOSTTablenorm"/>
              <w:jc w:val="center"/>
              <w:rPr>
                <w:szCs w:val="22"/>
              </w:rPr>
            </w:pPr>
            <w:r w:rsidRPr="00264D5D">
              <w:rPr>
                <w:szCs w:val="22"/>
              </w:rPr>
              <w:t>С</w:t>
            </w:r>
          </w:p>
        </w:tc>
        <w:tc>
          <w:tcPr>
            <w:tcW w:w="1134" w:type="dxa"/>
          </w:tcPr>
          <w:p w14:paraId="5BC8F32D" w14:textId="77777777" w:rsidR="00AD1F54" w:rsidRPr="00264D5D" w:rsidRDefault="00941227">
            <w:pPr>
              <w:pStyle w:val="GOSTTablenorm"/>
              <w:rPr>
                <w:szCs w:val="22"/>
              </w:rPr>
            </w:pPr>
            <w:r w:rsidRPr="00264D5D">
              <w:rPr>
                <w:szCs w:val="22"/>
              </w:rPr>
              <w:t>tSGNNmPs1</w:t>
            </w:r>
          </w:p>
        </w:tc>
        <w:tc>
          <w:tcPr>
            <w:tcW w:w="567" w:type="dxa"/>
          </w:tcPr>
          <w:p w14:paraId="4725F79D" w14:textId="77777777" w:rsidR="00AD1F54" w:rsidRPr="00264D5D" w:rsidRDefault="00941227">
            <w:pPr>
              <w:pStyle w:val="ASFKTablenorm"/>
              <w:jc w:val="center"/>
              <w:rPr>
                <w:sz w:val="22"/>
                <w:szCs w:val="22"/>
              </w:rPr>
            </w:pPr>
            <w:r w:rsidRPr="00264D5D">
              <w:rPr>
                <w:sz w:val="22"/>
                <w:szCs w:val="22"/>
              </w:rPr>
              <w:t>Н</w:t>
            </w:r>
          </w:p>
        </w:tc>
        <w:tc>
          <w:tcPr>
            <w:tcW w:w="3964" w:type="dxa"/>
          </w:tcPr>
          <w:p w14:paraId="16991BF4" w14:textId="0C49457E" w:rsidR="00AD1F54" w:rsidRPr="00264D5D" w:rsidRDefault="00941227">
            <w:pPr>
              <w:pStyle w:val="ASFKTablenorm"/>
              <w:rPr>
                <w:sz w:val="22"/>
                <w:szCs w:val="22"/>
              </w:rPr>
            </w:pPr>
            <w:r w:rsidRPr="00264D5D">
              <w:rPr>
                <w:sz w:val="22"/>
                <w:szCs w:val="22"/>
              </w:rPr>
              <w:t xml:space="preserve">Состав элемента представлен в таблице </w:t>
            </w:r>
            <w:r w:rsidRPr="00264D5D">
              <w:rPr>
                <w:b/>
                <w:sz w:val="22"/>
                <w:szCs w:val="22"/>
              </w:rPr>
              <w:fldChar w:fldCharType="begin"/>
            </w:r>
            <w:r w:rsidRPr="00264D5D">
              <w:rPr>
                <w:b/>
                <w:sz w:val="22"/>
                <w:szCs w:val="22"/>
              </w:rPr>
              <w:instrText xml:space="preserve"> REF _Ref503551832 \h  \* MERGEFORMAT </w:instrText>
            </w:r>
            <w:r w:rsidRPr="00264D5D">
              <w:rPr>
                <w:b/>
                <w:sz w:val="22"/>
                <w:szCs w:val="22"/>
              </w:rPr>
            </w:r>
            <w:r w:rsidRPr="00264D5D">
              <w:rPr>
                <w:b/>
                <w:sz w:val="22"/>
                <w:szCs w:val="22"/>
              </w:rPr>
              <w:fldChar w:fldCharType="separate"/>
            </w:r>
            <w:r w:rsidR="008D797C" w:rsidRPr="008D797C">
              <w:rPr>
                <w:b/>
                <w:sz w:val="22"/>
                <w:szCs w:val="22"/>
              </w:rPr>
              <w:t>287</w:t>
            </w:r>
            <w:r w:rsidRPr="00264D5D">
              <w:rPr>
                <w:b/>
                <w:sz w:val="22"/>
                <w:szCs w:val="22"/>
              </w:rPr>
              <w:fldChar w:fldCharType="end"/>
            </w:r>
          </w:p>
        </w:tc>
      </w:tr>
      <w:tr w:rsidR="00AD1F54" w:rsidRPr="00264D5D" w14:paraId="3D173219"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80639A4" w14:textId="77777777" w:rsidR="00AD1F54" w:rsidRPr="00264D5D" w:rsidRDefault="00941227">
            <w:pPr>
              <w:pStyle w:val="GOSTTablenorm"/>
              <w:rPr>
                <w:szCs w:val="22"/>
              </w:rPr>
            </w:pPr>
            <w:r w:rsidRPr="00264D5D">
              <w:rPr>
                <w:szCs w:val="22"/>
              </w:rPr>
              <w:t>Дата подписания документа</w:t>
            </w:r>
          </w:p>
        </w:tc>
        <w:tc>
          <w:tcPr>
            <w:tcW w:w="1701" w:type="dxa"/>
          </w:tcPr>
          <w:p w14:paraId="61DE172D" w14:textId="77777777" w:rsidR="00AD1F54" w:rsidRPr="00264D5D" w:rsidRDefault="00941227">
            <w:pPr>
              <w:pStyle w:val="GOSTTablenorm"/>
              <w:rPr>
                <w:szCs w:val="22"/>
              </w:rPr>
            </w:pPr>
            <w:r w:rsidRPr="00264D5D">
              <w:rPr>
                <w:szCs w:val="22"/>
              </w:rPr>
              <w:t>ZS_SgngDtDoc</w:t>
            </w:r>
          </w:p>
        </w:tc>
        <w:tc>
          <w:tcPr>
            <w:tcW w:w="567" w:type="dxa"/>
          </w:tcPr>
          <w:p w14:paraId="202C07F2" w14:textId="77777777" w:rsidR="00AD1F54" w:rsidRPr="00264D5D" w:rsidRDefault="00941227">
            <w:pPr>
              <w:pStyle w:val="GOSTTablenorm"/>
              <w:jc w:val="center"/>
              <w:rPr>
                <w:szCs w:val="22"/>
              </w:rPr>
            </w:pPr>
            <w:r w:rsidRPr="00264D5D">
              <w:rPr>
                <w:szCs w:val="22"/>
              </w:rPr>
              <w:t>П</w:t>
            </w:r>
          </w:p>
        </w:tc>
        <w:tc>
          <w:tcPr>
            <w:tcW w:w="1134" w:type="dxa"/>
          </w:tcPr>
          <w:p w14:paraId="54398649" w14:textId="77777777" w:rsidR="00AD1F54" w:rsidRPr="00264D5D" w:rsidRDefault="00941227">
            <w:pPr>
              <w:pStyle w:val="GOSTTablenorm"/>
              <w:rPr>
                <w:szCs w:val="22"/>
              </w:rPr>
            </w:pPr>
            <w:r w:rsidRPr="00264D5D">
              <w:rPr>
                <w:szCs w:val="22"/>
                <w:lang w:val="en-US"/>
              </w:rPr>
              <w:t>Date</w:t>
            </w:r>
          </w:p>
        </w:tc>
        <w:tc>
          <w:tcPr>
            <w:tcW w:w="567" w:type="dxa"/>
          </w:tcPr>
          <w:p w14:paraId="3DE18147" w14:textId="77777777" w:rsidR="00AD1F54" w:rsidRPr="00264D5D" w:rsidRDefault="00941227">
            <w:pPr>
              <w:pStyle w:val="GOSTTablenorm"/>
              <w:jc w:val="center"/>
              <w:rPr>
                <w:szCs w:val="22"/>
              </w:rPr>
            </w:pPr>
            <w:r w:rsidRPr="00264D5D">
              <w:rPr>
                <w:szCs w:val="22"/>
              </w:rPr>
              <w:t>Н</w:t>
            </w:r>
          </w:p>
        </w:tc>
        <w:tc>
          <w:tcPr>
            <w:tcW w:w="3964" w:type="dxa"/>
          </w:tcPr>
          <w:p w14:paraId="0F2943B5" w14:textId="77777777" w:rsidR="00AD1F54" w:rsidRPr="00264D5D" w:rsidRDefault="00B06B9A">
            <w:pPr>
              <w:pStyle w:val="ASFKTablenorm"/>
              <w:rPr>
                <w:szCs w:val="22"/>
              </w:rPr>
            </w:pPr>
            <w:r w:rsidRPr="00264D5D">
              <w:rPr>
                <w:sz w:val="22"/>
                <w:szCs w:val="22"/>
              </w:rPr>
              <w:t>Дата подписания документа</w:t>
            </w:r>
          </w:p>
        </w:tc>
      </w:tr>
      <w:tr w:rsidR="00AD1F54" w:rsidRPr="00264D5D" w14:paraId="4B18B2B8" w14:textId="77777777" w:rsidTr="00AD1F54">
        <w:trPr>
          <w:cnfStyle w:val="000000010000" w:firstRow="0" w:lastRow="0" w:firstColumn="0" w:lastColumn="0" w:oddVBand="0" w:evenVBand="0" w:oddHBand="0" w:evenHBand="1" w:firstRowFirstColumn="0" w:firstRowLastColumn="0" w:lastRowFirstColumn="0" w:lastRowLastColumn="0"/>
        </w:trPr>
        <w:tc>
          <w:tcPr>
            <w:tcW w:w="9634" w:type="dxa"/>
            <w:gridSpan w:val="6"/>
          </w:tcPr>
          <w:p w14:paraId="3DE9BD87" w14:textId="77777777" w:rsidR="00AD1F54" w:rsidRPr="00264D5D" w:rsidRDefault="00941227">
            <w:pPr>
              <w:pStyle w:val="GOSTTablenorm"/>
              <w:widowControl w:val="0"/>
              <w:rPr>
                <w:szCs w:val="22"/>
              </w:rPr>
            </w:pPr>
            <w:r w:rsidRPr="00264D5D">
              <w:rPr>
                <w:b/>
                <w:szCs w:val="22"/>
              </w:rPr>
              <w:t>Доверенное лицо</w:t>
            </w:r>
          </w:p>
        </w:tc>
      </w:tr>
      <w:tr w:rsidR="00AD1F54" w:rsidRPr="00264D5D" w14:paraId="1BBD299C"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D8D0C0C" w14:textId="77777777" w:rsidR="00AD1F54" w:rsidRPr="00264D5D" w:rsidRDefault="00941227">
            <w:pPr>
              <w:pStyle w:val="GOSTTablenorm"/>
              <w:rPr>
                <w:i/>
                <w:szCs w:val="22"/>
              </w:rPr>
            </w:pPr>
            <w:r w:rsidRPr="00264D5D">
              <w:rPr>
                <w:szCs w:val="22"/>
              </w:rPr>
              <w:t>Доверенное лицо</w:t>
            </w:r>
          </w:p>
        </w:tc>
        <w:tc>
          <w:tcPr>
            <w:tcW w:w="1701" w:type="dxa"/>
          </w:tcPr>
          <w:p w14:paraId="7713DB9B" w14:textId="77777777" w:rsidR="00AD1F54" w:rsidRPr="00264D5D" w:rsidRDefault="00941227">
            <w:pPr>
              <w:pStyle w:val="GOSTTablenorm"/>
              <w:rPr>
                <w:szCs w:val="22"/>
              </w:rPr>
            </w:pPr>
            <w:r w:rsidRPr="00264D5D">
              <w:rPr>
                <w:szCs w:val="22"/>
              </w:rPr>
              <w:t>ZS_MSC_HdCnfdnt</w:t>
            </w:r>
          </w:p>
        </w:tc>
        <w:tc>
          <w:tcPr>
            <w:tcW w:w="567" w:type="dxa"/>
          </w:tcPr>
          <w:p w14:paraId="4FDCD2CD" w14:textId="77777777" w:rsidR="00AD1F54" w:rsidRPr="00264D5D" w:rsidRDefault="00941227">
            <w:pPr>
              <w:pStyle w:val="GOSTTablenorm"/>
              <w:jc w:val="center"/>
              <w:rPr>
                <w:szCs w:val="22"/>
              </w:rPr>
            </w:pPr>
            <w:r w:rsidRPr="00264D5D">
              <w:rPr>
                <w:szCs w:val="22"/>
              </w:rPr>
              <w:t>С</w:t>
            </w:r>
          </w:p>
        </w:tc>
        <w:tc>
          <w:tcPr>
            <w:tcW w:w="1134" w:type="dxa"/>
          </w:tcPr>
          <w:p w14:paraId="658FE84C" w14:textId="77777777" w:rsidR="00AD1F54" w:rsidRPr="00264D5D" w:rsidRDefault="00941227">
            <w:pPr>
              <w:pStyle w:val="GOSTTablenorm"/>
              <w:rPr>
                <w:szCs w:val="22"/>
                <w:lang w:val="en-US"/>
              </w:rPr>
            </w:pPr>
            <w:r w:rsidRPr="00264D5D">
              <w:rPr>
                <w:szCs w:val="22"/>
                <w:lang w:val="en-US"/>
              </w:rPr>
              <w:t>tSGNNmPs2</w:t>
            </w:r>
          </w:p>
        </w:tc>
        <w:tc>
          <w:tcPr>
            <w:tcW w:w="567" w:type="dxa"/>
          </w:tcPr>
          <w:p w14:paraId="5CCFA60A" w14:textId="77777777" w:rsidR="00AD1F54" w:rsidRPr="00264D5D" w:rsidRDefault="00941227">
            <w:pPr>
              <w:pStyle w:val="GOSTTablenorm"/>
              <w:jc w:val="center"/>
              <w:rPr>
                <w:szCs w:val="22"/>
              </w:rPr>
            </w:pPr>
            <w:r w:rsidRPr="00264D5D">
              <w:rPr>
                <w:szCs w:val="22"/>
              </w:rPr>
              <w:t>О</w:t>
            </w:r>
          </w:p>
        </w:tc>
        <w:tc>
          <w:tcPr>
            <w:tcW w:w="3964" w:type="dxa"/>
          </w:tcPr>
          <w:p w14:paraId="2521C632" w14:textId="7C6C56B8" w:rsidR="00AD1F54" w:rsidRPr="00264D5D" w:rsidRDefault="00941227">
            <w:pPr>
              <w:pStyle w:val="ASFKTablenorm"/>
              <w:rPr>
                <w:szCs w:val="22"/>
              </w:rPr>
            </w:pPr>
            <w:r w:rsidRPr="00264D5D">
              <w:rPr>
                <w:sz w:val="22"/>
                <w:szCs w:val="22"/>
              </w:rPr>
              <w:t xml:space="preserve">Состав элемента представлен в таблице </w:t>
            </w:r>
            <w:r w:rsidRPr="00264D5D">
              <w:rPr>
                <w:b/>
                <w:sz w:val="22"/>
                <w:szCs w:val="22"/>
              </w:rPr>
              <w:fldChar w:fldCharType="begin"/>
            </w:r>
            <w:r w:rsidRPr="00264D5D">
              <w:rPr>
                <w:b/>
                <w:sz w:val="22"/>
                <w:szCs w:val="22"/>
              </w:rPr>
              <w:instrText xml:space="preserve"> REF _Ref523991744 \h  \* MERGEFORMAT </w:instrText>
            </w:r>
            <w:r w:rsidRPr="00264D5D">
              <w:rPr>
                <w:b/>
                <w:sz w:val="22"/>
                <w:szCs w:val="22"/>
              </w:rPr>
            </w:r>
            <w:r w:rsidRPr="00264D5D">
              <w:rPr>
                <w:b/>
                <w:sz w:val="22"/>
                <w:szCs w:val="22"/>
              </w:rPr>
              <w:fldChar w:fldCharType="separate"/>
            </w:r>
            <w:r w:rsidR="008D797C" w:rsidRPr="008D797C">
              <w:rPr>
                <w:b/>
                <w:sz w:val="22"/>
                <w:szCs w:val="22"/>
              </w:rPr>
              <w:t>288</w:t>
            </w:r>
            <w:r w:rsidRPr="00264D5D">
              <w:rPr>
                <w:b/>
                <w:sz w:val="22"/>
                <w:szCs w:val="22"/>
              </w:rPr>
              <w:fldChar w:fldCharType="end"/>
            </w:r>
          </w:p>
        </w:tc>
      </w:tr>
      <w:tr w:rsidR="00AD1F54" w:rsidRPr="00264D5D" w14:paraId="18BA1429"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42F1F70D" w14:textId="77777777" w:rsidR="00AD1F54" w:rsidRPr="00264D5D" w:rsidRDefault="00941227">
            <w:pPr>
              <w:pStyle w:val="GOSTTablenorm"/>
              <w:rPr>
                <w:szCs w:val="22"/>
              </w:rPr>
            </w:pPr>
            <w:r w:rsidRPr="00264D5D">
              <w:rPr>
                <w:szCs w:val="22"/>
              </w:rPr>
              <w:t>Паспорт</w:t>
            </w:r>
          </w:p>
        </w:tc>
        <w:tc>
          <w:tcPr>
            <w:tcW w:w="1701" w:type="dxa"/>
          </w:tcPr>
          <w:p w14:paraId="579F7C19" w14:textId="77777777" w:rsidR="00AD1F54" w:rsidRPr="00264D5D" w:rsidRDefault="00941227">
            <w:pPr>
              <w:pStyle w:val="GOSTTablenorm"/>
              <w:rPr>
                <w:szCs w:val="22"/>
              </w:rPr>
            </w:pPr>
            <w:r w:rsidRPr="00264D5D">
              <w:rPr>
                <w:szCs w:val="22"/>
              </w:rPr>
              <w:t>ZS_MSC_Psprt</w:t>
            </w:r>
          </w:p>
        </w:tc>
        <w:tc>
          <w:tcPr>
            <w:tcW w:w="567" w:type="dxa"/>
          </w:tcPr>
          <w:p w14:paraId="1C68A4C6" w14:textId="77777777" w:rsidR="00AD1F54" w:rsidRPr="00264D5D" w:rsidRDefault="00941227">
            <w:pPr>
              <w:pStyle w:val="GOSTTablenorm"/>
              <w:jc w:val="center"/>
              <w:rPr>
                <w:szCs w:val="22"/>
              </w:rPr>
            </w:pPr>
            <w:r w:rsidRPr="00264D5D">
              <w:rPr>
                <w:szCs w:val="22"/>
              </w:rPr>
              <w:t>С</w:t>
            </w:r>
          </w:p>
        </w:tc>
        <w:tc>
          <w:tcPr>
            <w:tcW w:w="1134" w:type="dxa"/>
          </w:tcPr>
          <w:p w14:paraId="758603A9" w14:textId="77777777" w:rsidR="00AD1F54" w:rsidRPr="00264D5D" w:rsidRDefault="00941227">
            <w:pPr>
              <w:pStyle w:val="GOSTTablenorm"/>
              <w:rPr>
                <w:szCs w:val="22"/>
                <w:lang w:val="en-US"/>
              </w:rPr>
            </w:pPr>
            <w:r w:rsidRPr="00264D5D">
              <w:rPr>
                <w:szCs w:val="22"/>
              </w:rPr>
              <w:t>tMSC_Psprt</w:t>
            </w:r>
          </w:p>
        </w:tc>
        <w:tc>
          <w:tcPr>
            <w:tcW w:w="567" w:type="dxa"/>
          </w:tcPr>
          <w:p w14:paraId="31477264" w14:textId="77777777" w:rsidR="00AD1F54" w:rsidRPr="00264D5D" w:rsidRDefault="00941227">
            <w:pPr>
              <w:pStyle w:val="GOSTTablenorm"/>
              <w:jc w:val="center"/>
              <w:rPr>
                <w:szCs w:val="22"/>
              </w:rPr>
            </w:pPr>
            <w:r w:rsidRPr="00264D5D">
              <w:t>Н</w:t>
            </w:r>
          </w:p>
        </w:tc>
        <w:tc>
          <w:tcPr>
            <w:tcW w:w="3964" w:type="dxa"/>
          </w:tcPr>
          <w:p w14:paraId="1CFC33E2" w14:textId="12D8D1C5" w:rsidR="00AD1F54" w:rsidRPr="00264D5D" w:rsidRDefault="00941227">
            <w:pPr>
              <w:pStyle w:val="ASFKTablenorm"/>
              <w:rPr>
                <w:sz w:val="22"/>
                <w:szCs w:val="22"/>
              </w:rPr>
            </w:pPr>
            <w:r w:rsidRPr="00264D5D">
              <w:rPr>
                <w:sz w:val="22"/>
                <w:szCs w:val="22"/>
              </w:rPr>
              <w:t xml:space="preserve">Состав элемента представлен в таблице </w:t>
            </w:r>
            <w:r w:rsidRPr="00264D5D">
              <w:rPr>
                <w:b/>
                <w:sz w:val="22"/>
                <w:szCs w:val="22"/>
              </w:rPr>
              <w:fldChar w:fldCharType="begin"/>
            </w:r>
            <w:r w:rsidRPr="00264D5D">
              <w:rPr>
                <w:b/>
                <w:sz w:val="22"/>
                <w:szCs w:val="22"/>
              </w:rPr>
              <w:instrText xml:space="preserve"> REF _Ref503551868 \h  \* MERGEFORMAT </w:instrText>
            </w:r>
            <w:r w:rsidRPr="00264D5D">
              <w:rPr>
                <w:b/>
                <w:sz w:val="22"/>
                <w:szCs w:val="22"/>
              </w:rPr>
            </w:r>
            <w:r w:rsidRPr="00264D5D">
              <w:rPr>
                <w:b/>
                <w:sz w:val="22"/>
                <w:szCs w:val="22"/>
              </w:rPr>
              <w:fldChar w:fldCharType="separate"/>
            </w:r>
            <w:r w:rsidR="008D797C" w:rsidRPr="008D797C">
              <w:rPr>
                <w:b/>
                <w:sz w:val="22"/>
                <w:szCs w:val="22"/>
              </w:rPr>
              <w:t>289</w:t>
            </w:r>
            <w:r w:rsidRPr="00264D5D">
              <w:rPr>
                <w:b/>
                <w:sz w:val="22"/>
                <w:szCs w:val="22"/>
              </w:rPr>
              <w:fldChar w:fldCharType="end"/>
            </w:r>
            <w:r w:rsidRPr="00264D5D">
              <w:rPr>
                <w:sz w:val="22"/>
                <w:szCs w:val="22"/>
              </w:rPr>
              <w:t>.</w:t>
            </w:r>
          </w:p>
          <w:p w14:paraId="125F1881" w14:textId="77777777" w:rsidR="00AD1F54" w:rsidRPr="00264D5D" w:rsidRDefault="00941227">
            <w:pPr>
              <w:pStyle w:val="GOSTTablenorm"/>
            </w:pPr>
            <w:r w:rsidRPr="00264D5D">
              <w:t>Обязательно для заполнения если реквизит «Код платежного документа» = «ZS».</w:t>
            </w:r>
          </w:p>
          <w:p w14:paraId="653BD791" w14:textId="77777777" w:rsidR="00AD1F54" w:rsidRPr="00264D5D" w:rsidRDefault="00941227">
            <w:pPr>
              <w:pStyle w:val="GOSTTablenorm"/>
              <w:rPr>
                <w:szCs w:val="22"/>
              </w:rPr>
            </w:pPr>
            <w:r w:rsidRPr="00264D5D">
              <w:t xml:space="preserve"> Если реквизит «Код платежного документа» не заполнен, указывается значение аналогичное значению </w:t>
            </w:r>
            <w:r w:rsidRPr="00264D5D">
              <w:lastRenderedPageBreak/>
              <w:t>документа «ZS».</w:t>
            </w:r>
          </w:p>
          <w:p w14:paraId="43C9B330" w14:textId="77777777" w:rsidR="00A12A8C" w:rsidRPr="00264D5D" w:rsidRDefault="00941227" w:rsidP="00A12A8C">
            <w:pPr>
              <w:pStyle w:val="GOSTTablenorm"/>
              <w:rPr>
                <w:szCs w:val="22"/>
              </w:rPr>
            </w:pPr>
            <w:r w:rsidRPr="00264D5D">
              <w:rPr>
                <w:szCs w:val="22"/>
              </w:rPr>
              <w:t>Используется при информационном взаимодействии по маршр</w:t>
            </w:r>
            <w:r w:rsidR="00D65AFB">
              <w:rPr>
                <w:szCs w:val="22"/>
              </w:rPr>
              <w:t>утам ПБС (ПФХД) – ТОФК (ПУР ЭБ)</w:t>
            </w:r>
            <w:r w:rsidR="00A12A8C" w:rsidRPr="00264D5D">
              <w:rPr>
                <w:szCs w:val="22"/>
              </w:rPr>
              <w:t xml:space="preserve">. </w:t>
            </w:r>
          </w:p>
          <w:p w14:paraId="2BEC064A" w14:textId="77777777" w:rsidR="00AD1F54" w:rsidRPr="00264D5D" w:rsidRDefault="00A12A8C" w:rsidP="00A12A8C">
            <w:pPr>
              <w:pStyle w:val="ASFKTablenorm"/>
              <w:rPr>
                <w:szCs w:val="22"/>
              </w:rPr>
            </w:pPr>
            <w:r w:rsidRPr="00264D5D">
              <w:rPr>
                <w:sz w:val="22"/>
                <w:szCs w:val="22"/>
              </w:rPr>
              <w:t>Поле не заполняется для маршрута НУБП (ПСБ и Росавтодор) – ТОФК</w:t>
            </w:r>
          </w:p>
        </w:tc>
      </w:tr>
      <w:tr w:rsidR="00AD1F54" w:rsidRPr="00264D5D" w14:paraId="74E3EE8B" w14:textId="77777777" w:rsidTr="00AD1F54">
        <w:trPr>
          <w:cnfStyle w:val="000000100000" w:firstRow="0" w:lastRow="0" w:firstColumn="0" w:lastColumn="0" w:oddVBand="0" w:evenVBand="0" w:oddHBand="1" w:evenHBand="0" w:firstRowFirstColumn="0" w:firstRowLastColumn="0" w:lastRowFirstColumn="0" w:lastRowLastColumn="0"/>
        </w:trPr>
        <w:tc>
          <w:tcPr>
            <w:tcW w:w="9634" w:type="dxa"/>
            <w:gridSpan w:val="6"/>
          </w:tcPr>
          <w:p w14:paraId="35A4231D" w14:textId="77777777" w:rsidR="00AD1F54" w:rsidRPr="00264D5D" w:rsidRDefault="00941227">
            <w:pPr>
              <w:pStyle w:val="GOSTTablenorm"/>
              <w:widowControl w:val="0"/>
              <w:rPr>
                <w:szCs w:val="22"/>
              </w:rPr>
            </w:pPr>
            <w:r w:rsidRPr="00264D5D">
              <w:rPr>
                <w:b/>
                <w:szCs w:val="22"/>
              </w:rPr>
              <w:lastRenderedPageBreak/>
              <w:t>Сумма Заявки</w:t>
            </w:r>
          </w:p>
        </w:tc>
      </w:tr>
      <w:tr w:rsidR="00AD1F54" w:rsidRPr="00264D5D" w14:paraId="0CCB19E1"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6743309F" w14:textId="77777777" w:rsidR="00AD1F54" w:rsidRPr="00264D5D" w:rsidRDefault="00941227">
            <w:pPr>
              <w:pStyle w:val="GOSTTablenorm"/>
              <w:rPr>
                <w:i/>
                <w:szCs w:val="22"/>
              </w:rPr>
            </w:pPr>
            <w:r w:rsidRPr="00264D5D">
              <w:rPr>
                <w:szCs w:val="22"/>
              </w:rPr>
              <w:t>Итоговая сумма</w:t>
            </w:r>
          </w:p>
        </w:tc>
        <w:tc>
          <w:tcPr>
            <w:tcW w:w="1701" w:type="dxa"/>
          </w:tcPr>
          <w:p w14:paraId="17AD33C8" w14:textId="77777777" w:rsidR="00AD1F54" w:rsidRPr="00264D5D" w:rsidRDefault="00941227">
            <w:pPr>
              <w:pStyle w:val="GOSTTablenorm"/>
              <w:rPr>
                <w:szCs w:val="22"/>
              </w:rPr>
            </w:pPr>
            <w:r w:rsidRPr="00264D5D">
              <w:rPr>
                <w:szCs w:val="22"/>
              </w:rPr>
              <w:t>ZS_TtlAmnt</w:t>
            </w:r>
          </w:p>
        </w:tc>
        <w:tc>
          <w:tcPr>
            <w:tcW w:w="567" w:type="dxa"/>
          </w:tcPr>
          <w:p w14:paraId="6AA84856" w14:textId="77777777" w:rsidR="00AD1F54" w:rsidRPr="00264D5D" w:rsidRDefault="00941227">
            <w:pPr>
              <w:pStyle w:val="GOSTTablenorm"/>
              <w:jc w:val="center"/>
              <w:rPr>
                <w:szCs w:val="22"/>
              </w:rPr>
            </w:pPr>
            <w:r w:rsidRPr="00264D5D">
              <w:rPr>
                <w:szCs w:val="22"/>
              </w:rPr>
              <w:t>П</w:t>
            </w:r>
          </w:p>
        </w:tc>
        <w:tc>
          <w:tcPr>
            <w:tcW w:w="1134" w:type="dxa"/>
          </w:tcPr>
          <w:p w14:paraId="54EBEC6C" w14:textId="77777777" w:rsidR="00AD1F54" w:rsidRPr="00264D5D" w:rsidRDefault="00941227">
            <w:pPr>
              <w:pStyle w:val="GOSTTablenorm"/>
              <w:rPr>
                <w:szCs w:val="22"/>
              </w:rPr>
            </w:pPr>
            <w:r w:rsidRPr="00264D5D">
              <w:rPr>
                <w:szCs w:val="22"/>
                <w:lang w:val="en-US"/>
              </w:rPr>
              <w:t>N(20</w:t>
            </w:r>
            <w:r w:rsidRPr="00264D5D">
              <w:rPr>
                <w:szCs w:val="22"/>
              </w:rPr>
              <w:t>.</w:t>
            </w:r>
            <w:r w:rsidRPr="00264D5D">
              <w:rPr>
                <w:szCs w:val="22"/>
                <w:lang w:val="en-US"/>
              </w:rPr>
              <w:t>2)</w:t>
            </w:r>
          </w:p>
        </w:tc>
        <w:tc>
          <w:tcPr>
            <w:tcW w:w="567" w:type="dxa"/>
          </w:tcPr>
          <w:p w14:paraId="79D9DBA0" w14:textId="77777777" w:rsidR="00AD1F54" w:rsidRPr="00264D5D" w:rsidRDefault="00A12A8C">
            <w:pPr>
              <w:pStyle w:val="GOSTTablenorm"/>
              <w:jc w:val="center"/>
              <w:rPr>
                <w:szCs w:val="22"/>
              </w:rPr>
            </w:pPr>
            <w:r w:rsidRPr="00264D5D">
              <w:rPr>
                <w:szCs w:val="22"/>
              </w:rPr>
              <w:t>Н</w:t>
            </w:r>
          </w:p>
        </w:tc>
        <w:tc>
          <w:tcPr>
            <w:tcW w:w="3964" w:type="dxa"/>
          </w:tcPr>
          <w:p w14:paraId="35CB74A6" w14:textId="77777777" w:rsidR="00A12A8C" w:rsidRPr="00264D5D" w:rsidRDefault="00B06B9A" w:rsidP="00A12A8C">
            <w:pPr>
              <w:pStyle w:val="GOSTTablenorm"/>
              <w:rPr>
                <w:szCs w:val="22"/>
              </w:rPr>
            </w:pPr>
            <w:r w:rsidRPr="00264D5D">
              <w:rPr>
                <w:szCs w:val="22"/>
              </w:rPr>
              <w:t>Итоговая сумма по Заявке</w:t>
            </w:r>
            <w:r w:rsidR="00A12A8C" w:rsidRPr="00264D5D">
              <w:rPr>
                <w:szCs w:val="22"/>
              </w:rPr>
              <w:t xml:space="preserve">. </w:t>
            </w:r>
          </w:p>
          <w:p w14:paraId="5946D0F5" w14:textId="77777777" w:rsidR="00AD1F54" w:rsidRPr="00264D5D" w:rsidRDefault="00A12A8C" w:rsidP="00A12A8C">
            <w:pPr>
              <w:pStyle w:val="ASFKTablenorm"/>
              <w:rPr>
                <w:sz w:val="22"/>
                <w:szCs w:val="22"/>
              </w:rPr>
            </w:pPr>
            <w:r w:rsidRPr="00264D5D">
              <w:rPr>
                <w:sz w:val="22"/>
                <w:szCs w:val="22"/>
              </w:rPr>
              <w:t>Поле не заполняется для маршрута НУБП (ПСБ и Росавтодор) – ТОФК</w:t>
            </w:r>
          </w:p>
        </w:tc>
      </w:tr>
      <w:tr w:rsidR="00AD1F54" w:rsidRPr="00264D5D" w14:paraId="022456A4" w14:textId="77777777" w:rsidTr="00AD1F54">
        <w:trPr>
          <w:cnfStyle w:val="000000100000" w:firstRow="0" w:lastRow="0" w:firstColumn="0" w:lastColumn="0" w:oddVBand="0" w:evenVBand="0" w:oddHBand="1" w:evenHBand="0" w:firstRowFirstColumn="0" w:firstRowLastColumn="0" w:lastRowFirstColumn="0" w:lastRowLastColumn="0"/>
        </w:trPr>
        <w:tc>
          <w:tcPr>
            <w:tcW w:w="9634" w:type="dxa"/>
            <w:gridSpan w:val="6"/>
          </w:tcPr>
          <w:p w14:paraId="66AC7C2A" w14:textId="77777777" w:rsidR="00AD1F54" w:rsidRPr="00264D5D" w:rsidRDefault="00941227">
            <w:pPr>
              <w:pStyle w:val="GOSTTablenorm"/>
              <w:widowControl w:val="0"/>
              <w:rPr>
                <w:szCs w:val="22"/>
              </w:rPr>
            </w:pPr>
            <w:r w:rsidRPr="00264D5D">
              <w:rPr>
                <w:b/>
                <w:szCs w:val="22"/>
              </w:rPr>
              <w:t>Отметка ТОФК</w:t>
            </w:r>
          </w:p>
        </w:tc>
      </w:tr>
      <w:tr w:rsidR="00AD1F54" w:rsidRPr="00264D5D" w14:paraId="45E885EB"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471C7CF6" w14:textId="77777777" w:rsidR="00AD1F54" w:rsidRPr="00264D5D" w:rsidRDefault="00941227">
            <w:pPr>
              <w:pStyle w:val="GOSTTablenorm"/>
              <w:rPr>
                <w:i/>
                <w:szCs w:val="22"/>
              </w:rPr>
            </w:pPr>
            <w:r w:rsidRPr="00264D5D">
              <w:rPr>
                <w:szCs w:val="22"/>
              </w:rPr>
              <w:t>Отметка ТОФК</w:t>
            </w:r>
          </w:p>
        </w:tc>
        <w:tc>
          <w:tcPr>
            <w:tcW w:w="1701" w:type="dxa"/>
          </w:tcPr>
          <w:p w14:paraId="2AF2C9BB" w14:textId="77777777" w:rsidR="00AD1F54" w:rsidRPr="00264D5D" w:rsidRDefault="00941227">
            <w:pPr>
              <w:pStyle w:val="GOSTTablenorm"/>
              <w:rPr>
                <w:szCs w:val="22"/>
              </w:rPr>
            </w:pPr>
            <w:r w:rsidRPr="00264D5D">
              <w:rPr>
                <w:szCs w:val="22"/>
              </w:rPr>
              <w:t>ZS_MSC_MrkOrFK</w:t>
            </w:r>
          </w:p>
        </w:tc>
        <w:tc>
          <w:tcPr>
            <w:tcW w:w="567" w:type="dxa"/>
          </w:tcPr>
          <w:p w14:paraId="3F31C5AE" w14:textId="77777777" w:rsidR="00AD1F54" w:rsidRPr="00264D5D" w:rsidRDefault="00941227">
            <w:pPr>
              <w:pStyle w:val="GOSTTablenorm"/>
              <w:jc w:val="center"/>
              <w:rPr>
                <w:szCs w:val="22"/>
              </w:rPr>
            </w:pPr>
            <w:r w:rsidRPr="00264D5D">
              <w:rPr>
                <w:szCs w:val="22"/>
              </w:rPr>
              <w:t>С</w:t>
            </w:r>
          </w:p>
        </w:tc>
        <w:tc>
          <w:tcPr>
            <w:tcW w:w="1134" w:type="dxa"/>
          </w:tcPr>
          <w:p w14:paraId="73796745" w14:textId="77777777" w:rsidR="00AD1F54" w:rsidRPr="00264D5D" w:rsidRDefault="00941227">
            <w:pPr>
              <w:pStyle w:val="GOSTTablenorm"/>
              <w:rPr>
                <w:szCs w:val="22"/>
                <w:lang w:val="en-US"/>
              </w:rPr>
            </w:pPr>
            <w:r w:rsidRPr="00264D5D">
              <w:rPr>
                <w:szCs w:val="22"/>
              </w:rPr>
              <w:t>tMSC_MrkOrFK1</w:t>
            </w:r>
          </w:p>
        </w:tc>
        <w:tc>
          <w:tcPr>
            <w:tcW w:w="567" w:type="dxa"/>
          </w:tcPr>
          <w:p w14:paraId="137BB1B6" w14:textId="77777777" w:rsidR="00AD1F54" w:rsidRPr="00264D5D" w:rsidRDefault="00941227">
            <w:pPr>
              <w:pStyle w:val="GOSTTablenorm"/>
              <w:jc w:val="center"/>
              <w:rPr>
                <w:szCs w:val="22"/>
              </w:rPr>
            </w:pPr>
            <w:r w:rsidRPr="00264D5D">
              <w:rPr>
                <w:szCs w:val="22"/>
              </w:rPr>
              <w:t>Н</w:t>
            </w:r>
          </w:p>
        </w:tc>
        <w:tc>
          <w:tcPr>
            <w:tcW w:w="3964" w:type="dxa"/>
          </w:tcPr>
          <w:p w14:paraId="0B5D5F79" w14:textId="5E59A547" w:rsidR="00A12A8C" w:rsidRPr="00264D5D" w:rsidRDefault="00941227" w:rsidP="00A12A8C">
            <w:pPr>
              <w:pStyle w:val="GOSTTablenorm"/>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_Ref503551874 \h  \* MERGEFORMAT </w:instrText>
            </w:r>
            <w:r w:rsidRPr="00264D5D">
              <w:rPr>
                <w:b/>
                <w:szCs w:val="22"/>
              </w:rPr>
            </w:r>
            <w:r w:rsidRPr="00264D5D">
              <w:rPr>
                <w:b/>
                <w:szCs w:val="22"/>
              </w:rPr>
              <w:fldChar w:fldCharType="separate"/>
            </w:r>
            <w:r w:rsidR="008D797C" w:rsidRPr="008D797C">
              <w:rPr>
                <w:b/>
                <w:szCs w:val="22"/>
              </w:rPr>
              <w:t>290</w:t>
            </w:r>
            <w:r w:rsidRPr="00264D5D">
              <w:rPr>
                <w:b/>
                <w:szCs w:val="22"/>
              </w:rPr>
              <w:fldChar w:fldCharType="end"/>
            </w:r>
            <w:r w:rsidR="00A12A8C" w:rsidRPr="00264D5D">
              <w:rPr>
                <w:b/>
                <w:szCs w:val="22"/>
              </w:rPr>
              <w:t>.</w:t>
            </w:r>
            <w:r w:rsidR="00A12A8C" w:rsidRPr="00264D5D">
              <w:rPr>
                <w:szCs w:val="22"/>
              </w:rPr>
              <w:t xml:space="preserve"> </w:t>
            </w:r>
          </w:p>
          <w:p w14:paraId="18245BF5" w14:textId="77777777" w:rsidR="00AD1F54" w:rsidRPr="00264D5D" w:rsidRDefault="00A12A8C" w:rsidP="00A12A8C">
            <w:pPr>
              <w:pStyle w:val="ASFKTablenorm"/>
              <w:rPr>
                <w:sz w:val="22"/>
                <w:szCs w:val="22"/>
              </w:rPr>
            </w:pPr>
            <w:r w:rsidRPr="00264D5D">
              <w:rPr>
                <w:sz w:val="22"/>
                <w:szCs w:val="22"/>
              </w:rPr>
              <w:t>Поле не заполняется для маршрута НУБП (ПСБ и Росавтодор) – ТОФК</w:t>
            </w:r>
          </w:p>
        </w:tc>
      </w:tr>
      <w:tr w:rsidR="00AD1F54" w:rsidRPr="00264D5D" w14:paraId="6679674C" w14:textId="77777777" w:rsidTr="00AD1F54">
        <w:trPr>
          <w:cnfStyle w:val="000000100000" w:firstRow="0" w:lastRow="0" w:firstColumn="0" w:lastColumn="0" w:oddVBand="0" w:evenVBand="0" w:oddHBand="1" w:evenHBand="0" w:firstRowFirstColumn="0" w:firstRowLastColumn="0" w:lastRowFirstColumn="0" w:lastRowLastColumn="0"/>
        </w:trPr>
        <w:tc>
          <w:tcPr>
            <w:tcW w:w="9634" w:type="dxa"/>
            <w:gridSpan w:val="6"/>
          </w:tcPr>
          <w:p w14:paraId="04665FE4" w14:textId="77777777" w:rsidR="00AD1F54" w:rsidRPr="00264D5D" w:rsidRDefault="00941227">
            <w:pPr>
              <w:pStyle w:val="GOSTTablenorm"/>
              <w:widowControl w:val="0"/>
              <w:rPr>
                <w:szCs w:val="22"/>
              </w:rPr>
            </w:pPr>
            <w:r w:rsidRPr="00264D5D">
              <w:rPr>
                <w:b/>
                <w:szCs w:val="22"/>
              </w:rPr>
              <w:t>Реквизиты чека и Заявки</w:t>
            </w:r>
          </w:p>
        </w:tc>
      </w:tr>
      <w:tr w:rsidR="00AD1F54" w:rsidRPr="00264D5D" w14:paraId="06905EA8"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5A7CB4A9" w14:textId="77777777" w:rsidR="00AD1F54" w:rsidRPr="00264D5D" w:rsidRDefault="00941227">
            <w:pPr>
              <w:pStyle w:val="GOSTTablenorm"/>
              <w:rPr>
                <w:i/>
                <w:szCs w:val="22"/>
              </w:rPr>
            </w:pPr>
            <w:r w:rsidRPr="00264D5D">
              <w:rPr>
                <w:szCs w:val="22"/>
              </w:rPr>
              <w:t>Реквизиты чека</w:t>
            </w:r>
          </w:p>
        </w:tc>
        <w:tc>
          <w:tcPr>
            <w:tcW w:w="1701" w:type="dxa"/>
          </w:tcPr>
          <w:p w14:paraId="7D2BA05E" w14:textId="77777777" w:rsidR="00AD1F54" w:rsidRPr="00264D5D" w:rsidRDefault="00941227">
            <w:pPr>
              <w:pStyle w:val="GOSTTablenorm"/>
              <w:rPr>
                <w:szCs w:val="22"/>
              </w:rPr>
            </w:pPr>
            <w:bookmarkStart w:id="3075" w:name="OLE_LINK684"/>
            <w:bookmarkStart w:id="3076" w:name="OLE_LINK685"/>
            <w:r w:rsidRPr="00264D5D">
              <w:rPr>
                <w:szCs w:val="22"/>
              </w:rPr>
              <w:t>ZSCH1</w:t>
            </w:r>
            <w:bookmarkEnd w:id="3075"/>
            <w:bookmarkEnd w:id="3076"/>
          </w:p>
        </w:tc>
        <w:tc>
          <w:tcPr>
            <w:tcW w:w="567" w:type="dxa"/>
          </w:tcPr>
          <w:p w14:paraId="0DB42259" w14:textId="77777777" w:rsidR="00AD1F54" w:rsidRPr="00264D5D" w:rsidRDefault="00941227">
            <w:pPr>
              <w:pStyle w:val="GOSTTablenorm"/>
              <w:jc w:val="center"/>
              <w:rPr>
                <w:szCs w:val="22"/>
              </w:rPr>
            </w:pPr>
            <w:r w:rsidRPr="00264D5D">
              <w:rPr>
                <w:szCs w:val="22"/>
              </w:rPr>
              <w:t>С</w:t>
            </w:r>
          </w:p>
        </w:tc>
        <w:tc>
          <w:tcPr>
            <w:tcW w:w="1134" w:type="dxa"/>
          </w:tcPr>
          <w:p w14:paraId="52966EE5" w14:textId="77777777" w:rsidR="00AD1F54" w:rsidRPr="00264D5D" w:rsidRDefault="00941227">
            <w:pPr>
              <w:pStyle w:val="GOSTTablenorm"/>
              <w:rPr>
                <w:szCs w:val="22"/>
              </w:rPr>
            </w:pPr>
            <w:r w:rsidRPr="00264D5D">
              <w:rPr>
                <w:szCs w:val="22"/>
              </w:rPr>
              <w:t>tZSCH1</w:t>
            </w:r>
          </w:p>
        </w:tc>
        <w:tc>
          <w:tcPr>
            <w:tcW w:w="567" w:type="dxa"/>
          </w:tcPr>
          <w:p w14:paraId="70293ABA" w14:textId="77777777" w:rsidR="00AD1F54" w:rsidRPr="00264D5D" w:rsidRDefault="00941227">
            <w:pPr>
              <w:pStyle w:val="GOSTTablenorm"/>
              <w:jc w:val="center"/>
              <w:rPr>
                <w:szCs w:val="22"/>
              </w:rPr>
            </w:pPr>
            <w:r w:rsidRPr="00264D5D">
              <w:t>Н</w:t>
            </w:r>
          </w:p>
        </w:tc>
        <w:tc>
          <w:tcPr>
            <w:tcW w:w="3964" w:type="dxa"/>
          </w:tcPr>
          <w:p w14:paraId="78BEF537" w14:textId="7E1589EC" w:rsidR="00AD1F54" w:rsidRPr="00264D5D" w:rsidRDefault="00941227">
            <w:pPr>
              <w:pStyle w:val="GOSTTablenorm"/>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_Ref503551886 \h  \* MERGEFORMAT </w:instrText>
            </w:r>
            <w:r w:rsidRPr="00264D5D">
              <w:rPr>
                <w:b/>
                <w:szCs w:val="22"/>
              </w:rPr>
            </w:r>
            <w:r w:rsidRPr="00264D5D">
              <w:rPr>
                <w:b/>
                <w:szCs w:val="22"/>
              </w:rPr>
              <w:fldChar w:fldCharType="separate"/>
            </w:r>
            <w:r w:rsidR="008D797C" w:rsidRPr="008D797C">
              <w:rPr>
                <w:b/>
                <w:szCs w:val="22"/>
              </w:rPr>
              <w:t>291</w:t>
            </w:r>
            <w:r w:rsidRPr="00264D5D">
              <w:rPr>
                <w:b/>
                <w:szCs w:val="22"/>
              </w:rPr>
              <w:fldChar w:fldCharType="end"/>
            </w:r>
            <w:r w:rsidRPr="00264D5D">
              <w:rPr>
                <w:szCs w:val="22"/>
              </w:rPr>
              <w:t>.</w:t>
            </w:r>
            <w:r w:rsidRPr="00264D5D">
              <w:t xml:space="preserve"> </w:t>
            </w:r>
          </w:p>
          <w:p w14:paraId="50D244BA" w14:textId="77777777" w:rsidR="00AD1F54" w:rsidRPr="00264D5D" w:rsidRDefault="00941227">
            <w:pPr>
              <w:pStyle w:val="GOSTTablenorm"/>
            </w:pPr>
            <w:r w:rsidRPr="00264D5D">
              <w:t>Обязательно для заполнения если реквизит «Код платежного документа» = «ZS».</w:t>
            </w:r>
          </w:p>
          <w:p w14:paraId="2DA37641" w14:textId="77777777" w:rsidR="00AD1F54" w:rsidRPr="00264D5D" w:rsidRDefault="00941227">
            <w:pPr>
              <w:pStyle w:val="GOSTTablenorm"/>
              <w:rPr>
                <w:szCs w:val="22"/>
              </w:rPr>
            </w:pPr>
            <w:r w:rsidRPr="00264D5D">
              <w:t>Если не заполнен реквизит «Код платежного документа» указывается значение аналогичное значению документа «ZS».</w:t>
            </w:r>
          </w:p>
          <w:p w14:paraId="72FC578E" w14:textId="77777777" w:rsidR="00A12A8C" w:rsidRPr="00264D5D" w:rsidRDefault="00941227" w:rsidP="00A12A8C">
            <w:pPr>
              <w:pStyle w:val="GOSTTablenorm"/>
              <w:rPr>
                <w:szCs w:val="22"/>
              </w:rPr>
            </w:pPr>
            <w:r w:rsidRPr="00264D5D">
              <w:rPr>
                <w:szCs w:val="22"/>
              </w:rPr>
              <w:t>Используется при информационном взаимодействии по маршр</w:t>
            </w:r>
            <w:r w:rsidR="00D65AFB">
              <w:rPr>
                <w:szCs w:val="22"/>
              </w:rPr>
              <w:t>утам ПБС (ПФХД) – ТОФК (ПУР ЭБ)</w:t>
            </w:r>
            <w:r w:rsidR="00A12A8C" w:rsidRPr="00264D5D">
              <w:rPr>
                <w:szCs w:val="22"/>
              </w:rPr>
              <w:t xml:space="preserve">. </w:t>
            </w:r>
          </w:p>
          <w:p w14:paraId="55B7C86A" w14:textId="77777777" w:rsidR="00AD1F54" w:rsidRPr="00264D5D" w:rsidRDefault="00A12A8C" w:rsidP="00A12A8C">
            <w:pPr>
              <w:pStyle w:val="ASFKTablenorm"/>
              <w:rPr>
                <w:sz w:val="22"/>
                <w:szCs w:val="22"/>
              </w:rPr>
            </w:pPr>
            <w:r w:rsidRPr="00264D5D">
              <w:rPr>
                <w:sz w:val="22"/>
                <w:szCs w:val="22"/>
              </w:rPr>
              <w:t>Поле не заполняется для маршрута НУБП (ПСБ и Росавтодор) – ТОФК</w:t>
            </w:r>
          </w:p>
        </w:tc>
      </w:tr>
      <w:tr w:rsidR="00AD1F54" w:rsidRPr="00264D5D" w14:paraId="2185B120"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B8C05D5" w14:textId="77777777" w:rsidR="00AD1F54" w:rsidRPr="00264D5D" w:rsidRDefault="00941227">
            <w:pPr>
              <w:pStyle w:val="GOSTTablenorm"/>
              <w:rPr>
                <w:szCs w:val="22"/>
              </w:rPr>
            </w:pPr>
            <w:r w:rsidRPr="00264D5D">
              <w:rPr>
                <w:szCs w:val="22"/>
              </w:rPr>
              <w:t>Расшифровка заявки на получение наличных денег</w:t>
            </w:r>
          </w:p>
        </w:tc>
        <w:tc>
          <w:tcPr>
            <w:tcW w:w="1701" w:type="dxa"/>
          </w:tcPr>
          <w:p w14:paraId="75C89C0F" w14:textId="77777777" w:rsidR="00AD1F54" w:rsidRPr="00264D5D" w:rsidRDefault="00941227">
            <w:pPr>
              <w:pStyle w:val="GOSTTablenorm"/>
              <w:rPr>
                <w:szCs w:val="22"/>
              </w:rPr>
            </w:pPr>
            <w:r w:rsidRPr="00264D5D">
              <w:rPr>
                <w:szCs w:val="22"/>
              </w:rPr>
              <w:t>ZSCH2</w:t>
            </w:r>
          </w:p>
        </w:tc>
        <w:tc>
          <w:tcPr>
            <w:tcW w:w="567" w:type="dxa"/>
          </w:tcPr>
          <w:p w14:paraId="2C17EA01" w14:textId="77777777" w:rsidR="00AD1F54" w:rsidRPr="00264D5D" w:rsidRDefault="00941227">
            <w:pPr>
              <w:pStyle w:val="GOSTTablenorm"/>
              <w:jc w:val="center"/>
              <w:rPr>
                <w:szCs w:val="22"/>
              </w:rPr>
            </w:pPr>
            <w:r w:rsidRPr="00264D5D">
              <w:rPr>
                <w:szCs w:val="22"/>
              </w:rPr>
              <w:t>С</w:t>
            </w:r>
          </w:p>
        </w:tc>
        <w:tc>
          <w:tcPr>
            <w:tcW w:w="1134" w:type="dxa"/>
          </w:tcPr>
          <w:p w14:paraId="2C78FA43" w14:textId="77777777" w:rsidR="00AD1F54" w:rsidRPr="00264D5D" w:rsidRDefault="00941227">
            <w:pPr>
              <w:pStyle w:val="GOSTTablenorm"/>
              <w:rPr>
                <w:szCs w:val="22"/>
              </w:rPr>
            </w:pPr>
            <w:r w:rsidRPr="00264D5D">
              <w:rPr>
                <w:szCs w:val="22"/>
              </w:rPr>
              <w:t>tZSCH2</w:t>
            </w:r>
          </w:p>
        </w:tc>
        <w:tc>
          <w:tcPr>
            <w:tcW w:w="567" w:type="dxa"/>
          </w:tcPr>
          <w:p w14:paraId="3825A446" w14:textId="77777777" w:rsidR="00AD1F54" w:rsidRPr="00264D5D" w:rsidRDefault="00941227">
            <w:pPr>
              <w:pStyle w:val="GOSTTablenorm"/>
              <w:jc w:val="center"/>
              <w:rPr>
                <w:szCs w:val="22"/>
              </w:rPr>
            </w:pPr>
            <w:r w:rsidRPr="00264D5D">
              <w:rPr>
                <w:szCs w:val="22"/>
              </w:rPr>
              <w:t>О</w:t>
            </w:r>
          </w:p>
        </w:tc>
        <w:tc>
          <w:tcPr>
            <w:tcW w:w="3964" w:type="dxa"/>
          </w:tcPr>
          <w:p w14:paraId="171BD34B" w14:textId="00395C4B" w:rsidR="00AD1F54" w:rsidRPr="00264D5D" w:rsidRDefault="00941227">
            <w:pPr>
              <w:pStyle w:val="ASFKTablenorm"/>
              <w:rPr>
                <w:sz w:val="22"/>
                <w:szCs w:val="22"/>
              </w:rPr>
            </w:pPr>
            <w:r w:rsidRPr="00264D5D">
              <w:rPr>
                <w:sz w:val="22"/>
                <w:szCs w:val="22"/>
              </w:rPr>
              <w:t xml:space="preserve">Состав элемента представлен в таблице </w:t>
            </w:r>
            <w:r w:rsidRPr="00264D5D">
              <w:rPr>
                <w:b/>
                <w:sz w:val="22"/>
                <w:szCs w:val="22"/>
              </w:rPr>
              <w:fldChar w:fldCharType="begin"/>
            </w:r>
            <w:r w:rsidRPr="00264D5D">
              <w:rPr>
                <w:b/>
                <w:sz w:val="22"/>
                <w:szCs w:val="22"/>
              </w:rPr>
              <w:instrText xml:space="preserve"> REF _Ref503551893 \h  \* MERGEFORMAT </w:instrText>
            </w:r>
            <w:r w:rsidRPr="00264D5D">
              <w:rPr>
                <w:b/>
                <w:sz w:val="22"/>
                <w:szCs w:val="22"/>
              </w:rPr>
            </w:r>
            <w:r w:rsidRPr="00264D5D">
              <w:rPr>
                <w:b/>
                <w:sz w:val="22"/>
                <w:szCs w:val="22"/>
              </w:rPr>
              <w:fldChar w:fldCharType="separate"/>
            </w:r>
            <w:r w:rsidR="008D797C" w:rsidRPr="008D797C">
              <w:rPr>
                <w:b/>
                <w:sz w:val="22"/>
                <w:szCs w:val="22"/>
              </w:rPr>
              <w:t>293</w:t>
            </w:r>
            <w:r w:rsidRPr="00264D5D">
              <w:rPr>
                <w:b/>
                <w:sz w:val="22"/>
                <w:szCs w:val="22"/>
              </w:rPr>
              <w:fldChar w:fldCharType="end"/>
            </w:r>
          </w:p>
        </w:tc>
      </w:tr>
      <w:tr w:rsidR="00AD1F54" w:rsidRPr="00264D5D" w14:paraId="20017B11" w14:textId="77777777" w:rsidTr="00AD1F54">
        <w:trPr>
          <w:cnfStyle w:val="000000010000" w:firstRow="0" w:lastRow="0" w:firstColumn="0" w:lastColumn="0" w:oddVBand="0" w:evenVBand="0" w:oddHBand="0" w:evenHBand="1" w:firstRowFirstColumn="0" w:firstRowLastColumn="0" w:lastRowFirstColumn="0" w:lastRowLastColumn="0"/>
        </w:trPr>
        <w:tc>
          <w:tcPr>
            <w:tcW w:w="9634" w:type="dxa"/>
            <w:gridSpan w:val="6"/>
          </w:tcPr>
          <w:p w14:paraId="20E8DA0A" w14:textId="77777777" w:rsidR="00AD1F54" w:rsidRPr="00264D5D" w:rsidRDefault="00941227">
            <w:pPr>
              <w:pStyle w:val="ASFKTablenorm"/>
              <w:rPr>
                <w:sz w:val="22"/>
                <w:szCs w:val="22"/>
              </w:rPr>
            </w:pPr>
            <w:r w:rsidRPr="00264D5D">
              <w:rPr>
                <w:b/>
                <w:sz w:val="22"/>
                <w:szCs w:val="22"/>
              </w:rPr>
              <w:t>Информация о номиналах</w:t>
            </w:r>
          </w:p>
        </w:tc>
      </w:tr>
      <w:tr w:rsidR="00AD1F54" w:rsidRPr="00264D5D" w14:paraId="618015C7"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73DAEEF3" w14:textId="77777777" w:rsidR="00AD1F54" w:rsidRPr="00264D5D" w:rsidRDefault="00941227">
            <w:pPr>
              <w:pStyle w:val="GOSTTablenorm"/>
              <w:rPr>
                <w:szCs w:val="22"/>
              </w:rPr>
            </w:pPr>
            <w:r w:rsidRPr="00264D5D">
              <w:rPr>
                <w:szCs w:val="22"/>
              </w:rPr>
              <w:t>Информация о номиналах</w:t>
            </w:r>
          </w:p>
        </w:tc>
        <w:tc>
          <w:tcPr>
            <w:tcW w:w="1701" w:type="dxa"/>
          </w:tcPr>
          <w:p w14:paraId="310DCDD3" w14:textId="77777777" w:rsidR="00AD1F54" w:rsidRPr="00264D5D" w:rsidRDefault="00941227">
            <w:pPr>
              <w:pStyle w:val="GOSTTablenorm"/>
              <w:rPr>
                <w:szCs w:val="22"/>
              </w:rPr>
            </w:pPr>
            <w:r w:rsidRPr="00264D5D">
              <w:rPr>
                <w:rFonts w:eastAsiaTheme="minorHAnsi"/>
                <w:szCs w:val="22"/>
              </w:rPr>
              <w:t>NominalInfo</w:t>
            </w:r>
          </w:p>
        </w:tc>
        <w:tc>
          <w:tcPr>
            <w:tcW w:w="567" w:type="dxa"/>
          </w:tcPr>
          <w:p w14:paraId="799DE0B4" w14:textId="77777777" w:rsidR="00AD1F54" w:rsidRPr="00264D5D" w:rsidRDefault="00941227">
            <w:pPr>
              <w:pStyle w:val="GOSTTablenorm"/>
              <w:jc w:val="center"/>
              <w:rPr>
                <w:szCs w:val="22"/>
              </w:rPr>
            </w:pPr>
            <w:r w:rsidRPr="00264D5D">
              <w:rPr>
                <w:szCs w:val="22"/>
              </w:rPr>
              <w:t>С</w:t>
            </w:r>
          </w:p>
        </w:tc>
        <w:tc>
          <w:tcPr>
            <w:tcW w:w="1134" w:type="dxa"/>
          </w:tcPr>
          <w:p w14:paraId="38C25D6A" w14:textId="77777777" w:rsidR="00AD1F54" w:rsidRPr="00264D5D" w:rsidRDefault="00941227">
            <w:pPr>
              <w:pStyle w:val="GOSTTablenorm"/>
              <w:rPr>
                <w:szCs w:val="22"/>
              </w:rPr>
            </w:pPr>
            <w:r w:rsidRPr="00264D5D">
              <w:rPr>
                <w:rFonts w:eastAsiaTheme="minorHAnsi"/>
                <w:szCs w:val="22"/>
              </w:rPr>
              <w:t>tNominalInfo</w:t>
            </w:r>
          </w:p>
        </w:tc>
        <w:tc>
          <w:tcPr>
            <w:tcW w:w="567" w:type="dxa"/>
          </w:tcPr>
          <w:p w14:paraId="13868773" w14:textId="77777777" w:rsidR="00AD1F54" w:rsidRPr="00264D5D" w:rsidRDefault="00941227">
            <w:pPr>
              <w:pStyle w:val="GOSTTablenorm"/>
              <w:jc w:val="center"/>
              <w:rPr>
                <w:szCs w:val="22"/>
              </w:rPr>
            </w:pPr>
            <w:r w:rsidRPr="00264D5D">
              <w:rPr>
                <w:szCs w:val="22"/>
              </w:rPr>
              <w:t>Н</w:t>
            </w:r>
          </w:p>
        </w:tc>
        <w:tc>
          <w:tcPr>
            <w:tcW w:w="3964" w:type="dxa"/>
          </w:tcPr>
          <w:p w14:paraId="2B06F562" w14:textId="39B7C758" w:rsidR="00AD1F54" w:rsidRPr="00264D5D" w:rsidRDefault="00941227">
            <w:pPr>
              <w:pStyle w:val="GOSTTablenorm"/>
              <w:rPr>
                <w:szCs w:val="22"/>
              </w:rPr>
            </w:pPr>
            <w:r w:rsidRPr="00264D5D">
              <w:rPr>
                <w:szCs w:val="22"/>
              </w:rPr>
              <w:t xml:space="preserve">Состав элемента представлен в таблице </w:t>
            </w:r>
            <w:r w:rsidRPr="00264D5D">
              <w:rPr>
                <w:szCs w:val="22"/>
              </w:rPr>
              <w:fldChar w:fldCharType="begin"/>
            </w:r>
            <w:r w:rsidRPr="00264D5D">
              <w:rPr>
                <w:szCs w:val="22"/>
              </w:rPr>
              <w:instrText xml:space="preserve"> REF _Ref128474979 \h  \* MERGEFORMAT </w:instrText>
            </w:r>
            <w:r w:rsidRPr="00264D5D">
              <w:rPr>
                <w:szCs w:val="22"/>
              </w:rPr>
            </w:r>
            <w:r w:rsidRPr="00264D5D">
              <w:rPr>
                <w:szCs w:val="22"/>
              </w:rPr>
              <w:fldChar w:fldCharType="separate"/>
            </w:r>
            <w:r w:rsidR="008D797C" w:rsidRPr="008D797C">
              <w:rPr>
                <w:b/>
                <w:bCs/>
                <w:szCs w:val="22"/>
              </w:rPr>
              <w:t>295</w:t>
            </w:r>
            <w:r w:rsidRPr="00264D5D">
              <w:rPr>
                <w:szCs w:val="22"/>
              </w:rPr>
              <w:fldChar w:fldCharType="end"/>
            </w:r>
            <w:r w:rsidR="00B06B9A" w:rsidRPr="00264D5D">
              <w:rPr>
                <w:szCs w:val="22"/>
              </w:rPr>
              <w:t>.</w:t>
            </w:r>
          </w:p>
          <w:p w14:paraId="450089B1" w14:textId="77777777" w:rsidR="00060FD9" w:rsidRPr="00264D5D" w:rsidRDefault="00941227" w:rsidP="00060FD9">
            <w:pPr>
              <w:pStyle w:val="GOSTTablenorm"/>
              <w:rPr>
                <w:szCs w:val="22"/>
              </w:rPr>
            </w:pPr>
            <w:r w:rsidRPr="00264D5D">
              <w:rPr>
                <w:szCs w:val="22"/>
              </w:rPr>
              <w:t>Обязательно для заполнения если реквизит «Код платежного документа» = «ZP»</w:t>
            </w:r>
            <w:r w:rsidR="00060FD9" w:rsidRPr="00264D5D">
              <w:rPr>
                <w:szCs w:val="22"/>
              </w:rPr>
              <w:t xml:space="preserve"> при осуществлении операций в </w:t>
            </w:r>
            <w:r w:rsidR="00060FD9" w:rsidRPr="00264D5D">
              <w:rPr>
                <w:szCs w:val="22"/>
              </w:rPr>
              <w:lastRenderedPageBreak/>
              <w:t xml:space="preserve">российских рублях. </w:t>
            </w:r>
          </w:p>
          <w:p w14:paraId="40AF2404" w14:textId="77777777" w:rsidR="00AD1F54" w:rsidRPr="00264D5D" w:rsidRDefault="00060FD9" w:rsidP="00060FD9">
            <w:pPr>
              <w:pStyle w:val="GOSTTablenorm"/>
              <w:rPr>
                <w:szCs w:val="22"/>
              </w:rPr>
            </w:pPr>
            <w:r w:rsidRPr="00264D5D">
              <w:rPr>
                <w:szCs w:val="22"/>
              </w:rPr>
              <w:t>Не заполняется при осуществлении операций в иностранной валюте.</w:t>
            </w:r>
          </w:p>
          <w:p w14:paraId="1A0589B1" w14:textId="77777777" w:rsidR="00AD1F54" w:rsidRPr="00264D5D" w:rsidRDefault="00941227" w:rsidP="00D65AFB">
            <w:pPr>
              <w:pStyle w:val="ASFKTablenorm"/>
              <w:rPr>
                <w:sz w:val="22"/>
                <w:szCs w:val="22"/>
              </w:rPr>
            </w:pPr>
            <w:r w:rsidRPr="00264D5D">
              <w:rPr>
                <w:sz w:val="22"/>
                <w:szCs w:val="22"/>
              </w:rPr>
              <w:t>Используется при информационном взаимодействии по маршру</w:t>
            </w:r>
            <w:r w:rsidR="00D65AFB">
              <w:rPr>
                <w:sz w:val="22"/>
                <w:szCs w:val="22"/>
              </w:rPr>
              <w:t>там ПБС (ПФХД) – ТОФК (ПУР ЭБ)</w:t>
            </w:r>
          </w:p>
        </w:tc>
      </w:tr>
      <w:tr w:rsidR="00AD1F54" w:rsidRPr="00264D5D" w14:paraId="1A567E8E" w14:textId="77777777" w:rsidTr="00AD1F54">
        <w:trPr>
          <w:cnfStyle w:val="000000010000" w:firstRow="0" w:lastRow="0" w:firstColumn="0" w:lastColumn="0" w:oddVBand="0" w:evenVBand="0" w:oddHBand="0" w:evenHBand="1" w:firstRowFirstColumn="0" w:firstRowLastColumn="0" w:lastRowFirstColumn="0" w:lastRowLastColumn="0"/>
        </w:trPr>
        <w:tc>
          <w:tcPr>
            <w:tcW w:w="9634" w:type="dxa"/>
            <w:gridSpan w:val="6"/>
          </w:tcPr>
          <w:p w14:paraId="09D06244" w14:textId="77777777" w:rsidR="00AD1F54" w:rsidRPr="00264D5D" w:rsidRDefault="00941227">
            <w:pPr>
              <w:pStyle w:val="GOSTTablenorm"/>
              <w:widowControl w:val="0"/>
              <w:rPr>
                <w:szCs w:val="22"/>
              </w:rPr>
            </w:pPr>
            <w:r w:rsidRPr="00264D5D">
              <w:rPr>
                <w:b/>
                <w:szCs w:val="22"/>
              </w:rPr>
              <w:lastRenderedPageBreak/>
              <w:t>Системная информация</w:t>
            </w:r>
          </w:p>
        </w:tc>
      </w:tr>
      <w:tr w:rsidR="00AD1F54" w:rsidRPr="00264D5D" w14:paraId="14CB480C"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341DBBD" w14:textId="77777777" w:rsidR="00AD1F54" w:rsidRPr="00264D5D" w:rsidRDefault="00941227">
            <w:pPr>
              <w:pStyle w:val="GOSTTablenorm"/>
              <w:rPr>
                <w:i/>
                <w:szCs w:val="22"/>
              </w:rPr>
            </w:pPr>
            <w:r w:rsidRPr="00264D5D">
              <w:rPr>
                <w:szCs w:val="22"/>
              </w:rPr>
              <w:t>Системная информация документа</w:t>
            </w:r>
          </w:p>
        </w:tc>
        <w:tc>
          <w:tcPr>
            <w:tcW w:w="1701" w:type="dxa"/>
          </w:tcPr>
          <w:p w14:paraId="1097A673" w14:textId="77777777" w:rsidR="00AD1F54" w:rsidRPr="00264D5D" w:rsidRDefault="00941227">
            <w:pPr>
              <w:pStyle w:val="GOSTTablenorm"/>
              <w:rPr>
                <w:szCs w:val="22"/>
              </w:rPr>
            </w:pPr>
            <w:r w:rsidRPr="00264D5D">
              <w:rPr>
                <w:szCs w:val="22"/>
              </w:rPr>
              <w:t>ZS_MSC_Infrmtn</w:t>
            </w:r>
          </w:p>
        </w:tc>
        <w:tc>
          <w:tcPr>
            <w:tcW w:w="567" w:type="dxa"/>
          </w:tcPr>
          <w:p w14:paraId="24D93384" w14:textId="77777777" w:rsidR="00AD1F54" w:rsidRPr="00264D5D" w:rsidRDefault="00941227">
            <w:pPr>
              <w:pStyle w:val="GOSTTablenorm"/>
              <w:jc w:val="center"/>
              <w:rPr>
                <w:szCs w:val="22"/>
              </w:rPr>
            </w:pPr>
            <w:r w:rsidRPr="00264D5D">
              <w:rPr>
                <w:szCs w:val="22"/>
              </w:rPr>
              <w:t>С</w:t>
            </w:r>
          </w:p>
        </w:tc>
        <w:tc>
          <w:tcPr>
            <w:tcW w:w="1134" w:type="dxa"/>
          </w:tcPr>
          <w:p w14:paraId="3B9A201A" w14:textId="77777777" w:rsidR="00AD1F54" w:rsidRPr="00264D5D" w:rsidRDefault="00941227">
            <w:pPr>
              <w:pStyle w:val="GOSTTablenorm"/>
              <w:rPr>
                <w:szCs w:val="22"/>
              </w:rPr>
            </w:pPr>
            <w:r w:rsidRPr="00264D5D">
              <w:rPr>
                <w:szCs w:val="22"/>
              </w:rPr>
              <w:t>tMSC_Infrmtn</w:t>
            </w:r>
          </w:p>
        </w:tc>
        <w:tc>
          <w:tcPr>
            <w:tcW w:w="567" w:type="dxa"/>
          </w:tcPr>
          <w:p w14:paraId="22CE546C" w14:textId="77777777" w:rsidR="00AD1F54" w:rsidRPr="00264D5D" w:rsidRDefault="00941227">
            <w:pPr>
              <w:pStyle w:val="GOSTTablenorm"/>
              <w:jc w:val="center"/>
              <w:rPr>
                <w:szCs w:val="22"/>
              </w:rPr>
            </w:pPr>
            <w:r w:rsidRPr="00264D5D">
              <w:rPr>
                <w:szCs w:val="22"/>
              </w:rPr>
              <w:t>О</w:t>
            </w:r>
          </w:p>
        </w:tc>
        <w:tc>
          <w:tcPr>
            <w:tcW w:w="3964" w:type="dxa"/>
          </w:tcPr>
          <w:p w14:paraId="608977F1" w14:textId="6029EBC5" w:rsidR="00AD1F54" w:rsidRPr="00264D5D" w:rsidRDefault="00941227">
            <w:pPr>
              <w:pStyle w:val="GOSTTablenorm"/>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_Ref529351121 \h  \* MERGEFORMAT </w:instrText>
            </w:r>
            <w:r w:rsidRPr="00264D5D">
              <w:rPr>
                <w:b/>
                <w:szCs w:val="22"/>
              </w:rPr>
            </w:r>
            <w:r w:rsidRPr="00264D5D">
              <w:rPr>
                <w:b/>
                <w:szCs w:val="22"/>
              </w:rPr>
              <w:fldChar w:fldCharType="separate"/>
            </w:r>
            <w:r w:rsidR="008D797C" w:rsidRPr="008D797C">
              <w:rPr>
                <w:b/>
                <w:szCs w:val="22"/>
              </w:rPr>
              <w:t>135</w:t>
            </w:r>
            <w:r w:rsidRPr="00264D5D">
              <w:rPr>
                <w:b/>
                <w:szCs w:val="22"/>
              </w:rPr>
              <w:fldChar w:fldCharType="end"/>
            </w:r>
          </w:p>
        </w:tc>
      </w:tr>
      <w:tr w:rsidR="00AD1F54" w:rsidRPr="00264D5D" w14:paraId="37AC7BCB" w14:textId="77777777" w:rsidTr="00AD1F54">
        <w:trPr>
          <w:cnfStyle w:val="000000010000" w:firstRow="0" w:lastRow="0" w:firstColumn="0" w:lastColumn="0" w:oddVBand="0" w:evenVBand="0" w:oddHBand="0" w:evenHBand="1" w:firstRowFirstColumn="0" w:firstRowLastColumn="0" w:lastRowFirstColumn="0" w:lastRowLastColumn="0"/>
        </w:trPr>
        <w:tc>
          <w:tcPr>
            <w:tcW w:w="9634" w:type="dxa"/>
            <w:gridSpan w:val="6"/>
          </w:tcPr>
          <w:p w14:paraId="5597B2A0" w14:textId="77777777" w:rsidR="00AD1F54" w:rsidRPr="00264D5D" w:rsidRDefault="00941227">
            <w:pPr>
              <w:pStyle w:val="GOSTTablenorm"/>
              <w:widowControl w:val="0"/>
              <w:rPr>
                <w:szCs w:val="22"/>
              </w:rPr>
            </w:pPr>
            <w:r w:rsidRPr="00264D5D">
              <w:rPr>
                <w:b/>
                <w:szCs w:val="22"/>
              </w:rPr>
              <w:t>ЭП</w:t>
            </w:r>
          </w:p>
        </w:tc>
      </w:tr>
      <w:tr w:rsidR="00AD1F54" w:rsidRPr="00264D5D" w14:paraId="1A19547F"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F15E226" w14:textId="77777777" w:rsidR="00AD1F54" w:rsidRPr="00264D5D" w:rsidRDefault="00941227">
            <w:pPr>
              <w:pStyle w:val="GOSTTablenorm"/>
              <w:rPr>
                <w:i/>
              </w:rPr>
            </w:pPr>
            <w:r w:rsidRPr="00264D5D">
              <w:t>Электронная подпись</w:t>
            </w:r>
          </w:p>
        </w:tc>
        <w:tc>
          <w:tcPr>
            <w:tcW w:w="1701" w:type="dxa"/>
          </w:tcPr>
          <w:p w14:paraId="3591CFFB" w14:textId="77777777" w:rsidR="00AD1F54" w:rsidRPr="00264D5D" w:rsidRDefault="00941227">
            <w:pPr>
              <w:pStyle w:val="GOSTTablenorm"/>
              <w:rPr>
                <w:szCs w:val="22"/>
              </w:rPr>
            </w:pPr>
            <w:r w:rsidRPr="00264D5D">
              <w:rPr>
                <w:szCs w:val="22"/>
              </w:rPr>
              <w:t>Signature</w:t>
            </w:r>
          </w:p>
        </w:tc>
        <w:tc>
          <w:tcPr>
            <w:tcW w:w="567" w:type="dxa"/>
          </w:tcPr>
          <w:p w14:paraId="35E4938C" w14:textId="77777777" w:rsidR="00AD1F54" w:rsidRPr="00264D5D" w:rsidRDefault="00941227">
            <w:pPr>
              <w:pStyle w:val="GOSTTablenorm"/>
              <w:jc w:val="center"/>
              <w:rPr>
                <w:szCs w:val="22"/>
              </w:rPr>
            </w:pPr>
            <w:r w:rsidRPr="00264D5D">
              <w:t>С</w:t>
            </w:r>
          </w:p>
        </w:tc>
        <w:tc>
          <w:tcPr>
            <w:tcW w:w="1134" w:type="dxa"/>
          </w:tcPr>
          <w:p w14:paraId="1CFD20A7" w14:textId="77777777" w:rsidR="00AD1F54" w:rsidRPr="00264D5D" w:rsidRDefault="00941227">
            <w:pPr>
              <w:pStyle w:val="GOSTTablenorm"/>
              <w:rPr>
                <w:szCs w:val="22"/>
              </w:rPr>
            </w:pPr>
            <w:r w:rsidRPr="00264D5D">
              <w:rPr>
                <w:rFonts w:eastAsia="Calibri"/>
              </w:rPr>
              <w:t>SignatureType</w:t>
            </w:r>
          </w:p>
        </w:tc>
        <w:tc>
          <w:tcPr>
            <w:tcW w:w="567" w:type="dxa"/>
          </w:tcPr>
          <w:p w14:paraId="35DA6263" w14:textId="77777777" w:rsidR="00AD1F54" w:rsidRPr="00264D5D" w:rsidRDefault="00941227">
            <w:pPr>
              <w:pStyle w:val="GOSTTablenorm"/>
              <w:jc w:val="center"/>
              <w:rPr>
                <w:szCs w:val="22"/>
              </w:rPr>
            </w:pPr>
            <w:r w:rsidRPr="00264D5D">
              <w:t>НМ</w:t>
            </w:r>
          </w:p>
        </w:tc>
        <w:tc>
          <w:tcPr>
            <w:tcW w:w="3964" w:type="dxa"/>
          </w:tcPr>
          <w:p w14:paraId="15FD40E4" w14:textId="77777777" w:rsidR="00AD1F54" w:rsidRPr="00264D5D" w:rsidRDefault="00941227">
            <w:pPr>
              <w:pStyle w:val="GOSTTablenorm"/>
              <w:rPr>
                <w:szCs w:val="22"/>
              </w:rPr>
            </w:pPr>
            <w:r w:rsidRPr="00264D5D">
              <w:rPr>
                <w:szCs w:val="22"/>
              </w:rPr>
              <w:t>Блок подписи в формате XAdes. Указывается как референс согласно формату подписи XAdes.</w:t>
            </w:r>
          </w:p>
          <w:p w14:paraId="2FAF24E6" w14:textId="77777777" w:rsidR="00AD1F54" w:rsidRPr="00264D5D" w:rsidRDefault="00941227">
            <w:pPr>
              <w:spacing w:before="60" w:after="60"/>
              <w:rPr>
                <w:sz w:val="22"/>
                <w:szCs w:val="22"/>
              </w:rPr>
            </w:pPr>
            <w:r w:rsidRPr="00264D5D">
              <w:rPr>
                <w:sz w:val="22"/>
                <w:szCs w:val="22"/>
              </w:rPr>
              <w:t>Заполняется согласно п.3.5.3 Тома 1 настоящего альбома.</w:t>
            </w:r>
          </w:p>
          <w:p w14:paraId="6D275CA0" w14:textId="77777777" w:rsidR="00AD1F54" w:rsidRPr="00264D5D" w:rsidRDefault="00941227">
            <w:pPr>
              <w:pStyle w:val="GOSTTablenorm"/>
              <w:rPr>
                <w:szCs w:val="22"/>
              </w:rPr>
            </w:pPr>
            <w:r w:rsidRPr="00264D5D">
              <w:rPr>
                <w:szCs w:val="22"/>
              </w:rPr>
              <w:t>Обязателен для заполнения при сервисн</w:t>
            </w:r>
            <w:r w:rsidR="00B06B9A" w:rsidRPr="00264D5D">
              <w:rPr>
                <w:szCs w:val="22"/>
              </w:rPr>
              <w:t>ом взаимодействии ПФХД и ПУР ЭБ</w:t>
            </w:r>
          </w:p>
        </w:tc>
      </w:tr>
    </w:tbl>
    <w:p w14:paraId="58CB550A" w14:textId="77777777" w:rsidR="00AD1F54" w:rsidRPr="00264D5D" w:rsidRDefault="00941227">
      <w:pPr>
        <w:pStyle w:val="31"/>
      </w:pPr>
      <w:bookmarkStart w:id="3077" w:name="_Toc143690189"/>
      <w:bookmarkStart w:id="3078" w:name="_Toc508712740"/>
      <w:bookmarkStart w:id="3079" w:name="_Toc18509201"/>
      <w:bookmarkStart w:id="3080" w:name="_Toc501726962"/>
      <w:bookmarkStart w:id="3081" w:name="_Toc219309756"/>
      <w:r w:rsidRPr="00264D5D">
        <w:t>Описание комплексного типа «</w:t>
      </w:r>
      <w:r w:rsidRPr="00264D5D">
        <w:rPr>
          <w:rFonts w:eastAsiaTheme="minorHAnsi"/>
        </w:rPr>
        <w:t>tZS_DocKindCodeComplex</w:t>
      </w:r>
      <w:r w:rsidRPr="00264D5D">
        <w:t>»</w:t>
      </w:r>
      <w:bookmarkEnd w:id="3077"/>
      <w:bookmarkEnd w:id="3081"/>
    </w:p>
    <w:p w14:paraId="0B8A56B9" w14:textId="77777777" w:rsidR="00AD1F54" w:rsidRPr="00264D5D" w:rsidRDefault="00941227">
      <w:pPr>
        <w:pStyle w:val="GOSTNormal"/>
      </w:pPr>
      <w:r w:rsidRPr="00264D5D">
        <w:t>Описание комплексного типа «</w:t>
      </w:r>
      <w:r w:rsidRPr="00264D5D">
        <w:rPr>
          <w:rFonts w:eastAsiaTheme="minorHAnsi"/>
        </w:rPr>
        <w:t>tZS_DocKindCodeComplex</w:t>
      </w:r>
      <w:r w:rsidRPr="00264D5D">
        <w:t>» блока «Код платежного документа».</w:t>
      </w:r>
    </w:p>
    <w:p w14:paraId="552DB4DF" w14:textId="59CC3C9C" w:rsidR="00AD1F54" w:rsidRPr="00264D5D" w:rsidRDefault="00941227">
      <w:pPr>
        <w:pStyle w:val="GOSTNameTable"/>
        <w:numPr>
          <w:ilvl w:val="0"/>
          <w:numId w:val="2"/>
        </w:numPr>
        <w:spacing w:before="240" w:after="120"/>
      </w:pPr>
      <w:r w:rsidRPr="00264D5D">
        <w:fldChar w:fldCharType="begin"/>
      </w:r>
      <w:r w:rsidRPr="00264D5D">
        <w:instrText>SEQ Таблица \* ARABIC</w:instrText>
      </w:r>
      <w:r w:rsidRPr="00264D5D">
        <w:fldChar w:fldCharType="separate"/>
      </w:r>
      <w:bookmarkStart w:id="3082" w:name="_Ref129342785"/>
      <w:bookmarkStart w:id="3083" w:name="_Toc219309310"/>
      <w:r w:rsidR="008D797C">
        <w:rPr>
          <w:noProof/>
        </w:rPr>
        <w:t>280</w:t>
      </w:r>
      <w:bookmarkEnd w:id="3082"/>
      <w:r w:rsidRPr="00264D5D">
        <w:fldChar w:fldCharType="end"/>
      </w:r>
      <w:r w:rsidRPr="00264D5D">
        <w:t xml:space="preserve"> – Описание комплексного типа «</w:t>
      </w:r>
      <w:r w:rsidRPr="00264D5D">
        <w:rPr>
          <w:rFonts w:eastAsiaTheme="minorHAnsi"/>
        </w:rPr>
        <w:t>tZS_DocKindCodeComplex</w:t>
      </w:r>
      <w:r w:rsidRPr="00264D5D">
        <w:t>»</w:t>
      </w:r>
      <w:bookmarkEnd w:id="3083"/>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AD1F54" w:rsidRPr="00264D5D" w14:paraId="2D2F0C4E" w14:textId="77777777" w:rsidTr="0056310A">
        <w:trPr>
          <w:cnfStyle w:val="100000000000" w:firstRow="1" w:lastRow="0" w:firstColumn="0" w:lastColumn="0" w:oddVBand="0" w:evenVBand="0" w:oddHBand="0" w:evenHBand="0" w:firstRowFirstColumn="0" w:firstRowLastColumn="0" w:lastRowFirstColumn="0" w:lastRowLastColumn="0"/>
          <w:tblHeader/>
        </w:trPr>
        <w:tc>
          <w:tcPr>
            <w:tcW w:w="1701" w:type="dxa"/>
          </w:tcPr>
          <w:p w14:paraId="5580BBA8" w14:textId="77777777" w:rsidR="00AD1F54" w:rsidRPr="00264D5D" w:rsidRDefault="00941227">
            <w:pPr>
              <w:pStyle w:val="GOSTTableHead"/>
            </w:pPr>
            <w:r w:rsidRPr="00264D5D">
              <w:t>Наименование элемента</w:t>
            </w:r>
          </w:p>
        </w:tc>
        <w:tc>
          <w:tcPr>
            <w:tcW w:w="1701" w:type="dxa"/>
          </w:tcPr>
          <w:p w14:paraId="46AC0468" w14:textId="77777777" w:rsidR="00AD1F54" w:rsidRPr="00264D5D" w:rsidRDefault="00941227">
            <w:pPr>
              <w:pStyle w:val="GOSTTableHead"/>
            </w:pPr>
            <w:r w:rsidRPr="00264D5D">
              <w:t>Сокращенное наименование (код) элемента</w:t>
            </w:r>
          </w:p>
        </w:tc>
        <w:tc>
          <w:tcPr>
            <w:tcW w:w="567" w:type="dxa"/>
          </w:tcPr>
          <w:p w14:paraId="5031E498" w14:textId="77777777" w:rsidR="00AD1F54" w:rsidRPr="00264D5D" w:rsidRDefault="00941227">
            <w:pPr>
              <w:pStyle w:val="GOSTTableHead"/>
            </w:pPr>
            <w:r w:rsidRPr="00264D5D">
              <w:t>Тип</w:t>
            </w:r>
          </w:p>
        </w:tc>
        <w:tc>
          <w:tcPr>
            <w:tcW w:w="1134" w:type="dxa"/>
          </w:tcPr>
          <w:p w14:paraId="251B7AC1" w14:textId="77777777" w:rsidR="00AD1F54" w:rsidRPr="00264D5D" w:rsidRDefault="00941227">
            <w:pPr>
              <w:pStyle w:val="GOSTTableHead"/>
            </w:pPr>
            <w:r w:rsidRPr="00264D5D">
              <w:t>Формат элемента</w:t>
            </w:r>
          </w:p>
        </w:tc>
        <w:tc>
          <w:tcPr>
            <w:tcW w:w="567" w:type="dxa"/>
          </w:tcPr>
          <w:p w14:paraId="2A41084B" w14:textId="77777777" w:rsidR="00AD1F54" w:rsidRPr="00264D5D" w:rsidRDefault="00941227">
            <w:pPr>
              <w:pStyle w:val="GOSTTableHead"/>
            </w:pPr>
            <w:r w:rsidRPr="00264D5D">
              <w:t>Обязательность</w:t>
            </w:r>
          </w:p>
        </w:tc>
        <w:tc>
          <w:tcPr>
            <w:tcW w:w="3963" w:type="dxa"/>
          </w:tcPr>
          <w:p w14:paraId="1BE7F858" w14:textId="77777777" w:rsidR="00AD1F54" w:rsidRPr="00264D5D" w:rsidRDefault="00941227">
            <w:pPr>
              <w:pStyle w:val="GOSTTableHead"/>
            </w:pPr>
            <w:r w:rsidRPr="00264D5D">
              <w:t>Дополнительная информация</w:t>
            </w:r>
          </w:p>
        </w:tc>
      </w:tr>
      <w:tr w:rsidR="00AD1F54" w:rsidRPr="00264D5D" w14:paraId="4AD0947A" w14:textId="77777777" w:rsidTr="00AD1F54">
        <w:tc>
          <w:tcPr>
            <w:tcW w:w="1701" w:type="dxa"/>
          </w:tcPr>
          <w:p w14:paraId="00F7D8FE" w14:textId="77777777" w:rsidR="00AD1F54" w:rsidRPr="00264D5D" w:rsidRDefault="00941227">
            <w:pPr>
              <w:pStyle w:val="GOSTTablenorm"/>
            </w:pPr>
            <w:r w:rsidRPr="00264D5D">
              <w:t>Код платежного документа</w:t>
            </w:r>
          </w:p>
        </w:tc>
        <w:tc>
          <w:tcPr>
            <w:tcW w:w="1701" w:type="dxa"/>
          </w:tcPr>
          <w:p w14:paraId="3F4C34C8" w14:textId="77777777" w:rsidR="00AD1F54" w:rsidRPr="00264D5D" w:rsidRDefault="00941227">
            <w:pPr>
              <w:pStyle w:val="GOSTTablenorm"/>
            </w:pPr>
            <w:r w:rsidRPr="00264D5D">
              <w:t>code</w:t>
            </w:r>
          </w:p>
        </w:tc>
        <w:tc>
          <w:tcPr>
            <w:tcW w:w="567" w:type="dxa"/>
          </w:tcPr>
          <w:p w14:paraId="6991B273" w14:textId="77777777" w:rsidR="00AD1F54" w:rsidRPr="00264D5D" w:rsidRDefault="00941227">
            <w:pPr>
              <w:pStyle w:val="GOSTTablenorm"/>
            </w:pPr>
            <w:r w:rsidRPr="00264D5D">
              <w:t>А</w:t>
            </w:r>
          </w:p>
        </w:tc>
        <w:tc>
          <w:tcPr>
            <w:tcW w:w="1134" w:type="dxa"/>
          </w:tcPr>
          <w:p w14:paraId="1577CA42" w14:textId="77777777" w:rsidR="00AD1F54" w:rsidRPr="00264D5D" w:rsidRDefault="00941227">
            <w:pPr>
              <w:pStyle w:val="GOSTTablenorm"/>
            </w:pPr>
            <w:r w:rsidRPr="00264D5D">
              <w:t>-</w:t>
            </w:r>
          </w:p>
        </w:tc>
        <w:tc>
          <w:tcPr>
            <w:tcW w:w="567" w:type="dxa"/>
          </w:tcPr>
          <w:p w14:paraId="2F970FB5" w14:textId="77777777" w:rsidR="00AD1F54" w:rsidRPr="00264D5D" w:rsidRDefault="00941227">
            <w:pPr>
              <w:pStyle w:val="GOSTTablenorm"/>
            </w:pPr>
            <w:r w:rsidRPr="00264D5D">
              <w:t>О</w:t>
            </w:r>
          </w:p>
        </w:tc>
        <w:tc>
          <w:tcPr>
            <w:tcW w:w="3963" w:type="dxa"/>
          </w:tcPr>
          <w:p w14:paraId="51426267" w14:textId="77777777" w:rsidR="00AD1F54" w:rsidRPr="00264D5D" w:rsidRDefault="00941227">
            <w:pPr>
              <w:pStyle w:val="GOSTTablenorm"/>
            </w:pPr>
            <w:r w:rsidRPr="00264D5D">
              <w:t>Допустимые значения:</w:t>
            </w:r>
          </w:p>
          <w:p w14:paraId="7AC5E67A" w14:textId="77777777" w:rsidR="00AD1F54" w:rsidRPr="00264D5D" w:rsidRDefault="0056310A" w:rsidP="00101F62">
            <w:pPr>
              <w:pStyle w:val="GOSTTablenorm"/>
              <w:numPr>
                <w:ilvl w:val="0"/>
                <w:numId w:val="144"/>
              </w:numPr>
              <w:ind w:left="284" w:hanging="227"/>
              <w:rPr>
                <w:szCs w:val="24"/>
              </w:rPr>
            </w:pPr>
            <w:r w:rsidRPr="00264D5D">
              <w:t>«</w:t>
            </w:r>
            <w:r w:rsidR="00941227" w:rsidRPr="00264D5D">
              <w:rPr>
                <w:lang w:val="en-US"/>
              </w:rPr>
              <w:t>ZS</w:t>
            </w:r>
            <w:r w:rsidRPr="00264D5D">
              <w:t>»</w:t>
            </w:r>
            <w:r w:rsidR="00B06B9A" w:rsidRPr="00264D5D">
              <w:rPr>
                <w:szCs w:val="24"/>
              </w:rPr>
              <w:t xml:space="preserve"> – </w:t>
            </w:r>
            <w:r w:rsidR="00941227" w:rsidRPr="00264D5D">
              <w:t>Зая</w:t>
            </w:r>
            <w:r w:rsidR="00B06B9A" w:rsidRPr="00264D5D">
              <w:t>вка на получение наличных денег</w:t>
            </w:r>
            <w:r w:rsidR="00941227" w:rsidRPr="00264D5D">
              <w:rPr>
                <w:szCs w:val="24"/>
              </w:rPr>
              <w:t>;</w:t>
            </w:r>
          </w:p>
          <w:p w14:paraId="1527C717" w14:textId="77777777" w:rsidR="00A12A8C" w:rsidRPr="00264D5D" w:rsidRDefault="0056310A" w:rsidP="00101F62">
            <w:pPr>
              <w:pStyle w:val="GOSTTablenorm"/>
              <w:numPr>
                <w:ilvl w:val="0"/>
                <w:numId w:val="156"/>
              </w:numPr>
              <w:spacing w:before="0" w:after="0"/>
              <w:ind w:left="284" w:hanging="227"/>
            </w:pPr>
            <w:r w:rsidRPr="00264D5D">
              <w:t>«</w:t>
            </w:r>
            <w:r w:rsidR="00941227" w:rsidRPr="00264D5D">
              <w:rPr>
                <w:lang w:val="en-US"/>
              </w:rPr>
              <w:t>ZP</w:t>
            </w:r>
            <w:r w:rsidRPr="00264D5D">
              <w:t>»</w:t>
            </w:r>
            <w:r w:rsidR="00B06B9A" w:rsidRPr="00264D5D">
              <w:rPr>
                <w:szCs w:val="24"/>
              </w:rPr>
              <w:t xml:space="preserve"> – </w:t>
            </w:r>
            <w:r w:rsidR="00941227" w:rsidRPr="00264D5D">
              <w:t>Заявка для обеспечения наличными денежными</w:t>
            </w:r>
            <w:r w:rsidR="00B06B9A" w:rsidRPr="00264D5D">
              <w:t xml:space="preserve"> средствами в электронном виде</w:t>
            </w:r>
            <w:r w:rsidR="00A12A8C" w:rsidRPr="00264D5D">
              <w:t xml:space="preserve">. </w:t>
            </w:r>
          </w:p>
          <w:p w14:paraId="320D7F12" w14:textId="77777777" w:rsidR="00AD1F54" w:rsidRPr="00264D5D" w:rsidRDefault="00A12A8C" w:rsidP="00A12A8C">
            <w:pPr>
              <w:pStyle w:val="GOSTTablenorm"/>
            </w:pPr>
            <w:r w:rsidRPr="00264D5D">
              <w:t xml:space="preserve">Для маршрута НУБП (ПСБ и Росавтодор) </w:t>
            </w:r>
            <w:r w:rsidRPr="00264D5D">
              <w:rPr>
                <w:szCs w:val="24"/>
              </w:rPr>
              <w:t>–</w:t>
            </w:r>
            <w:r w:rsidRPr="00264D5D">
              <w:t xml:space="preserve"> ТОФК указывается только значение «</w:t>
            </w:r>
            <w:r w:rsidRPr="00264D5D">
              <w:rPr>
                <w:lang w:val="en-US"/>
              </w:rPr>
              <w:t>ZP</w:t>
            </w:r>
            <w:r w:rsidRPr="00264D5D">
              <w:t>»</w:t>
            </w:r>
          </w:p>
        </w:tc>
      </w:tr>
      <w:tr w:rsidR="00AD1F54" w:rsidRPr="00264D5D" w14:paraId="224A7B6B" w14:textId="77777777" w:rsidTr="00AD1F54">
        <w:trPr>
          <w:trHeight w:val="537"/>
        </w:trPr>
        <w:tc>
          <w:tcPr>
            <w:tcW w:w="1701" w:type="dxa"/>
          </w:tcPr>
          <w:p w14:paraId="3EDCFC57" w14:textId="77777777" w:rsidR="00AD1F54" w:rsidRPr="00264D5D" w:rsidRDefault="00941227">
            <w:pPr>
              <w:pStyle w:val="GOSTTablenorm"/>
            </w:pPr>
            <w:r w:rsidRPr="00264D5D">
              <w:t>Тип платежного документа</w:t>
            </w:r>
          </w:p>
        </w:tc>
        <w:tc>
          <w:tcPr>
            <w:tcW w:w="1701" w:type="dxa"/>
          </w:tcPr>
          <w:p w14:paraId="3EC95E49" w14:textId="77777777" w:rsidR="00AD1F54" w:rsidRPr="00264D5D" w:rsidRDefault="00941227">
            <w:pPr>
              <w:pStyle w:val="GOSTTablenorm"/>
            </w:pPr>
            <w:r w:rsidRPr="00264D5D">
              <w:t>value</w:t>
            </w:r>
          </w:p>
        </w:tc>
        <w:tc>
          <w:tcPr>
            <w:tcW w:w="567" w:type="dxa"/>
          </w:tcPr>
          <w:p w14:paraId="4E32F7B3" w14:textId="77777777" w:rsidR="00AD1F54" w:rsidRPr="00264D5D" w:rsidRDefault="00941227">
            <w:pPr>
              <w:pStyle w:val="GOSTTablenorm"/>
            </w:pPr>
            <w:r w:rsidRPr="00264D5D">
              <w:t>А</w:t>
            </w:r>
          </w:p>
        </w:tc>
        <w:tc>
          <w:tcPr>
            <w:tcW w:w="1134" w:type="dxa"/>
          </w:tcPr>
          <w:p w14:paraId="14557E6C" w14:textId="77777777" w:rsidR="00AD1F54" w:rsidRPr="00264D5D" w:rsidRDefault="00941227">
            <w:pPr>
              <w:pStyle w:val="GOSTTablenorm"/>
            </w:pPr>
            <w:r w:rsidRPr="00264D5D">
              <w:t>-</w:t>
            </w:r>
          </w:p>
        </w:tc>
        <w:tc>
          <w:tcPr>
            <w:tcW w:w="567" w:type="dxa"/>
          </w:tcPr>
          <w:p w14:paraId="2EDFBA65" w14:textId="77777777" w:rsidR="00AD1F54" w:rsidRPr="00264D5D" w:rsidRDefault="00941227">
            <w:pPr>
              <w:pStyle w:val="GOSTTablenorm"/>
            </w:pPr>
            <w:r w:rsidRPr="00264D5D">
              <w:t>Н</w:t>
            </w:r>
          </w:p>
        </w:tc>
        <w:tc>
          <w:tcPr>
            <w:tcW w:w="3963" w:type="dxa"/>
          </w:tcPr>
          <w:p w14:paraId="57FE8144" w14:textId="77777777" w:rsidR="00AD1F54" w:rsidRPr="00264D5D" w:rsidRDefault="00941227" w:rsidP="00B06B9A">
            <w:pPr>
              <w:pStyle w:val="GOSTTablenorm"/>
              <w:rPr>
                <w:lang w:val="en-US"/>
              </w:rPr>
            </w:pPr>
            <w:r w:rsidRPr="00264D5D">
              <w:t>Допустимые</w:t>
            </w:r>
            <w:r w:rsidRPr="00264D5D">
              <w:rPr>
                <w:lang w:val="en-US"/>
              </w:rPr>
              <w:t xml:space="preserve"> значения:</w:t>
            </w:r>
          </w:p>
          <w:p w14:paraId="59B1FFF8" w14:textId="77777777" w:rsidR="00AD1F54" w:rsidRPr="00264D5D" w:rsidRDefault="00941227" w:rsidP="00101F62">
            <w:pPr>
              <w:pStyle w:val="GOSTTablenorm"/>
              <w:numPr>
                <w:ilvl w:val="0"/>
                <w:numId w:val="144"/>
              </w:numPr>
              <w:ind w:left="284" w:hanging="227"/>
            </w:pPr>
            <w:r w:rsidRPr="00264D5D">
              <w:lastRenderedPageBreak/>
              <w:t>Зая</w:t>
            </w:r>
            <w:r w:rsidR="00B06B9A" w:rsidRPr="00264D5D">
              <w:t>вка на получение наличных денег</w:t>
            </w:r>
            <w:r w:rsidRPr="00264D5D">
              <w:t>;</w:t>
            </w:r>
          </w:p>
          <w:p w14:paraId="1CB5A703" w14:textId="77777777" w:rsidR="00A12A8C" w:rsidRPr="00264D5D" w:rsidRDefault="00941227" w:rsidP="00101F62">
            <w:pPr>
              <w:pStyle w:val="GOSTTablenorm"/>
              <w:numPr>
                <w:ilvl w:val="0"/>
                <w:numId w:val="156"/>
              </w:numPr>
              <w:spacing w:before="0" w:after="0"/>
              <w:ind w:left="284" w:hanging="227"/>
            </w:pPr>
            <w:r w:rsidRPr="00264D5D">
              <w:t>Заявка для обеспечения наличными денежными</w:t>
            </w:r>
            <w:r w:rsidR="00B06B9A" w:rsidRPr="00264D5D">
              <w:t xml:space="preserve"> средствами в электронном виде</w:t>
            </w:r>
            <w:r w:rsidR="00A12A8C" w:rsidRPr="00264D5D">
              <w:t xml:space="preserve">. </w:t>
            </w:r>
          </w:p>
          <w:p w14:paraId="7FD4D05D" w14:textId="77777777" w:rsidR="00AD1F54" w:rsidRPr="00264D5D" w:rsidRDefault="00A12A8C" w:rsidP="00A12A8C">
            <w:pPr>
              <w:pStyle w:val="GOSTTablenorm"/>
            </w:pPr>
            <w:r w:rsidRPr="00264D5D">
              <w:t xml:space="preserve">Для маршрута НУБП (ПСБ и Росавтодор) </w:t>
            </w:r>
            <w:r w:rsidRPr="00264D5D">
              <w:rPr>
                <w:szCs w:val="24"/>
              </w:rPr>
              <w:t>–</w:t>
            </w:r>
            <w:r w:rsidRPr="00264D5D">
              <w:t xml:space="preserve"> ТОФК указывается только значение «Заявка для обеспечения наличными денежными средствами в электронном виде»</w:t>
            </w:r>
          </w:p>
        </w:tc>
      </w:tr>
    </w:tbl>
    <w:p w14:paraId="1E6D86A0" w14:textId="77777777" w:rsidR="00AD1F54" w:rsidRPr="00264D5D" w:rsidRDefault="00941227">
      <w:pPr>
        <w:pStyle w:val="31"/>
      </w:pPr>
      <w:bookmarkStart w:id="3084" w:name="_Toc219309757"/>
      <w:r w:rsidRPr="00264D5D">
        <w:lastRenderedPageBreak/>
        <w:t>Описание комплексного типа «tMSC_FnclInst»</w:t>
      </w:r>
      <w:bookmarkEnd w:id="3078"/>
      <w:bookmarkEnd w:id="3079"/>
      <w:bookmarkEnd w:id="3084"/>
    </w:p>
    <w:p w14:paraId="6AD257ED" w14:textId="77777777" w:rsidR="00AD1F54" w:rsidRPr="00264D5D" w:rsidRDefault="00941227">
      <w:pPr>
        <w:pStyle w:val="GOSTNormal"/>
      </w:pPr>
      <w:r w:rsidRPr="00264D5D">
        <w:t xml:space="preserve">Описание комплексного типа </w:t>
      </w:r>
      <w:r w:rsidRPr="00264D5D">
        <w:rPr>
          <w:rFonts w:eastAsia="Calibri"/>
        </w:rPr>
        <w:t>«</w:t>
      </w:r>
      <w:r w:rsidRPr="00264D5D">
        <w:rPr>
          <w:lang w:val="en-US"/>
        </w:rPr>
        <w:t>tMSC</w:t>
      </w:r>
      <w:r w:rsidRPr="00264D5D">
        <w:t>_</w:t>
      </w:r>
      <w:r w:rsidRPr="00264D5D">
        <w:rPr>
          <w:lang w:val="en-US"/>
        </w:rPr>
        <w:t>FnclInst</w:t>
      </w:r>
      <w:r w:rsidRPr="00264D5D">
        <w:t>» блока «Финансовый орган».</w:t>
      </w:r>
    </w:p>
    <w:p w14:paraId="22841AF5" w14:textId="73B4B354" w:rsidR="00AD1F54" w:rsidRPr="00264D5D" w:rsidRDefault="001E5517">
      <w:pPr>
        <w:pStyle w:val="GOSTNameTable"/>
        <w:numPr>
          <w:ilvl w:val="0"/>
          <w:numId w:val="2"/>
        </w:numPr>
        <w:ind w:left="425" w:hanging="357"/>
      </w:pPr>
      <w:r w:rsidRPr="00264D5D">
        <w:rPr>
          <w:noProof/>
        </w:rPr>
        <w:fldChar w:fldCharType="begin"/>
      </w:r>
      <w:r w:rsidRPr="00264D5D">
        <w:rPr>
          <w:noProof/>
        </w:rPr>
        <w:instrText xml:space="preserve"> SEQ Таблица \* ARABIC </w:instrText>
      </w:r>
      <w:r w:rsidRPr="00264D5D">
        <w:rPr>
          <w:noProof/>
        </w:rPr>
        <w:fldChar w:fldCharType="separate"/>
      </w:r>
      <w:bookmarkStart w:id="3085" w:name="_Ref503551773"/>
      <w:bookmarkStart w:id="3086" w:name="_Toc18509490"/>
      <w:bookmarkStart w:id="3087" w:name="_Toc219309311"/>
      <w:r w:rsidR="008D797C">
        <w:rPr>
          <w:noProof/>
        </w:rPr>
        <w:t>281</w:t>
      </w:r>
      <w:bookmarkEnd w:id="3085"/>
      <w:r w:rsidRPr="00264D5D">
        <w:rPr>
          <w:noProof/>
        </w:rPr>
        <w:fldChar w:fldCharType="end"/>
      </w:r>
      <w:r w:rsidR="00941227" w:rsidRPr="00264D5D">
        <w:rPr>
          <w:rFonts w:eastAsia="Calibri"/>
          <w:szCs w:val="24"/>
        </w:rPr>
        <w:t xml:space="preserve"> – </w:t>
      </w:r>
      <w:r w:rsidR="00941227" w:rsidRPr="00264D5D">
        <w:t>Описание комплексного типа «tMSC_FnclInst»</w:t>
      </w:r>
      <w:bookmarkEnd w:id="3086"/>
      <w:bookmarkEnd w:id="3087"/>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69771456"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410AE638" w14:textId="77777777" w:rsidR="00AD1F54" w:rsidRPr="00264D5D" w:rsidRDefault="00941227">
            <w:pPr>
              <w:pStyle w:val="ASFKTableHead"/>
            </w:pPr>
            <w:r w:rsidRPr="00264D5D">
              <w:t>Наименование элемента</w:t>
            </w:r>
          </w:p>
        </w:tc>
        <w:tc>
          <w:tcPr>
            <w:tcW w:w="1701" w:type="dxa"/>
          </w:tcPr>
          <w:p w14:paraId="5A2EDB8B" w14:textId="77777777" w:rsidR="00AD1F54" w:rsidRPr="00264D5D" w:rsidRDefault="00941227">
            <w:pPr>
              <w:pStyle w:val="ASFKTableHead"/>
            </w:pPr>
            <w:r w:rsidRPr="00264D5D">
              <w:t>Сокращенное наименование (код) элемента</w:t>
            </w:r>
          </w:p>
        </w:tc>
        <w:tc>
          <w:tcPr>
            <w:tcW w:w="567" w:type="dxa"/>
          </w:tcPr>
          <w:p w14:paraId="52A93E3C" w14:textId="77777777" w:rsidR="00AD1F54" w:rsidRPr="00264D5D" w:rsidRDefault="00941227">
            <w:pPr>
              <w:pStyle w:val="ASFKTableHead"/>
            </w:pPr>
            <w:r w:rsidRPr="00264D5D">
              <w:t>Тип</w:t>
            </w:r>
          </w:p>
        </w:tc>
        <w:tc>
          <w:tcPr>
            <w:tcW w:w="1134" w:type="dxa"/>
          </w:tcPr>
          <w:p w14:paraId="41C55C5D" w14:textId="77777777" w:rsidR="00AD1F54" w:rsidRPr="00264D5D" w:rsidRDefault="00941227">
            <w:pPr>
              <w:pStyle w:val="ASFKTableHead"/>
            </w:pPr>
            <w:r w:rsidRPr="00264D5D">
              <w:t>Формат элемента</w:t>
            </w:r>
          </w:p>
        </w:tc>
        <w:tc>
          <w:tcPr>
            <w:tcW w:w="567" w:type="dxa"/>
          </w:tcPr>
          <w:p w14:paraId="4B752A16" w14:textId="77777777" w:rsidR="00AD1F54" w:rsidRPr="00264D5D" w:rsidRDefault="00941227">
            <w:pPr>
              <w:pStyle w:val="ASFKTableHead"/>
            </w:pPr>
            <w:r w:rsidRPr="00264D5D">
              <w:t>Обязательность</w:t>
            </w:r>
          </w:p>
        </w:tc>
        <w:tc>
          <w:tcPr>
            <w:tcW w:w="3963" w:type="dxa"/>
          </w:tcPr>
          <w:p w14:paraId="68DC60B6" w14:textId="77777777" w:rsidR="00AD1F54" w:rsidRPr="00264D5D" w:rsidRDefault="00941227">
            <w:pPr>
              <w:pStyle w:val="ASFKTableHead"/>
            </w:pPr>
            <w:r w:rsidRPr="00264D5D">
              <w:t>Дополнительная информация</w:t>
            </w:r>
          </w:p>
        </w:tc>
      </w:tr>
      <w:tr w:rsidR="00AD1F54" w:rsidRPr="00264D5D" w14:paraId="33BC7E63"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8540880" w14:textId="77777777" w:rsidR="00AD1F54" w:rsidRPr="00264D5D" w:rsidRDefault="00941227">
            <w:pPr>
              <w:pStyle w:val="GOSTTablenorm"/>
            </w:pPr>
            <w:r w:rsidRPr="00264D5D">
              <w:t>Наименование финансового органа</w:t>
            </w:r>
          </w:p>
        </w:tc>
        <w:tc>
          <w:tcPr>
            <w:tcW w:w="1701" w:type="dxa"/>
          </w:tcPr>
          <w:p w14:paraId="6AD6E77F" w14:textId="77777777" w:rsidR="00AD1F54" w:rsidRPr="00264D5D" w:rsidRDefault="00941227">
            <w:pPr>
              <w:pStyle w:val="GOSTTablenorm"/>
            </w:pPr>
            <w:r w:rsidRPr="00264D5D">
              <w:t>FnclInst</w:t>
            </w:r>
          </w:p>
        </w:tc>
        <w:tc>
          <w:tcPr>
            <w:tcW w:w="567" w:type="dxa"/>
          </w:tcPr>
          <w:p w14:paraId="517BDA89" w14:textId="77777777" w:rsidR="00AD1F54" w:rsidRPr="00264D5D" w:rsidRDefault="00941227">
            <w:pPr>
              <w:pStyle w:val="GOSTTablenorm"/>
              <w:jc w:val="center"/>
            </w:pPr>
            <w:r w:rsidRPr="00264D5D">
              <w:t>П</w:t>
            </w:r>
          </w:p>
        </w:tc>
        <w:tc>
          <w:tcPr>
            <w:tcW w:w="1134" w:type="dxa"/>
          </w:tcPr>
          <w:p w14:paraId="177BAD16" w14:textId="77777777" w:rsidR="00AD1F54" w:rsidRPr="00264D5D" w:rsidRDefault="00941227">
            <w:pPr>
              <w:pStyle w:val="GOSTTablenorm"/>
              <w:rPr>
                <w:lang w:val="en-US"/>
              </w:rPr>
            </w:pPr>
            <w:r w:rsidRPr="00264D5D">
              <w:rPr>
                <w:lang w:val="en-US"/>
              </w:rPr>
              <w:t>Т(1-</w:t>
            </w:r>
            <w:r w:rsidRPr="00264D5D">
              <w:t>2000</w:t>
            </w:r>
            <w:r w:rsidRPr="00264D5D">
              <w:rPr>
                <w:lang w:val="en-US"/>
              </w:rPr>
              <w:t>)</w:t>
            </w:r>
          </w:p>
        </w:tc>
        <w:tc>
          <w:tcPr>
            <w:tcW w:w="567" w:type="dxa"/>
          </w:tcPr>
          <w:p w14:paraId="7EABED5F" w14:textId="77777777" w:rsidR="00AD1F54" w:rsidRPr="00264D5D" w:rsidRDefault="00941227">
            <w:pPr>
              <w:pStyle w:val="GOSTTablenorm"/>
              <w:jc w:val="center"/>
            </w:pPr>
            <w:r w:rsidRPr="00264D5D">
              <w:t>О</w:t>
            </w:r>
          </w:p>
        </w:tc>
        <w:tc>
          <w:tcPr>
            <w:tcW w:w="3963" w:type="dxa"/>
          </w:tcPr>
          <w:p w14:paraId="24BE4130" w14:textId="77777777" w:rsidR="00AD1F54" w:rsidRPr="00264D5D" w:rsidRDefault="00941227">
            <w:pPr>
              <w:pStyle w:val="GOSTTablenorm"/>
            </w:pPr>
            <w:r w:rsidRPr="00264D5D">
              <w:t>Полное наименование финансового органа.</w:t>
            </w:r>
          </w:p>
          <w:p w14:paraId="31D782AA" w14:textId="77777777" w:rsidR="00AD1F54" w:rsidRPr="00264D5D" w:rsidRDefault="00941227">
            <w:pPr>
              <w:pStyle w:val="GOSTTablenorm"/>
              <w:rPr>
                <w:szCs w:val="22"/>
              </w:rPr>
            </w:pPr>
            <w:r w:rsidRPr="00264D5D">
              <w:rPr>
                <w:szCs w:val="22"/>
              </w:rPr>
              <w:t>Для УБП федерального уровня, указывается «Министерство</w:t>
            </w:r>
            <w:r w:rsidR="00B06B9A" w:rsidRPr="00264D5D">
              <w:rPr>
                <w:szCs w:val="22"/>
              </w:rPr>
              <w:t xml:space="preserve"> финансов Российской Федерации»</w:t>
            </w:r>
          </w:p>
        </w:tc>
      </w:tr>
      <w:tr w:rsidR="00AD1F54" w:rsidRPr="00264D5D" w14:paraId="102BE292"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61497281" w14:textId="77777777" w:rsidR="00AD1F54" w:rsidRPr="00264D5D" w:rsidRDefault="00941227">
            <w:pPr>
              <w:pStyle w:val="GOSTTablenorm"/>
            </w:pPr>
            <w:r w:rsidRPr="00264D5D">
              <w:t>Код по ОКПО</w:t>
            </w:r>
          </w:p>
        </w:tc>
        <w:tc>
          <w:tcPr>
            <w:tcW w:w="1701" w:type="dxa"/>
          </w:tcPr>
          <w:p w14:paraId="59BAB732" w14:textId="77777777" w:rsidR="00AD1F54" w:rsidRPr="00264D5D" w:rsidRDefault="00941227">
            <w:pPr>
              <w:pStyle w:val="GOSTTablenorm"/>
            </w:pPr>
            <w:r w:rsidRPr="00264D5D">
              <w:t>OKPOCd</w:t>
            </w:r>
          </w:p>
        </w:tc>
        <w:tc>
          <w:tcPr>
            <w:tcW w:w="567" w:type="dxa"/>
          </w:tcPr>
          <w:p w14:paraId="6B12EE6D" w14:textId="77777777" w:rsidR="00AD1F54" w:rsidRPr="00264D5D" w:rsidRDefault="00941227">
            <w:pPr>
              <w:pStyle w:val="GOSTTablenorm"/>
              <w:jc w:val="center"/>
            </w:pPr>
            <w:r w:rsidRPr="00264D5D">
              <w:t>П</w:t>
            </w:r>
          </w:p>
        </w:tc>
        <w:tc>
          <w:tcPr>
            <w:tcW w:w="1134" w:type="dxa"/>
          </w:tcPr>
          <w:p w14:paraId="5051AFB4" w14:textId="77777777" w:rsidR="00AD1F54" w:rsidRPr="00264D5D" w:rsidRDefault="00941227">
            <w:pPr>
              <w:pStyle w:val="GOSTTablenorm"/>
              <w:rPr>
                <w:lang w:val="en-US"/>
              </w:rPr>
            </w:pPr>
            <w:r w:rsidRPr="00264D5D">
              <w:rPr>
                <w:lang w:val="en-US"/>
              </w:rPr>
              <w:t>Т(</w:t>
            </w:r>
            <w:r w:rsidRPr="00264D5D">
              <w:t>8</w:t>
            </w:r>
            <w:r w:rsidRPr="00264D5D">
              <w:rPr>
                <w:lang w:val="en-US"/>
              </w:rPr>
              <w:t>)</w:t>
            </w:r>
          </w:p>
        </w:tc>
        <w:tc>
          <w:tcPr>
            <w:tcW w:w="567" w:type="dxa"/>
          </w:tcPr>
          <w:p w14:paraId="68CE59A4" w14:textId="77777777" w:rsidR="00AD1F54" w:rsidRPr="00264D5D" w:rsidRDefault="00941227">
            <w:pPr>
              <w:pStyle w:val="GOSTTablenorm"/>
              <w:jc w:val="center"/>
            </w:pPr>
            <w:r w:rsidRPr="00264D5D">
              <w:t>О</w:t>
            </w:r>
          </w:p>
        </w:tc>
        <w:tc>
          <w:tcPr>
            <w:tcW w:w="3963" w:type="dxa"/>
          </w:tcPr>
          <w:p w14:paraId="4F51CCD5" w14:textId="77777777" w:rsidR="00AD1F54" w:rsidRPr="00264D5D" w:rsidRDefault="00941227">
            <w:pPr>
              <w:pStyle w:val="GOSTTablenorm"/>
            </w:pPr>
            <w:r w:rsidRPr="00264D5D">
              <w:t>Указывается</w:t>
            </w:r>
            <w:r w:rsidR="00B06B9A" w:rsidRPr="00264D5D">
              <w:t xml:space="preserve"> код по ОКПО финансового органа</w:t>
            </w:r>
          </w:p>
        </w:tc>
      </w:tr>
    </w:tbl>
    <w:p w14:paraId="7E9FB0AF" w14:textId="77777777" w:rsidR="00AD1F54" w:rsidRPr="00264D5D" w:rsidRDefault="00941227">
      <w:pPr>
        <w:pStyle w:val="31"/>
      </w:pPr>
      <w:bookmarkStart w:id="3088" w:name="_Toc508712741"/>
      <w:bookmarkStart w:id="3089" w:name="_Toc18509202"/>
      <w:bookmarkStart w:id="3090" w:name="_Toc219309758"/>
      <w:r w:rsidRPr="00264D5D">
        <w:t>Описание комплексного типа «tMSC_GRBS3»</w:t>
      </w:r>
      <w:bookmarkEnd w:id="3088"/>
      <w:bookmarkEnd w:id="3089"/>
      <w:bookmarkEnd w:id="3090"/>
    </w:p>
    <w:p w14:paraId="4F4A2BE0" w14:textId="77777777" w:rsidR="00AD1F54" w:rsidRPr="00264D5D" w:rsidRDefault="00941227">
      <w:pPr>
        <w:pStyle w:val="GOSTNormal"/>
      </w:pPr>
      <w:r w:rsidRPr="00264D5D">
        <w:t xml:space="preserve">Описание комплексного типа </w:t>
      </w:r>
      <w:r w:rsidRPr="00264D5D">
        <w:rPr>
          <w:rFonts w:eastAsia="Calibri"/>
        </w:rPr>
        <w:t>«</w:t>
      </w:r>
      <w:r w:rsidRPr="00264D5D">
        <w:t>tMSC_GRBS3» блока «ГРБС».</w:t>
      </w:r>
    </w:p>
    <w:p w14:paraId="6B82056B" w14:textId="5076F268" w:rsidR="00AD1F54" w:rsidRPr="00264D5D" w:rsidRDefault="00941227">
      <w:pPr>
        <w:pStyle w:val="GOSTNameTable"/>
        <w:numPr>
          <w:ilvl w:val="0"/>
          <w:numId w:val="2"/>
        </w:numPr>
        <w:ind w:left="425" w:hanging="357"/>
      </w:pPr>
      <w:r w:rsidRPr="00264D5D">
        <w:t xml:space="preserve"> </w:t>
      </w:r>
      <w:r w:rsidR="001E5517" w:rsidRPr="00264D5D">
        <w:rPr>
          <w:noProof/>
        </w:rPr>
        <w:fldChar w:fldCharType="begin"/>
      </w:r>
      <w:r w:rsidR="001E5517" w:rsidRPr="00264D5D">
        <w:rPr>
          <w:noProof/>
        </w:rPr>
        <w:instrText xml:space="preserve"> SEQ Таблица \* ARABIC </w:instrText>
      </w:r>
      <w:r w:rsidR="001E5517" w:rsidRPr="00264D5D">
        <w:rPr>
          <w:noProof/>
        </w:rPr>
        <w:fldChar w:fldCharType="separate"/>
      </w:r>
      <w:bookmarkStart w:id="3091" w:name="_Ref503551780"/>
      <w:bookmarkStart w:id="3092" w:name="_Toc18509491"/>
      <w:bookmarkStart w:id="3093" w:name="_Toc219309312"/>
      <w:r w:rsidR="008D797C">
        <w:rPr>
          <w:noProof/>
        </w:rPr>
        <w:t>282</w:t>
      </w:r>
      <w:bookmarkEnd w:id="3091"/>
      <w:r w:rsidR="001E5517" w:rsidRPr="00264D5D">
        <w:rPr>
          <w:noProof/>
        </w:rPr>
        <w:fldChar w:fldCharType="end"/>
      </w:r>
      <w:r w:rsidRPr="00264D5D">
        <w:rPr>
          <w:rFonts w:eastAsia="Calibri"/>
          <w:szCs w:val="24"/>
        </w:rPr>
        <w:t xml:space="preserve"> – </w:t>
      </w:r>
      <w:r w:rsidRPr="00264D5D">
        <w:t>Описание комплексного типа «tMSC_GRBS3»</w:t>
      </w:r>
      <w:bookmarkEnd w:id="3092"/>
      <w:bookmarkEnd w:id="3093"/>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0AC6FEE5"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7616B9ED" w14:textId="77777777" w:rsidR="00AD1F54" w:rsidRPr="00264D5D" w:rsidRDefault="00941227">
            <w:pPr>
              <w:pStyle w:val="ASFKTableHead"/>
            </w:pPr>
            <w:r w:rsidRPr="00264D5D">
              <w:t>Наименование элемента</w:t>
            </w:r>
          </w:p>
        </w:tc>
        <w:tc>
          <w:tcPr>
            <w:tcW w:w="1701" w:type="dxa"/>
          </w:tcPr>
          <w:p w14:paraId="60E7B434" w14:textId="77777777" w:rsidR="00AD1F54" w:rsidRPr="00264D5D" w:rsidRDefault="00941227">
            <w:pPr>
              <w:pStyle w:val="ASFKTableHead"/>
            </w:pPr>
            <w:r w:rsidRPr="00264D5D">
              <w:t>Сокращенное наименование (код) элемента</w:t>
            </w:r>
          </w:p>
        </w:tc>
        <w:tc>
          <w:tcPr>
            <w:tcW w:w="567" w:type="dxa"/>
          </w:tcPr>
          <w:p w14:paraId="33F91984" w14:textId="77777777" w:rsidR="00AD1F54" w:rsidRPr="00264D5D" w:rsidRDefault="00941227">
            <w:pPr>
              <w:pStyle w:val="ASFKTableHead"/>
            </w:pPr>
            <w:r w:rsidRPr="00264D5D">
              <w:t>Тип</w:t>
            </w:r>
          </w:p>
        </w:tc>
        <w:tc>
          <w:tcPr>
            <w:tcW w:w="1134" w:type="dxa"/>
          </w:tcPr>
          <w:p w14:paraId="7654A2A2" w14:textId="77777777" w:rsidR="00AD1F54" w:rsidRPr="00264D5D" w:rsidRDefault="00941227">
            <w:pPr>
              <w:pStyle w:val="ASFKTableHead"/>
            </w:pPr>
            <w:r w:rsidRPr="00264D5D">
              <w:t>Формат элемента</w:t>
            </w:r>
          </w:p>
        </w:tc>
        <w:tc>
          <w:tcPr>
            <w:tcW w:w="567" w:type="dxa"/>
          </w:tcPr>
          <w:p w14:paraId="27F01E35" w14:textId="77777777" w:rsidR="00AD1F54" w:rsidRPr="00264D5D" w:rsidRDefault="00941227">
            <w:pPr>
              <w:pStyle w:val="ASFKTableHead"/>
            </w:pPr>
            <w:r w:rsidRPr="00264D5D">
              <w:t>Обязательность</w:t>
            </w:r>
          </w:p>
        </w:tc>
        <w:tc>
          <w:tcPr>
            <w:tcW w:w="3963" w:type="dxa"/>
          </w:tcPr>
          <w:p w14:paraId="41C3ACBF" w14:textId="77777777" w:rsidR="00AD1F54" w:rsidRPr="00264D5D" w:rsidRDefault="00941227">
            <w:pPr>
              <w:pStyle w:val="ASFKTableHead"/>
            </w:pPr>
            <w:r w:rsidRPr="00264D5D">
              <w:t>Дополнительная информация</w:t>
            </w:r>
          </w:p>
        </w:tc>
      </w:tr>
      <w:tr w:rsidR="00AD1F54" w:rsidRPr="00264D5D" w14:paraId="5BD5543E"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F2D5310" w14:textId="77777777" w:rsidR="00AD1F54" w:rsidRPr="00264D5D" w:rsidRDefault="00941227">
            <w:pPr>
              <w:pStyle w:val="GOSTTablenorm"/>
            </w:pPr>
            <w:r w:rsidRPr="00264D5D">
              <w:t>Глава по БК</w:t>
            </w:r>
          </w:p>
        </w:tc>
        <w:tc>
          <w:tcPr>
            <w:tcW w:w="1701" w:type="dxa"/>
          </w:tcPr>
          <w:p w14:paraId="58D8454F" w14:textId="77777777" w:rsidR="00AD1F54" w:rsidRPr="00264D5D" w:rsidRDefault="00941227">
            <w:pPr>
              <w:pStyle w:val="GOSTTablenorm"/>
            </w:pPr>
            <w:r w:rsidRPr="00264D5D">
              <w:t>Cd</w:t>
            </w:r>
          </w:p>
        </w:tc>
        <w:tc>
          <w:tcPr>
            <w:tcW w:w="567" w:type="dxa"/>
          </w:tcPr>
          <w:p w14:paraId="7BE7BFE3" w14:textId="77777777" w:rsidR="00AD1F54" w:rsidRPr="00264D5D" w:rsidRDefault="00941227">
            <w:pPr>
              <w:pStyle w:val="GOSTTablenorm"/>
              <w:jc w:val="center"/>
            </w:pPr>
            <w:r w:rsidRPr="00264D5D">
              <w:t>П</w:t>
            </w:r>
          </w:p>
        </w:tc>
        <w:tc>
          <w:tcPr>
            <w:tcW w:w="1134" w:type="dxa"/>
          </w:tcPr>
          <w:p w14:paraId="04B95FA7" w14:textId="77777777" w:rsidR="00AD1F54" w:rsidRPr="00264D5D" w:rsidRDefault="00941227">
            <w:pPr>
              <w:pStyle w:val="GOSTTablenorm"/>
            </w:pPr>
            <w:r w:rsidRPr="00264D5D">
              <w:t>Т(3)</w:t>
            </w:r>
          </w:p>
        </w:tc>
        <w:tc>
          <w:tcPr>
            <w:tcW w:w="567" w:type="dxa"/>
          </w:tcPr>
          <w:p w14:paraId="56974AA1" w14:textId="77777777" w:rsidR="00AD1F54" w:rsidRPr="00264D5D" w:rsidRDefault="00941227">
            <w:pPr>
              <w:pStyle w:val="GOSTTablenorm"/>
              <w:jc w:val="center"/>
            </w:pPr>
            <w:r w:rsidRPr="00264D5D">
              <w:t>О</w:t>
            </w:r>
          </w:p>
        </w:tc>
        <w:tc>
          <w:tcPr>
            <w:tcW w:w="3963" w:type="dxa"/>
          </w:tcPr>
          <w:p w14:paraId="0516EED7" w14:textId="77777777" w:rsidR="00AD1F54" w:rsidRPr="00264D5D" w:rsidRDefault="00941227">
            <w:pPr>
              <w:pStyle w:val="GOSTTablenorm"/>
            </w:pPr>
            <w:r w:rsidRPr="00264D5D">
              <w:t>Код ГРБС, по перечню ГРБС соответствующего бюджета. Поле может не заполняться в соответствии с отдельными указаниями ФК в целях</w:t>
            </w:r>
            <w:r w:rsidR="00B06B9A" w:rsidRPr="00264D5D">
              <w:t xml:space="preserve"> обеспечения режима секретности</w:t>
            </w:r>
          </w:p>
        </w:tc>
      </w:tr>
      <w:tr w:rsidR="00AD1F54" w:rsidRPr="00264D5D" w14:paraId="44146352"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220DB9D3" w14:textId="77777777" w:rsidR="00AD1F54" w:rsidRPr="00264D5D" w:rsidRDefault="00941227">
            <w:pPr>
              <w:pStyle w:val="GOSTTablenorm"/>
            </w:pPr>
            <w:r w:rsidRPr="00264D5D">
              <w:t>Наименование ГРБС (РБС)</w:t>
            </w:r>
          </w:p>
        </w:tc>
        <w:tc>
          <w:tcPr>
            <w:tcW w:w="1701" w:type="dxa"/>
          </w:tcPr>
          <w:p w14:paraId="039E8B54" w14:textId="77777777" w:rsidR="00AD1F54" w:rsidRPr="00264D5D" w:rsidRDefault="00941227">
            <w:pPr>
              <w:pStyle w:val="GOSTTablenorm"/>
            </w:pPr>
            <w:r w:rsidRPr="00264D5D">
              <w:t>Nm</w:t>
            </w:r>
          </w:p>
        </w:tc>
        <w:tc>
          <w:tcPr>
            <w:tcW w:w="567" w:type="dxa"/>
          </w:tcPr>
          <w:p w14:paraId="7453C76A" w14:textId="77777777" w:rsidR="00AD1F54" w:rsidRPr="00264D5D" w:rsidRDefault="00941227">
            <w:pPr>
              <w:pStyle w:val="GOSTTablenorm"/>
              <w:jc w:val="center"/>
            </w:pPr>
            <w:r w:rsidRPr="00264D5D">
              <w:t>П</w:t>
            </w:r>
          </w:p>
        </w:tc>
        <w:tc>
          <w:tcPr>
            <w:tcW w:w="1134" w:type="dxa"/>
          </w:tcPr>
          <w:p w14:paraId="4D162CA9" w14:textId="77777777" w:rsidR="00AD1F54" w:rsidRPr="00264D5D" w:rsidRDefault="00941227">
            <w:pPr>
              <w:pStyle w:val="GOSTTablenorm"/>
            </w:pPr>
            <w:r w:rsidRPr="00264D5D">
              <w:t>Т(1-2000)</w:t>
            </w:r>
          </w:p>
        </w:tc>
        <w:tc>
          <w:tcPr>
            <w:tcW w:w="567" w:type="dxa"/>
          </w:tcPr>
          <w:p w14:paraId="66BC32AC" w14:textId="77777777" w:rsidR="00AD1F54" w:rsidRPr="00264D5D" w:rsidRDefault="00941227">
            <w:pPr>
              <w:pStyle w:val="GOSTTablenorm"/>
              <w:jc w:val="center"/>
            </w:pPr>
            <w:r w:rsidRPr="00264D5D">
              <w:t>Н</w:t>
            </w:r>
          </w:p>
        </w:tc>
        <w:tc>
          <w:tcPr>
            <w:tcW w:w="3963" w:type="dxa"/>
          </w:tcPr>
          <w:p w14:paraId="5CF0E42C" w14:textId="77777777" w:rsidR="00AD1F54" w:rsidRPr="00264D5D" w:rsidRDefault="00941227">
            <w:pPr>
              <w:pStyle w:val="GOSTTablenorm"/>
            </w:pPr>
            <w:r w:rsidRPr="00264D5D">
              <w:t xml:space="preserve">Полное наименование ГРБС, в ведении которого находится ПБС, оформивший документ. В случае оформления Заявки </w:t>
            </w:r>
            <w:r w:rsidRPr="00264D5D">
              <w:lastRenderedPageBreak/>
              <w:t>по л/с по переданным полномочиям указывается наименование ГРБС, в ведении которого находится ПБС, передавший полномочия.</w:t>
            </w:r>
          </w:p>
          <w:p w14:paraId="206E5736" w14:textId="77777777" w:rsidR="00AD1F54" w:rsidRPr="00264D5D" w:rsidRDefault="00941227">
            <w:pPr>
              <w:pStyle w:val="GOSTTablenorm"/>
            </w:pPr>
            <w:r w:rsidRPr="00264D5D">
              <w:t>Поле может не заполняться в соответствии с отдельными указаниями ФК в целях</w:t>
            </w:r>
            <w:r w:rsidR="00B06B9A" w:rsidRPr="00264D5D">
              <w:t xml:space="preserve"> обеспечения режима секретности</w:t>
            </w:r>
          </w:p>
        </w:tc>
      </w:tr>
    </w:tbl>
    <w:p w14:paraId="5D331D2D" w14:textId="77777777" w:rsidR="00AD1F54" w:rsidRPr="00264D5D" w:rsidRDefault="00941227">
      <w:pPr>
        <w:pStyle w:val="31"/>
      </w:pPr>
      <w:bookmarkStart w:id="3094" w:name="_Toc508712742"/>
      <w:bookmarkStart w:id="3095" w:name="_Toc18509203"/>
      <w:bookmarkStart w:id="3096" w:name="_Toc219309759"/>
      <w:r w:rsidRPr="00264D5D">
        <w:lastRenderedPageBreak/>
        <w:t>Описание комплексного типа «tMSC_Cstmr7»</w:t>
      </w:r>
      <w:bookmarkEnd w:id="3094"/>
      <w:bookmarkEnd w:id="3095"/>
      <w:bookmarkEnd w:id="3096"/>
    </w:p>
    <w:p w14:paraId="0CF31FC4" w14:textId="77777777" w:rsidR="00AD1F54" w:rsidRPr="00264D5D" w:rsidRDefault="00941227">
      <w:pPr>
        <w:pStyle w:val="GOSTNormal"/>
      </w:pPr>
      <w:r w:rsidRPr="00264D5D">
        <w:t xml:space="preserve">Описание комплексного типа </w:t>
      </w:r>
      <w:r w:rsidRPr="00264D5D">
        <w:rPr>
          <w:rFonts w:eastAsia="Calibri"/>
        </w:rPr>
        <w:t>«</w:t>
      </w:r>
      <w:r w:rsidRPr="00264D5D">
        <w:t>tMSC_Cstmr7» блока «Клиент».</w:t>
      </w:r>
    </w:p>
    <w:p w14:paraId="66166291" w14:textId="3F2B72DC" w:rsidR="00AD1F54" w:rsidRPr="00264D5D" w:rsidRDefault="00183F01">
      <w:pPr>
        <w:pStyle w:val="GOSTNameTable"/>
        <w:numPr>
          <w:ilvl w:val="0"/>
          <w:numId w:val="2"/>
        </w:numPr>
        <w:ind w:left="425" w:hanging="357"/>
      </w:pPr>
      <w:r>
        <w:rPr>
          <w:noProof/>
        </w:rPr>
        <w:fldChar w:fldCharType="begin"/>
      </w:r>
      <w:r>
        <w:rPr>
          <w:noProof/>
        </w:rPr>
        <w:instrText xml:space="preserve"> SEQ Таблица \* ARABIC </w:instrText>
      </w:r>
      <w:r>
        <w:rPr>
          <w:noProof/>
        </w:rPr>
        <w:fldChar w:fldCharType="separate"/>
      </w:r>
      <w:bookmarkStart w:id="3097" w:name="_Ref503551788"/>
      <w:bookmarkStart w:id="3098" w:name="_Toc18509492"/>
      <w:bookmarkStart w:id="3099" w:name="_Toc219309313"/>
      <w:r w:rsidR="008D797C">
        <w:rPr>
          <w:noProof/>
        </w:rPr>
        <w:t>283</w:t>
      </w:r>
      <w:bookmarkEnd w:id="3097"/>
      <w:r>
        <w:rPr>
          <w:noProof/>
        </w:rPr>
        <w:fldChar w:fldCharType="end"/>
      </w:r>
      <w:r w:rsidR="00941227" w:rsidRPr="00264D5D">
        <w:rPr>
          <w:rFonts w:eastAsia="Calibri"/>
          <w:szCs w:val="24"/>
        </w:rPr>
        <w:t xml:space="preserve"> – </w:t>
      </w:r>
      <w:r w:rsidR="00941227" w:rsidRPr="00264D5D">
        <w:t>Описание комплексного типа «tMSC_Cstmr7»</w:t>
      </w:r>
      <w:bookmarkEnd w:id="3098"/>
      <w:bookmarkEnd w:id="3099"/>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41BE1574"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03D02FA5" w14:textId="77777777" w:rsidR="00AD1F54" w:rsidRPr="00264D5D" w:rsidRDefault="00941227">
            <w:pPr>
              <w:pStyle w:val="ASFKTableHead"/>
            </w:pPr>
            <w:r w:rsidRPr="00264D5D">
              <w:t>Наименование элемента</w:t>
            </w:r>
          </w:p>
        </w:tc>
        <w:tc>
          <w:tcPr>
            <w:tcW w:w="1701" w:type="dxa"/>
          </w:tcPr>
          <w:p w14:paraId="64C06DAF" w14:textId="77777777" w:rsidR="00AD1F54" w:rsidRPr="00264D5D" w:rsidRDefault="00941227">
            <w:pPr>
              <w:pStyle w:val="ASFKTableHead"/>
            </w:pPr>
            <w:r w:rsidRPr="00264D5D">
              <w:t>Сокращенное наименование (код) элемента</w:t>
            </w:r>
          </w:p>
        </w:tc>
        <w:tc>
          <w:tcPr>
            <w:tcW w:w="567" w:type="dxa"/>
          </w:tcPr>
          <w:p w14:paraId="453CBAE0" w14:textId="77777777" w:rsidR="00AD1F54" w:rsidRPr="00264D5D" w:rsidRDefault="00941227">
            <w:pPr>
              <w:pStyle w:val="ASFKTableHead"/>
            </w:pPr>
            <w:r w:rsidRPr="00264D5D">
              <w:t>Тип</w:t>
            </w:r>
          </w:p>
        </w:tc>
        <w:tc>
          <w:tcPr>
            <w:tcW w:w="1134" w:type="dxa"/>
          </w:tcPr>
          <w:p w14:paraId="45D9F738" w14:textId="77777777" w:rsidR="00AD1F54" w:rsidRPr="00264D5D" w:rsidRDefault="00941227">
            <w:pPr>
              <w:pStyle w:val="ASFKTableHead"/>
            </w:pPr>
            <w:r w:rsidRPr="00264D5D">
              <w:t>Формат элемента</w:t>
            </w:r>
          </w:p>
        </w:tc>
        <w:tc>
          <w:tcPr>
            <w:tcW w:w="567" w:type="dxa"/>
          </w:tcPr>
          <w:p w14:paraId="55EE02FF" w14:textId="77777777" w:rsidR="00AD1F54" w:rsidRPr="00264D5D" w:rsidRDefault="00941227">
            <w:pPr>
              <w:pStyle w:val="ASFKTableHead"/>
            </w:pPr>
            <w:r w:rsidRPr="00264D5D">
              <w:t>Обязательность</w:t>
            </w:r>
          </w:p>
        </w:tc>
        <w:tc>
          <w:tcPr>
            <w:tcW w:w="3963" w:type="dxa"/>
          </w:tcPr>
          <w:p w14:paraId="26F5E0CE" w14:textId="77777777" w:rsidR="00AD1F54" w:rsidRPr="00264D5D" w:rsidRDefault="00941227">
            <w:pPr>
              <w:pStyle w:val="ASFKTableHead"/>
            </w:pPr>
            <w:r w:rsidRPr="00264D5D">
              <w:t>Дополнительная информация</w:t>
            </w:r>
          </w:p>
        </w:tc>
      </w:tr>
      <w:tr w:rsidR="00AD1F54" w:rsidRPr="00264D5D" w14:paraId="58038AE7"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449DC15" w14:textId="77777777" w:rsidR="00AD1F54" w:rsidRPr="00264D5D" w:rsidRDefault="00941227">
            <w:pPr>
              <w:pStyle w:val="GOSTTablenorm"/>
            </w:pPr>
            <w:r w:rsidRPr="00264D5D">
              <w:t>Код по Сводному реестру</w:t>
            </w:r>
          </w:p>
        </w:tc>
        <w:tc>
          <w:tcPr>
            <w:tcW w:w="1701" w:type="dxa"/>
          </w:tcPr>
          <w:p w14:paraId="108CDC69" w14:textId="77777777" w:rsidR="00AD1F54" w:rsidRPr="00264D5D" w:rsidRDefault="00941227">
            <w:pPr>
              <w:pStyle w:val="GOSTTablenorm"/>
            </w:pPr>
            <w:r w:rsidRPr="00264D5D">
              <w:t>Cd</w:t>
            </w:r>
          </w:p>
        </w:tc>
        <w:tc>
          <w:tcPr>
            <w:tcW w:w="567" w:type="dxa"/>
          </w:tcPr>
          <w:p w14:paraId="06F06644" w14:textId="77777777" w:rsidR="00AD1F54" w:rsidRPr="00264D5D" w:rsidRDefault="00941227">
            <w:pPr>
              <w:pStyle w:val="GOSTTablenorm"/>
              <w:jc w:val="center"/>
            </w:pPr>
            <w:r w:rsidRPr="00264D5D">
              <w:t>П</w:t>
            </w:r>
          </w:p>
        </w:tc>
        <w:tc>
          <w:tcPr>
            <w:tcW w:w="1134" w:type="dxa"/>
          </w:tcPr>
          <w:p w14:paraId="4F8FE212" w14:textId="77777777" w:rsidR="00AD1F54" w:rsidRPr="00264D5D" w:rsidRDefault="00941227">
            <w:pPr>
              <w:pStyle w:val="GOSTTablenorm"/>
              <w:rPr>
                <w:lang w:val="en-US"/>
              </w:rPr>
            </w:pPr>
            <w:r w:rsidRPr="00264D5D">
              <w:rPr>
                <w:lang w:val="en-US"/>
              </w:rPr>
              <w:t>Т(</w:t>
            </w:r>
            <w:r w:rsidRPr="00264D5D">
              <w:t>8</w:t>
            </w:r>
            <w:r w:rsidRPr="00264D5D">
              <w:rPr>
                <w:lang w:val="en-US"/>
              </w:rPr>
              <w:t>)</w:t>
            </w:r>
          </w:p>
        </w:tc>
        <w:tc>
          <w:tcPr>
            <w:tcW w:w="567" w:type="dxa"/>
          </w:tcPr>
          <w:p w14:paraId="5DE09C30" w14:textId="77777777" w:rsidR="00AD1F54" w:rsidRPr="00264D5D" w:rsidRDefault="00941227">
            <w:pPr>
              <w:pStyle w:val="GOSTTablenorm"/>
              <w:jc w:val="center"/>
            </w:pPr>
            <w:r w:rsidRPr="00264D5D">
              <w:t>Н</w:t>
            </w:r>
          </w:p>
        </w:tc>
        <w:tc>
          <w:tcPr>
            <w:tcW w:w="3963" w:type="dxa"/>
          </w:tcPr>
          <w:p w14:paraId="0CD4BA80" w14:textId="77777777" w:rsidR="00AD1F54" w:rsidRPr="00264D5D" w:rsidRDefault="00941227">
            <w:pPr>
              <w:pStyle w:val="GOSTTablenorm"/>
            </w:pPr>
            <w:r w:rsidRPr="00264D5D">
              <w:t>Код клиента по Сво</w:t>
            </w:r>
            <w:r w:rsidR="00B06B9A" w:rsidRPr="00264D5D">
              <w:t>дному реестру длиной 8 символов</w:t>
            </w:r>
          </w:p>
        </w:tc>
      </w:tr>
      <w:tr w:rsidR="00AD1F54" w:rsidRPr="00264D5D" w14:paraId="2B3EBE3F"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AF4A7EC" w14:textId="77777777" w:rsidR="00AD1F54" w:rsidRPr="00264D5D" w:rsidRDefault="00941227">
            <w:pPr>
              <w:pStyle w:val="GOSTTablenorm"/>
            </w:pPr>
            <w:r w:rsidRPr="00264D5D">
              <w:t>Наименование клиента</w:t>
            </w:r>
          </w:p>
        </w:tc>
        <w:tc>
          <w:tcPr>
            <w:tcW w:w="1701" w:type="dxa"/>
          </w:tcPr>
          <w:p w14:paraId="36DAC0B5" w14:textId="77777777" w:rsidR="00AD1F54" w:rsidRPr="00264D5D" w:rsidRDefault="00941227">
            <w:pPr>
              <w:pStyle w:val="GOSTTablenorm"/>
            </w:pPr>
            <w:r w:rsidRPr="00264D5D">
              <w:t>FullNm</w:t>
            </w:r>
          </w:p>
        </w:tc>
        <w:tc>
          <w:tcPr>
            <w:tcW w:w="567" w:type="dxa"/>
          </w:tcPr>
          <w:p w14:paraId="011FAD89" w14:textId="77777777" w:rsidR="00AD1F54" w:rsidRPr="00264D5D" w:rsidRDefault="00941227">
            <w:pPr>
              <w:pStyle w:val="GOSTTablenorm"/>
              <w:jc w:val="center"/>
            </w:pPr>
            <w:r w:rsidRPr="00264D5D">
              <w:t>П</w:t>
            </w:r>
          </w:p>
        </w:tc>
        <w:tc>
          <w:tcPr>
            <w:tcW w:w="1134" w:type="dxa"/>
          </w:tcPr>
          <w:p w14:paraId="375102B7" w14:textId="77777777" w:rsidR="00AD1F54" w:rsidRPr="00264D5D" w:rsidRDefault="00941227">
            <w:pPr>
              <w:pStyle w:val="GOSTTablenorm"/>
              <w:rPr>
                <w:lang w:val="en-US"/>
              </w:rPr>
            </w:pPr>
            <w:r w:rsidRPr="00264D5D">
              <w:rPr>
                <w:lang w:val="en-US"/>
              </w:rPr>
              <w:t>Т(1-</w:t>
            </w:r>
            <w:r w:rsidRPr="00264D5D">
              <w:t>2000</w:t>
            </w:r>
            <w:r w:rsidRPr="00264D5D">
              <w:rPr>
                <w:lang w:val="en-US"/>
              </w:rPr>
              <w:t>)</w:t>
            </w:r>
          </w:p>
        </w:tc>
        <w:tc>
          <w:tcPr>
            <w:tcW w:w="567" w:type="dxa"/>
          </w:tcPr>
          <w:p w14:paraId="39E1E4D3" w14:textId="77777777" w:rsidR="00AD1F54" w:rsidRPr="00264D5D" w:rsidRDefault="00941227">
            <w:pPr>
              <w:pStyle w:val="GOSTTablenorm"/>
              <w:jc w:val="center"/>
            </w:pPr>
            <w:r w:rsidRPr="00264D5D">
              <w:t>О</w:t>
            </w:r>
          </w:p>
        </w:tc>
        <w:tc>
          <w:tcPr>
            <w:tcW w:w="3963" w:type="dxa"/>
          </w:tcPr>
          <w:p w14:paraId="2A143664" w14:textId="77777777" w:rsidR="00AD1F54" w:rsidRPr="00264D5D" w:rsidRDefault="00941227">
            <w:pPr>
              <w:pStyle w:val="GOSTTablenorm"/>
            </w:pPr>
            <w:r w:rsidRPr="00264D5D">
              <w:t>Полное или сокращенное наименование клиента.</w:t>
            </w:r>
          </w:p>
          <w:p w14:paraId="64775598" w14:textId="77777777" w:rsidR="00A12A8C" w:rsidRPr="00264D5D" w:rsidRDefault="00941227" w:rsidP="00A12A8C">
            <w:pPr>
              <w:pStyle w:val="GOSTTablenorm"/>
              <w:rPr>
                <w:szCs w:val="22"/>
              </w:rPr>
            </w:pPr>
            <w:r w:rsidRPr="00264D5D">
              <w:t>Заполняется в с</w:t>
            </w:r>
            <w:r w:rsidR="00B06B9A" w:rsidRPr="00264D5D">
              <w:t>оответствии со Сводным реестром</w:t>
            </w:r>
            <w:r w:rsidR="00A12A8C" w:rsidRPr="00264D5D">
              <w:t xml:space="preserve">. </w:t>
            </w:r>
          </w:p>
          <w:p w14:paraId="511B9C0F" w14:textId="77777777" w:rsidR="00AD1F54" w:rsidRPr="00264D5D" w:rsidRDefault="00A12A8C" w:rsidP="00A12A8C">
            <w:pPr>
              <w:pStyle w:val="GOSTTablenorm"/>
            </w:pPr>
            <w:r w:rsidRPr="00264D5D">
              <w:rPr>
                <w:szCs w:val="22"/>
              </w:rPr>
              <w:t>Для маршрута НУБП (ПСБ и Росавтодор) – ТОФК указывается полное наименование клиента в соответствии со Сводным реестром</w:t>
            </w:r>
          </w:p>
        </w:tc>
      </w:tr>
      <w:tr w:rsidR="00AD1F54" w:rsidRPr="00264D5D" w14:paraId="3436B3B5"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11545B7" w14:textId="77777777" w:rsidR="00AD1F54" w:rsidRPr="00264D5D" w:rsidRDefault="00941227">
            <w:pPr>
              <w:pStyle w:val="GOSTTablenorm"/>
            </w:pPr>
            <w:r w:rsidRPr="00264D5D">
              <w:t>Номер лицевого счета клиента</w:t>
            </w:r>
          </w:p>
        </w:tc>
        <w:tc>
          <w:tcPr>
            <w:tcW w:w="1701" w:type="dxa"/>
          </w:tcPr>
          <w:p w14:paraId="48203441" w14:textId="77777777" w:rsidR="00AD1F54" w:rsidRPr="00264D5D" w:rsidRDefault="00941227">
            <w:pPr>
              <w:pStyle w:val="GOSTTablenorm"/>
            </w:pPr>
            <w:r w:rsidRPr="00264D5D">
              <w:t>AcntNmbr</w:t>
            </w:r>
          </w:p>
        </w:tc>
        <w:tc>
          <w:tcPr>
            <w:tcW w:w="567" w:type="dxa"/>
          </w:tcPr>
          <w:p w14:paraId="168172FD" w14:textId="77777777" w:rsidR="00AD1F54" w:rsidRPr="00264D5D" w:rsidRDefault="00941227">
            <w:pPr>
              <w:pStyle w:val="GOSTTablenorm"/>
              <w:jc w:val="center"/>
            </w:pPr>
            <w:r w:rsidRPr="00264D5D">
              <w:t>П</w:t>
            </w:r>
          </w:p>
        </w:tc>
        <w:tc>
          <w:tcPr>
            <w:tcW w:w="1134" w:type="dxa"/>
          </w:tcPr>
          <w:p w14:paraId="7F25116C" w14:textId="77777777" w:rsidR="00AD1F54" w:rsidRPr="00264D5D" w:rsidRDefault="00941227">
            <w:pPr>
              <w:pStyle w:val="GOSTTablenorm"/>
              <w:rPr>
                <w:lang w:val="en-US"/>
              </w:rPr>
            </w:pPr>
            <w:r w:rsidRPr="00264D5D">
              <w:rPr>
                <w:lang w:val="en-US"/>
              </w:rPr>
              <w:t>Т(</w:t>
            </w:r>
            <w:r w:rsidRPr="00264D5D">
              <w:t>11</w:t>
            </w:r>
            <w:r w:rsidRPr="00264D5D">
              <w:rPr>
                <w:lang w:val="en-US"/>
              </w:rPr>
              <w:t>)</w:t>
            </w:r>
          </w:p>
        </w:tc>
        <w:tc>
          <w:tcPr>
            <w:tcW w:w="567" w:type="dxa"/>
          </w:tcPr>
          <w:p w14:paraId="4C1A614E" w14:textId="77777777" w:rsidR="00AD1F54" w:rsidRPr="00264D5D" w:rsidRDefault="00941227">
            <w:pPr>
              <w:pStyle w:val="GOSTTablenorm"/>
              <w:jc w:val="center"/>
            </w:pPr>
            <w:r w:rsidRPr="00264D5D">
              <w:t>О</w:t>
            </w:r>
          </w:p>
        </w:tc>
        <w:tc>
          <w:tcPr>
            <w:tcW w:w="3963" w:type="dxa"/>
          </w:tcPr>
          <w:p w14:paraId="2B13DDF4" w14:textId="77777777" w:rsidR="00AD1F54" w:rsidRPr="00264D5D" w:rsidRDefault="00941227">
            <w:pPr>
              <w:pStyle w:val="GOSTTablenorm"/>
            </w:pPr>
            <w:r w:rsidRPr="00264D5D">
              <w:t>Номер лицевого счета ПБС/НУБП/АУ/БУ, оформившего документ. Для л/с по переданным полномочиям указывается л/с с кодом «14», открытый ПБС, передавшему</w:t>
            </w:r>
            <w:r w:rsidR="00B06B9A" w:rsidRPr="00264D5D">
              <w:t xml:space="preserve"> полномочия</w:t>
            </w:r>
          </w:p>
        </w:tc>
      </w:tr>
      <w:tr w:rsidR="00AD1F54" w:rsidRPr="00264D5D" w14:paraId="48844508"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3198E6F8" w14:textId="77777777" w:rsidR="00AD1F54" w:rsidRPr="00264D5D" w:rsidRDefault="00941227">
            <w:pPr>
              <w:pStyle w:val="GOSTTablenorm"/>
            </w:pPr>
            <w:r w:rsidRPr="00264D5D">
              <w:t>ИНН</w:t>
            </w:r>
          </w:p>
        </w:tc>
        <w:tc>
          <w:tcPr>
            <w:tcW w:w="1701" w:type="dxa"/>
          </w:tcPr>
          <w:p w14:paraId="51E1851F" w14:textId="77777777" w:rsidR="00AD1F54" w:rsidRPr="00264D5D" w:rsidRDefault="00941227">
            <w:pPr>
              <w:pStyle w:val="GOSTTablenorm"/>
            </w:pPr>
            <w:r w:rsidRPr="00264D5D">
              <w:rPr>
                <w:rFonts w:eastAsiaTheme="minorHAnsi"/>
              </w:rPr>
              <w:t>INN</w:t>
            </w:r>
          </w:p>
        </w:tc>
        <w:tc>
          <w:tcPr>
            <w:tcW w:w="567" w:type="dxa"/>
          </w:tcPr>
          <w:p w14:paraId="53BCC59C" w14:textId="77777777" w:rsidR="00AD1F54" w:rsidRPr="00264D5D" w:rsidRDefault="00941227">
            <w:pPr>
              <w:pStyle w:val="GOSTTablenorm"/>
              <w:jc w:val="center"/>
            </w:pPr>
            <w:r w:rsidRPr="00264D5D">
              <w:t>П</w:t>
            </w:r>
          </w:p>
        </w:tc>
        <w:tc>
          <w:tcPr>
            <w:tcW w:w="1134" w:type="dxa"/>
          </w:tcPr>
          <w:p w14:paraId="0BF5D93A" w14:textId="77777777" w:rsidR="00AD1F54" w:rsidRPr="00264D5D" w:rsidRDefault="00941227">
            <w:pPr>
              <w:pStyle w:val="GOSTTablenorm"/>
              <w:rPr>
                <w:lang w:val="en-US"/>
              </w:rPr>
            </w:pPr>
            <w:r w:rsidRPr="00264D5D">
              <w:t>Т(1-12)</w:t>
            </w:r>
          </w:p>
        </w:tc>
        <w:tc>
          <w:tcPr>
            <w:tcW w:w="567" w:type="dxa"/>
          </w:tcPr>
          <w:p w14:paraId="719B3A98" w14:textId="77777777" w:rsidR="00AD1F54" w:rsidRPr="00264D5D" w:rsidRDefault="00941227">
            <w:pPr>
              <w:pStyle w:val="GOSTTablenorm"/>
              <w:jc w:val="center"/>
            </w:pPr>
            <w:r w:rsidRPr="00264D5D">
              <w:t>Н</w:t>
            </w:r>
          </w:p>
        </w:tc>
        <w:tc>
          <w:tcPr>
            <w:tcW w:w="3963" w:type="dxa"/>
          </w:tcPr>
          <w:p w14:paraId="6B23BFB8" w14:textId="77777777" w:rsidR="00AD1F54" w:rsidRPr="00264D5D" w:rsidRDefault="00941227">
            <w:pPr>
              <w:pStyle w:val="GOSTTablenorm"/>
            </w:pPr>
            <w:r w:rsidRPr="00264D5D">
              <w:t>Указывается ИНН клиента.</w:t>
            </w:r>
          </w:p>
          <w:p w14:paraId="557EE244" w14:textId="77777777" w:rsidR="00AD1F54" w:rsidRPr="00264D5D" w:rsidRDefault="00941227">
            <w:pPr>
              <w:pStyle w:val="GOSTTablenorm"/>
            </w:pPr>
            <w:r w:rsidRPr="00264D5D">
              <w:t>Обязательно для заполнения если реквизит «Код платежного документа» = «ZP».</w:t>
            </w:r>
          </w:p>
          <w:p w14:paraId="7FBB1E3F" w14:textId="77777777" w:rsidR="00AD1F54" w:rsidRPr="00264D5D" w:rsidRDefault="00941227" w:rsidP="00D65AFB">
            <w:pPr>
              <w:pStyle w:val="GOSTTablenorm"/>
            </w:pPr>
            <w:r w:rsidRPr="00264D5D">
              <w:t>Используется при информационном взаимодействии по маршрутам ПБС (ПФХД) – ТОФК (П</w:t>
            </w:r>
            <w:r w:rsidR="00D65AFB">
              <w:t>УР ЭБ)</w:t>
            </w:r>
          </w:p>
        </w:tc>
      </w:tr>
      <w:tr w:rsidR="00AD1F54" w:rsidRPr="00264D5D" w14:paraId="57B16059"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5591E59" w14:textId="77777777" w:rsidR="00AD1F54" w:rsidRPr="00264D5D" w:rsidRDefault="00941227">
            <w:pPr>
              <w:pStyle w:val="GOSTTablenorm"/>
            </w:pPr>
            <w:r w:rsidRPr="00264D5D">
              <w:t>КПП</w:t>
            </w:r>
          </w:p>
        </w:tc>
        <w:tc>
          <w:tcPr>
            <w:tcW w:w="1701" w:type="dxa"/>
          </w:tcPr>
          <w:p w14:paraId="16EDF907" w14:textId="77777777" w:rsidR="00AD1F54" w:rsidRPr="00264D5D" w:rsidRDefault="00941227">
            <w:pPr>
              <w:pStyle w:val="GOSTTablenorm"/>
            </w:pPr>
            <w:r w:rsidRPr="00264D5D">
              <w:rPr>
                <w:rFonts w:eastAsiaTheme="minorHAnsi"/>
              </w:rPr>
              <w:t>KPP</w:t>
            </w:r>
          </w:p>
        </w:tc>
        <w:tc>
          <w:tcPr>
            <w:tcW w:w="567" w:type="dxa"/>
          </w:tcPr>
          <w:p w14:paraId="427739F7" w14:textId="77777777" w:rsidR="00AD1F54" w:rsidRPr="00264D5D" w:rsidRDefault="00941227">
            <w:pPr>
              <w:pStyle w:val="GOSTTablenorm"/>
              <w:jc w:val="center"/>
            </w:pPr>
            <w:r w:rsidRPr="00264D5D">
              <w:t>П</w:t>
            </w:r>
          </w:p>
        </w:tc>
        <w:tc>
          <w:tcPr>
            <w:tcW w:w="1134" w:type="dxa"/>
          </w:tcPr>
          <w:p w14:paraId="72F789F3" w14:textId="77777777" w:rsidR="00AD1F54" w:rsidRPr="00264D5D" w:rsidRDefault="00941227">
            <w:pPr>
              <w:pStyle w:val="GOSTTablenorm"/>
              <w:rPr>
                <w:lang w:val="en-US"/>
              </w:rPr>
            </w:pPr>
            <w:r w:rsidRPr="00264D5D">
              <w:t>Т(9)</w:t>
            </w:r>
          </w:p>
        </w:tc>
        <w:tc>
          <w:tcPr>
            <w:tcW w:w="567" w:type="dxa"/>
          </w:tcPr>
          <w:p w14:paraId="1D742B96" w14:textId="77777777" w:rsidR="00AD1F54" w:rsidRPr="00264D5D" w:rsidRDefault="00941227">
            <w:pPr>
              <w:pStyle w:val="GOSTTablenorm"/>
              <w:jc w:val="center"/>
            </w:pPr>
            <w:r w:rsidRPr="00264D5D">
              <w:t>Н</w:t>
            </w:r>
          </w:p>
        </w:tc>
        <w:tc>
          <w:tcPr>
            <w:tcW w:w="3963" w:type="dxa"/>
          </w:tcPr>
          <w:p w14:paraId="0CB8DA29" w14:textId="77777777" w:rsidR="00AD1F54" w:rsidRPr="00264D5D" w:rsidRDefault="00941227">
            <w:pPr>
              <w:pStyle w:val="GOSTTablenorm"/>
            </w:pPr>
            <w:r w:rsidRPr="00264D5D">
              <w:t>Указывается КПП клиента.</w:t>
            </w:r>
          </w:p>
          <w:p w14:paraId="2A960102" w14:textId="77777777" w:rsidR="00AD1F54" w:rsidRPr="00264D5D" w:rsidRDefault="00941227" w:rsidP="00D65AFB">
            <w:pPr>
              <w:pStyle w:val="GOSTTablenorm"/>
            </w:pPr>
            <w:r w:rsidRPr="00264D5D">
              <w:lastRenderedPageBreak/>
              <w:t>Используется при информационном взаимодействии по маршру</w:t>
            </w:r>
            <w:r w:rsidR="00D65AFB">
              <w:t>там ПБС (ПФХД) – ТОФК (ПУР ЭБ)</w:t>
            </w:r>
          </w:p>
        </w:tc>
      </w:tr>
    </w:tbl>
    <w:p w14:paraId="4ACA2021" w14:textId="77777777" w:rsidR="00AD1F54" w:rsidRPr="00264D5D" w:rsidRDefault="00941227">
      <w:pPr>
        <w:pStyle w:val="31"/>
      </w:pPr>
      <w:bookmarkStart w:id="3100" w:name="_Toc143690193"/>
      <w:bookmarkStart w:id="3101" w:name="_Toc18509204"/>
      <w:bookmarkStart w:id="3102" w:name="_Toc508712744"/>
      <w:bookmarkStart w:id="3103" w:name="_Toc501726968"/>
      <w:bookmarkStart w:id="3104" w:name="_Toc219309760"/>
      <w:bookmarkEnd w:id="3080"/>
      <w:r w:rsidRPr="00264D5D">
        <w:lastRenderedPageBreak/>
        <w:t>Описание комплексного типа «</w:t>
      </w:r>
      <w:r w:rsidRPr="00264D5D">
        <w:rPr>
          <w:rFonts w:eastAsiaTheme="minorHAnsi"/>
        </w:rPr>
        <w:t>tMSC_Cntrctr2</w:t>
      </w:r>
      <w:r w:rsidRPr="00264D5D">
        <w:t>»</w:t>
      </w:r>
      <w:bookmarkEnd w:id="3100"/>
      <w:bookmarkEnd w:id="3104"/>
    </w:p>
    <w:p w14:paraId="473F7E1C" w14:textId="77777777" w:rsidR="00AD1F54" w:rsidRPr="00264D5D" w:rsidRDefault="00941227">
      <w:pPr>
        <w:pStyle w:val="GOSTNormal"/>
      </w:pPr>
      <w:r w:rsidRPr="00264D5D">
        <w:t xml:space="preserve">Описание комплексного типа </w:t>
      </w:r>
      <w:r w:rsidRPr="00264D5D">
        <w:rPr>
          <w:rFonts w:eastAsia="Calibri"/>
        </w:rPr>
        <w:t>«</w:t>
      </w:r>
      <w:r w:rsidRPr="00264D5D">
        <w:rPr>
          <w:rFonts w:eastAsiaTheme="minorHAnsi"/>
        </w:rPr>
        <w:t>tMSC_Cntrctr2</w:t>
      </w:r>
      <w:r w:rsidRPr="00264D5D">
        <w:t>» блока «Получатель».</w:t>
      </w:r>
    </w:p>
    <w:p w14:paraId="69D5D621" w14:textId="394A3685" w:rsidR="00AD1F54" w:rsidRPr="00264D5D" w:rsidRDefault="001E5517">
      <w:pPr>
        <w:pStyle w:val="GOSTNameTable"/>
        <w:numPr>
          <w:ilvl w:val="0"/>
          <w:numId w:val="2"/>
        </w:numPr>
        <w:spacing w:before="240" w:after="120"/>
      </w:pPr>
      <w:r w:rsidRPr="00264D5D">
        <w:rPr>
          <w:noProof/>
        </w:rPr>
        <w:fldChar w:fldCharType="begin"/>
      </w:r>
      <w:r w:rsidRPr="00264D5D">
        <w:rPr>
          <w:noProof/>
        </w:rPr>
        <w:instrText xml:space="preserve"> SEQ Таблица \* ARABIC </w:instrText>
      </w:r>
      <w:r w:rsidRPr="00264D5D">
        <w:rPr>
          <w:noProof/>
        </w:rPr>
        <w:fldChar w:fldCharType="separate"/>
      </w:r>
      <w:bookmarkStart w:id="3105" w:name="_Ref128578592"/>
      <w:bookmarkStart w:id="3106" w:name="_Toc219309314"/>
      <w:r w:rsidR="008D797C">
        <w:rPr>
          <w:noProof/>
        </w:rPr>
        <w:t>284</w:t>
      </w:r>
      <w:bookmarkEnd w:id="3105"/>
      <w:r w:rsidRPr="00264D5D">
        <w:rPr>
          <w:noProof/>
        </w:rPr>
        <w:fldChar w:fldCharType="end"/>
      </w:r>
      <w:r w:rsidR="00941227" w:rsidRPr="00264D5D">
        <w:rPr>
          <w:rFonts w:eastAsia="Calibri"/>
        </w:rPr>
        <w:t xml:space="preserve"> – </w:t>
      </w:r>
      <w:r w:rsidR="00941227" w:rsidRPr="00264D5D">
        <w:t>Описание комплексного типа «</w:t>
      </w:r>
      <w:r w:rsidR="00941227" w:rsidRPr="00264D5D">
        <w:rPr>
          <w:rFonts w:eastAsiaTheme="minorHAnsi"/>
        </w:rPr>
        <w:t>tMSC_Cntrctr2</w:t>
      </w:r>
      <w:r w:rsidR="00941227" w:rsidRPr="00264D5D">
        <w:t>»</w:t>
      </w:r>
      <w:bookmarkEnd w:id="3106"/>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AD1F54" w:rsidRPr="00264D5D" w14:paraId="21277B6D" w14:textId="77777777" w:rsidTr="00AD1F54">
        <w:trPr>
          <w:cnfStyle w:val="100000000000" w:firstRow="1" w:lastRow="0" w:firstColumn="0" w:lastColumn="0" w:oddVBand="0" w:evenVBand="0" w:oddHBand="0" w:evenHBand="0" w:firstRowFirstColumn="0" w:firstRowLastColumn="0" w:lastRowFirstColumn="0" w:lastRowLastColumn="0"/>
        </w:trPr>
        <w:tc>
          <w:tcPr>
            <w:tcW w:w="1701" w:type="dxa"/>
          </w:tcPr>
          <w:p w14:paraId="4B84A7A6" w14:textId="77777777" w:rsidR="00AD1F54" w:rsidRPr="00264D5D" w:rsidRDefault="00941227">
            <w:pPr>
              <w:pStyle w:val="GOSTTableHead"/>
            </w:pPr>
            <w:r w:rsidRPr="00264D5D">
              <w:t>Наименование комплексного типа</w:t>
            </w:r>
          </w:p>
        </w:tc>
        <w:tc>
          <w:tcPr>
            <w:tcW w:w="1701" w:type="dxa"/>
          </w:tcPr>
          <w:p w14:paraId="3B206837" w14:textId="77777777" w:rsidR="00AD1F54" w:rsidRPr="00264D5D" w:rsidRDefault="00941227">
            <w:pPr>
              <w:pStyle w:val="GOSTTableHead"/>
            </w:pPr>
            <w:r w:rsidRPr="00264D5D">
              <w:t>Текущий элемент/ атрибут</w:t>
            </w:r>
          </w:p>
        </w:tc>
        <w:tc>
          <w:tcPr>
            <w:tcW w:w="567" w:type="dxa"/>
          </w:tcPr>
          <w:p w14:paraId="654AE8CF" w14:textId="77777777" w:rsidR="00AD1F54" w:rsidRPr="00264D5D" w:rsidRDefault="00941227">
            <w:pPr>
              <w:pStyle w:val="GOSTTableHead"/>
            </w:pPr>
            <w:r w:rsidRPr="00264D5D">
              <w:t>Тип</w:t>
            </w:r>
          </w:p>
        </w:tc>
        <w:tc>
          <w:tcPr>
            <w:tcW w:w="1134" w:type="dxa"/>
          </w:tcPr>
          <w:p w14:paraId="05D23D72" w14:textId="77777777" w:rsidR="00AD1F54" w:rsidRPr="00264D5D" w:rsidRDefault="00941227">
            <w:pPr>
              <w:pStyle w:val="GOSTTableHead"/>
            </w:pPr>
            <w:r w:rsidRPr="00264D5D">
              <w:t>Формат элемента</w:t>
            </w:r>
          </w:p>
        </w:tc>
        <w:tc>
          <w:tcPr>
            <w:tcW w:w="567" w:type="dxa"/>
          </w:tcPr>
          <w:p w14:paraId="6D8BF5A2" w14:textId="77777777" w:rsidR="00AD1F54" w:rsidRPr="00264D5D" w:rsidRDefault="00941227">
            <w:pPr>
              <w:pStyle w:val="GOSTTableHead"/>
            </w:pPr>
            <w:r w:rsidRPr="00264D5D">
              <w:t>Обязательность</w:t>
            </w:r>
          </w:p>
        </w:tc>
        <w:tc>
          <w:tcPr>
            <w:tcW w:w="3963" w:type="dxa"/>
          </w:tcPr>
          <w:p w14:paraId="2D5B4309" w14:textId="77777777" w:rsidR="00AD1F54" w:rsidRPr="00264D5D" w:rsidRDefault="00941227">
            <w:pPr>
              <w:pStyle w:val="GOSTTableHead"/>
            </w:pPr>
            <w:r w:rsidRPr="00264D5D">
              <w:t>Дополнительная информация</w:t>
            </w:r>
          </w:p>
        </w:tc>
      </w:tr>
      <w:tr w:rsidR="00AD1F54" w:rsidRPr="00264D5D" w14:paraId="28E0A2AD" w14:textId="77777777" w:rsidTr="00AD1F54">
        <w:tc>
          <w:tcPr>
            <w:tcW w:w="1701" w:type="dxa"/>
          </w:tcPr>
          <w:p w14:paraId="02B6BF32" w14:textId="77777777" w:rsidR="00AD1F54" w:rsidRPr="00264D5D" w:rsidRDefault="00941227">
            <w:pPr>
              <w:pStyle w:val="GOSTTablenorm"/>
            </w:pPr>
            <w:r w:rsidRPr="00264D5D">
              <w:rPr>
                <w:rFonts w:eastAsiaTheme="minorHAnsi"/>
              </w:rPr>
              <w:t>Реквизиты банка</w:t>
            </w:r>
          </w:p>
        </w:tc>
        <w:tc>
          <w:tcPr>
            <w:tcW w:w="1701" w:type="dxa"/>
          </w:tcPr>
          <w:p w14:paraId="37D1964A" w14:textId="77777777" w:rsidR="00AD1F54" w:rsidRPr="00264D5D" w:rsidRDefault="00941227">
            <w:pPr>
              <w:pStyle w:val="GOSTTablenorm"/>
            </w:pPr>
            <w:r w:rsidRPr="00264D5D">
              <w:rPr>
                <w:rFonts w:eastAsiaTheme="minorHAnsi"/>
              </w:rPr>
              <w:t>MSC_Bnk</w:t>
            </w:r>
          </w:p>
        </w:tc>
        <w:tc>
          <w:tcPr>
            <w:tcW w:w="567" w:type="dxa"/>
          </w:tcPr>
          <w:p w14:paraId="7E7F6667" w14:textId="77777777" w:rsidR="00AD1F54" w:rsidRPr="00264D5D" w:rsidRDefault="00941227">
            <w:pPr>
              <w:pStyle w:val="GOSTTablenorm"/>
            </w:pPr>
            <w:r w:rsidRPr="00264D5D">
              <w:t>С</w:t>
            </w:r>
          </w:p>
        </w:tc>
        <w:tc>
          <w:tcPr>
            <w:tcW w:w="1134" w:type="dxa"/>
          </w:tcPr>
          <w:p w14:paraId="7888863C" w14:textId="77777777" w:rsidR="00AD1F54" w:rsidRPr="00264D5D" w:rsidRDefault="00941227">
            <w:pPr>
              <w:pStyle w:val="GOSTTablenorm"/>
            </w:pPr>
            <w:r w:rsidRPr="00264D5D">
              <w:rPr>
                <w:rFonts w:eastAsiaTheme="minorHAnsi"/>
              </w:rPr>
              <w:t>tMSC_Bnk2</w:t>
            </w:r>
          </w:p>
        </w:tc>
        <w:tc>
          <w:tcPr>
            <w:tcW w:w="567" w:type="dxa"/>
          </w:tcPr>
          <w:p w14:paraId="28929FB6" w14:textId="77777777" w:rsidR="00AD1F54" w:rsidRPr="00264D5D" w:rsidRDefault="00941227">
            <w:pPr>
              <w:pStyle w:val="GOSTTablenorm"/>
            </w:pPr>
            <w:r w:rsidRPr="00264D5D">
              <w:t>О</w:t>
            </w:r>
          </w:p>
        </w:tc>
        <w:tc>
          <w:tcPr>
            <w:tcW w:w="3963" w:type="dxa"/>
          </w:tcPr>
          <w:p w14:paraId="1C05E2F5" w14:textId="6347F4FF" w:rsidR="00AD1F54" w:rsidRPr="00264D5D" w:rsidRDefault="00941227">
            <w:pPr>
              <w:pStyle w:val="GOSTTablenorm"/>
            </w:pPr>
            <w:r w:rsidRPr="00264D5D">
              <w:t xml:space="preserve">Состав элемента представлен в таблице </w:t>
            </w:r>
            <w:r w:rsidRPr="00264D5D">
              <w:fldChar w:fldCharType="begin"/>
            </w:r>
            <w:r w:rsidRPr="00264D5D">
              <w:instrText xml:space="preserve"> REF _Ref128578591 \h  \* MERGEFORMAT </w:instrText>
            </w:r>
            <w:r w:rsidRPr="00264D5D">
              <w:fldChar w:fldCharType="separate"/>
            </w:r>
            <w:r w:rsidR="008D797C">
              <w:t>285</w:t>
            </w:r>
            <w:r w:rsidRPr="00264D5D">
              <w:fldChar w:fldCharType="end"/>
            </w:r>
          </w:p>
        </w:tc>
      </w:tr>
    </w:tbl>
    <w:p w14:paraId="4CCDA03D" w14:textId="77777777" w:rsidR="00AD1F54" w:rsidRPr="00264D5D" w:rsidRDefault="00941227">
      <w:pPr>
        <w:pStyle w:val="31"/>
      </w:pPr>
      <w:bookmarkStart w:id="3107" w:name="_Toc143690194"/>
      <w:bookmarkStart w:id="3108" w:name="_Toc219309761"/>
      <w:r w:rsidRPr="00264D5D">
        <w:t>Описание комплексного типа «</w:t>
      </w:r>
      <w:r w:rsidRPr="00264D5D">
        <w:rPr>
          <w:rFonts w:eastAsiaTheme="minorHAnsi"/>
        </w:rPr>
        <w:t>tMSC_Bnk2</w:t>
      </w:r>
      <w:r w:rsidRPr="00264D5D">
        <w:t>»</w:t>
      </w:r>
      <w:bookmarkEnd w:id="3107"/>
      <w:bookmarkEnd w:id="3108"/>
    </w:p>
    <w:p w14:paraId="07891264" w14:textId="77777777" w:rsidR="00AD1F54" w:rsidRPr="00264D5D" w:rsidRDefault="00941227">
      <w:pPr>
        <w:pStyle w:val="GOSTNormal"/>
      </w:pPr>
      <w:r w:rsidRPr="00264D5D">
        <w:t xml:space="preserve">Описание комплексного типа </w:t>
      </w:r>
      <w:r w:rsidRPr="00264D5D">
        <w:rPr>
          <w:rFonts w:eastAsia="Calibri"/>
        </w:rPr>
        <w:t>«</w:t>
      </w:r>
      <w:r w:rsidRPr="00264D5D">
        <w:rPr>
          <w:rFonts w:eastAsiaTheme="minorHAnsi"/>
        </w:rPr>
        <w:t>tMSC_Bnk2</w:t>
      </w:r>
      <w:r w:rsidRPr="00264D5D">
        <w:t>» блока «</w:t>
      </w:r>
      <w:r w:rsidRPr="00264D5D">
        <w:rPr>
          <w:rFonts w:eastAsiaTheme="minorHAnsi"/>
        </w:rPr>
        <w:t>Реквизиты банка</w:t>
      </w:r>
      <w:r w:rsidRPr="00264D5D">
        <w:t>».</w:t>
      </w:r>
    </w:p>
    <w:p w14:paraId="30932BB8" w14:textId="6B45F684" w:rsidR="00AD1F54" w:rsidRPr="00264D5D" w:rsidRDefault="001E5517">
      <w:pPr>
        <w:pStyle w:val="GOSTNameTable"/>
        <w:numPr>
          <w:ilvl w:val="0"/>
          <w:numId w:val="2"/>
        </w:numPr>
        <w:spacing w:before="240" w:after="120"/>
      </w:pPr>
      <w:r w:rsidRPr="00264D5D">
        <w:rPr>
          <w:noProof/>
        </w:rPr>
        <w:fldChar w:fldCharType="begin"/>
      </w:r>
      <w:r w:rsidRPr="00264D5D">
        <w:rPr>
          <w:noProof/>
        </w:rPr>
        <w:instrText xml:space="preserve"> SEQ Таблица \* ARABIC </w:instrText>
      </w:r>
      <w:r w:rsidRPr="00264D5D">
        <w:rPr>
          <w:noProof/>
        </w:rPr>
        <w:fldChar w:fldCharType="separate"/>
      </w:r>
      <w:bookmarkStart w:id="3109" w:name="_Ref128578591"/>
      <w:bookmarkStart w:id="3110" w:name="_Toc219309315"/>
      <w:r w:rsidR="008D797C">
        <w:rPr>
          <w:noProof/>
        </w:rPr>
        <w:t>285</w:t>
      </w:r>
      <w:bookmarkEnd w:id="3109"/>
      <w:r w:rsidRPr="00264D5D">
        <w:rPr>
          <w:noProof/>
        </w:rPr>
        <w:fldChar w:fldCharType="end"/>
      </w:r>
      <w:r w:rsidR="00941227" w:rsidRPr="00264D5D">
        <w:rPr>
          <w:rFonts w:eastAsia="Calibri"/>
        </w:rPr>
        <w:t xml:space="preserve"> – </w:t>
      </w:r>
      <w:r w:rsidR="00941227" w:rsidRPr="00264D5D">
        <w:t>Описание комплексного типа «</w:t>
      </w:r>
      <w:r w:rsidR="00941227" w:rsidRPr="00264D5D">
        <w:rPr>
          <w:rFonts w:eastAsiaTheme="minorHAnsi"/>
        </w:rPr>
        <w:t>tMSC_Bnk2</w:t>
      </w:r>
      <w:r w:rsidR="00941227" w:rsidRPr="00264D5D">
        <w:t>»</w:t>
      </w:r>
      <w:bookmarkEnd w:id="3110"/>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AD1F54" w:rsidRPr="00264D5D" w14:paraId="0A577FC4" w14:textId="77777777" w:rsidTr="00AD1F54">
        <w:trPr>
          <w:cnfStyle w:val="100000000000" w:firstRow="1" w:lastRow="0" w:firstColumn="0" w:lastColumn="0" w:oddVBand="0" w:evenVBand="0" w:oddHBand="0" w:evenHBand="0" w:firstRowFirstColumn="0" w:firstRowLastColumn="0" w:lastRowFirstColumn="0" w:lastRowLastColumn="0"/>
        </w:trPr>
        <w:tc>
          <w:tcPr>
            <w:tcW w:w="1701" w:type="dxa"/>
          </w:tcPr>
          <w:p w14:paraId="1900FDD3" w14:textId="77777777" w:rsidR="00AD1F54" w:rsidRPr="00264D5D" w:rsidRDefault="00941227">
            <w:pPr>
              <w:pStyle w:val="GOSTTableHead"/>
            </w:pPr>
            <w:r w:rsidRPr="00264D5D">
              <w:t>Наименование элемента</w:t>
            </w:r>
          </w:p>
        </w:tc>
        <w:tc>
          <w:tcPr>
            <w:tcW w:w="1701" w:type="dxa"/>
          </w:tcPr>
          <w:p w14:paraId="5616422C" w14:textId="77777777" w:rsidR="00AD1F54" w:rsidRPr="00264D5D" w:rsidRDefault="00941227">
            <w:pPr>
              <w:pStyle w:val="GOSTTableHead"/>
            </w:pPr>
            <w:r w:rsidRPr="00264D5D">
              <w:t>Сокращенное наименование (код) элемента</w:t>
            </w:r>
          </w:p>
        </w:tc>
        <w:tc>
          <w:tcPr>
            <w:tcW w:w="567" w:type="dxa"/>
          </w:tcPr>
          <w:p w14:paraId="2EF56681" w14:textId="77777777" w:rsidR="00AD1F54" w:rsidRPr="00264D5D" w:rsidRDefault="00941227">
            <w:pPr>
              <w:pStyle w:val="GOSTTableHead"/>
            </w:pPr>
            <w:r w:rsidRPr="00264D5D">
              <w:t>Тип</w:t>
            </w:r>
          </w:p>
        </w:tc>
        <w:tc>
          <w:tcPr>
            <w:tcW w:w="1134" w:type="dxa"/>
          </w:tcPr>
          <w:p w14:paraId="176A3882" w14:textId="77777777" w:rsidR="00AD1F54" w:rsidRPr="00264D5D" w:rsidRDefault="00941227">
            <w:pPr>
              <w:pStyle w:val="GOSTTableHead"/>
            </w:pPr>
            <w:r w:rsidRPr="00264D5D">
              <w:t>Формат элемента</w:t>
            </w:r>
          </w:p>
        </w:tc>
        <w:tc>
          <w:tcPr>
            <w:tcW w:w="567" w:type="dxa"/>
          </w:tcPr>
          <w:p w14:paraId="61069E4E" w14:textId="77777777" w:rsidR="00AD1F54" w:rsidRPr="00264D5D" w:rsidRDefault="00941227">
            <w:pPr>
              <w:pStyle w:val="GOSTTableHead"/>
            </w:pPr>
            <w:r w:rsidRPr="00264D5D">
              <w:t>Обязательность</w:t>
            </w:r>
          </w:p>
        </w:tc>
        <w:tc>
          <w:tcPr>
            <w:tcW w:w="3963" w:type="dxa"/>
          </w:tcPr>
          <w:p w14:paraId="55F3F053" w14:textId="77777777" w:rsidR="00AD1F54" w:rsidRPr="00264D5D" w:rsidRDefault="00941227">
            <w:pPr>
              <w:pStyle w:val="GOSTTableHead"/>
            </w:pPr>
            <w:r w:rsidRPr="00264D5D">
              <w:t>Дополнительная информация</w:t>
            </w:r>
          </w:p>
        </w:tc>
      </w:tr>
      <w:tr w:rsidR="00AD1F54" w:rsidRPr="00264D5D" w14:paraId="72799451" w14:textId="77777777" w:rsidTr="00AD1F54">
        <w:tc>
          <w:tcPr>
            <w:tcW w:w="1701" w:type="dxa"/>
          </w:tcPr>
          <w:p w14:paraId="59CD2CFC" w14:textId="77777777" w:rsidR="00AD1F54" w:rsidRPr="00264D5D" w:rsidRDefault="00941227">
            <w:pPr>
              <w:pStyle w:val="GOSTTablenorm"/>
            </w:pPr>
            <w:r w:rsidRPr="00264D5D">
              <w:t>Номер банковского счета</w:t>
            </w:r>
          </w:p>
        </w:tc>
        <w:tc>
          <w:tcPr>
            <w:tcW w:w="1701" w:type="dxa"/>
          </w:tcPr>
          <w:p w14:paraId="2F43B4E3" w14:textId="77777777" w:rsidR="00AD1F54" w:rsidRPr="00264D5D" w:rsidRDefault="00941227">
            <w:pPr>
              <w:pStyle w:val="GOSTTablenorm"/>
              <w:rPr>
                <w:rFonts w:eastAsiaTheme="minorHAnsi"/>
              </w:rPr>
            </w:pPr>
            <w:r w:rsidRPr="00264D5D">
              <w:rPr>
                <w:rFonts w:eastAsiaTheme="minorHAnsi"/>
              </w:rPr>
              <w:t>AcNm</w:t>
            </w:r>
          </w:p>
        </w:tc>
        <w:tc>
          <w:tcPr>
            <w:tcW w:w="567" w:type="dxa"/>
          </w:tcPr>
          <w:p w14:paraId="537F2D2C" w14:textId="77777777" w:rsidR="00AD1F54" w:rsidRPr="00264D5D" w:rsidRDefault="00941227">
            <w:pPr>
              <w:pStyle w:val="GOSTTablenorm"/>
            </w:pPr>
            <w:r w:rsidRPr="00264D5D">
              <w:t>П</w:t>
            </w:r>
          </w:p>
        </w:tc>
        <w:tc>
          <w:tcPr>
            <w:tcW w:w="1134" w:type="dxa"/>
          </w:tcPr>
          <w:p w14:paraId="50F4E07A" w14:textId="77777777" w:rsidR="00AD1F54" w:rsidRPr="00264D5D" w:rsidRDefault="00941227">
            <w:pPr>
              <w:pStyle w:val="GOSTTablenorm"/>
            </w:pPr>
            <w:r w:rsidRPr="00264D5D">
              <w:t>Т(20)</w:t>
            </w:r>
          </w:p>
        </w:tc>
        <w:tc>
          <w:tcPr>
            <w:tcW w:w="567" w:type="dxa"/>
          </w:tcPr>
          <w:p w14:paraId="5D548CF3" w14:textId="77777777" w:rsidR="00AD1F54" w:rsidRPr="00264D5D" w:rsidRDefault="00941227">
            <w:pPr>
              <w:pStyle w:val="GOSTTablenorm"/>
            </w:pPr>
            <w:r w:rsidRPr="00264D5D">
              <w:t>О</w:t>
            </w:r>
          </w:p>
        </w:tc>
        <w:tc>
          <w:tcPr>
            <w:tcW w:w="3963" w:type="dxa"/>
          </w:tcPr>
          <w:p w14:paraId="0FB01DF2" w14:textId="77777777" w:rsidR="00AD1F54" w:rsidRPr="00264D5D" w:rsidRDefault="00941227">
            <w:pPr>
              <w:pStyle w:val="GOSTTablenorm"/>
            </w:pPr>
            <w:r w:rsidRPr="00264D5D">
              <w:t>Указывается номер банковского счета</w:t>
            </w:r>
          </w:p>
        </w:tc>
      </w:tr>
      <w:tr w:rsidR="00AD1F54" w:rsidRPr="00264D5D" w14:paraId="5F1988FD" w14:textId="77777777" w:rsidTr="00AD1F54">
        <w:tc>
          <w:tcPr>
            <w:tcW w:w="1701" w:type="dxa"/>
          </w:tcPr>
          <w:p w14:paraId="3D3BEB9A" w14:textId="77777777" w:rsidR="00AD1F54" w:rsidRPr="00264D5D" w:rsidRDefault="00941227">
            <w:pPr>
              <w:pStyle w:val="GOSTTablenorm"/>
            </w:pPr>
            <w:r w:rsidRPr="00264D5D">
              <w:t>Наименование банка получателя</w:t>
            </w:r>
          </w:p>
        </w:tc>
        <w:tc>
          <w:tcPr>
            <w:tcW w:w="1701" w:type="dxa"/>
          </w:tcPr>
          <w:p w14:paraId="3ECA364E" w14:textId="77777777" w:rsidR="00AD1F54" w:rsidRPr="00264D5D" w:rsidRDefault="00941227">
            <w:pPr>
              <w:pStyle w:val="GOSTTablenorm"/>
              <w:rPr>
                <w:rFonts w:eastAsiaTheme="minorHAnsi"/>
              </w:rPr>
            </w:pPr>
            <w:r w:rsidRPr="00264D5D">
              <w:rPr>
                <w:rFonts w:eastAsiaTheme="minorHAnsi"/>
              </w:rPr>
              <w:t>Nm</w:t>
            </w:r>
          </w:p>
        </w:tc>
        <w:tc>
          <w:tcPr>
            <w:tcW w:w="567" w:type="dxa"/>
          </w:tcPr>
          <w:p w14:paraId="6E92337D" w14:textId="77777777" w:rsidR="00AD1F54" w:rsidRPr="00264D5D" w:rsidRDefault="00941227">
            <w:pPr>
              <w:pStyle w:val="GOSTTablenorm"/>
            </w:pPr>
            <w:r w:rsidRPr="00264D5D">
              <w:t>П</w:t>
            </w:r>
          </w:p>
        </w:tc>
        <w:tc>
          <w:tcPr>
            <w:tcW w:w="1134" w:type="dxa"/>
          </w:tcPr>
          <w:p w14:paraId="79CE247D" w14:textId="77777777" w:rsidR="00AD1F54" w:rsidRPr="00264D5D" w:rsidRDefault="00941227">
            <w:pPr>
              <w:pStyle w:val="GOSTTablenorm"/>
            </w:pPr>
            <w:r w:rsidRPr="00264D5D">
              <w:t>Т(1-160)</w:t>
            </w:r>
          </w:p>
        </w:tc>
        <w:tc>
          <w:tcPr>
            <w:tcW w:w="567" w:type="dxa"/>
          </w:tcPr>
          <w:p w14:paraId="745AC6C5" w14:textId="77777777" w:rsidR="00AD1F54" w:rsidRPr="00264D5D" w:rsidRDefault="00941227">
            <w:pPr>
              <w:pStyle w:val="GOSTTablenorm"/>
            </w:pPr>
            <w:r w:rsidRPr="00264D5D">
              <w:t>О</w:t>
            </w:r>
          </w:p>
        </w:tc>
        <w:tc>
          <w:tcPr>
            <w:tcW w:w="3963" w:type="dxa"/>
          </w:tcPr>
          <w:p w14:paraId="59885B0B" w14:textId="77777777" w:rsidR="00AD1F54" w:rsidRPr="00264D5D" w:rsidRDefault="00941227">
            <w:pPr>
              <w:pStyle w:val="GOSTTablenorm"/>
            </w:pPr>
            <w:r w:rsidRPr="00264D5D">
              <w:t>Указывается наименование банка</w:t>
            </w:r>
          </w:p>
        </w:tc>
      </w:tr>
      <w:tr w:rsidR="00AD1F54" w:rsidRPr="00264D5D" w14:paraId="62F71653" w14:textId="77777777" w:rsidTr="00AD1F54">
        <w:tc>
          <w:tcPr>
            <w:tcW w:w="1701" w:type="dxa"/>
          </w:tcPr>
          <w:p w14:paraId="71A94380" w14:textId="77777777" w:rsidR="00AD1F54" w:rsidRPr="00264D5D" w:rsidRDefault="00941227">
            <w:pPr>
              <w:pStyle w:val="GOSTTablenorm"/>
            </w:pPr>
            <w:r w:rsidRPr="00264D5D">
              <w:t>БИК</w:t>
            </w:r>
          </w:p>
        </w:tc>
        <w:tc>
          <w:tcPr>
            <w:tcW w:w="1701" w:type="dxa"/>
          </w:tcPr>
          <w:p w14:paraId="058F6D6E" w14:textId="77777777" w:rsidR="00AD1F54" w:rsidRPr="00264D5D" w:rsidRDefault="00941227">
            <w:pPr>
              <w:pStyle w:val="GOSTTablenorm"/>
              <w:rPr>
                <w:rFonts w:eastAsiaTheme="minorHAnsi"/>
              </w:rPr>
            </w:pPr>
            <w:r w:rsidRPr="00264D5D">
              <w:rPr>
                <w:rFonts w:eastAsiaTheme="minorHAnsi"/>
              </w:rPr>
              <w:t>BIK</w:t>
            </w:r>
          </w:p>
        </w:tc>
        <w:tc>
          <w:tcPr>
            <w:tcW w:w="567" w:type="dxa"/>
          </w:tcPr>
          <w:p w14:paraId="6A65C609" w14:textId="77777777" w:rsidR="00AD1F54" w:rsidRPr="00264D5D" w:rsidRDefault="00941227">
            <w:pPr>
              <w:pStyle w:val="GOSTTablenorm"/>
            </w:pPr>
            <w:r w:rsidRPr="00264D5D">
              <w:t>П</w:t>
            </w:r>
          </w:p>
        </w:tc>
        <w:tc>
          <w:tcPr>
            <w:tcW w:w="1134" w:type="dxa"/>
          </w:tcPr>
          <w:p w14:paraId="5D6B467F" w14:textId="77777777" w:rsidR="00AD1F54" w:rsidRPr="00264D5D" w:rsidRDefault="00941227">
            <w:pPr>
              <w:pStyle w:val="GOSTTablenorm"/>
            </w:pPr>
            <w:r w:rsidRPr="00264D5D">
              <w:t>Т(9)</w:t>
            </w:r>
          </w:p>
        </w:tc>
        <w:tc>
          <w:tcPr>
            <w:tcW w:w="567" w:type="dxa"/>
          </w:tcPr>
          <w:p w14:paraId="777C604F" w14:textId="77777777" w:rsidR="00AD1F54" w:rsidRPr="00264D5D" w:rsidRDefault="00941227">
            <w:pPr>
              <w:pStyle w:val="GOSTTablenorm"/>
            </w:pPr>
            <w:r w:rsidRPr="00264D5D">
              <w:t>О</w:t>
            </w:r>
          </w:p>
        </w:tc>
        <w:tc>
          <w:tcPr>
            <w:tcW w:w="3963" w:type="dxa"/>
          </w:tcPr>
          <w:p w14:paraId="79879F4C" w14:textId="77777777" w:rsidR="00AD1F54" w:rsidRPr="00264D5D" w:rsidRDefault="00941227">
            <w:pPr>
              <w:pStyle w:val="GOSTTablenorm"/>
            </w:pPr>
            <w:r w:rsidRPr="00264D5D">
              <w:t>Указывается БИК</w:t>
            </w:r>
          </w:p>
        </w:tc>
      </w:tr>
    </w:tbl>
    <w:p w14:paraId="3C2067C3" w14:textId="77777777" w:rsidR="00AD1F54" w:rsidRPr="00264D5D" w:rsidRDefault="00941227">
      <w:pPr>
        <w:pStyle w:val="31"/>
      </w:pPr>
      <w:bookmarkStart w:id="3111" w:name="_Toc219309762"/>
      <w:r w:rsidRPr="00264D5D">
        <w:t>Описание комплексного типа «tMSC_TOFK»</w:t>
      </w:r>
      <w:bookmarkEnd w:id="3101"/>
      <w:bookmarkEnd w:id="3111"/>
    </w:p>
    <w:p w14:paraId="4239761C" w14:textId="77777777" w:rsidR="00AD1F54" w:rsidRPr="00264D5D" w:rsidRDefault="00941227">
      <w:pPr>
        <w:pStyle w:val="GOSTNormal"/>
      </w:pPr>
      <w:r w:rsidRPr="00264D5D">
        <w:t xml:space="preserve">Описание комплексного типа </w:t>
      </w:r>
      <w:r w:rsidRPr="00264D5D">
        <w:rPr>
          <w:rFonts w:eastAsia="Calibri"/>
        </w:rPr>
        <w:t>«</w:t>
      </w:r>
      <w:r w:rsidRPr="00264D5D">
        <w:rPr>
          <w:color w:val="000000"/>
          <w:szCs w:val="22"/>
        </w:rPr>
        <w:t>tMSC_TOFK</w:t>
      </w:r>
      <w:r w:rsidRPr="00264D5D">
        <w:t>» блока «ТОФК».</w:t>
      </w:r>
    </w:p>
    <w:p w14:paraId="3174FAF2" w14:textId="27EADB97" w:rsidR="00AD1F54" w:rsidRPr="00264D5D" w:rsidRDefault="00941227">
      <w:pPr>
        <w:pStyle w:val="GOSTNameTable"/>
        <w:numPr>
          <w:ilvl w:val="0"/>
          <w:numId w:val="2"/>
        </w:numPr>
        <w:ind w:left="425" w:hanging="357"/>
      </w:pPr>
      <w:r w:rsidRPr="00264D5D">
        <w:lastRenderedPageBreak/>
        <w:fldChar w:fldCharType="begin"/>
      </w:r>
      <w:r w:rsidRPr="00264D5D">
        <w:instrText>SEQ Таблица \* ARABIC</w:instrText>
      </w:r>
      <w:r w:rsidRPr="00264D5D">
        <w:fldChar w:fldCharType="separate"/>
      </w:r>
      <w:bookmarkStart w:id="3112" w:name="_Toc18509493"/>
      <w:bookmarkStart w:id="3113" w:name="_Toc219309316"/>
      <w:r w:rsidR="008D797C">
        <w:rPr>
          <w:noProof/>
        </w:rPr>
        <w:t>286</w:t>
      </w:r>
      <w:r w:rsidRPr="00264D5D">
        <w:fldChar w:fldCharType="end"/>
      </w:r>
      <w:r w:rsidRPr="00264D5D">
        <w:rPr>
          <w:rFonts w:eastAsia="Calibri"/>
          <w:szCs w:val="24"/>
        </w:rPr>
        <w:t xml:space="preserve"> – </w:t>
      </w:r>
      <w:r w:rsidRPr="00264D5D">
        <w:t>Описание комплексного типа «tMSC_TOFK»</w:t>
      </w:r>
      <w:bookmarkEnd w:id="3112"/>
      <w:bookmarkEnd w:id="3113"/>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4707DC96"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6FCBE988" w14:textId="77777777" w:rsidR="00AD1F54" w:rsidRPr="00264D5D" w:rsidRDefault="00941227">
            <w:pPr>
              <w:pStyle w:val="ASFKTableHead"/>
            </w:pPr>
            <w:r w:rsidRPr="00264D5D">
              <w:t>Наименование элемента</w:t>
            </w:r>
          </w:p>
        </w:tc>
        <w:tc>
          <w:tcPr>
            <w:tcW w:w="1701" w:type="dxa"/>
          </w:tcPr>
          <w:p w14:paraId="7CCAFB84" w14:textId="77777777" w:rsidR="00AD1F54" w:rsidRPr="00264D5D" w:rsidRDefault="00941227">
            <w:pPr>
              <w:pStyle w:val="ASFKTableHead"/>
            </w:pPr>
            <w:r w:rsidRPr="00264D5D">
              <w:t>Сокращенное наименование (код) элемента</w:t>
            </w:r>
          </w:p>
        </w:tc>
        <w:tc>
          <w:tcPr>
            <w:tcW w:w="567" w:type="dxa"/>
          </w:tcPr>
          <w:p w14:paraId="121FF390" w14:textId="77777777" w:rsidR="00AD1F54" w:rsidRPr="00264D5D" w:rsidRDefault="00941227">
            <w:pPr>
              <w:pStyle w:val="ASFKTableHead"/>
            </w:pPr>
            <w:r w:rsidRPr="00264D5D">
              <w:t>Тип</w:t>
            </w:r>
          </w:p>
        </w:tc>
        <w:tc>
          <w:tcPr>
            <w:tcW w:w="1134" w:type="dxa"/>
          </w:tcPr>
          <w:p w14:paraId="6ECF917C" w14:textId="77777777" w:rsidR="00AD1F54" w:rsidRPr="00264D5D" w:rsidRDefault="00941227">
            <w:pPr>
              <w:pStyle w:val="ASFKTableHead"/>
            </w:pPr>
            <w:r w:rsidRPr="00264D5D">
              <w:t>Формат элемента</w:t>
            </w:r>
          </w:p>
        </w:tc>
        <w:tc>
          <w:tcPr>
            <w:tcW w:w="567" w:type="dxa"/>
          </w:tcPr>
          <w:p w14:paraId="2C0D2867" w14:textId="77777777" w:rsidR="00AD1F54" w:rsidRPr="00264D5D" w:rsidRDefault="00941227">
            <w:pPr>
              <w:pStyle w:val="ASFKTableHead"/>
            </w:pPr>
            <w:r w:rsidRPr="00264D5D">
              <w:t>Обязательность</w:t>
            </w:r>
          </w:p>
        </w:tc>
        <w:tc>
          <w:tcPr>
            <w:tcW w:w="3963" w:type="dxa"/>
          </w:tcPr>
          <w:p w14:paraId="0FD3AFB1" w14:textId="77777777" w:rsidR="00AD1F54" w:rsidRPr="00264D5D" w:rsidRDefault="00941227">
            <w:pPr>
              <w:pStyle w:val="ASFKTableHead"/>
            </w:pPr>
            <w:r w:rsidRPr="00264D5D">
              <w:t>Дополнительная информация</w:t>
            </w:r>
          </w:p>
        </w:tc>
      </w:tr>
      <w:tr w:rsidR="00AD1F54" w:rsidRPr="00264D5D" w14:paraId="141BB44A"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3A644AE" w14:textId="77777777" w:rsidR="00AD1F54" w:rsidRPr="00264D5D" w:rsidRDefault="00941227">
            <w:pPr>
              <w:pStyle w:val="GOSTTablenorm"/>
              <w:rPr>
                <w:color w:val="000000"/>
                <w:szCs w:val="22"/>
              </w:rPr>
            </w:pPr>
            <w:r w:rsidRPr="00264D5D">
              <w:rPr>
                <w:color w:val="000000"/>
                <w:szCs w:val="22"/>
              </w:rPr>
              <w:t>Наименование ТОФК</w:t>
            </w:r>
          </w:p>
        </w:tc>
        <w:tc>
          <w:tcPr>
            <w:tcW w:w="1701" w:type="dxa"/>
          </w:tcPr>
          <w:p w14:paraId="6CA5870C" w14:textId="77777777" w:rsidR="00AD1F54" w:rsidRPr="00264D5D" w:rsidRDefault="00941227">
            <w:pPr>
              <w:spacing w:before="60" w:after="60"/>
              <w:ind w:firstLine="3"/>
              <w:rPr>
                <w:sz w:val="22"/>
                <w:szCs w:val="22"/>
                <w:lang w:val="en-US"/>
              </w:rPr>
            </w:pPr>
            <w:r w:rsidRPr="00264D5D">
              <w:rPr>
                <w:color w:val="000000"/>
                <w:sz w:val="22"/>
                <w:szCs w:val="22"/>
                <w:lang w:val="en-US"/>
              </w:rPr>
              <w:t>Nm</w:t>
            </w:r>
          </w:p>
        </w:tc>
        <w:tc>
          <w:tcPr>
            <w:tcW w:w="567" w:type="dxa"/>
          </w:tcPr>
          <w:p w14:paraId="253ACE46" w14:textId="77777777" w:rsidR="00AD1F54" w:rsidRPr="00264D5D" w:rsidRDefault="00941227">
            <w:pPr>
              <w:pStyle w:val="GOSTTablenorm"/>
              <w:ind w:firstLine="3"/>
              <w:jc w:val="center"/>
              <w:rPr>
                <w:szCs w:val="22"/>
              </w:rPr>
            </w:pPr>
            <w:r w:rsidRPr="00264D5D">
              <w:rPr>
                <w:szCs w:val="22"/>
              </w:rPr>
              <w:t>П</w:t>
            </w:r>
          </w:p>
        </w:tc>
        <w:tc>
          <w:tcPr>
            <w:tcW w:w="1134" w:type="dxa"/>
          </w:tcPr>
          <w:p w14:paraId="5C081118" w14:textId="77777777" w:rsidR="00AD1F54" w:rsidRPr="00264D5D" w:rsidRDefault="00941227">
            <w:pPr>
              <w:pStyle w:val="GOSTTablenorm"/>
              <w:ind w:firstLine="3"/>
              <w:rPr>
                <w:color w:val="000000"/>
                <w:szCs w:val="22"/>
              </w:rPr>
            </w:pPr>
            <w:r w:rsidRPr="00264D5D">
              <w:rPr>
                <w:color w:val="000000"/>
                <w:szCs w:val="22"/>
                <w:lang w:val="en-US"/>
              </w:rPr>
              <w:t>Т(1-2000)</w:t>
            </w:r>
          </w:p>
        </w:tc>
        <w:tc>
          <w:tcPr>
            <w:tcW w:w="567" w:type="dxa"/>
          </w:tcPr>
          <w:p w14:paraId="3C84B25E" w14:textId="77777777" w:rsidR="00AD1F54" w:rsidRPr="00264D5D" w:rsidRDefault="00941227">
            <w:pPr>
              <w:spacing w:before="60" w:after="60"/>
              <w:ind w:firstLine="3"/>
              <w:jc w:val="center"/>
              <w:rPr>
                <w:sz w:val="22"/>
                <w:szCs w:val="22"/>
              </w:rPr>
            </w:pPr>
            <w:r w:rsidRPr="00264D5D">
              <w:rPr>
                <w:sz w:val="22"/>
                <w:szCs w:val="22"/>
              </w:rPr>
              <w:t>О</w:t>
            </w:r>
          </w:p>
        </w:tc>
        <w:tc>
          <w:tcPr>
            <w:tcW w:w="3963" w:type="dxa"/>
          </w:tcPr>
          <w:p w14:paraId="49BB8229" w14:textId="77777777" w:rsidR="00AD1F54" w:rsidRPr="00264D5D" w:rsidRDefault="00941227">
            <w:pPr>
              <w:pStyle w:val="GOSTTablenorm"/>
              <w:ind w:firstLine="3"/>
              <w:rPr>
                <w:szCs w:val="22"/>
              </w:rPr>
            </w:pPr>
            <w:r w:rsidRPr="00264D5D">
              <w:rPr>
                <w:szCs w:val="22"/>
              </w:rPr>
              <w:t>Полное наименование ТОФК.</w:t>
            </w:r>
          </w:p>
          <w:p w14:paraId="397D39B5" w14:textId="77777777" w:rsidR="00AD1F54" w:rsidRPr="00264D5D" w:rsidRDefault="00941227">
            <w:pPr>
              <w:pStyle w:val="GOSTTablenorm"/>
              <w:ind w:firstLine="3"/>
              <w:rPr>
                <w:szCs w:val="22"/>
              </w:rPr>
            </w:pPr>
            <w:r w:rsidRPr="00264D5D">
              <w:rPr>
                <w:szCs w:val="22"/>
              </w:rPr>
              <w:t>Поле заполняется в соответствии с ц</w:t>
            </w:r>
            <w:r w:rsidR="00B06B9A" w:rsidRPr="00264D5D">
              <w:rPr>
                <w:szCs w:val="22"/>
              </w:rPr>
              <w:t>ентрализованным справочником ФК</w:t>
            </w:r>
          </w:p>
        </w:tc>
      </w:tr>
      <w:tr w:rsidR="00AD1F54" w:rsidRPr="00264D5D" w14:paraId="77BDBE07"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05E04511" w14:textId="77777777" w:rsidR="00AD1F54" w:rsidRPr="00264D5D" w:rsidRDefault="00941227">
            <w:pPr>
              <w:pStyle w:val="GOSTTablenorm"/>
              <w:rPr>
                <w:color w:val="000000"/>
                <w:szCs w:val="22"/>
              </w:rPr>
            </w:pPr>
            <w:r w:rsidRPr="00264D5D">
              <w:rPr>
                <w:color w:val="000000"/>
                <w:szCs w:val="22"/>
              </w:rPr>
              <w:t>Код ТОФК</w:t>
            </w:r>
          </w:p>
        </w:tc>
        <w:tc>
          <w:tcPr>
            <w:tcW w:w="1701" w:type="dxa"/>
          </w:tcPr>
          <w:p w14:paraId="07C649E9" w14:textId="77777777" w:rsidR="00AD1F54" w:rsidRPr="00264D5D" w:rsidRDefault="00941227">
            <w:pPr>
              <w:spacing w:before="60" w:after="60"/>
              <w:ind w:firstLine="3"/>
              <w:rPr>
                <w:sz w:val="22"/>
                <w:szCs w:val="22"/>
                <w:lang w:val="en-US"/>
              </w:rPr>
            </w:pPr>
            <w:r w:rsidRPr="00264D5D">
              <w:rPr>
                <w:color w:val="000000"/>
                <w:sz w:val="22"/>
                <w:szCs w:val="22"/>
                <w:lang w:val="en-US"/>
              </w:rPr>
              <w:t>Cd</w:t>
            </w:r>
          </w:p>
        </w:tc>
        <w:tc>
          <w:tcPr>
            <w:tcW w:w="567" w:type="dxa"/>
          </w:tcPr>
          <w:p w14:paraId="5D0E33FA" w14:textId="77777777" w:rsidR="00AD1F54" w:rsidRPr="00264D5D" w:rsidRDefault="00941227">
            <w:pPr>
              <w:pStyle w:val="GOSTTablenorm"/>
              <w:ind w:firstLine="3"/>
              <w:jc w:val="center"/>
              <w:rPr>
                <w:szCs w:val="22"/>
              </w:rPr>
            </w:pPr>
            <w:r w:rsidRPr="00264D5D">
              <w:rPr>
                <w:szCs w:val="22"/>
              </w:rPr>
              <w:t>П</w:t>
            </w:r>
          </w:p>
        </w:tc>
        <w:tc>
          <w:tcPr>
            <w:tcW w:w="1134" w:type="dxa"/>
          </w:tcPr>
          <w:p w14:paraId="04ECF0D7" w14:textId="77777777" w:rsidR="00AD1F54" w:rsidRPr="00264D5D" w:rsidRDefault="00941227">
            <w:pPr>
              <w:pStyle w:val="GOSTTablenorm"/>
              <w:ind w:firstLine="3"/>
              <w:rPr>
                <w:color w:val="000000"/>
                <w:szCs w:val="22"/>
              </w:rPr>
            </w:pPr>
            <w:r w:rsidRPr="00264D5D">
              <w:rPr>
                <w:color w:val="000000"/>
                <w:szCs w:val="22"/>
                <w:lang w:val="en-US"/>
              </w:rPr>
              <w:t>Т(4)</w:t>
            </w:r>
          </w:p>
        </w:tc>
        <w:tc>
          <w:tcPr>
            <w:tcW w:w="567" w:type="dxa"/>
          </w:tcPr>
          <w:p w14:paraId="10E0149E" w14:textId="77777777" w:rsidR="00AD1F54" w:rsidRPr="00264D5D" w:rsidRDefault="00941227">
            <w:pPr>
              <w:spacing w:before="60" w:after="60"/>
              <w:ind w:firstLine="3"/>
              <w:jc w:val="center"/>
              <w:rPr>
                <w:sz w:val="22"/>
                <w:szCs w:val="22"/>
              </w:rPr>
            </w:pPr>
            <w:r w:rsidRPr="00264D5D">
              <w:rPr>
                <w:sz w:val="22"/>
                <w:szCs w:val="22"/>
              </w:rPr>
              <w:t>О</w:t>
            </w:r>
          </w:p>
        </w:tc>
        <w:tc>
          <w:tcPr>
            <w:tcW w:w="3963" w:type="dxa"/>
          </w:tcPr>
          <w:p w14:paraId="7F83A0D3" w14:textId="77777777" w:rsidR="00AD1F54" w:rsidRPr="00264D5D" w:rsidRDefault="00941227">
            <w:pPr>
              <w:pStyle w:val="GOSTTablenorm"/>
              <w:ind w:firstLine="3"/>
              <w:rPr>
                <w:szCs w:val="22"/>
              </w:rPr>
            </w:pPr>
            <w:r w:rsidRPr="00264D5D">
              <w:rPr>
                <w:szCs w:val="22"/>
              </w:rPr>
              <w:t>Поле заполняется в соответствии с ц</w:t>
            </w:r>
            <w:r w:rsidR="00B06B9A" w:rsidRPr="00264D5D">
              <w:rPr>
                <w:szCs w:val="22"/>
              </w:rPr>
              <w:t>ентрализованным справочником ФК</w:t>
            </w:r>
          </w:p>
        </w:tc>
      </w:tr>
    </w:tbl>
    <w:p w14:paraId="45300AA7" w14:textId="77777777" w:rsidR="00AD1F54" w:rsidRPr="00264D5D" w:rsidRDefault="00941227">
      <w:pPr>
        <w:pStyle w:val="31"/>
      </w:pPr>
      <w:bookmarkStart w:id="3114" w:name="_Toc18509205"/>
      <w:bookmarkStart w:id="3115" w:name="_Toc219309763"/>
      <w:r w:rsidRPr="00264D5D">
        <w:t>Описание комплексного типа «tSGNNmPs1»</w:t>
      </w:r>
      <w:bookmarkEnd w:id="3102"/>
      <w:bookmarkEnd w:id="3114"/>
      <w:bookmarkEnd w:id="3115"/>
    </w:p>
    <w:p w14:paraId="5F158919" w14:textId="77777777" w:rsidR="00AD1F54" w:rsidRPr="00264D5D" w:rsidRDefault="00941227">
      <w:pPr>
        <w:pStyle w:val="GOSTNormal"/>
        <w:rPr>
          <w:szCs w:val="24"/>
        </w:rPr>
      </w:pPr>
      <w:r w:rsidRPr="00264D5D">
        <w:rPr>
          <w:szCs w:val="24"/>
        </w:rPr>
        <w:t xml:space="preserve">Описание комплексного типа </w:t>
      </w:r>
      <w:r w:rsidRPr="00264D5D">
        <w:rPr>
          <w:rFonts w:eastAsia="Calibri"/>
          <w:szCs w:val="24"/>
        </w:rPr>
        <w:t>«</w:t>
      </w:r>
      <w:r w:rsidRPr="00264D5D">
        <w:rPr>
          <w:szCs w:val="24"/>
        </w:rPr>
        <w:t>tSGNNmPs1» блоков «Руководитель» и «</w:t>
      </w:r>
      <w:r w:rsidRPr="00264D5D">
        <w:rPr>
          <w:szCs w:val="22"/>
        </w:rPr>
        <w:t>Главный бухгалтер</w:t>
      </w:r>
      <w:r w:rsidRPr="00264D5D">
        <w:rPr>
          <w:szCs w:val="24"/>
        </w:rPr>
        <w:t>».</w:t>
      </w:r>
    </w:p>
    <w:p w14:paraId="58397B84" w14:textId="51309120"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3116" w:name="_Ref503551832"/>
      <w:bookmarkStart w:id="3117" w:name="_Toc18509494"/>
      <w:bookmarkStart w:id="3118" w:name="_Toc219309317"/>
      <w:r w:rsidR="008D797C">
        <w:rPr>
          <w:noProof/>
        </w:rPr>
        <w:t>287</w:t>
      </w:r>
      <w:bookmarkEnd w:id="3116"/>
      <w:r w:rsidRPr="00264D5D">
        <w:fldChar w:fldCharType="end"/>
      </w:r>
      <w:r w:rsidRPr="00264D5D">
        <w:t xml:space="preserve"> </w:t>
      </w:r>
      <w:r w:rsidRPr="00264D5D">
        <w:rPr>
          <w:rFonts w:eastAsia="Calibri"/>
          <w:szCs w:val="24"/>
        </w:rPr>
        <w:t xml:space="preserve">– </w:t>
      </w:r>
      <w:r w:rsidRPr="00264D5D">
        <w:t>Описание комплексного типа «tSGNNmPs1»</w:t>
      </w:r>
      <w:bookmarkEnd w:id="3117"/>
      <w:bookmarkEnd w:id="3118"/>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3A5D5A2C"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30446553" w14:textId="77777777" w:rsidR="00AD1F54" w:rsidRPr="00264D5D" w:rsidRDefault="00941227">
            <w:pPr>
              <w:pStyle w:val="ASFKTableHead"/>
            </w:pPr>
            <w:r w:rsidRPr="00264D5D">
              <w:t>Наименование элемента</w:t>
            </w:r>
          </w:p>
        </w:tc>
        <w:tc>
          <w:tcPr>
            <w:tcW w:w="1701" w:type="dxa"/>
          </w:tcPr>
          <w:p w14:paraId="4AEFE9FB" w14:textId="77777777" w:rsidR="00AD1F54" w:rsidRPr="00264D5D" w:rsidRDefault="00941227">
            <w:pPr>
              <w:pStyle w:val="ASFKTableHead"/>
            </w:pPr>
            <w:r w:rsidRPr="00264D5D">
              <w:t>Сокращенное наименование (код) элемента</w:t>
            </w:r>
          </w:p>
        </w:tc>
        <w:tc>
          <w:tcPr>
            <w:tcW w:w="567" w:type="dxa"/>
          </w:tcPr>
          <w:p w14:paraId="70F0314D" w14:textId="77777777" w:rsidR="00AD1F54" w:rsidRPr="00264D5D" w:rsidRDefault="00941227">
            <w:pPr>
              <w:pStyle w:val="ASFKTableHead"/>
            </w:pPr>
            <w:r w:rsidRPr="00264D5D">
              <w:t>Тип</w:t>
            </w:r>
          </w:p>
        </w:tc>
        <w:tc>
          <w:tcPr>
            <w:tcW w:w="1134" w:type="dxa"/>
          </w:tcPr>
          <w:p w14:paraId="49A03F1F" w14:textId="77777777" w:rsidR="00AD1F54" w:rsidRPr="00264D5D" w:rsidRDefault="00941227">
            <w:pPr>
              <w:pStyle w:val="ASFKTableHead"/>
            </w:pPr>
            <w:r w:rsidRPr="00264D5D">
              <w:t>Формат элемента</w:t>
            </w:r>
          </w:p>
        </w:tc>
        <w:tc>
          <w:tcPr>
            <w:tcW w:w="567" w:type="dxa"/>
          </w:tcPr>
          <w:p w14:paraId="23A274AF" w14:textId="77777777" w:rsidR="00AD1F54" w:rsidRPr="00264D5D" w:rsidRDefault="00941227">
            <w:pPr>
              <w:pStyle w:val="ASFKTableHead"/>
            </w:pPr>
            <w:r w:rsidRPr="00264D5D">
              <w:t>Обязательность</w:t>
            </w:r>
          </w:p>
        </w:tc>
        <w:tc>
          <w:tcPr>
            <w:tcW w:w="3963" w:type="dxa"/>
          </w:tcPr>
          <w:p w14:paraId="2A63310C" w14:textId="77777777" w:rsidR="00AD1F54" w:rsidRPr="00264D5D" w:rsidRDefault="00941227">
            <w:pPr>
              <w:pStyle w:val="ASFKTableHead"/>
            </w:pPr>
            <w:r w:rsidRPr="00264D5D">
              <w:t>Дополнительная информация</w:t>
            </w:r>
          </w:p>
        </w:tc>
      </w:tr>
      <w:tr w:rsidR="00AD1F54" w:rsidRPr="00264D5D" w14:paraId="5033D846"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A592865" w14:textId="77777777" w:rsidR="00AD1F54" w:rsidRPr="00264D5D" w:rsidRDefault="00941227">
            <w:pPr>
              <w:pStyle w:val="GOSTTablenorm"/>
              <w:rPr>
                <w:szCs w:val="22"/>
              </w:rPr>
            </w:pPr>
            <w:r w:rsidRPr="00264D5D">
              <w:t>Должность</w:t>
            </w:r>
          </w:p>
        </w:tc>
        <w:tc>
          <w:tcPr>
            <w:tcW w:w="1701" w:type="dxa"/>
          </w:tcPr>
          <w:p w14:paraId="396F7F70" w14:textId="77777777" w:rsidR="00AD1F54" w:rsidRPr="00264D5D" w:rsidRDefault="00941227">
            <w:pPr>
              <w:pStyle w:val="GOSTTablenorm"/>
              <w:rPr>
                <w:lang w:val="en-US"/>
              </w:rPr>
            </w:pPr>
            <w:r w:rsidRPr="00264D5D">
              <w:rPr>
                <w:lang w:val="en-US"/>
              </w:rPr>
              <w:t>Pst</w:t>
            </w:r>
          </w:p>
        </w:tc>
        <w:tc>
          <w:tcPr>
            <w:tcW w:w="567" w:type="dxa"/>
          </w:tcPr>
          <w:p w14:paraId="0578AFE0" w14:textId="77777777" w:rsidR="00AD1F54" w:rsidRPr="00264D5D" w:rsidRDefault="00941227">
            <w:pPr>
              <w:pStyle w:val="GOSTTablenorm"/>
              <w:jc w:val="center"/>
            </w:pPr>
            <w:r w:rsidRPr="00264D5D">
              <w:t>П</w:t>
            </w:r>
          </w:p>
        </w:tc>
        <w:tc>
          <w:tcPr>
            <w:tcW w:w="1134" w:type="dxa"/>
          </w:tcPr>
          <w:p w14:paraId="01FFE318" w14:textId="77777777" w:rsidR="00AD1F54" w:rsidRPr="00264D5D" w:rsidRDefault="00941227">
            <w:pPr>
              <w:pStyle w:val="GOSTTablenorm"/>
            </w:pPr>
            <w:r w:rsidRPr="00264D5D">
              <w:t>Т(1-100)</w:t>
            </w:r>
          </w:p>
        </w:tc>
        <w:tc>
          <w:tcPr>
            <w:tcW w:w="567" w:type="dxa"/>
          </w:tcPr>
          <w:p w14:paraId="50B7C478" w14:textId="77777777" w:rsidR="00AD1F54" w:rsidRPr="00264D5D" w:rsidRDefault="00941227">
            <w:pPr>
              <w:pStyle w:val="GOSTTablenorm"/>
              <w:jc w:val="center"/>
            </w:pPr>
            <w:r w:rsidRPr="00264D5D">
              <w:t>Н</w:t>
            </w:r>
          </w:p>
        </w:tc>
        <w:tc>
          <w:tcPr>
            <w:tcW w:w="3963" w:type="dxa"/>
          </w:tcPr>
          <w:p w14:paraId="34F904A4" w14:textId="77777777" w:rsidR="00AD1F54" w:rsidRPr="00264D5D" w:rsidRDefault="00B06B9A">
            <w:pPr>
              <w:pStyle w:val="GOSTTablenorm"/>
            </w:pPr>
            <w:r w:rsidRPr="00264D5D">
              <w:t>Наименование должности</w:t>
            </w:r>
          </w:p>
        </w:tc>
      </w:tr>
      <w:tr w:rsidR="00AD1F54" w:rsidRPr="00264D5D" w14:paraId="0A6A1EF0"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6FFCE751" w14:textId="77777777" w:rsidR="00AD1F54" w:rsidRPr="00264D5D" w:rsidRDefault="00941227">
            <w:pPr>
              <w:pStyle w:val="GOSTTablenorm"/>
              <w:rPr>
                <w:szCs w:val="22"/>
              </w:rPr>
            </w:pPr>
            <w:r w:rsidRPr="00264D5D">
              <w:t>ФИО</w:t>
            </w:r>
          </w:p>
        </w:tc>
        <w:tc>
          <w:tcPr>
            <w:tcW w:w="1701" w:type="dxa"/>
          </w:tcPr>
          <w:p w14:paraId="54431239" w14:textId="77777777" w:rsidR="00AD1F54" w:rsidRPr="00264D5D" w:rsidRDefault="00941227">
            <w:pPr>
              <w:pStyle w:val="GOSTTablenorm"/>
              <w:rPr>
                <w:lang w:val="en-US"/>
              </w:rPr>
            </w:pPr>
            <w:r w:rsidRPr="00264D5D">
              <w:rPr>
                <w:lang w:val="en-US"/>
              </w:rPr>
              <w:t>FIO</w:t>
            </w:r>
          </w:p>
        </w:tc>
        <w:tc>
          <w:tcPr>
            <w:tcW w:w="567" w:type="dxa"/>
          </w:tcPr>
          <w:p w14:paraId="2C1F0207" w14:textId="77777777" w:rsidR="00AD1F54" w:rsidRPr="00264D5D" w:rsidRDefault="00941227">
            <w:pPr>
              <w:pStyle w:val="GOSTTablenorm"/>
              <w:jc w:val="center"/>
            </w:pPr>
            <w:r w:rsidRPr="00264D5D">
              <w:t>П</w:t>
            </w:r>
          </w:p>
        </w:tc>
        <w:tc>
          <w:tcPr>
            <w:tcW w:w="1134" w:type="dxa"/>
          </w:tcPr>
          <w:p w14:paraId="3C9DA0E8" w14:textId="77777777" w:rsidR="00AD1F54" w:rsidRPr="00264D5D" w:rsidRDefault="00941227">
            <w:pPr>
              <w:pStyle w:val="GOSTTablenorm"/>
            </w:pPr>
            <w:r w:rsidRPr="00264D5D">
              <w:t>Т(1-50)</w:t>
            </w:r>
          </w:p>
        </w:tc>
        <w:tc>
          <w:tcPr>
            <w:tcW w:w="567" w:type="dxa"/>
          </w:tcPr>
          <w:p w14:paraId="0632C05F" w14:textId="77777777" w:rsidR="00AD1F54" w:rsidRPr="00264D5D" w:rsidRDefault="00941227">
            <w:pPr>
              <w:pStyle w:val="GOSTTablenorm"/>
              <w:jc w:val="center"/>
            </w:pPr>
            <w:r w:rsidRPr="00264D5D">
              <w:t>Н</w:t>
            </w:r>
          </w:p>
        </w:tc>
        <w:tc>
          <w:tcPr>
            <w:tcW w:w="3963" w:type="dxa"/>
          </w:tcPr>
          <w:p w14:paraId="640AB90D" w14:textId="77777777" w:rsidR="00AD1F54" w:rsidRPr="00264D5D" w:rsidRDefault="00941227">
            <w:pPr>
              <w:pStyle w:val="GOSTTablenorm"/>
            </w:pPr>
            <w:r w:rsidRPr="00264D5D">
              <w:t xml:space="preserve">Расшифровка подписи </w:t>
            </w:r>
            <w:r w:rsidR="00B06B9A" w:rsidRPr="00264D5D">
              <w:t>с указанием инициалов и фамилии</w:t>
            </w:r>
          </w:p>
        </w:tc>
      </w:tr>
    </w:tbl>
    <w:p w14:paraId="2431904A" w14:textId="77777777" w:rsidR="00AD1F54" w:rsidRPr="00264D5D" w:rsidRDefault="00941227">
      <w:pPr>
        <w:pStyle w:val="31"/>
      </w:pPr>
      <w:bookmarkStart w:id="3119" w:name="_Toc18509206"/>
      <w:bookmarkStart w:id="3120" w:name="_Toc508712745"/>
      <w:bookmarkStart w:id="3121" w:name="_Toc219309764"/>
      <w:r w:rsidRPr="00264D5D">
        <w:t>Описание комплексного типа «tSGNNmPs2»</w:t>
      </w:r>
      <w:bookmarkEnd w:id="3119"/>
      <w:bookmarkEnd w:id="3121"/>
    </w:p>
    <w:p w14:paraId="1C793C14" w14:textId="77777777" w:rsidR="00AD1F54" w:rsidRPr="00264D5D" w:rsidRDefault="00941227">
      <w:pPr>
        <w:pStyle w:val="GOSTNormal"/>
      </w:pPr>
      <w:r w:rsidRPr="00264D5D">
        <w:t xml:space="preserve">Описание комплексного типа </w:t>
      </w:r>
      <w:r w:rsidRPr="00264D5D">
        <w:rPr>
          <w:rFonts w:eastAsia="Calibri"/>
        </w:rPr>
        <w:t>«</w:t>
      </w:r>
      <w:r w:rsidRPr="00264D5D">
        <w:rPr>
          <w:szCs w:val="24"/>
        </w:rPr>
        <w:t>tSGNNmPs2</w:t>
      </w:r>
      <w:r w:rsidRPr="00264D5D">
        <w:t>» блока «Доверенное лицо».</w:t>
      </w:r>
    </w:p>
    <w:p w14:paraId="720292E5" w14:textId="72E36D28"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3122" w:name="_Ref523991744"/>
      <w:bookmarkStart w:id="3123" w:name="_Toc18509495"/>
      <w:bookmarkStart w:id="3124" w:name="_Toc219309318"/>
      <w:r w:rsidR="008D797C">
        <w:rPr>
          <w:noProof/>
        </w:rPr>
        <w:t>288</w:t>
      </w:r>
      <w:bookmarkEnd w:id="3122"/>
      <w:r w:rsidRPr="00264D5D">
        <w:fldChar w:fldCharType="end"/>
      </w:r>
      <w:r w:rsidRPr="00264D5D">
        <w:rPr>
          <w:rFonts w:eastAsia="Calibri"/>
          <w:szCs w:val="24"/>
        </w:rPr>
        <w:t xml:space="preserve"> – </w:t>
      </w:r>
      <w:r w:rsidRPr="00264D5D">
        <w:t>Описание комплексного типа «tSGNNmPs2»</w:t>
      </w:r>
      <w:bookmarkEnd w:id="3123"/>
      <w:bookmarkEnd w:id="3124"/>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6E202C36"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67CA4DE8" w14:textId="77777777" w:rsidR="00AD1F54" w:rsidRPr="00264D5D" w:rsidRDefault="00941227">
            <w:pPr>
              <w:pStyle w:val="ASFKTableHead"/>
            </w:pPr>
            <w:r w:rsidRPr="00264D5D">
              <w:t>Наименование элемента</w:t>
            </w:r>
          </w:p>
        </w:tc>
        <w:tc>
          <w:tcPr>
            <w:tcW w:w="1701" w:type="dxa"/>
          </w:tcPr>
          <w:p w14:paraId="571B9AB7" w14:textId="77777777" w:rsidR="00AD1F54" w:rsidRPr="00264D5D" w:rsidRDefault="00941227">
            <w:pPr>
              <w:pStyle w:val="ASFKTableHead"/>
            </w:pPr>
            <w:r w:rsidRPr="00264D5D">
              <w:t>Сокращенное наименование (код) элемента</w:t>
            </w:r>
          </w:p>
        </w:tc>
        <w:tc>
          <w:tcPr>
            <w:tcW w:w="567" w:type="dxa"/>
          </w:tcPr>
          <w:p w14:paraId="590B4BBA" w14:textId="77777777" w:rsidR="00AD1F54" w:rsidRPr="00264D5D" w:rsidRDefault="00941227">
            <w:pPr>
              <w:pStyle w:val="ASFKTableHead"/>
            </w:pPr>
            <w:r w:rsidRPr="00264D5D">
              <w:t>Тип</w:t>
            </w:r>
          </w:p>
        </w:tc>
        <w:tc>
          <w:tcPr>
            <w:tcW w:w="1134" w:type="dxa"/>
          </w:tcPr>
          <w:p w14:paraId="2164F1F8" w14:textId="77777777" w:rsidR="00AD1F54" w:rsidRPr="00264D5D" w:rsidRDefault="00941227">
            <w:pPr>
              <w:pStyle w:val="ASFKTableHead"/>
            </w:pPr>
            <w:r w:rsidRPr="00264D5D">
              <w:t>Формат элемента</w:t>
            </w:r>
          </w:p>
        </w:tc>
        <w:tc>
          <w:tcPr>
            <w:tcW w:w="567" w:type="dxa"/>
          </w:tcPr>
          <w:p w14:paraId="38A370F0" w14:textId="77777777" w:rsidR="00AD1F54" w:rsidRPr="00264D5D" w:rsidRDefault="00941227">
            <w:pPr>
              <w:pStyle w:val="ASFKTableHead"/>
            </w:pPr>
            <w:r w:rsidRPr="00264D5D">
              <w:t>Обязательность</w:t>
            </w:r>
          </w:p>
        </w:tc>
        <w:tc>
          <w:tcPr>
            <w:tcW w:w="3963" w:type="dxa"/>
          </w:tcPr>
          <w:p w14:paraId="713089B7" w14:textId="77777777" w:rsidR="00AD1F54" w:rsidRPr="00264D5D" w:rsidRDefault="00941227">
            <w:pPr>
              <w:pStyle w:val="ASFKTableHead"/>
            </w:pPr>
            <w:r w:rsidRPr="00264D5D">
              <w:t>Дополнительная информация</w:t>
            </w:r>
          </w:p>
        </w:tc>
      </w:tr>
      <w:tr w:rsidR="00AD1F54" w:rsidRPr="00264D5D" w14:paraId="0780CC99"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34D01D6" w14:textId="77777777" w:rsidR="00AD1F54" w:rsidRPr="00264D5D" w:rsidRDefault="00941227">
            <w:pPr>
              <w:pStyle w:val="GOSTTablenorm"/>
              <w:rPr>
                <w:szCs w:val="22"/>
              </w:rPr>
            </w:pPr>
            <w:r w:rsidRPr="00264D5D">
              <w:t>Должность</w:t>
            </w:r>
          </w:p>
        </w:tc>
        <w:tc>
          <w:tcPr>
            <w:tcW w:w="1701" w:type="dxa"/>
          </w:tcPr>
          <w:p w14:paraId="1C4C5014" w14:textId="77777777" w:rsidR="00AD1F54" w:rsidRPr="00264D5D" w:rsidRDefault="00941227">
            <w:pPr>
              <w:pStyle w:val="GOSTTablenorm"/>
              <w:rPr>
                <w:lang w:val="en-US"/>
              </w:rPr>
            </w:pPr>
            <w:r w:rsidRPr="00264D5D">
              <w:rPr>
                <w:lang w:val="en-US"/>
              </w:rPr>
              <w:t>Pst</w:t>
            </w:r>
          </w:p>
        </w:tc>
        <w:tc>
          <w:tcPr>
            <w:tcW w:w="567" w:type="dxa"/>
          </w:tcPr>
          <w:p w14:paraId="36A8C0DE" w14:textId="77777777" w:rsidR="00AD1F54" w:rsidRPr="00264D5D" w:rsidRDefault="00941227">
            <w:pPr>
              <w:pStyle w:val="GOSTTablenorm"/>
              <w:jc w:val="center"/>
            </w:pPr>
            <w:r w:rsidRPr="00264D5D">
              <w:t>П</w:t>
            </w:r>
          </w:p>
        </w:tc>
        <w:tc>
          <w:tcPr>
            <w:tcW w:w="1134" w:type="dxa"/>
          </w:tcPr>
          <w:p w14:paraId="02FBE7EF" w14:textId="77777777" w:rsidR="00AD1F54" w:rsidRPr="00264D5D" w:rsidRDefault="00941227">
            <w:pPr>
              <w:pStyle w:val="GOSTTablenorm"/>
            </w:pPr>
            <w:r w:rsidRPr="00264D5D">
              <w:t>Т(1-100)</w:t>
            </w:r>
          </w:p>
        </w:tc>
        <w:tc>
          <w:tcPr>
            <w:tcW w:w="567" w:type="dxa"/>
          </w:tcPr>
          <w:p w14:paraId="14FD62CA" w14:textId="77777777" w:rsidR="00AD1F54" w:rsidRPr="00264D5D" w:rsidRDefault="00941227">
            <w:pPr>
              <w:pStyle w:val="GOSTTablenorm"/>
              <w:jc w:val="center"/>
            </w:pPr>
            <w:r w:rsidRPr="00264D5D">
              <w:t>О</w:t>
            </w:r>
          </w:p>
        </w:tc>
        <w:tc>
          <w:tcPr>
            <w:tcW w:w="3963" w:type="dxa"/>
          </w:tcPr>
          <w:p w14:paraId="57C3A43E" w14:textId="77777777" w:rsidR="00AD1F54" w:rsidRPr="00264D5D" w:rsidRDefault="00941227">
            <w:pPr>
              <w:pStyle w:val="GOSTTablenorm"/>
            </w:pPr>
            <w:r w:rsidRPr="00264D5D">
              <w:t>Наименов</w:t>
            </w:r>
            <w:r w:rsidR="00B06B9A" w:rsidRPr="00264D5D">
              <w:t>ание должности доверенного лица</w:t>
            </w:r>
          </w:p>
        </w:tc>
      </w:tr>
      <w:tr w:rsidR="00AD1F54" w:rsidRPr="00264D5D" w14:paraId="785F4895"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335B689" w14:textId="77777777" w:rsidR="00AD1F54" w:rsidRPr="00264D5D" w:rsidRDefault="00941227">
            <w:pPr>
              <w:pStyle w:val="GOSTTablenorm"/>
              <w:rPr>
                <w:szCs w:val="22"/>
              </w:rPr>
            </w:pPr>
            <w:r w:rsidRPr="00264D5D">
              <w:t>ФИО</w:t>
            </w:r>
          </w:p>
        </w:tc>
        <w:tc>
          <w:tcPr>
            <w:tcW w:w="1701" w:type="dxa"/>
          </w:tcPr>
          <w:p w14:paraId="6EA8A55F" w14:textId="77777777" w:rsidR="00AD1F54" w:rsidRPr="00264D5D" w:rsidRDefault="00941227">
            <w:pPr>
              <w:pStyle w:val="GOSTTablenorm"/>
              <w:rPr>
                <w:lang w:val="en-US"/>
              </w:rPr>
            </w:pPr>
            <w:r w:rsidRPr="00264D5D">
              <w:rPr>
                <w:lang w:val="en-US"/>
              </w:rPr>
              <w:t>FIO</w:t>
            </w:r>
          </w:p>
        </w:tc>
        <w:tc>
          <w:tcPr>
            <w:tcW w:w="567" w:type="dxa"/>
          </w:tcPr>
          <w:p w14:paraId="56DD143D" w14:textId="77777777" w:rsidR="00AD1F54" w:rsidRPr="00264D5D" w:rsidRDefault="00941227">
            <w:pPr>
              <w:pStyle w:val="GOSTTablenorm"/>
              <w:jc w:val="center"/>
            </w:pPr>
            <w:r w:rsidRPr="00264D5D">
              <w:t>П</w:t>
            </w:r>
          </w:p>
        </w:tc>
        <w:tc>
          <w:tcPr>
            <w:tcW w:w="1134" w:type="dxa"/>
          </w:tcPr>
          <w:p w14:paraId="7A5E4332" w14:textId="77777777" w:rsidR="00AD1F54" w:rsidRPr="00264D5D" w:rsidRDefault="00941227">
            <w:pPr>
              <w:pStyle w:val="GOSTTablenorm"/>
            </w:pPr>
            <w:r w:rsidRPr="00264D5D">
              <w:t>Т(1-50)</w:t>
            </w:r>
          </w:p>
        </w:tc>
        <w:tc>
          <w:tcPr>
            <w:tcW w:w="567" w:type="dxa"/>
          </w:tcPr>
          <w:p w14:paraId="0D44C99B" w14:textId="77777777" w:rsidR="00AD1F54" w:rsidRPr="00264D5D" w:rsidRDefault="00941227">
            <w:pPr>
              <w:pStyle w:val="GOSTTablenorm"/>
              <w:jc w:val="center"/>
            </w:pPr>
            <w:r w:rsidRPr="00264D5D">
              <w:t>О</w:t>
            </w:r>
          </w:p>
        </w:tc>
        <w:tc>
          <w:tcPr>
            <w:tcW w:w="3963" w:type="dxa"/>
          </w:tcPr>
          <w:p w14:paraId="22F6FD47" w14:textId="77777777" w:rsidR="00AD1F54" w:rsidRPr="00264D5D" w:rsidRDefault="00941227">
            <w:pPr>
              <w:pStyle w:val="GOSTTablenorm"/>
            </w:pPr>
            <w:r w:rsidRPr="00264D5D">
              <w:t>Расши</w:t>
            </w:r>
            <w:r w:rsidR="00B06B9A" w:rsidRPr="00264D5D">
              <w:t>фровка подписи доверенного лица</w:t>
            </w:r>
          </w:p>
        </w:tc>
      </w:tr>
    </w:tbl>
    <w:p w14:paraId="7A707A61" w14:textId="77777777" w:rsidR="00AD1F54" w:rsidRPr="00264D5D" w:rsidRDefault="00941227">
      <w:pPr>
        <w:pStyle w:val="31"/>
      </w:pPr>
      <w:bookmarkStart w:id="3125" w:name="_Toc18509207"/>
      <w:bookmarkStart w:id="3126" w:name="_Toc219309765"/>
      <w:r w:rsidRPr="00264D5D">
        <w:t>Описание комплексного типа «tMSC_Psprt»</w:t>
      </w:r>
      <w:bookmarkEnd w:id="3103"/>
      <w:bookmarkEnd w:id="3120"/>
      <w:bookmarkEnd w:id="3125"/>
      <w:bookmarkEnd w:id="3126"/>
    </w:p>
    <w:p w14:paraId="4813DDFD" w14:textId="77777777" w:rsidR="00AD1F54" w:rsidRPr="00264D5D" w:rsidRDefault="00941227">
      <w:pPr>
        <w:pStyle w:val="GOSTNormal"/>
      </w:pPr>
      <w:r w:rsidRPr="00264D5D">
        <w:t xml:space="preserve">Описание комплексного типа </w:t>
      </w:r>
      <w:r w:rsidRPr="00264D5D">
        <w:rPr>
          <w:rFonts w:eastAsia="Calibri"/>
        </w:rPr>
        <w:t>«</w:t>
      </w:r>
      <w:r w:rsidRPr="00264D5D">
        <w:rPr>
          <w:lang w:val="en-US"/>
        </w:rPr>
        <w:t>tMSC</w:t>
      </w:r>
      <w:r w:rsidRPr="00264D5D">
        <w:t>_</w:t>
      </w:r>
      <w:r w:rsidRPr="00264D5D">
        <w:rPr>
          <w:lang w:val="en-US"/>
        </w:rPr>
        <w:t>Psprt</w:t>
      </w:r>
      <w:r w:rsidRPr="00264D5D">
        <w:t>» блока «Паспорт».</w:t>
      </w:r>
    </w:p>
    <w:p w14:paraId="3D380B67" w14:textId="3C9A12D6" w:rsidR="00AD1F54" w:rsidRPr="00264D5D" w:rsidRDefault="001E5517">
      <w:pPr>
        <w:pStyle w:val="GOSTNameTable"/>
        <w:numPr>
          <w:ilvl w:val="0"/>
          <w:numId w:val="2"/>
        </w:numPr>
        <w:ind w:left="425" w:hanging="357"/>
      </w:pPr>
      <w:r w:rsidRPr="00264D5D">
        <w:rPr>
          <w:noProof/>
        </w:rPr>
        <w:lastRenderedPageBreak/>
        <w:fldChar w:fldCharType="begin"/>
      </w:r>
      <w:r w:rsidRPr="00264D5D">
        <w:rPr>
          <w:noProof/>
        </w:rPr>
        <w:instrText xml:space="preserve"> SEQ Таблица \* ARABIC </w:instrText>
      </w:r>
      <w:r w:rsidRPr="00264D5D">
        <w:rPr>
          <w:noProof/>
        </w:rPr>
        <w:fldChar w:fldCharType="separate"/>
      </w:r>
      <w:bookmarkStart w:id="3127" w:name="_Ref503551868"/>
      <w:bookmarkStart w:id="3128" w:name="_Toc18509496"/>
      <w:bookmarkStart w:id="3129" w:name="_Toc219309319"/>
      <w:r w:rsidR="008D797C">
        <w:rPr>
          <w:noProof/>
        </w:rPr>
        <w:t>289</w:t>
      </w:r>
      <w:bookmarkEnd w:id="3127"/>
      <w:r w:rsidRPr="00264D5D">
        <w:rPr>
          <w:noProof/>
        </w:rPr>
        <w:fldChar w:fldCharType="end"/>
      </w:r>
      <w:r w:rsidR="00941227" w:rsidRPr="00264D5D">
        <w:rPr>
          <w:rFonts w:eastAsia="Calibri"/>
          <w:szCs w:val="24"/>
        </w:rPr>
        <w:t xml:space="preserve"> – </w:t>
      </w:r>
      <w:r w:rsidR="00941227" w:rsidRPr="00264D5D">
        <w:t>Описание комплексного типа «tMSC_Psprt»</w:t>
      </w:r>
      <w:bookmarkEnd w:id="3128"/>
      <w:bookmarkEnd w:id="3129"/>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045E508B"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2A1A35C0" w14:textId="77777777" w:rsidR="00AD1F54" w:rsidRPr="00264D5D" w:rsidRDefault="00941227">
            <w:pPr>
              <w:pStyle w:val="ASFKTableHead"/>
            </w:pPr>
            <w:r w:rsidRPr="00264D5D">
              <w:t>Наименование элемента</w:t>
            </w:r>
          </w:p>
        </w:tc>
        <w:tc>
          <w:tcPr>
            <w:tcW w:w="1701" w:type="dxa"/>
          </w:tcPr>
          <w:p w14:paraId="4A8CDD97" w14:textId="77777777" w:rsidR="00AD1F54" w:rsidRPr="00264D5D" w:rsidRDefault="00941227">
            <w:pPr>
              <w:pStyle w:val="ASFKTableHead"/>
            </w:pPr>
            <w:r w:rsidRPr="00264D5D">
              <w:t>Сокращенное наименование (код) элемента</w:t>
            </w:r>
          </w:p>
        </w:tc>
        <w:tc>
          <w:tcPr>
            <w:tcW w:w="567" w:type="dxa"/>
          </w:tcPr>
          <w:p w14:paraId="191DD7B4" w14:textId="77777777" w:rsidR="00AD1F54" w:rsidRPr="00264D5D" w:rsidRDefault="00941227">
            <w:pPr>
              <w:pStyle w:val="ASFKTableHead"/>
            </w:pPr>
            <w:r w:rsidRPr="00264D5D">
              <w:t>Тип</w:t>
            </w:r>
          </w:p>
        </w:tc>
        <w:tc>
          <w:tcPr>
            <w:tcW w:w="1134" w:type="dxa"/>
          </w:tcPr>
          <w:p w14:paraId="28E8D2CF" w14:textId="77777777" w:rsidR="00AD1F54" w:rsidRPr="00264D5D" w:rsidRDefault="00941227">
            <w:pPr>
              <w:pStyle w:val="ASFKTableHead"/>
            </w:pPr>
            <w:r w:rsidRPr="00264D5D">
              <w:t>Формат элемента</w:t>
            </w:r>
          </w:p>
        </w:tc>
        <w:tc>
          <w:tcPr>
            <w:tcW w:w="567" w:type="dxa"/>
          </w:tcPr>
          <w:p w14:paraId="06EC0E71" w14:textId="77777777" w:rsidR="00AD1F54" w:rsidRPr="00264D5D" w:rsidRDefault="00941227">
            <w:pPr>
              <w:pStyle w:val="ASFKTableHead"/>
            </w:pPr>
            <w:r w:rsidRPr="00264D5D">
              <w:t>Обязательность</w:t>
            </w:r>
          </w:p>
        </w:tc>
        <w:tc>
          <w:tcPr>
            <w:tcW w:w="3963" w:type="dxa"/>
          </w:tcPr>
          <w:p w14:paraId="28F2C438" w14:textId="77777777" w:rsidR="00AD1F54" w:rsidRPr="00264D5D" w:rsidRDefault="00941227">
            <w:pPr>
              <w:pStyle w:val="ASFKTableHead"/>
            </w:pPr>
            <w:r w:rsidRPr="00264D5D">
              <w:t>Дополнительная информация</w:t>
            </w:r>
          </w:p>
        </w:tc>
      </w:tr>
      <w:tr w:rsidR="00AD1F54" w:rsidRPr="00264D5D" w14:paraId="52EDC1C9"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144A0D1" w14:textId="77777777" w:rsidR="00AD1F54" w:rsidRPr="00264D5D" w:rsidRDefault="00941227">
            <w:pPr>
              <w:pStyle w:val="GOSTTablenorm"/>
            </w:pPr>
            <w:r w:rsidRPr="00264D5D">
              <w:t>Наименование документа, удостоверяющего личность</w:t>
            </w:r>
          </w:p>
        </w:tc>
        <w:tc>
          <w:tcPr>
            <w:tcW w:w="1701" w:type="dxa"/>
          </w:tcPr>
          <w:p w14:paraId="30DA2DDF" w14:textId="77777777" w:rsidR="00AD1F54" w:rsidRPr="00264D5D" w:rsidRDefault="00941227">
            <w:pPr>
              <w:pStyle w:val="GOSTTablenorm"/>
            </w:pPr>
            <w:r w:rsidRPr="00264D5D">
              <w:t>IDDcNm</w:t>
            </w:r>
          </w:p>
        </w:tc>
        <w:tc>
          <w:tcPr>
            <w:tcW w:w="567" w:type="dxa"/>
          </w:tcPr>
          <w:p w14:paraId="3D1E837A" w14:textId="77777777" w:rsidR="00AD1F54" w:rsidRPr="00264D5D" w:rsidRDefault="00941227">
            <w:pPr>
              <w:pStyle w:val="GOSTTablenorm"/>
              <w:jc w:val="center"/>
            </w:pPr>
            <w:r w:rsidRPr="00264D5D">
              <w:t>П</w:t>
            </w:r>
          </w:p>
        </w:tc>
        <w:tc>
          <w:tcPr>
            <w:tcW w:w="1134" w:type="dxa"/>
          </w:tcPr>
          <w:p w14:paraId="56A6B364" w14:textId="77777777" w:rsidR="00AD1F54" w:rsidRPr="00264D5D" w:rsidRDefault="00941227">
            <w:pPr>
              <w:pStyle w:val="GOSTTablenorm"/>
            </w:pPr>
            <w:r w:rsidRPr="00264D5D">
              <w:rPr>
                <w:lang w:val="en-US"/>
              </w:rPr>
              <w:t>Т(</w:t>
            </w:r>
            <w:r w:rsidRPr="00264D5D">
              <w:t>1</w:t>
            </w:r>
            <w:r w:rsidRPr="00264D5D">
              <w:rPr>
                <w:lang w:val="en-US"/>
              </w:rPr>
              <w:t>-255)</w:t>
            </w:r>
          </w:p>
        </w:tc>
        <w:tc>
          <w:tcPr>
            <w:tcW w:w="567" w:type="dxa"/>
          </w:tcPr>
          <w:p w14:paraId="543CD586" w14:textId="77777777" w:rsidR="00AD1F54" w:rsidRPr="00264D5D" w:rsidRDefault="00941227">
            <w:pPr>
              <w:pStyle w:val="GOSTTablenorm"/>
              <w:jc w:val="center"/>
            </w:pPr>
            <w:r w:rsidRPr="00264D5D">
              <w:t>О</w:t>
            </w:r>
          </w:p>
        </w:tc>
        <w:tc>
          <w:tcPr>
            <w:tcW w:w="3963" w:type="dxa"/>
          </w:tcPr>
          <w:p w14:paraId="3CD8597C" w14:textId="77777777" w:rsidR="00AD1F54" w:rsidRPr="00264D5D" w:rsidRDefault="00941227">
            <w:pPr>
              <w:pStyle w:val="GOSTTablenorm"/>
            </w:pPr>
            <w:r w:rsidRPr="00264D5D">
              <w:t>Наименование доку</w:t>
            </w:r>
            <w:r w:rsidR="00B06B9A" w:rsidRPr="00264D5D">
              <w:t>мента, удостоверяющего личность</w:t>
            </w:r>
          </w:p>
        </w:tc>
      </w:tr>
      <w:tr w:rsidR="00AD1F54" w:rsidRPr="00264D5D" w14:paraId="5C213E7C"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063030C3" w14:textId="77777777" w:rsidR="00AD1F54" w:rsidRPr="00264D5D" w:rsidRDefault="00941227">
            <w:pPr>
              <w:pStyle w:val="GOSTTablenorm"/>
            </w:pPr>
            <w:r w:rsidRPr="00264D5D">
              <w:t>Номер документа, удостоверяющего личность</w:t>
            </w:r>
          </w:p>
        </w:tc>
        <w:tc>
          <w:tcPr>
            <w:tcW w:w="1701" w:type="dxa"/>
          </w:tcPr>
          <w:p w14:paraId="01CB5C2B" w14:textId="77777777" w:rsidR="00AD1F54" w:rsidRPr="00264D5D" w:rsidRDefault="00941227">
            <w:pPr>
              <w:pStyle w:val="GOSTTablenorm"/>
            </w:pPr>
            <w:r w:rsidRPr="00264D5D">
              <w:t>IDDcNmbr</w:t>
            </w:r>
          </w:p>
        </w:tc>
        <w:tc>
          <w:tcPr>
            <w:tcW w:w="567" w:type="dxa"/>
          </w:tcPr>
          <w:p w14:paraId="719BA15B" w14:textId="77777777" w:rsidR="00AD1F54" w:rsidRPr="00264D5D" w:rsidRDefault="00941227">
            <w:pPr>
              <w:pStyle w:val="GOSTTablenorm"/>
              <w:jc w:val="center"/>
            </w:pPr>
            <w:r w:rsidRPr="00264D5D">
              <w:t>П</w:t>
            </w:r>
          </w:p>
        </w:tc>
        <w:tc>
          <w:tcPr>
            <w:tcW w:w="1134" w:type="dxa"/>
          </w:tcPr>
          <w:p w14:paraId="7A8A01B0" w14:textId="77777777" w:rsidR="00AD1F54" w:rsidRPr="00264D5D" w:rsidRDefault="00941227">
            <w:pPr>
              <w:pStyle w:val="GOSTTablenorm"/>
              <w:rPr>
                <w:lang w:val="en-US"/>
              </w:rPr>
            </w:pPr>
            <w:r w:rsidRPr="00264D5D">
              <w:rPr>
                <w:lang w:val="en-US"/>
              </w:rPr>
              <w:t>Т(</w:t>
            </w:r>
            <w:r w:rsidRPr="00264D5D">
              <w:t>1</w:t>
            </w:r>
            <w:r w:rsidRPr="00264D5D">
              <w:rPr>
                <w:lang w:val="en-US"/>
              </w:rPr>
              <w:t>-20)</w:t>
            </w:r>
          </w:p>
        </w:tc>
        <w:tc>
          <w:tcPr>
            <w:tcW w:w="567" w:type="dxa"/>
          </w:tcPr>
          <w:p w14:paraId="1B6FC7C8" w14:textId="77777777" w:rsidR="00AD1F54" w:rsidRPr="00264D5D" w:rsidRDefault="00941227">
            <w:pPr>
              <w:pStyle w:val="GOSTTablenorm"/>
              <w:jc w:val="center"/>
            </w:pPr>
            <w:r w:rsidRPr="00264D5D">
              <w:t>О</w:t>
            </w:r>
          </w:p>
        </w:tc>
        <w:tc>
          <w:tcPr>
            <w:tcW w:w="3963" w:type="dxa"/>
          </w:tcPr>
          <w:p w14:paraId="2A500D76" w14:textId="77777777" w:rsidR="00AD1F54" w:rsidRPr="00264D5D" w:rsidRDefault="00941227">
            <w:pPr>
              <w:pStyle w:val="GOSTTablenorm"/>
            </w:pPr>
            <w:r w:rsidRPr="00264D5D">
              <w:t>Номер доку</w:t>
            </w:r>
            <w:r w:rsidR="00B06B9A" w:rsidRPr="00264D5D">
              <w:t>мента, удостоверяющего личность</w:t>
            </w:r>
          </w:p>
        </w:tc>
      </w:tr>
      <w:tr w:rsidR="00AD1F54" w:rsidRPr="00264D5D" w14:paraId="5C538ECF"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266F3FE" w14:textId="77777777" w:rsidR="00AD1F54" w:rsidRPr="00264D5D" w:rsidRDefault="00941227">
            <w:pPr>
              <w:pStyle w:val="GOSTTablenorm"/>
            </w:pPr>
            <w:r w:rsidRPr="00264D5D">
              <w:t>Кем выдан документ, удостоверяющий личность</w:t>
            </w:r>
          </w:p>
        </w:tc>
        <w:tc>
          <w:tcPr>
            <w:tcW w:w="1701" w:type="dxa"/>
          </w:tcPr>
          <w:p w14:paraId="42AAFBB0" w14:textId="77777777" w:rsidR="00AD1F54" w:rsidRPr="00264D5D" w:rsidRDefault="00941227">
            <w:pPr>
              <w:pStyle w:val="GOSTTablenorm"/>
            </w:pPr>
            <w:r w:rsidRPr="00264D5D">
              <w:t>FullNm</w:t>
            </w:r>
          </w:p>
        </w:tc>
        <w:tc>
          <w:tcPr>
            <w:tcW w:w="567" w:type="dxa"/>
          </w:tcPr>
          <w:p w14:paraId="3486736B" w14:textId="77777777" w:rsidR="00AD1F54" w:rsidRPr="00264D5D" w:rsidRDefault="00941227">
            <w:pPr>
              <w:pStyle w:val="GOSTTablenorm"/>
              <w:jc w:val="center"/>
            </w:pPr>
            <w:r w:rsidRPr="00264D5D">
              <w:t>П</w:t>
            </w:r>
          </w:p>
        </w:tc>
        <w:tc>
          <w:tcPr>
            <w:tcW w:w="1134" w:type="dxa"/>
          </w:tcPr>
          <w:p w14:paraId="2506B09B" w14:textId="77777777" w:rsidR="00AD1F54" w:rsidRPr="00264D5D" w:rsidRDefault="00941227">
            <w:pPr>
              <w:pStyle w:val="GOSTTablenorm"/>
              <w:rPr>
                <w:lang w:val="en-US"/>
              </w:rPr>
            </w:pPr>
            <w:r w:rsidRPr="00264D5D">
              <w:rPr>
                <w:lang w:val="en-US"/>
              </w:rPr>
              <w:t>Т(</w:t>
            </w:r>
            <w:r w:rsidRPr="00264D5D">
              <w:t>1</w:t>
            </w:r>
            <w:r w:rsidRPr="00264D5D">
              <w:rPr>
                <w:lang w:val="en-US"/>
              </w:rPr>
              <w:t>-2000)</w:t>
            </w:r>
          </w:p>
        </w:tc>
        <w:tc>
          <w:tcPr>
            <w:tcW w:w="567" w:type="dxa"/>
          </w:tcPr>
          <w:p w14:paraId="0CB1F0E5" w14:textId="77777777" w:rsidR="00AD1F54" w:rsidRPr="00264D5D" w:rsidRDefault="00941227">
            <w:pPr>
              <w:pStyle w:val="GOSTTablenorm"/>
              <w:jc w:val="center"/>
            </w:pPr>
            <w:r w:rsidRPr="00264D5D">
              <w:t>О</w:t>
            </w:r>
          </w:p>
        </w:tc>
        <w:tc>
          <w:tcPr>
            <w:tcW w:w="3963" w:type="dxa"/>
          </w:tcPr>
          <w:p w14:paraId="217338B7" w14:textId="77777777" w:rsidR="00AD1F54" w:rsidRPr="00264D5D" w:rsidRDefault="00941227">
            <w:pPr>
              <w:pStyle w:val="GOSTTablenorm"/>
            </w:pPr>
            <w:r w:rsidRPr="00264D5D">
              <w:t>Кем выдан документ, удостоверяющий ли</w:t>
            </w:r>
            <w:r w:rsidR="00B06B9A" w:rsidRPr="00264D5D">
              <w:t>чность</w:t>
            </w:r>
          </w:p>
        </w:tc>
      </w:tr>
      <w:tr w:rsidR="00AD1F54" w:rsidRPr="00264D5D" w14:paraId="53FD84EB"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0C9A7C3C" w14:textId="77777777" w:rsidR="00AD1F54" w:rsidRPr="00264D5D" w:rsidRDefault="00941227">
            <w:pPr>
              <w:pStyle w:val="GOSTTablenorm"/>
            </w:pPr>
            <w:r w:rsidRPr="00264D5D">
              <w:t>Когда выдан документ, удостоверяющий личность</w:t>
            </w:r>
          </w:p>
        </w:tc>
        <w:tc>
          <w:tcPr>
            <w:tcW w:w="1701" w:type="dxa"/>
          </w:tcPr>
          <w:p w14:paraId="1D9CC5E4" w14:textId="77777777" w:rsidR="00AD1F54" w:rsidRPr="00264D5D" w:rsidRDefault="00941227">
            <w:pPr>
              <w:pStyle w:val="GOSTTablenorm"/>
            </w:pPr>
            <w:r w:rsidRPr="00264D5D">
              <w:t>DctDt</w:t>
            </w:r>
          </w:p>
        </w:tc>
        <w:tc>
          <w:tcPr>
            <w:tcW w:w="567" w:type="dxa"/>
          </w:tcPr>
          <w:p w14:paraId="2260893B" w14:textId="77777777" w:rsidR="00AD1F54" w:rsidRPr="00264D5D" w:rsidRDefault="00941227">
            <w:pPr>
              <w:pStyle w:val="GOSTTablenorm"/>
              <w:jc w:val="center"/>
            </w:pPr>
            <w:r w:rsidRPr="00264D5D">
              <w:t>П</w:t>
            </w:r>
          </w:p>
        </w:tc>
        <w:tc>
          <w:tcPr>
            <w:tcW w:w="1134" w:type="dxa"/>
          </w:tcPr>
          <w:p w14:paraId="6C7D6842" w14:textId="77777777" w:rsidR="00AD1F54" w:rsidRPr="00264D5D" w:rsidRDefault="00941227">
            <w:pPr>
              <w:pStyle w:val="GOSTTablenorm"/>
            </w:pPr>
            <w:r w:rsidRPr="00264D5D">
              <w:rPr>
                <w:lang w:val="en-US"/>
              </w:rPr>
              <w:t>Date</w:t>
            </w:r>
          </w:p>
        </w:tc>
        <w:tc>
          <w:tcPr>
            <w:tcW w:w="567" w:type="dxa"/>
          </w:tcPr>
          <w:p w14:paraId="2215A54A" w14:textId="77777777" w:rsidR="00AD1F54" w:rsidRPr="00264D5D" w:rsidRDefault="00941227">
            <w:pPr>
              <w:pStyle w:val="GOSTTablenorm"/>
              <w:jc w:val="center"/>
            </w:pPr>
            <w:r w:rsidRPr="00264D5D">
              <w:t>О</w:t>
            </w:r>
          </w:p>
        </w:tc>
        <w:tc>
          <w:tcPr>
            <w:tcW w:w="3963" w:type="dxa"/>
          </w:tcPr>
          <w:p w14:paraId="3372BE5B" w14:textId="77777777" w:rsidR="00AD1F54" w:rsidRPr="00264D5D" w:rsidRDefault="00941227">
            <w:pPr>
              <w:pStyle w:val="GOSTTablenorm"/>
            </w:pPr>
            <w:r w:rsidRPr="00264D5D">
              <w:t>Когда выдан до</w:t>
            </w:r>
            <w:r w:rsidR="00B06B9A" w:rsidRPr="00264D5D">
              <w:t>кумент, удостоверяющий личность</w:t>
            </w:r>
          </w:p>
        </w:tc>
      </w:tr>
    </w:tbl>
    <w:p w14:paraId="3FE11FBC" w14:textId="77777777" w:rsidR="00AD1F54" w:rsidRPr="00264D5D" w:rsidRDefault="00941227">
      <w:pPr>
        <w:pStyle w:val="31"/>
      </w:pPr>
      <w:bookmarkStart w:id="3130" w:name="_Toc501726969"/>
      <w:bookmarkStart w:id="3131" w:name="_Toc508712746"/>
      <w:bookmarkStart w:id="3132" w:name="_Toc18509208"/>
      <w:r w:rsidRPr="00264D5D">
        <w:t xml:space="preserve"> </w:t>
      </w:r>
      <w:bookmarkStart w:id="3133" w:name="_Toc219309766"/>
      <w:r w:rsidRPr="00264D5D">
        <w:t>Описание комплексного типа «tMSC_MrkOrFK1»</w:t>
      </w:r>
      <w:bookmarkEnd w:id="3130"/>
      <w:bookmarkEnd w:id="3131"/>
      <w:bookmarkEnd w:id="3132"/>
      <w:bookmarkEnd w:id="3133"/>
    </w:p>
    <w:p w14:paraId="3A8B4C82" w14:textId="77777777" w:rsidR="00AD1F54" w:rsidRPr="00264D5D" w:rsidRDefault="00941227">
      <w:pPr>
        <w:pStyle w:val="GOSTNormal"/>
      </w:pPr>
      <w:r w:rsidRPr="00264D5D">
        <w:t>Описание комплексного типа</w:t>
      </w:r>
      <w:r w:rsidRPr="00264D5D">
        <w:rPr>
          <w:b/>
          <w:iCs/>
        </w:rPr>
        <w:t xml:space="preserve"> «</w:t>
      </w:r>
      <w:r w:rsidRPr="00264D5D">
        <w:t>tMSC_MrkOrFK1» блока «Отметка ТОФК».</w:t>
      </w:r>
    </w:p>
    <w:p w14:paraId="0D02EF92" w14:textId="71613163" w:rsidR="00AD1F54" w:rsidRPr="00264D5D" w:rsidRDefault="001E5517">
      <w:pPr>
        <w:pStyle w:val="GOSTNameTable"/>
        <w:numPr>
          <w:ilvl w:val="0"/>
          <w:numId w:val="2"/>
        </w:numPr>
        <w:ind w:left="425" w:hanging="357"/>
      </w:pPr>
      <w:r w:rsidRPr="00264D5D">
        <w:rPr>
          <w:noProof/>
        </w:rPr>
        <w:fldChar w:fldCharType="begin"/>
      </w:r>
      <w:r w:rsidRPr="00264D5D">
        <w:rPr>
          <w:noProof/>
        </w:rPr>
        <w:instrText xml:space="preserve"> SEQ Таблица \* ARABIC </w:instrText>
      </w:r>
      <w:r w:rsidRPr="00264D5D">
        <w:rPr>
          <w:noProof/>
        </w:rPr>
        <w:fldChar w:fldCharType="separate"/>
      </w:r>
      <w:bookmarkStart w:id="3134" w:name="_Ref503551874"/>
      <w:bookmarkStart w:id="3135" w:name="_Toc18509497"/>
      <w:bookmarkStart w:id="3136" w:name="_Toc219309320"/>
      <w:r w:rsidR="008D797C">
        <w:rPr>
          <w:noProof/>
        </w:rPr>
        <w:t>290</w:t>
      </w:r>
      <w:bookmarkEnd w:id="3134"/>
      <w:r w:rsidRPr="00264D5D">
        <w:rPr>
          <w:noProof/>
        </w:rPr>
        <w:fldChar w:fldCharType="end"/>
      </w:r>
      <w:r w:rsidR="00941227" w:rsidRPr="00264D5D">
        <w:rPr>
          <w:rFonts w:eastAsia="Calibri"/>
          <w:szCs w:val="24"/>
        </w:rPr>
        <w:t xml:space="preserve"> – </w:t>
      </w:r>
      <w:r w:rsidR="00941227" w:rsidRPr="00264D5D">
        <w:t>Описание комплексного типа «tMSC_MrkOrFK1»</w:t>
      </w:r>
      <w:bookmarkEnd w:id="3135"/>
      <w:bookmarkEnd w:id="3136"/>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37D8B057"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44AD6D6F" w14:textId="77777777" w:rsidR="00AD1F54" w:rsidRPr="00264D5D" w:rsidRDefault="00941227">
            <w:pPr>
              <w:pStyle w:val="ASFKTableHead"/>
            </w:pPr>
            <w:r w:rsidRPr="00264D5D">
              <w:t>Наименование элемента</w:t>
            </w:r>
          </w:p>
        </w:tc>
        <w:tc>
          <w:tcPr>
            <w:tcW w:w="1701" w:type="dxa"/>
          </w:tcPr>
          <w:p w14:paraId="4C4C1A68" w14:textId="77777777" w:rsidR="00AD1F54" w:rsidRPr="00264D5D" w:rsidRDefault="00941227">
            <w:pPr>
              <w:pStyle w:val="ASFKTableHead"/>
            </w:pPr>
            <w:r w:rsidRPr="00264D5D">
              <w:t>Сокращенное наименование (код) элемента</w:t>
            </w:r>
          </w:p>
        </w:tc>
        <w:tc>
          <w:tcPr>
            <w:tcW w:w="567" w:type="dxa"/>
          </w:tcPr>
          <w:p w14:paraId="1E9DF4E1" w14:textId="77777777" w:rsidR="00AD1F54" w:rsidRPr="00264D5D" w:rsidRDefault="00941227">
            <w:pPr>
              <w:pStyle w:val="ASFKTableHead"/>
            </w:pPr>
            <w:r w:rsidRPr="00264D5D">
              <w:t>Тип</w:t>
            </w:r>
          </w:p>
        </w:tc>
        <w:tc>
          <w:tcPr>
            <w:tcW w:w="1134" w:type="dxa"/>
          </w:tcPr>
          <w:p w14:paraId="2CC82133" w14:textId="77777777" w:rsidR="00AD1F54" w:rsidRPr="00264D5D" w:rsidRDefault="00941227">
            <w:pPr>
              <w:pStyle w:val="ASFKTableHead"/>
            </w:pPr>
            <w:r w:rsidRPr="00264D5D">
              <w:t>Формат элемента</w:t>
            </w:r>
          </w:p>
        </w:tc>
        <w:tc>
          <w:tcPr>
            <w:tcW w:w="567" w:type="dxa"/>
          </w:tcPr>
          <w:p w14:paraId="14AE639E" w14:textId="77777777" w:rsidR="00AD1F54" w:rsidRPr="00264D5D" w:rsidRDefault="00941227">
            <w:pPr>
              <w:pStyle w:val="ASFKTableHead"/>
            </w:pPr>
            <w:r w:rsidRPr="00264D5D">
              <w:t>Обязательность</w:t>
            </w:r>
          </w:p>
        </w:tc>
        <w:tc>
          <w:tcPr>
            <w:tcW w:w="3963" w:type="dxa"/>
          </w:tcPr>
          <w:p w14:paraId="01305FD2" w14:textId="77777777" w:rsidR="00AD1F54" w:rsidRPr="00264D5D" w:rsidRDefault="00941227">
            <w:pPr>
              <w:pStyle w:val="ASFKTableHead"/>
            </w:pPr>
            <w:r w:rsidRPr="00264D5D">
              <w:t>Дополнительная информация</w:t>
            </w:r>
          </w:p>
        </w:tc>
      </w:tr>
      <w:tr w:rsidR="00AD1F54" w:rsidRPr="00264D5D" w14:paraId="06AA8BB5"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EF1C42A" w14:textId="77777777" w:rsidR="00AD1F54" w:rsidRPr="00264D5D" w:rsidRDefault="00941227">
            <w:pPr>
              <w:pStyle w:val="GOSTTablenorm"/>
            </w:pPr>
            <w:r w:rsidRPr="00264D5D">
              <w:t>Номер заявки</w:t>
            </w:r>
          </w:p>
        </w:tc>
        <w:tc>
          <w:tcPr>
            <w:tcW w:w="1701" w:type="dxa"/>
          </w:tcPr>
          <w:p w14:paraId="6BFF33EE" w14:textId="77777777" w:rsidR="00AD1F54" w:rsidRPr="00264D5D" w:rsidRDefault="00941227">
            <w:pPr>
              <w:pStyle w:val="GOSTTablenorm"/>
            </w:pPr>
            <w:r w:rsidRPr="00264D5D">
              <w:t>RqstNm</w:t>
            </w:r>
          </w:p>
        </w:tc>
        <w:tc>
          <w:tcPr>
            <w:tcW w:w="567" w:type="dxa"/>
          </w:tcPr>
          <w:p w14:paraId="387825E6" w14:textId="77777777" w:rsidR="00AD1F54" w:rsidRPr="00264D5D" w:rsidRDefault="00941227">
            <w:pPr>
              <w:pStyle w:val="GOSTTablenorm"/>
              <w:jc w:val="center"/>
            </w:pPr>
            <w:r w:rsidRPr="00264D5D">
              <w:t>П</w:t>
            </w:r>
          </w:p>
        </w:tc>
        <w:tc>
          <w:tcPr>
            <w:tcW w:w="1134" w:type="dxa"/>
          </w:tcPr>
          <w:p w14:paraId="7452CCE1" w14:textId="77777777" w:rsidR="00AD1F54" w:rsidRPr="00264D5D" w:rsidRDefault="00941227">
            <w:pPr>
              <w:pStyle w:val="GOSTTablenorm"/>
            </w:pPr>
            <w:r w:rsidRPr="00264D5D">
              <w:t>Т(1-15)</w:t>
            </w:r>
          </w:p>
        </w:tc>
        <w:tc>
          <w:tcPr>
            <w:tcW w:w="567" w:type="dxa"/>
          </w:tcPr>
          <w:p w14:paraId="278ADC42" w14:textId="77777777" w:rsidR="00AD1F54" w:rsidRPr="00264D5D" w:rsidRDefault="00941227">
            <w:pPr>
              <w:pStyle w:val="GOSTTablenorm"/>
              <w:jc w:val="center"/>
            </w:pPr>
            <w:r w:rsidRPr="00264D5D">
              <w:t>Н</w:t>
            </w:r>
          </w:p>
        </w:tc>
        <w:tc>
          <w:tcPr>
            <w:tcW w:w="3963" w:type="dxa"/>
          </w:tcPr>
          <w:p w14:paraId="1530A805" w14:textId="77777777" w:rsidR="00AD1F54" w:rsidRPr="00264D5D" w:rsidRDefault="00B06B9A">
            <w:pPr>
              <w:pStyle w:val="GOSTTablenorm"/>
            </w:pPr>
            <w:r w:rsidRPr="00264D5D">
              <w:t>Номер Заявки, присвоенный ТОФК</w:t>
            </w:r>
          </w:p>
        </w:tc>
      </w:tr>
      <w:tr w:rsidR="00AD1F54" w:rsidRPr="00264D5D" w14:paraId="60E43D97" w14:textId="77777777" w:rsidTr="00AD1F54">
        <w:trPr>
          <w:cnfStyle w:val="000000010000" w:firstRow="0" w:lastRow="0" w:firstColumn="0" w:lastColumn="0" w:oddVBand="0" w:evenVBand="0" w:oddHBand="0" w:evenHBand="1" w:firstRowFirstColumn="0" w:firstRowLastColumn="0" w:lastRowFirstColumn="0" w:lastRowLastColumn="0"/>
          <w:trHeight w:val="675"/>
        </w:trPr>
        <w:tc>
          <w:tcPr>
            <w:tcW w:w="1701" w:type="dxa"/>
          </w:tcPr>
          <w:p w14:paraId="57BE4198" w14:textId="77777777" w:rsidR="00AD1F54" w:rsidRPr="00264D5D" w:rsidRDefault="00941227">
            <w:pPr>
              <w:pStyle w:val="GOSTTablenorm"/>
            </w:pPr>
            <w:r w:rsidRPr="00264D5D">
              <w:t>Дата регистрации</w:t>
            </w:r>
          </w:p>
        </w:tc>
        <w:tc>
          <w:tcPr>
            <w:tcW w:w="1701" w:type="dxa"/>
          </w:tcPr>
          <w:p w14:paraId="38E74FD1" w14:textId="77777777" w:rsidR="00AD1F54" w:rsidRPr="00264D5D" w:rsidRDefault="00941227">
            <w:pPr>
              <w:pStyle w:val="GOSTTablenorm"/>
            </w:pPr>
            <w:r w:rsidRPr="00264D5D">
              <w:t>RgsDt</w:t>
            </w:r>
          </w:p>
        </w:tc>
        <w:tc>
          <w:tcPr>
            <w:tcW w:w="567" w:type="dxa"/>
          </w:tcPr>
          <w:p w14:paraId="1CEDD879" w14:textId="77777777" w:rsidR="00AD1F54" w:rsidRPr="00264D5D" w:rsidRDefault="00941227">
            <w:pPr>
              <w:pStyle w:val="GOSTTablenorm"/>
              <w:jc w:val="center"/>
            </w:pPr>
            <w:r w:rsidRPr="00264D5D">
              <w:t>П</w:t>
            </w:r>
          </w:p>
        </w:tc>
        <w:tc>
          <w:tcPr>
            <w:tcW w:w="1134" w:type="dxa"/>
          </w:tcPr>
          <w:p w14:paraId="6B9661BC" w14:textId="77777777" w:rsidR="00AD1F54" w:rsidRPr="00264D5D" w:rsidRDefault="00941227">
            <w:pPr>
              <w:pStyle w:val="GOSTTablenorm"/>
            </w:pPr>
            <w:r w:rsidRPr="00264D5D">
              <w:rPr>
                <w:lang w:val="en-US"/>
              </w:rPr>
              <w:t>Date</w:t>
            </w:r>
          </w:p>
        </w:tc>
        <w:tc>
          <w:tcPr>
            <w:tcW w:w="567" w:type="dxa"/>
          </w:tcPr>
          <w:p w14:paraId="033069F4" w14:textId="77777777" w:rsidR="00AD1F54" w:rsidRPr="00264D5D" w:rsidRDefault="00941227">
            <w:pPr>
              <w:pStyle w:val="GOSTTablenorm"/>
              <w:jc w:val="center"/>
            </w:pPr>
            <w:r w:rsidRPr="00264D5D">
              <w:t>Н</w:t>
            </w:r>
          </w:p>
        </w:tc>
        <w:tc>
          <w:tcPr>
            <w:tcW w:w="3963" w:type="dxa"/>
          </w:tcPr>
          <w:p w14:paraId="735D6478" w14:textId="77777777" w:rsidR="00AD1F54" w:rsidRPr="00264D5D" w:rsidRDefault="00B06B9A">
            <w:pPr>
              <w:pStyle w:val="GOSTTablenorm"/>
            </w:pPr>
            <w:r w:rsidRPr="00264D5D">
              <w:t>Дата регистрации Заявки в ТОФК</w:t>
            </w:r>
          </w:p>
        </w:tc>
      </w:tr>
      <w:tr w:rsidR="00AD1F54" w:rsidRPr="00264D5D" w14:paraId="2860B867"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F1BAD49" w14:textId="77777777" w:rsidR="00AD1F54" w:rsidRPr="00264D5D" w:rsidRDefault="00941227">
            <w:pPr>
              <w:pStyle w:val="GOSTTablenorm"/>
            </w:pPr>
            <w:r w:rsidRPr="00264D5D">
              <w:t>Должность ответственного исполнителя</w:t>
            </w:r>
          </w:p>
        </w:tc>
        <w:tc>
          <w:tcPr>
            <w:tcW w:w="1701" w:type="dxa"/>
          </w:tcPr>
          <w:p w14:paraId="53D3A4C8" w14:textId="77777777" w:rsidR="00AD1F54" w:rsidRPr="00264D5D" w:rsidRDefault="00941227">
            <w:pPr>
              <w:pStyle w:val="GOSTTablenorm"/>
            </w:pPr>
            <w:r w:rsidRPr="00264D5D">
              <w:t>Pstn</w:t>
            </w:r>
          </w:p>
        </w:tc>
        <w:tc>
          <w:tcPr>
            <w:tcW w:w="567" w:type="dxa"/>
          </w:tcPr>
          <w:p w14:paraId="79656FA2" w14:textId="77777777" w:rsidR="00AD1F54" w:rsidRPr="00264D5D" w:rsidRDefault="00941227">
            <w:pPr>
              <w:pStyle w:val="GOSTTablenorm"/>
              <w:jc w:val="center"/>
            </w:pPr>
            <w:r w:rsidRPr="00264D5D">
              <w:t>П</w:t>
            </w:r>
          </w:p>
        </w:tc>
        <w:tc>
          <w:tcPr>
            <w:tcW w:w="1134" w:type="dxa"/>
          </w:tcPr>
          <w:p w14:paraId="43789808" w14:textId="77777777" w:rsidR="00AD1F54" w:rsidRPr="00264D5D" w:rsidRDefault="00941227">
            <w:pPr>
              <w:pStyle w:val="GOSTTablenorm"/>
            </w:pPr>
            <w:r w:rsidRPr="00264D5D">
              <w:t>Т(1-100)</w:t>
            </w:r>
          </w:p>
        </w:tc>
        <w:tc>
          <w:tcPr>
            <w:tcW w:w="567" w:type="dxa"/>
          </w:tcPr>
          <w:p w14:paraId="046D4041" w14:textId="77777777" w:rsidR="00AD1F54" w:rsidRPr="00264D5D" w:rsidRDefault="00941227">
            <w:pPr>
              <w:pStyle w:val="GOSTTablenorm"/>
              <w:jc w:val="center"/>
            </w:pPr>
            <w:r w:rsidRPr="00264D5D">
              <w:t>Н</w:t>
            </w:r>
          </w:p>
        </w:tc>
        <w:tc>
          <w:tcPr>
            <w:tcW w:w="3963" w:type="dxa"/>
          </w:tcPr>
          <w:p w14:paraId="6E46ACD1" w14:textId="77777777" w:rsidR="00AD1F54" w:rsidRPr="00264D5D" w:rsidRDefault="00941227">
            <w:pPr>
              <w:pStyle w:val="GOSTTablenorm"/>
            </w:pPr>
            <w:r w:rsidRPr="00264D5D">
              <w:t>Должность работника ТОФК, ответ</w:t>
            </w:r>
            <w:r w:rsidR="00B06B9A" w:rsidRPr="00264D5D">
              <w:t>ственного за регистрацию Заявки</w:t>
            </w:r>
          </w:p>
        </w:tc>
      </w:tr>
      <w:tr w:rsidR="00AD1F54" w:rsidRPr="00264D5D" w14:paraId="56530170"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218EFF3E" w14:textId="77777777" w:rsidR="00AD1F54" w:rsidRPr="00264D5D" w:rsidRDefault="00941227">
            <w:pPr>
              <w:pStyle w:val="GOSTTablenorm"/>
            </w:pPr>
            <w:r w:rsidRPr="00264D5D">
              <w:t>ФИО ответственного исполнителя</w:t>
            </w:r>
          </w:p>
        </w:tc>
        <w:tc>
          <w:tcPr>
            <w:tcW w:w="1701" w:type="dxa"/>
          </w:tcPr>
          <w:p w14:paraId="05E2AD5E" w14:textId="77777777" w:rsidR="00AD1F54" w:rsidRPr="00264D5D" w:rsidRDefault="00941227">
            <w:pPr>
              <w:pStyle w:val="GOSTTablenorm"/>
            </w:pPr>
            <w:r w:rsidRPr="00264D5D">
              <w:t>FllNm</w:t>
            </w:r>
          </w:p>
        </w:tc>
        <w:tc>
          <w:tcPr>
            <w:tcW w:w="567" w:type="dxa"/>
          </w:tcPr>
          <w:p w14:paraId="64219955" w14:textId="77777777" w:rsidR="00AD1F54" w:rsidRPr="00264D5D" w:rsidRDefault="00941227">
            <w:pPr>
              <w:pStyle w:val="GOSTTablenorm"/>
              <w:jc w:val="center"/>
            </w:pPr>
            <w:r w:rsidRPr="00264D5D">
              <w:t>П</w:t>
            </w:r>
          </w:p>
        </w:tc>
        <w:tc>
          <w:tcPr>
            <w:tcW w:w="1134" w:type="dxa"/>
          </w:tcPr>
          <w:p w14:paraId="780435D5" w14:textId="77777777" w:rsidR="00AD1F54" w:rsidRPr="00264D5D" w:rsidRDefault="00941227">
            <w:pPr>
              <w:pStyle w:val="GOSTTablenorm"/>
            </w:pPr>
            <w:r w:rsidRPr="00264D5D">
              <w:t>Т(1-50)</w:t>
            </w:r>
          </w:p>
        </w:tc>
        <w:tc>
          <w:tcPr>
            <w:tcW w:w="567" w:type="dxa"/>
          </w:tcPr>
          <w:p w14:paraId="5492120E" w14:textId="77777777" w:rsidR="00AD1F54" w:rsidRPr="00264D5D" w:rsidRDefault="00941227">
            <w:pPr>
              <w:pStyle w:val="GOSTTablenorm"/>
              <w:jc w:val="center"/>
            </w:pPr>
            <w:r w:rsidRPr="00264D5D">
              <w:t>Н</w:t>
            </w:r>
          </w:p>
        </w:tc>
        <w:tc>
          <w:tcPr>
            <w:tcW w:w="3963" w:type="dxa"/>
          </w:tcPr>
          <w:p w14:paraId="02CB8FA9" w14:textId="77777777" w:rsidR="00AD1F54" w:rsidRPr="00264D5D" w:rsidRDefault="00941227">
            <w:pPr>
              <w:pStyle w:val="GOSTTablenorm"/>
            </w:pPr>
            <w:r w:rsidRPr="00264D5D">
              <w:t xml:space="preserve">Расшифровка подписи работника ТОФК, ответственного за регистрацию Заявки, </w:t>
            </w:r>
            <w:r w:rsidR="00B06B9A" w:rsidRPr="00264D5D">
              <w:t>с указанием фамилии и инициалов</w:t>
            </w:r>
          </w:p>
        </w:tc>
      </w:tr>
      <w:tr w:rsidR="00AD1F54" w:rsidRPr="00264D5D" w14:paraId="2031B2F4"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96B04A0" w14:textId="77777777" w:rsidR="00AD1F54" w:rsidRPr="00264D5D" w:rsidRDefault="00941227">
            <w:pPr>
              <w:pStyle w:val="GOSTTablenorm"/>
            </w:pPr>
            <w:r w:rsidRPr="00264D5D">
              <w:t>Телефон ответственного исполнителя</w:t>
            </w:r>
          </w:p>
        </w:tc>
        <w:tc>
          <w:tcPr>
            <w:tcW w:w="1701" w:type="dxa"/>
          </w:tcPr>
          <w:p w14:paraId="299D3DED" w14:textId="77777777" w:rsidR="00AD1F54" w:rsidRPr="00264D5D" w:rsidRDefault="00941227">
            <w:pPr>
              <w:pStyle w:val="GOSTTablenorm"/>
            </w:pPr>
            <w:r w:rsidRPr="00264D5D">
              <w:t>Tlphn</w:t>
            </w:r>
          </w:p>
        </w:tc>
        <w:tc>
          <w:tcPr>
            <w:tcW w:w="567" w:type="dxa"/>
          </w:tcPr>
          <w:p w14:paraId="105D71BC" w14:textId="77777777" w:rsidR="00AD1F54" w:rsidRPr="00264D5D" w:rsidRDefault="00941227">
            <w:pPr>
              <w:pStyle w:val="GOSTTablenorm"/>
              <w:jc w:val="center"/>
            </w:pPr>
            <w:r w:rsidRPr="00264D5D">
              <w:t>П</w:t>
            </w:r>
          </w:p>
        </w:tc>
        <w:tc>
          <w:tcPr>
            <w:tcW w:w="1134" w:type="dxa"/>
          </w:tcPr>
          <w:p w14:paraId="6BE0FB75" w14:textId="77777777" w:rsidR="00AD1F54" w:rsidRPr="00264D5D" w:rsidRDefault="00941227">
            <w:pPr>
              <w:pStyle w:val="GOSTTablenorm"/>
            </w:pPr>
            <w:r w:rsidRPr="00264D5D">
              <w:t>Т(1-50)</w:t>
            </w:r>
          </w:p>
        </w:tc>
        <w:tc>
          <w:tcPr>
            <w:tcW w:w="567" w:type="dxa"/>
          </w:tcPr>
          <w:p w14:paraId="311BA041" w14:textId="77777777" w:rsidR="00AD1F54" w:rsidRPr="00264D5D" w:rsidRDefault="00941227">
            <w:pPr>
              <w:pStyle w:val="GOSTTablenorm"/>
              <w:jc w:val="center"/>
            </w:pPr>
            <w:r w:rsidRPr="00264D5D">
              <w:t>Н</w:t>
            </w:r>
          </w:p>
        </w:tc>
        <w:tc>
          <w:tcPr>
            <w:tcW w:w="3963" w:type="dxa"/>
          </w:tcPr>
          <w:p w14:paraId="0BDFB50F" w14:textId="77777777" w:rsidR="00AD1F54" w:rsidRPr="00264D5D" w:rsidRDefault="00941227">
            <w:pPr>
              <w:pStyle w:val="GOSTTablenorm"/>
            </w:pPr>
            <w:r w:rsidRPr="00264D5D">
              <w:t>Телефон работника ТОФК, ответ</w:t>
            </w:r>
            <w:r w:rsidR="00B06B9A" w:rsidRPr="00264D5D">
              <w:t>ственного за регистрацию Заявки</w:t>
            </w:r>
          </w:p>
        </w:tc>
      </w:tr>
    </w:tbl>
    <w:p w14:paraId="2DAAFE74" w14:textId="77777777" w:rsidR="00AD1F54" w:rsidRPr="00264D5D" w:rsidRDefault="00941227">
      <w:pPr>
        <w:pStyle w:val="31"/>
      </w:pPr>
      <w:bookmarkStart w:id="3137" w:name="_Toc501726970"/>
      <w:bookmarkStart w:id="3138" w:name="_Toc508712747"/>
      <w:bookmarkStart w:id="3139" w:name="_Toc18509209"/>
      <w:r w:rsidRPr="00264D5D">
        <w:lastRenderedPageBreak/>
        <w:t xml:space="preserve"> </w:t>
      </w:r>
      <w:bookmarkStart w:id="3140" w:name="_Toc219309767"/>
      <w:r w:rsidRPr="00264D5D">
        <w:t>Описание комплексного типа «tZSCH1»</w:t>
      </w:r>
      <w:bookmarkEnd w:id="3137"/>
      <w:bookmarkEnd w:id="3138"/>
      <w:bookmarkEnd w:id="3139"/>
      <w:bookmarkEnd w:id="3140"/>
    </w:p>
    <w:p w14:paraId="13F06A61" w14:textId="77777777" w:rsidR="00AD1F54" w:rsidRPr="00264D5D" w:rsidRDefault="00941227">
      <w:pPr>
        <w:pStyle w:val="GOSTNormal"/>
      </w:pPr>
      <w:r w:rsidRPr="00264D5D">
        <w:t>Описание комплексного типа</w:t>
      </w:r>
      <w:r w:rsidRPr="00264D5D">
        <w:rPr>
          <w:b/>
          <w:iCs/>
        </w:rPr>
        <w:t xml:space="preserve"> «</w:t>
      </w:r>
      <w:r w:rsidRPr="00264D5D">
        <w:t>tZSCH1» блока «Реквизиты чека».</w:t>
      </w:r>
    </w:p>
    <w:p w14:paraId="092DD499" w14:textId="725ADEBB" w:rsidR="00AD1F54" w:rsidRPr="00264D5D" w:rsidRDefault="001E5517">
      <w:pPr>
        <w:pStyle w:val="GOSTNameTable"/>
        <w:numPr>
          <w:ilvl w:val="0"/>
          <w:numId w:val="2"/>
        </w:numPr>
        <w:ind w:left="425" w:hanging="357"/>
      </w:pPr>
      <w:r w:rsidRPr="00264D5D">
        <w:rPr>
          <w:noProof/>
        </w:rPr>
        <w:fldChar w:fldCharType="begin"/>
      </w:r>
      <w:r w:rsidRPr="00264D5D">
        <w:rPr>
          <w:noProof/>
        </w:rPr>
        <w:instrText xml:space="preserve"> SEQ Таблица \* ARABIC </w:instrText>
      </w:r>
      <w:r w:rsidRPr="00264D5D">
        <w:rPr>
          <w:noProof/>
        </w:rPr>
        <w:fldChar w:fldCharType="separate"/>
      </w:r>
      <w:bookmarkStart w:id="3141" w:name="_Ref503551886"/>
      <w:bookmarkStart w:id="3142" w:name="_Toc18509498"/>
      <w:bookmarkStart w:id="3143" w:name="_Toc219309321"/>
      <w:r w:rsidR="008D797C">
        <w:rPr>
          <w:noProof/>
        </w:rPr>
        <w:t>291</w:t>
      </w:r>
      <w:bookmarkEnd w:id="3141"/>
      <w:r w:rsidRPr="00264D5D">
        <w:rPr>
          <w:noProof/>
        </w:rPr>
        <w:fldChar w:fldCharType="end"/>
      </w:r>
      <w:r w:rsidR="00941227" w:rsidRPr="00264D5D">
        <w:rPr>
          <w:rFonts w:eastAsia="Calibri"/>
          <w:szCs w:val="24"/>
        </w:rPr>
        <w:t xml:space="preserve"> – </w:t>
      </w:r>
      <w:r w:rsidR="00941227" w:rsidRPr="00264D5D">
        <w:t>Описание комплексного типа «tZSCH1»</w:t>
      </w:r>
      <w:bookmarkEnd w:id="3142"/>
      <w:bookmarkEnd w:id="3143"/>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00F248B6"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3E419E64" w14:textId="77777777" w:rsidR="00AD1F54" w:rsidRPr="00264D5D" w:rsidRDefault="00941227">
            <w:pPr>
              <w:pStyle w:val="ASFKTableHead"/>
            </w:pPr>
            <w:r w:rsidRPr="00264D5D">
              <w:t>Наименование комплексного типа</w:t>
            </w:r>
          </w:p>
        </w:tc>
        <w:tc>
          <w:tcPr>
            <w:tcW w:w="1701" w:type="dxa"/>
          </w:tcPr>
          <w:p w14:paraId="76662DA1" w14:textId="77777777" w:rsidR="00AD1F54" w:rsidRPr="00264D5D" w:rsidRDefault="00941227">
            <w:pPr>
              <w:pStyle w:val="ASFKTableHead"/>
            </w:pPr>
            <w:r w:rsidRPr="00264D5D">
              <w:t>Текущий элемент/ атрибут</w:t>
            </w:r>
          </w:p>
        </w:tc>
        <w:tc>
          <w:tcPr>
            <w:tcW w:w="567" w:type="dxa"/>
          </w:tcPr>
          <w:p w14:paraId="48F16862" w14:textId="77777777" w:rsidR="00AD1F54" w:rsidRPr="00264D5D" w:rsidRDefault="00941227">
            <w:pPr>
              <w:pStyle w:val="ASFKTableHead"/>
            </w:pPr>
            <w:r w:rsidRPr="00264D5D">
              <w:t>Тип</w:t>
            </w:r>
          </w:p>
        </w:tc>
        <w:tc>
          <w:tcPr>
            <w:tcW w:w="1134" w:type="dxa"/>
          </w:tcPr>
          <w:p w14:paraId="703E4AD8" w14:textId="77777777" w:rsidR="00AD1F54" w:rsidRPr="00264D5D" w:rsidRDefault="00941227">
            <w:pPr>
              <w:pStyle w:val="ASFKTableHead"/>
            </w:pPr>
            <w:r w:rsidRPr="00264D5D">
              <w:t>Формат элемента</w:t>
            </w:r>
          </w:p>
        </w:tc>
        <w:tc>
          <w:tcPr>
            <w:tcW w:w="567" w:type="dxa"/>
          </w:tcPr>
          <w:p w14:paraId="20CA391B" w14:textId="77777777" w:rsidR="00AD1F54" w:rsidRPr="00264D5D" w:rsidRDefault="00941227">
            <w:pPr>
              <w:pStyle w:val="ASFKTableHead"/>
            </w:pPr>
            <w:r w:rsidRPr="00264D5D">
              <w:t>Обязательность</w:t>
            </w:r>
          </w:p>
        </w:tc>
        <w:tc>
          <w:tcPr>
            <w:tcW w:w="3963" w:type="dxa"/>
          </w:tcPr>
          <w:p w14:paraId="08FD855F" w14:textId="77777777" w:rsidR="00AD1F54" w:rsidRPr="00264D5D" w:rsidRDefault="00941227">
            <w:pPr>
              <w:pStyle w:val="ASFKTableHead"/>
            </w:pPr>
            <w:r w:rsidRPr="00264D5D">
              <w:t>Дополнительная информация</w:t>
            </w:r>
          </w:p>
        </w:tc>
      </w:tr>
      <w:tr w:rsidR="00AD1F54" w:rsidRPr="00264D5D" w14:paraId="3AAE8D66"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9DC0E42" w14:textId="77777777" w:rsidR="00AD1F54" w:rsidRPr="00264D5D" w:rsidRDefault="00941227">
            <w:pPr>
              <w:pStyle w:val="GOSTTablenorm"/>
            </w:pPr>
            <w:r w:rsidRPr="00264D5D">
              <w:t>tZSCH1</w:t>
            </w:r>
          </w:p>
        </w:tc>
        <w:tc>
          <w:tcPr>
            <w:tcW w:w="1701" w:type="dxa"/>
          </w:tcPr>
          <w:p w14:paraId="3A1BF742" w14:textId="77777777" w:rsidR="00AD1F54" w:rsidRPr="00264D5D" w:rsidRDefault="00941227">
            <w:pPr>
              <w:pStyle w:val="GOSTTablenorm"/>
            </w:pPr>
            <w:r w:rsidRPr="00264D5D">
              <w:t>ZSCH1_ITEM</w:t>
            </w:r>
          </w:p>
        </w:tc>
        <w:tc>
          <w:tcPr>
            <w:tcW w:w="567" w:type="dxa"/>
          </w:tcPr>
          <w:p w14:paraId="5DE978E4" w14:textId="77777777" w:rsidR="00AD1F54" w:rsidRPr="00264D5D" w:rsidRDefault="00941227">
            <w:pPr>
              <w:pStyle w:val="GOSTTablenorm"/>
              <w:jc w:val="center"/>
            </w:pPr>
            <w:r w:rsidRPr="00264D5D">
              <w:t>С</w:t>
            </w:r>
          </w:p>
        </w:tc>
        <w:tc>
          <w:tcPr>
            <w:tcW w:w="1134" w:type="dxa"/>
          </w:tcPr>
          <w:p w14:paraId="60CF9B77" w14:textId="77777777" w:rsidR="00AD1F54" w:rsidRPr="00264D5D" w:rsidRDefault="00941227">
            <w:pPr>
              <w:pStyle w:val="GOSTTablenorm"/>
              <w:rPr>
                <w:lang w:val="en-US"/>
              </w:rPr>
            </w:pPr>
            <w:r w:rsidRPr="00264D5D">
              <w:t>tZSCH1_ITEM</w:t>
            </w:r>
          </w:p>
        </w:tc>
        <w:tc>
          <w:tcPr>
            <w:tcW w:w="567" w:type="dxa"/>
          </w:tcPr>
          <w:p w14:paraId="178C1FDD" w14:textId="77777777" w:rsidR="00AD1F54" w:rsidRPr="00264D5D" w:rsidRDefault="00941227">
            <w:pPr>
              <w:pStyle w:val="GOSTTablenorm"/>
              <w:jc w:val="center"/>
            </w:pPr>
            <w:r w:rsidRPr="00264D5D">
              <w:t>ОМ</w:t>
            </w:r>
          </w:p>
        </w:tc>
        <w:tc>
          <w:tcPr>
            <w:tcW w:w="3963" w:type="dxa"/>
          </w:tcPr>
          <w:p w14:paraId="75AF2FE2" w14:textId="77777777" w:rsidR="00AD1F54" w:rsidRPr="00264D5D" w:rsidRDefault="00941227">
            <w:pPr>
              <w:pStyle w:val="GOSTTablenorm"/>
              <w:rPr>
                <w:szCs w:val="22"/>
              </w:rPr>
            </w:pPr>
            <w:r w:rsidRPr="00264D5D">
              <w:t xml:space="preserve">Реквизиты чека (строки). </w:t>
            </w:r>
            <w:r w:rsidRPr="00264D5D">
              <w:rPr>
                <w:szCs w:val="22"/>
              </w:rPr>
              <w:t>Блок является множественным, только если в указанном чеке различаются символы кассового плана.</w:t>
            </w:r>
          </w:p>
          <w:p w14:paraId="5CCCDFB2" w14:textId="59F3F29F" w:rsidR="00AD1F54" w:rsidRPr="00264D5D" w:rsidRDefault="00941227">
            <w:pPr>
              <w:pStyle w:val="GOSTTablenorm"/>
            </w:pPr>
            <w:r w:rsidRPr="00264D5D">
              <w:t xml:space="preserve">Состав элемента представлен в таблице </w:t>
            </w:r>
            <w:r w:rsidRPr="00264D5D">
              <w:rPr>
                <w:b/>
              </w:rPr>
              <w:fldChar w:fldCharType="begin"/>
            </w:r>
            <w:r w:rsidRPr="00264D5D">
              <w:rPr>
                <w:b/>
              </w:rPr>
              <w:instrText xml:space="preserve"> REF _Ref503551926 \h  \* MERGEFORMAT </w:instrText>
            </w:r>
            <w:r w:rsidRPr="00264D5D">
              <w:rPr>
                <w:b/>
              </w:rPr>
            </w:r>
            <w:r w:rsidRPr="00264D5D">
              <w:rPr>
                <w:b/>
              </w:rPr>
              <w:fldChar w:fldCharType="separate"/>
            </w:r>
            <w:r w:rsidR="008D797C" w:rsidRPr="008D797C">
              <w:rPr>
                <w:b/>
                <w:szCs w:val="22"/>
              </w:rPr>
              <w:t>292</w:t>
            </w:r>
            <w:r w:rsidRPr="00264D5D">
              <w:rPr>
                <w:b/>
              </w:rPr>
              <w:fldChar w:fldCharType="end"/>
            </w:r>
          </w:p>
        </w:tc>
      </w:tr>
    </w:tbl>
    <w:p w14:paraId="557364CF" w14:textId="77777777" w:rsidR="00AD1F54" w:rsidRPr="00264D5D" w:rsidRDefault="00941227">
      <w:pPr>
        <w:pStyle w:val="31"/>
      </w:pPr>
      <w:bookmarkStart w:id="3144" w:name="_Toc501726971"/>
      <w:bookmarkStart w:id="3145" w:name="_Toc508712748"/>
      <w:bookmarkStart w:id="3146" w:name="_Toc18509210"/>
      <w:r w:rsidRPr="00264D5D">
        <w:t xml:space="preserve"> </w:t>
      </w:r>
      <w:bookmarkStart w:id="3147" w:name="_Toc219309768"/>
      <w:r w:rsidRPr="00264D5D">
        <w:t>Описание комплексного типа «tZSCH1_ITEM»</w:t>
      </w:r>
      <w:bookmarkEnd w:id="3144"/>
      <w:bookmarkEnd w:id="3145"/>
      <w:bookmarkEnd w:id="3146"/>
      <w:bookmarkEnd w:id="3147"/>
    </w:p>
    <w:p w14:paraId="46EF4279" w14:textId="77777777" w:rsidR="00AD1F54" w:rsidRPr="00264D5D" w:rsidRDefault="00941227">
      <w:pPr>
        <w:pStyle w:val="GOSTNormal"/>
      </w:pPr>
      <w:r w:rsidRPr="00264D5D">
        <w:t>Описание комплексного типа</w:t>
      </w:r>
      <w:r w:rsidRPr="00264D5D">
        <w:rPr>
          <w:b/>
          <w:iCs/>
        </w:rPr>
        <w:t xml:space="preserve"> «</w:t>
      </w:r>
      <w:r w:rsidRPr="00264D5D">
        <w:t>tZSCH1_ITEM» блока «Реквизиты чека (строки)».</w:t>
      </w:r>
    </w:p>
    <w:p w14:paraId="63D5FDA9" w14:textId="6500B3EE" w:rsidR="00AD1F54" w:rsidRPr="00264D5D" w:rsidRDefault="001E5517">
      <w:pPr>
        <w:pStyle w:val="GOSTNameTable"/>
        <w:numPr>
          <w:ilvl w:val="0"/>
          <w:numId w:val="2"/>
        </w:numPr>
        <w:ind w:left="425" w:hanging="357"/>
      </w:pPr>
      <w:r w:rsidRPr="00264D5D">
        <w:rPr>
          <w:noProof/>
        </w:rPr>
        <w:fldChar w:fldCharType="begin"/>
      </w:r>
      <w:r w:rsidRPr="00264D5D">
        <w:rPr>
          <w:noProof/>
        </w:rPr>
        <w:instrText xml:space="preserve"> SEQ Таблица \* ARABIC </w:instrText>
      </w:r>
      <w:r w:rsidRPr="00264D5D">
        <w:rPr>
          <w:noProof/>
        </w:rPr>
        <w:fldChar w:fldCharType="separate"/>
      </w:r>
      <w:bookmarkStart w:id="3148" w:name="_Ref503551926"/>
      <w:bookmarkStart w:id="3149" w:name="_Toc18509499"/>
      <w:bookmarkStart w:id="3150" w:name="_Toc219309322"/>
      <w:r w:rsidR="008D797C">
        <w:rPr>
          <w:noProof/>
        </w:rPr>
        <w:t>292</w:t>
      </w:r>
      <w:bookmarkEnd w:id="3148"/>
      <w:r w:rsidRPr="00264D5D">
        <w:rPr>
          <w:noProof/>
        </w:rPr>
        <w:fldChar w:fldCharType="end"/>
      </w:r>
      <w:r w:rsidR="00941227" w:rsidRPr="00264D5D">
        <w:t xml:space="preserve"> </w:t>
      </w:r>
      <w:r w:rsidR="00941227" w:rsidRPr="00264D5D">
        <w:rPr>
          <w:rFonts w:eastAsia="Calibri"/>
          <w:szCs w:val="24"/>
        </w:rPr>
        <w:t xml:space="preserve">– </w:t>
      </w:r>
      <w:r w:rsidR="00941227" w:rsidRPr="00264D5D">
        <w:t>Описание комплексного типа «tZSCH1_ITEM»</w:t>
      </w:r>
      <w:bookmarkEnd w:id="3149"/>
      <w:bookmarkEnd w:id="3150"/>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6CC53837"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23713734" w14:textId="77777777" w:rsidR="00AD1F54" w:rsidRPr="00264D5D" w:rsidRDefault="00941227">
            <w:pPr>
              <w:pStyle w:val="ASFKTableHead"/>
            </w:pPr>
            <w:r w:rsidRPr="00264D5D">
              <w:t>Наименование элемента</w:t>
            </w:r>
          </w:p>
        </w:tc>
        <w:tc>
          <w:tcPr>
            <w:tcW w:w="1701" w:type="dxa"/>
          </w:tcPr>
          <w:p w14:paraId="495F9491" w14:textId="77777777" w:rsidR="00AD1F54" w:rsidRPr="00264D5D" w:rsidRDefault="00941227">
            <w:pPr>
              <w:pStyle w:val="ASFKTableHead"/>
            </w:pPr>
            <w:r w:rsidRPr="00264D5D">
              <w:t>Сокращенное наименование (код) элемента</w:t>
            </w:r>
          </w:p>
        </w:tc>
        <w:tc>
          <w:tcPr>
            <w:tcW w:w="567" w:type="dxa"/>
          </w:tcPr>
          <w:p w14:paraId="72D34DDF" w14:textId="77777777" w:rsidR="00AD1F54" w:rsidRPr="00264D5D" w:rsidRDefault="00941227">
            <w:pPr>
              <w:pStyle w:val="ASFKTableHead"/>
            </w:pPr>
            <w:r w:rsidRPr="00264D5D">
              <w:t>Тип</w:t>
            </w:r>
          </w:p>
        </w:tc>
        <w:tc>
          <w:tcPr>
            <w:tcW w:w="1134" w:type="dxa"/>
          </w:tcPr>
          <w:p w14:paraId="2F5F63FE" w14:textId="77777777" w:rsidR="00AD1F54" w:rsidRPr="00264D5D" w:rsidRDefault="00941227">
            <w:pPr>
              <w:pStyle w:val="ASFKTableHead"/>
            </w:pPr>
            <w:r w:rsidRPr="00264D5D">
              <w:t>Формат элемента</w:t>
            </w:r>
          </w:p>
        </w:tc>
        <w:tc>
          <w:tcPr>
            <w:tcW w:w="567" w:type="dxa"/>
          </w:tcPr>
          <w:p w14:paraId="798BC409" w14:textId="77777777" w:rsidR="00AD1F54" w:rsidRPr="00264D5D" w:rsidRDefault="00941227">
            <w:pPr>
              <w:pStyle w:val="ASFKTableHead"/>
            </w:pPr>
            <w:r w:rsidRPr="00264D5D">
              <w:t>Обязательность</w:t>
            </w:r>
          </w:p>
        </w:tc>
        <w:tc>
          <w:tcPr>
            <w:tcW w:w="3963" w:type="dxa"/>
          </w:tcPr>
          <w:p w14:paraId="01EC9964" w14:textId="77777777" w:rsidR="00AD1F54" w:rsidRPr="00264D5D" w:rsidRDefault="00941227">
            <w:pPr>
              <w:pStyle w:val="ASFKTableHead"/>
            </w:pPr>
            <w:r w:rsidRPr="00264D5D">
              <w:t>Дополнительная информация</w:t>
            </w:r>
          </w:p>
        </w:tc>
      </w:tr>
      <w:tr w:rsidR="00AD1F54" w:rsidRPr="00264D5D" w14:paraId="641F2839"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50A7A3C" w14:textId="77777777" w:rsidR="00AD1F54" w:rsidRPr="00264D5D" w:rsidRDefault="00941227">
            <w:pPr>
              <w:pStyle w:val="GOSTTablenorm"/>
            </w:pPr>
            <w:r w:rsidRPr="00264D5D">
              <w:t>Сумма</w:t>
            </w:r>
          </w:p>
        </w:tc>
        <w:tc>
          <w:tcPr>
            <w:tcW w:w="1701" w:type="dxa"/>
          </w:tcPr>
          <w:p w14:paraId="5E004210" w14:textId="77777777" w:rsidR="00AD1F54" w:rsidRPr="00264D5D" w:rsidRDefault="00941227">
            <w:pPr>
              <w:pStyle w:val="GOSTTablenorm"/>
            </w:pPr>
            <w:r w:rsidRPr="00264D5D">
              <w:t>Amnt</w:t>
            </w:r>
          </w:p>
        </w:tc>
        <w:tc>
          <w:tcPr>
            <w:tcW w:w="567" w:type="dxa"/>
          </w:tcPr>
          <w:p w14:paraId="4AF339BA" w14:textId="77777777" w:rsidR="00AD1F54" w:rsidRPr="00264D5D" w:rsidRDefault="00941227">
            <w:pPr>
              <w:pStyle w:val="GOSTTablenorm"/>
              <w:jc w:val="center"/>
            </w:pPr>
            <w:r w:rsidRPr="00264D5D">
              <w:t>П</w:t>
            </w:r>
          </w:p>
        </w:tc>
        <w:tc>
          <w:tcPr>
            <w:tcW w:w="1134" w:type="dxa"/>
          </w:tcPr>
          <w:p w14:paraId="6FFA6D35" w14:textId="77777777" w:rsidR="00AD1F54" w:rsidRPr="00264D5D" w:rsidRDefault="00941227">
            <w:pPr>
              <w:pStyle w:val="GOSTTablenorm"/>
              <w:rPr>
                <w:lang w:val="en-US"/>
              </w:rPr>
            </w:pPr>
            <w:r w:rsidRPr="00264D5D">
              <w:rPr>
                <w:lang w:val="en-US"/>
              </w:rPr>
              <w:t>N(20</w:t>
            </w:r>
            <w:r w:rsidRPr="00264D5D">
              <w:t>.</w:t>
            </w:r>
            <w:r w:rsidRPr="00264D5D">
              <w:rPr>
                <w:lang w:val="en-US"/>
              </w:rPr>
              <w:t>2)</w:t>
            </w:r>
          </w:p>
        </w:tc>
        <w:tc>
          <w:tcPr>
            <w:tcW w:w="567" w:type="dxa"/>
          </w:tcPr>
          <w:p w14:paraId="753C85E2" w14:textId="77777777" w:rsidR="00AD1F54" w:rsidRPr="00264D5D" w:rsidRDefault="00941227">
            <w:pPr>
              <w:pStyle w:val="GOSTTablenorm"/>
              <w:jc w:val="center"/>
            </w:pPr>
            <w:r w:rsidRPr="00264D5D">
              <w:t>О</w:t>
            </w:r>
          </w:p>
        </w:tc>
        <w:tc>
          <w:tcPr>
            <w:tcW w:w="3963" w:type="dxa"/>
          </w:tcPr>
          <w:p w14:paraId="2DE92437" w14:textId="77777777" w:rsidR="00AD1F54" w:rsidRPr="00264D5D" w:rsidRDefault="00941227">
            <w:pPr>
              <w:pStyle w:val="GOSTTablenorm"/>
            </w:pPr>
            <w:r w:rsidRPr="00264D5D">
              <w:t>Сумма по</w:t>
            </w:r>
            <w:r w:rsidR="00B06B9A" w:rsidRPr="00264D5D">
              <w:t xml:space="preserve"> символу кассового плана в чеке</w:t>
            </w:r>
          </w:p>
        </w:tc>
      </w:tr>
      <w:tr w:rsidR="00AD1F54" w:rsidRPr="00264D5D" w14:paraId="155A915E"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A56EF2C" w14:textId="77777777" w:rsidR="00AD1F54" w:rsidRPr="00264D5D" w:rsidRDefault="00941227">
            <w:pPr>
              <w:pStyle w:val="GOSTTablenorm"/>
            </w:pPr>
            <w:r w:rsidRPr="00264D5D">
              <w:t>Номер чека</w:t>
            </w:r>
          </w:p>
        </w:tc>
        <w:tc>
          <w:tcPr>
            <w:tcW w:w="1701" w:type="dxa"/>
          </w:tcPr>
          <w:p w14:paraId="14222402" w14:textId="77777777" w:rsidR="00AD1F54" w:rsidRPr="00264D5D" w:rsidRDefault="00941227">
            <w:pPr>
              <w:pStyle w:val="GOSTTablenorm"/>
            </w:pPr>
            <w:r w:rsidRPr="00264D5D">
              <w:t>NmbrChck</w:t>
            </w:r>
          </w:p>
        </w:tc>
        <w:tc>
          <w:tcPr>
            <w:tcW w:w="567" w:type="dxa"/>
          </w:tcPr>
          <w:p w14:paraId="7CCC1CF7" w14:textId="77777777" w:rsidR="00AD1F54" w:rsidRPr="00264D5D" w:rsidRDefault="00941227">
            <w:pPr>
              <w:pStyle w:val="GOSTTablenorm"/>
              <w:jc w:val="center"/>
            </w:pPr>
            <w:r w:rsidRPr="00264D5D">
              <w:t>П</w:t>
            </w:r>
          </w:p>
        </w:tc>
        <w:tc>
          <w:tcPr>
            <w:tcW w:w="1134" w:type="dxa"/>
          </w:tcPr>
          <w:p w14:paraId="3D80316F" w14:textId="77777777" w:rsidR="00AD1F54" w:rsidRPr="00264D5D" w:rsidRDefault="00941227">
            <w:pPr>
              <w:pStyle w:val="GOSTTablenorm"/>
              <w:rPr>
                <w:lang w:val="en-US"/>
              </w:rPr>
            </w:pPr>
            <w:r w:rsidRPr="00264D5D">
              <w:rPr>
                <w:lang w:val="en-US"/>
              </w:rPr>
              <w:t>Т(</w:t>
            </w:r>
            <w:r w:rsidRPr="00264D5D">
              <w:t>1</w:t>
            </w:r>
            <w:r w:rsidRPr="00264D5D">
              <w:rPr>
                <w:lang w:val="en-US"/>
              </w:rPr>
              <w:t>-</w:t>
            </w:r>
            <w:r w:rsidRPr="00264D5D">
              <w:t>15</w:t>
            </w:r>
            <w:r w:rsidRPr="00264D5D">
              <w:rPr>
                <w:lang w:val="en-US"/>
              </w:rPr>
              <w:t>)</w:t>
            </w:r>
          </w:p>
        </w:tc>
        <w:tc>
          <w:tcPr>
            <w:tcW w:w="567" w:type="dxa"/>
          </w:tcPr>
          <w:p w14:paraId="79F532FB" w14:textId="77777777" w:rsidR="00AD1F54" w:rsidRPr="00264D5D" w:rsidRDefault="00941227">
            <w:pPr>
              <w:pStyle w:val="GOSTTablenorm"/>
              <w:jc w:val="center"/>
            </w:pPr>
            <w:r w:rsidRPr="00264D5D">
              <w:t>О</w:t>
            </w:r>
          </w:p>
        </w:tc>
        <w:tc>
          <w:tcPr>
            <w:tcW w:w="3963" w:type="dxa"/>
          </w:tcPr>
          <w:p w14:paraId="4EB1C836" w14:textId="77777777" w:rsidR="00AD1F54" w:rsidRPr="00264D5D" w:rsidRDefault="00B06B9A">
            <w:pPr>
              <w:pStyle w:val="GOSTTablenorm"/>
            </w:pPr>
            <w:r w:rsidRPr="00264D5D">
              <w:t>Номер чека</w:t>
            </w:r>
          </w:p>
        </w:tc>
      </w:tr>
      <w:tr w:rsidR="00AD1F54" w:rsidRPr="00264D5D" w14:paraId="5C9CEB4F"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E877D24" w14:textId="77777777" w:rsidR="00AD1F54" w:rsidRPr="00264D5D" w:rsidRDefault="00941227">
            <w:pPr>
              <w:pStyle w:val="GOSTTablenorm"/>
            </w:pPr>
            <w:r w:rsidRPr="00264D5D">
              <w:t>Серия чека</w:t>
            </w:r>
          </w:p>
        </w:tc>
        <w:tc>
          <w:tcPr>
            <w:tcW w:w="1701" w:type="dxa"/>
          </w:tcPr>
          <w:p w14:paraId="3ED8BE8C" w14:textId="77777777" w:rsidR="00AD1F54" w:rsidRPr="00264D5D" w:rsidRDefault="00941227">
            <w:pPr>
              <w:pStyle w:val="GOSTTablenorm"/>
            </w:pPr>
            <w:r w:rsidRPr="00264D5D">
              <w:t>SrsChck</w:t>
            </w:r>
          </w:p>
        </w:tc>
        <w:tc>
          <w:tcPr>
            <w:tcW w:w="567" w:type="dxa"/>
          </w:tcPr>
          <w:p w14:paraId="1C12CCFD" w14:textId="77777777" w:rsidR="00AD1F54" w:rsidRPr="00264D5D" w:rsidRDefault="00941227">
            <w:pPr>
              <w:pStyle w:val="GOSTTablenorm"/>
              <w:jc w:val="center"/>
            </w:pPr>
            <w:r w:rsidRPr="00264D5D">
              <w:t>П</w:t>
            </w:r>
          </w:p>
        </w:tc>
        <w:tc>
          <w:tcPr>
            <w:tcW w:w="1134" w:type="dxa"/>
          </w:tcPr>
          <w:p w14:paraId="184ECE5E" w14:textId="77777777" w:rsidR="00AD1F54" w:rsidRPr="00264D5D" w:rsidRDefault="00941227">
            <w:pPr>
              <w:pStyle w:val="GOSTTablenorm"/>
              <w:rPr>
                <w:lang w:val="en-US"/>
              </w:rPr>
            </w:pPr>
            <w:r w:rsidRPr="00264D5D">
              <w:rPr>
                <w:lang w:val="en-US"/>
              </w:rPr>
              <w:t>Т(</w:t>
            </w:r>
            <w:r w:rsidRPr="00264D5D">
              <w:t>1</w:t>
            </w:r>
            <w:r w:rsidRPr="00264D5D">
              <w:rPr>
                <w:lang w:val="en-US"/>
              </w:rPr>
              <w:t>-30)</w:t>
            </w:r>
          </w:p>
        </w:tc>
        <w:tc>
          <w:tcPr>
            <w:tcW w:w="567" w:type="dxa"/>
          </w:tcPr>
          <w:p w14:paraId="224FB86D" w14:textId="77777777" w:rsidR="00AD1F54" w:rsidRPr="00264D5D" w:rsidRDefault="00941227">
            <w:pPr>
              <w:pStyle w:val="GOSTTablenorm"/>
              <w:jc w:val="center"/>
            </w:pPr>
            <w:r w:rsidRPr="00264D5D">
              <w:t>О</w:t>
            </w:r>
          </w:p>
        </w:tc>
        <w:tc>
          <w:tcPr>
            <w:tcW w:w="3963" w:type="dxa"/>
          </w:tcPr>
          <w:p w14:paraId="676303FD" w14:textId="77777777" w:rsidR="00AD1F54" w:rsidRPr="00264D5D" w:rsidRDefault="00B06B9A">
            <w:pPr>
              <w:pStyle w:val="GOSTTablenorm"/>
            </w:pPr>
            <w:r w:rsidRPr="00264D5D">
              <w:t>Серия чека</w:t>
            </w:r>
          </w:p>
        </w:tc>
      </w:tr>
      <w:tr w:rsidR="00AD1F54" w:rsidRPr="00264D5D" w14:paraId="0548A399"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0AFC0CD8" w14:textId="77777777" w:rsidR="00AD1F54" w:rsidRPr="00264D5D" w:rsidRDefault="00941227">
            <w:pPr>
              <w:pStyle w:val="GOSTTablenorm"/>
            </w:pPr>
            <w:r w:rsidRPr="00264D5D">
              <w:t>Дата чека</w:t>
            </w:r>
          </w:p>
        </w:tc>
        <w:tc>
          <w:tcPr>
            <w:tcW w:w="1701" w:type="dxa"/>
          </w:tcPr>
          <w:p w14:paraId="02857777" w14:textId="77777777" w:rsidR="00AD1F54" w:rsidRPr="00264D5D" w:rsidRDefault="00941227">
            <w:pPr>
              <w:pStyle w:val="GOSTTablenorm"/>
            </w:pPr>
            <w:r w:rsidRPr="00264D5D">
              <w:t>DtChck</w:t>
            </w:r>
          </w:p>
        </w:tc>
        <w:tc>
          <w:tcPr>
            <w:tcW w:w="567" w:type="dxa"/>
          </w:tcPr>
          <w:p w14:paraId="5544BE29" w14:textId="77777777" w:rsidR="00AD1F54" w:rsidRPr="00264D5D" w:rsidRDefault="00941227">
            <w:pPr>
              <w:pStyle w:val="GOSTTablenorm"/>
              <w:jc w:val="center"/>
            </w:pPr>
            <w:r w:rsidRPr="00264D5D">
              <w:t>П</w:t>
            </w:r>
          </w:p>
        </w:tc>
        <w:tc>
          <w:tcPr>
            <w:tcW w:w="1134" w:type="dxa"/>
          </w:tcPr>
          <w:p w14:paraId="494011FF" w14:textId="77777777" w:rsidR="00AD1F54" w:rsidRPr="00264D5D" w:rsidRDefault="00941227">
            <w:pPr>
              <w:pStyle w:val="GOSTTablenorm"/>
              <w:rPr>
                <w:szCs w:val="22"/>
                <w:lang w:val="en-US"/>
              </w:rPr>
            </w:pPr>
            <w:r w:rsidRPr="00264D5D">
              <w:rPr>
                <w:lang w:val="en-US"/>
              </w:rPr>
              <w:t>Date</w:t>
            </w:r>
          </w:p>
        </w:tc>
        <w:tc>
          <w:tcPr>
            <w:tcW w:w="567" w:type="dxa"/>
          </w:tcPr>
          <w:p w14:paraId="39FF5215" w14:textId="77777777" w:rsidR="00AD1F54" w:rsidRPr="00264D5D" w:rsidRDefault="00941227">
            <w:pPr>
              <w:pStyle w:val="GOSTTablenorm"/>
              <w:jc w:val="center"/>
            </w:pPr>
            <w:r w:rsidRPr="00264D5D">
              <w:t>О</w:t>
            </w:r>
          </w:p>
        </w:tc>
        <w:tc>
          <w:tcPr>
            <w:tcW w:w="3963" w:type="dxa"/>
          </w:tcPr>
          <w:p w14:paraId="12FCBF6E" w14:textId="77777777" w:rsidR="00AD1F54" w:rsidRPr="00264D5D" w:rsidRDefault="00B06B9A">
            <w:pPr>
              <w:pStyle w:val="GOSTTablenorm"/>
            </w:pPr>
            <w:r w:rsidRPr="00264D5D">
              <w:t>Дата оформления чека</w:t>
            </w:r>
          </w:p>
        </w:tc>
      </w:tr>
      <w:tr w:rsidR="00AD1F54" w:rsidRPr="00264D5D" w14:paraId="7B1A6FFB"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EB8E6BE" w14:textId="77777777" w:rsidR="00AD1F54" w:rsidRPr="00264D5D" w:rsidRDefault="00941227">
            <w:pPr>
              <w:pStyle w:val="GOSTTablenorm"/>
            </w:pPr>
            <w:r w:rsidRPr="00264D5D">
              <w:t>Срок действия чека</w:t>
            </w:r>
          </w:p>
        </w:tc>
        <w:tc>
          <w:tcPr>
            <w:tcW w:w="1701" w:type="dxa"/>
          </w:tcPr>
          <w:p w14:paraId="2678EFC6" w14:textId="77777777" w:rsidR="00AD1F54" w:rsidRPr="00264D5D" w:rsidRDefault="00941227">
            <w:pPr>
              <w:pStyle w:val="GOSTTablenorm"/>
            </w:pPr>
            <w:r w:rsidRPr="00264D5D">
              <w:t>VldtChck</w:t>
            </w:r>
          </w:p>
        </w:tc>
        <w:tc>
          <w:tcPr>
            <w:tcW w:w="567" w:type="dxa"/>
          </w:tcPr>
          <w:p w14:paraId="0893563A" w14:textId="77777777" w:rsidR="00AD1F54" w:rsidRPr="00264D5D" w:rsidRDefault="00941227">
            <w:pPr>
              <w:pStyle w:val="GOSTTablenorm"/>
              <w:jc w:val="center"/>
            </w:pPr>
            <w:r w:rsidRPr="00264D5D">
              <w:t>П</w:t>
            </w:r>
          </w:p>
        </w:tc>
        <w:tc>
          <w:tcPr>
            <w:tcW w:w="1134" w:type="dxa"/>
          </w:tcPr>
          <w:p w14:paraId="175F93A3" w14:textId="77777777" w:rsidR="00AD1F54" w:rsidRPr="00264D5D" w:rsidRDefault="00941227">
            <w:pPr>
              <w:pStyle w:val="GOSTTablenorm"/>
              <w:rPr>
                <w:szCs w:val="22"/>
                <w:lang w:val="en-US"/>
              </w:rPr>
            </w:pPr>
            <w:r w:rsidRPr="00264D5D">
              <w:rPr>
                <w:lang w:val="en-US"/>
              </w:rPr>
              <w:t>Date</w:t>
            </w:r>
          </w:p>
        </w:tc>
        <w:tc>
          <w:tcPr>
            <w:tcW w:w="567" w:type="dxa"/>
          </w:tcPr>
          <w:p w14:paraId="48AFA044" w14:textId="77777777" w:rsidR="00AD1F54" w:rsidRPr="00264D5D" w:rsidRDefault="00941227">
            <w:pPr>
              <w:pStyle w:val="GOSTTablenorm"/>
              <w:jc w:val="center"/>
            </w:pPr>
            <w:r w:rsidRPr="00264D5D">
              <w:t>О</w:t>
            </w:r>
          </w:p>
        </w:tc>
        <w:tc>
          <w:tcPr>
            <w:tcW w:w="3963" w:type="dxa"/>
          </w:tcPr>
          <w:p w14:paraId="14A4388F" w14:textId="77777777" w:rsidR="00AD1F54" w:rsidRPr="00264D5D" w:rsidRDefault="00B06B9A">
            <w:pPr>
              <w:pStyle w:val="GOSTTablenorm"/>
            </w:pPr>
            <w:r w:rsidRPr="00264D5D">
              <w:t>Срок действия чека</w:t>
            </w:r>
          </w:p>
        </w:tc>
      </w:tr>
      <w:tr w:rsidR="00AD1F54" w:rsidRPr="00264D5D" w14:paraId="4D3CB455"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4046EC91" w14:textId="77777777" w:rsidR="00AD1F54" w:rsidRPr="00264D5D" w:rsidRDefault="00941227">
            <w:pPr>
              <w:pStyle w:val="GOSTTablenorm"/>
            </w:pPr>
            <w:r w:rsidRPr="00264D5D">
              <w:t>Символ кассового плана</w:t>
            </w:r>
          </w:p>
        </w:tc>
        <w:tc>
          <w:tcPr>
            <w:tcW w:w="1701" w:type="dxa"/>
          </w:tcPr>
          <w:p w14:paraId="7BEE3E3B" w14:textId="77777777" w:rsidR="00AD1F54" w:rsidRPr="00264D5D" w:rsidRDefault="00941227">
            <w:pPr>
              <w:pStyle w:val="GOSTTablenorm"/>
            </w:pPr>
            <w:r w:rsidRPr="00264D5D">
              <w:t>SmblCshPln</w:t>
            </w:r>
          </w:p>
        </w:tc>
        <w:tc>
          <w:tcPr>
            <w:tcW w:w="567" w:type="dxa"/>
          </w:tcPr>
          <w:p w14:paraId="7DD6492D" w14:textId="77777777" w:rsidR="00AD1F54" w:rsidRPr="00264D5D" w:rsidRDefault="00941227">
            <w:pPr>
              <w:pStyle w:val="GOSTTablenorm"/>
              <w:jc w:val="center"/>
            </w:pPr>
            <w:r w:rsidRPr="00264D5D">
              <w:t>П</w:t>
            </w:r>
          </w:p>
        </w:tc>
        <w:tc>
          <w:tcPr>
            <w:tcW w:w="1134" w:type="dxa"/>
          </w:tcPr>
          <w:p w14:paraId="20C24B58" w14:textId="77777777" w:rsidR="00AD1F54" w:rsidRPr="00264D5D" w:rsidRDefault="00941227">
            <w:pPr>
              <w:pStyle w:val="GOSTTablenorm"/>
              <w:rPr>
                <w:lang w:val="en-US"/>
              </w:rPr>
            </w:pPr>
            <w:r w:rsidRPr="00264D5D">
              <w:rPr>
                <w:lang w:val="en-US"/>
              </w:rPr>
              <w:t>Т(</w:t>
            </w:r>
            <w:r w:rsidRPr="00264D5D">
              <w:t>2</w:t>
            </w:r>
            <w:r w:rsidRPr="00264D5D">
              <w:rPr>
                <w:lang w:val="en-US"/>
              </w:rPr>
              <w:t>)</w:t>
            </w:r>
          </w:p>
        </w:tc>
        <w:tc>
          <w:tcPr>
            <w:tcW w:w="567" w:type="dxa"/>
          </w:tcPr>
          <w:p w14:paraId="58D13C85" w14:textId="77777777" w:rsidR="00AD1F54" w:rsidRPr="00264D5D" w:rsidRDefault="00941227">
            <w:pPr>
              <w:pStyle w:val="GOSTTablenorm"/>
              <w:jc w:val="center"/>
            </w:pPr>
            <w:r w:rsidRPr="00264D5D">
              <w:t>О</w:t>
            </w:r>
          </w:p>
        </w:tc>
        <w:tc>
          <w:tcPr>
            <w:tcW w:w="3963" w:type="dxa"/>
          </w:tcPr>
          <w:p w14:paraId="6E0B9414" w14:textId="77777777" w:rsidR="00AD1F54" w:rsidRPr="00264D5D" w:rsidRDefault="00B06B9A">
            <w:pPr>
              <w:pStyle w:val="GOSTTablenorm"/>
            </w:pPr>
            <w:r w:rsidRPr="00264D5D">
              <w:t>Символ кассового плана</w:t>
            </w:r>
          </w:p>
        </w:tc>
      </w:tr>
    </w:tbl>
    <w:p w14:paraId="2CDEFE77" w14:textId="77777777" w:rsidR="00AD1F54" w:rsidRPr="00264D5D" w:rsidRDefault="00941227">
      <w:pPr>
        <w:pStyle w:val="31"/>
      </w:pPr>
      <w:bookmarkStart w:id="3151" w:name="_Toc501726972"/>
      <w:bookmarkStart w:id="3152" w:name="_Toc508712749"/>
      <w:bookmarkStart w:id="3153" w:name="_Toc18509211"/>
      <w:r w:rsidRPr="00264D5D">
        <w:t xml:space="preserve"> </w:t>
      </w:r>
      <w:bookmarkStart w:id="3154" w:name="_Toc219309769"/>
      <w:r w:rsidRPr="00264D5D">
        <w:t>Описание комплексного типа «tZSCH2»</w:t>
      </w:r>
      <w:bookmarkEnd w:id="3151"/>
      <w:bookmarkEnd w:id="3152"/>
      <w:bookmarkEnd w:id="3153"/>
      <w:bookmarkEnd w:id="3154"/>
    </w:p>
    <w:p w14:paraId="01D4F00E" w14:textId="77777777" w:rsidR="00AD1F54" w:rsidRPr="00264D5D" w:rsidRDefault="00941227">
      <w:pPr>
        <w:pStyle w:val="GOSTNormal"/>
      </w:pPr>
      <w:r w:rsidRPr="00264D5D">
        <w:t>Описание комплексного типа</w:t>
      </w:r>
      <w:r w:rsidRPr="00264D5D">
        <w:rPr>
          <w:b/>
          <w:iCs/>
        </w:rPr>
        <w:t xml:space="preserve"> «</w:t>
      </w:r>
      <w:r w:rsidRPr="00264D5D">
        <w:t xml:space="preserve">tZSCH2» блока «Расшифровка заявки на получение наличных денег». </w:t>
      </w:r>
    </w:p>
    <w:p w14:paraId="6109EDE0" w14:textId="76950239" w:rsidR="00AD1F54" w:rsidRPr="00264D5D" w:rsidRDefault="001E5517">
      <w:pPr>
        <w:pStyle w:val="GOSTNameTable"/>
        <w:numPr>
          <w:ilvl w:val="0"/>
          <w:numId w:val="2"/>
        </w:numPr>
        <w:ind w:left="425" w:hanging="357"/>
      </w:pPr>
      <w:r w:rsidRPr="00264D5D">
        <w:rPr>
          <w:noProof/>
        </w:rPr>
        <w:fldChar w:fldCharType="begin"/>
      </w:r>
      <w:r w:rsidRPr="00264D5D">
        <w:rPr>
          <w:noProof/>
        </w:rPr>
        <w:instrText xml:space="preserve"> SEQ Таблица \* ARABIC </w:instrText>
      </w:r>
      <w:r w:rsidRPr="00264D5D">
        <w:rPr>
          <w:noProof/>
        </w:rPr>
        <w:fldChar w:fldCharType="separate"/>
      </w:r>
      <w:bookmarkStart w:id="3155" w:name="_Ref503551893"/>
      <w:bookmarkStart w:id="3156" w:name="_Toc18509500"/>
      <w:bookmarkStart w:id="3157" w:name="_Toc219309323"/>
      <w:r w:rsidR="008D797C">
        <w:rPr>
          <w:noProof/>
        </w:rPr>
        <w:t>293</w:t>
      </w:r>
      <w:bookmarkEnd w:id="3155"/>
      <w:r w:rsidRPr="00264D5D">
        <w:rPr>
          <w:noProof/>
        </w:rPr>
        <w:fldChar w:fldCharType="end"/>
      </w:r>
      <w:r w:rsidR="00941227" w:rsidRPr="00264D5D">
        <w:rPr>
          <w:rFonts w:eastAsia="Calibri"/>
          <w:szCs w:val="24"/>
        </w:rPr>
        <w:t xml:space="preserve"> – </w:t>
      </w:r>
      <w:r w:rsidR="00941227" w:rsidRPr="00264D5D">
        <w:t>Описание комплексного типа «tZSCH2»</w:t>
      </w:r>
      <w:bookmarkEnd w:id="3156"/>
      <w:bookmarkEnd w:id="3157"/>
    </w:p>
    <w:tbl>
      <w:tblPr>
        <w:tblW w:w="96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701"/>
        <w:gridCol w:w="567"/>
        <w:gridCol w:w="1134"/>
        <w:gridCol w:w="567"/>
        <w:gridCol w:w="3963"/>
      </w:tblGrid>
      <w:tr w:rsidR="00AD1F54" w:rsidRPr="00264D5D" w14:paraId="73E10059" w14:textId="77777777">
        <w:trPr>
          <w:tblHeader/>
        </w:trPr>
        <w:tc>
          <w:tcPr>
            <w:tcW w:w="1701" w:type="dxa"/>
            <w:shd w:val="clear" w:color="auto" w:fill="E7E6E6" w:themeFill="background2"/>
            <w:tcMar>
              <w:left w:w="28" w:type="dxa"/>
              <w:right w:w="28" w:type="dxa"/>
            </w:tcMar>
            <w:vAlign w:val="center"/>
          </w:tcPr>
          <w:p w14:paraId="54F78B55" w14:textId="77777777" w:rsidR="00AD1F54" w:rsidRPr="00264D5D" w:rsidRDefault="00941227">
            <w:pPr>
              <w:pStyle w:val="ASFKTableHead"/>
            </w:pPr>
            <w:r w:rsidRPr="00264D5D">
              <w:t>Наименование комплексного типа</w:t>
            </w:r>
          </w:p>
        </w:tc>
        <w:tc>
          <w:tcPr>
            <w:tcW w:w="1701" w:type="dxa"/>
            <w:shd w:val="clear" w:color="auto" w:fill="E7E6E6" w:themeFill="background2"/>
            <w:tcMar>
              <w:left w:w="28" w:type="dxa"/>
              <w:right w:w="28" w:type="dxa"/>
            </w:tcMar>
            <w:vAlign w:val="center"/>
          </w:tcPr>
          <w:p w14:paraId="37A92E5F" w14:textId="77777777" w:rsidR="00AD1F54" w:rsidRPr="00264D5D" w:rsidRDefault="00941227">
            <w:pPr>
              <w:pStyle w:val="ASFKTableHead"/>
            </w:pPr>
            <w:r w:rsidRPr="00264D5D">
              <w:t>Текущий элемент/ атрибут</w:t>
            </w:r>
          </w:p>
        </w:tc>
        <w:tc>
          <w:tcPr>
            <w:tcW w:w="567" w:type="dxa"/>
            <w:shd w:val="clear" w:color="auto" w:fill="E7E6E6" w:themeFill="background2"/>
            <w:tcMar>
              <w:left w:w="28" w:type="dxa"/>
              <w:right w:w="28" w:type="dxa"/>
            </w:tcMar>
            <w:vAlign w:val="center"/>
          </w:tcPr>
          <w:p w14:paraId="7064BAF7" w14:textId="77777777" w:rsidR="00AD1F54" w:rsidRPr="00264D5D" w:rsidRDefault="00941227">
            <w:pPr>
              <w:pStyle w:val="ASFKTableHead"/>
            </w:pPr>
            <w:r w:rsidRPr="00264D5D">
              <w:t>Тип</w:t>
            </w:r>
          </w:p>
        </w:tc>
        <w:tc>
          <w:tcPr>
            <w:tcW w:w="1134" w:type="dxa"/>
            <w:shd w:val="clear" w:color="auto" w:fill="E7E6E6" w:themeFill="background2"/>
            <w:tcMar>
              <w:left w:w="28" w:type="dxa"/>
              <w:right w:w="28" w:type="dxa"/>
            </w:tcMar>
            <w:vAlign w:val="center"/>
          </w:tcPr>
          <w:p w14:paraId="6365885E" w14:textId="77777777" w:rsidR="00AD1F54" w:rsidRPr="00264D5D" w:rsidRDefault="00941227">
            <w:pPr>
              <w:pStyle w:val="ASFKTableHead"/>
            </w:pPr>
            <w:r w:rsidRPr="00264D5D">
              <w:t>Формат элемента</w:t>
            </w:r>
          </w:p>
        </w:tc>
        <w:tc>
          <w:tcPr>
            <w:tcW w:w="567" w:type="dxa"/>
            <w:shd w:val="clear" w:color="auto" w:fill="E7E6E6" w:themeFill="background2"/>
            <w:tcMar>
              <w:left w:w="28" w:type="dxa"/>
              <w:right w:w="28" w:type="dxa"/>
            </w:tcMar>
            <w:vAlign w:val="center"/>
          </w:tcPr>
          <w:p w14:paraId="492D7B0E" w14:textId="77777777" w:rsidR="00AD1F54" w:rsidRPr="00264D5D" w:rsidRDefault="00941227">
            <w:pPr>
              <w:pStyle w:val="ASFKTableHead"/>
            </w:pPr>
            <w:r w:rsidRPr="00264D5D">
              <w:t>Обязательность</w:t>
            </w:r>
          </w:p>
        </w:tc>
        <w:tc>
          <w:tcPr>
            <w:tcW w:w="3963" w:type="dxa"/>
            <w:shd w:val="clear" w:color="auto" w:fill="E7E6E6" w:themeFill="background2"/>
            <w:tcMar>
              <w:left w:w="28" w:type="dxa"/>
              <w:right w:w="28" w:type="dxa"/>
            </w:tcMar>
            <w:vAlign w:val="center"/>
          </w:tcPr>
          <w:p w14:paraId="70D69A0E" w14:textId="77777777" w:rsidR="00AD1F54" w:rsidRPr="00264D5D" w:rsidRDefault="00941227">
            <w:pPr>
              <w:pStyle w:val="ASFKTableHead"/>
            </w:pPr>
            <w:r w:rsidRPr="00264D5D">
              <w:t>Дополнительная информация</w:t>
            </w:r>
          </w:p>
        </w:tc>
      </w:tr>
      <w:tr w:rsidR="00AD1F54" w:rsidRPr="00264D5D" w14:paraId="50898057" w14:textId="77777777">
        <w:tc>
          <w:tcPr>
            <w:tcW w:w="1701" w:type="dxa"/>
            <w:tcMar>
              <w:left w:w="28" w:type="dxa"/>
              <w:right w:w="28" w:type="dxa"/>
            </w:tcMar>
          </w:tcPr>
          <w:p w14:paraId="19D73A84" w14:textId="77777777" w:rsidR="00AD1F54" w:rsidRPr="00264D5D" w:rsidRDefault="00941227">
            <w:pPr>
              <w:pStyle w:val="GOSTTablenorm"/>
            </w:pPr>
            <w:r w:rsidRPr="00264D5D">
              <w:t>tZSCH2</w:t>
            </w:r>
          </w:p>
        </w:tc>
        <w:tc>
          <w:tcPr>
            <w:tcW w:w="1701" w:type="dxa"/>
            <w:tcMar>
              <w:left w:w="28" w:type="dxa"/>
              <w:right w:w="28" w:type="dxa"/>
            </w:tcMar>
          </w:tcPr>
          <w:p w14:paraId="70EC87E2" w14:textId="77777777" w:rsidR="00AD1F54" w:rsidRPr="00264D5D" w:rsidRDefault="00941227">
            <w:pPr>
              <w:pStyle w:val="GOSTTablenorm"/>
            </w:pPr>
            <w:r w:rsidRPr="00264D5D">
              <w:t>ZSCH2_ITEM</w:t>
            </w:r>
          </w:p>
        </w:tc>
        <w:tc>
          <w:tcPr>
            <w:tcW w:w="567" w:type="dxa"/>
            <w:tcMar>
              <w:left w:w="28" w:type="dxa"/>
              <w:right w:w="28" w:type="dxa"/>
            </w:tcMar>
          </w:tcPr>
          <w:p w14:paraId="3D25D034" w14:textId="77777777" w:rsidR="00AD1F54" w:rsidRPr="00264D5D" w:rsidRDefault="00941227">
            <w:pPr>
              <w:pStyle w:val="GOSTTablenorm"/>
              <w:jc w:val="center"/>
            </w:pPr>
            <w:r w:rsidRPr="00264D5D">
              <w:t>С</w:t>
            </w:r>
          </w:p>
        </w:tc>
        <w:tc>
          <w:tcPr>
            <w:tcW w:w="1134" w:type="dxa"/>
            <w:tcMar>
              <w:left w:w="28" w:type="dxa"/>
              <w:right w:w="28" w:type="dxa"/>
            </w:tcMar>
          </w:tcPr>
          <w:p w14:paraId="6EB13254" w14:textId="77777777" w:rsidR="00AD1F54" w:rsidRPr="00264D5D" w:rsidRDefault="00941227">
            <w:pPr>
              <w:pStyle w:val="GOSTTablenorm"/>
            </w:pPr>
            <w:r w:rsidRPr="00264D5D">
              <w:t>tZSCH2_ITEM</w:t>
            </w:r>
          </w:p>
        </w:tc>
        <w:tc>
          <w:tcPr>
            <w:tcW w:w="567" w:type="dxa"/>
            <w:tcMar>
              <w:left w:w="28" w:type="dxa"/>
              <w:right w:w="28" w:type="dxa"/>
            </w:tcMar>
          </w:tcPr>
          <w:p w14:paraId="1EE4BFBF" w14:textId="77777777" w:rsidR="00AD1F54" w:rsidRPr="00264D5D" w:rsidRDefault="00941227">
            <w:pPr>
              <w:pStyle w:val="GOSTTablenorm"/>
              <w:jc w:val="center"/>
            </w:pPr>
            <w:r w:rsidRPr="00264D5D">
              <w:t>ОМ</w:t>
            </w:r>
          </w:p>
        </w:tc>
        <w:tc>
          <w:tcPr>
            <w:tcW w:w="3963" w:type="dxa"/>
            <w:tcMar>
              <w:left w:w="28" w:type="dxa"/>
              <w:right w:w="28" w:type="dxa"/>
            </w:tcMar>
          </w:tcPr>
          <w:p w14:paraId="489CC659" w14:textId="77777777" w:rsidR="00AD1F54" w:rsidRPr="00264D5D" w:rsidRDefault="00941227">
            <w:pPr>
              <w:pStyle w:val="GOSTTablenorm"/>
            </w:pPr>
            <w:r w:rsidRPr="00264D5D">
              <w:t>Расшифровка заявки на получение наличных денег (строки).</w:t>
            </w:r>
          </w:p>
          <w:p w14:paraId="41721481" w14:textId="6E80C527" w:rsidR="00AD1F54" w:rsidRPr="00264D5D" w:rsidRDefault="00941227">
            <w:pPr>
              <w:pStyle w:val="GOSTTablenorm"/>
            </w:pPr>
            <w:r w:rsidRPr="00264D5D">
              <w:lastRenderedPageBreak/>
              <w:t xml:space="preserve">Состав элемента представлен в таблице </w:t>
            </w:r>
            <w:r w:rsidRPr="00264D5D">
              <w:rPr>
                <w:b/>
              </w:rPr>
              <w:fldChar w:fldCharType="begin"/>
            </w:r>
            <w:r w:rsidRPr="00264D5D">
              <w:rPr>
                <w:b/>
              </w:rPr>
              <w:instrText xml:space="preserve"> REF _Ref503551935 \h  \* MERGEFORMAT </w:instrText>
            </w:r>
            <w:r w:rsidRPr="00264D5D">
              <w:rPr>
                <w:b/>
              </w:rPr>
            </w:r>
            <w:r w:rsidRPr="00264D5D">
              <w:rPr>
                <w:b/>
              </w:rPr>
              <w:fldChar w:fldCharType="separate"/>
            </w:r>
            <w:r w:rsidR="008D797C" w:rsidRPr="008D797C">
              <w:rPr>
                <w:b/>
                <w:szCs w:val="22"/>
              </w:rPr>
              <w:t>294</w:t>
            </w:r>
            <w:r w:rsidRPr="00264D5D">
              <w:rPr>
                <w:b/>
              </w:rPr>
              <w:fldChar w:fldCharType="end"/>
            </w:r>
          </w:p>
        </w:tc>
      </w:tr>
    </w:tbl>
    <w:p w14:paraId="460D5D86" w14:textId="77777777" w:rsidR="00AD1F54" w:rsidRPr="00264D5D" w:rsidRDefault="00941227">
      <w:pPr>
        <w:pStyle w:val="31"/>
      </w:pPr>
      <w:bookmarkStart w:id="3158" w:name="_Toc501726973"/>
      <w:bookmarkStart w:id="3159" w:name="_Toc508712750"/>
      <w:bookmarkStart w:id="3160" w:name="_Toc18509212"/>
      <w:r w:rsidRPr="00264D5D">
        <w:lastRenderedPageBreak/>
        <w:t xml:space="preserve"> </w:t>
      </w:r>
      <w:bookmarkStart w:id="3161" w:name="_Toc219309770"/>
      <w:r w:rsidRPr="00264D5D">
        <w:t>Описание комплексного типа «tZSCH2_ITEM»</w:t>
      </w:r>
      <w:bookmarkEnd w:id="3158"/>
      <w:bookmarkEnd w:id="3159"/>
      <w:bookmarkEnd w:id="3160"/>
      <w:bookmarkEnd w:id="3161"/>
    </w:p>
    <w:p w14:paraId="09C9C84E" w14:textId="77777777" w:rsidR="00AD1F54" w:rsidRPr="00264D5D" w:rsidRDefault="00941227">
      <w:pPr>
        <w:pStyle w:val="GOSTNormal"/>
      </w:pPr>
      <w:r w:rsidRPr="00264D5D">
        <w:t>Описание комплексного типа</w:t>
      </w:r>
      <w:r w:rsidRPr="00264D5D">
        <w:rPr>
          <w:b/>
          <w:iCs/>
        </w:rPr>
        <w:t xml:space="preserve"> «</w:t>
      </w:r>
      <w:r w:rsidRPr="00264D5D">
        <w:t xml:space="preserve">tZSCH2_ITEM» блока «Расшифровка заявки на получение наличных денег (строки)». </w:t>
      </w:r>
    </w:p>
    <w:p w14:paraId="1D161E06" w14:textId="24F55448" w:rsidR="00AD1F54" w:rsidRPr="00264D5D" w:rsidRDefault="00183F01">
      <w:pPr>
        <w:pStyle w:val="GOSTNameTable"/>
        <w:numPr>
          <w:ilvl w:val="0"/>
          <w:numId w:val="2"/>
        </w:numPr>
        <w:ind w:left="425" w:hanging="357"/>
      </w:pPr>
      <w:r>
        <w:rPr>
          <w:noProof/>
        </w:rPr>
        <w:fldChar w:fldCharType="begin"/>
      </w:r>
      <w:r>
        <w:rPr>
          <w:noProof/>
        </w:rPr>
        <w:instrText xml:space="preserve"> SEQ Таблица \* ARABIC </w:instrText>
      </w:r>
      <w:r>
        <w:rPr>
          <w:noProof/>
        </w:rPr>
        <w:fldChar w:fldCharType="separate"/>
      </w:r>
      <w:bookmarkStart w:id="3162" w:name="_Ref503551935"/>
      <w:bookmarkStart w:id="3163" w:name="_Toc18509501"/>
      <w:bookmarkStart w:id="3164" w:name="_Toc219309324"/>
      <w:r w:rsidR="008D797C">
        <w:rPr>
          <w:noProof/>
        </w:rPr>
        <w:t>294</w:t>
      </w:r>
      <w:bookmarkEnd w:id="3162"/>
      <w:r>
        <w:rPr>
          <w:noProof/>
        </w:rPr>
        <w:fldChar w:fldCharType="end"/>
      </w:r>
      <w:r w:rsidR="00941227" w:rsidRPr="00264D5D">
        <w:rPr>
          <w:rFonts w:eastAsia="Calibri"/>
          <w:szCs w:val="24"/>
        </w:rPr>
        <w:t xml:space="preserve"> –</w:t>
      </w:r>
      <w:r w:rsidR="00941227" w:rsidRPr="00264D5D">
        <w:t xml:space="preserve"> Описание комплексного типа «tZSCH2_ITEM»</w:t>
      </w:r>
      <w:bookmarkEnd w:id="3163"/>
      <w:bookmarkEnd w:id="3164"/>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0591C9FD"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748A7CCE" w14:textId="77777777" w:rsidR="00AD1F54" w:rsidRPr="00264D5D" w:rsidRDefault="00941227">
            <w:pPr>
              <w:pStyle w:val="ASFKTableHead"/>
            </w:pPr>
            <w:r w:rsidRPr="00264D5D">
              <w:t>Наименование элемента</w:t>
            </w:r>
          </w:p>
        </w:tc>
        <w:tc>
          <w:tcPr>
            <w:tcW w:w="1701" w:type="dxa"/>
          </w:tcPr>
          <w:p w14:paraId="7FE2E69D" w14:textId="77777777" w:rsidR="00AD1F54" w:rsidRPr="00264D5D" w:rsidRDefault="00941227">
            <w:pPr>
              <w:pStyle w:val="ASFKTableHead"/>
            </w:pPr>
            <w:r w:rsidRPr="00264D5D">
              <w:t>Сокращенное наименование (код) элемента</w:t>
            </w:r>
          </w:p>
        </w:tc>
        <w:tc>
          <w:tcPr>
            <w:tcW w:w="567" w:type="dxa"/>
          </w:tcPr>
          <w:p w14:paraId="3EB617EF" w14:textId="77777777" w:rsidR="00AD1F54" w:rsidRPr="00264D5D" w:rsidRDefault="00941227">
            <w:pPr>
              <w:pStyle w:val="ASFKTableHead"/>
            </w:pPr>
            <w:r w:rsidRPr="00264D5D">
              <w:t>Тип</w:t>
            </w:r>
          </w:p>
        </w:tc>
        <w:tc>
          <w:tcPr>
            <w:tcW w:w="1134" w:type="dxa"/>
          </w:tcPr>
          <w:p w14:paraId="6AC11240" w14:textId="77777777" w:rsidR="00AD1F54" w:rsidRPr="00264D5D" w:rsidRDefault="00941227">
            <w:pPr>
              <w:pStyle w:val="ASFKTableHead"/>
            </w:pPr>
            <w:r w:rsidRPr="00264D5D">
              <w:t>Формат элемента</w:t>
            </w:r>
          </w:p>
        </w:tc>
        <w:tc>
          <w:tcPr>
            <w:tcW w:w="567" w:type="dxa"/>
          </w:tcPr>
          <w:p w14:paraId="0BE606B5" w14:textId="77777777" w:rsidR="00AD1F54" w:rsidRPr="00264D5D" w:rsidRDefault="00941227">
            <w:pPr>
              <w:pStyle w:val="ASFKTableHead"/>
            </w:pPr>
            <w:r w:rsidRPr="00264D5D">
              <w:t>Обязательность</w:t>
            </w:r>
          </w:p>
        </w:tc>
        <w:tc>
          <w:tcPr>
            <w:tcW w:w="3963" w:type="dxa"/>
          </w:tcPr>
          <w:p w14:paraId="129BFEFC" w14:textId="77777777" w:rsidR="00AD1F54" w:rsidRPr="00264D5D" w:rsidRDefault="00941227">
            <w:pPr>
              <w:pStyle w:val="ASFKTableHead"/>
            </w:pPr>
            <w:r w:rsidRPr="00264D5D">
              <w:t>Дополнительная информация</w:t>
            </w:r>
          </w:p>
        </w:tc>
      </w:tr>
      <w:tr w:rsidR="00AD1F54" w:rsidRPr="00264D5D" w14:paraId="1A7B0BCD"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4FEAA7A" w14:textId="77777777" w:rsidR="00AD1F54" w:rsidRPr="00264D5D" w:rsidRDefault="00941227">
            <w:pPr>
              <w:pStyle w:val="GOSTTablenorm"/>
            </w:pPr>
            <w:r w:rsidRPr="00264D5D">
              <w:t>Порядковый номер</w:t>
            </w:r>
          </w:p>
        </w:tc>
        <w:tc>
          <w:tcPr>
            <w:tcW w:w="1701" w:type="dxa"/>
          </w:tcPr>
          <w:p w14:paraId="78DEF3AB" w14:textId="77777777" w:rsidR="00AD1F54" w:rsidRPr="00264D5D" w:rsidRDefault="00941227">
            <w:pPr>
              <w:pStyle w:val="GOSTTablenorm"/>
            </w:pPr>
            <w:r w:rsidRPr="00264D5D">
              <w:rPr>
                <w:rFonts w:eastAsiaTheme="minorHAnsi"/>
                <w:lang w:eastAsia="en-US"/>
              </w:rPr>
              <w:t>NmbRw</w:t>
            </w:r>
          </w:p>
        </w:tc>
        <w:tc>
          <w:tcPr>
            <w:tcW w:w="567" w:type="dxa"/>
          </w:tcPr>
          <w:p w14:paraId="1C36CFCC" w14:textId="77777777" w:rsidR="00AD1F54" w:rsidRPr="00264D5D" w:rsidRDefault="00941227">
            <w:pPr>
              <w:pStyle w:val="GOSTTablenorm"/>
              <w:jc w:val="center"/>
            </w:pPr>
            <w:r w:rsidRPr="00264D5D">
              <w:t>П</w:t>
            </w:r>
          </w:p>
        </w:tc>
        <w:tc>
          <w:tcPr>
            <w:tcW w:w="1134" w:type="dxa"/>
          </w:tcPr>
          <w:p w14:paraId="7DCE9581" w14:textId="77777777" w:rsidR="00AD1F54" w:rsidRPr="00264D5D" w:rsidRDefault="00941227">
            <w:pPr>
              <w:pStyle w:val="GOSTTablenorm"/>
            </w:pPr>
            <w:r w:rsidRPr="00264D5D">
              <w:t>Т(1-7)</w:t>
            </w:r>
          </w:p>
        </w:tc>
        <w:tc>
          <w:tcPr>
            <w:tcW w:w="567" w:type="dxa"/>
          </w:tcPr>
          <w:p w14:paraId="794A723E" w14:textId="77777777" w:rsidR="00AD1F54" w:rsidRPr="00264D5D" w:rsidRDefault="00941227">
            <w:pPr>
              <w:pStyle w:val="GOSTTablenorm"/>
              <w:jc w:val="center"/>
            </w:pPr>
            <w:r w:rsidRPr="00264D5D">
              <w:t>Н</w:t>
            </w:r>
          </w:p>
        </w:tc>
        <w:tc>
          <w:tcPr>
            <w:tcW w:w="3963" w:type="dxa"/>
          </w:tcPr>
          <w:p w14:paraId="380DA272" w14:textId="77777777" w:rsidR="00AD1F54" w:rsidRPr="00264D5D" w:rsidRDefault="00941227">
            <w:pPr>
              <w:pStyle w:val="GOSTTablenorm"/>
            </w:pPr>
            <w:r w:rsidRPr="00264D5D">
              <w:t xml:space="preserve">Указывается порядковый номер записи. </w:t>
            </w:r>
          </w:p>
          <w:p w14:paraId="7E1DB4DE" w14:textId="77777777" w:rsidR="00AD1F54" w:rsidRPr="00264D5D" w:rsidRDefault="00941227">
            <w:pPr>
              <w:pStyle w:val="GOSTTablenorm"/>
            </w:pPr>
            <w:r w:rsidRPr="00264D5D">
              <w:t xml:space="preserve">Обязательно для заполнения </w:t>
            </w:r>
            <w:r w:rsidRPr="00264D5D">
              <w:rPr>
                <w:szCs w:val="22"/>
              </w:rPr>
              <w:t>если реквизит «</w:t>
            </w:r>
            <w:r w:rsidRPr="00264D5D">
              <w:t>Код платежного документа» = «</w:t>
            </w:r>
            <w:r w:rsidRPr="00264D5D">
              <w:rPr>
                <w:lang w:val="en-US"/>
              </w:rPr>
              <w:t>ZP</w:t>
            </w:r>
            <w:r w:rsidRPr="00264D5D">
              <w:t>».</w:t>
            </w:r>
          </w:p>
          <w:p w14:paraId="54B0B776" w14:textId="77777777" w:rsidR="00AD1F54" w:rsidRPr="00264D5D" w:rsidRDefault="00941227" w:rsidP="00D65AFB">
            <w:pPr>
              <w:pStyle w:val="GOSTTablenorm"/>
            </w:pPr>
            <w:r w:rsidRPr="00264D5D">
              <w:t>Используется при информационном взаимодействии по маршрута</w:t>
            </w:r>
            <w:r w:rsidR="00D65AFB">
              <w:t>м ПБС (ПФХД) – ТОФК (ПУР ЭБ)</w:t>
            </w:r>
          </w:p>
        </w:tc>
      </w:tr>
      <w:tr w:rsidR="00AD1F54" w:rsidRPr="00264D5D" w14:paraId="7FB89F8D"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D807A75" w14:textId="77777777" w:rsidR="00AD1F54" w:rsidRPr="00264D5D" w:rsidRDefault="00941227">
            <w:pPr>
              <w:pStyle w:val="GOSTTablenorm"/>
            </w:pPr>
            <w:r w:rsidRPr="00264D5D">
              <w:t>Источник средств</w:t>
            </w:r>
          </w:p>
        </w:tc>
        <w:tc>
          <w:tcPr>
            <w:tcW w:w="1701" w:type="dxa"/>
          </w:tcPr>
          <w:p w14:paraId="44E6C32E" w14:textId="77777777" w:rsidR="00AD1F54" w:rsidRPr="00264D5D" w:rsidRDefault="00941227">
            <w:pPr>
              <w:pStyle w:val="GOSTTablenorm"/>
            </w:pPr>
            <w:r w:rsidRPr="00264D5D">
              <w:t>FndsSrc</w:t>
            </w:r>
          </w:p>
        </w:tc>
        <w:tc>
          <w:tcPr>
            <w:tcW w:w="567" w:type="dxa"/>
          </w:tcPr>
          <w:p w14:paraId="63DA8C1B" w14:textId="77777777" w:rsidR="00AD1F54" w:rsidRPr="00264D5D" w:rsidRDefault="00941227">
            <w:pPr>
              <w:pStyle w:val="GOSTTablenorm"/>
              <w:jc w:val="center"/>
            </w:pPr>
            <w:r w:rsidRPr="00264D5D">
              <w:t>С</w:t>
            </w:r>
          </w:p>
        </w:tc>
        <w:tc>
          <w:tcPr>
            <w:tcW w:w="1134" w:type="dxa"/>
          </w:tcPr>
          <w:p w14:paraId="523DE430" w14:textId="77777777" w:rsidR="00AD1F54" w:rsidRPr="00264D5D" w:rsidRDefault="00941227">
            <w:pPr>
              <w:pStyle w:val="GOSTTablenorm"/>
            </w:pPr>
            <w:r w:rsidRPr="00264D5D">
              <w:t>tMSC_SrcTypeComplex6</w:t>
            </w:r>
          </w:p>
        </w:tc>
        <w:tc>
          <w:tcPr>
            <w:tcW w:w="567" w:type="dxa"/>
          </w:tcPr>
          <w:p w14:paraId="2B67F35C" w14:textId="77777777" w:rsidR="00AD1F54" w:rsidRPr="00264D5D" w:rsidRDefault="00A12A8C">
            <w:pPr>
              <w:pStyle w:val="GOSTTablenorm"/>
              <w:jc w:val="center"/>
            </w:pPr>
            <w:r w:rsidRPr="00264D5D">
              <w:t>Н</w:t>
            </w:r>
          </w:p>
        </w:tc>
        <w:tc>
          <w:tcPr>
            <w:tcW w:w="3963" w:type="dxa"/>
          </w:tcPr>
          <w:p w14:paraId="4DEFD5CE" w14:textId="77777777" w:rsidR="00A12A8C" w:rsidRPr="00264D5D" w:rsidRDefault="00941227" w:rsidP="00A12A8C">
            <w:pPr>
              <w:pStyle w:val="GOSTTablenorm"/>
            </w:pPr>
            <w:r w:rsidRPr="00264D5D">
              <w:t>Указывается код источника средств, за счет которого должны быть выданы наличные денежные средства.</w:t>
            </w:r>
            <w:r w:rsidR="00A12A8C" w:rsidRPr="00264D5D">
              <w:t xml:space="preserve"> </w:t>
            </w:r>
          </w:p>
          <w:p w14:paraId="04EA2152" w14:textId="77777777" w:rsidR="00A12A8C" w:rsidRPr="00264D5D" w:rsidRDefault="00A12A8C" w:rsidP="00A12A8C">
            <w:pPr>
              <w:pStyle w:val="GOSTTablenorm"/>
            </w:pPr>
            <w:r w:rsidRPr="00264D5D">
              <w:rPr>
                <w:szCs w:val="22"/>
              </w:rPr>
              <w:t>Поле не заполняется для маршрута НУБП (ПСБ и Росавтодор) – ТОФК.</w:t>
            </w:r>
          </w:p>
          <w:p w14:paraId="250D0655" w14:textId="0F851761" w:rsidR="00AD1F54" w:rsidRPr="00264D5D" w:rsidRDefault="00941227">
            <w:pPr>
              <w:pStyle w:val="GOSTTablenorm"/>
            </w:pPr>
            <w:r w:rsidRPr="00264D5D">
              <w:t xml:space="preserve">Состав элемента представлен в таблице </w:t>
            </w:r>
            <w:r w:rsidRPr="00264D5D">
              <w:rPr>
                <w:b/>
              </w:rPr>
              <w:fldChar w:fldCharType="begin"/>
            </w:r>
            <w:r w:rsidRPr="00264D5D">
              <w:rPr>
                <w:b/>
              </w:rPr>
              <w:instrText xml:space="preserve"> REF _Ref503531101 \h  \* MERGEFORMAT </w:instrText>
            </w:r>
            <w:r w:rsidRPr="00264D5D">
              <w:rPr>
                <w:b/>
              </w:rPr>
            </w:r>
            <w:r w:rsidRPr="00264D5D">
              <w:rPr>
                <w:b/>
              </w:rPr>
              <w:fldChar w:fldCharType="separate"/>
            </w:r>
            <w:r w:rsidR="008D797C" w:rsidRPr="008D797C">
              <w:rPr>
                <w:b/>
                <w:bCs/>
                <w:szCs w:val="22"/>
              </w:rPr>
              <w:t>298</w:t>
            </w:r>
            <w:r w:rsidRPr="00264D5D">
              <w:rPr>
                <w:b/>
              </w:rPr>
              <w:fldChar w:fldCharType="end"/>
            </w:r>
          </w:p>
        </w:tc>
      </w:tr>
      <w:tr w:rsidR="00AD1F54" w:rsidRPr="00264D5D" w14:paraId="1560E09A"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8CDD8A9" w14:textId="77777777" w:rsidR="00AD1F54" w:rsidRPr="00264D5D" w:rsidRDefault="00941227">
            <w:pPr>
              <w:pStyle w:val="GOSTTablenorm"/>
            </w:pPr>
            <w:r w:rsidRPr="00264D5D">
              <w:t>Сумма</w:t>
            </w:r>
          </w:p>
        </w:tc>
        <w:tc>
          <w:tcPr>
            <w:tcW w:w="1701" w:type="dxa"/>
          </w:tcPr>
          <w:p w14:paraId="3BFDAFB9" w14:textId="77777777" w:rsidR="00AD1F54" w:rsidRPr="00264D5D" w:rsidRDefault="00941227">
            <w:pPr>
              <w:pStyle w:val="GOSTTablenorm"/>
            </w:pPr>
            <w:r w:rsidRPr="00264D5D">
              <w:t>Amnt1</w:t>
            </w:r>
          </w:p>
        </w:tc>
        <w:tc>
          <w:tcPr>
            <w:tcW w:w="567" w:type="dxa"/>
          </w:tcPr>
          <w:p w14:paraId="0E4B2E5E" w14:textId="77777777" w:rsidR="00AD1F54" w:rsidRPr="00264D5D" w:rsidRDefault="00941227">
            <w:pPr>
              <w:pStyle w:val="GOSTTablenorm"/>
              <w:jc w:val="center"/>
            </w:pPr>
            <w:r w:rsidRPr="00264D5D">
              <w:t>П</w:t>
            </w:r>
          </w:p>
        </w:tc>
        <w:tc>
          <w:tcPr>
            <w:tcW w:w="1134" w:type="dxa"/>
          </w:tcPr>
          <w:p w14:paraId="753E7DAC" w14:textId="77777777" w:rsidR="00AD1F54" w:rsidRPr="00264D5D" w:rsidRDefault="00941227">
            <w:pPr>
              <w:pStyle w:val="GOSTTablenorm"/>
            </w:pPr>
            <w:r w:rsidRPr="00264D5D">
              <w:rPr>
                <w:lang w:val="en-US"/>
              </w:rPr>
              <w:t>N(20</w:t>
            </w:r>
            <w:r w:rsidRPr="00264D5D">
              <w:t>.</w:t>
            </w:r>
            <w:r w:rsidRPr="00264D5D">
              <w:rPr>
                <w:lang w:val="en-US"/>
              </w:rPr>
              <w:t>2)</w:t>
            </w:r>
          </w:p>
        </w:tc>
        <w:tc>
          <w:tcPr>
            <w:tcW w:w="567" w:type="dxa"/>
          </w:tcPr>
          <w:p w14:paraId="79683228" w14:textId="77777777" w:rsidR="00AD1F54" w:rsidRPr="00264D5D" w:rsidRDefault="00941227">
            <w:pPr>
              <w:pStyle w:val="GOSTTablenorm"/>
              <w:jc w:val="center"/>
            </w:pPr>
            <w:r w:rsidRPr="00264D5D">
              <w:t>О</w:t>
            </w:r>
          </w:p>
        </w:tc>
        <w:tc>
          <w:tcPr>
            <w:tcW w:w="3963" w:type="dxa"/>
          </w:tcPr>
          <w:p w14:paraId="2D592058" w14:textId="77777777" w:rsidR="00AD1F54" w:rsidRPr="00264D5D" w:rsidRDefault="00941227">
            <w:pPr>
              <w:pStyle w:val="GOSTTablenorm"/>
            </w:pPr>
            <w:r w:rsidRPr="00264D5D">
              <w:t>Сумма по КБК (коду цели).</w:t>
            </w:r>
          </w:p>
          <w:p w14:paraId="4F3A9487" w14:textId="77777777" w:rsidR="00AD1F54" w:rsidRPr="00264D5D" w:rsidRDefault="00941227">
            <w:pPr>
              <w:pStyle w:val="GOSTTablenorm"/>
            </w:pPr>
            <w:r w:rsidRPr="00264D5D">
              <w:t>При одновременном отсутствии показателей по коду по КБК и коду цели заполн</w:t>
            </w:r>
            <w:r w:rsidR="00B06B9A" w:rsidRPr="00264D5D">
              <w:t>яется значением суммы документа</w:t>
            </w:r>
          </w:p>
        </w:tc>
      </w:tr>
      <w:tr w:rsidR="00AD1F54" w:rsidRPr="00264D5D" w14:paraId="542128E5"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40953A74" w14:textId="77777777" w:rsidR="00AD1F54" w:rsidRPr="00264D5D" w:rsidRDefault="00941227">
            <w:pPr>
              <w:pStyle w:val="GOSTTablenorm"/>
            </w:pPr>
            <w:r w:rsidRPr="00264D5D">
              <w:t>Назначение платежа</w:t>
            </w:r>
          </w:p>
        </w:tc>
        <w:tc>
          <w:tcPr>
            <w:tcW w:w="1701" w:type="dxa"/>
          </w:tcPr>
          <w:p w14:paraId="37F04B0F" w14:textId="77777777" w:rsidR="00AD1F54" w:rsidRPr="00264D5D" w:rsidRDefault="00941227">
            <w:pPr>
              <w:pStyle w:val="GOSTTablenorm"/>
            </w:pPr>
            <w:r w:rsidRPr="00264D5D">
              <w:t>PyPrps</w:t>
            </w:r>
          </w:p>
        </w:tc>
        <w:tc>
          <w:tcPr>
            <w:tcW w:w="567" w:type="dxa"/>
          </w:tcPr>
          <w:p w14:paraId="187C4CE7" w14:textId="77777777" w:rsidR="00AD1F54" w:rsidRPr="00264D5D" w:rsidRDefault="00941227">
            <w:pPr>
              <w:pStyle w:val="GOSTTablenorm"/>
              <w:jc w:val="center"/>
            </w:pPr>
            <w:r w:rsidRPr="00264D5D">
              <w:t>П</w:t>
            </w:r>
          </w:p>
        </w:tc>
        <w:tc>
          <w:tcPr>
            <w:tcW w:w="1134" w:type="dxa"/>
          </w:tcPr>
          <w:p w14:paraId="739EF436" w14:textId="77777777" w:rsidR="00AD1F54" w:rsidRPr="00264D5D" w:rsidRDefault="00941227">
            <w:pPr>
              <w:pStyle w:val="GOSTTablenorm"/>
            </w:pPr>
            <w:r w:rsidRPr="00264D5D">
              <w:rPr>
                <w:lang w:val="en-US"/>
              </w:rPr>
              <w:t>Т(</w:t>
            </w:r>
            <w:r w:rsidRPr="00264D5D">
              <w:t>1</w:t>
            </w:r>
            <w:r w:rsidRPr="00264D5D">
              <w:rPr>
                <w:lang w:val="en-US"/>
              </w:rPr>
              <w:t>-</w:t>
            </w:r>
            <w:r w:rsidRPr="00264D5D">
              <w:t>2</w:t>
            </w:r>
            <w:r w:rsidRPr="00264D5D">
              <w:rPr>
                <w:lang w:val="en-US"/>
              </w:rPr>
              <w:t>1</w:t>
            </w:r>
            <w:r w:rsidRPr="00264D5D">
              <w:t>0</w:t>
            </w:r>
            <w:r w:rsidRPr="00264D5D">
              <w:rPr>
                <w:lang w:val="en-US"/>
              </w:rPr>
              <w:t>)</w:t>
            </w:r>
          </w:p>
        </w:tc>
        <w:tc>
          <w:tcPr>
            <w:tcW w:w="567" w:type="dxa"/>
          </w:tcPr>
          <w:p w14:paraId="340BA198" w14:textId="77777777" w:rsidR="00AD1F54" w:rsidRPr="00264D5D" w:rsidRDefault="00941227">
            <w:pPr>
              <w:pStyle w:val="GOSTTablenorm"/>
              <w:jc w:val="center"/>
            </w:pPr>
            <w:r w:rsidRPr="00264D5D">
              <w:t>О</w:t>
            </w:r>
          </w:p>
        </w:tc>
        <w:tc>
          <w:tcPr>
            <w:tcW w:w="3963" w:type="dxa"/>
          </w:tcPr>
          <w:p w14:paraId="3D43264D" w14:textId="77777777" w:rsidR="00AD1F54" w:rsidRPr="00264D5D" w:rsidRDefault="00941227">
            <w:pPr>
              <w:pStyle w:val="GOSTTablenorm"/>
            </w:pPr>
            <w:r w:rsidRPr="00264D5D">
              <w:t>Назначение платежа в соответствии с документом-основа</w:t>
            </w:r>
            <w:r w:rsidR="00B06B9A" w:rsidRPr="00264D5D">
              <w:t>нием возникновения обязательств</w:t>
            </w:r>
          </w:p>
        </w:tc>
      </w:tr>
      <w:tr w:rsidR="00AD1F54" w:rsidRPr="00264D5D" w14:paraId="6B2AC96A"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72AB9A0" w14:textId="77777777" w:rsidR="00AD1F54" w:rsidRPr="00264D5D" w:rsidRDefault="00941227">
            <w:pPr>
              <w:pStyle w:val="GOSTTablenorm"/>
            </w:pPr>
            <w:r w:rsidRPr="00264D5D">
              <w:t>Примечание</w:t>
            </w:r>
          </w:p>
          <w:p w14:paraId="5D200032" w14:textId="77777777" w:rsidR="00AD1F54" w:rsidRPr="00264D5D" w:rsidRDefault="00AD1F54">
            <w:pPr>
              <w:spacing w:before="60" w:after="60"/>
              <w:jc w:val="center"/>
              <w:rPr>
                <w:szCs w:val="22"/>
              </w:rPr>
            </w:pPr>
          </w:p>
        </w:tc>
        <w:tc>
          <w:tcPr>
            <w:tcW w:w="1701" w:type="dxa"/>
          </w:tcPr>
          <w:p w14:paraId="2FB46C89" w14:textId="77777777" w:rsidR="00AD1F54" w:rsidRPr="00264D5D" w:rsidRDefault="00941227">
            <w:pPr>
              <w:pStyle w:val="GOSTTablenorm"/>
            </w:pPr>
            <w:r w:rsidRPr="00264D5D">
              <w:t>Nt</w:t>
            </w:r>
          </w:p>
        </w:tc>
        <w:tc>
          <w:tcPr>
            <w:tcW w:w="567" w:type="dxa"/>
          </w:tcPr>
          <w:p w14:paraId="37B48C9A" w14:textId="77777777" w:rsidR="00AD1F54" w:rsidRPr="00264D5D" w:rsidRDefault="00941227">
            <w:pPr>
              <w:pStyle w:val="GOSTTablenorm"/>
              <w:jc w:val="center"/>
            </w:pPr>
            <w:r w:rsidRPr="00264D5D">
              <w:t>П</w:t>
            </w:r>
          </w:p>
        </w:tc>
        <w:tc>
          <w:tcPr>
            <w:tcW w:w="1134" w:type="dxa"/>
          </w:tcPr>
          <w:p w14:paraId="2482B8B4" w14:textId="77777777" w:rsidR="00AD1F54" w:rsidRPr="00264D5D" w:rsidRDefault="00941227">
            <w:pPr>
              <w:pStyle w:val="GOSTTablenorm"/>
              <w:rPr>
                <w:lang w:val="en-US"/>
              </w:rPr>
            </w:pPr>
            <w:r w:rsidRPr="00264D5D">
              <w:rPr>
                <w:lang w:val="en-US"/>
              </w:rPr>
              <w:t>Т(</w:t>
            </w:r>
            <w:r w:rsidRPr="00264D5D">
              <w:t>1</w:t>
            </w:r>
            <w:r w:rsidRPr="00264D5D">
              <w:rPr>
                <w:lang w:val="en-US"/>
              </w:rPr>
              <w:t>-2</w:t>
            </w:r>
            <w:r w:rsidRPr="00264D5D">
              <w:t>54</w:t>
            </w:r>
            <w:r w:rsidRPr="00264D5D">
              <w:rPr>
                <w:lang w:val="en-US"/>
              </w:rPr>
              <w:t>)</w:t>
            </w:r>
          </w:p>
        </w:tc>
        <w:tc>
          <w:tcPr>
            <w:tcW w:w="567" w:type="dxa"/>
          </w:tcPr>
          <w:p w14:paraId="45F4932D" w14:textId="77777777" w:rsidR="00AD1F54" w:rsidRPr="00264D5D" w:rsidRDefault="00941227">
            <w:pPr>
              <w:pStyle w:val="GOSTTablenorm"/>
              <w:jc w:val="center"/>
            </w:pPr>
            <w:r w:rsidRPr="00264D5D">
              <w:t>Н</w:t>
            </w:r>
          </w:p>
        </w:tc>
        <w:tc>
          <w:tcPr>
            <w:tcW w:w="3963" w:type="dxa"/>
          </w:tcPr>
          <w:p w14:paraId="52BF119E" w14:textId="77777777" w:rsidR="00AD1F54" w:rsidRPr="00264D5D" w:rsidRDefault="00941227">
            <w:pPr>
              <w:pStyle w:val="GOSTTablenorm"/>
            </w:pPr>
            <w:r w:rsidRPr="00264D5D">
              <w:t>Информация, необходимая для исполнения бюджета.</w:t>
            </w:r>
          </w:p>
          <w:p w14:paraId="0713C64D" w14:textId="77777777" w:rsidR="00A12A8C" w:rsidRPr="00264D5D" w:rsidRDefault="00941227" w:rsidP="00A12A8C">
            <w:pPr>
              <w:pStyle w:val="GOSTTablenorm"/>
            </w:pPr>
            <w:r w:rsidRPr="00264D5D">
              <w:t xml:space="preserve"> В случае осуществления операции в целях реализации ОКС (ОКВ) или мероприятия по информатизации после признака «ОКС», «ОКВ», «КМИ» без пробелов и разделителей указывается уникальный код объекта капитального </w:t>
            </w:r>
            <w:r w:rsidRPr="00264D5D">
              <w:lastRenderedPageBreak/>
              <w:t>строительства или объекта недвижимости, код мероприятия по информа</w:t>
            </w:r>
            <w:r w:rsidR="00B06B9A" w:rsidRPr="00264D5D">
              <w:t>тизации</w:t>
            </w:r>
            <w:r w:rsidR="00A12A8C" w:rsidRPr="00264D5D">
              <w:t xml:space="preserve">. </w:t>
            </w:r>
          </w:p>
          <w:p w14:paraId="1CAB1AAB" w14:textId="77777777" w:rsidR="00AD1F54" w:rsidRPr="00264D5D" w:rsidRDefault="00A12A8C" w:rsidP="00A12A8C">
            <w:pPr>
              <w:pStyle w:val="GOSTTablenorm"/>
            </w:pPr>
            <w:r w:rsidRPr="00264D5D">
              <w:t>Если код платежного документа равен «ZP», то в первой строке блока «Расшифровка заявки на получение наличных денег (строки)» в поле «Примечание» при необходимости указывается информация о месте получения наличных денежных средств (код офиса подразделения кредитной организации или учреждения Банка России), которая отделяется с обеих сторон символами «//», пример: «//Калужское отделение №8608/0103 (код подразделения: 04086080103)//»</w:t>
            </w:r>
          </w:p>
        </w:tc>
      </w:tr>
      <w:tr w:rsidR="00AD1F54" w:rsidRPr="00264D5D" w14:paraId="1F18B1F6"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637DE9A8" w14:textId="77777777" w:rsidR="00AD1F54" w:rsidRPr="00264D5D" w:rsidRDefault="00941227">
            <w:pPr>
              <w:pStyle w:val="GOSTTablenorm"/>
            </w:pPr>
            <w:r w:rsidRPr="00264D5D">
              <w:lastRenderedPageBreak/>
              <w:t>Символ кассового плана</w:t>
            </w:r>
          </w:p>
        </w:tc>
        <w:tc>
          <w:tcPr>
            <w:tcW w:w="1701" w:type="dxa"/>
          </w:tcPr>
          <w:p w14:paraId="7079BF80" w14:textId="77777777" w:rsidR="00AD1F54" w:rsidRPr="00264D5D" w:rsidRDefault="00941227">
            <w:pPr>
              <w:pStyle w:val="GOSTTablenorm"/>
            </w:pPr>
            <w:r w:rsidRPr="00264D5D">
              <w:rPr>
                <w:rFonts w:eastAsiaTheme="minorHAnsi"/>
              </w:rPr>
              <w:t>SymbolCashPlan</w:t>
            </w:r>
          </w:p>
        </w:tc>
        <w:tc>
          <w:tcPr>
            <w:tcW w:w="567" w:type="dxa"/>
          </w:tcPr>
          <w:p w14:paraId="09B479CE" w14:textId="77777777" w:rsidR="00AD1F54" w:rsidRPr="00264D5D" w:rsidRDefault="00941227">
            <w:pPr>
              <w:pStyle w:val="GOSTTablenorm"/>
              <w:jc w:val="center"/>
            </w:pPr>
            <w:r w:rsidRPr="00264D5D">
              <w:t>П</w:t>
            </w:r>
          </w:p>
        </w:tc>
        <w:tc>
          <w:tcPr>
            <w:tcW w:w="1134" w:type="dxa"/>
          </w:tcPr>
          <w:p w14:paraId="6BB18151" w14:textId="77777777" w:rsidR="00AD1F54" w:rsidRPr="00264D5D" w:rsidRDefault="00941227">
            <w:pPr>
              <w:pStyle w:val="GOSTTablenorm"/>
              <w:rPr>
                <w:lang w:val="en-US"/>
              </w:rPr>
            </w:pPr>
            <w:r w:rsidRPr="00264D5D">
              <w:t>Т(2)</w:t>
            </w:r>
          </w:p>
        </w:tc>
        <w:tc>
          <w:tcPr>
            <w:tcW w:w="567" w:type="dxa"/>
          </w:tcPr>
          <w:p w14:paraId="13BAE415" w14:textId="77777777" w:rsidR="00AD1F54" w:rsidRPr="00264D5D" w:rsidRDefault="00941227">
            <w:pPr>
              <w:pStyle w:val="GOSTTablenorm"/>
              <w:jc w:val="center"/>
            </w:pPr>
            <w:r w:rsidRPr="00264D5D">
              <w:t>Н</w:t>
            </w:r>
          </w:p>
        </w:tc>
        <w:tc>
          <w:tcPr>
            <w:tcW w:w="3963" w:type="dxa"/>
          </w:tcPr>
          <w:p w14:paraId="03CCC396" w14:textId="77777777" w:rsidR="00AD1F54" w:rsidRPr="00264D5D" w:rsidRDefault="00941227">
            <w:pPr>
              <w:pStyle w:val="GOSTTablenorm"/>
            </w:pPr>
            <w:r w:rsidRPr="00264D5D">
              <w:t>Указывается символ кассового плана.</w:t>
            </w:r>
          </w:p>
          <w:p w14:paraId="61780FAE" w14:textId="77777777" w:rsidR="00AD1F54" w:rsidRPr="00264D5D" w:rsidRDefault="00941227">
            <w:pPr>
              <w:pStyle w:val="GOSTTablenorm"/>
            </w:pPr>
            <w:r w:rsidRPr="00264D5D">
              <w:t xml:space="preserve">Обязательно для заполнения </w:t>
            </w:r>
            <w:r w:rsidRPr="00264D5D">
              <w:rPr>
                <w:szCs w:val="22"/>
              </w:rPr>
              <w:t>если реквизит «</w:t>
            </w:r>
            <w:r w:rsidRPr="00264D5D">
              <w:t>Код платежного документа» = «</w:t>
            </w:r>
            <w:r w:rsidRPr="00264D5D">
              <w:rPr>
                <w:lang w:val="en-US"/>
              </w:rPr>
              <w:t>ZP</w:t>
            </w:r>
            <w:r w:rsidRPr="00264D5D">
              <w:t>».</w:t>
            </w:r>
          </w:p>
          <w:p w14:paraId="55FE7D45" w14:textId="77777777" w:rsidR="00AD1F54" w:rsidRPr="00264D5D" w:rsidRDefault="00941227" w:rsidP="00D65AFB">
            <w:pPr>
              <w:pStyle w:val="GOSTTablenorm"/>
            </w:pPr>
            <w:r w:rsidRPr="00264D5D">
              <w:t>Используется при информационном взаимодействии по маршрутам ПБС (ПФХД) – ТОФК (ПУР</w:t>
            </w:r>
            <w:r w:rsidR="00D65AFB">
              <w:t xml:space="preserve"> ЭБ)</w:t>
            </w:r>
          </w:p>
        </w:tc>
      </w:tr>
      <w:tr w:rsidR="00AD1F54" w:rsidRPr="00264D5D" w14:paraId="6483746E"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16FE171" w14:textId="77777777" w:rsidR="00AD1F54" w:rsidRPr="00264D5D" w:rsidRDefault="00941227">
            <w:pPr>
              <w:pStyle w:val="GOSTTablenorm"/>
            </w:pPr>
            <w:r w:rsidRPr="00264D5D">
              <w:t>КБК</w:t>
            </w:r>
          </w:p>
        </w:tc>
        <w:tc>
          <w:tcPr>
            <w:tcW w:w="1701" w:type="dxa"/>
          </w:tcPr>
          <w:p w14:paraId="0C2872F0" w14:textId="77777777" w:rsidR="00AD1F54" w:rsidRPr="00264D5D" w:rsidRDefault="00941227">
            <w:pPr>
              <w:pStyle w:val="GOSTTablenorm"/>
            </w:pPr>
            <w:r w:rsidRPr="00264D5D">
              <w:t>MSC_KBK</w:t>
            </w:r>
          </w:p>
        </w:tc>
        <w:tc>
          <w:tcPr>
            <w:tcW w:w="567" w:type="dxa"/>
          </w:tcPr>
          <w:p w14:paraId="06CE0E39" w14:textId="77777777" w:rsidR="00AD1F54" w:rsidRPr="00264D5D" w:rsidRDefault="00941227">
            <w:pPr>
              <w:pStyle w:val="GOSTTablenorm"/>
              <w:jc w:val="center"/>
            </w:pPr>
            <w:r w:rsidRPr="00264D5D">
              <w:t>С</w:t>
            </w:r>
          </w:p>
        </w:tc>
        <w:tc>
          <w:tcPr>
            <w:tcW w:w="1134" w:type="dxa"/>
          </w:tcPr>
          <w:p w14:paraId="2A045A8E" w14:textId="77777777" w:rsidR="00AD1F54" w:rsidRPr="00264D5D" w:rsidRDefault="00A12A8C">
            <w:pPr>
              <w:pStyle w:val="GOSTTablenorm"/>
            </w:pPr>
            <w:r w:rsidRPr="00264D5D">
              <w:t>tMSC_KBK10_20_KS</w:t>
            </w:r>
          </w:p>
        </w:tc>
        <w:tc>
          <w:tcPr>
            <w:tcW w:w="567" w:type="dxa"/>
          </w:tcPr>
          <w:p w14:paraId="0412B5C2" w14:textId="77777777" w:rsidR="00AD1F54" w:rsidRPr="00264D5D" w:rsidRDefault="00941227">
            <w:pPr>
              <w:pStyle w:val="GOSTTablenorm"/>
              <w:jc w:val="center"/>
            </w:pPr>
            <w:r w:rsidRPr="00264D5D">
              <w:t>Н</w:t>
            </w:r>
          </w:p>
        </w:tc>
        <w:tc>
          <w:tcPr>
            <w:tcW w:w="3963" w:type="dxa"/>
          </w:tcPr>
          <w:p w14:paraId="5CD3817B" w14:textId="77777777" w:rsidR="00AD1F54" w:rsidRPr="00264D5D" w:rsidRDefault="00941227">
            <w:pPr>
              <w:pStyle w:val="GOSTTablenorm"/>
            </w:pPr>
            <w:r w:rsidRPr="00264D5D">
              <w:t>Информация о КБК.</w:t>
            </w:r>
          </w:p>
          <w:p w14:paraId="391B39C1" w14:textId="677C89D7" w:rsidR="00AD1F54" w:rsidRPr="00264D5D" w:rsidRDefault="00941227">
            <w:pPr>
              <w:pStyle w:val="GOSTTablenorm"/>
            </w:pPr>
            <w:r w:rsidRPr="00264D5D">
              <w:t xml:space="preserve">Состав элемента представлен в таблице </w:t>
            </w:r>
            <w:r w:rsidRPr="00264D5D">
              <w:rPr>
                <w:b/>
              </w:rPr>
              <w:fldChar w:fldCharType="begin"/>
            </w:r>
            <w:r w:rsidRPr="00264D5D">
              <w:rPr>
                <w:b/>
              </w:rPr>
              <w:instrText xml:space="preserve"> REF _Ref503551992 \h  \* MERGEFORMAT </w:instrText>
            </w:r>
            <w:r w:rsidRPr="00264D5D">
              <w:rPr>
                <w:b/>
              </w:rPr>
            </w:r>
            <w:r w:rsidRPr="00264D5D">
              <w:rPr>
                <w:b/>
              </w:rPr>
              <w:fldChar w:fldCharType="separate"/>
            </w:r>
            <w:r w:rsidR="008D797C" w:rsidRPr="008D797C">
              <w:rPr>
                <w:b/>
              </w:rPr>
              <w:t>299</w:t>
            </w:r>
            <w:r w:rsidRPr="00264D5D">
              <w:rPr>
                <w:b/>
              </w:rPr>
              <w:fldChar w:fldCharType="end"/>
            </w:r>
          </w:p>
        </w:tc>
      </w:tr>
    </w:tbl>
    <w:p w14:paraId="22169F91" w14:textId="77777777" w:rsidR="00AD1F54" w:rsidRPr="00264D5D" w:rsidRDefault="00941227">
      <w:pPr>
        <w:pStyle w:val="31"/>
      </w:pPr>
      <w:bookmarkStart w:id="3165" w:name="_Toc143690204"/>
      <w:bookmarkStart w:id="3166" w:name="_Toc508712678"/>
      <w:bookmarkStart w:id="3167" w:name="_Toc18509213"/>
      <w:bookmarkStart w:id="3168" w:name="_Toc501726975"/>
      <w:bookmarkStart w:id="3169" w:name="_Toc508712751"/>
      <w:bookmarkStart w:id="3170" w:name="_Toc219309771"/>
      <w:r w:rsidRPr="00264D5D">
        <w:t>Описание комплексного типа «</w:t>
      </w:r>
      <w:r w:rsidRPr="00264D5D">
        <w:rPr>
          <w:rFonts w:eastAsiaTheme="minorHAnsi"/>
        </w:rPr>
        <w:t>tNominalInfo</w:t>
      </w:r>
      <w:r w:rsidRPr="00264D5D">
        <w:t>»</w:t>
      </w:r>
      <w:bookmarkEnd w:id="3165"/>
      <w:bookmarkEnd w:id="3170"/>
    </w:p>
    <w:p w14:paraId="58F43DF7" w14:textId="77777777" w:rsidR="00AD1F54" w:rsidRPr="00264D5D" w:rsidRDefault="00941227">
      <w:pPr>
        <w:pStyle w:val="GOSTNormal"/>
      </w:pPr>
      <w:r w:rsidRPr="00264D5D">
        <w:t>Описание комплексного типа «</w:t>
      </w:r>
      <w:r w:rsidRPr="00264D5D">
        <w:rPr>
          <w:rFonts w:eastAsiaTheme="minorHAnsi"/>
        </w:rPr>
        <w:t>tNominalInfo</w:t>
      </w:r>
      <w:r w:rsidRPr="00264D5D">
        <w:t xml:space="preserve">» блока «Информация о номиналах». </w:t>
      </w:r>
    </w:p>
    <w:p w14:paraId="2CFA00BA" w14:textId="43BE3246" w:rsidR="00AD1F54" w:rsidRPr="00264D5D" w:rsidRDefault="001E5517">
      <w:pPr>
        <w:pStyle w:val="GOSTNameTable"/>
        <w:numPr>
          <w:ilvl w:val="0"/>
          <w:numId w:val="2"/>
        </w:numPr>
        <w:spacing w:before="240" w:after="120"/>
      </w:pPr>
      <w:r w:rsidRPr="00264D5D">
        <w:rPr>
          <w:noProof/>
        </w:rPr>
        <w:fldChar w:fldCharType="begin"/>
      </w:r>
      <w:r w:rsidRPr="00264D5D">
        <w:rPr>
          <w:noProof/>
        </w:rPr>
        <w:instrText xml:space="preserve"> SEQ Таблица \* ARABIC </w:instrText>
      </w:r>
      <w:r w:rsidRPr="00264D5D">
        <w:rPr>
          <w:noProof/>
        </w:rPr>
        <w:fldChar w:fldCharType="separate"/>
      </w:r>
      <w:bookmarkStart w:id="3171" w:name="_Ref128474979"/>
      <w:bookmarkStart w:id="3172" w:name="_Toc219309325"/>
      <w:r w:rsidR="008D797C">
        <w:rPr>
          <w:noProof/>
        </w:rPr>
        <w:t>295</w:t>
      </w:r>
      <w:bookmarkEnd w:id="3171"/>
      <w:r w:rsidRPr="00264D5D">
        <w:rPr>
          <w:noProof/>
        </w:rPr>
        <w:fldChar w:fldCharType="end"/>
      </w:r>
      <w:r w:rsidR="00941227" w:rsidRPr="00264D5D">
        <w:rPr>
          <w:rFonts w:eastAsia="Calibri"/>
        </w:rPr>
        <w:t xml:space="preserve"> – </w:t>
      </w:r>
      <w:r w:rsidR="00941227" w:rsidRPr="00264D5D">
        <w:t>Описание комплексного типа «</w:t>
      </w:r>
      <w:r w:rsidR="00941227" w:rsidRPr="00264D5D">
        <w:rPr>
          <w:rFonts w:eastAsiaTheme="minorHAnsi"/>
        </w:rPr>
        <w:t>tNominalInfo</w:t>
      </w:r>
      <w:r w:rsidR="00941227" w:rsidRPr="00264D5D">
        <w:t>»</w:t>
      </w:r>
      <w:bookmarkEnd w:id="3172"/>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AD1F54" w:rsidRPr="00264D5D" w14:paraId="7EB31560"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0DFAAACD" w14:textId="77777777" w:rsidR="00AD1F54" w:rsidRPr="00264D5D" w:rsidRDefault="00941227">
            <w:pPr>
              <w:pStyle w:val="GOSTTableHead"/>
            </w:pPr>
            <w:r w:rsidRPr="00264D5D">
              <w:t>Наименование комплексного типа</w:t>
            </w:r>
          </w:p>
        </w:tc>
        <w:tc>
          <w:tcPr>
            <w:tcW w:w="1701" w:type="dxa"/>
          </w:tcPr>
          <w:p w14:paraId="64773C08" w14:textId="77777777" w:rsidR="00AD1F54" w:rsidRPr="00264D5D" w:rsidRDefault="00941227">
            <w:pPr>
              <w:pStyle w:val="GOSTTableHead"/>
            </w:pPr>
            <w:r w:rsidRPr="00264D5D">
              <w:t>Текущий элемент/ атрибут</w:t>
            </w:r>
          </w:p>
        </w:tc>
        <w:tc>
          <w:tcPr>
            <w:tcW w:w="567" w:type="dxa"/>
          </w:tcPr>
          <w:p w14:paraId="4D46FCA3" w14:textId="77777777" w:rsidR="00AD1F54" w:rsidRPr="00264D5D" w:rsidRDefault="00941227">
            <w:pPr>
              <w:pStyle w:val="GOSTTableHead"/>
            </w:pPr>
            <w:r w:rsidRPr="00264D5D">
              <w:t>Тип</w:t>
            </w:r>
          </w:p>
        </w:tc>
        <w:tc>
          <w:tcPr>
            <w:tcW w:w="1134" w:type="dxa"/>
          </w:tcPr>
          <w:p w14:paraId="3756CB1D" w14:textId="77777777" w:rsidR="00AD1F54" w:rsidRPr="00264D5D" w:rsidRDefault="00941227">
            <w:pPr>
              <w:pStyle w:val="GOSTTableHead"/>
            </w:pPr>
            <w:r w:rsidRPr="00264D5D">
              <w:t>Формат элемента</w:t>
            </w:r>
          </w:p>
        </w:tc>
        <w:tc>
          <w:tcPr>
            <w:tcW w:w="567" w:type="dxa"/>
          </w:tcPr>
          <w:p w14:paraId="17BADF78" w14:textId="77777777" w:rsidR="00AD1F54" w:rsidRPr="00264D5D" w:rsidRDefault="00941227">
            <w:pPr>
              <w:pStyle w:val="GOSTTableHead"/>
            </w:pPr>
            <w:r w:rsidRPr="00264D5D">
              <w:t>Обязательность</w:t>
            </w:r>
          </w:p>
        </w:tc>
        <w:tc>
          <w:tcPr>
            <w:tcW w:w="3963" w:type="dxa"/>
          </w:tcPr>
          <w:p w14:paraId="771BC074" w14:textId="77777777" w:rsidR="00AD1F54" w:rsidRPr="00264D5D" w:rsidRDefault="00941227">
            <w:pPr>
              <w:pStyle w:val="GOSTTableHead"/>
            </w:pPr>
            <w:r w:rsidRPr="00264D5D">
              <w:t>Дополнительная информация</w:t>
            </w:r>
          </w:p>
        </w:tc>
      </w:tr>
      <w:tr w:rsidR="00AD1F54" w:rsidRPr="00264D5D" w14:paraId="4F330E24" w14:textId="77777777" w:rsidTr="00AD1F54">
        <w:tc>
          <w:tcPr>
            <w:tcW w:w="1701" w:type="dxa"/>
          </w:tcPr>
          <w:p w14:paraId="3748122A" w14:textId="77777777" w:rsidR="00AD1F54" w:rsidRPr="00264D5D" w:rsidRDefault="00941227">
            <w:pPr>
              <w:pStyle w:val="GOSTTablenorm"/>
            </w:pPr>
            <w:r w:rsidRPr="00264D5D">
              <w:rPr>
                <w:rFonts w:eastAsiaTheme="minorHAnsi"/>
              </w:rPr>
              <w:t>tNominalInfo</w:t>
            </w:r>
          </w:p>
        </w:tc>
        <w:tc>
          <w:tcPr>
            <w:tcW w:w="1701" w:type="dxa"/>
          </w:tcPr>
          <w:p w14:paraId="62EDACB3" w14:textId="77777777" w:rsidR="00AD1F54" w:rsidRPr="00264D5D" w:rsidRDefault="00941227">
            <w:pPr>
              <w:pStyle w:val="GOSTTablenorm"/>
            </w:pPr>
            <w:r w:rsidRPr="00264D5D">
              <w:t>NominalInfo_ITEM</w:t>
            </w:r>
          </w:p>
        </w:tc>
        <w:tc>
          <w:tcPr>
            <w:tcW w:w="567" w:type="dxa"/>
          </w:tcPr>
          <w:p w14:paraId="530727E4" w14:textId="77777777" w:rsidR="00AD1F54" w:rsidRPr="00264D5D" w:rsidRDefault="00941227">
            <w:pPr>
              <w:pStyle w:val="GOSTTablenorm"/>
              <w:jc w:val="center"/>
            </w:pPr>
            <w:r w:rsidRPr="00264D5D">
              <w:t>С</w:t>
            </w:r>
          </w:p>
        </w:tc>
        <w:tc>
          <w:tcPr>
            <w:tcW w:w="1134" w:type="dxa"/>
          </w:tcPr>
          <w:p w14:paraId="54924000" w14:textId="77777777" w:rsidR="00AD1F54" w:rsidRPr="00264D5D" w:rsidRDefault="00941227">
            <w:pPr>
              <w:pStyle w:val="GOSTTablenorm"/>
            </w:pPr>
            <w:r w:rsidRPr="00264D5D">
              <w:t>tNominalInfo_ITEM</w:t>
            </w:r>
          </w:p>
        </w:tc>
        <w:tc>
          <w:tcPr>
            <w:tcW w:w="567" w:type="dxa"/>
          </w:tcPr>
          <w:p w14:paraId="09AE289B" w14:textId="77777777" w:rsidR="00AD1F54" w:rsidRPr="00264D5D" w:rsidRDefault="00941227">
            <w:pPr>
              <w:pStyle w:val="GOSTTablenorm"/>
              <w:jc w:val="center"/>
            </w:pPr>
            <w:r w:rsidRPr="00264D5D">
              <w:t>ОМ</w:t>
            </w:r>
          </w:p>
        </w:tc>
        <w:tc>
          <w:tcPr>
            <w:tcW w:w="3963" w:type="dxa"/>
          </w:tcPr>
          <w:p w14:paraId="7958654C" w14:textId="6570236C" w:rsidR="00AD1F54" w:rsidRPr="00264D5D" w:rsidRDefault="00941227">
            <w:pPr>
              <w:pStyle w:val="GOSTTablenorm"/>
            </w:pPr>
            <w:r w:rsidRPr="00264D5D">
              <w:t xml:space="preserve">Состав элемента представлен в таблице </w:t>
            </w:r>
            <w:r w:rsidRPr="00264D5D">
              <w:fldChar w:fldCharType="begin"/>
            </w:r>
            <w:r w:rsidRPr="00264D5D">
              <w:instrText xml:space="preserve"> REF _Ref128475229 \h  \* MERGEFORMAT </w:instrText>
            </w:r>
            <w:r w:rsidRPr="00264D5D">
              <w:fldChar w:fldCharType="separate"/>
            </w:r>
            <w:r w:rsidR="008D797C">
              <w:t>296</w:t>
            </w:r>
            <w:r w:rsidRPr="00264D5D">
              <w:fldChar w:fldCharType="end"/>
            </w:r>
          </w:p>
        </w:tc>
      </w:tr>
    </w:tbl>
    <w:p w14:paraId="74B26CE4" w14:textId="77777777" w:rsidR="00AD1F54" w:rsidRPr="00264D5D" w:rsidRDefault="00941227">
      <w:pPr>
        <w:pStyle w:val="31"/>
      </w:pPr>
      <w:bookmarkStart w:id="3173" w:name="_Toc143690205"/>
      <w:bookmarkStart w:id="3174" w:name="_Toc219309772"/>
      <w:r w:rsidRPr="00264D5D">
        <w:t>Описание комплексного типа «</w:t>
      </w:r>
      <w:r w:rsidRPr="00264D5D">
        <w:rPr>
          <w:rFonts w:eastAsiaTheme="minorHAnsi"/>
        </w:rPr>
        <w:t>tNominalInfo</w:t>
      </w:r>
      <w:r w:rsidRPr="00264D5D">
        <w:t>_ITEM»</w:t>
      </w:r>
      <w:bookmarkEnd w:id="3173"/>
      <w:bookmarkEnd w:id="3174"/>
    </w:p>
    <w:p w14:paraId="7C0863A8" w14:textId="77777777" w:rsidR="00AD1F54" w:rsidRPr="00264D5D" w:rsidRDefault="00941227">
      <w:pPr>
        <w:pStyle w:val="GOSTNormal"/>
      </w:pPr>
      <w:r w:rsidRPr="00264D5D">
        <w:t>Описание комплексного типа «</w:t>
      </w:r>
      <w:r w:rsidRPr="00264D5D">
        <w:rPr>
          <w:rFonts w:eastAsiaTheme="minorHAnsi"/>
        </w:rPr>
        <w:t>tNominalInfo</w:t>
      </w:r>
      <w:r w:rsidRPr="00264D5D">
        <w:t xml:space="preserve">_ITEM» блока «Информация о номиналах(строки)». </w:t>
      </w:r>
    </w:p>
    <w:p w14:paraId="68E4158C" w14:textId="3773BBAD" w:rsidR="00AD1F54" w:rsidRPr="00264D5D" w:rsidRDefault="001E5517">
      <w:pPr>
        <w:pStyle w:val="GOSTNameTable"/>
        <w:numPr>
          <w:ilvl w:val="0"/>
          <w:numId w:val="2"/>
        </w:numPr>
        <w:spacing w:before="240" w:after="120"/>
      </w:pPr>
      <w:r w:rsidRPr="00264D5D">
        <w:rPr>
          <w:noProof/>
        </w:rPr>
        <w:lastRenderedPageBreak/>
        <w:fldChar w:fldCharType="begin"/>
      </w:r>
      <w:r w:rsidRPr="00264D5D">
        <w:rPr>
          <w:noProof/>
        </w:rPr>
        <w:instrText xml:space="preserve"> SEQ Таблица \* ARABIC </w:instrText>
      </w:r>
      <w:r w:rsidRPr="00264D5D">
        <w:rPr>
          <w:noProof/>
        </w:rPr>
        <w:fldChar w:fldCharType="separate"/>
      </w:r>
      <w:bookmarkStart w:id="3175" w:name="_Ref128475229"/>
      <w:bookmarkStart w:id="3176" w:name="_Toc219309326"/>
      <w:r w:rsidR="008D797C">
        <w:rPr>
          <w:noProof/>
        </w:rPr>
        <w:t>296</w:t>
      </w:r>
      <w:bookmarkEnd w:id="3175"/>
      <w:r w:rsidRPr="00264D5D">
        <w:rPr>
          <w:noProof/>
        </w:rPr>
        <w:fldChar w:fldCharType="end"/>
      </w:r>
      <w:r w:rsidR="00941227" w:rsidRPr="00264D5D">
        <w:rPr>
          <w:rFonts w:eastAsia="Calibri"/>
        </w:rPr>
        <w:t xml:space="preserve"> –</w:t>
      </w:r>
      <w:r w:rsidR="00941227" w:rsidRPr="00264D5D">
        <w:t xml:space="preserve"> Описание комплексного типа «</w:t>
      </w:r>
      <w:r w:rsidR="00941227" w:rsidRPr="00264D5D">
        <w:rPr>
          <w:rFonts w:eastAsiaTheme="minorHAnsi"/>
        </w:rPr>
        <w:t>tNominalInfo</w:t>
      </w:r>
      <w:r w:rsidR="00941227" w:rsidRPr="00264D5D">
        <w:t>_ITEM»</w:t>
      </w:r>
      <w:bookmarkEnd w:id="3176"/>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AD1F54" w:rsidRPr="00264D5D" w14:paraId="18EA05B5"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111B7CE5" w14:textId="77777777" w:rsidR="00AD1F54" w:rsidRPr="00264D5D" w:rsidRDefault="00941227">
            <w:pPr>
              <w:pStyle w:val="GOSTTableHead"/>
            </w:pPr>
            <w:r w:rsidRPr="00264D5D">
              <w:t>Наименование элемента</w:t>
            </w:r>
          </w:p>
        </w:tc>
        <w:tc>
          <w:tcPr>
            <w:tcW w:w="1701" w:type="dxa"/>
          </w:tcPr>
          <w:p w14:paraId="66931948" w14:textId="77777777" w:rsidR="00AD1F54" w:rsidRPr="00264D5D" w:rsidRDefault="00941227">
            <w:pPr>
              <w:pStyle w:val="GOSTTableHead"/>
            </w:pPr>
            <w:r w:rsidRPr="00264D5D">
              <w:t>Сокращенное наименование (код) элемента</w:t>
            </w:r>
          </w:p>
        </w:tc>
        <w:tc>
          <w:tcPr>
            <w:tcW w:w="567" w:type="dxa"/>
          </w:tcPr>
          <w:p w14:paraId="343DD2EC" w14:textId="77777777" w:rsidR="00AD1F54" w:rsidRPr="00264D5D" w:rsidRDefault="00941227">
            <w:pPr>
              <w:pStyle w:val="GOSTTableHead"/>
            </w:pPr>
            <w:r w:rsidRPr="00264D5D">
              <w:t>Тип</w:t>
            </w:r>
          </w:p>
        </w:tc>
        <w:tc>
          <w:tcPr>
            <w:tcW w:w="1134" w:type="dxa"/>
          </w:tcPr>
          <w:p w14:paraId="42D17390" w14:textId="77777777" w:rsidR="00AD1F54" w:rsidRPr="00264D5D" w:rsidRDefault="00941227">
            <w:pPr>
              <w:pStyle w:val="GOSTTableHead"/>
            </w:pPr>
            <w:r w:rsidRPr="00264D5D">
              <w:t>Формат элемента</w:t>
            </w:r>
          </w:p>
        </w:tc>
        <w:tc>
          <w:tcPr>
            <w:tcW w:w="567" w:type="dxa"/>
          </w:tcPr>
          <w:p w14:paraId="784B2E41" w14:textId="77777777" w:rsidR="00AD1F54" w:rsidRPr="00264D5D" w:rsidRDefault="00941227">
            <w:pPr>
              <w:pStyle w:val="GOSTTableHead"/>
            </w:pPr>
            <w:r w:rsidRPr="00264D5D">
              <w:t>Обязательность</w:t>
            </w:r>
          </w:p>
        </w:tc>
        <w:tc>
          <w:tcPr>
            <w:tcW w:w="3963" w:type="dxa"/>
          </w:tcPr>
          <w:p w14:paraId="773A76BC" w14:textId="77777777" w:rsidR="00AD1F54" w:rsidRPr="00264D5D" w:rsidRDefault="00941227">
            <w:pPr>
              <w:pStyle w:val="GOSTTableHead"/>
            </w:pPr>
            <w:r w:rsidRPr="00264D5D">
              <w:t>Дополнительная информация</w:t>
            </w:r>
          </w:p>
        </w:tc>
      </w:tr>
      <w:tr w:rsidR="00AD1F54" w:rsidRPr="00264D5D" w14:paraId="071CC914" w14:textId="77777777" w:rsidTr="00AD1F54">
        <w:tc>
          <w:tcPr>
            <w:tcW w:w="1701" w:type="dxa"/>
          </w:tcPr>
          <w:p w14:paraId="64E9AA86" w14:textId="77777777" w:rsidR="00AD1F54" w:rsidRPr="00264D5D" w:rsidRDefault="00941227">
            <w:pPr>
              <w:pStyle w:val="GOSTTablenorm"/>
            </w:pPr>
            <w:r w:rsidRPr="00264D5D">
              <w:t>Вид наличности</w:t>
            </w:r>
          </w:p>
        </w:tc>
        <w:tc>
          <w:tcPr>
            <w:tcW w:w="1701" w:type="dxa"/>
          </w:tcPr>
          <w:p w14:paraId="733FB23D" w14:textId="77777777" w:rsidR="00AD1F54" w:rsidRPr="00264D5D" w:rsidRDefault="00941227">
            <w:pPr>
              <w:pStyle w:val="GOSTTablenorm"/>
            </w:pPr>
            <w:r w:rsidRPr="00264D5D">
              <w:t>CashKind</w:t>
            </w:r>
          </w:p>
        </w:tc>
        <w:tc>
          <w:tcPr>
            <w:tcW w:w="567" w:type="dxa"/>
          </w:tcPr>
          <w:p w14:paraId="6DA5CD03" w14:textId="77777777" w:rsidR="00AD1F54" w:rsidRPr="00264D5D" w:rsidRDefault="00941227">
            <w:pPr>
              <w:pStyle w:val="GOSTTablenorm"/>
              <w:jc w:val="center"/>
            </w:pPr>
            <w:r w:rsidRPr="00264D5D">
              <w:t>С</w:t>
            </w:r>
          </w:p>
        </w:tc>
        <w:tc>
          <w:tcPr>
            <w:tcW w:w="1134" w:type="dxa"/>
          </w:tcPr>
          <w:p w14:paraId="0CB6D9DD" w14:textId="77777777" w:rsidR="00AD1F54" w:rsidRPr="00264D5D" w:rsidRDefault="00941227">
            <w:pPr>
              <w:pStyle w:val="GOSTTablenorm"/>
            </w:pPr>
            <w:r w:rsidRPr="00264D5D">
              <w:t>tNominalInfo_CashKindComplex</w:t>
            </w:r>
          </w:p>
        </w:tc>
        <w:tc>
          <w:tcPr>
            <w:tcW w:w="567" w:type="dxa"/>
          </w:tcPr>
          <w:p w14:paraId="5DD0AACE" w14:textId="77777777" w:rsidR="00AD1F54" w:rsidRPr="00264D5D" w:rsidRDefault="00941227">
            <w:pPr>
              <w:pStyle w:val="GOSTTablenorm"/>
              <w:jc w:val="center"/>
            </w:pPr>
            <w:r w:rsidRPr="00264D5D">
              <w:t>О</w:t>
            </w:r>
          </w:p>
        </w:tc>
        <w:tc>
          <w:tcPr>
            <w:tcW w:w="3963" w:type="dxa"/>
          </w:tcPr>
          <w:p w14:paraId="29359188" w14:textId="3E18A02F" w:rsidR="00AD1F54" w:rsidRPr="00264D5D" w:rsidRDefault="00941227">
            <w:pPr>
              <w:pStyle w:val="GOSTTablenorm"/>
            </w:pPr>
            <w:r w:rsidRPr="00264D5D">
              <w:t xml:space="preserve">Состав элемента представлен в таблице </w:t>
            </w:r>
            <w:r w:rsidRPr="00264D5D">
              <w:fldChar w:fldCharType="begin"/>
            </w:r>
            <w:r w:rsidRPr="00264D5D">
              <w:instrText xml:space="preserve"> REF _Ref128656176 \h  \* MERGEFORMAT </w:instrText>
            </w:r>
            <w:r w:rsidRPr="00264D5D">
              <w:fldChar w:fldCharType="separate"/>
            </w:r>
            <w:r w:rsidR="008D797C">
              <w:t>297</w:t>
            </w:r>
            <w:r w:rsidRPr="00264D5D">
              <w:fldChar w:fldCharType="end"/>
            </w:r>
          </w:p>
        </w:tc>
      </w:tr>
      <w:tr w:rsidR="00AD1F54" w:rsidRPr="00264D5D" w14:paraId="3DF9640C" w14:textId="77777777" w:rsidTr="00AD1F54">
        <w:tc>
          <w:tcPr>
            <w:tcW w:w="1701" w:type="dxa"/>
          </w:tcPr>
          <w:p w14:paraId="765AC05B" w14:textId="77777777" w:rsidR="00AD1F54" w:rsidRPr="00264D5D" w:rsidRDefault="00941227">
            <w:pPr>
              <w:pStyle w:val="GOSTTablenorm"/>
            </w:pPr>
            <w:r w:rsidRPr="00264D5D">
              <w:t>Номинал</w:t>
            </w:r>
          </w:p>
        </w:tc>
        <w:tc>
          <w:tcPr>
            <w:tcW w:w="1701" w:type="dxa"/>
          </w:tcPr>
          <w:p w14:paraId="129256D3" w14:textId="77777777" w:rsidR="00AD1F54" w:rsidRPr="00264D5D" w:rsidRDefault="00941227">
            <w:pPr>
              <w:pStyle w:val="GOSTTablenorm"/>
            </w:pPr>
            <w:r w:rsidRPr="00264D5D">
              <w:t>Nominal</w:t>
            </w:r>
          </w:p>
        </w:tc>
        <w:tc>
          <w:tcPr>
            <w:tcW w:w="567" w:type="dxa"/>
          </w:tcPr>
          <w:p w14:paraId="1319A88F" w14:textId="77777777" w:rsidR="00AD1F54" w:rsidRPr="00264D5D" w:rsidRDefault="00941227">
            <w:pPr>
              <w:pStyle w:val="GOSTTablenorm"/>
              <w:jc w:val="center"/>
            </w:pPr>
            <w:r w:rsidRPr="00264D5D">
              <w:t>П</w:t>
            </w:r>
          </w:p>
        </w:tc>
        <w:tc>
          <w:tcPr>
            <w:tcW w:w="1134" w:type="dxa"/>
          </w:tcPr>
          <w:p w14:paraId="5A642980" w14:textId="77777777" w:rsidR="00AD1F54" w:rsidRPr="00264D5D" w:rsidRDefault="00941227">
            <w:pPr>
              <w:pStyle w:val="GOSTTablenorm"/>
            </w:pPr>
            <w:r w:rsidRPr="00264D5D">
              <w:t>N(20.2)</w:t>
            </w:r>
          </w:p>
        </w:tc>
        <w:tc>
          <w:tcPr>
            <w:tcW w:w="567" w:type="dxa"/>
          </w:tcPr>
          <w:p w14:paraId="4F98EC24" w14:textId="77777777" w:rsidR="00AD1F54" w:rsidRPr="00264D5D" w:rsidRDefault="00941227">
            <w:pPr>
              <w:pStyle w:val="GOSTTablenorm"/>
              <w:jc w:val="center"/>
            </w:pPr>
            <w:r w:rsidRPr="00264D5D">
              <w:t>О</w:t>
            </w:r>
          </w:p>
        </w:tc>
        <w:tc>
          <w:tcPr>
            <w:tcW w:w="3963" w:type="dxa"/>
          </w:tcPr>
          <w:p w14:paraId="38A7F659" w14:textId="77777777" w:rsidR="00FF472A" w:rsidRPr="00264D5D" w:rsidRDefault="00941227">
            <w:pPr>
              <w:pStyle w:val="GOSTTablenorm"/>
            </w:pPr>
            <w:r w:rsidRPr="00264D5D">
              <w:t xml:space="preserve">Если «Код вида наличности» </w:t>
            </w:r>
            <w:r w:rsidR="00FF472A" w:rsidRPr="00264D5D">
              <w:rPr>
                <w:rFonts w:eastAsia="Calibri"/>
              </w:rPr>
              <w:t>–</w:t>
            </w:r>
            <w:r w:rsidRPr="00264D5D">
              <w:t xml:space="preserve"> «0»</w:t>
            </w:r>
            <w:r w:rsidR="00FF472A" w:rsidRPr="00264D5D">
              <w:t>, то указывается</w:t>
            </w:r>
            <w:r w:rsidRPr="00264D5D">
              <w:t xml:space="preserve"> значение номинала: </w:t>
            </w:r>
          </w:p>
          <w:p w14:paraId="1EA282EF" w14:textId="77777777" w:rsidR="00AD1F54" w:rsidRPr="00264D5D" w:rsidRDefault="00941227">
            <w:pPr>
              <w:pStyle w:val="GOSTTablenorm"/>
            </w:pPr>
            <w:r w:rsidRPr="00264D5D">
              <w:t>«0.01», «0.05», «0.10», «0.50», «1.00», «2.00», «5.00», «10.00».</w:t>
            </w:r>
          </w:p>
          <w:p w14:paraId="5B85D30E" w14:textId="77777777" w:rsidR="00FF472A" w:rsidRPr="00264D5D" w:rsidRDefault="00941227">
            <w:pPr>
              <w:pStyle w:val="GOSTTablenorm"/>
            </w:pPr>
            <w:r w:rsidRPr="00264D5D">
              <w:t xml:space="preserve">Если «Код вида наличности» </w:t>
            </w:r>
            <w:r w:rsidR="00FF472A" w:rsidRPr="00264D5D">
              <w:rPr>
                <w:rFonts w:eastAsia="Calibri"/>
              </w:rPr>
              <w:t>–</w:t>
            </w:r>
            <w:r w:rsidRPr="00264D5D">
              <w:t xml:space="preserve"> «1»</w:t>
            </w:r>
            <w:r w:rsidR="00FF472A" w:rsidRPr="00264D5D">
              <w:t>, то</w:t>
            </w:r>
            <w:r w:rsidRPr="00264D5D">
              <w:t xml:space="preserve"> указывается значение номинала: </w:t>
            </w:r>
          </w:p>
          <w:p w14:paraId="37FE9DD2" w14:textId="77777777" w:rsidR="00AD1F54" w:rsidRPr="00264D5D" w:rsidRDefault="00941227">
            <w:pPr>
              <w:pStyle w:val="GOSTTablenorm"/>
            </w:pPr>
            <w:r w:rsidRPr="00264D5D">
              <w:t xml:space="preserve">«5.00», «10.00», «50.00», «100.00», «200.00», «500.00», </w:t>
            </w:r>
            <w:r w:rsidR="00FF472A" w:rsidRPr="00264D5D">
              <w:t>«1000.00», «2000.00», «5000.00»</w:t>
            </w:r>
          </w:p>
        </w:tc>
      </w:tr>
      <w:tr w:rsidR="00AD1F54" w:rsidRPr="00264D5D" w14:paraId="2399882B" w14:textId="77777777" w:rsidTr="00AD1F54">
        <w:tc>
          <w:tcPr>
            <w:tcW w:w="1701" w:type="dxa"/>
          </w:tcPr>
          <w:p w14:paraId="237FE346" w14:textId="77777777" w:rsidR="00AD1F54" w:rsidRPr="00264D5D" w:rsidRDefault="00941227">
            <w:pPr>
              <w:pStyle w:val="GOSTTablenorm"/>
            </w:pPr>
            <w:r w:rsidRPr="00264D5D">
              <w:t>Сумма</w:t>
            </w:r>
          </w:p>
        </w:tc>
        <w:tc>
          <w:tcPr>
            <w:tcW w:w="1701" w:type="dxa"/>
          </w:tcPr>
          <w:p w14:paraId="7C3EAFC5" w14:textId="77777777" w:rsidR="00AD1F54" w:rsidRPr="00264D5D" w:rsidRDefault="00941227">
            <w:pPr>
              <w:pStyle w:val="GOSTTablenorm"/>
            </w:pPr>
            <w:r w:rsidRPr="00264D5D">
              <w:t>Sum</w:t>
            </w:r>
          </w:p>
        </w:tc>
        <w:tc>
          <w:tcPr>
            <w:tcW w:w="567" w:type="dxa"/>
          </w:tcPr>
          <w:p w14:paraId="0BEA1361" w14:textId="77777777" w:rsidR="00AD1F54" w:rsidRPr="00264D5D" w:rsidRDefault="00941227">
            <w:pPr>
              <w:pStyle w:val="GOSTTablenorm"/>
              <w:jc w:val="center"/>
            </w:pPr>
            <w:r w:rsidRPr="00264D5D">
              <w:t>П</w:t>
            </w:r>
          </w:p>
        </w:tc>
        <w:tc>
          <w:tcPr>
            <w:tcW w:w="1134" w:type="dxa"/>
          </w:tcPr>
          <w:p w14:paraId="2DF618A0" w14:textId="77777777" w:rsidR="00AD1F54" w:rsidRPr="00264D5D" w:rsidRDefault="00941227">
            <w:pPr>
              <w:pStyle w:val="GOSTTablenorm"/>
            </w:pPr>
            <w:r w:rsidRPr="00264D5D">
              <w:t>N(20.2)</w:t>
            </w:r>
          </w:p>
        </w:tc>
        <w:tc>
          <w:tcPr>
            <w:tcW w:w="567" w:type="dxa"/>
          </w:tcPr>
          <w:p w14:paraId="551B884B" w14:textId="77777777" w:rsidR="00AD1F54" w:rsidRPr="00264D5D" w:rsidRDefault="00941227">
            <w:pPr>
              <w:pStyle w:val="GOSTTablenorm"/>
              <w:jc w:val="center"/>
            </w:pPr>
            <w:r w:rsidRPr="00264D5D">
              <w:t>О</w:t>
            </w:r>
          </w:p>
        </w:tc>
        <w:tc>
          <w:tcPr>
            <w:tcW w:w="3963" w:type="dxa"/>
          </w:tcPr>
          <w:p w14:paraId="1C487ABE" w14:textId="77777777" w:rsidR="00AD1F54" w:rsidRPr="00264D5D" w:rsidRDefault="00FF472A">
            <w:pPr>
              <w:pStyle w:val="GOSTTablenorm"/>
            </w:pPr>
            <w:r w:rsidRPr="00264D5D">
              <w:t>Указывается сумма наличности</w:t>
            </w:r>
          </w:p>
        </w:tc>
      </w:tr>
    </w:tbl>
    <w:p w14:paraId="5409957D" w14:textId="77777777" w:rsidR="00AD1F54" w:rsidRPr="00264D5D" w:rsidRDefault="00941227">
      <w:pPr>
        <w:pStyle w:val="31"/>
      </w:pPr>
      <w:bookmarkStart w:id="3177" w:name="_Toc143690206"/>
      <w:bookmarkStart w:id="3178" w:name="_Toc219309773"/>
      <w:r w:rsidRPr="00264D5D">
        <w:t>Описание комплексного типа «</w:t>
      </w:r>
      <w:r w:rsidRPr="00264D5D">
        <w:rPr>
          <w:rFonts w:eastAsiaTheme="minorHAnsi"/>
        </w:rPr>
        <w:t>tNominalInfo_CashKindComplex</w:t>
      </w:r>
      <w:r w:rsidRPr="00264D5D">
        <w:t>»</w:t>
      </w:r>
      <w:bookmarkEnd w:id="3177"/>
      <w:bookmarkEnd w:id="3178"/>
    </w:p>
    <w:p w14:paraId="0EB8BB46" w14:textId="77777777" w:rsidR="00AD1F54" w:rsidRPr="00264D5D" w:rsidRDefault="00941227">
      <w:pPr>
        <w:pStyle w:val="GOSTNormal"/>
      </w:pPr>
      <w:r w:rsidRPr="00264D5D">
        <w:t>Описание комплексного типа «</w:t>
      </w:r>
      <w:r w:rsidRPr="00264D5D">
        <w:rPr>
          <w:rFonts w:eastAsiaTheme="minorHAnsi"/>
        </w:rPr>
        <w:t>tNominalInfo_CashKindComplex</w:t>
      </w:r>
      <w:r w:rsidRPr="00264D5D">
        <w:t>» блока «Вид наличности».</w:t>
      </w:r>
    </w:p>
    <w:p w14:paraId="5FF51E41" w14:textId="26547BB1" w:rsidR="00AD1F54" w:rsidRPr="00264D5D" w:rsidRDefault="00941227">
      <w:pPr>
        <w:pStyle w:val="GOSTNameTable"/>
        <w:numPr>
          <w:ilvl w:val="0"/>
          <w:numId w:val="2"/>
        </w:numPr>
        <w:spacing w:before="240" w:after="120"/>
      </w:pPr>
      <w:r w:rsidRPr="00264D5D">
        <w:fldChar w:fldCharType="begin"/>
      </w:r>
      <w:r w:rsidRPr="00264D5D">
        <w:instrText>SEQ Таблица \* ARABIC</w:instrText>
      </w:r>
      <w:r w:rsidRPr="00264D5D">
        <w:fldChar w:fldCharType="separate"/>
      </w:r>
      <w:bookmarkStart w:id="3179" w:name="_Ref128656176"/>
      <w:bookmarkStart w:id="3180" w:name="_Toc219309327"/>
      <w:r w:rsidR="008D797C">
        <w:rPr>
          <w:noProof/>
        </w:rPr>
        <w:t>297</w:t>
      </w:r>
      <w:bookmarkEnd w:id="3179"/>
      <w:r w:rsidRPr="00264D5D">
        <w:fldChar w:fldCharType="end"/>
      </w:r>
      <w:r w:rsidRPr="00264D5D">
        <w:rPr>
          <w:rFonts w:eastAsia="Calibri"/>
        </w:rPr>
        <w:t xml:space="preserve"> –</w:t>
      </w:r>
      <w:r w:rsidRPr="00264D5D">
        <w:t xml:space="preserve"> Описание комплексного типа «</w:t>
      </w:r>
      <w:r w:rsidRPr="00264D5D">
        <w:rPr>
          <w:rFonts w:eastAsiaTheme="minorHAnsi"/>
        </w:rPr>
        <w:t>tNominalInfo_CashKindComplex</w:t>
      </w:r>
      <w:r w:rsidRPr="00264D5D">
        <w:t>»</w:t>
      </w:r>
      <w:bookmarkEnd w:id="3180"/>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AD1F54" w:rsidRPr="00264D5D" w14:paraId="44FC8390"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59969BCC" w14:textId="77777777" w:rsidR="00AD1F54" w:rsidRPr="00264D5D" w:rsidRDefault="00941227">
            <w:pPr>
              <w:pStyle w:val="GOSTTableHead"/>
            </w:pPr>
            <w:r w:rsidRPr="00264D5D">
              <w:t>Наименование элемента</w:t>
            </w:r>
          </w:p>
        </w:tc>
        <w:tc>
          <w:tcPr>
            <w:tcW w:w="1701" w:type="dxa"/>
          </w:tcPr>
          <w:p w14:paraId="01E3C871" w14:textId="77777777" w:rsidR="00AD1F54" w:rsidRPr="00264D5D" w:rsidRDefault="00941227">
            <w:pPr>
              <w:pStyle w:val="GOSTTableHead"/>
            </w:pPr>
            <w:r w:rsidRPr="00264D5D">
              <w:t>Сокращенное наименование (код) элемента</w:t>
            </w:r>
          </w:p>
        </w:tc>
        <w:tc>
          <w:tcPr>
            <w:tcW w:w="567" w:type="dxa"/>
          </w:tcPr>
          <w:p w14:paraId="1A8D36AC" w14:textId="77777777" w:rsidR="00AD1F54" w:rsidRPr="00264D5D" w:rsidRDefault="00941227">
            <w:pPr>
              <w:pStyle w:val="GOSTTableHead"/>
            </w:pPr>
            <w:r w:rsidRPr="00264D5D">
              <w:t>Тип</w:t>
            </w:r>
          </w:p>
        </w:tc>
        <w:tc>
          <w:tcPr>
            <w:tcW w:w="1134" w:type="dxa"/>
          </w:tcPr>
          <w:p w14:paraId="367730FD" w14:textId="77777777" w:rsidR="00AD1F54" w:rsidRPr="00264D5D" w:rsidRDefault="00941227">
            <w:pPr>
              <w:pStyle w:val="GOSTTableHead"/>
            </w:pPr>
            <w:r w:rsidRPr="00264D5D">
              <w:t>Формат элемента</w:t>
            </w:r>
          </w:p>
        </w:tc>
        <w:tc>
          <w:tcPr>
            <w:tcW w:w="567" w:type="dxa"/>
          </w:tcPr>
          <w:p w14:paraId="159F35DA" w14:textId="77777777" w:rsidR="00AD1F54" w:rsidRPr="00264D5D" w:rsidRDefault="00941227">
            <w:pPr>
              <w:pStyle w:val="GOSTTableHead"/>
            </w:pPr>
            <w:r w:rsidRPr="00264D5D">
              <w:t>Обязательность</w:t>
            </w:r>
          </w:p>
        </w:tc>
        <w:tc>
          <w:tcPr>
            <w:tcW w:w="3963" w:type="dxa"/>
          </w:tcPr>
          <w:p w14:paraId="17E19ACE" w14:textId="77777777" w:rsidR="00AD1F54" w:rsidRPr="00264D5D" w:rsidRDefault="00941227">
            <w:pPr>
              <w:pStyle w:val="GOSTTableHead"/>
            </w:pPr>
            <w:r w:rsidRPr="00264D5D">
              <w:t>Дополнительная информация</w:t>
            </w:r>
          </w:p>
        </w:tc>
      </w:tr>
      <w:tr w:rsidR="00D76395" w:rsidRPr="00264D5D" w14:paraId="20D47310" w14:textId="77777777" w:rsidTr="00AD1F54">
        <w:tc>
          <w:tcPr>
            <w:tcW w:w="1701" w:type="dxa"/>
          </w:tcPr>
          <w:p w14:paraId="26500408" w14:textId="77777777" w:rsidR="00D76395" w:rsidRPr="00264D5D" w:rsidRDefault="00D76395" w:rsidP="00D76395">
            <w:pPr>
              <w:pStyle w:val="GOSTTablenorm"/>
            </w:pPr>
            <w:r w:rsidRPr="00264D5D">
              <w:t>Код Вида наличности</w:t>
            </w:r>
          </w:p>
        </w:tc>
        <w:tc>
          <w:tcPr>
            <w:tcW w:w="1701" w:type="dxa"/>
          </w:tcPr>
          <w:p w14:paraId="66B75CC7" w14:textId="77777777" w:rsidR="00D76395" w:rsidRPr="00264D5D" w:rsidRDefault="00D76395" w:rsidP="00D76395">
            <w:pPr>
              <w:pStyle w:val="GOSTTablenorm"/>
            </w:pPr>
            <w:r w:rsidRPr="00264D5D">
              <w:t>сode</w:t>
            </w:r>
          </w:p>
        </w:tc>
        <w:tc>
          <w:tcPr>
            <w:tcW w:w="567" w:type="dxa"/>
          </w:tcPr>
          <w:p w14:paraId="236F2F23" w14:textId="77777777" w:rsidR="00D76395" w:rsidRPr="00264D5D" w:rsidRDefault="00D76395" w:rsidP="00D76395">
            <w:pPr>
              <w:pStyle w:val="GOSTTablenorm"/>
              <w:jc w:val="center"/>
            </w:pPr>
            <w:r w:rsidRPr="00264D5D">
              <w:t>А</w:t>
            </w:r>
          </w:p>
        </w:tc>
        <w:tc>
          <w:tcPr>
            <w:tcW w:w="1134" w:type="dxa"/>
          </w:tcPr>
          <w:p w14:paraId="7B701A51" w14:textId="77777777" w:rsidR="00D76395" w:rsidRPr="00264D5D" w:rsidRDefault="00D76395" w:rsidP="00D76395">
            <w:pPr>
              <w:pStyle w:val="GOSTTablenorm"/>
            </w:pPr>
            <w:r w:rsidRPr="00264D5D">
              <w:t>-</w:t>
            </w:r>
          </w:p>
        </w:tc>
        <w:tc>
          <w:tcPr>
            <w:tcW w:w="567" w:type="dxa"/>
          </w:tcPr>
          <w:p w14:paraId="16AE9601" w14:textId="77777777" w:rsidR="00D76395" w:rsidRPr="00264D5D" w:rsidRDefault="00D76395" w:rsidP="00D76395">
            <w:pPr>
              <w:pStyle w:val="GOSTTablenorm"/>
              <w:jc w:val="center"/>
            </w:pPr>
            <w:r w:rsidRPr="00264D5D">
              <w:t>О</w:t>
            </w:r>
          </w:p>
        </w:tc>
        <w:tc>
          <w:tcPr>
            <w:tcW w:w="3963" w:type="dxa"/>
          </w:tcPr>
          <w:p w14:paraId="42BD7283" w14:textId="77777777" w:rsidR="00D76395" w:rsidRPr="00264D5D" w:rsidRDefault="00D76395" w:rsidP="00D76395">
            <w:pPr>
              <w:pStyle w:val="GOSTTablenorm"/>
              <w:rPr>
                <w:szCs w:val="22"/>
              </w:rPr>
            </w:pPr>
            <w:r w:rsidRPr="00264D5D">
              <w:rPr>
                <w:szCs w:val="22"/>
              </w:rPr>
              <w:t>Указывается код вида наличности:</w:t>
            </w:r>
          </w:p>
          <w:p w14:paraId="78DEF6BC" w14:textId="77777777" w:rsidR="00D76395" w:rsidRPr="00264D5D" w:rsidRDefault="00D76395" w:rsidP="00101F62">
            <w:pPr>
              <w:pStyle w:val="GOSTTablenorm"/>
              <w:numPr>
                <w:ilvl w:val="0"/>
                <w:numId w:val="143"/>
              </w:numPr>
              <w:ind w:left="284" w:hanging="227"/>
              <w:rPr>
                <w:szCs w:val="22"/>
              </w:rPr>
            </w:pPr>
            <w:r w:rsidRPr="00264D5D">
              <w:rPr>
                <w:szCs w:val="22"/>
              </w:rPr>
              <w:t>0 – монета Банка России;</w:t>
            </w:r>
          </w:p>
          <w:p w14:paraId="1CAC80C3" w14:textId="77777777" w:rsidR="00D76395" w:rsidRPr="00264D5D" w:rsidRDefault="00D76395" w:rsidP="00101F62">
            <w:pPr>
              <w:pStyle w:val="GOSTTablenorm"/>
              <w:numPr>
                <w:ilvl w:val="0"/>
                <w:numId w:val="143"/>
              </w:numPr>
              <w:ind w:left="284" w:hanging="227"/>
              <w:rPr>
                <w:szCs w:val="22"/>
              </w:rPr>
            </w:pPr>
            <w:r w:rsidRPr="00264D5D">
              <w:rPr>
                <w:szCs w:val="22"/>
              </w:rPr>
              <w:t>1 – банкноты Банка России</w:t>
            </w:r>
          </w:p>
        </w:tc>
      </w:tr>
      <w:tr w:rsidR="00D76395" w:rsidRPr="00264D5D" w14:paraId="5EA83303" w14:textId="77777777" w:rsidTr="00AD1F54">
        <w:tc>
          <w:tcPr>
            <w:tcW w:w="1701" w:type="dxa"/>
          </w:tcPr>
          <w:p w14:paraId="114EE576" w14:textId="77777777" w:rsidR="00D76395" w:rsidRPr="00264D5D" w:rsidRDefault="00D76395" w:rsidP="00D76395">
            <w:pPr>
              <w:pStyle w:val="GOSTTablenorm"/>
            </w:pPr>
            <w:r w:rsidRPr="00264D5D">
              <w:t>Значение Вида наличности</w:t>
            </w:r>
          </w:p>
        </w:tc>
        <w:tc>
          <w:tcPr>
            <w:tcW w:w="1701" w:type="dxa"/>
          </w:tcPr>
          <w:p w14:paraId="1AC59FA2" w14:textId="77777777" w:rsidR="00D76395" w:rsidRPr="00264D5D" w:rsidRDefault="00D76395" w:rsidP="00D76395">
            <w:pPr>
              <w:pStyle w:val="GOSTTablenorm"/>
            </w:pPr>
            <w:r w:rsidRPr="00264D5D">
              <w:t>value</w:t>
            </w:r>
          </w:p>
        </w:tc>
        <w:tc>
          <w:tcPr>
            <w:tcW w:w="567" w:type="dxa"/>
          </w:tcPr>
          <w:p w14:paraId="2A89D36F" w14:textId="77777777" w:rsidR="00D76395" w:rsidRPr="00264D5D" w:rsidRDefault="00D76395" w:rsidP="00D76395">
            <w:pPr>
              <w:pStyle w:val="GOSTTablenorm"/>
              <w:jc w:val="center"/>
            </w:pPr>
            <w:r w:rsidRPr="00264D5D">
              <w:t>А</w:t>
            </w:r>
          </w:p>
        </w:tc>
        <w:tc>
          <w:tcPr>
            <w:tcW w:w="1134" w:type="dxa"/>
          </w:tcPr>
          <w:p w14:paraId="04810B0A" w14:textId="77777777" w:rsidR="00D76395" w:rsidRPr="00264D5D" w:rsidRDefault="00D76395" w:rsidP="00D76395">
            <w:pPr>
              <w:pStyle w:val="GOSTTablenorm"/>
            </w:pPr>
            <w:r w:rsidRPr="00264D5D">
              <w:t>-</w:t>
            </w:r>
          </w:p>
        </w:tc>
        <w:tc>
          <w:tcPr>
            <w:tcW w:w="567" w:type="dxa"/>
          </w:tcPr>
          <w:p w14:paraId="65913D92" w14:textId="77777777" w:rsidR="00D76395" w:rsidRPr="00264D5D" w:rsidRDefault="00D76395" w:rsidP="00D76395">
            <w:pPr>
              <w:pStyle w:val="GOSTTablenorm"/>
              <w:jc w:val="center"/>
            </w:pPr>
            <w:r w:rsidRPr="00264D5D">
              <w:t>Н</w:t>
            </w:r>
          </w:p>
        </w:tc>
        <w:tc>
          <w:tcPr>
            <w:tcW w:w="3963" w:type="dxa"/>
          </w:tcPr>
          <w:p w14:paraId="0FF3FA0F" w14:textId="77777777" w:rsidR="00D76395" w:rsidRPr="00264D5D" w:rsidRDefault="00D76395" w:rsidP="00D76395">
            <w:pPr>
              <w:pStyle w:val="GOSTTablenorm"/>
              <w:rPr>
                <w:szCs w:val="22"/>
              </w:rPr>
            </w:pPr>
            <w:r w:rsidRPr="00264D5D">
              <w:rPr>
                <w:szCs w:val="22"/>
              </w:rPr>
              <w:t>Указывается значение вида наличности Банка России:</w:t>
            </w:r>
          </w:p>
          <w:p w14:paraId="1DCCDA22" w14:textId="77777777" w:rsidR="00D76395" w:rsidRPr="00264D5D" w:rsidRDefault="00D76395" w:rsidP="00101F62">
            <w:pPr>
              <w:pStyle w:val="GOSTTablenorm"/>
              <w:numPr>
                <w:ilvl w:val="0"/>
                <w:numId w:val="143"/>
              </w:numPr>
              <w:ind w:left="284" w:hanging="227"/>
              <w:rPr>
                <w:szCs w:val="22"/>
              </w:rPr>
            </w:pPr>
            <w:r w:rsidRPr="00264D5D">
              <w:rPr>
                <w:szCs w:val="22"/>
              </w:rPr>
              <w:t>монета Банка России;</w:t>
            </w:r>
          </w:p>
          <w:p w14:paraId="56D9052B" w14:textId="77777777" w:rsidR="00D76395" w:rsidRPr="00264D5D" w:rsidRDefault="00D76395" w:rsidP="00101F62">
            <w:pPr>
              <w:pStyle w:val="GOSTTablenorm"/>
              <w:numPr>
                <w:ilvl w:val="0"/>
                <w:numId w:val="143"/>
              </w:numPr>
              <w:ind w:left="284" w:hanging="227"/>
              <w:rPr>
                <w:szCs w:val="22"/>
              </w:rPr>
            </w:pPr>
            <w:r w:rsidRPr="00264D5D">
              <w:rPr>
                <w:szCs w:val="22"/>
              </w:rPr>
              <w:t>банкноты Банка России</w:t>
            </w:r>
          </w:p>
        </w:tc>
      </w:tr>
    </w:tbl>
    <w:p w14:paraId="75B9E59C" w14:textId="77777777" w:rsidR="00AD1F54" w:rsidRPr="00264D5D" w:rsidRDefault="00941227">
      <w:pPr>
        <w:pStyle w:val="31"/>
      </w:pPr>
      <w:bookmarkStart w:id="3181" w:name="_Toc219309774"/>
      <w:r w:rsidRPr="00264D5D">
        <w:t>Описание комплексного типа «tMSC_SrcTypeComplex6»</w:t>
      </w:r>
      <w:bookmarkEnd w:id="3166"/>
      <w:bookmarkEnd w:id="3167"/>
      <w:bookmarkEnd w:id="3181"/>
    </w:p>
    <w:p w14:paraId="77AA849C" w14:textId="77777777" w:rsidR="00AD1F54" w:rsidRPr="00264D5D" w:rsidRDefault="00941227">
      <w:pPr>
        <w:pStyle w:val="GOSTNormal"/>
      </w:pPr>
      <w:r w:rsidRPr="00264D5D">
        <w:t>Описание комплексного типа «tMSC_SrcTypeComplex6» блока «Источник средств».</w:t>
      </w:r>
    </w:p>
    <w:p w14:paraId="63AE4716" w14:textId="1CCD25AF" w:rsidR="00AD1F54" w:rsidRPr="00264D5D" w:rsidRDefault="00941227">
      <w:pPr>
        <w:pStyle w:val="GOSTNameTable"/>
        <w:numPr>
          <w:ilvl w:val="0"/>
          <w:numId w:val="2"/>
        </w:numPr>
        <w:ind w:left="425" w:hanging="357"/>
      </w:pPr>
      <w:r w:rsidRPr="00264D5D">
        <w:lastRenderedPageBreak/>
        <w:fldChar w:fldCharType="begin"/>
      </w:r>
      <w:r w:rsidRPr="00264D5D">
        <w:instrText>SEQ Таблица \* ARABIC</w:instrText>
      </w:r>
      <w:r w:rsidRPr="00264D5D">
        <w:fldChar w:fldCharType="separate"/>
      </w:r>
      <w:bookmarkStart w:id="3182" w:name="_Ref503531101"/>
      <w:bookmarkStart w:id="3183" w:name="_Toc18509502"/>
      <w:bookmarkStart w:id="3184" w:name="_Toc219309328"/>
      <w:r w:rsidR="008D797C">
        <w:rPr>
          <w:noProof/>
        </w:rPr>
        <w:t>298</w:t>
      </w:r>
      <w:bookmarkEnd w:id="3182"/>
      <w:r w:rsidRPr="00264D5D">
        <w:fldChar w:fldCharType="end"/>
      </w:r>
      <w:r w:rsidRPr="00264D5D">
        <w:rPr>
          <w:rFonts w:eastAsia="Calibri"/>
          <w:szCs w:val="24"/>
        </w:rPr>
        <w:t xml:space="preserve"> –</w:t>
      </w:r>
      <w:r w:rsidRPr="00264D5D">
        <w:t xml:space="preserve"> Описание комплексного типа «tMSC_SrcTypeComplex6»</w:t>
      </w:r>
      <w:bookmarkEnd w:id="3183"/>
      <w:bookmarkEnd w:id="3184"/>
    </w:p>
    <w:tbl>
      <w:tblPr>
        <w:tblStyle w:val="GOSTTable"/>
        <w:tblW w:w="9633" w:type="dxa"/>
        <w:tblLayout w:type="fixed"/>
        <w:tblLook w:val="04A0" w:firstRow="1" w:lastRow="0" w:firstColumn="1" w:lastColumn="0" w:noHBand="0" w:noVBand="1"/>
      </w:tblPr>
      <w:tblGrid>
        <w:gridCol w:w="1701"/>
        <w:gridCol w:w="1701"/>
        <w:gridCol w:w="567"/>
        <w:gridCol w:w="1134"/>
        <w:gridCol w:w="567"/>
        <w:gridCol w:w="3963"/>
      </w:tblGrid>
      <w:tr w:rsidR="00AD1F54" w:rsidRPr="00264D5D" w14:paraId="2B4199F5"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2FE9FEEB" w14:textId="77777777" w:rsidR="00AD1F54" w:rsidRPr="00264D5D" w:rsidRDefault="00941227">
            <w:pPr>
              <w:pStyle w:val="ASFKTableHead"/>
            </w:pPr>
            <w:r w:rsidRPr="00264D5D">
              <w:t>Наименование элемента</w:t>
            </w:r>
          </w:p>
        </w:tc>
        <w:tc>
          <w:tcPr>
            <w:tcW w:w="1701" w:type="dxa"/>
          </w:tcPr>
          <w:p w14:paraId="3EE554BD" w14:textId="77777777" w:rsidR="00AD1F54" w:rsidRPr="00264D5D" w:rsidRDefault="00941227">
            <w:pPr>
              <w:pStyle w:val="ASFKTableHead"/>
            </w:pPr>
            <w:r w:rsidRPr="00264D5D">
              <w:t>Сокращенное наименование (код) элемента</w:t>
            </w:r>
          </w:p>
        </w:tc>
        <w:tc>
          <w:tcPr>
            <w:tcW w:w="567" w:type="dxa"/>
          </w:tcPr>
          <w:p w14:paraId="7EF0A88E" w14:textId="77777777" w:rsidR="00AD1F54" w:rsidRPr="00264D5D" w:rsidRDefault="00941227">
            <w:pPr>
              <w:pStyle w:val="ASFKTableHead"/>
            </w:pPr>
            <w:r w:rsidRPr="00264D5D">
              <w:t>Тип</w:t>
            </w:r>
          </w:p>
        </w:tc>
        <w:tc>
          <w:tcPr>
            <w:tcW w:w="1134" w:type="dxa"/>
          </w:tcPr>
          <w:p w14:paraId="717F3DE1" w14:textId="77777777" w:rsidR="00AD1F54" w:rsidRPr="00264D5D" w:rsidRDefault="00941227">
            <w:pPr>
              <w:pStyle w:val="ASFKTableHead"/>
            </w:pPr>
            <w:r w:rsidRPr="00264D5D">
              <w:t>Формат элемента</w:t>
            </w:r>
          </w:p>
        </w:tc>
        <w:tc>
          <w:tcPr>
            <w:tcW w:w="567" w:type="dxa"/>
          </w:tcPr>
          <w:p w14:paraId="3975C8F7" w14:textId="77777777" w:rsidR="00AD1F54" w:rsidRPr="00264D5D" w:rsidRDefault="00941227">
            <w:pPr>
              <w:pStyle w:val="ASFKTableHead"/>
            </w:pPr>
            <w:r w:rsidRPr="00264D5D">
              <w:t>Обязательность</w:t>
            </w:r>
          </w:p>
        </w:tc>
        <w:tc>
          <w:tcPr>
            <w:tcW w:w="3963" w:type="dxa"/>
          </w:tcPr>
          <w:p w14:paraId="76AB78AE" w14:textId="77777777" w:rsidR="00AD1F54" w:rsidRPr="00264D5D" w:rsidRDefault="00941227">
            <w:pPr>
              <w:pStyle w:val="ASFKTableHead"/>
            </w:pPr>
            <w:r w:rsidRPr="00264D5D">
              <w:t>Дополнительная информация</w:t>
            </w:r>
          </w:p>
        </w:tc>
      </w:tr>
      <w:tr w:rsidR="00AD1F54" w:rsidRPr="00264D5D" w14:paraId="7018F38E"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EBC1177" w14:textId="77777777" w:rsidR="00AD1F54" w:rsidRPr="00264D5D" w:rsidRDefault="00941227">
            <w:pPr>
              <w:pStyle w:val="GOSTTablenorm"/>
            </w:pPr>
            <w:r w:rsidRPr="00264D5D">
              <w:t>Код источника средств</w:t>
            </w:r>
          </w:p>
        </w:tc>
        <w:tc>
          <w:tcPr>
            <w:tcW w:w="1701" w:type="dxa"/>
          </w:tcPr>
          <w:p w14:paraId="5FF6C451" w14:textId="77777777" w:rsidR="00AD1F54" w:rsidRPr="00264D5D" w:rsidRDefault="00941227">
            <w:pPr>
              <w:pStyle w:val="GOSTTablenorm"/>
            </w:pPr>
            <w:r w:rsidRPr="00264D5D">
              <w:t>с</w:t>
            </w:r>
            <w:r w:rsidRPr="00264D5D">
              <w:rPr>
                <w:lang w:val="en-US"/>
              </w:rPr>
              <w:t>ode</w:t>
            </w:r>
          </w:p>
        </w:tc>
        <w:tc>
          <w:tcPr>
            <w:tcW w:w="567" w:type="dxa"/>
          </w:tcPr>
          <w:p w14:paraId="18D63936" w14:textId="77777777" w:rsidR="00AD1F54" w:rsidRPr="00264D5D" w:rsidRDefault="00941227">
            <w:pPr>
              <w:pStyle w:val="GOSTTablenorm"/>
              <w:jc w:val="center"/>
            </w:pPr>
            <w:r w:rsidRPr="00264D5D">
              <w:t>А</w:t>
            </w:r>
          </w:p>
        </w:tc>
        <w:tc>
          <w:tcPr>
            <w:tcW w:w="1134" w:type="dxa"/>
          </w:tcPr>
          <w:p w14:paraId="6D5D81AA" w14:textId="77777777" w:rsidR="00AD1F54" w:rsidRPr="00264D5D" w:rsidRDefault="00941227">
            <w:pPr>
              <w:pStyle w:val="GOSTTablenorm"/>
            </w:pPr>
            <w:r w:rsidRPr="00264D5D">
              <w:t>-</w:t>
            </w:r>
          </w:p>
        </w:tc>
        <w:tc>
          <w:tcPr>
            <w:tcW w:w="567" w:type="dxa"/>
          </w:tcPr>
          <w:p w14:paraId="374447AD" w14:textId="77777777" w:rsidR="00AD1F54" w:rsidRPr="00264D5D" w:rsidRDefault="00941227">
            <w:pPr>
              <w:pStyle w:val="GOSTTablenorm"/>
              <w:jc w:val="center"/>
            </w:pPr>
            <w:r w:rsidRPr="00264D5D">
              <w:t>О</w:t>
            </w:r>
          </w:p>
        </w:tc>
        <w:tc>
          <w:tcPr>
            <w:tcW w:w="3963" w:type="dxa"/>
          </w:tcPr>
          <w:p w14:paraId="517E877F" w14:textId="77777777" w:rsidR="00AD1F54" w:rsidRPr="00264D5D" w:rsidRDefault="00941227">
            <w:pPr>
              <w:pStyle w:val="GOSTTablenorm"/>
            </w:pPr>
            <w:r w:rsidRPr="00264D5D">
              <w:t>Указывается код источника средств, за счет которого должны быть выданы наличные денежные средства:</w:t>
            </w:r>
          </w:p>
          <w:p w14:paraId="7E20F032" w14:textId="77777777" w:rsidR="00AD1F54" w:rsidRPr="00264D5D" w:rsidRDefault="00941227" w:rsidP="00E7460C">
            <w:pPr>
              <w:pStyle w:val="GOSTTablenorm"/>
              <w:numPr>
                <w:ilvl w:val="0"/>
                <w:numId w:val="80"/>
              </w:numPr>
              <w:ind w:left="284" w:hanging="227"/>
            </w:pPr>
            <w:r w:rsidRPr="00264D5D">
              <w:t>1 – Средства бюджета;</w:t>
            </w:r>
          </w:p>
          <w:p w14:paraId="50AB9EEE" w14:textId="77777777" w:rsidR="00AD1F54" w:rsidRPr="00264D5D" w:rsidRDefault="00941227" w:rsidP="00E7460C">
            <w:pPr>
              <w:pStyle w:val="GOSTTablenorm"/>
              <w:numPr>
                <w:ilvl w:val="0"/>
                <w:numId w:val="80"/>
              </w:numPr>
              <w:ind w:left="284" w:hanging="227"/>
            </w:pPr>
            <w:r w:rsidRPr="00264D5D">
              <w:t>4 – Средства для финансирования мероприятий по оперативно-розыскной деятельности;</w:t>
            </w:r>
          </w:p>
          <w:p w14:paraId="62FCF889" w14:textId="77777777" w:rsidR="00AD1F54" w:rsidRPr="00264D5D" w:rsidRDefault="00941227" w:rsidP="00E7460C">
            <w:pPr>
              <w:pStyle w:val="GOSTTablenorm"/>
              <w:numPr>
                <w:ilvl w:val="0"/>
                <w:numId w:val="80"/>
              </w:numPr>
              <w:ind w:left="284" w:hanging="227"/>
              <w:rPr>
                <w:b/>
                <w:bCs/>
              </w:rPr>
            </w:pPr>
            <w:r w:rsidRPr="00264D5D">
              <w:t>5 – Средства, поступающие во временное распоряжение казенных учреждений;</w:t>
            </w:r>
          </w:p>
          <w:p w14:paraId="1DD78513" w14:textId="77777777" w:rsidR="00AD1F54" w:rsidRPr="00264D5D" w:rsidRDefault="00D76395" w:rsidP="00E7460C">
            <w:pPr>
              <w:pStyle w:val="GOSTTablenorm"/>
              <w:numPr>
                <w:ilvl w:val="0"/>
                <w:numId w:val="80"/>
              </w:numPr>
              <w:ind w:left="284" w:hanging="227"/>
              <w:rPr>
                <w:b/>
                <w:bCs/>
              </w:rPr>
            </w:pPr>
            <w:r w:rsidRPr="00264D5D">
              <w:t>6 – Средства юридических лиц</w:t>
            </w:r>
          </w:p>
        </w:tc>
      </w:tr>
      <w:tr w:rsidR="00AD1F54" w:rsidRPr="00264D5D" w14:paraId="3F9D34A3"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08447DA2" w14:textId="77777777" w:rsidR="00AD1F54" w:rsidRPr="00264D5D" w:rsidRDefault="00941227">
            <w:pPr>
              <w:pStyle w:val="GOSTTablenorm"/>
            </w:pPr>
            <w:r w:rsidRPr="00264D5D">
              <w:t>Значение источника средств</w:t>
            </w:r>
          </w:p>
        </w:tc>
        <w:tc>
          <w:tcPr>
            <w:tcW w:w="1701" w:type="dxa"/>
          </w:tcPr>
          <w:p w14:paraId="46946AD2" w14:textId="77777777" w:rsidR="00AD1F54" w:rsidRPr="00264D5D" w:rsidRDefault="00941227">
            <w:pPr>
              <w:pStyle w:val="GOSTTablenorm"/>
            </w:pPr>
            <w:r w:rsidRPr="00264D5D">
              <w:rPr>
                <w:lang w:val="en-US"/>
              </w:rPr>
              <w:t>value</w:t>
            </w:r>
          </w:p>
        </w:tc>
        <w:tc>
          <w:tcPr>
            <w:tcW w:w="567" w:type="dxa"/>
          </w:tcPr>
          <w:p w14:paraId="46D2D241" w14:textId="77777777" w:rsidR="00AD1F54" w:rsidRPr="00264D5D" w:rsidRDefault="00941227">
            <w:pPr>
              <w:pStyle w:val="GOSTTablenorm"/>
              <w:jc w:val="center"/>
            </w:pPr>
            <w:r w:rsidRPr="00264D5D">
              <w:t>А</w:t>
            </w:r>
          </w:p>
        </w:tc>
        <w:tc>
          <w:tcPr>
            <w:tcW w:w="1134" w:type="dxa"/>
          </w:tcPr>
          <w:p w14:paraId="20D8EAE5" w14:textId="77777777" w:rsidR="00AD1F54" w:rsidRPr="00264D5D" w:rsidRDefault="00941227">
            <w:pPr>
              <w:pStyle w:val="GOSTTablenorm"/>
            </w:pPr>
            <w:r w:rsidRPr="00264D5D">
              <w:t>-</w:t>
            </w:r>
          </w:p>
        </w:tc>
        <w:tc>
          <w:tcPr>
            <w:tcW w:w="567" w:type="dxa"/>
          </w:tcPr>
          <w:p w14:paraId="3CB82085" w14:textId="77777777" w:rsidR="00AD1F54" w:rsidRPr="00264D5D" w:rsidRDefault="00941227">
            <w:pPr>
              <w:pStyle w:val="GOSTTablenorm"/>
              <w:jc w:val="center"/>
            </w:pPr>
            <w:r w:rsidRPr="00264D5D">
              <w:t>Н</w:t>
            </w:r>
          </w:p>
        </w:tc>
        <w:tc>
          <w:tcPr>
            <w:tcW w:w="3963" w:type="dxa"/>
          </w:tcPr>
          <w:p w14:paraId="7EC4532C" w14:textId="77777777" w:rsidR="00AD1F54" w:rsidRPr="00264D5D" w:rsidRDefault="00941227">
            <w:pPr>
              <w:pStyle w:val="GOSTTablenorm"/>
            </w:pPr>
            <w:r w:rsidRPr="00264D5D">
              <w:t>Указывается значение источника средств, за счет которого должны быть выданы наличные денежные средства:</w:t>
            </w:r>
          </w:p>
          <w:p w14:paraId="4CB7BC6A" w14:textId="77777777" w:rsidR="00AD1F54" w:rsidRPr="00264D5D" w:rsidRDefault="00941227" w:rsidP="00E7460C">
            <w:pPr>
              <w:pStyle w:val="GOSTTablenorm"/>
              <w:numPr>
                <w:ilvl w:val="0"/>
                <w:numId w:val="80"/>
              </w:numPr>
              <w:ind w:left="284" w:hanging="227"/>
            </w:pPr>
            <w:r w:rsidRPr="00264D5D">
              <w:t>Средства бюджета;</w:t>
            </w:r>
          </w:p>
          <w:p w14:paraId="3FC40B0B" w14:textId="77777777" w:rsidR="00AD1F54" w:rsidRPr="00264D5D" w:rsidRDefault="00941227" w:rsidP="00E7460C">
            <w:pPr>
              <w:pStyle w:val="GOSTTablenorm"/>
              <w:numPr>
                <w:ilvl w:val="0"/>
                <w:numId w:val="80"/>
              </w:numPr>
              <w:ind w:left="284" w:hanging="227"/>
            </w:pPr>
            <w:r w:rsidRPr="00264D5D">
              <w:t>Средства для финансирования мероприятий по оперативно-розыскной деятельности;</w:t>
            </w:r>
          </w:p>
          <w:p w14:paraId="5EE88B59" w14:textId="77777777" w:rsidR="00AD1F54" w:rsidRPr="00264D5D" w:rsidRDefault="00941227" w:rsidP="00E7460C">
            <w:pPr>
              <w:pStyle w:val="GOSTTablenorm"/>
              <w:numPr>
                <w:ilvl w:val="0"/>
                <w:numId w:val="80"/>
              </w:numPr>
              <w:ind w:left="284" w:hanging="227"/>
            </w:pPr>
            <w:r w:rsidRPr="00264D5D">
              <w:t>Средства, поступающие во временное распоряжение казенных учреждений;</w:t>
            </w:r>
          </w:p>
          <w:p w14:paraId="1A36B3D2" w14:textId="77777777" w:rsidR="00AD1F54" w:rsidRPr="00264D5D" w:rsidRDefault="00D76395" w:rsidP="00E7460C">
            <w:pPr>
              <w:pStyle w:val="GOSTTablenorm"/>
              <w:numPr>
                <w:ilvl w:val="0"/>
                <w:numId w:val="80"/>
              </w:numPr>
              <w:ind w:left="284" w:hanging="227"/>
            </w:pPr>
            <w:r w:rsidRPr="00264D5D">
              <w:t>Средства юридических лиц</w:t>
            </w:r>
          </w:p>
        </w:tc>
      </w:tr>
    </w:tbl>
    <w:p w14:paraId="0CF937A5" w14:textId="77777777" w:rsidR="00AD1F54" w:rsidRPr="00264D5D" w:rsidRDefault="00941227">
      <w:pPr>
        <w:pStyle w:val="31"/>
      </w:pPr>
      <w:bookmarkStart w:id="3185" w:name="_Toc18509214"/>
      <w:r w:rsidRPr="00264D5D">
        <w:t xml:space="preserve"> </w:t>
      </w:r>
      <w:bookmarkStart w:id="3186" w:name="_Toc219309775"/>
      <w:r w:rsidRPr="00264D5D">
        <w:t>Описание комплексного типа «</w:t>
      </w:r>
      <w:r w:rsidR="00A12A8C" w:rsidRPr="00264D5D">
        <w:t>tMSC_KBK10_20_KS</w:t>
      </w:r>
      <w:r w:rsidRPr="00264D5D">
        <w:t>»</w:t>
      </w:r>
      <w:bookmarkEnd w:id="3168"/>
      <w:bookmarkEnd w:id="3169"/>
      <w:bookmarkEnd w:id="3185"/>
      <w:bookmarkEnd w:id="3186"/>
    </w:p>
    <w:p w14:paraId="4FD87408" w14:textId="77777777" w:rsidR="00AD1F54" w:rsidRPr="00264D5D" w:rsidRDefault="00941227">
      <w:pPr>
        <w:pStyle w:val="GOSTNormal"/>
      </w:pPr>
      <w:r w:rsidRPr="00264D5D">
        <w:t>Описание комплексного типа «</w:t>
      </w:r>
      <w:r w:rsidR="00A12A8C" w:rsidRPr="00264D5D">
        <w:t>tMSC_KBK10_20_KS</w:t>
      </w:r>
      <w:r w:rsidRPr="00264D5D">
        <w:t>» блока «КБК».</w:t>
      </w:r>
    </w:p>
    <w:p w14:paraId="3DE82E7F" w14:textId="5E42200C" w:rsidR="00AD1F54" w:rsidRPr="00264D5D" w:rsidRDefault="001E5517">
      <w:pPr>
        <w:pStyle w:val="GOSTNameTable"/>
        <w:numPr>
          <w:ilvl w:val="0"/>
          <w:numId w:val="2"/>
        </w:numPr>
        <w:ind w:left="425" w:hanging="357"/>
      </w:pPr>
      <w:r w:rsidRPr="00264D5D">
        <w:rPr>
          <w:noProof/>
        </w:rPr>
        <w:fldChar w:fldCharType="begin"/>
      </w:r>
      <w:r w:rsidRPr="00264D5D">
        <w:rPr>
          <w:noProof/>
        </w:rPr>
        <w:instrText xml:space="preserve"> SEQ Таблица \* ARABIC </w:instrText>
      </w:r>
      <w:r w:rsidRPr="00264D5D">
        <w:rPr>
          <w:noProof/>
        </w:rPr>
        <w:fldChar w:fldCharType="separate"/>
      </w:r>
      <w:bookmarkStart w:id="3187" w:name="_Ref503551992"/>
      <w:bookmarkStart w:id="3188" w:name="_Toc18509503"/>
      <w:bookmarkStart w:id="3189" w:name="_Toc219309329"/>
      <w:r w:rsidR="008D797C">
        <w:rPr>
          <w:noProof/>
        </w:rPr>
        <w:t>299</w:t>
      </w:r>
      <w:bookmarkEnd w:id="3187"/>
      <w:r w:rsidRPr="00264D5D">
        <w:rPr>
          <w:noProof/>
        </w:rPr>
        <w:fldChar w:fldCharType="end"/>
      </w:r>
      <w:r w:rsidR="00941227" w:rsidRPr="00264D5D">
        <w:rPr>
          <w:rFonts w:eastAsia="Calibri"/>
          <w:szCs w:val="24"/>
        </w:rPr>
        <w:t xml:space="preserve"> –</w:t>
      </w:r>
      <w:r w:rsidR="00941227" w:rsidRPr="00264D5D">
        <w:t xml:space="preserve"> Описание комплексного типа «</w:t>
      </w:r>
      <w:r w:rsidR="00A12A8C" w:rsidRPr="00264D5D">
        <w:t>tMSC_KBK10_20_KS</w:t>
      </w:r>
      <w:r w:rsidR="00941227" w:rsidRPr="00264D5D">
        <w:t>»</w:t>
      </w:r>
      <w:bookmarkEnd w:id="3188"/>
      <w:bookmarkEnd w:id="3189"/>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3FB0DA62"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0F4CA4F1" w14:textId="77777777" w:rsidR="00AD1F54" w:rsidRPr="00264D5D" w:rsidRDefault="00941227">
            <w:pPr>
              <w:pStyle w:val="ASFKTableHead"/>
            </w:pPr>
            <w:r w:rsidRPr="00264D5D">
              <w:t>Наименование элемента</w:t>
            </w:r>
          </w:p>
        </w:tc>
        <w:tc>
          <w:tcPr>
            <w:tcW w:w="1701" w:type="dxa"/>
          </w:tcPr>
          <w:p w14:paraId="0A606D1F" w14:textId="77777777" w:rsidR="00AD1F54" w:rsidRPr="00264D5D" w:rsidRDefault="00941227">
            <w:pPr>
              <w:pStyle w:val="ASFKTableHead"/>
            </w:pPr>
            <w:r w:rsidRPr="00264D5D">
              <w:t>Сокращенное наименование (код) элемента</w:t>
            </w:r>
          </w:p>
        </w:tc>
        <w:tc>
          <w:tcPr>
            <w:tcW w:w="567" w:type="dxa"/>
          </w:tcPr>
          <w:p w14:paraId="30470140" w14:textId="77777777" w:rsidR="00AD1F54" w:rsidRPr="00264D5D" w:rsidRDefault="00941227">
            <w:pPr>
              <w:pStyle w:val="ASFKTableHead"/>
            </w:pPr>
            <w:r w:rsidRPr="00264D5D">
              <w:t>Тип</w:t>
            </w:r>
          </w:p>
        </w:tc>
        <w:tc>
          <w:tcPr>
            <w:tcW w:w="1134" w:type="dxa"/>
          </w:tcPr>
          <w:p w14:paraId="2F07B690" w14:textId="77777777" w:rsidR="00AD1F54" w:rsidRPr="00264D5D" w:rsidRDefault="00941227">
            <w:pPr>
              <w:pStyle w:val="ASFKTableHead"/>
            </w:pPr>
            <w:r w:rsidRPr="00264D5D">
              <w:t>Формат элемента</w:t>
            </w:r>
          </w:p>
        </w:tc>
        <w:tc>
          <w:tcPr>
            <w:tcW w:w="567" w:type="dxa"/>
          </w:tcPr>
          <w:p w14:paraId="55F382A2" w14:textId="77777777" w:rsidR="00AD1F54" w:rsidRPr="00264D5D" w:rsidRDefault="00941227">
            <w:pPr>
              <w:pStyle w:val="ASFKTableHead"/>
            </w:pPr>
            <w:r w:rsidRPr="00264D5D">
              <w:t>Обязательность</w:t>
            </w:r>
          </w:p>
        </w:tc>
        <w:tc>
          <w:tcPr>
            <w:tcW w:w="3963" w:type="dxa"/>
          </w:tcPr>
          <w:p w14:paraId="79E77643" w14:textId="77777777" w:rsidR="00AD1F54" w:rsidRPr="00264D5D" w:rsidRDefault="00941227">
            <w:pPr>
              <w:pStyle w:val="ASFKTableHead"/>
            </w:pPr>
            <w:r w:rsidRPr="00264D5D">
              <w:t>Дополнительная информация</w:t>
            </w:r>
          </w:p>
        </w:tc>
      </w:tr>
      <w:tr w:rsidR="00AD1F54" w:rsidRPr="00264D5D" w14:paraId="0156F298" w14:textId="77777777" w:rsidTr="00AD1F54">
        <w:trPr>
          <w:cnfStyle w:val="000000100000" w:firstRow="0" w:lastRow="0" w:firstColumn="0" w:lastColumn="0" w:oddVBand="0" w:evenVBand="0" w:oddHBand="1" w:evenHBand="0" w:firstRowFirstColumn="0" w:firstRowLastColumn="0" w:lastRowFirstColumn="0" w:lastRowLastColumn="0"/>
          <w:trHeight w:val="278"/>
        </w:trPr>
        <w:tc>
          <w:tcPr>
            <w:tcW w:w="1701" w:type="dxa"/>
          </w:tcPr>
          <w:p w14:paraId="7EB6A6C2" w14:textId="77777777" w:rsidR="00AD1F54" w:rsidRPr="00264D5D" w:rsidRDefault="00941227">
            <w:pPr>
              <w:pStyle w:val="GOSTTablenorm"/>
            </w:pPr>
            <w:r w:rsidRPr="00264D5D">
              <w:t>Код по БК</w:t>
            </w:r>
          </w:p>
        </w:tc>
        <w:tc>
          <w:tcPr>
            <w:tcW w:w="1701" w:type="dxa"/>
          </w:tcPr>
          <w:p w14:paraId="4028536B" w14:textId="77777777" w:rsidR="00AD1F54" w:rsidRPr="00264D5D" w:rsidRDefault="00941227">
            <w:pPr>
              <w:pStyle w:val="GOSTTablenorm"/>
              <w:rPr>
                <w:lang w:val="en-US"/>
              </w:rPr>
            </w:pPr>
            <w:r w:rsidRPr="00264D5D">
              <w:t>KBK</w:t>
            </w:r>
          </w:p>
        </w:tc>
        <w:tc>
          <w:tcPr>
            <w:tcW w:w="567" w:type="dxa"/>
          </w:tcPr>
          <w:p w14:paraId="6614FBEC" w14:textId="77777777" w:rsidR="00AD1F54" w:rsidRPr="00264D5D" w:rsidRDefault="00941227">
            <w:pPr>
              <w:pStyle w:val="GOSTTablenorm"/>
              <w:jc w:val="center"/>
            </w:pPr>
            <w:r w:rsidRPr="00264D5D">
              <w:t>П</w:t>
            </w:r>
          </w:p>
        </w:tc>
        <w:tc>
          <w:tcPr>
            <w:tcW w:w="1134" w:type="dxa"/>
          </w:tcPr>
          <w:p w14:paraId="4E117496" w14:textId="77777777" w:rsidR="00AD1F54" w:rsidRPr="00264D5D" w:rsidRDefault="00941227">
            <w:pPr>
              <w:pStyle w:val="GOSTTablenorm"/>
            </w:pPr>
            <w:r w:rsidRPr="00264D5D">
              <w:rPr>
                <w:lang w:val="en-US"/>
              </w:rPr>
              <w:t>Т(</w:t>
            </w:r>
            <w:r w:rsidR="00A12A8C" w:rsidRPr="00264D5D">
              <w:t>1-</w:t>
            </w:r>
            <w:r w:rsidRPr="00264D5D">
              <w:t>20</w:t>
            </w:r>
            <w:r w:rsidRPr="00264D5D">
              <w:rPr>
                <w:lang w:val="en-US"/>
              </w:rPr>
              <w:t>)</w:t>
            </w:r>
          </w:p>
        </w:tc>
        <w:tc>
          <w:tcPr>
            <w:tcW w:w="567" w:type="dxa"/>
          </w:tcPr>
          <w:p w14:paraId="0EB26EE5" w14:textId="77777777" w:rsidR="00AD1F54" w:rsidRPr="00264D5D" w:rsidRDefault="00941227">
            <w:pPr>
              <w:pStyle w:val="GOSTTablenorm"/>
              <w:jc w:val="center"/>
            </w:pPr>
            <w:r w:rsidRPr="00264D5D">
              <w:t>Н</w:t>
            </w:r>
          </w:p>
        </w:tc>
        <w:tc>
          <w:tcPr>
            <w:tcW w:w="3963" w:type="dxa"/>
          </w:tcPr>
          <w:p w14:paraId="6E54F6D8" w14:textId="77777777" w:rsidR="00AD1F54" w:rsidRPr="00264D5D" w:rsidRDefault="00941227">
            <w:pPr>
              <w:pStyle w:val="GOSTTablenorm"/>
            </w:pPr>
            <w:r w:rsidRPr="00264D5D">
              <w:t>Код бюджетной классификации</w:t>
            </w:r>
            <w:r w:rsidR="00A12A8C" w:rsidRPr="00264D5D">
              <w:t xml:space="preserve"> (Код направления расходования)</w:t>
            </w:r>
            <w:r w:rsidRPr="00264D5D">
              <w:t>.</w:t>
            </w:r>
          </w:p>
          <w:p w14:paraId="4C8EAA63" w14:textId="77777777" w:rsidR="00AD1F54" w:rsidRPr="00264D5D" w:rsidRDefault="00941227">
            <w:pPr>
              <w:pStyle w:val="GOSTTablenorm"/>
            </w:pPr>
            <w:r w:rsidRPr="00264D5D">
              <w:t>Не заполняется для ПБС, осуществляющих операции со средствами во временном распоряжении.</w:t>
            </w:r>
          </w:p>
          <w:p w14:paraId="182B83CA" w14:textId="77777777" w:rsidR="00AD1F54" w:rsidRPr="00264D5D" w:rsidRDefault="00941227">
            <w:pPr>
              <w:pStyle w:val="GOSTTablenorm"/>
            </w:pPr>
            <w:r w:rsidRPr="00264D5D">
              <w:t xml:space="preserve">Обязательно для заполнения для ПБС, осуществляющих операции со средствами бюджета или средствами для финансирования мероприятий по оперативно-розыскной деятельности. </w:t>
            </w:r>
          </w:p>
          <w:p w14:paraId="586B9E78" w14:textId="77777777" w:rsidR="00A12A8C" w:rsidRPr="00264D5D" w:rsidRDefault="00941227" w:rsidP="00A12A8C">
            <w:pPr>
              <w:pStyle w:val="GOSTTablenorm"/>
            </w:pPr>
            <w:r w:rsidRPr="00264D5D">
              <w:lastRenderedPageBreak/>
              <w:t>Для ма</w:t>
            </w:r>
            <w:r w:rsidR="00A12A8C" w:rsidRPr="00264D5D">
              <w:t>р</w:t>
            </w:r>
            <w:r w:rsidRPr="00264D5D">
              <w:t>шрута АУ, БУ – ТОФК (Компонент АУ, БУ ПУР ЭБ) (в случаях, предусмотренных законодательством) в позициях с 18 по 20 указывается код по бюджетной классификации.</w:t>
            </w:r>
            <w:r w:rsidR="00A12A8C" w:rsidRPr="00264D5D">
              <w:t xml:space="preserve"> </w:t>
            </w:r>
          </w:p>
          <w:p w14:paraId="33AB4360" w14:textId="77777777" w:rsidR="00A12A8C" w:rsidRPr="00264D5D" w:rsidRDefault="00A12A8C" w:rsidP="00A12A8C">
            <w:pPr>
              <w:pStyle w:val="GOSTTablenorm"/>
            </w:pPr>
            <w:r w:rsidRPr="00264D5D">
              <w:t>Для маршрута НУБП (ПСБ и Росавтодор) – ТОФК указывается код направления расходования целевых средств плательщика, у которого схемой обслуживания предусмотрен учет операций в разрезе кодов направления расходования целевых средств.</w:t>
            </w:r>
          </w:p>
          <w:p w14:paraId="4C449549" w14:textId="77777777" w:rsidR="00A12A8C" w:rsidRPr="00264D5D" w:rsidRDefault="00A12A8C" w:rsidP="00A12A8C">
            <w:pPr>
              <w:pStyle w:val="GOSTTablenorm"/>
            </w:pPr>
            <w:r w:rsidRPr="00264D5D">
              <w:t>Для маршрута ТОФК (Компонент КС ПУР ЭБ) – ТОФК (ППО АСФК):</w:t>
            </w:r>
          </w:p>
          <w:p w14:paraId="7E20026F" w14:textId="77777777" w:rsidR="00A12A8C" w:rsidRPr="00264D5D" w:rsidRDefault="00A12A8C" w:rsidP="00101F62">
            <w:pPr>
              <w:pStyle w:val="GOSTTableListMark1"/>
              <w:numPr>
                <w:ilvl w:val="0"/>
                <w:numId w:val="154"/>
              </w:numPr>
              <w:ind w:left="284"/>
              <w:jc w:val="both"/>
              <w:rPr>
                <w:color w:val="000000" w:themeColor="text1"/>
              </w:rPr>
            </w:pPr>
            <w:r w:rsidRPr="00264D5D">
              <w:t>Если л/с плательщика с кодом 41, то указывается код направления расходования целевых средств плательщика, у которого схемой обслуживания предусмотрен учет операций в разрезе кодов направления расходования целевых средств;</w:t>
            </w:r>
          </w:p>
          <w:p w14:paraId="2D0A5243" w14:textId="77777777" w:rsidR="00A12A8C" w:rsidRPr="00264D5D" w:rsidRDefault="00A12A8C" w:rsidP="00101F62">
            <w:pPr>
              <w:pStyle w:val="GOSTTableListMark1"/>
              <w:numPr>
                <w:ilvl w:val="0"/>
                <w:numId w:val="154"/>
              </w:numPr>
              <w:ind w:left="284"/>
              <w:jc w:val="both"/>
            </w:pPr>
            <w:r w:rsidRPr="00264D5D">
              <w:t>Если л/с плательщика с кодом 71, то поле не заполняется.</w:t>
            </w:r>
          </w:p>
          <w:p w14:paraId="0002AA96" w14:textId="77777777" w:rsidR="00AD1F54" w:rsidRPr="00264D5D" w:rsidRDefault="00941227" w:rsidP="00A12A8C">
            <w:pPr>
              <w:pStyle w:val="GOSTTablenorm"/>
            </w:pPr>
            <w:r w:rsidRPr="00264D5D">
              <w:t>Поле не заполняется для маршрута ТОФК (Компон</w:t>
            </w:r>
            <w:r w:rsidR="00D76395" w:rsidRPr="00264D5D">
              <w:t>ент КС ПУР ЭБ) – ТОФК (ПУДС ЭБ)</w:t>
            </w:r>
          </w:p>
        </w:tc>
      </w:tr>
      <w:tr w:rsidR="00AD1F54" w:rsidRPr="00264D5D" w14:paraId="23D13FB7"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FA56A3D" w14:textId="77777777" w:rsidR="00AD1F54" w:rsidRPr="00264D5D" w:rsidRDefault="00941227">
            <w:pPr>
              <w:pStyle w:val="GOSTTablenorm"/>
            </w:pPr>
            <w:r w:rsidRPr="00264D5D">
              <w:lastRenderedPageBreak/>
              <w:t>Код цели</w:t>
            </w:r>
          </w:p>
        </w:tc>
        <w:tc>
          <w:tcPr>
            <w:tcW w:w="1701" w:type="dxa"/>
          </w:tcPr>
          <w:p w14:paraId="07E9969B" w14:textId="77777777" w:rsidR="00AD1F54" w:rsidRPr="00264D5D" w:rsidRDefault="00941227">
            <w:pPr>
              <w:pStyle w:val="GOSTTablenorm"/>
              <w:rPr>
                <w:lang w:val="en-US"/>
              </w:rPr>
            </w:pPr>
            <w:r w:rsidRPr="00264D5D">
              <w:t>TrgtCd</w:t>
            </w:r>
          </w:p>
        </w:tc>
        <w:tc>
          <w:tcPr>
            <w:tcW w:w="567" w:type="dxa"/>
          </w:tcPr>
          <w:p w14:paraId="27436232" w14:textId="77777777" w:rsidR="00AD1F54" w:rsidRPr="00264D5D" w:rsidRDefault="00941227">
            <w:pPr>
              <w:pStyle w:val="GOSTTablenorm"/>
              <w:jc w:val="center"/>
            </w:pPr>
            <w:r w:rsidRPr="00264D5D">
              <w:t>П</w:t>
            </w:r>
          </w:p>
        </w:tc>
        <w:tc>
          <w:tcPr>
            <w:tcW w:w="1134" w:type="dxa"/>
          </w:tcPr>
          <w:p w14:paraId="5F1AE03E" w14:textId="77777777" w:rsidR="00AD1F54" w:rsidRPr="00264D5D" w:rsidRDefault="00941227">
            <w:pPr>
              <w:pStyle w:val="GOSTTablenorm"/>
            </w:pPr>
            <w:r w:rsidRPr="00264D5D">
              <w:rPr>
                <w:lang w:val="en-US"/>
              </w:rPr>
              <w:t>Т(</w:t>
            </w:r>
            <w:r w:rsidRPr="00264D5D">
              <w:t>1-25</w:t>
            </w:r>
            <w:r w:rsidRPr="00264D5D">
              <w:rPr>
                <w:lang w:val="en-US"/>
              </w:rPr>
              <w:t>)</w:t>
            </w:r>
          </w:p>
        </w:tc>
        <w:tc>
          <w:tcPr>
            <w:tcW w:w="567" w:type="dxa"/>
          </w:tcPr>
          <w:p w14:paraId="2519A0B0" w14:textId="77777777" w:rsidR="00AD1F54" w:rsidRPr="00264D5D" w:rsidRDefault="00941227">
            <w:pPr>
              <w:pStyle w:val="GOSTTablenorm"/>
              <w:jc w:val="center"/>
            </w:pPr>
            <w:r w:rsidRPr="00264D5D">
              <w:t>Н</w:t>
            </w:r>
          </w:p>
        </w:tc>
        <w:tc>
          <w:tcPr>
            <w:tcW w:w="3963" w:type="dxa"/>
          </w:tcPr>
          <w:p w14:paraId="63364492" w14:textId="77777777" w:rsidR="00AD1F54" w:rsidRPr="00264D5D" w:rsidRDefault="00941227">
            <w:pPr>
              <w:pStyle w:val="GOSTTablenorm"/>
            </w:pPr>
            <w:r w:rsidRPr="00264D5D">
              <w:t>Указывается код цели (аналитический код).</w:t>
            </w:r>
          </w:p>
          <w:p w14:paraId="33F17D91" w14:textId="77777777" w:rsidR="00485F11" w:rsidRPr="00264D5D" w:rsidRDefault="00941227" w:rsidP="00485F11">
            <w:pPr>
              <w:pStyle w:val="GOSTTablenorm"/>
            </w:pPr>
            <w:r w:rsidRPr="00264D5D">
              <w:t>При оформлении Заявка на получение наличных денег по л/с федерального бюджета с кодом «05» указывается идентификационный код выплат, предусмотренный Порядком санкционирования операций со средствами, поступающими во временное распоряжение получателей средств федерального бюджета.</w:t>
            </w:r>
            <w:r w:rsidR="00485F11" w:rsidRPr="00264D5D">
              <w:t xml:space="preserve"> </w:t>
            </w:r>
          </w:p>
          <w:p w14:paraId="526AE610" w14:textId="77777777" w:rsidR="00485F11" w:rsidRPr="00264D5D" w:rsidRDefault="00485F11" w:rsidP="00485F11">
            <w:pPr>
              <w:pStyle w:val="GOSTTablenorm"/>
            </w:pPr>
            <w:r w:rsidRPr="00264D5D">
              <w:t xml:space="preserve">Для маршрута НУБП (ПСБ и Росавтодор) – ТОФК указывается код субсидии (цели, целевых средств) плательщика, у которого схемой обслуживания предусмотрен учет операций в разрезе кодов субсидий </w:t>
            </w:r>
            <w:r w:rsidRPr="00264D5D">
              <w:lastRenderedPageBreak/>
              <w:t>(целей, целевых средств).</w:t>
            </w:r>
          </w:p>
          <w:p w14:paraId="6A08CB1A" w14:textId="77777777" w:rsidR="00485F11" w:rsidRPr="00264D5D" w:rsidRDefault="00941227" w:rsidP="00485F11">
            <w:pPr>
              <w:pStyle w:val="GOSTTablenorm"/>
            </w:pPr>
            <w:r w:rsidRPr="00264D5D">
              <w:t xml:space="preserve">Для машрута АУ, БУ – ТОФК (Компонент АУ, БУ ПУР ЭБ) обязательно для заполнения </w:t>
            </w:r>
            <w:r w:rsidR="00D76395" w:rsidRPr="00264D5D">
              <w:t>в случаях, предусмотренных НПА</w:t>
            </w:r>
            <w:r w:rsidR="00485F11" w:rsidRPr="00264D5D">
              <w:t xml:space="preserve">. </w:t>
            </w:r>
          </w:p>
          <w:p w14:paraId="6E6495BC" w14:textId="77777777" w:rsidR="00AD1F54" w:rsidRPr="00264D5D" w:rsidRDefault="00485F11" w:rsidP="00485F11">
            <w:pPr>
              <w:pStyle w:val="GOSTTablenorm"/>
            </w:pPr>
            <w:r w:rsidRPr="00264D5D">
              <w:t>Поле обязательно для заполнения при передаче по маршруту ТОФК (Компонент КС ПУР ЭБ) – ТОФК (ППО АСФК) в случае, если л/с плательщика с кодом 71</w:t>
            </w:r>
          </w:p>
        </w:tc>
      </w:tr>
      <w:tr w:rsidR="00AD1F54" w:rsidRPr="00264D5D" w14:paraId="350067AF"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D86110B" w14:textId="77777777" w:rsidR="00AD1F54" w:rsidRPr="00264D5D" w:rsidRDefault="00941227">
            <w:pPr>
              <w:pStyle w:val="GOSTTablenorm"/>
            </w:pPr>
            <w:r w:rsidRPr="00264D5D">
              <w:lastRenderedPageBreak/>
              <w:t>Тип КБК</w:t>
            </w:r>
          </w:p>
        </w:tc>
        <w:tc>
          <w:tcPr>
            <w:tcW w:w="1701" w:type="dxa"/>
          </w:tcPr>
          <w:p w14:paraId="0B48AA5E" w14:textId="77777777" w:rsidR="00AD1F54" w:rsidRPr="00264D5D" w:rsidRDefault="00941227">
            <w:pPr>
              <w:pStyle w:val="GOSTTablenorm"/>
            </w:pPr>
            <w:r w:rsidRPr="00264D5D">
              <w:t>BKTp</w:t>
            </w:r>
          </w:p>
        </w:tc>
        <w:tc>
          <w:tcPr>
            <w:tcW w:w="567" w:type="dxa"/>
          </w:tcPr>
          <w:p w14:paraId="7DBC83AE" w14:textId="77777777" w:rsidR="00AD1F54" w:rsidRPr="00264D5D" w:rsidRDefault="00941227">
            <w:pPr>
              <w:pStyle w:val="GOSTTablenorm"/>
              <w:jc w:val="center"/>
            </w:pPr>
            <w:r w:rsidRPr="00264D5D">
              <w:t>С</w:t>
            </w:r>
          </w:p>
        </w:tc>
        <w:tc>
          <w:tcPr>
            <w:tcW w:w="1134" w:type="dxa"/>
          </w:tcPr>
          <w:p w14:paraId="44149881" w14:textId="77777777" w:rsidR="00AD1F54" w:rsidRPr="00264D5D" w:rsidRDefault="00941227">
            <w:pPr>
              <w:pStyle w:val="GOSTTablenorm"/>
            </w:pPr>
            <w:r w:rsidRPr="00264D5D">
              <w:rPr>
                <w:lang w:val="en-US"/>
              </w:rPr>
              <w:t>tMSC_BKTp10_20Complex</w:t>
            </w:r>
          </w:p>
        </w:tc>
        <w:tc>
          <w:tcPr>
            <w:tcW w:w="567" w:type="dxa"/>
          </w:tcPr>
          <w:p w14:paraId="652B7516" w14:textId="77777777" w:rsidR="00AD1F54" w:rsidRPr="00264D5D" w:rsidRDefault="00941227">
            <w:pPr>
              <w:pStyle w:val="GOSTTablenorm"/>
              <w:jc w:val="center"/>
            </w:pPr>
            <w:r w:rsidRPr="00264D5D">
              <w:t>Н</w:t>
            </w:r>
          </w:p>
        </w:tc>
        <w:tc>
          <w:tcPr>
            <w:tcW w:w="3963" w:type="dxa"/>
          </w:tcPr>
          <w:p w14:paraId="4F37C03B" w14:textId="77777777" w:rsidR="00AD1F54" w:rsidRPr="00264D5D" w:rsidRDefault="00941227">
            <w:pPr>
              <w:pStyle w:val="GOSTTablenorm"/>
            </w:pPr>
            <w:r w:rsidRPr="00264D5D">
              <w:t>Обязательно к заполнению, если заполнено поле «Код по БК».</w:t>
            </w:r>
          </w:p>
          <w:p w14:paraId="28D67F36" w14:textId="77777777" w:rsidR="00AD1F54" w:rsidRPr="00264D5D" w:rsidRDefault="00941227">
            <w:pPr>
              <w:spacing w:before="60" w:after="60"/>
              <w:ind w:firstLine="16"/>
              <w:rPr>
                <w:sz w:val="22"/>
                <w:szCs w:val="22"/>
              </w:rPr>
            </w:pPr>
            <w:r w:rsidRPr="00264D5D">
              <w:rPr>
                <w:sz w:val="22"/>
                <w:szCs w:val="22"/>
              </w:rPr>
              <w:t>Не заполняется для ПБС, осуществляющим операции со средствами во временном распоряжении.</w:t>
            </w:r>
          </w:p>
          <w:p w14:paraId="47DB040C" w14:textId="77777777" w:rsidR="00AD1F54" w:rsidRPr="00264D5D" w:rsidRDefault="00941227">
            <w:pPr>
              <w:pStyle w:val="GOSTTablenorm"/>
              <w:rPr>
                <w:szCs w:val="22"/>
              </w:rPr>
            </w:pPr>
            <w:r w:rsidRPr="00264D5D">
              <w:rPr>
                <w:szCs w:val="22"/>
              </w:rPr>
              <w:t>Поле не заполняется для маршрута ТОФК (Компон</w:t>
            </w:r>
            <w:r w:rsidR="00485F11" w:rsidRPr="00264D5D">
              <w:rPr>
                <w:szCs w:val="22"/>
              </w:rPr>
              <w:t xml:space="preserve">ент КС ПУР ЭБ) – ТОФК (ПУДС ЭБ), </w:t>
            </w:r>
            <w:r w:rsidR="00485F11" w:rsidRPr="00264D5D">
              <w:t>НУБП (ПСБ и Росавтодор) – ТОФК, ТОФК (Компонент КС ПУР ЭБ) – ТОФК (ППО АСФК).</w:t>
            </w:r>
          </w:p>
          <w:p w14:paraId="38371A80" w14:textId="6A28BC62" w:rsidR="00AD1F54" w:rsidRPr="00264D5D" w:rsidRDefault="00941227">
            <w:pPr>
              <w:pStyle w:val="GOSTTablenorm"/>
            </w:pPr>
            <w:r w:rsidRPr="00264D5D">
              <w:t xml:space="preserve">Состав элемента представлен в таблице </w:t>
            </w:r>
            <w:r w:rsidRPr="00264D5D">
              <w:rPr>
                <w:b/>
              </w:rPr>
              <w:fldChar w:fldCharType="begin"/>
            </w:r>
            <w:r w:rsidRPr="00264D5D">
              <w:rPr>
                <w:b/>
              </w:rPr>
              <w:instrText xml:space="preserve"> REF _Ref503544057 \h  \* MERGEFORMAT </w:instrText>
            </w:r>
            <w:r w:rsidRPr="00264D5D">
              <w:rPr>
                <w:b/>
              </w:rPr>
            </w:r>
            <w:r w:rsidRPr="00264D5D">
              <w:rPr>
                <w:b/>
              </w:rPr>
              <w:fldChar w:fldCharType="separate"/>
            </w:r>
            <w:r w:rsidR="008D797C" w:rsidRPr="008D797C">
              <w:rPr>
                <w:b/>
              </w:rPr>
              <w:t>300</w:t>
            </w:r>
            <w:r w:rsidRPr="00264D5D">
              <w:rPr>
                <w:b/>
              </w:rPr>
              <w:fldChar w:fldCharType="end"/>
            </w:r>
          </w:p>
        </w:tc>
      </w:tr>
    </w:tbl>
    <w:p w14:paraId="6B966D7A" w14:textId="77777777" w:rsidR="00AD1F54" w:rsidRPr="00264D5D" w:rsidRDefault="00941227">
      <w:pPr>
        <w:pStyle w:val="31"/>
      </w:pPr>
      <w:bookmarkStart w:id="3190" w:name="_Toc508712730"/>
      <w:bookmarkStart w:id="3191" w:name="_Toc18509215"/>
      <w:bookmarkStart w:id="3192" w:name="OLE_LINK230"/>
      <w:r w:rsidRPr="00264D5D">
        <w:t xml:space="preserve"> </w:t>
      </w:r>
      <w:bookmarkStart w:id="3193" w:name="_Toc219309776"/>
      <w:r w:rsidRPr="00264D5D">
        <w:t>Описание комплексного типа «tMSC_BKTp10_20Complex»</w:t>
      </w:r>
      <w:bookmarkEnd w:id="3190"/>
      <w:bookmarkEnd w:id="3191"/>
      <w:bookmarkEnd w:id="3193"/>
    </w:p>
    <w:p w14:paraId="04F2D769" w14:textId="77777777" w:rsidR="00AD1F54" w:rsidRPr="00264D5D" w:rsidRDefault="00941227">
      <w:pPr>
        <w:pStyle w:val="GOSTNormal"/>
      </w:pPr>
      <w:r w:rsidRPr="00264D5D">
        <w:t xml:space="preserve">Описание комплексного типа </w:t>
      </w:r>
      <w:r w:rsidRPr="00264D5D">
        <w:rPr>
          <w:rFonts w:eastAsia="Calibri"/>
        </w:rPr>
        <w:t>«</w:t>
      </w:r>
      <w:r w:rsidRPr="00264D5D">
        <w:rPr>
          <w:szCs w:val="22"/>
        </w:rPr>
        <w:t>tMSC_BKTp10_20Complex</w:t>
      </w:r>
      <w:r w:rsidRPr="00264D5D">
        <w:t>» блока «Тип КБК».</w:t>
      </w:r>
    </w:p>
    <w:p w14:paraId="733E94CF" w14:textId="1EF72FAD" w:rsidR="00AD1F54" w:rsidRPr="00264D5D" w:rsidRDefault="001E5517">
      <w:pPr>
        <w:pStyle w:val="GOSTNameTable"/>
        <w:numPr>
          <w:ilvl w:val="0"/>
          <w:numId w:val="2"/>
        </w:numPr>
        <w:ind w:left="425" w:hanging="357"/>
      </w:pPr>
      <w:r w:rsidRPr="00264D5D">
        <w:rPr>
          <w:noProof/>
        </w:rPr>
        <w:fldChar w:fldCharType="begin"/>
      </w:r>
      <w:r w:rsidRPr="00264D5D">
        <w:rPr>
          <w:noProof/>
        </w:rPr>
        <w:instrText xml:space="preserve"> SEQ Таблица \* ARABIC </w:instrText>
      </w:r>
      <w:r w:rsidRPr="00264D5D">
        <w:rPr>
          <w:noProof/>
        </w:rPr>
        <w:fldChar w:fldCharType="separate"/>
      </w:r>
      <w:bookmarkStart w:id="3194" w:name="_Ref503544057"/>
      <w:bookmarkStart w:id="3195" w:name="_Toc18509504"/>
      <w:bookmarkStart w:id="3196" w:name="_Toc219309330"/>
      <w:r w:rsidR="008D797C">
        <w:rPr>
          <w:noProof/>
        </w:rPr>
        <w:t>300</w:t>
      </w:r>
      <w:bookmarkEnd w:id="3194"/>
      <w:r w:rsidRPr="00264D5D">
        <w:rPr>
          <w:noProof/>
        </w:rPr>
        <w:fldChar w:fldCharType="end"/>
      </w:r>
      <w:r w:rsidR="00941227" w:rsidRPr="00264D5D">
        <w:rPr>
          <w:rFonts w:eastAsia="Calibri"/>
          <w:szCs w:val="24"/>
        </w:rPr>
        <w:t xml:space="preserve"> –</w:t>
      </w:r>
      <w:r w:rsidR="00941227" w:rsidRPr="00264D5D">
        <w:t xml:space="preserve"> Описание комплексного типа «tMSC_BKTp10_20Complex»</w:t>
      </w:r>
      <w:bookmarkEnd w:id="3192"/>
      <w:bookmarkEnd w:id="3195"/>
      <w:bookmarkEnd w:id="3196"/>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527900CE"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42DFB5D8" w14:textId="77777777" w:rsidR="00AD1F54" w:rsidRPr="00264D5D" w:rsidRDefault="00941227">
            <w:pPr>
              <w:pStyle w:val="ASFKTableHead"/>
            </w:pPr>
            <w:r w:rsidRPr="00264D5D">
              <w:t>Наименование элемента</w:t>
            </w:r>
          </w:p>
        </w:tc>
        <w:tc>
          <w:tcPr>
            <w:tcW w:w="1701" w:type="dxa"/>
          </w:tcPr>
          <w:p w14:paraId="1B5007FF" w14:textId="77777777" w:rsidR="00AD1F54" w:rsidRPr="00264D5D" w:rsidRDefault="00941227">
            <w:pPr>
              <w:pStyle w:val="ASFKTableHead"/>
            </w:pPr>
            <w:r w:rsidRPr="00264D5D">
              <w:t>Сокращенное наименование (код) элемента</w:t>
            </w:r>
          </w:p>
        </w:tc>
        <w:tc>
          <w:tcPr>
            <w:tcW w:w="567" w:type="dxa"/>
          </w:tcPr>
          <w:p w14:paraId="684F8405" w14:textId="77777777" w:rsidR="00AD1F54" w:rsidRPr="00264D5D" w:rsidRDefault="00941227">
            <w:pPr>
              <w:pStyle w:val="ASFKTableHead"/>
            </w:pPr>
            <w:r w:rsidRPr="00264D5D">
              <w:t>Тип</w:t>
            </w:r>
          </w:p>
        </w:tc>
        <w:tc>
          <w:tcPr>
            <w:tcW w:w="1134" w:type="dxa"/>
          </w:tcPr>
          <w:p w14:paraId="4D88B178" w14:textId="77777777" w:rsidR="00AD1F54" w:rsidRPr="00264D5D" w:rsidRDefault="00941227">
            <w:pPr>
              <w:pStyle w:val="ASFKTableHead"/>
            </w:pPr>
            <w:r w:rsidRPr="00264D5D">
              <w:t>Формат элемента</w:t>
            </w:r>
          </w:p>
        </w:tc>
        <w:tc>
          <w:tcPr>
            <w:tcW w:w="567" w:type="dxa"/>
          </w:tcPr>
          <w:p w14:paraId="100D39E3" w14:textId="77777777" w:rsidR="00AD1F54" w:rsidRPr="00264D5D" w:rsidRDefault="00941227">
            <w:pPr>
              <w:pStyle w:val="ASFKTableHead"/>
            </w:pPr>
            <w:r w:rsidRPr="00264D5D">
              <w:t>Обязательность</w:t>
            </w:r>
          </w:p>
        </w:tc>
        <w:tc>
          <w:tcPr>
            <w:tcW w:w="3963" w:type="dxa"/>
          </w:tcPr>
          <w:p w14:paraId="66728584" w14:textId="77777777" w:rsidR="00AD1F54" w:rsidRPr="00264D5D" w:rsidRDefault="00941227">
            <w:pPr>
              <w:pStyle w:val="ASFKTableHead"/>
            </w:pPr>
            <w:r w:rsidRPr="00264D5D">
              <w:t>Дополнительная информация</w:t>
            </w:r>
          </w:p>
        </w:tc>
      </w:tr>
      <w:tr w:rsidR="00AD1F54" w:rsidRPr="00264D5D" w14:paraId="7E24BB76" w14:textId="77777777" w:rsidTr="00AD1F54">
        <w:trPr>
          <w:cnfStyle w:val="000000100000" w:firstRow="0" w:lastRow="0" w:firstColumn="0" w:lastColumn="0" w:oddVBand="0" w:evenVBand="0" w:oddHBand="1" w:evenHBand="0" w:firstRowFirstColumn="0" w:firstRowLastColumn="0" w:lastRowFirstColumn="0" w:lastRowLastColumn="0"/>
          <w:trHeight w:val="497"/>
        </w:trPr>
        <w:tc>
          <w:tcPr>
            <w:tcW w:w="1701" w:type="dxa"/>
          </w:tcPr>
          <w:p w14:paraId="0720AF3D" w14:textId="77777777" w:rsidR="00AD1F54" w:rsidRPr="00264D5D" w:rsidRDefault="00941227">
            <w:pPr>
              <w:pStyle w:val="GOSTTablenorm"/>
            </w:pPr>
            <w:r w:rsidRPr="00264D5D">
              <w:t>Код</w:t>
            </w:r>
          </w:p>
        </w:tc>
        <w:tc>
          <w:tcPr>
            <w:tcW w:w="1701" w:type="dxa"/>
          </w:tcPr>
          <w:p w14:paraId="0BEF66D1" w14:textId="77777777" w:rsidR="00AD1F54" w:rsidRPr="00264D5D" w:rsidRDefault="00941227">
            <w:pPr>
              <w:pStyle w:val="GOSTTablenorm"/>
              <w:rPr>
                <w:lang w:val="en-US"/>
              </w:rPr>
            </w:pPr>
            <w:r w:rsidRPr="00264D5D">
              <w:rPr>
                <w:lang w:val="en-US"/>
              </w:rPr>
              <w:t>code</w:t>
            </w:r>
          </w:p>
        </w:tc>
        <w:tc>
          <w:tcPr>
            <w:tcW w:w="567" w:type="dxa"/>
          </w:tcPr>
          <w:p w14:paraId="7A48277B" w14:textId="77777777" w:rsidR="00AD1F54" w:rsidRPr="00264D5D" w:rsidRDefault="00941227">
            <w:pPr>
              <w:pStyle w:val="GOSTTablenorm"/>
              <w:jc w:val="center"/>
            </w:pPr>
            <w:r w:rsidRPr="00264D5D">
              <w:t>А</w:t>
            </w:r>
          </w:p>
        </w:tc>
        <w:tc>
          <w:tcPr>
            <w:tcW w:w="1134" w:type="dxa"/>
          </w:tcPr>
          <w:p w14:paraId="3D1F856E" w14:textId="77777777" w:rsidR="00AD1F54" w:rsidRPr="00264D5D" w:rsidRDefault="00941227">
            <w:pPr>
              <w:pStyle w:val="GOSTTablenorm"/>
            </w:pPr>
            <w:r w:rsidRPr="00264D5D">
              <w:t>-</w:t>
            </w:r>
          </w:p>
        </w:tc>
        <w:tc>
          <w:tcPr>
            <w:tcW w:w="567" w:type="dxa"/>
          </w:tcPr>
          <w:p w14:paraId="7D4EAE97" w14:textId="77777777" w:rsidR="00AD1F54" w:rsidRPr="00264D5D" w:rsidRDefault="00941227">
            <w:pPr>
              <w:pStyle w:val="GOSTTablenorm"/>
              <w:jc w:val="center"/>
            </w:pPr>
            <w:r w:rsidRPr="00264D5D">
              <w:t>О</w:t>
            </w:r>
          </w:p>
        </w:tc>
        <w:tc>
          <w:tcPr>
            <w:tcW w:w="3963" w:type="dxa"/>
          </w:tcPr>
          <w:p w14:paraId="4E8CCAB2" w14:textId="77777777" w:rsidR="00AD1F54" w:rsidRPr="00264D5D" w:rsidRDefault="00941227">
            <w:pPr>
              <w:pStyle w:val="GOSTTablenorm"/>
            </w:pPr>
            <w:r w:rsidRPr="00264D5D">
              <w:t xml:space="preserve">Указывается код типа КБК. </w:t>
            </w:r>
          </w:p>
          <w:p w14:paraId="0A48E19D" w14:textId="77777777" w:rsidR="00AD1F54" w:rsidRPr="00264D5D" w:rsidRDefault="00941227">
            <w:pPr>
              <w:pStyle w:val="GOSTTablenorm"/>
            </w:pPr>
            <w:r w:rsidRPr="00264D5D">
              <w:t>Допустмые значения:</w:t>
            </w:r>
          </w:p>
          <w:p w14:paraId="2903FA6F" w14:textId="77777777" w:rsidR="00AD1F54" w:rsidRPr="00264D5D" w:rsidRDefault="00941227" w:rsidP="00E7460C">
            <w:pPr>
              <w:pStyle w:val="GOSTTablenorm"/>
              <w:numPr>
                <w:ilvl w:val="0"/>
                <w:numId w:val="80"/>
              </w:numPr>
              <w:ind w:left="284" w:hanging="227"/>
            </w:pPr>
            <w:r w:rsidRPr="00264D5D">
              <w:t>10 – Расходы;</w:t>
            </w:r>
          </w:p>
          <w:p w14:paraId="18AB4938" w14:textId="77777777" w:rsidR="00AD1F54" w:rsidRPr="00264D5D" w:rsidRDefault="00D76395" w:rsidP="00E7460C">
            <w:pPr>
              <w:pStyle w:val="GOSTTablenorm"/>
              <w:numPr>
                <w:ilvl w:val="0"/>
                <w:numId w:val="80"/>
              </w:numPr>
              <w:ind w:left="284" w:hanging="227"/>
              <w:rPr>
                <w:b/>
                <w:bCs/>
              </w:rPr>
            </w:pPr>
            <w:r w:rsidRPr="00264D5D">
              <w:t>20 – Доходы</w:t>
            </w:r>
          </w:p>
        </w:tc>
      </w:tr>
      <w:tr w:rsidR="00AD1F54" w:rsidRPr="00264D5D" w14:paraId="4E990C48" w14:textId="77777777" w:rsidTr="00AD1F54">
        <w:trPr>
          <w:cnfStyle w:val="000000010000" w:firstRow="0" w:lastRow="0" w:firstColumn="0" w:lastColumn="0" w:oddVBand="0" w:evenVBand="0" w:oddHBand="0" w:evenHBand="1" w:firstRowFirstColumn="0" w:firstRowLastColumn="0" w:lastRowFirstColumn="0" w:lastRowLastColumn="0"/>
          <w:trHeight w:val="1140"/>
        </w:trPr>
        <w:tc>
          <w:tcPr>
            <w:tcW w:w="1701" w:type="dxa"/>
          </w:tcPr>
          <w:p w14:paraId="6238A111" w14:textId="77777777" w:rsidR="00AD1F54" w:rsidRPr="00264D5D" w:rsidRDefault="00941227">
            <w:pPr>
              <w:pStyle w:val="GOSTTablenorm"/>
            </w:pPr>
            <w:r w:rsidRPr="00264D5D">
              <w:t>Тип КБК</w:t>
            </w:r>
          </w:p>
        </w:tc>
        <w:tc>
          <w:tcPr>
            <w:tcW w:w="1701" w:type="dxa"/>
          </w:tcPr>
          <w:p w14:paraId="3187E51D" w14:textId="77777777" w:rsidR="00AD1F54" w:rsidRPr="00264D5D" w:rsidRDefault="00941227">
            <w:pPr>
              <w:pStyle w:val="GOSTTablenorm"/>
            </w:pPr>
            <w:r w:rsidRPr="00264D5D">
              <w:rPr>
                <w:lang w:val="en-US"/>
              </w:rPr>
              <w:t>value</w:t>
            </w:r>
          </w:p>
        </w:tc>
        <w:tc>
          <w:tcPr>
            <w:tcW w:w="567" w:type="dxa"/>
          </w:tcPr>
          <w:p w14:paraId="456D5E81" w14:textId="77777777" w:rsidR="00AD1F54" w:rsidRPr="00264D5D" w:rsidRDefault="00941227">
            <w:pPr>
              <w:pStyle w:val="GOSTTablenorm"/>
              <w:jc w:val="center"/>
            </w:pPr>
            <w:r w:rsidRPr="00264D5D">
              <w:t>А</w:t>
            </w:r>
          </w:p>
        </w:tc>
        <w:tc>
          <w:tcPr>
            <w:tcW w:w="1134" w:type="dxa"/>
          </w:tcPr>
          <w:p w14:paraId="0FCF53F5" w14:textId="77777777" w:rsidR="00AD1F54" w:rsidRPr="00264D5D" w:rsidRDefault="00941227">
            <w:pPr>
              <w:pStyle w:val="GOSTTablenorm"/>
            </w:pPr>
            <w:r w:rsidRPr="00264D5D">
              <w:t>-</w:t>
            </w:r>
          </w:p>
        </w:tc>
        <w:tc>
          <w:tcPr>
            <w:tcW w:w="567" w:type="dxa"/>
          </w:tcPr>
          <w:p w14:paraId="1FD4905C" w14:textId="77777777" w:rsidR="00AD1F54" w:rsidRPr="00264D5D" w:rsidRDefault="00941227">
            <w:pPr>
              <w:pStyle w:val="GOSTTablenorm"/>
              <w:jc w:val="center"/>
            </w:pPr>
            <w:r w:rsidRPr="00264D5D">
              <w:t>Н</w:t>
            </w:r>
          </w:p>
        </w:tc>
        <w:tc>
          <w:tcPr>
            <w:tcW w:w="3963" w:type="dxa"/>
          </w:tcPr>
          <w:p w14:paraId="38B2CF4C" w14:textId="77777777" w:rsidR="00AD1F54" w:rsidRPr="00264D5D" w:rsidRDefault="00941227">
            <w:pPr>
              <w:pStyle w:val="GOSTTablenorm"/>
            </w:pPr>
            <w:r w:rsidRPr="00264D5D">
              <w:t xml:space="preserve">Указывается наименование типа КБК. </w:t>
            </w:r>
          </w:p>
          <w:p w14:paraId="3EC76117" w14:textId="77777777" w:rsidR="00AD1F54" w:rsidRPr="00264D5D" w:rsidRDefault="00941227">
            <w:pPr>
              <w:pStyle w:val="GOSTTablenorm"/>
            </w:pPr>
            <w:r w:rsidRPr="00264D5D">
              <w:t>Допустимые значения:</w:t>
            </w:r>
          </w:p>
          <w:p w14:paraId="01E477F7" w14:textId="77777777" w:rsidR="00AD1F54" w:rsidRPr="00264D5D" w:rsidRDefault="00941227" w:rsidP="00E7460C">
            <w:pPr>
              <w:pStyle w:val="GOSTTablenorm"/>
              <w:numPr>
                <w:ilvl w:val="0"/>
                <w:numId w:val="80"/>
              </w:numPr>
              <w:ind w:left="284" w:hanging="227"/>
            </w:pPr>
            <w:r w:rsidRPr="00264D5D">
              <w:t>Расходы;</w:t>
            </w:r>
          </w:p>
          <w:p w14:paraId="34DAF295" w14:textId="77777777" w:rsidR="00AD1F54" w:rsidRPr="00264D5D" w:rsidRDefault="00D76395" w:rsidP="00E7460C">
            <w:pPr>
              <w:pStyle w:val="GOSTTablenorm"/>
              <w:numPr>
                <w:ilvl w:val="0"/>
                <w:numId w:val="80"/>
              </w:numPr>
              <w:ind w:left="284" w:hanging="227"/>
              <w:rPr>
                <w:b/>
                <w:bCs/>
              </w:rPr>
            </w:pPr>
            <w:r w:rsidRPr="00264D5D">
              <w:t>Доходы</w:t>
            </w:r>
          </w:p>
        </w:tc>
      </w:tr>
    </w:tbl>
    <w:p w14:paraId="607901F1" w14:textId="77777777" w:rsidR="00AD1F54" w:rsidRPr="00264D5D" w:rsidRDefault="00941227">
      <w:pPr>
        <w:pStyle w:val="31"/>
      </w:pPr>
      <w:bookmarkStart w:id="3197" w:name="_Toc18509216"/>
      <w:r w:rsidRPr="00264D5D">
        <w:lastRenderedPageBreak/>
        <w:t xml:space="preserve"> </w:t>
      </w:r>
      <w:bookmarkStart w:id="3198" w:name="_Toc219309777"/>
      <w:r w:rsidRPr="00264D5D">
        <w:t>Описание комплексного типа «tMSC_Infrmtn»</w:t>
      </w:r>
      <w:bookmarkEnd w:id="3197"/>
      <w:bookmarkEnd w:id="3198"/>
    </w:p>
    <w:p w14:paraId="1D4C67F3" w14:textId="77777777" w:rsidR="00AD1F54" w:rsidRPr="00264D5D" w:rsidRDefault="00941227">
      <w:pPr>
        <w:pStyle w:val="GOSTNormal"/>
      </w:pPr>
      <w:r w:rsidRPr="00264D5D">
        <w:t xml:space="preserve">Описание комплексного типа </w:t>
      </w:r>
      <w:r w:rsidRPr="00264D5D">
        <w:rPr>
          <w:rFonts w:eastAsia="Calibri"/>
        </w:rPr>
        <w:t>«</w:t>
      </w:r>
      <w:r w:rsidRPr="00264D5D">
        <w:t>tMSC_Infrmtn» блока «Системная информация документа.</w:t>
      </w:r>
    </w:p>
    <w:p w14:paraId="173C9040" w14:textId="0C1C5926" w:rsidR="00AD1F54" w:rsidRPr="00264D5D" w:rsidRDefault="001E5517">
      <w:pPr>
        <w:pStyle w:val="GOSTNameTable"/>
        <w:numPr>
          <w:ilvl w:val="0"/>
          <w:numId w:val="2"/>
        </w:numPr>
        <w:ind w:left="425" w:hanging="357"/>
      </w:pPr>
      <w:r w:rsidRPr="00264D5D">
        <w:rPr>
          <w:noProof/>
        </w:rPr>
        <w:fldChar w:fldCharType="begin"/>
      </w:r>
      <w:r w:rsidRPr="00264D5D">
        <w:rPr>
          <w:noProof/>
        </w:rPr>
        <w:instrText xml:space="preserve"> SEQ Таблица \* ARABIC </w:instrText>
      </w:r>
      <w:r w:rsidRPr="00264D5D">
        <w:rPr>
          <w:noProof/>
        </w:rPr>
        <w:fldChar w:fldCharType="separate"/>
      </w:r>
      <w:bookmarkStart w:id="3199" w:name="_Toc18509505"/>
      <w:bookmarkStart w:id="3200" w:name="_Toc219309331"/>
      <w:r w:rsidR="008D797C">
        <w:rPr>
          <w:noProof/>
        </w:rPr>
        <w:t>301</w:t>
      </w:r>
      <w:r w:rsidRPr="00264D5D">
        <w:rPr>
          <w:noProof/>
        </w:rPr>
        <w:fldChar w:fldCharType="end"/>
      </w:r>
      <w:r w:rsidR="00941227" w:rsidRPr="00264D5D">
        <w:rPr>
          <w:rFonts w:eastAsia="Calibri"/>
          <w:szCs w:val="24"/>
        </w:rPr>
        <w:t xml:space="preserve"> –</w:t>
      </w:r>
      <w:r w:rsidR="00941227" w:rsidRPr="00264D5D">
        <w:t xml:space="preserve"> Описание комплексного типа «tMSC_Infrmtn»</w:t>
      </w:r>
      <w:bookmarkEnd w:id="3199"/>
      <w:bookmarkEnd w:id="3200"/>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0BBA808D"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097698DB" w14:textId="77777777" w:rsidR="00AD1F54" w:rsidRPr="00264D5D" w:rsidRDefault="00941227">
            <w:pPr>
              <w:pStyle w:val="ASFKTableHead"/>
            </w:pPr>
            <w:r w:rsidRPr="00264D5D">
              <w:t>Наименование элемента</w:t>
            </w:r>
          </w:p>
        </w:tc>
        <w:tc>
          <w:tcPr>
            <w:tcW w:w="1701" w:type="dxa"/>
          </w:tcPr>
          <w:p w14:paraId="25D2C67A" w14:textId="77777777" w:rsidR="00AD1F54" w:rsidRPr="00264D5D" w:rsidRDefault="00941227">
            <w:pPr>
              <w:pStyle w:val="ASFKTableHead"/>
            </w:pPr>
            <w:r w:rsidRPr="00264D5D">
              <w:t>Сокращенное наименование (код) элемента</w:t>
            </w:r>
          </w:p>
        </w:tc>
        <w:tc>
          <w:tcPr>
            <w:tcW w:w="567" w:type="dxa"/>
          </w:tcPr>
          <w:p w14:paraId="221503A6" w14:textId="77777777" w:rsidR="00AD1F54" w:rsidRPr="00264D5D" w:rsidRDefault="00941227">
            <w:pPr>
              <w:pStyle w:val="ASFKTableHead"/>
            </w:pPr>
            <w:r w:rsidRPr="00264D5D">
              <w:t>Тип</w:t>
            </w:r>
          </w:p>
        </w:tc>
        <w:tc>
          <w:tcPr>
            <w:tcW w:w="1134" w:type="dxa"/>
          </w:tcPr>
          <w:p w14:paraId="1B39BC2B" w14:textId="77777777" w:rsidR="00AD1F54" w:rsidRPr="00264D5D" w:rsidRDefault="00941227">
            <w:pPr>
              <w:pStyle w:val="ASFKTableHead"/>
            </w:pPr>
            <w:r w:rsidRPr="00264D5D">
              <w:t>Формат элемента</w:t>
            </w:r>
          </w:p>
        </w:tc>
        <w:tc>
          <w:tcPr>
            <w:tcW w:w="567" w:type="dxa"/>
          </w:tcPr>
          <w:p w14:paraId="10F46E54" w14:textId="77777777" w:rsidR="00AD1F54" w:rsidRPr="00264D5D" w:rsidRDefault="00941227">
            <w:pPr>
              <w:pStyle w:val="ASFKTableHead"/>
            </w:pPr>
            <w:r w:rsidRPr="00264D5D">
              <w:t>Обязательность</w:t>
            </w:r>
          </w:p>
        </w:tc>
        <w:tc>
          <w:tcPr>
            <w:tcW w:w="3963" w:type="dxa"/>
          </w:tcPr>
          <w:p w14:paraId="0C39428B" w14:textId="77777777" w:rsidR="00AD1F54" w:rsidRPr="00264D5D" w:rsidRDefault="00941227">
            <w:pPr>
              <w:pStyle w:val="ASFKTableHead"/>
            </w:pPr>
            <w:r w:rsidRPr="00264D5D">
              <w:t>Дополнительная информация</w:t>
            </w:r>
          </w:p>
        </w:tc>
      </w:tr>
      <w:tr w:rsidR="00AD1F54" w:rsidRPr="00264D5D" w14:paraId="29AED84B"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CE26197" w14:textId="77777777" w:rsidR="00AD1F54" w:rsidRPr="00264D5D" w:rsidRDefault="00941227">
            <w:pPr>
              <w:pStyle w:val="GOSTTablenorm"/>
            </w:pPr>
            <w:r w:rsidRPr="00264D5D">
              <w:t>Глобальный уникальный идентификатор</w:t>
            </w:r>
          </w:p>
        </w:tc>
        <w:tc>
          <w:tcPr>
            <w:tcW w:w="1701" w:type="dxa"/>
          </w:tcPr>
          <w:p w14:paraId="63C69274" w14:textId="77777777" w:rsidR="00AD1F54" w:rsidRPr="00264D5D" w:rsidRDefault="00941227">
            <w:pPr>
              <w:pStyle w:val="GOSTTablenorm"/>
            </w:pPr>
            <w:r w:rsidRPr="00264D5D">
              <w:t xml:space="preserve"> GUID</w:t>
            </w:r>
          </w:p>
        </w:tc>
        <w:tc>
          <w:tcPr>
            <w:tcW w:w="567" w:type="dxa"/>
          </w:tcPr>
          <w:p w14:paraId="53ED599C" w14:textId="77777777" w:rsidR="00AD1F54" w:rsidRPr="00264D5D" w:rsidRDefault="00941227">
            <w:pPr>
              <w:pStyle w:val="GOSTTablenorm"/>
              <w:jc w:val="center"/>
            </w:pPr>
            <w:r w:rsidRPr="00264D5D">
              <w:t>П</w:t>
            </w:r>
          </w:p>
        </w:tc>
        <w:tc>
          <w:tcPr>
            <w:tcW w:w="1134" w:type="dxa"/>
          </w:tcPr>
          <w:p w14:paraId="53939DF9" w14:textId="77777777" w:rsidR="00AD1F54" w:rsidRPr="00264D5D" w:rsidRDefault="00941227">
            <w:pPr>
              <w:pStyle w:val="GOSTTablenorm"/>
              <w:rPr>
                <w:lang w:val="en-US"/>
              </w:rPr>
            </w:pPr>
            <w:r w:rsidRPr="00264D5D">
              <w:t>GUID</w:t>
            </w:r>
          </w:p>
        </w:tc>
        <w:tc>
          <w:tcPr>
            <w:tcW w:w="567" w:type="dxa"/>
          </w:tcPr>
          <w:p w14:paraId="61202D4D" w14:textId="77777777" w:rsidR="00AD1F54" w:rsidRPr="00264D5D" w:rsidRDefault="00941227">
            <w:pPr>
              <w:pStyle w:val="GOSTTablenorm"/>
              <w:jc w:val="center"/>
              <w:rPr>
                <w:lang w:val="en-US"/>
              </w:rPr>
            </w:pPr>
            <w:r w:rsidRPr="00264D5D">
              <w:t>О</w:t>
            </w:r>
          </w:p>
        </w:tc>
        <w:tc>
          <w:tcPr>
            <w:tcW w:w="3963" w:type="dxa"/>
          </w:tcPr>
          <w:p w14:paraId="2A76C6A1" w14:textId="77777777" w:rsidR="00AD1F54" w:rsidRPr="00264D5D" w:rsidRDefault="00941227">
            <w:pPr>
              <w:pStyle w:val="GOSTTablenorm"/>
            </w:pPr>
            <w:r w:rsidRPr="00264D5D">
              <w:t>Указывается глобальный уникальный идентификатор документа</w:t>
            </w:r>
          </w:p>
        </w:tc>
      </w:tr>
      <w:tr w:rsidR="00AD1F54" w:rsidRPr="00264D5D" w14:paraId="12BFA50D" w14:textId="77777777" w:rsidTr="00AD1F54">
        <w:trPr>
          <w:cnfStyle w:val="000000010000" w:firstRow="0" w:lastRow="0" w:firstColumn="0" w:lastColumn="0" w:oddVBand="0" w:evenVBand="0" w:oddHBand="0" w:evenHBand="1" w:firstRowFirstColumn="0" w:firstRowLastColumn="0" w:lastRowFirstColumn="0" w:lastRowLastColumn="0"/>
          <w:trHeight w:val="274"/>
        </w:trPr>
        <w:tc>
          <w:tcPr>
            <w:tcW w:w="1701" w:type="dxa"/>
          </w:tcPr>
          <w:p w14:paraId="33AC8BDD" w14:textId="77777777" w:rsidR="00AD1F54" w:rsidRPr="00264D5D" w:rsidRDefault="00941227">
            <w:pPr>
              <w:pStyle w:val="GOSTTablenorm"/>
            </w:pPr>
            <w:r w:rsidRPr="00264D5D">
              <w:t>Дата документа</w:t>
            </w:r>
          </w:p>
        </w:tc>
        <w:tc>
          <w:tcPr>
            <w:tcW w:w="1701" w:type="dxa"/>
          </w:tcPr>
          <w:p w14:paraId="7D7E7639" w14:textId="77777777" w:rsidR="00AD1F54" w:rsidRPr="00264D5D" w:rsidRDefault="00941227">
            <w:pPr>
              <w:pStyle w:val="GOSTTablenorm"/>
            </w:pPr>
            <w:r w:rsidRPr="00264D5D">
              <w:rPr>
                <w:lang w:val="en-US"/>
              </w:rPr>
              <w:t>CrtnDt</w:t>
            </w:r>
          </w:p>
        </w:tc>
        <w:tc>
          <w:tcPr>
            <w:tcW w:w="567" w:type="dxa"/>
          </w:tcPr>
          <w:p w14:paraId="778A59D8" w14:textId="77777777" w:rsidR="00AD1F54" w:rsidRPr="00264D5D" w:rsidRDefault="00941227">
            <w:pPr>
              <w:pStyle w:val="GOSTTablenorm"/>
              <w:jc w:val="center"/>
            </w:pPr>
            <w:r w:rsidRPr="00264D5D">
              <w:t>П</w:t>
            </w:r>
          </w:p>
        </w:tc>
        <w:tc>
          <w:tcPr>
            <w:tcW w:w="1134" w:type="dxa"/>
          </w:tcPr>
          <w:p w14:paraId="11A5BE77" w14:textId="77777777" w:rsidR="00AD1F54" w:rsidRPr="00264D5D" w:rsidRDefault="00941227">
            <w:pPr>
              <w:pStyle w:val="GOSTTablenorm"/>
            </w:pPr>
            <w:r w:rsidRPr="00264D5D">
              <w:rPr>
                <w:lang w:val="en-US"/>
              </w:rPr>
              <w:t>Date</w:t>
            </w:r>
          </w:p>
        </w:tc>
        <w:tc>
          <w:tcPr>
            <w:tcW w:w="567" w:type="dxa"/>
          </w:tcPr>
          <w:p w14:paraId="1E888C9C" w14:textId="77777777" w:rsidR="00AD1F54" w:rsidRPr="00264D5D" w:rsidRDefault="00941227">
            <w:pPr>
              <w:pStyle w:val="GOSTTablenorm"/>
              <w:jc w:val="center"/>
            </w:pPr>
            <w:r w:rsidRPr="00264D5D">
              <w:t>О</w:t>
            </w:r>
          </w:p>
        </w:tc>
        <w:tc>
          <w:tcPr>
            <w:tcW w:w="3963" w:type="dxa"/>
          </w:tcPr>
          <w:p w14:paraId="77870B0B" w14:textId="77777777" w:rsidR="00AD1F54" w:rsidRPr="00264D5D" w:rsidRDefault="00D76395">
            <w:pPr>
              <w:pStyle w:val="GOSTTablenorm"/>
            </w:pPr>
            <w:r w:rsidRPr="00264D5D">
              <w:t>Дата документа</w:t>
            </w:r>
          </w:p>
        </w:tc>
      </w:tr>
    </w:tbl>
    <w:p w14:paraId="5D2BA788" w14:textId="77777777" w:rsidR="00AD1F54" w:rsidRPr="00264D5D" w:rsidRDefault="00941227">
      <w:pPr>
        <w:pStyle w:val="31"/>
      </w:pPr>
      <w:r w:rsidRPr="00264D5D">
        <w:t xml:space="preserve"> </w:t>
      </w:r>
      <w:bookmarkStart w:id="3201" w:name="_Toc219309778"/>
      <w:r w:rsidRPr="00264D5D">
        <w:t>Пример XML</w:t>
      </w:r>
      <w:bookmarkEnd w:id="3201"/>
    </w:p>
    <w:p w14:paraId="6EC6F50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&lt;?xml version="1.0" encoding="UTF-8"?&gt;</w:t>
      </w:r>
    </w:p>
    <w:p w14:paraId="61B2171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&lt;soapenv:Envelope xmlns:soapenv="http://schemas.xmlsoap.org/soap/envelope/" xmlns:wsu="http://docs.oasis-open.org/wss/2004/01/oasis-200401-wss-wssecurity-utility-1.0.xsd" xmlns:wsse="http://docs.oasis-open.org/wss/2004/01/oasis-200401-wss-wssecurity-secext-1.0.xsd"&gt;</w:t>
      </w:r>
    </w:p>
    <w:p w14:paraId="082C53E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&lt;soapenv:Header xmlns:env="http://schemas.xmlsoap.org/soap/envelope/"&gt;&lt;wsse:Security wsu:Id="Id-sec-f9cb3040b7ca31cd7876d625c632e1aed304"&gt;</w:t>
      </w:r>
    </w:p>
    <w:p w14:paraId="279A8AA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 xmlns="http://www.w3.org/2000/09/xmldsig#" Id="Id-sig-b9199ca934cfa91bcff69e807d7b0dbd26f6"&gt;</w:t>
      </w:r>
    </w:p>
    <w:p w14:paraId="6EC5C6B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34652E1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&lt;CanonicalizationMethod Algorithm="http://www.w3.org/2001/10/xml-exc-c14n#"/&gt;</w:t>
      </w:r>
    </w:p>
    <w:p w14:paraId="28A66A3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&lt;SignatureMethod Algorithm="http://www.w3.org/2001/04/xmldsig-more#gostr34102001-gostr3411"/&gt;</w:t>
      </w:r>
    </w:p>
    <w:p w14:paraId="1344D65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URI="#Id-wssecdata-29cef34e3106063e64fead91c94aeda97ff4" Id="Id-dataref-ea575c0bb2c994b98298d2c77dcd5a7dbaa1"&gt;</w:t>
      </w:r>
    </w:p>
    <w:p w14:paraId="52DF505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5C1B300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1A0DEBB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2317776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564DB58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&lt;DigestValue&gt;4bqC9/3OSJqEHDz00XLzUf29YFcetigx2jr08qUp7fQ=&lt;/DigestValue&gt;</w:t>
      </w:r>
    </w:p>
    <w:p w14:paraId="7E395AC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795C454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Type="http://www.w3.org/TR/2002/REC-xmldsig-core-20020212/xmldsig-core-schema.xsd#X509Data" URI="#Id-keyinfo-11712390bc17243d110193ac033f54873ad8" Id="Id-keyinforef-ac3c6eb29c9af1964819db52ec661b26c339"&gt;</w:t>
      </w:r>
    </w:p>
    <w:p w14:paraId="63D9BB0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32E91BD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33DCE8B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3CD8420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4F6A751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&lt;DigestValue&gt;+0q515JTexjW0go5SdPl7+ydqXUKST91N44lIbXt8Yo=&lt;/DigestValue&gt;</w:t>
      </w:r>
    </w:p>
    <w:p w14:paraId="421BC09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3DB724C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URI="#Id-sp-4179cfd1e4ba9c0aaed70450fc3c741c9c08" Id="Id-ref-cb8cc265f168034494eca1c25ec74bf9433c"&gt;</w:t>
      </w:r>
    </w:p>
    <w:p w14:paraId="360B100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6171E02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68B1710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7A49846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7169A7C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&lt;DigestValue&gt;f10/P/MZ5W1AwvdMPGkqpWfYGkK10xUw6SycuQIgFIc=&lt;/DigestValue&gt;</w:t>
      </w:r>
    </w:p>
    <w:p w14:paraId="7D5766D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1D10702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1AABC81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&lt;SignatureValue&gt;Xg8mlCU46QdjuUgHR/GFI13DKE7tfRDOphsVyNpFnxC/Sa2XnEuGBKeW7azroY19</w:t>
      </w:r>
    </w:p>
    <w:p w14:paraId="4B26C84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3u7EHXe4dKfnrJ7k7Eq5+A==&lt;/SignatureValue&gt;</w:t>
      </w:r>
    </w:p>
    <w:p w14:paraId="29DD598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2BC069C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0FA7F4E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 xmlns="http://uri.etsi.org/01903/v1.4.1#" Target="Id-sig-b9199ca934cfa91bcff69e807d7b0dbd26f6"&gt;</w:t>
      </w:r>
    </w:p>
    <w:p w14:paraId="396B1F6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 Id="Id-sp-4179cfd1e4ba9c0aaed70450fc3c741c9c08"&gt;</w:t>
      </w:r>
    </w:p>
    <w:p w14:paraId="5DA18CC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&lt;SignedSignatureProperties Id="Id-ssp-408cecc6a155b8a0f2850e81d5f57496bb2b"/&gt;</w:t>
      </w:r>
    </w:p>
    <w:p w14:paraId="19A3D6D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&lt;/SignedProperties&gt;</w:t>
      </w:r>
    </w:p>
    <w:p w14:paraId="3D75B05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&lt;/QualifyingProperties&gt;</w:t>
      </w:r>
    </w:p>
    <w:p w14:paraId="66FA3F2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2955EE0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609925C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CVNlcnZlciBDQTEgMB4GCSqGSIb3DQEJARYRdWNfZmtAcm9za2F6bmEucnUxHDAa</w:t>
      </w:r>
    </w:p>
    <w:p w14:paraId="6E4A6B8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BgNVBAgMEzc3INCzLiDQnNC+0YHQutCy0LAxGjAYBggqhQMDgQMBARIMMDA3NzEw</w:t>
      </w:r>
    </w:p>
    <w:p w14:paraId="380CE58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NTY4NzYwMRgwFgYFKoUDZAESDTEwNDc3OTcwMTk4MzAxLDAqBgNVBAkMI9GD0LvQ</w:t>
      </w:r>
    </w:p>
    <w:p w14:paraId="61CE35B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uNGG0LAg0JjQu9GM0LjQvdC60LAsINC00L7QvCA3MRUwEwYDVQQHDAzQnNC+0YHQ</w:t>
      </w:r>
    </w:p>
    <w:p w14:paraId="3EEEDCB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utCy0LAxCzAJBgNVBAYTAlJVMTgwNgYDVQQKDC/QpNC10LTQtdGA0LDQu9GM0L3Q</w:t>
      </w:r>
    </w:p>
    <w:p w14:paraId="6C95ECE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vtC1INC60LDQt9C90LDRh9C10LnRgdGC0LLQvjE/MD0GA1UEAww20KPQpiDQpNC1</w:t>
      </w:r>
    </w:p>
    <w:p w14:paraId="4EAF7D3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0LTQtdGA0LDQu9GM0L3QvtCz0L4g0LrQsNC30L3QsNGH0LXQudGB0YLQstCwMB4X</w:t>
      </w:r>
    </w:p>
    <w:p w14:paraId="3D63928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DTE2MDQwNzA4MTExMFoXDTE3MDcwNzA4MTExMFowggITMRYwFAYFKoUDZAMSCzEy</w:t>
      </w:r>
    </w:p>
    <w:p w14:paraId="2FF82B7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MzQ1Njc4OTAxMRgwFgYFKoUDZAESDTAxMjM0NTY3ODkxMjMxGjAYBggqhQMDgQMB</w:t>
      </w:r>
    </w:p>
    <w:p w14:paraId="5EA759F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ARIMMDAxMjM0NTY3ODkwMSYwJAYJKoZIhvcNAQkBFhduLm5hZ292aXRzeW5AaW5m</w:t>
      </w:r>
    </w:p>
    <w:p w14:paraId="5532BF8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b3NlYy5ydTELMAkGA1UEBhMCUlUxHDAaBgNVBAgMEzc3INCzLiDQnNC+0YHQutCy</w:t>
      </w:r>
    </w:p>
    <w:p w14:paraId="16EB833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0LAxFTATBgNVBAcMDNCc0L7RgdC60LLQsDE4MDYGA1UECgwv0KTQtdC00LXRgNCw</w:t>
      </w:r>
    </w:p>
    <w:p w14:paraId="64161D5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0LvRjNC90L7QtSDQutCw0LfQvdCw0YfQtdC50YHRgtCy0L4xNDAyBgNVBAsMK9GC</w:t>
      </w:r>
    </w:p>
    <w:p w14:paraId="3F70613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0LXRgdGC0L7QstC+0LUg0L/QvtC00YDQsNC30LTQtdC70LXQvdC40LUxHDAaBgNV</w:t>
      </w:r>
    </w:p>
    <w:p w14:paraId="554DF67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BCoME2PQtdGA0YLQuNGE0LjQutCw0YIxGTAXBgNVBAQMENCi0LXRgdGC0L7QstGL</w:t>
      </w:r>
    </w:p>
    <w:p w14:paraId="2AF5D0C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0LkxPTA7BgNVBAwMNNCi0LXRgdGC0L7QstGL0Lkg0YHQtdGA0YLQuNGE0LjQutCw</w:t>
      </w:r>
    </w:p>
    <w:p w14:paraId="33576B6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0YIg0L/QvtC00L/QuNGB0LgxQTA/BgkqhkiG9w0BCQIMMklOTlw9MDEyMzQ1Njc4</w:t>
      </w:r>
    </w:p>
    <w:p w14:paraId="3BC0846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OS9LUFBcPTEyMzQ1Njc4OS9PR1JOXD0wMTIzNDU2Nzg5MTIzMS4wLAYDVQQDDCXQ</w:t>
      </w:r>
    </w:p>
    <w:p w14:paraId="63A4DE9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otC10YHRgtC+0LLRi9C5INGB0LXRgNGC0LjRhNC40LrQsNGCMGMwHAYGKoUDAgIT</w:t>
      </w:r>
    </w:p>
    <w:p w14:paraId="46FBA83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MBIGByqFAwICJAAGByqFAwICHgEDQwAEQM/mE38gcSmh2U183WL3aPaP3tJu0vTq</w:t>
      </w:r>
    </w:p>
    <w:p w14:paraId="3F70EE4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CndMDcb72IGcv8nO7QkaqnFwXrkt6zScdQlQgUX78ct0+jNJa7ZIdLGjggRJMIIE</w:t>
      </w:r>
    </w:p>
    <w:p w14:paraId="6A72827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RTAMBgNVHRMBAf8EAjAAMB0GA1UdIAQWMBQwCAYGKoUDZHEBMAgGBiqFA2RxAjBN</w:t>
      </w:r>
    </w:p>
    <w:p w14:paraId="4603290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BgUqhQNkbwREDELQmtGA0LjQv9GC0L7Qn9GA0L4gQ1NQICjQstC10YDRgdC40Y8g</w:t>
      </w:r>
    </w:p>
    <w:p w14:paraId="0249D4A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My42KSAo0LjRgdC/0L7Qu9C90LXQvdC40LUgMikwggFhBgUqhQNkcASCAVYwggFS</w:t>
      </w:r>
    </w:p>
    <w:p w14:paraId="6570B03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DEQi0JrRgNC40L/RgtC+0J/RgNC+IENTUCIgKNCy0LXRgNGB0LjRjyAzLjYpICjQ</w:t>
      </w:r>
    </w:p>
    <w:p w14:paraId="2F25E14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uNGB0L/QvtC70L3QtdC90LjQtSAyKQxoItCf0YDQvtCz0YDQsNC80LzQvdC+LdCw</w:t>
      </w:r>
    </w:p>
    <w:p w14:paraId="5B3FB4A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0L/Qv9Cw0YDQsNGC0L3Ri9C5INC60L7QvNC/0LvQtdC60YEgItCu0L3QuNGB0LXR</w:t>
      </w:r>
    </w:p>
    <w:p w14:paraId="360291C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gNGCLdCT0J7QodCiIi4g0JLQtdGA0YHQuNGPIDIuMSIMT9Ch0LXRgNGC0LjRhNC4</w:t>
      </w:r>
    </w:p>
    <w:p w14:paraId="1B9E9B9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0LrQsNGCINGB0L7QvtGC0LLQtdGC0YHRgtCy0LjRjyDihJYg0KHQpC8xMjQtMjcz</w:t>
      </w:r>
    </w:p>
    <w:p w14:paraId="2EC2C63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OCDQvtGCIDAxLjA3LjIwMTUMT9Ch0LXRgNGC0LjRhNC40LrQsNGCINGB0L7QvtGC</w:t>
      </w:r>
    </w:p>
    <w:p w14:paraId="013B233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0LLQtdGC0YHRgtCy0LjRjyDihJYg0KHQpC8xMjgtMjE3NSDQvtGCIDIwLjA2LjIw</w:t>
      </w:r>
    </w:p>
    <w:p w14:paraId="54C1E84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MTMwDgYDVR0PAQH/BAQDAgTwMBMGA1UdJQQMMAoGCCsGAQUFBwMDMCsGA1UdEAQk</w:t>
      </w:r>
    </w:p>
    <w:p w14:paraId="2DF84DE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MCKADzIwMTYwNDA3MDgwNDI4WoEPMjAxNzA3MDcwODA0MjhaMIIBjwYDVR0jBIIB</w:t>
      </w:r>
    </w:p>
    <w:p w14:paraId="29D143A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hjCCAYKAFJ5xDg/atAEoXz/iy49lFZcCR4yroYIBZaSCAWEwggFdMRgwFgYJKoZI</w:t>
      </w:r>
    </w:p>
    <w:p w14:paraId="5C1D220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hvcNAQkCEwlTZXJ2ZXIgQ0ExIDAeBgkqhkiG9w0BCQEWEXVjX2ZrQHJvc2them5h</w:t>
      </w:r>
    </w:p>
    <w:p w14:paraId="64AE4D0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LnJ1MRwwGgYDVQQIDBM3NyDQsy4g0JzQvtGB0LrQstCwMRowGAYIKoUDA4EDAQES</w:t>
      </w:r>
    </w:p>
    <w:p w14:paraId="0DCD655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DDAwNzcxMDU2ODc2MDEYMBYGBSqFA2QBEg0xMDQ3Nzk3MDE5ODMwMSwwKgYDVQQJ</w:t>
      </w:r>
    </w:p>
    <w:p w14:paraId="1BB4F6F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DCPRg9C70LjRhtCwINCY0LvRjNC40L3QutCwLCDQtNC+0LwgNzEVMBMGA1UEBwwM</w:t>
      </w:r>
    </w:p>
    <w:p w14:paraId="08727AE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0JzQvtGB0LrQstCwMQswCQYDVQQGEwJSVTE4MDYGA1UECgwv0KTQtdC00LXRgNCw</w:t>
      </w:r>
    </w:p>
    <w:p w14:paraId="2AE2CE3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0LvRjNC90L7QtSDQutCw0LfQvdCw0YfQtdC50YHRgtCy0L4xPzA9BgNVBAMMNtCj</w:t>
      </w:r>
    </w:p>
    <w:p w14:paraId="5A0DA79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0KYg0KTQtdC00LXRgNCw0LvRjNC90L7Qs9C+INC60LDQt9C90LDRh9C10LnRgdGC</w:t>
      </w:r>
    </w:p>
    <w:p w14:paraId="58E3FC2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0LLQsIIBATBeBgNVHR8EVzBVMCmgJ6AlhiNodHRwOi8vY3JsLnJvc2them5hLnJ1</w:t>
      </w:r>
    </w:p>
    <w:p w14:paraId="3D4CBD3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L2NybC9mazAxLmNybDAooCagJIYiaHR0cDovL2NybC5mc2ZrLmxvY2FsL2NybC9m</w:t>
      </w:r>
    </w:p>
    <w:p w14:paraId="440362B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azAxLmNybDAdBgNVHQ4EFgQUt0m7wwTPyJQ+5TDMkq5Z0WnD5vQwCAYGKoUDAgID</w:t>
      </w:r>
    </w:p>
    <w:p w14:paraId="50EEAC6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A0EAReUQeQpqERyFF5XRWG8RnguKCWvPIQOt26PZmVTccxOXVHwZyI0rqdcQ2i4L</w:t>
      </w:r>
    </w:p>
    <w:p w14:paraId="6F58751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p87xs4bqOAO1BwhmKL/TsoC4pA==&lt;/wsse:BinarySecurityToken&gt;&lt;/wsse:Security&gt;&lt;/soapenv:Header&gt;</w:t>
      </w:r>
    </w:p>
    <w:p w14:paraId="2F90910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&lt;soapenv:Body xmlns:env="http://schemas.xmlsoap.org/soap/envelope/" wsu:Id="Id-wssecdata-29cef34e3106063e64fead91c94aeda97ff4"&gt;</w:t>
      </w:r>
    </w:p>
    <w:p w14:paraId="581890A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&lt;transferDocumentRequest xmlns:typ="http://www.roskazna.ru/eb/services/transferDocumentService/types" xmlns="http://www.roskazna.ru/eb/services/transferDocumentService/types" versionId="1.0"&gt;</w:t>
      </w:r>
    </w:p>
    <w:p w14:paraId="41736CE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&lt;typ:header&gt;</w:t>
      </w:r>
    </w:p>
    <w:p w14:paraId="0426BAC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&lt;typ:packageId&gt;e8bf66bf-9cf1-47f1-a48b-394d18467fe3&lt;/typ:packageId&gt;</w:t>
      </w:r>
    </w:p>
    <w:p w14:paraId="5CD7653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&lt;typ:senderSystemId&gt;PFHD&lt;/typ:senderSystemId&gt;</w:t>
      </w:r>
    </w:p>
    <w:p w14:paraId="4E52C66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&lt;typ:targetSystemId&gt;EXP&lt;/typ:targetSystemId&gt;</w:t>
      </w:r>
    </w:p>
    <w:p w14:paraId="5892F61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&lt;typ:documentType&gt;MSC_ApplCash&lt;/typ:documentType&gt;</w:t>
      </w:r>
    </w:p>
    <w:p w14:paraId="18F8074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&lt;typ:documentGuid&gt;1db10986-48d7-4a75-bf52-e0b0c5cd9422&lt;/typ:documentGuid&gt;</w:t>
      </w:r>
    </w:p>
    <w:p w14:paraId="7E3B313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&lt;typ:creationDateTime&gt;2021-01-03T16:46:07.689+04:00&lt;/typ:creationDateTime&gt;</w:t>
      </w:r>
    </w:p>
    <w:p w14:paraId="3FDBD45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&lt;typ:params&gt;</w:t>
      </w:r>
    </w:p>
    <w:p w14:paraId="6F6DBA7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 name="tofkCode" value="9500"/&gt;</w:t>
      </w:r>
    </w:p>
    <w:p w14:paraId="5F981FA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 name="versionId" value="1.0"/&gt;</w:t>
      </w:r>
    </w:p>
    <w:p w14:paraId="6A04412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&lt;/typ:params&gt;</w:t>
      </w:r>
    </w:p>
    <w:p w14:paraId="404396E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&lt;/typ:header&gt;</w:t>
      </w:r>
    </w:p>
    <w:p w14:paraId="7C012F2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&lt;typ:document&gt;</w:t>
      </w:r>
    </w:p>
    <w:p w14:paraId="547AC21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&lt;self:MSC_AplCsh metaType="formular" versionID="1.0" Id="Id-xadesdata-eaf97d94646411e9b78d005056834f23" xsi:schemaLocation="http://www.roskazna.ru/eb/domain/MSC_AplCsh/formular formulars.xsd" xmlns:self="http://www.roskazna.ru/eb/domain/MSC_AplCsh/formular" xmlns:xsi="http://www.w3.org/2001/XMLSchema-instance"&gt;</w:t>
      </w:r>
    </w:p>
    <w:p w14:paraId="0474947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&lt;ZS_NmDc xmlns=""&gt;1200-1&lt;/ZS_NmDc&gt;</w:t>
      </w:r>
    </w:p>
    <w:p w14:paraId="076F93B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&lt;ZS_NmBdgt xmlns=""&gt;Федеральный бюджет&lt;/ZS_NmBdgt&gt;</w:t>
      </w:r>
    </w:p>
    <w:p w14:paraId="5E826CB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ZS</w:t>
      </w:r>
      <w:r w:rsidRPr="00264D5D">
        <w:rPr>
          <w:rFonts w:cs="Courier New"/>
          <w:sz w:val="20"/>
          <w:lang w:val="ru-RU"/>
        </w:rPr>
        <w:t>_</w:t>
      </w:r>
      <w:r w:rsidRPr="00264D5D">
        <w:rPr>
          <w:rFonts w:cs="Courier New"/>
          <w:sz w:val="20"/>
        </w:rPr>
        <w:t>MSC</w:t>
      </w:r>
      <w:r w:rsidRPr="00264D5D">
        <w:rPr>
          <w:rFonts w:cs="Courier New"/>
          <w:sz w:val="20"/>
          <w:lang w:val="ru-RU"/>
        </w:rPr>
        <w:t>_</w:t>
      </w:r>
      <w:r w:rsidRPr="00264D5D">
        <w:rPr>
          <w:rFonts w:cs="Courier New"/>
          <w:sz w:val="20"/>
        </w:rPr>
        <w:t>FnclInst</w:t>
      </w:r>
      <w:r w:rsidRPr="00264D5D">
        <w:rPr>
          <w:rFonts w:cs="Courier New"/>
          <w:sz w:val="20"/>
          <w:lang w:val="ru-RU"/>
        </w:rPr>
        <w:t xml:space="preserve"> </w:t>
      </w:r>
      <w:r w:rsidRPr="00264D5D">
        <w:rPr>
          <w:rFonts w:cs="Courier New"/>
          <w:sz w:val="20"/>
        </w:rPr>
        <w:t>xmlns</w:t>
      </w:r>
      <w:r w:rsidRPr="00264D5D">
        <w:rPr>
          <w:rFonts w:cs="Courier New"/>
          <w:sz w:val="20"/>
          <w:lang w:val="ru-RU"/>
        </w:rPr>
        <w:t>=""&gt;</w:t>
      </w:r>
    </w:p>
    <w:p w14:paraId="4C9223F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FnclInst</w:t>
      </w:r>
      <w:r w:rsidRPr="00264D5D">
        <w:rPr>
          <w:rFonts w:cs="Courier New"/>
          <w:sz w:val="20"/>
          <w:lang w:val="ru-RU"/>
        </w:rPr>
        <w:t>&gt;Министерство финансов Российской Федерации&lt;/</w:t>
      </w:r>
      <w:r w:rsidRPr="00264D5D">
        <w:rPr>
          <w:rFonts w:cs="Courier New"/>
          <w:sz w:val="20"/>
        </w:rPr>
        <w:t>FnclInst</w:t>
      </w:r>
      <w:r w:rsidRPr="00264D5D">
        <w:rPr>
          <w:rFonts w:cs="Courier New"/>
          <w:sz w:val="20"/>
          <w:lang w:val="ru-RU"/>
        </w:rPr>
        <w:t>&gt;</w:t>
      </w:r>
    </w:p>
    <w:p w14:paraId="1D799E8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rPr>
        <w:t>&lt;OKPOCd&gt;00013474&lt;/OKPOCd&gt;</w:t>
      </w:r>
    </w:p>
    <w:p w14:paraId="5DC29F6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&lt;/ZS_MSC_FnclInst&gt;</w:t>
      </w:r>
    </w:p>
    <w:p w14:paraId="0E6A9C9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&lt;ZS_MSC_GRBS xmlns=""&gt;</w:t>
      </w:r>
    </w:p>
    <w:p w14:paraId="2B05589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&lt;Cd&gt;182&lt;/Cd&gt;</w:t>
      </w:r>
    </w:p>
    <w:p w14:paraId="0723901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Nm</w:t>
      </w:r>
      <w:r w:rsidRPr="00264D5D">
        <w:rPr>
          <w:rFonts w:cs="Courier New"/>
          <w:sz w:val="20"/>
          <w:lang w:val="ru-RU"/>
        </w:rPr>
        <w:t>&gt;Федеральная налоговая служба&lt;/</w:t>
      </w:r>
      <w:r w:rsidRPr="00264D5D">
        <w:rPr>
          <w:rFonts w:cs="Courier New"/>
          <w:sz w:val="20"/>
        </w:rPr>
        <w:t>Nm</w:t>
      </w:r>
      <w:r w:rsidRPr="00264D5D">
        <w:rPr>
          <w:rFonts w:cs="Courier New"/>
          <w:sz w:val="20"/>
          <w:lang w:val="ru-RU"/>
        </w:rPr>
        <w:t>&gt;</w:t>
      </w:r>
    </w:p>
    <w:p w14:paraId="7A5C6F6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ZS</w:t>
      </w:r>
      <w:r w:rsidRPr="00264D5D">
        <w:rPr>
          <w:rFonts w:cs="Courier New"/>
          <w:sz w:val="20"/>
          <w:lang w:val="ru-RU"/>
        </w:rPr>
        <w:t>_</w:t>
      </w:r>
      <w:r w:rsidRPr="00264D5D">
        <w:rPr>
          <w:rFonts w:cs="Courier New"/>
          <w:sz w:val="20"/>
        </w:rPr>
        <w:t>MSC</w:t>
      </w:r>
      <w:r w:rsidRPr="00264D5D">
        <w:rPr>
          <w:rFonts w:cs="Courier New"/>
          <w:sz w:val="20"/>
          <w:lang w:val="ru-RU"/>
        </w:rPr>
        <w:t>_</w:t>
      </w:r>
      <w:r w:rsidRPr="00264D5D">
        <w:rPr>
          <w:rFonts w:cs="Courier New"/>
          <w:sz w:val="20"/>
        </w:rPr>
        <w:t>GRBS</w:t>
      </w:r>
      <w:r w:rsidRPr="00264D5D">
        <w:rPr>
          <w:rFonts w:cs="Courier New"/>
          <w:sz w:val="20"/>
          <w:lang w:val="ru-RU"/>
        </w:rPr>
        <w:t>&gt;</w:t>
      </w:r>
    </w:p>
    <w:p w14:paraId="472B2F4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ZS</w:t>
      </w:r>
      <w:r w:rsidRPr="00264D5D">
        <w:rPr>
          <w:rFonts w:cs="Courier New"/>
          <w:sz w:val="20"/>
          <w:lang w:val="ru-RU"/>
        </w:rPr>
        <w:t>_</w:t>
      </w:r>
      <w:r w:rsidRPr="00264D5D">
        <w:rPr>
          <w:rFonts w:cs="Courier New"/>
          <w:sz w:val="20"/>
        </w:rPr>
        <w:t>MSC</w:t>
      </w:r>
      <w:r w:rsidRPr="00264D5D">
        <w:rPr>
          <w:rFonts w:cs="Courier New"/>
          <w:sz w:val="20"/>
          <w:lang w:val="ru-RU"/>
        </w:rPr>
        <w:t>_</w:t>
      </w:r>
      <w:r w:rsidRPr="00264D5D">
        <w:rPr>
          <w:rFonts w:cs="Courier New"/>
          <w:sz w:val="20"/>
        </w:rPr>
        <w:t>Cstmr</w:t>
      </w:r>
      <w:r w:rsidRPr="00264D5D">
        <w:rPr>
          <w:rFonts w:cs="Courier New"/>
          <w:sz w:val="20"/>
          <w:lang w:val="ru-RU"/>
        </w:rPr>
        <w:t xml:space="preserve"> </w:t>
      </w:r>
      <w:r w:rsidRPr="00264D5D">
        <w:rPr>
          <w:rFonts w:cs="Courier New"/>
          <w:sz w:val="20"/>
        </w:rPr>
        <w:t>xmlns</w:t>
      </w:r>
      <w:r w:rsidRPr="00264D5D">
        <w:rPr>
          <w:rFonts w:cs="Courier New"/>
          <w:sz w:val="20"/>
          <w:lang w:val="ru-RU"/>
        </w:rPr>
        <w:t>=""&gt;</w:t>
      </w:r>
    </w:p>
    <w:p w14:paraId="5EC123F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Cd</w:t>
      </w:r>
      <w:r w:rsidRPr="00264D5D">
        <w:rPr>
          <w:rFonts w:cs="Courier New"/>
          <w:sz w:val="20"/>
          <w:lang w:val="ru-RU"/>
        </w:rPr>
        <w:t>&gt;00107633&lt;/</w:t>
      </w:r>
      <w:r w:rsidRPr="00264D5D">
        <w:rPr>
          <w:rFonts w:cs="Courier New"/>
          <w:sz w:val="20"/>
        </w:rPr>
        <w:t>Cd</w:t>
      </w:r>
      <w:r w:rsidRPr="00264D5D">
        <w:rPr>
          <w:rFonts w:cs="Courier New"/>
          <w:sz w:val="20"/>
          <w:lang w:val="ru-RU"/>
        </w:rPr>
        <w:t>&gt;</w:t>
      </w:r>
    </w:p>
    <w:p w14:paraId="328E640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FullNm</w:t>
      </w:r>
      <w:r w:rsidRPr="00264D5D">
        <w:rPr>
          <w:rFonts w:cs="Courier New"/>
          <w:sz w:val="20"/>
          <w:lang w:val="ru-RU"/>
        </w:rPr>
        <w:t>&gt;УПРАВЛЕНИЕ ФЕДЕРАЛЬНОЙ НАЛОГОВОЙ СЛУЖБЫ ПО САРАТОВСКОЙ ОБЛАСТИ&lt;/</w:t>
      </w:r>
      <w:r w:rsidRPr="00264D5D">
        <w:rPr>
          <w:rFonts w:cs="Courier New"/>
          <w:sz w:val="20"/>
        </w:rPr>
        <w:t>FullNm</w:t>
      </w:r>
      <w:r w:rsidRPr="00264D5D">
        <w:rPr>
          <w:rFonts w:cs="Courier New"/>
          <w:sz w:val="20"/>
          <w:lang w:val="ru-RU"/>
        </w:rPr>
        <w:t>&gt;</w:t>
      </w:r>
    </w:p>
    <w:p w14:paraId="1BA0F09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rPr>
        <w:t>&lt;AcntNmbr&gt;05601076330&lt;/AcntNmbr&gt;</w:t>
      </w:r>
    </w:p>
    <w:p w14:paraId="083B58C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&lt;/ZS_MSC_Cstmr&gt;</w:t>
      </w:r>
    </w:p>
    <w:p w14:paraId="67C8B3E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ZS</w:t>
      </w:r>
      <w:r w:rsidRPr="00264D5D">
        <w:rPr>
          <w:rFonts w:cs="Courier New"/>
          <w:sz w:val="20"/>
          <w:lang w:val="ru-RU"/>
        </w:rPr>
        <w:t>_</w:t>
      </w:r>
      <w:r w:rsidRPr="00264D5D">
        <w:rPr>
          <w:rFonts w:cs="Courier New"/>
          <w:sz w:val="20"/>
        </w:rPr>
        <w:t>MSC</w:t>
      </w:r>
      <w:r w:rsidRPr="00264D5D">
        <w:rPr>
          <w:rFonts w:cs="Courier New"/>
          <w:sz w:val="20"/>
          <w:lang w:val="ru-RU"/>
        </w:rPr>
        <w:t>_</w:t>
      </w:r>
      <w:r w:rsidRPr="00264D5D">
        <w:rPr>
          <w:rFonts w:cs="Courier New"/>
          <w:sz w:val="20"/>
        </w:rPr>
        <w:t>TOFK</w:t>
      </w:r>
      <w:r w:rsidRPr="00264D5D">
        <w:rPr>
          <w:rFonts w:cs="Courier New"/>
          <w:sz w:val="20"/>
          <w:lang w:val="ru-RU"/>
        </w:rPr>
        <w:t xml:space="preserve"> </w:t>
      </w:r>
      <w:r w:rsidRPr="00264D5D">
        <w:rPr>
          <w:rFonts w:cs="Courier New"/>
          <w:sz w:val="20"/>
        </w:rPr>
        <w:t>xmlns</w:t>
      </w:r>
      <w:r w:rsidRPr="00264D5D">
        <w:rPr>
          <w:rFonts w:cs="Courier New"/>
          <w:sz w:val="20"/>
          <w:lang w:val="ru-RU"/>
        </w:rPr>
        <w:t>=""&gt;</w:t>
      </w:r>
    </w:p>
    <w:p w14:paraId="19AADCA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Nm</w:t>
      </w:r>
      <w:r w:rsidRPr="00264D5D">
        <w:rPr>
          <w:rFonts w:cs="Courier New"/>
          <w:sz w:val="20"/>
          <w:lang w:val="ru-RU"/>
        </w:rPr>
        <w:t>&gt;Управление Федерального казначейства по Саратовской области&lt;/</w:t>
      </w:r>
      <w:r w:rsidRPr="00264D5D">
        <w:rPr>
          <w:rFonts w:cs="Courier New"/>
          <w:sz w:val="20"/>
        </w:rPr>
        <w:t>Nm</w:t>
      </w:r>
      <w:r w:rsidRPr="00264D5D">
        <w:rPr>
          <w:rFonts w:cs="Courier New"/>
          <w:sz w:val="20"/>
          <w:lang w:val="ru-RU"/>
        </w:rPr>
        <w:t>&gt;</w:t>
      </w:r>
    </w:p>
    <w:p w14:paraId="4ADF681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rPr>
        <w:t>&lt;Cd&gt;6000&lt;/Cd&gt;</w:t>
      </w:r>
    </w:p>
    <w:p w14:paraId="77A9963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&lt;/ZS_MSC_TOFK&gt;</w:t>
      </w:r>
    </w:p>
    <w:p w14:paraId="3FF3D37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&lt;ZS_DctDtISP xmlns=""&gt;2021-01-01&lt;/ZS_DctDtISP&gt;</w:t>
      </w:r>
    </w:p>
    <w:p w14:paraId="0803FA8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&lt;TtlPrt_SECRECY xmlns=""&gt;0&lt;/TtlPrt_SECRECY&gt;</w:t>
      </w:r>
    </w:p>
    <w:p w14:paraId="1BAE204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&lt;ZS_MSC_Hd xmlns=""&gt;</w:t>
      </w:r>
    </w:p>
    <w:p w14:paraId="0217F49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&lt;Pst&gt;Директор&lt;/Pst&gt;</w:t>
      </w:r>
    </w:p>
    <w:p w14:paraId="6C10222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FIO</w:t>
      </w:r>
      <w:r w:rsidRPr="00264D5D">
        <w:rPr>
          <w:rFonts w:cs="Courier New"/>
          <w:sz w:val="20"/>
          <w:lang w:val="ru-RU"/>
        </w:rPr>
        <w:t>&gt;А. И. Петров&lt;/</w:t>
      </w:r>
      <w:r w:rsidRPr="00264D5D">
        <w:rPr>
          <w:rFonts w:cs="Courier New"/>
          <w:sz w:val="20"/>
        </w:rPr>
        <w:t>FIO</w:t>
      </w:r>
      <w:r w:rsidRPr="00264D5D">
        <w:rPr>
          <w:rFonts w:cs="Courier New"/>
          <w:sz w:val="20"/>
          <w:lang w:val="ru-RU"/>
        </w:rPr>
        <w:t>&gt;</w:t>
      </w:r>
    </w:p>
    <w:p w14:paraId="41FBC47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ZS</w:t>
      </w:r>
      <w:r w:rsidRPr="00264D5D">
        <w:rPr>
          <w:rFonts w:cs="Courier New"/>
          <w:sz w:val="20"/>
          <w:lang w:val="ru-RU"/>
        </w:rPr>
        <w:t>_</w:t>
      </w:r>
      <w:r w:rsidRPr="00264D5D">
        <w:rPr>
          <w:rFonts w:cs="Courier New"/>
          <w:sz w:val="20"/>
        </w:rPr>
        <w:t>MSC</w:t>
      </w:r>
      <w:r w:rsidRPr="00264D5D">
        <w:rPr>
          <w:rFonts w:cs="Courier New"/>
          <w:sz w:val="20"/>
          <w:lang w:val="ru-RU"/>
        </w:rPr>
        <w:t>_</w:t>
      </w:r>
      <w:r w:rsidRPr="00264D5D">
        <w:rPr>
          <w:rFonts w:cs="Courier New"/>
          <w:sz w:val="20"/>
        </w:rPr>
        <w:t>Hd</w:t>
      </w:r>
      <w:r w:rsidRPr="00264D5D">
        <w:rPr>
          <w:rFonts w:cs="Courier New"/>
          <w:sz w:val="20"/>
          <w:lang w:val="ru-RU"/>
        </w:rPr>
        <w:t>&gt;</w:t>
      </w:r>
    </w:p>
    <w:p w14:paraId="72AD930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ZS</w:t>
      </w:r>
      <w:r w:rsidRPr="00264D5D">
        <w:rPr>
          <w:rFonts w:cs="Courier New"/>
          <w:sz w:val="20"/>
          <w:lang w:val="ru-RU"/>
        </w:rPr>
        <w:t>_</w:t>
      </w:r>
      <w:r w:rsidRPr="00264D5D">
        <w:rPr>
          <w:rFonts w:cs="Courier New"/>
          <w:sz w:val="20"/>
        </w:rPr>
        <w:t>MSC</w:t>
      </w:r>
      <w:r w:rsidRPr="00264D5D">
        <w:rPr>
          <w:rFonts w:cs="Courier New"/>
          <w:sz w:val="20"/>
          <w:lang w:val="ru-RU"/>
        </w:rPr>
        <w:t>_</w:t>
      </w:r>
      <w:r w:rsidRPr="00264D5D">
        <w:rPr>
          <w:rFonts w:cs="Courier New"/>
          <w:sz w:val="20"/>
        </w:rPr>
        <w:t>RspnExctr</w:t>
      </w:r>
      <w:r w:rsidRPr="00264D5D">
        <w:rPr>
          <w:rFonts w:cs="Courier New"/>
          <w:sz w:val="20"/>
          <w:lang w:val="ru-RU"/>
        </w:rPr>
        <w:t xml:space="preserve"> </w:t>
      </w:r>
      <w:r w:rsidRPr="00264D5D">
        <w:rPr>
          <w:rFonts w:cs="Courier New"/>
          <w:sz w:val="20"/>
        </w:rPr>
        <w:t>xmlns</w:t>
      </w:r>
      <w:r w:rsidRPr="00264D5D">
        <w:rPr>
          <w:rFonts w:cs="Courier New"/>
          <w:sz w:val="20"/>
          <w:lang w:val="ru-RU"/>
        </w:rPr>
        <w:t>=""&gt;</w:t>
      </w:r>
    </w:p>
    <w:p w14:paraId="07ED4B8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Pst</w:t>
      </w:r>
      <w:r w:rsidRPr="00264D5D">
        <w:rPr>
          <w:rFonts w:cs="Courier New"/>
          <w:sz w:val="20"/>
          <w:lang w:val="ru-RU"/>
        </w:rPr>
        <w:t>&gt;Главный бухгалтер&lt;/</w:t>
      </w:r>
      <w:r w:rsidRPr="00264D5D">
        <w:rPr>
          <w:rFonts w:cs="Courier New"/>
          <w:sz w:val="20"/>
        </w:rPr>
        <w:t>Pst</w:t>
      </w:r>
      <w:r w:rsidRPr="00264D5D">
        <w:rPr>
          <w:rFonts w:cs="Courier New"/>
          <w:sz w:val="20"/>
          <w:lang w:val="ru-RU"/>
        </w:rPr>
        <w:t>&gt;</w:t>
      </w:r>
    </w:p>
    <w:p w14:paraId="3578576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FIO</w:t>
      </w:r>
      <w:r w:rsidRPr="00264D5D">
        <w:rPr>
          <w:rFonts w:cs="Courier New"/>
          <w:sz w:val="20"/>
          <w:lang w:val="ru-RU"/>
        </w:rPr>
        <w:t>&gt;С. Л. Решетова&lt;/</w:t>
      </w:r>
      <w:r w:rsidRPr="00264D5D">
        <w:rPr>
          <w:rFonts w:cs="Courier New"/>
          <w:sz w:val="20"/>
        </w:rPr>
        <w:t>FIO</w:t>
      </w:r>
      <w:r w:rsidRPr="00264D5D">
        <w:rPr>
          <w:rFonts w:cs="Courier New"/>
          <w:sz w:val="20"/>
          <w:lang w:val="ru-RU"/>
        </w:rPr>
        <w:t>&gt;</w:t>
      </w:r>
    </w:p>
    <w:p w14:paraId="64BF16C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ZS</w:t>
      </w:r>
      <w:r w:rsidRPr="00264D5D">
        <w:rPr>
          <w:rFonts w:cs="Courier New"/>
          <w:sz w:val="20"/>
          <w:lang w:val="ru-RU"/>
        </w:rPr>
        <w:t>_</w:t>
      </w:r>
      <w:r w:rsidRPr="00264D5D">
        <w:rPr>
          <w:rFonts w:cs="Courier New"/>
          <w:sz w:val="20"/>
        </w:rPr>
        <w:t>MSC</w:t>
      </w:r>
      <w:r w:rsidRPr="00264D5D">
        <w:rPr>
          <w:rFonts w:cs="Courier New"/>
          <w:sz w:val="20"/>
          <w:lang w:val="ru-RU"/>
        </w:rPr>
        <w:t>_</w:t>
      </w:r>
      <w:r w:rsidRPr="00264D5D">
        <w:rPr>
          <w:rFonts w:cs="Courier New"/>
          <w:sz w:val="20"/>
        </w:rPr>
        <w:t>RspnExctr</w:t>
      </w:r>
      <w:r w:rsidRPr="00264D5D">
        <w:rPr>
          <w:rFonts w:cs="Courier New"/>
          <w:sz w:val="20"/>
          <w:lang w:val="ru-RU"/>
        </w:rPr>
        <w:t>&gt;</w:t>
      </w:r>
    </w:p>
    <w:p w14:paraId="11DA189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ZS</w:t>
      </w:r>
      <w:r w:rsidRPr="00264D5D">
        <w:rPr>
          <w:rFonts w:cs="Courier New"/>
          <w:sz w:val="20"/>
          <w:lang w:val="ru-RU"/>
        </w:rPr>
        <w:t>_</w:t>
      </w:r>
      <w:r w:rsidRPr="00264D5D">
        <w:rPr>
          <w:rFonts w:cs="Courier New"/>
          <w:sz w:val="20"/>
        </w:rPr>
        <w:t>SgngDtDoc</w:t>
      </w:r>
      <w:r w:rsidRPr="00264D5D">
        <w:rPr>
          <w:rFonts w:cs="Courier New"/>
          <w:sz w:val="20"/>
          <w:lang w:val="ru-RU"/>
        </w:rPr>
        <w:t xml:space="preserve"> </w:t>
      </w:r>
      <w:r w:rsidRPr="00264D5D">
        <w:rPr>
          <w:rFonts w:cs="Courier New"/>
          <w:sz w:val="20"/>
        </w:rPr>
        <w:t>xmlns</w:t>
      </w:r>
      <w:r w:rsidRPr="00264D5D">
        <w:rPr>
          <w:rFonts w:cs="Courier New"/>
          <w:sz w:val="20"/>
          <w:lang w:val="ru-RU"/>
        </w:rPr>
        <w:t>=""&gt;2021-01-01&lt;/</w:t>
      </w:r>
      <w:r w:rsidRPr="00264D5D">
        <w:rPr>
          <w:rFonts w:cs="Courier New"/>
          <w:sz w:val="20"/>
        </w:rPr>
        <w:t>ZS</w:t>
      </w:r>
      <w:r w:rsidRPr="00264D5D">
        <w:rPr>
          <w:rFonts w:cs="Courier New"/>
          <w:sz w:val="20"/>
          <w:lang w:val="ru-RU"/>
        </w:rPr>
        <w:t>_</w:t>
      </w:r>
      <w:r w:rsidRPr="00264D5D">
        <w:rPr>
          <w:rFonts w:cs="Courier New"/>
          <w:sz w:val="20"/>
        </w:rPr>
        <w:t>SgngDtDoc</w:t>
      </w:r>
      <w:r w:rsidRPr="00264D5D">
        <w:rPr>
          <w:rFonts w:cs="Courier New"/>
          <w:sz w:val="20"/>
          <w:lang w:val="ru-RU"/>
        </w:rPr>
        <w:t>&gt;</w:t>
      </w:r>
    </w:p>
    <w:p w14:paraId="76EDAD6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ZS</w:t>
      </w:r>
      <w:r w:rsidRPr="00264D5D">
        <w:rPr>
          <w:rFonts w:cs="Courier New"/>
          <w:sz w:val="20"/>
          <w:lang w:val="ru-RU"/>
        </w:rPr>
        <w:t>_</w:t>
      </w:r>
      <w:r w:rsidRPr="00264D5D">
        <w:rPr>
          <w:rFonts w:cs="Courier New"/>
          <w:sz w:val="20"/>
        </w:rPr>
        <w:t>MSC</w:t>
      </w:r>
      <w:r w:rsidRPr="00264D5D">
        <w:rPr>
          <w:rFonts w:cs="Courier New"/>
          <w:sz w:val="20"/>
          <w:lang w:val="ru-RU"/>
        </w:rPr>
        <w:t>_</w:t>
      </w:r>
      <w:r w:rsidRPr="00264D5D">
        <w:rPr>
          <w:rFonts w:cs="Courier New"/>
          <w:sz w:val="20"/>
        </w:rPr>
        <w:t>HdCnfdnt</w:t>
      </w:r>
      <w:r w:rsidRPr="00264D5D">
        <w:rPr>
          <w:rFonts w:cs="Courier New"/>
          <w:sz w:val="20"/>
          <w:lang w:val="ru-RU"/>
        </w:rPr>
        <w:t xml:space="preserve"> </w:t>
      </w:r>
      <w:r w:rsidRPr="00264D5D">
        <w:rPr>
          <w:rFonts w:cs="Courier New"/>
          <w:sz w:val="20"/>
        </w:rPr>
        <w:t>xmlns</w:t>
      </w:r>
      <w:r w:rsidRPr="00264D5D">
        <w:rPr>
          <w:rFonts w:cs="Courier New"/>
          <w:sz w:val="20"/>
          <w:lang w:val="ru-RU"/>
        </w:rPr>
        <w:t>=""&gt;</w:t>
      </w:r>
    </w:p>
    <w:p w14:paraId="1721EE6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Pst</w:t>
      </w:r>
      <w:r w:rsidRPr="00264D5D">
        <w:rPr>
          <w:rFonts w:cs="Courier New"/>
          <w:sz w:val="20"/>
          <w:lang w:val="ru-RU"/>
        </w:rPr>
        <w:t>&gt;Заместитель директора&lt;/</w:t>
      </w:r>
      <w:r w:rsidRPr="00264D5D">
        <w:rPr>
          <w:rFonts w:cs="Courier New"/>
          <w:sz w:val="20"/>
        </w:rPr>
        <w:t>Pst</w:t>
      </w:r>
      <w:r w:rsidRPr="00264D5D">
        <w:rPr>
          <w:rFonts w:cs="Courier New"/>
          <w:sz w:val="20"/>
          <w:lang w:val="ru-RU"/>
        </w:rPr>
        <w:t>&gt;</w:t>
      </w:r>
    </w:p>
    <w:p w14:paraId="0BC3E93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FIO</w:t>
      </w:r>
      <w:r w:rsidRPr="00264D5D">
        <w:rPr>
          <w:rFonts w:cs="Courier New"/>
          <w:sz w:val="20"/>
          <w:lang w:val="ru-RU"/>
        </w:rPr>
        <w:t>&gt;С.И. Абрамов&lt;/</w:t>
      </w:r>
      <w:r w:rsidRPr="00264D5D">
        <w:rPr>
          <w:rFonts w:cs="Courier New"/>
          <w:sz w:val="20"/>
        </w:rPr>
        <w:t>FIO</w:t>
      </w:r>
      <w:r w:rsidRPr="00264D5D">
        <w:rPr>
          <w:rFonts w:cs="Courier New"/>
          <w:sz w:val="20"/>
          <w:lang w:val="ru-RU"/>
        </w:rPr>
        <w:t>&gt;</w:t>
      </w:r>
    </w:p>
    <w:p w14:paraId="75D6D03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ZS</w:t>
      </w:r>
      <w:r w:rsidRPr="00264D5D">
        <w:rPr>
          <w:rFonts w:cs="Courier New"/>
          <w:sz w:val="20"/>
          <w:lang w:val="ru-RU"/>
        </w:rPr>
        <w:t>_</w:t>
      </w:r>
      <w:r w:rsidRPr="00264D5D">
        <w:rPr>
          <w:rFonts w:cs="Courier New"/>
          <w:sz w:val="20"/>
        </w:rPr>
        <w:t>MSC</w:t>
      </w:r>
      <w:r w:rsidRPr="00264D5D">
        <w:rPr>
          <w:rFonts w:cs="Courier New"/>
          <w:sz w:val="20"/>
          <w:lang w:val="ru-RU"/>
        </w:rPr>
        <w:t>_</w:t>
      </w:r>
      <w:r w:rsidRPr="00264D5D">
        <w:rPr>
          <w:rFonts w:cs="Courier New"/>
          <w:sz w:val="20"/>
        </w:rPr>
        <w:t>HdCnfdnt</w:t>
      </w:r>
      <w:r w:rsidRPr="00264D5D">
        <w:rPr>
          <w:rFonts w:cs="Courier New"/>
          <w:sz w:val="20"/>
          <w:lang w:val="ru-RU"/>
        </w:rPr>
        <w:t>&gt;</w:t>
      </w:r>
    </w:p>
    <w:p w14:paraId="4CFF147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ZS</w:t>
      </w:r>
      <w:r w:rsidRPr="00264D5D">
        <w:rPr>
          <w:rFonts w:cs="Courier New"/>
          <w:sz w:val="20"/>
          <w:lang w:val="ru-RU"/>
        </w:rPr>
        <w:t>_</w:t>
      </w:r>
      <w:r w:rsidRPr="00264D5D">
        <w:rPr>
          <w:rFonts w:cs="Courier New"/>
          <w:sz w:val="20"/>
        </w:rPr>
        <w:t>MSC</w:t>
      </w:r>
      <w:r w:rsidRPr="00264D5D">
        <w:rPr>
          <w:rFonts w:cs="Courier New"/>
          <w:sz w:val="20"/>
          <w:lang w:val="ru-RU"/>
        </w:rPr>
        <w:t>_</w:t>
      </w:r>
      <w:r w:rsidRPr="00264D5D">
        <w:rPr>
          <w:rFonts w:cs="Courier New"/>
          <w:sz w:val="20"/>
        </w:rPr>
        <w:t>Psprt</w:t>
      </w:r>
      <w:r w:rsidRPr="00264D5D">
        <w:rPr>
          <w:rFonts w:cs="Courier New"/>
          <w:sz w:val="20"/>
          <w:lang w:val="ru-RU"/>
        </w:rPr>
        <w:t xml:space="preserve"> </w:t>
      </w:r>
      <w:r w:rsidRPr="00264D5D">
        <w:rPr>
          <w:rFonts w:cs="Courier New"/>
          <w:sz w:val="20"/>
        </w:rPr>
        <w:t>xmlns</w:t>
      </w:r>
      <w:r w:rsidRPr="00264D5D">
        <w:rPr>
          <w:rFonts w:cs="Courier New"/>
          <w:sz w:val="20"/>
          <w:lang w:val="ru-RU"/>
        </w:rPr>
        <w:t>=""&gt;</w:t>
      </w:r>
    </w:p>
    <w:p w14:paraId="70C0F98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IDDcNm</w:t>
      </w:r>
      <w:r w:rsidRPr="00264D5D">
        <w:rPr>
          <w:rFonts w:cs="Courier New"/>
          <w:sz w:val="20"/>
          <w:lang w:val="ru-RU"/>
        </w:rPr>
        <w:t>&gt;Паспорт гражданина РФ&lt;/</w:t>
      </w:r>
      <w:r w:rsidRPr="00264D5D">
        <w:rPr>
          <w:rFonts w:cs="Courier New"/>
          <w:sz w:val="20"/>
        </w:rPr>
        <w:t>IDDcNm</w:t>
      </w:r>
      <w:r w:rsidRPr="00264D5D">
        <w:rPr>
          <w:rFonts w:cs="Courier New"/>
          <w:sz w:val="20"/>
          <w:lang w:val="ru-RU"/>
        </w:rPr>
        <w:t>&gt;</w:t>
      </w:r>
    </w:p>
    <w:p w14:paraId="3631001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IDDcNmbr</w:t>
      </w:r>
      <w:r w:rsidRPr="00264D5D">
        <w:rPr>
          <w:rFonts w:cs="Courier New"/>
          <w:sz w:val="20"/>
          <w:lang w:val="ru-RU"/>
        </w:rPr>
        <w:t>&gt;4509 180223&lt;/</w:t>
      </w:r>
      <w:r w:rsidRPr="00264D5D">
        <w:rPr>
          <w:rFonts w:cs="Courier New"/>
          <w:sz w:val="20"/>
        </w:rPr>
        <w:t>IDDcNmbr</w:t>
      </w:r>
      <w:r w:rsidRPr="00264D5D">
        <w:rPr>
          <w:rFonts w:cs="Courier New"/>
          <w:sz w:val="20"/>
          <w:lang w:val="ru-RU"/>
        </w:rPr>
        <w:t>&gt;</w:t>
      </w:r>
    </w:p>
    <w:p w14:paraId="10DD429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FullNm</w:t>
      </w:r>
      <w:r w:rsidRPr="00264D5D">
        <w:rPr>
          <w:rFonts w:cs="Courier New"/>
          <w:sz w:val="20"/>
          <w:lang w:val="ru-RU"/>
        </w:rPr>
        <w:t>&gt;ОВД Г.САРАТОВ&lt;/</w:t>
      </w:r>
      <w:r w:rsidRPr="00264D5D">
        <w:rPr>
          <w:rFonts w:cs="Courier New"/>
          <w:sz w:val="20"/>
        </w:rPr>
        <w:t>FullNm</w:t>
      </w:r>
      <w:r w:rsidRPr="00264D5D">
        <w:rPr>
          <w:rFonts w:cs="Courier New"/>
          <w:sz w:val="20"/>
          <w:lang w:val="ru-RU"/>
        </w:rPr>
        <w:t>&gt;</w:t>
      </w:r>
    </w:p>
    <w:p w14:paraId="1350FC6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rPr>
        <w:t>&lt;DctDt&gt;2007-06-26&lt;/DctDt&gt;</w:t>
      </w:r>
    </w:p>
    <w:p w14:paraId="24EF582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&lt;/ZS_MSC_Psprt&gt;</w:t>
      </w:r>
    </w:p>
    <w:p w14:paraId="0D14AEA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&lt;ZS_TtlAmnt xmlns=""&gt;2.50&lt;/ZS_TtlAmnt&gt;</w:t>
      </w:r>
    </w:p>
    <w:p w14:paraId="6D7BF24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&lt;ZSCH1 xmlns=""&gt;</w:t>
      </w:r>
    </w:p>
    <w:p w14:paraId="470AC34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&lt;ZSCH1_ITEM&gt;</w:t>
      </w:r>
    </w:p>
    <w:p w14:paraId="02F2058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&lt;Amnt&gt;1.50&lt;/Amnt&gt;</w:t>
      </w:r>
    </w:p>
    <w:p w14:paraId="19CA251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&lt;NmbrChck&gt;0923321&lt;/NmbrChck&gt;</w:t>
      </w:r>
    </w:p>
    <w:p w14:paraId="7AFDCD8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&lt;SrsChck&gt;НК&lt;/SrsChck&gt;</w:t>
      </w:r>
    </w:p>
    <w:p w14:paraId="75C2B3A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&lt;DtChck&gt;2019-12-01&lt;/DtChck&gt;</w:t>
      </w:r>
    </w:p>
    <w:p w14:paraId="4972A7A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&lt;VldtChck&gt;2019-12-02&lt;/VldtChck&gt;</w:t>
      </w:r>
    </w:p>
    <w:p w14:paraId="4E97262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&lt;SmblCshPln&gt;53&lt;/SmblCshPln&gt;</w:t>
      </w:r>
    </w:p>
    <w:p w14:paraId="179FC0F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&lt;/ZSCH1_ITEM&gt;</w:t>
      </w:r>
    </w:p>
    <w:p w14:paraId="66BACE4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&lt;ZSCH1_ITEM&gt;</w:t>
      </w:r>
    </w:p>
    <w:p w14:paraId="278827A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&lt;Amnt&gt;1.00&lt;/Amnt&gt;</w:t>
      </w:r>
    </w:p>
    <w:p w14:paraId="2D65EB7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&lt;NmbrChck&gt;0923322&lt;/NmbrChck&gt;</w:t>
      </w:r>
    </w:p>
    <w:p w14:paraId="3A06034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&lt;SrsChck&gt;зК&lt;/SrsChck&gt;</w:t>
      </w:r>
    </w:p>
    <w:p w14:paraId="13B786B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&lt;DtChck&gt;2019-12-01&lt;/DtChck&gt;</w:t>
      </w:r>
    </w:p>
    <w:p w14:paraId="02B8EE5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&lt;VldtChck&gt;2019-12-02&lt;/VldtChck&gt;</w:t>
      </w:r>
    </w:p>
    <w:p w14:paraId="0B9CEFE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&lt;SmblCshPln&gt;52&lt;/SmblCshPln&gt;</w:t>
      </w:r>
    </w:p>
    <w:p w14:paraId="1EAC386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&lt;/ZSCH1_ITEM&gt;</w:t>
      </w:r>
    </w:p>
    <w:p w14:paraId="4FFC9CD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&lt;/ZSCH1&gt;</w:t>
      </w:r>
    </w:p>
    <w:p w14:paraId="29193E4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&lt;ZSCH2 xmlns=""&gt;</w:t>
      </w:r>
    </w:p>
    <w:p w14:paraId="48780AD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ZSCH</w:t>
      </w:r>
      <w:r w:rsidRPr="00264D5D">
        <w:rPr>
          <w:rFonts w:cs="Courier New"/>
          <w:sz w:val="20"/>
          <w:lang w:val="ru-RU"/>
        </w:rPr>
        <w:t>2_</w:t>
      </w:r>
      <w:r w:rsidRPr="00264D5D">
        <w:rPr>
          <w:rFonts w:cs="Courier New"/>
          <w:sz w:val="20"/>
        </w:rPr>
        <w:t>ITEM</w:t>
      </w:r>
      <w:r w:rsidRPr="00264D5D">
        <w:rPr>
          <w:rFonts w:cs="Courier New"/>
          <w:sz w:val="20"/>
          <w:lang w:val="ru-RU"/>
        </w:rPr>
        <w:t>&gt;</w:t>
      </w:r>
    </w:p>
    <w:p w14:paraId="4045493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FndsSrc</w:t>
      </w:r>
      <w:r w:rsidRPr="00264D5D">
        <w:rPr>
          <w:rFonts w:cs="Courier New"/>
          <w:sz w:val="20"/>
          <w:lang w:val="ru-RU"/>
        </w:rPr>
        <w:t xml:space="preserve"> </w:t>
      </w:r>
      <w:r w:rsidRPr="00264D5D">
        <w:rPr>
          <w:rFonts w:cs="Courier New"/>
          <w:sz w:val="20"/>
        </w:rPr>
        <w:t>code</w:t>
      </w:r>
      <w:r w:rsidRPr="00264D5D">
        <w:rPr>
          <w:rFonts w:cs="Courier New"/>
          <w:sz w:val="20"/>
          <w:lang w:val="ru-RU"/>
        </w:rPr>
        <w:t xml:space="preserve">="5" </w:t>
      </w:r>
      <w:r w:rsidRPr="00264D5D">
        <w:rPr>
          <w:rFonts w:cs="Courier New"/>
          <w:sz w:val="20"/>
        </w:rPr>
        <w:t>value</w:t>
      </w:r>
      <w:r w:rsidRPr="00264D5D">
        <w:rPr>
          <w:rFonts w:cs="Courier New"/>
          <w:sz w:val="20"/>
          <w:lang w:val="ru-RU"/>
        </w:rPr>
        <w:t>="Средства, поступающие во временное распоряжение казенных учреждений"/&gt;</w:t>
      </w:r>
    </w:p>
    <w:p w14:paraId="3D161AF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Amnt</w:t>
      </w:r>
      <w:r w:rsidRPr="00264D5D">
        <w:rPr>
          <w:rFonts w:cs="Courier New"/>
          <w:sz w:val="20"/>
          <w:lang w:val="ru-RU"/>
        </w:rPr>
        <w:t>1&gt;1.50&lt;/</w:t>
      </w:r>
      <w:r w:rsidRPr="00264D5D">
        <w:rPr>
          <w:rFonts w:cs="Courier New"/>
          <w:sz w:val="20"/>
        </w:rPr>
        <w:t>Amnt</w:t>
      </w:r>
      <w:r w:rsidRPr="00264D5D">
        <w:rPr>
          <w:rFonts w:cs="Courier New"/>
          <w:sz w:val="20"/>
          <w:lang w:val="ru-RU"/>
        </w:rPr>
        <w:t>1&gt;</w:t>
      </w:r>
    </w:p>
    <w:p w14:paraId="1415761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PyPrps</w:t>
      </w:r>
      <w:r w:rsidRPr="00264D5D">
        <w:rPr>
          <w:rFonts w:cs="Courier New"/>
          <w:sz w:val="20"/>
          <w:lang w:val="ru-RU"/>
        </w:rPr>
        <w:t>&gt;Выдача ЗП&lt;/</w:t>
      </w:r>
      <w:r w:rsidRPr="00264D5D">
        <w:rPr>
          <w:rFonts w:cs="Courier New"/>
          <w:sz w:val="20"/>
        </w:rPr>
        <w:t>PyPrps</w:t>
      </w:r>
      <w:r w:rsidRPr="00264D5D">
        <w:rPr>
          <w:rFonts w:cs="Courier New"/>
          <w:sz w:val="20"/>
          <w:lang w:val="ru-RU"/>
        </w:rPr>
        <w:t>&gt;</w:t>
      </w:r>
    </w:p>
    <w:p w14:paraId="165FE33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Nt</w:t>
      </w:r>
      <w:r w:rsidRPr="00264D5D">
        <w:rPr>
          <w:rFonts w:cs="Courier New"/>
          <w:sz w:val="20"/>
          <w:lang w:val="ru-RU"/>
        </w:rPr>
        <w:t>&gt;Примечание&lt;/</w:t>
      </w:r>
      <w:r w:rsidRPr="00264D5D">
        <w:rPr>
          <w:rFonts w:cs="Courier New"/>
          <w:sz w:val="20"/>
        </w:rPr>
        <w:t>Nt</w:t>
      </w:r>
      <w:r w:rsidRPr="00264D5D">
        <w:rPr>
          <w:rFonts w:cs="Courier New"/>
          <w:sz w:val="20"/>
          <w:lang w:val="ru-RU"/>
        </w:rPr>
        <w:t>&gt;</w:t>
      </w:r>
    </w:p>
    <w:p w14:paraId="779D6C4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ZSCH</w:t>
      </w:r>
      <w:r w:rsidRPr="00264D5D">
        <w:rPr>
          <w:rFonts w:cs="Courier New"/>
          <w:sz w:val="20"/>
          <w:lang w:val="ru-RU"/>
        </w:rPr>
        <w:t>2_</w:t>
      </w:r>
      <w:r w:rsidRPr="00264D5D">
        <w:rPr>
          <w:rFonts w:cs="Courier New"/>
          <w:sz w:val="20"/>
        </w:rPr>
        <w:t>ITEM</w:t>
      </w:r>
      <w:r w:rsidRPr="00264D5D">
        <w:rPr>
          <w:rFonts w:cs="Courier New"/>
          <w:sz w:val="20"/>
          <w:lang w:val="ru-RU"/>
        </w:rPr>
        <w:t>&gt;</w:t>
      </w:r>
    </w:p>
    <w:p w14:paraId="6D50E1A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ZSCH</w:t>
      </w:r>
      <w:r w:rsidRPr="00264D5D">
        <w:rPr>
          <w:rFonts w:cs="Courier New"/>
          <w:sz w:val="20"/>
          <w:lang w:val="ru-RU"/>
        </w:rPr>
        <w:t>2_</w:t>
      </w:r>
      <w:r w:rsidRPr="00264D5D">
        <w:rPr>
          <w:rFonts w:cs="Courier New"/>
          <w:sz w:val="20"/>
        </w:rPr>
        <w:t>ITEM</w:t>
      </w:r>
      <w:r w:rsidRPr="00264D5D">
        <w:rPr>
          <w:rFonts w:cs="Courier New"/>
          <w:sz w:val="20"/>
          <w:lang w:val="ru-RU"/>
        </w:rPr>
        <w:t>&gt;</w:t>
      </w:r>
    </w:p>
    <w:p w14:paraId="52EE6EB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FndsSrc</w:t>
      </w:r>
      <w:r w:rsidRPr="00264D5D">
        <w:rPr>
          <w:rFonts w:cs="Courier New"/>
          <w:sz w:val="20"/>
          <w:lang w:val="ru-RU"/>
        </w:rPr>
        <w:t xml:space="preserve"> </w:t>
      </w:r>
      <w:r w:rsidRPr="00264D5D">
        <w:rPr>
          <w:rFonts w:cs="Courier New"/>
          <w:sz w:val="20"/>
        </w:rPr>
        <w:t>code</w:t>
      </w:r>
      <w:r w:rsidRPr="00264D5D">
        <w:rPr>
          <w:rFonts w:cs="Courier New"/>
          <w:sz w:val="20"/>
          <w:lang w:val="ru-RU"/>
        </w:rPr>
        <w:t xml:space="preserve">="5" </w:t>
      </w:r>
      <w:r w:rsidRPr="00264D5D">
        <w:rPr>
          <w:rFonts w:cs="Courier New"/>
          <w:sz w:val="20"/>
        </w:rPr>
        <w:t>value</w:t>
      </w:r>
      <w:r w:rsidRPr="00264D5D">
        <w:rPr>
          <w:rFonts w:cs="Courier New"/>
          <w:sz w:val="20"/>
          <w:lang w:val="ru-RU"/>
        </w:rPr>
        <w:t>="Средства, поступающие во временное распоряжение казенных учреждений"/&gt;</w:t>
      </w:r>
    </w:p>
    <w:p w14:paraId="2019ECE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Amnt</w:t>
      </w:r>
      <w:r w:rsidRPr="00264D5D">
        <w:rPr>
          <w:rFonts w:cs="Courier New"/>
          <w:sz w:val="20"/>
          <w:lang w:val="ru-RU"/>
        </w:rPr>
        <w:t>1&gt;1.00&lt;/</w:t>
      </w:r>
      <w:r w:rsidRPr="00264D5D">
        <w:rPr>
          <w:rFonts w:cs="Courier New"/>
          <w:sz w:val="20"/>
        </w:rPr>
        <w:t>Amnt</w:t>
      </w:r>
      <w:r w:rsidRPr="00264D5D">
        <w:rPr>
          <w:rFonts w:cs="Courier New"/>
          <w:sz w:val="20"/>
          <w:lang w:val="ru-RU"/>
        </w:rPr>
        <w:t>1&gt;</w:t>
      </w:r>
    </w:p>
    <w:p w14:paraId="1DA1F08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PyPrps</w:t>
      </w:r>
      <w:r w:rsidRPr="00264D5D">
        <w:rPr>
          <w:rFonts w:cs="Courier New"/>
          <w:sz w:val="20"/>
          <w:lang w:val="ru-RU"/>
        </w:rPr>
        <w:t>&gt;Выдача ЗП&lt;/</w:t>
      </w:r>
      <w:r w:rsidRPr="00264D5D">
        <w:rPr>
          <w:rFonts w:cs="Courier New"/>
          <w:sz w:val="20"/>
        </w:rPr>
        <w:t>PyPrps</w:t>
      </w:r>
      <w:r w:rsidRPr="00264D5D">
        <w:rPr>
          <w:rFonts w:cs="Courier New"/>
          <w:sz w:val="20"/>
          <w:lang w:val="ru-RU"/>
        </w:rPr>
        <w:t>&gt;</w:t>
      </w:r>
    </w:p>
    <w:p w14:paraId="6895FF2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Nt</w:t>
      </w:r>
      <w:r w:rsidRPr="00264D5D">
        <w:rPr>
          <w:rFonts w:cs="Courier New"/>
          <w:sz w:val="20"/>
          <w:lang w:val="ru-RU"/>
        </w:rPr>
        <w:t>&gt;Примечание&lt;/</w:t>
      </w:r>
      <w:r w:rsidRPr="00264D5D">
        <w:rPr>
          <w:rFonts w:cs="Courier New"/>
          <w:sz w:val="20"/>
        </w:rPr>
        <w:t>Nt</w:t>
      </w:r>
      <w:r w:rsidRPr="00264D5D">
        <w:rPr>
          <w:rFonts w:cs="Courier New"/>
          <w:sz w:val="20"/>
          <w:lang w:val="ru-RU"/>
        </w:rPr>
        <w:t>&gt;</w:t>
      </w:r>
    </w:p>
    <w:p w14:paraId="5D6A624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ZSCH</w:t>
      </w:r>
      <w:r w:rsidRPr="00264D5D">
        <w:rPr>
          <w:rFonts w:cs="Courier New"/>
          <w:sz w:val="20"/>
          <w:lang w:val="ru-RU"/>
        </w:rPr>
        <w:t>2_</w:t>
      </w:r>
      <w:r w:rsidRPr="00264D5D">
        <w:rPr>
          <w:rFonts w:cs="Courier New"/>
          <w:sz w:val="20"/>
        </w:rPr>
        <w:t>ITEM</w:t>
      </w:r>
      <w:r w:rsidRPr="00264D5D">
        <w:rPr>
          <w:rFonts w:cs="Courier New"/>
          <w:sz w:val="20"/>
          <w:lang w:val="ru-RU"/>
        </w:rPr>
        <w:t>&gt;</w:t>
      </w:r>
    </w:p>
    <w:p w14:paraId="5548C88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rPr>
        <w:t>&lt;/ZSCH2&gt;</w:t>
      </w:r>
    </w:p>
    <w:p w14:paraId="6440FC1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&lt;ZS_MSC_Infrmtn xmlns=""&gt;</w:t>
      </w:r>
    </w:p>
    <w:p w14:paraId="2C13E88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&lt;GUID&gt;12375c36-f5e1-4751-b428-e9d1e2e1c607&lt;/GUID&gt;</w:t>
      </w:r>
    </w:p>
    <w:p w14:paraId="12CC6BA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&lt;CrtnDt&gt;2021-01-09&lt;/CrtnDt&gt;</w:t>
      </w:r>
    </w:p>
    <w:p w14:paraId="474A624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&lt;/ZS_MSC_Infrmtn&gt;</w:t>
      </w:r>
    </w:p>
    <w:p w14:paraId="0BA9D0C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ab/>
        <w:t>&lt;Signature xmlns="http://www.w3.org/2000/09/xmldsig#" Id="Id-sig-d373256b5942f08343bc8d034aadd7158f61"&gt;</w:t>
      </w:r>
    </w:p>
    <w:p w14:paraId="0CBB53F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0990CCE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&lt;CanonicalizationMethod Algorithm="http://www.w3.org/2001/10/xml-exc-c14n#"/&gt;</w:t>
      </w:r>
    </w:p>
    <w:p w14:paraId="131166C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&lt;SignatureMethod Algorithm="http://www.w3.org/2001/04/xmldsig-more#gostr34102001-gostr3411"/&gt;</w:t>
      </w:r>
    </w:p>
    <w:p w14:paraId="1DA198B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URI="Id-xadesdata-eaf97d94646411e9b78d005056834f23" Id="Id-dataref-dfd24e85a456a1a342553e99c27fd5695cff"&gt;</w:t>
      </w:r>
    </w:p>
    <w:p w14:paraId="5B6D9BC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16FEB4B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Algorithm="http://www.w3.org/2000/09/xmldsig#enveloped-signature"/&gt;</w:t>
      </w:r>
    </w:p>
    <w:p w14:paraId="446838A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6D5367B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33BFB98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&lt;DigestValue&gt;tuuoIThRLrpmXrL14i8lPFRl0pwMCiUsBbH5BypOA0I=&lt;/DigestValue&gt;</w:t>
      </w:r>
    </w:p>
    <w:p w14:paraId="5D3CE08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037EAA9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&lt;Reference Type="http://www.w3.org/TR/2002/REC-xmldsig-core-20020212/xmldsig-core-schema.xsd#X509Data" URI="#Id-keyinfo-3dfe71fe8d5a7f7591dd337029c400ccf286" Id="Id-keyinforef-9674835ee89ca1067673b6fbb04db381a2a6"&gt;</w:t>
      </w:r>
    </w:p>
    <w:p w14:paraId="2D63D70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6A3DBFE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5DF8B56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2953DCC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1149862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&lt;DigestValue&gt;fIKSx5SIme2CRgDvDzflubM+Qqh4IkAWCXPpzXWD/AQ=&lt;/DigestValue&gt;</w:t>
      </w:r>
    </w:p>
    <w:p w14:paraId="4CAC411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0748D3D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&lt;Reference URI="#Id-sp-c353e147090ff61f2f90dcd64635bcf70055" Id="Id-ref-dbee882997a09b88ec14dafcd7da585e2467"&gt;</w:t>
      </w:r>
    </w:p>
    <w:p w14:paraId="0FF2939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681547E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13740AF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65D45E7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1F3A08A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&lt;DigestValue&gt;ffi2NrwgQYkFPoTAefkLKH2wMBSNjwN3zzDBV+mhwQg=&lt;/DigestValue&gt;</w:t>
      </w:r>
    </w:p>
    <w:p w14:paraId="106AB25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68481B2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3147854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&lt;SignatureValue&gt;zolZ5HI+TT6shtnB1YnAZeMq9mcqWLWAZlSR+MuKJXXN2NRZS/zapvyY4rW+I5gM</w:t>
      </w:r>
    </w:p>
    <w:p w14:paraId="1FD1FA1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py5+uThVv9x8n5TApPOJCg==&lt;/SignatureValue&gt;</w:t>
      </w:r>
    </w:p>
    <w:p w14:paraId="5575499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&lt;KeyInfo Id="Id-keyinfo-3dfe71fe8d5a7f7591dd337029c400ccf286"&gt;</w:t>
      </w:r>
    </w:p>
    <w:p w14:paraId="0F95B10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&lt;X509Data&gt;</w:t>
      </w:r>
    </w:p>
    <w:p w14:paraId="7CB60F3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&lt;X509Certificate&gt;MIIHbzCCBx6gAwIBAgIUCw+9bFynffs/n08sYLaljBr5oXAwCAYGKoUDAgIDMIIB</w:t>
      </w:r>
    </w:p>
    <w:p w14:paraId="6F72CCD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OTEgMB4GCSqGSIb3DQEJARYRdWNfZmtAcm9za2F6bmEucnUxGTAXBgNVBAgMENCz</w:t>
      </w:r>
    </w:p>
    <w:p w14:paraId="2228DA0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LiDQnNC+0YHQutCy0LAxGjAYBggqhQMDgQMBARIMMDA3NzEwNTY4NzYwMRgwFgYF</w:t>
      </w:r>
    </w:p>
    <w:p w14:paraId="1440FF8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KoUDZAESDTEwNDc3OTcwMTk4MzAxLDAqBgNVBAkMI9GD0LvQuNGG0LAg0JjQu9GM</w:t>
      </w:r>
    </w:p>
    <w:p w14:paraId="1C96E43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0LjQvdC60LAsINC00L7QvCA3MRUwEwYDVQQHDAzQnNC+0YHQutCy0LAxCzAJBgNV</w:t>
      </w:r>
    </w:p>
    <w:p w14:paraId="63BDB81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BAYTAlJVMTgwNgYDVQQKDC/QpNC10LTQtdGA0LDQu9GM0L3QvtC1INC60LDQt9C9</w:t>
      </w:r>
    </w:p>
    <w:p w14:paraId="004D423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0LDRh9C10LnRgdGC0LLQvjE4MDYGA1UEAwwv0KTQtdC00LXRgNCw0LvRjNC90L7Q</w:t>
      </w:r>
    </w:p>
    <w:p w14:paraId="2EF1563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tSDQutCw0LfQvdCw0YfQtdC50YHRgtCy0L4wHhcNMTgwNDA1MTMzNDQ3WhcNMTkw</w:t>
      </w:r>
    </w:p>
    <w:p w14:paraId="7B84BAC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NzA1MTMzNDQ3WjCCAS0xGjAYBggqhQMDgQMBARIMMDA3NzEwNTY4NzYwMRgwFgYF</w:t>
      </w:r>
    </w:p>
    <w:p w14:paraId="2DFEE4E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KoUDZAESDTEwNDc3OTcwMTk4MzAxIzAhBgNVBAkMGtGD0LsuINCY0LvRjNC40L3Q</w:t>
      </w:r>
    </w:p>
    <w:p w14:paraId="26A1103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utCwLCDQtC43MR4wHAYJKoZIhvcNAQkBFg83NzdAcm9za2F6bmEucnUxCzAJBgNV</w:t>
      </w:r>
    </w:p>
    <w:p w14:paraId="0BF8100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BAYTAlJVMRgwFgYDVQQIDA/Qsy7QnNC+0YHQutCy0LAxFTATBgNVBAcMDNCc0L7R</w:t>
      </w:r>
    </w:p>
    <w:p w14:paraId="468CCF8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gdC60LLQsDE4MDYGA1UECgwv0KTQtdC00LXRgNCw0LvRjNC90L7QtSDQutCw0LfQ</w:t>
      </w:r>
    </w:p>
    <w:p w14:paraId="2301BA0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vdCw0YfQtdC50YHRgtCy0L4xODA2BgNVBAMML9Ck0LXQtNC10YDQsNC70YzQvdC+</w:t>
      </w:r>
    </w:p>
    <w:p w14:paraId="144B0F9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0LUg0LrQsNC30L3QsNGH0LXQudGB0YLQstC+MGMwHAYGKoUDAgITMBIGByqFAwIC</w:t>
      </w:r>
    </w:p>
    <w:p w14:paraId="1EA1D44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IwEGByqFAwICHgEDQwAEQDmzpZ5HcFrSdwi3/h6QJ/jU0i6sTgtJqrYL/Tr+gxBg</w:t>
      </w:r>
    </w:p>
    <w:p w14:paraId="415A232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Ud3B/sLCyhk3sR3aCrZ0K4YlsFHVmbBhDYe62UsOcnOjggQCMIID/jAMBgNVHRMB</w:t>
      </w:r>
    </w:p>
    <w:p w14:paraId="3A045EB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Af8EAjAAMB0GA1UdIAQWMBQwCAYGKoUDZHEBMAgGBiqFA2RxAjA2BgUqhQNkbwQt</w:t>
      </w:r>
    </w:p>
    <w:p w14:paraId="54B1BB5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DCsi0JrRgNC40L/RgtC+0J/RgNC+IENTUCIgKNCy0LXRgNGB0LjRjyA0LjApMIIB</w:t>
      </w:r>
    </w:p>
    <w:p w14:paraId="416CC8E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MQYFKoUDZHAEggEmMIIBIgxEItCa0YDQuNC/0YLQvtCf0YDQviBDU1AiICjQstC1</w:t>
      </w:r>
    </w:p>
    <w:p w14:paraId="0565218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0YDRgdC40Y8gMy42KSAo0LjRgdC/0L7Qu9C90LXQvdC40LUgMikMaCLQn9GA0L7Q</w:t>
      </w:r>
    </w:p>
    <w:p w14:paraId="13C36A4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s9GA0LDQvNC80L3Qvi3QsNC/0L/QsNGA0LDRgtC90YvQuSDQutC+0LzQv9C70LXQ</w:t>
      </w:r>
    </w:p>
    <w:p w14:paraId="4AD09E1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utGBICLQrtC90LjRgdC10YDRgi3Qk9Ce0KHQoiIuINCS0LXRgNGB0LjRjyAyLjEi</w:t>
      </w:r>
    </w:p>
    <w:p w14:paraId="404D23E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DB/ihJYgMTQ5LzcvNi01Njkg0L7RgiAyMS4xMi4yMDE3DE/QodC10YDRgtC40YTQ</w:t>
      </w:r>
    </w:p>
    <w:p w14:paraId="6A674F6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uNC60LDRgiDRgdC+0L7RgtCy0LXRgtGB0YLQstC40Y8g4oSWINCh0KQvMTI4LTI4</w:t>
      </w:r>
    </w:p>
    <w:p w14:paraId="185EE1C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Nzgg0L7RgiAyMC4wNi4yMDE2MA4GA1UdDwEB/wQEAwID+DAdBgNVHSUEFjAUBggr</w:t>
      </w:r>
    </w:p>
    <w:p w14:paraId="0B07D58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BgEFBQcDAgYIKwYBBQUHAwMwKwYDVR0QBCQwIoAPMjAxODA0MDUxMzM0NDVagQ8y</w:t>
      </w:r>
    </w:p>
    <w:p w14:paraId="46974DC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MDE5MDcwNTEzMzQ0NVowggGFBgNVHSMEggF8MIIBeIAUFlWRplFYxIksa1Fb0oUZ</w:t>
      </w:r>
    </w:p>
    <w:p w14:paraId="359055F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CgFESCKhggFSpIIBTjCCAUoxHjAcBgkqhkiG9w0BCQEWD2RpdEBtaW5zdnlhei5y</w:t>
      </w:r>
    </w:p>
    <w:p w14:paraId="7D3EA9D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dTELMAkGA1UEBhMCUlUxHDAaBgNVBAgMEzc3INCzLiDQnNC+0YHQutCy0LAxFTAT</w:t>
      </w:r>
    </w:p>
    <w:p w14:paraId="68057C8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BgNVBAcMDNCc0L7RgdC60LLQsDE/MD0GA1UECQw2MTI1Mzc1INCzLiDQnNC+0YHQ</w:t>
      </w:r>
    </w:p>
    <w:p w14:paraId="358763D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utCy0LAsINGD0LsuINCi0LLQtdGA0YHQutCw0Y8sINC0LiA3MSwwKgYDVQQKDCPQ</w:t>
      </w:r>
    </w:p>
    <w:p w14:paraId="260F1C2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nNC40L3QutC+0LzRgdCy0Y/Qt9GMINCg0L7RgdGB0LjQuDEYMBYGBSqFA2QBEg0x</w:t>
      </w:r>
    </w:p>
    <w:p w14:paraId="2CB8029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MDQ3NzAyMDI2NzAxMRowGAYIKoUDA4EDAQESDDAwNzcxMDQ3NDM3NTFBMD8GA1UE</w:t>
      </w:r>
    </w:p>
    <w:p w14:paraId="2A47854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Aww40JPQvtC70L7QstC90L7QuSDRg9C00L7RgdGC0L7QstC10YDRj9GO0YnQuNC5</w:t>
      </w:r>
    </w:p>
    <w:p w14:paraId="14D1311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INGG0LXQvdGC0YCCCjas1FUAAAAAAS8wXgYDVR0fBFcwVTApoCegJYYjaHR0cDov</w:t>
      </w:r>
    </w:p>
    <w:p w14:paraId="3855049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L2NybC5yb3NrYXpuYS5ydS9jcmwvdWNmay5jcmwwKKAmoCSGImh0dHA6Ly9jcmwu</w:t>
      </w:r>
    </w:p>
    <w:p w14:paraId="309DE86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ZnNmay5sb2NhbC9jcmwvdWNmay5jcmwwHQYDVR0OBBYEFLkvJG7Rfzg6F53wdndv</w:t>
      </w:r>
    </w:p>
    <w:p w14:paraId="34E97F3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NLDQ/i3nMAgGBiqFAwICAwNBAH1LMUVqEV/HRyesHDkB5eBUk6qDOJwnOBHil2Y1</w:t>
      </w:r>
    </w:p>
    <w:p w14:paraId="7CC1A1D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qNiUhWK7AqT93ErNsumpe8dDCswJmvps2nbQA7xwIJjzJjk=&lt;/X509Certificate&gt;</w:t>
      </w:r>
    </w:p>
    <w:p w14:paraId="2B69A40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&lt;/X509Data&gt;</w:t>
      </w:r>
    </w:p>
    <w:p w14:paraId="0EC7210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&lt;/KeyInfo&gt;</w:t>
      </w:r>
    </w:p>
    <w:p w14:paraId="084AB3A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34DAEAA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 xmlns="http://uri.etsi.org/01903/v1.4.1#" Target="Id-sig-d373256b5942f08343bc8d034aadd7158f61"&gt;</w:t>
      </w:r>
    </w:p>
    <w:p w14:paraId="4D68F27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 Id="Id-sp-c353e147090ff61f2f90dcd64635bcf70055"&gt;</w:t>
      </w:r>
    </w:p>
    <w:p w14:paraId="4E2AAB5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&lt;SignedSignatureProperties Id="Id-ssp-7fd861712d758e7e3004067202146d020fd2"/&gt;</w:t>
      </w:r>
    </w:p>
    <w:p w14:paraId="55FC79A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&lt;/SignedProperties&gt;</w:t>
      </w:r>
    </w:p>
    <w:p w14:paraId="51D3F35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&lt;/QualifyingProperties&gt;</w:t>
      </w:r>
    </w:p>
    <w:p w14:paraId="4B2ABA6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413ECA6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&lt;/Signature&gt;</w:t>
      </w:r>
    </w:p>
    <w:p w14:paraId="20E8A7D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&lt;/self:MSC_AplCsh&gt;</w:t>
      </w:r>
    </w:p>
    <w:p w14:paraId="187BC0B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&lt;/typ:document&gt;</w:t>
      </w:r>
    </w:p>
    <w:p w14:paraId="5E9C1B1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&lt;/transferDocumentRequest&gt;</w:t>
      </w:r>
    </w:p>
    <w:p w14:paraId="25C93F6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&lt;/soapenv:Body&gt;</w:t>
      </w:r>
    </w:p>
    <w:p w14:paraId="3492A67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264D5D">
        <w:rPr>
          <w:rFonts w:cs="Courier New"/>
          <w:sz w:val="20"/>
        </w:rPr>
        <w:t>&lt;/soapenv:Envelope&gt;</w:t>
      </w:r>
    </w:p>
    <w:p w14:paraId="7908FEB7" w14:textId="77777777" w:rsidR="00AD1F54" w:rsidRPr="00264D5D" w:rsidRDefault="00941227">
      <w:pPr>
        <w:pStyle w:val="22"/>
        <w:rPr>
          <w:lang w:val="ru-RU"/>
        </w:rPr>
      </w:pPr>
      <w:bookmarkStart w:id="3202" w:name="OLE_LINK83"/>
      <w:bookmarkStart w:id="3203" w:name="OLE_LINK988"/>
      <w:bookmarkStart w:id="3204" w:name="_Ref46777002"/>
      <w:bookmarkStart w:id="3205" w:name="_Toc219309779"/>
      <w:bookmarkEnd w:id="3202"/>
      <w:bookmarkEnd w:id="3203"/>
      <w:r w:rsidRPr="00264D5D">
        <w:rPr>
          <w:lang w:val="ru-RU"/>
        </w:rPr>
        <w:t>Описание документа «</w:t>
      </w:r>
      <w:r w:rsidRPr="00264D5D">
        <w:rPr>
          <w:rFonts w:eastAsia="Calibri"/>
          <w:lang w:val="ru-RU" w:eastAsia="en-US"/>
        </w:rPr>
        <w:t>Сообщение для передачи акта</w:t>
      </w:r>
      <w:r w:rsidRPr="00264D5D">
        <w:rPr>
          <w:lang w:val="ru-RU"/>
        </w:rPr>
        <w:t>»</w:t>
      </w:r>
      <w:bookmarkEnd w:id="2925"/>
      <w:bookmarkEnd w:id="3204"/>
      <w:bookmarkEnd w:id="3205"/>
    </w:p>
    <w:p w14:paraId="6920AA5D" w14:textId="77777777" w:rsidR="00AD1F54" w:rsidRPr="00264D5D" w:rsidRDefault="00941227">
      <w:pPr>
        <w:pStyle w:val="31"/>
      </w:pPr>
      <w:bookmarkStart w:id="3206" w:name="_Toc219309780"/>
      <w:r w:rsidRPr="00264D5D">
        <w:t>Назначение документа</w:t>
      </w:r>
      <w:bookmarkEnd w:id="3206"/>
    </w:p>
    <w:p w14:paraId="2534A39A" w14:textId="77777777" w:rsidR="00AD1F54" w:rsidRPr="00264D5D" w:rsidRDefault="00941227">
      <w:pPr>
        <w:pStyle w:val="OTRNormal"/>
        <w:rPr>
          <w:sz w:val="24"/>
        </w:rPr>
      </w:pPr>
      <w:r w:rsidRPr="00264D5D">
        <w:rPr>
          <w:sz w:val="24"/>
        </w:rPr>
        <w:t>Документ «Сообщение для передачи акта» описывает структуру хранения документа «Акт приемки-передачи кассовых выплат, поступлений и обязательств при реорганизации участников бюджетного процесса» (ф. 0531728)</w:t>
      </w:r>
      <w:r w:rsidR="00D76395" w:rsidRPr="00264D5D">
        <w:rPr>
          <w:sz w:val="24"/>
        </w:rPr>
        <w:t xml:space="preserve"> (далее – РКБ)</w:t>
      </w:r>
      <w:r w:rsidRPr="00264D5D">
        <w:rPr>
          <w:sz w:val="24"/>
        </w:rPr>
        <w:t xml:space="preserve"> в хранилище, включая атрибуты карточки и необходимые значения справочных элементов.</w:t>
      </w:r>
    </w:p>
    <w:p w14:paraId="6F752169" w14:textId="77777777" w:rsidR="00AD1F54" w:rsidRPr="00264D5D" w:rsidRDefault="00941227">
      <w:pPr>
        <w:pStyle w:val="OTRNormal"/>
        <w:rPr>
          <w:szCs w:val="24"/>
        </w:rPr>
      </w:pPr>
      <w:r w:rsidRPr="00264D5D">
        <w:rPr>
          <w:sz w:val="24"/>
        </w:rPr>
        <w:t xml:space="preserve">Набор для хранения данных представляет обезличенный вид и порядок следования тегов. Наличие всех тегов в структуре </w:t>
      </w:r>
      <w:r w:rsidRPr="00264D5D">
        <w:rPr>
          <w:sz w:val="24"/>
          <w:lang w:val="en-US"/>
        </w:rPr>
        <w:t>xml</w:t>
      </w:r>
      <w:r w:rsidRPr="00264D5D">
        <w:rPr>
          <w:sz w:val="24"/>
        </w:rPr>
        <w:t xml:space="preserve"> обязательно.</w:t>
      </w:r>
    </w:p>
    <w:p w14:paraId="7B8FAA82" w14:textId="77777777" w:rsidR="00AD1F54" w:rsidRPr="00264D5D" w:rsidRDefault="00941227">
      <w:pPr>
        <w:pStyle w:val="31"/>
      </w:pPr>
      <w:bookmarkStart w:id="3207" w:name="_Toc219309781"/>
      <w:r w:rsidRPr="00264D5D">
        <w:t>Описание блока «PeriodicReport»</w:t>
      </w:r>
      <w:bookmarkEnd w:id="3207"/>
    </w:p>
    <w:p w14:paraId="518D36AF" w14:textId="77777777" w:rsidR="00AD1F54" w:rsidRPr="00264D5D" w:rsidRDefault="00941227">
      <w:pPr>
        <w:ind w:firstLine="540"/>
        <w:rPr>
          <w:szCs w:val="24"/>
        </w:rPr>
      </w:pPr>
      <w:r w:rsidRPr="00264D5D">
        <w:rPr>
          <w:szCs w:val="24"/>
        </w:rPr>
        <w:t>Описание блока «PeriodicReport» (Блок Бизнес-данных).</w:t>
      </w:r>
    </w:p>
    <w:bookmarkStart w:id="3208" w:name="_Ref52355992"/>
    <w:p w14:paraId="3177C259" w14:textId="5B2CCD25" w:rsidR="00AD1F54" w:rsidRPr="00264D5D" w:rsidRDefault="00941227">
      <w:pPr>
        <w:pStyle w:val="GOSTNameTable"/>
        <w:numPr>
          <w:ilvl w:val="0"/>
          <w:numId w:val="2"/>
        </w:numPr>
        <w:ind w:left="425" w:hanging="357"/>
      </w:pPr>
      <w:r w:rsidRPr="00264D5D">
        <w:lastRenderedPageBreak/>
        <w:fldChar w:fldCharType="begin"/>
      </w:r>
      <w:r w:rsidRPr="00264D5D">
        <w:instrText>SEQ Таблица \* ARABIC</w:instrText>
      </w:r>
      <w:r w:rsidRPr="00264D5D">
        <w:fldChar w:fldCharType="separate"/>
      </w:r>
      <w:bookmarkStart w:id="3209" w:name="_Ref86437706"/>
      <w:bookmarkStart w:id="3210" w:name="_Toc219309332"/>
      <w:r w:rsidR="008D797C">
        <w:rPr>
          <w:noProof/>
        </w:rPr>
        <w:t>302</w:t>
      </w:r>
      <w:bookmarkEnd w:id="3209"/>
      <w:r w:rsidRPr="00264D5D">
        <w:fldChar w:fldCharType="end"/>
      </w:r>
      <w:r w:rsidRPr="00264D5D">
        <w:rPr>
          <w:rFonts w:eastAsia="Calibri"/>
          <w:szCs w:val="24"/>
        </w:rPr>
        <w:t xml:space="preserve"> – </w:t>
      </w:r>
      <w:r w:rsidRPr="00264D5D">
        <w:t>Описание блока «PeriodicReport»</w:t>
      </w:r>
      <w:bookmarkEnd w:id="3208"/>
      <w:bookmarkEnd w:id="3210"/>
    </w:p>
    <w:tbl>
      <w:tblPr>
        <w:tblStyle w:val="GOSTTable"/>
        <w:tblW w:w="5000" w:type="pct"/>
        <w:tblLayout w:type="fixed"/>
        <w:tblLook w:val="04A0" w:firstRow="1" w:lastRow="0" w:firstColumn="1" w:lastColumn="0" w:noHBand="0" w:noVBand="1"/>
      </w:tblPr>
      <w:tblGrid>
        <w:gridCol w:w="1705"/>
        <w:gridCol w:w="1703"/>
        <w:gridCol w:w="568"/>
        <w:gridCol w:w="1136"/>
        <w:gridCol w:w="568"/>
        <w:gridCol w:w="3970"/>
      </w:tblGrid>
      <w:tr w:rsidR="00AD1F54" w:rsidRPr="00264D5D" w14:paraId="399E839D" w14:textId="77777777" w:rsidTr="00AD1F54">
        <w:trPr>
          <w:cnfStyle w:val="100000000000" w:firstRow="1" w:lastRow="0" w:firstColumn="0" w:lastColumn="0" w:oddVBand="0" w:evenVBand="0" w:oddHBand="0" w:evenHBand="0" w:firstRowFirstColumn="0" w:firstRowLastColumn="0" w:lastRowFirstColumn="0" w:lastRowLastColumn="0"/>
          <w:trHeight w:val="20"/>
          <w:tblHeader/>
        </w:trPr>
        <w:tc>
          <w:tcPr>
            <w:tcW w:w="1701" w:type="dxa"/>
          </w:tcPr>
          <w:p w14:paraId="5A67A3F3" w14:textId="77777777" w:rsidR="00AD1F54" w:rsidRPr="00264D5D" w:rsidRDefault="00941227">
            <w:pPr>
              <w:pStyle w:val="ASFKTableHead"/>
            </w:pPr>
            <w:r w:rsidRPr="00264D5D">
              <w:t>Наименование элемента</w:t>
            </w:r>
          </w:p>
        </w:tc>
        <w:tc>
          <w:tcPr>
            <w:tcW w:w="1700" w:type="dxa"/>
          </w:tcPr>
          <w:p w14:paraId="55099664" w14:textId="77777777" w:rsidR="00AD1F54" w:rsidRPr="00264D5D" w:rsidRDefault="00941227">
            <w:pPr>
              <w:pStyle w:val="ASFKTableHead"/>
            </w:pPr>
            <w:r w:rsidRPr="00264D5D">
              <w:t>Сокращенное наименование (код) элемента</w:t>
            </w:r>
          </w:p>
        </w:tc>
        <w:tc>
          <w:tcPr>
            <w:tcW w:w="567" w:type="dxa"/>
          </w:tcPr>
          <w:p w14:paraId="6BDB507E" w14:textId="77777777" w:rsidR="00AD1F54" w:rsidRPr="00264D5D" w:rsidRDefault="00941227">
            <w:pPr>
              <w:pStyle w:val="ASFKTableHead"/>
            </w:pPr>
            <w:r w:rsidRPr="00264D5D">
              <w:t>Тип</w:t>
            </w:r>
          </w:p>
        </w:tc>
        <w:tc>
          <w:tcPr>
            <w:tcW w:w="1134" w:type="dxa"/>
          </w:tcPr>
          <w:p w14:paraId="57ABEDA1" w14:textId="77777777" w:rsidR="00AD1F54" w:rsidRPr="00264D5D" w:rsidRDefault="00941227">
            <w:pPr>
              <w:pStyle w:val="ASFKTableHead"/>
            </w:pPr>
            <w:r w:rsidRPr="00264D5D">
              <w:t>Формат элемента</w:t>
            </w:r>
          </w:p>
        </w:tc>
        <w:tc>
          <w:tcPr>
            <w:tcW w:w="567" w:type="dxa"/>
          </w:tcPr>
          <w:p w14:paraId="79C81D11" w14:textId="77777777" w:rsidR="00AD1F54" w:rsidRPr="00264D5D" w:rsidRDefault="00941227">
            <w:pPr>
              <w:pStyle w:val="ASFKTableHead"/>
            </w:pPr>
            <w:r w:rsidRPr="00264D5D">
              <w:t>Обязательность</w:t>
            </w:r>
          </w:p>
        </w:tc>
        <w:tc>
          <w:tcPr>
            <w:tcW w:w="3963" w:type="dxa"/>
          </w:tcPr>
          <w:p w14:paraId="0D0FFE61" w14:textId="77777777" w:rsidR="00AD1F54" w:rsidRPr="00264D5D" w:rsidRDefault="00941227">
            <w:pPr>
              <w:pStyle w:val="ASFKTableHead"/>
            </w:pPr>
            <w:r w:rsidRPr="00264D5D">
              <w:t>Дополнительная информация</w:t>
            </w:r>
          </w:p>
        </w:tc>
      </w:tr>
      <w:tr w:rsidR="00AD1F54" w:rsidRPr="00264D5D" w14:paraId="2D837A7F" w14:textId="77777777" w:rsidTr="00AD1F54">
        <w:trPr>
          <w:cnfStyle w:val="000000100000" w:firstRow="0" w:lastRow="0" w:firstColumn="0" w:lastColumn="0" w:oddVBand="0" w:evenVBand="0" w:oddHBand="1" w:evenHBand="0" w:firstRowFirstColumn="0" w:firstRowLastColumn="0" w:lastRowFirstColumn="0" w:lastRowLastColumn="0"/>
          <w:trHeight w:val="20"/>
        </w:trPr>
        <w:tc>
          <w:tcPr>
            <w:tcW w:w="1701" w:type="dxa"/>
          </w:tcPr>
          <w:p w14:paraId="112BF69B" w14:textId="77777777" w:rsidR="00AD1F54" w:rsidRPr="00264D5D" w:rsidRDefault="00941227">
            <w:pPr>
              <w:pStyle w:val="GOSTTablenorm"/>
            </w:pPr>
            <w:r w:rsidRPr="00264D5D">
              <w:t>Блок Бизнес-данных</w:t>
            </w:r>
          </w:p>
        </w:tc>
        <w:tc>
          <w:tcPr>
            <w:tcW w:w="1700" w:type="dxa"/>
          </w:tcPr>
          <w:p w14:paraId="5EA0403E" w14:textId="77777777" w:rsidR="00AD1F54" w:rsidRPr="00264D5D" w:rsidRDefault="00941227">
            <w:pPr>
              <w:pStyle w:val="GOSTTablenorm"/>
            </w:pPr>
            <w:r w:rsidRPr="00264D5D">
              <w:t>Header</w:t>
            </w:r>
          </w:p>
        </w:tc>
        <w:tc>
          <w:tcPr>
            <w:tcW w:w="567" w:type="dxa"/>
          </w:tcPr>
          <w:p w14:paraId="44CD839C" w14:textId="77777777" w:rsidR="00AD1F54" w:rsidRPr="00264D5D" w:rsidRDefault="00941227">
            <w:pPr>
              <w:pStyle w:val="GOSTTablenorm"/>
              <w:jc w:val="center"/>
            </w:pPr>
            <w:r w:rsidRPr="00264D5D">
              <w:t>С</w:t>
            </w:r>
          </w:p>
        </w:tc>
        <w:tc>
          <w:tcPr>
            <w:tcW w:w="1134" w:type="dxa"/>
          </w:tcPr>
          <w:p w14:paraId="1B3EBF88" w14:textId="77777777" w:rsidR="00AD1F54" w:rsidRPr="00264D5D" w:rsidRDefault="00941227">
            <w:pPr>
              <w:pStyle w:val="GOSTTablenorm"/>
            </w:pPr>
            <w:r w:rsidRPr="00264D5D">
              <w:t>-</w:t>
            </w:r>
          </w:p>
        </w:tc>
        <w:tc>
          <w:tcPr>
            <w:tcW w:w="567" w:type="dxa"/>
          </w:tcPr>
          <w:p w14:paraId="51467F4D" w14:textId="77777777" w:rsidR="00AD1F54" w:rsidRPr="00264D5D" w:rsidRDefault="00941227">
            <w:pPr>
              <w:pStyle w:val="GOSTTablenorm"/>
              <w:jc w:val="center"/>
            </w:pPr>
            <w:r w:rsidRPr="00264D5D">
              <w:t>O</w:t>
            </w:r>
          </w:p>
        </w:tc>
        <w:tc>
          <w:tcPr>
            <w:tcW w:w="3963" w:type="dxa"/>
          </w:tcPr>
          <w:p w14:paraId="188E7DF9" w14:textId="6D9A6E95" w:rsidR="00AD1F54" w:rsidRPr="00264D5D" w:rsidRDefault="00941227">
            <w:pPr>
              <w:pStyle w:val="GOSTTablenorm"/>
            </w:pPr>
            <w:r w:rsidRPr="00264D5D">
              <w:t xml:space="preserve">Состав элемента представлен в таблице </w:t>
            </w:r>
            <w:r w:rsidRPr="00264D5D">
              <w:fldChar w:fldCharType="begin"/>
            </w:r>
            <w:r w:rsidRPr="00264D5D">
              <w:instrText xml:space="preserve"> REF _Ref87608929 \h  \* MERGEFORMAT </w:instrText>
            </w:r>
            <w:r w:rsidRPr="00264D5D">
              <w:fldChar w:fldCharType="separate"/>
            </w:r>
            <w:r w:rsidR="008D797C">
              <w:t>303</w:t>
            </w:r>
            <w:r w:rsidRPr="00264D5D">
              <w:fldChar w:fldCharType="end"/>
            </w:r>
          </w:p>
        </w:tc>
      </w:tr>
    </w:tbl>
    <w:p w14:paraId="27FF2717" w14:textId="77777777" w:rsidR="00AD1F54" w:rsidRPr="00264D5D" w:rsidRDefault="00941227">
      <w:pPr>
        <w:pStyle w:val="31"/>
      </w:pPr>
      <w:bookmarkStart w:id="3211" w:name="_Toc219309782"/>
      <w:r w:rsidRPr="00264D5D">
        <w:t>Описание блока «Header»</w:t>
      </w:r>
      <w:bookmarkEnd w:id="3211"/>
    </w:p>
    <w:p w14:paraId="028B65BE" w14:textId="77777777" w:rsidR="00AD1F54" w:rsidRPr="00264D5D" w:rsidRDefault="00941227">
      <w:pPr>
        <w:ind w:firstLine="540"/>
        <w:rPr>
          <w:szCs w:val="24"/>
        </w:rPr>
      </w:pPr>
      <w:r w:rsidRPr="00264D5D">
        <w:rPr>
          <w:szCs w:val="24"/>
        </w:rPr>
        <w:t>Описание блока «Header» (Блок Бизнес-данных).</w:t>
      </w:r>
    </w:p>
    <w:bookmarkStart w:id="3212" w:name="_Ref52355991"/>
    <w:p w14:paraId="38CAC8F8" w14:textId="2372E8BF"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3213" w:name="_Ref87608929"/>
      <w:bookmarkStart w:id="3214" w:name="_Toc219309333"/>
      <w:r w:rsidR="008D797C">
        <w:rPr>
          <w:noProof/>
        </w:rPr>
        <w:t>303</w:t>
      </w:r>
      <w:bookmarkEnd w:id="3213"/>
      <w:r w:rsidRPr="00264D5D">
        <w:fldChar w:fldCharType="end"/>
      </w:r>
      <w:r w:rsidRPr="00264D5D">
        <w:rPr>
          <w:rFonts w:eastAsia="Calibri"/>
          <w:szCs w:val="24"/>
        </w:rPr>
        <w:t xml:space="preserve"> – </w:t>
      </w:r>
      <w:r w:rsidRPr="00264D5D">
        <w:t>Описание блока «Header»</w:t>
      </w:r>
      <w:bookmarkEnd w:id="3212"/>
      <w:bookmarkEnd w:id="3214"/>
    </w:p>
    <w:tbl>
      <w:tblPr>
        <w:tblStyle w:val="GOSTTable"/>
        <w:tblW w:w="9633" w:type="dxa"/>
        <w:tblLayout w:type="fixed"/>
        <w:tblLook w:val="04A0" w:firstRow="1" w:lastRow="0" w:firstColumn="1" w:lastColumn="0" w:noHBand="0" w:noVBand="1"/>
      </w:tblPr>
      <w:tblGrid>
        <w:gridCol w:w="1701"/>
        <w:gridCol w:w="1701"/>
        <w:gridCol w:w="567"/>
        <w:gridCol w:w="1134"/>
        <w:gridCol w:w="567"/>
        <w:gridCol w:w="3963"/>
      </w:tblGrid>
      <w:tr w:rsidR="00AD1F54" w:rsidRPr="00264D5D" w14:paraId="4A5CBA59" w14:textId="77777777" w:rsidTr="00AD1F54">
        <w:trPr>
          <w:cnfStyle w:val="100000000000" w:firstRow="1" w:lastRow="0" w:firstColumn="0" w:lastColumn="0" w:oddVBand="0" w:evenVBand="0" w:oddHBand="0" w:evenHBand="0" w:firstRowFirstColumn="0" w:firstRowLastColumn="0" w:lastRowFirstColumn="0" w:lastRowLastColumn="0"/>
          <w:trHeight w:val="20"/>
          <w:tblHeader/>
        </w:trPr>
        <w:tc>
          <w:tcPr>
            <w:tcW w:w="1701" w:type="dxa"/>
          </w:tcPr>
          <w:p w14:paraId="568CAC9C" w14:textId="77777777" w:rsidR="00AD1F54" w:rsidRPr="00264D5D" w:rsidRDefault="00941227">
            <w:pPr>
              <w:pStyle w:val="ASFKTableHead"/>
            </w:pPr>
            <w:r w:rsidRPr="00264D5D">
              <w:t>Наименование элемента</w:t>
            </w:r>
          </w:p>
        </w:tc>
        <w:tc>
          <w:tcPr>
            <w:tcW w:w="1701" w:type="dxa"/>
          </w:tcPr>
          <w:p w14:paraId="6DC6B755" w14:textId="77777777" w:rsidR="00AD1F54" w:rsidRPr="00264D5D" w:rsidRDefault="00941227">
            <w:pPr>
              <w:pStyle w:val="ASFKTableHead"/>
            </w:pPr>
            <w:r w:rsidRPr="00264D5D">
              <w:t>Сокращенное наименование (код) элемента</w:t>
            </w:r>
          </w:p>
        </w:tc>
        <w:tc>
          <w:tcPr>
            <w:tcW w:w="567" w:type="dxa"/>
          </w:tcPr>
          <w:p w14:paraId="7B742FD6" w14:textId="77777777" w:rsidR="00AD1F54" w:rsidRPr="00264D5D" w:rsidRDefault="00941227">
            <w:pPr>
              <w:pStyle w:val="ASFKTableHead"/>
            </w:pPr>
            <w:r w:rsidRPr="00264D5D">
              <w:t>Тип</w:t>
            </w:r>
          </w:p>
        </w:tc>
        <w:tc>
          <w:tcPr>
            <w:tcW w:w="1134" w:type="dxa"/>
          </w:tcPr>
          <w:p w14:paraId="335C1D9A" w14:textId="77777777" w:rsidR="00AD1F54" w:rsidRPr="00264D5D" w:rsidRDefault="00941227">
            <w:pPr>
              <w:pStyle w:val="ASFKTableHead"/>
            </w:pPr>
            <w:r w:rsidRPr="00264D5D">
              <w:t>Формат элемента</w:t>
            </w:r>
          </w:p>
        </w:tc>
        <w:tc>
          <w:tcPr>
            <w:tcW w:w="567" w:type="dxa"/>
          </w:tcPr>
          <w:p w14:paraId="6FE87655" w14:textId="77777777" w:rsidR="00AD1F54" w:rsidRPr="00264D5D" w:rsidRDefault="00941227">
            <w:pPr>
              <w:pStyle w:val="ASFKTableHead"/>
            </w:pPr>
            <w:r w:rsidRPr="00264D5D">
              <w:t>Обязательность</w:t>
            </w:r>
          </w:p>
        </w:tc>
        <w:tc>
          <w:tcPr>
            <w:tcW w:w="3963" w:type="dxa"/>
          </w:tcPr>
          <w:p w14:paraId="44108F78" w14:textId="77777777" w:rsidR="00AD1F54" w:rsidRPr="00264D5D" w:rsidRDefault="00941227">
            <w:pPr>
              <w:pStyle w:val="ASFKTableHead"/>
            </w:pPr>
            <w:r w:rsidRPr="00264D5D">
              <w:t>Дополнительная информация</w:t>
            </w:r>
          </w:p>
        </w:tc>
      </w:tr>
      <w:tr w:rsidR="00AD1F54" w:rsidRPr="00264D5D" w14:paraId="7469A1B5" w14:textId="77777777" w:rsidTr="00AD1F54">
        <w:trPr>
          <w:cnfStyle w:val="000000100000" w:firstRow="0" w:lastRow="0" w:firstColumn="0" w:lastColumn="0" w:oddVBand="0" w:evenVBand="0" w:oddHBand="1" w:evenHBand="0" w:firstRowFirstColumn="0" w:firstRowLastColumn="0" w:lastRowFirstColumn="0" w:lastRowLastColumn="0"/>
          <w:trHeight w:val="20"/>
        </w:trPr>
        <w:tc>
          <w:tcPr>
            <w:tcW w:w="1701" w:type="dxa"/>
          </w:tcPr>
          <w:p w14:paraId="6265B44F" w14:textId="77777777" w:rsidR="00AD1F54" w:rsidRPr="00264D5D" w:rsidRDefault="00941227">
            <w:pPr>
              <w:pStyle w:val="GOSTTablenorm"/>
              <w:rPr>
                <w:szCs w:val="22"/>
                <w:lang w:eastAsia="en-US"/>
              </w:rPr>
            </w:pPr>
            <w:r w:rsidRPr="00264D5D">
              <w:rPr>
                <w:szCs w:val="22"/>
                <w:lang w:eastAsia="en-US"/>
              </w:rPr>
              <w:t>Группа атрибутов заголовка документа</w:t>
            </w:r>
          </w:p>
        </w:tc>
        <w:tc>
          <w:tcPr>
            <w:tcW w:w="1701" w:type="dxa"/>
          </w:tcPr>
          <w:p w14:paraId="72C31B94" w14:textId="77777777" w:rsidR="00AD1F54" w:rsidRPr="00264D5D" w:rsidRDefault="00941227">
            <w:pPr>
              <w:pStyle w:val="GOSTTablenorm"/>
              <w:rPr>
                <w:szCs w:val="22"/>
                <w:lang w:eastAsia="en-US"/>
              </w:rPr>
            </w:pPr>
            <w:r w:rsidRPr="00264D5D">
              <w:rPr>
                <w:szCs w:val="22"/>
                <w:lang w:val="en-US" w:eastAsia="en-US"/>
              </w:rPr>
              <w:t>commonAttrs</w:t>
            </w:r>
          </w:p>
        </w:tc>
        <w:tc>
          <w:tcPr>
            <w:tcW w:w="567" w:type="dxa"/>
          </w:tcPr>
          <w:p w14:paraId="4205F7A6" w14:textId="77777777" w:rsidR="00AD1F54" w:rsidRPr="00264D5D" w:rsidRDefault="00941227">
            <w:pPr>
              <w:pStyle w:val="GOSTTablenorm"/>
              <w:jc w:val="center"/>
              <w:rPr>
                <w:szCs w:val="22"/>
                <w:lang w:eastAsia="en-US"/>
              </w:rPr>
            </w:pPr>
            <w:r w:rsidRPr="00264D5D">
              <w:rPr>
                <w:szCs w:val="22"/>
                <w:lang w:val="en-US" w:eastAsia="en-US"/>
              </w:rPr>
              <w:t>C</w:t>
            </w:r>
          </w:p>
        </w:tc>
        <w:tc>
          <w:tcPr>
            <w:tcW w:w="1134" w:type="dxa"/>
          </w:tcPr>
          <w:p w14:paraId="79FA70F2" w14:textId="77777777" w:rsidR="00AD1F54" w:rsidRPr="00264D5D" w:rsidRDefault="00941227">
            <w:pPr>
              <w:pStyle w:val="GOSTTablenorm"/>
              <w:rPr>
                <w:szCs w:val="22"/>
                <w:lang w:eastAsia="en-US"/>
              </w:rPr>
            </w:pPr>
            <w:r w:rsidRPr="00264D5D">
              <w:rPr>
                <w:szCs w:val="22"/>
                <w:lang w:eastAsia="en-US"/>
              </w:rPr>
              <w:t>-</w:t>
            </w:r>
          </w:p>
        </w:tc>
        <w:tc>
          <w:tcPr>
            <w:tcW w:w="567" w:type="dxa"/>
          </w:tcPr>
          <w:p w14:paraId="17CBE55C" w14:textId="77777777" w:rsidR="00AD1F54" w:rsidRPr="00264D5D" w:rsidRDefault="00941227">
            <w:pPr>
              <w:pStyle w:val="GOSTTablenorm"/>
              <w:jc w:val="center"/>
              <w:rPr>
                <w:szCs w:val="22"/>
                <w:lang w:val="en-US" w:eastAsia="en-US"/>
              </w:rPr>
            </w:pPr>
            <w:r w:rsidRPr="00264D5D">
              <w:rPr>
                <w:szCs w:val="22"/>
                <w:lang w:val="en-US" w:eastAsia="en-US"/>
              </w:rPr>
              <w:t>О</w:t>
            </w:r>
          </w:p>
        </w:tc>
        <w:tc>
          <w:tcPr>
            <w:tcW w:w="3963" w:type="dxa"/>
          </w:tcPr>
          <w:p w14:paraId="042AAE34" w14:textId="62FA0F43" w:rsidR="00AD1F54" w:rsidRPr="00264D5D" w:rsidRDefault="00941227">
            <w:pPr>
              <w:pStyle w:val="GOSTTablenorm"/>
              <w:rPr>
                <w:szCs w:val="22"/>
                <w:lang w:eastAsia="en-US"/>
              </w:rPr>
            </w:pPr>
            <w:r w:rsidRPr="00264D5D">
              <w:rPr>
                <w:szCs w:val="22"/>
              </w:rPr>
              <w:t xml:space="preserve">Состав элемента представлен в таблице </w:t>
            </w:r>
            <w:r w:rsidRPr="00264D5D">
              <w:rPr>
                <w:b/>
                <w:szCs w:val="22"/>
              </w:rPr>
              <w:fldChar w:fldCharType="begin"/>
            </w:r>
            <w:r w:rsidRPr="00264D5D">
              <w:rPr>
                <w:szCs w:val="22"/>
              </w:rPr>
              <w:instrText xml:space="preserve"> REF _Ref87608942 \h </w:instrText>
            </w:r>
            <w:r w:rsidRPr="00264D5D">
              <w:rPr>
                <w:b/>
                <w:szCs w:val="22"/>
              </w:rPr>
              <w:instrText xml:space="preserve"> \* MERGEFORMAT </w:instrText>
            </w:r>
            <w:r w:rsidRPr="00264D5D">
              <w:rPr>
                <w:b/>
                <w:szCs w:val="22"/>
              </w:rPr>
            </w:r>
            <w:r w:rsidRPr="00264D5D">
              <w:rPr>
                <w:b/>
                <w:szCs w:val="22"/>
              </w:rPr>
              <w:fldChar w:fldCharType="separate"/>
            </w:r>
            <w:r w:rsidR="008D797C">
              <w:t>304</w:t>
            </w:r>
            <w:r w:rsidRPr="00264D5D">
              <w:rPr>
                <w:b/>
                <w:szCs w:val="22"/>
              </w:rPr>
              <w:fldChar w:fldCharType="end"/>
            </w:r>
          </w:p>
        </w:tc>
      </w:tr>
      <w:tr w:rsidR="00AD1F54" w:rsidRPr="00264D5D" w14:paraId="086C0C2D" w14:textId="77777777" w:rsidTr="00AD1F54">
        <w:trPr>
          <w:cnfStyle w:val="000000010000" w:firstRow="0" w:lastRow="0" w:firstColumn="0" w:lastColumn="0" w:oddVBand="0" w:evenVBand="0" w:oddHBand="0" w:evenHBand="1" w:firstRowFirstColumn="0" w:firstRowLastColumn="0" w:lastRowFirstColumn="0" w:lastRowLastColumn="0"/>
          <w:trHeight w:val="20"/>
        </w:trPr>
        <w:tc>
          <w:tcPr>
            <w:tcW w:w="1701" w:type="dxa"/>
          </w:tcPr>
          <w:p w14:paraId="136D8C07" w14:textId="77777777" w:rsidR="00AD1F54" w:rsidRPr="00264D5D" w:rsidRDefault="00941227">
            <w:pPr>
              <w:pStyle w:val="GOSTTablenorm"/>
              <w:rPr>
                <w:szCs w:val="22"/>
                <w:lang w:eastAsia="en-US"/>
              </w:rPr>
            </w:pPr>
            <w:r w:rsidRPr="00264D5D">
              <w:rPr>
                <w:szCs w:val="22"/>
                <w:lang w:eastAsia="en-US"/>
              </w:rPr>
              <w:t>Код формы</w:t>
            </w:r>
          </w:p>
        </w:tc>
        <w:tc>
          <w:tcPr>
            <w:tcW w:w="1701" w:type="dxa"/>
          </w:tcPr>
          <w:p w14:paraId="6CA191FA" w14:textId="77777777" w:rsidR="00AD1F54" w:rsidRPr="00264D5D" w:rsidRDefault="00941227">
            <w:pPr>
              <w:pStyle w:val="GOSTTablenorm"/>
              <w:rPr>
                <w:szCs w:val="22"/>
                <w:lang w:val="en-US" w:eastAsia="en-US"/>
              </w:rPr>
            </w:pPr>
            <w:r w:rsidRPr="00264D5D">
              <w:rPr>
                <w:szCs w:val="22"/>
                <w:lang w:val="en-US" w:eastAsia="en-US"/>
              </w:rPr>
              <w:t>FormRef</w:t>
            </w:r>
          </w:p>
        </w:tc>
        <w:tc>
          <w:tcPr>
            <w:tcW w:w="567" w:type="dxa"/>
          </w:tcPr>
          <w:p w14:paraId="0D6A0ED2" w14:textId="77777777" w:rsidR="00AD1F54" w:rsidRPr="00264D5D" w:rsidRDefault="00941227">
            <w:pPr>
              <w:pStyle w:val="GOSTTablenorm"/>
              <w:jc w:val="center"/>
              <w:rPr>
                <w:szCs w:val="22"/>
                <w:lang w:eastAsia="en-US"/>
              </w:rPr>
            </w:pPr>
            <w:r w:rsidRPr="00264D5D">
              <w:rPr>
                <w:szCs w:val="22"/>
                <w:lang w:eastAsia="en-US"/>
              </w:rPr>
              <w:t>П</w:t>
            </w:r>
          </w:p>
        </w:tc>
        <w:tc>
          <w:tcPr>
            <w:tcW w:w="1134" w:type="dxa"/>
          </w:tcPr>
          <w:p w14:paraId="38C75074" w14:textId="77777777" w:rsidR="00AD1F54" w:rsidRPr="00264D5D" w:rsidRDefault="00941227">
            <w:pPr>
              <w:pStyle w:val="GOSTTablenorm"/>
              <w:rPr>
                <w:szCs w:val="22"/>
                <w:lang w:eastAsia="en-US"/>
              </w:rPr>
            </w:pPr>
            <w:r w:rsidRPr="00264D5D">
              <w:rPr>
                <w:szCs w:val="22"/>
                <w:lang w:eastAsia="en-US"/>
              </w:rPr>
              <w:t>Т(1-100)</w:t>
            </w:r>
          </w:p>
        </w:tc>
        <w:tc>
          <w:tcPr>
            <w:tcW w:w="567" w:type="dxa"/>
          </w:tcPr>
          <w:p w14:paraId="51663487" w14:textId="77777777" w:rsidR="00AD1F54" w:rsidRPr="00264D5D" w:rsidRDefault="00941227">
            <w:pPr>
              <w:pStyle w:val="GOSTTablenorm"/>
              <w:jc w:val="center"/>
              <w:rPr>
                <w:szCs w:val="22"/>
                <w:lang w:eastAsia="en-US"/>
              </w:rPr>
            </w:pPr>
            <w:r w:rsidRPr="00264D5D">
              <w:rPr>
                <w:szCs w:val="22"/>
                <w:lang w:eastAsia="en-US"/>
              </w:rPr>
              <w:t>О</w:t>
            </w:r>
          </w:p>
        </w:tc>
        <w:tc>
          <w:tcPr>
            <w:tcW w:w="3963" w:type="dxa"/>
          </w:tcPr>
          <w:p w14:paraId="58F9F655" w14:textId="77777777" w:rsidR="00AD1F54" w:rsidRPr="00264D5D" w:rsidRDefault="00941227">
            <w:pPr>
              <w:pStyle w:val="GOSTTablenorm"/>
              <w:rPr>
                <w:szCs w:val="22"/>
              </w:rPr>
            </w:pPr>
            <w:r w:rsidRPr="00264D5D">
              <w:rPr>
                <w:szCs w:val="22"/>
              </w:rPr>
              <w:t>Указывается код формы д</w:t>
            </w:r>
            <w:r w:rsidR="00D76395" w:rsidRPr="00264D5D">
              <w:rPr>
                <w:szCs w:val="22"/>
              </w:rPr>
              <w:t>окумента</w:t>
            </w:r>
          </w:p>
        </w:tc>
      </w:tr>
      <w:tr w:rsidR="00AD1F54" w:rsidRPr="00264D5D" w14:paraId="757A756E" w14:textId="77777777" w:rsidTr="00AD1F54">
        <w:trPr>
          <w:cnfStyle w:val="000000100000" w:firstRow="0" w:lastRow="0" w:firstColumn="0" w:lastColumn="0" w:oddVBand="0" w:evenVBand="0" w:oddHBand="1" w:evenHBand="0" w:firstRowFirstColumn="0" w:firstRowLastColumn="0" w:lastRowFirstColumn="0" w:lastRowLastColumn="0"/>
          <w:trHeight w:val="20"/>
        </w:trPr>
        <w:tc>
          <w:tcPr>
            <w:tcW w:w="1701" w:type="dxa"/>
          </w:tcPr>
          <w:p w14:paraId="341BC00A" w14:textId="77777777" w:rsidR="00AD1F54" w:rsidRPr="00264D5D" w:rsidRDefault="00941227">
            <w:pPr>
              <w:pStyle w:val="GOSTTablenorm"/>
              <w:rPr>
                <w:szCs w:val="22"/>
                <w:lang w:eastAsia="en-US"/>
              </w:rPr>
            </w:pPr>
            <w:r w:rsidRPr="00264D5D">
              <w:rPr>
                <w:szCs w:val="22"/>
                <w:lang w:eastAsia="en-US"/>
              </w:rPr>
              <w:t>Тип периода</w:t>
            </w:r>
          </w:p>
        </w:tc>
        <w:tc>
          <w:tcPr>
            <w:tcW w:w="1701" w:type="dxa"/>
          </w:tcPr>
          <w:p w14:paraId="27A3011F" w14:textId="77777777" w:rsidR="00AD1F54" w:rsidRPr="00264D5D" w:rsidRDefault="00941227">
            <w:pPr>
              <w:pStyle w:val="GOSTTablenorm"/>
              <w:rPr>
                <w:szCs w:val="22"/>
                <w:lang w:val="en-US" w:eastAsia="en-US"/>
              </w:rPr>
            </w:pPr>
            <w:r w:rsidRPr="00264D5D">
              <w:rPr>
                <w:szCs w:val="22"/>
                <w:lang w:val="en-US" w:eastAsia="en-US"/>
              </w:rPr>
              <w:t>PeriodType</w:t>
            </w:r>
          </w:p>
        </w:tc>
        <w:tc>
          <w:tcPr>
            <w:tcW w:w="567" w:type="dxa"/>
          </w:tcPr>
          <w:p w14:paraId="336ED2A9" w14:textId="77777777" w:rsidR="00AD1F54" w:rsidRPr="00264D5D" w:rsidRDefault="00941227">
            <w:pPr>
              <w:pStyle w:val="GOSTTablenorm"/>
              <w:jc w:val="center"/>
              <w:rPr>
                <w:szCs w:val="22"/>
                <w:lang w:eastAsia="en-US"/>
              </w:rPr>
            </w:pPr>
            <w:r w:rsidRPr="00264D5D">
              <w:rPr>
                <w:szCs w:val="22"/>
                <w:lang w:eastAsia="en-US"/>
              </w:rPr>
              <w:t>П</w:t>
            </w:r>
          </w:p>
        </w:tc>
        <w:tc>
          <w:tcPr>
            <w:tcW w:w="1134" w:type="dxa"/>
          </w:tcPr>
          <w:p w14:paraId="3D94736A" w14:textId="77777777" w:rsidR="00AD1F54" w:rsidRPr="00264D5D" w:rsidRDefault="00941227">
            <w:pPr>
              <w:pStyle w:val="GOSTTablenorm"/>
              <w:rPr>
                <w:szCs w:val="22"/>
                <w:lang w:eastAsia="en-US"/>
              </w:rPr>
            </w:pPr>
            <w:r w:rsidRPr="00264D5D">
              <w:rPr>
                <w:szCs w:val="22"/>
                <w:lang w:eastAsia="en-US"/>
              </w:rPr>
              <w:t>Т(1-15)</w:t>
            </w:r>
          </w:p>
        </w:tc>
        <w:tc>
          <w:tcPr>
            <w:tcW w:w="567" w:type="dxa"/>
          </w:tcPr>
          <w:p w14:paraId="031C7112" w14:textId="77777777" w:rsidR="00AD1F54" w:rsidRPr="00264D5D" w:rsidRDefault="00941227">
            <w:pPr>
              <w:pStyle w:val="GOSTTablenorm"/>
              <w:jc w:val="center"/>
              <w:rPr>
                <w:szCs w:val="22"/>
                <w:lang w:eastAsia="en-US"/>
              </w:rPr>
            </w:pPr>
            <w:r w:rsidRPr="00264D5D">
              <w:rPr>
                <w:szCs w:val="22"/>
                <w:lang w:eastAsia="en-US"/>
              </w:rPr>
              <w:t>О</w:t>
            </w:r>
          </w:p>
        </w:tc>
        <w:tc>
          <w:tcPr>
            <w:tcW w:w="3963" w:type="dxa"/>
          </w:tcPr>
          <w:p w14:paraId="752A5E8E" w14:textId="77777777" w:rsidR="00AD1F54" w:rsidRPr="00264D5D" w:rsidRDefault="00D76395">
            <w:pPr>
              <w:pStyle w:val="GOSTTablenorm"/>
              <w:rPr>
                <w:szCs w:val="22"/>
              </w:rPr>
            </w:pPr>
            <w:r w:rsidRPr="00264D5D">
              <w:rPr>
                <w:szCs w:val="22"/>
              </w:rPr>
              <w:t>Тип периода</w:t>
            </w:r>
          </w:p>
        </w:tc>
      </w:tr>
      <w:tr w:rsidR="00AD1F54" w:rsidRPr="00264D5D" w14:paraId="5504F4D3" w14:textId="77777777" w:rsidTr="00AD1F54">
        <w:trPr>
          <w:cnfStyle w:val="000000010000" w:firstRow="0" w:lastRow="0" w:firstColumn="0" w:lastColumn="0" w:oddVBand="0" w:evenVBand="0" w:oddHBand="0" w:evenHBand="1" w:firstRowFirstColumn="0" w:firstRowLastColumn="0" w:lastRowFirstColumn="0" w:lastRowLastColumn="0"/>
          <w:trHeight w:val="20"/>
        </w:trPr>
        <w:tc>
          <w:tcPr>
            <w:tcW w:w="1701" w:type="dxa"/>
          </w:tcPr>
          <w:p w14:paraId="75F7F9DD" w14:textId="77777777" w:rsidR="00AD1F54" w:rsidRPr="00264D5D" w:rsidRDefault="00941227">
            <w:pPr>
              <w:pStyle w:val="GOSTTablenorm"/>
              <w:rPr>
                <w:szCs w:val="22"/>
                <w:lang w:eastAsia="en-US"/>
              </w:rPr>
            </w:pPr>
            <w:r w:rsidRPr="00264D5D">
              <w:rPr>
                <w:szCs w:val="22"/>
                <w:lang w:eastAsia="en-US"/>
              </w:rPr>
              <w:t>Тип периода</w:t>
            </w:r>
          </w:p>
        </w:tc>
        <w:tc>
          <w:tcPr>
            <w:tcW w:w="1701" w:type="dxa"/>
          </w:tcPr>
          <w:p w14:paraId="45398BB2" w14:textId="77777777" w:rsidR="00AD1F54" w:rsidRPr="00264D5D" w:rsidRDefault="00941227">
            <w:pPr>
              <w:pStyle w:val="GOSTTablenorm"/>
              <w:rPr>
                <w:szCs w:val="22"/>
                <w:lang w:val="en-US" w:eastAsia="en-US"/>
              </w:rPr>
            </w:pPr>
            <w:r w:rsidRPr="00264D5D">
              <w:rPr>
                <w:szCs w:val="22"/>
                <w:lang w:val="en-US" w:eastAsia="en-US"/>
              </w:rPr>
              <w:t>PeriodTypeName</w:t>
            </w:r>
          </w:p>
        </w:tc>
        <w:tc>
          <w:tcPr>
            <w:tcW w:w="567" w:type="dxa"/>
          </w:tcPr>
          <w:p w14:paraId="4BB1019B" w14:textId="77777777" w:rsidR="00AD1F54" w:rsidRPr="00264D5D" w:rsidRDefault="00941227">
            <w:pPr>
              <w:pStyle w:val="GOSTTablenorm"/>
              <w:jc w:val="center"/>
              <w:rPr>
                <w:szCs w:val="22"/>
                <w:lang w:eastAsia="en-US"/>
              </w:rPr>
            </w:pPr>
            <w:r w:rsidRPr="00264D5D">
              <w:rPr>
                <w:szCs w:val="22"/>
                <w:lang w:eastAsia="en-US"/>
              </w:rPr>
              <w:t>П</w:t>
            </w:r>
          </w:p>
        </w:tc>
        <w:tc>
          <w:tcPr>
            <w:tcW w:w="1134" w:type="dxa"/>
          </w:tcPr>
          <w:p w14:paraId="60977E42" w14:textId="77777777" w:rsidR="00AD1F54" w:rsidRPr="00264D5D" w:rsidRDefault="00941227">
            <w:pPr>
              <w:pStyle w:val="GOSTTablenorm"/>
              <w:rPr>
                <w:szCs w:val="22"/>
                <w:lang w:eastAsia="en-US"/>
              </w:rPr>
            </w:pPr>
            <w:r w:rsidRPr="00264D5D">
              <w:rPr>
                <w:szCs w:val="22"/>
                <w:lang w:eastAsia="en-US"/>
              </w:rPr>
              <w:t>Т(1-15)</w:t>
            </w:r>
          </w:p>
        </w:tc>
        <w:tc>
          <w:tcPr>
            <w:tcW w:w="567" w:type="dxa"/>
          </w:tcPr>
          <w:p w14:paraId="2ED399D9" w14:textId="77777777" w:rsidR="00AD1F54" w:rsidRPr="00264D5D" w:rsidRDefault="00941227">
            <w:pPr>
              <w:pStyle w:val="GOSTTablenorm"/>
              <w:jc w:val="center"/>
              <w:rPr>
                <w:szCs w:val="22"/>
                <w:lang w:eastAsia="en-US"/>
              </w:rPr>
            </w:pPr>
            <w:r w:rsidRPr="00264D5D">
              <w:rPr>
                <w:szCs w:val="22"/>
                <w:lang w:eastAsia="en-US"/>
              </w:rPr>
              <w:t>О</w:t>
            </w:r>
          </w:p>
        </w:tc>
        <w:tc>
          <w:tcPr>
            <w:tcW w:w="3963" w:type="dxa"/>
          </w:tcPr>
          <w:p w14:paraId="06C1D494" w14:textId="77777777" w:rsidR="00AD1F54" w:rsidRPr="00264D5D" w:rsidRDefault="00D76395">
            <w:pPr>
              <w:pStyle w:val="GOSTTablenorm"/>
              <w:rPr>
                <w:szCs w:val="22"/>
              </w:rPr>
            </w:pPr>
            <w:r w:rsidRPr="00264D5D">
              <w:rPr>
                <w:szCs w:val="22"/>
              </w:rPr>
              <w:t>Тип периода</w:t>
            </w:r>
          </w:p>
        </w:tc>
      </w:tr>
      <w:tr w:rsidR="00AD1F54" w:rsidRPr="00264D5D" w14:paraId="5FD75D3D" w14:textId="77777777" w:rsidTr="00AD1F54">
        <w:trPr>
          <w:cnfStyle w:val="000000100000" w:firstRow="0" w:lastRow="0" w:firstColumn="0" w:lastColumn="0" w:oddVBand="0" w:evenVBand="0" w:oddHBand="1" w:evenHBand="0" w:firstRowFirstColumn="0" w:firstRowLastColumn="0" w:lastRowFirstColumn="0" w:lastRowLastColumn="0"/>
          <w:trHeight w:val="20"/>
        </w:trPr>
        <w:tc>
          <w:tcPr>
            <w:tcW w:w="1701" w:type="dxa"/>
          </w:tcPr>
          <w:p w14:paraId="3A31324C" w14:textId="77777777" w:rsidR="00AD1F54" w:rsidRPr="00264D5D" w:rsidRDefault="00941227">
            <w:pPr>
              <w:pStyle w:val="GOSTTablenorm"/>
              <w:rPr>
                <w:szCs w:val="22"/>
                <w:lang w:eastAsia="en-US"/>
              </w:rPr>
            </w:pPr>
            <w:r w:rsidRPr="00264D5D">
              <w:rPr>
                <w:szCs w:val="22"/>
                <w:lang w:eastAsia="en-US"/>
              </w:rPr>
              <w:t>Дата отчета</w:t>
            </w:r>
          </w:p>
        </w:tc>
        <w:tc>
          <w:tcPr>
            <w:tcW w:w="1701" w:type="dxa"/>
          </w:tcPr>
          <w:p w14:paraId="0C6359D1" w14:textId="77777777" w:rsidR="00AD1F54" w:rsidRPr="00264D5D" w:rsidRDefault="00941227">
            <w:pPr>
              <w:pStyle w:val="GOSTTablenorm"/>
              <w:rPr>
                <w:szCs w:val="22"/>
                <w:lang w:val="en-US" w:eastAsia="en-US"/>
              </w:rPr>
            </w:pPr>
            <w:r w:rsidRPr="00264D5D">
              <w:rPr>
                <w:szCs w:val="22"/>
                <w:lang w:val="en-US" w:eastAsia="en-US"/>
              </w:rPr>
              <w:t>ReportDate</w:t>
            </w:r>
          </w:p>
        </w:tc>
        <w:tc>
          <w:tcPr>
            <w:tcW w:w="567" w:type="dxa"/>
          </w:tcPr>
          <w:p w14:paraId="5A794FFC" w14:textId="77777777" w:rsidR="00AD1F54" w:rsidRPr="00264D5D" w:rsidRDefault="00941227">
            <w:pPr>
              <w:pStyle w:val="GOSTTablenorm"/>
              <w:jc w:val="center"/>
              <w:rPr>
                <w:szCs w:val="22"/>
                <w:lang w:eastAsia="en-US"/>
              </w:rPr>
            </w:pPr>
            <w:r w:rsidRPr="00264D5D">
              <w:rPr>
                <w:szCs w:val="22"/>
                <w:lang w:eastAsia="en-US"/>
              </w:rPr>
              <w:t>П</w:t>
            </w:r>
          </w:p>
        </w:tc>
        <w:tc>
          <w:tcPr>
            <w:tcW w:w="1134" w:type="dxa"/>
          </w:tcPr>
          <w:p w14:paraId="7AFE6510" w14:textId="77777777" w:rsidR="00AD1F54" w:rsidRPr="00264D5D" w:rsidRDefault="00941227">
            <w:pPr>
              <w:pStyle w:val="GOSTTablenorm"/>
              <w:rPr>
                <w:szCs w:val="22"/>
                <w:lang w:eastAsia="en-US"/>
              </w:rPr>
            </w:pPr>
            <w:r w:rsidRPr="00264D5D">
              <w:rPr>
                <w:szCs w:val="22"/>
              </w:rPr>
              <w:t>Date</w:t>
            </w:r>
          </w:p>
        </w:tc>
        <w:tc>
          <w:tcPr>
            <w:tcW w:w="567" w:type="dxa"/>
          </w:tcPr>
          <w:p w14:paraId="0C7813F2" w14:textId="77777777" w:rsidR="00AD1F54" w:rsidRPr="00264D5D" w:rsidRDefault="00941227">
            <w:pPr>
              <w:pStyle w:val="GOSTTablenorm"/>
              <w:jc w:val="center"/>
              <w:rPr>
                <w:szCs w:val="22"/>
                <w:lang w:eastAsia="en-US"/>
              </w:rPr>
            </w:pPr>
            <w:r w:rsidRPr="00264D5D">
              <w:rPr>
                <w:szCs w:val="22"/>
              </w:rPr>
              <w:t>O</w:t>
            </w:r>
          </w:p>
        </w:tc>
        <w:tc>
          <w:tcPr>
            <w:tcW w:w="3963" w:type="dxa"/>
          </w:tcPr>
          <w:p w14:paraId="75A1EB93" w14:textId="77777777" w:rsidR="00AD1F54" w:rsidRPr="00264D5D" w:rsidRDefault="00941227">
            <w:pPr>
              <w:pStyle w:val="GOSTTablenorm"/>
              <w:rPr>
                <w:szCs w:val="22"/>
              </w:rPr>
            </w:pPr>
            <w:r w:rsidRPr="00264D5D">
              <w:rPr>
                <w:szCs w:val="22"/>
              </w:rPr>
              <w:t xml:space="preserve">Указывается дата, </w:t>
            </w:r>
            <w:r w:rsidR="00D76395" w:rsidRPr="00264D5D">
              <w:rPr>
                <w:szCs w:val="22"/>
              </w:rPr>
              <w:t>на которую сформирован документ</w:t>
            </w:r>
          </w:p>
        </w:tc>
      </w:tr>
      <w:tr w:rsidR="00AD1F54" w:rsidRPr="00264D5D" w14:paraId="1F4A5DEA" w14:textId="77777777" w:rsidTr="00AD1F54">
        <w:trPr>
          <w:cnfStyle w:val="000000010000" w:firstRow="0" w:lastRow="0" w:firstColumn="0" w:lastColumn="0" w:oddVBand="0" w:evenVBand="0" w:oddHBand="0" w:evenHBand="1" w:firstRowFirstColumn="0" w:firstRowLastColumn="0" w:lastRowFirstColumn="0" w:lastRowLastColumn="0"/>
          <w:trHeight w:val="20"/>
        </w:trPr>
        <w:tc>
          <w:tcPr>
            <w:tcW w:w="1701" w:type="dxa"/>
          </w:tcPr>
          <w:p w14:paraId="6420CA4B" w14:textId="77777777" w:rsidR="00AD1F54" w:rsidRPr="00264D5D" w:rsidRDefault="00941227">
            <w:pPr>
              <w:pStyle w:val="GOSTTablenorm"/>
              <w:rPr>
                <w:szCs w:val="22"/>
                <w:lang w:eastAsia="en-US"/>
              </w:rPr>
            </w:pPr>
            <w:r w:rsidRPr="00264D5D">
              <w:rPr>
                <w:szCs w:val="22"/>
                <w:lang w:eastAsia="en-US"/>
              </w:rPr>
              <w:t>Код бюджета</w:t>
            </w:r>
          </w:p>
        </w:tc>
        <w:tc>
          <w:tcPr>
            <w:tcW w:w="1701" w:type="dxa"/>
          </w:tcPr>
          <w:p w14:paraId="58FD96FB" w14:textId="77777777" w:rsidR="00AD1F54" w:rsidRPr="00264D5D" w:rsidRDefault="00941227">
            <w:pPr>
              <w:pStyle w:val="GOSTTablenorm"/>
              <w:rPr>
                <w:szCs w:val="22"/>
                <w:lang w:val="en-US" w:eastAsia="en-US"/>
              </w:rPr>
            </w:pPr>
            <w:r w:rsidRPr="00264D5D">
              <w:rPr>
                <w:szCs w:val="22"/>
                <w:lang w:val="en-US" w:eastAsia="en-US"/>
              </w:rPr>
              <w:t>BudgetCode</w:t>
            </w:r>
          </w:p>
        </w:tc>
        <w:tc>
          <w:tcPr>
            <w:tcW w:w="567" w:type="dxa"/>
          </w:tcPr>
          <w:p w14:paraId="1395FF11" w14:textId="77777777" w:rsidR="00AD1F54" w:rsidRPr="00264D5D" w:rsidRDefault="00941227">
            <w:pPr>
              <w:pStyle w:val="GOSTTablenorm"/>
              <w:jc w:val="center"/>
              <w:rPr>
                <w:szCs w:val="22"/>
                <w:lang w:eastAsia="en-US"/>
              </w:rPr>
            </w:pPr>
            <w:r w:rsidRPr="00264D5D">
              <w:rPr>
                <w:szCs w:val="22"/>
                <w:lang w:eastAsia="en-US"/>
              </w:rPr>
              <w:t>П</w:t>
            </w:r>
          </w:p>
        </w:tc>
        <w:tc>
          <w:tcPr>
            <w:tcW w:w="1134" w:type="dxa"/>
          </w:tcPr>
          <w:p w14:paraId="7C66E785" w14:textId="77777777" w:rsidR="00AD1F54" w:rsidRPr="00264D5D" w:rsidRDefault="00941227">
            <w:pPr>
              <w:pStyle w:val="GOSTTablenorm"/>
              <w:rPr>
                <w:szCs w:val="22"/>
              </w:rPr>
            </w:pPr>
            <w:r w:rsidRPr="00264D5D">
              <w:rPr>
                <w:szCs w:val="22"/>
              </w:rPr>
              <w:t>Т(1-240)</w:t>
            </w:r>
          </w:p>
        </w:tc>
        <w:tc>
          <w:tcPr>
            <w:tcW w:w="567" w:type="dxa"/>
          </w:tcPr>
          <w:p w14:paraId="12CCC9F0" w14:textId="77777777" w:rsidR="00AD1F54" w:rsidRPr="00264D5D" w:rsidRDefault="00941227">
            <w:pPr>
              <w:pStyle w:val="GOSTTablenorm"/>
              <w:jc w:val="center"/>
              <w:rPr>
                <w:szCs w:val="22"/>
              </w:rPr>
            </w:pPr>
            <w:r w:rsidRPr="00264D5D">
              <w:rPr>
                <w:szCs w:val="22"/>
              </w:rPr>
              <w:t>О</w:t>
            </w:r>
          </w:p>
        </w:tc>
        <w:tc>
          <w:tcPr>
            <w:tcW w:w="3963" w:type="dxa"/>
          </w:tcPr>
          <w:p w14:paraId="556BAFF6" w14:textId="77777777" w:rsidR="00AD1F54" w:rsidRPr="00264D5D" w:rsidRDefault="00D76395">
            <w:pPr>
              <w:pStyle w:val="GOSTTablenorm"/>
              <w:rPr>
                <w:szCs w:val="22"/>
              </w:rPr>
            </w:pPr>
            <w:r w:rsidRPr="00264D5D">
              <w:rPr>
                <w:szCs w:val="22"/>
              </w:rPr>
              <w:t>Код бюджета</w:t>
            </w:r>
          </w:p>
        </w:tc>
      </w:tr>
      <w:tr w:rsidR="00AD1F54" w:rsidRPr="00264D5D" w14:paraId="010D73C8" w14:textId="77777777" w:rsidTr="00AD1F54">
        <w:trPr>
          <w:cnfStyle w:val="000000100000" w:firstRow="0" w:lastRow="0" w:firstColumn="0" w:lastColumn="0" w:oddVBand="0" w:evenVBand="0" w:oddHBand="1" w:evenHBand="0" w:firstRowFirstColumn="0" w:firstRowLastColumn="0" w:lastRowFirstColumn="0" w:lastRowLastColumn="0"/>
          <w:trHeight w:val="20"/>
        </w:trPr>
        <w:tc>
          <w:tcPr>
            <w:tcW w:w="1701" w:type="dxa"/>
          </w:tcPr>
          <w:p w14:paraId="0301A2EB" w14:textId="77777777" w:rsidR="00AD1F54" w:rsidRPr="00264D5D" w:rsidRDefault="00941227">
            <w:pPr>
              <w:pStyle w:val="GOSTTablenorm"/>
              <w:rPr>
                <w:szCs w:val="22"/>
                <w:lang w:eastAsia="en-US"/>
              </w:rPr>
            </w:pPr>
            <w:r w:rsidRPr="00264D5D">
              <w:rPr>
                <w:szCs w:val="22"/>
                <w:lang w:eastAsia="en-US"/>
              </w:rPr>
              <w:t xml:space="preserve">Бюджет </w:t>
            </w:r>
          </w:p>
        </w:tc>
        <w:tc>
          <w:tcPr>
            <w:tcW w:w="1701" w:type="dxa"/>
          </w:tcPr>
          <w:p w14:paraId="70D3BABB" w14:textId="77777777" w:rsidR="00AD1F54" w:rsidRPr="00264D5D" w:rsidRDefault="00941227">
            <w:pPr>
              <w:pStyle w:val="GOSTTablenorm"/>
              <w:rPr>
                <w:szCs w:val="22"/>
                <w:lang w:val="en-US" w:eastAsia="en-US"/>
              </w:rPr>
            </w:pPr>
            <w:r w:rsidRPr="00264D5D">
              <w:rPr>
                <w:szCs w:val="22"/>
                <w:lang w:val="en-US" w:eastAsia="en-US"/>
              </w:rPr>
              <w:t>BudgetName</w:t>
            </w:r>
          </w:p>
        </w:tc>
        <w:tc>
          <w:tcPr>
            <w:tcW w:w="567" w:type="dxa"/>
          </w:tcPr>
          <w:p w14:paraId="05AF7BF8" w14:textId="77777777" w:rsidR="00AD1F54" w:rsidRPr="00264D5D" w:rsidRDefault="00941227">
            <w:pPr>
              <w:pStyle w:val="GOSTTablenorm"/>
              <w:jc w:val="center"/>
              <w:rPr>
                <w:szCs w:val="22"/>
                <w:lang w:eastAsia="en-US"/>
              </w:rPr>
            </w:pPr>
            <w:r w:rsidRPr="00264D5D">
              <w:rPr>
                <w:szCs w:val="22"/>
                <w:lang w:eastAsia="en-US"/>
              </w:rPr>
              <w:t>П</w:t>
            </w:r>
          </w:p>
        </w:tc>
        <w:tc>
          <w:tcPr>
            <w:tcW w:w="1134" w:type="dxa"/>
          </w:tcPr>
          <w:p w14:paraId="38339004" w14:textId="77777777" w:rsidR="00AD1F54" w:rsidRPr="00264D5D" w:rsidRDefault="00941227">
            <w:pPr>
              <w:pStyle w:val="GOSTTablenorm"/>
              <w:rPr>
                <w:szCs w:val="22"/>
              </w:rPr>
            </w:pPr>
            <w:r w:rsidRPr="00264D5D">
              <w:rPr>
                <w:szCs w:val="22"/>
              </w:rPr>
              <w:t>Т(1-512)</w:t>
            </w:r>
          </w:p>
        </w:tc>
        <w:tc>
          <w:tcPr>
            <w:tcW w:w="567" w:type="dxa"/>
          </w:tcPr>
          <w:p w14:paraId="2D28C8C3" w14:textId="77777777" w:rsidR="00AD1F54" w:rsidRPr="00264D5D" w:rsidRDefault="00941227">
            <w:pPr>
              <w:pStyle w:val="GOSTTablenorm"/>
              <w:jc w:val="center"/>
              <w:rPr>
                <w:szCs w:val="22"/>
              </w:rPr>
            </w:pPr>
            <w:r w:rsidRPr="00264D5D">
              <w:rPr>
                <w:szCs w:val="22"/>
              </w:rPr>
              <w:t>О</w:t>
            </w:r>
          </w:p>
        </w:tc>
        <w:tc>
          <w:tcPr>
            <w:tcW w:w="3963" w:type="dxa"/>
          </w:tcPr>
          <w:p w14:paraId="10AABC7B" w14:textId="77777777" w:rsidR="00AD1F54" w:rsidRPr="00264D5D" w:rsidRDefault="00941227">
            <w:pPr>
              <w:pStyle w:val="GOSTTablenorm"/>
              <w:rPr>
                <w:szCs w:val="22"/>
              </w:rPr>
            </w:pPr>
            <w:r w:rsidRPr="00264D5D">
              <w:rPr>
                <w:szCs w:val="22"/>
              </w:rPr>
              <w:t>У</w:t>
            </w:r>
            <w:r w:rsidR="00D76395" w:rsidRPr="00264D5D">
              <w:rPr>
                <w:szCs w:val="22"/>
              </w:rPr>
              <w:t>казывается наименование бюджета</w:t>
            </w:r>
          </w:p>
        </w:tc>
      </w:tr>
      <w:tr w:rsidR="00AD1F54" w:rsidRPr="00264D5D" w14:paraId="65877E45" w14:textId="77777777" w:rsidTr="00AD1F54">
        <w:trPr>
          <w:cnfStyle w:val="000000010000" w:firstRow="0" w:lastRow="0" w:firstColumn="0" w:lastColumn="0" w:oddVBand="0" w:evenVBand="0" w:oddHBand="0" w:evenHBand="1" w:firstRowFirstColumn="0" w:firstRowLastColumn="0" w:lastRowFirstColumn="0" w:lastRowLastColumn="0"/>
          <w:trHeight w:val="20"/>
        </w:trPr>
        <w:tc>
          <w:tcPr>
            <w:tcW w:w="1701" w:type="dxa"/>
          </w:tcPr>
          <w:p w14:paraId="7C1F82DD" w14:textId="77777777" w:rsidR="00AD1F54" w:rsidRPr="00264D5D" w:rsidRDefault="00941227">
            <w:pPr>
              <w:pStyle w:val="GOSTTablenorm"/>
              <w:rPr>
                <w:szCs w:val="22"/>
                <w:lang w:val="en-US" w:eastAsia="en-US"/>
              </w:rPr>
            </w:pPr>
            <w:r w:rsidRPr="00264D5D">
              <w:rPr>
                <w:szCs w:val="22"/>
                <w:lang w:eastAsia="en-US"/>
              </w:rPr>
              <w:t>Контур</w:t>
            </w:r>
            <w:r w:rsidRPr="00264D5D">
              <w:rPr>
                <w:szCs w:val="22"/>
                <w:lang w:val="en-US" w:eastAsia="en-US"/>
              </w:rPr>
              <w:t xml:space="preserve"> (</w:t>
            </w:r>
            <w:r w:rsidRPr="00264D5D">
              <w:rPr>
                <w:szCs w:val="22"/>
                <w:lang w:eastAsia="en-US"/>
              </w:rPr>
              <w:t>передающий</w:t>
            </w:r>
            <w:r w:rsidRPr="00264D5D">
              <w:rPr>
                <w:szCs w:val="22"/>
                <w:lang w:val="en-US" w:eastAsia="en-US"/>
              </w:rPr>
              <w:t>)</w:t>
            </w:r>
          </w:p>
        </w:tc>
        <w:tc>
          <w:tcPr>
            <w:tcW w:w="1701" w:type="dxa"/>
          </w:tcPr>
          <w:p w14:paraId="5FEC55DD" w14:textId="77777777" w:rsidR="00AD1F54" w:rsidRPr="00264D5D" w:rsidRDefault="00941227">
            <w:pPr>
              <w:pStyle w:val="GOSTTablenorm"/>
              <w:rPr>
                <w:szCs w:val="22"/>
                <w:lang w:val="en-US" w:eastAsia="en-US"/>
              </w:rPr>
            </w:pPr>
            <w:r w:rsidRPr="00264D5D">
              <w:rPr>
                <w:szCs w:val="22"/>
                <w:lang w:val="en-US" w:eastAsia="en-US"/>
              </w:rPr>
              <w:t>Security_Segment</w:t>
            </w:r>
          </w:p>
        </w:tc>
        <w:tc>
          <w:tcPr>
            <w:tcW w:w="567" w:type="dxa"/>
          </w:tcPr>
          <w:p w14:paraId="08A6F527" w14:textId="77777777" w:rsidR="00AD1F54" w:rsidRPr="00264D5D" w:rsidRDefault="00941227">
            <w:pPr>
              <w:pStyle w:val="GOSTTablenorm"/>
              <w:jc w:val="center"/>
              <w:rPr>
                <w:szCs w:val="22"/>
                <w:lang w:eastAsia="en-US"/>
              </w:rPr>
            </w:pPr>
            <w:r w:rsidRPr="00264D5D">
              <w:rPr>
                <w:szCs w:val="22"/>
                <w:lang w:eastAsia="en-US"/>
              </w:rPr>
              <w:t>П</w:t>
            </w:r>
          </w:p>
        </w:tc>
        <w:tc>
          <w:tcPr>
            <w:tcW w:w="1134" w:type="dxa"/>
          </w:tcPr>
          <w:p w14:paraId="081781EF" w14:textId="77777777" w:rsidR="00AD1F54" w:rsidRPr="00264D5D" w:rsidRDefault="00941227">
            <w:pPr>
              <w:pStyle w:val="GOSTTablenorm"/>
              <w:rPr>
                <w:szCs w:val="22"/>
              </w:rPr>
            </w:pPr>
            <w:r w:rsidRPr="00264D5D">
              <w:rPr>
                <w:szCs w:val="22"/>
              </w:rPr>
              <w:t>Т(1-10)</w:t>
            </w:r>
          </w:p>
        </w:tc>
        <w:tc>
          <w:tcPr>
            <w:tcW w:w="567" w:type="dxa"/>
          </w:tcPr>
          <w:p w14:paraId="08E05A1C" w14:textId="77777777" w:rsidR="00AD1F54" w:rsidRPr="00264D5D" w:rsidRDefault="00941227">
            <w:pPr>
              <w:pStyle w:val="GOSTTablenorm"/>
              <w:jc w:val="center"/>
              <w:rPr>
                <w:szCs w:val="22"/>
              </w:rPr>
            </w:pPr>
            <w:r w:rsidRPr="00264D5D">
              <w:rPr>
                <w:szCs w:val="22"/>
              </w:rPr>
              <w:t>О</w:t>
            </w:r>
          </w:p>
        </w:tc>
        <w:tc>
          <w:tcPr>
            <w:tcW w:w="3963" w:type="dxa"/>
          </w:tcPr>
          <w:p w14:paraId="21EDA510" w14:textId="77777777" w:rsidR="00AD1F54" w:rsidRPr="00264D5D" w:rsidRDefault="00941227">
            <w:pPr>
              <w:pStyle w:val="GOSTTablenorm"/>
              <w:rPr>
                <w:szCs w:val="22"/>
              </w:rPr>
            </w:pPr>
            <w:r w:rsidRPr="00264D5D">
              <w:rPr>
                <w:szCs w:val="22"/>
              </w:rPr>
              <w:t>Контур.</w:t>
            </w:r>
          </w:p>
          <w:p w14:paraId="34E215D4" w14:textId="77777777" w:rsidR="00AD1F54" w:rsidRPr="00264D5D" w:rsidRDefault="00941227">
            <w:pPr>
              <w:pStyle w:val="GOSTTablenorm"/>
              <w:rPr>
                <w:szCs w:val="22"/>
              </w:rPr>
            </w:pPr>
            <w:r w:rsidRPr="00264D5D">
              <w:rPr>
                <w:szCs w:val="22"/>
              </w:rPr>
              <w:t>Указывается значение:</w:t>
            </w:r>
          </w:p>
          <w:p w14:paraId="606C36A3" w14:textId="77777777" w:rsidR="00AD1F54" w:rsidRPr="00264D5D" w:rsidRDefault="00941227" w:rsidP="00E7460C">
            <w:pPr>
              <w:pStyle w:val="GOSTTablenorm"/>
              <w:numPr>
                <w:ilvl w:val="0"/>
                <w:numId w:val="111"/>
              </w:numPr>
              <w:ind w:left="284" w:hanging="227"/>
              <w:rPr>
                <w:szCs w:val="22"/>
              </w:rPr>
            </w:pPr>
            <w:r w:rsidRPr="00264D5D">
              <w:rPr>
                <w:szCs w:val="22"/>
              </w:rPr>
              <w:t>1 – для открытого контура;</w:t>
            </w:r>
          </w:p>
          <w:p w14:paraId="3278F623" w14:textId="77777777" w:rsidR="00AD1F54" w:rsidRPr="00264D5D" w:rsidRDefault="00D76395" w:rsidP="00E7460C">
            <w:pPr>
              <w:pStyle w:val="GOSTTablenorm"/>
              <w:numPr>
                <w:ilvl w:val="0"/>
                <w:numId w:val="111"/>
              </w:numPr>
              <w:ind w:left="284" w:hanging="227"/>
              <w:rPr>
                <w:szCs w:val="22"/>
              </w:rPr>
            </w:pPr>
            <w:r w:rsidRPr="00264D5D">
              <w:rPr>
                <w:szCs w:val="22"/>
              </w:rPr>
              <w:t>2 – для закрытого контура</w:t>
            </w:r>
          </w:p>
        </w:tc>
      </w:tr>
      <w:tr w:rsidR="00AD1F54" w:rsidRPr="00264D5D" w14:paraId="33F14C23" w14:textId="77777777" w:rsidTr="00AD1F54">
        <w:trPr>
          <w:cnfStyle w:val="000000100000" w:firstRow="0" w:lastRow="0" w:firstColumn="0" w:lastColumn="0" w:oddVBand="0" w:evenVBand="0" w:oddHBand="1" w:evenHBand="0" w:firstRowFirstColumn="0" w:firstRowLastColumn="0" w:lastRowFirstColumn="0" w:lastRowLastColumn="0"/>
          <w:trHeight w:val="20"/>
        </w:trPr>
        <w:tc>
          <w:tcPr>
            <w:tcW w:w="1701" w:type="dxa"/>
          </w:tcPr>
          <w:p w14:paraId="1A0409F1" w14:textId="77777777" w:rsidR="00AD1F54" w:rsidRPr="00264D5D" w:rsidRDefault="00941227">
            <w:pPr>
              <w:pStyle w:val="GOSTTablenorm"/>
              <w:rPr>
                <w:szCs w:val="22"/>
                <w:lang w:eastAsia="en-US"/>
              </w:rPr>
            </w:pPr>
            <w:r w:rsidRPr="00264D5D">
              <w:rPr>
                <w:szCs w:val="22"/>
                <w:lang w:eastAsia="en-US"/>
              </w:rPr>
              <w:t>Период отчета Дата с:</w:t>
            </w:r>
          </w:p>
        </w:tc>
        <w:tc>
          <w:tcPr>
            <w:tcW w:w="1701" w:type="dxa"/>
          </w:tcPr>
          <w:p w14:paraId="27FE131B" w14:textId="77777777" w:rsidR="00AD1F54" w:rsidRPr="00264D5D" w:rsidRDefault="00941227">
            <w:pPr>
              <w:pStyle w:val="GOSTTablenorm"/>
              <w:rPr>
                <w:szCs w:val="22"/>
                <w:lang w:val="en-US" w:eastAsia="en-US"/>
              </w:rPr>
            </w:pPr>
            <w:r w:rsidRPr="00264D5D">
              <w:rPr>
                <w:szCs w:val="22"/>
                <w:lang w:val="en-US" w:eastAsia="en-US"/>
              </w:rPr>
              <w:t>ReportStartDate</w:t>
            </w:r>
          </w:p>
        </w:tc>
        <w:tc>
          <w:tcPr>
            <w:tcW w:w="567" w:type="dxa"/>
          </w:tcPr>
          <w:p w14:paraId="592FC142" w14:textId="77777777" w:rsidR="00AD1F54" w:rsidRPr="00264D5D" w:rsidRDefault="00941227">
            <w:pPr>
              <w:pStyle w:val="GOSTTablenorm"/>
              <w:jc w:val="center"/>
              <w:rPr>
                <w:szCs w:val="22"/>
                <w:lang w:eastAsia="en-US"/>
              </w:rPr>
            </w:pPr>
            <w:r w:rsidRPr="00264D5D">
              <w:rPr>
                <w:szCs w:val="22"/>
                <w:lang w:eastAsia="en-US"/>
              </w:rPr>
              <w:t>П</w:t>
            </w:r>
          </w:p>
        </w:tc>
        <w:tc>
          <w:tcPr>
            <w:tcW w:w="1134" w:type="dxa"/>
          </w:tcPr>
          <w:p w14:paraId="1815E1A3" w14:textId="77777777" w:rsidR="00AD1F54" w:rsidRPr="00264D5D" w:rsidRDefault="00941227">
            <w:pPr>
              <w:pStyle w:val="GOSTTablenorm"/>
              <w:rPr>
                <w:szCs w:val="22"/>
              </w:rPr>
            </w:pPr>
            <w:r w:rsidRPr="00264D5D">
              <w:rPr>
                <w:szCs w:val="22"/>
              </w:rPr>
              <w:t>Date</w:t>
            </w:r>
          </w:p>
        </w:tc>
        <w:tc>
          <w:tcPr>
            <w:tcW w:w="567" w:type="dxa"/>
          </w:tcPr>
          <w:p w14:paraId="1A7DE9D5" w14:textId="77777777" w:rsidR="00AD1F54" w:rsidRPr="00264D5D" w:rsidRDefault="00941227">
            <w:pPr>
              <w:pStyle w:val="GOSTTablenorm"/>
              <w:jc w:val="center"/>
              <w:rPr>
                <w:szCs w:val="22"/>
              </w:rPr>
            </w:pPr>
            <w:r w:rsidRPr="00264D5D">
              <w:rPr>
                <w:szCs w:val="22"/>
              </w:rPr>
              <w:t>O</w:t>
            </w:r>
          </w:p>
        </w:tc>
        <w:tc>
          <w:tcPr>
            <w:tcW w:w="3963" w:type="dxa"/>
          </w:tcPr>
          <w:p w14:paraId="6B804C05" w14:textId="77777777" w:rsidR="00AD1F54" w:rsidRPr="00264D5D" w:rsidRDefault="00941227">
            <w:pPr>
              <w:pStyle w:val="GOSTTablenorm"/>
              <w:rPr>
                <w:szCs w:val="22"/>
                <w:lang w:eastAsia="en-US"/>
              </w:rPr>
            </w:pPr>
            <w:r w:rsidRPr="00264D5D">
              <w:rPr>
                <w:szCs w:val="22"/>
                <w:lang w:eastAsia="en-US"/>
              </w:rPr>
              <w:t>Период отчета Дат</w:t>
            </w:r>
            <w:r w:rsidR="00D76395" w:rsidRPr="00264D5D">
              <w:rPr>
                <w:szCs w:val="22"/>
                <w:lang w:eastAsia="en-US"/>
              </w:rPr>
              <w:t>а с</w:t>
            </w:r>
          </w:p>
        </w:tc>
      </w:tr>
      <w:tr w:rsidR="00AD1F54" w:rsidRPr="00264D5D" w14:paraId="39BBD146" w14:textId="77777777" w:rsidTr="00AD1F54">
        <w:trPr>
          <w:cnfStyle w:val="000000010000" w:firstRow="0" w:lastRow="0" w:firstColumn="0" w:lastColumn="0" w:oddVBand="0" w:evenVBand="0" w:oddHBand="0" w:evenHBand="1" w:firstRowFirstColumn="0" w:firstRowLastColumn="0" w:lastRowFirstColumn="0" w:lastRowLastColumn="0"/>
          <w:trHeight w:val="20"/>
        </w:trPr>
        <w:tc>
          <w:tcPr>
            <w:tcW w:w="1701" w:type="dxa"/>
          </w:tcPr>
          <w:p w14:paraId="4B0298FB" w14:textId="77777777" w:rsidR="00AD1F54" w:rsidRPr="00264D5D" w:rsidRDefault="00941227">
            <w:pPr>
              <w:pStyle w:val="GOSTTablenorm"/>
              <w:rPr>
                <w:szCs w:val="22"/>
                <w:lang w:eastAsia="en-US"/>
              </w:rPr>
            </w:pPr>
            <w:r w:rsidRPr="00264D5D">
              <w:rPr>
                <w:szCs w:val="22"/>
                <w:lang w:eastAsia="en-US"/>
              </w:rPr>
              <w:t>Период отчета Дата по:</w:t>
            </w:r>
          </w:p>
        </w:tc>
        <w:tc>
          <w:tcPr>
            <w:tcW w:w="1701" w:type="dxa"/>
          </w:tcPr>
          <w:p w14:paraId="3DB3ACDA" w14:textId="77777777" w:rsidR="00AD1F54" w:rsidRPr="00264D5D" w:rsidRDefault="00941227">
            <w:pPr>
              <w:pStyle w:val="GOSTTablenorm"/>
              <w:rPr>
                <w:szCs w:val="22"/>
                <w:lang w:val="en-US" w:eastAsia="en-US"/>
              </w:rPr>
            </w:pPr>
            <w:r w:rsidRPr="00264D5D">
              <w:rPr>
                <w:szCs w:val="22"/>
                <w:lang w:val="en-US" w:eastAsia="en-US"/>
              </w:rPr>
              <w:t>ReportEndDate</w:t>
            </w:r>
          </w:p>
        </w:tc>
        <w:tc>
          <w:tcPr>
            <w:tcW w:w="567" w:type="dxa"/>
          </w:tcPr>
          <w:p w14:paraId="30FAEE9A" w14:textId="77777777" w:rsidR="00AD1F54" w:rsidRPr="00264D5D" w:rsidRDefault="00941227">
            <w:pPr>
              <w:pStyle w:val="GOSTTablenorm"/>
              <w:jc w:val="center"/>
              <w:rPr>
                <w:szCs w:val="22"/>
                <w:lang w:eastAsia="en-US"/>
              </w:rPr>
            </w:pPr>
            <w:r w:rsidRPr="00264D5D">
              <w:rPr>
                <w:szCs w:val="22"/>
                <w:lang w:eastAsia="en-US"/>
              </w:rPr>
              <w:t>П</w:t>
            </w:r>
          </w:p>
        </w:tc>
        <w:tc>
          <w:tcPr>
            <w:tcW w:w="1134" w:type="dxa"/>
          </w:tcPr>
          <w:p w14:paraId="25A067C2" w14:textId="77777777" w:rsidR="00AD1F54" w:rsidRPr="00264D5D" w:rsidRDefault="00941227">
            <w:pPr>
              <w:pStyle w:val="GOSTTablenorm"/>
              <w:rPr>
                <w:szCs w:val="22"/>
              </w:rPr>
            </w:pPr>
            <w:r w:rsidRPr="00264D5D">
              <w:rPr>
                <w:szCs w:val="22"/>
              </w:rPr>
              <w:t>Date</w:t>
            </w:r>
          </w:p>
        </w:tc>
        <w:tc>
          <w:tcPr>
            <w:tcW w:w="567" w:type="dxa"/>
          </w:tcPr>
          <w:p w14:paraId="15B940D7" w14:textId="77777777" w:rsidR="00AD1F54" w:rsidRPr="00264D5D" w:rsidRDefault="00941227">
            <w:pPr>
              <w:pStyle w:val="GOSTTablenorm"/>
              <w:jc w:val="center"/>
              <w:rPr>
                <w:szCs w:val="22"/>
              </w:rPr>
            </w:pPr>
            <w:r w:rsidRPr="00264D5D">
              <w:rPr>
                <w:szCs w:val="22"/>
              </w:rPr>
              <w:t>O</w:t>
            </w:r>
          </w:p>
        </w:tc>
        <w:tc>
          <w:tcPr>
            <w:tcW w:w="3963" w:type="dxa"/>
          </w:tcPr>
          <w:p w14:paraId="7EF936E4" w14:textId="77777777" w:rsidR="00AD1F54" w:rsidRPr="00264D5D" w:rsidRDefault="00D76395">
            <w:pPr>
              <w:pStyle w:val="GOSTTablenorm"/>
              <w:rPr>
                <w:szCs w:val="22"/>
                <w:lang w:eastAsia="en-US"/>
              </w:rPr>
            </w:pPr>
            <w:r w:rsidRPr="00264D5D">
              <w:rPr>
                <w:szCs w:val="22"/>
                <w:lang w:eastAsia="en-US"/>
              </w:rPr>
              <w:t>Период отчета Дата по</w:t>
            </w:r>
          </w:p>
        </w:tc>
      </w:tr>
      <w:tr w:rsidR="00AD1F54" w:rsidRPr="00264D5D" w14:paraId="113230C3" w14:textId="77777777" w:rsidTr="00AD1F54">
        <w:trPr>
          <w:cnfStyle w:val="000000100000" w:firstRow="0" w:lastRow="0" w:firstColumn="0" w:lastColumn="0" w:oddVBand="0" w:evenVBand="0" w:oddHBand="1" w:evenHBand="0" w:firstRowFirstColumn="0" w:firstRowLastColumn="0" w:lastRowFirstColumn="0" w:lastRowLastColumn="0"/>
          <w:trHeight w:val="20"/>
        </w:trPr>
        <w:tc>
          <w:tcPr>
            <w:tcW w:w="1701" w:type="dxa"/>
          </w:tcPr>
          <w:p w14:paraId="75583B6D" w14:textId="77777777" w:rsidR="00AD1F54" w:rsidRPr="00264D5D" w:rsidRDefault="00941227">
            <w:pPr>
              <w:pStyle w:val="GOSTTablenorm"/>
              <w:rPr>
                <w:szCs w:val="22"/>
                <w:lang w:eastAsia="en-US"/>
              </w:rPr>
            </w:pPr>
            <w:r w:rsidRPr="00264D5D">
              <w:rPr>
                <w:szCs w:val="22"/>
                <w:lang w:eastAsia="en-US"/>
              </w:rPr>
              <w:t>Финансовый год</w:t>
            </w:r>
          </w:p>
        </w:tc>
        <w:tc>
          <w:tcPr>
            <w:tcW w:w="1701" w:type="dxa"/>
          </w:tcPr>
          <w:p w14:paraId="54ECABFF" w14:textId="77777777" w:rsidR="00AD1F54" w:rsidRPr="00264D5D" w:rsidRDefault="00941227">
            <w:pPr>
              <w:pStyle w:val="GOSTTablenorm"/>
              <w:rPr>
                <w:szCs w:val="22"/>
                <w:lang w:val="en-US" w:eastAsia="en-US"/>
              </w:rPr>
            </w:pPr>
            <w:r w:rsidRPr="00264D5D">
              <w:rPr>
                <w:szCs w:val="22"/>
                <w:lang w:val="en-US" w:eastAsia="en-US"/>
              </w:rPr>
              <w:t>FinancialYear</w:t>
            </w:r>
          </w:p>
        </w:tc>
        <w:tc>
          <w:tcPr>
            <w:tcW w:w="567" w:type="dxa"/>
          </w:tcPr>
          <w:p w14:paraId="168F48F4" w14:textId="77777777" w:rsidR="00AD1F54" w:rsidRPr="00264D5D" w:rsidRDefault="00941227">
            <w:pPr>
              <w:pStyle w:val="GOSTTablenorm"/>
              <w:jc w:val="center"/>
              <w:rPr>
                <w:szCs w:val="22"/>
                <w:lang w:eastAsia="en-US"/>
              </w:rPr>
            </w:pPr>
            <w:r w:rsidRPr="00264D5D">
              <w:rPr>
                <w:szCs w:val="22"/>
                <w:lang w:eastAsia="en-US"/>
              </w:rPr>
              <w:t>П</w:t>
            </w:r>
          </w:p>
        </w:tc>
        <w:tc>
          <w:tcPr>
            <w:tcW w:w="1134" w:type="dxa"/>
          </w:tcPr>
          <w:p w14:paraId="11EE8106" w14:textId="77777777" w:rsidR="00AD1F54" w:rsidRPr="00264D5D" w:rsidRDefault="00941227">
            <w:pPr>
              <w:pStyle w:val="GOSTTablenorm"/>
              <w:rPr>
                <w:szCs w:val="22"/>
              </w:rPr>
            </w:pPr>
            <w:r w:rsidRPr="00264D5D">
              <w:rPr>
                <w:szCs w:val="22"/>
              </w:rPr>
              <w:t>Т(1-4)</w:t>
            </w:r>
          </w:p>
        </w:tc>
        <w:tc>
          <w:tcPr>
            <w:tcW w:w="567" w:type="dxa"/>
          </w:tcPr>
          <w:p w14:paraId="05D8887E" w14:textId="77777777" w:rsidR="00AD1F54" w:rsidRPr="00264D5D" w:rsidRDefault="00941227">
            <w:pPr>
              <w:pStyle w:val="GOSTTablenorm"/>
              <w:jc w:val="center"/>
              <w:rPr>
                <w:szCs w:val="22"/>
              </w:rPr>
            </w:pPr>
            <w:r w:rsidRPr="00264D5D">
              <w:rPr>
                <w:szCs w:val="22"/>
              </w:rPr>
              <w:t>О</w:t>
            </w:r>
          </w:p>
        </w:tc>
        <w:tc>
          <w:tcPr>
            <w:tcW w:w="3963" w:type="dxa"/>
          </w:tcPr>
          <w:p w14:paraId="5EF8FDEC" w14:textId="77777777" w:rsidR="00AD1F54" w:rsidRPr="00264D5D" w:rsidRDefault="00D76395">
            <w:pPr>
              <w:pStyle w:val="GOSTTablenorm"/>
              <w:rPr>
                <w:szCs w:val="22"/>
                <w:lang w:eastAsia="en-US"/>
              </w:rPr>
            </w:pPr>
            <w:r w:rsidRPr="00264D5D">
              <w:rPr>
                <w:szCs w:val="22"/>
                <w:lang w:eastAsia="en-US"/>
              </w:rPr>
              <w:t>Финансовый год</w:t>
            </w:r>
          </w:p>
        </w:tc>
      </w:tr>
      <w:tr w:rsidR="00AD1F54" w:rsidRPr="00264D5D" w14:paraId="64D41DDA" w14:textId="77777777" w:rsidTr="00AD1F54">
        <w:trPr>
          <w:cnfStyle w:val="000000010000" w:firstRow="0" w:lastRow="0" w:firstColumn="0" w:lastColumn="0" w:oddVBand="0" w:evenVBand="0" w:oddHBand="0" w:evenHBand="1" w:firstRowFirstColumn="0" w:firstRowLastColumn="0" w:lastRowFirstColumn="0" w:lastRowLastColumn="0"/>
          <w:trHeight w:val="20"/>
        </w:trPr>
        <w:tc>
          <w:tcPr>
            <w:tcW w:w="1701" w:type="dxa"/>
          </w:tcPr>
          <w:p w14:paraId="4D855D24" w14:textId="77777777" w:rsidR="00AD1F54" w:rsidRPr="00264D5D" w:rsidRDefault="00941227">
            <w:pPr>
              <w:pStyle w:val="GOSTTablenorm"/>
              <w:rPr>
                <w:szCs w:val="22"/>
                <w:lang w:eastAsia="en-US"/>
              </w:rPr>
            </w:pPr>
            <w:r w:rsidRPr="00264D5D">
              <w:rPr>
                <w:szCs w:val="22"/>
                <w:lang w:eastAsia="en-US"/>
              </w:rPr>
              <w:t>Регистрационный номер</w:t>
            </w:r>
          </w:p>
        </w:tc>
        <w:tc>
          <w:tcPr>
            <w:tcW w:w="1701" w:type="dxa"/>
          </w:tcPr>
          <w:p w14:paraId="1052FFAE" w14:textId="77777777" w:rsidR="00AD1F54" w:rsidRPr="00264D5D" w:rsidRDefault="00941227">
            <w:pPr>
              <w:pStyle w:val="GOSTTablenorm"/>
              <w:rPr>
                <w:szCs w:val="22"/>
                <w:lang w:val="en-US" w:eastAsia="en-US"/>
              </w:rPr>
            </w:pPr>
            <w:r w:rsidRPr="00264D5D">
              <w:rPr>
                <w:szCs w:val="22"/>
                <w:lang w:val="en-US" w:eastAsia="en-US"/>
              </w:rPr>
              <w:t>RegNumber</w:t>
            </w:r>
          </w:p>
        </w:tc>
        <w:tc>
          <w:tcPr>
            <w:tcW w:w="567" w:type="dxa"/>
          </w:tcPr>
          <w:p w14:paraId="5B276244" w14:textId="77777777" w:rsidR="00AD1F54" w:rsidRPr="00264D5D" w:rsidRDefault="00941227">
            <w:pPr>
              <w:pStyle w:val="GOSTTablenorm"/>
              <w:jc w:val="center"/>
              <w:rPr>
                <w:szCs w:val="22"/>
                <w:lang w:eastAsia="en-US"/>
              </w:rPr>
            </w:pPr>
            <w:r w:rsidRPr="00264D5D">
              <w:rPr>
                <w:szCs w:val="22"/>
                <w:lang w:eastAsia="en-US"/>
              </w:rPr>
              <w:t>П</w:t>
            </w:r>
          </w:p>
        </w:tc>
        <w:tc>
          <w:tcPr>
            <w:tcW w:w="1134" w:type="dxa"/>
          </w:tcPr>
          <w:p w14:paraId="10F1C36A" w14:textId="77777777" w:rsidR="00AD1F54" w:rsidRPr="00264D5D" w:rsidRDefault="00941227">
            <w:pPr>
              <w:pStyle w:val="GOSTTablenorm"/>
              <w:rPr>
                <w:szCs w:val="22"/>
              </w:rPr>
            </w:pPr>
            <w:r w:rsidRPr="00264D5D">
              <w:rPr>
                <w:szCs w:val="22"/>
              </w:rPr>
              <w:t>Т(1-50)</w:t>
            </w:r>
          </w:p>
        </w:tc>
        <w:tc>
          <w:tcPr>
            <w:tcW w:w="567" w:type="dxa"/>
          </w:tcPr>
          <w:p w14:paraId="25E284E3" w14:textId="77777777" w:rsidR="00AD1F54" w:rsidRPr="00264D5D" w:rsidRDefault="00941227">
            <w:pPr>
              <w:pStyle w:val="GOSTTablenorm"/>
              <w:jc w:val="center"/>
              <w:rPr>
                <w:szCs w:val="22"/>
              </w:rPr>
            </w:pPr>
            <w:r w:rsidRPr="00264D5D">
              <w:rPr>
                <w:szCs w:val="22"/>
              </w:rPr>
              <w:t>О</w:t>
            </w:r>
          </w:p>
        </w:tc>
        <w:tc>
          <w:tcPr>
            <w:tcW w:w="3963" w:type="dxa"/>
          </w:tcPr>
          <w:p w14:paraId="7E10C7F6" w14:textId="77777777" w:rsidR="00AD1F54" w:rsidRPr="00264D5D" w:rsidRDefault="00D76395">
            <w:pPr>
              <w:pStyle w:val="GOSTTablenorm"/>
              <w:rPr>
                <w:szCs w:val="22"/>
                <w:lang w:eastAsia="en-US"/>
              </w:rPr>
            </w:pPr>
            <w:r w:rsidRPr="00264D5D">
              <w:rPr>
                <w:szCs w:val="22"/>
                <w:lang w:eastAsia="en-US"/>
              </w:rPr>
              <w:t>Регистрационный номер</w:t>
            </w:r>
          </w:p>
        </w:tc>
      </w:tr>
      <w:tr w:rsidR="00AD1F54" w:rsidRPr="00264D5D" w14:paraId="551AF761" w14:textId="77777777" w:rsidTr="00AD1F54">
        <w:trPr>
          <w:cnfStyle w:val="000000100000" w:firstRow="0" w:lastRow="0" w:firstColumn="0" w:lastColumn="0" w:oddVBand="0" w:evenVBand="0" w:oddHBand="1" w:evenHBand="0" w:firstRowFirstColumn="0" w:firstRowLastColumn="0" w:lastRowFirstColumn="0" w:lastRowLastColumn="0"/>
          <w:trHeight w:val="20"/>
        </w:trPr>
        <w:tc>
          <w:tcPr>
            <w:tcW w:w="1701" w:type="dxa"/>
          </w:tcPr>
          <w:p w14:paraId="388A2D35" w14:textId="77777777" w:rsidR="00AD1F54" w:rsidRPr="00264D5D" w:rsidRDefault="00941227">
            <w:pPr>
              <w:pStyle w:val="GOSTTablenorm"/>
              <w:rPr>
                <w:szCs w:val="22"/>
              </w:rPr>
            </w:pPr>
            <w:r w:rsidRPr="00264D5D">
              <w:rPr>
                <w:szCs w:val="22"/>
              </w:rPr>
              <w:t>Номер документа</w:t>
            </w:r>
          </w:p>
        </w:tc>
        <w:tc>
          <w:tcPr>
            <w:tcW w:w="1701" w:type="dxa"/>
          </w:tcPr>
          <w:p w14:paraId="27F50B25" w14:textId="77777777" w:rsidR="00AD1F54" w:rsidRPr="00264D5D" w:rsidRDefault="00941227">
            <w:pPr>
              <w:pStyle w:val="GOSTTablenorm"/>
              <w:rPr>
                <w:szCs w:val="22"/>
              </w:rPr>
            </w:pPr>
            <w:r w:rsidRPr="00264D5D">
              <w:rPr>
                <w:szCs w:val="22"/>
              </w:rPr>
              <w:t>DocNumber</w:t>
            </w:r>
          </w:p>
        </w:tc>
        <w:tc>
          <w:tcPr>
            <w:tcW w:w="567" w:type="dxa"/>
          </w:tcPr>
          <w:p w14:paraId="7EB94974" w14:textId="77777777" w:rsidR="00AD1F54" w:rsidRPr="00264D5D" w:rsidRDefault="00941227">
            <w:pPr>
              <w:pStyle w:val="GOSTTablenorm"/>
              <w:jc w:val="center"/>
              <w:rPr>
                <w:szCs w:val="22"/>
              </w:rPr>
            </w:pPr>
            <w:r w:rsidRPr="00264D5D">
              <w:rPr>
                <w:szCs w:val="22"/>
              </w:rPr>
              <w:t>П</w:t>
            </w:r>
          </w:p>
        </w:tc>
        <w:tc>
          <w:tcPr>
            <w:tcW w:w="1134" w:type="dxa"/>
          </w:tcPr>
          <w:p w14:paraId="2543DE21" w14:textId="77777777" w:rsidR="00AD1F54" w:rsidRPr="00264D5D" w:rsidRDefault="00941227">
            <w:pPr>
              <w:pStyle w:val="GOSTTablenorm"/>
              <w:rPr>
                <w:szCs w:val="22"/>
              </w:rPr>
            </w:pPr>
            <w:r w:rsidRPr="00264D5D">
              <w:rPr>
                <w:szCs w:val="22"/>
              </w:rPr>
              <w:t>T(1-240)</w:t>
            </w:r>
          </w:p>
        </w:tc>
        <w:tc>
          <w:tcPr>
            <w:tcW w:w="567" w:type="dxa"/>
          </w:tcPr>
          <w:p w14:paraId="37AD5C8C" w14:textId="77777777" w:rsidR="00AD1F54" w:rsidRPr="00264D5D" w:rsidRDefault="00941227">
            <w:pPr>
              <w:pStyle w:val="GOSTTablenorm"/>
              <w:jc w:val="center"/>
              <w:rPr>
                <w:szCs w:val="22"/>
              </w:rPr>
            </w:pPr>
            <w:r w:rsidRPr="00264D5D">
              <w:rPr>
                <w:szCs w:val="22"/>
              </w:rPr>
              <w:t>O</w:t>
            </w:r>
          </w:p>
        </w:tc>
        <w:tc>
          <w:tcPr>
            <w:tcW w:w="3963" w:type="dxa"/>
          </w:tcPr>
          <w:p w14:paraId="10C4486B" w14:textId="77777777" w:rsidR="00AD1F54" w:rsidRPr="00264D5D" w:rsidRDefault="00D76395">
            <w:pPr>
              <w:pStyle w:val="GOSTTablenorm"/>
              <w:rPr>
                <w:szCs w:val="22"/>
              </w:rPr>
            </w:pPr>
            <w:r w:rsidRPr="00264D5D">
              <w:rPr>
                <w:szCs w:val="22"/>
              </w:rPr>
              <w:t>Номер документа</w:t>
            </w:r>
          </w:p>
        </w:tc>
      </w:tr>
      <w:tr w:rsidR="00AD1F54" w:rsidRPr="00264D5D" w14:paraId="08A9F22E" w14:textId="77777777" w:rsidTr="00AD1F54">
        <w:trPr>
          <w:cnfStyle w:val="000000010000" w:firstRow="0" w:lastRow="0" w:firstColumn="0" w:lastColumn="0" w:oddVBand="0" w:evenVBand="0" w:oddHBand="0" w:evenHBand="1" w:firstRowFirstColumn="0" w:firstRowLastColumn="0" w:lastRowFirstColumn="0" w:lastRowLastColumn="0"/>
          <w:trHeight w:val="20"/>
        </w:trPr>
        <w:tc>
          <w:tcPr>
            <w:tcW w:w="1701" w:type="dxa"/>
          </w:tcPr>
          <w:p w14:paraId="06911B29" w14:textId="77777777" w:rsidR="00AD1F54" w:rsidRPr="00264D5D" w:rsidRDefault="00941227">
            <w:pPr>
              <w:pStyle w:val="GOSTTablenorm"/>
              <w:rPr>
                <w:szCs w:val="22"/>
              </w:rPr>
            </w:pPr>
            <w:r w:rsidRPr="00264D5D">
              <w:rPr>
                <w:szCs w:val="22"/>
              </w:rPr>
              <w:t>Дата документа</w:t>
            </w:r>
          </w:p>
        </w:tc>
        <w:tc>
          <w:tcPr>
            <w:tcW w:w="1701" w:type="dxa"/>
          </w:tcPr>
          <w:p w14:paraId="07CB9BFC" w14:textId="77777777" w:rsidR="00AD1F54" w:rsidRPr="00264D5D" w:rsidRDefault="00941227">
            <w:pPr>
              <w:pStyle w:val="GOSTTablenorm"/>
              <w:rPr>
                <w:szCs w:val="22"/>
              </w:rPr>
            </w:pPr>
            <w:r w:rsidRPr="00264D5D">
              <w:rPr>
                <w:szCs w:val="22"/>
              </w:rPr>
              <w:t>DocDate</w:t>
            </w:r>
          </w:p>
        </w:tc>
        <w:tc>
          <w:tcPr>
            <w:tcW w:w="567" w:type="dxa"/>
          </w:tcPr>
          <w:p w14:paraId="292BCCD8" w14:textId="77777777" w:rsidR="00AD1F54" w:rsidRPr="00264D5D" w:rsidRDefault="00941227">
            <w:pPr>
              <w:pStyle w:val="GOSTTablenorm"/>
              <w:jc w:val="center"/>
              <w:rPr>
                <w:szCs w:val="22"/>
              </w:rPr>
            </w:pPr>
            <w:r w:rsidRPr="00264D5D">
              <w:rPr>
                <w:szCs w:val="22"/>
              </w:rPr>
              <w:t>П</w:t>
            </w:r>
          </w:p>
        </w:tc>
        <w:tc>
          <w:tcPr>
            <w:tcW w:w="1134" w:type="dxa"/>
          </w:tcPr>
          <w:p w14:paraId="105E3A16" w14:textId="77777777" w:rsidR="00AD1F54" w:rsidRPr="00264D5D" w:rsidRDefault="00941227">
            <w:pPr>
              <w:pStyle w:val="GOSTTablenorm"/>
              <w:rPr>
                <w:szCs w:val="22"/>
              </w:rPr>
            </w:pPr>
            <w:r w:rsidRPr="00264D5D">
              <w:rPr>
                <w:szCs w:val="22"/>
              </w:rPr>
              <w:t>Date</w:t>
            </w:r>
          </w:p>
        </w:tc>
        <w:tc>
          <w:tcPr>
            <w:tcW w:w="567" w:type="dxa"/>
          </w:tcPr>
          <w:p w14:paraId="09E719A4" w14:textId="77777777" w:rsidR="00AD1F54" w:rsidRPr="00264D5D" w:rsidRDefault="00941227">
            <w:pPr>
              <w:pStyle w:val="GOSTTablenorm"/>
              <w:jc w:val="center"/>
              <w:rPr>
                <w:szCs w:val="22"/>
              </w:rPr>
            </w:pPr>
            <w:r w:rsidRPr="00264D5D">
              <w:rPr>
                <w:szCs w:val="22"/>
              </w:rPr>
              <w:t>O</w:t>
            </w:r>
          </w:p>
        </w:tc>
        <w:tc>
          <w:tcPr>
            <w:tcW w:w="3963" w:type="dxa"/>
          </w:tcPr>
          <w:p w14:paraId="01CF4C2C" w14:textId="77777777" w:rsidR="00AD1F54" w:rsidRPr="00264D5D" w:rsidRDefault="00D76395">
            <w:pPr>
              <w:pStyle w:val="GOSTTablenorm"/>
              <w:rPr>
                <w:szCs w:val="22"/>
              </w:rPr>
            </w:pPr>
            <w:r w:rsidRPr="00264D5D">
              <w:rPr>
                <w:szCs w:val="22"/>
              </w:rPr>
              <w:t>Дата документа</w:t>
            </w:r>
          </w:p>
        </w:tc>
      </w:tr>
      <w:tr w:rsidR="00AD1F54" w:rsidRPr="00264D5D" w14:paraId="1AC9269D" w14:textId="77777777" w:rsidTr="00AD1F54">
        <w:trPr>
          <w:cnfStyle w:val="000000100000" w:firstRow="0" w:lastRow="0" w:firstColumn="0" w:lastColumn="0" w:oddVBand="0" w:evenVBand="0" w:oddHBand="1" w:evenHBand="0" w:firstRowFirstColumn="0" w:firstRowLastColumn="0" w:lastRowFirstColumn="0" w:lastRowLastColumn="0"/>
          <w:trHeight w:val="20"/>
        </w:trPr>
        <w:tc>
          <w:tcPr>
            <w:tcW w:w="1701" w:type="dxa"/>
          </w:tcPr>
          <w:p w14:paraId="7ABC790B" w14:textId="77777777" w:rsidR="00AD1F54" w:rsidRPr="00264D5D" w:rsidRDefault="00941227">
            <w:pPr>
              <w:pStyle w:val="GOSTTablenorm"/>
              <w:rPr>
                <w:szCs w:val="22"/>
              </w:rPr>
            </w:pPr>
            <w:r w:rsidRPr="00264D5D">
              <w:rPr>
                <w:szCs w:val="22"/>
              </w:rPr>
              <w:lastRenderedPageBreak/>
              <w:t xml:space="preserve">Дата регистрации документа </w:t>
            </w:r>
          </w:p>
        </w:tc>
        <w:tc>
          <w:tcPr>
            <w:tcW w:w="1701" w:type="dxa"/>
          </w:tcPr>
          <w:p w14:paraId="2B7CA3E2" w14:textId="77777777" w:rsidR="00AD1F54" w:rsidRPr="00264D5D" w:rsidRDefault="00941227">
            <w:pPr>
              <w:pStyle w:val="GOSTTablenorm"/>
              <w:rPr>
                <w:szCs w:val="22"/>
              </w:rPr>
            </w:pPr>
            <w:r w:rsidRPr="00264D5D">
              <w:rPr>
                <w:szCs w:val="22"/>
              </w:rPr>
              <w:t>RegDate</w:t>
            </w:r>
          </w:p>
        </w:tc>
        <w:tc>
          <w:tcPr>
            <w:tcW w:w="567" w:type="dxa"/>
          </w:tcPr>
          <w:p w14:paraId="67A7DA42" w14:textId="77777777" w:rsidR="00AD1F54" w:rsidRPr="00264D5D" w:rsidRDefault="00941227">
            <w:pPr>
              <w:pStyle w:val="GOSTTablenorm"/>
              <w:jc w:val="center"/>
              <w:rPr>
                <w:szCs w:val="22"/>
              </w:rPr>
            </w:pPr>
            <w:r w:rsidRPr="00264D5D">
              <w:rPr>
                <w:szCs w:val="22"/>
              </w:rPr>
              <w:t>П</w:t>
            </w:r>
          </w:p>
        </w:tc>
        <w:tc>
          <w:tcPr>
            <w:tcW w:w="1134" w:type="dxa"/>
          </w:tcPr>
          <w:p w14:paraId="2D6D08EB" w14:textId="77777777" w:rsidR="00AD1F54" w:rsidRPr="00264D5D" w:rsidRDefault="00941227">
            <w:pPr>
              <w:pStyle w:val="GOSTTablenorm"/>
              <w:rPr>
                <w:szCs w:val="22"/>
              </w:rPr>
            </w:pPr>
            <w:r w:rsidRPr="00264D5D">
              <w:rPr>
                <w:szCs w:val="22"/>
              </w:rPr>
              <w:t>Date</w:t>
            </w:r>
          </w:p>
        </w:tc>
        <w:tc>
          <w:tcPr>
            <w:tcW w:w="567" w:type="dxa"/>
          </w:tcPr>
          <w:p w14:paraId="4AFBEB46" w14:textId="77777777" w:rsidR="00AD1F54" w:rsidRPr="00264D5D" w:rsidRDefault="00941227">
            <w:pPr>
              <w:pStyle w:val="GOSTTablenorm"/>
              <w:jc w:val="center"/>
              <w:rPr>
                <w:szCs w:val="22"/>
              </w:rPr>
            </w:pPr>
            <w:r w:rsidRPr="00264D5D">
              <w:rPr>
                <w:szCs w:val="22"/>
              </w:rPr>
              <w:t>O</w:t>
            </w:r>
          </w:p>
        </w:tc>
        <w:tc>
          <w:tcPr>
            <w:tcW w:w="3963" w:type="dxa"/>
          </w:tcPr>
          <w:p w14:paraId="3D7DB658" w14:textId="77777777" w:rsidR="00AD1F54" w:rsidRPr="00264D5D" w:rsidRDefault="00D76395">
            <w:pPr>
              <w:pStyle w:val="GOSTTablenorm"/>
              <w:rPr>
                <w:szCs w:val="22"/>
              </w:rPr>
            </w:pPr>
            <w:r w:rsidRPr="00264D5D">
              <w:rPr>
                <w:szCs w:val="22"/>
              </w:rPr>
              <w:t>Дата регистрации документа</w:t>
            </w:r>
          </w:p>
        </w:tc>
      </w:tr>
      <w:tr w:rsidR="00AD1F54" w:rsidRPr="00264D5D" w14:paraId="7D3E83B0" w14:textId="77777777" w:rsidTr="00AD1F54">
        <w:trPr>
          <w:cnfStyle w:val="000000010000" w:firstRow="0" w:lastRow="0" w:firstColumn="0" w:lastColumn="0" w:oddVBand="0" w:evenVBand="0" w:oddHBand="0" w:evenHBand="1" w:firstRowFirstColumn="0" w:firstRowLastColumn="0" w:lastRowFirstColumn="0" w:lastRowLastColumn="0"/>
          <w:trHeight w:val="20"/>
        </w:trPr>
        <w:tc>
          <w:tcPr>
            <w:tcW w:w="1701" w:type="dxa"/>
          </w:tcPr>
          <w:p w14:paraId="31DB03F1" w14:textId="77777777" w:rsidR="00AD1F54" w:rsidRPr="00264D5D" w:rsidRDefault="00941227">
            <w:pPr>
              <w:pStyle w:val="GOSTTablenorm"/>
              <w:rPr>
                <w:szCs w:val="22"/>
              </w:rPr>
            </w:pPr>
            <w:r w:rsidRPr="00264D5D">
              <w:rPr>
                <w:szCs w:val="22"/>
              </w:rPr>
              <w:t xml:space="preserve">Дата регистрации документа </w:t>
            </w:r>
          </w:p>
        </w:tc>
        <w:tc>
          <w:tcPr>
            <w:tcW w:w="1701" w:type="dxa"/>
          </w:tcPr>
          <w:p w14:paraId="3A330327" w14:textId="77777777" w:rsidR="00AD1F54" w:rsidRPr="00264D5D" w:rsidRDefault="00941227">
            <w:pPr>
              <w:pStyle w:val="GOSTTablenorm"/>
              <w:rPr>
                <w:szCs w:val="22"/>
              </w:rPr>
            </w:pPr>
            <w:r w:rsidRPr="00264D5D">
              <w:rPr>
                <w:szCs w:val="22"/>
              </w:rPr>
              <w:t>RegDate2</w:t>
            </w:r>
          </w:p>
        </w:tc>
        <w:tc>
          <w:tcPr>
            <w:tcW w:w="567" w:type="dxa"/>
          </w:tcPr>
          <w:p w14:paraId="520CB766" w14:textId="77777777" w:rsidR="00AD1F54" w:rsidRPr="00264D5D" w:rsidRDefault="00941227">
            <w:pPr>
              <w:pStyle w:val="GOSTTablenorm"/>
              <w:jc w:val="center"/>
              <w:rPr>
                <w:szCs w:val="22"/>
              </w:rPr>
            </w:pPr>
            <w:r w:rsidRPr="00264D5D">
              <w:rPr>
                <w:szCs w:val="22"/>
              </w:rPr>
              <w:t>П</w:t>
            </w:r>
          </w:p>
        </w:tc>
        <w:tc>
          <w:tcPr>
            <w:tcW w:w="1134" w:type="dxa"/>
          </w:tcPr>
          <w:p w14:paraId="4CE4A1CA" w14:textId="77777777" w:rsidR="00AD1F54" w:rsidRPr="00264D5D" w:rsidRDefault="00941227">
            <w:pPr>
              <w:pStyle w:val="GOSTTablenorm"/>
              <w:rPr>
                <w:szCs w:val="22"/>
              </w:rPr>
            </w:pPr>
            <w:r w:rsidRPr="00264D5D">
              <w:rPr>
                <w:szCs w:val="22"/>
              </w:rPr>
              <w:t>Date</w:t>
            </w:r>
          </w:p>
        </w:tc>
        <w:tc>
          <w:tcPr>
            <w:tcW w:w="567" w:type="dxa"/>
          </w:tcPr>
          <w:p w14:paraId="7A1FA523" w14:textId="77777777" w:rsidR="00AD1F54" w:rsidRPr="00264D5D" w:rsidRDefault="00941227">
            <w:pPr>
              <w:pStyle w:val="GOSTTablenorm"/>
              <w:jc w:val="center"/>
              <w:rPr>
                <w:szCs w:val="22"/>
              </w:rPr>
            </w:pPr>
            <w:r w:rsidRPr="00264D5D">
              <w:rPr>
                <w:szCs w:val="22"/>
              </w:rPr>
              <w:t>O</w:t>
            </w:r>
          </w:p>
        </w:tc>
        <w:tc>
          <w:tcPr>
            <w:tcW w:w="3963" w:type="dxa"/>
          </w:tcPr>
          <w:p w14:paraId="2B0F18FE" w14:textId="77777777" w:rsidR="00AD1F54" w:rsidRPr="00264D5D" w:rsidRDefault="00D76395">
            <w:pPr>
              <w:pStyle w:val="GOSTTablenorm"/>
              <w:rPr>
                <w:szCs w:val="22"/>
              </w:rPr>
            </w:pPr>
            <w:r w:rsidRPr="00264D5D">
              <w:rPr>
                <w:szCs w:val="22"/>
              </w:rPr>
              <w:t>Дата регистрации документа</w:t>
            </w:r>
          </w:p>
        </w:tc>
      </w:tr>
      <w:tr w:rsidR="00AD1F54" w:rsidRPr="00264D5D" w14:paraId="0B0497E6" w14:textId="77777777" w:rsidTr="00AD1F54">
        <w:trPr>
          <w:cnfStyle w:val="000000100000" w:firstRow="0" w:lastRow="0" w:firstColumn="0" w:lastColumn="0" w:oddVBand="0" w:evenVBand="0" w:oddHBand="1" w:evenHBand="0" w:firstRowFirstColumn="0" w:firstRowLastColumn="0" w:lastRowFirstColumn="0" w:lastRowLastColumn="0"/>
          <w:trHeight w:val="20"/>
        </w:trPr>
        <w:tc>
          <w:tcPr>
            <w:tcW w:w="1701" w:type="dxa"/>
          </w:tcPr>
          <w:p w14:paraId="624EF8B6" w14:textId="77777777" w:rsidR="00AD1F54" w:rsidRPr="00264D5D" w:rsidRDefault="00941227">
            <w:pPr>
              <w:pStyle w:val="GOSTTablenorm"/>
              <w:rPr>
                <w:szCs w:val="22"/>
                <w:lang w:val="en-US"/>
              </w:rPr>
            </w:pPr>
            <w:r w:rsidRPr="00264D5D">
              <w:rPr>
                <w:szCs w:val="22"/>
                <w:lang w:val="en-US"/>
              </w:rPr>
              <w:t>Тип источника</w:t>
            </w:r>
          </w:p>
        </w:tc>
        <w:tc>
          <w:tcPr>
            <w:tcW w:w="1701" w:type="dxa"/>
          </w:tcPr>
          <w:p w14:paraId="0AA84F0A" w14:textId="77777777" w:rsidR="00AD1F54" w:rsidRPr="00264D5D" w:rsidRDefault="00941227">
            <w:pPr>
              <w:pStyle w:val="GOSTTablenorm"/>
              <w:rPr>
                <w:szCs w:val="22"/>
              </w:rPr>
            </w:pPr>
            <w:r w:rsidRPr="00264D5D">
              <w:rPr>
                <w:szCs w:val="22"/>
              </w:rPr>
              <w:t>TypeOfSource</w:t>
            </w:r>
          </w:p>
        </w:tc>
        <w:tc>
          <w:tcPr>
            <w:tcW w:w="567" w:type="dxa"/>
          </w:tcPr>
          <w:p w14:paraId="75ECDBD7" w14:textId="77777777" w:rsidR="00AD1F54" w:rsidRPr="00264D5D" w:rsidRDefault="00941227">
            <w:pPr>
              <w:pStyle w:val="GOSTTablenorm"/>
              <w:jc w:val="center"/>
              <w:rPr>
                <w:szCs w:val="22"/>
              </w:rPr>
            </w:pPr>
            <w:r w:rsidRPr="00264D5D">
              <w:rPr>
                <w:szCs w:val="22"/>
              </w:rPr>
              <w:t>П</w:t>
            </w:r>
          </w:p>
        </w:tc>
        <w:tc>
          <w:tcPr>
            <w:tcW w:w="1134" w:type="dxa"/>
          </w:tcPr>
          <w:p w14:paraId="1ABAC390" w14:textId="77777777" w:rsidR="00AD1F54" w:rsidRPr="00264D5D" w:rsidRDefault="00941227">
            <w:pPr>
              <w:pStyle w:val="GOSTTablenorm"/>
              <w:rPr>
                <w:szCs w:val="22"/>
              </w:rPr>
            </w:pPr>
            <w:r w:rsidRPr="00264D5D">
              <w:rPr>
                <w:szCs w:val="22"/>
              </w:rPr>
              <w:t>Т(1-240)</w:t>
            </w:r>
          </w:p>
        </w:tc>
        <w:tc>
          <w:tcPr>
            <w:tcW w:w="567" w:type="dxa"/>
          </w:tcPr>
          <w:p w14:paraId="09ED39EA" w14:textId="77777777" w:rsidR="00AD1F54" w:rsidRPr="00264D5D" w:rsidRDefault="00941227">
            <w:pPr>
              <w:pStyle w:val="GOSTTablenorm"/>
              <w:jc w:val="center"/>
              <w:rPr>
                <w:szCs w:val="22"/>
              </w:rPr>
            </w:pPr>
            <w:r w:rsidRPr="00264D5D">
              <w:rPr>
                <w:szCs w:val="22"/>
              </w:rPr>
              <w:t>О</w:t>
            </w:r>
          </w:p>
        </w:tc>
        <w:tc>
          <w:tcPr>
            <w:tcW w:w="3963" w:type="dxa"/>
          </w:tcPr>
          <w:p w14:paraId="6CD38E3C" w14:textId="77777777" w:rsidR="00AD1F54" w:rsidRPr="00264D5D" w:rsidRDefault="00D76395">
            <w:pPr>
              <w:pStyle w:val="GOSTTablenorm"/>
              <w:rPr>
                <w:szCs w:val="22"/>
              </w:rPr>
            </w:pPr>
            <w:r w:rsidRPr="00264D5D">
              <w:rPr>
                <w:szCs w:val="22"/>
              </w:rPr>
              <w:t>Тип источника</w:t>
            </w:r>
          </w:p>
        </w:tc>
      </w:tr>
      <w:tr w:rsidR="00AD1F54" w:rsidRPr="00264D5D" w14:paraId="6540318F" w14:textId="77777777" w:rsidTr="00AD1F54">
        <w:trPr>
          <w:cnfStyle w:val="000000010000" w:firstRow="0" w:lastRow="0" w:firstColumn="0" w:lastColumn="0" w:oddVBand="0" w:evenVBand="0" w:oddHBand="0" w:evenHBand="1" w:firstRowFirstColumn="0" w:firstRowLastColumn="0" w:lastRowFirstColumn="0" w:lastRowLastColumn="0"/>
          <w:trHeight w:val="20"/>
        </w:trPr>
        <w:tc>
          <w:tcPr>
            <w:tcW w:w="1701" w:type="dxa"/>
          </w:tcPr>
          <w:p w14:paraId="4A440F06" w14:textId="77777777" w:rsidR="00AD1F54" w:rsidRPr="00264D5D" w:rsidRDefault="00941227">
            <w:pPr>
              <w:pStyle w:val="GOSTTablenorm"/>
              <w:rPr>
                <w:szCs w:val="22"/>
              </w:rPr>
            </w:pPr>
            <w:r w:rsidRPr="00264D5D">
              <w:rPr>
                <w:szCs w:val="22"/>
              </w:rPr>
              <w:t>Тип получателя</w:t>
            </w:r>
          </w:p>
        </w:tc>
        <w:tc>
          <w:tcPr>
            <w:tcW w:w="1701" w:type="dxa"/>
          </w:tcPr>
          <w:p w14:paraId="3001230F" w14:textId="77777777" w:rsidR="00AD1F54" w:rsidRPr="00264D5D" w:rsidRDefault="00941227">
            <w:pPr>
              <w:pStyle w:val="GOSTTablenorm"/>
              <w:rPr>
                <w:szCs w:val="22"/>
              </w:rPr>
            </w:pPr>
            <w:r w:rsidRPr="00264D5D">
              <w:rPr>
                <w:szCs w:val="22"/>
              </w:rPr>
              <w:t>TypeOfRecipient</w:t>
            </w:r>
          </w:p>
        </w:tc>
        <w:tc>
          <w:tcPr>
            <w:tcW w:w="567" w:type="dxa"/>
          </w:tcPr>
          <w:p w14:paraId="36AAD409" w14:textId="77777777" w:rsidR="00AD1F54" w:rsidRPr="00264D5D" w:rsidRDefault="00941227">
            <w:pPr>
              <w:pStyle w:val="GOSTTablenorm"/>
              <w:jc w:val="center"/>
              <w:rPr>
                <w:szCs w:val="22"/>
              </w:rPr>
            </w:pPr>
            <w:r w:rsidRPr="00264D5D">
              <w:rPr>
                <w:szCs w:val="22"/>
              </w:rPr>
              <w:t>П</w:t>
            </w:r>
          </w:p>
        </w:tc>
        <w:tc>
          <w:tcPr>
            <w:tcW w:w="1134" w:type="dxa"/>
          </w:tcPr>
          <w:p w14:paraId="52953216" w14:textId="77777777" w:rsidR="00AD1F54" w:rsidRPr="00264D5D" w:rsidRDefault="00941227">
            <w:pPr>
              <w:pStyle w:val="GOSTTablenorm"/>
              <w:rPr>
                <w:szCs w:val="22"/>
              </w:rPr>
            </w:pPr>
            <w:r w:rsidRPr="00264D5D">
              <w:rPr>
                <w:szCs w:val="22"/>
              </w:rPr>
              <w:t>Т(1-240)</w:t>
            </w:r>
          </w:p>
        </w:tc>
        <w:tc>
          <w:tcPr>
            <w:tcW w:w="567" w:type="dxa"/>
          </w:tcPr>
          <w:p w14:paraId="40AF6782" w14:textId="77777777" w:rsidR="00AD1F54" w:rsidRPr="00264D5D" w:rsidRDefault="00941227">
            <w:pPr>
              <w:pStyle w:val="GOSTTablenorm"/>
              <w:jc w:val="center"/>
              <w:rPr>
                <w:szCs w:val="22"/>
              </w:rPr>
            </w:pPr>
            <w:r w:rsidRPr="00264D5D">
              <w:rPr>
                <w:szCs w:val="22"/>
              </w:rPr>
              <w:t>О</w:t>
            </w:r>
          </w:p>
        </w:tc>
        <w:tc>
          <w:tcPr>
            <w:tcW w:w="3963" w:type="dxa"/>
          </w:tcPr>
          <w:p w14:paraId="2422C730" w14:textId="77777777" w:rsidR="00AD1F54" w:rsidRPr="00264D5D" w:rsidRDefault="00D76395">
            <w:pPr>
              <w:pStyle w:val="GOSTTablenorm"/>
              <w:rPr>
                <w:szCs w:val="22"/>
              </w:rPr>
            </w:pPr>
            <w:r w:rsidRPr="00264D5D">
              <w:rPr>
                <w:szCs w:val="22"/>
              </w:rPr>
              <w:t>Тип получателя</w:t>
            </w:r>
          </w:p>
        </w:tc>
      </w:tr>
      <w:tr w:rsidR="00AD1F54" w:rsidRPr="00264D5D" w14:paraId="59562DFC" w14:textId="77777777" w:rsidTr="00AD1F54">
        <w:trPr>
          <w:cnfStyle w:val="000000100000" w:firstRow="0" w:lastRow="0" w:firstColumn="0" w:lastColumn="0" w:oddVBand="0" w:evenVBand="0" w:oddHBand="1" w:evenHBand="0" w:firstRowFirstColumn="0" w:firstRowLastColumn="0" w:lastRowFirstColumn="0" w:lastRowLastColumn="0"/>
          <w:trHeight w:val="20"/>
        </w:trPr>
        <w:tc>
          <w:tcPr>
            <w:tcW w:w="1701" w:type="dxa"/>
          </w:tcPr>
          <w:p w14:paraId="6ABA32D5" w14:textId="77777777" w:rsidR="00AD1F54" w:rsidRPr="00264D5D" w:rsidRDefault="00941227">
            <w:pPr>
              <w:pStyle w:val="GOSTTablenorm"/>
              <w:rPr>
                <w:szCs w:val="22"/>
              </w:rPr>
            </w:pPr>
            <w:r w:rsidRPr="00264D5D">
              <w:rPr>
                <w:szCs w:val="22"/>
              </w:rPr>
              <w:t>Код источника</w:t>
            </w:r>
          </w:p>
        </w:tc>
        <w:tc>
          <w:tcPr>
            <w:tcW w:w="1701" w:type="dxa"/>
          </w:tcPr>
          <w:p w14:paraId="043D0733" w14:textId="77777777" w:rsidR="00AD1F54" w:rsidRPr="00264D5D" w:rsidRDefault="00941227">
            <w:pPr>
              <w:pStyle w:val="GOSTTablenorm"/>
              <w:rPr>
                <w:szCs w:val="22"/>
              </w:rPr>
            </w:pPr>
            <w:r w:rsidRPr="00264D5D">
              <w:rPr>
                <w:szCs w:val="22"/>
              </w:rPr>
              <w:t>SourceCode</w:t>
            </w:r>
          </w:p>
        </w:tc>
        <w:tc>
          <w:tcPr>
            <w:tcW w:w="567" w:type="dxa"/>
          </w:tcPr>
          <w:p w14:paraId="3449DFA2" w14:textId="77777777" w:rsidR="00AD1F54" w:rsidRPr="00264D5D" w:rsidRDefault="00941227">
            <w:pPr>
              <w:pStyle w:val="GOSTTablenorm"/>
              <w:jc w:val="center"/>
              <w:rPr>
                <w:szCs w:val="22"/>
              </w:rPr>
            </w:pPr>
            <w:r w:rsidRPr="00264D5D">
              <w:rPr>
                <w:szCs w:val="22"/>
              </w:rPr>
              <w:t>П</w:t>
            </w:r>
          </w:p>
        </w:tc>
        <w:tc>
          <w:tcPr>
            <w:tcW w:w="1134" w:type="dxa"/>
          </w:tcPr>
          <w:p w14:paraId="111514DC" w14:textId="77777777" w:rsidR="00AD1F54" w:rsidRPr="00264D5D" w:rsidRDefault="00941227">
            <w:pPr>
              <w:pStyle w:val="GOSTTablenorm"/>
              <w:rPr>
                <w:szCs w:val="22"/>
              </w:rPr>
            </w:pPr>
            <w:r w:rsidRPr="00264D5D">
              <w:rPr>
                <w:szCs w:val="22"/>
              </w:rPr>
              <w:t>Т(1-240)</w:t>
            </w:r>
          </w:p>
        </w:tc>
        <w:tc>
          <w:tcPr>
            <w:tcW w:w="567" w:type="dxa"/>
          </w:tcPr>
          <w:p w14:paraId="70CDE894" w14:textId="77777777" w:rsidR="00AD1F54" w:rsidRPr="00264D5D" w:rsidRDefault="00941227">
            <w:pPr>
              <w:pStyle w:val="GOSTTablenorm"/>
              <w:jc w:val="center"/>
              <w:rPr>
                <w:szCs w:val="22"/>
              </w:rPr>
            </w:pPr>
            <w:r w:rsidRPr="00264D5D">
              <w:rPr>
                <w:szCs w:val="22"/>
              </w:rPr>
              <w:t>О</w:t>
            </w:r>
          </w:p>
        </w:tc>
        <w:tc>
          <w:tcPr>
            <w:tcW w:w="3963" w:type="dxa"/>
          </w:tcPr>
          <w:p w14:paraId="2660597F" w14:textId="77777777" w:rsidR="00AD1F54" w:rsidRPr="00264D5D" w:rsidRDefault="00D76395">
            <w:pPr>
              <w:pStyle w:val="GOSTTablenorm"/>
              <w:rPr>
                <w:szCs w:val="22"/>
              </w:rPr>
            </w:pPr>
            <w:r w:rsidRPr="00264D5D">
              <w:rPr>
                <w:szCs w:val="22"/>
              </w:rPr>
              <w:t>Код источника</w:t>
            </w:r>
          </w:p>
        </w:tc>
      </w:tr>
      <w:tr w:rsidR="00AD1F54" w:rsidRPr="00264D5D" w14:paraId="0EEA10E8" w14:textId="77777777" w:rsidTr="00AD1F54">
        <w:trPr>
          <w:cnfStyle w:val="000000010000" w:firstRow="0" w:lastRow="0" w:firstColumn="0" w:lastColumn="0" w:oddVBand="0" w:evenVBand="0" w:oddHBand="0" w:evenHBand="1" w:firstRowFirstColumn="0" w:firstRowLastColumn="0" w:lastRowFirstColumn="0" w:lastRowLastColumn="0"/>
          <w:trHeight w:val="20"/>
        </w:trPr>
        <w:tc>
          <w:tcPr>
            <w:tcW w:w="1701" w:type="dxa"/>
          </w:tcPr>
          <w:p w14:paraId="5A2EF603" w14:textId="77777777" w:rsidR="00AD1F54" w:rsidRPr="00264D5D" w:rsidRDefault="00941227">
            <w:pPr>
              <w:pStyle w:val="GOSTTablenorm"/>
              <w:rPr>
                <w:szCs w:val="22"/>
              </w:rPr>
            </w:pPr>
            <w:r w:rsidRPr="00264D5D">
              <w:rPr>
                <w:szCs w:val="22"/>
              </w:rPr>
              <w:t>Наименование источника</w:t>
            </w:r>
          </w:p>
        </w:tc>
        <w:tc>
          <w:tcPr>
            <w:tcW w:w="1701" w:type="dxa"/>
          </w:tcPr>
          <w:p w14:paraId="56A0A648" w14:textId="77777777" w:rsidR="00AD1F54" w:rsidRPr="00264D5D" w:rsidRDefault="00941227">
            <w:pPr>
              <w:pStyle w:val="GOSTTablenorm"/>
              <w:rPr>
                <w:szCs w:val="22"/>
              </w:rPr>
            </w:pPr>
            <w:r w:rsidRPr="00264D5D">
              <w:rPr>
                <w:szCs w:val="22"/>
              </w:rPr>
              <w:t>SourceName</w:t>
            </w:r>
          </w:p>
        </w:tc>
        <w:tc>
          <w:tcPr>
            <w:tcW w:w="567" w:type="dxa"/>
          </w:tcPr>
          <w:p w14:paraId="6C180626" w14:textId="77777777" w:rsidR="00AD1F54" w:rsidRPr="00264D5D" w:rsidRDefault="00941227">
            <w:pPr>
              <w:spacing w:before="60" w:after="60"/>
              <w:jc w:val="center"/>
              <w:rPr>
                <w:sz w:val="22"/>
                <w:szCs w:val="22"/>
              </w:rPr>
            </w:pPr>
            <w:r w:rsidRPr="00264D5D">
              <w:rPr>
                <w:sz w:val="22"/>
                <w:szCs w:val="22"/>
              </w:rPr>
              <w:t>П</w:t>
            </w:r>
          </w:p>
        </w:tc>
        <w:tc>
          <w:tcPr>
            <w:tcW w:w="1134" w:type="dxa"/>
          </w:tcPr>
          <w:p w14:paraId="70B0D284" w14:textId="77777777" w:rsidR="00AD1F54" w:rsidRPr="00264D5D" w:rsidRDefault="00941227">
            <w:pPr>
              <w:pStyle w:val="GOSTTablenorm"/>
              <w:rPr>
                <w:szCs w:val="22"/>
              </w:rPr>
            </w:pPr>
            <w:r w:rsidRPr="00264D5D">
              <w:rPr>
                <w:szCs w:val="22"/>
              </w:rPr>
              <w:t>Т(1-1000)</w:t>
            </w:r>
          </w:p>
        </w:tc>
        <w:tc>
          <w:tcPr>
            <w:tcW w:w="567" w:type="dxa"/>
          </w:tcPr>
          <w:p w14:paraId="4A8915C0" w14:textId="77777777" w:rsidR="00AD1F54" w:rsidRPr="00264D5D" w:rsidRDefault="00941227">
            <w:pPr>
              <w:pStyle w:val="GOSTTablenorm"/>
              <w:jc w:val="center"/>
              <w:rPr>
                <w:szCs w:val="22"/>
              </w:rPr>
            </w:pPr>
            <w:r w:rsidRPr="00264D5D">
              <w:rPr>
                <w:szCs w:val="22"/>
              </w:rPr>
              <w:t>О</w:t>
            </w:r>
          </w:p>
        </w:tc>
        <w:tc>
          <w:tcPr>
            <w:tcW w:w="3963" w:type="dxa"/>
          </w:tcPr>
          <w:p w14:paraId="08145413" w14:textId="77777777" w:rsidR="00AD1F54" w:rsidRPr="00264D5D" w:rsidRDefault="00D76395">
            <w:pPr>
              <w:pStyle w:val="GOSTTablenorm"/>
              <w:rPr>
                <w:szCs w:val="22"/>
              </w:rPr>
            </w:pPr>
            <w:r w:rsidRPr="00264D5D">
              <w:rPr>
                <w:szCs w:val="22"/>
              </w:rPr>
              <w:t>Наименование источника</w:t>
            </w:r>
          </w:p>
        </w:tc>
      </w:tr>
      <w:tr w:rsidR="00AD1F54" w:rsidRPr="00264D5D" w14:paraId="18713EC5" w14:textId="77777777" w:rsidTr="00AD1F54">
        <w:trPr>
          <w:cnfStyle w:val="000000100000" w:firstRow="0" w:lastRow="0" w:firstColumn="0" w:lastColumn="0" w:oddVBand="0" w:evenVBand="0" w:oddHBand="1" w:evenHBand="0" w:firstRowFirstColumn="0" w:firstRowLastColumn="0" w:lastRowFirstColumn="0" w:lastRowLastColumn="0"/>
          <w:trHeight w:val="20"/>
        </w:trPr>
        <w:tc>
          <w:tcPr>
            <w:tcW w:w="1701" w:type="dxa"/>
          </w:tcPr>
          <w:p w14:paraId="44974A01" w14:textId="77777777" w:rsidR="00AD1F54" w:rsidRPr="00264D5D" w:rsidRDefault="00941227">
            <w:pPr>
              <w:pStyle w:val="GOSTTablenorm"/>
              <w:rPr>
                <w:szCs w:val="22"/>
              </w:rPr>
            </w:pPr>
            <w:r w:rsidRPr="00264D5D">
              <w:rPr>
                <w:szCs w:val="22"/>
              </w:rPr>
              <w:t>Код по ОКПО</w:t>
            </w:r>
          </w:p>
        </w:tc>
        <w:tc>
          <w:tcPr>
            <w:tcW w:w="1701" w:type="dxa"/>
          </w:tcPr>
          <w:p w14:paraId="7AFEEB44" w14:textId="77777777" w:rsidR="00AD1F54" w:rsidRPr="00264D5D" w:rsidRDefault="00941227">
            <w:pPr>
              <w:pStyle w:val="GOSTTablenorm"/>
              <w:rPr>
                <w:szCs w:val="22"/>
              </w:rPr>
            </w:pPr>
            <w:r w:rsidRPr="00264D5D">
              <w:rPr>
                <w:szCs w:val="22"/>
              </w:rPr>
              <w:t>OkpoCode</w:t>
            </w:r>
          </w:p>
        </w:tc>
        <w:tc>
          <w:tcPr>
            <w:tcW w:w="567" w:type="dxa"/>
          </w:tcPr>
          <w:p w14:paraId="209486EB" w14:textId="77777777" w:rsidR="00AD1F54" w:rsidRPr="00264D5D" w:rsidRDefault="00941227">
            <w:pPr>
              <w:pStyle w:val="GOSTTablenorm"/>
              <w:jc w:val="center"/>
              <w:rPr>
                <w:szCs w:val="22"/>
              </w:rPr>
            </w:pPr>
            <w:r w:rsidRPr="00264D5D">
              <w:rPr>
                <w:szCs w:val="22"/>
              </w:rPr>
              <w:t>П</w:t>
            </w:r>
          </w:p>
        </w:tc>
        <w:tc>
          <w:tcPr>
            <w:tcW w:w="1134" w:type="dxa"/>
          </w:tcPr>
          <w:p w14:paraId="7D08988B" w14:textId="77777777" w:rsidR="00AD1F54" w:rsidRPr="00264D5D" w:rsidRDefault="00941227">
            <w:pPr>
              <w:pStyle w:val="GOSTTablenorm"/>
              <w:rPr>
                <w:szCs w:val="22"/>
              </w:rPr>
            </w:pPr>
            <w:r w:rsidRPr="00264D5D">
              <w:rPr>
                <w:szCs w:val="22"/>
              </w:rPr>
              <w:t>Т(1-240)</w:t>
            </w:r>
          </w:p>
        </w:tc>
        <w:tc>
          <w:tcPr>
            <w:tcW w:w="567" w:type="dxa"/>
          </w:tcPr>
          <w:p w14:paraId="4DD10F05" w14:textId="77777777" w:rsidR="00AD1F54" w:rsidRPr="00264D5D" w:rsidRDefault="00941227">
            <w:pPr>
              <w:pStyle w:val="GOSTTablenorm"/>
              <w:jc w:val="center"/>
              <w:rPr>
                <w:szCs w:val="22"/>
              </w:rPr>
            </w:pPr>
            <w:r w:rsidRPr="00264D5D">
              <w:rPr>
                <w:szCs w:val="22"/>
              </w:rPr>
              <w:t>О</w:t>
            </w:r>
          </w:p>
        </w:tc>
        <w:tc>
          <w:tcPr>
            <w:tcW w:w="3963" w:type="dxa"/>
          </w:tcPr>
          <w:p w14:paraId="683A1CD6" w14:textId="77777777" w:rsidR="00AD1F54" w:rsidRPr="00264D5D" w:rsidRDefault="00D76395">
            <w:pPr>
              <w:pStyle w:val="GOSTTablenorm"/>
              <w:rPr>
                <w:szCs w:val="22"/>
              </w:rPr>
            </w:pPr>
            <w:r w:rsidRPr="00264D5D">
              <w:rPr>
                <w:szCs w:val="22"/>
              </w:rPr>
              <w:t>Код по ОКПО</w:t>
            </w:r>
          </w:p>
        </w:tc>
      </w:tr>
      <w:tr w:rsidR="00AD1F54" w:rsidRPr="00264D5D" w14:paraId="42045E69" w14:textId="77777777" w:rsidTr="00AD1F54">
        <w:trPr>
          <w:cnfStyle w:val="000000010000" w:firstRow="0" w:lastRow="0" w:firstColumn="0" w:lastColumn="0" w:oddVBand="0" w:evenVBand="0" w:oddHBand="0" w:evenHBand="1" w:firstRowFirstColumn="0" w:firstRowLastColumn="0" w:lastRowFirstColumn="0" w:lastRowLastColumn="0"/>
          <w:trHeight w:val="20"/>
        </w:trPr>
        <w:tc>
          <w:tcPr>
            <w:tcW w:w="1701" w:type="dxa"/>
          </w:tcPr>
          <w:p w14:paraId="4B81DD2A" w14:textId="77777777" w:rsidR="00AD1F54" w:rsidRPr="00264D5D" w:rsidRDefault="00941227">
            <w:pPr>
              <w:pStyle w:val="GOSTTablenorm"/>
              <w:rPr>
                <w:szCs w:val="22"/>
              </w:rPr>
            </w:pPr>
            <w:r w:rsidRPr="00264D5D">
              <w:rPr>
                <w:szCs w:val="22"/>
              </w:rPr>
              <w:t>Бизнес код формы</w:t>
            </w:r>
          </w:p>
        </w:tc>
        <w:tc>
          <w:tcPr>
            <w:tcW w:w="1701" w:type="dxa"/>
          </w:tcPr>
          <w:p w14:paraId="500E66AE" w14:textId="77777777" w:rsidR="00AD1F54" w:rsidRPr="00264D5D" w:rsidRDefault="00941227">
            <w:pPr>
              <w:pStyle w:val="GOSTTablenorm"/>
              <w:rPr>
                <w:szCs w:val="22"/>
              </w:rPr>
            </w:pPr>
            <w:r w:rsidRPr="00264D5D">
              <w:rPr>
                <w:szCs w:val="22"/>
              </w:rPr>
              <w:t>FormCode</w:t>
            </w:r>
          </w:p>
        </w:tc>
        <w:tc>
          <w:tcPr>
            <w:tcW w:w="567" w:type="dxa"/>
          </w:tcPr>
          <w:p w14:paraId="5385F38E" w14:textId="77777777" w:rsidR="00AD1F54" w:rsidRPr="00264D5D" w:rsidRDefault="00941227">
            <w:pPr>
              <w:pStyle w:val="GOSTTablenorm"/>
              <w:jc w:val="center"/>
              <w:rPr>
                <w:szCs w:val="22"/>
              </w:rPr>
            </w:pPr>
            <w:r w:rsidRPr="00264D5D">
              <w:rPr>
                <w:szCs w:val="22"/>
              </w:rPr>
              <w:t>П</w:t>
            </w:r>
          </w:p>
        </w:tc>
        <w:tc>
          <w:tcPr>
            <w:tcW w:w="1134" w:type="dxa"/>
          </w:tcPr>
          <w:p w14:paraId="54DD8053" w14:textId="77777777" w:rsidR="00AD1F54" w:rsidRPr="00264D5D" w:rsidRDefault="00941227">
            <w:pPr>
              <w:pStyle w:val="GOSTTablenorm"/>
              <w:rPr>
                <w:szCs w:val="22"/>
              </w:rPr>
            </w:pPr>
            <w:r w:rsidRPr="00264D5D">
              <w:rPr>
                <w:szCs w:val="22"/>
              </w:rPr>
              <w:t>Т(1-100)</w:t>
            </w:r>
          </w:p>
        </w:tc>
        <w:tc>
          <w:tcPr>
            <w:tcW w:w="567" w:type="dxa"/>
          </w:tcPr>
          <w:p w14:paraId="5090E604" w14:textId="77777777" w:rsidR="00AD1F54" w:rsidRPr="00264D5D" w:rsidRDefault="00941227">
            <w:pPr>
              <w:pStyle w:val="GOSTTablenorm"/>
              <w:jc w:val="center"/>
              <w:rPr>
                <w:szCs w:val="22"/>
              </w:rPr>
            </w:pPr>
            <w:r w:rsidRPr="00264D5D">
              <w:rPr>
                <w:szCs w:val="22"/>
              </w:rPr>
              <w:t>О</w:t>
            </w:r>
          </w:p>
        </w:tc>
        <w:tc>
          <w:tcPr>
            <w:tcW w:w="3963" w:type="dxa"/>
          </w:tcPr>
          <w:p w14:paraId="61D4F693" w14:textId="77777777" w:rsidR="00AD1F54" w:rsidRPr="00264D5D" w:rsidRDefault="00D76395">
            <w:pPr>
              <w:pStyle w:val="GOSTTablenorm"/>
              <w:rPr>
                <w:szCs w:val="22"/>
              </w:rPr>
            </w:pPr>
            <w:r w:rsidRPr="00264D5D">
              <w:rPr>
                <w:szCs w:val="22"/>
              </w:rPr>
              <w:t>Бизнес код формы</w:t>
            </w:r>
          </w:p>
        </w:tc>
      </w:tr>
      <w:tr w:rsidR="00AD1F54" w:rsidRPr="00264D5D" w14:paraId="1A467F95" w14:textId="77777777" w:rsidTr="00AD1F54">
        <w:trPr>
          <w:cnfStyle w:val="000000100000" w:firstRow="0" w:lastRow="0" w:firstColumn="0" w:lastColumn="0" w:oddVBand="0" w:evenVBand="0" w:oddHBand="1" w:evenHBand="0" w:firstRowFirstColumn="0" w:firstRowLastColumn="0" w:lastRowFirstColumn="0" w:lastRowLastColumn="0"/>
          <w:trHeight w:val="20"/>
        </w:trPr>
        <w:tc>
          <w:tcPr>
            <w:tcW w:w="1701" w:type="dxa"/>
          </w:tcPr>
          <w:p w14:paraId="3CA6C965" w14:textId="77777777" w:rsidR="00AD1F54" w:rsidRPr="00264D5D" w:rsidRDefault="00941227">
            <w:pPr>
              <w:pStyle w:val="GOSTTablenorm"/>
              <w:rPr>
                <w:szCs w:val="22"/>
              </w:rPr>
            </w:pPr>
            <w:r w:rsidRPr="00264D5D">
              <w:rPr>
                <w:szCs w:val="22"/>
              </w:rPr>
              <w:t>Код ОКТМО</w:t>
            </w:r>
          </w:p>
        </w:tc>
        <w:tc>
          <w:tcPr>
            <w:tcW w:w="1701" w:type="dxa"/>
          </w:tcPr>
          <w:p w14:paraId="65890D11" w14:textId="77777777" w:rsidR="00AD1F54" w:rsidRPr="00264D5D" w:rsidRDefault="00941227">
            <w:pPr>
              <w:pStyle w:val="GOSTTablenorm"/>
              <w:rPr>
                <w:szCs w:val="22"/>
              </w:rPr>
            </w:pPr>
            <w:r w:rsidRPr="00264D5D">
              <w:rPr>
                <w:szCs w:val="22"/>
              </w:rPr>
              <w:t>OkatoCode</w:t>
            </w:r>
          </w:p>
        </w:tc>
        <w:tc>
          <w:tcPr>
            <w:tcW w:w="567" w:type="dxa"/>
          </w:tcPr>
          <w:p w14:paraId="55C73C29" w14:textId="77777777" w:rsidR="00AD1F54" w:rsidRPr="00264D5D" w:rsidRDefault="00941227">
            <w:pPr>
              <w:pStyle w:val="GOSTTablenorm"/>
              <w:jc w:val="center"/>
              <w:rPr>
                <w:szCs w:val="22"/>
              </w:rPr>
            </w:pPr>
            <w:r w:rsidRPr="00264D5D">
              <w:rPr>
                <w:szCs w:val="22"/>
              </w:rPr>
              <w:t>П</w:t>
            </w:r>
          </w:p>
        </w:tc>
        <w:tc>
          <w:tcPr>
            <w:tcW w:w="1134" w:type="dxa"/>
          </w:tcPr>
          <w:p w14:paraId="575BDBD1" w14:textId="77777777" w:rsidR="00AD1F54" w:rsidRPr="00264D5D" w:rsidRDefault="00941227">
            <w:pPr>
              <w:pStyle w:val="GOSTTablenorm"/>
              <w:rPr>
                <w:szCs w:val="22"/>
              </w:rPr>
            </w:pPr>
            <w:r w:rsidRPr="00264D5D">
              <w:rPr>
                <w:szCs w:val="22"/>
              </w:rPr>
              <w:t>Т(1-240)</w:t>
            </w:r>
          </w:p>
        </w:tc>
        <w:tc>
          <w:tcPr>
            <w:tcW w:w="567" w:type="dxa"/>
          </w:tcPr>
          <w:p w14:paraId="7A0CC27B" w14:textId="77777777" w:rsidR="00AD1F54" w:rsidRPr="00264D5D" w:rsidRDefault="00941227">
            <w:pPr>
              <w:pStyle w:val="GOSTTablenorm"/>
              <w:jc w:val="center"/>
              <w:rPr>
                <w:szCs w:val="22"/>
              </w:rPr>
            </w:pPr>
            <w:r w:rsidRPr="00264D5D">
              <w:rPr>
                <w:szCs w:val="22"/>
              </w:rPr>
              <w:t>О</w:t>
            </w:r>
          </w:p>
        </w:tc>
        <w:tc>
          <w:tcPr>
            <w:tcW w:w="3963" w:type="dxa"/>
          </w:tcPr>
          <w:p w14:paraId="568DD58E" w14:textId="77777777" w:rsidR="00AD1F54" w:rsidRPr="00264D5D" w:rsidRDefault="00D76395">
            <w:pPr>
              <w:pStyle w:val="GOSTTablenorm"/>
              <w:rPr>
                <w:szCs w:val="22"/>
              </w:rPr>
            </w:pPr>
            <w:r w:rsidRPr="00264D5D">
              <w:rPr>
                <w:szCs w:val="22"/>
              </w:rPr>
              <w:t>Код ОКТМО</w:t>
            </w:r>
          </w:p>
        </w:tc>
      </w:tr>
      <w:tr w:rsidR="00AD1F54" w:rsidRPr="00264D5D" w14:paraId="4B24D845" w14:textId="77777777" w:rsidTr="00AD1F54">
        <w:trPr>
          <w:cnfStyle w:val="000000010000" w:firstRow="0" w:lastRow="0" w:firstColumn="0" w:lastColumn="0" w:oddVBand="0" w:evenVBand="0" w:oddHBand="0" w:evenHBand="1" w:firstRowFirstColumn="0" w:firstRowLastColumn="0" w:lastRowFirstColumn="0" w:lastRowLastColumn="0"/>
          <w:trHeight w:val="20"/>
        </w:trPr>
        <w:tc>
          <w:tcPr>
            <w:tcW w:w="1701" w:type="dxa"/>
          </w:tcPr>
          <w:p w14:paraId="1D992630" w14:textId="77777777" w:rsidR="00AD1F54" w:rsidRPr="00264D5D" w:rsidRDefault="00941227">
            <w:pPr>
              <w:pStyle w:val="GOSTTablenorm"/>
              <w:rPr>
                <w:szCs w:val="22"/>
              </w:rPr>
            </w:pPr>
            <w:r w:rsidRPr="00264D5D">
              <w:rPr>
                <w:szCs w:val="22"/>
              </w:rPr>
              <w:t>Наименование ОКТМО</w:t>
            </w:r>
          </w:p>
        </w:tc>
        <w:tc>
          <w:tcPr>
            <w:tcW w:w="1701" w:type="dxa"/>
          </w:tcPr>
          <w:p w14:paraId="175AB59D" w14:textId="77777777" w:rsidR="00AD1F54" w:rsidRPr="00264D5D" w:rsidRDefault="00941227">
            <w:pPr>
              <w:pStyle w:val="GOSTTablenorm"/>
              <w:rPr>
                <w:szCs w:val="22"/>
              </w:rPr>
            </w:pPr>
            <w:r w:rsidRPr="00264D5D">
              <w:rPr>
                <w:szCs w:val="22"/>
              </w:rPr>
              <w:t>OkatoName</w:t>
            </w:r>
          </w:p>
        </w:tc>
        <w:tc>
          <w:tcPr>
            <w:tcW w:w="567" w:type="dxa"/>
          </w:tcPr>
          <w:p w14:paraId="0DF60807" w14:textId="77777777" w:rsidR="00AD1F54" w:rsidRPr="00264D5D" w:rsidRDefault="00941227">
            <w:pPr>
              <w:pStyle w:val="GOSTTablenorm"/>
              <w:jc w:val="center"/>
              <w:rPr>
                <w:szCs w:val="22"/>
              </w:rPr>
            </w:pPr>
            <w:r w:rsidRPr="00264D5D">
              <w:rPr>
                <w:szCs w:val="22"/>
              </w:rPr>
              <w:t>П</w:t>
            </w:r>
          </w:p>
        </w:tc>
        <w:tc>
          <w:tcPr>
            <w:tcW w:w="1134" w:type="dxa"/>
          </w:tcPr>
          <w:p w14:paraId="329EACAA" w14:textId="77777777" w:rsidR="00AD1F54" w:rsidRPr="00264D5D" w:rsidRDefault="00941227">
            <w:pPr>
              <w:pStyle w:val="GOSTTablenorm"/>
              <w:rPr>
                <w:szCs w:val="22"/>
              </w:rPr>
            </w:pPr>
            <w:r w:rsidRPr="00264D5D">
              <w:rPr>
                <w:szCs w:val="22"/>
              </w:rPr>
              <w:t>Т(1-240)</w:t>
            </w:r>
          </w:p>
        </w:tc>
        <w:tc>
          <w:tcPr>
            <w:tcW w:w="567" w:type="dxa"/>
          </w:tcPr>
          <w:p w14:paraId="0C52D179" w14:textId="77777777" w:rsidR="00AD1F54" w:rsidRPr="00264D5D" w:rsidRDefault="00941227">
            <w:pPr>
              <w:pStyle w:val="GOSTTablenorm"/>
              <w:jc w:val="center"/>
              <w:rPr>
                <w:szCs w:val="22"/>
              </w:rPr>
            </w:pPr>
            <w:r w:rsidRPr="00264D5D">
              <w:rPr>
                <w:szCs w:val="22"/>
              </w:rPr>
              <w:t>О</w:t>
            </w:r>
          </w:p>
        </w:tc>
        <w:tc>
          <w:tcPr>
            <w:tcW w:w="3963" w:type="dxa"/>
          </w:tcPr>
          <w:p w14:paraId="603ACF05" w14:textId="77777777" w:rsidR="00AD1F54" w:rsidRPr="00264D5D" w:rsidRDefault="00D76395">
            <w:pPr>
              <w:pStyle w:val="GOSTTablenorm"/>
              <w:rPr>
                <w:szCs w:val="22"/>
              </w:rPr>
            </w:pPr>
            <w:r w:rsidRPr="00264D5D">
              <w:rPr>
                <w:szCs w:val="22"/>
              </w:rPr>
              <w:t>Наименование ОКТМО</w:t>
            </w:r>
          </w:p>
        </w:tc>
      </w:tr>
      <w:tr w:rsidR="00AD1F54" w:rsidRPr="00264D5D" w14:paraId="0D9D6224" w14:textId="77777777" w:rsidTr="00AD1F54">
        <w:trPr>
          <w:cnfStyle w:val="000000100000" w:firstRow="0" w:lastRow="0" w:firstColumn="0" w:lastColumn="0" w:oddVBand="0" w:evenVBand="0" w:oddHBand="1" w:evenHBand="0" w:firstRowFirstColumn="0" w:firstRowLastColumn="0" w:lastRowFirstColumn="0" w:lastRowLastColumn="0"/>
          <w:trHeight w:val="20"/>
        </w:trPr>
        <w:tc>
          <w:tcPr>
            <w:tcW w:w="1701" w:type="dxa"/>
          </w:tcPr>
          <w:p w14:paraId="5F89A6A8" w14:textId="77777777" w:rsidR="00AD1F54" w:rsidRPr="00264D5D" w:rsidRDefault="00941227">
            <w:pPr>
              <w:pStyle w:val="GOSTTablenorm"/>
              <w:rPr>
                <w:szCs w:val="22"/>
              </w:rPr>
            </w:pPr>
            <w:r w:rsidRPr="00264D5D">
              <w:rPr>
                <w:szCs w:val="22"/>
              </w:rPr>
              <w:t>Код получателя</w:t>
            </w:r>
          </w:p>
        </w:tc>
        <w:tc>
          <w:tcPr>
            <w:tcW w:w="1701" w:type="dxa"/>
          </w:tcPr>
          <w:p w14:paraId="3ECB61D5" w14:textId="77777777" w:rsidR="00AD1F54" w:rsidRPr="00264D5D" w:rsidRDefault="00941227">
            <w:pPr>
              <w:pStyle w:val="GOSTTablenorm"/>
              <w:rPr>
                <w:szCs w:val="22"/>
              </w:rPr>
            </w:pPr>
            <w:r w:rsidRPr="00264D5D">
              <w:rPr>
                <w:szCs w:val="22"/>
              </w:rPr>
              <w:t>RecipientCode</w:t>
            </w:r>
          </w:p>
        </w:tc>
        <w:tc>
          <w:tcPr>
            <w:tcW w:w="567" w:type="dxa"/>
          </w:tcPr>
          <w:p w14:paraId="1B750A50" w14:textId="77777777" w:rsidR="00AD1F54" w:rsidRPr="00264D5D" w:rsidRDefault="00941227">
            <w:pPr>
              <w:pStyle w:val="GOSTTablenorm"/>
              <w:jc w:val="center"/>
              <w:rPr>
                <w:szCs w:val="22"/>
              </w:rPr>
            </w:pPr>
            <w:r w:rsidRPr="00264D5D">
              <w:rPr>
                <w:szCs w:val="22"/>
              </w:rPr>
              <w:t>П</w:t>
            </w:r>
          </w:p>
        </w:tc>
        <w:tc>
          <w:tcPr>
            <w:tcW w:w="1134" w:type="dxa"/>
          </w:tcPr>
          <w:p w14:paraId="7419620C" w14:textId="77777777" w:rsidR="00AD1F54" w:rsidRPr="00264D5D" w:rsidRDefault="00941227">
            <w:pPr>
              <w:pStyle w:val="GOSTTablenorm"/>
              <w:rPr>
                <w:szCs w:val="22"/>
              </w:rPr>
            </w:pPr>
            <w:r w:rsidRPr="00264D5D">
              <w:rPr>
                <w:szCs w:val="22"/>
              </w:rPr>
              <w:t>Т(1-240)</w:t>
            </w:r>
          </w:p>
        </w:tc>
        <w:tc>
          <w:tcPr>
            <w:tcW w:w="567" w:type="dxa"/>
          </w:tcPr>
          <w:p w14:paraId="0CD34F0A" w14:textId="77777777" w:rsidR="00AD1F54" w:rsidRPr="00264D5D" w:rsidRDefault="00941227">
            <w:pPr>
              <w:pStyle w:val="GOSTTablenorm"/>
              <w:jc w:val="center"/>
              <w:rPr>
                <w:szCs w:val="22"/>
              </w:rPr>
            </w:pPr>
            <w:r w:rsidRPr="00264D5D">
              <w:rPr>
                <w:szCs w:val="22"/>
              </w:rPr>
              <w:t>О</w:t>
            </w:r>
          </w:p>
        </w:tc>
        <w:tc>
          <w:tcPr>
            <w:tcW w:w="3963" w:type="dxa"/>
          </w:tcPr>
          <w:p w14:paraId="218BDCAB" w14:textId="77777777" w:rsidR="00AD1F54" w:rsidRPr="00264D5D" w:rsidRDefault="00D76395">
            <w:pPr>
              <w:pStyle w:val="GOSTTablenorm"/>
              <w:rPr>
                <w:szCs w:val="22"/>
              </w:rPr>
            </w:pPr>
            <w:r w:rsidRPr="00264D5D">
              <w:rPr>
                <w:szCs w:val="22"/>
              </w:rPr>
              <w:t>Код получателя</w:t>
            </w:r>
          </w:p>
        </w:tc>
      </w:tr>
      <w:tr w:rsidR="00AD1F54" w:rsidRPr="00264D5D" w14:paraId="77310181" w14:textId="77777777" w:rsidTr="00AD1F54">
        <w:trPr>
          <w:cnfStyle w:val="000000010000" w:firstRow="0" w:lastRow="0" w:firstColumn="0" w:lastColumn="0" w:oddVBand="0" w:evenVBand="0" w:oddHBand="0" w:evenHBand="1" w:firstRowFirstColumn="0" w:firstRowLastColumn="0" w:lastRowFirstColumn="0" w:lastRowLastColumn="0"/>
          <w:trHeight w:val="20"/>
        </w:trPr>
        <w:tc>
          <w:tcPr>
            <w:tcW w:w="1701" w:type="dxa"/>
          </w:tcPr>
          <w:p w14:paraId="69CAC6A2" w14:textId="77777777" w:rsidR="00AD1F54" w:rsidRPr="00264D5D" w:rsidRDefault="00941227">
            <w:pPr>
              <w:pStyle w:val="GOSTTablenorm"/>
              <w:rPr>
                <w:szCs w:val="22"/>
              </w:rPr>
            </w:pPr>
            <w:r w:rsidRPr="00264D5D">
              <w:rPr>
                <w:szCs w:val="22"/>
              </w:rPr>
              <w:t>ГУИД получателя</w:t>
            </w:r>
          </w:p>
        </w:tc>
        <w:tc>
          <w:tcPr>
            <w:tcW w:w="1701" w:type="dxa"/>
          </w:tcPr>
          <w:p w14:paraId="2333209A" w14:textId="77777777" w:rsidR="00AD1F54" w:rsidRPr="00264D5D" w:rsidRDefault="00941227">
            <w:pPr>
              <w:pStyle w:val="GOSTTablenorm"/>
              <w:rPr>
                <w:szCs w:val="22"/>
              </w:rPr>
            </w:pPr>
            <w:r w:rsidRPr="00264D5D">
              <w:rPr>
                <w:szCs w:val="22"/>
              </w:rPr>
              <w:t>RecipientGUID</w:t>
            </w:r>
          </w:p>
        </w:tc>
        <w:tc>
          <w:tcPr>
            <w:tcW w:w="567" w:type="dxa"/>
          </w:tcPr>
          <w:p w14:paraId="7B766F0F" w14:textId="77777777" w:rsidR="00AD1F54" w:rsidRPr="00264D5D" w:rsidRDefault="00941227">
            <w:pPr>
              <w:pStyle w:val="GOSTTablenorm"/>
              <w:jc w:val="center"/>
              <w:rPr>
                <w:szCs w:val="22"/>
              </w:rPr>
            </w:pPr>
            <w:r w:rsidRPr="00264D5D">
              <w:rPr>
                <w:szCs w:val="22"/>
              </w:rPr>
              <w:t>П</w:t>
            </w:r>
          </w:p>
        </w:tc>
        <w:tc>
          <w:tcPr>
            <w:tcW w:w="1134" w:type="dxa"/>
          </w:tcPr>
          <w:p w14:paraId="098F9EB8" w14:textId="77777777" w:rsidR="00AD1F54" w:rsidRPr="00264D5D" w:rsidRDefault="00941227">
            <w:pPr>
              <w:pStyle w:val="GOSTTablenorm"/>
              <w:rPr>
                <w:szCs w:val="22"/>
              </w:rPr>
            </w:pPr>
            <w:r w:rsidRPr="00264D5D">
              <w:rPr>
                <w:szCs w:val="22"/>
              </w:rPr>
              <w:t>Т(36)</w:t>
            </w:r>
          </w:p>
        </w:tc>
        <w:tc>
          <w:tcPr>
            <w:tcW w:w="567" w:type="dxa"/>
          </w:tcPr>
          <w:p w14:paraId="65C8AD84" w14:textId="77777777" w:rsidR="00AD1F54" w:rsidRPr="00264D5D" w:rsidRDefault="00941227">
            <w:pPr>
              <w:pStyle w:val="GOSTTablenorm"/>
              <w:jc w:val="center"/>
              <w:rPr>
                <w:szCs w:val="22"/>
              </w:rPr>
            </w:pPr>
            <w:r w:rsidRPr="00264D5D">
              <w:rPr>
                <w:szCs w:val="22"/>
              </w:rPr>
              <w:t>О</w:t>
            </w:r>
          </w:p>
        </w:tc>
        <w:tc>
          <w:tcPr>
            <w:tcW w:w="3963" w:type="dxa"/>
          </w:tcPr>
          <w:p w14:paraId="5EB59564" w14:textId="77777777" w:rsidR="00AD1F54" w:rsidRPr="00264D5D" w:rsidRDefault="00941227">
            <w:pPr>
              <w:pStyle w:val="GOSTTablenorm"/>
              <w:rPr>
                <w:szCs w:val="22"/>
              </w:rPr>
            </w:pPr>
            <w:r w:rsidRPr="00264D5D">
              <w:rPr>
                <w:szCs w:val="22"/>
              </w:rPr>
              <w:t>ГУИД получа</w:t>
            </w:r>
            <w:r w:rsidR="00D76395" w:rsidRPr="00264D5D">
              <w:rPr>
                <w:szCs w:val="22"/>
              </w:rPr>
              <w:t>теля</w:t>
            </w:r>
          </w:p>
        </w:tc>
      </w:tr>
      <w:tr w:rsidR="00AD1F54" w:rsidRPr="00264D5D" w14:paraId="1A745A37" w14:textId="77777777" w:rsidTr="00AD1F54">
        <w:trPr>
          <w:cnfStyle w:val="000000100000" w:firstRow="0" w:lastRow="0" w:firstColumn="0" w:lastColumn="0" w:oddVBand="0" w:evenVBand="0" w:oddHBand="1" w:evenHBand="0" w:firstRowFirstColumn="0" w:firstRowLastColumn="0" w:lastRowFirstColumn="0" w:lastRowLastColumn="0"/>
          <w:trHeight w:val="20"/>
        </w:trPr>
        <w:tc>
          <w:tcPr>
            <w:tcW w:w="1701" w:type="dxa"/>
          </w:tcPr>
          <w:p w14:paraId="2E13AC73" w14:textId="77777777" w:rsidR="00AD1F54" w:rsidRPr="00264D5D" w:rsidRDefault="00941227">
            <w:pPr>
              <w:pStyle w:val="GOSTTablenorm"/>
              <w:rPr>
                <w:szCs w:val="22"/>
              </w:rPr>
            </w:pPr>
            <w:r w:rsidRPr="00264D5D">
              <w:rPr>
                <w:szCs w:val="22"/>
              </w:rPr>
              <w:t>Наименование получателя</w:t>
            </w:r>
          </w:p>
        </w:tc>
        <w:tc>
          <w:tcPr>
            <w:tcW w:w="1701" w:type="dxa"/>
          </w:tcPr>
          <w:p w14:paraId="43CB718C" w14:textId="77777777" w:rsidR="00AD1F54" w:rsidRPr="00264D5D" w:rsidRDefault="00941227">
            <w:pPr>
              <w:pStyle w:val="GOSTTablenorm"/>
              <w:rPr>
                <w:szCs w:val="22"/>
              </w:rPr>
            </w:pPr>
            <w:r w:rsidRPr="00264D5D">
              <w:rPr>
                <w:szCs w:val="22"/>
              </w:rPr>
              <w:t>RecipientName</w:t>
            </w:r>
          </w:p>
        </w:tc>
        <w:tc>
          <w:tcPr>
            <w:tcW w:w="567" w:type="dxa"/>
          </w:tcPr>
          <w:p w14:paraId="6ECFE36B" w14:textId="77777777" w:rsidR="00AD1F54" w:rsidRPr="00264D5D" w:rsidRDefault="00941227">
            <w:pPr>
              <w:pStyle w:val="GOSTTablenorm"/>
              <w:jc w:val="center"/>
              <w:rPr>
                <w:szCs w:val="22"/>
              </w:rPr>
            </w:pPr>
            <w:r w:rsidRPr="00264D5D">
              <w:rPr>
                <w:szCs w:val="22"/>
              </w:rPr>
              <w:t>П</w:t>
            </w:r>
          </w:p>
        </w:tc>
        <w:tc>
          <w:tcPr>
            <w:tcW w:w="1134" w:type="dxa"/>
          </w:tcPr>
          <w:p w14:paraId="38547EBA" w14:textId="77777777" w:rsidR="00AD1F54" w:rsidRPr="00264D5D" w:rsidRDefault="00941227">
            <w:pPr>
              <w:pStyle w:val="GOSTTablenorm"/>
              <w:rPr>
                <w:szCs w:val="22"/>
              </w:rPr>
            </w:pPr>
            <w:r w:rsidRPr="00264D5D">
              <w:rPr>
                <w:szCs w:val="22"/>
              </w:rPr>
              <w:t>Т(1-240)</w:t>
            </w:r>
          </w:p>
        </w:tc>
        <w:tc>
          <w:tcPr>
            <w:tcW w:w="567" w:type="dxa"/>
          </w:tcPr>
          <w:p w14:paraId="1C8E6CFB" w14:textId="77777777" w:rsidR="00AD1F54" w:rsidRPr="00264D5D" w:rsidRDefault="00941227">
            <w:pPr>
              <w:pStyle w:val="GOSTTablenorm"/>
              <w:jc w:val="center"/>
              <w:rPr>
                <w:szCs w:val="22"/>
              </w:rPr>
            </w:pPr>
            <w:r w:rsidRPr="00264D5D">
              <w:rPr>
                <w:szCs w:val="22"/>
              </w:rPr>
              <w:t>О</w:t>
            </w:r>
          </w:p>
        </w:tc>
        <w:tc>
          <w:tcPr>
            <w:tcW w:w="3963" w:type="dxa"/>
          </w:tcPr>
          <w:p w14:paraId="1EF790A2" w14:textId="77777777" w:rsidR="00AD1F54" w:rsidRPr="00264D5D" w:rsidRDefault="00D76395">
            <w:pPr>
              <w:pStyle w:val="GOSTTablenorm"/>
              <w:rPr>
                <w:szCs w:val="22"/>
              </w:rPr>
            </w:pPr>
            <w:r w:rsidRPr="00264D5D">
              <w:rPr>
                <w:szCs w:val="22"/>
              </w:rPr>
              <w:t>Наименование получателя</w:t>
            </w:r>
          </w:p>
        </w:tc>
      </w:tr>
      <w:tr w:rsidR="00AD1F54" w:rsidRPr="00264D5D" w14:paraId="36063D84" w14:textId="77777777" w:rsidTr="00AD1F54">
        <w:trPr>
          <w:cnfStyle w:val="000000010000" w:firstRow="0" w:lastRow="0" w:firstColumn="0" w:lastColumn="0" w:oddVBand="0" w:evenVBand="0" w:oddHBand="0" w:evenHBand="1" w:firstRowFirstColumn="0" w:firstRowLastColumn="0" w:lastRowFirstColumn="0" w:lastRowLastColumn="0"/>
          <w:trHeight w:val="20"/>
        </w:trPr>
        <w:tc>
          <w:tcPr>
            <w:tcW w:w="1701" w:type="dxa"/>
          </w:tcPr>
          <w:p w14:paraId="7CB5AEC4" w14:textId="77777777" w:rsidR="00AD1F54" w:rsidRPr="00264D5D" w:rsidRDefault="00941227">
            <w:pPr>
              <w:pStyle w:val="GOSTTablenorm"/>
              <w:rPr>
                <w:szCs w:val="22"/>
              </w:rPr>
            </w:pPr>
            <w:r w:rsidRPr="00264D5D">
              <w:rPr>
                <w:szCs w:val="22"/>
              </w:rPr>
              <w:t>ГУИД источника</w:t>
            </w:r>
          </w:p>
        </w:tc>
        <w:tc>
          <w:tcPr>
            <w:tcW w:w="1701" w:type="dxa"/>
          </w:tcPr>
          <w:p w14:paraId="60FE9DA5" w14:textId="77777777" w:rsidR="00AD1F54" w:rsidRPr="00264D5D" w:rsidRDefault="00941227">
            <w:pPr>
              <w:pStyle w:val="GOSTTablenorm"/>
              <w:rPr>
                <w:szCs w:val="22"/>
              </w:rPr>
            </w:pPr>
            <w:r w:rsidRPr="00264D5D">
              <w:rPr>
                <w:szCs w:val="22"/>
              </w:rPr>
              <w:t>SourceGUID</w:t>
            </w:r>
          </w:p>
        </w:tc>
        <w:tc>
          <w:tcPr>
            <w:tcW w:w="567" w:type="dxa"/>
          </w:tcPr>
          <w:p w14:paraId="22F2BA4E" w14:textId="77777777" w:rsidR="00AD1F54" w:rsidRPr="00264D5D" w:rsidRDefault="00941227">
            <w:pPr>
              <w:pStyle w:val="GOSTTablenorm"/>
              <w:jc w:val="center"/>
              <w:rPr>
                <w:szCs w:val="22"/>
              </w:rPr>
            </w:pPr>
            <w:r w:rsidRPr="00264D5D">
              <w:rPr>
                <w:szCs w:val="22"/>
              </w:rPr>
              <w:t>П</w:t>
            </w:r>
          </w:p>
        </w:tc>
        <w:tc>
          <w:tcPr>
            <w:tcW w:w="1134" w:type="dxa"/>
          </w:tcPr>
          <w:p w14:paraId="54E2035F" w14:textId="77777777" w:rsidR="00AD1F54" w:rsidRPr="00264D5D" w:rsidRDefault="00941227">
            <w:pPr>
              <w:pStyle w:val="GOSTTablenorm"/>
              <w:rPr>
                <w:szCs w:val="22"/>
              </w:rPr>
            </w:pPr>
            <w:r w:rsidRPr="00264D5D">
              <w:rPr>
                <w:szCs w:val="22"/>
              </w:rPr>
              <w:t>Т(36)</w:t>
            </w:r>
          </w:p>
        </w:tc>
        <w:tc>
          <w:tcPr>
            <w:tcW w:w="567" w:type="dxa"/>
          </w:tcPr>
          <w:p w14:paraId="7DA846D3" w14:textId="77777777" w:rsidR="00AD1F54" w:rsidRPr="00264D5D" w:rsidRDefault="00941227">
            <w:pPr>
              <w:pStyle w:val="GOSTTablenorm"/>
              <w:jc w:val="center"/>
              <w:rPr>
                <w:szCs w:val="22"/>
              </w:rPr>
            </w:pPr>
            <w:r w:rsidRPr="00264D5D">
              <w:rPr>
                <w:szCs w:val="22"/>
              </w:rPr>
              <w:t>О</w:t>
            </w:r>
          </w:p>
        </w:tc>
        <w:tc>
          <w:tcPr>
            <w:tcW w:w="3963" w:type="dxa"/>
          </w:tcPr>
          <w:p w14:paraId="3BB1FB66" w14:textId="77777777" w:rsidR="00AD1F54" w:rsidRPr="00264D5D" w:rsidRDefault="00D76395">
            <w:pPr>
              <w:pStyle w:val="GOSTTablenorm"/>
              <w:rPr>
                <w:szCs w:val="22"/>
              </w:rPr>
            </w:pPr>
            <w:r w:rsidRPr="00264D5D">
              <w:rPr>
                <w:szCs w:val="22"/>
              </w:rPr>
              <w:t>ГУИД источника</w:t>
            </w:r>
          </w:p>
        </w:tc>
      </w:tr>
      <w:tr w:rsidR="00AD1F54" w:rsidRPr="00264D5D" w14:paraId="1A92D51C" w14:textId="77777777" w:rsidTr="00AD1F54">
        <w:trPr>
          <w:cnfStyle w:val="000000100000" w:firstRow="0" w:lastRow="0" w:firstColumn="0" w:lastColumn="0" w:oddVBand="0" w:evenVBand="0" w:oddHBand="1" w:evenHBand="0" w:firstRowFirstColumn="0" w:firstRowLastColumn="0" w:lastRowFirstColumn="0" w:lastRowLastColumn="0"/>
          <w:trHeight w:val="20"/>
        </w:trPr>
        <w:tc>
          <w:tcPr>
            <w:tcW w:w="1701" w:type="dxa"/>
          </w:tcPr>
          <w:p w14:paraId="2872B30B" w14:textId="77777777" w:rsidR="00AD1F54" w:rsidRPr="00264D5D" w:rsidRDefault="00941227">
            <w:pPr>
              <w:pStyle w:val="GOSTTablenorm"/>
              <w:rPr>
                <w:szCs w:val="22"/>
              </w:rPr>
            </w:pPr>
            <w:r w:rsidRPr="00264D5D">
              <w:rPr>
                <w:szCs w:val="22"/>
              </w:rPr>
              <w:t>Примечание</w:t>
            </w:r>
          </w:p>
        </w:tc>
        <w:tc>
          <w:tcPr>
            <w:tcW w:w="1701" w:type="dxa"/>
          </w:tcPr>
          <w:p w14:paraId="534B686A" w14:textId="77777777" w:rsidR="00AD1F54" w:rsidRPr="00264D5D" w:rsidRDefault="00941227">
            <w:pPr>
              <w:pStyle w:val="GOSTTablenorm"/>
              <w:rPr>
                <w:szCs w:val="22"/>
              </w:rPr>
            </w:pPr>
            <w:r w:rsidRPr="00264D5D">
              <w:rPr>
                <w:szCs w:val="22"/>
              </w:rPr>
              <w:t>Comments</w:t>
            </w:r>
          </w:p>
        </w:tc>
        <w:tc>
          <w:tcPr>
            <w:tcW w:w="567" w:type="dxa"/>
          </w:tcPr>
          <w:p w14:paraId="0EF185EC" w14:textId="77777777" w:rsidR="00AD1F54" w:rsidRPr="00264D5D" w:rsidRDefault="00941227">
            <w:pPr>
              <w:pStyle w:val="GOSTTablenorm"/>
              <w:jc w:val="center"/>
              <w:rPr>
                <w:szCs w:val="22"/>
              </w:rPr>
            </w:pPr>
            <w:r w:rsidRPr="00264D5D">
              <w:rPr>
                <w:szCs w:val="22"/>
              </w:rPr>
              <w:t>П</w:t>
            </w:r>
          </w:p>
        </w:tc>
        <w:tc>
          <w:tcPr>
            <w:tcW w:w="1134" w:type="dxa"/>
          </w:tcPr>
          <w:p w14:paraId="62AB7949" w14:textId="77777777" w:rsidR="00AD1F54" w:rsidRPr="00264D5D" w:rsidRDefault="00941227">
            <w:pPr>
              <w:pStyle w:val="GOSTTablenorm"/>
              <w:rPr>
                <w:szCs w:val="22"/>
              </w:rPr>
            </w:pPr>
            <w:r w:rsidRPr="00264D5D">
              <w:rPr>
                <w:szCs w:val="22"/>
              </w:rPr>
              <w:t>Т(1-4000)</w:t>
            </w:r>
          </w:p>
        </w:tc>
        <w:tc>
          <w:tcPr>
            <w:tcW w:w="567" w:type="dxa"/>
          </w:tcPr>
          <w:p w14:paraId="6758DB74" w14:textId="77777777" w:rsidR="00AD1F54" w:rsidRPr="00264D5D" w:rsidRDefault="00941227">
            <w:pPr>
              <w:pStyle w:val="GOSTTablenorm"/>
              <w:jc w:val="center"/>
              <w:rPr>
                <w:szCs w:val="22"/>
              </w:rPr>
            </w:pPr>
            <w:r w:rsidRPr="00264D5D">
              <w:rPr>
                <w:szCs w:val="22"/>
              </w:rPr>
              <w:t>О</w:t>
            </w:r>
          </w:p>
        </w:tc>
        <w:tc>
          <w:tcPr>
            <w:tcW w:w="3963" w:type="dxa"/>
          </w:tcPr>
          <w:p w14:paraId="56E7ED98" w14:textId="77777777" w:rsidR="00AD1F54" w:rsidRPr="00264D5D" w:rsidRDefault="00D76395">
            <w:pPr>
              <w:pStyle w:val="GOSTTablenorm"/>
              <w:rPr>
                <w:szCs w:val="22"/>
              </w:rPr>
            </w:pPr>
            <w:r w:rsidRPr="00264D5D">
              <w:rPr>
                <w:szCs w:val="22"/>
              </w:rPr>
              <w:t>Примечание</w:t>
            </w:r>
          </w:p>
        </w:tc>
      </w:tr>
      <w:tr w:rsidR="00AD1F54" w:rsidRPr="00264D5D" w14:paraId="16FEEAE1" w14:textId="77777777" w:rsidTr="00AD1F54">
        <w:trPr>
          <w:cnfStyle w:val="000000010000" w:firstRow="0" w:lastRow="0" w:firstColumn="0" w:lastColumn="0" w:oddVBand="0" w:evenVBand="0" w:oddHBand="0" w:evenHBand="1" w:firstRowFirstColumn="0" w:firstRowLastColumn="0" w:lastRowFirstColumn="0" w:lastRowLastColumn="0"/>
          <w:trHeight w:val="20"/>
        </w:trPr>
        <w:tc>
          <w:tcPr>
            <w:tcW w:w="1701" w:type="dxa"/>
          </w:tcPr>
          <w:p w14:paraId="0E065470" w14:textId="77777777" w:rsidR="00AD1F54" w:rsidRPr="00264D5D" w:rsidRDefault="00941227">
            <w:pPr>
              <w:pStyle w:val="GOSTTablenorm"/>
              <w:rPr>
                <w:szCs w:val="22"/>
              </w:rPr>
            </w:pPr>
            <w:r w:rsidRPr="00264D5D">
              <w:rPr>
                <w:szCs w:val="22"/>
              </w:rPr>
              <w:t>Код главы</w:t>
            </w:r>
          </w:p>
        </w:tc>
        <w:tc>
          <w:tcPr>
            <w:tcW w:w="1701" w:type="dxa"/>
          </w:tcPr>
          <w:p w14:paraId="23E2082F" w14:textId="77777777" w:rsidR="00AD1F54" w:rsidRPr="00264D5D" w:rsidRDefault="00941227">
            <w:pPr>
              <w:pStyle w:val="GOSTTablenorm"/>
              <w:rPr>
                <w:szCs w:val="22"/>
              </w:rPr>
            </w:pPr>
            <w:r w:rsidRPr="00264D5D">
              <w:rPr>
                <w:szCs w:val="22"/>
              </w:rPr>
              <w:t>PPP_Code</w:t>
            </w:r>
          </w:p>
        </w:tc>
        <w:tc>
          <w:tcPr>
            <w:tcW w:w="567" w:type="dxa"/>
          </w:tcPr>
          <w:p w14:paraId="3160AF18" w14:textId="77777777" w:rsidR="00AD1F54" w:rsidRPr="00264D5D" w:rsidRDefault="00941227">
            <w:pPr>
              <w:pStyle w:val="GOSTTablenorm"/>
              <w:jc w:val="center"/>
              <w:rPr>
                <w:szCs w:val="22"/>
              </w:rPr>
            </w:pPr>
            <w:r w:rsidRPr="00264D5D">
              <w:rPr>
                <w:szCs w:val="22"/>
              </w:rPr>
              <w:t>П</w:t>
            </w:r>
          </w:p>
        </w:tc>
        <w:tc>
          <w:tcPr>
            <w:tcW w:w="1134" w:type="dxa"/>
          </w:tcPr>
          <w:p w14:paraId="6529F226" w14:textId="77777777" w:rsidR="00AD1F54" w:rsidRPr="00264D5D" w:rsidRDefault="00941227">
            <w:pPr>
              <w:pStyle w:val="GOSTTablenorm"/>
              <w:rPr>
                <w:szCs w:val="22"/>
              </w:rPr>
            </w:pPr>
            <w:r w:rsidRPr="00264D5D">
              <w:rPr>
                <w:szCs w:val="22"/>
              </w:rPr>
              <w:t>Т(1-100)</w:t>
            </w:r>
          </w:p>
        </w:tc>
        <w:tc>
          <w:tcPr>
            <w:tcW w:w="567" w:type="dxa"/>
          </w:tcPr>
          <w:p w14:paraId="153B921F" w14:textId="77777777" w:rsidR="00AD1F54" w:rsidRPr="00264D5D" w:rsidRDefault="00941227">
            <w:pPr>
              <w:pStyle w:val="GOSTTablenorm"/>
              <w:jc w:val="center"/>
              <w:rPr>
                <w:szCs w:val="22"/>
              </w:rPr>
            </w:pPr>
            <w:r w:rsidRPr="00264D5D">
              <w:rPr>
                <w:szCs w:val="22"/>
              </w:rPr>
              <w:t>О</w:t>
            </w:r>
          </w:p>
        </w:tc>
        <w:tc>
          <w:tcPr>
            <w:tcW w:w="3963" w:type="dxa"/>
          </w:tcPr>
          <w:p w14:paraId="29615B79" w14:textId="77777777" w:rsidR="00AD1F54" w:rsidRPr="00264D5D" w:rsidRDefault="00D76395">
            <w:pPr>
              <w:pStyle w:val="GOSTTablenorm"/>
              <w:rPr>
                <w:szCs w:val="22"/>
              </w:rPr>
            </w:pPr>
            <w:r w:rsidRPr="00264D5D">
              <w:rPr>
                <w:szCs w:val="22"/>
              </w:rPr>
              <w:t>Код главы</w:t>
            </w:r>
          </w:p>
        </w:tc>
      </w:tr>
      <w:tr w:rsidR="00AD1F54" w:rsidRPr="00264D5D" w14:paraId="1E8DBB33" w14:textId="77777777" w:rsidTr="00AD1F54">
        <w:trPr>
          <w:cnfStyle w:val="000000100000" w:firstRow="0" w:lastRow="0" w:firstColumn="0" w:lastColumn="0" w:oddVBand="0" w:evenVBand="0" w:oddHBand="1" w:evenHBand="0" w:firstRowFirstColumn="0" w:firstRowLastColumn="0" w:lastRowFirstColumn="0" w:lastRowLastColumn="0"/>
          <w:trHeight w:val="20"/>
        </w:trPr>
        <w:tc>
          <w:tcPr>
            <w:tcW w:w="1701" w:type="dxa"/>
          </w:tcPr>
          <w:p w14:paraId="4C857CE0" w14:textId="77777777" w:rsidR="00AD1F54" w:rsidRPr="00264D5D" w:rsidRDefault="00941227">
            <w:pPr>
              <w:pStyle w:val="GOSTTablenorm"/>
              <w:rPr>
                <w:szCs w:val="22"/>
              </w:rPr>
            </w:pPr>
            <w:r w:rsidRPr="00264D5D">
              <w:rPr>
                <w:szCs w:val="22"/>
              </w:rPr>
              <w:t>Наименование главы</w:t>
            </w:r>
          </w:p>
        </w:tc>
        <w:tc>
          <w:tcPr>
            <w:tcW w:w="1701" w:type="dxa"/>
          </w:tcPr>
          <w:p w14:paraId="38146DA0" w14:textId="77777777" w:rsidR="00AD1F54" w:rsidRPr="00264D5D" w:rsidRDefault="00941227">
            <w:pPr>
              <w:pStyle w:val="GOSTTablenorm"/>
              <w:rPr>
                <w:szCs w:val="22"/>
              </w:rPr>
            </w:pPr>
            <w:r w:rsidRPr="00264D5D">
              <w:rPr>
                <w:szCs w:val="22"/>
              </w:rPr>
              <w:t>PPP_Code_Name</w:t>
            </w:r>
          </w:p>
        </w:tc>
        <w:tc>
          <w:tcPr>
            <w:tcW w:w="567" w:type="dxa"/>
          </w:tcPr>
          <w:p w14:paraId="02BE5B36" w14:textId="77777777" w:rsidR="00AD1F54" w:rsidRPr="00264D5D" w:rsidRDefault="00941227">
            <w:pPr>
              <w:pStyle w:val="GOSTTablenorm"/>
              <w:jc w:val="center"/>
              <w:rPr>
                <w:szCs w:val="22"/>
              </w:rPr>
            </w:pPr>
            <w:r w:rsidRPr="00264D5D">
              <w:rPr>
                <w:szCs w:val="22"/>
              </w:rPr>
              <w:t>П</w:t>
            </w:r>
          </w:p>
        </w:tc>
        <w:tc>
          <w:tcPr>
            <w:tcW w:w="1134" w:type="dxa"/>
          </w:tcPr>
          <w:p w14:paraId="5BBDD00D" w14:textId="77777777" w:rsidR="00AD1F54" w:rsidRPr="00264D5D" w:rsidRDefault="00941227">
            <w:pPr>
              <w:pStyle w:val="GOSTTablenorm"/>
              <w:rPr>
                <w:szCs w:val="22"/>
              </w:rPr>
            </w:pPr>
            <w:r w:rsidRPr="00264D5D">
              <w:rPr>
                <w:szCs w:val="22"/>
              </w:rPr>
              <w:t>Т(1-1000)</w:t>
            </w:r>
          </w:p>
        </w:tc>
        <w:tc>
          <w:tcPr>
            <w:tcW w:w="567" w:type="dxa"/>
          </w:tcPr>
          <w:p w14:paraId="1BE36DBA" w14:textId="77777777" w:rsidR="00AD1F54" w:rsidRPr="00264D5D" w:rsidRDefault="00941227">
            <w:pPr>
              <w:pStyle w:val="GOSTTablenorm"/>
              <w:jc w:val="center"/>
              <w:rPr>
                <w:szCs w:val="22"/>
              </w:rPr>
            </w:pPr>
            <w:r w:rsidRPr="00264D5D">
              <w:rPr>
                <w:szCs w:val="22"/>
              </w:rPr>
              <w:t>О</w:t>
            </w:r>
          </w:p>
        </w:tc>
        <w:tc>
          <w:tcPr>
            <w:tcW w:w="3963" w:type="dxa"/>
          </w:tcPr>
          <w:p w14:paraId="7EF52B5E" w14:textId="77777777" w:rsidR="00AD1F54" w:rsidRPr="00264D5D" w:rsidRDefault="00D76395">
            <w:pPr>
              <w:pStyle w:val="GOSTTablenorm"/>
              <w:rPr>
                <w:szCs w:val="22"/>
              </w:rPr>
            </w:pPr>
            <w:r w:rsidRPr="00264D5D">
              <w:rPr>
                <w:szCs w:val="22"/>
              </w:rPr>
              <w:t>Наименование главы</w:t>
            </w:r>
          </w:p>
        </w:tc>
      </w:tr>
      <w:tr w:rsidR="00AD1F54" w:rsidRPr="00264D5D" w14:paraId="076243F3" w14:textId="77777777" w:rsidTr="00AD1F54">
        <w:trPr>
          <w:cnfStyle w:val="000000010000" w:firstRow="0" w:lastRow="0" w:firstColumn="0" w:lastColumn="0" w:oddVBand="0" w:evenVBand="0" w:oddHBand="0" w:evenHBand="1" w:firstRowFirstColumn="0" w:firstRowLastColumn="0" w:lastRowFirstColumn="0" w:lastRowLastColumn="0"/>
          <w:trHeight w:val="20"/>
        </w:trPr>
        <w:tc>
          <w:tcPr>
            <w:tcW w:w="1701" w:type="dxa"/>
          </w:tcPr>
          <w:p w14:paraId="3E53455B" w14:textId="77777777" w:rsidR="00AD1F54" w:rsidRPr="00264D5D" w:rsidRDefault="00941227">
            <w:pPr>
              <w:pStyle w:val="GOSTTablenorm"/>
              <w:rPr>
                <w:szCs w:val="22"/>
              </w:rPr>
            </w:pPr>
            <w:r w:rsidRPr="00264D5D">
              <w:rPr>
                <w:szCs w:val="22"/>
              </w:rPr>
              <w:t>Атрибут подписи 1</w:t>
            </w:r>
          </w:p>
        </w:tc>
        <w:tc>
          <w:tcPr>
            <w:tcW w:w="1701" w:type="dxa"/>
          </w:tcPr>
          <w:p w14:paraId="1B9885E2" w14:textId="77777777" w:rsidR="00AD1F54" w:rsidRPr="00264D5D" w:rsidRDefault="00941227">
            <w:pPr>
              <w:pStyle w:val="GOSTTablenorm"/>
              <w:rPr>
                <w:szCs w:val="22"/>
              </w:rPr>
            </w:pPr>
            <w:r w:rsidRPr="00264D5D">
              <w:rPr>
                <w:szCs w:val="22"/>
              </w:rPr>
              <w:t>SignatureAttribute1</w:t>
            </w:r>
          </w:p>
        </w:tc>
        <w:tc>
          <w:tcPr>
            <w:tcW w:w="567" w:type="dxa"/>
          </w:tcPr>
          <w:p w14:paraId="4554F010" w14:textId="77777777" w:rsidR="00AD1F54" w:rsidRPr="00264D5D" w:rsidRDefault="00941227">
            <w:pPr>
              <w:pStyle w:val="GOSTTablenorm"/>
              <w:jc w:val="center"/>
              <w:rPr>
                <w:szCs w:val="22"/>
              </w:rPr>
            </w:pPr>
            <w:r w:rsidRPr="00264D5D">
              <w:rPr>
                <w:szCs w:val="22"/>
              </w:rPr>
              <w:t>П</w:t>
            </w:r>
          </w:p>
        </w:tc>
        <w:tc>
          <w:tcPr>
            <w:tcW w:w="1134" w:type="dxa"/>
          </w:tcPr>
          <w:p w14:paraId="668A8228" w14:textId="77777777" w:rsidR="00AD1F54" w:rsidRPr="00264D5D" w:rsidRDefault="00941227">
            <w:pPr>
              <w:pStyle w:val="GOSTTablenorm"/>
              <w:rPr>
                <w:szCs w:val="22"/>
              </w:rPr>
            </w:pPr>
            <w:r w:rsidRPr="00264D5D">
              <w:rPr>
                <w:szCs w:val="22"/>
              </w:rPr>
              <w:t>Т(1-240)</w:t>
            </w:r>
          </w:p>
        </w:tc>
        <w:tc>
          <w:tcPr>
            <w:tcW w:w="567" w:type="dxa"/>
          </w:tcPr>
          <w:p w14:paraId="6AB02B65" w14:textId="77777777" w:rsidR="00AD1F54" w:rsidRPr="00264D5D" w:rsidRDefault="00941227">
            <w:pPr>
              <w:pStyle w:val="GOSTTablenorm"/>
              <w:jc w:val="center"/>
              <w:rPr>
                <w:szCs w:val="22"/>
              </w:rPr>
            </w:pPr>
            <w:r w:rsidRPr="00264D5D">
              <w:rPr>
                <w:szCs w:val="22"/>
              </w:rPr>
              <w:t>О</w:t>
            </w:r>
          </w:p>
        </w:tc>
        <w:tc>
          <w:tcPr>
            <w:tcW w:w="3963" w:type="dxa"/>
          </w:tcPr>
          <w:p w14:paraId="037DACFE" w14:textId="77777777" w:rsidR="00AD1F54" w:rsidRPr="00264D5D" w:rsidRDefault="00941227">
            <w:pPr>
              <w:pStyle w:val="GOSTTablenorm"/>
              <w:rPr>
                <w:szCs w:val="22"/>
              </w:rPr>
            </w:pPr>
            <w:r w:rsidRPr="00264D5D">
              <w:rPr>
                <w:szCs w:val="22"/>
              </w:rPr>
              <w:t>Атрибут подписи 1</w:t>
            </w:r>
          </w:p>
        </w:tc>
      </w:tr>
      <w:tr w:rsidR="00AD1F54" w:rsidRPr="00264D5D" w14:paraId="53D427EF" w14:textId="77777777" w:rsidTr="00AD1F54">
        <w:trPr>
          <w:cnfStyle w:val="000000100000" w:firstRow="0" w:lastRow="0" w:firstColumn="0" w:lastColumn="0" w:oddVBand="0" w:evenVBand="0" w:oddHBand="1" w:evenHBand="0" w:firstRowFirstColumn="0" w:firstRowLastColumn="0" w:lastRowFirstColumn="0" w:lastRowLastColumn="0"/>
          <w:trHeight w:val="20"/>
        </w:trPr>
        <w:tc>
          <w:tcPr>
            <w:tcW w:w="1701" w:type="dxa"/>
          </w:tcPr>
          <w:p w14:paraId="5FD5732E" w14:textId="77777777" w:rsidR="00AD1F54" w:rsidRPr="00264D5D" w:rsidRDefault="00941227">
            <w:pPr>
              <w:pStyle w:val="GOSTTablenorm"/>
              <w:rPr>
                <w:szCs w:val="22"/>
              </w:rPr>
            </w:pPr>
            <w:r w:rsidRPr="00264D5D">
              <w:rPr>
                <w:szCs w:val="22"/>
              </w:rPr>
              <w:t>Атрибут подписи 2</w:t>
            </w:r>
          </w:p>
        </w:tc>
        <w:tc>
          <w:tcPr>
            <w:tcW w:w="1701" w:type="dxa"/>
          </w:tcPr>
          <w:p w14:paraId="1AB08481" w14:textId="77777777" w:rsidR="00AD1F54" w:rsidRPr="00264D5D" w:rsidRDefault="00941227">
            <w:pPr>
              <w:pStyle w:val="GOSTTablenorm"/>
              <w:rPr>
                <w:szCs w:val="22"/>
              </w:rPr>
            </w:pPr>
            <w:r w:rsidRPr="00264D5D">
              <w:rPr>
                <w:szCs w:val="22"/>
              </w:rPr>
              <w:t>SignatureAttribute2</w:t>
            </w:r>
          </w:p>
        </w:tc>
        <w:tc>
          <w:tcPr>
            <w:tcW w:w="567" w:type="dxa"/>
          </w:tcPr>
          <w:p w14:paraId="00D805B6" w14:textId="77777777" w:rsidR="00AD1F54" w:rsidRPr="00264D5D" w:rsidRDefault="00941227">
            <w:pPr>
              <w:pStyle w:val="GOSTTablenorm"/>
              <w:jc w:val="center"/>
              <w:rPr>
                <w:szCs w:val="22"/>
              </w:rPr>
            </w:pPr>
            <w:r w:rsidRPr="00264D5D">
              <w:rPr>
                <w:szCs w:val="22"/>
              </w:rPr>
              <w:t>П</w:t>
            </w:r>
          </w:p>
        </w:tc>
        <w:tc>
          <w:tcPr>
            <w:tcW w:w="1134" w:type="dxa"/>
          </w:tcPr>
          <w:p w14:paraId="7A5FB71C" w14:textId="77777777" w:rsidR="00AD1F54" w:rsidRPr="00264D5D" w:rsidRDefault="00941227">
            <w:pPr>
              <w:pStyle w:val="GOSTTablenorm"/>
              <w:rPr>
                <w:szCs w:val="22"/>
              </w:rPr>
            </w:pPr>
            <w:r w:rsidRPr="00264D5D">
              <w:rPr>
                <w:szCs w:val="22"/>
              </w:rPr>
              <w:t>Т(1-240)</w:t>
            </w:r>
          </w:p>
        </w:tc>
        <w:tc>
          <w:tcPr>
            <w:tcW w:w="567" w:type="dxa"/>
          </w:tcPr>
          <w:p w14:paraId="45009C84" w14:textId="77777777" w:rsidR="00AD1F54" w:rsidRPr="00264D5D" w:rsidRDefault="00941227">
            <w:pPr>
              <w:pStyle w:val="GOSTTablenorm"/>
              <w:jc w:val="center"/>
              <w:rPr>
                <w:szCs w:val="22"/>
              </w:rPr>
            </w:pPr>
            <w:r w:rsidRPr="00264D5D">
              <w:rPr>
                <w:szCs w:val="22"/>
              </w:rPr>
              <w:t>О</w:t>
            </w:r>
          </w:p>
        </w:tc>
        <w:tc>
          <w:tcPr>
            <w:tcW w:w="3963" w:type="dxa"/>
          </w:tcPr>
          <w:p w14:paraId="4381562F" w14:textId="77777777" w:rsidR="00AD1F54" w:rsidRPr="00264D5D" w:rsidRDefault="00941227">
            <w:pPr>
              <w:pStyle w:val="GOSTTablenorm"/>
              <w:rPr>
                <w:szCs w:val="22"/>
              </w:rPr>
            </w:pPr>
            <w:r w:rsidRPr="00264D5D">
              <w:rPr>
                <w:szCs w:val="22"/>
              </w:rPr>
              <w:t>Атрибут подписи 2</w:t>
            </w:r>
          </w:p>
        </w:tc>
      </w:tr>
      <w:tr w:rsidR="00AD1F54" w:rsidRPr="00264D5D" w14:paraId="45378273" w14:textId="77777777" w:rsidTr="00AD1F54">
        <w:trPr>
          <w:cnfStyle w:val="000000010000" w:firstRow="0" w:lastRow="0" w:firstColumn="0" w:lastColumn="0" w:oddVBand="0" w:evenVBand="0" w:oddHBand="0" w:evenHBand="1" w:firstRowFirstColumn="0" w:firstRowLastColumn="0" w:lastRowFirstColumn="0" w:lastRowLastColumn="0"/>
          <w:trHeight w:val="20"/>
        </w:trPr>
        <w:tc>
          <w:tcPr>
            <w:tcW w:w="1701" w:type="dxa"/>
          </w:tcPr>
          <w:p w14:paraId="0D0CD405" w14:textId="77777777" w:rsidR="00AD1F54" w:rsidRPr="00264D5D" w:rsidRDefault="00941227">
            <w:pPr>
              <w:pStyle w:val="GOSTTablenorm"/>
              <w:rPr>
                <w:szCs w:val="22"/>
              </w:rPr>
            </w:pPr>
            <w:r w:rsidRPr="00264D5D">
              <w:rPr>
                <w:szCs w:val="22"/>
              </w:rPr>
              <w:t>…</w:t>
            </w:r>
          </w:p>
        </w:tc>
        <w:tc>
          <w:tcPr>
            <w:tcW w:w="1701" w:type="dxa"/>
          </w:tcPr>
          <w:p w14:paraId="402E6F46" w14:textId="77777777" w:rsidR="00AD1F54" w:rsidRPr="00264D5D" w:rsidRDefault="00941227">
            <w:pPr>
              <w:pStyle w:val="GOSTTablenorm"/>
              <w:rPr>
                <w:szCs w:val="22"/>
              </w:rPr>
            </w:pPr>
            <w:r w:rsidRPr="00264D5D">
              <w:rPr>
                <w:szCs w:val="22"/>
              </w:rPr>
              <w:t>….</w:t>
            </w:r>
          </w:p>
        </w:tc>
        <w:tc>
          <w:tcPr>
            <w:tcW w:w="567" w:type="dxa"/>
          </w:tcPr>
          <w:p w14:paraId="506FB7C1" w14:textId="77777777" w:rsidR="00AD1F54" w:rsidRPr="00264D5D" w:rsidRDefault="00941227">
            <w:pPr>
              <w:pStyle w:val="GOSTTablenorm"/>
              <w:jc w:val="center"/>
              <w:rPr>
                <w:szCs w:val="22"/>
              </w:rPr>
            </w:pPr>
            <w:r w:rsidRPr="00264D5D">
              <w:rPr>
                <w:szCs w:val="22"/>
              </w:rPr>
              <w:t>…</w:t>
            </w:r>
          </w:p>
        </w:tc>
        <w:tc>
          <w:tcPr>
            <w:tcW w:w="1134" w:type="dxa"/>
          </w:tcPr>
          <w:p w14:paraId="68E95375" w14:textId="77777777" w:rsidR="00AD1F54" w:rsidRPr="00264D5D" w:rsidRDefault="00941227">
            <w:pPr>
              <w:pStyle w:val="GOSTTablenorm"/>
              <w:rPr>
                <w:szCs w:val="22"/>
              </w:rPr>
            </w:pPr>
            <w:r w:rsidRPr="00264D5D">
              <w:rPr>
                <w:szCs w:val="22"/>
              </w:rPr>
              <w:t>…</w:t>
            </w:r>
          </w:p>
        </w:tc>
        <w:tc>
          <w:tcPr>
            <w:tcW w:w="567" w:type="dxa"/>
          </w:tcPr>
          <w:p w14:paraId="5A33A25E" w14:textId="77777777" w:rsidR="00AD1F54" w:rsidRPr="00264D5D" w:rsidRDefault="00941227">
            <w:pPr>
              <w:pStyle w:val="GOSTTablenorm"/>
              <w:jc w:val="center"/>
              <w:rPr>
                <w:szCs w:val="22"/>
              </w:rPr>
            </w:pPr>
            <w:r w:rsidRPr="00264D5D">
              <w:rPr>
                <w:szCs w:val="22"/>
              </w:rPr>
              <w:t>…</w:t>
            </w:r>
          </w:p>
        </w:tc>
        <w:tc>
          <w:tcPr>
            <w:tcW w:w="3963" w:type="dxa"/>
          </w:tcPr>
          <w:p w14:paraId="09E8DB73" w14:textId="77777777" w:rsidR="00AD1F54" w:rsidRPr="00264D5D" w:rsidRDefault="00941227">
            <w:pPr>
              <w:pStyle w:val="GOSTTablenorm"/>
              <w:rPr>
                <w:szCs w:val="22"/>
              </w:rPr>
            </w:pPr>
            <w:r w:rsidRPr="00264D5D">
              <w:rPr>
                <w:szCs w:val="22"/>
              </w:rPr>
              <w:t>…</w:t>
            </w:r>
          </w:p>
        </w:tc>
      </w:tr>
      <w:tr w:rsidR="00AD1F54" w:rsidRPr="00264D5D" w14:paraId="230242CE" w14:textId="77777777" w:rsidTr="00AD1F54">
        <w:trPr>
          <w:cnfStyle w:val="000000100000" w:firstRow="0" w:lastRow="0" w:firstColumn="0" w:lastColumn="0" w:oddVBand="0" w:evenVBand="0" w:oddHBand="1" w:evenHBand="0" w:firstRowFirstColumn="0" w:firstRowLastColumn="0" w:lastRowFirstColumn="0" w:lastRowLastColumn="0"/>
          <w:trHeight w:val="20"/>
        </w:trPr>
        <w:tc>
          <w:tcPr>
            <w:tcW w:w="1701" w:type="dxa"/>
          </w:tcPr>
          <w:p w14:paraId="7D944E0A" w14:textId="77777777" w:rsidR="00AD1F54" w:rsidRPr="00264D5D" w:rsidRDefault="00941227">
            <w:pPr>
              <w:pStyle w:val="GOSTTablenorm"/>
              <w:rPr>
                <w:szCs w:val="22"/>
              </w:rPr>
            </w:pPr>
            <w:r w:rsidRPr="00264D5D">
              <w:rPr>
                <w:szCs w:val="22"/>
              </w:rPr>
              <w:t>Атрибут подписи 32</w:t>
            </w:r>
          </w:p>
        </w:tc>
        <w:tc>
          <w:tcPr>
            <w:tcW w:w="1701" w:type="dxa"/>
          </w:tcPr>
          <w:p w14:paraId="3D82D4C9" w14:textId="77777777" w:rsidR="00AD1F54" w:rsidRPr="00264D5D" w:rsidRDefault="00941227">
            <w:pPr>
              <w:pStyle w:val="GOSTTablenorm"/>
              <w:rPr>
                <w:szCs w:val="22"/>
              </w:rPr>
            </w:pPr>
            <w:r w:rsidRPr="00264D5D">
              <w:rPr>
                <w:szCs w:val="22"/>
              </w:rPr>
              <w:t>SignatureAttribute32</w:t>
            </w:r>
          </w:p>
        </w:tc>
        <w:tc>
          <w:tcPr>
            <w:tcW w:w="567" w:type="dxa"/>
          </w:tcPr>
          <w:p w14:paraId="5F2A064C" w14:textId="77777777" w:rsidR="00AD1F54" w:rsidRPr="00264D5D" w:rsidRDefault="00941227">
            <w:pPr>
              <w:pStyle w:val="GOSTTablenorm"/>
              <w:jc w:val="center"/>
              <w:rPr>
                <w:szCs w:val="22"/>
              </w:rPr>
            </w:pPr>
            <w:r w:rsidRPr="00264D5D">
              <w:rPr>
                <w:szCs w:val="22"/>
              </w:rPr>
              <w:t>П</w:t>
            </w:r>
          </w:p>
        </w:tc>
        <w:tc>
          <w:tcPr>
            <w:tcW w:w="1134" w:type="dxa"/>
          </w:tcPr>
          <w:p w14:paraId="6A40854C" w14:textId="77777777" w:rsidR="00AD1F54" w:rsidRPr="00264D5D" w:rsidRDefault="00941227">
            <w:pPr>
              <w:pStyle w:val="GOSTTablenorm"/>
              <w:rPr>
                <w:szCs w:val="22"/>
              </w:rPr>
            </w:pPr>
            <w:r w:rsidRPr="00264D5D">
              <w:rPr>
                <w:szCs w:val="22"/>
              </w:rPr>
              <w:t>Т(1-240)</w:t>
            </w:r>
          </w:p>
        </w:tc>
        <w:tc>
          <w:tcPr>
            <w:tcW w:w="567" w:type="dxa"/>
          </w:tcPr>
          <w:p w14:paraId="48469FD5" w14:textId="77777777" w:rsidR="00AD1F54" w:rsidRPr="00264D5D" w:rsidRDefault="00941227">
            <w:pPr>
              <w:pStyle w:val="GOSTTablenorm"/>
              <w:jc w:val="center"/>
              <w:rPr>
                <w:szCs w:val="22"/>
              </w:rPr>
            </w:pPr>
            <w:r w:rsidRPr="00264D5D">
              <w:rPr>
                <w:szCs w:val="22"/>
              </w:rPr>
              <w:t>О</w:t>
            </w:r>
          </w:p>
        </w:tc>
        <w:tc>
          <w:tcPr>
            <w:tcW w:w="3963" w:type="dxa"/>
          </w:tcPr>
          <w:p w14:paraId="586E8572" w14:textId="77777777" w:rsidR="00AD1F54" w:rsidRPr="00264D5D" w:rsidRDefault="00941227">
            <w:pPr>
              <w:pStyle w:val="GOSTTablenorm"/>
              <w:rPr>
                <w:szCs w:val="22"/>
              </w:rPr>
            </w:pPr>
            <w:r w:rsidRPr="00264D5D">
              <w:rPr>
                <w:szCs w:val="22"/>
              </w:rPr>
              <w:t>Атрибут п</w:t>
            </w:r>
            <w:r w:rsidR="00D76395" w:rsidRPr="00264D5D">
              <w:rPr>
                <w:szCs w:val="22"/>
              </w:rPr>
              <w:t>одписи 32</w:t>
            </w:r>
          </w:p>
        </w:tc>
      </w:tr>
      <w:tr w:rsidR="00AD1F54" w:rsidRPr="00264D5D" w14:paraId="6C88791F" w14:textId="77777777" w:rsidTr="00AD1F54">
        <w:trPr>
          <w:cnfStyle w:val="000000010000" w:firstRow="0" w:lastRow="0" w:firstColumn="0" w:lastColumn="0" w:oddVBand="0" w:evenVBand="0" w:oddHBand="0" w:evenHBand="1" w:firstRowFirstColumn="0" w:firstRowLastColumn="0" w:lastRowFirstColumn="0" w:lastRowLastColumn="0"/>
          <w:trHeight w:val="20"/>
        </w:trPr>
        <w:tc>
          <w:tcPr>
            <w:tcW w:w="1701" w:type="dxa"/>
          </w:tcPr>
          <w:p w14:paraId="28C98AE4" w14:textId="77777777" w:rsidR="00AD1F54" w:rsidRPr="00264D5D" w:rsidRDefault="00941227">
            <w:pPr>
              <w:pStyle w:val="GOSTTablenorm"/>
              <w:rPr>
                <w:szCs w:val="22"/>
              </w:rPr>
            </w:pPr>
            <w:r w:rsidRPr="00264D5D">
              <w:rPr>
                <w:szCs w:val="22"/>
              </w:rPr>
              <w:t xml:space="preserve">Атрибут </w:t>
            </w:r>
            <w:r w:rsidRPr="00264D5D">
              <w:rPr>
                <w:szCs w:val="22"/>
              </w:rPr>
              <w:lastRenderedPageBreak/>
              <w:t>безопасности 1</w:t>
            </w:r>
          </w:p>
        </w:tc>
        <w:tc>
          <w:tcPr>
            <w:tcW w:w="1701" w:type="dxa"/>
          </w:tcPr>
          <w:p w14:paraId="56E20D31" w14:textId="77777777" w:rsidR="00AD1F54" w:rsidRPr="00264D5D" w:rsidRDefault="00941227">
            <w:pPr>
              <w:pStyle w:val="GOSTTablenorm"/>
              <w:rPr>
                <w:szCs w:val="22"/>
              </w:rPr>
            </w:pPr>
            <w:r w:rsidRPr="00264D5D">
              <w:rPr>
                <w:szCs w:val="22"/>
              </w:rPr>
              <w:lastRenderedPageBreak/>
              <w:t>SecAttribute1</w:t>
            </w:r>
          </w:p>
        </w:tc>
        <w:tc>
          <w:tcPr>
            <w:tcW w:w="567" w:type="dxa"/>
          </w:tcPr>
          <w:p w14:paraId="3920EBC4" w14:textId="77777777" w:rsidR="00AD1F54" w:rsidRPr="00264D5D" w:rsidRDefault="00941227">
            <w:pPr>
              <w:pStyle w:val="GOSTTablenorm"/>
              <w:jc w:val="center"/>
              <w:rPr>
                <w:szCs w:val="22"/>
              </w:rPr>
            </w:pPr>
            <w:r w:rsidRPr="00264D5D">
              <w:rPr>
                <w:szCs w:val="22"/>
              </w:rPr>
              <w:t>П</w:t>
            </w:r>
          </w:p>
        </w:tc>
        <w:tc>
          <w:tcPr>
            <w:tcW w:w="1134" w:type="dxa"/>
          </w:tcPr>
          <w:p w14:paraId="3F01854F" w14:textId="77777777" w:rsidR="00AD1F54" w:rsidRPr="00264D5D" w:rsidRDefault="00941227">
            <w:pPr>
              <w:pStyle w:val="GOSTTablenorm"/>
              <w:rPr>
                <w:szCs w:val="22"/>
              </w:rPr>
            </w:pPr>
            <w:r w:rsidRPr="00264D5D">
              <w:rPr>
                <w:szCs w:val="22"/>
              </w:rPr>
              <w:t>Т(1-1000)</w:t>
            </w:r>
          </w:p>
        </w:tc>
        <w:tc>
          <w:tcPr>
            <w:tcW w:w="567" w:type="dxa"/>
          </w:tcPr>
          <w:p w14:paraId="38641000" w14:textId="77777777" w:rsidR="00AD1F54" w:rsidRPr="00264D5D" w:rsidRDefault="00941227">
            <w:pPr>
              <w:pStyle w:val="GOSTTablenorm"/>
              <w:jc w:val="center"/>
              <w:rPr>
                <w:szCs w:val="22"/>
              </w:rPr>
            </w:pPr>
            <w:r w:rsidRPr="00264D5D">
              <w:rPr>
                <w:szCs w:val="22"/>
              </w:rPr>
              <w:t>О</w:t>
            </w:r>
          </w:p>
        </w:tc>
        <w:tc>
          <w:tcPr>
            <w:tcW w:w="3963" w:type="dxa"/>
          </w:tcPr>
          <w:p w14:paraId="71C6A3D8" w14:textId="77777777" w:rsidR="00AD1F54" w:rsidRPr="00264D5D" w:rsidRDefault="00D76395">
            <w:pPr>
              <w:pStyle w:val="GOSTTablenorm"/>
              <w:rPr>
                <w:szCs w:val="22"/>
              </w:rPr>
            </w:pPr>
            <w:r w:rsidRPr="00264D5D">
              <w:rPr>
                <w:szCs w:val="22"/>
              </w:rPr>
              <w:t>Атрибут безопасности 1</w:t>
            </w:r>
          </w:p>
        </w:tc>
      </w:tr>
      <w:tr w:rsidR="00AD1F54" w:rsidRPr="00264D5D" w14:paraId="518FF007" w14:textId="77777777" w:rsidTr="00AD1F54">
        <w:trPr>
          <w:cnfStyle w:val="000000100000" w:firstRow="0" w:lastRow="0" w:firstColumn="0" w:lastColumn="0" w:oddVBand="0" w:evenVBand="0" w:oddHBand="1" w:evenHBand="0" w:firstRowFirstColumn="0" w:firstRowLastColumn="0" w:lastRowFirstColumn="0" w:lastRowLastColumn="0"/>
          <w:trHeight w:val="20"/>
        </w:trPr>
        <w:tc>
          <w:tcPr>
            <w:tcW w:w="1701" w:type="dxa"/>
          </w:tcPr>
          <w:p w14:paraId="4A9B8A94" w14:textId="77777777" w:rsidR="00AD1F54" w:rsidRPr="00264D5D" w:rsidRDefault="00941227">
            <w:pPr>
              <w:pStyle w:val="GOSTTablenorm"/>
              <w:rPr>
                <w:szCs w:val="22"/>
              </w:rPr>
            </w:pPr>
            <w:r w:rsidRPr="00264D5D">
              <w:rPr>
                <w:szCs w:val="22"/>
              </w:rPr>
              <w:lastRenderedPageBreak/>
              <w:t>…</w:t>
            </w:r>
          </w:p>
        </w:tc>
        <w:tc>
          <w:tcPr>
            <w:tcW w:w="1701" w:type="dxa"/>
          </w:tcPr>
          <w:p w14:paraId="4C203465" w14:textId="77777777" w:rsidR="00AD1F54" w:rsidRPr="00264D5D" w:rsidRDefault="00941227">
            <w:pPr>
              <w:pStyle w:val="GOSTTablenorm"/>
              <w:rPr>
                <w:szCs w:val="22"/>
              </w:rPr>
            </w:pPr>
            <w:r w:rsidRPr="00264D5D">
              <w:rPr>
                <w:szCs w:val="22"/>
              </w:rPr>
              <w:t>….</w:t>
            </w:r>
          </w:p>
        </w:tc>
        <w:tc>
          <w:tcPr>
            <w:tcW w:w="567" w:type="dxa"/>
          </w:tcPr>
          <w:p w14:paraId="0A86DE5C" w14:textId="77777777" w:rsidR="00AD1F54" w:rsidRPr="00264D5D" w:rsidRDefault="00941227">
            <w:pPr>
              <w:pStyle w:val="GOSTTablenorm"/>
              <w:jc w:val="center"/>
              <w:rPr>
                <w:szCs w:val="22"/>
              </w:rPr>
            </w:pPr>
            <w:r w:rsidRPr="00264D5D">
              <w:rPr>
                <w:szCs w:val="22"/>
              </w:rPr>
              <w:t>…</w:t>
            </w:r>
          </w:p>
        </w:tc>
        <w:tc>
          <w:tcPr>
            <w:tcW w:w="1134" w:type="dxa"/>
          </w:tcPr>
          <w:p w14:paraId="730D36D3" w14:textId="77777777" w:rsidR="00AD1F54" w:rsidRPr="00264D5D" w:rsidRDefault="00941227">
            <w:pPr>
              <w:pStyle w:val="GOSTTablenorm"/>
              <w:rPr>
                <w:szCs w:val="22"/>
              </w:rPr>
            </w:pPr>
            <w:r w:rsidRPr="00264D5D">
              <w:rPr>
                <w:szCs w:val="22"/>
              </w:rPr>
              <w:t>…</w:t>
            </w:r>
          </w:p>
        </w:tc>
        <w:tc>
          <w:tcPr>
            <w:tcW w:w="567" w:type="dxa"/>
          </w:tcPr>
          <w:p w14:paraId="5CFD40D3" w14:textId="77777777" w:rsidR="00AD1F54" w:rsidRPr="00264D5D" w:rsidRDefault="00941227">
            <w:pPr>
              <w:pStyle w:val="GOSTTablenorm"/>
              <w:jc w:val="center"/>
              <w:rPr>
                <w:szCs w:val="22"/>
              </w:rPr>
            </w:pPr>
            <w:r w:rsidRPr="00264D5D">
              <w:rPr>
                <w:szCs w:val="22"/>
              </w:rPr>
              <w:t>…</w:t>
            </w:r>
          </w:p>
        </w:tc>
        <w:tc>
          <w:tcPr>
            <w:tcW w:w="3963" w:type="dxa"/>
          </w:tcPr>
          <w:p w14:paraId="7AACC85F" w14:textId="77777777" w:rsidR="00AD1F54" w:rsidRPr="00264D5D" w:rsidRDefault="00941227">
            <w:pPr>
              <w:pStyle w:val="GOSTTablenorm"/>
              <w:rPr>
                <w:szCs w:val="22"/>
              </w:rPr>
            </w:pPr>
            <w:r w:rsidRPr="00264D5D">
              <w:rPr>
                <w:szCs w:val="22"/>
              </w:rPr>
              <w:t>…</w:t>
            </w:r>
          </w:p>
        </w:tc>
      </w:tr>
      <w:tr w:rsidR="00AD1F54" w:rsidRPr="00264D5D" w14:paraId="593AE91D"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9F81EC7" w14:textId="77777777" w:rsidR="00AD1F54" w:rsidRPr="00264D5D" w:rsidRDefault="00941227">
            <w:pPr>
              <w:pStyle w:val="GOSTTablenorm"/>
              <w:rPr>
                <w:szCs w:val="22"/>
              </w:rPr>
            </w:pPr>
            <w:r w:rsidRPr="00264D5D">
              <w:rPr>
                <w:szCs w:val="22"/>
              </w:rPr>
              <w:t>Атрибут безопасности 20</w:t>
            </w:r>
          </w:p>
        </w:tc>
        <w:tc>
          <w:tcPr>
            <w:tcW w:w="1701" w:type="dxa"/>
          </w:tcPr>
          <w:p w14:paraId="5EC170CA" w14:textId="77777777" w:rsidR="00AD1F54" w:rsidRPr="00264D5D" w:rsidRDefault="00941227">
            <w:pPr>
              <w:pStyle w:val="GOSTTablenorm"/>
              <w:rPr>
                <w:szCs w:val="22"/>
              </w:rPr>
            </w:pPr>
            <w:r w:rsidRPr="00264D5D">
              <w:rPr>
                <w:szCs w:val="22"/>
              </w:rPr>
              <w:t>SecAttribute20</w:t>
            </w:r>
          </w:p>
        </w:tc>
        <w:tc>
          <w:tcPr>
            <w:tcW w:w="567" w:type="dxa"/>
          </w:tcPr>
          <w:p w14:paraId="3E10CD93" w14:textId="77777777" w:rsidR="00AD1F54" w:rsidRPr="00264D5D" w:rsidRDefault="00941227">
            <w:pPr>
              <w:pStyle w:val="GOSTTablenorm"/>
              <w:jc w:val="center"/>
              <w:rPr>
                <w:szCs w:val="22"/>
              </w:rPr>
            </w:pPr>
            <w:r w:rsidRPr="00264D5D">
              <w:rPr>
                <w:szCs w:val="22"/>
              </w:rPr>
              <w:t>П</w:t>
            </w:r>
          </w:p>
        </w:tc>
        <w:tc>
          <w:tcPr>
            <w:tcW w:w="1134" w:type="dxa"/>
          </w:tcPr>
          <w:p w14:paraId="25AB523A" w14:textId="77777777" w:rsidR="00AD1F54" w:rsidRPr="00264D5D" w:rsidRDefault="00941227">
            <w:pPr>
              <w:pStyle w:val="GOSTTablenorm"/>
              <w:rPr>
                <w:szCs w:val="22"/>
              </w:rPr>
            </w:pPr>
            <w:r w:rsidRPr="00264D5D">
              <w:rPr>
                <w:szCs w:val="22"/>
              </w:rPr>
              <w:t>Т(1-1000)</w:t>
            </w:r>
          </w:p>
        </w:tc>
        <w:tc>
          <w:tcPr>
            <w:tcW w:w="567" w:type="dxa"/>
          </w:tcPr>
          <w:p w14:paraId="387E3C09" w14:textId="77777777" w:rsidR="00AD1F54" w:rsidRPr="00264D5D" w:rsidRDefault="00941227">
            <w:pPr>
              <w:pStyle w:val="GOSTTablenorm"/>
              <w:jc w:val="center"/>
              <w:rPr>
                <w:szCs w:val="22"/>
              </w:rPr>
            </w:pPr>
            <w:r w:rsidRPr="00264D5D">
              <w:rPr>
                <w:szCs w:val="22"/>
              </w:rPr>
              <w:t>О</w:t>
            </w:r>
          </w:p>
        </w:tc>
        <w:tc>
          <w:tcPr>
            <w:tcW w:w="3963" w:type="dxa"/>
          </w:tcPr>
          <w:p w14:paraId="5DD1EB40" w14:textId="77777777" w:rsidR="00AD1F54" w:rsidRPr="00264D5D" w:rsidRDefault="00D76395">
            <w:pPr>
              <w:pStyle w:val="GOSTTablenorm"/>
              <w:rPr>
                <w:szCs w:val="22"/>
              </w:rPr>
            </w:pPr>
            <w:r w:rsidRPr="00264D5D">
              <w:rPr>
                <w:szCs w:val="22"/>
              </w:rPr>
              <w:t>Атрибут безопасности 20</w:t>
            </w:r>
          </w:p>
        </w:tc>
      </w:tr>
      <w:tr w:rsidR="00AD1F54" w:rsidRPr="00264D5D" w14:paraId="69373E5E"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40DE8D5" w14:textId="77777777" w:rsidR="00AD1F54" w:rsidRPr="00264D5D" w:rsidRDefault="00941227">
            <w:pPr>
              <w:pStyle w:val="GOSTTablenorm"/>
              <w:rPr>
                <w:szCs w:val="22"/>
              </w:rPr>
            </w:pPr>
            <w:r w:rsidRPr="00264D5D">
              <w:rPr>
                <w:szCs w:val="22"/>
              </w:rPr>
              <w:t>Сегмент 1</w:t>
            </w:r>
          </w:p>
        </w:tc>
        <w:tc>
          <w:tcPr>
            <w:tcW w:w="1701" w:type="dxa"/>
          </w:tcPr>
          <w:p w14:paraId="64AA1169" w14:textId="77777777" w:rsidR="00AD1F54" w:rsidRPr="00264D5D" w:rsidRDefault="00941227">
            <w:pPr>
              <w:pStyle w:val="GOSTTablenorm"/>
              <w:rPr>
                <w:szCs w:val="22"/>
              </w:rPr>
            </w:pPr>
            <w:r w:rsidRPr="00264D5D">
              <w:rPr>
                <w:szCs w:val="22"/>
              </w:rPr>
              <w:t>Segment1</w:t>
            </w:r>
          </w:p>
        </w:tc>
        <w:tc>
          <w:tcPr>
            <w:tcW w:w="567" w:type="dxa"/>
          </w:tcPr>
          <w:p w14:paraId="6B6AE7C5" w14:textId="77777777" w:rsidR="00AD1F54" w:rsidRPr="00264D5D" w:rsidRDefault="00941227">
            <w:pPr>
              <w:pStyle w:val="GOSTTablenorm"/>
              <w:jc w:val="center"/>
              <w:rPr>
                <w:szCs w:val="22"/>
              </w:rPr>
            </w:pPr>
            <w:r w:rsidRPr="00264D5D">
              <w:rPr>
                <w:szCs w:val="22"/>
              </w:rPr>
              <w:t>П</w:t>
            </w:r>
          </w:p>
        </w:tc>
        <w:tc>
          <w:tcPr>
            <w:tcW w:w="1134" w:type="dxa"/>
          </w:tcPr>
          <w:p w14:paraId="7F4A6FB7" w14:textId="77777777" w:rsidR="00AD1F54" w:rsidRPr="00264D5D" w:rsidRDefault="00941227">
            <w:pPr>
              <w:pStyle w:val="GOSTTablenorm"/>
              <w:rPr>
                <w:szCs w:val="22"/>
              </w:rPr>
            </w:pPr>
            <w:r w:rsidRPr="00264D5D">
              <w:rPr>
                <w:szCs w:val="22"/>
              </w:rPr>
              <w:t>Т(1-240)</w:t>
            </w:r>
          </w:p>
        </w:tc>
        <w:tc>
          <w:tcPr>
            <w:tcW w:w="567" w:type="dxa"/>
          </w:tcPr>
          <w:p w14:paraId="65ACC91F" w14:textId="77777777" w:rsidR="00AD1F54" w:rsidRPr="00264D5D" w:rsidRDefault="00941227">
            <w:pPr>
              <w:pStyle w:val="GOSTTablenorm"/>
              <w:jc w:val="center"/>
              <w:rPr>
                <w:szCs w:val="22"/>
              </w:rPr>
            </w:pPr>
            <w:r w:rsidRPr="00264D5D">
              <w:rPr>
                <w:szCs w:val="22"/>
              </w:rPr>
              <w:t>О</w:t>
            </w:r>
          </w:p>
        </w:tc>
        <w:tc>
          <w:tcPr>
            <w:tcW w:w="3963" w:type="dxa"/>
          </w:tcPr>
          <w:p w14:paraId="30AC9E07" w14:textId="77777777" w:rsidR="00AD1F54" w:rsidRPr="00264D5D" w:rsidRDefault="00D76395">
            <w:pPr>
              <w:pStyle w:val="GOSTTablenorm"/>
              <w:rPr>
                <w:szCs w:val="22"/>
              </w:rPr>
            </w:pPr>
            <w:r w:rsidRPr="00264D5D">
              <w:rPr>
                <w:szCs w:val="22"/>
              </w:rPr>
              <w:t>Сегмент 1</w:t>
            </w:r>
          </w:p>
        </w:tc>
      </w:tr>
      <w:tr w:rsidR="00AD1F54" w:rsidRPr="00264D5D" w14:paraId="1A985ED4"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07609576" w14:textId="77777777" w:rsidR="00AD1F54" w:rsidRPr="00264D5D" w:rsidRDefault="00941227">
            <w:pPr>
              <w:pStyle w:val="GOSTTablenorm"/>
              <w:rPr>
                <w:szCs w:val="22"/>
              </w:rPr>
            </w:pPr>
            <w:r w:rsidRPr="00264D5D">
              <w:rPr>
                <w:szCs w:val="22"/>
              </w:rPr>
              <w:t>Сегмент 2</w:t>
            </w:r>
          </w:p>
        </w:tc>
        <w:tc>
          <w:tcPr>
            <w:tcW w:w="1701" w:type="dxa"/>
          </w:tcPr>
          <w:p w14:paraId="1F528644" w14:textId="77777777" w:rsidR="00AD1F54" w:rsidRPr="00264D5D" w:rsidRDefault="00941227">
            <w:pPr>
              <w:pStyle w:val="GOSTTablenorm"/>
              <w:rPr>
                <w:szCs w:val="22"/>
              </w:rPr>
            </w:pPr>
            <w:r w:rsidRPr="00264D5D">
              <w:rPr>
                <w:szCs w:val="22"/>
              </w:rPr>
              <w:t>Segment2</w:t>
            </w:r>
          </w:p>
        </w:tc>
        <w:tc>
          <w:tcPr>
            <w:tcW w:w="567" w:type="dxa"/>
          </w:tcPr>
          <w:p w14:paraId="3BF5B399" w14:textId="77777777" w:rsidR="00AD1F54" w:rsidRPr="00264D5D" w:rsidRDefault="00941227">
            <w:pPr>
              <w:pStyle w:val="GOSTTablenorm"/>
              <w:jc w:val="center"/>
              <w:rPr>
                <w:szCs w:val="22"/>
              </w:rPr>
            </w:pPr>
            <w:r w:rsidRPr="00264D5D">
              <w:rPr>
                <w:szCs w:val="22"/>
              </w:rPr>
              <w:t>П</w:t>
            </w:r>
          </w:p>
        </w:tc>
        <w:tc>
          <w:tcPr>
            <w:tcW w:w="1134" w:type="dxa"/>
          </w:tcPr>
          <w:p w14:paraId="5BF7C6B4" w14:textId="77777777" w:rsidR="00AD1F54" w:rsidRPr="00264D5D" w:rsidRDefault="00941227">
            <w:pPr>
              <w:pStyle w:val="GOSTTablenorm"/>
              <w:rPr>
                <w:szCs w:val="22"/>
              </w:rPr>
            </w:pPr>
            <w:r w:rsidRPr="00264D5D">
              <w:rPr>
                <w:szCs w:val="22"/>
              </w:rPr>
              <w:t>Т(1-240)</w:t>
            </w:r>
          </w:p>
        </w:tc>
        <w:tc>
          <w:tcPr>
            <w:tcW w:w="567" w:type="dxa"/>
          </w:tcPr>
          <w:p w14:paraId="4B8EC43A" w14:textId="77777777" w:rsidR="00AD1F54" w:rsidRPr="00264D5D" w:rsidRDefault="00941227">
            <w:pPr>
              <w:pStyle w:val="GOSTTablenorm"/>
              <w:jc w:val="center"/>
              <w:rPr>
                <w:szCs w:val="22"/>
              </w:rPr>
            </w:pPr>
            <w:r w:rsidRPr="00264D5D">
              <w:rPr>
                <w:szCs w:val="22"/>
              </w:rPr>
              <w:t>О</w:t>
            </w:r>
          </w:p>
        </w:tc>
        <w:tc>
          <w:tcPr>
            <w:tcW w:w="3963" w:type="dxa"/>
          </w:tcPr>
          <w:p w14:paraId="3F0AC0EF" w14:textId="77777777" w:rsidR="00AD1F54" w:rsidRPr="00264D5D" w:rsidRDefault="00D76395">
            <w:pPr>
              <w:spacing w:before="60" w:after="60"/>
              <w:rPr>
                <w:sz w:val="22"/>
                <w:szCs w:val="22"/>
                <w:lang w:eastAsia="en-US"/>
              </w:rPr>
            </w:pPr>
            <w:r w:rsidRPr="00264D5D">
              <w:rPr>
                <w:sz w:val="22"/>
                <w:szCs w:val="22"/>
                <w:lang w:eastAsia="en-US"/>
              </w:rPr>
              <w:t>Сегмент 2</w:t>
            </w:r>
          </w:p>
        </w:tc>
      </w:tr>
      <w:tr w:rsidR="00AD1F54" w:rsidRPr="00264D5D" w14:paraId="4CAEA980"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27AA1DD" w14:textId="77777777" w:rsidR="00AD1F54" w:rsidRPr="00264D5D" w:rsidRDefault="00941227">
            <w:pPr>
              <w:pStyle w:val="GOSTTablenorm"/>
              <w:rPr>
                <w:szCs w:val="22"/>
              </w:rPr>
            </w:pPr>
            <w:r w:rsidRPr="00264D5D">
              <w:rPr>
                <w:szCs w:val="22"/>
              </w:rPr>
              <w:t>Сегмент 3</w:t>
            </w:r>
          </w:p>
        </w:tc>
        <w:tc>
          <w:tcPr>
            <w:tcW w:w="1701" w:type="dxa"/>
          </w:tcPr>
          <w:p w14:paraId="15A073A1" w14:textId="77777777" w:rsidR="00AD1F54" w:rsidRPr="00264D5D" w:rsidRDefault="00941227">
            <w:pPr>
              <w:pStyle w:val="GOSTTablenorm"/>
              <w:rPr>
                <w:szCs w:val="22"/>
              </w:rPr>
            </w:pPr>
            <w:r w:rsidRPr="00264D5D">
              <w:rPr>
                <w:szCs w:val="22"/>
              </w:rPr>
              <w:t>Segment3</w:t>
            </w:r>
          </w:p>
        </w:tc>
        <w:tc>
          <w:tcPr>
            <w:tcW w:w="567" w:type="dxa"/>
          </w:tcPr>
          <w:p w14:paraId="4780A0E2" w14:textId="77777777" w:rsidR="00AD1F54" w:rsidRPr="00264D5D" w:rsidRDefault="00941227">
            <w:pPr>
              <w:pStyle w:val="GOSTTablenorm"/>
              <w:jc w:val="center"/>
              <w:rPr>
                <w:szCs w:val="22"/>
              </w:rPr>
            </w:pPr>
            <w:r w:rsidRPr="00264D5D">
              <w:rPr>
                <w:szCs w:val="22"/>
              </w:rPr>
              <w:t>П</w:t>
            </w:r>
          </w:p>
        </w:tc>
        <w:tc>
          <w:tcPr>
            <w:tcW w:w="1134" w:type="dxa"/>
          </w:tcPr>
          <w:p w14:paraId="2CA8DD30" w14:textId="77777777" w:rsidR="00AD1F54" w:rsidRPr="00264D5D" w:rsidRDefault="00941227">
            <w:pPr>
              <w:pStyle w:val="GOSTTablenorm"/>
              <w:rPr>
                <w:szCs w:val="22"/>
              </w:rPr>
            </w:pPr>
            <w:r w:rsidRPr="00264D5D">
              <w:rPr>
                <w:szCs w:val="22"/>
              </w:rPr>
              <w:t>Т(1-240)</w:t>
            </w:r>
          </w:p>
        </w:tc>
        <w:tc>
          <w:tcPr>
            <w:tcW w:w="567" w:type="dxa"/>
          </w:tcPr>
          <w:p w14:paraId="653A412B" w14:textId="77777777" w:rsidR="00AD1F54" w:rsidRPr="00264D5D" w:rsidRDefault="00941227">
            <w:pPr>
              <w:pStyle w:val="GOSTTablenorm"/>
              <w:jc w:val="center"/>
              <w:rPr>
                <w:szCs w:val="22"/>
              </w:rPr>
            </w:pPr>
            <w:r w:rsidRPr="00264D5D">
              <w:rPr>
                <w:szCs w:val="22"/>
              </w:rPr>
              <w:t>О</w:t>
            </w:r>
          </w:p>
        </w:tc>
        <w:tc>
          <w:tcPr>
            <w:tcW w:w="3963" w:type="dxa"/>
          </w:tcPr>
          <w:p w14:paraId="06E2FA72" w14:textId="77777777" w:rsidR="00AD1F54" w:rsidRPr="00264D5D" w:rsidRDefault="00D76395">
            <w:pPr>
              <w:pStyle w:val="GOSTTablenorm"/>
              <w:rPr>
                <w:szCs w:val="22"/>
              </w:rPr>
            </w:pPr>
            <w:r w:rsidRPr="00264D5D">
              <w:rPr>
                <w:szCs w:val="22"/>
              </w:rPr>
              <w:t>Сегмент 3</w:t>
            </w:r>
          </w:p>
        </w:tc>
      </w:tr>
      <w:tr w:rsidR="00AD1F54" w:rsidRPr="00264D5D" w14:paraId="2C4C4652"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63A97548" w14:textId="77777777" w:rsidR="00AD1F54" w:rsidRPr="00264D5D" w:rsidRDefault="00941227">
            <w:pPr>
              <w:pStyle w:val="GOSTTablenorm"/>
              <w:rPr>
                <w:szCs w:val="22"/>
              </w:rPr>
            </w:pPr>
            <w:r w:rsidRPr="00264D5D">
              <w:rPr>
                <w:szCs w:val="22"/>
              </w:rPr>
              <w:t>…</w:t>
            </w:r>
          </w:p>
        </w:tc>
        <w:tc>
          <w:tcPr>
            <w:tcW w:w="1701" w:type="dxa"/>
          </w:tcPr>
          <w:p w14:paraId="77052691" w14:textId="77777777" w:rsidR="00AD1F54" w:rsidRPr="00264D5D" w:rsidRDefault="00941227">
            <w:pPr>
              <w:pStyle w:val="GOSTTablenorm"/>
              <w:rPr>
                <w:szCs w:val="22"/>
              </w:rPr>
            </w:pPr>
            <w:r w:rsidRPr="00264D5D">
              <w:rPr>
                <w:szCs w:val="22"/>
              </w:rPr>
              <w:t>….</w:t>
            </w:r>
          </w:p>
        </w:tc>
        <w:tc>
          <w:tcPr>
            <w:tcW w:w="567" w:type="dxa"/>
          </w:tcPr>
          <w:p w14:paraId="1BA57998" w14:textId="77777777" w:rsidR="00AD1F54" w:rsidRPr="00264D5D" w:rsidRDefault="00941227">
            <w:pPr>
              <w:pStyle w:val="GOSTTablenorm"/>
              <w:jc w:val="center"/>
              <w:rPr>
                <w:szCs w:val="22"/>
              </w:rPr>
            </w:pPr>
            <w:r w:rsidRPr="00264D5D">
              <w:rPr>
                <w:szCs w:val="22"/>
              </w:rPr>
              <w:t>…</w:t>
            </w:r>
          </w:p>
        </w:tc>
        <w:tc>
          <w:tcPr>
            <w:tcW w:w="1134" w:type="dxa"/>
          </w:tcPr>
          <w:p w14:paraId="36368BDE" w14:textId="77777777" w:rsidR="00AD1F54" w:rsidRPr="00264D5D" w:rsidRDefault="00941227">
            <w:pPr>
              <w:pStyle w:val="GOSTTablenorm"/>
              <w:rPr>
                <w:szCs w:val="22"/>
              </w:rPr>
            </w:pPr>
            <w:r w:rsidRPr="00264D5D">
              <w:rPr>
                <w:szCs w:val="22"/>
              </w:rPr>
              <w:t>…</w:t>
            </w:r>
          </w:p>
        </w:tc>
        <w:tc>
          <w:tcPr>
            <w:tcW w:w="567" w:type="dxa"/>
          </w:tcPr>
          <w:p w14:paraId="65A0A0B5" w14:textId="77777777" w:rsidR="00AD1F54" w:rsidRPr="00264D5D" w:rsidRDefault="00941227">
            <w:pPr>
              <w:pStyle w:val="GOSTTablenorm"/>
              <w:jc w:val="center"/>
              <w:rPr>
                <w:szCs w:val="22"/>
              </w:rPr>
            </w:pPr>
            <w:r w:rsidRPr="00264D5D">
              <w:rPr>
                <w:szCs w:val="22"/>
              </w:rPr>
              <w:t>…</w:t>
            </w:r>
          </w:p>
        </w:tc>
        <w:tc>
          <w:tcPr>
            <w:tcW w:w="3963" w:type="dxa"/>
          </w:tcPr>
          <w:p w14:paraId="5E423085" w14:textId="77777777" w:rsidR="00AD1F54" w:rsidRPr="00264D5D" w:rsidRDefault="00941227">
            <w:pPr>
              <w:pStyle w:val="GOSTTablenorm"/>
              <w:rPr>
                <w:szCs w:val="22"/>
              </w:rPr>
            </w:pPr>
            <w:r w:rsidRPr="00264D5D">
              <w:rPr>
                <w:szCs w:val="22"/>
              </w:rPr>
              <w:t>…</w:t>
            </w:r>
          </w:p>
        </w:tc>
      </w:tr>
      <w:tr w:rsidR="00AD1F54" w:rsidRPr="00264D5D" w14:paraId="6B641B5B"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5326FC4" w14:textId="77777777" w:rsidR="00AD1F54" w:rsidRPr="00264D5D" w:rsidRDefault="00941227">
            <w:pPr>
              <w:pStyle w:val="GOSTTablenorm"/>
              <w:rPr>
                <w:szCs w:val="22"/>
              </w:rPr>
            </w:pPr>
            <w:r w:rsidRPr="00264D5D">
              <w:rPr>
                <w:szCs w:val="22"/>
              </w:rPr>
              <w:t>Сегмент 20</w:t>
            </w:r>
          </w:p>
        </w:tc>
        <w:tc>
          <w:tcPr>
            <w:tcW w:w="1701" w:type="dxa"/>
          </w:tcPr>
          <w:p w14:paraId="7AF6599D" w14:textId="77777777" w:rsidR="00AD1F54" w:rsidRPr="00264D5D" w:rsidRDefault="00941227">
            <w:pPr>
              <w:pStyle w:val="GOSTTablenorm"/>
              <w:rPr>
                <w:szCs w:val="22"/>
              </w:rPr>
            </w:pPr>
            <w:r w:rsidRPr="00264D5D">
              <w:rPr>
                <w:szCs w:val="22"/>
              </w:rPr>
              <w:t>Segment20</w:t>
            </w:r>
          </w:p>
        </w:tc>
        <w:tc>
          <w:tcPr>
            <w:tcW w:w="567" w:type="dxa"/>
          </w:tcPr>
          <w:p w14:paraId="57D8CAB4" w14:textId="77777777" w:rsidR="00AD1F54" w:rsidRPr="00264D5D" w:rsidRDefault="00941227">
            <w:pPr>
              <w:pStyle w:val="GOSTTablenorm"/>
              <w:jc w:val="center"/>
              <w:rPr>
                <w:szCs w:val="22"/>
              </w:rPr>
            </w:pPr>
            <w:r w:rsidRPr="00264D5D">
              <w:rPr>
                <w:szCs w:val="22"/>
              </w:rPr>
              <w:t>П</w:t>
            </w:r>
          </w:p>
        </w:tc>
        <w:tc>
          <w:tcPr>
            <w:tcW w:w="1134" w:type="dxa"/>
          </w:tcPr>
          <w:p w14:paraId="32E5402C" w14:textId="77777777" w:rsidR="00AD1F54" w:rsidRPr="00264D5D" w:rsidRDefault="00941227">
            <w:pPr>
              <w:pStyle w:val="GOSTTablenorm"/>
              <w:rPr>
                <w:szCs w:val="22"/>
              </w:rPr>
            </w:pPr>
            <w:r w:rsidRPr="00264D5D">
              <w:rPr>
                <w:szCs w:val="22"/>
              </w:rPr>
              <w:t>Т(1-240)</w:t>
            </w:r>
          </w:p>
        </w:tc>
        <w:tc>
          <w:tcPr>
            <w:tcW w:w="567" w:type="dxa"/>
          </w:tcPr>
          <w:p w14:paraId="1FDB973A" w14:textId="77777777" w:rsidR="00AD1F54" w:rsidRPr="00264D5D" w:rsidRDefault="00941227">
            <w:pPr>
              <w:pStyle w:val="GOSTTablenorm"/>
              <w:jc w:val="center"/>
              <w:rPr>
                <w:szCs w:val="22"/>
              </w:rPr>
            </w:pPr>
            <w:r w:rsidRPr="00264D5D">
              <w:rPr>
                <w:szCs w:val="22"/>
              </w:rPr>
              <w:t>О</w:t>
            </w:r>
          </w:p>
        </w:tc>
        <w:tc>
          <w:tcPr>
            <w:tcW w:w="3963" w:type="dxa"/>
          </w:tcPr>
          <w:p w14:paraId="46454B3C" w14:textId="77777777" w:rsidR="00AD1F54" w:rsidRPr="00264D5D" w:rsidRDefault="00D76395">
            <w:pPr>
              <w:pStyle w:val="GOSTTablenorm"/>
              <w:rPr>
                <w:szCs w:val="22"/>
              </w:rPr>
            </w:pPr>
            <w:r w:rsidRPr="00264D5D">
              <w:rPr>
                <w:szCs w:val="22"/>
              </w:rPr>
              <w:t>Сегмент 20</w:t>
            </w:r>
          </w:p>
        </w:tc>
      </w:tr>
      <w:tr w:rsidR="00AD1F54" w:rsidRPr="00264D5D" w14:paraId="4084FE35"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A7A54BC" w14:textId="77777777" w:rsidR="00AD1F54" w:rsidRPr="00264D5D" w:rsidRDefault="00941227">
            <w:pPr>
              <w:pStyle w:val="GOSTTablenorm"/>
              <w:rPr>
                <w:szCs w:val="22"/>
              </w:rPr>
            </w:pPr>
            <w:r w:rsidRPr="00264D5D">
              <w:rPr>
                <w:szCs w:val="22"/>
              </w:rPr>
              <w:t>Сегмент 1</w:t>
            </w:r>
          </w:p>
        </w:tc>
        <w:tc>
          <w:tcPr>
            <w:tcW w:w="1701" w:type="dxa"/>
          </w:tcPr>
          <w:p w14:paraId="4211B90B" w14:textId="77777777" w:rsidR="00AD1F54" w:rsidRPr="00264D5D" w:rsidRDefault="00941227">
            <w:pPr>
              <w:pStyle w:val="GOSTTablenorm"/>
              <w:rPr>
                <w:szCs w:val="22"/>
              </w:rPr>
            </w:pPr>
            <w:r w:rsidRPr="00264D5D">
              <w:rPr>
                <w:szCs w:val="22"/>
              </w:rPr>
              <w:t>Segment_Num1</w:t>
            </w:r>
          </w:p>
        </w:tc>
        <w:tc>
          <w:tcPr>
            <w:tcW w:w="567" w:type="dxa"/>
          </w:tcPr>
          <w:p w14:paraId="3CF4A181" w14:textId="77777777" w:rsidR="00AD1F54" w:rsidRPr="00264D5D" w:rsidRDefault="00941227">
            <w:pPr>
              <w:pStyle w:val="GOSTTablenorm"/>
              <w:jc w:val="center"/>
              <w:rPr>
                <w:szCs w:val="22"/>
              </w:rPr>
            </w:pPr>
            <w:r w:rsidRPr="00264D5D">
              <w:rPr>
                <w:szCs w:val="22"/>
              </w:rPr>
              <w:t>П</w:t>
            </w:r>
          </w:p>
        </w:tc>
        <w:tc>
          <w:tcPr>
            <w:tcW w:w="1134" w:type="dxa"/>
          </w:tcPr>
          <w:p w14:paraId="0FE4A8C9" w14:textId="77777777" w:rsidR="00AD1F54" w:rsidRPr="00264D5D" w:rsidRDefault="00941227">
            <w:pPr>
              <w:pStyle w:val="GOSTTablenorm"/>
              <w:rPr>
                <w:szCs w:val="22"/>
              </w:rPr>
            </w:pPr>
            <w:r w:rsidRPr="00264D5D">
              <w:rPr>
                <w:szCs w:val="22"/>
              </w:rPr>
              <w:t>Т(1-240)</w:t>
            </w:r>
          </w:p>
        </w:tc>
        <w:tc>
          <w:tcPr>
            <w:tcW w:w="567" w:type="dxa"/>
          </w:tcPr>
          <w:p w14:paraId="522BCF1B" w14:textId="77777777" w:rsidR="00AD1F54" w:rsidRPr="00264D5D" w:rsidRDefault="00941227">
            <w:pPr>
              <w:pStyle w:val="GOSTTablenorm"/>
              <w:jc w:val="center"/>
              <w:rPr>
                <w:szCs w:val="22"/>
              </w:rPr>
            </w:pPr>
            <w:r w:rsidRPr="00264D5D">
              <w:rPr>
                <w:szCs w:val="22"/>
              </w:rPr>
              <w:t>О</w:t>
            </w:r>
          </w:p>
        </w:tc>
        <w:tc>
          <w:tcPr>
            <w:tcW w:w="3963" w:type="dxa"/>
          </w:tcPr>
          <w:p w14:paraId="75B51F77" w14:textId="77777777" w:rsidR="00AD1F54" w:rsidRPr="00264D5D" w:rsidRDefault="00D76395">
            <w:pPr>
              <w:pStyle w:val="GOSTTablenorm"/>
              <w:rPr>
                <w:szCs w:val="22"/>
              </w:rPr>
            </w:pPr>
            <w:r w:rsidRPr="00264D5D">
              <w:rPr>
                <w:szCs w:val="22"/>
              </w:rPr>
              <w:t>Сегмент 1</w:t>
            </w:r>
          </w:p>
        </w:tc>
      </w:tr>
      <w:tr w:rsidR="00AD1F54" w:rsidRPr="00264D5D" w14:paraId="118EA474"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9191956" w14:textId="77777777" w:rsidR="00AD1F54" w:rsidRPr="00264D5D" w:rsidRDefault="00941227">
            <w:pPr>
              <w:pStyle w:val="GOSTTablenorm"/>
              <w:rPr>
                <w:szCs w:val="22"/>
              </w:rPr>
            </w:pPr>
            <w:r w:rsidRPr="00264D5D">
              <w:rPr>
                <w:szCs w:val="22"/>
              </w:rPr>
              <w:t>…</w:t>
            </w:r>
          </w:p>
        </w:tc>
        <w:tc>
          <w:tcPr>
            <w:tcW w:w="1701" w:type="dxa"/>
          </w:tcPr>
          <w:p w14:paraId="62EDC92A" w14:textId="77777777" w:rsidR="00AD1F54" w:rsidRPr="00264D5D" w:rsidRDefault="00941227">
            <w:pPr>
              <w:pStyle w:val="GOSTTablenorm"/>
              <w:rPr>
                <w:szCs w:val="22"/>
              </w:rPr>
            </w:pPr>
            <w:r w:rsidRPr="00264D5D">
              <w:rPr>
                <w:szCs w:val="22"/>
              </w:rPr>
              <w:t>….</w:t>
            </w:r>
          </w:p>
        </w:tc>
        <w:tc>
          <w:tcPr>
            <w:tcW w:w="567" w:type="dxa"/>
          </w:tcPr>
          <w:p w14:paraId="574B30B0" w14:textId="77777777" w:rsidR="00AD1F54" w:rsidRPr="00264D5D" w:rsidRDefault="00941227">
            <w:pPr>
              <w:pStyle w:val="GOSTTablenorm"/>
              <w:jc w:val="center"/>
              <w:rPr>
                <w:szCs w:val="22"/>
              </w:rPr>
            </w:pPr>
            <w:r w:rsidRPr="00264D5D">
              <w:rPr>
                <w:szCs w:val="22"/>
              </w:rPr>
              <w:t>…</w:t>
            </w:r>
          </w:p>
        </w:tc>
        <w:tc>
          <w:tcPr>
            <w:tcW w:w="1134" w:type="dxa"/>
          </w:tcPr>
          <w:p w14:paraId="7A97C75F" w14:textId="77777777" w:rsidR="00AD1F54" w:rsidRPr="00264D5D" w:rsidRDefault="00941227">
            <w:pPr>
              <w:pStyle w:val="GOSTTablenorm"/>
              <w:rPr>
                <w:szCs w:val="22"/>
              </w:rPr>
            </w:pPr>
            <w:r w:rsidRPr="00264D5D">
              <w:rPr>
                <w:szCs w:val="22"/>
              </w:rPr>
              <w:t>…</w:t>
            </w:r>
          </w:p>
        </w:tc>
        <w:tc>
          <w:tcPr>
            <w:tcW w:w="567" w:type="dxa"/>
          </w:tcPr>
          <w:p w14:paraId="2BC875E2" w14:textId="77777777" w:rsidR="00AD1F54" w:rsidRPr="00264D5D" w:rsidRDefault="00941227">
            <w:pPr>
              <w:pStyle w:val="GOSTTablenorm"/>
              <w:jc w:val="center"/>
              <w:rPr>
                <w:szCs w:val="22"/>
              </w:rPr>
            </w:pPr>
            <w:r w:rsidRPr="00264D5D">
              <w:rPr>
                <w:szCs w:val="22"/>
              </w:rPr>
              <w:t>…</w:t>
            </w:r>
          </w:p>
        </w:tc>
        <w:tc>
          <w:tcPr>
            <w:tcW w:w="3963" w:type="dxa"/>
          </w:tcPr>
          <w:p w14:paraId="445F2802" w14:textId="77777777" w:rsidR="00AD1F54" w:rsidRPr="00264D5D" w:rsidRDefault="00941227">
            <w:pPr>
              <w:pStyle w:val="GOSTTablenorm"/>
              <w:rPr>
                <w:szCs w:val="22"/>
              </w:rPr>
            </w:pPr>
            <w:r w:rsidRPr="00264D5D">
              <w:rPr>
                <w:szCs w:val="22"/>
              </w:rPr>
              <w:t>…</w:t>
            </w:r>
          </w:p>
        </w:tc>
      </w:tr>
      <w:tr w:rsidR="00AD1F54" w:rsidRPr="00264D5D" w14:paraId="3EBF0DAF"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2847B3CF" w14:textId="77777777" w:rsidR="00AD1F54" w:rsidRPr="00264D5D" w:rsidRDefault="00941227">
            <w:pPr>
              <w:pStyle w:val="GOSTTablenorm"/>
              <w:rPr>
                <w:szCs w:val="22"/>
              </w:rPr>
            </w:pPr>
            <w:r w:rsidRPr="00264D5D">
              <w:rPr>
                <w:szCs w:val="22"/>
              </w:rPr>
              <w:t>Сегмент 10</w:t>
            </w:r>
          </w:p>
        </w:tc>
        <w:tc>
          <w:tcPr>
            <w:tcW w:w="1701" w:type="dxa"/>
          </w:tcPr>
          <w:p w14:paraId="61C9D27B" w14:textId="77777777" w:rsidR="00AD1F54" w:rsidRPr="00264D5D" w:rsidRDefault="00941227">
            <w:pPr>
              <w:pStyle w:val="GOSTTablenorm"/>
              <w:rPr>
                <w:szCs w:val="22"/>
              </w:rPr>
            </w:pPr>
            <w:r w:rsidRPr="00264D5D">
              <w:rPr>
                <w:szCs w:val="22"/>
              </w:rPr>
              <w:t>Segment_Num10</w:t>
            </w:r>
          </w:p>
        </w:tc>
        <w:tc>
          <w:tcPr>
            <w:tcW w:w="567" w:type="dxa"/>
          </w:tcPr>
          <w:p w14:paraId="169CA110" w14:textId="77777777" w:rsidR="00AD1F54" w:rsidRPr="00264D5D" w:rsidRDefault="00941227">
            <w:pPr>
              <w:pStyle w:val="GOSTTablenorm"/>
              <w:jc w:val="center"/>
              <w:rPr>
                <w:szCs w:val="22"/>
              </w:rPr>
            </w:pPr>
            <w:r w:rsidRPr="00264D5D">
              <w:rPr>
                <w:szCs w:val="22"/>
              </w:rPr>
              <w:t>П</w:t>
            </w:r>
          </w:p>
        </w:tc>
        <w:tc>
          <w:tcPr>
            <w:tcW w:w="1134" w:type="dxa"/>
          </w:tcPr>
          <w:p w14:paraId="11DB9744" w14:textId="77777777" w:rsidR="00AD1F54" w:rsidRPr="00264D5D" w:rsidRDefault="00941227">
            <w:pPr>
              <w:pStyle w:val="GOSTTablenorm"/>
              <w:rPr>
                <w:szCs w:val="22"/>
              </w:rPr>
            </w:pPr>
            <w:r w:rsidRPr="00264D5D">
              <w:rPr>
                <w:szCs w:val="22"/>
              </w:rPr>
              <w:t>Т(1-240)</w:t>
            </w:r>
          </w:p>
        </w:tc>
        <w:tc>
          <w:tcPr>
            <w:tcW w:w="567" w:type="dxa"/>
          </w:tcPr>
          <w:p w14:paraId="3046C4E0" w14:textId="77777777" w:rsidR="00AD1F54" w:rsidRPr="00264D5D" w:rsidRDefault="00941227">
            <w:pPr>
              <w:pStyle w:val="GOSTTablenorm"/>
              <w:jc w:val="center"/>
              <w:rPr>
                <w:szCs w:val="22"/>
              </w:rPr>
            </w:pPr>
            <w:r w:rsidRPr="00264D5D">
              <w:rPr>
                <w:szCs w:val="22"/>
              </w:rPr>
              <w:t>О</w:t>
            </w:r>
          </w:p>
        </w:tc>
        <w:tc>
          <w:tcPr>
            <w:tcW w:w="3963" w:type="dxa"/>
          </w:tcPr>
          <w:p w14:paraId="25FB8F8E" w14:textId="77777777" w:rsidR="00AD1F54" w:rsidRPr="00264D5D" w:rsidRDefault="00D76395">
            <w:pPr>
              <w:pStyle w:val="GOSTTablenorm"/>
              <w:rPr>
                <w:szCs w:val="22"/>
              </w:rPr>
            </w:pPr>
            <w:r w:rsidRPr="00264D5D">
              <w:rPr>
                <w:szCs w:val="22"/>
              </w:rPr>
              <w:t>Сегмент 10</w:t>
            </w:r>
          </w:p>
        </w:tc>
      </w:tr>
      <w:tr w:rsidR="00AD1F54" w:rsidRPr="00264D5D" w14:paraId="3EE7B245"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27CB6E9" w14:textId="77777777" w:rsidR="00AD1F54" w:rsidRPr="00264D5D" w:rsidRDefault="00941227">
            <w:pPr>
              <w:pStyle w:val="GOSTTablenorm"/>
              <w:rPr>
                <w:szCs w:val="22"/>
              </w:rPr>
            </w:pPr>
            <w:r w:rsidRPr="00264D5D">
              <w:rPr>
                <w:szCs w:val="22"/>
              </w:rPr>
              <w:t>Сегмент 1</w:t>
            </w:r>
          </w:p>
        </w:tc>
        <w:tc>
          <w:tcPr>
            <w:tcW w:w="1701" w:type="dxa"/>
          </w:tcPr>
          <w:p w14:paraId="4581D54C" w14:textId="77777777" w:rsidR="00AD1F54" w:rsidRPr="00264D5D" w:rsidRDefault="00941227">
            <w:pPr>
              <w:pStyle w:val="GOSTTablenorm"/>
              <w:rPr>
                <w:szCs w:val="22"/>
              </w:rPr>
            </w:pPr>
            <w:r w:rsidRPr="00264D5D">
              <w:rPr>
                <w:szCs w:val="22"/>
              </w:rPr>
              <w:t>Segment_Date1</w:t>
            </w:r>
          </w:p>
        </w:tc>
        <w:tc>
          <w:tcPr>
            <w:tcW w:w="567" w:type="dxa"/>
          </w:tcPr>
          <w:p w14:paraId="20E0977B" w14:textId="77777777" w:rsidR="00AD1F54" w:rsidRPr="00264D5D" w:rsidRDefault="00941227">
            <w:pPr>
              <w:pStyle w:val="GOSTTablenorm"/>
              <w:jc w:val="center"/>
              <w:rPr>
                <w:szCs w:val="22"/>
              </w:rPr>
            </w:pPr>
            <w:r w:rsidRPr="00264D5D">
              <w:rPr>
                <w:szCs w:val="22"/>
              </w:rPr>
              <w:t>П</w:t>
            </w:r>
          </w:p>
        </w:tc>
        <w:tc>
          <w:tcPr>
            <w:tcW w:w="1134" w:type="dxa"/>
          </w:tcPr>
          <w:p w14:paraId="63201F7A" w14:textId="77777777" w:rsidR="00AD1F54" w:rsidRPr="00264D5D" w:rsidRDefault="00941227">
            <w:pPr>
              <w:pStyle w:val="GOSTTablenorm"/>
              <w:rPr>
                <w:szCs w:val="22"/>
              </w:rPr>
            </w:pPr>
            <w:r w:rsidRPr="00264D5D">
              <w:rPr>
                <w:szCs w:val="22"/>
              </w:rPr>
              <w:t>Т(1-240)</w:t>
            </w:r>
          </w:p>
        </w:tc>
        <w:tc>
          <w:tcPr>
            <w:tcW w:w="567" w:type="dxa"/>
          </w:tcPr>
          <w:p w14:paraId="62646455" w14:textId="77777777" w:rsidR="00AD1F54" w:rsidRPr="00264D5D" w:rsidRDefault="00941227">
            <w:pPr>
              <w:pStyle w:val="GOSTTablenorm"/>
              <w:jc w:val="center"/>
              <w:rPr>
                <w:szCs w:val="22"/>
              </w:rPr>
            </w:pPr>
            <w:r w:rsidRPr="00264D5D">
              <w:rPr>
                <w:szCs w:val="22"/>
              </w:rPr>
              <w:t>О</w:t>
            </w:r>
          </w:p>
        </w:tc>
        <w:tc>
          <w:tcPr>
            <w:tcW w:w="3963" w:type="dxa"/>
          </w:tcPr>
          <w:p w14:paraId="406A08FD" w14:textId="77777777" w:rsidR="00AD1F54" w:rsidRPr="00264D5D" w:rsidRDefault="00D76395">
            <w:pPr>
              <w:pStyle w:val="GOSTTablenorm"/>
              <w:rPr>
                <w:szCs w:val="22"/>
              </w:rPr>
            </w:pPr>
            <w:r w:rsidRPr="00264D5D">
              <w:rPr>
                <w:szCs w:val="22"/>
              </w:rPr>
              <w:t>Сегмент 1</w:t>
            </w:r>
          </w:p>
        </w:tc>
      </w:tr>
      <w:tr w:rsidR="00AD1F54" w:rsidRPr="00264D5D" w14:paraId="23454878"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59AECB2B" w14:textId="77777777" w:rsidR="00AD1F54" w:rsidRPr="00264D5D" w:rsidRDefault="00941227">
            <w:pPr>
              <w:pStyle w:val="GOSTTablenorm"/>
              <w:rPr>
                <w:szCs w:val="22"/>
              </w:rPr>
            </w:pPr>
            <w:r w:rsidRPr="00264D5D">
              <w:rPr>
                <w:szCs w:val="22"/>
              </w:rPr>
              <w:t>…</w:t>
            </w:r>
          </w:p>
        </w:tc>
        <w:tc>
          <w:tcPr>
            <w:tcW w:w="1701" w:type="dxa"/>
          </w:tcPr>
          <w:p w14:paraId="21B5231D" w14:textId="77777777" w:rsidR="00AD1F54" w:rsidRPr="00264D5D" w:rsidRDefault="00941227">
            <w:pPr>
              <w:pStyle w:val="GOSTTablenorm"/>
              <w:rPr>
                <w:szCs w:val="22"/>
              </w:rPr>
            </w:pPr>
            <w:r w:rsidRPr="00264D5D">
              <w:rPr>
                <w:szCs w:val="22"/>
              </w:rPr>
              <w:t>….</w:t>
            </w:r>
          </w:p>
        </w:tc>
        <w:tc>
          <w:tcPr>
            <w:tcW w:w="567" w:type="dxa"/>
          </w:tcPr>
          <w:p w14:paraId="3D10D7FE" w14:textId="77777777" w:rsidR="00AD1F54" w:rsidRPr="00264D5D" w:rsidRDefault="00941227">
            <w:pPr>
              <w:pStyle w:val="GOSTTablenorm"/>
              <w:jc w:val="center"/>
              <w:rPr>
                <w:szCs w:val="22"/>
              </w:rPr>
            </w:pPr>
            <w:r w:rsidRPr="00264D5D">
              <w:rPr>
                <w:szCs w:val="22"/>
              </w:rPr>
              <w:t>…</w:t>
            </w:r>
          </w:p>
        </w:tc>
        <w:tc>
          <w:tcPr>
            <w:tcW w:w="1134" w:type="dxa"/>
          </w:tcPr>
          <w:p w14:paraId="4A3AF78D" w14:textId="77777777" w:rsidR="00AD1F54" w:rsidRPr="00264D5D" w:rsidRDefault="00941227">
            <w:pPr>
              <w:pStyle w:val="GOSTTablenorm"/>
              <w:rPr>
                <w:szCs w:val="22"/>
              </w:rPr>
            </w:pPr>
            <w:r w:rsidRPr="00264D5D">
              <w:rPr>
                <w:szCs w:val="22"/>
              </w:rPr>
              <w:t>…</w:t>
            </w:r>
          </w:p>
        </w:tc>
        <w:tc>
          <w:tcPr>
            <w:tcW w:w="567" w:type="dxa"/>
          </w:tcPr>
          <w:p w14:paraId="5337B29D" w14:textId="77777777" w:rsidR="00AD1F54" w:rsidRPr="00264D5D" w:rsidRDefault="00941227">
            <w:pPr>
              <w:pStyle w:val="GOSTTablenorm"/>
              <w:jc w:val="center"/>
              <w:rPr>
                <w:szCs w:val="22"/>
              </w:rPr>
            </w:pPr>
            <w:r w:rsidRPr="00264D5D">
              <w:rPr>
                <w:szCs w:val="22"/>
              </w:rPr>
              <w:t>…</w:t>
            </w:r>
          </w:p>
        </w:tc>
        <w:tc>
          <w:tcPr>
            <w:tcW w:w="3963" w:type="dxa"/>
          </w:tcPr>
          <w:p w14:paraId="1ACC1B70" w14:textId="77777777" w:rsidR="00AD1F54" w:rsidRPr="00264D5D" w:rsidRDefault="00941227">
            <w:pPr>
              <w:pStyle w:val="GOSTTablenorm"/>
              <w:rPr>
                <w:szCs w:val="22"/>
              </w:rPr>
            </w:pPr>
            <w:r w:rsidRPr="00264D5D">
              <w:rPr>
                <w:szCs w:val="22"/>
              </w:rPr>
              <w:t>…</w:t>
            </w:r>
          </w:p>
        </w:tc>
      </w:tr>
      <w:tr w:rsidR="00AD1F54" w:rsidRPr="00264D5D" w14:paraId="619CFCB1"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3F9E096" w14:textId="77777777" w:rsidR="00AD1F54" w:rsidRPr="00264D5D" w:rsidRDefault="00941227">
            <w:pPr>
              <w:pStyle w:val="GOSTTablenorm"/>
              <w:rPr>
                <w:szCs w:val="22"/>
              </w:rPr>
            </w:pPr>
            <w:r w:rsidRPr="00264D5D">
              <w:rPr>
                <w:szCs w:val="22"/>
              </w:rPr>
              <w:t>Сегмент10</w:t>
            </w:r>
          </w:p>
        </w:tc>
        <w:tc>
          <w:tcPr>
            <w:tcW w:w="1701" w:type="dxa"/>
          </w:tcPr>
          <w:p w14:paraId="1429AECA" w14:textId="77777777" w:rsidR="00AD1F54" w:rsidRPr="00264D5D" w:rsidRDefault="00941227">
            <w:pPr>
              <w:pStyle w:val="GOSTTablenorm"/>
              <w:rPr>
                <w:szCs w:val="22"/>
              </w:rPr>
            </w:pPr>
            <w:r w:rsidRPr="00264D5D">
              <w:rPr>
                <w:szCs w:val="22"/>
              </w:rPr>
              <w:t>Segment_Date10</w:t>
            </w:r>
          </w:p>
        </w:tc>
        <w:tc>
          <w:tcPr>
            <w:tcW w:w="567" w:type="dxa"/>
          </w:tcPr>
          <w:p w14:paraId="1E233C20" w14:textId="77777777" w:rsidR="00AD1F54" w:rsidRPr="00264D5D" w:rsidRDefault="00941227">
            <w:pPr>
              <w:pStyle w:val="GOSTTablenorm"/>
              <w:jc w:val="center"/>
              <w:rPr>
                <w:szCs w:val="22"/>
              </w:rPr>
            </w:pPr>
            <w:r w:rsidRPr="00264D5D">
              <w:rPr>
                <w:szCs w:val="22"/>
              </w:rPr>
              <w:t>П</w:t>
            </w:r>
          </w:p>
        </w:tc>
        <w:tc>
          <w:tcPr>
            <w:tcW w:w="1134" w:type="dxa"/>
          </w:tcPr>
          <w:p w14:paraId="48C648B4" w14:textId="77777777" w:rsidR="00AD1F54" w:rsidRPr="00264D5D" w:rsidRDefault="00941227">
            <w:pPr>
              <w:pStyle w:val="GOSTTablenorm"/>
              <w:rPr>
                <w:szCs w:val="22"/>
              </w:rPr>
            </w:pPr>
            <w:r w:rsidRPr="00264D5D">
              <w:rPr>
                <w:szCs w:val="22"/>
              </w:rPr>
              <w:t>Т(1-240)</w:t>
            </w:r>
          </w:p>
        </w:tc>
        <w:tc>
          <w:tcPr>
            <w:tcW w:w="567" w:type="dxa"/>
          </w:tcPr>
          <w:p w14:paraId="79DFFA41" w14:textId="77777777" w:rsidR="00AD1F54" w:rsidRPr="00264D5D" w:rsidRDefault="00941227">
            <w:pPr>
              <w:pStyle w:val="GOSTTablenorm"/>
              <w:jc w:val="center"/>
              <w:rPr>
                <w:szCs w:val="22"/>
              </w:rPr>
            </w:pPr>
            <w:r w:rsidRPr="00264D5D">
              <w:rPr>
                <w:szCs w:val="22"/>
              </w:rPr>
              <w:t>О</w:t>
            </w:r>
          </w:p>
        </w:tc>
        <w:tc>
          <w:tcPr>
            <w:tcW w:w="3963" w:type="dxa"/>
          </w:tcPr>
          <w:p w14:paraId="209079CA" w14:textId="77777777" w:rsidR="00AD1F54" w:rsidRPr="00264D5D" w:rsidRDefault="00D76395">
            <w:pPr>
              <w:pStyle w:val="GOSTTablenorm"/>
              <w:rPr>
                <w:szCs w:val="22"/>
              </w:rPr>
            </w:pPr>
            <w:r w:rsidRPr="00264D5D">
              <w:rPr>
                <w:szCs w:val="22"/>
              </w:rPr>
              <w:t>Сегмент 10</w:t>
            </w:r>
          </w:p>
        </w:tc>
      </w:tr>
      <w:tr w:rsidR="00AD1F54" w:rsidRPr="00264D5D" w14:paraId="0156533C"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5E9708FC" w14:textId="77777777" w:rsidR="00AD1F54" w:rsidRPr="00264D5D" w:rsidRDefault="00941227">
            <w:pPr>
              <w:pStyle w:val="GOSTTablenorm"/>
              <w:rPr>
                <w:szCs w:val="22"/>
              </w:rPr>
            </w:pPr>
            <w:r w:rsidRPr="00264D5D">
              <w:rPr>
                <w:szCs w:val="22"/>
              </w:rPr>
              <w:t>Наименование сегмента 1</w:t>
            </w:r>
          </w:p>
        </w:tc>
        <w:tc>
          <w:tcPr>
            <w:tcW w:w="1701" w:type="dxa"/>
          </w:tcPr>
          <w:p w14:paraId="6340A0F5" w14:textId="77777777" w:rsidR="00AD1F54" w:rsidRPr="00264D5D" w:rsidRDefault="00941227">
            <w:pPr>
              <w:pStyle w:val="GOSTTablenorm"/>
              <w:rPr>
                <w:szCs w:val="22"/>
              </w:rPr>
            </w:pPr>
            <w:r w:rsidRPr="00264D5D">
              <w:rPr>
                <w:szCs w:val="22"/>
              </w:rPr>
              <w:t>Segment1_Name</w:t>
            </w:r>
          </w:p>
        </w:tc>
        <w:tc>
          <w:tcPr>
            <w:tcW w:w="567" w:type="dxa"/>
          </w:tcPr>
          <w:p w14:paraId="416BC90C" w14:textId="77777777" w:rsidR="00AD1F54" w:rsidRPr="00264D5D" w:rsidRDefault="00941227">
            <w:pPr>
              <w:pStyle w:val="GOSTTablenorm"/>
              <w:jc w:val="center"/>
              <w:rPr>
                <w:szCs w:val="22"/>
              </w:rPr>
            </w:pPr>
            <w:r w:rsidRPr="00264D5D">
              <w:rPr>
                <w:szCs w:val="22"/>
              </w:rPr>
              <w:t>П</w:t>
            </w:r>
          </w:p>
        </w:tc>
        <w:tc>
          <w:tcPr>
            <w:tcW w:w="1134" w:type="dxa"/>
          </w:tcPr>
          <w:p w14:paraId="5F0C965E" w14:textId="77777777" w:rsidR="00AD1F54" w:rsidRPr="00264D5D" w:rsidRDefault="00941227">
            <w:pPr>
              <w:pStyle w:val="GOSTTablenorm"/>
              <w:rPr>
                <w:szCs w:val="22"/>
              </w:rPr>
            </w:pPr>
            <w:r w:rsidRPr="00264D5D">
              <w:rPr>
                <w:szCs w:val="22"/>
              </w:rPr>
              <w:t>Т(1-240)</w:t>
            </w:r>
          </w:p>
        </w:tc>
        <w:tc>
          <w:tcPr>
            <w:tcW w:w="567" w:type="dxa"/>
          </w:tcPr>
          <w:p w14:paraId="00F17928" w14:textId="77777777" w:rsidR="00AD1F54" w:rsidRPr="00264D5D" w:rsidRDefault="00941227">
            <w:pPr>
              <w:pStyle w:val="GOSTTablenorm"/>
              <w:jc w:val="center"/>
              <w:rPr>
                <w:szCs w:val="22"/>
              </w:rPr>
            </w:pPr>
            <w:r w:rsidRPr="00264D5D">
              <w:rPr>
                <w:szCs w:val="22"/>
              </w:rPr>
              <w:t>О</w:t>
            </w:r>
          </w:p>
        </w:tc>
        <w:tc>
          <w:tcPr>
            <w:tcW w:w="3963" w:type="dxa"/>
          </w:tcPr>
          <w:p w14:paraId="4AC1A150" w14:textId="77777777" w:rsidR="00AD1F54" w:rsidRPr="00264D5D" w:rsidRDefault="005D5F06">
            <w:pPr>
              <w:pStyle w:val="GOSTTablenorm"/>
              <w:rPr>
                <w:szCs w:val="22"/>
              </w:rPr>
            </w:pPr>
            <w:r w:rsidRPr="00264D5D">
              <w:rPr>
                <w:szCs w:val="22"/>
              </w:rPr>
              <w:t>Наименование сегмента 1</w:t>
            </w:r>
          </w:p>
        </w:tc>
      </w:tr>
      <w:tr w:rsidR="00AD1F54" w:rsidRPr="00264D5D" w14:paraId="6E63D322"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7C3C337" w14:textId="77777777" w:rsidR="00AD1F54" w:rsidRPr="00264D5D" w:rsidRDefault="00941227">
            <w:pPr>
              <w:pStyle w:val="GOSTTablenorm"/>
              <w:rPr>
                <w:szCs w:val="22"/>
              </w:rPr>
            </w:pPr>
            <w:r w:rsidRPr="00264D5D">
              <w:rPr>
                <w:szCs w:val="22"/>
              </w:rPr>
              <w:t>Наименование сегмента 2</w:t>
            </w:r>
          </w:p>
        </w:tc>
        <w:tc>
          <w:tcPr>
            <w:tcW w:w="1701" w:type="dxa"/>
          </w:tcPr>
          <w:p w14:paraId="5C250B71" w14:textId="77777777" w:rsidR="00AD1F54" w:rsidRPr="00264D5D" w:rsidRDefault="00941227">
            <w:pPr>
              <w:pStyle w:val="GOSTTablenorm"/>
              <w:rPr>
                <w:szCs w:val="22"/>
              </w:rPr>
            </w:pPr>
            <w:r w:rsidRPr="00264D5D">
              <w:rPr>
                <w:szCs w:val="22"/>
              </w:rPr>
              <w:t>Segment2_Name</w:t>
            </w:r>
          </w:p>
        </w:tc>
        <w:tc>
          <w:tcPr>
            <w:tcW w:w="567" w:type="dxa"/>
          </w:tcPr>
          <w:p w14:paraId="1434DA07" w14:textId="77777777" w:rsidR="00AD1F54" w:rsidRPr="00264D5D" w:rsidRDefault="00941227">
            <w:pPr>
              <w:pStyle w:val="GOSTTablenorm"/>
              <w:jc w:val="center"/>
              <w:rPr>
                <w:szCs w:val="22"/>
              </w:rPr>
            </w:pPr>
            <w:r w:rsidRPr="00264D5D">
              <w:rPr>
                <w:szCs w:val="22"/>
              </w:rPr>
              <w:t>П</w:t>
            </w:r>
          </w:p>
        </w:tc>
        <w:tc>
          <w:tcPr>
            <w:tcW w:w="1134" w:type="dxa"/>
          </w:tcPr>
          <w:p w14:paraId="4A9CE834" w14:textId="77777777" w:rsidR="00AD1F54" w:rsidRPr="00264D5D" w:rsidRDefault="00941227">
            <w:pPr>
              <w:pStyle w:val="GOSTTablenorm"/>
              <w:rPr>
                <w:szCs w:val="22"/>
              </w:rPr>
            </w:pPr>
            <w:r w:rsidRPr="00264D5D">
              <w:rPr>
                <w:szCs w:val="22"/>
              </w:rPr>
              <w:t>Т(1-240)</w:t>
            </w:r>
          </w:p>
        </w:tc>
        <w:tc>
          <w:tcPr>
            <w:tcW w:w="567" w:type="dxa"/>
          </w:tcPr>
          <w:p w14:paraId="0084EC6F" w14:textId="77777777" w:rsidR="00AD1F54" w:rsidRPr="00264D5D" w:rsidRDefault="00941227">
            <w:pPr>
              <w:pStyle w:val="GOSTTablenorm"/>
              <w:jc w:val="center"/>
              <w:rPr>
                <w:szCs w:val="22"/>
              </w:rPr>
            </w:pPr>
            <w:r w:rsidRPr="00264D5D">
              <w:rPr>
                <w:szCs w:val="22"/>
              </w:rPr>
              <w:t>О</w:t>
            </w:r>
          </w:p>
        </w:tc>
        <w:tc>
          <w:tcPr>
            <w:tcW w:w="3963" w:type="dxa"/>
          </w:tcPr>
          <w:p w14:paraId="066F1420" w14:textId="77777777" w:rsidR="00AD1F54" w:rsidRPr="00264D5D" w:rsidRDefault="005D5F06">
            <w:pPr>
              <w:pStyle w:val="GOSTTablenorm"/>
              <w:rPr>
                <w:szCs w:val="22"/>
              </w:rPr>
            </w:pPr>
            <w:r w:rsidRPr="00264D5D">
              <w:rPr>
                <w:szCs w:val="22"/>
              </w:rPr>
              <w:t>Наименование сегмента 2</w:t>
            </w:r>
          </w:p>
        </w:tc>
      </w:tr>
      <w:tr w:rsidR="00AD1F54" w:rsidRPr="00264D5D" w14:paraId="734EA2B0"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06A7BDF1" w14:textId="77777777" w:rsidR="00AD1F54" w:rsidRPr="00264D5D" w:rsidRDefault="00941227">
            <w:pPr>
              <w:pStyle w:val="GOSTTablenorm"/>
              <w:rPr>
                <w:szCs w:val="22"/>
              </w:rPr>
            </w:pPr>
            <w:r w:rsidRPr="00264D5D">
              <w:rPr>
                <w:szCs w:val="22"/>
              </w:rPr>
              <w:t>Наименование сегмента 3</w:t>
            </w:r>
          </w:p>
        </w:tc>
        <w:tc>
          <w:tcPr>
            <w:tcW w:w="1701" w:type="dxa"/>
          </w:tcPr>
          <w:p w14:paraId="6C2E8111" w14:textId="77777777" w:rsidR="00AD1F54" w:rsidRPr="00264D5D" w:rsidRDefault="00941227">
            <w:pPr>
              <w:pStyle w:val="GOSTTablenorm"/>
              <w:rPr>
                <w:szCs w:val="22"/>
              </w:rPr>
            </w:pPr>
            <w:r w:rsidRPr="00264D5D">
              <w:rPr>
                <w:szCs w:val="22"/>
              </w:rPr>
              <w:t>Segment3_Name</w:t>
            </w:r>
          </w:p>
        </w:tc>
        <w:tc>
          <w:tcPr>
            <w:tcW w:w="567" w:type="dxa"/>
          </w:tcPr>
          <w:p w14:paraId="4F1A640F" w14:textId="77777777" w:rsidR="00AD1F54" w:rsidRPr="00264D5D" w:rsidRDefault="00941227">
            <w:pPr>
              <w:pStyle w:val="GOSTTablenorm"/>
              <w:jc w:val="center"/>
              <w:rPr>
                <w:szCs w:val="22"/>
              </w:rPr>
            </w:pPr>
            <w:r w:rsidRPr="00264D5D">
              <w:rPr>
                <w:szCs w:val="22"/>
              </w:rPr>
              <w:t>П</w:t>
            </w:r>
          </w:p>
        </w:tc>
        <w:tc>
          <w:tcPr>
            <w:tcW w:w="1134" w:type="dxa"/>
          </w:tcPr>
          <w:p w14:paraId="427D6918" w14:textId="77777777" w:rsidR="00AD1F54" w:rsidRPr="00264D5D" w:rsidRDefault="00941227">
            <w:pPr>
              <w:pStyle w:val="GOSTTablenorm"/>
              <w:rPr>
                <w:szCs w:val="22"/>
              </w:rPr>
            </w:pPr>
            <w:r w:rsidRPr="00264D5D">
              <w:rPr>
                <w:szCs w:val="22"/>
              </w:rPr>
              <w:t>Т(1-2000)</w:t>
            </w:r>
          </w:p>
        </w:tc>
        <w:tc>
          <w:tcPr>
            <w:tcW w:w="567" w:type="dxa"/>
          </w:tcPr>
          <w:p w14:paraId="603588CC" w14:textId="77777777" w:rsidR="00AD1F54" w:rsidRPr="00264D5D" w:rsidRDefault="00941227">
            <w:pPr>
              <w:pStyle w:val="GOSTTablenorm"/>
              <w:jc w:val="center"/>
              <w:rPr>
                <w:szCs w:val="22"/>
              </w:rPr>
            </w:pPr>
            <w:r w:rsidRPr="00264D5D">
              <w:rPr>
                <w:szCs w:val="22"/>
              </w:rPr>
              <w:t>О</w:t>
            </w:r>
          </w:p>
        </w:tc>
        <w:tc>
          <w:tcPr>
            <w:tcW w:w="3963" w:type="dxa"/>
          </w:tcPr>
          <w:p w14:paraId="00CDD41A" w14:textId="77777777" w:rsidR="00AD1F54" w:rsidRPr="00264D5D" w:rsidRDefault="005D5F06">
            <w:pPr>
              <w:pStyle w:val="GOSTTablenorm"/>
              <w:rPr>
                <w:szCs w:val="22"/>
              </w:rPr>
            </w:pPr>
            <w:r w:rsidRPr="00264D5D">
              <w:rPr>
                <w:szCs w:val="22"/>
              </w:rPr>
              <w:t>Наименование сегмента 3</w:t>
            </w:r>
          </w:p>
        </w:tc>
      </w:tr>
      <w:tr w:rsidR="00AD1F54" w:rsidRPr="00264D5D" w14:paraId="3D716658"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AC43173" w14:textId="77777777" w:rsidR="00AD1F54" w:rsidRPr="00264D5D" w:rsidRDefault="00941227">
            <w:pPr>
              <w:pStyle w:val="GOSTTablenorm"/>
              <w:rPr>
                <w:szCs w:val="22"/>
              </w:rPr>
            </w:pPr>
            <w:r w:rsidRPr="00264D5D">
              <w:rPr>
                <w:szCs w:val="22"/>
              </w:rPr>
              <w:t>Наименование сегмента 4</w:t>
            </w:r>
          </w:p>
        </w:tc>
        <w:tc>
          <w:tcPr>
            <w:tcW w:w="1701" w:type="dxa"/>
          </w:tcPr>
          <w:p w14:paraId="43A9E35E" w14:textId="77777777" w:rsidR="00AD1F54" w:rsidRPr="00264D5D" w:rsidRDefault="00941227">
            <w:pPr>
              <w:pStyle w:val="GOSTTablenorm"/>
              <w:rPr>
                <w:szCs w:val="22"/>
              </w:rPr>
            </w:pPr>
            <w:r w:rsidRPr="00264D5D">
              <w:rPr>
                <w:szCs w:val="22"/>
              </w:rPr>
              <w:t>Segment4_Name</w:t>
            </w:r>
          </w:p>
        </w:tc>
        <w:tc>
          <w:tcPr>
            <w:tcW w:w="567" w:type="dxa"/>
          </w:tcPr>
          <w:p w14:paraId="678457C6" w14:textId="77777777" w:rsidR="00AD1F54" w:rsidRPr="00264D5D" w:rsidRDefault="00941227">
            <w:pPr>
              <w:pStyle w:val="GOSTTablenorm"/>
              <w:jc w:val="center"/>
              <w:rPr>
                <w:szCs w:val="22"/>
              </w:rPr>
            </w:pPr>
            <w:r w:rsidRPr="00264D5D">
              <w:rPr>
                <w:szCs w:val="22"/>
              </w:rPr>
              <w:t>П</w:t>
            </w:r>
          </w:p>
        </w:tc>
        <w:tc>
          <w:tcPr>
            <w:tcW w:w="1134" w:type="dxa"/>
          </w:tcPr>
          <w:p w14:paraId="5B2843D5" w14:textId="77777777" w:rsidR="00AD1F54" w:rsidRPr="00264D5D" w:rsidRDefault="00941227">
            <w:pPr>
              <w:pStyle w:val="GOSTTablenorm"/>
              <w:rPr>
                <w:szCs w:val="22"/>
              </w:rPr>
            </w:pPr>
            <w:r w:rsidRPr="00264D5D">
              <w:rPr>
                <w:szCs w:val="22"/>
              </w:rPr>
              <w:t>Т(1-240)</w:t>
            </w:r>
          </w:p>
        </w:tc>
        <w:tc>
          <w:tcPr>
            <w:tcW w:w="567" w:type="dxa"/>
          </w:tcPr>
          <w:p w14:paraId="32BF3AB7" w14:textId="77777777" w:rsidR="00AD1F54" w:rsidRPr="00264D5D" w:rsidRDefault="00941227">
            <w:pPr>
              <w:pStyle w:val="GOSTTablenorm"/>
              <w:jc w:val="center"/>
              <w:rPr>
                <w:szCs w:val="22"/>
              </w:rPr>
            </w:pPr>
            <w:r w:rsidRPr="00264D5D">
              <w:rPr>
                <w:szCs w:val="22"/>
              </w:rPr>
              <w:t>О</w:t>
            </w:r>
          </w:p>
        </w:tc>
        <w:tc>
          <w:tcPr>
            <w:tcW w:w="3963" w:type="dxa"/>
          </w:tcPr>
          <w:p w14:paraId="6D3C4D61" w14:textId="77777777" w:rsidR="00AD1F54" w:rsidRPr="00264D5D" w:rsidRDefault="005D5F06">
            <w:pPr>
              <w:pStyle w:val="GOSTTablenorm"/>
              <w:rPr>
                <w:szCs w:val="22"/>
              </w:rPr>
            </w:pPr>
            <w:r w:rsidRPr="00264D5D">
              <w:rPr>
                <w:szCs w:val="22"/>
              </w:rPr>
              <w:t>Наименование сегмента 4</w:t>
            </w:r>
          </w:p>
        </w:tc>
      </w:tr>
      <w:tr w:rsidR="00AD1F54" w:rsidRPr="00264D5D" w14:paraId="490A7183"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42700B38" w14:textId="77777777" w:rsidR="00AD1F54" w:rsidRPr="00264D5D" w:rsidRDefault="00941227">
            <w:pPr>
              <w:pStyle w:val="GOSTTablenorm"/>
              <w:rPr>
                <w:szCs w:val="22"/>
              </w:rPr>
            </w:pPr>
            <w:r w:rsidRPr="00264D5D">
              <w:rPr>
                <w:szCs w:val="22"/>
              </w:rPr>
              <w:t>Наименование сегмента 5</w:t>
            </w:r>
          </w:p>
        </w:tc>
        <w:tc>
          <w:tcPr>
            <w:tcW w:w="1701" w:type="dxa"/>
          </w:tcPr>
          <w:p w14:paraId="5F6B4799" w14:textId="77777777" w:rsidR="00AD1F54" w:rsidRPr="00264D5D" w:rsidRDefault="00941227">
            <w:pPr>
              <w:pStyle w:val="GOSTTablenorm"/>
              <w:rPr>
                <w:szCs w:val="22"/>
              </w:rPr>
            </w:pPr>
            <w:r w:rsidRPr="00264D5D">
              <w:rPr>
                <w:szCs w:val="22"/>
              </w:rPr>
              <w:t>Segment5_Name</w:t>
            </w:r>
          </w:p>
        </w:tc>
        <w:tc>
          <w:tcPr>
            <w:tcW w:w="567" w:type="dxa"/>
          </w:tcPr>
          <w:p w14:paraId="31A693C5" w14:textId="77777777" w:rsidR="00AD1F54" w:rsidRPr="00264D5D" w:rsidRDefault="00941227">
            <w:pPr>
              <w:pStyle w:val="GOSTTablenorm"/>
              <w:jc w:val="center"/>
              <w:rPr>
                <w:szCs w:val="22"/>
              </w:rPr>
            </w:pPr>
            <w:r w:rsidRPr="00264D5D">
              <w:rPr>
                <w:szCs w:val="22"/>
              </w:rPr>
              <w:t>П</w:t>
            </w:r>
          </w:p>
        </w:tc>
        <w:tc>
          <w:tcPr>
            <w:tcW w:w="1134" w:type="dxa"/>
          </w:tcPr>
          <w:p w14:paraId="5E7FC894" w14:textId="77777777" w:rsidR="00AD1F54" w:rsidRPr="00264D5D" w:rsidRDefault="00941227">
            <w:pPr>
              <w:pStyle w:val="GOSTTablenorm"/>
              <w:rPr>
                <w:szCs w:val="22"/>
              </w:rPr>
            </w:pPr>
            <w:r w:rsidRPr="00264D5D">
              <w:rPr>
                <w:szCs w:val="22"/>
              </w:rPr>
              <w:t>Т(1-2000)</w:t>
            </w:r>
          </w:p>
        </w:tc>
        <w:tc>
          <w:tcPr>
            <w:tcW w:w="567" w:type="dxa"/>
          </w:tcPr>
          <w:p w14:paraId="673EB1B3" w14:textId="77777777" w:rsidR="00AD1F54" w:rsidRPr="00264D5D" w:rsidRDefault="00941227">
            <w:pPr>
              <w:pStyle w:val="GOSTTablenorm"/>
              <w:jc w:val="center"/>
              <w:rPr>
                <w:szCs w:val="22"/>
              </w:rPr>
            </w:pPr>
            <w:r w:rsidRPr="00264D5D">
              <w:rPr>
                <w:szCs w:val="22"/>
              </w:rPr>
              <w:t>О</w:t>
            </w:r>
          </w:p>
        </w:tc>
        <w:tc>
          <w:tcPr>
            <w:tcW w:w="3963" w:type="dxa"/>
          </w:tcPr>
          <w:p w14:paraId="6B341B5B" w14:textId="77777777" w:rsidR="00AD1F54" w:rsidRPr="00264D5D" w:rsidRDefault="005D5F06">
            <w:pPr>
              <w:pStyle w:val="GOSTTablenorm"/>
              <w:rPr>
                <w:szCs w:val="22"/>
              </w:rPr>
            </w:pPr>
            <w:r w:rsidRPr="00264D5D">
              <w:rPr>
                <w:szCs w:val="22"/>
              </w:rPr>
              <w:t>Наименование сегмента 5</w:t>
            </w:r>
          </w:p>
        </w:tc>
      </w:tr>
      <w:tr w:rsidR="00AD1F54" w:rsidRPr="00264D5D" w14:paraId="7A0638D2"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0B18762" w14:textId="77777777" w:rsidR="00AD1F54" w:rsidRPr="00264D5D" w:rsidRDefault="00941227">
            <w:pPr>
              <w:pStyle w:val="GOSTTablenorm"/>
              <w:rPr>
                <w:szCs w:val="22"/>
              </w:rPr>
            </w:pPr>
            <w:r w:rsidRPr="00264D5D">
              <w:rPr>
                <w:szCs w:val="22"/>
              </w:rPr>
              <w:t>Наименование сегмента 6</w:t>
            </w:r>
          </w:p>
        </w:tc>
        <w:tc>
          <w:tcPr>
            <w:tcW w:w="1701" w:type="dxa"/>
          </w:tcPr>
          <w:p w14:paraId="25A37772" w14:textId="77777777" w:rsidR="00AD1F54" w:rsidRPr="00264D5D" w:rsidRDefault="00941227">
            <w:pPr>
              <w:pStyle w:val="GOSTTablenorm"/>
              <w:rPr>
                <w:szCs w:val="22"/>
              </w:rPr>
            </w:pPr>
            <w:r w:rsidRPr="00264D5D">
              <w:rPr>
                <w:szCs w:val="22"/>
              </w:rPr>
              <w:t>Segment6_Name</w:t>
            </w:r>
          </w:p>
        </w:tc>
        <w:tc>
          <w:tcPr>
            <w:tcW w:w="567" w:type="dxa"/>
          </w:tcPr>
          <w:p w14:paraId="0B2A16C6" w14:textId="77777777" w:rsidR="00AD1F54" w:rsidRPr="00264D5D" w:rsidRDefault="00941227">
            <w:pPr>
              <w:pStyle w:val="GOSTTablenorm"/>
              <w:jc w:val="center"/>
              <w:rPr>
                <w:szCs w:val="22"/>
              </w:rPr>
            </w:pPr>
            <w:r w:rsidRPr="00264D5D">
              <w:rPr>
                <w:szCs w:val="22"/>
              </w:rPr>
              <w:t>П</w:t>
            </w:r>
          </w:p>
        </w:tc>
        <w:tc>
          <w:tcPr>
            <w:tcW w:w="1134" w:type="dxa"/>
          </w:tcPr>
          <w:p w14:paraId="68B872E8" w14:textId="77777777" w:rsidR="00AD1F54" w:rsidRPr="00264D5D" w:rsidRDefault="00941227">
            <w:pPr>
              <w:pStyle w:val="GOSTTablenorm"/>
              <w:rPr>
                <w:szCs w:val="22"/>
              </w:rPr>
            </w:pPr>
            <w:r w:rsidRPr="00264D5D">
              <w:rPr>
                <w:szCs w:val="22"/>
              </w:rPr>
              <w:t>Т(1-240)</w:t>
            </w:r>
          </w:p>
        </w:tc>
        <w:tc>
          <w:tcPr>
            <w:tcW w:w="567" w:type="dxa"/>
          </w:tcPr>
          <w:p w14:paraId="071D2B57" w14:textId="77777777" w:rsidR="00AD1F54" w:rsidRPr="00264D5D" w:rsidRDefault="00941227">
            <w:pPr>
              <w:pStyle w:val="GOSTTablenorm"/>
              <w:jc w:val="center"/>
              <w:rPr>
                <w:szCs w:val="22"/>
              </w:rPr>
            </w:pPr>
            <w:r w:rsidRPr="00264D5D">
              <w:rPr>
                <w:szCs w:val="22"/>
              </w:rPr>
              <w:t>О</w:t>
            </w:r>
          </w:p>
        </w:tc>
        <w:tc>
          <w:tcPr>
            <w:tcW w:w="3963" w:type="dxa"/>
          </w:tcPr>
          <w:p w14:paraId="05146228" w14:textId="77777777" w:rsidR="00AD1F54" w:rsidRPr="00264D5D" w:rsidRDefault="005D5F06">
            <w:pPr>
              <w:pStyle w:val="GOSTTablenorm"/>
              <w:rPr>
                <w:szCs w:val="22"/>
              </w:rPr>
            </w:pPr>
            <w:r w:rsidRPr="00264D5D">
              <w:rPr>
                <w:szCs w:val="22"/>
              </w:rPr>
              <w:t>Наименование сегмента 6</w:t>
            </w:r>
          </w:p>
        </w:tc>
      </w:tr>
      <w:tr w:rsidR="00AD1F54" w:rsidRPr="00264D5D" w14:paraId="2208A112"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5BBEDB81" w14:textId="77777777" w:rsidR="00AD1F54" w:rsidRPr="00264D5D" w:rsidRDefault="00941227">
            <w:pPr>
              <w:pStyle w:val="GOSTTablenorm"/>
              <w:rPr>
                <w:szCs w:val="22"/>
              </w:rPr>
            </w:pPr>
            <w:r w:rsidRPr="00264D5D">
              <w:rPr>
                <w:szCs w:val="22"/>
              </w:rPr>
              <w:t>Наименование сегмента 7</w:t>
            </w:r>
          </w:p>
        </w:tc>
        <w:tc>
          <w:tcPr>
            <w:tcW w:w="1701" w:type="dxa"/>
          </w:tcPr>
          <w:p w14:paraId="43F7D096" w14:textId="77777777" w:rsidR="00AD1F54" w:rsidRPr="00264D5D" w:rsidRDefault="00941227">
            <w:pPr>
              <w:pStyle w:val="GOSTTablenorm"/>
              <w:rPr>
                <w:szCs w:val="22"/>
              </w:rPr>
            </w:pPr>
            <w:r w:rsidRPr="00264D5D">
              <w:rPr>
                <w:szCs w:val="22"/>
              </w:rPr>
              <w:t>Segment7_Name</w:t>
            </w:r>
          </w:p>
        </w:tc>
        <w:tc>
          <w:tcPr>
            <w:tcW w:w="567" w:type="dxa"/>
          </w:tcPr>
          <w:p w14:paraId="1509D37A" w14:textId="77777777" w:rsidR="00AD1F54" w:rsidRPr="00264D5D" w:rsidRDefault="00941227">
            <w:pPr>
              <w:pStyle w:val="GOSTTablenorm"/>
              <w:jc w:val="center"/>
              <w:rPr>
                <w:szCs w:val="22"/>
              </w:rPr>
            </w:pPr>
            <w:r w:rsidRPr="00264D5D">
              <w:rPr>
                <w:szCs w:val="22"/>
              </w:rPr>
              <w:t>П</w:t>
            </w:r>
          </w:p>
        </w:tc>
        <w:tc>
          <w:tcPr>
            <w:tcW w:w="1134" w:type="dxa"/>
          </w:tcPr>
          <w:p w14:paraId="35029FA6" w14:textId="77777777" w:rsidR="00AD1F54" w:rsidRPr="00264D5D" w:rsidRDefault="00941227">
            <w:pPr>
              <w:pStyle w:val="GOSTTablenorm"/>
              <w:rPr>
                <w:szCs w:val="22"/>
              </w:rPr>
            </w:pPr>
            <w:r w:rsidRPr="00264D5D">
              <w:rPr>
                <w:szCs w:val="22"/>
              </w:rPr>
              <w:t>Т(1-240)</w:t>
            </w:r>
          </w:p>
        </w:tc>
        <w:tc>
          <w:tcPr>
            <w:tcW w:w="567" w:type="dxa"/>
          </w:tcPr>
          <w:p w14:paraId="40B38337" w14:textId="77777777" w:rsidR="00AD1F54" w:rsidRPr="00264D5D" w:rsidRDefault="00941227">
            <w:pPr>
              <w:pStyle w:val="GOSTTablenorm"/>
              <w:jc w:val="center"/>
              <w:rPr>
                <w:szCs w:val="22"/>
              </w:rPr>
            </w:pPr>
            <w:r w:rsidRPr="00264D5D">
              <w:rPr>
                <w:szCs w:val="22"/>
              </w:rPr>
              <w:t>О</w:t>
            </w:r>
          </w:p>
        </w:tc>
        <w:tc>
          <w:tcPr>
            <w:tcW w:w="3963" w:type="dxa"/>
          </w:tcPr>
          <w:p w14:paraId="41BD9BA3" w14:textId="77777777" w:rsidR="00AD1F54" w:rsidRPr="00264D5D" w:rsidRDefault="00941227">
            <w:pPr>
              <w:pStyle w:val="GOSTTablenorm"/>
              <w:rPr>
                <w:szCs w:val="22"/>
              </w:rPr>
            </w:pPr>
            <w:r w:rsidRPr="00264D5D">
              <w:rPr>
                <w:szCs w:val="22"/>
              </w:rPr>
              <w:t>Наименование с</w:t>
            </w:r>
            <w:r w:rsidR="005D5F06" w:rsidRPr="00264D5D">
              <w:rPr>
                <w:szCs w:val="22"/>
              </w:rPr>
              <w:t>егмента 7</w:t>
            </w:r>
          </w:p>
        </w:tc>
      </w:tr>
      <w:tr w:rsidR="00AD1F54" w:rsidRPr="00264D5D" w14:paraId="1B85D459"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017F5BF" w14:textId="77777777" w:rsidR="00AD1F54" w:rsidRPr="00264D5D" w:rsidRDefault="00941227">
            <w:pPr>
              <w:pStyle w:val="GOSTTablenorm"/>
              <w:rPr>
                <w:szCs w:val="22"/>
              </w:rPr>
            </w:pPr>
            <w:r w:rsidRPr="00264D5D">
              <w:rPr>
                <w:szCs w:val="22"/>
              </w:rPr>
              <w:t>Наименование сегмента 8</w:t>
            </w:r>
          </w:p>
        </w:tc>
        <w:tc>
          <w:tcPr>
            <w:tcW w:w="1701" w:type="dxa"/>
          </w:tcPr>
          <w:p w14:paraId="723B81CA" w14:textId="77777777" w:rsidR="00AD1F54" w:rsidRPr="00264D5D" w:rsidRDefault="00941227">
            <w:pPr>
              <w:pStyle w:val="GOSTTablenorm"/>
              <w:rPr>
                <w:szCs w:val="22"/>
              </w:rPr>
            </w:pPr>
            <w:r w:rsidRPr="00264D5D">
              <w:rPr>
                <w:szCs w:val="22"/>
              </w:rPr>
              <w:t>Segment8_Name</w:t>
            </w:r>
          </w:p>
        </w:tc>
        <w:tc>
          <w:tcPr>
            <w:tcW w:w="567" w:type="dxa"/>
          </w:tcPr>
          <w:p w14:paraId="6FEF27AD" w14:textId="77777777" w:rsidR="00AD1F54" w:rsidRPr="00264D5D" w:rsidRDefault="00941227">
            <w:pPr>
              <w:pStyle w:val="GOSTTablenorm"/>
              <w:jc w:val="center"/>
              <w:rPr>
                <w:szCs w:val="22"/>
              </w:rPr>
            </w:pPr>
            <w:r w:rsidRPr="00264D5D">
              <w:rPr>
                <w:szCs w:val="22"/>
              </w:rPr>
              <w:t>П</w:t>
            </w:r>
          </w:p>
        </w:tc>
        <w:tc>
          <w:tcPr>
            <w:tcW w:w="1134" w:type="dxa"/>
          </w:tcPr>
          <w:p w14:paraId="44D21D72" w14:textId="77777777" w:rsidR="00AD1F54" w:rsidRPr="00264D5D" w:rsidRDefault="00941227">
            <w:pPr>
              <w:pStyle w:val="GOSTTablenorm"/>
              <w:rPr>
                <w:szCs w:val="22"/>
              </w:rPr>
            </w:pPr>
            <w:r w:rsidRPr="00264D5D">
              <w:rPr>
                <w:szCs w:val="22"/>
              </w:rPr>
              <w:t>Т(1-240)</w:t>
            </w:r>
          </w:p>
        </w:tc>
        <w:tc>
          <w:tcPr>
            <w:tcW w:w="567" w:type="dxa"/>
          </w:tcPr>
          <w:p w14:paraId="4BC07328" w14:textId="77777777" w:rsidR="00AD1F54" w:rsidRPr="00264D5D" w:rsidRDefault="00941227">
            <w:pPr>
              <w:pStyle w:val="GOSTTablenorm"/>
              <w:jc w:val="center"/>
              <w:rPr>
                <w:szCs w:val="22"/>
              </w:rPr>
            </w:pPr>
            <w:r w:rsidRPr="00264D5D">
              <w:rPr>
                <w:szCs w:val="22"/>
              </w:rPr>
              <w:t>О</w:t>
            </w:r>
          </w:p>
        </w:tc>
        <w:tc>
          <w:tcPr>
            <w:tcW w:w="3963" w:type="dxa"/>
          </w:tcPr>
          <w:p w14:paraId="310EB015" w14:textId="77777777" w:rsidR="00AD1F54" w:rsidRPr="00264D5D" w:rsidRDefault="005D5F06">
            <w:pPr>
              <w:pStyle w:val="GOSTTablenorm"/>
              <w:rPr>
                <w:szCs w:val="22"/>
              </w:rPr>
            </w:pPr>
            <w:r w:rsidRPr="00264D5D">
              <w:rPr>
                <w:szCs w:val="22"/>
              </w:rPr>
              <w:t>Наименование сегмента 8</w:t>
            </w:r>
          </w:p>
        </w:tc>
      </w:tr>
      <w:tr w:rsidR="00AD1F54" w:rsidRPr="00264D5D" w14:paraId="47492B74"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8300F14" w14:textId="77777777" w:rsidR="00AD1F54" w:rsidRPr="00264D5D" w:rsidRDefault="00941227">
            <w:pPr>
              <w:pStyle w:val="GOSTTablenorm"/>
              <w:rPr>
                <w:szCs w:val="22"/>
              </w:rPr>
            </w:pPr>
            <w:r w:rsidRPr="00264D5D">
              <w:rPr>
                <w:szCs w:val="22"/>
              </w:rPr>
              <w:t>Наименование сегмента 9</w:t>
            </w:r>
          </w:p>
        </w:tc>
        <w:tc>
          <w:tcPr>
            <w:tcW w:w="1701" w:type="dxa"/>
          </w:tcPr>
          <w:p w14:paraId="66BF6DAC" w14:textId="77777777" w:rsidR="00AD1F54" w:rsidRPr="00264D5D" w:rsidRDefault="00941227">
            <w:pPr>
              <w:pStyle w:val="GOSTTablenorm"/>
              <w:rPr>
                <w:szCs w:val="22"/>
              </w:rPr>
            </w:pPr>
            <w:r w:rsidRPr="00264D5D">
              <w:rPr>
                <w:szCs w:val="22"/>
              </w:rPr>
              <w:t>Segment9_Name</w:t>
            </w:r>
          </w:p>
        </w:tc>
        <w:tc>
          <w:tcPr>
            <w:tcW w:w="567" w:type="dxa"/>
          </w:tcPr>
          <w:p w14:paraId="58DF3F9E" w14:textId="77777777" w:rsidR="00AD1F54" w:rsidRPr="00264D5D" w:rsidRDefault="00941227">
            <w:pPr>
              <w:pStyle w:val="GOSTTablenorm"/>
              <w:jc w:val="center"/>
              <w:rPr>
                <w:szCs w:val="22"/>
              </w:rPr>
            </w:pPr>
            <w:r w:rsidRPr="00264D5D">
              <w:rPr>
                <w:szCs w:val="22"/>
              </w:rPr>
              <w:t>П</w:t>
            </w:r>
          </w:p>
        </w:tc>
        <w:tc>
          <w:tcPr>
            <w:tcW w:w="1134" w:type="dxa"/>
          </w:tcPr>
          <w:p w14:paraId="07986BF7" w14:textId="77777777" w:rsidR="00AD1F54" w:rsidRPr="00264D5D" w:rsidRDefault="00941227">
            <w:pPr>
              <w:pStyle w:val="GOSTTablenorm"/>
              <w:rPr>
                <w:szCs w:val="22"/>
              </w:rPr>
            </w:pPr>
            <w:r w:rsidRPr="00264D5D">
              <w:rPr>
                <w:szCs w:val="22"/>
              </w:rPr>
              <w:t>Т(1-240)</w:t>
            </w:r>
          </w:p>
        </w:tc>
        <w:tc>
          <w:tcPr>
            <w:tcW w:w="567" w:type="dxa"/>
          </w:tcPr>
          <w:p w14:paraId="7D7294DB" w14:textId="77777777" w:rsidR="00AD1F54" w:rsidRPr="00264D5D" w:rsidRDefault="00941227">
            <w:pPr>
              <w:pStyle w:val="GOSTTablenorm"/>
              <w:jc w:val="center"/>
              <w:rPr>
                <w:szCs w:val="22"/>
              </w:rPr>
            </w:pPr>
            <w:r w:rsidRPr="00264D5D">
              <w:rPr>
                <w:szCs w:val="22"/>
              </w:rPr>
              <w:t>О</w:t>
            </w:r>
          </w:p>
        </w:tc>
        <w:tc>
          <w:tcPr>
            <w:tcW w:w="3963" w:type="dxa"/>
          </w:tcPr>
          <w:p w14:paraId="2FC58341" w14:textId="77777777" w:rsidR="00AD1F54" w:rsidRPr="00264D5D" w:rsidRDefault="005D5F06">
            <w:pPr>
              <w:pStyle w:val="GOSTTablenorm"/>
              <w:rPr>
                <w:szCs w:val="22"/>
              </w:rPr>
            </w:pPr>
            <w:r w:rsidRPr="00264D5D">
              <w:rPr>
                <w:szCs w:val="22"/>
              </w:rPr>
              <w:t>Наименование сегмента 9</w:t>
            </w:r>
          </w:p>
        </w:tc>
      </w:tr>
      <w:tr w:rsidR="00AD1F54" w:rsidRPr="00264D5D" w14:paraId="5BD3C3FF"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5D14EEFC" w14:textId="77777777" w:rsidR="00AD1F54" w:rsidRPr="00264D5D" w:rsidRDefault="00941227">
            <w:pPr>
              <w:pStyle w:val="GOSTTablenorm"/>
              <w:rPr>
                <w:szCs w:val="22"/>
              </w:rPr>
            </w:pPr>
            <w:r w:rsidRPr="00264D5D">
              <w:rPr>
                <w:szCs w:val="22"/>
              </w:rPr>
              <w:t>Наименование сегмента 10</w:t>
            </w:r>
          </w:p>
        </w:tc>
        <w:tc>
          <w:tcPr>
            <w:tcW w:w="1701" w:type="dxa"/>
          </w:tcPr>
          <w:p w14:paraId="07211E54" w14:textId="77777777" w:rsidR="00AD1F54" w:rsidRPr="00264D5D" w:rsidRDefault="00941227">
            <w:pPr>
              <w:pStyle w:val="GOSTTablenorm"/>
              <w:rPr>
                <w:szCs w:val="22"/>
              </w:rPr>
            </w:pPr>
            <w:r w:rsidRPr="00264D5D">
              <w:rPr>
                <w:szCs w:val="22"/>
              </w:rPr>
              <w:t>Segment10_Name</w:t>
            </w:r>
          </w:p>
        </w:tc>
        <w:tc>
          <w:tcPr>
            <w:tcW w:w="567" w:type="dxa"/>
          </w:tcPr>
          <w:p w14:paraId="1C953BC2" w14:textId="77777777" w:rsidR="00AD1F54" w:rsidRPr="00264D5D" w:rsidRDefault="00941227">
            <w:pPr>
              <w:pStyle w:val="GOSTTablenorm"/>
              <w:jc w:val="center"/>
              <w:rPr>
                <w:szCs w:val="22"/>
              </w:rPr>
            </w:pPr>
            <w:r w:rsidRPr="00264D5D">
              <w:rPr>
                <w:szCs w:val="22"/>
              </w:rPr>
              <w:t>П</w:t>
            </w:r>
          </w:p>
        </w:tc>
        <w:tc>
          <w:tcPr>
            <w:tcW w:w="1134" w:type="dxa"/>
          </w:tcPr>
          <w:p w14:paraId="242240A5" w14:textId="77777777" w:rsidR="00AD1F54" w:rsidRPr="00264D5D" w:rsidRDefault="00941227">
            <w:pPr>
              <w:pStyle w:val="GOSTTablenorm"/>
              <w:rPr>
                <w:szCs w:val="22"/>
              </w:rPr>
            </w:pPr>
            <w:r w:rsidRPr="00264D5D">
              <w:rPr>
                <w:szCs w:val="22"/>
              </w:rPr>
              <w:t>Т(1-240)</w:t>
            </w:r>
          </w:p>
        </w:tc>
        <w:tc>
          <w:tcPr>
            <w:tcW w:w="567" w:type="dxa"/>
          </w:tcPr>
          <w:p w14:paraId="5116B223" w14:textId="77777777" w:rsidR="00AD1F54" w:rsidRPr="00264D5D" w:rsidRDefault="00941227">
            <w:pPr>
              <w:pStyle w:val="GOSTTablenorm"/>
              <w:jc w:val="center"/>
              <w:rPr>
                <w:szCs w:val="22"/>
              </w:rPr>
            </w:pPr>
            <w:r w:rsidRPr="00264D5D">
              <w:rPr>
                <w:szCs w:val="22"/>
              </w:rPr>
              <w:t>О</w:t>
            </w:r>
          </w:p>
        </w:tc>
        <w:tc>
          <w:tcPr>
            <w:tcW w:w="3963" w:type="dxa"/>
          </w:tcPr>
          <w:p w14:paraId="6EBCCB65" w14:textId="77777777" w:rsidR="00AD1F54" w:rsidRPr="00264D5D" w:rsidRDefault="005D5F06">
            <w:pPr>
              <w:pStyle w:val="GOSTTablenorm"/>
              <w:rPr>
                <w:szCs w:val="22"/>
              </w:rPr>
            </w:pPr>
            <w:r w:rsidRPr="00264D5D">
              <w:rPr>
                <w:szCs w:val="22"/>
              </w:rPr>
              <w:t>Наименование сегмента 10</w:t>
            </w:r>
          </w:p>
        </w:tc>
      </w:tr>
      <w:tr w:rsidR="00AD1F54" w:rsidRPr="00264D5D" w14:paraId="29B4F7C2"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6612F376" w14:textId="77777777" w:rsidR="00AD1F54" w:rsidRPr="00264D5D" w:rsidRDefault="00941227">
            <w:pPr>
              <w:pStyle w:val="GOSTTablenorm"/>
              <w:rPr>
                <w:szCs w:val="22"/>
              </w:rPr>
            </w:pPr>
            <w:r w:rsidRPr="00264D5D">
              <w:rPr>
                <w:szCs w:val="22"/>
              </w:rPr>
              <w:lastRenderedPageBreak/>
              <w:t>Наименование сегмента 11</w:t>
            </w:r>
          </w:p>
        </w:tc>
        <w:tc>
          <w:tcPr>
            <w:tcW w:w="1701" w:type="dxa"/>
          </w:tcPr>
          <w:p w14:paraId="0012F04E" w14:textId="77777777" w:rsidR="00AD1F54" w:rsidRPr="00264D5D" w:rsidRDefault="00941227">
            <w:pPr>
              <w:pStyle w:val="GOSTTablenorm"/>
              <w:rPr>
                <w:szCs w:val="22"/>
              </w:rPr>
            </w:pPr>
            <w:r w:rsidRPr="00264D5D">
              <w:rPr>
                <w:szCs w:val="22"/>
              </w:rPr>
              <w:t>Segment11_Name</w:t>
            </w:r>
          </w:p>
        </w:tc>
        <w:tc>
          <w:tcPr>
            <w:tcW w:w="567" w:type="dxa"/>
          </w:tcPr>
          <w:p w14:paraId="71998C2B" w14:textId="77777777" w:rsidR="00AD1F54" w:rsidRPr="00264D5D" w:rsidRDefault="00941227">
            <w:pPr>
              <w:pStyle w:val="GOSTTablenorm"/>
              <w:jc w:val="center"/>
              <w:rPr>
                <w:szCs w:val="22"/>
              </w:rPr>
            </w:pPr>
            <w:r w:rsidRPr="00264D5D">
              <w:rPr>
                <w:szCs w:val="22"/>
              </w:rPr>
              <w:t>П</w:t>
            </w:r>
          </w:p>
        </w:tc>
        <w:tc>
          <w:tcPr>
            <w:tcW w:w="1134" w:type="dxa"/>
          </w:tcPr>
          <w:p w14:paraId="2AA3316E" w14:textId="77777777" w:rsidR="00AD1F54" w:rsidRPr="00264D5D" w:rsidRDefault="00941227">
            <w:pPr>
              <w:pStyle w:val="GOSTTablenorm"/>
              <w:rPr>
                <w:szCs w:val="22"/>
              </w:rPr>
            </w:pPr>
            <w:r w:rsidRPr="00264D5D">
              <w:rPr>
                <w:szCs w:val="22"/>
              </w:rPr>
              <w:t>Т(1-240)</w:t>
            </w:r>
          </w:p>
        </w:tc>
        <w:tc>
          <w:tcPr>
            <w:tcW w:w="567" w:type="dxa"/>
          </w:tcPr>
          <w:p w14:paraId="51AC0820" w14:textId="77777777" w:rsidR="00AD1F54" w:rsidRPr="00264D5D" w:rsidRDefault="00941227">
            <w:pPr>
              <w:pStyle w:val="GOSTTablenorm"/>
              <w:jc w:val="center"/>
              <w:rPr>
                <w:szCs w:val="22"/>
              </w:rPr>
            </w:pPr>
            <w:r w:rsidRPr="00264D5D">
              <w:rPr>
                <w:szCs w:val="22"/>
              </w:rPr>
              <w:t>О</w:t>
            </w:r>
          </w:p>
        </w:tc>
        <w:tc>
          <w:tcPr>
            <w:tcW w:w="3963" w:type="dxa"/>
          </w:tcPr>
          <w:p w14:paraId="4FC0922F" w14:textId="77777777" w:rsidR="00AD1F54" w:rsidRPr="00264D5D" w:rsidRDefault="005D5F06">
            <w:pPr>
              <w:pStyle w:val="GOSTTablenorm"/>
              <w:rPr>
                <w:szCs w:val="22"/>
              </w:rPr>
            </w:pPr>
            <w:r w:rsidRPr="00264D5D">
              <w:rPr>
                <w:szCs w:val="22"/>
              </w:rPr>
              <w:t>Наименование сегмента 11</w:t>
            </w:r>
          </w:p>
        </w:tc>
      </w:tr>
      <w:tr w:rsidR="00AD1F54" w:rsidRPr="00264D5D" w14:paraId="23BBB188"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E91896C" w14:textId="77777777" w:rsidR="00AD1F54" w:rsidRPr="00264D5D" w:rsidRDefault="00941227">
            <w:pPr>
              <w:pStyle w:val="GOSTTablenorm"/>
              <w:rPr>
                <w:szCs w:val="22"/>
              </w:rPr>
            </w:pPr>
            <w:r w:rsidRPr="00264D5D">
              <w:rPr>
                <w:szCs w:val="22"/>
              </w:rPr>
              <w:t>Наименование сегмента 12</w:t>
            </w:r>
          </w:p>
        </w:tc>
        <w:tc>
          <w:tcPr>
            <w:tcW w:w="1701" w:type="dxa"/>
          </w:tcPr>
          <w:p w14:paraId="5051B3B3" w14:textId="77777777" w:rsidR="00AD1F54" w:rsidRPr="00264D5D" w:rsidRDefault="00941227">
            <w:pPr>
              <w:pStyle w:val="GOSTTablenorm"/>
              <w:rPr>
                <w:szCs w:val="22"/>
              </w:rPr>
            </w:pPr>
            <w:r w:rsidRPr="00264D5D">
              <w:rPr>
                <w:szCs w:val="22"/>
              </w:rPr>
              <w:t>Segment12_Name</w:t>
            </w:r>
          </w:p>
        </w:tc>
        <w:tc>
          <w:tcPr>
            <w:tcW w:w="567" w:type="dxa"/>
          </w:tcPr>
          <w:p w14:paraId="6967AE18" w14:textId="77777777" w:rsidR="00AD1F54" w:rsidRPr="00264D5D" w:rsidRDefault="00941227">
            <w:pPr>
              <w:pStyle w:val="GOSTTablenorm"/>
              <w:jc w:val="center"/>
              <w:rPr>
                <w:szCs w:val="22"/>
              </w:rPr>
            </w:pPr>
            <w:r w:rsidRPr="00264D5D">
              <w:rPr>
                <w:szCs w:val="22"/>
              </w:rPr>
              <w:t>П</w:t>
            </w:r>
          </w:p>
        </w:tc>
        <w:tc>
          <w:tcPr>
            <w:tcW w:w="1134" w:type="dxa"/>
          </w:tcPr>
          <w:p w14:paraId="498EC747" w14:textId="77777777" w:rsidR="00AD1F54" w:rsidRPr="00264D5D" w:rsidRDefault="00941227">
            <w:pPr>
              <w:pStyle w:val="GOSTTablenorm"/>
              <w:rPr>
                <w:szCs w:val="22"/>
              </w:rPr>
            </w:pPr>
            <w:r w:rsidRPr="00264D5D">
              <w:rPr>
                <w:szCs w:val="22"/>
              </w:rPr>
              <w:t>Т(1-240)</w:t>
            </w:r>
          </w:p>
        </w:tc>
        <w:tc>
          <w:tcPr>
            <w:tcW w:w="567" w:type="dxa"/>
          </w:tcPr>
          <w:p w14:paraId="057FD29A" w14:textId="77777777" w:rsidR="00AD1F54" w:rsidRPr="00264D5D" w:rsidRDefault="00941227">
            <w:pPr>
              <w:pStyle w:val="GOSTTablenorm"/>
              <w:jc w:val="center"/>
              <w:rPr>
                <w:szCs w:val="22"/>
              </w:rPr>
            </w:pPr>
            <w:r w:rsidRPr="00264D5D">
              <w:rPr>
                <w:szCs w:val="22"/>
              </w:rPr>
              <w:t>О</w:t>
            </w:r>
          </w:p>
        </w:tc>
        <w:tc>
          <w:tcPr>
            <w:tcW w:w="3963" w:type="dxa"/>
          </w:tcPr>
          <w:p w14:paraId="13BF0F53" w14:textId="77777777" w:rsidR="00AD1F54" w:rsidRPr="00264D5D" w:rsidRDefault="005D5F06">
            <w:pPr>
              <w:pStyle w:val="GOSTTablenorm"/>
              <w:rPr>
                <w:szCs w:val="22"/>
              </w:rPr>
            </w:pPr>
            <w:r w:rsidRPr="00264D5D">
              <w:rPr>
                <w:szCs w:val="22"/>
              </w:rPr>
              <w:t>Наименование сегмента 12</w:t>
            </w:r>
          </w:p>
        </w:tc>
      </w:tr>
      <w:tr w:rsidR="00AD1F54" w:rsidRPr="00264D5D" w14:paraId="084AB703"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29661BB" w14:textId="77777777" w:rsidR="00AD1F54" w:rsidRPr="00264D5D" w:rsidRDefault="00941227">
            <w:pPr>
              <w:pStyle w:val="GOSTTablenorm"/>
              <w:rPr>
                <w:szCs w:val="22"/>
              </w:rPr>
            </w:pPr>
            <w:r w:rsidRPr="00264D5D">
              <w:rPr>
                <w:szCs w:val="22"/>
              </w:rPr>
              <w:t>Наименование сегмента 13</w:t>
            </w:r>
          </w:p>
        </w:tc>
        <w:tc>
          <w:tcPr>
            <w:tcW w:w="1701" w:type="dxa"/>
          </w:tcPr>
          <w:p w14:paraId="0E302D09" w14:textId="77777777" w:rsidR="00AD1F54" w:rsidRPr="00264D5D" w:rsidRDefault="00941227">
            <w:pPr>
              <w:pStyle w:val="GOSTTablenorm"/>
              <w:rPr>
                <w:szCs w:val="22"/>
              </w:rPr>
            </w:pPr>
            <w:r w:rsidRPr="00264D5D">
              <w:rPr>
                <w:szCs w:val="22"/>
              </w:rPr>
              <w:t>Segment13_Name</w:t>
            </w:r>
          </w:p>
        </w:tc>
        <w:tc>
          <w:tcPr>
            <w:tcW w:w="567" w:type="dxa"/>
          </w:tcPr>
          <w:p w14:paraId="693C6D89" w14:textId="77777777" w:rsidR="00AD1F54" w:rsidRPr="00264D5D" w:rsidRDefault="00941227">
            <w:pPr>
              <w:pStyle w:val="GOSTTablenorm"/>
              <w:jc w:val="center"/>
              <w:rPr>
                <w:szCs w:val="22"/>
              </w:rPr>
            </w:pPr>
            <w:r w:rsidRPr="00264D5D">
              <w:rPr>
                <w:szCs w:val="22"/>
              </w:rPr>
              <w:t>П</w:t>
            </w:r>
          </w:p>
        </w:tc>
        <w:tc>
          <w:tcPr>
            <w:tcW w:w="1134" w:type="dxa"/>
          </w:tcPr>
          <w:p w14:paraId="4E43149C" w14:textId="77777777" w:rsidR="00AD1F54" w:rsidRPr="00264D5D" w:rsidRDefault="00941227">
            <w:pPr>
              <w:pStyle w:val="GOSTTablenorm"/>
              <w:rPr>
                <w:szCs w:val="22"/>
              </w:rPr>
            </w:pPr>
            <w:r w:rsidRPr="00264D5D">
              <w:rPr>
                <w:szCs w:val="22"/>
              </w:rPr>
              <w:t>Т(1-2000)</w:t>
            </w:r>
          </w:p>
        </w:tc>
        <w:tc>
          <w:tcPr>
            <w:tcW w:w="567" w:type="dxa"/>
          </w:tcPr>
          <w:p w14:paraId="7E7A7777" w14:textId="77777777" w:rsidR="00AD1F54" w:rsidRPr="00264D5D" w:rsidRDefault="00941227">
            <w:pPr>
              <w:pStyle w:val="GOSTTablenorm"/>
              <w:jc w:val="center"/>
              <w:rPr>
                <w:szCs w:val="22"/>
              </w:rPr>
            </w:pPr>
            <w:r w:rsidRPr="00264D5D">
              <w:rPr>
                <w:szCs w:val="22"/>
              </w:rPr>
              <w:t>О</w:t>
            </w:r>
          </w:p>
        </w:tc>
        <w:tc>
          <w:tcPr>
            <w:tcW w:w="3963" w:type="dxa"/>
          </w:tcPr>
          <w:p w14:paraId="3B46056B" w14:textId="77777777" w:rsidR="00AD1F54" w:rsidRPr="00264D5D" w:rsidRDefault="00941227">
            <w:pPr>
              <w:pStyle w:val="GOSTTablenorm"/>
              <w:rPr>
                <w:szCs w:val="22"/>
              </w:rPr>
            </w:pPr>
            <w:r w:rsidRPr="00264D5D">
              <w:rPr>
                <w:szCs w:val="22"/>
              </w:rPr>
              <w:t>Наименование сегмента 13</w:t>
            </w:r>
          </w:p>
        </w:tc>
      </w:tr>
      <w:tr w:rsidR="00AD1F54" w:rsidRPr="00264D5D" w14:paraId="7D3D8DB1"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55B991A" w14:textId="77777777" w:rsidR="00AD1F54" w:rsidRPr="00264D5D" w:rsidRDefault="00941227">
            <w:pPr>
              <w:pStyle w:val="GOSTTablenorm"/>
              <w:rPr>
                <w:szCs w:val="22"/>
              </w:rPr>
            </w:pPr>
            <w:r w:rsidRPr="00264D5D">
              <w:rPr>
                <w:szCs w:val="22"/>
              </w:rPr>
              <w:t>Наименование сегмента 14</w:t>
            </w:r>
          </w:p>
        </w:tc>
        <w:tc>
          <w:tcPr>
            <w:tcW w:w="1701" w:type="dxa"/>
          </w:tcPr>
          <w:p w14:paraId="160D37F7" w14:textId="77777777" w:rsidR="00AD1F54" w:rsidRPr="00264D5D" w:rsidRDefault="00941227">
            <w:pPr>
              <w:pStyle w:val="GOSTTablenorm"/>
              <w:rPr>
                <w:szCs w:val="22"/>
              </w:rPr>
            </w:pPr>
            <w:r w:rsidRPr="00264D5D">
              <w:rPr>
                <w:szCs w:val="22"/>
              </w:rPr>
              <w:t>Segment14_Name</w:t>
            </w:r>
          </w:p>
        </w:tc>
        <w:tc>
          <w:tcPr>
            <w:tcW w:w="567" w:type="dxa"/>
          </w:tcPr>
          <w:p w14:paraId="1428B714" w14:textId="77777777" w:rsidR="00AD1F54" w:rsidRPr="00264D5D" w:rsidRDefault="00941227">
            <w:pPr>
              <w:pStyle w:val="GOSTTablenorm"/>
              <w:jc w:val="center"/>
              <w:rPr>
                <w:szCs w:val="22"/>
              </w:rPr>
            </w:pPr>
            <w:r w:rsidRPr="00264D5D">
              <w:rPr>
                <w:szCs w:val="22"/>
              </w:rPr>
              <w:t>П</w:t>
            </w:r>
          </w:p>
        </w:tc>
        <w:tc>
          <w:tcPr>
            <w:tcW w:w="1134" w:type="dxa"/>
          </w:tcPr>
          <w:p w14:paraId="79044484" w14:textId="77777777" w:rsidR="00AD1F54" w:rsidRPr="00264D5D" w:rsidRDefault="00941227">
            <w:pPr>
              <w:pStyle w:val="GOSTTablenorm"/>
              <w:rPr>
                <w:szCs w:val="22"/>
              </w:rPr>
            </w:pPr>
            <w:r w:rsidRPr="00264D5D">
              <w:rPr>
                <w:szCs w:val="22"/>
              </w:rPr>
              <w:t>Т(1-240)</w:t>
            </w:r>
          </w:p>
        </w:tc>
        <w:tc>
          <w:tcPr>
            <w:tcW w:w="567" w:type="dxa"/>
          </w:tcPr>
          <w:p w14:paraId="33C57C62" w14:textId="77777777" w:rsidR="00AD1F54" w:rsidRPr="00264D5D" w:rsidRDefault="00941227">
            <w:pPr>
              <w:pStyle w:val="GOSTTablenorm"/>
              <w:jc w:val="center"/>
              <w:rPr>
                <w:szCs w:val="22"/>
              </w:rPr>
            </w:pPr>
            <w:r w:rsidRPr="00264D5D">
              <w:rPr>
                <w:szCs w:val="22"/>
              </w:rPr>
              <w:t>О</w:t>
            </w:r>
          </w:p>
        </w:tc>
        <w:tc>
          <w:tcPr>
            <w:tcW w:w="3963" w:type="dxa"/>
          </w:tcPr>
          <w:p w14:paraId="3A417BF7" w14:textId="77777777" w:rsidR="00AD1F54" w:rsidRPr="00264D5D" w:rsidRDefault="005D5F06">
            <w:pPr>
              <w:pStyle w:val="GOSTTablenorm"/>
              <w:rPr>
                <w:szCs w:val="22"/>
              </w:rPr>
            </w:pPr>
            <w:r w:rsidRPr="00264D5D">
              <w:rPr>
                <w:szCs w:val="22"/>
              </w:rPr>
              <w:t>Наименование сегмента 14</w:t>
            </w:r>
          </w:p>
        </w:tc>
      </w:tr>
      <w:tr w:rsidR="00AD1F54" w:rsidRPr="00264D5D" w14:paraId="77AF35C5"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3D71ACC6" w14:textId="77777777" w:rsidR="00AD1F54" w:rsidRPr="00264D5D" w:rsidRDefault="00941227">
            <w:pPr>
              <w:pStyle w:val="GOSTTablenorm"/>
              <w:rPr>
                <w:szCs w:val="22"/>
              </w:rPr>
            </w:pPr>
            <w:r w:rsidRPr="00264D5D">
              <w:rPr>
                <w:szCs w:val="22"/>
              </w:rPr>
              <w:t>Наименование сегмента 15</w:t>
            </w:r>
          </w:p>
        </w:tc>
        <w:tc>
          <w:tcPr>
            <w:tcW w:w="1701" w:type="dxa"/>
          </w:tcPr>
          <w:p w14:paraId="4CFDE9F1" w14:textId="77777777" w:rsidR="00AD1F54" w:rsidRPr="00264D5D" w:rsidRDefault="00941227">
            <w:pPr>
              <w:pStyle w:val="GOSTTablenorm"/>
              <w:rPr>
                <w:szCs w:val="22"/>
              </w:rPr>
            </w:pPr>
            <w:r w:rsidRPr="00264D5D">
              <w:rPr>
                <w:szCs w:val="22"/>
              </w:rPr>
              <w:t>Segment15_Name</w:t>
            </w:r>
          </w:p>
        </w:tc>
        <w:tc>
          <w:tcPr>
            <w:tcW w:w="567" w:type="dxa"/>
          </w:tcPr>
          <w:p w14:paraId="44049D5D" w14:textId="77777777" w:rsidR="00AD1F54" w:rsidRPr="00264D5D" w:rsidRDefault="00941227">
            <w:pPr>
              <w:pStyle w:val="GOSTTablenorm"/>
              <w:jc w:val="center"/>
              <w:rPr>
                <w:szCs w:val="22"/>
              </w:rPr>
            </w:pPr>
            <w:r w:rsidRPr="00264D5D">
              <w:rPr>
                <w:szCs w:val="22"/>
              </w:rPr>
              <w:t>П</w:t>
            </w:r>
          </w:p>
        </w:tc>
        <w:tc>
          <w:tcPr>
            <w:tcW w:w="1134" w:type="dxa"/>
          </w:tcPr>
          <w:p w14:paraId="0015D853" w14:textId="77777777" w:rsidR="00AD1F54" w:rsidRPr="00264D5D" w:rsidRDefault="00941227">
            <w:pPr>
              <w:pStyle w:val="GOSTTablenorm"/>
              <w:rPr>
                <w:szCs w:val="22"/>
              </w:rPr>
            </w:pPr>
            <w:r w:rsidRPr="00264D5D">
              <w:rPr>
                <w:szCs w:val="22"/>
              </w:rPr>
              <w:t>Т(1-2000)</w:t>
            </w:r>
          </w:p>
        </w:tc>
        <w:tc>
          <w:tcPr>
            <w:tcW w:w="567" w:type="dxa"/>
          </w:tcPr>
          <w:p w14:paraId="61188BF7" w14:textId="77777777" w:rsidR="00AD1F54" w:rsidRPr="00264D5D" w:rsidRDefault="00941227">
            <w:pPr>
              <w:pStyle w:val="GOSTTablenorm"/>
              <w:jc w:val="center"/>
              <w:rPr>
                <w:szCs w:val="22"/>
              </w:rPr>
            </w:pPr>
            <w:r w:rsidRPr="00264D5D">
              <w:rPr>
                <w:szCs w:val="22"/>
              </w:rPr>
              <w:t>О</w:t>
            </w:r>
          </w:p>
        </w:tc>
        <w:tc>
          <w:tcPr>
            <w:tcW w:w="3963" w:type="dxa"/>
          </w:tcPr>
          <w:p w14:paraId="05BE7C32" w14:textId="77777777" w:rsidR="00AD1F54" w:rsidRPr="00264D5D" w:rsidRDefault="005D5F06">
            <w:pPr>
              <w:pStyle w:val="GOSTTablenorm"/>
              <w:rPr>
                <w:szCs w:val="22"/>
              </w:rPr>
            </w:pPr>
            <w:r w:rsidRPr="00264D5D">
              <w:rPr>
                <w:szCs w:val="22"/>
              </w:rPr>
              <w:t>Наименование сегмента 15</w:t>
            </w:r>
          </w:p>
        </w:tc>
      </w:tr>
      <w:tr w:rsidR="00AD1F54" w:rsidRPr="00264D5D" w14:paraId="5453ED94"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7AEBBD5" w14:textId="77777777" w:rsidR="00AD1F54" w:rsidRPr="00264D5D" w:rsidRDefault="00941227">
            <w:pPr>
              <w:pStyle w:val="GOSTTablenorm"/>
              <w:rPr>
                <w:szCs w:val="22"/>
              </w:rPr>
            </w:pPr>
            <w:r w:rsidRPr="00264D5D">
              <w:rPr>
                <w:szCs w:val="22"/>
              </w:rPr>
              <w:t>Наименование сегмента 16</w:t>
            </w:r>
          </w:p>
        </w:tc>
        <w:tc>
          <w:tcPr>
            <w:tcW w:w="1701" w:type="dxa"/>
          </w:tcPr>
          <w:p w14:paraId="25689832" w14:textId="77777777" w:rsidR="00AD1F54" w:rsidRPr="00264D5D" w:rsidRDefault="00941227">
            <w:pPr>
              <w:pStyle w:val="GOSTTablenorm"/>
              <w:rPr>
                <w:szCs w:val="22"/>
              </w:rPr>
            </w:pPr>
            <w:r w:rsidRPr="00264D5D">
              <w:rPr>
                <w:szCs w:val="22"/>
              </w:rPr>
              <w:t>Segment16_Name</w:t>
            </w:r>
          </w:p>
        </w:tc>
        <w:tc>
          <w:tcPr>
            <w:tcW w:w="567" w:type="dxa"/>
          </w:tcPr>
          <w:p w14:paraId="38A38A62" w14:textId="77777777" w:rsidR="00AD1F54" w:rsidRPr="00264D5D" w:rsidRDefault="00941227">
            <w:pPr>
              <w:pStyle w:val="GOSTTablenorm"/>
              <w:jc w:val="center"/>
              <w:rPr>
                <w:szCs w:val="22"/>
              </w:rPr>
            </w:pPr>
            <w:r w:rsidRPr="00264D5D">
              <w:rPr>
                <w:szCs w:val="22"/>
              </w:rPr>
              <w:t>П</w:t>
            </w:r>
          </w:p>
        </w:tc>
        <w:tc>
          <w:tcPr>
            <w:tcW w:w="1134" w:type="dxa"/>
          </w:tcPr>
          <w:p w14:paraId="7500B1BB" w14:textId="77777777" w:rsidR="00AD1F54" w:rsidRPr="00264D5D" w:rsidRDefault="00941227">
            <w:pPr>
              <w:pStyle w:val="GOSTTablenorm"/>
              <w:rPr>
                <w:szCs w:val="22"/>
              </w:rPr>
            </w:pPr>
            <w:r w:rsidRPr="00264D5D">
              <w:rPr>
                <w:szCs w:val="22"/>
              </w:rPr>
              <w:t>Т(1-240)</w:t>
            </w:r>
          </w:p>
        </w:tc>
        <w:tc>
          <w:tcPr>
            <w:tcW w:w="567" w:type="dxa"/>
          </w:tcPr>
          <w:p w14:paraId="36AF54DC" w14:textId="77777777" w:rsidR="00AD1F54" w:rsidRPr="00264D5D" w:rsidRDefault="00941227">
            <w:pPr>
              <w:pStyle w:val="GOSTTablenorm"/>
              <w:jc w:val="center"/>
              <w:rPr>
                <w:szCs w:val="22"/>
              </w:rPr>
            </w:pPr>
            <w:r w:rsidRPr="00264D5D">
              <w:rPr>
                <w:szCs w:val="22"/>
              </w:rPr>
              <w:t>О</w:t>
            </w:r>
          </w:p>
        </w:tc>
        <w:tc>
          <w:tcPr>
            <w:tcW w:w="3963" w:type="dxa"/>
          </w:tcPr>
          <w:p w14:paraId="7F57548F" w14:textId="77777777" w:rsidR="00AD1F54" w:rsidRPr="00264D5D" w:rsidRDefault="005D5F06">
            <w:pPr>
              <w:pStyle w:val="GOSTTablenorm"/>
              <w:rPr>
                <w:szCs w:val="22"/>
              </w:rPr>
            </w:pPr>
            <w:r w:rsidRPr="00264D5D">
              <w:rPr>
                <w:szCs w:val="22"/>
              </w:rPr>
              <w:t>Наименование сегмента 16</w:t>
            </w:r>
          </w:p>
        </w:tc>
      </w:tr>
      <w:tr w:rsidR="00AD1F54" w:rsidRPr="00264D5D" w14:paraId="127A5F9C"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32CE3BE1" w14:textId="77777777" w:rsidR="00AD1F54" w:rsidRPr="00264D5D" w:rsidRDefault="00941227">
            <w:pPr>
              <w:pStyle w:val="GOSTTablenorm"/>
              <w:rPr>
                <w:szCs w:val="22"/>
              </w:rPr>
            </w:pPr>
            <w:r w:rsidRPr="00264D5D">
              <w:rPr>
                <w:szCs w:val="22"/>
              </w:rPr>
              <w:t>Наименование сегмента 17</w:t>
            </w:r>
          </w:p>
        </w:tc>
        <w:tc>
          <w:tcPr>
            <w:tcW w:w="1701" w:type="dxa"/>
          </w:tcPr>
          <w:p w14:paraId="2CDBFCE8" w14:textId="77777777" w:rsidR="00AD1F54" w:rsidRPr="00264D5D" w:rsidRDefault="00941227">
            <w:pPr>
              <w:pStyle w:val="GOSTTablenorm"/>
              <w:rPr>
                <w:szCs w:val="22"/>
              </w:rPr>
            </w:pPr>
            <w:r w:rsidRPr="00264D5D">
              <w:rPr>
                <w:szCs w:val="22"/>
              </w:rPr>
              <w:t>Segment17_Name</w:t>
            </w:r>
          </w:p>
        </w:tc>
        <w:tc>
          <w:tcPr>
            <w:tcW w:w="567" w:type="dxa"/>
          </w:tcPr>
          <w:p w14:paraId="0E8225C7" w14:textId="77777777" w:rsidR="00AD1F54" w:rsidRPr="00264D5D" w:rsidRDefault="00941227">
            <w:pPr>
              <w:pStyle w:val="GOSTTablenorm"/>
              <w:jc w:val="center"/>
              <w:rPr>
                <w:szCs w:val="22"/>
              </w:rPr>
            </w:pPr>
            <w:r w:rsidRPr="00264D5D">
              <w:rPr>
                <w:szCs w:val="22"/>
              </w:rPr>
              <w:t>П</w:t>
            </w:r>
          </w:p>
        </w:tc>
        <w:tc>
          <w:tcPr>
            <w:tcW w:w="1134" w:type="dxa"/>
          </w:tcPr>
          <w:p w14:paraId="31F00070" w14:textId="77777777" w:rsidR="00AD1F54" w:rsidRPr="00264D5D" w:rsidRDefault="00941227">
            <w:pPr>
              <w:pStyle w:val="GOSTTablenorm"/>
              <w:rPr>
                <w:szCs w:val="22"/>
              </w:rPr>
            </w:pPr>
            <w:r w:rsidRPr="00264D5D">
              <w:rPr>
                <w:szCs w:val="22"/>
              </w:rPr>
              <w:t>Т(1-512)</w:t>
            </w:r>
          </w:p>
        </w:tc>
        <w:tc>
          <w:tcPr>
            <w:tcW w:w="567" w:type="dxa"/>
          </w:tcPr>
          <w:p w14:paraId="5F4D848E" w14:textId="77777777" w:rsidR="00AD1F54" w:rsidRPr="00264D5D" w:rsidRDefault="00941227">
            <w:pPr>
              <w:pStyle w:val="GOSTTablenorm"/>
              <w:jc w:val="center"/>
              <w:rPr>
                <w:szCs w:val="22"/>
              </w:rPr>
            </w:pPr>
            <w:r w:rsidRPr="00264D5D">
              <w:rPr>
                <w:szCs w:val="22"/>
              </w:rPr>
              <w:t>О</w:t>
            </w:r>
          </w:p>
        </w:tc>
        <w:tc>
          <w:tcPr>
            <w:tcW w:w="3963" w:type="dxa"/>
          </w:tcPr>
          <w:p w14:paraId="3BE31A72" w14:textId="77777777" w:rsidR="00AD1F54" w:rsidRPr="00264D5D" w:rsidRDefault="005D5F06">
            <w:pPr>
              <w:pStyle w:val="GOSTTablenorm"/>
              <w:rPr>
                <w:szCs w:val="22"/>
              </w:rPr>
            </w:pPr>
            <w:r w:rsidRPr="00264D5D">
              <w:rPr>
                <w:szCs w:val="22"/>
              </w:rPr>
              <w:t>Наименование сегмента 17</w:t>
            </w:r>
          </w:p>
        </w:tc>
      </w:tr>
      <w:tr w:rsidR="00AD1F54" w:rsidRPr="00264D5D" w14:paraId="3EC531CD"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7BB28F21" w14:textId="77777777" w:rsidR="00AD1F54" w:rsidRPr="00264D5D" w:rsidRDefault="00941227">
            <w:pPr>
              <w:pStyle w:val="GOSTTablenorm"/>
              <w:rPr>
                <w:szCs w:val="22"/>
              </w:rPr>
            </w:pPr>
            <w:r w:rsidRPr="00264D5D">
              <w:rPr>
                <w:szCs w:val="22"/>
              </w:rPr>
              <w:t>…</w:t>
            </w:r>
          </w:p>
        </w:tc>
        <w:tc>
          <w:tcPr>
            <w:tcW w:w="1701" w:type="dxa"/>
          </w:tcPr>
          <w:p w14:paraId="0C29CC51" w14:textId="77777777" w:rsidR="00AD1F54" w:rsidRPr="00264D5D" w:rsidRDefault="00941227">
            <w:pPr>
              <w:pStyle w:val="GOSTTablenorm"/>
              <w:rPr>
                <w:szCs w:val="22"/>
              </w:rPr>
            </w:pPr>
            <w:r w:rsidRPr="00264D5D">
              <w:rPr>
                <w:szCs w:val="22"/>
              </w:rPr>
              <w:t>….</w:t>
            </w:r>
          </w:p>
        </w:tc>
        <w:tc>
          <w:tcPr>
            <w:tcW w:w="567" w:type="dxa"/>
          </w:tcPr>
          <w:p w14:paraId="3A90057C" w14:textId="77777777" w:rsidR="00AD1F54" w:rsidRPr="00264D5D" w:rsidRDefault="00941227">
            <w:pPr>
              <w:pStyle w:val="GOSTTablenorm"/>
              <w:jc w:val="center"/>
              <w:rPr>
                <w:szCs w:val="22"/>
              </w:rPr>
            </w:pPr>
            <w:r w:rsidRPr="00264D5D">
              <w:rPr>
                <w:szCs w:val="22"/>
              </w:rPr>
              <w:t>…</w:t>
            </w:r>
          </w:p>
        </w:tc>
        <w:tc>
          <w:tcPr>
            <w:tcW w:w="1134" w:type="dxa"/>
          </w:tcPr>
          <w:p w14:paraId="422F3984" w14:textId="77777777" w:rsidR="00AD1F54" w:rsidRPr="00264D5D" w:rsidRDefault="00941227">
            <w:pPr>
              <w:pStyle w:val="GOSTTablenorm"/>
              <w:rPr>
                <w:szCs w:val="22"/>
              </w:rPr>
            </w:pPr>
            <w:r w:rsidRPr="00264D5D">
              <w:rPr>
                <w:szCs w:val="22"/>
              </w:rPr>
              <w:t>…</w:t>
            </w:r>
          </w:p>
        </w:tc>
        <w:tc>
          <w:tcPr>
            <w:tcW w:w="567" w:type="dxa"/>
          </w:tcPr>
          <w:p w14:paraId="28BE6422" w14:textId="77777777" w:rsidR="00AD1F54" w:rsidRPr="00264D5D" w:rsidRDefault="00941227">
            <w:pPr>
              <w:pStyle w:val="GOSTTablenorm"/>
              <w:jc w:val="center"/>
              <w:rPr>
                <w:szCs w:val="22"/>
              </w:rPr>
            </w:pPr>
            <w:r w:rsidRPr="00264D5D">
              <w:rPr>
                <w:szCs w:val="22"/>
              </w:rPr>
              <w:t>…</w:t>
            </w:r>
          </w:p>
        </w:tc>
        <w:tc>
          <w:tcPr>
            <w:tcW w:w="3963" w:type="dxa"/>
          </w:tcPr>
          <w:p w14:paraId="2B142466" w14:textId="77777777" w:rsidR="00AD1F54" w:rsidRPr="00264D5D" w:rsidRDefault="00941227">
            <w:pPr>
              <w:pStyle w:val="GOSTTablenorm"/>
              <w:rPr>
                <w:szCs w:val="22"/>
              </w:rPr>
            </w:pPr>
            <w:r w:rsidRPr="00264D5D">
              <w:rPr>
                <w:szCs w:val="22"/>
              </w:rPr>
              <w:t>…</w:t>
            </w:r>
          </w:p>
        </w:tc>
      </w:tr>
      <w:tr w:rsidR="00AD1F54" w:rsidRPr="00264D5D" w14:paraId="0B646A6C"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2E1449A9" w14:textId="77777777" w:rsidR="00AD1F54" w:rsidRPr="00264D5D" w:rsidRDefault="00941227">
            <w:pPr>
              <w:pStyle w:val="GOSTTablenorm"/>
              <w:rPr>
                <w:szCs w:val="22"/>
              </w:rPr>
            </w:pPr>
            <w:r w:rsidRPr="00264D5D">
              <w:rPr>
                <w:szCs w:val="22"/>
              </w:rPr>
              <w:t>Наименование сегмента 20</w:t>
            </w:r>
          </w:p>
        </w:tc>
        <w:tc>
          <w:tcPr>
            <w:tcW w:w="1701" w:type="dxa"/>
          </w:tcPr>
          <w:p w14:paraId="5B5A971C" w14:textId="77777777" w:rsidR="00AD1F54" w:rsidRPr="00264D5D" w:rsidRDefault="00941227">
            <w:pPr>
              <w:pStyle w:val="GOSTTablenorm"/>
              <w:rPr>
                <w:szCs w:val="22"/>
              </w:rPr>
            </w:pPr>
            <w:r w:rsidRPr="00264D5D">
              <w:rPr>
                <w:szCs w:val="22"/>
              </w:rPr>
              <w:t>Segment20_Name</w:t>
            </w:r>
          </w:p>
        </w:tc>
        <w:tc>
          <w:tcPr>
            <w:tcW w:w="567" w:type="dxa"/>
          </w:tcPr>
          <w:p w14:paraId="3D63E849" w14:textId="77777777" w:rsidR="00AD1F54" w:rsidRPr="00264D5D" w:rsidRDefault="00941227">
            <w:pPr>
              <w:pStyle w:val="GOSTTablenorm"/>
              <w:jc w:val="center"/>
              <w:rPr>
                <w:szCs w:val="22"/>
              </w:rPr>
            </w:pPr>
            <w:r w:rsidRPr="00264D5D">
              <w:rPr>
                <w:szCs w:val="22"/>
              </w:rPr>
              <w:t>П</w:t>
            </w:r>
          </w:p>
        </w:tc>
        <w:tc>
          <w:tcPr>
            <w:tcW w:w="1134" w:type="dxa"/>
          </w:tcPr>
          <w:p w14:paraId="3CD30D90" w14:textId="77777777" w:rsidR="00AD1F54" w:rsidRPr="00264D5D" w:rsidRDefault="00941227">
            <w:pPr>
              <w:pStyle w:val="GOSTTablenorm"/>
              <w:rPr>
                <w:szCs w:val="22"/>
              </w:rPr>
            </w:pPr>
            <w:r w:rsidRPr="00264D5D">
              <w:rPr>
                <w:szCs w:val="22"/>
              </w:rPr>
              <w:t>Т(1-240)</w:t>
            </w:r>
          </w:p>
        </w:tc>
        <w:tc>
          <w:tcPr>
            <w:tcW w:w="567" w:type="dxa"/>
          </w:tcPr>
          <w:p w14:paraId="07BC2D60" w14:textId="77777777" w:rsidR="00AD1F54" w:rsidRPr="00264D5D" w:rsidRDefault="00941227">
            <w:pPr>
              <w:pStyle w:val="GOSTTablenorm"/>
              <w:jc w:val="center"/>
              <w:rPr>
                <w:szCs w:val="22"/>
              </w:rPr>
            </w:pPr>
            <w:r w:rsidRPr="00264D5D">
              <w:rPr>
                <w:szCs w:val="22"/>
              </w:rPr>
              <w:t>О</w:t>
            </w:r>
          </w:p>
        </w:tc>
        <w:tc>
          <w:tcPr>
            <w:tcW w:w="3963" w:type="dxa"/>
          </w:tcPr>
          <w:p w14:paraId="59256A1B" w14:textId="77777777" w:rsidR="00AD1F54" w:rsidRPr="00264D5D" w:rsidRDefault="005D5F06">
            <w:pPr>
              <w:pStyle w:val="GOSTTablenorm"/>
              <w:rPr>
                <w:szCs w:val="22"/>
              </w:rPr>
            </w:pPr>
            <w:r w:rsidRPr="00264D5D">
              <w:rPr>
                <w:szCs w:val="22"/>
              </w:rPr>
              <w:t>Наименование сегмента 20</w:t>
            </w:r>
          </w:p>
        </w:tc>
      </w:tr>
      <w:tr w:rsidR="00AD1F54" w:rsidRPr="00264D5D" w14:paraId="0AB93662"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6537832" w14:textId="77777777" w:rsidR="00AD1F54" w:rsidRPr="00264D5D" w:rsidRDefault="00941227">
            <w:pPr>
              <w:pStyle w:val="GOSTTablenorm"/>
              <w:rPr>
                <w:szCs w:val="22"/>
              </w:rPr>
            </w:pPr>
            <w:r w:rsidRPr="00264D5D">
              <w:rPr>
                <w:szCs w:val="22"/>
              </w:rPr>
              <w:t>Атрибут 1</w:t>
            </w:r>
          </w:p>
        </w:tc>
        <w:tc>
          <w:tcPr>
            <w:tcW w:w="1701" w:type="dxa"/>
          </w:tcPr>
          <w:p w14:paraId="6B36CA29" w14:textId="77777777" w:rsidR="00AD1F54" w:rsidRPr="00264D5D" w:rsidRDefault="00941227">
            <w:pPr>
              <w:pStyle w:val="GOSTTablenorm"/>
              <w:rPr>
                <w:szCs w:val="22"/>
              </w:rPr>
            </w:pPr>
            <w:r w:rsidRPr="00264D5D">
              <w:rPr>
                <w:szCs w:val="22"/>
              </w:rPr>
              <w:t>Attribute1</w:t>
            </w:r>
          </w:p>
        </w:tc>
        <w:tc>
          <w:tcPr>
            <w:tcW w:w="567" w:type="dxa"/>
          </w:tcPr>
          <w:p w14:paraId="2FF68959" w14:textId="77777777" w:rsidR="00AD1F54" w:rsidRPr="00264D5D" w:rsidRDefault="00941227">
            <w:pPr>
              <w:pStyle w:val="GOSTTablenorm"/>
              <w:jc w:val="center"/>
              <w:rPr>
                <w:szCs w:val="22"/>
              </w:rPr>
            </w:pPr>
            <w:r w:rsidRPr="00264D5D">
              <w:rPr>
                <w:szCs w:val="22"/>
              </w:rPr>
              <w:t>П</w:t>
            </w:r>
          </w:p>
        </w:tc>
        <w:tc>
          <w:tcPr>
            <w:tcW w:w="1134" w:type="dxa"/>
          </w:tcPr>
          <w:p w14:paraId="1FFFD7F4" w14:textId="77777777" w:rsidR="00AD1F54" w:rsidRPr="00264D5D" w:rsidRDefault="00941227">
            <w:pPr>
              <w:pStyle w:val="GOSTTablenorm"/>
              <w:rPr>
                <w:szCs w:val="22"/>
              </w:rPr>
            </w:pPr>
            <w:r w:rsidRPr="00264D5D">
              <w:rPr>
                <w:szCs w:val="22"/>
              </w:rPr>
              <w:t>Т(1-150)</w:t>
            </w:r>
          </w:p>
        </w:tc>
        <w:tc>
          <w:tcPr>
            <w:tcW w:w="567" w:type="dxa"/>
          </w:tcPr>
          <w:p w14:paraId="350C5D18" w14:textId="77777777" w:rsidR="00AD1F54" w:rsidRPr="00264D5D" w:rsidRDefault="00941227">
            <w:pPr>
              <w:pStyle w:val="GOSTTablenorm"/>
              <w:jc w:val="center"/>
              <w:rPr>
                <w:szCs w:val="22"/>
              </w:rPr>
            </w:pPr>
            <w:r w:rsidRPr="00264D5D">
              <w:rPr>
                <w:szCs w:val="22"/>
              </w:rPr>
              <w:t>О</w:t>
            </w:r>
          </w:p>
        </w:tc>
        <w:tc>
          <w:tcPr>
            <w:tcW w:w="3963" w:type="dxa"/>
          </w:tcPr>
          <w:p w14:paraId="365C3710" w14:textId="77777777" w:rsidR="00AD1F54" w:rsidRPr="00264D5D" w:rsidRDefault="005D5F06">
            <w:pPr>
              <w:pStyle w:val="GOSTTablenorm"/>
              <w:rPr>
                <w:szCs w:val="22"/>
              </w:rPr>
            </w:pPr>
            <w:r w:rsidRPr="00264D5D">
              <w:rPr>
                <w:szCs w:val="22"/>
              </w:rPr>
              <w:t>Атрибут 1</w:t>
            </w:r>
          </w:p>
        </w:tc>
      </w:tr>
      <w:tr w:rsidR="00AD1F54" w:rsidRPr="00264D5D" w14:paraId="438A55C4"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E6811B5" w14:textId="77777777" w:rsidR="00AD1F54" w:rsidRPr="00264D5D" w:rsidRDefault="00941227">
            <w:pPr>
              <w:pStyle w:val="GOSTTablenorm"/>
              <w:rPr>
                <w:szCs w:val="22"/>
              </w:rPr>
            </w:pPr>
            <w:r w:rsidRPr="00264D5D">
              <w:rPr>
                <w:szCs w:val="22"/>
              </w:rPr>
              <w:t>…</w:t>
            </w:r>
          </w:p>
        </w:tc>
        <w:tc>
          <w:tcPr>
            <w:tcW w:w="1701" w:type="dxa"/>
          </w:tcPr>
          <w:p w14:paraId="797C5139" w14:textId="77777777" w:rsidR="00AD1F54" w:rsidRPr="00264D5D" w:rsidRDefault="00941227">
            <w:pPr>
              <w:pStyle w:val="GOSTTablenorm"/>
              <w:rPr>
                <w:szCs w:val="22"/>
              </w:rPr>
            </w:pPr>
            <w:r w:rsidRPr="00264D5D">
              <w:rPr>
                <w:szCs w:val="22"/>
              </w:rPr>
              <w:t>….</w:t>
            </w:r>
          </w:p>
        </w:tc>
        <w:tc>
          <w:tcPr>
            <w:tcW w:w="567" w:type="dxa"/>
          </w:tcPr>
          <w:p w14:paraId="3144FD4E" w14:textId="77777777" w:rsidR="00AD1F54" w:rsidRPr="00264D5D" w:rsidRDefault="00941227">
            <w:pPr>
              <w:pStyle w:val="GOSTTablenorm"/>
              <w:jc w:val="center"/>
              <w:rPr>
                <w:szCs w:val="22"/>
              </w:rPr>
            </w:pPr>
            <w:r w:rsidRPr="00264D5D">
              <w:rPr>
                <w:szCs w:val="22"/>
              </w:rPr>
              <w:t>…</w:t>
            </w:r>
          </w:p>
        </w:tc>
        <w:tc>
          <w:tcPr>
            <w:tcW w:w="1134" w:type="dxa"/>
          </w:tcPr>
          <w:p w14:paraId="3EB66E15" w14:textId="77777777" w:rsidR="00AD1F54" w:rsidRPr="00264D5D" w:rsidRDefault="00941227">
            <w:pPr>
              <w:pStyle w:val="GOSTTablenorm"/>
              <w:rPr>
                <w:szCs w:val="22"/>
              </w:rPr>
            </w:pPr>
            <w:r w:rsidRPr="00264D5D">
              <w:rPr>
                <w:szCs w:val="22"/>
              </w:rPr>
              <w:t>…</w:t>
            </w:r>
          </w:p>
        </w:tc>
        <w:tc>
          <w:tcPr>
            <w:tcW w:w="567" w:type="dxa"/>
          </w:tcPr>
          <w:p w14:paraId="77A9DFD0" w14:textId="77777777" w:rsidR="00AD1F54" w:rsidRPr="00264D5D" w:rsidRDefault="00941227">
            <w:pPr>
              <w:pStyle w:val="GOSTTablenorm"/>
              <w:jc w:val="center"/>
              <w:rPr>
                <w:szCs w:val="22"/>
              </w:rPr>
            </w:pPr>
            <w:r w:rsidRPr="00264D5D">
              <w:rPr>
                <w:szCs w:val="22"/>
              </w:rPr>
              <w:t>…</w:t>
            </w:r>
          </w:p>
        </w:tc>
        <w:tc>
          <w:tcPr>
            <w:tcW w:w="3963" w:type="dxa"/>
          </w:tcPr>
          <w:p w14:paraId="4AFC13A4" w14:textId="77777777" w:rsidR="00AD1F54" w:rsidRPr="00264D5D" w:rsidRDefault="00941227">
            <w:pPr>
              <w:pStyle w:val="GOSTTablenorm"/>
              <w:rPr>
                <w:szCs w:val="22"/>
              </w:rPr>
            </w:pPr>
            <w:r w:rsidRPr="00264D5D">
              <w:rPr>
                <w:szCs w:val="22"/>
              </w:rPr>
              <w:t>…</w:t>
            </w:r>
          </w:p>
        </w:tc>
      </w:tr>
      <w:tr w:rsidR="00AD1F54" w:rsidRPr="00264D5D" w14:paraId="33F047CD"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D091C37" w14:textId="77777777" w:rsidR="00AD1F54" w:rsidRPr="00264D5D" w:rsidRDefault="00941227">
            <w:pPr>
              <w:pStyle w:val="GOSTTablenorm"/>
              <w:rPr>
                <w:szCs w:val="22"/>
              </w:rPr>
            </w:pPr>
            <w:r w:rsidRPr="00264D5D">
              <w:rPr>
                <w:szCs w:val="22"/>
              </w:rPr>
              <w:t>Атрибут 20</w:t>
            </w:r>
          </w:p>
        </w:tc>
        <w:tc>
          <w:tcPr>
            <w:tcW w:w="1701" w:type="dxa"/>
          </w:tcPr>
          <w:p w14:paraId="518C45EB" w14:textId="77777777" w:rsidR="00AD1F54" w:rsidRPr="00264D5D" w:rsidRDefault="00941227">
            <w:pPr>
              <w:pStyle w:val="GOSTTablenorm"/>
              <w:rPr>
                <w:szCs w:val="22"/>
              </w:rPr>
            </w:pPr>
            <w:r w:rsidRPr="00264D5D">
              <w:rPr>
                <w:szCs w:val="22"/>
              </w:rPr>
              <w:t>Attribute20</w:t>
            </w:r>
          </w:p>
        </w:tc>
        <w:tc>
          <w:tcPr>
            <w:tcW w:w="567" w:type="dxa"/>
          </w:tcPr>
          <w:p w14:paraId="0D631D58" w14:textId="77777777" w:rsidR="00AD1F54" w:rsidRPr="00264D5D" w:rsidRDefault="00941227">
            <w:pPr>
              <w:pStyle w:val="GOSTTablenorm"/>
              <w:jc w:val="center"/>
              <w:rPr>
                <w:szCs w:val="22"/>
              </w:rPr>
            </w:pPr>
            <w:r w:rsidRPr="00264D5D">
              <w:rPr>
                <w:szCs w:val="22"/>
              </w:rPr>
              <w:t>П</w:t>
            </w:r>
          </w:p>
        </w:tc>
        <w:tc>
          <w:tcPr>
            <w:tcW w:w="1134" w:type="dxa"/>
          </w:tcPr>
          <w:p w14:paraId="2E696BB2" w14:textId="77777777" w:rsidR="00AD1F54" w:rsidRPr="00264D5D" w:rsidRDefault="00941227">
            <w:pPr>
              <w:pStyle w:val="GOSTTablenorm"/>
              <w:rPr>
                <w:szCs w:val="22"/>
              </w:rPr>
            </w:pPr>
            <w:r w:rsidRPr="00264D5D">
              <w:rPr>
                <w:szCs w:val="22"/>
              </w:rPr>
              <w:t>Т(1-150)</w:t>
            </w:r>
          </w:p>
        </w:tc>
        <w:tc>
          <w:tcPr>
            <w:tcW w:w="567" w:type="dxa"/>
          </w:tcPr>
          <w:p w14:paraId="1D556462" w14:textId="77777777" w:rsidR="00AD1F54" w:rsidRPr="00264D5D" w:rsidRDefault="00941227">
            <w:pPr>
              <w:pStyle w:val="GOSTTablenorm"/>
              <w:jc w:val="center"/>
              <w:rPr>
                <w:szCs w:val="22"/>
              </w:rPr>
            </w:pPr>
            <w:r w:rsidRPr="00264D5D">
              <w:rPr>
                <w:szCs w:val="22"/>
              </w:rPr>
              <w:t>О</w:t>
            </w:r>
          </w:p>
        </w:tc>
        <w:tc>
          <w:tcPr>
            <w:tcW w:w="3963" w:type="dxa"/>
          </w:tcPr>
          <w:p w14:paraId="6FF8B979" w14:textId="77777777" w:rsidR="00AD1F54" w:rsidRPr="00264D5D" w:rsidRDefault="005D5F06">
            <w:pPr>
              <w:pStyle w:val="GOSTTablenorm"/>
              <w:rPr>
                <w:szCs w:val="22"/>
              </w:rPr>
            </w:pPr>
            <w:r w:rsidRPr="00264D5D">
              <w:rPr>
                <w:szCs w:val="22"/>
              </w:rPr>
              <w:t>Атрибут 20</w:t>
            </w:r>
          </w:p>
        </w:tc>
      </w:tr>
      <w:tr w:rsidR="00AD1F54" w:rsidRPr="00264D5D" w14:paraId="47A901D7"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23FF4C3B" w14:textId="77777777" w:rsidR="00AD1F54" w:rsidRPr="00264D5D" w:rsidRDefault="00941227">
            <w:pPr>
              <w:pStyle w:val="GOSTTablenorm"/>
              <w:rPr>
                <w:szCs w:val="22"/>
              </w:rPr>
            </w:pPr>
            <w:r w:rsidRPr="00264D5D">
              <w:rPr>
                <w:szCs w:val="22"/>
              </w:rPr>
              <w:t>Наименование файла авиакомп</w:t>
            </w:r>
          </w:p>
        </w:tc>
        <w:tc>
          <w:tcPr>
            <w:tcW w:w="1701" w:type="dxa"/>
          </w:tcPr>
          <w:p w14:paraId="141C3539" w14:textId="77777777" w:rsidR="00AD1F54" w:rsidRPr="00264D5D" w:rsidRDefault="00941227">
            <w:pPr>
              <w:pStyle w:val="GOSTTablenorm"/>
              <w:rPr>
                <w:szCs w:val="22"/>
              </w:rPr>
            </w:pPr>
            <w:r w:rsidRPr="00264D5D">
              <w:rPr>
                <w:szCs w:val="22"/>
              </w:rPr>
              <w:t>File_Name</w:t>
            </w:r>
          </w:p>
        </w:tc>
        <w:tc>
          <w:tcPr>
            <w:tcW w:w="567" w:type="dxa"/>
          </w:tcPr>
          <w:p w14:paraId="1932919E" w14:textId="77777777" w:rsidR="00AD1F54" w:rsidRPr="00264D5D" w:rsidRDefault="00941227">
            <w:pPr>
              <w:pStyle w:val="GOSTTablenorm"/>
              <w:jc w:val="center"/>
              <w:rPr>
                <w:szCs w:val="22"/>
              </w:rPr>
            </w:pPr>
            <w:r w:rsidRPr="00264D5D">
              <w:rPr>
                <w:szCs w:val="22"/>
              </w:rPr>
              <w:t>П</w:t>
            </w:r>
          </w:p>
        </w:tc>
        <w:tc>
          <w:tcPr>
            <w:tcW w:w="1134" w:type="dxa"/>
          </w:tcPr>
          <w:p w14:paraId="44091FEF" w14:textId="77777777" w:rsidR="00AD1F54" w:rsidRPr="00264D5D" w:rsidRDefault="00941227">
            <w:pPr>
              <w:pStyle w:val="GOSTTablenorm"/>
              <w:rPr>
                <w:szCs w:val="22"/>
              </w:rPr>
            </w:pPr>
            <w:r w:rsidRPr="00264D5D">
              <w:rPr>
                <w:szCs w:val="22"/>
              </w:rPr>
              <w:t>-</w:t>
            </w:r>
          </w:p>
        </w:tc>
        <w:tc>
          <w:tcPr>
            <w:tcW w:w="567" w:type="dxa"/>
          </w:tcPr>
          <w:p w14:paraId="2D1ADCE1" w14:textId="77777777" w:rsidR="00AD1F54" w:rsidRPr="00264D5D" w:rsidRDefault="00941227">
            <w:pPr>
              <w:pStyle w:val="GOSTTablenorm"/>
              <w:jc w:val="center"/>
              <w:rPr>
                <w:szCs w:val="22"/>
              </w:rPr>
            </w:pPr>
            <w:r w:rsidRPr="00264D5D">
              <w:rPr>
                <w:szCs w:val="22"/>
              </w:rPr>
              <w:t>О</w:t>
            </w:r>
          </w:p>
        </w:tc>
        <w:tc>
          <w:tcPr>
            <w:tcW w:w="3963" w:type="dxa"/>
          </w:tcPr>
          <w:p w14:paraId="7A988165" w14:textId="77777777" w:rsidR="00AD1F54" w:rsidRPr="00264D5D" w:rsidRDefault="005D5F06">
            <w:pPr>
              <w:spacing w:before="60" w:after="60"/>
              <w:rPr>
                <w:sz w:val="22"/>
                <w:szCs w:val="22"/>
                <w:lang w:eastAsia="en-US"/>
              </w:rPr>
            </w:pPr>
            <w:r w:rsidRPr="00264D5D">
              <w:rPr>
                <w:sz w:val="22"/>
                <w:szCs w:val="22"/>
              </w:rPr>
              <w:t>Наименование файла</w:t>
            </w:r>
          </w:p>
        </w:tc>
      </w:tr>
      <w:tr w:rsidR="00AD1F54" w:rsidRPr="00264D5D" w14:paraId="1F3D768D"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9B88294" w14:textId="77777777" w:rsidR="00AD1F54" w:rsidRPr="00264D5D" w:rsidRDefault="00941227">
            <w:pPr>
              <w:pStyle w:val="GOSTTablenorm"/>
              <w:rPr>
                <w:szCs w:val="22"/>
              </w:rPr>
            </w:pPr>
            <w:r w:rsidRPr="00264D5D">
              <w:rPr>
                <w:szCs w:val="22"/>
              </w:rPr>
              <w:t>Лицевой счет источника</w:t>
            </w:r>
          </w:p>
        </w:tc>
        <w:tc>
          <w:tcPr>
            <w:tcW w:w="1701" w:type="dxa"/>
          </w:tcPr>
          <w:p w14:paraId="767629B3" w14:textId="77777777" w:rsidR="00AD1F54" w:rsidRPr="00264D5D" w:rsidRDefault="00941227">
            <w:pPr>
              <w:pStyle w:val="GOSTTablenorm"/>
              <w:rPr>
                <w:szCs w:val="22"/>
              </w:rPr>
            </w:pPr>
            <w:r w:rsidRPr="00264D5D">
              <w:rPr>
                <w:szCs w:val="22"/>
              </w:rPr>
              <w:t>PA_S</w:t>
            </w:r>
          </w:p>
        </w:tc>
        <w:tc>
          <w:tcPr>
            <w:tcW w:w="567" w:type="dxa"/>
          </w:tcPr>
          <w:p w14:paraId="2E2AB23D" w14:textId="77777777" w:rsidR="00AD1F54" w:rsidRPr="00264D5D" w:rsidRDefault="00941227">
            <w:pPr>
              <w:pStyle w:val="GOSTTablenorm"/>
              <w:jc w:val="center"/>
              <w:rPr>
                <w:szCs w:val="22"/>
              </w:rPr>
            </w:pPr>
            <w:r w:rsidRPr="00264D5D">
              <w:rPr>
                <w:szCs w:val="22"/>
              </w:rPr>
              <w:t>П</w:t>
            </w:r>
          </w:p>
        </w:tc>
        <w:tc>
          <w:tcPr>
            <w:tcW w:w="1134" w:type="dxa"/>
          </w:tcPr>
          <w:p w14:paraId="37048B87" w14:textId="77777777" w:rsidR="00AD1F54" w:rsidRPr="00264D5D" w:rsidRDefault="00941227">
            <w:pPr>
              <w:pStyle w:val="GOSTTablenorm"/>
              <w:rPr>
                <w:szCs w:val="22"/>
              </w:rPr>
            </w:pPr>
            <w:r w:rsidRPr="00264D5D">
              <w:rPr>
                <w:szCs w:val="22"/>
              </w:rPr>
              <w:t>Т(11)</w:t>
            </w:r>
          </w:p>
        </w:tc>
        <w:tc>
          <w:tcPr>
            <w:tcW w:w="567" w:type="dxa"/>
          </w:tcPr>
          <w:p w14:paraId="44698AD1" w14:textId="77777777" w:rsidR="00AD1F54" w:rsidRPr="00264D5D" w:rsidRDefault="00941227">
            <w:pPr>
              <w:pStyle w:val="GOSTTablenorm"/>
              <w:jc w:val="center"/>
              <w:rPr>
                <w:szCs w:val="22"/>
              </w:rPr>
            </w:pPr>
            <w:r w:rsidRPr="00264D5D">
              <w:rPr>
                <w:szCs w:val="22"/>
              </w:rPr>
              <w:t>О</w:t>
            </w:r>
          </w:p>
        </w:tc>
        <w:tc>
          <w:tcPr>
            <w:tcW w:w="3963" w:type="dxa"/>
          </w:tcPr>
          <w:p w14:paraId="1FFF466D" w14:textId="77777777" w:rsidR="00AD1F54" w:rsidRPr="00264D5D" w:rsidRDefault="005D5F06">
            <w:pPr>
              <w:pStyle w:val="GOSTTablenorm"/>
              <w:rPr>
                <w:szCs w:val="22"/>
              </w:rPr>
            </w:pPr>
            <w:r w:rsidRPr="00264D5D">
              <w:rPr>
                <w:szCs w:val="22"/>
              </w:rPr>
              <w:t>Лицевой счет источника</w:t>
            </w:r>
          </w:p>
        </w:tc>
      </w:tr>
      <w:tr w:rsidR="00AD1F54" w:rsidRPr="00264D5D" w14:paraId="6C1864B4"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3F9C67C" w14:textId="77777777" w:rsidR="00AD1F54" w:rsidRPr="00264D5D" w:rsidRDefault="00941227">
            <w:pPr>
              <w:pStyle w:val="GOSTTablenorm"/>
              <w:rPr>
                <w:szCs w:val="22"/>
              </w:rPr>
            </w:pPr>
            <w:r w:rsidRPr="00264D5D">
              <w:rPr>
                <w:szCs w:val="22"/>
              </w:rPr>
              <w:t>Лицевой счет получателя</w:t>
            </w:r>
          </w:p>
        </w:tc>
        <w:tc>
          <w:tcPr>
            <w:tcW w:w="1701" w:type="dxa"/>
          </w:tcPr>
          <w:p w14:paraId="70402C8E" w14:textId="77777777" w:rsidR="00AD1F54" w:rsidRPr="00264D5D" w:rsidRDefault="00941227">
            <w:pPr>
              <w:pStyle w:val="GOSTTablenorm"/>
              <w:rPr>
                <w:szCs w:val="22"/>
              </w:rPr>
            </w:pPr>
            <w:r w:rsidRPr="00264D5D">
              <w:rPr>
                <w:szCs w:val="22"/>
              </w:rPr>
              <w:t>PA_R</w:t>
            </w:r>
          </w:p>
        </w:tc>
        <w:tc>
          <w:tcPr>
            <w:tcW w:w="567" w:type="dxa"/>
          </w:tcPr>
          <w:p w14:paraId="68FA358D" w14:textId="77777777" w:rsidR="00AD1F54" w:rsidRPr="00264D5D" w:rsidRDefault="00941227">
            <w:pPr>
              <w:pStyle w:val="GOSTTablenorm"/>
              <w:jc w:val="center"/>
              <w:rPr>
                <w:szCs w:val="22"/>
              </w:rPr>
            </w:pPr>
            <w:r w:rsidRPr="00264D5D">
              <w:rPr>
                <w:szCs w:val="22"/>
              </w:rPr>
              <w:t>П</w:t>
            </w:r>
          </w:p>
        </w:tc>
        <w:tc>
          <w:tcPr>
            <w:tcW w:w="1134" w:type="dxa"/>
          </w:tcPr>
          <w:p w14:paraId="61E546B3" w14:textId="77777777" w:rsidR="00AD1F54" w:rsidRPr="00264D5D" w:rsidRDefault="00941227">
            <w:pPr>
              <w:pStyle w:val="GOSTTablenorm"/>
              <w:rPr>
                <w:szCs w:val="22"/>
              </w:rPr>
            </w:pPr>
            <w:r w:rsidRPr="00264D5D">
              <w:rPr>
                <w:szCs w:val="22"/>
              </w:rPr>
              <w:t>Т(11)</w:t>
            </w:r>
          </w:p>
        </w:tc>
        <w:tc>
          <w:tcPr>
            <w:tcW w:w="567" w:type="dxa"/>
          </w:tcPr>
          <w:p w14:paraId="33D6311F" w14:textId="77777777" w:rsidR="00AD1F54" w:rsidRPr="00264D5D" w:rsidRDefault="00941227">
            <w:pPr>
              <w:pStyle w:val="GOSTTablenorm"/>
              <w:jc w:val="center"/>
              <w:rPr>
                <w:szCs w:val="22"/>
              </w:rPr>
            </w:pPr>
            <w:r w:rsidRPr="00264D5D">
              <w:rPr>
                <w:szCs w:val="22"/>
              </w:rPr>
              <w:t>О</w:t>
            </w:r>
          </w:p>
        </w:tc>
        <w:tc>
          <w:tcPr>
            <w:tcW w:w="3963" w:type="dxa"/>
          </w:tcPr>
          <w:p w14:paraId="3B2741E9" w14:textId="77777777" w:rsidR="00AD1F54" w:rsidRPr="00264D5D" w:rsidRDefault="005D5F06">
            <w:pPr>
              <w:pStyle w:val="GOSTTablenorm"/>
              <w:rPr>
                <w:szCs w:val="22"/>
              </w:rPr>
            </w:pPr>
            <w:r w:rsidRPr="00264D5D">
              <w:rPr>
                <w:szCs w:val="22"/>
              </w:rPr>
              <w:t>Лицевой счет получателя</w:t>
            </w:r>
          </w:p>
        </w:tc>
      </w:tr>
      <w:tr w:rsidR="00AD1F54" w:rsidRPr="00264D5D" w14:paraId="42AE968C"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7EDC3E27" w14:textId="77777777" w:rsidR="00AD1F54" w:rsidRPr="00264D5D" w:rsidRDefault="00941227">
            <w:pPr>
              <w:pStyle w:val="GOSTTablenorm"/>
              <w:rPr>
                <w:szCs w:val="22"/>
              </w:rPr>
            </w:pPr>
            <w:r w:rsidRPr="00264D5D">
              <w:rPr>
                <w:szCs w:val="22"/>
              </w:rPr>
              <w:t>Строки документа</w:t>
            </w:r>
          </w:p>
        </w:tc>
        <w:tc>
          <w:tcPr>
            <w:tcW w:w="1701" w:type="dxa"/>
          </w:tcPr>
          <w:p w14:paraId="62496C9B" w14:textId="77777777" w:rsidR="00AD1F54" w:rsidRPr="00264D5D" w:rsidRDefault="00941227">
            <w:pPr>
              <w:pStyle w:val="GOSTTablenorm"/>
              <w:rPr>
                <w:szCs w:val="22"/>
              </w:rPr>
            </w:pPr>
            <w:r w:rsidRPr="00264D5D">
              <w:rPr>
                <w:szCs w:val="22"/>
              </w:rPr>
              <w:t>Line</w:t>
            </w:r>
          </w:p>
        </w:tc>
        <w:tc>
          <w:tcPr>
            <w:tcW w:w="567" w:type="dxa"/>
          </w:tcPr>
          <w:p w14:paraId="35D85BB0" w14:textId="77777777" w:rsidR="00AD1F54" w:rsidRPr="00264D5D" w:rsidRDefault="00941227">
            <w:pPr>
              <w:pStyle w:val="GOSTTablenorm"/>
              <w:jc w:val="center"/>
              <w:rPr>
                <w:szCs w:val="22"/>
              </w:rPr>
            </w:pPr>
            <w:r w:rsidRPr="00264D5D">
              <w:rPr>
                <w:szCs w:val="22"/>
              </w:rPr>
              <w:t>С</w:t>
            </w:r>
          </w:p>
        </w:tc>
        <w:tc>
          <w:tcPr>
            <w:tcW w:w="1134" w:type="dxa"/>
          </w:tcPr>
          <w:p w14:paraId="48423F8F" w14:textId="77777777" w:rsidR="00AD1F54" w:rsidRPr="00264D5D" w:rsidRDefault="00941227">
            <w:pPr>
              <w:pStyle w:val="GOSTTablenorm"/>
              <w:rPr>
                <w:szCs w:val="22"/>
              </w:rPr>
            </w:pPr>
            <w:r w:rsidRPr="00264D5D">
              <w:rPr>
                <w:szCs w:val="22"/>
              </w:rPr>
              <w:t>-</w:t>
            </w:r>
          </w:p>
        </w:tc>
        <w:tc>
          <w:tcPr>
            <w:tcW w:w="567" w:type="dxa"/>
          </w:tcPr>
          <w:p w14:paraId="308D3BE0" w14:textId="77777777" w:rsidR="00AD1F54" w:rsidRPr="00264D5D" w:rsidRDefault="00941227">
            <w:pPr>
              <w:pStyle w:val="GOSTTablenorm"/>
              <w:jc w:val="center"/>
              <w:rPr>
                <w:szCs w:val="22"/>
              </w:rPr>
            </w:pPr>
            <w:r w:rsidRPr="00264D5D">
              <w:rPr>
                <w:szCs w:val="22"/>
              </w:rPr>
              <w:t>ОМ</w:t>
            </w:r>
          </w:p>
        </w:tc>
        <w:tc>
          <w:tcPr>
            <w:tcW w:w="3963" w:type="dxa"/>
          </w:tcPr>
          <w:p w14:paraId="353EBB92" w14:textId="565B183C" w:rsidR="00AD1F54" w:rsidRPr="00264D5D" w:rsidRDefault="00941227">
            <w:pPr>
              <w:pStyle w:val="GOSTTablenorm"/>
              <w:rPr>
                <w:szCs w:val="22"/>
              </w:rPr>
            </w:pPr>
            <w:r w:rsidRPr="00264D5D">
              <w:rPr>
                <w:szCs w:val="22"/>
              </w:rPr>
              <w:t xml:space="preserve">Состав элемента представлен в таблице </w:t>
            </w:r>
            <w:r w:rsidRPr="00264D5D">
              <w:rPr>
                <w:b/>
                <w:szCs w:val="22"/>
              </w:rPr>
              <w:fldChar w:fldCharType="begin"/>
            </w:r>
            <w:r w:rsidRPr="00264D5D">
              <w:rPr>
                <w:szCs w:val="22"/>
              </w:rPr>
              <w:instrText xml:space="preserve"> REF _Ref114233581 \h </w:instrText>
            </w:r>
            <w:r w:rsidRPr="00264D5D">
              <w:rPr>
                <w:b/>
                <w:szCs w:val="22"/>
              </w:rPr>
              <w:instrText xml:space="preserve"> \* MERGEFORMAT </w:instrText>
            </w:r>
            <w:r w:rsidRPr="00264D5D">
              <w:rPr>
                <w:b/>
                <w:szCs w:val="22"/>
              </w:rPr>
            </w:r>
            <w:r w:rsidRPr="00264D5D">
              <w:rPr>
                <w:b/>
                <w:szCs w:val="22"/>
              </w:rPr>
              <w:fldChar w:fldCharType="separate"/>
            </w:r>
            <w:r w:rsidR="008D797C">
              <w:t>305</w:t>
            </w:r>
            <w:r w:rsidRPr="00264D5D">
              <w:rPr>
                <w:b/>
                <w:szCs w:val="22"/>
              </w:rPr>
              <w:fldChar w:fldCharType="end"/>
            </w:r>
          </w:p>
        </w:tc>
      </w:tr>
    </w:tbl>
    <w:p w14:paraId="3ED24FC7" w14:textId="77777777" w:rsidR="00AD1F54" w:rsidRPr="00264D5D" w:rsidRDefault="00941227">
      <w:pPr>
        <w:pStyle w:val="31"/>
      </w:pPr>
      <w:bookmarkStart w:id="3215" w:name="_Toc219309783"/>
      <w:r w:rsidRPr="00264D5D">
        <w:t>Описание блока «commonAttrs»</w:t>
      </w:r>
      <w:bookmarkEnd w:id="3215"/>
    </w:p>
    <w:p w14:paraId="254B53BF" w14:textId="77777777" w:rsidR="00AD1F54" w:rsidRPr="00264D5D" w:rsidRDefault="00941227">
      <w:pPr>
        <w:pStyle w:val="GOSTNormal"/>
      </w:pPr>
      <w:r w:rsidRPr="00264D5D">
        <w:t>Описание блока «</w:t>
      </w:r>
      <w:r w:rsidRPr="00264D5D">
        <w:rPr>
          <w:lang w:val="en-US" w:eastAsia="en-US"/>
        </w:rPr>
        <w:t>commonAttrs</w:t>
      </w:r>
      <w:r w:rsidRPr="00264D5D">
        <w:t>» (Группа атрибутов заголовка документа).</w:t>
      </w:r>
    </w:p>
    <w:bookmarkStart w:id="3216" w:name="_Ref52355993"/>
    <w:p w14:paraId="55D880AE" w14:textId="509EEECC" w:rsidR="00AD1F54" w:rsidRPr="00264D5D" w:rsidRDefault="00941227">
      <w:pPr>
        <w:pStyle w:val="GOSTNameTable"/>
        <w:numPr>
          <w:ilvl w:val="0"/>
          <w:numId w:val="2"/>
        </w:numPr>
        <w:ind w:left="425" w:hanging="357"/>
      </w:pPr>
      <w:r w:rsidRPr="00264D5D">
        <w:fldChar w:fldCharType="begin"/>
      </w:r>
      <w:r w:rsidRPr="00264D5D">
        <w:instrText xml:space="preserve"> SEQ Таблица \* ARABIC </w:instrText>
      </w:r>
      <w:r w:rsidRPr="00264D5D">
        <w:fldChar w:fldCharType="separate"/>
      </w:r>
      <w:bookmarkStart w:id="3217" w:name="_Ref87608942"/>
      <w:bookmarkStart w:id="3218" w:name="_Toc219309334"/>
      <w:r w:rsidR="008D797C">
        <w:rPr>
          <w:noProof/>
        </w:rPr>
        <w:t>304</w:t>
      </w:r>
      <w:bookmarkEnd w:id="3217"/>
      <w:r w:rsidRPr="00264D5D">
        <w:fldChar w:fldCharType="end"/>
      </w:r>
      <w:r w:rsidRPr="00264D5D">
        <w:rPr>
          <w:rFonts w:eastAsia="Calibri"/>
          <w:szCs w:val="24"/>
        </w:rPr>
        <w:t xml:space="preserve"> – </w:t>
      </w:r>
      <w:r w:rsidRPr="00264D5D">
        <w:t xml:space="preserve">Описание </w:t>
      </w:r>
      <w:r w:rsidRPr="00264D5D">
        <w:rPr>
          <w:szCs w:val="24"/>
        </w:rPr>
        <w:t xml:space="preserve">блока </w:t>
      </w:r>
      <w:r w:rsidRPr="00264D5D">
        <w:t>«</w:t>
      </w:r>
      <w:r w:rsidRPr="00264D5D">
        <w:rPr>
          <w:lang w:val="en-US"/>
        </w:rPr>
        <w:t>commonAttrs</w:t>
      </w:r>
      <w:r w:rsidRPr="00264D5D">
        <w:t>»</w:t>
      </w:r>
      <w:bookmarkEnd w:id="3216"/>
      <w:bookmarkEnd w:id="3218"/>
    </w:p>
    <w:tbl>
      <w:tblPr>
        <w:tblStyle w:val="GOSTTable"/>
        <w:tblW w:w="5000" w:type="pct"/>
        <w:tblLayout w:type="fixed"/>
        <w:tblLook w:val="01E0" w:firstRow="1" w:lastRow="1" w:firstColumn="1" w:lastColumn="1" w:noHBand="0" w:noVBand="0"/>
      </w:tblPr>
      <w:tblGrid>
        <w:gridCol w:w="1704"/>
        <w:gridCol w:w="1704"/>
        <w:gridCol w:w="568"/>
        <w:gridCol w:w="1136"/>
        <w:gridCol w:w="568"/>
        <w:gridCol w:w="3970"/>
      </w:tblGrid>
      <w:tr w:rsidR="00AD1F54" w:rsidRPr="00264D5D" w14:paraId="37AC27D1" w14:textId="77777777" w:rsidTr="00AD1F54">
        <w:trPr>
          <w:cnfStyle w:val="100000000000" w:firstRow="1" w:lastRow="0" w:firstColumn="0" w:lastColumn="0" w:oddVBand="0" w:evenVBand="0" w:oddHBand="0" w:evenHBand="0" w:firstRowFirstColumn="0" w:firstRowLastColumn="0" w:lastRowFirstColumn="0" w:lastRowLastColumn="0"/>
          <w:trHeight w:val="922"/>
          <w:tblHeader/>
        </w:trPr>
        <w:tc>
          <w:tcPr>
            <w:tcW w:w="1701" w:type="dxa"/>
          </w:tcPr>
          <w:p w14:paraId="6DCD7930" w14:textId="77777777" w:rsidR="00AD1F54" w:rsidRPr="00264D5D" w:rsidRDefault="00941227">
            <w:pPr>
              <w:pStyle w:val="ASFKTableHead"/>
            </w:pPr>
            <w:r w:rsidRPr="00264D5D">
              <w:t>Наименование элемента</w:t>
            </w:r>
          </w:p>
        </w:tc>
        <w:tc>
          <w:tcPr>
            <w:tcW w:w="1701" w:type="dxa"/>
          </w:tcPr>
          <w:p w14:paraId="7EAF0871" w14:textId="77777777" w:rsidR="00AD1F54" w:rsidRPr="00264D5D" w:rsidRDefault="00941227">
            <w:pPr>
              <w:pStyle w:val="ASFKTableHead"/>
            </w:pPr>
            <w:r w:rsidRPr="00264D5D">
              <w:t>Сокращенное наименование (код) элемента</w:t>
            </w:r>
          </w:p>
        </w:tc>
        <w:tc>
          <w:tcPr>
            <w:tcW w:w="567" w:type="dxa"/>
          </w:tcPr>
          <w:p w14:paraId="1BE3C75F" w14:textId="77777777" w:rsidR="00AD1F54" w:rsidRPr="00264D5D" w:rsidRDefault="00941227">
            <w:pPr>
              <w:pStyle w:val="ASFKTableHead"/>
            </w:pPr>
            <w:r w:rsidRPr="00264D5D">
              <w:t>Тип</w:t>
            </w:r>
          </w:p>
        </w:tc>
        <w:tc>
          <w:tcPr>
            <w:tcW w:w="1134" w:type="dxa"/>
          </w:tcPr>
          <w:p w14:paraId="0C6445C8" w14:textId="77777777" w:rsidR="00AD1F54" w:rsidRPr="00264D5D" w:rsidRDefault="00941227">
            <w:pPr>
              <w:pStyle w:val="ASFKTableHead"/>
            </w:pPr>
            <w:r w:rsidRPr="00264D5D">
              <w:t>Формат элемента</w:t>
            </w:r>
          </w:p>
        </w:tc>
        <w:tc>
          <w:tcPr>
            <w:tcW w:w="567" w:type="dxa"/>
          </w:tcPr>
          <w:p w14:paraId="7DD5BAF5" w14:textId="77777777" w:rsidR="00AD1F54" w:rsidRPr="00264D5D" w:rsidRDefault="00941227">
            <w:pPr>
              <w:pStyle w:val="ASFKTableHead"/>
            </w:pPr>
            <w:r w:rsidRPr="00264D5D">
              <w:t>Обязательность</w:t>
            </w:r>
          </w:p>
        </w:tc>
        <w:tc>
          <w:tcPr>
            <w:tcW w:w="3963" w:type="dxa"/>
          </w:tcPr>
          <w:p w14:paraId="0B7236C7" w14:textId="77777777" w:rsidR="00AD1F54" w:rsidRPr="00264D5D" w:rsidRDefault="00941227">
            <w:pPr>
              <w:pStyle w:val="ASFKTableHead"/>
            </w:pPr>
            <w:r w:rsidRPr="00264D5D">
              <w:t>Дополнительная информация</w:t>
            </w:r>
          </w:p>
        </w:tc>
      </w:tr>
      <w:tr w:rsidR="00AD1F54" w:rsidRPr="00264D5D" w14:paraId="558001E5" w14:textId="77777777" w:rsidTr="00AD1F54">
        <w:trPr>
          <w:cnfStyle w:val="000000100000" w:firstRow="0" w:lastRow="0" w:firstColumn="0" w:lastColumn="0" w:oddVBand="0" w:evenVBand="0" w:oddHBand="1" w:evenHBand="0" w:firstRowFirstColumn="0" w:firstRowLastColumn="0" w:lastRowFirstColumn="0" w:lastRowLastColumn="0"/>
          <w:trHeight w:val="300"/>
        </w:trPr>
        <w:tc>
          <w:tcPr>
            <w:tcW w:w="1701" w:type="dxa"/>
            <w:noWrap/>
          </w:tcPr>
          <w:p w14:paraId="62804741" w14:textId="77777777" w:rsidR="00AD1F54" w:rsidRPr="00264D5D" w:rsidRDefault="00941227">
            <w:pPr>
              <w:pStyle w:val="GOSTTablenorm"/>
              <w:rPr>
                <w:szCs w:val="22"/>
              </w:rPr>
            </w:pPr>
            <w:r w:rsidRPr="00264D5D">
              <w:rPr>
                <w:szCs w:val="22"/>
              </w:rPr>
              <w:t xml:space="preserve">GUID </w:t>
            </w:r>
            <w:r w:rsidRPr="00264D5D">
              <w:rPr>
                <w:szCs w:val="22"/>
              </w:rPr>
              <w:lastRenderedPageBreak/>
              <w:t>документа</w:t>
            </w:r>
          </w:p>
        </w:tc>
        <w:tc>
          <w:tcPr>
            <w:tcW w:w="1701" w:type="dxa"/>
            <w:noWrap/>
          </w:tcPr>
          <w:p w14:paraId="6E3A69A5" w14:textId="77777777" w:rsidR="00AD1F54" w:rsidRPr="00264D5D" w:rsidRDefault="00941227">
            <w:pPr>
              <w:pStyle w:val="GOSTTablenorm"/>
              <w:rPr>
                <w:szCs w:val="22"/>
              </w:rPr>
            </w:pPr>
            <w:r w:rsidRPr="00264D5D">
              <w:rPr>
                <w:szCs w:val="22"/>
              </w:rPr>
              <w:lastRenderedPageBreak/>
              <w:t>docGUID</w:t>
            </w:r>
          </w:p>
        </w:tc>
        <w:tc>
          <w:tcPr>
            <w:tcW w:w="567" w:type="dxa"/>
            <w:noWrap/>
          </w:tcPr>
          <w:p w14:paraId="51F3C165" w14:textId="77777777" w:rsidR="00AD1F54" w:rsidRPr="00264D5D" w:rsidRDefault="00941227">
            <w:pPr>
              <w:pStyle w:val="GOSTTablenorm"/>
              <w:jc w:val="center"/>
              <w:rPr>
                <w:szCs w:val="22"/>
              </w:rPr>
            </w:pPr>
            <w:r w:rsidRPr="00264D5D">
              <w:rPr>
                <w:szCs w:val="22"/>
              </w:rPr>
              <w:t>П</w:t>
            </w:r>
          </w:p>
        </w:tc>
        <w:tc>
          <w:tcPr>
            <w:tcW w:w="1134" w:type="dxa"/>
            <w:noWrap/>
          </w:tcPr>
          <w:p w14:paraId="0F4F339C" w14:textId="77777777" w:rsidR="00AD1F54" w:rsidRPr="00264D5D" w:rsidRDefault="00941227">
            <w:pPr>
              <w:pStyle w:val="GOSTTablenorm"/>
              <w:rPr>
                <w:szCs w:val="22"/>
              </w:rPr>
            </w:pPr>
            <w:r w:rsidRPr="00264D5D">
              <w:rPr>
                <w:szCs w:val="22"/>
              </w:rPr>
              <w:t>GUID</w:t>
            </w:r>
          </w:p>
        </w:tc>
        <w:tc>
          <w:tcPr>
            <w:tcW w:w="567" w:type="dxa"/>
            <w:noWrap/>
          </w:tcPr>
          <w:p w14:paraId="6C7B9B12" w14:textId="77777777" w:rsidR="00AD1F54" w:rsidRPr="00264D5D" w:rsidRDefault="00941227">
            <w:pPr>
              <w:pStyle w:val="GOSTTablenorm"/>
              <w:jc w:val="center"/>
              <w:rPr>
                <w:szCs w:val="22"/>
              </w:rPr>
            </w:pPr>
            <w:r w:rsidRPr="00264D5D">
              <w:rPr>
                <w:szCs w:val="22"/>
              </w:rPr>
              <w:t>Н</w:t>
            </w:r>
          </w:p>
        </w:tc>
        <w:tc>
          <w:tcPr>
            <w:tcW w:w="3963" w:type="dxa"/>
            <w:noWrap/>
          </w:tcPr>
          <w:p w14:paraId="5CF8F29B" w14:textId="77777777" w:rsidR="00AD1F54" w:rsidRPr="00264D5D" w:rsidRDefault="00941227">
            <w:pPr>
              <w:pStyle w:val="GOSTTablenorm"/>
              <w:rPr>
                <w:szCs w:val="22"/>
              </w:rPr>
            </w:pPr>
            <w:r w:rsidRPr="00264D5D">
              <w:rPr>
                <w:szCs w:val="22"/>
              </w:rPr>
              <w:t>Указ</w:t>
            </w:r>
            <w:r w:rsidR="005D5F06" w:rsidRPr="00264D5D">
              <w:rPr>
                <w:szCs w:val="22"/>
              </w:rPr>
              <w:t>ывается идентификатор документа</w:t>
            </w:r>
          </w:p>
        </w:tc>
      </w:tr>
      <w:tr w:rsidR="00AD1F54" w:rsidRPr="00264D5D" w14:paraId="2EED86AE" w14:textId="77777777" w:rsidTr="00AD1F54">
        <w:trPr>
          <w:cnfStyle w:val="000000010000" w:firstRow="0" w:lastRow="0" w:firstColumn="0" w:lastColumn="0" w:oddVBand="0" w:evenVBand="0" w:oddHBand="0" w:evenHBand="1" w:firstRowFirstColumn="0" w:firstRowLastColumn="0" w:lastRowFirstColumn="0" w:lastRowLastColumn="0"/>
          <w:trHeight w:val="300"/>
        </w:trPr>
        <w:tc>
          <w:tcPr>
            <w:tcW w:w="1701" w:type="dxa"/>
            <w:noWrap/>
          </w:tcPr>
          <w:p w14:paraId="2AD58303" w14:textId="77777777" w:rsidR="00AD1F54" w:rsidRPr="00264D5D" w:rsidRDefault="00941227">
            <w:pPr>
              <w:pStyle w:val="GOSTTablenorm"/>
              <w:rPr>
                <w:szCs w:val="22"/>
              </w:rPr>
            </w:pPr>
            <w:r w:rsidRPr="00264D5D">
              <w:rPr>
                <w:szCs w:val="22"/>
              </w:rPr>
              <w:lastRenderedPageBreak/>
              <w:t>GUID документа родителя</w:t>
            </w:r>
          </w:p>
        </w:tc>
        <w:tc>
          <w:tcPr>
            <w:tcW w:w="1701" w:type="dxa"/>
            <w:noWrap/>
          </w:tcPr>
          <w:p w14:paraId="5C0FD53E" w14:textId="77777777" w:rsidR="00AD1F54" w:rsidRPr="00264D5D" w:rsidRDefault="00941227">
            <w:pPr>
              <w:pStyle w:val="GOSTTablenorm"/>
              <w:rPr>
                <w:szCs w:val="22"/>
              </w:rPr>
            </w:pPr>
            <w:r w:rsidRPr="00264D5D">
              <w:rPr>
                <w:szCs w:val="22"/>
              </w:rPr>
              <w:t>docParentGUID</w:t>
            </w:r>
          </w:p>
        </w:tc>
        <w:tc>
          <w:tcPr>
            <w:tcW w:w="567" w:type="dxa"/>
            <w:noWrap/>
          </w:tcPr>
          <w:p w14:paraId="66748C7B" w14:textId="77777777" w:rsidR="00AD1F54" w:rsidRPr="00264D5D" w:rsidRDefault="00941227">
            <w:pPr>
              <w:pStyle w:val="GOSTTablenorm"/>
              <w:jc w:val="center"/>
              <w:rPr>
                <w:szCs w:val="22"/>
              </w:rPr>
            </w:pPr>
            <w:r w:rsidRPr="00264D5D">
              <w:rPr>
                <w:szCs w:val="22"/>
              </w:rPr>
              <w:t>П</w:t>
            </w:r>
          </w:p>
        </w:tc>
        <w:tc>
          <w:tcPr>
            <w:tcW w:w="1134" w:type="dxa"/>
            <w:noWrap/>
          </w:tcPr>
          <w:p w14:paraId="203E262C" w14:textId="77777777" w:rsidR="00AD1F54" w:rsidRPr="00264D5D" w:rsidRDefault="00941227">
            <w:pPr>
              <w:pStyle w:val="GOSTTablenorm"/>
              <w:rPr>
                <w:szCs w:val="22"/>
              </w:rPr>
            </w:pPr>
            <w:r w:rsidRPr="00264D5D">
              <w:rPr>
                <w:szCs w:val="22"/>
              </w:rPr>
              <w:t>GUID</w:t>
            </w:r>
          </w:p>
        </w:tc>
        <w:tc>
          <w:tcPr>
            <w:tcW w:w="567" w:type="dxa"/>
            <w:noWrap/>
          </w:tcPr>
          <w:p w14:paraId="0B4B3783" w14:textId="77777777" w:rsidR="00AD1F54" w:rsidRPr="00264D5D" w:rsidRDefault="00941227">
            <w:pPr>
              <w:pStyle w:val="GOSTTablenorm"/>
              <w:jc w:val="center"/>
              <w:rPr>
                <w:szCs w:val="22"/>
              </w:rPr>
            </w:pPr>
            <w:r w:rsidRPr="00264D5D">
              <w:rPr>
                <w:szCs w:val="22"/>
              </w:rPr>
              <w:t>Н</w:t>
            </w:r>
          </w:p>
        </w:tc>
        <w:tc>
          <w:tcPr>
            <w:tcW w:w="3963" w:type="dxa"/>
            <w:noWrap/>
          </w:tcPr>
          <w:p w14:paraId="5F9D41AE" w14:textId="77777777" w:rsidR="00AD1F54" w:rsidRPr="00264D5D" w:rsidRDefault="00941227">
            <w:pPr>
              <w:pStyle w:val="GOSTTablenorm"/>
              <w:rPr>
                <w:szCs w:val="22"/>
              </w:rPr>
            </w:pPr>
            <w:r w:rsidRPr="00264D5D">
              <w:rPr>
                <w:szCs w:val="22"/>
              </w:rPr>
              <w:t>Указывается иденти</w:t>
            </w:r>
            <w:r w:rsidR="005D5F06" w:rsidRPr="00264D5D">
              <w:rPr>
                <w:szCs w:val="22"/>
              </w:rPr>
              <w:t>фикатор родительского документа</w:t>
            </w:r>
          </w:p>
        </w:tc>
      </w:tr>
      <w:tr w:rsidR="00AD1F54" w:rsidRPr="00264D5D" w14:paraId="6E116E22" w14:textId="77777777" w:rsidTr="00AD1F54">
        <w:trPr>
          <w:cnfStyle w:val="000000100000" w:firstRow="0" w:lastRow="0" w:firstColumn="0" w:lastColumn="0" w:oddVBand="0" w:evenVBand="0" w:oddHBand="1" w:evenHBand="0" w:firstRowFirstColumn="0" w:firstRowLastColumn="0" w:lastRowFirstColumn="0" w:lastRowLastColumn="0"/>
          <w:trHeight w:val="300"/>
        </w:trPr>
        <w:tc>
          <w:tcPr>
            <w:tcW w:w="1701" w:type="dxa"/>
            <w:noWrap/>
          </w:tcPr>
          <w:p w14:paraId="69548C36" w14:textId="77777777" w:rsidR="00AD1F54" w:rsidRPr="00264D5D" w:rsidRDefault="00941227">
            <w:pPr>
              <w:pStyle w:val="GOSTTablenorm"/>
              <w:rPr>
                <w:szCs w:val="22"/>
              </w:rPr>
            </w:pPr>
            <w:r w:rsidRPr="00264D5D">
              <w:rPr>
                <w:szCs w:val="22"/>
              </w:rPr>
              <w:t>Тип документа</w:t>
            </w:r>
          </w:p>
        </w:tc>
        <w:tc>
          <w:tcPr>
            <w:tcW w:w="1701" w:type="dxa"/>
            <w:noWrap/>
          </w:tcPr>
          <w:p w14:paraId="6B93ED00" w14:textId="77777777" w:rsidR="00AD1F54" w:rsidRPr="00264D5D" w:rsidRDefault="00941227">
            <w:pPr>
              <w:pStyle w:val="GOSTTablenorm"/>
              <w:rPr>
                <w:szCs w:val="22"/>
              </w:rPr>
            </w:pPr>
            <w:r w:rsidRPr="00264D5D">
              <w:rPr>
                <w:szCs w:val="22"/>
              </w:rPr>
              <w:t>docTypeCode</w:t>
            </w:r>
          </w:p>
        </w:tc>
        <w:tc>
          <w:tcPr>
            <w:tcW w:w="567" w:type="dxa"/>
            <w:noWrap/>
          </w:tcPr>
          <w:p w14:paraId="24F7FCBB" w14:textId="77777777" w:rsidR="00AD1F54" w:rsidRPr="00264D5D" w:rsidRDefault="00941227">
            <w:pPr>
              <w:pStyle w:val="GOSTTablenorm"/>
              <w:jc w:val="center"/>
              <w:rPr>
                <w:szCs w:val="22"/>
              </w:rPr>
            </w:pPr>
            <w:r w:rsidRPr="00264D5D">
              <w:rPr>
                <w:szCs w:val="22"/>
              </w:rPr>
              <w:t>П</w:t>
            </w:r>
          </w:p>
        </w:tc>
        <w:tc>
          <w:tcPr>
            <w:tcW w:w="1134" w:type="dxa"/>
            <w:noWrap/>
          </w:tcPr>
          <w:p w14:paraId="58A762C8" w14:textId="77777777" w:rsidR="00AD1F54" w:rsidRPr="00264D5D" w:rsidRDefault="00941227">
            <w:pPr>
              <w:pStyle w:val="GOSTTablenorm"/>
              <w:rPr>
                <w:szCs w:val="22"/>
              </w:rPr>
            </w:pPr>
            <w:r w:rsidRPr="00264D5D">
              <w:rPr>
                <w:szCs w:val="22"/>
                <w:lang w:val="en-US"/>
              </w:rPr>
              <w:t>T</w:t>
            </w:r>
            <w:r w:rsidRPr="00264D5D">
              <w:rPr>
                <w:szCs w:val="22"/>
              </w:rPr>
              <w:t>(3)</w:t>
            </w:r>
          </w:p>
        </w:tc>
        <w:tc>
          <w:tcPr>
            <w:tcW w:w="567" w:type="dxa"/>
            <w:noWrap/>
          </w:tcPr>
          <w:p w14:paraId="28856C1F" w14:textId="77777777" w:rsidR="00AD1F54" w:rsidRPr="00264D5D" w:rsidRDefault="00941227">
            <w:pPr>
              <w:pStyle w:val="GOSTTablenorm"/>
              <w:jc w:val="center"/>
              <w:rPr>
                <w:szCs w:val="22"/>
              </w:rPr>
            </w:pPr>
            <w:r w:rsidRPr="00264D5D">
              <w:rPr>
                <w:szCs w:val="22"/>
              </w:rPr>
              <w:t>O</w:t>
            </w:r>
          </w:p>
        </w:tc>
        <w:tc>
          <w:tcPr>
            <w:tcW w:w="3963" w:type="dxa"/>
            <w:noWrap/>
          </w:tcPr>
          <w:p w14:paraId="2191B675" w14:textId="77777777" w:rsidR="00AD1F54" w:rsidRPr="00264D5D" w:rsidRDefault="005D5F06">
            <w:pPr>
              <w:pStyle w:val="GOSTTablenorm"/>
              <w:rPr>
                <w:szCs w:val="22"/>
              </w:rPr>
            </w:pPr>
            <w:r w:rsidRPr="00264D5D">
              <w:rPr>
                <w:szCs w:val="22"/>
              </w:rPr>
              <w:t>Указывается тип документа</w:t>
            </w:r>
          </w:p>
        </w:tc>
      </w:tr>
      <w:tr w:rsidR="00AD1F54" w:rsidRPr="00264D5D" w14:paraId="095F05AB" w14:textId="77777777" w:rsidTr="00AD1F54">
        <w:trPr>
          <w:cnfStyle w:val="000000010000" w:firstRow="0" w:lastRow="0" w:firstColumn="0" w:lastColumn="0" w:oddVBand="0" w:evenVBand="0" w:oddHBand="0" w:evenHBand="1" w:firstRowFirstColumn="0" w:firstRowLastColumn="0" w:lastRowFirstColumn="0" w:lastRowLastColumn="0"/>
          <w:trHeight w:val="300"/>
        </w:trPr>
        <w:tc>
          <w:tcPr>
            <w:tcW w:w="1701" w:type="dxa"/>
            <w:noWrap/>
          </w:tcPr>
          <w:p w14:paraId="2DBB0111" w14:textId="77777777" w:rsidR="00AD1F54" w:rsidRPr="00264D5D" w:rsidRDefault="00941227">
            <w:pPr>
              <w:pStyle w:val="GOSTTablenorm"/>
              <w:rPr>
                <w:szCs w:val="22"/>
              </w:rPr>
            </w:pPr>
            <w:r w:rsidRPr="00264D5D">
              <w:rPr>
                <w:szCs w:val="22"/>
              </w:rPr>
              <w:t>Код бюджета</w:t>
            </w:r>
          </w:p>
        </w:tc>
        <w:tc>
          <w:tcPr>
            <w:tcW w:w="1701" w:type="dxa"/>
            <w:noWrap/>
          </w:tcPr>
          <w:p w14:paraId="7A24C69C" w14:textId="77777777" w:rsidR="00AD1F54" w:rsidRPr="00264D5D" w:rsidRDefault="00941227">
            <w:pPr>
              <w:pStyle w:val="GOSTTablenorm"/>
              <w:rPr>
                <w:szCs w:val="22"/>
              </w:rPr>
            </w:pPr>
            <w:r w:rsidRPr="00264D5D">
              <w:rPr>
                <w:szCs w:val="22"/>
              </w:rPr>
              <w:t>docBudgetCode</w:t>
            </w:r>
          </w:p>
        </w:tc>
        <w:tc>
          <w:tcPr>
            <w:tcW w:w="567" w:type="dxa"/>
            <w:noWrap/>
          </w:tcPr>
          <w:p w14:paraId="6FE43BEA" w14:textId="77777777" w:rsidR="00AD1F54" w:rsidRPr="00264D5D" w:rsidRDefault="00941227">
            <w:pPr>
              <w:pStyle w:val="GOSTTablenorm"/>
              <w:jc w:val="center"/>
              <w:rPr>
                <w:szCs w:val="22"/>
              </w:rPr>
            </w:pPr>
            <w:r w:rsidRPr="00264D5D">
              <w:rPr>
                <w:szCs w:val="22"/>
              </w:rPr>
              <w:t>П</w:t>
            </w:r>
          </w:p>
        </w:tc>
        <w:tc>
          <w:tcPr>
            <w:tcW w:w="1134" w:type="dxa"/>
            <w:noWrap/>
          </w:tcPr>
          <w:p w14:paraId="21DB79EB" w14:textId="77777777" w:rsidR="00AD1F54" w:rsidRPr="00264D5D" w:rsidRDefault="00941227">
            <w:pPr>
              <w:pStyle w:val="GOSTTablenorm"/>
              <w:rPr>
                <w:szCs w:val="22"/>
              </w:rPr>
            </w:pPr>
            <w:r w:rsidRPr="00264D5D">
              <w:rPr>
                <w:szCs w:val="22"/>
                <w:lang w:val="en-US"/>
              </w:rPr>
              <w:t>T</w:t>
            </w:r>
            <w:r w:rsidRPr="00264D5D">
              <w:rPr>
                <w:szCs w:val="22"/>
              </w:rPr>
              <w:t>(8)</w:t>
            </w:r>
          </w:p>
        </w:tc>
        <w:tc>
          <w:tcPr>
            <w:tcW w:w="567" w:type="dxa"/>
            <w:noWrap/>
          </w:tcPr>
          <w:p w14:paraId="7BE0F439" w14:textId="77777777" w:rsidR="00AD1F54" w:rsidRPr="00264D5D" w:rsidRDefault="00941227">
            <w:pPr>
              <w:pStyle w:val="GOSTTablenorm"/>
              <w:jc w:val="center"/>
              <w:rPr>
                <w:szCs w:val="22"/>
              </w:rPr>
            </w:pPr>
            <w:r w:rsidRPr="00264D5D">
              <w:rPr>
                <w:szCs w:val="22"/>
              </w:rPr>
              <w:t>O</w:t>
            </w:r>
          </w:p>
        </w:tc>
        <w:tc>
          <w:tcPr>
            <w:tcW w:w="3963" w:type="dxa"/>
            <w:noWrap/>
          </w:tcPr>
          <w:p w14:paraId="00063655" w14:textId="77777777" w:rsidR="00AD1F54" w:rsidRPr="00264D5D" w:rsidRDefault="005D5F06">
            <w:pPr>
              <w:pStyle w:val="GOSTTablenorm"/>
              <w:rPr>
                <w:szCs w:val="22"/>
              </w:rPr>
            </w:pPr>
            <w:r w:rsidRPr="00264D5D">
              <w:rPr>
                <w:szCs w:val="22"/>
              </w:rPr>
              <w:t>Указывается значение «99010001»</w:t>
            </w:r>
          </w:p>
        </w:tc>
      </w:tr>
      <w:tr w:rsidR="00AD1F54" w:rsidRPr="00264D5D" w14:paraId="3AB500A6" w14:textId="77777777" w:rsidTr="00AD1F54">
        <w:trPr>
          <w:cnfStyle w:val="000000100000" w:firstRow="0" w:lastRow="0" w:firstColumn="0" w:lastColumn="0" w:oddVBand="0" w:evenVBand="0" w:oddHBand="1" w:evenHBand="0" w:firstRowFirstColumn="0" w:firstRowLastColumn="0" w:lastRowFirstColumn="0" w:lastRowLastColumn="0"/>
          <w:trHeight w:val="300"/>
        </w:trPr>
        <w:tc>
          <w:tcPr>
            <w:tcW w:w="1701" w:type="dxa"/>
            <w:noWrap/>
          </w:tcPr>
          <w:p w14:paraId="1D6919BC" w14:textId="77777777" w:rsidR="00AD1F54" w:rsidRPr="00264D5D" w:rsidRDefault="00941227">
            <w:pPr>
              <w:pStyle w:val="GOSTTablenorm"/>
              <w:rPr>
                <w:szCs w:val="22"/>
              </w:rPr>
            </w:pPr>
            <w:r w:rsidRPr="00264D5D">
              <w:rPr>
                <w:szCs w:val="22"/>
              </w:rPr>
              <w:t>Бизнес-статус документа</w:t>
            </w:r>
          </w:p>
        </w:tc>
        <w:tc>
          <w:tcPr>
            <w:tcW w:w="1701" w:type="dxa"/>
            <w:noWrap/>
          </w:tcPr>
          <w:p w14:paraId="640D13A9" w14:textId="77777777" w:rsidR="00AD1F54" w:rsidRPr="00264D5D" w:rsidRDefault="00941227">
            <w:pPr>
              <w:pStyle w:val="GOSTTablenorm"/>
              <w:rPr>
                <w:szCs w:val="22"/>
              </w:rPr>
            </w:pPr>
            <w:r w:rsidRPr="00264D5D">
              <w:rPr>
                <w:szCs w:val="22"/>
              </w:rPr>
              <w:t>docBusinessStatus</w:t>
            </w:r>
          </w:p>
        </w:tc>
        <w:tc>
          <w:tcPr>
            <w:tcW w:w="567" w:type="dxa"/>
            <w:noWrap/>
          </w:tcPr>
          <w:p w14:paraId="64B82444" w14:textId="77777777" w:rsidR="00AD1F54" w:rsidRPr="00264D5D" w:rsidRDefault="00941227">
            <w:pPr>
              <w:pStyle w:val="GOSTTablenorm"/>
              <w:jc w:val="center"/>
              <w:rPr>
                <w:szCs w:val="22"/>
              </w:rPr>
            </w:pPr>
            <w:r w:rsidRPr="00264D5D">
              <w:rPr>
                <w:szCs w:val="22"/>
              </w:rPr>
              <w:t>П</w:t>
            </w:r>
          </w:p>
        </w:tc>
        <w:tc>
          <w:tcPr>
            <w:tcW w:w="1134" w:type="dxa"/>
            <w:noWrap/>
          </w:tcPr>
          <w:p w14:paraId="075437CC" w14:textId="77777777" w:rsidR="00AD1F54" w:rsidRPr="00264D5D" w:rsidRDefault="00941227">
            <w:pPr>
              <w:pStyle w:val="GOSTTablenorm"/>
              <w:rPr>
                <w:szCs w:val="22"/>
              </w:rPr>
            </w:pPr>
            <w:r w:rsidRPr="00264D5D">
              <w:rPr>
                <w:szCs w:val="22"/>
                <w:lang w:val="en-US"/>
              </w:rPr>
              <w:t>T</w:t>
            </w:r>
            <w:r w:rsidRPr="00264D5D">
              <w:rPr>
                <w:szCs w:val="22"/>
              </w:rPr>
              <w:t>(3)</w:t>
            </w:r>
          </w:p>
        </w:tc>
        <w:tc>
          <w:tcPr>
            <w:tcW w:w="567" w:type="dxa"/>
            <w:noWrap/>
          </w:tcPr>
          <w:p w14:paraId="44ED4096" w14:textId="77777777" w:rsidR="00AD1F54" w:rsidRPr="00264D5D" w:rsidRDefault="00941227">
            <w:pPr>
              <w:pStyle w:val="GOSTTablenorm"/>
              <w:jc w:val="center"/>
              <w:rPr>
                <w:szCs w:val="22"/>
              </w:rPr>
            </w:pPr>
            <w:r w:rsidRPr="00264D5D">
              <w:rPr>
                <w:szCs w:val="22"/>
              </w:rPr>
              <w:t>Н</w:t>
            </w:r>
          </w:p>
        </w:tc>
        <w:tc>
          <w:tcPr>
            <w:tcW w:w="3963" w:type="dxa"/>
            <w:noWrap/>
          </w:tcPr>
          <w:p w14:paraId="5CD38C2A" w14:textId="77777777" w:rsidR="00AD1F54" w:rsidRPr="00264D5D" w:rsidRDefault="005D5F06">
            <w:pPr>
              <w:pStyle w:val="GOSTTablenorm"/>
              <w:rPr>
                <w:szCs w:val="22"/>
              </w:rPr>
            </w:pPr>
            <w:r w:rsidRPr="00264D5D">
              <w:rPr>
                <w:szCs w:val="22"/>
              </w:rPr>
              <w:t>Указывается статус документа</w:t>
            </w:r>
          </w:p>
        </w:tc>
      </w:tr>
      <w:tr w:rsidR="00AD1F54" w:rsidRPr="00264D5D" w14:paraId="5141EDEB" w14:textId="77777777" w:rsidTr="00AD1F54">
        <w:trPr>
          <w:cnfStyle w:val="000000010000" w:firstRow="0" w:lastRow="0" w:firstColumn="0" w:lastColumn="0" w:oddVBand="0" w:evenVBand="0" w:oddHBand="0" w:evenHBand="1" w:firstRowFirstColumn="0" w:firstRowLastColumn="0" w:lastRowFirstColumn="0" w:lastRowLastColumn="0"/>
          <w:trHeight w:val="300"/>
        </w:trPr>
        <w:tc>
          <w:tcPr>
            <w:tcW w:w="1701" w:type="dxa"/>
            <w:noWrap/>
          </w:tcPr>
          <w:p w14:paraId="4CE6AE88" w14:textId="77777777" w:rsidR="00AD1F54" w:rsidRPr="00264D5D" w:rsidRDefault="00941227">
            <w:pPr>
              <w:pStyle w:val="GOSTTablenorm"/>
              <w:rPr>
                <w:szCs w:val="22"/>
              </w:rPr>
            </w:pPr>
            <w:r w:rsidRPr="00264D5D">
              <w:rPr>
                <w:szCs w:val="22"/>
              </w:rPr>
              <w:t>Статус утверждения</w:t>
            </w:r>
          </w:p>
        </w:tc>
        <w:tc>
          <w:tcPr>
            <w:tcW w:w="1701" w:type="dxa"/>
            <w:noWrap/>
          </w:tcPr>
          <w:p w14:paraId="48C26329" w14:textId="77777777" w:rsidR="00AD1F54" w:rsidRPr="00264D5D" w:rsidRDefault="00941227">
            <w:pPr>
              <w:pStyle w:val="GOSTTablenorm"/>
              <w:rPr>
                <w:szCs w:val="22"/>
              </w:rPr>
            </w:pPr>
            <w:r w:rsidRPr="00264D5D">
              <w:rPr>
                <w:szCs w:val="22"/>
              </w:rPr>
              <w:t>docApprovalStatus</w:t>
            </w:r>
          </w:p>
        </w:tc>
        <w:tc>
          <w:tcPr>
            <w:tcW w:w="567" w:type="dxa"/>
            <w:noWrap/>
          </w:tcPr>
          <w:p w14:paraId="6462E7DF" w14:textId="77777777" w:rsidR="00AD1F54" w:rsidRPr="00264D5D" w:rsidRDefault="00941227">
            <w:pPr>
              <w:pStyle w:val="GOSTTablenorm"/>
              <w:jc w:val="center"/>
              <w:rPr>
                <w:szCs w:val="22"/>
              </w:rPr>
            </w:pPr>
            <w:r w:rsidRPr="00264D5D">
              <w:rPr>
                <w:szCs w:val="22"/>
              </w:rPr>
              <w:t>П</w:t>
            </w:r>
          </w:p>
        </w:tc>
        <w:tc>
          <w:tcPr>
            <w:tcW w:w="1134" w:type="dxa"/>
            <w:noWrap/>
          </w:tcPr>
          <w:p w14:paraId="416636E5" w14:textId="77777777" w:rsidR="00AD1F54" w:rsidRPr="00264D5D" w:rsidRDefault="00941227">
            <w:pPr>
              <w:pStyle w:val="GOSTTablenorm"/>
              <w:rPr>
                <w:szCs w:val="22"/>
              </w:rPr>
            </w:pPr>
            <w:r w:rsidRPr="00264D5D">
              <w:rPr>
                <w:szCs w:val="22"/>
                <w:lang w:val="en-US"/>
              </w:rPr>
              <w:t>T</w:t>
            </w:r>
            <w:r w:rsidRPr="00264D5D">
              <w:rPr>
                <w:szCs w:val="22"/>
              </w:rPr>
              <w:t>(3)</w:t>
            </w:r>
          </w:p>
        </w:tc>
        <w:tc>
          <w:tcPr>
            <w:tcW w:w="567" w:type="dxa"/>
            <w:noWrap/>
          </w:tcPr>
          <w:p w14:paraId="0954C3B7" w14:textId="77777777" w:rsidR="00AD1F54" w:rsidRPr="00264D5D" w:rsidRDefault="00941227">
            <w:pPr>
              <w:pStyle w:val="GOSTTablenorm"/>
              <w:jc w:val="center"/>
              <w:rPr>
                <w:szCs w:val="22"/>
              </w:rPr>
            </w:pPr>
            <w:r w:rsidRPr="00264D5D">
              <w:rPr>
                <w:szCs w:val="22"/>
              </w:rPr>
              <w:t>Н</w:t>
            </w:r>
          </w:p>
        </w:tc>
        <w:tc>
          <w:tcPr>
            <w:tcW w:w="3963" w:type="dxa"/>
            <w:noWrap/>
          </w:tcPr>
          <w:p w14:paraId="13E4F2C3" w14:textId="77777777" w:rsidR="00AD1F54" w:rsidRPr="00264D5D" w:rsidRDefault="00941227">
            <w:pPr>
              <w:pStyle w:val="GOSTTablenorm"/>
              <w:rPr>
                <w:szCs w:val="22"/>
              </w:rPr>
            </w:pPr>
            <w:r w:rsidRPr="00264D5D">
              <w:rPr>
                <w:szCs w:val="22"/>
              </w:rPr>
              <w:t>По умолчанию «У--»</w:t>
            </w:r>
          </w:p>
        </w:tc>
      </w:tr>
      <w:tr w:rsidR="00AD1F54" w:rsidRPr="00264D5D" w14:paraId="534387D4" w14:textId="77777777" w:rsidTr="00AD1F54">
        <w:trPr>
          <w:cnfStyle w:val="000000100000" w:firstRow="0" w:lastRow="0" w:firstColumn="0" w:lastColumn="0" w:oddVBand="0" w:evenVBand="0" w:oddHBand="1" w:evenHBand="0" w:firstRowFirstColumn="0" w:firstRowLastColumn="0" w:lastRowFirstColumn="0" w:lastRowLastColumn="0"/>
          <w:trHeight w:val="300"/>
        </w:trPr>
        <w:tc>
          <w:tcPr>
            <w:tcW w:w="1701" w:type="dxa"/>
            <w:noWrap/>
          </w:tcPr>
          <w:p w14:paraId="69512A5C" w14:textId="77777777" w:rsidR="00AD1F54" w:rsidRPr="00264D5D" w:rsidRDefault="00941227">
            <w:pPr>
              <w:pStyle w:val="GOSTTablenorm"/>
              <w:rPr>
                <w:szCs w:val="22"/>
              </w:rPr>
            </w:pPr>
            <w:r w:rsidRPr="00264D5D">
              <w:rPr>
                <w:szCs w:val="22"/>
              </w:rPr>
              <w:t>Статус передачи</w:t>
            </w:r>
          </w:p>
        </w:tc>
        <w:tc>
          <w:tcPr>
            <w:tcW w:w="1701" w:type="dxa"/>
            <w:noWrap/>
          </w:tcPr>
          <w:p w14:paraId="69D2EB07" w14:textId="77777777" w:rsidR="00AD1F54" w:rsidRPr="00264D5D" w:rsidRDefault="00941227">
            <w:pPr>
              <w:pStyle w:val="GOSTTablenorm"/>
              <w:rPr>
                <w:szCs w:val="22"/>
              </w:rPr>
            </w:pPr>
            <w:r w:rsidRPr="00264D5D">
              <w:rPr>
                <w:szCs w:val="22"/>
              </w:rPr>
              <w:t>docTransferStatus</w:t>
            </w:r>
          </w:p>
        </w:tc>
        <w:tc>
          <w:tcPr>
            <w:tcW w:w="567" w:type="dxa"/>
            <w:noWrap/>
          </w:tcPr>
          <w:p w14:paraId="5B8F630D" w14:textId="77777777" w:rsidR="00AD1F54" w:rsidRPr="00264D5D" w:rsidRDefault="00941227">
            <w:pPr>
              <w:pStyle w:val="GOSTTablenorm"/>
              <w:jc w:val="center"/>
              <w:rPr>
                <w:szCs w:val="22"/>
              </w:rPr>
            </w:pPr>
            <w:r w:rsidRPr="00264D5D">
              <w:rPr>
                <w:szCs w:val="22"/>
              </w:rPr>
              <w:t>П</w:t>
            </w:r>
          </w:p>
        </w:tc>
        <w:tc>
          <w:tcPr>
            <w:tcW w:w="1134" w:type="dxa"/>
            <w:noWrap/>
          </w:tcPr>
          <w:p w14:paraId="26D7DF10" w14:textId="77777777" w:rsidR="00AD1F54" w:rsidRPr="00264D5D" w:rsidRDefault="00941227">
            <w:pPr>
              <w:pStyle w:val="GOSTTablenorm"/>
              <w:rPr>
                <w:szCs w:val="22"/>
              </w:rPr>
            </w:pPr>
            <w:r w:rsidRPr="00264D5D">
              <w:rPr>
                <w:szCs w:val="22"/>
                <w:lang w:val="en-US"/>
              </w:rPr>
              <w:t>T</w:t>
            </w:r>
            <w:r w:rsidRPr="00264D5D">
              <w:rPr>
                <w:szCs w:val="22"/>
              </w:rPr>
              <w:t>(3)</w:t>
            </w:r>
          </w:p>
        </w:tc>
        <w:tc>
          <w:tcPr>
            <w:tcW w:w="567" w:type="dxa"/>
            <w:noWrap/>
          </w:tcPr>
          <w:p w14:paraId="42952D86" w14:textId="77777777" w:rsidR="00AD1F54" w:rsidRPr="00264D5D" w:rsidRDefault="00941227">
            <w:pPr>
              <w:pStyle w:val="GOSTTablenorm"/>
              <w:jc w:val="center"/>
              <w:rPr>
                <w:szCs w:val="22"/>
              </w:rPr>
            </w:pPr>
            <w:r w:rsidRPr="00264D5D">
              <w:rPr>
                <w:szCs w:val="22"/>
              </w:rPr>
              <w:t>Н</w:t>
            </w:r>
          </w:p>
        </w:tc>
        <w:tc>
          <w:tcPr>
            <w:tcW w:w="3963" w:type="dxa"/>
            <w:noWrap/>
          </w:tcPr>
          <w:p w14:paraId="700036CF" w14:textId="77777777" w:rsidR="00AD1F54" w:rsidRPr="00264D5D" w:rsidRDefault="005D5F06">
            <w:pPr>
              <w:pStyle w:val="GOSTTablenorm"/>
              <w:rPr>
                <w:szCs w:val="22"/>
              </w:rPr>
            </w:pPr>
            <w:r w:rsidRPr="00264D5D">
              <w:rPr>
                <w:szCs w:val="22"/>
              </w:rPr>
              <w:t>По умолчанию «П--»</w:t>
            </w:r>
          </w:p>
        </w:tc>
      </w:tr>
      <w:tr w:rsidR="00AD1F54" w:rsidRPr="00264D5D" w14:paraId="56AEC66B" w14:textId="77777777" w:rsidTr="00AD1F54">
        <w:trPr>
          <w:cnfStyle w:val="000000010000" w:firstRow="0" w:lastRow="0" w:firstColumn="0" w:lastColumn="0" w:oddVBand="0" w:evenVBand="0" w:oddHBand="0" w:evenHBand="1" w:firstRowFirstColumn="0" w:firstRowLastColumn="0" w:lastRowFirstColumn="0" w:lastRowLastColumn="0"/>
          <w:trHeight w:val="300"/>
        </w:trPr>
        <w:tc>
          <w:tcPr>
            <w:tcW w:w="1701" w:type="dxa"/>
            <w:noWrap/>
          </w:tcPr>
          <w:p w14:paraId="60BEA7C1" w14:textId="77777777" w:rsidR="00AD1F54" w:rsidRPr="00264D5D" w:rsidRDefault="00941227">
            <w:pPr>
              <w:pStyle w:val="GOSTTablenorm"/>
              <w:rPr>
                <w:szCs w:val="22"/>
              </w:rPr>
            </w:pPr>
            <w:r w:rsidRPr="00264D5D">
              <w:rPr>
                <w:szCs w:val="22"/>
              </w:rPr>
              <w:t>Код ТОФК получателя</w:t>
            </w:r>
          </w:p>
        </w:tc>
        <w:tc>
          <w:tcPr>
            <w:tcW w:w="1701" w:type="dxa"/>
            <w:noWrap/>
          </w:tcPr>
          <w:p w14:paraId="0D368BDB" w14:textId="77777777" w:rsidR="00AD1F54" w:rsidRPr="00264D5D" w:rsidRDefault="00941227">
            <w:pPr>
              <w:pStyle w:val="GOSTTablenorm"/>
              <w:rPr>
                <w:szCs w:val="22"/>
              </w:rPr>
            </w:pPr>
            <w:r w:rsidRPr="00264D5D">
              <w:rPr>
                <w:szCs w:val="22"/>
              </w:rPr>
              <w:t>docTofkCode</w:t>
            </w:r>
          </w:p>
        </w:tc>
        <w:tc>
          <w:tcPr>
            <w:tcW w:w="567" w:type="dxa"/>
            <w:noWrap/>
          </w:tcPr>
          <w:p w14:paraId="00A003E3" w14:textId="77777777" w:rsidR="00AD1F54" w:rsidRPr="00264D5D" w:rsidRDefault="00941227">
            <w:pPr>
              <w:pStyle w:val="GOSTTablenorm"/>
              <w:jc w:val="center"/>
              <w:rPr>
                <w:szCs w:val="22"/>
              </w:rPr>
            </w:pPr>
            <w:r w:rsidRPr="00264D5D">
              <w:rPr>
                <w:szCs w:val="22"/>
              </w:rPr>
              <w:t>П</w:t>
            </w:r>
          </w:p>
        </w:tc>
        <w:tc>
          <w:tcPr>
            <w:tcW w:w="1134" w:type="dxa"/>
            <w:noWrap/>
          </w:tcPr>
          <w:p w14:paraId="15C1DF34" w14:textId="77777777" w:rsidR="00AD1F54" w:rsidRPr="00264D5D" w:rsidRDefault="00941227">
            <w:pPr>
              <w:pStyle w:val="GOSTTablenorm"/>
              <w:rPr>
                <w:szCs w:val="22"/>
              </w:rPr>
            </w:pPr>
            <w:r w:rsidRPr="00264D5D">
              <w:rPr>
                <w:szCs w:val="22"/>
                <w:lang w:val="en-US"/>
              </w:rPr>
              <w:t>T</w:t>
            </w:r>
            <w:r w:rsidRPr="00264D5D">
              <w:rPr>
                <w:szCs w:val="22"/>
              </w:rPr>
              <w:t>(4)</w:t>
            </w:r>
          </w:p>
        </w:tc>
        <w:tc>
          <w:tcPr>
            <w:tcW w:w="567" w:type="dxa"/>
            <w:noWrap/>
          </w:tcPr>
          <w:p w14:paraId="499C8929" w14:textId="77777777" w:rsidR="00AD1F54" w:rsidRPr="00264D5D" w:rsidRDefault="00941227">
            <w:pPr>
              <w:pStyle w:val="GOSTTablenorm"/>
              <w:jc w:val="center"/>
              <w:rPr>
                <w:szCs w:val="22"/>
              </w:rPr>
            </w:pPr>
            <w:r w:rsidRPr="00264D5D">
              <w:rPr>
                <w:szCs w:val="22"/>
              </w:rPr>
              <w:t>O</w:t>
            </w:r>
          </w:p>
        </w:tc>
        <w:tc>
          <w:tcPr>
            <w:tcW w:w="3963" w:type="dxa"/>
            <w:noWrap/>
          </w:tcPr>
          <w:p w14:paraId="1546C2E0" w14:textId="77777777" w:rsidR="00AD1F54" w:rsidRPr="00264D5D" w:rsidRDefault="00941227">
            <w:pPr>
              <w:pStyle w:val="GOSTTablenorm"/>
              <w:rPr>
                <w:szCs w:val="22"/>
              </w:rPr>
            </w:pPr>
            <w:r w:rsidRPr="00264D5D">
              <w:rPr>
                <w:szCs w:val="22"/>
              </w:rPr>
              <w:t>Указывается код Т</w:t>
            </w:r>
            <w:r w:rsidR="005D5F06" w:rsidRPr="00264D5D">
              <w:rPr>
                <w:szCs w:val="22"/>
              </w:rPr>
              <w:t>ОФК, куда направляется документ</w:t>
            </w:r>
          </w:p>
        </w:tc>
      </w:tr>
      <w:tr w:rsidR="00AD1F54" w:rsidRPr="00264D5D" w14:paraId="4958A123" w14:textId="77777777" w:rsidTr="00AD1F54">
        <w:trPr>
          <w:cnfStyle w:val="000000100000" w:firstRow="0" w:lastRow="0" w:firstColumn="0" w:lastColumn="0" w:oddVBand="0" w:evenVBand="0" w:oddHBand="1" w:evenHBand="0" w:firstRowFirstColumn="0" w:firstRowLastColumn="0" w:lastRowFirstColumn="0" w:lastRowLastColumn="0"/>
          <w:trHeight w:val="300"/>
        </w:trPr>
        <w:tc>
          <w:tcPr>
            <w:tcW w:w="1701" w:type="dxa"/>
            <w:noWrap/>
          </w:tcPr>
          <w:p w14:paraId="09FED5CF" w14:textId="77777777" w:rsidR="00AD1F54" w:rsidRPr="00264D5D" w:rsidRDefault="00941227">
            <w:pPr>
              <w:pStyle w:val="GOSTTablenorm"/>
              <w:rPr>
                <w:szCs w:val="22"/>
              </w:rPr>
            </w:pPr>
            <w:r w:rsidRPr="00264D5D">
              <w:rPr>
                <w:szCs w:val="22"/>
              </w:rPr>
              <w:t>Контур</w:t>
            </w:r>
          </w:p>
        </w:tc>
        <w:tc>
          <w:tcPr>
            <w:tcW w:w="1701" w:type="dxa"/>
            <w:noWrap/>
          </w:tcPr>
          <w:p w14:paraId="105D1F00" w14:textId="77777777" w:rsidR="00AD1F54" w:rsidRPr="00264D5D" w:rsidRDefault="00941227">
            <w:pPr>
              <w:pStyle w:val="GOSTTablenorm"/>
              <w:rPr>
                <w:szCs w:val="22"/>
              </w:rPr>
            </w:pPr>
            <w:r w:rsidRPr="00264D5D">
              <w:rPr>
                <w:szCs w:val="22"/>
              </w:rPr>
              <w:t>docSegmentCode</w:t>
            </w:r>
          </w:p>
        </w:tc>
        <w:tc>
          <w:tcPr>
            <w:tcW w:w="567" w:type="dxa"/>
            <w:noWrap/>
          </w:tcPr>
          <w:p w14:paraId="5F7AEA56" w14:textId="77777777" w:rsidR="00AD1F54" w:rsidRPr="00264D5D" w:rsidRDefault="00941227">
            <w:pPr>
              <w:pStyle w:val="GOSTTablenorm"/>
              <w:jc w:val="center"/>
              <w:rPr>
                <w:szCs w:val="22"/>
              </w:rPr>
            </w:pPr>
            <w:r w:rsidRPr="00264D5D">
              <w:rPr>
                <w:szCs w:val="22"/>
              </w:rPr>
              <w:t>П</w:t>
            </w:r>
          </w:p>
        </w:tc>
        <w:tc>
          <w:tcPr>
            <w:tcW w:w="1134" w:type="dxa"/>
            <w:noWrap/>
          </w:tcPr>
          <w:p w14:paraId="097CCCF2" w14:textId="77777777" w:rsidR="00AD1F54" w:rsidRPr="00264D5D" w:rsidRDefault="00941227">
            <w:pPr>
              <w:pStyle w:val="GOSTTablenorm"/>
              <w:rPr>
                <w:szCs w:val="22"/>
              </w:rPr>
            </w:pPr>
            <w:r w:rsidRPr="00264D5D">
              <w:rPr>
                <w:szCs w:val="22"/>
                <w:lang w:val="en-US"/>
              </w:rPr>
              <w:t>T(1)</w:t>
            </w:r>
          </w:p>
        </w:tc>
        <w:tc>
          <w:tcPr>
            <w:tcW w:w="567" w:type="dxa"/>
            <w:noWrap/>
          </w:tcPr>
          <w:p w14:paraId="13CF2261" w14:textId="77777777" w:rsidR="00AD1F54" w:rsidRPr="00264D5D" w:rsidRDefault="00941227">
            <w:pPr>
              <w:pStyle w:val="GOSTTablenorm"/>
              <w:jc w:val="center"/>
              <w:rPr>
                <w:szCs w:val="22"/>
              </w:rPr>
            </w:pPr>
            <w:r w:rsidRPr="00264D5D">
              <w:rPr>
                <w:szCs w:val="22"/>
              </w:rPr>
              <w:t>Н</w:t>
            </w:r>
          </w:p>
        </w:tc>
        <w:tc>
          <w:tcPr>
            <w:tcW w:w="3963" w:type="dxa"/>
            <w:noWrap/>
          </w:tcPr>
          <w:p w14:paraId="0C669B23" w14:textId="77777777" w:rsidR="00AD1F54" w:rsidRPr="00264D5D" w:rsidRDefault="00941227">
            <w:pPr>
              <w:pStyle w:val="GOSTTablenorm"/>
              <w:rPr>
                <w:szCs w:val="22"/>
              </w:rPr>
            </w:pPr>
            <w:r w:rsidRPr="00264D5D">
              <w:rPr>
                <w:szCs w:val="22"/>
              </w:rPr>
              <w:t>Возможные значения:</w:t>
            </w:r>
          </w:p>
          <w:p w14:paraId="575A5485" w14:textId="77777777" w:rsidR="00AD1F54" w:rsidRPr="00264D5D" w:rsidRDefault="00941227" w:rsidP="00E7460C">
            <w:pPr>
              <w:pStyle w:val="GOSTTablenorm"/>
              <w:numPr>
                <w:ilvl w:val="0"/>
                <w:numId w:val="112"/>
              </w:numPr>
              <w:ind w:left="284" w:hanging="227"/>
              <w:rPr>
                <w:szCs w:val="22"/>
              </w:rPr>
            </w:pPr>
            <w:r w:rsidRPr="00264D5D">
              <w:rPr>
                <w:szCs w:val="22"/>
              </w:rPr>
              <w:t xml:space="preserve">1 – Открытый контур, </w:t>
            </w:r>
          </w:p>
          <w:p w14:paraId="3F69651B" w14:textId="77777777" w:rsidR="00AD1F54" w:rsidRPr="00264D5D" w:rsidRDefault="005D5F06" w:rsidP="00E7460C">
            <w:pPr>
              <w:pStyle w:val="GOSTTablenorm"/>
              <w:numPr>
                <w:ilvl w:val="0"/>
                <w:numId w:val="112"/>
              </w:numPr>
              <w:ind w:left="284" w:hanging="227"/>
              <w:rPr>
                <w:szCs w:val="22"/>
              </w:rPr>
            </w:pPr>
            <w:r w:rsidRPr="00264D5D">
              <w:rPr>
                <w:szCs w:val="22"/>
              </w:rPr>
              <w:t>2 – Закрытый контур</w:t>
            </w:r>
          </w:p>
        </w:tc>
      </w:tr>
      <w:tr w:rsidR="00AD1F54" w:rsidRPr="00264D5D" w14:paraId="2A4A1413" w14:textId="77777777" w:rsidTr="00AD1F54">
        <w:trPr>
          <w:cnfStyle w:val="000000010000" w:firstRow="0" w:lastRow="0" w:firstColumn="0" w:lastColumn="0" w:oddVBand="0" w:evenVBand="0" w:oddHBand="0" w:evenHBand="1" w:firstRowFirstColumn="0" w:firstRowLastColumn="0" w:lastRowFirstColumn="0" w:lastRowLastColumn="0"/>
          <w:trHeight w:val="300"/>
        </w:trPr>
        <w:tc>
          <w:tcPr>
            <w:tcW w:w="1701" w:type="dxa"/>
            <w:noWrap/>
          </w:tcPr>
          <w:p w14:paraId="682A9DDE" w14:textId="77777777" w:rsidR="00AD1F54" w:rsidRPr="00264D5D" w:rsidRDefault="00941227">
            <w:pPr>
              <w:pStyle w:val="GOSTTablenorm"/>
              <w:rPr>
                <w:szCs w:val="22"/>
              </w:rPr>
            </w:pPr>
            <w:r w:rsidRPr="00264D5D">
              <w:rPr>
                <w:szCs w:val="22"/>
              </w:rPr>
              <w:t>ЭП</w:t>
            </w:r>
          </w:p>
        </w:tc>
        <w:tc>
          <w:tcPr>
            <w:tcW w:w="1701" w:type="dxa"/>
            <w:noWrap/>
          </w:tcPr>
          <w:p w14:paraId="45F74BE7" w14:textId="77777777" w:rsidR="00AD1F54" w:rsidRPr="00264D5D" w:rsidRDefault="00941227">
            <w:pPr>
              <w:pStyle w:val="GOSTTablenorm"/>
              <w:rPr>
                <w:szCs w:val="22"/>
              </w:rPr>
            </w:pPr>
            <w:r w:rsidRPr="00264D5D">
              <w:rPr>
                <w:szCs w:val="22"/>
              </w:rPr>
              <w:t>CMS</w:t>
            </w:r>
          </w:p>
        </w:tc>
        <w:tc>
          <w:tcPr>
            <w:tcW w:w="567" w:type="dxa"/>
            <w:noWrap/>
          </w:tcPr>
          <w:p w14:paraId="3B27B93B" w14:textId="77777777" w:rsidR="00AD1F54" w:rsidRPr="00264D5D" w:rsidRDefault="00941227">
            <w:pPr>
              <w:pStyle w:val="GOSTTablenorm"/>
              <w:jc w:val="center"/>
              <w:rPr>
                <w:szCs w:val="22"/>
              </w:rPr>
            </w:pPr>
            <w:r w:rsidRPr="00264D5D">
              <w:rPr>
                <w:szCs w:val="22"/>
              </w:rPr>
              <w:t>С</w:t>
            </w:r>
          </w:p>
        </w:tc>
        <w:tc>
          <w:tcPr>
            <w:tcW w:w="1134" w:type="dxa"/>
            <w:noWrap/>
          </w:tcPr>
          <w:p w14:paraId="7DF9DDE1" w14:textId="77777777" w:rsidR="00AD1F54" w:rsidRPr="00264D5D" w:rsidRDefault="00941227">
            <w:pPr>
              <w:pStyle w:val="GOSTTablenorm"/>
              <w:rPr>
                <w:szCs w:val="22"/>
              </w:rPr>
            </w:pPr>
            <w:r w:rsidRPr="00264D5D">
              <w:rPr>
                <w:szCs w:val="22"/>
              </w:rPr>
              <w:t>-</w:t>
            </w:r>
          </w:p>
        </w:tc>
        <w:tc>
          <w:tcPr>
            <w:tcW w:w="567" w:type="dxa"/>
            <w:noWrap/>
          </w:tcPr>
          <w:p w14:paraId="75C1EB95" w14:textId="77777777" w:rsidR="00AD1F54" w:rsidRPr="00264D5D" w:rsidRDefault="00941227">
            <w:pPr>
              <w:pStyle w:val="GOSTTablenorm"/>
              <w:jc w:val="center"/>
              <w:rPr>
                <w:szCs w:val="22"/>
              </w:rPr>
            </w:pPr>
            <w:r w:rsidRPr="00264D5D">
              <w:rPr>
                <w:szCs w:val="22"/>
              </w:rPr>
              <w:t>Н</w:t>
            </w:r>
          </w:p>
        </w:tc>
        <w:tc>
          <w:tcPr>
            <w:tcW w:w="3963" w:type="dxa"/>
            <w:noWrap/>
          </w:tcPr>
          <w:p w14:paraId="2B77B43B" w14:textId="77777777" w:rsidR="00AD1F54" w:rsidRPr="00264D5D" w:rsidRDefault="005D5F06">
            <w:pPr>
              <w:pStyle w:val="GOSTTablenorm"/>
              <w:rPr>
                <w:szCs w:val="22"/>
              </w:rPr>
            </w:pPr>
            <w:r w:rsidRPr="00264D5D">
              <w:rPr>
                <w:szCs w:val="22"/>
              </w:rPr>
              <w:t>Не используется</w:t>
            </w:r>
          </w:p>
        </w:tc>
      </w:tr>
      <w:tr w:rsidR="00AD1F54" w:rsidRPr="00264D5D" w14:paraId="5D3A8EBF" w14:textId="77777777" w:rsidTr="00AD1F54">
        <w:trPr>
          <w:cnfStyle w:val="000000100000" w:firstRow="0" w:lastRow="0" w:firstColumn="0" w:lastColumn="0" w:oddVBand="0" w:evenVBand="0" w:oddHBand="1" w:evenHBand="0" w:firstRowFirstColumn="0" w:firstRowLastColumn="0" w:lastRowFirstColumn="0" w:lastRowLastColumn="0"/>
          <w:trHeight w:val="300"/>
        </w:trPr>
        <w:tc>
          <w:tcPr>
            <w:tcW w:w="1701" w:type="dxa"/>
            <w:noWrap/>
          </w:tcPr>
          <w:p w14:paraId="76F0F22B" w14:textId="77777777" w:rsidR="00AD1F54" w:rsidRPr="00264D5D" w:rsidRDefault="00941227">
            <w:pPr>
              <w:pStyle w:val="GOSTTablenorm"/>
              <w:rPr>
                <w:szCs w:val="22"/>
              </w:rPr>
            </w:pPr>
            <w:r w:rsidRPr="00264D5D">
              <w:rPr>
                <w:szCs w:val="22"/>
              </w:rPr>
              <w:t>ХМЛ ЭП</w:t>
            </w:r>
          </w:p>
        </w:tc>
        <w:tc>
          <w:tcPr>
            <w:tcW w:w="1701" w:type="dxa"/>
            <w:noWrap/>
          </w:tcPr>
          <w:p w14:paraId="14875096" w14:textId="77777777" w:rsidR="00AD1F54" w:rsidRPr="00264D5D" w:rsidRDefault="00941227">
            <w:pPr>
              <w:pStyle w:val="GOSTTablenorm"/>
              <w:rPr>
                <w:szCs w:val="22"/>
              </w:rPr>
            </w:pPr>
            <w:r w:rsidRPr="00264D5D">
              <w:rPr>
                <w:szCs w:val="22"/>
              </w:rPr>
              <w:t>XMLSignatures</w:t>
            </w:r>
          </w:p>
        </w:tc>
        <w:tc>
          <w:tcPr>
            <w:tcW w:w="567" w:type="dxa"/>
            <w:noWrap/>
          </w:tcPr>
          <w:p w14:paraId="262B52CD" w14:textId="77777777" w:rsidR="00AD1F54" w:rsidRPr="00264D5D" w:rsidRDefault="00941227">
            <w:pPr>
              <w:pStyle w:val="GOSTTablenorm"/>
              <w:jc w:val="center"/>
              <w:rPr>
                <w:szCs w:val="22"/>
              </w:rPr>
            </w:pPr>
            <w:r w:rsidRPr="00264D5D">
              <w:rPr>
                <w:szCs w:val="22"/>
              </w:rPr>
              <w:t>С</w:t>
            </w:r>
          </w:p>
        </w:tc>
        <w:tc>
          <w:tcPr>
            <w:tcW w:w="1134" w:type="dxa"/>
            <w:noWrap/>
          </w:tcPr>
          <w:p w14:paraId="671440D0" w14:textId="77777777" w:rsidR="00AD1F54" w:rsidRPr="00264D5D" w:rsidRDefault="00941227">
            <w:pPr>
              <w:pStyle w:val="GOSTTablenorm"/>
              <w:rPr>
                <w:szCs w:val="22"/>
              </w:rPr>
            </w:pPr>
            <w:r w:rsidRPr="00264D5D">
              <w:rPr>
                <w:szCs w:val="22"/>
              </w:rPr>
              <w:t>-</w:t>
            </w:r>
          </w:p>
        </w:tc>
        <w:tc>
          <w:tcPr>
            <w:tcW w:w="567" w:type="dxa"/>
            <w:noWrap/>
          </w:tcPr>
          <w:p w14:paraId="0F074A33" w14:textId="77777777" w:rsidR="00AD1F54" w:rsidRPr="00264D5D" w:rsidRDefault="00941227">
            <w:pPr>
              <w:pStyle w:val="GOSTTablenorm"/>
              <w:jc w:val="center"/>
              <w:rPr>
                <w:szCs w:val="22"/>
              </w:rPr>
            </w:pPr>
            <w:r w:rsidRPr="00264D5D">
              <w:rPr>
                <w:szCs w:val="22"/>
              </w:rPr>
              <w:t>Н</w:t>
            </w:r>
          </w:p>
        </w:tc>
        <w:tc>
          <w:tcPr>
            <w:tcW w:w="3963" w:type="dxa"/>
            <w:noWrap/>
          </w:tcPr>
          <w:p w14:paraId="25B649D1" w14:textId="77777777" w:rsidR="00AD1F54" w:rsidRPr="00264D5D" w:rsidRDefault="005D5F06">
            <w:pPr>
              <w:pStyle w:val="GOSTTablenorm"/>
              <w:rPr>
                <w:szCs w:val="22"/>
              </w:rPr>
            </w:pPr>
            <w:r w:rsidRPr="00264D5D">
              <w:rPr>
                <w:szCs w:val="22"/>
              </w:rPr>
              <w:t>Не используется</w:t>
            </w:r>
          </w:p>
        </w:tc>
      </w:tr>
      <w:tr w:rsidR="00AD1F54" w:rsidRPr="00264D5D" w14:paraId="752A7982" w14:textId="77777777" w:rsidTr="00AD1F54">
        <w:trPr>
          <w:cnfStyle w:val="000000010000" w:firstRow="0" w:lastRow="0" w:firstColumn="0" w:lastColumn="0" w:oddVBand="0" w:evenVBand="0" w:oddHBand="0" w:evenHBand="1" w:firstRowFirstColumn="0" w:firstRowLastColumn="0" w:lastRowFirstColumn="0" w:lastRowLastColumn="0"/>
          <w:trHeight w:val="300"/>
        </w:trPr>
        <w:tc>
          <w:tcPr>
            <w:tcW w:w="1701" w:type="dxa"/>
            <w:noWrap/>
          </w:tcPr>
          <w:p w14:paraId="2A831B97" w14:textId="77777777" w:rsidR="00AD1F54" w:rsidRPr="00264D5D" w:rsidRDefault="00941227">
            <w:pPr>
              <w:pStyle w:val="GOSTTablenorm"/>
              <w:rPr>
                <w:szCs w:val="22"/>
              </w:rPr>
            </w:pPr>
            <w:r w:rsidRPr="00264D5D">
              <w:rPr>
                <w:szCs w:val="22"/>
              </w:rPr>
              <w:t>Вложения</w:t>
            </w:r>
          </w:p>
        </w:tc>
        <w:tc>
          <w:tcPr>
            <w:tcW w:w="1701" w:type="dxa"/>
            <w:noWrap/>
          </w:tcPr>
          <w:p w14:paraId="02C64068" w14:textId="77777777" w:rsidR="00AD1F54" w:rsidRPr="00264D5D" w:rsidRDefault="00941227">
            <w:pPr>
              <w:pStyle w:val="GOSTTablenorm"/>
              <w:rPr>
                <w:szCs w:val="22"/>
              </w:rPr>
            </w:pPr>
            <w:r w:rsidRPr="00264D5D">
              <w:rPr>
                <w:szCs w:val="22"/>
              </w:rPr>
              <w:t>Attachment</w:t>
            </w:r>
          </w:p>
        </w:tc>
        <w:tc>
          <w:tcPr>
            <w:tcW w:w="567" w:type="dxa"/>
            <w:noWrap/>
          </w:tcPr>
          <w:p w14:paraId="0AA19360" w14:textId="77777777" w:rsidR="00AD1F54" w:rsidRPr="00264D5D" w:rsidRDefault="00941227">
            <w:pPr>
              <w:pStyle w:val="GOSTTablenorm"/>
              <w:jc w:val="center"/>
              <w:rPr>
                <w:szCs w:val="22"/>
              </w:rPr>
            </w:pPr>
            <w:r w:rsidRPr="00264D5D">
              <w:rPr>
                <w:szCs w:val="22"/>
              </w:rPr>
              <w:t>С</w:t>
            </w:r>
          </w:p>
        </w:tc>
        <w:tc>
          <w:tcPr>
            <w:tcW w:w="1134" w:type="dxa"/>
            <w:noWrap/>
          </w:tcPr>
          <w:p w14:paraId="739F8930" w14:textId="77777777" w:rsidR="00AD1F54" w:rsidRPr="00264D5D" w:rsidRDefault="00941227">
            <w:pPr>
              <w:pStyle w:val="GOSTTablenorm"/>
              <w:rPr>
                <w:szCs w:val="22"/>
              </w:rPr>
            </w:pPr>
            <w:r w:rsidRPr="00264D5D">
              <w:rPr>
                <w:szCs w:val="22"/>
              </w:rPr>
              <w:t>-</w:t>
            </w:r>
          </w:p>
        </w:tc>
        <w:tc>
          <w:tcPr>
            <w:tcW w:w="567" w:type="dxa"/>
            <w:noWrap/>
          </w:tcPr>
          <w:p w14:paraId="4A5EF9ED" w14:textId="77777777" w:rsidR="00AD1F54" w:rsidRPr="00264D5D" w:rsidRDefault="00941227">
            <w:pPr>
              <w:pStyle w:val="GOSTTablenorm"/>
              <w:jc w:val="center"/>
              <w:rPr>
                <w:szCs w:val="22"/>
              </w:rPr>
            </w:pPr>
            <w:r w:rsidRPr="00264D5D">
              <w:rPr>
                <w:szCs w:val="22"/>
              </w:rPr>
              <w:t>Н</w:t>
            </w:r>
          </w:p>
        </w:tc>
        <w:tc>
          <w:tcPr>
            <w:tcW w:w="3963" w:type="dxa"/>
            <w:noWrap/>
          </w:tcPr>
          <w:p w14:paraId="38A6E1A0" w14:textId="77777777" w:rsidR="00AD1F54" w:rsidRPr="00264D5D" w:rsidRDefault="005D5F06">
            <w:pPr>
              <w:pStyle w:val="GOSTTablenorm"/>
              <w:rPr>
                <w:szCs w:val="22"/>
              </w:rPr>
            </w:pPr>
            <w:r w:rsidRPr="00264D5D">
              <w:rPr>
                <w:szCs w:val="22"/>
              </w:rPr>
              <w:t>Не используется</w:t>
            </w:r>
          </w:p>
        </w:tc>
      </w:tr>
    </w:tbl>
    <w:p w14:paraId="79846DE1" w14:textId="77777777" w:rsidR="00AD1F54" w:rsidRPr="00264D5D" w:rsidRDefault="00941227">
      <w:pPr>
        <w:pStyle w:val="31"/>
      </w:pPr>
      <w:bookmarkStart w:id="3219" w:name="_Toc219309784"/>
      <w:r w:rsidRPr="00264D5D">
        <w:t>Описание блока «Line»</w:t>
      </w:r>
      <w:bookmarkEnd w:id="3219"/>
    </w:p>
    <w:p w14:paraId="6878421A" w14:textId="77777777" w:rsidR="00AD1F54" w:rsidRPr="00264D5D" w:rsidRDefault="00941227">
      <w:pPr>
        <w:pStyle w:val="GOSTNormal"/>
      </w:pPr>
      <w:r w:rsidRPr="00264D5D">
        <w:t>Описание блока «Line» (Строки документа).</w:t>
      </w:r>
    </w:p>
    <w:bookmarkStart w:id="3220" w:name="_Ref52355994"/>
    <w:p w14:paraId="688CD8E7" w14:textId="57E837B4"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3221" w:name="_Ref114233581"/>
      <w:bookmarkStart w:id="3222" w:name="_Toc219309335"/>
      <w:r w:rsidR="008D797C">
        <w:rPr>
          <w:noProof/>
        </w:rPr>
        <w:t>305</w:t>
      </w:r>
      <w:bookmarkEnd w:id="3221"/>
      <w:r w:rsidRPr="00264D5D">
        <w:fldChar w:fldCharType="end"/>
      </w:r>
      <w:r w:rsidRPr="00264D5D">
        <w:rPr>
          <w:rFonts w:eastAsia="Calibri"/>
          <w:szCs w:val="24"/>
        </w:rPr>
        <w:t xml:space="preserve"> – </w:t>
      </w:r>
      <w:r w:rsidRPr="00264D5D">
        <w:t>Описание блока «Line»</w:t>
      </w:r>
      <w:bookmarkEnd w:id="3220"/>
      <w:bookmarkEnd w:id="3222"/>
    </w:p>
    <w:tbl>
      <w:tblPr>
        <w:tblStyle w:val="GOSTTable"/>
        <w:tblW w:w="9632" w:type="dxa"/>
        <w:tblLayout w:type="fixed"/>
        <w:tblLook w:val="04A0" w:firstRow="1" w:lastRow="0" w:firstColumn="1" w:lastColumn="0" w:noHBand="0" w:noVBand="1"/>
      </w:tblPr>
      <w:tblGrid>
        <w:gridCol w:w="1701"/>
        <w:gridCol w:w="1700"/>
        <w:gridCol w:w="567"/>
        <w:gridCol w:w="1134"/>
        <w:gridCol w:w="567"/>
        <w:gridCol w:w="3963"/>
      </w:tblGrid>
      <w:tr w:rsidR="00AD1F54" w:rsidRPr="00264D5D" w14:paraId="72A0CC4F" w14:textId="77777777" w:rsidTr="00AD1F54">
        <w:trPr>
          <w:cnfStyle w:val="100000000000" w:firstRow="1" w:lastRow="0" w:firstColumn="0" w:lastColumn="0" w:oddVBand="0" w:evenVBand="0" w:oddHBand="0" w:evenHBand="0" w:firstRowFirstColumn="0" w:firstRowLastColumn="0" w:lastRowFirstColumn="0" w:lastRowLastColumn="0"/>
          <w:trHeight w:val="20"/>
          <w:tblHeader/>
        </w:trPr>
        <w:tc>
          <w:tcPr>
            <w:tcW w:w="1701" w:type="dxa"/>
          </w:tcPr>
          <w:p w14:paraId="7E6A009D" w14:textId="77777777" w:rsidR="00AD1F54" w:rsidRPr="00264D5D" w:rsidRDefault="00941227">
            <w:pPr>
              <w:pStyle w:val="ASFKTableHead"/>
            </w:pPr>
            <w:r w:rsidRPr="00264D5D">
              <w:t>Наименование элемента</w:t>
            </w:r>
          </w:p>
        </w:tc>
        <w:tc>
          <w:tcPr>
            <w:tcW w:w="1700" w:type="dxa"/>
          </w:tcPr>
          <w:p w14:paraId="43A67A0D" w14:textId="77777777" w:rsidR="00AD1F54" w:rsidRPr="00264D5D" w:rsidRDefault="00941227">
            <w:pPr>
              <w:pStyle w:val="ASFKTableHead"/>
            </w:pPr>
            <w:r w:rsidRPr="00264D5D">
              <w:t>Сокращенное наименование (код) элемента</w:t>
            </w:r>
          </w:p>
        </w:tc>
        <w:tc>
          <w:tcPr>
            <w:tcW w:w="567" w:type="dxa"/>
          </w:tcPr>
          <w:p w14:paraId="64A517AB" w14:textId="77777777" w:rsidR="00AD1F54" w:rsidRPr="00264D5D" w:rsidRDefault="00941227">
            <w:pPr>
              <w:pStyle w:val="ASFKTableHead"/>
            </w:pPr>
            <w:r w:rsidRPr="00264D5D">
              <w:t>Тип</w:t>
            </w:r>
          </w:p>
        </w:tc>
        <w:tc>
          <w:tcPr>
            <w:tcW w:w="1134" w:type="dxa"/>
          </w:tcPr>
          <w:p w14:paraId="2C89D7E2" w14:textId="77777777" w:rsidR="00AD1F54" w:rsidRPr="00264D5D" w:rsidRDefault="00941227">
            <w:pPr>
              <w:pStyle w:val="ASFKTableHead"/>
            </w:pPr>
            <w:r w:rsidRPr="00264D5D">
              <w:t>Формат элемента</w:t>
            </w:r>
          </w:p>
        </w:tc>
        <w:tc>
          <w:tcPr>
            <w:tcW w:w="567" w:type="dxa"/>
          </w:tcPr>
          <w:p w14:paraId="3F2BCDFF" w14:textId="77777777" w:rsidR="00AD1F54" w:rsidRPr="00264D5D" w:rsidRDefault="00941227">
            <w:pPr>
              <w:pStyle w:val="ASFKTableHead"/>
            </w:pPr>
            <w:r w:rsidRPr="00264D5D">
              <w:t>Обязательность</w:t>
            </w:r>
          </w:p>
        </w:tc>
        <w:tc>
          <w:tcPr>
            <w:tcW w:w="3963" w:type="dxa"/>
          </w:tcPr>
          <w:p w14:paraId="0E8A81C3" w14:textId="77777777" w:rsidR="00AD1F54" w:rsidRPr="00264D5D" w:rsidRDefault="00941227">
            <w:pPr>
              <w:pStyle w:val="ASFKTableHead"/>
            </w:pPr>
            <w:r w:rsidRPr="00264D5D">
              <w:t>Дополнительная информация</w:t>
            </w:r>
          </w:p>
        </w:tc>
      </w:tr>
      <w:tr w:rsidR="00AD1F54" w:rsidRPr="00264D5D" w14:paraId="3A46A4AE" w14:textId="77777777" w:rsidTr="00AD1F54">
        <w:trPr>
          <w:cnfStyle w:val="000000100000" w:firstRow="0" w:lastRow="0" w:firstColumn="0" w:lastColumn="0" w:oddVBand="0" w:evenVBand="0" w:oddHBand="1" w:evenHBand="0" w:firstRowFirstColumn="0" w:firstRowLastColumn="0" w:lastRowFirstColumn="0" w:lastRowLastColumn="0"/>
          <w:trHeight w:val="20"/>
        </w:trPr>
        <w:tc>
          <w:tcPr>
            <w:tcW w:w="1701" w:type="dxa"/>
          </w:tcPr>
          <w:p w14:paraId="1DCAF4ED" w14:textId="77777777" w:rsidR="00AD1F54" w:rsidRPr="00264D5D" w:rsidRDefault="00941227">
            <w:pPr>
              <w:pStyle w:val="GOSTTablenorm"/>
            </w:pPr>
            <w:r w:rsidRPr="00264D5D">
              <w:t>Номер секции формы</w:t>
            </w:r>
          </w:p>
        </w:tc>
        <w:tc>
          <w:tcPr>
            <w:tcW w:w="1700" w:type="dxa"/>
          </w:tcPr>
          <w:p w14:paraId="0E22F640" w14:textId="77777777" w:rsidR="00AD1F54" w:rsidRPr="00264D5D" w:rsidRDefault="00941227">
            <w:pPr>
              <w:pStyle w:val="GOSTTablenorm"/>
            </w:pPr>
            <w:r w:rsidRPr="00264D5D">
              <w:t>SectionNumber</w:t>
            </w:r>
          </w:p>
        </w:tc>
        <w:tc>
          <w:tcPr>
            <w:tcW w:w="567" w:type="dxa"/>
          </w:tcPr>
          <w:p w14:paraId="6E4DBA08" w14:textId="77777777" w:rsidR="00AD1F54" w:rsidRPr="00264D5D" w:rsidRDefault="00941227">
            <w:pPr>
              <w:pStyle w:val="GOSTTablenorm"/>
              <w:jc w:val="center"/>
            </w:pPr>
            <w:r w:rsidRPr="00264D5D">
              <w:t>П</w:t>
            </w:r>
          </w:p>
        </w:tc>
        <w:tc>
          <w:tcPr>
            <w:tcW w:w="1134" w:type="dxa"/>
          </w:tcPr>
          <w:p w14:paraId="36E6BB5E" w14:textId="77777777" w:rsidR="00AD1F54" w:rsidRPr="00264D5D" w:rsidRDefault="00941227">
            <w:pPr>
              <w:pStyle w:val="GOSTTablenorm"/>
            </w:pPr>
            <w:r w:rsidRPr="00264D5D">
              <w:rPr>
                <w:lang w:val="en-US"/>
              </w:rPr>
              <w:t>T</w:t>
            </w:r>
            <w:r w:rsidRPr="00264D5D">
              <w:t>(</w:t>
            </w:r>
            <w:r w:rsidRPr="00264D5D">
              <w:rPr>
                <w:lang w:val="en-US"/>
              </w:rPr>
              <w:t>1-</w:t>
            </w:r>
            <w:r w:rsidRPr="00264D5D">
              <w:t>240)</w:t>
            </w:r>
          </w:p>
        </w:tc>
        <w:tc>
          <w:tcPr>
            <w:tcW w:w="567" w:type="dxa"/>
          </w:tcPr>
          <w:p w14:paraId="4CAEE5BB" w14:textId="77777777" w:rsidR="00AD1F54" w:rsidRPr="00264D5D" w:rsidRDefault="00941227">
            <w:pPr>
              <w:pStyle w:val="GOSTTablenorm"/>
              <w:jc w:val="center"/>
            </w:pPr>
            <w:r w:rsidRPr="00264D5D">
              <w:t>O</w:t>
            </w:r>
          </w:p>
        </w:tc>
        <w:tc>
          <w:tcPr>
            <w:tcW w:w="3963" w:type="dxa"/>
          </w:tcPr>
          <w:p w14:paraId="6CB015F1" w14:textId="77777777" w:rsidR="00AD1F54" w:rsidRPr="00264D5D" w:rsidRDefault="00941227">
            <w:pPr>
              <w:pStyle w:val="GOSTTablenorm"/>
              <w:rPr>
                <w:szCs w:val="22"/>
              </w:rPr>
            </w:pPr>
            <w:r w:rsidRPr="00264D5D">
              <w:rPr>
                <w:szCs w:val="22"/>
              </w:rPr>
              <w:t>У</w:t>
            </w:r>
            <w:r w:rsidR="005D5F06" w:rsidRPr="00264D5D">
              <w:rPr>
                <w:szCs w:val="22"/>
              </w:rPr>
              <w:t>казывается номер секции/раздела</w:t>
            </w:r>
          </w:p>
        </w:tc>
      </w:tr>
      <w:tr w:rsidR="00AD1F54" w:rsidRPr="00264D5D" w14:paraId="083FA430" w14:textId="77777777" w:rsidTr="00AD1F54">
        <w:trPr>
          <w:cnfStyle w:val="000000010000" w:firstRow="0" w:lastRow="0" w:firstColumn="0" w:lastColumn="0" w:oddVBand="0" w:evenVBand="0" w:oddHBand="0" w:evenHBand="1" w:firstRowFirstColumn="0" w:firstRowLastColumn="0" w:lastRowFirstColumn="0" w:lastRowLastColumn="0"/>
          <w:trHeight w:val="20"/>
        </w:trPr>
        <w:tc>
          <w:tcPr>
            <w:tcW w:w="1701" w:type="dxa"/>
          </w:tcPr>
          <w:p w14:paraId="432870DE" w14:textId="77777777" w:rsidR="00AD1F54" w:rsidRPr="00264D5D" w:rsidRDefault="00941227">
            <w:pPr>
              <w:pStyle w:val="GOSTTablenorm"/>
            </w:pPr>
            <w:r w:rsidRPr="00264D5D">
              <w:t>Наименование строки</w:t>
            </w:r>
          </w:p>
        </w:tc>
        <w:tc>
          <w:tcPr>
            <w:tcW w:w="1700" w:type="dxa"/>
          </w:tcPr>
          <w:p w14:paraId="017EBD55" w14:textId="77777777" w:rsidR="00AD1F54" w:rsidRPr="00264D5D" w:rsidRDefault="00941227">
            <w:pPr>
              <w:pStyle w:val="GOSTTablenorm"/>
            </w:pPr>
            <w:r w:rsidRPr="00264D5D">
              <w:t>LineName</w:t>
            </w:r>
          </w:p>
        </w:tc>
        <w:tc>
          <w:tcPr>
            <w:tcW w:w="567" w:type="dxa"/>
          </w:tcPr>
          <w:p w14:paraId="763220B2" w14:textId="77777777" w:rsidR="00AD1F54" w:rsidRPr="00264D5D" w:rsidRDefault="00941227">
            <w:pPr>
              <w:pStyle w:val="GOSTTablenorm"/>
              <w:jc w:val="center"/>
            </w:pPr>
            <w:r w:rsidRPr="00264D5D">
              <w:t>П</w:t>
            </w:r>
          </w:p>
        </w:tc>
        <w:tc>
          <w:tcPr>
            <w:tcW w:w="1134" w:type="dxa"/>
          </w:tcPr>
          <w:p w14:paraId="7C1D3D0E" w14:textId="77777777" w:rsidR="00AD1F54" w:rsidRPr="00264D5D" w:rsidRDefault="00941227">
            <w:pPr>
              <w:pStyle w:val="GOSTTablenorm"/>
            </w:pPr>
            <w:r w:rsidRPr="00264D5D">
              <w:rPr>
                <w:lang w:val="en-US"/>
              </w:rPr>
              <w:t>T</w:t>
            </w:r>
            <w:r w:rsidRPr="00264D5D">
              <w:t>(</w:t>
            </w:r>
            <w:r w:rsidRPr="00264D5D">
              <w:rPr>
                <w:lang w:val="en-US"/>
              </w:rPr>
              <w:t>1-</w:t>
            </w:r>
            <w:r w:rsidRPr="00264D5D">
              <w:t>2000)</w:t>
            </w:r>
          </w:p>
        </w:tc>
        <w:tc>
          <w:tcPr>
            <w:tcW w:w="567" w:type="dxa"/>
          </w:tcPr>
          <w:p w14:paraId="08BC3927" w14:textId="77777777" w:rsidR="00AD1F54" w:rsidRPr="00264D5D" w:rsidRDefault="00941227">
            <w:pPr>
              <w:pStyle w:val="GOSTTablenorm"/>
              <w:jc w:val="center"/>
            </w:pPr>
            <w:r w:rsidRPr="00264D5D">
              <w:t>O</w:t>
            </w:r>
          </w:p>
        </w:tc>
        <w:tc>
          <w:tcPr>
            <w:tcW w:w="3963" w:type="dxa"/>
          </w:tcPr>
          <w:p w14:paraId="37E93268" w14:textId="77777777" w:rsidR="00AD1F54" w:rsidRPr="00264D5D" w:rsidRDefault="005D5F06">
            <w:pPr>
              <w:pStyle w:val="GOSTTablenorm"/>
            </w:pPr>
            <w:r w:rsidRPr="00264D5D">
              <w:t>Наименование строки</w:t>
            </w:r>
          </w:p>
        </w:tc>
      </w:tr>
      <w:tr w:rsidR="00AD1F54" w:rsidRPr="00264D5D" w14:paraId="45B2169B" w14:textId="77777777" w:rsidTr="00AD1F54">
        <w:trPr>
          <w:cnfStyle w:val="000000100000" w:firstRow="0" w:lastRow="0" w:firstColumn="0" w:lastColumn="0" w:oddVBand="0" w:evenVBand="0" w:oddHBand="1" w:evenHBand="0" w:firstRowFirstColumn="0" w:firstRowLastColumn="0" w:lastRowFirstColumn="0" w:lastRowLastColumn="0"/>
          <w:trHeight w:val="20"/>
        </w:trPr>
        <w:tc>
          <w:tcPr>
            <w:tcW w:w="1701" w:type="dxa"/>
          </w:tcPr>
          <w:p w14:paraId="0C8A8834" w14:textId="77777777" w:rsidR="00AD1F54" w:rsidRPr="00264D5D" w:rsidRDefault="00941227">
            <w:pPr>
              <w:pStyle w:val="GOSTTablenorm"/>
            </w:pPr>
            <w:r w:rsidRPr="00264D5D">
              <w:t>Признак детализации строки</w:t>
            </w:r>
          </w:p>
        </w:tc>
        <w:tc>
          <w:tcPr>
            <w:tcW w:w="1700" w:type="dxa"/>
          </w:tcPr>
          <w:p w14:paraId="3997E04C" w14:textId="77777777" w:rsidR="00AD1F54" w:rsidRPr="00264D5D" w:rsidRDefault="00941227">
            <w:pPr>
              <w:pStyle w:val="GOSTTablenorm"/>
            </w:pPr>
            <w:r w:rsidRPr="00264D5D">
              <w:t>SummaryFlag</w:t>
            </w:r>
          </w:p>
        </w:tc>
        <w:tc>
          <w:tcPr>
            <w:tcW w:w="567" w:type="dxa"/>
          </w:tcPr>
          <w:p w14:paraId="1284A04C" w14:textId="77777777" w:rsidR="00AD1F54" w:rsidRPr="00264D5D" w:rsidRDefault="00941227">
            <w:pPr>
              <w:pStyle w:val="GOSTTablenorm"/>
              <w:jc w:val="center"/>
            </w:pPr>
            <w:r w:rsidRPr="00264D5D">
              <w:t>П</w:t>
            </w:r>
          </w:p>
        </w:tc>
        <w:tc>
          <w:tcPr>
            <w:tcW w:w="1134" w:type="dxa"/>
          </w:tcPr>
          <w:p w14:paraId="0506518A" w14:textId="77777777" w:rsidR="00AD1F54" w:rsidRPr="00264D5D" w:rsidRDefault="00941227">
            <w:pPr>
              <w:pStyle w:val="GOSTTablenorm"/>
              <w:rPr>
                <w:lang w:val="en-US"/>
              </w:rPr>
            </w:pPr>
            <w:r w:rsidRPr="00264D5D">
              <w:t>Т(1)</w:t>
            </w:r>
          </w:p>
        </w:tc>
        <w:tc>
          <w:tcPr>
            <w:tcW w:w="567" w:type="dxa"/>
          </w:tcPr>
          <w:p w14:paraId="5E72CB03" w14:textId="77777777" w:rsidR="00AD1F54" w:rsidRPr="00264D5D" w:rsidRDefault="00941227">
            <w:pPr>
              <w:pStyle w:val="GOSTTablenorm"/>
              <w:jc w:val="center"/>
            </w:pPr>
            <w:r w:rsidRPr="00264D5D">
              <w:t>О</w:t>
            </w:r>
          </w:p>
        </w:tc>
        <w:tc>
          <w:tcPr>
            <w:tcW w:w="3963" w:type="dxa"/>
          </w:tcPr>
          <w:p w14:paraId="74E30E8C" w14:textId="77777777" w:rsidR="00AD1F54" w:rsidRPr="00264D5D" w:rsidRDefault="005D5F06">
            <w:pPr>
              <w:pStyle w:val="GOSTTablenorm"/>
            </w:pPr>
            <w:r w:rsidRPr="00264D5D">
              <w:t>Признак детализации строки</w:t>
            </w:r>
          </w:p>
        </w:tc>
      </w:tr>
      <w:tr w:rsidR="00AD1F54" w:rsidRPr="00264D5D" w14:paraId="512B08AE" w14:textId="77777777" w:rsidTr="00AD1F54">
        <w:trPr>
          <w:cnfStyle w:val="000000010000" w:firstRow="0" w:lastRow="0" w:firstColumn="0" w:lastColumn="0" w:oddVBand="0" w:evenVBand="0" w:oddHBand="0" w:evenHBand="1" w:firstRowFirstColumn="0" w:firstRowLastColumn="0" w:lastRowFirstColumn="0" w:lastRowLastColumn="0"/>
          <w:trHeight w:val="20"/>
        </w:trPr>
        <w:tc>
          <w:tcPr>
            <w:tcW w:w="1701" w:type="dxa"/>
          </w:tcPr>
          <w:p w14:paraId="5C1A1AFD" w14:textId="77777777" w:rsidR="00AD1F54" w:rsidRPr="00264D5D" w:rsidRDefault="00941227">
            <w:pPr>
              <w:pStyle w:val="GOSTTablenorm"/>
            </w:pPr>
            <w:r w:rsidRPr="00264D5D">
              <w:t>Поле данных 001</w:t>
            </w:r>
          </w:p>
        </w:tc>
        <w:tc>
          <w:tcPr>
            <w:tcW w:w="1700" w:type="dxa"/>
          </w:tcPr>
          <w:p w14:paraId="708A3E37" w14:textId="77777777" w:rsidR="00AD1F54" w:rsidRPr="00264D5D" w:rsidRDefault="00941227">
            <w:pPr>
              <w:pStyle w:val="GOSTTablenorm"/>
            </w:pPr>
            <w:r w:rsidRPr="00264D5D">
              <w:t>Data001</w:t>
            </w:r>
          </w:p>
        </w:tc>
        <w:tc>
          <w:tcPr>
            <w:tcW w:w="567" w:type="dxa"/>
          </w:tcPr>
          <w:p w14:paraId="0281A9D0" w14:textId="77777777" w:rsidR="00AD1F54" w:rsidRPr="00264D5D" w:rsidRDefault="00941227">
            <w:pPr>
              <w:pStyle w:val="GOSTTablenorm"/>
              <w:jc w:val="center"/>
            </w:pPr>
            <w:r w:rsidRPr="00264D5D">
              <w:t>П</w:t>
            </w:r>
          </w:p>
        </w:tc>
        <w:tc>
          <w:tcPr>
            <w:tcW w:w="1134" w:type="dxa"/>
          </w:tcPr>
          <w:p w14:paraId="435C3E58" w14:textId="77777777" w:rsidR="00AD1F54" w:rsidRPr="00264D5D" w:rsidRDefault="00941227">
            <w:pPr>
              <w:pStyle w:val="GOSTTablenorm"/>
              <w:rPr>
                <w:lang w:val="en-US"/>
              </w:rPr>
            </w:pPr>
            <w:r w:rsidRPr="00264D5D">
              <w:rPr>
                <w:lang w:val="en-US"/>
              </w:rPr>
              <w:t>T</w:t>
            </w:r>
            <w:r w:rsidRPr="00264D5D">
              <w:t>(</w:t>
            </w:r>
            <w:r w:rsidRPr="00264D5D">
              <w:rPr>
                <w:lang w:val="en-US"/>
              </w:rPr>
              <w:t>1-</w:t>
            </w:r>
            <w:r w:rsidRPr="00264D5D">
              <w:t>2000)</w:t>
            </w:r>
          </w:p>
        </w:tc>
        <w:tc>
          <w:tcPr>
            <w:tcW w:w="567" w:type="dxa"/>
          </w:tcPr>
          <w:p w14:paraId="44D08F23" w14:textId="77777777" w:rsidR="00AD1F54" w:rsidRPr="00264D5D" w:rsidRDefault="00941227">
            <w:pPr>
              <w:pStyle w:val="GOSTTablenorm"/>
              <w:jc w:val="center"/>
            </w:pPr>
            <w:r w:rsidRPr="00264D5D">
              <w:t>O</w:t>
            </w:r>
          </w:p>
        </w:tc>
        <w:tc>
          <w:tcPr>
            <w:tcW w:w="3963" w:type="dxa"/>
          </w:tcPr>
          <w:p w14:paraId="1010020B" w14:textId="77777777" w:rsidR="00AD1F54" w:rsidRPr="00264D5D" w:rsidRDefault="005D5F06">
            <w:pPr>
              <w:pStyle w:val="GOSTTablenorm"/>
            </w:pPr>
            <w:r w:rsidRPr="00264D5D">
              <w:t>Поле данных 001</w:t>
            </w:r>
          </w:p>
        </w:tc>
      </w:tr>
      <w:tr w:rsidR="00AD1F54" w:rsidRPr="00264D5D" w14:paraId="38CAC6C7" w14:textId="77777777" w:rsidTr="00AD1F54">
        <w:trPr>
          <w:cnfStyle w:val="000000100000" w:firstRow="0" w:lastRow="0" w:firstColumn="0" w:lastColumn="0" w:oddVBand="0" w:evenVBand="0" w:oddHBand="1" w:evenHBand="0" w:firstRowFirstColumn="0" w:firstRowLastColumn="0" w:lastRowFirstColumn="0" w:lastRowLastColumn="0"/>
          <w:trHeight w:val="20"/>
        </w:trPr>
        <w:tc>
          <w:tcPr>
            <w:tcW w:w="1701" w:type="dxa"/>
          </w:tcPr>
          <w:p w14:paraId="7AF8ED40" w14:textId="77777777" w:rsidR="00AD1F54" w:rsidRPr="00264D5D" w:rsidRDefault="00941227">
            <w:pPr>
              <w:pStyle w:val="GOSTTablenorm"/>
            </w:pPr>
            <w:r w:rsidRPr="00264D5D">
              <w:lastRenderedPageBreak/>
              <w:t>Поле данных 002</w:t>
            </w:r>
          </w:p>
        </w:tc>
        <w:tc>
          <w:tcPr>
            <w:tcW w:w="1700" w:type="dxa"/>
          </w:tcPr>
          <w:p w14:paraId="3AB29B9F" w14:textId="77777777" w:rsidR="00AD1F54" w:rsidRPr="00264D5D" w:rsidRDefault="00941227">
            <w:pPr>
              <w:pStyle w:val="GOSTTablenorm"/>
            </w:pPr>
            <w:r w:rsidRPr="00264D5D">
              <w:t>Data002</w:t>
            </w:r>
          </w:p>
        </w:tc>
        <w:tc>
          <w:tcPr>
            <w:tcW w:w="567" w:type="dxa"/>
          </w:tcPr>
          <w:p w14:paraId="710907D6" w14:textId="77777777" w:rsidR="00AD1F54" w:rsidRPr="00264D5D" w:rsidRDefault="00941227">
            <w:pPr>
              <w:pStyle w:val="GOSTTablenorm"/>
              <w:jc w:val="center"/>
            </w:pPr>
            <w:r w:rsidRPr="00264D5D">
              <w:t>П</w:t>
            </w:r>
          </w:p>
        </w:tc>
        <w:tc>
          <w:tcPr>
            <w:tcW w:w="1134" w:type="dxa"/>
          </w:tcPr>
          <w:p w14:paraId="027E9E39" w14:textId="77777777" w:rsidR="00AD1F54" w:rsidRPr="00264D5D" w:rsidRDefault="00941227">
            <w:pPr>
              <w:pStyle w:val="GOSTTablenorm"/>
            </w:pPr>
            <w:r w:rsidRPr="00264D5D">
              <w:rPr>
                <w:lang w:val="en-US"/>
              </w:rPr>
              <w:t>T</w:t>
            </w:r>
            <w:r w:rsidRPr="00264D5D">
              <w:t>(</w:t>
            </w:r>
            <w:r w:rsidRPr="00264D5D">
              <w:rPr>
                <w:lang w:val="en-US"/>
              </w:rPr>
              <w:t>1-</w:t>
            </w:r>
            <w:r w:rsidRPr="00264D5D">
              <w:t>2000)</w:t>
            </w:r>
          </w:p>
        </w:tc>
        <w:tc>
          <w:tcPr>
            <w:tcW w:w="567" w:type="dxa"/>
          </w:tcPr>
          <w:p w14:paraId="4E889F63" w14:textId="77777777" w:rsidR="00AD1F54" w:rsidRPr="00264D5D" w:rsidRDefault="00941227">
            <w:pPr>
              <w:pStyle w:val="GOSTTablenorm"/>
              <w:jc w:val="center"/>
            </w:pPr>
            <w:r w:rsidRPr="00264D5D">
              <w:t>O</w:t>
            </w:r>
          </w:p>
        </w:tc>
        <w:tc>
          <w:tcPr>
            <w:tcW w:w="3963" w:type="dxa"/>
          </w:tcPr>
          <w:p w14:paraId="6A577906" w14:textId="77777777" w:rsidR="00AD1F54" w:rsidRPr="00264D5D" w:rsidRDefault="005D5F06">
            <w:pPr>
              <w:pStyle w:val="GOSTTablenorm"/>
            </w:pPr>
            <w:r w:rsidRPr="00264D5D">
              <w:t>Поле данных 002</w:t>
            </w:r>
          </w:p>
        </w:tc>
      </w:tr>
      <w:tr w:rsidR="00AD1F54" w:rsidRPr="00264D5D" w14:paraId="5D70A897" w14:textId="77777777" w:rsidTr="00AD1F54">
        <w:trPr>
          <w:cnfStyle w:val="000000010000" w:firstRow="0" w:lastRow="0" w:firstColumn="0" w:lastColumn="0" w:oddVBand="0" w:evenVBand="0" w:oddHBand="0" w:evenHBand="1" w:firstRowFirstColumn="0" w:firstRowLastColumn="0" w:lastRowFirstColumn="0" w:lastRowLastColumn="0"/>
          <w:trHeight w:val="627"/>
        </w:trPr>
        <w:tc>
          <w:tcPr>
            <w:tcW w:w="1701" w:type="dxa"/>
          </w:tcPr>
          <w:p w14:paraId="563893D6" w14:textId="77777777" w:rsidR="00AD1F54" w:rsidRPr="00264D5D" w:rsidRDefault="00941227">
            <w:pPr>
              <w:pStyle w:val="GOSTTablenorm"/>
            </w:pPr>
            <w:r w:rsidRPr="00264D5D">
              <w:t>Поле данных 003</w:t>
            </w:r>
          </w:p>
        </w:tc>
        <w:tc>
          <w:tcPr>
            <w:tcW w:w="1700" w:type="dxa"/>
          </w:tcPr>
          <w:p w14:paraId="538C66E3" w14:textId="77777777" w:rsidR="00AD1F54" w:rsidRPr="00264D5D" w:rsidRDefault="00941227">
            <w:pPr>
              <w:pStyle w:val="GOSTTablenorm"/>
            </w:pPr>
            <w:r w:rsidRPr="00264D5D">
              <w:t>Data003</w:t>
            </w:r>
          </w:p>
        </w:tc>
        <w:tc>
          <w:tcPr>
            <w:tcW w:w="567" w:type="dxa"/>
          </w:tcPr>
          <w:p w14:paraId="4C53ECC1" w14:textId="77777777" w:rsidR="00AD1F54" w:rsidRPr="00264D5D" w:rsidRDefault="00941227">
            <w:pPr>
              <w:pStyle w:val="GOSTTablenorm"/>
              <w:jc w:val="center"/>
            </w:pPr>
            <w:r w:rsidRPr="00264D5D">
              <w:t>П</w:t>
            </w:r>
          </w:p>
        </w:tc>
        <w:tc>
          <w:tcPr>
            <w:tcW w:w="1134" w:type="dxa"/>
          </w:tcPr>
          <w:p w14:paraId="4AAE7D3B" w14:textId="77777777" w:rsidR="00AD1F54" w:rsidRPr="00264D5D" w:rsidRDefault="00941227">
            <w:pPr>
              <w:pStyle w:val="GOSTTablenorm"/>
            </w:pPr>
            <w:r w:rsidRPr="00264D5D">
              <w:rPr>
                <w:lang w:val="en-US"/>
              </w:rPr>
              <w:t>T</w:t>
            </w:r>
            <w:r w:rsidRPr="00264D5D">
              <w:t>(</w:t>
            </w:r>
            <w:r w:rsidRPr="00264D5D">
              <w:rPr>
                <w:lang w:val="en-US"/>
              </w:rPr>
              <w:t>1-</w:t>
            </w:r>
            <w:r w:rsidRPr="00264D5D">
              <w:t>2000)</w:t>
            </w:r>
          </w:p>
        </w:tc>
        <w:tc>
          <w:tcPr>
            <w:tcW w:w="567" w:type="dxa"/>
          </w:tcPr>
          <w:p w14:paraId="23072776" w14:textId="77777777" w:rsidR="00AD1F54" w:rsidRPr="00264D5D" w:rsidRDefault="00941227">
            <w:pPr>
              <w:pStyle w:val="GOSTTablenorm"/>
              <w:jc w:val="center"/>
            </w:pPr>
            <w:r w:rsidRPr="00264D5D">
              <w:t>O</w:t>
            </w:r>
          </w:p>
        </w:tc>
        <w:tc>
          <w:tcPr>
            <w:tcW w:w="3963" w:type="dxa"/>
          </w:tcPr>
          <w:p w14:paraId="6481AA57" w14:textId="77777777" w:rsidR="00AD1F54" w:rsidRPr="00264D5D" w:rsidRDefault="005D5F06">
            <w:pPr>
              <w:pStyle w:val="GOSTTablenorm"/>
            </w:pPr>
            <w:r w:rsidRPr="00264D5D">
              <w:t>Поле данных 003</w:t>
            </w:r>
          </w:p>
        </w:tc>
      </w:tr>
      <w:tr w:rsidR="00AD1F54" w:rsidRPr="00264D5D" w14:paraId="12CE4C88" w14:textId="77777777" w:rsidTr="00AD1F54">
        <w:trPr>
          <w:cnfStyle w:val="000000100000" w:firstRow="0" w:lastRow="0" w:firstColumn="0" w:lastColumn="0" w:oddVBand="0" w:evenVBand="0" w:oddHBand="1" w:evenHBand="0" w:firstRowFirstColumn="0" w:firstRowLastColumn="0" w:lastRowFirstColumn="0" w:lastRowLastColumn="0"/>
          <w:trHeight w:val="20"/>
        </w:trPr>
        <w:tc>
          <w:tcPr>
            <w:tcW w:w="1701" w:type="dxa"/>
          </w:tcPr>
          <w:p w14:paraId="460092A7" w14:textId="77777777" w:rsidR="00AD1F54" w:rsidRPr="00264D5D" w:rsidRDefault="00941227">
            <w:pPr>
              <w:pStyle w:val="GOSTTablenorm"/>
            </w:pPr>
            <w:r w:rsidRPr="00264D5D">
              <w:t>…</w:t>
            </w:r>
          </w:p>
        </w:tc>
        <w:tc>
          <w:tcPr>
            <w:tcW w:w="1700" w:type="dxa"/>
          </w:tcPr>
          <w:p w14:paraId="1F06FCCB" w14:textId="77777777" w:rsidR="00AD1F54" w:rsidRPr="00264D5D" w:rsidRDefault="00941227">
            <w:pPr>
              <w:pStyle w:val="GOSTTablenorm"/>
            </w:pPr>
            <w:r w:rsidRPr="00264D5D">
              <w:t>…</w:t>
            </w:r>
          </w:p>
        </w:tc>
        <w:tc>
          <w:tcPr>
            <w:tcW w:w="567" w:type="dxa"/>
          </w:tcPr>
          <w:p w14:paraId="6A1CAF57" w14:textId="77777777" w:rsidR="00AD1F54" w:rsidRPr="00264D5D" w:rsidRDefault="00941227">
            <w:pPr>
              <w:pStyle w:val="GOSTTablenorm"/>
              <w:jc w:val="center"/>
            </w:pPr>
            <w:r w:rsidRPr="00264D5D">
              <w:t>…</w:t>
            </w:r>
          </w:p>
        </w:tc>
        <w:tc>
          <w:tcPr>
            <w:tcW w:w="1134" w:type="dxa"/>
          </w:tcPr>
          <w:p w14:paraId="697F9444" w14:textId="77777777" w:rsidR="00AD1F54" w:rsidRPr="00264D5D" w:rsidRDefault="00941227">
            <w:pPr>
              <w:pStyle w:val="GOSTTablenorm"/>
            </w:pPr>
            <w:r w:rsidRPr="00264D5D">
              <w:t>…</w:t>
            </w:r>
          </w:p>
        </w:tc>
        <w:tc>
          <w:tcPr>
            <w:tcW w:w="567" w:type="dxa"/>
          </w:tcPr>
          <w:p w14:paraId="5E67D19D" w14:textId="77777777" w:rsidR="00AD1F54" w:rsidRPr="00264D5D" w:rsidRDefault="00941227">
            <w:pPr>
              <w:pStyle w:val="GOSTTablenorm"/>
              <w:jc w:val="center"/>
            </w:pPr>
            <w:r w:rsidRPr="00264D5D">
              <w:t>…</w:t>
            </w:r>
          </w:p>
        </w:tc>
        <w:tc>
          <w:tcPr>
            <w:tcW w:w="3963" w:type="dxa"/>
          </w:tcPr>
          <w:p w14:paraId="4FE156DD" w14:textId="77777777" w:rsidR="00AD1F54" w:rsidRPr="00264D5D" w:rsidRDefault="00941227">
            <w:pPr>
              <w:pStyle w:val="GOSTTablenorm"/>
            </w:pPr>
            <w:r w:rsidRPr="00264D5D">
              <w:t>…</w:t>
            </w:r>
          </w:p>
        </w:tc>
      </w:tr>
      <w:tr w:rsidR="00AD1F54" w:rsidRPr="00264D5D" w14:paraId="62DD7609" w14:textId="77777777" w:rsidTr="00AD1F54">
        <w:trPr>
          <w:cnfStyle w:val="000000010000" w:firstRow="0" w:lastRow="0" w:firstColumn="0" w:lastColumn="0" w:oddVBand="0" w:evenVBand="0" w:oddHBand="0" w:evenHBand="1" w:firstRowFirstColumn="0" w:firstRowLastColumn="0" w:lastRowFirstColumn="0" w:lastRowLastColumn="0"/>
          <w:trHeight w:val="20"/>
        </w:trPr>
        <w:tc>
          <w:tcPr>
            <w:tcW w:w="1701" w:type="dxa"/>
          </w:tcPr>
          <w:p w14:paraId="0F5AB4A2" w14:textId="77777777" w:rsidR="00AD1F54" w:rsidRPr="00264D5D" w:rsidRDefault="00941227">
            <w:pPr>
              <w:pStyle w:val="GOSTTablenorm"/>
            </w:pPr>
            <w:r w:rsidRPr="00264D5D">
              <w:t>Поле данных 100</w:t>
            </w:r>
          </w:p>
        </w:tc>
        <w:tc>
          <w:tcPr>
            <w:tcW w:w="1700" w:type="dxa"/>
          </w:tcPr>
          <w:p w14:paraId="25D0594F" w14:textId="77777777" w:rsidR="00AD1F54" w:rsidRPr="00264D5D" w:rsidRDefault="00941227">
            <w:pPr>
              <w:pStyle w:val="GOSTTablenorm"/>
            </w:pPr>
            <w:r w:rsidRPr="00264D5D">
              <w:t>Data100</w:t>
            </w:r>
          </w:p>
        </w:tc>
        <w:tc>
          <w:tcPr>
            <w:tcW w:w="567" w:type="dxa"/>
          </w:tcPr>
          <w:p w14:paraId="44FEF6DA" w14:textId="77777777" w:rsidR="00AD1F54" w:rsidRPr="00264D5D" w:rsidRDefault="00941227">
            <w:pPr>
              <w:pStyle w:val="GOSTTablenorm"/>
              <w:jc w:val="center"/>
            </w:pPr>
            <w:r w:rsidRPr="00264D5D">
              <w:t>П</w:t>
            </w:r>
          </w:p>
        </w:tc>
        <w:tc>
          <w:tcPr>
            <w:tcW w:w="1134" w:type="dxa"/>
          </w:tcPr>
          <w:p w14:paraId="0450EA28" w14:textId="77777777" w:rsidR="00AD1F54" w:rsidRPr="00264D5D" w:rsidRDefault="00941227">
            <w:pPr>
              <w:pStyle w:val="GOSTTablenorm"/>
              <w:rPr>
                <w:lang w:val="en-US"/>
              </w:rPr>
            </w:pPr>
            <w:r w:rsidRPr="00264D5D">
              <w:rPr>
                <w:lang w:val="en-US"/>
              </w:rPr>
              <w:t>T</w:t>
            </w:r>
            <w:r w:rsidRPr="00264D5D">
              <w:t>(</w:t>
            </w:r>
            <w:r w:rsidRPr="00264D5D">
              <w:rPr>
                <w:lang w:val="en-US"/>
              </w:rPr>
              <w:t>1-</w:t>
            </w:r>
            <w:r w:rsidRPr="00264D5D">
              <w:t>2000)</w:t>
            </w:r>
          </w:p>
        </w:tc>
        <w:tc>
          <w:tcPr>
            <w:tcW w:w="567" w:type="dxa"/>
          </w:tcPr>
          <w:p w14:paraId="2F33B5A8" w14:textId="77777777" w:rsidR="00AD1F54" w:rsidRPr="00264D5D" w:rsidRDefault="00941227">
            <w:pPr>
              <w:pStyle w:val="GOSTTablenorm"/>
              <w:jc w:val="center"/>
            </w:pPr>
            <w:r w:rsidRPr="00264D5D">
              <w:t>O</w:t>
            </w:r>
          </w:p>
        </w:tc>
        <w:tc>
          <w:tcPr>
            <w:tcW w:w="3963" w:type="dxa"/>
          </w:tcPr>
          <w:p w14:paraId="6DCCBF8D" w14:textId="77777777" w:rsidR="00AD1F54" w:rsidRPr="00264D5D" w:rsidRDefault="005D5F06">
            <w:pPr>
              <w:pStyle w:val="GOSTTablenorm"/>
            </w:pPr>
            <w:r w:rsidRPr="00264D5D">
              <w:t>Поле данных 100</w:t>
            </w:r>
          </w:p>
        </w:tc>
      </w:tr>
      <w:tr w:rsidR="00AD1F54" w:rsidRPr="00264D5D" w14:paraId="2CCF9C37" w14:textId="77777777" w:rsidTr="00AD1F54">
        <w:trPr>
          <w:cnfStyle w:val="000000100000" w:firstRow="0" w:lastRow="0" w:firstColumn="0" w:lastColumn="0" w:oddVBand="0" w:evenVBand="0" w:oddHBand="1" w:evenHBand="0" w:firstRowFirstColumn="0" w:firstRowLastColumn="0" w:lastRowFirstColumn="0" w:lastRowLastColumn="0"/>
          <w:trHeight w:val="20"/>
        </w:trPr>
        <w:tc>
          <w:tcPr>
            <w:tcW w:w="1701" w:type="dxa"/>
          </w:tcPr>
          <w:p w14:paraId="6506342C" w14:textId="77777777" w:rsidR="00AD1F54" w:rsidRPr="00264D5D" w:rsidRDefault="00941227">
            <w:pPr>
              <w:pStyle w:val="GOSTTablenorm"/>
            </w:pPr>
            <w:r w:rsidRPr="00264D5D">
              <w:t>Поле данных 001</w:t>
            </w:r>
          </w:p>
        </w:tc>
        <w:tc>
          <w:tcPr>
            <w:tcW w:w="1700" w:type="dxa"/>
          </w:tcPr>
          <w:p w14:paraId="3A0C7452" w14:textId="77777777" w:rsidR="00AD1F54" w:rsidRPr="00264D5D" w:rsidRDefault="00941227">
            <w:pPr>
              <w:pStyle w:val="GOSTTablenorm"/>
            </w:pPr>
            <w:r w:rsidRPr="00264D5D">
              <w:t>Data_VC001</w:t>
            </w:r>
          </w:p>
        </w:tc>
        <w:tc>
          <w:tcPr>
            <w:tcW w:w="567" w:type="dxa"/>
          </w:tcPr>
          <w:p w14:paraId="0AD73CB1" w14:textId="77777777" w:rsidR="00AD1F54" w:rsidRPr="00264D5D" w:rsidRDefault="00941227">
            <w:pPr>
              <w:pStyle w:val="GOSTTablenorm"/>
              <w:jc w:val="center"/>
            </w:pPr>
            <w:r w:rsidRPr="00264D5D">
              <w:t>П</w:t>
            </w:r>
          </w:p>
        </w:tc>
        <w:tc>
          <w:tcPr>
            <w:tcW w:w="1134" w:type="dxa"/>
          </w:tcPr>
          <w:p w14:paraId="7E40100A" w14:textId="77777777" w:rsidR="00AD1F54" w:rsidRPr="00264D5D" w:rsidRDefault="00941227">
            <w:pPr>
              <w:pStyle w:val="GOSTTablenorm"/>
              <w:rPr>
                <w:lang w:val="en-US"/>
              </w:rPr>
            </w:pPr>
            <w:r w:rsidRPr="00264D5D">
              <w:rPr>
                <w:lang w:val="en-US"/>
              </w:rPr>
              <w:t>T</w:t>
            </w:r>
            <w:r w:rsidRPr="00264D5D">
              <w:t>(</w:t>
            </w:r>
            <w:r w:rsidRPr="00264D5D">
              <w:rPr>
                <w:lang w:val="en-US"/>
              </w:rPr>
              <w:t>1-</w:t>
            </w:r>
            <w:r w:rsidRPr="00264D5D">
              <w:t>2000)</w:t>
            </w:r>
          </w:p>
        </w:tc>
        <w:tc>
          <w:tcPr>
            <w:tcW w:w="567" w:type="dxa"/>
          </w:tcPr>
          <w:p w14:paraId="7AB4433E" w14:textId="77777777" w:rsidR="00AD1F54" w:rsidRPr="00264D5D" w:rsidRDefault="00941227">
            <w:pPr>
              <w:pStyle w:val="GOSTTablenorm"/>
              <w:jc w:val="center"/>
            </w:pPr>
            <w:r w:rsidRPr="00264D5D">
              <w:t>O</w:t>
            </w:r>
          </w:p>
        </w:tc>
        <w:tc>
          <w:tcPr>
            <w:tcW w:w="3963" w:type="dxa"/>
          </w:tcPr>
          <w:p w14:paraId="7084AC37" w14:textId="77777777" w:rsidR="00AD1F54" w:rsidRPr="00264D5D" w:rsidRDefault="005D5F06">
            <w:pPr>
              <w:pStyle w:val="GOSTTablenorm"/>
            </w:pPr>
            <w:r w:rsidRPr="00264D5D">
              <w:t>Поле данных 001</w:t>
            </w:r>
          </w:p>
        </w:tc>
      </w:tr>
      <w:tr w:rsidR="00AD1F54" w:rsidRPr="00264D5D" w14:paraId="7285832C" w14:textId="77777777" w:rsidTr="00AD1F54">
        <w:trPr>
          <w:cnfStyle w:val="000000010000" w:firstRow="0" w:lastRow="0" w:firstColumn="0" w:lastColumn="0" w:oddVBand="0" w:evenVBand="0" w:oddHBand="0" w:evenHBand="1" w:firstRowFirstColumn="0" w:firstRowLastColumn="0" w:lastRowFirstColumn="0" w:lastRowLastColumn="0"/>
          <w:trHeight w:val="20"/>
        </w:trPr>
        <w:tc>
          <w:tcPr>
            <w:tcW w:w="1701" w:type="dxa"/>
          </w:tcPr>
          <w:p w14:paraId="33A8A28D" w14:textId="77777777" w:rsidR="00AD1F54" w:rsidRPr="00264D5D" w:rsidRDefault="00941227">
            <w:pPr>
              <w:pStyle w:val="GOSTTablenorm"/>
            </w:pPr>
            <w:r w:rsidRPr="00264D5D">
              <w:t>Поле данных 002</w:t>
            </w:r>
          </w:p>
        </w:tc>
        <w:tc>
          <w:tcPr>
            <w:tcW w:w="1700" w:type="dxa"/>
          </w:tcPr>
          <w:p w14:paraId="6770DA61" w14:textId="77777777" w:rsidR="00AD1F54" w:rsidRPr="00264D5D" w:rsidRDefault="00941227">
            <w:pPr>
              <w:pStyle w:val="GOSTTablenorm"/>
            </w:pPr>
            <w:r w:rsidRPr="00264D5D">
              <w:t>Data_VC002</w:t>
            </w:r>
          </w:p>
        </w:tc>
        <w:tc>
          <w:tcPr>
            <w:tcW w:w="567" w:type="dxa"/>
          </w:tcPr>
          <w:p w14:paraId="6F76AF4D" w14:textId="77777777" w:rsidR="00AD1F54" w:rsidRPr="00264D5D" w:rsidRDefault="00941227">
            <w:pPr>
              <w:pStyle w:val="GOSTTablenorm"/>
              <w:jc w:val="center"/>
            </w:pPr>
            <w:r w:rsidRPr="00264D5D">
              <w:t>П</w:t>
            </w:r>
          </w:p>
        </w:tc>
        <w:tc>
          <w:tcPr>
            <w:tcW w:w="1134" w:type="dxa"/>
          </w:tcPr>
          <w:p w14:paraId="373004AD" w14:textId="77777777" w:rsidR="00AD1F54" w:rsidRPr="00264D5D" w:rsidRDefault="00941227">
            <w:pPr>
              <w:pStyle w:val="GOSTTablenorm"/>
              <w:rPr>
                <w:lang w:val="en-US"/>
              </w:rPr>
            </w:pPr>
            <w:r w:rsidRPr="00264D5D">
              <w:rPr>
                <w:lang w:val="en-US"/>
              </w:rPr>
              <w:t>T</w:t>
            </w:r>
            <w:r w:rsidRPr="00264D5D">
              <w:t>(</w:t>
            </w:r>
            <w:r w:rsidRPr="00264D5D">
              <w:rPr>
                <w:lang w:val="en-US"/>
              </w:rPr>
              <w:t>1-</w:t>
            </w:r>
            <w:r w:rsidRPr="00264D5D">
              <w:t>2000)</w:t>
            </w:r>
          </w:p>
        </w:tc>
        <w:tc>
          <w:tcPr>
            <w:tcW w:w="567" w:type="dxa"/>
          </w:tcPr>
          <w:p w14:paraId="4830234F" w14:textId="77777777" w:rsidR="00AD1F54" w:rsidRPr="00264D5D" w:rsidRDefault="00941227">
            <w:pPr>
              <w:pStyle w:val="GOSTTablenorm"/>
              <w:jc w:val="center"/>
            </w:pPr>
            <w:r w:rsidRPr="00264D5D">
              <w:t>O</w:t>
            </w:r>
          </w:p>
        </w:tc>
        <w:tc>
          <w:tcPr>
            <w:tcW w:w="3963" w:type="dxa"/>
          </w:tcPr>
          <w:p w14:paraId="79C76BF5" w14:textId="77777777" w:rsidR="00AD1F54" w:rsidRPr="00264D5D" w:rsidRDefault="005D5F06">
            <w:pPr>
              <w:pStyle w:val="GOSTTablenorm"/>
            </w:pPr>
            <w:r w:rsidRPr="00264D5D">
              <w:t>Поле данных 002</w:t>
            </w:r>
          </w:p>
        </w:tc>
      </w:tr>
      <w:tr w:rsidR="00AD1F54" w:rsidRPr="00264D5D" w14:paraId="59AD4B58" w14:textId="77777777" w:rsidTr="00AD1F54">
        <w:trPr>
          <w:cnfStyle w:val="000000100000" w:firstRow="0" w:lastRow="0" w:firstColumn="0" w:lastColumn="0" w:oddVBand="0" w:evenVBand="0" w:oddHBand="1" w:evenHBand="0" w:firstRowFirstColumn="0" w:firstRowLastColumn="0" w:lastRowFirstColumn="0" w:lastRowLastColumn="0"/>
          <w:trHeight w:val="20"/>
        </w:trPr>
        <w:tc>
          <w:tcPr>
            <w:tcW w:w="1701" w:type="dxa"/>
          </w:tcPr>
          <w:p w14:paraId="070621DA" w14:textId="77777777" w:rsidR="00AD1F54" w:rsidRPr="00264D5D" w:rsidRDefault="00941227">
            <w:pPr>
              <w:pStyle w:val="GOSTTablenorm"/>
            </w:pPr>
            <w:r w:rsidRPr="00264D5D">
              <w:t>Поле данных 003</w:t>
            </w:r>
          </w:p>
        </w:tc>
        <w:tc>
          <w:tcPr>
            <w:tcW w:w="1700" w:type="dxa"/>
          </w:tcPr>
          <w:p w14:paraId="114D6D35" w14:textId="77777777" w:rsidR="00AD1F54" w:rsidRPr="00264D5D" w:rsidRDefault="00941227">
            <w:pPr>
              <w:pStyle w:val="GOSTTablenorm"/>
            </w:pPr>
            <w:r w:rsidRPr="00264D5D">
              <w:t>Data_VC003</w:t>
            </w:r>
          </w:p>
        </w:tc>
        <w:tc>
          <w:tcPr>
            <w:tcW w:w="567" w:type="dxa"/>
          </w:tcPr>
          <w:p w14:paraId="626348E4" w14:textId="77777777" w:rsidR="00AD1F54" w:rsidRPr="00264D5D" w:rsidRDefault="00941227">
            <w:pPr>
              <w:pStyle w:val="GOSTTablenorm"/>
              <w:jc w:val="center"/>
            </w:pPr>
            <w:r w:rsidRPr="00264D5D">
              <w:t>П</w:t>
            </w:r>
          </w:p>
        </w:tc>
        <w:tc>
          <w:tcPr>
            <w:tcW w:w="1134" w:type="dxa"/>
          </w:tcPr>
          <w:p w14:paraId="15F04D57" w14:textId="77777777" w:rsidR="00AD1F54" w:rsidRPr="00264D5D" w:rsidRDefault="00941227">
            <w:pPr>
              <w:pStyle w:val="GOSTTablenorm"/>
              <w:rPr>
                <w:lang w:val="en-US"/>
              </w:rPr>
            </w:pPr>
            <w:r w:rsidRPr="00264D5D">
              <w:rPr>
                <w:lang w:val="en-US"/>
              </w:rPr>
              <w:t>T</w:t>
            </w:r>
            <w:r w:rsidRPr="00264D5D">
              <w:t>(</w:t>
            </w:r>
            <w:r w:rsidRPr="00264D5D">
              <w:rPr>
                <w:lang w:val="en-US"/>
              </w:rPr>
              <w:t>1-</w:t>
            </w:r>
            <w:r w:rsidRPr="00264D5D">
              <w:t>2000)</w:t>
            </w:r>
          </w:p>
        </w:tc>
        <w:tc>
          <w:tcPr>
            <w:tcW w:w="567" w:type="dxa"/>
          </w:tcPr>
          <w:p w14:paraId="3ED3B568" w14:textId="77777777" w:rsidR="00AD1F54" w:rsidRPr="00264D5D" w:rsidRDefault="00941227">
            <w:pPr>
              <w:pStyle w:val="GOSTTablenorm"/>
              <w:jc w:val="center"/>
            </w:pPr>
            <w:r w:rsidRPr="00264D5D">
              <w:t>O</w:t>
            </w:r>
          </w:p>
        </w:tc>
        <w:tc>
          <w:tcPr>
            <w:tcW w:w="3963" w:type="dxa"/>
          </w:tcPr>
          <w:p w14:paraId="5AE33677" w14:textId="77777777" w:rsidR="00AD1F54" w:rsidRPr="00264D5D" w:rsidRDefault="005D5F06">
            <w:pPr>
              <w:pStyle w:val="GOSTTablenorm"/>
            </w:pPr>
            <w:r w:rsidRPr="00264D5D">
              <w:t>Поле данных 003</w:t>
            </w:r>
          </w:p>
        </w:tc>
      </w:tr>
      <w:tr w:rsidR="00AD1F54" w:rsidRPr="00264D5D" w14:paraId="5C8784A6" w14:textId="77777777" w:rsidTr="00AD1F54">
        <w:trPr>
          <w:cnfStyle w:val="000000010000" w:firstRow="0" w:lastRow="0" w:firstColumn="0" w:lastColumn="0" w:oddVBand="0" w:evenVBand="0" w:oddHBand="0" w:evenHBand="1" w:firstRowFirstColumn="0" w:firstRowLastColumn="0" w:lastRowFirstColumn="0" w:lastRowLastColumn="0"/>
          <w:trHeight w:val="20"/>
        </w:trPr>
        <w:tc>
          <w:tcPr>
            <w:tcW w:w="1701" w:type="dxa"/>
          </w:tcPr>
          <w:p w14:paraId="6830602F" w14:textId="77777777" w:rsidR="00AD1F54" w:rsidRPr="00264D5D" w:rsidRDefault="00941227">
            <w:pPr>
              <w:pStyle w:val="GOSTTablenorm"/>
            </w:pPr>
            <w:r w:rsidRPr="00264D5D">
              <w:t>…</w:t>
            </w:r>
          </w:p>
        </w:tc>
        <w:tc>
          <w:tcPr>
            <w:tcW w:w="1700" w:type="dxa"/>
          </w:tcPr>
          <w:p w14:paraId="22E6D686" w14:textId="77777777" w:rsidR="00AD1F54" w:rsidRPr="00264D5D" w:rsidRDefault="00941227">
            <w:pPr>
              <w:pStyle w:val="GOSTTablenorm"/>
            </w:pPr>
            <w:r w:rsidRPr="00264D5D">
              <w:t>…</w:t>
            </w:r>
          </w:p>
        </w:tc>
        <w:tc>
          <w:tcPr>
            <w:tcW w:w="567" w:type="dxa"/>
          </w:tcPr>
          <w:p w14:paraId="0CC0984B" w14:textId="77777777" w:rsidR="00AD1F54" w:rsidRPr="00264D5D" w:rsidRDefault="00941227">
            <w:pPr>
              <w:pStyle w:val="GOSTTablenorm"/>
              <w:jc w:val="center"/>
            </w:pPr>
            <w:r w:rsidRPr="00264D5D">
              <w:t>…</w:t>
            </w:r>
          </w:p>
        </w:tc>
        <w:tc>
          <w:tcPr>
            <w:tcW w:w="1134" w:type="dxa"/>
          </w:tcPr>
          <w:p w14:paraId="539F1EE8" w14:textId="77777777" w:rsidR="00AD1F54" w:rsidRPr="00264D5D" w:rsidRDefault="00941227">
            <w:pPr>
              <w:pStyle w:val="GOSTTablenorm"/>
              <w:rPr>
                <w:lang w:val="en-US"/>
              </w:rPr>
            </w:pPr>
            <w:r w:rsidRPr="00264D5D">
              <w:t>…</w:t>
            </w:r>
          </w:p>
        </w:tc>
        <w:tc>
          <w:tcPr>
            <w:tcW w:w="567" w:type="dxa"/>
          </w:tcPr>
          <w:p w14:paraId="1A7183D3" w14:textId="77777777" w:rsidR="00AD1F54" w:rsidRPr="00264D5D" w:rsidRDefault="00941227">
            <w:pPr>
              <w:pStyle w:val="GOSTTablenorm"/>
              <w:jc w:val="center"/>
            </w:pPr>
            <w:r w:rsidRPr="00264D5D">
              <w:t>…</w:t>
            </w:r>
          </w:p>
        </w:tc>
        <w:tc>
          <w:tcPr>
            <w:tcW w:w="3963" w:type="dxa"/>
          </w:tcPr>
          <w:p w14:paraId="0FDAEB74" w14:textId="77777777" w:rsidR="00AD1F54" w:rsidRPr="00264D5D" w:rsidRDefault="00941227">
            <w:pPr>
              <w:pStyle w:val="GOSTTablenorm"/>
            </w:pPr>
            <w:r w:rsidRPr="00264D5D">
              <w:t>…</w:t>
            </w:r>
          </w:p>
        </w:tc>
      </w:tr>
      <w:tr w:rsidR="00AD1F54" w:rsidRPr="00264D5D" w14:paraId="1A240DEA" w14:textId="77777777" w:rsidTr="00AD1F54">
        <w:trPr>
          <w:cnfStyle w:val="000000100000" w:firstRow="0" w:lastRow="0" w:firstColumn="0" w:lastColumn="0" w:oddVBand="0" w:evenVBand="0" w:oddHBand="1" w:evenHBand="0" w:firstRowFirstColumn="0" w:firstRowLastColumn="0" w:lastRowFirstColumn="0" w:lastRowLastColumn="0"/>
          <w:trHeight w:val="20"/>
        </w:trPr>
        <w:tc>
          <w:tcPr>
            <w:tcW w:w="1701" w:type="dxa"/>
          </w:tcPr>
          <w:p w14:paraId="55F8C765" w14:textId="77777777" w:rsidR="00AD1F54" w:rsidRPr="00264D5D" w:rsidRDefault="00941227">
            <w:pPr>
              <w:pStyle w:val="GOSTTablenorm"/>
            </w:pPr>
            <w:r w:rsidRPr="00264D5D">
              <w:t>Поле данных 100</w:t>
            </w:r>
          </w:p>
        </w:tc>
        <w:tc>
          <w:tcPr>
            <w:tcW w:w="1700" w:type="dxa"/>
          </w:tcPr>
          <w:p w14:paraId="44064788" w14:textId="77777777" w:rsidR="00AD1F54" w:rsidRPr="00264D5D" w:rsidRDefault="00941227">
            <w:pPr>
              <w:pStyle w:val="GOSTTablenorm"/>
            </w:pPr>
            <w:r w:rsidRPr="00264D5D">
              <w:t>Data_VC100</w:t>
            </w:r>
          </w:p>
        </w:tc>
        <w:tc>
          <w:tcPr>
            <w:tcW w:w="567" w:type="dxa"/>
          </w:tcPr>
          <w:p w14:paraId="3FF2FE14" w14:textId="77777777" w:rsidR="00AD1F54" w:rsidRPr="00264D5D" w:rsidRDefault="00941227">
            <w:pPr>
              <w:pStyle w:val="GOSTTablenorm"/>
              <w:jc w:val="center"/>
            </w:pPr>
            <w:r w:rsidRPr="00264D5D">
              <w:t>П</w:t>
            </w:r>
          </w:p>
        </w:tc>
        <w:tc>
          <w:tcPr>
            <w:tcW w:w="1134" w:type="dxa"/>
          </w:tcPr>
          <w:p w14:paraId="680A1EA7" w14:textId="77777777" w:rsidR="00AD1F54" w:rsidRPr="00264D5D" w:rsidRDefault="00941227">
            <w:pPr>
              <w:pStyle w:val="GOSTTablenorm"/>
              <w:rPr>
                <w:lang w:val="en-US"/>
              </w:rPr>
            </w:pPr>
            <w:r w:rsidRPr="00264D5D">
              <w:rPr>
                <w:lang w:val="en-US"/>
              </w:rPr>
              <w:t>T</w:t>
            </w:r>
            <w:r w:rsidRPr="00264D5D">
              <w:t>(</w:t>
            </w:r>
            <w:r w:rsidRPr="00264D5D">
              <w:rPr>
                <w:lang w:val="en-US"/>
              </w:rPr>
              <w:t>1-</w:t>
            </w:r>
            <w:r w:rsidRPr="00264D5D">
              <w:t>2000)</w:t>
            </w:r>
          </w:p>
        </w:tc>
        <w:tc>
          <w:tcPr>
            <w:tcW w:w="567" w:type="dxa"/>
          </w:tcPr>
          <w:p w14:paraId="6746E141" w14:textId="77777777" w:rsidR="00AD1F54" w:rsidRPr="00264D5D" w:rsidRDefault="00941227">
            <w:pPr>
              <w:pStyle w:val="GOSTTablenorm"/>
              <w:jc w:val="center"/>
            </w:pPr>
            <w:r w:rsidRPr="00264D5D">
              <w:t>O</w:t>
            </w:r>
          </w:p>
        </w:tc>
        <w:tc>
          <w:tcPr>
            <w:tcW w:w="3963" w:type="dxa"/>
          </w:tcPr>
          <w:p w14:paraId="253C6CBB" w14:textId="77777777" w:rsidR="00AD1F54" w:rsidRPr="00264D5D" w:rsidRDefault="005D5F06">
            <w:pPr>
              <w:pStyle w:val="GOSTTablenorm"/>
            </w:pPr>
            <w:r w:rsidRPr="00264D5D">
              <w:t>Поле данных 100</w:t>
            </w:r>
          </w:p>
        </w:tc>
      </w:tr>
      <w:tr w:rsidR="00AD1F54" w:rsidRPr="00264D5D" w14:paraId="7E2497DF" w14:textId="77777777" w:rsidTr="00AD1F54">
        <w:trPr>
          <w:cnfStyle w:val="000000010000" w:firstRow="0" w:lastRow="0" w:firstColumn="0" w:lastColumn="0" w:oddVBand="0" w:evenVBand="0" w:oddHBand="0" w:evenHBand="1" w:firstRowFirstColumn="0" w:firstRowLastColumn="0" w:lastRowFirstColumn="0" w:lastRowLastColumn="0"/>
          <w:trHeight w:val="20"/>
        </w:trPr>
        <w:tc>
          <w:tcPr>
            <w:tcW w:w="1701" w:type="dxa"/>
          </w:tcPr>
          <w:p w14:paraId="74368486" w14:textId="77777777" w:rsidR="00AD1F54" w:rsidRPr="00264D5D" w:rsidRDefault="00941227">
            <w:pPr>
              <w:pStyle w:val="GOSTTablenorm"/>
            </w:pPr>
            <w:r w:rsidRPr="00264D5D">
              <w:t>Поле данных 001</w:t>
            </w:r>
          </w:p>
        </w:tc>
        <w:tc>
          <w:tcPr>
            <w:tcW w:w="1700" w:type="dxa"/>
          </w:tcPr>
          <w:p w14:paraId="6A87038F" w14:textId="77777777" w:rsidR="00AD1F54" w:rsidRPr="00264D5D" w:rsidRDefault="00941227">
            <w:pPr>
              <w:pStyle w:val="GOSTTablenorm"/>
            </w:pPr>
            <w:r w:rsidRPr="00264D5D">
              <w:t>Data_Date001</w:t>
            </w:r>
          </w:p>
        </w:tc>
        <w:tc>
          <w:tcPr>
            <w:tcW w:w="567" w:type="dxa"/>
          </w:tcPr>
          <w:p w14:paraId="58A080F4" w14:textId="77777777" w:rsidR="00AD1F54" w:rsidRPr="00264D5D" w:rsidRDefault="00941227">
            <w:pPr>
              <w:pStyle w:val="GOSTTablenorm"/>
              <w:jc w:val="center"/>
            </w:pPr>
            <w:r w:rsidRPr="00264D5D">
              <w:t>П</w:t>
            </w:r>
          </w:p>
        </w:tc>
        <w:tc>
          <w:tcPr>
            <w:tcW w:w="1134" w:type="dxa"/>
          </w:tcPr>
          <w:p w14:paraId="20800216" w14:textId="77777777" w:rsidR="00AD1F54" w:rsidRPr="00264D5D" w:rsidRDefault="00941227">
            <w:pPr>
              <w:pStyle w:val="GOSTTablenorm"/>
              <w:rPr>
                <w:lang w:val="en-US"/>
              </w:rPr>
            </w:pPr>
            <w:r w:rsidRPr="00264D5D">
              <w:rPr>
                <w:lang w:val="en-US"/>
              </w:rPr>
              <w:t>T</w:t>
            </w:r>
            <w:r w:rsidRPr="00264D5D">
              <w:t>(</w:t>
            </w:r>
            <w:r w:rsidRPr="00264D5D">
              <w:rPr>
                <w:lang w:val="en-US"/>
              </w:rPr>
              <w:t>1-</w:t>
            </w:r>
            <w:r w:rsidRPr="00264D5D">
              <w:t>2000)</w:t>
            </w:r>
          </w:p>
        </w:tc>
        <w:tc>
          <w:tcPr>
            <w:tcW w:w="567" w:type="dxa"/>
          </w:tcPr>
          <w:p w14:paraId="69DCB99E" w14:textId="77777777" w:rsidR="00AD1F54" w:rsidRPr="00264D5D" w:rsidRDefault="00941227">
            <w:pPr>
              <w:pStyle w:val="GOSTTablenorm"/>
              <w:jc w:val="center"/>
            </w:pPr>
            <w:r w:rsidRPr="00264D5D">
              <w:t>O</w:t>
            </w:r>
          </w:p>
        </w:tc>
        <w:tc>
          <w:tcPr>
            <w:tcW w:w="3963" w:type="dxa"/>
          </w:tcPr>
          <w:p w14:paraId="53C9C202" w14:textId="77777777" w:rsidR="00AD1F54" w:rsidRPr="00264D5D" w:rsidRDefault="005D5F06">
            <w:pPr>
              <w:pStyle w:val="GOSTTablenorm"/>
            </w:pPr>
            <w:r w:rsidRPr="00264D5D">
              <w:t>Поле данных 001</w:t>
            </w:r>
          </w:p>
        </w:tc>
      </w:tr>
      <w:tr w:rsidR="00AD1F54" w:rsidRPr="00264D5D" w14:paraId="0FB04309" w14:textId="77777777" w:rsidTr="00AD1F54">
        <w:trPr>
          <w:cnfStyle w:val="000000100000" w:firstRow="0" w:lastRow="0" w:firstColumn="0" w:lastColumn="0" w:oddVBand="0" w:evenVBand="0" w:oddHBand="1" w:evenHBand="0" w:firstRowFirstColumn="0" w:firstRowLastColumn="0" w:lastRowFirstColumn="0" w:lastRowLastColumn="0"/>
          <w:trHeight w:val="20"/>
        </w:trPr>
        <w:tc>
          <w:tcPr>
            <w:tcW w:w="1701" w:type="dxa"/>
          </w:tcPr>
          <w:p w14:paraId="5CE33B59" w14:textId="77777777" w:rsidR="00AD1F54" w:rsidRPr="00264D5D" w:rsidRDefault="00941227">
            <w:pPr>
              <w:pStyle w:val="GOSTTablenorm"/>
            </w:pPr>
            <w:r w:rsidRPr="00264D5D">
              <w:t>…</w:t>
            </w:r>
          </w:p>
        </w:tc>
        <w:tc>
          <w:tcPr>
            <w:tcW w:w="1700" w:type="dxa"/>
          </w:tcPr>
          <w:p w14:paraId="1468B08F" w14:textId="77777777" w:rsidR="00AD1F54" w:rsidRPr="00264D5D" w:rsidRDefault="00941227">
            <w:pPr>
              <w:pStyle w:val="GOSTTablenorm"/>
            </w:pPr>
            <w:r w:rsidRPr="00264D5D">
              <w:t>…</w:t>
            </w:r>
          </w:p>
        </w:tc>
        <w:tc>
          <w:tcPr>
            <w:tcW w:w="567" w:type="dxa"/>
          </w:tcPr>
          <w:p w14:paraId="0F4A0EA8" w14:textId="77777777" w:rsidR="00AD1F54" w:rsidRPr="00264D5D" w:rsidRDefault="00941227">
            <w:pPr>
              <w:pStyle w:val="GOSTTablenorm"/>
              <w:jc w:val="center"/>
            </w:pPr>
            <w:r w:rsidRPr="00264D5D">
              <w:t>…</w:t>
            </w:r>
          </w:p>
        </w:tc>
        <w:tc>
          <w:tcPr>
            <w:tcW w:w="1134" w:type="dxa"/>
          </w:tcPr>
          <w:p w14:paraId="2720F90E" w14:textId="77777777" w:rsidR="00AD1F54" w:rsidRPr="00264D5D" w:rsidRDefault="00941227">
            <w:pPr>
              <w:pStyle w:val="GOSTTablenorm"/>
              <w:rPr>
                <w:lang w:val="en-US"/>
              </w:rPr>
            </w:pPr>
            <w:r w:rsidRPr="00264D5D">
              <w:t>…</w:t>
            </w:r>
          </w:p>
        </w:tc>
        <w:tc>
          <w:tcPr>
            <w:tcW w:w="567" w:type="dxa"/>
          </w:tcPr>
          <w:p w14:paraId="36FF6681" w14:textId="77777777" w:rsidR="00AD1F54" w:rsidRPr="00264D5D" w:rsidRDefault="00941227">
            <w:pPr>
              <w:pStyle w:val="GOSTTablenorm"/>
              <w:jc w:val="center"/>
            </w:pPr>
            <w:r w:rsidRPr="00264D5D">
              <w:t>…</w:t>
            </w:r>
          </w:p>
        </w:tc>
        <w:tc>
          <w:tcPr>
            <w:tcW w:w="3963" w:type="dxa"/>
          </w:tcPr>
          <w:p w14:paraId="7F0C2339" w14:textId="77777777" w:rsidR="00AD1F54" w:rsidRPr="00264D5D" w:rsidRDefault="00941227">
            <w:pPr>
              <w:pStyle w:val="GOSTTablenorm"/>
            </w:pPr>
            <w:r w:rsidRPr="00264D5D">
              <w:t>…</w:t>
            </w:r>
          </w:p>
        </w:tc>
      </w:tr>
      <w:tr w:rsidR="00AD1F54" w:rsidRPr="00264D5D" w14:paraId="39DF1DB1" w14:textId="77777777" w:rsidTr="00AD1F54">
        <w:trPr>
          <w:cnfStyle w:val="000000010000" w:firstRow="0" w:lastRow="0" w:firstColumn="0" w:lastColumn="0" w:oddVBand="0" w:evenVBand="0" w:oddHBand="0" w:evenHBand="1" w:firstRowFirstColumn="0" w:firstRowLastColumn="0" w:lastRowFirstColumn="0" w:lastRowLastColumn="0"/>
          <w:trHeight w:val="20"/>
        </w:trPr>
        <w:tc>
          <w:tcPr>
            <w:tcW w:w="1701" w:type="dxa"/>
          </w:tcPr>
          <w:p w14:paraId="78087786" w14:textId="77777777" w:rsidR="00AD1F54" w:rsidRPr="00264D5D" w:rsidRDefault="00941227">
            <w:pPr>
              <w:pStyle w:val="GOSTTablenorm"/>
            </w:pPr>
            <w:r w:rsidRPr="00264D5D">
              <w:t>Поле данных 100</w:t>
            </w:r>
          </w:p>
        </w:tc>
        <w:tc>
          <w:tcPr>
            <w:tcW w:w="1700" w:type="dxa"/>
          </w:tcPr>
          <w:p w14:paraId="77DE45EA" w14:textId="77777777" w:rsidR="00AD1F54" w:rsidRPr="00264D5D" w:rsidRDefault="00941227">
            <w:pPr>
              <w:pStyle w:val="GOSTTablenorm"/>
            </w:pPr>
            <w:r w:rsidRPr="00264D5D">
              <w:t>Data_Date100</w:t>
            </w:r>
          </w:p>
        </w:tc>
        <w:tc>
          <w:tcPr>
            <w:tcW w:w="567" w:type="dxa"/>
          </w:tcPr>
          <w:p w14:paraId="252D1420" w14:textId="77777777" w:rsidR="00AD1F54" w:rsidRPr="00264D5D" w:rsidRDefault="00941227">
            <w:pPr>
              <w:pStyle w:val="GOSTTablenorm"/>
              <w:jc w:val="center"/>
            </w:pPr>
            <w:r w:rsidRPr="00264D5D">
              <w:t>П</w:t>
            </w:r>
          </w:p>
        </w:tc>
        <w:tc>
          <w:tcPr>
            <w:tcW w:w="1134" w:type="dxa"/>
          </w:tcPr>
          <w:p w14:paraId="4D69DBAD" w14:textId="77777777" w:rsidR="00AD1F54" w:rsidRPr="00264D5D" w:rsidRDefault="00941227">
            <w:pPr>
              <w:pStyle w:val="GOSTTablenorm"/>
              <w:rPr>
                <w:lang w:val="en-US"/>
              </w:rPr>
            </w:pPr>
            <w:r w:rsidRPr="00264D5D">
              <w:rPr>
                <w:lang w:val="en-US"/>
              </w:rPr>
              <w:t>T</w:t>
            </w:r>
            <w:r w:rsidRPr="00264D5D">
              <w:t>(</w:t>
            </w:r>
            <w:r w:rsidRPr="00264D5D">
              <w:rPr>
                <w:lang w:val="en-US"/>
              </w:rPr>
              <w:t>1-</w:t>
            </w:r>
            <w:r w:rsidRPr="00264D5D">
              <w:t>2000)</w:t>
            </w:r>
          </w:p>
        </w:tc>
        <w:tc>
          <w:tcPr>
            <w:tcW w:w="567" w:type="dxa"/>
          </w:tcPr>
          <w:p w14:paraId="711D63B2" w14:textId="77777777" w:rsidR="00AD1F54" w:rsidRPr="00264D5D" w:rsidRDefault="00941227">
            <w:pPr>
              <w:pStyle w:val="GOSTTablenorm"/>
              <w:jc w:val="center"/>
            </w:pPr>
            <w:r w:rsidRPr="00264D5D">
              <w:t>O</w:t>
            </w:r>
          </w:p>
        </w:tc>
        <w:tc>
          <w:tcPr>
            <w:tcW w:w="3963" w:type="dxa"/>
          </w:tcPr>
          <w:p w14:paraId="0F869A6E" w14:textId="77777777" w:rsidR="00AD1F54" w:rsidRPr="00264D5D" w:rsidRDefault="005D5F06">
            <w:pPr>
              <w:pStyle w:val="GOSTTablenorm"/>
            </w:pPr>
            <w:r w:rsidRPr="00264D5D">
              <w:t>Поле данных 100</w:t>
            </w:r>
          </w:p>
        </w:tc>
      </w:tr>
      <w:tr w:rsidR="00AD1F54" w:rsidRPr="00264D5D" w14:paraId="61C61F54" w14:textId="77777777" w:rsidTr="00AD1F54">
        <w:trPr>
          <w:cnfStyle w:val="000000100000" w:firstRow="0" w:lastRow="0" w:firstColumn="0" w:lastColumn="0" w:oddVBand="0" w:evenVBand="0" w:oddHBand="1" w:evenHBand="0" w:firstRowFirstColumn="0" w:firstRowLastColumn="0" w:lastRowFirstColumn="0" w:lastRowLastColumn="0"/>
          <w:trHeight w:val="20"/>
        </w:trPr>
        <w:tc>
          <w:tcPr>
            <w:tcW w:w="1701" w:type="dxa"/>
          </w:tcPr>
          <w:p w14:paraId="3F82DDD3" w14:textId="77777777" w:rsidR="00AD1F54" w:rsidRPr="00264D5D" w:rsidRDefault="00941227">
            <w:pPr>
              <w:pStyle w:val="GOSTTablenorm"/>
            </w:pPr>
            <w:r w:rsidRPr="00264D5D">
              <w:t>Сегмент 1</w:t>
            </w:r>
          </w:p>
        </w:tc>
        <w:tc>
          <w:tcPr>
            <w:tcW w:w="1700" w:type="dxa"/>
          </w:tcPr>
          <w:p w14:paraId="1A84CF48" w14:textId="77777777" w:rsidR="00AD1F54" w:rsidRPr="00264D5D" w:rsidRDefault="00941227">
            <w:pPr>
              <w:pStyle w:val="GOSTTablenorm"/>
            </w:pPr>
            <w:r w:rsidRPr="00264D5D">
              <w:t>Segment1</w:t>
            </w:r>
          </w:p>
        </w:tc>
        <w:tc>
          <w:tcPr>
            <w:tcW w:w="567" w:type="dxa"/>
          </w:tcPr>
          <w:p w14:paraId="7410B8A5" w14:textId="77777777" w:rsidR="00AD1F54" w:rsidRPr="00264D5D" w:rsidRDefault="00941227">
            <w:pPr>
              <w:pStyle w:val="GOSTTablenorm"/>
              <w:jc w:val="center"/>
            </w:pPr>
            <w:r w:rsidRPr="00264D5D">
              <w:t>П</w:t>
            </w:r>
          </w:p>
        </w:tc>
        <w:tc>
          <w:tcPr>
            <w:tcW w:w="1134" w:type="dxa"/>
          </w:tcPr>
          <w:p w14:paraId="40889AB0" w14:textId="77777777" w:rsidR="00AD1F54" w:rsidRPr="00264D5D" w:rsidRDefault="00941227">
            <w:pPr>
              <w:pStyle w:val="GOSTTablenorm"/>
              <w:rPr>
                <w:lang w:val="en-US"/>
              </w:rPr>
            </w:pPr>
            <w:r w:rsidRPr="00264D5D">
              <w:rPr>
                <w:lang w:val="en-US"/>
              </w:rPr>
              <w:t>T</w:t>
            </w:r>
            <w:r w:rsidRPr="00264D5D">
              <w:t>(</w:t>
            </w:r>
            <w:r w:rsidRPr="00264D5D">
              <w:rPr>
                <w:lang w:val="en-US"/>
              </w:rPr>
              <w:t>1-</w:t>
            </w:r>
            <w:r w:rsidRPr="00264D5D">
              <w:t>240)</w:t>
            </w:r>
          </w:p>
        </w:tc>
        <w:tc>
          <w:tcPr>
            <w:tcW w:w="567" w:type="dxa"/>
          </w:tcPr>
          <w:p w14:paraId="53A31872" w14:textId="77777777" w:rsidR="00AD1F54" w:rsidRPr="00264D5D" w:rsidRDefault="00941227">
            <w:pPr>
              <w:pStyle w:val="GOSTTablenorm"/>
              <w:jc w:val="center"/>
            </w:pPr>
            <w:r w:rsidRPr="00264D5D">
              <w:t>O</w:t>
            </w:r>
          </w:p>
        </w:tc>
        <w:tc>
          <w:tcPr>
            <w:tcW w:w="3963" w:type="dxa"/>
          </w:tcPr>
          <w:p w14:paraId="32EDA455" w14:textId="77777777" w:rsidR="00AD1F54" w:rsidRPr="00264D5D" w:rsidRDefault="005D5F06">
            <w:pPr>
              <w:pStyle w:val="GOSTTablenorm"/>
            </w:pPr>
            <w:r w:rsidRPr="00264D5D">
              <w:t>Сегмент 1</w:t>
            </w:r>
          </w:p>
        </w:tc>
      </w:tr>
      <w:tr w:rsidR="00AD1F54" w:rsidRPr="00264D5D" w14:paraId="37583414" w14:textId="77777777" w:rsidTr="00AD1F54">
        <w:trPr>
          <w:cnfStyle w:val="000000010000" w:firstRow="0" w:lastRow="0" w:firstColumn="0" w:lastColumn="0" w:oddVBand="0" w:evenVBand="0" w:oddHBand="0" w:evenHBand="1" w:firstRowFirstColumn="0" w:firstRowLastColumn="0" w:lastRowFirstColumn="0" w:lastRowLastColumn="0"/>
          <w:trHeight w:val="20"/>
        </w:trPr>
        <w:tc>
          <w:tcPr>
            <w:tcW w:w="1701" w:type="dxa"/>
          </w:tcPr>
          <w:p w14:paraId="08ACBA2D" w14:textId="77777777" w:rsidR="00AD1F54" w:rsidRPr="00264D5D" w:rsidRDefault="00941227">
            <w:pPr>
              <w:pStyle w:val="GOSTTablenorm"/>
            </w:pPr>
            <w:r w:rsidRPr="00264D5D">
              <w:t>Сегмент 2</w:t>
            </w:r>
          </w:p>
        </w:tc>
        <w:tc>
          <w:tcPr>
            <w:tcW w:w="1700" w:type="dxa"/>
          </w:tcPr>
          <w:p w14:paraId="656F0FF6" w14:textId="77777777" w:rsidR="00AD1F54" w:rsidRPr="00264D5D" w:rsidRDefault="00941227">
            <w:pPr>
              <w:pStyle w:val="GOSTTablenorm"/>
            </w:pPr>
            <w:r w:rsidRPr="00264D5D">
              <w:t>Segment2</w:t>
            </w:r>
          </w:p>
        </w:tc>
        <w:tc>
          <w:tcPr>
            <w:tcW w:w="567" w:type="dxa"/>
          </w:tcPr>
          <w:p w14:paraId="70C4325F" w14:textId="77777777" w:rsidR="00AD1F54" w:rsidRPr="00264D5D" w:rsidRDefault="00941227">
            <w:pPr>
              <w:pStyle w:val="GOSTTablenorm"/>
              <w:jc w:val="center"/>
            </w:pPr>
            <w:r w:rsidRPr="00264D5D">
              <w:t>П</w:t>
            </w:r>
          </w:p>
        </w:tc>
        <w:tc>
          <w:tcPr>
            <w:tcW w:w="1134" w:type="dxa"/>
          </w:tcPr>
          <w:p w14:paraId="31CD56D5" w14:textId="77777777" w:rsidR="00AD1F54" w:rsidRPr="00264D5D" w:rsidRDefault="00941227">
            <w:pPr>
              <w:pStyle w:val="GOSTTablenorm"/>
              <w:rPr>
                <w:lang w:val="en-US"/>
              </w:rPr>
            </w:pPr>
            <w:r w:rsidRPr="00264D5D">
              <w:rPr>
                <w:lang w:val="en-US"/>
              </w:rPr>
              <w:t>T</w:t>
            </w:r>
            <w:r w:rsidRPr="00264D5D">
              <w:t>(</w:t>
            </w:r>
            <w:r w:rsidRPr="00264D5D">
              <w:rPr>
                <w:lang w:val="en-US"/>
              </w:rPr>
              <w:t>1-</w:t>
            </w:r>
            <w:r w:rsidRPr="00264D5D">
              <w:t>240)</w:t>
            </w:r>
          </w:p>
        </w:tc>
        <w:tc>
          <w:tcPr>
            <w:tcW w:w="567" w:type="dxa"/>
          </w:tcPr>
          <w:p w14:paraId="2D88E7A5" w14:textId="77777777" w:rsidR="00AD1F54" w:rsidRPr="00264D5D" w:rsidRDefault="00941227">
            <w:pPr>
              <w:pStyle w:val="GOSTTablenorm"/>
              <w:jc w:val="center"/>
            </w:pPr>
            <w:r w:rsidRPr="00264D5D">
              <w:t>O</w:t>
            </w:r>
          </w:p>
        </w:tc>
        <w:tc>
          <w:tcPr>
            <w:tcW w:w="3963" w:type="dxa"/>
          </w:tcPr>
          <w:p w14:paraId="782B7C9B" w14:textId="77777777" w:rsidR="00AD1F54" w:rsidRPr="00264D5D" w:rsidRDefault="00941227">
            <w:pPr>
              <w:pStyle w:val="GOSTTablenorm"/>
            </w:pPr>
            <w:r w:rsidRPr="00264D5D">
              <w:t>Се</w:t>
            </w:r>
            <w:r w:rsidR="005D5F06" w:rsidRPr="00264D5D">
              <w:t>гмент 2</w:t>
            </w:r>
          </w:p>
        </w:tc>
      </w:tr>
      <w:tr w:rsidR="00AD1F54" w:rsidRPr="00264D5D" w14:paraId="3874F839" w14:textId="77777777" w:rsidTr="00AD1F54">
        <w:trPr>
          <w:cnfStyle w:val="000000100000" w:firstRow="0" w:lastRow="0" w:firstColumn="0" w:lastColumn="0" w:oddVBand="0" w:evenVBand="0" w:oddHBand="1" w:evenHBand="0" w:firstRowFirstColumn="0" w:firstRowLastColumn="0" w:lastRowFirstColumn="0" w:lastRowLastColumn="0"/>
          <w:trHeight w:val="20"/>
        </w:trPr>
        <w:tc>
          <w:tcPr>
            <w:tcW w:w="1701" w:type="dxa"/>
          </w:tcPr>
          <w:p w14:paraId="4DD2C126" w14:textId="77777777" w:rsidR="00AD1F54" w:rsidRPr="00264D5D" w:rsidRDefault="00941227">
            <w:pPr>
              <w:pStyle w:val="GOSTTablenorm"/>
            </w:pPr>
            <w:r w:rsidRPr="00264D5D">
              <w:t>Сегмент 3</w:t>
            </w:r>
          </w:p>
        </w:tc>
        <w:tc>
          <w:tcPr>
            <w:tcW w:w="1700" w:type="dxa"/>
          </w:tcPr>
          <w:p w14:paraId="2948BF80" w14:textId="77777777" w:rsidR="00AD1F54" w:rsidRPr="00264D5D" w:rsidRDefault="00941227">
            <w:pPr>
              <w:pStyle w:val="GOSTTablenorm"/>
            </w:pPr>
            <w:r w:rsidRPr="00264D5D">
              <w:t>Segment3</w:t>
            </w:r>
          </w:p>
        </w:tc>
        <w:tc>
          <w:tcPr>
            <w:tcW w:w="567" w:type="dxa"/>
          </w:tcPr>
          <w:p w14:paraId="66E74C2B" w14:textId="77777777" w:rsidR="00AD1F54" w:rsidRPr="00264D5D" w:rsidRDefault="00941227">
            <w:pPr>
              <w:pStyle w:val="GOSTTablenorm"/>
              <w:jc w:val="center"/>
            </w:pPr>
            <w:r w:rsidRPr="00264D5D">
              <w:t>П</w:t>
            </w:r>
          </w:p>
        </w:tc>
        <w:tc>
          <w:tcPr>
            <w:tcW w:w="1134" w:type="dxa"/>
          </w:tcPr>
          <w:p w14:paraId="5261F013" w14:textId="77777777" w:rsidR="00AD1F54" w:rsidRPr="00264D5D" w:rsidRDefault="00941227">
            <w:pPr>
              <w:pStyle w:val="GOSTTablenorm"/>
              <w:rPr>
                <w:lang w:val="en-US"/>
              </w:rPr>
            </w:pPr>
            <w:r w:rsidRPr="00264D5D">
              <w:rPr>
                <w:lang w:val="en-US"/>
              </w:rPr>
              <w:t>T</w:t>
            </w:r>
            <w:r w:rsidRPr="00264D5D">
              <w:t>(</w:t>
            </w:r>
            <w:r w:rsidRPr="00264D5D">
              <w:rPr>
                <w:lang w:val="en-US"/>
              </w:rPr>
              <w:t>1-</w:t>
            </w:r>
            <w:r w:rsidRPr="00264D5D">
              <w:t>240)</w:t>
            </w:r>
          </w:p>
        </w:tc>
        <w:tc>
          <w:tcPr>
            <w:tcW w:w="567" w:type="dxa"/>
          </w:tcPr>
          <w:p w14:paraId="1243FCAB" w14:textId="77777777" w:rsidR="00AD1F54" w:rsidRPr="00264D5D" w:rsidRDefault="00941227">
            <w:pPr>
              <w:pStyle w:val="GOSTTablenorm"/>
              <w:jc w:val="center"/>
            </w:pPr>
            <w:r w:rsidRPr="00264D5D">
              <w:t>O</w:t>
            </w:r>
          </w:p>
        </w:tc>
        <w:tc>
          <w:tcPr>
            <w:tcW w:w="3963" w:type="dxa"/>
          </w:tcPr>
          <w:p w14:paraId="5540F7F3" w14:textId="77777777" w:rsidR="00AD1F54" w:rsidRPr="00264D5D" w:rsidRDefault="005D5F06">
            <w:pPr>
              <w:spacing w:before="60" w:after="60"/>
              <w:rPr>
                <w:sz w:val="22"/>
                <w:szCs w:val="22"/>
                <w:lang w:eastAsia="en-US"/>
              </w:rPr>
            </w:pPr>
            <w:r w:rsidRPr="00264D5D">
              <w:rPr>
                <w:sz w:val="22"/>
                <w:szCs w:val="22"/>
                <w:lang w:eastAsia="en-US"/>
              </w:rPr>
              <w:t>Сегмент 3</w:t>
            </w:r>
          </w:p>
        </w:tc>
      </w:tr>
      <w:tr w:rsidR="00AD1F54" w:rsidRPr="00264D5D" w14:paraId="00420F77" w14:textId="77777777" w:rsidTr="00AD1F54">
        <w:trPr>
          <w:cnfStyle w:val="000000010000" w:firstRow="0" w:lastRow="0" w:firstColumn="0" w:lastColumn="0" w:oddVBand="0" w:evenVBand="0" w:oddHBand="0" w:evenHBand="1" w:firstRowFirstColumn="0" w:firstRowLastColumn="0" w:lastRowFirstColumn="0" w:lastRowLastColumn="0"/>
          <w:trHeight w:val="20"/>
        </w:trPr>
        <w:tc>
          <w:tcPr>
            <w:tcW w:w="1701" w:type="dxa"/>
          </w:tcPr>
          <w:p w14:paraId="7A637F77" w14:textId="77777777" w:rsidR="00AD1F54" w:rsidRPr="00264D5D" w:rsidRDefault="00941227">
            <w:pPr>
              <w:pStyle w:val="GOSTTablenorm"/>
            </w:pPr>
            <w:r w:rsidRPr="00264D5D">
              <w:t>…</w:t>
            </w:r>
          </w:p>
        </w:tc>
        <w:tc>
          <w:tcPr>
            <w:tcW w:w="1700" w:type="dxa"/>
          </w:tcPr>
          <w:p w14:paraId="561DF37D" w14:textId="77777777" w:rsidR="00AD1F54" w:rsidRPr="00264D5D" w:rsidRDefault="00941227">
            <w:pPr>
              <w:pStyle w:val="GOSTTablenorm"/>
            </w:pPr>
            <w:r w:rsidRPr="00264D5D">
              <w:t>…</w:t>
            </w:r>
          </w:p>
        </w:tc>
        <w:tc>
          <w:tcPr>
            <w:tcW w:w="567" w:type="dxa"/>
          </w:tcPr>
          <w:p w14:paraId="5612D49B" w14:textId="77777777" w:rsidR="00AD1F54" w:rsidRPr="00264D5D" w:rsidRDefault="00941227">
            <w:pPr>
              <w:pStyle w:val="GOSTTablenorm"/>
              <w:jc w:val="center"/>
            </w:pPr>
            <w:r w:rsidRPr="00264D5D">
              <w:t>…</w:t>
            </w:r>
          </w:p>
        </w:tc>
        <w:tc>
          <w:tcPr>
            <w:tcW w:w="1134" w:type="dxa"/>
          </w:tcPr>
          <w:p w14:paraId="2B73221D" w14:textId="77777777" w:rsidR="00AD1F54" w:rsidRPr="00264D5D" w:rsidRDefault="00941227">
            <w:pPr>
              <w:pStyle w:val="GOSTTablenorm"/>
              <w:rPr>
                <w:lang w:val="en-US"/>
              </w:rPr>
            </w:pPr>
            <w:r w:rsidRPr="00264D5D">
              <w:t>…</w:t>
            </w:r>
          </w:p>
        </w:tc>
        <w:tc>
          <w:tcPr>
            <w:tcW w:w="567" w:type="dxa"/>
          </w:tcPr>
          <w:p w14:paraId="7AF08A46" w14:textId="77777777" w:rsidR="00AD1F54" w:rsidRPr="00264D5D" w:rsidRDefault="00941227">
            <w:pPr>
              <w:pStyle w:val="GOSTTablenorm"/>
              <w:jc w:val="center"/>
            </w:pPr>
            <w:r w:rsidRPr="00264D5D">
              <w:t>…</w:t>
            </w:r>
          </w:p>
        </w:tc>
        <w:tc>
          <w:tcPr>
            <w:tcW w:w="3963" w:type="dxa"/>
          </w:tcPr>
          <w:p w14:paraId="78F5942A" w14:textId="77777777" w:rsidR="00AD1F54" w:rsidRPr="00264D5D" w:rsidRDefault="00941227">
            <w:pPr>
              <w:pStyle w:val="GOSTTablenorm"/>
            </w:pPr>
            <w:r w:rsidRPr="00264D5D">
              <w:t>…</w:t>
            </w:r>
          </w:p>
        </w:tc>
      </w:tr>
      <w:tr w:rsidR="00AD1F54" w:rsidRPr="00264D5D" w14:paraId="17A64CD2" w14:textId="77777777" w:rsidTr="00AD1F54">
        <w:trPr>
          <w:cnfStyle w:val="000000100000" w:firstRow="0" w:lastRow="0" w:firstColumn="0" w:lastColumn="0" w:oddVBand="0" w:evenVBand="0" w:oddHBand="1" w:evenHBand="0" w:firstRowFirstColumn="0" w:firstRowLastColumn="0" w:lastRowFirstColumn="0" w:lastRowLastColumn="0"/>
          <w:trHeight w:val="20"/>
        </w:trPr>
        <w:tc>
          <w:tcPr>
            <w:tcW w:w="1701" w:type="dxa"/>
          </w:tcPr>
          <w:p w14:paraId="0157F39E" w14:textId="77777777" w:rsidR="00AD1F54" w:rsidRPr="00264D5D" w:rsidRDefault="00941227">
            <w:pPr>
              <w:pStyle w:val="GOSTTablenorm"/>
            </w:pPr>
            <w:r w:rsidRPr="00264D5D">
              <w:t>Сегмент 20</w:t>
            </w:r>
          </w:p>
        </w:tc>
        <w:tc>
          <w:tcPr>
            <w:tcW w:w="1700" w:type="dxa"/>
          </w:tcPr>
          <w:p w14:paraId="2629AE65" w14:textId="77777777" w:rsidR="00AD1F54" w:rsidRPr="00264D5D" w:rsidRDefault="00941227">
            <w:pPr>
              <w:pStyle w:val="GOSTTablenorm"/>
            </w:pPr>
            <w:r w:rsidRPr="00264D5D">
              <w:t>Segment20</w:t>
            </w:r>
          </w:p>
        </w:tc>
        <w:tc>
          <w:tcPr>
            <w:tcW w:w="567" w:type="dxa"/>
          </w:tcPr>
          <w:p w14:paraId="2814312C" w14:textId="77777777" w:rsidR="00AD1F54" w:rsidRPr="00264D5D" w:rsidRDefault="00941227">
            <w:pPr>
              <w:pStyle w:val="GOSTTablenorm"/>
              <w:jc w:val="center"/>
            </w:pPr>
            <w:r w:rsidRPr="00264D5D">
              <w:t>П</w:t>
            </w:r>
          </w:p>
        </w:tc>
        <w:tc>
          <w:tcPr>
            <w:tcW w:w="1134" w:type="dxa"/>
          </w:tcPr>
          <w:p w14:paraId="29AF20EE" w14:textId="77777777" w:rsidR="00AD1F54" w:rsidRPr="00264D5D" w:rsidRDefault="00941227">
            <w:pPr>
              <w:pStyle w:val="GOSTTablenorm"/>
              <w:rPr>
                <w:lang w:val="en-US"/>
              </w:rPr>
            </w:pPr>
            <w:r w:rsidRPr="00264D5D">
              <w:rPr>
                <w:lang w:val="en-US"/>
              </w:rPr>
              <w:t>T</w:t>
            </w:r>
            <w:r w:rsidRPr="00264D5D">
              <w:t>(</w:t>
            </w:r>
            <w:r w:rsidRPr="00264D5D">
              <w:rPr>
                <w:lang w:val="en-US"/>
              </w:rPr>
              <w:t>1-</w:t>
            </w:r>
            <w:r w:rsidRPr="00264D5D">
              <w:t>240)</w:t>
            </w:r>
          </w:p>
        </w:tc>
        <w:tc>
          <w:tcPr>
            <w:tcW w:w="567" w:type="dxa"/>
          </w:tcPr>
          <w:p w14:paraId="3E8F09ED" w14:textId="77777777" w:rsidR="00AD1F54" w:rsidRPr="00264D5D" w:rsidRDefault="00941227">
            <w:pPr>
              <w:pStyle w:val="GOSTTablenorm"/>
              <w:jc w:val="center"/>
            </w:pPr>
            <w:r w:rsidRPr="00264D5D">
              <w:t>O</w:t>
            </w:r>
          </w:p>
        </w:tc>
        <w:tc>
          <w:tcPr>
            <w:tcW w:w="3963" w:type="dxa"/>
          </w:tcPr>
          <w:p w14:paraId="107C9D2C" w14:textId="77777777" w:rsidR="00AD1F54" w:rsidRPr="00264D5D" w:rsidRDefault="005D5F06">
            <w:pPr>
              <w:spacing w:before="60" w:after="60"/>
              <w:rPr>
                <w:sz w:val="22"/>
                <w:szCs w:val="22"/>
                <w:lang w:eastAsia="en-US"/>
              </w:rPr>
            </w:pPr>
            <w:r w:rsidRPr="00264D5D">
              <w:rPr>
                <w:sz w:val="22"/>
                <w:szCs w:val="22"/>
                <w:lang w:eastAsia="en-US"/>
              </w:rPr>
              <w:t>Сегмент 20</w:t>
            </w:r>
          </w:p>
        </w:tc>
      </w:tr>
      <w:tr w:rsidR="00AD1F54" w:rsidRPr="00264D5D" w14:paraId="57669F01" w14:textId="77777777" w:rsidTr="00AD1F54">
        <w:trPr>
          <w:cnfStyle w:val="000000010000" w:firstRow="0" w:lastRow="0" w:firstColumn="0" w:lastColumn="0" w:oddVBand="0" w:evenVBand="0" w:oddHBand="0" w:evenHBand="1" w:firstRowFirstColumn="0" w:firstRowLastColumn="0" w:lastRowFirstColumn="0" w:lastRowLastColumn="0"/>
          <w:trHeight w:val="20"/>
        </w:trPr>
        <w:tc>
          <w:tcPr>
            <w:tcW w:w="1701" w:type="dxa"/>
          </w:tcPr>
          <w:p w14:paraId="61DDD1BB" w14:textId="77777777" w:rsidR="00AD1F54" w:rsidRPr="00264D5D" w:rsidRDefault="00941227">
            <w:pPr>
              <w:pStyle w:val="GOSTTablenorm"/>
            </w:pPr>
            <w:r w:rsidRPr="00264D5D">
              <w:t>Сегмент 1</w:t>
            </w:r>
          </w:p>
        </w:tc>
        <w:tc>
          <w:tcPr>
            <w:tcW w:w="1700" w:type="dxa"/>
          </w:tcPr>
          <w:p w14:paraId="15C3CAAD" w14:textId="77777777" w:rsidR="00AD1F54" w:rsidRPr="00264D5D" w:rsidRDefault="00941227">
            <w:pPr>
              <w:pStyle w:val="GOSTTablenorm"/>
            </w:pPr>
            <w:r w:rsidRPr="00264D5D">
              <w:t>Segment_Num1</w:t>
            </w:r>
          </w:p>
        </w:tc>
        <w:tc>
          <w:tcPr>
            <w:tcW w:w="567" w:type="dxa"/>
          </w:tcPr>
          <w:p w14:paraId="13431D3A" w14:textId="77777777" w:rsidR="00AD1F54" w:rsidRPr="00264D5D" w:rsidRDefault="00941227">
            <w:pPr>
              <w:pStyle w:val="GOSTTablenorm"/>
              <w:jc w:val="center"/>
            </w:pPr>
            <w:r w:rsidRPr="00264D5D">
              <w:t>П</w:t>
            </w:r>
          </w:p>
        </w:tc>
        <w:tc>
          <w:tcPr>
            <w:tcW w:w="1134" w:type="dxa"/>
          </w:tcPr>
          <w:p w14:paraId="10C4ED66" w14:textId="77777777" w:rsidR="00AD1F54" w:rsidRPr="00264D5D" w:rsidRDefault="00941227">
            <w:pPr>
              <w:pStyle w:val="GOSTTablenorm"/>
              <w:rPr>
                <w:lang w:val="en-US"/>
              </w:rPr>
            </w:pPr>
            <w:r w:rsidRPr="00264D5D">
              <w:rPr>
                <w:lang w:val="en-US"/>
              </w:rPr>
              <w:t>T</w:t>
            </w:r>
            <w:r w:rsidRPr="00264D5D">
              <w:t>(</w:t>
            </w:r>
            <w:r w:rsidRPr="00264D5D">
              <w:rPr>
                <w:lang w:val="en-US"/>
              </w:rPr>
              <w:t>1-</w:t>
            </w:r>
            <w:r w:rsidRPr="00264D5D">
              <w:t>240)</w:t>
            </w:r>
          </w:p>
        </w:tc>
        <w:tc>
          <w:tcPr>
            <w:tcW w:w="567" w:type="dxa"/>
          </w:tcPr>
          <w:p w14:paraId="6DD425CA" w14:textId="77777777" w:rsidR="00AD1F54" w:rsidRPr="00264D5D" w:rsidRDefault="00941227">
            <w:pPr>
              <w:pStyle w:val="GOSTTablenorm"/>
              <w:jc w:val="center"/>
            </w:pPr>
            <w:r w:rsidRPr="00264D5D">
              <w:t>O</w:t>
            </w:r>
          </w:p>
        </w:tc>
        <w:tc>
          <w:tcPr>
            <w:tcW w:w="3963" w:type="dxa"/>
          </w:tcPr>
          <w:p w14:paraId="7EBA9803" w14:textId="77777777" w:rsidR="00AD1F54" w:rsidRPr="00264D5D" w:rsidRDefault="005D5F06">
            <w:pPr>
              <w:pStyle w:val="GOSTTablenorm"/>
            </w:pPr>
            <w:r w:rsidRPr="00264D5D">
              <w:t>Сегмент 1</w:t>
            </w:r>
          </w:p>
        </w:tc>
      </w:tr>
      <w:tr w:rsidR="00AD1F54" w:rsidRPr="00264D5D" w14:paraId="41C25853" w14:textId="77777777" w:rsidTr="00AD1F54">
        <w:trPr>
          <w:cnfStyle w:val="000000100000" w:firstRow="0" w:lastRow="0" w:firstColumn="0" w:lastColumn="0" w:oddVBand="0" w:evenVBand="0" w:oddHBand="1" w:evenHBand="0" w:firstRowFirstColumn="0" w:firstRowLastColumn="0" w:lastRowFirstColumn="0" w:lastRowLastColumn="0"/>
          <w:trHeight w:val="20"/>
        </w:trPr>
        <w:tc>
          <w:tcPr>
            <w:tcW w:w="1701" w:type="dxa"/>
          </w:tcPr>
          <w:p w14:paraId="16EEC335" w14:textId="77777777" w:rsidR="00AD1F54" w:rsidRPr="00264D5D" w:rsidRDefault="00941227">
            <w:pPr>
              <w:pStyle w:val="GOSTTablenorm"/>
            </w:pPr>
            <w:r w:rsidRPr="00264D5D">
              <w:t>…</w:t>
            </w:r>
          </w:p>
        </w:tc>
        <w:tc>
          <w:tcPr>
            <w:tcW w:w="1700" w:type="dxa"/>
          </w:tcPr>
          <w:p w14:paraId="60C37390" w14:textId="77777777" w:rsidR="00AD1F54" w:rsidRPr="00264D5D" w:rsidRDefault="00941227">
            <w:pPr>
              <w:pStyle w:val="GOSTTablenorm"/>
            </w:pPr>
            <w:r w:rsidRPr="00264D5D">
              <w:t>…</w:t>
            </w:r>
          </w:p>
        </w:tc>
        <w:tc>
          <w:tcPr>
            <w:tcW w:w="567" w:type="dxa"/>
          </w:tcPr>
          <w:p w14:paraId="453534B4" w14:textId="77777777" w:rsidR="00AD1F54" w:rsidRPr="00264D5D" w:rsidRDefault="00941227">
            <w:pPr>
              <w:pStyle w:val="GOSTTablenorm"/>
              <w:jc w:val="center"/>
            </w:pPr>
            <w:r w:rsidRPr="00264D5D">
              <w:t>…</w:t>
            </w:r>
          </w:p>
        </w:tc>
        <w:tc>
          <w:tcPr>
            <w:tcW w:w="1134" w:type="dxa"/>
          </w:tcPr>
          <w:p w14:paraId="2533AB9E" w14:textId="77777777" w:rsidR="00AD1F54" w:rsidRPr="00264D5D" w:rsidRDefault="00941227">
            <w:pPr>
              <w:pStyle w:val="GOSTTablenorm"/>
              <w:rPr>
                <w:lang w:val="en-US"/>
              </w:rPr>
            </w:pPr>
            <w:r w:rsidRPr="00264D5D">
              <w:t>…</w:t>
            </w:r>
          </w:p>
        </w:tc>
        <w:tc>
          <w:tcPr>
            <w:tcW w:w="567" w:type="dxa"/>
          </w:tcPr>
          <w:p w14:paraId="4A4B9827" w14:textId="77777777" w:rsidR="00AD1F54" w:rsidRPr="00264D5D" w:rsidRDefault="00941227">
            <w:pPr>
              <w:pStyle w:val="GOSTTablenorm"/>
              <w:jc w:val="center"/>
            </w:pPr>
            <w:r w:rsidRPr="00264D5D">
              <w:t>…</w:t>
            </w:r>
          </w:p>
        </w:tc>
        <w:tc>
          <w:tcPr>
            <w:tcW w:w="3963" w:type="dxa"/>
          </w:tcPr>
          <w:p w14:paraId="5118DC25" w14:textId="77777777" w:rsidR="00AD1F54" w:rsidRPr="00264D5D" w:rsidRDefault="00941227">
            <w:pPr>
              <w:pStyle w:val="GOSTTablenorm"/>
            </w:pPr>
            <w:r w:rsidRPr="00264D5D">
              <w:t>…</w:t>
            </w:r>
          </w:p>
        </w:tc>
      </w:tr>
      <w:tr w:rsidR="00AD1F54" w:rsidRPr="00264D5D" w14:paraId="7BC587A7" w14:textId="77777777" w:rsidTr="00AD1F54">
        <w:trPr>
          <w:cnfStyle w:val="000000010000" w:firstRow="0" w:lastRow="0" w:firstColumn="0" w:lastColumn="0" w:oddVBand="0" w:evenVBand="0" w:oddHBand="0" w:evenHBand="1" w:firstRowFirstColumn="0" w:firstRowLastColumn="0" w:lastRowFirstColumn="0" w:lastRowLastColumn="0"/>
          <w:trHeight w:val="20"/>
        </w:trPr>
        <w:tc>
          <w:tcPr>
            <w:tcW w:w="1701" w:type="dxa"/>
          </w:tcPr>
          <w:p w14:paraId="57C33CAC" w14:textId="77777777" w:rsidR="00AD1F54" w:rsidRPr="00264D5D" w:rsidRDefault="00941227">
            <w:pPr>
              <w:pStyle w:val="GOSTTablenorm"/>
            </w:pPr>
            <w:r w:rsidRPr="00264D5D">
              <w:t>Сегмент 20</w:t>
            </w:r>
          </w:p>
        </w:tc>
        <w:tc>
          <w:tcPr>
            <w:tcW w:w="1700" w:type="dxa"/>
          </w:tcPr>
          <w:p w14:paraId="77FB6820" w14:textId="77777777" w:rsidR="00AD1F54" w:rsidRPr="00264D5D" w:rsidRDefault="00941227">
            <w:pPr>
              <w:pStyle w:val="GOSTTablenorm"/>
            </w:pPr>
            <w:r w:rsidRPr="00264D5D">
              <w:t>Segment_Num20</w:t>
            </w:r>
          </w:p>
        </w:tc>
        <w:tc>
          <w:tcPr>
            <w:tcW w:w="567" w:type="dxa"/>
          </w:tcPr>
          <w:p w14:paraId="02D68512" w14:textId="77777777" w:rsidR="00AD1F54" w:rsidRPr="00264D5D" w:rsidRDefault="00941227">
            <w:pPr>
              <w:pStyle w:val="GOSTTablenorm"/>
              <w:jc w:val="center"/>
            </w:pPr>
            <w:r w:rsidRPr="00264D5D">
              <w:t>П</w:t>
            </w:r>
          </w:p>
        </w:tc>
        <w:tc>
          <w:tcPr>
            <w:tcW w:w="1134" w:type="dxa"/>
          </w:tcPr>
          <w:p w14:paraId="7ABBB750" w14:textId="77777777" w:rsidR="00AD1F54" w:rsidRPr="00264D5D" w:rsidRDefault="00941227">
            <w:pPr>
              <w:pStyle w:val="GOSTTablenorm"/>
              <w:rPr>
                <w:lang w:val="en-US"/>
              </w:rPr>
            </w:pPr>
            <w:r w:rsidRPr="00264D5D">
              <w:rPr>
                <w:lang w:val="en-US"/>
              </w:rPr>
              <w:t>T</w:t>
            </w:r>
            <w:r w:rsidRPr="00264D5D">
              <w:t>(</w:t>
            </w:r>
            <w:r w:rsidRPr="00264D5D">
              <w:rPr>
                <w:lang w:val="en-US"/>
              </w:rPr>
              <w:t>1-</w:t>
            </w:r>
            <w:r w:rsidRPr="00264D5D">
              <w:t>240)</w:t>
            </w:r>
          </w:p>
        </w:tc>
        <w:tc>
          <w:tcPr>
            <w:tcW w:w="567" w:type="dxa"/>
          </w:tcPr>
          <w:p w14:paraId="0E74659D" w14:textId="77777777" w:rsidR="00AD1F54" w:rsidRPr="00264D5D" w:rsidRDefault="00941227">
            <w:pPr>
              <w:pStyle w:val="GOSTTablenorm"/>
              <w:jc w:val="center"/>
            </w:pPr>
            <w:r w:rsidRPr="00264D5D">
              <w:t>O</w:t>
            </w:r>
          </w:p>
        </w:tc>
        <w:tc>
          <w:tcPr>
            <w:tcW w:w="3963" w:type="dxa"/>
          </w:tcPr>
          <w:p w14:paraId="226AF1A8" w14:textId="77777777" w:rsidR="00AD1F54" w:rsidRPr="00264D5D" w:rsidRDefault="005D5F06">
            <w:pPr>
              <w:pStyle w:val="GOSTTablenorm"/>
            </w:pPr>
            <w:r w:rsidRPr="00264D5D">
              <w:t>Сегмент 20</w:t>
            </w:r>
          </w:p>
        </w:tc>
      </w:tr>
      <w:tr w:rsidR="00AD1F54" w:rsidRPr="00264D5D" w14:paraId="1DB24824" w14:textId="77777777" w:rsidTr="00AD1F54">
        <w:trPr>
          <w:cnfStyle w:val="000000100000" w:firstRow="0" w:lastRow="0" w:firstColumn="0" w:lastColumn="0" w:oddVBand="0" w:evenVBand="0" w:oddHBand="1" w:evenHBand="0" w:firstRowFirstColumn="0" w:firstRowLastColumn="0" w:lastRowFirstColumn="0" w:lastRowLastColumn="0"/>
          <w:trHeight w:val="20"/>
        </w:trPr>
        <w:tc>
          <w:tcPr>
            <w:tcW w:w="1701" w:type="dxa"/>
          </w:tcPr>
          <w:p w14:paraId="63F218C3" w14:textId="77777777" w:rsidR="00AD1F54" w:rsidRPr="00264D5D" w:rsidRDefault="00941227">
            <w:pPr>
              <w:pStyle w:val="GOSTTablenorm"/>
            </w:pPr>
            <w:r w:rsidRPr="00264D5D">
              <w:t>Сегмент 1</w:t>
            </w:r>
          </w:p>
        </w:tc>
        <w:tc>
          <w:tcPr>
            <w:tcW w:w="1700" w:type="dxa"/>
          </w:tcPr>
          <w:p w14:paraId="59ACDDDC" w14:textId="77777777" w:rsidR="00AD1F54" w:rsidRPr="00264D5D" w:rsidRDefault="00941227">
            <w:pPr>
              <w:pStyle w:val="GOSTTablenorm"/>
            </w:pPr>
            <w:r w:rsidRPr="00264D5D">
              <w:t>Segment_Date1</w:t>
            </w:r>
          </w:p>
        </w:tc>
        <w:tc>
          <w:tcPr>
            <w:tcW w:w="567" w:type="dxa"/>
          </w:tcPr>
          <w:p w14:paraId="57C825C6" w14:textId="77777777" w:rsidR="00AD1F54" w:rsidRPr="00264D5D" w:rsidRDefault="00941227">
            <w:pPr>
              <w:pStyle w:val="GOSTTablenorm"/>
              <w:jc w:val="center"/>
            </w:pPr>
            <w:r w:rsidRPr="00264D5D">
              <w:t>П</w:t>
            </w:r>
          </w:p>
        </w:tc>
        <w:tc>
          <w:tcPr>
            <w:tcW w:w="1134" w:type="dxa"/>
          </w:tcPr>
          <w:p w14:paraId="345E0980" w14:textId="77777777" w:rsidR="00AD1F54" w:rsidRPr="00264D5D" w:rsidRDefault="00941227">
            <w:pPr>
              <w:pStyle w:val="GOSTTablenorm"/>
              <w:rPr>
                <w:lang w:val="en-US"/>
              </w:rPr>
            </w:pPr>
            <w:r w:rsidRPr="00264D5D">
              <w:rPr>
                <w:lang w:val="en-US"/>
              </w:rPr>
              <w:t>T</w:t>
            </w:r>
            <w:r w:rsidRPr="00264D5D">
              <w:t>(</w:t>
            </w:r>
            <w:r w:rsidRPr="00264D5D">
              <w:rPr>
                <w:lang w:val="en-US"/>
              </w:rPr>
              <w:t>1-</w:t>
            </w:r>
            <w:r w:rsidRPr="00264D5D">
              <w:t>240)</w:t>
            </w:r>
          </w:p>
        </w:tc>
        <w:tc>
          <w:tcPr>
            <w:tcW w:w="567" w:type="dxa"/>
          </w:tcPr>
          <w:p w14:paraId="169F54E9" w14:textId="77777777" w:rsidR="00AD1F54" w:rsidRPr="00264D5D" w:rsidRDefault="00941227">
            <w:pPr>
              <w:pStyle w:val="GOSTTablenorm"/>
              <w:jc w:val="center"/>
            </w:pPr>
            <w:r w:rsidRPr="00264D5D">
              <w:t>O</w:t>
            </w:r>
          </w:p>
        </w:tc>
        <w:tc>
          <w:tcPr>
            <w:tcW w:w="3963" w:type="dxa"/>
          </w:tcPr>
          <w:p w14:paraId="79892736" w14:textId="77777777" w:rsidR="00AD1F54" w:rsidRPr="00264D5D" w:rsidRDefault="005D5F06">
            <w:pPr>
              <w:pStyle w:val="GOSTTablenorm"/>
            </w:pPr>
            <w:r w:rsidRPr="00264D5D">
              <w:t>Сегмент 1</w:t>
            </w:r>
          </w:p>
        </w:tc>
      </w:tr>
      <w:tr w:rsidR="00AD1F54" w:rsidRPr="00264D5D" w14:paraId="1EB0EC7C" w14:textId="77777777" w:rsidTr="00AD1F54">
        <w:trPr>
          <w:cnfStyle w:val="000000010000" w:firstRow="0" w:lastRow="0" w:firstColumn="0" w:lastColumn="0" w:oddVBand="0" w:evenVBand="0" w:oddHBand="0" w:evenHBand="1" w:firstRowFirstColumn="0" w:firstRowLastColumn="0" w:lastRowFirstColumn="0" w:lastRowLastColumn="0"/>
          <w:trHeight w:val="20"/>
        </w:trPr>
        <w:tc>
          <w:tcPr>
            <w:tcW w:w="1701" w:type="dxa"/>
          </w:tcPr>
          <w:p w14:paraId="5B865AED" w14:textId="77777777" w:rsidR="00AD1F54" w:rsidRPr="00264D5D" w:rsidRDefault="00941227">
            <w:pPr>
              <w:pStyle w:val="GOSTTablenorm"/>
            </w:pPr>
            <w:r w:rsidRPr="00264D5D">
              <w:t>Сегмент 2</w:t>
            </w:r>
          </w:p>
        </w:tc>
        <w:tc>
          <w:tcPr>
            <w:tcW w:w="1700" w:type="dxa"/>
          </w:tcPr>
          <w:p w14:paraId="4C5B2BBC" w14:textId="77777777" w:rsidR="00AD1F54" w:rsidRPr="00264D5D" w:rsidRDefault="00941227">
            <w:pPr>
              <w:pStyle w:val="GOSTTablenorm"/>
            </w:pPr>
            <w:r w:rsidRPr="00264D5D">
              <w:t>Segment_Date2</w:t>
            </w:r>
          </w:p>
        </w:tc>
        <w:tc>
          <w:tcPr>
            <w:tcW w:w="567" w:type="dxa"/>
          </w:tcPr>
          <w:p w14:paraId="60A9ABE1" w14:textId="77777777" w:rsidR="00AD1F54" w:rsidRPr="00264D5D" w:rsidRDefault="00941227">
            <w:pPr>
              <w:pStyle w:val="GOSTTablenorm"/>
              <w:jc w:val="center"/>
            </w:pPr>
            <w:r w:rsidRPr="00264D5D">
              <w:t>П</w:t>
            </w:r>
          </w:p>
        </w:tc>
        <w:tc>
          <w:tcPr>
            <w:tcW w:w="1134" w:type="dxa"/>
          </w:tcPr>
          <w:p w14:paraId="6833B5BF" w14:textId="77777777" w:rsidR="00AD1F54" w:rsidRPr="00264D5D" w:rsidRDefault="00941227">
            <w:pPr>
              <w:pStyle w:val="GOSTTablenorm"/>
              <w:rPr>
                <w:lang w:val="en-US"/>
              </w:rPr>
            </w:pPr>
            <w:r w:rsidRPr="00264D5D">
              <w:rPr>
                <w:lang w:val="en-US"/>
              </w:rPr>
              <w:t>T</w:t>
            </w:r>
            <w:r w:rsidRPr="00264D5D">
              <w:t>(</w:t>
            </w:r>
            <w:r w:rsidRPr="00264D5D">
              <w:rPr>
                <w:lang w:val="en-US"/>
              </w:rPr>
              <w:t>1-</w:t>
            </w:r>
            <w:r w:rsidRPr="00264D5D">
              <w:t>240)</w:t>
            </w:r>
          </w:p>
        </w:tc>
        <w:tc>
          <w:tcPr>
            <w:tcW w:w="567" w:type="dxa"/>
          </w:tcPr>
          <w:p w14:paraId="22D04684" w14:textId="77777777" w:rsidR="00AD1F54" w:rsidRPr="00264D5D" w:rsidRDefault="00941227">
            <w:pPr>
              <w:pStyle w:val="GOSTTablenorm"/>
              <w:jc w:val="center"/>
            </w:pPr>
            <w:r w:rsidRPr="00264D5D">
              <w:t>O</w:t>
            </w:r>
          </w:p>
        </w:tc>
        <w:tc>
          <w:tcPr>
            <w:tcW w:w="3963" w:type="dxa"/>
          </w:tcPr>
          <w:p w14:paraId="2B2DFF89" w14:textId="77777777" w:rsidR="00AD1F54" w:rsidRPr="00264D5D" w:rsidRDefault="005D5F06">
            <w:pPr>
              <w:pStyle w:val="GOSTTablenorm"/>
            </w:pPr>
            <w:r w:rsidRPr="00264D5D">
              <w:t>Сегмент 2</w:t>
            </w:r>
          </w:p>
        </w:tc>
      </w:tr>
      <w:tr w:rsidR="00AD1F54" w:rsidRPr="00264D5D" w14:paraId="5F2A3109" w14:textId="77777777" w:rsidTr="00AD1F54">
        <w:trPr>
          <w:cnfStyle w:val="000000100000" w:firstRow="0" w:lastRow="0" w:firstColumn="0" w:lastColumn="0" w:oddVBand="0" w:evenVBand="0" w:oddHBand="1" w:evenHBand="0" w:firstRowFirstColumn="0" w:firstRowLastColumn="0" w:lastRowFirstColumn="0" w:lastRowLastColumn="0"/>
          <w:trHeight w:val="20"/>
        </w:trPr>
        <w:tc>
          <w:tcPr>
            <w:tcW w:w="1701" w:type="dxa"/>
          </w:tcPr>
          <w:p w14:paraId="046D0FFE" w14:textId="77777777" w:rsidR="00AD1F54" w:rsidRPr="00264D5D" w:rsidRDefault="00941227">
            <w:pPr>
              <w:pStyle w:val="GOSTTablenorm"/>
            </w:pPr>
            <w:r w:rsidRPr="00264D5D">
              <w:t>Сегмент 3</w:t>
            </w:r>
          </w:p>
        </w:tc>
        <w:tc>
          <w:tcPr>
            <w:tcW w:w="1700" w:type="dxa"/>
          </w:tcPr>
          <w:p w14:paraId="670B2690" w14:textId="77777777" w:rsidR="00AD1F54" w:rsidRPr="00264D5D" w:rsidRDefault="00941227">
            <w:pPr>
              <w:pStyle w:val="GOSTTablenorm"/>
            </w:pPr>
            <w:r w:rsidRPr="00264D5D">
              <w:t>Segment_Date3</w:t>
            </w:r>
          </w:p>
        </w:tc>
        <w:tc>
          <w:tcPr>
            <w:tcW w:w="567" w:type="dxa"/>
          </w:tcPr>
          <w:p w14:paraId="31D3515B" w14:textId="77777777" w:rsidR="00AD1F54" w:rsidRPr="00264D5D" w:rsidRDefault="00941227">
            <w:pPr>
              <w:pStyle w:val="GOSTTablenorm"/>
              <w:jc w:val="center"/>
            </w:pPr>
            <w:r w:rsidRPr="00264D5D">
              <w:t>П</w:t>
            </w:r>
          </w:p>
        </w:tc>
        <w:tc>
          <w:tcPr>
            <w:tcW w:w="1134" w:type="dxa"/>
          </w:tcPr>
          <w:p w14:paraId="12E4F13E" w14:textId="77777777" w:rsidR="00AD1F54" w:rsidRPr="00264D5D" w:rsidRDefault="00941227">
            <w:pPr>
              <w:pStyle w:val="GOSTTablenorm"/>
              <w:rPr>
                <w:lang w:val="en-US"/>
              </w:rPr>
            </w:pPr>
            <w:r w:rsidRPr="00264D5D">
              <w:rPr>
                <w:lang w:val="en-US"/>
              </w:rPr>
              <w:t>T</w:t>
            </w:r>
            <w:r w:rsidRPr="00264D5D">
              <w:t>(</w:t>
            </w:r>
            <w:r w:rsidRPr="00264D5D">
              <w:rPr>
                <w:lang w:val="en-US"/>
              </w:rPr>
              <w:t>1-</w:t>
            </w:r>
            <w:r w:rsidRPr="00264D5D">
              <w:t>240)</w:t>
            </w:r>
          </w:p>
        </w:tc>
        <w:tc>
          <w:tcPr>
            <w:tcW w:w="567" w:type="dxa"/>
          </w:tcPr>
          <w:p w14:paraId="7407A18D" w14:textId="77777777" w:rsidR="00AD1F54" w:rsidRPr="00264D5D" w:rsidRDefault="00941227">
            <w:pPr>
              <w:pStyle w:val="GOSTTablenorm"/>
              <w:jc w:val="center"/>
            </w:pPr>
            <w:r w:rsidRPr="00264D5D">
              <w:t>O</w:t>
            </w:r>
          </w:p>
        </w:tc>
        <w:tc>
          <w:tcPr>
            <w:tcW w:w="3963" w:type="dxa"/>
          </w:tcPr>
          <w:p w14:paraId="63CD89BE" w14:textId="77777777" w:rsidR="00AD1F54" w:rsidRPr="00264D5D" w:rsidRDefault="005D5F06">
            <w:pPr>
              <w:pStyle w:val="GOSTTablenorm"/>
            </w:pPr>
            <w:r w:rsidRPr="00264D5D">
              <w:t>Сегмент 3</w:t>
            </w:r>
          </w:p>
        </w:tc>
      </w:tr>
      <w:tr w:rsidR="00AD1F54" w:rsidRPr="00264D5D" w14:paraId="7607DD28" w14:textId="77777777" w:rsidTr="00AD1F54">
        <w:trPr>
          <w:cnfStyle w:val="000000010000" w:firstRow="0" w:lastRow="0" w:firstColumn="0" w:lastColumn="0" w:oddVBand="0" w:evenVBand="0" w:oddHBand="0" w:evenHBand="1" w:firstRowFirstColumn="0" w:firstRowLastColumn="0" w:lastRowFirstColumn="0" w:lastRowLastColumn="0"/>
          <w:trHeight w:val="20"/>
        </w:trPr>
        <w:tc>
          <w:tcPr>
            <w:tcW w:w="1701" w:type="dxa"/>
          </w:tcPr>
          <w:p w14:paraId="70A81F80" w14:textId="77777777" w:rsidR="00AD1F54" w:rsidRPr="00264D5D" w:rsidRDefault="00941227">
            <w:pPr>
              <w:pStyle w:val="GOSTTablenorm"/>
            </w:pPr>
            <w:r w:rsidRPr="00264D5D">
              <w:t>…</w:t>
            </w:r>
          </w:p>
        </w:tc>
        <w:tc>
          <w:tcPr>
            <w:tcW w:w="1700" w:type="dxa"/>
          </w:tcPr>
          <w:p w14:paraId="7CCD6DA7" w14:textId="77777777" w:rsidR="00AD1F54" w:rsidRPr="00264D5D" w:rsidRDefault="00941227">
            <w:pPr>
              <w:pStyle w:val="GOSTTablenorm"/>
            </w:pPr>
            <w:r w:rsidRPr="00264D5D">
              <w:t>…</w:t>
            </w:r>
          </w:p>
        </w:tc>
        <w:tc>
          <w:tcPr>
            <w:tcW w:w="567" w:type="dxa"/>
          </w:tcPr>
          <w:p w14:paraId="6FF49F1E" w14:textId="77777777" w:rsidR="00AD1F54" w:rsidRPr="00264D5D" w:rsidRDefault="00941227">
            <w:pPr>
              <w:pStyle w:val="GOSTTablenorm"/>
              <w:jc w:val="center"/>
            </w:pPr>
            <w:r w:rsidRPr="00264D5D">
              <w:t>…</w:t>
            </w:r>
          </w:p>
        </w:tc>
        <w:tc>
          <w:tcPr>
            <w:tcW w:w="1134" w:type="dxa"/>
          </w:tcPr>
          <w:p w14:paraId="1689410E" w14:textId="77777777" w:rsidR="00AD1F54" w:rsidRPr="00264D5D" w:rsidRDefault="00941227">
            <w:pPr>
              <w:pStyle w:val="GOSTTablenorm"/>
              <w:rPr>
                <w:lang w:val="en-US"/>
              </w:rPr>
            </w:pPr>
            <w:r w:rsidRPr="00264D5D">
              <w:t>…</w:t>
            </w:r>
          </w:p>
        </w:tc>
        <w:tc>
          <w:tcPr>
            <w:tcW w:w="567" w:type="dxa"/>
          </w:tcPr>
          <w:p w14:paraId="2A917301" w14:textId="77777777" w:rsidR="00AD1F54" w:rsidRPr="00264D5D" w:rsidRDefault="00941227">
            <w:pPr>
              <w:pStyle w:val="GOSTTablenorm"/>
              <w:jc w:val="center"/>
            </w:pPr>
            <w:r w:rsidRPr="00264D5D">
              <w:t>…</w:t>
            </w:r>
          </w:p>
        </w:tc>
        <w:tc>
          <w:tcPr>
            <w:tcW w:w="3963" w:type="dxa"/>
          </w:tcPr>
          <w:p w14:paraId="28F5BAB1" w14:textId="77777777" w:rsidR="00AD1F54" w:rsidRPr="00264D5D" w:rsidRDefault="00941227">
            <w:pPr>
              <w:pStyle w:val="GOSTTablenorm"/>
            </w:pPr>
            <w:r w:rsidRPr="00264D5D">
              <w:t>…</w:t>
            </w:r>
          </w:p>
        </w:tc>
      </w:tr>
      <w:tr w:rsidR="00AD1F54" w:rsidRPr="00264D5D" w14:paraId="4D69D403" w14:textId="77777777" w:rsidTr="00AD1F54">
        <w:trPr>
          <w:cnfStyle w:val="000000100000" w:firstRow="0" w:lastRow="0" w:firstColumn="0" w:lastColumn="0" w:oddVBand="0" w:evenVBand="0" w:oddHBand="1" w:evenHBand="0" w:firstRowFirstColumn="0" w:firstRowLastColumn="0" w:lastRowFirstColumn="0" w:lastRowLastColumn="0"/>
          <w:trHeight w:val="20"/>
        </w:trPr>
        <w:tc>
          <w:tcPr>
            <w:tcW w:w="1701" w:type="dxa"/>
          </w:tcPr>
          <w:p w14:paraId="26BC44F7" w14:textId="77777777" w:rsidR="00AD1F54" w:rsidRPr="00264D5D" w:rsidRDefault="00941227">
            <w:pPr>
              <w:pStyle w:val="GOSTTablenorm"/>
            </w:pPr>
            <w:r w:rsidRPr="00264D5D">
              <w:t>Сегмент 20</w:t>
            </w:r>
          </w:p>
        </w:tc>
        <w:tc>
          <w:tcPr>
            <w:tcW w:w="1700" w:type="dxa"/>
          </w:tcPr>
          <w:p w14:paraId="1FAE6DE8" w14:textId="77777777" w:rsidR="00AD1F54" w:rsidRPr="00264D5D" w:rsidRDefault="00941227">
            <w:pPr>
              <w:pStyle w:val="GOSTTablenorm"/>
            </w:pPr>
            <w:r w:rsidRPr="00264D5D">
              <w:t>Segment_Date20</w:t>
            </w:r>
          </w:p>
        </w:tc>
        <w:tc>
          <w:tcPr>
            <w:tcW w:w="567" w:type="dxa"/>
          </w:tcPr>
          <w:p w14:paraId="01BB1D46" w14:textId="77777777" w:rsidR="00AD1F54" w:rsidRPr="00264D5D" w:rsidRDefault="00941227">
            <w:pPr>
              <w:pStyle w:val="GOSTTablenorm"/>
              <w:jc w:val="center"/>
            </w:pPr>
            <w:r w:rsidRPr="00264D5D">
              <w:t>П</w:t>
            </w:r>
          </w:p>
        </w:tc>
        <w:tc>
          <w:tcPr>
            <w:tcW w:w="1134" w:type="dxa"/>
          </w:tcPr>
          <w:p w14:paraId="025EBE8E" w14:textId="77777777" w:rsidR="00AD1F54" w:rsidRPr="00264D5D" w:rsidRDefault="00941227">
            <w:pPr>
              <w:pStyle w:val="GOSTTablenorm"/>
              <w:rPr>
                <w:lang w:val="en-US"/>
              </w:rPr>
            </w:pPr>
            <w:r w:rsidRPr="00264D5D">
              <w:rPr>
                <w:lang w:val="en-US"/>
              </w:rPr>
              <w:t>T</w:t>
            </w:r>
            <w:r w:rsidRPr="00264D5D">
              <w:t>(</w:t>
            </w:r>
            <w:r w:rsidRPr="00264D5D">
              <w:rPr>
                <w:lang w:val="en-US"/>
              </w:rPr>
              <w:t>1-</w:t>
            </w:r>
            <w:r w:rsidRPr="00264D5D">
              <w:t>240)</w:t>
            </w:r>
          </w:p>
        </w:tc>
        <w:tc>
          <w:tcPr>
            <w:tcW w:w="567" w:type="dxa"/>
          </w:tcPr>
          <w:p w14:paraId="07C102F1" w14:textId="77777777" w:rsidR="00AD1F54" w:rsidRPr="00264D5D" w:rsidRDefault="00941227">
            <w:pPr>
              <w:pStyle w:val="GOSTTablenorm"/>
              <w:jc w:val="center"/>
            </w:pPr>
            <w:r w:rsidRPr="00264D5D">
              <w:t>O</w:t>
            </w:r>
          </w:p>
        </w:tc>
        <w:tc>
          <w:tcPr>
            <w:tcW w:w="3963" w:type="dxa"/>
          </w:tcPr>
          <w:p w14:paraId="129A8841" w14:textId="77777777" w:rsidR="00AD1F54" w:rsidRPr="00264D5D" w:rsidRDefault="005D5F06">
            <w:pPr>
              <w:pStyle w:val="GOSTTablenorm"/>
            </w:pPr>
            <w:r w:rsidRPr="00264D5D">
              <w:t>Сегмент 20</w:t>
            </w:r>
          </w:p>
        </w:tc>
      </w:tr>
    </w:tbl>
    <w:p w14:paraId="6FF759C9" w14:textId="77777777" w:rsidR="00AD1F54" w:rsidRPr="00264D5D" w:rsidRDefault="00941227">
      <w:pPr>
        <w:pStyle w:val="31"/>
      </w:pPr>
      <w:bookmarkStart w:id="3223" w:name="_Toc219309785"/>
      <w:r w:rsidRPr="00264D5D">
        <w:lastRenderedPageBreak/>
        <w:t>Назначение и маршрут документа «</w:t>
      </w:r>
      <w:r w:rsidRPr="00264D5D">
        <w:rPr>
          <w:rFonts w:eastAsia="Calibri"/>
          <w:lang w:eastAsia="en-US"/>
        </w:rPr>
        <w:t>Акт приемки-передачи кассовых выплат, поступлений и обязательств при реорганизации участников бюджетного процесса» (ф. 0531728)</w:t>
      </w:r>
      <w:bookmarkEnd w:id="3223"/>
    </w:p>
    <w:p w14:paraId="7F3C74D1" w14:textId="77777777" w:rsidR="00AD1F54" w:rsidRPr="00264D5D" w:rsidRDefault="00941227">
      <w:pPr>
        <w:pStyle w:val="GOSTNormal"/>
      </w:pPr>
      <w:r w:rsidRPr="00264D5D">
        <w:t>Документ «Акт приемки-передачи кассовых выплат, поступлений и обязательств при реорганизации участников бюджетного процесса» (ф. 0531728) применяется УБП для передачи показателей кассовых выплат, поступлений и обязательств при проведении реорганизационных мероприятий.</w:t>
      </w:r>
    </w:p>
    <w:p w14:paraId="4D5A7F6B" w14:textId="77777777" w:rsidR="00AD1F54" w:rsidRPr="00264D5D" w:rsidRDefault="00941227">
      <w:pPr>
        <w:pStyle w:val="GOSTNormal"/>
        <w:rPr>
          <w:i/>
        </w:rPr>
      </w:pPr>
      <w:r w:rsidRPr="00264D5D">
        <w:rPr>
          <w:i/>
        </w:rPr>
        <w:t>Примечание к заполнению реквизитов Акта (ф. 0531728).</w:t>
      </w:r>
    </w:p>
    <w:p w14:paraId="23D711B3" w14:textId="77777777" w:rsidR="00AD1F54" w:rsidRPr="00264D5D" w:rsidRDefault="00941227">
      <w:pPr>
        <w:pStyle w:val="GOSTNormal"/>
      </w:pPr>
      <w:r w:rsidRPr="00264D5D">
        <w:t xml:space="preserve">В разделе 1 «Бюджетные средства» документа указываются передаваемые показатели по л/с с кодом 03, 08, 10, 14, в разделе 2 «Средства, поступившие во временное распоряжение» – по л/с с кодом 05, в разделах 3 «Бюджетные обязательства», 4 «Денежные обязательства» – по л/с с кодом 03, 14. </w:t>
      </w:r>
    </w:p>
    <w:p w14:paraId="0CCED41A" w14:textId="77777777" w:rsidR="00AD1F54" w:rsidRPr="00264D5D" w:rsidRDefault="00941227">
      <w:pPr>
        <w:pStyle w:val="GOSTNormal"/>
      </w:pPr>
      <w:r w:rsidRPr="00264D5D">
        <w:t>При передаче показателей только одного л/с предоставляется Акт (ф. 0531728), в котором заполняются разделы, соответствующие типу данного л/с. Однако, УБП могут быть открыты одновременно л/с с кодом 03, 08, 10, 14, кроме того могут быть открыты одновременно несколько л/с с кодом 05, 14. В таком случае формируется несколько Актов (ф. 0531728), по каждому л/с отдельно с заполнением реквизитов «</w:t>
      </w:r>
      <w:r w:rsidRPr="00264D5D">
        <w:rPr>
          <w:szCs w:val="22"/>
        </w:rPr>
        <w:t xml:space="preserve">Номер </w:t>
      </w:r>
      <w:r w:rsidR="005D5F06" w:rsidRPr="00264D5D">
        <w:rPr>
          <w:szCs w:val="22"/>
        </w:rPr>
        <w:t>лицевого счета</w:t>
      </w:r>
      <w:r w:rsidRPr="00264D5D">
        <w:rPr>
          <w:szCs w:val="22"/>
        </w:rPr>
        <w:t xml:space="preserve"> передающего УБП</w:t>
      </w:r>
      <w:r w:rsidRPr="00264D5D">
        <w:t xml:space="preserve">», «Номер лицевого счета принимающего УБП». </w:t>
      </w:r>
    </w:p>
    <w:p w14:paraId="75AB9547" w14:textId="77777777" w:rsidR="00AD1F54" w:rsidRPr="00264D5D" w:rsidRDefault="00941227">
      <w:pPr>
        <w:pStyle w:val="GOSTNormal"/>
      </w:pPr>
      <w:r w:rsidRPr="00264D5D">
        <w:t>Допустима передача показателей (полная или частичная) с л/с с кодом 03, 10, 14 УБП на аналогичные типы л/с и между ними, а также передача показателей с л/с с кодом 05 на л/с с кодом 05 (полная или частичная), и с л/с с кодом 08 на л/с с кодом 08 (полная).</w:t>
      </w:r>
    </w:p>
    <w:p w14:paraId="528AA899" w14:textId="77777777" w:rsidR="00AD1F54" w:rsidRPr="00264D5D" w:rsidRDefault="00941227">
      <w:pPr>
        <w:ind w:firstLine="567"/>
        <w:rPr>
          <w:bCs/>
          <w:szCs w:val="24"/>
        </w:rPr>
      </w:pPr>
      <w:r w:rsidRPr="00264D5D">
        <w:rPr>
          <w:bCs/>
          <w:szCs w:val="24"/>
        </w:rPr>
        <w:t>Коды ФАИП/КМИ и аналитические коды не подлежат изменению при передаче данных в рамках Акта (ф. 0531728) с передающей стороны на принимающую.</w:t>
      </w:r>
    </w:p>
    <w:p w14:paraId="2C72CD53" w14:textId="08099A59" w:rsidR="00AD1F54" w:rsidRPr="00264D5D" w:rsidRDefault="00941227">
      <w:pPr>
        <w:pStyle w:val="GOSTNameTable"/>
        <w:numPr>
          <w:ilvl w:val="0"/>
          <w:numId w:val="2"/>
        </w:numPr>
        <w:ind w:left="425" w:hanging="357"/>
        <w:rPr>
          <w:szCs w:val="24"/>
        </w:rPr>
      </w:pPr>
      <w:r w:rsidRPr="00264D5D">
        <w:rPr>
          <w:szCs w:val="24"/>
        </w:rPr>
        <w:fldChar w:fldCharType="begin"/>
      </w:r>
      <w:r w:rsidRPr="00264D5D">
        <w:rPr>
          <w:szCs w:val="24"/>
        </w:rPr>
        <w:instrText xml:space="preserve"> SEQ Таблица \* ARABIC </w:instrText>
      </w:r>
      <w:r w:rsidRPr="00264D5D">
        <w:rPr>
          <w:szCs w:val="24"/>
        </w:rPr>
        <w:fldChar w:fldCharType="separate"/>
      </w:r>
      <w:bookmarkStart w:id="3224" w:name="_Toc219309336"/>
      <w:r w:rsidR="008D797C">
        <w:rPr>
          <w:noProof/>
          <w:szCs w:val="24"/>
        </w:rPr>
        <w:t>306</w:t>
      </w:r>
      <w:r w:rsidRPr="00264D5D">
        <w:rPr>
          <w:szCs w:val="24"/>
        </w:rPr>
        <w:fldChar w:fldCharType="end"/>
      </w:r>
      <w:r w:rsidRPr="00264D5D">
        <w:rPr>
          <w:szCs w:val="24"/>
        </w:rPr>
        <w:t xml:space="preserve"> – Маршрут документа «</w:t>
      </w:r>
      <w:r w:rsidRPr="00264D5D">
        <w:rPr>
          <w:rFonts w:eastAsia="Calibri"/>
          <w:szCs w:val="24"/>
          <w:lang w:eastAsia="en-US"/>
        </w:rPr>
        <w:t>Акт приемки-передачи кассовых выплат, поступлений и обязательств при реорганизации участников бюджетного процесса» (ф. 0531728)</w:t>
      </w:r>
      <w:bookmarkEnd w:id="3224"/>
    </w:p>
    <w:tbl>
      <w:tblPr>
        <w:tblStyle w:val="GOSTTable"/>
        <w:tblW w:w="9634" w:type="dxa"/>
        <w:tblLook w:val="01E0" w:firstRow="1" w:lastRow="1" w:firstColumn="1" w:lastColumn="1" w:noHBand="0" w:noVBand="0"/>
      </w:tblPr>
      <w:tblGrid>
        <w:gridCol w:w="2552"/>
        <w:gridCol w:w="2552"/>
        <w:gridCol w:w="4530"/>
      </w:tblGrid>
      <w:tr w:rsidR="00AD1F54" w:rsidRPr="00264D5D" w14:paraId="256C8B8A"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324" w:type="pct"/>
          </w:tcPr>
          <w:p w14:paraId="4B3BB787" w14:textId="77777777" w:rsidR="00AD1F54" w:rsidRPr="00264D5D" w:rsidRDefault="00941227">
            <w:pPr>
              <w:pStyle w:val="OTRTableHead"/>
              <w:widowControl w:val="0"/>
              <w:rPr>
                <w:sz w:val="22"/>
                <w:szCs w:val="22"/>
              </w:rPr>
            </w:pPr>
            <w:r w:rsidRPr="00264D5D">
              <w:rPr>
                <w:sz w:val="22"/>
                <w:szCs w:val="22"/>
              </w:rPr>
              <w:t>Отправитель</w:t>
            </w:r>
          </w:p>
        </w:tc>
        <w:tc>
          <w:tcPr>
            <w:tcW w:w="1324" w:type="pct"/>
          </w:tcPr>
          <w:p w14:paraId="4CFC8FBB" w14:textId="77777777" w:rsidR="00AD1F54" w:rsidRPr="00264D5D" w:rsidRDefault="00941227">
            <w:pPr>
              <w:pStyle w:val="OTRTableHead"/>
              <w:widowControl w:val="0"/>
              <w:rPr>
                <w:sz w:val="22"/>
                <w:szCs w:val="22"/>
              </w:rPr>
            </w:pPr>
            <w:r w:rsidRPr="00264D5D">
              <w:rPr>
                <w:sz w:val="22"/>
                <w:szCs w:val="22"/>
              </w:rPr>
              <w:t>Получатель</w:t>
            </w:r>
          </w:p>
        </w:tc>
        <w:tc>
          <w:tcPr>
            <w:tcW w:w="2351" w:type="pct"/>
          </w:tcPr>
          <w:p w14:paraId="1022E309" w14:textId="77777777" w:rsidR="00AD1F54" w:rsidRPr="00264D5D" w:rsidRDefault="00941227">
            <w:pPr>
              <w:pStyle w:val="OTRTableHead"/>
              <w:widowControl w:val="0"/>
              <w:rPr>
                <w:sz w:val="22"/>
                <w:szCs w:val="22"/>
              </w:rPr>
            </w:pPr>
            <w:r w:rsidRPr="00264D5D">
              <w:rPr>
                <w:sz w:val="22"/>
                <w:szCs w:val="22"/>
              </w:rPr>
              <w:t>Примечание</w:t>
            </w:r>
          </w:p>
        </w:tc>
      </w:tr>
      <w:tr w:rsidR="00AD1F54" w:rsidRPr="00264D5D" w14:paraId="47A53502" w14:textId="77777777" w:rsidTr="00AD1F54">
        <w:trPr>
          <w:cnfStyle w:val="000000100000" w:firstRow="0" w:lastRow="0" w:firstColumn="0" w:lastColumn="0" w:oddVBand="0" w:evenVBand="0" w:oddHBand="1" w:evenHBand="0" w:firstRowFirstColumn="0" w:firstRowLastColumn="0" w:lastRowFirstColumn="0" w:lastRowLastColumn="0"/>
        </w:trPr>
        <w:tc>
          <w:tcPr>
            <w:tcW w:w="1324" w:type="pct"/>
          </w:tcPr>
          <w:p w14:paraId="5031FA9C" w14:textId="77777777" w:rsidR="00AD1F54" w:rsidRPr="00264D5D" w:rsidRDefault="00941227">
            <w:pPr>
              <w:spacing w:before="60" w:after="60"/>
              <w:rPr>
                <w:sz w:val="22"/>
                <w:szCs w:val="22"/>
              </w:rPr>
            </w:pPr>
            <w:r w:rsidRPr="00264D5D">
              <w:rPr>
                <w:sz w:val="22"/>
                <w:szCs w:val="22"/>
              </w:rPr>
              <w:t>УБП</w:t>
            </w:r>
          </w:p>
        </w:tc>
        <w:tc>
          <w:tcPr>
            <w:tcW w:w="1324" w:type="pct"/>
          </w:tcPr>
          <w:p w14:paraId="28680578" w14:textId="77777777" w:rsidR="00AD1F54" w:rsidRPr="00264D5D" w:rsidRDefault="00941227">
            <w:pPr>
              <w:spacing w:before="60" w:after="60"/>
              <w:rPr>
                <w:sz w:val="22"/>
                <w:szCs w:val="22"/>
              </w:rPr>
            </w:pPr>
            <w:r w:rsidRPr="00264D5D">
              <w:rPr>
                <w:sz w:val="22"/>
                <w:szCs w:val="22"/>
              </w:rPr>
              <w:t>ТОФК (ППО АСФК)</w:t>
            </w:r>
          </w:p>
        </w:tc>
        <w:tc>
          <w:tcPr>
            <w:tcW w:w="2351" w:type="pct"/>
          </w:tcPr>
          <w:p w14:paraId="39A69B6B" w14:textId="77777777" w:rsidR="00AD1F54" w:rsidRPr="00264D5D" w:rsidRDefault="00941227">
            <w:pPr>
              <w:spacing w:before="60" w:after="60"/>
              <w:rPr>
                <w:sz w:val="22"/>
                <w:szCs w:val="22"/>
              </w:rPr>
            </w:pPr>
            <w:r w:rsidRPr="00264D5D">
              <w:rPr>
                <w:sz w:val="22"/>
              </w:rPr>
              <w:t xml:space="preserve">Реорганизуемым УБП </w:t>
            </w:r>
            <w:r w:rsidR="005D5F06" w:rsidRPr="00264D5D">
              <w:rPr>
                <w:sz w:val="22"/>
              </w:rPr>
              <w:t>предоставляет в передающий ТОФК</w:t>
            </w:r>
          </w:p>
        </w:tc>
      </w:tr>
      <w:tr w:rsidR="00AD1F54" w:rsidRPr="00264D5D" w14:paraId="5A972285" w14:textId="77777777" w:rsidTr="00AD1F54">
        <w:trPr>
          <w:cnfStyle w:val="000000010000" w:firstRow="0" w:lastRow="0" w:firstColumn="0" w:lastColumn="0" w:oddVBand="0" w:evenVBand="0" w:oddHBand="0" w:evenHBand="1" w:firstRowFirstColumn="0" w:firstRowLastColumn="0" w:lastRowFirstColumn="0" w:lastRowLastColumn="0"/>
        </w:trPr>
        <w:tc>
          <w:tcPr>
            <w:tcW w:w="1324" w:type="pct"/>
          </w:tcPr>
          <w:p w14:paraId="27EF5F1A" w14:textId="77777777" w:rsidR="00AD1F54" w:rsidRPr="00264D5D" w:rsidRDefault="00941227">
            <w:pPr>
              <w:spacing w:before="60" w:after="60"/>
              <w:rPr>
                <w:sz w:val="22"/>
                <w:szCs w:val="22"/>
              </w:rPr>
            </w:pPr>
            <w:r w:rsidRPr="00264D5D">
              <w:rPr>
                <w:sz w:val="22"/>
                <w:szCs w:val="22"/>
              </w:rPr>
              <w:t>ТОФК (ППО АСФК)</w:t>
            </w:r>
          </w:p>
        </w:tc>
        <w:tc>
          <w:tcPr>
            <w:tcW w:w="1324" w:type="pct"/>
          </w:tcPr>
          <w:p w14:paraId="252025F7" w14:textId="77777777" w:rsidR="00AD1F54" w:rsidRPr="00264D5D" w:rsidRDefault="00941227">
            <w:pPr>
              <w:spacing w:before="60" w:after="60"/>
              <w:rPr>
                <w:sz w:val="22"/>
                <w:szCs w:val="22"/>
              </w:rPr>
            </w:pPr>
            <w:r w:rsidRPr="00264D5D">
              <w:rPr>
                <w:sz w:val="22"/>
                <w:szCs w:val="22"/>
              </w:rPr>
              <w:t>ТОФК (ППО АСФК)</w:t>
            </w:r>
          </w:p>
        </w:tc>
        <w:tc>
          <w:tcPr>
            <w:tcW w:w="2351" w:type="pct"/>
          </w:tcPr>
          <w:p w14:paraId="5D5D2D13" w14:textId="77777777" w:rsidR="00AD1F54" w:rsidRPr="00264D5D" w:rsidRDefault="00941227">
            <w:pPr>
              <w:spacing w:before="60" w:after="60"/>
              <w:rPr>
                <w:sz w:val="22"/>
                <w:szCs w:val="22"/>
              </w:rPr>
            </w:pPr>
            <w:r w:rsidRPr="00264D5D">
              <w:rPr>
                <w:sz w:val="22"/>
                <w:szCs w:val="22"/>
              </w:rPr>
              <w:t>Передающий ТОФК п</w:t>
            </w:r>
            <w:r w:rsidR="005D5F06" w:rsidRPr="00264D5D">
              <w:rPr>
                <w:sz w:val="22"/>
                <w:szCs w:val="22"/>
              </w:rPr>
              <w:t>редоставляет в принимающий ТОФК</w:t>
            </w:r>
          </w:p>
        </w:tc>
      </w:tr>
      <w:tr w:rsidR="00AD1F54" w:rsidRPr="00264D5D" w14:paraId="6120F6DC" w14:textId="77777777" w:rsidTr="00AD1F54">
        <w:trPr>
          <w:cnfStyle w:val="000000100000" w:firstRow="0" w:lastRow="0" w:firstColumn="0" w:lastColumn="0" w:oddVBand="0" w:evenVBand="0" w:oddHBand="1" w:evenHBand="0" w:firstRowFirstColumn="0" w:firstRowLastColumn="0" w:lastRowFirstColumn="0" w:lastRowLastColumn="0"/>
        </w:trPr>
        <w:tc>
          <w:tcPr>
            <w:tcW w:w="1324" w:type="pct"/>
          </w:tcPr>
          <w:p w14:paraId="73142261" w14:textId="77777777" w:rsidR="00AD1F54" w:rsidRPr="00264D5D" w:rsidRDefault="00941227">
            <w:pPr>
              <w:spacing w:before="60" w:after="60"/>
              <w:rPr>
                <w:sz w:val="22"/>
                <w:szCs w:val="22"/>
              </w:rPr>
            </w:pPr>
            <w:r w:rsidRPr="00264D5D">
              <w:rPr>
                <w:sz w:val="22"/>
                <w:szCs w:val="22"/>
              </w:rPr>
              <w:t>ТОФК (ППО АСФК)</w:t>
            </w:r>
          </w:p>
        </w:tc>
        <w:tc>
          <w:tcPr>
            <w:tcW w:w="1324" w:type="pct"/>
          </w:tcPr>
          <w:p w14:paraId="6677C9D0" w14:textId="77777777" w:rsidR="00AD1F54" w:rsidRPr="00264D5D" w:rsidRDefault="00941227">
            <w:pPr>
              <w:spacing w:before="60" w:after="60"/>
              <w:rPr>
                <w:sz w:val="22"/>
                <w:szCs w:val="22"/>
              </w:rPr>
            </w:pPr>
            <w:r w:rsidRPr="00264D5D">
              <w:rPr>
                <w:sz w:val="22"/>
                <w:szCs w:val="22"/>
              </w:rPr>
              <w:t>УБП</w:t>
            </w:r>
          </w:p>
        </w:tc>
        <w:tc>
          <w:tcPr>
            <w:tcW w:w="2351" w:type="pct"/>
          </w:tcPr>
          <w:p w14:paraId="1C862408" w14:textId="77777777" w:rsidR="00AD1F54" w:rsidRPr="00264D5D" w:rsidRDefault="00941227">
            <w:pPr>
              <w:spacing w:before="60" w:after="60"/>
              <w:rPr>
                <w:sz w:val="22"/>
                <w:szCs w:val="22"/>
              </w:rPr>
            </w:pPr>
            <w:r w:rsidRPr="00264D5D">
              <w:rPr>
                <w:sz w:val="22"/>
                <w:szCs w:val="22"/>
              </w:rPr>
              <w:t>Передающий ТОФК пре</w:t>
            </w:r>
            <w:r w:rsidR="005D5F06" w:rsidRPr="00264D5D">
              <w:rPr>
                <w:sz w:val="22"/>
                <w:szCs w:val="22"/>
              </w:rPr>
              <w:t>доставляет реорганизуемому УБП</w:t>
            </w:r>
          </w:p>
        </w:tc>
      </w:tr>
    </w:tbl>
    <w:p w14:paraId="48AB395A" w14:textId="77777777" w:rsidR="00AD1F54" w:rsidRPr="00264D5D" w:rsidRDefault="00941227">
      <w:pPr>
        <w:pStyle w:val="31"/>
      </w:pPr>
      <w:bookmarkStart w:id="3225" w:name="_Toc219309786"/>
      <w:r w:rsidRPr="00264D5D">
        <w:t>Структура электронного документа «Акт приемки-передачи кассовых выплат, поступлений и обязательств при реорганизации участников бюджетного процесса» (ф. 0531728)</w:t>
      </w:r>
      <w:bookmarkEnd w:id="3225"/>
    </w:p>
    <w:p w14:paraId="6BC40CF5" w14:textId="77777777" w:rsidR="00AD1F54" w:rsidRPr="00264D5D" w:rsidRDefault="00941227">
      <w:pPr>
        <w:ind w:firstLine="540"/>
        <w:rPr>
          <w:szCs w:val="24"/>
        </w:rPr>
      </w:pPr>
      <w:r w:rsidRPr="00264D5D">
        <w:rPr>
          <w:bCs/>
          <w:szCs w:val="24"/>
        </w:rPr>
        <w:t>Правила заполнения тегов электронного документа «Акт приемки-передачи кассовых выплат, поступлений и обязательств при реорганизации участников бюджетного процесса» (ф. 0531728)</w:t>
      </w:r>
      <w:r w:rsidRPr="00264D5D">
        <w:rPr>
          <w:szCs w:val="24"/>
        </w:rPr>
        <w:t>.</w:t>
      </w:r>
    </w:p>
    <w:p w14:paraId="5B31F5FC" w14:textId="3370B634" w:rsidR="00AD1F54" w:rsidRPr="00264D5D" w:rsidRDefault="00941227">
      <w:pPr>
        <w:pStyle w:val="GOSTNameTable"/>
        <w:numPr>
          <w:ilvl w:val="0"/>
          <w:numId w:val="2"/>
        </w:numPr>
        <w:ind w:left="425" w:hanging="357"/>
        <w:jc w:val="both"/>
      </w:pPr>
      <w:r w:rsidRPr="00264D5D">
        <w:lastRenderedPageBreak/>
        <w:fldChar w:fldCharType="begin"/>
      </w:r>
      <w:r w:rsidRPr="00264D5D">
        <w:instrText>SEQ Таблица \* ARABIC</w:instrText>
      </w:r>
      <w:r w:rsidRPr="00264D5D">
        <w:fldChar w:fldCharType="separate"/>
      </w:r>
      <w:bookmarkStart w:id="3226" w:name="_Toc219309337"/>
      <w:r w:rsidR="008D797C">
        <w:rPr>
          <w:noProof/>
        </w:rPr>
        <w:t>307</w:t>
      </w:r>
      <w:r w:rsidRPr="00264D5D">
        <w:fldChar w:fldCharType="end"/>
      </w:r>
      <w:r w:rsidRPr="00264D5D">
        <w:rPr>
          <w:rFonts w:eastAsia="Calibri"/>
          <w:szCs w:val="24"/>
        </w:rPr>
        <w:t xml:space="preserve"> – </w:t>
      </w:r>
      <w:r w:rsidRPr="00264D5D">
        <w:rPr>
          <w:bCs/>
          <w:szCs w:val="24"/>
        </w:rPr>
        <w:t>Правила заполнения тегов электронного документа «Акт приемки-передачи кассовых выплат, поступлений и обязательств при реорганизации участников бюджетного процесса» (ф. 0531728)</w:t>
      </w:r>
      <w:bookmarkEnd w:id="3226"/>
    </w:p>
    <w:tbl>
      <w:tblPr>
        <w:tblStyle w:val="GOSTTable"/>
        <w:tblW w:w="5000" w:type="pct"/>
        <w:tblLayout w:type="fixed"/>
        <w:tblLook w:val="04A0" w:firstRow="1" w:lastRow="0" w:firstColumn="1" w:lastColumn="0" w:noHBand="0" w:noVBand="1"/>
      </w:tblPr>
      <w:tblGrid>
        <w:gridCol w:w="1703"/>
        <w:gridCol w:w="1704"/>
        <w:gridCol w:w="568"/>
        <w:gridCol w:w="1136"/>
        <w:gridCol w:w="568"/>
        <w:gridCol w:w="3971"/>
      </w:tblGrid>
      <w:tr w:rsidR="00AD1F54" w:rsidRPr="00264D5D" w14:paraId="5E393FAD" w14:textId="77777777" w:rsidTr="00AD1F54">
        <w:trPr>
          <w:cnfStyle w:val="100000000000" w:firstRow="1" w:lastRow="0" w:firstColumn="0" w:lastColumn="0" w:oddVBand="0" w:evenVBand="0" w:oddHBand="0" w:evenHBand="0" w:firstRowFirstColumn="0" w:firstRowLastColumn="0" w:lastRowFirstColumn="0" w:lastRowLastColumn="0"/>
          <w:trHeight w:val="20"/>
          <w:tblHeader/>
        </w:trPr>
        <w:tc>
          <w:tcPr>
            <w:tcW w:w="1701" w:type="dxa"/>
          </w:tcPr>
          <w:p w14:paraId="26B69C71" w14:textId="77777777" w:rsidR="00AD1F54" w:rsidRPr="00264D5D" w:rsidRDefault="00941227">
            <w:pPr>
              <w:pStyle w:val="ASFKTableHead"/>
            </w:pPr>
            <w:r w:rsidRPr="00264D5D">
              <w:t>Наименование элемента</w:t>
            </w:r>
          </w:p>
        </w:tc>
        <w:tc>
          <w:tcPr>
            <w:tcW w:w="1701" w:type="dxa"/>
          </w:tcPr>
          <w:p w14:paraId="469C5100" w14:textId="77777777" w:rsidR="00AD1F54" w:rsidRPr="00264D5D" w:rsidRDefault="00941227">
            <w:pPr>
              <w:pStyle w:val="ASFKTableHead"/>
            </w:pPr>
            <w:r w:rsidRPr="00264D5D">
              <w:t>Сокращенное наименование (код) элемента</w:t>
            </w:r>
          </w:p>
        </w:tc>
        <w:tc>
          <w:tcPr>
            <w:tcW w:w="567" w:type="dxa"/>
          </w:tcPr>
          <w:p w14:paraId="75DC3E72" w14:textId="77777777" w:rsidR="00AD1F54" w:rsidRPr="00264D5D" w:rsidRDefault="00941227">
            <w:pPr>
              <w:pStyle w:val="ASFKTableHead"/>
            </w:pPr>
            <w:r w:rsidRPr="00264D5D">
              <w:t>Тип</w:t>
            </w:r>
          </w:p>
        </w:tc>
        <w:tc>
          <w:tcPr>
            <w:tcW w:w="1134" w:type="dxa"/>
          </w:tcPr>
          <w:p w14:paraId="1D548644" w14:textId="77777777" w:rsidR="00AD1F54" w:rsidRPr="00264D5D" w:rsidRDefault="00941227">
            <w:pPr>
              <w:pStyle w:val="ASFKTableHead"/>
            </w:pPr>
            <w:r w:rsidRPr="00264D5D">
              <w:t>Формат элемента</w:t>
            </w:r>
          </w:p>
        </w:tc>
        <w:tc>
          <w:tcPr>
            <w:tcW w:w="567" w:type="dxa"/>
          </w:tcPr>
          <w:p w14:paraId="4EAF9314" w14:textId="77777777" w:rsidR="00AD1F54" w:rsidRPr="00264D5D" w:rsidRDefault="00941227">
            <w:pPr>
              <w:pStyle w:val="ASFKTableHead"/>
            </w:pPr>
            <w:r w:rsidRPr="00264D5D">
              <w:t>Обязательность</w:t>
            </w:r>
          </w:p>
        </w:tc>
        <w:tc>
          <w:tcPr>
            <w:tcW w:w="3963" w:type="dxa"/>
          </w:tcPr>
          <w:p w14:paraId="40AA3ED5" w14:textId="77777777" w:rsidR="00AD1F54" w:rsidRPr="00264D5D" w:rsidRDefault="00941227">
            <w:pPr>
              <w:pStyle w:val="ASFKTableHead"/>
            </w:pPr>
            <w:r w:rsidRPr="00264D5D">
              <w:t>Дополнительная информация</w:t>
            </w:r>
          </w:p>
        </w:tc>
      </w:tr>
      <w:tr w:rsidR="00AD1F54" w:rsidRPr="00264D5D" w14:paraId="7DC540AD" w14:textId="77777777" w:rsidTr="00AD1F54">
        <w:trPr>
          <w:cnfStyle w:val="000000100000" w:firstRow="0" w:lastRow="0" w:firstColumn="0" w:lastColumn="0" w:oddVBand="0" w:evenVBand="0" w:oddHBand="1" w:evenHBand="0" w:firstRowFirstColumn="0" w:firstRowLastColumn="0" w:lastRowFirstColumn="0" w:lastRowLastColumn="0"/>
          <w:trHeight w:val="20"/>
        </w:trPr>
        <w:tc>
          <w:tcPr>
            <w:tcW w:w="9634" w:type="dxa"/>
            <w:gridSpan w:val="6"/>
          </w:tcPr>
          <w:p w14:paraId="554CC8EE" w14:textId="77777777" w:rsidR="00AD1F54" w:rsidRPr="00264D5D" w:rsidRDefault="00941227">
            <w:pPr>
              <w:pStyle w:val="GOSTTablenorm"/>
              <w:rPr>
                <w:szCs w:val="22"/>
              </w:rPr>
            </w:pPr>
            <w:r w:rsidRPr="00264D5D">
              <w:rPr>
                <w:b/>
                <w:szCs w:val="22"/>
                <w:lang w:eastAsia="en-US"/>
              </w:rPr>
              <w:t>Основная информация (</w:t>
            </w:r>
            <w:r w:rsidRPr="00264D5D">
              <w:rPr>
                <w:b/>
              </w:rPr>
              <w:t>Header</w:t>
            </w:r>
            <w:r w:rsidRPr="00264D5D">
              <w:rPr>
                <w:b/>
                <w:szCs w:val="22"/>
                <w:lang w:eastAsia="en-US"/>
              </w:rPr>
              <w:t>)</w:t>
            </w:r>
          </w:p>
        </w:tc>
      </w:tr>
      <w:tr w:rsidR="00AD1F54" w:rsidRPr="00264D5D" w14:paraId="68A1FC42" w14:textId="77777777" w:rsidTr="00AD1F54">
        <w:trPr>
          <w:cnfStyle w:val="000000010000" w:firstRow="0" w:lastRow="0" w:firstColumn="0" w:lastColumn="0" w:oddVBand="0" w:evenVBand="0" w:oddHBand="0" w:evenHBand="1" w:firstRowFirstColumn="0" w:firstRowLastColumn="0" w:lastRowFirstColumn="0" w:lastRowLastColumn="0"/>
          <w:trHeight w:val="20"/>
        </w:trPr>
        <w:tc>
          <w:tcPr>
            <w:tcW w:w="1701" w:type="dxa"/>
          </w:tcPr>
          <w:p w14:paraId="134F3479" w14:textId="77777777" w:rsidR="00AD1F54" w:rsidRPr="00264D5D" w:rsidRDefault="00941227">
            <w:pPr>
              <w:pStyle w:val="GOSTTablenorm"/>
              <w:rPr>
                <w:szCs w:val="22"/>
                <w:lang w:eastAsia="en-US"/>
              </w:rPr>
            </w:pPr>
            <w:r w:rsidRPr="00264D5D">
              <w:rPr>
                <w:szCs w:val="22"/>
                <w:lang w:eastAsia="en-US"/>
              </w:rPr>
              <w:t>Код формы</w:t>
            </w:r>
          </w:p>
        </w:tc>
        <w:tc>
          <w:tcPr>
            <w:tcW w:w="1701" w:type="dxa"/>
          </w:tcPr>
          <w:p w14:paraId="609CB0BD" w14:textId="77777777" w:rsidR="00AD1F54" w:rsidRPr="00264D5D" w:rsidRDefault="00941227">
            <w:pPr>
              <w:pStyle w:val="GOSTTablenorm"/>
              <w:rPr>
                <w:szCs w:val="22"/>
                <w:lang w:val="en-US" w:eastAsia="en-US"/>
              </w:rPr>
            </w:pPr>
            <w:r w:rsidRPr="00264D5D">
              <w:rPr>
                <w:szCs w:val="22"/>
                <w:lang w:val="en-US" w:eastAsia="en-US"/>
              </w:rPr>
              <w:t>FormRef</w:t>
            </w:r>
          </w:p>
        </w:tc>
        <w:tc>
          <w:tcPr>
            <w:tcW w:w="567" w:type="dxa"/>
          </w:tcPr>
          <w:p w14:paraId="763537FF" w14:textId="77777777" w:rsidR="00AD1F54" w:rsidRPr="00264D5D" w:rsidRDefault="00941227">
            <w:pPr>
              <w:pStyle w:val="GOSTTablenorm"/>
              <w:jc w:val="center"/>
              <w:rPr>
                <w:szCs w:val="22"/>
                <w:lang w:eastAsia="en-US"/>
              </w:rPr>
            </w:pPr>
            <w:r w:rsidRPr="00264D5D">
              <w:rPr>
                <w:szCs w:val="22"/>
                <w:lang w:eastAsia="en-US"/>
              </w:rPr>
              <w:t>П</w:t>
            </w:r>
          </w:p>
        </w:tc>
        <w:tc>
          <w:tcPr>
            <w:tcW w:w="1134" w:type="dxa"/>
          </w:tcPr>
          <w:p w14:paraId="72B21CB5" w14:textId="77777777" w:rsidR="00AD1F54" w:rsidRPr="00264D5D" w:rsidRDefault="00941227">
            <w:pPr>
              <w:pStyle w:val="GOSTTablenorm"/>
              <w:rPr>
                <w:szCs w:val="22"/>
                <w:lang w:eastAsia="en-US"/>
              </w:rPr>
            </w:pPr>
            <w:r w:rsidRPr="00264D5D">
              <w:rPr>
                <w:szCs w:val="22"/>
                <w:lang w:eastAsia="en-US"/>
              </w:rPr>
              <w:t>Т(1-100)</w:t>
            </w:r>
          </w:p>
        </w:tc>
        <w:tc>
          <w:tcPr>
            <w:tcW w:w="567" w:type="dxa"/>
          </w:tcPr>
          <w:p w14:paraId="36043B53" w14:textId="77777777" w:rsidR="00AD1F54" w:rsidRPr="00264D5D" w:rsidRDefault="00941227">
            <w:pPr>
              <w:pStyle w:val="GOSTTablenorm"/>
              <w:jc w:val="center"/>
              <w:rPr>
                <w:szCs w:val="22"/>
                <w:lang w:eastAsia="en-US"/>
              </w:rPr>
            </w:pPr>
            <w:r w:rsidRPr="00264D5D">
              <w:rPr>
                <w:szCs w:val="22"/>
                <w:lang w:eastAsia="en-US"/>
              </w:rPr>
              <w:t>О</w:t>
            </w:r>
          </w:p>
        </w:tc>
        <w:tc>
          <w:tcPr>
            <w:tcW w:w="3963" w:type="dxa"/>
          </w:tcPr>
          <w:p w14:paraId="5B64A476" w14:textId="77777777" w:rsidR="00AD1F54" w:rsidRPr="00264D5D" w:rsidRDefault="00941227">
            <w:pPr>
              <w:pStyle w:val="GOSTTablenorm"/>
              <w:rPr>
                <w:szCs w:val="22"/>
              </w:rPr>
            </w:pPr>
            <w:r w:rsidRPr="00264D5D">
              <w:rPr>
                <w:szCs w:val="22"/>
              </w:rPr>
              <w:t>Указывается код формы документа.</w:t>
            </w:r>
          </w:p>
          <w:p w14:paraId="3F061D62" w14:textId="77777777" w:rsidR="00AD1F54" w:rsidRPr="00264D5D" w:rsidRDefault="005D5F06">
            <w:pPr>
              <w:pStyle w:val="GOSTTablenorm"/>
              <w:rPr>
                <w:szCs w:val="22"/>
              </w:rPr>
            </w:pPr>
            <w:r w:rsidRPr="00264D5D">
              <w:rPr>
                <w:rFonts w:eastAsia="Calibri"/>
                <w:color w:val="000000"/>
                <w:szCs w:val="22"/>
              </w:rPr>
              <w:t>0531728_RKB – для РКБ</w:t>
            </w:r>
          </w:p>
        </w:tc>
      </w:tr>
      <w:tr w:rsidR="00AD1F54" w:rsidRPr="00264D5D" w14:paraId="7A4C9E6F" w14:textId="77777777" w:rsidTr="00AD1F54">
        <w:trPr>
          <w:cnfStyle w:val="000000100000" w:firstRow="0" w:lastRow="0" w:firstColumn="0" w:lastColumn="0" w:oddVBand="0" w:evenVBand="0" w:oddHBand="1" w:evenHBand="0" w:firstRowFirstColumn="0" w:firstRowLastColumn="0" w:lastRowFirstColumn="0" w:lastRowLastColumn="0"/>
          <w:trHeight w:val="20"/>
        </w:trPr>
        <w:tc>
          <w:tcPr>
            <w:tcW w:w="1701" w:type="dxa"/>
          </w:tcPr>
          <w:p w14:paraId="29577101" w14:textId="77777777" w:rsidR="00AD1F54" w:rsidRPr="00264D5D" w:rsidRDefault="00941227">
            <w:pPr>
              <w:pStyle w:val="GOSTTablenorm"/>
              <w:rPr>
                <w:szCs w:val="22"/>
                <w:lang w:eastAsia="en-US"/>
              </w:rPr>
            </w:pPr>
            <w:r w:rsidRPr="00264D5D">
              <w:rPr>
                <w:szCs w:val="22"/>
                <w:lang w:eastAsia="en-US"/>
              </w:rPr>
              <w:t>Дата акта</w:t>
            </w:r>
          </w:p>
        </w:tc>
        <w:tc>
          <w:tcPr>
            <w:tcW w:w="1701" w:type="dxa"/>
          </w:tcPr>
          <w:p w14:paraId="1A9704F6" w14:textId="77777777" w:rsidR="00AD1F54" w:rsidRPr="00264D5D" w:rsidRDefault="00941227">
            <w:pPr>
              <w:pStyle w:val="GOSTTablenorm"/>
              <w:rPr>
                <w:szCs w:val="22"/>
                <w:lang w:val="en-US" w:eastAsia="en-US"/>
              </w:rPr>
            </w:pPr>
            <w:r w:rsidRPr="00264D5D">
              <w:rPr>
                <w:szCs w:val="22"/>
                <w:lang w:val="en-US" w:eastAsia="en-US"/>
              </w:rPr>
              <w:t>ReportDate</w:t>
            </w:r>
          </w:p>
        </w:tc>
        <w:tc>
          <w:tcPr>
            <w:tcW w:w="567" w:type="dxa"/>
          </w:tcPr>
          <w:p w14:paraId="2EA623CA" w14:textId="77777777" w:rsidR="00AD1F54" w:rsidRPr="00264D5D" w:rsidRDefault="00941227">
            <w:pPr>
              <w:pStyle w:val="GOSTTablenorm"/>
              <w:jc w:val="center"/>
              <w:rPr>
                <w:szCs w:val="22"/>
                <w:lang w:eastAsia="en-US"/>
              </w:rPr>
            </w:pPr>
            <w:r w:rsidRPr="00264D5D">
              <w:rPr>
                <w:szCs w:val="22"/>
                <w:lang w:eastAsia="en-US"/>
              </w:rPr>
              <w:t>П</w:t>
            </w:r>
          </w:p>
        </w:tc>
        <w:tc>
          <w:tcPr>
            <w:tcW w:w="1134" w:type="dxa"/>
          </w:tcPr>
          <w:p w14:paraId="36B7CEBB" w14:textId="77777777" w:rsidR="00AD1F54" w:rsidRPr="00264D5D" w:rsidRDefault="00941227">
            <w:pPr>
              <w:pStyle w:val="GOSTTablenorm"/>
              <w:rPr>
                <w:szCs w:val="22"/>
                <w:lang w:val="en-US"/>
              </w:rPr>
            </w:pPr>
            <w:r w:rsidRPr="00264D5D">
              <w:rPr>
                <w:szCs w:val="22"/>
              </w:rPr>
              <w:t>Date</w:t>
            </w:r>
          </w:p>
        </w:tc>
        <w:tc>
          <w:tcPr>
            <w:tcW w:w="567" w:type="dxa"/>
          </w:tcPr>
          <w:p w14:paraId="4482A750" w14:textId="77777777" w:rsidR="00AD1F54" w:rsidRPr="00264D5D" w:rsidRDefault="00941227">
            <w:pPr>
              <w:pStyle w:val="GOSTTablenorm"/>
              <w:jc w:val="center"/>
              <w:rPr>
                <w:szCs w:val="22"/>
              </w:rPr>
            </w:pPr>
            <w:r w:rsidRPr="00264D5D">
              <w:rPr>
                <w:szCs w:val="22"/>
              </w:rPr>
              <w:t>O</w:t>
            </w:r>
          </w:p>
        </w:tc>
        <w:tc>
          <w:tcPr>
            <w:tcW w:w="3963" w:type="dxa"/>
          </w:tcPr>
          <w:p w14:paraId="6359778F" w14:textId="77777777" w:rsidR="00AD1F54" w:rsidRPr="00264D5D" w:rsidRDefault="00941227">
            <w:pPr>
              <w:pStyle w:val="GOSTTablenorm"/>
              <w:rPr>
                <w:szCs w:val="22"/>
              </w:rPr>
            </w:pPr>
            <w:r w:rsidRPr="00264D5D">
              <w:rPr>
                <w:szCs w:val="22"/>
              </w:rPr>
              <w:t xml:space="preserve">Указывается дата, </w:t>
            </w:r>
            <w:r w:rsidR="005D5F06" w:rsidRPr="00264D5D">
              <w:rPr>
                <w:szCs w:val="22"/>
              </w:rPr>
              <w:t>на которую сформирован документ</w:t>
            </w:r>
          </w:p>
        </w:tc>
      </w:tr>
      <w:tr w:rsidR="00AD1F54" w:rsidRPr="00264D5D" w14:paraId="3791C182" w14:textId="77777777" w:rsidTr="00AD1F54">
        <w:trPr>
          <w:cnfStyle w:val="000000010000" w:firstRow="0" w:lastRow="0" w:firstColumn="0" w:lastColumn="0" w:oddVBand="0" w:evenVBand="0" w:oddHBand="0" w:evenHBand="1" w:firstRowFirstColumn="0" w:firstRowLastColumn="0" w:lastRowFirstColumn="0" w:lastRowLastColumn="0"/>
          <w:trHeight w:val="20"/>
        </w:trPr>
        <w:tc>
          <w:tcPr>
            <w:tcW w:w="1701" w:type="dxa"/>
          </w:tcPr>
          <w:p w14:paraId="68670155" w14:textId="77777777" w:rsidR="00AD1F54" w:rsidRPr="00264D5D" w:rsidRDefault="00941227">
            <w:pPr>
              <w:pStyle w:val="GOSTTablenorm"/>
              <w:jc w:val="left"/>
              <w:rPr>
                <w:szCs w:val="22"/>
                <w:lang w:eastAsia="en-US"/>
              </w:rPr>
            </w:pPr>
            <w:r w:rsidRPr="00264D5D">
              <w:rPr>
                <w:szCs w:val="22"/>
              </w:rPr>
              <w:t xml:space="preserve">Номер </w:t>
            </w:r>
            <w:r w:rsidR="005D5F06" w:rsidRPr="00264D5D">
              <w:rPr>
                <w:szCs w:val="22"/>
              </w:rPr>
              <w:t xml:space="preserve">лицевого счета </w:t>
            </w:r>
            <w:r w:rsidRPr="00264D5D">
              <w:rPr>
                <w:szCs w:val="22"/>
              </w:rPr>
              <w:t>передающего УБП</w:t>
            </w:r>
          </w:p>
        </w:tc>
        <w:tc>
          <w:tcPr>
            <w:tcW w:w="1701" w:type="dxa"/>
          </w:tcPr>
          <w:p w14:paraId="52AB0134" w14:textId="77777777" w:rsidR="00AD1F54" w:rsidRPr="00264D5D" w:rsidRDefault="00941227">
            <w:pPr>
              <w:pStyle w:val="GOSTTablenorm"/>
              <w:rPr>
                <w:szCs w:val="22"/>
                <w:lang w:val="en-US" w:eastAsia="en-US"/>
              </w:rPr>
            </w:pPr>
            <w:r w:rsidRPr="00264D5D">
              <w:rPr>
                <w:szCs w:val="22"/>
              </w:rPr>
              <w:t>Segment1</w:t>
            </w:r>
          </w:p>
        </w:tc>
        <w:tc>
          <w:tcPr>
            <w:tcW w:w="567" w:type="dxa"/>
          </w:tcPr>
          <w:p w14:paraId="055A143E" w14:textId="77777777" w:rsidR="00AD1F54" w:rsidRPr="00264D5D" w:rsidRDefault="00941227">
            <w:pPr>
              <w:pStyle w:val="GOSTTablenorm"/>
              <w:jc w:val="center"/>
              <w:rPr>
                <w:szCs w:val="22"/>
                <w:lang w:eastAsia="en-US"/>
              </w:rPr>
            </w:pPr>
            <w:r w:rsidRPr="00264D5D">
              <w:rPr>
                <w:szCs w:val="22"/>
              </w:rPr>
              <w:t>П</w:t>
            </w:r>
          </w:p>
        </w:tc>
        <w:tc>
          <w:tcPr>
            <w:tcW w:w="1134" w:type="dxa"/>
          </w:tcPr>
          <w:p w14:paraId="6BC734A9" w14:textId="77777777" w:rsidR="00AD1F54" w:rsidRPr="00264D5D" w:rsidRDefault="00941227">
            <w:pPr>
              <w:pStyle w:val="GOSTTablenorm"/>
              <w:rPr>
                <w:szCs w:val="22"/>
                <w:lang w:eastAsia="en-US"/>
              </w:rPr>
            </w:pPr>
            <w:r w:rsidRPr="00264D5D">
              <w:rPr>
                <w:szCs w:val="22"/>
              </w:rPr>
              <w:t>Т(</w:t>
            </w:r>
            <w:r w:rsidRPr="00264D5D">
              <w:rPr>
                <w:szCs w:val="22"/>
                <w:lang w:val="en-US"/>
              </w:rPr>
              <w:t>11</w:t>
            </w:r>
            <w:r w:rsidRPr="00264D5D">
              <w:rPr>
                <w:szCs w:val="22"/>
              </w:rPr>
              <w:t>)</w:t>
            </w:r>
          </w:p>
        </w:tc>
        <w:tc>
          <w:tcPr>
            <w:tcW w:w="567" w:type="dxa"/>
          </w:tcPr>
          <w:p w14:paraId="543C22B1" w14:textId="77777777" w:rsidR="00AD1F54" w:rsidRPr="00264D5D" w:rsidRDefault="00941227">
            <w:pPr>
              <w:pStyle w:val="GOSTTablenorm"/>
              <w:jc w:val="center"/>
              <w:rPr>
                <w:szCs w:val="22"/>
                <w:lang w:eastAsia="en-US"/>
              </w:rPr>
            </w:pPr>
            <w:r w:rsidRPr="00264D5D">
              <w:rPr>
                <w:szCs w:val="22"/>
              </w:rPr>
              <w:t>Н</w:t>
            </w:r>
          </w:p>
        </w:tc>
        <w:tc>
          <w:tcPr>
            <w:tcW w:w="3963" w:type="dxa"/>
          </w:tcPr>
          <w:p w14:paraId="220BBE57" w14:textId="77777777" w:rsidR="00AD1F54" w:rsidRPr="00264D5D" w:rsidRDefault="00941227">
            <w:pPr>
              <w:pStyle w:val="GOSTTablenorm"/>
              <w:rPr>
                <w:szCs w:val="22"/>
              </w:rPr>
            </w:pPr>
            <w:r w:rsidRPr="00264D5D">
              <w:rPr>
                <w:szCs w:val="22"/>
              </w:rPr>
              <w:t>Указывается номер лицевого счета, по</w:t>
            </w:r>
            <w:r w:rsidR="005D5F06" w:rsidRPr="00264D5D">
              <w:rPr>
                <w:szCs w:val="22"/>
              </w:rPr>
              <w:t xml:space="preserve"> которому передаются показатели</w:t>
            </w:r>
          </w:p>
        </w:tc>
      </w:tr>
      <w:tr w:rsidR="00AD1F54" w:rsidRPr="00264D5D" w14:paraId="26A189B0" w14:textId="77777777" w:rsidTr="00AD1F54">
        <w:trPr>
          <w:cnfStyle w:val="000000100000" w:firstRow="0" w:lastRow="0" w:firstColumn="0" w:lastColumn="0" w:oddVBand="0" w:evenVBand="0" w:oddHBand="1" w:evenHBand="0" w:firstRowFirstColumn="0" w:firstRowLastColumn="0" w:lastRowFirstColumn="0" w:lastRowLastColumn="0"/>
          <w:trHeight w:val="20"/>
        </w:trPr>
        <w:tc>
          <w:tcPr>
            <w:tcW w:w="1701" w:type="dxa"/>
          </w:tcPr>
          <w:p w14:paraId="6DB97104" w14:textId="77777777" w:rsidR="00AD1F54" w:rsidRPr="00264D5D" w:rsidRDefault="00941227">
            <w:pPr>
              <w:pStyle w:val="GOSTTablenorm"/>
              <w:rPr>
                <w:szCs w:val="22"/>
                <w:lang w:eastAsia="en-US"/>
              </w:rPr>
            </w:pPr>
            <w:r w:rsidRPr="00264D5D">
              <w:rPr>
                <w:szCs w:val="22"/>
              </w:rPr>
              <w:t>Номер лицевого счета принимающего УБП</w:t>
            </w:r>
          </w:p>
        </w:tc>
        <w:tc>
          <w:tcPr>
            <w:tcW w:w="1701" w:type="dxa"/>
          </w:tcPr>
          <w:p w14:paraId="7E3189A8" w14:textId="77777777" w:rsidR="00AD1F54" w:rsidRPr="00264D5D" w:rsidRDefault="00941227">
            <w:pPr>
              <w:pStyle w:val="GOSTTablenorm"/>
              <w:rPr>
                <w:szCs w:val="22"/>
                <w:lang w:eastAsia="en-US"/>
              </w:rPr>
            </w:pPr>
            <w:r w:rsidRPr="00264D5D">
              <w:rPr>
                <w:szCs w:val="22"/>
              </w:rPr>
              <w:t>Segment11</w:t>
            </w:r>
          </w:p>
        </w:tc>
        <w:tc>
          <w:tcPr>
            <w:tcW w:w="567" w:type="dxa"/>
          </w:tcPr>
          <w:p w14:paraId="4D7ADEC0" w14:textId="77777777" w:rsidR="00AD1F54" w:rsidRPr="00264D5D" w:rsidRDefault="00941227">
            <w:pPr>
              <w:pStyle w:val="GOSTTablenorm"/>
              <w:jc w:val="center"/>
              <w:rPr>
                <w:szCs w:val="22"/>
                <w:lang w:eastAsia="en-US"/>
              </w:rPr>
            </w:pPr>
            <w:r w:rsidRPr="00264D5D">
              <w:rPr>
                <w:szCs w:val="22"/>
              </w:rPr>
              <w:t>П</w:t>
            </w:r>
          </w:p>
        </w:tc>
        <w:tc>
          <w:tcPr>
            <w:tcW w:w="1134" w:type="dxa"/>
          </w:tcPr>
          <w:p w14:paraId="7DC05B2A" w14:textId="77777777" w:rsidR="00AD1F54" w:rsidRPr="00264D5D" w:rsidRDefault="00941227">
            <w:pPr>
              <w:pStyle w:val="GOSTTablenorm"/>
              <w:rPr>
                <w:szCs w:val="22"/>
                <w:lang w:eastAsia="en-US"/>
              </w:rPr>
            </w:pPr>
            <w:r w:rsidRPr="00264D5D">
              <w:rPr>
                <w:szCs w:val="22"/>
              </w:rPr>
              <w:t>Т(11)</w:t>
            </w:r>
          </w:p>
        </w:tc>
        <w:tc>
          <w:tcPr>
            <w:tcW w:w="567" w:type="dxa"/>
          </w:tcPr>
          <w:p w14:paraId="57765E48" w14:textId="77777777" w:rsidR="00AD1F54" w:rsidRPr="00264D5D" w:rsidRDefault="00941227">
            <w:pPr>
              <w:pStyle w:val="GOSTTablenorm"/>
              <w:jc w:val="center"/>
              <w:rPr>
                <w:szCs w:val="22"/>
                <w:lang w:eastAsia="en-US"/>
              </w:rPr>
            </w:pPr>
            <w:r w:rsidRPr="00264D5D">
              <w:rPr>
                <w:szCs w:val="22"/>
              </w:rPr>
              <w:t>Н</w:t>
            </w:r>
          </w:p>
        </w:tc>
        <w:tc>
          <w:tcPr>
            <w:tcW w:w="3963" w:type="dxa"/>
          </w:tcPr>
          <w:p w14:paraId="730BCC17" w14:textId="77777777" w:rsidR="00AD1F54" w:rsidRPr="00264D5D" w:rsidRDefault="00941227">
            <w:pPr>
              <w:pStyle w:val="GOSTTablenorm"/>
              <w:rPr>
                <w:szCs w:val="22"/>
              </w:rPr>
            </w:pPr>
            <w:r w:rsidRPr="00264D5D">
              <w:rPr>
                <w:szCs w:val="22"/>
              </w:rPr>
              <w:t>Указывается номер лицевог</w:t>
            </w:r>
            <w:r w:rsidR="005D5F06" w:rsidRPr="00264D5D">
              <w:rPr>
                <w:szCs w:val="22"/>
              </w:rPr>
              <w:t>о счета принимающего показатели</w:t>
            </w:r>
          </w:p>
        </w:tc>
      </w:tr>
      <w:tr w:rsidR="00AD1F54" w:rsidRPr="00264D5D" w14:paraId="75DD9871" w14:textId="77777777" w:rsidTr="00AD1F54">
        <w:trPr>
          <w:cnfStyle w:val="000000010000" w:firstRow="0" w:lastRow="0" w:firstColumn="0" w:lastColumn="0" w:oddVBand="0" w:evenVBand="0" w:oddHBand="0" w:evenHBand="1" w:firstRowFirstColumn="0" w:firstRowLastColumn="0" w:lastRowFirstColumn="0" w:lastRowLastColumn="0"/>
          <w:trHeight w:val="20"/>
        </w:trPr>
        <w:tc>
          <w:tcPr>
            <w:tcW w:w="1701" w:type="dxa"/>
          </w:tcPr>
          <w:p w14:paraId="1E2BFE2E" w14:textId="77777777" w:rsidR="00AD1F54" w:rsidRPr="00264D5D" w:rsidRDefault="00941227">
            <w:pPr>
              <w:pStyle w:val="GOSTTablenorm"/>
              <w:rPr>
                <w:szCs w:val="22"/>
                <w:lang w:eastAsia="en-US"/>
              </w:rPr>
            </w:pPr>
            <w:r w:rsidRPr="00264D5D">
              <w:rPr>
                <w:szCs w:val="22"/>
              </w:rPr>
              <w:t>УБП передающий</w:t>
            </w:r>
          </w:p>
        </w:tc>
        <w:tc>
          <w:tcPr>
            <w:tcW w:w="1701" w:type="dxa"/>
          </w:tcPr>
          <w:p w14:paraId="18C2EB01" w14:textId="77777777" w:rsidR="00AD1F54" w:rsidRPr="00264D5D" w:rsidRDefault="00941227">
            <w:pPr>
              <w:pStyle w:val="GOSTTablenorm"/>
              <w:rPr>
                <w:szCs w:val="22"/>
                <w:lang w:eastAsia="en-US"/>
              </w:rPr>
            </w:pPr>
            <w:r w:rsidRPr="00264D5D">
              <w:rPr>
                <w:szCs w:val="22"/>
              </w:rPr>
              <w:t>Segment3_Name</w:t>
            </w:r>
          </w:p>
        </w:tc>
        <w:tc>
          <w:tcPr>
            <w:tcW w:w="567" w:type="dxa"/>
          </w:tcPr>
          <w:p w14:paraId="08BE3300" w14:textId="77777777" w:rsidR="00AD1F54" w:rsidRPr="00264D5D" w:rsidRDefault="00941227">
            <w:pPr>
              <w:pStyle w:val="GOSTTablenorm"/>
              <w:jc w:val="center"/>
              <w:rPr>
                <w:szCs w:val="22"/>
                <w:lang w:eastAsia="en-US"/>
              </w:rPr>
            </w:pPr>
            <w:r w:rsidRPr="00264D5D">
              <w:rPr>
                <w:szCs w:val="22"/>
              </w:rPr>
              <w:t>П</w:t>
            </w:r>
          </w:p>
        </w:tc>
        <w:tc>
          <w:tcPr>
            <w:tcW w:w="1134" w:type="dxa"/>
          </w:tcPr>
          <w:p w14:paraId="03B72BDE" w14:textId="77777777" w:rsidR="00AD1F54" w:rsidRPr="00264D5D" w:rsidRDefault="00941227">
            <w:pPr>
              <w:pStyle w:val="GOSTTablenorm"/>
              <w:rPr>
                <w:szCs w:val="22"/>
                <w:lang w:eastAsia="en-US"/>
              </w:rPr>
            </w:pPr>
            <w:r w:rsidRPr="00264D5D">
              <w:rPr>
                <w:szCs w:val="22"/>
              </w:rPr>
              <w:t>Т(1-2000)</w:t>
            </w:r>
          </w:p>
        </w:tc>
        <w:tc>
          <w:tcPr>
            <w:tcW w:w="567" w:type="dxa"/>
          </w:tcPr>
          <w:p w14:paraId="251AA536" w14:textId="77777777" w:rsidR="00AD1F54" w:rsidRPr="00264D5D" w:rsidRDefault="00941227">
            <w:pPr>
              <w:pStyle w:val="GOSTTablenorm"/>
              <w:jc w:val="center"/>
              <w:rPr>
                <w:szCs w:val="22"/>
                <w:lang w:eastAsia="en-US"/>
              </w:rPr>
            </w:pPr>
            <w:r w:rsidRPr="00264D5D">
              <w:rPr>
                <w:szCs w:val="22"/>
              </w:rPr>
              <w:t>О</w:t>
            </w:r>
          </w:p>
        </w:tc>
        <w:tc>
          <w:tcPr>
            <w:tcW w:w="3963" w:type="dxa"/>
          </w:tcPr>
          <w:p w14:paraId="0A40DFFD" w14:textId="77777777" w:rsidR="00AD1F54" w:rsidRPr="00264D5D" w:rsidRDefault="00941227">
            <w:pPr>
              <w:pStyle w:val="GOSTTablenorm"/>
              <w:rPr>
                <w:szCs w:val="22"/>
              </w:rPr>
            </w:pPr>
            <w:r w:rsidRPr="00264D5D">
              <w:rPr>
                <w:szCs w:val="22"/>
              </w:rPr>
              <w:t>Указывается полное наименование участника бюджетного процесса, передающего выпла</w:t>
            </w:r>
            <w:r w:rsidR="005D5F06" w:rsidRPr="00264D5D">
              <w:rPr>
                <w:szCs w:val="22"/>
              </w:rPr>
              <w:t>ты, поступления и обязательства</w:t>
            </w:r>
          </w:p>
        </w:tc>
      </w:tr>
      <w:tr w:rsidR="00AD1F54" w:rsidRPr="00264D5D" w14:paraId="6837E915" w14:textId="77777777" w:rsidTr="00AD1F54">
        <w:trPr>
          <w:cnfStyle w:val="000000100000" w:firstRow="0" w:lastRow="0" w:firstColumn="0" w:lastColumn="0" w:oddVBand="0" w:evenVBand="0" w:oddHBand="1" w:evenHBand="0" w:firstRowFirstColumn="0" w:firstRowLastColumn="0" w:lastRowFirstColumn="0" w:lastRowLastColumn="0"/>
          <w:trHeight w:val="20"/>
        </w:trPr>
        <w:tc>
          <w:tcPr>
            <w:tcW w:w="1701" w:type="dxa"/>
          </w:tcPr>
          <w:p w14:paraId="512E1558" w14:textId="77777777" w:rsidR="00AD1F54" w:rsidRPr="00264D5D" w:rsidRDefault="00941227">
            <w:pPr>
              <w:pStyle w:val="GOSTTablenorm"/>
              <w:rPr>
                <w:szCs w:val="22"/>
                <w:lang w:eastAsia="en-US"/>
              </w:rPr>
            </w:pPr>
            <w:r w:rsidRPr="00264D5D">
              <w:rPr>
                <w:szCs w:val="22"/>
              </w:rPr>
              <w:t xml:space="preserve">УБП принимающий </w:t>
            </w:r>
          </w:p>
        </w:tc>
        <w:tc>
          <w:tcPr>
            <w:tcW w:w="1701" w:type="dxa"/>
          </w:tcPr>
          <w:p w14:paraId="6FF5B931" w14:textId="77777777" w:rsidR="00AD1F54" w:rsidRPr="00264D5D" w:rsidRDefault="00941227">
            <w:pPr>
              <w:pStyle w:val="GOSTTablenorm"/>
              <w:rPr>
                <w:szCs w:val="22"/>
                <w:lang w:eastAsia="en-US"/>
              </w:rPr>
            </w:pPr>
            <w:r w:rsidRPr="00264D5D">
              <w:rPr>
                <w:szCs w:val="22"/>
              </w:rPr>
              <w:t>Segment13_Name</w:t>
            </w:r>
          </w:p>
        </w:tc>
        <w:tc>
          <w:tcPr>
            <w:tcW w:w="567" w:type="dxa"/>
          </w:tcPr>
          <w:p w14:paraId="40CE800A" w14:textId="77777777" w:rsidR="00AD1F54" w:rsidRPr="00264D5D" w:rsidRDefault="00941227">
            <w:pPr>
              <w:pStyle w:val="GOSTTablenorm"/>
              <w:jc w:val="center"/>
              <w:rPr>
                <w:szCs w:val="22"/>
                <w:lang w:eastAsia="en-US"/>
              </w:rPr>
            </w:pPr>
            <w:r w:rsidRPr="00264D5D">
              <w:rPr>
                <w:szCs w:val="22"/>
              </w:rPr>
              <w:t>П</w:t>
            </w:r>
          </w:p>
        </w:tc>
        <w:tc>
          <w:tcPr>
            <w:tcW w:w="1134" w:type="dxa"/>
          </w:tcPr>
          <w:p w14:paraId="4D12E78F" w14:textId="77777777" w:rsidR="00AD1F54" w:rsidRPr="00264D5D" w:rsidRDefault="00941227">
            <w:pPr>
              <w:pStyle w:val="GOSTTablenorm"/>
              <w:rPr>
                <w:szCs w:val="22"/>
                <w:lang w:eastAsia="en-US"/>
              </w:rPr>
            </w:pPr>
            <w:r w:rsidRPr="00264D5D">
              <w:rPr>
                <w:szCs w:val="22"/>
              </w:rPr>
              <w:t>Т(1-2000)</w:t>
            </w:r>
          </w:p>
        </w:tc>
        <w:tc>
          <w:tcPr>
            <w:tcW w:w="567" w:type="dxa"/>
          </w:tcPr>
          <w:p w14:paraId="694A3050" w14:textId="77777777" w:rsidR="00AD1F54" w:rsidRPr="00264D5D" w:rsidRDefault="00941227">
            <w:pPr>
              <w:pStyle w:val="GOSTTablenorm"/>
              <w:jc w:val="center"/>
              <w:rPr>
                <w:szCs w:val="22"/>
                <w:lang w:eastAsia="en-US"/>
              </w:rPr>
            </w:pPr>
            <w:r w:rsidRPr="00264D5D">
              <w:rPr>
                <w:szCs w:val="22"/>
              </w:rPr>
              <w:t>О</w:t>
            </w:r>
          </w:p>
        </w:tc>
        <w:tc>
          <w:tcPr>
            <w:tcW w:w="3963" w:type="dxa"/>
          </w:tcPr>
          <w:p w14:paraId="5E2C6552" w14:textId="77777777" w:rsidR="00AD1F54" w:rsidRPr="00264D5D" w:rsidRDefault="00941227">
            <w:pPr>
              <w:pStyle w:val="GOSTTablenorm"/>
              <w:rPr>
                <w:szCs w:val="22"/>
              </w:rPr>
            </w:pPr>
            <w:r w:rsidRPr="00264D5D">
              <w:rPr>
                <w:szCs w:val="22"/>
              </w:rPr>
              <w:t>Указывается полное наименование участника бюджетного процесса, принимающего выпла</w:t>
            </w:r>
            <w:r w:rsidR="005D5F06" w:rsidRPr="00264D5D">
              <w:rPr>
                <w:szCs w:val="22"/>
              </w:rPr>
              <w:t>ты, поступления и обязательства</w:t>
            </w:r>
          </w:p>
        </w:tc>
      </w:tr>
      <w:tr w:rsidR="00AD1F54" w:rsidRPr="00264D5D" w14:paraId="4659B5C5" w14:textId="77777777" w:rsidTr="00AD1F54">
        <w:trPr>
          <w:cnfStyle w:val="000000010000" w:firstRow="0" w:lastRow="0" w:firstColumn="0" w:lastColumn="0" w:oddVBand="0" w:evenVBand="0" w:oddHBand="0" w:evenHBand="1" w:firstRowFirstColumn="0" w:firstRowLastColumn="0" w:lastRowFirstColumn="0" w:lastRowLastColumn="0"/>
          <w:trHeight w:val="20"/>
        </w:trPr>
        <w:tc>
          <w:tcPr>
            <w:tcW w:w="1701" w:type="dxa"/>
          </w:tcPr>
          <w:p w14:paraId="43F5B2DB" w14:textId="77777777" w:rsidR="00AD1F54" w:rsidRPr="00264D5D" w:rsidRDefault="00941227">
            <w:pPr>
              <w:pStyle w:val="GOSTTablenorm"/>
              <w:rPr>
                <w:szCs w:val="22"/>
              </w:rPr>
            </w:pPr>
            <w:r w:rsidRPr="00264D5D">
              <w:rPr>
                <w:szCs w:val="22"/>
              </w:rPr>
              <w:t>ТОФК УБП передающего</w:t>
            </w:r>
          </w:p>
        </w:tc>
        <w:tc>
          <w:tcPr>
            <w:tcW w:w="1701" w:type="dxa"/>
          </w:tcPr>
          <w:p w14:paraId="43DB486F" w14:textId="77777777" w:rsidR="00AD1F54" w:rsidRPr="00264D5D" w:rsidRDefault="00941227">
            <w:pPr>
              <w:pStyle w:val="GOSTTablenorm"/>
              <w:rPr>
                <w:szCs w:val="22"/>
              </w:rPr>
            </w:pPr>
            <w:r w:rsidRPr="00264D5D">
              <w:rPr>
                <w:szCs w:val="22"/>
              </w:rPr>
              <w:t>Segment5_Name</w:t>
            </w:r>
          </w:p>
        </w:tc>
        <w:tc>
          <w:tcPr>
            <w:tcW w:w="567" w:type="dxa"/>
          </w:tcPr>
          <w:p w14:paraId="4E76B219" w14:textId="77777777" w:rsidR="00AD1F54" w:rsidRPr="00264D5D" w:rsidRDefault="00941227">
            <w:pPr>
              <w:pStyle w:val="GOSTTablenorm"/>
              <w:jc w:val="center"/>
              <w:rPr>
                <w:szCs w:val="22"/>
              </w:rPr>
            </w:pPr>
            <w:r w:rsidRPr="00264D5D">
              <w:rPr>
                <w:szCs w:val="22"/>
              </w:rPr>
              <w:t>П</w:t>
            </w:r>
          </w:p>
        </w:tc>
        <w:tc>
          <w:tcPr>
            <w:tcW w:w="1134" w:type="dxa"/>
          </w:tcPr>
          <w:p w14:paraId="3A9B58E0" w14:textId="77777777" w:rsidR="00AD1F54" w:rsidRPr="00264D5D" w:rsidRDefault="00941227">
            <w:pPr>
              <w:pStyle w:val="GOSTTablenorm"/>
              <w:rPr>
                <w:szCs w:val="22"/>
              </w:rPr>
            </w:pPr>
            <w:r w:rsidRPr="00264D5D">
              <w:rPr>
                <w:szCs w:val="22"/>
              </w:rPr>
              <w:t>Т(1-2000)</w:t>
            </w:r>
          </w:p>
        </w:tc>
        <w:tc>
          <w:tcPr>
            <w:tcW w:w="567" w:type="dxa"/>
          </w:tcPr>
          <w:p w14:paraId="74AD6383" w14:textId="77777777" w:rsidR="00AD1F54" w:rsidRPr="00264D5D" w:rsidRDefault="00941227">
            <w:pPr>
              <w:pStyle w:val="GOSTTablenorm"/>
              <w:jc w:val="center"/>
              <w:rPr>
                <w:szCs w:val="22"/>
              </w:rPr>
            </w:pPr>
            <w:r w:rsidRPr="00264D5D">
              <w:rPr>
                <w:szCs w:val="22"/>
              </w:rPr>
              <w:t>О</w:t>
            </w:r>
          </w:p>
        </w:tc>
        <w:tc>
          <w:tcPr>
            <w:tcW w:w="3963" w:type="dxa"/>
          </w:tcPr>
          <w:p w14:paraId="3ACF8623" w14:textId="77777777" w:rsidR="00AD1F54" w:rsidRPr="00264D5D" w:rsidRDefault="00941227">
            <w:pPr>
              <w:pStyle w:val="GOSTTablenorm"/>
              <w:rPr>
                <w:szCs w:val="22"/>
              </w:rPr>
            </w:pPr>
            <w:r w:rsidRPr="00264D5D">
              <w:rPr>
                <w:szCs w:val="22"/>
              </w:rPr>
              <w:t xml:space="preserve">Указывается наименование территориального органа Федерального казначейства </w:t>
            </w:r>
            <w:r w:rsidRPr="00264D5D">
              <w:t>по месту открытия лицевого счета участника бюджетного процесса,</w:t>
            </w:r>
            <w:r w:rsidRPr="00264D5D">
              <w:rPr>
                <w:szCs w:val="22"/>
              </w:rPr>
              <w:t xml:space="preserve"> передающего </w:t>
            </w:r>
            <w:r w:rsidRPr="00264D5D">
              <w:t>выплаты, поступления и обязательства</w:t>
            </w:r>
          </w:p>
        </w:tc>
      </w:tr>
      <w:tr w:rsidR="00AD1F54" w:rsidRPr="00264D5D" w14:paraId="317CD1A6" w14:textId="77777777" w:rsidTr="00AD1F54">
        <w:trPr>
          <w:cnfStyle w:val="000000100000" w:firstRow="0" w:lastRow="0" w:firstColumn="0" w:lastColumn="0" w:oddVBand="0" w:evenVBand="0" w:oddHBand="1" w:evenHBand="0" w:firstRowFirstColumn="0" w:firstRowLastColumn="0" w:lastRowFirstColumn="0" w:lastRowLastColumn="0"/>
          <w:trHeight w:val="20"/>
        </w:trPr>
        <w:tc>
          <w:tcPr>
            <w:tcW w:w="1701" w:type="dxa"/>
          </w:tcPr>
          <w:p w14:paraId="7A9F2439" w14:textId="77777777" w:rsidR="00AD1F54" w:rsidRPr="00264D5D" w:rsidRDefault="00941227">
            <w:pPr>
              <w:pStyle w:val="GOSTTablenorm"/>
              <w:rPr>
                <w:szCs w:val="22"/>
                <w:lang w:eastAsia="en-US"/>
              </w:rPr>
            </w:pPr>
            <w:r w:rsidRPr="00264D5D">
              <w:rPr>
                <w:szCs w:val="22"/>
              </w:rPr>
              <w:t xml:space="preserve">ТОФК УБП принимающего </w:t>
            </w:r>
          </w:p>
        </w:tc>
        <w:tc>
          <w:tcPr>
            <w:tcW w:w="1701" w:type="dxa"/>
          </w:tcPr>
          <w:p w14:paraId="463DA0DC" w14:textId="77777777" w:rsidR="00AD1F54" w:rsidRPr="00264D5D" w:rsidRDefault="00941227">
            <w:pPr>
              <w:pStyle w:val="GOSTTablenorm"/>
              <w:rPr>
                <w:szCs w:val="22"/>
                <w:lang w:eastAsia="en-US"/>
              </w:rPr>
            </w:pPr>
            <w:r w:rsidRPr="00264D5D">
              <w:rPr>
                <w:szCs w:val="22"/>
              </w:rPr>
              <w:t>Segment15_Name</w:t>
            </w:r>
          </w:p>
        </w:tc>
        <w:tc>
          <w:tcPr>
            <w:tcW w:w="567" w:type="dxa"/>
          </w:tcPr>
          <w:p w14:paraId="4550DF07" w14:textId="77777777" w:rsidR="00AD1F54" w:rsidRPr="00264D5D" w:rsidRDefault="00941227">
            <w:pPr>
              <w:pStyle w:val="GOSTTablenorm"/>
              <w:jc w:val="center"/>
              <w:rPr>
                <w:szCs w:val="22"/>
                <w:lang w:eastAsia="en-US"/>
              </w:rPr>
            </w:pPr>
            <w:r w:rsidRPr="00264D5D">
              <w:rPr>
                <w:szCs w:val="22"/>
              </w:rPr>
              <w:t>П</w:t>
            </w:r>
          </w:p>
        </w:tc>
        <w:tc>
          <w:tcPr>
            <w:tcW w:w="1134" w:type="dxa"/>
          </w:tcPr>
          <w:p w14:paraId="4A88F7D8" w14:textId="77777777" w:rsidR="00AD1F54" w:rsidRPr="00264D5D" w:rsidRDefault="00941227">
            <w:pPr>
              <w:pStyle w:val="GOSTTablenorm"/>
              <w:rPr>
                <w:szCs w:val="22"/>
              </w:rPr>
            </w:pPr>
            <w:r w:rsidRPr="00264D5D">
              <w:rPr>
                <w:szCs w:val="22"/>
              </w:rPr>
              <w:t>Т(1-2000)</w:t>
            </w:r>
          </w:p>
        </w:tc>
        <w:tc>
          <w:tcPr>
            <w:tcW w:w="567" w:type="dxa"/>
          </w:tcPr>
          <w:p w14:paraId="0398ED51" w14:textId="77777777" w:rsidR="00AD1F54" w:rsidRPr="00264D5D" w:rsidRDefault="00941227">
            <w:pPr>
              <w:pStyle w:val="GOSTTablenorm"/>
              <w:jc w:val="center"/>
              <w:rPr>
                <w:szCs w:val="22"/>
              </w:rPr>
            </w:pPr>
            <w:r w:rsidRPr="00264D5D">
              <w:rPr>
                <w:szCs w:val="22"/>
              </w:rPr>
              <w:t>О</w:t>
            </w:r>
          </w:p>
        </w:tc>
        <w:tc>
          <w:tcPr>
            <w:tcW w:w="3963" w:type="dxa"/>
          </w:tcPr>
          <w:p w14:paraId="1CD4F9B8" w14:textId="77777777" w:rsidR="00AD1F54" w:rsidRPr="00264D5D" w:rsidRDefault="00941227">
            <w:pPr>
              <w:pStyle w:val="GOSTTablenorm"/>
              <w:rPr>
                <w:szCs w:val="22"/>
              </w:rPr>
            </w:pPr>
            <w:r w:rsidRPr="00264D5D">
              <w:rPr>
                <w:szCs w:val="22"/>
              </w:rPr>
              <w:t xml:space="preserve">Указывается наименование территориального органа Федерального казначейства </w:t>
            </w:r>
            <w:r w:rsidRPr="00264D5D">
              <w:t>по месту открытия лицевого счета участника бюджетного процесса</w:t>
            </w:r>
            <w:r w:rsidRPr="00264D5D">
              <w:rPr>
                <w:szCs w:val="22"/>
              </w:rPr>
              <w:t xml:space="preserve">, принимающего </w:t>
            </w:r>
            <w:r w:rsidRPr="00264D5D">
              <w:t>выплаты, поступления и обязательства</w:t>
            </w:r>
          </w:p>
        </w:tc>
      </w:tr>
      <w:tr w:rsidR="00AD1F54" w:rsidRPr="00264D5D" w14:paraId="7A4E6D7C" w14:textId="77777777" w:rsidTr="00AD1F54">
        <w:trPr>
          <w:cnfStyle w:val="000000010000" w:firstRow="0" w:lastRow="0" w:firstColumn="0" w:lastColumn="0" w:oddVBand="0" w:evenVBand="0" w:oddHBand="0" w:evenHBand="1" w:firstRowFirstColumn="0" w:firstRowLastColumn="0" w:lastRowFirstColumn="0" w:lastRowLastColumn="0"/>
          <w:trHeight w:val="20"/>
        </w:trPr>
        <w:tc>
          <w:tcPr>
            <w:tcW w:w="1701" w:type="dxa"/>
          </w:tcPr>
          <w:p w14:paraId="1C83A3ED" w14:textId="77777777" w:rsidR="00AD1F54" w:rsidRPr="00264D5D" w:rsidRDefault="00941227">
            <w:pPr>
              <w:pStyle w:val="GOSTTablenorm"/>
              <w:rPr>
                <w:szCs w:val="22"/>
                <w:lang w:eastAsia="en-US"/>
              </w:rPr>
            </w:pPr>
            <w:r w:rsidRPr="00264D5D">
              <w:rPr>
                <w:szCs w:val="22"/>
                <w:lang w:eastAsia="en-US"/>
              </w:rPr>
              <w:t>Бюджет передающий</w:t>
            </w:r>
          </w:p>
        </w:tc>
        <w:tc>
          <w:tcPr>
            <w:tcW w:w="1701" w:type="dxa"/>
          </w:tcPr>
          <w:p w14:paraId="01346DAE" w14:textId="77777777" w:rsidR="00AD1F54" w:rsidRPr="00264D5D" w:rsidRDefault="00941227">
            <w:pPr>
              <w:pStyle w:val="GOSTTablenorm"/>
              <w:rPr>
                <w:szCs w:val="22"/>
                <w:lang w:val="en-US" w:eastAsia="en-US"/>
              </w:rPr>
            </w:pPr>
            <w:r w:rsidRPr="00264D5D">
              <w:rPr>
                <w:szCs w:val="22"/>
                <w:lang w:val="en-US" w:eastAsia="en-US"/>
              </w:rPr>
              <w:t>BudgetName</w:t>
            </w:r>
          </w:p>
        </w:tc>
        <w:tc>
          <w:tcPr>
            <w:tcW w:w="567" w:type="dxa"/>
          </w:tcPr>
          <w:p w14:paraId="536050A0" w14:textId="77777777" w:rsidR="00AD1F54" w:rsidRPr="00264D5D" w:rsidRDefault="00941227">
            <w:pPr>
              <w:pStyle w:val="GOSTTablenorm"/>
              <w:jc w:val="center"/>
              <w:rPr>
                <w:szCs w:val="22"/>
                <w:lang w:eastAsia="en-US"/>
              </w:rPr>
            </w:pPr>
            <w:r w:rsidRPr="00264D5D">
              <w:rPr>
                <w:szCs w:val="22"/>
                <w:lang w:eastAsia="en-US"/>
              </w:rPr>
              <w:t>П</w:t>
            </w:r>
          </w:p>
        </w:tc>
        <w:tc>
          <w:tcPr>
            <w:tcW w:w="1134" w:type="dxa"/>
          </w:tcPr>
          <w:p w14:paraId="3101EE9B" w14:textId="77777777" w:rsidR="00AD1F54" w:rsidRPr="00264D5D" w:rsidRDefault="00941227">
            <w:pPr>
              <w:pStyle w:val="GOSTTablenorm"/>
              <w:rPr>
                <w:szCs w:val="22"/>
              </w:rPr>
            </w:pPr>
            <w:r w:rsidRPr="00264D5D">
              <w:rPr>
                <w:szCs w:val="22"/>
              </w:rPr>
              <w:t>Т(1-512)</w:t>
            </w:r>
          </w:p>
        </w:tc>
        <w:tc>
          <w:tcPr>
            <w:tcW w:w="567" w:type="dxa"/>
          </w:tcPr>
          <w:p w14:paraId="322B8581" w14:textId="77777777" w:rsidR="00AD1F54" w:rsidRPr="00264D5D" w:rsidRDefault="00941227">
            <w:pPr>
              <w:pStyle w:val="GOSTTablenorm"/>
              <w:jc w:val="center"/>
              <w:rPr>
                <w:szCs w:val="22"/>
              </w:rPr>
            </w:pPr>
            <w:r w:rsidRPr="00264D5D">
              <w:rPr>
                <w:szCs w:val="22"/>
              </w:rPr>
              <w:t>О</w:t>
            </w:r>
          </w:p>
        </w:tc>
        <w:tc>
          <w:tcPr>
            <w:tcW w:w="3963" w:type="dxa"/>
          </w:tcPr>
          <w:p w14:paraId="4AAD6D7F" w14:textId="77777777" w:rsidR="00AD1F54" w:rsidRPr="00264D5D" w:rsidRDefault="00941227">
            <w:pPr>
              <w:pStyle w:val="GOSTTablenorm"/>
              <w:rPr>
                <w:szCs w:val="22"/>
              </w:rPr>
            </w:pPr>
            <w:r w:rsidRPr="00264D5D">
              <w:rPr>
                <w:szCs w:val="22"/>
              </w:rPr>
              <w:t>Указывается н</w:t>
            </w:r>
            <w:r w:rsidR="005D5F06" w:rsidRPr="00264D5D">
              <w:rPr>
                <w:szCs w:val="22"/>
              </w:rPr>
              <w:t>аименование передающего бюджета</w:t>
            </w:r>
          </w:p>
        </w:tc>
      </w:tr>
      <w:tr w:rsidR="00AD1F54" w:rsidRPr="00264D5D" w14:paraId="6B1A5991" w14:textId="77777777" w:rsidTr="00AD1F54">
        <w:trPr>
          <w:cnfStyle w:val="000000100000" w:firstRow="0" w:lastRow="0" w:firstColumn="0" w:lastColumn="0" w:oddVBand="0" w:evenVBand="0" w:oddHBand="1" w:evenHBand="0" w:firstRowFirstColumn="0" w:firstRowLastColumn="0" w:lastRowFirstColumn="0" w:lastRowLastColumn="0"/>
          <w:trHeight w:val="20"/>
        </w:trPr>
        <w:tc>
          <w:tcPr>
            <w:tcW w:w="1701" w:type="dxa"/>
          </w:tcPr>
          <w:p w14:paraId="2DCB31C6" w14:textId="77777777" w:rsidR="00AD1F54" w:rsidRPr="00264D5D" w:rsidRDefault="00941227">
            <w:pPr>
              <w:pStyle w:val="GOSTTablenorm"/>
              <w:rPr>
                <w:szCs w:val="22"/>
              </w:rPr>
            </w:pPr>
            <w:r w:rsidRPr="00264D5D">
              <w:rPr>
                <w:szCs w:val="22"/>
              </w:rPr>
              <w:t>Бюджет принимающий</w:t>
            </w:r>
          </w:p>
        </w:tc>
        <w:tc>
          <w:tcPr>
            <w:tcW w:w="1701" w:type="dxa"/>
          </w:tcPr>
          <w:p w14:paraId="674138FE" w14:textId="77777777" w:rsidR="00AD1F54" w:rsidRPr="00264D5D" w:rsidRDefault="00941227">
            <w:pPr>
              <w:pStyle w:val="GOSTTablenorm"/>
              <w:rPr>
                <w:szCs w:val="22"/>
              </w:rPr>
            </w:pPr>
            <w:r w:rsidRPr="00264D5D">
              <w:rPr>
                <w:szCs w:val="22"/>
              </w:rPr>
              <w:t>Segment17_Name</w:t>
            </w:r>
          </w:p>
        </w:tc>
        <w:tc>
          <w:tcPr>
            <w:tcW w:w="567" w:type="dxa"/>
          </w:tcPr>
          <w:p w14:paraId="4C344DBA" w14:textId="77777777" w:rsidR="00AD1F54" w:rsidRPr="00264D5D" w:rsidRDefault="00941227">
            <w:pPr>
              <w:pStyle w:val="GOSTTablenorm"/>
              <w:jc w:val="center"/>
              <w:rPr>
                <w:szCs w:val="22"/>
              </w:rPr>
            </w:pPr>
            <w:r w:rsidRPr="00264D5D">
              <w:rPr>
                <w:szCs w:val="22"/>
              </w:rPr>
              <w:t>П</w:t>
            </w:r>
          </w:p>
        </w:tc>
        <w:tc>
          <w:tcPr>
            <w:tcW w:w="1134" w:type="dxa"/>
          </w:tcPr>
          <w:p w14:paraId="0D96B02A" w14:textId="77777777" w:rsidR="00AD1F54" w:rsidRPr="00264D5D" w:rsidRDefault="00941227">
            <w:pPr>
              <w:pStyle w:val="GOSTTablenorm"/>
              <w:rPr>
                <w:szCs w:val="22"/>
              </w:rPr>
            </w:pPr>
            <w:r w:rsidRPr="00264D5D">
              <w:rPr>
                <w:szCs w:val="22"/>
              </w:rPr>
              <w:t>Т(1-512)</w:t>
            </w:r>
          </w:p>
        </w:tc>
        <w:tc>
          <w:tcPr>
            <w:tcW w:w="567" w:type="dxa"/>
          </w:tcPr>
          <w:p w14:paraId="68F0FBB2" w14:textId="77777777" w:rsidR="00AD1F54" w:rsidRPr="00264D5D" w:rsidRDefault="00941227">
            <w:pPr>
              <w:pStyle w:val="GOSTTablenorm"/>
              <w:jc w:val="center"/>
              <w:rPr>
                <w:szCs w:val="22"/>
              </w:rPr>
            </w:pPr>
            <w:r w:rsidRPr="00264D5D">
              <w:rPr>
                <w:szCs w:val="22"/>
              </w:rPr>
              <w:t>О</w:t>
            </w:r>
          </w:p>
        </w:tc>
        <w:tc>
          <w:tcPr>
            <w:tcW w:w="3963" w:type="dxa"/>
          </w:tcPr>
          <w:p w14:paraId="7FF4BD97" w14:textId="77777777" w:rsidR="00AD1F54" w:rsidRPr="00264D5D" w:rsidRDefault="00941227">
            <w:pPr>
              <w:pStyle w:val="GOSTTablenorm"/>
              <w:rPr>
                <w:szCs w:val="22"/>
              </w:rPr>
            </w:pPr>
            <w:r w:rsidRPr="00264D5D">
              <w:rPr>
                <w:szCs w:val="22"/>
              </w:rPr>
              <w:t>Указывается наименование принимающе</w:t>
            </w:r>
            <w:r w:rsidR="005D5F06" w:rsidRPr="00264D5D">
              <w:rPr>
                <w:szCs w:val="22"/>
              </w:rPr>
              <w:t>го бюджета</w:t>
            </w:r>
          </w:p>
        </w:tc>
      </w:tr>
      <w:tr w:rsidR="00AD1F54" w:rsidRPr="00264D5D" w14:paraId="25504F4F" w14:textId="77777777" w:rsidTr="00AD1F54">
        <w:trPr>
          <w:cnfStyle w:val="000000010000" w:firstRow="0" w:lastRow="0" w:firstColumn="0" w:lastColumn="0" w:oddVBand="0" w:evenVBand="0" w:oddHBand="0" w:evenHBand="1" w:firstRowFirstColumn="0" w:firstRowLastColumn="0" w:lastRowFirstColumn="0" w:lastRowLastColumn="0"/>
          <w:trHeight w:val="20"/>
        </w:trPr>
        <w:tc>
          <w:tcPr>
            <w:tcW w:w="1701" w:type="dxa"/>
          </w:tcPr>
          <w:p w14:paraId="6CEAF880" w14:textId="77777777" w:rsidR="00AD1F54" w:rsidRPr="00264D5D" w:rsidRDefault="00941227">
            <w:pPr>
              <w:pStyle w:val="GOSTTablenorm"/>
              <w:rPr>
                <w:szCs w:val="22"/>
              </w:rPr>
            </w:pPr>
            <w:r w:rsidRPr="00264D5D">
              <w:rPr>
                <w:szCs w:val="22"/>
              </w:rPr>
              <w:lastRenderedPageBreak/>
              <w:t>Основание для передачи</w:t>
            </w:r>
          </w:p>
        </w:tc>
        <w:tc>
          <w:tcPr>
            <w:tcW w:w="1701" w:type="dxa"/>
          </w:tcPr>
          <w:p w14:paraId="0D4C24D7" w14:textId="77777777" w:rsidR="00AD1F54" w:rsidRPr="00264D5D" w:rsidRDefault="00941227">
            <w:pPr>
              <w:pStyle w:val="GOSTTablenorm"/>
              <w:rPr>
                <w:szCs w:val="22"/>
              </w:rPr>
            </w:pPr>
            <w:r w:rsidRPr="00264D5D">
              <w:rPr>
                <w:szCs w:val="22"/>
              </w:rPr>
              <w:t>Segment10</w:t>
            </w:r>
          </w:p>
        </w:tc>
        <w:tc>
          <w:tcPr>
            <w:tcW w:w="567" w:type="dxa"/>
          </w:tcPr>
          <w:p w14:paraId="3D2DF398" w14:textId="77777777" w:rsidR="00AD1F54" w:rsidRPr="00264D5D" w:rsidRDefault="00941227">
            <w:pPr>
              <w:pStyle w:val="GOSTTablenorm"/>
              <w:jc w:val="center"/>
              <w:rPr>
                <w:szCs w:val="22"/>
              </w:rPr>
            </w:pPr>
            <w:r w:rsidRPr="00264D5D">
              <w:rPr>
                <w:szCs w:val="22"/>
              </w:rPr>
              <w:t>П</w:t>
            </w:r>
          </w:p>
        </w:tc>
        <w:tc>
          <w:tcPr>
            <w:tcW w:w="1134" w:type="dxa"/>
          </w:tcPr>
          <w:p w14:paraId="26E6DD7F" w14:textId="77777777" w:rsidR="00AD1F54" w:rsidRPr="00264D5D" w:rsidRDefault="00941227">
            <w:pPr>
              <w:pStyle w:val="GOSTTablenorm"/>
              <w:rPr>
                <w:szCs w:val="22"/>
              </w:rPr>
            </w:pPr>
            <w:r w:rsidRPr="00264D5D">
              <w:rPr>
                <w:szCs w:val="22"/>
              </w:rPr>
              <w:t>Т(1-</w:t>
            </w:r>
            <w:r w:rsidRPr="00264D5D">
              <w:rPr>
                <w:szCs w:val="22"/>
                <w:lang w:val="en-US"/>
              </w:rPr>
              <w:t>100</w:t>
            </w:r>
            <w:r w:rsidRPr="00264D5D">
              <w:rPr>
                <w:szCs w:val="22"/>
              </w:rPr>
              <w:t>)</w:t>
            </w:r>
          </w:p>
        </w:tc>
        <w:tc>
          <w:tcPr>
            <w:tcW w:w="567" w:type="dxa"/>
          </w:tcPr>
          <w:p w14:paraId="01CC0B5C" w14:textId="77777777" w:rsidR="00AD1F54" w:rsidRPr="00264D5D" w:rsidRDefault="00941227">
            <w:pPr>
              <w:pStyle w:val="GOSTTablenorm"/>
              <w:jc w:val="center"/>
              <w:rPr>
                <w:szCs w:val="22"/>
              </w:rPr>
            </w:pPr>
            <w:r w:rsidRPr="00264D5D">
              <w:rPr>
                <w:szCs w:val="22"/>
              </w:rPr>
              <w:t>О</w:t>
            </w:r>
          </w:p>
        </w:tc>
        <w:tc>
          <w:tcPr>
            <w:tcW w:w="3963" w:type="dxa"/>
          </w:tcPr>
          <w:p w14:paraId="0BDC8112" w14:textId="77777777" w:rsidR="00AD1F54" w:rsidRPr="00264D5D" w:rsidRDefault="00941227">
            <w:pPr>
              <w:pStyle w:val="GOSTTablenorm"/>
              <w:rPr>
                <w:szCs w:val="22"/>
              </w:rPr>
            </w:pPr>
            <w:r w:rsidRPr="00264D5D">
              <w:rPr>
                <w:szCs w:val="22"/>
              </w:rPr>
              <w:t xml:space="preserve">Указывается </w:t>
            </w:r>
            <w:r w:rsidRPr="00264D5D">
              <w:rPr>
                <w:rFonts w:cs="Arial"/>
              </w:rPr>
              <w:t>наименование документа, являющегося основанием для проведения реорганизации (передачи выплат, поступлений и обязательств)</w:t>
            </w:r>
          </w:p>
        </w:tc>
      </w:tr>
      <w:tr w:rsidR="00AD1F54" w:rsidRPr="00264D5D" w14:paraId="20B6FAF6" w14:textId="77777777" w:rsidTr="00AD1F54">
        <w:trPr>
          <w:cnfStyle w:val="000000100000" w:firstRow="0" w:lastRow="0" w:firstColumn="0" w:lastColumn="0" w:oddVBand="0" w:evenVBand="0" w:oddHBand="1" w:evenHBand="0" w:firstRowFirstColumn="0" w:firstRowLastColumn="0" w:lastRowFirstColumn="0" w:lastRowLastColumn="0"/>
          <w:trHeight w:val="20"/>
        </w:trPr>
        <w:tc>
          <w:tcPr>
            <w:tcW w:w="1701" w:type="dxa"/>
          </w:tcPr>
          <w:p w14:paraId="14FF43E9" w14:textId="77777777" w:rsidR="00AD1F54" w:rsidRPr="00264D5D" w:rsidRDefault="00941227">
            <w:pPr>
              <w:pStyle w:val="GOSTTablenorm"/>
              <w:rPr>
                <w:szCs w:val="22"/>
              </w:rPr>
            </w:pPr>
            <w:r w:rsidRPr="00264D5D">
              <w:t>Код передающего УБП по сводному реестру</w:t>
            </w:r>
          </w:p>
        </w:tc>
        <w:tc>
          <w:tcPr>
            <w:tcW w:w="1701" w:type="dxa"/>
          </w:tcPr>
          <w:p w14:paraId="1FDD1168" w14:textId="77777777" w:rsidR="00AD1F54" w:rsidRPr="00264D5D" w:rsidRDefault="00941227">
            <w:pPr>
              <w:pStyle w:val="GOSTTablenorm"/>
              <w:rPr>
                <w:szCs w:val="22"/>
              </w:rPr>
            </w:pPr>
            <w:r w:rsidRPr="00264D5D">
              <w:rPr>
                <w:szCs w:val="22"/>
              </w:rPr>
              <w:t>Segment3</w:t>
            </w:r>
          </w:p>
        </w:tc>
        <w:tc>
          <w:tcPr>
            <w:tcW w:w="567" w:type="dxa"/>
          </w:tcPr>
          <w:p w14:paraId="7EF1971C" w14:textId="77777777" w:rsidR="00AD1F54" w:rsidRPr="00264D5D" w:rsidRDefault="00941227">
            <w:pPr>
              <w:pStyle w:val="GOSTTablenorm"/>
              <w:jc w:val="center"/>
              <w:rPr>
                <w:szCs w:val="22"/>
              </w:rPr>
            </w:pPr>
            <w:r w:rsidRPr="00264D5D">
              <w:rPr>
                <w:szCs w:val="22"/>
              </w:rPr>
              <w:t>П</w:t>
            </w:r>
          </w:p>
        </w:tc>
        <w:tc>
          <w:tcPr>
            <w:tcW w:w="1134" w:type="dxa"/>
          </w:tcPr>
          <w:p w14:paraId="153F0AF1" w14:textId="77777777" w:rsidR="00AD1F54" w:rsidRPr="00264D5D" w:rsidRDefault="00941227">
            <w:pPr>
              <w:pStyle w:val="GOSTTablenorm"/>
              <w:rPr>
                <w:szCs w:val="22"/>
              </w:rPr>
            </w:pPr>
            <w:r w:rsidRPr="00264D5D">
              <w:rPr>
                <w:szCs w:val="22"/>
              </w:rPr>
              <w:t>Т(5) или Т(</w:t>
            </w:r>
            <w:r w:rsidRPr="00264D5D">
              <w:rPr>
                <w:szCs w:val="22"/>
                <w:lang w:val="en-US"/>
              </w:rPr>
              <w:t>8</w:t>
            </w:r>
            <w:r w:rsidRPr="00264D5D">
              <w:rPr>
                <w:szCs w:val="22"/>
              </w:rPr>
              <w:t>)</w:t>
            </w:r>
          </w:p>
        </w:tc>
        <w:tc>
          <w:tcPr>
            <w:tcW w:w="567" w:type="dxa"/>
          </w:tcPr>
          <w:p w14:paraId="2E9381DD" w14:textId="77777777" w:rsidR="00AD1F54" w:rsidRPr="00264D5D" w:rsidRDefault="00941227">
            <w:pPr>
              <w:pStyle w:val="GOSTTablenorm"/>
              <w:jc w:val="center"/>
              <w:rPr>
                <w:szCs w:val="22"/>
              </w:rPr>
            </w:pPr>
            <w:r w:rsidRPr="00264D5D">
              <w:rPr>
                <w:szCs w:val="22"/>
              </w:rPr>
              <w:t>О</w:t>
            </w:r>
          </w:p>
        </w:tc>
        <w:tc>
          <w:tcPr>
            <w:tcW w:w="3963" w:type="dxa"/>
          </w:tcPr>
          <w:p w14:paraId="6BE9CB9B" w14:textId="77777777" w:rsidR="00AD1F54" w:rsidRPr="00264D5D" w:rsidRDefault="00941227">
            <w:pPr>
              <w:pStyle w:val="GOSTTablenorm"/>
              <w:rPr>
                <w:szCs w:val="22"/>
              </w:rPr>
            </w:pPr>
            <w:r w:rsidRPr="00264D5D">
              <w:rPr>
                <w:szCs w:val="22"/>
              </w:rPr>
              <w:t>Указывается код УБП по сводному реестру,</w:t>
            </w:r>
            <w:r w:rsidRPr="00264D5D">
              <w:t xml:space="preserve"> передающего показатели</w:t>
            </w:r>
            <w:r w:rsidRPr="00264D5D">
              <w:rPr>
                <w:szCs w:val="22"/>
              </w:rPr>
              <w:t xml:space="preserve"> лицевого счета.</w:t>
            </w:r>
          </w:p>
          <w:p w14:paraId="0334EEBA" w14:textId="77777777" w:rsidR="00AD1F54" w:rsidRPr="00264D5D" w:rsidRDefault="00941227">
            <w:pPr>
              <w:pStyle w:val="GOSTTablenorm"/>
              <w:rPr>
                <w:szCs w:val="22"/>
              </w:rPr>
            </w:pPr>
            <w:r w:rsidRPr="00264D5D">
              <w:t xml:space="preserve">Для УБП не федерального бюджета указывается код </w:t>
            </w:r>
            <w:r w:rsidR="005D5F06" w:rsidRPr="00264D5D">
              <w:t>УБП из соответствующего перечня</w:t>
            </w:r>
          </w:p>
        </w:tc>
      </w:tr>
      <w:tr w:rsidR="00AD1F54" w:rsidRPr="00264D5D" w14:paraId="3F9F4266" w14:textId="77777777" w:rsidTr="00AD1F54">
        <w:trPr>
          <w:cnfStyle w:val="000000010000" w:firstRow="0" w:lastRow="0" w:firstColumn="0" w:lastColumn="0" w:oddVBand="0" w:evenVBand="0" w:oddHBand="0" w:evenHBand="1" w:firstRowFirstColumn="0" w:firstRowLastColumn="0" w:lastRowFirstColumn="0" w:lastRowLastColumn="0"/>
          <w:trHeight w:val="20"/>
        </w:trPr>
        <w:tc>
          <w:tcPr>
            <w:tcW w:w="1701" w:type="dxa"/>
          </w:tcPr>
          <w:p w14:paraId="26C67B59" w14:textId="77777777" w:rsidR="00AD1F54" w:rsidRPr="00264D5D" w:rsidRDefault="00941227">
            <w:pPr>
              <w:pStyle w:val="GOSTTablenorm"/>
              <w:rPr>
                <w:szCs w:val="22"/>
              </w:rPr>
            </w:pPr>
            <w:r w:rsidRPr="00264D5D">
              <w:t>Код принимающего УБП по сводному реестру</w:t>
            </w:r>
          </w:p>
        </w:tc>
        <w:tc>
          <w:tcPr>
            <w:tcW w:w="1701" w:type="dxa"/>
          </w:tcPr>
          <w:p w14:paraId="2776D6DB" w14:textId="77777777" w:rsidR="00AD1F54" w:rsidRPr="00264D5D" w:rsidRDefault="00941227">
            <w:pPr>
              <w:pStyle w:val="GOSTTablenorm"/>
              <w:rPr>
                <w:szCs w:val="22"/>
              </w:rPr>
            </w:pPr>
            <w:r w:rsidRPr="00264D5D">
              <w:rPr>
                <w:szCs w:val="22"/>
              </w:rPr>
              <w:t>Segment13</w:t>
            </w:r>
          </w:p>
        </w:tc>
        <w:tc>
          <w:tcPr>
            <w:tcW w:w="567" w:type="dxa"/>
          </w:tcPr>
          <w:p w14:paraId="151D5B04" w14:textId="77777777" w:rsidR="00AD1F54" w:rsidRPr="00264D5D" w:rsidRDefault="00941227">
            <w:pPr>
              <w:pStyle w:val="GOSTTablenorm"/>
              <w:jc w:val="center"/>
              <w:rPr>
                <w:szCs w:val="22"/>
              </w:rPr>
            </w:pPr>
            <w:r w:rsidRPr="00264D5D">
              <w:rPr>
                <w:szCs w:val="22"/>
              </w:rPr>
              <w:t>П</w:t>
            </w:r>
          </w:p>
        </w:tc>
        <w:tc>
          <w:tcPr>
            <w:tcW w:w="1134" w:type="dxa"/>
          </w:tcPr>
          <w:p w14:paraId="2239588F" w14:textId="77777777" w:rsidR="00AD1F54" w:rsidRPr="00264D5D" w:rsidRDefault="00941227">
            <w:pPr>
              <w:pStyle w:val="GOSTTablenorm"/>
              <w:rPr>
                <w:szCs w:val="22"/>
              </w:rPr>
            </w:pPr>
            <w:r w:rsidRPr="00264D5D">
              <w:rPr>
                <w:szCs w:val="22"/>
              </w:rPr>
              <w:t>Т(5) или Т(</w:t>
            </w:r>
            <w:r w:rsidRPr="00264D5D">
              <w:rPr>
                <w:szCs w:val="22"/>
                <w:lang w:val="en-US"/>
              </w:rPr>
              <w:t>8</w:t>
            </w:r>
            <w:r w:rsidRPr="00264D5D">
              <w:rPr>
                <w:szCs w:val="22"/>
              </w:rPr>
              <w:t>)</w:t>
            </w:r>
          </w:p>
        </w:tc>
        <w:tc>
          <w:tcPr>
            <w:tcW w:w="567" w:type="dxa"/>
          </w:tcPr>
          <w:p w14:paraId="0D0730F5" w14:textId="77777777" w:rsidR="00AD1F54" w:rsidRPr="00264D5D" w:rsidRDefault="00941227">
            <w:pPr>
              <w:pStyle w:val="GOSTTablenorm"/>
              <w:jc w:val="center"/>
              <w:rPr>
                <w:szCs w:val="22"/>
              </w:rPr>
            </w:pPr>
            <w:r w:rsidRPr="00264D5D">
              <w:rPr>
                <w:szCs w:val="22"/>
              </w:rPr>
              <w:t>О</w:t>
            </w:r>
          </w:p>
        </w:tc>
        <w:tc>
          <w:tcPr>
            <w:tcW w:w="3963" w:type="dxa"/>
          </w:tcPr>
          <w:p w14:paraId="67EDD3A9" w14:textId="77777777" w:rsidR="00AD1F54" w:rsidRPr="00264D5D" w:rsidRDefault="00941227">
            <w:pPr>
              <w:pStyle w:val="GOSTTablenorm"/>
              <w:rPr>
                <w:szCs w:val="22"/>
              </w:rPr>
            </w:pPr>
            <w:r w:rsidRPr="00264D5D">
              <w:rPr>
                <w:szCs w:val="22"/>
              </w:rPr>
              <w:t>Указывается код УБП по сводному реестру, принимающего показатели лицевого счета.</w:t>
            </w:r>
          </w:p>
          <w:p w14:paraId="29DDDE20" w14:textId="77777777" w:rsidR="00AD1F54" w:rsidRPr="00264D5D" w:rsidRDefault="00941227">
            <w:pPr>
              <w:pStyle w:val="GOSTTablenorm"/>
              <w:rPr>
                <w:szCs w:val="22"/>
              </w:rPr>
            </w:pPr>
            <w:r w:rsidRPr="00264D5D">
              <w:t xml:space="preserve">Для УБП не федерального бюджета указывается код </w:t>
            </w:r>
            <w:r w:rsidR="005D5F06" w:rsidRPr="00264D5D">
              <w:t>УБП из соответствующего перечня</w:t>
            </w:r>
          </w:p>
        </w:tc>
      </w:tr>
      <w:tr w:rsidR="00AD1F54" w:rsidRPr="00264D5D" w14:paraId="0A625B7A" w14:textId="77777777" w:rsidTr="00AD1F54">
        <w:trPr>
          <w:cnfStyle w:val="000000100000" w:firstRow="0" w:lastRow="0" w:firstColumn="0" w:lastColumn="0" w:oddVBand="0" w:evenVBand="0" w:oddHBand="1" w:evenHBand="0" w:firstRowFirstColumn="0" w:firstRowLastColumn="0" w:lastRowFirstColumn="0" w:lastRowLastColumn="0"/>
          <w:trHeight w:val="20"/>
        </w:trPr>
        <w:tc>
          <w:tcPr>
            <w:tcW w:w="1701" w:type="dxa"/>
          </w:tcPr>
          <w:p w14:paraId="5BC3158D" w14:textId="77777777" w:rsidR="00AD1F54" w:rsidRPr="00264D5D" w:rsidRDefault="00941227">
            <w:pPr>
              <w:pStyle w:val="GOSTTablenorm"/>
            </w:pPr>
            <w:r w:rsidRPr="00264D5D">
              <w:rPr>
                <w:szCs w:val="22"/>
              </w:rPr>
              <w:t xml:space="preserve">КОФК, передающий </w:t>
            </w:r>
          </w:p>
        </w:tc>
        <w:tc>
          <w:tcPr>
            <w:tcW w:w="1701" w:type="dxa"/>
          </w:tcPr>
          <w:p w14:paraId="661E9B89" w14:textId="77777777" w:rsidR="00AD1F54" w:rsidRPr="00264D5D" w:rsidRDefault="00941227">
            <w:pPr>
              <w:pStyle w:val="GOSTTablenorm"/>
              <w:rPr>
                <w:szCs w:val="22"/>
              </w:rPr>
            </w:pPr>
            <w:r w:rsidRPr="00264D5D">
              <w:rPr>
                <w:szCs w:val="22"/>
              </w:rPr>
              <w:t>Segment5</w:t>
            </w:r>
          </w:p>
        </w:tc>
        <w:tc>
          <w:tcPr>
            <w:tcW w:w="567" w:type="dxa"/>
          </w:tcPr>
          <w:p w14:paraId="3F41C464" w14:textId="77777777" w:rsidR="00AD1F54" w:rsidRPr="00264D5D" w:rsidRDefault="00941227">
            <w:pPr>
              <w:pStyle w:val="GOSTTablenorm"/>
              <w:jc w:val="center"/>
              <w:rPr>
                <w:szCs w:val="22"/>
              </w:rPr>
            </w:pPr>
            <w:r w:rsidRPr="00264D5D">
              <w:rPr>
                <w:szCs w:val="22"/>
              </w:rPr>
              <w:t>П</w:t>
            </w:r>
          </w:p>
        </w:tc>
        <w:tc>
          <w:tcPr>
            <w:tcW w:w="1134" w:type="dxa"/>
          </w:tcPr>
          <w:p w14:paraId="59180033" w14:textId="77777777" w:rsidR="00AD1F54" w:rsidRPr="00264D5D" w:rsidRDefault="00941227">
            <w:pPr>
              <w:pStyle w:val="GOSTTablenorm"/>
              <w:rPr>
                <w:szCs w:val="22"/>
              </w:rPr>
            </w:pPr>
            <w:r w:rsidRPr="00264D5D">
              <w:rPr>
                <w:szCs w:val="22"/>
              </w:rPr>
              <w:t>Т(</w:t>
            </w:r>
            <w:r w:rsidRPr="00264D5D">
              <w:rPr>
                <w:szCs w:val="22"/>
                <w:lang w:val="en-US"/>
              </w:rPr>
              <w:t>4</w:t>
            </w:r>
            <w:r w:rsidRPr="00264D5D">
              <w:rPr>
                <w:szCs w:val="22"/>
              </w:rPr>
              <w:t>)</w:t>
            </w:r>
          </w:p>
        </w:tc>
        <w:tc>
          <w:tcPr>
            <w:tcW w:w="567" w:type="dxa"/>
          </w:tcPr>
          <w:p w14:paraId="08CC967F" w14:textId="77777777" w:rsidR="00AD1F54" w:rsidRPr="00264D5D" w:rsidRDefault="00941227">
            <w:pPr>
              <w:pStyle w:val="GOSTTablenorm"/>
              <w:jc w:val="center"/>
              <w:rPr>
                <w:szCs w:val="22"/>
              </w:rPr>
            </w:pPr>
            <w:r w:rsidRPr="00264D5D">
              <w:rPr>
                <w:szCs w:val="22"/>
              </w:rPr>
              <w:t>О</w:t>
            </w:r>
          </w:p>
        </w:tc>
        <w:tc>
          <w:tcPr>
            <w:tcW w:w="3963" w:type="dxa"/>
          </w:tcPr>
          <w:p w14:paraId="2BB6442E" w14:textId="77777777" w:rsidR="00AD1F54" w:rsidRPr="00264D5D" w:rsidRDefault="00941227">
            <w:pPr>
              <w:pStyle w:val="GOSTTablenorm"/>
              <w:rPr>
                <w:szCs w:val="22"/>
              </w:rPr>
            </w:pPr>
            <w:r w:rsidRPr="00264D5D">
              <w:rPr>
                <w:szCs w:val="22"/>
              </w:rPr>
              <w:t>Указывается код по КОФК территориального о</w:t>
            </w:r>
            <w:r w:rsidRPr="00264D5D">
              <w:rPr>
                <w:rFonts w:cs="Arial"/>
              </w:rPr>
              <w:t xml:space="preserve">ргана Федерального казначейства (передающая сторона) </w:t>
            </w:r>
            <w:r w:rsidRPr="00264D5D">
              <w:t>по ведомственному классификатору территориальных ор</w:t>
            </w:r>
            <w:r w:rsidR="005D5F06" w:rsidRPr="00264D5D">
              <w:t>ганов Федерального казначейства</w:t>
            </w:r>
          </w:p>
        </w:tc>
      </w:tr>
      <w:tr w:rsidR="00AD1F54" w:rsidRPr="00264D5D" w14:paraId="2C145953" w14:textId="77777777" w:rsidTr="00AD1F54">
        <w:trPr>
          <w:cnfStyle w:val="000000010000" w:firstRow="0" w:lastRow="0" w:firstColumn="0" w:lastColumn="0" w:oddVBand="0" w:evenVBand="0" w:oddHBand="0" w:evenHBand="1" w:firstRowFirstColumn="0" w:firstRowLastColumn="0" w:lastRowFirstColumn="0" w:lastRowLastColumn="0"/>
          <w:trHeight w:val="20"/>
        </w:trPr>
        <w:tc>
          <w:tcPr>
            <w:tcW w:w="1701" w:type="dxa"/>
          </w:tcPr>
          <w:p w14:paraId="7A5C04B9" w14:textId="77777777" w:rsidR="00AD1F54" w:rsidRPr="00264D5D" w:rsidRDefault="00941227">
            <w:pPr>
              <w:pStyle w:val="GOSTTablenorm"/>
            </w:pPr>
            <w:r w:rsidRPr="00264D5D">
              <w:rPr>
                <w:szCs w:val="22"/>
              </w:rPr>
              <w:t xml:space="preserve">КОФК, принимающий </w:t>
            </w:r>
          </w:p>
        </w:tc>
        <w:tc>
          <w:tcPr>
            <w:tcW w:w="1701" w:type="dxa"/>
          </w:tcPr>
          <w:p w14:paraId="372E3042" w14:textId="77777777" w:rsidR="00AD1F54" w:rsidRPr="00264D5D" w:rsidRDefault="00941227">
            <w:pPr>
              <w:pStyle w:val="GOSTTablenorm"/>
              <w:rPr>
                <w:szCs w:val="22"/>
              </w:rPr>
            </w:pPr>
            <w:r w:rsidRPr="00264D5D">
              <w:rPr>
                <w:szCs w:val="22"/>
              </w:rPr>
              <w:t>Segment15</w:t>
            </w:r>
          </w:p>
        </w:tc>
        <w:tc>
          <w:tcPr>
            <w:tcW w:w="567" w:type="dxa"/>
          </w:tcPr>
          <w:p w14:paraId="01FE21FB" w14:textId="77777777" w:rsidR="00AD1F54" w:rsidRPr="00264D5D" w:rsidRDefault="00941227">
            <w:pPr>
              <w:pStyle w:val="GOSTTablenorm"/>
              <w:jc w:val="center"/>
              <w:rPr>
                <w:szCs w:val="22"/>
              </w:rPr>
            </w:pPr>
            <w:r w:rsidRPr="00264D5D">
              <w:rPr>
                <w:szCs w:val="22"/>
              </w:rPr>
              <w:t>П</w:t>
            </w:r>
          </w:p>
        </w:tc>
        <w:tc>
          <w:tcPr>
            <w:tcW w:w="1134" w:type="dxa"/>
          </w:tcPr>
          <w:p w14:paraId="0D6A5109" w14:textId="77777777" w:rsidR="00AD1F54" w:rsidRPr="00264D5D" w:rsidRDefault="00941227">
            <w:pPr>
              <w:pStyle w:val="GOSTTablenorm"/>
              <w:rPr>
                <w:szCs w:val="22"/>
              </w:rPr>
            </w:pPr>
            <w:r w:rsidRPr="00264D5D">
              <w:rPr>
                <w:szCs w:val="22"/>
              </w:rPr>
              <w:t>Т(</w:t>
            </w:r>
            <w:r w:rsidRPr="00264D5D">
              <w:rPr>
                <w:szCs w:val="22"/>
                <w:lang w:val="en-US"/>
              </w:rPr>
              <w:t>4</w:t>
            </w:r>
            <w:r w:rsidRPr="00264D5D">
              <w:rPr>
                <w:szCs w:val="22"/>
              </w:rPr>
              <w:t>)</w:t>
            </w:r>
          </w:p>
        </w:tc>
        <w:tc>
          <w:tcPr>
            <w:tcW w:w="567" w:type="dxa"/>
          </w:tcPr>
          <w:p w14:paraId="42B37840" w14:textId="77777777" w:rsidR="00AD1F54" w:rsidRPr="00264D5D" w:rsidRDefault="00941227">
            <w:pPr>
              <w:pStyle w:val="GOSTTablenorm"/>
              <w:jc w:val="center"/>
              <w:rPr>
                <w:szCs w:val="22"/>
              </w:rPr>
            </w:pPr>
            <w:r w:rsidRPr="00264D5D">
              <w:rPr>
                <w:szCs w:val="22"/>
              </w:rPr>
              <w:t>О</w:t>
            </w:r>
          </w:p>
        </w:tc>
        <w:tc>
          <w:tcPr>
            <w:tcW w:w="3963" w:type="dxa"/>
          </w:tcPr>
          <w:p w14:paraId="7A18FFA5" w14:textId="77777777" w:rsidR="00AD1F54" w:rsidRPr="00264D5D" w:rsidRDefault="00941227">
            <w:pPr>
              <w:pStyle w:val="GOSTTablenorm"/>
              <w:rPr>
                <w:szCs w:val="22"/>
              </w:rPr>
            </w:pPr>
            <w:r w:rsidRPr="00264D5D">
              <w:rPr>
                <w:szCs w:val="22"/>
              </w:rPr>
              <w:t>Указывается код по КОФК</w:t>
            </w:r>
            <w:r w:rsidRPr="00264D5D">
              <w:rPr>
                <w:rFonts w:cs="Arial"/>
              </w:rPr>
              <w:t xml:space="preserve"> </w:t>
            </w:r>
            <w:r w:rsidRPr="00264D5D">
              <w:rPr>
                <w:szCs w:val="22"/>
              </w:rPr>
              <w:t xml:space="preserve">территориального </w:t>
            </w:r>
            <w:r w:rsidRPr="00264D5D">
              <w:rPr>
                <w:rFonts w:cs="Arial"/>
              </w:rPr>
              <w:t xml:space="preserve">органа Федерального казначейства (принимающая сторона) </w:t>
            </w:r>
            <w:r w:rsidRPr="00264D5D">
              <w:t>по ведомственному классификатору территориальных ор</w:t>
            </w:r>
            <w:r w:rsidR="005D5F06" w:rsidRPr="00264D5D">
              <w:t>ганов Федерального казначейства</w:t>
            </w:r>
          </w:p>
        </w:tc>
      </w:tr>
      <w:tr w:rsidR="00AD1F54" w:rsidRPr="00264D5D" w14:paraId="4BBAC95D" w14:textId="77777777" w:rsidTr="00AD1F54">
        <w:trPr>
          <w:cnfStyle w:val="000000100000" w:firstRow="0" w:lastRow="0" w:firstColumn="0" w:lastColumn="0" w:oddVBand="0" w:evenVBand="0" w:oddHBand="1" w:evenHBand="0" w:firstRowFirstColumn="0" w:firstRowLastColumn="0" w:lastRowFirstColumn="0" w:lastRowLastColumn="0"/>
          <w:trHeight w:val="20"/>
        </w:trPr>
        <w:tc>
          <w:tcPr>
            <w:tcW w:w="1701" w:type="dxa"/>
          </w:tcPr>
          <w:p w14:paraId="23B38CB6" w14:textId="77777777" w:rsidR="00AD1F54" w:rsidRPr="00264D5D" w:rsidRDefault="00941227">
            <w:pPr>
              <w:pStyle w:val="GOSTTablenorm"/>
              <w:rPr>
                <w:szCs w:val="22"/>
              </w:rPr>
            </w:pPr>
            <w:r w:rsidRPr="00264D5D">
              <w:rPr>
                <w:szCs w:val="22"/>
              </w:rPr>
              <w:t>Руководитель (уполномоченное лицо) передающего</w:t>
            </w:r>
          </w:p>
        </w:tc>
        <w:tc>
          <w:tcPr>
            <w:tcW w:w="1701" w:type="dxa"/>
          </w:tcPr>
          <w:p w14:paraId="3A29E780" w14:textId="77777777" w:rsidR="00AD1F54" w:rsidRPr="00264D5D" w:rsidRDefault="00941227">
            <w:pPr>
              <w:pStyle w:val="GOSTTablenorm"/>
              <w:rPr>
                <w:szCs w:val="22"/>
              </w:rPr>
            </w:pPr>
            <w:r w:rsidRPr="00264D5D">
              <w:rPr>
                <w:szCs w:val="22"/>
              </w:rPr>
              <w:t>SignatureAttribute2</w:t>
            </w:r>
          </w:p>
        </w:tc>
        <w:tc>
          <w:tcPr>
            <w:tcW w:w="567" w:type="dxa"/>
          </w:tcPr>
          <w:p w14:paraId="74A2FAFB" w14:textId="77777777" w:rsidR="00AD1F54" w:rsidRPr="00264D5D" w:rsidRDefault="00941227">
            <w:pPr>
              <w:pStyle w:val="GOSTTablenorm"/>
              <w:jc w:val="center"/>
              <w:rPr>
                <w:szCs w:val="22"/>
              </w:rPr>
            </w:pPr>
            <w:r w:rsidRPr="00264D5D">
              <w:rPr>
                <w:szCs w:val="22"/>
              </w:rPr>
              <w:t>П</w:t>
            </w:r>
          </w:p>
        </w:tc>
        <w:tc>
          <w:tcPr>
            <w:tcW w:w="1134" w:type="dxa"/>
          </w:tcPr>
          <w:p w14:paraId="2B835516" w14:textId="77777777" w:rsidR="00AD1F54" w:rsidRPr="00264D5D" w:rsidRDefault="00941227">
            <w:pPr>
              <w:pStyle w:val="GOSTTablenorm"/>
              <w:rPr>
                <w:szCs w:val="22"/>
              </w:rPr>
            </w:pPr>
            <w:r w:rsidRPr="00264D5D">
              <w:rPr>
                <w:szCs w:val="22"/>
              </w:rPr>
              <w:t>Т(1-100)</w:t>
            </w:r>
          </w:p>
        </w:tc>
        <w:tc>
          <w:tcPr>
            <w:tcW w:w="567" w:type="dxa"/>
          </w:tcPr>
          <w:p w14:paraId="68640807" w14:textId="77777777" w:rsidR="00AD1F54" w:rsidRPr="00264D5D" w:rsidRDefault="00941227">
            <w:pPr>
              <w:pStyle w:val="GOSTTablenorm"/>
              <w:jc w:val="center"/>
              <w:rPr>
                <w:szCs w:val="22"/>
              </w:rPr>
            </w:pPr>
            <w:r w:rsidRPr="00264D5D">
              <w:rPr>
                <w:szCs w:val="22"/>
              </w:rPr>
              <w:t>О</w:t>
            </w:r>
          </w:p>
        </w:tc>
        <w:tc>
          <w:tcPr>
            <w:tcW w:w="3963" w:type="dxa"/>
          </w:tcPr>
          <w:p w14:paraId="6094E8FB" w14:textId="77777777" w:rsidR="00AD1F54" w:rsidRPr="00264D5D" w:rsidRDefault="00941227">
            <w:pPr>
              <w:pStyle w:val="GOSTTablenorm"/>
              <w:rPr>
                <w:szCs w:val="22"/>
              </w:rPr>
            </w:pPr>
            <w:r w:rsidRPr="00264D5D">
              <w:rPr>
                <w:szCs w:val="22"/>
              </w:rPr>
              <w:t xml:space="preserve">Указывается </w:t>
            </w:r>
            <w:r w:rsidRPr="00264D5D">
              <w:t>расшифровка подписи руководителя (уполномоченного лица), подписавшего документ на передающей стор</w:t>
            </w:r>
            <w:r w:rsidR="005D5F06" w:rsidRPr="00264D5D">
              <w:t>оне</w:t>
            </w:r>
          </w:p>
        </w:tc>
      </w:tr>
      <w:tr w:rsidR="00AD1F54" w:rsidRPr="00264D5D" w14:paraId="20A7EA4A" w14:textId="77777777" w:rsidTr="00AD1F54">
        <w:trPr>
          <w:cnfStyle w:val="000000010000" w:firstRow="0" w:lastRow="0" w:firstColumn="0" w:lastColumn="0" w:oddVBand="0" w:evenVBand="0" w:oddHBand="0" w:evenHBand="1" w:firstRowFirstColumn="0" w:firstRowLastColumn="0" w:lastRowFirstColumn="0" w:lastRowLastColumn="0"/>
          <w:trHeight w:val="20"/>
        </w:trPr>
        <w:tc>
          <w:tcPr>
            <w:tcW w:w="1701" w:type="dxa"/>
          </w:tcPr>
          <w:p w14:paraId="57CBC901" w14:textId="77777777" w:rsidR="00AD1F54" w:rsidRPr="00264D5D" w:rsidRDefault="00941227">
            <w:pPr>
              <w:pStyle w:val="GOSTTablenorm"/>
              <w:rPr>
                <w:szCs w:val="22"/>
              </w:rPr>
            </w:pPr>
            <w:r w:rsidRPr="00264D5D">
              <w:t>Должность уполномоченного лица передающего</w:t>
            </w:r>
          </w:p>
        </w:tc>
        <w:tc>
          <w:tcPr>
            <w:tcW w:w="1701" w:type="dxa"/>
          </w:tcPr>
          <w:p w14:paraId="3FEB0B7F" w14:textId="77777777" w:rsidR="00AD1F54" w:rsidRPr="00264D5D" w:rsidRDefault="00941227">
            <w:pPr>
              <w:pStyle w:val="GOSTTablenorm"/>
              <w:rPr>
                <w:szCs w:val="22"/>
              </w:rPr>
            </w:pPr>
            <w:r w:rsidRPr="00264D5D">
              <w:rPr>
                <w:szCs w:val="22"/>
              </w:rPr>
              <w:t>SignatureAttribute1</w:t>
            </w:r>
          </w:p>
        </w:tc>
        <w:tc>
          <w:tcPr>
            <w:tcW w:w="567" w:type="dxa"/>
          </w:tcPr>
          <w:p w14:paraId="3724E2B3" w14:textId="77777777" w:rsidR="00AD1F54" w:rsidRPr="00264D5D" w:rsidRDefault="00941227">
            <w:pPr>
              <w:pStyle w:val="GOSTTablenorm"/>
              <w:jc w:val="center"/>
              <w:rPr>
                <w:szCs w:val="22"/>
              </w:rPr>
            </w:pPr>
            <w:r w:rsidRPr="00264D5D">
              <w:rPr>
                <w:szCs w:val="22"/>
              </w:rPr>
              <w:t>П</w:t>
            </w:r>
          </w:p>
        </w:tc>
        <w:tc>
          <w:tcPr>
            <w:tcW w:w="1134" w:type="dxa"/>
          </w:tcPr>
          <w:p w14:paraId="1D19C585" w14:textId="77777777" w:rsidR="00AD1F54" w:rsidRPr="00264D5D" w:rsidRDefault="00941227">
            <w:pPr>
              <w:pStyle w:val="GOSTTablenorm"/>
              <w:rPr>
                <w:szCs w:val="22"/>
              </w:rPr>
            </w:pPr>
            <w:r w:rsidRPr="00264D5D">
              <w:rPr>
                <w:szCs w:val="22"/>
              </w:rPr>
              <w:t>Т(1-100)</w:t>
            </w:r>
          </w:p>
        </w:tc>
        <w:tc>
          <w:tcPr>
            <w:tcW w:w="567" w:type="dxa"/>
          </w:tcPr>
          <w:p w14:paraId="00BB46A7" w14:textId="77777777" w:rsidR="00AD1F54" w:rsidRPr="00264D5D" w:rsidRDefault="00941227">
            <w:pPr>
              <w:pStyle w:val="GOSTTablenorm"/>
              <w:jc w:val="center"/>
              <w:rPr>
                <w:szCs w:val="22"/>
              </w:rPr>
            </w:pPr>
            <w:r w:rsidRPr="00264D5D">
              <w:rPr>
                <w:szCs w:val="22"/>
              </w:rPr>
              <w:t>Н</w:t>
            </w:r>
          </w:p>
        </w:tc>
        <w:tc>
          <w:tcPr>
            <w:tcW w:w="3963" w:type="dxa"/>
          </w:tcPr>
          <w:p w14:paraId="2B922526" w14:textId="77777777" w:rsidR="00AD1F54" w:rsidRPr="00264D5D" w:rsidRDefault="00941227">
            <w:pPr>
              <w:pStyle w:val="GOSTTablenorm"/>
            </w:pPr>
            <w:r w:rsidRPr="00264D5D">
              <w:t>Указывается должность уполномоченного лица, подписавшего документ на передающей стороне. При подписании ру</w:t>
            </w:r>
            <w:r w:rsidR="005D5F06" w:rsidRPr="00264D5D">
              <w:t>ководителем поле не заполняется</w:t>
            </w:r>
          </w:p>
        </w:tc>
      </w:tr>
      <w:tr w:rsidR="00AD1F54" w:rsidRPr="00264D5D" w14:paraId="11CF1FCF" w14:textId="77777777" w:rsidTr="00AD1F54">
        <w:trPr>
          <w:cnfStyle w:val="000000100000" w:firstRow="0" w:lastRow="0" w:firstColumn="0" w:lastColumn="0" w:oddVBand="0" w:evenVBand="0" w:oddHBand="1" w:evenHBand="0" w:firstRowFirstColumn="0" w:firstRowLastColumn="0" w:lastRowFirstColumn="0" w:lastRowLastColumn="0"/>
          <w:trHeight w:val="20"/>
        </w:trPr>
        <w:tc>
          <w:tcPr>
            <w:tcW w:w="1701" w:type="dxa"/>
          </w:tcPr>
          <w:p w14:paraId="64D3E2CC" w14:textId="77777777" w:rsidR="00AD1F54" w:rsidRPr="00264D5D" w:rsidRDefault="00941227">
            <w:pPr>
              <w:pStyle w:val="GOSTTablenorm"/>
              <w:rPr>
                <w:szCs w:val="22"/>
              </w:rPr>
            </w:pPr>
            <w:r w:rsidRPr="00264D5D">
              <w:rPr>
                <w:szCs w:val="22"/>
              </w:rPr>
              <w:t>Главный бухгалтер (уполномоченное лицо) передающий</w:t>
            </w:r>
          </w:p>
        </w:tc>
        <w:tc>
          <w:tcPr>
            <w:tcW w:w="1701" w:type="dxa"/>
          </w:tcPr>
          <w:p w14:paraId="2FB0A05D" w14:textId="77777777" w:rsidR="00AD1F54" w:rsidRPr="00264D5D" w:rsidRDefault="00941227">
            <w:pPr>
              <w:pStyle w:val="GOSTTablenorm"/>
              <w:rPr>
                <w:szCs w:val="22"/>
              </w:rPr>
            </w:pPr>
            <w:r w:rsidRPr="00264D5D">
              <w:rPr>
                <w:szCs w:val="22"/>
              </w:rPr>
              <w:t>SignatureAttribute6</w:t>
            </w:r>
          </w:p>
        </w:tc>
        <w:tc>
          <w:tcPr>
            <w:tcW w:w="567" w:type="dxa"/>
          </w:tcPr>
          <w:p w14:paraId="2604CF54" w14:textId="77777777" w:rsidR="00AD1F54" w:rsidRPr="00264D5D" w:rsidRDefault="00941227">
            <w:pPr>
              <w:pStyle w:val="GOSTTablenorm"/>
              <w:jc w:val="center"/>
              <w:rPr>
                <w:szCs w:val="22"/>
              </w:rPr>
            </w:pPr>
            <w:r w:rsidRPr="00264D5D">
              <w:rPr>
                <w:szCs w:val="22"/>
              </w:rPr>
              <w:t>П</w:t>
            </w:r>
          </w:p>
        </w:tc>
        <w:tc>
          <w:tcPr>
            <w:tcW w:w="1134" w:type="dxa"/>
          </w:tcPr>
          <w:p w14:paraId="21927E31" w14:textId="77777777" w:rsidR="00AD1F54" w:rsidRPr="00264D5D" w:rsidRDefault="00941227">
            <w:pPr>
              <w:pStyle w:val="GOSTTablenorm"/>
              <w:rPr>
                <w:szCs w:val="22"/>
              </w:rPr>
            </w:pPr>
            <w:r w:rsidRPr="00264D5D">
              <w:rPr>
                <w:szCs w:val="22"/>
              </w:rPr>
              <w:t>Т(1-100)</w:t>
            </w:r>
          </w:p>
        </w:tc>
        <w:tc>
          <w:tcPr>
            <w:tcW w:w="567" w:type="dxa"/>
          </w:tcPr>
          <w:p w14:paraId="0BFFEBE1" w14:textId="77777777" w:rsidR="00AD1F54" w:rsidRPr="00264D5D" w:rsidRDefault="00941227">
            <w:pPr>
              <w:pStyle w:val="GOSTTablenorm"/>
              <w:jc w:val="center"/>
              <w:rPr>
                <w:szCs w:val="22"/>
              </w:rPr>
            </w:pPr>
            <w:r w:rsidRPr="00264D5D">
              <w:rPr>
                <w:szCs w:val="22"/>
              </w:rPr>
              <w:t>О</w:t>
            </w:r>
          </w:p>
        </w:tc>
        <w:tc>
          <w:tcPr>
            <w:tcW w:w="3963" w:type="dxa"/>
          </w:tcPr>
          <w:p w14:paraId="7408D48D" w14:textId="77777777" w:rsidR="00AD1F54" w:rsidRPr="00264D5D" w:rsidRDefault="00941227">
            <w:pPr>
              <w:pStyle w:val="GOSTTablenorm"/>
              <w:rPr>
                <w:szCs w:val="22"/>
              </w:rPr>
            </w:pPr>
            <w:r w:rsidRPr="00264D5D">
              <w:t xml:space="preserve">Указывается расшифровка подписи главного бухгалтера (уполномоченного лица), подписавшего </w:t>
            </w:r>
            <w:r w:rsidR="005D5F06" w:rsidRPr="00264D5D">
              <w:t>документ на передающей стороне</w:t>
            </w:r>
          </w:p>
        </w:tc>
      </w:tr>
      <w:tr w:rsidR="00AD1F54" w:rsidRPr="00264D5D" w14:paraId="7122019D" w14:textId="77777777" w:rsidTr="00AD1F54">
        <w:trPr>
          <w:cnfStyle w:val="000000010000" w:firstRow="0" w:lastRow="0" w:firstColumn="0" w:lastColumn="0" w:oddVBand="0" w:evenVBand="0" w:oddHBand="0" w:evenHBand="1" w:firstRowFirstColumn="0" w:firstRowLastColumn="0" w:lastRowFirstColumn="0" w:lastRowLastColumn="0"/>
          <w:trHeight w:val="20"/>
        </w:trPr>
        <w:tc>
          <w:tcPr>
            <w:tcW w:w="1701" w:type="dxa"/>
          </w:tcPr>
          <w:p w14:paraId="520401F8" w14:textId="77777777" w:rsidR="00AD1F54" w:rsidRPr="00264D5D" w:rsidRDefault="00941227">
            <w:pPr>
              <w:pStyle w:val="GOSTTablenorm"/>
              <w:rPr>
                <w:szCs w:val="22"/>
              </w:rPr>
            </w:pPr>
            <w:r w:rsidRPr="00264D5D">
              <w:lastRenderedPageBreak/>
              <w:t>Должность уполномоченного лица-бухгалтера передающего</w:t>
            </w:r>
          </w:p>
        </w:tc>
        <w:tc>
          <w:tcPr>
            <w:tcW w:w="1701" w:type="dxa"/>
          </w:tcPr>
          <w:p w14:paraId="7ECC62A7" w14:textId="77777777" w:rsidR="00AD1F54" w:rsidRPr="00264D5D" w:rsidRDefault="00941227">
            <w:pPr>
              <w:pStyle w:val="GOSTTablenorm"/>
              <w:rPr>
                <w:szCs w:val="22"/>
              </w:rPr>
            </w:pPr>
            <w:r w:rsidRPr="00264D5D">
              <w:rPr>
                <w:szCs w:val="22"/>
              </w:rPr>
              <w:t>SignatureAttribute5</w:t>
            </w:r>
          </w:p>
        </w:tc>
        <w:tc>
          <w:tcPr>
            <w:tcW w:w="567" w:type="dxa"/>
          </w:tcPr>
          <w:p w14:paraId="01F19F87" w14:textId="77777777" w:rsidR="00AD1F54" w:rsidRPr="00264D5D" w:rsidRDefault="00941227">
            <w:pPr>
              <w:pStyle w:val="GOSTTablenorm"/>
              <w:jc w:val="center"/>
              <w:rPr>
                <w:szCs w:val="22"/>
              </w:rPr>
            </w:pPr>
            <w:r w:rsidRPr="00264D5D">
              <w:rPr>
                <w:szCs w:val="22"/>
              </w:rPr>
              <w:t>П</w:t>
            </w:r>
          </w:p>
        </w:tc>
        <w:tc>
          <w:tcPr>
            <w:tcW w:w="1134" w:type="dxa"/>
          </w:tcPr>
          <w:p w14:paraId="2D819F16" w14:textId="77777777" w:rsidR="00AD1F54" w:rsidRPr="00264D5D" w:rsidRDefault="00941227">
            <w:pPr>
              <w:pStyle w:val="GOSTTablenorm"/>
              <w:rPr>
                <w:szCs w:val="22"/>
              </w:rPr>
            </w:pPr>
            <w:r w:rsidRPr="00264D5D">
              <w:rPr>
                <w:szCs w:val="22"/>
              </w:rPr>
              <w:t>Т(1-100)</w:t>
            </w:r>
          </w:p>
        </w:tc>
        <w:tc>
          <w:tcPr>
            <w:tcW w:w="567" w:type="dxa"/>
          </w:tcPr>
          <w:p w14:paraId="60C0ECCE" w14:textId="77777777" w:rsidR="00AD1F54" w:rsidRPr="00264D5D" w:rsidRDefault="00941227">
            <w:pPr>
              <w:pStyle w:val="GOSTTablenorm"/>
              <w:jc w:val="center"/>
              <w:rPr>
                <w:szCs w:val="22"/>
              </w:rPr>
            </w:pPr>
            <w:r w:rsidRPr="00264D5D">
              <w:rPr>
                <w:szCs w:val="22"/>
              </w:rPr>
              <w:t>Н</w:t>
            </w:r>
          </w:p>
        </w:tc>
        <w:tc>
          <w:tcPr>
            <w:tcW w:w="3963" w:type="dxa"/>
          </w:tcPr>
          <w:p w14:paraId="64497533" w14:textId="77777777" w:rsidR="00AD1F54" w:rsidRPr="00264D5D" w:rsidRDefault="00941227">
            <w:pPr>
              <w:pStyle w:val="GOSTTablenorm"/>
            </w:pPr>
            <w:r w:rsidRPr="00264D5D">
              <w:t xml:space="preserve">Указывается должность уполномоченного лица, подписавшего документ на передающей стороне. При подписании главным </w:t>
            </w:r>
            <w:r w:rsidR="005D5F06" w:rsidRPr="00264D5D">
              <w:t>бухгалтером поле не заполняется</w:t>
            </w:r>
          </w:p>
        </w:tc>
      </w:tr>
      <w:tr w:rsidR="00AD1F54" w:rsidRPr="00264D5D" w14:paraId="285E65E3" w14:textId="77777777" w:rsidTr="00AD1F54">
        <w:trPr>
          <w:cnfStyle w:val="000000100000" w:firstRow="0" w:lastRow="0" w:firstColumn="0" w:lastColumn="0" w:oddVBand="0" w:evenVBand="0" w:oddHBand="1" w:evenHBand="0" w:firstRowFirstColumn="0" w:firstRowLastColumn="0" w:lastRowFirstColumn="0" w:lastRowLastColumn="0"/>
          <w:trHeight w:val="20"/>
        </w:trPr>
        <w:tc>
          <w:tcPr>
            <w:tcW w:w="1701" w:type="dxa"/>
          </w:tcPr>
          <w:p w14:paraId="40A4C6F1" w14:textId="77777777" w:rsidR="00AD1F54" w:rsidRPr="00264D5D" w:rsidRDefault="00941227">
            <w:pPr>
              <w:pStyle w:val="GOSTTablenorm"/>
              <w:rPr>
                <w:szCs w:val="22"/>
              </w:rPr>
            </w:pPr>
            <w:r w:rsidRPr="00264D5D">
              <w:t>Руководитель (уполномоченное лицо) принимающий</w:t>
            </w:r>
          </w:p>
        </w:tc>
        <w:tc>
          <w:tcPr>
            <w:tcW w:w="1701" w:type="dxa"/>
          </w:tcPr>
          <w:p w14:paraId="0C70DC67" w14:textId="77777777" w:rsidR="00AD1F54" w:rsidRPr="00264D5D" w:rsidRDefault="00941227">
            <w:pPr>
              <w:pStyle w:val="GOSTTablenorm"/>
              <w:rPr>
                <w:szCs w:val="22"/>
              </w:rPr>
            </w:pPr>
            <w:r w:rsidRPr="00264D5D">
              <w:rPr>
                <w:szCs w:val="22"/>
              </w:rPr>
              <w:t>SignatureAttribute10</w:t>
            </w:r>
          </w:p>
        </w:tc>
        <w:tc>
          <w:tcPr>
            <w:tcW w:w="567" w:type="dxa"/>
          </w:tcPr>
          <w:p w14:paraId="60C40E84" w14:textId="77777777" w:rsidR="00AD1F54" w:rsidRPr="00264D5D" w:rsidRDefault="00941227">
            <w:pPr>
              <w:pStyle w:val="GOSTTablenorm"/>
              <w:jc w:val="center"/>
              <w:rPr>
                <w:szCs w:val="22"/>
              </w:rPr>
            </w:pPr>
            <w:r w:rsidRPr="00264D5D">
              <w:rPr>
                <w:szCs w:val="22"/>
              </w:rPr>
              <w:t>П</w:t>
            </w:r>
          </w:p>
        </w:tc>
        <w:tc>
          <w:tcPr>
            <w:tcW w:w="1134" w:type="dxa"/>
          </w:tcPr>
          <w:p w14:paraId="5C6DD982" w14:textId="77777777" w:rsidR="00AD1F54" w:rsidRPr="00264D5D" w:rsidRDefault="00941227">
            <w:pPr>
              <w:pStyle w:val="GOSTTablenorm"/>
              <w:rPr>
                <w:szCs w:val="22"/>
              </w:rPr>
            </w:pPr>
            <w:r w:rsidRPr="00264D5D">
              <w:rPr>
                <w:szCs w:val="22"/>
              </w:rPr>
              <w:t>Т(1-100)</w:t>
            </w:r>
          </w:p>
        </w:tc>
        <w:tc>
          <w:tcPr>
            <w:tcW w:w="567" w:type="dxa"/>
          </w:tcPr>
          <w:p w14:paraId="7D3E3E38" w14:textId="77777777" w:rsidR="00AD1F54" w:rsidRPr="00264D5D" w:rsidRDefault="00941227">
            <w:pPr>
              <w:pStyle w:val="GOSTTablenorm"/>
              <w:jc w:val="center"/>
              <w:rPr>
                <w:szCs w:val="22"/>
              </w:rPr>
            </w:pPr>
            <w:r w:rsidRPr="00264D5D">
              <w:rPr>
                <w:szCs w:val="22"/>
              </w:rPr>
              <w:t>О</w:t>
            </w:r>
          </w:p>
        </w:tc>
        <w:tc>
          <w:tcPr>
            <w:tcW w:w="3963" w:type="dxa"/>
          </w:tcPr>
          <w:p w14:paraId="57E5DD0F" w14:textId="77777777" w:rsidR="00AD1F54" w:rsidRPr="00264D5D" w:rsidRDefault="00941227">
            <w:pPr>
              <w:pStyle w:val="GOSTTablenorm"/>
            </w:pPr>
            <w:r w:rsidRPr="00264D5D">
              <w:t xml:space="preserve">Указывается расшифровка подписи руководителя (уполномоченного лица), подписавшего </w:t>
            </w:r>
            <w:r w:rsidR="005D5F06" w:rsidRPr="00264D5D">
              <w:t>документ на принимающей стороне</w:t>
            </w:r>
          </w:p>
        </w:tc>
      </w:tr>
      <w:tr w:rsidR="00AD1F54" w:rsidRPr="00264D5D" w14:paraId="4A39E9AD" w14:textId="77777777" w:rsidTr="00AD1F54">
        <w:trPr>
          <w:cnfStyle w:val="000000010000" w:firstRow="0" w:lastRow="0" w:firstColumn="0" w:lastColumn="0" w:oddVBand="0" w:evenVBand="0" w:oddHBand="0" w:evenHBand="1" w:firstRowFirstColumn="0" w:firstRowLastColumn="0" w:lastRowFirstColumn="0" w:lastRowLastColumn="0"/>
          <w:trHeight w:val="20"/>
        </w:trPr>
        <w:tc>
          <w:tcPr>
            <w:tcW w:w="1701" w:type="dxa"/>
          </w:tcPr>
          <w:p w14:paraId="48777C59" w14:textId="77777777" w:rsidR="00AD1F54" w:rsidRPr="00264D5D" w:rsidRDefault="00941227">
            <w:pPr>
              <w:pStyle w:val="GOSTTablenorm"/>
              <w:rPr>
                <w:szCs w:val="22"/>
              </w:rPr>
            </w:pPr>
            <w:r w:rsidRPr="00264D5D">
              <w:t>Должность уполномоченного лица принимающего</w:t>
            </w:r>
          </w:p>
        </w:tc>
        <w:tc>
          <w:tcPr>
            <w:tcW w:w="1701" w:type="dxa"/>
          </w:tcPr>
          <w:p w14:paraId="2AEA35BB" w14:textId="77777777" w:rsidR="00AD1F54" w:rsidRPr="00264D5D" w:rsidRDefault="00941227">
            <w:pPr>
              <w:pStyle w:val="GOSTTablenorm"/>
              <w:rPr>
                <w:szCs w:val="22"/>
              </w:rPr>
            </w:pPr>
            <w:r w:rsidRPr="00264D5D">
              <w:rPr>
                <w:szCs w:val="22"/>
              </w:rPr>
              <w:t>SignatureAttribute9</w:t>
            </w:r>
          </w:p>
        </w:tc>
        <w:tc>
          <w:tcPr>
            <w:tcW w:w="567" w:type="dxa"/>
          </w:tcPr>
          <w:p w14:paraId="761C00C6" w14:textId="77777777" w:rsidR="00AD1F54" w:rsidRPr="00264D5D" w:rsidRDefault="00941227">
            <w:pPr>
              <w:pStyle w:val="GOSTTablenorm"/>
              <w:jc w:val="center"/>
              <w:rPr>
                <w:szCs w:val="22"/>
              </w:rPr>
            </w:pPr>
            <w:r w:rsidRPr="00264D5D">
              <w:rPr>
                <w:szCs w:val="22"/>
              </w:rPr>
              <w:t>П</w:t>
            </w:r>
          </w:p>
        </w:tc>
        <w:tc>
          <w:tcPr>
            <w:tcW w:w="1134" w:type="dxa"/>
          </w:tcPr>
          <w:p w14:paraId="2B56B4D3" w14:textId="77777777" w:rsidR="00AD1F54" w:rsidRPr="00264D5D" w:rsidRDefault="00941227">
            <w:pPr>
              <w:pStyle w:val="GOSTTablenorm"/>
              <w:rPr>
                <w:szCs w:val="22"/>
              </w:rPr>
            </w:pPr>
            <w:r w:rsidRPr="00264D5D">
              <w:rPr>
                <w:szCs w:val="22"/>
              </w:rPr>
              <w:t>Т(1-100)</w:t>
            </w:r>
          </w:p>
        </w:tc>
        <w:tc>
          <w:tcPr>
            <w:tcW w:w="567" w:type="dxa"/>
          </w:tcPr>
          <w:p w14:paraId="3863D719" w14:textId="77777777" w:rsidR="00AD1F54" w:rsidRPr="00264D5D" w:rsidRDefault="00941227">
            <w:pPr>
              <w:pStyle w:val="GOSTTablenorm"/>
              <w:jc w:val="center"/>
              <w:rPr>
                <w:szCs w:val="22"/>
              </w:rPr>
            </w:pPr>
            <w:r w:rsidRPr="00264D5D">
              <w:rPr>
                <w:szCs w:val="22"/>
              </w:rPr>
              <w:t>Н</w:t>
            </w:r>
          </w:p>
        </w:tc>
        <w:tc>
          <w:tcPr>
            <w:tcW w:w="3963" w:type="dxa"/>
          </w:tcPr>
          <w:p w14:paraId="693FA8C1" w14:textId="77777777" w:rsidR="00AD1F54" w:rsidRPr="00264D5D" w:rsidRDefault="00941227">
            <w:pPr>
              <w:pStyle w:val="GOSTTablenorm"/>
            </w:pPr>
            <w:r w:rsidRPr="00264D5D">
              <w:t>Указывается должность уполномоченного лица, подписавшего документ на принимающей стороне. При подписании ру</w:t>
            </w:r>
            <w:r w:rsidR="005D5F06" w:rsidRPr="00264D5D">
              <w:t>ководителем поле не заполняется</w:t>
            </w:r>
          </w:p>
        </w:tc>
      </w:tr>
      <w:tr w:rsidR="00AD1F54" w:rsidRPr="00264D5D" w14:paraId="51E44BF8" w14:textId="77777777" w:rsidTr="00AD1F54">
        <w:trPr>
          <w:cnfStyle w:val="000000100000" w:firstRow="0" w:lastRow="0" w:firstColumn="0" w:lastColumn="0" w:oddVBand="0" w:evenVBand="0" w:oddHBand="1" w:evenHBand="0" w:firstRowFirstColumn="0" w:firstRowLastColumn="0" w:lastRowFirstColumn="0" w:lastRowLastColumn="0"/>
          <w:trHeight w:val="20"/>
        </w:trPr>
        <w:tc>
          <w:tcPr>
            <w:tcW w:w="1701" w:type="dxa"/>
          </w:tcPr>
          <w:p w14:paraId="2AC66B77" w14:textId="77777777" w:rsidR="00AD1F54" w:rsidRPr="00264D5D" w:rsidRDefault="00941227">
            <w:pPr>
              <w:pStyle w:val="GOSTTablenorm"/>
              <w:rPr>
                <w:szCs w:val="22"/>
              </w:rPr>
            </w:pPr>
            <w:r w:rsidRPr="00264D5D">
              <w:t>Главный бухгалтер (уполномоченное лицо) принимающий</w:t>
            </w:r>
          </w:p>
        </w:tc>
        <w:tc>
          <w:tcPr>
            <w:tcW w:w="1701" w:type="dxa"/>
          </w:tcPr>
          <w:p w14:paraId="19157100" w14:textId="77777777" w:rsidR="00AD1F54" w:rsidRPr="00264D5D" w:rsidRDefault="00941227">
            <w:pPr>
              <w:pStyle w:val="GOSTTablenorm"/>
              <w:rPr>
                <w:szCs w:val="22"/>
              </w:rPr>
            </w:pPr>
            <w:r w:rsidRPr="00264D5D">
              <w:rPr>
                <w:szCs w:val="22"/>
              </w:rPr>
              <w:t>SignatureAttribute14</w:t>
            </w:r>
          </w:p>
        </w:tc>
        <w:tc>
          <w:tcPr>
            <w:tcW w:w="567" w:type="dxa"/>
          </w:tcPr>
          <w:p w14:paraId="669CCC63" w14:textId="77777777" w:rsidR="00AD1F54" w:rsidRPr="00264D5D" w:rsidRDefault="00941227">
            <w:pPr>
              <w:pStyle w:val="GOSTTablenorm"/>
              <w:jc w:val="center"/>
              <w:rPr>
                <w:szCs w:val="22"/>
              </w:rPr>
            </w:pPr>
            <w:r w:rsidRPr="00264D5D">
              <w:rPr>
                <w:szCs w:val="22"/>
              </w:rPr>
              <w:t>П</w:t>
            </w:r>
          </w:p>
        </w:tc>
        <w:tc>
          <w:tcPr>
            <w:tcW w:w="1134" w:type="dxa"/>
          </w:tcPr>
          <w:p w14:paraId="2859E56E" w14:textId="77777777" w:rsidR="00AD1F54" w:rsidRPr="00264D5D" w:rsidRDefault="00941227">
            <w:pPr>
              <w:pStyle w:val="GOSTTablenorm"/>
              <w:rPr>
                <w:szCs w:val="22"/>
              </w:rPr>
            </w:pPr>
            <w:r w:rsidRPr="00264D5D">
              <w:rPr>
                <w:szCs w:val="22"/>
              </w:rPr>
              <w:t>Т(1-100)</w:t>
            </w:r>
          </w:p>
        </w:tc>
        <w:tc>
          <w:tcPr>
            <w:tcW w:w="567" w:type="dxa"/>
          </w:tcPr>
          <w:p w14:paraId="1BC38348" w14:textId="77777777" w:rsidR="00AD1F54" w:rsidRPr="00264D5D" w:rsidRDefault="00941227">
            <w:pPr>
              <w:pStyle w:val="GOSTTablenorm"/>
              <w:jc w:val="center"/>
              <w:rPr>
                <w:szCs w:val="22"/>
              </w:rPr>
            </w:pPr>
            <w:r w:rsidRPr="00264D5D">
              <w:rPr>
                <w:szCs w:val="22"/>
              </w:rPr>
              <w:t>О</w:t>
            </w:r>
          </w:p>
        </w:tc>
        <w:tc>
          <w:tcPr>
            <w:tcW w:w="3963" w:type="dxa"/>
          </w:tcPr>
          <w:p w14:paraId="36901E39" w14:textId="77777777" w:rsidR="00AD1F54" w:rsidRPr="00264D5D" w:rsidRDefault="00941227">
            <w:pPr>
              <w:pStyle w:val="GOSTTablenorm"/>
              <w:rPr>
                <w:szCs w:val="22"/>
              </w:rPr>
            </w:pPr>
            <w:r w:rsidRPr="00264D5D">
              <w:t>Указывается расшифровка подписи главного бухгалтера (уполномоченного лица), подписавшего документ на принимающей сто</w:t>
            </w:r>
            <w:r w:rsidR="005D5F06" w:rsidRPr="00264D5D">
              <w:t>роне</w:t>
            </w:r>
          </w:p>
        </w:tc>
      </w:tr>
      <w:tr w:rsidR="00AD1F54" w:rsidRPr="00264D5D" w14:paraId="48D5546E" w14:textId="77777777" w:rsidTr="00AD1F54">
        <w:trPr>
          <w:cnfStyle w:val="000000010000" w:firstRow="0" w:lastRow="0" w:firstColumn="0" w:lastColumn="0" w:oddVBand="0" w:evenVBand="0" w:oddHBand="0" w:evenHBand="1" w:firstRowFirstColumn="0" w:firstRowLastColumn="0" w:lastRowFirstColumn="0" w:lastRowLastColumn="0"/>
          <w:trHeight w:val="20"/>
        </w:trPr>
        <w:tc>
          <w:tcPr>
            <w:tcW w:w="1701" w:type="dxa"/>
          </w:tcPr>
          <w:p w14:paraId="3E434C13" w14:textId="77777777" w:rsidR="00AD1F54" w:rsidRPr="00264D5D" w:rsidRDefault="00941227">
            <w:pPr>
              <w:pStyle w:val="GOSTTablenorm"/>
              <w:rPr>
                <w:szCs w:val="22"/>
              </w:rPr>
            </w:pPr>
            <w:r w:rsidRPr="00264D5D">
              <w:t>Должность уполномоченного лица-бухгалтера принимающего</w:t>
            </w:r>
          </w:p>
        </w:tc>
        <w:tc>
          <w:tcPr>
            <w:tcW w:w="1701" w:type="dxa"/>
          </w:tcPr>
          <w:p w14:paraId="36CA4CB8" w14:textId="77777777" w:rsidR="00AD1F54" w:rsidRPr="00264D5D" w:rsidRDefault="00941227">
            <w:pPr>
              <w:pStyle w:val="GOSTTablenorm"/>
              <w:rPr>
                <w:szCs w:val="22"/>
              </w:rPr>
            </w:pPr>
            <w:r w:rsidRPr="00264D5D">
              <w:rPr>
                <w:szCs w:val="22"/>
              </w:rPr>
              <w:t>SignatureAttribute13</w:t>
            </w:r>
          </w:p>
        </w:tc>
        <w:tc>
          <w:tcPr>
            <w:tcW w:w="567" w:type="dxa"/>
          </w:tcPr>
          <w:p w14:paraId="09EE0431" w14:textId="77777777" w:rsidR="00AD1F54" w:rsidRPr="00264D5D" w:rsidRDefault="00941227">
            <w:pPr>
              <w:pStyle w:val="GOSTTablenorm"/>
              <w:jc w:val="center"/>
              <w:rPr>
                <w:szCs w:val="22"/>
              </w:rPr>
            </w:pPr>
            <w:r w:rsidRPr="00264D5D">
              <w:rPr>
                <w:szCs w:val="22"/>
              </w:rPr>
              <w:t>П</w:t>
            </w:r>
          </w:p>
        </w:tc>
        <w:tc>
          <w:tcPr>
            <w:tcW w:w="1134" w:type="dxa"/>
          </w:tcPr>
          <w:p w14:paraId="0B237B02" w14:textId="77777777" w:rsidR="00AD1F54" w:rsidRPr="00264D5D" w:rsidRDefault="00941227">
            <w:pPr>
              <w:pStyle w:val="GOSTTablenorm"/>
              <w:rPr>
                <w:szCs w:val="22"/>
              </w:rPr>
            </w:pPr>
            <w:r w:rsidRPr="00264D5D">
              <w:rPr>
                <w:szCs w:val="22"/>
              </w:rPr>
              <w:t>Т(1-100)</w:t>
            </w:r>
          </w:p>
        </w:tc>
        <w:tc>
          <w:tcPr>
            <w:tcW w:w="567" w:type="dxa"/>
          </w:tcPr>
          <w:p w14:paraId="6B32BFD6" w14:textId="77777777" w:rsidR="00AD1F54" w:rsidRPr="00264D5D" w:rsidRDefault="00941227">
            <w:pPr>
              <w:pStyle w:val="GOSTTablenorm"/>
              <w:jc w:val="center"/>
              <w:rPr>
                <w:szCs w:val="22"/>
              </w:rPr>
            </w:pPr>
            <w:r w:rsidRPr="00264D5D">
              <w:rPr>
                <w:szCs w:val="22"/>
              </w:rPr>
              <w:t>Н</w:t>
            </w:r>
          </w:p>
        </w:tc>
        <w:tc>
          <w:tcPr>
            <w:tcW w:w="3963" w:type="dxa"/>
          </w:tcPr>
          <w:p w14:paraId="14F652DB" w14:textId="77777777" w:rsidR="00AD1F54" w:rsidRPr="00264D5D" w:rsidRDefault="00941227">
            <w:pPr>
              <w:pStyle w:val="GOSTTablenorm"/>
            </w:pPr>
            <w:r w:rsidRPr="00264D5D">
              <w:t xml:space="preserve">Указывается должность уполномоченного лица, подписавшего документ на принимающей стороне. При подписании главным </w:t>
            </w:r>
            <w:r w:rsidR="005D5F06" w:rsidRPr="00264D5D">
              <w:t>бухгалтером поле не заполняется</w:t>
            </w:r>
          </w:p>
        </w:tc>
      </w:tr>
      <w:tr w:rsidR="00AD1F54" w:rsidRPr="00264D5D" w14:paraId="292E0812" w14:textId="77777777" w:rsidTr="00AD1F54">
        <w:trPr>
          <w:cnfStyle w:val="000000100000" w:firstRow="0" w:lastRow="0" w:firstColumn="0" w:lastColumn="0" w:oddVBand="0" w:evenVBand="0" w:oddHBand="1" w:evenHBand="0" w:firstRowFirstColumn="0" w:firstRowLastColumn="0" w:lastRowFirstColumn="0" w:lastRowLastColumn="0"/>
          <w:trHeight w:val="20"/>
        </w:trPr>
        <w:tc>
          <w:tcPr>
            <w:tcW w:w="9634" w:type="dxa"/>
            <w:gridSpan w:val="6"/>
          </w:tcPr>
          <w:p w14:paraId="3B14D4A1" w14:textId="77777777" w:rsidR="00AD1F54" w:rsidRPr="00264D5D" w:rsidRDefault="00941227">
            <w:pPr>
              <w:pStyle w:val="GOSTTablenorm"/>
            </w:pPr>
            <w:r w:rsidRPr="00264D5D">
              <w:rPr>
                <w:b/>
                <w:szCs w:val="22"/>
              </w:rPr>
              <w:t>Строки документа (Line)</w:t>
            </w:r>
          </w:p>
        </w:tc>
      </w:tr>
      <w:tr w:rsidR="00AD1F54" w:rsidRPr="00264D5D" w14:paraId="2827C64D"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65F85D60" w14:textId="77777777" w:rsidR="00AD1F54" w:rsidRPr="00264D5D" w:rsidRDefault="00941227">
            <w:pPr>
              <w:pStyle w:val="GOSTTablenorm"/>
              <w:rPr>
                <w:b/>
                <w:szCs w:val="22"/>
              </w:rPr>
            </w:pPr>
            <w:r w:rsidRPr="00264D5D">
              <w:rPr>
                <w:b/>
              </w:rPr>
              <w:t>Раздел 1. Бюджетные средства (детализированные строки)</w:t>
            </w:r>
          </w:p>
        </w:tc>
        <w:tc>
          <w:tcPr>
            <w:tcW w:w="1701" w:type="dxa"/>
          </w:tcPr>
          <w:p w14:paraId="0423069E" w14:textId="77777777" w:rsidR="00AD1F54" w:rsidRPr="00264D5D" w:rsidRDefault="00941227">
            <w:pPr>
              <w:pStyle w:val="GOSTTablenorm"/>
              <w:rPr>
                <w:b/>
                <w:szCs w:val="22"/>
              </w:rPr>
            </w:pPr>
            <w:r w:rsidRPr="00264D5D">
              <w:rPr>
                <w:b/>
                <w:szCs w:val="22"/>
              </w:rPr>
              <w:t>Line</w:t>
            </w:r>
          </w:p>
        </w:tc>
        <w:tc>
          <w:tcPr>
            <w:tcW w:w="567" w:type="dxa"/>
          </w:tcPr>
          <w:p w14:paraId="4EC18D9A" w14:textId="77777777" w:rsidR="00AD1F54" w:rsidRPr="00264D5D" w:rsidRDefault="00941227">
            <w:pPr>
              <w:pStyle w:val="GOSTTablenorm"/>
              <w:jc w:val="center"/>
              <w:rPr>
                <w:b/>
                <w:szCs w:val="22"/>
              </w:rPr>
            </w:pPr>
            <w:r w:rsidRPr="00264D5D">
              <w:rPr>
                <w:b/>
                <w:szCs w:val="22"/>
              </w:rPr>
              <w:t>-</w:t>
            </w:r>
          </w:p>
        </w:tc>
        <w:tc>
          <w:tcPr>
            <w:tcW w:w="1134" w:type="dxa"/>
          </w:tcPr>
          <w:p w14:paraId="72621B3E" w14:textId="77777777" w:rsidR="00AD1F54" w:rsidRPr="00264D5D" w:rsidRDefault="00941227">
            <w:pPr>
              <w:pStyle w:val="GOSTTablenorm"/>
              <w:rPr>
                <w:b/>
                <w:szCs w:val="22"/>
              </w:rPr>
            </w:pPr>
            <w:r w:rsidRPr="00264D5D">
              <w:rPr>
                <w:b/>
                <w:szCs w:val="22"/>
              </w:rPr>
              <w:t>-</w:t>
            </w:r>
          </w:p>
        </w:tc>
        <w:tc>
          <w:tcPr>
            <w:tcW w:w="567" w:type="dxa"/>
          </w:tcPr>
          <w:p w14:paraId="38BC129C" w14:textId="77777777" w:rsidR="00AD1F54" w:rsidRPr="00264D5D" w:rsidRDefault="00941227">
            <w:pPr>
              <w:pStyle w:val="GOSTTablenorm"/>
              <w:jc w:val="center"/>
              <w:rPr>
                <w:b/>
                <w:szCs w:val="22"/>
              </w:rPr>
            </w:pPr>
            <w:r w:rsidRPr="00264D5D">
              <w:rPr>
                <w:b/>
                <w:szCs w:val="22"/>
              </w:rPr>
              <w:t>НМ</w:t>
            </w:r>
          </w:p>
        </w:tc>
        <w:tc>
          <w:tcPr>
            <w:tcW w:w="3963" w:type="dxa"/>
          </w:tcPr>
          <w:p w14:paraId="2222B288" w14:textId="77777777" w:rsidR="00AD1F54" w:rsidRPr="00264D5D" w:rsidRDefault="00941227">
            <w:pPr>
              <w:pStyle w:val="GOSTTablenorm"/>
              <w:rPr>
                <w:b/>
                <w:szCs w:val="22"/>
              </w:rPr>
            </w:pPr>
            <w:r w:rsidRPr="00264D5D">
              <w:rPr>
                <w:b/>
                <w:szCs w:val="22"/>
              </w:rPr>
              <w:t>-</w:t>
            </w:r>
          </w:p>
        </w:tc>
      </w:tr>
      <w:tr w:rsidR="00AD1F54" w:rsidRPr="00264D5D" w14:paraId="0A6FB780"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8EF48F9" w14:textId="77777777" w:rsidR="00AD1F54" w:rsidRPr="00264D5D" w:rsidRDefault="00941227">
            <w:pPr>
              <w:pStyle w:val="GOSTTablenorm"/>
            </w:pPr>
            <w:r w:rsidRPr="00264D5D">
              <w:t>Номер секции формы</w:t>
            </w:r>
          </w:p>
          <w:p w14:paraId="2ECF397F" w14:textId="77777777" w:rsidR="00AD1F54" w:rsidRPr="00264D5D" w:rsidRDefault="00AD1F54">
            <w:pPr>
              <w:pStyle w:val="GOSTTablenorm"/>
              <w:rPr>
                <w:szCs w:val="22"/>
              </w:rPr>
            </w:pPr>
          </w:p>
        </w:tc>
        <w:tc>
          <w:tcPr>
            <w:tcW w:w="1701" w:type="dxa"/>
          </w:tcPr>
          <w:p w14:paraId="5EDD8A16" w14:textId="77777777" w:rsidR="00AD1F54" w:rsidRPr="00264D5D" w:rsidRDefault="00941227">
            <w:pPr>
              <w:pStyle w:val="GOSTTablenorm"/>
              <w:rPr>
                <w:szCs w:val="22"/>
              </w:rPr>
            </w:pPr>
            <w:r w:rsidRPr="00264D5D">
              <w:t>SectionNumber</w:t>
            </w:r>
          </w:p>
        </w:tc>
        <w:tc>
          <w:tcPr>
            <w:tcW w:w="567" w:type="dxa"/>
          </w:tcPr>
          <w:p w14:paraId="74075CBC" w14:textId="77777777" w:rsidR="00AD1F54" w:rsidRPr="00264D5D" w:rsidRDefault="00941227">
            <w:pPr>
              <w:pStyle w:val="GOSTTablenorm"/>
              <w:jc w:val="center"/>
              <w:rPr>
                <w:szCs w:val="22"/>
              </w:rPr>
            </w:pPr>
            <w:r w:rsidRPr="00264D5D">
              <w:t>П</w:t>
            </w:r>
          </w:p>
        </w:tc>
        <w:tc>
          <w:tcPr>
            <w:tcW w:w="1134" w:type="dxa"/>
          </w:tcPr>
          <w:p w14:paraId="597D83F8" w14:textId="77777777" w:rsidR="00AD1F54" w:rsidRPr="00264D5D" w:rsidRDefault="00941227">
            <w:pPr>
              <w:pStyle w:val="GOSTTablenorm"/>
              <w:rPr>
                <w:szCs w:val="22"/>
              </w:rPr>
            </w:pPr>
            <w:r w:rsidRPr="00264D5D">
              <w:rPr>
                <w:lang w:val="en-US"/>
              </w:rPr>
              <w:t>T</w:t>
            </w:r>
            <w:r w:rsidRPr="00264D5D">
              <w:t>(</w:t>
            </w:r>
            <w:r w:rsidRPr="00264D5D">
              <w:rPr>
                <w:lang w:val="en-US"/>
              </w:rPr>
              <w:t>1-</w:t>
            </w:r>
            <w:r w:rsidRPr="00264D5D">
              <w:t>240)</w:t>
            </w:r>
          </w:p>
        </w:tc>
        <w:tc>
          <w:tcPr>
            <w:tcW w:w="567" w:type="dxa"/>
          </w:tcPr>
          <w:p w14:paraId="3F3C9BAF" w14:textId="77777777" w:rsidR="00AD1F54" w:rsidRPr="00264D5D" w:rsidRDefault="00941227">
            <w:pPr>
              <w:pStyle w:val="GOSTTablenorm"/>
              <w:jc w:val="center"/>
              <w:rPr>
                <w:szCs w:val="22"/>
              </w:rPr>
            </w:pPr>
            <w:r w:rsidRPr="00264D5D">
              <w:t>O</w:t>
            </w:r>
          </w:p>
        </w:tc>
        <w:tc>
          <w:tcPr>
            <w:tcW w:w="3963" w:type="dxa"/>
          </w:tcPr>
          <w:p w14:paraId="132D5335" w14:textId="77777777" w:rsidR="00AD1F54" w:rsidRPr="00264D5D" w:rsidRDefault="00941227">
            <w:pPr>
              <w:pStyle w:val="GOSTTablenorm"/>
              <w:rPr>
                <w:szCs w:val="22"/>
              </w:rPr>
            </w:pPr>
            <w:r w:rsidRPr="00264D5D">
              <w:rPr>
                <w:szCs w:val="22"/>
              </w:rPr>
              <w:t>Указывается номер секции/раздела:</w:t>
            </w:r>
          </w:p>
          <w:p w14:paraId="4CDDC86F" w14:textId="77777777" w:rsidR="00AD1F54" w:rsidRPr="00264D5D" w:rsidRDefault="00941227" w:rsidP="00E7460C">
            <w:pPr>
              <w:pStyle w:val="af5"/>
              <w:numPr>
                <w:ilvl w:val="0"/>
                <w:numId w:val="113"/>
              </w:numPr>
              <w:spacing w:before="60" w:after="60"/>
              <w:ind w:left="284" w:hanging="227"/>
              <w:jc w:val="both"/>
              <w:rPr>
                <w:sz w:val="22"/>
                <w:szCs w:val="22"/>
              </w:rPr>
            </w:pPr>
            <w:r w:rsidRPr="00264D5D">
              <w:rPr>
                <w:sz w:val="22"/>
                <w:szCs w:val="22"/>
              </w:rPr>
              <w:t>1 – для раздела «1. Бюджетные средства»;</w:t>
            </w:r>
          </w:p>
          <w:p w14:paraId="735F1C4B" w14:textId="77777777" w:rsidR="00AD1F54" w:rsidRPr="00264D5D" w:rsidRDefault="00941227" w:rsidP="00E7460C">
            <w:pPr>
              <w:pStyle w:val="af5"/>
              <w:numPr>
                <w:ilvl w:val="0"/>
                <w:numId w:val="113"/>
              </w:numPr>
              <w:spacing w:before="60" w:after="60"/>
              <w:ind w:left="284" w:hanging="227"/>
              <w:jc w:val="both"/>
              <w:rPr>
                <w:sz w:val="22"/>
                <w:szCs w:val="22"/>
              </w:rPr>
            </w:pPr>
            <w:r w:rsidRPr="00264D5D">
              <w:rPr>
                <w:sz w:val="22"/>
                <w:szCs w:val="22"/>
              </w:rPr>
              <w:t>2 – для раздела «1. Бюджетные средства» (итоговые строки);</w:t>
            </w:r>
          </w:p>
          <w:p w14:paraId="22CD5E83" w14:textId="77777777" w:rsidR="00AD1F54" w:rsidRPr="00264D5D" w:rsidRDefault="00941227" w:rsidP="00E7460C">
            <w:pPr>
              <w:pStyle w:val="af5"/>
              <w:numPr>
                <w:ilvl w:val="0"/>
                <w:numId w:val="113"/>
              </w:numPr>
              <w:spacing w:before="60" w:after="60"/>
              <w:ind w:left="284" w:hanging="227"/>
              <w:jc w:val="both"/>
              <w:rPr>
                <w:sz w:val="22"/>
                <w:szCs w:val="22"/>
              </w:rPr>
            </w:pPr>
            <w:r w:rsidRPr="00264D5D">
              <w:rPr>
                <w:sz w:val="22"/>
                <w:szCs w:val="22"/>
              </w:rPr>
              <w:t>3 – для раздела «2. Средства, поступившие во временное распоряжение»;</w:t>
            </w:r>
          </w:p>
          <w:p w14:paraId="3BAF8568" w14:textId="77777777" w:rsidR="00AD1F54" w:rsidRPr="00264D5D" w:rsidRDefault="00941227" w:rsidP="00E7460C">
            <w:pPr>
              <w:pStyle w:val="af5"/>
              <w:numPr>
                <w:ilvl w:val="0"/>
                <w:numId w:val="113"/>
              </w:numPr>
              <w:spacing w:before="60" w:after="60"/>
              <w:ind w:left="284" w:hanging="227"/>
              <w:jc w:val="both"/>
              <w:rPr>
                <w:sz w:val="22"/>
                <w:szCs w:val="22"/>
              </w:rPr>
            </w:pPr>
            <w:r w:rsidRPr="00264D5D">
              <w:rPr>
                <w:sz w:val="22"/>
                <w:szCs w:val="22"/>
              </w:rPr>
              <w:t xml:space="preserve">4 – для раздела «3. Бюджетные обязательства 3.1. Реквизиты документа, подтверждающего возникновение бюджетного </w:t>
            </w:r>
            <w:r w:rsidRPr="00264D5D">
              <w:rPr>
                <w:sz w:val="22"/>
                <w:szCs w:val="22"/>
              </w:rPr>
              <w:lastRenderedPageBreak/>
              <w:t>обязательства»;</w:t>
            </w:r>
          </w:p>
          <w:p w14:paraId="579DBB00" w14:textId="77777777" w:rsidR="00AD1F54" w:rsidRPr="00264D5D" w:rsidRDefault="00941227" w:rsidP="00E7460C">
            <w:pPr>
              <w:pStyle w:val="af5"/>
              <w:numPr>
                <w:ilvl w:val="0"/>
                <w:numId w:val="113"/>
              </w:numPr>
              <w:spacing w:before="60" w:after="60"/>
              <w:ind w:left="284" w:hanging="227"/>
              <w:jc w:val="both"/>
              <w:rPr>
                <w:sz w:val="22"/>
                <w:szCs w:val="22"/>
              </w:rPr>
            </w:pPr>
            <w:r w:rsidRPr="00264D5D">
              <w:rPr>
                <w:sz w:val="22"/>
                <w:szCs w:val="22"/>
              </w:rPr>
              <w:t>5– для раздела «3. Бюджетные обязательства 3.2. Передаваемые бюджетные обязательства»;</w:t>
            </w:r>
          </w:p>
          <w:p w14:paraId="591BCF22" w14:textId="77777777" w:rsidR="00AD1F54" w:rsidRPr="00264D5D" w:rsidRDefault="00941227" w:rsidP="00E7460C">
            <w:pPr>
              <w:pStyle w:val="af5"/>
              <w:numPr>
                <w:ilvl w:val="0"/>
                <w:numId w:val="113"/>
              </w:numPr>
              <w:spacing w:before="60" w:after="60"/>
              <w:ind w:left="284" w:hanging="227"/>
              <w:jc w:val="both"/>
              <w:rPr>
                <w:sz w:val="22"/>
                <w:szCs w:val="22"/>
              </w:rPr>
            </w:pPr>
            <w:r w:rsidRPr="00264D5D">
              <w:rPr>
                <w:sz w:val="22"/>
                <w:szCs w:val="22"/>
              </w:rPr>
              <w:t>6 – для раздела «4. Денежные обязательства 4.1. Реквизиты документа, подтверждающего возникновение денежного обязательства»;</w:t>
            </w:r>
          </w:p>
          <w:p w14:paraId="1AE626EB" w14:textId="77777777" w:rsidR="00AD1F54" w:rsidRPr="00264D5D" w:rsidRDefault="00941227" w:rsidP="00E7460C">
            <w:pPr>
              <w:pStyle w:val="GOSTTablenorm"/>
              <w:numPr>
                <w:ilvl w:val="0"/>
                <w:numId w:val="113"/>
              </w:numPr>
              <w:ind w:left="284" w:hanging="227"/>
              <w:rPr>
                <w:szCs w:val="22"/>
              </w:rPr>
            </w:pPr>
            <w:r w:rsidRPr="00264D5D">
              <w:rPr>
                <w:szCs w:val="22"/>
              </w:rPr>
              <w:t>7 – для раздела «4. Денежные обязательства 4.2. Перед</w:t>
            </w:r>
            <w:r w:rsidR="005D5F06" w:rsidRPr="00264D5D">
              <w:rPr>
                <w:szCs w:val="22"/>
              </w:rPr>
              <w:t>аваемые денежные обязательства»</w:t>
            </w:r>
          </w:p>
        </w:tc>
      </w:tr>
      <w:tr w:rsidR="00AD1F54" w:rsidRPr="00264D5D" w14:paraId="1C2C0877"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ADF70D4" w14:textId="77777777" w:rsidR="00AD1F54" w:rsidRPr="00264D5D" w:rsidRDefault="00941227">
            <w:pPr>
              <w:pStyle w:val="GOSTTablenorm"/>
            </w:pPr>
            <w:r w:rsidRPr="00264D5D">
              <w:lastRenderedPageBreak/>
              <w:t xml:space="preserve">КБК передающего УБП </w:t>
            </w:r>
          </w:p>
        </w:tc>
        <w:tc>
          <w:tcPr>
            <w:tcW w:w="1701" w:type="dxa"/>
          </w:tcPr>
          <w:p w14:paraId="68F87238" w14:textId="77777777" w:rsidR="00AD1F54" w:rsidRPr="00264D5D" w:rsidRDefault="00941227">
            <w:pPr>
              <w:pStyle w:val="GOSTTablenorm"/>
            </w:pPr>
            <w:r w:rsidRPr="00264D5D">
              <w:t>Segment1</w:t>
            </w:r>
          </w:p>
        </w:tc>
        <w:tc>
          <w:tcPr>
            <w:tcW w:w="567" w:type="dxa"/>
          </w:tcPr>
          <w:p w14:paraId="1E42BC44" w14:textId="77777777" w:rsidR="00AD1F54" w:rsidRPr="00264D5D" w:rsidRDefault="00941227">
            <w:pPr>
              <w:pStyle w:val="GOSTTablenorm"/>
              <w:jc w:val="center"/>
            </w:pPr>
            <w:r w:rsidRPr="00264D5D">
              <w:t>П</w:t>
            </w:r>
          </w:p>
        </w:tc>
        <w:tc>
          <w:tcPr>
            <w:tcW w:w="1134" w:type="dxa"/>
          </w:tcPr>
          <w:p w14:paraId="013D4217" w14:textId="77777777" w:rsidR="00AD1F54" w:rsidRPr="00264D5D" w:rsidRDefault="00941227">
            <w:pPr>
              <w:pStyle w:val="GOSTTablenorm"/>
              <w:rPr>
                <w:lang w:val="en-US"/>
              </w:rPr>
            </w:pPr>
            <w:r w:rsidRPr="00264D5D">
              <w:rPr>
                <w:lang w:val="en-US"/>
              </w:rPr>
              <w:t>T</w:t>
            </w:r>
            <w:r w:rsidRPr="00264D5D">
              <w:t>(20)</w:t>
            </w:r>
          </w:p>
        </w:tc>
        <w:tc>
          <w:tcPr>
            <w:tcW w:w="567" w:type="dxa"/>
          </w:tcPr>
          <w:p w14:paraId="261D277A" w14:textId="77777777" w:rsidR="00AD1F54" w:rsidRPr="00264D5D" w:rsidRDefault="00941227">
            <w:pPr>
              <w:pStyle w:val="GOSTTablenorm"/>
              <w:jc w:val="center"/>
            </w:pPr>
            <w:r w:rsidRPr="00264D5D">
              <w:t>O</w:t>
            </w:r>
          </w:p>
        </w:tc>
        <w:tc>
          <w:tcPr>
            <w:tcW w:w="3963" w:type="dxa"/>
          </w:tcPr>
          <w:p w14:paraId="478032DC" w14:textId="77777777" w:rsidR="00AD1F54" w:rsidRPr="00264D5D" w:rsidRDefault="00941227">
            <w:pPr>
              <w:pStyle w:val="GOSTTablenorm"/>
              <w:rPr>
                <w:szCs w:val="22"/>
              </w:rPr>
            </w:pPr>
            <w:r w:rsidRPr="00264D5D">
              <w:t xml:space="preserve">Указывается КБК в соответствии с действующими Указаниями по БК, по которым на л/с передающей стороны были проведены кассовые поступления и выплаты по видам средств </w:t>
            </w:r>
          </w:p>
        </w:tc>
      </w:tr>
      <w:tr w:rsidR="00AD1F54" w:rsidRPr="00264D5D" w14:paraId="09285FF3"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04D73A0" w14:textId="77777777" w:rsidR="00AD1F54" w:rsidRPr="00264D5D" w:rsidRDefault="00941227">
            <w:pPr>
              <w:pStyle w:val="GOSTTablenorm"/>
              <w:rPr>
                <w:szCs w:val="22"/>
              </w:rPr>
            </w:pPr>
            <w:r w:rsidRPr="00264D5D">
              <w:t xml:space="preserve">КБК принимающего УБП </w:t>
            </w:r>
          </w:p>
        </w:tc>
        <w:tc>
          <w:tcPr>
            <w:tcW w:w="1701" w:type="dxa"/>
          </w:tcPr>
          <w:p w14:paraId="1659BC63" w14:textId="77777777" w:rsidR="00AD1F54" w:rsidRPr="00264D5D" w:rsidRDefault="00941227">
            <w:pPr>
              <w:pStyle w:val="GOSTTablenorm"/>
              <w:rPr>
                <w:szCs w:val="22"/>
              </w:rPr>
            </w:pPr>
            <w:r w:rsidRPr="00264D5D">
              <w:t>Segment2</w:t>
            </w:r>
          </w:p>
        </w:tc>
        <w:tc>
          <w:tcPr>
            <w:tcW w:w="567" w:type="dxa"/>
          </w:tcPr>
          <w:p w14:paraId="0B9CCDBA" w14:textId="77777777" w:rsidR="00AD1F54" w:rsidRPr="00264D5D" w:rsidRDefault="00941227">
            <w:pPr>
              <w:pStyle w:val="GOSTTablenorm"/>
              <w:jc w:val="center"/>
              <w:rPr>
                <w:szCs w:val="22"/>
              </w:rPr>
            </w:pPr>
            <w:r w:rsidRPr="00264D5D">
              <w:t>П</w:t>
            </w:r>
          </w:p>
        </w:tc>
        <w:tc>
          <w:tcPr>
            <w:tcW w:w="1134" w:type="dxa"/>
          </w:tcPr>
          <w:p w14:paraId="198D0F0C" w14:textId="77777777" w:rsidR="00AD1F54" w:rsidRPr="00264D5D" w:rsidRDefault="00941227">
            <w:pPr>
              <w:pStyle w:val="GOSTTablenorm"/>
              <w:rPr>
                <w:szCs w:val="22"/>
              </w:rPr>
            </w:pPr>
            <w:r w:rsidRPr="00264D5D">
              <w:rPr>
                <w:lang w:val="en-US"/>
              </w:rPr>
              <w:t>T</w:t>
            </w:r>
            <w:r w:rsidRPr="00264D5D">
              <w:t>(20)</w:t>
            </w:r>
          </w:p>
        </w:tc>
        <w:tc>
          <w:tcPr>
            <w:tcW w:w="567" w:type="dxa"/>
          </w:tcPr>
          <w:p w14:paraId="5386F4DB" w14:textId="77777777" w:rsidR="00AD1F54" w:rsidRPr="00264D5D" w:rsidRDefault="00941227">
            <w:pPr>
              <w:pStyle w:val="GOSTTablenorm"/>
              <w:jc w:val="center"/>
              <w:rPr>
                <w:szCs w:val="22"/>
              </w:rPr>
            </w:pPr>
            <w:r w:rsidRPr="00264D5D">
              <w:t>O</w:t>
            </w:r>
          </w:p>
        </w:tc>
        <w:tc>
          <w:tcPr>
            <w:tcW w:w="3963" w:type="dxa"/>
          </w:tcPr>
          <w:p w14:paraId="7B6C69EB" w14:textId="77777777" w:rsidR="00AD1F54" w:rsidRPr="00264D5D" w:rsidRDefault="00941227">
            <w:pPr>
              <w:pStyle w:val="GOSTTablenorm"/>
              <w:rPr>
                <w:szCs w:val="22"/>
              </w:rPr>
            </w:pPr>
            <w:r w:rsidRPr="00264D5D">
              <w:t>Указывается КБК в соответствии с действующими Указаниями по БК принимающей стороны, по которым принимаются передаваемые в рамках реорганизации</w:t>
            </w:r>
            <w:r w:rsidR="005D5F06" w:rsidRPr="00264D5D">
              <w:t xml:space="preserve"> кассовые поступления и выплаты</w:t>
            </w:r>
          </w:p>
        </w:tc>
      </w:tr>
      <w:tr w:rsidR="00AD1F54" w:rsidRPr="00264D5D" w14:paraId="225436BF"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6CF59F41" w14:textId="77777777" w:rsidR="00AD1F54" w:rsidRPr="00264D5D" w:rsidRDefault="00941227">
            <w:pPr>
              <w:pStyle w:val="GOSTTablenorm"/>
            </w:pPr>
            <w:r w:rsidRPr="00264D5D">
              <w:t>Код объекта ФАИП/КМИ передающего УБП</w:t>
            </w:r>
          </w:p>
        </w:tc>
        <w:tc>
          <w:tcPr>
            <w:tcW w:w="1701" w:type="dxa"/>
          </w:tcPr>
          <w:p w14:paraId="25EB6060" w14:textId="77777777" w:rsidR="00AD1F54" w:rsidRPr="00264D5D" w:rsidRDefault="00941227">
            <w:pPr>
              <w:pStyle w:val="GOSTTablenorm"/>
            </w:pPr>
            <w:r w:rsidRPr="00264D5D">
              <w:t>Segment8</w:t>
            </w:r>
          </w:p>
        </w:tc>
        <w:tc>
          <w:tcPr>
            <w:tcW w:w="567" w:type="dxa"/>
          </w:tcPr>
          <w:p w14:paraId="51DCFBBF" w14:textId="77777777" w:rsidR="00AD1F54" w:rsidRPr="00264D5D" w:rsidRDefault="00941227">
            <w:pPr>
              <w:pStyle w:val="GOSTTablenorm"/>
              <w:jc w:val="center"/>
            </w:pPr>
            <w:r w:rsidRPr="00264D5D">
              <w:t>П</w:t>
            </w:r>
          </w:p>
        </w:tc>
        <w:tc>
          <w:tcPr>
            <w:tcW w:w="1134" w:type="dxa"/>
          </w:tcPr>
          <w:p w14:paraId="25B2A30F" w14:textId="77777777" w:rsidR="00AD1F54" w:rsidRPr="00264D5D" w:rsidRDefault="00941227">
            <w:pPr>
              <w:pStyle w:val="GOSTTablenorm"/>
            </w:pPr>
            <w:r w:rsidRPr="00264D5D">
              <w:rPr>
                <w:lang w:val="en-US"/>
              </w:rPr>
              <w:t>T</w:t>
            </w:r>
            <w:r w:rsidRPr="00264D5D">
              <w:t>(</w:t>
            </w:r>
            <w:r w:rsidRPr="00264D5D">
              <w:rPr>
                <w:lang w:val="en-US"/>
              </w:rPr>
              <w:t>1-</w:t>
            </w:r>
            <w:r w:rsidRPr="00264D5D">
              <w:t>24)</w:t>
            </w:r>
          </w:p>
        </w:tc>
        <w:tc>
          <w:tcPr>
            <w:tcW w:w="567" w:type="dxa"/>
          </w:tcPr>
          <w:p w14:paraId="512633AA" w14:textId="77777777" w:rsidR="00AD1F54" w:rsidRPr="00264D5D" w:rsidRDefault="00941227">
            <w:pPr>
              <w:pStyle w:val="GOSTTablenorm"/>
              <w:jc w:val="center"/>
            </w:pPr>
            <w:r w:rsidRPr="00264D5D">
              <w:t>Н</w:t>
            </w:r>
          </w:p>
        </w:tc>
        <w:tc>
          <w:tcPr>
            <w:tcW w:w="3963" w:type="dxa"/>
          </w:tcPr>
          <w:p w14:paraId="4198E9F5" w14:textId="77777777" w:rsidR="00AD1F54" w:rsidRPr="00264D5D" w:rsidRDefault="00941227">
            <w:pPr>
              <w:pStyle w:val="GOSTTablenorm"/>
            </w:pPr>
            <w:r w:rsidRPr="00264D5D">
              <w:t>Указывается код объекта ФАИП в соответствии со справочником «ФАИП» или код КМИ с соответствии со с</w:t>
            </w:r>
            <w:r w:rsidR="005D5F06" w:rsidRPr="00264D5D">
              <w:t>правочником «КМИ» (при наличии)</w:t>
            </w:r>
          </w:p>
        </w:tc>
      </w:tr>
      <w:tr w:rsidR="00AD1F54" w:rsidRPr="00264D5D" w14:paraId="1E78C518"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3C4EF97" w14:textId="77777777" w:rsidR="00AD1F54" w:rsidRPr="00264D5D" w:rsidRDefault="00941227">
            <w:pPr>
              <w:pStyle w:val="GOSTTablenorm"/>
            </w:pPr>
            <w:r w:rsidRPr="00264D5D">
              <w:t>Код объекта ФАИП/КМИ принимающего УБП</w:t>
            </w:r>
          </w:p>
        </w:tc>
        <w:tc>
          <w:tcPr>
            <w:tcW w:w="1701" w:type="dxa"/>
          </w:tcPr>
          <w:p w14:paraId="05284229" w14:textId="77777777" w:rsidR="00AD1F54" w:rsidRPr="00264D5D" w:rsidRDefault="00941227">
            <w:pPr>
              <w:pStyle w:val="GOSTTablenorm"/>
            </w:pPr>
            <w:r w:rsidRPr="00264D5D">
              <w:t>Segment9</w:t>
            </w:r>
          </w:p>
        </w:tc>
        <w:tc>
          <w:tcPr>
            <w:tcW w:w="567" w:type="dxa"/>
          </w:tcPr>
          <w:p w14:paraId="747ECB40" w14:textId="77777777" w:rsidR="00AD1F54" w:rsidRPr="00264D5D" w:rsidRDefault="00941227">
            <w:pPr>
              <w:pStyle w:val="GOSTTablenorm"/>
              <w:jc w:val="center"/>
            </w:pPr>
            <w:r w:rsidRPr="00264D5D">
              <w:t>П</w:t>
            </w:r>
          </w:p>
        </w:tc>
        <w:tc>
          <w:tcPr>
            <w:tcW w:w="1134" w:type="dxa"/>
          </w:tcPr>
          <w:p w14:paraId="3F484478" w14:textId="77777777" w:rsidR="00AD1F54" w:rsidRPr="00264D5D" w:rsidRDefault="00941227">
            <w:pPr>
              <w:pStyle w:val="GOSTTablenorm"/>
              <w:rPr>
                <w:lang w:val="en-US"/>
              </w:rPr>
            </w:pPr>
            <w:r w:rsidRPr="00264D5D">
              <w:rPr>
                <w:lang w:val="en-US"/>
              </w:rPr>
              <w:t>T</w:t>
            </w:r>
            <w:r w:rsidRPr="00264D5D">
              <w:t>(</w:t>
            </w:r>
            <w:r w:rsidRPr="00264D5D">
              <w:rPr>
                <w:lang w:val="en-US"/>
              </w:rPr>
              <w:t>1-</w:t>
            </w:r>
            <w:r w:rsidRPr="00264D5D">
              <w:t>24)</w:t>
            </w:r>
          </w:p>
        </w:tc>
        <w:tc>
          <w:tcPr>
            <w:tcW w:w="567" w:type="dxa"/>
          </w:tcPr>
          <w:p w14:paraId="527790ED" w14:textId="77777777" w:rsidR="00AD1F54" w:rsidRPr="00264D5D" w:rsidRDefault="00941227">
            <w:pPr>
              <w:pStyle w:val="GOSTTablenorm"/>
              <w:jc w:val="center"/>
            </w:pPr>
            <w:r w:rsidRPr="00264D5D">
              <w:t>Н</w:t>
            </w:r>
          </w:p>
        </w:tc>
        <w:tc>
          <w:tcPr>
            <w:tcW w:w="3963" w:type="dxa"/>
          </w:tcPr>
          <w:p w14:paraId="4FFFAC10" w14:textId="77777777" w:rsidR="00AD1F54" w:rsidRPr="00264D5D" w:rsidRDefault="00941227">
            <w:pPr>
              <w:pStyle w:val="GOSTTablenorm"/>
            </w:pPr>
            <w:r w:rsidRPr="00264D5D">
              <w:t>Указывается код объекта ФАИП в соответствии со справочником «ФАИП» или код КМИ в соответствии со справочн</w:t>
            </w:r>
            <w:r w:rsidR="005D5F06" w:rsidRPr="00264D5D">
              <w:t>иком «КМИ» (при наличии)</w:t>
            </w:r>
          </w:p>
        </w:tc>
      </w:tr>
      <w:tr w:rsidR="00AD1F54" w:rsidRPr="00264D5D" w14:paraId="268FD7D3"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A2DF70C" w14:textId="77777777" w:rsidR="00AD1F54" w:rsidRPr="00264D5D" w:rsidRDefault="00941227">
            <w:pPr>
              <w:pStyle w:val="GOSTTablenorm"/>
              <w:rPr>
                <w:szCs w:val="22"/>
              </w:rPr>
            </w:pPr>
            <w:r w:rsidRPr="00264D5D">
              <w:t xml:space="preserve">Наименование вида средств </w:t>
            </w:r>
          </w:p>
        </w:tc>
        <w:tc>
          <w:tcPr>
            <w:tcW w:w="1701" w:type="dxa"/>
          </w:tcPr>
          <w:p w14:paraId="706B4C37" w14:textId="77777777" w:rsidR="00AD1F54" w:rsidRPr="00264D5D" w:rsidRDefault="00941227">
            <w:pPr>
              <w:pStyle w:val="GOSTTablenorm"/>
              <w:rPr>
                <w:szCs w:val="22"/>
              </w:rPr>
            </w:pPr>
            <w:r w:rsidRPr="00264D5D">
              <w:t>Segment4</w:t>
            </w:r>
          </w:p>
        </w:tc>
        <w:tc>
          <w:tcPr>
            <w:tcW w:w="567" w:type="dxa"/>
          </w:tcPr>
          <w:p w14:paraId="5F57D769" w14:textId="77777777" w:rsidR="00AD1F54" w:rsidRPr="00264D5D" w:rsidRDefault="00941227">
            <w:pPr>
              <w:pStyle w:val="GOSTTablenorm"/>
              <w:jc w:val="center"/>
              <w:rPr>
                <w:szCs w:val="22"/>
              </w:rPr>
            </w:pPr>
            <w:r w:rsidRPr="00264D5D">
              <w:t>П</w:t>
            </w:r>
          </w:p>
        </w:tc>
        <w:tc>
          <w:tcPr>
            <w:tcW w:w="1134" w:type="dxa"/>
          </w:tcPr>
          <w:p w14:paraId="47EFB3AE" w14:textId="77777777" w:rsidR="00AD1F54" w:rsidRPr="00264D5D" w:rsidRDefault="00941227">
            <w:pPr>
              <w:pStyle w:val="GOSTTablenorm"/>
              <w:rPr>
                <w:szCs w:val="22"/>
              </w:rPr>
            </w:pPr>
            <w:r w:rsidRPr="00264D5D">
              <w:rPr>
                <w:lang w:val="en-US"/>
              </w:rPr>
              <w:t>T</w:t>
            </w:r>
            <w:r w:rsidRPr="00264D5D">
              <w:t>(</w:t>
            </w:r>
            <w:r w:rsidRPr="00264D5D">
              <w:rPr>
                <w:lang w:val="en-US"/>
              </w:rPr>
              <w:t>1-10</w:t>
            </w:r>
            <w:r w:rsidRPr="00264D5D">
              <w:t>0)</w:t>
            </w:r>
          </w:p>
        </w:tc>
        <w:tc>
          <w:tcPr>
            <w:tcW w:w="567" w:type="dxa"/>
          </w:tcPr>
          <w:p w14:paraId="51CD0090" w14:textId="77777777" w:rsidR="00AD1F54" w:rsidRPr="00264D5D" w:rsidRDefault="00941227">
            <w:pPr>
              <w:pStyle w:val="GOSTTablenorm"/>
              <w:jc w:val="center"/>
              <w:rPr>
                <w:szCs w:val="22"/>
              </w:rPr>
            </w:pPr>
            <w:r w:rsidRPr="00264D5D">
              <w:t>O</w:t>
            </w:r>
          </w:p>
        </w:tc>
        <w:tc>
          <w:tcPr>
            <w:tcW w:w="3963" w:type="dxa"/>
          </w:tcPr>
          <w:p w14:paraId="409B72CC" w14:textId="77777777" w:rsidR="00AD1F54" w:rsidRPr="00264D5D" w:rsidRDefault="00941227">
            <w:pPr>
              <w:pStyle w:val="GOSTTablenorm"/>
              <w:rPr>
                <w:szCs w:val="22"/>
              </w:rPr>
            </w:pPr>
            <w:r w:rsidRPr="00264D5D">
              <w:t>Указывается наименование вида средств, по которому были осуществлены поступления (выплаты): средства бюджета, средства по оперативно-ро</w:t>
            </w:r>
            <w:r w:rsidR="005D5F06" w:rsidRPr="00264D5D">
              <w:t>зыскной деятельности, источники</w:t>
            </w:r>
          </w:p>
        </w:tc>
      </w:tr>
      <w:tr w:rsidR="00AD1F54" w:rsidRPr="00264D5D" w14:paraId="3058995C"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775779B7" w14:textId="77777777" w:rsidR="00AD1F54" w:rsidRPr="00264D5D" w:rsidRDefault="00941227">
            <w:pPr>
              <w:pStyle w:val="GOSTTablenorm"/>
              <w:rPr>
                <w:szCs w:val="22"/>
              </w:rPr>
            </w:pPr>
            <w:r w:rsidRPr="00264D5D">
              <w:t xml:space="preserve">Аналитический код </w:t>
            </w:r>
          </w:p>
        </w:tc>
        <w:tc>
          <w:tcPr>
            <w:tcW w:w="1701" w:type="dxa"/>
          </w:tcPr>
          <w:p w14:paraId="71E546EE" w14:textId="77777777" w:rsidR="00AD1F54" w:rsidRPr="00264D5D" w:rsidRDefault="00941227">
            <w:pPr>
              <w:pStyle w:val="GOSTTablenorm"/>
              <w:rPr>
                <w:szCs w:val="22"/>
              </w:rPr>
            </w:pPr>
            <w:r w:rsidRPr="00264D5D">
              <w:t>Segment6</w:t>
            </w:r>
          </w:p>
        </w:tc>
        <w:tc>
          <w:tcPr>
            <w:tcW w:w="567" w:type="dxa"/>
          </w:tcPr>
          <w:p w14:paraId="03DF1692" w14:textId="77777777" w:rsidR="00AD1F54" w:rsidRPr="00264D5D" w:rsidRDefault="00941227">
            <w:pPr>
              <w:pStyle w:val="GOSTTablenorm"/>
              <w:jc w:val="center"/>
              <w:rPr>
                <w:szCs w:val="22"/>
              </w:rPr>
            </w:pPr>
            <w:r w:rsidRPr="00264D5D">
              <w:t>П</w:t>
            </w:r>
          </w:p>
        </w:tc>
        <w:tc>
          <w:tcPr>
            <w:tcW w:w="1134" w:type="dxa"/>
          </w:tcPr>
          <w:p w14:paraId="20718721" w14:textId="77777777" w:rsidR="00AD1F54" w:rsidRPr="00264D5D" w:rsidRDefault="00941227">
            <w:pPr>
              <w:pStyle w:val="GOSTTablenorm"/>
              <w:rPr>
                <w:szCs w:val="22"/>
              </w:rPr>
            </w:pPr>
            <w:r w:rsidRPr="00264D5D">
              <w:rPr>
                <w:lang w:val="en-US"/>
              </w:rPr>
              <w:t>T</w:t>
            </w:r>
            <w:r w:rsidRPr="00264D5D">
              <w:t>(</w:t>
            </w:r>
            <w:r w:rsidRPr="00264D5D">
              <w:rPr>
                <w:lang w:val="en-US"/>
              </w:rPr>
              <w:t>1-</w:t>
            </w:r>
            <w:r w:rsidRPr="00264D5D">
              <w:t>20)</w:t>
            </w:r>
          </w:p>
        </w:tc>
        <w:tc>
          <w:tcPr>
            <w:tcW w:w="567" w:type="dxa"/>
          </w:tcPr>
          <w:p w14:paraId="3E59B748" w14:textId="77777777" w:rsidR="00AD1F54" w:rsidRPr="00264D5D" w:rsidRDefault="00941227">
            <w:pPr>
              <w:pStyle w:val="GOSTTablenorm"/>
              <w:jc w:val="center"/>
              <w:rPr>
                <w:szCs w:val="22"/>
              </w:rPr>
            </w:pPr>
            <w:r w:rsidRPr="00264D5D">
              <w:rPr>
                <w:szCs w:val="22"/>
              </w:rPr>
              <w:t>Н</w:t>
            </w:r>
          </w:p>
        </w:tc>
        <w:tc>
          <w:tcPr>
            <w:tcW w:w="3963" w:type="dxa"/>
          </w:tcPr>
          <w:p w14:paraId="12D92B23" w14:textId="77777777" w:rsidR="00AD1F54" w:rsidRPr="00264D5D" w:rsidRDefault="00941227">
            <w:pPr>
              <w:pStyle w:val="GOSTTablenorm"/>
            </w:pPr>
            <w:r w:rsidRPr="00264D5D">
              <w:t>Указывает</w:t>
            </w:r>
            <w:r w:rsidR="005D5F06" w:rsidRPr="00264D5D">
              <w:t>ся код цели (аналитический) код</w:t>
            </w:r>
          </w:p>
        </w:tc>
      </w:tr>
      <w:tr w:rsidR="00AD1F54" w:rsidRPr="00264D5D" w14:paraId="107B2640"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52002860" w14:textId="77777777" w:rsidR="00AD1F54" w:rsidRPr="00264D5D" w:rsidRDefault="00941227">
            <w:pPr>
              <w:pStyle w:val="GOSTTablenorm"/>
              <w:rPr>
                <w:szCs w:val="22"/>
              </w:rPr>
            </w:pPr>
            <w:r w:rsidRPr="00264D5D">
              <w:rPr>
                <w:szCs w:val="22"/>
              </w:rPr>
              <w:t xml:space="preserve">Код валюты по ОКВ </w:t>
            </w:r>
          </w:p>
        </w:tc>
        <w:tc>
          <w:tcPr>
            <w:tcW w:w="1701" w:type="dxa"/>
          </w:tcPr>
          <w:p w14:paraId="6B19CF6D" w14:textId="77777777" w:rsidR="00AD1F54" w:rsidRPr="00264D5D" w:rsidRDefault="00941227">
            <w:pPr>
              <w:pStyle w:val="GOSTTablenorm"/>
              <w:rPr>
                <w:szCs w:val="22"/>
              </w:rPr>
            </w:pPr>
            <w:r w:rsidRPr="00264D5D">
              <w:t>Segment10</w:t>
            </w:r>
          </w:p>
        </w:tc>
        <w:tc>
          <w:tcPr>
            <w:tcW w:w="567" w:type="dxa"/>
          </w:tcPr>
          <w:p w14:paraId="58377FA8" w14:textId="77777777" w:rsidR="00AD1F54" w:rsidRPr="00264D5D" w:rsidRDefault="00941227">
            <w:pPr>
              <w:pStyle w:val="GOSTTablenorm"/>
              <w:jc w:val="center"/>
              <w:rPr>
                <w:szCs w:val="22"/>
              </w:rPr>
            </w:pPr>
            <w:r w:rsidRPr="00264D5D">
              <w:t>П</w:t>
            </w:r>
          </w:p>
        </w:tc>
        <w:tc>
          <w:tcPr>
            <w:tcW w:w="1134" w:type="dxa"/>
          </w:tcPr>
          <w:p w14:paraId="642941FF" w14:textId="77777777" w:rsidR="00AD1F54" w:rsidRPr="00264D5D" w:rsidRDefault="00941227">
            <w:pPr>
              <w:pStyle w:val="GOSTTablenorm"/>
              <w:rPr>
                <w:szCs w:val="22"/>
              </w:rPr>
            </w:pPr>
            <w:r w:rsidRPr="00264D5D">
              <w:rPr>
                <w:lang w:val="en-US"/>
              </w:rPr>
              <w:t>T</w:t>
            </w:r>
            <w:r w:rsidRPr="00264D5D">
              <w:t>(3)</w:t>
            </w:r>
          </w:p>
        </w:tc>
        <w:tc>
          <w:tcPr>
            <w:tcW w:w="567" w:type="dxa"/>
          </w:tcPr>
          <w:p w14:paraId="1DD5B80B" w14:textId="77777777" w:rsidR="00AD1F54" w:rsidRPr="00264D5D" w:rsidRDefault="00941227">
            <w:pPr>
              <w:pStyle w:val="GOSTTablenorm"/>
              <w:jc w:val="center"/>
              <w:rPr>
                <w:szCs w:val="22"/>
              </w:rPr>
            </w:pPr>
            <w:r w:rsidRPr="00264D5D">
              <w:t>O</w:t>
            </w:r>
          </w:p>
        </w:tc>
        <w:tc>
          <w:tcPr>
            <w:tcW w:w="3963" w:type="dxa"/>
          </w:tcPr>
          <w:p w14:paraId="2B0240C2" w14:textId="77777777" w:rsidR="00AD1F54" w:rsidRPr="00264D5D" w:rsidRDefault="00941227">
            <w:pPr>
              <w:pStyle w:val="GOSTTablenorm"/>
            </w:pPr>
            <w:r w:rsidRPr="00264D5D">
              <w:t>Указывается код валюты по ОКВ, в кот</w:t>
            </w:r>
            <w:r w:rsidR="005D5F06" w:rsidRPr="00264D5D">
              <w:t>орой проведены кассовые выплаты</w:t>
            </w:r>
          </w:p>
        </w:tc>
      </w:tr>
      <w:tr w:rsidR="00AD1F54" w:rsidRPr="00264D5D" w14:paraId="1B8E687C"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5F771B92" w14:textId="77777777" w:rsidR="00AD1F54" w:rsidRPr="00264D5D" w:rsidRDefault="00941227">
            <w:pPr>
              <w:pStyle w:val="GOSTTablenorm"/>
              <w:rPr>
                <w:szCs w:val="22"/>
              </w:rPr>
            </w:pPr>
            <w:r w:rsidRPr="00264D5D">
              <w:t xml:space="preserve">Остаток на </w:t>
            </w:r>
            <w:r w:rsidRPr="00264D5D">
              <w:lastRenderedPageBreak/>
              <w:t xml:space="preserve">начало года </w:t>
            </w:r>
          </w:p>
        </w:tc>
        <w:tc>
          <w:tcPr>
            <w:tcW w:w="1701" w:type="dxa"/>
          </w:tcPr>
          <w:p w14:paraId="7769A453" w14:textId="77777777" w:rsidR="00AD1F54" w:rsidRPr="00264D5D" w:rsidRDefault="00941227">
            <w:pPr>
              <w:pStyle w:val="GOSTTablenorm"/>
              <w:rPr>
                <w:szCs w:val="22"/>
              </w:rPr>
            </w:pPr>
            <w:r w:rsidRPr="00264D5D">
              <w:lastRenderedPageBreak/>
              <w:t>Data004</w:t>
            </w:r>
          </w:p>
        </w:tc>
        <w:tc>
          <w:tcPr>
            <w:tcW w:w="567" w:type="dxa"/>
          </w:tcPr>
          <w:p w14:paraId="2AD200C2" w14:textId="77777777" w:rsidR="00AD1F54" w:rsidRPr="00264D5D" w:rsidRDefault="00941227">
            <w:pPr>
              <w:pStyle w:val="GOSTTablenorm"/>
              <w:jc w:val="center"/>
              <w:rPr>
                <w:szCs w:val="22"/>
              </w:rPr>
            </w:pPr>
            <w:r w:rsidRPr="00264D5D">
              <w:t>П</w:t>
            </w:r>
          </w:p>
        </w:tc>
        <w:tc>
          <w:tcPr>
            <w:tcW w:w="1134" w:type="dxa"/>
          </w:tcPr>
          <w:p w14:paraId="5573EF03" w14:textId="77777777" w:rsidR="00AD1F54" w:rsidRPr="00264D5D" w:rsidRDefault="00941227">
            <w:pPr>
              <w:pStyle w:val="GOSTTablenorm"/>
              <w:rPr>
                <w:szCs w:val="22"/>
              </w:rPr>
            </w:pPr>
            <w:r w:rsidRPr="00264D5D">
              <w:rPr>
                <w:szCs w:val="22"/>
              </w:rPr>
              <w:t>N(20.2)</w:t>
            </w:r>
          </w:p>
        </w:tc>
        <w:tc>
          <w:tcPr>
            <w:tcW w:w="567" w:type="dxa"/>
          </w:tcPr>
          <w:p w14:paraId="5BA52C71" w14:textId="77777777" w:rsidR="00AD1F54" w:rsidRPr="00264D5D" w:rsidRDefault="00941227">
            <w:pPr>
              <w:pStyle w:val="GOSTTablenorm"/>
              <w:jc w:val="center"/>
              <w:rPr>
                <w:szCs w:val="22"/>
              </w:rPr>
            </w:pPr>
            <w:r w:rsidRPr="00264D5D">
              <w:t>O</w:t>
            </w:r>
          </w:p>
        </w:tc>
        <w:tc>
          <w:tcPr>
            <w:tcW w:w="3963" w:type="dxa"/>
          </w:tcPr>
          <w:p w14:paraId="6AA6C988" w14:textId="77777777" w:rsidR="00AD1F54" w:rsidRPr="00264D5D" w:rsidRDefault="00941227" w:rsidP="005D5F06">
            <w:pPr>
              <w:pStyle w:val="GOSTTablenorm"/>
              <w:rPr>
                <w:szCs w:val="22"/>
              </w:rPr>
            </w:pPr>
            <w:r w:rsidRPr="00264D5D">
              <w:t xml:space="preserve">Указывается сумма остатка средств на </w:t>
            </w:r>
            <w:r w:rsidRPr="00264D5D">
              <w:lastRenderedPageBreak/>
              <w:t>н</w:t>
            </w:r>
            <w:r w:rsidR="005D5F06" w:rsidRPr="00264D5D">
              <w:t>ачало текущего финансового года</w:t>
            </w:r>
          </w:p>
        </w:tc>
      </w:tr>
      <w:tr w:rsidR="00AD1F54" w:rsidRPr="00264D5D" w14:paraId="301CEF7C"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414B1D1C" w14:textId="77777777" w:rsidR="00AD1F54" w:rsidRPr="00264D5D" w:rsidRDefault="00941227">
            <w:pPr>
              <w:pStyle w:val="GOSTTablenorm"/>
              <w:rPr>
                <w:szCs w:val="22"/>
              </w:rPr>
            </w:pPr>
            <w:r w:rsidRPr="00264D5D">
              <w:lastRenderedPageBreak/>
              <w:t xml:space="preserve">Поступления </w:t>
            </w:r>
          </w:p>
        </w:tc>
        <w:tc>
          <w:tcPr>
            <w:tcW w:w="1701" w:type="dxa"/>
          </w:tcPr>
          <w:p w14:paraId="79A8A09F" w14:textId="77777777" w:rsidR="00AD1F54" w:rsidRPr="00264D5D" w:rsidRDefault="00941227">
            <w:pPr>
              <w:pStyle w:val="GOSTTablenorm"/>
              <w:rPr>
                <w:szCs w:val="22"/>
              </w:rPr>
            </w:pPr>
            <w:r w:rsidRPr="00264D5D">
              <w:t>Data005</w:t>
            </w:r>
          </w:p>
        </w:tc>
        <w:tc>
          <w:tcPr>
            <w:tcW w:w="567" w:type="dxa"/>
          </w:tcPr>
          <w:p w14:paraId="5526F1B7" w14:textId="77777777" w:rsidR="00AD1F54" w:rsidRPr="00264D5D" w:rsidRDefault="00941227">
            <w:pPr>
              <w:pStyle w:val="GOSTTablenorm"/>
              <w:jc w:val="center"/>
              <w:rPr>
                <w:szCs w:val="22"/>
              </w:rPr>
            </w:pPr>
            <w:r w:rsidRPr="00264D5D">
              <w:t>П</w:t>
            </w:r>
          </w:p>
        </w:tc>
        <w:tc>
          <w:tcPr>
            <w:tcW w:w="1134" w:type="dxa"/>
          </w:tcPr>
          <w:p w14:paraId="5213E05B" w14:textId="77777777" w:rsidR="00AD1F54" w:rsidRPr="00264D5D" w:rsidRDefault="00941227">
            <w:pPr>
              <w:pStyle w:val="GOSTTablenorm"/>
              <w:rPr>
                <w:szCs w:val="22"/>
              </w:rPr>
            </w:pPr>
            <w:r w:rsidRPr="00264D5D">
              <w:rPr>
                <w:szCs w:val="22"/>
              </w:rPr>
              <w:t>N(20.2)</w:t>
            </w:r>
          </w:p>
        </w:tc>
        <w:tc>
          <w:tcPr>
            <w:tcW w:w="567" w:type="dxa"/>
          </w:tcPr>
          <w:p w14:paraId="5F92EBF5" w14:textId="77777777" w:rsidR="00AD1F54" w:rsidRPr="00264D5D" w:rsidRDefault="00941227">
            <w:pPr>
              <w:pStyle w:val="GOSTTablenorm"/>
              <w:jc w:val="center"/>
              <w:rPr>
                <w:szCs w:val="22"/>
              </w:rPr>
            </w:pPr>
            <w:r w:rsidRPr="00264D5D">
              <w:t>Н</w:t>
            </w:r>
          </w:p>
        </w:tc>
        <w:tc>
          <w:tcPr>
            <w:tcW w:w="3963" w:type="dxa"/>
          </w:tcPr>
          <w:p w14:paraId="2272FB3C" w14:textId="77777777" w:rsidR="00AD1F54" w:rsidRPr="00264D5D" w:rsidRDefault="00941227">
            <w:pPr>
              <w:pStyle w:val="GOSTTablenorm"/>
              <w:rPr>
                <w:szCs w:val="22"/>
              </w:rPr>
            </w:pPr>
            <w:r w:rsidRPr="00264D5D">
              <w:t>Указывается сумма поступ</w:t>
            </w:r>
            <w:r w:rsidR="005D5F06" w:rsidRPr="00264D5D">
              <w:t>лений в текущем финансовом году</w:t>
            </w:r>
          </w:p>
        </w:tc>
      </w:tr>
      <w:tr w:rsidR="00AD1F54" w:rsidRPr="00264D5D" w14:paraId="13F24C8A"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11C34D9" w14:textId="77777777" w:rsidR="00AD1F54" w:rsidRPr="00264D5D" w:rsidRDefault="00941227">
            <w:pPr>
              <w:pStyle w:val="GOSTTablenorm"/>
              <w:rPr>
                <w:szCs w:val="22"/>
              </w:rPr>
            </w:pPr>
            <w:r w:rsidRPr="00264D5D">
              <w:t xml:space="preserve">Выплаты </w:t>
            </w:r>
          </w:p>
        </w:tc>
        <w:tc>
          <w:tcPr>
            <w:tcW w:w="1701" w:type="dxa"/>
          </w:tcPr>
          <w:p w14:paraId="122449A4" w14:textId="77777777" w:rsidR="00AD1F54" w:rsidRPr="00264D5D" w:rsidRDefault="00941227">
            <w:pPr>
              <w:pStyle w:val="GOSTTablenorm"/>
              <w:rPr>
                <w:szCs w:val="22"/>
              </w:rPr>
            </w:pPr>
            <w:r w:rsidRPr="00264D5D">
              <w:t>Data006</w:t>
            </w:r>
          </w:p>
        </w:tc>
        <w:tc>
          <w:tcPr>
            <w:tcW w:w="567" w:type="dxa"/>
          </w:tcPr>
          <w:p w14:paraId="1529E622" w14:textId="77777777" w:rsidR="00AD1F54" w:rsidRPr="00264D5D" w:rsidRDefault="00941227">
            <w:pPr>
              <w:pStyle w:val="GOSTTablenorm"/>
              <w:jc w:val="center"/>
              <w:rPr>
                <w:szCs w:val="22"/>
              </w:rPr>
            </w:pPr>
            <w:r w:rsidRPr="00264D5D">
              <w:t>П</w:t>
            </w:r>
          </w:p>
        </w:tc>
        <w:tc>
          <w:tcPr>
            <w:tcW w:w="1134" w:type="dxa"/>
          </w:tcPr>
          <w:p w14:paraId="036E59C2" w14:textId="77777777" w:rsidR="00AD1F54" w:rsidRPr="00264D5D" w:rsidRDefault="00941227">
            <w:pPr>
              <w:pStyle w:val="GOSTTablenorm"/>
              <w:rPr>
                <w:szCs w:val="22"/>
              </w:rPr>
            </w:pPr>
            <w:r w:rsidRPr="00264D5D">
              <w:rPr>
                <w:szCs w:val="22"/>
              </w:rPr>
              <w:t>N(20.2)</w:t>
            </w:r>
          </w:p>
        </w:tc>
        <w:tc>
          <w:tcPr>
            <w:tcW w:w="567" w:type="dxa"/>
          </w:tcPr>
          <w:p w14:paraId="3B760BD1" w14:textId="77777777" w:rsidR="00AD1F54" w:rsidRPr="00264D5D" w:rsidRDefault="00941227">
            <w:pPr>
              <w:pStyle w:val="GOSTTablenorm"/>
              <w:jc w:val="center"/>
              <w:rPr>
                <w:szCs w:val="22"/>
              </w:rPr>
            </w:pPr>
            <w:r w:rsidRPr="00264D5D">
              <w:t>Н</w:t>
            </w:r>
          </w:p>
        </w:tc>
        <w:tc>
          <w:tcPr>
            <w:tcW w:w="3963" w:type="dxa"/>
          </w:tcPr>
          <w:p w14:paraId="3AB02E70" w14:textId="77777777" w:rsidR="00AD1F54" w:rsidRPr="00264D5D" w:rsidRDefault="00941227">
            <w:pPr>
              <w:pStyle w:val="GOSTTablenorm"/>
            </w:pPr>
            <w:r w:rsidRPr="00264D5D">
              <w:t>Указывается сумма кассовых выплат в текущем финансовом году (в т.ч. восстановление кассового ра</w:t>
            </w:r>
            <w:r w:rsidR="005D5F06" w:rsidRPr="00264D5D">
              <w:t>схода)</w:t>
            </w:r>
          </w:p>
        </w:tc>
      </w:tr>
      <w:tr w:rsidR="00AD1F54" w:rsidRPr="00264D5D" w14:paraId="3ED705C9"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516F1968" w14:textId="77777777" w:rsidR="00AD1F54" w:rsidRPr="00264D5D" w:rsidRDefault="00941227">
            <w:pPr>
              <w:pStyle w:val="GOSTTablenorm"/>
            </w:pPr>
            <w:r w:rsidRPr="00264D5D">
              <w:t>Примечание</w:t>
            </w:r>
          </w:p>
        </w:tc>
        <w:tc>
          <w:tcPr>
            <w:tcW w:w="1701" w:type="dxa"/>
          </w:tcPr>
          <w:p w14:paraId="2E2E8B5D" w14:textId="77777777" w:rsidR="00AD1F54" w:rsidRPr="00264D5D" w:rsidRDefault="00941227">
            <w:pPr>
              <w:pStyle w:val="GOSTTablenorm"/>
            </w:pPr>
            <w:r w:rsidRPr="00264D5D">
              <w:t>Data_VC037</w:t>
            </w:r>
          </w:p>
        </w:tc>
        <w:tc>
          <w:tcPr>
            <w:tcW w:w="567" w:type="dxa"/>
          </w:tcPr>
          <w:p w14:paraId="4AA54DCB" w14:textId="77777777" w:rsidR="00AD1F54" w:rsidRPr="00264D5D" w:rsidRDefault="00941227">
            <w:pPr>
              <w:pStyle w:val="GOSTTablenorm"/>
              <w:jc w:val="center"/>
            </w:pPr>
            <w:r w:rsidRPr="00264D5D">
              <w:t>П</w:t>
            </w:r>
          </w:p>
        </w:tc>
        <w:tc>
          <w:tcPr>
            <w:tcW w:w="1134" w:type="dxa"/>
          </w:tcPr>
          <w:p w14:paraId="42A64AE0" w14:textId="77777777" w:rsidR="00AD1F54" w:rsidRPr="00264D5D" w:rsidRDefault="00941227">
            <w:pPr>
              <w:pStyle w:val="GOSTTablenorm"/>
              <w:rPr>
                <w:szCs w:val="22"/>
              </w:rPr>
            </w:pPr>
            <w:r w:rsidRPr="00264D5D">
              <w:rPr>
                <w:lang w:val="en-US"/>
              </w:rPr>
              <w:t>T</w:t>
            </w:r>
            <w:r w:rsidRPr="00264D5D">
              <w:t>(</w:t>
            </w:r>
            <w:r w:rsidRPr="00264D5D">
              <w:rPr>
                <w:lang w:val="en-US"/>
              </w:rPr>
              <w:t>1-</w:t>
            </w:r>
            <w:r w:rsidRPr="00264D5D">
              <w:t>256)</w:t>
            </w:r>
          </w:p>
        </w:tc>
        <w:tc>
          <w:tcPr>
            <w:tcW w:w="567" w:type="dxa"/>
          </w:tcPr>
          <w:p w14:paraId="00933CF5" w14:textId="77777777" w:rsidR="00AD1F54" w:rsidRPr="00264D5D" w:rsidRDefault="00941227">
            <w:pPr>
              <w:pStyle w:val="GOSTTablenorm"/>
              <w:jc w:val="center"/>
            </w:pPr>
            <w:r w:rsidRPr="00264D5D">
              <w:t>Н</w:t>
            </w:r>
          </w:p>
        </w:tc>
        <w:tc>
          <w:tcPr>
            <w:tcW w:w="3963" w:type="dxa"/>
          </w:tcPr>
          <w:p w14:paraId="2B9644B8" w14:textId="77777777" w:rsidR="00AD1F54" w:rsidRPr="00264D5D" w:rsidRDefault="00941227">
            <w:pPr>
              <w:pStyle w:val="GOSTTablenorm"/>
            </w:pPr>
            <w:r w:rsidRPr="00264D5D">
              <w:t>Указывается прочая информация, необходимая для прием</w:t>
            </w:r>
            <w:r w:rsidR="005D5F06" w:rsidRPr="00264D5D">
              <w:t>а-передачи поступлений и выплат</w:t>
            </w:r>
          </w:p>
        </w:tc>
      </w:tr>
      <w:tr w:rsidR="00AD1F54" w:rsidRPr="00264D5D" w14:paraId="71579666"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5A05C52D" w14:textId="77777777" w:rsidR="00AD1F54" w:rsidRPr="00264D5D" w:rsidRDefault="00941227">
            <w:pPr>
              <w:pStyle w:val="GOSTTablenorm"/>
              <w:rPr>
                <w:szCs w:val="22"/>
              </w:rPr>
            </w:pPr>
            <w:r w:rsidRPr="00264D5D">
              <w:rPr>
                <w:b/>
              </w:rPr>
              <w:t>Раздел 1. Бюджетные средства (Итого по виду средств)</w:t>
            </w:r>
          </w:p>
        </w:tc>
        <w:tc>
          <w:tcPr>
            <w:tcW w:w="1701" w:type="dxa"/>
          </w:tcPr>
          <w:p w14:paraId="2A6A26B7" w14:textId="77777777" w:rsidR="00AD1F54" w:rsidRPr="00264D5D" w:rsidRDefault="00941227">
            <w:pPr>
              <w:pStyle w:val="GOSTTablenorm"/>
              <w:rPr>
                <w:szCs w:val="22"/>
              </w:rPr>
            </w:pPr>
            <w:r w:rsidRPr="00264D5D">
              <w:rPr>
                <w:b/>
                <w:szCs w:val="22"/>
              </w:rPr>
              <w:t>Line</w:t>
            </w:r>
          </w:p>
        </w:tc>
        <w:tc>
          <w:tcPr>
            <w:tcW w:w="567" w:type="dxa"/>
          </w:tcPr>
          <w:p w14:paraId="455C0C61" w14:textId="77777777" w:rsidR="00AD1F54" w:rsidRPr="00264D5D" w:rsidRDefault="00941227">
            <w:pPr>
              <w:pStyle w:val="GOSTTablenorm"/>
              <w:jc w:val="center"/>
              <w:rPr>
                <w:szCs w:val="22"/>
              </w:rPr>
            </w:pPr>
            <w:r w:rsidRPr="00264D5D">
              <w:rPr>
                <w:b/>
                <w:szCs w:val="22"/>
              </w:rPr>
              <w:t>-</w:t>
            </w:r>
          </w:p>
        </w:tc>
        <w:tc>
          <w:tcPr>
            <w:tcW w:w="1134" w:type="dxa"/>
          </w:tcPr>
          <w:p w14:paraId="7753AD2B" w14:textId="77777777" w:rsidR="00AD1F54" w:rsidRPr="00264D5D" w:rsidRDefault="00941227">
            <w:pPr>
              <w:pStyle w:val="GOSTTablenorm"/>
              <w:rPr>
                <w:szCs w:val="22"/>
              </w:rPr>
            </w:pPr>
            <w:r w:rsidRPr="00264D5D">
              <w:rPr>
                <w:b/>
                <w:szCs w:val="22"/>
              </w:rPr>
              <w:t>-</w:t>
            </w:r>
          </w:p>
        </w:tc>
        <w:tc>
          <w:tcPr>
            <w:tcW w:w="567" w:type="dxa"/>
          </w:tcPr>
          <w:p w14:paraId="602732D8" w14:textId="77777777" w:rsidR="00AD1F54" w:rsidRPr="00264D5D" w:rsidRDefault="00941227">
            <w:pPr>
              <w:pStyle w:val="GOSTTablenorm"/>
              <w:jc w:val="center"/>
              <w:rPr>
                <w:szCs w:val="22"/>
              </w:rPr>
            </w:pPr>
            <w:r w:rsidRPr="00264D5D">
              <w:rPr>
                <w:b/>
                <w:szCs w:val="22"/>
              </w:rPr>
              <w:t>НМ</w:t>
            </w:r>
          </w:p>
        </w:tc>
        <w:tc>
          <w:tcPr>
            <w:tcW w:w="3963" w:type="dxa"/>
          </w:tcPr>
          <w:p w14:paraId="5AD67BC8" w14:textId="77777777" w:rsidR="00AD1F54" w:rsidRPr="00264D5D" w:rsidRDefault="00941227">
            <w:pPr>
              <w:pStyle w:val="GOSTTablenorm"/>
              <w:rPr>
                <w:szCs w:val="22"/>
              </w:rPr>
            </w:pPr>
            <w:r w:rsidRPr="00264D5D">
              <w:rPr>
                <w:b/>
                <w:szCs w:val="22"/>
              </w:rPr>
              <w:t>-</w:t>
            </w:r>
          </w:p>
        </w:tc>
      </w:tr>
      <w:tr w:rsidR="00AD1F54" w:rsidRPr="00264D5D" w14:paraId="510C7D40"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4831B2BA" w14:textId="77777777" w:rsidR="00AD1F54" w:rsidRPr="00264D5D" w:rsidRDefault="00941227">
            <w:pPr>
              <w:pStyle w:val="GOSTTablenorm"/>
            </w:pPr>
            <w:r w:rsidRPr="00264D5D">
              <w:t>Номер секции формы</w:t>
            </w:r>
          </w:p>
          <w:p w14:paraId="35A26429" w14:textId="77777777" w:rsidR="00AD1F54" w:rsidRPr="00264D5D" w:rsidRDefault="00AD1F54">
            <w:pPr>
              <w:pStyle w:val="GOSTTablenorm"/>
              <w:rPr>
                <w:szCs w:val="22"/>
              </w:rPr>
            </w:pPr>
          </w:p>
        </w:tc>
        <w:tc>
          <w:tcPr>
            <w:tcW w:w="1701" w:type="dxa"/>
          </w:tcPr>
          <w:p w14:paraId="31E94386" w14:textId="77777777" w:rsidR="00AD1F54" w:rsidRPr="00264D5D" w:rsidRDefault="00941227">
            <w:pPr>
              <w:pStyle w:val="GOSTTablenorm"/>
              <w:rPr>
                <w:szCs w:val="22"/>
              </w:rPr>
            </w:pPr>
            <w:r w:rsidRPr="00264D5D">
              <w:t>SectionNumber</w:t>
            </w:r>
          </w:p>
        </w:tc>
        <w:tc>
          <w:tcPr>
            <w:tcW w:w="567" w:type="dxa"/>
          </w:tcPr>
          <w:p w14:paraId="5CD04238" w14:textId="77777777" w:rsidR="00AD1F54" w:rsidRPr="00264D5D" w:rsidRDefault="00941227">
            <w:pPr>
              <w:pStyle w:val="GOSTTablenorm"/>
              <w:jc w:val="center"/>
              <w:rPr>
                <w:szCs w:val="22"/>
              </w:rPr>
            </w:pPr>
            <w:r w:rsidRPr="00264D5D">
              <w:t>П</w:t>
            </w:r>
          </w:p>
        </w:tc>
        <w:tc>
          <w:tcPr>
            <w:tcW w:w="1134" w:type="dxa"/>
          </w:tcPr>
          <w:p w14:paraId="3C8956AE" w14:textId="77777777" w:rsidR="00AD1F54" w:rsidRPr="00264D5D" w:rsidRDefault="00941227">
            <w:pPr>
              <w:pStyle w:val="GOSTTablenorm"/>
              <w:rPr>
                <w:szCs w:val="22"/>
              </w:rPr>
            </w:pPr>
            <w:r w:rsidRPr="00264D5D">
              <w:rPr>
                <w:lang w:val="en-US"/>
              </w:rPr>
              <w:t>T</w:t>
            </w:r>
            <w:r w:rsidRPr="00264D5D">
              <w:t>(</w:t>
            </w:r>
            <w:r w:rsidRPr="00264D5D">
              <w:rPr>
                <w:lang w:val="en-US"/>
              </w:rPr>
              <w:t>1-</w:t>
            </w:r>
            <w:r w:rsidRPr="00264D5D">
              <w:t>240)</w:t>
            </w:r>
          </w:p>
        </w:tc>
        <w:tc>
          <w:tcPr>
            <w:tcW w:w="567" w:type="dxa"/>
          </w:tcPr>
          <w:p w14:paraId="7BCF201B" w14:textId="77777777" w:rsidR="00AD1F54" w:rsidRPr="00264D5D" w:rsidRDefault="00941227">
            <w:pPr>
              <w:pStyle w:val="GOSTTablenorm"/>
              <w:jc w:val="center"/>
              <w:rPr>
                <w:szCs w:val="22"/>
              </w:rPr>
            </w:pPr>
            <w:r w:rsidRPr="00264D5D">
              <w:t>O</w:t>
            </w:r>
          </w:p>
        </w:tc>
        <w:tc>
          <w:tcPr>
            <w:tcW w:w="3963" w:type="dxa"/>
          </w:tcPr>
          <w:p w14:paraId="540FB646" w14:textId="77777777" w:rsidR="00AD1F54" w:rsidRPr="00264D5D" w:rsidRDefault="00941227">
            <w:pPr>
              <w:pStyle w:val="GOSTTablenorm"/>
              <w:rPr>
                <w:szCs w:val="22"/>
              </w:rPr>
            </w:pPr>
            <w:r w:rsidRPr="00264D5D">
              <w:rPr>
                <w:szCs w:val="22"/>
              </w:rPr>
              <w:t>Указывается номер секции/раздела:</w:t>
            </w:r>
          </w:p>
          <w:p w14:paraId="79D08F0A" w14:textId="77777777" w:rsidR="00AD1F54" w:rsidRPr="00264D5D" w:rsidRDefault="00941227" w:rsidP="00101F62">
            <w:pPr>
              <w:pStyle w:val="af5"/>
              <w:numPr>
                <w:ilvl w:val="0"/>
                <w:numId w:val="145"/>
              </w:numPr>
              <w:spacing w:before="60" w:after="60"/>
              <w:ind w:left="284" w:hanging="227"/>
              <w:jc w:val="both"/>
              <w:rPr>
                <w:sz w:val="22"/>
                <w:szCs w:val="22"/>
              </w:rPr>
            </w:pPr>
            <w:r w:rsidRPr="00264D5D">
              <w:rPr>
                <w:sz w:val="22"/>
                <w:szCs w:val="22"/>
              </w:rPr>
              <w:t>2 – для раздела «1. Бюджет</w:t>
            </w:r>
            <w:r w:rsidR="005D5F06" w:rsidRPr="00264D5D">
              <w:rPr>
                <w:sz w:val="22"/>
                <w:szCs w:val="22"/>
              </w:rPr>
              <w:t>ные средства» (итоговые строки)</w:t>
            </w:r>
          </w:p>
        </w:tc>
      </w:tr>
      <w:tr w:rsidR="00AD1F54" w:rsidRPr="00264D5D" w14:paraId="40120795"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72DDB96" w14:textId="77777777" w:rsidR="00AD1F54" w:rsidRPr="00264D5D" w:rsidRDefault="00941227">
            <w:pPr>
              <w:pStyle w:val="GOSTTablenorm"/>
              <w:rPr>
                <w:szCs w:val="22"/>
              </w:rPr>
            </w:pPr>
            <w:r w:rsidRPr="00264D5D">
              <w:t xml:space="preserve">Наименование вида средств </w:t>
            </w:r>
          </w:p>
        </w:tc>
        <w:tc>
          <w:tcPr>
            <w:tcW w:w="1701" w:type="dxa"/>
          </w:tcPr>
          <w:p w14:paraId="654DF370" w14:textId="77777777" w:rsidR="00AD1F54" w:rsidRPr="00264D5D" w:rsidRDefault="00941227">
            <w:pPr>
              <w:pStyle w:val="GOSTTablenorm"/>
              <w:rPr>
                <w:szCs w:val="22"/>
              </w:rPr>
            </w:pPr>
            <w:r w:rsidRPr="00264D5D">
              <w:t>Segment4</w:t>
            </w:r>
          </w:p>
        </w:tc>
        <w:tc>
          <w:tcPr>
            <w:tcW w:w="567" w:type="dxa"/>
          </w:tcPr>
          <w:p w14:paraId="7A8109BE" w14:textId="77777777" w:rsidR="00AD1F54" w:rsidRPr="00264D5D" w:rsidRDefault="00941227">
            <w:pPr>
              <w:pStyle w:val="GOSTTablenorm"/>
              <w:jc w:val="center"/>
              <w:rPr>
                <w:szCs w:val="22"/>
              </w:rPr>
            </w:pPr>
            <w:r w:rsidRPr="00264D5D">
              <w:t>П</w:t>
            </w:r>
          </w:p>
        </w:tc>
        <w:tc>
          <w:tcPr>
            <w:tcW w:w="1134" w:type="dxa"/>
          </w:tcPr>
          <w:p w14:paraId="435FBA1B" w14:textId="77777777" w:rsidR="00AD1F54" w:rsidRPr="00264D5D" w:rsidRDefault="00941227">
            <w:pPr>
              <w:pStyle w:val="GOSTTablenorm"/>
              <w:rPr>
                <w:szCs w:val="22"/>
              </w:rPr>
            </w:pPr>
            <w:r w:rsidRPr="00264D5D">
              <w:rPr>
                <w:lang w:val="en-US"/>
              </w:rPr>
              <w:t>T</w:t>
            </w:r>
            <w:r w:rsidRPr="00264D5D">
              <w:t>(</w:t>
            </w:r>
            <w:r w:rsidRPr="00264D5D">
              <w:rPr>
                <w:lang w:val="en-US"/>
              </w:rPr>
              <w:t>1-10</w:t>
            </w:r>
            <w:r w:rsidRPr="00264D5D">
              <w:t>0)</w:t>
            </w:r>
          </w:p>
        </w:tc>
        <w:tc>
          <w:tcPr>
            <w:tcW w:w="567" w:type="dxa"/>
          </w:tcPr>
          <w:p w14:paraId="4A736FDB" w14:textId="77777777" w:rsidR="00AD1F54" w:rsidRPr="00264D5D" w:rsidRDefault="00941227">
            <w:pPr>
              <w:pStyle w:val="GOSTTablenorm"/>
              <w:jc w:val="center"/>
              <w:rPr>
                <w:szCs w:val="22"/>
              </w:rPr>
            </w:pPr>
            <w:r w:rsidRPr="00264D5D">
              <w:t>O</w:t>
            </w:r>
          </w:p>
        </w:tc>
        <w:tc>
          <w:tcPr>
            <w:tcW w:w="3963" w:type="dxa"/>
          </w:tcPr>
          <w:p w14:paraId="4996FA6D" w14:textId="77777777" w:rsidR="00AD1F54" w:rsidRPr="00264D5D" w:rsidRDefault="00941227">
            <w:pPr>
              <w:pStyle w:val="GOSTTablenorm"/>
              <w:rPr>
                <w:szCs w:val="22"/>
              </w:rPr>
            </w:pPr>
            <w:r w:rsidRPr="00264D5D">
              <w:t>Указывается наименование вида средств, по которому были осуществлены поступления (выплаты): средства бюджета, средства по оперативно-ро</w:t>
            </w:r>
            <w:r w:rsidR="005D5F06" w:rsidRPr="00264D5D">
              <w:t>зыскной деятельности, источники</w:t>
            </w:r>
          </w:p>
        </w:tc>
      </w:tr>
      <w:tr w:rsidR="00AD1F54" w:rsidRPr="00264D5D" w14:paraId="5CE13F4A"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0EB9ACC2" w14:textId="77777777" w:rsidR="00AD1F54" w:rsidRPr="00264D5D" w:rsidRDefault="00941227">
            <w:pPr>
              <w:pStyle w:val="GOSTTablenorm"/>
              <w:rPr>
                <w:szCs w:val="22"/>
              </w:rPr>
            </w:pPr>
            <w:r w:rsidRPr="00264D5D">
              <w:t xml:space="preserve">Остаток на начало года </w:t>
            </w:r>
          </w:p>
        </w:tc>
        <w:tc>
          <w:tcPr>
            <w:tcW w:w="1701" w:type="dxa"/>
          </w:tcPr>
          <w:p w14:paraId="042548DA" w14:textId="77777777" w:rsidR="00AD1F54" w:rsidRPr="00264D5D" w:rsidRDefault="00941227">
            <w:pPr>
              <w:pStyle w:val="GOSTTablenorm"/>
              <w:rPr>
                <w:szCs w:val="22"/>
              </w:rPr>
            </w:pPr>
            <w:r w:rsidRPr="00264D5D">
              <w:t>Data004</w:t>
            </w:r>
          </w:p>
        </w:tc>
        <w:tc>
          <w:tcPr>
            <w:tcW w:w="567" w:type="dxa"/>
          </w:tcPr>
          <w:p w14:paraId="2568736B" w14:textId="77777777" w:rsidR="00AD1F54" w:rsidRPr="00264D5D" w:rsidRDefault="00941227">
            <w:pPr>
              <w:pStyle w:val="GOSTTablenorm"/>
              <w:jc w:val="center"/>
              <w:rPr>
                <w:szCs w:val="22"/>
              </w:rPr>
            </w:pPr>
            <w:r w:rsidRPr="00264D5D">
              <w:t>П</w:t>
            </w:r>
          </w:p>
        </w:tc>
        <w:tc>
          <w:tcPr>
            <w:tcW w:w="1134" w:type="dxa"/>
          </w:tcPr>
          <w:p w14:paraId="33208765" w14:textId="77777777" w:rsidR="00AD1F54" w:rsidRPr="00264D5D" w:rsidRDefault="00941227">
            <w:pPr>
              <w:pStyle w:val="GOSTTablenorm"/>
              <w:rPr>
                <w:szCs w:val="22"/>
              </w:rPr>
            </w:pPr>
            <w:r w:rsidRPr="00264D5D">
              <w:rPr>
                <w:szCs w:val="22"/>
              </w:rPr>
              <w:t>N(20.2)</w:t>
            </w:r>
          </w:p>
        </w:tc>
        <w:tc>
          <w:tcPr>
            <w:tcW w:w="567" w:type="dxa"/>
          </w:tcPr>
          <w:p w14:paraId="01F6F806" w14:textId="77777777" w:rsidR="00AD1F54" w:rsidRPr="00264D5D" w:rsidRDefault="00941227">
            <w:pPr>
              <w:pStyle w:val="GOSTTablenorm"/>
              <w:jc w:val="center"/>
              <w:rPr>
                <w:szCs w:val="22"/>
              </w:rPr>
            </w:pPr>
            <w:r w:rsidRPr="00264D5D">
              <w:t>O</w:t>
            </w:r>
          </w:p>
        </w:tc>
        <w:tc>
          <w:tcPr>
            <w:tcW w:w="3963" w:type="dxa"/>
          </w:tcPr>
          <w:p w14:paraId="7A95B8D8" w14:textId="77777777" w:rsidR="00AD1F54" w:rsidRPr="00264D5D" w:rsidRDefault="00941227" w:rsidP="005D5F06">
            <w:pPr>
              <w:pStyle w:val="GOSTTablenorm"/>
              <w:rPr>
                <w:szCs w:val="22"/>
              </w:rPr>
            </w:pPr>
            <w:r w:rsidRPr="00264D5D">
              <w:t>Указывается сумма остатка средств на н</w:t>
            </w:r>
            <w:r w:rsidR="005D5F06" w:rsidRPr="00264D5D">
              <w:t>ачало текущего финансового года</w:t>
            </w:r>
          </w:p>
        </w:tc>
      </w:tr>
      <w:tr w:rsidR="00AD1F54" w:rsidRPr="00264D5D" w14:paraId="274A9B3F"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845DE5D" w14:textId="77777777" w:rsidR="00AD1F54" w:rsidRPr="00264D5D" w:rsidRDefault="00941227">
            <w:pPr>
              <w:pStyle w:val="GOSTTablenorm"/>
              <w:rPr>
                <w:szCs w:val="22"/>
              </w:rPr>
            </w:pPr>
            <w:r w:rsidRPr="00264D5D">
              <w:t xml:space="preserve">Поступления </w:t>
            </w:r>
          </w:p>
        </w:tc>
        <w:tc>
          <w:tcPr>
            <w:tcW w:w="1701" w:type="dxa"/>
          </w:tcPr>
          <w:p w14:paraId="3B705F84" w14:textId="77777777" w:rsidR="00AD1F54" w:rsidRPr="00264D5D" w:rsidRDefault="00941227">
            <w:pPr>
              <w:pStyle w:val="GOSTTablenorm"/>
              <w:rPr>
                <w:szCs w:val="22"/>
              </w:rPr>
            </w:pPr>
            <w:r w:rsidRPr="00264D5D">
              <w:t>Data005</w:t>
            </w:r>
          </w:p>
        </w:tc>
        <w:tc>
          <w:tcPr>
            <w:tcW w:w="567" w:type="dxa"/>
          </w:tcPr>
          <w:p w14:paraId="610D1A9A" w14:textId="77777777" w:rsidR="00AD1F54" w:rsidRPr="00264D5D" w:rsidRDefault="00941227">
            <w:pPr>
              <w:pStyle w:val="GOSTTablenorm"/>
              <w:jc w:val="center"/>
              <w:rPr>
                <w:szCs w:val="22"/>
              </w:rPr>
            </w:pPr>
            <w:r w:rsidRPr="00264D5D">
              <w:t>П</w:t>
            </w:r>
          </w:p>
        </w:tc>
        <w:tc>
          <w:tcPr>
            <w:tcW w:w="1134" w:type="dxa"/>
          </w:tcPr>
          <w:p w14:paraId="4EC26301" w14:textId="77777777" w:rsidR="00AD1F54" w:rsidRPr="00264D5D" w:rsidRDefault="00941227">
            <w:pPr>
              <w:pStyle w:val="GOSTTablenorm"/>
              <w:rPr>
                <w:szCs w:val="22"/>
              </w:rPr>
            </w:pPr>
            <w:r w:rsidRPr="00264D5D">
              <w:rPr>
                <w:szCs w:val="22"/>
              </w:rPr>
              <w:t>N(20.2)</w:t>
            </w:r>
          </w:p>
        </w:tc>
        <w:tc>
          <w:tcPr>
            <w:tcW w:w="567" w:type="dxa"/>
          </w:tcPr>
          <w:p w14:paraId="125D0E22" w14:textId="77777777" w:rsidR="00AD1F54" w:rsidRPr="00264D5D" w:rsidRDefault="00941227">
            <w:pPr>
              <w:pStyle w:val="GOSTTablenorm"/>
              <w:jc w:val="center"/>
              <w:rPr>
                <w:szCs w:val="22"/>
              </w:rPr>
            </w:pPr>
            <w:r w:rsidRPr="00264D5D">
              <w:t>Н</w:t>
            </w:r>
          </w:p>
        </w:tc>
        <w:tc>
          <w:tcPr>
            <w:tcW w:w="3963" w:type="dxa"/>
          </w:tcPr>
          <w:p w14:paraId="16F3EFFE" w14:textId="77777777" w:rsidR="00AD1F54" w:rsidRPr="00264D5D" w:rsidRDefault="00941227">
            <w:pPr>
              <w:pStyle w:val="GOSTTablenorm"/>
              <w:rPr>
                <w:szCs w:val="22"/>
              </w:rPr>
            </w:pPr>
            <w:r w:rsidRPr="00264D5D">
              <w:t>Указывается сумма поступ</w:t>
            </w:r>
            <w:r w:rsidR="005D5F06" w:rsidRPr="00264D5D">
              <w:t>лений в текущем финансовом году</w:t>
            </w:r>
          </w:p>
        </w:tc>
      </w:tr>
      <w:tr w:rsidR="00AD1F54" w:rsidRPr="00264D5D" w14:paraId="55E409C8"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4328DA9" w14:textId="77777777" w:rsidR="00AD1F54" w:rsidRPr="00264D5D" w:rsidRDefault="00941227">
            <w:pPr>
              <w:pStyle w:val="GOSTTablenorm"/>
              <w:rPr>
                <w:szCs w:val="22"/>
              </w:rPr>
            </w:pPr>
            <w:r w:rsidRPr="00264D5D">
              <w:t xml:space="preserve">Выплаты </w:t>
            </w:r>
          </w:p>
        </w:tc>
        <w:tc>
          <w:tcPr>
            <w:tcW w:w="1701" w:type="dxa"/>
          </w:tcPr>
          <w:p w14:paraId="52717B10" w14:textId="77777777" w:rsidR="00AD1F54" w:rsidRPr="00264D5D" w:rsidRDefault="00941227">
            <w:pPr>
              <w:pStyle w:val="GOSTTablenorm"/>
              <w:rPr>
                <w:szCs w:val="22"/>
              </w:rPr>
            </w:pPr>
            <w:r w:rsidRPr="00264D5D">
              <w:t>Data006</w:t>
            </w:r>
          </w:p>
        </w:tc>
        <w:tc>
          <w:tcPr>
            <w:tcW w:w="567" w:type="dxa"/>
          </w:tcPr>
          <w:p w14:paraId="668AF997" w14:textId="77777777" w:rsidR="00AD1F54" w:rsidRPr="00264D5D" w:rsidRDefault="00941227">
            <w:pPr>
              <w:pStyle w:val="GOSTTablenorm"/>
              <w:jc w:val="center"/>
              <w:rPr>
                <w:szCs w:val="22"/>
              </w:rPr>
            </w:pPr>
            <w:r w:rsidRPr="00264D5D">
              <w:t>П</w:t>
            </w:r>
          </w:p>
        </w:tc>
        <w:tc>
          <w:tcPr>
            <w:tcW w:w="1134" w:type="dxa"/>
          </w:tcPr>
          <w:p w14:paraId="7C95FB74" w14:textId="77777777" w:rsidR="00AD1F54" w:rsidRPr="00264D5D" w:rsidRDefault="00941227">
            <w:pPr>
              <w:pStyle w:val="GOSTTablenorm"/>
              <w:rPr>
                <w:szCs w:val="22"/>
              </w:rPr>
            </w:pPr>
            <w:r w:rsidRPr="00264D5D">
              <w:rPr>
                <w:szCs w:val="22"/>
              </w:rPr>
              <w:t>N(20.2)</w:t>
            </w:r>
          </w:p>
        </w:tc>
        <w:tc>
          <w:tcPr>
            <w:tcW w:w="567" w:type="dxa"/>
          </w:tcPr>
          <w:p w14:paraId="20DC9D09" w14:textId="77777777" w:rsidR="00AD1F54" w:rsidRPr="00264D5D" w:rsidRDefault="00941227">
            <w:pPr>
              <w:pStyle w:val="GOSTTablenorm"/>
              <w:jc w:val="center"/>
              <w:rPr>
                <w:szCs w:val="22"/>
              </w:rPr>
            </w:pPr>
            <w:r w:rsidRPr="00264D5D">
              <w:t>Н</w:t>
            </w:r>
          </w:p>
        </w:tc>
        <w:tc>
          <w:tcPr>
            <w:tcW w:w="3963" w:type="dxa"/>
          </w:tcPr>
          <w:p w14:paraId="4A811A8A" w14:textId="77777777" w:rsidR="00AD1F54" w:rsidRPr="00264D5D" w:rsidRDefault="00941227">
            <w:pPr>
              <w:pStyle w:val="GOSTTablenorm"/>
              <w:rPr>
                <w:szCs w:val="22"/>
              </w:rPr>
            </w:pPr>
            <w:r w:rsidRPr="00264D5D">
              <w:t>Указывается сумма кассовых выплат в текущем финансовом году (в т.ч. во</w:t>
            </w:r>
            <w:r w:rsidR="005D5F06" w:rsidRPr="00264D5D">
              <w:t>сстановление кассового расхода)</w:t>
            </w:r>
          </w:p>
        </w:tc>
      </w:tr>
      <w:tr w:rsidR="00AD1F54" w:rsidRPr="00264D5D" w14:paraId="7B33239B"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8581BD8" w14:textId="77777777" w:rsidR="00AD1F54" w:rsidRPr="00264D5D" w:rsidRDefault="00941227">
            <w:pPr>
              <w:pStyle w:val="GOSTTablenorm"/>
            </w:pPr>
            <w:r w:rsidRPr="00264D5D">
              <w:rPr>
                <w:b/>
              </w:rPr>
              <w:t>Раздел 1. Бюджетные средства (Всего)</w:t>
            </w:r>
          </w:p>
        </w:tc>
        <w:tc>
          <w:tcPr>
            <w:tcW w:w="1701" w:type="dxa"/>
          </w:tcPr>
          <w:p w14:paraId="5730ED4E" w14:textId="77777777" w:rsidR="00AD1F54" w:rsidRPr="00264D5D" w:rsidRDefault="00941227">
            <w:pPr>
              <w:pStyle w:val="GOSTTablenorm"/>
            </w:pPr>
            <w:r w:rsidRPr="00264D5D">
              <w:rPr>
                <w:b/>
                <w:szCs w:val="22"/>
              </w:rPr>
              <w:t>Line</w:t>
            </w:r>
          </w:p>
        </w:tc>
        <w:tc>
          <w:tcPr>
            <w:tcW w:w="567" w:type="dxa"/>
          </w:tcPr>
          <w:p w14:paraId="0B0CC040" w14:textId="77777777" w:rsidR="00AD1F54" w:rsidRPr="00264D5D" w:rsidRDefault="00941227">
            <w:pPr>
              <w:pStyle w:val="GOSTTablenorm"/>
              <w:jc w:val="center"/>
            </w:pPr>
            <w:r w:rsidRPr="00264D5D">
              <w:rPr>
                <w:b/>
                <w:szCs w:val="22"/>
              </w:rPr>
              <w:t>-</w:t>
            </w:r>
          </w:p>
        </w:tc>
        <w:tc>
          <w:tcPr>
            <w:tcW w:w="1134" w:type="dxa"/>
          </w:tcPr>
          <w:p w14:paraId="033814D8" w14:textId="77777777" w:rsidR="00AD1F54" w:rsidRPr="00264D5D" w:rsidRDefault="00941227">
            <w:pPr>
              <w:pStyle w:val="GOSTTablenorm"/>
              <w:rPr>
                <w:szCs w:val="22"/>
              </w:rPr>
            </w:pPr>
            <w:r w:rsidRPr="00264D5D">
              <w:rPr>
                <w:b/>
                <w:szCs w:val="22"/>
              </w:rPr>
              <w:t>-</w:t>
            </w:r>
          </w:p>
        </w:tc>
        <w:tc>
          <w:tcPr>
            <w:tcW w:w="567" w:type="dxa"/>
          </w:tcPr>
          <w:p w14:paraId="198461C9" w14:textId="77777777" w:rsidR="00AD1F54" w:rsidRPr="00264D5D" w:rsidRDefault="00941227">
            <w:pPr>
              <w:pStyle w:val="GOSTTablenorm"/>
              <w:jc w:val="center"/>
            </w:pPr>
            <w:r w:rsidRPr="00264D5D">
              <w:rPr>
                <w:b/>
                <w:szCs w:val="22"/>
              </w:rPr>
              <w:t>НМ</w:t>
            </w:r>
          </w:p>
        </w:tc>
        <w:tc>
          <w:tcPr>
            <w:tcW w:w="3963" w:type="dxa"/>
          </w:tcPr>
          <w:p w14:paraId="06A82229" w14:textId="77777777" w:rsidR="00AD1F54" w:rsidRPr="00264D5D" w:rsidRDefault="00941227">
            <w:pPr>
              <w:pStyle w:val="GOSTTablenorm"/>
            </w:pPr>
            <w:r w:rsidRPr="00264D5D">
              <w:rPr>
                <w:b/>
                <w:szCs w:val="22"/>
              </w:rPr>
              <w:t>-</w:t>
            </w:r>
          </w:p>
        </w:tc>
      </w:tr>
      <w:tr w:rsidR="00AD1F54" w:rsidRPr="00264D5D" w14:paraId="4AC76B22"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3E9F1A8" w14:textId="77777777" w:rsidR="00AD1F54" w:rsidRPr="00264D5D" w:rsidRDefault="00941227">
            <w:pPr>
              <w:pStyle w:val="GOSTTablenorm"/>
            </w:pPr>
            <w:r w:rsidRPr="00264D5D">
              <w:t>Номер секции формы</w:t>
            </w:r>
          </w:p>
          <w:p w14:paraId="70E8C013" w14:textId="77777777" w:rsidR="00AD1F54" w:rsidRPr="00264D5D" w:rsidRDefault="00AD1F54">
            <w:pPr>
              <w:pStyle w:val="GOSTTablenorm"/>
            </w:pPr>
          </w:p>
        </w:tc>
        <w:tc>
          <w:tcPr>
            <w:tcW w:w="1701" w:type="dxa"/>
          </w:tcPr>
          <w:p w14:paraId="2C1D9775" w14:textId="77777777" w:rsidR="00AD1F54" w:rsidRPr="00264D5D" w:rsidRDefault="00941227">
            <w:pPr>
              <w:pStyle w:val="GOSTTablenorm"/>
            </w:pPr>
            <w:r w:rsidRPr="00264D5D">
              <w:t>SectionNumber</w:t>
            </w:r>
          </w:p>
        </w:tc>
        <w:tc>
          <w:tcPr>
            <w:tcW w:w="567" w:type="dxa"/>
          </w:tcPr>
          <w:p w14:paraId="06483568" w14:textId="77777777" w:rsidR="00AD1F54" w:rsidRPr="00264D5D" w:rsidRDefault="00941227">
            <w:pPr>
              <w:pStyle w:val="GOSTTablenorm"/>
              <w:jc w:val="center"/>
            </w:pPr>
            <w:r w:rsidRPr="00264D5D">
              <w:t>П</w:t>
            </w:r>
          </w:p>
        </w:tc>
        <w:tc>
          <w:tcPr>
            <w:tcW w:w="1134" w:type="dxa"/>
          </w:tcPr>
          <w:p w14:paraId="1B35785A" w14:textId="77777777" w:rsidR="00AD1F54" w:rsidRPr="00264D5D" w:rsidRDefault="00941227">
            <w:pPr>
              <w:pStyle w:val="GOSTTablenorm"/>
              <w:rPr>
                <w:szCs w:val="22"/>
              </w:rPr>
            </w:pPr>
            <w:r w:rsidRPr="00264D5D">
              <w:rPr>
                <w:lang w:val="en-US"/>
              </w:rPr>
              <w:t>T</w:t>
            </w:r>
            <w:r w:rsidRPr="00264D5D">
              <w:t>(</w:t>
            </w:r>
            <w:r w:rsidRPr="00264D5D">
              <w:rPr>
                <w:lang w:val="en-US"/>
              </w:rPr>
              <w:t>1-</w:t>
            </w:r>
            <w:r w:rsidRPr="00264D5D">
              <w:t>240)</w:t>
            </w:r>
          </w:p>
        </w:tc>
        <w:tc>
          <w:tcPr>
            <w:tcW w:w="567" w:type="dxa"/>
          </w:tcPr>
          <w:p w14:paraId="6D56D68E" w14:textId="77777777" w:rsidR="00AD1F54" w:rsidRPr="00264D5D" w:rsidRDefault="00941227">
            <w:pPr>
              <w:pStyle w:val="GOSTTablenorm"/>
              <w:jc w:val="center"/>
            </w:pPr>
            <w:r w:rsidRPr="00264D5D">
              <w:t>O</w:t>
            </w:r>
          </w:p>
        </w:tc>
        <w:tc>
          <w:tcPr>
            <w:tcW w:w="3963" w:type="dxa"/>
          </w:tcPr>
          <w:p w14:paraId="3771F8D4" w14:textId="77777777" w:rsidR="00AD1F54" w:rsidRPr="00264D5D" w:rsidRDefault="00941227">
            <w:pPr>
              <w:pStyle w:val="GOSTTablenorm"/>
              <w:rPr>
                <w:szCs w:val="22"/>
              </w:rPr>
            </w:pPr>
            <w:r w:rsidRPr="00264D5D">
              <w:rPr>
                <w:szCs w:val="22"/>
              </w:rPr>
              <w:t>Указывается номер секции/раздела:</w:t>
            </w:r>
          </w:p>
          <w:p w14:paraId="2A639E94" w14:textId="77777777" w:rsidR="00AD1F54" w:rsidRPr="00264D5D" w:rsidRDefault="00941227" w:rsidP="00E7460C">
            <w:pPr>
              <w:pStyle w:val="GOSTTablenorm"/>
              <w:numPr>
                <w:ilvl w:val="0"/>
                <w:numId w:val="113"/>
              </w:numPr>
              <w:ind w:left="284" w:hanging="227"/>
            </w:pPr>
            <w:r w:rsidRPr="00264D5D">
              <w:rPr>
                <w:szCs w:val="22"/>
              </w:rPr>
              <w:t>2 – для раздела «1. Бюджет</w:t>
            </w:r>
            <w:r w:rsidR="005D5F06" w:rsidRPr="00264D5D">
              <w:rPr>
                <w:szCs w:val="22"/>
              </w:rPr>
              <w:t>ные средства» (итоговые строки)</w:t>
            </w:r>
          </w:p>
        </w:tc>
      </w:tr>
      <w:tr w:rsidR="00AD1F54" w:rsidRPr="00264D5D" w14:paraId="75DADB93"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5F65C93F" w14:textId="77777777" w:rsidR="00AD1F54" w:rsidRPr="00264D5D" w:rsidRDefault="00941227">
            <w:pPr>
              <w:pStyle w:val="GOSTTablenorm"/>
            </w:pPr>
            <w:r w:rsidRPr="00264D5D">
              <w:t>Признак детализации строки</w:t>
            </w:r>
          </w:p>
        </w:tc>
        <w:tc>
          <w:tcPr>
            <w:tcW w:w="1701" w:type="dxa"/>
          </w:tcPr>
          <w:p w14:paraId="5EE6642E" w14:textId="77777777" w:rsidR="00AD1F54" w:rsidRPr="00264D5D" w:rsidRDefault="00941227">
            <w:pPr>
              <w:pStyle w:val="GOSTTablenorm"/>
            </w:pPr>
            <w:r w:rsidRPr="00264D5D">
              <w:t>SummaryFlag</w:t>
            </w:r>
          </w:p>
        </w:tc>
        <w:tc>
          <w:tcPr>
            <w:tcW w:w="567" w:type="dxa"/>
          </w:tcPr>
          <w:p w14:paraId="479E20F0" w14:textId="77777777" w:rsidR="00AD1F54" w:rsidRPr="00264D5D" w:rsidRDefault="00941227">
            <w:pPr>
              <w:pStyle w:val="GOSTTablenorm"/>
              <w:jc w:val="center"/>
            </w:pPr>
            <w:r w:rsidRPr="00264D5D">
              <w:t>П</w:t>
            </w:r>
          </w:p>
        </w:tc>
        <w:tc>
          <w:tcPr>
            <w:tcW w:w="1134" w:type="dxa"/>
          </w:tcPr>
          <w:p w14:paraId="18626411" w14:textId="77777777" w:rsidR="00AD1F54" w:rsidRPr="00264D5D" w:rsidRDefault="00941227">
            <w:pPr>
              <w:pStyle w:val="GOSTTablenorm"/>
              <w:rPr>
                <w:szCs w:val="22"/>
              </w:rPr>
            </w:pPr>
            <w:r w:rsidRPr="00264D5D">
              <w:t>Т(1)</w:t>
            </w:r>
          </w:p>
        </w:tc>
        <w:tc>
          <w:tcPr>
            <w:tcW w:w="567" w:type="dxa"/>
          </w:tcPr>
          <w:p w14:paraId="11A5A197" w14:textId="77777777" w:rsidR="00AD1F54" w:rsidRPr="00264D5D" w:rsidRDefault="00941227">
            <w:pPr>
              <w:pStyle w:val="GOSTTablenorm"/>
              <w:jc w:val="center"/>
            </w:pPr>
            <w:r w:rsidRPr="00264D5D">
              <w:t>О</w:t>
            </w:r>
          </w:p>
        </w:tc>
        <w:tc>
          <w:tcPr>
            <w:tcW w:w="3963" w:type="dxa"/>
          </w:tcPr>
          <w:p w14:paraId="1A34E74A" w14:textId="77777777" w:rsidR="00AD1F54" w:rsidRPr="00264D5D" w:rsidRDefault="00941227">
            <w:pPr>
              <w:pStyle w:val="GOSTTablenorm"/>
            </w:pPr>
            <w:r w:rsidRPr="00264D5D">
              <w:t>Признак детализации строки.</w:t>
            </w:r>
          </w:p>
          <w:p w14:paraId="7A99B5A8" w14:textId="77777777" w:rsidR="00AD1F54" w:rsidRPr="00264D5D" w:rsidRDefault="00941227">
            <w:pPr>
              <w:pStyle w:val="GOSTTablenorm"/>
            </w:pPr>
            <w:r w:rsidRPr="00264D5D">
              <w:t>Для итоговой строки значение = «</w:t>
            </w:r>
            <w:r w:rsidRPr="00264D5D">
              <w:rPr>
                <w:lang w:val="en-US"/>
              </w:rPr>
              <w:t>Y</w:t>
            </w:r>
            <w:r w:rsidR="005D5F06" w:rsidRPr="00264D5D">
              <w:t>»</w:t>
            </w:r>
          </w:p>
        </w:tc>
      </w:tr>
      <w:tr w:rsidR="00AD1F54" w:rsidRPr="00264D5D" w14:paraId="70413981"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682685D2" w14:textId="77777777" w:rsidR="00AD1F54" w:rsidRPr="00264D5D" w:rsidRDefault="00941227">
            <w:pPr>
              <w:pStyle w:val="GOSTTablenorm"/>
            </w:pPr>
            <w:r w:rsidRPr="00264D5D">
              <w:lastRenderedPageBreak/>
              <w:t xml:space="preserve">Остаток на начало года </w:t>
            </w:r>
          </w:p>
        </w:tc>
        <w:tc>
          <w:tcPr>
            <w:tcW w:w="1701" w:type="dxa"/>
          </w:tcPr>
          <w:p w14:paraId="28E8A707" w14:textId="77777777" w:rsidR="00AD1F54" w:rsidRPr="00264D5D" w:rsidRDefault="00941227">
            <w:pPr>
              <w:pStyle w:val="GOSTTablenorm"/>
            </w:pPr>
            <w:r w:rsidRPr="00264D5D">
              <w:t>Data004</w:t>
            </w:r>
          </w:p>
        </w:tc>
        <w:tc>
          <w:tcPr>
            <w:tcW w:w="567" w:type="dxa"/>
          </w:tcPr>
          <w:p w14:paraId="005C73F0" w14:textId="77777777" w:rsidR="00AD1F54" w:rsidRPr="00264D5D" w:rsidRDefault="00941227">
            <w:pPr>
              <w:pStyle w:val="GOSTTablenorm"/>
              <w:jc w:val="center"/>
            </w:pPr>
            <w:r w:rsidRPr="00264D5D">
              <w:t>П</w:t>
            </w:r>
          </w:p>
        </w:tc>
        <w:tc>
          <w:tcPr>
            <w:tcW w:w="1134" w:type="dxa"/>
          </w:tcPr>
          <w:p w14:paraId="75D88118" w14:textId="77777777" w:rsidR="00AD1F54" w:rsidRPr="00264D5D" w:rsidRDefault="00941227">
            <w:pPr>
              <w:pStyle w:val="GOSTTablenorm"/>
              <w:rPr>
                <w:szCs w:val="22"/>
              </w:rPr>
            </w:pPr>
            <w:r w:rsidRPr="00264D5D">
              <w:rPr>
                <w:szCs w:val="22"/>
              </w:rPr>
              <w:t>N(20.2)</w:t>
            </w:r>
          </w:p>
        </w:tc>
        <w:tc>
          <w:tcPr>
            <w:tcW w:w="567" w:type="dxa"/>
          </w:tcPr>
          <w:p w14:paraId="0DDD7DCB" w14:textId="77777777" w:rsidR="00AD1F54" w:rsidRPr="00264D5D" w:rsidRDefault="00941227">
            <w:pPr>
              <w:pStyle w:val="GOSTTablenorm"/>
              <w:jc w:val="center"/>
            </w:pPr>
            <w:r w:rsidRPr="00264D5D">
              <w:t>O</w:t>
            </w:r>
          </w:p>
        </w:tc>
        <w:tc>
          <w:tcPr>
            <w:tcW w:w="3963" w:type="dxa"/>
          </w:tcPr>
          <w:p w14:paraId="052F9138" w14:textId="77777777" w:rsidR="00AD1F54" w:rsidRPr="00264D5D" w:rsidRDefault="00941227">
            <w:pPr>
              <w:pStyle w:val="GOSTTablenorm"/>
              <w:rPr>
                <w:szCs w:val="22"/>
              </w:rPr>
            </w:pPr>
            <w:r w:rsidRPr="00264D5D">
              <w:t>Указывается сумма остатка средств на н</w:t>
            </w:r>
            <w:r w:rsidR="005D5F06" w:rsidRPr="00264D5D">
              <w:t>ачало текущего финансового года</w:t>
            </w:r>
          </w:p>
          <w:p w14:paraId="0CE2B4DD" w14:textId="77777777" w:rsidR="00AD1F54" w:rsidRPr="00264D5D" w:rsidRDefault="00AD1F54">
            <w:pPr>
              <w:pStyle w:val="GOSTTablenorm"/>
            </w:pPr>
          </w:p>
        </w:tc>
      </w:tr>
      <w:tr w:rsidR="00AD1F54" w:rsidRPr="00264D5D" w14:paraId="7470898E"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148050C" w14:textId="77777777" w:rsidR="00AD1F54" w:rsidRPr="00264D5D" w:rsidRDefault="00941227">
            <w:pPr>
              <w:pStyle w:val="GOSTTablenorm"/>
            </w:pPr>
            <w:r w:rsidRPr="00264D5D">
              <w:t xml:space="preserve">Поступления </w:t>
            </w:r>
          </w:p>
        </w:tc>
        <w:tc>
          <w:tcPr>
            <w:tcW w:w="1701" w:type="dxa"/>
          </w:tcPr>
          <w:p w14:paraId="12F66884" w14:textId="77777777" w:rsidR="00AD1F54" w:rsidRPr="00264D5D" w:rsidRDefault="00941227">
            <w:pPr>
              <w:pStyle w:val="GOSTTablenorm"/>
            </w:pPr>
            <w:r w:rsidRPr="00264D5D">
              <w:t>Data005</w:t>
            </w:r>
          </w:p>
        </w:tc>
        <w:tc>
          <w:tcPr>
            <w:tcW w:w="567" w:type="dxa"/>
          </w:tcPr>
          <w:p w14:paraId="12144A8D" w14:textId="77777777" w:rsidR="00AD1F54" w:rsidRPr="00264D5D" w:rsidRDefault="00941227">
            <w:pPr>
              <w:pStyle w:val="GOSTTablenorm"/>
              <w:jc w:val="center"/>
            </w:pPr>
            <w:r w:rsidRPr="00264D5D">
              <w:t>П</w:t>
            </w:r>
          </w:p>
        </w:tc>
        <w:tc>
          <w:tcPr>
            <w:tcW w:w="1134" w:type="dxa"/>
          </w:tcPr>
          <w:p w14:paraId="2F7CB859" w14:textId="77777777" w:rsidR="00AD1F54" w:rsidRPr="00264D5D" w:rsidRDefault="00941227">
            <w:pPr>
              <w:pStyle w:val="GOSTTablenorm"/>
              <w:rPr>
                <w:szCs w:val="22"/>
              </w:rPr>
            </w:pPr>
            <w:r w:rsidRPr="00264D5D">
              <w:rPr>
                <w:szCs w:val="22"/>
              </w:rPr>
              <w:t>N(20.2)</w:t>
            </w:r>
          </w:p>
        </w:tc>
        <w:tc>
          <w:tcPr>
            <w:tcW w:w="567" w:type="dxa"/>
          </w:tcPr>
          <w:p w14:paraId="5EB8FFDA" w14:textId="77777777" w:rsidR="00AD1F54" w:rsidRPr="00264D5D" w:rsidRDefault="00941227">
            <w:pPr>
              <w:pStyle w:val="GOSTTablenorm"/>
              <w:jc w:val="center"/>
            </w:pPr>
            <w:r w:rsidRPr="00264D5D">
              <w:t>Н</w:t>
            </w:r>
          </w:p>
        </w:tc>
        <w:tc>
          <w:tcPr>
            <w:tcW w:w="3963" w:type="dxa"/>
          </w:tcPr>
          <w:p w14:paraId="7A3C4002" w14:textId="77777777" w:rsidR="00AD1F54" w:rsidRPr="00264D5D" w:rsidRDefault="00941227">
            <w:pPr>
              <w:pStyle w:val="GOSTTablenorm"/>
            </w:pPr>
            <w:r w:rsidRPr="00264D5D">
              <w:t>Указывается сумма поступ</w:t>
            </w:r>
            <w:r w:rsidR="005D5F06" w:rsidRPr="00264D5D">
              <w:t>лений в текущем финансовом году</w:t>
            </w:r>
          </w:p>
        </w:tc>
      </w:tr>
      <w:tr w:rsidR="00AD1F54" w:rsidRPr="00264D5D" w14:paraId="44778C9B"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C59FE1B" w14:textId="77777777" w:rsidR="00AD1F54" w:rsidRPr="00264D5D" w:rsidRDefault="00941227">
            <w:pPr>
              <w:pStyle w:val="GOSTTablenorm"/>
            </w:pPr>
            <w:r w:rsidRPr="00264D5D">
              <w:t xml:space="preserve">Выплаты </w:t>
            </w:r>
          </w:p>
        </w:tc>
        <w:tc>
          <w:tcPr>
            <w:tcW w:w="1701" w:type="dxa"/>
          </w:tcPr>
          <w:p w14:paraId="43760C7A" w14:textId="77777777" w:rsidR="00AD1F54" w:rsidRPr="00264D5D" w:rsidRDefault="00941227">
            <w:pPr>
              <w:pStyle w:val="GOSTTablenorm"/>
            </w:pPr>
            <w:r w:rsidRPr="00264D5D">
              <w:t>Data006</w:t>
            </w:r>
          </w:p>
        </w:tc>
        <w:tc>
          <w:tcPr>
            <w:tcW w:w="567" w:type="dxa"/>
          </w:tcPr>
          <w:p w14:paraId="22C986C7" w14:textId="77777777" w:rsidR="00AD1F54" w:rsidRPr="00264D5D" w:rsidRDefault="00941227">
            <w:pPr>
              <w:pStyle w:val="GOSTTablenorm"/>
              <w:jc w:val="center"/>
            </w:pPr>
            <w:r w:rsidRPr="00264D5D">
              <w:t>П</w:t>
            </w:r>
          </w:p>
        </w:tc>
        <w:tc>
          <w:tcPr>
            <w:tcW w:w="1134" w:type="dxa"/>
          </w:tcPr>
          <w:p w14:paraId="28444DB2" w14:textId="77777777" w:rsidR="00AD1F54" w:rsidRPr="00264D5D" w:rsidRDefault="00941227">
            <w:pPr>
              <w:pStyle w:val="GOSTTablenorm"/>
              <w:rPr>
                <w:szCs w:val="22"/>
              </w:rPr>
            </w:pPr>
            <w:r w:rsidRPr="00264D5D">
              <w:rPr>
                <w:szCs w:val="22"/>
              </w:rPr>
              <w:t>N(20.2)</w:t>
            </w:r>
          </w:p>
        </w:tc>
        <w:tc>
          <w:tcPr>
            <w:tcW w:w="567" w:type="dxa"/>
          </w:tcPr>
          <w:p w14:paraId="5F65717D" w14:textId="77777777" w:rsidR="00AD1F54" w:rsidRPr="00264D5D" w:rsidRDefault="00941227">
            <w:pPr>
              <w:pStyle w:val="GOSTTablenorm"/>
              <w:jc w:val="center"/>
            </w:pPr>
            <w:r w:rsidRPr="00264D5D">
              <w:t>Н</w:t>
            </w:r>
          </w:p>
        </w:tc>
        <w:tc>
          <w:tcPr>
            <w:tcW w:w="3963" w:type="dxa"/>
          </w:tcPr>
          <w:p w14:paraId="51BFC1B8" w14:textId="77777777" w:rsidR="00AD1F54" w:rsidRPr="00264D5D" w:rsidRDefault="00941227">
            <w:pPr>
              <w:pStyle w:val="GOSTTablenorm"/>
            </w:pPr>
            <w:r w:rsidRPr="00264D5D">
              <w:t>Указывается сумма кассовых выплат в текущем финансовом году (в т.ч. восстановление кассового ра</w:t>
            </w:r>
            <w:r w:rsidR="005D5F06" w:rsidRPr="00264D5D">
              <w:t>схода)</w:t>
            </w:r>
          </w:p>
        </w:tc>
      </w:tr>
      <w:tr w:rsidR="00AD1F54" w:rsidRPr="00264D5D" w14:paraId="291ED1C4"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959EB34" w14:textId="77777777" w:rsidR="00AD1F54" w:rsidRPr="00264D5D" w:rsidRDefault="00941227">
            <w:pPr>
              <w:pStyle w:val="GOSTTablenorm"/>
              <w:rPr>
                <w:b/>
              </w:rPr>
            </w:pPr>
            <w:r w:rsidRPr="00264D5D">
              <w:rPr>
                <w:b/>
              </w:rPr>
              <w:t>Раздел 2. Средства, поступившие во временное распоряжение</w:t>
            </w:r>
          </w:p>
        </w:tc>
        <w:tc>
          <w:tcPr>
            <w:tcW w:w="1701" w:type="dxa"/>
          </w:tcPr>
          <w:p w14:paraId="49A0FC03" w14:textId="77777777" w:rsidR="00AD1F54" w:rsidRPr="00264D5D" w:rsidRDefault="00941227">
            <w:pPr>
              <w:pStyle w:val="GOSTTablenorm"/>
            </w:pPr>
            <w:r w:rsidRPr="00264D5D">
              <w:rPr>
                <w:b/>
                <w:szCs w:val="22"/>
              </w:rPr>
              <w:t>Line</w:t>
            </w:r>
          </w:p>
        </w:tc>
        <w:tc>
          <w:tcPr>
            <w:tcW w:w="567" w:type="dxa"/>
          </w:tcPr>
          <w:p w14:paraId="3FF0DBED" w14:textId="77777777" w:rsidR="00AD1F54" w:rsidRPr="00264D5D" w:rsidRDefault="00941227">
            <w:pPr>
              <w:pStyle w:val="GOSTTablenorm"/>
              <w:jc w:val="center"/>
            </w:pPr>
            <w:r w:rsidRPr="00264D5D">
              <w:rPr>
                <w:b/>
                <w:szCs w:val="22"/>
              </w:rPr>
              <w:t>-</w:t>
            </w:r>
          </w:p>
        </w:tc>
        <w:tc>
          <w:tcPr>
            <w:tcW w:w="1134" w:type="dxa"/>
          </w:tcPr>
          <w:p w14:paraId="1631EEF6" w14:textId="77777777" w:rsidR="00AD1F54" w:rsidRPr="00264D5D" w:rsidRDefault="00941227">
            <w:pPr>
              <w:pStyle w:val="GOSTTablenorm"/>
              <w:rPr>
                <w:szCs w:val="22"/>
              </w:rPr>
            </w:pPr>
            <w:r w:rsidRPr="00264D5D">
              <w:rPr>
                <w:b/>
                <w:szCs w:val="22"/>
              </w:rPr>
              <w:t>-</w:t>
            </w:r>
          </w:p>
        </w:tc>
        <w:tc>
          <w:tcPr>
            <w:tcW w:w="567" w:type="dxa"/>
          </w:tcPr>
          <w:p w14:paraId="14A9215F" w14:textId="77777777" w:rsidR="00AD1F54" w:rsidRPr="00264D5D" w:rsidRDefault="00941227">
            <w:pPr>
              <w:pStyle w:val="GOSTTablenorm"/>
              <w:jc w:val="center"/>
            </w:pPr>
            <w:r w:rsidRPr="00264D5D">
              <w:rPr>
                <w:b/>
                <w:szCs w:val="22"/>
              </w:rPr>
              <w:t>НМ</w:t>
            </w:r>
          </w:p>
        </w:tc>
        <w:tc>
          <w:tcPr>
            <w:tcW w:w="3963" w:type="dxa"/>
          </w:tcPr>
          <w:p w14:paraId="3771F05C" w14:textId="77777777" w:rsidR="00AD1F54" w:rsidRPr="00264D5D" w:rsidRDefault="00941227">
            <w:pPr>
              <w:pStyle w:val="GOSTTablenorm"/>
            </w:pPr>
            <w:r w:rsidRPr="00264D5D">
              <w:rPr>
                <w:b/>
                <w:szCs w:val="22"/>
              </w:rPr>
              <w:t>-</w:t>
            </w:r>
          </w:p>
        </w:tc>
      </w:tr>
      <w:tr w:rsidR="00AD1F54" w:rsidRPr="00264D5D" w14:paraId="33904AE2"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E62059A" w14:textId="77777777" w:rsidR="00AD1F54" w:rsidRPr="00264D5D" w:rsidRDefault="00941227">
            <w:pPr>
              <w:pStyle w:val="GOSTTablenorm"/>
            </w:pPr>
            <w:r w:rsidRPr="00264D5D">
              <w:t>Номер секции формы</w:t>
            </w:r>
          </w:p>
          <w:p w14:paraId="317D9DAB" w14:textId="77777777" w:rsidR="00AD1F54" w:rsidRPr="00264D5D" w:rsidRDefault="00AD1F54">
            <w:pPr>
              <w:pStyle w:val="GOSTTablenorm"/>
            </w:pPr>
          </w:p>
        </w:tc>
        <w:tc>
          <w:tcPr>
            <w:tcW w:w="1701" w:type="dxa"/>
          </w:tcPr>
          <w:p w14:paraId="3B166FDB" w14:textId="77777777" w:rsidR="00AD1F54" w:rsidRPr="00264D5D" w:rsidRDefault="00941227">
            <w:pPr>
              <w:pStyle w:val="GOSTTablenorm"/>
            </w:pPr>
            <w:r w:rsidRPr="00264D5D">
              <w:t>SectionNumber</w:t>
            </w:r>
          </w:p>
        </w:tc>
        <w:tc>
          <w:tcPr>
            <w:tcW w:w="567" w:type="dxa"/>
          </w:tcPr>
          <w:p w14:paraId="66CDEA04" w14:textId="77777777" w:rsidR="00AD1F54" w:rsidRPr="00264D5D" w:rsidRDefault="00941227">
            <w:pPr>
              <w:pStyle w:val="GOSTTablenorm"/>
              <w:jc w:val="center"/>
            </w:pPr>
            <w:r w:rsidRPr="00264D5D">
              <w:t>П</w:t>
            </w:r>
          </w:p>
        </w:tc>
        <w:tc>
          <w:tcPr>
            <w:tcW w:w="1134" w:type="dxa"/>
          </w:tcPr>
          <w:p w14:paraId="049783E8" w14:textId="77777777" w:rsidR="00AD1F54" w:rsidRPr="00264D5D" w:rsidRDefault="00941227">
            <w:pPr>
              <w:pStyle w:val="GOSTTablenorm"/>
              <w:rPr>
                <w:szCs w:val="22"/>
              </w:rPr>
            </w:pPr>
            <w:r w:rsidRPr="00264D5D">
              <w:rPr>
                <w:lang w:val="en-US"/>
              </w:rPr>
              <w:t>T</w:t>
            </w:r>
            <w:r w:rsidRPr="00264D5D">
              <w:t>(</w:t>
            </w:r>
            <w:r w:rsidRPr="00264D5D">
              <w:rPr>
                <w:lang w:val="en-US"/>
              </w:rPr>
              <w:t>1-</w:t>
            </w:r>
            <w:r w:rsidRPr="00264D5D">
              <w:t>240)</w:t>
            </w:r>
          </w:p>
        </w:tc>
        <w:tc>
          <w:tcPr>
            <w:tcW w:w="567" w:type="dxa"/>
          </w:tcPr>
          <w:p w14:paraId="43AC16B3" w14:textId="77777777" w:rsidR="00AD1F54" w:rsidRPr="00264D5D" w:rsidRDefault="00941227">
            <w:pPr>
              <w:pStyle w:val="GOSTTablenorm"/>
              <w:jc w:val="center"/>
            </w:pPr>
            <w:r w:rsidRPr="00264D5D">
              <w:t>O</w:t>
            </w:r>
          </w:p>
        </w:tc>
        <w:tc>
          <w:tcPr>
            <w:tcW w:w="3963" w:type="dxa"/>
          </w:tcPr>
          <w:p w14:paraId="3BEFAC71" w14:textId="77777777" w:rsidR="00AD1F54" w:rsidRPr="00264D5D" w:rsidRDefault="00941227">
            <w:pPr>
              <w:pStyle w:val="GOSTTablenorm"/>
              <w:rPr>
                <w:szCs w:val="22"/>
              </w:rPr>
            </w:pPr>
            <w:r w:rsidRPr="00264D5D">
              <w:rPr>
                <w:szCs w:val="22"/>
              </w:rPr>
              <w:t>Указывается номер секции/раздела:</w:t>
            </w:r>
          </w:p>
          <w:p w14:paraId="74B7359A" w14:textId="77777777" w:rsidR="00AD1F54" w:rsidRPr="00264D5D" w:rsidRDefault="00941227" w:rsidP="00E7460C">
            <w:pPr>
              <w:pStyle w:val="GOSTTablenorm"/>
              <w:numPr>
                <w:ilvl w:val="0"/>
                <w:numId w:val="113"/>
              </w:numPr>
              <w:ind w:left="284" w:hanging="227"/>
              <w:rPr>
                <w:szCs w:val="22"/>
              </w:rPr>
            </w:pPr>
            <w:r w:rsidRPr="00264D5D">
              <w:rPr>
                <w:szCs w:val="22"/>
              </w:rPr>
              <w:t>3 – для раздела «2. Средства, поступи</w:t>
            </w:r>
            <w:r w:rsidR="005D5F06" w:rsidRPr="00264D5D">
              <w:rPr>
                <w:szCs w:val="22"/>
              </w:rPr>
              <w:t>вшие во временное распоряжение»</w:t>
            </w:r>
          </w:p>
        </w:tc>
      </w:tr>
      <w:tr w:rsidR="00AD1F54" w:rsidRPr="00264D5D" w14:paraId="12D3D985"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1959658" w14:textId="77777777" w:rsidR="00AD1F54" w:rsidRPr="00264D5D" w:rsidRDefault="00941227">
            <w:pPr>
              <w:pStyle w:val="GOSTTablenorm"/>
            </w:pPr>
            <w:r w:rsidRPr="00264D5D">
              <w:t xml:space="preserve">Остаток средств на начало года </w:t>
            </w:r>
          </w:p>
        </w:tc>
        <w:tc>
          <w:tcPr>
            <w:tcW w:w="1701" w:type="dxa"/>
          </w:tcPr>
          <w:p w14:paraId="22B58A6F" w14:textId="77777777" w:rsidR="00AD1F54" w:rsidRPr="00264D5D" w:rsidRDefault="00941227">
            <w:pPr>
              <w:pStyle w:val="GOSTTablenorm"/>
            </w:pPr>
            <w:r w:rsidRPr="00264D5D">
              <w:t>Data001</w:t>
            </w:r>
          </w:p>
        </w:tc>
        <w:tc>
          <w:tcPr>
            <w:tcW w:w="567" w:type="dxa"/>
          </w:tcPr>
          <w:p w14:paraId="298C7D59" w14:textId="77777777" w:rsidR="00AD1F54" w:rsidRPr="00264D5D" w:rsidRDefault="00941227">
            <w:pPr>
              <w:pStyle w:val="GOSTTablenorm"/>
              <w:jc w:val="center"/>
            </w:pPr>
            <w:r w:rsidRPr="00264D5D">
              <w:t>П</w:t>
            </w:r>
          </w:p>
        </w:tc>
        <w:tc>
          <w:tcPr>
            <w:tcW w:w="1134" w:type="dxa"/>
          </w:tcPr>
          <w:p w14:paraId="0DB17B94" w14:textId="77777777" w:rsidR="00AD1F54" w:rsidRPr="00264D5D" w:rsidRDefault="00941227">
            <w:pPr>
              <w:pStyle w:val="GOSTTablenorm"/>
              <w:rPr>
                <w:szCs w:val="22"/>
              </w:rPr>
            </w:pPr>
            <w:r w:rsidRPr="00264D5D">
              <w:rPr>
                <w:szCs w:val="22"/>
              </w:rPr>
              <w:t>N(20.2)</w:t>
            </w:r>
          </w:p>
        </w:tc>
        <w:tc>
          <w:tcPr>
            <w:tcW w:w="567" w:type="dxa"/>
          </w:tcPr>
          <w:p w14:paraId="6CDE91BD" w14:textId="77777777" w:rsidR="00AD1F54" w:rsidRPr="00264D5D" w:rsidRDefault="00941227">
            <w:pPr>
              <w:pStyle w:val="GOSTTablenorm"/>
              <w:jc w:val="center"/>
            </w:pPr>
            <w:r w:rsidRPr="00264D5D">
              <w:t>O</w:t>
            </w:r>
          </w:p>
        </w:tc>
        <w:tc>
          <w:tcPr>
            <w:tcW w:w="3963" w:type="dxa"/>
          </w:tcPr>
          <w:p w14:paraId="3189E99C" w14:textId="77777777" w:rsidR="00AD1F54" w:rsidRPr="00264D5D" w:rsidRDefault="00941227">
            <w:pPr>
              <w:pStyle w:val="GOSTTablenorm"/>
            </w:pPr>
            <w:r w:rsidRPr="00264D5D">
              <w:t>Указывается сумма остатка средств на начало года, поступившая во временное р</w:t>
            </w:r>
            <w:r w:rsidR="005D5F06" w:rsidRPr="00264D5D">
              <w:t>аспоряжение реорганизуемого УБП</w:t>
            </w:r>
          </w:p>
        </w:tc>
      </w:tr>
      <w:tr w:rsidR="00AD1F54" w:rsidRPr="00264D5D" w14:paraId="0EE4E662"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644C809B" w14:textId="77777777" w:rsidR="00AD1F54" w:rsidRPr="00264D5D" w:rsidRDefault="00941227">
            <w:pPr>
              <w:pStyle w:val="GOSTTablenorm"/>
            </w:pPr>
            <w:r w:rsidRPr="00264D5D">
              <w:t xml:space="preserve">Поступления </w:t>
            </w:r>
          </w:p>
        </w:tc>
        <w:tc>
          <w:tcPr>
            <w:tcW w:w="1701" w:type="dxa"/>
          </w:tcPr>
          <w:p w14:paraId="65EEAA79" w14:textId="77777777" w:rsidR="00AD1F54" w:rsidRPr="00264D5D" w:rsidRDefault="00941227">
            <w:pPr>
              <w:pStyle w:val="GOSTTablenorm"/>
            </w:pPr>
            <w:r w:rsidRPr="00264D5D">
              <w:t>Data002</w:t>
            </w:r>
          </w:p>
        </w:tc>
        <w:tc>
          <w:tcPr>
            <w:tcW w:w="567" w:type="dxa"/>
          </w:tcPr>
          <w:p w14:paraId="100EE0F1" w14:textId="77777777" w:rsidR="00AD1F54" w:rsidRPr="00264D5D" w:rsidRDefault="00941227">
            <w:pPr>
              <w:pStyle w:val="GOSTTablenorm"/>
              <w:jc w:val="center"/>
            </w:pPr>
            <w:r w:rsidRPr="00264D5D">
              <w:t>П</w:t>
            </w:r>
          </w:p>
        </w:tc>
        <w:tc>
          <w:tcPr>
            <w:tcW w:w="1134" w:type="dxa"/>
          </w:tcPr>
          <w:p w14:paraId="25D83021" w14:textId="77777777" w:rsidR="00AD1F54" w:rsidRPr="00264D5D" w:rsidRDefault="00941227">
            <w:pPr>
              <w:pStyle w:val="GOSTTablenorm"/>
              <w:rPr>
                <w:szCs w:val="22"/>
              </w:rPr>
            </w:pPr>
            <w:r w:rsidRPr="00264D5D">
              <w:rPr>
                <w:szCs w:val="22"/>
              </w:rPr>
              <w:t>N(20.2)</w:t>
            </w:r>
          </w:p>
        </w:tc>
        <w:tc>
          <w:tcPr>
            <w:tcW w:w="567" w:type="dxa"/>
          </w:tcPr>
          <w:p w14:paraId="71BB2CC4" w14:textId="77777777" w:rsidR="00AD1F54" w:rsidRPr="00264D5D" w:rsidRDefault="00941227">
            <w:pPr>
              <w:pStyle w:val="GOSTTablenorm"/>
              <w:jc w:val="center"/>
            </w:pPr>
            <w:r w:rsidRPr="00264D5D">
              <w:t>Н</w:t>
            </w:r>
          </w:p>
        </w:tc>
        <w:tc>
          <w:tcPr>
            <w:tcW w:w="3963" w:type="dxa"/>
          </w:tcPr>
          <w:p w14:paraId="34B13FAF" w14:textId="77777777" w:rsidR="00AD1F54" w:rsidRPr="00264D5D" w:rsidRDefault="00941227">
            <w:pPr>
              <w:pStyle w:val="GOSTTablenorm"/>
            </w:pPr>
            <w:r w:rsidRPr="00264D5D">
              <w:t>Указывается общая сумма поступлений, осуществленная в текущем финансовом году реорганизуемым УБП со средствами, поступи</w:t>
            </w:r>
            <w:r w:rsidR="005D5F06" w:rsidRPr="00264D5D">
              <w:t>вшими во временное распоряжение</w:t>
            </w:r>
          </w:p>
        </w:tc>
      </w:tr>
      <w:tr w:rsidR="00AD1F54" w:rsidRPr="00264D5D" w14:paraId="314963ED"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7E66EDDA" w14:textId="77777777" w:rsidR="00AD1F54" w:rsidRPr="00264D5D" w:rsidRDefault="00941227">
            <w:pPr>
              <w:pStyle w:val="GOSTTablenorm"/>
            </w:pPr>
            <w:r w:rsidRPr="00264D5D">
              <w:t xml:space="preserve">Выплаты </w:t>
            </w:r>
          </w:p>
        </w:tc>
        <w:tc>
          <w:tcPr>
            <w:tcW w:w="1701" w:type="dxa"/>
          </w:tcPr>
          <w:p w14:paraId="4DBFC37F" w14:textId="77777777" w:rsidR="00AD1F54" w:rsidRPr="00264D5D" w:rsidRDefault="00941227">
            <w:pPr>
              <w:pStyle w:val="GOSTTablenorm"/>
            </w:pPr>
            <w:r w:rsidRPr="00264D5D">
              <w:t>Data003</w:t>
            </w:r>
          </w:p>
        </w:tc>
        <w:tc>
          <w:tcPr>
            <w:tcW w:w="567" w:type="dxa"/>
          </w:tcPr>
          <w:p w14:paraId="50BBD05A" w14:textId="77777777" w:rsidR="00AD1F54" w:rsidRPr="00264D5D" w:rsidRDefault="00941227">
            <w:pPr>
              <w:pStyle w:val="GOSTTablenorm"/>
              <w:jc w:val="center"/>
            </w:pPr>
            <w:r w:rsidRPr="00264D5D">
              <w:t>П</w:t>
            </w:r>
          </w:p>
        </w:tc>
        <w:tc>
          <w:tcPr>
            <w:tcW w:w="1134" w:type="dxa"/>
          </w:tcPr>
          <w:p w14:paraId="5034F824" w14:textId="77777777" w:rsidR="00AD1F54" w:rsidRPr="00264D5D" w:rsidRDefault="00941227">
            <w:pPr>
              <w:pStyle w:val="GOSTTablenorm"/>
              <w:rPr>
                <w:szCs w:val="22"/>
              </w:rPr>
            </w:pPr>
            <w:r w:rsidRPr="00264D5D">
              <w:rPr>
                <w:szCs w:val="22"/>
              </w:rPr>
              <w:t>N(20.2)</w:t>
            </w:r>
          </w:p>
        </w:tc>
        <w:tc>
          <w:tcPr>
            <w:tcW w:w="567" w:type="dxa"/>
          </w:tcPr>
          <w:p w14:paraId="1B20690D" w14:textId="77777777" w:rsidR="00AD1F54" w:rsidRPr="00264D5D" w:rsidRDefault="00941227">
            <w:pPr>
              <w:pStyle w:val="GOSTTablenorm"/>
              <w:jc w:val="center"/>
            </w:pPr>
            <w:r w:rsidRPr="00264D5D">
              <w:t>Н</w:t>
            </w:r>
          </w:p>
        </w:tc>
        <w:tc>
          <w:tcPr>
            <w:tcW w:w="3963" w:type="dxa"/>
          </w:tcPr>
          <w:p w14:paraId="456AE7BF" w14:textId="77777777" w:rsidR="00AD1F54" w:rsidRPr="00264D5D" w:rsidRDefault="00941227">
            <w:pPr>
              <w:pStyle w:val="GOSTTablenorm"/>
            </w:pPr>
            <w:r w:rsidRPr="00264D5D">
              <w:t>Указывается общая сумма кассовых выплат, осуществленная в текущем финансовом году реорганизуемым УБП со средствами, поступи</w:t>
            </w:r>
            <w:r w:rsidR="005D5F06" w:rsidRPr="00264D5D">
              <w:t>вшими во временное распоряжение</w:t>
            </w:r>
          </w:p>
        </w:tc>
      </w:tr>
      <w:tr w:rsidR="00AD1F54" w:rsidRPr="00264D5D" w14:paraId="45A49879"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678B5742" w14:textId="77777777" w:rsidR="00AD1F54" w:rsidRPr="00264D5D" w:rsidRDefault="00941227">
            <w:pPr>
              <w:pStyle w:val="GOSTTablenorm"/>
              <w:rPr>
                <w:b/>
              </w:rPr>
            </w:pPr>
            <w:r w:rsidRPr="00264D5D">
              <w:rPr>
                <w:b/>
              </w:rPr>
              <w:t>Раздел 3.1. Реквизиты документа, подтверждающего возникновение бюджетного обязательства</w:t>
            </w:r>
          </w:p>
        </w:tc>
        <w:tc>
          <w:tcPr>
            <w:tcW w:w="1701" w:type="dxa"/>
          </w:tcPr>
          <w:p w14:paraId="679F68D9" w14:textId="77777777" w:rsidR="00AD1F54" w:rsidRPr="00264D5D" w:rsidRDefault="00941227">
            <w:pPr>
              <w:pStyle w:val="GOSTTablenorm"/>
            </w:pPr>
            <w:r w:rsidRPr="00264D5D">
              <w:rPr>
                <w:b/>
                <w:szCs w:val="22"/>
              </w:rPr>
              <w:t>Line</w:t>
            </w:r>
          </w:p>
        </w:tc>
        <w:tc>
          <w:tcPr>
            <w:tcW w:w="567" w:type="dxa"/>
          </w:tcPr>
          <w:p w14:paraId="69863FEB" w14:textId="77777777" w:rsidR="00AD1F54" w:rsidRPr="00264D5D" w:rsidRDefault="00941227">
            <w:pPr>
              <w:pStyle w:val="GOSTTablenorm"/>
              <w:jc w:val="center"/>
            </w:pPr>
            <w:r w:rsidRPr="00264D5D">
              <w:rPr>
                <w:b/>
                <w:szCs w:val="22"/>
              </w:rPr>
              <w:t>-</w:t>
            </w:r>
          </w:p>
        </w:tc>
        <w:tc>
          <w:tcPr>
            <w:tcW w:w="1134" w:type="dxa"/>
          </w:tcPr>
          <w:p w14:paraId="5E4F1A92" w14:textId="77777777" w:rsidR="00AD1F54" w:rsidRPr="00264D5D" w:rsidRDefault="00941227">
            <w:pPr>
              <w:pStyle w:val="GOSTTablenorm"/>
              <w:rPr>
                <w:szCs w:val="22"/>
              </w:rPr>
            </w:pPr>
            <w:r w:rsidRPr="00264D5D">
              <w:rPr>
                <w:b/>
                <w:szCs w:val="22"/>
              </w:rPr>
              <w:t>-</w:t>
            </w:r>
          </w:p>
        </w:tc>
        <w:tc>
          <w:tcPr>
            <w:tcW w:w="567" w:type="dxa"/>
          </w:tcPr>
          <w:p w14:paraId="1BBB4B14" w14:textId="77777777" w:rsidR="00AD1F54" w:rsidRPr="00264D5D" w:rsidRDefault="00941227">
            <w:pPr>
              <w:pStyle w:val="GOSTTablenorm"/>
              <w:jc w:val="center"/>
            </w:pPr>
            <w:r w:rsidRPr="00264D5D">
              <w:rPr>
                <w:b/>
                <w:szCs w:val="22"/>
              </w:rPr>
              <w:t>НМ</w:t>
            </w:r>
          </w:p>
        </w:tc>
        <w:tc>
          <w:tcPr>
            <w:tcW w:w="3963" w:type="dxa"/>
          </w:tcPr>
          <w:p w14:paraId="7B3BF14A" w14:textId="77777777" w:rsidR="00AD1F54" w:rsidRPr="00264D5D" w:rsidRDefault="00941227">
            <w:pPr>
              <w:pStyle w:val="GOSTTablenorm"/>
            </w:pPr>
            <w:r w:rsidRPr="00264D5D">
              <w:rPr>
                <w:b/>
                <w:szCs w:val="22"/>
              </w:rPr>
              <w:t>-</w:t>
            </w:r>
          </w:p>
        </w:tc>
      </w:tr>
      <w:tr w:rsidR="00AD1F54" w:rsidRPr="00264D5D" w14:paraId="3E4CC384"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567A25B5" w14:textId="77777777" w:rsidR="00AD1F54" w:rsidRPr="00264D5D" w:rsidRDefault="00941227">
            <w:pPr>
              <w:pStyle w:val="GOSTTablenorm"/>
            </w:pPr>
            <w:r w:rsidRPr="00264D5D">
              <w:t>Номер секции формы</w:t>
            </w:r>
          </w:p>
          <w:p w14:paraId="27058319" w14:textId="77777777" w:rsidR="00AD1F54" w:rsidRPr="00264D5D" w:rsidRDefault="00AD1F54">
            <w:pPr>
              <w:pStyle w:val="GOSTTablenorm"/>
            </w:pPr>
          </w:p>
        </w:tc>
        <w:tc>
          <w:tcPr>
            <w:tcW w:w="1701" w:type="dxa"/>
          </w:tcPr>
          <w:p w14:paraId="1983109B" w14:textId="77777777" w:rsidR="00AD1F54" w:rsidRPr="00264D5D" w:rsidRDefault="00941227">
            <w:pPr>
              <w:pStyle w:val="GOSTTablenorm"/>
            </w:pPr>
            <w:r w:rsidRPr="00264D5D">
              <w:t>SectionNumber</w:t>
            </w:r>
          </w:p>
        </w:tc>
        <w:tc>
          <w:tcPr>
            <w:tcW w:w="567" w:type="dxa"/>
          </w:tcPr>
          <w:p w14:paraId="5420B877" w14:textId="77777777" w:rsidR="00AD1F54" w:rsidRPr="00264D5D" w:rsidRDefault="00941227">
            <w:pPr>
              <w:pStyle w:val="GOSTTablenorm"/>
              <w:jc w:val="center"/>
            </w:pPr>
            <w:r w:rsidRPr="00264D5D">
              <w:t>П</w:t>
            </w:r>
          </w:p>
        </w:tc>
        <w:tc>
          <w:tcPr>
            <w:tcW w:w="1134" w:type="dxa"/>
          </w:tcPr>
          <w:p w14:paraId="065182E1" w14:textId="77777777" w:rsidR="00AD1F54" w:rsidRPr="00264D5D" w:rsidRDefault="00941227">
            <w:pPr>
              <w:pStyle w:val="GOSTTablenorm"/>
              <w:rPr>
                <w:szCs w:val="22"/>
              </w:rPr>
            </w:pPr>
            <w:r w:rsidRPr="00264D5D">
              <w:rPr>
                <w:lang w:val="en-US"/>
              </w:rPr>
              <w:t>T</w:t>
            </w:r>
            <w:r w:rsidRPr="00264D5D">
              <w:t>(</w:t>
            </w:r>
            <w:r w:rsidRPr="00264D5D">
              <w:rPr>
                <w:lang w:val="en-US"/>
              </w:rPr>
              <w:t>1-</w:t>
            </w:r>
            <w:r w:rsidRPr="00264D5D">
              <w:t>240)</w:t>
            </w:r>
          </w:p>
        </w:tc>
        <w:tc>
          <w:tcPr>
            <w:tcW w:w="567" w:type="dxa"/>
          </w:tcPr>
          <w:p w14:paraId="00169675" w14:textId="77777777" w:rsidR="00AD1F54" w:rsidRPr="00264D5D" w:rsidRDefault="00941227">
            <w:pPr>
              <w:pStyle w:val="GOSTTablenorm"/>
              <w:jc w:val="center"/>
            </w:pPr>
            <w:r w:rsidRPr="00264D5D">
              <w:t>O</w:t>
            </w:r>
          </w:p>
        </w:tc>
        <w:tc>
          <w:tcPr>
            <w:tcW w:w="3963" w:type="dxa"/>
          </w:tcPr>
          <w:p w14:paraId="7D96BA20" w14:textId="77777777" w:rsidR="00AD1F54" w:rsidRPr="00264D5D" w:rsidRDefault="00941227">
            <w:pPr>
              <w:pStyle w:val="GOSTTablenorm"/>
              <w:rPr>
                <w:szCs w:val="22"/>
              </w:rPr>
            </w:pPr>
            <w:r w:rsidRPr="00264D5D">
              <w:rPr>
                <w:szCs w:val="22"/>
              </w:rPr>
              <w:t>Указывается номер секции/раздела:</w:t>
            </w:r>
          </w:p>
          <w:p w14:paraId="1A6F639A" w14:textId="77777777" w:rsidR="00AD1F54" w:rsidRPr="00264D5D" w:rsidRDefault="00941227" w:rsidP="00E7460C">
            <w:pPr>
              <w:pStyle w:val="GOSTTablenorm"/>
              <w:numPr>
                <w:ilvl w:val="0"/>
                <w:numId w:val="113"/>
              </w:numPr>
              <w:ind w:left="284" w:hanging="227"/>
            </w:pPr>
            <w:r w:rsidRPr="00264D5D">
              <w:rPr>
                <w:szCs w:val="22"/>
              </w:rPr>
              <w:t xml:space="preserve">4 – для раздела «3. Бюджетные обязательства 3.1. Реквизиты документа, подтверждающего </w:t>
            </w:r>
            <w:r w:rsidRPr="00264D5D">
              <w:rPr>
                <w:szCs w:val="22"/>
              </w:rPr>
              <w:lastRenderedPageBreak/>
              <w:t>возникно</w:t>
            </w:r>
            <w:r w:rsidR="005D5F06" w:rsidRPr="00264D5D">
              <w:rPr>
                <w:szCs w:val="22"/>
              </w:rPr>
              <w:t>вение бюджетного обязательства»</w:t>
            </w:r>
          </w:p>
        </w:tc>
      </w:tr>
      <w:tr w:rsidR="00AD1F54" w:rsidRPr="00264D5D" w14:paraId="1D359079"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21F57E1D" w14:textId="77777777" w:rsidR="00AD1F54" w:rsidRPr="00264D5D" w:rsidRDefault="00941227">
            <w:pPr>
              <w:pStyle w:val="GOSTTablenorm"/>
              <w:rPr>
                <w:szCs w:val="22"/>
              </w:rPr>
            </w:pPr>
            <w:r w:rsidRPr="00264D5D">
              <w:lastRenderedPageBreak/>
              <w:t xml:space="preserve">Учетный номер обязательства </w:t>
            </w:r>
          </w:p>
        </w:tc>
        <w:tc>
          <w:tcPr>
            <w:tcW w:w="1701" w:type="dxa"/>
          </w:tcPr>
          <w:p w14:paraId="61F3EC3C" w14:textId="77777777" w:rsidR="00AD1F54" w:rsidRPr="00264D5D" w:rsidRDefault="00941227">
            <w:pPr>
              <w:pStyle w:val="GOSTTablenorm"/>
            </w:pPr>
            <w:r w:rsidRPr="00264D5D">
              <w:t>Data_VC010</w:t>
            </w:r>
          </w:p>
        </w:tc>
        <w:tc>
          <w:tcPr>
            <w:tcW w:w="567" w:type="dxa"/>
          </w:tcPr>
          <w:p w14:paraId="65BAA17F" w14:textId="77777777" w:rsidR="00AD1F54" w:rsidRPr="00264D5D" w:rsidRDefault="00941227">
            <w:pPr>
              <w:pStyle w:val="GOSTTablenorm"/>
              <w:jc w:val="center"/>
            </w:pPr>
            <w:r w:rsidRPr="00264D5D">
              <w:t>П</w:t>
            </w:r>
          </w:p>
        </w:tc>
        <w:tc>
          <w:tcPr>
            <w:tcW w:w="1134" w:type="dxa"/>
          </w:tcPr>
          <w:p w14:paraId="43D26DF6" w14:textId="77777777" w:rsidR="00AD1F54" w:rsidRPr="00264D5D" w:rsidRDefault="00941227">
            <w:pPr>
              <w:pStyle w:val="GOSTTablenorm"/>
              <w:rPr>
                <w:szCs w:val="22"/>
              </w:rPr>
            </w:pPr>
            <w:r w:rsidRPr="00264D5D">
              <w:rPr>
                <w:lang w:val="en-US"/>
              </w:rPr>
              <w:t>T</w:t>
            </w:r>
            <w:r w:rsidRPr="00264D5D">
              <w:t>(</w:t>
            </w:r>
            <w:r w:rsidRPr="00264D5D">
              <w:rPr>
                <w:lang w:val="en-US"/>
              </w:rPr>
              <w:t>1-19</w:t>
            </w:r>
            <w:r w:rsidRPr="00264D5D">
              <w:t>)</w:t>
            </w:r>
          </w:p>
        </w:tc>
        <w:tc>
          <w:tcPr>
            <w:tcW w:w="567" w:type="dxa"/>
          </w:tcPr>
          <w:p w14:paraId="7AD154A0" w14:textId="77777777" w:rsidR="00AD1F54" w:rsidRPr="00264D5D" w:rsidRDefault="00941227">
            <w:pPr>
              <w:pStyle w:val="GOSTTablenorm"/>
              <w:jc w:val="center"/>
            </w:pPr>
            <w:r w:rsidRPr="00264D5D">
              <w:t>Н</w:t>
            </w:r>
          </w:p>
        </w:tc>
        <w:tc>
          <w:tcPr>
            <w:tcW w:w="3963" w:type="dxa"/>
          </w:tcPr>
          <w:p w14:paraId="4BA86B4C" w14:textId="77777777" w:rsidR="00AD1F54" w:rsidRPr="00264D5D" w:rsidRDefault="00941227">
            <w:pPr>
              <w:pStyle w:val="GOSTTablenorm"/>
              <w:rPr>
                <w:szCs w:val="22"/>
              </w:rPr>
            </w:pPr>
            <w:r w:rsidRPr="00264D5D">
              <w:t>Указывается учетный номер обязательства, п</w:t>
            </w:r>
            <w:r w:rsidR="005D5F06" w:rsidRPr="00264D5D">
              <w:t>ередаваемого реорганизуемым УБП.</w:t>
            </w:r>
          </w:p>
          <w:p w14:paraId="17290F1D" w14:textId="77777777" w:rsidR="00AD1F54" w:rsidRPr="00264D5D" w:rsidRDefault="00941227">
            <w:pPr>
              <w:pStyle w:val="GOSTTablenorm"/>
            </w:pPr>
            <w:r w:rsidRPr="00264D5D">
              <w:t xml:space="preserve">Поле «Учетный номер обязательства» в разделе 3.1 обязательно к заполнению в случае указания вида документа-основания отличного от значения «иное </w:t>
            </w:r>
            <w:r w:rsidR="005D5F06" w:rsidRPr="00264D5D">
              <w:t>основание», т.е. если не АвтоБО</w:t>
            </w:r>
          </w:p>
        </w:tc>
      </w:tr>
      <w:tr w:rsidR="00AD1F54" w:rsidRPr="00264D5D" w14:paraId="28132B93"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AF429A1" w14:textId="77777777" w:rsidR="00AD1F54" w:rsidRPr="00264D5D" w:rsidRDefault="00941227">
            <w:pPr>
              <w:pStyle w:val="GOSTTablenorm"/>
            </w:pPr>
            <w:r w:rsidRPr="00264D5D">
              <w:t xml:space="preserve">Вид </w:t>
            </w:r>
          </w:p>
        </w:tc>
        <w:tc>
          <w:tcPr>
            <w:tcW w:w="1701" w:type="dxa"/>
          </w:tcPr>
          <w:p w14:paraId="73EDDDC0" w14:textId="77777777" w:rsidR="00AD1F54" w:rsidRPr="00264D5D" w:rsidRDefault="00941227">
            <w:pPr>
              <w:pStyle w:val="GOSTTablenorm"/>
            </w:pPr>
            <w:r w:rsidRPr="00264D5D">
              <w:t>Data_VC011</w:t>
            </w:r>
          </w:p>
        </w:tc>
        <w:tc>
          <w:tcPr>
            <w:tcW w:w="567" w:type="dxa"/>
          </w:tcPr>
          <w:p w14:paraId="07610DE8" w14:textId="77777777" w:rsidR="00AD1F54" w:rsidRPr="00264D5D" w:rsidRDefault="00941227">
            <w:pPr>
              <w:pStyle w:val="GOSTTablenorm"/>
              <w:jc w:val="center"/>
            </w:pPr>
            <w:r w:rsidRPr="00264D5D">
              <w:t>П</w:t>
            </w:r>
          </w:p>
        </w:tc>
        <w:tc>
          <w:tcPr>
            <w:tcW w:w="1134" w:type="dxa"/>
          </w:tcPr>
          <w:p w14:paraId="315F3A33" w14:textId="77777777" w:rsidR="00AD1F54" w:rsidRPr="00264D5D" w:rsidRDefault="00941227">
            <w:pPr>
              <w:pStyle w:val="GOSTTablenorm"/>
              <w:rPr>
                <w:szCs w:val="22"/>
              </w:rPr>
            </w:pPr>
            <w:r w:rsidRPr="00264D5D">
              <w:rPr>
                <w:lang w:val="en-US"/>
              </w:rPr>
              <w:t>T</w:t>
            </w:r>
            <w:r w:rsidRPr="00264D5D">
              <w:t>(</w:t>
            </w:r>
            <w:r w:rsidRPr="00264D5D">
              <w:rPr>
                <w:lang w:val="en-US"/>
              </w:rPr>
              <w:t>1-1</w:t>
            </w:r>
            <w:r w:rsidRPr="00264D5D">
              <w:t>00)</w:t>
            </w:r>
          </w:p>
        </w:tc>
        <w:tc>
          <w:tcPr>
            <w:tcW w:w="567" w:type="dxa"/>
          </w:tcPr>
          <w:p w14:paraId="2D4883DB" w14:textId="77777777" w:rsidR="00AD1F54" w:rsidRPr="00264D5D" w:rsidRDefault="00941227">
            <w:pPr>
              <w:pStyle w:val="GOSTTablenorm"/>
              <w:jc w:val="center"/>
            </w:pPr>
            <w:r w:rsidRPr="00264D5D">
              <w:t>Н</w:t>
            </w:r>
          </w:p>
        </w:tc>
        <w:tc>
          <w:tcPr>
            <w:tcW w:w="3963" w:type="dxa"/>
          </w:tcPr>
          <w:p w14:paraId="51F72D6B" w14:textId="77777777" w:rsidR="00AD1F54" w:rsidRPr="00264D5D" w:rsidRDefault="00941227">
            <w:pPr>
              <w:pStyle w:val="GOSTTablenorm"/>
            </w:pPr>
            <w:r w:rsidRPr="00264D5D">
              <w:t>Указывается вид документа, на основании которого принято бюджетное обязательство, передаваемое реорганизуемым УБП. Поле «Вид» заполняется значениями: «контракт», «договор», «соглашение», «нормативный правовой акт», «исполнительный документ», «решение налогового органа», «извещение об осуществлении закупки», «приглашение принять участие в определении поставщика (подрядчика, исполнителя)», «иное основание».</w:t>
            </w:r>
          </w:p>
          <w:p w14:paraId="129638F1" w14:textId="77777777" w:rsidR="00AD1F54" w:rsidRPr="00264D5D" w:rsidRDefault="00941227">
            <w:pPr>
              <w:pStyle w:val="GOSTTablenorm"/>
            </w:pPr>
            <w:r w:rsidRPr="00264D5D">
              <w:t>В поле «Вид» раздела 3.1 указывается значение «Иное основание», если не заполнены поля «Учетный номер о</w:t>
            </w:r>
            <w:r w:rsidR="005D5F06" w:rsidRPr="00264D5D">
              <w:t>бязательства», «Номер» и «Дата»</w:t>
            </w:r>
          </w:p>
        </w:tc>
      </w:tr>
      <w:tr w:rsidR="00AD1F54" w:rsidRPr="00264D5D" w14:paraId="185D453D"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027B7ED2" w14:textId="77777777" w:rsidR="00AD1F54" w:rsidRPr="00264D5D" w:rsidRDefault="00941227">
            <w:pPr>
              <w:pStyle w:val="GOSTTablenorm"/>
            </w:pPr>
            <w:r w:rsidRPr="00264D5D">
              <w:t xml:space="preserve">Номер </w:t>
            </w:r>
          </w:p>
        </w:tc>
        <w:tc>
          <w:tcPr>
            <w:tcW w:w="1701" w:type="dxa"/>
          </w:tcPr>
          <w:p w14:paraId="56BCFEA7" w14:textId="77777777" w:rsidR="00AD1F54" w:rsidRPr="00264D5D" w:rsidRDefault="00941227">
            <w:pPr>
              <w:pStyle w:val="GOSTTablenorm"/>
            </w:pPr>
            <w:r w:rsidRPr="00264D5D">
              <w:t>Data_VC012</w:t>
            </w:r>
          </w:p>
        </w:tc>
        <w:tc>
          <w:tcPr>
            <w:tcW w:w="567" w:type="dxa"/>
          </w:tcPr>
          <w:p w14:paraId="2B8227A3" w14:textId="77777777" w:rsidR="00AD1F54" w:rsidRPr="00264D5D" w:rsidRDefault="00941227">
            <w:pPr>
              <w:pStyle w:val="GOSTTablenorm"/>
              <w:jc w:val="center"/>
            </w:pPr>
            <w:r w:rsidRPr="00264D5D">
              <w:t>П</w:t>
            </w:r>
          </w:p>
        </w:tc>
        <w:tc>
          <w:tcPr>
            <w:tcW w:w="1134" w:type="dxa"/>
          </w:tcPr>
          <w:p w14:paraId="3B374FF6" w14:textId="77777777" w:rsidR="00AD1F54" w:rsidRPr="00264D5D" w:rsidRDefault="00941227">
            <w:pPr>
              <w:pStyle w:val="GOSTTablenorm"/>
              <w:rPr>
                <w:szCs w:val="22"/>
              </w:rPr>
            </w:pPr>
            <w:r w:rsidRPr="00264D5D">
              <w:rPr>
                <w:lang w:val="en-US"/>
              </w:rPr>
              <w:t>T</w:t>
            </w:r>
            <w:r w:rsidRPr="00264D5D">
              <w:t>(</w:t>
            </w:r>
            <w:r w:rsidRPr="00264D5D">
              <w:rPr>
                <w:lang w:val="en-US"/>
              </w:rPr>
              <w:t>1-</w:t>
            </w:r>
            <w:r w:rsidRPr="00264D5D">
              <w:t>50)</w:t>
            </w:r>
          </w:p>
        </w:tc>
        <w:tc>
          <w:tcPr>
            <w:tcW w:w="567" w:type="dxa"/>
          </w:tcPr>
          <w:p w14:paraId="54036F9A" w14:textId="77777777" w:rsidR="00AD1F54" w:rsidRPr="00264D5D" w:rsidRDefault="00941227">
            <w:pPr>
              <w:pStyle w:val="GOSTTablenorm"/>
              <w:jc w:val="center"/>
            </w:pPr>
            <w:r w:rsidRPr="00264D5D">
              <w:t>Н</w:t>
            </w:r>
          </w:p>
        </w:tc>
        <w:tc>
          <w:tcPr>
            <w:tcW w:w="3963" w:type="dxa"/>
          </w:tcPr>
          <w:p w14:paraId="22DD3B9E" w14:textId="77777777" w:rsidR="00AD1F54" w:rsidRPr="00264D5D" w:rsidRDefault="00941227">
            <w:pPr>
              <w:pStyle w:val="GOSTTablenorm"/>
            </w:pPr>
            <w:r w:rsidRPr="00264D5D">
              <w:t>Указывается номер документа, на основании которого принято бюджетное обязательство, передаваемое реорганизуемым УБП.</w:t>
            </w:r>
          </w:p>
          <w:p w14:paraId="1C44D99E" w14:textId="77777777" w:rsidR="00AD1F54" w:rsidRPr="00264D5D" w:rsidRDefault="00941227">
            <w:pPr>
              <w:pStyle w:val="GOSTTablenorm"/>
            </w:pPr>
            <w:r w:rsidRPr="00264D5D">
              <w:t>Поле «Номер» раздела 3.1 не заполняются, если не заполнено пол</w:t>
            </w:r>
            <w:r w:rsidR="005D5F06" w:rsidRPr="00264D5D">
              <w:t>е «Учетный номер обязательства»</w:t>
            </w:r>
          </w:p>
        </w:tc>
      </w:tr>
      <w:tr w:rsidR="00AD1F54" w:rsidRPr="00264D5D" w14:paraId="31A914BF"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D35E989" w14:textId="77777777" w:rsidR="00AD1F54" w:rsidRPr="00264D5D" w:rsidRDefault="00941227">
            <w:pPr>
              <w:pStyle w:val="GOSTTablenorm"/>
            </w:pPr>
            <w:r w:rsidRPr="00264D5D">
              <w:t xml:space="preserve">Дата </w:t>
            </w:r>
          </w:p>
        </w:tc>
        <w:tc>
          <w:tcPr>
            <w:tcW w:w="1701" w:type="dxa"/>
          </w:tcPr>
          <w:p w14:paraId="284D0556" w14:textId="77777777" w:rsidR="00AD1F54" w:rsidRPr="00264D5D" w:rsidRDefault="00941227">
            <w:pPr>
              <w:pStyle w:val="GOSTTablenorm"/>
            </w:pPr>
            <w:r w:rsidRPr="00264D5D">
              <w:t>Segment_Date1</w:t>
            </w:r>
          </w:p>
        </w:tc>
        <w:tc>
          <w:tcPr>
            <w:tcW w:w="567" w:type="dxa"/>
          </w:tcPr>
          <w:p w14:paraId="2DD2828B" w14:textId="77777777" w:rsidR="00AD1F54" w:rsidRPr="00264D5D" w:rsidRDefault="00941227">
            <w:pPr>
              <w:pStyle w:val="GOSTTablenorm"/>
              <w:jc w:val="center"/>
            </w:pPr>
            <w:r w:rsidRPr="00264D5D">
              <w:t>П</w:t>
            </w:r>
          </w:p>
        </w:tc>
        <w:tc>
          <w:tcPr>
            <w:tcW w:w="1134" w:type="dxa"/>
          </w:tcPr>
          <w:p w14:paraId="7FE6E137" w14:textId="77777777" w:rsidR="00AD1F54" w:rsidRPr="00264D5D" w:rsidRDefault="00941227">
            <w:pPr>
              <w:pStyle w:val="GOSTTablenorm"/>
              <w:rPr>
                <w:szCs w:val="22"/>
              </w:rPr>
            </w:pPr>
            <w:r w:rsidRPr="00264D5D">
              <w:rPr>
                <w:szCs w:val="22"/>
              </w:rPr>
              <w:t>Date</w:t>
            </w:r>
          </w:p>
        </w:tc>
        <w:tc>
          <w:tcPr>
            <w:tcW w:w="567" w:type="dxa"/>
          </w:tcPr>
          <w:p w14:paraId="575AE933" w14:textId="77777777" w:rsidR="00AD1F54" w:rsidRPr="00264D5D" w:rsidRDefault="00941227">
            <w:pPr>
              <w:pStyle w:val="GOSTTablenorm"/>
              <w:jc w:val="center"/>
            </w:pPr>
            <w:r w:rsidRPr="00264D5D">
              <w:t>Н</w:t>
            </w:r>
          </w:p>
        </w:tc>
        <w:tc>
          <w:tcPr>
            <w:tcW w:w="3963" w:type="dxa"/>
          </w:tcPr>
          <w:p w14:paraId="55B12ADC" w14:textId="77777777" w:rsidR="00AD1F54" w:rsidRPr="00264D5D" w:rsidRDefault="00941227">
            <w:pPr>
              <w:pStyle w:val="GOSTTablenorm"/>
            </w:pPr>
            <w:r w:rsidRPr="00264D5D">
              <w:t>Указывается дата.</w:t>
            </w:r>
          </w:p>
          <w:p w14:paraId="08C611E4" w14:textId="77777777" w:rsidR="00AD1F54" w:rsidRPr="00264D5D" w:rsidRDefault="00941227">
            <w:pPr>
              <w:pStyle w:val="GOSTTablenorm"/>
            </w:pPr>
            <w:r w:rsidRPr="00264D5D">
              <w:t>Поле не заполняются, если не заполнено поле «Учетный</w:t>
            </w:r>
            <w:r w:rsidR="005D5F06" w:rsidRPr="00264D5D">
              <w:t xml:space="preserve"> номер обязательства»</w:t>
            </w:r>
          </w:p>
        </w:tc>
      </w:tr>
      <w:tr w:rsidR="00AD1F54" w:rsidRPr="00264D5D" w14:paraId="1C48B302"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3E8DB0B7" w14:textId="77777777" w:rsidR="00AD1F54" w:rsidRPr="00264D5D" w:rsidRDefault="00941227">
            <w:pPr>
              <w:pStyle w:val="GOSTTablenorm"/>
            </w:pPr>
            <w:r w:rsidRPr="00264D5D">
              <w:t xml:space="preserve">Уникальный номер в реестре </w:t>
            </w:r>
          </w:p>
        </w:tc>
        <w:tc>
          <w:tcPr>
            <w:tcW w:w="1701" w:type="dxa"/>
          </w:tcPr>
          <w:p w14:paraId="5CC12157" w14:textId="77777777" w:rsidR="00AD1F54" w:rsidRPr="00264D5D" w:rsidRDefault="00941227">
            <w:pPr>
              <w:pStyle w:val="GOSTTablenorm"/>
            </w:pPr>
            <w:r w:rsidRPr="00264D5D">
              <w:t>Data_VC013</w:t>
            </w:r>
          </w:p>
        </w:tc>
        <w:tc>
          <w:tcPr>
            <w:tcW w:w="567" w:type="dxa"/>
          </w:tcPr>
          <w:p w14:paraId="7828DDAB" w14:textId="77777777" w:rsidR="00AD1F54" w:rsidRPr="00264D5D" w:rsidRDefault="00941227">
            <w:pPr>
              <w:pStyle w:val="GOSTTablenorm"/>
              <w:jc w:val="center"/>
            </w:pPr>
            <w:r w:rsidRPr="00264D5D">
              <w:t>П</w:t>
            </w:r>
          </w:p>
        </w:tc>
        <w:tc>
          <w:tcPr>
            <w:tcW w:w="1134" w:type="dxa"/>
          </w:tcPr>
          <w:p w14:paraId="52CCEBDF" w14:textId="77777777" w:rsidR="00AD1F54" w:rsidRPr="00264D5D" w:rsidRDefault="00941227">
            <w:pPr>
              <w:pStyle w:val="GOSTTablenorm"/>
              <w:rPr>
                <w:szCs w:val="22"/>
              </w:rPr>
            </w:pPr>
            <w:r w:rsidRPr="00264D5D">
              <w:rPr>
                <w:lang w:val="en-US"/>
              </w:rPr>
              <w:t>T</w:t>
            </w:r>
            <w:r w:rsidRPr="00264D5D">
              <w:t>(</w:t>
            </w:r>
            <w:r w:rsidRPr="00264D5D">
              <w:rPr>
                <w:lang w:val="en-US"/>
              </w:rPr>
              <w:t>1-19</w:t>
            </w:r>
            <w:r w:rsidRPr="00264D5D">
              <w:t>)</w:t>
            </w:r>
          </w:p>
        </w:tc>
        <w:tc>
          <w:tcPr>
            <w:tcW w:w="567" w:type="dxa"/>
          </w:tcPr>
          <w:p w14:paraId="1A81A281" w14:textId="77777777" w:rsidR="00AD1F54" w:rsidRPr="00264D5D" w:rsidRDefault="00941227">
            <w:pPr>
              <w:pStyle w:val="GOSTTablenorm"/>
              <w:jc w:val="center"/>
            </w:pPr>
            <w:r w:rsidRPr="00264D5D">
              <w:t>Н</w:t>
            </w:r>
          </w:p>
        </w:tc>
        <w:tc>
          <w:tcPr>
            <w:tcW w:w="3963" w:type="dxa"/>
          </w:tcPr>
          <w:p w14:paraId="7A43F631" w14:textId="77777777" w:rsidR="00AD1F54" w:rsidRPr="00264D5D" w:rsidRDefault="00941227">
            <w:pPr>
              <w:pStyle w:val="GOSTTablenorm"/>
            </w:pPr>
            <w:r w:rsidRPr="00264D5D">
              <w:t>Указывается уникальный номер реестровой записи в реестре контрактов/реестре соглашений, соответствующий бюджетному обязательству, п</w:t>
            </w:r>
            <w:r w:rsidR="005D5F06" w:rsidRPr="00264D5D">
              <w:t>ередаваемому реорганизуемым УБП</w:t>
            </w:r>
          </w:p>
        </w:tc>
      </w:tr>
      <w:tr w:rsidR="00AD1F54" w:rsidRPr="00264D5D" w14:paraId="063325B9"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C081B49" w14:textId="77777777" w:rsidR="00AD1F54" w:rsidRPr="00264D5D" w:rsidRDefault="00941227">
            <w:pPr>
              <w:pStyle w:val="GOSTTablenorm"/>
            </w:pPr>
            <w:r w:rsidRPr="00264D5D">
              <w:lastRenderedPageBreak/>
              <w:t xml:space="preserve">Сумма в валюте обязательства: всего </w:t>
            </w:r>
          </w:p>
        </w:tc>
        <w:tc>
          <w:tcPr>
            <w:tcW w:w="1701" w:type="dxa"/>
          </w:tcPr>
          <w:p w14:paraId="4E0B84E7" w14:textId="77777777" w:rsidR="00AD1F54" w:rsidRPr="00264D5D" w:rsidRDefault="00941227">
            <w:pPr>
              <w:pStyle w:val="GOSTTablenorm"/>
            </w:pPr>
            <w:r w:rsidRPr="00264D5D">
              <w:t>Data020</w:t>
            </w:r>
          </w:p>
        </w:tc>
        <w:tc>
          <w:tcPr>
            <w:tcW w:w="567" w:type="dxa"/>
          </w:tcPr>
          <w:p w14:paraId="2AF67367" w14:textId="77777777" w:rsidR="00AD1F54" w:rsidRPr="00264D5D" w:rsidRDefault="00941227">
            <w:pPr>
              <w:pStyle w:val="GOSTTablenorm"/>
              <w:jc w:val="center"/>
            </w:pPr>
            <w:r w:rsidRPr="00264D5D">
              <w:t>П</w:t>
            </w:r>
          </w:p>
        </w:tc>
        <w:tc>
          <w:tcPr>
            <w:tcW w:w="1134" w:type="dxa"/>
          </w:tcPr>
          <w:p w14:paraId="4BB5F5F5" w14:textId="77777777" w:rsidR="00AD1F54" w:rsidRPr="00264D5D" w:rsidRDefault="00941227">
            <w:pPr>
              <w:pStyle w:val="GOSTTablenorm"/>
              <w:rPr>
                <w:szCs w:val="22"/>
              </w:rPr>
            </w:pPr>
            <w:r w:rsidRPr="00264D5D">
              <w:rPr>
                <w:szCs w:val="22"/>
              </w:rPr>
              <w:t>N(20.2)</w:t>
            </w:r>
          </w:p>
        </w:tc>
        <w:tc>
          <w:tcPr>
            <w:tcW w:w="567" w:type="dxa"/>
          </w:tcPr>
          <w:p w14:paraId="1EA9930B" w14:textId="77777777" w:rsidR="00AD1F54" w:rsidRPr="00264D5D" w:rsidRDefault="00941227">
            <w:pPr>
              <w:pStyle w:val="GOSTTablenorm"/>
              <w:jc w:val="center"/>
            </w:pPr>
            <w:r w:rsidRPr="00264D5D">
              <w:t>Н</w:t>
            </w:r>
          </w:p>
        </w:tc>
        <w:tc>
          <w:tcPr>
            <w:tcW w:w="3963" w:type="dxa"/>
          </w:tcPr>
          <w:p w14:paraId="6A7ADB12" w14:textId="77777777" w:rsidR="00AD1F54" w:rsidRPr="00264D5D" w:rsidRDefault="00941227">
            <w:pPr>
              <w:pStyle w:val="GOSTTablenorm"/>
            </w:pPr>
            <w:r w:rsidRPr="00264D5D">
              <w:t>Указывается сумма в валюте бюджетного обязательства по документу-основанию по бюджетному обязательству, в т.ч. сумма авансового платежа в валюте обязательства, установленная документом-основанием по бюджетному обязательству</w:t>
            </w:r>
          </w:p>
        </w:tc>
      </w:tr>
      <w:tr w:rsidR="00AD1F54" w:rsidRPr="00264D5D" w14:paraId="58286A1E"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33AD80F" w14:textId="77777777" w:rsidR="00AD1F54" w:rsidRPr="00264D5D" w:rsidRDefault="00941227">
            <w:pPr>
              <w:pStyle w:val="GOSTTablenorm"/>
            </w:pPr>
            <w:r w:rsidRPr="00264D5D">
              <w:t xml:space="preserve">Код валюты по ОКВ </w:t>
            </w:r>
          </w:p>
        </w:tc>
        <w:tc>
          <w:tcPr>
            <w:tcW w:w="1701" w:type="dxa"/>
          </w:tcPr>
          <w:p w14:paraId="337FBDF2" w14:textId="77777777" w:rsidR="00AD1F54" w:rsidRPr="00264D5D" w:rsidRDefault="00941227">
            <w:pPr>
              <w:pStyle w:val="GOSTTablenorm"/>
            </w:pPr>
            <w:r w:rsidRPr="00264D5D">
              <w:t>Data_VC014</w:t>
            </w:r>
          </w:p>
        </w:tc>
        <w:tc>
          <w:tcPr>
            <w:tcW w:w="567" w:type="dxa"/>
          </w:tcPr>
          <w:p w14:paraId="46A6C88D" w14:textId="77777777" w:rsidR="00AD1F54" w:rsidRPr="00264D5D" w:rsidRDefault="00941227">
            <w:pPr>
              <w:pStyle w:val="GOSTTablenorm"/>
              <w:jc w:val="center"/>
            </w:pPr>
            <w:r w:rsidRPr="00264D5D">
              <w:t>П</w:t>
            </w:r>
          </w:p>
        </w:tc>
        <w:tc>
          <w:tcPr>
            <w:tcW w:w="1134" w:type="dxa"/>
          </w:tcPr>
          <w:p w14:paraId="0768A8AF" w14:textId="77777777" w:rsidR="00AD1F54" w:rsidRPr="00264D5D" w:rsidRDefault="00941227">
            <w:pPr>
              <w:pStyle w:val="GOSTTablenorm"/>
              <w:rPr>
                <w:szCs w:val="22"/>
              </w:rPr>
            </w:pPr>
            <w:r w:rsidRPr="00264D5D">
              <w:rPr>
                <w:lang w:val="en-US"/>
              </w:rPr>
              <w:t>T</w:t>
            </w:r>
            <w:r w:rsidRPr="00264D5D">
              <w:t>(</w:t>
            </w:r>
            <w:r w:rsidRPr="00264D5D">
              <w:rPr>
                <w:lang w:val="en-US"/>
              </w:rPr>
              <w:t>1-</w:t>
            </w:r>
            <w:r w:rsidRPr="00264D5D">
              <w:t>2000)</w:t>
            </w:r>
          </w:p>
        </w:tc>
        <w:tc>
          <w:tcPr>
            <w:tcW w:w="567" w:type="dxa"/>
          </w:tcPr>
          <w:p w14:paraId="551C04C9" w14:textId="77777777" w:rsidR="00AD1F54" w:rsidRPr="00264D5D" w:rsidRDefault="00941227">
            <w:pPr>
              <w:pStyle w:val="GOSTTablenorm"/>
              <w:jc w:val="center"/>
            </w:pPr>
            <w:r w:rsidRPr="00264D5D">
              <w:t>O</w:t>
            </w:r>
          </w:p>
        </w:tc>
        <w:tc>
          <w:tcPr>
            <w:tcW w:w="3963" w:type="dxa"/>
          </w:tcPr>
          <w:p w14:paraId="2EF06A3D" w14:textId="77777777" w:rsidR="00AD1F54" w:rsidRPr="00264D5D" w:rsidRDefault="00941227">
            <w:pPr>
              <w:pStyle w:val="GOSTTablenorm"/>
            </w:pPr>
            <w:r w:rsidRPr="00264D5D">
              <w:t xml:space="preserve">Указывается код валюты по ОКВ, в которой </w:t>
            </w:r>
            <w:r w:rsidR="005D5F06" w:rsidRPr="00264D5D">
              <w:t>принято бюджетное обязательство</w:t>
            </w:r>
          </w:p>
        </w:tc>
      </w:tr>
      <w:tr w:rsidR="00AD1F54" w:rsidRPr="00264D5D" w14:paraId="6527D9C0"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17BF770" w14:textId="77777777" w:rsidR="00AD1F54" w:rsidRPr="00264D5D" w:rsidRDefault="00941227">
            <w:pPr>
              <w:pStyle w:val="GOSTTablenorm"/>
            </w:pPr>
            <w:r w:rsidRPr="00264D5D">
              <w:t xml:space="preserve">Сумма в валюте Российской Федерации </w:t>
            </w:r>
          </w:p>
        </w:tc>
        <w:tc>
          <w:tcPr>
            <w:tcW w:w="1701" w:type="dxa"/>
          </w:tcPr>
          <w:p w14:paraId="2BD044CD" w14:textId="77777777" w:rsidR="00AD1F54" w:rsidRPr="00264D5D" w:rsidRDefault="00941227">
            <w:pPr>
              <w:pStyle w:val="GOSTTablenorm"/>
            </w:pPr>
            <w:r w:rsidRPr="00264D5D">
              <w:t>Data022</w:t>
            </w:r>
          </w:p>
        </w:tc>
        <w:tc>
          <w:tcPr>
            <w:tcW w:w="567" w:type="dxa"/>
          </w:tcPr>
          <w:p w14:paraId="6FEC4064" w14:textId="77777777" w:rsidR="00AD1F54" w:rsidRPr="00264D5D" w:rsidRDefault="00941227">
            <w:pPr>
              <w:pStyle w:val="GOSTTablenorm"/>
              <w:jc w:val="center"/>
            </w:pPr>
            <w:r w:rsidRPr="00264D5D">
              <w:t>П</w:t>
            </w:r>
          </w:p>
        </w:tc>
        <w:tc>
          <w:tcPr>
            <w:tcW w:w="1134" w:type="dxa"/>
          </w:tcPr>
          <w:p w14:paraId="556F26F3" w14:textId="77777777" w:rsidR="00AD1F54" w:rsidRPr="00264D5D" w:rsidRDefault="00941227">
            <w:pPr>
              <w:pStyle w:val="GOSTTablenorm"/>
              <w:rPr>
                <w:szCs w:val="22"/>
              </w:rPr>
            </w:pPr>
            <w:r w:rsidRPr="00264D5D">
              <w:rPr>
                <w:szCs w:val="22"/>
              </w:rPr>
              <w:t>N(20.2)</w:t>
            </w:r>
          </w:p>
        </w:tc>
        <w:tc>
          <w:tcPr>
            <w:tcW w:w="567" w:type="dxa"/>
          </w:tcPr>
          <w:p w14:paraId="24362467" w14:textId="77777777" w:rsidR="00AD1F54" w:rsidRPr="00264D5D" w:rsidRDefault="00941227">
            <w:pPr>
              <w:pStyle w:val="GOSTTablenorm"/>
              <w:jc w:val="center"/>
            </w:pPr>
            <w:r w:rsidRPr="00264D5D">
              <w:t>Н</w:t>
            </w:r>
          </w:p>
        </w:tc>
        <w:tc>
          <w:tcPr>
            <w:tcW w:w="3963" w:type="dxa"/>
          </w:tcPr>
          <w:p w14:paraId="4C1F3B04" w14:textId="77777777" w:rsidR="00AD1F54" w:rsidRPr="00264D5D" w:rsidRDefault="00941227">
            <w:pPr>
              <w:pStyle w:val="GOSTTablenorm"/>
            </w:pPr>
            <w:r w:rsidRPr="00264D5D">
              <w:t>Указывается сумма бюджетного обязательства в валюте Российской Федерации</w:t>
            </w:r>
          </w:p>
        </w:tc>
      </w:tr>
      <w:tr w:rsidR="00AD1F54" w:rsidRPr="00264D5D" w14:paraId="308FE153"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44D977A9" w14:textId="77777777" w:rsidR="00AD1F54" w:rsidRPr="00264D5D" w:rsidRDefault="00941227">
            <w:pPr>
              <w:pStyle w:val="GOSTTablenorm"/>
              <w:rPr>
                <w:b/>
              </w:rPr>
            </w:pPr>
            <w:r w:rsidRPr="00264D5D">
              <w:rPr>
                <w:b/>
              </w:rPr>
              <w:t>Раздел 3.2. Передаваемые бюджетные обязательства (детализированный строки)</w:t>
            </w:r>
          </w:p>
        </w:tc>
        <w:tc>
          <w:tcPr>
            <w:tcW w:w="1701" w:type="dxa"/>
          </w:tcPr>
          <w:p w14:paraId="65D07139" w14:textId="77777777" w:rsidR="00AD1F54" w:rsidRPr="00264D5D" w:rsidRDefault="00941227">
            <w:pPr>
              <w:pStyle w:val="GOSTTablenorm"/>
            </w:pPr>
            <w:r w:rsidRPr="00264D5D">
              <w:rPr>
                <w:b/>
                <w:szCs w:val="22"/>
              </w:rPr>
              <w:t>Line</w:t>
            </w:r>
          </w:p>
        </w:tc>
        <w:tc>
          <w:tcPr>
            <w:tcW w:w="567" w:type="dxa"/>
          </w:tcPr>
          <w:p w14:paraId="089487F4" w14:textId="77777777" w:rsidR="00AD1F54" w:rsidRPr="00264D5D" w:rsidRDefault="00941227">
            <w:pPr>
              <w:pStyle w:val="GOSTTablenorm"/>
              <w:jc w:val="center"/>
            </w:pPr>
            <w:r w:rsidRPr="00264D5D">
              <w:rPr>
                <w:b/>
                <w:szCs w:val="22"/>
              </w:rPr>
              <w:t>-</w:t>
            </w:r>
          </w:p>
        </w:tc>
        <w:tc>
          <w:tcPr>
            <w:tcW w:w="1134" w:type="dxa"/>
          </w:tcPr>
          <w:p w14:paraId="453052DD" w14:textId="77777777" w:rsidR="00AD1F54" w:rsidRPr="00264D5D" w:rsidRDefault="00941227">
            <w:pPr>
              <w:pStyle w:val="GOSTTablenorm"/>
              <w:rPr>
                <w:szCs w:val="22"/>
              </w:rPr>
            </w:pPr>
            <w:r w:rsidRPr="00264D5D">
              <w:rPr>
                <w:b/>
                <w:szCs w:val="22"/>
              </w:rPr>
              <w:t>-</w:t>
            </w:r>
          </w:p>
        </w:tc>
        <w:tc>
          <w:tcPr>
            <w:tcW w:w="567" w:type="dxa"/>
          </w:tcPr>
          <w:p w14:paraId="69E7BD1A" w14:textId="77777777" w:rsidR="00AD1F54" w:rsidRPr="00264D5D" w:rsidRDefault="00941227">
            <w:pPr>
              <w:pStyle w:val="GOSTTablenorm"/>
              <w:jc w:val="center"/>
            </w:pPr>
            <w:r w:rsidRPr="00264D5D">
              <w:rPr>
                <w:b/>
                <w:szCs w:val="22"/>
              </w:rPr>
              <w:t>НМ</w:t>
            </w:r>
          </w:p>
        </w:tc>
        <w:tc>
          <w:tcPr>
            <w:tcW w:w="3963" w:type="dxa"/>
          </w:tcPr>
          <w:p w14:paraId="7A4E7FF5" w14:textId="77777777" w:rsidR="00AD1F54" w:rsidRPr="00264D5D" w:rsidRDefault="00941227">
            <w:pPr>
              <w:pStyle w:val="GOSTTablenorm"/>
            </w:pPr>
            <w:r w:rsidRPr="00264D5D">
              <w:rPr>
                <w:b/>
                <w:szCs w:val="22"/>
              </w:rPr>
              <w:t>-</w:t>
            </w:r>
          </w:p>
        </w:tc>
      </w:tr>
      <w:tr w:rsidR="00AD1F54" w:rsidRPr="00264D5D" w14:paraId="6AA34838"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AC408CB" w14:textId="77777777" w:rsidR="00AD1F54" w:rsidRPr="00264D5D" w:rsidRDefault="00941227">
            <w:pPr>
              <w:pStyle w:val="GOSTTablenorm"/>
            </w:pPr>
            <w:r w:rsidRPr="00264D5D">
              <w:t>Номер секции формы</w:t>
            </w:r>
          </w:p>
          <w:p w14:paraId="6D920CD7" w14:textId="77777777" w:rsidR="00AD1F54" w:rsidRPr="00264D5D" w:rsidRDefault="00AD1F54">
            <w:pPr>
              <w:pStyle w:val="GOSTTablenorm"/>
            </w:pPr>
          </w:p>
        </w:tc>
        <w:tc>
          <w:tcPr>
            <w:tcW w:w="1701" w:type="dxa"/>
          </w:tcPr>
          <w:p w14:paraId="17037DAF" w14:textId="77777777" w:rsidR="00AD1F54" w:rsidRPr="00264D5D" w:rsidRDefault="00941227">
            <w:pPr>
              <w:pStyle w:val="GOSTTablenorm"/>
            </w:pPr>
            <w:r w:rsidRPr="00264D5D">
              <w:t>SectionNumber</w:t>
            </w:r>
          </w:p>
        </w:tc>
        <w:tc>
          <w:tcPr>
            <w:tcW w:w="567" w:type="dxa"/>
          </w:tcPr>
          <w:p w14:paraId="7BF95380" w14:textId="77777777" w:rsidR="00AD1F54" w:rsidRPr="00264D5D" w:rsidRDefault="00941227">
            <w:pPr>
              <w:pStyle w:val="GOSTTablenorm"/>
              <w:jc w:val="center"/>
            </w:pPr>
            <w:r w:rsidRPr="00264D5D">
              <w:t>П</w:t>
            </w:r>
          </w:p>
        </w:tc>
        <w:tc>
          <w:tcPr>
            <w:tcW w:w="1134" w:type="dxa"/>
          </w:tcPr>
          <w:p w14:paraId="270546CB" w14:textId="77777777" w:rsidR="00AD1F54" w:rsidRPr="00264D5D" w:rsidRDefault="00941227">
            <w:pPr>
              <w:pStyle w:val="GOSTTablenorm"/>
              <w:rPr>
                <w:szCs w:val="22"/>
              </w:rPr>
            </w:pPr>
            <w:r w:rsidRPr="00264D5D">
              <w:rPr>
                <w:lang w:val="en-US"/>
              </w:rPr>
              <w:t>T</w:t>
            </w:r>
            <w:r w:rsidRPr="00264D5D">
              <w:t>(</w:t>
            </w:r>
            <w:r w:rsidRPr="00264D5D">
              <w:rPr>
                <w:lang w:val="en-US"/>
              </w:rPr>
              <w:t>1-</w:t>
            </w:r>
            <w:r w:rsidRPr="00264D5D">
              <w:t>240)</w:t>
            </w:r>
          </w:p>
        </w:tc>
        <w:tc>
          <w:tcPr>
            <w:tcW w:w="567" w:type="dxa"/>
          </w:tcPr>
          <w:p w14:paraId="1079A5CD" w14:textId="77777777" w:rsidR="00AD1F54" w:rsidRPr="00264D5D" w:rsidRDefault="00941227">
            <w:pPr>
              <w:pStyle w:val="GOSTTablenorm"/>
              <w:jc w:val="center"/>
            </w:pPr>
            <w:r w:rsidRPr="00264D5D">
              <w:t>O</w:t>
            </w:r>
          </w:p>
        </w:tc>
        <w:tc>
          <w:tcPr>
            <w:tcW w:w="3963" w:type="dxa"/>
          </w:tcPr>
          <w:p w14:paraId="25DA6AF6" w14:textId="77777777" w:rsidR="00AD1F54" w:rsidRPr="00264D5D" w:rsidRDefault="00941227">
            <w:pPr>
              <w:pStyle w:val="GOSTTablenorm"/>
              <w:rPr>
                <w:szCs w:val="22"/>
              </w:rPr>
            </w:pPr>
            <w:r w:rsidRPr="00264D5D">
              <w:rPr>
                <w:szCs w:val="22"/>
              </w:rPr>
              <w:t>Указывается номер секции/раздела:</w:t>
            </w:r>
          </w:p>
          <w:p w14:paraId="47462FC4" w14:textId="77777777" w:rsidR="00AD1F54" w:rsidRPr="00264D5D" w:rsidRDefault="00941227" w:rsidP="00E7460C">
            <w:pPr>
              <w:pStyle w:val="GOSTTablenorm"/>
              <w:numPr>
                <w:ilvl w:val="0"/>
                <w:numId w:val="113"/>
              </w:numPr>
              <w:ind w:left="284" w:hanging="227"/>
              <w:rPr>
                <w:szCs w:val="22"/>
              </w:rPr>
            </w:pPr>
            <w:r w:rsidRPr="00264D5D">
              <w:rPr>
                <w:szCs w:val="22"/>
              </w:rPr>
              <w:t>5 – для раздела «3. Бюджетные обязательства 3.2. Передаваемые бюджетные обязате</w:t>
            </w:r>
            <w:r w:rsidR="005D5F06" w:rsidRPr="00264D5D">
              <w:rPr>
                <w:szCs w:val="22"/>
              </w:rPr>
              <w:t>льства»</w:t>
            </w:r>
          </w:p>
        </w:tc>
      </w:tr>
      <w:tr w:rsidR="00AD1F54" w:rsidRPr="00264D5D" w14:paraId="522D5C3B"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5167A44" w14:textId="77777777" w:rsidR="00AD1F54" w:rsidRPr="00264D5D" w:rsidRDefault="00941227">
            <w:pPr>
              <w:pStyle w:val="GOSTTablenorm"/>
              <w:rPr>
                <w:szCs w:val="22"/>
              </w:rPr>
            </w:pPr>
            <w:r w:rsidRPr="00264D5D">
              <w:t xml:space="preserve">Учетный номер обязательства </w:t>
            </w:r>
          </w:p>
        </w:tc>
        <w:tc>
          <w:tcPr>
            <w:tcW w:w="1701" w:type="dxa"/>
          </w:tcPr>
          <w:p w14:paraId="1A5D4817" w14:textId="77777777" w:rsidR="00AD1F54" w:rsidRPr="00264D5D" w:rsidRDefault="00941227">
            <w:pPr>
              <w:pStyle w:val="GOSTTablenorm"/>
            </w:pPr>
            <w:r w:rsidRPr="00264D5D">
              <w:t>Data_VC010</w:t>
            </w:r>
          </w:p>
        </w:tc>
        <w:tc>
          <w:tcPr>
            <w:tcW w:w="567" w:type="dxa"/>
          </w:tcPr>
          <w:p w14:paraId="07A3557A" w14:textId="77777777" w:rsidR="00AD1F54" w:rsidRPr="00264D5D" w:rsidRDefault="00941227">
            <w:pPr>
              <w:pStyle w:val="GOSTTablenorm"/>
              <w:jc w:val="center"/>
            </w:pPr>
            <w:r w:rsidRPr="00264D5D">
              <w:t>П</w:t>
            </w:r>
          </w:p>
        </w:tc>
        <w:tc>
          <w:tcPr>
            <w:tcW w:w="1134" w:type="dxa"/>
          </w:tcPr>
          <w:p w14:paraId="2012E8DD" w14:textId="77777777" w:rsidR="00AD1F54" w:rsidRPr="00264D5D" w:rsidRDefault="00941227">
            <w:pPr>
              <w:pStyle w:val="GOSTTablenorm"/>
              <w:rPr>
                <w:szCs w:val="22"/>
              </w:rPr>
            </w:pPr>
            <w:r w:rsidRPr="00264D5D">
              <w:rPr>
                <w:lang w:val="en-US"/>
              </w:rPr>
              <w:t>T</w:t>
            </w:r>
            <w:r w:rsidRPr="00264D5D">
              <w:t>(</w:t>
            </w:r>
            <w:r w:rsidRPr="00264D5D">
              <w:rPr>
                <w:lang w:val="en-US"/>
              </w:rPr>
              <w:t>1-19</w:t>
            </w:r>
            <w:r w:rsidRPr="00264D5D">
              <w:t>)</w:t>
            </w:r>
          </w:p>
        </w:tc>
        <w:tc>
          <w:tcPr>
            <w:tcW w:w="567" w:type="dxa"/>
          </w:tcPr>
          <w:p w14:paraId="107C1AF7" w14:textId="77777777" w:rsidR="00AD1F54" w:rsidRPr="00264D5D" w:rsidRDefault="00941227">
            <w:pPr>
              <w:pStyle w:val="GOSTTablenorm"/>
              <w:jc w:val="center"/>
            </w:pPr>
            <w:r w:rsidRPr="00264D5D">
              <w:t>Н</w:t>
            </w:r>
          </w:p>
        </w:tc>
        <w:tc>
          <w:tcPr>
            <w:tcW w:w="3963" w:type="dxa"/>
          </w:tcPr>
          <w:p w14:paraId="04231D72" w14:textId="77777777" w:rsidR="00AD1F54" w:rsidRPr="00264D5D" w:rsidRDefault="00941227">
            <w:pPr>
              <w:pStyle w:val="GOSTTablenorm"/>
            </w:pPr>
            <w:r w:rsidRPr="00264D5D">
              <w:t>Указывается учетный номер обязательства, п</w:t>
            </w:r>
            <w:r w:rsidR="005D5F06" w:rsidRPr="00264D5D">
              <w:t>ередаваемого реорганизуемым УБП</w:t>
            </w:r>
          </w:p>
        </w:tc>
      </w:tr>
      <w:tr w:rsidR="00AD1F54" w:rsidRPr="00264D5D" w14:paraId="00607880"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13817A7" w14:textId="77777777" w:rsidR="00AD1F54" w:rsidRPr="00264D5D" w:rsidRDefault="00941227">
            <w:pPr>
              <w:pStyle w:val="GOSTTablenorm"/>
            </w:pPr>
            <w:r w:rsidRPr="00264D5D">
              <w:t xml:space="preserve">Наименование объекта ФАИП/КМИ передающего УБП </w:t>
            </w:r>
          </w:p>
        </w:tc>
        <w:tc>
          <w:tcPr>
            <w:tcW w:w="1701" w:type="dxa"/>
          </w:tcPr>
          <w:p w14:paraId="4FF041CD" w14:textId="77777777" w:rsidR="00AD1F54" w:rsidRPr="00264D5D" w:rsidRDefault="00941227">
            <w:pPr>
              <w:pStyle w:val="GOSTTablenorm"/>
            </w:pPr>
            <w:r w:rsidRPr="00264D5D">
              <w:t>Data_VC005</w:t>
            </w:r>
          </w:p>
        </w:tc>
        <w:tc>
          <w:tcPr>
            <w:tcW w:w="567" w:type="dxa"/>
          </w:tcPr>
          <w:p w14:paraId="4F193109" w14:textId="77777777" w:rsidR="00AD1F54" w:rsidRPr="00264D5D" w:rsidRDefault="00941227">
            <w:pPr>
              <w:pStyle w:val="GOSTTablenorm"/>
              <w:jc w:val="center"/>
            </w:pPr>
            <w:r w:rsidRPr="00264D5D">
              <w:t>П</w:t>
            </w:r>
          </w:p>
        </w:tc>
        <w:tc>
          <w:tcPr>
            <w:tcW w:w="1134" w:type="dxa"/>
          </w:tcPr>
          <w:p w14:paraId="147AFEC3" w14:textId="77777777" w:rsidR="00AD1F54" w:rsidRPr="00264D5D" w:rsidRDefault="00941227">
            <w:pPr>
              <w:pStyle w:val="GOSTTablenorm"/>
              <w:rPr>
                <w:szCs w:val="22"/>
              </w:rPr>
            </w:pPr>
            <w:r w:rsidRPr="00264D5D">
              <w:rPr>
                <w:lang w:val="en-US"/>
              </w:rPr>
              <w:t>T</w:t>
            </w:r>
            <w:r w:rsidRPr="00264D5D">
              <w:t>(</w:t>
            </w:r>
            <w:r w:rsidRPr="00264D5D">
              <w:rPr>
                <w:lang w:val="en-US"/>
              </w:rPr>
              <w:t>1-</w:t>
            </w:r>
            <w:r w:rsidRPr="00264D5D">
              <w:t>2000)</w:t>
            </w:r>
          </w:p>
        </w:tc>
        <w:tc>
          <w:tcPr>
            <w:tcW w:w="567" w:type="dxa"/>
          </w:tcPr>
          <w:p w14:paraId="4D8C462C" w14:textId="77777777" w:rsidR="00AD1F54" w:rsidRPr="00264D5D" w:rsidRDefault="00941227">
            <w:pPr>
              <w:pStyle w:val="GOSTTablenorm"/>
              <w:jc w:val="center"/>
            </w:pPr>
            <w:r w:rsidRPr="00264D5D">
              <w:t>Н</w:t>
            </w:r>
          </w:p>
        </w:tc>
        <w:tc>
          <w:tcPr>
            <w:tcW w:w="3963" w:type="dxa"/>
          </w:tcPr>
          <w:p w14:paraId="196CDCD4" w14:textId="77777777" w:rsidR="00AD1F54" w:rsidRPr="00264D5D" w:rsidRDefault="00941227">
            <w:pPr>
              <w:pStyle w:val="GOSTTablenorm"/>
            </w:pPr>
            <w:r w:rsidRPr="00264D5D">
              <w:t>Указывается наименование объекта ФАИП в соответствии со справочником «ФАИП» или наименование объекта КМИ в соответствии со с</w:t>
            </w:r>
            <w:r w:rsidR="005D5F06" w:rsidRPr="00264D5D">
              <w:t>правочником «КМИ» (при наличии)</w:t>
            </w:r>
          </w:p>
        </w:tc>
      </w:tr>
      <w:tr w:rsidR="00AD1F54" w:rsidRPr="00264D5D" w14:paraId="2F010D44"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0FFB84EB" w14:textId="77777777" w:rsidR="00AD1F54" w:rsidRPr="00264D5D" w:rsidRDefault="00941227">
            <w:pPr>
              <w:pStyle w:val="GOSTTablenorm"/>
            </w:pPr>
            <w:r w:rsidRPr="00264D5D">
              <w:t>Код объекта ФАИП/КМИ передающего УБП</w:t>
            </w:r>
          </w:p>
        </w:tc>
        <w:tc>
          <w:tcPr>
            <w:tcW w:w="1701" w:type="dxa"/>
          </w:tcPr>
          <w:p w14:paraId="3F26EA9D" w14:textId="77777777" w:rsidR="00AD1F54" w:rsidRPr="00264D5D" w:rsidRDefault="00941227">
            <w:pPr>
              <w:pStyle w:val="GOSTTablenorm"/>
            </w:pPr>
            <w:r w:rsidRPr="00264D5D">
              <w:t>Data_VC006</w:t>
            </w:r>
          </w:p>
        </w:tc>
        <w:tc>
          <w:tcPr>
            <w:tcW w:w="567" w:type="dxa"/>
          </w:tcPr>
          <w:p w14:paraId="53035691" w14:textId="77777777" w:rsidR="00AD1F54" w:rsidRPr="00264D5D" w:rsidRDefault="00941227">
            <w:pPr>
              <w:pStyle w:val="GOSTTablenorm"/>
              <w:jc w:val="center"/>
            </w:pPr>
            <w:r w:rsidRPr="00264D5D">
              <w:t>П</w:t>
            </w:r>
          </w:p>
        </w:tc>
        <w:tc>
          <w:tcPr>
            <w:tcW w:w="1134" w:type="dxa"/>
          </w:tcPr>
          <w:p w14:paraId="421CDA4F" w14:textId="77777777" w:rsidR="00AD1F54" w:rsidRPr="00264D5D" w:rsidRDefault="00941227">
            <w:pPr>
              <w:pStyle w:val="GOSTTablenorm"/>
              <w:rPr>
                <w:szCs w:val="22"/>
              </w:rPr>
            </w:pPr>
            <w:r w:rsidRPr="00264D5D">
              <w:rPr>
                <w:lang w:val="en-US"/>
              </w:rPr>
              <w:t>T</w:t>
            </w:r>
            <w:r w:rsidRPr="00264D5D">
              <w:t>(</w:t>
            </w:r>
            <w:r w:rsidRPr="00264D5D">
              <w:rPr>
                <w:lang w:val="en-US"/>
              </w:rPr>
              <w:t>1-</w:t>
            </w:r>
            <w:r w:rsidRPr="00264D5D">
              <w:t>24)</w:t>
            </w:r>
          </w:p>
        </w:tc>
        <w:tc>
          <w:tcPr>
            <w:tcW w:w="567" w:type="dxa"/>
          </w:tcPr>
          <w:p w14:paraId="67EFD62C" w14:textId="77777777" w:rsidR="00AD1F54" w:rsidRPr="00264D5D" w:rsidRDefault="00941227">
            <w:pPr>
              <w:pStyle w:val="GOSTTablenorm"/>
              <w:jc w:val="center"/>
            </w:pPr>
            <w:r w:rsidRPr="00264D5D">
              <w:t>Н</w:t>
            </w:r>
          </w:p>
        </w:tc>
        <w:tc>
          <w:tcPr>
            <w:tcW w:w="3963" w:type="dxa"/>
          </w:tcPr>
          <w:p w14:paraId="76F84F24" w14:textId="77777777" w:rsidR="00AD1F54" w:rsidRPr="00264D5D" w:rsidRDefault="00941227">
            <w:pPr>
              <w:pStyle w:val="GOSTTablenorm"/>
            </w:pPr>
            <w:r w:rsidRPr="00264D5D">
              <w:t>Указывается код объекта ФАИП в соответствии со справочником «ФАИП» или код КМИ в соответствии со с</w:t>
            </w:r>
            <w:r w:rsidR="005D5F06" w:rsidRPr="00264D5D">
              <w:t>правочником «КМИ» (при наличии)</w:t>
            </w:r>
          </w:p>
        </w:tc>
      </w:tr>
      <w:tr w:rsidR="00AD1F54" w:rsidRPr="00264D5D" w14:paraId="1D85179E"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5666C6D7" w14:textId="77777777" w:rsidR="00AD1F54" w:rsidRPr="00264D5D" w:rsidRDefault="00941227">
            <w:pPr>
              <w:pStyle w:val="GOSTTablenorm"/>
            </w:pPr>
            <w:r w:rsidRPr="00264D5D">
              <w:t>Код объекта ФАИП/КМИ принимающего УБП</w:t>
            </w:r>
          </w:p>
        </w:tc>
        <w:tc>
          <w:tcPr>
            <w:tcW w:w="1701" w:type="dxa"/>
          </w:tcPr>
          <w:p w14:paraId="3FE6F77A" w14:textId="77777777" w:rsidR="00AD1F54" w:rsidRPr="00264D5D" w:rsidRDefault="00941227">
            <w:pPr>
              <w:pStyle w:val="GOSTTablenorm"/>
            </w:pPr>
            <w:r w:rsidRPr="00264D5D">
              <w:t>Data_VC035</w:t>
            </w:r>
          </w:p>
        </w:tc>
        <w:tc>
          <w:tcPr>
            <w:tcW w:w="567" w:type="dxa"/>
          </w:tcPr>
          <w:p w14:paraId="1AB0E734" w14:textId="77777777" w:rsidR="00AD1F54" w:rsidRPr="00264D5D" w:rsidRDefault="00941227">
            <w:pPr>
              <w:pStyle w:val="GOSTTablenorm"/>
              <w:jc w:val="center"/>
            </w:pPr>
            <w:r w:rsidRPr="00264D5D">
              <w:t>П</w:t>
            </w:r>
          </w:p>
        </w:tc>
        <w:tc>
          <w:tcPr>
            <w:tcW w:w="1134" w:type="dxa"/>
          </w:tcPr>
          <w:p w14:paraId="0FA26E3D" w14:textId="77777777" w:rsidR="00AD1F54" w:rsidRPr="00264D5D" w:rsidRDefault="00941227">
            <w:pPr>
              <w:pStyle w:val="GOSTTablenorm"/>
              <w:rPr>
                <w:lang w:val="en-US"/>
              </w:rPr>
            </w:pPr>
            <w:r w:rsidRPr="00264D5D">
              <w:rPr>
                <w:lang w:val="en-US"/>
              </w:rPr>
              <w:t>T</w:t>
            </w:r>
            <w:r w:rsidRPr="00264D5D">
              <w:t>(</w:t>
            </w:r>
            <w:r w:rsidRPr="00264D5D">
              <w:rPr>
                <w:lang w:val="en-US"/>
              </w:rPr>
              <w:t>1-</w:t>
            </w:r>
            <w:r w:rsidRPr="00264D5D">
              <w:t>24)</w:t>
            </w:r>
          </w:p>
        </w:tc>
        <w:tc>
          <w:tcPr>
            <w:tcW w:w="567" w:type="dxa"/>
          </w:tcPr>
          <w:p w14:paraId="656BE46A" w14:textId="77777777" w:rsidR="00AD1F54" w:rsidRPr="00264D5D" w:rsidRDefault="00941227">
            <w:pPr>
              <w:pStyle w:val="GOSTTablenorm"/>
              <w:jc w:val="center"/>
            </w:pPr>
            <w:r w:rsidRPr="00264D5D">
              <w:t>Н</w:t>
            </w:r>
          </w:p>
        </w:tc>
        <w:tc>
          <w:tcPr>
            <w:tcW w:w="3963" w:type="dxa"/>
          </w:tcPr>
          <w:p w14:paraId="77269092" w14:textId="77777777" w:rsidR="00AD1F54" w:rsidRPr="00264D5D" w:rsidRDefault="00941227">
            <w:pPr>
              <w:pStyle w:val="GOSTTablenorm"/>
            </w:pPr>
            <w:r w:rsidRPr="00264D5D">
              <w:t>Указывается код объекта ФАИП в соответствии со справочником «ФАИП» или код КМИ в соответствии со с</w:t>
            </w:r>
            <w:r w:rsidR="005D5F06" w:rsidRPr="00264D5D">
              <w:t>правочником «КМИ» (при наличии)</w:t>
            </w:r>
          </w:p>
        </w:tc>
      </w:tr>
      <w:tr w:rsidR="00AD1F54" w:rsidRPr="00264D5D" w14:paraId="12C5D00B"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5E7D581" w14:textId="77777777" w:rsidR="00AD1F54" w:rsidRPr="00264D5D" w:rsidRDefault="00941227">
            <w:pPr>
              <w:pStyle w:val="GOSTTablenorm"/>
            </w:pPr>
            <w:r w:rsidRPr="00264D5D">
              <w:t>КБК передаваемого УБП</w:t>
            </w:r>
            <w:r w:rsidRPr="00264D5D">
              <w:rPr>
                <w:szCs w:val="22"/>
              </w:rPr>
              <w:t xml:space="preserve"> </w:t>
            </w:r>
          </w:p>
        </w:tc>
        <w:tc>
          <w:tcPr>
            <w:tcW w:w="1701" w:type="dxa"/>
          </w:tcPr>
          <w:p w14:paraId="79F665D0" w14:textId="77777777" w:rsidR="00AD1F54" w:rsidRPr="00264D5D" w:rsidRDefault="00941227">
            <w:pPr>
              <w:pStyle w:val="GOSTTablenorm"/>
            </w:pPr>
            <w:r w:rsidRPr="00264D5D">
              <w:t>Data_VC001</w:t>
            </w:r>
          </w:p>
        </w:tc>
        <w:tc>
          <w:tcPr>
            <w:tcW w:w="567" w:type="dxa"/>
          </w:tcPr>
          <w:p w14:paraId="7CACE65A" w14:textId="77777777" w:rsidR="00AD1F54" w:rsidRPr="00264D5D" w:rsidRDefault="00941227">
            <w:pPr>
              <w:pStyle w:val="GOSTTablenorm"/>
              <w:jc w:val="center"/>
            </w:pPr>
            <w:r w:rsidRPr="00264D5D">
              <w:t>П</w:t>
            </w:r>
          </w:p>
        </w:tc>
        <w:tc>
          <w:tcPr>
            <w:tcW w:w="1134" w:type="dxa"/>
          </w:tcPr>
          <w:p w14:paraId="100E0C66" w14:textId="77777777" w:rsidR="00AD1F54" w:rsidRPr="00264D5D" w:rsidRDefault="00941227">
            <w:pPr>
              <w:pStyle w:val="GOSTTablenorm"/>
              <w:rPr>
                <w:szCs w:val="22"/>
              </w:rPr>
            </w:pPr>
            <w:r w:rsidRPr="00264D5D">
              <w:rPr>
                <w:lang w:val="en-US"/>
              </w:rPr>
              <w:t>T</w:t>
            </w:r>
            <w:r w:rsidRPr="00264D5D">
              <w:t>(20)</w:t>
            </w:r>
          </w:p>
        </w:tc>
        <w:tc>
          <w:tcPr>
            <w:tcW w:w="567" w:type="dxa"/>
          </w:tcPr>
          <w:p w14:paraId="05FE68B8" w14:textId="77777777" w:rsidR="00AD1F54" w:rsidRPr="00264D5D" w:rsidRDefault="00941227">
            <w:pPr>
              <w:pStyle w:val="GOSTTablenorm"/>
              <w:jc w:val="center"/>
            </w:pPr>
            <w:r w:rsidRPr="00264D5D">
              <w:t>O</w:t>
            </w:r>
          </w:p>
        </w:tc>
        <w:tc>
          <w:tcPr>
            <w:tcW w:w="3963" w:type="dxa"/>
          </w:tcPr>
          <w:p w14:paraId="0C040F26" w14:textId="77777777" w:rsidR="00AD1F54" w:rsidRPr="00264D5D" w:rsidRDefault="00941227">
            <w:pPr>
              <w:pStyle w:val="GOSTTablenorm"/>
            </w:pPr>
            <w:r w:rsidRPr="00264D5D">
              <w:t xml:space="preserve">Указываются коды классификации расходов федерального бюджета, в разрезе которых было им учтено </w:t>
            </w:r>
            <w:r w:rsidRPr="00264D5D">
              <w:lastRenderedPageBreak/>
              <w:t>передаваемое бюджетное обязательство</w:t>
            </w:r>
          </w:p>
        </w:tc>
      </w:tr>
      <w:tr w:rsidR="00AD1F54" w:rsidRPr="00264D5D" w14:paraId="4B733FA9"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9CAE20E" w14:textId="77777777" w:rsidR="00AD1F54" w:rsidRPr="00264D5D" w:rsidRDefault="00941227">
            <w:pPr>
              <w:pStyle w:val="GOSTTablenorm"/>
            </w:pPr>
            <w:r w:rsidRPr="00264D5D">
              <w:lastRenderedPageBreak/>
              <w:t>КБК принимаемого УБП</w:t>
            </w:r>
            <w:r w:rsidRPr="00264D5D">
              <w:rPr>
                <w:szCs w:val="22"/>
              </w:rPr>
              <w:t xml:space="preserve"> </w:t>
            </w:r>
          </w:p>
        </w:tc>
        <w:tc>
          <w:tcPr>
            <w:tcW w:w="1701" w:type="dxa"/>
          </w:tcPr>
          <w:p w14:paraId="074F0570" w14:textId="77777777" w:rsidR="00AD1F54" w:rsidRPr="00264D5D" w:rsidRDefault="00941227">
            <w:pPr>
              <w:pStyle w:val="GOSTTablenorm"/>
            </w:pPr>
            <w:r w:rsidRPr="00264D5D">
              <w:t>Data_VC002</w:t>
            </w:r>
          </w:p>
        </w:tc>
        <w:tc>
          <w:tcPr>
            <w:tcW w:w="567" w:type="dxa"/>
          </w:tcPr>
          <w:p w14:paraId="7D903EB3" w14:textId="77777777" w:rsidR="00AD1F54" w:rsidRPr="00264D5D" w:rsidRDefault="00941227">
            <w:pPr>
              <w:pStyle w:val="GOSTTablenorm"/>
              <w:jc w:val="center"/>
            </w:pPr>
            <w:r w:rsidRPr="00264D5D">
              <w:t>П</w:t>
            </w:r>
          </w:p>
        </w:tc>
        <w:tc>
          <w:tcPr>
            <w:tcW w:w="1134" w:type="dxa"/>
          </w:tcPr>
          <w:p w14:paraId="21C24EE4" w14:textId="77777777" w:rsidR="00AD1F54" w:rsidRPr="00264D5D" w:rsidRDefault="00941227">
            <w:pPr>
              <w:pStyle w:val="GOSTTablenorm"/>
              <w:rPr>
                <w:szCs w:val="22"/>
              </w:rPr>
            </w:pPr>
            <w:r w:rsidRPr="00264D5D">
              <w:rPr>
                <w:lang w:val="en-US"/>
              </w:rPr>
              <w:t>T</w:t>
            </w:r>
            <w:r w:rsidRPr="00264D5D">
              <w:t>(20)</w:t>
            </w:r>
          </w:p>
        </w:tc>
        <w:tc>
          <w:tcPr>
            <w:tcW w:w="567" w:type="dxa"/>
          </w:tcPr>
          <w:p w14:paraId="36595007" w14:textId="77777777" w:rsidR="00AD1F54" w:rsidRPr="00264D5D" w:rsidRDefault="00941227">
            <w:pPr>
              <w:pStyle w:val="GOSTTablenorm"/>
              <w:jc w:val="center"/>
            </w:pPr>
            <w:r w:rsidRPr="00264D5D">
              <w:t>O</w:t>
            </w:r>
          </w:p>
        </w:tc>
        <w:tc>
          <w:tcPr>
            <w:tcW w:w="3963" w:type="dxa"/>
          </w:tcPr>
          <w:p w14:paraId="1B5FF629" w14:textId="77777777" w:rsidR="00AD1F54" w:rsidRPr="00264D5D" w:rsidRDefault="00941227">
            <w:pPr>
              <w:pStyle w:val="GOSTTablenorm"/>
            </w:pPr>
            <w:r w:rsidRPr="00264D5D">
              <w:t>Указываются коды классификации расходов федерального бюджета, в разрезе которых принимается бюджетное обязательство</w:t>
            </w:r>
          </w:p>
        </w:tc>
      </w:tr>
      <w:tr w:rsidR="00AD1F54" w:rsidRPr="00264D5D" w14:paraId="5A42B6BD"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F5E1C26" w14:textId="77777777" w:rsidR="00AD1F54" w:rsidRPr="00264D5D" w:rsidRDefault="00941227">
            <w:pPr>
              <w:pStyle w:val="GOSTTablenorm"/>
            </w:pPr>
            <w:r w:rsidRPr="00264D5D">
              <w:t xml:space="preserve">Аналитический код </w:t>
            </w:r>
          </w:p>
        </w:tc>
        <w:tc>
          <w:tcPr>
            <w:tcW w:w="1701" w:type="dxa"/>
          </w:tcPr>
          <w:p w14:paraId="786AAAE7" w14:textId="77777777" w:rsidR="00AD1F54" w:rsidRPr="00264D5D" w:rsidRDefault="00941227">
            <w:pPr>
              <w:pStyle w:val="GOSTTablenorm"/>
            </w:pPr>
            <w:r w:rsidRPr="00264D5D">
              <w:t>Data_VC009</w:t>
            </w:r>
          </w:p>
        </w:tc>
        <w:tc>
          <w:tcPr>
            <w:tcW w:w="567" w:type="dxa"/>
          </w:tcPr>
          <w:p w14:paraId="2F2B5C9A" w14:textId="77777777" w:rsidR="00AD1F54" w:rsidRPr="00264D5D" w:rsidRDefault="00941227">
            <w:pPr>
              <w:pStyle w:val="GOSTTablenorm"/>
              <w:jc w:val="center"/>
            </w:pPr>
            <w:r w:rsidRPr="00264D5D">
              <w:t>П</w:t>
            </w:r>
          </w:p>
        </w:tc>
        <w:tc>
          <w:tcPr>
            <w:tcW w:w="1134" w:type="dxa"/>
          </w:tcPr>
          <w:p w14:paraId="2D8C3D03" w14:textId="77777777" w:rsidR="00AD1F54" w:rsidRPr="00264D5D" w:rsidRDefault="00941227">
            <w:pPr>
              <w:pStyle w:val="GOSTTablenorm"/>
              <w:rPr>
                <w:szCs w:val="22"/>
              </w:rPr>
            </w:pPr>
            <w:r w:rsidRPr="00264D5D">
              <w:rPr>
                <w:lang w:val="en-US"/>
              </w:rPr>
              <w:t>T</w:t>
            </w:r>
            <w:r w:rsidRPr="00264D5D">
              <w:t>(</w:t>
            </w:r>
            <w:r w:rsidRPr="00264D5D">
              <w:rPr>
                <w:lang w:val="en-US"/>
              </w:rPr>
              <w:t>1-</w:t>
            </w:r>
            <w:r w:rsidRPr="00264D5D">
              <w:t>20)</w:t>
            </w:r>
          </w:p>
        </w:tc>
        <w:tc>
          <w:tcPr>
            <w:tcW w:w="567" w:type="dxa"/>
          </w:tcPr>
          <w:p w14:paraId="780D7759" w14:textId="77777777" w:rsidR="00AD1F54" w:rsidRPr="00264D5D" w:rsidRDefault="00941227">
            <w:pPr>
              <w:pStyle w:val="GOSTTablenorm"/>
              <w:jc w:val="center"/>
            </w:pPr>
            <w:r w:rsidRPr="00264D5D">
              <w:t>Н</w:t>
            </w:r>
          </w:p>
        </w:tc>
        <w:tc>
          <w:tcPr>
            <w:tcW w:w="3963" w:type="dxa"/>
          </w:tcPr>
          <w:p w14:paraId="37A89AAD" w14:textId="77777777" w:rsidR="00AD1F54" w:rsidRPr="00264D5D" w:rsidRDefault="00941227">
            <w:pPr>
              <w:pStyle w:val="GOSTTablenorm"/>
              <w:rPr>
                <w:szCs w:val="22"/>
              </w:rPr>
            </w:pPr>
            <w:r w:rsidRPr="00264D5D">
              <w:t>Указывается код цели (аналитический код) передающей стороны</w:t>
            </w:r>
          </w:p>
        </w:tc>
      </w:tr>
      <w:tr w:rsidR="00AD1F54" w:rsidRPr="00264D5D" w14:paraId="476E73FD"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C694CF9" w14:textId="77777777" w:rsidR="00AD1F54" w:rsidRPr="00264D5D" w:rsidRDefault="00941227">
            <w:pPr>
              <w:pStyle w:val="GOSTTablenorm"/>
            </w:pPr>
            <w:r w:rsidRPr="00264D5D">
              <w:t xml:space="preserve">Наименование вида средств </w:t>
            </w:r>
          </w:p>
        </w:tc>
        <w:tc>
          <w:tcPr>
            <w:tcW w:w="1701" w:type="dxa"/>
          </w:tcPr>
          <w:p w14:paraId="7EBABDE7" w14:textId="77777777" w:rsidR="00AD1F54" w:rsidRPr="00264D5D" w:rsidRDefault="00941227">
            <w:pPr>
              <w:pStyle w:val="GOSTTablenorm"/>
            </w:pPr>
            <w:r w:rsidRPr="00264D5D">
              <w:t>Data_VC004</w:t>
            </w:r>
          </w:p>
        </w:tc>
        <w:tc>
          <w:tcPr>
            <w:tcW w:w="567" w:type="dxa"/>
          </w:tcPr>
          <w:p w14:paraId="5D1431C4" w14:textId="77777777" w:rsidR="00AD1F54" w:rsidRPr="00264D5D" w:rsidRDefault="00941227">
            <w:pPr>
              <w:pStyle w:val="GOSTTablenorm"/>
              <w:jc w:val="center"/>
            </w:pPr>
            <w:r w:rsidRPr="00264D5D">
              <w:t>П</w:t>
            </w:r>
          </w:p>
        </w:tc>
        <w:tc>
          <w:tcPr>
            <w:tcW w:w="1134" w:type="dxa"/>
          </w:tcPr>
          <w:p w14:paraId="6AC606F0" w14:textId="77777777" w:rsidR="00AD1F54" w:rsidRPr="00264D5D" w:rsidRDefault="00941227">
            <w:pPr>
              <w:pStyle w:val="GOSTTablenorm"/>
              <w:rPr>
                <w:lang w:val="en-US"/>
              </w:rPr>
            </w:pPr>
            <w:r w:rsidRPr="00264D5D">
              <w:rPr>
                <w:lang w:val="en-US"/>
              </w:rPr>
              <w:t>T</w:t>
            </w:r>
            <w:r w:rsidRPr="00264D5D">
              <w:t>(</w:t>
            </w:r>
            <w:r w:rsidRPr="00264D5D">
              <w:rPr>
                <w:lang w:val="en-US"/>
              </w:rPr>
              <w:t>1-</w:t>
            </w:r>
            <w:r w:rsidRPr="00264D5D">
              <w:t>100)</w:t>
            </w:r>
          </w:p>
        </w:tc>
        <w:tc>
          <w:tcPr>
            <w:tcW w:w="567" w:type="dxa"/>
          </w:tcPr>
          <w:p w14:paraId="4A05241E" w14:textId="77777777" w:rsidR="00AD1F54" w:rsidRPr="00264D5D" w:rsidRDefault="00941227">
            <w:pPr>
              <w:pStyle w:val="GOSTTablenorm"/>
              <w:jc w:val="center"/>
            </w:pPr>
            <w:r w:rsidRPr="00264D5D">
              <w:t>O</w:t>
            </w:r>
          </w:p>
        </w:tc>
        <w:tc>
          <w:tcPr>
            <w:tcW w:w="3963" w:type="dxa"/>
          </w:tcPr>
          <w:p w14:paraId="42476159" w14:textId="77777777" w:rsidR="00AD1F54" w:rsidRPr="00264D5D" w:rsidRDefault="00941227">
            <w:pPr>
              <w:pStyle w:val="GOSTTablenorm"/>
            </w:pPr>
            <w:r w:rsidRPr="00264D5D">
              <w:t>Указывается наименование вида средств, необходимого для исполнения бюджетного о</w:t>
            </w:r>
            <w:r w:rsidR="005D5F06" w:rsidRPr="00264D5D">
              <w:t>бязательства: средства бюджета</w:t>
            </w:r>
          </w:p>
        </w:tc>
      </w:tr>
      <w:tr w:rsidR="00AD1F54" w:rsidRPr="00264D5D" w14:paraId="1D8E7E39"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36496E2" w14:textId="77777777" w:rsidR="00AD1F54" w:rsidRPr="00264D5D" w:rsidRDefault="00941227">
            <w:pPr>
              <w:pStyle w:val="GOSTTablenorm"/>
            </w:pPr>
            <w:r w:rsidRPr="00264D5D">
              <w:rPr>
                <w:szCs w:val="22"/>
              </w:rPr>
              <w:t xml:space="preserve">Сумма: учтено </w:t>
            </w:r>
          </w:p>
        </w:tc>
        <w:tc>
          <w:tcPr>
            <w:tcW w:w="1701" w:type="dxa"/>
          </w:tcPr>
          <w:p w14:paraId="74FD6478" w14:textId="77777777" w:rsidR="00AD1F54" w:rsidRPr="00264D5D" w:rsidRDefault="00941227">
            <w:pPr>
              <w:pStyle w:val="GOSTTablenorm"/>
            </w:pPr>
            <w:r w:rsidRPr="00264D5D">
              <w:t>Data023</w:t>
            </w:r>
          </w:p>
        </w:tc>
        <w:tc>
          <w:tcPr>
            <w:tcW w:w="567" w:type="dxa"/>
          </w:tcPr>
          <w:p w14:paraId="38043FE9" w14:textId="77777777" w:rsidR="00AD1F54" w:rsidRPr="00264D5D" w:rsidRDefault="00941227">
            <w:pPr>
              <w:pStyle w:val="GOSTTablenorm"/>
              <w:jc w:val="center"/>
            </w:pPr>
            <w:r w:rsidRPr="00264D5D">
              <w:t>П</w:t>
            </w:r>
          </w:p>
        </w:tc>
        <w:tc>
          <w:tcPr>
            <w:tcW w:w="1134" w:type="dxa"/>
          </w:tcPr>
          <w:p w14:paraId="1614B247" w14:textId="77777777" w:rsidR="00AD1F54" w:rsidRPr="00264D5D" w:rsidRDefault="00941227">
            <w:pPr>
              <w:pStyle w:val="GOSTTablenorm"/>
            </w:pPr>
            <w:r w:rsidRPr="00264D5D">
              <w:rPr>
                <w:szCs w:val="22"/>
              </w:rPr>
              <w:t>N(20.2)</w:t>
            </w:r>
          </w:p>
        </w:tc>
        <w:tc>
          <w:tcPr>
            <w:tcW w:w="567" w:type="dxa"/>
          </w:tcPr>
          <w:p w14:paraId="3307FF19" w14:textId="77777777" w:rsidR="00AD1F54" w:rsidRPr="00264D5D" w:rsidRDefault="00941227">
            <w:pPr>
              <w:pStyle w:val="GOSTTablenorm"/>
              <w:jc w:val="center"/>
            </w:pPr>
            <w:r w:rsidRPr="00264D5D">
              <w:t>Н</w:t>
            </w:r>
          </w:p>
        </w:tc>
        <w:tc>
          <w:tcPr>
            <w:tcW w:w="3963" w:type="dxa"/>
          </w:tcPr>
          <w:p w14:paraId="54D2297D" w14:textId="77777777" w:rsidR="00AD1F54" w:rsidRPr="00264D5D" w:rsidRDefault="00941227">
            <w:pPr>
              <w:pStyle w:val="GOSTTablenorm"/>
            </w:pPr>
            <w:r w:rsidRPr="00264D5D">
              <w:t>Указывается суммы поставленных на учет бюджетных обязательств текущего финансового года</w:t>
            </w:r>
          </w:p>
        </w:tc>
      </w:tr>
      <w:tr w:rsidR="00AD1F54" w:rsidRPr="00264D5D" w14:paraId="35DA7052"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7E8D1410" w14:textId="77777777" w:rsidR="00AD1F54" w:rsidRPr="00264D5D" w:rsidRDefault="00941227">
            <w:pPr>
              <w:pStyle w:val="GOSTTablenorm"/>
            </w:pPr>
            <w:r w:rsidRPr="00264D5D">
              <w:rPr>
                <w:szCs w:val="22"/>
              </w:rPr>
              <w:t xml:space="preserve">Сумма: исполнено: всего </w:t>
            </w:r>
          </w:p>
        </w:tc>
        <w:tc>
          <w:tcPr>
            <w:tcW w:w="1701" w:type="dxa"/>
          </w:tcPr>
          <w:p w14:paraId="0547B555" w14:textId="77777777" w:rsidR="00AD1F54" w:rsidRPr="00264D5D" w:rsidRDefault="00941227">
            <w:pPr>
              <w:pStyle w:val="GOSTTablenorm"/>
            </w:pPr>
            <w:r w:rsidRPr="00264D5D">
              <w:t>Data024</w:t>
            </w:r>
          </w:p>
        </w:tc>
        <w:tc>
          <w:tcPr>
            <w:tcW w:w="567" w:type="dxa"/>
          </w:tcPr>
          <w:p w14:paraId="2B0439C0" w14:textId="77777777" w:rsidR="00AD1F54" w:rsidRPr="00264D5D" w:rsidRDefault="00941227">
            <w:pPr>
              <w:pStyle w:val="GOSTTablenorm"/>
              <w:jc w:val="center"/>
            </w:pPr>
            <w:r w:rsidRPr="00264D5D">
              <w:t>П</w:t>
            </w:r>
          </w:p>
        </w:tc>
        <w:tc>
          <w:tcPr>
            <w:tcW w:w="1134" w:type="dxa"/>
          </w:tcPr>
          <w:p w14:paraId="5C28333F" w14:textId="77777777" w:rsidR="00AD1F54" w:rsidRPr="00264D5D" w:rsidRDefault="00941227">
            <w:pPr>
              <w:pStyle w:val="GOSTTablenorm"/>
            </w:pPr>
            <w:r w:rsidRPr="00264D5D">
              <w:rPr>
                <w:szCs w:val="22"/>
              </w:rPr>
              <w:t>N(20.2)</w:t>
            </w:r>
          </w:p>
        </w:tc>
        <w:tc>
          <w:tcPr>
            <w:tcW w:w="567" w:type="dxa"/>
          </w:tcPr>
          <w:p w14:paraId="0D42D015" w14:textId="77777777" w:rsidR="00AD1F54" w:rsidRPr="00264D5D" w:rsidRDefault="00941227">
            <w:pPr>
              <w:pStyle w:val="GOSTTablenorm"/>
              <w:jc w:val="center"/>
            </w:pPr>
            <w:r w:rsidRPr="00264D5D">
              <w:t>Н</w:t>
            </w:r>
          </w:p>
        </w:tc>
        <w:tc>
          <w:tcPr>
            <w:tcW w:w="3963" w:type="dxa"/>
          </w:tcPr>
          <w:p w14:paraId="57356116" w14:textId="77777777" w:rsidR="00AD1F54" w:rsidRPr="00264D5D" w:rsidRDefault="00941227">
            <w:pPr>
              <w:pStyle w:val="GOSTTablenorm"/>
            </w:pPr>
            <w:r w:rsidRPr="00264D5D">
              <w:t>Указывается суммы исполненных бюджетных обязательств текущего финансового года</w:t>
            </w:r>
          </w:p>
        </w:tc>
      </w:tr>
      <w:tr w:rsidR="00AD1F54" w:rsidRPr="00264D5D" w14:paraId="77DF9A09"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813BFC6" w14:textId="77777777" w:rsidR="00AD1F54" w:rsidRPr="00264D5D" w:rsidRDefault="00941227">
            <w:pPr>
              <w:pStyle w:val="GOSTTablenorm"/>
            </w:pPr>
            <w:r w:rsidRPr="00264D5D">
              <w:rPr>
                <w:szCs w:val="22"/>
              </w:rPr>
              <w:t xml:space="preserve">Сумма: исполнено: в том числе авансовых платежей </w:t>
            </w:r>
          </w:p>
        </w:tc>
        <w:tc>
          <w:tcPr>
            <w:tcW w:w="1701" w:type="dxa"/>
          </w:tcPr>
          <w:p w14:paraId="48B0DB6E" w14:textId="77777777" w:rsidR="00AD1F54" w:rsidRPr="00264D5D" w:rsidRDefault="00941227">
            <w:pPr>
              <w:pStyle w:val="GOSTTablenorm"/>
            </w:pPr>
            <w:r w:rsidRPr="00264D5D">
              <w:t>Data025</w:t>
            </w:r>
          </w:p>
        </w:tc>
        <w:tc>
          <w:tcPr>
            <w:tcW w:w="567" w:type="dxa"/>
          </w:tcPr>
          <w:p w14:paraId="43DEF642" w14:textId="77777777" w:rsidR="00AD1F54" w:rsidRPr="00264D5D" w:rsidRDefault="00941227">
            <w:pPr>
              <w:pStyle w:val="GOSTTablenorm"/>
              <w:jc w:val="center"/>
            </w:pPr>
            <w:r w:rsidRPr="00264D5D">
              <w:t>П</w:t>
            </w:r>
          </w:p>
        </w:tc>
        <w:tc>
          <w:tcPr>
            <w:tcW w:w="1134" w:type="dxa"/>
          </w:tcPr>
          <w:p w14:paraId="5B9A2003" w14:textId="77777777" w:rsidR="00AD1F54" w:rsidRPr="00264D5D" w:rsidRDefault="00941227">
            <w:pPr>
              <w:pStyle w:val="GOSTTablenorm"/>
            </w:pPr>
            <w:r w:rsidRPr="00264D5D">
              <w:rPr>
                <w:szCs w:val="22"/>
              </w:rPr>
              <w:t>N(20.2)</w:t>
            </w:r>
          </w:p>
        </w:tc>
        <w:tc>
          <w:tcPr>
            <w:tcW w:w="567" w:type="dxa"/>
          </w:tcPr>
          <w:p w14:paraId="42CAEB5B" w14:textId="77777777" w:rsidR="00AD1F54" w:rsidRPr="00264D5D" w:rsidRDefault="00941227">
            <w:pPr>
              <w:pStyle w:val="GOSTTablenorm"/>
              <w:jc w:val="center"/>
            </w:pPr>
            <w:r w:rsidRPr="00264D5D">
              <w:t>Н</w:t>
            </w:r>
          </w:p>
        </w:tc>
        <w:tc>
          <w:tcPr>
            <w:tcW w:w="3963" w:type="dxa"/>
          </w:tcPr>
          <w:p w14:paraId="7DB3DAD8" w14:textId="77777777" w:rsidR="00AD1F54" w:rsidRPr="00264D5D" w:rsidRDefault="00941227">
            <w:pPr>
              <w:pStyle w:val="GOSTTablenorm"/>
            </w:pPr>
            <w:r w:rsidRPr="00264D5D">
              <w:t>Указывается суммы в том числе</w:t>
            </w:r>
            <w:r w:rsidR="005D5F06" w:rsidRPr="00264D5D">
              <w:t xml:space="preserve"> исполненных авансовых платежей</w:t>
            </w:r>
          </w:p>
        </w:tc>
      </w:tr>
      <w:tr w:rsidR="00AD1F54" w:rsidRPr="00264D5D" w14:paraId="7DF9D1CE"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582537FD" w14:textId="77777777" w:rsidR="00AD1F54" w:rsidRPr="00264D5D" w:rsidRDefault="00941227">
            <w:pPr>
              <w:pStyle w:val="GOSTTablenorm"/>
            </w:pPr>
            <w:r w:rsidRPr="00264D5D">
              <w:rPr>
                <w:szCs w:val="22"/>
              </w:rPr>
              <w:t xml:space="preserve">Сумма первый год </w:t>
            </w:r>
          </w:p>
        </w:tc>
        <w:tc>
          <w:tcPr>
            <w:tcW w:w="1701" w:type="dxa"/>
          </w:tcPr>
          <w:p w14:paraId="26E1D455" w14:textId="77777777" w:rsidR="00AD1F54" w:rsidRPr="00264D5D" w:rsidRDefault="00941227">
            <w:pPr>
              <w:pStyle w:val="GOSTTablenorm"/>
            </w:pPr>
            <w:r w:rsidRPr="00264D5D">
              <w:t>Data026</w:t>
            </w:r>
          </w:p>
        </w:tc>
        <w:tc>
          <w:tcPr>
            <w:tcW w:w="567" w:type="dxa"/>
          </w:tcPr>
          <w:p w14:paraId="409B782D" w14:textId="77777777" w:rsidR="00AD1F54" w:rsidRPr="00264D5D" w:rsidRDefault="00941227">
            <w:pPr>
              <w:pStyle w:val="GOSTTablenorm"/>
              <w:jc w:val="center"/>
            </w:pPr>
            <w:r w:rsidRPr="00264D5D">
              <w:t>П</w:t>
            </w:r>
          </w:p>
        </w:tc>
        <w:tc>
          <w:tcPr>
            <w:tcW w:w="1134" w:type="dxa"/>
          </w:tcPr>
          <w:p w14:paraId="275E3223" w14:textId="77777777" w:rsidR="00AD1F54" w:rsidRPr="00264D5D" w:rsidRDefault="00941227">
            <w:pPr>
              <w:pStyle w:val="GOSTTablenorm"/>
            </w:pPr>
            <w:r w:rsidRPr="00264D5D">
              <w:rPr>
                <w:szCs w:val="22"/>
              </w:rPr>
              <w:t>N(20.2)</w:t>
            </w:r>
          </w:p>
        </w:tc>
        <w:tc>
          <w:tcPr>
            <w:tcW w:w="567" w:type="dxa"/>
          </w:tcPr>
          <w:p w14:paraId="63B62FBF" w14:textId="77777777" w:rsidR="00AD1F54" w:rsidRPr="00264D5D" w:rsidRDefault="00941227">
            <w:pPr>
              <w:pStyle w:val="GOSTTablenorm"/>
              <w:jc w:val="center"/>
            </w:pPr>
            <w:r w:rsidRPr="00264D5D">
              <w:t>Н</w:t>
            </w:r>
          </w:p>
        </w:tc>
        <w:tc>
          <w:tcPr>
            <w:tcW w:w="3963" w:type="dxa"/>
          </w:tcPr>
          <w:p w14:paraId="5F5293B8" w14:textId="77777777" w:rsidR="00AD1F54" w:rsidRPr="00264D5D" w:rsidRDefault="00941227">
            <w:pPr>
              <w:pStyle w:val="GOSTTablenorm"/>
            </w:pPr>
            <w:r w:rsidRPr="00264D5D">
              <w:t xml:space="preserve">Указывается сумма </w:t>
            </w:r>
            <w:r w:rsidRPr="00264D5D">
              <w:rPr>
                <w:szCs w:val="22"/>
              </w:rPr>
              <w:t>планового периода в ва</w:t>
            </w:r>
            <w:r w:rsidR="005D5F06" w:rsidRPr="00264D5D">
              <w:rPr>
                <w:szCs w:val="22"/>
              </w:rPr>
              <w:t>люте обязательства: первый год</w:t>
            </w:r>
          </w:p>
        </w:tc>
      </w:tr>
      <w:tr w:rsidR="00AD1F54" w:rsidRPr="00264D5D" w14:paraId="20C3A2D5"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3F2D57A" w14:textId="77777777" w:rsidR="00AD1F54" w:rsidRPr="00264D5D" w:rsidRDefault="00941227">
            <w:pPr>
              <w:pStyle w:val="GOSTTablenorm"/>
            </w:pPr>
            <w:r w:rsidRPr="00264D5D">
              <w:rPr>
                <w:szCs w:val="22"/>
              </w:rPr>
              <w:t xml:space="preserve">Сумма второй год </w:t>
            </w:r>
          </w:p>
        </w:tc>
        <w:tc>
          <w:tcPr>
            <w:tcW w:w="1701" w:type="dxa"/>
          </w:tcPr>
          <w:p w14:paraId="45F49D16" w14:textId="77777777" w:rsidR="00AD1F54" w:rsidRPr="00264D5D" w:rsidRDefault="00941227">
            <w:pPr>
              <w:pStyle w:val="GOSTTablenorm"/>
            </w:pPr>
            <w:r w:rsidRPr="00264D5D">
              <w:t>Data027</w:t>
            </w:r>
          </w:p>
        </w:tc>
        <w:tc>
          <w:tcPr>
            <w:tcW w:w="567" w:type="dxa"/>
          </w:tcPr>
          <w:p w14:paraId="543B20E5" w14:textId="77777777" w:rsidR="00AD1F54" w:rsidRPr="00264D5D" w:rsidRDefault="00941227">
            <w:pPr>
              <w:pStyle w:val="GOSTTablenorm"/>
              <w:jc w:val="center"/>
            </w:pPr>
            <w:r w:rsidRPr="00264D5D">
              <w:t>П</w:t>
            </w:r>
          </w:p>
        </w:tc>
        <w:tc>
          <w:tcPr>
            <w:tcW w:w="1134" w:type="dxa"/>
          </w:tcPr>
          <w:p w14:paraId="7B69CB1A" w14:textId="77777777" w:rsidR="00AD1F54" w:rsidRPr="00264D5D" w:rsidRDefault="00941227">
            <w:pPr>
              <w:pStyle w:val="GOSTTablenorm"/>
            </w:pPr>
            <w:r w:rsidRPr="00264D5D">
              <w:rPr>
                <w:szCs w:val="22"/>
              </w:rPr>
              <w:t>N(20.2)</w:t>
            </w:r>
          </w:p>
        </w:tc>
        <w:tc>
          <w:tcPr>
            <w:tcW w:w="567" w:type="dxa"/>
          </w:tcPr>
          <w:p w14:paraId="24A1A373" w14:textId="77777777" w:rsidR="00AD1F54" w:rsidRPr="00264D5D" w:rsidRDefault="00941227">
            <w:pPr>
              <w:pStyle w:val="GOSTTablenorm"/>
              <w:jc w:val="center"/>
            </w:pPr>
            <w:r w:rsidRPr="00264D5D">
              <w:t>Н</w:t>
            </w:r>
          </w:p>
        </w:tc>
        <w:tc>
          <w:tcPr>
            <w:tcW w:w="3963" w:type="dxa"/>
          </w:tcPr>
          <w:p w14:paraId="6808481E" w14:textId="77777777" w:rsidR="00AD1F54" w:rsidRPr="00264D5D" w:rsidRDefault="00941227">
            <w:pPr>
              <w:pStyle w:val="GOSTTablenorm"/>
            </w:pPr>
            <w:r w:rsidRPr="00264D5D">
              <w:t xml:space="preserve">Указывается сумма </w:t>
            </w:r>
            <w:r w:rsidRPr="00264D5D">
              <w:rPr>
                <w:szCs w:val="22"/>
              </w:rPr>
              <w:t>планового периода в в</w:t>
            </w:r>
            <w:r w:rsidR="005D5F06" w:rsidRPr="00264D5D">
              <w:rPr>
                <w:szCs w:val="22"/>
              </w:rPr>
              <w:t>алюте обязательства: второй год</w:t>
            </w:r>
          </w:p>
        </w:tc>
      </w:tr>
      <w:tr w:rsidR="00AD1F54" w:rsidRPr="00264D5D" w14:paraId="6B1347DD"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C4A897E" w14:textId="77777777" w:rsidR="00AD1F54" w:rsidRPr="00264D5D" w:rsidRDefault="00941227">
            <w:pPr>
              <w:pStyle w:val="GOSTTablenorm"/>
            </w:pPr>
            <w:r w:rsidRPr="00264D5D">
              <w:rPr>
                <w:szCs w:val="22"/>
              </w:rPr>
              <w:t xml:space="preserve">Сумма третий год </w:t>
            </w:r>
          </w:p>
        </w:tc>
        <w:tc>
          <w:tcPr>
            <w:tcW w:w="1701" w:type="dxa"/>
          </w:tcPr>
          <w:p w14:paraId="22895E86" w14:textId="77777777" w:rsidR="00AD1F54" w:rsidRPr="00264D5D" w:rsidRDefault="00941227">
            <w:pPr>
              <w:pStyle w:val="GOSTTablenorm"/>
            </w:pPr>
            <w:r w:rsidRPr="00264D5D">
              <w:t>Data028</w:t>
            </w:r>
          </w:p>
        </w:tc>
        <w:tc>
          <w:tcPr>
            <w:tcW w:w="567" w:type="dxa"/>
          </w:tcPr>
          <w:p w14:paraId="0AFBF38E" w14:textId="77777777" w:rsidR="00AD1F54" w:rsidRPr="00264D5D" w:rsidRDefault="00941227">
            <w:pPr>
              <w:pStyle w:val="GOSTTablenorm"/>
              <w:jc w:val="center"/>
            </w:pPr>
            <w:r w:rsidRPr="00264D5D">
              <w:t>П</w:t>
            </w:r>
          </w:p>
        </w:tc>
        <w:tc>
          <w:tcPr>
            <w:tcW w:w="1134" w:type="dxa"/>
          </w:tcPr>
          <w:p w14:paraId="7EBB3CE3" w14:textId="77777777" w:rsidR="00AD1F54" w:rsidRPr="00264D5D" w:rsidRDefault="00941227">
            <w:pPr>
              <w:pStyle w:val="GOSTTablenorm"/>
            </w:pPr>
            <w:r w:rsidRPr="00264D5D">
              <w:rPr>
                <w:szCs w:val="22"/>
              </w:rPr>
              <w:t>N(20.2)</w:t>
            </w:r>
          </w:p>
        </w:tc>
        <w:tc>
          <w:tcPr>
            <w:tcW w:w="567" w:type="dxa"/>
          </w:tcPr>
          <w:p w14:paraId="701BDA68" w14:textId="77777777" w:rsidR="00AD1F54" w:rsidRPr="00264D5D" w:rsidRDefault="00941227">
            <w:pPr>
              <w:pStyle w:val="GOSTTablenorm"/>
              <w:jc w:val="center"/>
            </w:pPr>
            <w:r w:rsidRPr="00264D5D">
              <w:t>Н</w:t>
            </w:r>
          </w:p>
        </w:tc>
        <w:tc>
          <w:tcPr>
            <w:tcW w:w="3963" w:type="dxa"/>
          </w:tcPr>
          <w:p w14:paraId="7796B10D" w14:textId="77777777" w:rsidR="00AD1F54" w:rsidRPr="00264D5D" w:rsidRDefault="00941227">
            <w:pPr>
              <w:pStyle w:val="GOSTTablenorm"/>
            </w:pPr>
            <w:r w:rsidRPr="00264D5D">
              <w:t xml:space="preserve">Указывается суммы </w:t>
            </w:r>
            <w:r w:rsidRPr="00264D5D">
              <w:rPr>
                <w:szCs w:val="22"/>
              </w:rPr>
              <w:t>период после текущего финансового года в в</w:t>
            </w:r>
            <w:r w:rsidR="005D5F06" w:rsidRPr="00264D5D">
              <w:rPr>
                <w:szCs w:val="22"/>
              </w:rPr>
              <w:t>алюте обязательства: третий год</w:t>
            </w:r>
          </w:p>
        </w:tc>
      </w:tr>
      <w:tr w:rsidR="00AD1F54" w:rsidRPr="00264D5D" w14:paraId="56B72BC2"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5DB8EB22" w14:textId="77777777" w:rsidR="00AD1F54" w:rsidRPr="00264D5D" w:rsidRDefault="00941227">
            <w:pPr>
              <w:pStyle w:val="GOSTTablenorm"/>
            </w:pPr>
            <w:r w:rsidRPr="00264D5D">
              <w:rPr>
                <w:szCs w:val="22"/>
              </w:rPr>
              <w:t xml:space="preserve">Сумма последующие годы </w:t>
            </w:r>
          </w:p>
        </w:tc>
        <w:tc>
          <w:tcPr>
            <w:tcW w:w="1701" w:type="dxa"/>
          </w:tcPr>
          <w:p w14:paraId="1A216F50" w14:textId="77777777" w:rsidR="00AD1F54" w:rsidRPr="00264D5D" w:rsidRDefault="00941227">
            <w:pPr>
              <w:pStyle w:val="GOSTTablenorm"/>
            </w:pPr>
            <w:r w:rsidRPr="00264D5D">
              <w:t>Data029</w:t>
            </w:r>
          </w:p>
        </w:tc>
        <w:tc>
          <w:tcPr>
            <w:tcW w:w="567" w:type="dxa"/>
          </w:tcPr>
          <w:p w14:paraId="0FB8227D" w14:textId="77777777" w:rsidR="00AD1F54" w:rsidRPr="00264D5D" w:rsidRDefault="00941227">
            <w:pPr>
              <w:pStyle w:val="GOSTTablenorm"/>
              <w:jc w:val="center"/>
            </w:pPr>
            <w:r w:rsidRPr="00264D5D">
              <w:t>П</w:t>
            </w:r>
          </w:p>
        </w:tc>
        <w:tc>
          <w:tcPr>
            <w:tcW w:w="1134" w:type="dxa"/>
          </w:tcPr>
          <w:p w14:paraId="260FC165" w14:textId="77777777" w:rsidR="00AD1F54" w:rsidRPr="00264D5D" w:rsidRDefault="00941227">
            <w:pPr>
              <w:pStyle w:val="GOSTTablenorm"/>
            </w:pPr>
            <w:r w:rsidRPr="00264D5D">
              <w:rPr>
                <w:szCs w:val="22"/>
              </w:rPr>
              <w:t>N(20.2)</w:t>
            </w:r>
          </w:p>
        </w:tc>
        <w:tc>
          <w:tcPr>
            <w:tcW w:w="567" w:type="dxa"/>
          </w:tcPr>
          <w:p w14:paraId="457B0B12" w14:textId="77777777" w:rsidR="00AD1F54" w:rsidRPr="00264D5D" w:rsidRDefault="00941227">
            <w:pPr>
              <w:pStyle w:val="GOSTTablenorm"/>
              <w:jc w:val="center"/>
            </w:pPr>
            <w:r w:rsidRPr="00264D5D">
              <w:t>Н</w:t>
            </w:r>
          </w:p>
        </w:tc>
        <w:tc>
          <w:tcPr>
            <w:tcW w:w="3963" w:type="dxa"/>
          </w:tcPr>
          <w:p w14:paraId="1C64810A" w14:textId="77777777" w:rsidR="00AD1F54" w:rsidRPr="00264D5D" w:rsidRDefault="00941227">
            <w:pPr>
              <w:pStyle w:val="GOSTTablenorm"/>
            </w:pPr>
            <w:r w:rsidRPr="00264D5D">
              <w:t xml:space="preserve">Указывается суммы </w:t>
            </w:r>
            <w:r w:rsidRPr="00264D5D">
              <w:rPr>
                <w:szCs w:val="22"/>
              </w:rPr>
              <w:t xml:space="preserve">период после текущего финансового года в валюте </w:t>
            </w:r>
            <w:r w:rsidR="005D5F06" w:rsidRPr="00264D5D">
              <w:rPr>
                <w:szCs w:val="22"/>
              </w:rPr>
              <w:t>обязательства: последующие годы</w:t>
            </w:r>
          </w:p>
        </w:tc>
      </w:tr>
      <w:tr w:rsidR="00AD1F54" w:rsidRPr="00264D5D" w14:paraId="46726C6D"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C16841F" w14:textId="77777777" w:rsidR="00AD1F54" w:rsidRPr="00264D5D" w:rsidRDefault="00941227">
            <w:pPr>
              <w:pStyle w:val="GOSTTablenorm"/>
            </w:pPr>
            <w:r w:rsidRPr="00264D5D">
              <w:t xml:space="preserve">Примечание </w:t>
            </w:r>
          </w:p>
        </w:tc>
        <w:tc>
          <w:tcPr>
            <w:tcW w:w="1701" w:type="dxa"/>
          </w:tcPr>
          <w:p w14:paraId="16D78084" w14:textId="77777777" w:rsidR="00AD1F54" w:rsidRPr="00264D5D" w:rsidRDefault="00941227">
            <w:pPr>
              <w:pStyle w:val="GOSTTablenorm"/>
            </w:pPr>
            <w:r w:rsidRPr="00264D5D">
              <w:t>Data_VC007</w:t>
            </w:r>
          </w:p>
        </w:tc>
        <w:tc>
          <w:tcPr>
            <w:tcW w:w="567" w:type="dxa"/>
          </w:tcPr>
          <w:p w14:paraId="646A06F7" w14:textId="77777777" w:rsidR="00AD1F54" w:rsidRPr="00264D5D" w:rsidRDefault="00941227">
            <w:pPr>
              <w:pStyle w:val="GOSTTablenorm"/>
              <w:jc w:val="center"/>
            </w:pPr>
            <w:r w:rsidRPr="00264D5D">
              <w:t>П</w:t>
            </w:r>
          </w:p>
        </w:tc>
        <w:tc>
          <w:tcPr>
            <w:tcW w:w="1134" w:type="dxa"/>
          </w:tcPr>
          <w:p w14:paraId="529A28B7" w14:textId="77777777" w:rsidR="00AD1F54" w:rsidRPr="00264D5D" w:rsidRDefault="00941227">
            <w:pPr>
              <w:pStyle w:val="GOSTTablenorm"/>
              <w:rPr>
                <w:szCs w:val="22"/>
              </w:rPr>
            </w:pPr>
            <w:r w:rsidRPr="00264D5D">
              <w:rPr>
                <w:lang w:val="en-US"/>
              </w:rPr>
              <w:t>T</w:t>
            </w:r>
            <w:r w:rsidRPr="00264D5D">
              <w:t>(</w:t>
            </w:r>
            <w:r w:rsidRPr="00264D5D">
              <w:rPr>
                <w:lang w:val="en-US"/>
              </w:rPr>
              <w:t>1-</w:t>
            </w:r>
            <w:r w:rsidRPr="00264D5D">
              <w:t>100)</w:t>
            </w:r>
          </w:p>
        </w:tc>
        <w:tc>
          <w:tcPr>
            <w:tcW w:w="567" w:type="dxa"/>
          </w:tcPr>
          <w:p w14:paraId="7F18DF66" w14:textId="77777777" w:rsidR="00AD1F54" w:rsidRPr="00264D5D" w:rsidRDefault="00941227">
            <w:pPr>
              <w:pStyle w:val="GOSTTablenorm"/>
              <w:jc w:val="center"/>
            </w:pPr>
            <w:r w:rsidRPr="00264D5D">
              <w:t>O</w:t>
            </w:r>
          </w:p>
        </w:tc>
        <w:tc>
          <w:tcPr>
            <w:tcW w:w="3963" w:type="dxa"/>
          </w:tcPr>
          <w:p w14:paraId="783F53F9" w14:textId="77777777" w:rsidR="00AD1F54" w:rsidRPr="00264D5D" w:rsidRDefault="00941227">
            <w:pPr>
              <w:pStyle w:val="GOSTTablenorm"/>
              <w:rPr>
                <w:szCs w:val="22"/>
              </w:rPr>
            </w:pPr>
            <w:r w:rsidRPr="00264D5D">
              <w:t>Указывается примечание.</w:t>
            </w:r>
          </w:p>
          <w:p w14:paraId="3085647B" w14:textId="77777777" w:rsidR="00AD1F54" w:rsidRPr="00264D5D" w:rsidRDefault="00941227">
            <w:pPr>
              <w:pStyle w:val="GOSTTablenorm"/>
            </w:pPr>
            <w:r w:rsidRPr="00264D5D">
              <w:t>Если не заполнен реквизит «Учетный номер обязательства», то обязательно к заполнению значением «Закупка» или «Прочее» для разделения АвтоБО с типом «Закупки» и типом «Прочие»:</w:t>
            </w:r>
          </w:p>
          <w:p w14:paraId="086C8141" w14:textId="77777777" w:rsidR="00AD1F54" w:rsidRPr="00264D5D" w:rsidRDefault="00941227" w:rsidP="00E7460C">
            <w:pPr>
              <w:pStyle w:val="GOSTTablenorm"/>
              <w:numPr>
                <w:ilvl w:val="0"/>
                <w:numId w:val="76"/>
              </w:numPr>
              <w:ind w:left="57"/>
            </w:pPr>
            <w:r w:rsidRPr="00264D5D">
              <w:t xml:space="preserve"> на сумму переносимого АвтоБО с типом «1</w:t>
            </w:r>
            <w:r w:rsidR="005D5F06" w:rsidRPr="00264D5D">
              <w:t xml:space="preserve"> </w:t>
            </w:r>
            <w:r w:rsidR="005D5F06" w:rsidRPr="00264D5D">
              <w:rPr>
                <w:szCs w:val="22"/>
              </w:rPr>
              <w:t xml:space="preserve">– </w:t>
            </w:r>
            <w:r w:rsidRPr="00264D5D">
              <w:t>закупка» то в примечании указывается значение «Закупка»;</w:t>
            </w:r>
          </w:p>
          <w:p w14:paraId="45A7416D" w14:textId="77777777" w:rsidR="00AD1F54" w:rsidRPr="00264D5D" w:rsidRDefault="00941227" w:rsidP="00E7460C">
            <w:pPr>
              <w:pStyle w:val="GOSTTablenorm"/>
              <w:numPr>
                <w:ilvl w:val="0"/>
                <w:numId w:val="76"/>
              </w:numPr>
              <w:ind w:left="57"/>
            </w:pPr>
            <w:r w:rsidRPr="00264D5D">
              <w:lastRenderedPageBreak/>
              <w:t xml:space="preserve"> на сумму переносимого АвтоБО с типом «2</w:t>
            </w:r>
            <w:r w:rsidR="005D5F06" w:rsidRPr="00264D5D">
              <w:t xml:space="preserve"> </w:t>
            </w:r>
            <w:r w:rsidR="005D5F06" w:rsidRPr="00264D5D">
              <w:rPr>
                <w:szCs w:val="22"/>
              </w:rPr>
              <w:t xml:space="preserve">– </w:t>
            </w:r>
            <w:r w:rsidRPr="00264D5D">
              <w:t>прочее» в примечании указывается значение «Прочее».</w:t>
            </w:r>
          </w:p>
          <w:p w14:paraId="3C85CFE2" w14:textId="77777777" w:rsidR="00AD1F54" w:rsidRPr="00264D5D" w:rsidRDefault="00941227">
            <w:pPr>
              <w:pStyle w:val="GOSTTablenorm"/>
            </w:pPr>
            <w:r w:rsidRPr="00264D5D">
              <w:t>Реквизит «Учетный номер обязательства» заполнен:</w:t>
            </w:r>
          </w:p>
          <w:p w14:paraId="7484F068" w14:textId="77777777" w:rsidR="00AD1F54" w:rsidRPr="00264D5D" w:rsidRDefault="00941227">
            <w:pPr>
              <w:pStyle w:val="GOSTTablenorm"/>
            </w:pPr>
            <w:r w:rsidRPr="00264D5D">
              <w:t>Примечание требуется заполнять для всех строк следующим образом:</w:t>
            </w:r>
          </w:p>
          <w:p w14:paraId="2B07C7C9" w14:textId="77777777" w:rsidR="00AD1F54" w:rsidRPr="00264D5D" w:rsidRDefault="00941227" w:rsidP="00E7460C">
            <w:pPr>
              <w:pStyle w:val="GOSTTablenorm"/>
              <w:numPr>
                <w:ilvl w:val="0"/>
                <w:numId w:val="113"/>
              </w:numPr>
              <w:ind w:left="284" w:hanging="227"/>
            </w:pPr>
            <w:r w:rsidRPr="00264D5D">
              <w:t xml:space="preserve"> </w:t>
            </w:r>
            <w:r w:rsidRPr="00264D5D">
              <w:rPr>
                <w:szCs w:val="22"/>
              </w:rPr>
              <w:t>если</w:t>
            </w:r>
            <w:r w:rsidRPr="00264D5D">
              <w:t xml:space="preserve"> тип БО «2</w:t>
            </w:r>
            <w:r w:rsidR="005D5F06" w:rsidRPr="00264D5D">
              <w:t xml:space="preserve"> </w:t>
            </w:r>
            <w:r w:rsidR="005D5F06" w:rsidRPr="00264D5D">
              <w:rPr>
                <w:szCs w:val="22"/>
              </w:rPr>
              <w:t xml:space="preserve">– </w:t>
            </w:r>
            <w:r w:rsidRPr="00264D5D">
              <w:t>прочее», то примечание не заполняется;</w:t>
            </w:r>
          </w:p>
          <w:p w14:paraId="64882330" w14:textId="77777777" w:rsidR="00AD1F54" w:rsidRPr="00264D5D" w:rsidRDefault="00941227" w:rsidP="00E7460C">
            <w:pPr>
              <w:pStyle w:val="GOSTTablenorm"/>
              <w:numPr>
                <w:ilvl w:val="0"/>
                <w:numId w:val="113"/>
              </w:numPr>
              <w:ind w:left="284" w:hanging="227"/>
            </w:pPr>
            <w:r w:rsidRPr="00264D5D">
              <w:t xml:space="preserve"> </w:t>
            </w:r>
            <w:r w:rsidRPr="00264D5D">
              <w:rPr>
                <w:szCs w:val="22"/>
              </w:rPr>
              <w:t>если</w:t>
            </w:r>
            <w:r w:rsidRPr="00264D5D">
              <w:t xml:space="preserve"> тип БО «1</w:t>
            </w:r>
            <w:r w:rsidR="005D5F06" w:rsidRPr="00264D5D">
              <w:t xml:space="preserve"> </w:t>
            </w:r>
            <w:r w:rsidR="005D5F06" w:rsidRPr="00264D5D">
              <w:rPr>
                <w:szCs w:val="22"/>
              </w:rPr>
              <w:t xml:space="preserve">– </w:t>
            </w:r>
            <w:r w:rsidRPr="00264D5D">
              <w:t>закупка» и вид документа-основания «извещение об осуществлении закупки» или «приглашение принять участие в определении поставщика (подрядчика, исполнителя)», то в примечание указывается значение «Принимаемое»;</w:t>
            </w:r>
          </w:p>
          <w:p w14:paraId="55BAD8FB" w14:textId="77777777" w:rsidR="00AD1F54" w:rsidRPr="00264D5D" w:rsidRDefault="00941227" w:rsidP="00E7460C">
            <w:pPr>
              <w:pStyle w:val="GOSTTablenorm"/>
              <w:numPr>
                <w:ilvl w:val="0"/>
                <w:numId w:val="113"/>
              </w:numPr>
              <w:ind w:left="284" w:hanging="227"/>
            </w:pPr>
            <w:r w:rsidRPr="00264D5D">
              <w:t xml:space="preserve"> </w:t>
            </w:r>
            <w:r w:rsidRPr="00264D5D">
              <w:rPr>
                <w:szCs w:val="22"/>
              </w:rPr>
              <w:t>если</w:t>
            </w:r>
            <w:r w:rsidRPr="00264D5D">
              <w:t xml:space="preserve"> тип БО «1</w:t>
            </w:r>
            <w:r w:rsidR="005D5F06" w:rsidRPr="00264D5D">
              <w:t xml:space="preserve"> </w:t>
            </w:r>
            <w:r w:rsidR="005D5F06" w:rsidRPr="00264D5D">
              <w:rPr>
                <w:szCs w:val="22"/>
              </w:rPr>
              <w:t xml:space="preserve">– </w:t>
            </w:r>
            <w:r w:rsidRPr="00264D5D">
              <w:t>закупка» и вид документа-основания передаваемого БО = «контракт», а вид документа-основания в Сведениях о БО с номером изменения = 0 «извещение об осуществлении закупки» или «приглашение принять участие в определении поставщика (подрядчика, исполнителя)», то в примечании указывается значение «Принятое»;</w:t>
            </w:r>
          </w:p>
          <w:p w14:paraId="7C22E847" w14:textId="77777777" w:rsidR="00AD1F54" w:rsidRPr="00264D5D" w:rsidRDefault="00941227" w:rsidP="00E7460C">
            <w:pPr>
              <w:pStyle w:val="GOSTTablenorm"/>
              <w:numPr>
                <w:ilvl w:val="0"/>
                <w:numId w:val="113"/>
              </w:numPr>
              <w:ind w:left="284" w:hanging="227"/>
            </w:pPr>
            <w:r w:rsidRPr="00264D5D">
              <w:t xml:space="preserve"> </w:t>
            </w:r>
            <w:r w:rsidRPr="00264D5D">
              <w:rPr>
                <w:szCs w:val="22"/>
              </w:rPr>
              <w:t>если</w:t>
            </w:r>
            <w:r w:rsidRPr="00264D5D">
              <w:t xml:space="preserve"> тип БО «1</w:t>
            </w:r>
            <w:r w:rsidR="005D5F06" w:rsidRPr="00264D5D">
              <w:t xml:space="preserve"> </w:t>
            </w:r>
            <w:r w:rsidR="005D5F06" w:rsidRPr="00264D5D">
              <w:rPr>
                <w:szCs w:val="22"/>
              </w:rPr>
              <w:t xml:space="preserve">– </w:t>
            </w:r>
            <w:r w:rsidRPr="00264D5D">
              <w:t>закупка», а вид документа-основания в Сведениях о БО с номером изменения = 0 НЕ «извещение об осуществлении закупки» или «приглашение принять участие в определении поставщика (подрядчика, исполнителя)», то в примечании указывается значение «Закупка».</w:t>
            </w:r>
          </w:p>
          <w:p w14:paraId="6235D67D" w14:textId="77777777" w:rsidR="00AD1F54" w:rsidRPr="00264D5D" w:rsidRDefault="00941227">
            <w:pPr>
              <w:pStyle w:val="GOSTTablenorm"/>
            </w:pPr>
            <w:r w:rsidRPr="00264D5D">
              <w:t>Обязательно к заполнению значением кода валюты в отдельных квадратных скобках в случае отсутстви</w:t>
            </w:r>
            <w:r w:rsidR="005D5F06" w:rsidRPr="00264D5D">
              <w:t>я учетного номера обязательства</w:t>
            </w:r>
          </w:p>
        </w:tc>
      </w:tr>
      <w:tr w:rsidR="00AD1F54" w:rsidRPr="00264D5D" w14:paraId="3BDB21B6"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2EB66478" w14:textId="77777777" w:rsidR="00AD1F54" w:rsidRPr="00264D5D" w:rsidRDefault="00941227">
            <w:pPr>
              <w:pStyle w:val="GOSTTablenorm"/>
            </w:pPr>
            <w:r w:rsidRPr="00264D5D">
              <w:rPr>
                <w:b/>
              </w:rPr>
              <w:lastRenderedPageBreak/>
              <w:t xml:space="preserve">Раздел 3.2. Передаваемые бюджетные обязательства </w:t>
            </w:r>
            <w:r w:rsidRPr="00264D5D">
              <w:rPr>
                <w:b/>
              </w:rPr>
              <w:lastRenderedPageBreak/>
              <w:t>(Итоговые строки)</w:t>
            </w:r>
          </w:p>
        </w:tc>
        <w:tc>
          <w:tcPr>
            <w:tcW w:w="1701" w:type="dxa"/>
          </w:tcPr>
          <w:p w14:paraId="26392563" w14:textId="77777777" w:rsidR="00AD1F54" w:rsidRPr="00264D5D" w:rsidRDefault="00941227">
            <w:pPr>
              <w:pStyle w:val="GOSTTablenorm"/>
            </w:pPr>
            <w:r w:rsidRPr="00264D5D">
              <w:rPr>
                <w:b/>
                <w:szCs w:val="22"/>
              </w:rPr>
              <w:lastRenderedPageBreak/>
              <w:t>Line</w:t>
            </w:r>
          </w:p>
        </w:tc>
        <w:tc>
          <w:tcPr>
            <w:tcW w:w="567" w:type="dxa"/>
          </w:tcPr>
          <w:p w14:paraId="795C1FFA" w14:textId="77777777" w:rsidR="00AD1F54" w:rsidRPr="00264D5D" w:rsidRDefault="00941227">
            <w:pPr>
              <w:pStyle w:val="GOSTTablenorm"/>
              <w:jc w:val="center"/>
            </w:pPr>
            <w:r w:rsidRPr="00264D5D">
              <w:rPr>
                <w:b/>
                <w:szCs w:val="22"/>
              </w:rPr>
              <w:t>-</w:t>
            </w:r>
          </w:p>
        </w:tc>
        <w:tc>
          <w:tcPr>
            <w:tcW w:w="1134" w:type="dxa"/>
          </w:tcPr>
          <w:p w14:paraId="5E43B1EE" w14:textId="77777777" w:rsidR="00AD1F54" w:rsidRPr="00264D5D" w:rsidRDefault="00941227">
            <w:pPr>
              <w:pStyle w:val="GOSTTablenorm"/>
              <w:rPr>
                <w:lang w:val="en-US"/>
              </w:rPr>
            </w:pPr>
            <w:r w:rsidRPr="00264D5D">
              <w:rPr>
                <w:b/>
                <w:szCs w:val="22"/>
              </w:rPr>
              <w:t>-</w:t>
            </w:r>
          </w:p>
        </w:tc>
        <w:tc>
          <w:tcPr>
            <w:tcW w:w="567" w:type="dxa"/>
          </w:tcPr>
          <w:p w14:paraId="660DD7E4" w14:textId="77777777" w:rsidR="00AD1F54" w:rsidRPr="00264D5D" w:rsidRDefault="00941227">
            <w:pPr>
              <w:pStyle w:val="GOSTTablenorm"/>
              <w:jc w:val="center"/>
            </w:pPr>
            <w:r w:rsidRPr="00264D5D">
              <w:rPr>
                <w:b/>
                <w:szCs w:val="22"/>
              </w:rPr>
              <w:t>НМ</w:t>
            </w:r>
          </w:p>
        </w:tc>
        <w:tc>
          <w:tcPr>
            <w:tcW w:w="3963" w:type="dxa"/>
          </w:tcPr>
          <w:p w14:paraId="3C203D44" w14:textId="77777777" w:rsidR="00AD1F54" w:rsidRPr="00264D5D" w:rsidRDefault="00941227">
            <w:pPr>
              <w:pStyle w:val="GOSTTablenorm"/>
            </w:pPr>
            <w:r w:rsidRPr="00264D5D">
              <w:rPr>
                <w:b/>
                <w:szCs w:val="22"/>
              </w:rPr>
              <w:t>-</w:t>
            </w:r>
          </w:p>
        </w:tc>
      </w:tr>
      <w:tr w:rsidR="00AD1F54" w:rsidRPr="00264D5D" w14:paraId="0AA1EE67"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0A90BF2" w14:textId="77777777" w:rsidR="00AD1F54" w:rsidRPr="00264D5D" w:rsidRDefault="00941227">
            <w:pPr>
              <w:pStyle w:val="GOSTTablenorm"/>
            </w:pPr>
            <w:r w:rsidRPr="00264D5D">
              <w:lastRenderedPageBreak/>
              <w:t>Номер секции формы</w:t>
            </w:r>
          </w:p>
          <w:p w14:paraId="503C3208" w14:textId="77777777" w:rsidR="00AD1F54" w:rsidRPr="00264D5D" w:rsidRDefault="00AD1F54">
            <w:pPr>
              <w:pStyle w:val="GOSTTablenorm"/>
            </w:pPr>
          </w:p>
        </w:tc>
        <w:tc>
          <w:tcPr>
            <w:tcW w:w="1701" w:type="dxa"/>
          </w:tcPr>
          <w:p w14:paraId="3058450F" w14:textId="77777777" w:rsidR="00AD1F54" w:rsidRPr="00264D5D" w:rsidRDefault="00941227">
            <w:pPr>
              <w:pStyle w:val="GOSTTablenorm"/>
            </w:pPr>
            <w:r w:rsidRPr="00264D5D">
              <w:t>SectionNumber</w:t>
            </w:r>
          </w:p>
        </w:tc>
        <w:tc>
          <w:tcPr>
            <w:tcW w:w="567" w:type="dxa"/>
          </w:tcPr>
          <w:p w14:paraId="455E165B" w14:textId="77777777" w:rsidR="00AD1F54" w:rsidRPr="00264D5D" w:rsidRDefault="00941227">
            <w:pPr>
              <w:pStyle w:val="GOSTTablenorm"/>
              <w:jc w:val="center"/>
            </w:pPr>
            <w:r w:rsidRPr="00264D5D">
              <w:t>П</w:t>
            </w:r>
          </w:p>
        </w:tc>
        <w:tc>
          <w:tcPr>
            <w:tcW w:w="1134" w:type="dxa"/>
          </w:tcPr>
          <w:p w14:paraId="458C8CF5" w14:textId="77777777" w:rsidR="00AD1F54" w:rsidRPr="00264D5D" w:rsidRDefault="00941227">
            <w:pPr>
              <w:pStyle w:val="GOSTTablenorm"/>
              <w:rPr>
                <w:lang w:val="en-US"/>
              </w:rPr>
            </w:pPr>
            <w:r w:rsidRPr="00264D5D">
              <w:rPr>
                <w:lang w:val="en-US"/>
              </w:rPr>
              <w:t>T</w:t>
            </w:r>
            <w:r w:rsidRPr="00264D5D">
              <w:t>(</w:t>
            </w:r>
            <w:r w:rsidRPr="00264D5D">
              <w:rPr>
                <w:lang w:val="en-US"/>
              </w:rPr>
              <w:t>1-</w:t>
            </w:r>
            <w:r w:rsidRPr="00264D5D">
              <w:t>240)</w:t>
            </w:r>
          </w:p>
        </w:tc>
        <w:tc>
          <w:tcPr>
            <w:tcW w:w="567" w:type="dxa"/>
          </w:tcPr>
          <w:p w14:paraId="3C085C0F" w14:textId="77777777" w:rsidR="00AD1F54" w:rsidRPr="00264D5D" w:rsidRDefault="00941227">
            <w:pPr>
              <w:pStyle w:val="GOSTTablenorm"/>
              <w:jc w:val="center"/>
            </w:pPr>
            <w:r w:rsidRPr="00264D5D">
              <w:t>O</w:t>
            </w:r>
          </w:p>
        </w:tc>
        <w:tc>
          <w:tcPr>
            <w:tcW w:w="3963" w:type="dxa"/>
          </w:tcPr>
          <w:p w14:paraId="27C0891D" w14:textId="77777777" w:rsidR="00AD1F54" w:rsidRPr="00264D5D" w:rsidRDefault="00941227">
            <w:pPr>
              <w:pStyle w:val="GOSTTablenorm"/>
              <w:rPr>
                <w:szCs w:val="22"/>
              </w:rPr>
            </w:pPr>
            <w:r w:rsidRPr="00264D5D">
              <w:rPr>
                <w:szCs w:val="22"/>
              </w:rPr>
              <w:t>Указывается номер секции/раздела:</w:t>
            </w:r>
          </w:p>
          <w:p w14:paraId="2058D2F6" w14:textId="77777777" w:rsidR="00AD1F54" w:rsidRPr="00264D5D" w:rsidRDefault="00941227" w:rsidP="00E7460C">
            <w:pPr>
              <w:pStyle w:val="GOSTTablenorm"/>
              <w:numPr>
                <w:ilvl w:val="0"/>
                <w:numId w:val="113"/>
              </w:numPr>
              <w:ind w:left="284" w:hanging="227"/>
            </w:pPr>
            <w:r w:rsidRPr="00264D5D">
              <w:rPr>
                <w:szCs w:val="22"/>
              </w:rPr>
              <w:t>5 – для раздела «3. Бюджетные обязательства 3.2. Передаваемые бюджетные обязательства»</w:t>
            </w:r>
          </w:p>
        </w:tc>
      </w:tr>
      <w:tr w:rsidR="00AD1F54" w:rsidRPr="00264D5D" w14:paraId="7A17CA69"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0143A064" w14:textId="77777777" w:rsidR="00AD1F54" w:rsidRPr="00264D5D" w:rsidRDefault="00941227">
            <w:pPr>
              <w:pStyle w:val="GOSTTablenorm"/>
            </w:pPr>
            <w:r w:rsidRPr="00264D5D">
              <w:t>Признак детализации строки</w:t>
            </w:r>
          </w:p>
        </w:tc>
        <w:tc>
          <w:tcPr>
            <w:tcW w:w="1701" w:type="dxa"/>
          </w:tcPr>
          <w:p w14:paraId="1A6CCDEF" w14:textId="77777777" w:rsidR="00AD1F54" w:rsidRPr="00264D5D" w:rsidRDefault="00941227">
            <w:pPr>
              <w:pStyle w:val="GOSTTablenorm"/>
            </w:pPr>
            <w:r w:rsidRPr="00264D5D">
              <w:t>SummaryFlag</w:t>
            </w:r>
          </w:p>
        </w:tc>
        <w:tc>
          <w:tcPr>
            <w:tcW w:w="567" w:type="dxa"/>
          </w:tcPr>
          <w:p w14:paraId="5B2506BE" w14:textId="77777777" w:rsidR="00AD1F54" w:rsidRPr="00264D5D" w:rsidRDefault="00941227">
            <w:pPr>
              <w:pStyle w:val="GOSTTablenorm"/>
              <w:jc w:val="center"/>
            </w:pPr>
            <w:r w:rsidRPr="00264D5D">
              <w:t>П</w:t>
            </w:r>
          </w:p>
        </w:tc>
        <w:tc>
          <w:tcPr>
            <w:tcW w:w="1134" w:type="dxa"/>
          </w:tcPr>
          <w:p w14:paraId="36807FDA" w14:textId="77777777" w:rsidR="00AD1F54" w:rsidRPr="00264D5D" w:rsidRDefault="00941227">
            <w:pPr>
              <w:pStyle w:val="GOSTTablenorm"/>
              <w:rPr>
                <w:lang w:val="en-US"/>
              </w:rPr>
            </w:pPr>
            <w:r w:rsidRPr="00264D5D">
              <w:t>Т(1)</w:t>
            </w:r>
          </w:p>
        </w:tc>
        <w:tc>
          <w:tcPr>
            <w:tcW w:w="567" w:type="dxa"/>
          </w:tcPr>
          <w:p w14:paraId="7AB5A1AA" w14:textId="77777777" w:rsidR="00AD1F54" w:rsidRPr="00264D5D" w:rsidRDefault="00941227">
            <w:pPr>
              <w:pStyle w:val="GOSTTablenorm"/>
              <w:jc w:val="center"/>
            </w:pPr>
            <w:r w:rsidRPr="00264D5D">
              <w:t>О</w:t>
            </w:r>
          </w:p>
        </w:tc>
        <w:tc>
          <w:tcPr>
            <w:tcW w:w="3963" w:type="dxa"/>
          </w:tcPr>
          <w:p w14:paraId="2507DDF0" w14:textId="77777777" w:rsidR="00AD1F54" w:rsidRPr="00264D5D" w:rsidRDefault="00941227">
            <w:pPr>
              <w:pStyle w:val="GOSTTablenorm"/>
            </w:pPr>
            <w:r w:rsidRPr="00264D5D">
              <w:t>Признак детализации строки.</w:t>
            </w:r>
          </w:p>
          <w:p w14:paraId="39D9F84F" w14:textId="77777777" w:rsidR="00AD1F54" w:rsidRPr="00264D5D" w:rsidRDefault="00941227">
            <w:pPr>
              <w:pStyle w:val="GOSTTablenorm"/>
            </w:pPr>
            <w:r w:rsidRPr="00264D5D">
              <w:t>Для итоговой строки значение = «</w:t>
            </w:r>
            <w:r w:rsidRPr="00264D5D">
              <w:rPr>
                <w:lang w:val="en-US"/>
              </w:rPr>
              <w:t>Y</w:t>
            </w:r>
            <w:r w:rsidR="005D5F06" w:rsidRPr="00264D5D">
              <w:t>»</w:t>
            </w:r>
          </w:p>
        </w:tc>
      </w:tr>
      <w:tr w:rsidR="00AD1F54" w:rsidRPr="00264D5D" w14:paraId="37553414"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7DBD0491" w14:textId="77777777" w:rsidR="00AD1F54" w:rsidRPr="00264D5D" w:rsidRDefault="00941227">
            <w:pPr>
              <w:pStyle w:val="GOSTTablenorm"/>
            </w:pPr>
            <w:r w:rsidRPr="00264D5D">
              <w:rPr>
                <w:szCs w:val="22"/>
              </w:rPr>
              <w:t xml:space="preserve">Сумма: учтено </w:t>
            </w:r>
          </w:p>
        </w:tc>
        <w:tc>
          <w:tcPr>
            <w:tcW w:w="1701" w:type="dxa"/>
          </w:tcPr>
          <w:p w14:paraId="57653A91" w14:textId="77777777" w:rsidR="00AD1F54" w:rsidRPr="00264D5D" w:rsidRDefault="00941227">
            <w:pPr>
              <w:pStyle w:val="GOSTTablenorm"/>
            </w:pPr>
            <w:r w:rsidRPr="00264D5D">
              <w:t>Data023</w:t>
            </w:r>
          </w:p>
        </w:tc>
        <w:tc>
          <w:tcPr>
            <w:tcW w:w="567" w:type="dxa"/>
          </w:tcPr>
          <w:p w14:paraId="6184AB4F" w14:textId="77777777" w:rsidR="00AD1F54" w:rsidRPr="00264D5D" w:rsidRDefault="00941227">
            <w:pPr>
              <w:pStyle w:val="GOSTTablenorm"/>
              <w:jc w:val="center"/>
            </w:pPr>
            <w:r w:rsidRPr="00264D5D">
              <w:t>П</w:t>
            </w:r>
          </w:p>
        </w:tc>
        <w:tc>
          <w:tcPr>
            <w:tcW w:w="1134" w:type="dxa"/>
          </w:tcPr>
          <w:p w14:paraId="39ACDF59" w14:textId="77777777" w:rsidR="00AD1F54" w:rsidRPr="00264D5D" w:rsidRDefault="00941227">
            <w:pPr>
              <w:pStyle w:val="GOSTTablenorm"/>
            </w:pPr>
            <w:r w:rsidRPr="00264D5D">
              <w:rPr>
                <w:szCs w:val="22"/>
              </w:rPr>
              <w:t>N(20.2)</w:t>
            </w:r>
          </w:p>
        </w:tc>
        <w:tc>
          <w:tcPr>
            <w:tcW w:w="567" w:type="dxa"/>
          </w:tcPr>
          <w:p w14:paraId="38013785" w14:textId="77777777" w:rsidR="00AD1F54" w:rsidRPr="00264D5D" w:rsidRDefault="00941227">
            <w:pPr>
              <w:pStyle w:val="GOSTTablenorm"/>
              <w:jc w:val="center"/>
            </w:pPr>
            <w:r w:rsidRPr="00264D5D">
              <w:t>Н</w:t>
            </w:r>
          </w:p>
        </w:tc>
        <w:tc>
          <w:tcPr>
            <w:tcW w:w="3963" w:type="dxa"/>
          </w:tcPr>
          <w:p w14:paraId="21BBA928" w14:textId="77777777" w:rsidR="00AD1F54" w:rsidRPr="00264D5D" w:rsidRDefault="00941227">
            <w:pPr>
              <w:pStyle w:val="GOSTTablenorm"/>
            </w:pPr>
            <w:r w:rsidRPr="00264D5D">
              <w:t>Указывается суммы поставленных на учет бюджетных обязательств текущего финансового года</w:t>
            </w:r>
          </w:p>
        </w:tc>
      </w:tr>
      <w:tr w:rsidR="00AD1F54" w:rsidRPr="00264D5D" w14:paraId="2B0D2EC7"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5ABBC738" w14:textId="77777777" w:rsidR="00AD1F54" w:rsidRPr="00264D5D" w:rsidRDefault="00941227">
            <w:pPr>
              <w:pStyle w:val="GOSTTablenorm"/>
            </w:pPr>
            <w:r w:rsidRPr="00264D5D">
              <w:rPr>
                <w:szCs w:val="22"/>
              </w:rPr>
              <w:t xml:space="preserve">Сумма: исполнено: всего </w:t>
            </w:r>
          </w:p>
        </w:tc>
        <w:tc>
          <w:tcPr>
            <w:tcW w:w="1701" w:type="dxa"/>
          </w:tcPr>
          <w:p w14:paraId="70D69505" w14:textId="77777777" w:rsidR="00AD1F54" w:rsidRPr="00264D5D" w:rsidRDefault="00941227">
            <w:pPr>
              <w:pStyle w:val="GOSTTablenorm"/>
            </w:pPr>
            <w:r w:rsidRPr="00264D5D">
              <w:t>Data024</w:t>
            </w:r>
          </w:p>
        </w:tc>
        <w:tc>
          <w:tcPr>
            <w:tcW w:w="567" w:type="dxa"/>
          </w:tcPr>
          <w:p w14:paraId="731FCD4F" w14:textId="77777777" w:rsidR="00AD1F54" w:rsidRPr="00264D5D" w:rsidRDefault="00941227">
            <w:pPr>
              <w:pStyle w:val="GOSTTablenorm"/>
              <w:jc w:val="center"/>
            </w:pPr>
            <w:r w:rsidRPr="00264D5D">
              <w:t>П</w:t>
            </w:r>
          </w:p>
        </w:tc>
        <w:tc>
          <w:tcPr>
            <w:tcW w:w="1134" w:type="dxa"/>
          </w:tcPr>
          <w:p w14:paraId="26145081" w14:textId="77777777" w:rsidR="00AD1F54" w:rsidRPr="00264D5D" w:rsidRDefault="00941227">
            <w:pPr>
              <w:pStyle w:val="GOSTTablenorm"/>
            </w:pPr>
            <w:r w:rsidRPr="00264D5D">
              <w:rPr>
                <w:szCs w:val="22"/>
              </w:rPr>
              <w:t>N(20.2)</w:t>
            </w:r>
          </w:p>
        </w:tc>
        <w:tc>
          <w:tcPr>
            <w:tcW w:w="567" w:type="dxa"/>
          </w:tcPr>
          <w:p w14:paraId="746121A1" w14:textId="77777777" w:rsidR="00AD1F54" w:rsidRPr="00264D5D" w:rsidRDefault="00941227">
            <w:pPr>
              <w:pStyle w:val="GOSTTablenorm"/>
              <w:jc w:val="center"/>
            </w:pPr>
            <w:r w:rsidRPr="00264D5D">
              <w:t>Н</w:t>
            </w:r>
          </w:p>
        </w:tc>
        <w:tc>
          <w:tcPr>
            <w:tcW w:w="3963" w:type="dxa"/>
          </w:tcPr>
          <w:p w14:paraId="4D54033E" w14:textId="77777777" w:rsidR="00AD1F54" w:rsidRPr="00264D5D" w:rsidRDefault="00941227">
            <w:pPr>
              <w:pStyle w:val="GOSTTablenorm"/>
            </w:pPr>
            <w:r w:rsidRPr="00264D5D">
              <w:t>Указывается суммы исполненных бюджетных обязательств текущего финансового года</w:t>
            </w:r>
          </w:p>
        </w:tc>
      </w:tr>
      <w:tr w:rsidR="00AD1F54" w:rsidRPr="00264D5D" w14:paraId="488E43F4"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3C8462F" w14:textId="77777777" w:rsidR="00AD1F54" w:rsidRPr="00264D5D" w:rsidRDefault="00941227">
            <w:pPr>
              <w:pStyle w:val="GOSTTablenorm"/>
            </w:pPr>
            <w:r w:rsidRPr="00264D5D">
              <w:rPr>
                <w:szCs w:val="22"/>
              </w:rPr>
              <w:t xml:space="preserve">Сумма: исполнено: в том числе авансовых платежей </w:t>
            </w:r>
          </w:p>
        </w:tc>
        <w:tc>
          <w:tcPr>
            <w:tcW w:w="1701" w:type="dxa"/>
          </w:tcPr>
          <w:p w14:paraId="25395444" w14:textId="77777777" w:rsidR="00AD1F54" w:rsidRPr="00264D5D" w:rsidRDefault="00941227">
            <w:pPr>
              <w:pStyle w:val="GOSTTablenorm"/>
            </w:pPr>
            <w:r w:rsidRPr="00264D5D">
              <w:t>Data025</w:t>
            </w:r>
          </w:p>
        </w:tc>
        <w:tc>
          <w:tcPr>
            <w:tcW w:w="567" w:type="dxa"/>
          </w:tcPr>
          <w:p w14:paraId="23626A5B" w14:textId="77777777" w:rsidR="00AD1F54" w:rsidRPr="00264D5D" w:rsidRDefault="00941227">
            <w:pPr>
              <w:pStyle w:val="GOSTTablenorm"/>
              <w:jc w:val="center"/>
            </w:pPr>
            <w:r w:rsidRPr="00264D5D">
              <w:t>П</w:t>
            </w:r>
          </w:p>
        </w:tc>
        <w:tc>
          <w:tcPr>
            <w:tcW w:w="1134" w:type="dxa"/>
          </w:tcPr>
          <w:p w14:paraId="1196DAA3" w14:textId="77777777" w:rsidR="00AD1F54" w:rsidRPr="00264D5D" w:rsidRDefault="00941227">
            <w:pPr>
              <w:pStyle w:val="GOSTTablenorm"/>
            </w:pPr>
            <w:r w:rsidRPr="00264D5D">
              <w:rPr>
                <w:szCs w:val="22"/>
              </w:rPr>
              <w:t>N(20.2)</w:t>
            </w:r>
          </w:p>
        </w:tc>
        <w:tc>
          <w:tcPr>
            <w:tcW w:w="567" w:type="dxa"/>
          </w:tcPr>
          <w:p w14:paraId="634E4DD2" w14:textId="77777777" w:rsidR="00AD1F54" w:rsidRPr="00264D5D" w:rsidRDefault="00941227">
            <w:pPr>
              <w:pStyle w:val="GOSTTablenorm"/>
              <w:jc w:val="center"/>
            </w:pPr>
            <w:r w:rsidRPr="00264D5D">
              <w:t>Н</w:t>
            </w:r>
          </w:p>
        </w:tc>
        <w:tc>
          <w:tcPr>
            <w:tcW w:w="3963" w:type="dxa"/>
          </w:tcPr>
          <w:p w14:paraId="4E0C4A61" w14:textId="77777777" w:rsidR="00AD1F54" w:rsidRPr="00264D5D" w:rsidRDefault="00941227">
            <w:pPr>
              <w:pStyle w:val="GOSTTablenorm"/>
            </w:pPr>
            <w:r w:rsidRPr="00264D5D">
              <w:t>Указывается суммы в том числе</w:t>
            </w:r>
            <w:r w:rsidR="005D5F06" w:rsidRPr="00264D5D">
              <w:t xml:space="preserve"> исполненных авансовых платежей</w:t>
            </w:r>
          </w:p>
        </w:tc>
      </w:tr>
      <w:tr w:rsidR="00AD1F54" w:rsidRPr="00264D5D" w14:paraId="0D01E234"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4D1C3E1" w14:textId="77777777" w:rsidR="00AD1F54" w:rsidRPr="00264D5D" w:rsidRDefault="00941227">
            <w:pPr>
              <w:pStyle w:val="GOSTTablenorm"/>
            </w:pPr>
            <w:r w:rsidRPr="00264D5D">
              <w:rPr>
                <w:szCs w:val="22"/>
              </w:rPr>
              <w:t xml:space="preserve">Сумма первый год </w:t>
            </w:r>
          </w:p>
        </w:tc>
        <w:tc>
          <w:tcPr>
            <w:tcW w:w="1701" w:type="dxa"/>
          </w:tcPr>
          <w:p w14:paraId="4E545937" w14:textId="77777777" w:rsidR="00AD1F54" w:rsidRPr="00264D5D" w:rsidRDefault="00941227">
            <w:pPr>
              <w:pStyle w:val="GOSTTablenorm"/>
            </w:pPr>
            <w:r w:rsidRPr="00264D5D">
              <w:t>Data026</w:t>
            </w:r>
          </w:p>
        </w:tc>
        <w:tc>
          <w:tcPr>
            <w:tcW w:w="567" w:type="dxa"/>
          </w:tcPr>
          <w:p w14:paraId="14EF81F4" w14:textId="77777777" w:rsidR="00AD1F54" w:rsidRPr="00264D5D" w:rsidRDefault="00941227">
            <w:pPr>
              <w:pStyle w:val="GOSTTablenorm"/>
              <w:jc w:val="center"/>
            </w:pPr>
            <w:r w:rsidRPr="00264D5D">
              <w:t>П</w:t>
            </w:r>
          </w:p>
        </w:tc>
        <w:tc>
          <w:tcPr>
            <w:tcW w:w="1134" w:type="dxa"/>
          </w:tcPr>
          <w:p w14:paraId="4359217E" w14:textId="77777777" w:rsidR="00AD1F54" w:rsidRPr="00264D5D" w:rsidRDefault="00941227">
            <w:pPr>
              <w:pStyle w:val="GOSTTablenorm"/>
            </w:pPr>
            <w:r w:rsidRPr="00264D5D">
              <w:rPr>
                <w:szCs w:val="22"/>
              </w:rPr>
              <w:t>N(20.2)</w:t>
            </w:r>
          </w:p>
        </w:tc>
        <w:tc>
          <w:tcPr>
            <w:tcW w:w="567" w:type="dxa"/>
          </w:tcPr>
          <w:p w14:paraId="4D66ACEC" w14:textId="77777777" w:rsidR="00AD1F54" w:rsidRPr="00264D5D" w:rsidRDefault="00941227">
            <w:pPr>
              <w:pStyle w:val="GOSTTablenorm"/>
              <w:jc w:val="center"/>
            </w:pPr>
            <w:r w:rsidRPr="00264D5D">
              <w:t>Н</w:t>
            </w:r>
          </w:p>
        </w:tc>
        <w:tc>
          <w:tcPr>
            <w:tcW w:w="3963" w:type="dxa"/>
          </w:tcPr>
          <w:p w14:paraId="7704C4E1" w14:textId="77777777" w:rsidR="00AD1F54" w:rsidRPr="00264D5D" w:rsidRDefault="00941227">
            <w:pPr>
              <w:pStyle w:val="GOSTTablenorm"/>
            </w:pPr>
            <w:r w:rsidRPr="00264D5D">
              <w:t xml:space="preserve">Указывается сумма </w:t>
            </w:r>
            <w:r w:rsidRPr="00264D5D">
              <w:rPr>
                <w:szCs w:val="22"/>
              </w:rPr>
              <w:t>планового периода в ва</w:t>
            </w:r>
            <w:r w:rsidR="005D5F06" w:rsidRPr="00264D5D">
              <w:rPr>
                <w:szCs w:val="22"/>
              </w:rPr>
              <w:t>люте обязательства: первый год</w:t>
            </w:r>
          </w:p>
        </w:tc>
      </w:tr>
      <w:tr w:rsidR="00AD1F54" w:rsidRPr="00264D5D" w14:paraId="7186D753"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C4F9F1D" w14:textId="77777777" w:rsidR="00AD1F54" w:rsidRPr="00264D5D" w:rsidRDefault="00941227">
            <w:pPr>
              <w:pStyle w:val="GOSTTablenorm"/>
            </w:pPr>
            <w:r w:rsidRPr="00264D5D">
              <w:rPr>
                <w:szCs w:val="22"/>
              </w:rPr>
              <w:t xml:space="preserve">Сумма второй год </w:t>
            </w:r>
          </w:p>
        </w:tc>
        <w:tc>
          <w:tcPr>
            <w:tcW w:w="1701" w:type="dxa"/>
          </w:tcPr>
          <w:p w14:paraId="3597D42F" w14:textId="77777777" w:rsidR="00AD1F54" w:rsidRPr="00264D5D" w:rsidRDefault="00941227">
            <w:pPr>
              <w:pStyle w:val="GOSTTablenorm"/>
            </w:pPr>
            <w:r w:rsidRPr="00264D5D">
              <w:t>Data027</w:t>
            </w:r>
          </w:p>
        </w:tc>
        <w:tc>
          <w:tcPr>
            <w:tcW w:w="567" w:type="dxa"/>
          </w:tcPr>
          <w:p w14:paraId="1CB3CED7" w14:textId="77777777" w:rsidR="00AD1F54" w:rsidRPr="00264D5D" w:rsidRDefault="00941227">
            <w:pPr>
              <w:pStyle w:val="GOSTTablenorm"/>
              <w:jc w:val="center"/>
            </w:pPr>
            <w:r w:rsidRPr="00264D5D">
              <w:t>П</w:t>
            </w:r>
          </w:p>
        </w:tc>
        <w:tc>
          <w:tcPr>
            <w:tcW w:w="1134" w:type="dxa"/>
          </w:tcPr>
          <w:p w14:paraId="3912D7B0" w14:textId="77777777" w:rsidR="00AD1F54" w:rsidRPr="00264D5D" w:rsidRDefault="00941227">
            <w:pPr>
              <w:pStyle w:val="GOSTTablenorm"/>
            </w:pPr>
            <w:r w:rsidRPr="00264D5D">
              <w:rPr>
                <w:szCs w:val="22"/>
              </w:rPr>
              <w:t>N(20.2)</w:t>
            </w:r>
          </w:p>
        </w:tc>
        <w:tc>
          <w:tcPr>
            <w:tcW w:w="567" w:type="dxa"/>
          </w:tcPr>
          <w:p w14:paraId="22E93CA7" w14:textId="77777777" w:rsidR="00AD1F54" w:rsidRPr="00264D5D" w:rsidRDefault="00941227">
            <w:pPr>
              <w:pStyle w:val="GOSTTablenorm"/>
              <w:jc w:val="center"/>
            </w:pPr>
            <w:r w:rsidRPr="00264D5D">
              <w:t>Н</w:t>
            </w:r>
          </w:p>
        </w:tc>
        <w:tc>
          <w:tcPr>
            <w:tcW w:w="3963" w:type="dxa"/>
          </w:tcPr>
          <w:p w14:paraId="68C8919B" w14:textId="77777777" w:rsidR="00AD1F54" w:rsidRPr="00264D5D" w:rsidRDefault="00941227">
            <w:pPr>
              <w:pStyle w:val="GOSTTablenorm"/>
            </w:pPr>
            <w:r w:rsidRPr="00264D5D">
              <w:t xml:space="preserve">Указывается сумма </w:t>
            </w:r>
            <w:r w:rsidRPr="00264D5D">
              <w:rPr>
                <w:szCs w:val="22"/>
              </w:rPr>
              <w:t>планового периода в в</w:t>
            </w:r>
            <w:r w:rsidR="005D5F06" w:rsidRPr="00264D5D">
              <w:rPr>
                <w:szCs w:val="22"/>
              </w:rPr>
              <w:t>алюте обязательства: второй год</w:t>
            </w:r>
          </w:p>
        </w:tc>
      </w:tr>
      <w:tr w:rsidR="00AD1F54" w:rsidRPr="00264D5D" w14:paraId="43853693"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5CFF7A32" w14:textId="77777777" w:rsidR="00AD1F54" w:rsidRPr="00264D5D" w:rsidRDefault="00941227">
            <w:pPr>
              <w:pStyle w:val="GOSTTablenorm"/>
            </w:pPr>
            <w:r w:rsidRPr="00264D5D">
              <w:rPr>
                <w:szCs w:val="22"/>
              </w:rPr>
              <w:t xml:space="preserve">Сумма третий год </w:t>
            </w:r>
          </w:p>
        </w:tc>
        <w:tc>
          <w:tcPr>
            <w:tcW w:w="1701" w:type="dxa"/>
          </w:tcPr>
          <w:p w14:paraId="4FFFB17F" w14:textId="77777777" w:rsidR="00AD1F54" w:rsidRPr="00264D5D" w:rsidRDefault="00941227">
            <w:pPr>
              <w:pStyle w:val="GOSTTablenorm"/>
            </w:pPr>
            <w:r w:rsidRPr="00264D5D">
              <w:t>Data028</w:t>
            </w:r>
          </w:p>
        </w:tc>
        <w:tc>
          <w:tcPr>
            <w:tcW w:w="567" w:type="dxa"/>
          </w:tcPr>
          <w:p w14:paraId="1F492D1B" w14:textId="77777777" w:rsidR="00AD1F54" w:rsidRPr="00264D5D" w:rsidRDefault="00941227">
            <w:pPr>
              <w:pStyle w:val="GOSTTablenorm"/>
              <w:jc w:val="center"/>
            </w:pPr>
            <w:r w:rsidRPr="00264D5D">
              <w:t>П</w:t>
            </w:r>
          </w:p>
        </w:tc>
        <w:tc>
          <w:tcPr>
            <w:tcW w:w="1134" w:type="dxa"/>
          </w:tcPr>
          <w:p w14:paraId="555421B9" w14:textId="77777777" w:rsidR="00AD1F54" w:rsidRPr="00264D5D" w:rsidRDefault="00941227">
            <w:pPr>
              <w:pStyle w:val="GOSTTablenorm"/>
            </w:pPr>
            <w:r w:rsidRPr="00264D5D">
              <w:rPr>
                <w:szCs w:val="22"/>
              </w:rPr>
              <w:t>N(20.2)</w:t>
            </w:r>
          </w:p>
        </w:tc>
        <w:tc>
          <w:tcPr>
            <w:tcW w:w="567" w:type="dxa"/>
          </w:tcPr>
          <w:p w14:paraId="179EA9E6" w14:textId="77777777" w:rsidR="00AD1F54" w:rsidRPr="00264D5D" w:rsidRDefault="00941227">
            <w:pPr>
              <w:pStyle w:val="GOSTTablenorm"/>
              <w:jc w:val="center"/>
            </w:pPr>
            <w:r w:rsidRPr="00264D5D">
              <w:t>Н</w:t>
            </w:r>
          </w:p>
        </w:tc>
        <w:tc>
          <w:tcPr>
            <w:tcW w:w="3963" w:type="dxa"/>
          </w:tcPr>
          <w:p w14:paraId="3CE8A16A" w14:textId="77777777" w:rsidR="00AD1F54" w:rsidRPr="00264D5D" w:rsidRDefault="00941227">
            <w:pPr>
              <w:pStyle w:val="GOSTTablenorm"/>
            </w:pPr>
            <w:r w:rsidRPr="00264D5D">
              <w:t xml:space="preserve">Указывается суммы </w:t>
            </w:r>
            <w:r w:rsidRPr="00264D5D">
              <w:rPr>
                <w:szCs w:val="22"/>
              </w:rPr>
              <w:t>период после текущего финансового года в валюте обязат</w:t>
            </w:r>
            <w:r w:rsidR="005D5F06" w:rsidRPr="00264D5D">
              <w:rPr>
                <w:szCs w:val="22"/>
              </w:rPr>
              <w:t>ельства: третий год</w:t>
            </w:r>
          </w:p>
        </w:tc>
      </w:tr>
      <w:tr w:rsidR="00AD1F54" w:rsidRPr="00264D5D" w14:paraId="14CC5A8E"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88B81C9" w14:textId="77777777" w:rsidR="00AD1F54" w:rsidRPr="00264D5D" w:rsidRDefault="00941227">
            <w:pPr>
              <w:pStyle w:val="GOSTTablenorm"/>
            </w:pPr>
            <w:r w:rsidRPr="00264D5D">
              <w:rPr>
                <w:szCs w:val="22"/>
              </w:rPr>
              <w:t xml:space="preserve">Сумма последующие годы </w:t>
            </w:r>
          </w:p>
        </w:tc>
        <w:tc>
          <w:tcPr>
            <w:tcW w:w="1701" w:type="dxa"/>
          </w:tcPr>
          <w:p w14:paraId="4AFEFACC" w14:textId="77777777" w:rsidR="00AD1F54" w:rsidRPr="00264D5D" w:rsidRDefault="00941227">
            <w:pPr>
              <w:pStyle w:val="GOSTTablenorm"/>
            </w:pPr>
            <w:r w:rsidRPr="00264D5D">
              <w:t>Data029</w:t>
            </w:r>
          </w:p>
        </w:tc>
        <w:tc>
          <w:tcPr>
            <w:tcW w:w="567" w:type="dxa"/>
          </w:tcPr>
          <w:p w14:paraId="32E84AD6" w14:textId="77777777" w:rsidR="00AD1F54" w:rsidRPr="00264D5D" w:rsidRDefault="00941227">
            <w:pPr>
              <w:pStyle w:val="GOSTTablenorm"/>
              <w:jc w:val="center"/>
            </w:pPr>
            <w:r w:rsidRPr="00264D5D">
              <w:t>П</w:t>
            </w:r>
          </w:p>
        </w:tc>
        <w:tc>
          <w:tcPr>
            <w:tcW w:w="1134" w:type="dxa"/>
          </w:tcPr>
          <w:p w14:paraId="148BCEB5" w14:textId="77777777" w:rsidR="00AD1F54" w:rsidRPr="00264D5D" w:rsidRDefault="00941227">
            <w:pPr>
              <w:pStyle w:val="GOSTTablenorm"/>
            </w:pPr>
            <w:r w:rsidRPr="00264D5D">
              <w:rPr>
                <w:szCs w:val="22"/>
              </w:rPr>
              <w:t>N(20.2)</w:t>
            </w:r>
          </w:p>
        </w:tc>
        <w:tc>
          <w:tcPr>
            <w:tcW w:w="567" w:type="dxa"/>
          </w:tcPr>
          <w:p w14:paraId="5285BCDC" w14:textId="77777777" w:rsidR="00AD1F54" w:rsidRPr="00264D5D" w:rsidRDefault="00941227">
            <w:pPr>
              <w:pStyle w:val="GOSTTablenorm"/>
              <w:jc w:val="center"/>
            </w:pPr>
            <w:r w:rsidRPr="00264D5D">
              <w:t>Н</w:t>
            </w:r>
          </w:p>
        </w:tc>
        <w:tc>
          <w:tcPr>
            <w:tcW w:w="3963" w:type="dxa"/>
          </w:tcPr>
          <w:p w14:paraId="6FAB2C38" w14:textId="77777777" w:rsidR="00AD1F54" w:rsidRPr="00264D5D" w:rsidRDefault="00941227">
            <w:pPr>
              <w:pStyle w:val="GOSTTablenorm"/>
            </w:pPr>
            <w:r w:rsidRPr="00264D5D">
              <w:t xml:space="preserve">Указывается суммы </w:t>
            </w:r>
            <w:r w:rsidRPr="00264D5D">
              <w:rPr>
                <w:szCs w:val="22"/>
              </w:rPr>
              <w:t xml:space="preserve">период после текущего финансового года в валюте </w:t>
            </w:r>
            <w:r w:rsidR="005D5F06" w:rsidRPr="00264D5D">
              <w:rPr>
                <w:szCs w:val="22"/>
              </w:rPr>
              <w:t>обязательства: последующие годы</w:t>
            </w:r>
          </w:p>
        </w:tc>
      </w:tr>
      <w:tr w:rsidR="00AD1F54" w:rsidRPr="00264D5D" w14:paraId="427C85B7"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EBAB6F3" w14:textId="77777777" w:rsidR="00AD1F54" w:rsidRPr="00264D5D" w:rsidRDefault="00941227">
            <w:pPr>
              <w:pStyle w:val="GOSTTablenorm"/>
            </w:pPr>
            <w:r w:rsidRPr="00264D5D">
              <w:rPr>
                <w:b/>
              </w:rPr>
              <w:t xml:space="preserve">Раздел 4.1. Реквизиты документа, подтверждающего возникновение денежного обязательства </w:t>
            </w:r>
          </w:p>
        </w:tc>
        <w:tc>
          <w:tcPr>
            <w:tcW w:w="1701" w:type="dxa"/>
          </w:tcPr>
          <w:p w14:paraId="5C097F69" w14:textId="77777777" w:rsidR="00AD1F54" w:rsidRPr="00264D5D" w:rsidRDefault="00941227">
            <w:pPr>
              <w:pStyle w:val="GOSTTablenorm"/>
            </w:pPr>
            <w:r w:rsidRPr="00264D5D">
              <w:rPr>
                <w:b/>
                <w:szCs w:val="22"/>
              </w:rPr>
              <w:t>Line</w:t>
            </w:r>
          </w:p>
        </w:tc>
        <w:tc>
          <w:tcPr>
            <w:tcW w:w="567" w:type="dxa"/>
          </w:tcPr>
          <w:p w14:paraId="7369D827" w14:textId="77777777" w:rsidR="00AD1F54" w:rsidRPr="00264D5D" w:rsidRDefault="00941227">
            <w:pPr>
              <w:pStyle w:val="GOSTTablenorm"/>
              <w:jc w:val="center"/>
            </w:pPr>
            <w:r w:rsidRPr="00264D5D">
              <w:rPr>
                <w:b/>
                <w:szCs w:val="22"/>
              </w:rPr>
              <w:t>-</w:t>
            </w:r>
          </w:p>
        </w:tc>
        <w:tc>
          <w:tcPr>
            <w:tcW w:w="1134" w:type="dxa"/>
          </w:tcPr>
          <w:p w14:paraId="3E96376B" w14:textId="77777777" w:rsidR="00AD1F54" w:rsidRPr="00264D5D" w:rsidRDefault="00941227">
            <w:pPr>
              <w:pStyle w:val="GOSTTablenorm"/>
            </w:pPr>
            <w:r w:rsidRPr="00264D5D">
              <w:rPr>
                <w:b/>
                <w:szCs w:val="22"/>
              </w:rPr>
              <w:t>-</w:t>
            </w:r>
          </w:p>
        </w:tc>
        <w:tc>
          <w:tcPr>
            <w:tcW w:w="567" w:type="dxa"/>
          </w:tcPr>
          <w:p w14:paraId="23D8E967" w14:textId="77777777" w:rsidR="00AD1F54" w:rsidRPr="00264D5D" w:rsidRDefault="00941227">
            <w:pPr>
              <w:pStyle w:val="GOSTTablenorm"/>
              <w:jc w:val="center"/>
            </w:pPr>
            <w:r w:rsidRPr="00264D5D">
              <w:rPr>
                <w:b/>
                <w:szCs w:val="22"/>
              </w:rPr>
              <w:t>НМ</w:t>
            </w:r>
          </w:p>
        </w:tc>
        <w:tc>
          <w:tcPr>
            <w:tcW w:w="3963" w:type="dxa"/>
          </w:tcPr>
          <w:p w14:paraId="537ECC9D" w14:textId="77777777" w:rsidR="00AD1F54" w:rsidRPr="00264D5D" w:rsidRDefault="00941227">
            <w:pPr>
              <w:pStyle w:val="GOSTTablenorm"/>
            </w:pPr>
            <w:r w:rsidRPr="00264D5D">
              <w:rPr>
                <w:b/>
                <w:szCs w:val="22"/>
              </w:rPr>
              <w:t>-</w:t>
            </w:r>
          </w:p>
        </w:tc>
      </w:tr>
      <w:tr w:rsidR="00AD1F54" w:rsidRPr="00264D5D" w14:paraId="6A45D7E9"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E229FC9" w14:textId="77777777" w:rsidR="00AD1F54" w:rsidRPr="00264D5D" w:rsidRDefault="00941227">
            <w:pPr>
              <w:pStyle w:val="GOSTTablenorm"/>
            </w:pPr>
            <w:r w:rsidRPr="00264D5D">
              <w:t>Номер секции формы</w:t>
            </w:r>
          </w:p>
          <w:p w14:paraId="5158C7D9" w14:textId="77777777" w:rsidR="00AD1F54" w:rsidRPr="00264D5D" w:rsidRDefault="00AD1F54">
            <w:pPr>
              <w:pStyle w:val="GOSTTablenorm"/>
            </w:pPr>
          </w:p>
        </w:tc>
        <w:tc>
          <w:tcPr>
            <w:tcW w:w="1701" w:type="dxa"/>
          </w:tcPr>
          <w:p w14:paraId="55F7A3E7" w14:textId="77777777" w:rsidR="00AD1F54" w:rsidRPr="00264D5D" w:rsidRDefault="00941227">
            <w:pPr>
              <w:pStyle w:val="GOSTTablenorm"/>
            </w:pPr>
            <w:r w:rsidRPr="00264D5D">
              <w:t>SectionNumber</w:t>
            </w:r>
          </w:p>
        </w:tc>
        <w:tc>
          <w:tcPr>
            <w:tcW w:w="567" w:type="dxa"/>
          </w:tcPr>
          <w:p w14:paraId="1857A71E" w14:textId="77777777" w:rsidR="00AD1F54" w:rsidRPr="00264D5D" w:rsidRDefault="00941227">
            <w:pPr>
              <w:pStyle w:val="GOSTTablenorm"/>
              <w:jc w:val="center"/>
            </w:pPr>
            <w:r w:rsidRPr="00264D5D">
              <w:t>П</w:t>
            </w:r>
          </w:p>
        </w:tc>
        <w:tc>
          <w:tcPr>
            <w:tcW w:w="1134" w:type="dxa"/>
          </w:tcPr>
          <w:p w14:paraId="75B2E756" w14:textId="77777777" w:rsidR="00AD1F54" w:rsidRPr="00264D5D" w:rsidRDefault="00941227">
            <w:pPr>
              <w:pStyle w:val="GOSTTablenorm"/>
            </w:pPr>
            <w:r w:rsidRPr="00264D5D">
              <w:rPr>
                <w:lang w:val="en-US"/>
              </w:rPr>
              <w:t>T</w:t>
            </w:r>
            <w:r w:rsidRPr="00264D5D">
              <w:t>(</w:t>
            </w:r>
            <w:r w:rsidRPr="00264D5D">
              <w:rPr>
                <w:lang w:val="en-US"/>
              </w:rPr>
              <w:t>1-</w:t>
            </w:r>
            <w:r w:rsidRPr="00264D5D">
              <w:t>240)</w:t>
            </w:r>
          </w:p>
        </w:tc>
        <w:tc>
          <w:tcPr>
            <w:tcW w:w="567" w:type="dxa"/>
          </w:tcPr>
          <w:p w14:paraId="6B61CC58" w14:textId="77777777" w:rsidR="00AD1F54" w:rsidRPr="00264D5D" w:rsidRDefault="00941227">
            <w:pPr>
              <w:pStyle w:val="GOSTTablenorm"/>
              <w:jc w:val="center"/>
            </w:pPr>
            <w:r w:rsidRPr="00264D5D">
              <w:t>O</w:t>
            </w:r>
          </w:p>
        </w:tc>
        <w:tc>
          <w:tcPr>
            <w:tcW w:w="3963" w:type="dxa"/>
          </w:tcPr>
          <w:p w14:paraId="21E940C9" w14:textId="77777777" w:rsidR="00AD1F54" w:rsidRPr="00264D5D" w:rsidRDefault="00941227">
            <w:pPr>
              <w:pStyle w:val="GOSTTablenorm"/>
              <w:rPr>
                <w:szCs w:val="22"/>
              </w:rPr>
            </w:pPr>
            <w:r w:rsidRPr="00264D5D">
              <w:rPr>
                <w:szCs w:val="22"/>
              </w:rPr>
              <w:t>Указывается номер секции/раздела:</w:t>
            </w:r>
          </w:p>
          <w:p w14:paraId="0C671964" w14:textId="77777777" w:rsidR="00AD1F54" w:rsidRPr="00264D5D" w:rsidRDefault="00941227" w:rsidP="00E7460C">
            <w:pPr>
              <w:pStyle w:val="GOSTTablenorm"/>
              <w:numPr>
                <w:ilvl w:val="0"/>
                <w:numId w:val="113"/>
              </w:numPr>
              <w:ind w:left="284" w:hanging="227"/>
              <w:rPr>
                <w:szCs w:val="22"/>
              </w:rPr>
            </w:pPr>
            <w:r w:rsidRPr="00264D5D">
              <w:rPr>
                <w:szCs w:val="22"/>
              </w:rPr>
              <w:t xml:space="preserve">6 – для раздела «4. Денежные обязательства 4.1. Реквизиты </w:t>
            </w:r>
            <w:r w:rsidRPr="00264D5D">
              <w:rPr>
                <w:szCs w:val="22"/>
              </w:rPr>
              <w:lastRenderedPageBreak/>
              <w:t>документа, подтверждающего возникн</w:t>
            </w:r>
            <w:r w:rsidR="005D5F06" w:rsidRPr="00264D5D">
              <w:rPr>
                <w:szCs w:val="22"/>
              </w:rPr>
              <w:t>овение денежного обязательства»</w:t>
            </w:r>
          </w:p>
        </w:tc>
      </w:tr>
      <w:tr w:rsidR="00AD1F54" w:rsidRPr="00264D5D" w14:paraId="4AC117CB"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478E388" w14:textId="77777777" w:rsidR="00AD1F54" w:rsidRPr="00264D5D" w:rsidRDefault="00941227">
            <w:pPr>
              <w:pStyle w:val="GOSTTablenorm"/>
            </w:pPr>
            <w:r w:rsidRPr="00264D5D">
              <w:lastRenderedPageBreak/>
              <w:t xml:space="preserve">Учетный номер обязательства </w:t>
            </w:r>
          </w:p>
        </w:tc>
        <w:tc>
          <w:tcPr>
            <w:tcW w:w="1701" w:type="dxa"/>
          </w:tcPr>
          <w:p w14:paraId="7CBDA2BB" w14:textId="77777777" w:rsidR="00AD1F54" w:rsidRPr="00264D5D" w:rsidRDefault="00941227">
            <w:pPr>
              <w:pStyle w:val="GOSTTablenorm"/>
            </w:pPr>
            <w:r w:rsidRPr="00264D5D">
              <w:t>Data_VC030</w:t>
            </w:r>
          </w:p>
        </w:tc>
        <w:tc>
          <w:tcPr>
            <w:tcW w:w="567" w:type="dxa"/>
          </w:tcPr>
          <w:p w14:paraId="1218E755" w14:textId="77777777" w:rsidR="00AD1F54" w:rsidRPr="00264D5D" w:rsidRDefault="00941227">
            <w:pPr>
              <w:pStyle w:val="GOSTTablenorm"/>
              <w:jc w:val="center"/>
            </w:pPr>
            <w:r w:rsidRPr="00264D5D">
              <w:t>П</w:t>
            </w:r>
          </w:p>
        </w:tc>
        <w:tc>
          <w:tcPr>
            <w:tcW w:w="1134" w:type="dxa"/>
          </w:tcPr>
          <w:p w14:paraId="606F640B" w14:textId="77777777" w:rsidR="00AD1F54" w:rsidRPr="00264D5D" w:rsidRDefault="00941227">
            <w:pPr>
              <w:pStyle w:val="GOSTTablenorm"/>
            </w:pPr>
            <w:r w:rsidRPr="00264D5D">
              <w:rPr>
                <w:lang w:val="en-US"/>
              </w:rPr>
              <w:t>T</w:t>
            </w:r>
            <w:r w:rsidRPr="00264D5D">
              <w:t>(</w:t>
            </w:r>
            <w:r w:rsidRPr="00264D5D">
              <w:rPr>
                <w:lang w:val="en-US"/>
              </w:rPr>
              <w:t>1-</w:t>
            </w:r>
            <w:r w:rsidRPr="00264D5D">
              <w:t>25)</w:t>
            </w:r>
          </w:p>
        </w:tc>
        <w:tc>
          <w:tcPr>
            <w:tcW w:w="567" w:type="dxa"/>
          </w:tcPr>
          <w:p w14:paraId="2C5DF4BB" w14:textId="77777777" w:rsidR="00AD1F54" w:rsidRPr="00264D5D" w:rsidRDefault="00941227">
            <w:pPr>
              <w:pStyle w:val="GOSTTablenorm"/>
              <w:jc w:val="center"/>
            </w:pPr>
            <w:r w:rsidRPr="00264D5D">
              <w:t>Н</w:t>
            </w:r>
          </w:p>
        </w:tc>
        <w:tc>
          <w:tcPr>
            <w:tcW w:w="3963" w:type="dxa"/>
          </w:tcPr>
          <w:p w14:paraId="2B8271A4" w14:textId="77777777" w:rsidR="00AD1F54" w:rsidRPr="00264D5D" w:rsidRDefault="00941227">
            <w:pPr>
              <w:pStyle w:val="GOSTTablenorm"/>
            </w:pPr>
            <w:r w:rsidRPr="00264D5D">
              <w:t>Указывается учетный номер денежного обязательства, передаваемого реорганизуемым УБП.</w:t>
            </w:r>
          </w:p>
          <w:p w14:paraId="464E73E6" w14:textId="77777777" w:rsidR="00AD1F54" w:rsidRPr="00264D5D" w:rsidRDefault="00941227">
            <w:pPr>
              <w:pStyle w:val="GOSTTablenorm"/>
            </w:pPr>
            <w:r w:rsidRPr="00264D5D">
              <w:t xml:space="preserve">Реквизит может не заполняться только в </w:t>
            </w:r>
            <w:r w:rsidR="005D5F06" w:rsidRPr="00264D5D">
              <w:t>случае передачи АвтоДО к АвтоБО</w:t>
            </w:r>
          </w:p>
        </w:tc>
      </w:tr>
      <w:tr w:rsidR="00AD1F54" w:rsidRPr="00264D5D" w14:paraId="19AC6878"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CBAAD65" w14:textId="77777777" w:rsidR="00AD1F54" w:rsidRPr="00264D5D" w:rsidRDefault="00941227">
            <w:pPr>
              <w:pStyle w:val="GOSTTablenorm"/>
            </w:pPr>
            <w:r w:rsidRPr="00264D5D">
              <w:t xml:space="preserve">Вид </w:t>
            </w:r>
          </w:p>
        </w:tc>
        <w:tc>
          <w:tcPr>
            <w:tcW w:w="1701" w:type="dxa"/>
          </w:tcPr>
          <w:p w14:paraId="509AF60C" w14:textId="77777777" w:rsidR="00AD1F54" w:rsidRPr="00264D5D" w:rsidRDefault="00941227">
            <w:pPr>
              <w:pStyle w:val="GOSTTablenorm"/>
            </w:pPr>
            <w:r w:rsidRPr="00264D5D">
              <w:t>Data_VC031</w:t>
            </w:r>
          </w:p>
        </w:tc>
        <w:tc>
          <w:tcPr>
            <w:tcW w:w="567" w:type="dxa"/>
          </w:tcPr>
          <w:p w14:paraId="63DE1C06" w14:textId="77777777" w:rsidR="00AD1F54" w:rsidRPr="00264D5D" w:rsidRDefault="00941227">
            <w:pPr>
              <w:pStyle w:val="GOSTTablenorm"/>
              <w:jc w:val="center"/>
            </w:pPr>
            <w:r w:rsidRPr="00264D5D">
              <w:t>П</w:t>
            </w:r>
          </w:p>
        </w:tc>
        <w:tc>
          <w:tcPr>
            <w:tcW w:w="1134" w:type="dxa"/>
          </w:tcPr>
          <w:p w14:paraId="5AE60112" w14:textId="77777777" w:rsidR="00AD1F54" w:rsidRPr="00264D5D" w:rsidRDefault="00941227">
            <w:pPr>
              <w:pStyle w:val="GOSTTablenorm"/>
            </w:pPr>
            <w:r w:rsidRPr="00264D5D">
              <w:rPr>
                <w:lang w:val="en-US"/>
              </w:rPr>
              <w:t>T</w:t>
            </w:r>
            <w:r w:rsidRPr="00264D5D">
              <w:t>(</w:t>
            </w:r>
            <w:r w:rsidRPr="00264D5D">
              <w:rPr>
                <w:lang w:val="en-US"/>
              </w:rPr>
              <w:t>1-</w:t>
            </w:r>
            <w:r w:rsidRPr="00264D5D">
              <w:t>100)</w:t>
            </w:r>
          </w:p>
        </w:tc>
        <w:tc>
          <w:tcPr>
            <w:tcW w:w="567" w:type="dxa"/>
          </w:tcPr>
          <w:p w14:paraId="44C40926" w14:textId="77777777" w:rsidR="00AD1F54" w:rsidRPr="00264D5D" w:rsidRDefault="00941227">
            <w:pPr>
              <w:pStyle w:val="GOSTTablenorm"/>
              <w:jc w:val="center"/>
            </w:pPr>
            <w:r w:rsidRPr="00264D5D">
              <w:t>Н</w:t>
            </w:r>
          </w:p>
        </w:tc>
        <w:tc>
          <w:tcPr>
            <w:tcW w:w="3963" w:type="dxa"/>
          </w:tcPr>
          <w:p w14:paraId="2F9FC914" w14:textId="77777777" w:rsidR="00AD1F54" w:rsidRPr="00264D5D" w:rsidRDefault="00941227">
            <w:pPr>
              <w:pStyle w:val="GOSTTablenorm"/>
            </w:pPr>
            <w:r w:rsidRPr="00264D5D">
              <w:t xml:space="preserve">Указывается вид. </w:t>
            </w:r>
          </w:p>
          <w:p w14:paraId="1FF1C8AD" w14:textId="77777777" w:rsidR="00AD1F54" w:rsidRPr="00264D5D" w:rsidRDefault="00941227">
            <w:pPr>
              <w:pStyle w:val="GOSTTablenorm"/>
            </w:pPr>
            <w:r w:rsidRPr="00264D5D">
              <w:t>В поле «Вид» раздела 4.1 указывается значение «Иное основание», если не заполнены поля «Учетный номер о</w:t>
            </w:r>
            <w:r w:rsidR="005D5F06" w:rsidRPr="00264D5D">
              <w:t>бязательства», «Номер» и «Дата»</w:t>
            </w:r>
          </w:p>
        </w:tc>
      </w:tr>
      <w:tr w:rsidR="00AD1F54" w:rsidRPr="00264D5D" w14:paraId="6438C9C8"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06309259" w14:textId="77777777" w:rsidR="00AD1F54" w:rsidRPr="00264D5D" w:rsidRDefault="00941227">
            <w:pPr>
              <w:pStyle w:val="GOSTTablenorm"/>
            </w:pPr>
            <w:r w:rsidRPr="00264D5D">
              <w:t xml:space="preserve">Номер </w:t>
            </w:r>
          </w:p>
        </w:tc>
        <w:tc>
          <w:tcPr>
            <w:tcW w:w="1701" w:type="dxa"/>
          </w:tcPr>
          <w:p w14:paraId="106B1024" w14:textId="77777777" w:rsidR="00AD1F54" w:rsidRPr="00264D5D" w:rsidRDefault="00941227">
            <w:pPr>
              <w:pStyle w:val="GOSTTablenorm"/>
            </w:pPr>
            <w:r w:rsidRPr="00264D5D">
              <w:t>Data_VC032</w:t>
            </w:r>
          </w:p>
        </w:tc>
        <w:tc>
          <w:tcPr>
            <w:tcW w:w="567" w:type="dxa"/>
          </w:tcPr>
          <w:p w14:paraId="7656E434" w14:textId="77777777" w:rsidR="00AD1F54" w:rsidRPr="00264D5D" w:rsidRDefault="00941227">
            <w:pPr>
              <w:pStyle w:val="GOSTTablenorm"/>
              <w:jc w:val="center"/>
            </w:pPr>
            <w:r w:rsidRPr="00264D5D">
              <w:t>П</w:t>
            </w:r>
          </w:p>
        </w:tc>
        <w:tc>
          <w:tcPr>
            <w:tcW w:w="1134" w:type="dxa"/>
          </w:tcPr>
          <w:p w14:paraId="7E7DA8C1" w14:textId="77777777" w:rsidR="00AD1F54" w:rsidRPr="00264D5D" w:rsidRDefault="00941227">
            <w:pPr>
              <w:pStyle w:val="GOSTTablenorm"/>
            </w:pPr>
            <w:r w:rsidRPr="00264D5D">
              <w:rPr>
                <w:lang w:val="en-US"/>
              </w:rPr>
              <w:t>T</w:t>
            </w:r>
            <w:r w:rsidRPr="00264D5D">
              <w:t>(</w:t>
            </w:r>
            <w:r w:rsidRPr="00264D5D">
              <w:rPr>
                <w:lang w:val="en-US"/>
              </w:rPr>
              <w:t>1-</w:t>
            </w:r>
            <w:r w:rsidRPr="00264D5D">
              <w:t>50)</w:t>
            </w:r>
          </w:p>
        </w:tc>
        <w:tc>
          <w:tcPr>
            <w:tcW w:w="567" w:type="dxa"/>
          </w:tcPr>
          <w:p w14:paraId="35BFFCB5" w14:textId="77777777" w:rsidR="00AD1F54" w:rsidRPr="00264D5D" w:rsidRDefault="00941227">
            <w:pPr>
              <w:pStyle w:val="GOSTTablenorm"/>
              <w:jc w:val="center"/>
            </w:pPr>
            <w:r w:rsidRPr="00264D5D">
              <w:t>Н</w:t>
            </w:r>
          </w:p>
        </w:tc>
        <w:tc>
          <w:tcPr>
            <w:tcW w:w="3963" w:type="dxa"/>
          </w:tcPr>
          <w:p w14:paraId="214E8AB1" w14:textId="77777777" w:rsidR="00AD1F54" w:rsidRPr="00264D5D" w:rsidRDefault="00941227">
            <w:pPr>
              <w:pStyle w:val="GOSTTablenorm"/>
              <w:rPr>
                <w:szCs w:val="22"/>
              </w:rPr>
            </w:pPr>
            <w:r w:rsidRPr="00264D5D">
              <w:t>Указывается номер</w:t>
            </w:r>
            <w:r w:rsidRPr="00264D5D">
              <w:rPr>
                <w:szCs w:val="22"/>
              </w:rPr>
              <w:t>.</w:t>
            </w:r>
          </w:p>
          <w:p w14:paraId="5D2B6118" w14:textId="77777777" w:rsidR="00AD1F54" w:rsidRPr="00264D5D" w:rsidRDefault="00941227">
            <w:pPr>
              <w:pStyle w:val="GOSTTablenorm"/>
            </w:pPr>
            <w:r w:rsidRPr="00264D5D">
              <w:t>Поле «Номер» раздела 4.1 не заполняются, если не заполнено пол</w:t>
            </w:r>
            <w:r w:rsidR="005D5F06" w:rsidRPr="00264D5D">
              <w:t>е «Учетный номер обязательства»</w:t>
            </w:r>
          </w:p>
        </w:tc>
      </w:tr>
      <w:tr w:rsidR="00AD1F54" w:rsidRPr="00264D5D" w14:paraId="3324D6F8"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71A1E55B" w14:textId="77777777" w:rsidR="00AD1F54" w:rsidRPr="00264D5D" w:rsidRDefault="00941227">
            <w:pPr>
              <w:pStyle w:val="GOSTTablenorm"/>
            </w:pPr>
            <w:r w:rsidRPr="00264D5D">
              <w:t xml:space="preserve">Дата </w:t>
            </w:r>
          </w:p>
        </w:tc>
        <w:tc>
          <w:tcPr>
            <w:tcW w:w="1701" w:type="dxa"/>
          </w:tcPr>
          <w:p w14:paraId="6AE8BCE2" w14:textId="77777777" w:rsidR="00AD1F54" w:rsidRPr="00264D5D" w:rsidRDefault="00941227">
            <w:pPr>
              <w:pStyle w:val="GOSTTablenorm"/>
            </w:pPr>
            <w:r w:rsidRPr="00264D5D">
              <w:t>Segment_Date2</w:t>
            </w:r>
          </w:p>
        </w:tc>
        <w:tc>
          <w:tcPr>
            <w:tcW w:w="567" w:type="dxa"/>
          </w:tcPr>
          <w:p w14:paraId="7DA3086F" w14:textId="77777777" w:rsidR="00AD1F54" w:rsidRPr="00264D5D" w:rsidRDefault="00941227">
            <w:pPr>
              <w:pStyle w:val="GOSTTablenorm"/>
              <w:jc w:val="center"/>
            </w:pPr>
            <w:r w:rsidRPr="00264D5D">
              <w:t>П</w:t>
            </w:r>
          </w:p>
        </w:tc>
        <w:tc>
          <w:tcPr>
            <w:tcW w:w="1134" w:type="dxa"/>
          </w:tcPr>
          <w:p w14:paraId="72877E89" w14:textId="77777777" w:rsidR="00AD1F54" w:rsidRPr="00264D5D" w:rsidRDefault="00941227">
            <w:pPr>
              <w:pStyle w:val="GOSTTablenorm"/>
            </w:pPr>
            <w:r w:rsidRPr="00264D5D">
              <w:rPr>
                <w:szCs w:val="22"/>
              </w:rPr>
              <w:t>Date</w:t>
            </w:r>
          </w:p>
        </w:tc>
        <w:tc>
          <w:tcPr>
            <w:tcW w:w="567" w:type="dxa"/>
          </w:tcPr>
          <w:p w14:paraId="530E437B" w14:textId="77777777" w:rsidR="00AD1F54" w:rsidRPr="00264D5D" w:rsidRDefault="00941227">
            <w:pPr>
              <w:pStyle w:val="GOSTTablenorm"/>
              <w:jc w:val="center"/>
            </w:pPr>
            <w:r w:rsidRPr="00264D5D">
              <w:t>Н</w:t>
            </w:r>
          </w:p>
        </w:tc>
        <w:tc>
          <w:tcPr>
            <w:tcW w:w="3963" w:type="dxa"/>
          </w:tcPr>
          <w:p w14:paraId="653FAD4F" w14:textId="77777777" w:rsidR="00AD1F54" w:rsidRPr="00264D5D" w:rsidRDefault="00941227">
            <w:pPr>
              <w:pStyle w:val="GOSTTablenorm"/>
              <w:rPr>
                <w:szCs w:val="22"/>
              </w:rPr>
            </w:pPr>
            <w:r w:rsidRPr="00264D5D">
              <w:t>Указывается дата</w:t>
            </w:r>
            <w:r w:rsidRPr="00264D5D">
              <w:rPr>
                <w:szCs w:val="22"/>
              </w:rPr>
              <w:t>.</w:t>
            </w:r>
          </w:p>
          <w:p w14:paraId="56E8918E" w14:textId="77777777" w:rsidR="00AD1F54" w:rsidRPr="00264D5D" w:rsidRDefault="00941227">
            <w:pPr>
              <w:pStyle w:val="GOSTTablenorm"/>
            </w:pPr>
            <w:r w:rsidRPr="00264D5D">
              <w:t>Поле «Дата» раздела 4.1 не заполняются, если не заполнено пол</w:t>
            </w:r>
            <w:r w:rsidR="005D5F06" w:rsidRPr="00264D5D">
              <w:t>е «Учетный номер обязательства»</w:t>
            </w:r>
          </w:p>
        </w:tc>
      </w:tr>
      <w:tr w:rsidR="00AD1F54" w:rsidRPr="00264D5D" w14:paraId="0023C0A9"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2757AE87" w14:textId="77777777" w:rsidR="00AD1F54" w:rsidRPr="00264D5D" w:rsidRDefault="00941227">
            <w:pPr>
              <w:pStyle w:val="GOSTTablenorm"/>
            </w:pPr>
            <w:r w:rsidRPr="00264D5D">
              <w:rPr>
                <w:szCs w:val="22"/>
              </w:rPr>
              <w:t xml:space="preserve">Сумма аванса: всего </w:t>
            </w:r>
          </w:p>
        </w:tc>
        <w:tc>
          <w:tcPr>
            <w:tcW w:w="1701" w:type="dxa"/>
          </w:tcPr>
          <w:p w14:paraId="69CF40FD" w14:textId="77777777" w:rsidR="00AD1F54" w:rsidRPr="00264D5D" w:rsidRDefault="00941227">
            <w:pPr>
              <w:pStyle w:val="GOSTTablenorm"/>
            </w:pPr>
            <w:r w:rsidRPr="00264D5D">
              <w:t>Data030</w:t>
            </w:r>
          </w:p>
        </w:tc>
        <w:tc>
          <w:tcPr>
            <w:tcW w:w="567" w:type="dxa"/>
          </w:tcPr>
          <w:p w14:paraId="4EFD22D8" w14:textId="77777777" w:rsidR="00AD1F54" w:rsidRPr="00264D5D" w:rsidRDefault="00941227">
            <w:pPr>
              <w:pStyle w:val="GOSTTablenorm"/>
              <w:jc w:val="center"/>
            </w:pPr>
            <w:r w:rsidRPr="00264D5D">
              <w:t>П</w:t>
            </w:r>
          </w:p>
        </w:tc>
        <w:tc>
          <w:tcPr>
            <w:tcW w:w="1134" w:type="dxa"/>
          </w:tcPr>
          <w:p w14:paraId="602E98C0" w14:textId="77777777" w:rsidR="00AD1F54" w:rsidRPr="00264D5D" w:rsidRDefault="00941227">
            <w:pPr>
              <w:pStyle w:val="GOSTTablenorm"/>
            </w:pPr>
            <w:r w:rsidRPr="00264D5D">
              <w:rPr>
                <w:szCs w:val="22"/>
              </w:rPr>
              <w:t>N(20.2)</w:t>
            </w:r>
          </w:p>
        </w:tc>
        <w:tc>
          <w:tcPr>
            <w:tcW w:w="567" w:type="dxa"/>
          </w:tcPr>
          <w:p w14:paraId="76A6E73F" w14:textId="77777777" w:rsidR="00AD1F54" w:rsidRPr="00264D5D" w:rsidRDefault="00941227">
            <w:pPr>
              <w:pStyle w:val="GOSTTablenorm"/>
              <w:jc w:val="center"/>
            </w:pPr>
            <w:r w:rsidRPr="00264D5D">
              <w:t>O</w:t>
            </w:r>
          </w:p>
        </w:tc>
        <w:tc>
          <w:tcPr>
            <w:tcW w:w="3963" w:type="dxa"/>
          </w:tcPr>
          <w:p w14:paraId="7C02527F" w14:textId="77777777" w:rsidR="00AD1F54" w:rsidRPr="00264D5D" w:rsidRDefault="00941227">
            <w:pPr>
              <w:pStyle w:val="GOSTTablenorm"/>
            </w:pPr>
            <w:r w:rsidRPr="00264D5D">
              <w:t>Указывается сумма авансового платежа в валюте обязательства, установленная документом-основанием по денежному обя</w:t>
            </w:r>
            <w:r w:rsidR="005D5F06" w:rsidRPr="00264D5D">
              <w:t>зательству (при наличии): всего</w:t>
            </w:r>
          </w:p>
        </w:tc>
      </w:tr>
      <w:tr w:rsidR="00AD1F54" w:rsidRPr="00264D5D" w14:paraId="468C24B1"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76A2C3DF" w14:textId="77777777" w:rsidR="00AD1F54" w:rsidRPr="00264D5D" w:rsidRDefault="00941227">
            <w:pPr>
              <w:pStyle w:val="GOSTTablenorm"/>
            </w:pPr>
            <w:r w:rsidRPr="00264D5D">
              <w:rPr>
                <w:szCs w:val="22"/>
              </w:rPr>
              <w:t xml:space="preserve">Сумма аванса: в том числе зачтено </w:t>
            </w:r>
          </w:p>
        </w:tc>
        <w:tc>
          <w:tcPr>
            <w:tcW w:w="1701" w:type="dxa"/>
          </w:tcPr>
          <w:p w14:paraId="5D412FDB" w14:textId="77777777" w:rsidR="00AD1F54" w:rsidRPr="00264D5D" w:rsidRDefault="00941227">
            <w:pPr>
              <w:pStyle w:val="GOSTTablenorm"/>
            </w:pPr>
            <w:r w:rsidRPr="00264D5D">
              <w:t>Data031</w:t>
            </w:r>
          </w:p>
        </w:tc>
        <w:tc>
          <w:tcPr>
            <w:tcW w:w="567" w:type="dxa"/>
          </w:tcPr>
          <w:p w14:paraId="28D5D7BA" w14:textId="77777777" w:rsidR="00AD1F54" w:rsidRPr="00264D5D" w:rsidRDefault="00941227">
            <w:pPr>
              <w:pStyle w:val="GOSTTablenorm"/>
              <w:jc w:val="center"/>
            </w:pPr>
            <w:r w:rsidRPr="00264D5D">
              <w:t>П</w:t>
            </w:r>
          </w:p>
        </w:tc>
        <w:tc>
          <w:tcPr>
            <w:tcW w:w="1134" w:type="dxa"/>
          </w:tcPr>
          <w:p w14:paraId="2EC1B504" w14:textId="77777777" w:rsidR="00AD1F54" w:rsidRPr="00264D5D" w:rsidRDefault="00941227">
            <w:pPr>
              <w:pStyle w:val="GOSTTablenorm"/>
            </w:pPr>
            <w:r w:rsidRPr="00264D5D">
              <w:rPr>
                <w:szCs w:val="22"/>
              </w:rPr>
              <w:t>N(20.2)</w:t>
            </w:r>
          </w:p>
        </w:tc>
        <w:tc>
          <w:tcPr>
            <w:tcW w:w="567" w:type="dxa"/>
          </w:tcPr>
          <w:p w14:paraId="584A2801" w14:textId="77777777" w:rsidR="00AD1F54" w:rsidRPr="00264D5D" w:rsidRDefault="00941227">
            <w:pPr>
              <w:pStyle w:val="GOSTTablenorm"/>
              <w:jc w:val="center"/>
            </w:pPr>
            <w:r w:rsidRPr="00264D5D">
              <w:t>Н</w:t>
            </w:r>
          </w:p>
        </w:tc>
        <w:tc>
          <w:tcPr>
            <w:tcW w:w="3963" w:type="dxa"/>
          </w:tcPr>
          <w:p w14:paraId="2FED8821" w14:textId="77777777" w:rsidR="00AD1F54" w:rsidRPr="00264D5D" w:rsidRDefault="00941227">
            <w:pPr>
              <w:pStyle w:val="GOSTTablenorm"/>
            </w:pPr>
            <w:r w:rsidRPr="00264D5D">
              <w:t>Указывается зачтенная сумма авансового платежа в валюте обязательства, установленная документом-основанием по денежному обязательству (п</w:t>
            </w:r>
            <w:r w:rsidR="005D5F06" w:rsidRPr="00264D5D">
              <w:t>ри наличии)</w:t>
            </w:r>
          </w:p>
        </w:tc>
      </w:tr>
      <w:tr w:rsidR="00AD1F54" w:rsidRPr="00264D5D" w14:paraId="0B106755"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096877D1" w14:textId="77777777" w:rsidR="00AD1F54" w:rsidRPr="00264D5D" w:rsidRDefault="00941227">
            <w:pPr>
              <w:pStyle w:val="GOSTTablenorm"/>
            </w:pPr>
            <w:r w:rsidRPr="00264D5D">
              <w:rPr>
                <w:szCs w:val="22"/>
              </w:rPr>
              <w:t xml:space="preserve">Сумма в валюте обязательства </w:t>
            </w:r>
          </w:p>
        </w:tc>
        <w:tc>
          <w:tcPr>
            <w:tcW w:w="1701" w:type="dxa"/>
          </w:tcPr>
          <w:p w14:paraId="07C9346B" w14:textId="77777777" w:rsidR="00AD1F54" w:rsidRPr="00264D5D" w:rsidRDefault="00941227">
            <w:pPr>
              <w:pStyle w:val="GOSTTablenorm"/>
            </w:pPr>
            <w:r w:rsidRPr="00264D5D">
              <w:t>Data032</w:t>
            </w:r>
          </w:p>
        </w:tc>
        <w:tc>
          <w:tcPr>
            <w:tcW w:w="567" w:type="dxa"/>
          </w:tcPr>
          <w:p w14:paraId="4CEC95C8" w14:textId="77777777" w:rsidR="00AD1F54" w:rsidRPr="00264D5D" w:rsidRDefault="00941227">
            <w:pPr>
              <w:pStyle w:val="GOSTTablenorm"/>
              <w:jc w:val="center"/>
            </w:pPr>
            <w:r w:rsidRPr="00264D5D">
              <w:t>П</w:t>
            </w:r>
          </w:p>
        </w:tc>
        <w:tc>
          <w:tcPr>
            <w:tcW w:w="1134" w:type="dxa"/>
          </w:tcPr>
          <w:p w14:paraId="2B3AFA3E" w14:textId="77777777" w:rsidR="00AD1F54" w:rsidRPr="00264D5D" w:rsidRDefault="00941227">
            <w:pPr>
              <w:pStyle w:val="GOSTTablenorm"/>
            </w:pPr>
            <w:r w:rsidRPr="00264D5D">
              <w:rPr>
                <w:szCs w:val="22"/>
              </w:rPr>
              <w:t>N(20.2)</w:t>
            </w:r>
          </w:p>
        </w:tc>
        <w:tc>
          <w:tcPr>
            <w:tcW w:w="567" w:type="dxa"/>
          </w:tcPr>
          <w:p w14:paraId="109ED52C" w14:textId="77777777" w:rsidR="00AD1F54" w:rsidRPr="00264D5D" w:rsidRDefault="00941227">
            <w:pPr>
              <w:pStyle w:val="GOSTTablenorm"/>
              <w:jc w:val="center"/>
            </w:pPr>
            <w:r w:rsidRPr="00264D5D">
              <w:t>Н</w:t>
            </w:r>
          </w:p>
        </w:tc>
        <w:tc>
          <w:tcPr>
            <w:tcW w:w="3963" w:type="dxa"/>
          </w:tcPr>
          <w:p w14:paraId="3864B8C0" w14:textId="77777777" w:rsidR="00AD1F54" w:rsidRPr="00264D5D" w:rsidRDefault="00941227">
            <w:pPr>
              <w:pStyle w:val="GOSTTablenorm"/>
            </w:pPr>
            <w:r w:rsidRPr="00264D5D">
              <w:t>Указывается сумма денежного обязательства в валюте обязательства по документу-основ</w:t>
            </w:r>
            <w:r w:rsidR="005D5F06" w:rsidRPr="00264D5D">
              <w:t>анию по денежному обязательству</w:t>
            </w:r>
          </w:p>
        </w:tc>
      </w:tr>
      <w:tr w:rsidR="00AD1F54" w:rsidRPr="00264D5D" w14:paraId="3168017B"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F58E998" w14:textId="77777777" w:rsidR="00AD1F54" w:rsidRPr="00264D5D" w:rsidRDefault="00941227">
            <w:pPr>
              <w:pStyle w:val="GOSTTablenorm"/>
            </w:pPr>
            <w:r w:rsidRPr="00264D5D">
              <w:t xml:space="preserve">Код валюты по ОКВ </w:t>
            </w:r>
          </w:p>
        </w:tc>
        <w:tc>
          <w:tcPr>
            <w:tcW w:w="1701" w:type="dxa"/>
          </w:tcPr>
          <w:p w14:paraId="61062B28" w14:textId="77777777" w:rsidR="00AD1F54" w:rsidRPr="00264D5D" w:rsidRDefault="00941227">
            <w:pPr>
              <w:pStyle w:val="GOSTTablenorm"/>
            </w:pPr>
            <w:r w:rsidRPr="00264D5D">
              <w:t>Data_VC033</w:t>
            </w:r>
          </w:p>
        </w:tc>
        <w:tc>
          <w:tcPr>
            <w:tcW w:w="567" w:type="dxa"/>
          </w:tcPr>
          <w:p w14:paraId="44B28D8D" w14:textId="77777777" w:rsidR="00AD1F54" w:rsidRPr="00264D5D" w:rsidRDefault="00941227">
            <w:pPr>
              <w:pStyle w:val="GOSTTablenorm"/>
              <w:jc w:val="center"/>
            </w:pPr>
            <w:r w:rsidRPr="00264D5D">
              <w:t>П</w:t>
            </w:r>
          </w:p>
        </w:tc>
        <w:tc>
          <w:tcPr>
            <w:tcW w:w="1134" w:type="dxa"/>
          </w:tcPr>
          <w:p w14:paraId="10ED22E8" w14:textId="77777777" w:rsidR="00AD1F54" w:rsidRPr="00264D5D" w:rsidRDefault="00941227">
            <w:pPr>
              <w:pStyle w:val="GOSTTablenorm"/>
            </w:pPr>
            <w:r w:rsidRPr="00264D5D">
              <w:rPr>
                <w:lang w:val="en-US"/>
              </w:rPr>
              <w:t>T</w:t>
            </w:r>
            <w:r w:rsidRPr="00264D5D">
              <w:t>(</w:t>
            </w:r>
            <w:r w:rsidRPr="00264D5D">
              <w:rPr>
                <w:lang w:val="en-US"/>
              </w:rPr>
              <w:t>1-</w:t>
            </w:r>
            <w:r w:rsidRPr="00264D5D">
              <w:t>2000)</w:t>
            </w:r>
          </w:p>
        </w:tc>
        <w:tc>
          <w:tcPr>
            <w:tcW w:w="567" w:type="dxa"/>
          </w:tcPr>
          <w:p w14:paraId="7460D919" w14:textId="77777777" w:rsidR="00AD1F54" w:rsidRPr="00264D5D" w:rsidRDefault="00941227">
            <w:pPr>
              <w:pStyle w:val="GOSTTablenorm"/>
              <w:jc w:val="center"/>
            </w:pPr>
            <w:r w:rsidRPr="00264D5D">
              <w:t>O</w:t>
            </w:r>
          </w:p>
        </w:tc>
        <w:tc>
          <w:tcPr>
            <w:tcW w:w="3963" w:type="dxa"/>
          </w:tcPr>
          <w:p w14:paraId="4275847A" w14:textId="77777777" w:rsidR="00AD1F54" w:rsidRPr="00264D5D" w:rsidRDefault="00941227">
            <w:pPr>
              <w:pStyle w:val="GOSTTablenorm"/>
            </w:pPr>
            <w:r w:rsidRPr="00264D5D">
              <w:t>Указывается код валюты по ОКВ, в которой</w:t>
            </w:r>
            <w:r w:rsidR="005D5F06" w:rsidRPr="00264D5D">
              <w:t xml:space="preserve"> принято денежное обязательство</w:t>
            </w:r>
          </w:p>
        </w:tc>
      </w:tr>
      <w:tr w:rsidR="00AD1F54" w:rsidRPr="00264D5D" w14:paraId="458B0E5D"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E0D9842" w14:textId="77777777" w:rsidR="00AD1F54" w:rsidRPr="00264D5D" w:rsidRDefault="00941227">
            <w:pPr>
              <w:pStyle w:val="GOSTTablenorm"/>
            </w:pPr>
            <w:r w:rsidRPr="00264D5D">
              <w:rPr>
                <w:szCs w:val="22"/>
              </w:rPr>
              <w:t xml:space="preserve">Сумма в валюте Российской Федерации </w:t>
            </w:r>
          </w:p>
        </w:tc>
        <w:tc>
          <w:tcPr>
            <w:tcW w:w="1701" w:type="dxa"/>
          </w:tcPr>
          <w:p w14:paraId="6A970E3D" w14:textId="77777777" w:rsidR="00AD1F54" w:rsidRPr="00264D5D" w:rsidRDefault="00941227">
            <w:pPr>
              <w:pStyle w:val="GOSTTablenorm"/>
            </w:pPr>
            <w:r w:rsidRPr="00264D5D">
              <w:t>Data033</w:t>
            </w:r>
          </w:p>
        </w:tc>
        <w:tc>
          <w:tcPr>
            <w:tcW w:w="567" w:type="dxa"/>
          </w:tcPr>
          <w:p w14:paraId="400A3A83" w14:textId="77777777" w:rsidR="00AD1F54" w:rsidRPr="00264D5D" w:rsidRDefault="00941227">
            <w:pPr>
              <w:pStyle w:val="GOSTTablenorm"/>
              <w:jc w:val="center"/>
            </w:pPr>
            <w:r w:rsidRPr="00264D5D">
              <w:t>П</w:t>
            </w:r>
          </w:p>
        </w:tc>
        <w:tc>
          <w:tcPr>
            <w:tcW w:w="1134" w:type="dxa"/>
          </w:tcPr>
          <w:p w14:paraId="63739332" w14:textId="77777777" w:rsidR="00AD1F54" w:rsidRPr="00264D5D" w:rsidRDefault="00941227">
            <w:pPr>
              <w:pStyle w:val="GOSTTablenorm"/>
            </w:pPr>
            <w:r w:rsidRPr="00264D5D">
              <w:rPr>
                <w:szCs w:val="22"/>
              </w:rPr>
              <w:t>N(20.2)</w:t>
            </w:r>
          </w:p>
        </w:tc>
        <w:tc>
          <w:tcPr>
            <w:tcW w:w="567" w:type="dxa"/>
          </w:tcPr>
          <w:p w14:paraId="63E2DCAC" w14:textId="77777777" w:rsidR="00AD1F54" w:rsidRPr="00264D5D" w:rsidRDefault="00941227">
            <w:pPr>
              <w:pStyle w:val="GOSTTablenorm"/>
              <w:jc w:val="center"/>
            </w:pPr>
            <w:r w:rsidRPr="00264D5D">
              <w:t>Н</w:t>
            </w:r>
          </w:p>
        </w:tc>
        <w:tc>
          <w:tcPr>
            <w:tcW w:w="3963" w:type="dxa"/>
          </w:tcPr>
          <w:p w14:paraId="1138A7D3" w14:textId="77777777" w:rsidR="00AD1F54" w:rsidRPr="00264D5D" w:rsidRDefault="00941227">
            <w:pPr>
              <w:pStyle w:val="GOSTTablenorm"/>
            </w:pPr>
            <w:r w:rsidRPr="00264D5D">
              <w:t>Указывается сумма сумма денежного обязательств</w:t>
            </w:r>
            <w:r w:rsidR="005D5F06" w:rsidRPr="00264D5D">
              <w:t>а в валюте Российской Федерации</w:t>
            </w:r>
          </w:p>
        </w:tc>
      </w:tr>
      <w:tr w:rsidR="00AD1F54" w:rsidRPr="00264D5D" w14:paraId="45D989F6"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2B2CEEB" w14:textId="77777777" w:rsidR="00AD1F54" w:rsidRPr="00264D5D" w:rsidRDefault="00941227">
            <w:pPr>
              <w:pStyle w:val="GOSTTablenorm"/>
              <w:rPr>
                <w:b/>
              </w:rPr>
            </w:pPr>
            <w:r w:rsidRPr="00264D5D">
              <w:rPr>
                <w:b/>
              </w:rPr>
              <w:t xml:space="preserve">Раздел 4.2. </w:t>
            </w:r>
            <w:r w:rsidRPr="00264D5D">
              <w:rPr>
                <w:b/>
              </w:rPr>
              <w:lastRenderedPageBreak/>
              <w:t>Передаваемые денежные обязательства</w:t>
            </w:r>
          </w:p>
          <w:p w14:paraId="20B8CBA4" w14:textId="77777777" w:rsidR="00AD1F54" w:rsidRPr="00264D5D" w:rsidRDefault="00941227">
            <w:pPr>
              <w:pStyle w:val="GOSTTablenorm"/>
              <w:rPr>
                <w:b/>
                <w:szCs w:val="22"/>
              </w:rPr>
            </w:pPr>
            <w:r w:rsidRPr="00264D5D">
              <w:rPr>
                <w:b/>
              </w:rPr>
              <w:t>(детализированные строки)</w:t>
            </w:r>
          </w:p>
        </w:tc>
        <w:tc>
          <w:tcPr>
            <w:tcW w:w="1701" w:type="dxa"/>
          </w:tcPr>
          <w:p w14:paraId="6C6903E2" w14:textId="77777777" w:rsidR="00AD1F54" w:rsidRPr="00264D5D" w:rsidRDefault="00941227">
            <w:pPr>
              <w:pStyle w:val="GOSTTablenorm"/>
            </w:pPr>
            <w:r w:rsidRPr="00264D5D">
              <w:rPr>
                <w:b/>
                <w:szCs w:val="22"/>
              </w:rPr>
              <w:lastRenderedPageBreak/>
              <w:t>Line</w:t>
            </w:r>
          </w:p>
        </w:tc>
        <w:tc>
          <w:tcPr>
            <w:tcW w:w="567" w:type="dxa"/>
          </w:tcPr>
          <w:p w14:paraId="13C6D384" w14:textId="77777777" w:rsidR="00AD1F54" w:rsidRPr="00264D5D" w:rsidRDefault="00941227">
            <w:pPr>
              <w:pStyle w:val="GOSTTablenorm"/>
              <w:jc w:val="center"/>
            </w:pPr>
            <w:r w:rsidRPr="00264D5D">
              <w:rPr>
                <w:b/>
                <w:szCs w:val="22"/>
              </w:rPr>
              <w:t>-</w:t>
            </w:r>
          </w:p>
        </w:tc>
        <w:tc>
          <w:tcPr>
            <w:tcW w:w="1134" w:type="dxa"/>
          </w:tcPr>
          <w:p w14:paraId="4DAD1D55" w14:textId="77777777" w:rsidR="00AD1F54" w:rsidRPr="00264D5D" w:rsidRDefault="00941227">
            <w:pPr>
              <w:pStyle w:val="GOSTTablenorm"/>
              <w:rPr>
                <w:szCs w:val="22"/>
              </w:rPr>
            </w:pPr>
            <w:r w:rsidRPr="00264D5D">
              <w:rPr>
                <w:b/>
                <w:szCs w:val="22"/>
              </w:rPr>
              <w:t>-</w:t>
            </w:r>
          </w:p>
        </w:tc>
        <w:tc>
          <w:tcPr>
            <w:tcW w:w="567" w:type="dxa"/>
          </w:tcPr>
          <w:p w14:paraId="054B306E" w14:textId="77777777" w:rsidR="00AD1F54" w:rsidRPr="00264D5D" w:rsidRDefault="00941227">
            <w:pPr>
              <w:pStyle w:val="GOSTTablenorm"/>
              <w:jc w:val="center"/>
            </w:pPr>
            <w:r w:rsidRPr="00264D5D">
              <w:rPr>
                <w:b/>
                <w:szCs w:val="22"/>
              </w:rPr>
              <w:t>НМ</w:t>
            </w:r>
          </w:p>
        </w:tc>
        <w:tc>
          <w:tcPr>
            <w:tcW w:w="3963" w:type="dxa"/>
          </w:tcPr>
          <w:p w14:paraId="308DAAAD" w14:textId="77777777" w:rsidR="00AD1F54" w:rsidRPr="00264D5D" w:rsidRDefault="00941227">
            <w:pPr>
              <w:pStyle w:val="GOSTTablenorm"/>
            </w:pPr>
            <w:r w:rsidRPr="00264D5D">
              <w:rPr>
                <w:b/>
                <w:szCs w:val="22"/>
              </w:rPr>
              <w:t>-</w:t>
            </w:r>
          </w:p>
        </w:tc>
      </w:tr>
      <w:tr w:rsidR="00AD1F54" w:rsidRPr="00264D5D" w14:paraId="67A726B1"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458E7769" w14:textId="77777777" w:rsidR="00AD1F54" w:rsidRPr="00264D5D" w:rsidRDefault="00941227">
            <w:pPr>
              <w:pStyle w:val="GOSTTablenorm"/>
            </w:pPr>
            <w:r w:rsidRPr="00264D5D">
              <w:lastRenderedPageBreak/>
              <w:t>Номер секции формы</w:t>
            </w:r>
          </w:p>
          <w:p w14:paraId="0587D735" w14:textId="77777777" w:rsidR="00AD1F54" w:rsidRPr="00264D5D" w:rsidRDefault="00AD1F54">
            <w:pPr>
              <w:pStyle w:val="GOSTTablenorm"/>
              <w:rPr>
                <w:szCs w:val="22"/>
              </w:rPr>
            </w:pPr>
          </w:p>
        </w:tc>
        <w:tc>
          <w:tcPr>
            <w:tcW w:w="1701" w:type="dxa"/>
          </w:tcPr>
          <w:p w14:paraId="4757BA7C" w14:textId="77777777" w:rsidR="00AD1F54" w:rsidRPr="00264D5D" w:rsidRDefault="00941227">
            <w:pPr>
              <w:pStyle w:val="GOSTTablenorm"/>
            </w:pPr>
            <w:r w:rsidRPr="00264D5D">
              <w:t>SectionNumber</w:t>
            </w:r>
          </w:p>
        </w:tc>
        <w:tc>
          <w:tcPr>
            <w:tcW w:w="567" w:type="dxa"/>
          </w:tcPr>
          <w:p w14:paraId="0B9A03A9" w14:textId="77777777" w:rsidR="00AD1F54" w:rsidRPr="00264D5D" w:rsidRDefault="00941227">
            <w:pPr>
              <w:pStyle w:val="GOSTTablenorm"/>
              <w:jc w:val="center"/>
            </w:pPr>
            <w:r w:rsidRPr="00264D5D">
              <w:t>П</w:t>
            </w:r>
          </w:p>
        </w:tc>
        <w:tc>
          <w:tcPr>
            <w:tcW w:w="1134" w:type="dxa"/>
          </w:tcPr>
          <w:p w14:paraId="2E8B315A" w14:textId="77777777" w:rsidR="00AD1F54" w:rsidRPr="00264D5D" w:rsidRDefault="00941227">
            <w:pPr>
              <w:pStyle w:val="GOSTTablenorm"/>
              <w:rPr>
                <w:szCs w:val="22"/>
              </w:rPr>
            </w:pPr>
            <w:r w:rsidRPr="00264D5D">
              <w:rPr>
                <w:lang w:val="en-US"/>
              </w:rPr>
              <w:t>T</w:t>
            </w:r>
            <w:r w:rsidRPr="00264D5D">
              <w:t>(</w:t>
            </w:r>
            <w:r w:rsidRPr="00264D5D">
              <w:rPr>
                <w:lang w:val="en-US"/>
              </w:rPr>
              <w:t>1-</w:t>
            </w:r>
            <w:r w:rsidRPr="00264D5D">
              <w:t>240)</w:t>
            </w:r>
          </w:p>
        </w:tc>
        <w:tc>
          <w:tcPr>
            <w:tcW w:w="567" w:type="dxa"/>
          </w:tcPr>
          <w:p w14:paraId="2CF1240F" w14:textId="77777777" w:rsidR="00AD1F54" w:rsidRPr="00264D5D" w:rsidRDefault="00941227">
            <w:pPr>
              <w:pStyle w:val="GOSTTablenorm"/>
              <w:jc w:val="center"/>
            </w:pPr>
            <w:r w:rsidRPr="00264D5D">
              <w:t>O</w:t>
            </w:r>
          </w:p>
        </w:tc>
        <w:tc>
          <w:tcPr>
            <w:tcW w:w="3963" w:type="dxa"/>
          </w:tcPr>
          <w:p w14:paraId="3A012F89" w14:textId="77777777" w:rsidR="00AD1F54" w:rsidRPr="00264D5D" w:rsidRDefault="00941227">
            <w:pPr>
              <w:pStyle w:val="GOSTTablenorm"/>
              <w:rPr>
                <w:szCs w:val="22"/>
              </w:rPr>
            </w:pPr>
            <w:r w:rsidRPr="00264D5D">
              <w:rPr>
                <w:szCs w:val="22"/>
              </w:rPr>
              <w:t>Указывается номер секции/раздела:</w:t>
            </w:r>
          </w:p>
          <w:p w14:paraId="5A897DAC" w14:textId="77777777" w:rsidR="00AD1F54" w:rsidRPr="00264D5D" w:rsidRDefault="00941227" w:rsidP="00E7460C">
            <w:pPr>
              <w:pStyle w:val="GOSTTablenorm"/>
              <w:numPr>
                <w:ilvl w:val="0"/>
                <w:numId w:val="113"/>
              </w:numPr>
              <w:ind w:left="284" w:hanging="227"/>
            </w:pPr>
            <w:r w:rsidRPr="00264D5D">
              <w:rPr>
                <w:szCs w:val="22"/>
              </w:rPr>
              <w:t>7 – для раздела «4. Денежные обязательства 4.2. Перед</w:t>
            </w:r>
            <w:r w:rsidR="005D5F06" w:rsidRPr="00264D5D">
              <w:rPr>
                <w:szCs w:val="22"/>
              </w:rPr>
              <w:t>аваемые денежные обязательства»</w:t>
            </w:r>
          </w:p>
        </w:tc>
      </w:tr>
      <w:tr w:rsidR="00AD1F54" w:rsidRPr="00264D5D" w14:paraId="394BC1F6"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2845422" w14:textId="77777777" w:rsidR="00AD1F54" w:rsidRPr="00264D5D" w:rsidRDefault="00941227">
            <w:pPr>
              <w:pStyle w:val="GOSTTablenorm"/>
              <w:rPr>
                <w:szCs w:val="22"/>
              </w:rPr>
            </w:pPr>
            <w:r w:rsidRPr="00264D5D">
              <w:t xml:space="preserve">Учетный номер обязательства </w:t>
            </w:r>
          </w:p>
        </w:tc>
        <w:tc>
          <w:tcPr>
            <w:tcW w:w="1701" w:type="dxa"/>
          </w:tcPr>
          <w:p w14:paraId="799C4B2E" w14:textId="77777777" w:rsidR="00AD1F54" w:rsidRPr="00264D5D" w:rsidRDefault="00941227">
            <w:pPr>
              <w:pStyle w:val="GOSTTablenorm"/>
            </w:pPr>
            <w:r w:rsidRPr="00264D5D">
              <w:t>Data_VC020</w:t>
            </w:r>
          </w:p>
        </w:tc>
        <w:tc>
          <w:tcPr>
            <w:tcW w:w="567" w:type="dxa"/>
          </w:tcPr>
          <w:p w14:paraId="7BFD11B4" w14:textId="77777777" w:rsidR="00AD1F54" w:rsidRPr="00264D5D" w:rsidRDefault="00941227">
            <w:pPr>
              <w:pStyle w:val="GOSTTablenorm"/>
              <w:jc w:val="center"/>
            </w:pPr>
            <w:r w:rsidRPr="00264D5D">
              <w:t>П</w:t>
            </w:r>
          </w:p>
        </w:tc>
        <w:tc>
          <w:tcPr>
            <w:tcW w:w="1134" w:type="dxa"/>
          </w:tcPr>
          <w:p w14:paraId="369D191B" w14:textId="77777777" w:rsidR="00AD1F54" w:rsidRPr="00264D5D" w:rsidRDefault="00941227">
            <w:pPr>
              <w:pStyle w:val="GOSTTablenorm"/>
              <w:rPr>
                <w:szCs w:val="22"/>
              </w:rPr>
            </w:pPr>
            <w:r w:rsidRPr="00264D5D">
              <w:rPr>
                <w:lang w:val="en-US"/>
              </w:rPr>
              <w:t>T</w:t>
            </w:r>
            <w:r w:rsidRPr="00264D5D">
              <w:t>(</w:t>
            </w:r>
            <w:r w:rsidRPr="00264D5D">
              <w:rPr>
                <w:lang w:val="en-US"/>
              </w:rPr>
              <w:t>1-</w:t>
            </w:r>
            <w:r w:rsidRPr="00264D5D">
              <w:t>25)</w:t>
            </w:r>
            <w:r w:rsidRPr="00264D5D">
              <w:rPr>
                <w:szCs w:val="22"/>
              </w:rPr>
              <w:t xml:space="preserve"> </w:t>
            </w:r>
          </w:p>
        </w:tc>
        <w:tc>
          <w:tcPr>
            <w:tcW w:w="567" w:type="dxa"/>
          </w:tcPr>
          <w:p w14:paraId="43D8FE3F" w14:textId="77777777" w:rsidR="00AD1F54" w:rsidRPr="00264D5D" w:rsidRDefault="00941227">
            <w:pPr>
              <w:pStyle w:val="GOSTTablenorm"/>
              <w:jc w:val="center"/>
            </w:pPr>
            <w:r w:rsidRPr="00264D5D">
              <w:t>Н</w:t>
            </w:r>
          </w:p>
        </w:tc>
        <w:tc>
          <w:tcPr>
            <w:tcW w:w="3963" w:type="dxa"/>
          </w:tcPr>
          <w:p w14:paraId="769E7DC4" w14:textId="77777777" w:rsidR="00AD1F54" w:rsidRPr="00264D5D" w:rsidRDefault="00941227">
            <w:pPr>
              <w:pStyle w:val="GOSTTablenorm"/>
            </w:pPr>
            <w:r w:rsidRPr="00264D5D">
              <w:t xml:space="preserve">Указывается учетный номер денежного обязательства, передаваемого </w:t>
            </w:r>
            <w:r w:rsidR="005D5F06" w:rsidRPr="00264D5D">
              <w:t>реорганизуемым УБП</w:t>
            </w:r>
          </w:p>
        </w:tc>
      </w:tr>
      <w:tr w:rsidR="00AD1F54" w:rsidRPr="00264D5D" w14:paraId="0FD05EB5"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2A5CDAA7" w14:textId="77777777" w:rsidR="00AD1F54" w:rsidRPr="00264D5D" w:rsidRDefault="00941227">
            <w:pPr>
              <w:pStyle w:val="GOSTTablenorm"/>
              <w:rPr>
                <w:szCs w:val="22"/>
              </w:rPr>
            </w:pPr>
            <w:r w:rsidRPr="00264D5D">
              <w:t>Код объекта ФАИП/КМИ передающего УБП</w:t>
            </w:r>
          </w:p>
        </w:tc>
        <w:tc>
          <w:tcPr>
            <w:tcW w:w="1701" w:type="dxa"/>
          </w:tcPr>
          <w:p w14:paraId="473CFBCE" w14:textId="77777777" w:rsidR="00AD1F54" w:rsidRPr="00264D5D" w:rsidRDefault="00941227">
            <w:pPr>
              <w:pStyle w:val="GOSTTablenorm"/>
            </w:pPr>
            <w:r w:rsidRPr="00264D5D">
              <w:t>Data_VC025</w:t>
            </w:r>
          </w:p>
        </w:tc>
        <w:tc>
          <w:tcPr>
            <w:tcW w:w="567" w:type="dxa"/>
          </w:tcPr>
          <w:p w14:paraId="0994DE16" w14:textId="77777777" w:rsidR="00AD1F54" w:rsidRPr="00264D5D" w:rsidRDefault="00941227">
            <w:pPr>
              <w:pStyle w:val="GOSTTablenorm"/>
              <w:jc w:val="center"/>
            </w:pPr>
            <w:r w:rsidRPr="00264D5D">
              <w:t>П</w:t>
            </w:r>
          </w:p>
        </w:tc>
        <w:tc>
          <w:tcPr>
            <w:tcW w:w="1134" w:type="dxa"/>
          </w:tcPr>
          <w:p w14:paraId="2F18BA13" w14:textId="77777777" w:rsidR="00AD1F54" w:rsidRPr="00264D5D" w:rsidRDefault="00941227">
            <w:pPr>
              <w:pStyle w:val="GOSTTablenorm"/>
              <w:rPr>
                <w:szCs w:val="22"/>
              </w:rPr>
            </w:pPr>
            <w:r w:rsidRPr="00264D5D">
              <w:rPr>
                <w:lang w:val="en-US"/>
              </w:rPr>
              <w:t>T</w:t>
            </w:r>
            <w:r w:rsidRPr="00264D5D">
              <w:t>(</w:t>
            </w:r>
            <w:r w:rsidRPr="00264D5D">
              <w:rPr>
                <w:lang w:val="en-US"/>
              </w:rPr>
              <w:t>1-</w:t>
            </w:r>
            <w:r w:rsidRPr="00264D5D">
              <w:t>24)</w:t>
            </w:r>
          </w:p>
        </w:tc>
        <w:tc>
          <w:tcPr>
            <w:tcW w:w="567" w:type="dxa"/>
          </w:tcPr>
          <w:p w14:paraId="62A73AB3" w14:textId="77777777" w:rsidR="00AD1F54" w:rsidRPr="00264D5D" w:rsidRDefault="00941227">
            <w:pPr>
              <w:pStyle w:val="GOSTTablenorm"/>
              <w:jc w:val="center"/>
            </w:pPr>
            <w:r w:rsidRPr="00264D5D">
              <w:t>Н</w:t>
            </w:r>
          </w:p>
        </w:tc>
        <w:tc>
          <w:tcPr>
            <w:tcW w:w="3963" w:type="dxa"/>
          </w:tcPr>
          <w:p w14:paraId="4483D006" w14:textId="77777777" w:rsidR="00AD1F54" w:rsidRPr="00264D5D" w:rsidRDefault="00941227">
            <w:pPr>
              <w:pStyle w:val="GOSTTablenorm"/>
            </w:pPr>
            <w:r w:rsidRPr="00264D5D">
              <w:t xml:space="preserve">Указывается код объекта ФАИП в соответствии со справочником «ФАИП» или КМИ в соответствии со </w:t>
            </w:r>
            <w:r w:rsidR="005D5F06" w:rsidRPr="00264D5D">
              <w:t>справочником КМИ (при наличии)</w:t>
            </w:r>
          </w:p>
        </w:tc>
      </w:tr>
      <w:tr w:rsidR="00AD1F54" w:rsidRPr="00264D5D" w14:paraId="3638ADBF"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7CE0824" w14:textId="77777777" w:rsidR="00AD1F54" w:rsidRPr="00264D5D" w:rsidRDefault="00941227">
            <w:pPr>
              <w:pStyle w:val="GOSTTablenorm"/>
            </w:pPr>
            <w:r w:rsidRPr="00264D5D">
              <w:t>Код объекта ФАИП/КМИ принимающего УБП</w:t>
            </w:r>
          </w:p>
        </w:tc>
        <w:tc>
          <w:tcPr>
            <w:tcW w:w="1701" w:type="dxa"/>
          </w:tcPr>
          <w:p w14:paraId="461B245F" w14:textId="77777777" w:rsidR="00AD1F54" w:rsidRPr="00264D5D" w:rsidRDefault="00941227">
            <w:pPr>
              <w:pStyle w:val="GOSTTablenorm"/>
            </w:pPr>
            <w:r w:rsidRPr="00264D5D">
              <w:t>Data_VC036</w:t>
            </w:r>
          </w:p>
        </w:tc>
        <w:tc>
          <w:tcPr>
            <w:tcW w:w="567" w:type="dxa"/>
          </w:tcPr>
          <w:p w14:paraId="1A4F1B71" w14:textId="77777777" w:rsidR="00AD1F54" w:rsidRPr="00264D5D" w:rsidRDefault="00941227">
            <w:pPr>
              <w:pStyle w:val="GOSTTablenorm"/>
              <w:jc w:val="center"/>
            </w:pPr>
            <w:r w:rsidRPr="00264D5D">
              <w:t>П</w:t>
            </w:r>
          </w:p>
        </w:tc>
        <w:tc>
          <w:tcPr>
            <w:tcW w:w="1134" w:type="dxa"/>
          </w:tcPr>
          <w:p w14:paraId="67DC8A1A" w14:textId="77777777" w:rsidR="00AD1F54" w:rsidRPr="00264D5D" w:rsidRDefault="00941227">
            <w:pPr>
              <w:pStyle w:val="GOSTTablenorm"/>
              <w:rPr>
                <w:lang w:val="en-US"/>
              </w:rPr>
            </w:pPr>
            <w:r w:rsidRPr="00264D5D">
              <w:rPr>
                <w:lang w:val="en-US"/>
              </w:rPr>
              <w:t>T</w:t>
            </w:r>
            <w:r w:rsidRPr="00264D5D">
              <w:t>(</w:t>
            </w:r>
            <w:r w:rsidRPr="00264D5D">
              <w:rPr>
                <w:lang w:val="en-US"/>
              </w:rPr>
              <w:t>1-</w:t>
            </w:r>
            <w:r w:rsidRPr="00264D5D">
              <w:t>24)</w:t>
            </w:r>
          </w:p>
        </w:tc>
        <w:tc>
          <w:tcPr>
            <w:tcW w:w="567" w:type="dxa"/>
          </w:tcPr>
          <w:p w14:paraId="12AAEF4D" w14:textId="77777777" w:rsidR="00AD1F54" w:rsidRPr="00264D5D" w:rsidRDefault="00941227">
            <w:pPr>
              <w:pStyle w:val="GOSTTablenorm"/>
              <w:jc w:val="center"/>
            </w:pPr>
            <w:r w:rsidRPr="00264D5D">
              <w:t>Н</w:t>
            </w:r>
          </w:p>
        </w:tc>
        <w:tc>
          <w:tcPr>
            <w:tcW w:w="3963" w:type="dxa"/>
          </w:tcPr>
          <w:p w14:paraId="42AB0702" w14:textId="77777777" w:rsidR="00AD1F54" w:rsidRPr="00264D5D" w:rsidRDefault="00941227">
            <w:pPr>
              <w:pStyle w:val="GOSTTablenorm"/>
            </w:pPr>
            <w:r w:rsidRPr="00264D5D">
              <w:t xml:space="preserve">Указывается код объекта ФАИП в соответствии со справочником «ФАИП» или КМИ в соответствии со </w:t>
            </w:r>
            <w:r w:rsidR="005D5F06" w:rsidRPr="00264D5D">
              <w:t>справочником КМИ (при наличии)</w:t>
            </w:r>
          </w:p>
        </w:tc>
      </w:tr>
      <w:tr w:rsidR="00AD1F54" w:rsidRPr="00264D5D" w14:paraId="58C5EA17"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376E3FF2" w14:textId="77777777" w:rsidR="00AD1F54" w:rsidRPr="00264D5D" w:rsidRDefault="00941227">
            <w:pPr>
              <w:pStyle w:val="GOSTTablenorm"/>
              <w:rPr>
                <w:szCs w:val="22"/>
              </w:rPr>
            </w:pPr>
            <w:r w:rsidRPr="00264D5D">
              <w:t>КБК передаваемого УБП</w:t>
            </w:r>
            <w:r w:rsidRPr="00264D5D">
              <w:rPr>
                <w:szCs w:val="22"/>
              </w:rPr>
              <w:t xml:space="preserve"> </w:t>
            </w:r>
          </w:p>
        </w:tc>
        <w:tc>
          <w:tcPr>
            <w:tcW w:w="1701" w:type="dxa"/>
          </w:tcPr>
          <w:p w14:paraId="1B97EC4D" w14:textId="77777777" w:rsidR="00AD1F54" w:rsidRPr="00264D5D" w:rsidRDefault="00941227">
            <w:pPr>
              <w:pStyle w:val="GOSTTablenorm"/>
            </w:pPr>
            <w:r w:rsidRPr="00264D5D">
              <w:t>Data_VC021</w:t>
            </w:r>
          </w:p>
        </w:tc>
        <w:tc>
          <w:tcPr>
            <w:tcW w:w="567" w:type="dxa"/>
          </w:tcPr>
          <w:p w14:paraId="2E510118" w14:textId="77777777" w:rsidR="00AD1F54" w:rsidRPr="00264D5D" w:rsidRDefault="00941227">
            <w:pPr>
              <w:pStyle w:val="GOSTTablenorm"/>
              <w:jc w:val="center"/>
            </w:pPr>
            <w:r w:rsidRPr="00264D5D">
              <w:t>П</w:t>
            </w:r>
          </w:p>
        </w:tc>
        <w:tc>
          <w:tcPr>
            <w:tcW w:w="1134" w:type="dxa"/>
          </w:tcPr>
          <w:p w14:paraId="74A3B541" w14:textId="77777777" w:rsidR="00AD1F54" w:rsidRPr="00264D5D" w:rsidRDefault="00941227">
            <w:pPr>
              <w:pStyle w:val="GOSTTablenorm"/>
              <w:rPr>
                <w:szCs w:val="22"/>
              </w:rPr>
            </w:pPr>
            <w:r w:rsidRPr="00264D5D">
              <w:rPr>
                <w:lang w:val="en-US"/>
              </w:rPr>
              <w:t>T</w:t>
            </w:r>
            <w:r w:rsidRPr="00264D5D">
              <w:t>(20)</w:t>
            </w:r>
          </w:p>
        </w:tc>
        <w:tc>
          <w:tcPr>
            <w:tcW w:w="567" w:type="dxa"/>
          </w:tcPr>
          <w:p w14:paraId="476D8004" w14:textId="77777777" w:rsidR="00AD1F54" w:rsidRPr="00264D5D" w:rsidRDefault="00941227">
            <w:pPr>
              <w:pStyle w:val="GOSTTablenorm"/>
              <w:jc w:val="center"/>
            </w:pPr>
            <w:r w:rsidRPr="00264D5D">
              <w:t>O</w:t>
            </w:r>
          </w:p>
        </w:tc>
        <w:tc>
          <w:tcPr>
            <w:tcW w:w="3963" w:type="dxa"/>
          </w:tcPr>
          <w:p w14:paraId="4ED4E79A" w14:textId="77777777" w:rsidR="00AD1F54" w:rsidRPr="00264D5D" w:rsidRDefault="005D5F06">
            <w:pPr>
              <w:pStyle w:val="GOSTTablenorm"/>
            </w:pPr>
            <w:r w:rsidRPr="00264D5D">
              <w:t>Указывается код по БК</w:t>
            </w:r>
            <w:r w:rsidR="00941227" w:rsidRPr="00264D5D">
              <w:t xml:space="preserve"> расходов федерального бюджета, в разрезе которых было им учтено передаваемое денежное обязательство</w:t>
            </w:r>
          </w:p>
        </w:tc>
      </w:tr>
      <w:tr w:rsidR="00AD1F54" w:rsidRPr="00264D5D" w14:paraId="00B60623"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BB26AD1" w14:textId="77777777" w:rsidR="00AD1F54" w:rsidRPr="00264D5D" w:rsidRDefault="00941227">
            <w:pPr>
              <w:pStyle w:val="GOSTTablenorm"/>
              <w:rPr>
                <w:szCs w:val="22"/>
              </w:rPr>
            </w:pPr>
            <w:r w:rsidRPr="00264D5D">
              <w:t>КБК принимаемого УБП</w:t>
            </w:r>
            <w:r w:rsidRPr="00264D5D">
              <w:rPr>
                <w:szCs w:val="22"/>
              </w:rPr>
              <w:t xml:space="preserve"> </w:t>
            </w:r>
          </w:p>
        </w:tc>
        <w:tc>
          <w:tcPr>
            <w:tcW w:w="1701" w:type="dxa"/>
          </w:tcPr>
          <w:p w14:paraId="46B8B46F" w14:textId="77777777" w:rsidR="00AD1F54" w:rsidRPr="00264D5D" w:rsidRDefault="00941227">
            <w:pPr>
              <w:pStyle w:val="GOSTTablenorm"/>
            </w:pPr>
            <w:r w:rsidRPr="00264D5D">
              <w:t>Data_VC022</w:t>
            </w:r>
          </w:p>
        </w:tc>
        <w:tc>
          <w:tcPr>
            <w:tcW w:w="567" w:type="dxa"/>
          </w:tcPr>
          <w:p w14:paraId="36EEDE5E" w14:textId="77777777" w:rsidR="00AD1F54" w:rsidRPr="00264D5D" w:rsidRDefault="00941227">
            <w:pPr>
              <w:pStyle w:val="GOSTTablenorm"/>
              <w:jc w:val="center"/>
            </w:pPr>
            <w:r w:rsidRPr="00264D5D">
              <w:t>П</w:t>
            </w:r>
          </w:p>
        </w:tc>
        <w:tc>
          <w:tcPr>
            <w:tcW w:w="1134" w:type="dxa"/>
          </w:tcPr>
          <w:p w14:paraId="04D5800A" w14:textId="77777777" w:rsidR="00AD1F54" w:rsidRPr="00264D5D" w:rsidRDefault="00941227">
            <w:pPr>
              <w:pStyle w:val="GOSTTablenorm"/>
              <w:rPr>
                <w:szCs w:val="22"/>
              </w:rPr>
            </w:pPr>
            <w:r w:rsidRPr="00264D5D">
              <w:rPr>
                <w:lang w:val="en-US"/>
              </w:rPr>
              <w:t>T</w:t>
            </w:r>
            <w:r w:rsidRPr="00264D5D">
              <w:t>(20)</w:t>
            </w:r>
          </w:p>
        </w:tc>
        <w:tc>
          <w:tcPr>
            <w:tcW w:w="567" w:type="dxa"/>
          </w:tcPr>
          <w:p w14:paraId="0D9DA27A" w14:textId="77777777" w:rsidR="00AD1F54" w:rsidRPr="00264D5D" w:rsidRDefault="00941227">
            <w:pPr>
              <w:pStyle w:val="GOSTTablenorm"/>
              <w:jc w:val="center"/>
            </w:pPr>
            <w:r w:rsidRPr="00264D5D">
              <w:t>O</w:t>
            </w:r>
          </w:p>
        </w:tc>
        <w:tc>
          <w:tcPr>
            <w:tcW w:w="3963" w:type="dxa"/>
          </w:tcPr>
          <w:p w14:paraId="736EE78D" w14:textId="77777777" w:rsidR="00AD1F54" w:rsidRPr="00264D5D" w:rsidRDefault="005D5F06">
            <w:pPr>
              <w:pStyle w:val="GOSTTablenorm"/>
            </w:pPr>
            <w:r w:rsidRPr="00264D5D">
              <w:t>Указывается код по БК</w:t>
            </w:r>
            <w:r w:rsidR="00941227" w:rsidRPr="00264D5D">
              <w:t xml:space="preserve"> расходов расходов федерального бюджета, в разре</w:t>
            </w:r>
            <w:r w:rsidRPr="00264D5D">
              <w:t>зе которых принимается денежное</w:t>
            </w:r>
          </w:p>
        </w:tc>
      </w:tr>
      <w:tr w:rsidR="00AD1F54" w:rsidRPr="00264D5D" w14:paraId="50B68BDA"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62160E35" w14:textId="77777777" w:rsidR="00AD1F54" w:rsidRPr="00264D5D" w:rsidRDefault="00941227">
            <w:pPr>
              <w:pStyle w:val="GOSTTablenorm"/>
              <w:rPr>
                <w:szCs w:val="22"/>
              </w:rPr>
            </w:pPr>
            <w:r w:rsidRPr="00264D5D">
              <w:t xml:space="preserve">Аналитический код </w:t>
            </w:r>
          </w:p>
        </w:tc>
        <w:tc>
          <w:tcPr>
            <w:tcW w:w="1701" w:type="dxa"/>
          </w:tcPr>
          <w:p w14:paraId="032BE884" w14:textId="77777777" w:rsidR="00AD1F54" w:rsidRPr="00264D5D" w:rsidRDefault="00941227">
            <w:pPr>
              <w:pStyle w:val="GOSTTablenorm"/>
            </w:pPr>
            <w:r w:rsidRPr="00264D5D">
              <w:t>Data_VC029</w:t>
            </w:r>
          </w:p>
        </w:tc>
        <w:tc>
          <w:tcPr>
            <w:tcW w:w="567" w:type="dxa"/>
          </w:tcPr>
          <w:p w14:paraId="4683C60D" w14:textId="77777777" w:rsidR="00AD1F54" w:rsidRPr="00264D5D" w:rsidRDefault="00941227">
            <w:pPr>
              <w:pStyle w:val="GOSTTablenorm"/>
              <w:jc w:val="center"/>
            </w:pPr>
            <w:r w:rsidRPr="00264D5D">
              <w:t>П</w:t>
            </w:r>
          </w:p>
        </w:tc>
        <w:tc>
          <w:tcPr>
            <w:tcW w:w="1134" w:type="dxa"/>
          </w:tcPr>
          <w:p w14:paraId="4851C01C" w14:textId="77777777" w:rsidR="00AD1F54" w:rsidRPr="00264D5D" w:rsidRDefault="00941227">
            <w:pPr>
              <w:pStyle w:val="GOSTTablenorm"/>
              <w:rPr>
                <w:szCs w:val="22"/>
              </w:rPr>
            </w:pPr>
            <w:r w:rsidRPr="00264D5D">
              <w:rPr>
                <w:lang w:val="en-US"/>
              </w:rPr>
              <w:t>T</w:t>
            </w:r>
            <w:r w:rsidRPr="00264D5D">
              <w:t>(</w:t>
            </w:r>
            <w:r w:rsidRPr="00264D5D">
              <w:rPr>
                <w:lang w:val="en-US"/>
              </w:rPr>
              <w:t>1-</w:t>
            </w:r>
            <w:r w:rsidRPr="00264D5D">
              <w:t>20)</w:t>
            </w:r>
          </w:p>
        </w:tc>
        <w:tc>
          <w:tcPr>
            <w:tcW w:w="567" w:type="dxa"/>
          </w:tcPr>
          <w:p w14:paraId="0343C56C" w14:textId="77777777" w:rsidR="00AD1F54" w:rsidRPr="00264D5D" w:rsidRDefault="00941227">
            <w:pPr>
              <w:pStyle w:val="GOSTTablenorm"/>
              <w:jc w:val="center"/>
            </w:pPr>
            <w:r w:rsidRPr="00264D5D">
              <w:t>Н</w:t>
            </w:r>
          </w:p>
        </w:tc>
        <w:tc>
          <w:tcPr>
            <w:tcW w:w="3963" w:type="dxa"/>
          </w:tcPr>
          <w:p w14:paraId="59F96C24" w14:textId="77777777" w:rsidR="00AD1F54" w:rsidRPr="00264D5D" w:rsidRDefault="00941227">
            <w:pPr>
              <w:pStyle w:val="GOSTTablenorm"/>
            </w:pPr>
            <w:r w:rsidRPr="00264D5D">
              <w:t>Указывается код цели (аналит</w:t>
            </w:r>
            <w:r w:rsidR="005D5F06" w:rsidRPr="00264D5D">
              <w:t>ический код) передающей стороны</w:t>
            </w:r>
          </w:p>
        </w:tc>
      </w:tr>
      <w:tr w:rsidR="00AD1F54" w:rsidRPr="00264D5D" w14:paraId="3F0FDFB9"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62014D2" w14:textId="77777777" w:rsidR="00AD1F54" w:rsidRPr="00264D5D" w:rsidRDefault="00941227">
            <w:pPr>
              <w:pStyle w:val="GOSTTablenorm"/>
              <w:rPr>
                <w:szCs w:val="22"/>
              </w:rPr>
            </w:pPr>
            <w:r w:rsidRPr="00264D5D">
              <w:t xml:space="preserve">Наименование вида средств </w:t>
            </w:r>
          </w:p>
        </w:tc>
        <w:tc>
          <w:tcPr>
            <w:tcW w:w="1701" w:type="dxa"/>
          </w:tcPr>
          <w:p w14:paraId="17CB81FA" w14:textId="77777777" w:rsidR="00AD1F54" w:rsidRPr="00264D5D" w:rsidRDefault="00941227">
            <w:pPr>
              <w:pStyle w:val="GOSTTablenorm"/>
            </w:pPr>
            <w:r w:rsidRPr="00264D5D">
              <w:t>Data_VC024</w:t>
            </w:r>
          </w:p>
        </w:tc>
        <w:tc>
          <w:tcPr>
            <w:tcW w:w="567" w:type="dxa"/>
          </w:tcPr>
          <w:p w14:paraId="75460472" w14:textId="77777777" w:rsidR="00AD1F54" w:rsidRPr="00264D5D" w:rsidRDefault="00941227">
            <w:pPr>
              <w:pStyle w:val="GOSTTablenorm"/>
              <w:jc w:val="center"/>
            </w:pPr>
            <w:r w:rsidRPr="00264D5D">
              <w:t>П</w:t>
            </w:r>
          </w:p>
        </w:tc>
        <w:tc>
          <w:tcPr>
            <w:tcW w:w="1134" w:type="dxa"/>
          </w:tcPr>
          <w:p w14:paraId="1A258533" w14:textId="77777777" w:rsidR="00AD1F54" w:rsidRPr="00264D5D" w:rsidRDefault="00941227">
            <w:pPr>
              <w:pStyle w:val="GOSTTablenorm"/>
              <w:rPr>
                <w:szCs w:val="22"/>
              </w:rPr>
            </w:pPr>
            <w:r w:rsidRPr="00264D5D">
              <w:rPr>
                <w:lang w:val="en-US"/>
              </w:rPr>
              <w:t>T</w:t>
            </w:r>
            <w:r w:rsidRPr="00264D5D">
              <w:t>(</w:t>
            </w:r>
            <w:r w:rsidRPr="00264D5D">
              <w:rPr>
                <w:lang w:val="en-US"/>
              </w:rPr>
              <w:t>1-</w:t>
            </w:r>
            <w:r w:rsidRPr="00264D5D">
              <w:t>100)</w:t>
            </w:r>
          </w:p>
        </w:tc>
        <w:tc>
          <w:tcPr>
            <w:tcW w:w="567" w:type="dxa"/>
          </w:tcPr>
          <w:p w14:paraId="2C73ABB4" w14:textId="77777777" w:rsidR="00AD1F54" w:rsidRPr="00264D5D" w:rsidRDefault="00941227">
            <w:pPr>
              <w:pStyle w:val="GOSTTablenorm"/>
              <w:jc w:val="center"/>
            </w:pPr>
            <w:r w:rsidRPr="00264D5D">
              <w:t>O</w:t>
            </w:r>
          </w:p>
        </w:tc>
        <w:tc>
          <w:tcPr>
            <w:tcW w:w="3963" w:type="dxa"/>
          </w:tcPr>
          <w:p w14:paraId="6C8ED861" w14:textId="77777777" w:rsidR="00AD1F54" w:rsidRPr="00264D5D" w:rsidRDefault="00941227">
            <w:pPr>
              <w:pStyle w:val="GOSTTablenorm"/>
            </w:pPr>
            <w:r w:rsidRPr="00264D5D">
              <w:t xml:space="preserve">Указывается наименование вида средств, необходимого для исполнения денежного </w:t>
            </w:r>
            <w:r w:rsidR="005D5F06" w:rsidRPr="00264D5D">
              <w:t>обязательства: средства бюджета</w:t>
            </w:r>
          </w:p>
        </w:tc>
      </w:tr>
      <w:tr w:rsidR="00AD1F54" w:rsidRPr="00264D5D" w14:paraId="51B8F36F"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5F0697FE" w14:textId="77777777" w:rsidR="00AD1F54" w:rsidRPr="00264D5D" w:rsidRDefault="00941227">
            <w:pPr>
              <w:pStyle w:val="GOSTTablenorm"/>
              <w:rPr>
                <w:szCs w:val="22"/>
              </w:rPr>
            </w:pPr>
            <w:r w:rsidRPr="00264D5D">
              <w:rPr>
                <w:szCs w:val="22"/>
              </w:rPr>
              <w:t xml:space="preserve">Сумма в валюте обязательства: </w:t>
            </w:r>
          </w:p>
        </w:tc>
        <w:tc>
          <w:tcPr>
            <w:tcW w:w="1701" w:type="dxa"/>
          </w:tcPr>
          <w:p w14:paraId="1B01D8AC" w14:textId="77777777" w:rsidR="00AD1F54" w:rsidRPr="00264D5D" w:rsidRDefault="00941227">
            <w:pPr>
              <w:pStyle w:val="GOSTTablenorm"/>
            </w:pPr>
            <w:r w:rsidRPr="00264D5D">
              <w:t>Data034</w:t>
            </w:r>
          </w:p>
        </w:tc>
        <w:tc>
          <w:tcPr>
            <w:tcW w:w="567" w:type="dxa"/>
          </w:tcPr>
          <w:p w14:paraId="30E1F974" w14:textId="77777777" w:rsidR="00AD1F54" w:rsidRPr="00264D5D" w:rsidRDefault="00941227">
            <w:pPr>
              <w:pStyle w:val="GOSTTablenorm"/>
              <w:jc w:val="center"/>
            </w:pPr>
            <w:r w:rsidRPr="00264D5D">
              <w:t>П</w:t>
            </w:r>
          </w:p>
        </w:tc>
        <w:tc>
          <w:tcPr>
            <w:tcW w:w="1134" w:type="dxa"/>
          </w:tcPr>
          <w:p w14:paraId="682BAF1B" w14:textId="77777777" w:rsidR="00AD1F54" w:rsidRPr="00264D5D" w:rsidRDefault="00941227">
            <w:pPr>
              <w:pStyle w:val="GOSTTablenorm"/>
              <w:rPr>
                <w:szCs w:val="22"/>
              </w:rPr>
            </w:pPr>
            <w:r w:rsidRPr="00264D5D">
              <w:rPr>
                <w:szCs w:val="22"/>
              </w:rPr>
              <w:t>N(20.2)</w:t>
            </w:r>
          </w:p>
        </w:tc>
        <w:tc>
          <w:tcPr>
            <w:tcW w:w="567" w:type="dxa"/>
          </w:tcPr>
          <w:p w14:paraId="6EE98216" w14:textId="77777777" w:rsidR="00AD1F54" w:rsidRPr="00264D5D" w:rsidRDefault="00941227">
            <w:pPr>
              <w:pStyle w:val="GOSTTablenorm"/>
              <w:jc w:val="center"/>
            </w:pPr>
            <w:r w:rsidRPr="00264D5D">
              <w:t>Н</w:t>
            </w:r>
          </w:p>
        </w:tc>
        <w:tc>
          <w:tcPr>
            <w:tcW w:w="3963" w:type="dxa"/>
          </w:tcPr>
          <w:p w14:paraId="0F3079AF" w14:textId="77777777" w:rsidR="00AD1F54" w:rsidRPr="00264D5D" w:rsidRDefault="00941227">
            <w:pPr>
              <w:pStyle w:val="GOSTTablenorm"/>
            </w:pPr>
            <w:r w:rsidRPr="00264D5D">
              <w:t>Указывается сумма в валюте денежного обязательства по документу-основ</w:t>
            </w:r>
            <w:r w:rsidR="005D5F06" w:rsidRPr="00264D5D">
              <w:t>анию по денежному обязательству</w:t>
            </w:r>
          </w:p>
        </w:tc>
      </w:tr>
      <w:tr w:rsidR="00AD1F54" w:rsidRPr="00264D5D" w14:paraId="3D9171A2"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F5FC064" w14:textId="77777777" w:rsidR="00AD1F54" w:rsidRPr="00264D5D" w:rsidRDefault="00941227">
            <w:pPr>
              <w:pStyle w:val="GOSTTablenorm"/>
              <w:rPr>
                <w:szCs w:val="22"/>
              </w:rPr>
            </w:pPr>
            <w:r w:rsidRPr="00264D5D">
              <w:t xml:space="preserve">Код валюты по ОКВ </w:t>
            </w:r>
          </w:p>
        </w:tc>
        <w:tc>
          <w:tcPr>
            <w:tcW w:w="1701" w:type="dxa"/>
          </w:tcPr>
          <w:p w14:paraId="576498B7" w14:textId="77777777" w:rsidR="00AD1F54" w:rsidRPr="00264D5D" w:rsidRDefault="00941227">
            <w:pPr>
              <w:pStyle w:val="GOSTTablenorm"/>
            </w:pPr>
            <w:r w:rsidRPr="00264D5D">
              <w:t>Data_VC026</w:t>
            </w:r>
          </w:p>
        </w:tc>
        <w:tc>
          <w:tcPr>
            <w:tcW w:w="567" w:type="dxa"/>
          </w:tcPr>
          <w:p w14:paraId="49437CE5" w14:textId="77777777" w:rsidR="00AD1F54" w:rsidRPr="00264D5D" w:rsidRDefault="00941227">
            <w:pPr>
              <w:pStyle w:val="GOSTTablenorm"/>
              <w:jc w:val="center"/>
            </w:pPr>
            <w:r w:rsidRPr="00264D5D">
              <w:t>П</w:t>
            </w:r>
          </w:p>
        </w:tc>
        <w:tc>
          <w:tcPr>
            <w:tcW w:w="1134" w:type="dxa"/>
          </w:tcPr>
          <w:p w14:paraId="3D1B43EB" w14:textId="77777777" w:rsidR="00AD1F54" w:rsidRPr="00264D5D" w:rsidRDefault="00941227">
            <w:pPr>
              <w:pStyle w:val="GOSTTablenorm"/>
              <w:rPr>
                <w:szCs w:val="22"/>
              </w:rPr>
            </w:pPr>
            <w:r w:rsidRPr="00264D5D">
              <w:rPr>
                <w:lang w:val="en-US"/>
              </w:rPr>
              <w:t>T</w:t>
            </w:r>
            <w:r w:rsidRPr="00264D5D">
              <w:t>(3)</w:t>
            </w:r>
          </w:p>
        </w:tc>
        <w:tc>
          <w:tcPr>
            <w:tcW w:w="567" w:type="dxa"/>
          </w:tcPr>
          <w:p w14:paraId="5A096955" w14:textId="77777777" w:rsidR="00AD1F54" w:rsidRPr="00264D5D" w:rsidRDefault="00941227">
            <w:pPr>
              <w:pStyle w:val="GOSTTablenorm"/>
              <w:jc w:val="center"/>
            </w:pPr>
            <w:r w:rsidRPr="00264D5D">
              <w:t>O</w:t>
            </w:r>
          </w:p>
        </w:tc>
        <w:tc>
          <w:tcPr>
            <w:tcW w:w="3963" w:type="dxa"/>
          </w:tcPr>
          <w:p w14:paraId="361ACF5A" w14:textId="77777777" w:rsidR="00AD1F54" w:rsidRPr="00264D5D" w:rsidRDefault="00941227">
            <w:pPr>
              <w:pStyle w:val="GOSTTablenorm"/>
            </w:pPr>
            <w:r w:rsidRPr="00264D5D">
              <w:t>Указывается код валюты по ОКВ, в которой принято денежное обязател</w:t>
            </w:r>
            <w:r w:rsidR="005D5F06" w:rsidRPr="00264D5D">
              <w:t>ьство</w:t>
            </w:r>
          </w:p>
        </w:tc>
      </w:tr>
      <w:tr w:rsidR="00AD1F54" w:rsidRPr="00264D5D" w14:paraId="321B8D0E"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0FC127B3" w14:textId="77777777" w:rsidR="00AD1F54" w:rsidRPr="00264D5D" w:rsidRDefault="00941227">
            <w:pPr>
              <w:pStyle w:val="GOSTTablenorm"/>
              <w:rPr>
                <w:szCs w:val="22"/>
              </w:rPr>
            </w:pPr>
            <w:r w:rsidRPr="00264D5D">
              <w:rPr>
                <w:szCs w:val="22"/>
              </w:rPr>
              <w:t xml:space="preserve">Сумма в валюте Российской </w:t>
            </w:r>
            <w:r w:rsidRPr="00264D5D">
              <w:rPr>
                <w:szCs w:val="22"/>
              </w:rPr>
              <w:lastRenderedPageBreak/>
              <w:t xml:space="preserve">Федерации: учтено </w:t>
            </w:r>
          </w:p>
        </w:tc>
        <w:tc>
          <w:tcPr>
            <w:tcW w:w="1701" w:type="dxa"/>
          </w:tcPr>
          <w:p w14:paraId="001CBB53" w14:textId="77777777" w:rsidR="00AD1F54" w:rsidRPr="00264D5D" w:rsidRDefault="00941227">
            <w:pPr>
              <w:pStyle w:val="GOSTTablenorm"/>
            </w:pPr>
            <w:r w:rsidRPr="00264D5D">
              <w:lastRenderedPageBreak/>
              <w:t>Data035</w:t>
            </w:r>
          </w:p>
        </w:tc>
        <w:tc>
          <w:tcPr>
            <w:tcW w:w="567" w:type="dxa"/>
          </w:tcPr>
          <w:p w14:paraId="694B0297" w14:textId="77777777" w:rsidR="00AD1F54" w:rsidRPr="00264D5D" w:rsidRDefault="00941227">
            <w:pPr>
              <w:pStyle w:val="GOSTTablenorm"/>
              <w:jc w:val="center"/>
            </w:pPr>
            <w:r w:rsidRPr="00264D5D">
              <w:t>П</w:t>
            </w:r>
          </w:p>
        </w:tc>
        <w:tc>
          <w:tcPr>
            <w:tcW w:w="1134" w:type="dxa"/>
          </w:tcPr>
          <w:p w14:paraId="7DAF57D5" w14:textId="77777777" w:rsidR="00AD1F54" w:rsidRPr="00264D5D" w:rsidRDefault="00941227">
            <w:pPr>
              <w:pStyle w:val="GOSTTablenorm"/>
              <w:rPr>
                <w:szCs w:val="22"/>
              </w:rPr>
            </w:pPr>
            <w:r w:rsidRPr="00264D5D">
              <w:rPr>
                <w:szCs w:val="22"/>
              </w:rPr>
              <w:t>N(20.2)</w:t>
            </w:r>
          </w:p>
        </w:tc>
        <w:tc>
          <w:tcPr>
            <w:tcW w:w="567" w:type="dxa"/>
          </w:tcPr>
          <w:p w14:paraId="4AC99411" w14:textId="77777777" w:rsidR="00AD1F54" w:rsidRPr="00264D5D" w:rsidRDefault="00941227">
            <w:pPr>
              <w:pStyle w:val="GOSTTablenorm"/>
              <w:jc w:val="center"/>
            </w:pPr>
            <w:r w:rsidRPr="00264D5D">
              <w:t>Н</w:t>
            </w:r>
          </w:p>
        </w:tc>
        <w:tc>
          <w:tcPr>
            <w:tcW w:w="3963" w:type="dxa"/>
          </w:tcPr>
          <w:p w14:paraId="32423C99" w14:textId="77777777" w:rsidR="00AD1F54" w:rsidRPr="00264D5D" w:rsidRDefault="00941227">
            <w:pPr>
              <w:pStyle w:val="GOSTTablenorm"/>
            </w:pPr>
            <w:r w:rsidRPr="00264D5D">
              <w:t xml:space="preserve">Указывается суммы поставленных на учет денежных обязательств текущего </w:t>
            </w:r>
            <w:r w:rsidRPr="00264D5D">
              <w:lastRenderedPageBreak/>
              <w:t>финансового года в валюте РФ</w:t>
            </w:r>
          </w:p>
        </w:tc>
      </w:tr>
      <w:tr w:rsidR="00AD1F54" w:rsidRPr="00264D5D" w14:paraId="0E7D2ECE"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5FF12E6" w14:textId="77777777" w:rsidR="00AD1F54" w:rsidRPr="00264D5D" w:rsidRDefault="00941227">
            <w:pPr>
              <w:pStyle w:val="GOSTTablenorm"/>
              <w:rPr>
                <w:szCs w:val="22"/>
              </w:rPr>
            </w:pPr>
            <w:r w:rsidRPr="00264D5D">
              <w:rPr>
                <w:szCs w:val="22"/>
              </w:rPr>
              <w:lastRenderedPageBreak/>
              <w:t xml:space="preserve">Сумма в валюте Российской Федерации: исполнено: всего </w:t>
            </w:r>
          </w:p>
        </w:tc>
        <w:tc>
          <w:tcPr>
            <w:tcW w:w="1701" w:type="dxa"/>
          </w:tcPr>
          <w:p w14:paraId="0584DFF8" w14:textId="77777777" w:rsidR="00AD1F54" w:rsidRPr="00264D5D" w:rsidRDefault="00941227">
            <w:pPr>
              <w:pStyle w:val="GOSTTablenorm"/>
            </w:pPr>
            <w:r w:rsidRPr="00264D5D">
              <w:t>Data036</w:t>
            </w:r>
          </w:p>
        </w:tc>
        <w:tc>
          <w:tcPr>
            <w:tcW w:w="567" w:type="dxa"/>
          </w:tcPr>
          <w:p w14:paraId="5590DB79" w14:textId="77777777" w:rsidR="00AD1F54" w:rsidRPr="00264D5D" w:rsidRDefault="00941227">
            <w:pPr>
              <w:pStyle w:val="GOSTTablenorm"/>
              <w:jc w:val="center"/>
            </w:pPr>
            <w:r w:rsidRPr="00264D5D">
              <w:t>П</w:t>
            </w:r>
          </w:p>
        </w:tc>
        <w:tc>
          <w:tcPr>
            <w:tcW w:w="1134" w:type="dxa"/>
          </w:tcPr>
          <w:p w14:paraId="31409B82" w14:textId="77777777" w:rsidR="00AD1F54" w:rsidRPr="00264D5D" w:rsidRDefault="00941227">
            <w:pPr>
              <w:pStyle w:val="GOSTTablenorm"/>
              <w:rPr>
                <w:szCs w:val="22"/>
              </w:rPr>
            </w:pPr>
            <w:r w:rsidRPr="00264D5D">
              <w:rPr>
                <w:szCs w:val="22"/>
              </w:rPr>
              <w:t>N(20.2)</w:t>
            </w:r>
          </w:p>
        </w:tc>
        <w:tc>
          <w:tcPr>
            <w:tcW w:w="567" w:type="dxa"/>
          </w:tcPr>
          <w:p w14:paraId="169A88F2" w14:textId="77777777" w:rsidR="00AD1F54" w:rsidRPr="00264D5D" w:rsidRDefault="00941227">
            <w:pPr>
              <w:pStyle w:val="GOSTTablenorm"/>
              <w:jc w:val="center"/>
            </w:pPr>
            <w:r w:rsidRPr="00264D5D">
              <w:t>Н</w:t>
            </w:r>
          </w:p>
        </w:tc>
        <w:tc>
          <w:tcPr>
            <w:tcW w:w="3963" w:type="dxa"/>
          </w:tcPr>
          <w:p w14:paraId="418460AA" w14:textId="77777777" w:rsidR="00AD1F54" w:rsidRPr="00264D5D" w:rsidRDefault="00941227">
            <w:pPr>
              <w:pStyle w:val="GOSTTablenorm"/>
            </w:pPr>
            <w:r w:rsidRPr="00264D5D">
              <w:t>Указывается суммы исполненных денежных обязательств текуще</w:t>
            </w:r>
            <w:r w:rsidR="005D5F06" w:rsidRPr="00264D5D">
              <w:t>го финансового года в валюте РФ</w:t>
            </w:r>
          </w:p>
        </w:tc>
      </w:tr>
      <w:tr w:rsidR="00AD1F54" w:rsidRPr="00264D5D" w14:paraId="3D573C66"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3794E87" w14:textId="77777777" w:rsidR="00AD1F54" w:rsidRPr="00264D5D" w:rsidRDefault="00941227">
            <w:pPr>
              <w:pStyle w:val="GOSTTablenorm"/>
              <w:rPr>
                <w:szCs w:val="22"/>
              </w:rPr>
            </w:pPr>
            <w:r w:rsidRPr="00264D5D">
              <w:rPr>
                <w:szCs w:val="22"/>
              </w:rPr>
              <w:t xml:space="preserve">Сумма в валюте Российской Федерации: исполнено: в том числе авансовых платежей </w:t>
            </w:r>
          </w:p>
        </w:tc>
        <w:tc>
          <w:tcPr>
            <w:tcW w:w="1701" w:type="dxa"/>
          </w:tcPr>
          <w:p w14:paraId="0FC68C01" w14:textId="77777777" w:rsidR="00AD1F54" w:rsidRPr="00264D5D" w:rsidRDefault="00941227">
            <w:pPr>
              <w:pStyle w:val="GOSTTablenorm"/>
            </w:pPr>
            <w:r w:rsidRPr="00264D5D">
              <w:t>Data037</w:t>
            </w:r>
          </w:p>
        </w:tc>
        <w:tc>
          <w:tcPr>
            <w:tcW w:w="567" w:type="dxa"/>
          </w:tcPr>
          <w:p w14:paraId="4EF5B8B0" w14:textId="77777777" w:rsidR="00AD1F54" w:rsidRPr="00264D5D" w:rsidRDefault="00941227">
            <w:pPr>
              <w:pStyle w:val="GOSTTablenorm"/>
              <w:jc w:val="center"/>
            </w:pPr>
            <w:r w:rsidRPr="00264D5D">
              <w:t>П</w:t>
            </w:r>
          </w:p>
        </w:tc>
        <w:tc>
          <w:tcPr>
            <w:tcW w:w="1134" w:type="dxa"/>
          </w:tcPr>
          <w:p w14:paraId="43BB05DD" w14:textId="77777777" w:rsidR="00AD1F54" w:rsidRPr="00264D5D" w:rsidRDefault="00941227">
            <w:pPr>
              <w:pStyle w:val="GOSTTablenorm"/>
              <w:rPr>
                <w:szCs w:val="22"/>
              </w:rPr>
            </w:pPr>
            <w:r w:rsidRPr="00264D5D">
              <w:rPr>
                <w:szCs w:val="22"/>
              </w:rPr>
              <w:t>N(20.2)</w:t>
            </w:r>
          </w:p>
        </w:tc>
        <w:tc>
          <w:tcPr>
            <w:tcW w:w="567" w:type="dxa"/>
          </w:tcPr>
          <w:p w14:paraId="78DCC586" w14:textId="77777777" w:rsidR="00AD1F54" w:rsidRPr="00264D5D" w:rsidRDefault="00941227">
            <w:pPr>
              <w:pStyle w:val="GOSTTablenorm"/>
              <w:jc w:val="center"/>
            </w:pPr>
            <w:r w:rsidRPr="00264D5D">
              <w:t>Н</w:t>
            </w:r>
          </w:p>
        </w:tc>
        <w:tc>
          <w:tcPr>
            <w:tcW w:w="3963" w:type="dxa"/>
          </w:tcPr>
          <w:p w14:paraId="4892A881" w14:textId="77777777" w:rsidR="00AD1F54" w:rsidRPr="00264D5D" w:rsidRDefault="00941227">
            <w:pPr>
              <w:pStyle w:val="GOSTTablenorm"/>
            </w:pPr>
            <w:r w:rsidRPr="00264D5D">
              <w:t>Указывается суммы исполненных денежных обязательств текущего финансового года, в том числе исполненных авансовых платежей в валюте РФ</w:t>
            </w:r>
          </w:p>
        </w:tc>
      </w:tr>
      <w:tr w:rsidR="00AD1F54" w:rsidRPr="00264D5D" w14:paraId="24344444"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56B4DF3C" w14:textId="77777777" w:rsidR="00AD1F54" w:rsidRPr="00264D5D" w:rsidRDefault="00941227">
            <w:pPr>
              <w:pStyle w:val="GOSTTablenorm"/>
            </w:pPr>
            <w:r w:rsidRPr="00264D5D">
              <w:t xml:space="preserve">Примечание </w:t>
            </w:r>
          </w:p>
          <w:p w14:paraId="73E4D3E4" w14:textId="77777777" w:rsidR="00AD1F54" w:rsidRPr="00264D5D" w:rsidRDefault="00AD1F54">
            <w:pPr>
              <w:pStyle w:val="GOSTTablenorm"/>
              <w:rPr>
                <w:szCs w:val="22"/>
              </w:rPr>
            </w:pPr>
          </w:p>
        </w:tc>
        <w:tc>
          <w:tcPr>
            <w:tcW w:w="1701" w:type="dxa"/>
          </w:tcPr>
          <w:p w14:paraId="2CA1BC87" w14:textId="77777777" w:rsidR="00AD1F54" w:rsidRPr="00264D5D" w:rsidRDefault="00941227">
            <w:pPr>
              <w:pStyle w:val="GOSTTablenorm"/>
            </w:pPr>
            <w:r w:rsidRPr="00264D5D">
              <w:t>Data_VC027</w:t>
            </w:r>
          </w:p>
        </w:tc>
        <w:tc>
          <w:tcPr>
            <w:tcW w:w="567" w:type="dxa"/>
          </w:tcPr>
          <w:p w14:paraId="53CA53B2" w14:textId="77777777" w:rsidR="00AD1F54" w:rsidRPr="00264D5D" w:rsidRDefault="00941227">
            <w:pPr>
              <w:pStyle w:val="GOSTTablenorm"/>
              <w:jc w:val="center"/>
            </w:pPr>
            <w:r w:rsidRPr="00264D5D">
              <w:t>П</w:t>
            </w:r>
          </w:p>
        </w:tc>
        <w:tc>
          <w:tcPr>
            <w:tcW w:w="1134" w:type="dxa"/>
          </w:tcPr>
          <w:p w14:paraId="13F9A68A" w14:textId="77777777" w:rsidR="00AD1F54" w:rsidRPr="00264D5D" w:rsidRDefault="00941227">
            <w:pPr>
              <w:pStyle w:val="GOSTTablenorm"/>
              <w:rPr>
                <w:szCs w:val="22"/>
              </w:rPr>
            </w:pPr>
            <w:r w:rsidRPr="00264D5D">
              <w:rPr>
                <w:lang w:val="en-US"/>
              </w:rPr>
              <w:t>T</w:t>
            </w:r>
            <w:r w:rsidRPr="00264D5D">
              <w:t>(</w:t>
            </w:r>
            <w:r w:rsidRPr="00264D5D">
              <w:rPr>
                <w:lang w:val="en-US"/>
              </w:rPr>
              <w:t>1-</w:t>
            </w:r>
            <w:r w:rsidRPr="00264D5D">
              <w:t>100)</w:t>
            </w:r>
          </w:p>
        </w:tc>
        <w:tc>
          <w:tcPr>
            <w:tcW w:w="567" w:type="dxa"/>
          </w:tcPr>
          <w:p w14:paraId="6B76AB8F" w14:textId="77777777" w:rsidR="00AD1F54" w:rsidRPr="00264D5D" w:rsidRDefault="00941227">
            <w:pPr>
              <w:pStyle w:val="GOSTTablenorm"/>
              <w:jc w:val="center"/>
            </w:pPr>
            <w:r w:rsidRPr="00264D5D">
              <w:t>Н</w:t>
            </w:r>
          </w:p>
        </w:tc>
        <w:tc>
          <w:tcPr>
            <w:tcW w:w="3963" w:type="dxa"/>
          </w:tcPr>
          <w:p w14:paraId="42A08C54" w14:textId="77777777" w:rsidR="00AD1F54" w:rsidRPr="00264D5D" w:rsidRDefault="005D5F06">
            <w:pPr>
              <w:pStyle w:val="GOSTTablenorm"/>
            </w:pPr>
            <w:r w:rsidRPr="00264D5D">
              <w:t>Указывается примечание</w:t>
            </w:r>
          </w:p>
        </w:tc>
      </w:tr>
      <w:tr w:rsidR="00AD1F54" w:rsidRPr="00264D5D" w14:paraId="1CCD9F7E"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042B9EB4" w14:textId="77777777" w:rsidR="00AD1F54" w:rsidRPr="00264D5D" w:rsidRDefault="00941227">
            <w:pPr>
              <w:pStyle w:val="GOSTTablenorm"/>
              <w:rPr>
                <w:b/>
              </w:rPr>
            </w:pPr>
            <w:r w:rsidRPr="00264D5D">
              <w:rPr>
                <w:b/>
              </w:rPr>
              <w:t>Раздел 4.2. Передаваемые денежные обязательства</w:t>
            </w:r>
          </w:p>
          <w:p w14:paraId="18740322" w14:textId="77777777" w:rsidR="00AD1F54" w:rsidRPr="00264D5D" w:rsidRDefault="00941227">
            <w:pPr>
              <w:pStyle w:val="GOSTTablenorm"/>
              <w:rPr>
                <w:szCs w:val="22"/>
              </w:rPr>
            </w:pPr>
            <w:r w:rsidRPr="00264D5D">
              <w:rPr>
                <w:b/>
              </w:rPr>
              <w:t>(Итоговын строки)</w:t>
            </w:r>
          </w:p>
        </w:tc>
        <w:tc>
          <w:tcPr>
            <w:tcW w:w="1701" w:type="dxa"/>
          </w:tcPr>
          <w:p w14:paraId="35A8FB7B" w14:textId="77777777" w:rsidR="00AD1F54" w:rsidRPr="00264D5D" w:rsidRDefault="00941227">
            <w:pPr>
              <w:pStyle w:val="GOSTTablenorm"/>
            </w:pPr>
            <w:r w:rsidRPr="00264D5D">
              <w:rPr>
                <w:b/>
                <w:szCs w:val="22"/>
              </w:rPr>
              <w:t>Line</w:t>
            </w:r>
          </w:p>
        </w:tc>
        <w:tc>
          <w:tcPr>
            <w:tcW w:w="567" w:type="dxa"/>
          </w:tcPr>
          <w:p w14:paraId="2EC46624" w14:textId="77777777" w:rsidR="00AD1F54" w:rsidRPr="00264D5D" w:rsidRDefault="00941227">
            <w:pPr>
              <w:pStyle w:val="GOSTTablenorm"/>
              <w:jc w:val="center"/>
            </w:pPr>
            <w:r w:rsidRPr="00264D5D">
              <w:rPr>
                <w:b/>
                <w:szCs w:val="22"/>
              </w:rPr>
              <w:t>-</w:t>
            </w:r>
          </w:p>
        </w:tc>
        <w:tc>
          <w:tcPr>
            <w:tcW w:w="1134" w:type="dxa"/>
          </w:tcPr>
          <w:p w14:paraId="3F8F3F5B" w14:textId="77777777" w:rsidR="00AD1F54" w:rsidRPr="00264D5D" w:rsidRDefault="00941227">
            <w:pPr>
              <w:pStyle w:val="GOSTTablenorm"/>
              <w:rPr>
                <w:szCs w:val="22"/>
              </w:rPr>
            </w:pPr>
            <w:r w:rsidRPr="00264D5D">
              <w:rPr>
                <w:b/>
                <w:szCs w:val="22"/>
              </w:rPr>
              <w:t>-</w:t>
            </w:r>
          </w:p>
        </w:tc>
        <w:tc>
          <w:tcPr>
            <w:tcW w:w="567" w:type="dxa"/>
          </w:tcPr>
          <w:p w14:paraId="757E5C73" w14:textId="77777777" w:rsidR="00AD1F54" w:rsidRPr="00264D5D" w:rsidRDefault="00941227">
            <w:pPr>
              <w:pStyle w:val="GOSTTablenorm"/>
              <w:jc w:val="center"/>
            </w:pPr>
            <w:r w:rsidRPr="00264D5D">
              <w:rPr>
                <w:b/>
                <w:szCs w:val="22"/>
              </w:rPr>
              <w:t>НМ</w:t>
            </w:r>
          </w:p>
        </w:tc>
        <w:tc>
          <w:tcPr>
            <w:tcW w:w="3963" w:type="dxa"/>
          </w:tcPr>
          <w:p w14:paraId="0BAD922E" w14:textId="77777777" w:rsidR="00AD1F54" w:rsidRPr="00264D5D" w:rsidRDefault="00941227">
            <w:pPr>
              <w:pStyle w:val="GOSTTablenorm"/>
            </w:pPr>
            <w:r w:rsidRPr="00264D5D">
              <w:rPr>
                <w:b/>
                <w:szCs w:val="22"/>
              </w:rPr>
              <w:t>-</w:t>
            </w:r>
          </w:p>
        </w:tc>
      </w:tr>
      <w:tr w:rsidR="00AD1F54" w:rsidRPr="00264D5D" w14:paraId="17FA4500"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76C61C5" w14:textId="77777777" w:rsidR="00AD1F54" w:rsidRPr="00264D5D" w:rsidRDefault="00941227">
            <w:pPr>
              <w:pStyle w:val="GOSTTablenorm"/>
            </w:pPr>
            <w:r w:rsidRPr="00264D5D">
              <w:t>Номер секции формы</w:t>
            </w:r>
          </w:p>
          <w:p w14:paraId="33EF7080" w14:textId="77777777" w:rsidR="00AD1F54" w:rsidRPr="00264D5D" w:rsidRDefault="00AD1F54">
            <w:pPr>
              <w:pStyle w:val="GOSTTablenorm"/>
              <w:rPr>
                <w:szCs w:val="22"/>
              </w:rPr>
            </w:pPr>
          </w:p>
        </w:tc>
        <w:tc>
          <w:tcPr>
            <w:tcW w:w="1701" w:type="dxa"/>
          </w:tcPr>
          <w:p w14:paraId="03BB9F3E" w14:textId="77777777" w:rsidR="00AD1F54" w:rsidRPr="00264D5D" w:rsidRDefault="00941227">
            <w:pPr>
              <w:pStyle w:val="GOSTTablenorm"/>
            </w:pPr>
            <w:r w:rsidRPr="00264D5D">
              <w:t>SectionNumber</w:t>
            </w:r>
          </w:p>
        </w:tc>
        <w:tc>
          <w:tcPr>
            <w:tcW w:w="567" w:type="dxa"/>
          </w:tcPr>
          <w:p w14:paraId="4FD8BE9A" w14:textId="77777777" w:rsidR="00AD1F54" w:rsidRPr="00264D5D" w:rsidRDefault="00941227">
            <w:pPr>
              <w:pStyle w:val="GOSTTablenorm"/>
              <w:jc w:val="center"/>
            </w:pPr>
            <w:r w:rsidRPr="00264D5D">
              <w:t>П</w:t>
            </w:r>
          </w:p>
        </w:tc>
        <w:tc>
          <w:tcPr>
            <w:tcW w:w="1134" w:type="dxa"/>
          </w:tcPr>
          <w:p w14:paraId="4914F2CF" w14:textId="77777777" w:rsidR="00AD1F54" w:rsidRPr="00264D5D" w:rsidRDefault="00941227">
            <w:pPr>
              <w:pStyle w:val="GOSTTablenorm"/>
              <w:rPr>
                <w:szCs w:val="22"/>
              </w:rPr>
            </w:pPr>
            <w:r w:rsidRPr="00264D5D">
              <w:rPr>
                <w:lang w:val="en-US"/>
              </w:rPr>
              <w:t>T</w:t>
            </w:r>
            <w:r w:rsidRPr="00264D5D">
              <w:t>(</w:t>
            </w:r>
            <w:r w:rsidRPr="00264D5D">
              <w:rPr>
                <w:lang w:val="en-US"/>
              </w:rPr>
              <w:t>1-</w:t>
            </w:r>
            <w:r w:rsidRPr="00264D5D">
              <w:t>240)</w:t>
            </w:r>
          </w:p>
        </w:tc>
        <w:tc>
          <w:tcPr>
            <w:tcW w:w="567" w:type="dxa"/>
          </w:tcPr>
          <w:p w14:paraId="43B3D95F" w14:textId="77777777" w:rsidR="00AD1F54" w:rsidRPr="00264D5D" w:rsidRDefault="00941227">
            <w:pPr>
              <w:pStyle w:val="GOSTTablenorm"/>
              <w:jc w:val="center"/>
            </w:pPr>
            <w:r w:rsidRPr="00264D5D">
              <w:t>O</w:t>
            </w:r>
          </w:p>
        </w:tc>
        <w:tc>
          <w:tcPr>
            <w:tcW w:w="3963" w:type="dxa"/>
          </w:tcPr>
          <w:p w14:paraId="65A6FA1C" w14:textId="77777777" w:rsidR="00AD1F54" w:rsidRPr="00264D5D" w:rsidRDefault="00941227">
            <w:pPr>
              <w:pStyle w:val="GOSTTablenorm"/>
              <w:rPr>
                <w:szCs w:val="22"/>
              </w:rPr>
            </w:pPr>
            <w:r w:rsidRPr="00264D5D">
              <w:rPr>
                <w:szCs w:val="22"/>
              </w:rPr>
              <w:t>Указывается номер секции/раздела:</w:t>
            </w:r>
          </w:p>
          <w:p w14:paraId="51D5F3E4" w14:textId="77777777" w:rsidR="00AD1F54" w:rsidRPr="00264D5D" w:rsidRDefault="00941227" w:rsidP="00E7460C">
            <w:pPr>
              <w:pStyle w:val="GOSTTablenorm"/>
              <w:numPr>
                <w:ilvl w:val="0"/>
                <w:numId w:val="113"/>
              </w:numPr>
              <w:ind w:left="284" w:hanging="227"/>
            </w:pPr>
            <w:r w:rsidRPr="00264D5D">
              <w:rPr>
                <w:szCs w:val="22"/>
              </w:rPr>
              <w:t>7 – для раздела «4. Денежные обязательства 4.2. Перед</w:t>
            </w:r>
            <w:r w:rsidR="005D5F06" w:rsidRPr="00264D5D">
              <w:rPr>
                <w:szCs w:val="22"/>
              </w:rPr>
              <w:t>аваемые денежные обязательства»</w:t>
            </w:r>
          </w:p>
        </w:tc>
      </w:tr>
      <w:tr w:rsidR="00AD1F54" w:rsidRPr="00264D5D" w14:paraId="2BBA28DA"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735DC4D" w14:textId="77777777" w:rsidR="00AD1F54" w:rsidRPr="00264D5D" w:rsidRDefault="00941227">
            <w:pPr>
              <w:pStyle w:val="GOSTTablenorm"/>
              <w:rPr>
                <w:szCs w:val="22"/>
              </w:rPr>
            </w:pPr>
            <w:r w:rsidRPr="00264D5D">
              <w:t>Признак детализации строки</w:t>
            </w:r>
          </w:p>
        </w:tc>
        <w:tc>
          <w:tcPr>
            <w:tcW w:w="1701" w:type="dxa"/>
          </w:tcPr>
          <w:p w14:paraId="685164DD" w14:textId="77777777" w:rsidR="00AD1F54" w:rsidRPr="00264D5D" w:rsidRDefault="00941227">
            <w:pPr>
              <w:pStyle w:val="GOSTTablenorm"/>
            </w:pPr>
            <w:r w:rsidRPr="00264D5D">
              <w:t>SummaryFlag</w:t>
            </w:r>
          </w:p>
        </w:tc>
        <w:tc>
          <w:tcPr>
            <w:tcW w:w="567" w:type="dxa"/>
          </w:tcPr>
          <w:p w14:paraId="15976BE6" w14:textId="77777777" w:rsidR="00AD1F54" w:rsidRPr="00264D5D" w:rsidRDefault="00941227">
            <w:pPr>
              <w:pStyle w:val="GOSTTablenorm"/>
              <w:jc w:val="center"/>
            </w:pPr>
            <w:r w:rsidRPr="00264D5D">
              <w:t>П</w:t>
            </w:r>
          </w:p>
        </w:tc>
        <w:tc>
          <w:tcPr>
            <w:tcW w:w="1134" w:type="dxa"/>
          </w:tcPr>
          <w:p w14:paraId="6D130276" w14:textId="77777777" w:rsidR="00AD1F54" w:rsidRPr="00264D5D" w:rsidRDefault="00941227">
            <w:pPr>
              <w:pStyle w:val="GOSTTablenorm"/>
              <w:rPr>
                <w:szCs w:val="22"/>
              </w:rPr>
            </w:pPr>
            <w:r w:rsidRPr="00264D5D">
              <w:t>Т(1)</w:t>
            </w:r>
          </w:p>
        </w:tc>
        <w:tc>
          <w:tcPr>
            <w:tcW w:w="567" w:type="dxa"/>
          </w:tcPr>
          <w:p w14:paraId="0D5253A5" w14:textId="77777777" w:rsidR="00AD1F54" w:rsidRPr="00264D5D" w:rsidRDefault="00941227">
            <w:pPr>
              <w:pStyle w:val="GOSTTablenorm"/>
              <w:jc w:val="center"/>
            </w:pPr>
            <w:r w:rsidRPr="00264D5D">
              <w:t>О</w:t>
            </w:r>
          </w:p>
        </w:tc>
        <w:tc>
          <w:tcPr>
            <w:tcW w:w="3963" w:type="dxa"/>
          </w:tcPr>
          <w:p w14:paraId="2A5F8E46" w14:textId="77777777" w:rsidR="00AD1F54" w:rsidRPr="00264D5D" w:rsidRDefault="00941227">
            <w:pPr>
              <w:pStyle w:val="GOSTTablenorm"/>
            </w:pPr>
            <w:r w:rsidRPr="00264D5D">
              <w:t>Признак детализации строки.</w:t>
            </w:r>
          </w:p>
          <w:p w14:paraId="2EE1E926" w14:textId="77777777" w:rsidR="00AD1F54" w:rsidRPr="00264D5D" w:rsidRDefault="00941227">
            <w:pPr>
              <w:pStyle w:val="GOSTTablenorm"/>
            </w:pPr>
            <w:r w:rsidRPr="00264D5D">
              <w:t>Для итоговой строки значение = «</w:t>
            </w:r>
            <w:r w:rsidRPr="00264D5D">
              <w:rPr>
                <w:lang w:val="en-US"/>
              </w:rPr>
              <w:t>Y</w:t>
            </w:r>
            <w:r w:rsidR="005D5F06" w:rsidRPr="00264D5D">
              <w:t>»</w:t>
            </w:r>
          </w:p>
        </w:tc>
      </w:tr>
      <w:tr w:rsidR="00AD1F54" w:rsidRPr="00264D5D" w14:paraId="265AD5F1"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FBE0911" w14:textId="77777777" w:rsidR="00AD1F54" w:rsidRPr="00264D5D" w:rsidRDefault="00941227">
            <w:pPr>
              <w:pStyle w:val="GOSTTablenorm"/>
              <w:rPr>
                <w:szCs w:val="22"/>
              </w:rPr>
            </w:pPr>
            <w:r w:rsidRPr="00264D5D">
              <w:rPr>
                <w:szCs w:val="22"/>
              </w:rPr>
              <w:t xml:space="preserve">Сумма в валюте Российской Федерации: учтено </w:t>
            </w:r>
          </w:p>
        </w:tc>
        <w:tc>
          <w:tcPr>
            <w:tcW w:w="1701" w:type="dxa"/>
          </w:tcPr>
          <w:p w14:paraId="586E8ACB" w14:textId="77777777" w:rsidR="00AD1F54" w:rsidRPr="00264D5D" w:rsidRDefault="00941227">
            <w:pPr>
              <w:pStyle w:val="GOSTTablenorm"/>
            </w:pPr>
            <w:r w:rsidRPr="00264D5D">
              <w:t>Data035</w:t>
            </w:r>
          </w:p>
        </w:tc>
        <w:tc>
          <w:tcPr>
            <w:tcW w:w="567" w:type="dxa"/>
          </w:tcPr>
          <w:p w14:paraId="23CF81BD" w14:textId="77777777" w:rsidR="00AD1F54" w:rsidRPr="00264D5D" w:rsidRDefault="00941227">
            <w:pPr>
              <w:pStyle w:val="GOSTTablenorm"/>
              <w:jc w:val="center"/>
            </w:pPr>
            <w:r w:rsidRPr="00264D5D">
              <w:t>П</w:t>
            </w:r>
          </w:p>
        </w:tc>
        <w:tc>
          <w:tcPr>
            <w:tcW w:w="1134" w:type="dxa"/>
          </w:tcPr>
          <w:p w14:paraId="6AB0EA07" w14:textId="77777777" w:rsidR="00AD1F54" w:rsidRPr="00264D5D" w:rsidRDefault="00941227">
            <w:pPr>
              <w:pStyle w:val="GOSTTablenorm"/>
              <w:rPr>
                <w:szCs w:val="22"/>
              </w:rPr>
            </w:pPr>
            <w:r w:rsidRPr="00264D5D">
              <w:rPr>
                <w:szCs w:val="22"/>
              </w:rPr>
              <w:t>N(20.2)</w:t>
            </w:r>
          </w:p>
        </w:tc>
        <w:tc>
          <w:tcPr>
            <w:tcW w:w="567" w:type="dxa"/>
          </w:tcPr>
          <w:p w14:paraId="200EFB7E" w14:textId="77777777" w:rsidR="00AD1F54" w:rsidRPr="00264D5D" w:rsidRDefault="00941227">
            <w:pPr>
              <w:pStyle w:val="GOSTTablenorm"/>
              <w:jc w:val="center"/>
            </w:pPr>
            <w:r w:rsidRPr="00264D5D">
              <w:t>Н</w:t>
            </w:r>
          </w:p>
        </w:tc>
        <w:tc>
          <w:tcPr>
            <w:tcW w:w="3963" w:type="dxa"/>
          </w:tcPr>
          <w:p w14:paraId="79D2C84B" w14:textId="77777777" w:rsidR="00AD1F54" w:rsidRPr="00264D5D" w:rsidRDefault="00941227">
            <w:pPr>
              <w:pStyle w:val="GOSTTablenorm"/>
            </w:pPr>
            <w:r w:rsidRPr="00264D5D">
              <w:t>Указывается суммы поставленных на учет денежных обязательств текущего финансового года в валюте РФ</w:t>
            </w:r>
          </w:p>
        </w:tc>
      </w:tr>
      <w:tr w:rsidR="00AD1F54" w:rsidRPr="00264D5D" w14:paraId="7F06A9C1"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05CE3939" w14:textId="77777777" w:rsidR="00AD1F54" w:rsidRPr="00264D5D" w:rsidRDefault="00941227">
            <w:pPr>
              <w:pStyle w:val="GOSTTablenorm"/>
              <w:rPr>
                <w:szCs w:val="22"/>
              </w:rPr>
            </w:pPr>
            <w:r w:rsidRPr="00264D5D">
              <w:rPr>
                <w:szCs w:val="22"/>
              </w:rPr>
              <w:t xml:space="preserve">Сумма в валюте Российской Федерации: исполнено: всего </w:t>
            </w:r>
          </w:p>
        </w:tc>
        <w:tc>
          <w:tcPr>
            <w:tcW w:w="1701" w:type="dxa"/>
          </w:tcPr>
          <w:p w14:paraId="5375FBCC" w14:textId="77777777" w:rsidR="00AD1F54" w:rsidRPr="00264D5D" w:rsidRDefault="00941227">
            <w:pPr>
              <w:pStyle w:val="GOSTTablenorm"/>
            </w:pPr>
            <w:r w:rsidRPr="00264D5D">
              <w:t>Data036</w:t>
            </w:r>
          </w:p>
        </w:tc>
        <w:tc>
          <w:tcPr>
            <w:tcW w:w="567" w:type="dxa"/>
          </w:tcPr>
          <w:p w14:paraId="7049B4DF" w14:textId="77777777" w:rsidR="00AD1F54" w:rsidRPr="00264D5D" w:rsidRDefault="00941227">
            <w:pPr>
              <w:pStyle w:val="GOSTTablenorm"/>
              <w:jc w:val="center"/>
            </w:pPr>
            <w:r w:rsidRPr="00264D5D">
              <w:t>П</w:t>
            </w:r>
          </w:p>
        </w:tc>
        <w:tc>
          <w:tcPr>
            <w:tcW w:w="1134" w:type="dxa"/>
          </w:tcPr>
          <w:p w14:paraId="56ACC134" w14:textId="77777777" w:rsidR="00AD1F54" w:rsidRPr="00264D5D" w:rsidRDefault="00941227">
            <w:pPr>
              <w:pStyle w:val="GOSTTablenorm"/>
              <w:rPr>
                <w:szCs w:val="22"/>
              </w:rPr>
            </w:pPr>
            <w:r w:rsidRPr="00264D5D">
              <w:rPr>
                <w:szCs w:val="22"/>
              </w:rPr>
              <w:t>N(20.2)</w:t>
            </w:r>
          </w:p>
        </w:tc>
        <w:tc>
          <w:tcPr>
            <w:tcW w:w="567" w:type="dxa"/>
          </w:tcPr>
          <w:p w14:paraId="3C7CBAD6" w14:textId="77777777" w:rsidR="00AD1F54" w:rsidRPr="00264D5D" w:rsidRDefault="00941227">
            <w:pPr>
              <w:pStyle w:val="GOSTTablenorm"/>
              <w:jc w:val="center"/>
            </w:pPr>
            <w:r w:rsidRPr="00264D5D">
              <w:t>Н</w:t>
            </w:r>
          </w:p>
        </w:tc>
        <w:tc>
          <w:tcPr>
            <w:tcW w:w="3963" w:type="dxa"/>
          </w:tcPr>
          <w:p w14:paraId="18188082" w14:textId="77777777" w:rsidR="00AD1F54" w:rsidRPr="00264D5D" w:rsidRDefault="00941227">
            <w:pPr>
              <w:pStyle w:val="GOSTTablenorm"/>
            </w:pPr>
            <w:r w:rsidRPr="00264D5D">
              <w:t>Указывается суммы исполненных денежных обязательств текуще</w:t>
            </w:r>
            <w:r w:rsidR="005D5F06" w:rsidRPr="00264D5D">
              <w:t>го финансового года в валюте РФ</w:t>
            </w:r>
          </w:p>
        </w:tc>
      </w:tr>
      <w:tr w:rsidR="00AD1F54" w:rsidRPr="00264D5D" w14:paraId="2FF419A7"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DAB4999" w14:textId="77777777" w:rsidR="00AD1F54" w:rsidRPr="00264D5D" w:rsidRDefault="00941227">
            <w:pPr>
              <w:pStyle w:val="GOSTTablenorm"/>
              <w:rPr>
                <w:szCs w:val="22"/>
              </w:rPr>
            </w:pPr>
            <w:r w:rsidRPr="00264D5D">
              <w:rPr>
                <w:szCs w:val="22"/>
              </w:rPr>
              <w:t xml:space="preserve">Сумма в валюте Российской Федерации: исполнено: в </w:t>
            </w:r>
            <w:r w:rsidRPr="00264D5D">
              <w:rPr>
                <w:szCs w:val="22"/>
              </w:rPr>
              <w:lastRenderedPageBreak/>
              <w:t xml:space="preserve">том числе авансовых платежей </w:t>
            </w:r>
          </w:p>
        </w:tc>
        <w:tc>
          <w:tcPr>
            <w:tcW w:w="1701" w:type="dxa"/>
          </w:tcPr>
          <w:p w14:paraId="6F334F6A" w14:textId="77777777" w:rsidR="00AD1F54" w:rsidRPr="00264D5D" w:rsidRDefault="00941227">
            <w:pPr>
              <w:pStyle w:val="GOSTTablenorm"/>
            </w:pPr>
            <w:r w:rsidRPr="00264D5D">
              <w:lastRenderedPageBreak/>
              <w:t>Data037</w:t>
            </w:r>
          </w:p>
        </w:tc>
        <w:tc>
          <w:tcPr>
            <w:tcW w:w="567" w:type="dxa"/>
          </w:tcPr>
          <w:p w14:paraId="1E7A97BC" w14:textId="77777777" w:rsidR="00AD1F54" w:rsidRPr="00264D5D" w:rsidRDefault="00941227">
            <w:pPr>
              <w:pStyle w:val="GOSTTablenorm"/>
              <w:jc w:val="center"/>
            </w:pPr>
            <w:r w:rsidRPr="00264D5D">
              <w:t>П</w:t>
            </w:r>
          </w:p>
        </w:tc>
        <w:tc>
          <w:tcPr>
            <w:tcW w:w="1134" w:type="dxa"/>
          </w:tcPr>
          <w:p w14:paraId="601BD572" w14:textId="77777777" w:rsidR="00AD1F54" w:rsidRPr="00264D5D" w:rsidRDefault="00941227">
            <w:pPr>
              <w:pStyle w:val="GOSTTablenorm"/>
              <w:rPr>
                <w:szCs w:val="22"/>
              </w:rPr>
            </w:pPr>
            <w:r w:rsidRPr="00264D5D">
              <w:rPr>
                <w:szCs w:val="22"/>
              </w:rPr>
              <w:t>N(20.2)</w:t>
            </w:r>
          </w:p>
        </w:tc>
        <w:tc>
          <w:tcPr>
            <w:tcW w:w="567" w:type="dxa"/>
          </w:tcPr>
          <w:p w14:paraId="26D86190" w14:textId="77777777" w:rsidR="00AD1F54" w:rsidRPr="00264D5D" w:rsidRDefault="00941227">
            <w:pPr>
              <w:pStyle w:val="GOSTTablenorm"/>
              <w:jc w:val="center"/>
            </w:pPr>
            <w:r w:rsidRPr="00264D5D">
              <w:t>Н</w:t>
            </w:r>
          </w:p>
        </w:tc>
        <w:tc>
          <w:tcPr>
            <w:tcW w:w="3963" w:type="dxa"/>
          </w:tcPr>
          <w:p w14:paraId="5623A169" w14:textId="77777777" w:rsidR="00AD1F54" w:rsidRPr="00264D5D" w:rsidRDefault="00941227">
            <w:pPr>
              <w:pStyle w:val="GOSTTablenorm"/>
            </w:pPr>
            <w:r w:rsidRPr="00264D5D">
              <w:t xml:space="preserve">Указывается суммы исполненных денежных обязательств текущего финансового года, в том числе исполненных авансовых платежей в </w:t>
            </w:r>
            <w:r w:rsidRPr="00264D5D">
              <w:lastRenderedPageBreak/>
              <w:t>валюте РФ</w:t>
            </w:r>
          </w:p>
        </w:tc>
      </w:tr>
    </w:tbl>
    <w:p w14:paraId="4288F3B5" w14:textId="77777777" w:rsidR="00AD1F54" w:rsidRPr="00264D5D" w:rsidRDefault="00941227">
      <w:pPr>
        <w:pStyle w:val="31"/>
      </w:pPr>
      <w:bookmarkStart w:id="3227" w:name="_Toc219309787"/>
      <w:r w:rsidRPr="00264D5D">
        <w:lastRenderedPageBreak/>
        <w:t>Пример XML</w:t>
      </w:r>
      <w:bookmarkEnd w:id="3227"/>
      <w:r w:rsidRPr="00264D5D">
        <w:t xml:space="preserve"> </w:t>
      </w:r>
    </w:p>
    <w:p w14:paraId="1AFA510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&lt;?xml version="1.0" encoding="UTF-8"?&gt;</w:t>
      </w:r>
    </w:p>
    <w:p w14:paraId="10025C9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&lt;ProcessPeriodicReport xmlns:xsi="http://www.w3.org/2001/XMLSchema-instance" versionID="115.0" systemEnvironmentCode="Test" releaseID="9.0"&gt;</w:t>
      </w:r>
    </w:p>
    <w:p w14:paraId="45A6124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&lt;ApplicationArea&gt;</w:t>
      </w:r>
    </w:p>
    <w:p w14:paraId="0F17DAF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&lt;Sender&gt;</w:t>
      </w:r>
    </w:p>
    <w:p w14:paraId="2138709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&lt;LogicalID&gt;9500...99010001-074-00074.GRBS.N.S&lt;/LogicalID&gt;</w:t>
      </w:r>
    </w:p>
    <w:p w14:paraId="0D449E3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&lt;ComponentID/&gt;</w:t>
      </w:r>
    </w:p>
    <w:p w14:paraId="1C7738E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&lt;TaskID/&gt;</w:t>
      </w:r>
    </w:p>
    <w:p w14:paraId="24CF500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&lt;ReferenceID/&gt;</w:t>
      </w:r>
    </w:p>
    <w:p w14:paraId="403E39B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&lt;ConfirmationCode&gt;Always&lt;/ConfirmationCode&gt;</w:t>
      </w:r>
    </w:p>
    <w:p w14:paraId="2E3A0B0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&lt;AuthorizationID/&gt;</w:t>
      </w:r>
    </w:p>
    <w:p w14:paraId="03C5358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&lt;/Sender&gt;</w:t>
      </w:r>
    </w:p>
    <w:p w14:paraId="3FA341C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&lt;CreationDateTime&gt;2018-10-01T19:36:16+03:00&lt;/CreationDateTime&gt;</w:t>
      </w:r>
    </w:p>
    <w:p w14:paraId="7520336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&lt;Signature/&gt;</w:t>
      </w:r>
    </w:p>
    <w:p w14:paraId="6F61FA9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&lt;BODId&gt;4F9776A0-B672-40F3-B9F3-1C56CB9E17AE&lt;/BODId&gt;</w:t>
      </w:r>
    </w:p>
    <w:p w14:paraId="1CD882C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&lt;UserArea&gt;</w:t>
      </w:r>
    </w:p>
    <w:p w14:paraId="391CC34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&lt;Group ID="Core"&gt;</w:t>
      </w:r>
    </w:p>
    <w:p w14:paraId="1F7BAE1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&lt;Property name="RecipientLogicalID" value="9500.....N.E"/&gt;</w:t>
      </w:r>
    </w:p>
    <w:p w14:paraId="66D19C0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&lt;Property name="Priority" value="255"/&gt;</w:t>
      </w:r>
    </w:p>
    <w:p w14:paraId="125B172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&lt;Property name="MessageType" value="DOC"/&gt;</w:t>
      </w:r>
    </w:p>
    <w:p w14:paraId="4B93000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&lt;/Group&gt;</w:t>
      </w:r>
    </w:p>
    <w:p w14:paraId="617467A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&lt;Group ID="KPO"&gt;</w:t>
      </w:r>
    </w:p>
    <w:p w14:paraId="49BA49F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&lt;Property name="kpoGUIDClassInst" value=""/&gt;</w:t>
      </w:r>
    </w:p>
    <w:p w14:paraId="0AB454B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&lt;Property name="kpoCurrentVer" value=""/&gt;</w:t>
      </w:r>
    </w:p>
    <w:p w14:paraId="432284A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&lt;Property name="kpoPreviousVer" value=""/&gt;</w:t>
      </w:r>
    </w:p>
    <w:p w14:paraId="1E4735B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&lt;/Group&gt;</w:t>
      </w:r>
    </w:p>
    <w:p w14:paraId="2CE542F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&lt;Group ID="SB"&gt;</w:t>
      </w:r>
    </w:p>
    <w:p w14:paraId="7245E2A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&lt;Property name="Attribute1" value=""/&gt;</w:t>
      </w:r>
    </w:p>
    <w:p w14:paraId="7E14147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&lt;Property name="Attribute2" value=""/&gt;</w:t>
      </w:r>
    </w:p>
    <w:p w14:paraId="63626C0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&lt;Property name="Attribute3" value=""/&gt;</w:t>
      </w:r>
    </w:p>
    <w:p w14:paraId="51D63A8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&lt;Property name="Attribute4" value=""/&gt;</w:t>
      </w:r>
    </w:p>
    <w:p w14:paraId="22912B6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&lt;Property name="Attribute5" value="0"/&gt;</w:t>
      </w:r>
    </w:p>
    <w:p w14:paraId="363B1C1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&lt;/Group&gt;</w:t>
      </w:r>
    </w:p>
    <w:p w14:paraId="14B2242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&lt;/UserArea&gt;</w:t>
      </w:r>
    </w:p>
    <w:p w14:paraId="1121DF0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&lt;/ApplicationArea&gt;</w:t>
      </w:r>
    </w:p>
    <w:p w14:paraId="5B76213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&lt;DataArea&gt;</w:t>
      </w:r>
    </w:p>
    <w:p w14:paraId="5DE4A5E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&lt;Process/&gt;</w:t>
      </w:r>
    </w:p>
    <w:p w14:paraId="27BE4D5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&lt;PeriodicReport&gt;</w:t>
      </w:r>
    </w:p>
    <w:p w14:paraId="4AAAC19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&lt;Header&gt;</w:t>
      </w:r>
    </w:p>
    <w:p w14:paraId="13D1079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&lt;docGUID&gt;6028FC65-0FD7-4D52-B48B-B79C34FA3293&lt;/docGUID&gt;</w:t>
      </w:r>
    </w:p>
    <w:p w14:paraId="551DB20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&lt;docParentGUID/&gt;</w:t>
      </w:r>
    </w:p>
    <w:p w14:paraId="6F43A5E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&lt;docTypeCode&gt;РКБ&lt;/docTypeCode&gt;</w:t>
      </w:r>
    </w:p>
    <w:p w14:paraId="113FCC2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&lt;docBudgetCode&gt;99010001&lt;/docBudgetCode&gt;</w:t>
      </w:r>
    </w:p>
    <w:p w14:paraId="5787FA8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&lt;docBusinessStatus&gt;001&lt;/docBusinessStatus&gt;</w:t>
      </w:r>
    </w:p>
    <w:p w14:paraId="16A2679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&lt;docApprovalStatus&gt;У--&lt;/docApprovalStatus&gt;</w:t>
      </w:r>
    </w:p>
    <w:p w14:paraId="6F6C797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ab/>
      </w:r>
      <w:r w:rsidRPr="00264D5D">
        <w:rPr>
          <w:rFonts w:cs="Courier New"/>
          <w:sz w:val="20"/>
        </w:rPr>
        <w:tab/>
      </w:r>
      <w:r w:rsidRPr="00264D5D">
        <w:rPr>
          <w:rFonts w:cs="Courier New"/>
          <w:sz w:val="20"/>
        </w:rPr>
        <w:tab/>
      </w:r>
      <w:r w:rsidRPr="00264D5D">
        <w:rPr>
          <w:rFonts w:cs="Courier New"/>
          <w:sz w:val="20"/>
        </w:rPr>
        <w:tab/>
        <w:t>&lt;docTransferStatus&gt;П--&lt;/docTransferStatus&gt;</w:t>
      </w:r>
    </w:p>
    <w:p w14:paraId="2F7DEA1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&lt;docTofkCode&gt;9500&lt;/docTofkCode&gt;</w:t>
      </w:r>
    </w:p>
    <w:p w14:paraId="0C8A05A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&lt;docSegmentCode&gt;1&lt;/docSegmentCode&gt;</w:t>
      </w:r>
    </w:p>
    <w:p w14:paraId="2608230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&lt;CMS/&gt;</w:t>
      </w:r>
    </w:p>
    <w:p w14:paraId="213475F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&lt;Attachment/&gt;</w:t>
      </w:r>
    </w:p>
    <w:p w14:paraId="749E8E4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&lt;FormRef&gt;0531728_RKB&lt;/FormRef&gt;</w:t>
      </w:r>
    </w:p>
    <w:p w14:paraId="01C5E65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&lt;PeriodType/&gt;</w:t>
      </w:r>
    </w:p>
    <w:p w14:paraId="202213F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&lt;PeriodTypeName/&gt;</w:t>
      </w:r>
    </w:p>
    <w:p w14:paraId="5663957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&lt;ReportDate&gt;2018-10-01T00:00:00+03:00&lt;/ReportDate&gt;</w:t>
      </w:r>
    </w:p>
    <w:p w14:paraId="456AA8D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&lt;BudgetCode/&gt;</w:t>
      </w:r>
    </w:p>
    <w:p w14:paraId="27DBFE1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&lt;BudgetName&gt;Федеральный бюджет&lt;/BudgetName&gt;</w:t>
      </w:r>
    </w:p>
    <w:p w14:paraId="3DAEDAB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&lt;Security_Segment/&gt;</w:t>
      </w:r>
    </w:p>
    <w:p w14:paraId="7808B68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&lt;ReportStartDate/&gt;</w:t>
      </w:r>
    </w:p>
    <w:p w14:paraId="015041E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&lt;ReportEndDate/&gt;</w:t>
      </w:r>
    </w:p>
    <w:p w14:paraId="7EFCE60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&lt;FinancialYear/&gt;</w:t>
      </w:r>
    </w:p>
    <w:p w14:paraId="471078D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&lt;RegNumber/&gt;</w:t>
      </w:r>
    </w:p>
    <w:p w14:paraId="5DF902F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&lt;DocNumber/&gt;</w:t>
      </w:r>
    </w:p>
    <w:p w14:paraId="34F360F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&lt;DocDate/&gt;</w:t>
      </w:r>
    </w:p>
    <w:p w14:paraId="77DB0BF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&lt;RegDate/&gt;</w:t>
      </w:r>
    </w:p>
    <w:p w14:paraId="2967CE3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&lt;RegDate2/&gt;</w:t>
      </w:r>
    </w:p>
    <w:p w14:paraId="0E5EDDA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&lt;TypeOfSource/&gt;</w:t>
      </w:r>
    </w:p>
    <w:p w14:paraId="68697EE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&lt;TypeOfRecipient/&gt;</w:t>
      </w:r>
    </w:p>
    <w:p w14:paraId="3235F86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&lt;SourceCode/&gt;</w:t>
      </w:r>
    </w:p>
    <w:p w14:paraId="5B8644E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&lt;SourceName/&gt;</w:t>
      </w:r>
    </w:p>
    <w:p w14:paraId="490E3D7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&lt;OkpoCode/&gt;</w:t>
      </w:r>
    </w:p>
    <w:p w14:paraId="4257E4A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&lt;FormCode/&gt;</w:t>
      </w:r>
    </w:p>
    <w:p w14:paraId="40EAC06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&lt;OkatoCode/&gt;</w:t>
      </w:r>
    </w:p>
    <w:p w14:paraId="08E3963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&lt;OkatoName/&gt;</w:t>
      </w:r>
    </w:p>
    <w:p w14:paraId="1E07A12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&lt;RecipientCode/&gt;</w:t>
      </w:r>
    </w:p>
    <w:p w14:paraId="25BE9D8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&lt;RecipientGUID/&gt;</w:t>
      </w:r>
    </w:p>
    <w:p w14:paraId="1CAE12A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&lt;RecipientName/&gt;</w:t>
      </w:r>
    </w:p>
    <w:p w14:paraId="5D0E0C2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&lt;SourceGUID/&gt;</w:t>
      </w:r>
    </w:p>
    <w:p w14:paraId="7EF5D1B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&lt;Comments/&gt;</w:t>
      </w:r>
    </w:p>
    <w:p w14:paraId="377B629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&lt;PPP_Code/&gt;</w:t>
      </w:r>
    </w:p>
    <w:p w14:paraId="1382710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&lt;PPP_Code_Name/&gt;</w:t>
      </w:r>
    </w:p>
    <w:p w14:paraId="0E36230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&lt;SignatureAttribute1&gt;Директор департамента&lt;/SignatureAttribute1&gt;</w:t>
      </w:r>
    </w:p>
    <w:p w14:paraId="4DE9CFE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&lt;SignatureAttribute2&gt;Антонова Т.В.&lt;/SignatureAttribute2&gt;</w:t>
      </w:r>
    </w:p>
    <w:p w14:paraId="1DDAACE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&lt;SignatureAttribute3/&gt;</w:t>
      </w:r>
    </w:p>
    <w:p w14:paraId="6927489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&lt;SignatureAttribute4/&gt;</w:t>
      </w:r>
    </w:p>
    <w:p w14:paraId="2319D28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&lt;SignatureAttribute5&gt;Заместитель директора департамента&lt;/SignatureAttribute5&gt;</w:t>
      </w:r>
    </w:p>
    <w:p w14:paraId="30AE6BE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&lt;SignatureAttribute6&gt;Меньшова А.В.&lt;/SignatureAttribute6&gt;</w:t>
      </w:r>
    </w:p>
    <w:p w14:paraId="2E6EFF4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&lt;SignatureAttribute7/&gt;</w:t>
      </w:r>
    </w:p>
    <w:p w14:paraId="7343DF4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&lt;SignatureAttribute8&gt;2018-10-01T00:00:00+03:00&lt;/SignatureAttribute8&gt;</w:t>
      </w:r>
    </w:p>
    <w:p w14:paraId="0DDA294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&lt;SignatureAttribute9/&gt;</w:t>
      </w:r>
    </w:p>
    <w:p w14:paraId="056F159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&lt;SignatureAttribute10/&gt;</w:t>
      </w:r>
    </w:p>
    <w:p w14:paraId="119AFDB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w:t>
      </w:r>
    </w:p>
    <w:p w14:paraId="02035AF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&lt;SignatureAttribute32/&gt;</w:t>
      </w:r>
    </w:p>
    <w:p w14:paraId="55C5DCF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&lt;SecAttribute1/&gt;</w:t>
      </w:r>
    </w:p>
    <w:p w14:paraId="22BB001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&lt;SecAttribute2/&gt;</w:t>
      </w:r>
    </w:p>
    <w:p w14:paraId="7B00709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w:t>
      </w:r>
    </w:p>
    <w:p w14:paraId="5AEB333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&lt;SecAttribute20/&gt;</w:t>
      </w:r>
    </w:p>
    <w:p w14:paraId="0C184B8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&lt;Segment1&gt;03951000740&lt;/Segment1&gt;</w:t>
      </w:r>
    </w:p>
    <w:p w14:paraId="1B153FC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&lt;Segment2/&gt;</w:t>
      </w:r>
    </w:p>
    <w:p w14:paraId="193C535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&lt;Segment3&gt;00100074&lt;/Segment3&gt;</w:t>
      </w:r>
    </w:p>
    <w:p w14:paraId="3A56043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&lt;Segment4/&gt;</w:t>
      </w:r>
    </w:p>
    <w:p w14:paraId="10ECF3D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&lt;Segment5&gt;9500&lt;/Segment5&gt;</w:t>
      </w:r>
    </w:p>
    <w:p w14:paraId="6D52957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ab/>
      </w:r>
      <w:r w:rsidRPr="00264D5D">
        <w:rPr>
          <w:rFonts w:cs="Courier New"/>
          <w:sz w:val="20"/>
        </w:rPr>
        <w:tab/>
      </w:r>
      <w:r w:rsidRPr="00264D5D">
        <w:rPr>
          <w:rFonts w:cs="Courier New"/>
          <w:sz w:val="20"/>
        </w:rPr>
        <w:tab/>
      </w:r>
      <w:r w:rsidRPr="00264D5D">
        <w:rPr>
          <w:rFonts w:cs="Courier New"/>
          <w:sz w:val="20"/>
        </w:rPr>
        <w:tab/>
        <w:t>&lt;Segment6/&gt;</w:t>
      </w:r>
    </w:p>
    <w:p w14:paraId="143C7F0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&lt;Segment7/&gt;</w:t>
      </w:r>
    </w:p>
    <w:p w14:paraId="6FE0E03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Segment</w:t>
      </w:r>
      <w:r w:rsidRPr="00264D5D">
        <w:rPr>
          <w:rFonts w:cs="Courier New"/>
          <w:sz w:val="20"/>
          <w:lang w:val="ru-RU"/>
        </w:rPr>
        <w:t>8/&gt;</w:t>
      </w:r>
    </w:p>
    <w:p w14:paraId="2106872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Segment</w:t>
      </w:r>
      <w:r w:rsidRPr="00264D5D">
        <w:rPr>
          <w:rFonts w:cs="Courier New"/>
          <w:sz w:val="20"/>
          <w:lang w:val="ru-RU"/>
        </w:rPr>
        <w:t>9/&gt;</w:t>
      </w:r>
    </w:p>
    <w:p w14:paraId="127CCA7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Segment</w:t>
      </w:r>
      <w:r w:rsidRPr="00264D5D">
        <w:rPr>
          <w:rFonts w:cs="Courier New"/>
          <w:sz w:val="20"/>
          <w:lang w:val="ru-RU"/>
        </w:rPr>
        <w:t>10&gt;Указ Президента Российской Федерации от 15 мая 2018 г. № 215 "О структуре федеральных органов исполнительной власти". Распоряжение Правительства Российской Федерации 1225-р 20.06.2018&lt;/</w:t>
      </w:r>
      <w:r w:rsidRPr="00264D5D">
        <w:rPr>
          <w:rFonts w:cs="Courier New"/>
          <w:sz w:val="20"/>
        </w:rPr>
        <w:t>Segment</w:t>
      </w:r>
      <w:r w:rsidRPr="00264D5D">
        <w:rPr>
          <w:rFonts w:cs="Courier New"/>
          <w:sz w:val="20"/>
          <w:lang w:val="ru-RU"/>
        </w:rPr>
        <w:t>10&gt;</w:t>
      </w:r>
    </w:p>
    <w:p w14:paraId="586F765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Segment</w:t>
      </w:r>
      <w:r w:rsidRPr="00264D5D">
        <w:rPr>
          <w:rFonts w:cs="Courier New"/>
          <w:sz w:val="20"/>
          <w:lang w:val="ru-RU"/>
        </w:rPr>
        <w:t>11&gt;03951000730&lt;/</w:t>
      </w:r>
      <w:r w:rsidRPr="00264D5D">
        <w:rPr>
          <w:rFonts w:cs="Courier New"/>
          <w:sz w:val="20"/>
        </w:rPr>
        <w:t>Segment</w:t>
      </w:r>
      <w:r w:rsidRPr="00264D5D">
        <w:rPr>
          <w:rFonts w:cs="Courier New"/>
          <w:sz w:val="20"/>
          <w:lang w:val="ru-RU"/>
        </w:rPr>
        <w:t>11&gt;</w:t>
      </w:r>
    </w:p>
    <w:p w14:paraId="471BDC4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Segment</w:t>
      </w:r>
      <w:r w:rsidRPr="00264D5D">
        <w:rPr>
          <w:rFonts w:cs="Courier New"/>
          <w:sz w:val="20"/>
          <w:lang w:val="ru-RU"/>
        </w:rPr>
        <w:t>12/&gt;</w:t>
      </w:r>
    </w:p>
    <w:p w14:paraId="12DE15C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Segment</w:t>
      </w:r>
      <w:r w:rsidRPr="00264D5D">
        <w:rPr>
          <w:rFonts w:cs="Courier New"/>
          <w:sz w:val="20"/>
          <w:lang w:val="ru-RU"/>
        </w:rPr>
        <w:t>13&gt;00100073&lt;/</w:t>
      </w:r>
      <w:r w:rsidRPr="00264D5D">
        <w:rPr>
          <w:rFonts w:cs="Courier New"/>
          <w:sz w:val="20"/>
        </w:rPr>
        <w:t>Segment</w:t>
      </w:r>
      <w:r w:rsidRPr="00264D5D">
        <w:rPr>
          <w:rFonts w:cs="Courier New"/>
          <w:sz w:val="20"/>
          <w:lang w:val="ru-RU"/>
        </w:rPr>
        <w:t>13&gt;</w:t>
      </w:r>
    </w:p>
    <w:p w14:paraId="6CF6AE3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rPr>
        <w:t>&lt;Segment14/&gt;</w:t>
      </w:r>
    </w:p>
    <w:p w14:paraId="4E873B6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&lt;Segment15&gt;9500&lt;/Segment15&gt;</w:t>
      </w:r>
    </w:p>
    <w:p w14:paraId="34FF490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&lt;Segment16/&gt;</w:t>
      </w:r>
    </w:p>
    <w:p w14:paraId="40A113C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&lt;Segment17/&gt;</w:t>
      </w:r>
    </w:p>
    <w:p w14:paraId="7E81177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&lt;Segment18/&gt;</w:t>
      </w:r>
    </w:p>
    <w:p w14:paraId="396DACA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&lt;Segment19/&gt;</w:t>
      </w:r>
    </w:p>
    <w:p w14:paraId="3F84A77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&lt;Segment20/&gt;</w:t>
      </w:r>
    </w:p>
    <w:p w14:paraId="5F19F15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&lt;Segment_Num1/&gt;</w:t>
      </w:r>
    </w:p>
    <w:p w14:paraId="014CD11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w:t>
      </w:r>
    </w:p>
    <w:p w14:paraId="7AFEB04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&lt;Segment_Num9/&gt;</w:t>
      </w:r>
    </w:p>
    <w:p w14:paraId="17BC975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&lt;Segment_Num10/&gt;</w:t>
      </w:r>
    </w:p>
    <w:p w14:paraId="3906AF0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&lt;Segment_Date1/&gt;</w:t>
      </w:r>
    </w:p>
    <w:p w14:paraId="5074C7B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w:t>
      </w:r>
    </w:p>
    <w:p w14:paraId="2B1F08E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&lt;Segment_Date10/&gt;</w:t>
      </w:r>
    </w:p>
    <w:p w14:paraId="60A57A0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&lt;Segment1_Name/&gt;</w:t>
      </w:r>
    </w:p>
    <w:p w14:paraId="474859C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&lt;Segment2_Name/&gt;</w:t>
      </w:r>
    </w:p>
    <w:p w14:paraId="3DA825D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Segment</w:t>
      </w:r>
      <w:r w:rsidRPr="00264D5D">
        <w:rPr>
          <w:rFonts w:cs="Courier New"/>
          <w:sz w:val="20"/>
          <w:lang w:val="ru-RU"/>
        </w:rPr>
        <w:t>3_</w:t>
      </w:r>
      <w:r w:rsidRPr="00264D5D">
        <w:rPr>
          <w:rFonts w:cs="Courier New"/>
          <w:sz w:val="20"/>
        </w:rPr>
        <w:t>Name</w:t>
      </w:r>
      <w:r w:rsidRPr="00264D5D">
        <w:rPr>
          <w:rFonts w:cs="Courier New"/>
          <w:sz w:val="20"/>
          <w:lang w:val="ru-RU"/>
        </w:rPr>
        <w:t>&gt;МИНИСТЕРСТВО ОБРАЗОВАНИЯ И НАУКИ РОССИЙСКОЙ ФЕДЕРАЦИИ&lt;/</w:t>
      </w:r>
      <w:r w:rsidRPr="00264D5D">
        <w:rPr>
          <w:rFonts w:cs="Courier New"/>
          <w:sz w:val="20"/>
        </w:rPr>
        <w:t>Segment</w:t>
      </w:r>
      <w:r w:rsidRPr="00264D5D">
        <w:rPr>
          <w:rFonts w:cs="Courier New"/>
          <w:sz w:val="20"/>
          <w:lang w:val="ru-RU"/>
        </w:rPr>
        <w:t>3_</w:t>
      </w:r>
      <w:r w:rsidRPr="00264D5D">
        <w:rPr>
          <w:rFonts w:cs="Courier New"/>
          <w:sz w:val="20"/>
        </w:rPr>
        <w:t>Name</w:t>
      </w:r>
      <w:r w:rsidRPr="00264D5D">
        <w:rPr>
          <w:rFonts w:cs="Courier New"/>
          <w:sz w:val="20"/>
          <w:lang w:val="ru-RU"/>
        </w:rPr>
        <w:t>&gt;</w:t>
      </w:r>
    </w:p>
    <w:p w14:paraId="76BFA18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Segment</w:t>
      </w:r>
      <w:r w:rsidRPr="00264D5D">
        <w:rPr>
          <w:rFonts w:cs="Courier New"/>
          <w:sz w:val="20"/>
          <w:lang w:val="ru-RU"/>
        </w:rPr>
        <w:t>4_</w:t>
      </w:r>
      <w:r w:rsidRPr="00264D5D">
        <w:rPr>
          <w:rFonts w:cs="Courier New"/>
          <w:sz w:val="20"/>
        </w:rPr>
        <w:t>Name</w:t>
      </w:r>
      <w:r w:rsidRPr="00264D5D">
        <w:rPr>
          <w:rFonts w:cs="Courier New"/>
          <w:sz w:val="20"/>
          <w:lang w:val="ru-RU"/>
        </w:rPr>
        <w:t>/&gt;</w:t>
      </w:r>
    </w:p>
    <w:p w14:paraId="30A5D49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Segment</w:t>
      </w:r>
      <w:r w:rsidRPr="00264D5D">
        <w:rPr>
          <w:rFonts w:cs="Courier New"/>
          <w:sz w:val="20"/>
          <w:lang w:val="ru-RU"/>
        </w:rPr>
        <w:t>5_</w:t>
      </w:r>
      <w:r w:rsidRPr="00264D5D">
        <w:rPr>
          <w:rFonts w:cs="Courier New"/>
          <w:sz w:val="20"/>
        </w:rPr>
        <w:t>Name</w:t>
      </w:r>
      <w:r w:rsidRPr="00264D5D">
        <w:rPr>
          <w:rFonts w:cs="Courier New"/>
          <w:sz w:val="20"/>
          <w:lang w:val="ru-RU"/>
        </w:rPr>
        <w:t>&gt;Межрегиональное операционное управление Федерального казначейства&lt;/</w:t>
      </w:r>
      <w:r w:rsidRPr="00264D5D">
        <w:rPr>
          <w:rFonts w:cs="Courier New"/>
          <w:sz w:val="20"/>
        </w:rPr>
        <w:t>Segment</w:t>
      </w:r>
      <w:r w:rsidRPr="00264D5D">
        <w:rPr>
          <w:rFonts w:cs="Courier New"/>
          <w:sz w:val="20"/>
          <w:lang w:val="ru-RU"/>
        </w:rPr>
        <w:t>5_</w:t>
      </w:r>
      <w:r w:rsidRPr="00264D5D">
        <w:rPr>
          <w:rFonts w:cs="Courier New"/>
          <w:sz w:val="20"/>
        </w:rPr>
        <w:t>Name</w:t>
      </w:r>
      <w:r w:rsidRPr="00264D5D">
        <w:rPr>
          <w:rFonts w:cs="Courier New"/>
          <w:sz w:val="20"/>
          <w:lang w:val="ru-RU"/>
        </w:rPr>
        <w:t>&gt;</w:t>
      </w:r>
    </w:p>
    <w:p w14:paraId="64D9CFE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rPr>
        <w:t>&lt;Segment6_Name/&gt;</w:t>
      </w:r>
    </w:p>
    <w:p w14:paraId="130A382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&lt;Segment7_Name/&gt;</w:t>
      </w:r>
    </w:p>
    <w:p w14:paraId="0A18D21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&lt;Segment8_Name/&gt;</w:t>
      </w:r>
    </w:p>
    <w:p w14:paraId="754160D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&lt;Segment9_Name/&gt;</w:t>
      </w:r>
    </w:p>
    <w:p w14:paraId="682E500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&lt;Segment10_Name/&gt;</w:t>
      </w:r>
    </w:p>
    <w:p w14:paraId="53C0467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&lt;Segment11_Name/&gt;</w:t>
      </w:r>
    </w:p>
    <w:p w14:paraId="125B8EE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Segment</w:t>
      </w:r>
      <w:r w:rsidRPr="00264D5D">
        <w:rPr>
          <w:rFonts w:cs="Courier New"/>
          <w:sz w:val="20"/>
          <w:lang w:val="ru-RU"/>
        </w:rPr>
        <w:t>12_</w:t>
      </w:r>
      <w:r w:rsidRPr="00264D5D">
        <w:rPr>
          <w:rFonts w:cs="Courier New"/>
          <w:sz w:val="20"/>
        </w:rPr>
        <w:t>Name</w:t>
      </w:r>
      <w:r w:rsidRPr="00264D5D">
        <w:rPr>
          <w:rFonts w:cs="Courier New"/>
          <w:sz w:val="20"/>
          <w:lang w:val="ru-RU"/>
        </w:rPr>
        <w:t>/&gt;</w:t>
      </w:r>
    </w:p>
    <w:p w14:paraId="5D87228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Segment</w:t>
      </w:r>
      <w:r w:rsidRPr="00264D5D">
        <w:rPr>
          <w:rFonts w:cs="Courier New"/>
          <w:sz w:val="20"/>
          <w:lang w:val="ru-RU"/>
        </w:rPr>
        <w:t>13_</w:t>
      </w:r>
      <w:r w:rsidRPr="00264D5D">
        <w:rPr>
          <w:rFonts w:cs="Courier New"/>
          <w:sz w:val="20"/>
        </w:rPr>
        <w:t>Name</w:t>
      </w:r>
      <w:r w:rsidRPr="00264D5D">
        <w:rPr>
          <w:rFonts w:cs="Courier New"/>
          <w:sz w:val="20"/>
          <w:lang w:val="ru-RU"/>
        </w:rPr>
        <w:t>&gt;МИНИСТЕРСТВО ПРОСВЕЩЕНИЯ РОССИЙСКОЙ ФЕДЕРАЦИИ&lt;/</w:t>
      </w:r>
      <w:r w:rsidRPr="00264D5D">
        <w:rPr>
          <w:rFonts w:cs="Courier New"/>
          <w:sz w:val="20"/>
        </w:rPr>
        <w:t>Segment</w:t>
      </w:r>
      <w:r w:rsidRPr="00264D5D">
        <w:rPr>
          <w:rFonts w:cs="Courier New"/>
          <w:sz w:val="20"/>
          <w:lang w:val="ru-RU"/>
        </w:rPr>
        <w:t>13_</w:t>
      </w:r>
      <w:r w:rsidRPr="00264D5D">
        <w:rPr>
          <w:rFonts w:cs="Courier New"/>
          <w:sz w:val="20"/>
        </w:rPr>
        <w:t>Name</w:t>
      </w:r>
      <w:r w:rsidRPr="00264D5D">
        <w:rPr>
          <w:rFonts w:cs="Courier New"/>
          <w:sz w:val="20"/>
          <w:lang w:val="ru-RU"/>
        </w:rPr>
        <w:t>&gt;</w:t>
      </w:r>
    </w:p>
    <w:p w14:paraId="2444FF6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Segment</w:t>
      </w:r>
      <w:r w:rsidRPr="00264D5D">
        <w:rPr>
          <w:rFonts w:cs="Courier New"/>
          <w:sz w:val="20"/>
          <w:lang w:val="ru-RU"/>
        </w:rPr>
        <w:t>14_</w:t>
      </w:r>
      <w:r w:rsidRPr="00264D5D">
        <w:rPr>
          <w:rFonts w:cs="Courier New"/>
          <w:sz w:val="20"/>
        </w:rPr>
        <w:t>Name</w:t>
      </w:r>
      <w:r w:rsidRPr="00264D5D">
        <w:rPr>
          <w:rFonts w:cs="Courier New"/>
          <w:sz w:val="20"/>
          <w:lang w:val="ru-RU"/>
        </w:rPr>
        <w:t>/&gt;</w:t>
      </w:r>
    </w:p>
    <w:p w14:paraId="06078C4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Segment</w:t>
      </w:r>
      <w:r w:rsidRPr="00264D5D">
        <w:rPr>
          <w:rFonts w:cs="Courier New"/>
          <w:sz w:val="20"/>
          <w:lang w:val="ru-RU"/>
        </w:rPr>
        <w:t>15_</w:t>
      </w:r>
      <w:r w:rsidRPr="00264D5D">
        <w:rPr>
          <w:rFonts w:cs="Courier New"/>
          <w:sz w:val="20"/>
        </w:rPr>
        <w:t>Name</w:t>
      </w:r>
      <w:r w:rsidRPr="00264D5D">
        <w:rPr>
          <w:rFonts w:cs="Courier New"/>
          <w:sz w:val="20"/>
          <w:lang w:val="ru-RU"/>
        </w:rPr>
        <w:t>&gt;Межрегиональное операционное управление Федерального казначейства&lt;/</w:t>
      </w:r>
      <w:r w:rsidRPr="00264D5D">
        <w:rPr>
          <w:rFonts w:cs="Courier New"/>
          <w:sz w:val="20"/>
        </w:rPr>
        <w:t>Segment</w:t>
      </w:r>
      <w:r w:rsidRPr="00264D5D">
        <w:rPr>
          <w:rFonts w:cs="Courier New"/>
          <w:sz w:val="20"/>
          <w:lang w:val="ru-RU"/>
        </w:rPr>
        <w:t>15_</w:t>
      </w:r>
      <w:r w:rsidRPr="00264D5D">
        <w:rPr>
          <w:rFonts w:cs="Courier New"/>
          <w:sz w:val="20"/>
        </w:rPr>
        <w:t>Name</w:t>
      </w:r>
      <w:r w:rsidRPr="00264D5D">
        <w:rPr>
          <w:rFonts w:cs="Courier New"/>
          <w:sz w:val="20"/>
          <w:lang w:val="ru-RU"/>
        </w:rPr>
        <w:t>&gt;</w:t>
      </w:r>
    </w:p>
    <w:p w14:paraId="6A9E5D6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rPr>
        <w:t>&lt;Segment16_Name/&gt;</w:t>
      </w:r>
    </w:p>
    <w:p w14:paraId="58724D2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&lt;Segment17_Name&gt;Федеральный бюджет&lt;/Segment17_Name&gt;</w:t>
      </w:r>
    </w:p>
    <w:p w14:paraId="34069A0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&lt;Segment18_Name/&gt;</w:t>
      </w:r>
    </w:p>
    <w:p w14:paraId="7C4EBAC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&lt;Segment19_Name/&gt;</w:t>
      </w:r>
    </w:p>
    <w:p w14:paraId="735F664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&lt;Segment20_Name/&gt;</w:t>
      </w:r>
    </w:p>
    <w:p w14:paraId="2DE304C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&lt;Attribute1/&gt;</w:t>
      </w:r>
    </w:p>
    <w:p w14:paraId="793A806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w:t>
      </w:r>
    </w:p>
    <w:p w14:paraId="545C1DB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&lt;Attribute20/&gt;</w:t>
      </w:r>
    </w:p>
    <w:p w14:paraId="6CEE02D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&lt;File_Name/&gt;</w:t>
      </w:r>
    </w:p>
    <w:p w14:paraId="01EF3BB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&lt;PA_S/&gt;</w:t>
      </w:r>
    </w:p>
    <w:p w14:paraId="51D26DB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&lt;PA_R/&gt;</w:t>
      </w:r>
    </w:p>
    <w:p w14:paraId="10C6D81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&lt;Line&gt;</w:t>
      </w:r>
    </w:p>
    <w:p w14:paraId="375D1BC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&lt;SectionNumber&gt;1&lt;/SectionNumber&gt;</w:t>
      </w:r>
    </w:p>
    <w:p w14:paraId="09FFCCA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&lt;LineName/&gt;</w:t>
      </w:r>
    </w:p>
    <w:p w14:paraId="355B0C5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&lt;SummaryFlag/&gt;</w:t>
      </w:r>
    </w:p>
    <w:p w14:paraId="00F45D9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&lt;Data001/&gt;</w:t>
      </w:r>
    </w:p>
    <w:p w14:paraId="39B80FE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&lt;Data002/&gt;</w:t>
      </w:r>
    </w:p>
    <w:p w14:paraId="6545D4E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&lt;Data003/&gt;</w:t>
      </w:r>
    </w:p>
    <w:p w14:paraId="4306512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&lt;Data004&gt;0.00&lt;/Data004&gt;</w:t>
      </w:r>
    </w:p>
    <w:p w14:paraId="646422D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&lt;Data005&gt;0.00&lt;/Data005&gt;</w:t>
      </w:r>
    </w:p>
    <w:p w14:paraId="7098FAC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&lt;Data006&gt;101250000.00&lt;/Data006&gt;</w:t>
      </w:r>
    </w:p>
    <w:p w14:paraId="37DA77D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&lt;Data007/&gt;</w:t>
      </w:r>
    </w:p>
    <w:p w14:paraId="533560F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w:t>
      </w:r>
    </w:p>
    <w:p w14:paraId="41D6552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&lt;Data100/&gt;</w:t>
      </w:r>
    </w:p>
    <w:p w14:paraId="568D761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&lt;Data_VC001/&gt;</w:t>
      </w:r>
    </w:p>
    <w:p w14:paraId="0BF7F75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w:t>
      </w:r>
    </w:p>
    <w:p w14:paraId="42D7C9A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&lt;Data_VC100/&gt;</w:t>
      </w:r>
    </w:p>
    <w:p w14:paraId="6B5FBC5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&lt;Data_Date001/&gt;</w:t>
      </w:r>
    </w:p>
    <w:p w14:paraId="52CA64E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w:t>
      </w:r>
    </w:p>
    <w:p w14:paraId="398DA40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&lt;Data_Date100/&gt;</w:t>
      </w:r>
    </w:p>
    <w:p w14:paraId="09DB27B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&lt;Segment1&gt;07407030240190059621&lt;/Segment1&gt;</w:t>
      </w:r>
    </w:p>
    <w:p w14:paraId="378E882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&lt;Segment2&gt;07307030240190059621&lt;/Segment2&gt;</w:t>
      </w:r>
    </w:p>
    <w:p w14:paraId="7209BAE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&lt;Segment3/&gt;</w:t>
      </w:r>
    </w:p>
    <w:p w14:paraId="7A54D48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&lt;Segment4&gt;средства бюджета&lt;/Segment4&gt;</w:t>
      </w:r>
    </w:p>
    <w:p w14:paraId="23698B4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&lt;Segment5/&gt;</w:t>
      </w:r>
    </w:p>
    <w:p w14:paraId="23109C4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&lt;Segment6/&gt;</w:t>
      </w:r>
    </w:p>
    <w:p w14:paraId="4F480AD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&lt;Segment7/&gt;</w:t>
      </w:r>
    </w:p>
    <w:p w14:paraId="19D492A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&lt;Segment8/&gt;</w:t>
      </w:r>
    </w:p>
    <w:p w14:paraId="0B0BD60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&lt;Segment9/&gt;</w:t>
      </w:r>
    </w:p>
    <w:p w14:paraId="601DD86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&lt;Segment10&gt;RUB&lt;/Segment10&gt;</w:t>
      </w:r>
    </w:p>
    <w:p w14:paraId="7404B54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&lt;Segment11/&gt;</w:t>
      </w:r>
    </w:p>
    <w:p w14:paraId="73AC0D6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w:t>
      </w:r>
    </w:p>
    <w:p w14:paraId="2A8C39A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&lt;Segment20/&gt;</w:t>
      </w:r>
    </w:p>
    <w:p w14:paraId="608CD63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&lt;Segment_Num1/&gt;</w:t>
      </w:r>
    </w:p>
    <w:p w14:paraId="1603FE2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w:t>
      </w:r>
    </w:p>
    <w:p w14:paraId="323A4B7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&lt;Segment_Num20/&gt;</w:t>
      </w:r>
    </w:p>
    <w:p w14:paraId="016E665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&lt;Segment_Date1/&gt;</w:t>
      </w:r>
    </w:p>
    <w:p w14:paraId="03588AA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w:t>
      </w:r>
    </w:p>
    <w:p w14:paraId="76CBA58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&lt;Segment_Date20/&gt;</w:t>
      </w:r>
    </w:p>
    <w:p w14:paraId="7D99D2E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&lt;/Line&gt;</w:t>
      </w:r>
    </w:p>
    <w:p w14:paraId="113C3AE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&lt;Line&gt;</w:t>
      </w:r>
    </w:p>
    <w:p w14:paraId="4EABEA0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&lt;SectionNumber&gt;2&lt;/SectionNumber&gt;</w:t>
      </w:r>
    </w:p>
    <w:p w14:paraId="343D3CD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&lt;LineName/&gt;</w:t>
      </w:r>
    </w:p>
    <w:p w14:paraId="2C55114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&lt;SummaryFlag/&gt;</w:t>
      </w:r>
    </w:p>
    <w:p w14:paraId="56858C1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&lt;Data001/&gt;</w:t>
      </w:r>
    </w:p>
    <w:p w14:paraId="5C5C356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&lt;Data002/&gt;</w:t>
      </w:r>
    </w:p>
    <w:p w14:paraId="5878C11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&lt;Data003/&gt;</w:t>
      </w:r>
    </w:p>
    <w:p w14:paraId="2B93D2E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&lt;Data004&gt;0.00&lt;/Data004&gt;</w:t>
      </w:r>
    </w:p>
    <w:p w14:paraId="610E384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&lt;Data005&gt;0.00&lt;/Data005&gt;</w:t>
      </w:r>
    </w:p>
    <w:p w14:paraId="79914E7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&lt;Data006&gt;101250000.00&lt;/Data006&gt;</w:t>
      </w:r>
    </w:p>
    <w:p w14:paraId="567BE2D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&lt;Data007/&gt;</w:t>
      </w:r>
    </w:p>
    <w:p w14:paraId="69B9B07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w:t>
      </w:r>
    </w:p>
    <w:p w14:paraId="13B389B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&lt;Data100/&gt;</w:t>
      </w:r>
    </w:p>
    <w:p w14:paraId="69B70C1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&lt;Data_VC001/&gt;</w:t>
      </w:r>
    </w:p>
    <w:p w14:paraId="2E56D92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w:t>
      </w:r>
    </w:p>
    <w:p w14:paraId="54D61D2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&lt;Data_VC100/&gt;</w:t>
      </w:r>
    </w:p>
    <w:p w14:paraId="3529A63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&lt;Data_Date001/&gt;</w:t>
      </w:r>
    </w:p>
    <w:p w14:paraId="19DAF45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w:t>
      </w:r>
    </w:p>
    <w:p w14:paraId="7FDC44F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&lt;Data_Date100/&gt;</w:t>
      </w:r>
    </w:p>
    <w:p w14:paraId="404F44C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&lt;Segment1/&gt;</w:t>
      </w:r>
    </w:p>
    <w:p w14:paraId="3C0F2A7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&lt;Segment2/&gt;</w:t>
      </w:r>
    </w:p>
    <w:p w14:paraId="2CDBECD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&lt;Segment3/&gt;</w:t>
      </w:r>
    </w:p>
    <w:p w14:paraId="0C19F25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&lt;Segment4&gt;средства бюджета&lt;/Segment4&gt;</w:t>
      </w:r>
    </w:p>
    <w:p w14:paraId="5A738FB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&lt;Segment5/&gt;</w:t>
      </w:r>
    </w:p>
    <w:p w14:paraId="1E5DF0B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w:t>
      </w:r>
    </w:p>
    <w:p w14:paraId="14E993E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&lt;Segment19/&gt;</w:t>
      </w:r>
    </w:p>
    <w:p w14:paraId="5FDAAC9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&lt;Segment20/&gt;</w:t>
      </w:r>
    </w:p>
    <w:p w14:paraId="631C5A9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&lt;Segment_Num1/&gt;</w:t>
      </w:r>
    </w:p>
    <w:p w14:paraId="51CB8FF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w:t>
      </w:r>
    </w:p>
    <w:p w14:paraId="095E08E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&lt;Segment_Num20/&gt;</w:t>
      </w:r>
    </w:p>
    <w:p w14:paraId="7787BB5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&lt;Segment_Date1/&gt;</w:t>
      </w:r>
    </w:p>
    <w:p w14:paraId="2D2BC2E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w:t>
      </w:r>
    </w:p>
    <w:p w14:paraId="02E0721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&lt;Segment_Date20/&gt;</w:t>
      </w:r>
    </w:p>
    <w:p w14:paraId="77854D8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&lt;/Line&gt;</w:t>
      </w:r>
    </w:p>
    <w:p w14:paraId="4FFBC28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&lt;Line&gt;</w:t>
      </w:r>
    </w:p>
    <w:p w14:paraId="0861C1E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&lt;SectionNumber&gt;2&lt;/SectionNumber&gt;</w:t>
      </w:r>
    </w:p>
    <w:p w14:paraId="2957A79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&lt;LineName/&gt;</w:t>
      </w:r>
    </w:p>
    <w:p w14:paraId="22C5E17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&lt;SummaryFlag&gt;Y&lt;/SummaryFlag&gt;</w:t>
      </w:r>
    </w:p>
    <w:p w14:paraId="1C676B3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&lt;Data001/&gt;</w:t>
      </w:r>
    </w:p>
    <w:p w14:paraId="468A21A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&lt;Data002/&gt;</w:t>
      </w:r>
    </w:p>
    <w:p w14:paraId="3C39243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&lt;Data003/&gt;</w:t>
      </w:r>
    </w:p>
    <w:p w14:paraId="772EF5B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&lt;Data004&gt;0.00&lt;/Data004&gt;</w:t>
      </w:r>
    </w:p>
    <w:p w14:paraId="5F95865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&lt;Data005&gt;0.00&lt;/Data005&gt;</w:t>
      </w:r>
    </w:p>
    <w:p w14:paraId="064F59B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&lt;Data006&gt;101250000.00&lt;/Data006&gt;</w:t>
      </w:r>
    </w:p>
    <w:p w14:paraId="2D30F44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&lt;Data007/&gt;</w:t>
      </w:r>
    </w:p>
    <w:p w14:paraId="4A192AB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w:t>
      </w:r>
    </w:p>
    <w:p w14:paraId="42890BF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&lt;Data100/&gt;</w:t>
      </w:r>
    </w:p>
    <w:p w14:paraId="1E9D003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&lt;Data_VC001/&gt;</w:t>
      </w:r>
    </w:p>
    <w:p w14:paraId="081EE12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w:t>
      </w:r>
    </w:p>
    <w:p w14:paraId="23B0697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&lt;Data_VC100/&gt;</w:t>
      </w:r>
    </w:p>
    <w:p w14:paraId="41CABAF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&lt;Data_Date001/&gt;</w:t>
      </w:r>
    </w:p>
    <w:p w14:paraId="1973938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w:t>
      </w:r>
    </w:p>
    <w:p w14:paraId="01EFC7A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&lt;Data_Date100/&gt;</w:t>
      </w:r>
    </w:p>
    <w:p w14:paraId="66CA7C0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&lt;Segment1/&gt;</w:t>
      </w:r>
    </w:p>
    <w:p w14:paraId="0104DAC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w:t>
      </w:r>
    </w:p>
    <w:p w14:paraId="324A0B0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&lt;Segment20/&gt;</w:t>
      </w:r>
    </w:p>
    <w:p w14:paraId="5D95628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&lt;Segment_Num1/&gt;</w:t>
      </w:r>
    </w:p>
    <w:p w14:paraId="46F2DF9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w:t>
      </w:r>
    </w:p>
    <w:p w14:paraId="6E7807D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&lt;Segment_Num20/&gt;</w:t>
      </w:r>
    </w:p>
    <w:p w14:paraId="0DD152C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&lt;Segment_Date1/&gt;</w:t>
      </w:r>
    </w:p>
    <w:p w14:paraId="326101B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w:t>
      </w:r>
    </w:p>
    <w:p w14:paraId="4E8AD0F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&lt;Segment_Date20/&gt;</w:t>
      </w:r>
    </w:p>
    <w:p w14:paraId="3E809D7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&lt;/Line&gt;</w:t>
      </w:r>
    </w:p>
    <w:p w14:paraId="67263F2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&lt;Line&gt;</w:t>
      </w:r>
    </w:p>
    <w:p w14:paraId="4152130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&lt;SectionNumber&gt;4&lt;/SectionNumber&gt;</w:t>
      </w:r>
    </w:p>
    <w:p w14:paraId="04B125E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&lt;LineName/&gt;</w:t>
      </w:r>
    </w:p>
    <w:p w14:paraId="1B06C18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&lt;SummaryFlag/&gt;</w:t>
      </w:r>
    </w:p>
    <w:p w14:paraId="6D3BA9B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&lt;Data001/&gt;</w:t>
      </w:r>
    </w:p>
    <w:p w14:paraId="24E9CDF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w:t>
      </w:r>
    </w:p>
    <w:p w14:paraId="388FF89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&lt;Data019/&gt;</w:t>
      </w:r>
    </w:p>
    <w:p w14:paraId="063F991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&lt;Data020&gt;135000000.00&lt;/Data020&gt;</w:t>
      </w:r>
    </w:p>
    <w:p w14:paraId="50E1971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&lt;Data021&gt;0.00&lt;/Data021&gt;</w:t>
      </w:r>
    </w:p>
    <w:p w14:paraId="796F52D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&lt;Data022&gt;135000000.00&lt;/Data022&gt;</w:t>
      </w:r>
    </w:p>
    <w:p w14:paraId="3EC995A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&lt;Data023/&gt;</w:t>
      </w:r>
    </w:p>
    <w:p w14:paraId="567F5DF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w:t>
      </w:r>
    </w:p>
    <w:p w14:paraId="6F44CA4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&lt;Data100/&gt;</w:t>
      </w:r>
    </w:p>
    <w:p w14:paraId="3D12230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&lt;Data_VC001/&gt;</w:t>
      </w:r>
    </w:p>
    <w:p w14:paraId="7BD66D6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&lt;Data_VC002/&gt;</w:t>
      </w:r>
    </w:p>
    <w:p w14:paraId="6C30DD0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&lt;Data_VC003/&gt;</w:t>
      </w:r>
    </w:p>
    <w:p w14:paraId="299CBEF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&lt;Data_VC004/&gt;</w:t>
      </w:r>
    </w:p>
    <w:p w14:paraId="7D561C8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&lt;Data_VC005/&gt;</w:t>
      </w:r>
    </w:p>
    <w:p w14:paraId="6B92813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&lt;Data_VC006/&gt;</w:t>
      </w:r>
    </w:p>
    <w:p w14:paraId="6E73670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&lt;Data_VC007/&gt;</w:t>
      </w:r>
    </w:p>
    <w:p w14:paraId="5C4562B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&lt;Data_VC008/&gt;</w:t>
      </w:r>
    </w:p>
    <w:p w14:paraId="6CE9169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&lt;Data_VC009/&gt;</w:t>
      </w:r>
    </w:p>
    <w:p w14:paraId="45139DD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&lt;Data_VC010&gt;0010007418000000695&lt;/Data_VC010&gt;</w:t>
      </w:r>
    </w:p>
    <w:p w14:paraId="1C9AB04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Data</w:t>
      </w:r>
      <w:r w:rsidRPr="00264D5D">
        <w:rPr>
          <w:rFonts w:cs="Courier New"/>
          <w:sz w:val="20"/>
          <w:lang w:val="ru-RU"/>
        </w:rPr>
        <w:t>_</w:t>
      </w:r>
      <w:r w:rsidRPr="00264D5D">
        <w:rPr>
          <w:rFonts w:cs="Courier New"/>
          <w:sz w:val="20"/>
        </w:rPr>
        <w:t>VC</w:t>
      </w:r>
      <w:r w:rsidRPr="00264D5D">
        <w:rPr>
          <w:rFonts w:cs="Courier New"/>
          <w:sz w:val="20"/>
          <w:lang w:val="ru-RU"/>
        </w:rPr>
        <w:t>011&gt;соглашение&lt;/</w:t>
      </w:r>
      <w:r w:rsidRPr="00264D5D">
        <w:rPr>
          <w:rFonts w:cs="Courier New"/>
          <w:sz w:val="20"/>
        </w:rPr>
        <w:t>Data</w:t>
      </w:r>
      <w:r w:rsidRPr="00264D5D">
        <w:rPr>
          <w:rFonts w:cs="Courier New"/>
          <w:sz w:val="20"/>
          <w:lang w:val="ru-RU"/>
        </w:rPr>
        <w:t>_</w:t>
      </w:r>
      <w:r w:rsidRPr="00264D5D">
        <w:rPr>
          <w:rFonts w:cs="Courier New"/>
          <w:sz w:val="20"/>
        </w:rPr>
        <w:t>VC</w:t>
      </w:r>
      <w:r w:rsidRPr="00264D5D">
        <w:rPr>
          <w:rFonts w:cs="Courier New"/>
          <w:sz w:val="20"/>
          <w:lang w:val="ru-RU"/>
        </w:rPr>
        <w:t>011&gt;</w:t>
      </w:r>
    </w:p>
    <w:p w14:paraId="75683FB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rPr>
        <w:t>&lt;Data_VC012&gt;074-03-2018-343&lt;/Data_VC012&gt;</w:t>
      </w:r>
    </w:p>
    <w:p w14:paraId="3B625A9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&lt;Data_VC013&gt;07418PJQ000000&lt;/Data_VC013&gt;</w:t>
      </w:r>
    </w:p>
    <w:p w14:paraId="4739B1A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&lt;Data_VC014&gt;RUB&lt;/Data_VC014&gt;</w:t>
      </w:r>
    </w:p>
    <w:p w14:paraId="0B618EB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&lt;Data_VC015/&gt;</w:t>
      </w:r>
    </w:p>
    <w:p w14:paraId="38ABDE2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&lt;Data_VC016/&gt;</w:t>
      </w:r>
    </w:p>
    <w:p w14:paraId="3476BE2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w:t>
      </w:r>
    </w:p>
    <w:p w14:paraId="4A69062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&lt;Data_VC100/&gt;</w:t>
      </w:r>
    </w:p>
    <w:p w14:paraId="3A1CE96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&lt;Data_Date001/&gt;</w:t>
      </w:r>
    </w:p>
    <w:p w14:paraId="0233880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w:t>
      </w:r>
    </w:p>
    <w:p w14:paraId="0DF5A24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&lt;Data_Date100/&gt;</w:t>
      </w:r>
    </w:p>
    <w:p w14:paraId="235F205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&lt;Segment1/&gt;</w:t>
      </w:r>
    </w:p>
    <w:p w14:paraId="136869F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w:t>
      </w:r>
    </w:p>
    <w:p w14:paraId="27B62A0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&lt;Segment20/&gt;</w:t>
      </w:r>
    </w:p>
    <w:p w14:paraId="1278488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&lt;Segment_Num1/&gt;</w:t>
      </w:r>
    </w:p>
    <w:p w14:paraId="2B8457E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w:t>
      </w:r>
    </w:p>
    <w:p w14:paraId="0F2C735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&lt;Segment_Num20/&gt;</w:t>
      </w:r>
    </w:p>
    <w:p w14:paraId="3750815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&lt;Segment_Date1&gt;2018-02-08T00:00:00+03:00&lt;/Segment_Date1&gt;</w:t>
      </w:r>
    </w:p>
    <w:p w14:paraId="267F49D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&lt;Segment_Date2/&gt;</w:t>
      </w:r>
    </w:p>
    <w:p w14:paraId="7C4179E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w:t>
      </w:r>
    </w:p>
    <w:p w14:paraId="76EE6BD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&lt;Segment_Date20/&gt;</w:t>
      </w:r>
    </w:p>
    <w:p w14:paraId="33ACA1C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&lt;/Line&gt;</w:t>
      </w:r>
    </w:p>
    <w:p w14:paraId="00C7147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&lt;Line&gt;</w:t>
      </w:r>
    </w:p>
    <w:p w14:paraId="706872B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&lt;SectionNumber&gt;5&lt;/SectionNumber&gt;</w:t>
      </w:r>
    </w:p>
    <w:p w14:paraId="7205C8B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&lt;LineName/&gt;</w:t>
      </w:r>
    </w:p>
    <w:p w14:paraId="62F32CE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&lt;SummaryFlag/&gt;</w:t>
      </w:r>
    </w:p>
    <w:p w14:paraId="260EEBA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&lt;Data001/&gt;</w:t>
      </w:r>
    </w:p>
    <w:p w14:paraId="2572DC3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w:t>
      </w:r>
    </w:p>
    <w:p w14:paraId="42777B4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&lt;Data021/&gt;</w:t>
      </w:r>
    </w:p>
    <w:p w14:paraId="7CC052D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&lt;Data023&gt;135000000.00&lt;/Data023&gt;</w:t>
      </w:r>
    </w:p>
    <w:p w14:paraId="7935EC7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&lt;Data024&gt;101250000.00&lt;/Data024&gt;</w:t>
      </w:r>
    </w:p>
    <w:p w14:paraId="24BDC1F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&lt;Data025&gt;0.00&lt;/Data025&gt;</w:t>
      </w:r>
    </w:p>
    <w:p w14:paraId="1EC7CD4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&lt;Data026&gt;0.00&lt;/Data026&gt;</w:t>
      </w:r>
    </w:p>
    <w:p w14:paraId="721A990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&lt;Data027&gt;0.00&lt;/Data027&gt;</w:t>
      </w:r>
    </w:p>
    <w:p w14:paraId="016E380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&lt;Data028&gt;0.00&lt;/Data028&gt;</w:t>
      </w:r>
    </w:p>
    <w:p w14:paraId="7C692AB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&lt;Data029&gt;0.00&lt;/Data029&gt;</w:t>
      </w:r>
    </w:p>
    <w:p w14:paraId="69982F6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&lt;Data035/&gt;</w:t>
      </w:r>
    </w:p>
    <w:p w14:paraId="0E5E888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w:t>
      </w:r>
    </w:p>
    <w:p w14:paraId="5BA7CF1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&lt;Data100/&gt;</w:t>
      </w:r>
    </w:p>
    <w:p w14:paraId="4FC1C7A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&lt;Data_VC001&gt;07407030240190059621&lt;/Data_VC001&gt;</w:t>
      </w:r>
    </w:p>
    <w:p w14:paraId="58163BD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&lt;Data_VC002&gt;07307030240190059621&lt;/Data_VC002&gt;</w:t>
      </w:r>
    </w:p>
    <w:p w14:paraId="6803B5C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&lt;Data_VC003/&gt;</w:t>
      </w:r>
    </w:p>
    <w:p w14:paraId="7162408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Data</w:t>
      </w:r>
      <w:r w:rsidRPr="00264D5D">
        <w:rPr>
          <w:rFonts w:cs="Courier New"/>
          <w:sz w:val="20"/>
          <w:lang w:val="ru-RU"/>
        </w:rPr>
        <w:t>_</w:t>
      </w:r>
      <w:r w:rsidRPr="00264D5D">
        <w:rPr>
          <w:rFonts w:cs="Courier New"/>
          <w:sz w:val="20"/>
        </w:rPr>
        <w:t>VC</w:t>
      </w:r>
      <w:r w:rsidRPr="00264D5D">
        <w:rPr>
          <w:rFonts w:cs="Courier New"/>
          <w:sz w:val="20"/>
          <w:lang w:val="ru-RU"/>
        </w:rPr>
        <w:t>004&gt;средства бюджета&lt;/</w:t>
      </w:r>
      <w:r w:rsidRPr="00264D5D">
        <w:rPr>
          <w:rFonts w:cs="Courier New"/>
          <w:sz w:val="20"/>
        </w:rPr>
        <w:t>Data</w:t>
      </w:r>
      <w:r w:rsidRPr="00264D5D">
        <w:rPr>
          <w:rFonts w:cs="Courier New"/>
          <w:sz w:val="20"/>
          <w:lang w:val="ru-RU"/>
        </w:rPr>
        <w:t>_</w:t>
      </w:r>
      <w:r w:rsidRPr="00264D5D">
        <w:rPr>
          <w:rFonts w:cs="Courier New"/>
          <w:sz w:val="20"/>
        </w:rPr>
        <w:t>VC</w:t>
      </w:r>
      <w:r w:rsidRPr="00264D5D">
        <w:rPr>
          <w:rFonts w:cs="Courier New"/>
          <w:sz w:val="20"/>
          <w:lang w:val="ru-RU"/>
        </w:rPr>
        <w:t>004&gt;</w:t>
      </w:r>
    </w:p>
    <w:p w14:paraId="6151763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rPr>
        <w:t>&lt;Data_VC005/&gt;</w:t>
      </w:r>
    </w:p>
    <w:p w14:paraId="0D30343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&lt;Data_VC006/&gt;</w:t>
      </w:r>
    </w:p>
    <w:p w14:paraId="0D4F992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&lt;Data_VC007/&gt;</w:t>
      </w:r>
    </w:p>
    <w:p w14:paraId="41B2C34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&lt;Data_VC008/&gt;</w:t>
      </w:r>
    </w:p>
    <w:p w14:paraId="01FA8CC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&lt;Data_VC009/&gt;</w:t>
      </w:r>
    </w:p>
    <w:p w14:paraId="03F69BA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&lt;Data_VC010&gt;0010007418000000695&lt;/Data_VC010&gt;</w:t>
      </w:r>
    </w:p>
    <w:p w14:paraId="26BE6A2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&lt;Data_VC011/&gt;</w:t>
      </w:r>
    </w:p>
    <w:p w14:paraId="71FC31A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w:t>
      </w:r>
    </w:p>
    <w:p w14:paraId="7308D0A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&lt;Data_VC100/&gt;</w:t>
      </w:r>
    </w:p>
    <w:p w14:paraId="3439932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&lt;Data_Date001/&gt;</w:t>
      </w:r>
    </w:p>
    <w:p w14:paraId="1FCE013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w:t>
      </w:r>
    </w:p>
    <w:p w14:paraId="3D11D64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&lt;Data_Date100/&gt;</w:t>
      </w:r>
    </w:p>
    <w:p w14:paraId="705725B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&lt;Segment1/&gt;</w:t>
      </w:r>
    </w:p>
    <w:p w14:paraId="5A4E738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w:t>
      </w:r>
    </w:p>
    <w:p w14:paraId="0EB22BA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&lt;Segment20/&gt;</w:t>
      </w:r>
    </w:p>
    <w:p w14:paraId="64416EF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&lt;Segment_Num1/&gt;</w:t>
      </w:r>
    </w:p>
    <w:p w14:paraId="3D4A2C7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w:t>
      </w:r>
    </w:p>
    <w:p w14:paraId="61993A1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&lt;Segment_Date20/&gt;</w:t>
      </w:r>
    </w:p>
    <w:p w14:paraId="4E570C5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&lt;/Line&gt;</w:t>
      </w:r>
    </w:p>
    <w:p w14:paraId="7C80C94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&lt;Line&gt;</w:t>
      </w:r>
    </w:p>
    <w:p w14:paraId="73B6B60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&lt;SectionNumber&gt;6&lt;/SectionNumber&gt;</w:t>
      </w:r>
    </w:p>
    <w:p w14:paraId="437239E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&lt;LineName/&gt;</w:t>
      </w:r>
    </w:p>
    <w:p w14:paraId="1023590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&lt;SummaryFlag/&gt;</w:t>
      </w:r>
    </w:p>
    <w:p w14:paraId="371A8DA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&lt;Data001/&gt;</w:t>
      </w:r>
    </w:p>
    <w:p w14:paraId="10B7FC2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w:t>
      </w:r>
    </w:p>
    <w:p w14:paraId="7D524E5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&lt;Data029/&gt;</w:t>
      </w:r>
    </w:p>
    <w:p w14:paraId="59956E4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&lt;Data030&gt;0.00&lt;/Data030&gt;</w:t>
      </w:r>
    </w:p>
    <w:p w14:paraId="54B5471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&lt;Data031&gt;0.00&lt;/Data031&gt;</w:t>
      </w:r>
    </w:p>
    <w:p w14:paraId="4974B29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&lt;Data032&gt;135000000.00&lt;/Data032&gt;</w:t>
      </w:r>
    </w:p>
    <w:p w14:paraId="1CF3388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&lt;Data033&gt;135000000.00&lt;/Data033&gt;</w:t>
      </w:r>
    </w:p>
    <w:p w14:paraId="39CC29F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&lt;Data034/&gt;</w:t>
      </w:r>
    </w:p>
    <w:p w14:paraId="6872FF4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w:t>
      </w:r>
    </w:p>
    <w:p w14:paraId="1EB783F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&lt;Data100/&gt;</w:t>
      </w:r>
    </w:p>
    <w:p w14:paraId="014E26F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&lt;Data_VC001/&gt;</w:t>
      </w:r>
    </w:p>
    <w:p w14:paraId="2E38DCB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w:t>
      </w:r>
    </w:p>
    <w:p w14:paraId="567756C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&lt;Data_VC029/&gt;</w:t>
      </w:r>
    </w:p>
    <w:p w14:paraId="3B490BE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&lt;Data_VC030&gt;0010007418000000695Й02&lt;/Data_VC030&gt;</w:t>
      </w:r>
    </w:p>
    <w:p w14:paraId="7C59E1B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Data</w:t>
      </w:r>
      <w:r w:rsidRPr="00264D5D">
        <w:rPr>
          <w:rFonts w:cs="Courier New"/>
          <w:sz w:val="20"/>
          <w:lang w:val="ru-RU"/>
        </w:rPr>
        <w:t>_</w:t>
      </w:r>
      <w:r w:rsidRPr="00264D5D">
        <w:rPr>
          <w:rFonts w:cs="Courier New"/>
          <w:sz w:val="20"/>
        </w:rPr>
        <w:t>VC</w:t>
      </w:r>
      <w:r w:rsidRPr="00264D5D">
        <w:rPr>
          <w:rFonts w:cs="Courier New"/>
          <w:sz w:val="20"/>
          <w:lang w:val="ru-RU"/>
        </w:rPr>
        <w:t>031&gt;соглашение&lt;/</w:t>
      </w:r>
      <w:r w:rsidRPr="00264D5D">
        <w:rPr>
          <w:rFonts w:cs="Courier New"/>
          <w:sz w:val="20"/>
        </w:rPr>
        <w:t>Data</w:t>
      </w:r>
      <w:r w:rsidRPr="00264D5D">
        <w:rPr>
          <w:rFonts w:cs="Courier New"/>
          <w:sz w:val="20"/>
          <w:lang w:val="ru-RU"/>
        </w:rPr>
        <w:t>_</w:t>
      </w:r>
      <w:r w:rsidRPr="00264D5D">
        <w:rPr>
          <w:rFonts w:cs="Courier New"/>
          <w:sz w:val="20"/>
        </w:rPr>
        <w:t>VC</w:t>
      </w:r>
      <w:r w:rsidRPr="00264D5D">
        <w:rPr>
          <w:rFonts w:cs="Courier New"/>
          <w:sz w:val="20"/>
          <w:lang w:val="ru-RU"/>
        </w:rPr>
        <w:t>031&gt;</w:t>
      </w:r>
    </w:p>
    <w:p w14:paraId="1F35636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rPr>
        <w:t>&lt;Data_VC032&gt;074-03-2018-343&lt;/Data_VC032&gt;</w:t>
      </w:r>
    </w:p>
    <w:p w14:paraId="5E324CB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&lt;Data_VC033&gt;RUB&lt;/Data_VC033&gt;</w:t>
      </w:r>
    </w:p>
    <w:p w14:paraId="4AB6D9F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&lt;Data_VC034/&gt;</w:t>
      </w:r>
    </w:p>
    <w:p w14:paraId="63D46A0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w:t>
      </w:r>
    </w:p>
    <w:p w14:paraId="66F4D9E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&lt;Data_VC100/&gt;</w:t>
      </w:r>
    </w:p>
    <w:p w14:paraId="5A58255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&lt;Data_Date001/&gt;</w:t>
      </w:r>
    </w:p>
    <w:p w14:paraId="029D842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w:t>
      </w:r>
    </w:p>
    <w:p w14:paraId="6FE478B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&lt;Data_Date100/&gt;</w:t>
      </w:r>
    </w:p>
    <w:p w14:paraId="2AF780B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&lt;Segment1/&gt;</w:t>
      </w:r>
    </w:p>
    <w:p w14:paraId="74129A1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w:t>
      </w:r>
    </w:p>
    <w:p w14:paraId="08AD5BF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&lt;Segment20/&gt;</w:t>
      </w:r>
    </w:p>
    <w:p w14:paraId="7DAEBC4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&lt;Segment_Num1/&gt;</w:t>
      </w:r>
    </w:p>
    <w:p w14:paraId="3379883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w:t>
      </w:r>
    </w:p>
    <w:p w14:paraId="586BAE9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&lt;Segment_Num20/&gt;</w:t>
      </w:r>
    </w:p>
    <w:p w14:paraId="36151C4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&lt;Segment_Date1/&gt;</w:t>
      </w:r>
    </w:p>
    <w:p w14:paraId="62EA0E8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&lt;Segment_Date2&gt;2018-02-08T00:00:00+03:00&lt;/Segment_Date2&gt;</w:t>
      </w:r>
    </w:p>
    <w:p w14:paraId="483C493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&lt;Segment_Date3/&gt;</w:t>
      </w:r>
    </w:p>
    <w:p w14:paraId="4BD21D6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w:t>
      </w:r>
    </w:p>
    <w:p w14:paraId="56BE980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&lt;Segment_Date20/&gt;</w:t>
      </w:r>
    </w:p>
    <w:p w14:paraId="68DB842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&lt;/Line&gt;</w:t>
      </w:r>
    </w:p>
    <w:p w14:paraId="4868F7A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&lt;Line&gt;</w:t>
      </w:r>
    </w:p>
    <w:p w14:paraId="7DF1795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&lt;SectionNumber&gt;7&lt;/SectionNumber&gt;</w:t>
      </w:r>
    </w:p>
    <w:p w14:paraId="33C8D6D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&lt;LineName/&gt;</w:t>
      </w:r>
    </w:p>
    <w:p w14:paraId="3AE801F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&lt;SummaryFlag/&gt;</w:t>
      </w:r>
    </w:p>
    <w:p w14:paraId="719FB86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&lt;Data001/&gt;</w:t>
      </w:r>
    </w:p>
    <w:p w14:paraId="1772C55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ab/>
        <w:t>……………………..</w:t>
      </w:r>
    </w:p>
    <w:p w14:paraId="2909D78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&lt;Data033/&gt;</w:t>
      </w:r>
    </w:p>
    <w:p w14:paraId="799D201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&lt;Data034&gt;135000000.00&lt;/Data034&gt;</w:t>
      </w:r>
    </w:p>
    <w:p w14:paraId="1BE5F7D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&lt;Data035&gt;135000000.00&lt;/Data035&gt;</w:t>
      </w:r>
    </w:p>
    <w:p w14:paraId="6061BDF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&lt;Data036&gt;101250000.00&lt;/Data036&gt;</w:t>
      </w:r>
    </w:p>
    <w:p w14:paraId="20C14B7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&lt;Data037&gt;0.00&lt;/Data037&gt;</w:t>
      </w:r>
    </w:p>
    <w:p w14:paraId="327866C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&lt;Data041/&gt;</w:t>
      </w:r>
    </w:p>
    <w:p w14:paraId="500AA3C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w:t>
      </w:r>
    </w:p>
    <w:p w14:paraId="4339BC7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&lt;Data100/&gt;</w:t>
      </w:r>
    </w:p>
    <w:p w14:paraId="190023C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&lt;Data_VC001/&gt;</w:t>
      </w:r>
    </w:p>
    <w:p w14:paraId="35688CF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w:t>
      </w:r>
    </w:p>
    <w:p w14:paraId="06F592A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&lt;Data_VC019/&gt;</w:t>
      </w:r>
    </w:p>
    <w:p w14:paraId="1607510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&lt;Data_VC020&gt;0010007418000000695Й02&lt;/Data_VC020&gt;</w:t>
      </w:r>
    </w:p>
    <w:p w14:paraId="31BD57C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&lt;Data_VC021&gt;07407030240190059621&lt;/Data_VC021&gt;</w:t>
      </w:r>
    </w:p>
    <w:p w14:paraId="47DC86D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&lt;Data_VC022&gt;07307030240190059621&lt;/Data_VC022&gt;</w:t>
      </w:r>
    </w:p>
    <w:p w14:paraId="722EC0D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&lt;Data_VC023/&gt;</w:t>
      </w:r>
    </w:p>
    <w:p w14:paraId="06AA1D2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&lt;Data_VC024&gt;средства бюджета&lt;/Data_VC024&gt;</w:t>
      </w:r>
    </w:p>
    <w:p w14:paraId="472C470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&lt;Data_VC025/&gt;</w:t>
      </w:r>
    </w:p>
    <w:p w14:paraId="08AE327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&lt;Data_VC026&gt;RUB&lt;/Data_VC026&gt;</w:t>
      </w:r>
    </w:p>
    <w:p w14:paraId="1DD38F7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&lt;Data_VC027/&gt;</w:t>
      </w:r>
    </w:p>
    <w:p w14:paraId="5832DE6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w:t>
      </w:r>
    </w:p>
    <w:p w14:paraId="328C0FE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&lt;Data_VC100/&gt;</w:t>
      </w:r>
    </w:p>
    <w:p w14:paraId="424A167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&lt;Data_Date001/&gt;</w:t>
      </w:r>
    </w:p>
    <w:p w14:paraId="2F4D748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w:t>
      </w:r>
    </w:p>
    <w:p w14:paraId="497C44F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&lt;Data_Date100/&gt;</w:t>
      </w:r>
    </w:p>
    <w:p w14:paraId="3F6DD2F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&lt;Segment1/&gt;</w:t>
      </w:r>
    </w:p>
    <w:p w14:paraId="7342A8B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w:t>
      </w:r>
    </w:p>
    <w:p w14:paraId="5F4F58A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&lt;Segment20/&gt;</w:t>
      </w:r>
    </w:p>
    <w:p w14:paraId="02091FB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&lt;Segment_Num1/&gt;</w:t>
      </w:r>
    </w:p>
    <w:p w14:paraId="33118A0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w:t>
      </w:r>
    </w:p>
    <w:p w14:paraId="42E9791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&lt;Segment_Num20/&gt;</w:t>
      </w:r>
    </w:p>
    <w:p w14:paraId="11D6BDC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&lt;Segment_Date1/&gt;</w:t>
      </w:r>
    </w:p>
    <w:p w14:paraId="763B0FA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w:t>
      </w:r>
    </w:p>
    <w:p w14:paraId="52D522E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&lt;Segment_Date20/&gt;</w:t>
      </w:r>
    </w:p>
    <w:p w14:paraId="55A90E0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&lt;/Line&gt;</w:t>
      </w:r>
    </w:p>
    <w:p w14:paraId="518AE92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&lt;Line&gt;</w:t>
      </w:r>
    </w:p>
    <w:p w14:paraId="5920084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&lt;SectionNumber&gt;5&lt;/SectionNumber&gt;</w:t>
      </w:r>
    </w:p>
    <w:p w14:paraId="3CEAC76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&lt;LineName/&gt;</w:t>
      </w:r>
    </w:p>
    <w:p w14:paraId="15F100C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&lt;SummaryFlag&gt;Y&lt;/SummaryFlag&gt;</w:t>
      </w:r>
    </w:p>
    <w:p w14:paraId="59B6BE6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&lt;Data001/&gt;</w:t>
      </w:r>
    </w:p>
    <w:p w14:paraId="52B2A06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w:t>
      </w:r>
    </w:p>
    <w:p w14:paraId="29BF567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&lt;Data022/&gt;</w:t>
      </w:r>
    </w:p>
    <w:p w14:paraId="2C6614E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&lt;Data023&gt;135000000.00&lt;/Data023&gt;</w:t>
      </w:r>
    </w:p>
    <w:p w14:paraId="633C1EA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&lt;Data024&gt;101250000.00&lt;/Data024&gt;</w:t>
      </w:r>
    </w:p>
    <w:p w14:paraId="1470025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&lt;Data025&gt;0.00&lt;/Data025&gt;</w:t>
      </w:r>
    </w:p>
    <w:p w14:paraId="2816CD7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&lt;Data026&gt;0.00&lt;/Data026&gt;</w:t>
      </w:r>
    </w:p>
    <w:p w14:paraId="0DD57D3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&lt;Data027&gt;0.00&lt;/Data027&gt;</w:t>
      </w:r>
    </w:p>
    <w:p w14:paraId="5230794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&lt;Data028&gt;0.00&lt;/Data028&gt;</w:t>
      </w:r>
    </w:p>
    <w:p w14:paraId="28AA30C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&lt;Data029&gt;0.00&lt;/Data029&gt;</w:t>
      </w:r>
    </w:p>
    <w:p w14:paraId="241EFA4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&lt;Data030/&gt;</w:t>
      </w:r>
    </w:p>
    <w:p w14:paraId="5374F69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w:t>
      </w:r>
    </w:p>
    <w:p w14:paraId="49242B6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&lt;Data100/&gt;</w:t>
      </w:r>
    </w:p>
    <w:p w14:paraId="0BA1417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&lt;Data_VC001/&gt;</w:t>
      </w:r>
    </w:p>
    <w:p w14:paraId="44595D8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w:t>
      </w:r>
    </w:p>
    <w:p w14:paraId="3365E21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&lt;Data_VC100/&gt;</w:t>
      </w:r>
    </w:p>
    <w:p w14:paraId="669EF18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&lt;Data_Date001/&gt;</w:t>
      </w:r>
    </w:p>
    <w:p w14:paraId="7AA4C73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w:t>
      </w:r>
    </w:p>
    <w:p w14:paraId="1E7AAC5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&lt;Data_Date100/&gt;</w:t>
      </w:r>
    </w:p>
    <w:p w14:paraId="63337ED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&lt;Segment1/&gt;</w:t>
      </w:r>
    </w:p>
    <w:p w14:paraId="4996F9F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w:t>
      </w:r>
    </w:p>
    <w:p w14:paraId="40015BF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&lt;Segment20/&gt;</w:t>
      </w:r>
    </w:p>
    <w:p w14:paraId="0F31F2A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&lt;Segment_Num1/&gt;</w:t>
      </w:r>
    </w:p>
    <w:p w14:paraId="0A36443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w:t>
      </w:r>
    </w:p>
    <w:p w14:paraId="5EE496A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&lt;Segment_Num20/&gt;</w:t>
      </w:r>
    </w:p>
    <w:p w14:paraId="02744AE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&lt;Segment_Date1/&gt;</w:t>
      </w:r>
    </w:p>
    <w:p w14:paraId="426954C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w:t>
      </w:r>
    </w:p>
    <w:p w14:paraId="5DE65B9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&lt;Segment_Date20/&gt;</w:t>
      </w:r>
    </w:p>
    <w:p w14:paraId="6954A60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&lt;/Line&gt;</w:t>
      </w:r>
    </w:p>
    <w:p w14:paraId="6F71D27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&lt;Line&gt;</w:t>
      </w:r>
    </w:p>
    <w:p w14:paraId="7CA36E4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&lt;SectionNumber&gt;7&lt;/SectionNumber&gt;</w:t>
      </w:r>
    </w:p>
    <w:p w14:paraId="24CB68C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&lt;LineName/&gt;</w:t>
      </w:r>
    </w:p>
    <w:p w14:paraId="2A80387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&lt;SummaryFlag&gt;Y&lt;/SummaryFlag&gt;</w:t>
      </w:r>
    </w:p>
    <w:p w14:paraId="14023B3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&lt;Data001/&gt;</w:t>
      </w:r>
    </w:p>
    <w:p w14:paraId="34A58F1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w:t>
      </w:r>
    </w:p>
    <w:p w14:paraId="4E6FE38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&lt;Data034/&gt;</w:t>
      </w:r>
    </w:p>
    <w:p w14:paraId="3577F73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&lt;Data035&gt;135000000.00&lt;/Data035&gt;</w:t>
      </w:r>
    </w:p>
    <w:p w14:paraId="56542F5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&lt;Data036&gt;101250000.00&lt;/Data036&gt;</w:t>
      </w:r>
    </w:p>
    <w:p w14:paraId="76A9943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&lt;Data037&gt;0.00&lt;/Data037&gt;</w:t>
      </w:r>
    </w:p>
    <w:p w14:paraId="62A8F4B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&lt;Data038/&gt;</w:t>
      </w:r>
    </w:p>
    <w:p w14:paraId="06C1541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w:t>
      </w:r>
    </w:p>
    <w:p w14:paraId="41C4E6D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&lt;Data100/&gt;</w:t>
      </w:r>
    </w:p>
    <w:p w14:paraId="39D91EE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&lt;Data_VC001/&gt;</w:t>
      </w:r>
    </w:p>
    <w:p w14:paraId="59823D8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w:t>
      </w:r>
    </w:p>
    <w:p w14:paraId="747E7EA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&lt;Data_VC100/&gt;</w:t>
      </w:r>
    </w:p>
    <w:p w14:paraId="33CE22D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&lt;Data_Date001/&gt;</w:t>
      </w:r>
    </w:p>
    <w:p w14:paraId="061A648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w:t>
      </w:r>
    </w:p>
    <w:p w14:paraId="3D8E3B4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&lt;Data_Date100/&gt;</w:t>
      </w:r>
    </w:p>
    <w:p w14:paraId="1485A05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&lt;Segment1/&gt;</w:t>
      </w:r>
    </w:p>
    <w:p w14:paraId="6563DE6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w:t>
      </w:r>
    </w:p>
    <w:p w14:paraId="4357D7E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&lt;Segment20/&gt;</w:t>
      </w:r>
    </w:p>
    <w:p w14:paraId="1C01B10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&lt;Segment_Num1/&gt;</w:t>
      </w:r>
    </w:p>
    <w:p w14:paraId="07F013D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w:t>
      </w:r>
    </w:p>
    <w:p w14:paraId="2034B8A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&lt;Segment_Num20/&gt;</w:t>
      </w:r>
    </w:p>
    <w:p w14:paraId="219BB67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&lt;Segment_Date1/&gt;</w:t>
      </w:r>
    </w:p>
    <w:p w14:paraId="6DB3624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w:t>
      </w:r>
    </w:p>
    <w:p w14:paraId="15CED58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&lt;Segment_Date20/&gt;</w:t>
      </w:r>
    </w:p>
    <w:p w14:paraId="3AE16BE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&lt;/Line&gt;</w:t>
      </w:r>
    </w:p>
    <w:p w14:paraId="74F4BBE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&lt;/Header&gt;</w:t>
      </w:r>
    </w:p>
    <w:p w14:paraId="6BD88D7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&lt;/PeriodicReport&gt;</w:t>
      </w:r>
    </w:p>
    <w:p w14:paraId="6DB7E94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&lt;/DataArea&gt;</w:t>
      </w:r>
    </w:p>
    <w:p w14:paraId="437CCA3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pPr>
      <w:r w:rsidRPr="00264D5D">
        <w:rPr>
          <w:rFonts w:cs="Courier New"/>
          <w:sz w:val="20"/>
        </w:rPr>
        <w:t>&lt;/ProcessPeriodicReport&gt;</w:t>
      </w:r>
    </w:p>
    <w:p w14:paraId="25668B34" w14:textId="77777777" w:rsidR="00AD1F54" w:rsidRPr="00264D5D" w:rsidRDefault="00941227">
      <w:pPr>
        <w:pStyle w:val="22"/>
        <w:rPr>
          <w:lang w:val="ru-RU"/>
        </w:rPr>
      </w:pPr>
      <w:bookmarkStart w:id="3228" w:name="_Toc84802446"/>
      <w:bookmarkStart w:id="3229" w:name="_Ref46777015"/>
      <w:bookmarkStart w:id="3230" w:name="_Toc219309788"/>
      <w:r w:rsidRPr="00264D5D">
        <w:rPr>
          <w:lang w:val="ru-RU"/>
        </w:rPr>
        <w:t>Описание документа «Пакет платежных поручений»</w:t>
      </w:r>
      <w:bookmarkEnd w:id="3228"/>
      <w:bookmarkEnd w:id="3230"/>
      <w:r w:rsidRPr="00264D5D">
        <w:rPr>
          <w:lang w:val="ru-RU"/>
        </w:rPr>
        <w:t xml:space="preserve"> </w:t>
      </w:r>
    </w:p>
    <w:p w14:paraId="69F720F4" w14:textId="77777777" w:rsidR="00AD1F54" w:rsidRPr="00264D5D" w:rsidRDefault="00941227">
      <w:pPr>
        <w:pStyle w:val="31"/>
      </w:pPr>
      <w:bookmarkStart w:id="3231" w:name="_Toc84802447"/>
      <w:r w:rsidRPr="00264D5D">
        <w:t xml:space="preserve"> </w:t>
      </w:r>
      <w:bookmarkStart w:id="3232" w:name="_Toc219309789"/>
      <w:r w:rsidRPr="00264D5D">
        <w:t>Назначение и маршрут документа</w:t>
      </w:r>
      <w:bookmarkEnd w:id="3231"/>
      <w:bookmarkEnd w:id="3232"/>
    </w:p>
    <w:p w14:paraId="48B83364" w14:textId="77777777" w:rsidR="00AD1F54" w:rsidRPr="00264D5D" w:rsidRDefault="00941227">
      <w:pPr>
        <w:pStyle w:val="OTRNormal"/>
        <w:rPr>
          <w:sz w:val="24"/>
          <w:szCs w:val="24"/>
        </w:rPr>
      </w:pPr>
      <w:r w:rsidRPr="00264D5D">
        <w:rPr>
          <w:sz w:val="24"/>
          <w:szCs w:val="24"/>
        </w:rPr>
        <w:t>Документ «Пакет платежных поручений» предназначен для доведения из ЕГИССО в ППО АСФК.</w:t>
      </w:r>
    </w:p>
    <w:p w14:paraId="5D985BBE" w14:textId="12A0C950" w:rsidR="00AD1F54" w:rsidRPr="00264D5D" w:rsidRDefault="00941227">
      <w:pPr>
        <w:pStyle w:val="GOSTNameTable"/>
        <w:numPr>
          <w:ilvl w:val="0"/>
          <w:numId w:val="2"/>
        </w:numPr>
        <w:ind w:left="425" w:hanging="357"/>
        <w:rPr>
          <w:rFonts w:eastAsia="Calibri"/>
        </w:rPr>
      </w:pPr>
      <w:r w:rsidRPr="00264D5D">
        <w:rPr>
          <w:rFonts w:eastAsia="Calibri"/>
        </w:rPr>
        <w:lastRenderedPageBreak/>
        <w:fldChar w:fldCharType="begin"/>
      </w:r>
      <w:r w:rsidRPr="00264D5D">
        <w:rPr>
          <w:rFonts w:eastAsia="Calibri"/>
        </w:rPr>
        <w:instrText xml:space="preserve"> SEQ Таблица \* ARABIC </w:instrText>
      </w:r>
      <w:r w:rsidRPr="00264D5D">
        <w:rPr>
          <w:rFonts w:eastAsia="Calibri"/>
        </w:rPr>
        <w:fldChar w:fldCharType="separate"/>
      </w:r>
      <w:bookmarkStart w:id="3233" w:name="_Toc219309338"/>
      <w:r w:rsidR="008D797C">
        <w:rPr>
          <w:rFonts w:eastAsia="Calibri"/>
          <w:noProof/>
        </w:rPr>
        <w:t>308</w:t>
      </w:r>
      <w:r w:rsidRPr="00264D5D">
        <w:rPr>
          <w:rFonts w:eastAsia="Calibri"/>
        </w:rPr>
        <w:fldChar w:fldCharType="end"/>
      </w:r>
      <w:r w:rsidRPr="00264D5D">
        <w:rPr>
          <w:rFonts w:eastAsia="Calibri"/>
        </w:rPr>
        <w:t xml:space="preserve"> – Маршрут документа «</w:t>
      </w:r>
      <w:r w:rsidRPr="00264D5D">
        <w:t>Пакет платежных поручений</w:t>
      </w:r>
      <w:r w:rsidRPr="00264D5D">
        <w:rPr>
          <w:rFonts w:eastAsia="Calibri"/>
        </w:rPr>
        <w:t>»</w:t>
      </w:r>
      <w:bookmarkEnd w:id="3233"/>
    </w:p>
    <w:tbl>
      <w:tblPr>
        <w:tblStyle w:val="GOSTTable"/>
        <w:tblW w:w="5000" w:type="pct"/>
        <w:tblLook w:val="01E0" w:firstRow="1" w:lastRow="1" w:firstColumn="1" w:lastColumn="1" w:noHBand="0" w:noVBand="0"/>
      </w:tblPr>
      <w:tblGrid>
        <w:gridCol w:w="2556"/>
        <w:gridCol w:w="2555"/>
        <w:gridCol w:w="4539"/>
      </w:tblGrid>
      <w:tr w:rsidR="00AD1F54" w:rsidRPr="00264D5D" w14:paraId="1C24AFDF"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324" w:type="pct"/>
          </w:tcPr>
          <w:p w14:paraId="39046EC0" w14:textId="77777777" w:rsidR="00AD1F54" w:rsidRPr="00264D5D" w:rsidRDefault="00941227">
            <w:pPr>
              <w:pStyle w:val="OTRTableHead"/>
              <w:widowControl w:val="0"/>
              <w:ind w:left="57" w:right="57"/>
              <w:rPr>
                <w:sz w:val="22"/>
                <w:szCs w:val="22"/>
              </w:rPr>
            </w:pPr>
            <w:r w:rsidRPr="00264D5D">
              <w:rPr>
                <w:sz w:val="22"/>
                <w:szCs w:val="22"/>
              </w:rPr>
              <w:t>Отправитель</w:t>
            </w:r>
          </w:p>
        </w:tc>
        <w:tc>
          <w:tcPr>
            <w:tcW w:w="1324" w:type="pct"/>
          </w:tcPr>
          <w:p w14:paraId="7A1996B6" w14:textId="77777777" w:rsidR="00AD1F54" w:rsidRPr="00264D5D" w:rsidRDefault="00941227">
            <w:pPr>
              <w:pStyle w:val="OTRTableHead"/>
              <w:widowControl w:val="0"/>
              <w:ind w:left="57" w:right="57"/>
              <w:rPr>
                <w:sz w:val="22"/>
                <w:szCs w:val="22"/>
              </w:rPr>
            </w:pPr>
            <w:r w:rsidRPr="00264D5D">
              <w:rPr>
                <w:sz w:val="22"/>
                <w:szCs w:val="22"/>
              </w:rPr>
              <w:t>Получатель</w:t>
            </w:r>
          </w:p>
        </w:tc>
        <w:tc>
          <w:tcPr>
            <w:tcW w:w="2352" w:type="pct"/>
          </w:tcPr>
          <w:p w14:paraId="42B7B196" w14:textId="77777777" w:rsidR="00AD1F54" w:rsidRPr="00264D5D" w:rsidRDefault="00941227">
            <w:pPr>
              <w:pStyle w:val="OTRTableHead"/>
              <w:widowControl w:val="0"/>
              <w:ind w:left="57" w:right="57"/>
              <w:rPr>
                <w:sz w:val="22"/>
                <w:szCs w:val="22"/>
              </w:rPr>
            </w:pPr>
            <w:r w:rsidRPr="00264D5D">
              <w:rPr>
                <w:sz w:val="22"/>
                <w:szCs w:val="22"/>
              </w:rPr>
              <w:t>Примечание</w:t>
            </w:r>
          </w:p>
        </w:tc>
      </w:tr>
      <w:tr w:rsidR="00AD1F54" w:rsidRPr="00264D5D" w14:paraId="2A286DAE" w14:textId="77777777" w:rsidTr="00AD1F54">
        <w:trPr>
          <w:cnfStyle w:val="000000100000" w:firstRow="0" w:lastRow="0" w:firstColumn="0" w:lastColumn="0" w:oddVBand="0" w:evenVBand="0" w:oddHBand="1" w:evenHBand="0" w:firstRowFirstColumn="0" w:firstRowLastColumn="0" w:lastRowFirstColumn="0" w:lastRowLastColumn="0"/>
        </w:trPr>
        <w:tc>
          <w:tcPr>
            <w:tcW w:w="1324" w:type="pct"/>
          </w:tcPr>
          <w:p w14:paraId="467BB276" w14:textId="77777777" w:rsidR="00AD1F54" w:rsidRPr="00264D5D" w:rsidRDefault="00941227">
            <w:pPr>
              <w:spacing w:before="60" w:after="60"/>
              <w:rPr>
                <w:sz w:val="22"/>
                <w:szCs w:val="22"/>
              </w:rPr>
            </w:pPr>
            <w:r w:rsidRPr="00264D5D">
              <w:rPr>
                <w:sz w:val="22"/>
                <w:szCs w:val="22"/>
              </w:rPr>
              <w:t>ЕГИССО</w:t>
            </w:r>
          </w:p>
        </w:tc>
        <w:tc>
          <w:tcPr>
            <w:tcW w:w="1324" w:type="pct"/>
          </w:tcPr>
          <w:p w14:paraId="127A3867" w14:textId="77777777" w:rsidR="00AD1F54" w:rsidRPr="00264D5D" w:rsidRDefault="00941227">
            <w:pPr>
              <w:spacing w:before="60" w:after="60"/>
              <w:rPr>
                <w:sz w:val="22"/>
                <w:szCs w:val="22"/>
              </w:rPr>
            </w:pPr>
            <w:r w:rsidRPr="00264D5D">
              <w:rPr>
                <w:sz w:val="22"/>
                <w:szCs w:val="22"/>
              </w:rPr>
              <w:t>ТОФК (ППО АСФК)</w:t>
            </w:r>
          </w:p>
        </w:tc>
        <w:tc>
          <w:tcPr>
            <w:tcW w:w="2352" w:type="pct"/>
          </w:tcPr>
          <w:p w14:paraId="75D29198" w14:textId="77777777" w:rsidR="00AD1F54" w:rsidRPr="00264D5D" w:rsidRDefault="00941227">
            <w:pPr>
              <w:spacing w:before="60" w:after="60"/>
              <w:rPr>
                <w:sz w:val="22"/>
                <w:szCs w:val="22"/>
              </w:rPr>
            </w:pPr>
            <w:r w:rsidRPr="00264D5D">
              <w:rPr>
                <w:sz w:val="22"/>
                <w:szCs w:val="22"/>
              </w:rPr>
              <w:t>Взаимоде</w:t>
            </w:r>
            <w:r w:rsidR="005D5F06" w:rsidRPr="00264D5D">
              <w:rPr>
                <w:sz w:val="22"/>
                <w:szCs w:val="22"/>
              </w:rPr>
              <w:t>йствие посредством сервиса СМЭВ</w:t>
            </w:r>
          </w:p>
        </w:tc>
      </w:tr>
    </w:tbl>
    <w:p w14:paraId="6C04709E" w14:textId="77777777" w:rsidR="00AD1F54" w:rsidRPr="00264D5D" w:rsidRDefault="00941227">
      <w:pPr>
        <w:pStyle w:val="31"/>
      </w:pPr>
      <w:bookmarkStart w:id="3234" w:name="_Toc84802448"/>
      <w:r w:rsidRPr="00264D5D">
        <w:t xml:space="preserve"> </w:t>
      </w:r>
      <w:bookmarkStart w:id="3235" w:name="_Toc219309790"/>
      <w:r w:rsidRPr="00264D5D">
        <w:t>Описание комплексного типа «t</w:t>
      </w:r>
      <w:r w:rsidRPr="00264D5D">
        <w:rPr>
          <w:szCs w:val="24"/>
        </w:rPr>
        <w:t>PaymOrder_PPP</w:t>
      </w:r>
      <w:r w:rsidRPr="00264D5D">
        <w:t>»</w:t>
      </w:r>
      <w:bookmarkEnd w:id="3234"/>
      <w:bookmarkEnd w:id="3235"/>
    </w:p>
    <w:p w14:paraId="01615763" w14:textId="657F533D" w:rsidR="00AD1F54" w:rsidRPr="00264D5D" w:rsidRDefault="001E5517">
      <w:pPr>
        <w:pStyle w:val="GOSTNameTable"/>
        <w:numPr>
          <w:ilvl w:val="0"/>
          <w:numId w:val="2"/>
        </w:numPr>
        <w:ind w:left="425" w:hanging="357"/>
        <w:rPr>
          <w:szCs w:val="22"/>
        </w:rPr>
      </w:pPr>
      <w:r w:rsidRPr="00264D5D">
        <w:rPr>
          <w:noProof/>
        </w:rPr>
        <w:fldChar w:fldCharType="begin"/>
      </w:r>
      <w:r w:rsidRPr="00264D5D">
        <w:rPr>
          <w:noProof/>
        </w:rPr>
        <w:instrText xml:space="preserve"> SEQ Таблица \* ARABIC </w:instrText>
      </w:r>
      <w:r w:rsidRPr="00264D5D">
        <w:rPr>
          <w:noProof/>
        </w:rPr>
        <w:fldChar w:fldCharType="separate"/>
      </w:r>
      <w:bookmarkStart w:id="3236" w:name="_Toc219309339"/>
      <w:r w:rsidR="008D797C">
        <w:rPr>
          <w:noProof/>
        </w:rPr>
        <w:t>309</w:t>
      </w:r>
      <w:r w:rsidRPr="00264D5D">
        <w:rPr>
          <w:noProof/>
        </w:rPr>
        <w:fldChar w:fldCharType="end"/>
      </w:r>
      <w:r w:rsidR="00941227" w:rsidRPr="00264D5D">
        <w:rPr>
          <w:b w:val="0"/>
        </w:rPr>
        <w:t xml:space="preserve"> </w:t>
      </w:r>
      <w:r w:rsidR="00941227" w:rsidRPr="00264D5D">
        <w:t xml:space="preserve">– </w:t>
      </w:r>
      <w:r w:rsidR="00941227" w:rsidRPr="00264D5D">
        <w:rPr>
          <w:szCs w:val="22"/>
        </w:rPr>
        <w:t>Описание комплексного типа «</w:t>
      </w:r>
      <w:r w:rsidR="00941227" w:rsidRPr="00264D5D">
        <w:t>t</w:t>
      </w:r>
      <w:r w:rsidR="00941227" w:rsidRPr="00264D5D">
        <w:rPr>
          <w:lang w:val="en-US"/>
        </w:rPr>
        <w:t>PaymOrder</w:t>
      </w:r>
      <w:r w:rsidR="00941227" w:rsidRPr="00264D5D">
        <w:t>_</w:t>
      </w:r>
      <w:r w:rsidR="00941227" w:rsidRPr="00264D5D">
        <w:rPr>
          <w:lang w:val="en-US"/>
        </w:rPr>
        <w:t>PPP</w:t>
      </w:r>
      <w:r w:rsidR="00941227" w:rsidRPr="00264D5D">
        <w:rPr>
          <w:szCs w:val="22"/>
        </w:rPr>
        <w:t>»</w:t>
      </w:r>
      <w:bookmarkEnd w:id="3236"/>
    </w:p>
    <w:tbl>
      <w:tblPr>
        <w:tblStyle w:val="GOSTTable"/>
        <w:tblW w:w="9634" w:type="dxa"/>
        <w:tblLayout w:type="fixed"/>
        <w:tblLook w:val="04A0" w:firstRow="1" w:lastRow="0" w:firstColumn="1" w:lastColumn="0" w:noHBand="0" w:noVBand="1"/>
      </w:tblPr>
      <w:tblGrid>
        <w:gridCol w:w="1701"/>
        <w:gridCol w:w="1701"/>
        <w:gridCol w:w="567"/>
        <w:gridCol w:w="1134"/>
        <w:gridCol w:w="567"/>
        <w:gridCol w:w="3964"/>
      </w:tblGrid>
      <w:tr w:rsidR="00AD1F54" w:rsidRPr="00264D5D" w14:paraId="5ED19BA9"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0E62195B" w14:textId="77777777" w:rsidR="00AD1F54" w:rsidRPr="00264D5D" w:rsidRDefault="00941227">
            <w:pPr>
              <w:pStyle w:val="affffff"/>
              <w:spacing w:before="60" w:after="60" w:line="240" w:lineRule="auto"/>
              <w:ind w:firstLine="0"/>
              <w:jc w:val="center"/>
              <w:rPr>
                <w:b/>
                <w:sz w:val="22"/>
                <w:szCs w:val="22"/>
              </w:rPr>
            </w:pPr>
            <w:r w:rsidRPr="00264D5D">
              <w:rPr>
                <w:b/>
                <w:sz w:val="22"/>
                <w:szCs w:val="22"/>
              </w:rPr>
              <w:t>Наименование элемента</w:t>
            </w:r>
          </w:p>
        </w:tc>
        <w:tc>
          <w:tcPr>
            <w:tcW w:w="1701" w:type="dxa"/>
          </w:tcPr>
          <w:p w14:paraId="647367DD" w14:textId="77777777" w:rsidR="00AD1F54" w:rsidRPr="00264D5D" w:rsidRDefault="00941227">
            <w:pPr>
              <w:pStyle w:val="affffff"/>
              <w:spacing w:before="60" w:after="60" w:line="240" w:lineRule="auto"/>
              <w:ind w:firstLine="0"/>
              <w:jc w:val="center"/>
              <w:rPr>
                <w:b/>
                <w:sz w:val="22"/>
                <w:szCs w:val="22"/>
              </w:rPr>
            </w:pPr>
            <w:r w:rsidRPr="00264D5D">
              <w:rPr>
                <w:b/>
                <w:sz w:val="22"/>
                <w:szCs w:val="22"/>
              </w:rPr>
              <w:t>Сокращенное наименование (код) элемента</w:t>
            </w:r>
          </w:p>
        </w:tc>
        <w:tc>
          <w:tcPr>
            <w:tcW w:w="567" w:type="dxa"/>
          </w:tcPr>
          <w:p w14:paraId="3A646A48" w14:textId="77777777" w:rsidR="00AD1F54" w:rsidRPr="00264D5D" w:rsidRDefault="00941227">
            <w:pPr>
              <w:pStyle w:val="affffff"/>
              <w:spacing w:before="60" w:after="60" w:line="240" w:lineRule="auto"/>
              <w:ind w:firstLine="0"/>
              <w:jc w:val="center"/>
              <w:rPr>
                <w:b/>
                <w:sz w:val="22"/>
                <w:szCs w:val="22"/>
              </w:rPr>
            </w:pPr>
            <w:r w:rsidRPr="00264D5D">
              <w:rPr>
                <w:b/>
                <w:sz w:val="22"/>
                <w:szCs w:val="22"/>
              </w:rPr>
              <w:t>Тип</w:t>
            </w:r>
          </w:p>
        </w:tc>
        <w:tc>
          <w:tcPr>
            <w:tcW w:w="1134" w:type="dxa"/>
          </w:tcPr>
          <w:p w14:paraId="394E17FC" w14:textId="77777777" w:rsidR="00AD1F54" w:rsidRPr="00264D5D" w:rsidRDefault="00941227">
            <w:pPr>
              <w:pStyle w:val="affffff"/>
              <w:spacing w:before="60" w:after="60" w:line="240" w:lineRule="auto"/>
              <w:ind w:firstLine="0"/>
              <w:jc w:val="center"/>
              <w:rPr>
                <w:b/>
                <w:sz w:val="22"/>
                <w:szCs w:val="22"/>
              </w:rPr>
            </w:pPr>
            <w:r w:rsidRPr="00264D5D">
              <w:rPr>
                <w:b/>
                <w:sz w:val="22"/>
                <w:szCs w:val="22"/>
              </w:rPr>
              <w:t>Формат элемента</w:t>
            </w:r>
          </w:p>
        </w:tc>
        <w:tc>
          <w:tcPr>
            <w:tcW w:w="567" w:type="dxa"/>
          </w:tcPr>
          <w:p w14:paraId="03FAF17F" w14:textId="77777777" w:rsidR="00AD1F54" w:rsidRPr="00264D5D" w:rsidRDefault="00941227">
            <w:pPr>
              <w:pStyle w:val="affffff"/>
              <w:spacing w:before="60" w:after="60" w:line="240" w:lineRule="auto"/>
              <w:ind w:firstLine="0"/>
              <w:jc w:val="center"/>
              <w:rPr>
                <w:b/>
                <w:sz w:val="22"/>
                <w:szCs w:val="22"/>
              </w:rPr>
            </w:pPr>
            <w:r w:rsidRPr="00264D5D">
              <w:rPr>
                <w:b/>
                <w:sz w:val="22"/>
                <w:szCs w:val="22"/>
              </w:rPr>
              <w:t>Обязательность</w:t>
            </w:r>
          </w:p>
        </w:tc>
        <w:tc>
          <w:tcPr>
            <w:tcW w:w="3963" w:type="dxa"/>
          </w:tcPr>
          <w:p w14:paraId="4D0F4B89" w14:textId="77777777" w:rsidR="00AD1F54" w:rsidRPr="00264D5D" w:rsidRDefault="00941227">
            <w:pPr>
              <w:pStyle w:val="affffff"/>
              <w:spacing w:before="60" w:after="60" w:line="240" w:lineRule="auto"/>
              <w:ind w:firstLine="0"/>
              <w:jc w:val="center"/>
              <w:rPr>
                <w:b/>
                <w:sz w:val="22"/>
                <w:szCs w:val="22"/>
              </w:rPr>
            </w:pPr>
            <w:r w:rsidRPr="00264D5D">
              <w:rPr>
                <w:b/>
                <w:sz w:val="22"/>
                <w:szCs w:val="22"/>
              </w:rPr>
              <w:t>Дополнительная информация</w:t>
            </w:r>
          </w:p>
        </w:tc>
      </w:tr>
      <w:tr w:rsidR="00AD1F54" w:rsidRPr="00264D5D" w14:paraId="7E3B8692"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9634" w:type="dxa"/>
            <w:gridSpan w:val="6"/>
          </w:tcPr>
          <w:p w14:paraId="2A4D9AE2" w14:textId="77777777" w:rsidR="00AD1F54" w:rsidRPr="00264D5D" w:rsidRDefault="00941227">
            <w:pPr>
              <w:pStyle w:val="affffff"/>
              <w:spacing w:before="60" w:after="60" w:line="240" w:lineRule="auto"/>
              <w:ind w:firstLine="0"/>
              <w:rPr>
                <w:sz w:val="22"/>
                <w:szCs w:val="22"/>
              </w:rPr>
            </w:pPr>
            <w:r w:rsidRPr="00264D5D">
              <w:rPr>
                <w:b/>
                <w:sz w:val="22"/>
                <w:szCs w:val="22"/>
              </w:rPr>
              <w:t>Общая информация</w:t>
            </w:r>
          </w:p>
        </w:tc>
      </w:tr>
      <w:tr w:rsidR="00AD1F54" w:rsidRPr="00264D5D" w14:paraId="5BAC2F48"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701" w:type="dxa"/>
          </w:tcPr>
          <w:p w14:paraId="4CA69144" w14:textId="77777777" w:rsidR="00AD1F54" w:rsidRPr="00264D5D" w:rsidRDefault="00941227">
            <w:pPr>
              <w:pStyle w:val="afffffffd"/>
              <w:spacing w:before="60"/>
              <w:rPr>
                <w:rFonts w:ascii="Times New Roman" w:hAnsi="Times New Roman"/>
                <w:sz w:val="22"/>
                <w:szCs w:val="22"/>
              </w:rPr>
            </w:pPr>
            <w:r w:rsidRPr="00264D5D">
              <w:rPr>
                <w:rFonts w:ascii="Times New Roman" w:hAnsi="Times New Roman"/>
                <w:sz w:val="22"/>
                <w:szCs w:val="22"/>
              </w:rPr>
              <w:t>Версия структуры формуляра</w:t>
            </w:r>
          </w:p>
        </w:tc>
        <w:tc>
          <w:tcPr>
            <w:tcW w:w="1701" w:type="dxa"/>
          </w:tcPr>
          <w:p w14:paraId="2D1FABDB" w14:textId="77777777" w:rsidR="00AD1F54" w:rsidRPr="00264D5D" w:rsidRDefault="00941227">
            <w:pPr>
              <w:pStyle w:val="affffff"/>
              <w:spacing w:before="60" w:after="60" w:line="240" w:lineRule="auto"/>
              <w:ind w:firstLine="0"/>
              <w:rPr>
                <w:sz w:val="22"/>
                <w:szCs w:val="22"/>
              </w:rPr>
            </w:pPr>
            <w:r w:rsidRPr="00264D5D">
              <w:rPr>
                <w:sz w:val="22"/>
                <w:szCs w:val="22"/>
              </w:rPr>
              <w:t>Version</w:t>
            </w:r>
          </w:p>
        </w:tc>
        <w:tc>
          <w:tcPr>
            <w:tcW w:w="567" w:type="dxa"/>
          </w:tcPr>
          <w:p w14:paraId="3310B558" w14:textId="77777777" w:rsidR="00AD1F54" w:rsidRPr="00264D5D" w:rsidRDefault="00941227">
            <w:pPr>
              <w:pStyle w:val="affffff"/>
              <w:spacing w:before="60" w:after="60" w:line="240" w:lineRule="auto"/>
              <w:ind w:firstLine="0"/>
              <w:jc w:val="center"/>
              <w:rPr>
                <w:sz w:val="22"/>
                <w:szCs w:val="22"/>
                <w:lang w:val="en-US"/>
              </w:rPr>
            </w:pPr>
            <w:r w:rsidRPr="00264D5D">
              <w:rPr>
                <w:sz w:val="22"/>
                <w:szCs w:val="22"/>
                <w:lang w:val="en-US"/>
              </w:rPr>
              <w:t>А</w:t>
            </w:r>
          </w:p>
        </w:tc>
        <w:tc>
          <w:tcPr>
            <w:tcW w:w="1134" w:type="dxa"/>
          </w:tcPr>
          <w:p w14:paraId="2309C112" w14:textId="77777777" w:rsidR="00AD1F54" w:rsidRPr="00264D5D" w:rsidRDefault="00941227">
            <w:pPr>
              <w:pStyle w:val="affffff"/>
              <w:spacing w:before="60" w:after="60" w:line="240" w:lineRule="auto"/>
              <w:ind w:firstLine="0"/>
              <w:jc w:val="left"/>
              <w:rPr>
                <w:sz w:val="22"/>
                <w:szCs w:val="22"/>
              </w:rPr>
            </w:pPr>
            <w:r w:rsidRPr="00264D5D">
              <w:rPr>
                <w:sz w:val="22"/>
                <w:szCs w:val="22"/>
              </w:rPr>
              <w:t>-</w:t>
            </w:r>
          </w:p>
        </w:tc>
        <w:tc>
          <w:tcPr>
            <w:tcW w:w="567" w:type="dxa"/>
          </w:tcPr>
          <w:p w14:paraId="484089AF" w14:textId="77777777" w:rsidR="00AD1F54" w:rsidRPr="00264D5D" w:rsidRDefault="00941227">
            <w:pPr>
              <w:pStyle w:val="affffff"/>
              <w:spacing w:before="60" w:after="60" w:line="240" w:lineRule="auto"/>
              <w:ind w:firstLine="0"/>
              <w:jc w:val="center"/>
              <w:rPr>
                <w:sz w:val="22"/>
                <w:szCs w:val="22"/>
              </w:rPr>
            </w:pPr>
            <w:r w:rsidRPr="00264D5D">
              <w:rPr>
                <w:sz w:val="22"/>
                <w:szCs w:val="22"/>
              </w:rPr>
              <w:t>О</w:t>
            </w:r>
          </w:p>
        </w:tc>
        <w:tc>
          <w:tcPr>
            <w:tcW w:w="3963" w:type="dxa"/>
          </w:tcPr>
          <w:p w14:paraId="6EEED69D" w14:textId="17F6DFA3" w:rsidR="00AD1F54" w:rsidRPr="00264D5D" w:rsidRDefault="00941227">
            <w:pPr>
              <w:pStyle w:val="affffff"/>
              <w:spacing w:before="60" w:after="60" w:line="240" w:lineRule="auto"/>
              <w:ind w:firstLine="0"/>
              <w:rPr>
                <w:sz w:val="22"/>
                <w:szCs w:val="22"/>
              </w:rPr>
            </w:pPr>
            <w:r w:rsidRPr="00264D5D">
              <w:rPr>
                <w:sz w:val="22"/>
                <w:szCs w:val="22"/>
              </w:rPr>
              <w:t xml:space="preserve">Указывается значение версии, соответствующее таблице </w:t>
            </w:r>
            <w:r w:rsidRPr="00264D5D">
              <w:rPr>
                <w:sz w:val="22"/>
                <w:szCs w:val="22"/>
              </w:rPr>
              <w:fldChar w:fldCharType="begin"/>
            </w:r>
            <w:r w:rsidRPr="00264D5D">
              <w:rPr>
                <w:sz w:val="22"/>
                <w:szCs w:val="22"/>
              </w:rPr>
              <w:instrText xml:space="preserve"> REF _Ref19881821 \h  \* MERGEFORMAT </w:instrText>
            </w:r>
            <w:r w:rsidRPr="00264D5D">
              <w:rPr>
                <w:sz w:val="22"/>
                <w:szCs w:val="22"/>
              </w:rPr>
            </w:r>
            <w:r w:rsidRPr="00264D5D">
              <w:rPr>
                <w:sz w:val="22"/>
                <w:szCs w:val="22"/>
              </w:rPr>
              <w:fldChar w:fldCharType="separate"/>
            </w:r>
            <w:r w:rsidR="008D797C" w:rsidRPr="008D797C">
              <w:rPr>
                <w:rFonts w:eastAsia="Calibri"/>
                <w:sz w:val="22"/>
                <w:szCs w:val="22"/>
              </w:rPr>
              <w:t>2</w:t>
            </w:r>
            <w:r w:rsidRPr="00264D5D">
              <w:rPr>
                <w:sz w:val="22"/>
                <w:szCs w:val="22"/>
              </w:rPr>
              <w:fldChar w:fldCharType="end"/>
            </w:r>
          </w:p>
        </w:tc>
      </w:tr>
      <w:tr w:rsidR="00AD1F54" w:rsidRPr="00264D5D" w14:paraId="0669F2FE"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701" w:type="dxa"/>
          </w:tcPr>
          <w:p w14:paraId="779ECCDF" w14:textId="77777777" w:rsidR="00AD1F54" w:rsidRPr="00264D5D" w:rsidRDefault="00941227">
            <w:pPr>
              <w:pStyle w:val="afffffffd"/>
              <w:spacing w:before="60"/>
              <w:rPr>
                <w:rFonts w:ascii="Times New Roman" w:hAnsi="Times New Roman"/>
                <w:color w:val="000000"/>
                <w:sz w:val="22"/>
                <w:szCs w:val="22"/>
                <w:lang w:val="en-US"/>
              </w:rPr>
            </w:pPr>
            <w:r w:rsidRPr="00264D5D">
              <w:rPr>
                <w:rFonts w:ascii="Times New Roman" w:hAnsi="Times New Roman"/>
                <w:color w:val="000000"/>
                <w:sz w:val="22"/>
                <w:szCs w:val="22"/>
                <w:lang w:val="en-US"/>
              </w:rPr>
              <w:t>Уровень бюджета</w:t>
            </w:r>
          </w:p>
        </w:tc>
        <w:tc>
          <w:tcPr>
            <w:tcW w:w="1701" w:type="dxa"/>
          </w:tcPr>
          <w:p w14:paraId="2226808C"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lang w:val="en-US"/>
              </w:rPr>
              <w:t>BudgetLevel</w:t>
            </w:r>
          </w:p>
        </w:tc>
        <w:tc>
          <w:tcPr>
            <w:tcW w:w="567" w:type="dxa"/>
          </w:tcPr>
          <w:p w14:paraId="3A1E4650" w14:textId="77777777" w:rsidR="00AD1F54" w:rsidRPr="00264D5D" w:rsidRDefault="00941227">
            <w:pPr>
              <w:pStyle w:val="affffff"/>
              <w:spacing w:before="60" w:after="60" w:line="240" w:lineRule="auto"/>
              <w:ind w:firstLine="0"/>
              <w:jc w:val="center"/>
              <w:rPr>
                <w:rFonts w:eastAsia="Calibri"/>
                <w:sz w:val="22"/>
                <w:szCs w:val="22"/>
              </w:rPr>
            </w:pPr>
            <w:r w:rsidRPr="00264D5D">
              <w:rPr>
                <w:rFonts w:eastAsia="Calibri"/>
                <w:sz w:val="22"/>
                <w:szCs w:val="22"/>
              </w:rPr>
              <w:t>С</w:t>
            </w:r>
          </w:p>
        </w:tc>
        <w:tc>
          <w:tcPr>
            <w:tcW w:w="1134" w:type="dxa"/>
          </w:tcPr>
          <w:p w14:paraId="367C4188" w14:textId="77777777" w:rsidR="00AD1F54" w:rsidRPr="00264D5D" w:rsidRDefault="00941227">
            <w:pPr>
              <w:pStyle w:val="affffff"/>
              <w:spacing w:before="60" w:after="60" w:line="240" w:lineRule="auto"/>
              <w:ind w:firstLine="0"/>
              <w:jc w:val="left"/>
              <w:rPr>
                <w:sz w:val="22"/>
                <w:szCs w:val="22"/>
                <w:lang w:val="en-US"/>
              </w:rPr>
            </w:pPr>
            <w:r w:rsidRPr="00264D5D">
              <w:rPr>
                <w:sz w:val="22"/>
                <w:szCs w:val="22"/>
                <w:lang w:val="en-US"/>
              </w:rPr>
              <w:t>t</w:t>
            </w:r>
            <w:r w:rsidRPr="00264D5D">
              <w:rPr>
                <w:color w:val="000000"/>
                <w:sz w:val="22"/>
                <w:szCs w:val="22"/>
                <w:lang w:val="en-US"/>
              </w:rPr>
              <w:t>BudgetLevel</w:t>
            </w:r>
          </w:p>
        </w:tc>
        <w:tc>
          <w:tcPr>
            <w:tcW w:w="567" w:type="dxa"/>
          </w:tcPr>
          <w:p w14:paraId="57EAC969" w14:textId="77777777" w:rsidR="00AD1F54" w:rsidRPr="00264D5D" w:rsidRDefault="00941227">
            <w:pPr>
              <w:pStyle w:val="affffff"/>
              <w:spacing w:before="60" w:after="60" w:line="240" w:lineRule="auto"/>
              <w:ind w:firstLine="0"/>
              <w:jc w:val="center"/>
              <w:rPr>
                <w:sz w:val="22"/>
                <w:szCs w:val="22"/>
              </w:rPr>
            </w:pPr>
            <w:r w:rsidRPr="00264D5D">
              <w:rPr>
                <w:sz w:val="22"/>
                <w:szCs w:val="22"/>
              </w:rPr>
              <w:t>О</w:t>
            </w:r>
          </w:p>
        </w:tc>
        <w:tc>
          <w:tcPr>
            <w:tcW w:w="3963" w:type="dxa"/>
          </w:tcPr>
          <w:p w14:paraId="653D942A" w14:textId="26DEAA43" w:rsidR="00AD1F54" w:rsidRPr="00264D5D" w:rsidRDefault="00941227">
            <w:pPr>
              <w:pStyle w:val="affffff"/>
              <w:spacing w:before="60" w:after="60" w:line="240" w:lineRule="auto"/>
              <w:ind w:firstLine="0"/>
              <w:rPr>
                <w:sz w:val="22"/>
                <w:szCs w:val="22"/>
              </w:rPr>
            </w:pPr>
            <w:r w:rsidRPr="00264D5D">
              <w:rPr>
                <w:sz w:val="22"/>
                <w:szCs w:val="22"/>
              </w:rPr>
              <w:t xml:space="preserve">Состав элемента представлен в таблице </w:t>
            </w:r>
            <w:r w:rsidRPr="00264D5D">
              <w:rPr>
                <w:sz w:val="22"/>
                <w:szCs w:val="22"/>
              </w:rPr>
              <w:fldChar w:fldCharType="begin"/>
            </w:r>
            <w:r w:rsidRPr="00264D5D">
              <w:rPr>
                <w:sz w:val="22"/>
                <w:szCs w:val="22"/>
              </w:rPr>
              <w:instrText xml:space="preserve"> REF _Ref68763916 \h  \* MERGEFORMAT </w:instrText>
            </w:r>
            <w:r w:rsidRPr="00264D5D">
              <w:rPr>
                <w:sz w:val="22"/>
                <w:szCs w:val="22"/>
              </w:rPr>
            </w:r>
            <w:r w:rsidRPr="00264D5D">
              <w:rPr>
                <w:sz w:val="22"/>
                <w:szCs w:val="22"/>
              </w:rPr>
              <w:fldChar w:fldCharType="separate"/>
            </w:r>
            <w:r w:rsidR="008D797C" w:rsidRPr="008D797C">
              <w:rPr>
                <w:sz w:val="22"/>
                <w:szCs w:val="22"/>
              </w:rPr>
              <w:t>310</w:t>
            </w:r>
            <w:r w:rsidRPr="00264D5D">
              <w:rPr>
                <w:sz w:val="22"/>
                <w:szCs w:val="22"/>
              </w:rPr>
              <w:fldChar w:fldCharType="end"/>
            </w:r>
          </w:p>
        </w:tc>
      </w:tr>
      <w:tr w:rsidR="00AD1F54" w:rsidRPr="00264D5D" w14:paraId="5129ED0C"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701" w:type="dxa"/>
          </w:tcPr>
          <w:p w14:paraId="299BA4AF" w14:textId="77777777" w:rsidR="00AD1F54" w:rsidRPr="00264D5D" w:rsidRDefault="00941227">
            <w:pPr>
              <w:pStyle w:val="afffffffd"/>
              <w:spacing w:before="60"/>
              <w:rPr>
                <w:rFonts w:ascii="Times New Roman" w:hAnsi="Times New Roman"/>
                <w:color w:val="000000"/>
                <w:sz w:val="22"/>
                <w:szCs w:val="22"/>
                <w:lang w:val="en-US"/>
              </w:rPr>
            </w:pPr>
            <w:r w:rsidRPr="00264D5D">
              <w:rPr>
                <w:rFonts w:ascii="Times New Roman" w:hAnsi="Times New Roman"/>
                <w:color w:val="000000"/>
                <w:sz w:val="22"/>
                <w:szCs w:val="22"/>
                <w:lang w:val="en-US"/>
              </w:rPr>
              <w:t>Дата передачи пакета</w:t>
            </w:r>
          </w:p>
        </w:tc>
        <w:tc>
          <w:tcPr>
            <w:tcW w:w="1701" w:type="dxa"/>
          </w:tcPr>
          <w:p w14:paraId="5309A012" w14:textId="77777777" w:rsidR="00AD1F54" w:rsidRPr="00264D5D" w:rsidRDefault="00941227">
            <w:pPr>
              <w:pStyle w:val="afffffffd"/>
              <w:spacing w:before="60"/>
              <w:rPr>
                <w:rFonts w:ascii="Times New Roman" w:hAnsi="Times New Roman"/>
                <w:color w:val="000000"/>
                <w:sz w:val="22"/>
                <w:szCs w:val="22"/>
                <w:lang w:val="en-US"/>
              </w:rPr>
            </w:pPr>
            <w:r w:rsidRPr="00264D5D">
              <w:rPr>
                <w:rFonts w:ascii="Times New Roman" w:hAnsi="Times New Roman"/>
                <w:color w:val="000000"/>
                <w:sz w:val="22"/>
                <w:szCs w:val="22"/>
                <w:lang w:val="en-US"/>
              </w:rPr>
              <w:t>DatePPP</w:t>
            </w:r>
          </w:p>
        </w:tc>
        <w:tc>
          <w:tcPr>
            <w:tcW w:w="567" w:type="dxa"/>
          </w:tcPr>
          <w:p w14:paraId="334EABDB" w14:textId="77777777" w:rsidR="00AD1F54" w:rsidRPr="00264D5D" w:rsidRDefault="00941227">
            <w:pPr>
              <w:pStyle w:val="affffff"/>
              <w:spacing w:before="60" w:after="60" w:line="240" w:lineRule="auto"/>
              <w:ind w:firstLine="0"/>
              <w:jc w:val="center"/>
              <w:rPr>
                <w:rFonts w:eastAsia="Calibri"/>
                <w:sz w:val="22"/>
                <w:szCs w:val="22"/>
              </w:rPr>
            </w:pPr>
            <w:r w:rsidRPr="00264D5D">
              <w:rPr>
                <w:rFonts w:eastAsia="Calibri"/>
                <w:sz w:val="22"/>
                <w:szCs w:val="22"/>
              </w:rPr>
              <w:t>П</w:t>
            </w:r>
          </w:p>
        </w:tc>
        <w:tc>
          <w:tcPr>
            <w:tcW w:w="1134" w:type="dxa"/>
          </w:tcPr>
          <w:p w14:paraId="6C23B7D0" w14:textId="77777777" w:rsidR="00AD1F54" w:rsidRPr="00264D5D" w:rsidRDefault="00941227">
            <w:pPr>
              <w:pStyle w:val="affffff"/>
              <w:spacing w:before="60" w:after="60" w:line="240" w:lineRule="auto"/>
              <w:ind w:firstLine="0"/>
              <w:jc w:val="left"/>
              <w:rPr>
                <w:sz w:val="22"/>
                <w:szCs w:val="22"/>
              </w:rPr>
            </w:pPr>
            <w:r w:rsidRPr="00264D5D">
              <w:rPr>
                <w:color w:val="000000"/>
                <w:sz w:val="22"/>
                <w:szCs w:val="22"/>
                <w:lang w:val="en-US"/>
              </w:rPr>
              <w:t>Date</w:t>
            </w:r>
          </w:p>
        </w:tc>
        <w:tc>
          <w:tcPr>
            <w:tcW w:w="567" w:type="dxa"/>
          </w:tcPr>
          <w:p w14:paraId="314F9CCD" w14:textId="77777777" w:rsidR="00AD1F54" w:rsidRPr="00264D5D" w:rsidRDefault="00941227">
            <w:pPr>
              <w:pStyle w:val="affffff"/>
              <w:spacing w:before="60" w:after="60" w:line="240" w:lineRule="auto"/>
              <w:ind w:firstLine="0"/>
              <w:jc w:val="center"/>
              <w:rPr>
                <w:sz w:val="22"/>
                <w:szCs w:val="22"/>
              </w:rPr>
            </w:pPr>
            <w:r w:rsidRPr="00264D5D">
              <w:rPr>
                <w:sz w:val="22"/>
                <w:szCs w:val="22"/>
              </w:rPr>
              <w:t>О</w:t>
            </w:r>
          </w:p>
        </w:tc>
        <w:tc>
          <w:tcPr>
            <w:tcW w:w="3963" w:type="dxa"/>
          </w:tcPr>
          <w:p w14:paraId="563F3039" w14:textId="77777777" w:rsidR="00AD1F54" w:rsidRPr="00264D5D" w:rsidRDefault="00941227">
            <w:pPr>
              <w:pStyle w:val="afffffffd"/>
              <w:spacing w:before="60"/>
              <w:rPr>
                <w:rFonts w:ascii="Times New Roman" w:hAnsi="Times New Roman"/>
                <w:color w:val="000000"/>
                <w:sz w:val="22"/>
                <w:szCs w:val="22"/>
              </w:rPr>
            </w:pPr>
            <w:r w:rsidRPr="00264D5D">
              <w:rPr>
                <w:rFonts w:ascii="Times New Roman" w:hAnsi="Times New Roman"/>
                <w:color w:val="000000"/>
                <w:sz w:val="22"/>
                <w:szCs w:val="22"/>
              </w:rPr>
              <w:t>У</w:t>
            </w:r>
            <w:r w:rsidR="005D5F06" w:rsidRPr="00264D5D">
              <w:rPr>
                <w:rFonts w:ascii="Times New Roman" w:hAnsi="Times New Roman"/>
                <w:color w:val="000000"/>
                <w:sz w:val="22"/>
                <w:szCs w:val="22"/>
              </w:rPr>
              <w:t>казывается дата передачи пакета</w:t>
            </w:r>
          </w:p>
        </w:tc>
      </w:tr>
      <w:tr w:rsidR="00AD1F54" w:rsidRPr="00264D5D" w14:paraId="7DFBB2BE"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701" w:type="dxa"/>
          </w:tcPr>
          <w:p w14:paraId="5077C63E" w14:textId="77777777" w:rsidR="00AD1F54" w:rsidRPr="00264D5D" w:rsidRDefault="00941227">
            <w:pPr>
              <w:pStyle w:val="afffffffd"/>
              <w:spacing w:before="60"/>
              <w:rPr>
                <w:rFonts w:ascii="Times New Roman" w:hAnsi="Times New Roman"/>
                <w:color w:val="000000"/>
                <w:sz w:val="22"/>
                <w:szCs w:val="22"/>
                <w:lang w:val="en-US"/>
              </w:rPr>
            </w:pPr>
            <w:r w:rsidRPr="00264D5D">
              <w:rPr>
                <w:rFonts w:ascii="Times New Roman" w:hAnsi="Times New Roman"/>
                <w:color w:val="000000"/>
                <w:sz w:val="22"/>
                <w:szCs w:val="22"/>
                <w:lang w:val="en-US"/>
              </w:rPr>
              <w:t>Количество документов</w:t>
            </w:r>
          </w:p>
        </w:tc>
        <w:tc>
          <w:tcPr>
            <w:tcW w:w="1701" w:type="dxa"/>
          </w:tcPr>
          <w:p w14:paraId="1DFD0D0C" w14:textId="77777777" w:rsidR="00AD1F54" w:rsidRPr="00264D5D" w:rsidRDefault="00941227">
            <w:pPr>
              <w:pStyle w:val="afffffffd"/>
              <w:spacing w:before="60"/>
              <w:rPr>
                <w:rFonts w:ascii="Times New Roman" w:hAnsi="Times New Roman"/>
                <w:color w:val="000000"/>
                <w:sz w:val="22"/>
                <w:szCs w:val="22"/>
                <w:lang w:val="en-US"/>
              </w:rPr>
            </w:pPr>
            <w:r w:rsidRPr="00264D5D">
              <w:rPr>
                <w:rFonts w:ascii="Times New Roman" w:hAnsi="Times New Roman"/>
                <w:color w:val="000000"/>
                <w:sz w:val="22"/>
                <w:szCs w:val="22"/>
                <w:lang w:val="en-US"/>
              </w:rPr>
              <w:t>NumDoc</w:t>
            </w:r>
          </w:p>
        </w:tc>
        <w:tc>
          <w:tcPr>
            <w:tcW w:w="567" w:type="dxa"/>
          </w:tcPr>
          <w:p w14:paraId="0FEA34A4" w14:textId="77777777" w:rsidR="00AD1F54" w:rsidRPr="00264D5D" w:rsidRDefault="00941227">
            <w:pPr>
              <w:pStyle w:val="affffff"/>
              <w:spacing w:before="60" w:after="60" w:line="240" w:lineRule="auto"/>
              <w:ind w:firstLine="0"/>
              <w:jc w:val="center"/>
              <w:rPr>
                <w:rFonts w:eastAsia="Calibri"/>
                <w:sz w:val="22"/>
                <w:szCs w:val="22"/>
              </w:rPr>
            </w:pPr>
            <w:r w:rsidRPr="00264D5D">
              <w:rPr>
                <w:rFonts w:eastAsia="Calibri"/>
                <w:sz w:val="22"/>
                <w:szCs w:val="22"/>
              </w:rPr>
              <w:t>П</w:t>
            </w:r>
          </w:p>
        </w:tc>
        <w:tc>
          <w:tcPr>
            <w:tcW w:w="1134" w:type="dxa"/>
          </w:tcPr>
          <w:p w14:paraId="26F242A8" w14:textId="77777777" w:rsidR="00AD1F54" w:rsidRPr="00264D5D" w:rsidRDefault="00941227">
            <w:pPr>
              <w:pStyle w:val="afffffffd"/>
              <w:spacing w:before="60"/>
              <w:rPr>
                <w:rFonts w:ascii="Times New Roman" w:hAnsi="Times New Roman"/>
                <w:color w:val="000000"/>
                <w:sz w:val="22"/>
                <w:szCs w:val="22"/>
                <w:lang w:val="en-US"/>
              </w:rPr>
            </w:pPr>
            <w:r w:rsidRPr="00264D5D">
              <w:rPr>
                <w:rFonts w:ascii="Times New Roman" w:hAnsi="Times New Roman"/>
                <w:color w:val="000000"/>
                <w:sz w:val="22"/>
                <w:szCs w:val="22"/>
                <w:lang w:val="en-US"/>
              </w:rPr>
              <w:t>N(1-5)</w:t>
            </w:r>
          </w:p>
        </w:tc>
        <w:tc>
          <w:tcPr>
            <w:tcW w:w="567" w:type="dxa"/>
          </w:tcPr>
          <w:p w14:paraId="36F40105" w14:textId="77777777" w:rsidR="00AD1F54" w:rsidRPr="00264D5D" w:rsidRDefault="00941227">
            <w:pPr>
              <w:pStyle w:val="affffff"/>
              <w:spacing w:before="60" w:after="60" w:line="240" w:lineRule="auto"/>
              <w:ind w:firstLine="0"/>
              <w:jc w:val="center"/>
              <w:rPr>
                <w:sz w:val="22"/>
                <w:szCs w:val="22"/>
              </w:rPr>
            </w:pPr>
            <w:r w:rsidRPr="00264D5D">
              <w:rPr>
                <w:sz w:val="22"/>
                <w:szCs w:val="22"/>
              </w:rPr>
              <w:t>О</w:t>
            </w:r>
          </w:p>
        </w:tc>
        <w:tc>
          <w:tcPr>
            <w:tcW w:w="3963" w:type="dxa"/>
          </w:tcPr>
          <w:p w14:paraId="49D7FC6D" w14:textId="77777777" w:rsidR="00AD1F54" w:rsidRPr="00264D5D" w:rsidRDefault="00941227">
            <w:pPr>
              <w:pStyle w:val="afffffffd"/>
              <w:spacing w:before="60"/>
              <w:rPr>
                <w:rFonts w:ascii="Times New Roman" w:hAnsi="Times New Roman"/>
                <w:color w:val="000000"/>
                <w:sz w:val="22"/>
                <w:szCs w:val="22"/>
              </w:rPr>
            </w:pPr>
            <w:r w:rsidRPr="00264D5D">
              <w:rPr>
                <w:rFonts w:ascii="Times New Roman" w:hAnsi="Times New Roman"/>
                <w:color w:val="000000"/>
                <w:sz w:val="22"/>
                <w:szCs w:val="22"/>
              </w:rPr>
              <w:t>Указывается количество</w:t>
            </w:r>
            <w:r w:rsidR="005D5F06" w:rsidRPr="00264D5D">
              <w:rPr>
                <w:rFonts w:ascii="Times New Roman" w:hAnsi="Times New Roman"/>
                <w:color w:val="000000"/>
                <w:sz w:val="22"/>
                <w:szCs w:val="22"/>
              </w:rPr>
              <w:t xml:space="preserve"> документов, включенных в пакет</w:t>
            </w:r>
          </w:p>
        </w:tc>
      </w:tr>
      <w:tr w:rsidR="00AD1F54" w:rsidRPr="00264D5D" w14:paraId="14204867"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701" w:type="dxa"/>
          </w:tcPr>
          <w:p w14:paraId="3C05185D" w14:textId="77777777" w:rsidR="00AD1F54" w:rsidRPr="00264D5D" w:rsidRDefault="00941227">
            <w:pPr>
              <w:pStyle w:val="afffffffd"/>
              <w:spacing w:before="60"/>
              <w:rPr>
                <w:rFonts w:ascii="Times New Roman" w:hAnsi="Times New Roman"/>
                <w:color w:val="000000"/>
                <w:sz w:val="22"/>
                <w:szCs w:val="22"/>
                <w:lang w:val="en-US"/>
              </w:rPr>
            </w:pPr>
            <w:r w:rsidRPr="00264D5D">
              <w:rPr>
                <w:rFonts w:ascii="Times New Roman" w:hAnsi="Times New Roman"/>
                <w:color w:val="000000"/>
                <w:sz w:val="22"/>
                <w:szCs w:val="22"/>
                <w:lang w:val="en-US"/>
              </w:rPr>
              <w:t>Контрольная сумма</w:t>
            </w:r>
          </w:p>
        </w:tc>
        <w:tc>
          <w:tcPr>
            <w:tcW w:w="1701" w:type="dxa"/>
          </w:tcPr>
          <w:p w14:paraId="2A846CA5" w14:textId="77777777" w:rsidR="00AD1F54" w:rsidRPr="00264D5D" w:rsidRDefault="00941227">
            <w:pPr>
              <w:pStyle w:val="afffffffd"/>
              <w:spacing w:before="60"/>
              <w:rPr>
                <w:rFonts w:ascii="Times New Roman" w:hAnsi="Times New Roman"/>
                <w:color w:val="000000"/>
                <w:sz w:val="22"/>
                <w:szCs w:val="22"/>
                <w:lang w:val="en-US"/>
              </w:rPr>
            </w:pPr>
            <w:r w:rsidRPr="00264D5D">
              <w:rPr>
                <w:rFonts w:ascii="Times New Roman" w:hAnsi="Times New Roman"/>
                <w:color w:val="000000"/>
                <w:sz w:val="22"/>
                <w:szCs w:val="22"/>
                <w:lang w:val="en-US"/>
              </w:rPr>
              <w:t>SumTotal</w:t>
            </w:r>
          </w:p>
        </w:tc>
        <w:tc>
          <w:tcPr>
            <w:tcW w:w="567" w:type="dxa"/>
          </w:tcPr>
          <w:p w14:paraId="3548CD02" w14:textId="77777777" w:rsidR="00AD1F54" w:rsidRPr="00264D5D" w:rsidRDefault="00941227">
            <w:pPr>
              <w:pStyle w:val="affffff"/>
              <w:spacing w:before="60" w:after="60" w:line="240" w:lineRule="auto"/>
              <w:ind w:firstLine="0"/>
              <w:jc w:val="center"/>
              <w:rPr>
                <w:rFonts w:eastAsia="Calibri"/>
                <w:sz w:val="22"/>
                <w:szCs w:val="22"/>
              </w:rPr>
            </w:pPr>
            <w:r w:rsidRPr="00264D5D">
              <w:rPr>
                <w:rFonts w:eastAsia="Calibri"/>
                <w:sz w:val="22"/>
                <w:szCs w:val="22"/>
              </w:rPr>
              <w:t>П</w:t>
            </w:r>
          </w:p>
        </w:tc>
        <w:tc>
          <w:tcPr>
            <w:tcW w:w="1134" w:type="dxa"/>
          </w:tcPr>
          <w:p w14:paraId="44EDA21D" w14:textId="77777777" w:rsidR="00AD1F54" w:rsidRPr="00264D5D" w:rsidRDefault="00941227">
            <w:pPr>
              <w:pStyle w:val="afffffffd"/>
              <w:spacing w:before="60"/>
              <w:rPr>
                <w:rFonts w:ascii="Times New Roman" w:hAnsi="Times New Roman"/>
                <w:color w:val="000000"/>
                <w:sz w:val="22"/>
                <w:szCs w:val="22"/>
                <w:lang w:val="en-US"/>
              </w:rPr>
            </w:pPr>
            <w:r w:rsidRPr="00264D5D">
              <w:rPr>
                <w:rFonts w:ascii="Times New Roman" w:hAnsi="Times New Roman"/>
                <w:color w:val="000000"/>
                <w:sz w:val="22"/>
                <w:szCs w:val="22"/>
                <w:lang w:val="en-US"/>
              </w:rPr>
              <w:t>N(20.2)</w:t>
            </w:r>
          </w:p>
        </w:tc>
        <w:tc>
          <w:tcPr>
            <w:tcW w:w="567" w:type="dxa"/>
          </w:tcPr>
          <w:p w14:paraId="6B710AF3" w14:textId="77777777" w:rsidR="00AD1F54" w:rsidRPr="00264D5D" w:rsidRDefault="00941227">
            <w:pPr>
              <w:pStyle w:val="affffff"/>
              <w:spacing w:before="60" w:after="60" w:line="240" w:lineRule="auto"/>
              <w:ind w:firstLine="0"/>
              <w:jc w:val="center"/>
              <w:rPr>
                <w:sz w:val="22"/>
                <w:szCs w:val="22"/>
              </w:rPr>
            </w:pPr>
            <w:r w:rsidRPr="00264D5D">
              <w:rPr>
                <w:sz w:val="22"/>
                <w:szCs w:val="22"/>
              </w:rPr>
              <w:t>О</w:t>
            </w:r>
          </w:p>
        </w:tc>
        <w:tc>
          <w:tcPr>
            <w:tcW w:w="3963" w:type="dxa"/>
          </w:tcPr>
          <w:p w14:paraId="6ABDF300" w14:textId="77777777" w:rsidR="00AD1F54" w:rsidRPr="00264D5D" w:rsidRDefault="00941227">
            <w:pPr>
              <w:pStyle w:val="afffffffd"/>
              <w:spacing w:before="60"/>
              <w:rPr>
                <w:rFonts w:ascii="Times New Roman" w:hAnsi="Times New Roman"/>
                <w:color w:val="000000"/>
                <w:sz w:val="22"/>
                <w:szCs w:val="22"/>
              </w:rPr>
            </w:pPr>
            <w:r w:rsidRPr="00264D5D">
              <w:rPr>
                <w:rFonts w:ascii="Times New Roman" w:hAnsi="Times New Roman"/>
                <w:color w:val="000000"/>
                <w:sz w:val="22"/>
                <w:szCs w:val="22"/>
              </w:rPr>
              <w:t>Указыв</w:t>
            </w:r>
            <w:r w:rsidR="005D5F06" w:rsidRPr="00264D5D">
              <w:rPr>
                <w:rFonts w:ascii="Times New Roman" w:hAnsi="Times New Roman"/>
                <w:color w:val="000000"/>
                <w:sz w:val="22"/>
                <w:szCs w:val="22"/>
              </w:rPr>
              <w:t>ается общая сумма по документам</w:t>
            </w:r>
          </w:p>
        </w:tc>
      </w:tr>
      <w:tr w:rsidR="00AD1F54" w:rsidRPr="00264D5D" w14:paraId="1589DF72"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701" w:type="dxa"/>
          </w:tcPr>
          <w:p w14:paraId="3586657F" w14:textId="77777777" w:rsidR="00AD1F54" w:rsidRPr="00264D5D" w:rsidRDefault="00941227">
            <w:pPr>
              <w:pStyle w:val="afffffffd"/>
              <w:spacing w:before="60"/>
              <w:rPr>
                <w:rFonts w:ascii="Times New Roman" w:hAnsi="Times New Roman"/>
                <w:color w:val="000000"/>
                <w:sz w:val="22"/>
                <w:szCs w:val="22"/>
              </w:rPr>
            </w:pPr>
            <w:r w:rsidRPr="00264D5D">
              <w:rPr>
                <w:rFonts w:ascii="Times New Roman" w:hAnsi="Times New Roman"/>
                <w:color w:val="000000"/>
                <w:sz w:val="22"/>
                <w:szCs w:val="22"/>
              </w:rPr>
              <w:t>Глобальный уникальный идентификатор пакета платежных поручений</w:t>
            </w:r>
          </w:p>
        </w:tc>
        <w:tc>
          <w:tcPr>
            <w:tcW w:w="1701" w:type="dxa"/>
          </w:tcPr>
          <w:p w14:paraId="7FF076F3" w14:textId="77777777" w:rsidR="00AD1F54" w:rsidRPr="00264D5D" w:rsidRDefault="00941227">
            <w:pPr>
              <w:pStyle w:val="affffff"/>
              <w:spacing w:before="60" w:after="60" w:line="240" w:lineRule="auto"/>
              <w:ind w:firstLine="0"/>
              <w:rPr>
                <w:sz w:val="22"/>
                <w:szCs w:val="22"/>
              </w:rPr>
            </w:pPr>
            <w:r w:rsidRPr="00264D5D">
              <w:rPr>
                <w:color w:val="000000"/>
                <w:sz w:val="22"/>
                <w:szCs w:val="22"/>
                <w:lang w:val="en-US"/>
              </w:rPr>
              <w:t>GUID_PPP</w:t>
            </w:r>
          </w:p>
        </w:tc>
        <w:tc>
          <w:tcPr>
            <w:tcW w:w="567" w:type="dxa"/>
          </w:tcPr>
          <w:p w14:paraId="471042DC" w14:textId="77777777" w:rsidR="00AD1F54" w:rsidRPr="00264D5D" w:rsidRDefault="00941227">
            <w:pPr>
              <w:pStyle w:val="affffff"/>
              <w:spacing w:before="60" w:after="60" w:line="240" w:lineRule="auto"/>
              <w:ind w:firstLine="0"/>
              <w:jc w:val="center"/>
              <w:rPr>
                <w:rFonts w:eastAsia="Calibri"/>
                <w:sz w:val="22"/>
                <w:szCs w:val="22"/>
              </w:rPr>
            </w:pPr>
            <w:r w:rsidRPr="00264D5D">
              <w:rPr>
                <w:rFonts w:eastAsia="Calibri"/>
                <w:sz w:val="22"/>
                <w:szCs w:val="22"/>
              </w:rPr>
              <w:t>П</w:t>
            </w:r>
          </w:p>
        </w:tc>
        <w:tc>
          <w:tcPr>
            <w:tcW w:w="1134" w:type="dxa"/>
          </w:tcPr>
          <w:p w14:paraId="55E1D20E" w14:textId="77777777" w:rsidR="00AD1F54" w:rsidRPr="00264D5D" w:rsidRDefault="00941227">
            <w:pPr>
              <w:pStyle w:val="affffff"/>
              <w:spacing w:before="60" w:after="60" w:line="240" w:lineRule="auto"/>
              <w:ind w:firstLine="0"/>
              <w:jc w:val="left"/>
              <w:rPr>
                <w:sz w:val="22"/>
                <w:szCs w:val="22"/>
              </w:rPr>
            </w:pPr>
            <w:r w:rsidRPr="00264D5D">
              <w:rPr>
                <w:sz w:val="22"/>
                <w:szCs w:val="22"/>
              </w:rPr>
              <w:t>Т(36)</w:t>
            </w:r>
          </w:p>
        </w:tc>
        <w:tc>
          <w:tcPr>
            <w:tcW w:w="567" w:type="dxa"/>
          </w:tcPr>
          <w:p w14:paraId="53443EA6" w14:textId="77777777" w:rsidR="00AD1F54" w:rsidRPr="00264D5D" w:rsidRDefault="00941227">
            <w:pPr>
              <w:pStyle w:val="affffff"/>
              <w:spacing w:before="60" w:after="60" w:line="240" w:lineRule="auto"/>
              <w:ind w:firstLine="0"/>
              <w:jc w:val="center"/>
              <w:rPr>
                <w:sz w:val="22"/>
                <w:szCs w:val="22"/>
              </w:rPr>
            </w:pPr>
            <w:r w:rsidRPr="00264D5D">
              <w:rPr>
                <w:sz w:val="22"/>
                <w:szCs w:val="22"/>
              </w:rPr>
              <w:t>О</w:t>
            </w:r>
          </w:p>
        </w:tc>
        <w:tc>
          <w:tcPr>
            <w:tcW w:w="3963" w:type="dxa"/>
          </w:tcPr>
          <w:p w14:paraId="7C243ECB" w14:textId="77777777" w:rsidR="00AD1F54" w:rsidRPr="00264D5D" w:rsidRDefault="00941227">
            <w:pPr>
              <w:pStyle w:val="afffffffd"/>
              <w:spacing w:before="60"/>
              <w:rPr>
                <w:rFonts w:ascii="Times New Roman" w:hAnsi="Times New Roman"/>
                <w:color w:val="000000"/>
                <w:sz w:val="22"/>
                <w:szCs w:val="22"/>
              </w:rPr>
            </w:pPr>
            <w:r w:rsidRPr="00264D5D">
              <w:rPr>
                <w:rFonts w:ascii="Times New Roman" w:hAnsi="Times New Roman"/>
                <w:color w:val="000000"/>
                <w:sz w:val="22"/>
                <w:szCs w:val="22"/>
              </w:rPr>
              <w:t xml:space="preserve">Указывается глобальный </w:t>
            </w:r>
            <w:r w:rsidR="005D5F06" w:rsidRPr="00264D5D">
              <w:rPr>
                <w:rFonts w:ascii="Times New Roman" w:hAnsi="Times New Roman"/>
                <w:color w:val="000000"/>
                <w:sz w:val="22"/>
                <w:szCs w:val="22"/>
              </w:rPr>
              <w:t>уникальный идентификатор пакета</w:t>
            </w:r>
          </w:p>
        </w:tc>
      </w:tr>
      <w:tr w:rsidR="00AD1F54" w:rsidRPr="00264D5D" w14:paraId="6D6B158D"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701" w:type="dxa"/>
          </w:tcPr>
          <w:p w14:paraId="654DC8E4" w14:textId="77777777" w:rsidR="00AD1F54" w:rsidRPr="00264D5D" w:rsidRDefault="00941227">
            <w:pPr>
              <w:pStyle w:val="afffffffd"/>
              <w:spacing w:before="60"/>
              <w:rPr>
                <w:rFonts w:ascii="Times New Roman" w:hAnsi="Times New Roman"/>
                <w:color w:val="000000"/>
                <w:sz w:val="22"/>
                <w:szCs w:val="22"/>
              </w:rPr>
            </w:pPr>
            <w:r w:rsidRPr="00264D5D">
              <w:rPr>
                <w:rFonts w:ascii="Times New Roman" w:hAnsi="Times New Roman"/>
                <w:color w:val="000000"/>
                <w:sz w:val="22"/>
                <w:szCs w:val="22"/>
              </w:rPr>
              <w:t>Данные о подписях</w:t>
            </w:r>
          </w:p>
        </w:tc>
        <w:tc>
          <w:tcPr>
            <w:tcW w:w="1701" w:type="dxa"/>
          </w:tcPr>
          <w:p w14:paraId="7420C0AC"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SGN</w:t>
            </w:r>
          </w:p>
        </w:tc>
        <w:tc>
          <w:tcPr>
            <w:tcW w:w="567" w:type="dxa"/>
          </w:tcPr>
          <w:p w14:paraId="278C6B44" w14:textId="77777777" w:rsidR="00AD1F54" w:rsidRPr="00264D5D" w:rsidRDefault="00941227">
            <w:pPr>
              <w:pStyle w:val="affffff"/>
              <w:spacing w:before="60" w:after="60" w:line="240" w:lineRule="auto"/>
              <w:ind w:firstLine="0"/>
              <w:jc w:val="center"/>
              <w:rPr>
                <w:rFonts w:eastAsia="Calibri"/>
                <w:sz w:val="22"/>
                <w:szCs w:val="22"/>
              </w:rPr>
            </w:pPr>
            <w:r w:rsidRPr="00264D5D">
              <w:rPr>
                <w:rFonts w:eastAsia="Calibri"/>
                <w:sz w:val="22"/>
                <w:szCs w:val="22"/>
              </w:rPr>
              <w:t>С</w:t>
            </w:r>
          </w:p>
        </w:tc>
        <w:tc>
          <w:tcPr>
            <w:tcW w:w="1134" w:type="dxa"/>
          </w:tcPr>
          <w:p w14:paraId="50FBCF04" w14:textId="77777777" w:rsidR="00AD1F54" w:rsidRPr="00264D5D" w:rsidRDefault="00941227">
            <w:pPr>
              <w:pStyle w:val="affffff"/>
              <w:spacing w:before="60" w:after="60" w:line="240" w:lineRule="auto"/>
              <w:ind w:firstLine="0"/>
              <w:jc w:val="left"/>
              <w:rPr>
                <w:sz w:val="22"/>
                <w:szCs w:val="22"/>
                <w:lang w:val="en-US"/>
              </w:rPr>
            </w:pPr>
            <w:r w:rsidRPr="00264D5D">
              <w:rPr>
                <w:sz w:val="22"/>
                <w:szCs w:val="22"/>
                <w:lang w:val="en-US"/>
              </w:rPr>
              <w:t>t</w:t>
            </w:r>
            <w:r w:rsidRPr="00264D5D">
              <w:rPr>
                <w:color w:val="000000"/>
                <w:sz w:val="22"/>
                <w:szCs w:val="22"/>
              </w:rPr>
              <w:t>SGN</w:t>
            </w:r>
          </w:p>
        </w:tc>
        <w:tc>
          <w:tcPr>
            <w:tcW w:w="567" w:type="dxa"/>
          </w:tcPr>
          <w:p w14:paraId="6741B8F2" w14:textId="77777777" w:rsidR="00AD1F54" w:rsidRPr="00264D5D" w:rsidRDefault="00941227">
            <w:pPr>
              <w:pStyle w:val="affffff"/>
              <w:spacing w:before="60" w:after="60" w:line="240" w:lineRule="auto"/>
              <w:ind w:firstLine="0"/>
              <w:jc w:val="center"/>
              <w:rPr>
                <w:sz w:val="22"/>
                <w:szCs w:val="22"/>
              </w:rPr>
            </w:pPr>
            <w:r w:rsidRPr="00264D5D">
              <w:rPr>
                <w:sz w:val="22"/>
                <w:szCs w:val="22"/>
              </w:rPr>
              <w:t>О</w:t>
            </w:r>
          </w:p>
        </w:tc>
        <w:tc>
          <w:tcPr>
            <w:tcW w:w="3963" w:type="dxa"/>
          </w:tcPr>
          <w:p w14:paraId="5F611CB7" w14:textId="77777777" w:rsidR="00AD1F54" w:rsidRPr="00264D5D" w:rsidRDefault="00941227">
            <w:pPr>
              <w:widowControl w:val="0"/>
              <w:spacing w:before="60" w:after="60"/>
              <w:rPr>
                <w:color w:val="000000"/>
                <w:sz w:val="22"/>
                <w:szCs w:val="22"/>
              </w:rPr>
            </w:pPr>
            <w:r w:rsidRPr="00264D5D">
              <w:rPr>
                <w:color w:val="000000"/>
                <w:sz w:val="22"/>
                <w:szCs w:val="22"/>
              </w:rPr>
              <w:t>Указывается информация о подписях клиента в случае их формирования во внешней системе (с применением сертификат ЭП, выданных УЦ, отличным от УЦ ФК).</w:t>
            </w:r>
          </w:p>
          <w:p w14:paraId="2B977B8A" w14:textId="174D0397" w:rsidR="00AD1F54" w:rsidRPr="00264D5D" w:rsidRDefault="00941227">
            <w:pPr>
              <w:pStyle w:val="affffff"/>
              <w:spacing w:before="60" w:after="60" w:line="240" w:lineRule="auto"/>
              <w:ind w:firstLine="0"/>
              <w:rPr>
                <w:sz w:val="22"/>
                <w:szCs w:val="22"/>
              </w:rPr>
            </w:pPr>
            <w:r w:rsidRPr="00264D5D">
              <w:rPr>
                <w:sz w:val="22"/>
                <w:szCs w:val="22"/>
              </w:rPr>
              <w:t xml:space="preserve">Состав элемента представлен в таблице </w:t>
            </w:r>
            <w:r w:rsidRPr="00264D5D">
              <w:rPr>
                <w:sz w:val="22"/>
                <w:szCs w:val="22"/>
              </w:rPr>
              <w:fldChar w:fldCharType="begin"/>
            </w:r>
            <w:r w:rsidRPr="00264D5D">
              <w:rPr>
                <w:sz w:val="22"/>
                <w:szCs w:val="22"/>
              </w:rPr>
              <w:instrText xml:space="preserve"> REF _Ref18483559 \h  \* MERGEFORMAT </w:instrText>
            </w:r>
            <w:r w:rsidRPr="00264D5D">
              <w:rPr>
                <w:sz w:val="22"/>
                <w:szCs w:val="22"/>
              </w:rPr>
            </w:r>
            <w:r w:rsidRPr="00264D5D">
              <w:rPr>
                <w:sz w:val="22"/>
                <w:szCs w:val="22"/>
              </w:rPr>
              <w:fldChar w:fldCharType="separate"/>
            </w:r>
            <w:r w:rsidR="008D797C" w:rsidRPr="008D797C">
              <w:rPr>
                <w:sz w:val="22"/>
                <w:szCs w:val="22"/>
              </w:rPr>
              <w:t>311</w:t>
            </w:r>
            <w:r w:rsidRPr="00264D5D">
              <w:rPr>
                <w:sz w:val="22"/>
                <w:szCs w:val="22"/>
              </w:rPr>
              <w:fldChar w:fldCharType="end"/>
            </w:r>
          </w:p>
        </w:tc>
      </w:tr>
      <w:tr w:rsidR="00AD1F54" w:rsidRPr="00264D5D" w14:paraId="7029AD04"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701" w:type="dxa"/>
          </w:tcPr>
          <w:p w14:paraId="4026B9CF" w14:textId="77777777" w:rsidR="00AD1F54" w:rsidRPr="00264D5D" w:rsidRDefault="00941227">
            <w:pPr>
              <w:pStyle w:val="afffffffd"/>
              <w:spacing w:before="60"/>
              <w:rPr>
                <w:rFonts w:ascii="Times New Roman" w:hAnsi="Times New Roman"/>
                <w:color w:val="000000"/>
                <w:sz w:val="22"/>
                <w:szCs w:val="22"/>
                <w:lang w:val="en-US"/>
              </w:rPr>
            </w:pPr>
            <w:r w:rsidRPr="00264D5D">
              <w:rPr>
                <w:rFonts w:ascii="Times New Roman" w:hAnsi="Times New Roman"/>
                <w:color w:val="000000"/>
                <w:sz w:val="22"/>
                <w:szCs w:val="22"/>
                <w:lang w:val="en-US"/>
              </w:rPr>
              <w:t>Данные пакета платежных поручений</w:t>
            </w:r>
          </w:p>
        </w:tc>
        <w:tc>
          <w:tcPr>
            <w:tcW w:w="1701" w:type="dxa"/>
          </w:tcPr>
          <w:p w14:paraId="28B31025"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lang w:val="en-US"/>
              </w:rPr>
              <w:t>Data</w:t>
            </w:r>
            <w:r w:rsidRPr="00264D5D">
              <w:rPr>
                <w:color w:val="000000"/>
                <w:sz w:val="22"/>
                <w:szCs w:val="22"/>
              </w:rPr>
              <w:t>_</w:t>
            </w:r>
            <w:r w:rsidRPr="00264D5D">
              <w:rPr>
                <w:color w:val="000000"/>
                <w:sz w:val="22"/>
                <w:szCs w:val="22"/>
                <w:lang w:val="en-US"/>
              </w:rPr>
              <w:t>PPP</w:t>
            </w:r>
          </w:p>
        </w:tc>
        <w:tc>
          <w:tcPr>
            <w:tcW w:w="567" w:type="dxa"/>
          </w:tcPr>
          <w:p w14:paraId="787F1C07" w14:textId="77777777" w:rsidR="00AD1F54" w:rsidRPr="00264D5D" w:rsidRDefault="00941227">
            <w:pPr>
              <w:pStyle w:val="affffff"/>
              <w:spacing w:before="60" w:after="60" w:line="240" w:lineRule="auto"/>
              <w:ind w:firstLine="0"/>
              <w:jc w:val="center"/>
              <w:rPr>
                <w:rFonts w:eastAsia="Calibri"/>
                <w:sz w:val="22"/>
                <w:szCs w:val="22"/>
              </w:rPr>
            </w:pPr>
            <w:r w:rsidRPr="00264D5D">
              <w:rPr>
                <w:rFonts w:eastAsia="Calibri"/>
                <w:sz w:val="22"/>
                <w:szCs w:val="22"/>
              </w:rPr>
              <w:t>С</w:t>
            </w:r>
          </w:p>
        </w:tc>
        <w:tc>
          <w:tcPr>
            <w:tcW w:w="1134" w:type="dxa"/>
          </w:tcPr>
          <w:p w14:paraId="3F632869" w14:textId="77777777" w:rsidR="00AD1F54" w:rsidRPr="00264D5D" w:rsidRDefault="00941227">
            <w:pPr>
              <w:pStyle w:val="affffff"/>
              <w:spacing w:before="60" w:after="60" w:line="240" w:lineRule="auto"/>
              <w:ind w:firstLine="0"/>
              <w:jc w:val="left"/>
              <w:rPr>
                <w:sz w:val="22"/>
                <w:szCs w:val="22"/>
                <w:lang w:val="en-US"/>
              </w:rPr>
            </w:pPr>
            <w:r w:rsidRPr="00264D5D">
              <w:rPr>
                <w:sz w:val="22"/>
                <w:szCs w:val="22"/>
                <w:lang w:val="en-US"/>
              </w:rPr>
              <w:t>t</w:t>
            </w:r>
            <w:r w:rsidRPr="00264D5D">
              <w:rPr>
                <w:color w:val="000000"/>
                <w:sz w:val="22"/>
                <w:szCs w:val="22"/>
                <w:lang w:val="en-US"/>
              </w:rPr>
              <w:t>Data</w:t>
            </w:r>
            <w:r w:rsidRPr="00264D5D">
              <w:rPr>
                <w:color w:val="000000"/>
                <w:sz w:val="22"/>
                <w:szCs w:val="22"/>
              </w:rPr>
              <w:t>_</w:t>
            </w:r>
            <w:r w:rsidRPr="00264D5D">
              <w:rPr>
                <w:color w:val="000000"/>
                <w:sz w:val="22"/>
                <w:szCs w:val="22"/>
                <w:lang w:val="en-US"/>
              </w:rPr>
              <w:t>PPP</w:t>
            </w:r>
          </w:p>
        </w:tc>
        <w:tc>
          <w:tcPr>
            <w:tcW w:w="567" w:type="dxa"/>
          </w:tcPr>
          <w:p w14:paraId="5A122553" w14:textId="77777777" w:rsidR="00AD1F54" w:rsidRPr="00264D5D" w:rsidRDefault="00941227">
            <w:pPr>
              <w:pStyle w:val="affffff"/>
              <w:spacing w:before="60" w:after="60" w:line="240" w:lineRule="auto"/>
              <w:ind w:firstLine="0"/>
              <w:jc w:val="center"/>
              <w:rPr>
                <w:sz w:val="22"/>
                <w:szCs w:val="22"/>
              </w:rPr>
            </w:pPr>
            <w:r w:rsidRPr="00264D5D">
              <w:rPr>
                <w:sz w:val="22"/>
                <w:szCs w:val="22"/>
              </w:rPr>
              <w:t>О</w:t>
            </w:r>
          </w:p>
        </w:tc>
        <w:tc>
          <w:tcPr>
            <w:tcW w:w="3963" w:type="dxa"/>
          </w:tcPr>
          <w:p w14:paraId="052ED18C" w14:textId="61C8B85E" w:rsidR="00AD1F54" w:rsidRPr="00264D5D" w:rsidRDefault="00941227">
            <w:pPr>
              <w:pStyle w:val="affffff"/>
              <w:spacing w:before="60" w:after="60" w:line="240" w:lineRule="auto"/>
              <w:ind w:firstLine="0"/>
              <w:rPr>
                <w:sz w:val="22"/>
                <w:szCs w:val="22"/>
              </w:rPr>
            </w:pPr>
            <w:r w:rsidRPr="00264D5D">
              <w:rPr>
                <w:sz w:val="22"/>
                <w:szCs w:val="22"/>
              </w:rPr>
              <w:t xml:space="preserve">Состав элемента представлен в таблице </w:t>
            </w:r>
            <w:r w:rsidRPr="00264D5D">
              <w:rPr>
                <w:sz w:val="22"/>
                <w:szCs w:val="22"/>
              </w:rPr>
              <w:fldChar w:fldCharType="begin"/>
            </w:r>
            <w:r w:rsidRPr="00264D5D">
              <w:rPr>
                <w:sz w:val="22"/>
                <w:szCs w:val="22"/>
              </w:rPr>
              <w:instrText xml:space="preserve"> REF _Ref72421399 \h  \* MERGEFORMAT </w:instrText>
            </w:r>
            <w:r w:rsidRPr="00264D5D">
              <w:rPr>
                <w:sz w:val="22"/>
                <w:szCs w:val="22"/>
              </w:rPr>
            </w:r>
            <w:r w:rsidRPr="00264D5D">
              <w:rPr>
                <w:sz w:val="22"/>
                <w:szCs w:val="22"/>
              </w:rPr>
              <w:fldChar w:fldCharType="separate"/>
            </w:r>
            <w:r w:rsidR="008D797C" w:rsidRPr="008D797C">
              <w:rPr>
                <w:rFonts w:eastAsia="Calibri"/>
                <w:sz w:val="22"/>
                <w:szCs w:val="22"/>
              </w:rPr>
              <w:t>312</w:t>
            </w:r>
            <w:r w:rsidRPr="00264D5D">
              <w:rPr>
                <w:sz w:val="22"/>
                <w:szCs w:val="22"/>
              </w:rPr>
              <w:fldChar w:fldCharType="end"/>
            </w:r>
          </w:p>
        </w:tc>
      </w:tr>
      <w:tr w:rsidR="00AD1F54" w:rsidRPr="00264D5D" w14:paraId="5A419FBE"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9634" w:type="dxa"/>
            <w:gridSpan w:val="6"/>
          </w:tcPr>
          <w:p w14:paraId="09DF6566" w14:textId="77777777" w:rsidR="00AD1F54" w:rsidRPr="00264D5D" w:rsidRDefault="00941227">
            <w:pPr>
              <w:pStyle w:val="affffff"/>
              <w:spacing w:before="60" w:after="60" w:line="240" w:lineRule="auto"/>
              <w:ind w:firstLine="0"/>
              <w:rPr>
                <w:sz w:val="22"/>
                <w:szCs w:val="22"/>
              </w:rPr>
            </w:pPr>
            <w:r w:rsidRPr="00264D5D">
              <w:rPr>
                <w:b/>
                <w:sz w:val="22"/>
                <w:szCs w:val="22"/>
              </w:rPr>
              <w:t>ЭП</w:t>
            </w:r>
          </w:p>
        </w:tc>
      </w:tr>
      <w:tr w:rsidR="00AD1F54" w:rsidRPr="00264D5D" w14:paraId="6892CC5B"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701" w:type="dxa"/>
          </w:tcPr>
          <w:p w14:paraId="229A23E0" w14:textId="77777777" w:rsidR="00AD1F54" w:rsidRPr="00264D5D" w:rsidRDefault="00941227">
            <w:pPr>
              <w:pStyle w:val="afffffffd"/>
              <w:spacing w:before="60"/>
              <w:rPr>
                <w:rFonts w:ascii="Times New Roman" w:hAnsi="Times New Roman"/>
                <w:color w:val="000000"/>
                <w:sz w:val="22"/>
                <w:szCs w:val="22"/>
                <w:lang w:val="en-US"/>
              </w:rPr>
            </w:pPr>
            <w:r w:rsidRPr="00264D5D">
              <w:rPr>
                <w:rFonts w:ascii="Times New Roman" w:hAnsi="Times New Roman"/>
                <w:color w:val="000000"/>
                <w:sz w:val="22"/>
                <w:szCs w:val="22"/>
              </w:rPr>
              <w:t>Электронная подпись</w:t>
            </w:r>
          </w:p>
        </w:tc>
        <w:tc>
          <w:tcPr>
            <w:tcW w:w="1701" w:type="dxa"/>
          </w:tcPr>
          <w:p w14:paraId="0E5F18C7" w14:textId="77777777" w:rsidR="00AD1F54" w:rsidRPr="00264D5D" w:rsidRDefault="00941227">
            <w:pPr>
              <w:pStyle w:val="affffff"/>
              <w:spacing w:before="60" w:after="60" w:line="240" w:lineRule="auto"/>
              <w:ind w:firstLine="0"/>
              <w:rPr>
                <w:sz w:val="22"/>
                <w:szCs w:val="22"/>
                <w:lang w:val="en-US"/>
              </w:rPr>
            </w:pPr>
            <w:r w:rsidRPr="00264D5D">
              <w:rPr>
                <w:sz w:val="22"/>
                <w:szCs w:val="22"/>
              </w:rPr>
              <w:t>Signature</w:t>
            </w:r>
          </w:p>
        </w:tc>
        <w:tc>
          <w:tcPr>
            <w:tcW w:w="567" w:type="dxa"/>
          </w:tcPr>
          <w:p w14:paraId="714639F2" w14:textId="77777777" w:rsidR="00AD1F54" w:rsidRPr="00264D5D" w:rsidRDefault="00941227">
            <w:pPr>
              <w:pStyle w:val="affffff"/>
              <w:spacing w:before="60" w:after="60" w:line="240" w:lineRule="auto"/>
              <w:ind w:firstLine="0"/>
              <w:jc w:val="center"/>
              <w:rPr>
                <w:rFonts w:eastAsia="Calibri"/>
                <w:sz w:val="22"/>
                <w:szCs w:val="22"/>
              </w:rPr>
            </w:pPr>
            <w:r w:rsidRPr="00264D5D">
              <w:rPr>
                <w:sz w:val="22"/>
                <w:szCs w:val="22"/>
              </w:rPr>
              <w:t>С</w:t>
            </w:r>
          </w:p>
        </w:tc>
        <w:tc>
          <w:tcPr>
            <w:tcW w:w="1134" w:type="dxa"/>
          </w:tcPr>
          <w:p w14:paraId="2E29E6D6" w14:textId="77777777" w:rsidR="00AD1F54" w:rsidRPr="00264D5D" w:rsidRDefault="00941227">
            <w:pPr>
              <w:pStyle w:val="affffff"/>
              <w:spacing w:before="60" w:after="60" w:line="240" w:lineRule="auto"/>
              <w:ind w:firstLine="0"/>
              <w:jc w:val="left"/>
              <w:rPr>
                <w:sz w:val="22"/>
                <w:szCs w:val="22"/>
              </w:rPr>
            </w:pPr>
            <w:r w:rsidRPr="00264D5D">
              <w:rPr>
                <w:rFonts w:eastAsia="Calibri"/>
                <w:sz w:val="22"/>
                <w:szCs w:val="22"/>
              </w:rPr>
              <w:t>SignatureType</w:t>
            </w:r>
          </w:p>
        </w:tc>
        <w:tc>
          <w:tcPr>
            <w:tcW w:w="567" w:type="dxa"/>
          </w:tcPr>
          <w:p w14:paraId="18896534" w14:textId="77777777" w:rsidR="00AD1F54" w:rsidRPr="00264D5D" w:rsidRDefault="00941227">
            <w:pPr>
              <w:pStyle w:val="affffff"/>
              <w:spacing w:before="60" w:after="60" w:line="240" w:lineRule="auto"/>
              <w:ind w:firstLine="0"/>
              <w:jc w:val="center"/>
              <w:rPr>
                <w:sz w:val="22"/>
                <w:szCs w:val="22"/>
              </w:rPr>
            </w:pPr>
            <w:r w:rsidRPr="00264D5D">
              <w:rPr>
                <w:sz w:val="22"/>
                <w:szCs w:val="22"/>
              </w:rPr>
              <w:t>НМ</w:t>
            </w:r>
          </w:p>
        </w:tc>
        <w:tc>
          <w:tcPr>
            <w:tcW w:w="3963" w:type="dxa"/>
          </w:tcPr>
          <w:p w14:paraId="69FC3DFA" w14:textId="77777777" w:rsidR="00AD1F54" w:rsidRPr="00264D5D" w:rsidRDefault="00941227">
            <w:pPr>
              <w:pStyle w:val="affffff"/>
              <w:spacing w:before="60" w:after="60" w:line="240" w:lineRule="auto"/>
              <w:ind w:firstLine="0"/>
              <w:rPr>
                <w:sz w:val="22"/>
                <w:szCs w:val="22"/>
              </w:rPr>
            </w:pPr>
            <w:r w:rsidRPr="00264D5D">
              <w:rPr>
                <w:sz w:val="22"/>
                <w:szCs w:val="22"/>
              </w:rPr>
              <w:t>Блок подписи в формате XAdes. Указывается как референс согласно формату подписи XAdes.</w:t>
            </w:r>
          </w:p>
          <w:p w14:paraId="0CE2819B" w14:textId="77777777" w:rsidR="00AD1F54" w:rsidRPr="00264D5D" w:rsidRDefault="00941227">
            <w:pPr>
              <w:spacing w:before="60" w:after="60"/>
              <w:rPr>
                <w:sz w:val="22"/>
                <w:szCs w:val="22"/>
              </w:rPr>
            </w:pPr>
            <w:r w:rsidRPr="00264D5D">
              <w:rPr>
                <w:sz w:val="22"/>
                <w:szCs w:val="22"/>
              </w:rPr>
              <w:lastRenderedPageBreak/>
              <w:t>Заполняется согласно п.</w:t>
            </w:r>
            <w:r w:rsidR="005D5F06" w:rsidRPr="00264D5D">
              <w:rPr>
                <w:sz w:val="22"/>
                <w:szCs w:val="22"/>
              </w:rPr>
              <w:t>3.5.3 Тома 1 настоящего альбома</w:t>
            </w:r>
          </w:p>
        </w:tc>
      </w:tr>
    </w:tbl>
    <w:p w14:paraId="62B6AFF9" w14:textId="77777777" w:rsidR="00AD1F54" w:rsidRPr="00264D5D" w:rsidRDefault="00941227">
      <w:pPr>
        <w:pStyle w:val="31"/>
      </w:pPr>
      <w:bookmarkStart w:id="3237" w:name="_Toc84802449"/>
      <w:bookmarkStart w:id="3238" w:name="_Toc219309791"/>
      <w:r w:rsidRPr="00264D5D">
        <w:lastRenderedPageBreak/>
        <w:t>Описание комплексного типа «tBudgetLevel»</w:t>
      </w:r>
      <w:bookmarkEnd w:id="3237"/>
      <w:bookmarkEnd w:id="3238"/>
    </w:p>
    <w:p w14:paraId="1589D966" w14:textId="77777777" w:rsidR="00AD1F54" w:rsidRPr="00264D5D" w:rsidRDefault="00941227">
      <w:r w:rsidRPr="00264D5D">
        <w:t>Описание комплексного типа «tBudgetLevel» блока «Уровень бюджета».</w:t>
      </w:r>
    </w:p>
    <w:p w14:paraId="6465CDC8" w14:textId="12D5EB16"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3239" w:name="_Ref68763916"/>
      <w:bookmarkStart w:id="3240" w:name="_Toc219309340"/>
      <w:r w:rsidR="008D797C">
        <w:rPr>
          <w:noProof/>
        </w:rPr>
        <w:t>310</w:t>
      </w:r>
      <w:bookmarkEnd w:id="3239"/>
      <w:r w:rsidRPr="00264D5D">
        <w:fldChar w:fldCharType="end"/>
      </w:r>
      <w:r w:rsidRPr="00264D5D">
        <w:rPr>
          <w:rFonts w:eastAsia="Calibri"/>
          <w:szCs w:val="24"/>
        </w:rPr>
        <w:t xml:space="preserve"> –</w:t>
      </w:r>
      <w:r w:rsidRPr="00264D5D">
        <w:t xml:space="preserve"> Описание </w:t>
      </w:r>
      <w:r w:rsidRPr="00264D5D">
        <w:rPr>
          <w:szCs w:val="24"/>
        </w:rPr>
        <w:t>комплексного типа «</w:t>
      </w:r>
      <w:r w:rsidRPr="00264D5D">
        <w:rPr>
          <w:szCs w:val="22"/>
          <w:lang w:val="en-US" w:eastAsia="en-US"/>
        </w:rPr>
        <w:t>tBudgetLevel</w:t>
      </w:r>
      <w:r w:rsidRPr="00264D5D">
        <w:rPr>
          <w:szCs w:val="24"/>
        </w:rPr>
        <w:t>»</w:t>
      </w:r>
      <w:bookmarkEnd w:id="3240"/>
    </w:p>
    <w:tbl>
      <w:tblPr>
        <w:tblStyle w:val="GOSTTable"/>
        <w:tblW w:w="5000" w:type="pct"/>
        <w:tblLayout w:type="fixed"/>
        <w:tblLook w:val="04A0" w:firstRow="1" w:lastRow="0" w:firstColumn="1" w:lastColumn="0" w:noHBand="0" w:noVBand="1"/>
      </w:tblPr>
      <w:tblGrid>
        <w:gridCol w:w="1704"/>
        <w:gridCol w:w="1704"/>
        <w:gridCol w:w="568"/>
        <w:gridCol w:w="1136"/>
        <w:gridCol w:w="568"/>
        <w:gridCol w:w="3970"/>
      </w:tblGrid>
      <w:tr w:rsidR="00AD1F54" w:rsidRPr="00264D5D" w14:paraId="64E38F68"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3094668C" w14:textId="77777777" w:rsidR="00AD1F54" w:rsidRPr="00264D5D" w:rsidRDefault="00941227">
            <w:pPr>
              <w:pStyle w:val="GOSTTableHead"/>
              <w:keepNext w:val="0"/>
            </w:pPr>
            <w:r w:rsidRPr="00264D5D">
              <w:t>Наименование элемента</w:t>
            </w:r>
          </w:p>
        </w:tc>
        <w:tc>
          <w:tcPr>
            <w:tcW w:w="1701" w:type="dxa"/>
          </w:tcPr>
          <w:p w14:paraId="482ECA1F" w14:textId="77777777" w:rsidR="00AD1F54" w:rsidRPr="00264D5D" w:rsidRDefault="00941227">
            <w:pPr>
              <w:pStyle w:val="GOSTTableHead"/>
              <w:keepNext w:val="0"/>
            </w:pPr>
            <w:r w:rsidRPr="00264D5D">
              <w:t>Сокращенное наименование (код) элемента</w:t>
            </w:r>
          </w:p>
        </w:tc>
        <w:tc>
          <w:tcPr>
            <w:tcW w:w="567" w:type="dxa"/>
          </w:tcPr>
          <w:p w14:paraId="460CE91E" w14:textId="77777777" w:rsidR="00AD1F54" w:rsidRPr="00264D5D" w:rsidRDefault="00941227">
            <w:pPr>
              <w:pStyle w:val="GOSTTableHead"/>
              <w:keepNext w:val="0"/>
            </w:pPr>
            <w:r w:rsidRPr="00264D5D">
              <w:t>Тип</w:t>
            </w:r>
          </w:p>
        </w:tc>
        <w:tc>
          <w:tcPr>
            <w:tcW w:w="1134" w:type="dxa"/>
          </w:tcPr>
          <w:p w14:paraId="78580647" w14:textId="77777777" w:rsidR="00AD1F54" w:rsidRPr="00264D5D" w:rsidRDefault="00941227">
            <w:pPr>
              <w:pStyle w:val="GOSTTableHead"/>
              <w:keepNext w:val="0"/>
            </w:pPr>
            <w:r w:rsidRPr="00264D5D">
              <w:t>Формат элемента</w:t>
            </w:r>
          </w:p>
        </w:tc>
        <w:tc>
          <w:tcPr>
            <w:tcW w:w="567" w:type="dxa"/>
          </w:tcPr>
          <w:p w14:paraId="63F5BE96" w14:textId="77777777" w:rsidR="00AD1F54" w:rsidRPr="00264D5D" w:rsidRDefault="00941227">
            <w:pPr>
              <w:pStyle w:val="GOSTTableHead"/>
              <w:keepNext w:val="0"/>
            </w:pPr>
            <w:r w:rsidRPr="00264D5D">
              <w:t>Обязательность</w:t>
            </w:r>
          </w:p>
        </w:tc>
        <w:tc>
          <w:tcPr>
            <w:tcW w:w="3963" w:type="dxa"/>
          </w:tcPr>
          <w:p w14:paraId="659D76CD" w14:textId="77777777" w:rsidR="00AD1F54" w:rsidRPr="00264D5D" w:rsidRDefault="00941227">
            <w:pPr>
              <w:pStyle w:val="GOSTTableHead"/>
              <w:keepNext w:val="0"/>
            </w:pPr>
            <w:r w:rsidRPr="00264D5D">
              <w:t>Дополнительная информация</w:t>
            </w:r>
          </w:p>
        </w:tc>
      </w:tr>
      <w:tr w:rsidR="00AD1F54" w:rsidRPr="00264D5D" w14:paraId="78291E52"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9016911" w14:textId="77777777" w:rsidR="00AD1F54" w:rsidRPr="00264D5D" w:rsidRDefault="00941227">
            <w:pPr>
              <w:pStyle w:val="afffffffd"/>
              <w:spacing w:before="60"/>
              <w:rPr>
                <w:rFonts w:ascii="Times New Roman" w:hAnsi="Times New Roman"/>
                <w:color w:val="000000"/>
                <w:sz w:val="22"/>
                <w:szCs w:val="22"/>
                <w:lang w:val="en-US"/>
              </w:rPr>
            </w:pPr>
            <w:r w:rsidRPr="00264D5D">
              <w:rPr>
                <w:rFonts w:ascii="Times New Roman" w:hAnsi="Times New Roman"/>
                <w:color w:val="000000"/>
                <w:sz w:val="22"/>
                <w:szCs w:val="22"/>
                <w:lang w:val="en-US"/>
              </w:rPr>
              <w:t>Код уровня бюджета</w:t>
            </w:r>
          </w:p>
        </w:tc>
        <w:tc>
          <w:tcPr>
            <w:tcW w:w="1701" w:type="dxa"/>
          </w:tcPr>
          <w:p w14:paraId="16287450" w14:textId="77777777" w:rsidR="00AD1F54" w:rsidRPr="00264D5D" w:rsidRDefault="00941227">
            <w:pPr>
              <w:pStyle w:val="GOSTTablenorm"/>
              <w:rPr>
                <w:szCs w:val="22"/>
              </w:rPr>
            </w:pPr>
            <w:r w:rsidRPr="00264D5D">
              <w:rPr>
                <w:szCs w:val="22"/>
              </w:rPr>
              <w:t>code</w:t>
            </w:r>
          </w:p>
        </w:tc>
        <w:tc>
          <w:tcPr>
            <w:tcW w:w="567" w:type="dxa"/>
          </w:tcPr>
          <w:p w14:paraId="2902F150" w14:textId="77777777" w:rsidR="00AD1F54" w:rsidRPr="00264D5D" w:rsidRDefault="00941227">
            <w:pPr>
              <w:pStyle w:val="GOSTTablenorm"/>
              <w:jc w:val="center"/>
              <w:rPr>
                <w:szCs w:val="22"/>
              </w:rPr>
            </w:pPr>
            <w:r w:rsidRPr="00264D5D">
              <w:rPr>
                <w:szCs w:val="22"/>
              </w:rPr>
              <w:t>А</w:t>
            </w:r>
          </w:p>
        </w:tc>
        <w:tc>
          <w:tcPr>
            <w:tcW w:w="1134" w:type="dxa"/>
          </w:tcPr>
          <w:p w14:paraId="70F05224" w14:textId="77777777" w:rsidR="00AD1F54" w:rsidRPr="00264D5D" w:rsidRDefault="00941227">
            <w:pPr>
              <w:pStyle w:val="GOSTTablenorm"/>
              <w:rPr>
                <w:szCs w:val="22"/>
                <w:lang w:val="en-US"/>
              </w:rPr>
            </w:pPr>
            <w:r w:rsidRPr="00264D5D">
              <w:rPr>
                <w:szCs w:val="22"/>
                <w:lang w:eastAsia="en-US"/>
              </w:rPr>
              <w:t>-</w:t>
            </w:r>
          </w:p>
        </w:tc>
        <w:tc>
          <w:tcPr>
            <w:tcW w:w="567" w:type="dxa"/>
          </w:tcPr>
          <w:p w14:paraId="4E8C253D" w14:textId="77777777" w:rsidR="00AD1F54" w:rsidRPr="00264D5D" w:rsidRDefault="00941227">
            <w:pPr>
              <w:pStyle w:val="GOSTTablenorm"/>
              <w:jc w:val="center"/>
              <w:rPr>
                <w:szCs w:val="22"/>
              </w:rPr>
            </w:pPr>
            <w:r w:rsidRPr="00264D5D">
              <w:rPr>
                <w:szCs w:val="22"/>
                <w:lang w:eastAsia="en-US"/>
              </w:rPr>
              <w:t>О</w:t>
            </w:r>
          </w:p>
        </w:tc>
        <w:tc>
          <w:tcPr>
            <w:tcW w:w="3963" w:type="dxa"/>
          </w:tcPr>
          <w:p w14:paraId="717D803B" w14:textId="77777777" w:rsidR="00AD1F54" w:rsidRPr="00264D5D" w:rsidRDefault="00941227">
            <w:pPr>
              <w:pStyle w:val="GOSTTablenorm"/>
              <w:tabs>
                <w:tab w:val="left" w:pos="403"/>
              </w:tabs>
              <w:rPr>
                <w:szCs w:val="22"/>
              </w:rPr>
            </w:pPr>
            <w:r w:rsidRPr="00264D5D">
              <w:rPr>
                <w:szCs w:val="22"/>
              </w:rPr>
              <w:t>Допустимые значения:</w:t>
            </w:r>
          </w:p>
          <w:p w14:paraId="76AD46ED" w14:textId="77777777" w:rsidR="00AD1F54" w:rsidRPr="00264D5D" w:rsidRDefault="00941227" w:rsidP="00E7460C">
            <w:pPr>
              <w:pStyle w:val="ASFKTableListMark"/>
              <w:numPr>
                <w:ilvl w:val="0"/>
                <w:numId w:val="114"/>
              </w:numPr>
              <w:ind w:left="284" w:hanging="227"/>
              <w:contextualSpacing/>
              <w:jc w:val="both"/>
              <w:rPr>
                <w:szCs w:val="22"/>
              </w:rPr>
            </w:pPr>
            <w:r w:rsidRPr="00264D5D">
              <w:rPr>
                <w:szCs w:val="22"/>
              </w:rPr>
              <w:t>«2» – бюджет субъекта РФ;</w:t>
            </w:r>
          </w:p>
          <w:p w14:paraId="7086D6B9" w14:textId="77777777" w:rsidR="00AD1F54" w:rsidRPr="00264D5D" w:rsidRDefault="00941227" w:rsidP="00E7460C">
            <w:pPr>
              <w:pStyle w:val="ASFKTableListMark"/>
              <w:numPr>
                <w:ilvl w:val="0"/>
                <w:numId w:val="114"/>
              </w:numPr>
              <w:ind w:left="284" w:hanging="227"/>
              <w:contextualSpacing/>
              <w:jc w:val="both"/>
              <w:rPr>
                <w:szCs w:val="22"/>
              </w:rPr>
            </w:pPr>
            <w:r w:rsidRPr="00264D5D">
              <w:rPr>
                <w:szCs w:val="22"/>
              </w:rPr>
              <w:t>«3» – местный бюджет;</w:t>
            </w:r>
          </w:p>
          <w:p w14:paraId="7FE8754F" w14:textId="77777777" w:rsidR="00AD1F54" w:rsidRPr="00264D5D" w:rsidRDefault="00941227" w:rsidP="00E7460C">
            <w:pPr>
              <w:pStyle w:val="ASFKTableListMark"/>
              <w:numPr>
                <w:ilvl w:val="0"/>
                <w:numId w:val="114"/>
              </w:numPr>
              <w:ind w:left="284" w:hanging="227"/>
              <w:contextualSpacing/>
              <w:jc w:val="both"/>
              <w:rPr>
                <w:szCs w:val="22"/>
              </w:rPr>
            </w:pPr>
            <w:r w:rsidRPr="00264D5D">
              <w:rPr>
                <w:szCs w:val="22"/>
              </w:rPr>
              <w:t>«4» – бюджет ГВФ РФ;</w:t>
            </w:r>
          </w:p>
          <w:p w14:paraId="13E94C84" w14:textId="77777777" w:rsidR="00AD1F54" w:rsidRPr="00264D5D" w:rsidRDefault="005D5F06" w:rsidP="00E7460C">
            <w:pPr>
              <w:pStyle w:val="ASFKTableListMark"/>
              <w:numPr>
                <w:ilvl w:val="0"/>
                <w:numId w:val="114"/>
              </w:numPr>
              <w:ind w:left="284" w:hanging="227"/>
              <w:contextualSpacing/>
              <w:jc w:val="both"/>
              <w:rPr>
                <w:color w:val="000000"/>
                <w:szCs w:val="22"/>
              </w:rPr>
            </w:pPr>
            <w:r w:rsidRPr="00264D5D">
              <w:rPr>
                <w:szCs w:val="22"/>
              </w:rPr>
              <w:t>«6» – средства ЮЛ</w:t>
            </w:r>
          </w:p>
        </w:tc>
      </w:tr>
      <w:tr w:rsidR="00AD1F54" w:rsidRPr="00264D5D" w14:paraId="62005573"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5C7D1CBC" w14:textId="77777777" w:rsidR="00AD1F54" w:rsidRPr="00264D5D" w:rsidRDefault="00941227">
            <w:pPr>
              <w:pStyle w:val="afffffffd"/>
              <w:spacing w:before="60"/>
              <w:rPr>
                <w:rFonts w:ascii="Times New Roman" w:hAnsi="Times New Roman"/>
                <w:color w:val="000000"/>
                <w:sz w:val="22"/>
                <w:szCs w:val="22"/>
                <w:lang w:val="en-US"/>
              </w:rPr>
            </w:pPr>
            <w:r w:rsidRPr="00264D5D">
              <w:rPr>
                <w:rFonts w:ascii="Times New Roman" w:hAnsi="Times New Roman"/>
                <w:color w:val="000000"/>
                <w:sz w:val="22"/>
                <w:szCs w:val="22"/>
                <w:lang w:val="en-US"/>
              </w:rPr>
              <w:t>Значение уровня бюджета</w:t>
            </w:r>
          </w:p>
        </w:tc>
        <w:tc>
          <w:tcPr>
            <w:tcW w:w="1701" w:type="dxa"/>
          </w:tcPr>
          <w:p w14:paraId="46C43655" w14:textId="77777777" w:rsidR="00AD1F54" w:rsidRPr="00264D5D" w:rsidRDefault="00941227">
            <w:pPr>
              <w:pStyle w:val="GOSTTablenorm"/>
              <w:rPr>
                <w:szCs w:val="22"/>
                <w:lang w:val="en-US"/>
              </w:rPr>
            </w:pPr>
            <w:r w:rsidRPr="00264D5D">
              <w:rPr>
                <w:szCs w:val="22"/>
              </w:rPr>
              <w:t>value</w:t>
            </w:r>
          </w:p>
        </w:tc>
        <w:tc>
          <w:tcPr>
            <w:tcW w:w="567" w:type="dxa"/>
          </w:tcPr>
          <w:p w14:paraId="70653324" w14:textId="77777777" w:rsidR="00AD1F54" w:rsidRPr="00264D5D" w:rsidRDefault="00941227">
            <w:pPr>
              <w:pStyle w:val="GOSTTablenorm"/>
              <w:jc w:val="center"/>
              <w:rPr>
                <w:szCs w:val="22"/>
              </w:rPr>
            </w:pPr>
            <w:r w:rsidRPr="00264D5D">
              <w:rPr>
                <w:szCs w:val="22"/>
              </w:rPr>
              <w:t>А</w:t>
            </w:r>
          </w:p>
        </w:tc>
        <w:tc>
          <w:tcPr>
            <w:tcW w:w="1134" w:type="dxa"/>
          </w:tcPr>
          <w:p w14:paraId="7567EB3A" w14:textId="77777777" w:rsidR="00AD1F54" w:rsidRPr="00264D5D" w:rsidRDefault="00941227">
            <w:pPr>
              <w:pStyle w:val="GOSTTablenorm"/>
              <w:rPr>
                <w:szCs w:val="22"/>
                <w:lang w:val="en-US"/>
              </w:rPr>
            </w:pPr>
            <w:r w:rsidRPr="00264D5D">
              <w:rPr>
                <w:szCs w:val="22"/>
                <w:lang w:eastAsia="en-US"/>
              </w:rPr>
              <w:t>-</w:t>
            </w:r>
          </w:p>
        </w:tc>
        <w:tc>
          <w:tcPr>
            <w:tcW w:w="567" w:type="dxa"/>
          </w:tcPr>
          <w:p w14:paraId="2EB819B7" w14:textId="77777777" w:rsidR="00AD1F54" w:rsidRPr="00264D5D" w:rsidRDefault="00941227">
            <w:pPr>
              <w:pStyle w:val="GOSTTablenorm"/>
              <w:jc w:val="center"/>
              <w:rPr>
                <w:szCs w:val="22"/>
              </w:rPr>
            </w:pPr>
            <w:r w:rsidRPr="00264D5D">
              <w:rPr>
                <w:szCs w:val="22"/>
                <w:lang w:eastAsia="en-US"/>
              </w:rPr>
              <w:t>Н</w:t>
            </w:r>
          </w:p>
        </w:tc>
        <w:tc>
          <w:tcPr>
            <w:tcW w:w="3963" w:type="dxa"/>
          </w:tcPr>
          <w:p w14:paraId="67BF4EE1" w14:textId="77777777" w:rsidR="00AD1F54" w:rsidRPr="00264D5D" w:rsidRDefault="00941227">
            <w:pPr>
              <w:pStyle w:val="GOSTTablenorm"/>
              <w:rPr>
                <w:szCs w:val="22"/>
              </w:rPr>
            </w:pPr>
            <w:r w:rsidRPr="00264D5D">
              <w:rPr>
                <w:szCs w:val="22"/>
              </w:rPr>
              <w:t>Соответствующие допустимые значения:</w:t>
            </w:r>
          </w:p>
          <w:p w14:paraId="3141FFEE" w14:textId="77777777" w:rsidR="00AD1F54" w:rsidRPr="00264D5D" w:rsidRDefault="00941227" w:rsidP="00E7460C">
            <w:pPr>
              <w:pStyle w:val="ASFKTableListMark"/>
              <w:numPr>
                <w:ilvl w:val="0"/>
                <w:numId w:val="114"/>
              </w:numPr>
              <w:ind w:left="284" w:hanging="227"/>
              <w:contextualSpacing/>
              <w:jc w:val="both"/>
              <w:rPr>
                <w:szCs w:val="22"/>
              </w:rPr>
            </w:pPr>
            <w:r w:rsidRPr="00264D5D">
              <w:rPr>
                <w:szCs w:val="22"/>
              </w:rPr>
              <w:t>бюджет субъекта РФ;</w:t>
            </w:r>
          </w:p>
          <w:p w14:paraId="4C042068" w14:textId="77777777" w:rsidR="00AD1F54" w:rsidRPr="00264D5D" w:rsidRDefault="00941227" w:rsidP="00E7460C">
            <w:pPr>
              <w:pStyle w:val="ASFKTableListMark"/>
              <w:numPr>
                <w:ilvl w:val="0"/>
                <w:numId w:val="114"/>
              </w:numPr>
              <w:ind w:left="284" w:hanging="227"/>
              <w:contextualSpacing/>
              <w:jc w:val="both"/>
              <w:rPr>
                <w:szCs w:val="22"/>
              </w:rPr>
            </w:pPr>
            <w:r w:rsidRPr="00264D5D">
              <w:rPr>
                <w:szCs w:val="22"/>
              </w:rPr>
              <w:t>местный бюджет;</w:t>
            </w:r>
          </w:p>
          <w:p w14:paraId="555C128B" w14:textId="77777777" w:rsidR="00AD1F54" w:rsidRPr="00264D5D" w:rsidRDefault="00941227" w:rsidP="00E7460C">
            <w:pPr>
              <w:pStyle w:val="ASFKTableListMark"/>
              <w:numPr>
                <w:ilvl w:val="0"/>
                <w:numId w:val="114"/>
              </w:numPr>
              <w:ind w:left="284" w:hanging="227"/>
              <w:contextualSpacing/>
              <w:jc w:val="both"/>
              <w:rPr>
                <w:szCs w:val="22"/>
              </w:rPr>
            </w:pPr>
            <w:r w:rsidRPr="00264D5D">
              <w:rPr>
                <w:szCs w:val="22"/>
              </w:rPr>
              <w:t>бюджет ГВФ РФ;</w:t>
            </w:r>
          </w:p>
          <w:p w14:paraId="48403364" w14:textId="77777777" w:rsidR="00AD1F54" w:rsidRPr="00264D5D" w:rsidRDefault="005D5F06" w:rsidP="00E7460C">
            <w:pPr>
              <w:pStyle w:val="ASFKTableListMark"/>
              <w:numPr>
                <w:ilvl w:val="0"/>
                <w:numId w:val="114"/>
              </w:numPr>
              <w:ind w:left="284" w:hanging="227"/>
              <w:contextualSpacing/>
              <w:jc w:val="both"/>
              <w:rPr>
                <w:color w:val="000000"/>
                <w:szCs w:val="22"/>
              </w:rPr>
            </w:pPr>
            <w:r w:rsidRPr="00264D5D">
              <w:rPr>
                <w:szCs w:val="22"/>
              </w:rPr>
              <w:t>средства ЮЛ</w:t>
            </w:r>
          </w:p>
        </w:tc>
      </w:tr>
    </w:tbl>
    <w:p w14:paraId="41DAF99D" w14:textId="77777777" w:rsidR="00AD1F54" w:rsidRPr="00264D5D" w:rsidRDefault="00941227">
      <w:pPr>
        <w:pStyle w:val="31"/>
      </w:pPr>
      <w:bookmarkStart w:id="3241" w:name="_Toc55828773"/>
      <w:bookmarkStart w:id="3242" w:name="_Toc84802450"/>
      <w:bookmarkStart w:id="3243" w:name="_Toc219309792"/>
      <w:r w:rsidRPr="00264D5D">
        <w:t>Описание комплексного типа «tSGN»</w:t>
      </w:r>
      <w:bookmarkEnd w:id="3241"/>
      <w:bookmarkEnd w:id="3242"/>
      <w:bookmarkEnd w:id="3243"/>
    </w:p>
    <w:p w14:paraId="08A6D7E7" w14:textId="77777777" w:rsidR="00AD1F54" w:rsidRPr="00264D5D" w:rsidRDefault="00941227">
      <w:pPr>
        <w:pStyle w:val="GOSTNormal"/>
      </w:pPr>
      <w:r w:rsidRPr="00264D5D">
        <w:t>Описание комплексного типа «tSGN» блока «</w:t>
      </w:r>
      <w:r w:rsidRPr="00264D5D">
        <w:rPr>
          <w:color w:val="000000"/>
        </w:rPr>
        <w:t>Данные о подписях</w:t>
      </w:r>
      <w:r w:rsidRPr="00264D5D">
        <w:t>».</w:t>
      </w:r>
    </w:p>
    <w:p w14:paraId="03B5608F" w14:textId="4DB899B2"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3244" w:name="_Ref18483559"/>
      <w:bookmarkStart w:id="3245" w:name="_Toc18509715"/>
      <w:bookmarkStart w:id="3246" w:name="_Toc23243102"/>
      <w:bookmarkStart w:id="3247" w:name="_Toc27389101"/>
      <w:bookmarkStart w:id="3248" w:name="_Toc219309341"/>
      <w:r w:rsidR="008D797C">
        <w:rPr>
          <w:noProof/>
        </w:rPr>
        <w:t>311</w:t>
      </w:r>
      <w:bookmarkEnd w:id="3244"/>
      <w:r w:rsidRPr="00264D5D">
        <w:fldChar w:fldCharType="end"/>
      </w:r>
      <w:r w:rsidRPr="00264D5D">
        <w:t xml:space="preserve"> – Описание комплексного типа «tSGN»</w:t>
      </w:r>
      <w:bookmarkEnd w:id="3245"/>
      <w:bookmarkEnd w:id="3246"/>
      <w:bookmarkEnd w:id="3247"/>
      <w:bookmarkEnd w:id="3248"/>
    </w:p>
    <w:tbl>
      <w:tblPr>
        <w:tblStyle w:val="GOSTTable"/>
        <w:tblW w:w="5000" w:type="pct"/>
        <w:tblLayout w:type="fixed"/>
        <w:tblLook w:val="01E0" w:firstRow="1" w:lastRow="1" w:firstColumn="1" w:lastColumn="1" w:noHBand="0" w:noVBand="0"/>
      </w:tblPr>
      <w:tblGrid>
        <w:gridCol w:w="1704"/>
        <w:gridCol w:w="1704"/>
        <w:gridCol w:w="568"/>
        <w:gridCol w:w="1136"/>
        <w:gridCol w:w="568"/>
        <w:gridCol w:w="3970"/>
      </w:tblGrid>
      <w:tr w:rsidR="00AD1F54" w:rsidRPr="00264D5D" w14:paraId="36B1233F"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604604CC" w14:textId="77777777" w:rsidR="00AD1F54" w:rsidRPr="00264D5D" w:rsidRDefault="00941227">
            <w:pPr>
              <w:pStyle w:val="ASFKTableHead"/>
            </w:pPr>
            <w:r w:rsidRPr="00264D5D">
              <w:t>Наименование элемента</w:t>
            </w:r>
          </w:p>
        </w:tc>
        <w:tc>
          <w:tcPr>
            <w:tcW w:w="1701" w:type="dxa"/>
          </w:tcPr>
          <w:p w14:paraId="7932DE72" w14:textId="77777777" w:rsidR="00AD1F54" w:rsidRPr="00264D5D" w:rsidRDefault="00941227">
            <w:pPr>
              <w:pStyle w:val="ASFKTableHead"/>
            </w:pPr>
            <w:r w:rsidRPr="00264D5D">
              <w:t>Сокращенное наименование (код) элемента</w:t>
            </w:r>
          </w:p>
        </w:tc>
        <w:tc>
          <w:tcPr>
            <w:tcW w:w="567" w:type="dxa"/>
          </w:tcPr>
          <w:p w14:paraId="2F8CC189" w14:textId="77777777" w:rsidR="00AD1F54" w:rsidRPr="00264D5D" w:rsidRDefault="00941227">
            <w:pPr>
              <w:pStyle w:val="ASFKTableHead"/>
            </w:pPr>
            <w:r w:rsidRPr="00264D5D">
              <w:t>Тип</w:t>
            </w:r>
          </w:p>
        </w:tc>
        <w:tc>
          <w:tcPr>
            <w:tcW w:w="1134" w:type="dxa"/>
          </w:tcPr>
          <w:p w14:paraId="45E98401" w14:textId="77777777" w:rsidR="00AD1F54" w:rsidRPr="00264D5D" w:rsidRDefault="00941227">
            <w:pPr>
              <w:pStyle w:val="ASFKTableHead"/>
            </w:pPr>
            <w:r w:rsidRPr="00264D5D">
              <w:t>Формат элемента</w:t>
            </w:r>
          </w:p>
        </w:tc>
        <w:tc>
          <w:tcPr>
            <w:tcW w:w="567" w:type="dxa"/>
          </w:tcPr>
          <w:p w14:paraId="2A79EF09" w14:textId="77777777" w:rsidR="00AD1F54" w:rsidRPr="00264D5D" w:rsidRDefault="00941227">
            <w:pPr>
              <w:pStyle w:val="ASFKTableHead"/>
            </w:pPr>
            <w:r w:rsidRPr="00264D5D">
              <w:t>Обязательность</w:t>
            </w:r>
          </w:p>
        </w:tc>
        <w:tc>
          <w:tcPr>
            <w:tcW w:w="3963" w:type="dxa"/>
          </w:tcPr>
          <w:p w14:paraId="22D3E97D" w14:textId="77777777" w:rsidR="00AD1F54" w:rsidRPr="00264D5D" w:rsidRDefault="00941227">
            <w:pPr>
              <w:pStyle w:val="ASFKTableHead"/>
            </w:pPr>
            <w:r w:rsidRPr="00264D5D">
              <w:t>Дополнительная информация</w:t>
            </w:r>
          </w:p>
        </w:tc>
      </w:tr>
      <w:tr w:rsidR="00AD1F54" w:rsidRPr="00264D5D" w14:paraId="63A75543"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4A202A0" w14:textId="77777777" w:rsidR="00AD1F54" w:rsidRPr="00264D5D" w:rsidRDefault="00941227">
            <w:pPr>
              <w:pStyle w:val="GOSTTablenorm"/>
              <w:rPr>
                <w:szCs w:val="22"/>
              </w:rPr>
            </w:pPr>
            <w:r w:rsidRPr="00264D5D">
              <w:rPr>
                <w:color w:val="000000"/>
                <w:szCs w:val="22"/>
              </w:rPr>
              <w:t>Должность руководителя</w:t>
            </w:r>
          </w:p>
        </w:tc>
        <w:tc>
          <w:tcPr>
            <w:tcW w:w="1701" w:type="dxa"/>
          </w:tcPr>
          <w:p w14:paraId="164B8CB1" w14:textId="77777777" w:rsidR="00AD1F54" w:rsidRPr="00264D5D" w:rsidRDefault="00941227">
            <w:pPr>
              <w:pStyle w:val="GOSTTablenorm"/>
              <w:rPr>
                <w:szCs w:val="22"/>
                <w:lang w:val="en-US"/>
              </w:rPr>
            </w:pPr>
            <w:r w:rsidRPr="00264D5D">
              <w:rPr>
                <w:color w:val="000000"/>
                <w:szCs w:val="22"/>
              </w:rPr>
              <w:t>Pst_</w:t>
            </w:r>
            <w:r w:rsidRPr="00264D5D">
              <w:rPr>
                <w:color w:val="000000"/>
                <w:szCs w:val="22"/>
                <w:lang w:val="en-US"/>
              </w:rPr>
              <w:t>Hr</w:t>
            </w:r>
          </w:p>
        </w:tc>
        <w:tc>
          <w:tcPr>
            <w:tcW w:w="567" w:type="dxa"/>
          </w:tcPr>
          <w:p w14:paraId="6B613099" w14:textId="77777777" w:rsidR="00AD1F54" w:rsidRPr="00264D5D" w:rsidRDefault="00941227">
            <w:pPr>
              <w:pStyle w:val="GOSTTablenorm"/>
              <w:jc w:val="center"/>
              <w:rPr>
                <w:szCs w:val="22"/>
              </w:rPr>
            </w:pPr>
            <w:r w:rsidRPr="00264D5D">
              <w:rPr>
                <w:szCs w:val="22"/>
              </w:rPr>
              <w:t>П</w:t>
            </w:r>
          </w:p>
        </w:tc>
        <w:tc>
          <w:tcPr>
            <w:tcW w:w="1134" w:type="dxa"/>
          </w:tcPr>
          <w:p w14:paraId="0A9256AB" w14:textId="77777777" w:rsidR="00AD1F54" w:rsidRPr="00264D5D" w:rsidRDefault="00941227">
            <w:pPr>
              <w:pStyle w:val="GOSTTablenorm"/>
              <w:rPr>
                <w:szCs w:val="22"/>
              </w:rPr>
            </w:pPr>
            <w:r w:rsidRPr="00264D5D">
              <w:rPr>
                <w:color w:val="000000"/>
                <w:szCs w:val="22"/>
                <w:lang w:val="en-US"/>
              </w:rPr>
              <w:t>Т(1-</w:t>
            </w:r>
            <w:r w:rsidRPr="00264D5D">
              <w:rPr>
                <w:color w:val="000000"/>
                <w:szCs w:val="22"/>
              </w:rPr>
              <w:t>1</w:t>
            </w:r>
            <w:r w:rsidRPr="00264D5D">
              <w:rPr>
                <w:color w:val="000000"/>
                <w:szCs w:val="22"/>
                <w:lang w:val="en-US"/>
              </w:rPr>
              <w:t>00)</w:t>
            </w:r>
          </w:p>
        </w:tc>
        <w:tc>
          <w:tcPr>
            <w:tcW w:w="567" w:type="dxa"/>
          </w:tcPr>
          <w:p w14:paraId="2B13A5FB" w14:textId="77777777" w:rsidR="00AD1F54" w:rsidRPr="00264D5D" w:rsidRDefault="00941227">
            <w:pPr>
              <w:pStyle w:val="GOSTTablenorm"/>
              <w:jc w:val="center"/>
              <w:rPr>
                <w:szCs w:val="22"/>
              </w:rPr>
            </w:pPr>
            <w:r w:rsidRPr="00264D5D">
              <w:rPr>
                <w:szCs w:val="22"/>
              </w:rPr>
              <w:t>О</w:t>
            </w:r>
          </w:p>
        </w:tc>
        <w:tc>
          <w:tcPr>
            <w:tcW w:w="3963" w:type="dxa"/>
          </w:tcPr>
          <w:p w14:paraId="2BD34914" w14:textId="77777777" w:rsidR="00AD1F54" w:rsidRPr="00264D5D" w:rsidRDefault="00941227">
            <w:pPr>
              <w:pStyle w:val="GOSTTablenorm"/>
              <w:rPr>
                <w:szCs w:val="22"/>
              </w:rPr>
            </w:pPr>
            <w:r w:rsidRPr="00264D5D">
              <w:rPr>
                <w:szCs w:val="22"/>
              </w:rPr>
              <w:t xml:space="preserve">Указывается должность </w:t>
            </w:r>
            <w:r w:rsidRPr="00264D5D">
              <w:rPr>
                <w:color w:val="000000"/>
                <w:szCs w:val="22"/>
              </w:rPr>
              <w:t>руководителя</w:t>
            </w:r>
          </w:p>
        </w:tc>
      </w:tr>
      <w:tr w:rsidR="00AD1F54" w:rsidRPr="00264D5D" w14:paraId="73FB85C4"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257ED2BE" w14:textId="77777777" w:rsidR="00AD1F54" w:rsidRPr="00264D5D" w:rsidRDefault="00941227">
            <w:pPr>
              <w:pStyle w:val="GOSTTablenorm"/>
              <w:rPr>
                <w:color w:val="000000"/>
                <w:szCs w:val="22"/>
              </w:rPr>
            </w:pPr>
            <w:r w:rsidRPr="00264D5D">
              <w:rPr>
                <w:color w:val="000000"/>
                <w:szCs w:val="22"/>
              </w:rPr>
              <w:t>Расшифровка подписи руководителя</w:t>
            </w:r>
          </w:p>
        </w:tc>
        <w:tc>
          <w:tcPr>
            <w:tcW w:w="1701" w:type="dxa"/>
          </w:tcPr>
          <w:p w14:paraId="0D678FFA" w14:textId="77777777" w:rsidR="00AD1F54" w:rsidRPr="00264D5D" w:rsidRDefault="00941227">
            <w:pPr>
              <w:pStyle w:val="GOSTTablenorm"/>
              <w:rPr>
                <w:color w:val="000000"/>
                <w:szCs w:val="22"/>
              </w:rPr>
            </w:pPr>
            <w:r w:rsidRPr="00264D5D">
              <w:rPr>
                <w:color w:val="000000"/>
                <w:szCs w:val="22"/>
              </w:rPr>
              <w:t>FIO</w:t>
            </w:r>
            <w:r w:rsidRPr="00264D5D">
              <w:rPr>
                <w:color w:val="000000"/>
                <w:szCs w:val="22"/>
                <w:lang w:val="en-US"/>
              </w:rPr>
              <w:t>_Hr</w:t>
            </w:r>
          </w:p>
        </w:tc>
        <w:tc>
          <w:tcPr>
            <w:tcW w:w="567" w:type="dxa"/>
          </w:tcPr>
          <w:p w14:paraId="590B3233" w14:textId="77777777" w:rsidR="00AD1F54" w:rsidRPr="00264D5D" w:rsidRDefault="00941227">
            <w:pPr>
              <w:pStyle w:val="GOSTTablenorm"/>
              <w:jc w:val="center"/>
              <w:rPr>
                <w:szCs w:val="22"/>
              </w:rPr>
            </w:pPr>
            <w:r w:rsidRPr="00264D5D">
              <w:rPr>
                <w:szCs w:val="22"/>
              </w:rPr>
              <w:t>П</w:t>
            </w:r>
          </w:p>
        </w:tc>
        <w:tc>
          <w:tcPr>
            <w:tcW w:w="1134" w:type="dxa"/>
          </w:tcPr>
          <w:p w14:paraId="1D91BA34" w14:textId="77777777" w:rsidR="00AD1F54" w:rsidRPr="00264D5D" w:rsidRDefault="00941227">
            <w:pPr>
              <w:pStyle w:val="GOSTTablenorm"/>
              <w:rPr>
                <w:color w:val="000000"/>
                <w:szCs w:val="22"/>
                <w:lang w:val="en-US"/>
              </w:rPr>
            </w:pPr>
            <w:r w:rsidRPr="00264D5D">
              <w:rPr>
                <w:color w:val="000000"/>
                <w:szCs w:val="22"/>
                <w:lang w:val="en-US"/>
              </w:rPr>
              <w:t>Т(1-</w:t>
            </w:r>
            <w:r w:rsidRPr="00264D5D">
              <w:rPr>
                <w:color w:val="000000"/>
                <w:szCs w:val="22"/>
              </w:rPr>
              <w:t>50</w:t>
            </w:r>
            <w:r w:rsidRPr="00264D5D">
              <w:rPr>
                <w:color w:val="000000"/>
                <w:szCs w:val="22"/>
                <w:lang w:val="en-US"/>
              </w:rPr>
              <w:t>)</w:t>
            </w:r>
          </w:p>
        </w:tc>
        <w:tc>
          <w:tcPr>
            <w:tcW w:w="567" w:type="dxa"/>
          </w:tcPr>
          <w:p w14:paraId="7AA1110A" w14:textId="77777777" w:rsidR="00AD1F54" w:rsidRPr="00264D5D" w:rsidRDefault="00941227">
            <w:pPr>
              <w:pStyle w:val="GOSTTablenorm"/>
              <w:jc w:val="center"/>
              <w:rPr>
                <w:szCs w:val="22"/>
              </w:rPr>
            </w:pPr>
            <w:r w:rsidRPr="00264D5D">
              <w:rPr>
                <w:szCs w:val="22"/>
              </w:rPr>
              <w:t>О</w:t>
            </w:r>
          </w:p>
        </w:tc>
        <w:tc>
          <w:tcPr>
            <w:tcW w:w="3963" w:type="dxa"/>
          </w:tcPr>
          <w:p w14:paraId="101796A9" w14:textId="77777777" w:rsidR="00AD1F54" w:rsidRPr="00264D5D" w:rsidRDefault="00941227">
            <w:pPr>
              <w:pStyle w:val="GOSTTablenorm"/>
              <w:rPr>
                <w:szCs w:val="22"/>
              </w:rPr>
            </w:pPr>
            <w:r w:rsidRPr="00264D5D">
              <w:rPr>
                <w:szCs w:val="22"/>
              </w:rPr>
              <w:t xml:space="preserve">Указывается расшифровка подписи с указанием инициалов и фамилии </w:t>
            </w:r>
            <w:r w:rsidRPr="00264D5D">
              <w:rPr>
                <w:color w:val="000000"/>
                <w:szCs w:val="22"/>
              </w:rPr>
              <w:t>руководителя</w:t>
            </w:r>
          </w:p>
        </w:tc>
      </w:tr>
      <w:tr w:rsidR="00AD1F54" w:rsidRPr="00264D5D" w14:paraId="379B8597"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347AF22" w14:textId="77777777" w:rsidR="00AD1F54" w:rsidRPr="00264D5D" w:rsidRDefault="00941227">
            <w:pPr>
              <w:pStyle w:val="GOSTTablenorm"/>
              <w:rPr>
                <w:color w:val="000000"/>
                <w:szCs w:val="22"/>
              </w:rPr>
            </w:pPr>
            <w:r w:rsidRPr="00264D5D">
              <w:rPr>
                <w:color w:val="000000"/>
                <w:szCs w:val="22"/>
              </w:rPr>
              <w:t>Должность</w:t>
            </w:r>
            <w:r w:rsidRPr="00264D5D">
              <w:rPr>
                <w:color w:val="000000"/>
                <w:szCs w:val="22"/>
                <w:lang w:val="en-US"/>
              </w:rPr>
              <w:t xml:space="preserve"> </w:t>
            </w:r>
            <w:r w:rsidRPr="00264D5D">
              <w:rPr>
                <w:color w:val="000000"/>
                <w:szCs w:val="22"/>
              </w:rPr>
              <w:t>главного бухгалтера</w:t>
            </w:r>
          </w:p>
        </w:tc>
        <w:tc>
          <w:tcPr>
            <w:tcW w:w="1701" w:type="dxa"/>
          </w:tcPr>
          <w:p w14:paraId="401679CD" w14:textId="77777777" w:rsidR="00AD1F54" w:rsidRPr="00264D5D" w:rsidRDefault="00941227">
            <w:pPr>
              <w:pStyle w:val="GOSTTablenorm"/>
              <w:rPr>
                <w:color w:val="000000"/>
                <w:szCs w:val="22"/>
              </w:rPr>
            </w:pPr>
            <w:r w:rsidRPr="00264D5D">
              <w:rPr>
                <w:color w:val="000000"/>
                <w:szCs w:val="22"/>
              </w:rPr>
              <w:t>Pst</w:t>
            </w:r>
            <w:r w:rsidRPr="00264D5D">
              <w:rPr>
                <w:color w:val="000000"/>
                <w:szCs w:val="22"/>
                <w:lang w:val="en-US"/>
              </w:rPr>
              <w:t>_Acc</w:t>
            </w:r>
          </w:p>
        </w:tc>
        <w:tc>
          <w:tcPr>
            <w:tcW w:w="567" w:type="dxa"/>
          </w:tcPr>
          <w:p w14:paraId="394B8E22" w14:textId="77777777" w:rsidR="00AD1F54" w:rsidRPr="00264D5D" w:rsidRDefault="00941227">
            <w:pPr>
              <w:pStyle w:val="GOSTTablenorm"/>
              <w:jc w:val="center"/>
              <w:rPr>
                <w:szCs w:val="22"/>
              </w:rPr>
            </w:pPr>
            <w:r w:rsidRPr="00264D5D">
              <w:rPr>
                <w:szCs w:val="22"/>
              </w:rPr>
              <w:t>П</w:t>
            </w:r>
          </w:p>
        </w:tc>
        <w:tc>
          <w:tcPr>
            <w:tcW w:w="1134" w:type="dxa"/>
          </w:tcPr>
          <w:p w14:paraId="22986DF8" w14:textId="77777777" w:rsidR="00AD1F54" w:rsidRPr="00264D5D" w:rsidRDefault="00941227">
            <w:pPr>
              <w:pStyle w:val="GOSTTablenorm"/>
              <w:rPr>
                <w:color w:val="000000"/>
                <w:szCs w:val="22"/>
                <w:lang w:val="en-US"/>
              </w:rPr>
            </w:pPr>
            <w:r w:rsidRPr="00264D5D">
              <w:rPr>
                <w:color w:val="000000"/>
                <w:szCs w:val="22"/>
                <w:lang w:val="en-US"/>
              </w:rPr>
              <w:t>Т(1-</w:t>
            </w:r>
            <w:r w:rsidRPr="00264D5D">
              <w:rPr>
                <w:color w:val="000000"/>
                <w:szCs w:val="22"/>
              </w:rPr>
              <w:t>1</w:t>
            </w:r>
            <w:r w:rsidRPr="00264D5D">
              <w:rPr>
                <w:color w:val="000000"/>
                <w:szCs w:val="22"/>
                <w:lang w:val="en-US"/>
              </w:rPr>
              <w:t>00)</w:t>
            </w:r>
          </w:p>
        </w:tc>
        <w:tc>
          <w:tcPr>
            <w:tcW w:w="567" w:type="dxa"/>
          </w:tcPr>
          <w:p w14:paraId="4CBF7EBC" w14:textId="77777777" w:rsidR="00AD1F54" w:rsidRPr="00264D5D" w:rsidRDefault="00941227">
            <w:pPr>
              <w:pStyle w:val="GOSTTablenorm"/>
              <w:jc w:val="center"/>
              <w:rPr>
                <w:szCs w:val="22"/>
              </w:rPr>
            </w:pPr>
            <w:r w:rsidRPr="00264D5D">
              <w:rPr>
                <w:szCs w:val="22"/>
              </w:rPr>
              <w:t>Н</w:t>
            </w:r>
          </w:p>
        </w:tc>
        <w:tc>
          <w:tcPr>
            <w:tcW w:w="3963" w:type="dxa"/>
          </w:tcPr>
          <w:p w14:paraId="696DE29D" w14:textId="77777777" w:rsidR="00AD1F54" w:rsidRPr="00264D5D" w:rsidRDefault="00941227">
            <w:pPr>
              <w:pStyle w:val="GOSTTablenorm"/>
            </w:pPr>
            <w:r w:rsidRPr="00264D5D">
              <w:rPr>
                <w:szCs w:val="22"/>
              </w:rPr>
              <w:t xml:space="preserve">Указывается должность </w:t>
            </w:r>
            <w:r w:rsidRPr="00264D5D">
              <w:rPr>
                <w:color w:val="000000"/>
                <w:szCs w:val="22"/>
              </w:rPr>
              <w:t>главного бухгалтера</w:t>
            </w:r>
          </w:p>
        </w:tc>
      </w:tr>
      <w:tr w:rsidR="00AD1F54" w:rsidRPr="00264D5D" w14:paraId="291CC249" w14:textId="77777777" w:rsidTr="00AD1F54">
        <w:trPr>
          <w:cnfStyle w:val="000000010000" w:firstRow="0" w:lastRow="0" w:firstColumn="0" w:lastColumn="0" w:oddVBand="0" w:evenVBand="0" w:oddHBand="0" w:evenHBand="1" w:firstRowFirstColumn="0" w:firstRowLastColumn="0" w:lastRowFirstColumn="0" w:lastRowLastColumn="0"/>
          <w:trHeight w:val="63"/>
        </w:trPr>
        <w:tc>
          <w:tcPr>
            <w:tcW w:w="1701" w:type="dxa"/>
          </w:tcPr>
          <w:p w14:paraId="6460C28D" w14:textId="77777777" w:rsidR="00AD1F54" w:rsidRPr="00264D5D" w:rsidRDefault="00941227">
            <w:pPr>
              <w:pStyle w:val="GOSTTablenorm"/>
              <w:rPr>
                <w:color w:val="000000"/>
                <w:szCs w:val="22"/>
              </w:rPr>
            </w:pPr>
            <w:r w:rsidRPr="00264D5D">
              <w:rPr>
                <w:color w:val="000000"/>
                <w:szCs w:val="22"/>
              </w:rPr>
              <w:t xml:space="preserve">Расшифровка подписи </w:t>
            </w:r>
            <w:r w:rsidRPr="00264D5D">
              <w:rPr>
                <w:color w:val="000000"/>
                <w:szCs w:val="22"/>
              </w:rPr>
              <w:lastRenderedPageBreak/>
              <w:t>главного бухгалтера</w:t>
            </w:r>
          </w:p>
        </w:tc>
        <w:tc>
          <w:tcPr>
            <w:tcW w:w="1701" w:type="dxa"/>
          </w:tcPr>
          <w:p w14:paraId="6F148D1C" w14:textId="77777777" w:rsidR="00AD1F54" w:rsidRPr="00264D5D" w:rsidRDefault="00941227">
            <w:pPr>
              <w:pStyle w:val="GOSTTablenorm"/>
              <w:rPr>
                <w:color w:val="000000"/>
                <w:szCs w:val="22"/>
              </w:rPr>
            </w:pPr>
            <w:r w:rsidRPr="00264D5D">
              <w:rPr>
                <w:color w:val="000000"/>
                <w:szCs w:val="22"/>
              </w:rPr>
              <w:lastRenderedPageBreak/>
              <w:t>FIO</w:t>
            </w:r>
            <w:r w:rsidRPr="00264D5D">
              <w:rPr>
                <w:color w:val="000000"/>
                <w:szCs w:val="22"/>
                <w:lang w:val="en-US"/>
              </w:rPr>
              <w:t>_Acc</w:t>
            </w:r>
          </w:p>
        </w:tc>
        <w:tc>
          <w:tcPr>
            <w:tcW w:w="567" w:type="dxa"/>
          </w:tcPr>
          <w:p w14:paraId="02766EFA" w14:textId="77777777" w:rsidR="00AD1F54" w:rsidRPr="00264D5D" w:rsidRDefault="00941227">
            <w:pPr>
              <w:pStyle w:val="GOSTTablenorm"/>
              <w:jc w:val="center"/>
              <w:rPr>
                <w:szCs w:val="22"/>
              </w:rPr>
            </w:pPr>
            <w:r w:rsidRPr="00264D5D">
              <w:rPr>
                <w:szCs w:val="22"/>
              </w:rPr>
              <w:t>П</w:t>
            </w:r>
          </w:p>
        </w:tc>
        <w:tc>
          <w:tcPr>
            <w:tcW w:w="1134" w:type="dxa"/>
          </w:tcPr>
          <w:p w14:paraId="148C0D6B" w14:textId="77777777" w:rsidR="00AD1F54" w:rsidRPr="00264D5D" w:rsidRDefault="00941227">
            <w:pPr>
              <w:pStyle w:val="GOSTTablenorm"/>
              <w:rPr>
                <w:color w:val="000000"/>
                <w:szCs w:val="22"/>
                <w:lang w:val="en-US"/>
              </w:rPr>
            </w:pPr>
            <w:r w:rsidRPr="00264D5D">
              <w:rPr>
                <w:color w:val="000000"/>
                <w:szCs w:val="22"/>
                <w:lang w:val="en-US"/>
              </w:rPr>
              <w:t>Т(1-</w:t>
            </w:r>
            <w:r w:rsidRPr="00264D5D">
              <w:rPr>
                <w:color w:val="000000"/>
                <w:szCs w:val="22"/>
              </w:rPr>
              <w:t>50</w:t>
            </w:r>
            <w:r w:rsidRPr="00264D5D">
              <w:rPr>
                <w:color w:val="000000"/>
                <w:szCs w:val="22"/>
                <w:lang w:val="en-US"/>
              </w:rPr>
              <w:t>)</w:t>
            </w:r>
          </w:p>
        </w:tc>
        <w:tc>
          <w:tcPr>
            <w:tcW w:w="567" w:type="dxa"/>
          </w:tcPr>
          <w:p w14:paraId="5BEB75DF" w14:textId="77777777" w:rsidR="00AD1F54" w:rsidRPr="00264D5D" w:rsidRDefault="00941227">
            <w:pPr>
              <w:pStyle w:val="GOSTTablenorm"/>
              <w:jc w:val="center"/>
              <w:rPr>
                <w:szCs w:val="22"/>
              </w:rPr>
            </w:pPr>
            <w:r w:rsidRPr="00264D5D">
              <w:rPr>
                <w:szCs w:val="22"/>
              </w:rPr>
              <w:t>Н</w:t>
            </w:r>
          </w:p>
        </w:tc>
        <w:tc>
          <w:tcPr>
            <w:tcW w:w="3963" w:type="dxa"/>
          </w:tcPr>
          <w:p w14:paraId="7315DF19" w14:textId="77777777" w:rsidR="00AD1F54" w:rsidRPr="00264D5D" w:rsidRDefault="00941227">
            <w:pPr>
              <w:pStyle w:val="GOSTTablenorm"/>
            </w:pPr>
            <w:r w:rsidRPr="00264D5D">
              <w:rPr>
                <w:szCs w:val="22"/>
              </w:rPr>
              <w:t xml:space="preserve">Указывается расшифровка подписи с указанием инициалов и фамилии </w:t>
            </w:r>
            <w:r w:rsidRPr="00264D5D">
              <w:rPr>
                <w:color w:val="000000"/>
                <w:szCs w:val="22"/>
              </w:rPr>
              <w:lastRenderedPageBreak/>
              <w:t>главного бухгалтера</w:t>
            </w:r>
          </w:p>
        </w:tc>
      </w:tr>
      <w:tr w:rsidR="00AD1F54" w:rsidRPr="00264D5D" w14:paraId="69D5648C"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F563C44" w14:textId="77777777" w:rsidR="00AD1F54" w:rsidRPr="00264D5D" w:rsidRDefault="00941227">
            <w:pPr>
              <w:pStyle w:val="GOSTTablenorm"/>
              <w:rPr>
                <w:color w:val="000000"/>
                <w:szCs w:val="22"/>
              </w:rPr>
            </w:pPr>
            <w:r w:rsidRPr="00264D5D">
              <w:rPr>
                <w:color w:val="000000"/>
                <w:szCs w:val="22"/>
              </w:rPr>
              <w:lastRenderedPageBreak/>
              <w:t>Дата подписания</w:t>
            </w:r>
          </w:p>
        </w:tc>
        <w:tc>
          <w:tcPr>
            <w:tcW w:w="1701" w:type="dxa"/>
          </w:tcPr>
          <w:p w14:paraId="3A52DD10" w14:textId="77777777" w:rsidR="00AD1F54" w:rsidRPr="00264D5D" w:rsidRDefault="00941227">
            <w:pPr>
              <w:pStyle w:val="GOSTTablenorm"/>
              <w:rPr>
                <w:color w:val="000000"/>
                <w:szCs w:val="22"/>
              </w:rPr>
            </w:pPr>
            <w:r w:rsidRPr="00264D5D">
              <w:rPr>
                <w:color w:val="000000"/>
                <w:szCs w:val="22"/>
              </w:rPr>
              <w:t>SGN_Dt</w:t>
            </w:r>
          </w:p>
        </w:tc>
        <w:tc>
          <w:tcPr>
            <w:tcW w:w="567" w:type="dxa"/>
          </w:tcPr>
          <w:p w14:paraId="17F778EB" w14:textId="77777777" w:rsidR="00AD1F54" w:rsidRPr="00264D5D" w:rsidRDefault="00941227">
            <w:pPr>
              <w:pStyle w:val="GOSTTablenorm"/>
              <w:jc w:val="center"/>
              <w:rPr>
                <w:szCs w:val="22"/>
              </w:rPr>
            </w:pPr>
            <w:r w:rsidRPr="00264D5D">
              <w:rPr>
                <w:szCs w:val="22"/>
              </w:rPr>
              <w:t>П</w:t>
            </w:r>
          </w:p>
        </w:tc>
        <w:tc>
          <w:tcPr>
            <w:tcW w:w="1134" w:type="dxa"/>
          </w:tcPr>
          <w:p w14:paraId="0BE69B80" w14:textId="77777777" w:rsidR="00AD1F54" w:rsidRPr="00264D5D" w:rsidRDefault="00941227">
            <w:pPr>
              <w:pStyle w:val="GOSTTablenorm"/>
              <w:rPr>
                <w:color w:val="000000"/>
                <w:szCs w:val="22"/>
                <w:lang w:val="en-US"/>
              </w:rPr>
            </w:pPr>
            <w:r w:rsidRPr="00264D5D">
              <w:rPr>
                <w:szCs w:val="22"/>
                <w:lang w:val="en-US"/>
              </w:rPr>
              <w:t>Date</w:t>
            </w:r>
          </w:p>
        </w:tc>
        <w:tc>
          <w:tcPr>
            <w:tcW w:w="567" w:type="dxa"/>
          </w:tcPr>
          <w:p w14:paraId="28E845F5" w14:textId="77777777" w:rsidR="00AD1F54" w:rsidRPr="00264D5D" w:rsidRDefault="00941227">
            <w:pPr>
              <w:pStyle w:val="GOSTTablenorm"/>
              <w:jc w:val="center"/>
              <w:rPr>
                <w:szCs w:val="22"/>
              </w:rPr>
            </w:pPr>
            <w:r w:rsidRPr="00264D5D">
              <w:rPr>
                <w:szCs w:val="22"/>
              </w:rPr>
              <w:t>О</w:t>
            </w:r>
          </w:p>
        </w:tc>
        <w:tc>
          <w:tcPr>
            <w:tcW w:w="3963" w:type="dxa"/>
          </w:tcPr>
          <w:p w14:paraId="71D09447" w14:textId="77777777" w:rsidR="00AD1F54" w:rsidRPr="00264D5D" w:rsidRDefault="00941227">
            <w:pPr>
              <w:pStyle w:val="GOSTTablenorm"/>
              <w:rPr>
                <w:szCs w:val="22"/>
              </w:rPr>
            </w:pPr>
            <w:r w:rsidRPr="00264D5D">
              <w:rPr>
                <w:color w:val="000000"/>
                <w:szCs w:val="22"/>
              </w:rPr>
              <w:t>Указывается дата подпи</w:t>
            </w:r>
            <w:r w:rsidR="003E1F19" w:rsidRPr="00264D5D">
              <w:rPr>
                <w:color w:val="000000"/>
                <w:szCs w:val="22"/>
              </w:rPr>
              <w:t>сания</w:t>
            </w:r>
          </w:p>
        </w:tc>
      </w:tr>
    </w:tbl>
    <w:p w14:paraId="3A7F3955" w14:textId="77777777" w:rsidR="00AD1F54" w:rsidRPr="00264D5D" w:rsidRDefault="00941227">
      <w:pPr>
        <w:pStyle w:val="31"/>
      </w:pPr>
      <w:bookmarkStart w:id="3249" w:name="_Toc84802451"/>
      <w:bookmarkStart w:id="3250" w:name="_Toc219309793"/>
      <w:r w:rsidRPr="00264D5D">
        <w:t>Описание комплексного типа «tData_PPP»</w:t>
      </w:r>
      <w:bookmarkEnd w:id="3249"/>
      <w:bookmarkEnd w:id="3250"/>
    </w:p>
    <w:p w14:paraId="3DC74FFD" w14:textId="77777777" w:rsidR="00AD1F54" w:rsidRPr="00264D5D" w:rsidRDefault="00941227">
      <w:pPr>
        <w:pStyle w:val="ASFKNormal"/>
        <w:spacing w:before="60" w:after="120"/>
        <w:contextualSpacing w:val="0"/>
        <w:jc w:val="both"/>
        <w:rPr>
          <w:sz w:val="24"/>
          <w:szCs w:val="24"/>
        </w:rPr>
      </w:pPr>
      <w:r w:rsidRPr="00264D5D">
        <w:rPr>
          <w:sz w:val="24"/>
          <w:szCs w:val="24"/>
        </w:rPr>
        <w:t>Описание комплексного типа «tData_PPP» блока «Данные пакета платежных поручений».</w:t>
      </w:r>
    </w:p>
    <w:p w14:paraId="22547C25" w14:textId="5CF752CC" w:rsidR="00AD1F54" w:rsidRPr="00264D5D" w:rsidRDefault="00941227">
      <w:pPr>
        <w:pStyle w:val="GOSTNameTable"/>
        <w:numPr>
          <w:ilvl w:val="0"/>
          <w:numId w:val="2"/>
        </w:numPr>
        <w:ind w:left="425" w:hanging="357"/>
        <w:rPr>
          <w:rFonts w:eastAsia="Calibri"/>
        </w:rPr>
      </w:pPr>
      <w:r w:rsidRPr="00264D5D">
        <w:rPr>
          <w:rFonts w:eastAsia="Calibri"/>
        </w:rPr>
        <w:fldChar w:fldCharType="begin"/>
      </w:r>
      <w:r w:rsidRPr="00264D5D">
        <w:rPr>
          <w:rFonts w:eastAsia="Calibri"/>
        </w:rPr>
        <w:instrText xml:space="preserve"> </w:instrText>
      </w:r>
      <w:r w:rsidRPr="00264D5D">
        <w:rPr>
          <w:rFonts w:eastAsia="Calibri"/>
          <w:lang w:val="en-US"/>
        </w:rPr>
        <w:instrText>SEQ</w:instrText>
      </w:r>
      <w:r w:rsidRPr="00264D5D">
        <w:rPr>
          <w:rFonts w:eastAsia="Calibri"/>
        </w:rPr>
        <w:instrText xml:space="preserve"> Таблица \* </w:instrText>
      </w:r>
      <w:r w:rsidRPr="00264D5D">
        <w:rPr>
          <w:rFonts w:eastAsia="Calibri"/>
          <w:lang w:val="en-US"/>
        </w:rPr>
        <w:instrText>ARABIC</w:instrText>
      </w:r>
      <w:r w:rsidRPr="00264D5D">
        <w:rPr>
          <w:rFonts w:eastAsia="Calibri"/>
        </w:rPr>
        <w:instrText xml:space="preserve"> </w:instrText>
      </w:r>
      <w:r w:rsidRPr="00264D5D">
        <w:rPr>
          <w:rFonts w:eastAsia="Calibri"/>
        </w:rPr>
        <w:fldChar w:fldCharType="separate"/>
      </w:r>
      <w:bookmarkStart w:id="3251" w:name="_Ref72421399"/>
      <w:bookmarkStart w:id="3252" w:name="_Toc219309342"/>
      <w:r w:rsidR="008D797C">
        <w:rPr>
          <w:rFonts w:eastAsia="Calibri"/>
          <w:noProof/>
          <w:lang w:val="en-US"/>
        </w:rPr>
        <w:t>312</w:t>
      </w:r>
      <w:bookmarkEnd w:id="3251"/>
      <w:r w:rsidRPr="00264D5D">
        <w:rPr>
          <w:rFonts w:eastAsia="Calibri"/>
        </w:rPr>
        <w:fldChar w:fldCharType="end"/>
      </w:r>
      <w:r w:rsidRPr="00264D5D">
        <w:rPr>
          <w:rFonts w:eastAsia="Calibri"/>
        </w:rPr>
        <w:t xml:space="preserve"> – Описание комплексного типа «</w:t>
      </w:r>
      <w:r w:rsidRPr="00264D5D">
        <w:t>tData_PPP</w:t>
      </w:r>
      <w:r w:rsidRPr="00264D5D">
        <w:rPr>
          <w:rFonts w:eastAsia="Calibri"/>
        </w:rPr>
        <w:t>»</w:t>
      </w:r>
      <w:bookmarkEnd w:id="3252"/>
    </w:p>
    <w:tbl>
      <w:tblPr>
        <w:tblStyle w:val="GOSTTable"/>
        <w:tblW w:w="5000" w:type="pct"/>
        <w:tblLayout w:type="fixed"/>
        <w:tblLook w:val="04A0" w:firstRow="1" w:lastRow="0" w:firstColumn="1" w:lastColumn="0" w:noHBand="0" w:noVBand="1"/>
      </w:tblPr>
      <w:tblGrid>
        <w:gridCol w:w="1705"/>
        <w:gridCol w:w="1705"/>
        <w:gridCol w:w="568"/>
        <w:gridCol w:w="1137"/>
        <w:gridCol w:w="567"/>
        <w:gridCol w:w="3968"/>
      </w:tblGrid>
      <w:tr w:rsidR="00AD1F54" w:rsidRPr="00264D5D" w14:paraId="365CCA0E" w14:textId="77777777" w:rsidTr="00AD1F54">
        <w:trPr>
          <w:cnfStyle w:val="100000000000" w:firstRow="1" w:lastRow="0" w:firstColumn="0" w:lastColumn="0" w:oddVBand="0" w:evenVBand="0" w:oddHBand="0" w:evenHBand="0" w:firstRowFirstColumn="0" w:firstRowLastColumn="0" w:lastRowFirstColumn="0" w:lastRowLastColumn="0"/>
          <w:trHeight w:val="282"/>
          <w:tblHeader/>
        </w:trPr>
        <w:tc>
          <w:tcPr>
            <w:tcW w:w="883" w:type="pct"/>
          </w:tcPr>
          <w:p w14:paraId="1E2B6C1D" w14:textId="77777777" w:rsidR="00AD1F54" w:rsidRPr="00264D5D" w:rsidRDefault="00941227">
            <w:pPr>
              <w:spacing w:before="60" w:after="60"/>
              <w:jc w:val="center"/>
              <w:rPr>
                <w:b/>
                <w:bCs/>
                <w:sz w:val="22"/>
                <w:szCs w:val="22"/>
                <w:lang w:val="en-US"/>
              </w:rPr>
            </w:pPr>
            <w:r w:rsidRPr="00264D5D">
              <w:rPr>
                <w:b/>
                <w:bCs/>
                <w:sz w:val="22"/>
                <w:szCs w:val="22"/>
              </w:rPr>
              <w:t>Наименование комплексного типа</w:t>
            </w:r>
          </w:p>
        </w:tc>
        <w:tc>
          <w:tcPr>
            <w:tcW w:w="883" w:type="pct"/>
          </w:tcPr>
          <w:p w14:paraId="02DF51C1" w14:textId="77777777" w:rsidR="00AD1F54" w:rsidRPr="00264D5D" w:rsidRDefault="00941227">
            <w:pPr>
              <w:spacing w:before="60" w:after="60"/>
              <w:jc w:val="center"/>
              <w:rPr>
                <w:b/>
                <w:bCs/>
                <w:sz w:val="22"/>
                <w:szCs w:val="22"/>
              </w:rPr>
            </w:pPr>
            <w:r w:rsidRPr="00264D5D">
              <w:rPr>
                <w:b/>
                <w:bCs/>
                <w:sz w:val="22"/>
                <w:szCs w:val="22"/>
              </w:rPr>
              <w:t>Текущий элемент/</w:t>
            </w:r>
            <w:r w:rsidRPr="00264D5D">
              <w:rPr>
                <w:b/>
                <w:bCs/>
                <w:sz w:val="22"/>
                <w:szCs w:val="22"/>
                <w:lang w:val="en-US"/>
              </w:rPr>
              <w:t xml:space="preserve"> </w:t>
            </w:r>
            <w:r w:rsidRPr="00264D5D">
              <w:rPr>
                <w:b/>
                <w:bCs/>
                <w:sz w:val="22"/>
                <w:szCs w:val="22"/>
              </w:rPr>
              <w:t>атрибут</w:t>
            </w:r>
          </w:p>
        </w:tc>
        <w:tc>
          <w:tcPr>
            <w:tcW w:w="294" w:type="pct"/>
          </w:tcPr>
          <w:p w14:paraId="4C501BF3" w14:textId="77777777" w:rsidR="00AD1F54" w:rsidRPr="00264D5D" w:rsidRDefault="00941227">
            <w:pPr>
              <w:spacing w:before="60" w:after="60"/>
              <w:jc w:val="center"/>
              <w:rPr>
                <w:b/>
                <w:sz w:val="22"/>
                <w:szCs w:val="22"/>
              </w:rPr>
            </w:pPr>
            <w:r w:rsidRPr="00264D5D">
              <w:rPr>
                <w:b/>
                <w:bCs/>
                <w:sz w:val="22"/>
                <w:szCs w:val="22"/>
              </w:rPr>
              <w:t>Тип</w:t>
            </w:r>
          </w:p>
        </w:tc>
        <w:tc>
          <w:tcPr>
            <w:tcW w:w="589" w:type="pct"/>
          </w:tcPr>
          <w:p w14:paraId="384D1405" w14:textId="77777777" w:rsidR="00AD1F54" w:rsidRPr="00264D5D" w:rsidRDefault="00941227">
            <w:pPr>
              <w:spacing w:before="60" w:after="60"/>
              <w:jc w:val="center"/>
              <w:rPr>
                <w:b/>
                <w:sz w:val="22"/>
                <w:szCs w:val="22"/>
              </w:rPr>
            </w:pPr>
            <w:r w:rsidRPr="00264D5D">
              <w:rPr>
                <w:b/>
                <w:bCs/>
                <w:sz w:val="22"/>
                <w:szCs w:val="22"/>
              </w:rPr>
              <w:t>Формат элемента</w:t>
            </w:r>
          </w:p>
        </w:tc>
        <w:tc>
          <w:tcPr>
            <w:tcW w:w="294" w:type="pct"/>
          </w:tcPr>
          <w:p w14:paraId="0005CD07" w14:textId="77777777" w:rsidR="00AD1F54" w:rsidRPr="00264D5D" w:rsidRDefault="00941227">
            <w:pPr>
              <w:spacing w:before="60" w:after="60"/>
              <w:jc w:val="center"/>
              <w:rPr>
                <w:b/>
                <w:bCs/>
                <w:sz w:val="22"/>
                <w:szCs w:val="22"/>
              </w:rPr>
            </w:pPr>
            <w:r w:rsidRPr="00264D5D">
              <w:rPr>
                <w:b/>
                <w:bCs/>
                <w:sz w:val="22"/>
                <w:szCs w:val="22"/>
              </w:rPr>
              <w:t>Обязательность</w:t>
            </w:r>
          </w:p>
        </w:tc>
        <w:tc>
          <w:tcPr>
            <w:tcW w:w="2056" w:type="pct"/>
          </w:tcPr>
          <w:p w14:paraId="79972469" w14:textId="77777777" w:rsidR="00AD1F54" w:rsidRPr="00264D5D" w:rsidRDefault="00941227">
            <w:pPr>
              <w:spacing w:before="60" w:after="60"/>
              <w:jc w:val="center"/>
              <w:rPr>
                <w:b/>
                <w:bCs/>
                <w:sz w:val="22"/>
                <w:szCs w:val="22"/>
              </w:rPr>
            </w:pPr>
            <w:r w:rsidRPr="00264D5D">
              <w:rPr>
                <w:b/>
                <w:bCs/>
                <w:sz w:val="22"/>
                <w:szCs w:val="22"/>
              </w:rPr>
              <w:t>Дополнительная информация</w:t>
            </w:r>
          </w:p>
        </w:tc>
      </w:tr>
      <w:tr w:rsidR="00AD1F54" w:rsidRPr="00264D5D" w14:paraId="3232DABE" w14:textId="77777777" w:rsidTr="00AD1F54">
        <w:trPr>
          <w:cnfStyle w:val="000000100000" w:firstRow="0" w:lastRow="0" w:firstColumn="0" w:lastColumn="0" w:oddVBand="0" w:evenVBand="0" w:oddHBand="1" w:evenHBand="0" w:firstRowFirstColumn="0" w:firstRowLastColumn="0" w:lastRowFirstColumn="0" w:lastRowLastColumn="0"/>
          <w:trHeight w:val="282"/>
        </w:trPr>
        <w:tc>
          <w:tcPr>
            <w:tcW w:w="883" w:type="pct"/>
          </w:tcPr>
          <w:p w14:paraId="20C050BB" w14:textId="77777777" w:rsidR="00AD1F54" w:rsidRPr="00264D5D" w:rsidRDefault="00941227">
            <w:pPr>
              <w:spacing w:before="60" w:after="60"/>
              <w:rPr>
                <w:sz w:val="22"/>
                <w:szCs w:val="22"/>
              </w:rPr>
            </w:pPr>
            <w:r w:rsidRPr="00264D5D">
              <w:rPr>
                <w:sz w:val="22"/>
                <w:szCs w:val="22"/>
                <w:lang w:val="en-US"/>
              </w:rPr>
              <w:t>t</w:t>
            </w:r>
            <w:r w:rsidRPr="00264D5D">
              <w:rPr>
                <w:color w:val="000000"/>
                <w:sz w:val="22"/>
                <w:szCs w:val="22"/>
                <w:lang w:val="en-US"/>
              </w:rPr>
              <w:t>Data</w:t>
            </w:r>
            <w:r w:rsidRPr="00264D5D">
              <w:rPr>
                <w:color w:val="000000"/>
                <w:sz w:val="22"/>
                <w:szCs w:val="22"/>
              </w:rPr>
              <w:t>_</w:t>
            </w:r>
            <w:r w:rsidRPr="00264D5D">
              <w:rPr>
                <w:color w:val="000000"/>
                <w:sz w:val="22"/>
                <w:szCs w:val="22"/>
                <w:lang w:val="en-US"/>
              </w:rPr>
              <w:t>PPP</w:t>
            </w:r>
          </w:p>
        </w:tc>
        <w:tc>
          <w:tcPr>
            <w:tcW w:w="883" w:type="pct"/>
          </w:tcPr>
          <w:p w14:paraId="0CE5E104" w14:textId="77777777" w:rsidR="00AD1F54" w:rsidRPr="00264D5D" w:rsidRDefault="00941227">
            <w:pPr>
              <w:tabs>
                <w:tab w:val="left" w:pos="1122"/>
              </w:tabs>
              <w:spacing w:before="60" w:after="60"/>
              <w:rPr>
                <w:sz w:val="22"/>
                <w:szCs w:val="22"/>
                <w:lang w:val="en-US"/>
              </w:rPr>
            </w:pPr>
            <w:r w:rsidRPr="00264D5D">
              <w:rPr>
                <w:color w:val="000000"/>
                <w:sz w:val="22"/>
                <w:szCs w:val="22"/>
              </w:rPr>
              <w:t>Data_PPP_ITEM</w:t>
            </w:r>
          </w:p>
        </w:tc>
        <w:tc>
          <w:tcPr>
            <w:tcW w:w="294" w:type="pct"/>
          </w:tcPr>
          <w:p w14:paraId="69F60A14" w14:textId="77777777" w:rsidR="00AD1F54" w:rsidRPr="00264D5D" w:rsidRDefault="00941227">
            <w:pPr>
              <w:spacing w:before="60" w:after="60"/>
              <w:jc w:val="center"/>
              <w:rPr>
                <w:sz w:val="22"/>
                <w:szCs w:val="22"/>
              </w:rPr>
            </w:pPr>
            <w:r w:rsidRPr="00264D5D">
              <w:rPr>
                <w:sz w:val="22"/>
                <w:szCs w:val="22"/>
              </w:rPr>
              <w:t>С</w:t>
            </w:r>
          </w:p>
        </w:tc>
        <w:tc>
          <w:tcPr>
            <w:tcW w:w="589" w:type="pct"/>
          </w:tcPr>
          <w:p w14:paraId="1EED80E0" w14:textId="77777777" w:rsidR="00AD1F54" w:rsidRPr="00264D5D" w:rsidRDefault="00941227">
            <w:pPr>
              <w:spacing w:before="60" w:after="60"/>
              <w:jc w:val="left"/>
              <w:rPr>
                <w:sz w:val="22"/>
                <w:szCs w:val="22"/>
                <w:lang w:val="en-US"/>
              </w:rPr>
            </w:pPr>
            <w:r w:rsidRPr="00264D5D">
              <w:rPr>
                <w:sz w:val="22"/>
                <w:szCs w:val="22"/>
                <w:lang w:val="en-US"/>
              </w:rPr>
              <w:t>t</w:t>
            </w:r>
            <w:r w:rsidRPr="00264D5D">
              <w:rPr>
                <w:color w:val="000000"/>
                <w:sz w:val="22"/>
                <w:szCs w:val="22"/>
              </w:rPr>
              <w:t>Data_PPP_ITEM</w:t>
            </w:r>
          </w:p>
        </w:tc>
        <w:tc>
          <w:tcPr>
            <w:tcW w:w="294" w:type="pct"/>
          </w:tcPr>
          <w:p w14:paraId="1875E286" w14:textId="77777777" w:rsidR="00AD1F54" w:rsidRPr="00264D5D" w:rsidRDefault="00941227">
            <w:pPr>
              <w:spacing w:before="60" w:after="60"/>
              <w:jc w:val="center"/>
              <w:rPr>
                <w:sz w:val="22"/>
                <w:szCs w:val="22"/>
              </w:rPr>
            </w:pPr>
            <w:r w:rsidRPr="00264D5D">
              <w:rPr>
                <w:sz w:val="22"/>
                <w:szCs w:val="22"/>
              </w:rPr>
              <w:t>ОМ</w:t>
            </w:r>
          </w:p>
        </w:tc>
        <w:tc>
          <w:tcPr>
            <w:tcW w:w="2056" w:type="pct"/>
          </w:tcPr>
          <w:p w14:paraId="7D7FFDA7" w14:textId="391727D6" w:rsidR="00AD1F54" w:rsidRPr="00264D5D" w:rsidRDefault="00941227">
            <w:pPr>
              <w:spacing w:before="60" w:after="60"/>
              <w:rPr>
                <w:sz w:val="22"/>
                <w:szCs w:val="22"/>
              </w:rPr>
            </w:pPr>
            <w:r w:rsidRPr="00264D5D">
              <w:rPr>
                <w:sz w:val="22"/>
                <w:szCs w:val="22"/>
              </w:rPr>
              <w:t xml:space="preserve">Состав элемента представлен в таблице </w:t>
            </w:r>
            <w:r w:rsidRPr="00264D5D">
              <w:rPr>
                <w:sz w:val="22"/>
                <w:szCs w:val="22"/>
              </w:rPr>
              <w:fldChar w:fldCharType="begin"/>
            </w:r>
            <w:r w:rsidRPr="00264D5D">
              <w:rPr>
                <w:sz w:val="22"/>
                <w:szCs w:val="22"/>
              </w:rPr>
              <w:instrText xml:space="preserve"> REF _Ref72422460 \h  \* MERGEFORMAT </w:instrText>
            </w:r>
            <w:r w:rsidRPr="00264D5D">
              <w:rPr>
                <w:sz w:val="22"/>
                <w:szCs w:val="22"/>
              </w:rPr>
            </w:r>
            <w:r w:rsidRPr="00264D5D">
              <w:rPr>
                <w:sz w:val="22"/>
                <w:szCs w:val="22"/>
              </w:rPr>
              <w:fldChar w:fldCharType="separate"/>
            </w:r>
            <w:r w:rsidR="008D797C" w:rsidRPr="008D797C">
              <w:rPr>
                <w:rFonts w:eastAsia="Calibri"/>
                <w:sz w:val="22"/>
                <w:szCs w:val="22"/>
              </w:rPr>
              <w:t>313</w:t>
            </w:r>
            <w:r w:rsidRPr="00264D5D">
              <w:rPr>
                <w:sz w:val="22"/>
                <w:szCs w:val="22"/>
              </w:rPr>
              <w:fldChar w:fldCharType="end"/>
            </w:r>
          </w:p>
        </w:tc>
      </w:tr>
    </w:tbl>
    <w:p w14:paraId="63FE743A" w14:textId="77777777" w:rsidR="00AD1F54" w:rsidRPr="00264D5D" w:rsidRDefault="00941227">
      <w:pPr>
        <w:pStyle w:val="31"/>
      </w:pPr>
      <w:bookmarkStart w:id="3253" w:name="_Toc84802452"/>
      <w:bookmarkStart w:id="3254" w:name="_Toc219309794"/>
      <w:r w:rsidRPr="00264D5D">
        <w:t>Описание комплексного типа «tData_PPP_ITEM»</w:t>
      </w:r>
      <w:bookmarkEnd w:id="3253"/>
      <w:bookmarkEnd w:id="3254"/>
    </w:p>
    <w:p w14:paraId="33BDC0AB" w14:textId="77777777" w:rsidR="00AD1F54" w:rsidRPr="00264D5D" w:rsidRDefault="00941227">
      <w:pPr>
        <w:pStyle w:val="ASFKNormal"/>
        <w:spacing w:before="60" w:after="120"/>
        <w:contextualSpacing w:val="0"/>
        <w:jc w:val="both"/>
        <w:rPr>
          <w:sz w:val="24"/>
          <w:szCs w:val="24"/>
        </w:rPr>
      </w:pPr>
      <w:r w:rsidRPr="00264D5D">
        <w:rPr>
          <w:sz w:val="24"/>
          <w:szCs w:val="24"/>
        </w:rPr>
        <w:t>Описание комплексного типа «tData_PPP_ITEM» блока «Данные пакета платежных поручений (строки)».</w:t>
      </w:r>
    </w:p>
    <w:p w14:paraId="119533AB" w14:textId="680034E0" w:rsidR="00AD1F54" w:rsidRPr="00264D5D" w:rsidRDefault="00941227">
      <w:pPr>
        <w:pStyle w:val="GOSTNameTable"/>
        <w:numPr>
          <w:ilvl w:val="0"/>
          <w:numId w:val="2"/>
        </w:numPr>
        <w:ind w:left="425" w:hanging="357"/>
        <w:rPr>
          <w:rFonts w:eastAsia="Calibri"/>
        </w:rPr>
      </w:pPr>
      <w:r w:rsidRPr="00264D5D">
        <w:rPr>
          <w:rFonts w:eastAsia="Calibri"/>
        </w:rPr>
        <w:fldChar w:fldCharType="begin"/>
      </w:r>
      <w:r w:rsidRPr="00264D5D">
        <w:rPr>
          <w:rFonts w:eastAsia="Calibri"/>
        </w:rPr>
        <w:instrText xml:space="preserve"> </w:instrText>
      </w:r>
      <w:r w:rsidRPr="00264D5D">
        <w:rPr>
          <w:rFonts w:eastAsia="Calibri"/>
          <w:lang w:val="en-US"/>
        </w:rPr>
        <w:instrText>SEQ</w:instrText>
      </w:r>
      <w:r w:rsidRPr="00264D5D">
        <w:rPr>
          <w:rFonts w:eastAsia="Calibri"/>
        </w:rPr>
        <w:instrText xml:space="preserve"> Таблица \* </w:instrText>
      </w:r>
      <w:r w:rsidRPr="00264D5D">
        <w:rPr>
          <w:rFonts w:eastAsia="Calibri"/>
          <w:lang w:val="en-US"/>
        </w:rPr>
        <w:instrText>ARABIC</w:instrText>
      </w:r>
      <w:r w:rsidRPr="00264D5D">
        <w:rPr>
          <w:rFonts w:eastAsia="Calibri"/>
        </w:rPr>
        <w:instrText xml:space="preserve"> </w:instrText>
      </w:r>
      <w:r w:rsidRPr="00264D5D">
        <w:rPr>
          <w:rFonts w:eastAsia="Calibri"/>
        </w:rPr>
        <w:fldChar w:fldCharType="separate"/>
      </w:r>
      <w:bookmarkStart w:id="3255" w:name="_Ref72422460"/>
      <w:bookmarkStart w:id="3256" w:name="_Toc219309343"/>
      <w:r w:rsidR="008D797C">
        <w:rPr>
          <w:rFonts w:eastAsia="Calibri"/>
          <w:noProof/>
          <w:lang w:val="en-US"/>
        </w:rPr>
        <w:t>313</w:t>
      </w:r>
      <w:bookmarkEnd w:id="3255"/>
      <w:r w:rsidRPr="00264D5D">
        <w:rPr>
          <w:rFonts w:eastAsia="Calibri"/>
        </w:rPr>
        <w:fldChar w:fldCharType="end"/>
      </w:r>
      <w:r w:rsidRPr="00264D5D">
        <w:rPr>
          <w:rFonts w:eastAsia="Calibri"/>
        </w:rPr>
        <w:t xml:space="preserve"> – Описание комплексного типа «</w:t>
      </w:r>
      <w:r w:rsidRPr="00264D5D">
        <w:rPr>
          <w:szCs w:val="24"/>
          <w:lang w:val="en-US"/>
        </w:rPr>
        <w:t>tData</w:t>
      </w:r>
      <w:r w:rsidRPr="00264D5D">
        <w:rPr>
          <w:szCs w:val="24"/>
        </w:rPr>
        <w:t>_</w:t>
      </w:r>
      <w:r w:rsidRPr="00264D5D">
        <w:rPr>
          <w:szCs w:val="24"/>
          <w:lang w:val="en-US"/>
        </w:rPr>
        <w:t>PPP</w:t>
      </w:r>
      <w:r w:rsidRPr="00264D5D">
        <w:rPr>
          <w:szCs w:val="24"/>
        </w:rPr>
        <w:t>_</w:t>
      </w:r>
      <w:r w:rsidRPr="00264D5D">
        <w:rPr>
          <w:szCs w:val="24"/>
          <w:lang w:val="en-US"/>
        </w:rPr>
        <w:t>ITEM</w:t>
      </w:r>
      <w:r w:rsidRPr="00264D5D">
        <w:rPr>
          <w:rFonts w:eastAsia="Calibri"/>
        </w:rPr>
        <w:t>»</w:t>
      </w:r>
      <w:bookmarkEnd w:id="3256"/>
    </w:p>
    <w:tbl>
      <w:tblPr>
        <w:tblStyle w:val="GOSTTable"/>
        <w:tblW w:w="9640" w:type="dxa"/>
        <w:tblLayout w:type="fixed"/>
        <w:tblLook w:val="04A0" w:firstRow="1" w:lastRow="0" w:firstColumn="1" w:lastColumn="0" w:noHBand="0" w:noVBand="1"/>
      </w:tblPr>
      <w:tblGrid>
        <w:gridCol w:w="1704"/>
        <w:gridCol w:w="1704"/>
        <w:gridCol w:w="567"/>
        <w:gridCol w:w="1136"/>
        <w:gridCol w:w="567"/>
        <w:gridCol w:w="3962"/>
      </w:tblGrid>
      <w:tr w:rsidR="00AD1F54" w:rsidRPr="00264D5D" w14:paraId="063284F0"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4" w:type="pct"/>
          </w:tcPr>
          <w:p w14:paraId="23EBEEE8" w14:textId="77777777" w:rsidR="00AD1F54" w:rsidRPr="00264D5D" w:rsidRDefault="00941227">
            <w:pPr>
              <w:pStyle w:val="affffff"/>
              <w:spacing w:before="60" w:after="60" w:line="240" w:lineRule="auto"/>
              <w:ind w:firstLine="0"/>
              <w:jc w:val="center"/>
              <w:rPr>
                <w:b/>
                <w:sz w:val="22"/>
                <w:szCs w:val="22"/>
              </w:rPr>
            </w:pPr>
            <w:r w:rsidRPr="00264D5D">
              <w:rPr>
                <w:b/>
                <w:sz w:val="22"/>
                <w:szCs w:val="22"/>
              </w:rPr>
              <w:t>Наименование элемента</w:t>
            </w:r>
          </w:p>
        </w:tc>
        <w:tc>
          <w:tcPr>
            <w:tcW w:w="884" w:type="pct"/>
          </w:tcPr>
          <w:p w14:paraId="2D38EE35" w14:textId="77777777" w:rsidR="00AD1F54" w:rsidRPr="00264D5D" w:rsidRDefault="00941227">
            <w:pPr>
              <w:pStyle w:val="affffff"/>
              <w:spacing w:before="60" w:after="60" w:line="240" w:lineRule="auto"/>
              <w:ind w:firstLine="0"/>
              <w:jc w:val="center"/>
              <w:rPr>
                <w:b/>
                <w:sz w:val="22"/>
                <w:szCs w:val="22"/>
              </w:rPr>
            </w:pPr>
            <w:r w:rsidRPr="00264D5D">
              <w:rPr>
                <w:b/>
                <w:sz w:val="22"/>
                <w:szCs w:val="22"/>
              </w:rPr>
              <w:t>Сокращенное наименование (код) элемента</w:t>
            </w:r>
          </w:p>
        </w:tc>
        <w:tc>
          <w:tcPr>
            <w:tcW w:w="294" w:type="pct"/>
          </w:tcPr>
          <w:p w14:paraId="7C173C5E" w14:textId="77777777" w:rsidR="00AD1F54" w:rsidRPr="00264D5D" w:rsidRDefault="00941227">
            <w:pPr>
              <w:pStyle w:val="affffff"/>
              <w:spacing w:before="60" w:after="60" w:line="240" w:lineRule="auto"/>
              <w:ind w:firstLine="0"/>
              <w:jc w:val="center"/>
              <w:rPr>
                <w:b/>
                <w:sz w:val="22"/>
                <w:szCs w:val="22"/>
              </w:rPr>
            </w:pPr>
            <w:r w:rsidRPr="00264D5D">
              <w:rPr>
                <w:b/>
                <w:sz w:val="22"/>
                <w:szCs w:val="22"/>
              </w:rPr>
              <w:t>Тип</w:t>
            </w:r>
          </w:p>
        </w:tc>
        <w:tc>
          <w:tcPr>
            <w:tcW w:w="589" w:type="pct"/>
          </w:tcPr>
          <w:p w14:paraId="2273EF8A" w14:textId="77777777" w:rsidR="00AD1F54" w:rsidRPr="00264D5D" w:rsidRDefault="00941227">
            <w:pPr>
              <w:pStyle w:val="affffff"/>
              <w:spacing w:before="60" w:after="60" w:line="240" w:lineRule="auto"/>
              <w:ind w:firstLine="0"/>
              <w:jc w:val="center"/>
              <w:rPr>
                <w:b/>
                <w:sz w:val="22"/>
                <w:szCs w:val="22"/>
              </w:rPr>
            </w:pPr>
            <w:r w:rsidRPr="00264D5D">
              <w:rPr>
                <w:b/>
                <w:sz w:val="22"/>
                <w:szCs w:val="22"/>
              </w:rPr>
              <w:t>Формат элемента</w:t>
            </w:r>
          </w:p>
        </w:tc>
        <w:tc>
          <w:tcPr>
            <w:tcW w:w="294" w:type="pct"/>
          </w:tcPr>
          <w:p w14:paraId="54B951AE" w14:textId="77777777" w:rsidR="00AD1F54" w:rsidRPr="00264D5D" w:rsidRDefault="00941227">
            <w:pPr>
              <w:pStyle w:val="affffff"/>
              <w:spacing w:before="60" w:after="60" w:line="240" w:lineRule="auto"/>
              <w:ind w:firstLine="0"/>
              <w:jc w:val="center"/>
              <w:rPr>
                <w:b/>
                <w:sz w:val="22"/>
                <w:szCs w:val="22"/>
              </w:rPr>
            </w:pPr>
            <w:r w:rsidRPr="00264D5D">
              <w:rPr>
                <w:b/>
                <w:sz w:val="22"/>
                <w:szCs w:val="22"/>
              </w:rPr>
              <w:t>Обязательность</w:t>
            </w:r>
          </w:p>
        </w:tc>
        <w:tc>
          <w:tcPr>
            <w:tcW w:w="2055" w:type="pct"/>
          </w:tcPr>
          <w:p w14:paraId="647F642A" w14:textId="77777777" w:rsidR="00AD1F54" w:rsidRPr="00264D5D" w:rsidRDefault="00941227">
            <w:pPr>
              <w:pStyle w:val="affffff"/>
              <w:spacing w:before="60" w:after="60" w:line="240" w:lineRule="auto"/>
              <w:ind w:firstLine="0"/>
              <w:jc w:val="center"/>
              <w:rPr>
                <w:b/>
                <w:sz w:val="22"/>
                <w:szCs w:val="22"/>
              </w:rPr>
            </w:pPr>
            <w:r w:rsidRPr="00264D5D">
              <w:rPr>
                <w:b/>
                <w:sz w:val="22"/>
                <w:szCs w:val="22"/>
              </w:rPr>
              <w:t>Дополнительная информация</w:t>
            </w:r>
          </w:p>
        </w:tc>
      </w:tr>
      <w:tr w:rsidR="00AD1F54" w:rsidRPr="00264D5D" w14:paraId="13FCF036"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5B22B152" w14:textId="77777777" w:rsidR="00AD1F54" w:rsidRPr="00264D5D" w:rsidRDefault="00941227">
            <w:pPr>
              <w:pStyle w:val="affffff"/>
              <w:spacing w:before="60" w:after="60" w:line="240" w:lineRule="auto"/>
              <w:ind w:firstLine="0"/>
              <w:rPr>
                <w:sz w:val="22"/>
                <w:szCs w:val="22"/>
              </w:rPr>
            </w:pPr>
            <w:r w:rsidRPr="00264D5D">
              <w:rPr>
                <w:color w:val="000000"/>
                <w:sz w:val="22"/>
                <w:szCs w:val="22"/>
              </w:rPr>
              <w:t>Номер платежного поручения</w:t>
            </w:r>
          </w:p>
        </w:tc>
        <w:tc>
          <w:tcPr>
            <w:tcW w:w="884" w:type="pct"/>
          </w:tcPr>
          <w:p w14:paraId="5CF9713A" w14:textId="77777777" w:rsidR="00AD1F54" w:rsidRPr="00264D5D" w:rsidRDefault="00941227">
            <w:pPr>
              <w:pStyle w:val="affffff"/>
              <w:spacing w:before="60" w:after="60" w:line="240" w:lineRule="auto"/>
              <w:ind w:firstLine="0"/>
              <w:rPr>
                <w:sz w:val="22"/>
                <w:szCs w:val="22"/>
              </w:rPr>
            </w:pPr>
            <w:r w:rsidRPr="00264D5D">
              <w:rPr>
                <w:color w:val="000000"/>
                <w:sz w:val="22"/>
                <w:szCs w:val="22"/>
              </w:rPr>
              <w:t>AccDoc_DocNum</w:t>
            </w:r>
          </w:p>
        </w:tc>
        <w:tc>
          <w:tcPr>
            <w:tcW w:w="294" w:type="pct"/>
          </w:tcPr>
          <w:p w14:paraId="6879A120" w14:textId="77777777" w:rsidR="00AD1F54" w:rsidRPr="00264D5D" w:rsidRDefault="00941227">
            <w:pPr>
              <w:pStyle w:val="affffff"/>
              <w:spacing w:before="60" w:after="60" w:line="240" w:lineRule="auto"/>
              <w:ind w:firstLine="0"/>
              <w:jc w:val="center"/>
              <w:rPr>
                <w:sz w:val="22"/>
                <w:szCs w:val="22"/>
              </w:rPr>
            </w:pPr>
            <w:r w:rsidRPr="00264D5D">
              <w:rPr>
                <w:sz w:val="22"/>
                <w:szCs w:val="22"/>
              </w:rPr>
              <w:t>П</w:t>
            </w:r>
          </w:p>
        </w:tc>
        <w:tc>
          <w:tcPr>
            <w:tcW w:w="589" w:type="pct"/>
          </w:tcPr>
          <w:p w14:paraId="1D272769"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T(1-10)</w:t>
            </w:r>
          </w:p>
        </w:tc>
        <w:tc>
          <w:tcPr>
            <w:tcW w:w="294" w:type="pct"/>
          </w:tcPr>
          <w:p w14:paraId="021FB85F" w14:textId="77777777" w:rsidR="00AD1F54" w:rsidRPr="00264D5D" w:rsidRDefault="00941227">
            <w:pPr>
              <w:pStyle w:val="affffff"/>
              <w:spacing w:before="60" w:after="60" w:line="240" w:lineRule="auto"/>
              <w:ind w:firstLine="0"/>
              <w:jc w:val="center"/>
              <w:rPr>
                <w:sz w:val="22"/>
                <w:szCs w:val="22"/>
              </w:rPr>
            </w:pPr>
            <w:r w:rsidRPr="00264D5D">
              <w:rPr>
                <w:color w:val="000000"/>
                <w:sz w:val="22"/>
                <w:szCs w:val="22"/>
              </w:rPr>
              <w:t>О</w:t>
            </w:r>
          </w:p>
        </w:tc>
        <w:tc>
          <w:tcPr>
            <w:tcW w:w="2055" w:type="pct"/>
          </w:tcPr>
          <w:p w14:paraId="15F0C418" w14:textId="77777777" w:rsidR="00AD1F54" w:rsidRPr="00264D5D" w:rsidRDefault="003E1F19">
            <w:pPr>
              <w:pStyle w:val="afffffffd"/>
              <w:spacing w:before="60"/>
              <w:rPr>
                <w:rFonts w:ascii="Times New Roman" w:hAnsi="Times New Roman"/>
                <w:color w:val="000000"/>
                <w:sz w:val="22"/>
                <w:szCs w:val="22"/>
              </w:rPr>
            </w:pPr>
            <w:r w:rsidRPr="00264D5D">
              <w:rPr>
                <w:rFonts w:ascii="Times New Roman" w:hAnsi="Times New Roman"/>
                <w:color w:val="000000"/>
                <w:sz w:val="22"/>
                <w:szCs w:val="22"/>
              </w:rPr>
              <w:t>(поле 3)*</w:t>
            </w:r>
          </w:p>
          <w:p w14:paraId="509F8D4F" w14:textId="77777777" w:rsidR="00AD1F54" w:rsidRPr="00264D5D" w:rsidRDefault="00941227">
            <w:pPr>
              <w:pStyle w:val="affffff"/>
              <w:widowControl w:val="0"/>
              <w:tabs>
                <w:tab w:val="left" w:pos="1985"/>
                <w:tab w:val="left" w:pos="2127"/>
              </w:tabs>
              <w:spacing w:before="60" w:after="60" w:line="240" w:lineRule="auto"/>
              <w:ind w:firstLine="0"/>
              <w:rPr>
                <w:sz w:val="22"/>
                <w:szCs w:val="22"/>
              </w:rPr>
            </w:pPr>
            <w:r w:rsidRPr="00264D5D">
              <w:rPr>
                <w:color w:val="000000"/>
                <w:sz w:val="22"/>
                <w:szCs w:val="22"/>
              </w:rPr>
              <w:t>Указыва</w:t>
            </w:r>
            <w:r w:rsidR="003E1F19" w:rsidRPr="00264D5D">
              <w:rPr>
                <w:color w:val="000000"/>
                <w:sz w:val="22"/>
                <w:szCs w:val="22"/>
              </w:rPr>
              <w:t>ется номер платежного поручения</w:t>
            </w:r>
          </w:p>
        </w:tc>
      </w:tr>
      <w:tr w:rsidR="00AD1F54" w:rsidRPr="00264D5D" w14:paraId="446BF838"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6997F94B" w14:textId="77777777" w:rsidR="00AD1F54" w:rsidRPr="00264D5D" w:rsidRDefault="00941227">
            <w:pPr>
              <w:pStyle w:val="affffff"/>
              <w:spacing w:before="60" w:after="60" w:line="240" w:lineRule="auto"/>
              <w:ind w:firstLine="0"/>
              <w:rPr>
                <w:sz w:val="22"/>
                <w:szCs w:val="22"/>
              </w:rPr>
            </w:pPr>
            <w:r w:rsidRPr="00264D5D">
              <w:rPr>
                <w:color w:val="000000"/>
                <w:sz w:val="22"/>
                <w:szCs w:val="22"/>
              </w:rPr>
              <w:t>Дата платежного поручения</w:t>
            </w:r>
          </w:p>
        </w:tc>
        <w:tc>
          <w:tcPr>
            <w:tcW w:w="884" w:type="pct"/>
          </w:tcPr>
          <w:p w14:paraId="06439C80"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AccDoc_DocDate</w:t>
            </w:r>
          </w:p>
        </w:tc>
        <w:tc>
          <w:tcPr>
            <w:tcW w:w="294" w:type="pct"/>
          </w:tcPr>
          <w:p w14:paraId="6AD77D57" w14:textId="77777777" w:rsidR="00AD1F54" w:rsidRPr="00264D5D" w:rsidRDefault="00941227">
            <w:pPr>
              <w:pStyle w:val="affffff"/>
              <w:spacing w:before="60" w:after="60" w:line="240" w:lineRule="auto"/>
              <w:ind w:firstLine="0"/>
              <w:jc w:val="center"/>
              <w:rPr>
                <w:sz w:val="22"/>
                <w:szCs w:val="22"/>
              </w:rPr>
            </w:pPr>
            <w:r w:rsidRPr="00264D5D">
              <w:rPr>
                <w:sz w:val="22"/>
                <w:szCs w:val="22"/>
              </w:rPr>
              <w:t>П</w:t>
            </w:r>
          </w:p>
        </w:tc>
        <w:tc>
          <w:tcPr>
            <w:tcW w:w="589" w:type="pct"/>
          </w:tcPr>
          <w:p w14:paraId="67F05E33"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Date</w:t>
            </w:r>
          </w:p>
        </w:tc>
        <w:tc>
          <w:tcPr>
            <w:tcW w:w="294" w:type="pct"/>
          </w:tcPr>
          <w:p w14:paraId="0B5AC470" w14:textId="77777777" w:rsidR="00AD1F54" w:rsidRPr="00264D5D" w:rsidRDefault="00941227">
            <w:pPr>
              <w:pStyle w:val="affffff"/>
              <w:spacing w:before="60" w:after="60" w:line="240" w:lineRule="auto"/>
              <w:ind w:firstLine="0"/>
              <w:jc w:val="center"/>
              <w:rPr>
                <w:sz w:val="22"/>
                <w:szCs w:val="22"/>
                <w:lang w:val="en-US"/>
              </w:rPr>
            </w:pPr>
            <w:r w:rsidRPr="00264D5D">
              <w:rPr>
                <w:color w:val="000000"/>
                <w:sz w:val="22"/>
                <w:szCs w:val="22"/>
              </w:rPr>
              <w:t>О</w:t>
            </w:r>
          </w:p>
        </w:tc>
        <w:tc>
          <w:tcPr>
            <w:tcW w:w="2055" w:type="pct"/>
          </w:tcPr>
          <w:p w14:paraId="342EC478" w14:textId="77777777" w:rsidR="00AD1F54" w:rsidRPr="00264D5D" w:rsidRDefault="003E1F19">
            <w:pPr>
              <w:pStyle w:val="afffffffd"/>
              <w:spacing w:before="60"/>
              <w:rPr>
                <w:rFonts w:ascii="Times New Roman" w:hAnsi="Times New Roman"/>
                <w:color w:val="000000"/>
                <w:sz w:val="22"/>
                <w:szCs w:val="22"/>
              </w:rPr>
            </w:pPr>
            <w:r w:rsidRPr="00264D5D">
              <w:rPr>
                <w:rFonts w:ascii="Times New Roman" w:hAnsi="Times New Roman"/>
                <w:color w:val="000000"/>
                <w:sz w:val="22"/>
                <w:szCs w:val="22"/>
              </w:rPr>
              <w:t>(поле 4)*</w:t>
            </w:r>
          </w:p>
          <w:p w14:paraId="013409E3" w14:textId="77777777" w:rsidR="00AD1F54" w:rsidRPr="00264D5D" w:rsidRDefault="00941227">
            <w:pPr>
              <w:pStyle w:val="affffff"/>
              <w:spacing w:before="60" w:after="60" w:line="240" w:lineRule="auto"/>
              <w:ind w:firstLine="0"/>
              <w:rPr>
                <w:sz w:val="22"/>
                <w:szCs w:val="22"/>
              </w:rPr>
            </w:pPr>
            <w:r w:rsidRPr="00264D5D">
              <w:rPr>
                <w:color w:val="000000"/>
                <w:sz w:val="22"/>
                <w:szCs w:val="22"/>
              </w:rPr>
              <w:t>Указывается дата с</w:t>
            </w:r>
            <w:r w:rsidR="003E1F19" w:rsidRPr="00264D5D">
              <w:rPr>
                <w:color w:val="000000"/>
                <w:sz w:val="22"/>
                <w:szCs w:val="22"/>
              </w:rPr>
              <w:t>оставления платежного поручения</w:t>
            </w:r>
          </w:p>
        </w:tc>
      </w:tr>
      <w:tr w:rsidR="00AD1F54" w:rsidRPr="00264D5D" w14:paraId="498AB9B3"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7D1E635E" w14:textId="77777777" w:rsidR="00AD1F54" w:rsidRPr="00264D5D" w:rsidRDefault="00941227">
            <w:pPr>
              <w:pStyle w:val="affffff"/>
              <w:spacing w:before="60" w:after="60" w:line="240" w:lineRule="auto"/>
              <w:ind w:firstLine="0"/>
              <w:rPr>
                <w:sz w:val="22"/>
                <w:szCs w:val="22"/>
              </w:rPr>
            </w:pPr>
            <w:r w:rsidRPr="00264D5D">
              <w:rPr>
                <w:color w:val="000000"/>
                <w:sz w:val="22"/>
                <w:szCs w:val="22"/>
              </w:rPr>
              <w:t>Сумма платежного поручения</w:t>
            </w:r>
          </w:p>
        </w:tc>
        <w:tc>
          <w:tcPr>
            <w:tcW w:w="884" w:type="pct"/>
          </w:tcPr>
          <w:p w14:paraId="11D70F74"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BasicRequisites_PaySum</w:t>
            </w:r>
          </w:p>
        </w:tc>
        <w:tc>
          <w:tcPr>
            <w:tcW w:w="294" w:type="pct"/>
          </w:tcPr>
          <w:p w14:paraId="027883D3" w14:textId="77777777" w:rsidR="00AD1F54" w:rsidRPr="00264D5D" w:rsidRDefault="00941227">
            <w:pPr>
              <w:pStyle w:val="affffff"/>
              <w:spacing w:before="60" w:after="60" w:line="240" w:lineRule="auto"/>
              <w:ind w:firstLine="0"/>
              <w:jc w:val="center"/>
              <w:rPr>
                <w:rFonts w:eastAsia="Calibri"/>
                <w:sz w:val="22"/>
                <w:szCs w:val="22"/>
              </w:rPr>
            </w:pPr>
            <w:r w:rsidRPr="00264D5D">
              <w:rPr>
                <w:sz w:val="22"/>
                <w:szCs w:val="22"/>
              </w:rPr>
              <w:t>П</w:t>
            </w:r>
          </w:p>
        </w:tc>
        <w:tc>
          <w:tcPr>
            <w:tcW w:w="589" w:type="pct"/>
          </w:tcPr>
          <w:p w14:paraId="6465EF58" w14:textId="77777777" w:rsidR="00AD1F54" w:rsidRPr="00264D5D" w:rsidRDefault="00941227">
            <w:pPr>
              <w:pStyle w:val="affffff"/>
              <w:spacing w:before="60" w:after="60" w:line="240" w:lineRule="auto"/>
              <w:ind w:firstLine="0"/>
              <w:rPr>
                <w:sz w:val="22"/>
                <w:szCs w:val="22"/>
              </w:rPr>
            </w:pPr>
            <w:r w:rsidRPr="00264D5D">
              <w:rPr>
                <w:color w:val="000000"/>
                <w:sz w:val="22"/>
                <w:szCs w:val="22"/>
              </w:rPr>
              <w:t>N(20.2)</w:t>
            </w:r>
          </w:p>
        </w:tc>
        <w:tc>
          <w:tcPr>
            <w:tcW w:w="294" w:type="pct"/>
          </w:tcPr>
          <w:p w14:paraId="359BFDEE" w14:textId="77777777" w:rsidR="00AD1F54" w:rsidRPr="00264D5D" w:rsidRDefault="00941227">
            <w:pPr>
              <w:pStyle w:val="affffff"/>
              <w:spacing w:before="60" w:after="60" w:line="240" w:lineRule="auto"/>
              <w:ind w:firstLine="0"/>
              <w:jc w:val="center"/>
              <w:rPr>
                <w:sz w:val="22"/>
                <w:szCs w:val="22"/>
                <w:lang w:val="en-US"/>
              </w:rPr>
            </w:pPr>
            <w:r w:rsidRPr="00264D5D">
              <w:rPr>
                <w:color w:val="000000"/>
                <w:sz w:val="22"/>
                <w:szCs w:val="22"/>
              </w:rPr>
              <w:t>О</w:t>
            </w:r>
          </w:p>
        </w:tc>
        <w:tc>
          <w:tcPr>
            <w:tcW w:w="2055" w:type="pct"/>
          </w:tcPr>
          <w:p w14:paraId="3C6960B6" w14:textId="77777777" w:rsidR="00AD1F54" w:rsidRPr="00264D5D" w:rsidRDefault="003E1F19">
            <w:pPr>
              <w:pStyle w:val="afffffffd"/>
              <w:spacing w:before="60"/>
              <w:rPr>
                <w:rFonts w:ascii="Times New Roman" w:hAnsi="Times New Roman"/>
                <w:color w:val="000000"/>
                <w:sz w:val="22"/>
                <w:szCs w:val="22"/>
              </w:rPr>
            </w:pPr>
            <w:r w:rsidRPr="00264D5D">
              <w:rPr>
                <w:rFonts w:ascii="Times New Roman" w:hAnsi="Times New Roman"/>
                <w:color w:val="000000"/>
                <w:sz w:val="22"/>
                <w:szCs w:val="22"/>
              </w:rPr>
              <w:t>(поле 7)*</w:t>
            </w:r>
          </w:p>
          <w:p w14:paraId="31B00A5F" w14:textId="77777777" w:rsidR="00AD1F54" w:rsidRPr="00264D5D" w:rsidRDefault="00941227">
            <w:pPr>
              <w:pStyle w:val="affffff"/>
              <w:spacing w:before="60" w:after="60" w:line="240" w:lineRule="auto"/>
              <w:ind w:firstLine="0"/>
              <w:rPr>
                <w:sz w:val="22"/>
                <w:szCs w:val="22"/>
              </w:rPr>
            </w:pPr>
            <w:r w:rsidRPr="00264D5D">
              <w:rPr>
                <w:color w:val="000000"/>
                <w:sz w:val="22"/>
                <w:szCs w:val="22"/>
              </w:rPr>
              <w:t>Указыва</w:t>
            </w:r>
            <w:r w:rsidR="003E1F19" w:rsidRPr="00264D5D">
              <w:rPr>
                <w:color w:val="000000"/>
                <w:sz w:val="22"/>
                <w:szCs w:val="22"/>
              </w:rPr>
              <w:t>ется сумма платежного поручения</w:t>
            </w:r>
          </w:p>
        </w:tc>
      </w:tr>
      <w:tr w:rsidR="00AD1F54" w:rsidRPr="00264D5D" w14:paraId="0F4F3B68"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6A02E409" w14:textId="77777777" w:rsidR="00AD1F54" w:rsidRPr="00264D5D" w:rsidRDefault="00941227">
            <w:pPr>
              <w:pStyle w:val="affffff"/>
              <w:spacing w:before="60" w:after="60" w:line="240" w:lineRule="auto"/>
              <w:ind w:firstLine="0"/>
              <w:rPr>
                <w:sz w:val="22"/>
                <w:szCs w:val="22"/>
              </w:rPr>
            </w:pPr>
            <w:r w:rsidRPr="00264D5D">
              <w:rPr>
                <w:color w:val="000000"/>
                <w:sz w:val="22"/>
                <w:szCs w:val="22"/>
              </w:rPr>
              <w:t>Вид платежа</w:t>
            </w:r>
          </w:p>
        </w:tc>
        <w:tc>
          <w:tcPr>
            <w:tcW w:w="884" w:type="pct"/>
          </w:tcPr>
          <w:p w14:paraId="0BF32F93" w14:textId="77777777" w:rsidR="00AD1F54" w:rsidRPr="00264D5D" w:rsidRDefault="00941227">
            <w:pPr>
              <w:pStyle w:val="affffff"/>
              <w:spacing w:before="60" w:after="60" w:line="240" w:lineRule="auto"/>
              <w:ind w:firstLine="0"/>
              <w:rPr>
                <w:sz w:val="22"/>
                <w:szCs w:val="22"/>
              </w:rPr>
            </w:pPr>
            <w:r w:rsidRPr="00264D5D">
              <w:rPr>
                <w:color w:val="000000"/>
                <w:sz w:val="22"/>
                <w:szCs w:val="22"/>
              </w:rPr>
              <w:t>BasicRequisites_PayView</w:t>
            </w:r>
          </w:p>
        </w:tc>
        <w:tc>
          <w:tcPr>
            <w:tcW w:w="294" w:type="pct"/>
          </w:tcPr>
          <w:p w14:paraId="0B74C903" w14:textId="77777777" w:rsidR="00AD1F54" w:rsidRPr="00264D5D" w:rsidRDefault="00941227">
            <w:pPr>
              <w:pStyle w:val="affffff"/>
              <w:spacing w:before="60" w:after="60" w:line="240" w:lineRule="auto"/>
              <w:ind w:firstLine="0"/>
              <w:jc w:val="center"/>
              <w:rPr>
                <w:rFonts w:eastAsia="Calibri"/>
                <w:sz w:val="22"/>
                <w:szCs w:val="22"/>
                <w:lang w:val="en-US"/>
              </w:rPr>
            </w:pPr>
            <w:r w:rsidRPr="00264D5D">
              <w:rPr>
                <w:sz w:val="22"/>
                <w:szCs w:val="22"/>
                <w:lang w:val="en-US"/>
              </w:rPr>
              <w:t>C</w:t>
            </w:r>
          </w:p>
        </w:tc>
        <w:tc>
          <w:tcPr>
            <w:tcW w:w="589" w:type="pct"/>
          </w:tcPr>
          <w:p w14:paraId="1A502AD2" w14:textId="77777777" w:rsidR="00AD1F54" w:rsidRPr="00264D5D" w:rsidRDefault="00941227">
            <w:pPr>
              <w:pStyle w:val="affffff"/>
              <w:spacing w:before="60" w:after="60" w:line="240" w:lineRule="auto"/>
              <w:ind w:firstLine="0"/>
              <w:rPr>
                <w:sz w:val="22"/>
                <w:szCs w:val="22"/>
              </w:rPr>
            </w:pPr>
            <w:r w:rsidRPr="00264D5D">
              <w:rPr>
                <w:color w:val="000000"/>
                <w:sz w:val="22"/>
                <w:szCs w:val="22"/>
                <w:lang w:val="en-US"/>
              </w:rPr>
              <w:t>t</w:t>
            </w:r>
            <w:r w:rsidRPr="00264D5D">
              <w:rPr>
                <w:color w:val="000000"/>
                <w:sz w:val="22"/>
                <w:szCs w:val="22"/>
              </w:rPr>
              <w:t>BasicRequisites_PayView</w:t>
            </w:r>
          </w:p>
        </w:tc>
        <w:tc>
          <w:tcPr>
            <w:tcW w:w="294" w:type="pct"/>
          </w:tcPr>
          <w:p w14:paraId="10876CA5" w14:textId="77777777" w:rsidR="00AD1F54" w:rsidRPr="00264D5D" w:rsidRDefault="00941227">
            <w:pPr>
              <w:pStyle w:val="affffff"/>
              <w:spacing w:before="60" w:after="60" w:line="240" w:lineRule="auto"/>
              <w:ind w:firstLine="0"/>
              <w:jc w:val="center"/>
              <w:rPr>
                <w:sz w:val="22"/>
                <w:szCs w:val="22"/>
              </w:rPr>
            </w:pPr>
            <w:r w:rsidRPr="00264D5D">
              <w:rPr>
                <w:color w:val="000000"/>
                <w:sz w:val="22"/>
                <w:szCs w:val="22"/>
              </w:rPr>
              <w:t>О</w:t>
            </w:r>
          </w:p>
        </w:tc>
        <w:tc>
          <w:tcPr>
            <w:tcW w:w="2055" w:type="pct"/>
          </w:tcPr>
          <w:p w14:paraId="365FABD1" w14:textId="5AC26270" w:rsidR="00AD1F54" w:rsidRPr="00264D5D" w:rsidRDefault="00941227">
            <w:pPr>
              <w:pStyle w:val="affffff"/>
              <w:spacing w:before="60" w:after="60" w:line="240" w:lineRule="auto"/>
              <w:ind w:firstLine="0"/>
              <w:rPr>
                <w:sz w:val="22"/>
                <w:szCs w:val="22"/>
              </w:rPr>
            </w:pPr>
            <w:r w:rsidRPr="00264D5D">
              <w:rPr>
                <w:sz w:val="22"/>
                <w:szCs w:val="22"/>
              </w:rPr>
              <w:t xml:space="preserve">Состав элемента представлен в таблице </w:t>
            </w:r>
            <w:r w:rsidRPr="00264D5D">
              <w:rPr>
                <w:sz w:val="22"/>
                <w:szCs w:val="22"/>
              </w:rPr>
              <w:fldChar w:fldCharType="begin"/>
            </w:r>
            <w:r w:rsidRPr="00264D5D">
              <w:rPr>
                <w:sz w:val="22"/>
                <w:szCs w:val="22"/>
              </w:rPr>
              <w:instrText xml:space="preserve"> REF _Ref68174306 \h  \* MERGEFORMAT </w:instrText>
            </w:r>
            <w:r w:rsidRPr="00264D5D">
              <w:rPr>
                <w:sz w:val="22"/>
                <w:szCs w:val="22"/>
              </w:rPr>
            </w:r>
            <w:r w:rsidRPr="00264D5D">
              <w:rPr>
                <w:sz w:val="22"/>
                <w:szCs w:val="22"/>
              </w:rPr>
              <w:fldChar w:fldCharType="separate"/>
            </w:r>
            <w:r w:rsidR="008D797C" w:rsidRPr="008D797C">
              <w:rPr>
                <w:sz w:val="22"/>
                <w:szCs w:val="22"/>
              </w:rPr>
              <w:t>314</w:t>
            </w:r>
            <w:r w:rsidRPr="00264D5D">
              <w:rPr>
                <w:sz w:val="22"/>
                <w:szCs w:val="22"/>
              </w:rPr>
              <w:fldChar w:fldCharType="end"/>
            </w:r>
          </w:p>
        </w:tc>
      </w:tr>
      <w:tr w:rsidR="00AD1F54" w:rsidRPr="00264D5D" w14:paraId="2DBE2523"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6DA6CD62" w14:textId="77777777" w:rsidR="00AD1F54" w:rsidRPr="00264D5D" w:rsidRDefault="00941227">
            <w:pPr>
              <w:pStyle w:val="affffff"/>
              <w:spacing w:before="60" w:after="60" w:line="240" w:lineRule="auto"/>
              <w:ind w:firstLine="0"/>
              <w:rPr>
                <w:sz w:val="22"/>
                <w:szCs w:val="22"/>
              </w:rPr>
            </w:pPr>
            <w:r w:rsidRPr="00264D5D">
              <w:rPr>
                <w:color w:val="000000"/>
                <w:sz w:val="22"/>
                <w:szCs w:val="22"/>
              </w:rPr>
              <w:t>Вид операции</w:t>
            </w:r>
          </w:p>
        </w:tc>
        <w:tc>
          <w:tcPr>
            <w:tcW w:w="884" w:type="pct"/>
          </w:tcPr>
          <w:p w14:paraId="3322292E" w14:textId="77777777" w:rsidR="00AD1F54" w:rsidRPr="00264D5D" w:rsidRDefault="00941227">
            <w:pPr>
              <w:pStyle w:val="affffff"/>
              <w:spacing w:before="60" w:after="60" w:line="240" w:lineRule="auto"/>
              <w:ind w:firstLine="0"/>
              <w:rPr>
                <w:sz w:val="22"/>
                <w:szCs w:val="22"/>
              </w:rPr>
            </w:pPr>
            <w:r w:rsidRPr="00264D5D">
              <w:rPr>
                <w:color w:val="000000"/>
                <w:sz w:val="22"/>
                <w:szCs w:val="22"/>
              </w:rPr>
              <w:t>AddInfo_OperType</w:t>
            </w:r>
          </w:p>
        </w:tc>
        <w:tc>
          <w:tcPr>
            <w:tcW w:w="294" w:type="pct"/>
          </w:tcPr>
          <w:p w14:paraId="409297DD" w14:textId="77777777" w:rsidR="00AD1F54" w:rsidRPr="00264D5D" w:rsidRDefault="00941227">
            <w:pPr>
              <w:pStyle w:val="affffff"/>
              <w:spacing w:before="60" w:after="60" w:line="240" w:lineRule="auto"/>
              <w:ind w:firstLine="0"/>
              <w:jc w:val="center"/>
              <w:rPr>
                <w:sz w:val="22"/>
                <w:szCs w:val="22"/>
              </w:rPr>
            </w:pPr>
            <w:r w:rsidRPr="00264D5D">
              <w:rPr>
                <w:sz w:val="22"/>
                <w:szCs w:val="22"/>
              </w:rPr>
              <w:t>П</w:t>
            </w:r>
          </w:p>
        </w:tc>
        <w:tc>
          <w:tcPr>
            <w:tcW w:w="589" w:type="pct"/>
          </w:tcPr>
          <w:p w14:paraId="52D8BE12" w14:textId="77777777" w:rsidR="00AD1F54" w:rsidRPr="00264D5D" w:rsidRDefault="00941227">
            <w:pPr>
              <w:pStyle w:val="affffff"/>
              <w:spacing w:before="60" w:after="60" w:line="240" w:lineRule="auto"/>
              <w:ind w:firstLine="0"/>
              <w:rPr>
                <w:sz w:val="22"/>
                <w:szCs w:val="22"/>
              </w:rPr>
            </w:pPr>
            <w:r w:rsidRPr="00264D5D">
              <w:rPr>
                <w:color w:val="000000"/>
                <w:sz w:val="22"/>
                <w:szCs w:val="22"/>
              </w:rPr>
              <w:t>T(2)</w:t>
            </w:r>
          </w:p>
        </w:tc>
        <w:tc>
          <w:tcPr>
            <w:tcW w:w="294" w:type="pct"/>
          </w:tcPr>
          <w:p w14:paraId="600088A3" w14:textId="77777777" w:rsidR="00AD1F54" w:rsidRPr="00264D5D" w:rsidRDefault="00941227">
            <w:pPr>
              <w:pStyle w:val="affffff"/>
              <w:spacing w:before="60" w:after="60" w:line="240" w:lineRule="auto"/>
              <w:ind w:firstLine="0"/>
              <w:jc w:val="center"/>
              <w:rPr>
                <w:sz w:val="22"/>
                <w:szCs w:val="22"/>
              </w:rPr>
            </w:pPr>
            <w:r w:rsidRPr="00264D5D">
              <w:rPr>
                <w:color w:val="000000"/>
                <w:sz w:val="22"/>
                <w:szCs w:val="22"/>
              </w:rPr>
              <w:t>О</w:t>
            </w:r>
          </w:p>
        </w:tc>
        <w:tc>
          <w:tcPr>
            <w:tcW w:w="2055" w:type="pct"/>
          </w:tcPr>
          <w:p w14:paraId="0F86B5BA" w14:textId="77777777" w:rsidR="00AD1F54" w:rsidRPr="00264D5D" w:rsidRDefault="003E1F19">
            <w:pPr>
              <w:pStyle w:val="afffffffd"/>
              <w:spacing w:before="60"/>
              <w:rPr>
                <w:rFonts w:ascii="Times New Roman" w:hAnsi="Times New Roman"/>
                <w:color w:val="000000"/>
                <w:sz w:val="22"/>
                <w:szCs w:val="22"/>
              </w:rPr>
            </w:pPr>
            <w:r w:rsidRPr="00264D5D">
              <w:rPr>
                <w:rFonts w:ascii="Times New Roman" w:hAnsi="Times New Roman"/>
                <w:color w:val="000000"/>
                <w:sz w:val="22"/>
                <w:szCs w:val="22"/>
              </w:rPr>
              <w:t>(поле 18)*</w:t>
            </w:r>
          </w:p>
          <w:p w14:paraId="3DF65240" w14:textId="77777777" w:rsidR="00AD1F54" w:rsidRPr="00264D5D" w:rsidRDefault="00941227">
            <w:pPr>
              <w:pStyle w:val="affffff"/>
              <w:spacing w:before="60" w:after="60" w:line="240" w:lineRule="auto"/>
              <w:ind w:firstLine="0"/>
              <w:rPr>
                <w:sz w:val="22"/>
                <w:szCs w:val="22"/>
              </w:rPr>
            </w:pPr>
            <w:r w:rsidRPr="00264D5D">
              <w:rPr>
                <w:color w:val="000000"/>
                <w:sz w:val="22"/>
                <w:szCs w:val="22"/>
              </w:rPr>
              <w:t xml:space="preserve">Указывается вид операции, значение по </w:t>
            </w:r>
            <w:r w:rsidR="003E1F19" w:rsidRPr="00264D5D">
              <w:rPr>
                <w:color w:val="000000"/>
                <w:sz w:val="22"/>
                <w:szCs w:val="22"/>
              </w:rPr>
              <w:lastRenderedPageBreak/>
              <w:t>умолчанию равно «01»</w:t>
            </w:r>
          </w:p>
        </w:tc>
      </w:tr>
      <w:tr w:rsidR="00AD1F54" w:rsidRPr="00264D5D" w14:paraId="29A7CB6D"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72A378EB" w14:textId="77777777" w:rsidR="00AD1F54" w:rsidRPr="00264D5D" w:rsidRDefault="00941227">
            <w:pPr>
              <w:pStyle w:val="affffff"/>
              <w:spacing w:before="60" w:after="60" w:line="240" w:lineRule="auto"/>
              <w:ind w:firstLine="0"/>
              <w:rPr>
                <w:sz w:val="22"/>
                <w:szCs w:val="22"/>
              </w:rPr>
            </w:pPr>
            <w:r w:rsidRPr="00264D5D">
              <w:rPr>
                <w:color w:val="000000"/>
                <w:sz w:val="22"/>
                <w:szCs w:val="22"/>
              </w:rPr>
              <w:lastRenderedPageBreak/>
              <w:t>ИНН плательщика</w:t>
            </w:r>
          </w:p>
        </w:tc>
        <w:tc>
          <w:tcPr>
            <w:tcW w:w="884" w:type="pct"/>
          </w:tcPr>
          <w:p w14:paraId="0462BAF9" w14:textId="77777777" w:rsidR="00AD1F54" w:rsidRPr="00264D5D" w:rsidRDefault="00941227">
            <w:pPr>
              <w:pStyle w:val="affffff"/>
              <w:spacing w:before="60" w:after="60" w:line="240" w:lineRule="auto"/>
              <w:ind w:firstLine="0"/>
              <w:rPr>
                <w:sz w:val="22"/>
                <w:szCs w:val="22"/>
              </w:rPr>
            </w:pPr>
            <w:r w:rsidRPr="00264D5D">
              <w:rPr>
                <w:color w:val="000000"/>
                <w:sz w:val="22"/>
                <w:szCs w:val="22"/>
              </w:rPr>
              <w:t>Payer_INN</w:t>
            </w:r>
          </w:p>
        </w:tc>
        <w:tc>
          <w:tcPr>
            <w:tcW w:w="294" w:type="pct"/>
          </w:tcPr>
          <w:p w14:paraId="5AAB8FA3" w14:textId="77777777" w:rsidR="00AD1F54" w:rsidRPr="00264D5D" w:rsidRDefault="00941227">
            <w:pPr>
              <w:pStyle w:val="affffff"/>
              <w:spacing w:before="60" w:after="60" w:line="240" w:lineRule="auto"/>
              <w:ind w:firstLine="0"/>
              <w:jc w:val="center"/>
              <w:rPr>
                <w:sz w:val="22"/>
                <w:szCs w:val="22"/>
              </w:rPr>
            </w:pPr>
            <w:r w:rsidRPr="00264D5D">
              <w:rPr>
                <w:sz w:val="22"/>
                <w:szCs w:val="22"/>
              </w:rPr>
              <w:t>П</w:t>
            </w:r>
          </w:p>
        </w:tc>
        <w:tc>
          <w:tcPr>
            <w:tcW w:w="589" w:type="pct"/>
          </w:tcPr>
          <w:p w14:paraId="02B24E5D" w14:textId="77777777" w:rsidR="00AD1F54" w:rsidRPr="00264D5D" w:rsidRDefault="00941227">
            <w:pPr>
              <w:pStyle w:val="affffff"/>
              <w:spacing w:before="60" w:after="60" w:line="240" w:lineRule="auto"/>
              <w:ind w:firstLine="0"/>
              <w:rPr>
                <w:sz w:val="22"/>
                <w:szCs w:val="22"/>
              </w:rPr>
            </w:pPr>
            <w:r w:rsidRPr="00264D5D">
              <w:rPr>
                <w:color w:val="000000"/>
                <w:sz w:val="22"/>
                <w:szCs w:val="22"/>
              </w:rPr>
              <w:t>T(1-12)</w:t>
            </w:r>
          </w:p>
        </w:tc>
        <w:tc>
          <w:tcPr>
            <w:tcW w:w="294" w:type="pct"/>
          </w:tcPr>
          <w:p w14:paraId="0D74F9B7" w14:textId="77777777" w:rsidR="00AD1F54" w:rsidRPr="00264D5D" w:rsidRDefault="00941227">
            <w:pPr>
              <w:pStyle w:val="affffff"/>
              <w:spacing w:before="60" w:after="60" w:line="240" w:lineRule="auto"/>
              <w:ind w:firstLine="0"/>
              <w:jc w:val="center"/>
              <w:rPr>
                <w:sz w:val="22"/>
                <w:szCs w:val="22"/>
              </w:rPr>
            </w:pPr>
            <w:r w:rsidRPr="00264D5D">
              <w:rPr>
                <w:color w:val="000000"/>
                <w:sz w:val="22"/>
                <w:szCs w:val="22"/>
              </w:rPr>
              <w:t>О</w:t>
            </w:r>
          </w:p>
        </w:tc>
        <w:tc>
          <w:tcPr>
            <w:tcW w:w="2055" w:type="pct"/>
          </w:tcPr>
          <w:p w14:paraId="5B9C903D" w14:textId="77777777" w:rsidR="00AD1F54" w:rsidRPr="00264D5D" w:rsidRDefault="003E1F19">
            <w:pPr>
              <w:pStyle w:val="afffffffd"/>
              <w:spacing w:before="60"/>
              <w:rPr>
                <w:rFonts w:ascii="Times New Roman" w:hAnsi="Times New Roman"/>
                <w:color w:val="000000"/>
                <w:sz w:val="22"/>
                <w:szCs w:val="22"/>
              </w:rPr>
            </w:pPr>
            <w:r w:rsidRPr="00264D5D">
              <w:rPr>
                <w:rFonts w:ascii="Times New Roman" w:hAnsi="Times New Roman"/>
                <w:color w:val="000000"/>
                <w:sz w:val="22"/>
                <w:szCs w:val="22"/>
              </w:rPr>
              <w:t>(поле 60)*</w:t>
            </w:r>
          </w:p>
          <w:p w14:paraId="20564BD4" w14:textId="77777777" w:rsidR="00AD1F54" w:rsidRPr="00264D5D" w:rsidRDefault="003E1F19">
            <w:pPr>
              <w:pStyle w:val="affffff"/>
              <w:spacing w:before="60" w:after="60" w:line="240" w:lineRule="auto"/>
              <w:ind w:firstLine="0"/>
              <w:rPr>
                <w:sz w:val="22"/>
                <w:szCs w:val="22"/>
              </w:rPr>
            </w:pPr>
            <w:r w:rsidRPr="00264D5D">
              <w:rPr>
                <w:color w:val="000000"/>
                <w:sz w:val="22"/>
                <w:szCs w:val="22"/>
              </w:rPr>
              <w:t>Указывается ИНН плательщика</w:t>
            </w:r>
          </w:p>
        </w:tc>
      </w:tr>
      <w:tr w:rsidR="00AD1F54" w:rsidRPr="00264D5D" w14:paraId="6B4233BB"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2533CC0C" w14:textId="77777777" w:rsidR="00AD1F54" w:rsidRPr="00264D5D" w:rsidRDefault="00941227">
            <w:pPr>
              <w:pStyle w:val="affffff"/>
              <w:spacing w:before="60" w:after="60" w:line="240" w:lineRule="auto"/>
              <w:ind w:firstLine="0"/>
              <w:rPr>
                <w:sz w:val="22"/>
                <w:szCs w:val="22"/>
              </w:rPr>
            </w:pPr>
            <w:r w:rsidRPr="00264D5D">
              <w:rPr>
                <w:color w:val="000000"/>
                <w:sz w:val="22"/>
                <w:szCs w:val="22"/>
              </w:rPr>
              <w:t>КПП плательщика</w:t>
            </w:r>
          </w:p>
        </w:tc>
        <w:tc>
          <w:tcPr>
            <w:tcW w:w="884" w:type="pct"/>
          </w:tcPr>
          <w:p w14:paraId="4F27ABB8" w14:textId="77777777" w:rsidR="00AD1F54" w:rsidRPr="00264D5D" w:rsidRDefault="00941227">
            <w:pPr>
              <w:pStyle w:val="affffff"/>
              <w:spacing w:before="60" w:after="60" w:line="240" w:lineRule="auto"/>
              <w:ind w:firstLine="0"/>
              <w:rPr>
                <w:sz w:val="22"/>
                <w:szCs w:val="22"/>
              </w:rPr>
            </w:pPr>
            <w:r w:rsidRPr="00264D5D">
              <w:rPr>
                <w:color w:val="000000"/>
                <w:sz w:val="22"/>
                <w:szCs w:val="22"/>
              </w:rPr>
              <w:t>Payer_KPP</w:t>
            </w:r>
          </w:p>
        </w:tc>
        <w:tc>
          <w:tcPr>
            <w:tcW w:w="294" w:type="pct"/>
          </w:tcPr>
          <w:p w14:paraId="3FF396FF" w14:textId="77777777" w:rsidR="00AD1F54" w:rsidRPr="00264D5D" w:rsidRDefault="00941227">
            <w:pPr>
              <w:pStyle w:val="affffff"/>
              <w:spacing w:before="60" w:after="60" w:line="240" w:lineRule="auto"/>
              <w:ind w:firstLine="0"/>
              <w:jc w:val="center"/>
              <w:rPr>
                <w:sz w:val="22"/>
                <w:szCs w:val="22"/>
              </w:rPr>
            </w:pPr>
            <w:r w:rsidRPr="00264D5D">
              <w:rPr>
                <w:sz w:val="22"/>
                <w:szCs w:val="22"/>
              </w:rPr>
              <w:t>П</w:t>
            </w:r>
          </w:p>
        </w:tc>
        <w:tc>
          <w:tcPr>
            <w:tcW w:w="589" w:type="pct"/>
          </w:tcPr>
          <w:p w14:paraId="7EF496B7" w14:textId="77777777" w:rsidR="00AD1F54" w:rsidRPr="00264D5D" w:rsidRDefault="00941227">
            <w:pPr>
              <w:pStyle w:val="affffff"/>
              <w:spacing w:before="60" w:after="60" w:line="240" w:lineRule="auto"/>
              <w:ind w:firstLine="0"/>
              <w:rPr>
                <w:sz w:val="22"/>
                <w:szCs w:val="22"/>
              </w:rPr>
            </w:pPr>
            <w:r w:rsidRPr="00264D5D">
              <w:rPr>
                <w:color w:val="000000"/>
                <w:sz w:val="22"/>
                <w:szCs w:val="22"/>
              </w:rPr>
              <w:t>T(1)/ T(9)</w:t>
            </w:r>
          </w:p>
        </w:tc>
        <w:tc>
          <w:tcPr>
            <w:tcW w:w="294" w:type="pct"/>
          </w:tcPr>
          <w:p w14:paraId="0846E1C5" w14:textId="77777777" w:rsidR="00AD1F54" w:rsidRPr="00264D5D" w:rsidRDefault="00941227">
            <w:pPr>
              <w:pStyle w:val="affffff"/>
              <w:spacing w:before="60" w:after="60" w:line="240" w:lineRule="auto"/>
              <w:ind w:firstLine="0"/>
              <w:jc w:val="center"/>
              <w:rPr>
                <w:sz w:val="22"/>
                <w:szCs w:val="22"/>
              </w:rPr>
            </w:pPr>
            <w:r w:rsidRPr="00264D5D">
              <w:rPr>
                <w:color w:val="000000"/>
                <w:sz w:val="22"/>
                <w:szCs w:val="22"/>
              </w:rPr>
              <w:t>О</w:t>
            </w:r>
          </w:p>
        </w:tc>
        <w:tc>
          <w:tcPr>
            <w:tcW w:w="2055" w:type="pct"/>
          </w:tcPr>
          <w:p w14:paraId="224FFCA3" w14:textId="77777777" w:rsidR="00AD1F54" w:rsidRPr="00264D5D" w:rsidRDefault="003E1F19">
            <w:pPr>
              <w:pStyle w:val="afffffffd"/>
              <w:spacing w:before="60"/>
              <w:rPr>
                <w:rFonts w:ascii="Times New Roman" w:hAnsi="Times New Roman"/>
                <w:color w:val="000000"/>
                <w:sz w:val="22"/>
                <w:szCs w:val="22"/>
              </w:rPr>
            </w:pPr>
            <w:r w:rsidRPr="00264D5D">
              <w:rPr>
                <w:rFonts w:ascii="Times New Roman" w:hAnsi="Times New Roman"/>
                <w:color w:val="000000"/>
                <w:sz w:val="22"/>
                <w:szCs w:val="22"/>
              </w:rPr>
              <w:t>(поле 102)*</w:t>
            </w:r>
          </w:p>
          <w:p w14:paraId="719BCA49" w14:textId="77777777" w:rsidR="00AD1F54" w:rsidRPr="00264D5D" w:rsidRDefault="00941227">
            <w:pPr>
              <w:pStyle w:val="afffffffd"/>
              <w:spacing w:before="60"/>
              <w:rPr>
                <w:rFonts w:ascii="Times New Roman" w:hAnsi="Times New Roman"/>
                <w:color w:val="000000"/>
                <w:sz w:val="22"/>
                <w:szCs w:val="22"/>
              </w:rPr>
            </w:pPr>
            <w:r w:rsidRPr="00264D5D">
              <w:rPr>
                <w:rFonts w:ascii="Times New Roman" w:hAnsi="Times New Roman"/>
                <w:color w:val="000000"/>
                <w:sz w:val="22"/>
                <w:szCs w:val="22"/>
              </w:rPr>
              <w:t>Указывается КПП плательщика.</w:t>
            </w:r>
          </w:p>
          <w:p w14:paraId="00AC40E5" w14:textId="77777777" w:rsidR="00AD1F54" w:rsidRPr="00264D5D" w:rsidRDefault="00941227">
            <w:pPr>
              <w:pStyle w:val="affffff"/>
              <w:spacing w:before="60" w:after="60" w:line="240" w:lineRule="auto"/>
              <w:ind w:firstLine="0"/>
              <w:rPr>
                <w:sz w:val="22"/>
                <w:szCs w:val="22"/>
              </w:rPr>
            </w:pPr>
            <w:r w:rsidRPr="00264D5D">
              <w:rPr>
                <w:color w:val="000000"/>
                <w:sz w:val="22"/>
                <w:szCs w:val="22"/>
              </w:rPr>
              <w:t xml:space="preserve">При отсутствии у плательщика </w:t>
            </w:r>
            <w:r w:rsidR="003E1F19" w:rsidRPr="00264D5D">
              <w:rPr>
                <w:color w:val="000000"/>
                <w:sz w:val="22"/>
                <w:szCs w:val="22"/>
              </w:rPr>
              <w:t>КПП, проставляется значение «0»</w:t>
            </w:r>
          </w:p>
        </w:tc>
      </w:tr>
      <w:tr w:rsidR="00AD1F54" w:rsidRPr="00264D5D" w14:paraId="6996D550"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65C78305" w14:textId="77777777" w:rsidR="00AD1F54" w:rsidRPr="00264D5D" w:rsidRDefault="00941227">
            <w:pPr>
              <w:pStyle w:val="affffff"/>
              <w:spacing w:before="60" w:after="60" w:line="240" w:lineRule="auto"/>
              <w:ind w:firstLine="0"/>
              <w:rPr>
                <w:sz w:val="22"/>
                <w:szCs w:val="22"/>
              </w:rPr>
            </w:pPr>
            <w:r w:rsidRPr="00264D5D">
              <w:rPr>
                <w:color w:val="000000"/>
                <w:sz w:val="22"/>
                <w:szCs w:val="22"/>
              </w:rPr>
              <w:t>Наименование плательщика</w:t>
            </w:r>
          </w:p>
        </w:tc>
        <w:tc>
          <w:tcPr>
            <w:tcW w:w="884" w:type="pct"/>
          </w:tcPr>
          <w:p w14:paraId="31FA4663" w14:textId="77777777" w:rsidR="00AD1F54" w:rsidRPr="00264D5D" w:rsidRDefault="00941227">
            <w:pPr>
              <w:pStyle w:val="affffff"/>
              <w:spacing w:before="60" w:after="60" w:line="240" w:lineRule="auto"/>
              <w:ind w:firstLine="0"/>
              <w:rPr>
                <w:sz w:val="22"/>
                <w:szCs w:val="22"/>
              </w:rPr>
            </w:pPr>
            <w:r w:rsidRPr="00264D5D">
              <w:rPr>
                <w:color w:val="000000"/>
                <w:sz w:val="22"/>
                <w:szCs w:val="22"/>
              </w:rPr>
              <w:t>Payer_Name</w:t>
            </w:r>
          </w:p>
        </w:tc>
        <w:tc>
          <w:tcPr>
            <w:tcW w:w="294" w:type="pct"/>
          </w:tcPr>
          <w:p w14:paraId="696B0932" w14:textId="77777777" w:rsidR="00AD1F54" w:rsidRPr="00264D5D" w:rsidRDefault="00941227">
            <w:pPr>
              <w:pStyle w:val="affffff"/>
              <w:spacing w:before="60" w:after="60" w:line="240" w:lineRule="auto"/>
              <w:ind w:firstLine="0"/>
              <w:jc w:val="center"/>
              <w:rPr>
                <w:sz w:val="22"/>
                <w:szCs w:val="22"/>
              </w:rPr>
            </w:pPr>
            <w:r w:rsidRPr="00264D5D">
              <w:rPr>
                <w:sz w:val="22"/>
                <w:szCs w:val="22"/>
              </w:rPr>
              <w:t>П</w:t>
            </w:r>
          </w:p>
        </w:tc>
        <w:tc>
          <w:tcPr>
            <w:tcW w:w="589" w:type="pct"/>
          </w:tcPr>
          <w:p w14:paraId="4A4CBD12" w14:textId="77777777" w:rsidR="00AD1F54" w:rsidRPr="00264D5D" w:rsidRDefault="00941227">
            <w:pPr>
              <w:pStyle w:val="affffff"/>
              <w:spacing w:before="60" w:after="60" w:line="240" w:lineRule="auto"/>
              <w:ind w:firstLine="0"/>
              <w:rPr>
                <w:sz w:val="22"/>
                <w:szCs w:val="22"/>
              </w:rPr>
            </w:pPr>
            <w:r w:rsidRPr="00264D5D">
              <w:rPr>
                <w:color w:val="000000"/>
                <w:sz w:val="22"/>
                <w:szCs w:val="22"/>
              </w:rPr>
              <w:t>T(1-160)</w:t>
            </w:r>
          </w:p>
        </w:tc>
        <w:tc>
          <w:tcPr>
            <w:tcW w:w="294" w:type="pct"/>
          </w:tcPr>
          <w:p w14:paraId="7CFE49AE" w14:textId="77777777" w:rsidR="00AD1F54" w:rsidRPr="00264D5D" w:rsidRDefault="00941227">
            <w:pPr>
              <w:pStyle w:val="affffff"/>
              <w:spacing w:before="60" w:after="60" w:line="240" w:lineRule="auto"/>
              <w:ind w:firstLine="0"/>
              <w:jc w:val="center"/>
              <w:rPr>
                <w:sz w:val="22"/>
                <w:szCs w:val="22"/>
              </w:rPr>
            </w:pPr>
            <w:r w:rsidRPr="00264D5D">
              <w:rPr>
                <w:color w:val="000000"/>
                <w:sz w:val="22"/>
                <w:szCs w:val="22"/>
              </w:rPr>
              <w:t>О</w:t>
            </w:r>
          </w:p>
        </w:tc>
        <w:tc>
          <w:tcPr>
            <w:tcW w:w="2055" w:type="pct"/>
          </w:tcPr>
          <w:p w14:paraId="425D98DD" w14:textId="77777777" w:rsidR="00AD1F54" w:rsidRPr="00264D5D" w:rsidRDefault="003E1F19">
            <w:pPr>
              <w:pStyle w:val="afffffffd"/>
              <w:spacing w:before="60"/>
              <w:rPr>
                <w:rFonts w:ascii="Times New Roman" w:hAnsi="Times New Roman"/>
                <w:color w:val="000000"/>
                <w:sz w:val="22"/>
                <w:szCs w:val="22"/>
              </w:rPr>
            </w:pPr>
            <w:r w:rsidRPr="00264D5D">
              <w:rPr>
                <w:rFonts w:ascii="Times New Roman" w:hAnsi="Times New Roman"/>
                <w:color w:val="000000"/>
                <w:sz w:val="22"/>
                <w:szCs w:val="22"/>
              </w:rPr>
              <w:t>(поле 8)*</w:t>
            </w:r>
          </w:p>
          <w:p w14:paraId="1BBE2B7B" w14:textId="77777777" w:rsidR="00AD1F54" w:rsidRPr="00264D5D" w:rsidRDefault="00941227">
            <w:pPr>
              <w:pStyle w:val="affffff"/>
              <w:spacing w:before="60" w:after="60" w:line="240" w:lineRule="auto"/>
              <w:ind w:firstLine="0"/>
              <w:rPr>
                <w:sz w:val="22"/>
                <w:szCs w:val="22"/>
              </w:rPr>
            </w:pPr>
            <w:r w:rsidRPr="00264D5D">
              <w:rPr>
                <w:color w:val="000000"/>
                <w:sz w:val="22"/>
                <w:szCs w:val="22"/>
              </w:rPr>
              <w:t>Указы</w:t>
            </w:r>
            <w:r w:rsidR="003E1F19" w:rsidRPr="00264D5D">
              <w:rPr>
                <w:color w:val="000000"/>
                <w:sz w:val="22"/>
                <w:szCs w:val="22"/>
              </w:rPr>
              <w:t>вается наименование плательщика</w:t>
            </w:r>
          </w:p>
        </w:tc>
      </w:tr>
      <w:tr w:rsidR="00AD1F54" w:rsidRPr="00264D5D" w14:paraId="3FDBEB9F"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5A8250C7" w14:textId="77777777" w:rsidR="00AD1F54" w:rsidRPr="00264D5D" w:rsidRDefault="00941227">
            <w:pPr>
              <w:pStyle w:val="affffff"/>
              <w:spacing w:before="60" w:after="60" w:line="240" w:lineRule="auto"/>
              <w:ind w:firstLine="0"/>
              <w:rPr>
                <w:sz w:val="22"/>
                <w:szCs w:val="22"/>
              </w:rPr>
            </w:pPr>
            <w:r w:rsidRPr="00264D5D">
              <w:rPr>
                <w:color w:val="000000"/>
                <w:sz w:val="22"/>
                <w:szCs w:val="22"/>
              </w:rPr>
              <w:t>Счет плательщика</w:t>
            </w:r>
          </w:p>
        </w:tc>
        <w:tc>
          <w:tcPr>
            <w:tcW w:w="884" w:type="pct"/>
          </w:tcPr>
          <w:p w14:paraId="5461BFA7" w14:textId="77777777" w:rsidR="00AD1F54" w:rsidRPr="00264D5D" w:rsidRDefault="00941227">
            <w:pPr>
              <w:pStyle w:val="affffff"/>
              <w:spacing w:before="60" w:after="60" w:line="240" w:lineRule="auto"/>
              <w:ind w:firstLine="0"/>
              <w:rPr>
                <w:sz w:val="22"/>
                <w:szCs w:val="22"/>
              </w:rPr>
            </w:pPr>
            <w:r w:rsidRPr="00264D5D">
              <w:rPr>
                <w:color w:val="000000"/>
                <w:sz w:val="22"/>
                <w:szCs w:val="22"/>
              </w:rPr>
              <w:t>Payer_CheckAcc</w:t>
            </w:r>
          </w:p>
        </w:tc>
        <w:tc>
          <w:tcPr>
            <w:tcW w:w="294" w:type="pct"/>
          </w:tcPr>
          <w:p w14:paraId="45024FF2" w14:textId="77777777" w:rsidR="00AD1F54" w:rsidRPr="00264D5D" w:rsidRDefault="00941227">
            <w:pPr>
              <w:pStyle w:val="affffff"/>
              <w:spacing w:before="60" w:after="60" w:line="240" w:lineRule="auto"/>
              <w:ind w:firstLine="0"/>
              <w:jc w:val="center"/>
              <w:rPr>
                <w:sz w:val="22"/>
                <w:szCs w:val="22"/>
              </w:rPr>
            </w:pPr>
            <w:r w:rsidRPr="00264D5D">
              <w:rPr>
                <w:sz w:val="22"/>
                <w:szCs w:val="22"/>
              </w:rPr>
              <w:t>П</w:t>
            </w:r>
          </w:p>
        </w:tc>
        <w:tc>
          <w:tcPr>
            <w:tcW w:w="589" w:type="pct"/>
          </w:tcPr>
          <w:p w14:paraId="04C1CE6F" w14:textId="77777777" w:rsidR="00AD1F54" w:rsidRPr="00264D5D" w:rsidRDefault="00941227">
            <w:pPr>
              <w:pStyle w:val="affffff"/>
              <w:spacing w:before="60" w:after="60" w:line="240" w:lineRule="auto"/>
              <w:ind w:firstLine="0"/>
              <w:rPr>
                <w:sz w:val="22"/>
                <w:szCs w:val="22"/>
              </w:rPr>
            </w:pPr>
            <w:r w:rsidRPr="00264D5D">
              <w:rPr>
                <w:color w:val="000000"/>
                <w:sz w:val="22"/>
                <w:szCs w:val="22"/>
              </w:rPr>
              <w:t>T(20)</w:t>
            </w:r>
          </w:p>
        </w:tc>
        <w:tc>
          <w:tcPr>
            <w:tcW w:w="294" w:type="pct"/>
          </w:tcPr>
          <w:p w14:paraId="1A1931CC" w14:textId="77777777" w:rsidR="00AD1F54" w:rsidRPr="00264D5D" w:rsidRDefault="00941227">
            <w:pPr>
              <w:pStyle w:val="affffff"/>
              <w:spacing w:before="60" w:after="60" w:line="240" w:lineRule="auto"/>
              <w:ind w:firstLine="0"/>
              <w:jc w:val="center"/>
              <w:rPr>
                <w:sz w:val="22"/>
                <w:szCs w:val="22"/>
              </w:rPr>
            </w:pPr>
            <w:r w:rsidRPr="00264D5D">
              <w:rPr>
                <w:color w:val="000000"/>
                <w:sz w:val="22"/>
                <w:szCs w:val="22"/>
              </w:rPr>
              <w:t>Н</w:t>
            </w:r>
          </w:p>
        </w:tc>
        <w:tc>
          <w:tcPr>
            <w:tcW w:w="2055" w:type="pct"/>
          </w:tcPr>
          <w:p w14:paraId="53981ECC" w14:textId="77777777" w:rsidR="00AD1F54" w:rsidRPr="00264D5D" w:rsidRDefault="003E1F19">
            <w:pPr>
              <w:pStyle w:val="afffffffd"/>
              <w:spacing w:before="60"/>
              <w:rPr>
                <w:rFonts w:ascii="Times New Roman" w:hAnsi="Times New Roman"/>
                <w:color w:val="000000"/>
                <w:sz w:val="22"/>
                <w:szCs w:val="22"/>
              </w:rPr>
            </w:pPr>
            <w:r w:rsidRPr="00264D5D">
              <w:rPr>
                <w:rFonts w:ascii="Times New Roman" w:hAnsi="Times New Roman"/>
                <w:color w:val="000000"/>
                <w:sz w:val="22"/>
                <w:szCs w:val="22"/>
              </w:rPr>
              <w:t>(поле 9)*</w:t>
            </w:r>
          </w:p>
          <w:p w14:paraId="0DE26116" w14:textId="77777777" w:rsidR="00AD1F54" w:rsidRPr="00264D5D" w:rsidRDefault="00941227">
            <w:pPr>
              <w:pStyle w:val="affffff"/>
              <w:spacing w:before="60" w:after="60" w:line="240" w:lineRule="auto"/>
              <w:ind w:firstLine="0"/>
              <w:rPr>
                <w:color w:val="000000"/>
                <w:sz w:val="22"/>
                <w:szCs w:val="22"/>
              </w:rPr>
            </w:pPr>
            <w:r w:rsidRPr="00264D5D">
              <w:rPr>
                <w:color w:val="000000"/>
                <w:sz w:val="22"/>
                <w:szCs w:val="22"/>
              </w:rPr>
              <w:t>Указывается номер счета плательщика:</w:t>
            </w:r>
          </w:p>
          <w:p w14:paraId="40B34ED3" w14:textId="77777777" w:rsidR="00AD1F54" w:rsidRPr="00264D5D" w:rsidRDefault="00941227" w:rsidP="00E7460C">
            <w:pPr>
              <w:pStyle w:val="affffff"/>
              <w:numPr>
                <w:ilvl w:val="0"/>
                <w:numId w:val="97"/>
              </w:numPr>
              <w:spacing w:before="60" w:after="60" w:line="240" w:lineRule="auto"/>
              <w:ind w:left="284" w:hanging="227"/>
              <w:rPr>
                <w:color w:val="000000"/>
                <w:sz w:val="22"/>
                <w:szCs w:val="22"/>
              </w:rPr>
            </w:pPr>
            <w:r w:rsidRPr="00264D5D">
              <w:rPr>
                <w:color w:val="000000"/>
                <w:sz w:val="22"/>
                <w:szCs w:val="22"/>
              </w:rPr>
              <w:t>казначейский счет, если плательщик обслуживается в ТОФК;</w:t>
            </w:r>
          </w:p>
          <w:p w14:paraId="39E3D995" w14:textId="77777777" w:rsidR="00AD1F54" w:rsidRPr="00264D5D" w:rsidRDefault="00941227" w:rsidP="00E7460C">
            <w:pPr>
              <w:pStyle w:val="affffff"/>
              <w:numPr>
                <w:ilvl w:val="0"/>
                <w:numId w:val="97"/>
              </w:numPr>
              <w:spacing w:before="60" w:after="60" w:line="240" w:lineRule="auto"/>
              <w:ind w:left="284" w:hanging="227"/>
              <w:rPr>
                <w:color w:val="000000"/>
                <w:sz w:val="22"/>
                <w:szCs w:val="22"/>
              </w:rPr>
            </w:pPr>
            <w:r w:rsidRPr="00264D5D">
              <w:rPr>
                <w:color w:val="000000"/>
                <w:sz w:val="22"/>
                <w:szCs w:val="22"/>
              </w:rPr>
              <w:t>расчетный счет – в иных случаях.</w:t>
            </w:r>
          </w:p>
          <w:p w14:paraId="751EF64D" w14:textId="77777777" w:rsidR="00AD1F54" w:rsidRPr="00264D5D" w:rsidRDefault="00941227">
            <w:pPr>
              <w:pStyle w:val="affffff"/>
              <w:spacing w:before="60" w:after="60" w:line="240" w:lineRule="auto"/>
              <w:ind w:firstLine="0"/>
              <w:rPr>
                <w:sz w:val="22"/>
                <w:szCs w:val="22"/>
              </w:rPr>
            </w:pPr>
            <w:r w:rsidRPr="00264D5D">
              <w:rPr>
                <w:color w:val="000000"/>
                <w:sz w:val="22"/>
                <w:szCs w:val="22"/>
              </w:rPr>
              <w:t>Поле может не заполняться, если плат</w:t>
            </w:r>
            <w:r w:rsidR="003E1F19" w:rsidRPr="00264D5D">
              <w:rPr>
                <w:color w:val="000000"/>
                <w:sz w:val="22"/>
                <w:szCs w:val="22"/>
              </w:rPr>
              <w:t>ельщиком является КО, филиал КО</w:t>
            </w:r>
          </w:p>
        </w:tc>
      </w:tr>
      <w:tr w:rsidR="00AD1F54" w:rsidRPr="00264D5D" w14:paraId="6E4C7117"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72EB1225" w14:textId="77777777" w:rsidR="00AD1F54" w:rsidRPr="00264D5D" w:rsidRDefault="00941227">
            <w:pPr>
              <w:pStyle w:val="affffff"/>
              <w:spacing w:before="60" w:after="60" w:line="240" w:lineRule="auto"/>
              <w:ind w:firstLine="0"/>
              <w:rPr>
                <w:sz w:val="22"/>
                <w:szCs w:val="22"/>
              </w:rPr>
            </w:pPr>
            <w:r w:rsidRPr="00264D5D">
              <w:rPr>
                <w:color w:val="000000"/>
                <w:sz w:val="22"/>
                <w:szCs w:val="22"/>
              </w:rPr>
              <w:t>БИК банка/ТОФК Плательщика</w:t>
            </w:r>
          </w:p>
        </w:tc>
        <w:tc>
          <w:tcPr>
            <w:tcW w:w="884" w:type="pct"/>
          </w:tcPr>
          <w:p w14:paraId="3F23F80C" w14:textId="77777777" w:rsidR="00AD1F54" w:rsidRPr="00264D5D" w:rsidRDefault="00941227">
            <w:pPr>
              <w:pStyle w:val="affffff"/>
              <w:spacing w:before="60" w:after="60" w:line="240" w:lineRule="auto"/>
              <w:ind w:firstLine="0"/>
              <w:rPr>
                <w:sz w:val="22"/>
                <w:szCs w:val="22"/>
              </w:rPr>
            </w:pPr>
            <w:r w:rsidRPr="00264D5D">
              <w:rPr>
                <w:color w:val="000000"/>
                <w:sz w:val="22"/>
                <w:szCs w:val="22"/>
              </w:rPr>
              <w:t>Payer_BIK</w:t>
            </w:r>
          </w:p>
        </w:tc>
        <w:tc>
          <w:tcPr>
            <w:tcW w:w="294" w:type="pct"/>
          </w:tcPr>
          <w:p w14:paraId="61EFBFB2" w14:textId="77777777" w:rsidR="00AD1F54" w:rsidRPr="00264D5D" w:rsidRDefault="00941227">
            <w:pPr>
              <w:pStyle w:val="affffff"/>
              <w:spacing w:before="60" w:after="60" w:line="240" w:lineRule="auto"/>
              <w:ind w:firstLine="0"/>
              <w:jc w:val="center"/>
              <w:rPr>
                <w:sz w:val="22"/>
                <w:szCs w:val="22"/>
              </w:rPr>
            </w:pPr>
            <w:r w:rsidRPr="00264D5D">
              <w:rPr>
                <w:sz w:val="22"/>
                <w:szCs w:val="22"/>
              </w:rPr>
              <w:t>П</w:t>
            </w:r>
          </w:p>
        </w:tc>
        <w:tc>
          <w:tcPr>
            <w:tcW w:w="589" w:type="pct"/>
          </w:tcPr>
          <w:p w14:paraId="4599F99D" w14:textId="77777777" w:rsidR="00AD1F54" w:rsidRPr="00264D5D" w:rsidRDefault="00941227">
            <w:pPr>
              <w:pStyle w:val="affffff"/>
              <w:spacing w:before="60" w:after="60" w:line="240" w:lineRule="auto"/>
              <w:ind w:firstLine="0"/>
              <w:rPr>
                <w:sz w:val="22"/>
                <w:szCs w:val="22"/>
              </w:rPr>
            </w:pPr>
            <w:r w:rsidRPr="00264D5D">
              <w:rPr>
                <w:color w:val="000000"/>
                <w:sz w:val="22"/>
                <w:szCs w:val="22"/>
              </w:rPr>
              <w:t>T(9)</w:t>
            </w:r>
          </w:p>
        </w:tc>
        <w:tc>
          <w:tcPr>
            <w:tcW w:w="294" w:type="pct"/>
          </w:tcPr>
          <w:p w14:paraId="3F09CFBB" w14:textId="77777777" w:rsidR="00AD1F54" w:rsidRPr="00264D5D" w:rsidRDefault="00941227">
            <w:pPr>
              <w:pStyle w:val="affffff"/>
              <w:spacing w:before="60" w:after="60" w:line="240" w:lineRule="auto"/>
              <w:ind w:firstLine="0"/>
              <w:jc w:val="center"/>
              <w:rPr>
                <w:sz w:val="22"/>
                <w:szCs w:val="22"/>
              </w:rPr>
            </w:pPr>
            <w:r w:rsidRPr="00264D5D">
              <w:rPr>
                <w:color w:val="000000"/>
                <w:sz w:val="22"/>
                <w:szCs w:val="22"/>
              </w:rPr>
              <w:t>О</w:t>
            </w:r>
          </w:p>
        </w:tc>
        <w:tc>
          <w:tcPr>
            <w:tcW w:w="2055" w:type="pct"/>
          </w:tcPr>
          <w:p w14:paraId="76730EA6" w14:textId="77777777" w:rsidR="00AD1F54" w:rsidRPr="00264D5D" w:rsidRDefault="003E1F19">
            <w:pPr>
              <w:pStyle w:val="afffffffd"/>
              <w:spacing w:before="60"/>
              <w:rPr>
                <w:rFonts w:ascii="Times New Roman" w:hAnsi="Times New Roman"/>
                <w:color w:val="000000"/>
                <w:sz w:val="22"/>
                <w:szCs w:val="22"/>
              </w:rPr>
            </w:pPr>
            <w:r w:rsidRPr="00264D5D">
              <w:rPr>
                <w:rFonts w:ascii="Times New Roman" w:hAnsi="Times New Roman"/>
                <w:color w:val="000000"/>
                <w:sz w:val="22"/>
                <w:szCs w:val="22"/>
              </w:rPr>
              <w:t>(поле 11)*</w:t>
            </w:r>
          </w:p>
          <w:p w14:paraId="3705EEB7" w14:textId="77777777" w:rsidR="00AD1F54" w:rsidRPr="00264D5D" w:rsidRDefault="00941227">
            <w:pPr>
              <w:pStyle w:val="affffff"/>
              <w:spacing w:before="60" w:after="60" w:line="240" w:lineRule="auto"/>
              <w:ind w:firstLine="0"/>
              <w:rPr>
                <w:color w:val="000000"/>
                <w:sz w:val="22"/>
                <w:szCs w:val="22"/>
              </w:rPr>
            </w:pPr>
            <w:r w:rsidRPr="00264D5D">
              <w:rPr>
                <w:color w:val="000000"/>
                <w:sz w:val="22"/>
                <w:szCs w:val="22"/>
              </w:rPr>
              <w:t>Указывается:</w:t>
            </w:r>
          </w:p>
          <w:p w14:paraId="79A3B86C" w14:textId="77777777" w:rsidR="00AD1F54" w:rsidRPr="00264D5D" w:rsidRDefault="00941227" w:rsidP="00E7460C">
            <w:pPr>
              <w:pStyle w:val="affffff"/>
              <w:numPr>
                <w:ilvl w:val="0"/>
                <w:numId w:val="97"/>
              </w:numPr>
              <w:spacing w:before="60" w:after="60" w:line="240" w:lineRule="auto"/>
              <w:ind w:left="284" w:hanging="227"/>
              <w:rPr>
                <w:color w:val="000000"/>
                <w:sz w:val="22"/>
                <w:szCs w:val="22"/>
              </w:rPr>
            </w:pPr>
            <w:r w:rsidRPr="00264D5D">
              <w:rPr>
                <w:color w:val="000000"/>
                <w:sz w:val="22"/>
                <w:szCs w:val="22"/>
              </w:rPr>
              <w:t>БИК ТОФК, если плательщик обслуживается в ТОФК;</w:t>
            </w:r>
          </w:p>
          <w:p w14:paraId="18E6EE30" w14:textId="77777777" w:rsidR="00AD1F54" w:rsidRPr="00264D5D" w:rsidRDefault="00941227" w:rsidP="00E7460C">
            <w:pPr>
              <w:pStyle w:val="affffff"/>
              <w:numPr>
                <w:ilvl w:val="0"/>
                <w:numId w:val="97"/>
              </w:numPr>
              <w:spacing w:before="60" w:after="60" w:line="240" w:lineRule="auto"/>
              <w:ind w:left="284" w:hanging="227"/>
              <w:rPr>
                <w:sz w:val="22"/>
                <w:szCs w:val="22"/>
              </w:rPr>
            </w:pPr>
            <w:r w:rsidRPr="00264D5D">
              <w:rPr>
                <w:color w:val="000000"/>
                <w:sz w:val="22"/>
                <w:szCs w:val="22"/>
              </w:rPr>
              <w:t>БИК банка, в котором открыт счет плат</w:t>
            </w:r>
            <w:r w:rsidR="003E1F19" w:rsidRPr="00264D5D">
              <w:rPr>
                <w:color w:val="000000"/>
                <w:sz w:val="22"/>
                <w:szCs w:val="22"/>
              </w:rPr>
              <w:t>ельщика платежа, в иных случаях</w:t>
            </w:r>
          </w:p>
        </w:tc>
      </w:tr>
      <w:tr w:rsidR="00AD1F54" w:rsidRPr="00264D5D" w14:paraId="5C95B86E" w14:textId="77777777" w:rsidTr="00AD1F54">
        <w:trPr>
          <w:cnfStyle w:val="000000100000" w:firstRow="0" w:lastRow="0" w:firstColumn="0" w:lastColumn="0" w:oddVBand="0" w:evenVBand="0" w:oddHBand="1" w:evenHBand="0" w:firstRowFirstColumn="0" w:firstRowLastColumn="0" w:lastRowFirstColumn="0" w:lastRowLastColumn="0"/>
          <w:trHeight w:val="3085"/>
        </w:trPr>
        <w:tc>
          <w:tcPr>
            <w:tcW w:w="884" w:type="pct"/>
          </w:tcPr>
          <w:p w14:paraId="059B6E67" w14:textId="77777777" w:rsidR="00AD1F54" w:rsidRPr="00264D5D" w:rsidRDefault="00941227">
            <w:pPr>
              <w:pStyle w:val="affffff"/>
              <w:spacing w:before="60" w:after="60" w:line="240" w:lineRule="auto"/>
              <w:ind w:firstLine="0"/>
              <w:rPr>
                <w:sz w:val="22"/>
                <w:szCs w:val="22"/>
              </w:rPr>
            </w:pPr>
            <w:r w:rsidRPr="00264D5D">
              <w:rPr>
                <w:color w:val="000000"/>
                <w:sz w:val="22"/>
                <w:szCs w:val="22"/>
              </w:rPr>
              <w:t>Наименование банка/ТОФК Плательщика</w:t>
            </w:r>
          </w:p>
        </w:tc>
        <w:tc>
          <w:tcPr>
            <w:tcW w:w="884" w:type="pct"/>
          </w:tcPr>
          <w:p w14:paraId="36E72063" w14:textId="77777777" w:rsidR="00AD1F54" w:rsidRPr="00264D5D" w:rsidRDefault="00941227">
            <w:pPr>
              <w:pStyle w:val="affffff"/>
              <w:spacing w:before="60" w:after="60" w:line="240" w:lineRule="auto"/>
              <w:ind w:firstLine="0"/>
              <w:rPr>
                <w:sz w:val="22"/>
                <w:szCs w:val="22"/>
              </w:rPr>
            </w:pPr>
            <w:r w:rsidRPr="00264D5D">
              <w:rPr>
                <w:color w:val="000000"/>
                <w:sz w:val="22"/>
                <w:szCs w:val="22"/>
              </w:rPr>
              <w:t>Payer_BankName</w:t>
            </w:r>
          </w:p>
        </w:tc>
        <w:tc>
          <w:tcPr>
            <w:tcW w:w="294" w:type="pct"/>
          </w:tcPr>
          <w:p w14:paraId="5BD24DEE" w14:textId="77777777" w:rsidR="00AD1F54" w:rsidRPr="00264D5D" w:rsidRDefault="00941227">
            <w:pPr>
              <w:pStyle w:val="affffff"/>
              <w:spacing w:before="60" w:after="60" w:line="240" w:lineRule="auto"/>
              <w:ind w:firstLine="0"/>
              <w:jc w:val="center"/>
              <w:rPr>
                <w:sz w:val="22"/>
                <w:szCs w:val="22"/>
              </w:rPr>
            </w:pPr>
            <w:r w:rsidRPr="00264D5D">
              <w:rPr>
                <w:sz w:val="22"/>
                <w:szCs w:val="22"/>
              </w:rPr>
              <w:t>П</w:t>
            </w:r>
          </w:p>
        </w:tc>
        <w:tc>
          <w:tcPr>
            <w:tcW w:w="589" w:type="pct"/>
          </w:tcPr>
          <w:p w14:paraId="2E0486BE" w14:textId="77777777" w:rsidR="00AD1F54" w:rsidRPr="00264D5D" w:rsidRDefault="00941227">
            <w:pPr>
              <w:pStyle w:val="affffff"/>
              <w:spacing w:before="60" w:after="60" w:line="240" w:lineRule="auto"/>
              <w:ind w:firstLine="0"/>
              <w:rPr>
                <w:sz w:val="22"/>
                <w:szCs w:val="22"/>
              </w:rPr>
            </w:pPr>
            <w:r w:rsidRPr="00264D5D">
              <w:rPr>
                <w:color w:val="000000"/>
                <w:sz w:val="22"/>
                <w:szCs w:val="22"/>
              </w:rPr>
              <w:t>T(1-160)</w:t>
            </w:r>
          </w:p>
        </w:tc>
        <w:tc>
          <w:tcPr>
            <w:tcW w:w="294" w:type="pct"/>
          </w:tcPr>
          <w:p w14:paraId="7EB1F459" w14:textId="77777777" w:rsidR="00AD1F54" w:rsidRPr="00264D5D" w:rsidRDefault="00941227">
            <w:pPr>
              <w:pStyle w:val="affffff"/>
              <w:spacing w:before="60" w:after="60" w:line="240" w:lineRule="auto"/>
              <w:ind w:firstLine="0"/>
              <w:jc w:val="center"/>
              <w:rPr>
                <w:sz w:val="22"/>
                <w:szCs w:val="22"/>
                <w:lang w:val="en-US"/>
              </w:rPr>
            </w:pPr>
            <w:r w:rsidRPr="00264D5D">
              <w:rPr>
                <w:color w:val="000000"/>
                <w:sz w:val="22"/>
                <w:szCs w:val="22"/>
              </w:rPr>
              <w:t>О</w:t>
            </w:r>
          </w:p>
        </w:tc>
        <w:tc>
          <w:tcPr>
            <w:tcW w:w="2055" w:type="pct"/>
          </w:tcPr>
          <w:p w14:paraId="0BF7E58F" w14:textId="77777777" w:rsidR="00AD1F54" w:rsidRPr="00264D5D" w:rsidRDefault="003E1F19">
            <w:pPr>
              <w:pStyle w:val="afffffffd"/>
              <w:spacing w:before="60"/>
              <w:rPr>
                <w:rFonts w:ascii="Times New Roman" w:hAnsi="Times New Roman"/>
                <w:color w:val="000000"/>
                <w:sz w:val="22"/>
                <w:szCs w:val="22"/>
              </w:rPr>
            </w:pPr>
            <w:r w:rsidRPr="00264D5D">
              <w:rPr>
                <w:rFonts w:ascii="Times New Roman" w:hAnsi="Times New Roman"/>
                <w:color w:val="000000"/>
                <w:sz w:val="22"/>
                <w:szCs w:val="22"/>
              </w:rPr>
              <w:t>(поле 10)*</w:t>
            </w:r>
          </w:p>
          <w:p w14:paraId="402E4FBA" w14:textId="77777777" w:rsidR="00AD1F54" w:rsidRPr="00264D5D" w:rsidRDefault="00941227">
            <w:pPr>
              <w:pStyle w:val="afffffffd"/>
              <w:spacing w:before="60"/>
              <w:rPr>
                <w:rFonts w:ascii="Times New Roman" w:hAnsi="Times New Roman"/>
                <w:color w:val="000000"/>
                <w:sz w:val="22"/>
                <w:szCs w:val="22"/>
              </w:rPr>
            </w:pPr>
            <w:r w:rsidRPr="00264D5D">
              <w:rPr>
                <w:rFonts w:ascii="Times New Roman" w:hAnsi="Times New Roman"/>
                <w:color w:val="000000"/>
                <w:sz w:val="22"/>
                <w:szCs w:val="22"/>
              </w:rPr>
              <w:t>Указывается:</w:t>
            </w:r>
          </w:p>
          <w:p w14:paraId="4BB575ED" w14:textId="77777777" w:rsidR="00AD1F54" w:rsidRPr="00264D5D" w:rsidRDefault="00941227" w:rsidP="00E7460C">
            <w:pPr>
              <w:pStyle w:val="affffff"/>
              <w:numPr>
                <w:ilvl w:val="0"/>
                <w:numId w:val="97"/>
              </w:numPr>
              <w:spacing w:before="60" w:after="60" w:line="240" w:lineRule="auto"/>
              <w:ind w:left="284" w:hanging="227"/>
              <w:rPr>
                <w:color w:val="000000"/>
                <w:sz w:val="22"/>
                <w:szCs w:val="22"/>
              </w:rPr>
            </w:pPr>
            <w:r w:rsidRPr="00264D5D">
              <w:rPr>
                <w:color w:val="000000"/>
                <w:sz w:val="22"/>
                <w:szCs w:val="22"/>
              </w:rPr>
              <w:t>Наименование банка, обслуживающего ТОФК плательщика, знак «//», сокращенное наименование и место нахождения ТОФК плательщика, если плательщик платежа является участником СКП;</w:t>
            </w:r>
          </w:p>
          <w:p w14:paraId="0B79D965" w14:textId="77777777" w:rsidR="00AD1F54" w:rsidRPr="00264D5D" w:rsidRDefault="00941227" w:rsidP="00E7460C">
            <w:pPr>
              <w:pStyle w:val="affffff"/>
              <w:numPr>
                <w:ilvl w:val="0"/>
                <w:numId w:val="97"/>
              </w:numPr>
              <w:spacing w:before="60" w:after="60" w:line="240" w:lineRule="auto"/>
              <w:ind w:left="284" w:hanging="227"/>
              <w:rPr>
                <w:sz w:val="22"/>
                <w:szCs w:val="22"/>
              </w:rPr>
            </w:pPr>
            <w:r w:rsidRPr="00264D5D">
              <w:rPr>
                <w:color w:val="000000"/>
                <w:sz w:val="22"/>
                <w:szCs w:val="22"/>
              </w:rPr>
              <w:t>Наименование банка, в котором открыт счет плат</w:t>
            </w:r>
            <w:r w:rsidR="003E1F19" w:rsidRPr="00264D5D">
              <w:rPr>
                <w:color w:val="000000"/>
                <w:sz w:val="22"/>
                <w:szCs w:val="22"/>
              </w:rPr>
              <w:t>ельщика платежа, в иных случаях</w:t>
            </w:r>
          </w:p>
        </w:tc>
      </w:tr>
      <w:tr w:rsidR="00AD1F54" w:rsidRPr="00264D5D" w14:paraId="2418D6A1"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76D12B66" w14:textId="77777777" w:rsidR="00AD1F54" w:rsidRPr="00264D5D" w:rsidRDefault="00941227">
            <w:pPr>
              <w:pStyle w:val="affffff"/>
              <w:spacing w:before="60" w:after="60" w:line="240" w:lineRule="auto"/>
              <w:ind w:firstLine="0"/>
              <w:rPr>
                <w:sz w:val="22"/>
                <w:szCs w:val="22"/>
              </w:rPr>
            </w:pPr>
            <w:r w:rsidRPr="00264D5D">
              <w:rPr>
                <w:color w:val="000000"/>
                <w:sz w:val="22"/>
                <w:szCs w:val="22"/>
              </w:rPr>
              <w:t>Коррсчет банка/ТОФК Плательщика</w:t>
            </w:r>
          </w:p>
        </w:tc>
        <w:tc>
          <w:tcPr>
            <w:tcW w:w="884" w:type="pct"/>
          </w:tcPr>
          <w:p w14:paraId="517AE748" w14:textId="77777777" w:rsidR="00AD1F54" w:rsidRPr="00264D5D" w:rsidRDefault="00941227">
            <w:pPr>
              <w:pStyle w:val="affffff"/>
              <w:spacing w:before="60" w:after="60" w:line="240" w:lineRule="auto"/>
              <w:ind w:firstLine="0"/>
              <w:rPr>
                <w:sz w:val="22"/>
                <w:szCs w:val="22"/>
              </w:rPr>
            </w:pPr>
            <w:r w:rsidRPr="00264D5D">
              <w:rPr>
                <w:color w:val="000000"/>
                <w:sz w:val="22"/>
                <w:szCs w:val="22"/>
              </w:rPr>
              <w:t>Payer_CorrAcc</w:t>
            </w:r>
          </w:p>
        </w:tc>
        <w:tc>
          <w:tcPr>
            <w:tcW w:w="294" w:type="pct"/>
          </w:tcPr>
          <w:p w14:paraId="73079F7A" w14:textId="77777777" w:rsidR="00AD1F54" w:rsidRPr="00264D5D" w:rsidRDefault="00941227">
            <w:pPr>
              <w:pStyle w:val="affffff"/>
              <w:spacing w:before="60" w:after="60" w:line="240" w:lineRule="auto"/>
              <w:ind w:firstLine="0"/>
              <w:jc w:val="center"/>
              <w:rPr>
                <w:sz w:val="22"/>
                <w:szCs w:val="22"/>
                <w:lang w:val="en-US"/>
              </w:rPr>
            </w:pPr>
            <w:r w:rsidRPr="00264D5D">
              <w:rPr>
                <w:sz w:val="22"/>
                <w:szCs w:val="22"/>
              </w:rPr>
              <w:t>П</w:t>
            </w:r>
          </w:p>
        </w:tc>
        <w:tc>
          <w:tcPr>
            <w:tcW w:w="589" w:type="pct"/>
          </w:tcPr>
          <w:p w14:paraId="067E01DC" w14:textId="77777777" w:rsidR="00AD1F54" w:rsidRPr="00264D5D" w:rsidRDefault="00941227">
            <w:pPr>
              <w:pStyle w:val="affffff"/>
              <w:spacing w:before="60" w:after="60" w:line="240" w:lineRule="auto"/>
              <w:ind w:firstLine="0"/>
              <w:rPr>
                <w:sz w:val="22"/>
                <w:szCs w:val="22"/>
              </w:rPr>
            </w:pPr>
            <w:r w:rsidRPr="00264D5D">
              <w:rPr>
                <w:color w:val="000000"/>
                <w:sz w:val="22"/>
                <w:szCs w:val="22"/>
              </w:rPr>
              <w:t>T(20)</w:t>
            </w:r>
          </w:p>
        </w:tc>
        <w:tc>
          <w:tcPr>
            <w:tcW w:w="294" w:type="pct"/>
          </w:tcPr>
          <w:p w14:paraId="2B1A1630" w14:textId="77777777" w:rsidR="00AD1F54" w:rsidRPr="00264D5D" w:rsidRDefault="00941227">
            <w:pPr>
              <w:pStyle w:val="affffff"/>
              <w:spacing w:before="60" w:after="60" w:line="240" w:lineRule="auto"/>
              <w:ind w:firstLine="0"/>
              <w:jc w:val="center"/>
              <w:rPr>
                <w:sz w:val="22"/>
                <w:szCs w:val="22"/>
              </w:rPr>
            </w:pPr>
            <w:r w:rsidRPr="00264D5D">
              <w:rPr>
                <w:color w:val="000000"/>
                <w:sz w:val="22"/>
                <w:szCs w:val="22"/>
              </w:rPr>
              <w:t>Н</w:t>
            </w:r>
          </w:p>
        </w:tc>
        <w:tc>
          <w:tcPr>
            <w:tcW w:w="2055" w:type="pct"/>
          </w:tcPr>
          <w:p w14:paraId="22D1EAEF" w14:textId="77777777" w:rsidR="00AD1F54" w:rsidRPr="00264D5D" w:rsidRDefault="003E1F19">
            <w:pPr>
              <w:pStyle w:val="afffffffd"/>
              <w:spacing w:before="60"/>
              <w:rPr>
                <w:rFonts w:ascii="Times New Roman" w:hAnsi="Times New Roman"/>
                <w:color w:val="000000"/>
                <w:sz w:val="22"/>
                <w:szCs w:val="22"/>
              </w:rPr>
            </w:pPr>
            <w:r w:rsidRPr="00264D5D">
              <w:rPr>
                <w:rFonts w:ascii="Times New Roman" w:hAnsi="Times New Roman"/>
                <w:color w:val="000000"/>
                <w:sz w:val="22"/>
                <w:szCs w:val="22"/>
              </w:rPr>
              <w:t>(поле 12)*</w:t>
            </w:r>
          </w:p>
          <w:p w14:paraId="6A2E8ED7" w14:textId="77777777" w:rsidR="00AD1F54" w:rsidRPr="00264D5D" w:rsidRDefault="00941227">
            <w:pPr>
              <w:pStyle w:val="GOSTTablenorm"/>
              <w:rPr>
                <w:rStyle w:val="GOSTSymItalic"/>
                <w:i w:val="0"/>
                <w:szCs w:val="22"/>
              </w:rPr>
            </w:pPr>
            <w:r w:rsidRPr="00264D5D">
              <w:rPr>
                <w:rStyle w:val="GOSTSymItalic"/>
                <w:i w:val="0"/>
                <w:szCs w:val="22"/>
              </w:rPr>
              <w:t>Указывается номер счета:</w:t>
            </w:r>
          </w:p>
          <w:p w14:paraId="172ABAE7" w14:textId="77777777" w:rsidR="00AD1F54" w:rsidRPr="00264D5D" w:rsidRDefault="00941227" w:rsidP="00E7460C">
            <w:pPr>
              <w:pStyle w:val="affffff"/>
              <w:numPr>
                <w:ilvl w:val="0"/>
                <w:numId w:val="97"/>
              </w:numPr>
              <w:spacing w:before="60" w:after="60" w:line="240" w:lineRule="auto"/>
              <w:ind w:left="284" w:hanging="227"/>
              <w:rPr>
                <w:color w:val="000000"/>
                <w:sz w:val="22"/>
              </w:rPr>
            </w:pPr>
            <w:r w:rsidRPr="00264D5D">
              <w:rPr>
                <w:color w:val="000000"/>
                <w:sz w:val="22"/>
              </w:rPr>
              <w:t>корсчет ТОФК, в котором обслуживается плательщик;</w:t>
            </w:r>
          </w:p>
          <w:p w14:paraId="5D50FFDD" w14:textId="77777777" w:rsidR="00AD1F54" w:rsidRPr="00264D5D" w:rsidRDefault="00941227" w:rsidP="00E7460C">
            <w:pPr>
              <w:pStyle w:val="affffff"/>
              <w:numPr>
                <w:ilvl w:val="0"/>
                <w:numId w:val="97"/>
              </w:numPr>
              <w:spacing w:before="60" w:after="60" w:line="240" w:lineRule="auto"/>
              <w:ind w:left="284" w:hanging="227"/>
              <w:rPr>
                <w:color w:val="000000"/>
                <w:sz w:val="22"/>
              </w:rPr>
            </w:pPr>
            <w:r w:rsidRPr="00264D5D">
              <w:rPr>
                <w:color w:val="000000"/>
                <w:sz w:val="22"/>
              </w:rPr>
              <w:t xml:space="preserve">корсчет банка плательщика платежа, </w:t>
            </w:r>
            <w:r w:rsidRPr="00264D5D">
              <w:rPr>
                <w:color w:val="000000"/>
                <w:sz w:val="22"/>
              </w:rPr>
              <w:lastRenderedPageBreak/>
              <w:t xml:space="preserve">в иных случаях. </w:t>
            </w:r>
          </w:p>
          <w:p w14:paraId="0774BA39" w14:textId="77777777" w:rsidR="00AD1F54" w:rsidRPr="00264D5D" w:rsidRDefault="00941227">
            <w:pPr>
              <w:pStyle w:val="affffff"/>
              <w:spacing w:before="60" w:after="60" w:line="240" w:lineRule="auto"/>
              <w:ind w:firstLine="0"/>
              <w:rPr>
                <w:sz w:val="22"/>
                <w:szCs w:val="22"/>
              </w:rPr>
            </w:pPr>
            <w:r w:rsidRPr="00264D5D">
              <w:rPr>
                <w:rStyle w:val="GOSTSymItalic"/>
                <w:i w:val="0"/>
                <w:spacing w:val="-5"/>
                <w:sz w:val="22"/>
                <w:szCs w:val="22"/>
              </w:rPr>
              <w:t>Поле не заполняется, если плательщик – клиент, не являющийся КО, филиалом КО, или обслуживающий</w:t>
            </w:r>
            <w:r w:rsidR="003E1F19" w:rsidRPr="00264D5D">
              <w:rPr>
                <w:rStyle w:val="GOSTSymItalic"/>
                <w:i w:val="0"/>
                <w:spacing w:val="-5"/>
                <w:sz w:val="22"/>
                <w:szCs w:val="22"/>
              </w:rPr>
              <w:t>ся в подразделении Банка России</w:t>
            </w:r>
          </w:p>
        </w:tc>
      </w:tr>
      <w:tr w:rsidR="00AD1F54" w:rsidRPr="00264D5D" w14:paraId="094D745D"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67EEA19F" w14:textId="77777777" w:rsidR="00AD1F54" w:rsidRPr="00264D5D" w:rsidRDefault="00941227">
            <w:pPr>
              <w:pStyle w:val="affffff"/>
              <w:spacing w:before="60" w:after="60" w:line="240" w:lineRule="auto"/>
              <w:ind w:firstLine="0"/>
              <w:rPr>
                <w:sz w:val="22"/>
                <w:szCs w:val="22"/>
              </w:rPr>
            </w:pPr>
            <w:r w:rsidRPr="00264D5D">
              <w:rPr>
                <w:color w:val="000000"/>
                <w:sz w:val="22"/>
                <w:szCs w:val="22"/>
              </w:rPr>
              <w:lastRenderedPageBreak/>
              <w:t>ИНН получателя</w:t>
            </w:r>
          </w:p>
        </w:tc>
        <w:tc>
          <w:tcPr>
            <w:tcW w:w="884" w:type="pct"/>
          </w:tcPr>
          <w:p w14:paraId="48BB475F" w14:textId="77777777" w:rsidR="00AD1F54" w:rsidRPr="00264D5D" w:rsidRDefault="00941227">
            <w:pPr>
              <w:pStyle w:val="affffff"/>
              <w:spacing w:before="60" w:after="60" w:line="240" w:lineRule="auto"/>
              <w:ind w:firstLine="0"/>
              <w:rPr>
                <w:sz w:val="22"/>
                <w:szCs w:val="22"/>
              </w:rPr>
            </w:pPr>
            <w:r w:rsidRPr="00264D5D">
              <w:rPr>
                <w:color w:val="000000"/>
                <w:sz w:val="22"/>
                <w:szCs w:val="22"/>
              </w:rPr>
              <w:t>Recip_INN</w:t>
            </w:r>
          </w:p>
        </w:tc>
        <w:tc>
          <w:tcPr>
            <w:tcW w:w="294" w:type="pct"/>
          </w:tcPr>
          <w:p w14:paraId="53ADF5F5" w14:textId="77777777" w:rsidR="00AD1F54" w:rsidRPr="00264D5D" w:rsidRDefault="00941227">
            <w:pPr>
              <w:pStyle w:val="affffff"/>
              <w:spacing w:before="60" w:after="60" w:line="240" w:lineRule="auto"/>
              <w:ind w:firstLine="0"/>
              <w:jc w:val="center"/>
              <w:rPr>
                <w:sz w:val="22"/>
                <w:szCs w:val="22"/>
              </w:rPr>
            </w:pPr>
            <w:r w:rsidRPr="00264D5D">
              <w:rPr>
                <w:sz w:val="22"/>
                <w:szCs w:val="22"/>
              </w:rPr>
              <w:t>П</w:t>
            </w:r>
          </w:p>
        </w:tc>
        <w:tc>
          <w:tcPr>
            <w:tcW w:w="589" w:type="pct"/>
          </w:tcPr>
          <w:p w14:paraId="53C187CD" w14:textId="77777777" w:rsidR="00AD1F54" w:rsidRPr="00264D5D" w:rsidRDefault="00941227">
            <w:pPr>
              <w:pStyle w:val="affffff"/>
              <w:spacing w:before="60" w:after="60" w:line="240" w:lineRule="auto"/>
              <w:ind w:firstLine="0"/>
              <w:rPr>
                <w:sz w:val="22"/>
                <w:szCs w:val="22"/>
              </w:rPr>
            </w:pPr>
            <w:r w:rsidRPr="00264D5D">
              <w:rPr>
                <w:color w:val="000000"/>
                <w:sz w:val="22"/>
                <w:szCs w:val="22"/>
              </w:rPr>
              <w:t>T(1-12)</w:t>
            </w:r>
          </w:p>
        </w:tc>
        <w:tc>
          <w:tcPr>
            <w:tcW w:w="294" w:type="pct"/>
          </w:tcPr>
          <w:p w14:paraId="4283AE78" w14:textId="77777777" w:rsidR="00AD1F54" w:rsidRPr="00264D5D" w:rsidRDefault="00941227">
            <w:pPr>
              <w:pStyle w:val="affffff"/>
              <w:spacing w:before="60" w:after="60" w:line="240" w:lineRule="auto"/>
              <w:ind w:firstLine="0"/>
              <w:jc w:val="center"/>
              <w:rPr>
                <w:sz w:val="22"/>
                <w:szCs w:val="22"/>
              </w:rPr>
            </w:pPr>
            <w:r w:rsidRPr="00264D5D">
              <w:rPr>
                <w:color w:val="000000"/>
                <w:sz w:val="22"/>
                <w:szCs w:val="22"/>
              </w:rPr>
              <w:t>Н</w:t>
            </w:r>
          </w:p>
        </w:tc>
        <w:tc>
          <w:tcPr>
            <w:tcW w:w="2055" w:type="pct"/>
          </w:tcPr>
          <w:p w14:paraId="50C91A1E" w14:textId="77777777" w:rsidR="00AD1F54" w:rsidRPr="00264D5D" w:rsidRDefault="003E1F19">
            <w:pPr>
              <w:pStyle w:val="GOSTTablenorm"/>
              <w:rPr>
                <w:szCs w:val="22"/>
              </w:rPr>
            </w:pPr>
            <w:r w:rsidRPr="00264D5D">
              <w:rPr>
                <w:szCs w:val="22"/>
              </w:rPr>
              <w:t>(поле 61)*</w:t>
            </w:r>
          </w:p>
          <w:p w14:paraId="4DFBD9A6" w14:textId="77777777" w:rsidR="00AD1F54" w:rsidRPr="00264D5D" w:rsidRDefault="00941227">
            <w:pPr>
              <w:pStyle w:val="GOSTTablenorm"/>
              <w:rPr>
                <w:szCs w:val="22"/>
              </w:rPr>
            </w:pPr>
            <w:r w:rsidRPr="00264D5D">
              <w:rPr>
                <w:szCs w:val="22"/>
              </w:rPr>
              <w:t>Указывается ИНН получателя.</w:t>
            </w:r>
          </w:p>
          <w:p w14:paraId="51D98C98" w14:textId="77777777" w:rsidR="00AD1F54" w:rsidRPr="00264D5D" w:rsidRDefault="00941227">
            <w:pPr>
              <w:pStyle w:val="GOSTTablenorm"/>
              <w:rPr>
                <w:rStyle w:val="GOSTSymItalic"/>
                <w:i w:val="0"/>
                <w:szCs w:val="22"/>
              </w:rPr>
            </w:pPr>
            <w:r w:rsidRPr="00264D5D">
              <w:rPr>
                <w:rStyle w:val="GOSTSymItalic"/>
                <w:i w:val="0"/>
                <w:szCs w:val="22"/>
              </w:rPr>
              <w:t>При отсутствии у получателя ИНН, проставляется значение «0».</w:t>
            </w:r>
          </w:p>
          <w:p w14:paraId="21F39483" w14:textId="77777777" w:rsidR="00AD1F54" w:rsidRPr="00264D5D" w:rsidRDefault="00941227">
            <w:pPr>
              <w:pStyle w:val="GOSTTablenorm"/>
              <w:rPr>
                <w:rStyle w:val="GOSTSymItalic"/>
                <w:i w:val="0"/>
                <w:szCs w:val="22"/>
              </w:rPr>
            </w:pPr>
            <w:r w:rsidRPr="00264D5D">
              <w:rPr>
                <w:rStyle w:val="GOSTSymItalic"/>
                <w:i w:val="0"/>
                <w:szCs w:val="22"/>
              </w:rPr>
              <w:t>Поле обязательно к заполнению, если в поле «Счет получателя» (Recip_CheckAcc) указан:</w:t>
            </w:r>
          </w:p>
          <w:p w14:paraId="189531A5" w14:textId="77777777" w:rsidR="00AD1F54" w:rsidRPr="00264D5D" w:rsidRDefault="00941227" w:rsidP="00E7460C">
            <w:pPr>
              <w:pStyle w:val="affffff"/>
              <w:numPr>
                <w:ilvl w:val="0"/>
                <w:numId w:val="97"/>
              </w:numPr>
              <w:spacing w:before="60" w:after="60" w:line="240" w:lineRule="auto"/>
              <w:ind w:left="284" w:hanging="227"/>
              <w:rPr>
                <w:color w:val="000000"/>
                <w:sz w:val="22"/>
              </w:rPr>
            </w:pPr>
            <w:r w:rsidRPr="00264D5D">
              <w:rPr>
                <w:color w:val="000000"/>
                <w:sz w:val="22"/>
              </w:rPr>
              <w:t>счет №№ 03100, 03212, 03222; 03232; 03242; 03252; 03262; 03272; 03214; 03224; 03234; 03254;</w:t>
            </w:r>
          </w:p>
          <w:p w14:paraId="2E9E486E" w14:textId="77777777" w:rsidR="00AD1F54" w:rsidRPr="00264D5D" w:rsidRDefault="00941227" w:rsidP="00E7460C">
            <w:pPr>
              <w:pStyle w:val="affffff"/>
              <w:numPr>
                <w:ilvl w:val="0"/>
                <w:numId w:val="97"/>
              </w:numPr>
              <w:spacing w:before="60" w:after="60" w:line="240" w:lineRule="auto"/>
              <w:ind w:left="284" w:hanging="227"/>
              <w:rPr>
                <w:sz w:val="22"/>
                <w:szCs w:val="22"/>
              </w:rPr>
            </w:pPr>
            <w:r w:rsidRPr="00264D5D">
              <w:rPr>
                <w:color w:val="000000"/>
                <w:sz w:val="22"/>
              </w:rPr>
              <w:t>или балансовый счет № 40503/40603/40703 с признаком «4» в 14 разряде</w:t>
            </w:r>
            <w:r w:rsidRPr="00264D5D">
              <w:rPr>
                <w:rStyle w:val="GOSTSymItalic"/>
                <w:i w:val="0"/>
                <w:szCs w:val="22"/>
              </w:rPr>
              <w:t xml:space="preserve">, </w:t>
            </w:r>
            <w:r w:rsidRPr="00264D5D">
              <w:rPr>
                <w:rStyle w:val="GOSTSymItalic"/>
                <w:i w:val="0"/>
                <w:sz w:val="22"/>
                <w:szCs w:val="22"/>
              </w:rPr>
              <w:t>при этом длина поля должна быть равна 10 цифрам, где первый и второй знаки (цифры) ИНН получателя не могут одновременно принимат</w:t>
            </w:r>
            <w:r w:rsidR="003E1F19" w:rsidRPr="00264D5D">
              <w:rPr>
                <w:rStyle w:val="GOSTSymItalic"/>
                <w:i w:val="0"/>
                <w:sz w:val="22"/>
                <w:szCs w:val="22"/>
              </w:rPr>
              <w:t>ь значение ноль</w:t>
            </w:r>
          </w:p>
        </w:tc>
      </w:tr>
      <w:tr w:rsidR="00AD1F54" w:rsidRPr="00264D5D" w14:paraId="29AAA870"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7B75C370" w14:textId="77777777" w:rsidR="00AD1F54" w:rsidRPr="00264D5D" w:rsidRDefault="00941227">
            <w:pPr>
              <w:pStyle w:val="affffff"/>
              <w:spacing w:before="60" w:after="60" w:line="240" w:lineRule="auto"/>
              <w:ind w:firstLine="0"/>
              <w:rPr>
                <w:sz w:val="22"/>
                <w:szCs w:val="22"/>
              </w:rPr>
            </w:pPr>
            <w:r w:rsidRPr="00264D5D">
              <w:rPr>
                <w:color w:val="000000"/>
                <w:sz w:val="22"/>
                <w:szCs w:val="22"/>
              </w:rPr>
              <w:t>КПП получателя</w:t>
            </w:r>
          </w:p>
        </w:tc>
        <w:tc>
          <w:tcPr>
            <w:tcW w:w="884" w:type="pct"/>
          </w:tcPr>
          <w:p w14:paraId="6FD78D9B"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Recip_KPP</w:t>
            </w:r>
          </w:p>
        </w:tc>
        <w:tc>
          <w:tcPr>
            <w:tcW w:w="294" w:type="pct"/>
          </w:tcPr>
          <w:p w14:paraId="3B605F22" w14:textId="77777777" w:rsidR="00AD1F54" w:rsidRPr="00264D5D" w:rsidRDefault="00941227">
            <w:pPr>
              <w:pStyle w:val="affffff"/>
              <w:spacing w:before="60" w:after="60" w:line="240" w:lineRule="auto"/>
              <w:ind w:firstLine="0"/>
              <w:jc w:val="center"/>
              <w:rPr>
                <w:sz w:val="22"/>
                <w:szCs w:val="22"/>
              </w:rPr>
            </w:pPr>
            <w:r w:rsidRPr="00264D5D">
              <w:rPr>
                <w:sz w:val="22"/>
                <w:szCs w:val="22"/>
              </w:rPr>
              <w:t>П</w:t>
            </w:r>
          </w:p>
        </w:tc>
        <w:tc>
          <w:tcPr>
            <w:tcW w:w="589" w:type="pct"/>
          </w:tcPr>
          <w:p w14:paraId="7B2E5D83" w14:textId="77777777" w:rsidR="00AD1F54" w:rsidRPr="00264D5D" w:rsidRDefault="00941227">
            <w:pPr>
              <w:pStyle w:val="affffff"/>
              <w:spacing w:before="60" w:after="60" w:line="240" w:lineRule="auto"/>
              <w:ind w:firstLine="0"/>
              <w:rPr>
                <w:sz w:val="22"/>
                <w:szCs w:val="22"/>
              </w:rPr>
            </w:pPr>
            <w:r w:rsidRPr="00264D5D">
              <w:rPr>
                <w:color w:val="000000"/>
                <w:sz w:val="22"/>
                <w:szCs w:val="22"/>
              </w:rPr>
              <w:t>T(1) / Т(9)</w:t>
            </w:r>
          </w:p>
        </w:tc>
        <w:tc>
          <w:tcPr>
            <w:tcW w:w="294" w:type="pct"/>
          </w:tcPr>
          <w:p w14:paraId="3CC65357" w14:textId="77777777" w:rsidR="00AD1F54" w:rsidRPr="00264D5D" w:rsidRDefault="00941227">
            <w:pPr>
              <w:pStyle w:val="affffff"/>
              <w:spacing w:before="60" w:after="60" w:line="240" w:lineRule="auto"/>
              <w:ind w:firstLine="0"/>
              <w:jc w:val="center"/>
              <w:rPr>
                <w:sz w:val="22"/>
                <w:szCs w:val="22"/>
              </w:rPr>
            </w:pPr>
            <w:r w:rsidRPr="00264D5D">
              <w:rPr>
                <w:color w:val="000000"/>
                <w:sz w:val="22"/>
                <w:szCs w:val="22"/>
              </w:rPr>
              <w:t>Н</w:t>
            </w:r>
          </w:p>
        </w:tc>
        <w:tc>
          <w:tcPr>
            <w:tcW w:w="2055" w:type="pct"/>
          </w:tcPr>
          <w:p w14:paraId="1F78080D" w14:textId="77777777" w:rsidR="00AD1F54" w:rsidRPr="00264D5D" w:rsidRDefault="003E1F19">
            <w:pPr>
              <w:pStyle w:val="afffffffd"/>
              <w:spacing w:before="60"/>
              <w:rPr>
                <w:rFonts w:ascii="Times New Roman" w:hAnsi="Times New Roman"/>
                <w:sz w:val="22"/>
                <w:szCs w:val="22"/>
              </w:rPr>
            </w:pPr>
            <w:r w:rsidRPr="00264D5D">
              <w:rPr>
                <w:rFonts w:ascii="Times New Roman" w:hAnsi="Times New Roman"/>
                <w:sz w:val="22"/>
                <w:szCs w:val="22"/>
              </w:rPr>
              <w:t>(поле 103)*</w:t>
            </w:r>
          </w:p>
          <w:p w14:paraId="5AD98D39" w14:textId="77777777" w:rsidR="00AD1F54" w:rsidRPr="00264D5D" w:rsidRDefault="00941227">
            <w:pPr>
              <w:pStyle w:val="afffffffd"/>
              <w:spacing w:before="60"/>
              <w:rPr>
                <w:rFonts w:ascii="Times New Roman" w:hAnsi="Times New Roman"/>
                <w:sz w:val="22"/>
                <w:szCs w:val="22"/>
              </w:rPr>
            </w:pPr>
            <w:r w:rsidRPr="00264D5D">
              <w:rPr>
                <w:rFonts w:ascii="Times New Roman" w:hAnsi="Times New Roman"/>
                <w:sz w:val="22"/>
                <w:szCs w:val="22"/>
              </w:rPr>
              <w:t>Указывается КПП получателя средств.</w:t>
            </w:r>
          </w:p>
          <w:p w14:paraId="670BADE1" w14:textId="77777777" w:rsidR="00AD1F54" w:rsidRPr="00264D5D" w:rsidRDefault="00941227">
            <w:pPr>
              <w:pStyle w:val="GOSTTablenorm"/>
              <w:rPr>
                <w:rStyle w:val="GOSTSymItalic"/>
                <w:i w:val="0"/>
                <w:szCs w:val="22"/>
              </w:rPr>
            </w:pPr>
            <w:r w:rsidRPr="00264D5D">
              <w:rPr>
                <w:rStyle w:val="GOSTSymItalic"/>
                <w:i w:val="0"/>
                <w:szCs w:val="22"/>
              </w:rPr>
              <w:t>При отсутствии у получателя КПП, проставляется значение «0».</w:t>
            </w:r>
          </w:p>
          <w:p w14:paraId="461A7957" w14:textId="77777777" w:rsidR="00AD1F54" w:rsidRPr="00264D5D" w:rsidRDefault="00941227">
            <w:pPr>
              <w:pStyle w:val="GOSTTablenorm"/>
              <w:rPr>
                <w:rStyle w:val="GOSTSymItalic"/>
                <w:i w:val="0"/>
                <w:szCs w:val="22"/>
              </w:rPr>
            </w:pPr>
            <w:r w:rsidRPr="00264D5D">
              <w:rPr>
                <w:rStyle w:val="GOSTSymItalic"/>
                <w:i w:val="0"/>
                <w:szCs w:val="22"/>
              </w:rPr>
              <w:t>Поле обязательно к заполнению, если в поле «Счет получателя» (Recip_CheckAcc) указан:</w:t>
            </w:r>
          </w:p>
          <w:p w14:paraId="00ADC7F7" w14:textId="77777777" w:rsidR="00AD1F54" w:rsidRPr="00264D5D" w:rsidRDefault="00941227" w:rsidP="00E7460C">
            <w:pPr>
              <w:pStyle w:val="affffff"/>
              <w:numPr>
                <w:ilvl w:val="0"/>
                <w:numId w:val="97"/>
              </w:numPr>
              <w:spacing w:before="60" w:after="60" w:line="240" w:lineRule="auto"/>
              <w:ind w:left="284" w:hanging="227"/>
              <w:rPr>
                <w:color w:val="000000"/>
                <w:sz w:val="22"/>
              </w:rPr>
            </w:pPr>
            <w:r w:rsidRPr="00264D5D">
              <w:rPr>
                <w:color w:val="000000"/>
                <w:sz w:val="22"/>
              </w:rPr>
              <w:t>счет №№ 03100, 03212, 03222; 03232; 03242; 03252; 03262; 03272; 03214; 03224; 03234; 03254;</w:t>
            </w:r>
          </w:p>
          <w:p w14:paraId="25DCFB8A" w14:textId="77777777" w:rsidR="00AD1F54" w:rsidRPr="00264D5D" w:rsidRDefault="00941227" w:rsidP="00941227">
            <w:pPr>
              <w:pStyle w:val="affffff"/>
              <w:numPr>
                <w:ilvl w:val="0"/>
                <w:numId w:val="65"/>
              </w:numPr>
              <w:tabs>
                <w:tab w:val="clear" w:pos="340"/>
              </w:tabs>
              <w:spacing w:before="60" w:after="60" w:line="240" w:lineRule="auto"/>
              <w:ind w:left="284"/>
              <w:rPr>
                <w:sz w:val="22"/>
                <w:szCs w:val="22"/>
              </w:rPr>
            </w:pPr>
            <w:r w:rsidRPr="00264D5D">
              <w:rPr>
                <w:color w:val="000000"/>
                <w:sz w:val="22"/>
              </w:rPr>
              <w:t xml:space="preserve">или балансовый счет № 40503/40603/40703 с признаком «4» в </w:t>
            </w:r>
            <w:r w:rsidRPr="00264D5D">
              <w:rPr>
                <w:color w:val="000000"/>
                <w:sz w:val="22"/>
                <w:szCs w:val="22"/>
              </w:rPr>
              <w:t xml:space="preserve">14 разряде, где: первый-четвертый и седьмой-девятый знаки (цифры) должны принимать цифровое значение, пятый и шестой знаки – могут соответствовать цифре или заглавной букве латинского алфавита, первый и второй знаки (цифры) не могут одновременно принимать </w:t>
            </w:r>
            <w:r w:rsidR="003E1F19" w:rsidRPr="00264D5D">
              <w:rPr>
                <w:color w:val="000000"/>
                <w:sz w:val="22"/>
                <w:szCs w:val="22"/>
              </w:rPr>
              <w:lastRenderedPageBreak/>
              <w:t>значение ноль («0»)</w:t>
            </w:r>
          </w:p>
        </w:tc>
      </w:tr>
      <w:tr w:rsidR="00AD1F54" w:rsidRPr="00264D5D" w14:paraId="388A99B8"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130CA4B9" w14:textId="77777777" w:rsidR="00AD1F54" w:rsidRPr="00264D5D" w:rsidRDefault="00941227">
            <w:pPr>
              <w:pStyle w:val="affffff"/>
              <w:spacing w:before="60" w:after="60" w:line="240" w:lineRule="auto"/>
              <w:ind w:firstLine="0"/>
              <w:rPr>
                <w:sz w:val="22"/>
                <w:szCs w:val="22"/>
              </w:rPr>
            </w:pPr>
            <w:r w:rsidRPr="00264D5D">
              <w:rPr>
                <w:color w:val="000000"/>
                <w:sz w:val="22"/>
                <w:szCs w:val="22"/>
              </w:rPr>
              <w:lastRenderedPageBreak/>
              <w:t>Наименование получателя</w:t>
            </w:r>
          </w:p>
        </w:tc>
        <w:tc>
          <w:tcPr>
            <w:tcW w:w="884" w:type="pct"/>
          </w:tcPr>
          <w:p w14:paraId="671808BC"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Recip_Name</w:t>
            </w:r>
          </w:p>
        </w:tc>
        <w:tc>
          <w:tcPr>
            <w:tcW w:w="294" w:type="pct"/>
          </w:tcPr>
          <w:p w14:paraId="20140D59" w14:textId="77777777" w:rsidR="00AD1F54" w:rsidRPr="00264D5D" w:rsidRDefault="00941227">
            <w:pPr>
              <w:pStyle w:val="affffff"/>
              <w:spacing w:before="60" w:after="60" w:line="240" w:lineRule="auto"/>
              <w:ind w:firstLine="0"/>
              <w:jc w:val="center"/>
              <w:rPr>
                <w:sz w:val="22"/>
                <w:szCs w:val="22"/>
              </w:rPr>
            </w:pPr>
            <w:r w:rsidRPr="00264D5D">
              <w:rPr>
                <w:sz w:val="22"/>
                <w:szCs w:val="22"/>
              </w:rPr>
              <w:t>П</w:t>
            </w:r>
          </w:p>
        </w:tc>
        <w:tc>
          <w:tcPr>
            <w:tcW w:w="589" w:type="pct"/>
          </w:tcPr>
          <w:p w14:paraId="3C50C07C"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T(1-160)</w:t>
            </w:r>
          </w:p>
        </w:tc>
        <w:tc>
          <w:tcPr>
            <w:tcW w:w="294" w:type="pct"/>
          </w:tcPr>
          <w:p w14:paraId="00F534E2" w14:textId="77777777" w:rsidR="00AD1F54" w:rsidRPr="00264D5D" w:rsidRDefault="00941227">
            <w:pPr>
              <w:pStyle w:val="affffff"/>
              <w:spacing w:before="60" w:after="60" w:line="240" w:lineRule="auto"/>
              <w:ind w:firstLine="0"/>
              <w:jc w:val="center"/>
              <w:rPr>
                <w:sz w:val="22"/>
                <w:szCs w:val="22"/>
              </w:rPr>
            </w:pPr>
            <w:r w:rsidRPr="00264D5D">
              <w:rPr>
                <w:color w:val="000000"/>
                <w:sz w:val="22"/>
                <w:szCs w:val="22"/>
              </w:rPr>
              <w:t>О</w:t>
            </w:r>
          </w:p>
        </w:tc>
        <w:tc>
          <w:tcPr>
            <w:tcW w:w="2055" w:type="pct"/>
          </w:tcPr>
          <w:p w14:paraId="59FA81CA" w14:textId="77777777" w:rsidR="00AD1F54" w:rsidRPr="00264D5D" w:rsidRDefault="003E1F19">
            <w:pPr>
              <w:pStyle w:val="afffffffd"/>
              <w:spacing w:before="60"/>
              <w:rPr>
                <w:rFonts w:ascii="Times New Roman" w:hAnsi="Times New Roman"/>
                <w:sz w:val="22"/>
                <w:szCs w:val="22"/>
              </w:rPr>
            </w:pPr>
            <w:r w:rsidRPr="00264D5D">
              <w:rPr>
                <w:rFonts w:ascii="Times New Roman" w:hAnsi="Times New Roman"/>
                <w:sz w:val="22"/>
                <w:szCs w:val="22"/>
              </w:rPr>
              <w:t>(поле 16)*</w:t>
            </w:r>
          </w:p>
          <w:p w14:paraId="7A520B5B" w14:textId="77777777" w:rsidR="00AD1F54" w:rsidRPr="00264D5D" w:rsidRDefault="00941227">
            <w:pPr>
              <w:pStyle w:val="affffff"/>
              <w:spacing w:before="60" w:after="60" w:line="240" w:lineRule="auto"/>
              <w:ind w:firstLine="0"/>
              <w:rPr>
                <w:sz w:val="22"/>
                <w:szCs w:val="22"/>
              </w:rPr>
            </w:pPr>
            <w:r w:rsidRPr="00264D5D">
              <w:rPr>
                <w:sz w:val="22"/>
                <w:szCs w:val="22"/>
              </w:rPr>
              <w:t xml:space="preserve">Указывается наименование </w:t>
            </w:r>
            <w:r w:rsidR="003E1F19" w:rsidRPr="00264D5D">
              <w:rPr>
                <w:sz w:val="22"/>
                <w:szCs w:val="22"/>
              </w:rPr>
              <w:t>получателя средств</w:t>
            </w:r>
          </w:p>
        </w:tc>
      </w:tr>
      <w:tr w:rsidR="00AD1F54" w:rsidRPr="00264D5D" w14:paraId="1FDBC2D1"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383804D5" w14:textId="77777777" w:rsidR="00AD1F54" w:rsidRPr="00264D5D" w:rsidRDefault="00941227">
            <w:pPr>
              <w:pStyle w:val="affffff"/>
              <w:spacing w:before="60" w:after="60" w:line="240" w:lineRule="auto"/>
              <w:ind w:firstLine="0"/>
              <w:rPr>
                <w:color w:val="000000"/>
                <w:sz w:val="22"/>
                <w:szCs w:val="22"/>
              </w:rPr>
            </w:pPr>
            <w:r w:rsidRPr="00264D5D">
              <w:rPr>
                <w:color w:val="000000"/>
                <w:sz w:val="22"/>
                <w:szCs w:val="22"/>
              </w:rPr>
              <w:t>Счет Получателя</w:t>
            </w:r>
          </w:p>
        </w:tc>
        <w:tc>
          <w:tcPr>
            <w:tcW w:w="884" w:type="pct"/>
          </w:tcPr>
          <w:p w14:paraId="581E22D0"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Recip_CheckAcc</w:t>
            </w:r>
          </w:p>
        </w:tc>
        <w:tc>
          <w:tcPr>
            <w:tcW w:w="294" w:type="pct"/>
          </w:tcPr>
          <w:p w14:paraId="172A71B0" w14:textId="77777777" w:rsidR="00AD1F54" w:rsidRPr="00264D5D" w:rsidRDefault="00941227">
            <w:pPr>
              <w:pStyle w:val="affffff"/>
              <w:spacing w:before="60" w:after="60" w:line="240" w:lineRule="auto"/>
              <w:ind w:firstLine="0"/>
              <w:jc w:val="center"/>
              <w:rPr>
                <w:sz w:val="22"/>
                <w:szCs w:val="22"/>
              </w:rPr>
            </w:pPr>
            <w:r w:rsidRPr="00264D5D">
              <w:rPr>
                <w:sz w:val="22"/>
                <w:szCs w:val="22"/>
              </w:rPr>
              <w:t>П</w:t>
            </w:r>
          </w:p>
        </w:tc>
        <w:tc>
          <w:tcPr>
            <w:tcW w:w="589" w:type="pct"/>
          </w:tcPr>
          <w:p w14:paraId="52582489"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T(20)</w:t>
            </w:r>
          </w:p>
        </w:tc>
        <w:tc>
          <w:tcPr>
            <w:tcW w:w="294" w:type="pct"/>
          </w:tcPr>
          <w:p w14:paraId="1A7E6D12" w14:textId="77777777" w:rsidR="00AD1F54" w:rsidRPr="00264D5D" w:rsidRDefault="00941227">
            <w:pPr>
              <w:pStyle w:val="affffff"/>
              <w:spacing w:before="60" w:after="60" w:line="240" w:lineRule="auto"/>
              <w:ind w:firstLine="0"/>
              <w:jc w:val="center"/>
              <w:rPr>
                <w:sz w:val="22"/>
                <w:szCs w:val="22"/>
              </w:rPr>
            </w:pPr>
            <w:r w:rsidRPr="00264D5D">
              <w:rPr>
                <w:color w:val="000000"/>
                <w:sz w:val="22"/>
                <w:szCs w:val="22"/>
              </w:rPr>
              <w:t>Н</w:t>
            </w:r>
          </w:p>
        </w:tc>
        <w:tc>
          <w:tcPr>
            <w:tcW w:w="2055" w:type="pct"/>
          </w:tcPr>
          <w:p w14:paraId="7F2B0215" w14:textId="77777777" w:rsidR="00AD1F54" w:rsidRPr="00264D5D" w:rsidRDefault="003E1F19">
            <w:pPr>
              <w:pStyle w:val="afffffffd"/>
              <w:spacing w:before="60"/>
              <w:rPr>
                <w:rFonts w:ascii="Times New Roman" w:hAnsi="Times New Roman"/>
                <w:sz w:val="22"/>
                <w:szCs w:val="22"/>
              </w:rPr>
            </w:pPr>
            <w:r w:rsidRPr="00264D5D">
              <w:rPr>
                <w:rFonts w:ascii="Times New Roman" w:hAnsi="Times New Roman"/>
                <w:sz w:val="22"/>
                <w:szCs w:val="22"/>
              </w:rPr>
              <w:t>(поле 17)*</w:t>
            </w:r>
          </w:p>
          <w:p w14:paraId="2FFBE8D3" w14:textId="77777777" w:rsidR="00AD1F54" w:rsidRPr="00264D5D" w:rsidRDefault="00941227">
            <w:pPr>
              <w:pStyle w:val="GOSTTablenorm"/>
              <w:rPr>
                <w:rStyle w:val="GOSTSymItalic"/>
                <w:i w:val="0"/>
                <w:szCs w:val="22"/>
              </w:rPr>
            </w:pPr>
            <w:r w:rsidRPr="00264D5D">
              <w:rPr>
                <w:rStyle w:val="GOSTSymItalic"/>
                <w:i w:val="0"/>
                <w:szCs w:val="22"/>
              </w:rPr>
              <w:t>Указывается номер счета получателя:</w:t>
            </w:r>
          </w:p>
          <w:p w14:paraId="6E1FB09B" w14:textId="77777777" w:rsidR="00AD1F54" w:rsidRPr="00264D5D" w:rsidRDefault="00941227" w:rsidP="00941227">
            <w:pPr>
              <w:pStyle w:val="affffff"/>
              <w:numPr>
                <w:ilvl w:val="0"/>
                <w:numId w:val="65"/>
              </w:numPr>
              <w:tabs>
                <w:tab w:val="clear" w:pos="340"/>
              </w:tabs>
              <w:spacing w:before="60" w:after="60" w:line="240" w:lineRule="auto"/>
              <w:ind w:left="284"/>
              <w:rPr>
                <w:color w:val="000000"/>
                <w:sz w:val="22"/>
              </w:rPr>
            </w:pPr>
            <w:r w:rsidRPr="00264D5D">
              <w:rPr>
                <w:color w:val="000000"/>
                <w:sz w:val="22"/>
              </w:rPr>
              <w:t>казначейский счет, если получатель обслуживается в ТОФК;</w:t>
            </w:r>
          </w:p>
          <w:p w14:paraId="50C70EDD" w14:textId="77777777" w:rsidR="00AD1F54" w:rsidRPr="00264D5D" w:rsidRDefault="00941227" w:rsidP="00941227">
            <w:pPr>
              <w:pStyle w:val="affffff"/>
              <w:numPr>
                <w:ilvl w:val="0"/>
                <w:numId w:val="65"/>
              </w:numPr>
              <w:tabs>
                <w:tab w:val="clear" w:pos="340"/>
              </w:tabs>
              <w:spacing w:before="60" w:after="60" w:line="240" w:lineRule="auto"/>
              <w:ind w:left="284"/>
              <w:rPr>
                <w:color w:val="000000"/>
                <w:sz w:val="22"/>
              </w:rPr>
            </w:pPr>
            <w:r w:rsidRPr="00264D5D">
              <w:rPr>
                <w:color w:val="000000"/>
                <w:sz w:val="22"/>
              </w:rPr>
              <w:t>расчетный счет – в иных случаях.</w:t>
            </w:r>
          </w:p>
          <w:p w14:paraId="7F920521" w14:textId="77777777" w:rsidR="00AD1F54" w:rsidRPr="00264D5D" w:rsidRDefault="00941227">
            <w:pPr>
              <w:pStyle w:val="affffff"/>
              <w:spacing w:before="60" w:after="60" w:line="240" w:lineRule="auto"/>
              <w:ind w:firstLine="0"/>
              <w:rPr>
                <w:sz w:val="22"/>
                <w:szCs w:val="22"/>
              </w:rPr>
            </w:pPr>
            <w:r w:rsidRPr="00264D5D">
              <w:rPr>
                <w:rStyle w:val="GOSTSymItalic"/>
                <w:i w:val="0"/>
                <w:sz w:val="22"/>
                <w:szCs w:val="22"/>
              </w:rPr>
              <w:t>Поле может не заполняться, если получателем платежа явля</w:t>
            </w:r>
            <w:r w:rsidR="003E1F19" w:rsidRPr="00264D5D">
              <w:rPr>
                <w:rStyle w:val="GOSTSymItalic"/>
                <w:i w:val="0"/>
                <w:sz w:val="22"/>
                <w:szCs w:val="22"/>
              </w:rPr>
              <w:t>ется КО, филиал КО</w:t>
            </w:r>
          </w:p>
        </w:tc>
      </w:tr>
      <w:tr w:rsidR="00AD1F54" w:rsidRPr="00264D5D" w14:paraId="6CBBC326"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4CCDA145" w14:textId="77777777" w:rsidR="00AD1F54" w:rsidRPr="00264D5D" w:rsidRDefault="00941227">
            <w:pPr>
              <w:pStyle w:val="affffff"/>
              <w:spacing w:before="60" w:after="60" w:line="240" w:lineRule="auto"/>
              <w:ind w:firstLine="0"/>
              <w:rPr>
                <w:sz w:val="22"/>
                <w:szCs w:val="22"/>
              </w:rPr>
            </w:pPr>
            <w:r w:rsidRPr="00264D5D">
              <w:rPr>
                <w:sz w:val="22"/>
                <w:szCs w:val="22"/>
              </w:rPr>
              <w:t>БИК банка/ТОФК Получателя</w:t>
            </w:r>
          </w:p>
        </w:tc>
        <w:tc>
          <w:tcPr>
            <w:tcW w:w="884" w:type="pct"/>
          </w:tcPr>
          <w:p w14:paraId="07B0A9A3"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Recip_BIK</w:t>
            </w:r>
          </w:p>
        </w:tc>
        <w:tc>
          <w:tcPr>
            <w:tcW w:w="294" w:type="pct"/>
          </w:tcPr>
          <w:p w14:paraId="1F689654" w14:textId="77777777" w:rsidR="00AD1F54" w:rsidRPr="00264D5D" w:rsidRDefault="00941227">
            <w:pPr>
              <w:pStyle w:val="affffff"/>
              <w:spacing w:before="60" w:after="60" w:line="240" w:lineRule="auto"/>
              <w:ind w:firstLine="0"/>
              <w:jc w:val="center"/>
              <w:rPr>
                <w:sz w:val="22"/>
                <w:szCs w:val="22"/>
              </w:rPr>
            </w:pPr>
            <w:r w:rsidRPr="00264D5D">
              <w:rPr>
                <w:sz w:val="22"/>
                <w:szCs w:val="22"/>
              </w:rPr>
              <w:t>П</w:t>
            </w:r>
          </w:p>
        </w:tc>
        <w:tc>
          <w:tcPr>
            <w:tcW w:w="589" w:type="pct"/>
          </w:tcPr>
          <w:p w14:paraId="0A5BCC44"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T(9)</w:t>
            </w:r>
          </w:p>
        </w:tc>
        <w:tc>
          <w:tcPr>
            <w:tcW w:w="294" w:type="pct"/>
          </w:tcPr>
          <w:p w14:paraId="7EB80592" w14:textId="77777777" w:rsidR="00AD1F54" w:rsidRPr="00264D5D" w:rsidRDefault="00941227">
            <w:pPr>
              <w:pStyle w:val="affffff"/>
              <w:spacing w:before="60" w:after="60" w:line="240" w:lineRule="auto"/>
              <w:ind w:firstLine="0"/>
              <w:jc w:val="center"/>
              <w:rPr>
                <w:sz w:val="22"/>
                <w:szCs w:val="22"/>
              </w:rPr>
            </w:pPr>
            <w:r w:rsidRPr="00264D5D">
              <w:rPr>
                <w:color w:val="000000"/>
                <w:sz w:val="22"/>
                <w:szCs w:val="22"/>
              </w:rPr>
              <w:t>О</w:t>
            </w:r>
          </w:p>
        </w:tc>
        <w:tc>
          <w:tcPr>
            <w:tcW w:w="2055" w:type="pct"/>
          </w:tcPr>
          <w:p w14:paraId="74BAAD12" w14:textId="77777777" w:rsidR="00AD1F54" w:rsidRPr="00264D5D" w:rsidRDefault="003E1F19">
            <w:pPr>
              <w:pStyle w:val="afffffffd"/>
              <w:spacing w:before="60"/>
              <w:rPr>
                <w:rFonts w:ascii="Times New Roman" w:hAnsi="Times New Roman"/>
                <w:sz w:val="22"/>
                <w:szCs w:val="22"/>
              </w:rPr>
            </w:pPr>
            <w:r w:rsidRPr="00264D5D">
              <w:rPr>
                <w:rFonts w:ascii="Times New Roman" w:hAnsi="Times New Roman"/>
                <w:sz w:val="22"/>
                <w:szCs w:val="22"/>
              </w:rPr>
              <w:t>(поле 14)*</w:t>
            </w:r>
          </w:p>
          <w:p w14:paraId="388E6F45" w14:textId="77777777" w:rsidR="00AD1F54" w:rsidRPr="00264D5D" w:rsidRDefault="00941227">
            <w:pPr>
              <w:pStyle w:val="GOSTTablenorm"/>
              <w:rPr>
                <w:rStyle w:val="GOSTSymItalic"/>
                <w:i w:val="0"/>
                <w:szCs w:val="22"/>
              </w:rPr>
            </w:pPr>
            <w:r w:rsidRPr="00264D5D">
              <w:rPr>
                <w:rStyle w:val="GOSTSymItalic"/>
                <w:i w:val="0"/>
                <w:szCs w:val="22"/>
              </w:rPr>
              <w:t>Указывается:</w:t>
            </w:r>
          </w:p>
          <w:p w14:paraId="4B4F7AEA" w14:textId="77777777" w:rsidR="00AD1F54" w:rsidRPr="00264D5D" w:rsidRDefault="00941227" w:rsidP="00941227">
            <w:pPr>
              <w:pStyle w:val="affffff"/>
              <w:numPr>
                <w:ilvl w:val="0"/>
                <w:numId w:val="65"/>
              </w:numPr>
              <w:tabs>
                <w:tab w:val="clear" w:pos="340"/>
              </w:tabs>
              <w:spacing w:before="60" w:after="60" w:line="240" w:lineRule="auto"/>
              <w:ind w:left="284"/>
              <w:rPr>
                <w:color w:val="000000"/>
                <w:sz w:val="22"/>
                <w:szCs w:val="22"/>
              </w:rPr>
            </w:pPr>
            <w:r w:rsidRPr="00264D5D">
              <w:rPr>
                <w:color w:val="000000"/>
                <w:sz w:val="22"/>
                <w:szCs w:val="22"/>
              </w:rPr>
              <w:t>БИК ТОФК, если получатель обслуживается в ТОФК;</w:t>
            </w:r>
          </w:p>
          <w:p w14:paraId="432B3C79" w14:textId="77777777" w:rsidR="00AD1F54" w:rsidRPr="00264D5D" w:rsidRDefault="00941227" w:rsidP="00941227">
            <w:pPr>
              <w:pStyle w:val="affffff"/>
              <w:numPr>
                <w:ilvl w:val="0"/>
                <w:numId w:val="65"/>
              </w:numPr>
              <w:tabs>
                <w:tab w:val="clear" w:pos="340"/>
              </w:tabs>
              <w:spacing w:before="60" w:after="60" w:line="240" w:lineRule="auto"/>
              <w:ind w:left="284"/>
              <w:rPr>
                <w:sz w:val="22"/>
                <w:szCs w:val="22"/>
              </w:rPr>
            </w:pPr>
            <w:r w:rsidRPr="00264D5D">
              <w:rPr>
                <w:color w:val="000000"/>
                <w:sz w:val="22"/>
                <w:szCs w:val="22"/>
              </w:rPr>
              <w:t>БИК банка, в котором открыт счет пол</w:t>
            </w:r>
            <w:r w:rsidR="003E1F19" w:rsidRPr="00264D5D">
              <w:rPr>
                <w:color w:val="000000"/>
                <w:sz w:val="22"/>
                <w:szCs w:val="22"/>
              </w:rPr>
              <w:t>учателя платежа, в иных случаях</w:t>
            </w:r>
          </w:p>
        </w:tc>
      </w:tr>
      <w:tr w:rsidR="00AD1F54" w:rsidRPr="00264D5D" w14:paraId="645569F1"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7A3A76CC" w14:textId="77777777" w:rsidR="00AD1F54" w:rsidRPr="00264D5D" w:rsidRDefault="00941227">
            <w:pPr>
              <w:pStyle w:val="affffff"/>
              <w:spacing w:before="60" w:after="60" w:line="240" w:lineRule="auto"/>
              <w:ind w:firstLine="0"/>
              <w:rPr>
                <w:sz w:val="22"/>
                <w:szCs w:val="22"/>
              </w:rPr>
            </w:pPr>
            <w:r w:rsidRPr="00264D5D">
              <w:rPr>
                <w:sz w:val="22"/>
                <w:szCs w:val="22"/>
              </w:rPr>
              <w:t>Наименование банка/ТОФК Получателя</w:t>
            </w:r>
          </w:p>
        </w:tc>
        <w:tc>
          <w:tcPr>
            <w:tcW w:w="884" w:type="pct"/>
          </w:tcPr>
          <w:p w14:paraId="2FEC62D3"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Recip_BankName</w:t>
            </w:r>
          </w:p>
        </w:tc>
        <w:tc>
          <w:tcPr>
            <w:tcW w:w="294" w:type="pct"/>
          </w:tcPr>
          <w:p w14:paraId="1A981617" w14:textId="77777777" w:rsidR="00AD1F54" w:rsidRPr="00264D5D" w:rsidRDefault="00941227">
            <w:pPr>
              <w:pStyle w:val="affffff"/>
              <w:spacing w:before="60" w:after="60" w:line="240" w:lineRule="auto"/>
              <w:ind w:firstLine="0"/>
              <w:jc w:val="center"/>
              <w:rPr>
                <w:sz w:val="22"/>
                <w:szCs w:val="22"/>
              </w:rPr>
            </w:pPr>
            <w:r w:rsidRPr="00264D5D">
              <w:rPr>
                <w:sz w:val="22"/>
                <w:szCs w:val="22"/>
              </w:rPr>
              <w:t>П</w:t>
            </w:r>
          </w:p>
        </w:tc>
        <w:tc>
          <w:tcPr>
            <w:tcW w:w="589" w:type="pct"/>
          </w:tcPr>
          <w:p w14:paraId="5794373D"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T(1-160)</w:t>
            </w:r>
          </w:p>
        </w:tc>
        <w:tc>
          <w:tcPr>
            <w:tcW w:w="294" w:type="pct"/>
          </w:tcPr>
          <w:p w14:paraId="6C17F28E" w14:textId="77777777" w:rsidR="00AD1F54" w:rsidRPr="00264D5D" w:rsidRDefault="00941227">
            <w:pPr>
              <w:pStyle w:val="affffff"/>
              <w:spacing w:before="60" w:after="60" w:line="240" w:lineRule="auto"/>
              <w:ind w:firstLine="0"/>
              <w:jc w:val="center"/>
              <w:rPr>
                <w:sz w:val="22"/>
                <w:szCs w:val="22"/>
              </w:rPr>
            </w:pPr>
            <w:r w:rsidRPr="00264D5D">
              <w:rPr>
                <w:color w:val="000000"/>
                <w:sz w:val="22"/>
                <w:szCs w:val="22"/>
              </w:rPr>
              <w:t>О</w:t>
            </w:r>
          </w:p>
        </w:tc>
        <w:tc>
          <w:tcPr>
            <w:tcW w:w="2055" w:type="pct"/>
          </w:tcPr>
          <w:p w14:paraId="6DC111CB" w14:textId="77777777" w:rsidR="00AD1F54" w:rsidRPr="00264D5D" w:rsidRDefault="003E1F19">
            <w:pPr>
              <w:pStyle w:val="afffffffd"/>
              <w:spacing w:before="60"/>
              <w:rPr>
                <w:rFonts w:ascii="Times New Roman" w:hAnsi="Times New Roman"/>
                <w:sz w:val="22"/>
                <w:szCs w:val="22"/>
              </w:rPr>
            </w:pPr>
            <w:r w:rsidRPr="00264D5D">
              <w:rPr>
                <w:rFonts w:ascii="Times New Roman" w:hAnsi="Times New Roman"/>
                <w:sz w:val="22"/>
                <w:szCs w:val="22"/>
              </w:rPr>
              <w:t>(поле 13)*</w:t>
            </w:r>
          </w:p>
          <w:p w14:paraId="22D47B47" w14:textId="77777777" w:rsidR="00AD1F54" w:rsidRPr="00264D5D" w:rsidRDefault="00941227">
            <w:pPr>
              <w:pStyle w:val="GOSTTablenorm"/>
              <w:rPr>
                <w:rStyle w:val="GOSTSymItalic"/>
                <w:i w:val="0"/>
                <w:szCs w:val="22"/>
              </w:rPr>
            </w:pPr>
            <w:r w:rsidRPr="00264D5D">
              <w:rPr>
                <w:rStyle w:val="GOSTSymItalic"/>
                <w:i w:val="0"/>
                <w:szCs w:val="22"/>
              </w:rPr>
              <w:t>Указывается:</w:t>
            </w:r>
          </w:p>
          <w:p w14:paraId="4C8A273D" w14:textId="77777777" w:rsidR="00AD1F54" w:rsidRPr="00264D5D" w:rsidRDefault="00941227" w:rsidP="00941227">
            <w:pPr>
              <w:pStyle w:val="affffff"/>
              <w:numPr>
                <w:ilvl w:val="0"/>
                <w:numId w:val="65"/>
              </w:numPr>
              <w:tabs>
                <w:tab w:val="clear" w:pos="340"/>
              </w:tabs>
              <w:spacing w:before="60" w:after="60" w:line="240" w:lineRule="auto"/>
              <w:ind w:left="284"/>
              <w:rPr>
                <w:color w:val="000000"/>
                <w:sz w:val="22"/>
                <w:szCs w:val="22"/>
              </w:rPr>
            </w:pPr>
            <w:r w:rsidRPr="00264D5D">
              <w:rPr>
                <w:color w:val="000000"/>
                <w:sz w:val="22"/>
                <w:szCs w:val="22"/>
              </w:rPr>
              <w:t>Наименование банка, обслуживающего ТОФК получателя, знак «//», сокращенное наименование и место нахождения ТОФК получателя, если получатель платежа является участником СКП;</w:t>
            </w:r>
          </w:p>
          <w:p w14:paraId="6B101DD5" w14:textId="77777777" w:rsidR="00AD1F54" w:rsidRPr="00264D5D" w:rsidRDefault="00941227" w:rsidP="00941227">
            <w:pPr>
              <w:pStyle w:val="affffff"/>
              <w:numPr>
                <w:ilvl w:val="0"/>
                <w:numId w:val="65"/>
              </w:numPr>
              <w:tabs>
                <w:tab w:val="clear" w:pos="340"/>
              </w:tabs>
              <w:spacing w:before="60" w:after="60" w:line="240" w:lineRule="auto"/>
              <w:ind w:left="284"/>
              <w:rPr>
                <w:sz w:val="22"/>
                <w:szCs w:val="22"/>
              </w:rPr>
            </w:pPr>
            <w:r w:rsidRPr="00264D5D">
              <w:rPr>
                <w:color w:val="000000"/>
                <w:sz w:val="22"/>
                <w:szCs w:val="22"/>
              </w:rPr>
              <w:t>Наименование банка, в котором открыт счет пол</w:t>
            </w:r>
            <w:r w:rsidR="003E1F19" w:rsidRPr="00264D5D">
              <w:rPr>
                <w:color w:val="000000"/>
                <w:sz w:val="22"/>
                <w:szCs w:val="22"/>
              </w:rPr>
              <w:t>учателя платежа, в иных случаях</w:t>
            </w:r>
          </w:p>
        </w:tc>
      </w:tr>
      <w:tr w:rsidR="00AD1F54" w:rsidRPr="00264D5D" w14:paraId="63C9C535"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3BCE1C3E" w14:textId="77777777" w:rsidR="00AD1F54" w:rsidRPr="00264D5D" w:rsidRDefault="00941227">
            <w:pPr>
              <w:pStyle w:val="affffff"/>
              <w:spacing w:before="60" w:after="60" w:line="240" w:lineRule="auto"/>
              <w:ind w:firstLine="0"/>
              <w:rPr>
                <w:sz w:val="22"/>
                <w:szCs w:val="22"/>
              </w:rPr>
            </w:pPr>
            <w:r w:rsidRPr="00264D5D">
              <w:rPr>
                <w:sz w:val="22"/>
                <w:szCs w:val="22"/>
              </w:rPr>
              <w:t>Коррсчет банка/ТОФК Получателя</w:t>
            </w:r>
          </w:p>
        </w:tc>
        <w:tc>
          <w:tcPr>
            <w:tcW w:w="884" w:type="pct"/>
          </w:tcPr>
          <w:p w14:paraId="6D1E3A42"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Recip_CorrAcc</w:t>
            </w:r>
          </w:p>
        </w:tc>
        <w:tc>
          <w:tcPr>
            <w:tcW w:w="294" w:type="pct"/>
          </w:tcPr>
          <w:p w14:paraId="3BADD79C" w14:textId="77777777" w:rsidR="00AD1F54" w:rsidRPr="00264D5D" w:rsidRDefault="00941227">
            <w:pPr>
              <w:pStyle w:val="affffff"/>
              <w:spacing w:before="60" w:after="60" w:line="240" w:lineRule="auto"/>
              <w:ind w:firstLine="0"/>
              <w:jc w:val="center"/>
              <w:rPr>
                <w:sz w:val="22"/>
                <w:szCs w:val="22"/>
              </w:rPr>
            </w:pPr>
            <w:r w:rsidRPr="00264D5D">
              <w:rPr>
                <w:sz w:val="22"/>
                <w:szCs w:val="22"/>
              </w:rPr>
              <w:t>П</w:t>
            </w:r>
          </w:p>
        </w:tc>
        <w:tc>
          <w:tcPr>
            <w:tcW w:w="589" w:type="pct"/>
          </w:tcPr>
          <w:p w14:paraId="1735493A"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T(20)</w:t>
            </w:r>
          </w:p>
        </w:tc>
        <w:tc>
          <w:tcPr>
            <w:tcW w:w="294" w:type="pct"/>
          </w:tcPr>
          <w:p w14:paraId="7246E978" w14:textId="77777777" w:rsidR="00AD1F54" w:rsidRPr="00264D5D" w:rsidRDefault="00941227">
            <w:pPr>
              <w:pStyle w:val="affffff"/>
              <w:spacing w:before="60" w:after="60" w:line="240" w:lineRule="auto"/>
              <w:ind w:firstLine="0"/>
              <w:jc w:val="center"/>
              <w:rPr>
                <w:sz w:val="22"/>
                <w:szCs w:val="22"/>
              </w:rPr>
            </w:pPr>
            <w:r w:rsidRPr="00264D5D">
              <w:rPr>
                <w:color w:val="000000"/>
                <w:sz w:val="22"/>
                <w:szCs w:val="22"/>
              </w:rPr>
              <w:t>Н</w:t>
            </w:r>
          </w:p>
        </w:tc>
        <w:tc>
          <w:tcPr>
            <w:tcW w:w="2055" w:type="pct"/>
          </w:tcPr>
          <w:p w14:paraId="257791AA" w14:textId="77777777" w:rsidR="00AD1F54" w:rsidRPr="00264D5D" w:rsidRDefault="003E1F19">
            <w:pPr>
              <w:pStyle w:val="afffffffd"/>
              <w:spacing w:before="60"/>
              <w:rPr>
                <w:rFonts w:ascii="Times New Roman" w:hAnsi="Times New Roman"/>
                <w:sz w:val="22"/>
                <w:szCs w:val="22"/>
              </w:rPr>
            </w:pPr>
            <w:r w:rsidRPr="00264D5D">
              <w:rPr>
                <w:rFonts w:ascii="Times New Roman" w:hAnsi="Times New Roman"/>
                <w:sz w:val="22"/>
                <w:szCs w:val="22"/>
              </w:rPr>
              <w:t>(поле 15)*</w:t>
            </w:r>
          </w:p>
          <w:p w14:paraId="771BDDFA" w14:textId="77777777" w:rsidR="00AD1F54" w:rsidRPr="00264D5D" w:rsidRDefault="00941227">
            <w:pPr>
              <w:pStyle w:val="GOSTTablenorm"/>
              <w:rPr>
                <w:rStyle w:val="GOSTSymItalic"/>
                <w:i w:val="0"/>
                <w:szCs w:val="22"/>
              </w:rPr>
            </w:pPr>
            <w:r w:rsidRPr="00264D5D">
              <w:rPr>
                <w:rStyle w:val="GOSTSymItalic"/>
                <w:i w:val="0"/>
                <w:szCs w:val="22"/>
              </w:rPr>
              <w:t>Указывается номер счета:</w:t>
            </w:r>
          </w:p>
          <w:p w14:paraId="031FBB02" w14:textId="77777777" w:rsidR="00AD1F54" w:rsidRPr="00264D5D" w:rsidRDefault="00941227" w:rsidP="00941227">
            <w:pPr>
              <w:pStyle w:val="affffff"/>
              <w:numPr>
                <w:ilvl w:val="0"/>
                <w:numId w:val="65"/>
              </w:numPr>
              <w:tabs>
                <w:tab w:val="clear" w:pos="340"/>
              </w:tabs>
              <w:spacing w:before="60" w:after="60" w:line="240" w:lineRule="auto"/>
              <w:ind w:left="284"/>
              <w:rPr>
                <w:color w:val="000000"/>
                <w:sz w:val="22"/>
              </w:rPr>
            </w:pPr>
            <w:r w:rsidRPr="00264D5D">
              <w:rPr>
                <w:color w:val="000000"/>
                <w:sz w:val="22"/>
              </w:rPr>
              <w:t>корсчет ТОФК, в котором обслуживается получатель;</w:t>
            </w:r>
          </w:p>
          <w:p w14:paraId="7355E083" w14:textId="77777777" w:rsidR="00AD1F54" w:rsidRPr="00264D5D" w:rsidRDefault="00941227" w:rsidP="00941227">
            <w:pPr>
              <w:pStyle w:val="affffff"/>
              <w:numPr>
                <w:ilvl w:val="0"/>
                <w:numId w:val="65"/>
              </w:numPr>
              <w:tabs>
                <w:tab w:val="clear" w:pos="340"/>
              </w:tabs>
              <w:spacing w:before="60" w:after="60" w:line="240" w:lineRule="auto"/>
              <w:ind w:left="284"/>
              <w:rPr>
                <w:color w:val="000000"/>
                <w:sz w:val="22"/>
              </w:rPr>
            </w:pPr>
            <w:r w:rsidRPr="00264D5D">
              <w:rPr>
                <w:color w:val="000000"/>
                <w:sz w:val="22"/>
              </w:rPr>
              <w:t xml:space="preserve">корсчет банка получателя платежа, в иных случаях. </w:t>
            </w:r>
          </w:p>
          <w:p w14:paraId="409308EA" w14:textId="77777777" w:rsidR="00AD1F54" w:rsidRPr="00264D5D" w:rsidRDefault="00941227">
            <w:pPr>
              <w:pStyle w:val="affffff"/>
              <w:spacing w:before="60" w:after="60" w:line="240" w:lineRule="auto"/>
              <w:ind w:firstLine="0"/>
              <w:rPr>
                <w:sz w:val="22"/>
                <w:szCs w:val="22"/>
              </w:rPr>
            </w:pPr>
            <w:r w:rsidRPr="00264D5D">
              <w:rPr>
                <w:rStyle w:val="GOSTSymItalic"/>
                <w:i w:val="0"/>
                <w:sz w:val="22"/>
                <w:szCs w:val="22"/>
              </w:rPr>
              <w:t>Поле не заполняется, если получатель – клиент, не являющийся КО, филиалом КО, или обслуживающий</w:t>
            </w:r>
            <w:r w:rsidR="003E1F19" w:rsidRPr="00264D5D">
              <w:rPr>
                <w:rStyle w:val="GOSTSymItalic"/>
                <w:i w:val="0"/>
                <w:sz w:val="22"/>
                <w:szCs w:val="22"/>
              </w:rPr>
              <w:t>ся в подразделении Банка России</w:t>
            </w:r>
          </w:p>
        </w:tc>
      </w:tr>
      <w:tr w:rsidR="00AD1F54" w:rsidRPr="00264D5D" w14:paraId="3C4517B1"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4E9F780A" w14:textId="77777777" w:rsidR="00AD1F54" w:rsidRPr="00264D5D" w:rsidRDefault="00941227">
            <w:pPr>
              <w:pStyle w:val="affffff"/>
              <w:spacing w:before="60" w:after="60" w:line="240" w:lineRule="auto"/>
              <w:ind w:firstLine="0"/>
              <w:rPr>
                <w:sz w:val="22"/>
                <w:szCs w:val="22"/>
              </w:rPr>
            </w:pPr>
            <w:r w:rsidRPr="00264D5D">
              <w:rPr>
                <w:color w:val="000000"/>
                <w:sz w:val="22"/>
                <w:szCs w:val="22"/>
              </w:rPr>
              <w:lastRenderedPageBreak/>
              <w:t>Срок платежа</w:t>
            </w:r>
          </w:p>
        </w:tc>
        <w:tc>
          <w:tcPr>
            <w:tcW w:w="884" w:type="pct"/>
          </w:tcPr>
          <w:p w14:paraId="56CD0627"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DepInfo_PayDate</w:t>
            </w:r>
          </w:p>
        </w:tc>
        <w:tc>
          <w:tcPr>
            <w:tcW w:w="294" w:type="pct"/>
          </w:tcPr>
          <w:p w14:paraId="1271DCF0" w14:textId="77777777" w:rsidR="00AD1F54" w:rsidRPr="00264D5D" w:rsidRDefault="00941227">
            <w:pPr>
              <w:pStyle w:val="affffff"/>
              <w:spacing w:before="60" w:after="60" w:line="240" w:lineRule="auto"/>
              <w:ind w:firstLine="0"/>
              <w:jc w:val="center"/>
              <w:rPr>
                <w:sz w:val="22"/>
                <w:szCs w:val="22"/>
              </w:rPr>
            </w:pPr>
            <w:r w:rsidRPr="00264D5D">
              <w:rPr>
                <w:sz w:val="22"/>
                <w:szCs w:val="22"/>
              </w:rPr>
              <w:t>П</w:t>
            </w:r>
          </w:p>
        </w:tc>
        <w:tc>
          <w:tcPr>
            <w:tcW w:w="589" w:type="pct"/>
          </w:tcPr>
          <w:p w14:paraId="3535A3B4"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Date</w:t>
            </w:r>
          </w:p>
        </w:tc>
        <w:tc>
          <w:tcPr>
            <w:tcW w:w="294" w:type="pct"/>
          </w:tcPr>
          <w:p w14:paraId="65D5F2ED" w14:textId="77777777" w:rsidR="00AD1F54" w:rsidRPr="00264D5D" w:rsidRDefault="00941227">
            <w:pPr>
              <w:pStyle w:val="affffff"/>
              <w:spacing w:before="60" w:after="60" w:line="240" w:lineRule="auto"/>
              <w:ind w:firstLine="0"/>
              <w:jc w:val="center"/>
              <w:rPr>
                <w:sz w:val="22"/>
                <w:szCs w:val="22"/>
              </w:rPr>
            </w:pPr>
            <w:r w:rsidRPr="00264D5D">
              <w:rPr>
                <w:color w:val="000000"/>
                <w:sz w:val="22"/>
                <w:szCs w:val="22"/>
              </w:rPr>
              <w:t>Н</w:t>
            </w:r>
          </w:p>
        </w:tc>
        <w:tc>
          <w:tcPr>
            <w:tcW w:w="2055" w:type="pct"/>
          </w:tcPr>
          <w:p w14:paraId="5BD55353" w14:textId="77777777" w:rsidR="00AD1F54" w:rsidRPr="00264D5D" w:rsidRDefault="003E1F19">
            <w:pPr>
              <w:pStyle w:val="afffffffd"/>
              <w:spacing w:before="60"/>
              <w:rPr>
                <w:rFonts w:ascii="Times New Roman" w:hAnsi="Times New Roman"/>
                <w:sz w:val="22"/>
                <w:szCs w:val="22"/>
              </w:rPr>
            </w:pPr>
            <w:r w:rsidRPr="00264D5D">
              <w:rPr>
                <w:rFonts w:ascii="Times New Roman" w:hAnsi="Times New Roman"/>
                <w:sz w:val="22"/>
                <w:szCs w:val="22"/>
              </w:rPr>
              <w:t>(поле 19)*</w:t>
            </w:r>
          </w:p>
          <w:p w14:paraId="21EA8034" w14:textId="77777777" w:rsidR="00AD1F54" w:rsidRPr="00264D5D" w:rsidRDefault="003E1F19">
            <w:pPr>
              <w:pStyle w:val="affffff"/>
              <w:spacing w:before="60" w:after="60" w:line="240" w:lineRule="auto"/>
              <w:ind w:firstLine="0"/>
              <w:rPr>
                <w:sz w:val="22"/>
                <w:szCs w:val="22"/>
              </w:rPr>
            </w:pPr>
            <w:r w:rsidRPr="00264D5D">
              <w:rPr>
                <w:sz w:val="22"/>
                <w:szCs w:val="22"/>
              </w:rPr>
              <w:t>Указывается срок платежа</w:t>
            </w:r>
          </w:p>
        </w:tc>
      </w:tr>
      <w:tr w:rsidR="00AD1F54" w:rsidRPr="00264D5D" w14:paraId="7FFEFA1E"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41AAC21C" w14:textId="77777777" w:rsidR="00AD1F54" w:rsidRPr="00264D5D" w:rsidRDefault="00941227">
            <w:pPr>
              <w:pStyle w:val="affffff"/>
              <w:spacing w:before="60" w:after="60" w:line="240" w:lineRule="auto"/>
              <w:ind w:firstLine="0"/>
              <w:rPr>
                <w:sz w:val="22"/>
                <w:szCs w:val="22"/>
              </w:rPr>
            </w:pPr>
            <w:r w:rsidRPr="00264D5D">
              <w:rPr>
                <w:color w:val="000000"/>
                <w:sz w:val="22"/>
                <w:szCs w:val="22"/>
              </w:rPr>
              <w:t>Код вида дохода (Назначение платежа кодовое)</w:t>
            </w:r>
          </w:p>
        </w:tc>
        <w:tc>
          <w:tcPr>
            <w:tcW w:w="884" w:type="pct"/>
          </w:tcPr>
          <w:p w14:paraId="4EE579B9" w14:textId="77777777" w:rsidR="00AD1F54" w:rsidRPr="00264D5D" w:rsidRDefault="00941227">
            <w:pPr>
              <w:pStyle w:val="affffff"/>
              <w:spacing w:before="60" w:after="60" w:line="240" w:lineRule="auto"/>
              <w:ind w:firstLine="0"/>
              <w:rPr>
                <w:sz w:val="22"/>
                <w:szCs w:val="22"/>
              </w:rPr>
            </w:pPr>
            <w:r w:rsidRPr="00264D5D">
              <w:rPr>
                <w:color w:val="000000"/>
                <w:sz w:val="22"/>
                <w:szCs w:val="22"/>
              </w:rPr>
              <w:t>KBKP_Exp</w:t>
            </w:r>
          </w:p>
        </w:tc>
        <w:tc>
          <w:tcPr>
            <w:tcW w:w="294" w:type="pct"/>
          </w:tcPr>
          <w:p w14:paraId="547B87F8" w14:textId="77777777" w:rsidR="00AD1F54" w:rsidRPr="00264D5D" w:rsidRDefault="00941227">
            <w:pPr>
              <w:pStyle w:val="affffff"/>
              <w:spacing w:before="60" w:after="60" w:line="240" w:lineRule="auto"/>
              <w:ind w:firstLine="0"/>
              <w:jc w:val="center"/>
              <w:rPr>
                <w:sz w:val="22"/>
                <w:szCs w:val="22"/>
              </w:rPr>
            </w:pPr>
            <w:r w:rsidRPr="00264D5D">
              <w:rPr>
                <w:sz w:val="22"/>
                <w:szCs w:val="22"/>
              </w:rPr>
              <w:t>П</w:t>
            </w:r>
          </w:p>
        </w:tc>
        <w:tc>
          <w:tcPr>
            <w:tcW w:w="589" w:type="pct"/>
          </w:tcPr>
          <w:p w14:paraId="221C262A" w14:textId="77777777" w:rsidR="00AD1F54" w:rsidRPr="00264D5D" w:rsidRDefault="00941227">
            <w:pPr>
              <w:pStyle w:val="affffff"/>
              <w:spacing w:before="60" w:after="60" w:line="240" w:lineRule="auto"/>
              <w:ind w:firstLine="0"/>
              <w:rPr>
                <w:sz w:val="22"/>
                <w:szCs w:val="22"/>
              </w:rPr>
            </w:pPr>
            <w:r w:rsidRPr="00264D5D">
              <w:rPr>
                <w:color w:val="000000"/>
                <w:sz w:val="22"/>
                <w:szCs w:val="22"/>
              </w:rPr>
              <w:t>T(1)</w:t>
            </w:r>
          </w:p>
        </w:tc>
        <w:tc>
          <w:tcPr>
            <w:tcW w:w="294" w:type="pct"/>
          </w:tcPr>
          <w:p w14:paraId="2CF0D068" w14:textId="77777777" w:rsidR="00AD1F54" w:rsidRPr="00264D5D" w:rsidRDefault="00941227">
            <w:pPr>
              <w:pStyle w:val="affffff"/>
              <w:spacing w:before="60" w:after="60" w:line="240" w:lineRule="auto"/>
              <w:ind w:firstLine="0"/>
              <w:jc w:val="center"/>
              <w:rPr>
                <w:sz w:val="22"/>
                <w:szCs w:val="22"/>
              </w:rPr>
            </w:pPr>
            <w:r w:rsidRPr="00264D5D">
              <w:rPr>
                <w:color w:val="000000"/>
                <w:sz w:val="22"/>
                <w:szCs w:val="22"/>
              </w:rPr>
              <w:t>Н</w:t>
            </w:r>
          </w:p>
        </w:tc>
        <w:tc>
          <w:tcPr>
            <w:tcW w:w="2055" w:type="pct"/>
          </w:tcPr>
          <w:p w14:paraId="2D77F3A2" w14:textId="77777777" w:rsidR="00AD1F54" w:rsidRPr="00264D5D" w:rsidRDefault="00941227">
            <w:pPr>
              <w:pStyle w:val="GOSTTablenorm"/>
              <w:keepNext/>
              <w:rPr>
                <w:szCs w:val="22"/>
                <w:lang w:eastAsia="en-US"/>
              </w:rPr>
            </w:pPr>
            <w:r w:rsidRPr="00264D5D">
              <w:rPr>
                <w:szCs w:val="22"/>
                <w:lang w:eastAsia="en-US"/>
              </w:rPr>
              <w:t>(Поле 20)</w:t>
            </w:r>
            <w:r w:rsidR="003E1F19" w:rsidRPr="00264D5D">
              <w:rPr>
                <w:szCs w:val="22"/>
              </w:rPr>
              <w:t>*</w:t>
            </w:r>
          </w:p>
          <w:p w14:paraId="6DCA5D20" w14:textId="77777777" w:rsidR="00AD1F54" w:rsidRPr="00264D5D" w:rsidRDefault="00941227">
            <w:pPr>
              <w:pStyle w:val="GOSTTablenorm"/>
              <w:keepNext/>
              <w:rPr>
                <w:szCs w:val="22"/>
                <w:lang w:eastAsia="en-US"/>
              </w:rPr>
            </w:pPr>
            <w:r w:rsidRPr="00264D5D">
              <w:rPr>
                <w:szCs w:val="22"/>
                <w:lang w:eastAsia="en-US"/>
              </w:rPr>
              <w:t>Заполняется в соответствии с частью 5.1 статьи 70 ФЗ от 02.10.2017 № 229-ФЗ и указанием Банка России от 14.10.2019 № 5286-У в документах, предусматривающих перечисление средств гражданам.</w:t>
            </w:r>
          </w:p>
          <w:p w14:paraId="07637536" w14:textId="77777777" w:rsidR="00AD1F54" w:rsidRPr="00264D5D" w:rsidRDefault="00941227">
            <w:pPr>
              <w:pStyle w:val="GOSTTablenorm"/>
              <w:keepNext/>
              <w:rPr>
                <w:szCs w:val="22"/>
                <w:lang w:eastAsia="en-US"/>
              </w:rPr>
            </w:pPr>
            <w:r w:rsidRPr="00264D5D">
              <w:rPr>
                <w:szCs w:val="22"/>
                <w:lang w:eastAsia="en-US"/>
              </w:rPr>
              <w:t>Возможные значения:</w:t>
            </w:r>
          </w:p>
          <w:p w14:paraId="0D945157" w14:textId="77777777" w:rsidR="00AD1F54" w:rsidRPr="00264D5D" w:rsidRDefault="00941227" w:rsidP="00941227">
            <w:pPr>
              <w:pStyle w:val="affffff"/>
              <w:numPr>
                <w:ilvl w:val="0"/>
                <w:numId w:val="65"/>
              </w:numPr>
              <w:tabs>
                <w:tab w:val="clear" w:pos="340"/>
              </w:tabs>
              <w:spacing w:before="60" w:after="60" w:line="240" w:lineRule="auto"/>
              <w:ind w:left="284"/>
              <w:rPr>
                <w:color w:val="000000"/>
                <w:sz w:val="22"/>
              </w:rPr>
            </w:pPr>
            <w:r w:rsidRPr="00264D5D">
              <w:rPr>
                <w:color w:val="000000"/>
                <w:sz w:val="22"/>
              </w:rPr>
              <w:t>«1» – при перечислении заработной платы и (или) иных доходов, в отношении которых статьей 99 ФЗ от 02.10.2017 № 229-ФЗ установлены ограничения размеров удержания;</w:t>
            </w:r>
          </w:p>
          <w:p w14:paraId="0E013D57" w14:textId="77777777" w:rsidR="00AD1F54" w:rsidRPr="00264D5D" w:rsidRDefault="00941227" w:rsidP="00941227">
            <w:pPr>
              <w:pStyle w:val="affffff"/>
              <w:numPr>
                <w:ilvl w:val="0"/>
                <w:numId w:val="65"/>
              </w:numPr>
              <w:tabs>
                <w:tab w:val="clear" w:pos="340"/>
              </w:tabs>
              <w:spacing w:before="60" w:after="60" w:line="240" w:lineRule="auto"/>
              <w:ind w:left="284"/>
              <w:rPr>
                <w:color w:val="000000"/>
                <w:sz w:val="22"/>
              </w:rPr>
            </w:pPr>
            <w:r w:rsidRPr="00264D5D">
              <w:rPr>
                <w:color w:val="000000"/>
                <w:sz w:val="22"/>
              </w:rPr>
              <w:t>«2» – при перечислении денежных средств, являющихся доходами, на которые в соответствии со статьей 101 ФЗ от 02.10.2007 № 229-ФЗ не может быть обращено взыскание, за исключением доходов, к которым в соответствии с частью 2 статьи 101 ФЗ от 02.10.2007 № 229-ФЗ ограничения по обращению взыскания не применяются;</w:t>
            </w:r>
          </w:p>
          <w:p w14:paraId="609AF810" w14:textId="77777777" w:rsidR="00AD1F54" w:rsidRPr="00264D5D" w:rsidRDefault="00941227" w:rsidP="00941227">
            <w:pPr>
              <w:pStyle w:val="affffff"/>
              <w:numPr>
                <w:ilvl w:val="0"/>
                <w:numId w:val="65"/>
              </w:numPr>
              <w:tabs>
                <w:tab w:val="clear" w:pos="340"/>
              </w:tabs>
              <w:spacing w:before="60" w:after="60" w:line="240" w:lineRule="auto"/>
              <w:ind w:left="284"/>
              <w:rPr>
                <w:color w:val="000000"/>
                <w:sz w:val="22"/>
              </w:rPr>
            </w:pPr>
            <w:r w:rsidRPr="00264D5D">
              <w:rPr>
                <w:color w:val="000000"/>
                <w:sz w:val="22"/>
              </w:rPr>
              <w:t>«3» – при перечислении денежных средств, являющихся доходами, к которым в соответствии с частью 2 статьи 101 ФЗ от 02.10.2007 № 229-ФЗ ограничения по обращению взыскания не применяются.</w:t>
            </w:r>
          </w:p>
          <w:p w14:paraId="342B6643" w14:textId="77777777" w:rsidR="00AD1F54" w:rsidRPr="00264D5D" w:rsidRDefault="00941227">
            <w:pPr>
              <w:pStyle w:val="affffff"/>
              <w:spacing w:before="60" w:after="60" w:line="240" w:lineRule="auto"/>
              <w:ind w:firstLine="0"/>
              <w:rPr>
                <w:sz w:val="22"/>
                <w:szCs w:val="22"/>
              </w:rPr>
            </w:pPr>
            <w:r w:rsidRPr="00264D5D">
              <w:rPr>
                <w:sz w:val="22"/>
                <w:szCs w:val="22"/>
              </w:rPr>
              <w:t>В о</w:t>
            </w:r>
            <w:r w:rsidR="003E1F19" w:rsidRPr="00264D5D">
              <w:rPr>
                <w:sz w:val="22"/>
                <w:szCs w:val="22"/>
              </w:rPr>
              <w:t>стальных случаях не заполняется</w:t>
            </w:r>
          </w:p>
        </w:tc>
      </w:tr>
      <w:tr w:rsidR="00AD1F54" w:rsidRPr="00264D5D" w14:paraId="2C934CD5"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73CE52AC" w14:textId="77777777" w:rsidR="00AD1F54" w:rsidRPr="00264D5D" w:rsidRDefault="00941227">
            <w:pPr>
              <w:pStyle w:val="affffff"/>
              <w:spacing w:before="60" w:after="60" w:line="240" w:lineRule="auto"/>
              <w:ind w:firstLine="0"/>
              <w:rPr>
                <w:sz w:val="22"/>
                <w:szCs w:val="22"/>
              </w:rPr>
            </w:pPr>
            <w:r w:rsidRPr="00264D5D">
              <w:rPr>
                <w:color w:val="000000"/>
                <w:sz w:val="22"/>
                <w:szCs w:val="22"/>
              </w:rPr>
              <w:t>Очередность платежа</w:t>
            </w:r>
          </w:p>
        </w:tc>
        <w:tc>
          <w:tcPr>
            <w:tcW w:w="884" w:type="pct"/>
          </w:tcPr>
          <w:p w14:paraId="4D468167"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AddInfo_PayOrder</w:t>
            </w:r>
          </w:p>
        </w:tc>
        <w:tc>
          <w:tcPr>
            <w:tcW w:w="294" w:type="pct"/>
          </w:tcPr>
          <w:p w14:paraId="24DF1C12" w14:textId="77777777" w:rsidR="00AD1F54" w:rsidRPr="00264D5D" w:rsidRDefault="00941227">
            <w:pPr>
              <w:pStyle w:val="affffff"/>
              <w:spacing w:before="60" w:after="60" w:line="240" w:lineRule="auto"/>
              <w:ind w:firstLine="0"/>
              <w:jc w:val="center"/>
              <w:rPr>
                <w:sz w:val="22"/>
                <w:szCs w:val="22"/>
              </w:rPr>
            </w:pPr>
            <w:r w:rsidRPr="00264D5D">
              <w:rPr>
                <w:sz w:val="22"/>
                <w:szCs w:val="22"/>
              </w:rPr>
              <w:t>П</w:t>
            </w:r>
          </w:p>
        </w:tc>
        <w:tc>
          <w:tcPr>
            <w:tcW w:w="589" w:type="pct"/>
          </w:tcPr>
          <w:p w14:paraId="1E44953D"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T(1)</w:t>
            </w:r>
          </w:p>
        </w:tc>
        <w:tc>
          <w:tcPr>
            <w:tcW w:w="294" w:type="pct"/>
          </w:tcPr>
          <w:p w14:paraId="481E0F90" w14:textId="77777777" w:rsidR="00AD1F54" w:rsidRPr="00264D5D" w:rsidRDefault="00941227">
            <w:pPr>
              <w:pStyle w:val="affffff"/>
              <w:spacing w:before="60" w:after="60" w:line="240" w:lineRule="auto"/>
              <w:ind w:firstLine="0"/>
              <w:jc w:val="center"/>
              <w:rPr>
                <w:sz w:val="22"/>
                <w:szCs w:val="22"/>
              </w:rPr>
            </w:pPr>
            <w:r w:rsidRPr="00264D5D">
              <w:rPr>
                <w:color w:val="000000"/>
                <w:sz w:val="22"/>
                <w:szCs w:val="22"/>
              </w:rPr>
              <w:t>О</w:t>
            </w:r>
          </w:p>
        </w:tc>
        <w:tc>
          <w:tcPr>
            <w:tcW w:w="2055" w:type="pct"/>
          </w:tcPr>
          <w:p w14:paraId="4447EF50" w14:textId="77777777" w:rsidR="00AD1F54" w:rsidRPr="00264D5D" w:rsidRDefault="003E1F19">
            <w:pPr>
              <w:pStyle w:val="afffffffd"/>
              <w:spacing w:before="60"/>
              <w:rPr>
                <w:rFonts w:ascii="Times New Roman" w:hAnsi="Times New Roman"/>
                <w:sz w:val="22"/>
                <w:szCs w:val="22"/>
              </w:rPr>
            </w:pPr>
            <w:r w:rsidRPr="00264D5D">
              <w:rPr>
                <w:rFonts w:ascii="Times New Roman" w:hAnsi="Times New Roman"/>
                <w:sz w:val="22"/>
                <w:szCs w:val="22"/>
              </w:rPr>
              <w:t>(поле 21)*</w:t>
            </w:r>
          </w:p>
          <w:p w14:paraId="16B4AE66" w14:textId="77777777" w:rsidR="00AD1F54" w:rsidRPr="00264D5D" w:rsidRDefault="00941227">
            <w:pPr>
              <w:pStyle w:val="affffff"/>
              <w:spacing w:before="60" w:after="60" w:line="240" w:lineRule="auto"/>
              <w:ind w:firstLine="0"/>
              <w:rPr>
                <w:sz w:val="22"/>
                <w:szCs w:val="22"/>
              </w:rPr>
            </w:pPr>
            <w:r w:rsidRPr="00264D5D">
              <w:rPr>
                <w:sz w:val="22"/>
                <w:szCs w:val="22"/>
              </w:rPr>
              <w:t>Принимает значение от 0 до</w:t>
            </w:r>
            <w:r w:rsidR="003E1F19" w:rsidRPr="00264D5D">
              <w:rPr>
                <w:sz w:val="22"/>
                <w:szCs w:val="22"/>
              </w:rPr>
              <w:t xml:space="preserve"> 5 (0 – очередность не указана)</w:t>
            </w:r>
          </w:p>
        </w:tc>
      </w:tr>
      <w:tr w:rsidR="00AD1F54" w:rsidRPr="00264D5D" w14:paraId="5C34276A"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29F74FB0" w14:textId="77777777" w:rsidR="00AD1F54" w:rsidRPr="00264D5D" w:rsidRDefault="00941227">
            <w:pPr>
              <w:pStyle w:val="affffff"/>
              <w:spacing w:before="60" w:after="60" w:line="240" w:lineRule="auto"/>
              <w:ind w:firstLine="0"/>
              <w:rPr>
                <w:sz w:val="22"/>
                <w:szCs w:val="22"/>
              </w:rPr>
            </w:pPr>
            <w:r w:rsidRPr="00264D5D">
              <w:rPr>
                <w:color w:val="000000"/>
                <w:sz w:val="22"/>
                <w:szCs w:val="22"/>
              </w:rPr>
              <w:t>Уникальный идентификатор начисления</w:t>
            </w:r>
          </w:p>
        </w:tc>
        <w:tc>
          <w:tcPr>
            <w:tcW w:w="884" w:type="pct"/>
          </w:tcPr>
          <w:p w14:paraId="0FB8D148"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AddInfo_PaymentID</w:t>
            </w:r>
          </w:p>
        </w:tc>
        <w:tc>
          <w:tcPr>
            <w:tcW w:w="294" w:type="pct"/>
          </w:tcPr>
          <w:p w14:paraId="40416F6D" w14:textId="77777777" w:rsidR="00AD1F54" w:rsidRPr="00264D5D" w:rsidRDefault="00941227">
            <w:pPr>
              <w:pStyle w:val="affffff"/>
              <w:spacing w:before="60" w:after="60" w:line="240" w:lineRule="auto"/>
              <w:ind w:firstLine="0"/>
              <w:jc w:val="center"/>
              <w:rPr>
                <w:sz w:val="22"/>
                <w:szCs w:val="22"/>
              </w:rPr>
            </w:pPr>
            <w:r w:rsidRPr="00264D5D">
              <w:rPr>
                <w:sz w:val="22"/>
                <w:szCs w:val="22"/>
              </w:rPr>
              <w:t>П</w:t>
            </w:r>
          </w:p>
        </w:tc>
        <w:tc>
          <w:tcPr>
            <w:tcW w:w="589" w:type="pct"/>
          </w:tcPr>
          <w:p w14:paraId="295C9240"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T(1-25)</w:t>
            </w:r>
          </w:p>
        </w:tc>
        <w:tc>
          <w:tcPr>
            <w:tcW w:w="294" w:type="pct"/>
          </w:tcPr>
          <w:p w14:paraId="5F635912" w14:textId="77777777" w:rsidR="00AD1F54" w:rsidRPr="00264D5D" w:rsidRDefault="00941227">
            <w:pPr>
              <w:pStyle w:val="affffff"/>
              <w:spacing w:before="60" w:after="60" w:line="240" w:lineRule="auto"/>
              <w:ind w:firstLine="0"/>
              <w:jc w:val="center"/>
              <w:rPr>
                <w:sz w:val="22"/>
                <w:szCs w:val="22"/>
              </w:rPr>
            </w:pPr>
            <w:r w:rsidRPr="00264D5D">
              <w:rPr>
                <w:color w:val="000000"/>
                <w:sz w:val="22"/>
                <w:szCs w:val="22"/>
              </w:rPr>
              <w:t>Н</w:t>
            </w:r>
          </w:p>
        </w:tc>
        <w:tc>
          <w:tcPr>
            <w:tcW w:w="2055" w:type="pct"/>
          </w:tcPr>
          <w:p w14:paraId="015CEDBF" w14:textId="77777777" w:rsidR="00AD1F54" w:rsidRPr="00264D5D" w:rsidRDefault="003E1F19">
            <w:pPr>
              <w:pStyle w:val="GOSTTablenorm"/>
              <w:rPr>
                <w:szCs w:val="22"/>
              </w:rPr>
            </w:pPr>
            <w:r w:rsidRPr="00264D5D">
              <w:rPr>
                <w:szCs w:val="22"/>
              </w:rPr>
              <w:t>(поле 22)*</w:t>
            </w:r>
          </w:p>
          <w:p w14:paraId="65196292" w14:textId="77777777" w:rsidR="00AD1F54" w:rsidRPr="00264D5D" w:rsidRDefault="00941227">
            <w:pPr>
              <w:pStyle w:val="GOSTTablenorm"/>
              <w:rPr>
                <w:szCs w:val="22"/>
              </w:rPr>
            </w:pPr>
            <w:r w:rsidRPr="00264D5D">
              <w:rPr>
                <w:szCs w:val="22"/>
              </w:rPr>
              <w:t xml:space="preserve">Указывается уникальный идентификатор начисления, или уникальный идентификатор платежа, или код НПА в соответствии с Приказом от 12.11.2013 № 107н, Приказом от 23.06.2020 №119н. Не может быть указано 4, 20 или 25 цифр </w:t>
            </w:r>
            <w:r w:rsidRPr="00264D5D">
              <w:rPr>
                <w:szCs w:val="22"/>
              </w:rPr>
              <w:lastRenderedPageBreak/>
              <w:t>ноль («0»).</w:t>
            </w:r>
          </w:p>
          <w:p w14:paraId="19E75EFF" w14:textId="77777777" w:rsidR="00AD1F54" w:rsidRPr="00264D5D" w:rsidRDefault="00941227">
            <w:pPr>
              <w:pStyle w:val="affffff"/>
              <w:spacing w:before="60" w:after="60" w:line="240" w:lineRule="auto"/>
              <w:ind w:firstLine="0"/>
              <w:rPr>
                <w:sz w:val="22"/>
                <w:szCs w:val="22"/>
              </w:rPr>
            </w:pPr>
            <w:r w:rsidRPr="00264D5D">
              <w:rPr>
                <w:sz w:val="22"/>
                <w:szCs w:val="22"/>
                <w:lang w:eastAsia="ru-RU"/>
              </w:rPr>
              <w:t>Обязательно для заполнения значением уникального идентификатора платежа пр</w:t>
            </w:r>
            <w:r w:rsidR="003E1F19" w:rsidRPr="00264D5D">
              <w:rPr>
                <w:sz w:val="22"/>
                <w:szCs w:val="22"/>
                <w:lang w:eastAsia="ru-RU"/>
              </w:rPr>
              <w:t>и перечислении на счета № 40822</w:t>
            </w:r>
          </w:p>
        </w:tc>
      </w:tr>
      <w:tr w:rsidR="00AD1F54" w:rsidRPr="00264D5D" w14:paraId="14EA2A45"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57D8F1FC" w14:textId="77777777" w:rsidR="00AD1F54" w:rsidRPr="00264D5D" w:rsidRDefault="00941227">
            <w:pPr>
              <w:pStyle w:val="affffff"/>
              <w:spacing w:before="60" w:after="60" w:line="240" w:lineRule="auto"/>
              <w:ind w:firstLine="0"/>
              <w:rPr>
                <w:sz w:val="22"/>
                <w:szCs w:val="22"/>
              </w:rPr>
            </w:pPr>
            <w:r w:rsidRPr="00264D5D">
              <w:rPr>
                <w:color w:val="000000"/>
                <w:sz w:val="22"/>
                <w:szCs w:val="22"/>
              </w:rPr>
              <w:lastRenderedPageBreak/>
              <w:t>Сумма, взысканная по исполнительному документу</w:t>
            </w:r>
          </w:p>
        </w:tc>
        <w:tc>
          <w:tcPr>
            <w:tcW w:w="884" w:type="pct"/>
          </w:tcPr>
          <w:p w14:paraId="38C840A4" w14:textId="77777777" w:rsidR="00AD1F54" w:rsidRPr="00264D5D" w:rsidRDefault="00941227">
            <w:pPr>
              <w:pStyle w:val="affffff"/>
              <w:spacing w:before="60" w:after="60" w:line="240" w:lineRule="auto"/>
              <w:ind w:firstLine="0"/>
              <w:rPr>
                <w:sz w:val="22"/>
                <w:szCs w:val="22"/>
              </w:rPr>
            </w:pPr>
            <w:r w:rsidRPr="00264D5D">
              <w:rPr>
                <w:color w:val="000000"/>
                <w:sz w:val="22"/>
                <w:szCs w:val="22"/>
              </w:rPr>
              <w:t>PenaltySum</w:t>
            </w:r>
          </w:p>
        </w:tc>
        <w:tc>
          <w:tcPr>
            <w:tcW w:w="294" w:type="pct"/>
          </w:tcPr>
          <w:p w14:paraId="7564A339" w14:textId="77777777" w:rsidR="00AD1F54" w:rsidRPr="00264D5D" w:rsidRDefault="00941227">
            <w:pPr>
              <w:pStyle w:val="affffff"/>
              <w:spacing w:before="60" w:after="60" w:line="240" w:lineRule="auto"/>
              <w:ind w:firstLine="0"/>
              <w:jc w:val="center"/>
              <w:rPr>
                <w:sz w:val="22"/>
                <w:szCs w:val="22"/>
              </w:rPr>
            </w:pPr>
            <w:r w:rsidRPr="00264D5D">
              <w:rPr>
                <w:sz w:val="22"/>
                <w:szCs w:val="22"/>
              </w:rPr>
              <w:t>П</w:t>
            </w:r>
          </w:p>
        </w:tc>
        <w:tc>
          <w:tcPr>
            <w:tcW w:w="589" w:type="pct"/>
          </w:tcPr>
          <w:p w14:paraId="30D6C522" w14:textId="77777777" w:rsidR="00AD1F54" w:rsidRPr="00264D5D" w:rsidRDefault="00941227">
            <w:pPr>
              <w:pStyle w:val="affffff"/>
              <w:spacing w:before="60" w:after="60" w:line="240" w:lineRule="auto"/>
              <w:ind w:firstLine="0"/>
              <w:rPr>
                <w:sz w:val="22"/>
                <w:szCs w:val="22"/>
              </w:rPr>
            </w:pPr>
            <w:r w:rsidRPr="00264D5D">
              <w:rPr>
                <w:color w:val="000000"/>
                <w:sz w:val="22"/>
                <w:szCs w:val="22"/>
              </w:rPr>
              <w:t>N(20.2)</w:t>
            </w:r>
          </w:p>
        </w:tc>
        <w:tc>
          <w:tcPr>
            <w:tcW w:w="294" w:type="pct"/>
          </w:tcPr>
          <w:p w14:paraId="3A5573E8" w14:textId="77777777" w:rsidR="00AD1F54" w:rsidRPr="00264D5D" w:rsidRDefault="00941227">
            <w:pPr>
              <w:pStyle w:val="affffff"/>
              <w:spacing w:before="60" w:after="60" w:line="240" w:lineRule="auto"/>
              <w:ind w:firstLine="0"/>
              <w:jc w:val="center"/>
              <w:rPr>
                <w:sz w:val="22"/>
                <w:szCs w:val="22"/>
              </w:rPr>
            </w:pPr>
            <w:r w:rsidRPr="00264D5D">
              <w:rPr>
                <w:color w:val="000000"/>
                <w:sz w:val="22"/>
                <w:szCs w:val="22"/>
              </w:rPr>
              <w:t>Н</w:t>
            </w:r>
          </w:p>
        </w:tc>
        <w:tc>
          <w:tcPr>
            <w:tcW w:w="2055" w:type="pct"/>
          </w:tcPr>
          <w:p w14:paraId="7B4C5ADA" w14:textId="77777777" w:rsidR="00AD1F54" w:rsidRPr="00264D5D" w:rsidRDefault="00941227">
            <w:pPr>
              <w:pStyle w:val="afffffffd"/>
              <w:spacing w:before="60"/>
              <w:rPr>
                <w:rFonts w:ascii="Times New Roman" w:hAnsi="Times New Roman"/>
                <w:sz w:val="22"/>
                <w:szCs w:val="22"/>
              </w:rPr>
            </w:pPr>
            <w:r w:rsidRPr="00264D5D">
              <w:rPr>
                <w:rFonts w:ascii="Times New Roman" w:hAnsi="Times New Roman"/>
                <w:sz w:val="22"/>
                <w:szCs w:val="22"/>
              </w:rPr>
              <w:t>Заполняется в документах, предусматривающих перечисление средств гражданам, которые являются должниками по ИД.</w:t>
            </w:r>
          </w:p>
          <w:p w14:paraId="3B4659A7" w14:textId="77777777" w:rsidR="00AD1F54" w:rsidRPr="00264D5D" w:rsidRDefault="00941227">
            <w:pPr>
              <w:pStyle w:val="affffff"/>
              <w:spacing w:before="60" w:after="60" w:line="240" w:lineRule="auto"/>
              <w:ind w:firstLine="0"/>
              <w:rPr>
                <w:sz w:val="22"/>
                <w:szCs w:val="22"/>
              </w:rPr>
            </w:pPr>
            <w:r w:rsidRPr="00264D5D">
              <w:rPr>
                <w:sz w:val="22"/>
                <w:szCs w:val="22"/>
              </w:rPr>
              <w:t>Указывается сумма</w:t>
            </w:r>
            <w:r w:rsidR="003E1F19" w:rsidRPr="00264D5D">
              <w:rPr>
                <w:sz w:val="22"/>
                <w:szCs w:val="22"/>
              </w:rPr>
              <w:t>, взысканная с гражданина по ИД</w:t>
            </w:r>
          </w:p>
        </w:tc>
      </w:tr>
      <w:tr w:rsidR="00AD1F54" w:rsidRPr="00264D5D" w14:paraId="133E58D3"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7664614B" w14:textId="77777777" w:rsidR="00AD1F54" w:rsidRPr="00264D5D" w:rsidRDefault="00941227">
            <w:pPr>
              <w:pStyle w:val="affffff"/>
              <w:spacing w:before="60" w:after="60" w:line="240" w:lineRule="auto"/>
              <w:ind w:firstLine="0"/>
              <w:rPr>
                <w:sz w:val="22"/>
                <w:szCs w:val="22"/>
              </w:rPr>
            </w:pPr>
            <w:r w:rsidRPr="00264D5D">
              <w:rPr>
                <w:color w:val="000000"/>
                <w:sz w:val="22"/>
                <w:szCs w:val="22"/>
              </w:rPr>
              <w:t>Назначение платежа</w:t>
            </w:r>
          </w:p>
        </w:tc>
        <w:tc>
          <w:tcPr>
            <w:tcW w:w="884" w:type="pct"/>
          </w:tcPr>
          <w:p w14:paraId="03F57E59"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DepInfo_PayPurpose</w:t>
            </w:r>
          </w:p>
        </w:tc>
        <w:tc>
          <w:tcPr>
            <w:tcW w:w="294" w:type="pct"/>
          </w:tcPr>
          <w:p w14:paraId="7BFCD8CC" w14:textId="77777777" w:rsidR="00AD1F54" w:rsidRPr="00264D5D" w:rsidRDefault="00941227">
            <w:pPr>
              <w:pStyle w:val="affffff"/>
              <w:spacing w:before="60" w:after="60" w:line="240" w:lineRule="auto"/>
              <w:ind w:firstLine="0"/>
              <w:jc w:val="center"/>
              <w:rPr>
                <w:sz w:val="22"/>
                <w:szCs w:val="22"/>
              </w:rPr>
            </w:pPr>
            <w:r w:rsidRPr="00264D5D">
              <w:rPr>
                <w:sz w:val="22"/>
                <w:szCs w:val="22"/>
              </w:rPr>
              <w:t>П</w:t>
            </w:r>
          </w:p>
        </w:tc>
        <w:tc>
          <w:tcPr>
            <w:tcW w:w="589" w:type="pct"/>
          </w:tcPr>
          <w:p w14:paraId="2E15FA5A"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T(1-210)</w:t>
            </w:r>
          </w:p>
        </w:tc>
        <w:tc>
          <w:tcPr>
            <w:tcW w:w="294" w:type="pct"/>
          </w:tcPr>
          <w:p w14:paraId="1C322C6F" w14:textId="77777777" w:rsidR="00AD1F54" w:rsidRPr="00264D5D" w:rsidRDefault="00941227">
            <w:pPr>
              <w:pStyle w:val="affffff"/>
              <w:spacing w:before="60" w:after="60" w:line="240" w:lineRule="auto"/>
              <w:ind w:firstLine="0"/>
              <w:jc w:val="center"/>
              <w:rPr>
                <w:sz w:val="22"/>
                <w:szCs w:val="22"/>
              </w:rPr>
            </w:pPr>
            <w:r w:rsidRPr="00264D5D">
              <w:rPr>
                <w:color w:val="000000"/>
                <w:sz w:val="22"/>
                <w:szCs w:val="22"/>
              </w:rPr>
              <w:t>О</w:t>
            </w:r>
          </w:p>
        </w:tc>
        <w:tc>
          <w:tcPr>
            <w:tcW w:w="2055" w:type="pct"/>
          </w:tcPr>
          <w:p w14:paraId="4BDF5AB7" w14:textId="77777777" w:rsidR="00AD1F54" w:rsidRPr="00264D5D" w:rsidRDefault="003E1F19">
            <w:pPr>
              <w:pStyle w:val="GOSTTablenorm"/>
              <w:rPr>
                <w:szCs w:val="22"/>
              </w:rPr>
            </w:pPr>
            <w:r w:rsidRPr="00264D5D">
              <w:rPr>
                <w:szCs w:val="22"/>
              </w:rPr>
              <w:t>(поле 24)*</w:t>
            </w:r>
          </w:p>
          <w:p w14:paraId="52A807C1" w14:textId="77777777" w:rsidR="00AD1F54" w:rsidRPr="00264D5D" w:rsidRDefault="00941227">
            <w:pPr>
              <w:pStyle w:val="affffff"/>
              <w:spacing w:before="60" w:after="60" w:line="240" w:lineRule="auto"/>
              <w:ind w:firstLine="0"/>
              <w:rPr>
                <w:sz w:val="22"/>
                <w:szCs w:val="22"/>
              </w:rPr>
            </w:pPr>
            <w:r w:rsidRPr="00264D5D">
              <w:rPr>
                <w:rStyle w:val="GOSTSymItalic"/>
                <w:i w:val="0"/>
                <w:spacing w:val="-5"/>
                <w:sz w:val="22"/>
                <w:szCs w:val="22"/>
              </w:rPr>
              <w:t>В документах, предусматривающих перечисление средств гражданам, которые являются должниками по ИД, указывается сумма, взысканная по ИД, в соответствии с частью 3 статьи 98 ФЗ от 02.10.2007 № 229-ФЗ и письмом Банка Рос</w:t>
            </w:r>
            <w:r w:rsidR="003E1F19" w:rsidRPr="00264D5D">
              <w:rPr>
                <w:rStyle w:val="GOSTSymItalic"/>
                <w:i w:val="0"/>
                <w:spacing w:val="-5"/>
                <w:sz w:val="22"/>
                <w:szCs w:val="22"/>
              </w:rPr>
              <w:t>сии от 27.02.2020 № ИН-05-45/10</w:t>
            </w:r>
          </w:p>
        </w:tc>
      </w:tr>
      <w:tr w:rsidR="00AD1F54" w:rsidRPr="00264D5D" w14:paraId="78F9A805"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59E244BB" w14:textId="77777777" w:rsidR="00AD1F54" w:rsidRPr="00264D5D" w:rsidRDefault="00941227">
            <w:pPr>
              <w:pStyle w:val="affffff"/>
              <w:spacing w:before="60" w:after="60" w:line="240" w:lineRule="auto"/>
              <w:ind w:firstLine="0"/>
              <w:rPr>
                <w:sz w:val="22"/>
                <w:szCs w:val="22"/>
              </w:rPr>
            </w:pPr>
            <w:r w:rsidRPr="00264D5D">
              <w:rPr>
                <w:color w:val="000000"/>
                <w:sz w:val="22"/>
                <w:szCs w:val="22"/>
              </w:rPr>
              <w:t>Статус составителя расчетного документа</w:t>
            </w:r>
          </w:p>
        </w:tc>
        <w:tc>
          <w:tcPr>
            <w:tcW w:w="884" w:type="pct"/>
          </w:tcPr>
          <w:p w14:paraId="5873AEF8"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DepInfo_TAX_DrawStat</w:t>
            </w:r>
          </w:p>
        </w:tc>
        <w:tc>
          <w:tcPr>
            <w:tcW w:w="294" w:type="pct"/>
          </w:tcPr>
          <w:p w14:paraId="690C55A7" w14:textId="77777777" w:rsidR="00AD1F54" w:rsidRPr="00264D5D" w:rsidRDefault="00941227">
            <w:pPr>
              <w:pStyle w:val="affffff"/>
              <w:spacing w:before="60" w:after="60" w:line="240" w:lineRule="auto"/>
              <w:ind w:firstLine="0"/>
              <w:jc w:val="center"/>
              <w:rPr>
                <w:sz w:val="22"/>
                <w:szCs w:val="22"/>
              </w:rPr>
            </w:pPr>
            <w:r w:rsidRPr="00264D5D">
              <w:rPr>
                <w:sz w:val="22"/>
                <w:szCs w:val="22"/>
              </w:rPr>
              <w:t>П</w:t>
            </w:r>
          </w:p>
        </w:tc>
        <w:tc>
          <w:tcPr>
            <w:tcW w:w="589" w:type="pct"/>
          </w:tcPr>
          <w:p w14:paraId="193EE7A6"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T(1-2)</w:t>
            </w:r>
          </w:p>
        </w:tc>
        <w:tc>
          <w:tcPr>
            <w:tcW w:w="294" w:type="pct"/>
          </w:tcPr>
          <w:p w14:paraId="1D498813" w14:textId="77777777" w:rsidR="00AD1F54" w:rsidRPr="00264D5D" w:rsidRDefault="00941227">
            <w:pPr>
              <w:pStyle w:val="affffff"/>
              <w:spacing w:before="60" w:after="60" w:line="240" w:lineRule="auto"/>
              <w:ind w:firstLine="0"/>
              <w:jc w:val="center"/>
              <w:rPr>
                <w:sz w:val="22"/>
                <w:szCs w:val="22"/>
              </w:rPr>
            </w:pPr>
            <w:r w:rsidRPr="00264D5D">
              <w:rPr>
                <w:color w:val="000000"/>
                <w:sz w:val="22"/>
                <w:szCs w:val="22"/>
              </w:rPr>
              <w:t>Н</w:t>
            </w:r>
          </w:p>
        </w:tc>
        <w:tc>
          <w:tcPr>
            <w:tcW w:w="2055" w:type="pct"/>
          </w:tcPr>
          <w:p w14:paraId="28F6004B" w14:textId="77777777" w:rsidR="00AD1F54" w:rsidRPr="00264D5D" w:rsidRDefault="003E1F19">
            <w:pPr>
              <w:pStyle w:val="GOSTTablenorm"/>
              <w:rPr>
                <w:szCs w:val="22"/>
              </w:rPr>
            </w:pPr>
            <w:r w:rsidRPr="00264D5D">
              <w:rPr>
                <w:szCs w:val="22"/>
              </w:rPr>
              <w:t>(поле 101)*</w:t>
            </w:r>
          </w:p>
          <w:p w14:paraId="00760A5A" w14:textId="77777777" w:rsidR="00AD1F54" w:rsidRPr="00264D5D" w:rsidRDefault="00941227">
            <w:pPr>
              <w:pStyle w:val="GOSTTablenorm"/>
              <w:rPr>
                <w:rStyle w:val="GOSTSymItalic"/>
                <w:i w:val="0"/>
                <w:szCs w:val="22"/>
              </w:rPr>
            </w:pPr>
            <w:r w:rsidRPr="00264D5D">
              <w:rPr>
                <w:rStyle w:val="GOSTSymItalic"/>
                <w:i w:val="0"/>
                <w:szCs w:val="22"/>
              </w:rPr>
              <w:t>Поле обязательно для заполнения, если в поле «Счет получателя» (Recip_CheckAcc) указан:</w:t>
            </w:r>
          </w:p>
          <w:p w14:paraId="4B77CEA6" w14:textId="77777777" w:rsidR="00AD1F54" w:rsidRPr="00264D5D" w:rsidRDefault="00941227" w:rsidP="00941227">
            <w:pPr>
              <w:pStyle w:val="affffff"/>
              <w:numPr>
                <w:ilvl w:val="0"/>
                <w:numId w:val="65"/>
              </w:numPr>
              <w:tabs>
                <w:tab w:val="clear" w:pos="340"/>
              </w:tabs>
              <w:spacing w:before="60" w:after="60" w:line="240" w:lineRule="auto"/>
              <w:ind w:left="284"/>
              <w:rPr>
                <w:color w:val="000000"/>
                <w:sz w:val="22"/>
              </w:rPr>
            </w:pPr>
            <w:r w:rsidRPr="00264D5D">
              <w:rPr>
                <w:color w:val="000000"/>
                <w:sz w:val="22"/>
              </w:rPr>
              <w:t>счет №№ 03100, 03212, 03222; 03232; 03242; 03252; 03262; 03272; 03214; 03224; 03234; 03254;</w:t>
            </w:r>
          </w:p>
          <w:p w14:paraId="4E3F99BC" w14:textId="77777777" w:rsidR="00AD1F54" w:rsidRPr="00264D5D" w:rsidRDefault="00941227" w:rsidP="00941227">
            <w:pPr>
              <w:pStyle w:val="affffff"/>
              <w:numPr>
                <w:ilvl w:val="0"/>
                <w:numId w:val="65"/>
              </w:numPr>
              <w:tabs>
                <w:tab w:val="clear" w:pos="340"/>
              </w:tabs>
              <w:spacing w:before="60" w:after="60" w:line="240" w:lineRule="auto"/>
              <w:ind w:left="284"/>
              <w:rPr>
                <w:szCs w:val="22"/>
              </w:rPr>
            </w:pPr>
            <w:r w:rsidRPr="00264D5D">
              <w:rPr>
                <w:color w:val="000000"/>
                <w:sz w:val="22"/>
              </w:rPr>
              <w:t>или балансовый счет № 40503/40603/40703 с признаком «4»</w:t>
            </w:r>
            <w:r w:rsidR="003E1F19" w:rsidRPr="00264D5D">
              <w:rPr>
                <w:color w:val="000000"/>
                <w:sz w:val="22"/>
              </w:rPr>
              <w:t xml:space="preserve"> в 14 разряде</w:t>
            </w:r>
          </w:p>
        </w:tc>
      </w:tr>
      <w:tr w:rsidR="00AD1F54" w:rsidRPr="00264D5D" w14:paraId="5AAE00C0"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1CAFC925" w14:textId="77777777" w:rsidR="00AD1F54" w:rsidRPr="00264D5D" w:rsidRDefault="00941227">
            <w:pPr>
              <w:pStyle w:val="affffff"/>
              <w:spacing w:before="60" w:after="60" w:line="240" w:lineRule="auto"/>
              <w:ind w:firstLine="0"/>
              <w:rPr>
                <w:sz w:val="22"/>
                <w:szCs w:val="22"/>
              </w:rPr>
            </w:pPr>
            <w:r w:rsidRPr="00264D5D">
              <w:rPr>
                <w:color w:val="000000"/>
                <w:sz w:val="22"/>
                <w:szCs w:val="22"/>
              </w:rPr>
              <w:t>Код бюджетной классификации</w:t>
            </w:r>
          </w:p>
        </w:tc>
        <w:tc>
          <w:tcPr>
            <w:tcW w:w="884" w:type="pct"/>
          </w:tcPr>
          <w:p w14:paraId="1EC457B3"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DepInfo_TAX_KBK</w:t>
            </w:r>
          </w:p>
        </w:tc>
        <w:tc>
          <w:tcPr>
            <w:tcW w:w="294" w:type="pct"/>
          </w:tcPr>
          <w:p w14:paraId="6D653DE6" w14:textId="77777777" w:rsidR="00AD1F54" w:rsidRPr="00264D5D" w:rsidRDefault="00941227">
            <w:pPr>
              <w:pStyle w:val="affffff"/>
              <w:spacing w:before="60" w:after="60" w:line="240" w:lineRule="auto"/>
              <w:ind w:firstLine="0"/>
              <w:jc w:val="center"/>
              <w:rPr>
                <w:sz w:val="22"/>
                <w:szCs w:val="22"/>
              </w:rPr>
            </w:pPr>
            <w:r w:rsidRPr="00264D5D">
              <w:rPr>
                <w:sz w:val="22"/>
                <w:szCs w:val="22"/>
              </w:rPr>
              <w:t>П</w:t>
            </w:r>
          </w:p>
        </w:tc>
        <w:tc>
          <w:tcPr>
            <w:tcW w:w="589" w:type="pct"/>
          </w:tcPr>
          <w:p w14:paraId="60049285"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T(1-20)</w:t>
            </w:r>
          </w:p>
        </w:tc>
        <w:tc>
          <w:tcPr>
            <w:tcW w:w="294" w:type="pct"/>
          </w:tcPr>
          <w:p w14:paraId="2A75DCCC" w14:textId="77777777" w:rsidR="00AD1F54" w:rsidRPr="00264D5D" w:rsidRDefault="00941227">
            <w:pPr>
              <w:pStyle w:val="affffff"/>
              <w:spacing w:before="60" w:after="60" w:line="240" w:lineRule="auto"/>
              <w:ind w:firstLine="0"/>
              <w:jc w:val="center"/>
              <w:rPr>
                <w:sz w:val="22"/>
                <w:szCs w:val="22"/>
              </w:rPr>
            </w:pPr>
            <w:r w:rsidRPr="00264D5D">
              <w:rPr>
                <w:color w:val="000000"/>
                <w:sz w:val="22"/>
                <w:szCs w:val="22"/>
              </w:rPr>
              <w:t>Н</w:t>
            </w:r>
          </w:p>
        </w:tc>
        <w:tc>
          <w:tcPr>
            <w:tcW w:w="2055" w:type="pct"/>
          </w:tcPr>
          <w:p w14:paraId="06A447D8" w14:textId="77777777" w:rsidR="00AD1F54" w:rsidRPr="00264D5D" w:rsidRDefault="003E1F19">
            <w:pPr>
              <w:pStyle w:val="GOSTTablenorm"/>
              <w:rPr>
                <w:szCs w:val="22"/>
              </w:rPr>
            </w:pPr>
            <w:r w:rsidRPr="00264D5D">
              <w:rPr>
                <w:szCs w:val="22"/>
              </w:rPr>
              <w:t>(поле 104)*</w:t>
            </w:r>
          </w:p>
          <w:p w14:paraId="6764D2C1" w14:textId="77777777" w:rsidR="00AD1F54" w:rsidRPr="00264D5D" w:rsidRDefault="00941227">
            <w:pPr>
              <w:pStyle w:val="GOSTTablenorm"/>
              <w:rPr>
                <w:rStyle w:val="GOSTSymItalic"/>
                <w:i w:val="0"/>
                <w:szCs w:val="22"/>
              </w:rPr>
            </w:pPr>
            <w:r w:rsidRPr="00264D5D">
              <w:rPr>
                <w:rStyle w:val="GOSTSymItalic"/>
                <w:i w:val="0"/>
                <w:szCs w:val="22"/>
              </w:rPr>
              <w:t>Указывается КБК, по которому учитывается налог (сбор).</w:t>
            </w:r>
          </w:p>
          <w:p w14:paraId="21F6132D" w14:textId="77777777" w:rsidR="00AD1F54" w:rsidRPr="00264D5D" w:rsidRDefault="00941227">
            <w:pPr>
              <w:pStyle w:val="GOSTTablenorm"/>
              <w:rPr>
                <w:rStyle w:val="GOSTSymItalic"/>
                <w:i w:val="0"/>
                <w:szCs w:val="22"/>
              </w:rPr>
            </w:pPr>
            <w:r w:rsidRPr="00264D5D">
              <w:rPr>
                <w:rStyle w:val="GOSTSymItalic"/>
                <w:i w:val="0"/>
                <w:szCs w:val="22"/>
              </w:rPr>
              <w:t>В случае заполнения длина поля строго ограничена количеством символов равным 1 знаку, принимающему значение ноль («0»), либо 20 знакам, при этом все знаки одновременно не могут принимать значение ноль («0»).</w:t>
            </w:r>
          </w:p>
          <w:p w14:paraId="784A6FC0" w14:textId="77777777" w:rsidR="00AD1F54" w:rsidRPr="00264D5D" w:rsidRDefault="00941227">
            <w:pPr>
              <w:pStyle w:val="affffff"/>
              <w:spacing w:before="60" w:after="60" w:line="240" w:lineRule="auto"/>
              <w:ind w:firstLine="0"/>
              <w:rPr>
                <w:sz w:val="22"/>
                <w:szCs w:val="22"/>
              </w:rPr>
            </w:pPr>
            <w:r w:rsidRPr="00264D5D">
              <w:rPr>
                <w:rStyle w:val="GOSTSymItalic"/>
                <w:rFonts w:eastAsia="Cambria Math"/>
                <w:i w:val="0"/>
                <w:color w:val="000000"/>
                <w:sz w:val="22"/>
                <w:szCs w:val="22"/>
              </w:rPr>
              <w:t>Если в поле «Счет получателя» (Recip_CheckAcc) указан счет, соответствующий казначейскому счету «03100», то обязательно для заполнения значением, состоящим из 20 зн</w:t>
            </w:r>
            <w:r w:rsidR="003E1F19" w:rsidRPr="00264D5D">
              <w:rPr>
                <w:rStyle w:val="GOSTSymItalic"/>
                <w:rFonts w:eastAsia="Cambria Math"/>
                <w:i w:val="0"/>
                <w:color w:val="000000"/>
                <w:sz w:val="22"/>
                <w:szCs w:val="22"/>
              </w:rPr>
              <w:t>аков</w:t>
            </w:r>
          </w:p>
        </w:tc>
      </w:tr>
      <w:tr w:rsidR="00AD1F54" w:rsidRPr="00264D5D" w14:paraId="16D1D5EF"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605FA415" w14:textId="77777777" w:rsidR="00AD1F54" w:rsidRPr="00264D5D" w:rsidRDefault="00941227">
            <w:pPr>
              <w:pStyle w:val="affffff"/>
              <w:spacing w:before="60" w:after="60" w:line="240" w:lineRule="auto"/>
              <w:ind w:firstLine="0"/>
              <w:rPr>
                <w:sz w:val="22"/>
                <w:szCs w:val="22"/>
              </w:rPr>
            </w:pPr>
            <w:r w:rsidRPr="00264D5D">
              <w:rPr>
                <w:color w:val="000000"/>
                <w:sz w:val="22"/>
                <w:szCs w:val="22"/>
              </w:rPr>
              <w:lastRenderedPageBreak/>
              <w:t>Код ОКТМО</w:t>
            </w:r>
          </w:p>
        </w:tc>
        <w:tc>
          <w:tcPr>
            <w:tcW w:w="884" w:type="pct"/>
          </w:tcPr>
          <w:p w14:paraId="5026ADC4"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DepInfo_TAX_OKTMO</w:t>
            </w:r>
          </w:p>
        </w:tc>
        <w:tc>
          <w:tcPr>
            <w:tcW w:w="294" w:type="pct"/>
          </w:tcPr>
          <w:p w14:paraId="76E526DF" w14:textId="77777777" w:rsidR="00AD1F54" w:rsidRPr="00264D5D" w:rsidRDefault="00941227">
            <w:pPr>
              <w:pStyle w:val="affffff"/>
              <w:spacing w:before="60" w:after="60" w:line="240" w:lineRule="auto"/>
              <w:ind w:firstLine="0"/>
              <w:jc w:val="center"/>
              <w:rPr>
                <w:sz w:val="22"/>
                <w:szCs w:val="22"/>
              </w:rPr>
            </w:pPr>
            <w:r w:rsidRPr="00264D5D">
              <w:rPr>
                <w:sz w:val="22"/>
                <w:szCs w:val="22"/>
              </w:rPr>
              <w:t>П</w:t>
            </w:r>
          </w:p>
        </w:tc>
        <w:tc>
          <w:tcPr>
            <w:tcW w:w="589" w:type="pct"/>
          </w:tcPr>
          <w:p w14:paraId="50111DB7"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T(1-8)</w:t>
            </w:r>
          </w:p>
        </w:tc>
        <w:tc>
          <w:tcPr>
            <w:tcW w:w="294" w:type="pct"/>
          </w:tcPr>
          <w:p w14:paraId="3BADD41E" w14:textId="77777777" w:rsidR="00AD1F54" w:rsidRPr="00264D5D" w:rsidRDefault="00941227">
            <w:pPr>
              <w:pStyle w:val="affffff"/>
              <w:spacing w:before="60" w:after="60" w:line="240" w:lineRule="auto"/>
              <w:ind w:firstLine="0"/>
              <w:jc w:val="center"/>
              <w:rPr>
                <w:sz w:val="22"/>
                <w:szCs w:val="22"/>
              </w:rPr>
            </w:pPr>
            <w:r w:rsidRPr="00264D5D">
              <w:rPr>
                <w:color w:val="000000"/>
                <w:sz w:val="22"/>
                <w:szCs w:val="22"/>
              </w:rPr>
              <w:t>Н</w:t>
            </w:r>
          </w:p>
        </w:tc>
        <w:tc>
          <w:tcPr>
            <w:tcW w:w="2055" w:type="pct"/>
          </w:tcPr>
          <w:p w14:paraId="16AF4630" w14:textId="77777777" w:rsidR="00AD1F54" w:rsidRPr="00264D5D" w:rsidRDefault="003E1F19">
            <w:pPr>
              <w:pStyle w:val="GOSTTablenorm"/>
              <w:rPr>
                <w:szCs w:val="22"/>
              </w:rPr>
            </w:pPr>
            <w:r w:rsidRPr="00264D5D">
              <w:rPr>
                <w:szCs w:val="22"/>
              </w:rPr>
              <w:t>(поле 105)*</w:t>
            </w:r>
          </w:p>
          <w:p w14:paraId="5D245742" w14:textId="77777777" w:rsidR="00AD1F54" w:rsidRPr="00264D5D" w:rsidRDefault="00941227">
            <w:pPr>
              <w:pStyle w:val="GOSTTablenorm"/>
              <w:rPr>
                <w:rStyle w:val="GOSTSymItalic"/>
                <w:i w:val="0"/>
                <w:szCs w:val="22"/>
              </w:rPr>
            </w:pPr>
            <w:r w:rsidRPr="00264D5D">
              <w:rPr>
                <w:rStyle w:val="GOSTSymItalic"/>
                <w:i w:val="0"/>
                <w:szCs w:val="22"/>
              </w:rPr>
              <w:t>Указывается код в соответствии с общероссийским классификатором территорий муниципальных образований.</w:t>
            </w:r>
          </w:p>
          <w:p w14:paraId="5634652D" w14:textId="77777777" w:rsidR="00AD1F54" w:rsidRPr="00264D5D" w:rsidRDefault="00941227">
            <w:pPr>
              <w:pStyle w:val="GOSTTablenorm"/>
              <w:rPr>
                <w:rStyle w:val="GOSTSymItalic"/>
                <w:i w:val="0"/>
                <w:szCs w:val="22"/>
              </w:rPr>
            </w:pPr>
            <w:r w:rsidRPr="00264D5D">
              <w:rPr>
                <w:rStyle w:val="GOSTSymItalic"/>
                <w:i w:val="0"/>
                <w:szCs w:val="22"/>
              </w:rPr>
              <w:t>В случае заполнения указывается значение ноль («0»), либо 8 знаков, при этом три нуля не могут быть впереди и все знаки одновременно не могут принимать значение ноль («0»).</w:t>
            </w:r>
          </w:p>
          <w:p w14:paraId="331A6643" w14:textId="77777777" w:rsidR="00AD1F54" w:rsidRPr="00264D5D" w:rsidRDefault="00941227">
            <w:pPr>
              <w:pStyle w:val="GOSTTablenorm"/>
              <w:rPr>
                <w:szCs w:val="22"/>
              </w:rPr>
            </w:pPr>
            <w:r w:rsidRPr="00264D5D">
              <w:rPr>
                <w:rStyle w:val="GOSTSymItalic"/>
                <w:i w:val="0"/>
                <w:szCs w:val="22"/>
              </w:rPr>
              <w:t>Если в поле «Счет получателя» (Recip_CheckAcc) указан счет «03100» и в поле «Код бюджетной классификации» (DepInfo_TAX_KBK) указано значение, где первые три символа отличны от «153», то обязательно для заполнения з</w:t>
            </w:r>
            <w:r w:rsidR="003E1F19" w:rsidRPr="00264D5D">
              <w:rPr>
                <w:rStyle w:val="GOSTSymItalic"/>
                <w:i w:val="0"/>
                <w:szCs w:val="22"/>
              </w:rPr>
              <w:t>начением, состоящим из 8 знаков</w:t>
            </w:r>
          </w:p>
        </w:tc>
      </w:tr>
      <w:tr w:rsidR="00AD1F54" w:rsidRPr="00264D5D" w14:paraId="3C9D08E4"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0B08F124" w14:textId="77777777" w:rsidR="00AD1F54" w:rsidRPr="00264D5D" w:rsidRDefault="00941227">
            <w:pPr>
              <w:pStyle w:val="affffff"/>
              <w:spacing w:before="60" w:after="60" w:line="240" w:lineRule="auto"/>
              <w:ind w:firstLine="0"/>
              <w:rPr>
                <w:sz w:val="22"/>
                <w:szCs w:val="22"/>
              </w:rPr>
            </w:pPr>
            <w:r w:rsidRPr="00264D5D">
              <w:rPr>
                <w:color w:val="000000"/>
                <w:sz w:val="22"/>
                <w:szCs w:val="22"/>
              </w:rPr>
              <w:t>Показатель основания платежа</w:t>
            </w:r>
          </w:p>
        </w:tc>
        <w:tc>
          <w:tcPr>
            <w:tcW w:w="884" w:type="pct"/>
          </w:tcPr>
          <w:p w14:paraId="7117B835"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DepInfo_TAX_PayReason</w:t>
            </w:r>
          </w:p>
        </w:tc>
        <w:tc>
          <w:tcPr>
            <w:tcW w:w="294" w:type="pct"/>
          </w:tcPr>
          <w:p w14:paraId="3602CA0E" w14:textId="77777777" w:rsidR="00AD1F54" w:rsidRPr="00264D5D" w:rsidRDefault="00941227">
            <w:pPr>
              <w:pStyle w:val="affffff"/>
              <w:spacing w:before="60" w:after="60" w:line="240" w:lineRule="auto"/>
              <w:ind w:firstLine="0"/>
              <w:jc w:val="center"/>
              <w:rPr>
                <w:sz w:val="22"/>
                <w:szCs w:val="22"/>
              </w:rPr>
            </w:pPr>
            <w:r w:rsidRPr="00264D5D">
              <w:rPr>
                <w:sz w:val="22"/>
                <w:szCs w:val="22"/>
              </w:rPr>
              <w:t>П</w:t>
            </w:r>
          </w:p>
        </w:tc>
        <w:tc>
          <w:tcPr>
            <w:tcW w:w="589" w:type="pct"/>
          </w:tcPr>
          <w:p w14:paraId="240E5E38"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T(1-2)</w:t>
            </w:r>
          </w:p>
        </w:tc>
        <w:tc>
          <w:tcPr>
            <w:tcW w:w="294" w:type="pct"/>
          </w:tcPr>
          <w:p w14:paraId="564149BB" w14:textId="77777777" w:rsidR="00AD1F54" w:rsidRPr="00264D5D" w:rsidRDefault="00941227">
            <w:pPr>
              <w:pStyle w:val="affffff"/>
              <w:spacing w:before="60" w:after="60" w:line="240" w:lineRule="auto"/>
              <w:ind w:firstLine="0"/>
              <w:jc w:val="center"/>
              <w:rPr>
                <w:sz w:val="22"/>
                <w:szCs w:val="22"/>
              </w:rPr>
            </w:pPr>
            <w:r w:rsidRPr="00264D5D">
              <w:rPr>
                <w:color w:val="000000"/>
                <w:sz w:val="22"/>
                <w:szCs w:val="22"/>
              </w:rPr>
              <w:t>Н</w:t>
            </w:r>
          </w:p>
        </w:tc>
        <w:tc>
          <w:tcPr>
            <w:tcW w:w="2055" w:type="pct"/>
          </w:tcPr>
          <w:p w14:paraId="21B67E66" w14:textId="77777777" w:rsidR="00AD1F54" w:rsidRPr="00264D5D" w:rsidRDefault="003E1F19">
            <w:pPr>
              <w:pStyle w:val="afffffffd"/>
              <w:spacing w:before="60"/>
              <w:rPr>
                <w:rFonts w:ascii="Times New Roman" w:hAnsi="Times New Roman"/>
                <w:sz w:val="22"/>
                <w:szCs w:val="22"/>
              </w:rPr>
            </w:pPr>
            <w:r w:rsidRPr="00264D5D">
              <w:rPr>
                <w:rFonts w:ascii="Times New Roman" w:hAnsi="Times New Roman"/>
                <w:sz w:val="22"/>
                <w:szCs w:val="22"/>
              </w:rPr>
              <w:t>(поле 106)*</w:t>
            </w:r>
          </w:p>
          <w:p w14:paraId="711BE55F" w14:textId="77777777" w:rsidR="00AD1F54" w:rsidRPr="00264D5D" w:rsidRDefault="00941227">
            <w:pPr>
              <w:pStyle w:val="afffffffd"/>
              <w:spacing w:before="60"/>
              <w:rPr>
                <w:rFonts w:ascii="Times New Roman" w:hAnsi="Times New Roman"/>
                <w:sz w:val="22"/>
                <w:szCs w:val="22"/>
              </w:rPr>
            </w:pPr>
            <w:r w:rsidRPr="00264D5D">
              <w:rPr>
                <w:rFonts w:ascii="Times New Roman" w:hAnsi="Times New Roman"/>
                <w:sz w:val="22"/>
                <w:szCs w:val="22"/>
              </w:rPr>
              <w:t>Указывается основание налогового платежа.</w:t>
            </w:r>
          </w:p>
          <w:p w14:paraId="563B50F1" w14:textId="77777777" w:rsidR="00AD1F54" w:rsidRPr="00264D5D" w:rsidRDefault="00941227">
            <w:pPr>
              <w:pStyle w:val="affffff"/>
              <w:spacing w:before="60" w:after="60" w:line="240" w:lineRule="auto"/>
              <w:ind w:firstLine="0"/>
              <w:rPr>
                <w:sz w:val="22"/>
                <w:szCs w:val="22"/>
              </w:rPr>
            </w:pPr>
            <w:r w:rsidRPr="00264D5D">
              <w:rPr>
                <w:sz w:val="22"/>
                <w:szCs w:val="22"/>
              </w:rPr>
              <w:t>Поле обязательно к заполнению, если заполнено поле «Статус составителя расчетного до</w:t>
            </w:r>
            <w:r w:rsidR="003E1F19" w:rsidRPr="00264D5D">
              <w:rPr>
                <w:sz w:val="22"/>
                <w:szCs w:val="22"/>
              </w:rPr>
              <w:t>кумента» (DepInfo_TAX_DrawStat)</w:t>
            </w:r>
          </w:p>
        </w:tc>
      </w:tr>
      <w:tr w:rsidR="00AD1F54" w:rsidRPr="00264D5D" w14:paraId="34214D13"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6F6AD669" w14:textId="77777777" w:rsidR="00AD1F54" w:rsidRPr="00264D5D" w:rsidRDefault="00941227">
            <w:pPr>
              <w:pStyle w:val="affffff"/>
              <w:spacing w:before="60" w:after="60" w:line="240" w:lineRule="auto"/>
              <w:ind w:firstLine="0"/>
              <w:rPr>
                <w:sz w:val="22"/>
                <w:szCs w:val="22"/>
              </w:rPr>
            </w:pPr>
            <w:r w:rsidRPr="00264D5D">
              <w:rPr>
                <w:color w:val="000000"/>
                <w:sz w:val="22"/>
                <w:szCs w:val="22"/>
              </w:rPr>
              <w:t>Показатель налогового периода</w:t>
            </w:r>
          </w:p>
        </w:tc>
        <w:tc>
          <w:tcPr>
            <w:tcW w:w="884" w:type="pct"/>
          </w:tcPr>
          <w:p w14:paraId="70B07433"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DepInfo_TAX_Period</w:t>
            </w:r>
          </w:p>
        </w:tc>
        <w:tc>
          <w:tcPr>
            <w:tcW w:w="294" w:type="pct"/>
          </w:tcPr>
          <w:p w14:paraId="3C66C4AF" w14:textId="77777777" w:rsidR="00AD1F54" w:rsidRPr="00264D5D" w:rsidRDefault="00941227">
            <w:pPr>
              <w:pStyle w:val="affffff"/>
              <w:spacing w:before="60" w:after="60" w:line="240" w:lineRule="auto"/>
              <w:ind w:firstLine="0"/>
              <w:jc w:val="center"/>
              <w:rPr>
                <w:sz w:val="22"/>
                <w:szCs w:val="22"/>
              </w:rPr>
            </w:pPr>
            <w:r w:rsidRPr="00264D5D">
              <w:rPr>
                <w:sz w:val="22"/>
                <w:szCs w:val="22"/>
              </w:rPr>
              <w:t>П</w:t>
            </w:r>
          </w:p>
        </w:tc>
        <w:tc>
          <w:tcPr>
            <w:tcW w:w="589" w:type="pct"/>
          </w:tcPr>
          <w:p w14:paraId="4D9446AA"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T(1-10)</w:t>
            </w:r>
          </w:p>
        </w:tc>
        <w:tc>
          <w:tcPr>
            <w:tcW w:w="294" w:type="pct"/>
          </w:tcPr>
          <w:p w14:paraId="4C67C079" w14:textId="77777777" w:rsidR="00AD1F54" w:rsidRPr="00264D5D" w:rsidRDefault="00941227">
            <w:pPr>
              <w:pStyle w:val="affffff"/>
              <w:spacing w:before="60" w:after="60" w:line="240" w:lineRule="auto"/>
              <w:ind w:firstLine="0"/>
              <w:jc w:val="center"/>
              <w:rPr>
                <w:sz w:val="22"/>
                <w:szCs w:val="22"/>
              </w:rPr>
            </w:pPr>
            <w:r w:rsidRPr="00264D5D">
              <w:rPr>
                <w:color w:val="000000"/>
                <w:sz w:val="22"/>
                <w:szCs w:val="22"/>
              </w:rPr>
              <w:t>Н</w:t>
            </w:r>
          </w:p>
        </w:tc>
        <w:tc>
          <w:tcPr>
            <w:tcW w:w="2055" w:type="pct"/>
          </w:tcPr>
          <w:p w14:paraId="434FBE32" w14:textId="77777777" w:rsidR="00AD1F54" w:rsidRPr="00264D5D" w:rsidRDefault="003E1F19">
            <w:pPr>
              <w:pStyle w:val="afffffffd"/>
              <w:spacing w:before="60"/>
              <w:rPr>
                <w:rFonts w:ascii="Times New Roman" w:hAnsi="Times New Roman"/>
                <w:sz w:val="22"/>
                <w:szCs w:val="22"/>
              </w:rPr>
            </w:pPr>
            <w:r w:rsidRPr="00264D5D">
              <w:rPr>
                <w:rFonts w:ascii="Times New Roman" w:hAnsi="Times New Roman"/>
                <w:sz w:val="22"/>
                <w:szCs w:val="22"/>
              </w:rPr>
              <w:t>(поле 107)*</w:t>
            </w:r>
          </w:p>
          <w:p w14:paraId="65404EA4" w14:textId="77777777" w:rsidR="00AD1F54" w:rsidRPr="00264D5D" w:rsidRDefault="00941227">
            <w:pPr>
              <w:pStyle w:val="afffffffd"/>
              <w:spacing w:before="60"/>
              <w:rPr>
                <w:rFonts w:ascii="Times New Roman" w:hAnsi="Times New Roman"/>
                <w:sz w:val="22"/>
                <w:szCs w:val="22"/>
              </w:rPr>
            </w:pPr>
            <w:r w:rsidRPr="00264D5D">
              <w:rPr>
                <w:rFonts w:ascii="Times New Roman" w:hAnsi="Times New Roman"/>
                <w:sz w:val="22"/>
                <w:szCs w:val="22"/>
              </w:rPr>
              <w:t>Указывается показатель налогового периода/кода таможенного органа.</w:t>
            </w:r>
          </w:p>
          <w:p w14:paraId="6F15D88B" w14:textId="77777777" w:rsidR="00AD1F54" w:rsidRPr="00264D5D" w:rsidRDefault="00941227">
            <w:pPr>
              <w:pStyle w:val="affffff"/>
              <w:spacing w:before="60" w:after="60" w:line="240" w:lineRule="auto"/>
              <w:ind w:firstLine="0"/>
              <w:rPr>
                <w:sz w:val="22"/>
                <w:szCs w:val="22"/>
              </w:rPr>
            </w:pPr>
            <w:r w:rsidRPr="00264D5D">
              <w:rPr>
                <w:sz w:val="22"/>
                <w:szCs w:val="22"/>
              </w:rPr>
              <w:t>Поле обязательно к заполнению, если заполнено поле «Статус составителя расчетного до</w:t>
            </w:r>
            <w:r w:rsidR="003E1F19" w:rsidRPr="00264D5D">
              <w:rPr>
                <w:sz w:val="22"/>
                <w:szCs w:val="22"/>
              </w:rPr>
              <w:t>кумента» (DepInfo_TAX_DrawStat)</w:t>
            </w:r>
          </w:p>
        </w:tc>
      </w:tr>
      <w:tr w:rsidR="00AD1F54" w:rsidRPr="00264D5D" w14:paraId="2FE348DC"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7C96A00D" w14:textId="77777777" w:rsidR="00AD1F54" w:rsidRPr="00264D5D" w:rsidRDefault="00941227">
            <w:pPr>
              <w:pStyle w:val="affffff"/>
              <w:spacing w:before="60" w:after="60" w:line="240" w:lineRule="auto"/>
              <w:ind w:firstLine="0"/>
              <w:rPr>
                <w:sz w:val="22"/>
                <w:szCs w:val="22"/>
              </w:rPr>
            </w:pPr>
            <w:r w:rsidRPr="00264D5D">
              <w:rPr>
                <w:color w:val="000000"/>
                <w:sz w:val="22"/>
                <w:szCs w:val="22"/>
              </w:rPr>
              <w:t>Номер налогового документа</w:t>
            </w:r>
          </w:p>
        </w:tc>
        <w:tc>
          <w:tcPr>
            <w:tcW w:w="884" w:type="pct"/>
          </w:tcPr>
          <w:p w14:paraId="3986FDDF"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DepInfo_TAX_DocNo</w:t>
            </w:r>
          </w:p>
        </w:tc>
        <w:tc>
          <w:tcPr>
            <w:tcW w:w="294" w:type="pct"/>
          </w:tcPr>
          <w:p w14:paraId="0AC62443" w14:textId="77777777" w:rsidR="00AD1F54" w:rsidRPr="00264D5D" w:rsidRDefault="00941227">
            <w:pPr>
              <w:pStyle w:val="affffff"/>
              <w:spacing w:before="60" w:after="60" w:line="240" w:lineRule="auto"/>
              <w:ind w:firstLine="0"/>
              <w:jc w:val="center"/>
              <w:rPr>
                <w:sz w:val="22"/>
                <w:szCs w:val="22"/>
              </w:rPr>
            </w:pPr>
            <w:r w:rsidRPr="00264D5D">
              <w:rPr>
                <w:sz w:val="22"/>
                <w:szCs w:val="22"/>
              </w:rPr>
              <w:t>П</w:t>
            </w:r>
          </w:p>
        </w:tc>
        <w:tc>
          <w:tcPr>
            <w:tcW w:w="589" w:type="pct"/>
          </w:tcPr>
          <w:p w14:paraId="6E69E66B"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T(1-15)</w:t>
            </w:r>
          </w:p>
        </w:tc>
        <w:tc>
          <w:tcPr>
            <w:tcW w:w="294" w:type="pct"/>
          </w:tcPr>
          <w:p w14:paraId="6FB98D08" w14:textId="77777777" w:rsidR="00AD1F54" w:rsidRPr="00264D5D" w:rsidRDefault="00941227">
            <w:pPr>
              <w:pStyle w:val="affffff"/>
              <w:spacing w:before="60" w:after="60" w:line="240" w:lineRule="auto"/>
              <w:ind w:firstLine="0"/>
              <w:jc w:val="center"/>
              <w:rPr>
                <w:sz w:val="22"/>
                <w:szCs w:val="22"/>
              </w:rPr>
            </w:pPr>
            <w:r w:rsidRPr="00264D5D">
              <w:rPr>
                <w:color w:val="000000"/>
                <w:sz w:val="22"/>
                <w:szCs w:val="22"/>
              </w:rPr>
              <w:t>Н</w:t>
            </w:r>
          </w:p>
        </w:tc>
        <w:tc>
          <w:tcPr>
            <w:tcW w:w="2055" w:type="pct"/>
          </w:tcPr>
          <w:p w14:paraId="3C6456FB" w14:textId="77777777" w:rsidR="00AD1F54" w:rsidRPr="00264D5D" w:rsidRDefault="003E1F19">
            <w:pPr>
              <w:pStyle w:val="afffffffd"/>
              <w:spacing w:before="60"/>
              <w:rPr>
                <w:rFonts w:ascii="Times New Roman" w:hAnsi="Times New Roman"/>
                <w:sz w:val="22"/>
                <w:szCs w:val="22"/>
              </w:rPr>
            </w:pPr>
            <w:r w:rsidRPr="00264D5D">
              <w:rPr>
                <w:rFonts w:ascii="Times New Roman" w:hAnsi="Times New Roman"/>
                <w:sz w:val="22"/>
                <w:szCs w:val="22"/>
              </w:rPr>
              <w:t>(поле 108)*</w:t>
            </w:r>
          </w:p>
          <w:p w14:paraId="7069A463" w14:textId="77777777" w:rsidR="00AD1F54" w:rsidRPr="00264D5D" w:rsidRDefault="00941227">
            <w:pPr>
              <w:pStyle w:val="afffffffd"/>
              <w:spacing w:before="60"/>
              <w:rPr>
                <w:rFonts w:ascii="Times New Roman" w:hAnsi="Times New Roman"/>
                <w:sz w:val="22"/>
                <w:szCs w:val="22"/>
              </w:rPr>
            </w:pPr>
            <w:r w:rsidRPr="00264D5D">
              <w:rPr>
                <w:rFonts w:ascii="Times New Roman" w:hAnsi="Times New Roman"/>
                <w:sz w:val="22"/>
                <w:szCs w:val="22"/>
              </w:rPr>
              <w:t>Указывается номер налогового документа.</w:t>
            </w:r>
          </w:p>
          <w:p w14:paraId="1FD45590" w14:textId="77777777" w:rsidR="00AD1F54" w:rsidRPr="00264D5D" w:rsidRDefault="00941227">
            <w:pPr>
              <w:pStyle w:val="affffff"/>
              <w:spacing w:before="60" w:after="60" w:line="240" w:lineRule="auto"/>
              <w:ind w:firstLine="0"/>
              <w:rPr>
                <w:sz w:val="22"/>
                <w:szCs w:val="22"/>
              </w:rPr>
            </w:pPr>
            <w:r w:rsidRPr="00264D5D">
              <w:rPr>
                <w:sz w:val="22"/>
                <w:szCs w:val="22"/>
              </w:rPr>
              <w:t>Поле обязательно к заполнению, если заполнено поле «Статус составителя расчетного документа» (</w:t>
            </w:r>
            <w:r w:rsidR="003E1F19" w:rsidRPr="00264D5D">
              <w:rPr>
                <w:sz w:val="22"/>
                <w:szCs w:val="22"/>
              </w:rPr>
              <w:t>DepInfo_TAX_DrawStat)</w:t>
            </w:r>
          </w:p>
        </w:tc>
      </w:tr>
      <w:tr w:rsidR="00AD1F54" w:rsidRPr="00264D5D" w14:paraId="6C0F6AC7"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3D6EE7B4" w14:textId="77777777" w:rsidR="00AD1F54" w:rsidRPr="00264D5D" w:rsidRDefault="00941227">
            <w:pPr>
              <w:pStyle w:val="affffff"/>
              <w:spacing w:before="60" w:after="60" w:line="240" w:lineRule="auto"/>
              <w:ind w:firstLine="0"/>
              <w:rPr>
                <w:sz w:val="22"/>
                <w:szCs w:val="22"/>
              </w:rPr>
            </w:pPr>
            <w:r w:rsidRPr="00264D5D">
              <w:rPr>
                <w:color w:val="000000"/>
                <w:sz w:val="22"/>
                <w:szCs w:val="22"/>
              </w:rPr>
              <w:t>Дата налогового документа</w:t>
            </w:r>
          </w:p>
        </w:tc>
        <w:tc>
          <w:tcPr>
            <w:tcW w:w="884" w:type="pct"/>
          </w:tcPr>
          <w:p w14:paraId="62BBBEAD"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DepInfo_TAX_DocDate</w:t>
            </w:r>
          </w:p>
        </w:tc>
        <w:tc>
          <w:tcPr>
            <w:tcW w:w="294" w:type="pct"/>
          </w:tcPr>
          <w:p w14:paraId="578EEE54" w14:textId="77777777" w:rsidR="00AD1F54" w:rsidRPr="00264D5D" w:rsidRDefault="00941227">
            <w:pPr>
              <w:pStyle w:val="affffff"/>
              <w:spacing w:before="60" w:after="60" w:line="240" w:lineRule="auto"/>
              <w:ind w:firstLine="0"/>
              <w:jc w:val="center"/>
              <w:rPr>
                <w:sz w:val="22"/>
                <w:szCs w:val="22"/>
              </w:rPr>
            </w:pPr>
            <w:r w:rsidRPr="00264D5D">
              <w:rPr>
                <w:sz w:val="22"/>
                <w:szCs w:val="22"/>
              </w:rPr>
              <w:t>П</w:t>
            </w:r>
          </w:p>
        </w:tc>
        <w:tc>
          <w:tcPr>
            <w:tcW w:w="589" w:type="pct"/>
          </w:tcPr>
          <w:p w14:paraId="2159F38B"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Т(1-10)</w:t>
            </w:r>
          </w:p>
        </w:tc>
        <w:tc>
          <w:tcPr>
            <w:tcW w:w="294" w:type="pct"/>
          </w:tcPr>
          <w:p w14:paraId="12E0EBF9" w14:textId="77777777" w:rsidR="00AD1F54" w:rsidRPr="00264D5D" w:rsidRDefault="00941227">
            <w:pPr>
              <w:pStyle w:val="affffff"/>
              <w:spacing w:before="60" w:after="60" w:line="240" w:lineRule="auto"/>
              <w:ind w:firstLine="0"/>
              <w:jc w:val="center"/>
              <w:rPr>
                <w:sz w:val="22"/>
                <w:szCs w:val="22"/>
              </w:rPr>
            </w:pPr>
            <w:r w:rsidRPr="00264D5D">
              <w:rPr>
                <w:color w:val="000000"/>
                <w:sz w:val="22"/>
                <w:szCs w:val="22"/>
              </w:rPr>
              <w:t>Н</w:t>
            </w:r>
          </w:p>
        </w:tc>
        <w:tc>
          <w:tcPr>
            <w:tcW w:w="2055" w:type="pct"/>
          </w:tcPr>
          <w:p w14:paraId="59C96614" w14:textId="77777777" w:rsidR="00AD1F54" w:rsidRPr="00264D5D" w:rsidRDefault="003E1F19">
            <w:pPr>
              <w:pStyle w:val="afffffffd"/>
              <w:spacing w:before="60"/>
              <w:rPr>
                <w:rFonts w:ascii="Times New Roman" w:hAnsi="Times New Roman"/>
                <w:sz w:val="22"/>
                <w:szCs w:val="22"/>
              </w:rPr>
            </w:pPr>
            <w:r w:rsidRPr="00264D5D">
              <w:rPr>
                <w:rFonts w:ascii="Times New Roman" w:hAnsi="Times New Roman"/>
                <w:sz w:val="22"/>
                <w:szCs w:val="22"/>
              </w:rPr>
              <w:t>(поле 109)*</w:t>
            </w:r>
          </w:p>
          <w:p w14:paraId="1E5DF711" w14:textId="77777777" w:rsidR="00AD1F54" w:rsidRPr="00264D5D" w:rsidRDefault="00941227">
            <w:pPr>
              <w:pStyle w:val="GOSTTablenorm"/>
              <w:rPr>
                <w:rStyle w:val="GOSTSymItalic"/>
                <w:i w:val="0"/>
                <w:szCs w:val="22"/>
              </w:rPr>
            </w:pPr>
            <w:r w:rsidRPr="00264D5D">
              <w:rPr>
                <w:rStyle w:val="GOSTSymItalic"/>
                <w:i w:val="0"/>
                <w:szCs w:val="22"/>
              </w:rPr>
              <w:t>Указывается дата налогового документа.</w:t>
            </w:r>
          </w:p>
          <w:p w14:paraId="15DC0CF0" w14:textId="77777777" w:rsidR="00AD1F54" w:rsidRPr="00264D5D" w:rsidRDefault="00941227">
            <w:pPr>
              <w:pStyle w:val="GOSTTablenorm"/>
              <w:rPr>
                <w:rStyle w:val="GOSTSymItalic"/>
                <w:i w:val="0"/>
                <w:szCs w:val="22"/>
              </w:rPr>
            </w:pPr>
            <w:r w:rsidRPr="00264D5D">
              <w:rPr>
                <w:rStyle w:val="GOSTSymItalic"/>
                <w:i w:val="0"/>
                <w:szCs w:val="22"/>
              </w:rPr>
              <w:t xml:space="preserve">Поле обязательно к заполнению, если </w:t>
            </w:r>
            <w:r w:rsidRPr="00264D5D">
              <w:rPr>
                <w:rStyle w:val="GOSTSymItalic"/>
                <w:i w:val="0"/>
                <w:szCs w:val="22"/>
              </w:rPr>
              <w:lastRenderedPageBreak/>
              <w:t>заполнено поле «Статус составителя расчетного документа» (DepInfo_TAX_DrawStat).</w:t>
            </w:r>
          </w:p>
          <w:p w14:paraId="35E90AC9" w14:textId="77777777" w:rsidR="00AD1F54" w:rsidRPr="00264D5D" w:rsidRDefault="00941227">
            <w:pPr>
              <w:pStyle w:val="GOSTTablenorm"/>
              <w:rPr>
                <w:rStyle w:val="GOSTSymItalic"/>
                <w:i w:val="0"/>
                <w:szCs w:val="22"/>
              </w:rPr>
            </w:pPr>
            <w:r w:rsidRPr="00264D5D">
              <w:rPr>
                <w:rStyle w:val="GOSTSymItalic"/>
                <w:i w:val="0"/>
                <w:szCs w:val="22"/>
              </w:rPr>
              <w:t>Заполняется значением, состоящим из:</w:t>
            </w:r>
          </w:p>
          <w:p w14:paraId="484F9251" w14:textId="77777777" w:rsidR="00AD1F54" w:rsidRPr="00264D5D" w:rsidRDefault="00941227" w:rsidP="00941227">
            <w:pPr>
              <w:pStyle w:val="affffff"/>
              <w:numPr>
                <w:ilvl w:val="0"/>
                <w:numId w:val="65"/>
              </w:numPr>
              <w:tabs>
                <w:tab w:val="clear" w:pos="340"/>
              </w:tabs>
              <w:spacing w:before="60" w:after="60" w:line="240" w:lineRule="auto"/>
              <w:ind w:left="284"/>
              <w:rPr>
                <w:color w:val="000000"/>
                <w:sz w:val="22"/>
              </w:rPr>
            </w:pPr>
            <w:r w:rsidRPr="00264D5D">
              <w:rPr>
                <w:color w:val="000000"/>
                <w:sz w:val="22"/>
              </w:rPr>
              <w:t>1 знака, принимающего значение ноль («0»);</w:t>
            </w:r>
          </w:p>
          <w:p w14:paraId="2FAD0A57" w14:textId="77777777" w:rsidR="00AD1F54" w:rsidRPr="00264D5D" w:rsidRDefault="00941227" w:rsidP="00941227">
            <w:pPr>
              <w:pStyle w:val="affffff"/>
              <w:numPr>
                <w:ilvl w:val="0"/>
                <w:numId w:val="65"/>
              </w:numPr>
              <w:tabs>
                <w:tab w:val="clear" w:pos="340"/>
              </w:tabs>
              <w:spacing w:before="60" w:after="60" w:line="240" w:lineRule="auto"/>
              <w:ind w:left="284"/>
              <w:rPr>
                <w:color w:val="000000"/>
                <w:sz w:val="22"/>
              </w:rPr>
            </w:pPr>
            <w:r w:rsidRPr="00264D5D">
              <w:rPr>
                <w:color w:val="000000"/>
                <w:sz w:val="22"/>
              </w:rPr>
              <w:t>2 знаков, принимающих одновременно значение ноль («00»);</w:t>
            </w:r>
          </w:p>
          <w:p w14:paraId="1C726813" w14:textId="77777777" w:rsidR="00AD1F54" w:rsidRPr="00264D5D" w:rsidRDefault="00941227" w:rsidP="00941227">
            <w:pPr>
              <w:pStyle w:val="affffff"/>
              <w:numPr>
                <w:ilvl w:val="0"/>
                <w:numId w:val="65"/>
              </w:numPr>
              <w:tabs>
                <w:tab w:val="clear" w:pos="340"/>
              </w:tabs>
              <w:spacing w:before="60" w:after="60" w:line="240" w:lineRule="auto"/>
              <w:ind w:left="284"/>
              <w:rPr>
                <w:szCs w:val="22"/>
              </w:rPr>
            </w:pPr>
            <w:r w:rsidRPr="00264D5D">
              <w:rPr>
                <w:color w:val="000000"/>
                <w:sz w:val="22"/>
              </w:rPr>
              <w:t>10 знаков, при этом все знаки одновременно не могу</w:t>
            </w:r>
            <w:r w:rsidR="003E1F19" w:rsidRPr="00264D5D">
              <w:rPr>
                <w:color w:val="000000"/>
                <w:sz w:val="22"/>
              </w:rPr>
              <w:t>т принимать значение ноль («0»)</w:t>
            </w:r>
          </w:p>
        </w:tc>
      </w:tr>
      <w:tr w:rsidR="00AD1F54" w:rsidRPr="00264D5D" w14:paraId="572ED322"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2680583E" w14:textId="77777777" w:rsidR="00AD1F54" w:rsidRPr="00264D5D" w:rsidRDefault="00941227">
            <w:pPr>
              <w:pStyle w:val="affffff"/>
              <w:spacing w:before="60" w:after="60" w:line="240" w:lineRule="auto"/>
              <w:ind w:firstLine="0"/>
              <w:rPr>
                <w:sz w:val="22"/>
                <w:szCs w:val="22"/>
              </w:rPr>
            </w:pPr>
            <w:r w:rsidRPr="00264D5D">
              <w:rPr>
                <w:color w:val="000000"/>
                <w:sz w:val="22"/>
                <w:szCs w:val="22"/>
              </w:rPr>
              <w:lastRenderedPageBreak/>
              <w:t>Тип налогового платежа</w:t>
            </w:r>
          </w:p>
        </w:tc>
        <w:tc>
          <w:tcPr>
            <w:tcW w:w="884" w:type="pct"/>
          </w:tcPr>
          <w:p w14:paraId="24C6176B"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DepInfo_TAX_PayType</w:t>
            </w:r>
          </w:p>
        </w:tc>
        <w:tc>
          <w:tcPr>
            <w:tcW w:w="294" w:type="pct"/>
          </w:tcPr>
          <w:p w14:paraId="5E7D35FE" w14:textId="77777777" w:rsidR="00AD1F54" w:rsidRPr="00264D5D" w:rsidRDefault="00941227">
            <w:pPr>
              <w:pStyle w:val="affffff"/>
              <w:spacing w:before="60" w:after="60" w:line="240" w:lineRule="auto"/>
              <w:ind w:firstLine="0"/>
              <w:jc w:val="center"/>
              <w:rPr>
                <w:sz w:val="22"/>
                <w:szCs w:val="22"/>
              </w:rPr>
            </w:pPr>
            <w:r w:rsidRPr="00264D5D">
              <w:rPr>
                <w:sz w:val="22"/>
                <w:szCs w:val="22"/>
              </w:rPr>
              <w:t>П</w:t>
            </w:r>
          </w:p>
        </w:tc>
        <w:tc>
          <w:tcPr>
            <w:tcW w:w="589" w:type="pct"/>
          </w:tcPr>
          <w:p w14:paraId="048D2E1D"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T(1-2)</w:t>
            </w:r>
          </w:p>
        </w:tc>
        <w:tc>
          <w:tcPr>
            <w:tcW w:w="294" w:type="pct"/>
          </w:tcPr>
          <w:p w14:paraId="372EC409" w14:textId="77777777" w:rsidR="00AD1F54" w:rsidRPr="00264D5D" w:rsidRDefault="00941227">
            <w:pPr>
              <w:pStyle w:val="affffff"/>
              <w:spacing w:before="60" w:after="60" w:line="240" w:lineRule="auto"/>
              <w:ind w:firstLine="0"/>
              <w:jc w:val="center"/>
              <w:rPr>
                <w:sz w:val="22"/>
                <w:szCs w:val="22"/>
              </w:rPr>
            </w:pPr>
            <w:r w:rsidRPr="00264D5D">
              <w:rPr>
                <w:color w:val="000000"/>
                <w:sz w:val="22"/>
                <w:szCs w:val="22"/>
              </w:rPr>
              <w:t>Н</w:t>
            </w:r>
          </w:p>
        </w:tc>
        <w:tc>
          <w:tcPr>
            <w:tcW w:w="2055" w:type="pct"/>
          </w:tcPr>
          <w:p w14:paraId="18235B46" w14:textId="77777777" w:rsidR="00AD1F54" w:rsidRPr="00264D5D" w:rsidRDefault="003E1F19">
            <w:pPr>
              <w:pStyle w:val="afffffffd"/>
              <w:spacing w:before="60"/>
              <w:rPr>
                <w:rFonts w:ascii="Times New Roman" w:hAnsi="Times New Roman"/>
                <w:sz w:val="22"/>
                <w:szCs w:val="22"/>
              </w:rPr>
            </w:pPr>
            <w:r w:rsidRPr="00264D5D">
              <w:rPr>
                <w:rFonts w:ascii="Times New Roman" w:hAnsi="Times New Roman"/>
                <w:sz w:val="22"/>
                <w:szCs w:val="22"/>
              </w:rPr>
              <w:t>(поле 110)*</w:t>
            </w:r>
          </w:p>
          <w:p w14:paraId="1F714348" w14:textId="77777777" w:rsidR="00AD1F54" w:rsidRPr="00264D5D" w:rsidRDefault="00941227">
            <w:pPr>
              <w:pStyle w:val="affffff"/>
              <w:spacing w:before="60" w:after="60" w:line="240" w:lineRule="auto"/>
              <w:ind w:firstLine="0"/>
              <w:rPr>
                <w:sz w:val="22"/>
                <w:szCs w:val="22"/>
              </w:rPr>
            </w:pPr>
            <w:r w:rsidRPr="00264D5D">
              <w:rPr>
                <w:sz w:val="22"/>
                <w:szCs w:val="22"/>
              </w:rPr>
              <w:t>Ука</w:t>
            </w:r>
            <w:r w:rsidR="003E1F19" w:rsidRPr="00264D5D">
              <w:rPr>
                <w:sz w:val="22"/>
                <w:szCs w:val="22"/>
              </w:rPr>
              <w:t>зывается тип налогового платежа</w:t>
            </w:r>
          </w:p>
        </w:tc>
      </w:tr>
      <w:tr w:rsidR="00AD1F54" w:rsidRPr="00264D5D" w14:paraId="5A2C1A4E"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3A669F1C" w14:textId="77777777" w:rsidR="00AD1F54" w:rsidRPr="00264D5D" w:rsidRDefault="00941227">
            <w:pPr>
              <w:pStyle w:val="affffff"/>
              <w:spacing w:before="60" w:after="60" w:line="240" w:lineRule="auto"/>
              <w:ind w:firstLine="0"/>
              <w:rPr>
                <w:sz w:val="22"/>
                <w:szCs w:val="22"/>
              </w:rPr>
            </w:pPr>
            <w:r w:rsidRPr="00264D5D">
              <w:rPr>
                <w:color w:val="000000"/>
                <w:sz w:val="22"/>
                <w:szCs w:val="22"/>
              </w:rPr>
              <w:t>Идентификатор платежного документа</w:t>
            </w:r>
          </w:p>
        </w:tc>
        <w:tc>
          <w:tcPr>
            <w:tcW w:w="884" w:type="pct"/>
          </w:tcPr>
          <w:p w14:paraId="0DF2D442"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InfoPayZHKU_IPD</w:t>
            </w:r>
          </w:p>
        </w:tc>
        <w:tc>
          <w:tcPr>
            <w:tcW w:w="294" w:type="pct"/>
          </w:tcPr>
          <w:p w14:paraId="37C5AEB6" w14:textId="77777777" w:rsidR="00AD1F54" w:rsidRPr="00264D5D" w:rsidRDefault="00941227">
            <w:pPr>
              <w:pStyle w:val="affffff"/>
              <w:spacing w:before="60" w:after="60" w:line="240" w:lineRule="auto"/>
              <w:ind w:firstLine="0"/>
              <w:jc w:val="center"/>
              <w:rPr>
                <w:sz w:val="22"/>
                <w:szCs w:val="22"/>
              </w:rPr>
            </w:pPr>
            <w:r w:rsidRPr="00264D5D">
              <w:rPr>
                <w:sz w:val="22"/>
                <w:szCs w:val="22"/>
              </w:rPr>
              <w:t>П</w:t>
            </w:r>
          </w:p>
        </w:tc>
        <w:tc>
          <w:tcPr>
            <w:tcW w:w="589" w:type="pct"/>
          </w:tcPr>
          <w:p w14:paraId="35CC4194"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Т(18)</w:t>
            </w:r>
          </w:p>
        </w:tc>
        <w:tc>
          <w:tcPr>
            <w:tcW w:w="294" w:type="pct"/>
          </w:tcPr>
          <w:p w14:paraId="77FC8CD9" w14:textId="77777777" w:rsidR="00AD1F54" w:rsidRPr="00264D5D" w:rsidRDefault="00941227">
            <w:pPr>
              <w:pStyle w:val="affffff"/>
              <w:spacing w:before="60" w:after="60" w:line="240" w:lineRule="auto"/>
              <w:ind w:firstLine="0"/>
              <w:jc w:val="center"/>
              <w:rPr>
                <w:sz w:val="22"/>
                <w:szCs w:val="22"/>
              </w:rPr>
            </w:pPr>
            <w:r w:rsidRPr="00264D5D">
              <w:rPr>
                <w:color w:val="000000"/>
                <w:sz w:val="22"/>
                <w:szCs w:val="22"/>
              </w:rPr>
              <w:t>Н</w:t>
            </w:r>
          </w:p>
        </w:tc>
        <w:tc>
          <w:tcPr>
            <w:tcW w:w="2055" w:type="pct"/>
          </w:tcPr>
          <w:p w14:paraId="2EB468FA" w14:textId="77777777" w:rsidR="00AD1F54" w:rsidRPr="00264D5D" w:rsidRDefault="00941227">
            <w:pPr>
              <w:pStyle w:val="affffff"/>
              <w:spacing w:before="60" w:after="60" w:line="240" w:lineRule="auto"/>
              <w:ind w:firstLine="0"/>
              <w:rPr>
                <w:sz w:val="22"/>
                <w:szCs w:val="22"/>
              </w:rPr>
            </w:pPr>
            <w:r w:rsidRPr="00264D5D">
              <w:rPr>
                <w:sz w:val="22"/>
                <w:szCs w:val="22"/>
              </w:rPr>
              <w:t>Указывается идентификатор платежного документа (ИП</w:t>
            </w:r>
            <w:r w:rsidR="003E1F19" w:rsidRPr="00264D5D">
              <w:rPr>
                <w:sz w:val="22"/>
                <w:szCs w:val="22"/>
              </w:rPr>
              <w:t>Д) в формате 00АА000000-00-0000</w:t>
            </w:r>
          </w:p>
        </w:tc>
      </w:tr>
      <w:tr w:rsidR="00AD1F54" w:rsidRPr="00264D5D" w14:paraId="283149A8"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68FA1A38" w14:textId="77777777" w:rsidR="00AD1F54" w:rsidRPr="00264D5D" w:rsidRDefault="00941227">
            <w:pPr>
              <w:pStyle w:val="affffff"/>
              <w:spacing w:before="60" w:after="60" w:line="240" w:lineRule="auto"/>
              <w:ind w:firstLine="0"/>
              <w:rPr>
                <w:sz w:val="22"/>
                <w:szCs w:val="22"/>
              </w:rPr>
            </w:pPr>
            <w:r w:rsidRPr="00264D5D">
              <w:rPr>
                <w:color w:val="000000"/>
                <w:sz w:val="22"/>
                <w:szCs w:val="22"/>
              </w:rPr>
              <w:t>Период оплаты</w:t>
            </w:r>
          </w:p>
        </w:tc>
        <w:tc>
          <w:tcPr>
            <w:tcW w:w="884" w:type="pct"/>
          </w:tcPr>
          <w:p w14:paraId="5DCCC829"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InfoPayZHKU_PRD</w:t>
            </w:r>
          </w:p>
        </w:tc>
        <w:tc>
          <w:tcPr>
            <w:tcW w:w="294" w:type="pct"/>
          </w:tcPr>
          <w:p w14:paraId="1427A35D" w14:textId="77777777" w:rsidR="00AD1F54" w:rsidRPr="00264D5D" w:rsidRDefault="00941227">
            <w:pPr>
              <w:pStyle w:val="affffff"/>
              <w:spacing w:before="60" w:after="60" w:line="240" w:lineRule="auto"/>
              <w:ind w:firstLine="0"/>
              <w:jc w:val="center"/>
              <w:rPr>
                <w:sz w:val="22"/>
                <w:szCs w:val="22"/>
              </w:rPr>
            </w:pPr>
            <w:r w:rsidRPr="00264D5D">
              <w:rPr>
                <w:sz w:val="22"/>
                <w:szCs w:val="22"/>
              </w:rPr>
              <w:t>П</w:t>
            </w:r>
          </w:p>
        </w:tc>
        <w:tc>
          <w:tcPr>
            <w:tcW w:w="589" w:type="pct"/>
          </w:tcPr>
          <w:p w14:paraId="4FB2F1CA"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Т(7)</w:t>
            </w:r>
          </w:p>
        </w:tc>
        <w:tc>
          <w:tcPr>
            <w:tcW w:w="294" w:type="pct"/>
          </w:tcPr>
          <w:p w14:paraId="1EF2A568" w14:textId="77777777" w:rsidR="00AD1F54" w:rsidRPr="00264D5D" w:rsidRDefault="00941227">
            <w:pPr>
              <w:pStyle w:val="affffff"/>
              <w:spacing w:before="60" w:after="60" w:line="240" w:lineRule="auto"/>
              <w:ind w:firstLine="0"/>
              <w:jc w:val="center"/>
              <w:rPr>
                <w:sz w:val="22"/>
                <w:szCs w:val="22"/>
              </w:rPr>
            </w:pPr>
            <w:r w:rsidRPr="00264D5D">
              <w:rPr>
                <w:color w:val="000000"/>
                <w:sz w:val="22"/>
                <w:szCs w:val="22"/>
              </w:rPr>
              <w:t>Н</w:t>
            </w:r>
          </w:p>
        </w:tc>
        <w:tc>
          <w:tcPr>
            <w:tcW w:w="2055" w:type="pct"/>
          </w:tcPr>
          <w:p w14:paraId="5DC04425" w14:textId="77777777" w:rsidR="00AD1F54" w:rsidRPr="00264D5D" w:rsidRDefault="00941227">
            <w:pPr>
              <w:pStyle w:val="GOSTTablenorm"/>
              <w:rPr>
                <w:szCs w:val="22"/>
              </w:rPr>
            </w:pPr>
            <w:r w:rsidRPr="00264D5D">
              <w:rPr>
                <w:szCs w:val="22"/>
              </w:rPr>
              <w:t>Указывается период оплаты.</w:t>
            </w:r>
          </w:p>
          <w:p w14:paraId="34033694" w14:textId="77777777" w:rsidR="00AD1F54" w:rsidRPr="00264D5D" w:rsidRDefault="00941227">
            <w:pPr>
              <w:pStyle w:val="GOSTTablenorm"/>
              <w:rPr>
                <w:szCs w:val="22"/>
              </w:rPr>
            </w:pPr>
            <w:r w:rsidRPr="00264D5D">
              <w:rPr>
                <w:szCs w:val="22"/>
              </w:rPr>
              <w:t>Формат: ММ.ГГГГ (Пример: 01.2020).</w:t>
            </w:r>
          </w:p>
          <w:p w14:paraId="7A519E42" w14:textId="77777777" w:rsidR="00AD1F54" w:rsidRPr="00264D5D" w:rsidRDefault="00941227">
            <w:pPr>
              <w:pStyle w:val="affffff"/>
              <w:spacing w:before="60" w:after="60" w:line="240" w:lineRule="auto"/>
              <w:ind w:firstLine="0"/>
              <w:rPr>
                <w:sz w:val="22"/>
                <w:szCs w:val="22"/>
              </w:rPr>
            </w:pPr>
            <w:r w:rsidRPr="00264D5D">
              <w:rPr>
                <w:sz w:val="22"/>
                <w:szCs w:val="22"/>
                <w:lang w:eastAsia="ru-RU"/>
              </w:rPr>
              <w:t>Поле обязательно к заполнению, если заполнено поле «Единый лицевой счет» (InfoPayZHKU_ELS) или «Жилищно-коммунал</w:t>
            </w:r>
            <w:r w:rsidR="003E1F19" w:rsidRPr="00264D5D">
              <w:rPr>
                <w:sz w:val="22"/>
                <w:szCs w:val="22"/>
                <w:lang w:eastAsia="ru-RU"/>
              </w:rPr>
              <w:t>ьные услуги» (InfoPayZHKU_ZHKU)</w:t>
            </w:r>
          </w:p>
        </w:tc>
      </w:tr>
      <w:tr w:rsidR="00AD1F54" w:rsidRPr="00264D5D" w14:paraId="71992104"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05E3794B" w14:textId="77777777" w:rsidR="00AD1F54" w:rsidRPr="00264D5D" w:rsidRDefault="00941227">
            <w:pPr>
              <w:pStyle w:val="affffff"/>
              <w:spacing w:before="60" w:after="60" w:line="240" w:lineRule="auto"/>
              <w:ind w:firstLine="0"/>
              <w:rPr>
                <w:sz w:val="22"/>
                <w:szCs w:val="22"/>
              </w:rPr>
            </w:pPr>
            <w:r w:rsidRPr="00264D5D">
              <w:rPr>
                <w:color w:val="000000"/>
                <w:sz w:val="22"/>
                <w:szCs w:val="22"/>
              </w:rPr>
              <w:t>Единый лицевой счет</w:t>
            </w:r>
          </w:p>
        </w:tc>
        <w:tc>
          <w:tcPr>
            <w:tcW w:w="884" w:type="pct"/>
          </w:tcPr>
          <w:p w14:paraId="02B0DBC3"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InfoPayZHKU_ELS</w:t>
            </w:r>
          </w:p>
        </w:tc>
        <w:tc>
          <w:tcPr>
            <w:tcW w:w="294" w:type="pct"/>
          </w:tcPr>
          <w:p w14:paraId="55EB6D14" w14:textId="77777777" w:rsidR="00AD1F54" w:rsidRPr="00264D5D" w:rsidRDefault="00941227">
            <w:pPr>
              <w:pStyle w:val="affffff"/>
              <w:spacing w:before="60" w:after="60" w:line="240" w:lineRule="auto"/>
              <w:ind w:firstLine="0"/>
              <w:jc w:val="center"/>
              <w:rPr>
                <w:sz w:val="22"/>
                <w:szCs w:val="22"/>
              </w:rPr>
            </w:pPr>
            <w:r w:rsidRPr="00264D5D">
              <w:rPr>
                <w:sz w:val="22"/>
                <w:szCs w:val="22"/>
              </w:rPr>
              <w:t>П</w:t>
            </w:r>
          </w:p>
        </w:tc>
        <w:tc>
          <w:tcPr>
            <w:tcW w:w="589" w:type="pct"/>
          </w:tcPr>
          <w:p w14:paraId="43C47CAC"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Т(10)</w:t>
            </w:r>
          </w:p>
        </w:tc>
        <w:tc>
          <w:tcPr>
            <w:tcW w:w="294" w:type="pct"/>
          </w:tcPr>
          <w:p w14:paraId="63EFAC3F" w14:textId="77777777" w:rsidR="00AD1F54" w:rsidRPr="00264D5D" w:rsidRDefault="00941227">
            <w:pPr>
              <w:pStyle w:val="affffff"/>
              <w:spacing w:before="60" w:after="60" w:line="240" w:lineRule="auto"/>
              <w:ind w:firstLine="0"/>
              <w:jc w:val="center"/>
              <w:rPr>
                <w:sz w:val="22"/>
                <w:szCs w:val="22"/>
              </w:rPr>
            </w:pPr>
            <w:r w:rsidRPr="00264D5D">
              <w:rPr>
                <w:color w:val="000000"/>
                <w:sz w:val="22"/>
                <w:szCs w:val="22"/>
              </w:rPr>
              <w:t>Н</w:t>
            </w:r>
          </w:p>
        </w:tc>
        <w:tc>
          <w:tcPr>
            <w:tcW w:w="2055" w:type="pct"/>
          </w:tcPr>
          <w:p w14:paraId="7CAFDDF3" w14:textId="77777777" w:rsidR="00AD1F54" w:rsidRPr="00264D5D" w:rsidRDefault="00941227">
            <w:pPr>
              <w:pStyle w:val="GOSTTablenorm"/>
              <w:rPr>
                <w:szCs w:val="22"/>
              </w:rPr>
            </w:pPr>
            <w:r w:rsidRPr="00264D5D">
              <w:rPr>
                <w:szCs w:val="22"/>
              </w:rPr>
              <w:t>Указывается единый лицевой счет в формате 00АА000000.</w:t>
            </w:r>
          </w:p>
          <w:p w14:paraId="01E2B728" w14:textId="77777777" w:rsidR="00AD1F54" w:rsidRPr="00264D5D" w:rsidRDefault="00941227">
            <w:pPr>
              <w:pStyle w:val="affffff"/>
              <w:spacing w:before="60" w:after="60" w:line="240" w:lineRule="auto"/>
              <w:ind w:firstLine="0"/>
              <w:rPr>
                <w:sz w:val="22"/>
                <w:szCs w:val="22"/>
              </w:rPr>
            </w:pPr>
            <w:r w:rsidRPr="00264D5D">
              <w:rPr>
                <w:sz w:val="22"/>
                <w:szCs w:val="22"/>
              </w:rPr>
              <w:t>Поле обязательно к заполнению, если заполнено поле «П</w:t>
            </w:r>
            <w:r w:rsidR="003E1F19" w:rsidRPr="00264D5D">
              <w:rPr>
                <w:sz w:val="22"/>
                <w:szCs w:val="22"/>
              </w:rPr>
              <w:t>ериод оплаты» (InfoPayZHKU_PRD)</w:t>
            </w:r>
          </w:p>
        </w:tc>
      </w:tr>
      <w:tr w:rsidR="00AD1F54" w:rsidRPr="00264D5D" w14:paraId="5BF3529A"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1A948C18" w14:textId="77777777" w:rsidR="00AD1F54" w:rsidRPr="00264D5D" w:rsidRDefault="00941227">
            <w:pPr>
              <w:pStyle w:val="affffff"/>
              <w:spacing w:before="60" w:after="60" w:line="240" w:lineRule="auto"/>
              <w:ind w:firstLine="0"/>
              <w:rPr>
                <w:sz w:val="22"/>
                <w:szCs w:val="22"/>
              </w:rPr>
            </w:pPr>
            <w:r w:rsidRPr="00264D5D">
              <w:rPr>
                <w:color w:val="000000"/>
                <w:sz w:val="22"/>
                <w:szCs w:val="22"/>
              </w:rPr>
              <w:t>Жилищно-коммунальные услуги</w:t>
            </w:r>
          </w:p>
        </w:tc>
        <w:tc>
          <w:tcPr>
            <w:tcW w:w="884" w:type="pct"/>
          </w:tcPr>
          <w:p w14:paraId="4FCF4604"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InfoPayZHKU_ZHKU</w:t>
            </w:r>
          </w:p>
        </w:tc>
        <w:tc>
          <w:tcPr>
            <w:tcW w:w="294" w:type="pct"/>
          </w:tcPr>
          <w:p w14:paraId="5DBDE45D" w14:textId="77777777" w:rsidR="00AD1F54" w:rsidRPr="00264D5D" w:rsidRDefault="00941227">
            <w:pPr>
              <w:pStyle w:val="affffff"/>
              <w:spacing w:before="60" w:after="60" w:line="240" w:lineRule="auto"/>
              <w:ind w:firstLine="0"/>
              <w:jc w:val="center"/>
              <w:rPr>
                <w:sz w:val="22"/>
                <w:szCs w:val="22"/>
              </w:rPr>
            </w:pPr>
            <w:r w:rsidRPr="00264D5D">
              <w:rPr>
                <w:sz w:val="22"/>
                <w:szCs w:val="22"/>
              </w:rPr>
              <w:t>П</w:t>
            </w:r>
          </w:p>
        </w:tc>
        <w:tc>
          <w:tcPr>
            <w:tcW w:w="589" w:type="pct"/>
          </w:tcPr>
          <w:p w14:paraId="58EEA69D"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Т(13)</w:t>
            </w:r>
          </w:p>
        </w:tc>
        <w:tc>
          <w:tcPr>
            <w:tcW w:w="294" w:type="pct"/>
          </w:tcPr>
          <w:p w14:paraId="567AC547" w14:textId="77777777" w:rsidR="00AD1F54" w:rsidRPr="00264D5D" w:rsidRDefault="00941227">
            <w:pPr>
              <w:pStyle w:val="affffff"/>
              <w:spacing w:before="60" w:after="60" w:line="240" w:lineRule="auto"/>
              <w:ind w:firstLine="0"/>
              <w:jc w:val="center"/>
              <w:rPr>
                <w:sz w:val="22"/>
                <w:szCs w:val="22"/>
              </w:rPr>
            </w:pPr>
            <w:r w:rsidRPr="00264D5D">
              <w:rPr>
                <w:color w:val="000000"/>
                <w:sz w:val="22"/>
                <w:szCs w:val="22"/>
              </w:rPr>
              <w:t>Н</w:t>
            </w:r>
          </w:p>
        </w:tc>
        <w:tc>
          <w:tcPr>
            <w:tcW w:w="2055" w:type="pct"/>
          </w:tcPr>
          <w:p w14:paraId="3EEF1261" w14:textId="77777777" w:rsidR="00AD1F54" w:rsidRPr="00264D5D" w:rsidRDefault="00941227">
            <w:pPr>
              <w:pStyle w:val="GOSTTablenorm"/>
              <w:rPr>
                <w:szCs w:val="22"/>
              </w:rPr>
            </w:pPr>
            <w:r w:rsidRPr="00264D5D">
              <w:rPr>
                <w:szCs w:val="22"/>
              </w:rPr>
              <w:t>Указывается идентификатор жилищно-коммунальной услуги в формате 00АА000000-00.</w:t>
            </w:r>
          </w:p>
          <w:p w14:paraId="74A0E80E" w14:textId="77777777" w:rsidR="00AD1F54" w:rsidRPr="00264D5D" w:rsidRDefault="00941227">
            <w:pPr>
              <w:pStyle w:val="affffff"/>
              <w:spacing w:before="60" w:after="60" w:line="240" w:lineRule="auto"/>
              <w:ind w:firstLine="0"/>
              <w:rPr>
                <w:sz w:val="22"/>
                <w:szCs w:val="22"/>
              </w:rPr>
            </w:pPr>
            <w:r w:rsidRPr="00264D5D">
              <w:rPr>
                <w:sz w:val="22"/>
                <w:szCs w:val="22"/>
              </w:rPr>
              <w:t>Поле обязательно к заполнению, если заполнено поле «П</w:t>
            </w:r>
            <w:r w:rsidR="003E1F19" w:rsidRPr="00264D5D">
              <w:rPr>
                <w:sz w:val="22"/>
                <w:szCs w:val="22"/>
              </w:rPr>
              <w:t>ериод оплаты» (InfoPayZHKU_PRD)</w:t>
            </w:r>
          </w:p>
        </w:tc>
      </w:tr>
      <w:tr w:rsidR="00AD1F54" w:rsidRPr="00264D5D" w14:paraId="020159B5"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20B4BEFB" w14:textId="77777777" w:rsidR="00AD1F54" w:rsidRPr="00264D5D" w:rsidRDefault="00941227">
            <w:pPr>
              <w:pStyle w:val="affffff"/>
              <w:spacing w:before="60" w:after="60" w:line="240" w:lineRule="auto"/>
              <w:ind w:firstLine="0"/>
              <w:rPr>
                <w:sz w:val="22"/>
                <w:szCs w:val="22"/>
              </w:rPr>
            </w:pPr>
            <w:r w:rsidRPr="00264D5D">
              <w:rPr>
                <w:color w:val="000000"/>
                <w:sz w:val="22"/>
                <w:szCs w:val="22"/>
              </w:rPr>
              <w:t>ГУИД платежного поручения</w:t>
            </w:r>
          </w:p>
        </w:tc>
        <w:tc>
          <w:tcPr>
            <w:tcW w:w="884" w:type="pct"/>
          </w:tcPr>
          <w:p w14:paraId="510F5F46"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AccDoc_Guid</w:t>
            </w:r>
          </w:p>
        </w:tc>
        <w:tc>
          <w:tcPr>
            <w:tcW w:w="294" w:type="pct"/>
          </w:tcPr>
          <w:p w14:paraId="55C6F431" w14:textId="77777777" w:rsidR="00AD1F54" w:rsidRPr="00264D5D" w:rsidRDefault="00941227">
            <w:pPr>
              <w:pStyle w:val="affffff"/>
              <w:spacing w:before="60" w:after="60" w:line="240" w:lineRule="auto"/>
              <w:ind w:firstLine="0"/>
              <w:jc w:val="center"/>
              <w:rPr>
                <w:sz w:val="22"/>
                <w:szCs w:val="22"/>
              </w:rPr>
            </w:pPr>
            <w:r w:rsidRPr="00264D5D">
              <w:rPr>
                <w:sz w:val="22"/>
                <w:szCs w:val="22"/>
              </w:rPr>
              <w:t>П</w:t>
            </w:r>
          </w:p>
        </w:tc>
        <w:tc>
          <w:tcPr>
            <w:tcW w:w="589" w:type="pct"/>
          </w:tcPr>
          <w:p w14:paraId="4C92EDFE"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Т(36)</w:t>
            </w:r>
          </w:p>
        </w:tc>
        <w:tc>
          <w:tcPr>
            <w:tcW w:w="294" w:type="pct"/>
          </w:tcPr>
          <w:p w14:paraId="3BC0FC38" w14:textId="77777777" w:rsidR="00AD1F54" w:rsidRPr="00264D5D" w:rsidRDefault="00941227">
            <w:pPr>
              <w:pStyle w:val="affffff"/>
              <w:spacing w:before="60" w:after="60" w:line="240" w:lineRule="auto"/>
              <w:ind w:firstLine="0"/>
              <w:jc w:val="center"/>
              <w:rPr>
                <w:sz w:val="22"/>
                <w:szCs w:val="22"/>
              </w:rPr>
            </w:pPr>
            <w:r w:rsidRPr="00264D5D">
              <w:rPr>
                <w:color w:val="000000"/>
                <w:sz w:val="22"/>
                <w:szCs w:val="22"/>
              </w:rPr>
              <w:t>О</w:t>
            </w:r>
          </w:p>
        </w:tc>
        <w:tc>
          <w:tcPr>
            <w:tcW w:w="2055" w:type="pct"/>
          </w:tcPr>
          <w:p w14:paraId="7598CD1A" w14:textId="77777777" w:rsidR="00AD1F54" w:rsidRPr="00264D5D" w:rsidRDefault="00941227">
            <w:pPr>
              <w:pStyle w:val="affffff"/>
              <w:spacing w:before="60" w:after="60" w:line="240" w:lineRule="auto"/>
              <w:ind w:firstLine="0"/>
              <w:rPr>
                <w:sz w:val="22"/>
                <w:szCs w:val="22"/>
              </w:rPr>
            </w:pPr>
            <w:r w:rsidRPr="00264D5D">
              <w:rPr>
                <w:sz w:val="22"/>
                <w:szCs w:val="22"/>
              </w:rPr>
              <w:t xml:space="preserve">Указывается </w:t>
            </w:r>
            <w:r w:rsidRPr="00264D5D">
              <w:rPr>
                <w:sz w:val="22"/>
                <w:szCs w:val="22"/>
                <w:lang w:val="en-US"/>
              </w:rPr>
              <w:t>GUID</w:t>
            </w:r>
            <w:r w:rsidR="003E1F19" w:rsidRPr="00264D5D">
              <w:rPr>
                <w:sz w:val="22"/>
                <w:szCs w:val="22"/>
              </w:rPr>
              <w:t xml:space="preserve"> платежного поручения</w:t>
            </w:r>
          </w:p>
        </w:tc>
      </w:tr>
      <w:tr w:rsidR="00AD1F54" w:rsidRPr="00264D5D" w14:paraId="1B1DE38A"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08DB2097" w14:textId="77777777" w:rsidR="00AD1F54" w:rsidRPr="00264D5D" w:rsidRDefault="00941227">
            <w:pPr>
              <w:pStyle w:val="affffff"/>
              <w:spacing w:before="60" w:after="60" w:line="240" w:lineRule="auto"/>
              <w:ind w:firstLine="0"/>
              <w:rPr>
                <w:sz w:val="22"/>
                <w:szCs w:val="22"/>
              </w:rPr>
            </w:pPr>
            <w:r w:rsidRPr="00264D5D">
              <w:rPr>
                <w:color w:val="000000"/>
                <w:sz w:val="22"/>
                <w:szCs w:val="22"/>
              </w:rPr>
              <w:t>Код ТОФК клиента – плательщика</w:t>
            </w:r>
          </w:p>
        </w:tc>
        <w:tc>
          <w:tcPr>
            <w:tcW w:w="884" w:type="pct"/>
          </w:tcPr>
          <w:p w14:paraId="597DFE4C"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P_TOFK</w:t>
            </w:r>
          </w:p>
        </w:tc>
        <w:tc>
          <w:tcPr>
            <w:tcW w:w="294" w:type="pct"/>
          </w:tcPr>
          <w:p w14:paraId="51919858" w14:textId="77777777" w:rsidR="00AD1F54" w:rsidRPr="00264D5D" w:rsidRDefault="00941227">
            <w:pPr>
              <w:pStyle w:val="affffff"/>
              <w:spacing w:before="60" w:after="60" w:line="240" w:lineRule="auto"/>
              <w:ind w:firstLine="0"/>
              <w:jc w:val="center"/>
              <w:rPr>
                <w:sz w:val="22"/>
                <w:szCs w:val="22"/>
              </w:rPr>
            </w:pPr>
            <w:r w:rsidRPr="00264D5D">
              <w:rPr>
                <w:sz w:val="22"/>
                <w:szCs w:val="22"/>
              </w:rPr>
              <w:t>П</w:t>
            </w:r>
          </w:p>
        </w:tc>
        <w:tc>
          <w:tcPr>
            <w:tcW w:w="589" w:type="pct"/>
          </w:tcPr>
          <w:p w14:paraId="598E445B"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Т(4)</w:t>
            </w:r>
          </w:p>
        </w:tc>
        <w:tc>
          <w:tcPr>
            <w:tcW w:w="294" w:type="pct"/>
          </w:tcPr>
          <w:p w14:paraId="41E12F79" w14:textId="77777777" w:rsidR="00AD1F54" w:rsidRPr="00264D5D" w:rsidRDefault="00941227">
            <w:pPr>
              <w:pStyle w:val="affffff"/>
              <w:spacing w:before="60" w:after="60" w:line="240" w:lineRule="auto"/>
              <w:ind w:firstLine="0"/>
              <w:jc w:val="center"/>
              <w:rPr>
                <w:sz w:val="22"/>
                <w:szCs w:val="22"/>
              </w:rPr>
            </w:pPr>
            <w:r w:rsidRPr="00264D5D">
              <w:rPr>
                <w:color w:val="000000"/>
                <w:sz w:val="22"/>
                <w:szCs w:val="22"/>
              </w:rPr>
              <w:t>О</w:t>
            </w:r>
          </w:p>
        </w:tc>
        <w:tc>
          <w:tcPr>
            <w:tcW w:w="2055" w:type="pct"/>
          </w:tcPr>
          <w:p w14:paraId="76E71BAE" w14:textId="77777777" w:rsidR="00AD1F54" w:rsidRPr="00264D5D" w:rsidRDefault="00941227">
            <w:pPr>
              <w:pStyle w:val="affffff"/>
              <w:spacing w:before="60" w:after="60" w:line="240" w:lineRule="auto"/>
              <w:ind w:firstLine="0"/>
              <w:rPr>
                <w:sz w:val="22"/>
                <w:szCs w:val="22"/>
              </w:rPr>
            </w:pPr>
            <w:r w:rsidRPr="00264D5D">
              <w:rPr>
                <w:sz w:val="22"/>
                <w:szCs w:val="22"/>
              </w:rPr>
              <w:t>Указывается код ТОФК клиента – плательщика</w:t>
            </w:r>
            <w:r w:rsidR="003E1F19" w:rsidRPr="00264D5D">
              <w:rPr>
                <w:sz w:val="22"/>
                <w:szCs w:val="22"/>
              </w:rPr>
              <w:t>, в котором открыт лицевой счет</w:t>
            </w:r>
          </w:p>
        </w:tc>
      </w:tr>
      <w:tr w:rsidR="00AD1F54" w:rsidRPr="00264D5D" w14:paraId="57571841"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64AEEC63" w14:textId="77777777" w:rsidR="00AD1F54" w:rsidRPr="00264D5D" w:rsidRDefault="00941227">
            <w:pPr>
              <w:pStyle w:val="affffff"/>
              <w:spacing w:before="60" w:after="60" w:line="240" w:lineRule="auto"/>
              <w:ind w:firstLine="0"/>
              <w:rPr>
                <w:sz w:val="22"/>
                <w:szCs w:val="22"/>
              </w:rPr>
            </w:pPr>
            <w:r w:rsidRPr="00264D5D">
              <w:rPr>
                <w:color w:val="000000"/>
                <w:sz w:val="22"/>
                <w:szCs w:val="22"/>
              </w:rPr>
              <w:lastRenderedPageBreak/>
              <w:t>Наименование ТОФК клиента-плательщика</w:t>
            </w:r>
          </w:p>
        </w:tc>
        <w:tc>
          <w:tcPr>
            <w:tcW w:w="884" w:type="pct"/>
          </w:tcPr>
          <w:p w14:paraId="25AF8834"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P_NameTOFK</w:t>
            </w:r>
          </w:p>
        </w:tc>
        <w:tc>
          <w:tcPr>
            <w:tcW w:w="294" w:type="pct"/>
          </w:tcPr>
          <w:p w14:paraId="5A08FE7E" w14:textId="77777777" w:rsidR="00AD1F54" w:rsidRPr="00264D5D" w:rsidRDefault="00941227">
            <w:pPr>
              <w:pStyle w:val="affffff"/>
              <w:spacing w:before="60" w:after="60" w:line="240" w:lineRule="auto"/>
              <w:ind w:firstLine="0"/>
              <w:jc w:val="center"/>
              <w:rPr>
                <w:sz w:val="22"/>
                <w:szCs w:val="22"/>
              </w:rPr>
            </w:pPr>
            <w:r w:rsidRPr="00264D5D">
              <w:rPr>
                <w:sz w:val="22"/>
                <w:szCs w:val="22"/>
              </w:rPr>
              <w:t>П</w:t>
            </w:r>
          </w:p>
        </w:tc>
        <w:tc>
          <w:tcPr>
            <w:tcW w:w="589" w:type="pct"/>
          </w:tcPr>
          <w:p w14:paraId="26180C2E"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Т(1-2000)</w:t>
            </w:r>
          </w:p>
        </w:tc>
        <w:tc>
          <w:tcPr>
            <w:tcW w:w="294" w:type="pct"/>
          </w:tcPr>
          <w:p w14:paraId="0398037A" w14:textId="77777777" w:rsidR="00AD1F54" w:rsidRPr="00264D5D" w:rsidRDefault="00941227">
            <w:pPr>
              <w:pStyle w:val="affffff"/>
              <w:spacing w:before="60" w:after="60" w:line="240" w:lineRule="auto"/>
              <w:ind w:firstLine="0"/>
              <w:jc w:val="center"/>
              <w:rPr>
                <w:sz w:val="22"/>
                <w:szCs w:val="22"/>
              </w:rPr>
            </w:pPr>
            <w:r w:rsidRPr="00264D5D">
              <w:rPr>
                <w:color w:val="000000"/>
                <w:sz w:val="22"/>
                <w:szCs w:val="22"/>
              </w:rPr>
              <w:t>О</w:t>
            </w:r>
          </w:p>
        </w:tc>
        <w:tc>
          <w:tcPr>
            <w:tcW w:w="2055" w:type="pct"/>
          </w:tcPr>
          <w:p w14:paraId="79CA0CB9" w14:textId="77777777" w:rsidR="00AD1F54" w:rsidRPr="00264D5D" w:rsidRDefault="00941227">
            <w:pPr>
              <w:pStyle w:val="affffff"/>
              <w:spacing w:before="60" w:after="60" w:line="240" w:lineRule="auto"/>
              <w:ind w:firstLine="0"/>
              <w:rPr>
                <w:sz w:val="22"/>
                <w:szCs w:val="22"/>
              </w:rPr>
            </w:pPr>
            <w:r w:rsidRPr="00264D5D">
              <w:rPr>
                <w:sz w:val="22"/>
                <w:szCs w:val="22"/>
              </w:rPr>
              <w:t>Указывается наименование ТОФК клиента – плательщика</w:t>
            </w:r>
            <w:r w:rsidR="003E1F19" w:rsidRPr="00264D5D">
              <w:rPr>
                <w:sz w:val="22"/>
                <w:szCs w:val="22"/>
              </w:rPr>
              <w:t>, в котором открыт лицевой счет</w:t>
            </w:r>
          </w:p>
        </w:tc>
      </w:tr>
      <w:tr w:rsidR="00AD1F54" w:rsidRPr="00264D5D" w14:paraId="0898C141"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434A69FA" w14:textId="77777777" w:rsidR="00AD1F54" w:rsidRPr="00264D5D" w:rsidRDefault="00941227">
            <w:pPr>
              <w:pStyle w:val="affffff"/>
              <w:spacing w:before="60" w:after="60" w:line="240" w:lineRule="auto"/>
              <w:ind w:firstLine="0"/>
              <w:rPr>
                <w:sz w:val="22"/>
                <w:szCs w:val="22"/>
              </w:rPr>
            </w:pPr>
            <w:r w:rsidRPr="00264D5D">
              <w:rPr>
                <w:color w:val="000000"/>
                <w:sz w:val="22"/>
                <w:szCs w:val="22"/>
              </w:rPr>
              <w:t>Код клиента – плательщика</w:t>
            </w:r>
          </w:p>
        </w:tc>
        <w:tc>
          <w:tcPr>
            <w:tcW w:w="884" w:type="pct"/>
          </w:tcPr>
          <w:p w14:paraId="18D07909"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P_CodeSVR</w:t>
            </w:r>
          </w:p>
        </w:tc>
        <w:tc>
          <w:tcPr>
            <w:tcW w:w="294" w:type="pct"/>
          </w:tcPr>
          <w:p w14:paraId="10C00040" w14:textId="77777777" w:rsidR="00AD1F54" w:rsidRPr="00264D5D" w:rsidRDefault="00941227">
            <w:pPr>
              <w:pStyle w:val="affffff"/>
              <w:spacing w:before="60" w:after="60" w:line="240" w:lineRule="auto"/>
              <w:ind w:firstLine="0"/>
              <w:jc w:val="center"/>
              <w:rPr>
                <w:sz w:val="22"/>
                <w:szCs w:val="22"/>
              </w:rPr>
            </w:pPr>
            <w:r w:rsidRPr="00264D5D">
              <w:rPr>
                <w:sz w:val="22"/>
                <w:szCs w:val="22"/>
              </w:rPr>
              <w:t>П</w:t>
            </w:r>
          </w:p>
        </w:tc>
        <w:tc>
          <w:tcPr>
            <w:tcW w:w="589" w:type="pct"/>
          </w:tcPr>
          <w:p w14:paraId="30D650A5"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Т(5)/Т(8)</w:t>
            </w:r>
          </w:p>
        </w:tc>
        <w:tc>
          <w:tcPr>
            <w:tcW w:w="294" w:type="pct"/>
          </w:tcPr>
          <w:p w14:paraId="28E0A907" w14:textId="77777777" w:rsidR="00AD1F54" w:rsidRPr="00264D5D" w:rsidRDefault="00941227">
            <w:pPr>
              <w:pStyle w:val="affffff"/>
              <w:spacing w:before="60" w:after="60" w:line="240" w:lineRule="auto"/>
              <w:ind w:firstLine="0"/>
              <w:jc w:val="center"/>
              <w:rPr>
                <w:sz w:val="22"/>
                <w:szCs w:val="22"/>
              </w:rPr>
            </w:pPr>
            <w:r w:rsidRPr="00264D5D">
              <w:rPr>
                <w:color w:val="000000"/>
                <w:sz w:val="22"/>
                <w:szCs w:val="22"/>
              </w:rPr>
              <w:t>О</w:t>
            </w:r>
          </w:p>
        </w:tc>
        <w:tc>
          <w:tcPr>
            <w:tcW w:w="2055" w:type="pct"/>
          </w:tcPr>
          <w:p w14:paraId="4DC13846" w14:textId="77777777" w:rsidR="00AD1F54" w:rsidRPr="00264D5D" w:rsidRDefault="00941227">
            <w:pPr>
              <w:pStyle w:val="affffff"/>
              <w:spacing w:before="60" w:after="60" w:line="240" w:lineRule="auto"/>
              <w:ind w:firstLine="0"/>
              <w:rPr>
                <w:sz w:val="22"/>
                <w:szCs w:val="22"/>
              </w:rPr>
            </w:pPr>
            <w:r w:rsidRPr="00264D5D">
              <w:rPr>
                <w:sz w:val="22"/>
                <w:szCs w:val="22"/>
              </w:rPr>
              <w:t xml:space="preserve">Указывается 8-значный код клиента – плательщика по Сводному реестру или 5-знычный для клиентов – плательщиков, </w:t>
            </w:r>
            <w:r w:rsidR="003E1F19" w:rsidRPr="00264D5D">
              <w:rPr>
                <w:sz w:val="22"/>
                <w:szCs w:val="22"/>
              </w:rPr>
              <w:t>отсутствующих в Сводном реестре</w:t>
            </w:r>
          </w:p>
        </w:tc>
      </w:tr>
      <w:tr w:rsidR="00AD1F54" w:rsidRPr="00264D5D" w14:paraId="3ABEF6B0"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673A9CB3" w14:textId="77777777" w:rsidR="00AD1F54" w:rsidRPr="00264D5D" w:rsidRDefault="00941227">
            <w:pPr>
              <w:pStyle w:val="affffff"/>
              <w:spacing w:before="60" w:after="60" w:line="240" w:lineRule="auto"/>
              <w:ind w:firstLine="0"/>
              <w:rPr>
                <w:sz w:val="22"/>
                <w:szCs w:val="22"/>
              </w:rPr>
            </w:pPr>
            <w:r w:rsidRPr="00264D5D">
              <w:rPr>
                <w:color w:val="000000"/>
                <w:sz w:val="22"/>
                <w:szCs w:val="22"/>
              </w:rPr>
              <w:t>Полное наименование клиента – плательщика</w:t>
            </w:r>
          </w:p>
        </w:tc>
        <w:tc>
          <w:tcPr>
            <w:tcW w:w="884" w:type="pct"/>
          </w:tcPr>
          <w:p w14:paraId="4E9A60CF"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P_FullName</w:t>
            </w:r>
          </w:p>
        </w:tc>
        <w:tc>
          <w:tcPr>
            <w:tcW w:w="294" w:type="pct"/>
          </w:tcPr>
          <w:p w14:paraId="1380C09D" w14:textId="77777777" w:rsidR="00AD1F54" w:rsidRPr="00264D5D" w:rsidRDefault="00941227">
            <w:pPr>
              <w:pStyle w:val="affffff"/>
              <w:spacing w:before="60" w:after="60" w:line="240" w:lineRule="auto"/>
              <w:ind w:firstLine="0"/>
              <w:jc w:val="center"/>
              <w:rPr>
                <w:sz w:val="22"/>
                <w:szCs w:val="22"/>
              </w:rPr>
            </w:pPr>
            <w:r w:rsidRPr="00264D5D">
              <w:rPr>
                <w:sz w:val="22"/>
                <w:szCs w:val="22"/>
              </w:rPr>
              <w:t>П</w:t>
            </w:r>
          </w:p>
        </w:tc>
        <w:tc>
          <w:tcPr>
            <w:tcW w:w="589" w:type="pct"/>
          </w:tcPr>
          <w:p w14:paraId="4D6A1197"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Т(1-2000)</w:t>
            </w:r>
          </w:p>
        </w:tc>
        <w:tc>
          <w:tcPr>
            <w:tcW w:w="294" w:type="pct"/>
          </w:tcPr>
          <w:p w14:paraId="79319D6D" w14:textId="77777777" w:rsidR="00AD1F54" w:rsidRPr="00264D5D" w:rsidRDefault="00941227">
            <w:pPr>
              <w:pStyle w:val="affffff"/>
              <w:spacing w:before="60" w:after="60" w:line="240" w:lineRule="auto"/>
              <w:ind w:firstLine="0"/>
              <w:jc w:val="center"/>
              <w:rPr>
                <w:sz w:val="22"/>
                <w:szCs w:val="22"/>
              </w:rPr>
            </w:pPr>
            <w:r w:rsidRPr="00264D5D">
              <w:rPr>
                <w:color w:val="000000"/>
                <w:sz w:val="22"/>
                <w:szCs w:val="22"/>
              </w:rPr>
              <w:t>О</w:t>
            </w:r>
          </w:p>
        </w:tc>
        <w:tc>
          <w:tcPr>
            <w:tcW w:w="2055" w:type="pct"/>
          </w:tcPr>
          <w:p w14:paraId="7F715B0D" w14:textId="77777777" w:rsidR="00AD1F54" w:rsidRPr="00264D5D" w:rsidRDefault="00941227">
            <w:pPr>
              <w:pStyle w:val="affffff"/>
              <w:spacing w:before="60" w:after="60" w:line="240" w:lineRule="auto"/>
              <w:ind w:firstLine="0"/>
              <w:rPr>
                <w:sz w:val="22"/>
                <w:szCs w:val="22"/>
              </w:rPr>
            </w:pPr>
            <w:r w:rsidRPr="00264D5D">
              <w:rPr>
                <w:sz w:val="22"/>
                <w:szCs w:val="22"/>
              </w:rPr>
              <w:t>Указывается полное наименование клиента – плательщи</w:t>
            </w:r>
            <w:r w:rsidR="003E1F19" w:rsidRPr="00264D5D">
              <w:rPr>
                <w:sz w:val="22"/>
                <w:szCs w:val="22"/>
              </w:rPr>
              <w:t>ка</w:t>
            </w:r>
          </w:p>
        </w:tc>
      </w:tr>
      <w:tr w:rsidR="00AD1F54" w:rsidRPr="00264D5D" w14:paraId="4FFEA4E0"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4B0A863E" w14:textId="77777777" w:rsidR="00AD1F54" w:rsidRPr="00264D5D" w:rsidRDefault="00941227">
            <w:pPr>
              <w:pStyle w:val="affffff"/>
              <w:spacing w:before="60" w:after="60" w:line="240" w:lineRule="auto"/>
              <w:ind w:firstLine="0"/>
              <w:rPr>
                <w:sz w:val="22"/>
                <w:szCs w:val="22"/>
              </w:rPr>
            </w:pPr>
            <w:r w:rsidRPr="00264D5D">
              <w:rPr>
                <w:color w:val="000000"/>
                <w:sz w:val="22"/>
                <w:szCs w:val="22"/>
              </w:rPr>
              <w:t>Лицевой счет плательщика</w:t>
            </w:r>
          </w:p>
        </w:tc>
        <w:tc>
          <w:tcPr>
            <w:tcW w:w="884" w:type="pct"/>
          </w:tcPr>
          <w:p w14:paraId="6DCCDD39"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P_PersonalAcc</w:t>
            </w:r>
          </w:p>
        </w:tc>
        <w:tc>
          <w:tcPr>
            <w:tcW w:w="294" w:type="pct"/>
          </w:tcPr>
          <w:p w14:paraId="674FD8B4" w14:textId="77777777" w:rsidR="00AD1F54" w:rsidRPr="00264D5D" w:rsidRDefault="00941227">
            <w:pPr>
              <w:pStyle w:val="affffff"/>
              <w:spacing w:before="60" w:after="60" w:line="240" w:lineRule="auto"/>
              <w:ind w:firstLine="0"/>
              <w:jc w:val="center"/>
              <w:rPr>
                <w:sz w:val="22"/>
                <w:szCs w:val="22"/>
              </w:rPr>
            </w:pPr>
            <w:r w:rsidRPr="00264D5D">
              <w:rPr>
                <w:sz w:val="22"/>
                <w:szCs w:val="22"/>
              </w:rPr>
              <w:t>П</w:t>
            </w:r>
          </w:p>
        </w:tc>
        <w:tc>
          <w:tcPr>
            <w:tcW w:w="589" w:type="pct"/>
          </w:tcPr>
          <w:p w14:paraId="7D395B1C"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Т(11)</w:t>
            </w:r>
          </w:p>
        </w:tc>
        <w:tc>
          <w:tcPr>
            <w:tcW w:w="294" w:type="pct"/>
          </w:tcPr>
          <w:p w14:paraId="1C694CB1" w14:textId="77777777" w:rsidR="00AD1F54" w:rsidRPr="00264D5D" w:rsidRDefault="00941227">
            <w:pPr>
              <w:pStyle w:val="affffff"/>
              <w:spacing w:before="60" w:after="60" w:line="240" w:lineRule="auto"/>
              <w:ind w:firstLine="0"/>
              <w:jc w:val="center"/>
              <w:rPr>
                <w:sz w:val="22"/>
                <w:szCs w:val="22"/>
              </w:rPr>
            </w:pPr>
            <w:r w:rsidRPr="00264D5D">
              <w:rPr>
                <w:color w:val="000000"/>
                <w:sz w:val="22"/>
                <w:szCs w:val="22"/>
              </w:rPr>
              <w:t>Н</w:t>
            </w:r>
          </w:p>
        </w:tc>
        <w:tc>
          <w:tcPr>
            <w:tcW w:w="2055" w:type="pct"/>
          </w:tcPr>
          <w:p w14:paraId="0EAFDE2C" w14:textId="77777777" w:rsidR="00AD1F54" w:rsidRPr="00264D5D" w:rsidRDefault="00941227">
            <w:pPr>
              <w:pStyle w:val="GOSTTablenorm"/>
              <w:rPr>
                <w:szCs w:val="22"/>
              </w:rPr>
            </w:pPr>
            <w:r w:rsidRPr="00264D5D">
              <w:rPr>
                <w:szCs w:val="22"/>
              </w:rPr>
              <w:t>Указывается лицевой счет плательщика.</w:t>
            </w:r>
          </w:p>
          <w:p w14:paraId="0BEAF67C" w14:textId="77777777" w:rsidR="00AD1F54" w:rsidRPr="00264D5D" w:rsidRDefault="00941227">
            <w:pPr>
              <w:pStyle w:val="affffff"/>
              <w:spacing w:before="60" w:after="60" w:line="240" w:lineRule="auto"/>
              <w:ind w:firstLine="0"/>
              <w:rPr>
                <w:sz w:val="22"/>
                <w:szCs w:val="22"/>
              </w:rPr>
            </w:pPr>
            <w:r w:rsidRPr="00264D5D">
              <w:rPr>
                <w:sz w:val="22"/>
                <w:szCs w:val="22"/>
              </w:rPr>
              <w:t>Поле не заполняется в случае представления финансовым органом документов по отдельному счету, открытому в банке для учета средств бюджетных учреждений, лицевые счета кото</w:t>
            </w:r>
            <w:r w:rsidR="003E1F19" w:rsidRPr="00264D5D">
              <w:rPr>
                <w:sz w:val="22"/>
                <w:szCs w:val="22"/>
              </w:rPr>
              <w:t>рых открыты в финансовом органе</w:t>
            </w:r>
          </w:p>
        </w:tc>
      </w:tr>
      <w:tr w:rsidR="00AD1F54" w:rsidRPr="00264D5D" w14:paraId="4B820B54"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7707F732" w14:textId="77777777" w:rsidR="00AD1F54" w:rsidRPr="00264D5D" w:rsidRDefault="00941227">
            <w:pPr>
              <w:pStyle w:val="affffff"/>
              <w:spacing w:before="60" w:after="60" w:line="240" w:lineRule="auto"/>
              <w:ind w:firstLine="0"/>
              <w:rPr>
                <w:sz w:val="22"/>
                <w:szCs w:val="22"/>
              </w:rPr>
            </w:pPr>
            <w:r w:rsidRPr="00264D5D">
              <w:rPr>
                <w:color w:val="000000"/>
                <w:sz w:val="22"/>
                <w:szCs w:val="22"/>
              </w:rPr>
              <w:t>Лицевой счет получателя</w:t>
            </w:r>
          </w:p>
        </w:tc>
        <w:tc>
          <w:tcPr>
            <w:tcW w:w="884" w:type="pct"/>
          </w:tcPr>
          <w:p w14:paraId="07A3207E"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R_PersonalAcc</w:t>
            </w:r>
          </w:p>
        </w:tc>
        <w:tc>
          <w:tcPr>
            <w:tcW w:w="294" w:type="pct"/>
          </w:tcPr>
          <w:p w14:paraId="182247D6" w14:textId="77777777" w:rsidR="00AD1F54" w:rsidRPr="00264D5D" w:rsidRDefault="00941227">
            <w:pPr>
              <w:pStyle w:val="affffff"/>
              <w:spacing w:before="60" w:after="60" w:line="240" w:lineRule="auto"/>
              <w:ind w:firstLine="0"/>
              <w:jc w:val="center"/>
              <w:rPr>
                <w:sz w:val="22"/>
                <w:szCs w:val="22"/>
              </w:rPr>
            </w:pPr>
            <w:r w:rsidRPr="00264D5D">
              <w:rPr>
                <w:sz w:val="22"/>
                <w:szCs w:val="22"/>
              </w:rPr>
              <w:t>П</w:t>
            </w:r>
          </w:p>
        </w:tc>
        <w:tc>
          <w:tcPr>
            <w:tcW w:w="589" w:type="pct"/>
          </w:tcPr>
          <w:p w14:paraId="762A89D9"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Т(11)</w:t>
            </w:r>
          </w:p>
        </w:tc>
        <w:tc>
          <w:tcPr>
            <w:tcW w:w="294" w:type="pct"/>
          </w:tcPr>
          <w:p w14:paraId="58F73102" w14:textId="77777777" w:rsidR="00AD1F54" w:rsidRPr="00264D5D" w:rsidRDefault="00941227">
            <w:pPr>
              <w:pStyle w:val="affffff"/>
              <w:spacing w:before="60" w:after="60" w:line="240" w:lineRule="auto"/>
              <w:ind w:firstLine="0"/>
              <w:jc w:val="center"/>
              <w:rPr>
                <w:sz w:val="22"/>
                <w:szCs w:val="22"/>
              </w:rPr>
            </w:pPr>
            <w:r w:rsidRPr="00264D5D">
              <w:rPr>
                <w:color w:val="000000"/>
                <w:sz w:val="22"/>
                <w:szCs w:val="22"/>
              </w:rPr>
              <w:t>Н</w:t>
            </w:r>
          </w:p>
        </w:tc>
        <w:tc>
          <w:tcPr>
            <w:tcW w:w="2055" w:type="pct"/>
          </w:tcPr>
          <w:p w14:paraId="1E1FF837" w14:textId="77777777" w:rsidR="00AD1F54" w:rsidRPr="00264D5D" w:rsidRDefault="00941227">
            <w:pPr>
              <w:pStyle w:val="affffff"/>
              <w:spacing w:before="60" w:after="60" w:line="240" w:lineRule="auto"/>
              <w:ind w:firstLine="0"/>
              <w:rPr>
                <w:sz w:val="22"/>
                <w:szCs w:val="22"/>
              </w:rPr>
            </w:pPr>
            <w:r w:rsidRPr="00264D5D">
              <w:rPr>
                <w:sz w:val="22"/>
                <w:szCs w:val="22"/>
              </w:rPr>
              <w:t>Указ</w:t>
            </w:r>
            <w:r w:rsidR="003E1F19" w:rsidRPr="00264D5D">
              <w:rPr>
                <w:sz w:val="22"/>
                <w:szCs w:val="22"/>
              </w:rPr>
              <w:t>ывается лицевой счет получателя</w:t>
            </w:r>
          </w:p>
        </w:tc>
      </w:tr>
      <w:tr w:rsidR="00AD1F54" w:rsidRPr="00264D5D" w14:paraId="7A472E44"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56F97BF1" w14:textId="77777777" w:rsidR="00AD1F54" w:rsidRPr="00264D5D" w:rsidRDefault="00941227">
            <w:pPr>
              <w:pStyle w:val="affffff"/>
              <w:spacing w:before="60" w:after="60" w:line="240" w:lineRule="auto"/>
              <w:ind w:firstLine="0"/>
              <w:rPr>
                <w:sz w:val="22"/>
                <w:szCs w:val="22"/>
              </w:rPr>
            </w:pPr>
            <w:r w:rsidRPr="00264D5D">
              <w:rPr>
                <w:color w:val="000000"/>
                <w:sz w:val="22"/>
                <w:szCs w:val="22"/>
              </w:rPr>
              <w:t>Платежное поручение по бюджетной классификации</w:t>
            </w:r>
          </w:p>
        </w:tc>
        <w:tc>
          <w:tcPr>
            <w:tcW w:w="884" w:type="pct"/>
          </w:tcPr>
          <w:p w14:paraId="3C14B201" w14:textId="77777777" w:rsidR="00AD1F54" w:rsidRPr="00264D5D" w:rsidRDefault="00941227">
            <w:pPr>
              <w:pStyle w:val="affffff"/>
              <w:spacing w:before="60" w:after="60" w:line="240" w:lineRule="auto"/>
              <w:ind w:firstLine="0"/>
              <w:rPr>
                <w:sz w:val="22"/>
                <w:szCs w:val="22"/>
              </w:rPr>
            </w:pPr>
            <w:r w:rsidRPr="00264D5D">
              <w:rPr>
                <w:color w:val="000000"/>
                <w:sz w:val="22"/>
                <w:szCs w:val="22"/>
              </w:rPr>
              <w:t>FAHTeh</w:t>
            </w:r>
          </w:p>
        </w:tc>
        <w:tc>
          <w:tcPr>
            <w:tcW w:w="294" w:type="pct"/>
          </w:tcPr>
          <w:p w14:paraId="00FDA7F5" w14:textId="77777777" w:rsidR="00AD1F54" w:rsidRPr="00264D5D" w:rsidRDefault="00941227">
            <w:pPr>
              <w:pStyle w:val="affffff"/>
              <w:spacing w:before="60" w:after="60" w:line="240" w:lineRule="auto"/>
              <w:ind w:firstLine="0"/>
              <w:jc w:val="center"/>
              <w:rPr>
                <w:sz w:val="22"/>
                <w:szCs w:val="22"/>
              </w:rPr>
            </w:pPr>
            <w:r w:rsidRPr="00264D5D">
              <w:rPr>
                <w:sz w:val="22"/>
                <w:szCs w:val="22"/>
              </w:rPr>
              <w:t>С</w:t>
            </w:r>
          </w:p>
        </w:tc>
        <w:tc>
          <w:tcPr>
            <w:tcW w:w="589" w:type="pct"/>
          </w:tcPr>
          <w:p w14:paraId="1E212272" w14:textId="77777777" w:rsidR="00AD1F54" w:rsidRPr="00264D5D" w:rsidRDefault="00941227">
            <w:pPr>
              <w:pStyle w:val="affffff"/>
              <w:spacing w:before="60" w:after="60" w:line="240" w:lineRule="auto"/>
              <w:ind w:firstLine="0"/>
              <w:rPr>
                <w:sz w:val="22"/>
                <w:szCs w:val="22"/>
              </w:rPr>
            </w:pPr>
            <w:r w:rsidRPr="00264D5D">
              <w:rPr>
                <w:color w:val="000000"/>
                <w:sz w:val="22"/>
                <w:szCs w:val="22"/>
                <w:lang w:val="en-US"/>
              </w:rPr>
              <w:t>t</w:t>
            </w:r>
            <w:r w:rsidRPr="00264D5D">
              <w:rPr>
                <w:color w:val="000000"/>
                <w:sz w:val="22"/>
                <w:szCs w:val="22"/>
              </w:rPr>
              <w:t>FAHTeh</w:t>
            </w:r>
          </w:p>
        </w:tc>
        <w:tc>
          <w:tcPr>
            <w:tcW w:w="294" w:type="pct"/>
          </w:tcPr>
          <w:p w14:paraId="78332AFB" w14:textId="77777777" w:rsidR="00AD1F54" w:rsidRPr="00264D5D" w:rsidRDefault="00941227">
            <w:pPr>
              <w:pStyle w:val="affffff"/>
              <w:spacing w:before="60" w:after="60" w:line="240" w:lineRule="auto"/>
              <w:ind w:firstLine="0"/>
              <w:jc w:val="center"/>
              <w:rPr>
                <w:sz w:val="22"/>
                <w:szCs w:val="22"/>
              </w:rPr>
            </w:pPr>
            <w:r w:rsidRPr="00264D5D">
              <w:rPr>
                <w:color w:val="000000"/>
                <w:sz w:val="22"/>
                <w:szCs w:val="22"/>
              </w:rPr>
              <w:t>Н</w:t>
            </w:r>
          </w:p>
        </w:tc>
        <w:tc>
          <w:tcPr>
            <w:tcW w:w="2055" w:type="pct"/>
          </w:tcPr>
          <w:p w14:paraId="5E04D408" w14:textId="27A78572" w:rsidR="00AD1F54" w:rsidRPr="00264D5D" w:rsidRDefault="00941227">
            <w:pPr>
              <w:pStyle w:val="affffff"/>
              <w:spacing w:before="60" w:after="60" w:line="240" w:lineRule="auto"/>
              <w:ind w:firstLine="0"/>
              <w:rPr>
                <w:sz w:val="22"/>
                <w:szCs w:val="22"/>
              </w:rPr>
            </w:pPr>
            <w:r w:rsidRPr="00264D5D">
              <w:rPr>
                <w:sz w:val="22"/>
                <w:szCs w:val="22"/>
              </w:rPr>
              <w:t xml:space="preserve">Состав элемента представлен в таблице </w:t>
            </w:r>
            <w:r w:rsidRPr="00264D5D">
              <w:rPr>
                <w:sz w:val="22"/>
                <w:szCs w:val="22"/>
              </w:rPr>
              <w:fldChar w:fldCharType="begin"/>
            </w:r>
            <w:r w:rsidRPr="00264D5D">
              <w:rPr>
                <w:sz w:val="22"/>
                <w:szCs w:val="22"/>
              </w:rPr>
              <w:instrText xml:space="preserve"> REF _Ref68174262 \h  \* MERGEFORMAT </w:instrText>
            </w:r>
            <w:r w:rsidRPr="00264D5D">
              <w:rPr>
                <w:sz w:val="22"/>
                <w:szCs w:val="22"/>
              </w:rPr>
            </w:r>
            <w:r w:rsidRPr="00264D5D">
              <w:rPr>
                <w:sz w:val="22"/>
                <w:szCs w:val="22"/>
              </w:rPr>
              <w:fldChar w:fldCharType="separate"/>
            </w:r>
            <w:r w:rsidR="008D797C" w:rsidRPr="008D797C">
              <w:rPr>
                <w:rFonts w:eastAsia="Calibri"/>
                <w:sz w:val="22"/>
                <w:szCs w:val="22"/>
              </w:rPr>
              <w:t>315</w:t>
            </w:r>
            <w:r w:rsidRPr="00264D5D">
              <w:rPr>
                <w:sz w:val="22"/>
                <w:szCs w:val="22"/>
              </w:rPr>
              <w:fldChar w:fldCharType="end"/>
            </w:r>
          </w:p>
        </w:tc>
      </w:tr>
    </w:tbl>
    <w:p w14:paraId="17C6CE1B" w14:textId="77777777" w:rsidR="00AD1F54" w:rsidRPr="00264D5D" w:rsidRDefault="00941227">
      <w:pPr>
        <w:rPr>
          <w:sz w:val="22"/>
          <w:szCs w:val="22"/>
        </w:rPr>
      </w:pPr>
      <w:r w:rsidRPr="00264D5D">
        <w:rPr>
          <w:sz w:val="22"/>
          <w:szCs w:val="22"/>
        </w:rPr>
        <w:t>* Поле платежного документа, установленное Положением Банка России от 29.06.2021 N 762-П (ред. от 25.03.2022) «О правилах осуществления перевода денежных средств».</w:t>
      </w:r>
    </w:p>
    <w:p w14:paraId="40DDAEC3" w14:textId="77777777" w:rsidR="00AD1F54" w:rsidRPr="00264D5D" w:rsidRDefault="00941227">
      <w:pPr>
        <w:pStyle w:val="31"/>
      </w:pPr>
      <w:bookmarkStart w:id="3257" w:name="_Toc84802453"/>
      <w:bookmarkStart w:id="3258" w:name="_Toc219309795"/>
      <w:r w:rsidRPr="00264D5D">
        <w:t>Описание комплексного типа «tBasicRequisites_PayView»</w:t>
      </w:r>
      <w:bookmarkEnd w:id="3257"/>
      <w:bookmarkEnd w:id="3258"/>
    </w:p>
    <w:p w14:paraId="13863739" w14:textId="77777777" w:rsidR="00AD1F54" w:rsidRPr="00264D5D" w:rsidRDefault="00941227">
      <w:r w:rsidRPr="00264D5D">
        <w:t>Описание комплексного типа «tBasicRequisites_PayView» блока «Вид платежа».</w:t>
      </w:r>
    </w:p>
    <w:p w14:paraId="1F014B05" w14:textId="0E86AFDC"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3259" w:name="_Ref68174306"/>
      <w:bookmarkStart w:id="3260" w:name="_Toc219309344"/>
      <w:r w:rsidR="008D797C">
        <w:rPr>
          <w:noProof/>
        </w:rPr>
        <w:t>314</w:t>
      </w:r>
      <w:bookmarkEnd w:id="3259"/>
      <w:r w:rsidRPr="00264D5D">
        <w:fldChar w:fldCharType="end"/>
      </w:r>
      <w:r w:rsidRPr="00264D5D">
        <w:rPr>
          <w:rFonts w:eastAsia="Calibri"/>
          <w:szCs w:val="24"/>
        </w:rPr>
        <w:t xml:space="preserve"> –</w:t>
      </w:r>
      <w:r w:rsidRPr="00264D5D">
        <w:t xml:space="preserve"> Описание </w:t>
      </w:r>
      <w:r w:rsidRPr="00264D5D">
        <w:rPr>
          <w:szCs w:val="24"/>
        </w:rPr>
        <w:t>комплексного типа «</w:t>
      </w:r>
      <w:r w:rsidRPr="00264D5D">
        <w:rPr>
          <w:szCs w:val="22"/>
          <w:lang w:val="en-US" w:eastAsia="en-US"/>
        </w:rPr>
        <w:t>tBasicRequisites</w:t>
      </w:r>
      <w:r w:rsidRPr="00264D5D">
        <w:rPr>
          <w:szCs w:val="22"/>
          <w:lang w:eastAsia="en-US"/>
        </w:rPr>
        <w:t>_</w:t>
      </w:r>
      <w:r w:rsidRPr="00264D5D">
        <w:rPr>
          <w:szCs w:val="22"/>
          <w:lang w:val="en-US" w:eastAsia="en-US"/>
        </w:rPr>
        <w:t>PayView</w:t>
      </w:r>
      <w:r w:rsidRPr="00264D5D">
        <w:rPr>
          <w:szCs w:val="24"/>
        </w:rPr>
        <w:t>»</w:t>
      </w:r>
      <w:bookmarkEnd w:id="3260"/>
    </w:p>
    <w:tbl>
      <w:tblPr>
        <w:tblStyle w:val="GOSTTable"/>
        <w:tblW w:w="9633" w:type="dxa"/>
        <w:tblLayout w:type="fixed"/>
        <w:tblLook w:val="04A0" w:firstRow="1" w:lastRow="0" w:firstColumn="1" w:lastColumn="0" w:noHBand="0" w:noVBand="1"/>
      </w:tblPr>
      <w:tblGrid>
        <w:gridCol w:w="1701"/>
        <w:gridCol w:w="1701"/>
        <w:gridCol w:w="567"/>
        <w:gridCol w:w="1134"/>
        <w:gridCol w:w="567"/>
        <w:gridCol w:w="3963"/>
      </w:tblGrid>
      <w:tr w:rsidR="00AD1F54" w:rsidRPr="00264D5D" w14:paraId="2CC222F6"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0FA7B2F8" w14:textId="77777777" w:rsidR="00AD1F54" w:rsidRPr="00264D5D" w:rsidRDefault="00941227">
            <w:pPr>
              <w:pStyle w:val="ASFKTableHead"/>
            </w:pPr>
            <w:r w:rsidRPr="00264D5D">
              <w:t>Наименование элемента</w:t>
            </w:r>
          </w:p>
        </w:tc>
        <w:tc>
          <w:tcPr>
            <w:tcW w:w="1701" w:type="dxa"/>
          </w:tcPr>
          <w:p w14:paraId="2F8997C1" w14:textId="77777777" w:rsidR="00AD1F54" w:rsidRPr="00264D5D" w:rsidRDefault="00941227">
            <w:pPr>
              <w:pStyle w:val="ASFKTableHead"/>
            </w:pPr>
            <w:r w:rsidRPr="00264D5D">
              <w:t>Сокращенное наименование (код) элемента</w:t>
            </w:r>
          </w:p>
        </w:tc>
        <w:tc>
          <w:tcPr>
            <w:tcW w:w="567" w:type="dxa"/>
          </w:tcPr>
          <w:p w14:paraId="4C8FA1C7" w14:textId="77777777" w:rsidR="00AD1F54" w:rsidRPr="00264D5D" w:rsidRDefault="00941227">
            <w:pPr>
              <w:pStyle w:val="ASFKTableHead"/>
            </w:pPr>
            <w:r w:rsidRPr="00264D5D">
              <w:t>Тип</w:t>
            </w:r>
          </w:p>
        </w:tc>
        <w:tc>
          <w:tcPr>
            <w:tcW w:w="1134" w:type="dxa"/>
          </w:tcPr>
          <w:p w14:paraId="3D3E20E4" w14:textId="77777777" w:rsidR="00AD1F54" w:rsidRPr="00264D5D" w:rsidRDefault="00941227">
            <w:pPr>
              <w:pStyle w:val="ASFKTableHead"/>
            </w:pPr>
            <w:r w:rsidRPr="00264D5D">
              <w:t>Формат элемента</w:t>
            </w:r>
          </w:p>
        </w:tc>
        <w:tc>
          <w:tcPr>
            <w:tcW w:w="567" w:type="dxa"/>
          </w:tcPr>
          <w:p w14:paraId="13809D41" w14:textId="77777777" w:rsidR="00AD1F54" w:rsidRPr="00264D5D" w:rsidRDefault="00941227">
            <w:pPr>
              <w:pStyle w:val="ASFKTableHead"/>
            </w:pPr>
            <w:r w:rsidRPr="00264D5D">
              <w:t>Обязательность</w:t>
            </w:r>
          </w:p>
        </w:tc>
        <w:tc>
          <w:tcPr>
            <w:tcW w:w="3963" w:type="dxa"/>
          </w:tcPr>
          <w:p w14:paraId="481D7299" w14:textId="77777777" w:rsidR="00AD1F54" w:rsidRPr="00264D5D" w:rsidRDefault="00941227">
            <w:pPr>
              <w:pStyle w:val="ASFKTableHead"/>
            </w:pPr>
            <w:r w:rsidRPr="00264D5D">
              <w:t>Дополнительная информация</w:t>
            </w:r>
          </w:p>
        </w:tc>
      </w:tr>
      <w:tr w:rsidR="00AD1F54" w:rsidRPr="00264D5D" w14:paraId="0A376EA9"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EC406DE" w14:textId="77777777" w:rsidR="00AD1F54" w:rsidRPr="00264D5D" w:rsidRDefault="00941227">
            <w:pPr>
              <w:pStyle w:val="afffffffd"/>
              <w:spacing w:before="60"/>
              <w:rPr>
                <w:rFonts w:ascii="Times New Roman" w:hAnsi="Times New Roman"/>
                <w:color w:val="000000"/>
                <w:sz w:val="22"/>
                <w:szCs w:val="22"/>
                <w:lang w:val="en-US"/>
              </w:rPr>
            </w:pPr>
            <w:r w:rsidRPr="00264D5D">
              <w:rPr>
                <w:rFonts w:ascii="Times New Roman" w:hAnsi="Times New Roman"/>
                <w:color w:val="000000"/>
                <w:sz w:val="22"/>
                <w:szCs w:val="22"/>
                <w:lang w:val="en-US"/>
              </w:rPr>
              <w:t>Код вида платежа</w:t>
            </w:r>
          </w:p>
        </w:tc>
        <w:tc>
          <w:tcPr>
            <w:tcW w:w="1701" w:type="dxa"/>
          </w:tcPr>
          <w:p w14:paraId="314841C6" w14:textId="77777777" w:rsidR="00AD1F54" w:rsidRPr="00264D5D" w:rsidRDefault="00941227">
            <w:pPr>
              <w:pStyle w:val="GOSTTablenorm"/>
              <w:rPr>
                <w:szCs w:val="22"/>
              </w:rPr>
            </w:pPr>
            <w:r w:rsidRPr="00264D5D">
              <w:rPr>
                <w:szCs w:val="22"/>
              </w:rPr>
              <w:t>code</w:t>
            </w:r>
          </w:p>
        </w:tc>
        <w:tc>
          <w:tcPr>
            <w:tcW w:w="567" w:type="dxa"/>
          </w:tcPr>
          <w:p w14:paraId="3C101B93" w14:textId="77777777" w:rsidR="00AD1F54" w:rsidRPr="00264D5D" w:rsidRDefault="00941227">
            <w:pPr>
              <w:pStyle w:val="GOSTTablenorm"/>
              <w:jc w:val="center"/>
              <w:rPr>
                <w:szCs w:val="22"/>
              </w:rPr>
            </w:pPr>
            <w:r w:rsidRPr="00264D5D">
              <w:rPr>
                <w:szCs w:val="22"/>
              </w:rPr>
              <w:t>А</w:t>
            </w:r>
          </w:p>
        </w:tc>
        <w:tc>
          <w:tcPr>
            <w:tcW w:w="1134" w:type="dxa"/>
          </w:tcPr>
          <w:p w14:paraId="50FEBDA7" w14:textId="77777777" w:rsidR="00AD1F54" w:rsidRPr="00264D5D" w:rsidRDefault="00941227">
            <w:pPr>
              <w:pStyle w:val="GOSTTablenorm"/>
              <w:rPr>
                <w:szCs w:val="22"/>
                <w:lang w:val="en-US"/>
              </w:rPr>
            </w:pPr>
            <w:r w:rsidRPr="00264D5D">
              <w:rPr>
                <w:szCs w:val="22"/>
                <w:lang w:eastAsia="en-US"/>
              </w:rPr>
              <w:t>-</w:t>
            </w:r>
          </w:p>
        </w:tc>
        <w:tc>
          <w:tcPr>
            <w:tcW w:w="567" w:type="dxa"/>
          </w:tcPr>
          <w:p w14:paraId="57BE950B" w14:textId="77777777" w:rsidR="00AD1F54" w:rsidRPr="00264D5D" w:rsidRDefault="00941227">
            <w:pPr>
              <w:pStyle w:val="GOSTTablenorm"/>
              <w:jc w:val="center"/>
              <w:rPr>
                <w:szCs w:val="22"/>
              </w:rPr>
            </w:pPr>
            <w:r w:rsidRPr="00264D5D">
              <w:rPr>
                <w:szCs w:val="22"/>
                <w:lang w:eastAsia="en-US"/>
              </w:rPr>
              <w:t>О</w:t>
            </w:r>
          </w:p>
        </w:tc>
        <w:tc>
          <w:tcPr>
            <w:tcW w:w="3963" w:type="dxa"/>
          </w:tcPr>
          <w:p w14:paraId="4568BDFB" w14:textId="77777777" w:rsidR="00AD1F54" w:rsidRPr="00264D5D" w:rsidRDefault="00941227" w:rsidP="003E1F19">
            <w:pPr>
              <w:pStyle w:val="GOSTTablenorm"/>
              <w:tabs>
                <w:tab w:val="left" w:pos="403"/>
              </w:tabs>
              <w:rPr>
                <w:szCs w:val="22"/>
              </w:rPr>
            </w:pPr>
            <w:r w:rsidRPr="00264D5D">
              <w:rPr>
                <w:szCs w:val="22"/>
              </w:rPr>
              <w:t>Допустимые значения:</w:t>
            </w:r>
          </w:p>
          <w:p w14:paraId="5E4D311B" w14:textId="77777777" w:rsidR="00AD1F54" w:rsidRPr="00264D5D" w:rsidRDefault="00941227" w:rsidP="00E7460C">
            <w:pPr>
              <w:pStyle w:val="ASFKTableListMark"/>
              <w:numPr>
                <w:ilvl w:val="0"/>
                <w:numId w:val="115"/>
              </w:numPr>
              <w:ind w:left="284" w:hanging="227"/>
              <w:contextualSpacing/>
              <w:jc w:val="both"/>
              <w:rPr>
                <w:szCs w:val="22"/>
              </w:rPr>
            </w:pPr>
            <w:r w:rsidRPr="00264D5D">
              <w:rPr>
                <w:szCs w:val="22"/>
              </w:rPr>
              <w:t>«0» – не срочно;</w:t>
            </w:r>
          </w:p>
          <w:p w14:paraId="5261BA5D" w14:textId="77777777" w:rsidR="00AD1F54" w:rsidRPr="00264D5D" w:rsidRDefault="003E1F19" w:rsidP="00E7460C">
            <w:pPr>
              <w:pStyle w:val="ASFKTableListMark"/>
              <w:numPr>
                <w:ilvl w:val="0"/>
                <w:numId w:val="115"/>
              </w:numPr>
              <w:ind w:left="284" w:hanging="227"/>
              <w:contextualSpacing/>
              <w:jc w:val="both"/>
              <w:rPr>
                <w:color w:val="000000"/>
                <w:szCs w:val="22"/>
              </w:rPr>
            </w:pPr>
            <w:r w:rsidRPr="00264D5D">
              <w:rPr>
                <w:szCs w:val="22"/>
              </w:rPr>
              <w:t>«4» – срочно</w:t>
            </w:r>
          </w:p>
        </w:tc>
      </w:tr>
      <w:tr w:rsidR="00AD1F54" w:rsidRPr="00264D5D" w14:paraId="6581F28E"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0B9CF9F4" w14:textId="77777777" w:rsidR="00AD1F54" w:rsidRPr="00264D5D" w:rsidRDefault="00941227">
            <w:pPr>
              <w:pStyle w:val="afffffffd"/>
              <w:spacing w:before="60"/>
              <w:rPr>
                <w:rFonts w:ascii="Times New Roman" w:hAnsi="Times New Roman"/>
                <w:color w:val="000000"/>
                <w:sz w:val="22"/>
                <w:szCs w:val="22"/>
                <w:lang w:val="en-US"/>
              </w:rPr>
            </w:pPr>
            <w:r w:rsidRPr="00264D5D">
              <w:rPr>
                <w:rFonts w:ascii="Times New Roman" w:hAnsi="Times New Roman"/>
                <w:color w:val="000000"/>
                <w:sz w:val="22"/>
                <w:szCs w:val="22"/>
                <w:lang w:val="en-US"/>
              </w:rPr>
              <w:t>Значение вида платежа</w:t>
            </w:r>
          </w:p>
        </w:tc>
        <w:tc>
          <w:tcPr>
            <w:tcW w:w="1701" w:type="dxa"/>
          </w:tcPr>
          <w:p w14:paraId="202DADBB" w14:textId="77777777" w:rsidR="00AD1F54" w:rsidRPr="00264D5D" w:rsidRDefault="00941227">
            <w:pPr>
              <w:pStyle w:val="GOSTTablenorm"/>
              <w:rPr>
                <w:szCs w:val="22"/>
                <w:lang w:val="en-US"/>
              </w:rPr>
            </w:pPr>
            <w:r w:rsidRPr="00264D5D">
              <w:rPr>
                <w:szCs w:val="22"/>
              </w:rPr>
              <w:t>value</w:t>
            </w:r>
          </w:p>
        </w:tc>
        <w:tc>
          <w:tcPr>
            <w:tcW w:w="567" w:type="dxa"/>
          </w:tcPr>
          <w:p w14:paraId="136E993B" w14:textId="77777777" w:rsidR="00AD1F54" w:rsidRPr="00264D5D" w:rsidRDefault="00941227">
            <w:pPr>
              <w:pStyle w:val="GOSTTablenorm"/>
              <w:jc w:val="center"/>
              <w:rPr>
                <w:szCs w:val="22"/>
              </w:rPr>
            </w:pPr>
            <w:r w:rsidRPr="00264D5D">
              <w:rPr>
                <w:szCs w:val="22"/>
              </w:rPr>
              <w:t>А</w:t>
            </w:r>
          </w:p>
        </w:tc>
        <w:tc>
          <w:tcPr>
            <w:tcW w:w="1134" w:type="dxa"/>
          </w:tcPr>
          <w:p w14:paraId="14F92C0D" w14:textId="77777777" w:rsidR="00AD1F54" w:rsidRPr="00264D5D" w:rsidRDefault="00941227">
            <w:pPr>
              <w:pStyle w:val="GOSTTablenorm"/>
              <w:rPr>
                <w:szCs w:val="22"/>
                <w:lang w:val="en-US"/>
              </w:rPr>
            </w:pPr>
            <w:r w:rsidRPr="00264D5D">
              <w:rPr>
                <w:szCs w:val="22"/>
                <w:lang w:eastAsia="en-US"/>
              </w:rPr>
              <w:t>-</w:t>
            </w:r>
          </w:p>
        </w:tc>
        <w:tc>
          <w:tcPr>
            <w:tcW w:w="567" w:type="dxa"/>
          </w:tcPr>
          <w:p w14:paraId="361BAA5E" w14:textId="77777777" w:rsidR="00AD1F54" w:rsidRPr="00264D5D" w:rsidRDefault="00941227">
            <w:pPr>
              <w:pStyle w:val="GOSTTablenorm"/>
              <w:jc w:val="center"/>
              <w:rPr>
                <w:szCs w:val="22"/>
              </w:rPr>
            </w:pPr>
            <w:r w:rsidRPr="00264D5D">
              <w:rPr>
                <w:szCs w:val="22"/>
                <w:lang w:eastAsia="en-US"/>
              </w:rPr>
              <w:t>Н</w:t>
            </w:r>
          </w:p>
        </w:tc>
        <w:tc>
          <w:tcPr>
            <w:tcW w:w="3963" w:type="dxa"/>
          </w:tcPr>
          <w:p w14:paraId="5E63A21A" w14:textId="77777777" w:rsidR="00AD1F54" w:rsidRPr="00264D5D" w:rsidRDefault="00941227" w:rsidP="003E1F19">
            <w:pPr>
              <w:pStyle w:val="GOSTTablenorm"/>
              <w:rPr>
                <w:szCs w:val="22"/>
              </w:rPr>
            </w:pPr>
            <w:r w:rsidRPr="00264D5D">
              <w:rPr>
                <w:szCs w:val="22"/>
              </w:rPr>
              <w:t>Соответствующие допустимые значения:</w:t>
            </w:r>
          </w:p>
          <w:p w14:paraId="2F4EA400" w14:textId="77777777" w:rsidR="00AD1F54" w:rsidRPr="00264D5D" w:rsidRDefault="00941227" w:rsidP="00E7460C">
            <w:pPr>
              <w:pStyle w:val="ASFKTableListMark"/>
              <w:numPr>
                <w:ilvl w:val="0"/>
                <w:numId w:val="115"/>
              </w:numPr>
              <w:ind w:left="284" w:hanging="227"/>
              <w:contextualSpacing/>
              <w:jc w:val="both"/>
              <w:rPr>
                <w:szCs w:val="22"/>
              </w:rPr>
            </w:pPr>
            <w:r w:rsidRPr="00264D5D">
              <w:rPr>
                <w:szCs w:val="22"/>
              </w:rPr>
              <w:lastRenderedPageBreak/>
              <w:t>не срочно;</w:t>
            </w:r>
          </w:p>
          <w:p w14:paraId="76F664B2" w14:textId="77777777" w:rsidR="00AD1F54" w:rsidRPr="00264D5D" w:rsidRDefault="003E1F19" w:rsidP="00E7460C">
            <w:pPr>
              <w:pStyle w:val="ASFKTableListMark"/>
              <w:numPr>
                <w:ilvl w:val="0"/>
                <w:numId w:val="115"/>
              </w:numPr>
              <w:ind w:left="284" w:hanging="227"/>
              <w:contextualSpacing/>
              <w:jc w:val="both"/>
              <w:rPr>
                <w:color w:val="000000"/>
                <w:szCs w:val="22"/>
              </w:rPr>
            </w:pPr>
            <w:r w:rsidRPr="00264D5D">
              <w:rPr>
                <w:szCs w:val="22"/>
              </w:rPr>
              <w:t>срочно</w:t>
            </w:r>
          </w:p>
        </w:tc>
      </w:tr>
    </w:tbl>
    <w:p w14:paraId="45430F06" w14:textId="77777777" w:rsidR="00AD1F54" w:rsidRPr="00264D5D" w:rsidRDefault="00941227">
      <w:pPr>
        <w:pStyle w:val="31"/>
      </w:pPr>
      <w:bookmarkStart w:id="3261" w:name="_Toc84802454"/>
      <w:bookmarkStart w:id="3262" w:name="_Toc219309796"/>
      <w:r w:rsidRPr="00264D5D">
        <w:lastRenderedPageBreak/>
        <w:t>Описание комплексного типа «tFAHTeh»</w:t>
      </w:r>
      <w:bookmarkEnd w:id="3261"/>
      <w:bookmarkEnd w:id="3262"/>
    </w:p>
    <w:p w14:paraId="38A42010" w14:textId="77777777" w:rsidR="00AD1F54" w:rsidRPr="00264D5D" w:rsidRDefault="00941227">
      <w:pPr>
        <w:pStyle w:val="ASFKNormal"/>
        <w:spacing w:before="60" w:after="120"/>
        <w:contextualSpacing w:val="0"/>
        <w:jc w:val="both"/>
        <w:rPr>
          <w:sz w:val="24"/>
          <w:szCs w:val="24"/>
        </w:rPr>
      </w:pPr>
      <w:r w:rsidRPr="00264D5D">
        <w:rPr>
          <w:sz w:val="24"/>
          <w:szCs w:val="24"/>
        </w:rPr>
        <w:t>Описание комплексного типа «tFAHTeh» блока «Платежное поручение по бюджетной классификации».</w:t>
      </w:r>
    </w:p>
    <w:p w14:paraId="0B6ED936" w14:textId="6ADB694E" w:rsidR="00AD1F54" w:rsidRPr="00264D5D" w:rsidRDefault="00941227">
      <w:pPr>
        <w:pStyle w:val="GOSTNameTable"/>
        <w:numPr>
          <w:ilvl w:val="0"/>
          <w:numId w:val="2"/>
        </w:numPr>
        <w:ind w:left="425" w:hanging="357"/>
        <w:rPr>
          <w:rFonts w:eastAsia="Calibri"/>
        </w:rPr>
      </w:pPr>
      <w:r w:rsidRPr="00264D5D">
        <w:rPr>
          <w:rFonts w:eastAsia="Calibri"/>
        </w:rPr>
        <w:fldChar w:fldCharType="begin"/>
      </w:r>
      <w:r w:rsidRPr="00264D5D">
        <w:rPr>
          <w:rFonts w:eastAsia="Calibri"/>
        </w:rPr>
        <w:instrText xml:space="preserve"> </w:instrText>
      </w:r>
      <w:r w:rsidRPr="00264D5D">
        <w:rPr>
          <w:rFonts w:eastAsia="Calibri"/>
          <w:lang w:val="en-US"/>
        </w:rPr>
        <w:instrText>SEQ</w:instrText>
      </w:r>
      <w:r w:rsidRPr="00264D5D">
        <w:rPr>
          <w:rFonts w:eastAsia="Calibri"/>
        </w:rPr>
        <w:instrText xml:space="preserve"> Таблица \* </w:instrText>
      </w:r>
      <w:r w:rsidRPr="00264D5D">
        <w:rPr>
          <w:rFonts w:eastAsia="Calibri"/>
          <w:lang w:val="en-US"/>
        </w:rPr>
        <w:instrText>ARABIC</w:instrText>
      </w:r>
      <w:r w:rsidRPr="00264D5D">
        <w:rPr>
          <w:rFonts w:eastAsia="Calibri"/>
        </w:rPr>
        <w:instrText xml:space="preserve"> </w:instrText>
      </w:r>
      <w:r w:rsidRPr="00264D5D">
        <w:rPr>
          <w:rFonts w:eastAsia="Calibri"/>
        </w:rPr>
        <w:fldChar w:fldCharType="separate"/>
      </w:r>
      <w:bookmarkStart w:id="3263" w:name="_Ref68174262"/>
      <w:bookmarkStart w:id="3264" w:name="_Toc219309345"/>
      <w:r w:rsidR="008D797C">
        <w:rPr>
          <w:rFonts w:eastAsia="Calibri"/>
          <w:noProof/>
          <w:lang w:val="en-US"/>
        </w:rPr>
        <w:t>315</w:t>
      </w:r>
      <w:bookmarkEnd w:id="3263"/>
      <w:r w:rsidRPr="00264D5D">
        <w:rPr>
          <w:rFonts w:eastAsia="Calibri"/>
        </w:rPr>
        <w:fldChar w:fldCharType="end"/>
      </w:r>
      <w:r w:rsidRPr="00264D5D">
        <w:rPr>
          <w:rFonts w:eastAsia="Calibri"/>
        </w:rPr>
        <w:t xml:space="preserve"> – Описание комплексного типа «</w:t>
      </w:r>
      <w:r w:rsidRPr="00264D5D">
        <w:t>tFAHTeh</w:t>
      </w:r>
      <w:r w:rsidRPr="00264D5D">
        <w:rPr>
          <w:rFonts w:eastAsia="Calibri"/>
        </w:rPr>
        <w:t>»</w:t>
      </w:r>
      <w:bookmarkEnd w:id="3264"/>
    </w:p>
    <w:tbl>
      <w:tblPr>
        <w:tblStyle w:val="GOSTTable"/>
        <w:tblW w:w="9636" w:type="dxa"/>
        <w:tblLayout w:type="fixed"/>
        <w:tblLook w:val="04A0" w:firstRow="1" w:lastRow="0" w:firstColumn="1" w:lastColumn="0" w:noHBand="0" w:noVBand="1"/>
      </w:tblPr>
      <w:tblGrid>
        <w:gridCol w:w="1703"/>
        <w:gridCol w:w="1702"/>
        <w:gridCol w:w="567"/>
        <w:gridCol w:w="1135"/>
        <w:gridCol w:w="567"/>
        <w:gridCol w:w="3962"/>
      </w:tblGrid>
      <w:tr w:rsidR="00AD1F54" w:rsidRPr="00264D5D" w14:paraId="5C48F7CB" w14:textId="77777777" w:rsidTr="00AD1F54">
        <w:trPr>
          <w:cnfStyle w:val="100000000000" w:firstRow="1" w:lastRow="0" w:firstColumn="0" w:lastColumn="0" w:oddVBand="0" w:evenVBand="0" w:oddHBand="0" w:evenHBand="0" w:firstRowFirstColumn="0" w:firstRowLastColumn="0" w:lastRowFirstColumn="0" w:lastRowLastColumn="0"/>
          <w:trHeight w:val="282"/>
          <w:tblHeader/>
        </w:trPr>
        <w:tc>
          <w:tcPr>
            <w:tcW w:w="883" w:type="pct"/>
          </w:tcPr>
          <w:p w14:paraId="368FA676" w14:textId="77777777" w:rsidR="00AD1F54" w:rsidRPr="00264D5D" w:rsidRDefault="00941227">
            <w:pPr>
              <w:spacing w:before="60" w:after="60"/>
              <w:jc w:val="center"/>
              <w:rPr>
                <w:b/>
                <w:bCs/>
                <w:sz w:val="22"/>
                <w:szCs w:val="22"/>
                <w:lang w:val="en-US"/>
              </w:rPr>
            </w:pPr>
            <w:r w:rsidRPr="00264D5D">
              <w:rPr>
                <w:b/>
                <w:bCs/>
                <w:sz w:val="22"/>
                <w:szCs w:val="22"/>
              </w:rPr>
              <w:t>Наименование комплексного типа</w:t>
            </w:r>
          </w:p>
        </w:tc>
        <w:tc>
          <w:tcPr>
            <w:tcW w:w="883" w:type="pct"/>
          </w:tcPr>
          <w:p w14:paraId="3FF1DF66" w14:textId="77777777" w:rsidR="00AD1F54" w:rsidRPr="00264D5D" w:rsidRDefault="00941227">
            <w:pPr>
              <w:spacing w:before="60" w:after="60"/>
              <w:jc w:val="center"/>
              <w:rPr>
                <w:b/>
                <w:bCs/>
                <w:sz w:val="22"/>
                <w:szCs w:val="22"/>
              </w:rPr>
            </w:pPr>
            <w:r w:rsidRPr="00264D5D">
              <w:rPr>
                <w:b/>
                <w:bCs/>
                <w:sz w:val="22"/>
                <w:szCs w:val="22"/>
              </w:rPr>
              <w:t>Текущий элемент/</w:t>
            </w:r>
            <w:r w:rsidRPr="00264D5D">
              <w:rPr>
                <w:b/>
                <w:bCs/>
                <w:sz w:val="22"/>
                <w:szCs w:val="22"/>
                <w:lang w:val="en-US"/>
              </w:rPr>
              <w:t xml:space="preserve"> </w:t>
            </w:r>
            <w:r w:rsidRPr="00264D5D">
              <w:rPr>
                <w:b/>
                <w:bCs/>
                <w:sz w:val="22"/>
                <w:szCs w:val="22"/>
              </w:rPr>
              <w:t>атрибут</w:t>
            </w:r>
          </w:p>
        </w:tc>
        <w:tc>
          <w:tcPr>
            <w:tcW w:w="294" w:type="pct"/>
          </w:tcPr>
          <w:p w14:paraId="3D14206D" w14:textId="77777777" w:rsidR="00AD1F54" w:rsidRPr="00264D5D" w:rsidRDefault="00941227">
            <w:pPr>
              <w:spacing w:before="60" w:after="60"/>
              <w:jc w:val="center"/>
              <w:rPr>
                <w:b/>
                <w:sz w:val="22"/>
                <w:szCs w:val="22"/>
              </w:rPr>
            </w:pPr>
            <w:r w:rsidRPr="00264D5D">
              <w:rPr>
                <w:b/>
                <w:bCs/>
                <w:sz w:val="22"/>
                <w:szCs w:val="22"/>
              </w:rPr>
              <w:t>Тип</w:t>
            </w:r>
          </w:p>
        </w:tc>
        <w:tc>
          <w:tcPr>
            <w:tcW w:w="589" w:type="pct"/>
          </w:tcPr>
          <w:p w14:paraId="482CBD4E" w14:textId="77777777" w:rsidR="00AD1F54" w:rsidRPr="00264D5D" w:rsidRDefault="00941227">
            <w:pPr>
              <w:spacing w:before="60" w:after="60"/>
              <w:jc w:val="center"/>
              <w:rPr>
                <w:b/>
                <w:sz w:val="22"/>
                <w:szCs w:val="22"/>
              </w:rPr>
            </w:pPr>
            <w:r w:rsidRPr="00264D5D">
              <w:rPr>
                <w:b/>
                <w:bCs/>
                <w:sz w:val="22"/>
                <w:szCs w:val="22"/>
              </w:rPr>
              <w:t>Формат элемента</w:t>
            </w:r>
          </w:p>
        </w:tc>
        <w:tc>
          <w:tcPr>
            <w:tcW w:w="294" w:type="pct"/>
          </w:tcPr>
          <w:p w14:paraId="77672CA7" w14:textId="77777777" w:rsidR="00AD1F54" w:rsidRPr="00264D5D" w:rsidRDefault="00941227">
            <w:pPr>
              <w:spacing w:before="60" w:after="60"/>
              <w:jc w:val="center"/>
              <w:rPr>
                <w:b/>
                <w:bCs/>
                <w:sz w:val="22"/>
                <w:szCs w:val="22"/>
              </w:rPr>
            </w:pPr>
            <w:r w:rsidRPr="00264D5D">
              <w:rPr>
                <w:b/>
                <w:bCs/>
                <w:sz w:val="22"/>
                <w:szCs w:val="22"/>
              </w:rPr>
              <w:t>Обязательность</w:t>
            </w:r>
          </w:p>
        </w:tc>
        <w:tc>
          <w:tcPr>
            <w:tcW w:w="2056" w:type="pct"/>
          </w:tcPr>
          <w:p w14:paraId="4C290245" w14:textId="77777777" w:rsidR="00AD1F54" w:rsidRPr="00264D5D" w:rsidRDefault="00941227">
            <w:pPr>
              <w:spacing w:before="60" w:after="60"/>
              <w:jc w:val="center"/>
              <w:rPr>
                <w:b/>
                <w:bCs/>
                <w:sz w:val="22"/>
                <w:szCs w:val="22"/>
              </w:rPr>
            </w:pPr>
            <w:r w:rsidRPr="00264D5D">
              <w:rPr>
                <w:b/>
                <w:bCs/>
                <w:sz w:val="22"/>
                <w:szCs w:val="22"/>
              </w:rPr>
              <w:t>Дополнительная информация</w:t>
            </w:r>
          </w:p>
        </w:tc>
      </w:tr>
      <w:tr w:rsidR="00AD1F54" w:rsidRPr="00264D5D" w14:paraId="3C030D17" w14:textId="77777777" w:rsidTr="00AD1F54">
        <w:trPr>
          <w:cnfStyle w:val="000000100000" w:firstRow="0" w:lastRow="0" w:firstColumn="0" w:lastColumn="0" w:oddVBand="0" w:evenVBand="0" w:oddHBand="1" w:evenHBand="0" w:firstRowFirstColumn="0" w:firstRowLastColumn="0" w:lastRowFirstColumn="0" w:lastRowLastColumn="0"/>
          <w:trHeight w:val="282"/>
        </w:trPr>
        <w:tc>
          <w:tcPr>
            <w:tcW w:w="883" w:type="pct"/>
          </w:tcPr>
          <w:p w14:paraId="765701B5" w14:textId="77777777" w:rsidR="00AD1F54" w:rsidRPr="00264D5D" w:rsidRDefault="00941227">
            <w:pPr>
              <w:spacing w:before="60" w:after="60"/>
              <w:ind w:firstLine="26"/>
              <w:rPr>
                <w:sz w:val="22"/>
                <w:szCs w:val="22"/>
              </w:rPr>
            </w:pPr>
            <w:r w:rsidRPr="00264D5D">
              <w:rPr>
                <w:sz w:val="22"/>
                <w:szCs w:val="22"/>
                <w:lang w:val="en-US"/>
              </w:rPr>
              <w:t>tFAHTeh</w:t>
            </w:r>
          </w:p>
        </w:tc>
        <w:tc>
          <w:tcPr>
            <w:tcW w:w="883" w:type="pct"/>
          </w:tcPr>
          <w:p w14:paraId="02E96A3A" w14:textId="77777777" w:rsidR="00AD1F54" w:rsidRPr="00264D5D" w:rsidRDefault="00941227">
            <w:pPr>
              <w:tabs>
                <w:tab w:val="left" w:pos="1122"/>
              </w:tabs>
              <w:spacing w:before="60" w:after="60"/>
              <w:ind w:firstLine="26"/>
              <w:rPr>
                <w:sz w:val="22"/>
                <w:szCs w:val="22"/>
                <w:lang w:val="en-US"/>
              </w:rPr>
            </w:pPr>
            <w:r w:rsidRPr="00264D5D">
              <w:rPr>
                <w:color w:val="000000"/>
                <w:sz w:val="22"/>
                <w:szCs w:val="22"/>
              </w:rPr>
              <w:t>FAHTeh_ITEM</w:t>
            </w:r>
          </w:p>
        </w:tc>
        <w:tc>
          <w:tcPr>
            <w:tcW w:w="294" w:type="pct"/>
          </w:tcPr>
          <w:p w14:paraId="4F9CF515" w14:textId="77777777" w:rsidR="00AD1F54" w:rsidRPr="00264D5D" w:rsidRDefault="00941227">
            <w:pPr>
              <w:spacing w:before="60" w:after="60"/>
              <w:ind w:firstLine="26"/>
              <w:jc w:val="center"/>
              <w:rPr>
                <w:sz w:val="22"/>
                <w:szCs w:val="22"/>
              </w:rPr>
            </w:pPr>
            <w:r w:rsidRPr="00264D5D">
              <w:rPr>
                <w:sz w:val="22"/>
                <w:szCs w:val="22"/>
              </w:rPr>
              <w:t>С</w:t>
            </w:r>
          </w:p>
        </w:tc>
        <w:tc>
          <w:tcPr>
            <w:tcW w:w="589" w:type="pct"/>
          </w:tcPr>
          <w:p w14:paraId="53730172" w14:textId="77777777" w:rsidR="00AD1F54" w:rsidRPr="00264D5D" w:rsidRDefault="00941227">
            <w:pPr>
              <w:spacing w:before="60" w:after="60"/>
              <w:ind w:firstLine="26"/>
              <w:jc w:val="left"/>
              <w:rPr>
                <w:sz w:val="22"/>
                <w:szCs w:val="22"/>
                <w:lang w:val="en-US"/>
              </w:rPr>
            </w:pPr>
            <w:r w:rsidRPr="00264D5D">
              <w:rPr>
                <w:sz w:val="22"/>
                <w:szCs w:val="22"/>
                <w:lang w:val="en-US"/>
              </w:rPr>
              <w:t>t</w:t>
            </w:r>
            <w:r w:rsidRPr="00264D5D">
              <w:rPr>
                <w:color w:val="000000"/>
                <w:sz w:val="22"/>
                <w:szCs w:val="22"/>
              </w:rPr>
              <w:t>FAHTeh_ITEM</w:t>
            </w:r>
          </w:p>
        </w:tc>
        <w:tc>
          <w:tcPr>
            <w:tcW w:w="294" w:type="pct"/>
          </w:tcPr>
          <w:p w14:paraId="7E0B4295" w14:textId="77777777" w:rsidR="00AD1F54" w:rsidRPr="00264D5D" w:rsidRDefault="00941227">
            <w:pPr>
              <w:spacing w:before="60" w:after="60"/>
              <w:ind w:firstLine="26"/>
              <w:jc w:val="center"/>
              <w:rPr>
                <w:sz w:val="22"/>
                <w:szCs w:val="22"/>
              </w:rPr>
            </w:pPr>
            <w:r w:rsidRPr="00264D5D">
              <w:rPr>
                <w:sz w:val="22"/>
                <w:szCs w:val="22"/>
              </w:rPr>
              <w:t>ОМ</w:t>
            </w:r>
          </w:p>
        </w:tc>
        <w:tc>
          <w:tcPr>
            <w:tcW w:w="2056" w:type="pct"/>
          </w:tcPr>
          <w:p w14:paraId="11065BF9" w14:textId="4A9CB33B" w:rsidR="00AD1F54" w:rsidRPr="00264D5D" w:rsidRDefault="00941227">
            <w:pPr>
              <w:spacing w:before="60" w:after="60"/>
              <w:ind w:firstLine="26"/>
              <w:rPr>
                <w:sz w:val="22"/>
                <w:szCs w:val="22"/>
              </w:rPr>
            </w:pPr>
            <w:r w:rsidRPr="00264D5D">
              <w:rPr>
                <w:sz w:val="22"/>
                <w:szCs w:val="22"/>
              </w:rPr>
              <w:t xml:space="preserve">Состав элемента представлен в таблице </w:t>
            </w:r>
            <w:r w:rsidRPr="00264D5D">
              <w:rPr>
                <w:sz w:val="22"/>
                <w:szCs w:val="22"/>
              </w:rPr>
              <w:fldChar w:fldCharType="begin"/>
            </w:r>
            <w:r w:rsidRPr="00264D5D">
              <w:rPr>
                <w:sz w:val="22"/>
                <w:szCs w:val="22"/>
              </w:rPr>
              <w:instrText xml:space="preserve"> REF _Ref68174237 \h  \* MERGEFORMAT </w:instrText>
            </w:r>
            <w:r w:rsidRPr="00264D5D">
              <w:rPr>
                <w:sz w:val="22"/>
                <w:szCs w:val="22"/>
              </w:rPr>
            </w:r>
            <w:r w:rsidRPr="00264D5D">
              <w:rPr>
                <w:sz w:val="22"/>
                <w:szCs w:val="22"/>
              </w:rPr>
              <w:fldChar w:fldCharType="separate"/>
            </w:r>
            <w:r w:rsidR="008D797C" w:rsidRPr="008D797C">
              <w:rPr>
                <w:rFonts w:eastAsia="Calibri"/>
                <w:sz w:val="22"/>
                <w:szCs w:val="22"/>
              </w:rPr>
              <w:t>316</w:t>
            </w:r>
            <w:r w:rsidRPr="00264D5D">
              <w:rPr>
                <w:sz w:val="22"/>
                <w:szCs w:val="22"/>
              </w:rPr>
              <w:fldChar w:fldCharType="end"/>
            </w:r>
          </w:p>
        </w:tc>
      </w:tr>
    </w:tbl>
    <w:p w14:paraId="5C19F695" w14:textId="77777777" w:rsidR="00AD1F54" w:rsidRPr="00264D5D" w:rsidRDefault="00941227">
      <w:pPr>
        <w:pStyle w:val="31"/>
      </w:pPr>
      <w:bookmarkStart w:id="3265" w:name="_Toc84802455"/>
      <w:bookmarkStart w:id="3266" w:name="_Toc219309797"/>
      <w:r w:rsidRPr="00264D5D">
        <w:t>Описание комплексного типа «tFAHTeh_ITEM»</w:t>
      </w:r>
      <w:bookmarkEnd w:id="3265"/>
      <w:bookmarkEnd w:id="3266"/>
    </w:p>
    <w:p w14:paraId="6B159A0D" w14:textId="77777777" w:rsidR="00AD1F54" w:rsidRPr="00264D5D" w:rsidRDefault="00941227">
      <w:pPr>
        <w:pStyle w:val="ASFKNormal"/>
        <w:spacing w:before="60" w:after="120"/>
        <w:contextualSpacing w:val="0"/>
        <w:jc w:val="both"/>
        <w:rPr>
          <w:sz w:val="24"/>
          <w:szCs w:val="24"/>
        </w:rPr>
      </w:pPr>
      <w:r w:rsidRPr="00264D5D">
        <w:rPr>
          <w:sz w:val="24"/>
          <w:szCs w:val="24"/>
        </w:rPr>
        <w:t>Описание комплексного типа «tFAHTeh_ITEM» блока «Платежное поручение по бюджетной классификации (строки)».</w:t>
      </w:r>
    </w:p>
    <w:p w14:paraId="36C3E274" w14:textId="65B061FB" w:rsidR="00AD1F54" w:rsidRPr="00264D5D" w:rsidRDefault="00941227">
      <w:pPr>
        <w:pStyle w:val="GOSTNameTable"/>
        <w:numPr>
          <w:ilvl w:val="0"/>
          <w:numId w:val="2"/>
        </w:numPr>
        <w:ind w:left="425" w:hanging="357"/>
        <w:rPr>
          <w:rFonts w:eastAsia="Calibri"/>
        </w:rPr>
      </w:pPr>
      <w:r w:rsidRPr="00264D5D">
        <w:rPr>
          <w:rFonts w:eastAsia="Calibri"/>
        </w:rPr>
        <w:fldChar w:fldCharType="begin"/>
      </w:r>
      <w:r w:rsidRPr="00264D5D">
        <w:rPr>
          <w:rFonts w:eastAsia="Calibri"/>
        </w:rPr>
        <w:instrText xml:space="preserve"> </w:instrText>
      </w:r>
      <w:r w:rsidRPr="00264D5D">
        <w:rPr>
          <w:rFonts w:eastAsia="Calibri"/>
          <w:lang w:val="en-US"/>
        </w:rPr>
        <w:instrText>SEQ</w:instrText>
      </w:r>
      <w:r w:rsidRPr="00264D5D">
        <w:rPr>
          <w:rFonts w:eastAsia="Calibri"/>
        </w:rPr>
        <w:instrText xml:space="preserve"> Таблица \* </w:instrText>
      </w:r>
      <w:r w:rsidRPr="00264D5D">
        <w:rPr>
          <w:rFonts w:eastAsia="Calibri"/>
          <w:lang w:val="en-US"/>
        </w:rPr>
        <w:instrText>ARABIC</w:instrText>
      </w:r>
      <w:r w:rsidRPr="00264D5D">
        <w:rPr>
          <w:rFonts w:eastAsia="Calibri"/>
        </w:rPr>
        <w:instrText xml:space="preserve"> </w:instrText>
      </w:r>
      <w:r w:rsidRPr="00264D5D">
        <w:rPr>
          <w:rFonts w:eastAsia="Calibri"/>
        </w:rPr>
        <w:fldChar w:fldCharType="separate"/>
      </w:r>
      <w:bookmarkStart w:id="3267" w:name="_Ref68174237"/>
      <w:bookmarkStart w:id="3268" w:name="_Toc219309346"/>
      <w:r w:rsidR="008D797C">
        <w:rPr>
          <w:rFonts w:eastAsia="Calibri"/>
          <w:noProof/>
          <w:lang w:val="en-US"/>
        </w:rPr>
        <w:t>316</w:t>
      </w:r>
      <w:bookmarkEnd w:id="3267"/>
      <w:r w:rsidRPr="00264D5D">
        <w:rPr>
          <w:rFonts w:eastAsia="Calibri"/>
        </w:rPr>
        <w:fldChar w:fldCharType="end"/>
      </w:r>
      <w:r w:rsidRPr="00264D5D">
        <w:rPr>
          <w:rFonts w:eastAsia="Calibri"/>
        </w:rPr>
        <w:t xml:space="preserve"> – Описание комплексного типа «</w:t>
      </w:r>
      <w:r w:rsidRPr="00264D5D">
        <w:rPr>
          <w:szCs w:val="24"/>
          <w:lang w:val="en-US"/>
        </w:rPr>
        <w:t>tFAHTeh</w:t>
      </w:r>
      <w:r w:rsidRPr="00264D5D">
        <w:rPr>
          <w:szCs w:val="24"/>
        </w:rPr>
        <w:t>_</w:t>
      </w:r>
      <w:r w:rsidRPr="00264D5D">
        <w:rPr>
          <w:szCs w:val="24"/>
          <w:lang w:val="en-US"/>
        </w:rPr>
        <w:t>ITEM</w:t>
      </w:r>
      <w:r w:rsidRPr="00264D5D">
        <w:rPr>
          <w:rFonts w:eastAsia="Calibri"/>
        </w:rPr>
        <w:t>»</w:t>
      </w:r>
      <w:bookmarkEnd w:id="3268"/>
    </w:p>
    <w:tbl>
      <w:tblPr>
        <w:tblStyle w:val="GOSTTable"/>
        <w:tblW w:w="5000" w:type="pct"/>
        <w:tblLayout w:type="fixed"/>
        <w:tblLook w:val="04A0" w:firstRow="1" w:lastRow="0" w:firstColumn="1" w:lastColumn="0" w:noHBand="0" w:noVBand="1"/>
      </w:tblPr>
      <w:tblGrid>
        <w:gridCol w:w="1705"/>
        <w:gridCol w:w="1704"/>
        <w:gridCol w:w="567"/>
        <w:gridCol w:w="1137"/>
        <w:gridCol w:w="567"/>
        <w:gridCol w:w="3970"/>
      </w:tblGrid>
      <w:tr w:rsidR="00AD1F54" w:rsidRPr="00264D5D" w14:paraId="004B4DD9"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3" w:type="pct"/>
          </w:tcPr>
          <w:p w14:paraId="13D34E31" w14:textId="77777777" w:rsidR="00AD1F54" w:rsidRPr="00264D5D" w:rsidRDefault="00941227">
            <w:pPr>
              <w:pStyle w:val="affffff"/>
              <w:spacing w:before="60" w:after="60" w:line="240" w:lineRule="auto"/>
              <w:ind w:firstLine="0"/>
              <w:jc w:val="center"/>
              <w:rPr>
                <w:b/>
                <w:sz w:val="22"/>
                <w:szCs w:val="22"/>
              </w:rPr>
            </w:pPr>
            <w:r w:rsidRPr="00264D5D">
              <w:rPr>
                <w:b/>
                <w:sz w:val="22"/>
                <w:szCs w:val="22"/>
              </w:rPr>
              <w:t>Наименование элемента</w:t>
            </w:r>
          </w:p>
        </w:tc>
        <w:tc>
          <w:tcPr>
            <w:tcW w:w="883" w:type="pct"/>
          </w:tcPr>
          <w:p w14:paraId="2C6B5D4F" w14:textId="77777777" w:rsidR="00AD1F54" w:rsidRPr="00264D5D" w:rsidRDefault="00941227">
            <w:pPr>
              <w:pStyle w:val="affffff"/>
              <w:spacing w:before="60" w:after="60" w:line="240" w:lineRule="auto"/>
              <w:ind w:firstLine="0"/>
              <w:jc w:val="center"/>
              <w:rPr>
                <w:b/>
                <w:sz w:val="22"/>
                <w:szCs w:val="22"/>
              </w:rPr>
            </w:pPr>
            <w:r w:rsidRPr="00264D5D">
              <w:rPr>
                <w:b/>
                <w:sz w:val="22"/>
                <w:szCs w:val="22"/>
              </w:rPr>
              <w:t>Сокращенное наименование (код) элемента</w:t>
            </w:r>
          </w:p>
        </w:tc>
        <w:tc>
          <w:tcPr>
            <w:tcW w:w="294" w:type="pct"/>
          </w:tcPr>
          <w:p w14:paraId="2DE75952" w14:textId="77777777" w:rsidR="00AD1F54" w:rsidRPr="00264D5D" w:rsidRDefault="00941227">
            <w:pPr>
              <w:pStyle w:val="affffff"/>
              <w:spacing w:before="60" w:after="60" w:line="240" w:lineRule="auto"/>
              <w:ind w:firstLine="0"/>
              <w:jc w:val="center"/>
              <w:rPr>
                <w:b/>
                <w:sz w:val="22"/>
                <w:szCs w:val="22"/>
              </w:rPr>
            </w:pPr>
            <w:r w:rsidRPr="00264D5D">
              <w:rPr>
                <w:b/>
                <w:sz w:val="22"/>
                <w:szCs w:val="22"/>
              </w:rPr>
              <w:t>Тип</w:t>
            </w:r>
          </w:p>
        </w:tc>
        <w:tc>
          <w:tcPr>
            <w:tcW w:w="589" w:type="pct"/>
          </w:tcPr>
          <w:p w14:paraId="1F5A6C6B" w14:textId="77777777" w:rsidR="00AD1F54" w:rsidRPr="00264D5D" w:rsidRDefault="00941227">
            <w:pPr>
              <w:pStyle w:val="affffff"/>
              <w:spacing w:before="60" w:after="60" w:line="240" w:lineRule="auto"/>
              <w:ind w:firstLine="0"/>
              <w:jc w:val="center"/>
              <w:rPr>
                <w:b/>
                <w:sz w:val="22"/>
                <w:szCs w:val="22"/>
              </w:rPr>
            </w:pPr>
            <w:r w:rsidRPr="00264D5D">
              <w:rPr>
                <w:b/>
                <w:sz w:val="22"/>
                <w:szCs w:val="22"/>
              </w:rPr>
              <w:t>Формат элемента</w:t>
            </w:r>
          </w:p>
        </w:tc>
        <w:tc>
          <w:tcPr>
            <w:tcW w:w="294" w:type="pct"/>
          </w:tcPr>
          <w:p w14:paraId="6AFDFF3D" w14:textId="77777777" w:rsidR="00AD1F54" w:rsidRPr="00264D5D" w:rsidRDefault="00941227">
            <w:pPr>
              <w:pStyle w:val="affffff"/>
              <w:spacing w:before="60" w:after="60" w:line="240" w:lineRule="auto"/>
              <w:ind w:firstLine="0"/>
              <w:jc w:val="center"/>
              <w:rPr>
                <w:b/>
                <w:sz w:val="22"/>
                <w:szCs w:val="22"/>
              </w:rPr>
            </w:pPr>
            <w:r w:rsidRPr="00264D5D">
              <w:rPr>
                <w:b/>
                <w:sz w:val="22"/>
                <w:szCs w:val="22"/>
              </w:rPr>
              <w:t>Обязательность</w:t>
            </w:r>
          </w:p>
        </w:tc>
        <w:tc>
          <w:tcPr>
            <w:tcW w:w="2057" w:type="pct"/>
          </w:tcPr>
          <w:p w14:paraId="2D35B41B" w14:textId="77777777" w:rsidR="00AD1F54" w:rsidRPr="00264D5D" w:rsidRDefault="00941227">
            <w:pPr>
              <w:pStyle w:val="affffff"/>
              <w:spacing w:before="60" w:after="60" w:line="240" w:lineRule="auto"/>
              <w:ind w:firstLine="0"/>
              <w:jc w:val="center"/>
              <w:rPr>
                <w:b/>
                <w:sz w:val="22"/>
                <w:szCs w:val="22"/>
              </w:rPr>
            </w:pPr>
            <w:r w:rsidRPr="00264D5D">
              <w:rPr>
                <w:b/>
                <w:sz w:val="22"/>
                <w:szCs w:val="22"/>
              </w:rPr>
              <w:t>Дополнительная информация</w:t>
            </w:r>
          </w:p>
        </w:tc>
      </w:tr>
      <w:tr w:rsidR="00AD1F54" w:rsidRPr="00264D5D" w14:paraId="68E6CC90"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63F62FBB" w14:textId="77777777" w:rsidR="00AD1F54" w:rsidRPr="00264D5D" w:rsidRDefault="00941227">
            <w:pPr>
              <w:pStyle w:val="affffff"/>
              <w:spacing w:before="60" w:after="60" w:line="240" w:lineRule="auto"/>
              <w:ind w:firstLine="0"/>
              <w:rPr>
                <w:sz w:val="22"/>
                <w:szCs w:val="22"/>
              </w:rPr>
            </w:pPr>
            <w:r w:rsidRPr="00264D5D">
              <w:rPr>
                <w:color w:val="000000"/>
                <w:sz w:val="22"/>
                <w:szCs w:val="22"/>
              </w:rPr>
              <w:t>Код по КБК</w:t>
            </w:r>
          </w:p>
        </w:tc>
        <w:tc>
          <w:tcPr>
            <w:tcW w:w="883" w:type="pct"/>
          </w:tcPr>
          <w:p w14:paraId="76921816" w14:textId="77777777" w:rsidR="00AD1F54" w:rsidRPr="00264D5D" w:rsidRDefault="00941227">
            <w:pPr>
              <w:pStyle w:val="affffff"/>
              <w:spacing w:before="60" w:after="60" w:line="240" w:lineRule="auto"/>
              <w:ind w:firstLine="0"/>
              <w:rPr>
                <w:sz w:val="22"/>
                <w:szCs w:val="22"/>
              </w:rPr>
            </w:pPr>
            <w:r w:rsidRPr="00264D5D">
              <w:rPr>
                <w:color w:val="000000"/>
                <w:sz w:val="22"/>
                <w:szCs w:val="22"/>
              </w:rPr>
              <w:t>KBK</w:t>
            </w:r>
          </w:p>
        </w:tc>
        <w:tc>
          <w:tcPr>
            <w:tcW w:w="294" w:type="pct"/>
          </w:tcPr>
          <w:p w14:paraId="5DB2F595" w14:textId="77777777" w:rsidR="00AD1F54" w:rsidRPr="00264D5D" w:rsidRDefault="00941227">
            <w:pPr>
              <w:pStyle w:val="affffff"/>
              <w:spacing w:before="60" w:after="60" w:line="240" w:lineRule="auto"/>
              <w:ind w:firstLine="0"/>
              <w:jc w:val="center"/>
              <w:rPr>
                <w:sz w:val="22"/>
                <w:szCs w:val="22"/>
              </w:rPr>
            </w:pPr>
            <w:r w:rsidRPr="00264D5D">
              <w:rPr>
                <w:sz w:val="22"/>
                <w:szCs w:val="22"/>
              </w:rPr>
              <w:t>П</w:t>
            </w:r>
          </w:p>
        </w:tc>
        <w:tc>
          <w:tcPr>
            <w:tcW w:w="589" w:type="pct"/>
          </w:tcPr>
          <w:p w14:paraId="35843D0E"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Т(20)</w:t>
            </w:r>
          </w:p>
        </w:tc>
        <w:tc>
          <w:tcPr>
            <w:tcW w:w="294" w:type="pct"/>
          </w:tcPr>
          <w:p w14:paraId="2D271974" w14:textId="77777777" w:rsidR="00AD1F54" w:rsidRPr="00264D5D" w:rsidRDefault="00941227">
            <w:pPr>
              <w:pStyle w:val="affffff"/>
              <w:spacing w:before="60" w:after="60" w:line="240" w:lineRule="auto"/>
              <w:ind w:firstLine="0"/>
              <w:jc w:val="center"/>
              <w:rPr>
                <w:sz w:val="22"/>
                <w:szCs w:val="22"/>
              </w:rPr>
            </w:pPr>
            <w:r w:rsidRPr="00264D5D">
              <w:rPr>
                <w:color w:val="000000"/>
                <w:sz w:val="22"/>
                <w:szCs w:val="22"/>
              </w:rPr>
              <w:t>Н</w:t>
            </w:r>
          </w:p>
        </w:tc>
        <w:tc>
          <w:tcPr>
            <w:tcW w:w="2057" w:type="pct"/>
          </w:tcPr>
          <w:p w14:paraId="50084909" w14:textId="77777777" w:rsidR="00AD1F54" w:rsidRPr="00264D5D" w:rsidRDefault="003E1F19">
            <w:pPr>
              <w:pStyle w:val="affffff"/>
              <w:widowControl w:val="0"/>
              <w:tabs>
                <w:tab w:val="left" w:pos="1985"/>
                <w:tab w:val="left" w:pos="2127"/>
              </w:tabs>
              <w:spacing w:before="60" w:after="60" w:line="240" w:lineRule="auto"/>
              <w:ind w:firstLine="0"/>
              <w:rPr>
                <w:sz w:val="22"/>
                <w:szCs w:val="22"/>
              </w:rPr>
            </w:pPr>
            <w:r w:rsidRPr="00264D5D">
              <w:rPr>
                <w:color w:val="000000"/>
                <w:sz w:val="22"/>
                <w:szCs w:val="22"/>
              </w:rPr>
              <w:t>Указывается код по КБК</w:t>
            </w:r>
          </w:p>
        </w:tc>
      </w:tr>
      <w:tr w:rsidR="00AD1F54" w:rsidRPr="00264D5D" w14:paraId="4AA70273"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3" w:type="pct"/>
          </w:tcPr>
          <w:p w14:paraId="79429889" w14:textId="77777777" w:rsidR="00AD1F54" w:rsidRPr="00264D5D" w:rsidRDefault="00941227">
            <w:pPr>
              <w:pStyle w:val="affffff"/>
              <w:spacing w:before="60" w:after="60" w:line="240" w:lineRule="auto"/>
              <w:ind w:firstLine="0"/>
              <w:rPr>
                <w:sz w:val="22"/>
                <w:szCs w:val="22"/>
              </w:rPr>
            </w:pPr>
            <w:r w:rsidRPr="00264D5D">
              <w:rPr>
                <w:color w:val="000000"/>
                <w:sz w:val="22"/>
                <w:szCs w:val="22"/>
              </w:rPr>
              <w:t>Код цели плательщика</w:t>
            </w:r>
          </w:p>
        </w:tc>
        <w:tc>
          <w:tcPr>
            <w:tcW w:w="883" w:type="pct"/>
          </w:tcPr>
          <w:p w14:paraId="0AE2B303" w14:textId="77777777" w:rsidR="00AD1F54" w:rsidRPr="00264D5D" w:rsidRDefault="00941227">
            <w:pPr>
              <w:pStyle w:val="affffff"/>
              <w:spacing w:before="60" w:after="60" w:line="240" w:lineRule="auto"/>
              <w:ind w:firstLine="0"/>
              <w:rPr>
                <w:sz w:val="22"/>
                <w:szCs w:val="22"/>
              </w:rPr>
            </w:pPr>
            <w:r w:rsidRPr="00264D5D">
              <w:rPr>
                <w:color w:val="000000"/>
                <w:sz w:val="22"/>
                <w:szCs w:val="22"/>
              </w:rPr>
              <w:t>P_AnalyticCode</w:t>
            </w:r>
          </w:p>
        </w:tc>
        <w:tc>
          <w:tcPr>
            <w:tcW w:w="294" w:type="pct"/>
          </w:tcPr>
          <w:p w14:paraId="35FA3BA7" w14:textId="77777777" w:rsidR="00AD1F54" w:rsidRPr="00264D5D" w:rsidRDefault="00941227">
            <w:pPr>
              <w:pStyle w:val="affffff"/>
              <w:spacing w:before="60" w:after="60" w:line="240" w:lineRule="auto"/>
              <w:ind w:firstLine="0"/>
              <w:jc w:val="center"/>
              <w:rPr>
                <w:sz w:val="22"/>
                <w:szCs w:val="22"/>
              </w:rPr>
            </w:pPr>
            <w:r w:rsidRPr="00264D5D">
              <w:rPr>
                <w:sz w:val="22"/>
                <w:szCs w:val="22"/>
              </w:rPr>
              <w:t>П</w:t>
            </w:r>
          </w:p>
        </w:tc>
        <w:tc>
          <w:tcPr>
            <w:tcW w:w="589" w:type="pct"/>
          </w:tcPr>
          <w:p w14:paraId="5BCF4D08"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Т(1-25)</w:t>
            </w:r>
          </w:p>
        </w:tc>
        <w:tc>
          <w:tcPr>
            <w:tcW w:w="294" w:type="pct"/>
          </w:tcPr>
          <w:p w14:paraId="3ACB242B" w14:textId="77777777" w:rsidR="00AD1F54" w:rsidRPr="00264D5D" w:rsidRDefault="00941227">
            <w:pPr>
              <w:pStyle w:val="affffff"/>
              <w:spacing w:before="60" w:after="60" w:line="240" w:lineRule="auto"/>
              <w:ind w:firstLine="0"/>
              <w:jc w:val="center"/>
              <w:rPr>
                <w:sz w:val="22"/>
                <w:szCs w:val="22"/>
              </w:rPr>
            </w:pPr>
            <w:r w:rsidRPr="00264D5D">
              <w:rPr>
                <w:color w:val="000000"/>
                <w:sz w:val="22"/>
                <w:szCs w:val="22"/>
              </w:rPr>
              <w:t>Н</w:t>
            </w:r>
          </w:p>
        </w:tc>
        <w:tc>
          <w:tcPr>
            <w:tcW w:w="2057" w:type="pct"/>
          </w:tcPr>
          <w:p w14:paraId="1E374D8E" w14:textId="77777777" w:rsidR="00AD1F54" w:rsidRPr="00264D5D" w:rsidRDefault="00941227">
            <w:pPr>
              <w:pStyle w:val="affffff"/>
              <w:widowControl w:val="0"/>
              <w:tabs>
                <w:tab w:val="left" w:pos="1985"/>
                <w:tab w:val="left" w:pos="2127"/>
              </w:tabs>
              <w:spacing w:before="60" w:after="60" w:line="240" w:lineRule="auto"/>
              <w:ind w:firstLine="0"/>
              <w:rPr>
                <w:sz w:val="22"/>
                <w:szCs w:val="22"/>
              </w:rPr>
            </w:pPr>
            <w:r w:rsidRPr="00264D5D">
              <w:rPr>
                <w:color w:val="000000"/>
                <w:sz w:val="22"/>
                <w:szCs w:val="22"/>
              </w:rPr>
              <w:t>Указывается код цели</w:t>
            </w:r>
            <w:r w:rsidR="003E1F19" w:rsidRPr="00264D5D">
              <w:rPr>
                <w:color w:val="000000"/>
                <w:sz w:val="22"/>
                <w:szCs w:val="22"/>
              </w:rPr>
              <w:t xml:space="preserve"> субсидии/субвенции плательщика</w:t>
            </w:r>
          </w:p>
        </w:tc>
      </w:tr>
      <w:tr w:rsidR="00AD1F54" w:rsidRPr="00264D5D" w14:paraId="62B4D3F4"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0415C2A8" w14:textId="77777777" w:rsidR="00AD1F54" w:rsidRPr="00264D5D" w:rsidRDefault="00941227">
            <w:pPr>
              <w:pStyle w:val="affffff"/>
              <w:spacing w:before="60" w:after="60" w:line="240" w:lineRule="auto"/>
              <w:ind w:firstLine="0"/>
              <w:rPr>
                <w:sz w:val="22"/>
                <w:szCs w:val="22"/>
              </w:rPr>
            </w:pPr>
            <w:r w:rsidRPr="00264D5D">
              <w:rPr>
                <w:color w:val="000000"/>
                <w:sz w:val="22"/>
                <w:szCs w:val="22"/>
              </w:rPr>
              <w:t>Код цели получателя</w:t>
            </w:r>
          </w:p>
        </w:tc>
        <w:tc>
          <w:tcPr>
            <w:tcW w:w="883" w:type="pct"/>
          </w:tcPr>
          <w:p w14:paraId="51D96871" w14:textId="77777777" w:rsidR="00AD1F54" w:rsidRPr="00264D5D" w:rsidRDefault="00941227">
            <w:pPr>
              <w:pStyle w:val="affffff"/>
              <w:spacing w:before="60" w:after="60" w:line="240" w:lineRule="auto"/>
              <w:ind w:firstLine="0"/>
              <w:rPr>
                <w:sz w:val="22"/>
                <w:szCs w:val="22"/>
              </w:rPr>
            </w:pPr>
            <w:r w:rsidRPr="00264D5D">
              <w:rPr>
                <w:color w:val="000000"/>
                <w:sz w:val="22"/>
                <w:szCs w:val="22"/>
              </w:rPr>
              <w:t>R_AnalyticCode</w:t>
            </w:r>
          </w:p>
        </w:tc>
        <w:tc>
          <w:tcPr>
            <w:tcW w:w="294" w:type="pct"/>
          </w:tcPr>
          <w:p w14:paraId="1C88A6D9" w14:textId="77777777" w:rsidR="00AD1F54" w:rsidRPr="00264D5D" w:rsidRDefault="00941227">
            <w:pPr>
              <w:pStyle w:val="affffff"/>
              <w:spacing w:before="60" w:after="60" w:line="240" w:lineRule="auto"/>
              <w:ind w:firstLine="0"/>
              <w:jc w:val="center"/>
              <w:rPr>
                <w:sz w:val="22"/>
                <w:szCs w:val="22"/>
              </w:rPr>
            </w:pPr>
            <w:r w:rsidRPr="00264D5D">
              <w:rPr>
                <w:sz w:val="22"/>
                <w:szCs w:val="22"/>
              </w:rPr>
              <w:t>П</w:t>
            </w:r>
          </w:p>
        </w:tc>
        <w:tc>
          <w:tcPr>
            <w:tcW w:w="589" w:type="pct"/>
          </w:tcPr>
          <w:p w14:paraId="4175869C"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Т(1-25)</w:t>
            </w:r>
          </w:p>
        </w:tc>
        <w:tc>
          <w:tcPr>
            <w:tcW w:w="294" w:type="pct"/>
          </w:tcPr>
          <w:p w14:paraId="54B9D5DA" w14:textId="77777777" w:rsidR="00AD1F54" w:rsidRPr="00264D5D" w:rsidRDefault="00941227">
            <w:pPr>
              <w:pStyle w:val="affffff"/>
              <w:spacing w:before="60" w:after="60" w:line="240" w:lineRule="auto"/>
              <w:ind w:firstLine="0"/>
              <w:jc w:val="center"/>
              <w:rPr>
                <w:sz w:val="22"/>
                <w:szCs w:val="22"/>
              </w:rPr>
            </w:pPr>
            <w:r w:rsidRPr="00264D5D">
              <w:rPr>
                <w:color w:val="000000"/>
                <w:sz w:val="22"/>
                <w:szCs w:val="22"/>
              </w:rPr>
              <w:t>Н</w:t>
            </w:r>
          </w:p>
        </w:tc>
        <w:tc>
          <w:tcPr>
            <w:tcW w:w="2057" w:type="pct"/>
          </w:tcPr>
          <w:p w14:paraId="784DFB76" w14:textId="77777777" w:rsidR="00AD1F54" w:rsidRPr="00264D5D" w:rsidRDefault="00941227">
            <w:pPr>
              <w:pStyle w:val="affffff"/>
              <w:widowControl w:val="0"/>
              <w:tabs>
                <w:tab w:val="left" w:pos="1985"/>
                <w:tab w:val="left" w:pos="2127"/>
              </w:tabs>
              <w:spacing w:before="60" w:after="60" w:line="240" w:lineRule="auto"/>
              <w:ind w:firstLine="0"/>
              <w:rPr>
                <w:sz w:val="22"/>
                <w:szCs w:val="22"/>
              </w:rPr>
            </w:pPr>
            <w:r w:rsidRPr="00264D5D">
              <w:rPr>
                <w:color w:val="000000"/>
                <w:sz w:val="22"/>
                <w:szCs w:val="22"/>
              </w:rPr>
              <w:t>Указывается код цел</w:t>
            </w:r>
            <w:r w:rsidR="003E1F19" w:rsidRPr="00264D5D">
              <w:rPr>
                <w:color w:val="000000"/>
                <w:sz w:val="22"/>
                <w:szCs w:val="22"/>
              </w:rPr>
              <w:t>и субсидии/субвенции получателя</w:t>
            </w:r>
          </w:p>
        </w:tc>
      </w:tr>
      <w:tr w:rsidR="00AD1F54" w:rsidRPr="00264D5D" w14:paraId="190CA223"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3" w:type="pct"/>
          </w:tcPr>
          <w:p w14:paraId="4E341BAB" w14:textId="77777777" w:rsidR="00AD1F54" w:rsidRPr="00264D5D" w:rsidRDefault="00941227">
            <w:pPr>
              <w:pStyle w:val="affffff"/>
              <w:spacing w:before="60" w:after="60" w:line="240" w:lineRule="auto"/>
              <w:ind w:firstLine="0"/>
              <w:rPr>
                <w:sz w:val="22"/>
                <w:szCs w:val="22"/>
              </w:rPr>
            </w:pPr>
            <w:r w:rsidRPr="00264D5D">
              <w:rPr>
                <w:color w:val="000000"/>
                <w:sz w:val="22"/>
                <w:szCs w:val="22"/>
              </w:rPr>
              <w:t>Сумма</w:t>
            </w:r>
          </w:p>
        </w:tc>
        <w:tc>
          <w:tcPr>
            <w:tcW w:w="883" w:type="pct"/>
          </w:tcPr>
          <w:p w14:paraId="40165BC4" w14:textId="77777777" w:rsidR="00AD1F54" w:rsidRPr="00264D5D" w:rsidRDefault="00941227">
            <w:pPr>
              <w:pStyle w:val="affffff"/>
              <w:spacing w:before="60" w:after="60" w:line="240" w:lineRule="auto"/>
              <w:ind w:firstLine="0"/>
              <w:rPr>
                <w:sz w:val="22"/>
                <w:szCs w:val="22"/>
              </w:rPr>
            </w:pPr>
            <w:r w:rsidRPr="00264D5D">
              <w:rPr>
                <w:color w:val="000000"/>
                <w:sz w:val="22"/>
                <w:szCs w:val="22"/>
              </w:rPr>
              <w:t>SumKBK</w:t>
            </w:r>
          </w:p>
        </w:tc>
        <w:tc>
          <w:tcPr>
            <w:tcW w:w="294" w:type="pct"/>
          </w:tcPr>
          <w:p w14:paraId="34CB5694" w14:textId="77777777" w:rsidR="00AD1F54" w:rsidRPr="00264D5D" w:rsidRDefault="00941227">
            <w:pPr>
              <w:pStyle w:val="affffff"/>
              <w:spacing w:before="60" w:after="60" w:line="240" w:lineRule="auto"/>
              <w:ind w:firstLine="0"/>
              <w:jc w:val="center"/>
              <w:rPr>
                <w:sz w:val="22"/>
                <w:szCs w:val="22"/>
              </w:rPr>
            </w:pPr>
            <w:r w:rsidRPr="00264D5D">
              <w:rPr>
                <w:sz w:val="22"/>
                <w:szCs w:val="22"/>
              </w:rPr>
              <w:t>П</w:t>
            </w:r>
          </w:p>
        </w:tc>
        <w:tc>
          <w:tcPr>
            <w:tcW w:w="589" w:type="pct"/>
          </w:tcPr>
          <w:p w14:paraId="77C54693"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N(20.2)</w:t>
            </w:r>
          </w:p>
        </w:tc>
        <w:tc>
          <w:tcPr>
            <w:tcW w:w="294" w:type="pct"/>
          </w:tcPr>
          <w:p w14:paraId="66317B4C" w14:textId="77777777" w:rsidR="00AD1F54" w:rsidRPr="00264D5D" w:rsidRDefault="00941227">
            <w:pPr>
              <w:pStyle w:val="affffff"/>
              <w:spacing w:before="60" w:after="60" w:line="240" w:lineRule="auto"/>
              <w:ind w:firstLine="0"/>
              <w:jc w:val="center"/>
              <w:rPr>
                <w:sz w:val="22"/>
                <w:szCs w:val="22"/>
              </w:rPr>
            </w:pPr>
            <w:r w:rsidRPr="00264D5D">
              <w:rPr>
                <w:color w:val="000000"/>
                <w:sz w:val="22"/>
                <w:szCs w:val="22"/>
              </w:rPr>
              <w:t>О</w:t>
            </w:r>
          </w:p>
        </w:tc>
        <w:tc>
          <w:tcPr>
            <w:tcW w:w="2057" w:type="pct"/>
          </w:tcPr>
          <w:p w14:paraId="1354033B" w14:textId="77777777" w:rsidR="00AD1F54" w:rsidRPr="00264D5D" w:rsidRDefault="003E1F19">
            <w:pPr>
              <w:pStyle w:val="affffff"/>
              <w:widowControl w:val="0"/>
              <w:tabs>
                <w:tab w:val="left" w:pos="1985"/>
                <w:tab w:val="left" w:pos="2127"/>
              </w:tabs>
              <w:spacing w:before="60" w:after="60" w:line="240" w:lineRule="auto"/>
              <w:ind w:firstLine="0"/>
              <w:rPr>
                <w:sz w:val="22"/>
                <w:szCs w:val="22"/>
              </w:rPr>
            </w:pPr>
            <w:r w:rsidRPr="00264D5D">
              <w:rPr>
                <w:color w:val="000000"/>
                <w:sz w:val="22"/>
                <w:szCs w:val="22"/>
              </w:rPr>
              <w:t>Указывается cумма по КБК</w:t>
            </w:r>
          </w:p>
        </w:tc>
      </w:tr>
      <w:tr w:rsidR="00AD1F54" w:rsidRPr="00264D5D" w14:paraId="77EBB37D"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14B4D8EE" w14:textId="77777777" w:rsidR="00AD1F54" w:rsidRPr="00264D5D" w:rsidRDefault="00941227">
            <w:pPr>
              <w:pStyle w:val="affffff"/>
              <w:spacing w:before="60" w:after="60" w:line="240" w:lineRule="auto"/>
              <w:ind w:firstLine="0"/>
              <w:rPr>
                <w:sz w:val="22"/>
                <w:szCs w:val="22"/>
              </w:rPr>
            </w:pPr>
            <w:r w:rsidRPr="00264D5D">
              <w:rPr>
                <w:color w:val="000000"/>
                <w:sz w:val="22"/>
                <w:szCs w:val="22"/>
              </w:rPr>
              <w:t>Резервное поле</w:t>
            </w:r>
          </w:p>
        </w:tc>
        <w:tc>
          <w:tcPr>
            <w:tcW w:w="883" w:type="pct"/>
          </w:tcPr>
          <w:p w14:paraId="78F2EF7C"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Reserv</w:t>
            </w:r>
          </w:p>
        </w:tc>
        <w:tc>
          <w:tcPr>
            <w:tcW w:w="294" w:type="pct"/>
          </w:tcPr>
          <w:p w14:paraId="1ADA5DC3" w14:textId="77777777" w:rsidR="00AD1F54" w:rsidRPr="00264D5D" w:rsidRDefault="00941227">
            <w:pPr>
              <w:pStyle w:val="affffff"/>
              <w:spacing w:before="60" w:after="60" w:line="240" w:lineRule="auto"/>
              <w:ind w:firstLine="0"/>
              <w:jc w:val="center"/>
              <w:rPr>
                <w:sz w:val="22"/>
                <w:szCs w:val="22"/>
              </w:rPr>
            </w:pPr>
            <w:r w:rsidRPr="00264D5D">
              <w:rPr>
                <w:sz w:val="22"/>
                <w:szCs w:val="22"/>
              </w:rPr>
              <w:t>П</w:t>
            </w:r>
          </w:p>
        </w:tc>
        <w:tc>
          <w:tcPr>
            <w:tcW w:w="589" w:type="pct"/>
          </w:tcPr>
          <w:p w14:paraId="464BC31A" w14:textId="77777777" w:rsidR="00AD1F54" w:rsidRPr="00264D5D" w:rsidRDefault="00941227">
            <w:pPr>
              <w:pStyle w:val="affffff"/>
              <w:spacing w:before="60" w:after="60" w:line="240" w:lineRule="auto"/>
              <w:ind w:firstLine="0"/>
              <w:rPr>
                <w:sz w:val="22"/>
                <w:szCs w:val="22"/>
                <w:lang w:val="en-US"/>
              </w:rPr>
            </w:pPr>
            <w:r w:rsidRPr="00264D5D">
              <w:rPr>
                <w:color w:val="000000"/>
                <w:sz w:val="22"/>
                <w:szCs w:val="22"/>
              </w:rPr>
              <w:t>Т(1-40)</w:t>
            </w:r>
          </w:p>
        </w:tc>
        <w:tc>
          <w:tcPr>
            <w:tcW w:w="294" w:type="pct"/>
          </w:tcPr>
          <w:p w14:paraId="63889E4D" w14:textId="77777777" w:rsidR="00AD1F54" w:rsidRPr="00264D5D" w:rsidRDefault="00941227">
            <w:pPr>
              <w:pStyle w:val="affffff"/>
              <w:spacing w:before="60" w:after="60" w:line="240" w:lineRule="auto"/>
              <w:ind w:firstLine="0"/>
              <w:jc w:val="center"/>
              <w:rPr>
                <w:sz w:val="22"/>
                <w:szCs w:val="22"/>
              </w:rPr>
            </w:pPr>
            <w:r w:rsidRPr="00264D5D">
              <w:rPr>
                <w:color w:val="000000"/>
                <w:sz w:val="22"/>
                <w:szCs w:val="22"/>
              </w:rPr>
              <w:t>Н</w:t>
            </w:r>
          </w:p>
        </w:tc>
        <w:tc>
          <w:tcPr>
            <w:tcW w:w="2057" w:type="pct"/>
          </w:tcPr>
          <w:p w14:paraId="0B2DD25B" w14:textId="77777777" w:rsidR="00AD1F54" w:rsidRPr="00264D5D" w:rsidRDefault="003E1F19">
            <w:pPr>
              <w:pStyle w:val="affffff"/>
              <w:spacing w:before="60" w:after="60" w:line="240" w:lineRule="auto"/>
              <w:ind w:firstLine="0"/>
              <w:rPr>
                <w:sz w:val="22"/>
                <w:szCs w:val="22"/>
              </w:rPr>
            </w:pPr>
            <w:r w:rsidRPr="00264D5D">
              <w:rPr>
                <w:color w:val="000000"/>
                <w:sz w:val="22"/>
                <w:szCs w:val="22"/>
              </w:rPr>
              <w:t xml:space="preserve"> Резервное поле</w:t>
            </w:r>
          </w:p>
        </w:tc>
      </w:tr>
    </w:tbl>
    <w:p w14:paraId="2851B8B9" w14:textId="77777777" w:rsidR="00AD1F54" w:rsidRPr="00264D5D" w:rsidRDefault="00941227">
      <w:pPr>
        <w:pStyle w:val="31"/>
      </w:pPr>
      <w:bookmarkStart w:id="3269" w:name="_Toc84802456"/>
      <w:bookmarkStart w:id="3270" w:name="_Toc219309798"/>
      <w:r w:rsidRPr="00264D5D">
        <w:t>Пример XML</w:t>
      </w:r>
      <w:bookmarkEnd w:id="3269"/>
      <w:bookmarkEnd w:id="3270"/>
    </w:p>
    <w:p w14:paraId="622863D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&lt;?xml version="1.0" encoding="UTF-8"?&gt;</w:t>
      </w:r>
    </w:p>
    <w:p w14:paraId="428B897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&lt;self:PaymOrder_PPP metaType="formular" Version="1.0" xsi:schemaLocation="http://www.roskazna.ru/eb/domain/PaymOrder_PPP/formular formulars.xsd" xmlns:n1="http://www.altova.com/samplexml/other-namespace" xmlns:self="http://www.roskazna.ru/eb/domain/PaymOrder_PPP/formular" xmlns:ds="http://www.w3.org/2000/09/xmldsig#" xmlns:xsi="http://www.w3.org/2001/XMLSchema-instance"&gt;</w:t>
      </w:r>
    </w:p>
    <w:p w14:paraId="7E24BFC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&lt;BudgetLevel code="2" value="бюджет субъекта РФ"&gt;text&lt;/BudgetLevel&gt;</w:t>
      </w:r>
    </w:p>
    <w:p w14:paraId="62DE9F5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ab/>
        <w:t>&lt;DatePPP&gt;2023-11-01&lt;/DatePPP&gt;</w:t>
      </w:r>
    </w:p>
    <w:p w14:paraId="1194C41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&lt;NumDoc&gt;2&lt;/NumDoc&gt;</w:t>
      </w:r>
    </w:p>
    <w:p w14:paraId="1332C81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&lt;SumTotal&gt;10000.00&lt;/SumTotal&gt;</w:t>
      </w:r>
    </w:p>
    <w:p w14:paraId="1E332D9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&lt;GUID_PPP&gt;c11184bd-11bb-4a27-a64f-1882a2354ae3&lt;/GUID_PPP&gt;</w:t>
      </w:r>
    </w:p>
    <w:p w14:paraId="2C68D0C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lang w:val="ru-RU"/>
        </w:rPr>
        <w:t>&lt;</w:t>
      </w:r>
      <w:r w:rsidRPr="00264D5D">
        <w:rPr>
          <w:rFonts w:cs="Courier New"/>
          <w:sz w:val="20"/>
        </w:rPr>
        <w:t>SGN</w:t>
      </w:r>
      <w:r w:rsidRPr="00264D5D">
        <w:rPr>
          <w:rFonts w:cs="Courier New"/>
          <w:sz w:val="20"/>
          <w:lang w:val="ru-RU"/>
        </w:rPr>
        <w:t>&gt;</w:t>
      </w:r>
    </w:p>
    <w:p w14:paraId="4C1E0A6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Pst</w:t>
      </w:r>
      <w:r w:rsidRPr="00264D5D">
        <w:rPr>
          <w:rFonts w:cs="Courier New"/>
          <w:sz w:val="20"/>
          <w:lang w:val="ru-RU"/>
        </w:rPr>
        <w:t>_</w:t>
      </w:r>
      <w:r w:rsidRPr="00264D5D">
        <w:rPr>
          <w:rFonts w:cs="Courier New"/>
          <w:sz w:val="20"/>
        </w:rPr>
        <w:t>Hr</w:t>
      </w:r>
      <w:r w:rsidRPr="00264D5D">
        <w:rPr>
          <w:rFonts w:cs="Courier New"/>
          <w:sz w:val="20"/>
          <w:lang w:val="ru-RU"/>
        </w:rPr>
        <w:t>&gt;Руководитель&lt;/</w:t>
      </w:r>
      <w:r w:rsidRPr="00264D5D">
        <w:rPr>
          <w:rFonts w:cs="Courier New"/>
          <w:sz w:val="20"/>
        </w:rPr>
        <w:t>Pst</w:t>
      </w:r>
      <w:r w:rsidRPr="00264D5D">
        <w:rPr>
          <w:rFonts w:cs="Courier New"/>
          <w:sz w:val="20"/>
          <w:lang w:val="ru-RU"/>
        </w:rPr>
        <w:t>_</w:t>
      </w:r>
      <w:r w:rsidRPr="00264D5D">
        <w:rPr>
          <w:rFonts w:cs="Courier New"/>
          <w:sz w:val="20"/>
        </w:rPr>
        <w:t>Hr</w:t>
      </w:r>
      <w:r w:rsidRPr="00264D5D">
        <w:rPr>
          <w:rFonts w:cs="Courier New"/>
          <w:sz w:val="20"/>
          <w:lang w:val="ru-RU"/>
        </w:rPr>
        <w:t>&gt;</w:t>
      </w:r>
    </w:p>
    <w:p w14:paraId="37810BE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FIO</w:t>
      </w:r>
      <w:r w:rsidRPr="00264D5D">
        <w:rPr>
          <w:rFonts w:cs="Courier New"/>
          <w:sz w:val="20"/>
          <w:lang w:val="ru-RU"/>
        </w:rPr>
        <w:t>_</w:t>
      </w:r>
      <w:r w:rsidRPr="00264D5D">
        <w:rPr>
          <w:rFonts w:cs="Courier New"/>
          <w:sz w:val="20"/>
        </w:rPr>
        <w:t>Hr</w:t>
      </w:r>
      <w:r w:rsidRPr="00264D5D">
        <w:rPr>
          <w:rFonts w:cs="Courier New"/>
          <w:sz w:val="20"/>
          <w:lang w:val="ru-RU"/>
        </w:rPr>
        <w:t>&gt;Иванов И.И&lt;/</w:t>
      </w:r>
      <w:r w:rsidRPr="00264D5D">
        <w:rPr>
          <w:rFonts w:cs="Courier New"/>
          <w:sz w:val="20"/>
        </w:rPr>
        <w:t>FIO</w:t>
      </w:r>
      <w:r w:rsidRPr="00264D5D">
        <w:rPr>
          <w:rFonts w:cs="Courier New"/>
          <w:sz w:val="20"/>
          <w:lang w:val="ru-RU"/>
        </w:rPr>
        <w:t>_</w:t>
      </w:r>
      <w:r w:rsidRPr="00264D5D">
        <w:rPr>
          <w:rFonts w:cs="Courier New"/>
          <w:sz w:val="20"/>
        </w:rPr>
        <w:t>Hr</w:t>
      </w:r>
      <w:r w:rsidRPr="00264D5D">
        <w:rPr>
          <w:rFonts w:cs="Courier New"/>
          <w:sz w:val="20"/>
          <w:lang w:val="ru-RU"/>
        </w:rPr>
        <w:t>&gt;</w:t>
      </w:r>
    </w:p>
    <w:p w14:paraId="6CB2362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Pst</w:t>
      </w:r>
      <w:r w:rsidRPr="00264D5D">
        <w:rPr>
          <w:rFonts w:cs="Courier New"/>
          <w:sz w:val="20"/>
          <w:lang w:val="ru-RU"/>
        </w:rPr>
        <w:t>_</w:t>
      </w:r>
      <w:r w:rsidRPr="00264D5D">
        <w:rPr>
          <w:rFonts w:cs="Courier New"/>
          <w:sz w:val="20"/>
        </w:rPr>
        <w:t>Acc</w:t>
      </w:r>
      <w:r w:rsidRPr="00264D5D">
        <w:rPr>
          <w:rFonts w:cs="Courier New"/>
          <w:sz w:val="20"/>
          <w:lang w:val="ru-RU"/>
        </w:rPr>
        <w:t>&gt;Главный бухгалтер&lt;/</w:t>
      </w:r>
      <w:r w:rsidRPr="00264D5D">
        <w:rPr>
          <w:rFonts w:cs="Courier New"/>
          <w:sz w:val="20"/>
        </w:rPr>
        <w:t>Pst</w:t>
      </w:r>
      <w:r w:rsidRPr="00264D5D">
        <w:rPr>
          <w:rFonts w:cs="Courier New"/>
          <w:sz w:val="20"/>
          <w:lang w:val="ru-RU"/>
        </w:rPr>
        <w:t>_</w:t>
      </w:r>
      <w:r w:rsidRPr="00264D5D">
        <w:rPr>
          <w:rFonts w:cs="Courier New"/>
          <w:sz w:val="20"/>
        </w:rPr>
        <w:t>Acc</w:t>
      </w:r>
      <w:r w:rsidRPr="00264D5D">
        <w:rPr>
          <w:rFonts w:cs="Courier New"/>
          <w:sz w:val="20"/>
          <w:lang w:val="ru-RU"/>
        </w:rPr>
        <w:t>&gt;</w:t>
      </w:r>
    </w:p>
    <w:p w14:paraId="0BD4F1A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FIO</w:t>
      </w:r>
      <w:r w:rsidRPr="00264D5D">
        <w:rPr>
          <w:rFonts w:cs="Courier New"/>
          <w:sz w:val="20"/>
          <w:lang w:val="ru-RU"/>
        </w:rPr>
        <w:t>_</w:t>
      </w:r>
      <w:r w:rsidRPr="00264D5D">
        <w:rPr>
          <w:rFonts w:cs="Courier New"/>
          <w:sz w:val="20"/>
        </w:rPr>
        <w:t>Acc</w:t>
      </w:r>
      <w:r w:rsidRPr="00264D5D">
        <w:rPr>
          <w:rFonts w:cs="Courier New"/>
          <w:sz w:val="20"/>
          <w:lang w:val="ru-RU"/>
        </w:rPr>
        <w:t>&gt;Петров П.П.&lt;/</w:t>
      </w:r>
      <w:r w:rsidRPr="00264D5D">
        <w:rPr>
          <w:rFonts w:cs="Courier New"/>
          <w:sz w:val="20"/>
        </w:rPr>
        <w:t>FIO</w:t>
      </w:r>
      <w:r w:rsidRPr="00264D5D">
        <w:rPr>
          <w:rFonts w:cs="Courier New"/>
          <w:sz w:val="20"/>
          <w:lang w:val="ru-RU"/>
        </w:rPr>
        <w:t>_</w:t>
      </w:r>
      <w:r w:rsidRPr="00264D5D">
        <w:rPr>
          <w:rFonts w:cs="Courier New"/>
          <w:sz w:val="20"/>
        </w:rPr>
        <w:t>Acc</w:t>
      </w:r>
      <w:r w:rsidRPr="00264D5D">
        <w:rPr>
          <w:rFonts w:cs="Courier New"/>
          <w:sz w:val="20"/>
          <w:lang w:val="ru-RU"/>
        </w:rPr>
        <w:t>&gt;</w:t>
      </w:r>
    </w:p>
    <w:p w14:paraId="0346777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rPr>
        <w:t>&lt;SGN_Dt&gt;2023-11-01&lt;/SGN_Dt&gt;</w:t>
      </w:r>
    </w:p>
    <w:p w14:paraId="41610E9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&lt;/SGN&gt;</w:t>
      </w:r>
    </w:p>
    <w:p w14:paraId="437A210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&lt;Data_PPP&gt;</w:t>
      </w:r>
    </w:p>
    <w:p w14:paraId="3F512C4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&lt;Data_PPP_ITEM&gt;</w:t>
      </w:r>
    </w:p>
    <w:p w14:paraId="281BB45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&lt;AccDoc_DocNum&gt;12&lt;/AccDoc_DocNum&gt;</w:t>
      </w:r>
    </w:p>
    <w:p w14:paraId="49E2820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&lt;AccDoc_DocDate&gt;2023-11-01&lt;/AccDoc_DocDate&gt;</w:t>
      </w:r>
    </w:p>
    <w:p w14:paraId="11A38CF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&lt;BasicRequisites_PaySum&gt;5000.00&lt;/BasicRequisites_PaySum&gt;</w:t>
      </w:r>
    </w:p>
    <w:p w14:paraId="4A6345E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&lt;BasicRequisites_PayView code="0"/&gt;</w:t>
      </w:r>
    </w:p>
    <w:p w14:paraId="5D7CAF6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&lt;AddInfo_OperType&gt;01&lt;/AddInfo_OperType&gt;</w:t>
      </w:r>
    </w:p>
    <w:p w14:paraId="1361635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&lt;Payer_INN&gt;7707830030&lt;/Payer_INN&gt;</w:t>
      </w:r>
    </w:p>
    <w:p w14:paraId="1A2C326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Payer</w:t>
      </w:r>
      <w:r w:rsidRPr="00264D5D">
        <w:rPr>
          <w:rFonts w:cs="Courier New"/>
          <w:sz w:val="20"/>
          <w:lang w:val="ru-RU"/>
        </w:rPr>
        <w:t>_</w:t>
      </w:r>
      <w:r w:rsidRPr="00264D5D">
        <w:rPr>
          <w:rFonts w:cs="Courier New"/>
          <w:sz w:val="20"/>
        </w:rPr>
        <w:t>KPP</w:t>
      </w:r>
      <w:r w:rsidRPr="00264D5D">
        <w:rPr>
          <w:rFonts w:cs="Courier New"/>
          <w:sz w:val="20"/>
          <w:lang w:val="ru-RU"/>
        </w:rPr>
        <w:t>&gt;770901011&lt;/</w:t>
      </w:r>
      <w:r w:rsidRPr="00264D5D">
        <w:rPr>
          <w:rFonts w:cs="Courier New"/>
          <w:sz w:val="20"/>
        </w:rPr>
        <w:t>Payer</w:t>
      </w:r>
      <w:r w:rsidRPr="00264D5D">
        <w:rPr>
          <w:rFonts w:cs="Courier New"/>
          <w:sz w:val="20"/>
          <w:lang w:val="ru-RU"/>
        </w:rPr>
        <w:t>_</w:t>
      </w:r>
      <w:r w:rsidRPr="00264D5D">
        <w:rPr>
          <w:rFonts w:cs="Courier New"/>
          <w:sz w:val="20"/>
        </w:rPr>
        <w:t>KPP</w:t>
      </w:r>
      <w:r w:rsidRPr="00264D5D">
        <w:rPr>
          <w:rFonts w:cs="Courier New"/>
          <w:sz w:val="20"/>
          <w:lang w:val="ru-RU"/>
        </w:rPr>
        <w:t>&gt;</w:t>
      </w:r>
    </w:p>
    <w:p w14:paraId="2C959B2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Payer</w:t>
      </w:r>
      <w:r w:rsidRPr="00264D5D">
        <w:rPr>
          <w:rFonts w:cs="Courier New"/>
          <w:sz w:val="20"/>
          <w:lang w:val="ru-RU"/>
        </w:rPr>
        <w:t>_</w:t>
      </w:r>
      <w:r w:rsidRPr="00264D5D">
        <w:rPr>
          <w:rFonts w:cs="Courier New"/>
          <w:sz w:val="20"/>
        </w:rPr>
        <w:t>Name</w:t>
      </w:r>
      <w:r w:rsidRPr="00264D5D">
        <w:rPr>
          <w:rFonts w:cs="Courier New"/>
          <w:sz w:val="20"/>
          <w:lang w:val="ru-RU"/>
        </w:rPr>
        <w:t>&gt;Государственное учреждение - Севастопольское региональное отделение Фонда пенсионного и социального страхования Российской Федерации&lt;/</w:t>
      </w:r>
      <w:r w:rsidRPr="00264D5D">
        <w:rPr>
          <w:rFonts w:cs="Courier New"/>
          <w:sz w:val="20"/>
        </w:rPr>
        <w:t>Payer</w:t>
      </w:r>
      <w:r w:rsidRPr="00264D5D">
        <w:rPr>
          <w:rFonts w:cs="Courier New"/>
          <w:sz w:val="20"/>
          <w:lang w:val="ru-RU"/>
        </w:rPr>
        <w:t>_</w:t>
      </w:r>
      <w:r w:rsidRPr="00264D5D">
        <w:rPr>
          <w:rFonts w:cs="Courier New"/>
          <w:sz w:val="20"/>
        </w:rPr>
        <w:t>Name</w:t>
      </w:r>
      <w:r w:rsidRPr="00264D5D">
        <w:rPr>
          <w:rFonts w:cs="Courier New"/>
          <w:sz w:val="20"/>
          <w:lang w:val="ru-RU"/>
        </w:rPr>
        <w:t>&gt;</w:t>
      </w:r>
    </w:p>
    <w:p w14:paraId="026E71A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rPr>
        <w:t>&lt;Payer_CheckAcc&gt;03211643000000013500&lt;/Payer_CheckAcc&gt;</w:t>
      </w:r>
    </w:p>
    <w:p w14:paraId="6209D90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&lt;Payer_BIK&gt;024501901&lt;/Payer_BIK&gt;</w:t>
      </w:r>
    </w:p>
    <w:p w14:paraId="2ED7831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Payer</w:t>
      </w:r>
      <w:r w:rsidRPr="00264D5D">
        <w:rPr>
          <w:rFonts w:cs="Courier New"/>
          <w:sz w:val="20"/>
          <w:lang w:val="ru-RU"/>
        </w:rPr>
        <w:t>_</w:t>
      </w:r>
      <w:r w:rsidRPr="00264D5D">
        <w:rPr>
          <w:rFonts w:cs="Courier New"/>
          <w:sz w:val="20"/>
        </w:rPr>
        <w:t>BankName</w:t>
      </w:r>
      <w:r w:rsidRPr="00264D5D">
        <w:rPr>
          <w:rFonts w:cs="Courier New"/>
          <w:sz w:val="20"/>
          <w:lang w:val="ru-RU"/>
        </w:rPr>
        <w:t>&gt;ГРКЦ Банка России//УФК по г. Москве, г. Москва&lt;/</w:t>
      </w:r>
      <w:r w:rsidRPr="00264D5D">
        <w:rPr>
          <w:rFonts w:cs="Courier New"/>
          <w:sz w:val="20"/>
        </w:rPr>
        <w:t>Payer</w:t>
      </w:r>
      <w:r w:rsidRPr="00264D5D">
        <w:rPr>
          <w:rFonts w:cs="Courier New"/>
          <w:sz w:val="20"/>
          <w:lang w:val="ru-RU"/>
        </w:rPr>
        <w:t>_</w:t>
      </w:r>
      <w:r w:rsidRPr="00264D5D">
        <w:rPr>
          <w:rFonts w:cs="Courier New"/>
          <w:sz w:val="20"/>
        </w:rPr>
        <w:t>BankName</w:t>
      </w:r>
      <w:r w:rsidRPr="00264D5D">
        <w:rPr>
          <w:rFonts w:cs="Courier New"/>
          <w:sz w:val="20"/>
          <w:lang w:val="ru-RU"/>
        </w:rPr>
        <w:t>&gt;</w:t>
      </w:r>
    </w:p>
    <w:p w14:paraId="1CCDC86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rPr>
        <w:t>&lt;Payer_CorrAcc&gt;40102643211060000002&lt;/Payer_CorrAcc&gt;</w:t>
      </w:r>
    </w:p>
    <w:p w14:paraId="1D8DDB3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&lt;Recip_INN&gt;7706012716&lt;/Recip_INN&gt;</w:t>
      </w:r>
    </w:p>
    <w:p w14:paraId="662028A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&lt;Recip_KPP&gt;920101001&lt;/Recip_KPP&gt;</w:t>
      </w:r>
    </w:p>
    <w:p w14:paraId="7AC517D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&lt;Recip_Name&gt;АО СЕВТЕЛЕКОМ&lt;/Recip_Name&gt;</w:t>
      </w:r>
    </w:p>
    <w:p w14:paraId="7630664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&lt;Recip_CheckAcc&gt;03100643000000013500&lt;/Recip_CheckAcc&gt;</w:t>
      </w:r>
    </w:p>
    <w:p w14:paraId="39D07D3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&lt;Recip_BIK&gt;024501901&lt;/Recip_BIK&gt;</w:t>
      </w:r>
    </w:p>
    <w:p w14:paraId="0E61B06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Recip</w:t>
      </w:r>
      <w:r w:rsidRPr="00264D5D">
        <w:rPr>
          <w:rFonts w:cs="Courier New"/>
          <w:sz w:val="20"/>
          <w:lang w:val="ru-RU"/>
        </w:rPr>
        <w:t>_</w:t>
      </w:r>
      <w:r w:rsidRPr="00264D5D">
        <w:rPr>
          <w:rFonts w:cs="Courier New"/>
          <w:sz w:val="20"/>
        </w:rPr>
        <w:t>BankName</w:t>
      </w:r>
      <w:r w:rsidRPr="00264D5D">
        <w:rPr>
          <w:rFonts w:cs="Courier New"/>
          <w:sz w:val="20"/>
          <w:lang w:val="ru-RU"/>
        </w:rPr>
        <w:t>&gt;ГРКЦ Банка России//УФК по г. Москве, г. Москва&lt;/</w:t>
      </w:r>
      <w:r w:rsidRPr="00264D5D">
        <w:rPr>
          <w:rFonts w:cs="Courier New"/>
          <w:sz w:val="20"/>
        </w:rPr>
        <w:t>Recip</w:t>
      </w:r>
      <w:r w:rsidRPr="00264D5D">
        <w:rPr>
          <w:rFonts w:cs="Courier New"/>
          <w:sz w:val="20"/>
          <w:lang w:val="ru-RU"/>
        </w:rPr>
        <w:t>_</w:t>
      </w:r>
      <w:r w:rsidRPr="00264D5D">
        <w:rPr>
          <w:rFonts w:cs="Courier New"/>
          <w:sz w:val="20"/>
        </w:rPr>
        <w:t>BankName</w:t>
      </w:r>
      <w:r w:rsidRPr="00264D5D">
        <w:rPr>
          <w:rFonts w:cs="Courier New"/>
          <w:sz w:val="20"/>
          <w:lang w:val="ru-RU"/>
        </w:rPr>
        <w:t>&gt;</w:t>
      </w:r>
    </w:p>
    <w:p w14:paraId="54BA3DE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rPr>
        <w:t>&lt;Recip_CorrAcc&gt;40102643211060000002&lt;/Recip_CorrAcc&gt;</w:t>
      </w:r>
    </w:p>
    <w:p w14:paraId="07E6C8B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&lt;DepInfo_PayDate&gt;2023-11-01&lt;/DepInfo_PayDate&gt;</w:t>
      </w:r>
    </w:p>
    <w:p w14:paraId="3BAF455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&lt;AddInfo_PayOrder&gt;0&lt;/AddInfo_PayOrder&gt;</w:t>
      </w:r>
    </w:p>
    <w:p w14:paraId="4E02DB5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&lt;DepInfo_PayPurpose&gt;Перечисление по контракту № 271101 от 05.02.2020 за услуги связи. Без НДС&lt;/DepInfo_PayPurpose&gt;</w:t>
      </w:r>
    </w:p>
    <w:p w14:paraId="5EA4705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&lt;AccDoc_Guid&gt;c11184bd-11bb-4a21-a64f-1882a2354ae1&lt;/AccDoc_Guid&gt;</w:t>
      </w:r>
    </w:p>
    <w:p w14:paraId="6575AE9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P</w:t>
      </w:r>
      <w:r w:rsidRPr="00264D5D">
        <w:rPr>
          <w:rFonts w:cs="Courier New"/>
          <w:sz w:val="20"/>
          <w:lang w:val="ru-RU"/>
        </w:rPr>
        <w:t>_</w:t>
      </w:r>
      <w:r w:rsidRPr="00264D5D">
        <w:rPr>
          <w:rFonts w:cs="Courier New"/>
          <w:sz w:val="20"/>
        </w:rPr>
        <w:t>TOFK</w:t>
      </w:r>
      <w:r w:rsidRPr="00264D5D">
        <w:rPr>
          <w:rFonts w:cs="Courier New"/>
          <w:sz w:val="20"/>
          <w:lang w:val="ru-RU"/>
        </w:rPr>
        <w:t>&gt;7400&lt;/</w:t>
      </w:r>
      <w:r w:rsidRPr="00264D5D">
        <w:rPr>
          <w:rFonts w:cs="Courier New"/>
          <w:sz w:val="20"/>
        </w:rPr>
        <w:t>P</w:t>
      </w:r>
      <w:r w:rsidRPr="00264D5D">
        <w:rPr>
          <w:rFonts w:cs="Courier New"/>
          <w:sz w:val="20"/>
          <w:lang w:val="ru-RU"/>
        </w:rPr>
        <w:t>_</w:t>
      </w:r>
      <w:r w:rsidRPr="00264D5D">
        <w:rPr>
          <w:rFonts w:cs="Courier New"/>
          <w:sz w:val="20"/>
        </w:rPr>
        <w:t>TOFK</w:t>
      </w:r>
      <w:r w:rsidRPr="00264D5D">
        <w:rPr>
          <w:rFonts w:cs="Courier New"/>
          <w:sz w:val="20"/>
          <w:lang w:val="ru-RU"/>
        </w:rPr>
        <w:t>&gt;</w:t>
      </w:r>
    </w:p>
    <w:p w14:paraId="6EB8990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P</w:t>
      </w:r>
      <w:r w:rsidRPr="00264D5D">
        <w:rPr>
          <w:rFonts w:cs="Courier New"/>
          <w:sz w:val="20"/>
          <w:lang w:val="ru-RU"/>
        </w:rPr>
        <w:t>_</w:t>
      </w:r>
      <w:r w:rsidRPr="00264D5D">
        <w:rPr>
          <w:rFonts w:cs="Courier New"/>
          <w:sz w:val="20"/>
        </w:rPr>
        <w:t>NameTOFK</w:t>
      </w:r>
      <w:r w:rsidRPr="00264D5D">
        <w:rPr>
          <w:rFonts w:cs="Courier New"/>
          <w:sz w:val="20"/>
          <w:lang w:val="ru-RU"/>
        </w:rPr>
        <w:t>&gt;Управление Федерального казначейства по г. Севастополю&lt;/</w:t>
      </w:r>
      <w:r w:rsidRPr="00264D5D">
        <w:rPr>
          <w:rFonts w:cs="Courier New"/>
          <w:sz w:val="20"/>
        </w:rPr>
        <w:t>P</w:t>
      </w:r>
      <w:r w:rsidRPr="00264D5D">
        <w:rPr>
          <w:rFonts w:cs="Courier New"/>
          <w:sz w:val="20"/>
          <w:lang w:val="ru-RU"/>
        </w:rPr>
        <w:t>_</w:t>
      </w:r>
      <w:r w:rsidRPr="00264D5D">
        <w:rPr>
          <w:rFonts w:cs="Courier New"/>
          <w:sz w:val="20"/>
        </w:rPr>
        <w:t>NameTOFK</w:t>
      </w:r>
      <w:r w:rsidRPr="00264D5D">
        <w:rPr>
          <w:rFonts w:cs="Courier New"/>
          <w:sz w:val="20"/>
          <w:lang w:val="ru-RU"/>
        </w:rPr>
        <w:t>&gt;</w:t>
      </w:r>
    </w:p>
    <w:p w14:paraId="3AD43D4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rPr>
        <w:t>&lt;P_CodeSVR&gt;004С9500&lt;/P_CodeSVR&gt;</w:t>
      </w:r>
    </w:p>
    <w:p w14:paraId="7B4061A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P</w:t>
      </w:r>
      <w:r w:rsidRPr="00264D5D">
        <w:rPr>
          <w:rFonts w:cs="Courier New"/>
          <w:sz w:val="20"/>
          <w:lang w:val="ru-RU"/>
        </w:rPr>
        <w:t>_</w:t>
      </w:r>
      <w:r w:rsidRPr="00264D5D">
        <w:rPr>
          <w:rFonts w:cs="Courier New"/>
          <w:sz w:val="20"/>
        </w:rPr>
        <w:t>FullName</w:t>
      </w:r>
      <w:r w:rsidRPr="00264D5D">
        <w:rPr>
          <w:rFonts w:cs="Courier New"/>
          <w:sz w:val="20"/>
          <w:lang w:val="ru-RU"/>
        </w:rPr>
        <w:t>&gt;Государственное учреждение - Севастопольское региональное отделение Фонда пенсионного и социального страхования Российской Федерации&lt;/</w:t>
      </w:r>
      <w:r w:rsidRPr="00264D5D">
        <w:rPr>
          <w:rFonts w:cs="Courier New"/>
          <w:sz w:val="20"/>
        </w:rPr>
        <w:t>P</w:t>
      </w:r>
      <w:r w:rsidRPr="00264D5D">
        <w:rPr>
          <w:rFonts w:cs="Courier New"/>
          <w:sz w:val="20"/>
          <w:lang w:val="ru-RU"/>
        </w:rPr>
        <w:t>_</w:t>
      </w:r>
      <w:r w:rsidRPr="00264D5D">
        <w:rPr>
          <w:rFonts w:cs="Courier New"/>
          <w:sz w:val="20"/>
        </w:rPr>
        <w:t>FullName</w:t>
      </w:r>
      <w:r w:rsidRPr="00264D5D">
        <w:rPr>
          <w:rFonts w:cs="Courier New"/>
          <w:sz w:val="20"/>
          <w:lang w:val="ru-RU"/>
        </w:rPr>
        <w:t>&gt;</w:t>
      </w:r>
    </w:p>
    <w:p w14:paraId="6FEF23B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rPr>
        <w:t>&lt;P_PersonalAcc&gt;03744С95000&lt;/P_PersonalAcc&gt;</w:t>
      </w:r>
    </w:p>
    <w:p w14:paraId="443A6B5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&lt;FAHTeh&gt;</w:t>
      </w:r>
    </w:p>
    <w:p w14:paraId="1033C6B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&lt;FAHTeh_ITEM&gt;</w:t>
      </w:r>
    </w:p>
    <w:p w14:paraId="2D5A139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&lt;KBK&gt;39301020010800001221&lt;/KBK&gt;</w:t>
      </w:r>
    </w:p>
    <w:p w14:paraId="73AF91C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&lt;SumKBK&gt;5000.00&lt;/SumKBK&gt;</w:t>
      </w:r>
    </w:p>
    <w:p w14:paraId="31776E8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&lt;/FAHTeh_ITEM&gt;</w:t>
      </w:r>
    </w:p>
    <w:p w14:paraId="4DD833F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&lt;/FAHTeh&gt;</w:t>
      </w:r>
    </w:p>
    <w:p w14:paraId="7A4D8AE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&lt;/Data_PPP_ITEM&gt;</w:t>
      </w:r>
    </w:p>
    <w:p w14:paraId="0BD69E6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&lt;Data_PPP_ITEM&gt;</w:t>
      </w:r>
    </w:p>
    <w:p w14:paraId="4387B13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ab/>
      </w:r>
      <w:r w:rsidRPr="00264D5D">
        <w:rPr>
          <w:rFonts w:cs="Courier New"/>
          <w:sz w:val="20"/>
        </w:rPr>
        <w:tab/>
      </w:r>
      <w:r w:rsidRPr="00264D5D">
        <w:rPr>
          <w:rFonts w:cs="Courier New"/>
          <w:sz w:val="20"/>
        </w:rPr>
        <w:tab/>
      </w:r>
      <w:r w:rsidRPr="00264D5D">
        <w:rPr>
          <w:rFonts w:cs="Courier New"/>
          <w:sz w:val="20"/>
        </w:rPr>
        <w:tab/>
        <w:t>&lt;AccDoc_DocNum&gt;13&lt;/AccDoc_DocNum&gt;</w:t>
      </w:r>
    </w:p>
    <w:p w14:paraId="47A6054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&lt;AccDoc_DocDate&gt;2023-11-01&lt;/AccDoc_DocDate&gt;</w:t>
      </w:r>
    </w:p>
    <w:p w14:paraId="4725A2D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&lt;BasicRequisites_PaySum&gt;5000.00&lt;/BasicRequisites_PaySum&gt;</w:t>
      </w:r>
    </w:p>
    <w:p w14:paraId="09E55D2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&lt;BasicRequisites_PayView code="0"/&gt;</w:t>
      </w:r>
    </w:p>
    <w:p w14:paraId="3F33D12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&lt;AddInfo_OperType&gt;01&lt;/AddInfo_OperType&gt;</w:t>
      </w:r>
    </w:p>
    <w:p w14:paraId="41EC78A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&lt;Payer_INN&gt;7707830030&lt;/Payer_INN&gt;</w:t>
      </w:r>
    </w:p>
    <w:p w14:paraId="27DE49B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Payer</w:t>
      </w:r>
      <w:r w:rsidRPr="00264D5D">
        <w:rPr>
          <w:rFonts w:cs="Courier New"/>
          <w:sz w:val="20"/>
          <w:lang w:val="ru-RU"/>
        </w:rPr>
        <w:t>_</w:t>
      </w:r>
      <w:r w:rsidRPr="00264D5D">
        <w:rPr>
          <w:rFonts w:cs="Courier New"/>
          <w:sz w:val="20"/>
        </w:rPr>
        <w:t>KPP</w:t>
      </w:r>
      <w:r w:rsidRPr="00264D5D">
        <w:rPr>
          <w:rFonts w:cs="Courier New"/>
          <w:sz w:val="20"/>
          <w:lang w:val="ru-RU"/>
        </w:rPr>
        <w:t>&gt;920301001&lt;/</w:t>
      </w:r>
      <w:r w:rsidRPr="00264D5D">
        <w:rPr>
          <w:rFonts w:cs="Courier New"/>
          <w:sz w:val="20"/>
        </w:rPr>
        <w:t>Payer</w:t>
      </w:r>
      <w:r w:rsidRPr="00264D5D">
        <w:rPr>
          <w:rFonts w:cs="Courier New"/>
          <w:sz w:val="20"/>
          <w:lang w:val="ru-RU"/>
        </w:rPr>
        <w:t>_</w:t>
      </w:r>
      <w:r w:rsidRPr="00264D5D">
        <w:rPr>
          <w:rFonts w:cs="Courier New"/>
          <w:sz w:val="20"/>
        </w:rPr>
        <w:t>KPP</w:t>
      </w:r>
      <w:r w:rsidRPr="00264D5D">
        <w:rPr>
          <w:rFonts w:cs="Courier New"/>
          <w:sz w:val="20"/>
          <w:lang w:val="ru-RU"/>
        </w:rPr>
        <w:t>&gt;</w:t>
      </w:r>
    </w:p>
    <w:p w14:paraId="15BE7BD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Payer</w:t>
      </w:r>
      <w:r w:rsidRPr="00264D5D">
        <w:rPr>
          <w:rFonts w:cs="Courier New"/>
          <w:sz w:val="20"/>
          <w:lang w:val="ru-RU"/>
        </w:rPr>
        <w:t>_</w:t>
      </w:r>
      <w:r w:rsidRPr="00264D5D">
        <w:rPr>
          <w:rFonts w:cs="Courier New"/>
          <w:sz w:val="20"/>
        </w:rPr>
        <w:t>Name</w:t>
      </w:r>
      <w:r w:rsidRPr="00264D5D">
        <w:rPr>
          <w:rFonts w:cs="Courier New"/>
          <w:sz w:val="20"/>
          <w:lang w:val="ru-RU"/>
        </w:rPr>
        <w:t>&gt;Государственное учреждение - Севастопольское региональное отделение Фонда пенсионного и социального страхования Российской Федерации&lt;/</w:t>
      </w:r>
      <w:r w:rsidRPr="00264D5D">
        <w:rPr>
          <w:rFonts w:cs="Courier New"/>
          <w:sz w:val="20"/>
        </w:rPr>
        <w:t>Payer</w:t>
      </w:r>
      <w:r w:rsidRPr="00264D5D">
        <w:rPr>
          <w:rFonts w:cs="Courier New"/>
          <w:sz w:val="20"/>
          <w:lang w:val="ru-RU"/>
        </w:rPr>
        <w:t>_</w:t>
      </w:r>
      <w:r w:rsidRPr="00264D5D">
        <w:rPr>
          <w:rFonts w:cs="Courier New"/>
          <w:sz w:val="20"/>
        </w:rPr>
        <w:t>Name</w:t>
      </w:r>
      <w:r w:rsidRPr="00264D5D">
        <w:rPr>
          <w:rFonts w:cs="Courier New"/>
          <w:sz w:val="20"/>
          <w:lang w:val="ru-RU"/>
        </w:rPr>
        <w:t>&gt;</w:t>
      </w:r>
    </w:p>
    <w:p w14:paraId="47A103A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rPr>
        <w:t>&lt;Payer_CheckAcc&gt;40105810367110000008&lt;/Payer_CheckAcc&gt;</w:t>
      </w:r>
    </w:p>
    <w:p w14:paraId="0716DC4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&lt;Payer_BIK&gt;043510607&lt;/Payer_BIK&gt;</w:t>
      </w:r>
    </w:p>
    <w:p w14:paraId="130CDD1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&lt;Payer_BankName&gt;РНКБ БАНК (ПАО) г. Севастополь&lt;/Payer_BankName&gt;</w:t>
      </w:r>
    </w:p>
    <w:p w14:paraId="6F89B02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&lt;Payer_CorrAcc&gt;30101810335100000607&lt;/Payer_CorrAcc&gt;</w:t>
      </w:r>
    </w:p>
    <w:p w14:paraId="10371C3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&lt;Recip_INN&gt;9204569258&lt;/Recip_INN&gt;</w:t>
      </w:r>
    </w:p>
    <w:p w14:paraId="2D411F7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&lt;Recip_KPP&gt;920101001&lt;/Recip_KPP&gt;</w:t>
      </w:r>
    </w:p>
    <w:p w14:paraId="3660599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&lt;Recip_Name&gt;АО СЕВТЕЛЕКОМ&lt;/Recip_Name&gt;</w:t>
      </w:r>
    </w:p>
    <w:p w14:paraId="2959D56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&lt;Recip_CheckAcc&gt;40602810451800000008&lt;/Recip_CheckAcc&gt;</w:t>
      </w:r>
    </w:p>
    <w:p w14:paraId="765C278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&lt;Recip_BIK&gt;043510607&lt;/Recip_BIK&gt;</w:t>
      </w:r>
    </w:p>
    <w:p w14:paraId="4864795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&lt;Recip_BankName&gt;РНКБ БАНК (ПАО) г. Севастополь&lt;/Recip_BankName&gt;</w:t>
      </w:r>
    </w:p>
    <w:p w14:paraId="518F299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&lt;Recip_CorrAcc&gt;30101810335100000607&lt;/Recip_CorrAcc&gt;</w:t>
      </w:r>
    </w:p>
    <w:p w14:paraId="7C3A4CE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&lt;DepInfo_PayDate&gt;2023-11-01&lt;/DepInfo_PayDate&gt;</w:t>
      </w:r>
    </w:p>
    <w:p w14:paraId="63A63B9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&lt;AddInfo_PayOrder&gt;0&lt;/AddInfo_PayOrder&gt;</w:t>
      </w:r>
    </w:p>
    <w:p w14:paraId="7B484CA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&lt;DepInfo_PayPurpose&gt;Перечисление по контракту № 271101 от 05.02.2020 за услуги связи. Без НДС&lt;/DepInfo_PayPurpose&gt;</w:t>
      </w:r>
    </w:p>
    <w:p w14:paraId="1FB1326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&lt;AccDoc_Guid&gt;c11184bd-11bb-4a21-a64f-1882a2354ae2&lt;/AccDoc_Guid&gt;</w:t>
      </w:r>
    </w:p>
    <w:p w14:paraId="6BE778F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P</w:t>
      </w:r>
      <w:r w:rsidRPr="00264D5D">
        <w:rPr>
          <w:rFonts w:cs="Courier New"/>
          <w:sz w:val="20"/>
          <w:lang w:val="ru-RU"/>
        </w:rPr>
        <w:t>_</w:t>
      </w:r>
      <w:r w:rsidRPr="00264D5D">
        <w:rPr>
          <w:rFonts w:cs="Courier New"/>
          <w:sz w:val="20"/>
        </w:rPr>
        <w:t>TOFK</w:t>
      </w:r>
      <w:r w:rsidRPr="00264D5D">
        <w:rPr>
          <w:rFonts w:cs="Courier New"/>
          <w:sz w:val="20"/>
          <w:lang w:val="ru-RU"/>
        </w:rPr>
        <w:t>&gt;7400&lt;/</w:t>
      </w:r>
      <w:r w:rsidRPr="00264D5D">
        <w:rPr>
          <w:rFonts w:cs="Courier New"/>
          <w:sz w:val="20"/>
        </w:rPr>
        <w:t>P</w:t>
      </w:r>
      <w:r w:rsidRPr="00264D5D">
        <w:rPr>
          <w:rFonts w:cs="Courier New"/>
          <w:sz w:val="20"/>
          <w:lang w:val="ru-RU"/>
        </w:rPr>
        <w:t>_</w:t>
      </w:r>
      <w:r w:rsidRPr="00264D5D">
        <w:rPr>
          <w:rFonts w:cs="Courier New"/>
          <w:sz w:val="20"/>
        </w:rPr>
        <w:t>TOFK</w:t>
      </w:r>
      <w:r w:rsidRPr="00264D5D">
        <w:rPr>
          <w:rFonts w:cs="Courier New"/>
          <w:sz w:val="20"/>
          <w:lang w:val="ru-RU"/>
        </w:rPr>
        <w:t>&gt;</w:t>
      </w:r>
    </w:p>
    <w:p w14:paraId="2A17F2D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t>&lt;</w:t>
      </w:r>
      <w:r w:rsidRPr="00264D5D">
        <w:rPr>
          <w:rFonts w:cs="Courier New"/>
          <w:sz w:val="20"/>
        </w:rPr>
        <w:t>P</w:t>
      </w:r>
      <w:r w:rsidRPr="00264D5D">
        <w:rPr>
          <w:rFonts w:cs="Courier New"/>
          <w:sz w:val="20"/>
          <w:lang w:val="ru-RU"/>
        </w:rPr>
        <w:t>_</w:t>
      </w:r>
      <w:r w:rsidRPr="00264D5D">
        <w:rPr>
          <w:rFonts w:cs="Courier New"/>
          <w:sz w:val="20"/>
        </w:rPr>
        <w:t>NameTOFK</w:t>
      </w:r>
      <w:r w:rsidRPr="00264D5D">
        <w:rPr>
          <w:rFonts w:cs="Courier New"/>
          <w:sz w:val="20"/>
          <w:lang w:val="ru-RU"/>
        </w:rPr>
        <w:t>&gt;Управление Федерального казначейства по г. Севастополю&lt;/</w:t>
      </w:r>
      <w:r w:rsidRPr="00264D5D">
        <w:rPr>
          <w:rFonts w:cs="Courier New"/>
          <w:sz w:val="20"/>
        </w:rPr>
        <w:t>P</w:t>
      </w:r>
      <w:r w:rsidRPr="00264D5D">
        <w:rPr>
          <w:rFonts w:cs="Courier New"/>
          <w:sz w:val="20"/>
          <w:lang w:val="ru-RU"/>
        </w:rPr>
        <w:t>_</w:t>
      </w:r>
      <w:r w:rsidRPr="00264D5D">
        <w:rPr>
          <w:rFonts w:cs="Courier New"/>
          <w:sz w:val="20"/>
        </w:rPr>
        <w:t>NameTOFK</w:t>
      </w:r>
      <w:r w:rsidRPr="00264D5D">
        <w:rPr>
          <w:rFonts w:cs="Courier New"/>
          <w:sz w:val="20"/>
          <w:lang w:val="ru-RU"/>
        </w:rPr>
        <w:t>&gt;</w:t>
      </w:r>
    </w:p>
    <w:p w14:paraId="73CB358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rPr>
        <w:t>&lt;P_CodeSVR&gt;004С9500&lt;/P_CodeSVR&gt;</w:t>
      </w:r>
    </w:p>
    <w:p w14:paraId="55D19B0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P</w:t>
      </w:r>
      <w:r w:rsidRPr="00264D5D">
        <w:rPr>
          <w:rFonts w:cs="Courier New"/>
          <w:sz w:val="20"/>
          <w:lang w:val="ru-RU"/>
        </w:rPr>
        <w:t>_</w:t>
      </w:r>
      <w:r w:rsidRPr="00264D5D">
        <w:rPr>
          <w:rFonts w:cs="Courier New"/>
          <w:sz w:val="20"/>
        </w:rPr>
        <w:t>FullName</w:t>
      </w:r>
      <w:r w:rsidRPr="00264D5D">
        <w:rPr>
          <w:rFonts w:cs="Courier New"/>
          <w:sz w:val="20"/>
          <w:lang w:val="ru-RU"/>
        </w:rPr>
        <w:t>&gt;Государственное учреждение - Севастопольское региональное отделение Фонда пенсионного и социального страхования Российской Федерации&lt;/</w:t>
      </w:r>
      <w:r w:rsidRPr="00264D5D">
        <w:rPr>
          <w:rFonts w:cs="Courier New"/>
          <w:sz w:val="20"/>
        </w:rPr>
        <w:t>P</w:t>
      </w:r>
      <w:r w:rsidRPr="00264D5D">
        <w:rPr>
          <w:rFonts w:cs="Courier New"/>
          <w:sz w:val="20"/>
          <w:lang w:val="ru-RU"/>
        </w:rPr>
        <w:t>_</w:t>
      </w:r>
      <w:r w:rsidRPr="00264D5D">
        <w:rPr>
          <w:rFonts w:cs="Courier New"/>
          <w:sz w:val="20"/>
        </w:rPr>
        <w:t>FullName</w:t>
      </w:r>
      <w:r w:rsidRPr="00264D5D">
        <w:rPr>
          <w:rFonts w:cs="Courier New"/>
          <w:sz w:val="20"/>
          <w:lang w:val="ru-RU"/>
        </w:rPr>
        <w:t>&gt;</w:t>
      </w:r>
    </w:p>
    <w:p w14:paraId="6535B98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lang w:val="ru-RU"/>
        </w:rPr>
        <w:tab/>
      </w:r>
      <w:r w:rsidRPr="00264D5D">
        <w:rPr>
          <w:rFonts w:cs="Courier New"/>
          <w:sz w:val="20"/>
        </w:rPr>
        <w:t>&lt;P_PersonalAcc&gt;03744С95000&lt;/P_PersonalAcc&gt;</w:t>
      </w:r>
    </w:p>
    <w:p w14:paraId="591C5E2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&lt;FAHTeh&gt;</w:t>
      </w:r>
    </w:p>
    <w:p w14:paraId="305477F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&lt;FAHTeh_ITEM&gt;</w:t>
      </w:r>
    </w:p>
    <w:p w14:paraId="338A7C3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&lt;KBK&gt;39301020010800001221&lt;/KBK&gt;</w:t>
      </w:r>
    </w:p>
    <w:p w14:paraId="62CB589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&lt;SumKBK&gt;5000.00&lt;/SumKBK&gt;</w:t>
      </w:r>
    </w:p>
    <w:p w14:paraId="2E135FB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&lt;/FAHTeh_ITEM&gt;</w:t>
      </w:r>
    </w:p>
    <w:p w14:paraId="384AEF4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&lt;/FAHTeh&gt;</w:t>
      </w:r>
    </w:p>
    <w:p w14:paraId="2DCA58C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&lt;/Data_PPP_ITEM&gt;</w:t>
      </w:r>
    </w:p>
    <w:p w14:paraId="46BD7A6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&lt;/Data_PPP&gt;</w:t>
      </w:r>
    </w:p>
    <w:p w14:paraId="6E0E8C2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&lt;ds:Signature Id="ID_1"&gt;</w:t>
      </w:r>
    </w:p>
    <w:p w14:paraId="3F2384D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&lt;ds:SignedInfo Id="ID_2"&gt;</w:t>
      </w:r>
    </w:p>
    <w:p w14:paraId="50AD044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&lt;ds:CanonicalizationMethod Algorithm="http://www.altova.com"&gt;text&lt;/ds:CanonicalizationMethod&gt;</w:t>
      </w:r>
    </w:p>
    <w:p w14:paraId="1888EFA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&lt;ds:SignatureMethod Algorithm="http://www.altova.com"&gt;</w:t>
      </w:r>
    </w:p>
    <w:p w14:paraId="585EC2C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&lt;ds:HMACOutputLength&gt;0&lt;/ds:HMACOutputLength&gt;</w:t>
      </w:r>
    </w:p>
    <w:p w14:paraId="4663B98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&lt;/ds:SignatureMethod&gt;</w:t>
      </w:r>
    </w:p>
    <w:p w14:paraId="7AD0D9A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&lt;ds:Reference Type="http://www.altova.com" Id="ID_3" URI="http://www.altova.com"&gt;</w:t>
      </w:r>
    </w:p>
    <w:p w14:paraId="393A368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&lt;ds:Transforms&gt;</w:t>
      </w:r>
    </w:p>
    <w:p w14:paraId="0949C91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&lt;ds:Transform Algorithm="http://www.altova.com"&gt;</w:t>
      </w:r>
    </w:p>
    <w:p w14:paraId="6EB4ED4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&lt;n1:auto-generated_for_wildcard/&gt;</w:t>
      </w:r>
    </w:p>
    <w:p w14:paraId="2DFF4F7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&lt;/ds:Transform&gt;</w:t>
      </w:r>
    </w:p>
    <w:p w14:paraId="3697D17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&lt;/ds:Transforms&gt;</w:t>
      </w:r>
    </w:p>
    <w:p w14:paraId="794B57C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 xml:space="preserve">&lt;ds:DigestMethod </w:t>
      </w:r>
      <w:r w:rsidRPr="00264D5D">
        <w:rPr>
          <w:rFonts w:cs="Courier New"/>
          <w:sz w:val="20"/>
        </w:rPr>
        <w:lastRenderedPageBreak/>
        <w:t>Algorithm="http://www.altova.com"&gt;text&lt;/ds:DigestMethod&gt;</w:t>
      </w:r>
    </w:p>
    <w:p w14:paraId="5A74860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&lt;ds:DigestValue&gt;UjBsR09EbGhjZ0dTQUxNQUFBUUNBRU1tQ1p0dU1GUXhEUzhi&lt;/ds:DigestValue&gt;</w:t>
      </w:r>
    </w:p>
    <w:p w14:paraId="43468EB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&lt;/ds:Reference&gt;</w:t>
      </w:r>
    </w:p>
    <w:p w14:paraId="04DCCF1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&lt;/ds:SignedInfo&gt;</w:t>
      </w:r>
    </w:p>
    <w:p w14:paraId="2601F82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&lt;ds:SignatureValue Id="ID_4"&gt;UjBsR09EbGhjZ0dTQUxNQUFBUUNBRU1tQ1p0dU1GUXhEUzhi&lt;/ds:SignatureValue&gt;</w:t>
      </w:r>
    </w:p>
    <w:p w14:paraId="3498E21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&lt;ds:KeyInfo Id="ID_5"&gt;</w:t>
      </w:r>
    </w:p>
    <w:p w14:paraId="6826F0A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&lt;ds:KeyName&gt;String&lt;/ds:KeyName&gt;</w:t>
      </w:r>
    </w:p>
    <w:p w14:paraId="38EB6ED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&lt;/ds:KeyInfo&gt;</w:t>
      </w:r>
    </w:p>
    <w:p w14:paraId="3B081A1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&lt;ds:Object MimeType="String" Encoding="http://www.altova.com" Id="ID_6"&gt;</w:t>
      </w:r>
    </w:p>
    <w:p w14:paraId="40DD414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&lt;auto-generated_for_wildcard/&gt;</w:t>
      </w:r>
    </w:p>
    <w:p w14:paraId="031E8D6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&lt;/ds:Object&gt;</w:t>
      </w:r>
    </w:p>
    <w:p w14:paraId="4624446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&lt;/ds:Signature&gt;</w:t>
      </w:r>
    </w:p>
    <w:p w14:paraId="7860C09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&lt;/self:PaymOrder_PPP&gt;</w:t>
      </w:r>
    </w:p>
    <w:p w14:paraId="32C85E68" w14:textId="77777777" w:rsidR="00AD1F54" w:rsidRPr="00264D5D" w:rsidRDefault="00941227">
      <w:pPr>
        <w:pStyle w:val="22"/>
        <w:rPr>
          <w:rFonts w:cs="Times New Roman"/>
          <w:lang w:val="ru-RU"/>
        </w:rPr>
      </w:pPr>
      <w:bookmarkStart w:id="3271" w:name="_Toc84802486"/>
      <w:bookmarkStart w:id="3272" w:name="_Toc18509401"/>
      <w:bookmarkStart w:id="3273" w:name="_Ref115461846"/>
      <w:bookmarkStart w:id="3274" w:name="_Toc219309799"/>
      <w:r w:rsidRPr="00264D5D">
        <w:rPr>
          <w:rFonts w:cs="Times New Roman"/>
          <w:lang w:val="ru-RU"/>
        </w:rPr>
        <w:t>Описание документа «</w:t>
      </w:r>
      <w:r w:rsidRPr="00264D5D">
        <w:rPr>
          <w:lang w:val="ru-RU"/>
        </w:rPr>
        <w:t>Сведения об осуществлении операций со средствами во временном распоряжении</w:t>
      </w:r>
      <w:r w:rsidRPr="00264D5D">
        <w:rPr>
          <w:rFonts w:cs="Times New Roman"/>
          <w:lang w:val="ru-RU"/>
        </w:rPr>
        <w:t>»</w:t>
      </w:r>
      <w:bookmarkEnd w:id="3271"/>
      <w:bookmarkEnd w:id="3272"/>
      <w:bookmarkEnd w:id="3273"/>
      <w:bookmarkEnd w:id="3274"/>
    </w:p>
    <w:p w14:paraId="4BDA8CA1" w14:textId="77777777" w:rsidR="00065F49" w:rsidRPr="00264D5D" w:rsidRDefault="00065F49" w:rsidP="00065F49">
      <w:pPr>
        <w:pStyle w:val="31"/>
        <w:numPr>
          <w:ilvl w:val="2"/>
          <w:numId w:val="85"/>
        </w:numPr>
      </w:pPr>
      <w:bookmarkStart w:id="3275" w:name="_Toc219309800"/>
      <w:r w:rsidRPr="00264D5D">
        <w:t>Назначение и маршрут документа</w:t>
      </w:r>
      <w:bookmarkEnd w:id="3275"/>
    </w:p>
    <w:p w14:paraId="1A51D5F5" w14:textId="77777777" w:rsidR="00AD1F54" w:rsidRPr="00264D5D" w:rsidRDefault="00941227">
      <w:pPr>
        <w:pStyle w:val="GOSTNormal"/>
      </w:pPr>
      <w:r w:rsidRPr="00264D5D">
        <w:t>Документ «Сведения об осуществлении операций со средствами во временном распоряжении» предназначен для осуществления санкционирования ТОФК расходов получателя средств федерального бюджета за счет средств во временном распоряжении.</w:t>
      </w:r>
    </w:p>
    <w:p w14:paraId="5089C6D5" w14:textId="4C3F8742" w:rsidR="00AD1F54" w:rsidRPr="00264D5D" w:rsidRDefault="00941227">
      <w:pPr>
        <w:pStyle w:val="GOSTNameTable"/>
        <w:numPr>
          <w:ilvl w:val="0"/>
          <w:numId w:val="2"/>
        </w:numPr>
        <w:ind w:left="425" w:hanging="357"/>
        <w:jc w:val="both"/>
      </w:pPr>
      <w:r w:rsidRPr="00264D5D">
        <w:fldChar w:fldCharType="begin"/>
      </w:r>
      <w:r w:rsidRPr="00264D5D">
        <w:instrText>SEQ Таблица \* ARABIC</w:instrText>
      </w:r>
      <w:r w:rsidRPr="00264D5D">
        <w:fldChar w:fldCharType="separate"/>
      </w:r>
      <w:bookmarkStart w:id="3276" w:name="_Toc18509673"/>
      <w:bookmarkStart w:id="3277" w:name="_Toc219309347"/>
      <w:r w:rsidR="008D797C">
        <w:rPr>
          <w:noProof/>
        </w:rPr>
        <w:t>317</w:t>
      </w:r>
      <w:r w:rsidRPr="00264D5D">
        <w:fldChar w:fldCharType="end"/>
      </w:r>
      <w:r w:rsidRPr="00264D5D">
        <w:rPr>
          <w:rFonts w:eastAsia="Calibri"/>
        </w:rPr>
        <w:t xml:space="preserve"> – </w:t>
      </w:r>
      <w:r w:rsidRPr="00264D5D">
        <w:t>Маршрут документа «</w:t>
      </w:r>
      <w:r w:rsidRPr="00264D5D">
        <w:rPr>
          <w:rStyle w:val="GOSTNormal0"/>
          <w:szCs w:val="24"/>
        </w:rPr>
        <w:t>Сведения об осуществлении операций со средствами во временном распоряжении</w:t>
      </w:r>
      <w:r w:rsidRPr="00264D5D">
        <w:t>»</w:t>
      </w:r>
      <w:bookmarkEnd w:id="3276"/>
      <w:bookmarkEnd w:id="3277"/>
    </w:p>
    <w:tbl>
      <w:tblPr>
        <w:tblStyle w:val="GOSTTable"/>
        <w:tblW w:w="9632" w:type="dxa"/>
        <w:tblLook w:val="01E0" w:firstRow="1" w:lastRow="1" w:firstColumn="1" w:lastColumn="1" w:noHBand="0" w:noVBand="0"/>
      </w:tblPr>
      <w:tblGrid>
        <w:gridCol w:w="2550"/>
        <w:gridCol w:w="2551"/>
        <w:gridCol w:w="4531"/>
      </w:tblGrid>
      <w:tr w:rsidR="00AD1F54" w:rsidRPr="00264D5D" w14:paraId="6B9DC23C"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324" w:type="pct"/>
          </w:tcPr>
          <w:p w14:paraId="509DC75F" w14:textId="77777777" w:rsidR="00AD1F54" w:rsidRPr="00264D5D" w:rsidRDefault="00941227">
            <w:pPr>
              <w:pStyle w:val="ASFKTableHead"/>
            </w:pPr>
            <w:r w:rsidRPr="00264D5D">
              <w:t>Отправитель</w:t>
            </w:r>
          </w:p>
        </w:tc>
        <w:tc>
          <w:tcPr>
            <w:tcW w:w="1324" w:type="pct"/>
          </w:tcPr>
          <w:p w14:paraId="4FF67A3A" w14:textId="77777777" w:rsidR="00AD1F54" w:rsidRPr="00264D5D" w:rsidRDefault="00941227">
            <w:pPr>
              <w:pStyle w:val="ASFKTableHead"/>
            </w:pPr>
            <w:r w:rsidRPr="00264D5D">
              <w:t>Получатель</w:t>
            </w:r>
          </w:p>
        </w:tc>
        <w:tc>
          <w:tcPr>
            <w:tcW w:w="2352" w:type="pct"/>
          </w:tcPr>
          <w:p w14:paraId="3DBBE06E" w14:textId="77777777" w:rsidR="00AD1F54" w:rsidRPr="00264D5D" w:rsidRDefault="00941227">
            <w:pPr>
              <w:pStyle w:val="ASFKTableHead"/>
            </w:pPr>
            <w:r w:rsidRPr="00264D5D">
              <w:t>Примечание</w:t>
            </w:r>
          </w:p>
        </w:tc>
      </w:tr>
      <w:tr w:rsidR="00AD1F54" w:rsidRPr="00264D5D" w14:paraId="14A6DD51" w14:textId="77777777" w:rsidTr="00AD1F54">
        <w:trPr>
          <w:cnfStyle w:val="000000100000" w:firstRow="0" w:lastRow="0" w:firstColumn="0" w:lastColumn="0" w:oddVBand="0" w:evenVBand="0" w:oddHBand="1" w:evenHBand="0" w:firstRowFirstColumn="0" w:firstRowLastColumn="0" w:lastRowFirstColumn="0" w:lastRowLastColumn="0"/>
        </w:trPr>
        <w:tc>
          <w:tcPr>
            <w:tcW w:w="1324" w:type="pct"/>
          </w:tcPr>
          <w:p w14:paraId="1E3175AE" w14:textId="77777777" w:rsidR="00AD1F54" w:rsidRPr="00264D5D" w:rsidRDefault="00941227">
            <w:pPr>
              <w:pStyle w:val="GOSTTablenorm"/>
            </w:pPr>
            <w:r w:rsidRPr="00264D5D">
              <w:rPr>
                <w:szCs w:val="22"/>
              </w:rPr>
              <w:t>ПБС (ПФХД)</w:t>
            </w:r>
          </w:p>
        </w:tc>
        <w:tc>
          <w:tcPr>
            <w:tcW w:w="1324" w:type="pct"/>
          </w:tcPr>
          <w:p w14:paraId="6A7C4DAE" w14:textId="77777777" w:rsidR="00AD1F54" w:rsidRPr="00264D5D" w:rsidRDefault="00941227">
            <w:pPr>
              <w:pStyle w:val="GOSTTablenorm"/>
            </w:pPr>
            <w:r w:rsidRPr="00264D5D">
              <w:t>ТОФК (ПУР ЭБ)</w:t>
            </w:r>
          </w:p>
        </w:tc>
        <w:tc>
          <w:tcPr>
            <w:tcW w:w="2352" w:type="pct"/>
          </w:tcPr>
          <w:p w14:paraId="3DBCF244" w14:textId="77777777" w:rsidR="00AD1F54" w:rsidRPr="00264D5D" w:rsidRDefault="00AD1F54">
            <w:pPr>
              <w:pStyle w:val="GOSTTablenorm"/>
            </w:pPr>
          </w:p>
        </w:tc>
      </w:tr>
      <w:tr w:rsidR="00AD1F54" w:rsidRPr="00264D5D" w14:paraId="012114F2" w14:textId="77777777" w:rsidTr="00AD1F54">
        <w:trPr>
          <w:cnfStyle w:val="000000010000" w:firstRow="0" w:lastRow="0" w:firstColumn="0" w:lastColumn="0" w:oddVBand="0" w:evenVBand="0" w:oddHBand="0" w:evenHBand="1" w:firstRowFirstColumn="0" w:firstRowLastColumn="0" w:lastRowFirstColumn="0" w:lastRowLastColumn="0"/>
        </w:trPr>
        <w:tc>
          <w:tcPr>
            <w:tcW w:w="1324" w:type="pct"/>
          </w:tcPr>
          <w:p w14:paraId="60853242" w14:textId="77777777" w:rsidR="00AD1F54" w:rsidRPr="00264D5D" w:rsidRDefault="00941227">
            <w:pPr>
              <w:pStyle w:val="GOSTTablenorm"/>
              <w:rPr>
                <w:szCs w:val="22"/>
              </w:rPr>
            </w:pPr>
            <w:r w:rsidRPr="00264D5D">
              <w:rPr>
                <w:szCs w:val="22"/>
              </w:rPr>
              <w:t>ПБС (ПФХД)</w:t>
            </w:r>
          </w:p>
        </w:tc>
        <w:tc>
          <w:tcPr>
            <w:tcW w:w="1324" w:type="pct"/>
          </w:tcPr>
          <w:p w14:paraId="70E5F2E7" w14:textId="77777777" w:rsidR="00AD1F54" w:rsidRPr="00264D5D" w:rsidRDefault="00941227">
            <w:pPr>
              <w:pStyle w:val="GOSTTablenorm"/>
              <w:rPr>
                <w:szCs w:val="22"/>
              </w:rPr>
            </w:pPr>
            <w:r w:rsidRPr="00264D5D">
              <w:rPr>
                <w:szCs w:val="22"/>
              </w:rPr>
              <w:t>ТОФК (ППО АСФК)</w:t>
            </w:r>
          </w:p>
        </w:tc>
        <w:tc>
          <w:tcPr>
            <w:tcW w:w="2352" w:type="pct"/>
          </w:tcPr>
          <w:p w14:paraId="40A47B75" w14:textId="77777777" w:rsidR="00AD1F54" w:rsidRPr="00264D5D" w:rsidRDefault="00AD1F54">
            <w:pPr>
              <w:pStyle w:val="GOSTTablenorm"/>
            </w:pPr>
          </w:p>
        </w:tc>
      </w:tr>
    </w:tbl>
    <w:p w14:paraId="6D2D286E" w14:textId="77777777" w:rsidR="00AD1F54" w:rsidRPr="00264D5D" w:rsidRDefault="00941227">
      <w:pPr>
        <w:pStyle w:val="31"/>
      </w:pPr>
      <w:bookmarkStart w:id="3278" w:name="_Ref536178880"/>
      <w:bookmarkStart w:id="3279" w:name="_Toc18509402"/>
      <w:bookmarkStart w:id="3280" w:name="_Toc84802487"/>
      <w:bookmarkStart w:id="3281" w:name="_Toc219309801"/>
      <w:r w:rsidRPr="00264D5D">
        <w:t>Описание комплексного типа «</w:t>
      </w:r>
      <w:r w:rsidRPr="00264D5D">
        <w:rPr>
          <w:rStyle w:val="GOSTNormal0"/>
          <w:sz w:val="26"/>
        </w:rPr>
        <w:t>tMSC_RecAndPaySVR</w:t>
      </w:r>
      <w:r w:rsidRPr="00264D5D">
        <w:t>»</w:t>
      </w:r>
      <w:bookmarkEnd w:id="3278"/>
      <w:bookmarkEnd w:id="3279"/>
      <w:bookmarkEnd w:id="3280"/>
      <w:bookmarkEnd w:id="3281"/>
    </w:p>
    <w:p w14:paraId="7874FDB8" w14:textId="4C8483E7" w:rsidR="00AD1F54" w:rsidRPr="00264D5D" w:rsidRDefault="001E5517">
      <w:pPr>
        <w:pStyle w:val="GOSTNameTable"/>
        <w:numPr>
          <w:ilvl w:val="0"/>
          <w:numId w:val="2"/>
        </w:numPr>
        <w:ind w:left="425" w:hanging="357"/>
      </w:pPr>
      <w:r w:rsidRPr="00264D5D">
        <w:rPr>
          <w:noProof/>
        </w:rPr>
        <w:fldChar w:fldCharType="begin"/>
      </w:r>
      <w:r w:rsidRPr="00264D5D">
        <w:rPr>
          <w:noProof/>
        </w:rPr>
        <w:instrText xml:space="preserve"> SEQ Таблица \* ARABIC </w:instrText>
      </w:r>
      <w:r w:rsidRPr="00264D5D">
        <w:rPr>
          <w:noProof/>
        </w:rPr>
        <w:fldChar w:fldCharType="separate"/>
      </w:r>
      <w:bookmarkStart w:id="3282" w:name="_Ref536178921"/>
      <w:bookmarkStart w:id="3283" w:name="_Toc18509674"/>
      <w:bookmarkStart w:id="3284" w:name="_Toc219309348"/>
      <w:r w:rsidR="008D797C">
        <w:rPr>
          <w:noProof/>
        </w:rPr>
        <w:t>318</w:t>
      </w:r>
      <w:bookmarkEnd w:id="3282"/>
      <w:r w:rsidRPr="00264D5D">
        <w:rPr>
          <w:noProof/>
        </w:rPr>
        <w:fldChar w:fldCharType="end"/>
      </w:r>
      <w:r w:rsidR="00941227" w:rsidRPr="00264D5D">
        <w:rPr>
          <w:rFonts w:eastAsia="Calibri"/>
        </w:rPr>
        <w:t xml:space="preserve"> – </w:t>
      </w:r>
      <w:r w:rsidR="00941227" w:rsidRPr="00264D5D">
        <w:t>Описание комплексного типа «</w:t>
      </w:r>
      <w:r w:rsidR="00941227" w:rsidRPr="00264D5D">
        <w:rPr>
          <w:rStyle w:val="GOSTNormal0"/>
          <w:szCs w:val="24"/>
          <w:lang w:val="en-US"/>
        </w:rPr>
        <w:t>tMSC</w:t>
      </w:r>
      <w:r w:rsidR="00941227" w:rsidRPr="00264D5D">
        <w:rPr>
          <w:rStyle w:val="GOSTNormal0"/>
          <w:szCs w:val="24"/>
        </w:rPr>
        <w:t>_</w:t>
      </w:r>
      <w:r w:rsidR="00941227" w:rsidRPr="00264D5D">
        <w:rPr>
          <w:rStyle w:val="GOSTNormal0"/>
          <w:szCs w:val="24"/>
          <w:lang w:val="en-US"/>
        </w:rPr>
        <w:t>RecAndPaySVR</w:t>
      </w:r>
      <w:r w:rsidR="00941227" w:rsidRPr="00264D5D">
        <w:t>»</w:t>
      </w:r>
      <w:bookmarkEnd w:id="3283"/>
      <w:bookmarkEnd w:id="3284"/>
    </w:p>
    <w:tbl>
      <w:tblPr>
        <w:tblStyle w:val="GOSTTable"/>
        <w:tblW w:w="5000" w:type="pct"/>
        <w:tblLayout w:type="fixed"/>
        <w:tblLook w:val="04A0" w:firstRow="1" w:lastRow="0" w:firstColumn="1" w:lastColumn="0" w:noHBand="0" w:noVBand="1"/>
      </w:tblPr>
      <w:tblGrid>
        <w:gridCol w:w="1703"/>
        <w:gridCol w:w="1704"/>
        <w:gridCol w:w="568"/>
        <w:gridCol w:w="1136"/>
        <w:gridCol w:w="568"/>
        <w:gridCol w:w="3971"/>
      </w:tblGrid>
      <w:tr w:rsidR="00AD1F54" w:rsidRPr="00264D5D" w14:paraId="3D84FE50"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3B3667AB" w14:textId="77777777" w:rsidR="00AD1F54" w:rsidRPr="00264D5D" w:rsidRDefault="00941227">
            <w:pPr>
              <w:pStyle w:val="ASFKTableHead"/>
            </w:pPr>
            <w:r w:rsidRPr="00264D5D">
              <w:t>Наименование элемента</w:t>
            </w:r>
          </w:p>
        </w:tc>
        <w:tc>
          <w:tcPr>
            <w:tcW w:w="1701" w:type="dxa"/>
          </w:tcPr>
          <w:p w14:paraId="3133CD49" w14:textId="77777777" w:rsidR="00AD1F54" w:rsidRPr="00264D5D" w:rsidRDefault="00941227">
            <w:pPr>
              <w:pStyle w:val="ASFKTableHead"/>
            </w:pPr>
            <w:r w:rsidRPr="00264D5D">
              <w:t>Сокращенное наименование (код) элемента</w:t>
            </w:r>
          </w:p>
        </w:tc>
        <w:tc>
          <w:tcPr>
            <w:tcW w:w="567" w:type="dxa"/>
          </w:tcPr>
          <w:p w14:paraId="2B572BE8" w14:textId="77777777" w:rsidR="00AD1F54" w:rsidRPr="00264D5D" w:rsidRDefault="00941227">
            <w:pPr>
              <w:pStyle w:val="ASFKTableHead"/>
            </w:pPr>
            <w:r w:rsidRPr="00264D5D">
              <w:t>Тип</w:t>
            </w:r>
          </w:p>
        </w:tc>
        <w:tc>
          <w:tcPr>
            <w:tcW w:w="1134" w:type="dxa"/>
          </w:tcPr>
          <w:p w14:paraId="4A3C3A93" w14:textId="77777777" w:rsidR="00AD1F54" w:rsidRPr="00264D5D" w:rsidRDefault="00941227">
            <w:pPr>
              <w:pStyle w:val="ASFKTableHead"/>
            </w:pPr>
            <w:r w:rsidRPr="00264D5D">
              <w:t>Формат элемента</w:t>
            </w:r>
          </w:p>
        </w:tc>
        <w:tc>
          <w:tcPr>
            <w:tcW w:w="567" w:type="dxa"/>
          </w:tcPr>
          <w:p w14:paraId="039FE456" w14:textId="77777777" w:rsidR="00AD1F54" w:rsidRPr="00264D5D" w:rsidRDefault="00941227">
            <w:pPr>
              <w:pStyle w:val="ASFKTableHead"/>
            </w:pPr>
            <w:r w:rsidRPr="00264D5D">
              <w:t>Обязательность</w:t>
            </w:r>
          </w:p>
        </w:tc>
        <w:tc>
          <w:tcPr>
            <w:tcW w:w="3963" w:type="dxa"/>
          </w:tcPr>
          <w:p w14:paraId="28075CEF" w14:textId="77777777" w:rsidR="00AD1F54" w:rsidRPr="00264D5D" w:rsidRDefault="00941227">
            <w:pPr>
              <w:pStyle w:val="ASFKTableHead"/>
            </w:pPr>
            <w:r w:rsidRPr="00264D5D">
              <w:t>Дополнительная информация</w:t>
            </w:r>
          </w:p>
        </w:tc>
      </w:tr>
      <w:tr w:rsidR="00AD1F54" w:rsidRPr="00264D5D" w14:paraId="20806BE3" w14:textId="77777777" w:rsidTr="00AD1F54">
        <w:trPr>
          <w:cnfStyle w:val="000000100000" w:firstRow="0" w:lastRow="0" w:firstColumn="0" w:lastColumn="0" w:oddVBand="0" w:evenVBand="0" w:oddHBand="1" w:evenHBand="0" w:firstRowFirstColumn="0" w:firstRowLastColumn="0" w:lastRowFirstColumn="0" w:lastRowLastColumn="0"/>
          <w:trHeight w:val="279"/>
        </w:trPr>
        <w:tc>
          <w:tcPr>
            <w:tcW w:w="9634" w:type="dxa"/>
            <w:gridSpan w:val="6"/>
          </w:tcPr>
          <w:p w14:paraId="321D1376" w14:textId="77777777" w:rsidR="00AD1F54" w:rsidRPr="00264D5D" w:rsidRDefault="00941227">
            <w:pPr>
              <w:pStyle w:val="GOSTTablenorm"/>
              <w:rPr>
                <w:szCs w:val="22"/>
              </w:rPr>
            </w:pPr>
            <w:r w:rsidRPr="00264D5D">
              <w:rPr>
                <w:b/>
                <w:szCs w:val="22"/>
              </w:rPr>
              <w:t>Общая информация</w:t>
            </w:r>
          </w:p>
        </w:tc>
      </w:tr>
      <w:tr w:rsidR="00AD1F54" w:rsidRPr="00264D5D" w14:paraId="17946DEA" w14:textId="77777777" w:rsidTr="00AD1F54">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79B7AB05" w14:textId="77777777" w:rsidR="00AD1F54" w:rsidRPr="00264D5D" w:rsidRDefault="00941227">
            <w:pPr>
              <w:pStyle w:val="GOSTTablenorm"/>
              <w:rPr>
                <w:szCs w:val="22"/>
              </w:rPr>
            </w:pPr>
            <w:r w:rsidRPr="00264D5D">
              <w:rPr>
                <w:szCs w:val="22"/>
              </w:rPr>
              <w:t>Дата документа</w:t>
            </w:r>
          </w:p>
        </w:tc>
        <w:tc>
          <w:tcPr>
            <w:tcW w:w="1701" w:type="dxa"/>
          </w:tcPr>
          <w:p w14:paraId="1628CA91" w14:textId="77777777" w:rsidR="00AD1F54" w:rsidRPr="00264D5D" w:rsidRDefault="00941227">
            <w:pPr>
              <w:pStyle w:val="GOSTTablenorm"/>
              <w:rPr>
                <w:rFonts w:eastAsiaTheme="minorHAnsi"/>
                <w:color w:val="000000"/>
                <w:szCs w:val="22"/>
                <w:lang w:eastAsia="en-US"/>
              </w:rPr>
            </w:pPr>
            <w:r w:rsidRPr="00264D5D">
              <w:rPr>
                <w:rFonts w:eastAsiaTheme="minorHAnsi"/>
                <w:color w:val="000000"/>
                <w:szCs w:val="22"/>
                <w:lang w:eastAsia="en-US"/>
              </w:rPr>
              <w:t>TtlPrt_DctDt</w:t>
            </w:r>
          </w:p>
        </w:tc>
        <w:tc>
          <w:tcPr>
            <w:tcW w:w="567" w:type="dxa"/>
          </w:tcPr>
          <w:p w14:paraId="35EFD7F2" w14:textId="77777777" w:rsidR="00AD1F54" w:rsidRPr="00264D5D" w:rsidRDefault="00941227">
            <w:pPr>
              <w:pStyle w:val="GOSTTablenorm"/>
              <w:rPr>
                <w:szCs w:val="22"/>
              </w:rPr>
            </w:pPr>
            <w:r w:rsidRPr="00264D5D">
              <w:rPr>
                <w:szCs w:val="22"/>
              </w:rPr>
              <w:t>П</w:t>
            </w:r>
          </w:p>
        </w:tc>
        <w:tc>
          <w:tcPr>
            <w:tcW w:w="1134" w:type="dxa"/>
          </w:tcPr>
          <w:p w14:paraId="4D3C2C64" w14:textId="77777777" w:rsidR="00AD1F54" w:rsidRPr="00264D5D" w:rsidRDefault="00941227">
            <w:pPr>
              <w:pStyle w:val="GOSTTablenorm"/>
              <w:rPr>
                <w:szCs w:val="22"/>
                <w:lang w:val="en-US"/>
              </w:rPr>
            </w:pPr>
            <w:r w:rsidRPr="00264D5D">
              <w:rPr>
                <w:szCs w:val="22"/>
                <w:lang w:val="en-US"/>
              </w:rPr>
              <w:t>Date</w:t>
            </w:r>
          </w:p>
        </w:tc>
        <w:tc>
          <w:tcPr>
            <w:tcW w:w="567" w:type="dxa"/>
          </w:tcPr>
          <w:p w14:paraId="187FCB20" w14:textId="77777777" w:rsidR="00AD1F54" w:rsidRPr="00264D5D" w:rsidRDefault="00941227">
            <w:pPr>
              <w:ind w:firstLine="19"/>
              <w:jc w:val="center"/>
              <w:rPr>
                <w:sz w:val="22"/>
                <w:szCs w:val="22"/>
              </w:rPr>
            </w:pPr>
            <w:r w:rsidRPr="00264D5D">
              <w:rPr>
                <w:sz w:val="22"/>
                <w:szCs w:val="22"/>
              </w:rPr>
              <w:t>О</w:t>
            </w:r>
          </w:p>
        </w:tc>
        <w:tc>
          <w:tcPr>
            <w:tcW w:w="3963" w:type="dxa"/>
          </w:tcPr>
          <w:p w14:paraId="79A05972" w14:textId="77777777" w:rsidR="00AD1F54" w:rsidRPr="00264D5D" w:rsidRDefault="00941227">
            <w:pPr>
              <w:pStyle w:val="GOSTTablenorm"/>
              <w:rPr>
                <w:szCs w:val="22"/>
              </w:rPr>
            </w:pPr>
            <w:r w:rsidRPr="00264D5D">
              <w:rPr>
                <w:szCs w:val="22"/>
              </w:rPr>
              <w:t>Указывается дата о</w:t>
            </w:r>
            <w:r w:rsidR="003E1F19" w:rsidRPr="00264D5D">
              <w:rPr>
                <w:szCs w:val="22"/>
              </w:rPr>
              <w:t>формления (изменения) документа</w:t>
            </w:r>
          </w:p>
        </w:tc>
      </w:tr>
      <w:tr w:rsidR="00AD1F54" w:rsidRPr="00264D5D" w14:paraId="4572B248" w14:textId="77777777" w:rsidTr="00AD1F54">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34497B75" w14:textId="77777777" w:rsidR="00AD1F54" w:rsidRPr="00264D5D" w:rsidRDefault="00941227">
            <w:pPr>
              <w:pStyle w:val="GOSTTablenorm"/>
              <w:rPr>
                <w:color w:val="000000"/>
                <w:szCs w:val="22"/>
              </w:rPr>
            </w:pPr>
            <w:r w:rsidRPr="00264D5D">
              <w:rPr>
                <w:szCs w:val="22"/>
              </w:rPr>
              <w:t>Дата предыдущих Сведений</w:t>
            </w:r>
          </w:p>
        </w:tc>
        <w:tc>
          <w:tcPr>
            <w:tcW w:w="1701" w:type="dxa"/>
          </w:tcPr>
          <w:p w14:paraId="0211FBFE" w14:textId="77777777" w:rsidR="00AD1F54" w:rsidRPr="00264D5D" w:rsidRDefault="00941227">
            <w:pPr>
              <w:pStyle w:val="GOSTTablenorm"/>
              <w:rPr>
                <w:color w:val="000000"/>
                <w:szCs w:val="22"/>
              </w:rPr>
            </w:pPr>
            <w:r w:rsidRPr="00264D5D">
              <w:rPr>
                <w:color w:val="000000"/>
                <w:szCs w:val="22"/>
              </w:rPr>
              <w:t>TtlPrt_DtPrvsInf</w:t>
            </w:r>
          </w:p>
        </w:tc>
        <w:tc>
          <w:tcPr>
            <w:tcW w:w="567" w:type="dxa"/>
          </w:tcPr>
          <w:p w14:paraId="06FCF381" w14:textId="77777777" w:rsidR="00AD1F54" w:rsidRPr="00264D5D" w:rsidRDefault="00941227">
            <w:pPr>
              <w:pStyle w:val="GOSTTablenorm"/>
              <w:rPr>
                <w:szCs w:val="22"/>
              </w:rPr>
            </w:pPr>
            <w:r w:rsidRPr="00264D5D">
              <w:rPr>
                <w:szCs w:val="22"/>
              </w:rPr>
              <w:t>П</w:t>
            </w:r>
          </w:p>
        </w:tc>
        <w:tc>
          <w:tcPr>
            <w:tcW w:w="1134" w:type="dxa"/>
          </w:tcPr>
          <w:p w14:paraId="31164022" w14:textId="77777777" w:rsidR="00AD1F54" w:rsidRPr="00264D5D" w:rsidRDefault="00941227">
            <w:pPr>
              <w:pStyle w:val="GOSTTablenorm"/>
              <w:rPr>
                <w:szCs w:val="22"/>
              </w:rPr>
            </w:pPr>
            <w:r w:rsidRPr="00264D5D">
              <w:rPr>
                <w:szCs w:val="22"/>
                <w:lang w:val="en-US"/>
              </w:rPr>
              <w:t>Date</w:t>
            </w:r>
          </w:p>
        </w:tc>
        <w:tc>
          <w:tcPr>
            <w:tcW w:w="567" w:type="dxa"/>
          </w:tcPr>
          <w:p w14:paraId="3DA71F86" w14:textId="77777777" w:rsidR="00AD1F54" w:rsidRPr="00264D5D" w:rsidRDefault="00941227">
            <w:pPr>
              <w:ind w:firstLine="19"/>
              <w:jc w:val="center"/>
              <w:rPr>
                <w:sz w:val="22"/>
                <w:szCs w:val="22"/>
              </w:rPr>
            </w:pPr>
            <w:r w:rsidRPr="00264D5D">
              <w:rPr>
                <w:sz w:val="22"/>
                <w:szCs w:val="22"/>
              </w:rPr>
              <w:t>Н</w:t>
            </w:r>
          </w:p>
        </w:tc>
        <w:tc>
          <w:tcPr>
            <w:tcW w:w="3963" w:type="dxa"/>
          </w:tcPr>
          <w:p w14:paraId="4F7137B3" w14:textId="77777777" w:rsidR="00AD1F54" w:rsidRPr="00264D5D" w:rsidRDefault="00941227">
            <w:pPr>
              <w:pStyle w:val="GOSTTablenorm"/>
              <w:rPr>
                <w:szCs w:val="22"/>
              </w:rPr>
            </w:pPr>
            <w:r w:rsidRPr="00264D5D">
              <w:rPr>
                <w:szCs w:val="22"/>
              </w:rPr>
              <w:t>Указывается дата ре</w:t>
            </w:r>
            <w:r w:rsidR="003E1F19" w:rsidRPr="00264D5D">
              <w:rPr>
                <w:szCs w:val="22"/>
              </w:rPr>
              <w:t>гистрации предыдущего документа</w:t>
            </w:r>
          </w:p>
        </w:tc>
      </w:tr>
      <w:tr w:rsidR="00AD1F54" w:rsidRPr="00264D5D" w14:paraId="77A6BEFA" w14:textId="77777777" w:rsidTr="00AD1F54">
        <w:trPr>
          <w:cnfStyle w:val="000000010000" w:firstRow="0" w:lastRow="0" w:firstColumn="0" w:lastColumn="0" w:oddVBand="0" w:evenVBand="0" w:oddHBand="0" w:evenHBand="1" w:firstRowFirstColumn="0" w:firstRowLastColumn="0" w:lastRowFirstColumn="0" w:lastRowLastColumn="0"/>
          <w:trHeight w:val="279"/>
        </w:trPr>
        <w:tc>
          <w:tcPr>
            <w:tcW w:w="9634" w:type="dxa"/>
            <w:gridSpan w:val="6"/>
          </w:tcPr>
          <w:p w14:paraId="5C2E4F58" w14:textId="77777777" w:rsidR="00AD1F54" w:rsidRPr="00264D5D" w:rsidRDefault="00941227">
            <w:pPr>
              <w:pStyle w:val="GOSTTablenorm"/>
              <w:rPr>
                <w:szCs w:val="22"/>
              </w:rPr>
            </w:pPr>
            <w:r w:rsidRPr="00264D5D">
              <w:rPr>
                <w:b/>
                <w:szCs w:val="22"/>
              </w:rPr>
              <w:t>Информация о клиенте</w:t>
            </w:r>
          </w:p>
        </w:tc>
      </w:tr>
      <w:tr w:rsidR="00AD1F54" w:rsidRPr="00264D5D" w14:paraId="768E650F" w14:textId="77777777" w:rsidTr="00AD1F54">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52F97F1F" w14:textId="77777777" w:rsidR="00AD1F54" w:rsidRPr="00264D5D" w:rsidRDefault="00941227">
            <w:pPr>
              <w:pStyle w:val="GOSTTablenorm"/>
              <w:rPr>
                <w:color w:val="000000"/>
                <w:szCs w:val="22"/>
              </w:rPr>
            </w:pPr>
            <w:r w:rsidRPr="00264D5D">
              <w:rPr>
                <w:szCs w:val="22"/>
              </w:rPr>
              <w:t>ПБС</w:t>
            </w:r>
          </w:p>
        </w:tc>
        <w:tc>
          <w:tcPr>
            <w:tcW w:w="1701" w:type="dxa"/>
          </w:tcPr>
          <w:p w14:paraId="488E9D4E" w14:textId="77777777" w:rsidR="00AD1F54" w:rsidRPr="00264D5D" w:rsidRDefault="00941227">
            <w:pPr>
              <w:pStyle w:val="GOSTTablenorm"/>
              <w:rPr>
                <w:color w:val="000000"/>
                <w:szCs w:val="22"/>
              </w:rPr>
            </w:pPr>
            <w:r w:rsidRPr="00264D5D">
              <w:rPr>
                <w:color w:val="000000"/>
                <w:szCs w:val="22"/>
              </w:rPr>
              <w:t>TtlPrt_PBS</w:t>
            </w:r>
          </w:p>
        </w:tc>
        <w:tc>
          <w:tcPr>
            <w:tcW w:w="567" w:type="dxa"/>
          </w:tcPr>
          <w:p w14:paraId="22359965" w14:textId="77777777" w:rsidR="00AD1F54" w:rsidRPr="00264D5D" w:rsidRDefault="00941227">
            <w:pPr>
              <w:pStyle w:val="GOSTTablenorm"/>
              <w:rPr>
                <w:szCs w:val="22"/>
              </w:rPr>
            </w:pPr>
            <w:r w:rsidRPr="00264D5D">
              <w:rPr>
                <w:szCs w:val="22"/>
              </w:rPr>
              <w:t>С</w:t>
            </w:r>
          </w:p>
        </w:tc>
        <w:tc>
          <w:tcPr>
            <w:tcW w:w="1134" w:type="dxa"/>
          </w:tcPr>
          <w:p w14:paraId="7D4A8C48" w14:textId="77777777" w:rsidR="00AD1F54" w:rsidRPr="00264D5D" w:rsidRDefault="00941227">
            <w:pPr>
              <w:pStyle w:val="GOSTTablenorm"/>
              <w:rPr>
                <w:szCs w:val="22"/>
              </w:rPr>
            </w:pPr>
            <w:r w:rsidRPr="00264D5D">
              <w:rPr>
                <w:szCs w:val="22"/>
              </w:rPr>
              <w:t>tMSC_PBS_UBP1</w:t>
            </w:r>
          </w:p>
        </w:tc>
        <w:tc>
          <w:tcPr>
            <w:tcW w:w="567" w:type="dxa"/>
          </w:tcPr>
          <w:p w14:paraId="2FF4A922" w14:textId="77777777" w:rsidR="00AD1F54" w:rsidRPr="00264D5D" w:rsidRDefault="00941227">
            <w:pPr>
              <w:ind w:firstLine="19"/>
              <w:jc w:val="center"/>
              <w:rPr>
                <w:sz w:val="22"/>
                <w:szCs w:val="22"/>
              </w:rPr>
            </w:pPr>
            <w:r w:rsidRPr="00264D5D">
              <w:rPr>
                <w:sz w:val="22"/>
                <w:szCs w:val="22"/>
              </w:rPr>
              <w:t>О</w:t>
            </w:r>
          </w:p>
        </w:tc>
        <w:tc>
          <w:tcPr>
            <w:tcW w:w="3963" w:type="dxa"/>
          </w:tcPr>
          <w:p w14:paraId="5809444F" w14:textId="4DA5EB4A" w:rsidR="00AD1F54" w:rsidRPr="00264D5D" w:rsidRDefault="00941227">
            <w:pPr>
              <w:pStyle w:val="GOSTTablenorm"/>
              <w:rPr>
                <w:szCs w:val="22"/>
              </w:rPr>
            </w:pPr>
            <w:r w:rsidRPr="00264D5D">
              <w:rPr>
                <w:szCs w:val="22"/>
              </w:rPr>
              <w:t xml:space="preserve">Состав элемента представлен в таблице </w:t>
            </w:r>
            <w:r w:rsidRPr="00264D5D">
              <w:rPr>
                <w:szCs w:val="22"/>
              </w:rPr>
              <w:fldChar w:fldCharType="begin"/>
            </w:r>
            <w:r w:rsidRPr="00264D5D">
              <w:rPr>
                <w:szCs w:val="22"/>
              </w:rPr>
              <w:instrText xml:space="preserve"> REF _Ref72147210 \h  \* MERGEFORMAT </w:instrText>
            </w:r>
            <w:r w:rsidRPr="00264D5D">
              <w:rPr>
                <w:szCs w:val="22"/>
              </w:rPr>
            </w:r>
            <w:r w:rsidRPr="00264D5D">
              <w:rPr>
                <w:szCs w:val="22"/>
              </w:rPr>
              <w:fldChar w:fldCharType="separate"/>
            </w:r>
            <w:r w:rsidR="008D797C" w:rsidRPr="008D797C">
              <w:rPr>
                <w:szCs w:val="22"/>
              </w:rPr>
              <w:t>319</w:t>
            </w:r>
            <w:r w:rsidRPr="00264D5D">
              <w:rPr>
                <w:szCs w:val="22"/>
              </w:rPr>
              <w:fldChar w:fldCharType="end"/>
            </w:r>
          </w:p>
        </w:tc>
      </w:tr>
      <w:tr w:rsidR="00AD1F54" w:rsidRPr="00264D5D" w14:paraId="39790018" w14:textId="77777777" w:rsidTr="00AD1F54">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4FC7F2E6" w14:textId="77777777" w:rsidR="00AD1F54" w:rsidRPr="00264D5D" w:rsidRDefault="00941227">
            <w:pPr>
              <w:pStyle w:val="GOSTTablenorm"/>
              <w:rPr>
                <w:color w:val="000000"/>
                <w:szCs w:val="22"/>
              </w:rPr>
            </w:pPr>
            <w:r w:rsidRPr="00264D5D">
              <w:rPr>
                <w:szCs w:val="22"/>
              </w:rPr>
              <w:lastRenderedPageBreak/>
              <w:t xml:space="preserve">Номер лицевого счета </w:t>
            </w:r>
          </w:p>
        </w:tc>
        <w:tc>
          <w:tcPr>
            <w:tcW w:w="1701" w:type="dxa"/>
          </w:tcPr>
          <w:p w14:paraId="44BE4489" w14:textId="77777777" w:rsidR="00AD1F54" w:rsidRPr="00264D5D" w:rsidRDefault="00941227">
            <w:pPr>
              <w:pStyle w:val="GOSTTablenorm"/>
              <w:rPr>
                <w:color w:val="000000"/>
                <w:szCs w:val="22"/>
              </w:rPr>
            </w:pPr>
            <w:r w:rsidRPr="00264D5D">
              <w:rPr>
                <w:color w:val="000000"/>
                <w:szCs w:val="22"/>
              </w:rPr>
              <w:t>TtlPrt_NumbLS</w:t>
            </w:r>
          </w:p>
        </w:tc>
        <w:tc>
          <w:tcPr>
            <w:tcW w:w="567" w:type="dxa"/>
          </w:tcPr>
          <w:p w14:paraId="52581396" w14:textId="77777777" w:rsidR="00AD1F54" w:rsidRPr="00264D5D" w:rsidRDefault="00941227">
            <w:pPr>
              <w:pStyle w:val="GOSTTablenorm"/>
              <w:rPr>
                <w:szCs w:val="22"/>
              </w:rPr>
            </w:pPr>
            <w:r w:rsidRPr="00264D5D">
              <w:rPr>
                <w:szCs w:val="22"/>
              </w:rPr>
              <w:t>П</w:t>
            </w:r>
          </w:p>
        </w:tc>
        <w:tc>
          <w:tcPr>
            <w:tcW w:w="1134" w:type="dxa"/>
          </w:tcPr>
          <w:p w14:paraId="17F436D7" w14:textId="77777777" w:rsidR="00AD1F54" w:rsidRPr="00264D5D" w:rsidRDefault="00941227">
            <w:pPr>
              <w:pStyle w:val="GOSTTablenorm"/>
              <w:rPr>
                <w:szCs w:val="22"/>
                <w:lang w:val="en-US"/>
              </w:rPr>
            </w:pPr>
            <w:r w:rsidRPr="00264D5D">
              <w:rPr>
                <w:szCs w:val="22"/>
                <w:lang w:val="en-US"/>
              </w:rPr>
              <w:t>T(11)</w:t>
            </w:r>
          </w:p>
        </w:tc>
        <w:tc>
          <w:tcPr>
            <w:tcW w:w="567" w:type="dxa"/>
          </w:tcPr>
          <w:p w14:paraId="0EE88550" w14:textId="77777777" w:rsidR="00AD1F54" w:rsidRPr="00264D5D" w:rsidRDefault="00941227">
            <w:pPr>
              <w:ind w:firstLine="19"/>
              <w:jc w:val="center"/>
              <w:rPr>
                <w:sz w:val="22"/>
                <w:szCs w:val="22"/>
              </w:rPr>
            </w:pPr>
            <w:r w:rsidRPr="00264D5D">
              <w:rPr>
                <w:sz w:val="22"/>
                <w:szCs w:val="22"/>
              </w:rPr>
              <w:t>О</w:t>
            </w:r>
          </w:p>
        </w:tc>
        <w:tc>
          <w:tcPr>
            <w:tcW w:w="3963" w:type="dxa"/>
          </w:tcPr>
          <w:p w14:paraId="094F122D" w14:textId="77777777" w:rsidR="00AD1F54" w:rsidRPr="00264D5D" w:rsidRDefault="00941227">
            <w:pPr>
              <w:pStyle w:val="GOSTTablenorm"/>
              <w:rPr>
                <w:szCs w:val="22"/>
              </w:rPr>
            </w:pPr>
            <w:r w:rsidRPr="00264D5D">
              <w:rPr>
                <w:szCs w:val="22"/>
              </w:rPr>
              <w:t>Указывается номер лицевого</w:t>
            </w:r>
            <w:r w:rsidR="003E1F19" w:rsidRPr="00264D5D">
              <w:rPr>
                <w:szCs w:val="22"/>
              </w:rPr>
              <w:t xml:space="preserve"> счета ПБС, создавшего документ</w:t>
            </w:r>
          </w:p>
        </w:tc>
      </w:tr>
      <w:tr w:rsidR="00AD1F54" w:rsidRPr="00264D5D" w14:paraId="5ED22211" w14:textId="77777777" w:rsidTr="00AD1F54">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720577F3" w14:textId="77777777" w:rsidR="00AD1F54" w:rsidRPr="00264D5D" w:rsidRDefault="00941227">
            <w:pPr>
              <w:pStyle w:val="GOSTTablenorm"/>
              <w:rPr>
                <w:color w:val="000000"/>
                <w:szCs w:val="22"/>
              </w:rPr>
            </w:pPr>
            <w:r w:rsidRPr="00264D5D">
              <w:rPr>
                <w:szCs w:val="22"/>
              </w:rPr>
              <w:t>Наименование ГРБС</w:t>
            </w:r>
          </w:p>
        </w:tc>
        <w:tc>
          <w:tcPr>
            <w:tcW w:w="1701" w:type="dxa"/>
          </w:tcPr>
          <w:p w14:paraId="56D7A04F" w14:textId="77777777" w:rsidR="00AD1F54" w:rsidRPr="00264D5D" w:rsidRDefault="00941227">
            <w:pPr>
              <w:pStyle w:val="GOSTTablenorm"/>
              <w:rPr>
                <w:color w:val="000000"/>
                <w:szCs w:val="22"/>
              </w:rPr>
            </w:pPr>
            <w:r w:rsidRPr="00264D5D">
              <w:rPr>
                <w:color w:val="000000"/>
                <w:szCs w:val="22"/>
              </w:rPr>
              <w:t>TtlPrt_GRBSName</w:t>
            </w:r>
          </w:p>
        </w:tc>
        <w:tc>
          <w:tcPr>
            <w:tcW w:w="567" w:type="dxa"/>
          </w:tcPr>
          <w:p w14:paraId="292DDA6E" w14:textId="77777777" w:rsidR="00AD1F54" w:rsidRPr="00264D5D" w:rsidRDefault="00941227">
            <w:pPr>
              <w:pStyle w:val="GOSTTablenorm"/>
              <w:rPr>
                <w:szCs w:val="22"/>
                <w:lang w:val="en-US"/>
              </w:rPr>
            </w:pPr>
            <w:r w:rsidRPr="00264D5D">
              <w:rPr>
                <w:szCs w:val="22"/>
              </w:rPr>
              <w:t>П</w:t>
            </w:r>
          </w:p>
        </w:tc>
        <w:tc>
          <w:tcPr>
            <w:tcW w:w="1134" w:type="dxa"/>
          </w:tcPr>
          <w:p w14:paraId="5F217EBB" w14:textId="77777777" w:rsidR="00AD1F54" w:rsidRPr="00264D5D" w:rsidRDefault="00941227">
            <w:pPr>
              <w:pStyle w:val="GOSTTablenorm"/>
              <w:rPr>
                <w:szCs w:val="22"/>
              </w:rPr>
            </w:pPr>
            <w:r w:rsidRPr="00264D5D">
              <w:rPr>
                <w:szCs w:val="22"/>
                <w:lang w:val="en-US"/>
              </w:rPr>
              <w:t>T(1-2000)</w:t>
            </w:r>
          </w:p>
        </w:tc>
        <w:tc>
          <w:tcPr>
            <w:tcW w:w="567" w:type="dxa"/>
          </w:tcPr>
          <w:p w14:paraId="2307C4CC" w14:textId="77777777" w:rsidR="00AD1F54" w:rsidRPr="00264D5D" w:rsidRDefault="00941227">
            <w:pPr>
              <w:ind w:firstLine="19"/>
              <w:jc w:val="center"/>
              <w:rPr>
                <w:sz w:val="22"/>
                <w:szCs w:val="22"/>
              </w:rPr>
            </w:pPr>
            <w:r w:rsidRPr="00264D5D">
              <w:rPr>
                <w:sz w:val="22"/>
                <w:szCs w:val="22"/>
              </w:rPr>
              <w:t>О</w:t>
            </w:r>
          </w:p>
        </w:tc>
        <w:tc>
          <w:tcPr>
            <w:tcW w:w="3963" w:type="dxa"/>
          </w:tcPr>
          <w:p w14:paraId="7C15790F" w14:textId="77777777" w:rsidR="00AD1F54" w:rsidRPr="00264D5D" w:rsidRDefault="00941227">
            <w:pPr>
              <w:pStyle w:val="GOSTTablenorm"/>
              <w:rPr>
                <w:szCs w:val="22"/>
              </w:rPr>
            </w:pPr>
            <w:r w:rsidRPr="00264D5D">
              <w:rPr>
                <w:szCs w:val="22"/>
              </w:rPr>
              <w:t>Указывается полное или сокращенное наименование главного распорядителя (распорядителя) средств, в ведении которого находится учреждение</w:t>
            </w:r>
          </w:p>
        </w:tc>
      </w:tr>
      <w:tr w:rsidR="00AD1F54" w:rsidRPr="00264D5D" w14:paraId="55D34354" w14:textId="77777777" w:rsidTr="00AD1F54">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3E71DC7D" w14:textId="77777777" w:rsidR="00AD1F54" w:rsidRPr="00264D5D" w:rsidRDefault="00941227">
            <w:pPr>
              <w:pStyle w:val="GOSTTablenorm"/>
              <w:rPr>
                <w:szCs w:val="22"/>
              </w:rPr>
            </w:pPr>
            <w:r w:rsidRPr="00264D5D">
              <w:rPr>
                <w:szCs w:val="22"/>
              </w:rPr>
              <w:t>Код по Сводному реестру ГРБС</w:t>
            </w:r>
          </w:p>
        </w:tc>
        <w:tc>
          <w:tcPr>
            <w:tcW w:w="1701" w:type="dxa"/>
          </w:tcPr>
          <w:p w14:paraId="312479FB" w14:textId="77777777" w:rsidR="00AD1F54" w:rsidRPr="00264D5D" w:rsidRDefault="00941227">
            <w:pPr>
              <w:pStyle w:val="GOSTTablenorm"/>
              <w:rPr>
                <w:color w:val="000000"/>
                <w:szCs w:val="22"/>
              </w:rPr>
            </w:pPr>
            <w:r w:rsidRPr="00264D5D">
              <w:rPr>
                <w:color w:val="000000"/>
                <w:szCs w:val="22"/>
              </w:rPr>
              <w:t>TtlPrt_GRBSCnsrg</w:t>
            </w:r>
          </w:p>
        </w:tc>
        <w:tc>
          <w:tcPr>
            <w:tcW w:w="567" w:type="dxa"/>
          </w:tcPr>
          <w:p w14:paraId="5F687277" w14:textId="77777777" w:rsidR="00AD1F54" w:rsidRPr="00264D5D" w:rsidRDefault="00941227">
            <w:pPr>
              <w:pStyle w:val="GOSTTablenorm"/>
              <w:rPr>
                <w:szCs w:val="22"/>
              </w:rPr>
            </w:pPr>
            <w:r w:rsidRPr="00264D5D">
              <w:rPr>
                <w:szCs w:val="22"/>
              </w:rPr>
              <w:t>П</w:t>
            </w:r>
          </w:p>
        </w:tc>
        <w:tc>
          <w:tcPr>
            <w:tcW w:w="1134" w:type="dxa"/>
          </w:tcPr>
          <w:p w14:paraId="44FC28BB" w14:textId="77777777" w:rsidR="00AD1F54" w:rsidRPr="00264D5D" w:rsidRDefault="00941227">
            <w:pPr>
              <w:pStyle w:val="GOSTTablenorm"/>
              <w:rPr>
                <w:szCs w:val="22"/>
              </w:rPr>
            </w:pPr>
            <w:r w:rsidRPr="00264D5D">
              <w:rPr>
                <w:szCs w:val="22"/>
              </w:rPr>
              <w:t>Т(8)</w:t>
            </w:r>
          </w:p>
        </w:tc>
        <w:tc>
          <w:tcPr>
            <w:tcW w:w="567" w:type="dxa"/>
          </w:tcPr>
          <w:p w14:paraId="18B35E2F" w14:textId="77777777" w:rsidR="00AD1F54" w:rsidRPr="00264D5D" w:rsidRDefault="00941227">
            <w:pPr>
              <w:ind w:firstLine="19"/>
              <w:jc w:val="center"/>
              <w:rPr>
                <w:sz w:val="22"/>
                <w:szCs w:val="22"/>
              </w:rPr>
            </w:pPr>
            <w:r w:rsidRPr="00264D5D">
              <w:rPr>
                <w:sz w:val="22"/>
                <w:szCs w:val="22"/>
              </w:rPr>
              <w:t>О</w:t>
            </w:r>
          </w:p>
        </w:tc>
        <w:tc>
          <w:tcPr>
            <w:tcW w:w="3963" w:type="dxa"/>
          </w:tcPr>
          <w:p w14:paraId="3430F928" w14:textId="77777777" w:rsidR="00AD1F54" w:rsidRPr="00264D5D" w:rsidRDefault="00941227">
            <w:pPr>
              <w:pStyle w:val="GOSTTablenorm"/>
              <w:rPr>
                <w:szCs w:val="22"/>
              </w:rPr>
            </w:pPr>
            <w:r w:rsidRPr="00264D5D">
              <w:rPr>
                <w:szCs w:val="22"/>
              </w:rPr>
              <w:t>Код по Сводному реестру главного распорядителя (распорядителя) средств, в ведени</w:t>
            </w:r>
            <w:r w:rsidR="003E1F19" w:rsidRPr="00264D5D">
              <w:rPr>
                <w:szCs w:val="22"/>
              </w:rPr>
              <w:t>и которого находится учреждение</w:t>
            </w:r>
          </w:p>
        </w:tc>
      </w:tr>
      <w:tr w:rsidR="00AD1F54" w:rsidRPr="00264D5D" w14:paraId="35715EF8" w14:textId="77777777" w:rsidTr="00AD1F54">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24CAD884" w14:textId="77777777" w:rsidR="00AD1F54" w:rsidRPr="00264D5D" w:rsidRDefault="00941227">
            <w:pPr>
              <w:pStyle w:val="GOSTTablenorm"/>
              <w:rPr>
                <w:color w:val="000000"/>
                <w:szCs w:val="22"/>
              </w:rPr>
            </w:pPr>
            <w:r w:rsidRPr="00264D5D">
              <w:rPr>
                <w:szCs w:val="22"/>
              </w:rPr>
              <w:t>Код главы по БК</w:t>
            </w:r>
          </w:p>
        </w:tc>
        <w:tc>
          <w:tcPr>
            <w:tcW w:w="1701" w:type="dxa"/>
          </w:tcPr>
          <w:p w14:paraId="14E1021E" w14:textId="77777777" w:rsidR="00AD1F54" w:rsidRPr="00264D5D" w:rsidRDefault="00941227">
            <w:pPr>
              <w:pStyle w:val="GOSTTablenorm"/>
              <w:rPr>
                <w:color w:val="000000"/>
                <w:szCs w:val="22"/>
              </w:rPr>
            </w:pPr>
            <w:r w:rsidRPr="00264D5D">
              <w:rPr>
                <w:color w:val="000000"/>
                <w:szCs w:val="22"/>
              </w:rPr>
              <w:t>TtlPrt_GRBSCode</w:t>
            </w:r>
          </w:p>
        </w:tc>
        <w:tc>
          <w:tcPr>
            <w:tcW w:w="567" w:type="dxa"/>
          </w:tcPr>
          <w:p w14:paraId="171AFB4A" w14:textId="77777777" w:rsidR="00AD1F54" w:rsidRPr="00264D5D" w:rsidRDefault="00941227">
            <w:pPr>
              <w:pStyle w:val="GOSTTablenorm"/>
              <w:rPr>
                <w:szCs w:val="22"/>
              </w:rPr>
            </w:pPr>
            <w:r w:rsidRPr="00264D5D">
              <w:rPr>
                <w:szCs w:val="22"/>
              </w:rPr>
              <w:t>П</w:t>
            </w:r>
          </w:p>
        </w:tc>
        <w:tc>
          <w:tcPr>
            <w:tcW w:w="1134" w:type="dxa"/>
          </w:tcPr>
          <w:p w14:paraId="0126F6D1" w14:textId="77777777" w:rsidR="00AD1F54" w:rsidRPr="00264D5D" w:rsidRDefault="00941227">
            <w:pPr>
              <w:pStyle w:val="GOSTTablenorm"/>
              <w:rPr>
                <w:szCs w:val="22"/>
              </w:rPr>
            </w:pPr>
            <w:r w:rsidRPr="00264D5D">
              <w:rPr>
                <w:szCs w:val="22"/>
                <w:lang w:val="en-US"/>
              </w:rPr>
              <w:t>T(3)</w:t>
            </w:r>
          </w:p>
        </w:tc>
        <w:tc>
          <w:tcPr>
            <w:tcW w:w="567" w:type="dxa"/>
          </w:tcPr>
          <w:p w14:paraId="4ED7547D" w14:textId="77777777" w:rsidR="00AD1F54" w:rsidRPr="00264D5D" w:rsidRDefault="00941227">
            <w:pPr>
              <w:ind w:firstLine="19"/>
              <w:jc w:val="center"/>
              <w:rPr>
                <w:sz w:val="22"/>
                <w:szCs w:val="22"/>
              </w:rPr>
            </w:pPr>
            <w:r w:rsidRPr="00264D5D">
              <w:rPr>
                <w:sz w:val="22"/>
                <w:szCs w:val="22"/>
              </w:rPr>
              <w:t>О</w:t>
            </w:r>
          </w:p>
        </w:tc>
        <w:tc>
          <w:tcPr>
            <w:tcW w:w="3963" w:type="dxa"/>
          </w:tcPr>
          <w:p w14:paraId="35D131D4" w14:textId="77777777" w:rsidR="00AD1F54" w:rsidRPr="00264D5D" w:rsidRDefault="00941227">
            <w:pPr>
              <w:pStyle w:val="GOSTTablenorm"/>
              <w:rPr>
                <w:szCs w:val="22"/>
              </w:rPr>
            </w:pPr>
            <w:r w:rsidRPr="00264D5D">
              <w:rPr>
                <w:szCs w:val="22"/>
              </w:rPr>
              <w:t>Код главы главного распорядителя (распорядителя) средств, в ведени</w:t>
            </w:r>
            <w:r w:rsidR="003E1F19" w:rsidRPr="00264D5D">
              <w:rPr>
                <w:szCs w:val="22"/>
              </w:rPr>
              <w:t>и которого находится учреждение</w:t>
            </w:r>
          </w:p>
        </w:tc>
      </w:tr>
      <w:tr w:rsidR="00AD1F54" w:rsidRPr="00264D5D" w14:paraId="3CC4D67D" w14:textId="77777777" w:rsidTr="00AD1F54">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59551879" w14:textId="77777777" w:rsidR="00AD1F54" w:rsidRPr="00264D5D" w:rsidRDefault="00941227">
            <w:pPr>
              <w:pStyle w:val="GOSTTablenorm"/>
              <w:rPr>
                <w:color w:val="000000"/>
                <w:szCs w:val="22"/>
              </w:rPr>
            </w:pPr>
            <w:r w:rsidRPr="00264D5D">
              <w:rPr>
                <w:color w:val="000000"/>
                <w:szCs w:val="22"/>
              </w:rPr>
              <w:t>ТОФК</w:t>
            </w:r>
          </w:p>
        </w:tc>
        <w:tc>
          <w:tcPr>
            <w:tcW w:w="1701" w:type="dxa"/>
          </w:tcPr>
          <w:p w14:paraId="3098C5A1" w14:textId="77777777" w:rsidR="00AD1F54" w:rsidRPr="00264D5D" w:rsidRDefault="00941227">
            <w:pPr>
              <w:pStyle w:val="GOSTTablenorm"/>
              <w:rPr>
                <w:color w:val="000000"/>
                <w:szCs w:val="22"/>
              </w:rPr>
            </w:pPr>
            <w:r w:rsidRPr="00264D5D">
              <w:rPr>
                <w:color w:val="000000"/>
                <w:szCs w:val="22"/>
              </w:rPr>
              <w:t>TtlPrt_TOFK</w:t>
            </w:r>
          </w:p>
        </w:tc>
        <w:tc>
          <w:tcPr>
            <w:tcW w:w="567" w:type="dxa"/>
          </w:tcPr>
          <w:p w14:paraId="6FE28C00" w14:textId="77777777" w:rsidR="00AD1F54" w:rsidRPr="00264D5D" w:rsidRDefault="00941227">
            <w:pPr>
              <w:pStyle w:val="GOSTTablenorm"/>
              <w:rPr>
                <w:szCs w:val="22"/>
              </w:rPr>
            </w:pPr>
            <w:r w:rsidRPr="00264D5D">
              <w:rPr>
                <w:szCs w:val="22"/>
              </w:rPr>
              <w:t>С</w:t>
            </w:r>
          </w:p>
        </w:tc>
        <w:tc>
          <w:tcPr>
            <w:tcW w:w="1134" w:type="dxa"/>
          </w:tcPr>
          <w:p w14:paraId="6121C606" w14:textId="77777777" w:rsidR="00AD1F54" w:rsidRPr="00264D5D" w:rsidRDefault="00941227">
            <w:pPr>
              <w:pStyle w:val="GOSTTablenorm"/>
              <w:rPr>
                <w:szCs w:val="22"/>
              </w:rPr>
            </w:pPr>
            <w:r w:rsidRPr="00264D5D">
              <w:rPr>
                <w:color w:val="000000"/>
                <w:szCs w:val="22"/>
              </w:rPr>
              <w:t>tMSC_TOFK</w:t>
            </w:r>
          </w:p>
        </w:tc>
        <w:tc>
          <w:tcPr>
            <w:tcW w:w="567" w:type="dxa"/>
          </w:tcPr>
          <w:p w14:paraId="67B6AEEA" w14:textId="77777777" w:rsidR="00AD1F54" w:rsidRPr="00264D5D" w:rsidRDefault="00941227">
            <w:pPr>
              <w:ind w:firstLine="19"/>
              <w:jc w:val="center"/>
              <w:rPr>
                <w:sz w:val="22"/>
                <w:szCs w:val="22"/>
              </w:rPr>
            </w:pPr>
            <w:r w:rsidRPr="00264D5D">
              <w:rPr>
                <w:sz w:val="22"/>
                <w:szCs w:val="22"/>
              </w:rPr>
              <w:t>О</w:t>
            </w:r>
          </w:p>
        </w:tc>
        <w:tc>
          <w:tcPr>
            <w:tcW w:w="3963" w:type="dxa"/>
          </w:tcPr>
          <w:p w14:paraId="666145EF" w14:textId="514AF4C1" w:rsidR="00AD1F54" w:rsidRPr="00264D5D" w:rsidRDefault="00941227">
            <w:pPr>
              <w:pStyle w:val="GOSTTablenorm"/>
              <w:rPr>
                <w:szCs w:val="22"/>
              </w:rPr>
            </w:pPr>
            <w:r w:rsidRPr="00264D5D">
              <w:rPr>
                <w:szCs w:val="22"/>
              </w:rPr>
              <w:t xml:space="preserve">Состав элемента представлен в таблице </w:t>
            </w:r>
            <w:r w:rsidRPr="00264D5D">
              <w:rPr>
                <w:szCs w:val="22"/>
              </w:rPr>
              <w:fldChar w:fldCharType="begin"/>
            </w:r>
            <w:r w:rsidRPr="00264D5D">
              <w:rPr>
                <w:szCs w:val="22"/>
              </w:rPr>
              <w:instrText xml:space="preserve"> REF _Ref72147340 \h  \* MERGEFORMAT </w:instrText>
            </w:r>
            <w:r w:rsidRPr="00264D5D">
              <w:rPr>
                <w:szCs w:val="22"/>
              </w:rPr>
            </w:r>
            <w:r w:rsidRPr="00264D5D">
              <w:rPr>
                <w:szCs w:val="22"/>
              </w:rPr>
              <w:fldChar w:fldCharType="separate"/>
            </w:r>
            <w:r w:rsidR="008D797C" w:rsidRPr="008D797C">
              <w:rPr>
                <w:szCs w:val="22"/>
              </w:rPr>
              <w:t>320</w:t>
            </w:r>
            <w:r w:rsidRPr="00264D5D">
              <w:rPr>
                <w:szCs w:val="22"/>
              </w:rPr>
              <w:fldChar w:fldCharType="end"/>
            </w:r>
          </w:p>
        </w:tc>
      </w:tr>
      <w:tr w:rsidR="00AD1F54" w:rsidRPr="00264D5D" w14:paraId="012F44B8" w14:textId="77777777" w:rsidTr="00AD1F54">
        <w:trPr>
          <w:cnfStyle w:val="000000100000" w:firstRow="0" w:lastRow="0" w:firstColumn="0" w:lastColumn="0" w:oddVBand="0" w:evenVBand="0" w:oddHBand="1" w:evenHBand="0" w:firstRowFirstColumn="0" w:firstRowLastColumn="0" w:lastRowFirstColumn="0" w:lastRowLastColumn="0"/>
          <w:trHeight w:val="507"/>
        </w:trPr>
        <w:tc>
          <w:tcPr>
            <w:tcW w:w="1701" w:type="dxa"/>
          </w:tcPr>
          <w:p w14:paraId="66654C21" w14:textId="77777777" w:rsidR="00AD1F54" w:rsidRPr="00264D5D" w:rsidRDefault="00941227">
            <w:pPr>
              <w:pStyle w:val="GOSTTablenorm"/>
              <w:rPr>
                <w:szCs w:val="22"/>
              </w:rPr>
            </w:pPr>
            <w:r w:rsidRPr="00264D5D">
              <w:rPr>
                <w:szCs w:val="22"/>
              </w:rPr>
              <w:t>Источники формирования и направления использования средств во временное распоряжение</w:t>
            </w:r>
          </w:p>
        </w:tc>
        <w:tc>
          <w:tcPr>
            <w:tcW w:w="1701" w:type="dxa"/>
          </w:tcPr>
          <w:p w14:paraId="57267C35" w14:textId="77777777" w:rsidR="00AD1F54" w:rsidRPr="00264D5D" w:rsidRDefault="00941227">
            <w:pPr>
              <w:pStyle w:val="GOSTTablenorm"/>
              <w:rPr>
                <w:color w:val="000000"/>
                <w:szCs w:val="22"/>
              </w:rPr>
            </w:pPr>
            <w:r w:rsidRPr="00264D5D">
              <w:rPr>
                <w:szCs w:val="22"/>
              </w:rPr>
              <w:t>SFDU_SVR</w:t>
            </w:r>
          </w:p>
        </w:tc>
        <w:tc>
          <w:tcPr>
            <w:tcW w:w="567" w:type="dxa"/>
          </w:tcPr>
          <w:p w14:paraId="7A77DE82" w14:textId="77777777" w:rsidR="00AD1F54" w:rsidRPr="00264D5D" w:rsidRDefault="00941227">
            <w:pPr>
              <w:pStyle w:val="GOSTTablenorm"/>
              <w:rPr>
                <w:szCs w:val="22"/>
              </w:rPr>
            </w:pPr>
            <w:r w:rsidRPr="00264D5D">
              <w:rPr>
                <w:szCs w:val="22"/>
              </w:rPr>
              <w:t>С</w:t>
            </w:r>
          </w:p>
        </w:tc>
        <w:tc>
          <w:tcPr>
            <w:tcW w:w="1134" w:type="dxa"/>
          </w:tcPr>
          <w:p w14:paraId="63A01896" w14:textId="77777777" w:rsidR="00AD1F54" w:rsidRPr="00264D5D" w:rsidRDefault="00941227">
            <w:pPr>
              <w:pStyle w:val="GOSTTablenorm"/>
              <w:rPr>
                <w:szCs w:val="22"/>
              </w:rPr>
            </w:pPr>
            <w:r w:rsidRPr="00264D5D">
              <w:rPr>
                <w:szCs w:val="22"/>
              </w:rPr>
              <w:t>tSFDU_SVR</w:t>
            </w:r>
          </w:p>
        </w:tc>
        <w:tc>
          <w:tcPr>
            <w:tcW w:w="567" w:type="dxa"/>
          </w:tcPr>
          <w:p w14:paraId="0FDC19F9" w14:textId="77777777" w:rsidR="00AD1F54" w:rsidRPr="00264D5D" w:rsidRDefault="00941227">
            <w:pPr>
              <w:ind w:firstLine="19"/>
              <w:jc w:val="center"/>
              <w:rPr>
                <w:sz w:val="22"/>
                <w:szCs w:val="22"/>
              </w:rPr>
            </w:pPr>
            <w:r w:rsidRPr="00264D5D">
              <w:rPr>
                <w:sz w:val="22"/>
                <w:szCs w:val="22"/>
              </w:rPr>
              <w:t>О</w:t>
            </w:r>
          </w:p>
        </w:tc>
        <w:tc>
          <w:tcPr>
            <w:tcW w:w="3963" w:type="dxa"/>
          </w:tcPr>
          <w:p w14:paraId="09DD1304" w14:textId="524C0F78" w:rsidR="00AD1F54" w:rsidRPr="00264D5D" w:rsidRDefault="00941227">
            <w:pPr>
              <w:pStyle w:val="GOSTTablenorm"/>
              <w:rPr>
                <w:szCs w:val="22"/>
              </w:rPr>
            </w:pPr>
            <w:r w:rsidRPr="00264D5D">
              <w:rPr>
                <w:szCs w:val="22"/>
              </w:rPr>
              <w:t xml:space="preserve">Состав элемента представлен в таблице </w:t>
            </w:r>
            <w:r w:rsidRPr="00264D5D">
              <w:rPr>
                <w:szCs w:val="22"/>
              </w:rPr>
              <w:fldChar w:fldCharType="begin"/>
            </w:r>
            <w:r w:rsidRPr="00264D5D">
              <w:rPr>
                <w:rStyle w:val="GOSTNormal0"/>
                <w:sz w:val="22"/>
                <w:szCs w:val="22"/>
              </w:rPr>
              <w:instrText xml:space="preserve"> REF _Ref536178934 \h </w:instrText>
            </w:r>
            <w:r w:rsidRPr="00264D5D">
              <w:rPr>
                <w:szCs w:val="22"/>
              </w:rPr>
              <w:instrText xml:space="preserve"> \* MERGEFORMAT </w:instrText>
            </w:r>
            <w:r w:rsidRPr="00264D5D">
              <w:rPr>
                <w:szCs w:val="22"/>
              </w:rPr>
            </w:r>
            <w:r w:rsidRPr="00264D5D">
              <w:rPr>
                <w:szCs w:val="22"/>
              </w:rPr>
              <w:fldChar w:fldCharType="separate"/>
            </w:r>
            <w:r w:rsidR="008D797C" w:rsidRPr="008D797C">
              <w:rPr>
                <w:szCs w:val="22"/>
              </w:rPr>
              <w:t>321</w:t>
            </w:r>
            <w:r w:rsidRPr="00264D5D">
              <w:rPr>
                <w:szCs w:val="22"/>
              </w:rPr>
              <w:fldChar w:fldCharType="end"/>
            </w:r>
          </w:p>
        </w:tc>
      </w:tr>
      <w:tr w:rsidR="00AD1F54" w:rsidRPr="00264D5D" w14:paraId="7F69B03F" w14:textId="77777777" w:rsidTr="00AD1F54">
        <w:trPr>
          <w:cnfStyle w:val="000000010000" w:firstRow="0" w:lastRow="0" w:firstColumn="0" w:lastColumn="0" w:oddVBand="0" w:evenVBand="0" w:oddHBand="0" w:evenHBand="1" w:firstRowFirstColumn="0" w:firstRowLastColumn="0" w:lastRowFirstColumn="0" w:lastRowLastColumn="0"/>
          <w:trHeight w:val="367"/>
        </w:trPr>
        <w:tc>
          <w:tcPr>
            <w:tcW w:w="9634" w:type="dxa"/>
            <w:gridSpan w:val="6"/>
          </w:tcPr>
          <w:p w14:paraId="0D6BE62B" w14:textId="77777777" w:rsidR="00AD1F54" w:rsidRPr="00264D5D" w:rsidRDefault="00941227">
            <w:pPr>
              <w:pStyle w:val="GOSTTablenorm"/>
              <w:rPr>
                <w:szCs w:val="22"/>
              </w:rPr>
            </w:pPr>
            <w:r w:rsidRPr="00264D5D">
              <w:rPr>
                <w:b/>
                <w:szCs w:val="22"/>
              </w:rPr>
              <w:t>Подписи</w:t>
            </w:r>
          </w:p>
        </w:tc>
      </w:tr>
      <w:tr w:rsidR="00AD1F54" w:rsidRPr="00264D5D" w14:paraId="4631438B" w14:textId="77777777" w:rsidTr="00AD1F54">
        <w:trPr>
          <w:cnfStyle w:val="000000100000" w:firstRow="0" w:lastRow="0" w:firstColumn="0" w:lastColumn="0" w:oddVBand="0" w:evenVBand="0" w:oddHBand="1" w:evenHBand="0" w:firstRowFirstColumn="0" w:firstRowLastColumn="0" w:lastRowFirstColumn="0" w:lastRowLastColumn="0"/>
          <w:trHeight w:val="507"/>
        </w:trPr>
        <w:tc>
          <w:tcPr>
            <w:tcW w:w="1701" w:type="dxa"/>
          </w:tcPr>
          <w:p w14:paraId="149B682C" w14:textId="77777777" w:rsidR="00AD1F54" w:rsidRPr="00264D5D" w:rsidRDefault="00941227">
            <w:pPr>
              <w:spacing w:before="60" w:after="60"/>
              <w:rPr>
                <w:sz w:val="22"/>
                <w:szCs w:val="22"/>
              </w:rPr>
            </w:pPr>
            <w:r w:rsidRPr="00264D5D">
              <w:rPr>
                <w:color w:val="000000"/>
                <w:sz w:val="22"/>
                <w:szCs w:val="22"/>
              </w:rPr>
              <w:t>Наименование утверждающего ГРБС</w:t>
            </w:r>
          </w:p>
        </w:tc>
        <w:tc>
          <w:tcPr>
            <w:tcW w:w="1701" w:type="dxa"/>
          </w:tcPr>
          <w:p w14:paraId="28F824D8" w14:textId="77777777" w:rsidR="00AD1F54" w:rsidRPr="00264D5D" w:rsidRDefault="00941227">
            <w:pPr>
              <w:pStyle w:val="GOSTTablenorm"/>
              <w:rPr>
                <w:color w:val="000000"/>
                <w:szCs w:val="22"/>
              </w:rPr>
            </w:pPr>
            <w:r w:rsidRPr="00264D5D">
              <w:rPr>
                <w:rFonts w:eastAsiaTheme="minorHAnsi"/>
                <w:color w:val="000000"/>
                <w:szCs w:val="22"/>
                <w:lang w:eastAsia="en-US"/>
              </w:rPr>
              <w:t>Sign_GRBSName</w:t>
            </w:r>
          </w:p>
        </w:tc>
        <w:tc>
          <w:tcPr>
            <w:tcW w:w="567" w:type="dxa"/>
          </w:tcPr>
          <w:p w14:paraId="52AA4989" w14:textId="77777777" w:rsidR="00AD1F54" w:rsidRPr="00264D5D" w:rsidRDefault="00941227">
            <w:pPr>
              <w:pStyle w:val="GOSTTablenorm"/>
              <w:rPr>
                <w:szCs w:val="22"/>
              </w:rPr>
            </w:pPr>
            <w:r w:rsidRPr="00264D5D">
              <w:rPr>
                <w:szCs w:val="22"/>
              </w:rPr>
              <w:t>П</w:t>
            </w:r>
          </w:p>
        </w:tc>
        <w:tc>
          <w:tcPr>
            <w:tcW w:w="1134" w:type="dxa"/>
          </w:tcPr>
          <w:p w14:paraId="69D3E927" w14:textId="77777777" w:rsidR="00AD1F54" w:rsidRPr="00264D5D" w:rsidRDefault="00941227">
            <w:pPr>
              <w:pStyle w:val="GOSTTablenorm"/>
              <w:rPr>
                <w:szCs w:val="22"/>
              </w:rPr>
            </w:pPr>
            <w:r w:rsidRPr="00264D5D">
              <w:rPr>
                <w:szCs w:val="22"/>
              </w:rPr>
              <w:t>Т(1-2000)</w:t>
            </w:r>
          </w:p>
        </w:tc>
        <w:tc>
          <w:tcPr>
            <w:tcW w:w="567" w:type="dxa"/>
          </w:tcPr>
          <w:p w14:paraId="01A47BF3" w14:textId="77777777" w:rsidR="00AD1F54" w:rsidRPr="00264D5D" w:rsidRDefault="00941227">
            <w:pPr>
              <w:ind w:firstLine="19"/>
              <w:jc w:val="center"/>
              <w:rPr>
                <w:sz w:val="22"/>
                <w:szCs w:val="22"/>
              </w:rPr>
            </w:pPr>
            <w:r w:rsidRPr="00264D5D">
              <w:rPr>
                <w:sz w:val="22"/>
                <w:szCs w:val="22"/>
              </w:rPr>
              <w:t>Н</w:t>
            </w:r>
          </w:p>
        </w:tc>
        <w:tc>
          <w:tcPr>
            <w:tcW w:w="3963" w:type="dxa"/>
          </w:tcPr>
          <w:p w14:paraId="1E33D9A5" w14:textId="77777777" w:rsidR="00AD1F54" w:rsidRPr="00264D5D" w:rsidRDefault="00941227">
            <w:pPr>
              <w:rPr>
                <w:sz w:val="22"/>
                <w:szCs w:val="22"/>
              </w:rPr>
            </w:pPr>
            <w:r w:rsidRPr="00264D5D">
              <w:rPr>
                <w:sz w:val="22"/>
                <w:szCs w:val="22"/>
              </w:rPr>
              <w:t xml:space="preserve">Указывается </w:t>
            </w:r>
            <w:r w:rsidR="003E1F19" w:rsidRPr="00264D5D">
              <w:rPr>
                <w:color w:val="000000"/>
                <w:sz w:val="22"/>
                <w:szCs w:val="22"/>
              </w:rPr>
              <w:t>наименование утверждающего ГРБС</w:t>
            </w:r>
          </w:p>
        </w:tc>
      </w:tr>
      <w:tr w:rsidR="00AD1F54" w:rsidRPr="00264D5D" w14:paraId="02557066" w14:textId="77777777" w:rsidTr="00AD1F54">
        <w:trPr>
          <w:cnfStyle w:val="000000010000" w:firstRow="0" w:lastRow="0" w:firstColumn="0" w:lastColumn="0" w:oddVBand="0" w:evenVBand="0" w:oddHBand="0" w:evenHBand="1" w:firstRowFirstColumn="0" w:firstRowLastColumn="0" w:lastRowFirstColumn="0" w:lastRowLastColumn="0"/>
          <w:trHeight w:val="507"/>
        </w:trPr>
        <w:tc>
          <w:tcPr>
            <w:tcW w:w="1701" w:type="dxa"/>
          </w:tcPr>
          <w:p w14:paraId="6AF8FE1A" w14:textId="77777777" w:rsidR="00AD1F54" w:rsidRPr="00264D5D" w:rsidRDefault="00941227">
            <w:pPr>
              <w:spacing w:before="60" w:after="60"/>
              <w:rPr>
                <w:color w:val="000000"/>
                <w:sz w:val="22"/>
                <w:szCs w:val="22"/>
              </w:rPr>
            </w:pPr>
            <w:r w:rsidRPr="00264D5D">
              <w:rPr>
                <w:color w:val="000000"/>
                <w:sz w:val="22"/>
                <w:szCs w:val="22"/>
              </w:rPr>
              <w:t>Подпись ГРБС</w:t>
            </w:r>
          </w:p>
        </w:tc>
        <w:tc>
          <w:tcPr>
            <w:tcW w:w="1701" w:type="dxa"/>
          </w:tcPr>
          <w:p w14:paraId="6D39226E" w14:textId="77777777" w:rsidR="00AD1F54" w:rsidRPr="00264D5D" w:rsidRDefault="00941227">
            <w:pPr>
              <w:pStyle w:val="GOSTTablenorm"/>
              <w:rPr>
                <w:rFonts w:eastAsiaTheme="minorHAnsi"/>
                <w:color w:val="000000"/>
                <w:szCs w:val="22"/>
                <w:lang w:eastAsia="en-US"/>
              </w:rPr>
            </w:pPr>
            <w:r w:rsidRPr="00264D5D">
              <w:rPr>
                <w:rFonts w:eastAsiaTheme="minorHAnsi"/>
                <w:color w:val="000000"/>
                <w:szCs w:val="22"/>
                <w:lang w:eastAsia="en-US"/>
              </w:rPr>
              <w:t>Sign_GRBS</w:t>
            </w:r>
          </w:p>
        </w:tc>
        <w:tc>
          <w:tcPr>
            <w:tcW w:w="567" w:type="dxa"/>
          </w:tcPr>
          <w:p w14:paraId="43EAC0E2" w14:textId="77777777" w:rsidR="00AD1F54" w:rsidRPr="00264D5D" w:rsidRDefault="00941227">
            <w:pPr>
              <w:pStyle w:val="GOSTTablenorm"/>
              <w:rPr>
                <w:szCs w:val="22"/>
              </w:rPr>
            </w:pPr>
            <w:r w:rsidRPr="00264D5D">
              <w:rPr>
                <w:szCs w:val="22"/>
              </w:rPr>
              <w:t>С</w:t>
            </w:r>
          </w:p>
        </w:tc>
        <w:tc>
          <w:tcPr>
            <w:tcW w:w="1134" w:type="dxa"/>
          </w:tcPr>
          <w:p w14:paraId="1FF67FBC" w14:textId="77777777" w:rsidR="00AD1F54" w:rsidRPr="00264D5D" w:rsidRDefault="00941227">
            <w:pPr>
              <w:pStyle w:val="GOSTTablenorm"/>
              <w:rPr>
                <w:szCs w:val="22"/>
              </w:rPr>
            </w:pPr>
            <w:r w:rsidRPr="00264D5D">
              <w:rPr>
                <w:rFonts w:eastAsiaTheme="minorHAnsi"/>
                <w:color w:val="000000"/>
                <w:szCs w:val="22"/>
                <w:lang w:eastAsia="en-US"/>
              </w:rPr>
              <w:t>tSGNNmPsDt3</w:t>
            </w:r>
          </w:p>
        </w:tc>
        <w:tc>
          <w:tcPr>
            <w:tcW w:w="567" w:type="dxa"/>
          </w:tcPr>
          <w:p w14:paraId="4E8F1CC6" w14:textId="77777777" w:rsidR="00AD1F54" w:rsidRPr="00264D5D" w:rsidRDefault="00941227">
            <w:pPr>
              <w:ind w:firstLine="19"/>
              <w:jc w:val="center"/>
              <w:rPr>
                <w:sz w:val="22"/>
                <w:szCs w:val="22"/>
              </w:rPr>
            </w:pPr>
            <w:r w:rsidRPr="00264D5D">
              <w:rPr>
                <w:sz w:val="22"/>
                <w:szCs w:val="22"/>
              </w:rPr>
              <w:t>Н</w:t>
            </w:r>
          </w:p>
        </w:tc>
        <w:tc>
          <w:tcPr>
            <w:tcW w:w="3963" w:type="dxa"/>
          </w:tcPr>
          <w:p w14:paraId="634FAAB9" w14:textId="4E6D5F6D" w:rsidR="00AD1F54" w:rsidRPr="00264D5D" w:rsidRDefault="00941227">
            <w:pPr>
              <w:rPr>
                <w:sz w:val="22"/>
                <w:szCs w:val="22"/>
              </w:rPr>
            </w:pPr>
            <w:r w:rsidRPr="00264D5D">
              <w:rPr>
                <w:sz w:val="22"/>
                <w:szCs w:val="22"/>
              </w:rPr>
              <w:t xml:space="preserve">Состав элемента представлен в таблице </w:t>
            </w:r>
            <w:r w:rsidRPr="00264D5D">
              <w:rPr>
                <w:sz w:val="22"/>
                <w:szCs w:val="22"/>
              </w:rPr>
              <w:fldChar w:fldCharType="begin"/>
            </w:r>
            <w:r w:rsidRPr="00264D5D">
              <w:rPr>
                <w:sz w:val="22"/>
                <w:szCs w:val="22"/>
              </w:rPr>
              <w:instrText xml:space="preserve"> REF _Ref68280512 \h  \* MERGEFORMAT </w:instrText>
            </w:r>
            <w:r w:rsidRPr="00264D5D">
              <w:rPr>
                <w:sz w:val="22"/>
                <w:szCs w:val="22"/>
              </w:rPr>
            </w:r>
            <w:r w:rsidRPr="00264D5D">
              <w:rPr>
                <w:sz w:val="22"/>
                <w:szCs w:val="22"/>
              </w:rPr>
              <w:fldChar w:fldCharType="separate"/>
            </w:r>
            <w:r w:rsidR="008D797C" w:rsidRPr="008D797C">
              <w:rPr>
                <w:sz w:val="22"/>
                <w:szCs w:val="22"/>
              </w:rPr>
              <w:t>323</w:t>
            </w:r>
            <w:r w:rsidRPr="00264D5D">
              <w:rPr>
                <w:sz w:val="22"/>
                <w:szCs w:val="22"/>
              </w:rPr>
              <w:fldChar w:fldCharType="end"/>
            </w:r>
          </w:p>
        </w:tc>
      </w:tr>
      <w:tr w:rsidR="00AD1F54" w:rsidRPr="00264D5D" w14:paraId="4A6AAE9B" w14:textId="77777777" w:rsidTr="00AD1F54">
        <w:trPr>
          <w:cnfStyle w:val="000000100000" w:firstRow="0" w:lastRow="0" w:firstColumn="0" w:lastColumn="0" w:oddVBand="0" w:evenVBand="0" w:oddHBand="1" w:evenHBand="0" w:firstRowFirstColumn="0" w:firstRowLastColumn="0" w:lastRowFirstColumn="0" w:lastRowLastColumn="0"/>
          <w:trHeight w:val="507"/>
        </w:trPr>
        <w:tc>
          <w:tcPr>
            <w:tcW w:w="1701" w:type="dxa"/>
          </w:tcPr>
          <w:p w14:paraId="22C5AFD4" w14:textId="77777777" w:rsidR="00AD1F54" w:rsidRPr="00264D5D" w:rsidRDefault="00941227">
            <w:pPr>
              <w:spacing w:before="60" w:after="60"/>
              <w:rPr>
                <w:color w:val="000000"/>
                <w:sz w:val="22"/>
                <w:szCs w:val="22"/>
              </w:rPr>
            </w:pPr>
            <w:r w:rsidRPr="00264D5D">
              <w:rPr>
                <w:color w:val="000000"/>
                <w:sz w:val="22"/>
                <w:szCs w:val="22"/>
              </w:rPr>
              <w:t>Подпись руководителя (уполномоченного лица)</w:t>
            </w:r>
          </w:p>
        </w:tc>
        <w:tc>
          <w:tcPr>
            <w:tcW w:w="1701" w:type="dxa"/>
          </w:tcPr>
          <w:p w14:paraId="14F72965" w14:textId="77777777" w:rsidR="00AD1F54" w:rsidRPr="00264D5D" w:rsidRDefault="00941227">
            <w:pPr>
              <w:pStyle w:val="GOSTTablenorm"/>
              <w:rPr>
                <w:rFonts w:eastAsiaTheme="minorHAnsi"/>
                <w:color w:val="000000"/>
                <w:szCs w:val="22"/>
                <w:lang w:eastAsia="en-US"/>
              </w:rPr>
            </w:pPr>
            <w:r w:rsidRPr="00264D5D">
              <w:rPr>
                <w:rFonts w:eastAsiaTheme="minorHAnsi"/>
                <w:color w:val="000000"/>
                <w:szCs w:val="22"/>
                <w:lang w:eastAsia="en-US"/>
              </w:rPr>
              <w:t>Sign_Hr</w:t>
            </w:r>
          </w:p>
        </w:tc>
        <w:tc>
          <w:tcPr>
            <w:tcW w:w="567" w:type="dxa"/>
          </w:tcPr>
          <w:p w14:paraId="68FBB5D8" w14:textId="77777777" w:rsidR="00AD1F54" w:rsidRPr="00264D5D" w:rsidRDefault="00941227">
            <w:pPr>
              <w:pStyle w:val="GOSTTablenorm"/>
              <w:rPr>
                <w:szCs w:val="22"/>
              </w:rPr>
            </w:pPr>
            <w:r w:rsidRPr="00264D5D">
              <w:rPr>
                <w:szCs w:val="22"/>
              </w:rPr>
              <w:t>С</w:t>
            </w:r>
          </w:p>
        </w:tc>
        <w:tc>
          <w:tcPr>
            <w:tcW w:w="1134" w:type="dxa"/>
          </w:tcPr>
          <w:p w14:paraId="1B7C1B7A" w14:textId="77777777" w:rsidR="00AD1F54" w:rsidRPr="00264D5D" w:rsidRDefault="00941227">
            <w:pPr>
              <w:pStyle w:val="GOSTTablenorm"/>
              <w:rPr>
                <w:szCs w:val="22"/>
              </w:rPr>
            </w:pPr>
            <w:r w:rsidRPr="00264D5D">
              <w:rPr>
                <w:rFonts w:eastAsiaTheme="minorHAnsi"/>
                <w:color w:val="000000"/>
                <w:szCs w:val="22"/>
                <w:lang w:eastAsia="en-US"/>
              </w:rPr>
              <w:t>tSGNNmPsDt3</w:t>
            </w:r>
          </w:p>
        </w:tc>
        <w:tc>
          <w:tcPr>
            <w:tcW w:w="567" w:type="dxa"/>
          </w:tcPr>
          <w:p w14:paraId="0336E267" w14:textId="77777777" w:rsidR="00AD1F54" w:rsidRPr="00264D5D" w:rsidRDefault="00941227">
            <w:pPr>
              <w:ind w:firstLine="19"/>
              <w:jc w:val="center"/>
              <w:rPr>
                <w:sz w:val="22"/>
                <w:szCs w:val="22"/>
              </w:rPr>
            </w:pPr>
            <w:r w:rsidRPr="00264D5D">
              <w:rPr>
                <w:sz w:val="22"/>
                <w:szCs w:val="22"/>
              </w:rPr>
              <w:t>Н</w:t>
            </w:r>
          </w:p>
        </w:tc>
        <w:tc>
          <w:tcPr>
            <w:tcW w:w="3963" w:type="dxa"/>
          </w:tcPr>
          <w:p w14:paraId="6B983D0B" w14:textId="46C3E46A" w:rsidR="00AD1F54" w:rsidRPr="00264D5D" w:rsidRDefault="00941227">
            <w:pPr>
              <w:rPr>
                <w:sz w:val="22"/>
                <w:szCs w:val="22"/>
              </w:rPr>
            </w:pPr>
            <w:r w:rsidRPr="00264D5D">
              <w:rPr>
                <w:sz w:val="22"/>
                <w:szCs w:val="22"/>
              </w:rPr>
              <w:t xml:space="preserve">Состав элемента представлен в таблице </w:t>
            </w:r>
            <w:r w:rsidRPr="00264D5D">
              <w:rPr>
                <w:sz w:val="22"/>
                <w:szCs w:val="22"/>
              </w:rPr>
              <w:fldChar w:fldCharType="begin"/>
            </w:r>
            <w:r w:rsidRPr="00264D5D">
              <w:rPr>
                <w:sz w:val="22"/>
                <w:szCs w:val="22"/>
              </w:rPr>
              <w:instrText xml:space="preserve"> REF _Ref68280512 \h  \* MERGEFORMAT </w:instrText>
            </w:r>
            <w:r w:rsidRPr="00264D5D">
              <w:rPr>
                <w:sz w:val="22"/>
                <w:szCs w:val="22"/>
              </w:rPr>
            </w:r>
            <w:r w:rsidRPr="00264D5D">
              <w:rPr>
                <w:sz w:val="22"/>
                <w:szCs w:val="22"/>
              </w:rPr>
              <w:fldChar w:fldCharType="separate"/>
            </w:r>
            <w:r w:rsidR="008D797C" w:rsidRPr="008D797C">
              <w:rPr>
                <w:sz w:val="22"/>
                <w:szCs w:val="22"/>
              </w:rPr>
              <w:t>323</w:t>
            </w:r>
            <w:r w:rsidRPr="00264D5D">
              <w:rPr>
                <w:sz w:val="22"/>
                <w:szCs w:val="22"/>
              </w:rPr>
              <w:fldChar w:fldCharType="end"/>
            </w:r>
          </w:p>
        </w:tc>
      </w:tr>
      <w:tr w:rsidR="00AD1F54" w:rsidRPr="00264D5D" w14:paraId="56864CA5" w14:textId="77777777" w:rsidTr="00AD1F54">
        <w:trPr>
          <w:cnfStyle w:val="000000010000" w:firstRow="0" w:lastRow="0" w:firstColumn="0" w:lastColumn="0" w:oddVBand="0" w:evenVBand="0" w:oddHBand="0" w:evenHBand="1" w:firstRowFirstColumn="0" w:firstRowLastColumn="0" w:lastRowFirstColumn="0" w:lastRowLastColumn="0"/>
          <w:trHeight w:val="354"/>
        </w:trPr>
        <w:tc>
          <w:tcPr>
            <w:tcW w:w="9634" w:type="dxa"/>
            <w:gridSpan w:val="6"/>
          </w:tcPr>
          <w:p w14:paraId="79B95888" w14:textId="77777777" w:rsidR="00AD1F54" w:rsidRPr="00264D5D" w:rsidRDefault="00941227">
            <w:pPr>
              <w:rPr>
                <w:sz w:val="22"/>
                <w:szCs w:val="22"/>
              </w:rPr>
            </w:pPr>
            <w:r w:rsidRPr="00264D5D">
              <w:rPr>
                <w:b/>
                <w:sz w:val="22"/>
                <w:szCs w:val="22"/>
              </w:rPr>
              <w:t>Дополнительная информация</w:t>
            </w:r>
          </w:p>
        </w:tc>
      </w:tr>
      <w:tr w:rsidR="00AD1F54" w:rsidRPr="00264D5D" w14:paraId="0034A3CD" w14:textId="77777777" w:rsidTr="00AD1F54">
        <w:trPr>
          <w:cnfStyle w:val="000000100000" w:firstRow="0" w:lastRow="0" w:firstColumn="0" w:lastColumn="0" w:oddVBand="0" w:evenVBand="0" w:oddHBand="1" w:evenHBand="0" w:firstRowFirstColumn="0" w:firstRowLastColumn="0" w:lastRowFirstColumn="0" w:lastRowLastColumn="0"/>
          <w:trHeight w:val="507"/>
        </w:trPr>
        <w:tc>
          <w:tcPr>
            <w:tcW w:w="1701" w:type="dxa"/>
          </w:tcPr>
          <w:p w14:paraId="79373DDD" w14:textId="77777777" w:rsidR="00AD1F54" w:rsidRPr="00264D5D" w:rsidRDefault="00941227">
            <w:pPr>
              <w:spacing w:before="60" w:after="60"/>
              <w:rPr>
                <w:color w:val="000000"/>
                <w:sz w:val="22"/>
                <w:szCs w:val="22"/>
              </w:rPr>
            </w:pPr>
            <w:r w:rsidRPr="00264D5D">
              <w:rPr>
                <w:sz w:val="22"/>
                <w:szCs w:val="22"/>
              </w:rPr>
              <w:t>Уровень конфиденциальности</w:t>
            </w:r>
          </w:p>
        </w:tc>
        <w:tc>
          <w:tcPr>
            <w:tcW w:w="1701" w:type="dxa"/>
          </w:tcPr>
          <w:p w14:paraId="574D4504" w14:textId="77777777" w:rsidR="00AD1F54" w:rsidRPr="00264D5D" w:rsidRDefault="00941227">
            <w:pPr>
              <w:pStyle w:val="GOSTTablenorm"/>
              <w:rPr>
                <w:rFonts w:eastAsiaTheme="minorHAnsi"/>
                <w:color w:val="000000"/>
                <w:szCs w:val="22"/>
                <w:lang w:eastAsia="en-US"/>
              </w:rPr>
            </w:pPr>
            <w:r w:rsidRPr="00264D5D">
              <w:rPr>
                <w:szCs w:val="22"/>
              </w:rPr>
              <w:t>TtlPrt_SECRECY</w:t>
            </w:r>
          </w:p>
        </w:tc>
        <w:tc>
          <w:tcPr>
            <w:tcW w:w="567" w:type="dxa"/>
          </w:tcPr>
          <w:p w14:paraId="4A5D7C80" w14:textId="77777777" w:rsidR="00AD1F54" w:rsidRPr="00264D5D" w:rsidRDefault="00941227">
            <w:pPr>
              <w:pStyle w:val="GOSTTablenorm"/>
              <w:rPr>
                <w:szCs w:val="22"/>
              </w:rPr>
            </w:pPr>
            <w:r w:rsidRPr="00264D5D">
              <w:rPr>
                <w:szCs w:val="22"/>
              </w:rPr>
              <w:t>П</w:t>
            </w:r>
          </w:p>
        </w:tc>
        <w:tc>
          <w:tcPr>
            <w:tcW w:w="1134" w:type="dxa"/>
          </w:tcPr>
          <w:p w14:paraId="7F7E105D" w14:textId="77777777" w:rsidR="00AD1F54" w:rsidRPr="00264D5D" w:rsidRDefault="00941227">
            <w:pPr>
              <w:pStyle w:val="GOSTTablenorm"/>
              <w:rPr>
                <w:rFonts w:eastAsiaTheme="minorHAnsi"/>
                <w:color w:val="000000"/>
                <w:szCs w:val="22"/>
                <w:lang w:eastAsia="en-US"/>
              </w:rPr>
            </w:pPr>
            <w:r w:rsidRPr="00264D5D">
              <w:rPr>
                <w:szCs w:val="22"/>
              </w:rPr>
              <w:t>Т(1)</w:t>
            </w:r>
          </w:p>
        </w:tc>
        <w:tc>
          <w:tcPr>
            <w:tcW w:w="567" w:type="dxa"/>
          </w:tcPr>
          <w:p w14:paraId="2246C622" w14:textId="77777777" w:rsidR="00AD1F54" w:rsidRPr="00264D5D" w:rsidRDefault="00941227">
            <w:pPr>
              <w:ind w:firstLine="19"/>
              <w:jc w:val="center"/>
              <w:rPr>
                <w:sz w:val="22"/>
                <w:szCs w:val="22"/>
              </w:rPr>
            </w:pPr>
            <w:r w:rsidRPr="00264D5D">
              <w:rPr>
                <w:sz w:val="22"/>
                <w:szCs w:val="22"/>
              </w:rPr>
              <w:t>О</w:t>
            </w:r>
          </w:p>
        </w:tc>
        <w:tc>
          <w:tcPr>
            <w:tcW w:w="3963" w:type="dxa"/>
          </w:tcPr>
          <w:p w14:paraId="102BD40E" w14:textId="77777777" w:rsidR="00AD1F54" w:rsidRPr="00264D5D" w:rsidRDefault="00941227" w:rsidP="003E1F19">
            <w:pPr>
              <w:pStyle w:val="GOSTTablenorm"/>
              <w:widowControl w:val="0"/>
              <w:rPr>
                <w:szCs w:val="22"/>
              </w:rPr>
            </w:pPr>
            <w:r w:rsidRPr="00264D5D">
              <w:rPr>
                <w:szCs w:val="22"/>
              </w:rPr>
              <w:t>Указывается уровень конфиденциальности.</w:t>
            </w:r>
          </w:p>
          <w:p w14:paraId="7C72DE6C" w14:textId="77777777" w:rsidR="00AD1F54" w:rsidRPr="00264D5D" w:rsidRDefault="00941227" w:rsidP="003E1F19">
            <w:pPr>
              <w:pStyle w:val="GOSTTablenorm"/>
              <w:widowControl w:val="0"/>
              <w:rPr>
                <w:szCs w:val="22"/>
              </w:rPr>
            </w:pPr>
            <w:r w:rsidRPr="00264D5D">
              <w:rPr>
                <w:szCs w:val="22"/>
              </w:rPr>
              <w:t>Возможные значения:</w:t>
            </w:r>
          </w:p>
          <w:p w14:paraId="5DCBBE0F" w14:textId="77777777" w:rsidR="00AD1F54" w:rsidRPr="00264D5D" w:rsidRDefault="00941227" w:rsidP="003E1F19">
            <w:pPr>
              <w:pStyle w:val="GOSTTableListMark1"/>
              <w:widowControl w:val="0"/>
              <w:numPr>
                <w:ilvl w:val="0"/>
                <w:numId w:val="65"/>
              </w:numPr>
              <w:tabs>
                <w:tab w:val="clear" w:pos="340"/>
                <w:tab w:val="num" w:pos="227"/>
              </w:tabs>
              <w:spacing w:before="60" w:after="60"/>
              <w:ind w:left="284"/>
              <w:jc w:val="both"/>
              <w:rPr>
                <w:szCs w:val="22"/>
              </w:rPr>
            </w:pPr>
            <w:r w:rsidRPr="00264D5D">
              <w:rPr>
                <w:szCs w:val="22"/>
              </w:rPr>
              <w:t>«0» – Несекретно;</w:t>
            </w:r>
          </w:p>
          <w:p w14:paraId="6C4723C8" w14:textId="77777777" w:rsidR="00AD1F54" w:rsidRPr="00264D5D" w:rsidRDefault="00941227" w:rsidP="003E1F19">
            <w:pPr>
              <w:pStyle w:val="GOSTTableListMark1"/>
              <w:widowControl w:val="0"/>
              <w:numPr>
                <w:ilvl w:val="0"/>
                <w:numId w:val="65"/>
              </w:numPr>
              <w:tabs>
                <w:tab w:val="clear" w:pos="340"/>
                <w:tab w:val="num" w:pos="227"/>
              </w:tabs>
              <w:spacing w:before="60" w:after="60"/>
              <w:ind w:left="284"/>
              <w:jc w:val="both"/>
              <w:rPr>
                <w:szCs w:val="22"/>
              </w:rPr>
            </w:pPr>
            <w:r w:rsidRPr="00264D5D">
              <w:rPr>
                <w:szCs w:val="22"/>
              </w:rPr>
              <w:t>«</w:t>
            </w:r>
            <w:r w:rsidR="003E1F19" w:rsidRPr="00264D5D">
              <w:rPr>
                <w:szCs w:val="22"/>
              </w:rPr>
              <w:t>1» – Для служебного пользования</w:t>
            </w:r>
          </w:p>
        </w:tc>
      </w:tr>
      <w:tr w:rsidR="00AD1F54" w:rsidRPr="00264D5D" w14:paraId="0BE933F5" w14:textId="77777777" w:rsidTr="00AD1F54">
        <w:trPr>
          <w:cnfStyle w:val="000000010000" w:firstRow="0" w:lastRow="0" w:firstColumn="0" w:lastColumn="0" w:oddVBand="0" w:evenVBand="0" w:oddHBand="0" w:evenHBand="1" w:firstRowFirstColumn="0" w:firstRowLastColumn="0" w:lastRowFirstColumn="0" w:lastRowLastColumn="0"/>
          <w:trHeight w:val="423"/>
        </w:trPr>
        <w:tc>
          <w:tcPr>
            <w:tcW w:w="9634" w:type="dxa"/>
            <w:gridSpan w:val="6"/>
          </w:tcPr>
          <w:p w14:paraId="7E7C9190" w14:textId="77777777" w:rsidR="00AD1F54" w:rsidRPr="00264D5D" w:rsidRDefault="00941227">
            <w:pPr>
              <w:pStyle w:val="GOSTTablenorm"/>
              <w:widowControl w:val="0"/>
              <w:rPr>
                <w:szCs w:val="22"/>
              </w:rPr>
            </w:pPr>
            <w:r w:rsidRPr="00264D5D">
              <w:rPr>
                <w:b/>
                <w:szCs w:val="22"/>
              </w:rPr>
              <w:t>Системная информация</w:t>
            </w:r>
          </w:p>
        </w:tc>
      </w:tr>
      <w:tr w:rsidR="00AD1F54" w:rsidRPr="00264D5D" w14:paraId="72C523CE" w14:textId="77777777" w:rsidTr="00AD1F54">
        <w:trPr>
          <w:cnfStyle w:val="000000100000" w:firstRow="0" w:lastRow="0" w:firstColumn="0" w:lastColumn="0" w:oddVBand="0" w:evenVBand="0" w:oddHBand="1" w:evenHBand="0" w:firstRowFirstColumn="0" w:firstRowLastColumn="0" w:lastRowFirstColumn="0" w:lastRowLastColumn="0"/>
          <w:trHeight w:val="507"/>
        </w:trPr>
        <w:tc>
          <w:tcPr>
            <w:tcW w:w="1701" w:type="dxa"/>
          </w:tcPr>
          <w:p w14:paraId="0C7AFC6C" w14:textId="77777777" w:rsidR="00AD1F54" w:rsidRPr="00264D5D" w:rsidRDefault="00941227">
            <w:pPr>
              <w:spacing w:before="60" w:after="60"/>
              <w:rPr>
                <w:color w:val="000000"/>
                <w:sz w:val="22"/>
                <w:szCs w:val="22"/>
              </w:rPr>
            </w:pPr>
            <w:r w:rsidRPr="00264D5D">
              <w:rPr>
                <w:sz w:val="22"/>
                <w:szCs w:val="22"/>
              </w:rPr>
              <w:lastRenderedPageBreak/>
              <w:t xml:space="preserve">Системная информация </w:t>
            </w:r>
          </w:p>
        </w:tc>
        <w:tc>
          <w:tcPr>
            <w:tcW w:w="1701" w:type="dxa"/>
          </w:tcPr>
          <w:p w14:paraId="65327A79" w14:textId="77777777" w:rsidR="00AD1F54" w:rsidRPr="00264D5D" w:rsidRDefault="00941227">
            <w:pPr>
              <w:pStyle w:val="GOSTTablenorm"/>
              <w:rPr>
                <w:color w:val="000000"/>
                <w:szCs w:val="22"/>
              </w:rPr>
            </w:pPr>
            <w:r w:rsidRPr="00264D5D">
              <w:rPr>
                <w:szCs w:val="22"/>
              </w:rPr>
              <w:t>StmInfrmtn_TF</w:t>
            </w:r>
          </w:p>
        </w:tc>
        <w:tc>
          <w:tcPr>
            <w:tcW w:w="567" w:type="dxa"/>
          </w:tcPr>
          <w:p w14:paraId="5C91597C" w14:textId="77777777" w:rsidR="00AD1F54" w:rsidRPr="00264D5D" w:rsidRDefault="00941227">
            <w:pPr>
              <w:pStyle w:val="GOSTTablenorm"/>
              <w:rPr>
                <w:szCs w:val="22"/>
              </w:rPr>
            </w:pPr>
            <w:r w:rsidRPr="00264D5D">
              <w:rPr>
                <w:szCs w:val="22"/>
              </w:rPr>
              <w:t>С</w:t>
            </w:r>
          </w:p>
        </w:tc>
        <w:tc>
          <w:tcPr>
            <w:tcW w:w="1134" w:type="dxa"/>
          </w:tcPr>
          <w:p w14:paraId="4F22C89B" w14:textId="77777777" w:rsidR="00AD1F54" w:rsidRPr="00264D5D" w:rsidRDefault="00941227">
            <w:pPr>
              <w:pStyle w:val="GOSTTablenorm"/>
              <w:rPr>
                <w:szCs w:val="22"/>
                <w:lang w:val="en-US"/>
              </w:rPr>
            </w:pPr>
            <w:r w:rsidRPr="00264D5D">
              <w:rPr>
                <w:szCs w:val="22"/>
              </w:rPr>
              <w:t>tTF</w:t>
            </w:r>
          </w:p>
        </w:tc>
        <w:tc>
          <w:tcPr>
            <w:tcW w:w="567" w:type="dxa"/>
          </w:tcPr>
          <w:p w14:paraId="0476C4FE" w14:textId="77777777" w:rsidR="00AD1F54" w:rsidRPr="00264D5D" w:rsidRDefault="00941227">
            <w:pPr>
              <w:ind w:firstLine="19"/>
              <w:jc w:val="center"/>
              <w:rPr>
                <w:sz w:val="22"/>
                <w:szCs w:val="22"/>
              </w:rPr>
            </w:pPr>
            <w:r w:rsidRPr="00264D5D">
              <w:rPr>
                <w:sz w:val="22"/>
                <w:szCs w:val="22"/>
              </w:rPr>
              <w:t>О</w:t>
            </w:r>
          </w:p>
        </w:tc>
        <w:tc>
          <w:tcPr>
            <w:tcW w:w="3963" w:type="dxa"/>
          </w:tcPr>
          <w:p w14:paraId="5B700037" w14:textId="02D447A1" w:rsidR="00AD1F54" w:rsidRPr="00264D5D" w:rsidRDefault="00941227">
            <w:pPr>
              <w:pStyle w:val="GOSTTableNum"/>
              <w:tabs>
                <w:tab w:val="clear" w:pos="114"/>
              </w:tabs>
              <w:ind w:left="113" w:firstLine="0"/>
              <w:rPr>
                <w:szCs w:val="22"/>
              </w:rPr>
            </w:pPr>
            <w:r w:rsidRPr="00264D5D">
              <w:rPr>
                <w:szCs w:val="22"/>
              </w:rPr>
              <w:t xml:space="preserve">Состав элемента представлен в таблице </w:t>
            </w:r>
            <w:r w:rsidRPr="00264D5D">
              <w:rPr>
                <w:szCs w:val="22"/>
              </w:rPr>
              <w:fldChar w:fldCharType="begin"/>
            </w:r>
            <w:r w:rsidRPr="00264D5D">
              <w:rPr>
                <w:szCs w:val="22"/>
              </w:rPr>
              <w:instrText xml:space="preserve"> REF _Ref72147311 \h  \* MERGEFORMAT </w:instrText>
            </w:r>
            <w:r w:rsidRPr="00264D5D">
              <w:rPr>
                <w:szCs w:val="22"/>
              </w:rPr>
            </w:r>
            <w:r w:rsidRPr="00264D5D">
              <w:rPr>
                <w:szCs w:val="22"/>
              </w:rPr>
              <w:fldChar w:fldCharType="separate"/>
            </w:r>
            <w:r w:rsidR="008D797C" w:rsidRPr="008D797C">
              <w:rPr>
                <w:szCs w:val="22"/>
              </w:rPr>
              <w:t>324</w:t>
            </w:r>
            <w:r w:rsidRPr="00264D5D">
              <w:rPr>
                <w:szCs w:val="22"/>
              </w:rPr>
              <w:fldChar w:fldCharType="end"/>
            </w:r>
          </w:p>
        </w:tc>
      </w:tr>
    </w:tbl>
    <w:p w14:paraId="0FFB9046" w14:textId="77777777" w:rsidR="00AD1F54" w:rsidRPr="00264D5D" w:rsidRDefault="00941227">
      <w:pPr>
        <w:pStyle w:val="31"/>
      </w:pPr>
      <w:bookmarkStart w:id="3285" w:name="_Toc18509271"/>
      <w:bookmarkStart w:id="3286" w:name="_Toc84802488"/>
      <w:bookmarkStart w:id="3287" w:name="_Toc18509403"/>
      <w:bookmarkStart w:id="3288" w:name="_Toc219309802"/>
      <w:r w:rsidRPr="00264D5D">
        <w:t>Описание комплексного типа «tMSC_PBS_UBP1»</w:t>
      </w:r>
      <w:bookmarkEnd w:id="3285"/>
      <w:bookmarkEnd w:id="3286"/>
      <w:bookmarkEnd w:id="3288"/>
    </w:p>
    <w:p w14:paraId="40DA796A" w14:textId="77777777" w:rsidR="00AD1F54" w:rsidRPr="00264D5D" w:rsidRDefault="00941227">
      <w:pPr>
        <w:pStyle w:val="GOSTNormal"/>
      </w:pPr>
      <w:r w:rsidRPr="00264D5D">
        <w:t>Описание комплексного типа «</w:t>
      </w:r>
      <w:r w:rsidRPr="00264D5D">
        <w:rPr>
          <w:color w:val="000000"/>
          <w:szCs w:val="24"/>
        </w:rPr>
        <w:t>tMSC_PBS_UBP1</w:t>
      </w:r>
      <w:r w:rsidRPr="00264D5D">
        <w:t>» блока «</w:t>
      </w:r>
      <w:r w:rsidRPr="00264D5D">
        <w:rPr>
          <w:szCs w:val="24"/>
        </w:rPr>
        <w:t>ПБС</w:t>
      </w:r>
      <w:r w:rsidRPr="00264D5D">
        <w:t xml:space="preserve">». </w:t>
      </w:r>
    </w:p>
    <w:bookmarkStart w:id="3289" w:name="_Ref68274742"/>
    <w:p w14:paraId="1870A2E3" w14:textId="271F78EF"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3290" w:name="_Ref72147210"/>
      <w:bookmarkStart w:id="3291" w:name="_Toc18509556"/>
      <w:bookmarkStart w:id="3292" w:name="_Toc219309349"/>
      <w:r w:rsidR="008D797C">
        <w:rPr>
          <w:noProof/>
        </w:rPr>
        <w:t>319</w:t>
      </w:r>
      <w:bookmarkEnd w:id="3290"/>
      <w:r w:rsidRPr="00264D5D">
        <w:fldChar w:fldCharType="end"/>
      </w:r>
      <w:r w:rsidRPr="00264D5D">
        <w:rPr>
          <w:rFonts w:eastAsia="Calibri"/>
        </w:rPr>
        <w:t xml:space="preserve"> – </w:t>
      </w:r>
      <w:r w:rsidRPr="00264D5D">
        <w:t xml:space="preserve">Описание комплексного типа </w:t>
      </w:r>
      <w:r w:rsidRPr="00264D5D">
        <w:rPr>
          <w:szCs w:val="24"/>
        </w:rPr>
        <w:t>«</w:t>
      </w:r>
      <w:r w:rsidRPr="00264D5D">
        <w:rPr>
          <w:color w:val="000000"/>
          <w:szCs w:val="24"/>
        </w:rPr>
        <w:t>tMSC_PBS_UBP1</w:t>
      </w:r>
      <w:r w:rsidRPr="00264D5D">
        <w:rPr>
          <w:szCs w:val="24"/>
        </w:rPr>
        <w:t>»</w:t>
      </w:r>
      <w:bookmarkEnd w:id="3289"/>
      <w:bookmarkEnd w:id="3291"/>
      <w:bookmarkEnd w:id="3292"/>
    </w:p>
    <w:tbl>
      <w:tblPr>
        <w:tblStyle w:val="GOSTTable"/>
        <w:tblW w:w="9635" w:type="dxa"/>
        <w:tblLayout w:type="fixed"/>
        <w:tblLook w:val="04A0" w:firstRow="1" w:lastRow="0" w:firstColumn="1" w:lastColumn="0" w:noHBand="0" w:noVBand="1"/>
      </w:tblPr>
      <w:tblGrid>
        <w:gridCol w:w="1701"/>
        <w:gridCol w:w="1703"/>
        <w:gridCol w:w="567"/>
        <w:gridCol w:w="1133"/>
        <w:gridCol w:w="567"/>
        <w:gridCol w:w="3964"/>
      </w:tblGrid>
      <w:tr w:rsidR="00AD1F54" w:rsidRPr="00264D5D" w14:paraId="7897D28B"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3" w:type="pct"/>
          </w:tcPr>
          <w:p w14:paraId="3425ADF7" w14:textId="77777777" w:rsidR="00AD1F54" w:rsidRPr="00264D5D" w:rsidRDefault="00941227">
            <w:pPr>
              <w:pStyle w:val="ASFKTableHead"/>
            </w:pPr>
            <w:r w:rsidRPr="00264D5D">
              <w:t>Наименование элемента</w:t>
            </w:r>
          </w:p>
        </w:tc>
        <w:tc>
          <w:tcPr>
            <w:tcW w:w="884" w:type="pct"/>
          </w:tcPr>
          <w:p w14:paraId="248FABDB" w14:textId="77777777" w:rsidR="00AD1F54" w:rsidRPr="00264D5D" w:rsidRDefault="00941227">
            <w:pPr>
              <w:pStyle w:val="ASFKTableHead"/>
            </w:pPr>
            <w:r w:rsidRPr="00264D5D">
              <w:t>Сокращенное наименование (код) элемента</w:t>
            </w:r>
          </w:p>
        </w:tc>
        <w:tc>
          <w:tcPr>
            <w:tcW w:w="294" w:type="pct"/>
          </w:tcPr>
          <w:p w14:paraId="36C0C335" w14:textId="77777777" w:rsidR="00AD1F54" w:rsidRPr="00264D5D" w:rsidRDefault="00941227">
            <w:pPr>
              <w:pStyle w:val="ASFKTableHead"/>
            </w:pPr>
            <w:r w:rsidRPr="00264D5D">
              <w:t>Тип</w:t>
            </w:r>
          </w:p>
        </w:tc>
        <w:tc>
          <w:tcPr>
            <w:tcW w:w="588" w:type="pct"/>
          </w:tcPr>
          <w:p w14:paraId="1C0D8925" w14:textId="77777777" w:rsidR="00AD1F54" w:rsidRPr="00264D5D" w:rsidRDefault="00941227">
            <w:pPr>
              <w:pStyle w:val="ASFKTableHead"/>
            </w:pPr>
            <w:r w:rsidRPr="00264D5D">
              <w:t>Формат элемента</w:t>
            </w:r>
          </w:p>
        </w:tc>
        <w:tc>
          <w:tcPr>
            <w:tcW w:w="294" w:type="pct"/>
          </w:tcPr>
          <w:p w14:paraId="4E530F75" w14:textId="77777777" w:rsidR="00AD1F54" w:rsidRPr="00264D5D" w:rsidRDefault="00941227">
            <w:pPr>
              <w:pStyle w:val="ASFKTableHead"/>
            </w:pPr>
            <w:r w:rsidRPr="00264D5D">
              <w:t>Обязательность</w:t>
            </w:r>
          </w:p>
        </w:tc>
        <w:tc>
          <w:tcPr>
            <w:tcW w:w="2057" w:type="pct"/>
          </w:tcPr>
          <w:p w14:paraId="6384CC20" w14:textId="77777777" w:rsidR="00AD1F54" w:rsidRPr="00264D5D" w:rsidRDefault="00941227">
            <w:pPr>
              <w:pStyle w:val="ASFKTableHead"/>
            </w:pPr>
            <w:r w:rsidRPr="00264D5D">
              <w:t>Дополнительная информация</w:t>
            </w:r>
          </w:p>
        </w:tc>
      </w:tr>
      <w:tr w:rsidR="00AD1F54" w:rsidRPr="00264D5D" w14:paraId="524C34C3"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7375266A" w14:textId="77777777" w:rsidR="00AD1F54" w:rsidRPr="00264D5D" w:rsidRDefault="00941227">
            <w:pPr>
              <w:pStyle w:val="GOSTTablenorm"/>
              <w:rPr>
                <w:szCs w:val="22"/>
              </w:rPr>
            </w:pPr>
            <w:r w:rsidRPr="00264D5D">
              <w:rPr>
                <w:szCs w:val="22"/>
              </w:rPr>
              <w:t>Код по Сводному реестру ПБС</w:t>
            </w:r>
          </w:p>
        </w:tc>
        <w:tc>
          <w:tcPr>
            <w:tcW w:w="884" w:type="pct"/>
          </w:tcPr>
          <w:p w14:paraId="704F9D87" w14:textId="77777777" w:rsidR="00AD1F54" w:rsidRPr="00264D5D" w:rsidRDefault="00941227">
            <w:pPr>
              <w:pStyle w:val="GOSTTablenorm"/>
              <w:rPr>
                <w:szCs w:val="22"/>
                <w:lang w:val="en-US"/>
              </w:rPr>
            </w:pPr>
            <w:r w:rsidRPr="00264D5D">
              <w:rPr>
                <w:szCs w:val="22"/>
                <w:lang w:val="en-US"/>
              </w:rPr>
              <w:t>Cd</w:t>
            </w:r>
          </w:p>
        </w:tc>
        <w:tc>
          <w:tcPr>
            <w:tcW w:w="294" w:type="pct"/>
          </w:tcPr>
          <w:p w14:paraId="395B28F9" w14:textId="77777777" w:rsidR="00AD1F54" w:rsidRPr="00264D5D" w:rsidRDefault="00941227">
            <w:pPr>
              <w:pStyle w:val="GOSTTablenorm"/>
              <w:jc w:val="center"/>
              <w:rPr>
                <w:szCs w:val="22"/>
              </w:rPr>
            </w:pPr>
            <w:r w:rsidRPr="00264D5D">
              <w:rPr>
                <w:szCs w:val="22"/>
              </w:rPr>
              <w:t>П</w:t>
            </w:r>
          </w:p>
        </w:tc>
        <w:tc>
          <w:tcPr>
            <w:tcW w:w="588" w:type="pct"/>
          </w:tcPr>
          <w:p w14:paraId="793FA5B4" w14:textId="77777777" w:rsidR="00AD1F54" w:rsidRPr="00264D5D" w:rsidRDefault="00941227">
            <w:pPr>
              <w:pStyle w:val="GOSTTablenorm"/>
              <w:rPr>
                <w:szCs w:val="22"/>
              </w:rPr>
            </w:pPr>
            <w:r w:rsidRPr="00264D5D">
              <w:rPr>
                <w:szCs w:val="22"/>
              </w:rPr>
              <w:t>Т(8)</w:t>
            </w:r>
          </w:p>
        </w:tc>
        <w:tc>
          <w:tcPr>
            <w:tcW w:w="294" w:type="pct"/>
          </w:tcPr>
          <w:p w14:paraId="19C4F503" w14:textId="77777777" w:rsidR="00AD1F54" w:rsidRPr="00264D5D" w:rsidRDefault="00941227">
            <w:pPr>
              <w:pStyle w:val="GOSTTablenorm"/>
              <w:jc w:val="center"/>
              <w:rPr>
                <w:szCs w:val="22"/>
              </w:rPr>
            </w:pPr>
            <w:r w:rsidRPr="00264D5D">
              <w:rPr>
                <w:szCs w:val="22"/>
              </w:rPr>
              <w:t>О</w:t>
            </w:r>
          </w:p>
        </w:tc>
        <w:tc>
          <w:tcPr>
            <w:tcW w:w="2057" w:type="pct"/>
          </w:tcPr>
          <w:p w14:paraId="33F82911" w14:textId="77777777" w:rsidR="00AD1F54" w:rsidRPr="00264D5D" w:rsidRDefault="003E1F19">
            <w:pPr>
              <w:spacing w:before="60" w:after="60"/>
              <w:rPr>
                <w:sz w:val="22"/>
                <w:szCs w:val="22"/>
              </w:rPr>
            </w:pPr>
            <w:r w:rsidRPr="00264D5D">
              <w:rPr>
                <w:sz w:val="22"/>
                <w:szCs w:val="22"/>
              </w:rPr>
              <w:t>Код ПБС по Сводному реестру</w:t>
            </w:r>
          </w:p>
        </w:tc>
      </w:tr>
      <w:tr w:rsidR="00AD1F54" w:rsidRPr="00264D5D" w14:paraId="3628F293"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3" w:type="pct"/>
          </w:tcPr>
          <w:p w14:paraId="5090F089" w14:textId="77777777" w:rsidR="00AD1F54" w:rsidRPr="00264D5D" w:rsidRDefault="00941227">
            <w:pPr>
              <w:pStyle w:val="GOSTTablenorm"/>
              <w:rPr>
                <w:color w:val="000000"/>
                <w:szCs w:val="22"/>
              </w:rPr>
            </w:pPr>
            <w:r w:rsidRPr="00264D5D">
              <w:rPr>
                <w:szCs w:val="22"/>
              </w:rPr>
              <w:t>Наименование ПБС</w:t>
            </w:r>
          </w:p>
        </w:tc>
        <w:tc>
          <w:tcPr>
            <w:tcW w:w="884" w:type="pct"/>
          </w:tcPr>
          <w:p w14:paraId="63688D7C" w14:textId="77777777" w:rsidR="00AD1F54" w:rsidRPr="00264D5D" w:rsidRDefault="00941227">
            <w:pPr>
              <w:pStyle w:val="GOSTTablenorm"/>
              <w:rPr>
                <w:color w:val="000000"/>
                <w:szCs w:val="22"/>
              </w:rPr>
            </w:pPr>
            <w:r w:rsidRPr="00264D5D">
              <w:rPr>
                <w:color w:val="000000"/>
                <w:szCs w:val="22"/>
              </w:rPr>
              <w:t>Nm</w:t>
            </w:r>
          </w:p>
        </w:tc>
        <w:tc>
          <w:tcPr>
            <w:tcW w:w="294" w:type="pct"/>
          </w:tcPr>
          <w:p w14:paraId="3D08C675" w14:textId="77777777" w:rsidR="00AD1F54" w:rsidRPr="00264D5D" w:rsidRDefault="00941227">
            <w:pPr>
              <w:pStyle w:val="GOSTTablenorm"/>
              <w:jc w:val="center"/>
              <w:rPr>
                <w:szCs w:val="22"/>
              </w:rPr>
            </w:pPr>
            <w:r w:rsidRPr="00264D5D">
              <w:rPr>
                <w:szCs w:val="22"/>
              </w:rPr>
              <w:t>П</w:t>
            </w:r>
          </w:p>
        </w:tc>
        <w:tc>
          <w:tcPr>
            <w:tcW w:w="588" w:type="pct"/>
          </w:tcPr>
          <w:p w14:paraId="14B24C60" w14:textId="77777777" w:rsidR="00AD1F54" w:rsidRPr="00264D5D" w:rsidRDefault="00941227">
            <w:pPr>
              <w:pStyle w:val="GOSTTablenorm"/>
              <w:rPr>
                <w:color w:val="000000"/>
                <w:szCs w:val="22"/>
                <w:lang w:val="en-US"/>
              </w:rPr>
            </w:pPr>
            <w:r w:rsidRPr="00264D5D">
              <w:rPr>
                <w:color w:val="000000"/>
                <w:szCs w:val="22"/>
                <w:lang w:val="en-US"/>
              </w:rPr>
              <w:t>Т(1-2000)</w:t>
            </w:r>
          </w:p>
        </w:tc>
        <w:tc>
          <w:tcPr>
            <w:tcW w:w="294" w:type="pct"/>
          </w:tcPr>
          <w:p w14:paraId="1728B87F" w14:textId="77777777" w:rsidR="00AD1F54" w:rsidRPr="00264D5D" w:rsidRDefault="00941227">
            <w:pPr>
              <w:pStyle w:val="GOSTTablenorm"/>
              <w:jc w:val="center"/>
              <w:rPr>
                <w:szCs w:val="22"/>
              </w:rPr>
            </w:pPr>
            <w:r w:rsidRPr="00264D5D">
              <w:rPr>
                <w:szCs w:val="22"/>
              </w:rPr>
              <w:t>О</w:t>
            </w:r>
          </w:p>
        </w:tc>
        <w:tc>
          <w:tcPr>
            <w:tcW w:w="2057" w:type="pct"/>
          </w:tcPr>
          <w:p w14:paraId="103AADC4" w14:textId="77777777" w:rsidR="00AD1F54" w:rsidRPr="00264D5D" w:rsidRDefault="00941227">
            <w:pPr>
              <w:spacing w:before="60" w:after="60"/>
              <w:rPr>
                <w:sz w:val="22"/>
                <w:szCs w:val="22"/>
              </w:rPr>
            </w:pPr>
            <w:r w:rsidRPr="00264D5D">
              <w:rPr>
                <w:sz w:val="22"/>
                <w:szCs w:val="22"/>
              </w:rPr>
              <w:t>Указывается полное или сокращенное наименование получателя бюджетных средств, которому открыт лицевой счет, предназначенный для учета операций со средс</w:t>
            </w:r>
            <w:r w:rsidR="003E1F19" w:rsidRPr="00264D5D">
              <w:rPr>
                <w:sz w:val="22"/>
                <w:szCs w:val="22"/>
              </w:rPr>
              <w:t>твами во временном распоряжении</w:t>
            </w:r>
          </w:p>
        </w:tc>
      </w:tr>
    </w:tbl>
    <w:p w14:paraId="5BEEB7FC" w14:textId="77777777" w:rsidR="00AD1F54" w:rsidRPr="00264D5D" w:rsidRDefault="00941227">
      <w:pPr>
        <w:pStyle w:val="31"/>
      </w:pPr>
      <w:bookmarkStart w:id="3293" w:name="_Toc84802489"/>
      <w:bookmarkStart w:id="3294" w:name="_Toc219309803"/>
      <w:r w:rsidRPr="00264D5D">
        <w:t>Описание комплексного типа «tMSC_TOFK»</w:t>
      </w:r>
      <w:bookmarkEnd w:id="3293"/>
      <w:bookmarkEnd w:id="3294"/>
    </w:p>
    <w:p w14:paraId="70151C6E" w14:textId="77777777" w:rsidR="00AD1F54" w:rsidRPr="00264D5D" w:rsidRDefault="00941227">
      <w:pPr>
        <w:pStyle w:val="GOSTNormal"/>
      </w:pPr>
      <w:r w:rsidRPr="00264D5D">
        <w:t xml:space="preserve">Описание комплексного типа </w:t>
      </w:r>
      <w:r w:rsidRPr="00264D5D">
        <w:rPr>
          <w:rFonts w:eastAsia="Calibri"/>
        </w:rPr>
        <w:t>«</w:t>
      </w:r>
      <w:r w:rsidRPr="00264D5D">
        <w:rPr>
          <w:color w:val="000000"/>
          <w:szCs w:val="22"/>
        </w:rPr>
        <w:t>tMSC_TOFK</w:t>
      </w:r>
      <w:r w:rsidRPr="00264D5D">
        <w:t>» блока «ТОФК».</w:t>
      </w:r>
    </w:p>
    <w:p w14:paraId="74F098A6" w14:textId="7411CE1D"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3295" w:name="_Ref72147340"/>
      <w:bookmarkStart w:id="3296" w:name="_Toc219309350"/>
      <w:r w:rsidR="008D797C">
        <w:rPr>
          <w:noProof/>
        </w:rPr>
        <w:t>320</w:t>
      </w:r>
      <w:bookmarkEnd w:id="3295"/>
      <w:r w:rsidRPr="00264D5D">
        <w:fldChar w:fldCharType="end"/>
      </w:r>
      <w:r w:rsidRPr="00264D5D">
        <w:rPr>
          <w:rFonts w:eastAsia="Calibri"/>
        </w:rPr>
        <w:t xml:space="preserve"> – </w:t>
      </w:r>
      <w:r w:rsidRPr="00264D5D">
        <w:t>Описание комплексного типа «</w:t>
      </w:r>
      <w:r w:rsidRPr="00264D5D">
        <w:rPr>
          <w:color w:val="000000"/>
          <w:szCs w:val="22"/>
        </w:rPr>
        <w:t>tMSC_TOFK</w:t>
      </w:r>
      <w:r w:rsidRPr="00264D5D">
        <w:t>»</w:t>
      </w:r>
      <w:bookmarkEnd w:id="3296"/>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21E4FF15"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4D1D1FB3" w14:textId="77777777" w:rsidR="00AD1F54" w:rsidRPr="00264D5D" w:rsidRDefault="00941227">
            <w:pPr>
              <w:pStyle w:val="ASFKTableHead"/>
            </w:pPr>
            <w:r w:rsidRPr="00264D5D">
              <w:t>Наименование элемента</w:t>
            </w:r>
          </w:p>
        </w:tc>
        <w:tc>
          <w:tcPr>
            <w:tcW w:w="1701" w:type="dxa"/>
          </w:tcPr>
          <w:p w14:paraId="7155F88E" w14:textId="77777777" w:rsidR="00AD1F54" w:rsidRPr="00264D5D" w:rsidRDefault="00941227">
            <w:pPr>
              <w:pStyle w:val="ASFKTableHead"/>
            </w:pPr>
            <w:r w:rsidRPr="00264D5D">
              <w:t>Сокращенное наименование (код) элемента</w:t>
            </w:r>
          </w:p>
        </w:tc>
        <w:tc>
          <w:tcPr>
            <w:tcW w:w="567" w:type="dxa"/>
          </w:tcPr>
          <w:p w14:paraId="0A2D5A52" w14:textId="77777777" w:rsidR="00AD1F54" w:rsidRPr="00264D5D" w:rsidRDefault="00941227">
            <w:pPr>
              <w:pStyle w:val="ASFKTableHead"/>
            </w:pPr>
            <w:r w:rsidRPr="00264D5D">
              <w:t>Тип</w:t>
            </w:r>
          </w:p>
        </w:tc>
        <w:tc>
          <w:tcPr>
            <w:tcW w:w="1134" w:type="dxa"/>
          </w:tcPr>
          <w:p w14:paraId="08EEC3A6" w14:textId="77777777" w:rsidR="00AD1F54" w:rsidRPr="00264D5D" w:rsidRDefault="00941227">
            <w:pPr>
              <w:pStyle w:val="ASFKTableHead"/>
            </w:pPr>
            <w:r w:rsidRPr="00264D5D">
              <w:t>Формат элемента</w:t>
            </w:r>
          </w:p>
        </w:tc>
        <w:tc>
          <w:tcPr>
            <w:tcW w:w="567" w:type="dxa"/>
          </w:tcPr>
          <w:p w14:paraId="4AD47233" w14:textId="77777777" w:rsidR="00AD1F54" w:rsidRPr="00264D5D" w:rsidRDefault="00941227">
            <w:pPr>
              <w:pStyle w:val="ASFKTableHead"/>
            </w:pPr>
            <w:r w:rsidRPr="00264D5D">
              <w:t>Обязательность</w:t>
            </w:r>
          </w:p>
        </w:tc>
        <w:tc>
          <w:tcPr>
            <w:tcW w:w="3963" w:type="dxa"/>
          </w:tcPr>
          <w:p w14:paraId="532DDF86" w14:textId="77777777" w:rsidR="00AD1F54" w:rsidRPr="00264D5D" w:rsidRDefault="00941227">
            <w:pPr>
              <w:pStyle w:val="ASFKTableHead"/>
            </w:pPr>
            <w:r w:rsidRPr="00264D5D">
              <w:t>Дополнительная информация</w:t>
            </w:r>
          </w:p>
        </w:tc>
      </w:tr>
      <w:tr w:rsidR="00AD1F54" w:rsidRPr="00264D5D" w14:paraId="69D54B8C"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91A9594" w14:textId="77777777" w:rsidR="00AD1F54" w:rsidRPr="00264D5D" w:rsidRDefault="00941227">
            <w:pPr>
              <w:pStyle w:val="GOSTTablenorm"/>
              <w:rPr>
                <w:color w:val="000000"/>
                <w:szCs w:val="22"/>
              </w:rPr>
            </w:pPr>
            <w:r w:rsidRPr="00264D5D">
              <w:rPr>
                <w:color w:val="000000"/>
                <w:szCs w:val="22"/>
              </w:rPr>
              <w:t>Наименование ТОФК</w:t>
            </w:r>
          </w:p>
        </w:tc>
        <w:tc>
          <w:tcPr>
            <w:tcW w:w="1701" w:type="dxa"/>
          </w:tcPr>
          <w:p w14:paraId="3BE93D83" w14:textId="77777777" w:rsidR="00AD1F54" w:rsidRPr="00264D5D" w:rsidRDefault="00941227">
            <w:pPr>
              <w:spacing w:before="60" w:after="60"/>
              <w:ind w:firstLine="3"/>
              <w:rPr>
                <w:sz w:val="22"/>
                <w:szCs w:val="22"/>
                <w:lang w:val="en-US"/>
              </w:rPr>
            </w:pPr>
            <w:r w:rsidRPr="00264D5D">
              <w:rPr>
                <w:color w:val="000000"/>
                <w:sz w:val="22"/>
                <w:szCs w:val="22"/>
                <w:lang w:val="en-US"/>
              </w:rPr>
              <w:t>Nm</w:t>
            </w:r>
          </w:p>
        </w:tc>
        <w:tc>
          <w:tcPr>
            <w:tcW w:w="567" w:type="dxa"/>
          </w:tcPr>
          <w:p w14:paraId="7DE98FE5" w14:textId="77777777" w:rsidR="00AD1F54" w:rsidRPr="00264D5D" w:rsidRDefault="00941227">
            <w:pPr>
              <w:pStyle w:val="GOSTTablenorm"/>
              <w:ind w:firstLine="3"/>
              <w:jc w:val="center"/>
              <w:rPr>
                <w:szCs w:val="22"/>
              </w:rPr>
            </w:pPr>
            <w:r w:rsidRPr="00264D5D">
              <w:rPr>
                <w:szCs w:val="22"/>
              </w:rPr>
              <w:t>П</w:t>
            </w:r>
          </w:p>
        </w:tc>
        <w:tc>
          <w:tcPr>
            <w:tcW w:w="1134" w:type="dxa"/>
          </w:tcPr>
          <w:p w14:paraId="04424512" w14:textId="77777777" w:rsidR="00AD1F54" w:rsidRPr="00264D5D" w:rsidRDefault="00941227">
            <w:pPr>
              <w:pStyle w:val="GOSTTablenorm"/>
              <w:ind w:firstLine="3"/>
              <w:rPr>
                <w:color w:val="000000"/>
                <w:szCs w:val="22"/>
              </w:rPr>
            </w:pPr>
            <w:r w:rsidRPr="00264D5D">
              <w:rPr>
                <w:color w:val="000000"/>
                <w:szCs w:val="22"/>
                <w:lang w:val="en-US"/>
              </w:rPr>
              <w:t>Т(1-2000)</w:t>
            </w:r>
          </w:p>
        </w:tc>
        <w:tc>
          <w:tcPr>
            <w:tcW w:w="567" w:type="dxa"/>
          </w:tcPr>
          <w:p w14:paraId="7D608732" w14:textId="77777777" w:rsidR="00AD1F54" w:rsidRPr="00264D5D" w:rsidRDefault="00941227">
            <w:pPr>
              <w:spacing w:before="60" w:after="60"/>
              <w:ind w:firstLine="3"/>
              <w:jc w:val="center"/>
              <w:rPr>
                <w:sz w:val="22"/>
                <w:szCs w:val="22"/>
              </w:rPr>
            </w:pPr>
            <w:r w:rsidRPr="00264D5D">
              <w:rPr>
                <w:sz w:val="22"/>
                <w:szCs w:val="22"/>
              </w:rPr>
              <w:t>О</w:t>
            </w:r>
          </w:p>
        </w:tc>
        <w:tc>
          <w:tcPr>
            <w:tcW w:w="3963" w:type="dxa"/>
          </w:tcPr>
          <w:p w14:paraId="7B2F8A30" w14:textId="77777777" w:rsidR="00AD1F54" w:rsidRPr="00264D5D" w:rsidRDefault="00941227">
            <w:pPr>
              <w:spacing w:before="60" w:after="60"/>
              <w:rPr>
                <w:sz w:val="22"/>
                <w:szCs w:val="22"/>
              </w:rPr>
            </w:pPr>
            <w:r w:rsidRPr="00264D5D">
              <w:rPr>
                <w:sz w:val="22"/>
                <w:szCs w:val="22"/>
              </w:rPr>
              <w:t>Указывается полное или сокращенное наименование ТОФК</w:t>
            </w:r>
            <w:r w:rsidR="003E1F19" w:rsidRPr="00264D5D">
              <w:rPr>
                <w:sz w:val="22"/>
                <w:szCs w:val="22"/>
              </w:rPr>
              <w:t>, в который направлен документ</w:t>
            </w:r>
          </w:p>
        </w:tc>
      </w:tr>
      <w:tr w:rsidR="00AD1F54" w:rsidRPr="00264D5D" w14:paraId="02286ED5"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36C01A4B" w14:textId="77777777" w:rsidR="00AD1F54" w:rsidRPr="00264D5D" w:rsidRDefault="00941227">
            <w:pPr>
              <w:pStyle w:val="GOSTTablenorm"/>
              <w:rPr>
                <w:color w:val="000000"/>
                <w:szCs w:val="22"/>
              </w:rPr>
            </w:pPr>
            <w:r w:rsidRPr="00264D5D">
              <w:rPr>
                <w:color w:val="000000"/>
                <w:szCs w:val="22"/>
              </w:rPr>
              <w:t>Код ТОФК</w:t>
            </w:r>
          </w:p>
        </w:tc>
        <w:tc>
          <w:tcPr>
            <w:tcW w:w="1701" w:type="dxa"/>
          </w:tcPr>
          <w:p w14:paraId="02BD8053" w14:textId="77777777" w:rsidR="00AD1F54" w:rsidRPr="00264D5D" w:rsidRDefault="00941227">
            <w:pPr>
              <w:spacing w:before="60" w:after="60"/>
              <w:ind w:firstLine="3"/>
              <w:rPr>
                <w:sz w:val="22"/>
                <w:szCs w:val="22"/>
                <w:lang w:val="en-US"/>
              </w:rPr>
            </w:pPr>
            <w:r w:rsidRPr="00264D5D">
              <w:rPr>
                <w:color w:val="000000"/>
                <w:sz w:val="22"/>
                <w:szCs w:val="22"/>
                <w:lang w:val="en-US"/>
              </w:rPr>
              <w:t>Cd</w:t>
            </w:r>
          </w:p>
        </w:tc>
        <w:tc>
          <w:tcPr>
            <w:tcW w:w="567" w:type="dxa"/>
          </w:tcPr>
          <w:p w14:paraId="3AF091CC" w14:textId="77777777" w:rsidR="00AD1F54" w:rsidRPr="00264D5D" w:rsidRDefault="00941227">
            <w:pPr>
              <w:pStyle w:val="GOSTTablenorm"/>
              <w:ind w:firstLine="3"/>
              <w:jc w:val="center"/>
              <w:rPr>
                <w:szCs w:val="22"/>
              </w:rPr>
            </w:pPr>
            <w:r w:rsidRPr="00264D5D">
              <w:rPr>
                <w:szCs w:val="22"/>
              </w:rPr>
              <w:t>П</w:t>
            </w:r>
          </w:p>
        </w:tc>
        <w:tc>
          <w:tcPr>
            <w:tcW w:w="1134" w:type="dxa"/>
          </w:tcPr>
          <w:p w14:paraId="3A1607F1" w14:textId="77777777" w:rsidR="00AD1F54" w:rsidRPr="00264D5D" w:rsidRDefault="00941227">
            <w:pPr>
              <w:pStyle w:val="GOSTTablenorm"/>
              <w:ind w:firstLine="3"/>
              <w:rPr>
                <w:color w:val="000000"/>
                <w:szCs w:val="22"/>
              </w:rPr>
            </w:pPr>
            <w:r w:rsidRPr="00264D5D">
              <w:rPr>
                <w:color w:val="000000"/>
                <w:szCs w:val="22"/>
                <w:lang w:val="en-US"/>
              </w:rPr>
              <w:t>Т(4)</w:t>
            </w:r>
          </w:p>
        </w:tc>
        <w:tc>
          <w:tcPr>
            <w:tcW w:w="567" w:type="dxa"/>
          </w:tcPr>
          <w:p w14:paraId="7A3B884E" w14:textId="77777777" w:rsidR="00AD1F54" w:rsidRPr="00264D5D" w:rsidRDefault="00941227">
            <w:pPr>
              <w:spacing w:before="60" w:after="60"/>
              <w:ind w:firstLine="3"/>
              <w:jc w:val="center"/>
              <w:rPr>
                <w:sz w:val="22"/>
                <w:szCs w:val="22"/>
              </w:rPr>
            </w:pPr>
            <w:r w:rsidRPr="00264D5D">
              <w:rPr>
                <w:sz w:val="22"/>
                <w:szCs w:val="22"/>
              </w:rPr>
              <w:t>О</w:t>
            </w:r>
          </w:p>
        </w:tc>
        <w:tc>
          <w:tcPr>
            <w:tcW w:w="3963" w:type="dxa"/>
          </w:tcPr>
          <w:p w14:paraId="58E91DC8" w14:textId="77777777" w:rsidR="00AD1F54" w:rsidRPr="00264D5D" w:rsidRDefault="00941227">
            <w:pPr>
              <w:pStyle w:val="GOSTTablenorm"/>
              <w:ind w:firstLine="3"/>
              <w:rPr>
                <w:szCs w:val="22"/>
              </w:rPr>
            </w:pPr>
            <w:r w:rsidRPr="00264D5D">
              <w:rPr>
                <w:szCs w:val="22"/>
              </w:rPr>
              <w:t>Указывается код ТОФК, в ко</w:t>
            </w:r>
            <w:r w:rsidR="003E1F19" w:rsidRPr="00264D5D">
              <w:rPr>
                <w:szCs w:val="22"/>
              </w:rPr>
              <w:t>торый направлен документ</w:t>
            </w:r>
          </w:p>
        </w:tc>
      </w:tr>
    </w:tbl>
    <w:p w14:paraId="64308771" w14:textId="77777777" w:rsidR="00AD1F54" w:rsidRPr="00264D5D" w:rsidRDefault="00941227">
      <w:pPr>
        <w:pStyle w:val="31"/>
      </w:pPr>
      <w:bookmarkStart w:id="3297" w:name="_Toc84802490"/>
      <w:bookmarkStart w:id="3298" w:name="_Toc219309804"/>
      <w:r w:rsidRPr="00264D5D">
        <w:t>Описание комплексного типа «tSFDU_SVR»</w:t>
      </w:r>
      <w:bookmarkEnd w:id="3287"/>
      <w:bookmarkEnd w:id="3297"/>
      <w:bookmarkEnd w:id="3298"/>
    </w:p>
    <w:p w14:paraId="34C8DE62" w14:textId="77777777" w:rsidR="00AD1F54" w:rsidRPr="00264D5D" w:rsidRDefault="00941227">
      <w:pPr>
        <w:pStyle w:val="ASFKNormal"/>
        <w:jc w:val="both"/>
        <w:rPr>
          <w:rStyle w:val="GOSTNormal0"/>
        </w:rPr>
      </w:pPr>
      <w:r w:rsidRPr="00264D5D">
        <w:rPr>
          <w:rStyle w:val="GOSTNormal0"/>
          <w:szCs w:val="24"/>
        </w:rPr>
        <w:t>Описание комплексного типа «</w:t>
      </w:r>
      <w:r w:rsidRPr="00264D5D">
        <w:rPr>
          <w:sz w:val="24"/>
          <w:szCs w:val="24"/>
        </w:rPr>
        <w:t>tSFDU_SVR</w:t>
      </w:r>
      <w:r w:rsidRPr="00264D5D">
        <w:rPr>
          <w:rStyle w:val="GOSTNormal0"/>
          <w:szCs w:val="24"/>
        </w:rPr>
        <w:t>» блока «</w:t>
      </w:r>
      <w:r w:rsidRPr="00264D5D">
        <w:rPr>
          <w:sz w:val="24"/>
          <w:szCs w:val="24"/>
        </w:rPr>
        <w:t>Источники формирования и направления использования средств во временное распоряжение</w:t>
      </w:r>
      <w:r w:rsidRPr="00264D5D">
        <w:rPr>
          <w:rStyle w:val="GOSTNormal0"/>
          <w:szCs w:val="24"/>
        </w:rPr>
        <w:t>»</w:t>
      </w:r>
      <w:r w:rsidRPr="00264D5D">
        <w:rPr>
          <w:rStyle w:val="GOSTNormal0"/>
        </w:rPr>
        <w:t>.</w:t>
      </w:r>
    </w:p>
    <w:p w14:paraId="19082866" w14:textId="4886EB0E" w:rsidR="00AD1F54" w:rsidRPr="00264D5D" w:rsidRDefault="001E5517">
      <w:pPr>
        <w:pStyle w:val="GOSTNameTable"/>
        <w:numPr>
          <w:ilvl w:val="0"/>
          <w:numId w:val="2"/>
        </w:numPr>
        <w:ind w:left="425" w:hanging="357"/>
      </w:pPr>
      <w:r w:rsidRPr="00264D5D">
        <w:rPr>
          <w:noProof/>
        </w:rPr>
        <w:lastRenderedPageBreak/>
        <w:fldChar w:fldCharType="begin"/>
      </w:r>
      <w:r w:rsidRPr="00264D5D">
        <w:rPr>
          <w:noProof/>
        </w:rPr>
        <w:instrText xml:space="preserve"> SEQ Таблица \* ARABIC </w:instrText>
      </w:r>
      <w:r w:rsidRPr="00264D5D">
        <w:rPr>
          <w:noProof/>
        </w:rPr>
        <w:fldChar w:fldCharType="separate"/>
      </w:r>
      <w:bookmarkStart w:id="3299" w:name="_Ref536178934"/>
      <w:bookmarkStart w:id="3300" w:name="_Toc18509675"/>
      <w:bookmarkStart w:id="3301" w:name="_Toc219309351"/>
      <w:r w:rsidR="008D797C">
        <w:rPr>
          <w:noProof/>
        </w:rPr>
        <w:t>321</w:t>
      </w:r>
      <w:bookmarkEnd w:id="3299"/>
      <w:r w:rsidRPr="00264D5D">
        <w:rPr>
          <w:noProof/>
        </w:rPr>
        <w:fldChar w:fldCharType="end"/>
      </w:r>
      <w:r w:rsidR="00941227" w:rsidRPr="00264D5D">
        <w:rPr>
          <w:rFonts w:eastAsia="Calibri"/>
        </w:rPr>
        <w:t xml:space="preserve"> – </w:t>
      </w:r>
      <w:r w:rsidR="00941227" w:rsidRPr="00264D5D">
        <w:t>Описание комплексного типа «</w:t>
      </w:r>
      <w:r w:rsidR="00941227" w:rsidRPr="00264D5D">
        <w:rPr>
          <w:szCs w:val="22"/>
        </w:rPr>
        <w:t>tSFDU_SVR</w:t>
      </w:r>
      <w:r w:rsidR="00941227" w:rsidRPr="00264D5D">
        <w:t>»</w:t>
      </w:r>
      <w:bookmarkEnd w:id="3300"/>
      <w:bookmarkEnd w:id="3301"/>
    </w:p>
    <w:tbl>
      <w:tblPr>
        <w:tblStyle w:val="GOSTTable"/>
        <w:tblW w:w="9633" w:type="dxa"/>
        <w:tblLayout w:type="fixed"/>
        <w:tblLook w:val="04A0" w:firstRow="1" w:lastRow="0" w:firstColumn="1" w:lastColumn="0" w:noHBand="0" w:noVBand="1"/>
      </w:tblPr>
      <w:tblGrid>
        <w:gridCol w:w="1701"/>
        <w:gridCol w:w="1701"/>
        <w:gridCol w:w="567"/>
        <w:gridCol w:w="1134"/>
        <w:gridCol w:w="567"/>
        <w:gridCol w:w="3963"/>
      </w:tblGrid>
      <w:tr w:rsidR="00AD1F54" w:rsidRPr="00264D5D" w14:paraId="2FFE71E8"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69029FE1" w14:textId="77777777" w:rsidR="00AD1F54" w:rsidRPr="00264D5D" w:rsidRDefault="00941227">
            <w:pPr>
              <w:pStyle w:val="ASFKTableHead"/>
            </w:pPr>
            <w:r w:rsidRPr="00264D5D">
              <w:t>Наименование элемента</w:t>
            </w:r>
          </w:p>
        </w:tc>
        <w:tc>
          <w:tcPr>
            <w:tcW w:w="1701" w:type="dxa"/>
          </w:tcPr>
          <w:p w14:paraId="24BC57E0" w14:textId="77777777" w:rsidR="00AD1F54" w:rsidRPr="00264D5D" w:rsidRDefault="00941227">
            <w:pPr>
              <w:pStyle w:val="ASFKTableHead"/>
            </w:pPr>
            <w:r w:rsidRPr="00264D5D">
              <w:t>Сокращенное наименование (код) элемента</w:t>
            </w:r>
          </w:p>
        </w:tc>
        <w:tc>
          <w:tcPr>
            <w:tcW w:w="567" w:type="dxa"/>
          </w:tcPr>
          <w:p w14:paraId="6883FDBF" w14:textId="77777777" w:rsidR="00AD1F54" w:rsidRPr="00264D5D" w:rsidRDefault="00941227">
            <w:pPr>
              <w:pStyle w:val="ASFKTableHead"/>
            </w:pPr>
            <w:r w:rsidRPr="00264D5D">
              <w:t>Тип</w:t>
            </w:r>
          </w:p>
        </w:tc>
        <w:tc>
          <w:tcPr>
            <w:tcW w:w="1134" w:type="dxa"/>
          </w:tcPr>
          <w:p w14:paraId="2AAA6C45" w14:textId="77777777" w:rsidR="00AD1F54" w:rsidRPr="00264D5D" w:rsidRDefault="00941227">
            <w:pPr>
              <w:pStyle w:val="ASFKTableHead"/>
            </w:pPr>
            <w:r w:rsidRPr="00264D5D">
              <w:t>Формат элемента</w:t>
            </w:r>
          </w:p>
        </w:tc>
        <w:tc>
          <w:tcPr>
            <w:tcW w:w="567" w:type="dxa"/>
          </w:tcPr>
          <w:p w14:paraId="67084B69" w14:textId="77777777" w:rsidR="00AD1F54" w:rsidRPr="00264D5D" w:rsidRDefault="00941227">
            <w:pPr>
              <w:pStyle w:val="ASFKTableHead"/>
            </w:pPr>
            <w:r w:rsidRPr="00264D5D">
              <w:t>Обязательность</w:t>
            </w:r>
          </w:p>
        </w:tc>
        <w:tc>
          <w:tcPr>
            <w:tcW w:w="3963" w:type="dxa"/>
          </w:tcPr>
          <w:p w14:paraId="4441EBC3" w14:textId="77777777" w:rsidR="00AD1F54" w:rsidRPr="00264D5D" w:rsidRDefault="00941227">
            <w:pPr>
              <w:pStyle w:val="ASFKTableHead"/>
            </w:pPr>
            <w:r w:rsidRPr="00264D5D">
              <w:t>Дополнительная информация</w:t>
            </w:r>
          </w:p>
        </w:tc>
      </w:tr>
      <w:tr w:rsidR="00AD1F54" w:rsidRPr="00264D5D" w14:paraId="41A00D61" w14:textId="77777777" w:rsidTr="00AD1F54">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4F64917F" w14:textId="77777777" w:rsidR="00AD1F54" w:rsidRPr="00264D5D" w:rsidRDefault="00941227">
            <w:pPr>
              <w:spacing w:before="60" w:after="60"/>
              <w:rPr>
                <w:color w:val="000000"/>
                <w:sz w:val="22"/>
                <w:szCs w:val="22"/>
              </w:rPr>
            </w:pPr>
            <w:r w:rsidRPr="00264D5D">
              <w:rPr>
                <w:sz w:val="22"/>
                <w:szCs w:val="22"/>
              </w:rPr>
              <w:t>Источники формирования и направления использования средств во временное распоряжение (строки)</w:t>
            </w:r>
          </w:p>
        </w:tc>
        <w:tc>
          <w:tcPr>
            <w:tcW w:w="1701" w:type="dxa"/>
          </w:tcPr>
          <w:p w14:paraId="602E8229" w14:textId="77777777" w:rsidR="00AD1F54" w:rsidRPr="00264D5D" w:rsidRDefault="00941227">
            <w:pPr>
              <w:pStyle w:val="GOSTTablenorm"/>
              <w:rPr>
                <w:szCs w:val="22"/>
              </w:rPr>
            </w:pPr>
            <w:r w:rsidRPr="00264D5D">
              <w:rPr>
                <w:szCs w:val="22"/>
              </w:rPr>
              <w:t>SVR_ITEM</w:t>
            </w:r>
          </w:p>
        </w:tc>
        <w:tc>
          <w:tcPr>
            <w:tcW w:w="567" w:type="dxa"/>
          </w:tcPr>
          <w:p w14:paraId="7344549B" w14:textId="77777777" w:rsidR="00AD1F54" w:rsidRPr="00264D5D" w:rsidRDefault="00941227">
            <w:pPr>
              <w:pStyle w:val="GOSTTablenorm"/>
              <w:jc w:val="center"/>
              <w:rPr>
                <w:szCs w:val="22"/>
              </w:rPr>
            </w:pPr>
            <w:r w:rsidRPr="00264D5D">
              <w:rPr>
                <w:szCs w:val="22"/>
              </w:rPr>
              <w:t>С</w:t>
            </w:r>
          </w:p>
        </w:tc>
        <w:tc>
          <w:tcPr>
            <w:tcW w:w="1134" w:type="dxa"/>
          </w:tcPr>
          <w:p w14:paraId="1F6EA5DD" w14:textId="77777777" w:rsidR="00AD1F54" w:rsidRPr="00264D5D" w:rsidRDefault="00941227">
            <w:pPr>
              <w:pStyle w:val="GOSTTablenorm"/>
              <w:rPr>
                <w:szCs w:val="22"/>
              </w:rPr>
            </w:pPr>
            <w:r w:rsidRPr="00264D5D">
              <w:rPr>
                <w:szCs w:val="22"/>
              </w:rPr>
              <w:t>tSFDU_SVR_ITEM</w:t>
            </w:r>
          </w:p>
        </w:tc>
        <w:tc>
          <w:tcPr>
            <w:tcW w:w="567" w:type="dxa"/>
          </w:tcPr>
          <w:p w14:paraId="72DDC3F5" w14:textId="77777777" w:rsidR="00AD1F54" w:rsidRPr="00264D5D" w:rsidRDefault="00941227">
            <w:pPr>
              <w:pStyle w:val="GOSTTablenorm"/>
              <w:rPr>
                <w:szCs w:val="22"/>
              </w:rPr>
            </w:pPr>
            <w:r w:rsidRPr="00264D5D">
              <w:rPr>
                <w:szCs w:val="22"/>
              </w:rPr>
              <w:t>ОМ</w:t>
            </w:r>
          </w:p>
        </w:tc>
        <w:tc>
          <w:tcPr>
            <w:tcW w:w="3963" w:type="dxa"/>
          </w:tcPr>
          <w:p w14:paraId="40B38271" w14:textId="6DA85878" w:rsidR="00AD1F54" w:rsidRPr="00264D5D" w:rsidRDefault="00941227">
            <w:pPr>
              <w:pStyle w:val="GOSTTablenorm"/>
              <w:rPr>
                <w:szCs w:val="22"/>
              </w:rPr>
            </w:pPr>
            <w:r w:rsidRPr="00264D5D">
              <w:rPr>
                <w:szCs w:val="22"/>
              </w:rPr>
              <w:t xml:space="preserve">Состав элемента представлен в таблице </w:t>
            </w:r>
            <w:r w:rsidRPr="00264D5D">
              <w:rPr>
                <w:szCs w:val="22"/>
              </w:rPr>
              <w:fldChar w:fldCharType="begin"/>
            </w:r>
            <w:r w:rsidRPr="00264D5D">
              <w:rPr>
                <w:szCs w:val="22"/>
              </w:rPr>
              <w:instrText xml:space="preserve"> REF _Ref536180453 \h  \* MERGEFORMAT </w:instrText>
            </w:r>
            <w:r w:rsidRPr="00264D5D">
              <w:rPr>
                <w:szCs w:val="22"/>
              </w:rPr>
            </w:r>
            <w:r w:rsidRPr="00264D5D">
              <w:rPr>
                <w:szCs w:val="22"/>
              </w:rPr>
              <w:fldChar w:fldCharType="separate"/>
            </w:r>
            <w:r w:rsidR="008D797C" w:rsidRPr="008D797C">
              <w:rPr>
                <w:szCs w:val="22"/>
              </w:rPr>
              <w:t>322</w:t>
            </w:r>
            <w:r w:rsidRPr="00264D5D">
              <w:rPr>
                <w:szCs w:val="22"/>
              </w:rPr>
              <w:fldChar w:fldCharType="end"/>
            </w:r>
          </w:p>
        </w:tc>
      </w:tr>
    </w:tbl>
    <w:p w14:paraId="342E2465" w14:textId="77777777" w:rsidR="00AD1F54" w:rsidRPr="00264D5D" w:rsidRDefault="00941227">
      <w:pPr>
        <w:pStyle w:val="31"/>
      </w:pPr>
      <w:bookmarkStart w:id="3302" w:name="_Toc18509404"/>
      <w:bookmarkStart w:id="3303" w:name="_Toc84802491"/>
      <w:bookmarkStart w:id="3304" w:name="_Toc219309805"/>
      <w:r w:rsidRPr="00264D5D">
        <w:t>Описание комплексного типа «tSFDU_SVR_ITEM»</w:t>
      </w:r>
      <w:bookmarkEnd w:id="3302"/>
      <w:bookmarkEnd w:id="3303"/>
      <w:bookmarkEnd w:id="3304"/>
    </w:p>
    <w:p w14:paraId="69370E95" w14:textId="77777777" w:rsidR="00AD1F54" w:rsidRPr="00264D5D" w:rsidRDefault="00941227">
      <w:pPr>
        <w:pStyle w:val="ASFKNormal"/>
        <w:jc w:val="both"/>
        <w:rPr>
          <w:rStyle w:val="GOSTNormal0"/>
        </w:rPr>
      </w:pPr>
      <w:r w:rsidRPr="00264D5D">
        <w:rPr>
          <w:rStyle w:val="GOSTNormal0"/>
          <w:szCs w:val="24"/>
        </w:rPr>
        <w:t>Описание комплексного типа «</w:t>
      </w:r>
      <w:r w:rsidRPr="00264D5D">
        <w:rPr>
          <w:sz w:val="24"/>
          <w:szCs w:val="24"/>
        </w:rPr>
        <w:t>tSFDU_SVR_ITEM</w:t>
      </w:r>
      <w:r w:rsidRPr="00264D5D">
        <w:rPr>
          <w:rStyle w:val="GOSTNormal0"/>
          <w:szCs w:val="24"/>
        </w:rPr>
        <w:t>» блока «</w:t>
      </w:r>
      <w:r w:rsidRPr="00264D5D">
        <w:rPr>
          <w:sz w:val="24"/>
          <w:szCs w:val="24"/>
        </w:rPr>
        <w:t>Источники формирования и направления использования средств во временное распоряжение (строки)</w:t>
      </w:r>
      <w:r w:rsidRPr="00264D5D">
        <w:rPr>
          <w:rStyle w:val="GOSTNormal0"/>
          <w:szCs w:val="24"/>
        </w:rPr>
        <w:t>»</w:t>
      </w:r>
      <w:r w:rsidRPr="00264D5D">
        <w:rPr>
          <w:rStyle w:val="GOSTNormal0"/>
        </w:rPr>
        <w:t>.</w:t>
      </w:r>
    </w:p>
    <w:p w14:paraId="00374672" w14:textId="7F6BE2AA" w:rsidR="00AD1F54" w:rsidRPr="00264D5D" w:rsidRDefault="001E5517">
      <w:pPr>
        <w:pStyle w:val="GOSTNameTable"/>
        <w:numPr>
          <w:ilvl w:val="0"/>
          <w:numId w:val="2"/>
        </w:numPr>
        <w:ind w:left="425" w:hanging="357"/>
      </w:pPr>
      <w:r w:rsidRPr="00264D5D">
        <w:rPr>
          <w:noProof/>
        </w:rPr>
        <w:fldChar w:fldCharType="begin"/>
      </w:r>
      <w:r w:rsidRPr="00264D5D">
        <w:rPr>
          <w:noProof/>
        </w:rPr>
        <w:instrText xml:space="preserve"> SEQ Таблица \* ARABIC </w:instrText>
      </w:r>
      <w:r w:rsidRPr="00264D5D">
        <w:rPr>
          <w:noProof/>
        </w:rPr>
        <w:fldChar w:fldCharType="separate"/>
      </w:r>
      <w:bookmarkStart w:id="3305" w:name="_Ref536180453"/>
      <w:bookmarkStart w:id="3306" w:name="_Toc18509676"/>
      <w:bookmarkStart w:id="3307" w:name="_Toc219309352"/>
      <w:r w:rsidR="008D797C">
        <w:rPr>
          <w:noProof/>
        </w:rPr>
        <w:t>322</w:t>
      </w:r>
      <w:bookmarkEnd w:id="3305"/>
      <w:r w:rsidRPr="00264D5D">
        <w:rPr>
          <w:noProof/>
        </w:rPr>
        <w:fldChar w:fldCharType="end"/>
      </w:r>
      <w:r w:rsidR="00941227" w:rsidRPr="00264D5D">
        <w:rPr>
          <w:rFonts w:eastAsia="Calibri"/>
        </w:rPr>
        <w:t xml:space="preserve"> – </w:t>
      </w:r>
      <w:r w:rsidR="00941227" w:rsidRPr="00264D5D">
        <w:t>Описание комплексного типа «tSFDU_SVR_ITEM»</w:t>
      </w:r>
      <w:bookmarkEnd w:id="3306"/>
      <w:bookmarkEnd w:id="3307"/>
    </w:p>
    <w:tbl>
      <w:tblPr>
        <w:tblStyle w:val="GOSTTable"/>
        <w:tblW w:w="9633" w:type="dxa"/>
        <w:tblLayout w:type="fixed"/>
        <w:tblLook w:val="04A0" w:firstRow="1" w:lastRow="0" w:firstColumn="1" w:lastColumn="0" w:noHBand="0" w:noVBand="1"/>
      </w:tblPr>
      <w:tblGrid>
        <w:gridCol w:w="1701"/>
        <w:gridCol w:w="1701"/>
        <w:gridCol w:w="567"/>
        <w:gridCol w:w="1134"/>
        <w:gridCol w:w="567"/>
        <w:gridCol w:w="3963"/>
      </w:tblGrid>
      <w:tr w:rsidR="00AD1F54" w:rsidRPr="00264D5D" w14:paraId="46191A0F"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63962E7F" w14:textId="77777777" w:rsidR="00AD1F54" w:rsidRPr="00264D5D" w:rsidRDefault="00941227">
            <w:pPr>
              <w:pStyle w:val="ASFKTableHead"/>
            </w:pPr>
            <w:r w:rsidRPr="00264D5D">
              <w:t>Наименование элемента</w:t>
            </w:r>
          </w:p>
        </w:tc>
        <w:tc>
          <w:tcPr>
            <w:tcW w:w="1701" w:type="dxa"/>
          </w:tcPr>
          <w:p w14:paraId="1382A8FD" w14:textId="77777777" w:rsidR="00AD1F54" w:rsidRPr="00264D5D" w:rsidRDefault="00941227">
            <w:pPr>
              <w:pStyle w:val="ASFKTableHead"/>
            </w:pPr>
            <w:r w:rsidRPr="00264D5D">
              <w:t>Сокращенное наименование (код) элемента</w:t>
            </w:r>
          </w:p>
        </w:tc>
        <w:tc>
          <w:tcPr>
            <w:tcW w:w="567" w:type="dxa"/>
          </w:tcPr>
          <w:p w14:paraId="1699B486" w14:textId="77777777" w:rsidR="00AD1F54" w:rsidRPr="00264D5D" w:rsidRDefault="00941227">
            <w:pPr>
              <w:pStyle w:val="ASFKTableHead"/>
            </w:pPr>
            <w:r w:rsidRPr="00264D5D">
              <w:t>Тип</w:t>
            </w:r>
          </w:p>
        </w:tc>
        <w:tc>
          <w:tcPr>
            <w:tcW w:w="1134" w:type="dxa"/>
          </w:tcPr>
          <w:p w14:paraId="21AF3E84" w14:textId="77777777" w:rsidR="00AD1F54" w:rsidRPr="00264D5D" w:rsidRDefault="00941227">
            <w:pPr>
              <w:pStyle w:val="ASFKTableHead"/>
            </w:pPr>
            <w:r w:rsidRPr="00264D5D">
              <w:t>Формат элемента</w:t>
            </w:r>
          </w:p>
        </w:tc>
        <w:tc>
          <w:tcPr>
            <w:tcW w:w="567" w:type="dxa"/>
          </w:tcPr>
          <w:p w14:paraId="5AFE0C84" w14:textId="77777777" w:rsidR="00AD1F54" w:rsidRPr="00264D5D" w:rsidRDefault="00941227">
            <w:pPr>
              <w:pStyle w:val="ASFKTableHead"/>
            </w:pPr>
            <w:r w:rsidRPr="00264D5D">
              <w:t>Обязательность</w:t>
            </w:r>
          </w:p>
        </w:tc>
        <w:tc>
          <w:tcPr>
            <w:tcW w:w="3963" w:type="dxa"/>
          </w:tcPr>
          <w:p w14:paraId="5F33177E" w14:textId="77777777" w:rsidR="00AD1F54" w:rsidRPr="00264D5D" w:rsidRDefault="00941227">
            <w:pPr>
              <w:pStyle w:val="ASFKTableHead"/>
            </w:pPr>
            <w:r w:rsidRPr="00264D5D">
              <w:t>Дополнительная информация</w:t>
            </w:r>
          </w:p>
        </w:tc>
      </w:tr>
      <w:tr w:rsidR="00AD1F54" w:rsidRPr="00264D5D" w14:paraId="484A8DD2" w14:textId="77777777" w:rsidTr="00AD1F54">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4C0990C2" w14:textId="77777777" w:rsidR="00AD1F54" w:rsidRPr="00264D5D" w:rsidRDefault="00941227">
            <w:pPr>
              <w:spacing w:before="60" w:after="60"/>
              <w:rPr>
                <w:color w:val="000000"/>
                <w:sz w:val="22"/>
                <w:szCs w:val="22"/>
              </w:rPr>
            </w:pPr>
            <w:r w:rsidRPr="00264D5D">
              <w:rPr>
                <w:sz w:val="22"/>
                <w:szCs w:val="22"/>
              </w:rPr>
              <w:t>Номер строки</w:t>
            </w:r>
          </w:p>
        </w:tc>
        <w:tc>
          <w:tcPr>
            <w:tcW w:w="1701" w:type="dxa"/>
          </w:tcPr>
          <w:p w14:paraId="26033E1E" w14:textId="77777777" w:rsidR="00AD1F54" w:rsidRPr="00264D5D" w:rsidRDefault="00941227">
            <w:pPr>
              <w:pStyle w:val="GOSTTablenorm"/>
              <w:rPr>
                <w:szCs w:val="22"/>
              </w:rPr>
            </w:pPr>
            <w:r w:rsidRPr="00264D5D">
              <w:rPr>
                <w:szCs w:val="22"/>
              </w:rPr>
              <w:t>NmbRw</w:t>
            </w:r>
          </w:p>
        </w:tc>
        <w:tc>
          <w:tcPr>
            <w:tcW w:w="567" w:type="dxa"/>
          </w:tcPr>
          <w:p w14:paraId="6572BDFE" w14:textId="77777777" w:rsidR="00AD1F54" w:rsidRPr="00264D5D" w:rsidRDefault="00941227">
            <w:pPr>
              <w:pStyle w:val="GOSTTablenorm"/>
              <w:jc w:val="center"/>
              <w:rPr>
                <w:szCs w:val="22"/>
              </w:rPr>
            </w:pPr>
            <w:r w:rsidRPr="00264D5D">
              <w:rPr>
                <w:szCs w:val="22"/>
              </w:rPr>
              <w:t>П</w:t>
            </w:r>
          </w:p>
        </w:tc>
        <w:tc>
          <w:tcPr>
            <w:tcW w:w="1134" w:type="dxa"/>
          </w:tcPr>
          <w:p w14:paraId="7DEFA2D8" w14:textId="77777777" w:rsidR="00AD1F54" w:rsidRPr="00264D5D" w:rsidRDefault="00941227">
            <w:pPr>
              <w:pStyle w:val="GOSTTablenorm"/>
              <w:rPr>
                <w:szCs w:val="22"/>
              </w:rPr>
            </w:pPr>
            <w:r w:rsidRPr="00264D5D">
              <w:rPr>
                <w:szCs w:val="22"/>
                <w:lang w:val="en-US"/>
              </w:rPr>
              <w:t>T(</w:t>
            </w:r>
            <w:r w:rsidRPr="00264D5D">
              <w:rPr>
                <w:szCs w:val="22"/>
              </w:rPr>
              <w:t>1-20</w:t>
            </w:r>
            <w:r w:rsidRPr="00264D5D">
              <w:rPr>
                <w:szCs w:val="22"/>
                <w:lang w:val="en-US"/>
              </w:rPr>
              <w:t>)</w:t>
            </w:r>
          </w:p>
        </w:tc>
        <w:tc>
          <w:tcPr>
            <w:tcW w:w="567" w:type="dxa"/>
          </w:tcPr>
          <w:p w14:paraId="6D47360C" w14:textId="77777777" w:rsidR="00AD1F54" w:rsidRPr="00264D5D" w:rsidRDefault="00941227">
            <w:pPr>
              <w:pStyle w:val="GOSTTablenorm"/>
              <w:jc w:val="center"/>
              <w:rPr>
                <w:szCs w:val="22"/>
              </w:rPr>
            </w:pPr>
            <w:r w:rsidRPr="00264D5D">
              <w:rPr>
                <w:szCs w:val="22"/>
              </w:rPr>
              <w:t>О</w:t>
            </w:r>
          </w:p>
        </w:tc>
        <w:tc>
          <w:tcPr>
            <w:tcW w:w="3963" w:type="dxa"/>
          </w:tcPr>
          <w:p w14:paraId="5FF154AE" w14:textId="77777777" w:rsidR="00AD1F54" w:rsidRPr="00264D5D" w:rsidRDefault="00941227">
            <w:pPr>
              <w:pStyle w:val="GOSTTablenorm"/>
              <w:rPr>
                <w:szCs w:val="22"/>
              </w:rPr>
            </w:pPr>
            <w:r w:rsidRPr="00264D5D">
              <w:rPr>
                <w:szCs w:val="22"/>
              </w:rPr>
              <w:t>Указ</w:t>
            </w:r>
            <w:r w:rsidR="003E1F19" w:rsidRPr="00264D5D">
              <w:rPr>
                <w:szCs w:val="22"/>
              </w:rPr>
              <w:t>ывается порядковый номер строки</w:t>
            </w:r>
          </w:p>
        </w:tc>
      </w:tr>
      <w:tr w:rsidR="00AD1F54" w:rsidRPr="00264D5D" w14:paraId="7A92B04F" w14:textId="77777777" w:rsidTr="00AD1F54">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6F2F9FBB" w14:textId="77777777" w:rsidR="00AD1F54" w:rsidRPr="00264D5D" w:rsidRDefault="00941227">
            <w:pPr>
              <w:spacing w:before="60" w:after="60"/>
              <w:rPr>
                <w:color w:val="000000"/>
                <w:sz w:val="22"/>
                <w:szCs w:val="22"/>
              </w:rPr>
            </w:pPr>
            <w:r w:rsidRPr="00264D5D">
              <w:rPr>
                <w:sz w:val="22"/>
                <w:szCs w:val="22"/>
              </w:rPr>
              <w:t>Код НПА</w:t>
            </w:r>
          </w:p>
        </w:tc>
        <w:tc>
          <w:tcPr>
            <w:tcW w:w="1701" w:type="dxa"/>
          </w:tcPr>
          <w:p w14:paraId="110FBF19" w14:textId="77777777" w:rsidR="00AD1F54" w:rsidRPr="00264D5D" w:rsidRDefault="00941227">
            <w:pPr>
              <w:pStyle w:val="GOSTTablenorm"/>
              <w:rPr>
                <w:szCs w:val="22"/>
              </w:rPr>
            </w:pPr>
            <w:r w:rsidRPr="00264D5D">
              <w:rPr>
                <w:szCs w:val="22"/>
              </w:rPr>
              <w:t>NPACode</w:t>
            </w:r>
          </w:p>
        </w:tc>
        <w:tc>
          <w:tcPr>
            <w:tcW w:w="567" w:type="dxa"/>
          </w:tcPr>
          <w:p w14:paraId="2422E6CB" w14:textId="77777777" w:rsidR="00AD1F54" w:rsidRPr="00264D5D" w:rsidRDefault="00941227">
            <w:pPr>
              <w:pStyle w:val="GOSTTablenorm"/>
              <w:jc w:val="center"/>
              <w:rPr>
                <w:szCs w:val="22"/>
              </w:rPr>
            </w:pPr>
            <w:r w:rsidRPr="00264D5D">
              <w:rPr>
                <w:szCs w:val="22"/>
              </w:rPr>
              <w:t>П</w:t>
            </w:r>
          </w:p>
        </w:tc>
        <w:tc>
          <w:tcPr>
            <w:tcW w:w="1134" w:type="dxa"/>
          </w:tcPr>
          <w:p w14:paraId="69FCC2E0" w14:textId="77777777" w:rsidR="00AD1F54" w:rsidRPr="00264D5D" w:rsidRDefault="00941227">
            <w:pPr>
              <w:pStyle w:val="GOSTTablenorm"/>
              <w:rPr>
                <w:szCs w:val="22"/>
              </w:rPr>
            </w:pPr>
            <w:r w:rsidRPr="00264D5D">
              <w:rPr>
                <w:szCs w:val="22"/>
                <w:lang w:val="en-US"/>
              </w:rPr>
              <w:t>T(</w:t>
            </w:r>
            <w:r w:rsidRPr="00264D5D">
              <w:rPr>
                <w:szCs w:val="22"/>
              </w:rPr>
              <w:t>4</w:t>
            </w:r>
            <w:r w:rsidRPr="00264D5D">
              <w:rPr>
                <w:szCs w:val="22"/>
                <w:lang w:val="en-US"/>
              </w:rPr>
              <w:t>)</w:t>
            </w:r>
          </w:p>
        </w:tc>
        <w:tc>
          <w:tcPr>
            <w:tcW w:w="567" w:type="dxa"/>
          </w:tcPr>
          <w:p w14:paraId="20CCF002" w14:textId="77777777" w:rsidR="00AD1F54" w:rsidRPr="00264D5D" w:rsidRDefault="00941227">
            <w:pPr>
              <w:pStyle w:val="GOSTTablenorm"/>
              <w:jc w:val="center"/>
              <w:rPr>
                <w:szCs w:val="22"/>
              </w:rPr>
            </w:pPr>
            <w:r w:rsidRPr="00264D5D">
              <w:rPr>
                <w:szCs w:val="22"/>
              </w:rPr>
              <w:t>О</w:t>
            </w:r>
          </w:p>
        </w:tc>
        <w:tc>
          <w:tcPr>
            <w:tcW w:w="3963" w:type="dxa"/>
          </w:tcPr>
          <w:p w14:paraId="71202E07" w14:textId="77777777" w:rsidR="00AD1F54" w:rsidRPr="00264D5D" w:rsidRDefault="003E1F19">
            <w:pPr>
              <w:spacing w:before="60" w:after="60"/>
              <w:rPr>
                <w:sz w:val="22"/>
                <w:szCs w:val="22"/>
              </w:rPr>
            </w:pPr>
            <w:r w:rsidRPr="00264D5D">
              <w:rPr>
                <w:sz w:val="22"/>
                <w:szCs w:val="22"/>
              </w:rPr>
              <w:t>Указывается Код НПА</w:t>
            </w:r>
          </w:p>
        </w:tc>
      </w:tr>
      <w:tr w:rsidR="00AD1F54" w:rsidRPr="00264D5D" w14:paraId="4B03AFDE" w14:textId="77777777" w:rsidTr="00AD1F54">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6882CAF2" w14:textId="77777777" w:rsidR="00AD1F54" w:rsidRPr="00264D5D" w:rsidRDefault="00941227">
            <w:pPr>
              <w:spacing w:before="60" w:after="60"/>
              <w:rPr>
                <w:color w:val="000000"/>
                <w:sz w:val="22"/>
                <w:szCs w:val="22"/>
              </w:rPr>
            </w:pPr>
            <w:r w:rsidRPr="00264D5D">
              <w:rPr>
                <w:sz w:val="22"/>
                <w:szCs w:val="22"/>
              </w:rPr>
              <w:t>Код средств</w:t>
            </w:r>
          </w:p>
        </w:tc>
        <w:tc>
          <w:tcPr>
            <w:tcW w:w="1701" w:type="dxa"/>
          </w:tcPr>
          <w:p w14:paraId="7CB096AE" w14:textId="77777777" w:rsidR="00AD1F54" w:rsidRPr="00264D5D" w:rsidRDefault="00941227">
            <w:pPr>
              <w:pStyle w:val="GOSTTablenorm"/>
              <w:rPr>
                <w:szCs w:val="22"/>
                <w:lang w:val="en-US"/>
              </w:rPr>
            </w:pPr>
            <w:r w:rsidRPr="00264D5D">
              <w:rPr>
                <w:szCs w:val="22"/>
                <w:lang w:val="en-US"/>
              </w:rPr>
              <w:t>FndIdnt</w:t>
            </w:r>
          </w:p>
        </w:tc>
        <w:tc>
          <w:tcPr>
            <w:tcW w:w="567" w:type="dxa"/>
          </w:tcPr>
          <w:p w14:paraId="1D917937" w14:textId="77777777" w:rsidR="00AD1F54" w:rsidRPr="00264D5D" w:rsidRDefault="00941227">
            <w:pPr>
              <w:pStyle w:val="GOSTTablenorm"/>
              <w:jc w:val="center"/>
              <w:rPr>
                <w:szCs w:val="22"/>
              </w:rPr>
            </w:pPr>
            <w:r w:rsidRPr="00264D5D">
              <w:rPr>
                <w:szCs w:val="22"/>
              </w:rPr>
              <w:t>П</w:t>
            </w:r>
          </w:p>
        </w:tc>
        <w:tc>
          <w:tcPr>
            <w:tcW w:w="1134" w:type="dxa"/>
          </w:tcPr>
          <w:p w14:paraId="70E3EAF3" w14:textId="77777777" w:rsidR="00AD1F54" w:rsidRPr="00264D5D" w:rsidRDefault="00941227">
            <w:pPr>
              <w:pStyle w:val="GOSTTablenorm"/>
              <w:rPr>
                <w:szCs w:val="22"/>
              </w:rPr>
            </w:pPr>
            <w:r w:rsidRPr="00264D5D">
              <w:rPr>
                <w:szCs w:val="22"/>
                <w:lang w:val="en-US"/>
              </w:rPr>
              <w:t>T(</w:t>
            </w:r>
            <w:r w:rsidRPr="00264D5D">
              <w:rPr>
                <w:szCs w:val="22"/>
              </w:rPr>
              <w:t>15</w:t>
            </w:r>
            <w:r w:rsidRPr="00264D5D">
              <w:rPr>
                <w:szCs w:val="22"/>
                <w:lang w:val="en-US"/>
              </w:rPr>
              <w:t>)</w:t>
            </w:r>
          </w:p>
        </w:tc>
        <w:tc>
          <w:tcPr>
            <w:tcW w:w="567" w:type="dxa"/>
          </w:tcPr>
          <w:p w14:paraId="72B9606A" w14:textId="77777777" w:rsidR="00AD1F54" w:rsidRPr="00264D5D" w:rsidRDefault="00941227">
            <w:pPr>
              <w:pStyle w:val="GOSTTablenorm"/>
              <w:jc w:val="center"/>
              <w:rPr>
                <w:szCs w:val="22"/>
              </w:rPr>
            </w:pPr>
            <w:r w:rsidRPr="00264D5D">
              <w:rPr>
                <w:szCs w:val="22"/>
              </w:rPr>
              <w:t>О</w:t>
            </w:r>
          </w:p>
        </w:tc>
        <w:tc>
          <w:tcPr>
            <w:tcW w:w="3963" w:type="dxa"/>
          </w:tcPr>
          <w:p w14:paraId="4CB4B154" w14:textId="77777777" w:rsidR="00AD1F54" w:rsidRPr="00264D5D" w:rsidRDefault="00941227">
            <w:pPr>
              <w:spacing w:before="60" w:after="60"/>
              <w:rPr>
                <w:sz w:val="22"/>
                <w:szCs w:val="22"/>
              </w:rPr>
            </w:pPr>
            <w:r w:rsidRPr="00264D5D">
              <w:rPr>
                <w:sz w:val="22"/>
                <w:szCs w:val="22"/>
              </w:rPr>
              <w:t>Указывается код средств, состоящий из 15 разрядов, содержание которых соответствует содержанию первых 15 разрядов идентификационного кода по</w:t>
            </w:r>
            <w:r w:rsidR="003E1F19" w:rsidRPr="00264D5D">
              <w:rPr>
                <w:sz w:val="22"/>
                <w:szCs w:val="22"/>
              </w:rPr>
              <w:t>ступлений</w:t>
            </w:r>
          </w:p>
        </w:tc>
      </w:tr>
      <w:tr w:rsidR="00AD1F54" w:rsidRPr="00264D5D" w14:paraId="60993125" w14:textId="77777777" w:rsidTr="00AD1F54">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677EB502" w14:textId="77777777" w:rsidR="00AD1F54" w:rsidRPr="00264D5D" w:rsidRDefault="00941227">
            <w:pPr>
              <w:spacing w:before="60" w:after="60"/>
              <w:rPr>
                <w:sz w:val="22"/>
                <w:szCs w:val="22"/>
              </w:rPr>
            </w:pPr>
            <w:r w:rsidRPr="00264D5D">
              <w:rPr>
                <w:sz w:val="22"/>
                <w:szCs w:val="22"/>
              </w:rPr>
              <w:t>Примечание</w:t>
            </w:r>
          </w:p>
        </w:tc>
        <w:tc>
          <w:tcPr>
            <w:tcW w:w="1701" w:type="dxa"/>
          </w:tcPr>
          <w:p w14:paraId="02F2F402" w14:textId="77777777" w:rsidR="00AD1F54" w:rsidRPr="00264D5D" w:rsidRDefault="00941227">
            <w:pPr>
              <w:pStyle w:val="GOSTTablenorm"/>
              <w:rPr>
                <w:szCs w:val="22"/>
                <w:lang w:val="en-US"/>
              </w:rPr>
            </w:pPr>
            <w:r w:rsidRPr="00264D5D">
              <w:rPr>
                <w:szCs w:val="22"/>
                <w:lang w:val="en-US"/>
              </w:rPr>
              <w:t>Nt</w:t>
            </w:r>
          </w:p>
        </w:tc>
        <w:tc>
          <w:tcPr>
            <w:tcW w:w="567" w:type="dxa"/>
          </w:tcPr>
          <w:p w14:paraId="3D87A1E1" w14:textId="77777777" w:rsidR="00AD1F54" w:rsidRPr="00264D5D" w:rsidRDefault="00941227">
            <w:pPr>
              <w:pStyle w:val="GOSTTablenorm"/>
              <w:jc w:val="center"/>
              <w:rPr>
                <w:szCs w:val="22"/>
              </w:rPr>
            </w:pPr>
            <w:r w:rsidRPr="00264D5D">
              <w:rPr>
                <w:szCs w:val="22"/>
              </w:rPr>
              <w:t>П</w:t>
            </w:r>
          </w:p>
        </w:tc>
        <w:tc>
          <w:tcPr>
            <w:tcW w:w="1134" w:type="dxa"/>
          </w:tcPr>
          <w:p w14:paraId="175A1494" w14:textId="77777777" w:rsidR="00AD1F54" w:rsidRPr="00264D5D" w:rsidRDefault="00941227">
            <w:pPr>
              <w:pStyle w:val="GOSTTablenorm"/>
              <w:rPr>
                <w:szCs w:val="22"/>
              </w:rPr>
            </w:pPr>
            <w:r w:rsidRPr="00264D5D">
              <w:rPr>
                <w:szCs w:val="22"/>
                <w:lang w:val="en-US"/>
              </w:rPr>
              <w:t>T(</w:t>
            </w:r>
            <w:r w:rsidRPr="00264D5D">
              <w:rPr>
                <w:szCs w:val="22"/>
              </w:rPr>
              <w:t>1-254</w:t>
            </w:r>
            <w:r w:rsidRPr="00264D5D">
              <w:rPr>
                <w:szCs w:val="22"/>
                <w:lang w:val="en-US"/>
              </w:rPr>
              <w:t>)</w:t>
            </w:r>
          </w:p>
        </w:tc>
        <w:tc>
          <w:tcPr>
            <w:tcW w:w="567" w:type="dxa"/>
          </w:tcPr>
          <w:p w14:paraId="75D42217" w14:textId="77777777" w:rsidR="00AD1F54" w:rsidRPr="00264D5D" w:rsidRDefault="00941227">
            <w:pPr>
              <w:pStyle w:val="GOSTTablenorm"/>
              <w:jc w:val="center"/>
              <w:rPr>
                <w:szCs w:val="22"/>
              </w:rPr>
            </w:pPr>
            <w:r w:rsidRPr="00264D5D">
              <w:rPr>
                <w:szCs w:val="22"/>
              </w:rPr>
              <w:t>Н</w:t>
            </w:r>
          </w:p>
        </w:tc>
        <w:tc>
          <w:tcPr>
            <w:tcW w:w="3963" w:type="dxa"/>
          </w:tcPr>
          <w:p w14:paraId="662CD2A0" w14:textId="77777777" w:rsidR="00AD1F54" w:rsidRPr="00264D5D" w:rsidRDefault="003E1F19">
            <w:pPr>
              <w:spacing w:before="60" w:after="60"/>
              <w:ind w:firstLine="9"/>
              <w:rPr>
                <w:sz w:val="22"/>
                <w:szCs w:val="22"/>
              </w:rPr>
            </w:pPr>
            <w:r w:rsidRPr="00264D5D">
              <w:rPr>
                <w:sz w:val="22"/>
                <w:szCs w:val="22"/>
              </w:rPr>
              <w:t>Указывается примечание</w:t>
            </w:r>
          </w:p>
        </w:tc>
      </w:tr>
    </w:tbl>
    <w:p w14:paraId="6FFF3D4B" w14:textId="77777777" w:rsidR="00AD1F54" w:rsidRPr="00264D5D" w:rsidRDefault="00941227">
      <w:pPr>
        <w:pStyle w:val="31"/>
      </w:pPr>
      <w:bookmarkStart w:id="3308" w:name="_Toc84802492"/>
      <w:bookmarkStart w:id="3309" w:name="_Ref536178891"/>
      <w:bookmarkStart w:id="3310" w:name="_Toc18509407"/>
      <w:bookmarkStart w:id="3311" w:name="_Toc219309806"/>
      <w:r w:rsidRPr="00264D5D">
        <w:t>Описание комплексного типа «tSGNNmPsDt3»</w:t>
      </w:r>
      <w:bookmarkEnd w:id="3308"/>
      <w:bookmarkEnd w:id="3311"/>
    </w:p>
    <w:p w14:paraId="2DDF52D2" w14:textId="77777777" w:rsidR="00AD1F54" w:rsidRPr="00264D5D" w:rsidRDefault="00941227">
      <w:pPr>
        <w:pStyle w:val="ASFKNormal"/>
        <w:jc w:val="both"/>
        <w:rPr>
          <w:sz w:val="24"/>
        </w:rPr>
      </w:pPr>
      <w:r w:rsidRPr="00264D5D">
        <w:rPr>
          <w:sz w:val="24"/>
        </w:rPr>
        <w:t>Описание комплексного типа «tSGNNmPsDt3» блока «Подпись ГРБС» и «Подпись руководителя (уполномоченного лица)».</w:t>
      </w:r>
    </w:p>
    <w:p w14:paraId="6B78FD68" w14:textId="50F144CD"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3312" w:name="_Ref68280512"/>
      <w:bookmarkStart w:id="3313" w:name="_Toc219309353"/>
      <w:r w:rsidR="008D797C">
        <w:rPr>
          <w:noProof/>
        </w:rPr>
        <w:t>323</w:t>
      </w:r>
      <w:bookmarkEnd w:id="3312"/>
      <w:r w:rsidRPr="00264D5D">
        <w:fldChar w:fldCharType="end"/>
      </w:r>
      <w:r w:rsidRPr="00264D5D">
        <w:rPr>
          <w:rFonts w:eastAsia="Calibri"/>
        </w:rPr>
        <w:t xml:space="preserve"> – </w:t>
      </w:r>
      <w:r w:rsidRPr="00264D5D">
        <w:t>Описание комплексного типа «</w:t>
      </w:r>
      <w:r w:rsidRPr="00264D5D">
        <w:rPr>
          <w:szCs w:val="22"/>
        </w:rPr>
        <w:t>tSGNNmPsDt3</w:t>
      </w:r>
      <w:r w:rsidRPr="00264D5D">
        <w:t>»</w:t>
      </w:r>
      <w:bookmarkEnd w:id="3313"/>
    </w:p>
    <w:tbl>
      <w:tblPr>
        <w:tblStyle w:val="GOSTTable"/>
        <w:tblW w:w="9633" w:type="dxa"/>
        <w:tblLayout w:type="fixed"/>
        <w:tblLook w:val="04A0" w:firstRow="1" w:lastRow="0" w:firstColumn="1" w:lastColumn="0" w:noHBand="0" w:noVBand="1"/>
      </w:tblPr>
      <w:tblGrid>
        <w:gridCol w:w="1701"/>
        <w:gridCol w:w="1701"/>
        <w:gridCol w:w="567"/>
        <w:gridCol w:w="1134"/>
        <w:gridCol w:w="567"/>
        <w:gridCol w:w="3963"/>
      </w:tblGrid>
      <w:tr w:rsidR="00AD1F54" w:rsidRPr="00264D5D" w14:paraId="2EABF4D4"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1B9E64B0" w14:textId="77777777" w:rsidR="00AD1F54" w:rsidRPr="00264D5D" w:rsidRDefault="00941227">
            <w:pPr>
              <w:pStyle w:val="ASFKTableHead"/>
            </w:pPr>
            <w:r w:rsidRPr="00264D5D">
              <w:t>Наименование элемента</w:t>
            </w:r>
          </w:p>
        </w:tc>
        <w:tc>
          <w:tcPr>
            <w:tcW w:w="1701" w:type="dxa"/>
          </w:tcPr>
          <w:p w14:paraId="2689689D" w14:textId="77777777" w:rsidR="00AD1F54" w:rsidRPr="00264D5D" w:rsidRDefault="00941227">
            <w:pPr>
              <w:pStyle w:val="ASFKTableHead"/>
            </w:pPr>
            <w:r w:rsidRPr="00264D5D">
              <w:t>Сокращенное наименование (код) элемента</w:t>
            </w:r>
          </w:p>
        </w:tc>
        <w:tc>
          <w:tcPr>
            <w:tcW w:w="567" w:type="dxa"/>
          </w:tcPr>
          <w:p w14:paraId="007F1D1D" w14:textId="77777777" w:rsidR="00AD1F54" w:rsidRPr="00264D5D" w:rsidRDefault="00941227">
            <w:pPr>
              <w:pStyle w:val="ASFKTableHead"/>
            </w:pPr>
            <w:r w:rsidRPr="00264D5D">
              <w:t>Тип</w:t>
            </w:r>
          </w:p>
        </w:tc>
        <w:tc>
          <w:tcPr>
            <w:tcW w:w="1134" w:type="dxa"/>
          </w:tcPr>
          <w:p w14:paraId="278C9F5A" w14:textId="77777777" w:rsidR="00AD1F54" w:rsidRPr="00264D5D" w:rsidRDefault="00941227">
            <w:pPr>
              <w:pStyle w:val="ASFKTableHead"/>
            </w:pPr>
            <w:r w:rsidRPr="00264D5D">
              <w:t>Формат элемента</w:t>
            </w:r>
          </w:p>
        </w:tc>
        <w:tc>
          <w:tcPr>
            <w:tcW w:w="567" w:type="dxa"/>
          </w:tcPr>
          <w:p w14:paraId="58CA13EA" w14:textId="77777777" w:rsidR="00AD1F54" w:rsidRPr="00264D5D" w:rsidRDefault="00941227">
            <w:pPr>
              <w:pStyle w:val="ASFKTableHead"/>
            </w:pPr>
            <w:r w:rsidRPr="00264D5D">
              <w:t>Обязательность</w:t>
            </w:r>
          </w:p>
        </w:tc>
        <w:tc>
          <w:tcPr>
            <w:tcW w:w="3963" w:type="dxa"/>
          </w:tcPr>
          <w:p w14:paraId="5B6AE3A4" w14:textId="77777777" w:rsidR="00AD1F54" w:rsidRPr="00264D5D" w:rsidRDefault="00941227">
            <w:pPr>
              <w:pStyle w:val="ASFKTableHead"/>
            </w:pPr>
            <w:r w:rsidRPr="00264D5D">
              <w:t>Дополнительная информация</w:t>
            </w:r>
          </w:p>
        </w:tc>
      </w:tr>
      <w:tr w:rsidR="00AD1F54" w:rsidRPr="00264D5D" w14:paraId="486FDD58"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5DC3239" w14:textId="77777777" w:rsidR="00AD1F54" w:rsidRPr="00264D5D" w:rsidRDefault="00941227">
            <w:pPr>
              <w:pStyle w:val="GOSTTablenorm"/>
              <w:rPr>
                <w:szCs w:val="22"/>
                <w:lang w:val="en-US"/>
              </w:rPr>
            </w:pPr>
            <w:r w:rsidRPr="00264D5D">
              <w:rPr>
                <w:rFonts w:eastAsiaTheme="minorHAnsi"/>
                <w:color w:val="000000"/>
                <w:szCs w:val="22"/>
                <w:lang w:eastAsia="en-US"/>
              </w:rPr>
              <w:t>Расшифровка подписи</w:t>
            </w:r>
          </w:p>
        </w:tc>
        <w:tc>
          <w:tcPr>
            <w:tcW w:w="1701" w:type="dxa"/>
          </w:tcPr>
          <w:p w14:paraId="3B7F79F1" w14:textId="77777777" w:rsidR="00AD1F54" w:rsidRPr="00264D5D" w:rsidRDefault="00941227">
            <w:pPr>
              <w:pStyle w:val="GOSTTablenorm"/>
              <w:rPr>
                <w:szCs w:val="22"/>
              </w:rPr>
            </w:pPr>
            <w:r w:rsidRPr="00264D5D">
              <w:rPr>
                <w:rFonts w:eastAsiaTheme="minorHAnsi"/>
                <w:color w:val="000000"/>
                <w:szCs w:val="22"/>
                <w:lang w:eastAsia="en-US"/>
              </w:rPr>
              <w:t>FIO</w:t>
            </w:r>
          </w:p>
        </w:tc>
        <w:tc>
          <w:tcPr>
            <w:tcW w:w="567" w:type="dxa"/>
          </w:tcPr>
          <w:p w14:paraId="2475E619" w14:textId="77777777" w:rsidR="00AD1F54" w:rsidRPr="00264D5D" w:rsidRDefault="00941227">
            <w:pPr>
              <w:pStyle w:val="GOSTTablenorm"/>
              <w:jc w:val="center"/>
              <w:rPr>
                <w:szCs w:val="22"/>
              </w:rPr>
            </w:pPr>
            <w:r w:rsidRPr="00264D5D">
              <w:rPr>
                <w:szCs w:val="22"/>
              </w:rPr>
              <w:t>П</w:t>
            </w:r>
          </w:p>
        </w:tc>
        <w:tc>
          <w:tcPr>
            <w:tcW w:w="1134" w:type="dxa"/>
          </w:tcPr>
          <w:p w14:paraId="5A0914DD" w14:textId="77777777" w:rsidR="00AD1F54" w:rsidRPr="00264D5D" w:rsidRDefault="00941227">
            <w:pPr>
              <w:pStyle w:val="GOSTTablenorm"/>
              <w:rPr>
                <w:szCs w:val="22"/>
                <w:lang w:val="en-US"/>
              </w:rPr>
            </w:pPr>
            <w:r w:rsidRPr="00264D5D">
              <w:rPr>
                <w:szCs w:val="22"/>
                <w:lang w:val="en-US"/>
              </w:rPr>
              <w:t>T(</w:t>
            </w:r>
            <w:r w:rsidRPr="00264D5D">
              <w:rPr>
                <w:szCs w:val="22"/>
              </w:rPr>
              <w:t>1-50</w:t>
            </w:r>
            <w:r w:rsidRPr="00264D5D">
              <w:rPr>
                <w:szCs w:val="22"/>
                <w:lang w:val="en-US"/>
              </w:rPr>
              <w:t>)</w:t>
            </w:r>
          </w:p>
        </w:tc>
        <w:tc>
          <w:tcPr>
            <w:tcW w:w="567" w:type="dxa"/>
          </w:tcPr>
          <w:p w14:paraId="29723C93" w14:textId="77777777" w:rsidR="00AD1F54" w:rsidRPr="00264D5D" w:rsidRDefault="00941227">
            <w:pPr>
              <w:pStyle w:val="GOSTTablenorm"/>
              <w:jc w:val="center"/>
              <w:rPr>
                <w:szCs w:val="22"/>
              </w:rPr>
            </w:pPr>
            <w:r w:rsidRPr="00264D5D">
              <w:rPr>
                <w:szCs w:val="22"/>
              </w:rPr>
              <w:t>Н</w:t>
            </w:r>
          </w:p>
        </w:tc>
        <w:tc>
          <w:tcPr>
            <w:tcW w:w="3963" w:type="dxa"/>
          </w:tcPr>
          <w:p w14:paraId="1E8AA886" w14:textId="77777777" w:rsidR="00AD1F54" w:rsidRPr="00264D5D" w:rsidRDefault="00941227">
            <w:pPr>
              <w:spacing w:before="60" w:after="60"/>
              <w:rPr>
                <w:sz w:val="22"/>
                <w:szCs w:val="22"/>
              </w:rPr>
            </w:pPr>
            <w:r w:rsidRPr="00264D5D">
              <w:rPr>
                <w:sz w:val="22"/>
                <w:szCs w:val="22"/>
              </w:rPr>
              <w:t xml:space="preserve">Указывается расшифровка подписи </w:t>
            </w:r>
            <w:r w:rsidR="003E1F19" w:rsidRPr="00264D5D">
              <w:rPr>
                <w:sz w:val="22"/>
                <w:szCs w:val="22"/>
              </w:rPr>
              <w:t>с указанием инициалов и фамилии</w:t>
            </w:r>
          </w:p>
        </w:tc>
      </w:tr>
      <w:tr w:rsidR="00AD1F54" w:rsidRPr="00264D5D" w14:paraId="631F7B3A"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068B4972" w14:textId="77777777" w:rsidR="00AD1F54" w:rsidRPr="00264D5D" w:rsidRDefault="00941227">
            <w:pPr>
              <w:pStyle w:val="GOSTTablenorm"/>
              <w:rPr>
                <w:szCs w:val="22"/>
              </w:rPr>
            </w:pPr>
            <w:r w:rsidRPr="00264D5D">
              <w:rPr>
                <w:rFonts w:eastAsiaTheme="minorHAnsi"/>
                <w:color w:val="000000"/>
                <w:szCs w:val="22"/>
                <w:lang w:eastAsia="en-US"/>
              </w:rPr>
              <w:t>Должность</w:t>
            </w:r>
          </w:p>
        </w:tc>
        <w:tc>
          <w:tcPr>
            <w:tcW w:w="1701" w:type="dxa"/>
          </w:tcPr>
          <w:p w14:paraId="288D510A" w14:textId="77777777" w:rsidR="00AD1F54" w:rsidRPr="00264D5D" w:rsidRDefault="00941227">
            <w:pPr>
              <w:pStyle w:val="GOSTTablenorm"/>
              <w:rPr>
                <w:szCs w:val="22"/>
              </w:rPr>
            </w:pPr>
            <w:r w:rsidRPr="00264D5D">
              <w:rPr>
                <w:rFonts w:eastAsiaTheme="minorHAnsi"/>
                <w:color w:val="000000"/>
                <w:szCs w:val="22"/>
                <w:lang w:eastAsia="en-US"/>
              </w:rPr>
              <w:t>Pst</w:t>
            </w:r>
          </w:p>
        </w:tc>
        <w:tc>
          <w:tcPr>
            <w:tcW w:w="567" w:type="dxa"/>
          </w:tcPr>
          <w:p w14:paraId="506AB011" w14:textId="77777777" w:rsidR="00AD1F54" w:rsidRPr="00264D5D" w:rsidRDefault="00941227">
            <w:pPr>
              <w:pStyle w:val="GOSTTablenorm"/>
              <w:jc w:val="center"/>
              <w:rPr>
                <w:szCs w:val="22"/>
              </w:rPr>
            </w:pPr>
            <w:r w:rsidRPr="00264D5D">
              <w:rPr>
                <w:szCs w:val="22"/>
              </w:rPr>
              <w:t>П</w:t>
            </w:r>
          </w:p>
        </w:tc>
        <w:tc>
          <w:tcPr>
            <w:tcW w:w="1134" w:type="dxa"/>
          </w:tcPr>
          <w:p w14:paraId="27F1684D" w14:textId="77777777" w:rsidR="00AD1F54" w:rsidRPr="00264D5D" w:rsidRDefault="00941227">
            <w:pPr>
              <w:pStyle w:val="GOSTTablenorm"/>
              <w:rPr>
                <w:szCs w:val="22"/>
              </w:rPr>
            </w:pPr>
            <w:r w:rsidRPr="00264D5D">
              <w:rPr>
                <w:szCs w:val="22"/>
                <w:lang w:val="en-US"/>
              </w:rPr>
              <w:t>T(</w:t>
            </w:r>
            <w:r w:rsidRPr="00264D5D">
              <w:rPr>
                <w:szCs w:val="22"/>
              </w:rPr>
              <w:t>1-100</w:t>
            </w:r>
            <w:r w:rsidRPr="00264D5D">
              <w:rPr>
                <w:szCs w:val="22"/>
                <w:lang w:val="en-US"/>
              </w:rPr>
              <w:t>)</w:t>
            </w:r>
          </w:p>
        </w:tc>
        <w:tc>
          <w:tcPr>
            <w:tcW w:w="567" w:type="dxa"/>
          </w:tcPr>
          <w:p w14:paraId="733B0991" w14:textId="77777777" w:rsidR="00AD1F54" w:rsidRPr="00264D5D" w:rsidRDefault="00941227">
            <w:pPr>
              <w:pStyle w:val="GOSTTablenorm"/>
              <w:jc w:val="center"/>
              <w:rPr>
                <w:szCs w:val="22"/>
              </w:rPr>
            </w:pPr>
            <w:r w:rsidRPr="00264D5D">
              <w:rPr>
                <w:szCs w:val="22"/>
              </w:rPr>
              <w:t>Н</w:t>
            </w:r>
          </w:p>
        </w:tc>
        <w:tc>
          <w:tcPr>
            <w:tcW w:w="3963" w:type="dxa"/>
          </w:tcPr>
          <w:p w14:paraId="3AEAF756" w14:textId="77777777" w:rsidR="00AD1F54" w:rsidRPr="00264D5D" w:rsidRDefault="00941227">
            <w:pPr>
              <w:spacing w:before="60" w:after="60"/>
              <w:rPr>
                <w:szCs w:val="22"/>
              </w:rPr>
            </w:pPr>
            <w:r w:rsidRPr="00264D5D">
              <w:rPr>
                <w:sz w:val="22"/>
                <w:szCs w:val="22"/>
              </w:rPr>
              <w:t>Указывается наименование дол</w:t>
            </w:r>
            <w:r w:rsidR="003E1F19" w:rsidRPr="00264D5D">
              <w:rPr>
                <w:sz w:val="22"/>
                <w:szCs w:val="22"/>
              </w:rPr>
              <w:t>жности, подписывающего документ</w:t>
            </w:r>
          </w:p>
        </w:tc>
      </w:tr>
      <w:tr w:rsidR="00AD1F54" w:rsidRPr="00264D5D" w14:paraId="703E814D"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9C749DE" w14:textId="77777777" w:rsidR="00AD1F54" w:rsidRPr="00264D5D" w:rsidRDefault="00941227">
            <w:pPr>
              <w:pStyle w:val="GOSTTablenorm"/>
              <w:rPr>
                <w:szCs w:val="22"/>
              </w:rPr>
            </w:pPr>
            <w:r w:rsidRPr="00264D5D">
              <w:rPr>
                <w:rFonts w:eastAsiaTheme="minorHAnsi"/>
                <w:color w:val="000000"/>
                <w:szCs w:val="22"/>
                <w:lang w:eastAsia="en-US"/>
              </w:rPr>
              <w:lastRenderedPageBreak/>
              <w:t>Дата подписи</w:t>
            </w:r>
          </w:p>
        </w:tc>
        <w:tc>
          <w:tcPr>
            <w:tcW w:w="1701" w:type="dxa"/>
          </w:tcPr>
          <w:p w14:paraId="7D69B5C4" w14:textId="77777777" w:rsidR="00AD1F54" w:rsidRPr="00264D5D" w:rsidRDefault="00941227">
            <w:pPr>
              <w:pStyle w:val="GOSTTablenorm"/>
              <w:rPr>
                <w:szCs w:val="22"/>
              </w:rPr>
            </w:pPr>
            <w:r w:rsidRPr="00264D5D">
              <w:rPr>
                <w:rFonts w:eastAsiaTheme="minorHAnsi"/>
                <w:color w:val="000000"/>
                <w:szCs w:val="22"/>
                <w:lang w:eastAsia="en-US"/>
              </w:rPr>
              <w:t>DtSgn</w:t>
            </w:r>
          </w:p>
        </w:tc>
        <w:tc>
          <w:tcPr>
            <w:tcW w:w="567" w:type="dxa"/>
          </w:tcPr>
          <w:p w14:paraId="5B6F2486" w14:textId="77777777" w:rsidR="00AD1F54" w:rsidRPr="00264D5D" w:rsidRDefault="00941227">
            <w:pPr>
              <w:pStyle w:val="GOSTTablenorm"/>
              <w:jc w:val="center"/>
              <w:rPr>
                <w:szCs w:val="22"/>
              </w:rPr>
            </w:pPr>
            <w:r w:rsidRPr="00264D5D">
              <w:rPr>
                <w:szCs w:val="22"/>
              </w:rPr>
              <w:t>П</w:t>
            </w:r>
          </w:p>
        </w:tc>
        <w:tc>
          <w:tcPr>
            <w:tcW w:w="1134" w:type="dxa"/>
          </w:tcPr>
          <w:p w14:paraId="51D9207D" w14:textId="77777777" w:rsidR="00AD1F54" w:rsidRPr="00264D5D" w:rsidRDefault="00941227">
            <w:pPr>
              <w:pStyle w:val="GOSTTablenorm"/>
              <w:rPr>
                <w:szCs w:val="22"/>
              </w:rPr>
            </w:pPr>
            <w:r w:rsidRPr="00264D5D">
              <w:rPr>
                <w:szCs w:val="22"/>
                <w:lang w:val="en-US"/>
              </w:rPr>
              <w:t>Date</w:t>
            </w:r>
          </w:p>
        </w:tc>
        <w:tc>
          <w:tcPr>
            <w:tcW w:w="567" w:type="dxa"/>
          </w:tcPr>
          <w:p w14:paraId="11C04643" w14:textId="77777777" w:rsidR="00AD1F54" w:rsidRPr="00264D5D" w:rsidRDefault="00941227">
            <w:pPr>
              <w:pStyle w:val="GOSTTablenorm"/>
              <w:jc w:val="center"/>
              <w:rPr>
                <w:szCs w:val="22"/>
              </w:rPr>
            </w:pPr>
            <w:r w:rsidRPr="00264D5D">
              <w:rPr>
                <w:szCs w:val="22"/>
              </w:rPr>
              <w:t>Н</w:t>
            </w:r>
          </w:p>
        </w:tc>
        <w:tc>
          <w:tcPr>
            <w:tcW w:w="3963" w:type="dxa"/>
          </w:tcPr>
          <w:p w14:paraId="18542C91" w14:textId="77777777" w:rsidR="00AD1F54" w:rsidRPr="00264D5D" w:rsidRDefault="00941227">
            <w:pPr>
              <w:pStyle w:val="GOSTTableNum"/>
              <w:tabs>
                <w:tab w:val="clear" w:pos="114"/>
              </w:tabs>
              <w:ind w:firstLine="0"/>
              <w:rPr>
                <w:szCs w:val="22"/>
              </w:rPr>
            </w:pPr>
            <w:r w:rsidRPr="00264D5D">
              <w:rPr>
                <w:szCs w:val="22"/>
              </w:rPr>
              <w:t>Указыва</w:t>
            </w:r>
            <w:r w:rsidR="003E1F19" w:rsidRPr="00264D5D">
              <w:rPr>
                <w:szCs w:val="22"/>
              </w:rPr>
              <w:t>ется дата подписания документа</w:t>
            </w:r>
          </w:p>
        </w:tc>
      </w:tr>
    </w:tbl>
    <w:p w14:paraId="28F363E1" w14:textId="77777777" w:rsidR="00AD1F54" w:rsidRPr="00264D5D" w:rsidRDefault="00941227">
      <w:pPr>
        <w:pStyle w:val="31"/>
      </w:pPr>
      <w:bookmarkStart w:id="3314" w:name="_Toc84802493"/>
      <w:bookmarkStart w:id="3315" w:name="_Toc219309807"/>
      <w:r w:rsidRPr="00264D5D">
        <w:t>Описание комплексного типа «tTF»</w:t>
      </w:r>
      <w:bookmarkEnd w:id="3314"/>
      <w:bookmarkEnd w:id="3315"/>
    </w:p>
    <w:p w14:paraId="1C4B80CA" w14:textId="77777777" w:rsidR="00AD1F54" w:rsidRPr="00264D5D" w:rsidRDefault="00941227">
      <w:pPr>
        <w:pStyle w:val="ASFKNormal"/>
        <w:jc w:val="both"/>
        <w:rPr>
          <w:sz w:val="24"/>
        </w:rPr>
      </w:pPr>
      <w:r w:rsidRPr="00264D5D">
        <w:rPr>
          <w:sz w:val="24"/>
        </w:rPr>
        <w:t>Описание комплексного типа «tTF» блока «Системная информация».</w:t>
      </w:r>
    </w:p>
    <w:p w14:paraId="179874E4" w14:textId="04087D2D"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3316" w:name="_Ref72147311"/>
      <w:bookmarkStart w:id="3317" w:name="_Toc219309354"/>
      <w:r w:rsidR="008D797C">
        <w:rPr>
          <w:noProof/>
        </w:rPr>
        <w:t>324</w:t>
      </w:r>
      <w:bookmarkEnd w:id="3316"/>
      <w:r w:rsidRPr="00264D5D">
        <w:fldChar w:fldCharType="end"/>
      </w:r>
      <w:r w:rsidRPr="00264D5D">
        <w:rPr>
          <w:rFonts w:eastAsia="Calibri"/>
        </w:rPr>
        <w:t xml:space="preserve"> – </w:t>
      </w:r>
      <w:r w:rsidRPr="00264D5D">
        <w:t>Описание комплексного типа «</w:t>
      </w:r>
      <w:r w:rsidRPr="00264D5D">
        <w:rPr>
          <w:szCs w:val="22"/>
        </w:rPr>
        <w:t>tTF</w:t>
      </w:r>
      <w:r w:rsidRPr="00264D5D">
        <w:t>»</w:t>
      </w:r>
      <w:bookmarkEnd w:id="3317"/>
    </w:p>
    <w:tbl>
      <w:tblPr>
        <w:tblStyle w:val="GOSTTable"/>
        <w:tblW w:w="9633" w:type="dxa"/>
        <w:tblLayout w:type="fixed"/>
        <w:tblLook w:val="04A0" w:firstRow="1" w:lastRow="0" w:firstColumn="1" w:lastColumn="0" w:noHBand="0" w:noVBand="1"/>
      </w:tblPr>
      <w:tblGrid>
        <w:gridCol w:w="1701"/>
        <w:gridCol w:w="1701"/>
        <w:gridCol w:w="567"/>
        <w:gridCol w:w="1134"/>
        <w:gridCol w:w="567"/>
        <w:gridCol w:w="3963"/>
      </w:tblGrid>
      <w:tr w:rsidR="00AD1F54" w:rsidRPr="00264D5D" w14:paraId="767F2E86"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4EC90873" w14:textId="77777777" w:rsidR="00AD1F54" w:rsidRPr="00264D5D" w:rsidRDefault="00941227">
            <w:pPr>
              <w:pStyle w:val="ASFKTableHead"/>
            </w:pPr>
            <w:r w:rsidRPr="00264D5D">
              <w:t>Наименование элемента</w:t>
            </w:r>
          </w:p>
        </w:tc>
        <w:tc>
          <w:tcPr>
            <w:tcW w:w="1701" w:type="dxa"/>
          </w:tcPr>
          <w:p w14:paraId="1155F168" w14:textId="77777777" w:rsidR="00AD1F54" w:rsidRPr="00264D5D" w:rsidRDefault="00941227">
            <w:pPr>
              <w:pStyle w:val="ASFKTableHead"/>
            </w:pPr>
            <w:r w:rsidRPr="00264D5D">
              <w:t>Сокращенное наименование (код) элемента</w:t>
            </w:r>
          </w:p>
        </w:tc>
        <w:tc>
          <w:tcPr>
            <w:tcW w:w="567" w:type="dxa"/>
          </w:tcPr>
          <w:p w14:paraId="291ADD27" w14:textId="77777777" w:rsidR="00AD1F54" w:rsidRPr="00264D5D" w:rsidRDefault="00941227">
            <w:pPr>
              <w:pStyle w:val="ASFKTableHead"/>
            </w:pPr>
            <w:r w:rsidRPr="00264D5D">
              <w:t>Тип</w:t>
            </w:r>
          </w:p>
        </w:tc>
        <w:tc>
          <w:tcPr>
            <w:tcW w:w="1134" w:type="dxa"/>
          </w:tcPr>
          <w:p w14:paraId="06A2E7C1" w14:textId="77777777" w:rsidR="00AD1F54" w:rsidRPr="00264D5D" w:rsidRDefault="00941227">
            <w:pPr>
              <w:pStyle w:val="ASFKTableHead"/>
            </w:pPr>
            <w:r w:rsidRPr="00264D5D">
              <w:t>Формат элемента</w:t>
            </w:r>
          </w:p>
        </w:tc>
        <w:tc>
          <w:tcPr>
            <w:tcW w:w="567" w:type="dxa"/>
          </w:tcPr>
          <w:p w14:paraId="32A18EA3" w14:textId="77777777" w:rsidR="00AD1F54" w:rsidRPr="00264D5D" w:rsidRDefault="00941227">
            <w:pPr>
              <w:pStyle w:val="ASFKTableHead"/>
            </w:pPr>
            <w:r w:rsidRPr="00264D5D">
              <w:t>Обязательность</w:t>
            </w:r>
          </w:p>
        </w:tc>
        <w:tc>
          <w:tcPr>
            <w:tcW w:w="3963" w:type="dxa"/>
          </w:tcPr>
          <w:p w14:paraId="7AE9CD8A" w14:textId="77777777" w:rsidR="00AD1F54" w:rsidRPr="00264D5D" w:rsidRDefault="00941227">
            <w:pPr>
              <w:pStyle w:val="ASFKTableHead"/>
            </w:pPr>
            <w:r w:rsidRPr="00264D5D">
              <w:t>Дополнительная информация</w:t>
            </w:r>
          </w:p>
        </w:tc>
      </w:tr>
      <w:tr w:rsidR="00AD1F54" w:rsidRPr="00264D5D" w14:paraId="29DDCD24"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828D394" w14:textId="77777777" w:rsidR="00AD1F54" w:rsidRPr="00264D5D" w:rsidRDefault="00941227">
            <w:pPr>
              <w:pStyle w:val="GOSTTablenorm"/>
            </w:pPr>
            <w:r w:rsidRPr="00264D5D">
              <w:t>Глобальный уникальный идентификатор документа</w:t>
            </w:r>
          </w:p>
        </w:tc>
        <w:tc>
          <w:tcPr>
            <w:tcW w:w="1701" w:type="dxa"/>
          </w:tcPr>
          <w:p w14:paraId="214982D9" w14:textId="77777777" w:rsidR="00AD1F54" w:rsidRPr="00264D5D" w:rsidRDefault="00941227">
            <w:pPr>
              <w:pStyle w:val="GOSTTablenorm"/>
            </w:pPr>
            <w:r w:rsidRPr="00264D5D">
              <w:t>GUID</w:t>
            </w:r>
          </w:p>
        </w:tc>
        <w:tc>
          <w:tcPr>
            <w:tcW w:w="567" w:type="dxa"/>
          </w:tcPr>
          <w:p w14:paraId="1C2D8D82" w14:textId="77777777" w:rsidR="00AD1F54" w:rsidRPr="00264D5D" w:rsidRDefault="00941227">
            <w:pPr>
              <w:pStyle w:val="GOSTTablenorm"/>
              <w:jc w:val="center"/>
            </w:pPr>
            <w:r w:rsidRPr="00264D5D">
              <w:t>П</w:t>
            </w:r>
          </w:p>
        </w:tc>
        <w:tc>
          <w:tcPr>
            <w:tcW w:w="1134" w:type="dxa"/>
          </w:tcPr>
          <w:p w14:paraId="1A9A836E" w14:textId="77777777" w:rsidR="00AD1F54" w:rsidRPr="00264D5D" w:rsidRDefault="00941227">
            <w:pPr>
              <w:pStyle w:val="GOSTTablenorm"/>
              <w:rPr>
                <w:lang w:val="en-US"/>
              </w:rPr>
            </w:pPr>
            <w:r w:rsidRPr="00264D5D">
              <w:t>GUID</w:t>
            </w:r>
          </w:p>
        </w:tc>
        <w:tc>
          <w:tcPr>
            <w:tcW w:w="567" w:type="dxa"/>
          </w:tcPr>
          <w:p w14:paraId="34B0C637" w14:textId="77777777" w:rsidR="00AD1F54" w:rsidRPr="00264D5D" w:rsidRDefault="00941227">
            <w:pPr>
              <w:pStyle w:val="GOSTTablenorm"/>
              <w:jc w:val="center"/>
            </w:pPr>
            <w:r w:rsidRPr="00264D5D">
              <w:t>О</w:t>
            </w:r>
          </w:p>
        </w:tc>
        <w:tc>
          <w:tcPr>
            <w:tcW w:w="3963" w:type="dxa"/>
          </w:tcPr>
          <w:p w14:paraId="7CB0E8BE" w14:textId="77777777" w:rsidR="00AD1F54" w:rsidRPr="00264D5D" w:rsidRDefault="00941227">
            <w:pPr>
              <w:pStyle w:val="GOSTTablenorm"/>
              <w:rPr>
                <w:szCs w:val="22"/>
              </w:rPr>
            </w:pPr>
            <w:r w:rsidRPr="00264D5D">
              <w:t>Указывается глобальный уни</w:t>
            </w:r>
            <w:r w:rsidR="003E1F19" w:rsidRPr="00264D5D">
              <w:t>кальный идентификатор документа</w:t>
            </w:r>
          </w:p>
        </w:tc>
      </w:tr>
    </w:tbl>
    <w:p w14:paraId="3D13AB54" w14:textId="77777777" w:rsidR="00AD1F54" w:rsidRPr="00264D5D" w:rsidRDefault="00941227">
      <w:pPr>
        <w:pStyle w:val="31"/>
      </w:pPr>
      <w:bookmarkStart w:id="3318" w:name="_Toc84802494"/>
      <w:bookmarkStart w:id="3319" w:name="_Toc219309808"/>
      <w:r w:rsidRPr="00264D5D">
        <w:t>Пример XML</w:t>
      </w:r>
      <w:bookmarkEnd w:id="3309"/>
      <w:bookmarkEnd w:id="3310"/>
      <w:bookmarkEnd w:id="3318"/>
      <w:bookmarkEnd w:id="3319"/>
    </w:p>
    <w:p w14:paraId="36A099C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&lt;?xml version="1.0" encoding="UTF-8"?&gt;</w:t>
      </w:r>
    </w:p>
    <w:p w14:paraId="4A37F5C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&lt;soapenv:Envelope xmlns:soapenv="http://schemas.xmlsoap.org/soap/envelope/" xmlns:wsu="http://docs.oasis-open.org/wss/2004/01/oasis-200401-wss-wssecurity-utility-1.0.xsd" xmlns:wsse="http://docs.oasis-open.org/wss/2004/01/oasis-200401-wss-wssecurity-secext-1.0.xsd"&gt;</w:t>
      </w:r>
    </w:p>
    <w:p w14:paraId="5FDBC92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&lt;soapenv:Header xmlns:env="http://schemas.xmlsoap.org/soap/envelope/"&gt;&lt;wsse:Security wsu:Id="Id-sec-f9cb3040b7ca31cd7876d625c632e1aed304"&gt;</w:t>
      </w:r>
    </w:p>
    <w:p w14:paraId="0DBFAC9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 xmlns="http://www.w3.org/2000/09/xmldsig#" Id="Id-sig-b9199ca934cfa91bcff69e807d7b0dbd26f6"&gt;</w:t>
      </w:r>
    </w:p>
    <w:p w14:paraId="0D4BE54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33A7D43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&lt;CanonicalizationMethod Algorithm="http://www.w3.org/2001/10/xml-exc-c14n#"/&gt;</w:t>
      </w:r>
    </w:p>
    <w:p w14:paraId="48864D9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&lt;SignatureMethod Algorithm="http://www.w3.org/2001/04/xmldsig-more#gostr34102001-gostr3411"/&gt;</w:t>
      </w:r>
    </w:p>
    <w:p w14:paraId="635BE92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URI="#Id-wssecdata-29cef34e3106063e64fead91c94aeda97ff4" Id="Id-dataref-ea575c0bb2c994b98298d2c77dcd5a7dbaa1"&gt;</w:t>
      </w:r>
    </w:p>
    <w:p w14:paraId="580D7A8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1823623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207ACC0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21F1839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4952961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&lt;DigestValue&gt;4bqC9/3OSJqEHDz00XLzUf29YFcetigx2jr08qUp7fQ=&lt;/DigestValue&gt;</w:t>
      </w:r>
    </w:p>
    <w:p w14:paraId="0054E6D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5427C06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Type="http://www.w3.org/TR/2002/REC-xmldsig-core-20020212/xmldsig-core-schema.xsd#X509Data" URI="#Id-keyinfo-11712390bc17243d110193ac033f54873ad8" Id="Id-keyinforef-ac3c6eb29c9af1964819db52ec661b26c339"&gt;</w:t>
      </w:r>
    </w:p>
    <w:p w14:paraId="140E3A5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00E1FA6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7850C5A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4DBB1E9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1E90549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&lt;DigestValue&gt;+0q515JTexjW0go5SdPl7+ydqXUKST91N44lIbXt8Yo=&lt;/DigestValue&gt;</w:t>
      </w:r>
    </w:p>
    <w:p w14:paraId="220A6D1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0506E5D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URI="#Id-sp-4179cfd1e4ba9c0aaed70450fc3c741c9c08" Id="Id-ref-cb8cc265f168034494eca1c25ec74bf9433c"&gt;</w:t>
      </w:r>
    </w:p>
    <w:p w14:paraId="74AC399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&lt;Transforms&gt;</w:t>
      </w:r>
    </w:p>
    <w:p w14:paraId="0E29BFC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72AE129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1B0D50D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68E3950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&lt;DigestValue&gt;f10/P/MZ5W1AwvdMPGkqpWfYGkK10xUw6SycuQIgFIc=&lt;/DigestValue&gt;</w:t>
      </w:r>
    </w:p>
    <w:p w14:paraId="7DD94BF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144335F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71792CD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&lt;SignatureValue&gt;Xg8mlCU46QdjuUgHR/GFI13DKE7tfRDOphsVyNpFnxC/Sa2XnEuGBKeW7azroY19</w:t>
      </w:r>
    </w:p>
    <w:p w14:paraId="50BA79E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3u7EHXe4dKfnrJ7k7Eq5+A==&lt;/SignatureValue&gt;</w:t>
      </w:r>
    </w:p>
    <w:p w14:paraId="1CE3F43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701D365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2BBA058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 xmlns="http://uri.etsi.org/01903/v1.4.1#" Target="Id-sig-b9199ca934cfa91bcff69e807d7b0dbd26f6"&gt;</w:t>
      </w:r>
    </w:p>
    <w:p w14:paraId="1A725A1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 Id="Id-sp-4179cfd1e4ba9c0aaed70450fc3c741c9c08"&gt;</w:t>
      </w:r>
    </w:p>
    <w:p w14:paraId="2FF6121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&lt;SignedSignatureProperties Id="Id-ssp-408cecc6a155b8a0f2850e81d5f57496bb2b"/&gt;</w:t>
      </w:r>
    </w:p>
    <w:p w14:paraId="0E210D5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&lt;/SignedProperties&gt;</w:t>
      </w:r>
    </w:p>
    <w:p w14:paraId="2509AEA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&lt;/QualifyingProperties&gt;</w:t>
      </w:r>
    </w:p>
    <w:p w14:paraId="7F7E13A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22C50FD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7CFC7B1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CVNlcnZlciBDQTEgMB4GCSqGSIb3DQEJARYRdWNfZmtAcm9za2F6bmEucnUxHDAa</w:t>
      </w:r>
    </w:p>
    <w:p w14:paraId="7D0B546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BgNVBAgMEzc3INCzLiDQnNC+0YHQutCy0LAxGjAYBggqhQMDgQMBARIMMDA3NzEw</w:t>
      </w:r>
    </w:p>
    <w:p w14:paraId="36B304F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NTY4NzYwMRgwFgYFKoUDZAESDTEwNDc3OTcwMTk4MzAxLDAqBgNVBAkMI9GD0LvQ</w:t>
      </w:r>
    </w:p>
    <w:p w14:paraId="0CD214B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uNGG0LAg0JjQu9GM0LjQvdC60LAsINC00L7QvCA3MRUwEwYDVQQHDAzQnNC+0YHQ</w:t>
      </w:r>
    </w:p>
    <w:p w14:paraId="727208B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utCy0LAxCzAJBgNVBAYTAlJVMTgwNgYDVQQKDC/QpNC10LTQtdGA0LDQu9GM0L3Q</w:t>
      </w:r>
    </w:p>
    <w:p w14:paraId="1BC5834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vtC1INC60LDQt9C90LDRh9C10LnRgdGC0LLQvjE/MD0GA1UEAww20KPQpiDQpNC1</w:t>
      </w:r>
    </w:p>
    <w:p w14:paraId="034A7EE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0LTQtdGA0LDQu9GM0L3QvtCz0L4g0LrQsNC30L3QsNGH0LXQudGB0YLQstCwMB4X</w:t>
      </w:r>
    </w:p>
    <w:p w14:paraId="5BF2652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DTE2MDQwNzA4MTExMFoXDTE3MDcwNzA4MTExMFowggITMRYwFAYFKoUDZAMSCzEy</w:t>
      </w:r>
    </w:p>
    <w:p w14:paraId="7D1EE30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MzQ1Njc4OTAxMRgwFgYFKoUDZAESDTAxMjM0NTY3ODkxMjMxGjAYBggqhQMDgQMB</w:t>
      </w:r>
    </w:p>
    <w:p w14:paraId="24F8894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ARIMMDAxMjM0NTY3ODkwMSYwJAYJKoZIhvcNAQkBFhduLm5hZ292aXRzeW5AaW5m</w:t>
      </w:r>
    </w:p>
    <w:p w14:paraId="6DB7BE9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b3NlYy5ydTELMAkGA1UEBhMCUlUxHDAaBgNVBAgMEzc3INCzLiDQnNC+0YHQutCy</w:t>
      </w:r>
    </w:p>
    <w:p w14:paraId="3D167C9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0LAxFTATBgNVBAcMDNCc0L7RgdC60LLQsDE4MDYGA1UECgwv0KTQtdC00LXRgNCw</w:t>
      </w:r>
    </w:p>
    <w:p w14:paraId="22B79F3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0LvRjNC90L7QtSDQutCw0LfQvdCw0YfQtdC50YHRgtCy0L4xNDAyBgNVBAsMK9GC</w:t>
      </w:r>
    </w:p>
    <w:p w14:paraId="7964482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0LXRgdGC0L7QstC+0LUg0L/QvtC00YDQsNC30LTQtdC70LXQvdC40LUxHDAaBgNV</w:t>
      </w:r>
    </w:p>
    <w:p w14:paraId="17305F4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BCoME2PQtdGA0YLQuNGE0LjQutCw0YIxGTAXBgNVBAQMENCi0LXRgdGC0L7QstGL</w:t>
      </w:r>
    </w:p>
    <w:p w14:paraId="35C3E44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0LkxPTA7BgNVBAwMNNCi0LXRgdGC0L7QstGL0Lkg0YHQtdGA0YLQuNGE0LjQutCw</w:t>
      </w:r>
    </w:p>
    <w:p w14:paraId="371A896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0YIg0L/QvtC00L/QuNGB0LgxQTA/BgkqhkiG9w0BCQIMMklOTlw9MDEyMzQ1Njc4</w:t>
      </w:r>
    </w:p>
    <w:p w14:paraId="10164B6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OS9LUFBcPTEyMzQ1Njc4OS9PR1JOXD0wMTIzNDU2Nzg5MTIzMS4wLAYDVQQDDCXQ</w:t>
      </w:r>
    </w:p>
    <w:p w14:paraId="4257621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otC10YHRgtC+0LLRi9C5INGB0LXRgNGC0LjRhNC40LrQsNGCMGMwHAYGKoUDAgIT</w:t>
      </w:r>
    </w:p>
    <w:p w14:paraId="2D5BFF7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MBIGByqFAwICJAAGByqFAwICHgEDQwAEQM/mE38gcSmh2U183WL3aPaP3tJu0vTq</w:t>
      </w:r>
    </w:p>
    <w:p w14:paraId="3D64B85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CndMDcb72IGcv8nO7QkaqnFwXrkt6zScdQlQgUX78ct0+jNJa7ZIdLGjggRJMIIE</w:t>
      </w:r>
    </w:p>
    <w:p w14:paraId="5C00FDA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RTAMBgNVHRMBAf8EAjAAMB0GA1UdIAQWMBQwCAYGKoUDZHEBMAgGBiqFA2RxAjBN</w:t>
      </w:r>
    </w:p>
    <w:p w14:paraId="2D10E3C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BgUqhQNkbwREDELQmtGA0LjQv9GC0L7Qn9GA0L4gQ1NQICjQstC10YDRgdC40Y8g</w:t>
      </w:r>
    </w:p>
    <w:p w14:paraId="7BFE8AB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My42KSAo0LjRgdC/0L7Qu9C90LXQvdC40LUgMikwggFhBgUqhQNkcASCAVYwggFS</w:t>
      </w:r>
    </w:p>
    <w:p w14:paraId="6F1CE81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DEQi0JrRgNC40L/RgtC+0J/RgNC+IENTUCIgKNCy0LXRgNGB0LjRjyAzLjYpICjQ</w:t>
      </w:r>
    </w:p>
    <w:p w14:paraId="42FFE6F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uNGB0L/QvtC70L3QtdC90LjQtSAyKQxoItCf0YDQvtCz0YDQsNC80LzQvdC+LdCw</w:t>
      </w:r>
    </w:p>
    <w:p w14:paraId="6E4C3EE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0L/Qv9Cw0YDQsNGC0L3Ri9C5INC60L7QvNC/0LvQtdC60YEgItCu0L3QuNGB0LXR</w:t>
      </w:r>
    </w:p>
    <w:p w14:paraId="7E165EC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gNGCLdCT0J7QodCiIi4g0JLQtdGA0YHQuNGPIDIuMSIMT9Ch0LXRgNGC0LjRhNC4</w:t>
      </w:r>
    </w:p>
    <w:p w14:paraId="3B3F45D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0LrQsNGCINGB0L7QvtGC0LLQtdGC0YHRgtCy0LjRjyDihJYg0KHQpC8xMjQtMjcz</w:t>
      </w:r>
    </w:p>
    <w:p w14:paraId="05666C6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OCDQvtGCIDAxLjA3LjIwMTUMT9Ch0LXRgNGC0LjRhNC40LrQsNGCINGB0L7QvtGC</w:t>
      </w:r>
    </w:p>
    <w:p w14:paraId="455A2AA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0LLQtdGC0YHRgtCy0LjRjyDihJYg0KHQpC8xMjgtMjE3NSDQvtGCIDIwLjA2LjIw</w:t>
      </w:r>
    </w:p>
    <w:p w14:paraId="2F22093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MTMwDgYDVR0PAQH/BAQDAgTwMBMGA1UdJQQMMAoGCCsGAQUFBwMDMCsGA1UdEAQk</w:t>
      </w:r>
    </w:p>
    <w:p w14:paraId="47C8CC6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MCKADzIwMTYwNDA3MDgwNDI4WoEPMjAxNzA3MDcwODA0MjhaMIIBjwYDVR0jBIIB</w:t>
      </w:r>
    </w:p>
    <w:p w14:paraId="7D55D56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hjCCAYKAFJ5xDg/atAEoXz/iy49lFZcCR4yroYIBZaSCAWEwggFdMRgwFgYJKoZI</w:t>
      </w:r>
    </w:p>
    <w:p w14:paraId="60E85EF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hvcNAQkCEwlTZXJ2ZXIgQ0ExIDAeBgkqhkiG9w0BCQEWEXVjX2ZrQHJvc2them5h</w:t>
      </w:r>
    </w:p>
    <w:p w14:paraId="4D8F99C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LnJ1MRwwGgYDVQQIDBM3NyDQsy4g0JzQvtGB0LrQstCwMRowGAYIKoUDA4EDAQES</w:t>
      </w:r>
    </w:p>
    <w:p w14:paraId="190B005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DDAwNzcxMDU2ODc2MDEYMBYGBSqFA2QBEg0xMDQ3Nzk3MDE5ODMwMSwwKgYDVQQJ</w:t>
      </w:r>
    </w:p>
    <w:p w14:paraId="561816E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DCPRg9C70LjRhtCwINCY0LvRjNC40L3QutCwLCDQtNC+0LwgNzEVMBMGA1UEBwwM</w:t>
      </w:r>
    </w:p>
    <w:p w14:paraId="7532FF2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0JzQvtGB0LrQstCwMQswCQYDVQQGEwJSVTE4MDYGA1UECgwv0KTQtdC00LXRgNCw</w:t>
      </w:r>
    </w:p>
    <w:p w14:paraId="407311D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0LvRjNC90L7QtSDQutCw0LfQvdCw0YfQtdC50YHRgtCy0L4xPzA9BgNVBAMMNtCj</w:t>
      </w:r>
    </w:p>
    <w:p w14:paraId="1981735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0KYg0KTQtdC00LXRgNCw0LvRjNC90L7Qs9C+INC60LDQt9C90LDRh9C10LnRgdGC</w:t>
      </w:r>
    </w:p>
    <w:p w14:paraId="1633074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0LLQsIIBATBeBgNVHR8EVzBVMCmgJ6AlhiNodHRwOi8vY3JsLnJvc2them5hLnJ1</w:t>
      </w:r>
    </w:p>
    <w:p w14:paraId="3EAB28D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L2NybC9mazAxLmNybDAooCagJIYiaHR0cDovL2NybC5mc2ZrLmxvY2FsL2NybC9m</w:t>
      </w:r>
    </w:p>
    <w:p w14:paraId="474B08E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azAxLmNybDAdBgNVHQ4EFgQUt0m7wwTPyJQ+5TDMkq5Z0WnD5vQwCAYGKoUDAgID</w:t>
      </w:r>
    </w:p>
    <w:p w14:paraId="24A1CB0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A0EAReUQeQpqERyFF5XRWG8RnguKCWvPIQOt26PZmVTccxOXVHwZyI0rqdcQ2i4L</w:t>
      </w:r>
    </w:p>
    <w:p w14:paraId="6DF7ADF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p87xs4bqOAO1BwhmKL/TsoC4pA==&lt;/wsse:BinarySecurityToken&gt;&lt;/wsse:Security&gt;&lt;/soapenv:Header&gt;</w:t>
      </w:r>
    </w:p>
    <w:p w14:paraId="51D9499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&lt;soapenv:Body xmlns:env="http://schemas.xmlsoap.org/soap/envelope/" wsu:Id="Id-wssecdata-29cef34e3106063e64fead91c94aeda97ff4"&gt;</w:t>
      </w:r>
    </w:p>
    <w:p w14:paraId="17EA4CD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&lt;transferDocumentRequest xmlns:typ="http://www.roskazna.ru/eb/services/transferDocumentService/types" xmlns="http://www.roskazna.ru/eb/services/transferDocumentService/types" versionId="1.0"&gt;</w:t>
      </w:r>
    </w:p>
    <w:p w14:paraId="1292225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&lt;typ:header&gt;</w:t>
      </w:r>
    </w:p>
    <w:p w14:paraId="0B3CBF8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&lt;typ:packageId&gt;e8bf66bf-9cf1-47f1-a48b-394d18467fe3&lt;/typ:packageId&gt;</w:t>
      </w:r>
    </w:p>
    <w:p w14:paraId="348C2F9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&lt;typ:senderSystemId&gt;PFHD&lt;/typ:senderSystemId&gt;</w:t>
      </w:r>
    </w:p>
    <w:p w14:paraId="010A079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&lt;typ:targetSystemId&gt;EXP&lt;/typ:targetSystemId&gt;</w:t>
      </w:r>
    </w:p>
    <w:p w14:paraId="78D15ED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&lt;typ:documentType&gt;MSC_RecAndPaySVR&lt;/typ:documentType&gt;</w:t>
      </w:r>
    </w:p>
    <w:p w14:paraId="132FCF5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&lt;typ:documentGuid&gt;e1ff88bf-9cf1-11g1-a48b-114d18467fe3&lt;/typ:documentGuid&gt;</w:t>
      </w:r>
    </w:p>
    <w:p w14:paraId="2C3250B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&lt;typ:creationDateTime&gt;2021-08-16T16:46:07.689+04:00&lt;/typ:creationDateTime&gt;</w:t>
      </w:r>
    </w:p>
    <w:p w14:paraId="2150407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&lt;typ:params&gt;</w:t>
      </w:r>
    </w:p>
    <w:p w14:paraId="1EC6255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 name="tofkCode" value="9100"/&gt;</w:t>
      </w:r>
    </w:p>
    <w:p w14:paraId="3292799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 name="versionId" value="1.0"/&gt;</w:t>
      </w:r>
    </w:p>
    <w:p w14:paraId="384F04D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&lt;/typ:params&gt;</w:t>
      </w:r>
    </w:p>
    <w:p w14:paraId="4A79C9C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&lt;/typ:header&gt;</w:t>
      </w:r>
    </w:p>
    <w:p w14:paraId="3D3DD18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&lt;typ:document&gt;</w:t>
      </w:r>
    </w:p>
    <w:p w14:paraId="079CB8F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&lt;self:MSC_RecAndPaySVR metaType="formular" versionID="1.0" xsi:schemaLocation="http://www.roskazna.ru/eb/domain/MSC_RecAndPaySVR/formular formulars.xsd" xmlns:self="http://www.roskazna.ru/eb/domain/MSC_RecAndPaySVR/formular" xmlns:xsi="http://www.w3.org/2001/XMLSchema-instance"&gt;</w:t>
      </w:r>
    </w:p>
    <w:p w14:paraId="226F70D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&lt;TtlPrt_DctDt xmlns=""&gt;2021-08-16&lt;/TtlPrt_DctDt&gt;</w:t>
      </w:r>
    </w:p>
    <w:p w14:paraId="2848643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&lt;TtlPrt_PBS xmlns=""&gt;</w:t>
      </w:r>
    </w:p>
    <w:p w14:paraId="7C39345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&lt;Cd&gt;00188312&lt;/Cd&gt;</w:t>
      </w:r>
    </w:p>
    <w:p w14:paraId="399B08A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Nm</w:t>
      </w:r>
      <w:r w:rsidRPr="00264D5D">
        <w:rPr>
          <w:rFonts w:cs="Courier New"/>
          <w:sz w:val="20"/>
          <w:lang w:val="ru-RU"/>
        </w:rPr>
        <w:t>&gt;Управление Судебного департамента в Забайкальском крае&lt;/</w:t>
      </w:r>
      <w:r w:rsidRPr="00264D5D">
        <w:rPr>
          <w:rFonts w:cs="Courier New"/>
          <w:sz w:val="20"/>
        </w:rPr>
        <w:t>Nm</w:t>
      </w:r>
      <w:r w:rsidRPr="00264D5D">
        <w:rPr>
          <w:rFonts w:cs="Courier New"/>
          <w:sz w:val="20"/>
          <w:lang w:val="ru-RU"/>
        </w:rPr>
        <w:t>&gt;</w:t>
      </w:r>
    </w:p>
    <w:p w14:paraId="0BA827D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rPr>
        <w:t>&lt;/TtlPrt_PBS&gt;</w:t>
      </w:r>
    </w:p>
    <w:p w14:paraId="4D0C506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&lt;TtlPrt_NumbLS xmlns=""&gt;05911883120&lt;/TtlPrt_NumbLS&gt;</w:t>
      </w:r>
    </w:p>
    <w:p w14:paraId="6C7519D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lang w:val="ru-RU"/>
        </w:rPr>
        <w:t>&lt;</w:t>
      </w:r>
      <w:r w:rsidRPr="00264D5D">
        <w:rPr>
          <w:rFonts w:cs="Courier New"/>
          <w:sz w:val="20"/>
        </w:rPr>
        <w:t>TtlPrt</w:t>
      </w:r>
      <w:r w:rsidRPr="00264D5D">
        <w:rPr>
          <w:rFonts w:cs="Courier New"/>
          <w:sz w:val="20"/>
          <w:lang w:val="ru-RU"/>
        </w:rPr>
        <w:t>_</w:t>
      </w:r>
      <w:r w:rsidRPr="00264D5D">
        <w:rPr>
          <w:rFonts w:cs="Courier New"/>
          <w:sz w:val="20"/>
        </w:rPr>
        <w:t>GRBSName</w:t>
      </w:r>
      <w:r w:rsidRPr="00264D5D">
        <w:rPr>
          <w:rFonts w:cs="Courier New"/>
          <w:sz w:val="20"/>
          <w:lang w:val="ru-RU"/>
        </w:rPr>
        <w:t xml:space="preserve"> </w:t>
      </w:r>
      <w:r w:rsidRPr="00264D5D">
        <w:rPr>
          <w:rFonts w:cs="Courier New"/>
          <w:sz w:val="20"/>
        </w:rPr>
        <w:t>xmlns</w:t>
      </w:r>
      <w:r w:rsidRPr="00264D5D">
        <w:rPr>
          <w:rFonts w:cs="Courier New"/>
          <w:sz w:val="20"/>
          <w:lang w:val="ru-RU"/>
        </w:rPr>
        <w:t>=""&gt;Судебный департамент при Верховном суде Российской Федерации&lt;/</w:t>
      </w:r>
      <w:r w:rsidRPr="00264D5D">
        <w:rPr>
          <w:rFonts w:cs="Courier New"/>
          <w:sz w:val="20"/>
        </w:rPr>
        <w:t>TtlPrt</w:t>
      </w:r>
      <w:r w:rsidRPr="00264D5D">
        <w:rPr>
          <w:rFonts w:cs="Courier New"/>
          <w:sz w:val="20"/>
          <w:lang w:val="ru-RU"/>
        </w:rPr>
        <w:t>_</w:t>
      </w:r>
      <w:r w:rsidRPr="00264D5D">
        <w:rPr>
          <w:rFonts w:cs="Courier New"/>
          <w:sz w:val="20"/>
        </w:rPr>
        <w:t>GRBSName</w:t>
      </w:r>
      <w:r w:rsidRPr="00264D5D">
        <w:rPr>
          <w:rFonts w:cs="Courier New"/>
          <w:sz w:val="20"/>
          <w:lang w:val="ru-RU"/>
        </w:rPr>
        <w:t>&gt;</w:t>
      </w:r>
    </w:p>
    <w:p w14:paraId="636E380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&lt;</w:t>
      </w:r>
      <w:r w:rsidRPr="00264D5D">
        <w:rPr>
          <w:rFonts w:cs="Courier New"/>
          <w:sz w:val="20"/>
        </w:rPr>
        <w:t>TtlPrt</w:t>
      </w:r>
      <w:r w:rsidRPr="00264D5D">
        <w:rPr>
          <w:rFonts w:cs="Courier New"/>
          <w:sz w:val="20"/>
          <w:lang w:val="ru-RU"/>
        </w:rPr>
        <w:t>_</w:t>
      </w:r>
      <w:r w:rsidRPr="00264D5D">
        <w:rPr>
          <w:rFonts w:cs="Courier New"/>
          <w:sz w:val="20"/>
        </w:rPr>
        <w:t>GRBSCnsrg</w:t>
      </w:r>
      <w:r w:rsidRPr="00264D5D">
        <w:rPr>
          <w:rFonts w:cs="Courier New"/>
          <w:sz w:val="20"/>
          <w:lang w:val="ru-RU"/>
        </w:rPr>
        <w:t xml:space="preserve"> </w:t>
      </w:r>
      <w:r w:rsidRPr="00264D5D">
        <w:rPr>
          <w:rFonts w:cs="Courier New"/>
          <w:sz w:val="20"/>
        </w:rPr>
        <w:t>xmlns</w:t>
      </w:r>
      <w:r w:rsidRPr="00264D5D">
        <w:rPr>
          <w:rFonts w:cs="Courier New"/>
          <w:sz w:val="20"/>
          <w:lang w:val="ru-RU"/>
        </w:rPr>
        <w:t>=""&gt;00100438&lt;/</w:t>
      </w:r>
      <w:r w:rsidRPr="00264D5D">
        <w:rPr>
          <w:rFonts w:cs="Courier New"/>
          <w:sz w:val="20"/>
        </w:rPr>
        <w:t>TtlPrt</w:t>
      </w:r>
      <w:r w:rsidRPr="00264D5D">
        <w:rPr>
          <w:rFonts w:cs="Courier New"/>
          <w:sz w:val="20"/>
          <w:lang w:val="ru-RU"/>
        </w:rPr>
        <w:t>_</w:t>
      </w:r>
      <w:r w:rsidRPr="00264D5D">
        <w:rPr>
          <w:rFonts w:cs="Courier New"/>
          <w:sz w:val="20"/>
        </w:rPr>
        <w:t>GRBSCnsrg</w:t>
      </w:r>
      <w:r w:rsidRPr="00264D5D">
        <w:rPr>
          <w:rFonts w:cs="Courier New"/>
          <w:sz w:val="20"/>
          <w:lang w:val="ru-RU"/>
        </w:rPr>
        <w:t>&gt;</w:t>
      </w:r>
    </w:p>
    <w:p w14:paraId="16696C3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rPr>
        <w:t>&lt;TtlPrt_GRBSCode xmlns=""&gt;438&lt;/TtlPrt_GRBSCode&gt;</w:t>
      </w:r>
    </w:p>
    <w:p w14:paraId="65687E5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lang w:val="ru-RU"/>
        </w:rPr>
        <w:t>&lt;</w:t>
      </w:r>
      <w:r w:rsidRPr="00264D5D">
        <w:rPr>
          <w:rFonts w:cs="Courier New"/>
          <w:sz w:val="20"/>
        </w:rPr>
        <w:t>TtlPrt</w:t>
      </w:r>
      <w:r w:rsidRPr="00264D5D">
        <w:rPr>
          <w:rFonts w:cs="Courier New"/>
          <w:sz w:val="20"/>
          <w:lang w:val="ru-RU"/>
        </w:rPr>
        <w:t>_</w:t>
      </w:r>
      <w:r w:rsidRPr="00264D5D">
        <w:rPr>
          <w:rFonts w:cs="Courier New"/>
          <w:sz w:val="20"/>
        </w:rPr>
        <w:t>TOFK</w:t>
      </w:r>
      <w:r w:rsidRPr="00264D5D">
        <w:rPr>
          <w:rFonts w:cs="Courier New"/>
          <w:sz w:val="20"/>
          <w:lang w:val="ru-RU"/>
        </w:rPr>
        <w:t xml:space="preserve"> </w:t>
      </w:r>
      <w:r w:rsidRPr="00264D5D">
        <w:rPr>
          <w:rFonts w:cs="Courier New"/>
          <w:sz w:val="20"/>
        </w:rPr>
        <w:t>xmlns</w:t>
      </w:r>
      <w:r w:rsidRPr="00264D5D">
        <w:rPr>
          <w:rFonts w:cs="Courier New"/>
          <w:sz w:val="20"/>
          <w:lang w:val="ru-RU"/>
        </w:rPr>
        <w:t>=""&gt;</w:t>
      </w:r>
    </w:p>
    <w:p w14:paraId="74C4016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Nm</w:t>
      </w:r>
      <w:r w:rsidRPr="00264D5D">
        <w:rPr>
          <w:rFonts w:cs="Courier New"/>
          <w:sz w:val="20"/>
          <w:lang w:val="ru-RU"/>
        </w:rPr>
        <w:t>&gt;Управление Федерального казначейства по Забайкальскому краю&lt;/</w:t>
      </w:r>
      <w:r w:rsidRPr="00264D5D">
        <w:rPr>
          <w:rFonts w:cs="Courier New"/>
          <w:sz w:val="20"/>
        </w:rPr>
        <w:t>Nm</w:t>
      </w:r>
      <w:r w:rsidRPr="00264D5D">
        <w:rPr>
          <w:rFonts w:cs="Courier New"/>
          <w:sz w:val="20"/>
          <w:lang w:val="ru-RU"/>
        </w:rPr>
        <w:t>&gt;</w:t>
      </w:r>
    </w:p>
    <w:p w14:paraId="1E76F44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rPr>
        <w:t>&lt;Cd&gt;9100&lt;/Cd&gt;</w:t>
      </w:r>
    </w:p>
    <w:p w14:paraId="54855D0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&lt;/TtlPrt_TOFK&gt;</w:t>
      </w:r>
    </w:p>
    <w:p w14:paraId="1B4E68E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&lt;SFDU_SVR xmlns=""&gt;</w:t>
      </w:r>
    </w:p>
    <w:p w14:paraId="2A1A2DF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&lt;SVR_ITEM xmlns=""&gt;</w:t>
      </w:r>
    </w:p>
    <w:p w14:paraId="49625FB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&lt;NmbRw&gt;1&lt;/NmbRw&gt;</w:t>
      </w:r>
    </w:p>
    <w:p w14:paraId="5DFE69B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&lt;NPACode&gt;4012&lt;/NPACode&gt;</w:t>
      </w:r>
    </w:p>
    <w:p w14:paraId="042A457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&lt;FndIdnt&gt;00188312А456221&lt;/FndIdnt&gt;</w:t>
      </w:r>
    </w:p>
    <w:p w14:paraId="64B85BC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&lt;Nt&gt;a&lt;/Nt&gt;</w:t>
      </w:r>
    </w:p>
    <w:p w14:paraId="0FA5777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&lt;/SVR_ITEM&gt;</w:t>
      </w:r>
    </w:p>
    <w:p w14:paraId="59E52DC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ab/>
        <w:t>&lt;/SFDU_SVR&gt;</w:t>
      </w:r>
    </w:p>
    <w:p w14:paraId="481B114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&lt;Sign_Hr xmlns=""&gt;</w:t>
      </w:r>
    </w:p>
    <w:p w14:paraId="51738C2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FIO</w:t>
      </w:r>
      <w:r w:rsidRPr="00264D5D">
        <w:rPr>
          <w:rFonts w:cs="Courier New"/>
          <w:sz w:val="20"/>
          <w:lang w:val="ru-RU"/>
        </w:rPr>
        <w:t>&gt;Иванов И.И.&lt;/</w:t>
      </w:r>
      <w:r w:rsidRPr="00264D5D">
        <w:rPr>
          <w:rFonts w:cs="Courier New"/>
          <w:sz w:val="20"/>
        </w:rPr>
        <w:t>FIO</w:t>
      </w:r>
      <w:r w:rsidRPr="00264D5D">
        <w:rPr>
          <w:rFonts w:cs="Courier New"/>
          <w:sz w:val="20"/>
          <w:lang w:val="ru-RU"/>
        </w:rPr>
        <w:t>&gt;</w:t>
      </w:r>
    </w:p>
    <w:p w14:paraId="58D5154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Pst</w:t>
      </w:r>
      <w:r w:rsidRPr="00264D5D">
        <w:rPr>
          <w:rFonts w:cs="Courier New"/>
          <w:sz w:val="20"/>
          <w:lang w:val="ru-RU"/>
        </w:rPr>
        <w:t>&gt;Руководитель&lt;/</w:t>
      </w:r>
      <w:r w:rsidRPr="00264D5D">
        <w:rPr>
          <w:rFonts w:cs="Courier New"/>
          <w:sz w:val="20"/>
        </w:rPr>
        <w:t>Pst</w:t>
      </w:r>
      <w:r w:rsidRPr="00264D5D">
        <w:rPr>
          <w:rFonts w:cs="Courier New"/>
          <w:sz w:val="20"/>
          <w:lang w:val="ru-RU"/>
        </w:rPr>
        <w:t>&gt;</w:t>
      </w:r>
    </w:p>
    <w:p w14:paraId="019D2AF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r>
      <w:r w:rsidRPr="00264D5D">
        <w:rPr>
          <w:rFonts w:cs="Courier New"/>
          <w:sz w:val="20"/>
          <w:lang w:val="ru-RU"/>
        </w:rPr>
        <w:tab/>
        <w:t>&lt;</w:t>
      </w:r>
      <w:r w:rsidRPr="00264D5D">
        <w:rPr>
          <w:rFonts w:cs="Courier New"/>
          <w:sz w:val="20"/>
        </w:rPr>
        <w:t>DtSgn</w:t>
      </w:r>
      <w:r w:rsidRPr="00264D5D">
        <w:rPr>
          <w:rFonts w:cs="Courier New"/>
          <w:sz w:val="20"/>
          <w:lang w:val="ru-RU"/>
        </w:rPr>
        <w:t>&gt;2021-08-13&lt;/</w:t>
      </w:r>
      <w:r w:rsidRPr="00264D5D">
        <w:rPr>
          <w:rFonts w:cs="Courier New"/>
          <w:sz w:val="20"/>
        </w:rPr>
        <w:t>DtSgn</w:t>
      </w:r>
      <w:r w:rsidRPr="00264D5D">
        <w:rPr>
          <w:rFonts w:cs="Courier New"/>
          <w:sz w:val="20"/>
          <w:lang w:val="ru-RU"/>
        </w:rPr>
        <w:t>&gt;</w:t>
      </w:r>
    </w:p>
    <w:p w14:paraId="0586231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rPr>
        <w:t>&lt;/Sign_Hr&gt;</w:t>
      </w:r>
    </w:p>
    <w:p w14:paraId="05FD0FA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 xml:space="preserve"> &lt;TtlPrt_SECRECY xmlns=""&gt;0&lt;/TtlPrt_SECRECY&gt;</w:t>
      </w:r>
    </w:p>
    <w:p w14:paraId="584D9CD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&lt;StmInfrmtn_TF xmlns=""&gt;</w:t>
      </w:r>
    </w:p>
    <w:p w14:paraId="3487B12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&lt;GUID&gt;e1ff88bf-9cf1-11g1-a48b-114d18467fe5&lt;/GUID&gt;</w:t>
      </w:r>
    </w:p>
    <w:p w14:paraId="54A374D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&lt;/StmInfrmtn_TF&gt;</w:t>
      </w:r>
    </w:p>
    <w:p w14:paraId="1DC62FE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&lt;/self:MSC_RecAndPaySVR&gt;</w:t>
      </w:r>
    </w:p>
    <w:p w14:paraId="5727810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&lt;/typ:document&gt;</w:t>
      </w:r>
    </w:p>
    <w:p w14:paraId="218F10B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&lt;/transferDocumentRequest&gt;</w:t>
      </w:r>
    </w:p>
    <w:p w14:paraId="0881F8E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&lt;/soapenv:Body&gt;</w:t>
      </w:r>
    </w:p>
    <w:p w14:paraId="7D36926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264D5D">
        <w:rPr>
          <w:rFonts w:cs="Courier New"/>
          <w:sz w:val="20"/>
        </w:rPr>
        <w:t>&lt;/soapenv:Envelope&gt;</w:t>
      </w:r>
    </w:p>
    <w:p w14:paraId="319A72A0" w14:textId="77777777" w:rsidR="00AD1F54" w:rsidRPr="00065F49" w:rsidRDefault="00941227">
      <w:pPr>
        <w:pStyle w:val="22"/>
        <w:rPr>
          <w:highlight w:val="green"/>
          <w:lang w:val="ru-RU"/>
        </w:rPr>
      </w:pPr>
      <w:bookmarkStart w:id="3320" w:name="_Ref115461851"/>
      <w:bookmarkStart w:id="3321" w:name="_Toc219309809"/>
      <w:r w:rsidRPr="00065F49">
        <w:rPr>
          <w:highlight w:val="green"/>
          <w:lang w:val="ru-RU"/>
        </w:rPr>
        <w:t>Описание документа «Ответ на запрос (уведомление) по ЭПС участника»</w:t>
      </w:r>
      <w:bookmarkEnd w:id="3229"/>
      <w:bookmarkEnd w:id="3320"/>
      <w:bookmarkEnd w:id="3321"/>
    </w:p>
    <w:p w14:paraId="0D2C2072" w14:textId="77777777" w:rsidR="00065F49" w:rsidRPr="00065F49" w:rsidRDefault="00065F49" w:rsidP="00065F49">
      <w:pPr>
        <w:pStyle w:val="31"/>
        <w:numPr>
          <w:ilvl w:val="2"/>
          <w:numId w:val="85"/>
        </w:numPr>
        <w:rPr>
          <w:highlight w:val="green"/>
        </w:rPr>
      </w:pPr>
      <w:bookmarkStart w:id="3322" w:name="_Toc219309810"/>
      <w:r w:rsidRPr="00065F49">
        <w:rPr>
          <w:highlight w:val="green"/>
        </w:rPr>
        <w:t>Назначение и маршрут документа</w:t>
      </w:r>
      <w:bookmarkEnd w:id="3322"/>
    </w:p>
    <w:p w14:paraId="70E5715B" w14:textId="77777777" w:rsidR="00AD1F54" w:rsidRPr="00264D5D" w:rsidRDefault="00941227">
      <w:pPr>
        <w:pStyle w:val="ASFKNormal"/>
        <w:widowControl w:val="0"/>
        <w:spacing w:before="0" w:after="120"/>
        <w:contextualSpacing w:val="0"/>
        <w:jc w:val="both"/>
        <w:rPr>
          <w:sz w:val="24"/>
          <w:szCs w:val="24"/>
        </w:rPr>
      </w:pPr>
      <w:r w:rsidRPr="00264D5D">
        <w:rPr>
          <w:rFonts w:eastAsia="Calibri"/>
          <w:sz w:val="24"/>
        </w:rPr>
        <w:t>Документ «Ответ на запрос (уведомление) по ЭПС участника» предназначен для направления участником в адрес платежной системы Банка России в ответ на Запрос о получении информации по ЭПС участника.</w:t>
      </w:r>
    </w:p>
    <w:p w14:paraId="2D3A95E3" w14:textId="335ACB51" w:rsidR="00AD1F54" w:rsidRPr="00065F49" w:rsidRDefault="00941227">
      <w:pPr>
        <w:pStyle w:val="GOSTNameTable"/>
        <w:numPr>
          <w:ilvl w:val="0"/>
          <w:numId w:val="2"/>
        </w:numPr>
        <w:ind w:left="425" w:hanging="357"/>
        <w:jc w:val="both"/>
        <w:rPr>
          <w:highlight w:val="green"/>
        </w:rPr>
      </w:pPr>
      <w:r w:rsidRPr="00065F49">
        <w:rPr>
          <w:highlight w:val="green"/>
        </w:rPr>
        <w:fldChar w:fldCharType="begin"/>
      </w:r>
      <w:r w:rsidRPr="00065F49">
        <w:rPr>
          <w:highlight w:val="green"/>
        </w:rPr>
        <w:instrText>SEQ Таблица \* ARABIC</w:instrText>
      </w:r>
      <w:r w:rsidRPr="00065F49">
        <w:rPr>
          <w:highlight w:val="green"/>
        </w:rPr>
        <w:fldChar w:fldCharType="separate"/>
      </w:r>
      <w:bookmarkStart w:id="3323" w:name="_Toc219309355"/>
      <w:r w:rsidR="008D797C">
        <w:rPr>
          <w:noProof/>
          <w:highlight w:val="green"/>
        </w:rPr>
        <w:t>325</w:t>
      </w:r>
      <w:r w:rsidRPr="00065F49">
        <w:rPr>
          <w:highlight w:val="green"/>
        </w:rPr>
        <w:fldChar w:fldCharType="end"/>
      </w:r>
      <w:r w:rsidRPr="00065F49">
        <w:rPr>
          <w:highlight w:val="green"/>
        </w:rPr>
        <w:t xml:space="preserve"> – Маршрут документа «Ответ на запрос </w:t>
      </w:r>
      <w:r w:rsidRPr="00065F49">
        <w:rPr>
          <w:rFonts w:eastAsia="Calibri"/>
          <w:highlight w:val="green"/>
        </w:rPr>
        <w:t xml:space="preserve">(уведомление) </w:t>
      </w:r>
      <w:r w:rsidRPr="00065F49">
        <w:rPr>
          <w:highlight w:val="green"/>
        </w:rPr>
        <w:t>по ЭПС участника»</w:t>
      </w:r>
      <w:bookmarkEnd w:id="3323"/>
      <w:r w:rsidRPr="00065F49">
        <w:rPr>
          <w:highlight w:val="green"/>
        </w:rPr>
        <w:t xml:space="preserve"> </w:t>
      </w:r>
    </w:p>
    <w:tbl>
      <w:tblPr>
        <w:tblStyle w:val="GOSTTable"/>
        <w:tblW w:w="9633" w:type="dxa"/>
        <w:tblLook w:val="01E0" w:firstRow="1" w:lastRow="1" w:firstColumn="1" w:lastColumn="1" w:noHBand="0" w:noVBand="0"/>
      </w:tblPr>
      <w:tblGrid>
        <w:gridCol w:w="2553"/>
        <w:gridCol w:w="2551"/>
        <w:gridCol w:w="4529"/>
      </w:tblGrid>
      <w:tr w:rsidR="00AD1F54" w:rsidRPr="00264D5D" w14:paraId="022D58B8"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325" w:type="pct"/>
          </w:tcPr>
          <w:p w14:paraId="3B94F99C" w14:textId="77777777" w:rsidR="00AD1F54" w:rsidRPr="00264D5D" w:rsidRDefault="00941227">
            <w:pPr>
              <w:pStyle w:val="ASFKTableHead"/>
            </w:pPr>
            <w:r w:rsidRPr="00264D5D">
              <w:t>Отправитель</w:t>
            </w:r>
          </w:p>
        </w:tc>
        <w:tc>
          <w:tcPr>
            <w:tcW w:w="1324" w:type="pct"/>
          </w:tcPr>
          <w:p w14:paraId="5D38AED6" w14:textId="77777777" w:rsidR="00AD1F54" w:rsidRPr="00264D5D" w:rsidRDefault="00941227">
            <w:pPr>
              <w:pStyle w:val="ASFKTableHead"/>
            </w:pPr>
            <w:r w:rsidRPr="00264D5D">
              <w:t>Получатель</w:t>
            </w:r>
          </w:p>
        </w:tc>
        <w:tc>
          <w:tcPr>
            <w:tcW w:w="2351" w:type="pct"/>
          </w:tcPr>
          <w:p w14:paraId="6298276D" w14:textId="77777777" w:rsidR="00AD1F54" w:rsidRPr="00264D5D" w:rsidRDefault="00941227">
            <w:pPr>
              <w:pStyle w:val="ASFKTableHead"/>
            </w:pPr>
            <w:r w:rsidRPr="00264D5D">
              <w:t>Примечание</w:t>
            </w:r>
          </w:p>
        </w:tc>
      </w:tr>
      <w:tr w:rsidR="00AD1F54" w:rsidRPr="00264D5D" w14:paraId="17BD52F3" w14:textId="77777777" w:rsidTr="00AD1F54">
        <w:trPr>
          <w:cnfStyle w:val="000000100000" w:firstRow="0" w:lastRow="0" w:firstColumn="0" w:lastColumn="0" w:oddVBand="0" w:evenVBand="0" w:oddHBand="1" w:evenHBand="0" w:firstRowFirstColumn="0" w:firstRowLastColumn="0" w:lastRowFirstColumn="0" w:lastRowLastColumn="0"/>
        </w:trPr>
        <w:tc>
          <w:tcPr>
            <w:tcW w:w="1325" w:type="pct"/>
          </w:tcPr>
          <w:p w14:paraId="20B12F56" w14:textId="77777777" w:rsidR="00AD1F54" w:rsidRPr="00264D5D" w:rsidRDefault="00941227">
            <w:pPr>
              <w:pStyle w:val="GOSTTablenorm"/>
              <w:widowControl w:val="0"/>
            </w:pPr>
            <w:r w:rsidRPr="00264D5D">
              <w:rPr>
                <w:szCs w:val="28"/>
              </w:rPr>
              <w:t>ПБС (ПФХД)</w:t>
            </w:r>
          </w:p>
        </w:tc>
        <w:tc>
          <w:tcPr>
            <w:tcW w:w="1324" w:type="pct"/>
          </w:tcPr>
          <w:p w14:paraId="4871BB54" w14:textId="77777777" w:rsidR="00AD1F54" w:rsidRPr="00264D5D" w:rsidRDefault="00941227">
            <w:pPr>
              <w:pStyle w:val="GOSTTablenorm"/>
              <w:widowControl w:val="0"/>
            </w:pPr>
            <w:r w:rsidRPr="00264D5D">
              <w:t>ТОФК (ПУР ЭБ)</w:t>
            </w:r>
          </w:p>
        </w:tc>
        <w:tc>
          <w:tcPr>
            <w:tcW w:w="2351" w:type="pct"/>
          </w:tcPr>
          <w:p w14:paraId="4E2C6220" w14:textId="77777777" w:rsidR="00AD1F54" w:rsidRPr="00264D5D" w:rsidRDefault="00AD1F54">
            <w:pPr>
              <w:widowControl w:val="0"/>
            </w:pPr>
          </w:p>
        </w:tc>
      </w:tr>
      <w:tr w:rsidR="00AD1F54" w:rsidRPr="00264D5D" w14:paraId="3418BBCA" w14:textId="77777777" w:rsidTr="00AD1F54">
        <w:trPr>
          <w:cnfStyle w:val="000000010000" w:firstRow="0" w:lastRow="0" w:firstColumn="0" w:lastColumn="0" w:oddVBand="0" w:evenVBand="0" w:oddHBand="0" w:evenHBand="1" w:firstRowFirstColumn="0" w:firstRowLastColumn="0" w:lastRowFirstColumn="0" w:lastRowLastColumn="0"/>
        </w:trPr>
        <w:tc>
          <w:tcPr>
            <w:tcW w:w="1325" w:type="pct"/>
          </w:tcPr>
          <w:p w14:paraId="5523E847" w14:textId="77777777" w:rsidR="00AD1F54" w:rsidRPr="00264D5D" w:rsidRDefault="00941227">
            <w:pPr>
              <w:pStyle w:val="GOSTTablenorm"/>
              <w:widowControl w:val="0"/>
            </w:pPr>
            <w:r w:rsidRPr="00264D5D">
              <w:t>ТОФК (ППО АСФК)</w:t>
            </w:r>
          </w:p>
        </w:tc>
        <w:tc>
          <w:tcPr>
            <w:tcW w:w="1324" w:type="pct"/>
          </w:tcPr>
          <w:p w14:paraId="5D92C7E1" w14:textId="77777777" w:rsidR="00AD1F54" w:rsidRPr="00264D5D" w:rsidRDefault="00941227">
            <w:pPr>
              <w:pStyle w:val="GOSTTablenorm"/>
              <w:widowControl w:val="0"/>
            </w:pPr>
            <w:r w:rsidRPr="00264D5D">
              <w:t>ТОФК (ПУДС ЭБ)</w:t>
            </w:r>
          </w:p>
        </w:tc>
        <w:tc>
          <w:tcPr>
            <w:tcW w:w="2351" w:type="pct"/>
          </w:tcPr>
          <w:p w14:paraId="630AE5A4" w14:textId="77777777" w:rsidR="00AD1F54" w:rsidRPr="00264D5D" w:rsidRDefault="00AD1F54">
            <w:pPr>
              <w:widowControl w:val="0"/>
            </w:pPr>
          </w:p>
        </w:tc>
      </w:tr>
      <w:tr w:rsidR="00AD1F54" w:rsidRPr="00264D5D" w14:paraId="415479B3" w14:textId="77777777" w:rsidTr="00AD1F54">
        <w:trPr>
          <w:cnfStyle w:val="000000100000" w:firstRow="0" w:lastRow="0" w:firstColumn="0" w:lastColumn="0" w:oddVBand="0" w:evenVBand="0" w:oddHBand="1" w:evenHBand="0" w:firstRowFirstColumn="0" w:firstRowLastColumn="0" w:lastRowFirstColumn="0" w:lastRowLastColumn="0"/>
        </w:trPr>
        <w:tc>
          <w:tcPr>
            <w:tcW w:w="1325" w:type="pct"/>
          </w:tcPr>
          <w:p w14:paraId="33E90DD9" w14:textId="77777777" w:rsidR="00AD1F54" w:rsidRPr="00264D5D" w:rsidRDefault="00941227">
            <w:pPr>
              <w:pStyle w:val="GOSTTablenorm"/>
              <w:widowControl w:val="0"/>
            </w:pPr>
            <w:r w:rsidRPr="00264D5D">
              <w:t>ТОФК (ПУДС ЭБ)</w:t>
            </w:r>
          </w:p>
        </w:tc>
        <w:tc>
          <w:tcPr>
            <w:tcW w:w="1324" w:type="pct"/>
          </w:tcPr>
          <w:p w14:paraId="0EC51307" w14:textId="77777777" w:rsidR="00AD1F54" w:rsidRPr="00264D5D" w:rsidRDefault="00941227">
            <w:pPr>
              <w:pStyle w:val="GOSTTablenorm"/>
              <w:widowControl w:val="0"/>
            </w:pPr>
            <w:r w:rsidRPr="00264D5D">
              <w:t>ТОФК (ППО АСФК)</w:t>
            </w:r>
          </w:p>
        </w:tc>
        <w:tc>
          <w:tcPr>
            <w:tcW w:w="2351" w:type="pct"/>
          </w:tcPr>
          <w:p w14:paraId="3977BB2D" w14:textId="77777777" w:rsidR="00AD1F54" w:rsidRPr="00264D5D" w:rsidRDefault="00AD1F54">
            <w:pPr>
              <w:widowControl w:val="0"/>
            </w:pPr>
          </w:p>
        </w:tc>
      </w:tr>
      <w:tr w:rsidR="00AD1F54" w:rsidRPr="00264D5D" w14:paraId="4DA38E77" w14:textId="77777777" w:rsidTr="00AD1F54">
        <w:trPr>
          <w:cnfStyle w:val="000000010000" w:firstRow="0" w:lastRow="0" w:firstColumn="0" w:lastColumn="0" w:oddVBand="0" w:evenVBand="0" w:oddHBand="0" w:evenHBand="1" w:firstRowFirstColumn="0" w:firstRowLastColumn="0" w:lastRowFirstColumn="0" w:lastRowLastColumn="0"/>
        </w:trPr>
        <w:tc>
          <w:tcPr>
            <w:tcW w:w="1325" w:type="pct"/>
          </w:tcPr>
          <w:p w14:paraId="60CDA563" w14:textId="77777777" w:rsidR="00AD1F54" w:rsidRPr="00264D5D" w:rsidRDefault="00941227">
            <w:pPr>
              <w:pStyle w:val="GOSTTablenorm"/>
              <w:widowControl w:val="0"/>
            </w:pPr>
            <w:r w:rsidRPr="00264D5D">
              <w:t>ЮЛ НУБП</w:t>
            </w:r>
          </w:p>
        </w:tc>
        <w:tc>
          <w:tcPr>
            <w:tcW w:w="1324" w:type="pct"/>
          </w:tcPr>
          <w:p w14:paraId="4C4EAD3E" w14:textId="77777777" w:rsidR="00AD1F54" w:rsidRPr="00264D5D" w:rsidRDefault="00941227">
            <w:pPr>
              <w:pStyle w:val="GOSTTablenorm"/>
              <w:widowControl w:val="0"/>
            </w:pPr>
            <w:r w:rsidRPr="00264D5D">
              <w:t>ТОФК (Компонент КС ПУР ЭБ)</w:t>
            </w:r>
          </w:p>
        </w:tc>
        <w:tc>
          <w:tcPr>
            <w:tcW w:w="2351" w:type="pct"/>
          </w:tcPr>
          <w:p w14:paraId="0158FB0B" w14:textId="77777777" w:rsidR="00AD1F54" w:rsidRPr="00264D5D" w:rsidRDefault="00AD1F54">
            <w:pPr>
              <w:widowControl w:val="0"/>
            </w:pPr>
          </w:p>
        </w:tc>
      </w:tr>
      <w:tr w:rsidR="002443B7" w:rsidRPr="00264D5D" w14:paraId="6CB7FF46" w14:textId="77777777" w:rsidTr="00AD1F54">
        <w:trPr>
          <w:cnfStyle w:val="000000100000" w:firstRow="0" w:lastRow="0" w:firstColumn="0" w:lastColumn="0" w:oddVBand="0" w:evenVBand="0" w:oddHBand="1" w:evenHBand="0" w:firstRowFirstColumn="0" w:firstRowLastColumn="0" w:lastRowFirstColumn="0" w:lastRowLastColumn="0"/>
        </w:trPr>
        <w:tc>
          <w:tcPr>
            <w:tcW w:w="1325" w:type="pct"/>
          </w:tcPr>
          <w:p w14:paraId="169D5149" w14:textId="77777777" w:rsidR="002443B7" w:rsidRPr="00264D5D" w:rsidRDefault="002443B7" w:rsidP="002443B7">
            <w:pPr>
              <w:pStyle w:val="GOSTTablenorm"/>
            </w:pPr>
            <w:r w:rsidRPr="00264D5D">
              <w:t>АДБ, АИФДБ (ФНС, ФТС)</w:t>
            </w:r>
          </w:p>
        </w:tc>
        <w:tc>
          <w:tcPr>
            <w:tcW w:w="1324" w:type="pct"/>
          </w:tcPr>
          <w:p w14:paraId="2C442B99" w14:textId="77777777" w:rsidR="002443B7" w:rsidRPr="00264D5D" w:rsidRDefault="002443B7" w:rsidP="002443B7">
            <w:pPr>
              <w:pStyle w:val="GOSTTablenorm"/>
            </w:pPr>
            <w:r w:rsidRPr="00264D5D">
              <w:t>ТОФК (ПУД ЭБ)</w:t>
            </w:r>
          </w:p>
        </w:tc>
        <w:tc>
          <w:tcPr>
            <w:tcW w:w="2351" w:type="pct"/>
          </w:tcPr>
          <w:p w14:paraId="4E494A66" w14:textId="77777777" w:rsidR="002443B7" w:rsidRPr="00264D5D" w:rsidRDefault="002443B7" w:rsidP="002443B7">
            <w:pPr>
              <w:widowControl w:val="0"/>
            </w:pPr>
          </w:p>
        </w:tc>
      </w:tr>
      <w:tr w:rsidR="002443B7" w:rsidRPr="00264D5D" w14:paraId="70CFC1DE" w14:textId="77777777" w:rsidTr="00AD1F54">
        <w:trPr>
          <w:cnfStyle w:val="000000010000" w:firstRow="0" w:lastRow="0" w:firstColumn="0" w:lastColumn="0" w:oddVBand="0" w:evenVBand="0" w:oddHBand="0" w:evenHBand="1" w:firstRowFirstColumn="0" w:firstRowLastColumn="0" w:lastRowFirstColumn="0" w:lastRowLastColumn="0"/>
        </w:trPr>
        <w:tc>
          <w:tcPr>
            <w:tcW w:w="1325" w:type="pct"/>
          </w:tcPr>
          <w:p w14:paraId="69C9008F" w14:textId="77777777" w:rsidR="002443B7" w:rsidRPr="00264D5D" w:rsidRDefault="002443B7" w:rsidP="002443B7">
            <w:pPr>
              <w:pStyle w:val="GOSTTablenorm"/>
            </w:pPr>
            <w:r w:rsidRPr="00264D5D">
              <w:t>ТОФК (ПУД ЭБ)</w:t>
            </w:r>
          </w:p>
        </w:tc>
        <w:tc>
          <w:tcPr>
            <w:tcW w:w="1324" w:type="pct"/>
          </w:tcPr>
          <w:p w14:paraId="5F276FF3" w14:textId="77777777" w:rsidR="002443B7" w:rsidRPr="00264D5D" w:rsidRDefault="002443B7" w:rsidP="002443B7">
            <w:pPr>
              <w:pStyle w:val="GOSTTablenorm"/>
            </w:pPr>
            <w:r w:rsidRPr="00264D5D">
              <w:t>АДБ, АИФДБ (ФНС, ФТС)</w:t>
            </w:r>
          </w:p>
        </w:tc>
        <w:tc>
          <w:tcPr>
            <w:tcW w:w="2351" w:type="pct"/>
          </w:tcPr>
          <w:p w14:paraId="06FE9CBD" w14:textId="77777777" w:rsidR="002443B7" w:rsidRPr="00264D5D" w:rsidRDefault="002443B7" w:rsidP="002443B7">
            <w:pPr>
              <w:widowControl w:val="0"/>
            </w:pPr>
          </w:p>
        </w:tc>
      </w:tr>
      <w:tr w:rsidR="007A0B27" w:rsidRPr="00264D5D" w14:paraId="58645DA1" w14:textId="77777777" w:rsidTr="00AD1F54">
        <w:trPr>
          <w:cnfStyle w:val="000000100000" w:firstRow="0" w:lastRow="0" w:firstColumn="0" w:lastColumn="0" w:oddVBand="0" w:evenVBand="0" w:oddHBand="1" w:evenHBand="0" w:firstRowFirstColumn="0" w:firstRowLastColumn="0" w:lastRowFirstColumn="0" w:lastRowLastColumn="0"/>
        </w:trPr>
        <w:tc>
          <w:tcPr>
            <w:tcW w:w="1325" w:type="pct"/>
          </w:tcPr>
          <w:p w14:paraId="6D4D5F3A" w14:textId="77777777" w:rsidR="007A0B27" w:rsidRPr="005A1997" w:rsidRDefault="007A0B27" w:rsidP="007A0B27">
            <w:pPr>
              <w:pStyle w:val="GOSTTablenorm"/>
              <w:rPr>
                <w:highlight w:val="green"/>
              </w:rPr>
            </w:pPr>
            <w:r>
              <w:rPr>
                <w:highlight w:val="green"/>
              </w:rPr>
              <w:t>ПБС</w:t>
            </w:r>
          </w:p>
        </w:tc>
        <w:tc>
          <w:tcPr>
            <w:tcW w:w="1324" w:type="pct"/>
          </w:tcPr>
          <w:p w14:paraId="4C4B1E65" w14:textId="77777777" w:rsidR="007A0B27" w:rsidRPr="005A1997" w:rsidRDefault="007A0B27" w:rsidP="007A0B27">
            <w:pPr>
              <w:pStyle w:val="GOSTTablenorm"/>
              <w:rPr>
                <w:highlight w:val="green"/>
              </w:rPr>
            </w:pPr>
            <w:r w:rsidRPr="00BC6DE9">
              <w:rPr>
                <w:szCs w:val="22"/>
                <w:highlight w:val="green"/>
              </w:rPr>
              <w:t xml:space="preserve">ТОФК (ПУР </w:t>
            </w:r>
            <w:r>
              <w:rPr>
                <w:szCs w:val="22"/>
                <w:highlight w:val="green"/>
              </w:rPr>
              <w:t>ЭБ)</w:t>
            </w:r>
          </w:p>
        </w:tc>
        <w:tc>
          <w:tcPr>
            <w:tcW w:w="2351" w:type="pct"/>
          </w:tcPr>
          <w:p w14:paraId="78D9D8F0" w14:textId="77777777" w:rsidR="007A0B27" w:rsidRPr="00264D5D" w:rsidRDefault="007A0B27" w:rsidP="007A0B27">
            <w:pPr>
              <w:widowControl w:val="0"/>
            </w:pPr>
          </w:p>
        </w:tc>
      </w:tr>
    </w:tbl>
    <w:p w14:paraId="1D68DFCD" w14:textId="77777777" w:rsidR="00AD1F54" w:rsidRPr="00F817C6" w:rsidRDefault="00941227">
      <w:pPr>
        <w:pStyle w:val="31"/>
        <w:rPr>
          <w:highlight w:val="green"/>
        </w:rPr>
      </w:pPr>
      <w:r w:rsidRPr="00264D5D">
        <w:t xml:space="preserve"> </w:t>
      </w:r>
      <w:bookmarkStart w:id="3324" w:name="_Toc219309811"/>
      <w:r w:rsidRPr="00F817C6">
        <w:rPr>
          <w:highlight w:val="green"/>
        </w:rPr>
        <w:t>Описание комплексного типа «tMSC_RespInformEPS»</w:t>
      </w:r>
      <w:bookmarkEnd w:id="3324"/>
    </w:p>
    <w:p w14:paraId="5B5E8E0B" w14:textId="7D202E46" w:rsidR="00AD1F54" w:rsidRPr="00F817C6" w:rsidRDefault="00D86A54">
      <w:pPr>
        <w:pStyle w:val="GOSTNameTable"/>
        <w:numPr>
          <w:ilvl w:val="0"/>
          <w:numId w:val="2"/>
        </w:numPr>
        <w:ind w:left="425" w:hanging="357"/>
        <w:rPr>
          <w:highlight w:val="green"/>
        </w:rPr>
      </w:pPr>
      <w:r w:rsidRPr="00F817C6">
        <w:rPr>
          <w:highlight w:val="green"/>
        </w:rPr>
        <w:fldChar w:fldCharType="begin"/>
      </w:r>
      <w:r w:rsidRPr="00F817C6">
        <w:rPr>
          <w:highlight w:val="green"/>
        </w:rPr>
        <w:instrText xml:space="preserve"> SEQ Таблица \* ARABIC </w:instrText>
      </w:r>
      <w:r w:rsidRPr="00F817C6">
        <w:rPr>
          <w:highlight w:val="green"/>
        </w:rPr>
        <w:fldChar w:fldCharType="separate"/>
      </w:r>
      <w:bookmarkStart w:id="3325" w:name="_Toc219309356"/>
      <w:r w:rsidR="008D797C">
        <w:rPr>
          <w:noProof/>
          <w:highlight w:val="green"/>
        </w:rPr>
        <w:t>326</w:t>
      </w:r>
      <w:r w:rsidRPr="00F817C6">
        <w:rPr>
          <w:noProof/>
          <w:highlight w:val="green"/>
        </w:rPr>
        <w:fldChar w:fldCharType="end"/>
      </w:r>
      <w:r w:rsidR="00941227" w:rsidRPr="00F817C6">
        <w:rPr>
          <w:highlight w:val="green"/>
        </w:rPr>
        <w:t xml:space="preserve"> – Описание комплексного типа «</w:t>
      </w:r>
      <w:r w:rsidR="00941227" w:rsidRPr="00F817C6">
        <w:rPr>
          <w:highlight w:val="green"/>
          <w:lang w:val="en-US"/>
        </w:rPr>
        <w:t>t</w:t>
      </w:r>
      <w:r w:rsidR="00941227" w:rsidRPr="00F817C6">
        <w:rPr>
          <w:highlight w:val="green"/>
        </w:rPr>
        <w:t>MSC_RespInformEPS»</w:t>
      </w:r>
      <w:bookmarkEnd w:id="3325"/>
    </w:p>
    <w:tbl>
      <w:tblPr>
        <w:tblStyle w:val="GOSTTable"/>
        <w:tblW w:w="9634" w:type="dxa"/>
        <w:tblLayout w:type="fixed"/>
        <w:tblLook w:val="01E0" w:firstRow="1" w:lastRow="1" w:firstColumn="1" w:lastColumn="1" w:noHBand="0" w:noVBand="0"/>
      </w:tblPr>
      <w:tblGrid>
        <w:gridCol w:w="1701"/>
        <w:gridCol w:w="1701"/>
        <w:gridCol w:w="567"/>
        <w:gridCol w:w="1134"/>
        <w:gridCol w:w="567"/>
        <w:gridCol w:w="3964"/>
      </w:tblGrid>
      <w:tr w:rsidR="00AD1F54" w:rsidRPr="00264D5D" w14:paraId="0FD5976E"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557C1C47" w14:textId="77777777" w:rsidR="00AD1F54" w:rsidRPr="00264D5D" w:rsidRDefault="00941227">
            <w:pPr>
              <w:pStyle w:val="ASFKTableHead"/>
            </w:pPr>
            <w:r w:rsidRPr="00264D5D">
              <w:t>Наименование элемента</w:t>
            </w:r>
          </w:p>
        </w:tc>
        <w:tc>
          <w:tcPr>
            <w:tcW w:w="1701" w:type="dxa"/>
          </w:tcPr>
          <w:p w14:paraId="1555B94C" w14:textId="77777777" w:rsidR="00AD1F54" w:rsidRPr="00264D5D" w:rsidRDefault="00941227">
            <w:pPr>
              <w:pStyle w:val="ASFKTableHead"/>
            </w:pPr>
            <w:r w:rsidRPr="00264D5D">
              <w:t>Сокращенное наименование (код) элемента</w:t>
            </w:r>
          </w:p>
        </w:tc>
        <w:tc>
          <w:tcPr>
            <w:tcW w:w="567" w:type="dxa"/>
          </w:tcPr>
          <w:p w14:paraId="14B2427F" w14:textId="77777777" w:rsidR="00AD1F54" w:rsidRPr="00264D5D" w:rsidRDefault="00941227">
            <w:pPr>
              <w:pStyle w:val="ASFKTableHead"/>
            </w:pPr>
            <w:r w:rsidRPr="00264D5D">
              <w:t>Тип</w:t>
            </w:r>
          </w:p>
        </w:tc>
        <w:tc>
          <w:tcPr>
            <w:tcW w:w="1134" w:type="dxa"/>
          </w:tcPr>
          <w:p w14:paraId="15ADCA38" w14:textId="77777777" w:rsidR="00AD1F54" w:rsidRPr="00264D5D" w:rsidRDefault="00941227">
            <w:pPr>
              <w:pStyle w:val="ASFKTableHead"/>
            </w:pPr>
            <w:r w:rsidRPr="00264D5D">
              <w:t>Формат элемента</w:t>
            </w:r>
          </w:p>
        </w:tc>
        <w:tc>
          <w:tcPr>
            <w:tcW w:w="567" w:type="dxa"/>
          </w:tcPr>
          <w:p w14:paraId="47339624" w14:textId="77777777" w:rsidR="00AD1F54" w:rsidRPr="00264D5D" w:rsidRDefault="00941227">
            <w:pPr>
              <w:pStyle w:val="ASFKTableHead"/>
            </w:pPr>
            <w:r w:rsidRPr="00264D5D">
              <w:t>Обязательность</w:t>
            </w:r>
          </w:p>
        </w:tc>
        <w:tc>
          <w:tcPr>
            <w:tcW w:w="3964" w:type="dxa"/>
          </w:tcPr>
          <w:p w14:paraId="2113CE14" w14:textId="77777777" w:rsidR="00AD1F54" w:rsidRPr="00264D5D" w:rsidRDefault="00941227">
            <w:pPr>
              <w:pStyle w:val="ASFKTableHead"/>
            </w:pPr>
            <w:r w:rsidRPr="00264D5D">
              <w:t>Дополнительная информация</w:t>
            </w:r>
          </w:p>
        </w:tc>
      </w:tr>
      <w:tr w:rsidR="00AD1F54" w:rsidRPr="00264D5D" w14:paraId="50A76BFF"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01F195A" w14:textId="77777777" w:rsidR="00AD1F54" w:rsidRPr="00264D5D" w:rsidRDefault="00941227">
            <w:pPr>
              <w:pStyle w:val="GOSTTablenorm"/>
              <w:widowControl w:val="0"/>
            </w:pPr>
            <w:r w:rsidRPr="00264D5D">
              <w:t xml:space="preserve">Версия </w:t>
            </w:r>
            <w:r w:rsidRPr="00264D5D">
              <w:lastRenderedPageBreak/>
              <w:t>структуры формуляра</w:t>
            </w:r>
          </w:p>
        </w:tc>
        <w:tc>
          <w:tcPr>
            <w:tcW w:w="1701" w:type="dxa"/>
          </w:tcPr>
          <w:p w14:paraId="141C42A0" w14:textId="77777777" w:rsidR="00AD1F54" w:rsidRPr="00264D5D" w:rsidRDefault="00941227">
            <w:pPr>
              <w:pStyle w:val="GOSTTablenorm"/>
              <w:widowControl w:val="0"/>
            </w:pPr>
            <w:r w:rsidRPr="00264D5D">
              <w:lastRenderedPageBreak/>
              <w:t>Version</w:t>
            </w:r>
          </w:p>
        </w:tc>
        <w:tc>
          <w:tcPr>
            <w:tcW w:w="567" w:type="dxa"/>
          </w:tcPr>
          <w:p w14:paraId="1B34BF0E" w14:textId="77777777" w:rsidR="00AD1F54" w:rsidRPr="00264D5D" w:rsidRDefault="00941227">
            <w:pPr>
              <w:pStyle w:val="GOSTTablenorm"/>
              <w:widowControl w:val="0"/>
              <w:jc w:val="center"/>
              <w:rPr>
                <w:lang w:val="en-US"/>
              </w:rPr>
            </w:pPr>
            <w:r w:rsidRPr="00264D5D">
              <w:rPr>
                <w:lang w:val="en-US"/>
              </w:rPr>
              <w:t>А</w:t>
            </w:r>
          </w:p>
        </w:tc>
        <w:tc>
          <w:tcPr>
            <w:tcW w:w="1134" w:type="dxa"/>
          </w:tcPr>
          <w:p w14:paraId="51924823" w14:textId="77777777" w:rsidR="00AD1F54" w:rsidRPr="00264D5D" w:rsidRDefault="00941227">
            <w:pPr>
              <w:pStyle w:val="GOSTTablenorm"/>
              <w:widowControl w:val="0"/>
            </w:pPr>
            <w:r w:rsidRPr="00264D5D">
              <w:t>-</w:t>
            </w:r>
          </w:p>
        </w:tc>
        <w:tc>
          <w:tcPr>
            <w:tcW w:w="567" w:type="dxa"/>
          </w:tcPr>
          <w:p w14:paraId="73E64E90" w14:textId="77777777" w:rsidR="00AD1F54" w:rsidRPr="00264D5D" w:rsidRDefault="00941227">
            <w:pPr>
              <w:pStyle w:val="GOSTTablenorm"/>
              <w:widowControl w:val="0"/>
              <w:jc w:val="center"/>
            </w:pPr>
            <w:r w:rsidRPr="00264D5D">
              <w:t>О</w:t>
            </w:r>
          </w:p>
        </w:tc>
        <w:tc>
          <w:tcPr>
            <w:tcW w:w="3964" w:type="dxa"/>
          </w:tcPr>
          <w:p w14:paraId="6560E112" w14:textId="4C4BD622" w:rsidR="00AD1F54" w:rsidRPr="00264D5D" w:rsidRDefault="00941227">
            <w:pPr>
              <w:pStyle w:val="GOSTTablenorm"/>
              <w:widowControl w:val="0"/>
              <w:rPr>
                <w:szCs w:val="22"/>
                <w:lang w:eastAsia="en-US"/>
              </w:rPr>
            </w:pPr>
            <w:r w:rsidRPr="00264D5D">
              <w:rPr>
                <w:szCs w:val="22"/>
                <w:lang w:eastAsia="en-US"/>
              </w:rPr>
              <w:t xml:space="preserve">Указывается значение версии, </w:t>
            </w:r>
            <w:r w:rsidRPr="00264D5D">
              <w:rPr>
                <w:szCs w:val="22"/>
                <w:lang w:eastAsia="en-US"/>
              </w:rPr>
              <w:lastRenderedPageBreak/>
              <w:t xml:space="preserve">соответствующее таблице </w:t>
            </w:r>
            <w:r w:rsidRPr="00264D5D">
              <w:rPr>
                <w:szCs w:val="22"/>
                <w:lang w:eastAsia="en-US"/>
              </w:rPr>
              <w:fldChar w:fldCharType="begin"/>
            </w:r>
            <w:r w:rsidRPr="00264D5D">
              <w:rPr>
                <w:szCs w:val="22"/>
                <w:lang w:eastAsia="en-US"/>
              </w:rPr>
              <w:instrText xml:space="preserve"> REF _Ref19881821 \h  \* MERGEFORMAT </w:instrText>
            </w:r>
            <w:r w:rsidRPr="00264D5D">
              <w:rPr>
                <w:szCs w:val="22"/>
                <w:lang w:eastAsia="en-US"/>
              </w:rPr>
            </w:r>
            <w:r w:rsidRPr="00264D5D">
              <w:rPr>
                <w:szCs w:val="22"/>
                <w:lang w:eastAsia="en-US"/>
              </w:rPr>
              <w:fldChar w:fldCharType="separate"/>
            </w:r>
            <w:r w:rsidR="008D797C" w:rsidRPr="008D797C">
              <w:rPr>
                <w:rFonts w:eastAsia="Calibri"/>
                <w:szCs w:val="24"/>
              </w:rPr>
              <w:t>2</w:t>
            </w:r>
            <w:r w:rsidRPr="00264D5D">
              <w:rPr>
                <w:szCs w:val="22"/>
                <w:lang w:eastAsia="en-US"/>
              </w:rPr>
              <w:fldChar w:fldCharType="end"/>
            </w:r>
          </w:p>
        </w:tc>
      </w:tr>
      <w:tr w:rsidR="00AD1F54" w:rsidRPr="00264D5D" w14:paraId="51CBE085" w14:textId="77777777" w:rsidTr="00AD1F54">
        <w:trPr>
          <w:cnfStyle w:val="000000010000" w:firstRow="0" w:lastRow="0" w:firstColumn="0" w:lastColumn="0" w:oddVBand="0" w:evenVBand="0" w:oddHBand="0" w:evenHBand="1" w:firstRowFirstColumn="0" w:firstRowLastColumn="0" w:lastRowFirstColumn="0" w:lastRowLastColumn="0"/>
        </w:trPr>
        <w:tc>
          <w:tcPr>
            <w:tcW w:w="9634" w:type="dxa"/>
            <w:gridSpan w:val="6"/>
          </w:tcPr>
          <w:p w14:paraId="41E6E429" w14:textId="77777777" w:rsidR="00AD1F54" w:rsidRPr="00264D5D" w:rsidRDefault="00941227">
            <w:pPr>
              <w:pStyle w:val="GOSTTablenorm"/>
              <w:widowControl w:val="0"/>
              <w:rPr>
                <w:szCs w:val="22"/>
                <w:lang w:eastAsia="en-US"/>
              </w:rPr>
            </w:pPr>
            <w:r w:rsidRPr="00264D5D">
              <w:rPr>
                <w:b/>
                <w:szCs w:val="22"/>
              </w:rPr>
              <w:lastRenderedPageBreak/>
              <w:t>Общая информация</w:t>
            </w:r>
          </w:p>
        </w:tc>
      </w:tr>
      <w:tr w:rsidR="00AD1F54" w:rsidRPr="00264D5D" w14:paraId="669C8FC1"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571302D" w14:textId="77777777" w:rsidR="00AD1F54" w:rsidRPr="00264D5D" w:rsidRDefault="00941227">
            <w:pPr>
              <w:pStyle w:val="GOSTTablenorm"/>
              <w:widowControl w:val="0"/>
              <w:rPr>
                <w:i/>
                <w:szCs w:val="22"/>
              </w:rPr>
            </w:pPr>
            <w:r w:rsidRPr="00264D5D">
              <w:rPr>
                <w:szCs w:val="22"/>
              </w:rPr>
              <w:t>Номер ЭС в течение опер. дня</w:t>
            </w:r>
          </w:p>
        </w:tc>
        <w:tc>
          <w:tcPr>
            <w:tcW w:w="1701" w:type="dxa"/>
          </w:tcPr>
          <w:p w14:paraId="3251EA5E" w14:textId="77777777" w:rsidR="00AD1F54" w:rsidRPr="00264D5D" w:rsidRDefault="00941227">
            <w:pPr>
              <w:pStyle w:val="GOSTTablenorm"/>
              <w:widowControl w:val="0"/>
              <w:rPr>
                <w:szCs w:val="22"/>
              </w:rPr>
            </w:pPr>
            <w:r w:rsidRPr="00264D5D">
              <w:rPr>
                <w:szCs w:val="22"/>
              </w:rPr>
              <w:t>BasicRequisites_EDNo</w:t>
            </w:r>
          </w:p>
        </w:tc>
        <w:tc>
          <w:tcPr>
            <w:tcW w:w="567" w:type="dxa"/>
          </w:tcPr>
          <w:p w14:paraId="0B98DE96" w14:textId="77777777" w:rsidR="00AD1F54" w:rsidRPr="00264D5D" w:rsidRDefault="00941227">
            <w:pPr>
              <w:pStyle w:val="GOSTTablenorm"/>
              <w:widowControl w:val="0"/>
              <w:jc w:val="center"/>
              <w:rPr>
                <w:szCs w:val="22"/>
              </w:rPr>
            </w:pPr>
            <w:r w:rsidRPr="00264D5D">
              <w:rPr>
                <w:szCs w:val="22"/>
              </w:rPr>
              <w:t>П</w:t>
            </w:r>
          </w:p>
        </w:tc>
        <w:tc>
          <w:tcPr>
            <w:tcW w:w="1134" w:type="dxa"/>
          </w:tcPr>
          <w:p w14:paraId="029FCA15" w14:textId="77777777" w:rsidR="00AD1F54" w:rsidRPr="00264D5D" w:rsidRDefault="00941227">
            <w:pPr>
              <w:pStyle w:val="GOSTTablenorm"/>
              <w:widowControl w:val="0"/>
              <w:rPr>
                <w:szCs w:val="22"/>
              </w:rPr>
            </w:pPr>
            <w:r w:rsidRPr="00264D5D">
              <w:rPr>
                <w:szCs w:val="22"/>
              </w:rPr>
              <w:t>Т(1-9)</w:t>
            </w:r>
          </w:p>
        </w:tc>
        <w:tc>
          <w:tcPr>
            <w:tcW w:w="567" w:type="dxa"/>
          </w:tcPr>
          <w:p w14:paraId="471833D6" w14:textId="77777777" w:rsidR="00AD1F54" w:rsidRPr="00264D5D" w:rsidRDefault="00941227">
            <w:pPr>
              <w:pStyle w:val="GOSTTablenorm"/>
              <w:widowControl w:val="0"/>
              <w:jc w:val="center"/>
              <w:rPr>
                <w:szCs w:val="22"/>
              </w:rPr>
            </w:pPr>
            <w:r w:rsidRPr="00264D5D">
              <w:rPr>
                <w:szCs w:val="22"/>
              </w:rPr>
              <w:t>Н</w:t>
            </w:r>
          </w:p>
        </w:tc>
        <w:tc>
          <w:tcPr>
            <w:tcW w:w="3964" w:type="dxa"/>
          </w:tcPr>
          <w:p w14:paraId="06897908" w14:textId="77777777" w:rsidR="00F817C6" w:rsidRPr="00773278" w:rsidRDefault="00F817C6" w:rsidP="00F817C6">
            <w:pPr>
              <w:pStyle w:val="GOSTTablenorm"/>
              <w:widowControl w:val="0"/>
              <w:rPr>
                <w:szCs w:val="22"/>
              </w:rPr>
            </w:pPr>
            <w:r w:rsidRPr="00773278">
              <w:rPr>
                <w:szCs w:val="22"/>
              </w:rPr>
              <w:t>Указывается уникальный (для составителя ЭС) номер ЭС в течение операционного дня.</w:t>
            </w:r>
          </w:p>
          <w:p w14:paraId="62F4DBAE" w14:textId="77777777" w:rsidR="00AD1F54" w:rsidRPr="00264D5D" w:rsidRDefault="00F817C6" w:rsidP="00F817C6">
            <w:pPr>
              <w:pStyle w:val="GOSTTablenorm"/>
              <w:widowControl w:val="0"/>
              <w:rPr>
                <w:b/>
                <w:bCs/>
                <w:szCs w:val="22"/>
              </w:rPr>
            </w:pPr>
            <w:r w:rsidRPr="00773278">
              <w:rPr>
                <w:szCs w:val="22"/>
                <w:highlight w:val="green"/>
              </w:rPr>
              <w:t>Обязательно к заполнению для взаимодействия с ПУД ЭБ</w:t>
            </w:r>
          </w:p>
        </w:tc>
      </w:tr>
      <w:tr w:rsidR="00AD1F54" w:rsidRPr="00264D5D" w14:paraId="47ABE41E"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F43CE62" w14:textId="77777777" w:rsidR="00AD1F54" w:rsidRPr="00264D5D" w:rsidRDefault="00941227">
            <w:pPr>
              <w:pStyle w:val="GOSTTablenorm"/>
              <w:widowControl w:val="0"/>
              <w:rPr>
                <w:szCs w:val="22"/>
              </w:rPr>
            </w:pPr>
            <w:r w:rsidRPr="00264D5D">
              <w:rPr>
                <w:szCs w:val="22"/>
              </w:rPr>
              <w:t>Дата документа</w:t>
            </w:r>
          </w:p>
        </w:tc>
        <w:tc>
          <w:tcPr>
            <w:tcW w:w="1701" w:type="dxa"/>
          </w:tcPr>
          <w:p w14:paraId="07515554" w14:textId="77777777" w:rsidR="00AD1F54" w:rsidRPr="00264D5D" w:rsidRDefault="00941227">
            <w:pPr>
              <w:pStyle w:val="GOSTTablenorm"/>
              <w:widowControl w:val="0"/>
              <w:rPr>
                <w:szCs w:val="22"/>
              </w:rPr>
            </w:pPr>
            <w:r w:rsidRPr="00264D5D">
              <w:rPr>
                <w:szCs w:val="22"/>
              </w:rPr>
              <w:t>BasicRequisites_EDDate</w:t>
            </w:r>
          </w:p>
        </w:tc>
        <w:tc>
          <w:tcPr>
            <w:tcW w:w="567" w:type="dxa"/>
          </w:tcPr>
          <w:p w14:paraId="5643352E" w14:textId="77777777" w:rsidR="00AD1F54" w:rsidRPr="00264D5D" w:rsidRDefault="00941227">
            <w:pPr>
              <w:pStyle w:val="GOSTTablenorm"/>
              <w:widowControl w:val="0"/>
              <w:jc w:val="center"/>
              <w:rPr>
                <w:szCs w:val="22"/>
              </w:rPr>
            </w:pPr>
            <w:r w:rsidRPr="00264D5D">
              <w:rPr>
                <w:szCs w:val="22"/>
              </w:rPr>
              <w:t>П</w:t>
            </w:r>
          </w:p>
        </w:tc>
        <w:tc>
          <w:tcPr>
            <w:tcW w:w="1134" w:type="dxa"/>
          </w:tcPr>
          <w:p w14:paraId="6B5C125B" w14:textId="77777777" w:rsidR="00AD1F54" w:rsidRPr="00264D5D" w:rsidRDefault="00941227">
            <w:pPr>
              <w:pStyle w:val="GOSTTablenorm"/>
              <w:widowControl w:val="0"/>
              <w:rPr>
                <w:szCs w:val="22"/>
              </w:rPr>
            </w:pPr>
            <w:r w:rsidRPr="00264D5D">
              <w:rPr>
                <w:szCs w:val="22"/>
                <w:lang w:val="en-US"/>
              </w:rPr>
              <w:t>Date</w:t>
            </w:r>
          </w:p>
        </w:tc>
        <w:tc>
          <w:tcPr>
            <w:tcW w:w="567" w:type="dxa"/>
          </w:tcPr>
          <w:p w14:paraId="4639156F" w14:textId="77777777" w:rsidR="00AD1F54" w:rsidRPr="00264D5D" w:rsidRDefault="00941227">
            <w:pPr>
              <w:pStyle w:val="GOSTTablenorm"/>
              <w:widowControl w:val="0"/>
              <w:jc w:val="center"/>
              <w:rPr>
                <w:szCs w:val="22"/>
              </w:rPr>
            </w:pPr>
            <w:r w:rsidRPr="00264D5D">
              <w:rPr>
                <w:szCs w:val="22"/>
              </w:rPr>
              <w:t>О</w:t>
            </w:r>
          </w:p>
        </w:tc>
        <w:tc>
          <w:tcPr>
            <w:tcW w:w="3964" w:type="dxa"/>
          </w:tcPr>
          <w:p w14:paraId="16F81E37" w14:textId="77777777" w:rsidR="00AD1F54" w:rsidRPr="00264D5D" w:rsidRDefault="00941227">
            <w:pPr>
              <w:pStyle w:val="GOSTTablenorm"/>
              <w:widowControl w:val="0"/>
              <w:rPr>
                <w:szCs w:val="22"/>
                <w:lang w:val="en-US"/>
              </w:rPr>
            </w:pPr>
            <w:r w:rsidRPr="00264D5D">
              <w:rPr>
                <w:szCs w:val="22"/>
              </w:rPr>
              <w:t>Указывается дата операционного дня</w:t>
            </w:r>
          </w:p>
        </w:tc>
      </w:tr>
      <w:tr w:rsidR="00AD1F54" w:rsidRPr="00264D5D" w14:paraId="475F1D02"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85B3F52" w14:textId="77777777" w:rsidR="00AD1F54" w:rsidRPr="00264D5D" w:rsidRDefault="00941227">
            <w:pPr>
              <w:pStyle w:val="GOSTTablenorm"/>
              <w:widowControl w:val="0"/>
              <w:rPr>
                <w:szCs w:val="22"/>
              </w:rPr>
            </w:pPr>
            <w:r w:rsidRPr="00264D5D">
              <w:rPr>
                <w:szCs w:val="22"/>
              </w:rPr>
              <w:t>Уникальный идентификатор составителя ЭС</w:t>
            </w:r>
          </w:p>
        </w:tc>
        <w:tc>
          <w:tcPr>
            <w:tcW w:w="1701" w:type="dxa"/>
          </w:tcPr>
          <w:p w14:paraId="4F990042" w14:textId="77777777" w:rsidR="00AD1F54" w:rsidRPr="00264D5D" w:rsidRDefault="00941227">
            <w:pPr>
              <w:pStyle w:val="GOSTTablenorm"/>
              <w:widowControl w:val="0"/>
              <w:rPr>
                <w:szCs w:val="22"/>
              </w:rPr>
            </w:pPr>
            <w:r w:rsidRPr="00264D5D">
              <w:rPr>
                <w:color w:val="000000"/>
                <w:szCs w:val="22"/>
              </w:rPr>
              <w:t>BasicRequisites_EDAuthor</w:t>
            </w:r>
          </w:p>
        </w:tc>
        <w:tc>
          <w:tcPr>
            <w:tcW w:w="567" w:type="dxa"/>
          </w:tcPr>
          <w:p w14:paraId="3BABCB27" w14:textId="77777777" w:rsidR="00AD1F54" w:rsidRPr="00264D5D" w:rsidRDefault="00941227">
            <w:pPr>
              <w:pStyle w:val="GOSTTablenorm"/>
              <w:widowControl w:val="0"/>
              <w:jc w:val="center"/>
              <w:rPr>
                <w:szCs w:val="22"/>
              </w:rPr>
            </w:pPr>
            <w:r w:rsidRPr="00264D5D">
              <w:rPr>
                <w:szCs w:val="22"/>
              </w:rPr>
              <w:t>П</w:t>
            </w:r>
          </w:p>
        </w:tc>
        <w:tc>
          <w:tcPr>
            <w:tcW w:w="1134" w:type="dxa"/>
          </w:tcPr>
          <w:p w14:paraId="489D7594" w14:textId="77777777" w:rsidR="00AD1F54" w:rsidRPr="00264D5D" w:rsidRDefault="00941227">
            <w:pPr>
              <w:pStyle w:val="GOSTTablenorm"/>
              <w:widowControl w:val="0"/>
              <w:rPr>
                <w:szCs w:val="22"/>
              </w:rPr>
            </w:pPr>
            <w:r w:rsidRPr="00264D5D">
              <w:rPr>
                <w:szCs w:val="22"/>
              </w:rPr>
              <w:t>Т(10)</w:t>
            </w:r>
          </w:p>
        </w:tc>
        <w:tc>
          <w:tcPr>
            <w:tcW w:w="567" w:type="dxa"/>
          </w:tcPr>
          <w:p w14:paraId="5BB48382" w14:textId="77777777" w:rsidR="00AD1F54" w:rsidRPr="00264D5D" w:rsidRDefault="00941227">
            <w:pPr>
              <w:pStyle w:val="GOSTTablenorm"/>
              <w:widowControl w:val="0"/>
              <w:jc w:val="center"/>
              <w:rPr>
                <w:szCs w:val="22"/>
              </w:rPr>
            </w:pPr>
            <w:r w:rsidRPr="00264D5D">
              <w:rPr>
                <w:szCs w:val="22"/>
              </w:rPr>
              <w:t>Н</w:t>
            </w:r>
          </w:p>
        </w:tc>
        <w:tc>
          <w:tcPr>
            <w:tcW w:w="3964" w:type="dxa"/>
          </w:tcPr>
          <w:p w14:paraId="3725FCC7" w14:textId="77777777" w:rsidR="00AD1F54" w:rsidRPr="00264D5D" w:rsidRDefault="00941227">
            <w:pPr>
              <w:pStyle w:val="GOSTTablenorm"/>
              <w:widowControl w:val="0"/>
              <w:rPr>
                <w:szCs w:val="22"/>
              </w:rPr>
            </w:pPr>
            <w:r w:rsidRPr="00264D5D">
              <w:rPr>
                <w:szCs w:val="22"/>
              </w:rPr>
              <w:t>Указывается уникальн</w:t>
            </w:r>
            <w:r w:rsidR="003E1F19" w:rsidRPr="00264D5D">
              <w:rPr>
                <w:szCs w:val="22"/>
              </w:rPr>
              <w:t>ый идентификатор составителя ЭС</w:t>
            </w:r>
          </w:p>
        </w:tc>
      </w:tr>
      <w:tr w:rsidR="00AD1F54" w:rsidRPr="00264D5D" w14:paraId="75E7C007"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26E8B0D7" w14:textId="77777777" w:rsidR="00AD1F54" w:rsidRPr="00264D5D" w:rsidRDefault="00941227">
            <w:pPr>
              <w:pStyle w:val="GOSTTablenorm"/>
              <w:widowControl w:val="0"/>
              <w:rPr>
                <w:szCs w:val="22"/>
              </w:rPr>
            </w:pPr>
            <w:r w:rsidRPr="00264D5D">
              <w:rPr>
                <w:szCs w:val="22"/>
              </w:rPr>
              <w:t>Уникальный идентификатор получателя ЭС</w:t>
            </w:r>
          </w:p>
        </w:tc>
        <w:tc>
          <w:tcPr>
            <w:tcW w:w="1701" w:type="dxa"/>
          </w:tcPr>
          <w:p w14:paraId="47D4FD26" w14:textId="77777777" w:rsidR="00AD1F54" w:rsidRPr="00264D5D" w:rsidRDefault="00941227">
            <w:pPr>
              <w:pStyle w:val="GOSTTablenorm"/>
              <w:widowControl w:val="0"/>
              <w:rPr>
                <w:color w:val="000000"/>
                <w:szCs w:val="22"/>
              </w:rPr>
            </w:pPr>
            <w:r w:rsidRPr="00264D5D">
              <w:rPr>
                <w:color w:val="000000"/>
                <w:szCs w:val="22"/>
              </w:rPr>
              <w:t>BasicRequisites_EDReceiver</w:t>
            </w:r>
          </w:p>
        </w:tc>
        <w:tc>
          <w:tcPr>
            <w:tcW w:w="567" w:type="dxa"/>
          </w:tcPr>
          <w:p w14:paraId="51007ADD" w14:textId="77777777" w:rsidR="00AD1F54" w:rsidRPr="00264D5D" w:rsidRDefault="00941227">
            <w:pPr>
              <w:pStyle w:val="GOSTTablenorm"/>
              <w:widowControl w:val="0"/>
              <w:jc w:val="center"/>
              <w:rPr>
                <w:szCs w:val="22"/>
              </w:rPr>
            </w:pPr>
            <w:r w:rsidRPr="00264D5D">
              <w:rPr>
                <w:szCs w:val="22"/>
              </w:rPr>
              <w:t>П</w:t>
            </w:r>
          </w:p>
        </w:tc>
        <w:tc>
          <w:tcPr>
            <w:tcW w:w="1134" w:type="dxa"/>
          </w:tcPr>
          <w:p w14:paraId="1A7644E2" w14:textId="77777777" w:rsidR="00AD1F54" w:rsidRPr="00264D5D" w:rsidRDefault="00941227">
            <w:pPr>
              <w:pStyle w:val="GOSTTablenorm"/>
              <w:widowControl w:val="0"/>
              <w:rPr>
                <w:szCs w:val="22"/>
              </w:rPr>
            </w:pPr>
            <w:r w:rsidRPr="00264D5D">
              <w:rPr>
                <w:szCs w:val="22"/>
              </w:rPr>
              <w:t>Т(10)</w:t>
            </w:r>
          </w:p>
        </w:tc>
        <w:tc>
          <w:tcPr>
            <w:tcW w:w="567" w:type="dxa"/>
          </w:tcPr>
          <w:p w14:paraId="463D4859" w14:textId="77777777" w:rsidR="00AD1F54" w:rsidRPr="00264D5D" w:rsidRDefault="00941227">
            <w:pPr>
              <w:pStyle w:val="GOSTTablenorm"/>
              <w:widowControl w:val="0"/>
              <w:jc w:val="center"/>
              <w:rPr>
                <w:szCs w:val="22"/>
              </w:rPr>
            </w:pPr>
            <w:r w:rsidRPr="00264D5D">
              <w:rPr>
                <w:szCs w:val="22"/>
              </w:rPr>
              <w:t>Н</w:t>
            </w:r>
          </w:p>
        </w:tc>
        <w:tc>
          <w:tcPr>
            <w:tcW w:w="3964" w:type="dxa"/>
          </w:tcPr>
          <w:p w14:paraId="380D6BA7" w14:textId="77777777" w:rsidR="00AD1F54" w:rsidRPr="00264D5D" w:rsidRDefault="00941227">
            <w:pPr>
              <w:pStyle w:val="GOSTTablenorm"/>
              <w:widowControl w:val="0"/>
              <w:rPr>
                <w:szCs w:val="22"/>
              </w:rPr>
            </w:pPr>
            <w:r w:rsidRPr="00264D5D">
              <w:rPr>
                <w:szCs w:val="22"/>
              </w:rPr>
              <w:t>Указывается уникаль</w:t>
            </w:r>
            <w:r w:rsidR="003E1F19" w:rsidRPr="00264D5D">
              <w:rPr>
                <w:szCs w:val="22"/>
              </w:rPr>
              <w:t>ный идентификатор получателя ЭС</w:t>
            </w:r>
          </w:p>
        </w:tc>
      </w:tr>
      <w:tr w:rsidR="00AD1F54" w:rsidRPr="00264D5D" w14:paraId="72DFFE6F"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56BECEFE" w14:textId="77777777" w:rsidR="00AD1F54" w:rsidRPr="00264D5D" w:rsidRDefault="00941227">
            <w:pPr>
              <w:pStyle w:val="GOSTTablenorm"/>
              <w:widowControl w:val="0"/>
              <w:rPr>
                <w:szCs w:val="22"/>
              </w:rPr>
            </w:pPr>
            <w:r w:rsidRPr="00264D5D">
              <w:rPr>
                <w:szCs w:val="22"/>
              </w:rPr>
              <w:t>Код запроса</w:t>
            </w:r>
          </w:p>
        </w:tc>
        <w:tc>
          <w:tcPr>
            <w:tcW w:w="1701" w:type="dxa"/>
          </w:tcPr>
          <w:p w14:paraId="7117C940" w14:textId="77777777" w:rsidR="00AD1F54" w:rsidRPr="00264D5D" w:rsidRDefault="00941227">
            <w:pPr>
              <w:pStyle w:val="GOSTTablenorm"/>
              <w:widowControl w:val="0"/>
              <w:rPr>
                <w:color w:val="000000"/>
                <w:szCs w:val="22"/>
              </w:rPr>
            </w:pPr>
            <w:r w:rsidRPr="00264D5D">
              <w:rPr>
                <w:szCs w:val="22"/>
              </w:rPr>
              <w:t>ReqEPS_ReqCode</w:t>
            </w:r>
          </w:p>
        </w:tc>
        <w:tc>
          <w:tcPr>
            <w:tcW w:w="567" w:type="dxa"/>
          </w:tcPr>
          <w:p w14:paraId="38909A6E" w14:textId="77777777" w:rsidR="00AD1F54" w:rsidRPr="00264D5D" w:rsidRDefault="00941227">
            <w:pPr>
              <w:pStyle w:val="GOSTTablenorm"/>
              <w:widowControl w:val="0"/>
              <w:jc w:val="center"/>
              <w:rPr>
                <w:szCs w:val="22"/>
              </w:rPr>
            </w:pPr>
            <w:r w:rsidRPr="00264D5D">
              <w:rPr>
                <w:szCs w:val="22"/>
              </w:rPr>
              <w:t>П</w:t>
            </w:r>
          </w:p>
        </w:tc>
        <w:tc>
          <w:tcPr>
            <w:tcW w:w="1134" w:type="dxa"/>
          </w:tcPr>
          <w:p w14:paraId="1E81434E" w14:textId="77777777" w:rsidR="00AD1F54" w:rsidRPr="00264D5D" w:rsidRDefault="00941227">
            <w:pPr>
              <w:pStyle w:val="GOSTTablenorm"/>
              <w:widowControl w:val="0"/>
              <w:rPr>
                <w:szCs w:val="22"/>
              </w:rPr>
            </w:pPr>
            <w:r w:rsidRPr="00264D5D">
              <w:rPr>
                <w:szCs w:val="22"/>
              </w:rPr>
              <w:t>Т(2)</w:t>
            </w:r>
          </w:p>
        </w:tc>
        <w:tc>
          <w:tcPr>
            <w:tcW w:w="567" w:type="dxa"/>
          </w:tcPr>
          <w:p w14:paraId="5FFFDCE7" w14:textId="77777777" w:rsidR="00AD1F54" w:rsidRPr="00264D5D" w:rsidRDefault="00941227">
            <w:pPr>
              <w:pStyle w:val="GOSTTablenorm"/>
              <w:widowControl w:val="0"/>
              <w:jc w:val="center"/>
              <w:rPr>
                <w:szCs w:val="22"/>
              </w:rPr>
            </w:pPr>
            <w:r w:rsidRPr="00264D5D">
              <w:rPr>
                <w:szCs w:val="22"/>
              </w:rPr>
              <w:t>О</w:t>
            </w:r>
          </w:p>
        </w:tc>
        <w:tc>
          <w:tcPr>
            <w:tcW w:w="3964" w:type="dxa"/>
          </w:tcPr>
          <w:p w14:paraId="75CA7463" w14:textId="77777777" w:rsidR="00AD1F54" w:rsidRPr="00264D5D" w:rsidRDefault="00941227">
            <w:pPr>
              <w:pStyle w:val="GOSTTablenorm"/>
              <w:widowControl w:val="0"/>
              <w:rPr>
                <w:szCs w:val="22"/>
                <w:lang w:val="en-US"/>
              </w:rPr>
            </w:pPr>
            <w:r w:rsidRPr="00264D5D">
              <w:rPr>
                <w:szCs w:val="22"/>
              </w:rPr>
              <w:t>Указывается код запроса</w:t>
            </w:r>
          </w:p>
        </w:tc>
      </w:tr>
      <w:tr w:rsidR="00AD1F54" w:rsidRPr="00264D5D" w14:paraId="64372813"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630EDED" w14:textId="77777777" w:rsidR="00AD1F54" w:rsidRPr="00264D5D" w:rsidRDefault="00941227">
            <w:pPr>
              <w:pStyle w:val="GOSTTablenorm"/>
              <w:widowControl w:val="0"/>
              <w:rPr>
                <w:szCs w:val="22"/>
              </w:rPr>
            </w:pPr>
            <w:r w:rsidRPr="00264D5D">
              <w:rPr>
                <w:szCs w:val="22"/>
              </w:rPr>
              <w:t>Код ответа</w:t>
            </w:r>
          </w:p>
        </w:tc>
        <w:tc>
          <w:tcPr>
            <w:tcW w:w="1701" w:type="dxa"/>
          </w:tcPr>
          <w:p w14:paraId="6E244B7A" w14:textId="77777777" w:rsidR="00AD1F54" w:rsidRPr="00264D5D" w:rsidRDefault="00941227">
            <w:pPr>
              <w:pStyle w:val="GOSTTablenorm"/>
              <w:widowControl w:val="0"/>
              <w:rPr>
                <w:szCs w:val="22"/>
              </w:rPr>
            </w:pPr>
            <w:r w:rsidRPr="00264D5D">
              <w:rPr>
                <w:color w:val="000000"/>
                <w:szCs w:val="22"/>
              </w:rPr>
              <w:t>BasicRequisites_RespCode</w:t>
            </w:r>
          </w:p>
        </w:tc>
        <w:tc>
          <w:tcPr>
            <w:tcW w:w="567" w:type="dxa"/>
          </w:tcPr>
          <w:p w14:paraId="017071DF" w14:textId="77777777" w:rsidR="00AD1F54" w:rsidRPr="00264D5D" w:rsidRDefault="00941227">
            <w:pPr>
              <w:pStyle w:val="GOSTTablenorm"/>
              <w:widowControl w:val="0"/>
              <w:jc w:val="center"/>
              <w:rPr>
                <w:szCs w:val="22"/>
              </w:rPr>
            </w:pPr>
            <w:r w:rsidRPr="00264D5D">
              <w:rPr>
                <w:szCs w:val="22"/>
              </w:rPr>
              <w:t>П</w:t>
            </w:r>
          </w:p>
        </w:tc>
        <w:tc>
          <w:tcPr>
            <w:tcW w:w="1134" w:type="dxa"/>
          </w:tcPr>
          <w:p w14:paraId="51CD36E0" w14:textId="77777777" w:rsidR="00AD1F54" w:rsidRPr="00264D5D" w:rsidRDefault="00941227">
            <w:pPr>
              <w:pStyle w:val="GOSTTablenorm"/>
              <w:widowControl w:val="0"/>
              <w:rPr>
                <w:szCs w:val="22"/>
              </w:rPr>
            </w:pPr>
            <w:r w:rsidRPr="00264D5D">
              <w:rPr>
                <w:szCs w:val="22"/>
              </w:rPr>
              <w:t>Т(2)</w:t>
            </w:r>
          </w:p>
        </w:tc>
        <w:tc>
          <w:tcPr>
            <w:tcW w:w="567" w:type="dxa"/>
          </w:tcPr>
          <w:p w14:paraId="48BF186D" w14:textId="77777777" w:rsidR="00AD1F54" w:rsidRPr="00264D5D" w:rsidRDefault="00941227">
            <w:pPr>
              <w:pStyle w:val="GOSTTablenorm"/>
              <w:widowControl w:val="0"/>
              <w:jc w:val="center"/>
              <w:rPr>
                <w:szCs w:val="22"/>
              </w:rPr>
            </w:pPr>
            <w:r w:rsidRPr="00264D5D">
              <w:rPr>
                <w:szCs w:val="22"/>
              </w:rPr>
              <w:t>О</w:t>
            </w:r>
          </w:p>
        </w:tc>
        <w:tc>
          <w:tcPr>
            <w:tcW w:w="3964" w:type="dxa"/>
          </w:tcPr>
          <w:p w14:paraId="6618E5DC" w14:textId="77777777" w:rsidR="00AD1F54" w:rsidRPr="00264D5D" w:rsidRDefault="00941227">
            <w:pPr>
              <w:pStyle w:val="GOSTTablenorm"/>
              <w:widowControl w:val="0"/>
              <w:rPr>
                <w:szCs w:val="22"/>
                <w:lang w:val="en-US"/>
              </w:rPr>
            </w:pPr>
            <w:r w:rsidRPr="00264D5D">
              <w:rPr>
                <w:szCs w:val="22"/>
              </w:rPr>
              <w:t>Указывается код ответа</w:t>
            </w:r>
          </w:p>
        </w:tc>
      </w:tr>
      <w:tr w:rsidR="00AD1F54" w:rsidRPr="00264D5D" w14:paraId="2D4BF81C"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309441C" w14:textId="77777777" w:rsidR="00AD1F54" w:rsidRPr="00264D5D" w:rsidRDefault="00941227">
            <w:pPr>
              <w:pStyle w:val="GOSTTablenorm"/>
              <w:widowControl w:val="0"/>
              <w:rPr>
                <w:szCs w:val="22"/>
              </w:rPr>
            </w:pPr>
            <w:r w:rsidRPr="00264D5D">
              <w:t>Номер Запроса</w:t>
            </w:r>
          </w:p>
        </w:tc>
        <w:tc>
          <w:tcPr>
            <w:tcW w:w="1701" w:type="dxa"/>
          </w:tcPr>
          <w:p w14:paraId="0586AC89" w14:textId="77777777" w:rsidR="00AD1F54" w:rsidRPr="00264D5D" w:rsidRDefault="00941227">
            <w:pPr>
              <w:pStyle w:val="GOSTTablenorm"/>
              <w:widowControl w:val="0"/>
              <w:rPr>
                <w:color w:val="000000"/>
                <w:szCs w:val="22"/>
              </w:rPr>
            </w:pPr>
            <w:r w:rsidRPr="00264D5D">
              <w:rPr>
                <w:color w:val="000000"/>
                <w:szCs w:val="22"/>
              </w:rPr>
              <w:t>ZppED_EDNo</w:t>
            </w:r>
          </w:p>
        </w:tc>
        <w:tc>
          <w:tcPr>
            <w:tcW w:w="567" w:type="dxa"/>
          </w:tcPr>
          <w:p w14:paraId="1A95A664" w14:textId="77777777" w:rsidR="00AD1F54" w:rsidRPr="00264D5D" w:rsidRDefault="00941227">
            <w:pPr>
              <w:pStyle w:val="GOSTTablenorm"/>
              <w:widowControl w:val="0"/>
              <w:jc w:val="center"/>
              <w:rPr>
                <w:szCs w:val="22"/>
              </w:rPr>
            </w:pPr>
            <w:r w:rsidRPr="00264D5D">
              <w:rPr>
                <w:szCs w:val="22"/>
              </w:rPr>
              <w:t>П</w:t>
            </w:r>
          </w:p>
        </w:tc>
        <w:tc>
          <w:tcPr>
            <w:tcW w:w="1134" w:type="dxa"/>
          </w:tcPr>
          <w:p w14:paraId="7A1CFAA7" w14:textId="77777777" w:rsidR="00AD1F54" w:rsidRPr="00264D5D" w:rsidRDefault="00941227">
            <w:pPr>
              <w:pStyle w:val="GOSTTablenorm"/>
              <w:widowControl w:val="0"/>
              <w:rPr>
                <w:szCs w:val="22"/>
              </w:rPr>
            </w:pPr>
            <w:r w:rsidRPr="00264D5D">
              <w:t>Т(1-9)</w:t>
            </w:r>
          </w:p>
        </w:tc>
        <w:tc>
          <w:tcPr>
            <w:tcW w:w="567" w:type="dxa"/>
          </w:tcPr>
          <w:p w14:paraId="44C8DEF1" w14:textId="77777777" w:rsidR="00AD1F54" w:rsidRPr="00264D5D" w:rsidRDefault="00941227">
            <w:pPr>
              <w:pStyle w:val="GOSTTablenorm"/>
              <w:widowControl w:val="0"/>
              <w:jc w:val="center"/>
              <w:rPr>
                <w:szCs w:val="22"/>
              </w:rPr>
            </w:pPr>
            <w:r w:rsidRPr="00264D5D">
              <w:rPr>
                <w:szCs w:val="22"/>
              </w:rPr>
              <w:t>Н</w:t>
            </w:r>
          </w:p>
        </w:tc>
        <w:tc>
          <w:tcPr>
            <w:tcW w:w="3964" w:type="dxa"/>
          </w:tcPr>
          <w:p w14:paraId="691D8A35" w14:textId="77777777" w:rsidR="00AD1F54" w:rsidRPr="00264D5D" w:rsidRDefault="003E1F19">
            <w:pPr>
              <w:pStyle w:val="GOSTTablenorm"/>
              <w:widowControl w:val="0"/>
              <w:rPr>
                <w:szCs w:val="22"/>
              </w:rPr>
            </w:pPr>
            <w:r w:rsidRPr="00264D5D">
              <w:rPr>
                <w:szCs w:val="22"/>
              </w:rPr>
              <w:t>Указывается номер Запроса</w:t>
            </w:r>
          </w:p>
        </w:tc>
      </w:tr>
      <w:tr w:rsidR="00AD1F54" w:rsidRPr="00264D5D" w14:paraId="59E227DA"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567A1061" w14:textId="77777777" w:rsidR="00AD1F54" w:rsidRPr="00264D5D" w:rsidRDefault="00941227">
            <w:pPr>
              <w:pStyle w:val="GOSTTablenorm"/>
              <w:widowControl w:val="0"/>
              <w:rPr>
                <w:szCs w:val="22"/>
              </w:rPr>
            </w:pPr>
            <w:r w:rsidRPr="00264D5D">
              <w:t>Дата Запроса</w:t>
            </w:r>
          </w:p>
        </w:tc>
        <w:tc>
          <w:tcPr>
            <w:tcW w:w="1701" w:type="dxa"/>
          </w:tcPr>
          <w:p w14:paraId="23D33AA6" w14:textId="77777777" w:rsidR="00AD1F54" w:rsidRPr="00264D5D" w:rsidRDefault="00941227">
            <w:pPr>
              <w:pStyle w:val="GOSTTablenorm"/>
              <w:widowControl w:val="0"/>
              <w:rPr>
                <w:color w:val="000000"/>
                <w:szCs w:val="22"/>
              </w:rPr>
            </w:pPr>
            <w:r w:rsidRPr="00264D5D">
              <w:rPr>
                <w:color w:val="000000"/>
                <w:szCs w:val="22"/>
              </w:rPr>
              <w:t>ZppED_EDDate</w:t>
            </w:r>
          </w:p>
        </w:tc>
        <w:tc>
          <w:tcPr>
            <w:tcW w:w="567" w:type="dxa"/>
          </w:tcPr>
          <w:p w14:paraId="797DAADF" w14:textId="77777777" w:rsidR="00AD1F54" w:rsidRPr="00264D5D" w:rsidRDefault="00941227">
            <w:pPr>
              <w:pStyle w:val="GOSTTablenorm"/>
              <w:widowControl w:val="0"/>
              <w:jc w:val="center"/>
              <w:rPr>
                <w:szCs w:val="22"/>
              </w:rPr>
            </w:pPr>
            <w:r w:rsidRPr="00264D5D">
              <w:rPr>
                <w:szCs w:val="22"/>
              </w:rPr>
              <w:t>П</w:t>
            </w:r>
          </w:p>
        </w:tc>
        <w:tc>
          <w:tcPr>
            <w:tcW w:w="1134" w:type="dxa"/>
          </w:tcPr>
          <w:p w14:paraId="65113288" w14:textId="77777777" w:rsidR="00AD1F54" w:rsidRPr="00264D5D" w:rsidRDefault="00941227">
            <w:pPr>
              <w:pStyle w:val="GOSTTablenorm"/>
              <w:widowControl w:val="0"/>
              <w:rPr>
                <w:szCs w:val="22"/>
              </w:rPr>
            </w:pPr>
            <w:r w:rsidRPr="00264D5D">
              <w:rPr>
                <w:szCs w:val="22"/>
                <w:lang w:val="en-US"/>
              </w:rPr>
              <w:t>Date</w:t>
            </w:r>
          </w:p>
        </w:tc>
        <w:tc>
          <w:tcPr>
            <w:tcW w:w="567" w:type="dxa"/>
          </w:tcPr>
          <w:p w14:paraId="5FCC7F9E" w14:textId="77777777" w:rsidR="00AD1F54" w:rsidRPr="00264D5D" w:rsidRDefault="00941227">
            <w:pPr>
              <w:pStyle w:val="GOSTTablenorm"/>
              <w:widowControl w:val="0"/>
              <w:jc w:val="center"/>
              <w:rPr>
                <w:szCs w:val="22"/>
              </w:rPr>
            </w:pPr>
            <w:r w:rsidRPr="00264D5D">
              <w:rPr>
                <w:szCs w:val="22"/>
              </w:rPr>
              <w:t>Н</w:t>
            </w:r>
          </w:p>
        </w:tc>
        <w:tc>
          <w:tcPr>
            <w:tcW w:w="3964" w:type="dxa"/>
          </w:tcPr>
          <w:p w14:paraId="4348C609" w14:textId="77777777" w:rsidR="00AD1F54" w:rsidRPr="00264D5D" w:rsidRDefault="003E1F19">
            <w:pPr>
              <w:pStyle w:val="GOSTTablenorm"/>
              <w:widowControl w:val="0"/>
              <w:rPr>
                <w:szCs w:val="22"/>
              </w:rPr>
            </w:pPr>
            <w:r w:rsidRPr="00264D5D">
              <w:rPr>
                <w:szCs w:val="22"/>
              </w:rPr>
              <w:t>Указывается дата Запроса</w:t>
            </w:r>
          </w:p>
        </w:tc>
      </w:tr>
      <w:tr w:rsidR="00AD1F54" w:rsidRPr="00264D5D" w14:paraId="5F777204" w14:textId="77777777" w:rsidTr="00AD1F54">
        <w:trPr>
          <w:cnfStyle w:val="000000100000" w:firstRow="0" w:lastRow="0" w:firstColumn="0" w:lastColumn="0" w:oddVBand="0" w:evenVBand="0" w:oddHBand="1" w:evenHBand="0" w:firstRowFirstColumn="0" w:firstRowLastColumn="0" w:lastRowFirstColumn="0" w:lastRowLastColumn="0"/>
        </w:trPr>
        <w:tc>
          <w:tcPr>
            <w:tcW w:w="9634" w:type="dxa"/>
            <w:gridSpan w:val="6"/>
          </w:tcPr>
          <w:p w14:paraId="541FB534" w14:textId="77777777" w:rsidR="00AD1F54" w:rsidRPr="00264D5D" w:rsidRDefault="00941227">
            <w:pPr>
              <w:pStyle w:val="GOSTTablenorm"/>
              <w:widowControl w:val="0"/>
              <w:rPr>
                <w:szCs w:val="22"/>
              </w:rPr>
            </w:pPr>
            <w:r w:rsidRPr="00264D5D">
              <w:rPr>
                <w:b/>
                <w:szCs w:val="22"/>
              </w:rPr>
              <w:t>Идентификаторы исходного ЭПС, по которому производится уточнение</w:t>
            </w:r>
          </w:p>
        </w:tc>
      </w:tr>
      <w:tr w:rsidR="00AD1F54" w:rsidRPr="00264D5D" w14:paraId="6DB0C1F3"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045DF366" w14:textId="77777777" w:rsidR="00AD1F54" w:rsidRPr="00264D5D" w:rsidRDefault="00941227">
            <w:pPr>
              <w:pStyle w:val="GOSTTablenorm"/>
              <w:widowControl w:val="0"/>
              <w:rPr>
                <w:bCs/>
                <w:i/>
                <w:szCs w:val="22"/>
              </w:rPr>
            </w:pPr>
            <w:r w:rsidRPr="00264D5D">
              <w:rPr>
                <w:szCs w:val="22"/>
              </w:rPr>
              <w:t>Номер исходного ЭД</w:t>
            </w:r>
          </w:p>
        </w:tc>
        <w:tc>
          <w:tcPr>
            <w:tcW w:w="1701" w:type="dxa"/>
          </w:tcPr>
          <w:p w14:paraId="234F51C5" w14:textId="77777777" w:rsidR="00AD1F54" w:rsidRPr="00264D5D" w:rsidRDefault="00941227">
            <w:pPr>
              <w:pStyle w:val="GOSTTablenorm"/>
              <w:widowControl w:val="0"/>
              <w:rPr>
                <w:color w:val="000000"/>
                <w:szCs w:val="22"/>
              </w:rPr>
            </w:pPr>
            <w:r w:rsidRPr="00264D5D">
              <w:rPr>
                <w:szCs w:val="22"/>
              </w:rPr>
              <w:t>ReqEPS_EDNo</w:t>
            </w:r>
          </w:p>
        </w:tc>
        <w:tc>
          <w:tcPr>
            <w:tcW w:w="567" w:type="dxa"/>
          </w:tcPr>
          <w:p w14:paraId="3500B182" w14:textId="77777777" w:rsidR="00AD1F54" w:rsidRPr="00264D5D" w:rsidRDefault="00941227">
            <w:pPr>
              <w:pStyle w:val="GOSTTablenorm"/>
              <w:widowControl w:val="0"/>
              <w:jc w:val="center"/>
              <w:rPr>
                <w:szCs w:val="22"/>
              </w:rPr>
            </w:pPr>
            <w:r w:rsidRPr="00264D5D">
              <w:rPr>
                <w:szCs w:val="22"/>
              </w:rPr>
              <w:t>П</w:t>
            </w:r>
          </w:p>
        </w:tc>
        <w:tc>
          <w:tcPr>
            <w:tcW w:w="1134" w:type="dxa"/>
          </w:tcPr>
          <w:p w14:paraId="76A691E1" w14:textId="77777777" w:rsidR="00AD1F54" w:rsidRPr="00264D5D" w:rsidRDefault="00941227">
            <w:pPr>
              <w:pStyle w:val="GOSTTablenorm"/>
              <w:widowControl w:val="0"/>
              <w:rPr>
                <w:szCs w:val="22"/>
              </w:rPr>
            </w:pPr>
            <w:r w:rsidRPr="00264D5D">
              <w:rPr>
                <w:szCs w:val="22"/>
              </w:rPr>
              <w:t>Т(1-9)</w:t>
            </w:r>
          </w:p>
        </w:tc>
        <w:tc>
          <w:tcPr>
            <w:tcW w:w="567" w:type="dxa"/>
          </w:tcPr>
          <w:p w14:paraId="6F3753C8" w14:textId="77777777" w:rsidR="00AD1F54" w:rsidRPr="00264D5D" w:rsidRDefault="00941227">
            <w:pPr>
              <w:pStyle w:val="GOSTTablenorm"/>
              <w:widowControl w:val="0"/>
              <w:jc w:val="center"/>
              <w:rPr>
                <w:szCs w:val="22"/>
              </w:rPr>
            </w:pPr>
            <w:r w:rsidRPr="00264D5D">
              <w:rPr>
                <w:szCs w:val="22"/>
              </w:rPr>
              <w:t>О</w:t>
            </w:r>
          </w:p>
        </w:tc>
        <w:tc>
          <w:tcPr>
            <w:tcW w:w="3964" w:type="dxa"/>
          </w:tcPr>
          <w:p w14:paraId="389600FD" w14:textId="77777777" w:rsidR="00AD1F54" w:rsidRPr="00264D5D" w:rsidRDefault="00941227">
            <w:pPr>
              <w:pStyle w:val="GOSTTablenorm"/>
              <w:widowControl w:val="0"/>
              <w:rPr>
                <w:szCs w:val="22"/>
                <w:lang w:val="en-US"/>
              </w:rPr>
            </w:pPr>
            <w:r w:rsidRPr="00264D5D">
              <w:rPr>
                <w:szCs w:val="22"/>
              </w:rPr>
              <w:t>Указывается номер исходного ЭД</w:t>
            </w:r>
          </w:p>
        </w:tc>
      </w:tr>
      <w:tr w:rsidR="00AD1F54" w:rsidRPr="00264D5D" w14:paraId="13C56C39"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310D7187" w14:textId="77777777" w:rsidR="00AD1F54" w:rsidRPr="00264D5D" w:rsidRDefault="00941227">
            <w:pPr>
              <w:pStyle w:val="GOSTTablenorm"/>
              <w:widowControl w:val="0"/>
              <w:rPr>
                <w:szCs w:val="22"/>
              </w:rPr>
            </w:pPr>
            <w:r w:rsidRPr="00264D5D">
              <w:rPr>
                <w:szCs w:val="22"/>
              </w:rPr>
              <w:t>Дата составления исходного ЭД</w:t>
            </w:r>
          </w:p>
        </w:tc>
        <w:tc>
          <w:tcPr>
            <w:tcW w:w="1701" w:type="dxa"/>
          </w:tcPr>
          <w:p w14:paraId="6BC91165" w14:textId="77777777" w:rsidR="00AD1F54" w:rsidRPr="00264D5D" w:rsidRDefault="00941227">
            <w:pPr>
              <w:pStyle w:val="GOSTTablenorm"/>
              <w:widowControl w:val="0"/>
              <w:rPr>
                <w:szCs w:val="22"/>
              </w:rPr>
            </w:pPr>
            <w:r w:rsidRPr="00264D5D">
              <w:rPr>
                <w:szCs w:val="22"/>
              </w:rPr>
              <w:t>ReqEPS_EDDate</w:t>
            </w:r>
          </w:p>
        </w:tc>
        <w:tc>
          <w:tcPr>
            <w:tcW w:w="567" w:type="dxa"/>
          </w:tcPr>
          <w:p w14:paraId="1BAD493A" w14:textId="77777777" w:rsidR="00AD1F54" w:rsidRPr="00264D5D" w:rsidRDefault="00941227">
            <w:pPr>
              <w:pStyle w:val="GOSTTablenorm"/>
              <w:widowControl w:val="0"/>
              <w:jc w:val="center"/>
              <w:rPr>
                <w:szCs w:val="22"/>
              </w:rPr>
            </w:pPr>
            <w:r w:rsidRPr="00264D5D">
              <w:rPr>
                <w:szCs w:val="22"/>
              </w:rPr>
              <w:t>П</w:t>
            </w:r>
          </w:p>
        </w:tc>
        <w:tc>
          <w:tcPr>
            <w:tcW w:w="1134" w:type="dxa"/>
          </w:tcPr>
          <w:p w14:paraId="61DF0185" w14:textId="77777777" w:rsidR="00AD1F54" w:rsidRPr="00264D5D" w:rsidRDefault="00941227">
            <w:pPr>
              <w:pStyle w:val="GOSTTablenorm"/>
              <w:widowControl w:val="0"/>
              <w:rPr>
                <w:szCs w:val="22"/>
              </w:rPr>
            </w:pPr>
            <w:r w:rsidRPr="00264D5D">
              <w:rPr>
                <w:szCs w:val="22"/>
                <w:lang w:val="en-US"/>
              </w:rPr>
              <w:t>Date</w:t>
            </w:r>
          </w:p>
        </w:tc>
        <w:tc>
          <w:tcPr>
            <w:tcW w:w="567" w:type="dxa"/>
          </w:tcPr>
          <w:p w14:paraId="434A4826" w14:textId="77777777" w:rsidR="00AD1F54" w:rsidRPr="00264D5D" w:rsidRDefault="00941227">
            <w:pPr>
              <w:pStyle w:val="GOSTTablenorm"/>
              <w:widowControl w:val="0"/>
              <w:jc w:val="center"/>
              <w:rPr>
                <w:szCs w:val="22"/>
              </w:rPr>
            </w:pPr>
            <w:r w:rsidRPr="00264D5D">
              <w:rPr>
                <w:szCs w:val="22"/>
              </w:rPr>
              <w:t>О</w:t>
            </w:r>
          </w:p>
        </w:tc>
        <w:tc>
          <w:tcPr>
            <w:tcW w:w="3964" w:type="dxa"/>
          </w:tcPr>
          <w:p w14:paraId="13BEA4D0" w14:textId="77777777" w:rsidR="00AD1F54" w:rsidRPr="00264D5D" w:rsidRDefault="00941227">
            <w:pPr>
              <w:pStyle w:val="GOSTTablenorm"/>
              <w:widowControl w:val="0"/>
              <w:rPr>
                <w:szCs w:val="22"/>
              </w:rPr>
            </w:pPr>
            <w:r w:rsidRPr="00264D5D">
              <w:rPr>
                <w:szCs w:val="22"/>
              </w:rPr>
              <w:t>Указываетс</w:t>
            </w:r>
            <w:r w:rsidR="003E1F19" w:rsidRPr="00264D5D">
              <w:rPr>
                <w:szCs w:val="22"/>
              </w:rPr>
              <w:t>я дата составления исходного ЭД</w:t>
            </w:r>
          </w:p>
        </w:tc>
      </w:tr>
      <w:tr w:rsidR="00AD1F54" w:rsidRPr="00264D5D" w14:paraId="5B5C8B6D"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7D58413" w14:textId="77777777" w:rsidR="00AD1F54" w:rsidRPr="00264D5D" w:rsidRDefault="00941227">
            <w:pPr>
              <w:pStyle w:val="GOSTTablenorm"/>
              <w:widowControl w:val="0"/>
              <w:rPr>
                <w:szCs w:val="22"/>
              </w:rPr>
            </w:pPr>
            <w:r w:rsidRPr="00264D5D">
              <w:rPr>
                <w:szCs w:val="22"/>
              </w:rPr>
              <w:t>Уникальный идентификатор составителя исходного ЭД</w:t>
            </w:r>
          </w:p>
        </w:tc>
        <w:tc>
          <w:tcPr>
            <w:tcW w:w="1701" w:type="dxa"/>
          </w:tcPr>
          <w:p w14:paraId="75389DAC" w14:textId="77777777" w:rsidR="00AD1F54" w:rsidRPr="00264D5D" w:rsidRDefault="00941227">
            <w:pPr>
              <w:pStyle w:val="GOSTTablenorm"/>
              <w:widowControl w:val="0"/>
              <w:rPr>
                <w:szCs w:val="22"/>
              </w:rPr>
            </w:pPr>
            <w:r w:rsidRPr="00264D5D">
              <w:rPr>
                <w:szCs w:val="22"/>
              </w:rPr>
              <w:t>ReqEPS_EDAuthor</w:t>
            </w:r>
          </w:p>
        </w:tc>
        <w:tc>
          <w:tcPr>
            <w:tcW w:w="567" w:type="dxa"/>
          </w:tcPr>
          <w:p w14:paraId="1805C859" w14:textId="77777777" w:rsidR="00AD1F54" w:rsidRPr="00264D5D" w:rsidRDefault="00941227">
            <w:pPr>
              <w:pStyle w:val="GOSTTablenorm"/>
              <w:widowControl w:val="0"/>
              <w:jc w:val="center"/>
              <w:rPr>
                <w:szCs w:val="22"/>
              </w:rPr>
            </w:pPr>
            <w:r w:rsidRPr="00264D5D">
              <w:rPr>
                <w:szCs w:val="22"/>
              </w:rPr>
              <w:t>П</w:t>
            </w:r>
          </w:p>
        </w:tc>
        <w:tc>
          <w:tcPr>
            <w:tcW w:w="1134" w:type="dxa"/>
          </w:tcPr>
          <w:p w14:paraId="30E3B15C" w14:textId="77777777" w:rsidR="00AD1F54" w:rsidRPr="00264D5D" w:rsidRDefault="00941227">
            <w:pPr>
              <w:pStyle w:val="GOSTTablenorm"/>
              <w:widowControl w:val="0"/>
              <w:rPr>
                <w:szCs w:val="22"/>
              </w:rPr>
            </w:pPr>
            <w:r w:rsidRPr="00264D5D">
              <w:rPr>
                <w:szCs w:val="22"/>
              </w:rPr>
              <w:t>Т(10)</w:t>
            </w:r>
          </w:p>
        </w:tc>
        <w:tc>
          <w:tcPr>
            <w:tcW w:w="567" w:type="dxa"/>
          </w:tcPr>
          <w:p w14:paraId="2A17E4A6" w14:textId="77777777" w:rsidR="00AD1F54" w:rsidRPr="00264D5D" w:rsidRDefault="00941227">
            <w:pPr>
              <w:pStyle w:val="GOSTTablenorm"/>
              <w:widowControl w:val="0"/>
              <w:jc w:val="center"/>
              <w:rPr>
                <w:szCs w:val="22"/>
              </w:rPr>
            </w:pPr>
            <w:r w:rsidRPr="00264D5D">
              <w:rPr>
                <w:szCs w:val="22"/>
              </w:rPr>
              <w:t>Н</w:t>
            </w:r>
          </w:p>
        </w:tc>
        <w:tc>
          <w:tcPr>
            <w:tcW w:w="3964" w:type="dxa"/>
          </w:tcPr>
          <w:p w14:paraId="71AB800E" w14:textId="77777777" w:rsidR="00AD1F54" w:rsidRPr="00264D5D" w:rsidRDefault="00941227" w:rsidP="002443B7">
            <w:pPr>
              <w:pStyle w:val="GOSTTablenorm"/>
              <w:widowControl w:val="0"/>
              <w:rPr>
                <w:szCs w:val="22"/>
              </w:rPr>
            </w:pPr>
            <w:r w:rsidRPr="00264D5D">
              <w:rPr>
                <w:szCs w:val="22"/>
              </w:rPr>
              <w:t>Указывается уникальный идентификатор составителя исходного ЭД</w:t>
            </w:r>
          </w:p>
        </w:tc>
      </w:tr>
      <w:tr w:rsidR="00AD1F54" w:rsidRPr="00264D5D" w14:paraId="0E0DC3F3" w14:textId="77777777" w:rsidTr="00AD1F54">
        <w:trPr>
          <w:cnfStyle w:val="000000100000" w:firstRow="0" w:lastRow="0" w:firstColumn="0" w:lastColumn="0" w:oddVBand="0" w:evenVBand="0" w:oddHBand="1" w:evenHBand="0" w:firstRowFirstColumn="0" w:firstRowLastColumn="0" w:lastRowFirstColumn="0" w:lastRowLastColumn="0"/>
        </w:trPr>
        <w:tc>
          <w:tcPr>
            <w:tcW w:w="9634" w:type="dxa"/>
            <w:gridSpan w:val="6"/>
          </w:tcPr>
          <w:p w14:paraId="085DB5A2" w14:textId="77777777" w:rsidR="00AD1F54" w:rsidRPr="00264D5D" w:rsidRDefault="00941227">
            <w:pPr>
              <w:pStyle w:val="GOSTTablenorm"/>
              <w:widowControl w:val="0"/>
              <w:rPr>
                <w:szCs w:val="22"/>
              </w:rPr>
            </w:pPr>
            <w:r w:rsidRPr="00264D5D">
              <w:rPr>
                <w:b/>
                <w:szCs w:val="22"/>
              </w:rPr>
              <w:t>Реквизиты ЭПС, поясняющие ответ</w:t>
            </w:r>
          </w:p>
        </w:tc>
      </w:tr>
      <w:tr w:rsidR="00AD1F54" w:rsidRPr="00264D5D" w14:paraId="173675A9"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4122E851" w14:textId="77777777" w:rsidR="00AD1F54" w:rsidRPr="00264D5D" w:rsidRDefault="00941227">
            <w:pPr>
              <w:pStyle w:val="GOSTTablenorm"/>
              <w:widowControl w:val="0"/>
              <w:rPr>
                <w:bCs/>
                <w:i/>
                <w:szCs w:val="22"/>
              </w:rPr>
            </w:pPr>
            <w:r w:rsidRPr="00264D5D">
              <w:rPr>
                <w:szCs w:val="22"/>
              </w:rPr>
              <w:t>Дата составления распоряжения</w:t>
            </w:r>
          </w:p>
        </w:tc>
        <w:tc>
          <w:tcPr>
            <w:tcW w:w="1701" w:type="dxa"/>
          </w:tcPr>
          <w:p w14:paraId="73373740" w14:textId="77777777" w:rsidR="00AD1F54" w:rsidRPr="00264D5D" w:rsidRDefault="00941227">
            <w:pPr>
              <w:pStyle w:val="GOSTTablenorm"/>
              <w:widowControl w:val="0"/>
              <w:rPr>
                <w:szCs w:val="22"/>
              </w:rPr>
            </w:pPr>
            <w:r w:rsidRPr="00264D5D">
              <w:rPr>
                <w:szCs w:val="22"/>
              </w:rPr>
              <w:t>EPS_StatementDate</w:t>
            </w:r>
          </w:p>
        </w:tc>
        <w:tc>
          <w:tcPr>
            <w:tcW w:w="567" w:type="dxa"/>
          </w:tcPr>
          <w:p w14:paraId="284F8B90" w14:textId="77777777" w:rsidR="00AD1F54" w:rsidRPr="00264D5D" w:rsidRDefault="00941227">
            <w:pPr>
              <w:pStyle w:val="GOSTTablenorm"/>
              <w:widowControl w:val="0"/>
              <w:jc w:val="center"/>
              <w:rPr>
                <w:szCs w:val="22"/>
              </w:rPr>
            </w:pPr>
            <w:r w:rsidRPr="00264D5D">
              <w:rPr>
                <w:szCs w:val="22"/>
              </w:rPr>
              <w:t>П</w:t>
            </w:r>
          </w:p>
        </w:tc>
        <w:tc>
          <w:tcPr>
            <w:tcW w:w="1134" w:type="dxa"/>
          </w:tcPr>
          <w:p w14:paraId="0EA9C9CA" w14:textId="77777777" w:rsidR="00AD1F54" w:rsidRPr="00264D5D" w:rsidRDefault="00941227">
            <w:pPr>
              <w:pStyle w:val="GOSTTablenorm"/>
              <w:widowControl w:val="0"/>
              <w:rPr>
                <w:szCs w:val="22"/>
              </w:rPr>
            </w:pPr>
            <w:r w:rsidRPr="00264D5D">
              <w:rPr>
                <w:szCs w:val="22"/>
                <w:lang w:val="en-US"/>
              </w:rPr>
              <w:t>Date</w:t>
            </w:r>
          </w:p>
        </w:tc>
        <w:tc>
          <w:tcPr>
            <w:tcW w:w="567" w:type="dxa"/>
          </w:tcPr>
          <w:p w14:paraId="22AEFFE2" w14:textId="77777777" w:rsidR="00AD1F54" w:rsidRPr="00264D5D" w:rsidRDefault="00941227">
            <w:pPr>
              <w:pStyle w:val="GOSTTablenorm"/>
              <w:widowControl w:val="0"/>
              <w:jc w:val="center"/>
              <w:rPr>
                <w:szCs w:val="22"/>
              </w:rPr>
            </w:pPr>
            <w:r w:rsidRPr="00264D5D">
              <w:rPr>
                <w:szCs w:val="22"/>
              </w:rPr>
              <w:t>Н</w:t>
            </w:r>
          </w:p>
        </w:tc>
        <w:tc>
          <w:tcPr>
            <w:tcW w:w="3964" w:type="dxa"/>
          </w:tcPr>
          <w:p w14:paraId="2E9B4F1A" w14:textId="77777777" w:rsidR="00AD1F54" w:rsidRPr="00264D5D" w:rsidRDefault="00941227">
            <w:pPr>
              <w:pStyle w:val="GOSTTablenorm"/>
              <w:widowControl w:val="0"/>
              <w:rPr>
                <w:szCs w:val="22"/>
              </w:rPr>
            </w:pPr>
            <w:r w:rsidRPr="00264D5D">
              <w:rPr>
                <w:szCs w:val="22"/>
              </w:rPr>
              <w:t>Указывается дата выписки расчетного док</w:t>
            </w:r>
            <w:r w:rsidR="003E1F19" w:rsidRPr="00264D5D">
              <w:rPr>
                <w:szCs w:val="22"/>
              </w:rPr>
              <w:t>умента</w:t>
            </w:r>
          </w:p>
        </w:tc>
      </w:tr>
      <w:tr w:rsidR="00AD1F54" w:rsidRPr="00264D5D" w14:paraId="15F059CF"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F4C8660" w14:textId="77777777" w:rsidR="00AD1F54" w:rsidRPr="00264D5D" w:rsidRDefault="00941227">
            <w:pPr>
              <w:pStyle w:val="GOSTTablenorm"/>
              <w:widowControl w:val="0"/>
              <w:rPr>
                <w:szCs w:val="22"/>
              </w:rPr>
            </w:pPr>
            <w:r w:rsidRPr="00264D5D">
              <w:rPr>
                <w:szCs w:val="22"/>
              </w:rPr>
              <w:t>Номер распоряжения</w:t>
            </w:r>
          </w:p>
        </w:tc>
        <w:tc>
          <w:tcPr>
            <w:tcW w:w="1701" w:type="dxa"/>
          </w:tcPr>
          <w:p w14:paraId="55CBCA45" w14:textId="77777777" w:rsidR="00AD1F54" w:rsidRPr="00264D5D" w:rsidRDefault="00941227">
            <w:pPr>
              <w:pStyle w:val="GOSTTablenorm"/>
              <w:widowControl w:val="0"/>
              <w:rPr>
                <w:szCs w:val="22"/>
              </w:rPr>
            </w:pPr>
            <w:r w:rsidRPr="00264D5D">
              <w:rPr>
                <w:szCs w:val="22"/>
              </w:rPr>
              <w:t>EPS_DocNum</w:t>
            </w:r>
          </w:p>
        </w:tc>
        <w:tc>
          <w:tcPr>
            <w:tcW w:w="567" w:type="dxa"/>
          </w:tcPr>
          <w:p w14:paraId="061B9827" w14:textId="77777777" w:rsidR="00AD1F54" w:rsidRPr="00264D5D" w:rsidRDefault="00941227">
            <w:pPr>
              <w:pStyle w:val="GOSTTablenorm"/>
              <w:widowControl w:val="0"/>
              <w:jc w:val="center"/>
              <w:rPr>
                <w:szCs w:val="22"/>
              </w:rPr>
            </w:pPr>
            <w:r w:rsidRPr="00264D5D">
              <w:rPr>
                <w:szCs w:val="22"/>
              </w:rPr>
              <w:t>П</w:t>
            </w:r>
          </w:p>
        </w:tc>
        <w:tc>
          <w:tcPr>
            <w:tcW w:w="1134" w:type="dxa"/>
          </w:tcPr>
          <w:p w14:paraId="6BA8D6E6" w14:textId="77777777" w:rsidR="00AD1F54" w:rsidRPr="00264D5D" w:rsidRDefault="00941227">
            <w:pPr>
              <w:pStyle w:val="GOSTTablenorm"/>
              <w:widowControl w:val="0"/>
              <w:rPr>
                <w:szCs w:val="22"/>
              </w:rPr>
            </w:pPr>
            <w:r w:rsidRPr="00264D5D">
              <w:rPr>
                <w:szCs w:val="22"/>
              </w:rPr>
              <w:t>Т(1-6)</w:t>
            </w:r>
          </w:p>
        </w:tc>
        <w:tc>
          <w:tcPr>
            <w:tcW w:w="567" w:type="dxa"/>
          </w:tcPr>
          <w:p w14:paraId="47492160" w14:textId="77777777" w:rsidR="00AD1F54" w:rsidRPr="00264D5D" w:rsidRDefault="00941227">
            <w:pPr>
              <w:pStyle w:val="GOSTTablenorm"/>
              <w:widowControl w:val="0"/>
              <w:jc w:val="center"/>
              <w:rPr>
                <w:szCs w:val="22"/>
              </w:rPr>
            </w:pPr>
            <w:r w:rsidRPr="00264D5D">
              <w:rPr>
                <w:szCs w:val="22"/>
              </w:rPr>
              <w:t>Н</w:t>
            </w:r>
          </w:p>
        </w:tc>
        <w:tc>
          <w:tcPr>
            <w:tcW w:w="3964" w:type="dxa"/>
          </w:tcPr>
          <w:p w14:paraId="5B924866" w14:textId="77777777" w:rsidR="00AD1F54" w:rsidRPr="00264D5D" w:rsidRDefault="00941227">
            <w:pPr>
              <w:pStyle w:val="GOSTTablenorm"/>
              <w:widowControl w:val="0"/>
              <w:rPr>
                <w:szCs w:val="22"/>
                <w:lang w:val="en-US"/>
              </w:rPr>
            </w:pPr>
            <w:r w:rsidRPr="00264D5D">
              <w:rPr>
                <w:szCs w:val="22"/>
              </w:rPr>
              <w:t>Указывается номер расчетного документа</w:t>
            </w:r>
          </w:p>
        </w:tc>
      </w:tr>
      <w:tr w:rsidR="00AD1F54" w:rsidRPr="00264D5D" w14:paraId="467268E3"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40B20B21" w14:textId="77777777" w:rsidR="00AD1F54" w:rsidRPr="00264D5D" w:rsidRDefault="00941227">
            <w:pPr>
              <w:pStyle w:val="GOSTTablenorm"/>
              <w:widowControl w:val="0"/>
              <w:rPr>
                <w:szCs w:val="22"/>
              </w:rPr>
            </w:pPr>
            <w:r w:rsidRPr="00264D5D">
              <w:rPr>
                <w:szCs w:val="22"/>
              </w:rPr>
              <w:lastRenderedPageBreak/>
              <w:t>Номер банковского (лицевого) счета плательщика</w:t>
            </w:r>
          </w:p>
        </w:tc>
        <w:tc>
          <w:tcPr>
            <w:tcW w:w="1701" w:type="dxa"/>
          </w:tcPr>
          <w:p w14:paraId="0961BBEC" w14:textId="77777777" w:rsidR="00AD1F54" w:rsidRPr="00264D5D" w:rsidRDefault="00941227">
            <w:pPr>
              <w:pStyle w:val="GOSTTablenorm"/>
              <w:widowControl w:val="0"/>
              <w:rPr>
                <w:szCs w:val="22"/>
              </w:rPr>
            </w:pPr>
            <w:r w:rsidRPr="00264D5D">
              <w:rPr>
                <w:szCs w:val="22"/>
              </w:rPr>
              <w:t>EPS_P_CheckAcc</w:t>
            </w:r>
          </w:p>
        </w:tc>
        <w:tc>
          <w:tcPr>
            <w:tcW w:w="567" w:type="dxa"/>
          </w:tcPr>
          <w:p w14:paraId="0572F26D" w14:textId="77777777" w:rsidR="00AD1F54" w:rsidRPr="00264D5D" w:rsidRDefault="00941227">
            <w:pPr>
              <w:pStyle w:val="GOSTTablenorm"/>
              <w:widowControl w:val="0"/>
              <w:jc w:val="center"/>
              <w:rPr>
                <w:szCs w:val="22"/>
              </w:rPr>
            </w:pPr>
            <w:r w:rsidRPr="00264D5D">
              <w:rPr>
                <w:szCs w:val="22"/>
              </w:rPr>
              <w:t>П</w:t>
            </w:r>
          </w:p>
        </w:tc>
        <w:tc>
          <w:tcPr>
            <w:tcW w:w="1134" w:type="dxa"/>
          </w:tcPr>
          <w:p w14:paraId="25CB0116" w14:textId="77777777" w:rsidR="00AD1F54" w:rsidRPr="00264D5D" w:rsidRDefault="00941227">
            <w:pPr>
              <w:pStyle w:val="GOSTTablenorm"/>
              <w:widowControl w:val="0"/>
              <w:rPr>
                <w:szCs w:val="22"/>
              </w:rPr>
            </w:pPr>
            <w:r w:rsidRPr="00264D5D">
              <w:rPr>
                <w:szCs w:val="22"/>
              </w:rPr>
              <w:t>Т(20)</w:t>
            </w:r>
          </w:p>
        </w:tc>
        <w:tc>
          <w:tcPr>
            <w:tcW w:w="567" w:type="dxa"/>
          </w:tcPr>
          <w:p w14:paraId="77F57963" w14:textId="77777777" w:rsidR="00AD1F54" w:rsidRPr="00264D5D" w:rsidRDefault="00941227">
            <w:pPr>
              <w:pStyle w:val="GOSTTablenorm"/>
              <w:widowControl w:val="0"/>
              <w:jc w:val="center"/>
              <w:rPr>
                <w:szCs w:val="22"/>
              </w:rPr>
            </w:pPr>
            <w:r w:rsidRPr="00264D5D">
              <w:rPr>
                <w:szCs w:val="22"/>
              </w:rPr>
              <w:t>Н</w:t>
            </w:r>
          </w:p>
        </w:tc>
        <w:tc>
          <w:tcPr>
            <w:tcW w:w="3964" w:type="dxa"/>
          </w:tcPr>
          <w:p w14:paraId="1F3EC759" w14:textId="77777777" w:rsidR="00AD1F54" w:rsidRPr="00264D5D" w:rsidRDefault="00941227">
            <w:pPr>
              <w:pStyle w:val="GOSTTablenorm"/>
              <w:widowControl w:val="0"/>
              <w:rPr>
                <w:szCs w:val="22"/>
              </w:rPr>
            </w:pPr>
            <w:r w:rsidRPr="00264D5D">
              <w:rPr>
                <w:szCs w:val="22"/>
              </w:rPr>
              <w:t>Указывается номер банковско</w:t>
            </w:r>
            <w:r w:rsidR="003E1F19" w:rsidRPr="00264D5D">
              <w:rPr>
                <w:szCs w:val="22"/>
              </w:rPr>
              <w:t>го (лицевого) счета плательщика</w:t>
            </w:r>
          </w:p>
        </w:tc>
      </w:tr>
      <w:tr w:rsidR="00AD1F54" w:rsidRPr="00264D5D" w14:paraId="0C6BCA86"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E2EB837" w14:textId="77777777" w:rsidR="00AD1F54" w:rsidRPr="00264D5D" w:rsidRDefault="00941227">
            <w:pPr>
              <w:pStyle w:val="GOSTTablenorm"/>
              <w:widowControl w:val="0"/>
              <w:rPr>
                <w:szCs w:val="22"/>
              </w:rPr>
            </w:pPr>
            <w:r w:rsidRPr="00264D5D">
              <w:rPr>
                <w:szCs w:val="22"/>
              </w:rPr>
              <w:t>Наименование плательщика</w:t>
            </w:r>
          </w:p>
        </w:tc>
        <w:tc>
          <w:tcPr>
            <w:tcW w:w="1701" w:type="dxa"/>
          </w:tcPr>
          <w:p w14:paraId="515DD119" w14:textId="77777777" w:rsidR="00AD1F54" w:rsidRPr="00264D5D" w:rsidRDefault="00941227">
            <w:pPr>
              <w:pStyle w:val="GOSTTablenorm"/>
              <w:widowControl w:val="0"/>
              <w:rPr>
                <w:szCs w:val="22"/>
              </w:rPr>
            </w:pPr>
            <w:r w:rsidRPr="00264D5D">
              <w:rPr>
                <w:szCs w:val="22"/>
              </w:rPr>
              <w:t>EPS_P_Name</w:t>
            </w:r>
          </w:p>
        </w:tc>
        <w:tc>
          <w:tcPr>
            <w:tcW w:w="567" w:type="dxa"/>
          </w:tcPr>
          <w:p w14:paraId="172B91FD" w14:textId="77777777" w:rsidR="00AD1F54" w:rsidRPr="00264D5D" w:rsidRDefault="00941227">
            <w:pPr>
              <w:pStyle w:val="GOSTTablenorm"/>
              <w:widowControl w:val="0"/>
              <w:jc w:val="center"/>
              <w:rPr>
                <w:szCs w:val="22"/>
              </w:rPr>
            </w:pPr>
            <w:r w:rsidRPr="00264D5D">
              <w:rPr>
                <w:szCs w:val="22"/>
              </w:rPr>
              <w:t>П</w:t>
            </w:r>
          </w:p>
        </w:tc>
        <w:tc>
          <w:tcPr>
            <w:tcW w:w="1134" w:type="dxa"/>
          </w:tcPr>
          <w:p w14:paraId="7D8C4B95" w14:textId="77777777" w:rsidR="00AD1F54" w:rsidRPr="00264D5D" w:rsidRDefault="00941227">
            <w:pPr>
              <w:pStyle w:val="GOSTTablenorm"/>
              <w:widowControl w:val="0"/>
              <w:rPr>
                <w:szCs w:val="22"/>
              </w:rPr>
            </w:pPr>
            <w:r w:rsidRPr="00264D5D">
              <w:rPr>
                <w:szCs w:val="22"/>
              </w:rPr>
              <w:t>Т(1-700)</w:t>
            </w:r>
          </w:p>
        </w:tc>
        <w:tc>
          <w:tcPr>
            <w:tcW w:w="567" w:type="dxa"/>
          </w:tcPr>
          <w:p w14:paraId="0A3C8792" w14:textId="77777777" w:rsidR="00AD1F54" w:rsidRPr="00264D5D" w:rsidRDefault="00941227">
            <w:pPr>
              <w:pStyle w:val="GOSTTablenorm"/>
              <w:widowControl w:val="0"/>
              <w:jc w:val="center"/>
              <w:rPr>
                <w:szCs w:val="22"/>
              </w:rPr>
            </w:pPr>
            <w:r w:rsidRPr="00264D5D">
              <w:rPr>
                <w:szCs w:val="22"/>
              </w:rPr>
              <w:t>Н</w:t>
            </w:r>
          </w:p>
        </w:tc>
        <w:tc>
          <w:tcPr>
            <w:tcW w:w="3964" w:type="dxa"/>
          </w:tcPr>
          <w:p w14:paraId="4F29AA01" w14:textId="77777777" w:rsidR="00AD1F54" w:rsidRPr="00264D5D" w:rsidRDefault="00941227">
            <w:pPr>
              <w:pStyle w:val="GOSTTablenorm"/>
              <w:widowControl w:val="0"/>
              <w:rPr>
                <w:szCs w:val="22"/>
                <w:lang w:val="en-US"/>
              </w:rPr>
            </w:pPr>
            <w:r w:rsidRPr="00264D5D">
              <w:rPr>
                <w:szCs w:val="22"/>
              </w:rPr>
              <w:t>Указывается наименование плательщика</w:t>
            </w:r>
          </w:p>
        </w:tc>
      </w:tr>
      <w:tr w:rsidR="00AD1F54" w:rsidRPr="00264D5D" w14:paraId="19812223"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E452836" w14:textId="77777777" w:rsidR="00AD1F54" w:rsidRPr="00264D5D" w:rsidRDefault="00941227">
            <w:pPr>
              <w:pStyle w:val="GOSTTablenorm"/>
              <w:widowControl w:val="0"/>
              <w:rPr>
                <w:szCs w:val="22"/>
              </w:rPr>
            </w:pPr>
            <w:r w:rsidRPr="00264D5D">
              <w:rPr>
                <w:szCs w:val="22"/>
              </w:rPr>
              <w:t>Номер банковского (лицевого) счета получателя</w:t>
            </w:r>
          </w:p>
        </w:tc>
        <w:tc>
          <w:tcPr>
            <w:tcW w:w="1701" w:type="dxa"/>
          </w:tcPr>
          <w:p w14:paraId="5E245590" w14:textId="77777777" w:rsidR="00AD1F54" w:rsidRPr="00264D5D" w:rsidRDefault="00941227">
            <w:pPr>
              <w:pStyle w:val="GOSTTablenorm"/>
              <w:widowControl w:val="0"/>
              <w:rPr>
                <w:szCs w:val="22"/>
              </w:rPr>
            </w:pPr>
            <w:r w:rsidRPr="00264D5D">
              <w:rPr>
                <w:szCs w:val="22"/>
              </w:rPr>
              <w:t>EPS_R_CheckAcc</w:t>
            </w:r>
          </w:p>
        </w:tc>
        <w:tc>
          <w:tcPr>
            <w:tcW w:w="567" w:type="dxa"/>
          </w:tcPr>
          <w:p w14:paraId="32F36D20" w14:textId="77777777" w:rsidR="00AD1F54" w:rsidRPr="00264D5D" w:rsidRDefault="00941227">
            <w:pPr>
              <w:pStyle w:val="GOSTTablenorm"/>
              <w:widowControl w:val="0"/>
              <w:jc w:val="center"/>
              <w:rPr>
                <w:szCs w:val="22"/>
              </w:rPr>
            </w:pPr>
            <w:r w:rsidRPr="00264D5D">
              <w:rPr>
                <w:szCs w:val="22"/>
              </w:rPr>
              <w:t>П</w:t>
            </w:r>
          </w:p>
        </w:tc>
        <w:tc>
          <w:tcPr>
            <w:tcW w:w="1134" w:type="dxa"/>
          </w:tcPr>
          <w:p w14:paraId="3FAE291C" w14:textId="77777777" w:rsidR="00AD1F54" w:rsidRPr="00264D5D" w:rsidRDefault="00941227">
            <w:pPr>
              <w:pStyle w:val="GOSTTablenorm"/>
              <w:widowControl w:val="0"/>
              <w:rPr>
                <w:szCs w:val="22"/>
              </w:rPr>
            </w:pPr>
            <w:r w:rsidRPr="00264D5D">
              <w:rPr>
                <w:szCs w:val="22"/>
              </w:rPr>
              <w:t>Т(20)</w:t>
            </w:r>
          </w:p>
        </w:tc>
        <w:tc>
          <w:tcPr>
            <w:tcW w:w="567" w:type="dxa"/>
          </w:tcPr>
          <w:p w14:paraId="176BF1C3" w14:textId="77777777" w:rsidR="00AD1F54" w:rsidRPr="00264D5D" w:rsidRDefault="00941227">
            <w:pPr>
              <w:pStyle w:val="GOSTTablenorm"/>
              <w:widowControl w:val="0"/>
              <w:jc w:val="center"/>
              <w:rPr>
                <w:szCs w:val="22"/>
              </w:rPr>
            </w:pPr>
            <w:r w:rsidRPr="00264D5D">
              <w:rPr>
                <w:szCs w:val="22"/>
              </w:rPr>
              <w:t>Н</w:t>
            </w:r>
          </w:p>
        </w:tc>
        <w:tc>
          <w:tcPr>
            <w:tcW w:w="3964" w:type="dxa"/>
          </w:tcPr>
          <w:p w14:paraId="23269078" w14:textId="77777777" w:rsidR="00AD1F54" w:rsidRPr="00264D5D" w:rsidRDefault="00941227">
            <w:pPr>
              <w:pStyle w:val="GOSTTablenorm"/>
              <w:widowControl w:val="0"/>
              <w:rPr>
                <w:szCs w:val="22"/>
              </w:rPr>
            </w:pPr>
            <w:r w:rsidRPr="00264D5D">
              <w:rPr>
                <w:szCs w:val="22"/>
              </w:rPr>
              <w:t>Указывается номер банковск</w:t>
            </w:r>
            <w:r w:rsidR="003E1F19" w:rsidRPr="00264D5D">
              <w:rPr>
                <w:szCs w:val="22"/>
              </w:rPr>
              <w:t>ого (лицевого) счета получателя</w:t>
            </w:r>
          </w:p>
        </w:tc>
      </w:tr>
      <w:tr w:rsidR="00AD1F54" w:rsidRPr="00264D5D" w14:paraId="63E3C7E5"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A076AB1" w14:textId="77777777" w:rsidR="00AD1F54" w:rsidRPr="00264D5D" w:rsidRDefault="00941227">
            <w:pPr>
              <w:pStyle w:val="GOSTTablenorm"/>
              <w:widowControl w:val="0"/>
              <w:rPr>
                <w:szCs w:val="22"/>
              </w:rPr>
            </w:pPr>
            <w:r w:rsidRPr="00264D5D">
              <w:rPr>
                <w:szCs w:val="22"/>
              </w:rPr>
              <w:t>Наименование получателя</w:t>
            </w:r>
          </w:p>
        </w:tc>
        <w:tc>
          <w:tcPr>
            <w:tcW w:w="1701" w:type="dxa"/>
          </w:tcPr>
          <w:p w14:paraId="5994B0D6" w14:textId="77777777" w:rsidR="00AD1F54" w:rsidRPr="00264D5D" w:rsidRDefault="00941227">
            <w:pPr>
              <w:pStyle w:val="GOSTTablenorm"/>
              <w:widowControl w:val="0"/>
              <w:rPr>
                <w:szCs w:val="22"/>
              </w:rPr>
            </w:pPr>
            <w:r w:rsidRPr="00264D5D">
              <w:rPr>
                <w:szCs w:val="22"/>
              </w:rPr>
              <w:t>EPS_R_Name</w:t>
            </w:r>
          </w:p>
        </w:tc>
        <w:tc>
          <w:tcPr>
            <w:tcW w:w="567" w:type="dxa"/>
          </w:tcPr>
          <w:p w14:paraId="3850E5D9" w14:textId="77777777" w:rsidR="00AD1F54" w:rsidRPr="00264D5D" w:rsidRDefault="00941227">
            <w:pPr>
              <w:pStyle w:val="GOSTTablenorm"/>
              <w:widowControl w:val="0"/>
              <w:jc w:val="center"/>
              <w:rPr>
                <w:szCs w:val="22"/>
              </w:rPr>
            </w:pPr>
            <w:r w:rsidRPr="00264D5D">
              <w:rPr>
                <w:szCs w:val="22"/>
              </w:rPr>
              <w:t>П</w:t>
            </w:r>
          </w:p>
        </w:tc>
        <w:tc>
          <w:tcPr>
            <w:tcW w:w="1134" w:type="dxa"/>
          </w:tcPr>
          <w:p w14:paraId="128E8316" w14:textId="77777777" w:rsidR="00AD1F54" w:rsidRPr="00264D5D" w:rsidRDefault="00941227">
            <w:pPr>
              <w:pStyle w:val="GOSTTablenorm"/>
              <w:widowControl w:val="0"/>
              <w:rPr>
                <w:szCs w:val="22"/>
              </w:rPr>
            </w:pPr>
            <w:r w:rsidRPr="00264D5D">
              <w:rPr>
                <w:szCs w:val="22"/>
              </w:rPr>
              <w:t>Т(1-700)</w:t>
            </w:r>
          </w:p>
        </w:tc>
        <w:tc>
          <w:tcPr>
            <w:tcW w:w="567" w:type="dxa"/>
          </w:tcPr>
          <w:p w14:paraId="0047A0E3" w14:textId="77777777" w:rsidR="00AD1F54" w:rsidRPr="00264D5D" w:rsidRDefault="00941227">
            <w:pPr>
              <w:pStyle w:val="GOSTTablenorm"/>
              <w:widowControl w:val="0"/>
              <w:jc w:val="center"/>
              <w:rPr>
                <w:szCs w:val="22"/>
              </w:rPr>
            </w:pPr>
            <w:r w:rsidRPr="00264D5D">
              <w:rPr>
                <w:szCs w:val="22"/>
              </w:rPr>
              <w:t>Н</w:t>
            </w:r>
          </w:p>
        </w:tc>
        <w:tc>
          <w:tcPr>
            <w:tcW w:w="3964" w:type="dxa"/>
          </w:tcPr>
          <w:p w14:paraId="56F3D94A" w14:textId="77777777" w:rsidR="00AD1F54" w:rsidRPr="00264D5D" w:rsidRDefault="00941227">
            <w:pPr>
              <w:pStyle w:val="GOSTTablenorm"/>
              <w:widowControl w:val="0"/>
              <w:rPr>
                <w:szCs w:val="22"/>
                <w:lang w:val="en-US"/>
              </w:rPr>
            </w:pPr>
            <w:r w:rsidRPr="00264D5D">
              <w:rPr>
                <w:szCs w:val="22"/>
              </w:rPr>
              <w:t>Указывается наименование получателя</w:t>
            </w:r>
          </w:p>
        </w:tc>
      </w:tr>
      <w:tr w:rsidR="00AD1F54" w:rsidRPr="00264D5D" w14:paraId="237D10E1"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34788684" w14:textId="77777777" w:rsidR="00AD1F54" w:rsidRPr="00264D5D" w:rsidRDefault="00941227">
            <w:pPr>
              <w:pStyle w:val="GOSTTablenorm"/>
              <w:widowControl w:val="0"/>
              <w:rPr>
                <w:szCs w:val="22"/>
              </w:rPr>
            </w:pPr>
            <w:r w:rsidRPr="00264D5D">
              <w:rPr>
                <w:szCs w:val="22"/>
              </w:rPr>
              <w:t>ИНН плательщика</w:t>
            </w:r>
          </w:p>
        </w:tc>
        <w:tc>
          <w:tcPr>
            <w:tcW w:w="1701" w:type="dxa"/>
          </w:tcPr>
          <w:p w14:paraId="0ECD4621" w14:textId="77777777" w:rsidR="00AD1F54" w:rsidRPr="00264D5D" w:rsidRDefault="00941227">
            <w:pPr>
              <w:pStyle w:val="GOSTTablenorm"/>
              <w:widowControl w:val="0"/>
              <w:rPr>
                <w:szCs w:val="22"/>
              </w:rPr>
            </w:pPr>
            <w:r w:rsidRPr="00264D5D">
              <w:rPr>
                <w:szCs w:val="22"/>
              </w:rPr>
              <w:t>EPS_P_INN</w:t>
            </w:r>
          </w:p>
        </w:tc>
        <w:tc>
          <w:tcPr>
            <w:tcW w:w="567" w:type="dxa"/>
          </w:tcPr>
          <w:p w14:paraId="74082119" w14:textId="77777777" w:rsidR="00AD1F54" w:rsidRPr="00264D5D" w:rsidRDefault="00941227">
            <w:pPr>
              <w:pStyle w:val="GOSTTablenorm"/>
              <w:widowControl w:val="0"/>
              <w:jc w:val="center"/>
              <w:rPr>
                <w:szCs w:val="22"/>
              </w:rPr>
            </w:pPr>
            <w:r w:rsidRPr="00264D5D">
              <w:rPr>
                <w:szCs w:val="22"/>
              </w:rPr>
              <w:t>П</w:t>
            </w:r>
          </w:p>
        </w:tc>
        <w:tc>
          <w:tcPr>
            <w:tcW w:w="1134" w:type="dxa"/>
          </w:tcPr>
          <w:p w14:paraId="76EAB65D" w14:textId="77777777" w:rsidR="00AD1F54" w:rsidRPr="00264D5D" w:rsidRDefault="00941227">
            <w:pPr>
              <w:pStyle w:val="GOSTTablenorm"/>
              <w:widowControl w:val="0"/>
              <w:rPr>
                <w:szCs w:val="22"/>
              </w:rPr>
            </w:pPr>
            <w:r w:rsidRPr="00264D5D">
              <w:rPr>
                <w:szCs w:val="22"/>
              </w:rPr>
              <w:t>Т(1-12)</w:t>
            </w:r>
          </w:p>
        </w:tc>
        <w:tc>
          <w:tcPr>
            <w:tcW w:w="567" w:type="dxa"/>
          </w:tcPr>
          <w:p w14:paraId="2562F869" w14:textId="77777777" w:rsidR="00AD1F54" w:rsidRPr="00264D5D" w:rsidRDefault="00941227">
            <w:pPr>
              <w:pStyle w:val="GOSTTablenorm"/>
              <w:widowControl w:val="0"/>
              <w:jc w:val="center"/>
              <w:rPr>
                <w:szCs w:val="22"/>
              </w:rPr>
            </w:pPr>
            <w:r w:rsidRPr="00264D5D">
              <w:rPr>
                <w:szCs w:val="22"/>
              </w:rPr>
              <w:t>Н</w:t>
            </w:r>
          </w:p>
        </w:tc>
        <w:tc>
          <w:tcPr>
            <w:tcW w:w="3964" w:type="dxa"/>
          </w:tcPr>
          <w:p w14:paraId="60E099E7" w14:textId="77777777" w:rsidR="00AD1F54" w:rsidRPr="00264D5D" w:rsidRDefault="00941227">
            <w:pPr>
              <w:pStyle w:val="GOSTTablenorm"/>
              <w:widowControl w:val="0"/>
              <w:rPr>
                <w:szCs w:val="22"/>
                <w:lang w:val="en-US"/>
              </w:rPr>
            </w:pPr>
            <w:r w:rsidRPr="00264D5D">
              <w:rPr>
                <w:szCs w:val="22"/>
              </w:rPr>
              <w:t>Указывается ИНН плательщика</w:t>
            </w:r>
          </w:p>
        </w:tc>
      </w:tr>
      <w:tr w:rsidR="00AD1F54" w:rsidRPr="00264D5D" w14:paraId="6D831DF5"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0FFD590A" w14:textId="77777777" w:rsidR="00AD1F54" w:rsidRPr="00264D5D" w:rsidRDefault="00941227">
            <w:pPr>
              <w:pStyle w:val="GOSTTablenorm"/>
              <w:widowControl w:val="0"/>
              <w:rPr>
                <w:szCs w:val="22"/>
              </w:rPr>
            </w:pPr>
            <w:r w:rsidRPr="00264D5D">
              <w:rPr>
                <w:szCs w:val="22"/>
              </w:rPr>
              <w:t>ИНН получателя</w:t>
            </w:r>
          </w:p>
        </w:tc>
        <w:tc>
          <w:tcPr>
            <w:tcW w:w="1701" w:type="dxa"/>
          </w:tcPr>
          <w:p w14:paraId="054D8B2F" w14:textId="77777777" w:rsidR="00AD1F54" w:rsidRPr="00264D5D" w:rsidRDefault="00941227">
            <w:pPr>
              <w:pStyle w:val="GOSTTablenorm"/>
              <w:widowControl w:val="0"/>
              <w:rPr>
                <w:szCs w:val="22"/>
              </w:rPr>
            </w:pPr>
            <w:r w:rsidRPr="00264D5D">
              <w:rPr>
                <w:szCs w:val="22"/>
              </w:rPr>
              <w:t>EPS_R_INN</w:t>
            </w:r>
          </w:p>
        </w:tc>
        <w:tc>
          <w:tcPr>
            <w:tcW w:w="567" w:type="dxa"/>
          </w:tcPr>
          <w:p w14:paraId="0AE1468B" w14:textId="77777777" w:rsidR="00AD1F54" w:rsidRPr="00264D5D" w:rsidRDefault="00941227">
            <w:pPr>
              <w:pStyle w:val="GOSTTablenorm"/>
              <w:widowControl w:val="0"/>
              <w:jc w:val="center"/>
              <w:rPr>
                <w:szCs w:val="22"/>
              </w:rPr>
            </w:pPr>
            <w:r w:rsidRPr="00264D5D">
              <w:rPr>
                <w:szCs w:val="22"/>
              </w:rPr>
              <w:t>П</w:t>
            </w:r>
          </w:p>
        </w:tc>
        <w:tc>
          <w:tcPr>
            <w:tcW w:w="1134" w:type="dxa"/>
          </w:tcPr>
          <w:p w14:paraId="7F5C0C5F" w14:textId="77777777" w:rsidR="00AD1F54" w:rsidRPr="00264D5D" w:rsidRDefault="00941227">
            <w:pPr>
              <w:pStyle w:val="GOSTTablenorm"/>
              <w:widowControl w:val="0"/>
              <w:rPr>
                <w:szCs w:val="22"/>
              </w:rPr>
            </w:pPr>
            <w:r w:rsidRPr="00264D5D">
              <w:rPr>
                <w:szCs w:val="22"/>
              </w:rPr>
              <w:t>Т(1-12)</w:t>
            </w:r>
          </w:p>
        </w:tc>
        <w:tc>
          <w:tcPr>
            <w:tcW w:w="567" w:type="dxa"/>
          </w:tcPr>
          <w:p w14:paraId="09539C77" w14:textId="77777777" w:rsidR="00AD1F54" w:rsidRPr="00264D5D" w:rsidRDefault="00941227">
            <w:pPr>
              <w:pStyle w:val="GOSTTablenorm"/>
              <w:widowControl w:val="0"/>
              <w:jc w:val="center"/>
              <w:rPr>
                <w:szCs w:val="22"/>
              </w:rPr>
            </w:pPr>
            <w:r w:rsidRPr="00264D5D">
              <w:rPr>
                <w:szCs w:val="22"/>
              </w:rPr>
              <w:t>Н</w:t>
            </w:r>
          </w:p>
        </w:tc>
        <w:tc>
          <w:tcPr>
            <w:tcW w:w="3964" w:type="dxa"/>
          </w:tcPr>
          <w:p w14:paraId="67A62FC2" w14:textId="77777777" w:rsidR="00AD1F54" w:rsidRPr="00264D5D" w:rsidRDefault="00941227">
            <w:pPr>
              <w:pStyle w:val="GOSTTablenorm"/>
              <w:widowControl w:val="0"/>
              <w:rPr>
                <w:szCs w:val="22"/>
                <w:lang w:val="en-US"/>
              </w:rPr>
            </w:pPr>
            <w:r w:rsidRPr="00264D5D">
              <w:rPr>
                <w:szCs w:val="22"/>
              </w:rPr>
              <w:t>Указывается ИНН получателя</w:t>
            </w:r>
          </w:p>
        </w:tc>
      </w:tr>
      <w:tr w:rsidR="00AD1F54" w:rsidRPr="00264D5D" w14:paraId="186AA682"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5A214334" w14:textId="77777777" w:rsidR="00AD1F54" w:rsidRPr="00264D5D" w:rsidRDefault="00941227">
            <w:pPr>
              <w:pStyle w:val="GOSTTablenorm"/>
              <w:widowControl w:val="0"/>
              <w:rPr>
                <w:szCs w:val="22"/>
              </w:rPr>
            </w:pPr>
            <w:r w:rsidRPr="00264D5D">
              <w:rPr>
                <w:szCs w:val="22"/>
              </w:rPr>
              <w:t>Номер корреспондентского счета банка получателя</w:t>
            </w:r>
          </w:p>
        </w:tc>
        <w:tc>
          <w:tcPr>
            <w:tcW w:w="1701" w:type="dxa"/>
          </w:tcPr>
          <w:p w14:paraId="491BFDD4" w14:textId="77777777" w:rsidR="00AD1F54" w:rsidRPr="00264D5D" w:rsidRDefault="00941227">
            <w:pPr>
              <w:pStyle w:val="GOSTTablenorm"/>
              <w:widowControl w:val="0"/>
              <w:rPr>
                <w:szCs w:val="22"/>
              </w:rPr>
            </w:pPr>
            <w:r w:rsidRPr="00264D5D">
              <w:rPr>
                <w:szCs w:val="22"/>
              </w:rPr>
              <w:t>EPS_R_CorrAcc</w:t>
            </w:r>
          </w:p>
        </w:tc>
        <w:tc>
          <w:tcPr>
            <w:tcW w:w="567" w:type="dxa"/>
          </w:tcPr>
          <w:p w14:paraId="51E582FC" w14:textId="77777777" w:rsidR="00AD1F54" w:rsidRPr="00264D5D" w:rsidRDefault="00941227">
            <w:pPr>
              <w:pStyle w:val="GOSTTablenorm"/>
              <w:widowControl w:val="0"/>
              <w:jc w:val="center"/>
              <w:rPr>
                <w:szCs w:val="22"/>
              </w:rPr>
            </w:pPr>
            <w:r w:rsidRPr="00264D5D">
              <w:rPr>
                <w:szCs w:val="22"/>
              </w:rPr>
              <w:t>П</w:t>
            </w:r>
          </w:p>
        </w:tc>
        <w:tc>
          <w:tcPr>
            <w:tcW w:w="1134" w:type="dxa"/>
          </w:tcPr>
          <w:p w14:paraId="6CDED6A2" w14:textId="77777777" w:rsidR="00AD1F54" w:rsidRPr="00264D5D" w:rsidRDefault="00941227">
            <w:pPr>
              <w:pStyle w:val="GOSTTablenorm"/>
              <w:widowControl w:val="0"/>
              <w:rPr>
                <w:szCs w:val="22"/>
              </w:rPr>
            </w:pPr>
            <w:r w:rsidRPr="00264D5D">
              <w:rPr>
                <w:szCs w:val="22"/>
              </w:rPr>
              <w:t>Т(20)</w:t>
            </w:r>
          </w:p>
        </w:tc>
        <w:tc>
          <w:tcPr>
            <w:tcW w:w="567" w:type="dxa"/>
          </w:tcPr>
          <w:p w14:paraId="3BDD03EE" w14:textId="77777777" w:rsidR="00AD1F54" w:rsidRPr="00264D5D" w:rsidRDefault="00941227">
            <w:pPr>
              <w:pStyle w:val="GOSTTablenorm"/>
              <w:widowControl w:val="0"/>
              <w:jc w:val="center"/>
              <w:rPr>
                <w:szCs w:val="22"/>
              </w:rPr>
            </w:pPr>
            <w:r w:rsidRPr="00264D5D">
              <w:rPr>
                <w:szCs w:val="22"/>
              </w:rPr>
              <w:t>Н</w:t>
            </w:r>
          </w:p>
        </w:tc>
        <w:tc>
          <w:tcPr>
            <w:tcW w:w="3964" w:type="dxa"/>
          </w:tcPr>
          <w:p w14:paraId="28EC9DB3" w14:textId="77777777" w:rsidR="00AD1F54" w:rsidRPr="00264D5D" w:rsidRDefault="00941227">
            <w:pPr>
              <w:pStyle w:val="GOSTTablenorm"/>
              <w:widowControl w:val="0"/>
              <w:rPr>
                <w:szCs w:val="22"/>
              </w:rPr>
            </w:pPr>
            <w:r w:rsidRPr="00264D5D">
              <w:rPr>
                <w:szCs w:val="22"/>
              </w:rPr>
              <w:t>Указывается номер корреспондентск</w:t>
            </w:r>
            <w:r w:rsidR="003E1F19" w:rsidRPr="00264D5D">
              <w:rPr>
                <w:szCs w:val="22"/>
              </w:rPr>
              <w:t>ого счета банка получателя</w:t>
            </w:r>
          </w:p>
        </w:tc>
      </w:tr>
      <w:tr w:rsidR="00AD1F54" w:rsidRPr="00264D5D" w14:paraId="68B41DD0"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E8291D5" w14:textId="77777777" w:rsidR="00AD1F54" w:rsidRPr="00264D5D" w:rsidRDefault="00941227">
            <w:pPr>
              <w:pStyle w:val="GOSTTablenorm"/>
              <w:widowControl w:val="0"/>
              <w:rPr>
                <w:szCs w:val="22"/>
              </w:rPr>
            </w:pPr>
            <w:r w:rsidRPr="00264D5D">
              <w:rPr>
                <w:szCs w:val="22"/>
              </w:rPr>
              <w:t>БИК банка получателя</w:t>
            </w:r>
          </w:p>
        </w:tc>
        <w:tc>
          <w:tcPr>
            <w:tcW w:w="1701" w:type="dxa"/>
          </w:tcPr>
          <w:p w14:paraId="02217299" w14:textId="77777777" w:rsidR="00AD1F54" w:rsidRPr="00264D5D" w:rsidRDefault="00941227">
            <w:pPr>
              <w:pStyle w:val="GOSTTablenorm"/>
              <w:widowControl w:val="0"/>
              <w:rPr>
                <w:szCs w:val="22"/>
              </w:rPr>
            </w:pPr>
            <w:r w:rsidRPr="00264D5D">
              <w:rPr>
                <w:szCs w:val="22"/>
              </w:rPr>
              <w:t>EPS_R_BIK</w:t>
            </w:r>
          </w:p>
        </w:tc>
        <w:tc>
          <w:tcPr>
            <w:tcW w:w="567" w:type="dxa"/>
          </w:tcPr>
          <w:p w14:paraId="5835FF5E" w14:textId="77777777" w:rsidR="00AD1F54" w:rsidRPr="00264D5D" w:rsidRDefault="00941227">
            <w:pPr>
              <w:pStyle w:val="GOSTTablenorm"/>
              <w:widowControl w:val="0"/>
              <w:jc w:val="center"/>
              <w:rPr>
                <w:szCs w:val="22"/>
              </w:rPr>
            </w:pPr>
            <w:r w:rsidRPr="00264D5D">
              <w:rPr>
                <w:szCs w:val="22"/>
              </w:rPr>
              <w:t>П</w:t>
            </w:r>
          </w:p>
        </w:tc>
        <w:tc>
          <w:tcPr>
            <w:tcW w:w="1134" w:type="dxa"/>
          </w:tcPr>
          <w:p w14:paraId="2A92A44D" w14:textId="77777777" w:rsidR="00AD1F54" w:rsidRPr="00264D5D" w:rsidRDefault="00941227">
            <w:pPr>
              <w:pStyle w:val="GOSTTablenorm"/>
              <w:widowControl w:val="0"/>
              <w:rPr>
                <w:szCs w:val="22"/>
              </w:rPr>
            </w:pPr>
            <w:r w:rsidRPr="00264D5D">
              <w:rPr>
                <w:szCs w:val="22"/>
              </w:rPr>
              <w:t>Т(9)</w:t>
            </w:r>
          </w:p>
        </w:tc>
        <w:tc>
          <w:tcPr>
            <w:tcW w:w="567" w:type="dxa"/>
          </w:tcPr>
          <w:p w14:paraId="56B5DEB6" w14:textId="77777777" w:rsidR="00AD1F54" w:rsidRPr="00264D5D" w:rsidRDefault="00941227">
            <w:pPr>
              <w:pStyle w:val="GOSTTablenorm"/>
              <w:widowControl w:val="0"/>
              <w:jc w:val="center"/>
              <w:rPr>
                <w:szCs w:val="22"/>
              </w:rPr>
            </w:pPr>
            <w:r w:rsidRPr="00264D5D">
              <w:rPr>
                <w:szCs w:val="22"/>
              </w:rPr>
              <w:t>Н</w:t>
            </w:r>
          </w:p>
        </w:tc>
        <w:tc>
          <w:tcPr>
            <w:tcW w:w="3964" w:type="dxa"/>
          </w:tcPr>
          <w:p w14:paraId="1A2DC390" w14:textId="77777777" w:rsidR="00AD1F54" w:rsidRPr="00264D5D" w:rsidRDefault="00941227">
            <w:pPr>
              <w:pStyle w:val="GOSTTablenorm"/>
              <w:widowControl w:val="0"/>
              <w:rPr>
                <w:szCs w:val="22"/>
                <w:lang w:val="en-US"/>
              </w:rPr>
            </w:pPr>
            <w:r w:rsidRPr="00264D5D">
              <w:rPr>
                <w:szCs w:val="22"/>
              </w:rPr>
              <w:t>Указывается БИК банка получателя</w:t>
            </w:r>
          </w:p>
        </w:tc>
      </w:tr>
      <w:tr w:rsidR="00AD1F54" w:rsidRPr="00264D5D" w14:paraId="756E21D8"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60E89EBC" w14:textId="77777777" w:rsidR="00AD1F54" w:rsidRPr="00264D5D" w:rsidRDefault="00941227">
            <w:pPr>
              <w:pStyle w:val="GOSTTablenorm"/>
              <w:widowControl w:val="0"/>
              <w:rPr>
                <w:szCs w:val="22"/>
              </w:rPr>
            </w:pPr>
            <w:r w:rsidRPr="00264D5D">
              <w:rPr>
                <w:szCs w:val="22"/>
              </w:rPr>
              <w:t>Дата зачисления средств на счет получателя</w:t>
            </w:r>
          </w:p>
        </w:tc>
        <w:tc>
          <w:tcPr>
            <w:tcW w:w="1701" w:type="dxa"/>
          </w:tcPr>
          <w:p w14:paraId="571E7AE5" w14:textId="77777777" w:rsidR="00AD1F54" w:rsidRPr="00264D5D" w:rsidRDefault="00941227">
            <w:pPr>
              <w:pStyle w:val="GOSTTablenorm"/>
              <w:widowControl w:val="0"/>
              <w:rPr>
                <w:szCs w:val="22"/>
              </w:rPr>
            </w:pPr>
            <w:r w:rsidRPr="00264D5D">
              <w:rPr>
                <w:szCs w:val="22"/>
              </w:rPr>
              <w:t>EPS_RecipDateInAcc</w:t>
            </w:r>
          </w:p>
        </w:tc>
        <w:tc>
          <w:tcPr>
            <w:tcW w:w="567" w:type="dxa"/>
          </w:tcPr>
          <w:p w14:paraId="475D92E9" w14:textId="77777777" w:rsidR="00AD1F54" w:rsidRPr="00264D5D" w:rsidRDefault="00941227">
            <w:pPr>
              <w:pStyle w:val="GOSTTablenorm"/>
              <w:widowControl w:val="0"/>
              <w:jc w:val="center"/>
              <w:rPr>
                <w:szCs w:val="22"/>
              </w:rPr>
            </w:pPr>
            <w:r w:rsidRPr="00264D5D">
              <w:rPr>
                <w:szCs w:val="22"/>
              </w:rPr>
              <w:t>П</w:t>
            </w:r>
          </w:p>
        </w:tc>
        <w:tc>
          <w:tcPr>
            <w:tcW w:w="1134" w:type="dxa"/>
          </w:tcPr>
          <w:p w14:paraId="6BD9C7D0" w14:textId="77777777" w:rsidR="00AD1F54" w:rsidRPr="00264D5D" w:rsidRDefault="00941227">
            <w:pPr>
              <w:pStyle w:val="GOSTTablenorm"/>
              <w:widowControl w:val="0"/>
              <w:rPr>
                <w:szCs w:val="22"/>
              </w:rPr>
            </w:pPr>
            <w:r w:rsidRPr="00264D5D">
              <w:rPr>
                <w:szCs w:val="22"/>
                <w:lang w:val="en-US"/>
              </w:rPr>
              <w:t>Date</w:t>
            </w:r>
          </w:p>
        </w:tc>
        <w:tc>
          <w:tcPr>
            <w:tcW w:w="567" w:type="dxa"/>
          </w:tcPr>
          <w:p w14:paraId="1CD3683B" w14:textId="77777777" w:rsidR="00AD1F54" w:rsidRPr="00264D5D" w:rsidRDefault="00941227">
            <w:pPr>
              <w:pStyle w:val="GOSTTablenorm"/>
              <w:widowControl w:val="0"/>
              <w:jc w:val="center"/>
              <w:rPr>
                <w:szCs w:val="22"/>
              </w:rPr>
            </w:pPr>
            <w:r w:rsidRPr="00264D5D">
              <w:rPr>
                <w:szCs w:val="22"/>
              </w:rPr>
              <w:t>Н</w:t>
            </w:r>
          </w:p>
        </w:tc>
        <w:tc>
          <w:tcPr>
            <w:tcW w:w="3964" w:type="dxa"/>
          </w:tcPr>
          <w:p w14:paraId="75526809" w14:textId="77777777" w:rsidR="00AD1F54" w:rsidRPr="00264D5D" w:rsidRDefault="00941227">
            <w:pPr>
              <w:pStyle w:val="GOSTTablenorm"/>
              <w:widowControl w:val="0"/>
              <w:rPr>
                <w:szCs w:val="22"/>
              </w:rPr>
            </w:pPr>
            <w:r w:rsidRPr="00264D5D">
              <w:rPr>
                <w:szCs w:val="22"/>
              </w:rPr>
              <w:t>Указывается дата зачисл</w:t>
            </w:r>
            <w:r w:rsidR="003E1F19" w:rsidRPr="00264D5D">
              <w:rPr>
                <w:szCs w:val="22"/>
              </w:rPr>
              <w:t>ения средств на счет получателя</w:t>
            </w:r>
          </w:p>
        </w:tc>
      </w:tr>
      <w:tr w:rsidR="00AD1F54" w:rsidRPr="00264D5D" w14:paraId="43C850BF"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D154FFC" w14:textId="77777777" w:rsidR="00AD1F54" w:rsidRPr="00264D5D" w:rsidRDefault="00941227">
            <w:pPr>
              <w:pStyle w:val="GOSTTablenorm"/>
              <w:widowControl w:val="0"/>
              <w:rPr>
                <w:szCs w:val="22"/>
              </w:rPr>
            </w:pPr>
            <w:r w:rsidRPr="00264D5D">
              <w:rPr>
                <w:szCs w:val="22"/>
              </w:rPr>
              <w:t>Сумма</w:t>
            </w:r>
          </w:p>
        </w:tc>
        <w:tc>
          <w:tcPr>
            <w:tcW w:w="1701" w:type="dxa"/>
          </w:tcPr>
          <w:p w14:paraId="55AA3B68" w14:textId="77777777" w:rsidR="00AD1F54" w:rsidRPr="00264D5D" w:rsidRDefault="00941227">
            <w:pPr>
              <w:pStyle w:val="GOSTTablenorm"/>
              <w:widowControl w:val="0"/>
              <w:rPr>
                <w:szCs w:val="22"/>
              </w:rPr>
            </w:pPr>
            <w:r w:rsidRPr="00264D5D">
              <w:rPr>
                <w:szCs w:val="22"/>
              </w:rPr>
              <w:t>EPS_Sum</w:t>
            </w:r>
          </w:p>
        </w:tc>
        <w:tc>
          <w:tcPr>
            <w:tcW w:w="567" w:type="dxa"/>
          </w:tcPr>
          <w:p w14:paraId="7EB5DBD8" w14:textId="77777777" w:rsidR="00AD1F54" w:rsidRPr="00264D5D" w:rsidRDefault="00941227">
            <w:pPr>
              <w:pStyle w:val="GOSTTablenorm"/>
              <w:widowControl w:val="0"/>
              <w:jc w:val="center"/>
              <w:rPr>
                <w:szCs w:val="22"/>
              </w:rPr>
            </w:pPr>
            <w:r w:rsidRPr="00264D5D">
              <w:rPr>
                <w:szCs w:val="22"/>
              </w:rPr>
              <w:t>П</w:t>
            </w:r>
          </w:p>
        </w:tc>
        <w:tc>
          <w:tcPr>
            <w:tcW w:w="1134" w:type="dxa"/>
          </w:tcPr>
          <w:p w14:paraId="21BFF039" w14:textId="77777777" w:rsidR="00AD1F54" w:rsidRPr="00264D5D" w:rsidRDefault="00941227">
            <w:pPr>
              <w:pStyle w:val="GOSTTablenorm"/>
              <w:widowControl w:val="0"/>
              <w:rPr>
                <w:szCs w:val="22"/>
              </w:rPr>
            </w:pPr>
            <w:r w:rsidRPr="00264D5D">
              <w:rPr>
                <w:szCs w:val="22"/>
                <w:lang w:val="en-US"/>
              </w:rPr>
              <w:t>N</w:t>
            </w:r>
            <w:r w:rsidRPr="00264D5D">
              <w:rPr>
                <w:szCs w:val="22"/>
              </w:rPr>
              <w:t>(20.2)</w:t>
            </w:r>
          </w:p>
        </w:tc>
        <w:tc>
          <w:tcPr>
            <w:tcW w:w="567" w:type="dxa"/>
          </w:tcPr>
          <w:p w14:paraId="5B6F6CD5" w14:textId="77777777" w:rsidR="00AD1F54" w:rsidRPr="00264D5D" w:rsidRDefault="00941227">
            <w:pPr>
              <w:pStyle w:val="GOSTTablenorm"/>
              <w:widowControl w:val="0"/>
              <w:jc w:val="center"/>
              <w:rPr>
                <w:szCs w:val="22"/>
              </w:rPr>
            </w:pPr>
            <w:r w:rsidRPr="00264D5D">
              <w:rPr>
                <w:szCs w:val="22"/>
              </w:rPr>
              <w:t>Н</w:t>
            </w:r>
          </w:p>
        </w:tc>
        <w:tc>
          <w:tcPr>
            <w:tcW w:w="3964" w:type="dxa"/>
          </w:tcPr>
          <w:p w14:paraId="5CAF1513" w14:textId="77777777" w:rsidR="00AD1F54" w:rsidRPr="00264D5D" w:rsidRDefault="00941227" w:rsidP="003E1F19">
            <w:pPr>
              <w:pStyle w:val="GOSTTablenorm"/>
              <w:widowControl w:val="0"/>
              <w:rPr>
                <w:szCs w:val="22"/>
                <w:lang w:val="en-US"/>
              </w:rPr>
            </w:pPr>
            <w:r w:rsidRPr="00264D5D">
              <w:rPr>
                <w:szCs w:val="22"/>
              </w:rPr>
              <w:t>Указывается сумма</w:t>
            </w:r>
          </w:p>
        </w:tc>
      </w:tr>
      <w:tr w:rsidR="00AD1F54" w:rsidRPr="00264D5D" w14:paraId="54648070"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6CE76DE" w14:textId="77777777" w:rsidR="00AD1F54" w:rsidRPr="00264D5D" w:rsidRDefault="00941227">
            <w:pPr>
              <w:pStyle w:val="GOSTTablenorm"/>
              <w:widowControl w:val="0"/>
              <w:rPr>
                <w:szCs w:val="22"/>
              </w:rPr>
            </w:pPr>
            <w:r w:rsidRPr="00264D5D">
              <w:rPr>
                <w:szCs w:val="22"/>
              </w:rPr>
              <w:t>Текст ответа</w:t>
            </w:r>
          </w:p>
        </w:tc>
        <w:tc>
          <w:tcPr>
            <w:tcW w:w="1701" w:type="dxa"/>
          </w:tcPr>
          <w:p w14:paraId="69B3076D" w14:textId="77777777" w:rsidR="00AD1F54" w:rsidRPr="00264D5D" w:rsidRDefault="00941227">
            <w:pPr>
              <w:pStyle w:val="GOSTTablenorm"/>
              <w:widowControl w:val="0"/>
              <w:rPr>
                <w:szCs w:val="22"/>
              </w:rPr>
            </w:pPr>
            <w:r w:rsidRPr="00264D5D">
              <w:rPr>
                <w:szCs w:val="22"/>
              </w:rPr>
              <w:t>BasicRequisites_RespText</w:t>
            </w:r>
          </w:p>
        </w:tc>
        <w:tc>
          <w:tcPr>
            <w:tcW w:w="567" w:type="dxa"/>
          </w:tcPr>
          <w:p w14:paraId="1430C647" w14:textId="77777777" w:rsidR="00AD1F54" w:rsidRPr="00264D5D" w:rsidRDefault="00941227">
            <w:pPr>
              <w:pStyle w:val="GOSTTablenorm"/>
              <w:widowControl w:val="0"/>
              <w:jc w:val="center"/>
              <w:rPr>
                <w:szCs w:val="22"/>
              </w:rPr>
            </w:pPr>
            <w:r w:rsidRPr="00264D5D">
              <w:rPr>
                <w:szCs w:val="22"/>
              </w:rPr>
              <w:t>П</w:t>
            </w:r>
          </w:p>
        </w:tc>
        <w:tc>
          <w:tcPr>
            <w:tcW w:w="1134" w:type="dxa"/>
          </w:tcPr>
          <w:p w14:paraId="2E3357ED" w14:textId="77777777" w:rsidR="00AD1F54" w:rsidRPr="00264D5D" w:rsidRDefault="00941227" w:rsidP="009169AF">
            <w:pPr>
              <w:pStyle w:val="GOSTTablenorm"/>
              <w:widowControl w:val="0"/>
              <w:rPr>
                <w:szCs w:val="22"/>
                <w:lang w:val="en-US"/>
              </w:rPr>
            </w:pPr>
            <w:r w:rsidRPr="00264D5D">
              <w:rPr>
                <w:szCs w:val="22"/>
              </w:rPr>
              <w:t>Т(1-</w:t>
            </w:r>
            <w:r w:rsidR="009169AF" w:rsidRPr="00264D5D">
              <w:rPr>
                <w:szCs w:val="22"/>
              </w:rPr>
              <w:t>10000</w:t>
            </w:r>
            <w:r w:rsidRPr="00264D5D">
              <w:rPr>
                <w:szCs w:val="22"/>
              </w:rPr>
              <w:t>)</w:t>
            </w:r>
          </w:p>
        </w:tc>
        <w:tc>
          <w:tcPr>
            <w:tcW w:w="567" w:type="dxa"/>
          </w:tcPr>
          <w:p w14:paraId="02C0F98A" w14:textId="77777777" w:rsidR="00AD1F54" w:rsidRPr="00264D5D" w:rsidRDefault="00941227">
            <w:pPr>
              <w:pStyle w:val="GOSTTablenorm"/>
              <w:widowControl w:val="0"/>
              <w:jc w:val="center"/>
              <w:rPr>
                <w:szCs w:val="22"/>
              </w:rPr>
            </w:pPr>
            <w:r w:rsidRPr="00264D5D">
              <w:rPr>
                <w:szCs w:val="22"/>
              </w:rPr>
              <w:t>Н</w:t>
            </w:r>
          </w:p>
        </w:tc>
        <w:tc>
          <w:tcPr>
            <w:tcW w:w="3964" w:type="dxa"/>
          </w:tcPr>
          <w:p w14:paraId="4031DFD3" w14:textId="77777777" w:rsidR="00AD1F54" w:rsidRPr="00264D5D" w:rsidRDefault="00941227" w:rsidP="003E1F19">
            <w:pPr>
              <w:pStyle w:val="GOSTTablenorm"/>
              <w:widowControl w:val="0"/>
              <w:rPr>
                <w:szCs w:val="22"/>
                <w:lang w:val="en-US"/>
              </w:rPr>
            </w:pPr>
            <w:r w:rsidRPr="00264D5D">
              <w:rPr>
                <w:szCs w:val="22"/>
              </w:rPr>
              <w:t>Указывается текст ответа</w:t>
            </w:r>
          </w:p>
        </w:tc>
      </w:tr>
      <w:tr w:rsidR="00AD1F54" w:rsidRPr="00264D5D" w14:paraId="29373516"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2EA030EA" w14:textId="77777777" w:rsidR="00AD1F54" w:rsidRPr="00264D5D" w:rsidRDefault="00941227">
            <w:pPr>
              <w:pStyle w:val="GOSTTablenorm"/>
              <w:widowControl w:val="0"/>
              <w:rPr>
                <w:szCs w:val="22"/>
              </w:rPr>
            </w:pPr>
            <w:r w:rsidRPr="00264D5D">
              <w:rPr>
                <w:szCs w:val="22"/>
              </w:rPr>
              <w:t>Адрес места жительства</w:t>
            </w:r>
          </w:p>
        </w:tc>
        <w:tc>
          <w:tcPr>
            <w:tcW w:w="1701" w:type="dxa"/>
          </w:tcPr>
          <w:p w14:paraId="52814DE2" w14:textId="77777777" w:rsidR="00AD1F54" w:rsidRPr="00264D5D" w:rsidRDefault="00941227">
            <w:pPr>
              <w:pStyle w:val="GOSTTablenorm"/>
              <w:widowControl w:val="0"/>
              <w:rPr>
                <w:szCs w:val="22"/>
              </w:rPr>
            </w:pPr>
            <w:r w:rsidRPr="00264D5D">
              <w:rPr>
                <w:szCs w:val="22"/>
              </w:rPr>
              <w:t>EPS_ResidenceAddress</w:t>
            </w:r>
          </w:p>
        </w:tc>
        <w:tc>
          <w:tcPr>
            <w:tcW w:w="567" w:type="dxa"/>
          </w:tcPr>
          <w:p w14:paraId="4595BEE1" w14:textId="77777777" w:rsidR="00AD1F54" w:rsidRPr="00264D5D" w:rsidRDefault="00941227">
            <w:pPr>
              <w:pStyle w:val="GOSTTablenorm"/>
              <w:widowControl w:val="0"/>
              <w:jc w:val="center"/>
              <w:rPr>
                <w:szCs w:val="22"/>
              </w:rPr>
            </w:pPr>
            <w:r w:rsidRPr="00264D5D">
              <w:rPr>
                <w:szCs w:val="22"/>
              </w:rPr>
              <w:t>П</w:t>
            </w:r>
          </w:p>
        </w:tc>
        <w:tc>
          <w:tcPr>
            <w:tcW w:w="1134" w:type="dxa"/>
          </w:tcPr>
          <w:p w14:paraId="1CC8872C" w14:textId="77777777" w:rsidR="00AD1F54" w:rsidRPr="00264D5D" w:rsidRDefault="00941227">
            <w:pPr>
              <w:pStyle w:val="GOSTTablenorm"/>
              <w:widowControl w:val="0"/>
              <w:rPr>
                <w:szCs w:val="22"/>
              </w:rPr>
            </w:pPr>
            <w:r w:rsidRPr="00264D5D">
              <w:rPr>
                <w:szCs w:val="22"/>
              </w:rPr>
              <w:t>Т(1-140)</w:t>
            </w:r>
          </w:p>
        </w:tc>
        <w:tc>
          <w:tcPr>
            <w:tcW w:w="567" w:type="dxa"/>
          </w:tcPr>
          <w:p w14:paraId="53F656C2" w14:textId="77777777" w:rsidR="00AD1F54" w:rsidRPr="00264D5D" w:rsidRDefault="00941227">
            <w:pPr>
              <w:pStyle w:val="GOSTTablenorm"/>
              <w:widowControl w:val="0"/>
              <w:jc w:val="center"/>
              <w:rPr>
                <w:szCs w:val="22"/>
              </w:rPr>
            </w:pPr>
            <w:r w:rsidRPr="00264D5D">
              <w:rPr>
                <w:szCs w:val="22"/>
              </w:rPr>
              <w:t>Н</w:t>
            </w:r>
          </w:p>
        </w:tc>
        <w:tc>
          <w:tcPr>
            <w:tcW w:w="3964" w:type="dxa"/>
          </w:tcPr>
          <w:p w14:paraId="2C6B3E06" w14:textId="77777777" w:rsidR="00AD1F54" w:rsidRPr="00264D5D" w:rsidRDefault="00941227" w:rsidP="003E1F19">
            <w:pPr>
              <w:pStyle w:val="GOSTTablenorm"/>
              <w:widowControl w:val="0"/>
              <w:rPr>
                <w:szCs w:val="22"/>
                <w:lang w:val="en-US"/>
              </w:rPr>
            </w:pPr>
            <w:r w:rsidRPr="00264D5D">
              <w:rPr>
                <w:szCs w:val="22"/>
              </w:rPr>
              <w:t>Указывается адрес места жительства</w:t>
            </w:r>
          </w:p>
        </w:tc>
      </w:tr>
      <w:tr w:rsidR="00AD1F54" w:rsidRPr="00264D5D" w14:paraId="5C566E99"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45FC5CB7" w14:textId="77777777" w:rsidR="00AD1F54" w:rsidRPr="00264D5D" w:rsidRDefault="00941227">
            <w:pPr>
              <w:pStyle w:val="GOSTTablenorm"/>
              <w:widowControl w:val="0"/>
              <w:rPr>
                <w:szCs w:val="22"/>
              </w:rPr>
            </w:pPr>
            <w:r w:rsidRPr="00264D5D">
              <w:rPr>
                <w:szCs w:val="22"/>
              </w:rPr>
              <w:t>Назначение платежа</w:t>
            </w:r>
          </w:p>
        </w:tc>
        <w:tc>
          <w:tcPr>
            <w:tcW w:w="1701" w:type="dxa"/>
          </w:tcPr>
          <w:p w14:paraId="7D7DBC82" w14:textId="77777777" w:rsidR="00AD1F54" w:rsidRPr="00264D5D" w:rsidRDefault="00941227">
            <w:pPr>
              <w:pStyle w:val="GOSTTablenorm"/>
              <w:widowControl w:val="0"/>
              <w:rPr>
                <w:szCs w:val="22"/>
              </w:rPr>
            </w:pPr>
            <w:r w:rsidRPr="00264D5D">
              <w:rPr>
                <w:szCs w:val="22"/>
              </w:rPr>
              <w:t>EPS_PayPurpose</w:t>
            </w:r>
          </w:p>
        </w:tc>
        <w:tc>
          <w:tcPr>
            <w:tcW w:w="567" w:type="dxa"/>
          </w:tcPr>
          <w:p w14:paraId="5BB5B3DF" w14:textId="77777777" w:rsidR="00AD1F54" w:rsidRPr="00264D5D" w:rsidRDefault="00941227">
            <w:pPr>
              <w:pStyle w:val="GOSTTablenorm"/>
              <w:widowControl w:val="0"/>
              <w:jc w:val="center"/>
              <w:rPr>
                <w:szCs w:val="22"/>
              </w:rPr>
            </w:pPr>
            <w:r w:rsidRPr="00264D5D">
              <w:rPr>
                <w:szCs w:val="22"/>
              </w:rPr>
              <w:t>П</w:t>
            </w:r>
          </w:p>
        </w:tc>
        <w:tc>
          <w:tcPr>
            <w:tcW w:w="1134" w:type="dxa"/>
          </w:tcPr>
          <w:p w14:paraId="64C25A89" w14:textId="77777777" w:rsidR="00AD1F54" w:rsidRPr="00264D5D" w:rsidRDefault="00941227">
            <w:pPr>
              <w:pStyle w:val="GOSTTablenorm"/>
              <w:widowControl w:val="0"/>
              <w:rPr>
                <w:szCs w:val="22"/>
              </w:rPr>
            </w:pPr>
            <w:r w:rsidRPr="00264D5D">
              <w:rPr>
                <w:szCs w:val="22"/>
              </w:rPr>
              <w:t>Т(1-210)</w:t>
            </w:r>
          </w:p>
        </w:tc>
        <w:tc>
          <w:tcPr>
            <w:tcW w:w="567" w:type="dxa"/>
          </w:tcPr>
          <w:p w14:paraId="0F182286" w14:textId="77777777" w:rsidR="00AD1F54" w:rsidRPr="00264D5D" w:rsidRDefault="00941227">
            <w:pPr>
              <w:pStyle w:val="GOSTTablenorm"/>
              <w:widowControl w:val="0"/>
              <w:jc w:val="center"/>
              <w:rPr>
                <w:szCs w:val="22"/>
              </w:rPr>
            </w:pPr>
            <w:r w:rsidRPr="00264D5D">
              <w:rPr>
                <w:szCs w:val="22"/>
              </w:rPr>
              <w:t>Н</w:t>
            </w:r>
          </w:p>
        </w:tc>
        <w:tc>
          <w:tcPr>
            <w:tcW w:w="3964" w:type="dxa"/>
          </w:tcPr>
          <w:p w14:paraId="2BF11F9C" w14:textId="77777777" w:rsidR="00AD1F54" w:rsidRPr="00264D5D" w:rsidRDefault="00941227" w:rsidP="003E1F19">
            <w:pPr>
              <w:pStyle w:val="GOSTTablenorm"/>
              <w:widowControl w:val="0"/>
              <w:rPr>
                <w:szCs w:val="22"/>
                <w:lang w:val="en-US"/>
              </w:rPr>
            </w:pPr>
            <w:r w:rsidRPr="00264D5D">
              <w:rPr>
                <w:szCs w:val="22"/>
              </w:rPr>
              <w:t>Указывается назначение платежа</w:t>
            </w:r>
          </w:p>
        </w:tc>
      </w:tr>
      <w:tr w:rsidR="00AD1F54" w:rsidRPr="00264D5D" w14:paraId="0E562932"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7ADDD5FF" w14:textId="77777777" w:rsidR="00AD1F54" w:rsidRPr="00264D5D" w:rsidRDefault="00941227">
            <w:pPr>
              <w:pStyle w:val="GOSTTablenorm"/>
              <w:widowControl w:val="0"/>
              <w:rPr>
                <w:szCs w:val="22"/>
              </w:rPr>
            </w:pPr>
            <w:r w:rsidRPr="00264D5D">
              <w:rPr>
                <w:szCs w:val="22"/>
              </w:rPr>
              <w:t>Код РЦ</w:t>
            </w:r>
          </w:p>
        </w:tc>
        <w:tc>
          <w:tcPr>
            <w:tcW w:w="1701" w:type="dxa"/>
          </w:tcPr>
          <w:p w14:paraId="2B677F7D" w14:textId="77777777" w:rsidR="00AD1F54" w:rsidRPr="00264D5D" w:rsidRDefault="00941227">
            <w:pPr>
              <w:pStyle w:val="GOSTTablenorm"/>
              <w:widowControl w:val="0"/>
              <w:rPr>
                <w:szCs w:val="22"/>
              </w:rPr>
            </w:pPr>
            <w:r w:rsidRPr="00264D5D">
              <w:rPr>
                <w:szCs w:val="22"/>
              </w:rPr>
              <w:t>EPS_TOFKCode</w:t>
            </w:r>
          </w:p>
        </w:tc>
        <w:tc>
          <w:tcPr>
            <w:tcW w:w="567" w:type="dxa"/>
          </w:tcPr>
          <w:p w14:paraId="3C92AEF5" w14:textId="77777777" w:rsidR="00AD1F54" w:rsidRPr="00264D5D" w:rsidRDefault="00941227">
            <w:pPr>
              <w:pStyle w:val="GOSTTablenorm"/>
              <w:widowControl w:val="0"/>
              <w:jc w:val="center"/>
              <w:rPr>
                <w:szCs w:val="22"/>
              </w:rPr>
            </w:pPr>
            <w:r w:rsidRPr="00264D5D">
              <w:rPr>
                <w:szCs w:val="22"/>
              </w:rPr>
              <w:t>П</w:t>
            </w:r>
          </w:p>
        </w:tc>
        <w:tc>
          <w:tcPr>
            <w:tcW w:w="1134" w:type="dxa"/>
          </w:tcPr>
          <w:p w14:paraId="624ED0F5" w14:textId="77777777" w:rsidR="00AD1F54" w:rsidRPr="00264D5D" w:rsidRDefault="00941227">
            <w:pPr>
              <w:pStyle w:val="GOSTTablenorm"/>
              <w:widowControl w:val="0"/>
              <w:rPr>
                <w:szCs w:val="22"/>
              </w:rPr>
            </w:pPr>
            <w:r w:rsidRPr="00264D5D">
              <w:rPr>
                <w:szCs w:val="22"/>
              </w:rPr>
              <w:t>Т(4)</w:t>
            </w:r>
          </w:p>
        </w:tc>
        <w:tc>
          <w:tcPr>
            <w:tcW w:w="567" w:type="dxa"/>
          </w:tcPr>
          <w:p w14:paraId="04B32CAF" w14:textId="77777777" w:rsidR="00AD1F54" w:rsidRPr="00264D5D" w:rsidRDefault="00941227">
            <w:pPr>
              <w:pStyle w:val="GOSTTablenorm"/>
              <w:widowControl w:val="0"/>
              <w:jc w:val="center"/>
              <w:rPr>
                <w:szCs w:val="22"/>
              </w:rPr>
            </w:pPr>
            <w:r w:rsidRPr="00264D5D">
              <w:rPr>
                <w:szCs w:val="22"/>
              </w:rPr>
              <w:t>Н</w:t>
            </w:r>
          </w:p>
        </w:tc>
        <w:tc>
          <w:tcPr>
            <w:tcW w:w="3964" w:type="dxa"/>
          </w:tcPr>
          <w:p w14:paraId="68C5FBB4" w14:textId="77777777" w:rsidR="00AD1F54" w:rsidRPr="00264D5D" w:rsidRDefault="00941227" w:rsidP="003E1F19">
            <w:pPr>
              <w:pStyle w:val="GOSTTablenorm"/>
              <w:widowControl w:val="0"/>
              <w:rPr>
                <w:szCs w:val="22"/>
              </w:rPr>
            </w:pPr>
            <w:r w:rsidRPr="00264D5D">
              <w:rPr>
                <w:szCs w:val="22"/>
              </w:rPr>
              <w:t>Ук</w:t>
            </w:r>
            <w:r w:rsidR="003E1F19" w:rsidRPr="00264D5D">
              <w:rPr>
                <w:szCs w:val="22"/>
              </w:rPr>
              <w:t>азывается код расчетного центра</w:t>
            </w:r>
          </w:p>
        </w:tc>
      </w:tr>
      <w:tr w:rsidR="00AD1F54" w:rsidRPr="00264D5D" w14:paraId="1A05D143"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A771FDC" w14:textId="77777777" w:rsidR="00AD1F54" w:rsidRPr="00264D5D" w:rsidRDefault="002443B7">
            <w:pPr>
              <w:pStyle w:val="GOSTTablenorm"/>
              <w:widowControl w:val="0"/>
              <w:rPr>
                <w:szCs w:val="22"/>
              </w:rPr>
            </w:pPr>
            <w:r w:rsidRPr="00264D5D">
              <w:rPr>
                <w:szCs w:val="22"/>
              </w:rPr>
              <w:t>Список уточняемых реквизитов в ранее направленном распоряжении</w:t>
            </w:r>
          </w:p>
        </w:tc>
        <w:tc>
          <w:tcPr>
            <w:tcW w:w="1701" w:type="dxa"/>
          </w:tcPr>
          <w:p w14:paraId="670DF357" w14:textId="77777777" w:rsidR="00AD1F54" w:rsidRPr="00264D5D" w:rsidRDefault="00941227">
            <w:pPr>
              <w:pStyle w:val="GOSTTablenorm"/>
              <w:widowControl w:val="0"/>
              <w:rPr>
                <w:szCs w:val="22"/>
              </w:rPr>
            </w:pPr>
            <w:r w:rsidRPr="00264D5D">
              <w:rPr>
                <w:color w:val="000000"/>
                <w:szCs w:val="22"/>
              </w:rPr>
              <w:t>RowRequest_D34</w:t>
            </w:r>
          </w:p>
        </w:tc>
        <w:tc>
          <w:tcPr>
            <w:tcW w:w="567" w:type="dxa"/>
          </w:tcPr>
          <w:p w14:paraId="1D3D4832" w14:textId="77777777" w:rsidR="00AD1F54" w:rsidRPr="00264D5D" w:rsidRDefault="00941227">
            <w:pPr>
              <w:pStyle w:val="GOSTTablenorm"/>
              <w:widowControl w:val="0"/>
              <w:jc w:val="center"/>
              <w:rPr>
                <w:szCs w:val="22"/>
              </w:rPr>
            </w:pPr>
            <w:r w:rsidRPr="00264D5D">
              <w:rPr>
                <w:szCs w:val="22"/>
              </w:rPr>
              <w:t>С</w:t>
            </w:r>
          </w:p>
        </w:tc>
        <w:tc>
          <w:tcPr>
            <w:tcW w:w="1134" w:type="dxa"/>
          </w:tcPr>
          <w:p w14:paraId="530755BE" w14:textId="77777777" w:rsidR="00AD1F54" w:rsidRPr="00264D5D" w:rsidRDefault="00941227">
            <w:pPr>
              <w:pStyle w:val="GOSTTablenorm"/>
              <w:widowControl w:val="0"/>
              <w:rPr>
                <w:szCs w:val="22"/>
              </w:rPr>
            </w:pPr>
            <w:r w:rsidRPr="00264D5D">
              <w:rPr>
                <w:szCs w:val="22"/>
              </w:rPr>
              <w:t>tEDRowRequest</w:t>
            </w:r>
          </w:p>
        </w:tc>
        <w:tc>
          <w:tcPr>
            <w:tcW w:w="567" w:type="dxa"/>
          </w:tcPr>
          <w:p w14:paraId="5B7140F9" w14:textId="77777777" w:rsidR="00AD1F54" w:rsidRPr="00264D5D" w:rsidRDefault="00941227">
            <w:pPr>
              <w:pStyle w:val="GOSTTablenorm"/>
              <w:widowControl w:val="0"/>
              <w:jc w:val="center"/>
              <w:rPr>
                <w:szCs w:val="22"/>
              </w:rPr>
            </w:pPr>
            <w:r w:rsidRPr="00264D5D">
              <w:rPr>
                <w:szCs w:val="22"/>
              </w:rPr>
              <w:t>Н</w:t>
            </w:r>
          </w:p>
        </w:tc>
        <w:tc>
          <w:tcPr>
            <w:tcW w:w="3964" w:type="dxa"/>
          </w:tcPr>
          <w:p w14:paraId="22D68054" w14:textId="78E7FD88" w:rsidR="00AD1F54" w:rsidRPr="00264D5D" w:rsidRDefault="00941227" w:rsidP="003E1F19">
            <w:pPr>
              <w:pStyle w:val="GOSTTablenorm"/>
              <w:widowControl w:val="0"/>
              <w:rPr>
                <w:szCs w:val="22"/>
              </w:rPr>
            </w:pPr>
            <w:r w:rsidRPr="00264D5D">
              <w:rPr>
                <w:szCs w:val="22"/>
              </w:rPr>
              <w:t xml:space="preserve">Состав элемента представлен в таблице </w:t>
            </w:r>
            <w:r w:rsidRPr="00264D5D">
              <w:rPr>
                <w:szCs w:val="22"/>
              </w:rPr>
              <w:fldChar w:fldCharType="begin"/>
            </w:r>
            <w:r w:rsidRPr="00264D5D">
              <w:rPr>
                <w:szCs w:val="22"/>
              </w:rPr>
              <w:instrText xml:space="preserve"> REF _Ref52366407 \h  \* MERGEFORMAT </w:instrText>
            </w:r>
            <w:r w:rsidRPr="00264D5D">
              <w:rPr>
                <w:szCs w:val="22"/>
              </w:rPr>
            </w:r>
            <w:r w:rsidRPr="00264D5D">
              <w:rPr>
                <w:szCs w:val="22"/>
              </w:rPr>
              <w:fldChar w:fldCharType="separate"/>
            </w:r>
            <w:r w:rsidR="008D797C">
              <w:t>327</w:t>
            </w:r>
            <w:r w:rsidRPr="00264D5D">
              <w:rPr>
                <w:szCs w:val="22"/>
              </w:rPr>
              <w:fldChar w:fldCharType="end"/>
            </w:r>
          </w:p>
        </w:tc>
      </w:tr>
      <w:tr w:rsidR="00AD1F54" w:rsidRPr="00264D5D" w14:paraId="5537976A"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C39BA66" w14:textId="77777777" w:rsidR="00AD1F54" w:rsidRPr="00264D5D" w:rsidRDefault="00941227">
            <w:pPr>
              <w:pStyle w:val="GOSTTablenorm"/>
              <w:widowControl w:val="0"/>
              <w:rPr>
                <w:szCs w:val="22"/>
              </w:rPr>
            </w:pPr>
            <w:r w:rsidRPr="00264D5D">
              <w:lastRenderedPageBreak/>
              <w:t>Уровень конфиденциальности</w:t>
            </w:r>
          </w:p>
        </w:tc>
        <w:tc>
          <w:tcPr>
            <w:tcW w:w="1701" w:type="dxa"/>
          </w:tcPr>
          <w:p w14:paraId="7DB0CAB2" w14:textId="77777777" w:rsidR="00AD1F54" w:rsidRPr="00264D5D" w:rsidRDefault="00941227">
            <w:pPr>
              <w:pStyle w:val="GOSTTablenorm"/>
              <w:widowControl w:val="0"/>
              <w:rPr>
                <w:color w:val="000000"/>
                <w:szCs w:val="22"/>
              </w:rPr>
            </w:pPr>
            <w:r w:rsidRPr="00264D5D">
              <w:t>TtlPrt_SECRECY</w:t>
            </w:r>
          </w:p>
        </w:tc>
        <w:tc>
          <w:tcPr>
            <w:tcW w:w="567" w:type="dxa"/>
          </w:tcPr>
          <w:p w14:paraId="025D0162" w14:textId="77777777" w:rsidR="00AD1F54" w:rsidRPr="00264D5D" w:rsidRDefault="00941227">
            <w:pPr>
              <w:pStyle w:val="GOSTTablenorm"/>
              <w:widowControl w:val="0"/>
              <w:jc w:val="center"/>
              <w:rPr>
                <w:szCs w:val="22"/>
              </w:rPr>
            </w:pPr>
            <w:r w:rsidRPr="00264D5D">
              <w:rPr>
                <w:szCs w:val="22"/>
              </w:rPr>
              <w:t>П</w:t>
            </w:r>
          </w:p>
        </w:tc>
        <w:tc>
          <w:tcPr>
            <w:tcW w:w="1134" w:type="dxa"/>
          </w:tcPr>
          <w:p w14:paraId="450AC3AD" w14:textId="77777777" w:rsidR="00AD1F54" w:rsidRPr="00264D5D" w:rsidRDefault="00941227">
            <w:pPr>
              <w:pStyle w:val="GOSTTablenorm"/>
              <w:widowControl w:val="0"/>
              <w:rPr>
                <w:szCs w:val="22"/>
              </w:rPr>
            </w:pPr>
            <w:r w:rsidRPr="00264D5D">
              <w:rPr>
                <w:szCs w:val="22"/>
              </w:rPr>
              <w:t>Т(1)</w:t>
            </w:r>
          </w:p>
        </w:tc>
        <w:tc>
          <w:tcPr>
            <w:tcW w:w="567" w:type="dxa"/>
          </w:tcPr>
          <w:p w14:paraId="49018ABB" w14:textId="77777777" w:rsidR="00AD1F54" w:rsidRPr="00264D5D" w:rsidRDefault="00941227">
            <w:pPr>
              <w:pStyle w:val="GOSTTablenorm"/>
              <w:widowControl w:val="0"/>
              <w:jc w:val="center"/>
              <w:rPr>
                <w:szCs w:val="22"/>
              </w:rPr>
            </w:pPr>
            <w:r w:rsidRPr="00264D5D">
              <w:rPr>
                <w:szCs w:val="22"/>
              </w:rPr>
              <w:t>Н</w:t>
            </w:r>
          </w:p>
        </w:tc>
        <w:tc>
          <w:tcPr>
            <w:tcW w:w="3964" w:type="dxa"/>
          </w:tcPr>
          <w:p w14:paraId="5B341255" w14:textId="77777777" w:rsidR="00AD1F54" w:rsidRPr="00264D5D" w:rsidRDefault="00941227" w:rsidP="003E1F19">
            <w:pPr>
              <w:pStyle w:val="GOSTTablenorm"/>
              <w:widowControl w:val="0"/>
              <w:rPr>
                <w:szCs w:val="22"/>
              </w:rPr>
            </w:pPr>
            <w:r w:rsidRPr="00264D5D">
              <w:rPr>
                <w:szCs w:val="22"/>
              </w:rPr>
              <w:t>Указывается уровень конфиденциальности.</w:t>
            </w:r>
          </w:p>
          <w:p w14:paraId="77B01E04" w14:textId="77777777" w:rsidR="00AD1F54" w:rsidRPr="00264D5D" w:rsidRDefault="00941227" w:rsidP="003E1F19">
            <w:pPr>
              <w:pStyle w:val="GOSTTablenorm"/>
              <w:widowControl w:val="0"/>
              <w:rPr>
                <w:szCs w:val="22"/>
              </w:rPr>
            </w:pPr>
            <w:r w:rsidRPr="00264D5D">
              <w:rPr>
                <w:szCs w:val="22"/>
              </w:rPr>
              <w:t>Возможные значения:</w:t>
            </w:r>
          </w:p>
          <w:p w14:paraId="3A7C892C" w14:textId="77777777" w:rsidR="00AD1F54" w:rsidRPr="00264D5D" w:rsidRDefault="00941227" w:rsidP="003E1F19">
            <w:pPr>
              <w:pStyle w:val="GOSTTableListMark1"/>
              <w:widowControl w:val="0"/>
              <w:numPr>
                <w:ilvl w:val="0"/>
                <w:numId w:val="65"/>
              </w:numPr>
              <w:tabs>
                <w:tab w:val="clear" w:pos="340"/>
                <w:tab w:val="num" w:pos="227"/>
              </w:tabs>
              <w:spacing w:before="60" w:after="60"/>
              <w:ind w:left="284"/>
              <w:jc w:val="both"/>
              <w:rPr>
                <w:szCs w:val="22"/>
              </w:rPr>
            </w:pPr>
            <w:r w:rsidRPr="00264D5D">
              <w:t>«0» – Несекретно;</w:t>
            </w:r>
          </w:p>
          <w:p w14:paraId="56A7316D" w14:textId="77777777" w:rsidR="00AD1F54" w:rsidRPr="00264D5D" w:rsidRDefault="00941227" w:rsidP="003E1F19">
            <w:pPr>
              <w:pStyle w:val="GOSTTableListMark1"/>
              <w:widowControl w:val="0"/>
              <w:numPr>
                <w:ilvl w:val="0"/>
                <w:numId w:val="65"/>
              </w:numPr>
              <w:tabs>
                <w:tab w:val="clear" w:pos="340"/>
                <w:tab w:val="num" w:pos="227"/>
              </w:tabs>
              <w:spacing w:before="60" w:after="60"/>
              <w:ind w:left="284"/>
              <w:jc w:val="both"/>
              <w:rPr>
                <w:szCs w:val="22"/>
              </w:rPr>
            </w:pPr>
            <w:r w:rsidRPr="00264D5D">
              <w:t>«1» – Для служебного пользования.</w:t>
            </w:r>
          </w:p>
          <w:p w14:paraId="672017A2" w14:textId="77777777" w:rsidR="00AD1F54" w:rsidRPr="00264D5D" w:rsidRDefault="00941227" w:rsidP="003E1F19">
            <w:pPr>
              <w:pStyle w:val="GOSTTablenorm"/>
              <w:widowControl w:val="0"/>
              <w:rPr>
                <w:szCs w:val="22"/>
              </w:rPr>
            </w:pPr>
            <w:r w:rsidRPr="00264D5D">
              <w:rPr>
                <w:szCs w:val="22"/>
              </w:rPr>
              <w:t>Обязателен для заполнения в случае взаимодействия по марш</w:t>
            </w:r>
            <w:r w:rsidR="003E1F19" w:rsidRPr="00264D5D">
              <w:rPr>
                <w:szCs w:val="22"/>
              </w:rPr>
              <w:t>руту ПБС (ПФХД) – ТОФК (ПУР ЭБ)</w:t>
            </w:r>
          </w:p>
        </w:tc>
      </w:tr>
      <w:tr w:rsidR="00AD1F54" w:rsidRPr="00264D5D" w14:paraId="548A6364" w14:textId="77777777" w:rsidTr="00AD1F54">
        <w:trPr>
          <w:cnfStyle w:val="000000010000" w:firstRow="0" w:lastRow="0" w:firstColumn="0" w:lastColumn="0" w:oddVBand="0" w:evenVBand="0" w:oddHBand="0" w:evenHBand="1" w:firstRowFirstColumn="0" w:firstRowLastColumn="0" w:lastRowFirstColumn="0" w:lastRowLastColumn="0"/>
        </w:trPr>
        <w:tc>
          <w:tcPr>
            <w:tcW w:w="9634" w:type="dxa"/>
            <w:gridSpan w:val="6"/>
          </w:tcPr>
          <w:p w14:paraId="50B8971F" w14:textId="77777777" w:rsidR="00AD1F54" w:rsidRPr="00264D5D" w:rsidRDefault="00941227">
            <w:pPr>
              <w:pStyle w:val="GOSTTablenorm"/>
              <w:widowControl w:val="0"/>
              <w:rPr>
                <w:szCs w:val="22"/>
              </w:rPr>
            </w:pPr>
            <w:r w:rsidRPr="00264D5D">
              <w:rPr>
                <w:b/>
                <w:szCs w:val="22"/>
              </w:rPr>
              <w:t>Системная информация</w:t>
            </w:r>
          </w:p>
        </w:tc>
      </w:tr>
      <w:tr w:rsidR="00AD1F54" w:rsidRPr="00264D5D" w14:paraId="2CE66849"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5C13D914" w14:textId="77777777" w:rsidR="00AD1F54" w:rsidRPr="00264D5D" w:rsidRDefault="00941227">
            <w:pPr>
              <w:pStyle w:val="GOSTTablenorm"/>
              <w:widowControl w:val="0"/>
              <w:rPr>
                <w:i/>
                <w:szCs w:val="22"/>
              </w:rPr>
            </w:pPr>
            <w:r w:rsidRPr="00264D5D">
              <w:rPr>
                <w:szCs w:val="22"/>
              </w:rPr>
              <w:t>Идентификатор документа</w:t>
            </w:r>
          </w:p>
        </w:tc>
        <w:tc>
          <w:tcPr>
            <w:tcW w:w="1701" w:type="dxa"/>
          </w:tcPr>
          <w:p w14:paraId="007BC7BC" w14:textId="77777777" w:rsidR="00AD1F54" w:rsidRPr="00264D5D" w:rsidRDefault="00941227">
            <w:pPr>
              <w:pStyle w:val="GOSTTablenorm"/>
              <w:widowControl w:val="0"/>
              <w:rPr>
                <w:color w:val="000000"/>
                <w:szCs w:val="22"/>
              </w:rPr>
            </w:pPr>
            <w:r w:rsidRPr="00264D5D">
              <w:rPr>
                <w:color w:val="000000"/>
                <w:szCs w:val="22"/>
              </w:rPr>
              <w:t>TF_DocGuid</w:t>
            </w:r>
          </w:p>
        </w:tc>
        <w:tc>
          <w:tcPr>
            <w:tcW w:w="567" w:type="dxa"/>
          </w:tcPr>
          <w:p w14:paraId="27AA2741" w14:textId="77777777" w:rsidR="00AD1F54" w:rsidRPr="00264D5D" w:rsidRDefault="00941227">
            <w:pPr>
              <w:pStyle w:val="GOSTTablenorm"/>
              <w:widowControl w:val="0"/>
              <w:jc w:val="center"/>
              <w:rPr>
                <w:szCs w:val="22"/>
              </w:rPr>
            </w:pPr>
            <w:r w:rsidRPr="00264D5D">
              <w:rPr>
                <w:szCs w:val="22"/>
              </w:rPr>
              <w:t>П</w:t>
            </w:r>
          </w:p>
        </w:tc>
        <w:tc>
          <w:tcPr>
            <w:tcW w:w="1134" w:type="dxa"/>
          </w:tcPr>
          <w:p w14:paraId="45B0A5AE" w14:textId="77777777" w:rsidR="00AD1F54" w:rsidRPr="00264D5D" w:rsidRDefault="00941227">
            <w:pPr>
              <w:pStyle w:val="GOSTTablenorm"/>
              <w:widowControl w:val="0"/>
              <w:rPr>
                <w:szCs w:val="22"/>
              </w:rPr>
            </w:pPr>
            <w:r w:rsidRPr="00264D5D">
              <w:rPr>
                <w:szCs w:val="22"/>
              </w:rPr>
              <w:t>Т(36)</w:t>
            </w:r>
          </w:p>
        </w:tc>
        <w:tc>
          <w:tcPr>
            <w:tcW w:w="567" w:type="dxa"/>
          </w:tcPr>
          <w:p w14:paraId="24D0EAFA" w14:textId="77777777" w:rsidR="00AD1F54" w:rsidRPr="00264D5D" w:rsidRDefault="00941227">
            <w:pPr>
              <w:pStyle w:val="GOSTTablenorm"/>
              <w:widowControl w:val="0"/>
              <w:jc w:val="center"/>
              <w:rPr>
                <w:szCs w:val="22"/>
              </w:rPr>
            </w:pPr>
            <w:r w:rsidRPr="00264D5D">
              <w:rPr>
                <w:szCs w:val="22"/>
              </w:rPr>
              <w:t>О</w:t>
            </w:r>
          </w:p>
        </w:tc>
        <w:tc>
          <w:tcPr>
            <w:tcW w:w="3964" w:type="dxa"/>
          </w:tcPr>
          <w:p w14:paraId="7DD3440B" w14:textId="77777777" w:rsidR="00AD1F54" w:rsidRPr="00264D5D" w:rsidRDefault="00941227">
            <w:pPr>
              <w:pStyle w:val="GOSTTablenorm"/>
              <w:widowControl w:val="0"/>
              <w:rPr>
                <w:szCs w:val="22"/>
                <w:lang w:val="en-US"/>
              </w:rPr>
            </w:pPr>
            <w:r w:rsidRPr="00264D5D">
              <w:rPr>
                <w:szCs w:val="22"/>
              </w:rPr>
              <w:t>Указывается идентификатор документа</w:t>
            </w:r>
          </w:p>
        </w:tc>
      </w:tr>
      <w:tr w:rsidR="00AD1F54" w:rsidRPr="00264D5D" w14:paraId="010F5E7F"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1E3B8FF7" w14:textId="77777777" w:rsidR="00AD1F54" w:rsidRPr="00264D5D" w:rsidRDefault="00941227">
            <w:pPr>
              <w:pStyle w:val="GOSTTablenorm"/>
              <w:widowControl w:val="0"/>
              <w:rPr>
                <w:szCs w:val="22"/>
              </w:rPr>
            </w:pPr>
            <w:r w:rsidRPr="00264D5D">
              <w:rPr>
                <w:szCs w:val="22"/>
              </w:rPr>
              <w:t xml:space="preserve">Идентификатор </w:t>
            </w:r>
            <w:r w:rsidRPr="00264D5D">
              <w:rPr>
                <w:color w:val="000000"/>
                <w:szCs w:val="22"/>
              </w:rPr>
              <w:t>первичного ЭС</w:t>
            </w:r>
          </w:p>
        </w:tc>
        <w:tc>
          <w:tcPr>
            <w:tcW w:w="1701" w:type="dxa"/>
          </w:tcPr>
          <w:p w14:paraId="6E0EA93B" w14:textId="77777777" w:rsidR="00AD1F54" w:rsidRPr="00264D5D" w:rsidRDefault="00941227">
            <w:pPr>
              <w:pStyle w:val="GOSTTablenorm"/>
              <w:widowControl w:val="0"/>
              <w:rPr>
                <w:color w:val="000000"/>
                <w:szCs w:val="22"/>
              </w:rPr>
            </w:pPr>
            <w:r w:rsidRPr="00264D5D">
              <w:rPr>
                <w:color w:val="000000"/>
                <w:szCs w:val="22"/>
              </w:rPr>
              <w:t>TF_DocGuidPP</w:t>
            </w:r>
          </w:p>
        </w:tc>
        <w:tc>
          <w:tcPr>
            <w:tcW w:w="567" w:type="dxa"/>
          </w:tcPr>
          <w:p w14:paraId="437F269B" w14:textId="77777777" w:rsidR="00AD1F54" w:rsidRPr="00264D5D" w:rsidRDefault="00941227">
            <w:pPr>
              <w:pStyle w:val="GOSTTablenorm"/>
              <w:widowControl w:val="0"/>
              <w:jc w:val="center"/>
              <w:rPr>
                <w:szCs w:val="22"/>
              </w:rPr>
            </w:pPr>
            <w:r w:rsidRPr="00264D5D">
              <w:rPr>
                <w:szCs w:val="22"/>
              </w:rPr>
              <w:t>П</w:t>
            </w:r>
          </w:p>
        </w:tc>
        <w:tc>
          <w:tcPr>
            <w:tcW w:w="1134" w:type="dxa"/>
          </w:tcPr>
          <w:p w14:paraId="7FF8F0FB" w14:textId="77777777" w:rsidR="00AD1F54" w:rsidRPr="00264D5D" w:rsidRDefault="00941227">
            <w:pPr>
              <w:pStyle w:val="GOSTTablenorm"/>
              <w:widowControl w:val="0"/>
              <w:rPr>
                <w:szCs w:val="22"/>
              </w:rPr>
            </w:pPr>
            <w:r w:rsidRPr="00264D5D">
              <w:rPr>
                <w:szCs w:val="22"/>
              </w:rPr>
              <w:t>Т(36)</w:t>
            </w:r>
          </w:p>
        </w:tc>
        <w:tc>
          <w:tcPr>
            <w:tcW w:w="567" w:type="dxa"/>
          </w:tcPr>
          <w:p w14:paraId="0C41C3E0" w14:textId="77777777" w:rsidR="00AD1F54" w:rsidRPr="00264D5D" w:rsidRDefault="00941227">
            <w:pPr>
              <w:pStyle w:val="GOSTTablenorm"/>
              <w:widowControl w:val="0"/>
              <w:jc w:val="center"/>
              <w:rPr>
                <w:szCs w:val="22"/>
              </w:rPr>
            </w:pPr>
            <w:r w:rsidRPr="00264D5D">
              <w:rPr>
                <w:szCs w:val="22"/>
              </w:rPr>
              <w:t>О</w:t>
            </w:r>
          </w:p>
        </w:tc>
        <w:tc>
          <w:tcPr>
            <w:tcW w:w="3964" w:type="dxa"/>
          </w:tcPr>
          <w:p w14:paraId="5204110F" w14:textId="77777777" w:rsidR="00AD1F54" w:rsidRPr="00264D5D" w:rsidRDefault="00941227">
            <w:pPr>
              <w:pStyle w:val="GOSTTablenorm"/>
              <w:widowControl w:val="0"/>
              <w:rPr>
                <w:szCs w:val="22"/>
                <w:lang w:val="en-US"/>
              </w:rPr>
            </w:pPr>
            <w:r w:rsidRPr="00264D5D">
              <w:rPr>
                <w:szCs w:val="22"/>
              </w:rPr>
              <w:t>Указывается идентификатор первичного ЭС</w:t>
            </w:r>
          </w:p>
        </w:tc>
      </w:tr>
      <w:tr w:rsidR="00AD1F54" w:rsidRPr="00264D5D" w14:paraId="50C9AD18"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5A8CCC8" w14:textId="77777777" w:rsidR="00AD1F54" w:rsidRPr="00264D5D" w:rsidRDefault="00941227">
            <w:pPr>
              <w:pStyle w:val="GOSTTablenorm"/>
              <w:widowControl w:val="0"/>
              <w:rPr>
                <w:szCs w:val="22"/>
              </w:rPr>
            </w:pPr>
            <w:r w:rsidRPr="00264D5D">
              <w:rPr>
                <w:szCs w:val="22"/>
              </w:rPr>
              <w:t>Идентификатор запроса информации по ЭПС</w:t>
            </w:r>
          </w:p>
        </w:tc>
        <w:tc>
          <w:tcPr>
            <w:tcW w:w="1701" w:type="dxa"/>
          </w:tcPr>
          <w:p w14:paraId="77C4F9A8" w14:textId="77777777" w:rsidR="00AD1F54" w:rsidRPr="00264D5D" w:rsidRDefault="00941227">
            <w:pPr>
              <w:pStyle w:val="GOSTTablenorm"/>
              <w:widowControl w:val="0"/>
              <w:rPr>
                <w:color w:val="000000"/>
                <w:szCs w:val="22"/>
              </w:rPr>
            </w:pPr>
            <w:r w:rsidRPr="00264D5D">
              <w:rPr>
                <w:color w:val="000000"/>
                <w:szCs w:val="22"/>
              </w:rPr>
              <w:t>TF_DocGuidED</w:t>
            </w:r>
          </w:p>
        </w:tc>
        <w:tc>
          <w:tcPr>
            <w:tcW w:w="567" w:type="dxa"/>
          </w:tcPr>
          <w:p w14:paraId="5AAAA800" w14:textId="77777777" w:rsidR="00AD1F54" w:rsidRPr="00264D5D" w:rsidRDefault="00941227">
            <w:pPr>
              <w:pStyle w:val="GOSTTablenorm"/>
              <w:widowControl w:val="0"/>
              <w:jc w:val="center"/>
              <w:rPr>
                <w:szCs w:val="22"/>
              </w:rPr>
            </w:pPr>
            <w:r w:rsidRPr="00264D5D">
              <w:rPr>
                <w:szCs w:val="22"/>
              </w:rPr>
              <w:t>П</w:t>
            </w:r>
          </w:p>
        </w:tc>
        <w:tc>
          <w:tcPr>
            <w:tcW w:w="1134" w:type="dxa"/>
          </w:tcPr>
          <w:p w14:paraId="5FFBFF82" w14:textId="77777777" w:rsidR="00AD1F54" w:rsidRPr="00264D5D" w:rsidRDefault="00941227">
            <w:pPr>
              <w:pStyle w:val="GOSTTablenorm"/>
              <w:widowControl w:val="0"/>
              <w:rPr>
                <w:szCs w:val="22"/>
              </w:rPr>
            </w:pPr>
            <w:r w:rsidRPr="00264D5D">
              <w:rPr>
                <w:szCs w:val="22"/>
              </w:rPr>
              <w:t>Т(36)</w:t>
            </w:r>
          </w:p>
        </w:tc>
        <w:tc>
          <w:tcPr>
            <w:tcW w:w="567" w:type="dxa"/>
          </w:tcPr>
          <w:p w14:paraId="61861390" w14:textId="77777777" w:rsidR="00AD1F54" w:rsidRPr="00264D5D" w:rsidRDefault="00941227">
            <w:pPr>
              <w:pStyle w:val="GOSTTablenorm"/>
              <w:widowControl w:val="0"/>
              <w:jc w:val="center"/>
              <w:rPr>
                <w:szCs w:val="22"/>
              </w:rPr>
            </w:pPr>
            <w:r w:rsidRPr="00264D5D">
              <w:rPr>
                <w:szCs w:val="22"/>
              </w:rPr>
              <w:t>Н</w:t>
            </w:r>
          </w:p>
        </w:tc>
        <w:tc>
          <w:tcPr>
            <w:tcW w:w="3964" w:type="dxa"/>
          </w:tcPr>
          <w:p w14:paraId="6FA96662" w14:textId="77777777" w:rsidR="00AD1F54" w:rsidRPr="00264D5D" w:rsidRDefault="00941227">
            <w:pPr>
              <w:pStyle w:val="GOSTTablenorm"/>
              <w:widowControl w:val="0"/>
              <w:rPr>
                <w:szCs w:val="22"/>
              </w:rPr>
            </w:pPr>
            <w:r w:rsidRPr="00264D5D">
              <w:rPr>
                <w:szCs w:val="22"/>
              </w:rPr>
              <w:t xml:space="preserve">Указывается идентификатор запроса информации </w:t>
            </w:r>
            <w:r w:rsidR="003E1F19" w:rsidRPr="00264D5D">
              <w:rPr>
                <w:szCs w:val="22"/>
              </w:rPr>
              <w:t>по ЭПС</w:t>
            </w:r>
          </w:p>
        </w:tc>
      </w:tr>
      <w:tr w:rsidR="00AD1F54" w:rsidRPr="00264D5D" w14:paraId="3E6A8F53"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64025658" w14:textId="77777777" w:rsidR="00AD1F54" w:rsidRPr="00264D5D" w:rsidRDefault="00941227">
            <w:pPr>
              <w:pStyle w:val="GOSTTablenorm"/>
              <w:widowControl w:val="0"/>
              <w:rPr>
                <w:szCs w:val="22"/>
              </w:rPr>
            </w:pPr>
            <w:r w:rsidRPr="00264D5D">
              <w:rPr>
                <w:szCs w:val="22"/>
              </w:rPr>
              <w:t>Уточнение УИН</w:t>
            </w:r>
          </w:p>
        </w:tc>
        <w:tc>
          <w:tcPr>
            <w:tcW w:w="1701" w:type="dxa"/>
          </w:tcPr>
          <w:p w14:paraId="48B76BFF" w14:textId="77777777" w:rsidR="00AD1F54" w:rsidRPr="00264D5D" w:rsidRDefault="00941227">
            <w:pPr>
              <w:pStyle w:val="GOSTTablenorm"/>
              <w:widowControl w:val="0"/>
              <w:rPr>
                <w:color w:val="000000"/>
                <w:szCs w:val="22"/>
              </w:rPr>
            </w:pPr>
            <w:r w:rsidRPr="00264D5D">
              <w:rPr>
                <w:color w:val="000000"/>
                <w:szCs w:val="22"/>
              </w:rPr>
              <w:t>TF_RefineSign</w:t>
            </w:r>
          </w:p>
        </w:tc>
        <w:tc>
          <w:tcPr>
            <w:tcW w:w="567" w:type="dxa"/>
          </w:tcPr>
          <w:p w14:paraId="3FB70368" w14:textId="77777777" w:rsidR="00AD1F54" w:rsidRPr="00264D5D" w:rsidRDefault="00941227">
            <w:pPr>
              <w:pStyle w:val="GOSTTablenorm"/>
              <w:widowControl w:val="0"/>
              <w:jc w:val="center"/>
              <w:rPr>
                <w:szCs w:val="22"/>
              </w:rPr>
            </w:pPr>
            <w:r w:rsidRPr="00264D5D">
              <w:rPr>
                <w:szCs w:val="22"/>
              </w:rPr>
              <w:t>П</w:t>
            </w:r>
          </w:p>
        </w:tc>
        <w:tc>
          <w:tcPr>
            <w:tcW w:w="1134" w:type="dxa"/>
          </w:tcPr>
          <w:p w14:paraId="6B0A8A97" w14:textId="77777777" w:rsidR="00AD1F54" w:rsidRPr="00264D5D" w:rsidRDefault="00941227">
            <w:pPr>
              <w:pStyle w:val="GOSTTablenorm"/>
              <w:widowControl w:val="0"/>
              <w:rPr>
                <w:szCs w:val="22"/>
              </w:rPr>
            </w:pPr>
            <w:r w:rsidRPr="00264D5D">
              <w:rPr>
                <w:szCs w:val="22"/>
                <w:lang w:val="en-US"/>
              </w:rPr>
              <w:t>BOOLEAN</w:t>
            </w:r>
          </w:p>
        </w:tc>
        <w:tc>
          <w:tcPr>
            <w:tcW w:w="567" w:type="dxa"/>
          </w:tcPr>
          <w:p w14:paraId="0E73AC95" w14:textId="77777777" w:rsidR="00AD1F54" w:rsidRPr="00264D5D" w:rsidRDefault="00941227">
            <w:pPr>
              <w:pStyle w:val="GOSTTablenorm"/>
              <w:widowControl w:val="0"/>
              <w:jc w:val="center"/>
              <w:rPr>
                <w:szCs w:val="22"/>
              </w:rPr>
            </w:pPr>
            <w:r w:rsidRPr="00264D5D">
              <w:rPr>
                <w:szCs w:val="22"/>
              </w:rPr>
              <w:t>Н</w:t>
            </w:r>
          </w:p>
        </w:tc>
        <w:tc>
          <w:tcPr>
            <w:tcW w:w="3964" w:type="dxa"/>
          </w:tcPr>
          <w:p w14:paraId="06B08EFF" w14:textId="77777777" w:rsidR="00AD1F54" w:rsidRPr="00264D5D" w:rsidRDefault="00941227">
            <w:pPr>
              <w:pStyle w:val="GOSTTablenorm"/>
              <w:widowControl w:val="0"/>
              <w:rPr>
                <w:szCs w:val="22"/>
              </w:rPr>
            </w:pPr>
            <w:r w:rsidRPr="00264D5D">
              <w:rPr>
                <w:szCs w:val="22"/>
              </w:rPr>
              <w:t>Ук</w:t>
            </w:r>
            <w:r w:rsidR="003E1F19" w:rsidRPr="00264D5D">
              <w:rPr>
                <w:szCs w:val="22"/>
              </w:rPr>
              <w:t>азывается признак уточнение УИН</w:t>
            </w:r>
          </w:p>
        </w:tc>
      </w:tr>
      <w:tr w:rsidR="00AD1F54" w:rsidRPr="00264D5D" w14:paraId="0F26A20C"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9092FF5" w14:textId="77777777" w:rsidR="00AD1F54" w:rsidRPr="00264D5D" w:rsidRDefault="00941227">
            <w:pPr>
              <w:pStyle w:val="GOSTTablenorm"/>
              <w:widowControl w:val="0"/>
              <w:rPr>
                <w:szCs w:val="22"/>
              </w:rPr>
            </w:pPr>
            <w:r w:rsidRPr="00264D5D">
              <w:rPr>
                <w:szCs w:val="22"/>
              </w:rPr>
              <w:t>Тип документа</w:t>
            </w:r>
          </w:p>
        </w:tc>
        <w:tc>
          <w:tcPr>
            <w:tcW w:w="1701" w:type="dxa"/>
          </w:tcPr>
          <w:p w14:paraId="10818474" w14:textId="77777777" w:rsidR="00AD1F54" w:rsidRPr="00264D5D" w:rsidRDefault="00941227">
            <w:pPr>
              <w:pStyle w:val="GOSTTablenorm"/>
              <w:widowControl w:val="0"/>
              <w:rPr>
                <w:color w:val="000000"/>
                <w:szCs w:val="22"/>
              </w:rPr>
            </w:pPr>
            <w:r w:rsidRPr="00264D5D">
              <w:rPr>
                <w:color w:val="000000"/>
                <w:szCs w:val="22"/>
              </w:rPr>
              <w:t>TF_EDType</w:t>
            </w:r>
          </w:p>
        </w:tc>
        <w:tc>
          <w:tcPr>
            <w:tcW w:w="567" w:type="dxa"/>
          </w:tcPr>
          <w:p w14:paraId="53C2FD54" w14:textId="77777777" w:rsidR="00AD1F54" w:rsidRPr="00264D5D" w:rsidRDefault="00941227">
            <w:pPr>
              <w:pStyle w:val="GOSTTablenorm"/>
              <w:widowControl w:val="0"/>
              <w:jc w:val="center"/>
              <w:rPr>
                <w:szCs w:val="22"/>
              </w:rPr>
            </w:pPr>
            <w:r w:rsidRPr="00264D5D">
              <w:rPr>
                <w:szCs w:val="22"/>
              </w:rPr>
              <w:t>П</w:t>
            </w:r>
          </w:p>
        </w:tc>
        <w:tc>
          <w:tcPr>
            <w:tcW w:w="1134" w:type="dxa"/>
          </w:tcPr>
          <w:p w14:paraId="7A7D5947" w14:textId="77777777" w:rsidR="00AD1F54" w:rsidRPr="00264D5D" w:rsidRDefault="00941227">
            <w:pPr>
              <w:pStyle w:val="GOSTTablenorm"/>
              <w:widowControl w:val="0"/>
              <w:rPr>
                <w:szCs w:val="22"/>
                <w:lang w:val="en-US"/>
              </w:rPr>
            </w:pPr>
            <w:r w:rsidRPr="00264D5D">
              <w:rPr>
                <w:szCs w:val="22"/>
              </w:rPr>
              <w:t>Т(5)</w:t>
            </w:r>
          </w:p>
        </w:tc>
        <w:tc>
          <w:tcPr>
            <w:tcW w:w="567" w:type="dxa"/>
          </w:tcPr>
          <w:p w14:paraId="35D6E9DC" w14:textId="77777777" w:rsidR="00AD1F54" w:rsidRPr="00264D5D" w:rsidRDefault="00941227">
            <w:pPr>
              <w:pStyle w:val="GOSTTablenorm"/>
              <w:widowControl w:val="0"/>
              <w:jc w:val="center"/>
              <w:rPr>
                <w:szCs w:val="22"/>
              </w:rPr>
            </w:pPr>
            <w:r w:rsidRPr="00264D5D">
              <w:rPr>
                <w:szCs w:val="22"/>
              </w:rPr>
              <w:t>Н</w:t>
            </w:r>
          </w:p>
        </w:tc>
        <w:tc>
          <w:tcPr>
            <w:tcW w:w="3964" w:type="dxa"/>
          </w:tcPr>
          <w:p w14:paraId="10D67A83" w14:textId="77777777" w:rsidR="00AD1F54" w:rsidRPr="00264D5D" w:rsidRDefault="003E1F19">
            <w:pPr>
              <w:pStyle w:val="GOSTTablenorm"/>
              <w:widowControl w:val="0"/>
              <w:rPr>
                <w:szCs w:val="22"/>
              </w:rPr>
            </w:pPr>
            <w:r w:rsidRPr="00264D5D">
              <w:rPr>
                <w:szCs w:val="22"/>
              </w:rPr>
              <w:t>Указывается тип документа</w:t>
            </w:r>
          </w:p>
        </w:tc>
      </w:tr>
      <w:tr w:rsidR="00AD1F54" w:rsidRPr="00264D5D" w14:paraId="220FDEF4"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58237183" w14:textId="77777777" w:rsidR="00AD1F54" w:rsidRPr="00264D5D" w:rsidRDefault="00941227">
            <w:pPr>
              <w:pStyle w:val="GOSTTablenorm"/>
              <w:widowControl w:val="0"/>
              <w:rPr>
                <w:szCs w:val="22"/>
              </w:rPr>
            </w:pPr>
            <w:r w:rsidRPr="00264D5D">
              <w:rPr>
                <w:szCs w:val="22"/>
              </w:rPr>
              <w:t>Код бюджета</w:t>
            </w:r>
          </w:p>
        </w:tc>
        <w:tc>
          <w:tcPr>
            <w:tcW w:w="1701" w:type="dxa"/>
          </w:tcPr>
          <w:p w14:paraId="62C68F8C" w14:textId="77777777" w:rsidR="00AD1F54" w:rsidRPr="00264D5D" w:rsidRDefault="00941227">
            <w:pPr>
              <w:pStyle w:val="GOSTTablenorm"/>
              <w:widowControl w:val="0"/>
              <w:rPr>
                <w:color w:val="000000"/>
                <w:szCs w:val="22"/>
              </w:rPr>
            </w:pPr>
            <w:r w:rsidRPr="00264D5D">
              <w:rPr>
                <w:color w:val="000000"/>
                <w:szCs w:val="22"/>
              </w:rPr>
              <w:t>StmInfrmtn_BudgetCode</w:t>
            </w:r>
          </w:p>
        </w:tc>
        <w:tc>
          <w:tcPr>
            <w:tcW w:w="567" w:type="dxa"/>
          </w:tcPr>
          <w:p w14:paraId="767DC958" w14:textId="77777777" w:rsidR="00AD1F54" w:rsidRPr="00264D5D" w:rsidRDefault="00941227">
            <w:pPr>
              <w:pStyle w:val="GOSTTablenorm"/>
              <w:widowControl w:val="0"/>
              <w:jc w:val="center"/>
              <w:rPr>
                <w:szCs w:val="22"/>
              </w:rPr>
            </w:pPr>
            <w:r w:rsidRPr="00264D5D">
              <w:rPr>
                <w:szCs w:val="22"/>
              </w:rPr>
              <w:t>П</w:t>
            </w:r>
          </w:p>
        </w:tc>
        <w:tc>
          <w:tcPr>
            <w:tcW w:w="1134" w:type="dxa"/>
          </w:tcPr>
          <w:p w14:paraId="52A22CDA" w14:textId="77777777" w:rsidR="00AD1F54" w:rsidRPr="00264D5D" w:rsidRDefault="00941227">
            <w:pPr>
              <w:pStyle w:val="GOSTTablenorm"/>
              <w:widowControl w:val="0"/>
              <w:rPr>
                <w:szCs w:val="22"/>
              </w:rPr>
            </w:pPr>
            <w:r w:rsidRPr="00264D5D">
              <w:rPr>
                <w:szCs w:val="22"/>
              </w:rPr>
              <w:t>Т(8)</w:t>
            </w:r>
          </w:p>
        </w:tc>
        <w:tc>
          <w:tcPr>
            <w:tcW w:w="567" w:type="dxa"/>
          </w:tcPr>
          <w:p w14:paraId="329F9903" w14:textId="77777777" w:rsidR="00AD1F54" w:rsidRPr="00264D5D" w:rsidRDefault="00941227">
            <w:pPr>
              <w:pStyle w:val="GOSTTablenorm"/>
              <w:widowControl w:val="0"/>
              <w:jc w:val="center"/>
              <w:rPr>
                <w:szCs w:val="22"/>
              </w:rPr>
            </w:pPr>
            <w:r w:rsidRPr="00264D5D">
              <w:rPr>
                <w:szCs w:val="22"/>
              </w:rPr>
              <w:t>Н</w:t>
            </w:r>
          </w:p>
        </w:tc>
        <w:tc>
          <w:tcPr>
            <w:tcW w:w="3964" w:type="dxa"/>
          </w:tcPr>
          <w:p w14:paraId="2FBDDE8F" w14:textId="77777777" w:rsidR="00AD1F54" w:rsidRPr="00264D5D" w:rsidRDefault="003E1F19">
            <w:pPr>
              <w:pStyle w:val="GOSTTablenorm"/>
              <w:widowControl w:val="0"/>
              <w:rPr>
                <w:szCs w:val="22"/>
              </w:rPr>
            </w:pPr>
            <w:r w:rsidRPr="00264D5D">
              <w:rPr>
                <w:szCs w:val="22"/>
              </w:rPr>
              <w:t>Указывается код бюджета</w:t>
            </w:r>
          </w:p>
        </w:tc>
      </w:tr>
      <w:tr w:rsidR="00AD1F54" w:rsidRPr="00264D5D" w14:paraId="40804634"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55E909A9" w14:textId="77777777" w:rsidR="00AD1F54" w:rsidRPr="00264D5D" w:rsidRDefault="00941227">
            <w:pPr>
              <w:pStyle w:val="GOSTTablenorm"/>
              <w:widowControl w:val="0"/>
              <w:rPr>
                <w:szCs w:val="22"/>
              </w:rPr>
            </w:pPr>
            <w:r w:rsidRPr="00264D5D">
              <w:rPr>
                <w:szCs w:val="22"/>
              </w:rPr>
              <w:t>Номер лицевого счета клиента</w:t>
            </w:r>
          </w:p>
        </w:tc>
        <w:tc>
          <w:tcPr>
            <w:tcW w:w="1701" w:type="dxa"/>
          </w:tcPr>
          <w:p w14:paraId="68247C1F" w14:textId="77777777" w:rsidR="00AD1F54" w:rsidRPr="00264D5D" w:rsidRDefault="00941227">
            <w:pPr>
              <w:pStyle w:val="GOSTTablenorm"/>
              <w:widowControl w:val="0"/>
              <w:rPr>
                <w:color w:val="000000"/>
                <w:szCs w:val="22"/>
              </w:rPr>
            </w:pPr>
            <w:r w:rsidRPr="00264D5D">
              <w:rPr>
                <w:color w:val="000000"/>
                <w:szCs w:val="22"/>
              </w:rPr>
              <w:t>StmInfrmtn_AccNum_clnt</w:t>
            </w:r>
          </w:p>
        </w:tc>
        <w:tc>
          <w:tcPr>
            <w:tcW w:w="567" w:type="dxa"/>
          </w:tcPr>
          <w:p w14:paraId="5ABAA865" w14:textId="77777777" w:rsidR="00AD1F54" w:rsidRPr="00264D5D" w:rsidRDefault="00941227">
            <w:pPr>
              <w:pStyle w:val="GOSTTablenorm"/>
              <w:widowControl w:val="0"/>
              <w:jc w:val="center"/>
              <w:rPr>
                <w:szCs w:val="22"/>
              </w:rPr>
            </w:pPr>
            <w:r w:rsidRPr="00264D5D">
              <w:rPr>
                <w:szCs w:val="22"/>
              </w:rPr>
              <w:t>П</w:t>
            </w:r>
          </w:p>
        </w:tc>
        <w:tc>
          <w:tcPr>
            <w:tcW w:w="1134" w:type="dxa"/>
          </w:tcPr>
          <w:p w14:paraId="45DB238D" w14:textId="77777777" w:rsidR="00AD1F54" w:rsidRPr="00264D5D" w:rsidRDefault="00941227">
            <w:pPr>
              <w:pStyle w:val="GOSTTablenorm"/>
              <w:widowControl w:val="0"/>
              <w:rPr>
                <w:szCs w:val="22"/>
              </w:rPr>
            </w:pPr>
            <w:r w:rsidRPr="00264D5D">
              <w:rPr>
                <w:szCs w:val="22"/>
              </w:rPr>
              <w:t>Т(11)</w:t>
            </w:r>
          </w:p>
        </w:tc>
        <w:tc>
          <w:tcPr>
            <w:tcW w:w="567" w:type="dxa"/>
          </w:tcPr>
          <w:p w14:paraId="02EFB18B" w14:textId="77777777" w:rsidR="00AD1F54" w:rsidRPr="00264D5D" w:rsidRDefault="00941227">
            <w:pPr>
              <w:pStyle w:val="GOSTTablenorm"/>
              <w:widowControl w:val="0"/>
              <w:jc w:val="center"/>
              <w:rPr>
                <w:szCs w:val="22"/>
              </w:rPr>
            </w:pPr>
            <w:r w:rsidRPr="00264D5D">
              <w:rPr>
                <w:szCs w:val="22"/>
              </w:rPr>
              <w:t>Н</w:t>
            </w:r>
          </w:p>
        </w:tc>
        <w:tc>
          <w:tcPr>
            <w:tcW w:w="3964" w:type="dxa"/>
          </w:tcPr>
          <w:p w14:paraId="407AC264" w14:textId="77777777" w:rsidR="00AD1F54" w:rsidRPr="00264D5D" w:rsidRDefault="00941227">
            <w:pPr>
              <w:pStyle w:val="GOSTTablenorm"/>
              <w:widowControl w:val="0"/>
              <w:rPr>
                <w:szCs w:val="22"/>
              </w:rPr>
            </w:pPr>
            <w:r w:rsidRPr="00264D5D">
              <w:rPr>
                <w:szCs w:val="22"/>
              </w:rPr>
              <w:t>Указывает</w:t>
            </w:r>
            <w:r w:rsidR="003E1F19" w:rsidRPr="00264D5D">
              <w:rPr>
                <w:szCs w:val="22"/>
              </w:rPr>
              <w:t>ся номер лицевого счета клиента</w:t>
            </w:r>
          </w:p>
        </w:tc>
      </w:tr>
      <w:tr w:rsidR="00AD1F54" w:rsidRPr="00264D5D" w14:paraId="15B5B27A" w14:textId="77777777" w:rsidTr="00AD1F54">
        <w:trPr>
          <w:cnfStyle w:val="000000010000" w:firstRow="0" w:lastRow="0" w:firstColumn="0" w:lastColumn="0" w:oddVBand="0" w:evenVBand="0" w:oddHBand="0" w:evenHBand="1" w:firstRowFirstColumn="0" w:firstRowLastColumn="0" w:lastRowFirstColumn="0" w:lastRowLastColumn="0"/>
        </w:trPr>
        <w:tc>
          <w:tcPr>
            <w:tcW w:w="9634" w:type="dxa"/>
            <w:gridSpan w:val="6"/>
          </w:tcPr>
          <w:p w14:paraId="14121B80" w14:textId="77777777" w:rsidR="00AD1F54" w:rsidRPr="00264D5D" w:rsidRDefault="00941227">
            <w:pPr>
              <w:pStyle w:val="GOSTTablenorm"/>
              <w:widowControl w:val="0"/>
              <w:rPr>
                <w:szCs w:val="22"/>
              </w:rPr>
            </w:pPr>
            <w:r w:rsidRPr="00264D5D">
              <w:rPr>
                <w:b/>
                <w:szCs w:val="22"/>
              </w:rPr>
              <w:t>Подписи</w:t>
            </w:r>
          </w:p>
        </w:tc>
      </w:tr>
      <w:tr w:rsidR="00AD1F54" w:rsidRPr="00264D5D" w14:paraId="5F343883"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768CB5E7" w14:textId="77777777" w:rsidR="00AD1F54" w:rsidRPr="00264D5D" w:rsidRDefault="00941227">
            <w:pPr>
              <w:pStyle w:val="GOSTTablenorm"/>
              <w:widowControl w:val="0"/>
              <w:rPr>
                <w:i/>
                <w:szCs w:val="22"/>
              </w:rPr>
            </w:pPr>
            <w:r w:rsidRPr="00264D5D">
              <w:rPr>
                <w:szCs w:val="22"/>
              </w:rPr>
              <w:t>Ответственный исполнитель</w:t>
            </w:r>
          </w:p>
        </w:tc>
        <w:tc>
          <w:tcPr>
            <w:tcW w:w="1701" w:type="dxa"/>
          </w:tcPr>
          <w:p w14:paraId="0F2B58FB" w14:textId="77777777" w:rsidR="00AD1F54" w:rsidRPr="00264D5D" w:rsidRDefault="00941227">
            <w:pPr>
              <w:pStyle w:val="GOSTTablenorm"/>
              <w:widowControl w:val="0"/>
              <w:rPr>
                <w:color w:val="000000"/>
                <w:szCs w:val="22"/>
              </w:rPr>
            </w:pPr>
            <w:r w:rsidRPr="00264D5D">
              <w:rPr>
                <w:szCs w:val="22"/>
              </w:rPr>
              <w:t>SGN_SgnExecORFK</w:t>
            </w:r>
          </w:p>
        </w:tc>
        <w:tc>
          <w:tcPr>
            <w:tcW w:w="567" w:type="dxa"/>
          </w:tcPr>
          <w:p w14:paraId="0D01449E" w14:textId="77777777" w:rsidR="00AD1F54" w:rsidRPr="00264D5D" w:rsidRDefault="00941227">
            <w:pPr>
              <w:pStyle w:val="GOSTTablenorm"/>
              <w:widowControl w:val="0"/>
              <w:jc w:val="center"/>
              <w:rPr>
                <w:szCs w:val="22"/>
              </w:rPr>
            </w:pPr>
            <w:r w:rsidRPr="00264D5D">
              <w:rPr>
                <w:szCs w:val="22"/>
              </w:rPr>
              <w:t>С</w:t>
            </w:r>
          </w:p>
        </w:tc>
        <w:tc>
          <w:tcPr>
            <w:tcW w:w="1134" w:type="dxa"/>
          </w:tcPr>
          <w:p w14:paraId="04B2140E" w14:textId="77777777" w:rsidR="00AD1F54" w:rsidRPr="00264D5D" w:rsidRDefault="00941227">
            <w:pPr>
              <w:pStyle w:val="GOSTTablenorm"/>
              <w:widowControl w:val="0"/>
              <w:rPr>
                <w:szCs w:val="22"/>
              </w:rPr>
            </w:pPr>
            <w:r w:rsidRPr="00264D5D">
              <w:rPr>
                <w:szCs w:val="22"/>
              </w:rPr>
              <w:t>tSGNNmPsPhDt</w:t>
            </w:r>
          </w:p>
        </w:tc>
        <w:tc>
          <w:tcPr>
            <w:tcW w:w="567" w:type="dxa"/>
          </w:tcPr>
          <w:p w14:paraId="3EB80878" w14:textId="77777777" w:rsidR="00AD1F54" w:rsidRPr="00264D5D" w:rsidRDefault="00941227">
            <w:pPr>
              <w:pStyle w:val="GOSTTablenorm"/>
              <w:widowControl w:val="0"/>
              <w:jc w:val="center"/>
              <w:rPr>
                <w:szCs w:val="22"/>
              </w:rPr>
            </w:pPr>
            <w:r w:rsidRPr="00264D5D">
              <w:rPr>
                <w:szCs w:val="22"/>
              </w:rPr>
              <w:t>Н</w:t>
            </w:r>
          </w:p>
        </w:tc>
        <w:tc>
          <w:tcPr>
            <w:tcW w:w="3964" w:type="dxa"/>
          </w:tcPr>
          <w:p w14:paraId="3529C3F4" w14:textId="77777777" w:rsidR="00AD1F54" w:rsidRPr="00264D5D" w:rsidRDefault="00941227">
            <w:pPr>
              <w:pStyle w:val="GOSTTablenorm"/>
              <w:widowControl w:val="0"/>
              <w:rPr>
                <w:szCs w:val="22"/>
              </w:rPr>
            </w:pPr>
            <w:r w:rsidRPr="00264D5D">
              <w:t>Блок заполняется и является обязательным только при передаче из ПБС (ПФХД) – ТОФК (ПУР ЭБ).</w:t>
            </w:r>
          </w:p>
          <w:p w14:paraId="1E4F31BF" w14:textId="501F6FB0" w:rsidR="00AD1F54" w:rsidRPr="00264D5D" w:rsidRDefault="00941227">
            <w:pPr>
              <w:pStyle w:val="GOSTTablenorm"/>
              <w:widowControl w:val="0"/>
              <w:rPr>
                <w:szCs w:val="22"/>
              </w:rPr>
            </w:pPr>
            <w:r w:rsidRPr="00264D5D">
              <w:rPr>
                <w:szCs w:val="22"/>
              </w:rPr>
              <w:t xml:space="preserve">Состав элемента представлен в таблице </w:t>
            </w:r>
            <w:r w:rsidRPr="00264D5D">
              <w:rPr>
                <w:szCs w:val="22"/>
              </w:rPr>
              <w:fldChar w:fldCharType="begin"/>
            </w:r>
            <w:r w:rsidRPr="00264D5D">
              <w:rPr>
                <w:szCs w:val="22"/>
              </w:rPr>
              <w:instrText xml:space="preserve"> REF _Ref52366529 \h  \* MERGEFORMAT </w:instrText>
            </w:r>
            <w:r w:rsidRPr="00264D5D">
              <w:rPr>
                <w:szCs w:val="22"/>
              </w:rPr>
            </w:r>
            <w:r w:rsidRPr="00264D5D">
              <w:rPr>
                <w:szCs w:val="22"/>
              </w:rPr>
              <w:fldChar w:fldCharType="separate"/>
            </w:r>
            <w:r w:rsidR="008D797C">
              <w:t>329</w:t>
            </w:r>
            <w:r w:rsidRPr="00264D5D">
              <w:rPr>
                <w:szCs w:val="22"/>
              </w:rPr>
              <w:fldChar w:fldCharType="end"/>
            </w:r>
          </w:p>
        </w:tc>
      </w:tr>
      <w:tr w:rsidR="00AD1F54" w:rsidRPr="00264D5D" w14:paraId="16F5C7EC"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168E868" w14:textId="77777777" w:rsidR="00AD1F54" w:rsidRPr="00264D5D" w:rsidRDefault="00941227">
            <w:pPr>
              <w:pStyle w:val="GOSTTablenorm"/>
              <w:widowControl w:val="0"/>
              <w:rPr>
                <w:szCs w:val="22"/>
              </w:rPr>
            </w:pPr>
            <w:r w:rsidRPr="00264D5D">
              <w:rPr>
                <w:szCs w:val="22"/>
              </w:rPr>
              <w:t>Руководитель (уполномоченное им лицо)</w:t>
            </w:r>
          </w:p>
        </w:tc>
        <w:tc>
          <w:tcPr>
            <w:tcW w:w="1701" w:type="dxa"/>
          </w:tcPr>
          <w:p w14:paraId="60A8D06B" w14:textId="77777777" w:rsidR="00AD1F54" w:rsidRPr="00264D5D" w:rsidRDefault="00941227">
            <w:pPr>
              <w:pStyle w:val="GOSTTablenorm"/>
              <w:widowControl w:val="0"/>
              <w:rPr>
                <w:szCs w:val="22"/>
              </w:rPr>
            </w:pPr>
            <w:r w:rsidRPr="00264D5D">
              <w:rPr>
                <w:szCs w:val="22"/>
              </w:rPr>
              <w:t>SGN_Hr</w:t>
            </w:r>
          </w:p>
        </w:tc>
        <w:tc>
          <w:tcPr>
            <w:tcW w:w="567" w:type="dxa"/>
          </w:tcPr>
          <w:p w14:paraId="475095C7" w14:textId="77777777" w:rsidR="00AD1F54" w:rsidRPr="00264D5D" w:rsidRDefault="00941227">
            <w:pPr>
              <w:pStyle w:val="GOSTTablenorm"/>
              <w:widowControl w:val="0"/>
              <w:jc w:val="center"/>
              <w:rPr>
                <w:szCs w:val="22"/>
              </w:rPr>
            </w:pPr>
            <w:r w:rsidRPr="00264D5D">
              <w:rPr>
                <w:szCs w:val="22"/>
              </w:rPr>
              <w:t>С</w:t>
            </w:r>
          </w:p>
        </w:tc>
        <w:tc>
          <w:tcPr>
            <w:tcW w:w="1134" w:type="dxa"/>
          </w:tcPr>
          <w:p w14:paraId="798EC543" w14:textId="77777777" w:rsidR="00AD1F54" w:rsidRPr="00264D5D" w:rsidRDefault="00941227">
            <w:pPr>
              <w:pStyle w:val="GOSTTablenorm"/>
              <w:widowControl w:val="0"/>
              <w:rPr>
                <w:szCs w:val="22"/>
              </w:rPr>
            </w:pPr>
            <w:r w:rsidRPr="00264D5D">
              <w:rPr>
                <w:szCs w:val="22"/>
              </w:rPr>
              <w:t>tSGNNmPsDt</w:t>
            </w:r>
          </w:p>
        </w:tc>
        <w:tc>
          <w:tcPr>
            <w:tcW w:w="567" w:type="dxa"/>
          </w:tcPr>
          <w:p w14:paraId="7532909A" w14:textId="77777777" w:rsidR="00AD1F54" w:rsidRPr="00264D5D" w:rsidRDefault="00941227">
            <w:pPr>
              <w:pStyle w:val="GOSTTablenorm"/>
              <w:widowControl w:val="0"/>
              <w:jc w:val="center"/>
              <w:rPr>
                <w:szCs w:val="22"/>
              </w:rPr>
            </w:pPr>
            <w:r w:rsidRPr="00264D5D">
              <w:rPr>
                <w:szCs w:val="22"/>
              </w:rPr>
              <w:t>Н</w:t>
            </w:r>
          </w:p>
        </w:tc>
        <w:tc>
          <w:tcPr>
            <w:tcW w:w="3964" w:type="dxa"/>
          </w:tcPr>
          <w:p w14:paraId="2FE24820" w14:textId="597BA27E" w:rsidR="00AD1F54" w:rsidRPr="00264D5D" w:rsidRDefault="00941227">
            <w:pPr>
              <w:pStyle w:val="GOSTTablenorm"/>
              <w:widowControl w:val="0"/>
              <w:rPr>
                <w:szCs w:val="22"/>
              </w:rPr>
            </w:pPr>
            <w:r w:rsidRPr="00264D5D">
              <w:rPr>
                <w:szCs w:val="22"/>
              </w:rPr>
              <w:t xml:space="preserve">Состав элемента представлен в таблице </w:t>
            </w:r>
            <w:r w:rsidRPr="00264D5D">
              <w:rPr>
                <w:szCs w:val="22"/>
              </w:rPr>
              <w:fldChar w:fldCharType="begin"/>
            </w:r>
            <w:r w:rsidRPr="00264D5D">
              <w:rPr>
                <w:szCs w:val="22"/>
              </w:rPr>
              <w:instrText xml:space="preserve"> REF _Ref52366628 \h  \* MERGEFORMAT </w:instrText>
            </w:r>
            <w:r w:rsidRPr="00264D5D">
              <w:rPr>
                <w:szCs w:val="22"/>
              </w:rPr>
            </w:r>
            <w:r w:rsidRPr="00264D5D">
              <w:rPr>
                <w:szCs w:val="22"/>
              </w:rPr>
              <w:fldChar w:fldCharType="separate"/>
            </w:r>
            <w:r w:rsidR="008D797C">
              <w:t>330</w:t>
            </w:r>
            <w:r w:rsidRPr="00264D5D">
              <w:rPr>
                <w:szCs w:val="22"/>
              </w:rPr>
              <w:fldChar w:fldCharType="end"/>
            </w:r>
          </w:p>
        </w:tc>
      </w:tr>
      <w:tr w:rsidR="00AD1F54" w:rsidRPr="00264D5D" w14:paraId="351D7C1A"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6E036978" w14:textId="77777777" w:rsidR="00AD1F54" w:rsidRPr="00264D5D" w:rsidRDefault="00941227">
            <w:pPr>
              <w:pStyle w:val="GOSTTablenorm"/>
              <w:widowControl w:val="0"/>
              <w:rPr>
                <w:szCs w:val="22"/>
              </w:rPr>
            </w:pPr>
            <w:r w:rsidRPr="00264D5D">
              <w:rPr>
                <w:szCs w:val="22"/>
              </w:rPr>
              <w:t>Главный бухгалтер (уполномоченное лицо)</w:t>
            </w:r>
          </w:p>
        </w:tc>
        <w:tc>
          <w:tcPr>
            <w:tcW w:w="1701" w:type="dxa"/>
          </w:tcPr>
          <w:p w14:paraId="13F21E67" w14:textId="77777777" w:rsidR="00AD1F54" w:rsidRPr="00264D5D" w:rsidRDefault="00941227">
            <w:pPr>
              <w:pStyle w:val="GOSTTablenorm"/>
              <w:widowControl w:val="0"/>
              <w:rPr>
                <w:szCs w:val="22"/>
              </w:rPr>
            </w:pPr>
            <w:r w:rsidRPr="00264D5D">
              <w:rPr>
                <w:szCs w:val="22"/>
              </w:rPr>
              <w:t>SGN_Acc</w:t>
            </w:r>
          </w:p>
        </w:tc>
        <w:tc>
          <w:tcPr>
            <w:tcW w:w="567" w:type="dxa"/>
          </w:tcPr>
          <w:p w14:paraId="4A8507FF" w14:textId="77777777" w:rsidR="00AD1F54" w:rsidRPr="00264D5D" w:rsidRDefault="00941227">
            <w:pPr>
              <w:pStyle w:val="GOSTTablenorm"/>
              <w:widowControl w:val="0"/>
              <w:jc w:val="center"/>
              <w:rPr>
                <w:szCs w:val="22"/>
              </w:rPr>
            </w:pPr>
            <w:r w:rsidRPr="00264D5D">
              <w:rPr>
                <w:szCs w:val="22"/>
              </w:rPr>
              <w:t>С</w:t>
            </w:r>
          </w:p>
        </w:tc>
        <w:tc>
          <w:tcPr>
            <w:tcW w:w="1134" w:type="dxa"/>
          </w:tcPr>
          <w:p w14:paraId="6C908C6A" w14:textId="77777777" w:rsidR="00AD1F54" w:rsidRPr="00264D5D" w:rsidRDefault="00941227">
            <w:pPr>
              <w:pStyle w:val="GOSTTablenorm"/>
              <w:widowControl w:val="0"/>
              <w:rPr>
                <w:szCs w:val="22"/>
                <w:lang w:val="en-US"/>
              </w:rPr>
            </w:pPr>
            <w:r w:rsidRPr="00264D5D">
              <w:rPr>
                <w:szCs w:val="22"/>
              </w:rPr>
              <w:t>tSGNNmPs</w:t>
            </w:r>
            <w:r w:rsidRPr="00264D5D">
              <w:rPr>
                <w:szCs w:val="22"/>
                <w:lang w:val="en-US"/>
              </w:rPr>
              <w:t>1</w:t>
            </w:r>
          </w:p>
        </w:tc>
        <w:tc>
          <w:tcPr>
            <w:tcW w:w="567" w:type="dxa"/>
          </w:tcPr>
          <w:p w14:paraId="0067A2FE" w14:textId="77777777" w:rsidR="00AD1F54" w:rsidRPr="00264D5D" w:rsidRDefault="00941227">
            <w:pPr>
              <w:pStyle w:val="GOSTTablenorm"/>
              <w:widowControl w:val="0"/>
              <w:jc w:val="center"/>
              <w:rPr>
                <w:szCs w:val="22"/>
              </w:rPr>
            </w:pPr>
            <w:r w:rsidRPr="00264D5D">
              <w:rPr>
                <w:szCs w:val="22"/>
              </w:rPr>
              <w:t>Н</w:t>
            </w:r>
          </w:p>
        </w:tc>
        <w:tc>
          <w:tcPr>
            <w:tcW w:w="3964" w:type="dxa"/>
          </w:tcPr>
          <w:p w14:paraId="22E48DB7" w14:textId="24711F0B" w:rsidR="00AD1F54" w:rsidRPr="00264D5D" w:rsidRDefault="00941227">
            <w:pPr>
              <w:pStyle w:val="GOSTTablenorm"/>
              <w:widowControl w:val="0"/>
              <w:rPr>
                <w:szCs w:val="22"/>
              </w:rPr>
            </w:pPr>
            <w:r w:rsidRPr="00264D5D">
              <w:rPr>
                <w:szCs w:val="22"/>
              </w:rPr>
              <w:t xml:space="preserve">Состав элемента представлен в таблице </w:t>
            </w:r>
            <w:r w:rsidRPr="00264D5D">
              <w:rPr>
                <w:szCs w:val="22"/>
              </w:rPr>
              <w:fldChar w:fldCharType="begin"/>
            </w:r>
            <w:r w:rsidRPr="00264D5D">
              <w:rPr>
                <w:szCs w:val="22"/>
              </w:rPr>
              <w:instrText xml:space="preserve"> REF _Ref52366651 \h  \* MERGEFORMAT </w:instrText>
            </w:r>
            <w:r w:rsidRPr="00264D5D">
              <w:rPr>
                <w:szCs w:val="22"/>
              </w:rPr>
            </w:r>
            <w:r w:rsidRPr="00264D5D">
              <w:rPr>
                <w:szCs w:val="22"/>
              </w:rPr>
              <w:fldChar w:fldCharType="separate"/>
            </w:r>
            <w:r w:rsidR="008D797C">
              <w:t>331</w:t>
            </w:r>
            <w:r w:rsidRPr="00264D5D">
              <w:rPr>
                <w:szCs w:val="22"/>
              </w:rPr>
              <w:fldChar w:fldCharType="end"/>
            </w:r>
          </w:p>
        </w:tc>
      </w:tr>
      <w:tr w:rsidR="00AD1F54" w:rsidRPr="00264D5D" w14:paraId="657F2C20" w14:textId="77777777" w:rsidTr="00AD1F54">
        <w:trPr>
          <w:cnfStyle w:val="000000010000" w:firstRow="0" w:lastRow="0" w:firstColumn="0" w:lastColumn="0" w:oddVBand="0" w:evenVBand="0" w:oddHBand="0" w:evenHBand="1" w:firstRowFirstColumn="0" w:firstRowLastColumn="0" w:lastRowFirstColumn="0" w:lastRowLastColumn="0"/>
        </w:trPr>
        <w:tc>
          <w:tcPr>
            <w:tcW w:w="9634" w:type="dxa"/>
            <w:gridSpan w:val="6"/>
          </w:tcPr>
          <w:p w14:paraId="472EB268" w14:textId="77777777" w:rsidR="00AD1F54" w:rsidRPr="00264D5D" w:rsidRDefault="00941227">
            <w:pPr>
              <w:pStyle w:val="GOSTTablenorm"/>
              <w:widowControl w:val="0"/>
              <w:rPr>
                <w:szCs w:val="22"/>
              </w:rPr>
            </w:pPr>
            <w:r w:rsidRPr="00264D5D">
              <w:rPr>
                <w:b/>
                <w:szCs w:val="22"/>
              </w:rPr>
              <w:t>ЭП</w:t>
            </w:r>
          </w:p>
        </w:tc>
      </w:tr>
      <w:tr w:rsidR="00AD1F54" w:rsidRPr="00264D5D" w14:paraId="0EAE6CA3"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5ACCBA7D" w14:textId="77777777" w:rsidR="00AD1F54" w:rsidRPr="00264D5D" w:rsidRDefault="00941227">
            <w:pPr>
              <w:pStyle w:val="GOSTTablenorm"/>
              <w:widowControl w:val="0"/>
              <w:rPr>
                <w:i/>
                <w:szCs w:val="22"/>
              </w:rPr>
            </w:pPr>
            <w:r w:rsidRPr="00264D5D">
              <w:rPr>
                <w:szCs w:val="22"/>
              </w:rPr>
              <w:lastRenderedPageBreak/>
              <w:t>Электронная подпись</w:t>
            </w:r>
          </w:p>
        </w:tc>
        <w:tc>
          <w:tcPr>
            <w:tcW w:w="1701" w:type="dxa"/>
          </w:tcPr>
          <w:p w14:paraId="7B1B38B4" w14:textId="77777777" w:rsidR="00AD1F54" w:rsidRPr="00264D5D" w:rsidRDefault="00941227">
            <w:pPr>
              <w:pStyle w:val="GOSTTablenorm"/>
              <w:widowControl w:val="0"/>
              <w:rPr>
                <w:szCs w:val="22"/>
              </w:rPr>
            </w:pPr>
            <w:r w:rsidRPr="00264D5D">
              <w:rPr>
                <w:szCs w:val="22"/>
              </w:rPr>
              <w:t>Signature</w:t>
            </w:r>
          </w:p>
        </w:tc>
        <w:tc>
          <w:tcPr>
            <w:tcW w:w="567" w:type="dxa"/>
          </w:tcPr>
          <w:p w14:paraId="5E5B55CA" w14:textId="77777777" w:rsidR="00AD1F54" w:rsidRPr="00264D5D" w:rsidRDefault="00941227">
            <w:pPr>
              <w:pStyle w:val="GOSTTablenorm"/>
              <w:widowControl w:val="0"/>
              <w:jc w:val="center"/>
              <w:rPr>
                <w:szCs w:val="22"/>
              </w:rPr>
            </w:pPr>
            <w:r w:rsidRPr="00264D5D">
              <w:rPr>
                <w:szCs w:val="22"/>
              </w:rPr>
              <w:t>С</w:t>
            </w:r>
          </w:p>
        </w:tc>
        <w:tc>
          <w:tcPr>
            <w:tcW w:w="1134" w:type="dxa"/>
          </w:tcPr>
          <w:p w14:paraId="70F6FEB8" w14:textId="77777777" w:rsidR="00AD1F54" w:rsidRPr="00264D5D" w:rsidRDefault="00941227">
            <w:pPr>
              <w:pStyle w:val="GOSTTablenorm"/>
              <w:widowControl w:val="0"/>
              <w:rPr>
                <w:szCs w:val="22"/>
              </w:rPr>
            </w:pPr>
            <w:r w:rsidRPr="00264D5D">
              <w:rPr>
                <w:rFonts w:eastAsia="Calibri"/>
                <w:szCs w:val="22"/>
              </w:rPr>
              <w:t>SignatureType</w:t>
            </w:r>
          </w:p>
        </w:tc>
        <w:tc>
          <w:tcPr>
            <w:tcW w:w="567" w:type="dxa"/>
          </w:tcPr>
          <w:p w14:paraId="4E96DEF7" w14:textId="77777777" w:rsidR="00AD1F54" w:rsidRPr="00264D5D" w:rsidRDefault="00941227">
            <w:pPr>
              <w:pStyle w:val="GOSTTablenorm"/>
              <w:widowControl w:val="0"/>
              <w:jc w:val="center"/>
              <w:rPr>
                <w:szCs w:val="22"/>
              </w:rPr>
            </w:pPr>
            <w:r w:rsidRPr="00264D5D">
              <w:rPr>
                <w:szCs w:val="22"/>
              </w:rPr>
              <w:t>НМ</w:t>
            </w:r>
          </w:p>
        </w:tc>
        <w:tc>
          <w:tcPr>
            <w:tcW w:w="3964" w:type="dxa"/>
          </w:tcPr>
          <w:p w14:paraId="0CF488F8" w14:textId="77777777" w:rsidR="00AD1F54" w:rsidRPr="00264D5D" w:rsidRDefault="00941227">
            <w:pPr>
              <w:pStyle w:val="GOSTTablenorm"/>
              <w:widowControl w:val="0"/>
              <w:rPr>
                <w:szCs w:val="22"/>
              </w:rPr>
            </w:pPr>
            <w:r w:rsidRPr="00264D5D">
              <w:rPr>
                <w:szCs w:val="22"/>
              </w:rPr>
              <w:t>Блок подписи в формате XAdes. Указывается как референс согласно формату подписи XAdes.</w:t>
            </w:r>
          </w:p>
          <w:p w14:paraId="1C374067" w14:textId="77777777" w:rsidR="00AD1F54" w:rsidRPr="00264D5D" w:rsidRDefault="00941227">
            <w:pPr>
              <w:pStyle w:val="GOSTTablenorm"/>
              <w:widowControl w:val="0"/>
              <w:rPr>
                <w:szCs w:val="22"/>
              </w:rPr>
            </w:pPr>
            <w:r w:rsidRPr="00264D5D">
              <w:rPr>
                <w:szCs w:val="22"/>
              </w:rPr>
              <w:t>Обязателен для заполнения при сервисн</w:t>
            </w:r>
            <w:r w:rsidR="003E1F19" w:rsidRPr="00264D5D">
              <w:rPr>
                <w:szCs w:val="22"/>
              </w:rPr>
              <w:t>ом взаимодействии ПФХД и ПУР ЭБ</w:t>
            </w:r>
          </w:p>
        </w:tc>
      </w:tr>
    </w:tbl>
    <w:p w14:paraId="548A6C0D" w14:textId="77777777" w:rsidR="00AD1F54" w:rsidRPr="00264D5D" w:rsidRDefault="00941227">
      <w:pPr>
        <w:pStyle w:val="31"/>
      </w:pPr>
      <w:r w:rsidRPr="00264D5D">
        <w:t xml:space="preserve"> </w:t>
      </w:r>
      <w:bookmarkStart w:id="3326" w:name="_Toc219309812"/>
      <w:r w:rsidRPr="00264D5D">
        <w:t>Описание комплексного типа «tEDRowRequest»</w:t>
      </w:r>
      <w:bookmarkEnd w:id="3326"/>
    </w:p>
    <w:p w14:paraId="5D600976" w14:textId="77777777" w:rsidR="00AD1F54" w:rsidRPr="00264D5D" w:rsidRDefault="00941227">
      <w:pPr>
        <w:pStyle w:val="GOSTNormal"/>
        <w:widowControl w:val="0"/>
        <w:rPr>
          <w:szCs w:val="24"/>
        </w:rPr>
      </w:pPr>
      <w:r w:rsidRPr="00264D5D">
        <w:rPr>
          <w:szCs w:val="24"/>
        </w:rPr>
        <w:t>Описание комплексного типа «tEDRowRequest» блока «</w:t>
      </w:r>
      <w:r w:rsidR="002443B7" w:rsidRPr="00264D5D">
        <w:rPr>
          <w:szCs w:val="22"/>
        </w:rPr>
        <w:t>Список уточняемых реквизитов в ранее направленном распоряжении</w:t>
      </w:r>
      <w:r w:rsidRPr="00264D5D">
        <w:rPr>
          <w:szCs w:val="24"/>
        </w:rPr>
        <w:t>».</w:t>
      </w:r>
    </w:p>
    <w:p w14:paraId="4857CC6F" w14:textId="305B8297"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3327" w:name="_Ref52366407"/>
      <w:bookmarkStart w:id="3328" w:name="_Toc219309357"/>
      <w:r w:rsidR="008D797C">
        <w:rPr>
          <w:noProof/>
        </w:rPr>
        <w:t>327</w:t>
      </w:r>
      <w:bookmarkEnd w:id="3327"/>
      <w:r w:rsidRPr="00264D5D">
        <w:fldChar w:fldCharType="end"/>
      </w:r>
      <w:r w:rsidRPr="00264D5D">
        <w:t xml:space="preserve"> – Описание комплексного типа «tEDRowRequest»</w:t>
      </w:r>
      <w:bookmarkEnd w:id="3328"/>
    </w:p>
    <w:tbl>
      <w:tblPr>
        <w:tblStyle w:val="GOSTTable"/>
        <w:tblW w:w="9633" w:type="dxa"/>
        <w:tblLayout w:type="fixed"/>
        <w:tblLook w:val="04A0" w:firstRow="1" w:lastRow="0" w:firstColumn="1" w:lastColumn="0" w:noHBand="0" w:noVBand="1"/>
      </w:tblPr>
      <w:tblGrid>
        <w:gridCol w:w="1701"/>
        <w:gridCol w:w="1701"/>
        <w:gridCol w:w="567"/>
        <w:gridCol w:w="1134"/>
        <w:gridCol w:w="567"/>
        <w:gridCol w:w="3963"/>
      </w:tblGrid>
      <w:tr w:rsidR="00AD1F54" w:rsidRPr="00264D5D" w14:paraId="3D146C90"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6B4A8C9F" w14:textId="77777777" w:rsidR="00AD1F54" w:rsidRPr="00264D5D" w:rsidRDefault="00941227">
            <w:pPr>
              <w:pStyle w:val="ASFKTableHead"/>
            </w:pPr>
            <w:r w:rsidRPr="00264D5D">
              <w:t>Наименование элемента</w:t>
            </w:r>
          </w:p>
        </w:tc>
        <w:tc>
          <w:tcPr>
            <w:tcW w:w="1701" w:type="dxa"/>
          </w:tcPr>
          <w:p w14:paraId="2601A8D9" w14:textId="77777777" w:rsidR="00AD1F54" w:rsidRPr="00264D5D" w:rsidRDefault="00941227">
            <w:pPr>
              <w:pStyle w:val="ASFKTableHead"/>
            </w:pPr>
            <w:r w:rsidRPr="00264D5D">
              <w:t>Сокращенное наименование (код) элемента</w:t>
            </w:r>
          </w:p>
        </w:tc>
        <w:tc>
          <w:tcPr>
            <w:tcW w:w="567" w:type="dxa"/>
          </w:tcPr>
          <w:p w14:paraId="28B754B1" w14:textId="77777777" w:rsidR="00AD1F54" w:rsidRPr="00264D5D" w:rsidRDefault="00941227">
            <w:pPr>
              <w:pStyle w:val="ASFKTableHead"/>
            </w:pPr>
            <w:r w:rsidRPr="00264D5D">
              <w:t>Тип</w:t>
            </w:r>
          </w:p>
        </w:tc>
        <w:tc>
          <w:tcPr>
            <w:tcW w:w="1134" w:type="dxa"/>
          </w:tcPr>
          <w:p w14:paraId="1C38C532" w14:textId="77777777" w:rsidR="00AD1F54" w:rsidRPr="00264D5D" w:rsidRDefault="00941227">
            <w:pPr>
              <w:pStyle w:val="ASFKTableHead"/>
            </w:pPr>
            <w:r w:rsidRPr="00264D5D">
              <w:t>Формат элемента</w:t>
            </w:r>
          </w:p>
        </w:tc>
        <w:tc>
          <w:tcPr>
            <w:tcW w:w="567" w:type="dxa"/>
          </w:tcPr>
          <w:p w14:paraId="48F1E029" w14:textId="77777777" w:rsidR="00AD1F54" w:rsidRPr="00264D5D" w:rsidRDefault="00941227">
            <w:pPr>
              <w:pStyle w:val="ASFKTableHead"/>
            </w:pPr>
            <w:r w:rsidRPr="00264D5D">
              <w:t>Обязательность</w:t>
            </w:r>
          </w:p>
        </w:tc>
        <w:tc>
          <w:tcPr>
            <w:tcW w:w="3963" w:type="dxa"/>
          </w:tcPr>
          <w:p w14:paraId="02316C4D" w14:textId="77777777" w:rsidR="00AD1F54" w:rsidRPr="00264D5D" w:rsidRDefault="00941227">
            <w:pPr>
              <w:pStyle w:val="ASFKTableHead"/>
            </w:pPr>
            <w:r w:rsidRPr="00264D5D">
              <w:t>Дополнительная информация</w:t>
            </w:r>
          </w:p>
        </w:tc>
      </w:tr>
      <w:tr w:rsidR="00AD1F54" w:rsidRPr="00264D5D" w14:paraId="36B2AE58"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539598B2" w14:textId="77777777" w:rsidR="00AD1F54" w:rsidRPr="00264D5D" w:rsidRDefault="00941227">
            <w:pPr>
              <w:pStyle w:val="GOSTTablenorm"/>
              <w:widowControl w:val="0"/>
            </w:pPr>
            <w:r w:rsidRPr="00264D5D">
              <w:t>tEDRowRequest</w:t>
            </w:r>
          </w:p>
        </w:tc>
        <w:tc>
          <w:tcPr>
            <w:tcW w:w="1701" w:type="dxa"/>
          </w:tcPr>
          <w:p w14:paraId="2D0FC0FA" w14:textId="77777777" w:rsidR="00AD1F54" w:rsidRPr="00264D5D" w:rsidRDefault="00941227">
            <w:pPr>
              <w:pStyle w:val="GOSTTablenorm"/>
              <w:widowControl w:val="0"/>
            </w:pPr>
            <w:r w:rsidRPr="00264D5D">
              <w:t>EDRowRequest_ITEM</w:t>
            </w:r>
          </w:p>
        </w:tc>
        <w:tc>
          <w:tcPr>
            <w:tcW w:w="567" w:type="dxa"/>
          </w:tcPr>
          <w:p w14:paraId="506B0844" w14:textId="77777777" w:rsidR="00AD1F54" w:rsidRPr="00264D5D" w:rsidRDefault="00941227">
            <w:pPr>
              <w:pStyle w:val="GOSTTablenorm"/>
              <w:widowControl w:val="0"/>
              <w:jc w:val="center"/>
            </w:pPr>
            <w:r w:rsidRPr="00264D5D">
              <w:t>С</w:t>
            </w:r>
          </w:p>
        </w:tc>
        <w:tc>
          <w:tcPr>
            <w:tcW w:w="1134" w:type="dxa"/>
          </w:tcPr>
          <w:p w14:paraId="3529038D" w14:textId="77777777" w:rsidR="00AD1F54" w:rsidRPr="00264D5D" w:rsidRDefault="00941227">
            <w:pPr>
              <w:pStyle w:val="GOSTTablenorm"/>
              <w:widowControl w:val="0"/>
            </w:pPr>
            <w:r w:rsidRPr="00264D5D">
              <w:t>tEDRowRequest_ITEM</w:t>
            </w:r>
          </w:p>
        </w:tc>
        <w:tc>
          <w:tcPr>
            <w:tcW w:w="567" w:type="dxa"/>
          </w:tcPr>
          <w:p w14:paraId="017A12D1" w14:textId="77777777" w:rsidR="00AD1F54" w:rsidRPr="00264D5D" w:rsidRDefault="00941227">
            <w:pPr>
              <w:pStyle w:val="GOSTTablenorm"/>
              <w:widowControl w:val="0"/>
              <w:jc w:val="center"/>
            </w:pPr>
            <w:r w:rsidRPr="00264D5D">
              <w:t>ОМ</w:t>
            </w:r>
          </w:p>
        </w:tc>
        <w:tc>
          <w:tcPr>
            <w:tcW w:w="3963" w:type="dxa"/>
          </w:tcPr>
          <w:p w14:paraId="43308031" w14:textId="4C8BBE07" w:rsidR="00AD1F54" w:rsidRPr="00264D5D" w:rsidRDefault="00941227">
            <w:pPr>
              <w:pStyle w:val="GOSTTablenorm"/>
              <w:widowControl w:val="0"/>
            </w:pPr>
            <w:r w:rsidRPr="00264D5D">
              <w:t xml:space="preserve">Состав элемента представлен в таблице </w:t>
            </w:r>
            <w:r w:rsidRPr="00264D5D">
              <w:fldChar w:fldCharType="begin"/>
            </w:r>
            <w:r w:rsidRPr="00264D5D">
              <w:instrText xml:space="preserve"> REF _Ref86436198 \h  \* MERGEFORMAT </w:instrText>
            </w:r>
            <w:r w:rsidRPr="00264D5D">
              <w:fldChar w:fldCharType="separate"/>
            </w:r>
            <w:r w:rsidR="008D797C">
              <w:t>328</w:t>
            </w:r>
            <w:r w:rsidRPr="00264D5D">
              <w:fldChar w:fldCharType="end"/>
            </w:r>
          </w:p>
        </w:tc>
      </w:tr>
    </w:tbl>
    <w:p w14:paraId="7FD74367" w14:textId="77777777" w:rsidR="00AD1F54" w:rsidRPr="00264D5D" w:rsidRDefault="00941227">
      <w:pPr>
        <w:pStyle w:val="31"/>
      </w:pPr>
      <w:r w:rsidRPr="00264D5D">
        <w:t xml:space="preserve"> </w:t>
      </w:r>
      <w:bookmarkStart w:id="3329" w:name="_Toc219309813"/>
      <w:r w:rsidRPr="00264D5D">
        <w:t>Описание комплексного типа «tEDRowRequest_ITEM»</w:t>
      </w:r>
      <w:bookmarkEnd w:id="3329"/>
    </w:p>
    <w:p w14:paraId="0041B3AB" w14:textId="77777777" w:rsidR="00AD1F54" w:rsidRPr="00264D5D" w:rsidRDefault="00941227">
      <w:pPr>
        <w:pStyle w:val="GOSTNormal"/>
        <w:widowControl w:val="0"/>
        <w:rPr>
          <w:szCs w:val="24"/>
        </w:rPr>
      </w:pPr>
      <w:r w:rsidRPr="00264D5D">
        <w:rPr>
          <w:szCs w:val="24"/>
        </w:rPr>
        <w:t>Описание комплексного типа «</w:t>
      </w:r>
      <w:r w:rsidRPr="00264D5D">
        <w:t>tEDRowRequest_ITEM</w:t>
      </w:r>
      <w:r w:rsidRPr="00264D5D">
        <w:rPr>
          <w:szCs w:val="24"/>
        </w:rPr>
        <w:t>» блока «Запрос (строки)».</w:t>
      </w:r>
    </w:p>
    <w:bookmarkStart w:id="3330" w:name="_Ref52356619"/>
    <w:p w14:paraId="7396544D" w14:textId="084167DC" w:rsidR="00AD1F54" w:rsidRPr="00264D5D" w:rsidRDefault="00941227">
      <w:pPr>
        <w:pStyle w:val="GOSTNameTable"/>
        <w:numPr>
          <w:ilvl w:val="0"/>
          <w:numId w:val="2"/>
        </w:numPr>
        <w:ind w:left="425" w:hanging="357"/>
      </w:pPr>
      <w:r w:rsidRPr="00264D5D">
        <w:fldChar w:fldCharType="begin"/>
      </w:r>
      <w:r w:rsidRPr="00264D5D">
        <w:instrText xml:space="preserve"> SEQ Таблица \* ARABIC </w:instrText>
      </w:r>
      <w:r w:rsidRPr="00264D5D">
        <w:fldChar w:fldCharType="separate"/>
      </w:r>
      <w:bookmarkStart w:id="3331" w:name="_Ref86436198"/>
      <w:bookmarkStart w:id="3332" w:name="_Toc219309358"/>
      <w:r w:rsidR="008D797C">
        <w:rPr>
          <w:noProof/>
        </w:rPr>
        <w:t>328</w:t>
      </w:r>
      <w:bookmarkEnd w:id="3331"/>
      <w:r w:rsidRPr="00264D5D">
        <w:fldChar w:fldCharType="end"/>
      </w:r>
      <w:r w:rsidRPr="00264D5D">
        <w:t xml:space="preserve"> – Описание комплексного типа «tEDRowRequest_ITEM»</w:t>
      </w:r>
      <w:bookmarkEnd w:id="3330"/>
      <w:bookmarkEnd w:id="3332"/>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344E0345"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692CFC1E" w14:textId="77777777" w:rsidR="00AD1F54" w:rsidRPr="00264D5D" w:rsidRDefault="00941227">
            <w:pPr>
              <w:pStyle w:val="ASFKTableHead"/>
            </w:pPr>
            <w:r w:rsidRPr="00264D5D">
              <w:t>Наименование элемента</w:t>
            </w:r>
          </w:p>
        </w:tc>
        <w:tc>
          <w:tcPr>
            <w:tcW w:w="1701" w:type="dxa"/>
          </w:tcPr>
          <w:p w14:paraId="7DD0F392" w14:textId="77777777" w:rsidR="00AD1F54" w:rsidRPr="00264D5D" w:rsidRDefault="00941227">
            <w:pPr>
              <w:pStyle w:val="ASFKTableHead"/>
            </w:pPr>
            <w:r w:rsidRPr="00264D5D">
              <w:t>Сокращенное наименование (код) элемента</w:t>
            </w:r>
          </w:p>
        </w:tc>
        <w:tc>
          <w:tcPr>
            <w:tcW w:w="567" w:type="dxa"/>
          </w:tcPr>
          <w:p w14:paraId="541D1EB9" w14:textId="77777777" w:rsidR="00AD1F54" w:rsidRPr="00264D5D" w:rsidRDefault="00941227">
            <w:pPr>
              <w:pStyle w:val="ASFKTableHead"/>
            </w:pPr>
            <w:r w:rsidRPr="00264D5D">
              <w:t>Тип</w:t>
            </w:r>
          </w:p>
        </w:tc>
        <w:tc>
          <w:tcPr>
            <w:tcW w:w="1134" w:type="dxa"/>
          </w:tcPr>
          <w:p w14:paraId="7C30949E" w14:textId="77777777" w:rsidR="00AD1F54" w:rsidRPr="00264D5D" w:rsidRDefault="00941227">
            <w:pPr>
              <w:pStyle w:val="ASFKTableHead"/>
            </w:pPr>
            <w:r w:rsidRPr="00264D5D">
              <w:t>Формат элемента</w:t>
            </w:r>
          </w:p>
        </w:tc>
        <w:tc>
          <w:tcPr>
            <w:tcW w:w="567" w:type="dxa"/>
          </w:tcPr>
          <w:p w14:paraId="6EC26370" w14:textId="77777777" w:rsidR="00AD1F54" w:rsidRPr="00264D5D" w:rsidRDefault="00941227">
            <w:pPr>
              <w:pStyle w:val="ASFKTableHead"/>
            </w:pPr>
            <w:r w:rsidRPr="00264D5D">
              <w:t>Обязательность</w:t>
            </w:r>
          </w:p>
        </w:tc>
        <w:tc>
          <w:tcPr>
            <w:tcW w:w="3963" w:type="dxa"/>
          </w:tcPr>
          <w:p w14:paraId="326DAB36" w14:textId="77777777" w:rsidR="00AD1F54" w:rsidRPr="00264D5D" w:rsidRDefault="00941227">
            <w:pPr>
              <w:pStyle w:val="ASFKTableHead"/>
            </w:pPr>
            <w:r w:rsidRPr="00264D5D">
              <w:t>Дополнительная информация</w:t>
            </w:r>
          </w:p>
        </w:tc>
      </w:tr>
      <w:tr w:rsidR="00AD1F54" w:rsidRPr="00264D5D" w14:paraId="182A7F48" w14:textId="77777777" w:rsidTr="00AD1F54">
        <w:trPr>
          <w:cnfStyle w:val="000000100000" w:firstRow="0" w:lastRow="0" w:firstColumn="0" w:lastColumn="0" w:oddVBand="0" w:evenVBand="0" w:oddHBand="1" w:evenHBand="0" w:firstRowFirstColumn="0" w:firstRowLastColumn="0" w:lastRowFirstColumn="0" w:lastRowLastColumn="0"/>
          <w:trHeight w:val="85"/>
        </w:trPr>
        <w:tc>
          <w:tcPr>
            <w:tcW w:w="1701" w:type="dxa"/>
          </w:tcPr>
          <w:p w14:paraId="2FE040F0" w14:textId="77777777" w:rsidR="00AD1F54" w:rsidRPr="00264D5D" w:rsidRDefault="00941227">
            <w:pPr>
              <w:pStyle w:val="GOSTTablenorm"/>
              <w:widowControl w:val="0"/>
            </w:pPr>
            <w:r w:rsidRPr="00264D5D">
              <w:t>Номер реквизита (поля)</w:t>
            </w:r>
          </w:p>
        </w:tc>
        <w:tc>
          <w:tcPr>
            <w:tcW w:w="1701" w:type="dxa"/>
          </w:tcPr>
          <w:p w14:paraId="49280CFB" w14:textId="77777777" w:rsidR="00AD1F54" w:rsidRPr="00264D5D" w:rsidRDefault="00941227">
            <w:pPr>
              <w:pStyle w:val="GOSTTablenorm"/>
              <w:widowControl w:val="0"/>
              <w:rPr>
                <w:szCs w:val="22"/>
                <w:lang w:val="en-US"/>
              </w:rPr>
            </w:pPr>
            <w:r w:rsidRPr="00264D5D">
              <w:rPr>
                <w:szCs w:val="22"/>
                <w:lang w:val="en-US"/>
              </w:rPr>
              <w:t>RequisiteName</w:t>
            </w:r>
          </w:p>
        </w:tc>
        <w:tc>
          <w:tcPr>
            <w:tcW w:w="567" w:type="dxa"/>
          </w:tcPr>
          <w:p w14:paraId="2086D233" w14:textId="77777777" w:rsidR="00AD1F54" w:rsidRPr="00264D5D" w:rsidRDefault="00941227">
            <w:pPr>
              <w:pStyle w:val="GOSTTablenorm"/>
              <w:widowControl w:val="0"/>
              <w:jc w:val="center"/>
              <w:rPr>
                <w:szCs w:val="22"/>
              </w:rPr>
            </w:pPr>
            <w:r w:rsidRPr="00264D5D">
              <w:rPr>
                <w:szCs w:val="22"/>
              </w:rPr>
              <w:t>П</w:t>
            </w:r>
          </w:p>
        </w:tc>
        <w:tc>
          <w:tcPr>
            <w:tcW w:w="1134" w:type="dxa"/>
          </w:tcPr>
          <w:p w14:paraId="6F3AC046" w14:textId="77777777" w:rsidR="00AD1F54" w:rsidRPr="00264D5D" w:rsidRDefault="00941227">
            <w:pPr>
              <w:pStyle w:val="GOSTTablenorm"/>
              <w:widowControl w:val="0"/>
              <w:rPr>
                <w:szCs w:val="22"/>
                <w:lang w:val="en-US"/>
              </w:rPr>
            </w:pPr>
            <w:r w:rsidRPr="00264D5D">
              <w:rPr>
                <w:szCs w:val="22"/>
                <w:lang w:val="en-US"/>
              </w:rPr>
              <w:t>Т(1-</w:t>
            </w:r>
            <w:r w:rsidRPr="00264D5D">
              <w:rPr>
                <w:szCs w:val="22"/>
              </w:rPr>
              <w:t>70</w:t>
            </w:r>
            <w:r w:rsidRPr="00264D5D">
              <w:rPr>
                <w:szCs w:val="22"/>
                <w:lang w:val="en-US"/>
              </w:rPr>
              <w:t>)</w:t>
            </w:r>
          </w:p>
        </w:tc>
        <w:tc>
          <w:tcPr>
            <w:tcW w:w="567" w:type="dxa"/>
          </w:tcPr>
          <w:p w14:paraId="3BEF1DCA" w14:textId="77777777" w:rsidR="00AD1F54" w:rsidRPr="00264D5D" w:rsidRDefault="00941227">
            <w:pPr>
              <w:widowControl w:val="0"/>
              <w:spacing w:before="60" w:after="60"/>
              <w:ind w:firstLine="13"/>
              <w:jc w:val="center"/>
              <w:rPr>
                <w:sz w:val="22"/>
                <w:szCs w:val="22"/>
              </w:rPr>
            </w:pPr>
            <w:r w:rsidRPr="00264D5D">
              <w:rPr>
                <w:sz w:val="22"/>
                <w:szCs w:val="22"/>
              </w:rPr>
              <w:t>Н</w:t>
            </w:r>
          </w:p>
        </w:tc>
        <w:tc>
          <w:tcPr>
            <w:tcW w:w="3963" w:type="dxa"/>
          </w:tcPr>
          <w:p w14:paraId="5F5698A3" w14:textId="77777777" w:rsidR="00AD1F54" w:rsidRPr="00264D5D" w:rsidRDefault="00941227">
            <w:pPr>
              <w:pStyle w:val="GOSTTablenorm"/>
              <w:widowControl w:val="0"/>
            </w:pPr>
            <w:r w:rsidRPr="00264D5D">
              <w:t>Ука</w:t>
            </w:r>
            <w:r w:rsidR="003E1F19" w:rsidRPr="00264D5D">
              <w:t>зывается номер реквизита (поля)</w:t>
            </w:r>
          </w:p>
        </w:tc>
      </w:tr>
      <w:tr w:rsidR="00AD1F54" w:rsidRPr="00264D5D" w14:paraId="755DC61A" w14:textId="77777777" w:rsidTr="00AD1F54">
        <w:trPr>
          <w:cnfStyle w:val="000000010000" w:firstRow="0" w:lastRow="0" w:firstColumn="0" w:lastColumn="0" w:oddVBand="0" w:evenVBand="0" w:oddHBand="0" w:evenHBand="1" w:firstRowFirstColumn="0" w:firstRowLastColumn="0" w:lastRowFirstColumn="0" w:lastRowLastColumn="0"/>
          <w:trHeight w:val="85"/>
        </w:trPr>
        <w:tc>
          <w:tcPr>
            <w:tcW w:w="1701" w:type="dxa"/>
          </w:tcPr>
          <w:p w14:paraId="3161AD5F" w14:textId="77777777" w:rsidR="00AD1F54" w:rsidRPr="00264D5D" w:rsidRDefault="00941227">
            <w:pPr>
              <w:pStyle w:val="GOSTTablenorm"/>
              <w:widowControl w:val="0"/>
            </w:pPr>
            <w:r w:rsidRPr="00264D5D">
              <w:t>Значение реквизита</w:t>
            </w:r>
          </w:p>
        </w:tc>
        <w:tc>
          <w:tcPr>
            <w:tcW w:w="1701" w:type="dxa"/>
          </w:tcPr>
          <w:p w14:paraId="0B44E28B" w14:textId="77777777" w:rsidR="00AD1F54" w:rsidRPr="00264D5D" w:rsidRDefault="00941227">
            <w:pPr>
              <w:pStyle w:val="GOSTTablenorm"/>
              <w:widowControl w:val="0"/>
              <w:rPr>
                <w:szCs w:val="22"/>
                <w:lang w:val="en-US"/>
              </w:rPr>
            </w:pPr>
            <w:r w:rsidRPr="00264D5D">
              <w:rPr>
                <w:szCs w:val="22"/>
                <w:lang w:val="en-US"/>
              </w:rPr>
              <w:t>RequisiteValue</w:t>
            </w:r>
          </w:p>
        </w:tc>
        <w:tc>
          <w:tcPr>
            <w:tcW w:w="567" w:type="dxa"/>
          </w:tcPr>
          <w:p w14:paraId="6CB3977B" w14:textId="77777777" w:rsidR="00AD1F54" w:rsidRPr="00264D5D" w:rsidRDefault="00941227">
            <w:pPr>
              <w:pStyle w:val="GOSTTablenorm"/>
              <w:widowControl w:val="0"/>
              <w:jc w:val="center"/>
              <w:rPr>
                <w:szCs w:val="22"/>
              </w:rPr>
            </w:pPr>
            <w:r w:rsidRPr="00264D5D">
              <w:rPr>
                <w:szCs w:val="22"/>
              </w:rPr>
              <w:t>П</w:t>
            </w:r>
          </w:p>
        </w:tc>
        <w:tc>
          <w:tcPr>
            <w:tcW w:w="1134" w:type="dxa"/>
          </w:tcPr>
          <w:p w14:paraId="40C7313C" w14:textId="77777777" w:rsidR="00AD1F54" w:rsidRPr="00264D5D" w:rsidRDefault="00941227">
            <w:pPr>
              <w:pStyle w:val="GOSTTablenorm"/>
              <w:widowControl w:val="0"/>
              <w:rPr>
                <w:szCs w:val="22"/>
                <w:lang w:val="en-US"/>
              </w:rPr>
            </w:pPr>
            <w:r w:rsidRPr="00264D5D">
              <w:rPr>
                <w:szCs w:val="22"/>
                <w:lang w:val="en-US"/>
              </w:rPr>
              <w:t>Т(1-</w:t>
            </w:r>
            <w:r w:rsidRPr="00264D5D">
              <w:rPr>
                <w:szCs w:val="22"/>
              </w:rPr>
              <w:t>210</w:t>
            </w:r>
            <w:r w:rsidRPr="00264D5D">
              <w:rPr>
                <w:szCs w:val="22"/>
                <w:lang w:val="en-US"/>
              </w:rPr>
              <w:t>)</w:t>
            </w:r>
          </w:p>
        </w:tc>
        <w:tc>
          <w:tcPr>
            <w:tcW w:w="567" w:type="dxa"/>
          </w:tcPr>
          <w:p w14:paraId="34B8A5D6" w14:textId="77777777" w:rsidR="00AD1F54" w:rsidRPr="00264D5D" w:rsidRDefault="00941227">
            <w:pPr>
              <w:widowControl w:val="0"/>
              <w:spacing w:before="60" w:after="60"/>
              <w:ind w:firstLine="13"/>
              <w:jc w:val="center"/>
              <w:rPr>
                <w:sz w:val="22"/>
                <w:szCs w:val="22"/>
              </w:rPr>
            </w:pPr>
            <w:r w:rsidRPr="00264D5D">
              <w:rPr>
                <w:sz w:val="22"/>
                <w:szCs w:val="22"/>
              </w:rPr>
              <w:t>Н</w:t>
            </w:r>
          </w:p>
        </w:tc>
        <w:tc>
          <w:tcPr>
            <w:tcW w:w="3963" w:type="dxa"/>
          </w:tcPr>
          <w:p w14:paraId="2ABED0D2" w14:textId="77777777" w:rsidR="00AD1F54" w:rsidRPr="00264D5D" w:rsidRDefault="003E1F19">
            <w:pPr>
              <w:pStyle w:val="GOSTTablenorm"/>
              <w:widowControl w:val="0"/>
            </w:pPr>
            <w:r w:rsidRPr="00264D5D">
              <w:t>Указывается значение реквизита</w:t>
            </w:r>
          </w:p>
        </w:tc>
      </w:tr>
      <w:tr w:rsidR="00AD1F54" w:rsidRPr="00264D5D" w14:paraId="240547E0" w14:textId="77777777" w:rsidTr="00AD1F54">
        <w:trPr>
          <w:cnfStyle w:val="000000100000" w:firstRow="0" w:lastRow="0" w:firstColumn="0" w:lastColumn="0" w:oddVBand="0" w:evenVBand="0" w:oddHBand="1" w:evenHBand="0" w:firstRowFirstColumn="0" w:firstRowLastColumn="0" w:lastRowFirstColumn="0" w:lastRowLastColumn="0"/>
          <w:trHeight w:val="85"/>
        </w:trPr>
        <w:tc>
          <w:tcPr>
            <w:tcW w:w="1701" w:type="dxa"/>
          </w:tcPr>
          <w:p w14:paraId="2985CE08" w14:textId="77777777" w:rsidR="00AD1F54" w:rsidRPr="00264D5D" w:rsidRDefault="00941227">
            <w:pPr>
              <w:pStyle w:val="GOSTTablenorm"/>
              <w:widowControl w:val="0"/>
            </w:pPr>
            <w:r w:rsidRPr="00264D5D">
              <w:t>Номер в реестре</w:t>
            </w:r>
          </w:p>
        </w:tc>
        <w:tc>
          <w:tcPr>
            <w:tcW w:w="1701" w:type="dxa"/>
          </w:tcPr>
          <w:p w14:paraId="0D3DC2AE" w14:textId="77777777" w:rsidR="00AD1F54" w:rsidRPr="00264D5D" w:rsidRDefault="00941227">
            <w:pPr>
              <w:pStyle w:val="GOSTTablenorm"/>
              <w:widowControl w:val="0"/>
              <w:rPr>
                <w:szCs w:val="22"/>
                <w:lang w:val="en-US"/>
              </w:rPr>
            </w:pPr>
            <w:r w:rsidRPr="00264D5D">
              <w:rPr>
                <w:szCs w:val="22"/>
                <w:lang w:val="en-US"/>
              </w:rPr>
              <w:t>NumRegister</w:t>
            </w:r>
          </w:p>
        </w:tc>
        <w:tc>
          <w:tcPr>
            <w:tcW w:w="567" w:type="dxa"/>
          </w:tcPr>
          <w:p w14:paraId="1562426A" w14:textId="77777777" w:rsidR="00AD1F54" w:rsidRPr="00264D5D" w:rsidRDefault="00941227">
            <w:pPr>
              <w:pStyle w:val="GOSTTablenorm"/>
              <w:widowControl w:val="0"/>
              <w:jc w:val="center"/>
              <w:rPr>
                <w:szCs w:val="22"/>
              </w:rPr>
            </w:pPr>
            <w:r w:rsidRPr="00264D5D">
              <w:rPr>
                <w:szCs w:val="22"/>
              </w:rPr>
              <w:t>П</w:t>
            </w:r>
          </w:p>
        </w:tc>
        <w:tc>
          <w:tcPr>
            <w:tcW w:w="1134" w:type="dxa"/>
          </w:tcPr>
          <w:p w14:paraId="759A8EA2" w14:textId="77777777" w:rsidR="00AD1F54" w:rsidRPr="00264D5D" w:rsidRDefault="00941227">
            <w:pPr>
              <w:widowControl w:val="0"/>
              <w:spacing w:before="60" w:after="60"/>
              <w:ind w:firstLine="16"/>
              <w:rPr>
                <w:sz w:val="22"/>
                <w:szCs w:val="22"/>
                <w:lang w:val="en-US"/>
              </w:rPr>
            </w:pPr>
            <w:r w:rsidRPr="00264D5D">
              <w:rPr>
                <w:sz w:val="22"/>
                <w:szCs w:val="22"/>
                <w:lang w:val="en-US"/>
              </w:rPr>
              <w:t>Т(1-</w:t>
            </w:r>
            <w:r w:rsidRPr="00264D5D">
              <w:rPr>
                <w:sz w:val="22"/>
                <w:szCs w:val="22"/>
              </w:rPr>
              <w:t>5</w:t>
            </w:r>
            <w:r w:rsidRPr="00264D5D">
              <w:rPr>
                <w:sz w:val="22"/>
                <w:szCs w:val="22"/>
                <w:lang w:val="en-US"/>
              </w:rPr>
              <w:t>)</w:t>
            </w:r>
          </w:p>
        </w:tc>
        <w:tc>
          <w:tcPr>
            <w:tcW w:w="567" w:type="dxa"/>
          </w:tcPr>
          <w:p w14:paraId="455ECA8C" w14:textId="77777777" w:rsidR="00AD1F54" w:rsidRPr="00264D5D" w:rsidRDefault="00941227">
            <w:pPr>
              <w:widowControl w:val="0"/>
              <w:spacing w:before="60" w:after="60"/>
              <w:ind w:firstLine="13"/>
              <w:jc w:val="center"/>
              <w:rPr>
                <w:sz w:val="22"/>
                <w:szCs w:val="22"/>
              </w:rPr>
            </w:pPr>
            <w:r w:rsidRPr="00264D5D">
              <w:rPr>
                <w:sz w:val="22"/>
                <w:szCs w:val="22"/>
              </w:rPr>
              <w:t>Н</w:t>
            </w:r>
          </w:p>
        </w:tc>
        <w:tc>
          <w:tcPr>
            <w:tcW w:w="3963" w:type="dxa"/>
          </w:tcPr>
          <w:p w14:paraId="608D33B3" w14:textId="77777777" w:rsidR="00AD1F54" w:rsidRPr="00264D5D" w:rsidRDefault="00941227">
            <w:pPr>
              <w:pStyle w:val="GOSTTablenorm"/>
              <w:widowControl w:val="0"/>
            </w:pPr>
            <w:r w:rsidRPr="00264D5D">
              <w:t>Указывае</w:t>
            </w:r>
            <w:r w:rsidR="003E1F19" w:rsidRPr="00264D5D">
              <w:t>тся номер в реестре</w:t>
            </w:r>
          </w:p>
        </w:tc>
      </w:tr>
    </w:tbl>
    <w:p w14:paraId="79A31AC9" w14:textId="77777777" w:rsidR="00AD1F54" w:rsidRPr="00264D5D" w:rsidRDefault="00941227">
      <w:pPr>
        <w:pStyle w:val="31"/>
      </w:pPr>
      <w:r w:rsidRPr="00264D5D">
        <w:t xml:space="preserve"> </w:t>
      </w:r>
      <w:bookmarkStart w:id="3333" w:name="_Toc219309814"/>
      <w:r w:rsidRPr="00264D5D">
        <w:t>Описание комплексного типа «tSGNNmPsPhDt»</w:t>
      </w:r>
      <w:bookmarkEnd w:id="3333"/>
    </w:p>
    <w:p w14:paraId="01479CFD" w14:textId="77777777" w:rsidR="00AD1F54" w:rsidRPr="00264D5D" w:rsidRDefault="00941227">
      <w:pPr>
        <w:pStyle w:val="GOSTNormal"/>
        <w:widowControl w:val="0"/>
        <w:rPr>
          <w:szCs w:val="24"/>
        </w:rPr>
      </w:pPr>
      <w:r w:rsidRPr="00264D5D">
        <w:t xml:space="preserve">Описание комплексного </w:t>
      </w:r>
      <w:r w:rsidRPr="00264D5D">
        <w:rPr>
          <w:szCs w:val="24"/>
        </w:rPr>
        <w:t xml:space="preserve">типа </w:t>
      </w:r>
      <w:r w:rsidRPr="00264D5D">
        <w:rPr>
          <w:rFonts w:eastAsia="Calibri"/>
          <w:szCs w:val="24"/>
        </w:rPr>
        <w:t>«tSGNNmPsPhDt</w:t>
      </w:r>
      <w:r w:rsidRPr="00264D5D">
        <w:rPr>
          <w:szCs w:val="24"/>
        </w:rPr>
        <w:t>» блока «Ответственный исполнитель».</w:t>
      </w:r>
    </w:p>
    <w:p w14:paraId="335E5513" w14:textId="2D34AE36" w:rsidR="00AD1F54" w:rsidRPr="00264D5D" w:rsidRDefault="00941227">
      <w:pPr>
        <w:pStyle w:val="GOSTNameTable"/>
        <w:numPr>
          <w:ilvl w:val="0"/>
          <w:numId w:val="2"/>
        </w:numPr>
        <w:ind w:left="425" w:hanging="357"/>
      </w:pPr>
      <w:r w:rsidRPr="00264D5D">
        <w:lastRenderedPageBreak/>
        <w:fldChar w:fldCharType="begin"/>
      </w:r>
      <w:r w:rsidRPr="00264D5D">
        <w:instrText>SEQ Таблица \* ARABIC</w:instrText>
      </w:r>
      <w:r w:rsidRPr="00264D5D">
        <w:fldChar w:fldCharType="separate"/>
      </w:r>
      <w:bookmarkStart w:id="3334" w:name="_Ref52366529"/>
      <w:bookmarkStart w:id="3335" w:name="_Toc219309359"/>
      <w:r w:rsidR="008D797C">
        <w:rPr>
          <w:noProof/>
        </w:rPr>
        <w:t>329</w:t>
      </w:r>
      <w:bookmarkEnd w:id="3334"/>
      <w:r w:rsidRPr="00264D5D">
        <w:fldChar w:fldCharType="end"/>
      </w:r>
      <w:r w:rsidRPr="00264D5D">
        <w:t xml:space="preserve"> – Описание комплексного типа «tSGNNmPsPhDt»</w:t>
      </w:r>
      <w:bookmarkEnd w:id="3335"/>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6000A95A"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44F29877" w14:textId="77777777" w:rsidR="00AD1F54" w:rsidRPr="00264D5D" w:rsidRDefault="00941227">
            <w:pPr>
              <w:pStyle w:val="ASFKTableHead"/>
            </w:pPr>
            <w:r w:rsidRPr="00264D5D">
              <w:t>Наименование элемента</w:t>
            </w:r>
          </w:p>
        </w:tc>
        <w:tc>
          <w:tcPr>
            <w:tcW w:w="1701" w:type="dxa"/>
          </w:tcPr>
          <w:p w14:paraId="29CFD50D" w14:textId="77777777" w:rsidR="00AD1F54" w:rsidRPr="00264D5D" w:rsidRDefault="00941227">
            <w:pPr>
              <w:pStyle w:val="ASFKTableHead"/>
            </w:pPr>
            <w:r w:rsidRPr="00264D5D">
              <w:t>Сокращенное наименование (код) элемента</w:t>
            </w:r>
          </w:p>
        </w:tc>
        <w:tc>
          <w:tcPr>
            <w:tcW w:w="567" w:type="dxa"/>
          </w:tcPr>
          <w:p w14:paraId="252D1E5A" w14:textId="77777777" w:rsidR="00AD1F54" w:rsidRPr="00264D5D" w:rsidRDefault="00941227">
            <w:pPr>
              <w:pStyle w:val="ASFKTableHead"/>
            </w:pPr>
            <w:r w:rsidRPr="00264D5D">
              <w:t>Тип</w:t>
            </w:r>
          </w:p>
        </w:tc>
        <w:tc>
          <w:tcPr>
            <w:tcW w:w="1134" w:type="dxa"/>
          </w:tcPr>
          <w:p w14:paraId="4EF2393D" w14:textId="77777777" w:rsidR="00AD1F54" w:rsidRPr="00264D5D" w:rsidRDefault="00941227">
            <w:pPr>
              <w:pStyle w:val="ASFKTableHead"/>
            </w:pPr>
            <w:r w:rsidRPr="00264D5D">
              <w:t>Формат элемента</w:t>
            </w:r>
          </w:p>
        </w:tc>
        <w:tc>
          <w:tcPr>
            <w:tcW w:w="567" w:type="dxa"/>
          </w:tcPr>
          <w:p w14:paraId="3D8AAB22" w14:textId="77777777" w:rsidR="00AD1F54" w:rsidRPr="00264D5D" w:rsidRDefault="00941227">
            <w:pPr>
              <w:pStyle w:val="ASFKTableHead"/>
            </w:pPr>
            <w:r w:rsidRPr="00264D5D">
              <w:t>Обязательность</w:t>
            </w:r>
          </w:p>
        </w:tc>
        <w:tc>
          <w:tcPr>
            <w:tcW w:w="3963" w:type="dxa"/>
          </w:tcPr>
          <w:p w14:paraId="0BD40641" w14:textId="77777777" w:rsidR="00AD1F54" w:rsidRPr="00264D5D" w:rsidRDefault="00941227">
            <w:pPr>
              <w:pStyle w:val="ASFKTableHead"/>
            </w:pPr>
            <w:r w:rsidRPr="00264D5D">
              <w:t>Дополнительная информация</w:t>
            </w:r>
          </w:p>
        </w:tc>
      </w:tr>
      <w:tr w:rsidR="00AD1F54" w:rsidRPr="00264D5D" w14:paraId="50F8DDC2"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146DD550" w14:textId="77777777" w:rsidR="00AD1F54" w:rsidRPr="00264D5D" w:rsidRDefault="00941227">
            <w:pPr>
              <w:pStyle w:val="GOSTTablenorm"/>
              <w:widowControl w:val="0"/>
              <w:rPr>
                <w:szCs w:val="22"/>
              </w:rPr>
            </w:pPr>
            <w:r w:rsidRPr="00264D5D">
              <w:rPr>
                <w:color w:val="000000"/>
                <w:szCs w:val="22"/>
              </w:rPr>
              <w:t>Должность</w:t>
            </w:r>
          </w:p>
        </w:tc>
        <w:tc>
          <w:tcPr>
            <w:tcW w:w="1701" w:type="dxa"/>
          </w:tcPr>
          <w:p w14:paraId="549D1BF4" w14:textId="77777777" w:rsidR="00AD1F54" w:rsidRPr="00264D5D" w:rsidRDefault="00941227">
            <w:pPr>
              <w:pStyle w:val="GOSTTablenorm"/>
              <w:widowControl w:val="0"/>
              <w:rPr>
                <w:szCs w:val="22"/>
                <w:lang w:val="en-US"/>
              </w:rPr>
            </w:pPr>
            <w:r w:rsidRPr="00264D5D">
              <w:rPr>
                <w:szCs w:val="22"/>
                <w:lang w:val="en-US"/>
              </w:rPr>
              <w:t>Pst</w:t>
            </w:r>
          </w:p>
        </w:tc>
        <w:tc>
          <w:tcPr>
            <w:tcW w:w="567" w:type="dxa"/>
          </w:tcPr>
          <w:p w14:paraId="2A463AD4" w14:textId="77777777" w:rsidR="00AD1F54" w:rsidRPr="00264D5D" w:rsidRDefault="00941227">
            <w:pPr>
              <w:pStyle w:val="GOSTTablenorm"/>
              <w:widowControl w:val="0"/>
              <w:jc w:val="center"/>
              <w:rPr>
                <w:szCs w:val="22"/>
              </w:rPr>
            </w:pPr>
            <w:r w:rsidRPr="00264D5D">
              <w:rPr>
                <w:szCs w:val="22"/>
              </w:rPr>
              <w:t>П</w:t>
            </w:r>
          </w:p>
        </w:tc>
        <w:tc>
          <w:tcPr>
            <w:tcW w:w="1134" w:type="dxa"/>
          </w:tcPr>
          <w:p w14:paraId="634BB307" w14:textId="77777777" w:rsidR="00AD1F54" w:rsidRPr="00264D5D" w:rsidRDefault="00941227">
            <w:pPr>
              <w:pStyle w:val="GOSTTablenorm"/>
              <w:widowControl w:val="0"/>
              <w:rPr>
                <w:szCs w:val="22"/>
              </w:rPr>
            </w:pPr>
            <w:r w:rsidRPr="00264D5D">
              <w:rPr>
                <w:color w:val="000000"/>
                <w:szCs w:val="22"/>
                <w:lang w:val="en-US"/>
              </w:rPr>
              <w:t>Т(1-</w:t>
            </w:r>
            <w:r w:rsidRPr="00264D5D">
              <w:rPr>
                <w:color w:val="000000"/>
                <w:szCs w:val="22"/>
              </w:rPr>
              <w:t>1</w:t>
            </w:r>
            <w:r w:rsidRPr="00264D5D">
              <w:rPr>
                <w:color w:val="000000"/>
                <w:szCs w:val="22"/>
                <w:lang w:val="en-US"/>
              </w:rPr>
              <w:t>00)</w:t>
            </w:r>
          </w:p>
        </w:tc>
        <w:tc>
          <w:tcPr>
            <w:tcW w:w="567" w:type="dxa"/>
          </w:tcPr>
          <w:p w14:paraId="6A1FEF7A" w14:textId="77777777" w:rsidR="00AD1F54" w:rsidRPr="00264D5D" w:rsidRDefault="00941227">
            <w:pPr>
              <w:pStyle w:val="GOSTTablenorm"/>
              <w:widowControl w:val="0"/>
              <w:jc w:val="center"/>
              <w:rPr>
                <w:szCs w:val="22"/>
              </w:rPr>
            </w:pPr>
            <w:r w:rsidRPr="00264D5D">
              <w:rPr>
                <w:szCs w:val="22"/>
              </w:rPr>
              <w:t>О</w:t>
            </w:r>
          </w:p>
        </w:tc>
        <w:tc>
          <w:tcPr>
            <w:tcW w:w="3963" w:type="dxa"/>
          </w:tcPr>
          <w:p w14:paraId="663316A6" w14:textId="77777777" w:rsidR="00AD1F54" w:rsidRPr="00264D5D" w:rsidRDefault="00941227">
            <w:pPr>
              <w:pStyle w:val="GOSTTablenorm"/>
              <w:widowControl w:val="0"/>
              <w:rPr>
                <w:szCs w:val="22"/>
              </w:rPr>
            </w:pPr>
            <w:r w:rsidRPr="00264D5D">
              <w:t>Указывается должность ответственного исполн</w:t>
            </w:r>
            <w:r w:rsidR="003E1F19" w:rsidRPr="00264D5D">
              <w:t>ителя, сформировавшего документ</w:t>
            </w:r>
          </w:p>
        </w:tc>
      </w:tr>
      <w:tr w:rsidR="00AD1F54" w:rsidRPr="00264D5D" w14:paraId="7608A234"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6603430" w14:textId="77777777" w:rsidR="00AD1F54" w:rsidRPr="00264D5D" w:rsidRDefault="00941227">
            <w:pPr>
              <w:pStyle w:val="GOSTTablenorm"/>
              <w:widowControl w:val="0"/>
              <w:rPr>
                <w:color w:val="000000"/>
                <w:szCs w:val="22"/>
              </w:rPr>
            </w:pPr>
            <w:r w:rsidRPr="00264D5D">
              <w:rPr>
                <w:color w:val="000000"/>
                <w:szCs w:val="22"/>
              </w:rPr>
              <w:t>Расшифровка подписи</w:t>
            </w:r>
          </w:p>
        </w:tc>
        <w:tc>
          <w:tcPr>
            <w:tcW w:w="1701" w:type="dxa"/>
          </w:tcPr>
          <w:p w14:paraId="63BF1809" w14:textId="77777777" w:rsidR="00AD1F54" w:rsidRPr="00264D5D" w:rsidRDefault="00941227">
            <w:pPr>
              <w:pStyle w:val="GOSTTablenorm"/>
              <w:widowControl w:val="0"/>
              <w:rPr>
                <w:color w:val="000000"/>
                <w:szCs w:val="22"/>
              </w:rPr>
            </w:pPr>
            <w:r w:rsidRPr="00264D5D">
              <w:rPr>
                <w:color w:val="000000"/>
                <w:szCs w:val="22"/>
              </w:rPr>
              <w:t>FIO</w:t>
            </w:r>
          </w:p>
        </w:tc>
        <w:tc>
          <w:tcPr>
            <w:tcW w:w="567" w:type="dxa"/>
          </w:tcPr>
          <w:p w14:paraId="350A0230" w14:textId="77777777" w:rsidR="00AD1F54" w:rsidRPr="00264D5D" w:rsidRDefault="00941227">
            <w:pPr>
              <w:pStyle w:val="GOSTTablenorm"/>
              <w:widowControl w:val="0"/>
              <w:jc w:val="center"/>
              <w:rPr>
                <w:szCs w:val="22"/>
              </w:rPr>
            </w:pPr>
            <w:r w:rsidRPr="00264D5D">
              <w:rPr>
                <w:szCs w:val="22"/>
              </w:rPr>
              <w:t>П</w:t>
            </w:r>
          </w:p>
        </w:tc>
        <w:tc>
          <w:tcPr>
            <w:tcW w:w="1134" w:type="dxa"/>
          </w:tcPr>
          <w:p w14:paraId="5C02BB03" w14:textId="77777777" w:rsidR="00AD1F54" w:rsidRPr="00264D5D" w:rsidRDefault="00941227">
            <w:pPr>
              <w:pStyle w:val="GOSTTablenorm"/>
              <w:widowControl w:val="0"/>
              <w:rPr>
                <w:color w:val="000000"/>
                <w:szCs w:val="22"/>
                <w:lang w:val="en-US"/>
              </w:rPr>
            </w:pPr>
            <w:r w:rsidRPr="00264D5D">
              <w:rPr>
                <w:color w:val="000000"/>
                <w:szCs w:val="22"/>
                <w:lang w:val="en-US"/>
              </w:rPr>
              <w:t>Т(1-</w:t>
            </w:r>
            <w:r w:rsidRPr="00264D5D">
              <w:rPr>
                <w:color w:val="000000"/>
                <w:szCs w:val="22"/>
              </w:rPr>
              <w:t>50</w:t>
            </w:r>
            <w:r w:rsidRPr="00264D5D">
              <w:rPr>
                <w:color w:val="000000"/>
                <w:szCs w:val="22"/>
                <w:lang w:val="en-US"/>
              </w:rPr>
              <w:t>)</w:t>
            </w:r>
          </w:p>
        </w:tc>
        <w:tc>
          <w:tcPr>
            <w:tcW w:w="567" w:type="dxa"/>
          </w:tcPr>
          <w:p w14:paraId="6FCD382E" w14:textId="77777777" w:rsidR="00AD1F54" w:rsidRPr="00264D5D" w:rsidRDefault="00941227">
            <w:pPr>
              <w:pStyle w:val="GOSTTablenorm"/>
              <w:widowControl w:val="0"/>
              <w:jc w:val="center"/>
              <w:rPr>
                <w:szCs w:val="22"/>
              </w:rPr>
            </w:pPr>
            <w:r w:rsidRPr="00264D5D">
              <w:rPr>
                <w:szCs w:val="22"/>
              </w:rPr>
              <w:t>О</w:t>
            </w:r>
          </w:p>
        </w:tc>
        <w:tc>
          <w:tcPr>
            <w:tcW w:w="3963" w:type="dxa"/>
          </w:tcPr>
          <w:p w14:paraId="2EF1319A" w14:textId="77777777" w:rsidR="00AD1F54" w:rsidRPr="00264D5D" w:rsidRDefault="00941227">
            <w:pPr>
              <w:pStyle w:val="GOSTTablenorm"/>
              <w:widowControl w:val="0"/>
              <w:rPr>
                <w:szCs w:val="22"/>
              </w:rPr>
            </w:pPr>
            <w:r w:rsidRPr="00264D5D">
              <w:t>Указывается расшифровка подписи ответственного исполн</w:t>
            </w:r>
            <w:r w:rsidR="003E1F19" w:rsidRPr="00264D5D">
              <w:t>ителя, сформировавшего документ</w:t>
            </w:r>
          </w:p>
        </w:tc>
      </w:tr>
      <w:tr w:rsidR="00AD1F54" w:rsidRPr="00264D5D" w14:paraId="3B20DE14"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443AD1C" w14:textId="77777777" w:rsidR="00AD1F54" w:rsidRPr="00264D5D" w:rsidRDefault="00941227">
            <w:pPr>
              <w:pStyle w:val="GOSTTablenorm"/>
              <w:widowControl w:val="0"/>
              <w:rPr>
                <w:color w:val="000000"/>
                <w:szCs w:val="22"/>
              </w:rPr>
            </w:pPr>
            <w:r w:rsidRPr="00264D5D">
              <w:rPr>
                <w:color w:val="000000"/>
                <w:szCs w:val="22"/>
              </w:rPr>
              <w:t>Телефон</w:t>
            </w:r>
          </w:p>
        </w:tc>
        <w:tc>
          <w:tcPr>
            <w:tcW w:w="1701" w:type="dxa"/>
          </w:tcPr>
          <w:p w14:paraId="7354EDB3" w14:textId="77777777" w:rsidR="00AD1F54" w:rsidRPr="00264D5D" w:rsidRDefault="00941227">
            <w:pPr>
              <w:pStyle w:val="GOSTTablenorm"/>
              <w:widowControl w:val="0"/>
              <w:rPr>
                <w:color w:val="000000"/>
                <w:szCs w:val="22"/>
              </w:rPr>
            </w:pPr>
            <w:r w:rsidRPr="00264D5D">
              <w:rPr>
                <w:color w:val="000000"/>
                <w:szCs w:val="22"/>
              </w:rPr>
              <w:t>Phn</w:t>
            </w:r>
          </w:p>
        </w:tc>
        <w:tc>
          <w:tcPr>
            <w:tcW w:w="567" w:type="dxa"/>
          </w:tcPr>
          <w:p w14:paraId="1C2FE6C3" w14:textId="77777777" w:rsidR="00AD1F54" w:rsidRPr="00264D5D" w:rsidRDefault="00941227">
            <w:pPr>
              <w:pStyle w:val="GOSTTablenorm"/>
              <w:widowControl w:val="0"/>
              <w:jc w:val="center"/>
              <w:rPr>
                <w:szCs w:val="22"/>
              </w:rPr>
            </w:pPr>
            <w:r w:rsidRPr="00264D5D">
              <w:rPr>
                <w:szCs w:val="22"/>
              </w:rPr>
              <w:t>П</w:t>
            </w:r>
          </w:p>
        </w:tc>
        <w:tc>
          <w:tcPr>
            <w:tcW w:w="1134" w:type="dxa"/>
          </w:tcPr>
          <w:p w14:paraId="74B48EB1" w14:textId="77777777" w:rsidR="00AD1F54" w:rsidRPr="00264D5D" w:rsidRDefault="00941227">
            <w:pPr>
              <w:pStyle w:val="GOSTTablenorm"/>
              <w:widowControl w:val="0"/>
              <w:rPr>
                <w:color w:val="000000"/>
                <w:szCs w:val="22"/>
                <w:lang w:val="en-US"/>
              </w:rPr>
            </w:pPr>
            <w:r w:rsidRPr="00264D5D">
              <w:rPr>
                <w:color w:val="000000"/>
                <w:szCs w:val="22"/>
                <w:lang w:val="en-US"/>
              </w:rPr>
              <w:t>Т(1-</w:t>
            </w:r>
            <w:r w:rsidRPr="00264D5D">
              <w:rPr>
                <w:color w:val="000000"/>
                <w:szCs w:val="22"/>
              </w:rPr>
              <w:t>50</w:t>
            </w:r>
            <w:r w:rsidRPr="00264D5D">
              <w:rPr>
                <w:color w:val="000000"/>
                <w:szCs w:val="22"/>
                <w:lang w:val="en-US"/>
              </w:rPr>
              <w:t>)</w:t>
            </w:r>
          </w:p>
        </w:tc>
        <w:tc>
          <w:tcPr>
            <w:tcW w:w="567" w:type="dxa"/>
          </w:tcPr>
          <w:p w14:paraId="4DD323EC" w14:textId="77777777" w:rsidR="00AD1F54" w:rsidRPr="00264D5D" w:rsidRDefault="00941227">
            <w:pPr>
              <w:pStyle w:val="GOSTTablenorm"/>
              <w:widowControl w:val="0"/>
              <w:jc w:val="center"/>
              <w:rPr>
                <w:szCs w:val="22"/>
              </w:rPr>
            </w:pPr>
            <w:r w:rsidRPr="00264D5D">
              <w:rPr>
                <w:szCs w:val="22"/>
              </w:rPr>
              <w:t>Н</w:t>
            </w:r>
          </w:p>
        </w:tc>
        <w:tc>
          <w:tcPr>
            <w:tcW w:w="3963" w:type="dxa"/>
          </w:tcPr>
          <w:p w14:paraId="3815E5E2" w14:textId="77777777" w:rsidR="00AD1F54" w:rsidRPr="00264D5D" w:rsidRDefault="00941227">
            <w:pPr>
              <w:pStyle w:val="GOSTTablenorm"/>
              <w:widowControl w:val="0"/>
            </w:pPr>
            <w:r w:rsidRPr="00264D5D">
              <w:t>Указывается телефон ответственного исполн</w:t>
            </w:r>
            <w:r w:rsidR="003E1F19" w:rsidRPr="00264D5D">
              <w:t>ителя, сформировавшего документ</w:t>
            </w:r>
          </w:p>
        </w:tc>
      </w:tr>
      <w:tr w:rsidR="00AD1F54" w:rsidRPr="00264D5D" w14:paraId="6924B653"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76F469F9" w14:textId="77777777" w:rsidR="00AD1F54" w:rsidRPr="00264D5D" w:rsidRDefault="00941227">
            <w:pPr>
              <w:pStyle w:val="GOSTTablenorm"/>
              <w:widowControl w:val="0"/>
              <w:rPr>
                <w:color w:val="000000"/>
                <w:szCs w:val="22"/>
              </w:rPr>
            </w:pPr>
            <w:r w:rsidRPr="00264D5D">
              <w:rPr>
                <w:color w:val="000000"/>
                <w:szCs w:val="22"/>
              </w:rPr>
              <w:t>Дата подписи</w:t>
            </w:r>
          </w:p>
        </w:tc>
        <w:tc>
          <w:tcPr>
            <w:tcW w:w="1701" w:type="dxa"/>
          </w:tcPr>
          <w:p w14:paraId="199264F4" w14:textId="77777777" w:rsidR="00AD1F54" w:rsidRPr="00264D5D" w:rsidRDefault="00941227">
            <w:pPr>
              <w:pStyle w:val="GOSTTablenorm"/>
              <w:widowControl w:val="0"/>
              <w:rPr>
                <w:color w:val="000000"/>
                <w:szCs w:val="22"/>
              </w:rPr>
            </w:pPr>
            <w:r w:rsidRPr="00264D5D">
              <w:rPr>
                <w:color w:val="000000"/>
                <w:szCs w:val="22"/>
              </w:rPr>
              <w:t>DtSgn</w:t>
            </w:r>
          </w:p>
        </w:tc>
        <w:tc>
          <w:tcPr>
            <w:tcW w:w="567" w:type="dxa"/>
          </w:tcPr>
          <w:p w14:paraId="2037A2E9" w14:textId="77777777" w:rsidR="00AD1F54" w:rsidRPr="00264D5D" w:rsidRDefault="00941227">
            <w:pPr>
              <w:pStyle w:val="GOSTTablenorm"/>
              <w:widowControl w:val="0"/>
              <w:jc w:val="center"/>
              <w:rPr>
                <w:szCs w:val="22"/>
              </w:rPr>
            </w:pPr>
            <w:r w:rsidRPr="00264D5D">
              <w:rPr>
                <w:szCs w:val="22"/>
              </w:rPr>
              <w:t>П</w:t>
            </w:r>
          </w:p>
        </w:tc>
        <w:tc>
          <w:tcPr>
            <w:tcW w:w="1134" w:type="dxa"/>
          </w:tcPr>
          <w:p w14:paraId="117175F3" w14:textId="77777777" w:rsidR="00AD1F54" w:rsidRPr="00264D5D" w:rsidRDefault="00941227">
            <w:pPr>
              <w:pStyle w:val="GOSTTablenorm"/>
              <w:widowControl w:val="0"/>
              <w:rPr>
                <w:color w:val="000000"/>
                <w:szCs w:val="22"/>
                <w:lang w:val="en-US"/>
              </w:rPr>
            </w:pPr>
            <w:r w:rsidRPr="00264D5D">
              <w:rPr>
                <w:color w:val="000000"/>
                <w:szCs w:val="22"/>
                <w:lang w:val="en-US"/>
              </w:rPr>
              <w:t>Date</w:t>
            </w:r>
          </w:p>
        </w:tc>
        <w:tc>
          <w:tcPr>
            <w:tcW w:w="567" w:type="dxa"/>
          </w:tcPr>
          <w:p w14:paraId="48C6B2AF" w14:textId="77777777" w:rsidR="00AD1F54" w:rsidRPr="00264D5D" w:rsidRDefault="00941227">
            <w:pPr>
              <w:pStyle w:val="GOSTTablenorm"/>
              <w:widowControl w:val="0"/>
              <w:jc w:val="center"/>
              <w:rPr>
                <w:szCs w:val="22"/>
              </w:rPr>
            </w:pPr>
            <w:r w:rsidRPr="00264D5D">
              <w:rPr>
                <w:szCs w:val="22"/>
              </w:rPr>
              <w:t>О</w:t>
            </w:r>
          </w:p>
        </w:tc>
        <w:tc>
          <w:tcPr>
            <w:tcW w:w="3963" w:type="dxa"/>
          </w:tcPr>
          <w:p w14:paraId="09C1C163" w14:textId="77777777" w:rsidR="00AD1F54" w:rsidRPr="00264D5D" w:rsidRDefault="00941227">
            <w:pPr>
              <w:pStyle w:val="GOSTTablenorm"/>
              <w:widowControl w:val="0"/>
              <w:rPr>
                <w:szCs w:val="22"/>
              </w:rPr>
            </w:pPr>
            <w:r w:rsidRPr="00264D5D">
              <w:rPr>
                <w:szCs w:val="22"/>
              </w:rPr>
              <w:t>Указывается</w:t>
            </w:r>
            <w:r w:rsidR="003E1F19" w:rsidRPr="00264D5D">
              <w:rPr>
                <w:color w:val="000000"/>
                <w:szCs w:val="22"/>
              </w:rPr>
              <w:t xml:space="preserve"> дата подписи</w:t>
            </w:r>
          </w:p>
        </w:tc>
      </w:tr>
    </w:tbl>
    <w:p w14:paraId="4073734E" w14:textId="77777777" w:rsidR="00AD1F54" w:rsidRPr="00264D5D" w:rsidRDefault="00941227">
      <w:pPr>
        <w:pStyle w:val="31"/>
      </w:pPr>
      <w:r w:rsidRPr="00264D5D">
        <w:t xml:space="preserve"> </w:t>
      </w:r>
      <w:bookmarkStart w:id="3336" w:name="_Toc219309815"/>
      <w:r w:rsidRPr="00264D5D">
        <w:t>Описание комплексного типа «tSGNNmPsDt»</w:t>
      </w:r>
      <w:bookmarkEnd w:id="3336"/>
    </w:p>
    <w:p w14:paraId="281B596B" w14:textId="77777777" w:rsidR="00AD1F54" w:rsidRPr="00264D5D" w:rsidRDefault="00941227">
      <w:pPr>
        <w:pStyle w:val="GOSTNormal"/>
        <w:widowControl w:val="0"/>
        <w:rPr>
          <w:szCs w:val="24"/>
        </w:rPr>
      </w:pPr>
      <w:r w:rsidRPr="00264D5D">
        <w:t xml:space="preserve">Описание комплексного типа </w:t>
      </w:r>
      <w:r w:rsidRPr="00264D5D">
        <w:rPr>
          <w:rFonts w:eastAsia="Calibri"/>
          <w:szCs w:val="24"/>
        </w:rPr>
        <w:t>«</w:t>
      </w:r>
      <w:r w:rsidRPr="00264D5D">
        <w:rPr>
          <w:szCs w:val="24"/>
          <w:lang w:val="en-US"/>
        </w:rPr>
        <w:t>tSGNNmPsDt</w:t>
      </w:r>
      <w:r w:rsidRPr="00264D5D">
        <w:rPr>
          <w:szCs w:val="24"/>
        </w:rPr>
        <w:t>» блока «Руководитель (уполномоченное им лицо)».</w:t>
      </w:r>
    </w:p>
    <w:p w14:paraId="3C422ECB" w14:textId="112B8942"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3337" w:name="_Ref52366628"/>
      <w:bookmarkStart w:id="3338" w:name="_Toc219309360"/>
      <w:r w:rsidR="008D797C">
        <w:rPr>
          <w:noProof/>
        </w:rPr>
        <w:t>330</w:t>
      </w:r>
      <w:bookmarkEnd w:id="3337"/>
      <w:r w:rsidRPr="00264D5D">
        <w:fldChar w:fldCharType="end"/>
      </w:r>
      <w:r w:rsidRPr="00264D5D">
        <w:t xml:space="preserve"> – Описание комплексного типа «tSGNNmPsDt»</w:t>
      </w:r>
      <w:bookmarkEnd w:id="3338"/>
    </w:p>
    <w:tbl>
      <w:tblPr>
        <w:tblW w:w="963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01"/>
        <w:gridCol w:w="1701"/>
        <w:gridCol w:w="567"/>
        <w:gridCol w:w="1134"/>
        <w:gridCol w:w="567"/>
        <w:gridCol w:w="3963"/>
      </w:tblGrid>
      <w:tr w:rsidR="00AD1F54" w:rsidRPr="00264D5D" w14:paraId="5746877C" w14:textId="77777777">
        <w:trPr>
          <w:tblHeader/>
        </w:trPr>
        <w:tc>
          <w:tcPr>
            <w:tcW w:w="1701" w:type="dxa"/>
            <w:shd w:val="clear" w:color="auto" w:fill="E7E6E6" w:themeFill="background2"/>
            <w:tcMar>
              <w:left w:w="28" w:type="dxa"/>
              <w:right w:w="28" w:type="dxa"/>
            </w:tcMar>
            <w:vAlign w:val="center"/>
          </w:tcPr>
          <w:p w14:paraId="520A022E" w14:textId="77777777" w:rsidR="00AD1F54" w:rsidRPr="00264D5D" w:rsidRDefault="00941227">
            <w:pPr>
              <w:pStyle w:val="ASFKTableHead"/>
            </w:pPr>
            <w:r w:rsidRPr="00264D5D">
              <w:t>Наименование элемента</w:t>
            </w:r>
          </w:p>
        </w:tc>
        <w:tc>
          <w:tcPr>
            <w:tcW w:w="1701" w:type="dxa"/>
            <w:shd w:val="clear" w:color="auto" w:fill="E7E6E6" w:themeFill="background2"/>
            <w:tcMar>
              <w:left w:w="28" w:type="dxa"/>
              <w:right w:w="28" w:type="dxa"/>
            </w:tcMar>
            <w:vAlign w:val="center"/>
          </w:tcPr>
          <w:p w14:paraId="65026FC8" w14:textId="77777777" w:rsidR="00AD1F54" w:rsidRPr="00264D5D" w:rsidRDefault="00941227">
            <w:pPr>
              <w:pStyle w:val="ASFKTableHead"/>
            </w:pPr>
            <w:r w:rsidRPr="00264D5D">
              <w:t>Сокращенное наименование (код) элемента</w:t>
            </w:r>
          </w:p>
        </w:tc>
        <w:tc>
          <w:tcPr>
            <w:tcW w:w="567" w:type="dxa"/>
            <w:shd w:val="clear" w:color="auto" w:fill="E7E6E6" w:themeFill="background2"/>
            <w:tcMar>
              <w:left w:w="28" w:type="dxa"/>
              <w:right w:w="28" w:type="dxa"/>
            </w:tcMar>
            <w:vAlign w:val="center"/>
          </w:tcPr>
          <w:p w14:paraId="29873A07" w14:textId="77777777" w:rsidR="00AD1F54" w:rsidRPr="00264D5D" w:rsidRDefault="00941227">
            <w:pPr>
              <w:pStyle w:val="ASFKTableHead"/>
            </w:pPr>
            <w:r w:rsidRPr="00264D5D">
              <w:t>Тип</w:t>
            </w:r>
          </w:p>
        </w:tc>
        <w:tc>
          <w:tcPr>
            <w:tcW w:w="1134" w:type="dxa"/>
            <w:shd w:val="clear" w:color="auto" w:fill="E7E6E6" w:themeFill="background2"/>
            <w:tcMar>
              <w:left w:w="28" w:type="dxa"/>
              <w:right w:w="28" w:type="dxa"/>
            </w:tcMar>
            <w:vAlign w:val="center"/>
          </w:tcPr>
          <w:p w14:paraId="43C9E760" w14:textId="77777777" w:rsidR="00AD1F54" w:rsidRPr="00264D5D" w:rsidRDefault="00941227">
            <w:pPr>
              <w:pStyle w:val="ASFKTableHead"/>
            </w:pPr>
            <w:r w:rsidRPr="00264D5D">
              <w:t>Формат элемента</w:t>
            </w:r>
          </w:p>
        </w:tc>
        <w:tc>
          <w:tcPr>
            <w:tcW w:w="567" w:type="dxa"/>
            <w:shd w:val="clear" w:color="auto" w:fill="E7E6E6" w:themeFill="background2"/>
            <w:tcMar>
              <w:left w:w="28" w:type="dxa"/>
              <w:right w:w="28" w:type="dxa"/>
            </w:tcMar>
            <w:vAlign w:val="center"/>
          </w:tcPr>
          <w:p w14:paraId="33BE16A2" w14:textId="77777777" w:rsidR="00AD1F54" w:rsidRPr="00264D5D" w:rsidRDefault="00941227">
            <w:pPr>
              <w:pStyle w:val="ASFKTableHead"/>
            </w:pPr>
            <w:r w:rsidRPr="00264D5D">
              <w:t>Обязательность</w:t>
            </w:r>
          </w:p>
        </w:tc>
        <w:tc>
          <w:tcPr>
            <w:tcW w:w="3963" w:type="dxa"/>
            <w:shd w:val="clear" w:color="auto" w:fill="E7E6E6" w:themeFill="background2"/>
            <w:tcMar>
              <w:left w:w="28" w:type="dxa"/>
              <w:right w:w="28" w:type="dxa"/>
            </w:tcMar>
            <w:vAlign w:val="center"/>
          </w:tcPr>
          <w:p w14:paraId="1E7706A4" w14:textId="77777777" w:rsidR="00AD1F54" w:rsidRPr="00264D5D" w:rsidRDefault="00941227">
            <w:pPr>
              <w:pStyle w:val="ASFKTableHead"/>
            </w:pPr>
            <w:r w:rsidRPr="00264D5D">
              <w:t>Дополнительная информация</w:t>
            </w:r>
          </w:p>
        </w:tc>
      </w:tr>
      <w:tr w:rsidR="00AD1F54" w:rsidRPr="00264D5D" w14:paraId="2D7FE50B" w14:textId="77777777">
        <w:tc>
          <w:tcPr>
            <w:tcW w:w="1701" w:type="dxa"/>
            <w:tcMar>
              <w:left w:w="28" w:type="dxa"/>
              <w:right w:w="28" w:type="dxa"/>
            </w:tcMar>
          </w:tcPr>
          <w:p w14:paraId="47C88BF2" w14:textId="77777777" w:rsidR="00AD1F54" w:rsidRPr="00264D5D" w:rsidRDefault="00941227">
            <w:pPr>
              <w:pStyle w:val="GOSTTablenorm"/>
              <w:widowControl w:val="0"/>
              <w:rPr>
                <w:szCs w:val="22"/>
              </w:rPr>
            </w:pPr>
            <w:r w:rsidRPr="00264D5D">
              <w:rPr>
                <w:color w:val="000000"/>
                <w:szCs w:val="22"/>
              </w:rPr>
              <w:t>Должность</w:t>
            </w:r>
          </w:p>
        </w:tc>
        <w:tc>
          <w:tcPr>
            <w:tcW w:w="1701" w:type="dxa"/>
            <w:tcMar>
              <w:left w:w="28" w:type="dxa"/>
              <w:right w:w="28" w:type="dxa"/>
            </w:tcMar>
          </w:tcPr>
          <w:p w14:paraId="73AD8BF7" w14:textId="77777777" w:rsidR="00AD1F54" w:rsidRPr="00264D5D" w:rsidRDefault="00941227">
            <w:pPr>
              <w:pStyle w:val="GOSTTablenorm"/>
              <w:widowControl w:val="0"/>
              <w:rPr>
                <w:szCs w:val="22"/>
                <w:lang w:val="en-US"/>
              </w:rPr>
            </w:pPr>
            <w:r w:rsidRPr="00264D5D">
              <w:rPr>
                <w:szCs w:val="22"/>
                <w:lang w:val="en-US"/>
              </w:rPr>
              <w:t>Pst</w:t>
            </w:r>
          </w:p>
        </w:tc>
        <w:tc>
          <w:tcPr>
            <w:tcW w:w="567" w:type="dxa"/>
            <w:tcMar>
              <w:left w:w="28" w:type="dxa"/>
              <w:right w:w="28" w:type="dxa"/>
            </w:tcMar>
          </w:tcPr>
          <w:p w14:paraId="63DF86C1" w14:textId="77777777" w:rsidR="00AD1F54" w:rsidRPr="00264D5D" w:rsidRDefault="00941227">
            <w:pPr>
              <w:pStyle w:val="GOSTTablenorm"/>
              <w:widowControl w:val="0"/>
              <w:jc w:val="center"/>
              <w:rPr>
                <w:szCs w:val="22"/>
              </w:rPr>
            </w:pPr>
            <w:r w:rsidRPr="00264D5D">
              <w:rPr>
                <w:szCs w:val="22"/>
              </w:rPr>
              <w:t>П</w:t>
            </w:r>
          </w:p>
        </w:tc>
        <w:tc>
          <w:tcPr>
            <w:tcW w:w="1134" w:type="dxa"/>
            <w:tcMar>
              <w:left w:w="28" w:type="dxa"/>
              <w:right w:w="28" w:type="dxa"/>
            </w:tcMar>
          </w:tcPr>
          <w:p w14:paraId="1141760E" w14:textId="77777777" w:rsidR="00AD1F54" w:rsidRPr="00264D5D" w:rsidRDefault="00941227">
            <w:pPr>
              <w:pStyle w:val="GOSTTablenorm"/>
              <w:widowControl w:val="0"/>
              <w:rPr>
                <w:szCs w:val="22"/>
              </w:rPr>
            </w:pPr>
            <w:r w:rsidRPr="00264D5D">
              <w:rPr>
                <w:color w:val="000000"/>
                <w:szCs w:val="22"/>
                <w:lang w:val="en-US"/>
              </w:rPr>
              <w:t>Т(1-</w:t>
            </w:r>
            <w:r w:rsidRPr="00264D5D">
              <w:rPr>
                <w:color w:val="000000"/>
                <w:szCs w:val="22"/>
              </w:rPr>
              <w:t>1</w:t>
            </w:r>
            <w:r w:rsidRPr="00264D5D">
              <w:rPr>
                <w:color w:val="000000"/>
                <w:szCs w:val="22"/>
                <w:lang w:val="en-US"/>
              </w:rPr>
              <w:t>00)</w:t>
            </w:r>
          </w:p>
        </w:tc>
        <w:tc>
          <w:tcPr>
            <w:tcW w:w="567" w:type="dxa"/>
            <w:tcMar>
              <w:left w:w="28" w:type="dxa"/>
              <w:right w:w="28" w:type="dxa"/>
            </w:tcMar>
          </w:tcPr>
          <w:p w14:paraId="175AA5B2" w14:textId="77777777" w:rsidR="00AD1F54" w:rsidRPr="00264D5D" w:rsidRDefault="00941227">
            <w:pPr>
              <w:pStyle w:val="GOSTTablenorm"/>
              <w:widowControl w:val="0"/>
              <w:jc w:val="center"/>
              <w:rPr>
                <w:szCs w:val="22"/>
              </w:rPr>
            </w:pPr>
            <w:r w:rsidRPr="00264D5D">
              <w:rPr>
                <w:szCs w:val="22"/>
              </w:rPr>
              <w:t>Н</w:t>
            </w:r>
          </w:p>
        </w:tc>
        <w:tc>
          <w:tcPr>
            <w:tcW w:w="3963" w:type="dxa"/>
            <w:tcMar>
              <w:left w:w="28" w:type="dxa"/>
              <w:right w:w="28" w:type="dxa"/>
            </w:tcMar>
          </w:tcPr>
          <w:p w14:paraId="0B935065" w14:textId="77777777" w:rsidR="00AD1F54" w:rsidRPr="00264D5D" w:rsidRDefault="00941227">
            <w:pPr>
              <w:pStyle w:val="GOSTTablenorm"/>
              <w:widowControl w:val="0"/>
              <w:rPr>
                <w:szCs w:val="22"/>
              </w:rPr>
            </w:pPr>
            <w:r w:rsidRPr="00264D5D">
              <w:rPr>
                <w:szCs w:val="22"/>
              </w:rPr>
              <w:t>Указывается</w:t>
            </w:r>
            <w:r w:rsidRPr="00264D5D">
              <w:rPr>
                <w:color w:val="000000"/>
                <w:szCs w:val="22"/>
              </w:rPr>
              <w:t xml:space="preserve"> должность </w:t>
            </w:r>
            <w:r w:rsidRPr="00264D5D">
              <w:rPr>
                <w:szCs w:val="22"/>
              </w:rPr>
              <w:t>руковод</w:t>
            </w:r>
            <w:r w:rsidR="003E1F19" w:rsidRPr="00264D5D">
              <w:rPr>
                <w:szCs w:val="22"/>
              </w:rPr>
              <w:t>ителя (уполномоченного им лица)</w:t>
            </w:r>
          </w:p>
        </w:tc>
      </w:tr>
      <w:tr w:rsidR="00AD1F54" w:rsidRPr="00264D5D" w14:paraId="200A3217" w14:textId="77777777">
        <w:tc>
          <w:tcPr>
            <w:tcW w:w="1701" w:type="dxa"/>
            <w:tcMar>
              <w:left w:w="28" w:type="dxa"/>
              <w:right w:w="28" w:type="dxa"/>
            </w:tcMar>
          </w:tcPr>
          <w:p w14:paraId="1E82B33C" w14:textId="77777777" w:rsidR="00AD1F54" w:rsidRPr="00264D5D" w:rsidRDefault="00941227">
            <w:pPr>
              <w:pStyle w:val="GOSTTablenorm"/>
              <w:widowControl w:val="0"/>
              <w:rPr>
                <w:color w:val="000000"/>
                <w:szCs w:val="22"/>
              </w:rPr>
            </w:pPr>
            <w:r w:rsidRPr="00264D5D">
              <w:rPr>
                <w:color w:val="000000"/>
                <w:szCs w:val="22"/>
              </w:rPr>
              <w:t>Расшифровка подписи</w:t>
            </w:r>
          </w:p>
        </w:tc>
        <w:tc>
          <w:tcPr>
            <w:tcW w:w="1701" w:type="dxa"/>
            <w:tcMar>
              <w:left w:w="28" w:type="dxa"/>
              <w:right w:w="28" w:type="dxa"/>
            </w:tcMar>
          </w:tcPr>
          <w:p w14:paraId="1722CF47" w14:textId="77777777" w:rsidR="00AD1F54" w:rsidRPr="00264D5D" w:rsidRDefault="00941227">
            <w:pPr>
              <w:pStyle w:val="GOSTTablenorm"/>
              <w:widowControl w:val="0"/>
              <w:rPr>
                <w:color w:val="000000"/>
                <w:szCs w:val="22"/>
              </w:rPr>
            </w:pPr>
            <w:r w:rsidRPr="00264D5D">
              <w:rPr>
                <w:color w:val="000000"/>
                <w:szCs w:val="22"/>
              </w:rPr>
              <w:t>FIO</w:t>
            </w:r>
          </w:p>
        </w:tc>
        <w:tc>
          <w:tcPr>
            <w:tcW w:w="567" w:type="dxa"/>
            <w:tcMar>
              <w:left w:w="28" w:type="dxa"/>
              <w:right w:w="28" w:type="dxa"/>
            </w:tcMar>
          </w:tcPr>
          <w:p w14:paraId="2D769F66" w14:textId="77777777" w:rsidR="00AD1F54" w:rsidRPr="00264D5D" w:rsidRDefault="00941227">
            <w:pPr>
              <w:pStyle w:val="GOSTTablenorm"/>
              <w:widowControl w:val="0"/>
              <w:jc w:val="center"/>
              <w:rPr>
                <w:szCs w:val="22"/>
              </w:rPr>
            </w:pPr>
            <w:r w:rsidRPr="00264D5D">
              <w:rPr>
                <w:szCs w:val="22"/>
              </w:rPr>
              <w:t>П</w:t>
            </w:r>
          </w:p>
        </w:tc>
        <w:tc>
          <w:tcPr>
            <w:tcW w:w="1134" w:type="dxa"/>
            <w:tcMar>
              <w:left w:w="28" w:type="dxa"/>
              <w:right w:w="28" w:type="dxa"/>
            </w:tcMar>
          </w:tcPr>
          <w:p w14:paraId="3ACDE645" w14:textId="77777777" w:rsidR="00AD1F54" w:rsidRPr="00264D5D" w:rsidRDefault="00941227">
            <w:pPr>
              <w:pStyle w:val="GOSTTablenorm"/>
              <w:widowControl w:val="0"/>
              <w:rPr>
                <w:color w:val="000000"/>
                <w:szCs w:val="22"/>
                <w:lang w:val="en-US"/>
              </w:rPr>
            </w:pPr>
            <w:r w:rsidRPr="00264D5D">
              <w:rPr>
                <w:color w:val="000000"/>
                <w:szCs w:val="22"/>
                <w:lang w:val="en-US"/>
              </w:rPr>
              <w:t>Т(1-</w:t>
            </w:r>
            <w:r w:rsidRPr="00264D5D">
              <w:rPr>
                <w:color w:val="000000"/>
                <w:szCs w:val="22"/>
              </w:rPr>
              <w:t>50</w:t>
            </w:r>
            <w:r w:rsidRPr="00264D5D">
              <w:rPr>
                <w:color w:val="000000"/>
                <w:szCs w:val="22"/>
                <w:lang w:val="en-US"/>
              </w:rPr>
              <w:t>)</w:t>
            </w:r>
          </w:p>
        </w:tc>
        <w:tc>
          <w:tcPr>
            <w:tcW w:w="567" w:type="dxa"/>
            <w:tcMar>
              <w:left w:w="28" w:type="dxa"/>
              <w:right w:w="28" w:type="dxa"/>
            </w:tcMar>
          </w:tcPr>
          <w:p w14:paraId="0807B338" w14:textId="77777777" w:rsidR="00AD1F54" w:rsidRPr="00264D5D" w:rsidRDefault="00941227">
            <w:pPr>
              <w:pStyle w:val="GOSTTablenorm"/>
              <w:widowControl w:val="0"/>
              <w:jc w:val="center"/>
              <w:rPr>
                <w:szCs w:val="22"/>
              </w:rPr>
            </w:pPr>
            <w:r w:rsidRPr="00264D5D">
              <w:rPr>
                <w:szCs w:val="22"/>
              </w:rPr>
              <w:t>Н</w:t>
            </w:r>
          </w:p>
        </w:tc>
        <w:tc>
          <w:tcPr>
            <w:tcW w:w="3963" w:type="dxa"/>
            <w:tcMar>
              <w:left w:w="28" w:type="dxa"/>
              <w:right w:w="28" w:type="dxa"/>
            </w:tcMar>
          </w:tcPr>
          <w:p w14:paraId="2A733021" w14:textId="77777777" w:rsidR="00AD1F54" w:rsidRPr="00264D5D" w:rsidRDefault="00941227">
            <w:pPr>
              <w:pStyle w:val="GOSTTablenorm"/>
              <w:widowControl w:val="0"/>
              <w:rPr>
                <w:szCs w:val="22"/>
              </w:rPr>
            </w:pPr>
            <w:r w:rsidRPr="00264D5D">
              <w:rPr>
                <w:szCs w:val="22"/>
              </w:rPr>
              <w:t xml:space="preserve">Указывается </w:t>
            </w:r>
            <w:r w:rsidRPr="00264D5D">
              <w:t xml:space="preserve">фамилия, имя, отчество </w:t>
            </w:r>
            <w:r w:rsidRPr="00264D5D">
              <w:rPr>
                <w:szCs w:val="22"/>
              </w:rPr>
              <w:t>руковод</w:t>
            </w:r>
            <w:r w:rsidR="003E1F19" w:rsidRPr="00264D5D">
              <w:rPr>
                <w:szCs w:val="22"/>
              </w:rPr>
              <w:t>ителя (уполномоченного им лица)</w:t>
            </w:r>
          </w:p>
        </w:tc>
      </w:tr>
      <w:tr w:rsidR="00AD1F54" w:rsidRPr="00264D5D" w14:paraId="6347B1CB" w14:textId="77777777">
        <w:tc>
          <w:tcPr>
            <w:tcW w:w="1701" w:type="dxa"/>
            <w:tcMar>
              <w:left w:w="28" w:type="dxa"/>
              <w:right w:w="28" w:type="dxa"/>
            </w:tcMar>
          </w:tcPr>
          <w:p w14:paraId="42305680" w14:textId="77777777" w:rsidR="00AD1F54" w:rsidRPr="00264D5D" w:rsidRDefault="00941227">
            <w:pPr>
              <w:pStyle w:val="GOSTTablenorm"/>
              <w:widowControl w:val="0"/>
              <w:rPr>
                <w:color w:val="000000"/>
                <w:szCs w:val="22"/>
              </w:rPr>
            </w:pPr>
            <w:r w:rsidRPr="00264D5D">
              <w:rPr>
                <w:color w:val="000000"/>
                <w:szCs w:val="22"/>
              </w:rPr>
              <w:t>Дата подписания</w:t>
            </w:r>
          </w:p>
        </w:tc>
        <w:tc>
          <w:tcPr>
            <w:tcW w:w="1701" w:type="dxa"/>
            <w:tcMar>
              <w:left w:w="28" w:type="dxa"/>
              <w:right w:w="28" w:type="dxa"/>
            </w:tcMar>
          </w:tcPr>
          <w:p w14:paraId="5373448A" w14:textId="77777777" w:rsidR="00AD1F54" w:rsidRPr="00264D5D" w:rsidRDefault="00941227">
            <w:pPr>
              <w:pStyle w:val="GOSTTablenorm"/>
              <w:widowControl w:val="0"/>
              <w:rPr>
                <w:color w:val="000000"/>
                <w:szCs w:val="22"/>
              </w:rPr>
            </w:pPr>
            <w:r w:rsidRPr="00264D5D">
              <w:rPr>
                <w:color w:val="000000"/>
                <w:szCs w:val="22"/>
              </w:rPr>
              <w:t>DtSgn</w:t>
            </w:r>
          </w:p>
        </w:tc>
        <w:tc>
          <w:tcPr>
            <w:tcW w:w="567" w:type="dxa"/>
            <w:tcMar>
              <w:left w:w="28" w:type="dxa"/>
              <w:right w:w="28" w:type="dxa"/>
            </w:tcMar>
          </w:tcPr>
          <w:p w14:paraId="08194C63" w14:textId="77777777" w:rsidR="00AD1F54" w:rsidRPr="00264D5D" w:rsidRDefault="00941227">
            <w:pPr>
              <w:pStyle w:val="GOSTTablenorm"/>
              <w:widowControl w:val="0"/>
              <w:jc w:val="center"/>
              <w:rPr>
                <w:szCs w:val="22"/>
              </w:rPr>
            </w:pPr>
            <w:r w:rsidRPr="00264D5D">
              <w:rPr>
                <w:szCs w:val="22"/>
              </w:rPr>
              <w:t>П</w:t>
            </w:r>
          </w:p>
        </w:tc>
        <w:tc>
          <w:tcPr>
            <w:tcW w:w="1134" w:type="dxa"/>
            <w:tcMar>
              <w:left w:w="28" w:type="dxa"/>
              <w:right w:w="28" w:type="dxa"/>
            </w:tcMar>
          </w:tcPr>
          <w:p w14:paraId="4D9414CE" w14:textId="77777777" w:rsidR="00AD1F54" w:rsidRPr="00264D5D" w:rsidRDefault="00941227">
            <w:pPr>
              <w:pStyle w:val="GOSTTablenorm"/>
              <w:widowControl w:val="0"/>
              <w:rPr>
                <w:color w:val="000000"/>
                <w:szCs w:val="22"/>
                <w:lang w:val="en-US"/>
              </w:rPr>
            </w:pPr>
            <w:r w:rsidRPr="00264D5D">
              <w:rPr>
                <w:color w:val="000000"/>
                <w:szCs w:val="22"/>
                <w:lang w:val="en-US"/>
              </w:rPr>
              <w:t>Date</w:t>
            </w:r>
          </w:p>
        </w:tc>
        <w:tc>
          <w:tcPr>
            <w:tcW w:w="567" w:type="dxa"/>
            <w:tcMar>
              <w:left w:w="28" w:type="dxa"/>
              <w:right w:w="28" w:type="dxa"/>
            </w:tcMar>
          </w:tcPr>
          <w:p w14:paraId="44EF0E6F" w14:textId="77777777" w:rsidR="00AD1F54" w:rsidRPr="00264D5D" w:rsidRDefault="00941227">
            <w:pPr>
              <w:pStyle w:val="GOSTTablenorm"/>
              <w:widowControl w:val="0"/>
              <w:jc w:val="center"/>
              <w:rPr>
                <w:szCs w:val="22"/>
              </w:rPr>
            </w:pPr>
            <w:r w:rsidRPr="00264D5D">
              <w:rPr>
                <w:szCs w:val="22"/>
              </w:rPr>
              <w:t>Н</w:t>
            </w:r>
          </w:p>
        </w:tc>
        <w:tc>
          <w:tcPr>
            <w:tcW w:w="3963" w:type="dxa"/>
            <w:tcMar>
              <w:left w:w="28" w:type="dxa"/>
              <w:right w:w="28" w:type="dxa"/>
            </w:tcMar>
          </w:tcPr>
          <w:p w14:paraId="22098BDF" w14:textId="77777777" w:rsidR="00AD1F54" w:rsidRPr="00264D5D" w:rsidRDefault="00941227">
            <w:pPr>
              <w:pStyle w:val="GOSTTablenorm"/>
              <w:widowControl w:val="0"/>
              <w:rPr>
                <w:szCs w:val="22"/>
              </w:rPr>
            </w:pPr>
            <w:r w:rsidRPr="00264D5D">
              <w:rPr>
                <w:szCs w:val="22"/>
              </w:rPr>
              <w:t>Указывается</w:t>
            </w:r>
            <w:r w:rsidR="003E1F19" w:rsidRPr="00264D5D">
              <w:rPr>
                <w:color w:val="000000"/>
                <w:szCs w:val="22"/>
              </w:rPr>
              <w:t xml:space="preserve"> дата подписи</w:t>
            </w:r>
          </w:p>
        </w:tc>
      </w:tr>
    </w:tbl>
    <w:p w14:paraId="507C9309" w14:textId="77777777" w:rsidR="00AD1F54" w:rsidRPr="00264D5D" w:rsidRDefault="00941227">
      <w:pPr>
        <w:pStyle w:val="31"/>
      </w:pPr>
      <w:r w:rsidRPr="00264D5D">
        <w:t xml:space="preserve"> </w:t>
      </w:r>
      <w:bookmarkStart w:id="3339" w:name="_Toc219309816"/>
      <w:r w:rsidRPr="00264D5D">
        <w:t>Описание комплексного типа «tSGNNmPs1»</w:t>
      </w:r>
      <w:bookmarkEnd w:id="3339"/>
    </w:p>
    <w:p w14:paraId="56219563" w14:textId="77777777" w:rsidR="00AD1F54" w:rsidRPr="00264D5D" w:rsidRDefault="00941227">
      <w:pPr>
        <w:pStyle w:val="GOSTNormal"/>
        <w:widowControl w:val="0"/>
        <w:rPr>
          <w:szCs w:val="24"/>
        </w:rPr>
      </w:pPr>
      <w:r w:rsidRPr="00264D5D">
        <w:t xml:space="preserve">Описание комплексного типа </w:t>
      </w:r>
      <w:r w:rsidRPr="00264D5D">
        <w:rPr>
          <w:rFonts w:eastAsia="Calibri"/>
          <w:szCs w:val="24"/>
        </w:rPr>
        <w:t>«</w:t>
      </w:r>
      <w:r w:rsidRPr="00264D5D">
        <w:rPr>
          <w:szCs w:val="24"/>
          <w:lang w:val="en-US"/>
        </w:rPr>
        <w:t>tSGNNmPs</w:t>
      </w:r>
      <w:r w:rsidRPr="00264D5D">
        <w:rPr>
          <w:szCs w:val="24"/>
        </w:rPr>
        <w:t>1» блока «Главный бухгалтер (уполномоченное лицо).</w:t>
      </w:r>
    </w:p>
    <w:p w14:paraId="616CDDFD" w14:textId="220F2500" w:rsidR="00AD1F54" w:rsidRPr="00264D5D" w:rsidRDefault="00941227">
      <w:pPr>
        <w:pStyle w:val="GOSTNameTable"/>
        <w:numPr>
          <w:ilvl w:val="0"/>
          <w:numId w:val="2"/>
        </w:numPr>
        <w:ind w:left="425" w:hanging="357"/>
      </w:pPr>
      <w:r w:rsidRPr="00264D5D">
        <w:fldChar w:fldCharType="begin"/>
      </w:r>
      <w:r w:rsidRPr="00264D5D">
        <w:instrText>SEQ Таблица \* ARABIC</w:instrText>
      </w:r>
      <w:r w:rsidRPr="00264D5D">
        <w:fldChar w:fldCharType="separate"/>
      </w:r>
      <w:bookmarkStart w:id="3340" w:name="_Ref52366651"/>
      <w:bookmarkStart w:id="3341" w:name="_Toc219309361"/>
      <w:r w:rsidR="008D797C">
        <w:rPr>
          <w:noProof/>
        </w:rPr>
        <w:t>331</w:t>
      </w:r>
      <w:bookmarkEnd w:id="3340"/>
      <w:r w:rsidRPr="00264D5D">
        <w:fldChar w:fldCharType="end"/>
      </w:r>
      <w:r w:rsidRPr="00264D5D">
        <w:t xml:space="preserve"> – Описание комплексного типа «tSGNNmPs</w:t>
      </w:r>
      <w:r w:rsidRPr="00264D5D">
        <w:rPr>
          <w:lang w:val="en-US"/>
        </w:rPr>
        <w:t>1</w:t>
      </w:r>
      <w:r w:rsidRPr="00264D5D">
        <w:t>»</w:t>
      </w:r>
      <w:bookmarkEnd w:id="3341"/>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AD1F54" w:rsidRPr="00264D5D" w14:paraId="6C13C2D8"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288D29C0" w14:textId="77777777" w:rsidR="00AD1F54" w:rsidRPr="00264D5D" w:rsidRDefault="00941227">
            <w:pPr>
              <w:pStyle w:val="ASFKTableHead"/>
            </w:pPr>
            <w:r w:rsidRPr="00264D5D">
              <w:t>Наименование элемента</w:t>
            </w:r>
          </w:p>
        </w:tc>
        <w:tc>
          <w:tcPr>
            <w:tcW w:w="1701" w:type="dxa"/>
          </w:tcPr>
          <w:p w14:paraId="4A87615F" w14:textId="77777777" w:rsidR="00AD1F54" w:rsidRPr="00264D5D" w:rsidRDefault="00941227">
            <w:pPr>
              <w:pStyle w:val="ASFKTableHead"/>
            </w:pPr>
            <w:r w:rsidRPr="00264D5D">
              <w:t>Сокращенное наименование (код) элемента</w:t>
            </w:r>
          </w:p>
        </w:tc>
        <w:tc>
          <w:tcPr>
            <w:tcW w:w="567" w:type="dxa"/>
          </w:tcPr>
          <w:p w14:paraId="46AF634F" w14:textId="77777777" w:rsidR="00AD1F54" w:rsidRPr="00264D5D" w:rsidRDefault="00941227">
            <w:pPr>
              <w:pStyle w:val="ASFKTableHead"/>
            </w:pPr>
            <w:r w:rsidRPr="00264D5D">
              <w:t>Тип</w:t>
            </w:r>
          </w:p>
        </w:tc>
        <w:tc>
          <w:tcPr>
            <w:tcW w:w="1134" w:type="dxa"/>
          </w:tcPr>
          <w:p w14:paraId="5181B9D2" w14:textId="77777777" w:rsidR="00AD1F54" w:rsidRPr="00264D5D" w:rsidRDefault="00941227">
            <w:pPr>
              <w:pStyle w:val="ASFKTableHead"/>
            </w:pPr>
            <w:r w:rsidRPr="00264D5D">
              <w:t>Формат элемента</w:t>
            </w:r>
          </w:p>
        </w:tc>
        <w:tc>
          <w:tcPr>
            <w:tcW w:w="567" w:type="dxa"/>
          </w:tcPr>
          <w:p w14:paraId="78C28B3F" w14:textId="77777777" w:rsidR="00AD1F54" w:rsidRPr="00264D5D" w:rsidRDefault="00941227">
            <w:pPr>
              <w:pStyle w:val="ASFKTableHead"/>
            </w:pPr>
            <w:r w:rsidRPr="00264D5D">
              <w:t>Обязательность</w:t>
            </w:r>
          </w:p>
        </w:tc>
        <w:tc>
          <w:tcPr>
            <w:tcW w:w="3963" w:type="dxa"/>
          </w:tcPr>
          <w:p w14:paraId="5A64E78C" w14:textId="77777777" w:rsidR="00AD1F54" w:rsidRPr="00264D5D" w:rsidRDefault="00941227">
            <w:pPr>
              <w:pStyle w:val="ASFKTableHead"/>
            </w:pPr>
            <w:r w:rsidRPr="00264D5D">
              <w:t>Дополнительная информация</w:t>
            </w:r>
          </w:p>
        </w:tc>
      </w:tr>
      <w:tr w:rsidR="00AD1F54" w:rsidRPr="00264D5D" w14:paraId="24C982DD" w14:textId="77777777" w:rsidTr="00AD1F54">
        <w:trPr>
          <w:cnfStyle w:val="000000100000" w:firstRow="0" w:lastRow="0" w:firstColumn="0" w:lastColumn="0" w:oddVBand="0" w:evenVBand="0" w:oddHBand="1" w:evenHBand="0" w:firstRowFirstColumn="0" w:firstRowLastColumn="0" w:lastRowFirstColumn="0" w:lastRowLastColumn="0"/>
        </w:trPr>
        <w:tc>
          <w:tcPr>
            <w:tcW w:w="1701" w:type="dxa"/>
          </w:tcPr>
          <w:p w14:paraId="4D26C244" w14:textId="77777777" w:rsidR="00AD1F54" w:rsidRPr="00264D5D" w:rsidRDefault="00941227">
            <w:pPr>
              <w:pStyle w:val="GOSTTablenorm"/>
              <w:widowControl w:val="0"/>
              <w:rPr>
                <w:szCs w:val="22"/>
              </w:rPr>
            </w:pPr>
            <w:r w:rsidRPr="00264D5D">
              <w:rPr>
                <w:color w:val="000000"/>
                <w:szCs w:val="22"/>
              </w:rPr>
              <w:t>Должность</w:t>
            </w:r>
          </w:p>
        </w:tc>
        <w:tc>
          <w:tcPr>
            <w:tcW w:w="1701" w:type="dxa"/>
          </w:tcPr>
          <w:p w14:paraId="62F796D3" w14:textId="77777777" w:rsidR="00AD1F54" w:rsidRPr="00264D5D" w:rsidRDefault="00941227">
            <w:pPr>
              <w:pStyle w:val="GOSTTablenorm"/>
              <w:widowControl w:val="0"/>
              <w:rPr>
                <w:szCs w:val="22"/>
                <w:lang w:val="en-US"/>
              </w:rPr>
            </w:pPr>
            <w:r w:rsidRPr="00264D5D">
              <w:rPr>
                <w:szCs w:val="22"/>
                <w:lang w:val="en-US"/>
              </w:rPr>
              <w:t>Pst</w:t>
            </w:r>
          </w:p>
        </w:tc>
        <w:tc>
          <w:tcPr>
            <w:tcW w:w="567" w:type="dxa"/>
          </w:tcPr>
          <w:p w14:paraId="4F61FA9D" w14:textId="77777777" w:rsidR="00AD1F54" w:rsidRPr="00264D5D" w:rsidRDefault="00941227">
            <w:pPr>
              <w:pStyle w:val="GOSTTablenorm"/>
              <w:widowControl w:val="0"/>
              <w:jc w:val="center"/>
              <w:rPr>
                <w:szCs w:val="22"/>
              </w:rPr>
            </w:pPr>
            <w:r w:rsidRPr="00264D5D">
              <w:rPr>
                <w:szCs w:val="22"/>
              </w:rPr>
              <w:t>П</w:t>
            </w:r>
          </w:p>
        </w:tc>
        <w:tc>
          <w:tcPr>
            <w:tcW w:w="1134" w:type="dxa"/>
          </w:tcPr>
          <w:p w14:paraId="7CD82A54" w14:textId="77777777" w:rsidR="00AD1F54" w:rsidRPr="00264D5D" w:rsidRDefault="00941227">
            <w:pPr>
              <w:pStyle w:val="GOSTTablenorm"/>
              <w:widowControl w:val="0"/>
              <w:rPr>
                <w:szCs w:val="22"/>
              </w:rPr>
            </w:pPr>
            <w:r w:rsidRPr="00264D5D">
              <w:rPr>
                <w:color w:val="000000"/>
                <w:szCs w:val="22"/>
                <w:lang w:val="en-US"/>
              </w:rPr>
              <w:t>Т(1-</w:t>
            </w:r>
            <w:r w:rsidRPr="00264D5D">
              <w:rPr>
                <w:color w:val="000000"/>
                <w:szCs w:val="22"/>
              </w:rPr>
              <w:t>1</w:t>
            </w:r>
            <w:r w:rsidRPr="00264D5D">
              <w:rPr>
                <w:color w:val="000000"/>
                <w:szCs w:val="22"/>
                <w:lang w:val="en-US"/>
              </w:rPr>
              <w:t>00)</w:t>
            </w:r>
          </w:p>
        </w:tc>
        <w:tc>
          <w:tcPr>
            <w:tcW w:w="567" w:type="dxa"/>
          </w:tcPr>
          <w:p w14:paraId="0BDCDBCB" w14:textId="77777777" w:rsidR="00AD1F54" w:rsidRPr="00264D5D" w:rsidRDefault="00941227">
            <w:pPr>
              <w:pStyle w:val="GOSTTablenorm"/>
              <w:widowControl w:val="0"/>
              <w:jc w:val="center"/>
              <w:rPr>
                <w:szCs w:val="22"/>
              </w:rPr>
            </w:pPr>
            <w:r w:rsidRPr="00264D5D">
              <w:rPr>
                <w:szCs w:val="22"/>
              </w:rPr>
              <w:t>Н</w:t>
            </w:r>
          </w:p>
        </w:tc>
        <w:tc>
          <w:tcPr>
            <w:tcW w:w="3963" w:type="dxa"/>
          </w:tcPr>
          <w:p w14:paraId="32E8B737" w14:textId="77777777" w:rsidR="00AD1F54" w:rsidRPr="00264D5D" w:rsidRDefault="00941227">
            <w:pPr>
              <w:pStyle w:val="GOSTTablenorm"/>
              <w:widowControl w:val="0"/>
              <w:rPr>
                <w:szCs w:val="22"/>
              </w:rPr>
            </w:pPr>
            <w:r w:rsidRPr="00264D5D">
              <w:rPr>
                <w:szCs w:val="22"/>
              </w:rPr>
              <w:t>Указывается</w:t>
            </w:r>
            <w:r w:rsidRPr="00264D5D">
              <w:rPr>
                <w:color w:val="000000"/>
                <w:szCs w:val="22"/>
              </w:rPr>
              <w:t xml:space="preserve"> должность </w:t>
            </w:r>
            <w:r w:rsidRPr="00264D5D">
              <w:rPr>
                <w:szCs w:val="22"/>
              </w:rPr>
              <w:t>главного бу</w:t>
            </w:r>
            <w:r w:rsidR="003E1F19" w:rsidRPr="00264D5D">
              <w:rPr>
                <w:szCs w:val="22"/>
              </w:rPr>
              <w:t>хгалтера (уполномоченного лица)</w:t>
            </w:r>
          </w:p>
        </w:tc>
      </w:tr>
      <w:tr w:rsidR="00AD1F54" w:rsidRPr="00264D5D" w14:paraId="2D097637" w14:textId="77777777" w:rsidTr="00AD1F54">
        <w:trPr>
          <w:cnfStyle w:val="000000010000" w:firstRow="0" w:lastRow="0" w:firstColumn="0" w:lastColumn="0" w:oddVBand="0" w:evenVBand="0" w:oddHBand="0" w:evenHBand="1" w:firstRowFirstColumn="0" w:firstRowLastColumn="0" w:lastRowFirstColumn="0" w:lastRowLastColumn="0"/>
        </w:trPr>
        <w:tc>
          <w:tcPr>
            <w:tcW w:w="1701" w:type="dxa"/>
          </w:tcPr>
          <w:p w14:paraId="61AE0F81" w14:textId="77777777" w:rsidR="00AD1F54" w:rsidRPr="00264D5D" w:rsidRDefault="00941227">
            <w:pPr>
              <w:pStyle w:val="GOSTTablenorm"/>
              <w:widowControl w:val="0"/>
              <w:rPr>
                <w:color w:val="000000"/>
                <w:szCs w:val="22"/>
              </w:rPr>
            </w:pPr>
            <w:r w:rsidRPr="00264D5D">
              <w:rPr>
                <w:color w:val="000000"/>
                <w:szCs w:val="22"/>
              </w:rPr>
              <w:t xml:space="preserve">Расшифровка </w:t>
            </w:r>
            <w:r w:rsidRPr="00264D5D">
              <w:rPr>
                <w:color w:val="000000"/>
                <w:szCs w:val="22"/>
              </w:rPr>
              <w:lastRenderedPageBreak/>
              <w:t>подписи</w:t>
            </w:r>
          </w:p>
        </w:tc>
        <w:tc>
          <w:tcPr>
            <w:tcW w:w="1701" w:type="dxa"/>
          </w:tcPr>
          <w:p w14:paraId="6D95C30B" w14:textId="77777777" w:rsidR="00AD1F54" w:rsidRPr="00264D5D" w:rsidRDefault="00941227">
            <w:pPr>
              <w:pStyle w:val="GOSTTablenorm"/>
              <w:widowControl w:val="0"/>
              <w:rPr>
                <w:color w:val="000000"/>
                <w:szCs w:val="22"/>
              </w:rPr>
            </w:pPr>
            <w:r w:rsidRPr="00264D5D">
              <w:rPr>
                <w:color w:val="000000"/>
                <w:szCs w:val="22"/>
              </w:rPr>
              <w:lastRenderedPageBreak/>
              <w:t>FIO</w:t>
            </w:r>
          </w:p>
        </w:tc>
        <w:tc>
          <w:tcPr>
            <w:tcW w:w="567" w:type="dxa"/>
          </w:tcPr>
          <w:p w14:paraId="25686E84" w14:textId="77777777" w:rsidR="00AD1F54" w:rsidRPr="00264D5D" w:rsidRDefault="00941227">
            <w:pPr>
              <w:pStyle w:val="GOSTTablenorm"/>
              <w:widowControl w:val="0"/>
              <w:jc w:val="center"/>
              <w:rPr>
                <w:szCs w:val="22"/>
              </w:rPr>
            </w:pPr>
            <w:r w:rsidRPr="00264D5D">
              <w:rPr>
                <w:szCs w:val="22"/>
              </w:rPr>
              <w:t>П</w:t>
            </w:r>
          </w:p>
        </w:tc>
        <w:tc>
          <w:tcPr>
            <w:tcW w:w="1134" w:type="dxa"/>
          </w:tcPr>
          <w:p w14:paraId="326478A0" w14:textId="77777777" w:rsidR="00AD1F54" w:rsidRPr="00264D5D" w:rsidRDefault="00941227">
            <w:pPr>
              <w:pStyle w:val="GOSTTablenorm"/>
              <w:widowControl w:val="0"/>
              <w:rPr>
                <w:color w:val="000000"/>
                <w:szCs w:val="22"/>
                <w:lang w:val="en-US"/>
              </w:rPr>
            </w:pPr>
            <w:r w:rsidRPr="00264D5D">
              <w:rPr>
                <w:color w:val="000000"/>
                <w:szCs w:val="22"/>
                <w:lang w:val="en-US"/>
              </w:rPr>
              <w:t>Т(1-</w:t>
            </w:r>
            <w:r w:rsidRPr="00264D5D">
              <w:rPr>
                <w:color w:val="000000"/>
                <w:szCs w:val="22"/>
              </w:rPr>
              <w:t>50</w:t>
            </w:r>
            <w:r w:rsidRPr="00264D5D">
              <w:rPr>
                <w:color w:val="000000"/>
                <w:szCs w:val="22"/>
                <w:lang w:val="en-US"/>
              </w:rPr>
              <w:t>)</w:t>
            </w:r>
          </w:p>
        </w:tc>
        <w:tc>
          <w:tcPr>
            <w:tcW w:w="567" w:type="dxa"/>
          </w:tcPr>
          <w:p w14:paraId="53744E37" w14:textId="77777777" w:rsidR="00AD1F54" w:rsidRPr="00264D5D" w:rsidRDefault="00941227">
            <w:pPr>
              <w:pStyle w:val="GOSTTablenorm"/>
              <w:widowControl w:val="0"/>
              <w:jc w:val="center"/>
              <w:rPr>
                <w:szCs w:val="22"/>
              </w:rPr>
            </w:pPr>
            <w:r w:rsidRPr="00264D5D">
              <w:rPr>
                <w:szCs w:val="22"/>
              </w:rPr>
              <w:t>Н</w:t>
            </w:r>
          </w:p>
        </w:tc>
        <w:tc>
          <w:tcPr>
            <w:tcW w:w="3963" w:type="dxa"/>
          </w:tcPr>
          <w:p w14:paraId="2FE987BF" w14:textId="77777777" w:rsidR="00AD1F54" w:rsidRPr="00264D5D" w:rsidRDefault="00941227">
            <w:pPr>
              <w:pStyle w:val="GOSTTablenorm"/>
              <w:widowControl w:val="0"/>
              <w:rPr>
                <w:szCs w:val="22"/>
              </w:rPr>
            </w:pPr>
            <w:r w:rsidRPr="00264D5D">
              <w:rPr>
                <w:szCs w:val="22"/>
              </w:rPr>
              <w:t xml:space="preserve">Указывается </w:t>
            </w:r>
            <w:r w:rsidRPr="00264D5D">
              <w:t xml:space="preserve">фамилия, имя, отчество </w:t>
            </w:r>
            <w:r w:rsidRPr="00264D5D">
              <w:rPr>
                <w:szCs w:val="22"/>
              </w:rPr>
              <w:lastRenderedPageBreak/>
              <w:t>главного бу</w:t>
            </w:r>
            <w:r w:rsidR="003E1F19" w:rsidRPr="00264D5D">
              <w:rPr>
                <w:szCs w:val="22"/>
              </w:rPr>
              <w:t>хгалтера (уполномоченного лица)</w:t>
            </w:r>
          </w:p>
        </w:tc>
      </w:tr>
    </w:tbl>
    <w:p w14:paraId="5F08EEED" w14:textId="77777777" w:rsidR="00AD1F54" w:rsidRPr="00264D5D" w:rsidRDefault="00941227">
      <w:pPr>
        <w:pStyle w:val="31"/>
      </w:pPr>
      <w:r w:rsidRPr="00264D5D">
        <w:lastRenderedPageBreak/>
        <w:t xml:space="preserve"> </w:t>
      </w:r>
      <w:bookmarkStart w:id="3342" w:name="_Toc219309817"/>
      <w:r w:rsidRPr="00264D5D">
        <w:t>Пример XML</w:t>
      </w:r>
      <w:bookmarkEnd w:id="3342"/>
    </w:p>
    <w:p w14:paraId="74C2D6D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&lt;?xml version="1.0" encoding="UTF-8"?&gt;</w:t>
      </w:r>
    </w:p>
    <w:p w14:paraId="71B98AD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&lt;soapenv:Envelope xmlns:soapenv="http://schemas.xmlsoap.org/soap/envelope/" xmlns:wsu="http://docs.oasis-open.org/wss/2004/01/oasis-200401-wss-wssecurity-utility-1.0.xsd" xmlns:wsse="http://docs.oasis-open.org/wss/2004/01/oasis-200401-wss-wssecurity-secext-1.0.xsd"&gt;</w:t>
      </w:r>
    </w:p>
    <w:p w14:paraId="760F461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&lt;soapenv:Header xmlns:env="http://schemas.xmlsoap.org/soap/envelope/"&gt;&lt;wsse:Security wsu:Id="Id-sec-f9cb3040b7ca31cd7876d625c632e1aed304"&gt;</w:t>
      </w:r>
    </w:p>
    <w:p w14:paraId="4301F72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 xmlns="http://www.w3.org/2000/09/xmldsig#" Id="Id-sig-b9199ca934cfa91bcff69e807d7b0dbd26f6"&gt;</w:t>
      </w:r>
    </w:p>
    <w:p w14:paraId="3D72FED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7FA8358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&lt;CanonicalizationMethod Algorithm="http://www.w3.org/2001/10/xml-exc-c14n#"/&gt;</w:t>
      </w:r>
    </w:p>
    <w:p w14:paraId="7319922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&lt;SignatureMethod Algorithm="http://www.w3.org/2001/04/xmldsig-more#gostr34102001-gostr3411"/&gt;</w:t>
      </w:r>
    </w:p>
    <w:p w14:paraId="370962A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URI="#Id-wssecdata-29cef34e3106063e64fead91c94aeda97ff4" Id="Id-dataref-ea575c0bb2c994b98298d2c77dcd5a7dbaa1"&gt;</w:t>
      </w:r>
    </w:p>
    <w:p w14:paraId="7E1A4AD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51B6712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5F1FA4A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5BFBAEE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617265E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&lt;DigestValue&gt;4bqC9/3OSJqEHDz00XLzUf29YFcetigx2jr08qUp7fQ=&lt;/DigestValue&gt;</w:t>
      </w:r>
    </w:p>
    <w:p w14:paraId="7CBD3F4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0330EB7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Type="http://www.w3.org/TR/2002/REC-xmldsig-core-20020212/xmldsig-core-schema.xsd#X509Data" URI="#Id-keyinfo-11712390bc17243d110193ac033f54873ad8" Id="Id-keyinforef-ac3c6eb29c9af1964819db52ec661b26c339"&gt;</w:t>
      </w:r>
    </w:p>
    <w:p w14:paraId="06C542D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58A2F8F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7F35328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36E0085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4BAC93F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&lt;DigestValue&gt;+0q515JTexjW0go5SdPl7+ydqXUKST91N44lIbXt8Yo=&lt;/DigestValue&gt;</w:t>
      </w:r>
    </w:p>
    <w:p w14:paraId="36B685C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13375C4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URI="#Id-sp-4179cfd1e4ba9c0aaed70450fc3c741c9c08" Id="Id-ref-cb8cc265f168034494eca1c25ec74bf9433c"&gt;</w:t>
      </w:r>
    </w:p>
    <w:p w14:paraId="4DDC6EC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1C92B7B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439E9EC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373E141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639530A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&lt;DigestValue&gt;f10/P/MZ5W1AwvdMPGkqpWfYGkK10xUw6SycuQIgFIc=&lt;/DigestValue&gt;</w:t>
      </w:r>
    </w:p>
    <w:p w14:paraId="6D78A4B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48544B8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64E2AA3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&lt;SignatureValue&gt;Xg8mlCU46QdjuUgHR/GFI13DKE7tfRDOphsVyNpFnxC/Sa2XnEuGBKeW7azroY19</w:t>
      </w:r>
    </w:p>
    <w:p w14:paraId="66A841C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3u7EHXe4dKfnrJ7k7Eq5+A==&lt;/SignatureValue&gt;</w:t>
      </w:r>
    </w:p>
    <w:p w14:paraId="5FF0C55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32D0589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7DE3E14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 xmlns="http://uri.etsi.org/01903/v1.4.1#" Target="Id-sig-b9199ca934cfa91bcff69e807d7b0dbd26f6"&gt;</w:t>
      </w:r>
    </w:p>
    <w:p w14:paraId="2A46A97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 Id="Id-sp-4179cfd1e4ba9c0aaed70450fc3c741c9c08"&gt;</w:t>
      </w:r>
    </w:p>
    <w:p w14:paraId="73DF8B6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&lt;SignedSignatureProperties Id="Id-ssp-408cecc6a155b8a0f2850e81d5f57496bb2b"/&gt;</w:t>
      </w:r>
    </w:p>
    <w:p w14:paraId="61F3B41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&lt;/SignedProperties&gt;</w:t>
      </w:r>
    </w:p>
    <w:p w14:paraId="5D51209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&lt;/QualifyingProperties&gt;</w:t>
      </w:r>
    </w:p>
    <w:p w14:paraId="0C5BFDD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4026422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16C3ACB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CVNlcnZlciBDQTEgMB4GCSqGSIb3DQEJARYRdWNfZmtAcm9za2F6bmEucnUxHDAa</w:t>
      </w:r>
    </w:p>
    <w:p w14:paraId="6BC6330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BgNVBAgMEzc3INCzLiDQnNC+0YHQutCy0LAxGjAYBggqhQMDgQMBARIMMDA3NzEw</w:t>
      </w:r>
    </w:p>
    <w:p w14:paraId="2D9FD2F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NTY4NzYwMRgwFgYFKoUDZAESDTEwNDc3OTcwMTk4MzAxLDAqBgNVBAkMI9GD0LvQ</w:t>
      </w:r>
    </w:p>
    <w:p w14:paraId="676CC4F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uNGG0LAg0JjQu9GM0LjQvdC60LAsINC00L7QvCA3MRUwEwYDVQQHDAzQnNC+0YHQ</w:t>
      </w:r>
    </w:p>
    <w:p w14:paraId="52CD07E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utCy0LAxCzAJBgNVBAYTAlJVMTgwNgYDVQQKDC/QpNC10LTQtdGA0LDQu9GM0L3Q</w:t>
      </w:r>
    </w:p>
    <w:p w14:paraId="1EB5106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vtC1INC60LDQt9C90LDRh9C10LnRgdGC0LLQvjE/MD0GA1UEAww20KPQpiDQpNC1</w:t>
      </w:r>
    </w:p>
    <w:p w14:paraId="2342C69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0LTQtdGA0LDQu9GM0L3QvtCz0L4g0LrQsNC30L3QsNGH0LXQudGB0YLQstCwMB4X</w:t>
      </w:r>
    </w:p>
    <w:p w14:paraId="53CA394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DTE2MDQwNzA4MTExMFoXDTE3MDcwNzA4MTExMFowggITMRYwFAYFKoUDZAMSCzEy</w:t>
      </w:r>
    </w:p>
    <w:p w14:paraId="1004DE4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MzQ1Njc4OTAxMRgwFgYFKoUDZAESDTAxMjM0NTY3ODkxMjMxGjAYBggqhQMDgQMB</w:t>
      </w:r>
    </w:p>
    <w:p w14:paraId="25D0BA3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ARIMMDAxMjM0NTY3ODkwMSYwJAYJKoZIhvcNAQkBFhduLm5hZ292aXRzeW5AaW5m</w:t>
      </w:r>
    </w:p>
    <w:p w14:paraId="53858B9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b3NlYy5ydTELMAkGA1UEBhMCUlUxHDAaBgNVBAgMEzc3INCzLiDQnNC+0YHQutCy</w:t>
      </w:r>
    </w:p>
    <w:p w14:paraId="4548894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0LAxFTATBgNVBAcMDNCc0L7RgdC60LLQsDE4MDYGA1UECgwv0KTQtdC00LXRgNCw</w:t>
      </w:r>
    </w:p>
    <w:p w14:paraId="0AC8355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0LvRjNC90L7QtSDQutCw0LfQvdCw0YfQtdC50YHRgtCy0L4xNDAyBgNVBAsMK9GC</w:t>
      </w:r>
    </w:p>
    <w:p w14:paraId="3DB28FA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0LXRgdGC0L7QstC+0LUg0L/QvtC00YDQsNC30LTQtdC70LXQvdC40LUxHDAaBgNV</w:t>
      </w:r>
    </w:p>
    <w:p w14:paraId="063D3BE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BCoME2PQtdGA0YLQuNGE0LjQutCw0YIxGTAXBgNVBAQMENCi0LXRgdGC0L7QstGL</w:t>
      </w:r>
    </w:p>
    <w:p w14:paraId="7630D98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0LkxPTA7BgNVBAwMNNCi0LXRgdGC0L7QstGL0Lkg0YHQtdGA0YLQuNGE0LjQutCw</w:t>
      </w:r>
    </w:p>
    <w:p w14:paraId="4B15CF2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0YIg0L/QvtC00L/QuNGB0LgxQTA/BgkqhkiG9w0BCQIMMklOTlw9MDEyMzQ1Njc4</w:t>
      </w:r>
    </w:p>
    <w:p w14:paraId="1EB8231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OS9LUFBcPTEyMzQ1Njc4OS9PR1JOXD0wMTIzNDU2Nzg5MTIzMS4wLAYDVQQDDCXQ</w:t>
      </w:r>
    </w:p>
    <w:p w14:paraId="19271E1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otC10YHRgtC+0LLRi9C5INGB0LXRgNGC0LjRhNC40LrQsNGCMGMwHAYGKoUDAgIT</w:t>
      </w:r>
    </w:p>
    <w:p w14:paraId="0CBA586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MBIGByqFAwICJAAGByqFAwICHgEDQwAEQM/mE38gcSmh2U183WL3aPaP3tJu0vTq</w:t>
      </w:r>
    </w:p>
    <w:p w14:paraId="63DE77E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CndMDcb72IGcv8nO7QkaqnFwXrkt6zScdQlQgUX78ct0+jNJa7ZIdLGjggRJMIIE</w:t>
      </w:r>
    </w:p>
    <w:p w14:paraId="68A9D45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RTAMBgNVHRMBAf8EAjAAMB0GA1UdIAQWMBQwCAYGKoUDZHEBMAgGBiqFA2RxAjBN</w:t>
      </w:r>
    </w:p>
    <w:p w14:paraId="56450DF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BgUqhQNkbwREDELQmtGA0LjQv9GC0L7Qn9GA0L4gQ1NQICjQstC10YDRgdC40Y8g</w:t>
      </w:r>
    </w:p>
    <w:p w14:paraId="323675B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My42KSAo0LjRgdC/0L7Qu9C90LXQvdC40LUgMikwggFhBgUqhQNkcASCAVYwggFS</w:t>
      </w:r>
    </w:p>
    <w:p w14:paraId="6E4E6F9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DEQi0JrRgNC40L/RgtC+0J/RgNC+IENTUCIgKNCy0LXRgNGB0LjRjyAzLjYpICjQ</w:t>
      </w:r>
    </w:p>
    <w:p w14:paraId="521B5DE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uNGB0L/QvtC70L3QtdC90LjQtSAyKQxoItCf0YDQvtCz0YDQsNC80LzQvdC+LdCw</w:t>
      </w:r>
    </w:p>
    <w:p w14:paraId="7EEE385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0L/Qv9Cw0YDQsNGC0L3Ri9C5INC60L7QvNC/0LvQtdC60YEgItCu0L3QuNGB0LXR</w:t>
      </w:r>
    </w:p>
    <w:p w14:paraId="13F532A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gNGCLdCT0J7QodCiIi4g0JLQtdGA0YHQuNGPIDIuMSIMT9Ch0LXRgNGC0LjRhNC4</w:t>
      </w:r>
    </w:p>
    <w:p w14:paraId="40A44B9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0LrQsNGCINGB0L7QvtGC0LLQtdGC0YHRgtCy0LjRjyDihJYg0KHQpC8xMjQtMjcz</w:t>
      </w:r>
    </w:p>
    <w:p w14:paraId="79F4B86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OCDQvtGCIDAxLjA3LjIwMTUMT9Ch0LXRgNGC0LjRhNC40LrQsNGCINGB0L7QvtGC</w:t>
      </w:r>
    </w:p>
    <w:p w14:paraId="3C53D58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0LLQtdGC0YHRgtCy0LjRjyDihJYg0KHQpC8xMjgtMjE3NSDQvtGCIDIwLjA2LjIw</w:t>
      </w:r>
    </w:p>
    <w:p w14:paraId="7733BB9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MTMwDgYDVR0PAQH/BAQDAgTwMBMGA1UdJQQMMAoGCCsGAQUFBwMDMCsGA1UdEAQk</w:t>
      </w:r>
    </w:p>
    <w:p w14:paraId="16AF788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MCKADzIwMTYwNDA3MDgwNDI4WoEPMjAxNzA3MDcwODA0MjhaMIIBjwYDVR0jBIIB</w:t>
      </w:r>
    </w:p>
    <w:p w14:paraId="64AEA3A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hjCCAYKAFJ5xDg/atAEoXz/iy49lFZcCR4yroYIBZaSCAWEwggFdMRgwFgYJKoZI</w:t>
      </w:r>
    </w:p>
    <w:p w14:paraId="1AC8759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hvcNAQkCEwlTZXJ2ZXIgQ0ExIDAeBgkqhkiG9w0BCQEWEXVjX2ZrQHJvc2them5h</w:t>
      </w:r>
    </w:p>
    <w:p w14:paraId="1753DF6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LnJ1MRwwGgYDVQQIDBM3NyDQsy4g0JzQvtGB0LrQstCwMRowGAYIKoUDA4EDAQES</w:t>
      </w:r>
    </w:p>
    <w:p w14:paraId="07AD1E3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DDAwNzcxMDU2ODc2MDEYMBYGBSqFA2QBEg0xMDQ3Nzk3MDE5ODMwMSwwKgYDVQQJ</w:t>
      </w:r>
    </w:p>
    <w:p w14:paraId="176D3AF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DCPRg9C70LjRhtCwINCY0LvRjNC40L3QutCwLCDQtNC+0LwgNzEVMBMGA1UEBwwM</w:t>
      </w:r>
    </w:p>
    <w:p w14:paraId="547BC96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0JzQvtGB0LrQstCwMQswCQYDVQQGEwJSVTE4MDYGA1UECgwv0KTQtdC00LXRgNCw</w:t>
      </w:r>
    </w:p>
    <w:p w14:paraId="2BEB678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0LvRjNC90L7QtSDQutCw0LfQvdCw0YfQtdC50YHRgtCy0L4xPzA9BgNVBAMMNtCj</w:t>
      </w:r>
    </w:p>
    <w:p w14:paraId="00EFE62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0KYg0KTQtdC00LXRgNCw0LvRjNC90L7Qs9C+INC60LDQt9C90LDRh9C10LnRgdGC</w:t>
      </w:r>
    </w:p>
    <w:p w14:paraId="0E5D823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0LLQsIIBATBeBgNVHR8EVzBVMCmgJ6AlhiNodHRwOi8vY3JsLnJvc2them5hLnJ1</w:t>
      </w:r>
    </w:p>
    <w:p w14:paraId="345A6C1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L2NybC9mazAxLmNybDAooCagJIYiaHR0cDovL2NybC5mc2ZrLmxvY2FsL2NybC9m</w:t>
      </w:r>
    </w:p>
    <w:p w14:paraId="0BF0FB4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azAxLmNybDAdBgNVHQ4EFgQUt0m7wwTPyJQ+5TDMkq5Z0WnD5vQwCAYGKoUDAgID</w:t>
      </w:r>
    </w:p>
    <w:p w14:paraId="36E53B0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A0EAReUQeQpqERyFF5XRWG8RnguKCWvPIQOt26PZmVTccxOXVHwZyI0rqdcQ2i4L</w:t>
      </w:r>
    </w:p>
    <w:p w14:paraId="13168EB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p87xs4bqOAO1BwhmKL/TsoC4pA==&lt;/wsse:BinarySecurityToken&gt;&lt;/wsse:Security&gt;&lt;/soapenv:Header&gt;</w:t>
      </w:r>
    </w:p>
    <w:p w14:paraId="636ECF4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&lt;soapenv:Body xmlns:env="http://schemas.xmlsoap.org/soap/envelope/" wsu:Id="Id-wssecdata-29cef34e3106063e64fead91c94aeda97ff4"&gt;</w:t>
      </w:r>
    </w:p>
    <w:p w14:paraId="2D14040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 xml:space="preserve">&lt;transferDocumentRequest </w:t>
      </w:r>
      <w:r w:rsidRPr="00264D5D">
        <w:rPr>
          <w:rFonts w:cs="Courier New"/>
          <w:sz w:val="20"/>
        </w:rPr>
        <w:lastRenderedPageBreak/>
        <w:t>xmlns:typ="http://www.roskazna.ru/eb/services/transferDocumentService/types" xmlns="http://www.roskazna.ru/eb/services/transferDocumentService/types" versionId="1.0"&gt;</w:t>
      </w:r>
    </w:p>
    <w:p w14:paraId="73EC7EA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&lt;typ:header&gt;</w:t>
      </w:r>
    </w:p>
    <w:p w14:paraId="52C49AC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&lt;typ:packageId&gt;e8bf66bf-9cf1-47f1-a48b-394d18467fe3&lt;/typ:packageId&gt;</w:t>
      </w:r>
    </w:p>
    <w:p w14:paraId="5B72755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&lt;typ:senderSystemId&gt;PFHD&lt;/typ:senderSystemId&gt;</w:t>
      </w:r>
    </w:p>
    <w:p w14:paraId="510D966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&lt;typ:targetSystemId&gt;EXP&lt;/typ:targetSystemId&gt;</w:t>
      </w:r>
    </w:p>
    <w:p w14:paraId="114ECB0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&lt;typ:documentType&gt;MSC_RespInformEPS&lt;/typ:documentType&gt;</w:t>
      </w:r>
    </w:p>
    <w:p w14:paraId="16D073F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&lt;typ:documentGuid&gt;c42324bd-626b-41c1-a64f-1992a2354a2l &lt;/typ:documentGuid&gt;</w:t>
      </w:r>
    </w:p>
    <w:p w14:paraId="55FD6DB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&lt;typ:creationDateTime&gt;2021-01-03T16:46:07.689+04:00&lt;/typ:creationDateTime&gt;</w:t>
      </w:r>
    </w:p>
    <w:p w14:paraId="7667256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&lt;typ:params&gt;</w:t>
      </w:r>
    </w:p>
    <w:p w14:paraId="6E11C58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 name="tofkCode" value="3200"/&gt;</w:t>
      </w:r>
    </w:p>
    <w:p w14:paraId="3AD42E1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 name="versionId" value="2.0"/&gt;</w:t>
      </w:r>
    </w:p>
    <w:p w14:paraId="78F975B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&lt;/typ:params&gt;</w:t>
      </w:r>
    </w:p>
    <w:p w14:paraId="1526826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&lt;/typ:header&gt;</w:t>
      </w:r>
    </w:p>
    <w:p w14:paraId="0166038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&lt;typ:document&gt;</w:t>
      </w:r>
    </w:p>
    <w:p w14:paraId="41A26F3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&lt;self:MSC_RespInformEPS Version="2.0" xsi:schemaLocation="http://www.roskazna.ru/eb/domain/MSC_RespInformEPS/formular formulars.xsd" xmlns:self="http://www.roskazna.ru/eb/domain/MSC_RespInformEPS/formular" xmlns:xsi="http://www.w3.org/2001/XMLSchema-instance"&gt;</w:t>
      </w:r>
    </w:p>
    <w:p w14:paraId="0F927A8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&lt;BasicRequisites_EDNo&gt;526&lt;/BasicRequisites_EDNo&gt;</w:t>
      </w:r>
    </w:p>
    <w:p w14:paraId="0172C27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&lt;BasicRequisites_EDDate&gt;2020-07-21&lt;/BasicRequisites_EDDate&gt;</w:t>
      </w:r>
    </w:p>
    <w:p w14:paraId="2A9C198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&lt;BasicRequisites_EDAuthor&gt;4356923413&lt;/BasicRequisites_EDAuthor&gt;</w:t>
      </w:r>
    </w:p>
    <w:p w14:paraId="418BAA3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&lt;BasicRequisites_EDReceiver&gt;4302956442&lt;/BasicRequisites_EDReceiver&gt;</w:t>
      </w:r>
    </w:p>
    <w:p w14:paraId="260D7CA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&lt;ReqEPS_ReqCode&gt;31&lt;/ReqEPS_ReqCode&gt;</w:t>
      </w:r>
    </w:p>
    <w:p w14:paraId="6E73AFB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&lt;BasicRequisites_RespCode&gt;10&lt;/BasicRequisites_RespCode&gt;</w:t>
      </w:r>
    </w:p>
    <w:p w14:paraId="6729D1C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&lt;ZppED_EDNo&gt;234&lt;/ZppED_EDNo&gt;</w:t>
      </w:r>
    </w:p>
    <w:p w14:paraId="4A61C3B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&lt;ZppED_EDDate&gt;2021-07-01&lt;/ZppED_EDDate&gt;</w:t>
      </w:r>
    </w:p>
    <w:p w14:paraId="239D359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&lt;ReqEPS_EDNo&gt;15&lt;/ReqEPS_EDNo&gt;</w:t>
      </w:r>
    </w:p>
    <w:p w14:paraId="611CD47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&lt;ReqEPS_EDDate&gt;2021-01-03&lt;/ReqEPS_EDDate&gt;</w:t>
      </w:r>
    </w:p>
    <w:p w14:paraId="2A0FBC7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&lt;ReqEPS_EDAuthor&gt;4302692555&lt;/ReqEPS_EDAuthor&gt;</w:t>
      </w:r>
    </w:p>
    <w:p w14:paraId="38BCDB0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&lt;TtlPrt_SECRECY&gt;0&lt;/TtlPrt_SECRECY&gt;</w:t>
      </w:r>
    </w:p>
    <w:p w14:paraId="402C245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&lt;TF_DocGuid&gt;c42324bd-626b-41c1-a64f-1992a2354a2l&lt;/TF_DocGuid&gt;</w:t>
      </w:r>
    </w:p>
    <w:p w14:paraId="787AF44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&lt;TF_DocGuidPP&gt;c58964bd-606b-4a23-b30f-1298a2354ae1&lt;/TF_DocGuidPP&gt;</w:t>
      </w:r>
    </w:p>
    <w:p w14:paraId="1FFAE78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&lt;TF_EDType&gt;ED244&lt;/TF_EDType&gt;</w:t>
      </w:r>
    </w:p>
    <w:p w14:paraId="77909FF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&lt;SGN_SgnExecORFK&gt;</w:t>
      </w:r>
    </w:p>
    <w:p w14:paraId="0255F85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&lt;Pst&gt;бухгалтер&lt;/Pst&gt;</w:t>
      </w:r>
    </w:p>
    <w:p w14:paraId="3723DB6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rPr>
        <w:tab/>
      </w:r>
      <w:r w:rsidRPr="00264D5D">
        <w:rPr>
          <w:rFonts w:cs="Courier New"/>
          <w:sz w:val="20"/>
          <w:lang w:val="ru-RU"/>
        </w:rPr>
        <w:t>&lt;</w:t>
      </w:r>
      <w:r w:rsidRPr="00264D5D">
        <w:rPr>
          <w:rFonts w:cs="Courier New"/>
          <w:sz w:val="20"/>
        </w:rPr>
        <w:t>FIO</w:t>
      </w:r>
      <w:r w:rsidRPr="00264D5D">
        <w:rPr>
          <w:rFonts w:cs="Courier New"/>
          <w:sz w:val="20"/>
          <w:lang w:val="ru-RU"/>
        </w:rPr>
        <w:t>&gt;Иванов И.И.&lt;/</w:t>
      </w:r>
      <w:r w:rsidRPr="00264D5D">
        <w:rPr>
          <w:rFonts w:cs="Courier New"/>
          <w:sz w:val="20"/>
        </w:rPr>
        <w:t>FIO</w:t>
      </w:r>
      <w:r w:rsidRPr="00264D5D">
        <w:rPr>
          <w:rFonts w:cs="Courier New"/>
          <w:sz w:val="20"/>
          <w:lang w:val="ru-RU"/>
        </w:rPr>
        <w:t>&gt;</w:t>
      </w:r>
    </w:p>
    <w:p w14:paraId="75A5873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lang w:val="ru-RU"/>
        </w:rPr>
        <w:tab/>
      </w:r>
      <w:r w:rsidRPr="00264D5D">
        <w:rPr>
          <w:rFonts w:cs="Courier New"/>
          <w:sz w:val="20"/>
        </w:rPr>
        <w:t>&lt;DtSgn&gt;2021-07-21&lt;/DtSgn&gt;</w:t>
      </w:r>
    </w:p>
    <w:p w14:paraId="6A4136A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&lt;/SGN_SgnExecORFK&gt;</w:t>
      </w:r>
    </w:p>
    <w:p w14:paraId="62DB61B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 xmlns="http://www.w3.org/2000/09/xmldsig#" Id="Id-sig-d373256b5942f08343bc8d034aadd7158f61"&gt;</w:t>
      </w:r>
    </w:p>
    <w:p w14:paraId="153F8AC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41BBFF6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&lt;CanonicalizationMethod Algorithm="http://www.w3.org/2001/10/xml-exc-c14n#"/&gt;</w:t>
      </w:r>
    </w:p>
    <w:p w14:paraId="64432AE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&lt;SignatureMethod Algorithm="http://www.w3.org/2001/04/xmldsig-more#gostr34102001-gostr3411"/&gt;</w:t>
      </w:r>
    </w:p>
    <w:p w14:paraId="7FD2AB9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URI="Id-xadesdata-eaf97d94646411e9b78d005056834f23" Id="Id-dataref-dfd24e85a456a1a342553e99c27fd5695cff"&gt;</w:t>
      </w:r>
    </w:p>
    <w:p w14:paraId="500EF7A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6940D76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Algorithm="http://www.w3.org/2000/09/xmldsig#enveloped-signature"/&gt;</w:t>
      </w:r>
    </w:p>
    <w:p w14:paraId="77947AA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163282F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2AD7AC1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&lt;DigestValue&gt;tuuoIThRLrpmXrL14i8lPFRl0pwMCiUsBbH5BypOA0I=&lt;/DigestValue&gt;</w:t>
      </w:r>
    </w:p>
    <w:p w14:paraId="2EF14D6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7A32ABC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&lt;Reference Type="http://www.w3.org/TR/2002/REC-xmldsig-core-20020212/xmldsig-core-schema.xsd#X509Data" URI="#Id-keyinfo-3dfe71fe8d5a7f7591dd337029c400ccf286" Id="Id-keyinforef-</w:t>
      </w:r>
      <w:r w:rsidRPr="00264D5D">
        <w:rPr>
          <w:rFonts w:cs="Courier New"/>
          <w:sz w:val="20"/>
        </w:rPr>
        <w:lastRenderedPageBreak/>
        <w:t>9674835ee89ca1067673b6fbb04db381a2a6"&gt;</w:t>
      </w:r>
    </w:p>
    <w:p w14:paraId="04F5B35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60EDB86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1AC7BF7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7C097B6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12D0986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&lt;DigestValue&gt;fIKSx5SIme2CRgDvDzflubM+Qqh4IkAWCXPpzXWD/AQ=&lt;/DigestValue&gt;</w:t>
      </w:r>
    </w:p>
    <w:p w14:paraId="6772994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326F230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&lt;Reference URI="#Id-sp-c353e147090ff61f2f90dcd64635bcf70055" Id="Id-ref-dbee882997a09b88ec14dafcd7da585e2467"&gt;</w:t>
      </w:r>
    </w:p>
    <w:p w14:paraId="6CA0263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56E65E2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5EB5C52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7E59F0C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5B76697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&lt;DigestValue&gt;ffi2NrwgQYkFPoTAefkLKH2wMBSNjwN3zzDBV+mhwQg=&lt;/DigestValue&gt;</w:t>
      </w:r>
    </w:p>
    <w:p w14:paraId="68B9DBF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3D3880B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3BAF2BE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&lt;SignatureValue&gt;zolZ5HI+TT6shtnB1YnAZeMq9mcqWLWAZlSR+MuKJXXN2NRZS/zapvyY4rW+I5gM</w:t>
      </w:r>
    </w:p>
    <w:p w14:paraId="4A34DA1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py5+uThVv9x8n5TApPOJCg==&lt;/SignatureValue&gt;</w:t>
      </w:r>
    </w:p>
    <w:p w14:paraId="689FB0F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&lt;KeyInfo Id="Id-keyinfo-3dfe71fe8d5a7f7591dd337029c400ccf286"&gt;</w:t>
      </w:r>
    </w:p>
    <w:p w14:paraId="5155FE2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&lt;X509Data&gt;</w:t>
      </w:r>
    </w:p>
    <w:p w14:paraId="6B03FE0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&lt;X509Certificate&gt;MIIHbzCCBx6gAwIBAgIUCw+9bFynffs/n08sYLaljBr5oXAwCAYGKoUDAgIDMIIB</w:t>
      </w:r>
    </w:p>
    <w:p w14:paraId="13342C0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OTEgMB4GCSqGSIb3DQEJARYRdWNfZmtAcm9za2F6bmEucnUxGTAXBgNVBAgMENCz</w:t>
      </w:r>
    </w:p>
    <w:p w14:paraId="538AD7D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LiDQnNC+0YHQutCy0LAxGjAYBggqhQMDgQMBARIMMDA3NzEwNTY4NzYwMRgwFgYF</w:t>
      </w:r>
    </w:p>
    <w:p w14:paraId="1087739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KoUDZAESDTEwNDc3OTcwMTk4MzAxLDAqBgNVBAkMI9GD0LvQuNGG0LAg0JjQu9GM</w:t>
      </w:r>
    </w:p>
    <w:p w14:paraId="376AB7A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0LjQvdC60LAsINC00L7QvCA3MRUwEwYDVQQHDAzQnNC+0YHQutCy0LAxCzAJBgNV</w:t>
      </w:r>
    </w:p>
    <w:p w14:paraId="14138FC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BAYTAlJVMTgwNgYDVQQKDC/QpNC10LTQtdGA0LDQu9GM0L3QvtC1INC60LDQt9C9</w:t>
      </w:r>
    </w:p>
    <w:p w14:paraId="4D7F9B8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0LDRh9C10LnRgdGC0LLQvjE4MDYGA1UEAwwv0KTQtdC00LXRgNCw0LvRjNC90L7Q</w:t>
      </w:r>
    </w:p>
    <w:p w14:paraId="337EB33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tSDQutCw0LfQvdCw0YfQtdC50YHRgtCy0L4wHhcNMTgwNDA1MTMzNDQ3WhcNMTkw</w:t>
      </w:r>
    </w:p>
    <w:p w14:paraId="1EAEBDD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NzA1MTMzNDQ3WjCCAS0xGjAYBggqhQMDgQMBARIMMDA3NzEwNTY4NzYwMRgwFgYF</w:t>
      </w:r>
    </w:p>
    <w:p w14:paraId="30B4DD8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KoUDZAESDTEwNDc3OTcwMTk4MzAxIzAhBgNVBAkMGtGD0LsuINCY0LvRjNC40L3Q</w:t>
      </w:r>
    </w:p>
    <w:p w14:paraId="25A385B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utCwLCDQtC43MR4wHAYJKoZIhvcNAQkBFg83NzdAcm9za2F6bmEucnUxCzAJBgNV</w:t>
      </w:r>
    </w:p>
    <w:p w14:paraId="0D4EB3F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BAYTAlJVMRgwFgYDVQQIDA/Qsy7QnNC+0YHQutCy0LAxFTATBgNVBAcMDNCc0L7R</w:t>
      </w:r>
    </w:p>
    <w:p w14:paraId="1F5B2B2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gdC60LLQsDE4MDYGA1UECgwv0KTQtdC00LXRgNCw0LvRjNC90L7QtSDQutCw0LfQ</w:t>
      </w:r>
    </w:p>
    <w:p w14:paraId="07934CE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vdCw0YfQtdC50YHRgtCy0L4xODA2BgNVBAMML9Ck0LXQtNC10YDQsNC70YzQvdC+</w:t>
      </w:r>
    </w:p>
    <w:p w14:paraId="38F9728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0LUg0LrQsNC30L3QsNGH0LXQudGB0YLQstC+MGMwHAYGKoUDAgITMBIGByqFAwIC</w:t>
      </w:r>
    </w:p>
    <w:p w14:paraId="54AAE17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IwEGByqFAwICHgEDQwAEQDmzpZ5HcFrSdwi3/h6QJ/jU0i6sTgtJqrYL/Tr+gxBg</w:t>
      </w:r>
    </w:p>
    <w:p w14:paraId="3A98257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Ud3B/sLCyhk3sR3aCrZ0K4YlsFHVmbBhDYe62UsOcnOjggQCMIID/jAMBgNVHRMB</w:t>
      </w:r>
    </w:p>
    <w:p w14:paraId="79E2FA0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Af8EAjAAMB0GA1UdIAQWMBQwCAYGKoUDZHEBMAgGBiqFA2RxAjA2BgUqhQNkbwQt</w:t>
      </w:r>
    </w:p>
    <w:p w14:paraId="139F0C0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DCsi0JrRgNC40L/RgtC+0J/RgNC+IENTUCIgKNCy0LXRgNGB0LjRjyA0LjApMIIB</w:t>
      </w:r>
    </w:p>
    <w:p w14:paraId="579C490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MQYFKoUDZHAEggEmMIIBIgxEItCa0YDQuNC/0YLQvtCf0YDQviBDU1AiICjQstC1</w:t>
      </w:r>
    </w:p>
    <w:p w14:paraId="21AA29A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0YDRgdC40Y8gMy42KSAo0LjRgdC/0L7Qu9C90LXQvdC40LUgMikMaCLQn9GA0L7Q</w:t>
      </w:r>
    </w:p>
    <w:p w14:paraId="180D71B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s9GA0LDQvNC80L3Qvi3QsNC/0L/QsNGA0LDRgtC90YvQuSDQutC+0LzQv9C70LXQ</w:t>
      </w:r>
    </w:p>
    <w:p w14:paraId="56CF74B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utGBICLQrtC90LjRgdC10YDRgi3Qk9Ce0KHQoiIuINCS0LXRgNGB0LjRjyAyLjEi</w:t>
      </w:r>
    </w:p>
    <w:p w14:paraId="6FBD22A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DB/ihJYgMTQ5LzcvNi01Njkg0L7RgiAyMS4xMi4yMDE3DE/QodC10YDRgtC40YTQ</w:t>
      </w:r>
    </w:p>
    <w:p w14:paraId="45E8991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uNC60LDRgiDRgdC+0L7RgtCy0LXRgtGB0YLQstC40Y8g4oSWINCh0KQvMTI4LTI4</w:t>
      </w:r>
    </w:p>
    <w:p w14:paraId="074621F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Nzgg0L7RgiAyMC4wNi4yMDE2MA4GA1UdDwEB/wQEAwID+DAdBgNVHSUEFjAUBggr</w:t>
      </w:r>
    </w:p>
    <w:p w14:paraId="28909D1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BgEFBQcDAgYIKwYBBQUHAwMwKwYDVR0QBCQwIoAPMjAxODA0MDUxMzM0NDVagQ8y</w:t>
      </w:r>
    </w:p>
    <w:p w14:paraId="4EE7A8A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MDE5MDcwNTEzMzQ0NVowggGFBgNVHSMEggF8MIIBeIAUFlWRplFYxIksa1Fb0oUZ</w:t>
      </w:r>
    </w:p>
    <w:p w14:paraId="283E60C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CgFESCKhggFSpIIBTjCCAUoxHjAcBgkqhkiG9w0BCQEWD2RpdEBtaW5zdnlhei5y</w:t>
      </w:r>
    </w:p>
    <w:p w14:paraId="7C13255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dTELMAkGA1UEBhMCUlUxHDAaBgNVBAgMEzc3INCzLiDQnNC+0YHQutCy0LAxFTAT</w:t>
      </w:r>
    </w:p>
    <w:p w14:paraId="058BF77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BgNVBAcMDNCc0L7RgdC60LLQsDE/MD0GA1UECQw2MTI1Mzc1INCzLiDQnNC+0YHQ</w:t>
      </w:r>
    </w:p>
    <w:p w14:paraId="65A12BB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utCy0LAsINGD0LsuINCi0LLQtdGA0YHQutCw0Y8sINC0LiA3MSwwKgYDVQQKDCPQ</w:t>
      </w:r>
    </w:p>
    <w:p w14:paraId="731771C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nNC40L3QutC+0LzRgdCy0Y/Qt9GMINCg0L7RgdGB0LjQuDEYMBYGBSqFA2QBEg0x</w:t>
      </w:r>
    </w:p>
    <w:p w14:paraId="6575F9F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MDQ3NzAyMDI2NzAxMRowGAYIKoUDA4EDAQESDDAwNzcxMDQ3NDM3NTFBMD8GA1UE</w:t>
      </w:r>
    </w:p>
    <w:p w14:paraId="7A03B55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Aww40JPQvtC70L7QstC90L7QuSDRg9C00L7RgdGC0L7QstC10YDRj9GO0YnQuNC5</w:t>
      </w:r>
    </w:p>
    <w:p w14:paraId="7B50124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INGG0LXQvdGC0YCCCjas1FUAAAAAAS8wXgYDVR0fBFcwVTApoCegJYYjaHR0cDov</w:t>
      </w:r>
    </w:p>
    <w:p w14:paraId="49D9576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L2NybC5yb3NrYXpuYS5ydS9jcmwvdWNmay5jcmwwKKAmoCSGImh0dHA6Ly9jcmwu</w:t>
      </w:r>
    </w:p>
    <w:p w14:paraId="31FAD3C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ZnNmay5sb2NhbC9jcmwvdWNmay5jcmwwHQYDVR0OBBYEFLkvJG7Rfzg6F53wdndv</w:t>
      </w:r>
    </w:p>
    <w:p w14:paraId="7E9B261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NLDQ/i3nMAgGBiqFAwICAwNBAH1LMUVqEV/HRyesHDkB5eBUk6qDOJwnOBHil2Y1</w:t>
      </w:r>
    </w:p>
    <w:p w14:paraId="21117EC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qNiUhWK7AqT93ErNsumpe8dDCswJmvps2nbQA7xwIJjzJjk=&lt;/X509Certificate&gt;</w:t>
      </w:r>
    </w:p>
    <w:p w14:paraId="3738545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&lt;/X509Data&gt;</w:t>
      </w:r>
    </w:p>
    <w:p w14:paraId="0709014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&lt;/KeyInfo&gt;</w:t>
      </w:r>
    </w:p>
    <w:p w14:paraId="7F82A89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528A20E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 xmlns="http://uri.etsi.org/01903/v1.4.1#" Target="Id-sig-d373256b5942f08343bc8d034aadd7158f61"&gt;</w:t>
      </w:r>
    </w:p>
    <w:p w14:paraId="181D814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 Id="Id-sp-c353e147090ff61f2f90dcd64635bcf70055"&gt;</w:t>
      </w:r>
    </w:p>
    <w:p w14:paraId="3EF4890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&lt;SignedSignatureProperties Id="Id-ssp-7fd861712d758e7e3004067202146d020fd2"/&gt;</w:t>
      </w:r>
    </w:p>
    <w:p w14:paraId="463AD43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&lt;/SignedProperties&gt;</w:t>
      </w:r>
    </w:p>
    <w:p w14:paraId="59ED5FE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&lt;/QualifyingProperties&gt;</w:t>
      </w:r>
    </w:p>
    <w:p w14:paraId="028449A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280967E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&lt;/Signature&gt;</w:t>
      </w:r>
    </w:p>
    <w:p w14:paraId="0BE2D3A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&lt;/self:MSC_RespInformEPS&gt;</w:t>
      </w:r>
    </w:p>
    <w:p w14:paraId="17DF290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&lt;/typ:document&gt;</w:t>
      </w:r>
    </w:p>
    <w:p w14:paraId="6736C11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&lt;/transferDocumentRequest&gt;</w:t>
      </w:r>
    </w:p>
    <w:p w14:paraId="3A99B83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&lt;/soapenv:Body&gt;</w:t>
      </w:r>
    </w:p>
    <w:p w14:paraId="363CE64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sectPr w:rsidR="00AD1F54" w:rsidRPr="00264D5D">
          <w:pgSz w:w="11906" w:h="16838"/>
          <w:pgMar w:top="1134" w:right="567" w:bottom="851" w:left="1701" w:header="708" w:footer="708" w:gutter="0"/>
          <w:cols w:space="708"/>
          <w:docGrid w:linePitch="360"/>
        </w:sectPr>
      </w:pPr>
      <w:r w:rsidRPr="00264D5D">
        <w:rPr>
          <w:rFonts w:cs="Courier New"/>
          <w:sz w:val="20"/>
        </w:rPr>
        <w:t>&lt;/soapenv:Envelope&gt;</w:t>
      </w:r>
    </w:p>
    <w:p w14:paraId="595C0D62" w14:textId="77777777" w:rsidR="00AD1F54" w:rsidRPr="00264D5D" w:rsidRDefault="00941227">
      <w:pPr>
        <w:pStyle w:val="10"/>
        <w:jc w:val="both"/>
      </w:pPr>
      <w:bookmarkStart w:id="3343" w:name="_Toc519610828"/>
      <w:bookmarkStart w:id="3344" w:name="_Toc519868565"/>
      <w:bookmarkStart w:id="3345" w:name="_Toc519869997"/>
      <w:bookmarkStart w:id="3346" w:name="_Toc520195994"/>
      <w:bookmarkStart w:id="3347" w:name="_Toc520196612"/>
      <w:bookmarkStart w:id="3348" w:name="_Toc520196921"/>
      <w:bookmarkStart w:id="3349" w:name="_Toc515267844"/>
      <w:bookmarkStart w:id="3350" w:name="_Toc515269059"/>
      <w:bookmarkStart w:id="3351" w:name="_Toc515268055"/>
      <w:bookmarkStart w:id="3352" w:name="_Toc515269270"/>
      <w:bookmarkStart w:id="3353" w:name="_Toc515268108"/>
      <w:bookmarkStart w:id="3354" w:name="_Toc515269323"/>
      <w:bookmarkStart w:id="3355" w:name="_Toc515268111"/>
      <w:bookmarkStart w:id="3356" w:name="_Toc515269326"/>
      <w:bookmarkStart w:id="3357" w:name="_Toc219309818"/>
      <w:bookmarkEnd w:id="2275"/>
      <w:bookmarkEnd w:id="2276"/>
      <w:bookmarkEnd w:id="2277"/>
      <w:bookmarkEnd w:id="2278"/>
      <w:bookmarkEnd w:id="2279"/>
      <w:bookmarkEnd w:id="292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r w:rsidRPr="00264D5D">
        <w:lastRenderedPageBreak/>
        <w:t>Требования к составу информации при информационном взаимодействии между получателями бюджетных средств или ЕИС и территориальными органами Федерального казначейства в сфере закупок</w:t>
      </w:r>
      <w:bookmarkEnd w:id="1880"/>
      <w:bookmarkEnd w:id="3357"/>
    </w:p>
    <w:p w14:paraId="3B7A5AA5" w14:textId="77777777" w:rsidR="00AD1F54" w:rsidRPr="00264D5D" w:rsidRDefault="00941227">
      <w:pPr>
        <w:pStyle w:val="OTRNormal"/>
        <w:rPr>
          <w:sz w:val="24"/>
          <w:szCs w:val="24"/>
        </w:rPr>
      </w:pPr>
      <w:r w:rsidRPr="00264D5D">
        <w:rPr>
          <w:sz w:val="24"/>
          <w:szCs w:val="24"/>
        </w:rPr>
        <w:t>Для учета операций, осуществляемых в сфере закупок, используются следующие документы</w:t>
      </w:r>
      <w:r w:rsidRPr="00264D5D">
        <w:t xml:space="preserve">, </w:t>
      </w:r>
      <w:r w:rsidR="00FA65CC" w:rsidRPr="00264D5D">
        <w:rPr>
          <w:sz w:val="24"/>
          <w:szCs w:val="24"/>
        </w:rPr>
        <w:t>представленные в Таблице.</w:t>
      </w:r>
    </w:p>
    <w:bookmarkStart w:id="3358" w:name="_Ref52354754"/>
    <w:bookmarkStart w:id="3359" w:name="_Ref52354755"/>
    <w:p w14:paraId="5FF430F3" w14:textId="790858C4" w:rsidR="00AD1F54" w:rsidRPr="00D01516" w:rsidRDefault="00941227">
      <w:pPr>
        <w:pStyle w:val="GOSTNameTable"/>
        <w:numPr>
          <w:ilvl w:val="0"/>
          <w:numId w:val="2"/>
        </w:numPr>
        <w:ind w:left="425" w:hanging="357"/>
        <w:rPr>
          <w:rFonts w:eastAsia="Calibri"/>
          <w:szCs w:val="24"/>
          <w:highlight w:val="green"/>
        </w:rPr>
      </w:pPr>
      <w:r w:rsidRPr="00D01516">
        <w:rPr>
          <w:rFonts w:eastAsia="Calibri"/>
          <w:szCs w:val="24"/>
          <w:highlight w:val="green"/>
        </w:rPr>
        <w:fldChar w:fldCharType="begin"/>
      </w:r>
      <w:r w:rsidRPr="00D01516">
        <w:rPr>
          <w:rFonts w:eastAsia="Calibri"/>
          <w:szCs w:val="24"/>
          <w:highlight w:val="green"/>
        </w:rPr>
        <w:instrText xml:space="preserve"> SEQ Таблица \* ARABIC </w:instrText>
      </w:r>
      <w:r w:rsidRPr="00D01516">
        <w:rPr>
          <w:rFonts w:eastAsia="Calibri"/>
          <w:szCs w:val="24"/>
          <w:highlight w:val="green"/>
        </w:rPr>
        <w:fldChar w:fldCharType="separate"/>
      </w:r>
      <w:bookmarkStart w:id="3360" w:name="_Ref115453091"/>
      <w:bookmarkStart w:id="3361" w:name="_Toc219309362"/>
      <w:r w:rsidR="008D797C">
        <w:rPr>
          <w:rFonts w:eastAsia="Calibri"/>
          <w:noProof/>
          <w:szCs w:val="24"/>
          <w:highlight w:val="green"/>
        </w:rPr>
        <w:t>332</w:t>
      </w:r>
      <w:bookmarkEnd w:id="3360"/>
      <w:r w:rsidRPr="00D01516">
        <w:rPr>
          <w:rFonts w:eastAsia="Calibri"/>
          <w:szCs w:val="24"/>
          <w:highlight w:val="green"/>
        </w:rPr>
        <w:fldChar w:fldCharType="end"/>
      </w:r>
      <w:r w:rsidRPr="00D01516">
        <w:rPr>
          <w:rFonts w:eastAsia="Calibri"/>
          <w:szCs w:val="24"/>
          <w:highlight w:val="green"/>
        </w:rPr>
        <w:t xml:space="preserve"> – </w:t>
      </w:r>
      <w:bookmarkEnd w:id="3358"/>
      <w:r w:rsidRPr="00D01516">
        <w:rPr>
          <w:highlight w:val="green"/>
        </w:rPr>
        <w:t xml:space="preserve">Документы для обмена в </w:t>
      </w:r>
      <w:r w:rsidR="00A744F0" w:rsidRPr="00D01516">
        <w:rPr>
          <w:szCs w:val="24"/>
          <w:highlight w:val="green"/>
          <w:lang w:val="en-US"/>
        </w:rPr>
        <w:t>xml</w:t>
      </w:r>
      <w:r w:rsidRPr="00D01516">
        <w:rPr>
          <w:szCs w:val="24"/>
          <w:highlight w:val="green"/>
        </w:rPr>
        <w:t>-формате</w:t>
      </w:r>
      <w:bookmarkEnd w:id="3359"/>
      <w:bookmarkEnd w:id="3361"/>
    </w:p>
    <w:tbl>
      <w:tblPr>
        <w:tblStyle w:val="GOSTTable"/>
        <w:tblW w:w="5000" w:type="pct"/>
        <w:tblLayout w:type="fixed"/>
        <w:tblLook w:val="01E0" w:firstRow="1" w:lastRow="1" w:firstColumn="1" w:lastColumn="1" w:noHBand="0" w:noVBand="0"/>
      </w:tblPr>
      <w:tblGrid>
        <w:gridCol w:w="7661"/>
        <w:gridCol w:w="948"/>
        <w:gridCol w:w="12"/>
        <w:gridCol w:w="1017"/>
        <w:gridCol w:w="12"/>
      </w:tblGrid>
      <w:tr w:rsidR="008B26A8" w:rsidRPr="00264D5D" w14:paraId="692ADE65" w14:textId="77777777" w:rsidTr="008B26A8">
        <w:trPr>
          <w:gridAfter w:val="1"/>
          <w:cnfStyle w:val="100000000000" w:firstRow="1" w:lastRow="0" w:firstColumn="0" w:lastColumn="0" w:oddVBand="0" w:evenVBand="0" w:oddHBand="0" w:evenHBand="0" w:firstRowFirstColumn="0" w:firstRowLastColumn="0" w:lastRowFirstColumn="0" w:lastRowLastColumn="0"/>
          <w:wAfter w:w="12" w:type="dxa"/>
          <w:tblHeader/>
        </w:trPr>
        <w:tc>
          <w:tcPr>
            <w:tcW w:w="7661" w:type="dxa"/>
          </w:tcPr>
          <w:p w14:paraId="3606BF48" w14:textId="77777777" w:rsidR="008B26A8" w:rsidRPr="00264D5D" w:rsidRDefault="008B26A8">
            <w:pPr>
              <w:pStyle w:val="OTRTableHead"/>
              <w:rPr>
                <w:sz w:val="22"/>
                <w:szCs w:val="22"/>
              </w:rPr>
            </w:pPr>
            <w:r w:rsidRPr="00264D5D">
              <w:rPr>
                <w:sz w:val="22"/>
                <w:szCs w:val="22"/>
              </w:rPr>
              <w:t>Наименование документа</w:t>
            </w:r>
          </w:p>
        </w:tc>
        <w:tc>
          <w:tcPr>
            <w:tcW w:w="948" w:type="dxa"/>
          </w:tcPr>
          <w:p w14:paraId="3BE5014D" w14:textId="77777777" w:rsidR="008B26A8" w:rsidRPr="00264D5D" w:rsidRDefault="008B26A8">
            <w:pPr>
              <w:pStyle w:val="OTRTableHead"/>
              <w:rPr>
                <w:sz w:val="22"/>
                <w:szCs w:val="22"/>
              </w:rPr>
            </w:pPr>
            <w:r w:rsidRPr="00264D5D">
              <w:rPr>
                <w:sz w:val="22"/>
                <w:szCs w:val="22"/>
              </w:rPr>
              <w:t>Номер пункта</w:t>
            </w:r>
          </w:p>
        </w:tc>
        <w:tc>
          <w:tcPr>
            <w:tcW w:w="1029" w:type="dxa"/>
            <w:gridSpan w:val="2"/>
          </w:tcPr>
          <w:p w14:paraId="5B6FC023" w14:textId="77777777" w:rsidR="008B26A8" w:rsidRPr="00264D5D" w:rsidRDefault="008B26A8">
            <w:pPr>
              <w:pStyle w:val="OTRTableHead"/>
              <w:rPr>
                <w:sz w:val="22"/>
                <w:szCs w:val="22"/>
              </w:rPr>
            </w:pPr>
            <w:r w:rsidRPr="00264D5D">
              <w:rPr>
                <w:sz w:val="22"/>
                <w:szCs w:val="22"/>
              </w:rPr>
              <w:t>Номер тома</w:t>
            </w:r>
          </w:p>
        </w:tc>
      </w:tr>
      <w:tr w:rsidR="008B26A8" w:rsidRPr="00264D5D" w14:paraId="6731DB8F" w14:textId="77777777" w:rsidTr="008B26A8">
        <w:trPr>
          <w:cnfStyle w:val="000000100000" w:firstRow="0" w:lastRow="0" w:firstColumn="0" w:lastColumn="0" w:oddVBand="0" w:evenVBand="0" w:oddHBand="1" w:evenHBand="0" w:firstRowFirstColumn="0" w:firstRowLastColumn="0" w:lastRowFirstColumn="0" w:lastRowLastColumn="0"/>
        </w:trPr>
        <w:tc>
          <w:tcPr>
            <w:tcW w:w="7661" w:type="dxa"/>
          </w:tcPr>
          <w:p w14:paraId="2CA2C72C" w14:textId="77777777" w:rsidR="008B26A8" w:rsidRPr="00264D5D" w:rsidRDefault="008B26A8">
            <w:pPr>
              <w:rPr>
                <w:sz w:val="22"/>
                <w:szCs w:val="22"/>
              </w:rPr>
            </w:pPr>
            <w:r w:rsidRPr="00264D5D">
              <w:rPr>
                <w:sz w:val="22"/>
                <w:szCs w:val="22"/>
              </w:rPr>
              <w:t>Сведения из плана закупок/плана-графика закупок</w:t>
            </w:r>
          </w:p>
        </w:tc>
        <w:tc>
          <w:tcPr>
            <w:tcW w:w="960" w:type="dxa"/>
            <w:gridSpan w:val="2"/>
          </w:tcPr>
          <w:p w14:paraId="7BBFADD6" w14:textId="185A2DFC" w:rsidR="008B26A8" w:rsidRPr="00264D5D" w:rsidRDefault="008B26A8">
            <w:pPr>
              <w:rPr>
                <w:sz w:val="22"/>
                <w:szCs w:val="22"/>
              </w:rPr>
            </w:pPr>
            <w:r w:rsidRPr="00264D5D">
              <w:rPr>
                <w:sz w:val="22"/>
                <w:szCs w:val="22"/>
              </w:rPr>
              <w:t xml:space="preserve">П. </w:t>
            </w:r>
            <w:r w:rsidRPr="00264D5D">
              <w:rPr>
                <w:sz w:val="22"/>
                <w:szCs w:val="22"/>
              </w:rPr>
              <w:fldChar w:fldCharType="begin"/>
            </w:r>
            <w:r w:rsidRPr="00264D5D">
              <w:rPr>
                <w:sz w:val="22"/>
                <w:szCs w:val="22"/>
              </w:rPr>
              <w:instrText xml:space="preserve"> REF _Ref84759420 \r \h  \* MERGEFORMAT </w:instrText>
            </w:r>
            <w:r w:rsidRPr="00264D5D">
              <w:rPr>
                <w:sz w:val="22"/>
                <w:szCs w:val="22"/>
              </w:rPr>
            </w:r>
            <w:r w:rsidRPr="00264D5D">
              <w:rPr>
                <w:sz w:val="22"/>
                <w:szCs w:val="22"/>
              </w:rPr>
              <w:fldChar w:fldCharType="separate"/>
            </w:r>
            <w:r w:rsidR="008D797C">
              <w:rPr>
                <w:sz w:val="22"/>
                <w:szCs w:val="22"/>
              </w:rPr>
              <w:t>7.1</w:t>
            </w:r>
            <w:r w:rsidRPr="00264D5D">
              <w:rPr>
                <w:sz w:val="22"/>
                <w:szCs w:val="22"/>
              </w:rPr>
              <w:fldChar w:fldCharType="end"/>
            </w:r>
          </w:p>
        </w:tc>
        <w:tc>
          <w:tcPr>
            <w:tcW w:w="1029" w:type="dxa"/>
            <w:gridSpan w:val="2"/>
          </w:tcPr>
          <w:p w14:paraId="037CD632" w14:textId="77777777" w:rsidR="008B26A8" w:rsidRPr="00264D5D" w:rsidRDefault="008B26A8">
            <w:pPr>
              <w:rPr>
                <w:sz w:val="22"/>
                <w:szCs w:val="22"/>
              </w:rPr>
            </w:pPr>
            <w:r w:rsidRPr="00264D5D">
              <w:rPr>
                <w:sz w:val="22"/>
                <w:szCs w:val="22"/>
              </w:rPr>
              <w:t>Т. 7</w:t>
            </w:r>
          </w:p>
        </w:tc>
      </w:tr>
      <w:tr w:rsidR="008B26A8" w:rsidRPr="00264D5D" w14:paraId="2DA55892" w14:textId="77777777" w:rsidTr="008B26A8">
        <w:trPr>
          <w:cnfStyle w:val="000000010000" w:firstRow="0" w:lastRow="0" w:firstColumn="0" w:lastColumn="0" w:oddVBand="0" w:evenVBand="0" w:oddHBand="0" w:evenHBand="1" w:firstRowFirstColumn="0" w:firstRowLastColumn="0" w:lastRowFirstColumn="0" w:lastRowLastColumn="0"/>
          <w:trHeight w:val="104"/>
        </w:trPr>
        <w:tc>
          <w:tcPr>
            <w:tcW w:w="7661" w:type="dxa"/>
          </w:tcPr>
          <w:p w14:paraId="7EC0DAE8" w14:textId="77777777" w:rsidR="008B26A8" w:rsidRPr="00264D5D" w:rsidRDefault="008B26A8" w:rsidP="00EC3989">
            <w:pPr>
              <w:rPr>
                <w:sz w:val="22"/>
                <w:szCs w:val="22"/>
              </w:rPr>
            </w:pPr>
            <w:r w:rsidRPr="00264D5D">
              <w:rPr>
                <w:sz w:val="22"/>
                <w:szCs w:val="22"/>
              </w:rPr>
              <w:t>Сведение о приглашении принять участие в определении поставщика (подрядчика, исполнителя)</w:t>
            </w:r>
          </w:p>
        </w:tc>
        <w:tc>
          <w:tcPr>
            <w:tcW w:w="960" w:type="dxa"/>
            <w:gridSpan w:val="2"/>
          </w:tcPr>
          <w:p w14:paraId="479AEDF1" w14:textId="40975665" w:rsidR="008B26A8" w:rsidRPr="00264D5D" w:rsidRDefault="008B26A8" w:rsidP="00EC3989">
            <w:pPr>
              <w:rPr>
                <w:sz w:val="22"/>
                <w:szCs w:val="22"/>
              </w:rPr>
            </w:pPr>
            <w:r w:rsidRPr="00264D5D">
              <w:rPr>
                <w:sz w:val="22"/>
                <w:szCs w:val="22"/>
              </w:rPr>
              <w:t xml:space="preserve">П. </w:t>
            </w:r>
            <w:r w:rsidRPr="00264D5D">
              <w:rPr>
                <w:sz w:val="22"/>
                <w:szCs w:val="22"/>
              </w:rPr>
              <w:fldChar w:fldCharType="begin"/>
            </w:r>
            <w:r w:rsidRPr="00264D5D">
              <w:rPr>
                <w:sz w:val="22"/>
                <w:szCs w:val="22"/>
              </w:rPr>
              <w:instrText xml:space="preserve"> REF _Ref2160570 \r \h  \* MERGEFORMAT </w:instrText>
            </w:r>
            <w:r w:rsidRPr="00264D5D">
              <w:rPr>
                <w:sz w:val="22"/>
                <w:szCs w:val="22"/>
              </w:rPr>
            </w:r>
            <w:r w:rsidRPr="00264D5D">
              <w:rPr>
                <w:sz w:val="22"/>
                <w:szCs w:val="22"/>
              </w:rPr>
              <w:fldChar w:fldCharType="separate"/>
            </w:r>
            <w:r w:rsidR="008D797C">
              <w:rPr>
                <w:sz w:val="22"/>
                <w:szCs w:val="22"/>
              </w:rPr>
              <w:t>7.2</w:t>
            </w:r>
            <w:r w:rsidRPr="00264D5D">
              <w:rPr>
                <w:sz w:val="22"/>
                <w:szCs w:val="22"/>
              </w:rPr>
              <w:fldChar w:fldCharType="end"/>
            </w:r>
          </w:p>
        </w:tc>
        <w:tc>
          <w:tcPr>
            <w:tcW w:w="1029" w:type="dxa"/>
            <w:gridSpan w:val="2"/>
          </w:tcPr>
          <w:p w14:paraId="1DA7138A" w14:textId="77777777" w:rsidR="008B26A8" w:rsidRPr="00264D5D" w:rsidRDefault="008B26A8" w:rsidP="00EC3989">
            <w:pPr>
              <w:rPr>
                <w:sz w:val="22"/>
                <w:szCs w:val="22"/>
              </w:rPr>
            </w:pPr>
            <w:r w:rsidRPr="00264D5D">
              <w:rPr>
                <w:sz w:val="22"/>
                <w:szCs w:val="22"/>
              </w:rPr>
              <w:t>Т. 7</w:t>
            </w:r>
          </w:p>
        </w:tc>
      </w:tr>
      <w:tr w:rsidR="008B26A8" w:rsidRPr="00264D5D" w14:paraId="69CE8BA7" w14:textId="77777777" w:rsidTr="008B26A8">
        <w:trPr>
          <w:cnfStyle w:val="000000100000" w:firstRow="0" w:lastRow="0" w:firstColumn="0" w:lastColumn="0" w:oddVBand="0" w:evenVBand="0" w:oddHBand="1" w:evenHBand="0" w:firstRowFirstColumn="0" w:firstRowLastColumn="0" w:lastRowFirstColumn="0" w:lastRowLastColumn="0"/>
          <w:trHeight w:val="104"/>
        </w:trPr>
        <w:tc>
          <w:tcPr>
            <w:tcW w:w="7661" w:type="dxa"/>
          </w:tcPr>
          <w:p w14:paraId="3B439ECC" w14:textId="77777777" w:rsidR="008B26A8" w:rsidRPr="00264D5D" w:rsidRDefault="008B26A8" w:rsidP="00EC3989">
            <w:pPr>
              <w:rPr>
                <w:sz w:val="22"/>
                <w:szCs w:val="22"/>
              </w:rPr>
            </w:pPr>
            <w:r w:rsidRPr="00264D5D">
              <w:rPr>
                <w:sz w:val="22"/>
                <w:szCs w:val="22"/>
              </w:rPr>
              <w:t>Результаты контроля остатков ЛБО</w:t>
            </w:r>
          </w:p>
        </w:tc>
        <w:tc>
          <w:tcPr>
            <w:tcW w:w="960" w:type="dxa"/>
            <w:gridSpan w:val="2"/>
          </w:tcPr>
          <w:p w14:paraId="2C2FD612" w14:textId="77777777" w:rsidR="008B26A8" w:rsidRPr="00264D5D" w:rsidRDefault="008B26A8" w:rsidP="00EC3989">
            <w:pPr>
              <w:rPr>
                <w:sz w:val="22"/>
                <w:szCs w:val="22"/>
              </w:rPr>
            </w:pPr>
            <w:r w:rsidRPr="00264D5D">
              <w:rPr>
                <w:sz w:val="22"/>
                <w:szCs w:val="22"/>
              </w:rPr>
              <w:t>П. 8.1</w:t>
            </w:r>
          </w:p>
        </w:tc>
        <w:tc>
          <w:tcPr>
            <w:tcW w:w="1029" w:type="dxa"/>
            <w:gridSpan w:val="2"/>
          </w:tcPr>
          <w:p w14:paraId="423441D6" w14:textId="77777777" w:rsidR="008B26A8" w:rsidRPr="00264D5D" w:rsidRDefault="008B26A8" w:rsidP="00EC3989">
            <w:pPr>
              <w:rPr>
                <w:sz w:val="22"/>
                <w:szCs w:val="22"/>
              </w:rPr>
            </w:pPr>
            <w:r w:rsidRPr="00264D5D">
              <w:rPr>
                <w:sz w:val="22"/>
                <w:szCs w:val="22"/>
              </w:rPr>
              <w:t>Т. 8</w:t>
            </w:r>
          </w:p>
        </w:tc>
      </w:tr>
      <w:tr w:rsidR="008B26A8" w:rsidRPr="00264D5D" w14:paraId="7FC84178" w14:textId="77777777" w:rsidTr="008B26A8">
        <w:trPr>
          <w:cnfStyle w:val="000000010000" w:firstRow="0" w:lastRow="0" w:firstColumn="0" w:lastColumn="0" w:oddVBand="0" w:evenVBand="0" w:oddHBand="0" w:evenHBand="1" w:firstRowFirstColumn="0" w:firstRowLastColumn="0" w:lastRowFirstColumn="0" w:lastRowLastColumn="0"/>
          <w:trHeight w:val="104"/>
        </w:trPr>
        <w:tc>
          <w:tcPr>
            <w:tcW w:w="7661" w:type="dxa"/>
          </w:tcPr>
          <w:p w14:paraId="33D06880" w14:textId="77777777" w:rsidR="008B26A8" w:rsidRPr="00D01516" w:rsidRDefault="008B26A8" w:rsidP="00D01516">
            <w:pPr>
              <w:rPr>
                <w:sz w:val="22"/>
                <w:szCs w:val="22"/>
                <w:highlight w:val="green"/>
              </w:rPr>
            </w:pPr>
            <w:bookmarkStart w:id="3362" w:name="_Toc519610889"/>
            <w:bookmarkStart w:id="3363" w:name="_Toc519868626"/>
            <w:bookmarkStart w:id="3364" w:name="_Toc519870058"/>
            <w:bookmarkStart w:id="3365" w:name="_Toc520196055"/>
            <w:bookmarkStart w:id="3366" w:name="_Toc520196673"/>
            <w:bookmarkStart w:id="3367" w:name="_Toc520196982"/>
            <w:bookmarkStart w:id="3368" w:name="_Toc520451490"/>
            <w:bookmarkStart w:id="3369" w:name="_Toc521060382"/>
            <w:bookmarkStart w:id="3370" w:name="_Toc521063362"/>
            <w:bookmarkStart w:id="3371" w:name="_Toc521063704"/>
            <w:bookmarkStart w:id="3372" w:name="_Toc521084662"/>
            <w:bookmarkStart w:id="3373" w:name="_Toc521084920"/>
            <w:bookmarkStart w:id="3374" w:name="_Toc521085176"/>
            <w:bookmarkStart w:id="3375" w:name="_Toc521488974"/>
            <w:bookmarkStart w:id="3376" w:name="_Toc522546256"/>
            <w:bookmarkStart w:id="3377" w:name="_Toc523401300"/>
            <w:bookmarkStart w:id="3378" w:name="_Toc523401761"/>
            <w:bookmarkStart w:id="3379" w:name="_Toc523405136"/>
            <w:bookmarkStart w:id="3380" w:name="_Toc523405768"/>
            <w:bookmarkStart w:id="3381" w:name="_Toc525041191"/>
            <w:bookmarkStart w:id="3382" w:name="_Toc525041448"/>
            <w:bookmarkStart w:id="3383" w:name="_Toc525027531"/>
            <w:bookmarkStart w:id="3384" w:name="_Toc525219664"/>
            <w:bookmarkStart w:id="3385" w:name="_Toc525220060"/>
            <w:bookmarkStart w:id="3386" w:name="_Toc526246273"/>
            <w:bookmarkStart w:id="3387" w:name="_Toc526855194"/>
            <w:bookmarkStart w:id="3388" w:name="_Toc527047205"/>
            <w:bookmarkStart w:id="3389" w:name="_Toc527978610"/>
            <w:bookmarkStart w:id="3390" w:name="_Toc528071475"/>
            <w:bookmarkStart w:id="3391" w:name="_Toc528668427"/>
            <w:bookmarkStart w:id="3392" w:name="_Toc528668704"/>
            <w:bookmarkStart w:id="3393" w:name="_Toc528849112"/>
            <w:bookmarkStart w:id="3394" w:name="_Toc529298648"/>
            <w:bookmarkStart w:id="3395" w:name="_Toc529973498"/>
            <w:bookmarkStart w:id="3396" w:name="_Toc530652484"/>
            <w:bookmarkStart w:id="3397" w:name="_Toc530744104"/>
            <w:bookmarkStart w:id="3398" w:name="_Toc530744753"/>
            <w:bookmarkStart w:id="3399" w:name="_Toc530749413"/>
            <w:bookmarkStart w:id="3400" w:name="_Toc530995293"/>
            <w:bookmarkStart w:id="3401" w:name="_Toc530995590"/>
            <w:bookmarkStart w:id="3402" w:name="_Toc530996157"/>
            <w:bookmarkStart w:id="3403" w:name="_Toc530996454"/>
            <w:bookmarkStart w:id="3404" w:name="_Toc530996940"/>
            <w:bookmarkStart w:id="3405" w:name="_Toc530997239"/>
            <w:bookmarkStart w:id="3406" w:name="_Toc530997457"/>
            <w:bookmarkStart w:id="3407" w:name="_Toc530997754"/>
            <w:bookmarkStart w:id="3408" w:name="_Toc530998523"/>
            <w:bookmarkStart w:id="3409" w:name="_Toc530999288"/>
            <w:bookmarkStart w:id="3410" w:name="_Toc531033361"/>
            <w:bookmarkStart w:id="3411" w:name="_Toc531180136"/>
            <w:bookmarkStart w:id="3412" w:name="_Toc531180450"/>
            <w:bookmarkStart w:id="3413" w:name="_Toc531180763"/>
            <w:bookmarkStart w:id="3414" w:name="_Toc531212327"/>
            <w:bookmarkStart w:id="3415" w:name="_Toc531280445"/>
            <w:bookmarkStart w:id="3416" w:name="_Toc531280759"/>
            <w:bookmarkStart w:id="3417" w:name="_Toc531697955"/>
            <w:bookmarkStart w:id="3418" w:name="_Toc531772272"/>
            <w:bookmarkStart w:id="3419" w:name="_Toc531792975"/>
            <w:bookmarkStart w:id="3420" w:name="_Toc531799993"/>
            <w:bookmarkStart w:id="3421" w:name="_Toc531965548"/>
            <w:bookmarkStart w:id="3422" w:name="_Toc532202519"/>
            <w:bookmarkStart w:id="3423" w:name="_Toc532205036"/>
            <w:bookmarkStart w:id="3424" w:name="_Toc532217406"/>
            <w:bookmarkStart w:id="3425" w:name="_Toc535325274"/>
            <w:bookmarkStart w:id="3426" w:name="_Toc535326354"/>
            <w:bookmarkStart w:id="3427" w:name="_Toc536116410"/>
            <w:bookmarkStart w:id="3428" w:name="_Toc536461341"/>
            <w:bookmarkStart w:id="3429" w:name="_Toc536465909"/>
            <w:bookmarkStart w:id="3430" w:name="_Toc2093426"/>
            <w:bookmarkStart w:id="3431" w:name="_Toc2183285"/>
            <w:bookmarkStart w:id="3432" w:name="_Toc2183489"/>
            <w:bookmarkStart w:id="3433" w:name="_Toc2183690"/>
            <w:bookmarkStart w:id="3434" w:name="_Toc2274612"/>
            <w:bookmarkStart w:id="3435" w:name="_Toc2610170"/>
            <w:bookmarkStart w:id="3436" w:name="_Toc2610412"/>
            <w:bookmarkStart w:id="3437" w:name="_Toc2610652"/>
            <w:bookmarkStart w:id="3438" w:name="_Toc2622988"/>
            <w:bookmarkStart w:id="3439" w:name="_Toc2611390"/>
            <w:bookmarkStart w:id="3440" w:name="_Toc2863034"/>
            <w:bookmarkStart w:id="3441" w:name="_Toc2864230"/>
            <w:bookmarkStart w:id="3442" w:name="_Toc3205677"/>
            <w:bookmarkStart w:id="3443" w:name="_Toc4159139"/>
            <w:bookmarkStart w:id="3444" w:name="_Toc5013268"/>
            <w:bookmarkStart w:id="3445" w:name="_Toc5013518"/>
            <w:bookmarkStart w:id="3446" w:name="_Toc5027876"/>
            <w:bookmarkStart w:id="3447" w:name="_Toc5028191"/>
            <w:bookmarkStart w:id="3448" w:name="_Toc5370201"/>
            <w:bookmarkStart w:id="3449" w:name="_Toc6840205"/>
            <w:bookmarkStart w:id="3450" w:name="_Toc17911755"/>
            <w:bookmarkStart w:id="3451" w:name="_Toc18320243"/>
            <w:bookmarkStart w:id="3452" w:name="_Toc18321159"/>
            <w:bookmarkStart w:id="3453" w:name="_Toc18478886"/>
            <w:bookmarkStart w:id="3454" w:name="_Toc18696090"/>
            <w:bookmarkStart w:id="3455" w:name="_Toc19567108"/>
            <w:bookmarkStart w:id="3456" w:name="_Toc19567501"/>
            <w:bookmarkStart w:id="3457" w:name="_Toc19622758"/>
            <w:bookmarkStart w:id="3458" w:name="_Toc19623151"/>
            <w:bookmarkStart w:id="3459" w:name="_Toc19623544"/>
            <w:bookmarkStart w:id="3460" w:name="_Toc19693998"/>
            <w:bookmarkStart w:id="3461" w:name="_Toc19719128"/>
            <w:bookmarkStart w:id="3462" w:name="_Toc19719517"/>
            <w:bookmarkStart w:id="3463" w:name="_Toc19719908"/>
            <w:bookmarkStart w:id="3464" w:name="_Toc19720300"/>
            <w:bookmarkStart w:id="3465" w:name="_Toc19794894"/>
            <w:bookmarkStart w:id="3466" w:name="_Toc19878111"/>
            <w:bookmarkStart w:id="3467" w:name="_Toc19878501"/>
            <w:bookmarkStart w:id="3468" w:name="_Toc19878895"/>
            <w:bookmarkStart w:id="3469" w:name="_Toc19879285"/>
            <w:bookmarkStart w:id="3470" w:name="_Toc20317647"/>
            <w:bookmarkStart w:id="3471" w:name="_Toc21003808"/>
            <w:bookmarkStart w:id="3472" w:name="_Toc21681611"/>
            <w:bookmarkStart w:id="3473" w:name="_Toc21970140"/>
            <w:bookmarkStart w:id="3474" w:name="_Toc22059618"/>
            <w:bookmarkStart w:id="3475" w:name="_Toc22134021"/>
            <w:bookmarkStart w:id="3476" w:name="_Toc22575983"/>
            <w:bookmarkStart w:id="3477" w:name="_Toc22576764"/>
            <w:bookmarkStart w:id="3478" w:name="_Toc22899348"/>
            <w:bookmarkStart w:id="3479" w:name="_Toc24992219"/>
            <w:bookmarkStart w:id="3480" w:name="_Toc25313353"/>
            <w:bookmarkStart w:id="3481" w:name="_Toc25340025"/>
            <w:bookmarkStart w:id="3482" w:name="_Toc25569341"/>
            <w:bookmarkStart w:id="3483" w:name="_Toc26531723"/>
            <w:bookmarkStart w:id="3484" w:name="_Toc26532442"/>
            <w:bookmarkStart w:id="3485" w:name="_Toc26534676"/>
            <w:bookmarkStart w:id="3486" w:name="_Toc26624533"/>
            <w:bookmarkStart w:id="3487" w:name="_Toc26634464"/>
            <w:bookmarkStart w:id="3488" w:name="_Toc26634891"/>
            <w:bookmarkStart w:id="3489" w:name="_Toc26635338"/>
            <w:bookmarkStart w:id="3490" w:name="_Toc26636152"/>
            <w:bookmarkStart w:id="3491" w:name="_Toc26720287"/>
            <w:bookmarkStart w:id="3492" w:name="_Toc26721240"/>
            <w:bookmarkStart w:id="3493" w:name="_Toc26732136"/>
            <w:bookmarkStart w:id="3494" w:name="_Toc26732589"/>
            <w:bookmarkStart w:id="3495" w:name="_Toc26785876"/>
            <w:bookmarkStart w:id="3496" w:name="_Toc26906446"/>
            <w:bookmarkStart w:id="3497" w:name="_Toc26952027"/>
            <w:bookmarkStart w:id="3498" w:name="_Toc26952482"/>
            <w:bookmarkStart w:id="3499" w:name="_Toc26959617"/>
            <w:bookmarkStart w:id="3500" w:name="_Toc27148816"/>
            <w:bookmarkStart w:id="3501" w:name="_Toc27408755"/>
            <w:bookmarkStart w:id="3502" w:name="_Toc27409161"/>
            <w:bookmarkStart w:id="3503" w:name="_Toc27469036"/>
            <w:bookmarkStart w:id="3504" w:name="_Toc27469450"/>
            <w:bookmarkStart w:id="3505" w:name="_Toc27488605"/>
            <w:bookmarkStart w:id="3506" w:name="_Toc29537339"/>
            <w:bookmarkStart w:id="3507" w:name="_Toc30503074"/>
            <w:bookmarkStart w:id="3508" w:name="_Toc30508354"/>
            <w:bookmarkStart w:id="3509" w:name="_Toc31265011"/>
            <w:bookmarkStart w:id="3510" w:name="_Toc31284416"/>
            <w:bookmarkStart w:id="3511" w:name="_Toc31626430"/>
            <w:bookmarkStart w:id="3512" w:name="_Toc31627163"/>
            <w:bookmarkStart w:id="3513" w:name="_Toc39673004"/>
            <w:bookmarkStart w:id="3514" w:name="_Toc39848071"/>
            <w:bookmarkStart w:id="3515" w:name="_Toc40191751"/>
            <w:bookmarkStart w:id="3516" w:name="_Toc40192250"/>
            <w:bookmarkStart w:id="3517" w:name="_Toc40269021"/>
            <w:bookmarkStart w:id="3518" w:name="_Toc40269525"/>
            <w:bookmarkStart w:id="3519" w:name="_Toc40270547"/>
            <w:bookmarkStart w:id="3520" w:name="_Toc40271522"/>
            <w:bookmarkStart w:id="3521" w:name="_Toc41331090"/>
            <w:bookmarkStart w:id="3522" w:name="_Toc41331511"/>
            <w:bookmarkStart w:id="3523" w:name="_Toc41389504"/>
            <w:bookmarkStart w:id="3524" w:name="_Toc42701571"/>
            <w:bookmarkStart w:id="3525" w:name="_Toc43106532"/>
            <w:bookmarkStart w:id="3526" w:name="_Toc43385209"/>
            <w:bookmarkStart w:id="3527" w:name="_Toc44005903"/>
            <w:bookmarkStart w:id="3528" w:name="_Toc45712475"/>
            <w:bookmarkStart w:id="3529" w:name="_Toc45715534"/>
            <w:bookmarkStart w:id="3530" w:name="_Toc47345442"/>
            <w:bookmarkStart w:id="3531" w:name="_Toc47345978"/>
            <w:bookmarkStart w:id="3532" w:name="_Toc47346507"/>
            <w:bookmarkStart w:id="3533" w:name="_Toc47347541"/>
            <w:bookmarkStart w:id="3534" w:name="_Toc47348087"/>
            <w:bookmarkStart w:id="3535" w:name="_Toc47365750"/>
            <w:bookmarkStart w:id="3536" w:name="_Toc50025141"/>
            <w:bookmarkStart w:id="3537" w:name="_Toc51678119"/>
            <w:bookmarkStart w:id="3538" w:name="_Toc51681234"/>
            <w:bookmarkStart w:id="3539" w:name="_Toc51763685"/>
            <w:bookmarkStart w:id="3540" w:name="_Toc51764113"/>
            <w:bookmarkStart w:id="3541" w:name="_Toc52050262"/>
            <w:bookmarkStart w:id="3542" w:name="_Toc52108644"/>
            <w:bookmarkStart w:id="3543" w:name="_Toc52109261"/>
            <w:bookmarkStart w:id="3544" w:name="_Toc52112934"/>
            <w:bookmarkStart w:id="3545" w:name="_Toc52113551"/>
            <w:bookmarkStart w:id="3546" w:name="_Toc52181005"/>
            <w:bookmarkStart w:id="3547" w:name="_Toc52197226"/>
            <w:bookmarkStart w:id="3548" w:name="_Toc52263665"/>
            <w:bookmarkStart w:id="3549" w:name="_Toc52264092"/>
            <w:bookmarkStart w:id="3550" w:name="_Toc52305970"/>
            <w:bookmarkStart w:id="3551" w:name="_Toc52306396"/>
            <w:bookmarkStart w:id="3552" w:name="_Toc52347904"/>
            <w:bookmarkStart w:id="3553" w:name="_Toc52352579"/>
            <w:bookmarkStart w:id="3554" w:name="_Toc52353196"/>
            <w:bookmarkStart w:id="3555" w:name="_Toc52353813"/>
            <w:bookmarkStart w:id="3556" w:name="_Toc52354487"/>
            <w:bookmarkStart w:id="3557" w:name="_Toc52355108"/>
            <w:bookmarkStart w:id="3558" w:name="_Toc52355726"/>
            <w:bookmarkStart w:id="3559" w:name="_Toc52356347"/>
            <w:bookmarkStart w:id="3560" w:name="_Toc52356972"/>
            <w:bookmarkStart w:id="3561" w:name="_Toc52395667"/>
            <w:bookmarkStart w:id="3562" w:name="_Toc54124700"/>
            <w:bookmarkStart w:id="3563" w:name="_Toc54687860"/>
            <w:bookmarkStart w:id="3564" w:name="_Toc54821347"/>
            <w:bookmarkStart w:id="3565" w:name="_Toc54821783"/>
            <w:bookmarkStart w:id="3566" w:name="_Toc55230620"/>
            <w:bookmarkStart w:id="3567" w:name="_Toc55253480"/>
            <w:bookmarkStart w:id="3568" w:name="_Toc519610890"/>
            <w:bookmarkStart w:id="3569" w:name="_Toc519868627"/>
            <w:bookmarkStart w:id="3570" w:name="_Toc519870059"/>
            <w:bookmarkStart w:id="3571" w:name="_Toc520196056"/>
            <w:bookmarkStart w:id="3572" w:name="_Toc520196674"/>
            <w:bookmarkStart w:id="3573" w:name="_Toc520196983"/>
            <w:bookmarkStart w:id="3574" w:name="_Toc520451491"/>
            <w:bookmarkStart w:id="3575" w:name="_Toc521060383"/>
            <w:bookmarkStart w:id="3576" w:name="_Toc521063363"/>
            <w:bookmarkStart w:id="3577" w:name="_Toc521063705"/>
            <w:bookmarkStart w:id="3578" w:name="_Toc521084663"/>
            <w:bookmarkStart w:id="3579" w:name="_Toc521084921"/>
            <w:bookmarkStart w:id="3580" w:name="_Toc521085177"/>
            <w:bookmarkStart w:id="3581" w:name="_Toc521488975"/>
            <w:bookmarkStart w:id="3582" w:name="_Toc522546257"/>
            <w:bookmarkStart w:id="3583" w:name="_Toc523401301"/>
            <w:bookmarkStart w:id="3584" w:name="_Toc523401762"/>
            <w:bookmarkStart w:id="3585" w:name="_Toc523405137"/>
            <w:bookmarkStart w:id="3586" w:name="_Toc523405769"/>
            <w:bookmarkStart w:id="3587" w:name="_Toc525041192"/>
            <w:bookmarkStart w:id="3588" w:name="_Toc525041449"/>
            <w:bookmarkStart w:id="3589" w:name="_Toc525027532"/>
            <w:bookmarkStart w:id="3590" w:name="_Toc525219665"/>
            <w:bookmarkStart w:id="3591" w:name="_Toc525220061"/>
            <w:bookmarkStart w:id="3592" w:name="_Toc526246274"/>
            <w:bookmarkStart w:id="3593" w:name="_Toc526855195"/>
            <w:bookmarkStart w:id="3594" w:name="_Toc527047206"/>
            <w:bookmarkStart w:id="3595" w:name="_Toc527978611"/>
            <w:bookmarkStart w:id="3596" w:name="_Toc528071476"/>
            <w:bookmarkStart w:id="3597" w:name="_Toc528668428"/>
            <w:bookmarkStart w:id="3598" w:name="_Toc528668705"/>
            <w:bookmarkStart w:id="3599" w:name="_Toc528849113"/>
            <w:bookmarkStart w:id="3600" w:name="_Toc529298649"/>
            <w:bookmarkStart w:id="3601" w:name="_Toc529973499"/>
            <w:bookmarkStart w:id="3602" w:name="_Toc530652485"/>
            <w:bookmarkStart w:id="3603" w:name="_Toc530744105"/>
            <w:bookmarkStart w:id="3604" w:name="_Toc530744754"/>
            <w:bookmarkStart w:id="3605" w:name="_Toc530749414"/>
            <w:bookmarkStart w:id="3606" w:name="_Toc530995294"/>
            <w:bookmarkStart w:id="3607" w:name="_Toc530995591"/>
            <w:bookmarkStart w:id="3608" w:name="_Toc530996158"/>
            <w:bookmarkStart w:id="3609" w:name="_Toc530996455"/>
            <w:bookmarkStart w:id="3610" w:name="_Toc530996941"/>
            <w:bookmarkStart w:id="3611" w:name="_Toc530997240"/>
            <w:bookmarkStart w:id="3612" w:name="_Toc530997458"/>
            <w:bookmarkStart w:id="3613" w:name="_Toc530997755"/>
            <w:bookmarkStart w:id="3614" w:name="_Toc530998524"/>
            <w:bookmarkStart w:id="3615" w:name="_Toc530999289"/>
            <w:bookmarkStart w:id="3616" w:name="_Toc531033362"/>
            <w:bookmarkStart w:id="3617" w:name="_Toc531180137"/>
            <w:bookmarkStart w:id="3618" w:name="_Toc531180451"/>
            <w:bookmarkStart w:id="3619" w:name="_Toc531180764"/>
            <w:bookmarkStart w:id="3620" w:name="_Toc531212328"/>
            <w:bookmarkStart w:id="3621" w:name="_Toc531280446"/>
            <w:bookmarkStart w:id="3622" w:name="_Toc531280760"/>
            <w:bookmarkStart w:id="3623" w:name="_Toc531697956"/>
            <w:bookmarkStart w:id="3624" w:name="_Toc531772273"/>
            <w:bookmarkStart w:id="3625" w:name="_Toc531792976"/>
            <w:bookmarkStart w:id="3626" w:name="_Toc531799994"/>
            <w:bookmarkStart w:id="3627" w:name="_Toc531965549"/>
            <w:bookmarkStart w:id="3628" w:name="_Toc532202520"/>
            <w:bookmarkStart w:id="3629" w:name="_Toc532205037"/>
            <w:bookmarkStart w:id="3630" w:name="_Toc532217407"/>
            <w:bookmarkStart w:id="3631" w:name="_Toc535325275"/>
            <w:bookmarkStart w:id="3632" w:name="_Toc535326355"/>
            <w:bookmarkStart w:id="3633" w:name="_Toc536116411"/>
            <w:bookmarkStart w:id="3634" w:name="_Toc536461342"/>
            <w:bookmarkStart w:id="3635" w:name="_Toc536465910"/>
            <w:bookmarkStart w:id="3636" w:name="_Toc2093427"/>
            <w:bookmarkStart w:id="3637" w:name="_Toc2183286"/>
            <w:bookmarkStart w:id="3638" w:name="_Toc2183490"/>
            <w:bookmarkStart w:id="3639" w:name="_Toc2183691"/>
            <w:bookmarkStart w:id="3640" w:name="_Toc2274613"/>
            <w:bookmarkStart w:id="3641" w:name="_Toc2610171"/>
            <w:bookmarkStart w:id="3642" w:name="_Toc2610413"/>
            <w:bookmarkStart w:id="3643" w:name="_Toc2610653"/>
            <w:bookmarkStart w:id="3644" w:name="_Toc2622989"/>
            <w:bookmarkStart w:id="3645" w:name="_Toc2611391"/>
            <w:bookmarkStart w:id="3646" w:name="_Toc2863035"/>
            <w:bookmarkStart w:id="3647" w:name="_Toc2864231"/>
            <w:bookmarkStart w:id="3648" w:name="_Toc3205678"/>
            <w:bookmarkStart w:id="3649" w:name="_Toc4159140"/>
            <w:bookmarkStart w:id="3650" w:name="_Toc5013269"/>
            <w:bookmarkStart w:id="3651" w:name="_Toc5013519"/>
            <w:bookmarkStart w:id="3652" w:name="_Toc5027877"/>
            <w:bookmarkStart w:id="3653" w:name="_Toc5028192"/>
            <w:bookmarkStart w:id="3654" w:name="_Toc5370202"/>
            <w:bookmarkStart w:id="3655" w:name="_Toc6840206"/>
            <w:bookmarkStart w:id="3656" w:name="_Toc17911756"/>
            <w:bookmarkStart w:id="3657" w:name="_Toc18320244"/>
            <w:bookmarkStart w:id="3658" w:name="_Toc18321160"/>
            <w:bookmarkStart w:id="3659" w:name="_Toc18478887"/>
            <w:bookmarkStart w:id="3660" w:name="_Toc18696091"/>
            <w:bookmarkStart w:id="3661" w:name="_Toc19567109"/>
            <w:bookmarkStart w:id="3662" w:name="_Toc19567502"/>
            <w:bookmarkStart w:id="3663" w:name="_Toc19622759"/>
            <w:bookmarkStart w:id="3664" w:name="_Toc19623152"/>
            <w:bookmarkStart w:id="3665" w:name="_Toc19623545"/>
            <w:bookmarkStart w:id="3666" w:name="_Toc19693999"/>
            <w:bookmarkStart w:id="3667" w:name="_Toc19719129"/>
            <w:bookmarkStart w:id="3668" w:name="_Toc19719518"/>
            <w:bookmarkStart w:id="3669" w:name="_Toc19719909"/>
            <w:bookmarkStart w:id="3670" w:name="_Toc19720301"/>
            <w:bookmarkStart w:id="3671" w:name="_Toc19794895"/>
            <w:bookmarkStart w:id="3672" w:name="_Toc19878112"/>
            <w:bookmarkStart w:id="3673" w:name="_Toc19878502"/>
            <w:bookmarkStart w:id="3674" w:name="_Toc19878896"/>
            <w:bookmarkStart w:id="3675" w:name="_Toc19879286"/>
            <w:bookmarkStart w:id="3676" w:name="_Toc20317648"/>
            <w:bookmarkStart w:id="3677" w:name="_Toc21003809"/>
            <w:bookmarkStart w:id="3678" w:name="_Toc21681612"/>
            <w:bookmarkStart w:id="3679" w:name="_Toc21970141"/>
            <w:bookmarkStart w:id="3680" w:name="_Toc22059619"/>
            <w:bookmarkStart w:id="3681" w:name="_Toc22134022"/>
            <w:bookmarkStart w:id="3682" w:name="_Toc22575984"/>
            <w:bookmarkStart w:id="3683" w:name="_Toc22576765"/>
            <w:bookmarkStart w:id="3684" w:name="_Toc22899349"/>
            <w:bookmarkStart w:id="3685" w:name="_Toc24992220"/>
            <w:bookmarkStart w:id="3686" w:name="_Toc25313354"/>
            <w:bookmarkStart w:id="3687" w:name="_Toc25340026"/>
            <w:bookmarkStart w:id="3688" w:name="_Toc25569342"/>
            <w:bookmarkStart w:id="3689" w:name="_Toc26531724"/>
            <w:bookmarkStart w:id="3690" w:name="_Toc26532443"/>
            <w:bookmarkStart w:id="3691" w:name="_Toc26534677"/>
            <w:bookmarkStart w:id="3692" w:name="_Toc26624534"/>
            <w:bookmarkStart w:id="3693" w:name="_Toc26634465"/>
            <w:bookmarkStart w:id="3694" w:name="_Toc26634892"/>
            <w:bookmarkStart w:id="3695" w:name="_Toc26635339"/>
            <w:bookmarkStart w:id="3696" w:name="_Toc26636153"/>
            <w:bookmarkStart w:id="3697" w:name="_Toc26720288"/>
            <w:bookmarkStart w:id="3698" w:name="_Toc26721241"/>
            <w:bookmarkStart w:id="3699" w:name="_Toc26732137"/>
            <w:bookmarkStart w:id="3700" w:name="_Toc26732590"/>
            <w:bookmarkStart w:id="3701" w:name="_Toc26785877"/>
            <w:bookmarkStart w:id="3702" w:name="_Toc26906447"/>
            <w:bookmarkStart w:id="3703" w:name="_Toc26952028"/>
            <w:bookmarkStart w:id="3704" w:name="_Toc26952483"/>
            <w:bookmarkStart w:id="3705" w:name="_Toc26959618"/>
            <w:bookmarkStart w:id="3706" w:name="_Toc27148817"/>
            <w:bookmarkStart w:id="3707" w:name="_Toc27408756"/>
            <w:bookmarkStart w:id="3708" w:name="_Toc27409162"/>
            <w:bookmarkStart w:id="3709" w:name="_Toc27469037"/>
            <w:bookmarkStart w:id="3710" w:name="_Toc27469451"/>
            <w:bookmarkStart w:id="3711" w:name="_Toc27488606"/>
            <w:bookmarkStart w:id="3712" w:name="_Toc29537340"/>
            <w:bookmarkStart w:id="3713" w:name="_Toc30503075"/>
            <w:bookmarkStart w:id="3714" w:name="_Toc30508355"/>
            <w:bookmarkStart w:id="3715" w:name="_Toc31265012"/>
            <w:bookmarkStart w:id="3716" w:name="_Toc31284417"/>
            <w:bookmarkStart w:id="3717" w:name="_Toc31626431"/>
            <w:bookmarkStart w:id="3718" w:name="_Toc31627164"/>
            <w:bookmarkStart w:id="3719" w:name="_Toc39673005"/>
            <w:bookmarkStart w:id="3720" w:name="_Toc39848072"/>
            <w:bookmarkStart w:id="3721" w:name="_Toc40191752"/>
            <w:bookmarkStart w:id="3722" w:name="_Toc40192251"/>
            <w:bookmarkStart w:id="3723" w:name="_Toc40269022"/>
            <w:bookmarkStart w:id="3724" w:name="_Toc40269526"/>
            <w:bookmarkStart w:id="3725" w:name="_Toc40270548"/>
            <w:bookmarkStart w:id="3726" w:name="_Toc40271523"/>
            <w:bookmarkStart w:id="3727" w:name="_Toc41331091"/>
            <w:bookmarkStart w:id="3728" w:name="_Toc41331512"/>
            <w:bookmarkStart w:id="3729" w:name="_Toc41389505"/>
            <w:bookmarkStart w:id="3730" w:name="_Toc42701572"/>
            <w:bookmarkStart w:id="3731" w:name="_Toc43106533"/>
            <w:bookmarkStart w:id="3732" w:name="_Toc43385210"/>
            <w:bookmarkStart w:id="3733" w:name="_Toc44005904"/>
            <w:bookmarkStart w:id="3734" w:name="_Toc45712476"/>
            <w:bookmarkStart w:id="3735" w:name="_Toc45715535"/>
            <w:bookmarkStart w:id="3736" w:name="_Toc47345443"/>
            <w:bookmarkStart w:id="3737" w:name="_Toc47345979"/>
            <w:bookmarkStart w:id="3738" w:name="_Toc47346508"/>
            <w:bookmarkStart w:id="3739" w:name="_Toc47347542"/>
            <w:bookmarkStart w:id="3740" w:name="_Toc47348088"/>
            <w:bookmarkStart w:id="3741" w:name="_Toc47365751"/>
            <w:bookmarkStart w:id="3742" w:name="_Toc50025142"/>
            <w:bookmarkStart w:id="3743" w:name="_Toc51678120"/>
            <w:bookmarkStart w:id="3744" w:name="_Toc51681235"/>
            <w:bookmarkStart w:id="3745" w:name="_Toc51763686"/>
            <w:bookmarkStart w:id="3746" w:name="_Toc51764114"/>
            <w:bookmarkStart w:id="3747" w:name="_Toc52050263"/>
            <w:bookmarkStart w:id="3748" w:name="_Toc52108645"/>
            <w:bookmarkStart w:id="3749" w:name="_Toc52109262"/>
            <w:bookmarkStart w:id="3750" w:name="_Toc52112935"/>
            <w:bookmarkStart w:id="3751" w:name="_Toc52113552"/>
            <w:bookmarkStart w:id="3752" w:name="_Toc52181006"/>
            <w:bookmarkStart w:id="3753" w:name="_Toc52197227"/>
            <w:bookmarkStart w:id="3754" w:name="_Toc52263666"/>
            <w:bookmarkStart w:id="3755" w:name="_Toc52264093"/>
            <w:bookmarkStart w:id="3756" w:name="_Toc52305971"/>
            <w:bookmarkStart w:id="3757" w:name="_Toc52306397"/>
            <w:bookmarkStart w:id="3758" w:name="_Toc52347905"/>
            <w:bookmarkStart w:id="3759" w:name="_Toc52352580"/>
            <w:bookmarkStart w:id="3760" w:name="_Toc52353197"/>
            <w:bookmarkStart w:id="3761" w:name="_Toc52353814"/>
            <w:bookmarkStart w:id="3762" w:name="_Toc52354488"/>
            <w:bookmarkStart w:id="3763" w:name="_Toc52355109"/>
            <w:bookmarkStart w:id="3764" w:name="_Toc52355727"/>
            <w:bookmarkStart w:id="3765" w:name="_Toc52356348"/>
            <w:bookmarkStart w:id="3766" w:name="_Toc52356973"/>
            <w:bookmarkStart w:id="3767" w:name="_Toc52395668"/>
            <w:bookmarkStart w:id="3768" w:name="_Toc54124701"/>
            <w:bookmarkStart w:id="3769" w:name="_Toc54687861"/>
            <w:bookmarkStart w:id="3770" w:name="_Toc54821348"/>
            <w:bookmarkStart w:id="3771" w:name="_Toc54821784"/>
            <w:bookmarkStart w:id="3772" w:name="_Toc55230621"/>
            <w:bookmarkStart w:id="3773" w:name="_Toc5525348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r w:rsidRPr="00D01516">
              <w:rPr>
                <w:sz w:val="22"/>
                <w:szCs w:val="22"/>
                <w:highlight w:val="green"/>
              </w:rPr>
              <w:t>Выписка из проекта контракта</w:t>
            </w:r>
          </w:p>
        </w:tc>
        <w:tc>
          <w:tcPr>
            <w:tcW w:w="960" w:type="dxa"/>
            <w:gridSpan w:val="2"/>
          </w:tcPr>
          <w:p w14:paraId="5D45C061" w14:textId="34104718" w:rsidR="008B26A8" w:rsidRPr="00D01516" w:rsidRDefault="008B26A8" w:rsidP="00D01516">
            <w:pPr>
              <w:rPr>
                <w:sz w:val="22"/>
                <w:szCs w:val="22"/>
                <w:highlight w:val="green"/>
              </w:rPr>
            </w:pPr>
            <w:r w:rsidRPr="00D01516">
              <w:rPr>
                <w:sz w:val="22"/>
                <w:szCs w:val="22"/>
                <w:highlight w:val="green"/>
              </w:rPr>
              <w:t xml:space="preserve">П. </w:t>
            </w:r>
            <w:r w:rsidRPr="00D01516">
              <w:rPr>
                <w:sz w:val="22"/>
                <w:szCs w:val="22"/>
                <w:highlight w:val="green"/>
              </w:rPr>
              <w:fldChar w:fldCharType="begin"/>
            </w:r>
            <w:r w:rsidRPr="00D01516">
              <w:rPr>
                <w:sz w:val="22"/>
                <w:szCs w:val="22"/>
                <w:highlight w:val="green"/>
              </w:rPr>
              <w:instrText xml:space="preserve"> REF _Ref216202943 \r \h  \* MERGEFORMAT </w:instrText>
            </w:r>
            <w:r w:rsidRPr="00D01516">
              <w:rPr>
                <w:sz w:val="22"/>
                <w:szCs w:val="22"/>
                <w:highlight w:val="green"/>
              </w:rPr>
            </w:r>
            <w:r w:rsidRPr="00D01516">
              <w:rPr>
                <w:sz w:val="22"/>
                <w:szCs w:val="22"/>
                <w:highlight w:val="green"/>
              </w:rPr>
              <w:fldChar w:fldCharType="separate"/>
            </w:r>
            <w:r w:rsidR="008D797C">
              <w:rPr>
                <w:sz w:val="22"/>
                <w:szCs w:val="22"/>
                <w:highlight w:val="green"/>
              </w:rPr>
              <w:t>7.3</w:t>
            </w:r>
            <w:r w:rsidRPr="00D01516">
              <w:rPr>
                <w:sz w:val="22"/>
                <w:szCs w:val="22"/>
                <w:highlight w:val="green"/>
              </w:rPr>
              <w:fldChar w:fldCharType="end"/>
            </w:r>
          </w:p>
        </w:tc>
        <w:tc>
          <w:tcPr>
            <w:tcW w:w="1029" w:type="dxa"/>
            <w:gridSpan w:val="2"/>
          </w:tcPr>
          <w:p w14:paraId="57F226D3" w14:textId="77777777" w:rsidR="008B26A8" w:rsidRPr="00D01516" w:rsidRDefault="008B26A8" w:rsidP="00D01516">
            <w:pPr>
              <w:rPr>
                <w:sz w:val="22"/>
                <w:szCs w:val="22"/>
                <w:highlight w:val="green"/>
              </w:rPr>
            </w:pPr>
            <w:r w:rsidRPr="00D01516">
              <w:rPr>
                <w:sz w:val="22"/>
                <w:szCs w:val="22"/>
                <w:highlight w:val="green"/>
              </w:rPr>
              <w:t>Т. 7</w:t>
            </w:r>
          </w:p>
        </w:tc>
      </w:tr>
      <w:tr w:rsidR="008B26A8" w:rsidRPr="00264D5D" w14:paraId="182099BC" w14:textId="77777777" w:rsidTr="008B26A8">
        <w:trPr>
          <w:cnfStyle w:val="000000100000" w:firstRow="0" w:lastRow="0" w:firstColumn="0" w:lastColumn="0" w:oddVBand="0" w:evenVBand="0" w:oddHBand="1" w:evenHBand="0" w:firstRowFirstColumn="0" w:firstRowLastColumn="0" w:lastRowFirstColumn="0" w:lastRowLastColumn="0"/>
          <w:trHeight w:val="104"/>
        </w:trPr>
        <w:tc>
          <w:tcPr>
            <w:tcW w:w="7661" w:type="dxa"/>
          </w:tcPr>
          <w:p w14:paraId="40848A1C" w14:textId="77777777" w:rsidR="008B26A8" w:rsidRPr="00D01516" w:rsidRDefault="008B26A8" w:rsidP="00D01516">
            <w:pPr>
              <w:rPr>
                <w:sz w:val="22"/>
                <w:szCs w:val="22"/>
                <w:highlight w:val="green"/>
              </w:rPr>
            </w:pPr>
            <w:r w:rsidRPr="002E0E1D">
              <w:rPr>
                <w:sz w:val="22"/>
                <w:szCs w:val="22"/>
                <w:highlight w:val="green"/>
              </w:rPr>
              <w:t>Сведения об объемах средств, указанных в нормативных правовых актах, предусматривающих в соответствии с бюджетным законодательством Российской Федерации возможность заключения государственного (муниципального) контракта на срок, превышающий срок действия доведенных лимитов бюджетных обязательств</w:t>
            </w:r>
          </w:p>
        </w:tc>
        <w:tc>
          <w:tcPr>
            <w:tcW w:w="960" w:type="dxa"/>
            <w:gridSpan w:val="2"/>
          </w:tcPr>
          <w:p w14:paraId="37B33534" w14:textId="3ADC3AEE" w:rsidR="008B26A8" w:rsidRPr="00D01516" w:rsidRDefault="008B26A8" w:rsidP="00D01516">
            <w:pPr>
              <w:rPr>
                <w:sz w:val="22"/>
                <w:szCs w:val="22"/>
                <w:highlight w:val="green"/>
              </w:rPr>
            </w:pPr>
            <w:r>
              <w:rPr>
                <w:sz w:val="22"/>
                <w:szCs w:val="22"/>
                <w:highlight w:val="green"/>
              </w:rPr>
              <w:t xml:space="preserve">П. </w:t>
            </w:r>
            <w:r>
              <w:rPr>
                <w:sz w:val="22"/>
                <w:szCs w:val="22"/>
                <w:highlight w:val="green"/>
              </w:rPr>
              <w:fldChar w:fldCharType="begin"/>
            </w:r>
            <w:r>
              <w:rPr>
                <w:sz w:val="22"/>
                <w:szCs w:val="22"/>
                <w:highlight w:val="green"/>
              </w:rPr>
              <w:instrText xml:space="preserve"> REF _Ref216430523 \r \h </w:instrText>
            </w:r>
            <w:r>
              <w:rPr>
                <w:sz w:val="22"/>
                <w:szCs w:val="22"/>
                <w:highlight w:val="green"/>
              </w:rPr>
            </w:r>
            <w:r>
              <w:rPr>
                <w:sz w:val="22"/>
                <w:szCs w:val="22"/>
                <w:highlight w:val="green"/>
              </w:rPr>
              <w:fldChar w:fldCharType="separate"/>
            </w:r>
            <w:r w:rsidR="008D797C">
              <w:rPr>
                <w:sz w:val="22"/>
                <w:szCs w:val="22"/>
                <w:highlight w:val="green"/>
              </w:rPr>
              <w:t>7.4</w:t>
            </w:r>
            <w:r>
              <w:rPr>
                <w:sz w:val="22"/>
                <w:szCs w:val="22"/>
                <w:highlight w:val="green"/>
              </w:rPr>
              <w:fldChar w:fldCharType="end"/>
            </w:r>
          </w:p>
        </w:tc>
        <w:tc>
          <w:tcPr>
            <w:tcW w:w="1029" w:type="dxa"/>
            <w:gridSpan w:val="2"/>
          </w:tcPr>
          <w:p w14:paraId="710CEE58" w14:textId="77777777" w:rsidR="008B26A8" w:rsidRPr="00D01516" w:rsidRDefault="008B26A8" w:rsidP="00D01516">
            <w:pPr>
              <w:rPr>
                <w:sz w:val="22"/>
                <w:szCs w:val="22"/>
                <w:highlight w:val="green"/>
              </w:rPr>
            </w:pPr>
            <w:r w:rsidRPr="00D01516">
              <w:rPr>
                <w:sz w:val="22"/>
                <w:szCs w:val="22"/>
                <w:highlight w:val="green"/>
              </w:rPr>
              <w:t>Т. 7</w:t>
            </w:r>
          </w:p>
        </w:tc>
      </w:tr>
    </w:tbl>
    <w:p w14:paraId="35B68D33" w14:textId="77777777" w:rsidR="00AD1F54" w:rsidRPr="00264D5D" w:rsidRDefault="00AD1F54">
      <w:pPr>
        <w:pStyle w:val="af5"/>
        <w:keepNext/>
        <w:keepLines/>
        <w:spacing w:before="120" w:line="360" w:lineRule="auto"/>
        <w:ind w:left="600"/>
        <w:jc w:val="both"/>
        <w:outlineLvl w:val="1"/>
        <w:rPr>
          <w:b/>
          <w:vanish/>
          <w:color w:val="000000"/>
          <w:sz w:val="28"/>
        </w:rPr>
      </w:pPr>
      <w:bookmarkStart w:id="3774" w:name="_Ref465283642"/>
      <w:bookmarkStart w:id="3775" w:name="_Ref465283823"/>
    </w:p>
    <w:p w14:paraId="3753B771" w14:textId="77777777" w:rsidR="00AD1F54" w:rsidRPr="00264D5D" w:rsidRDefault="00AD1F54">
      <w:pPr>
        <w:pStyle w:val="22"/>
        <w:numPr>
          <w:ilvl w:val="0"/>
          <w:numId w:val="0"/>
        </w:numPr>
        <w:ind w:left="576"/>
        <w:sectPr w:rsidR="00AD1F54" w:rsidRPr="00264D5D">
          <w:headerReference w:type="even" r:id="rId17"/>
          <w:footerReference w:type="first" r:id="rId18"/>
          <w:pgSz w:w="11906" w:h="16838"/>
          <w:pgMar w:top="1134" w:right="567" w:bottom="851" w:left="1701" w:header="708" w:footer="708" w:gutter="0"/>
          <w:cols w:space="708"/>
          <w:docGrid w:linePitch="360"/>
        </w:sectPr>
      </w:pPr>
      <w:bookmarkStart w:id="3776" w:name="_Ref2160548"/>
    </w:p>
    <w:p w14:paraId="21B142B1" w14:textId="77777777" w:rsidR="00AD1F54" w:rsidRPr="00264D5D" w:rsidRDefault="00941227">
      <w:pPr>
        <w:pStyle w:val="22"/>
        <w:rPr>
          <w:lang w:val="ru-RU"/>
        </w:rPr>
      </w:pPr>
      <w:bookmarkStart w:id="3777" w:name="_Ref84759420"/>
      <w:bookmarkStart w:id="3778" w:name="_Toc219309819"/>
      <w:r w:rsidRPr="00264D5D">
        <w:rPr>
          <w:lang w:val="ru-RU"/>
        </w:rPr>
        <w:lastRenderedPageBreak/>
        <w:t>Описание документа «Сведения из плана закупок/плана-графика закупок</w:t>
      </w:r>
      <w:bookmarkEnd w:id="3774"/>
      <w:bookmarkEnd w:id="3775"/>
      <w:r w:rsidRPr="00264D5D">
        <w:rPr>
          <w:lang w:val="ru-RU"/>
        </w:rPr>
        <w:t>»</w:t>
      </w:r>
      <w:bookmarkEnd w:id="3776"/>
      <w:bookmarkEnd w:id="3777"/>
      <w:bookmarkEnd w:id="3778"/>
    </w:p>
    <w:p w14:paraId="28585592" w14:textId="77777777" w:rsidR="00AD1F54" w:rsidRPr="00264D5D" w:rsidRDefault="00941227">
      <w:pPr>
        <w:pStyle w:val="31"/>
      </w:pPr>
      <w:bookmarkStart w:id="3779" w:name="_Toc519610892"/>
      <w:bookmarkStart w:id="3780" w:name="_Toc519868629"/>
      <w:bookmarkStart w:id="3781" w:name="_Toc519870061"/>
      <w:bookmarkStart w:id="3782" w:name="_Toc520196058"/>
      <w:bookmarkStart w:id="3783" w:name="_Toc520196676"/>
      <w:bookmarkStart w:id="3784" w:name="_Toc520196985"/>
      <w:bookmarkStart w:id="3785" w:name="_Toc520451493"/>
      <w:bookmarkStart w:id="3786" w:name="_Toc521060385"/>
      <w:bookmarkStart w:id="3787" w:name="_Toc521063365"/>
      <w:bookmarkStart w:id="3788" w:name="_Toc521063707"/>
      <w:bookmarkStart w:id="3789" w:name="_Toc521084665"/>
      <w:bookmarkStart w:id="3790" w:name="_Toc521084923"/>
      <w:bookmarkStart w:id="3791" w:name="_Toc521085179"/>
      <w:bookmarkStart w:id="3792" w:name="_Toc521488977"/>
      <w:bookmarkStart w:id="3793" w:name="_Toc522546259"/>
      <w:bookmarkStart w:id="3794" w:name="_Toc523401303"/>
      <w:bookmarkStart w:id="3795" w:name="_Toc523401764"/>
      <w:bookmarkStart w:id="3796" w:name="_Toc523405139"/>
      <w:bookmarkStart w:id="3797" w:name="_Toc523405771"/>
      <w:bookmarkStart w:id="3798" w:name="_Toc525041194"/>
      <w:bookmarkStart w:id="3799" w:name="_Toc525041451"/>
      <w:bookmarkStart w:id="3800" w:name="_Toc525027534"/>
      <w:bookmarkStart w:id="3801" w:name="_Toc525219667"/>
      <w:bookmarkStart w:id="3802" w:name="_Toc525220063"/>
      <w:bookmarkStart w:id="3803" w:name="_Toc526246276"/>
      <w:bookmarkStart w:id="3804" w:name="_Toc526855197"/>
      <w:bookmarkStart w:id="3805" w:name="_Toc527047208"/>
      <w:bookmarkStart w:id="3806" w:name="_Toc527978613"/>
      <w:bookmarkStart w:id="3807" w:name="_Toc528071478"/>
      <w:bookmarkStart w:id="3808" w:name="_Toc528668430"/>
      <w:bookmarkStart w:id="3809" w:name="_Toc528668707"/>
      <w:bookmarkStart w:id="3810" w:name="_Toc528849115"/>
      <w:bookmarkStart w:id="3811" w:name="_Toc529298651"/>
      <w:bookmarkStart w:id="3812" w:name="_Toc529973501"/>
      <w:bookmarkStart w:id="3813" w:name="_Toc530652487"/>
      <w:bookmarkStart w:id="3814" w:name="_Toc530744107"/>
      <w:bookmarkStart w:id="3815" w:name="_Toc530744756"/>
      <w:bookmarkStart w:id="3816" w:name="_Toc530749416"/>
      <w:bookmarkStart w:id="3817" w:name="_Toc530995296"/>
      <w:bookmarkStart w:id="3818" w:name="_Toc530995593"/>
      <w:bookmarkStart w:id="3819" w:name="_Toc530996160"/>
      <w:bookmarkStart w:id="3820" w:name="_Toc530996457"/>
      <w:bookmarkStart w:id="3821" w:name="_Toc530996943"/>
      <w:bookmarkStart w:id="3822" w:name="_Toc530997242"/>
      <w:bookmarkStart w:id="3823" w:name="_Toc530997460"/>
      <w:bookmarkStart w:id="3824" w:name="_Toc530997757"/>
      <w:bookmarkStart w:id="3825" w:name="_Toc530998526"/>
      <w:bookmarkStart w:id="3826" w:name="_Toc530999291"/>
      <w:bookmarkStart w:id="3827" w:name="_Toc531033364"/>
      <w:bookmarkStart w:id="3828" w:name="_Toc531180139"/>
      <w:bookmarkStart w:id="3829" w:name="_Toc531180453"/>
      <w:bookmarkStart w:id="3830" w:name="_Toc531180766"/>
      <w:bookmarkStart w:id="3831" w:name="_Toc531212330"/>
      <w:bookmarkStart w:id="3832" w:name="_Toc531280448"/>
      <w:bookmarkStart w:id="3833" w:name="_Toc531280762"/>
      <w:bookmarkStart w:id="3834" w:name="_Toc531697958"/>
      <w:bookmarkStart w:id="3835" w:name="_Toc531772275"/>
      <w:bookmarkStart w:id="3836" w:name="_Toc531792978"/>
      <w:bookmarkStart w:id="3837" w:name="_Toc531799996"/>
      <w:bookmarkStart w:id="3838" w:name="_Toc531965551"/>
      <w:bookmarkStart w:id="3839" w:name="_Toc532202522"/>
      <w:bookmarkStart w:id="3840" w:name="_Toc532205039"/>
      <w:bookmarkStart w:id="3841" w:name="_Toc532217409"/>
      <w:bookmarkStart w:id="3842" w:name="_Toc535325277"/>
      <w:bookmarkStart w:id="3843" w:name="_Toc535326357"/>
      <w:bookmarkStart w:id="3844" w:name="_Toc536116413"/>
      <w:bookmarkStart w:id="3845" w:name="_Toc536461344"/>
      <w:bookmarkStart w:id="3846" w:name="_Toc536465912"/>
      <w:bookmarkStart w:id="3847" w:name="_Toc2093429"/>
      <w:bookmarkStart w:id="3848" w:name="_Toc2183288"/>
      <w:bookmarkStart w:id="3849" w:name="_Toc2183492"/>
      <w:bookmarkStart w:id="3850" w:name="_Toc2183693"/>
      <w:bookmarkStart w:id="3851" w:name="_Toc2274615"/>
      <w:bookmarkStart w:id="3852" w:name="_Toc2610173"/>
      <w:bookmarkStart w:id="3853" w:name="_Toc2610415"/>
      <w:bookmarkStart w:id="3854" w:name="_Toc2610655"/>
      <w:bookmarkStart w:id="3855" w:name="_Toc2622991"/>
      <w:bookmarkStart w:id="3856" w:name="_Toc2611393"/>
      <w:bookmarkStart w:id="3857" w:name="_Toc2863037"/>
      <w:bookmarkStart w:id="3858" w:name="_Toc2864233"/>
      <w:bookmarkStart w:id="3859" w:name="_Toc3205680"/>
      <w:bookmarkStart w:id="3860" w:name="_Toc4159142"/>
      <w:bookmarkStart w:id="3861" w:name="_Toc5013271"/>
      <w:bookmarkStart w:id="3862" w:name="_Toc5013521"/>
      <w:bookmarkStart w:id="3863" w:name="_Toc5027879"/>
      <w:bookmarkStart w:id="3864" w:name="_Toc5028194"/>
      <w:bookmarkStart w:id="3865" w:name="_Toc5370204"/>
      <w:bookmarkStart w:id="3866" w:name="_Toc6840208"/>
      <w:bookmarkStart w:id="3867" w:name="_Toc17911758"/>
      <w:bookmarkStart w:id="3868" w:name="_Toc18320246"/>
      <w:bookmarkStart w:id="3869" w:name="_Toc18321162"/>
      <w:bookmarkStart w:id="3870" w:name="_Toc18478889"/>
      <w:bookmarkStart w:id="3871" w:name="_Toc18696093"/>
      <w:bookmarkStart w:id="3872" w:name="_Toc19567111"/>
      <w:bookmarkStart w:id="3873" w:name="_Toc19567504"/>
      <w:bookmarkStart w:id="3874" w:name="_Toc19622761"/>
      <w:bookmarkStart w:id="3875" w:name="_Toc19623154"/>
      <w:bookmarkStart w:id="3876" w:name="_Toc19623547"/>
      <w:bookmarkStart w:id="3877" w:name="_Toc19694001"/>
      <w:bookmarkStart w:id="3878" w:name="_Toc19719131"/>
      <w:bookmarkStart w:id="3879" w:name="_Toc19719520"/>
      <w:bookmarkStart w:id="3880" w:name="_Toc19719911"/>
      <w:bookmarkStart w:id="3881" w:name="_Toc19720303"/>
      <w:bookmarkStart w:id="3882" w:name="_Toc19794897"/>
      <w:bookmarkStart w:id="3883" w:name="_Toc19878114"/>
      <w:bookmarkStart w:id="3884" w:name="_Toc19878504"/>
      <w:bookmarkStart w:id="3885" w:name="_Toc19878898"/>
      <w:bookmarkStart w:id="3886" w:name="_Toc19879288"/>
      <w:bookmarkStart w:id="3887" w:name="_Toc20317650"/>
      <w:bookmarkStart w:id="3888" w:name="_Toc21003811"/>
      <w:bookmarkStart w:id="3889" w:name="_Toc21681614"/>
      <w:bookmarkStart w:id="3890" w:name="_Toc21970143"/>
      <w:bookmarkStart w:id="3891" w:name="_Toc22059621"/>
      <w:bookmarkStart w:id="3892" w:name="_Toc22134024"/>
      <w:bookmarkStart w:id="3893" w:name="_Toc22575986"/>
      <w:bookmarkStart w:id="3894" w:name="_Toc22576767"/>
      <w:bookmarkStart w:id="3895" w:name="_Toc22899351"/>
      <w:bookmarkStart w:id="3896" w:name="_Toc24992222"/>
      <w:bookmarkStart w:id="3897" w:name="_Toc25313356"/>
      <w:bookmarkStart w:id="3898" w:name="_Toc25340028"/>
      <w:bookmarkStart w:id="3899" w:name="_Toc25569344"/>
      <w:bookmarkStart w:id="3900" w:name="_Toc26531726"/>
      <w:bookmarkStart w:id="3901" w:name="_Toc26532445"/>
      <w:bookmarkStart w:id="3902" w:name="_Toc26534679"/>
      <w:bookmarkStart w:id="3903" w:name="_Toc26624536"/>
      <w:bookmarkStart w:id="3904" w:name="_Toc26634467"/>
      <w:bookmarkStart w:id="3905" w:name="_Toc26634894"/>
      <w:bookmarkStart w:id="3906" w:name="_Toc26635341"/>
      <w:bookmarkStart w:id="3907" w:name="_Toc26636155"/>
      <w:bookmarkStart w:id="3908" w:name="_Toc26720290"/>
      <w:bookmarkStart w:id="3909" w:name="_Toc26721243"/>
      <w:bookmarkStart w:id="3910" w:name="_Toc26732139"/>
      <w:bookmarkStart w:id="3911" w:name="_Toc26732592"/>
      <w:bookmarkStart w:id="3912" w:name="_Toc26785879"/>
      <w:bookmarkStart w:id="3913" w:name="_Toc26906449"/>
      <w:bookmarkStart w:id="3914" w:name="_Toc26952030"/>
      <w:bookmarkStart w:id="3915" w:name="_Toc26952485"/>
      <w:bookmarkStart w:id="3916" w:name="_Toc26959620"/>
      <w:bookmarkStart w:id="3917" w:name="_Toc27148819"/>
      <w:bookmarkStart w:id="3918" w:name="_Toc27408758"/>
      <w:bookmarkStart w:id="3919" w:name="_Toc27409164"/>
      <w:bookmarkStart w:id="3920" w:name="_Toc27469039"/>
      <w:bookmarkStart w:id="3921" w:name="_Toc27469453"/>
      <w:bookmarkStart w:id="3922" w:name="_Toc27488608"/>
      <w:bookmarkStart w:id="3923" w:name="_Toc29537342"/>
      <w:bookmarkStart w:id="3924" w:name="_Toc30503077"/>
      <w:bookmarkStart w:id="3925" w:name="_Toc30508357"/>
      <w:bookmarkStart w:id="3926" w:name="_Toc31265014"/>
      <w:bookmarkStart w:id="3927" w:name="_Toc31284419"/>
      <w:bookmarkStart w:id="3928" w:name="_Toc31626433"/>
      <w:bookmarkStart w:id="3929" w:name="_Toc31627166"/>
      <w:bookmarkStart w:id="3930" w:name="_Toc39673007"/>
      <w:bookmarkStart w:id="3931" w:name="_Toc39848074"/>
      <w:bookmarkStart w:id="3932" w:name="_Toc40191754"/>
      <w:bookmarkStart w:id="3933" w:name="_Toc40192253"/>
      <w:bookmarkStart w:id="3934" w:name="_Toc40269024"/>
      <w:bookmarkStart w:id="3935" w:name="_Toc40269528"/>
      <w:bookmarkStart w:id="3936" w:name="_Toc40270550"/>
      <w:bookmarkStart w:id="3937" w:name="_Toc40271525"/>
      <w:bookmarkStart w:id="3938" w:name="_Toc41331093"/>
      <w:bookmarkStart w:id="3939" w:name="_Toc41331514"/>
      <w:bookmarkStart w:id="3940" w:name="_Toc41389507"/>
      <w:bookmarkStart w:id="3941" w:name="_Toc42701574"/>
      <w:bookmarkStart w:id="3942" w:name="_Toc43106535"/>
      <w:bookmarkStart w:id="3943" w:name="_Toc43385212"/>
      <w:bookmarkStart w:id="3944" w:name="_Toc44005906"/>
      <w:bookmarkStart w:id="3945" w:name="_Toc45712478"/>
      <w:bookmarkStart w:id="3946" w:name="_Toc45715537"/>
      <w:bookmarkStart w:id="3947" w:name="_Toc47345445"/>
      <w:bookmarkStart w:id="3948" w:name="_Toc47345981"/>
      <w:bookmarkStart w:id="3949" w:name="_Toc47346510"/>
      <w:bookmarkStart w:id="3950" w:name="_Toc47347544"/>
      <w:bookmarkStart w:id="3951" w:name="_Toc47348090"/>
      <w:bookmarkStart w:id="3952" w:name="_Toc47365753"/>
      <w:bookmarkStart w:id="3953" w:name="_Toc50025144"/>
      <w:bookmarkStart w:id="3954" w:name="_Toc51678122"/>
      <w:bookmarkStart w:id="3955" w:name="_Toc51681237"/>
      <w:bookmarkStart w:id="3956" w:name="_Toc51763688"/>
      <w:bookmarkStart w:id="3957" w:name="_Toc51764116"/>
      <w:bookmarkStart w:id="3958" w:name="_Toc52050265"/>
      <w:bookmarkStart w:id="3959" w:name="_Toc52108647"/>
      <w:bookmarkStart w:id="3960" w:name="_Toc52109264"/>
      <w:bookmarkStart w:id="3961" w:name="_Toc52112937"/>
      <w:bookmarkStart w:id="3962" w:name="_Toc52113554"/>
      <w:bookmarkStart w:id="3963" w:name="_Toc52181008"/>
      <w:bookmarkStart w:id="3964" w:name="_Toc52197229"/>
      <w:bookmarkStart w:id="3965" w:name="_Toc52263668"/>
      <w:bookmarkStart w:id="3966" w:name="_Toc52264095"/>
      <w:bookmarkStart w:id="3967" w:name="_Toc52305973"/>
      <w:bookmarkStart w:id="3968" w:name="_Toc52306399"/>
      <w:bookmarkStart w:id="3969" w:name="_Toc52347907"/>
      <w:bookmarkStart w:id="3970" w:name="_Toc52352582"/>
      <w:bookmarkStart w:id="3971" w:name="_Toc52353199"/>
      <w:bookmarkStart w:id="3972" w:name="_Toc52353816"/>
      <w:bookmarkStart w:id="3973" w:name="_Toc52354490"/>
      <w:bookmarkStart w:id="3974" w:name="_Toc52355111"/>
      <w:bookmarkStart w:id="3975" w:name="_Toc52355729"/>
      <w:bookmarkStart w:id="3976" w:name="_Toc52356350"/>
      <w:bookmarkStart w:id="3977" w:name="_Toc52356975"/>
      <w:bookmarkStart w:id="3978" w:name="_Toc52395670"/>
      <w:bookmarkStart w:id="3979" w:name="_Toc54124703"/>
      <w:bookmarkStart w:id="3980" w:name="_Toc54687863"/>
      <w:bookmarkStart w:id="3981" w:name="_Toc54821350"/>
      <w:bookmarkStart w:id="3982" w:name="_Toc54821786"/>
      <w:bookmarkStart w:id="3983" w:name="_Toc55230623"/>
      <w:bookmarkStart w:id="3984" w:name="_Toc55253483"/>
      <w:bookmarkStart w:id="3985" w:name="_Toc519610893"/>
      <w:bookmarkStart w:id="3986" w:name="_Toc519868630"/>
      <w:bookmarkStart w:id="3987" w:name="_Toc519870062"/>
      <w:bookmarkStart w:id="3988" w:name="_Toc520196059"/>
      <w:bookmarkStart w:id="3989" w:name="_Toc520196677"/>
      <w:bookmarkStart w:id="3990" w:name="_Toc520196986"/>
      <w:bookmarkStart w:id="3991" w:name="_Toc520451494"/>
      <w:bookmarkStart w:id="3992" w:name="_Toc521060386"/>
      <w:bookmarkStart w:id="3993" w:name="_Toc521063366"/>
      <w:bookmarkStart w:id="3994" w:name="_Toc521063708"/>
      <w:bookmarkStart w:id="3995" w:name="_Toc521084666"/>
      <w:bookmarkStart w:id="3996" w:name="_Toc521084924"/>
      <w:bookmarkStart w:id="3997" w:name="_Toc521085180"/>
      <w:bookmarkStart w:id="3998" w:name="_Toc521488978"/>
      <w:bookmarkStart w:id="3999" w:name="_Toc522546260"/>
      <w:bookmarkStart w:id="4000" w:name="_Toc523401304"/>
      <w:bookmarkStart w:id="4001" w:name="_Toc523401765"/>
      <w:bookmarkStart w:id="4002" w:name="_Toc523405140"/>
      <w:bookmarkStart w:id="4003" w:name="_Toc523405772"/>
      <w:bookmarkStart w:id="4004" w:name="_Toc525041195"/>
      <w:bookmarkStart w:id="4005" w:name="_Toc525041452"/>
      <w:bookmarkStart w:id="4006" w:name="_Toc525027535"/>
      <w:bookmarkStart w:id="4007" w:name="_Toc525219668"/>
      <w:bookmarkStart w:id="4008" w:name="_Toc525220064"/>
      <w:bookmarkStart w:id="4009" w:name="_Toc526246277"/>
      <w:bookmarkStart w:id="4010" w:name="_Toc526855198"/>
      <w:bookmarkStart w:id="4011" w:name="_Toc527047209"/>
      <w:bookmarkStart w:id="4012" w:name="_Toc527978614"/>
      <w:bookmarkStart w:id="4013" w:name="_Toc528071479"/>
      <w:bookmarkStart w:id="4014" w:name="_Toc528668431"/>
      <w:bookmarkStart w:id="4015" w:name="_Toc528668708"/>
      <w:bookmarkStart w:id="4016" w:name="_Toc528849116"/>
      <w:bookmarkStart w:id="4017" w:name="_Toc529298652"/>
      <w:bookmarkStart w:id="4018" w:name="_Toc529973502"/>
      <w:bookmarkStart w:id="4019" w:name="_Toc530652488"/>
      <w:bookmarkStart w:id="4020" w:name="_Toc530744108"/>
      <w:bookmarkStart w:id="4021" w:name="_Toc530744757"/>
      <w:bookmarkStart w:id="4022" w:name="_Toc530749417"/>
      <w:bookmarkStart w:id="4023" w:name="_Toc530995297"/>
      <w:bookmarkStart w:id="4024" w:name="_Toc530995594"/>
      <w:bookmarkStart w:id="4025" w:name="_Toc530996161"/>
      <w:bookmarkStart w:id="4026" w:name="_Toc530996458"/>
      <w:bookmarkStart w:id="4027" w:name="_Toc530996944"/>
      <w:bookmarkStart w:id="4028" w:name="_Toc530997243"/>
      <w:bookmarkStart w:id="4029" w:name="_Toc530997461"/>
      <w:bookmarkStart w:id="4030" w:name="_Toc530997758"/>
      <w:bookmarkStart w:id="4031" w:name="_Toc530998527"/>
      <w:bookmarkStart w:id="4032" w:name="_Toc530999292"/>
      <w:bookmarkStart w:id="4033" w:name="_Toc531033365"/>
      <w:bookmarkStart w:id="4034" w:name="_Toc531180140"/>
      <w:bookmarkStart w:id="4035" w:name="_Toc531180454"/>
      <w:bookmarkStart w:id="4036" w:name="_Toc531180767"/>
      <w:bookmarkStart w:id="4037" w:name="_Toc531212331"/>
      <w:bookmarkStart w:id="4038" w:name="_Toc531280449"/>
      <w:bookmarkStart w:id="4039" w:name="_Toc531280763"/>
      <w:bookmarkStart w:id="4040" w:name="_Toc531697959"/>
      <w:bookmarkStart w:id="4041" w:name="_Toc531772276"/>
      <w:bookmarkStart w:id="4042" w:name="_Toc531792979"/>
      <w:bookmarkStart w:id="4043" w:name="_Toc531799997"/>
      <w:bookmarkStart w:id="4044" w:name="_Toc531965552"/>
      <w:bookmarkStart w:id="4045" w:name="_Toc532202523"/>
      <w:bookmarkStart w:id="4046" w:name="_Toc532205040"/>
      <w:bookmarkStart w:id="4047" w:name="_Toc532217410"/>
      <w:bookmarkStart w:id="4048" w:name="_Toc535325278"/>
      <w:bookmarkStart w:id="4049" w:name="_Toc535326358"/>
      <w:bookmarkStart w:id="4050" w:name="_Toc536116414"/>
      <w:bookmarkStart w:id="4051" w:name="_Toc536461345"/>
      <w:bookmarkStart w:id="4052" w:name="_Toc536465913"/>
      <w:bookmarkStart w:id="4053" w:name="_Toc2093430"/>
      <w:bookmarkStart w:id="4054" w:name="_Toc2183289"/>
      <w:bookmarkStart w:id="4055" w:name="_Toc2183493"/>
      <w:bookmarkStart w:id="4056" w:name="_Toc2183694"/>
      <w:bookmarkStart w:id="4057" w:name="_Toc2274616"/>
      <w:bookmarkStart w:id="4058" w:name="_Toc2610174"/>
      <w:bookmarkStart w:id="4059" w:name="_Toc2610416"/>
      <w:bookmarkStart w:id="4060" w:name="_Toc2610656"/>
      <w:bookmarkStart w:id="4061" w:name="_Toc2622992"/>
      <w:bookmarkStart w:id="4062" w:name="_Toc2611394"/>
      <w:bookmarkStart w:id="4063" w:name="_Toc2863038"/>
      <w:bookmarkStart w:id="4064" w:name="_Toc2864234"/>
      <w:bookmarkStart w:id="4065" w:name="_Toc3205681"/>
      <w:bookmarkStart w:id="4066" w:name="_Toc4159143"/>
      <w:bookmarkStart w:id="4067" w:name="_Toc5013272"/>
      <w:bookmarkStart w:id="4068" w:name="_Toc5013522"/>
      <w:bookmarkStart w:id="4069" w:name="_Toc5027880"/>
      <w:bookmarkStart w:id="4070" w:name="_Toc5028195"/>
      <w:bookmarkStart w:id="4071" w:name="_Toc5370205"/>
      <w:bookmarkStart w:id="4072" w:name="_Toc6840209"/>
      <w:bookmarkStart w:id="4073" w:name="_Toc17911759"/>
      <w:bookmarkStart w:id="4074" w:name="_Toc18320247"/>
      <w:bookmarkStart w:id="4075" w:name="_Toc18321163"/>
      <w:bookmarkStart w:id="4076" w:name="_Toc18478890"/>
      <w:bookmarkStart w:id="4077" w:name="_Toc18696094"/>
      <w:bookmarkStart w:id="4078" w:name="_Toc19567112"/>
      <w:bookmarkStart w:id="4079" w:name="_Toc19567505"/>
      <w:bookmarkStart w:id="4080" w:name="_Toc19622762"/>
      <w:bookmarkStart w:id="4081" w:name="_Toc19623155"/>
      <w:bookmarkStart w:id="4082" w:name="_Toc19623548"/>
      <w:bookmarkStart w:id="4083" w:name="_Toc19694002"/>
      <w:bookmarkStart w:id="4084" w:name="_Toc19719132"/>
      <w:bookmarkStart w:id="4085" w:name="_Toc19719521"/>
      <w:bookmarkStart w:id="4086" w:name="_Toc19719912"/>
      <w:bookmarkStart w:id="4087" w:name="_Toc19720304"/>
      <w:bookmarkStart w:id="4088" w:name="_Toc19794898"/>
      <w:bookmarkStart w:id="4089" w:name="_Toc19878115"/>
      <w:bookmarkStart w:id="4090" w:name="_Toc19878505"/>
      <w:bookmarkStart w:id="4091" w:name="_Toc19878899"/>
      <w:bookmarkStart w:id="4092" w:name="_Toc19879289"/>
      <w:bookmarkStart w:id="4093" w:name="_Toc20317651"/>
      <w:bookmarkStart w:id="4094" w:name="_Toc21003812"/>
      <w:bookmarkStart w:id="4095" w:name="_Toc21681615"/>
      <w:bookmarkStart w:id="4096" w:name="_Toc21970144"/>
      <w:bookmarkStart w:id="4097" w:name="_Toc22059622"/>
      <w:bookmarkStart w:id="4098" w:name="_Toc22134025"/>
      <w:bookmarkStart w:id="4099" w:name="_Toc22575987"/>
      <w:bookmarkStart w:id="4100" w:name="_Toc22576768"/>
      <w:bookmarkStart w:id="4101" w:name="_Toc22899352"/>
      <w:bookmarkStart w:id="4102" w:name="_Toc24992223"/>
      <w:bookmarkStart w:id="4103" w:name="_Toc25313357"/>
      <w:bookmarkStart w:id="4104" w:name="_Toc25340029"/>
      <w:bookmarkStart w:id="4105" w:name="_Toc25569345"/>
      <w:bookmarkStart w:id="4106" w:name="_Toc26531727"/>
      <w:bookmarkStart w:id="4107" w:name="_Toc26532446"/>
      <w:bookmarkStart w:id="4108" w:name="_Toc26534680"/>
      <w:bookmarkStart w:id="4109" w:name="_Toc26624537"/>
      <w:bookmarkStart w:id="4110" w:name="_Toc26634468"/>
      <w:bookmarkStart w:id="4111" w:name="_Toc26634895"/>
      <w:bookmarkStart w:id="4112" w:name="_Toc26635342"/>
      <w:bookmarkStart w:id="4113" w:name="_Toc26636156"/>
      <w:bookmarkStart w:id="4114" w:name="_Toc26720291"/>
      <w:bookmarkStart w:id="4115" w:name="_Toc26721244"/>
      <w:bookmarkStart w:id="4116" w:name="_Toc26732140"/>
      <w:bookmarkStart w:id="4117" w:name="_Toc26732593"/>
      <w:bookmarkStart w:id="4118" w:name="_Toc26785880"/>
      <w:bookmarkStart w:id="4119" w:name="_Toc26906450"/>
      <w:bookmarkStart w:id="4120" w:name="_Toc26952031"/>
      <w:bookmarkStart w:id="4121" w:name="_Toc26952486"/>
      <w:bookmarkStart w:id="4122" w:name="_Toc26959621"/>
      <w:bookmarkStart w:id="4123" w:name="_Toc27148820"/>
      <w:bookmarkStart w:id="4124" w:name="_Toc27408759"/>
      <w:bookmarkStart w:id="4125" w:name="_Toc27409165"/>
      <w:bookmarkStart w:id="4126" w:name="_Toc27469040"/>
      <w:bookmarkStart w:id="4127" w:name="_Toc27469454"/>
      <w:bookmarkStart w:id="4128" w:name="_Toc27488609"/>
      <w:bookmarkStart w:id="4129" w:name="_Toc29537343"/>
      <w:bookmarkStart w:id="4130" w:name="_Toc30503078"/>
      <w:bookmarkStart w:id="4131" w:name="_Toc30508358"/>
      <w:bookmarkStart w:id="4132" w:name="_Toc31265015"/>
      <w:bookmarkStart w:id="4133" w:name="_Toc31284420"/>
      <w:bookmarkStart w:id="4134" w:name="_Toc31626434"/>
      <w:bookmarkStart w:id="4135" w:name="_Toc31627167"/>
      <w:bookmarkStart w:id="4136" w:name="_Toc39673008"/>
      <w:bookmarkStart w:id="4137" w:name="_Toc39848075"/>
      <w:bookmarkStart w:id="4138" w:name="_Toc40191755"/>
      <w:bookmarkStart w:id="4139" w:name="_Toc40192254"/>
      <w:bookmarkStart w:id="4140" w:name="_Toc40269025"/>
      <w:bookmarkStart w:id="4141" w:name="_Toc40269529"/>
      <w:bookmarkStart w:id="4142" w:name="_Toc40270551"/>
      <w:bookmarkStart w:id="4143" w:name="_Toc40271526"/>
      <w:bookmarkStart w:id="4144" w:name="_Toc41331094"/>
      <w:bookmarkStart w:id="4145" w:name="_Toc41331515"/>
      <w:bookmarkStart w:id="4146" w:name="_Toc41389508"/>
      <w:bookmarkStart w:id="4147" w:name="_Toc42701575"/>
      <w:bookmarkStart w:id="4148" w:name="_Toc43106536"/>
      <w:bookmarkStart w:id="4149" w:name="_Toc43385213"/>
      <w:bookmarkStart w:id="4150" w:name="_Toc44005907"/>
      <w:bookmarkStart w:id="4151" w:name="_Toc45712479"/>
      <w:bookmarkStart w:id="4152" w:name="_Toc45715538"/>
      <w:bookmarkStart w:id="4153" w:name="_Toc47345446"/>
      <w:bookmarkStart w:id="4154" w:name="_Toc47345982"/>
      <w:bookmarkStart w:id="4155" w:name="_Toc47346511"/>
      <w:bookmarkStart w:id="4156" w:name="_Toc47347545"/>
      <w:bookmarkStart w:id="4157" w:name="_Toc47348091"/>
      <w:bookmarkStart w:id="4158" w:name="_Toc47365754"/>
      <w:bookmarkStart w:id="4159" w:name="_Toc50025145"/>
      <w:bookmarkStart w:id="4160" w:name="_Toc51678123"/>
      <w:bookmarkStart w:id="4161" w:name="_Toc51681238"/>
      <w:bookmarkStart w:id="4162" w:name="_Toc51763689"/>
      <w:bookmarkStart w:id="4163" w:name="_Toc51764117"/>
      <w:bookmarkStart w:id="4164" w:name="_Toc52050266"/>
      <w:bookmarkStart w:id="4165" w:name="_Toc52108648"/>
      <w:bookmarkStart w:id="4166" w:name="_Toc52109265"/>
      <w:bookmarkStart w:id="4167" w:name="_Toc52112938"/>
      <w:bookmarkStart w:id="4168" w:name="_Toc52113555"/>
      <w:bookmarkStart w:id="4169" w:name="_Toc52181009"/>
      <w:bookmarkStart w:id="4170" w:name="_Toc52197230"/>
      <w:bookmarkStart w:id="4171" w:name="_Toc52263669"/>
      <w:bookmarkStart w:id="4172" w:name="_Toc52264096"/>
      <w:bookmarkStart w:id="4173" w:name="_Toc52305974"/>
      <w:bookmarkStart w:id="4174" w:name="_Toc52306400"/>
      <w:bookmarkStart w:id="4175" w:name="_Toc52347908"/>
      <w:bookmarkStart w:id="4176" w:name="_Toc52352583"/>
      <w:bookmarkStart w:id="4177" w:name="_Toc52353200"/>
      <w:bookmarkStart w:id="4178" w:name="_Toc52353817"/>
      <w:bookmarkStart w:id="4179" w:name="_Toc52354491"/>
      <w:bookmarkStart w:id="4180" w:name="_Toc52355112"/>
      <w:bookmarkStart w:id="4181" w:name="_Toc52355730"/>
      <w:bookmarkStart w:id="4182" w:name="_Toc52356351"/>
      <w:bookmarkStart w:id="4183" w:name="_Toc52356976"/>
      <w:bookmarkStart w:id="4184" w:name="_Toc52395671"/>
      <w:bookmarkStart w:id="4185" w:name="_Toc54124704"/>
      <w:bookmarkStart w:id="4186" w:name="_Toc54687864"/>
      <w:bookmarkStart w:id="4187" w:name="_Toc54821351"/>
      <w:bookmarkStart w:id="4188" w:name="_Toc54821787"/>
      <w:bookmarkStart w:id="4189" w:name="_Toc55230624"/>
      <w:bookmarkStart w:id="4190" w:name="_Toc55253484"/>
      <w:bookmarkStart w:id="4191" w:name="_Toc519610894"/>
      <w:bookmarkStart w:id="4192" w:name="_Toc519868631"/>
      <w:bookmarkStart w:id="4193" w:name="_Toc519870063"/>
      <w:bookmarkStart w:id="4194" w:name="_Toc520196060"/>
      <w:bookmarkStart w:id="4195" w:name="_Toc520196678"/>
      <w:bookmarkStart w:id="4196" w:name="_Toc520196987"/>
      <w:bookmarkStart w:id="4197" w:name="_Toc520451495"/>
      <w:bookmarkStart w:id="4198" w:name="_Toc521060387"/>
      <w:bookmarkStart w:id="4199" w:name="_Toc521063367"/>
      <w:bookmarkStart w:id="4200" w:name="_Toc521063709"/>
      <w:bookmarkStart w:id="4201" w:name="_Toc521084667"/>
      <w:bookmarkStart w:id="4202" w:name="_Toc521084925"/>
      <w:bookmarkStart w:id="4203" w:name="_Toc521085181"/>
      <w:bookmarkStart w:id="4204" w:name="_Toc521488979"/>
      <w:bookmarkStart w:id="4205" w:name="_Toc522546261"/>
      <w:bookmarkStart w:id="4206" w:name="_Toc523401305"/>
      <w:bookmarkStart w:id="4207" w:name="_Toc523401766"/>
      <w:bookmarkStart w:id="4208" w:name="_Toc523405141"/>
      <w:bookmarkStart w:id="4209" w:name="_Toc523405773"/>
      <w:bookmarkStart w:id="4210" w:name="_Toc525041196"/>
      <w:bookmarkStart w:id="4211" w:name="_Toc525041453"/>
      <w:bookmarkStart w:id="4212" w:name="_Toc525027536"/>
      <w:bookmarkStart w:id="4213" w:name="_Toc525219669"/>
      <w:bookmarkStart w:id="4214" w:name="_Toc525220065"/>
      <w:bookmarkStart w:id="4215" w:name="_Toc526246278"/>
      <w:bookmarkStart w:id="4216" w:name="_Toc526855199"/>
      <w:bookmarkStart w:id="4217" w:name="_Toc527047210"/>
      <w:bookmarkStart w:id="4218" w:name="_Toc527978615"/>
      <w:bookmarkStart w:id="4219" w:name="_Toc528071480"/>
      <w:bookmarkStart w:id="4220" w:name="_Toc528668432"/>
      <w:bookmarkStart w:id="4221" w:name="_Toc528668709"/>
      <w:bookmarkStart w:id="4222" w:name="_Toc528849117"/>
      <w:bookmarkStart w:id="4223" w:name="_Toc529298653"/>
      <w:bookmarkStart w:id="4224" w:name="_Toc529973503"/>
      <w:bookmarkStart w:id="4225" w:name="_Toc530652489"/>
      <w:bookmarkStart w:id="4226" w:name="_Toc530744109"/>
      <w:bookmarkStart w:id="4227" w:name="_Toc530744758"/>
      <w:bookmarkStart w:id="4228" w:name="_Toc530749418"/>
      <w:bookmarkStart w:id="4229" w:name="_Toc530995298"/>
      <w:bookmarkStart w:id="4230" w:name="_Toc530995595"/>
      <w:bookmarkStart w:id="4231" w:name="_Toc530996162"/>
      <w:bookmarkStart w:id="4232" w:name="_Toc530996459"/>
      <w:bookmarkStart w:id="4233" w:name="_Toc530996945"/>
      <w:bookmarkStart w:id="4234" w:name="_Toc530997244"/>
      <w:bookmarkStart w:id="4235" w:name="_Toc530997462"/>
      <w:bookmarkStart w:id="4236" w:name="_Toc530997759"/>
      <w:bookmarkStart w:id="4237" w:name="_Toc530998528"/>
      <w:bookmarkStart w:id="4238" w:name="_Toc530999293"/>
      <w:bookmarkStart w:id="4239" w:name="_Toc531033366"/>
      <w:bookmarkStart w:id="4240" w:name="_Toc531180141"/>
      <w:bookmarkStart w:id="4241" w:name="_Toc531180455"/>
      <w:bookmarkStart w:id="4242" w:name="_Toc531180768"/>
      <w:bookmarkStart w:id="4243" w:name="_Toc531212332"/>
      <w:bookmarkStart w:id="4244" w:name="_Toc531280450"/>
      <w:bookmarkStart w:id="4245" w:name="_Toc531280764"/>
      <w:bookmarkStart w:id="4246" w:name="_Toc531697960"/>
      <w:bookmarkStart w:id="4247" w:name="_Toc531772277"/>
      <w:bookmarkStart w:id="4248" w:name="_Toc531792980"/>
      <w:bookmarkStart w:id="4249" w:name="_Toc531799998"/>
      <w:bookmarkStart w:id="4250" w:name="_Toc531965553"/>
      <w:bookmarkStart w:id="4251" w:name="_Toc532202524"/>
      <w:bookmarkStart w:id="4252" w:name="_Toc532205041"/>
      <w:bookmarkStart w:id="4253" w:name="_Toc532217411"/>
      <w:bookmarkStart w:id="4254" w:name="_Toc535325279"/>
      <w:bookmarkStart w:id="4255" w:name="_Toc535326359"/>
      <w:bookmarkStart w:id="4256" w:name="_Toc536116415"/>
      <w:bookmarkStart w:id="4257" w:name="_Toc536461346"/>
      <w:bookmarkStart w:id="4258" w:name="_Toc536465914"/>
      <w:bookmarkStart w:id="4259" w:name="_Toc2093431"/>
      <w:bookmarkStart w:id="4260" w:name="_Toc2183290"/>
      <w:bookmarkStart w:id="4261" w:name="_Toc2183494"/>
      <w:bookmarkStart w:id="4262" w:name="_Toc2183695"/>
      <w:bookmarkStart w:id="4263" w:name="_Toc2274617"/>
      <w:bookmarkStart w:id="4264" w:name="_Toc2610175"/>
      <w:bookmarkStart w:id="4265" w:name="_Toc2610417"/>
      <w:bookmarkStart w:id="4266" w:name="_Toc2610657"/>
      <w:bookmarkStart w:id="4267" w:name="_Toc2622993"/>
      <w:bookmarkStart w:id="4268" w:name="_Toc2611395"/>
      <w:bookmarkStart w:id="4269" w:name="_Toc2863039"/>
      <w:bookmarkStart w:id="4270" w:name="_Toc2864235"/>
      <w:bookmarkStart w:id="4271" w:name="_Toc3205682"/>
      <w:bookmarkStart w:id="4272" w:name="_Toc4159144"/>
      <w:bookmarkStart w:id="4273" w:name="_Toc5013273"/>
      <w:bookmarkStart w:id="4274" w:name="_Toc5013523"/>
      <w:bookmarkStart w:id="4275" w:name="_Toc5027881"/>
      <w:bookmarkStart w:id="4276" w:name="_Toc5028196"/>
      <w:bookmarkStart w:id="4277" w:name="_Toc5370206"/>
      <w:bookmarkStart w:id="4278" w:name="_Toc6840210"/>
      <w:bookmarkStart w:id="4279" w:name="_Toc17911760"/>
      <w:bookmarkStart w:id="4280" w:name="_Toc18320248"/>
      <w:bookmarkStart w:id="4281" w:name="_Toc18321164"/>
      <w:bookmarkStart w:id="4282" w:name="_Toc18478891"/>
      <w:bookmarkStart w:id="4283" w:name="_Toc18696095"/>
      <w:bookmarkStart w:id="4284" w:name="_Toc19567113"/>
      <w:bookmarkStart w:id="4285" w:name="_Toc19567506"/>
      <w:bookmarkStart w:id="4286" w:name="_Toc19622763"/>
      <w:bookmarkStart w:id="4287" w:name="_Toc19623156"/>
      <w:bookmarkStart w:id="4288" w:name="_Toc19623549"/>
      <w:bookmarkStart w:id="4289" w:name="_Toc19694003"/>
      <w:bookmarkStart w:id="4290" w:name="_Toc19719133"/>
      <w:bookmarkStart w:id="4291" w:name="_Toc19719522"/>
      <w:bookmarkStart w:id="4292" w:name="_Toc19719913"/>
      <w:bookmarkStart w:id="4293" w:name="_Toc19720305"/>
      <w:bookmarkStart w:id="4294" w:name="_Toc19794899"/>
      <w:bookmarkStart w:id="4295" w:name="_Toc19878116"/>
      <w:bookmarkStart w:id="4296" w:name="_Toc19878506"/>
      <w:bookmarkStart w:id="4297" w:name="_Toc19878900"/>
      <w:bookmarkStart w:id="4298" w:name="_Toc19879290"/>
      <w:bookmarkStart w:id="4299" w:name="_Toc20317652"/>
      <w:bookmarkStart w:id="4300" w:name="_Toc21003813"/>
      <w:bookmarkStart w:id="4301" w:name="_Toc21681616"/>
      <w:bookmarkStart w:id="4302" w:name="_Toc21970145"/>
      <w:bookmarkStart w:id="4303" w:name="_Toc22059623"/>
      <w:bookmarkStart w:id="4304" w:name="_Toc22134026"/>
      <w:bookmarkStart w:id="4305" w:name="_Toc22575988"/>
      <w:bookmarkStart w:id="4306" w:name="_Toc22576769"/>
      <w:bookmarkStart w:id="4307" w:name="_Toc22899353"/>
      <w:bookmarkStart w:id="4308" w:name="_Toc24992224"/>
      <w:bookmarkStart w:id="4309" w:name="_Toc25313358"/>
      <w:bookmarkStart w:id="4310" w:name="_Toc25340030"/>
      <w:bookmarkStart w:id="4311" w:name="_Toc25569346"/>
      <w:bookmarkStart w:id="4312" w:name="_Toc26531728"/>
      <w:bookmarkStart w:id="4313" w:name="_Toc26532447"/>
      <w:bookmarkStart w:id="4314" w:name="_Toc26534681"/>
      <w:bookmarkStart w:id="4315" w:name="_Toc26624538"/>
      <w:bookmarkStart w:id="4316" w:name="_Toc26634469"/>
      <w:bookmarkStart w:id="4317" w:name="_Toc26634896"/>
      <w:bookmarkStart w:id="4318" w:name="_Toc26635343"/>
      <w:bookmarkStart w:id="4319" w:name="_Toc26636157"/>
      <w:bookmarkStart w:id="4320" w:name="_Toc26720292"/>
      <w:bookmarkStart w:id="4321" w:name="_Toc26721245"/>
      <w:bookmarkStart w:id="4322" w:name="_Toc26732141"/>
      <w:bookmarkStart w:id="4323" w:name="_Toc26732594"/>
      <w:bookmarkStart w:id="4324" w:name="_Toc26785881"/>
      <w:bookmarkStart w:id="4325" w:name="_Toc26906451"/>
      <w:bookmarkStart w:id="4326" w:name="_Toc26952032"/>
      <w:bookmarkStart w:id="4327" w:name="_Toc26952487"/>
      <w:bookmarkStart w:id="4328" w:name="_Toc26959622"/>
      <w:bookmarkStart w:id="4329" w:name="_Toc27148821"/>
      <w:bookmarkStart w:id="4330" w:name="_Toc27408760"/>
      <w:bookmarkStart w:id="4331" w:name="_Toc27409166"/>
      <w:bookmarkStart w:id="4332" w:name="_Toc27469041"/>
      <w:bookmarkStart w:id="4333" w:name="_Toc27469455"/>
      <w:bookmarkStart w:id="4334" w:name="_Toc27488610"/>
      <w:bookmarkStart w:id="4335" w:name="_Toc29537344"/>
      <w:bookmarkStart w:id="4336" w:name="_Toc30503079"/>
      <w:bookmarkStart w:id="4337" w:name="_Toc30508359"/>
      <w:bookmarkStart w:id="4338" w:name="_Toc31265016"/>
      <w:bookmarkStart w:id="4339" w:name="_Toc31284421"/>
      <w:bookmarkStart w:id="4340" w:name="_Toc31626435"/>
      <w:bookmarkStart w:id="4341" w:name="_Toc31627168"/>
      <w:bookmarkStart w:id="4342" w:name="_Toc39673009"/>
      <w:bookmarkStart w:id="4343" w:name="_Toc39848076"/>
      <w:bookmarkStart w:id="4344" w:name="_Toc40191756"/>
      <w:bookmarkStart w:id="4345" w:name="_Toc40192255"/>
      <w:bookmarkStart w:id="4346" w:name="_Toc40269026"/>
      <w:bookmarkStart w:id="4347" w:name="_Toc40269530"/>
      <w:bookmarkStart w:id="4348" w:name="_Toc40270552"/>
      <w:bookmarkStart w:id="4349" w:name="_Toc40271527"/>
      <w:bookmarkStart w:id="4350" w:name="_Toc41331095"/>
      <w:bookmarkStart w:id="4351" w:name="_Toc41331516"/>
      <w:bookmarkStart w:id="4352" w:name="_Toc41389509"/>
      <w:bookmarkStart w:id="4353" w:name="_Toc42701576"/>
      <w:bookmarkStart w:id="4354" w:name="_Toc43106537"/>
      <w:bookmarkStart w:id="4355" w:name="_Toc43385214"/>
      <w:bookmarkStart w:id="4356" w:name="_Toc44005908"/>
      <w:bookmarkStart w:id="4357" w:name="_Toc45712480"/>
      <w:bookmarkStart w:id="4358" w:name="_Toc45715539"/>
      <w:bookmarkStart w:id="4359" w:name="_Toc47345447"/>
      <w:bookmarkStart w:id="4360" w:name="_Toc47345983"/>
      <w:bookmarkStart w:id="4361" w:name="_Toc47346512"/>
      <w:bookmarkStart w:id="4362" w:name="_Toc47347546"/>
      <w:bookmarkStart w:id="4363" w:name="_Toc47348092"/>
      <w:bookmarkStart w:id="4364" w:name="_Toc47365755"/>
      <w:bookmarkStart w:id="4365" w:name="_Toc50025146"/>
      <w:bookmarkStart w:id="4366" w:name="_Toc51678124"/>
      <w:bookmarkStart w:id="4367" w:name="_Toc51681239"/>
      <w:bookmarkStart w:id="4368" w:name="_Toc51763690"/>
      <w:bookmarkStart w:id="4369" w:name="_Toc51764118"/>
      <w:bookmarkStart w:id="4370" w:name="_Toc52050267"/>
      <w:bookmarkStart w:id="4371" w:name="_Toc52108649"/>
      <w:bookmarkStart w:id="4372" w:name="_Toc52109266"/>
      <w:bookmarkStart w:id="4373" w:name="_Toc52112939"/>
      <w:bookmarkStart w:id="4374" w:name="_Toc52113556"/>
      <w:bookmarkStart w:id="4375" w:name="_Toc52181010"/>
      <w:bookmarkStart w:id="4376" w:name="_Toc52197231"/>
      <w:bookmarkStart w:id="4377" w:name="_Toc52263670"/>
      <w:bookmarkStart w:id="4378" w:name="_Toc52264097"/>
      <w:bookmarkStart w:id="4379" w:name="_Toc52305975"/>
      <w:bookmarkStart w:id="4380" w:name="_Toc52306401"/>
      <w:bookmarkStart w:id="4381" w:name="_Toc52347909"/>
      <w:bookmarkStart w:id="4382" w:name="_Toc52352584"/>
      <w:bookmarkStart w:id="4383" w:name="_Toc52353201"/>
      <w:bookmarkStart w:id="4384" w:name="_Toc52353818"/>
      <w:bookmarkStart w:id="4385" w:name="_Toc52354492"/>
      <w:bookmarkStart w:id="4386" w:name="_Toc52355113"/>
      <w:bookmarkStart w:id="4387" w:name="_Toc52355731"/>
      <w:bookmarkStart w:id="4388" w:name="_Toc52356352"/>
      <w:bookmarkStart w:id="4389" w:name="_Toc52356977"/>
      <w:bookmarkStart w:id="4390" w:name="_Toc52395672"/>
      <w:bookmarkStart w:id="4391" w:name="_Toc54124705"/>
      <w:bookmarkStart w:id="4392" w:name="_Toc54687865"/>
      <w:bookmarkStart w:id="4393" w:name="_Toc54821352"/>
      <w:bookmarkStart w:id="4394" w:name="_Toc54821788"/>
      <w:bookmarkStart w:id="4395" w:name="_Toc55230625"/>
      <w:bookmarkStart w:id="4396" w:name="_Toc55253485"/>
      <w:bookmarkStart w:id="4397" w:name="_Toc219309820"/>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r w:rsidRPr="00264D5D">
        <w:t>Назначение и маршрут документа</w:t>
      </w:r>
      <w:bookmarkEnd w:id="4397"/>
    </w:p>
    <w:p w14:paraId="5FD790A3" w14:textId="77777777" w:rsidR="00AD1F54" w:rsidRPr="00264D5D" w:rsidRDefault="00941227">
      <w:pPr>
        <w:spacing w:before="60" w:after="120"/>
        <w:ind w:firstLine="567"/>
        <w:rPr>
          <w:szCs w:val="24"/>
        </w:rPr>
      </w:pPr>
      <w:r w:rsidRPr="00264D5D">
        <w:t xml:space="preserve">Документ «Сведения из плана закупок/плана-графика закупок» предназначен для осуществления </w:t>
      </w:r>
      <w:r w:rsidRPr="00264D5D">
        <w:rPr>
          <w:szCs w:val="24"/>
        </w:rPr>
        <w:t>контроля ТОФК, предусмотренным частью 5 статьи 99 Федерального закона № 44-ФЗ, в части:</w:t>
      </w:r>
    </w:p>
    <w:p w14:paraId="6BD4ABCF" w14:textId="77777777" w:rsidR="00AD1F54" w:rsidRPr="00264D5D" w:rsidRDefault="00941227">
      <w:pPr>
        <w:pStyle w:val="ASFKListnum"/>
        <w:spacing w:before="60"/>
        <w:ind w:left="709" w:hanging="357"/>
        <w:contextualSpacing w:val="0"/>
        <w:jc w:val="both"/>
      </w:pPr>
      <w:r w:rsidRPr="00264D5D">
        <w:t>соответствия информации об объеме финансового обеспечения, включенной в планы закупок, информации об объеме финансового обеспечения для осуществления закупок, утвержденном и доведенном до заказчика. Контроль осуществляется в отношении бюджетных данных, доводимых на 03 и 14 лицевые счета ПБС с датой введения в действие, начиная с 01.01.2017;</w:t>
      </w:r>
    </w:p>
    <w:p w14:paraId="58D001EF" w14:textId="77777777" w:rsidR="00AD1F54" w:rsidRPr="00264D5D" w:rsidRDefault="00941227">
      <w:pPr>
        <w:pStyle w:val="ASFKListnum"/>
        <w:spacing w:before="60"/>
        <w:ind w:left="709" w:hanging="357"/>
        <w:contextualSpacing w:val="0"/>
      </w:pPr>
      <w:r w:rsidRPr="00264D5D">
        <w:t>соответствия информации об идентификационных кодах закупок и об объеме финансового обеспечения для осуществления данных закупок.</w:t>
      </w:r>
    </w:p>
    <w:p w14:paraId="3EE710A8" w14:textId="5E189BFD" w:rsidR="00AD1F54" w:rsidRPr="00264D5D" w:rsidRDefault="00941227">
      <w:pPr>
        <w:pStyle w:val="GOSTNameTable"/>
        <w:numPr>
          <w:ilvl w:val="0"/>
          <w:numId w:val="2"/>
        </w:numPr>
        <w:ind w:left="425" w:hanging="357"/>
        <w:jc w:val="both"/>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4398" w:name="_Toc30503424"/>
      <w:bookmarkStart w:id="4399" w:name="_Toc30508022"/>
      <w:bookmarkStart w:id="4400" w:name="_Toc219309363"/>
      <w:r w:rsidR="008D797C">
        <w:rPr>
          <w:rFonts w:eastAsia="Calibri"/>
          <w:noProof/>
          <w:szCs w:val="24"/>
        </w:rPr>
        <w:t>333</w:t>
      </w:r>
      <w:r w:rsidRPr="00264D5D">
        <w:rPr>
          <w:rFonts w:eastAsia="Calibri"/>
          <w:szCs w:val="24"/>
        </w:rPr>
        <w:fldChar w:fldCharType="end"/>
      </w:r>
      <w:r w:rsidRPr="00264D5D">
        <w:rPr>
          <w:rFonts w:eastAsia="Calibri"/>
          <w:szCs w:val="24"/>
        </w:rPr>
        <w:t xml:space="preserve"> – Маршрут документа «</w:t>
      </w:r>
      <w:r w:rsidRPr="00264D5D">
        <w:t>Сведения из плана закупок/плана-графика закупок»</w:t>
      </w:r>
      <w:bookmarkEnd w:id="4398"/>
      <w:bookmarkEnd w:id="4399"/>
      <w:bookmarkEnd w:id="4400"/>
    </w:p>
    <w:tbl>
      <w:tblPr>
        <w:tblStyle w:val="GOSTTable"/>
        <w:tblW w:w="5000" w:type="pct"/>
        <w:tblLook w:val="01E0" w:firstRow="1" w:lastRow="1" w:firstColumn="1" w:lastColumn="1" w:noHBand="0" w:noVBand="0"/>
      </w:tblPr>
      <w:tblGrid>
        <w:gridCol w:w="2558"/>
        <w:gridCol w:w="2555"/>
        <w:gridCol w:w="4537"/>
      </w:tblGrid>
      <w:tr w:rsidR="00AD1F54" w:rsidRPr="00264D5D" w14:paraId="44ABEAC4"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325" w:type="pct"/>
          </w:tcPr>
          <w:p w14:paraId="4176C6E9" w14:textId="77777777" w:rsidR="00AD1F54" w:rsidRPr="00264D5D" w:rsidRDefault="00941227">
            <w:pPr>
              <w:pStyle w:val="OTRTableHead"/>
              <w:widowControl w:val="0"/>
              <w:rPr>
                <w:sz w:val="22"/>
                <w:szCs w:val="22"/>
              </w:rPr>
            </w:pPr>
            <w:r w:rsidRPr="00264D5D">
              <w:rPr>
                <w:sz w:val="22"/>
                <w:szCs w:val="22"/>
              </w:rPr>
              <w:t>Отправитель</w:t>
            </w:r>
          </w:p>
        </w:tc>
        <w:tc>
          <w:tcPr>
            <w:tcW w:w="1324" w:type="pct"/>
          </w:tcPr>
          <w:p w14:paraId="04B9B63C" w14:textId="77777777" w:rsidR="00AD1F54" w:rsidRPr="00264D5D" w:rsidRDefault="00941227">
            <w:pPr>
              <w:pStyle w:val="OTRTableHead"/>
              <w:widowControl w:val="0"/>
              <w:rPr>
                <w:sz w:val="22"/>
                <w:szCs w:val="22"/>
              </w:rPr>
            </w:pPr>
            <w:r w:rsidRPr="00264D5D">
              <w:rPr>
                <w:sz w:val="22"/>
                <w:szCs w:val="22"/>
              </w:rPr>
              <w:t>Получатель</w:t>
            </w:r>
          </w:p>
        </w:tc>
        <w:tc>
          <w:tcPr>
            <w:tcW w:w="2351" w:type="pct"/>
          </w:tcPr>
          <w:p w14:paraId="6390CA40" w14:textId="77777777" w:rsidR="00AD1F54" w:rsidRPr="00264D5D" w:rsidRDefault="00941227">
            <w:pPr>
              <w:pStyle w:val="OTRTableHead"/>
              <w:widowControl w:val="0"/>
              <w:rPr>
                <w:sz w:val="22"/>
                <w:szCs w:val="22"/>
              </w:rPr>
            </w:pPr>
            <w:r w:rsidRPr="00264D5D">
              <w:rPr>
                <w:sz w:val="22"/>
                <w:szCs w:val="22"/>
              </w:rPr>
              <w:t>Примечание</w:t>
            </w:r>
          </w:p>
        </w:tc>
      </w:tr>
      <w:tr w:rsidR="00AD1F54" w:rsidRPr="00264D5D" w14:paraId="1773BE15" w14:textId="77777777" w:rsidTr="00AD1F54">
        <w:trPr>
          <w:cnfStyle w:val="000000100000" w:firstRow="0" w:lastRow="0" w:firstColumn="0" w:lastColumn="0" w:oddVBand="0" w:evenVBand="0" w:oddHBand="1" w:evenHBand="0" w:firstRowFirstColumn="0" w:firstRowLastColumn="0" w:lastRowFirstColumn="0" w:lastRowLastColumn="0"/>
        </w:trPr>
        <w:tc>
          <w:tcPr>
            <w:tcW w:w="1325" w:type="pct"/>
          </w:tcPr>
          <w:p w14:paraId="125A422A" w14:textId="77777777" w:rsidR="00AD1F54" w:rsidRPr="00264D5D" w:rsidRDefault="00941227">
            <w:pPr>
              <w:spacing w:before="60" w:after="60"/>
              <w:rPr>
                <w:sz w:val="22"/>
                <w:szCs w:val="22"/>
              </w:rPr>
            </w:pPr>
            <w:r w:rsidRPr="00264D5D">
              <w:rPr>
                <w:sz w:val="22"/>
                <w:szCs w:val="22"/>
              </w:rPr>
              <w:t>ПБС (УБП, НУБП, которому переданы полномочия ПБС)</w:t>
            </w:r>
          </w:p>
        </w:tc>
        <w:tc>
          <w:tcPr>
            <w:tcW w:w="1324" w:type="pct"/>
          </w:tcPr>
          <w:p w14:paraId="2BA8FA62" w14:textId="77777777" w:rsidR="00AD1F54" w:rsidRPr="00264D5D" w:rsidRDefault="00941227">
            <w:pPr>
              <w:spacing w:before="60" w:after="60"/>
              <w:rPr>
                <w:sz w:val="22"/>
                <w:szCs w:val="22"/>
              </w:rPr>
            </w:pPr>
            <w:r w:rsidRPr="00264D5D">
              <w:rPr>
                <w:sz w:val="22"/>
                <w:szCs w:val="22"/>
              </w:rPr>
              <w:t>ТОФК</w:t>
            </w:r>
          </w:p>
        </w:tc>
        <w:tc>
          <w:tcPr>
            <w:tcW w:w="2351" w:type="pct"/>
          </w:tcPr>
          <w:p w14:paraId="0C9A5321" w14:textId="77777777" w:rsidR="00AD1F54" w:rsidRPr="00264D5D" w:rsidRDefault="00941227">
            <w:pPr>
              <w:spacing w:before="60" w:after="60"/>
              <w:rPr>
                <w:sz w:val="22"/>
                <w:szCs w:val="22"/>
              </w:rPr>
            </w:pPr>
            <w:r w:rsidRPr="00264D5D">
              <w:rPr>
                <w:sz w:val="22"/>
                <w:szCs w:val="22"/>
              </w:rPr>
              <w:t>Для закрытых объектов контроля/сведен</w:t>
            </w:r>
            <w:r w:rsidR="00FA65CC" w:rsidRPr="00264D5D">
              <w:rPr>
                <w:sz w:val="22"/>
                <w:szCs w:val="22"/>
              </w:rPr>
              <w:t>ий о закрытых объектах контроля</w:t>
            </w:r>
          </w:p>
        </w:tc>
      </w:tr>
      <w:tr w:rsidR="00AD1F54" w:rsidRPr="00264D5D" w14:paraId="56E09600" w14:textId="77777777" w:rsidTr="00AD1F54">
        <w:trPr>
          <w:cnfStyle w:val="000000010000" w:firstRow="0" w:lastRow="0" w:firstColumn="0" w:lastColumn="0" w:oddVBand="0" w:evenVBand="0" w:oddHBand="0" w:evenHBand="1" w:firstRowFirstColumn="0" w:firstRowLastColumn="0" w:lastRowFirstColumn="0" w:lastRowLastColumn="0"/>
        </w:trPr>
        <w:tc>
          <w:tcPr>
            <w:tcW w:w="1325" w:type="pct"/>
          </w:tcPr>
          <w:p w14:paraId="4E4FDBBB" w14:textId="77777777" w:rsidR="00AD1F54" w:rsidRPr="00264D5D" w:rsidRDefault="00941227">
            <w:pPr>
              <w:spacing w:before="60" w:after="60"/>
              <w:rPr>
                <w:sz w:val="22"/>
                <w:szCs w:val="22"/>
              </w:rPr>
            </w:pPr>
            <w:r w:rsidRPr="00264D5D">
              <w:rPr>
                <w:sz w:val="22"/>
                <w:szCs w:val="22"/>
              </w:rPr>
              <w:t>ЕИС</w:t>
            </w:r>
          </w:p>
        </w:tc>
        <w:tc>
          <w:tcPr>
            <w:tcW w:w="1324" w:type="pct"/>
          </w:tcPr>
          <w:p w14:paraId="68AD864C" w14:textId="77777777" w:rsidR="00AD1F54" w:rsidRPr="00264D5D" w:rsidRDefault="00941227">
            <w:pPr>
              <w:spacing w:before="60" w:after="60"/>
              <w:rPr>
                <w:sz w:val="22"/>
                <w:szCs w:val="22"/>
              </w:rPr>
            </w:pPr>
            <w:r w:rsidRPr="00264D5D">
              <w:rPr>
                <w:sz w:val="22"/>
                <w:szCs w:val="22"/>
              </w:rPr>
              <w:t>ТОФК (ППО АСФК)</w:t>
            </w:r>
          </w:p>
        </w:tc>
        <w:tc>
          <w:tcPr>
            <w:tcW w:w="2351" w:type="pct"/>
          </w:tcPr>
          <w:p w14:paraId="64060AFE" w14:textId="77777777" w:rsidR="00AD1F54" w:rsidRPr="00264D5D" w:rsidRDefault="00941227">
            <w:pPr>
              <w:spacing w:before="60" w:after="60"/>
              <w:rPr>
                <w:sz w:val="22"/>
                <w:szCs w:val="22"/>
              </w:rPr>
            </w:pPr>
            <w:r w:rsidRPr="00264D5D">
              <w:rPr>
                <w:sz w:val="22"/>
                <w:szCs w:val="22"/>
              </w:rPr>
              <w:t>Для открытых объектов контроля/сведений об открытых объектах контроля, которые размещаются в единой информа</w:t>
            </w:r>
            <w:r w:rsidR="00FA65CC" w:rsidRPr="00264D5D">
              <w:rPr>
                <w:sz w:val="22"/>
                <w:szCs w:val="22"/>
              </w:rPr>
              <w:t>ционной системе в сфере закупок</w:t>
            </w:r>
          </w:p>
        </w:tc>
      </w:tr>
      <w:tr w:rsidR="00AD1F54" w:rsidRPr="00264D5D" w14:paraId="1B15758C" w14:textId="77777777" w:rsidTr="00AD1F54">
        <w:trPr>
          <w:cnfStyle w:val="000000100000" w:firstRow="0" w:lastRow="0" w:firstColumn="0" w:lastColumn="0" w:oddVBand="0" w:evenVBand="0" w:oddHBand="1" w:evenHBand="0" w:firstRowFirstColumn="0" w:firstRowLastColumn="0" w:lastRowFirstColumn="0" w:lastRowLastColumn="0"/>
        </w:trPr>
        <w:tc>
          <w:tcPr>
            <w:tcW w:w="1325" w:type="pct"/>
          </w:tcPr>
          <w:p w14:paraId="00E77524" w14:textId="77777777" w:rsidR="00AD1F54" w:rsidRPr="00264D5D" w:rsidRDefault="00941227">
            <w:pPr>
              <w:spacing w:before="60" w:after="60"/>
              <w:rPr>
                <w:sz w:val="22"/>
                <w:szCs w:val="22"/>
              </w:rPr>
            </w:pPr>
            <w:r w:rsidRPr="00264D5D">
              <w:rPr>
                <w:sz w:val="22"/>
                <w:szCs w:val="22"/>
              </w:rPr>
              <w:t>ТОФК (ППО АСФК)</w:t>
            </w:r>
          </w:p>
        </w:tc>
        <w:tc>
          <w:tcPr>
            <w:tcW w:w="1324" w:type="pct"/>
          </w:tcPr>
          <w:p w14:paraId="4A859236" w14:textId="77777777" w:rsidR="00AD1F54" w:rsidRPr="00264D5D" w:rsidRDefault="00941227">
            <w:pPr>
              <w:spacing w:before="60" w:after="60"/>
              <w:rPr>
                <w:sz w:val="22"/>
                <w:szCs w:val="22"/>
              </w:rPr>
            </w:pPr>
            <w:r w:rsidRPr="00264D5D">
              <w:rPr>
                <w:sz w:val="22"/>
                <w:szCs w:val="22"/>
              </w:rPr>
              <w:t>ТОФК (ПУР ЭБ)</w:t>
            </w:r>
          </w:p>
        </w:tc>
        <w:tc>
          <w:tcPr>
            <w:tcW w:w="2351" w:type="pct"/>
          </w:tcPr>
          <w:p w14:paraId="0146FAF0" w14:textId="77777777" w:rsidR="00AD1F54" w:rsidRPr="00264D5D" w:rsidRDefault="00AD1F54">
            <w:pPr>
              <w:spacing w:before="60" w:after="60"/>
              <w:rPr>
                <w:sz w:val="22"/>
                <w:szCs w:val="22"/>
              </w:rPr>
            </w:pPr>
          </w:p>
        </w:tc>
      </w:tr>
    </w:tbl>
    <w:p w14:paraId="214B43B8" w14:textId="77777777" w:rsidR="00AD1F54" w:rsidRPr="00264D5D" w:rsidRDefault="00941227">
      <w:pPr>
        <w:pStyle w:val="31"/>
      </w:pPr>
      <w:bookmarkStart w:id="4401" w:name="_Toc219309821"/>
      <w:r w:rsidRPr="00264D5D">
        <w:t>Описание комплексного типа «tPUR_InformPlan»</w:t>
      </w:r>
      <w:bookmarkEnd w:id="4401"/>
    </w:p>
    <w:p w14:paraId="5F71B03D" w14:textId="1BB4437E"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4402" w:name="_Toc30503425"/>
      <w:bookmarkStart w:id="4403" w:name="_Toc30508023"/>
      <w:bookmarkStart w:id="4404" w:name="_Toc219309364"/>
      <w:r w:rsidR="008D797C">
        <w:rPr>
          <w:rFonts w:eastAsia="Calibri"/>
          <w:noProof/>
          <w:szCs w:val="24"/>
        </w:rPr>
        <w:t>334</w:t>
      </w:r>
      <w:r w:rsidRPr="00264D5D">
        <w:rPr>
          <w:rFonts w:eastAsia="Calibri"/>
          <w:szCs w:val="24"/>
        </w:rPr>
        <w:fldChar w:fldCharType="end"/>
      </w:r>
      <w:r w:rsidRPr="00264D5D">
        <w:rPr>
          <w:rFonts w:eastAsia="Calibri"/>
          <w:szCs w:val="24"/>
        </w:rPr>
        <w:t xml:space="preserve"> – Описание комплексного типа «tPUR_InformPlan»</w:t>
      </w:r>
      <w:bookmarkEnd w:id="4402"/>
      <w:bookmarkEnd w:id="4403"/>
      <w:bookmarkEnd w:id="4404"/>
    </w:p>
    <w:tbl>
      <w:tblPr>
        <w:tblStyle w:val="GOSTTable"/>
        <w:tblW w:w="5000" w:type="pct"/>
        <w:tblLayout w:type="fixed"/>
        <w:tblLook w:val="04A0" w:firstRow="1" w:lastRow="0" w:firstColumn="1" w:lastColumn="0" w:noHBand="0" w:noVBand="1"/>
      </w:tblPr>
      <w:tblGrid>
        <w:gridCol w:w="1703"/>
        <w:gridCol w:w="1704"/>
        <w:gridCol w:w="568"/>
        <w:gridCol w:w="1137"/>
        <w:gridCol w:w="568"/>
        <w:gridCol w:w="3970"/>
      </w:tblGrid>
      <w:tr w:rsidR="00AD1F54" w:rsidRPr="00264D5D" w14:paraId="75F793AB"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1699" w:type="dxa"/>
          </w:tcPr>
          <w:p w14:paraId="2782F3CF" w14:textId="77777777" w:rsidR="00AD1F54" w:rsidRPr="00264D5D" w:rsidRDefault="00941227">
            <w:pPr>
              <w:pStyle w:val="EBTableHead"/>
              <w:ind w:left="0" w:right="0"/>
              <w:contextualSpacing w:val="0"/>
              <w:rPr>
                <w:sz w:val="22"/>
                <w:szCs w:val="22"/>
              </w:rPr>
            </w:pPr>
            <w:bookmarkStart w:id="4405" w:name="OLE_LINK86"/>
            <w:r w:rsidRPr="00264D5D">
              <w:rPr>
                <w:bCs w:val="0"/>
                <w:sz w:val="22"/>
                <w:szCs w:val="22"/>
              </w:rPr>
              <w:t>Наименование элемента</w:t>
            </w:r>
          </w:p>
        </w:tc>
        <w:tc>
          <w:tcPr>
            <w:tcW w:w="1700" w:type="dxa"/>
          </w:tcPr>
          <w:p w14:paraId="65D00DAF" w14:textId="77777777" w:rsidR="00AD1F54" w:rsidRPr="00264D5D" w:rsidRDefault="00941227">
            <w:pPr>
              <w:pStyle w:val="EBTableHead"/>
              <w:ind w:left="0" w:right="0"/>
              <w:contextualSpacing w:val="0"/>
              <w:rPr>
                <w:sz w:val="22"/>
                <w:szCs w:val="22"/>
              </w:rPr>
            </w:pPr>
            <w:r w:rsidRPr="00264D5D">
              <w:rPr>
                <w:bCs w:val="0"/>
                <w:sz w:val="22"/>
                <w:szCs w:val="22"/>
              </w:rPr>
              <w:t>Сокращенное наименование (код) элемента</w:t>
            </w:r>
          </w:p>
        </w:tc>
        <w:tc>
          <w:tcPr>
            <w:tcW w:w="567" w:type="dxa"/>
          </w:tcPr>
          <w:p w14:paraId="79A9E955" w14:textId="77777777" w:rsidR="00AD1F54" w:rsidRPr="00264D5D" w:rsidRDefault="00941227">
            <w:pPr>
              <w:pStyle w:val="EBTableHead"/>
              <w:ind w:left="0" w:right="0"/>
              <w:contextualSpacing w:val="0"/>
              <w:rPr>
                <w:sz w:val="22"/>
                <w:szCs w:val="22"/>
              </w:rPr>
            </w:pPr>
            <w:r w:rsidRPr="00264D5D">
              <w:rPr>
                <w:bCs w:val="0"/>
                <w:sz w:val="22"/>
                <w:szCs w:val="22"/>
              </w:rPr>
              <w:t>Тип</w:t>
            </w:r>
          </w:p>
        </w:tc>
        <w:tc>
          <w:tcPr>
            <w:tcW w:w="1134" w:type="dxa"/>
          </w:tcPr>
          <w:p w14:paraId="06695E44" w14:textId="77777777" w:rsidR="00AD1F54" w:rsidRPr="00264D5D" w:rsidRDefault="00941227">
            <w:pPr>
              <w:pStyle w:val="EBTableHead"/>
              <w:ind w:left="0" w:right="0"/>
              <w:contextualSpacing w:val="0"/>
              <w:rPr>
                <w:sz w:val="22"/>
                <w:szCs w:val="22"/>
              </w:rPr>
            </w:pPr>
            <w:r w:rsidRPr="00264D5D">
              <w:rPr>
                <w:bCs w:val="0"/>
                <w:sz w:val="22"/>
                <w:szCs w:val="22"/>
              </w:rPr>
              <w:t>Формат элемента</w:t>
            </w:r>
          </w:p>
        </w:tc>
        <w:tc>
          <w:tcPr>
            <w:tcW w:w="567" w:type="dxa"/>
          </w:tcPr>
          <w:p w14:paraId="1351F7E6" w14:textId="77777777" w:rsidR="00AD1F54" w:rsidRPr="00264D5D" w:rsidRDefault="00941227">
            <w:pPr>
              <w:spacing w:before="60" w:after="60"/>
              <w:jc w:val="center"/>
              <w:rPr>
                <w:b/>
                <w:bCs/>
                <w:sz w:val="22"/>
                <w:szCs w:val="22"/>
              </w:rPr>
            </w:pPr>
            <w:r w:rsidRPr="00264D5D">
              <w:rPr>
                <w:b/>
                <w:bCs/>
                <w:sz w:val="22"/>
                <w:szCs w:val="22"/>
              </w:rPr>
              <w:t>Обязательность</w:t>
            </w:r>
          </w:p>
        </w:tc>
        <w:tc>
          <w:tcPr>
            <w:tcW w:w="3961" w:type="dxa"/>
          </w:tcPr>
          <w:p w14:paraId="4A9FF7F0" w14:textId="77777777" w:rsidR="00AD1F54" w:rsidRPr="00264D5D" w:rsidRDefault="00941227">
            <w:pPr>
              <w:pStyle w:val="EBTableHead"/>
              <w:ind w:left="0" w:right="0"/>
              <w:contextualSpacing w:val="0"/>
              <w:rPr>
                <w:sz w:val="22"/>
                <w:szCs w:val="22"/>
              </w:rPr>
            </w:pPr>
            <w:r w:rsidRPr="00264D5D">
              <w:rPr>
                <w:bCs w:val="0"/>
                <w:sz w:val="22"/>
                <w:szCs w:val="22"/>
              </w:rPr>
              <w:t>Дополнительная информация</w:t>
            </w:r>
          </w:p>
        </w:tc>
      </w:tr>
      <w:tr w:rsidR="00AD1F54" w:rsidRPr="00264D5D" w14:paraId="43D9DA38"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9628" w:type="dxa"/>
            <w:gridSpan w:val="6"/>
          </w:tcPr>
          <w:p w14:paraId="35E8ED06" w14:textId="77777777" w:rsidR="00AD1F54" w:rsidRPr="00264D5D" w:rsidRDefault="00941227">
            <w:pPr>
              <w:spacing w:before="60" w:after="60"/>
              <w:rPr>
                <w:sz w:val="22"/>
                <w:szCs w:val="22"/>
              </w:rPr>
            </w:pPr>
            <w:r w:rsidRPr="00264D5D">
              <w:rPr>
                <w:b/>
                <w:sz w:val="22"/>
                <w:szCs w:val="22"/>
              </w:rPr>
              <w:t>Заголовок</w:t>
            </w:r>
          </w:p>
        </w:tc>
      </w:tr>
      <w:tr w:rsidR="00AD1F54" w:rsidRPr="00264D5D" w14:paraId="13790C64"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699" w:type="dxa"/>
          </w:tcPr>
          <w:p w14:paraId="1795646C" w14:textId="77777777" w:rsidR="00AD1F54" w:rsidRPr="00264D5D" w:rsidRDefault="00941227">
            <w:pPr>
              <w:spacing w:before="60" w:after="60"/>
              <w:rPr>
                <w:sz w:val="22"/>
                <w:szCs w:val="22"/>
                <w:lang w:val="en-US"/>
              </w:rPr>
            </w:pPr>
            <w:r w:rsidRPr="00264D5D">
              <w:rPr>
                <w:sz w:val="22"/>
                <w:szCs w:val="22"/>
                <w:lang w:val="en-US"/>
              </w:rPr>
              <w:t>GUID</w:t>
            </w:r>
            <w:r w:rsidRPr="00264D5D">
              <w:rPr>
                <w:sz w:val="22"/>
                <w:szCs w:val="22"/>
              </w:rPr>
              <w:t xml:space="preserve"> документа</w:t>
            </w:r>
          </w:p>
        </w:tc>
        <w:tc>
          <w:tcPr>
            <w:tcW w:w="1700" w:type="dxa"/>
          </w:tcPr>
          <w:p w14:paraId="593A410D" w14:textId="77777777" w:rsidR="00AD1F54" w:rsidRPr="00264D5D" w:rsidRDefault="00941227">
            <w:pPr>
              <w:spacing w:before="60" w:after="60"/>
              <w:rPr>
                <w:sz w:val="22"/>
                <w:szCs w:val="22"/>
                <w:lang w:val="en-US"/>
              </w:rPr>
            </w:pPr>
            <w:r w:rsidRPr="00264D5D">
              <w:rPr>
                <w:sz w:val="22"/>
                <w:szCs w:val="22"/>
                <w:lang w:val="en-US"/>
              </w:rPr>
              <w:t>GUID</w:t>
            </w:r>
          </w:p>
        </w:tc>
        <w:tc>
          <w:tcPr>
            <w:tcW w:w="567" w:type="dxa"/>
          </w:tcPr>
          <w:p w14:paraId="2ADE63F2" w14:textId="77777777" w:rsidR="00AD1F54" w:rsidRPr="00264D5D" w:rsidRDefault="00941227">
            <w:pPr>
              <w:spacing w:before="60" w:after="60"/>
              <w:jc w:val="center"/>
              <w:rPr>
                <w:sz w:val="22"/>
                <w:szCs w:val="22"/>
              </w:rPr>
            </w:pPr>
            <w:r w:rsidRPr="00264D5D">
              <w:rPr>
                <w:sz w:val="22"/>
                <w:szCs w:val="22"/>
              </w:rPr>
              <w:t>П</w:t>
            </w:r>
          </w:p>
        </w:tc>
        <w:tc>
          <w:tcPr>
            <w:tcW w:w="1134" w:type="dxa"/>
          </w:tcPr>
          <w:p w14:paraId="30ACF4AF" w14:textId="77777777" w:rsidR="00AD1F54" w:rsidRPr="00264D5D" w:rsidRDefault="00941227">
            <w:pPr>
              <w:spacing w:before="60" w:after="60"/>
              <w:jc w:val="left"/>
              <w:rPr>
                <w:sz w:val="22"/>
                <w:szCs w:val="22"/>
              </w:rPr>
            </w:pPr>
            <w:r w:rsidRPr="00264D5D">
              <w:rPr>
                <w:sz w:val="22"/>
                <w:szCs w:val="22"/>
              </w:rPr>
              <w:t>Т(36)</w:t>
            </w:r>
          </w:p>
        </w:tc>
        <w:tc>
          <w:tcPr>
            <w:tcW w:w="567" w:type="dxa"/>
          </w:tcPr>
          <w:p w14:paraId="7633B922" w14:textId="77777777" w:rsidR="00AD1F54" w:rsidRPr="00264D5D" w:rsidRDefault="00941227">
            <w:pPr>
              <w:spacing w:before="60" w:after="60"/>
              <w:jc w:val="center"/>
              <w:rPr>
                <w:sz w:val="22"/>
                <w:szCs w:val="22"/>
                <w:lang w:val="en-US"/>
              </w:rPr>
            </w:pPr>
            <w:r w:rsidRPr="00264D5D">
              <w:rPr>
                <w:sz w:val="22"/>
                <w:szCs w:val="22"/>
                <w:lang w:val="en-US"/>
              </w:rPr>
              <w:t>Н</w:t>
            </w:r>
          </w:p>
        </w:tc>
        <w:tc>
          <w:tcPr>
            <w:tcW w:w="3961" w:type="dxa"/>
          </w:tcPr>
          <w:p w14:paraId="39524C35" w14:textId="77777777" w:rsidR="00AD1F54" w:rsidRPr="00264D5D" w:rsidRDefault="00941227">
            <w:pPr>
              <w:spacing w:before="60" w:after="60"/>
              <w:rPr>
                <w:sz w:val="22"/>
                <w:szCs w:val="22"/>
              </w:rPr>
            </w:pPr>
            <w:r w:rsidRPr="00264D5D">
              <w:rPr>
                <w:sz w:val="22"/>
                <w:szCs w:val="22"/>
              </w:rPr>
              <w:t>GUID – Глобальный уникальный идентификатор.</w:t>
            </w:r>
          </w:p>
          <w:p w14:paraId="254254AA" w14:textId="77777777" w:rsidR="00AD1F54" w:rsidRPr="00264D5D" w:rsidRDefault="00941227">
            <w:pPr>
              <w:spacing w:before="60" w:after="60"/>
              <w:rPr>
                <w:sz w:val="22"/>
                <w:szCs w:val="22"/>
              </w:rPr>
            </w:pPr>
            <w:r w:rsidRPr="00264D5D">
              <w:rPr>
                <w:sz w:val="22"/>
                <w:szCs w:val="22"/>
              </w:rPr>
              <w:t>Служебное поле, может заполняться клиентом или ТОФК.</w:t>
            </w:r>
          </w:p>
          <w:p w14:paraId="7CB6B534" w14:textId="77777777" w:rsidR="00AD1F54" w:rsidRPr="00264D5D" w:rsidRDefault="00941227">
            <w:pPr>
              <w:spacing w:before="60" w:after="60"/>
              <w:rPr>
                <w:sz w:val="22"/>
                <w:szCs w:val="22"/>
              </w:rPr>
            </w:pPr>
            <w:r w:rsidRPr="00264D5D">
              <w:rPr>
                <w:sz w:val="22"/>
                <w:szCs w:val="22"/>
              </w:rPr>
              <w:t xml:space="preserve">Обязательно для заполнения при передаче документа из ЕИС в </w:t>
            </w:r>
            <w:r w:rsidR="00D83D19">
              <w:rPr>
                <w:sz w:val="22"/>
                <w:szCs w:val="22"/>
              </w:rPr>
              <w:t>ТОФК (ППО АСФК)</w:t>
            </w:r>
            <w:r w:rsidRPr="00264D5D">
              <w:rPr>
                <w:sz w:val="22"/>
                <w:szCs w:val="22"/>
              </w:rPr>
              <w:t>.</w:t>
            </w:r>
          </w:p>
          <w:p w14:paraId="0852759E" w14:textId="77777777" w:rsidR="00AD1F54" w:rsidRPr="00264D5D" w:rsidRDefault="00941227">
            <w:pPr>
              <w:spacing w:before="60" w:after="60"/>
              <w:rPr>
                <w:sz w:val="22"/>
                <w:szCs w:val="22"/>
              </w:rPr>
            </w:pPr>
            <w:r w:rsidRPr="00264D5D">
              <w:rPr>
                <w:sz w:val="22"/>
                <w:szCs w:val="22"/>
              </w:rPr>
              <w:t xml:space="preserve">Заполняется ТОФК в случае отсутствия </w:t>
            </w:r>
            <w:r w:rsidRPr="00264D5D">
              <w:rPr>
                <w:sz w:val="22"/>
                <w:szCs w:val="22"/>
              </w:rPr>
              <w:lastRenderedPageBreak/>
              <w:t>значения, присвоенного клиентом.</w:t>
            </w:r>
          </w:p>
          <w:p w14:paraId="5E76ED43" w14:textId="77777777" w:rsidR="00AD1F54" w:rsidRPr="00264D5D" w:rsidRDefault="00941227">
            <w:pPr>
              <w:spacing w:before="60" w:after="60"/>
              <w:rPr>
                <w:sz w:val="22"/>
                <w:szCs w:val="22"/>
              </w:rPr>
            </w:pPr>
            <w:r w:rsidRPr="00264D5D">
              <w:rPr>
                <w:sz w:val="22"/>
                <w:szCs w:val="22"/>
              </w:rPr>
              <w:t>При поступлении в ТОФК документа с неуникальным значением идентификатора документа, документ не принимается к исполнению в системе Федера</w:t>
            </w:r>
            <w:r w:rsidR="00FA65CC" w:rsidRPr="00264D5D">
              <w:rPr>
                <w:sz w:val="22"/>
                <w:szCs w:val="22"/>
              </w:rPr>
              <w:t>льного казначейства</w:t>
            </w:r>
          </w:p>
        </w:tc>
      </w:tr>
      <w:tr w:rsidR="00AD1F54" w:rsidRPr="00264D5D" w14:paraId="436C5A93"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699" w:type="dxa"/>
          </w:tcPr>
          <w:p w14:paraId="25DD2522" w14:textId="77777777" w:rsidR="00AD1F54" w:rsidRPr="00264D5D" w:rsidRDefault="00941227">
            <w:pPr>
              <w:spacing w:before="60" w:after="60"/>
              <w:rPr>
                <w:sz w:val="22"/>
                <w:szCs w:val="22"/>
              </w:rPr>
            </w:pPr>
            <w:r w:rsidRPr="00264D5D">
              <w:rPr>
                <w:sz w:val="22"/>
                <w:szCs w:val="22"/>
              </w:rPr>
              <w:lastRenderedPageBreak/>
              <w:t>Номер сведений</w:t>
            </w:r>
          </w:p>
        </w:tc>
        <w:tc>
          <w:tcPr>
            <w:tcW w:w="1700" w:type="dxa"/>
          </w:tcPr>
          <w:p w14:paraId="2FE643CC" w14:textId="77777777" w:rsidR="00AD1F54" w:rsidRPr="00264D5D" w:rsidRDefault="00941227">
            <w:pPr>
              <w:spacing w:before="60" w:after="60"/>
              <w:rPr>
                <w:sz w:val="22"/>
                <w:szCs w:val="22"/>
              </w:rPr>
            </w:pPr>
            <w:r w:rsidRPr="00264D5D">
              <w:rPr>
                <w:sz w:val="22"/>
                <w:szCs w:val="22"/>
              </w:rPr>
              <w:t>number</w:t>
            </w:r>
          </w:p>
        </w:tc>
        <w:tc>
          <w:tcPr>
            <w:tcW w:w="567" w:type="dxa"/>
          </w:tcPr>
          <w:p w14:paraId="2FC3B6A9" w14:textId="77777777" w:rsidR="00AD1F54" w:rsidRPr="00264D5D" w:rsidRDefault="00941227">
            <w:pPr>
              <w:spacing w:before="60" w:after="60"/>
              <w:jc w:val="center"/>
              <w:rPr>
                <w:sz w:val="22"/>
                <w:szCs w:val="22"/>
              </w:rPr>
            </w:pPr>
            <w:r w:rsidRPr="00264D5D">
              <w:rPr>
                <w:sz w:val="22"/>
                <w:szCs w:val="22"/>
              </w:rPr>
              <w:t>П</w:t>
            </w:r>
          </w:p>
        </w:tc>
        <w:tc>
          <w:tcPr>
            <w:tcW w:w="1134" w:type="dxa"/>
          </w:tcPr>
          <w:p w14:paraId="02434B2A" w14:textId="77777777" w:rsidR="00AD1F54" w:rsidRPr="00264D5D" w:rsidRDefault="00941227">
            <w:pPr>
              <w:spacing w:before="60" w:after="60"/>
              <w:jc w:val="left"/>
              <w:rPr>
                <w:sz w:val="22"/>
                <w:szCs w:val="22"/>
              </w:rPr>
            </w:pPr>
            <w:r w:rsidRPr="00264D5D">
              <w:rPr>
                <w:sz w:val="22"/>
                <w:szCs w:val="22"/>
              </w:rPr>
              <w:t>Т(1-50)</w:t>
            </w:r>
          </w:p>
        </w:tc>
        <w:tc>
          <w:tcPr>
            <w:tcW w:w="567" w:type="dxa"/>
          </w:tcPr>
          <w:p w14:paraId="6AA72E99" w14:textId="77777777" w:rsidR="00AD1F54" w:rsidRPr="00264D5D" w:rsidRDefault="00941227">
            <w:pPr>
              <w:spacing w:before="60" w:after="60"/>
              <w:jc w:val="center"/>
              <w:rPr>
                <w:sz w:val="22"/>
                <w:szCs w:val="22"/>
              </w:rPr>
            </w:pPr>
            <w:r w:rsidRPr="00264D5D">
              <w:rPr>
                <w:sz w:val="22"/>
                <w:szCs w:val="22"/>
              </w:rPr>
              <w:t>О</w:t>
            </w:r>
          </w:p>
        </w:tc>
        <w:tc>
          <w:tcPr>
            <w:tcW w:w="3961" w:type="dxa"/>
          </w:tcPr>
          <w:p w14:paraId="2AB38119" w14:textId="77777777" w:rsidR="00AD1F54" w:rsidRPr="00264D5D" w:rsidRDefault="00FA65CC">
            <w:pPr>
              <w:spacing w:before="60" w:after="60"/>
              <w:rPr>
                <w:sz w:val="22"/>
                <w:szCs w:val="22"/>
              </w:rPr>
            </w:pPr>
            <w:r w:rsidRPr="00264D5D">
              <w:rPr>
                <w:sz w:val="22"/>
                <w:szCs w:val="22"/>
              </w:rPr>
              <w:t>Номер документа</w:t>
            </w:r>
          </w:p>
        </w:tc>
      </w:tr>
      <w:tr w:rsidR="00AD1F54" w:rsidRPr="00264D5D" w14:paraId="736CF49C"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699" w:type="dxa"/>
          </w:tcPr>
          <w:p w14:paraId="2EDB7F9D" w14:textId="77777777" w:rsidR="00AD1F54" w:rsidRPr="00264D5D" w:rsidRDefault="00941227">
            <w:pPr>
              <w:spacing w:before="60" w:after="60"/>
              <w:rPr>
                <w:sz w:val="22"/>
                <w:szCs w:val="22"/>
                <w:lang w:val="en-US"/>
              </w:rPr>
            </w:pPr>
            <w:r w:rsidRPr="00264D5D">
              <w:rPr>
                <w:sz w:val="22"/>
                <w:szCs w:val="22"/>
              </w:rPr>
              <w:t>Дата сведений</w:t>
            </w:r>
          </w:p>
        </w:tc>
        <w:tc>
          <w:tcPr>
            <w:tcW w:w="1700" w:type="dxa"/>
          </w:tcPr>
          <w:p w14:paraId="35BB6514" w14:textId="77777777" w:rsidR="00AD1F54" w:rsidRPr="00264D5D" w:rsidRDefault="00941227">
            <w:pPr>
              <w:spacing w:before="60" w:after="60"/>
              <w:rPr>
                <w:sz w:val="22"/>
                <w:szCs w:val="22"/>
              </w:rPr>
            </w:pPr>
            <w:r w:rsidRPr="00264D5D">
              <w:rPr>
                <w:sz w:val="22"/>
                <w:szCs w:val="22"/>
              </w:rPr>
              <w:t>createDate</w:t>
            </w:r>
          </w:p>
        </w:tc>
        <w:tc>
          <w:tcPr>
            <w:tcW w:w="567" w:type="dxa"/>
          </w:tcPr>
          <w:p w14:paraId="71218F32" w14:textId="77777777" w:rsidR="00AD1F54" w:rsidRPr="00264D5D" w:rsidRDefault="00941227">
            <w:pPr>
              <w:spacing w:before="60" w:after="60"/>
              <w:jc w:val="center"/>
              <w:rPr>
                <w:sz w:val="22"/>
                <w:szCs w:val="22"/>
              </w:rPr>
            </w:pPr>
            <w:r w:rsidRPr="00264D5D">
              <w:rPr>
                <w:sz w:val="22"/>
                <w:szCs w:val="22"/>
              </w:rPr>
              <w:t>П</w:t>
            </w:r>
          </w:p>
        </w:tc>
        <w:tc>
          <w:tcPr>
            <w:tcW w:w="1134" w:type="dxa"/>
          </w:tcPr>
          <w:p w14:paraId="2F7F76B0" w14:textId="77777777" w:rsidR="00AD1F54" w:rsidRPr="00264D5D" w:rsidRDefault="00941227">
            <w:pPr>
              <w:spacing w:before="60" w:after="60"/>
              <w:jc w:val="left"/>
              <w:rPr>
                <w:sz w:val="22"/>
                <w:szCs w:val="22"/>
              </w:rPr>
            </w:pPr>
            <w:r w:rsidRPr="00264D5D">
              <w:rPr>
                <w:sz w:val="22"/>
                <w:szCs w:val="22"/>
                <w:lang w:val="en-US"/>
              </w:rPr>
              <w:t>D</w:t>
            </w:r>
            <w:r w:rsidRPr="00264D5D">
              <w:rPr>
                <w:sz w:val="22"/>
                <w:szCs w:val="22"/>
              </w:rPr>
              <w:t>ate</w:t>
            </w:r>
          </w:p>
        </w:tc>
        <w:tc>
          <w:tcPr>
            <w:tcW w:w="567" w:type="dxa"/>
          </w:tcPr>
          <w:p w14:paraId="47F90BCA" w14:textId="77777777" w:rsidR="00AD1F54" w:rsidRPr="00264D5D" w:rsidRDefault="00941227">
            <w:pPr>
              <w:spacing w:before="60" w:after="60"/>
              <w:jc w:val="center"/>
              <w:rPr>
                <w:sz w:val="22"/>
                <w:szCs w:val="22"/>
              </w:rPr>
            </w:pPr>
            <w:r w:rsidRPr="00264D5D">
              <w:rPr>
                <w:sz w:val="22"/>
                <w:szCs w:val="22"/>
              </w:rPr>
              <w:t>О</w:t>
            </w:r>
          </w:p>
        </w:tc>
        <w:tc>
          <w:tcPr>
            <w:tcW w:w="3961" w:type="dxa"/>
          </w:tcPr>
          <w:p w14:paraId="384613A8" w14:textId="77777777" w:rsidR="00AD1F54" w:rsidRPr="00264D5D" w:rsidRDefault="00FA65CC">
            <w:pPr>
              <w:spacing w:before="60" w:after="60"/>
              <w:rPr>
                <w:sz w:val="22"/>
                <w:szCs w:val="22"/>
              </w:rPr>
            </w:pPr>
            <w:r w:rsidRPr="00264D5D">
              <w:rPr>
                <w:sz w:val="22"/>
                <w:szCs w:val="22"/>
              </w:rPr>
              <w:t>Дата документа</w:t>
            </w:r>
          </w:p>
        </w:tc>
      </w:tr>
      <w:tr w:rsidR="00AD1F54" w:rsidRPr="00264D5D" w14:paraId="3FB4DE15" w14:textId="77777777" w:rsidTr="00AD1F54">
        <w:trPr>
          <w:cnfStyle w:val="000000100000" w:firstRow="0" w:lastRow="0" w:firstColumn="0" w:lastColumn="0" w:oddVBand="0" w:evenVBand="0" w:oddHBand="1" w:evenHBand="0" w:firstRowFirstColumn="0" w:firstRowLastColumn="0" w:lastRowFirstColumn="0" w:lastRowLastColumn="0"/>
          <w:trHeight w:val="1110"/>
        </w:trPr>
        <w:tc>
          <w:tcPr>
            <w:tcW w:w="1699" w:type="dxa"/>
          </w:tcPr>
          <w:p w14:paraId="35F10A0C" w14:textId="77777777" w:rsidR="00AD1F54" w:rsidRPr="00264D5D" w:rsidRDefault="00941227">
            <w:pPr>
              <w:spacing w:before="60" w:after="60"/>
              <w:rPr>
                <w:sz w:val="22"/>
                <w:szCs w:val="22"/>
              </w:rPr>
            </w:pPr>
            <w:r w:rsidRPr="00264D5D">
              <w:rPr>
                <w:sz w:val="22"/>
                <w:szCs w:val="22"/>
              </w:rPr>
              <w:t>Тип сведений</w:t>
            </w:r>
          </w:p>
        </w:tc>
        <w:tc>
          <w:tcPr>
            <w:tcW w:w="1700" w:type="dxa"/>
          </w:tcPr>
          <w:p w14:paraId="7B1B2E1F" w14:textId="77777777" w:rsidR="00AD1F54" w:rsidRPr="00264D5D" w:rsidRDefault="00941227">
            <w:pPr>
              <w:spacing w:before="60" w:after="60"/>
              <w:rPr>
                <w:sz w:val="22"/>
                <w:szCs w:val="22"/>
              </w:rPr>
            </w:pPr>
            <w:r w:rsidRPr="00264D5D">
              <w:rPr>
                <w:sz w:val="22"/>
                <w:szCs w:val="22"/>
              </w:rPr>
              <w:t>infoType</w:t>
            </w:r>
          </w:p>
        </w:tc>
        <w:tc>
          <w:tcPr>
            <w:tcW w:w="567" w:type="dxa"/>
          </w:tcPr>
          <w:p w14:paraId="5CC54B34" w14:textId="77777777" w:rsidR="00AD1F54" w:rsidRPr="00264D5D" w:rsidRDefault="00941227">
            <w:pPr>
              <w:spacing w:before="60" w:after="60"/>
              <w:jc w:val="center"/>
              <w:rPr>
                <w:sz w:val="22"/>
                <w:szCs w:val="22"/>
              </w:rPr>
            </w:pPr>
            <w:r w:rsidRPr="00264D5D">
              <w:rPr>
                <w:sz w:val="22"/>
                <w:szCs w:val="22"/>
              </w:rPr>
              <w:t>С</w:t>
            </w:r>
          </w:p>
        </w:tc>
        <w:tc>
          <w:tcPr>
            <w:tcW w:w="1134" w:type="dxa"/>
          </w:tcPr>
          <w:p w14:paraId="17E2F21E" w14:textId="77777777" w:rsidR="00AD1F54" w:rsidRPr="00264D5D" w:rsidRDefault="00941227">
            <w:pPr>
              <w:spacing w:before="60" w:after="60"/>
              <w:jc w:val="left"/>
              <w:rPr>
                <w:sz w:val="22"/>
                <w:szCs w:val="22"/>
              </w:rPr>
            </w:pPr>
            <w:r w:rsidRPr="00264D5D">
              <w:rPr>
                <w:sz w:val="22"/>
                <w:szCs w:val="22"/>
              </w:rPr>
              <w:t>tT</w:t>
            </w:r>
            <w:r w:rsidRPr="00264D5D">
              <w:rPr>
                <w:sz w:val="22"/>
                <w:szCs w:val="22"/>
                <w:lang w:val="en-US"/>
              </w:rPr>
              <w:t>ype</w:t>
            </w:r>
            <w:r w:rsidRPr="00264D5D">
              <w:rPr>
                <w:sz w:val="22"/>
                <w:szCs w:val="22"/>
              </w:rPr>
              <w:t>Complex</w:t>
            </w:r>
          </w:p>
        </w:tc>
        <w:tc>
          <w:tcPr>
            <w:tcW w:w="567" w:type="dxa"/>
          </w:tcPr>
          <w:p w14:paraId="786F35C6" w14:textId="77777777" w:rsidR="00AD1F54" w:rsidRPr="00264D5D" w:rsidRDefault="00941227">
            <w:pPr>
              <w:spacing w:before="60" w:after="60"/>
              <w:jc w:val="center"/>
              <w:rPr>
                <w:sz w:val="22"/>
                <w:szCs w:val="22"/>
              </w:rPr>
            </w:pPr>
            <w:r w:rsidRPr="00264D5D">
              <w:rPr>
                <w:sz w:val="22"/>
                <w:szCs w:val="22"/>
              </w:rPr>
              <w:t>О</w:t>
            </w:r>
          </w:p>
        </w:tc>
        <w:tc>
          <w:tcPr>
            <w:tcW w:w="3961" w:type="dxa"/>
          </w:tcPr>
          <w:p w14:paraId="5D6ED4B4" w14:textId="77777777" w:rsidR="00AD1F54" w:rsidRPr="00264D5D" w:rsidRDefault="00941227">
            <w:pPr>
              <w:pStyle w:val="ASFKTablenorm"/>
              <w:contextualSpacing w:val="0"/>
              <w:rPr>
                <w:sz w:val="22"/>
                <w:szCs w:val="22"/>
              </w:rPr>
            </w:pPr>
            <w:r w:rsidRPr="00264D5D">
              <w:rPr>
                <w:sz w:val="22"/>
                <w:szCs w:val="22"/>
              </w:rPr>
              <w:t>Указывается тип предоставляемых сведений.</w:t>
            </w:r>
          </w:p>
          <w:p w14:paraId="7FE2ED41" w14:textId="5BD3BD62" w:rsidR="00AD1F54" w:rsidRPr="00264D5D" w:rsidRDefault="00941227">
            <w:pPr>
              <w:pStyle w:val="ASFKTablenorm"/>
              <w:contextualSpacing w:val="0"/>
              <w:rPr>
                <w:sz w:val="22"/>
                <w:szCs w:val="22"/>
              </w:rPr>
            </w:pPr>
            <w:r w:rsidRPr="00264D5D">
              <w:rPr>
                <w:sz w:val="22"/>
                <w:szCs w:val="22"/>
              </w:rPr>
              <w:t xml:space="preserve">Состав элемента представлен в таблице </w:t>
            </w:r>
            <w:r w:rsidRPr="00264D5D">
              <w:rPr>
                <w:sz w:val="22"/>
                <w:szCs w:val="22"/>
              </w:rPr>
              <w:fldChar w:fldCharType="begin"/>
            </w:r>
            <w:r w:rsidRPr="00264D5D">
              <w:rPr>
                <w:sz w:val="22"/>
                <w:szCs w:val="22"/>
              </w:rPr>
              <w:instrText xml:space="preserve"> REF _Ref465954070 \h  \* MERGEFORMAT </w:instrText>
            </w:r>
            <w:r w:rsidRPr="00264D5D">
              <w:rPr>
                <w:sz w:val="22"/>
                <w:szCs w:val="22"/>
              </w:rPr>
            </w:r>
            <w:r w:rsidRPr="00264D5D">
              <w:rPr>
                <w:sz w:val="22"/>
                <w:szCs w:val="22"/>
              </w:rPr>
              <w:fldChar w:fldCharType="separate"/>
            </w:r>
            <w:r w:rsidR="008D797C" w:rsidRPr="008D797C">
              <w:rPr>
                <w:b/>
                <w:sz w:val="22"/>
                <w:szCs w:val="22"/>
              </w:rPr>
              <w:t>335</w:t>
            </w:r>
            <w:r w:rsidRPr="00264D5D">
              <w:rPr>
                <w:sz w:val="22"/>
                <w:szCs w:val="22"/>
              </w:rPr>
              <w:fldChar w:fldCharType="end"/>
            </w:r>
          </w:p>
        </w:tc>
      </w:tr>
      <w:tr w:rsidR="00AD1F54" w:rsidRPr="00264D5D" w14:paraId="0ADC8442"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699" w:type="dxa"/>
          </w:tcPr>
          <w:p w14:paraId="18B8B50E" w14:textId="77777777" w:rsidR="00AD1F54" w:rsidRPr="00264D5D" w:rsidRDefault="00941227">
            <w:pPr>
              <w:spacing w:before="60" w:after="60"/>
              <w:rPr>
                <w:sz w:val="22"/>
                <w:szCs w:val="22"/>
              </w:rPr>
            </w:pPr>
            <w:r w:rsidRPr="00264D5D">
              <w:rPr>
                <w:sz w:val="22"/>
                <w:szCs w:val="22"/>
              </w:rPr>
              <w:t>Код заказчика по Сводному реестру</w:t>
            </w:r>
          </w:p>
        </w:tc>
        <w:tc>
          <w:tcPr>
            <w:tcW w:w="1700" w:type="dxa"/>
          </w:tcPr>
          <w:p w14:paraId="0106A35F" w14:textId="77777777" w:rsidR="00AD1F54" w:rsidRPr="00264D5D" w:rsidRDefault="00941227">
            <w:pPr>
              <w:spacing w:before="60" w:after="60"/>
              <w:rPr>
                <w:sz w:val="22"/>
                <w:szCs w:val="22"/>
              </w:rPr>
            </w:pPr>
            <w:r w:rsidRPr="00264D5D">
              <w:rPr>
                <w:sz w:val="22"/>
                <w:szCs w:val="22"/>
              </w:rPr>
              <w:t>orgCode</w:t>
            </w:r>
          </w:p>
        </w:tc>
        <w:tc>
          <w:tcPr>
            <w:tcW w:w="567" w:type="dxa"/>
          </w:tcPr>
          <w:p w14:paraId="76B61959" w14:textId="77777777" w:rsidR="00AD1F54" w:rsidRPr="00264D5D" w:rsidRDefault="00941227">
            <w:pPr>
              <w:spacing w:before="60" w:after="60"/>
              <w:jc w:val="center"/>
              <w:rPr>
                <w:sz w:val="22"/>
                <w:szCs w:val="22"/>
              </w:rPr>
            </w:pPr>
            <w:r w:rsidRPr="00264D5D">
              <w:rPr>
                <w:sz w:val="22"/>
                <w:szCs w:val="22"/>
              </w:rPr>
              <w:t>П</w:t>
            </w:r>
          </w:p>
        </w:tc>
        <w:tc>
          <w:tcPr>
            <w:tcW w:w="1134" w:type="dxa"/>
          </w:tcPr>
          <w:p w14:paraId="42F7611F" w14:textId="77777777" w:rsidR="00AD1F54" w:rsidRPr="00264D5D" w:rsidRDefault="00941227">
            <w:pPr>
              <w:spacing w:before="60" w:after="60"/>
              <w:jc w:val="left"/>
              <w:rPr>
                <w:sz w:val="22"/>
                <w:szCs w:val="22"/>
              </w:rPr>
            </w:pPr>
            <w:r w:rsidRPr="00264D5D">
              <w:rPr>
                <w:sz w:val="22"/>
                <w:szCs w:val="22"/>
              </w:rPr>
              <w:t>Т(8)</w:t>
            </w:r>
          </w:p>
        </w:tc>
        <w:tc>
          <w:tcPr>
            <w:tcW w:w="567" w:type="dxa"/>
          </w:tcPr>
          <w:p w14:paraId="2755B5F5" w14:textId="77777777" w:rsidR="00AD1F54" w:rsidRPr="00264D5D" w:rsidRDefault="00941227">
            <w:pPr>
              <w:spacing w:before="60" w:after="60"/>
              <w:jc w:val="center"/>
              <w:rPr>
                <w:sz w:val="22"/>
                <w:szCs w:val="22"/>
              </w:rPr>
            </w:pPr>
            <w:r w:rsidRPr="00264D5D">
              <w:rPr>
                <w:sz w:val="22"/>
                <w:szCs w:val="22"/>
              </w:rPr>
              <w:t>О</w:t>
            </w:r>
          </w:p>
        </w:tc>
        <w:tc>
          <w:tcPr>
            <w:tcW w:w="3961" w:type="dxa"/>
          </w:tcPr>
          <w:p w14:paraId="1E324DB9" w14:textId="77777777" w:rsidR="00AD1F54" w:rsidRPr="00264D5D" w:rsidRDefault="00941227">
            <w:pPr>
              <w:pStyle w:val="ASFKTablenorm"/>
              <w:contextualSpacing w:val="0"/>
              <w:rPr>
                <w:sz w:val="22"/>
                <w:szCs w:val="22"/>
              </w:rPr>
            </w:pPr>
            <w:r w:rsidRPr="00264D5D">
              <w:rPr>
                <w:sz w:val="22"/>
                <w:szCs w:val="22"/>
              </w:rPr>
              <w:t>Указывается ко</w:t>
            </w:r>
            <w:r w:rsidR="00FA65CC" w:rsidRPr="00264D5D">
              <w:rPr>
                <w:sz w:val="22"/>
                <w:szCs w:val="22"/>
              </w:rPr>
              <w:t>д заказчика по Сводному реестру</w:t>
            </w:r>
          </w:p>
        </w:tc>
      </w:tr>
      <w:tr w:rsidR="00AD1F54" w:rsidRPr="00264D5D" w14:paraId="429A5A89"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699" w:type="dxa"/>
          </w:tcPr>
          <w:p w14:paraId="48CA877B" w14:textId="77777777" w:rsidR="00AD1F54" w:rsidRPr="00264D5D" w:rsidRDefault="00941227">
            <w:pPr>
              <w:spacing w:before="60" w:after="60"/>
              <w:rPr>
                <w:sz w:val="22"/>
                <w:szCs w:val="22"/>
              </w:rPr>
            </w:pPr>
            <w:r w:rsidRPr="00264D5D">
              <w:rPr>
                <w:sz w:val="22"/>
                <w:szCs w:val="22"/>
              </w:rPr>
              <w:t>ИНН заказчика</w:t>
            </w:r>
          </w:p>
        </w:tc>
        <w:tc>
          <w:tcPr>
            <w:tcW w:w="1700" w:type="dxa"/>
          </w:tcPr>
          <w:p w14:paraId="1CBC59AB" w14:textId="77777777" w:rsidR="00AD1F54" w:rsidRPr="00264D5D" w:rsidRDefault="00941227">
            <w:pPr>
              <w:spacing w:before="60" w:after="60"/>
              <w:rPr>
                <w:sz w:val="22"/>
                <w:szCs w:val="22"/>
              </w:rPr>
            </w:pPr>
            <w:r w:rsidRPr="00264D5D">
              <w:rPr>
                <w:sz w:val="22"/>
                <w:szCs w:val="22"/>
              </w:rPr>
              <w:t>INN</w:t>
            </w:r>
          </w:p>
        </w:tc>
        <w:tc>
          <w:tcPr>
            <w:tcW w:w="567" w:type="dxa"/>
          </w:tcPr>
          <w:p w14:paraId="00C8C2C0" w14:textId="77777777" w:rsidR="00AD1F54" w:rsidRPr="00264D5D" w:rsidRDefault="00941227">
            <w:pPr>
              <w:spacing w:before="60" w:after="60"/>
              <w:jc w:val="center"/>
              <w:rPr>
                <w:sz w:val="22"/>
                <w:szCs w:val="22"/>
              </w:rPr>
            </w:pPr>
            <w:r w:rsidRPr="00264D5D">
              <w:rPr>
                <w:sz w:val="22"/>
                <w:szCs w:val="22"/>
              </w:rPr>
              <w:t>П</w:t>
            </w:r>
          </w:p>
        </w:tc>
        <w:tc>
          <w:tcPr>
            <w:tcW w:w="1134" w:type="dxa"/>
          </w:tcPr>
          <w:p w14:paraId="30E3FA1F" w14:textId="77777777" w:rsidR="00AD1F54" w:rsidRPr="00264D5D" w:rsidRDefault="00941227">
            <w:pPr>
              <w:spacing w:before="60" w:after="60"/>
              <w:jc w:val="left"/>
              <w:rPr>
                <w:sz w:val="22"/>
                <w:szCs w:val="22"/>
              </w:rPr>
            </w:pPr>
            <w:r w:rsidRPr="00264D5D">
              <w:rPr>
                <w:sz w:val="22"/>
                <w:szCs w:val="22"/>
              </w:rPr>
              <w:t>Т(10)</w:t>
            </w:r>
          </w:p>
        </w:tc>
        <w:tc>
          <w:tcPr>
            <w:tcW w:w="567" w:type="dxa"/>
          </w:tcPr>
          <w:p w14:paraId="34FF3DD9" w14:textId="77777777" w:rsidR="00AD1F54" w:rsidRPr="00264D5D" w:rsidRDefault="00941227">
            <w:pPr>
              <w:spacing w:before="60" w:after="60"/>
              <w:jc w:val="center"/>
              <w:rPr>
                <w:sz w:val="22"/>
                <w:szCs w:val="22"/>
              </w:rPr>
            </w:pPr>
            <w:r w:rsidRPr="00264D5D">
              <w:rPr>
                <w:sz w:val="22"/>
                <w:szCs w:val="22"/>
              </w:rPr>
              <w:t>О</w:t>
            </w:r>
          </w:p>
        </w:tc>
        <w:tc>
          <w:tcPr>
            <w:tcW w:w="3961" w:type="dxa"/>
          </w:tcPr>
          <w:p w14:paraId="3EF470DB" w14:textId="77777777" w:rsidR="00AD1F54" w:rsidRPr="00264D5D" w:rsidRDefault="00FA65CC">
            <w:pPr>
              <w:pStyle w:val="ASFKTablenorm"/>
              <w:contextualSpacing w:val="0"/>
              <w:rPr>
                <w:sz w:val="22"/>
                <w:szCs w:val="22"/>
              </w:rPr>
            </w:pPr>
            <w:r w:rsidRPr="00264D5D">
              <w:rPr>
                <w:sz w:val="22"/>
                <w:szCs w:val="22"/>
              </w:rPr>
              <w:t>Указывается ИНН заказчика</w:t>
            </w:r>
          </w:p>
        </w:tc>
      </w:tr>
      <w:tr w:rsidR="00AD1F54" w:rsidRPr="00264D5D" w14:paraId="1F0F8215"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699" w:type="dxa"/>
          </w:tcPr>
          <w:p w14:paraId="36901B2D" w14:textId="77777777" w:rsidR="00AD1F54" w:rsidRPr="00264D5D" w:rsidRDefault="00941227">
            <w:pPr>
              <w:spacing w:before="60" w:after="60"/>
              <w:rPr>
                <w:sz w:val="22"/>
                <w:szCs w:val="22"/>
              </w:rPr>
            </w:pPr>
            <w:r w:rsidRPr="00264D5D">
              <w:rPr>
                <w:sz w:val="22"/>
                <w:szCs w:val="22"/>
              </w:rPr>
              <w:t>КПП заказчика</w:t>
            </w:r>
          </w:p>
        </w:tc>
        <w:tc>
          <w:tcPr>
            <w:tcW w:w="1700" w:type="dxa"/>
          </w:tcPr>
          <w:p w14:paraId="516F6C48" w14:textId="77777777" w:rsidR="00AD1F54" w:rsidRPr="00264D5D" w:rsidRDefault="00941227">
            <w:pPr>
              <w:spacing w:before="60" w:after="60"/>
              <w:rPr>
                <w:sz w:val="22"/>
                <w:szCs w:val="22"/>
              </w:rPr>
            </w:pPr>
            <w:r w:rsidRPr="00264D5D">
              <w:rPr>
                <w:sz w:val="22"/>
                <w:szCs w:val="22"/>
              </w:rPr>
              <w:t>KPP</w:t>
            </w:r>
          </w:p>
        </w:tc>
        <w:tc>
          <w:tcPr>
            <w:tcW w:w="567" w:type="dxa"/>
          </w:tcPr>
          <w:p w14:paraId="3A99E551" w14:textId="77777777" w:rsidR="00AD1F54" w:rsidRPr="00264D5D" w:rsidRDefault="00941227">
            <w:pPr>
              <w:spacing w:before="60" w:after="60"/>
              <w:jc w:val="center"/>
              <w:rPr>
                <w:sz w:val="22"/>
                <w:szCs w:val="22"/>
              </w:rPr>
            </w:pPr>
            <w:r w:rsidRPr="00264D5D">
              <w:rPr>
                <w:sz w:val="22"/>
                <w:szCs w:val="22"/>
              </w:rPr>
              <w:t>П</w:t>
            </w:r>
          </w:p>
        </w:tc>
        <w:tc>
          <w:tcPr>
            <w:tcW w:w="1134" w:type="dxa"/>
          </w:tcPr>
          <w:p w14:paraId="3CFF2220" w14:textId="77777777" w:rsidR="00AD1F54" w:rsidRPr="00264D5D" w:rsidRDefault="00941227">
            <w:pPr>
              <w:spacing w:before="60" w:after="60"/>
              <w:jc w:val="left"/>
              <w:rPr>
                <w:sz w:val="22"/>
                <w:szCs w:val="22"/>
              </w:rPr>
            </w:pPr>
            <w:r w:rsidRPr="00264D5D">
              <w:rPr>
                <w:sz w:val="22"/>
                <w:szCs w:val="22"/>
              </w:rPr>
              <w:t>Т(9)</w:t>
            </w:r>
          </w:p>
        </w:tc>
        <w:tc>
          <w:tcPr>
            <w:tcW w:w="567" w:type="dxa"/>
          </w:tcPr>
          <w:p w14:paraId="22CD0D54" w14:textId="77777777" w:rsidR="00AD1F54" w:rsidRPr="00264D5D" w:rsidRDefault="00941227">
            <w:pPr>
              <w:spacing w:before="60" w:after="60"/>
              <w:jc w:val="center"/>
              <w:rPr>
                <w:sz w:val="22"/>
                <w:szCs w:val="22"/>
              </w:rPr>
            </w:pPr>
            <w:r w:rsidRPr="00264D5D">
              <w:rPr>
                <w:sz w:val="22"/>
                <w:szCs w:val="22"/>
              </w:rPr>
              <w:t>Н</w:t>
            </w:r>
          </w:p>
        </w:tc>
        <w:tc>
          <w:tcPr>
            <w:tcW w:w="3961" w:type="dxa"/>
          </w:tcPr>
          <w:p w14:paraId="2F8511FA" w14:textId="77777777" w:rsidR="00AD1F54" w:rsidRPr="00264D5D" w:rsidRDefault="00FA65CC">
            <w:pPr>
              <w:pStyle w:val="ASFKTablenorm"/>
              <w:contextualSpacing w:val="0"/>
              <w:rPr>
                <w:sz w:val="22"/>
                <w:szCs w:val="22"/>
              </w:rPr>
            </w:pPr>
            <w:r w:rsidRPr="00264D5D">
              <w:rPr>
                <w:sz w:val="22"/>
                <w:szCs w:val="22"/>
              </w:rPr>
              <w:t>Указывается КПП заказчика</w:t>
            </w:r>
          </w:p>
        </w:tc>
      </w:tr>
      <w:tr w:rsidR="00AD1F54" w:rsidRPr="00264D5D" w14:paraId="60197DBB"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699" w:type="dxa"/>
          </w:tcPr>
          <w:p w14:paraId="30FE2670" w14:textId="77777777" w:rsidR="00AD1F54" w:rsidRPr="00264D5D" w:rsidRDefault="00941227">
            <w:pPr>
              <w:spacing w:before="60" w:after="60"/>
              <w:rPr>
                <w:sz w:val="22"/>
                <w:szCs w:val="22"/>
              </w:rPr>
            </w:pPr>
            <w:r w:rsidRPr="00264D5D">
              <w:rPr>
                <w:sz w:val="22"/>
                <w:szCs w:val="22"/>
              </w:rPr>
              <w:t>Номер лицевого счета</w:t>
            </w:r>
          </w:p>
        </w:tc>
        <w:tc>
          <w:tcPr>
            <w:tcW w:w="1700" w:type="dxa"/>
          </w:tcPr>
          <w:p w14:paraId="2115631E" w14:textId="77777777" w:rsidR="00AD1F54" w:rsidRPr="00264D5D" w:rsidRDefault="00941227">
            <w:pPr>
              <w:spacing w:before="60" w:after="60"/>
              <w:rPr>
                <w:sz w:val="22"/>
                <w:szCs w:val="22"/>
              </w:rPr>
            </w:pPr>
            <w:r w:rsidRPr="00264D5D">
              <w:rPr>
                <w:sz w:val="22"/>
                <w:szCs w:val="22"/>
              </w:rPr>
              <w:t>accountNumber</w:t>
            </w:r>
          </w:p>
        </w:tc>
        <w:tc>
          <w:tcPr>
            <w:tcW w:w="567" w:type="dxa"/>
          </w:tcPr>
          <w:p w14:paraId="4C8833DD" w14:textId="77777777" w:rsidR="00AD1F54" w:rsidRPr="00264D5D" w:rsidRDefault="00941227">
            <w:pPr>
              <w:spacing w:before="60" w:after="60"/>
              <w:jc w:val="center"/>
              <w:rPr>
                <w:sz w:val="22"/>
                <w:szCs w:val="22"/>
              </w:rPr>
            </w:pPr>
            <w:r w:rsidRPr="00264D5D">
              <w:rPr>
                <w:sz w:val="22"/>
                <w:szCs w:val="22"/>
              </w:rPr>
              <w:t>П</w:t>
            </w:r>
          </w:p>
        </w:tc>
        <w:tc>
          <w:tcPr>
            <w:tcW w:w="1134" w:type="dxa"/>
          </w:tcPr>
          <w:p w14:paraId="203A8772" w14:textId="77777777" w:rsidR="00AD1F54" w:rsidRPr="00264D5D" w:rsidRDefault="00941227">
            <w:pPr>
              <w:spacing w:before="60" w:after="60"/>
              <w:jc w:val="left"/>
              <w:rPr>
                <w:sz w:val="22"/>
                <w:szCs w:val="22"/>
              </w:rPr>
            </w:pPr>
            <w:r w:rsidRPr="00264D5D">
              <w:rPr>
                <w:sz w:val="22"/>
                <w:szCs w:val="22"/>
              </w:rPr>
              <w:t>Т(11)</w:t>
            </w:r>
          </w:p>
        </w:tc>
        <w:tc>
          <w:tcPr>
            <w:tcW w:w="567" w:type="dxa"/>
          </w:tcPr>
          <w:p w14:paraId="006AD1F2" w14:textId="77777777" w:rsidR="00AD1F54" w:rsidRPr="00264D5D" w:rsidRDefault="00941227">
            <w:pPr>
              <w:spacing w:before="60" w:after="60"/>
              <w:jc w:val="center"/>
              <w:rPr>
                <w:sz w:val="22"/>
                <w:szCs w:val="22"/>
              </w:rPr>
            </w:pPr>
            <w:r w:rsidRPr="00264D5D">
              <w:rPr>
                <w:sz w:val="22"/>
                <w:szCs w:val="22"/>
              </w:rPr>
              <w:t>О</w:t>
            </w:r>
          </w:p>
        </w:tc>
        <w:tc>
          <w:tcPr>
            <w:tcW w:w="3961" w:type="dxa"/>
          </w:tcPr>
          <w:p w14:paraId="1D04E6DD" w14:textId="77777777" w:rsidR="00AD1F54" w:rsidRPr="00264D5D" w:rsidRDefault="00941227">
            <w:pPr>
              <w:pStyle w:val="ASFKTablenorm"/>
              <w:contextualSpacing w:val="0"/>
              <w:rPr>
                <w:sz w:val="22"/>
                <w:szCs w:val="22"/>
              </w:rPr>
            </w:pPr>
            <w:r w:rsidRPr="00264D5D">
              <w:rPr>
                <w:sz w:val="22"/>
                <w:szCs w:val="22"/>
              </w:rPr>
              <w:t>Указывается</w:t>
            </w:r>
            <w:r w:rsidR="00FA65CC" w:rsidRPr="00264D5D">
              <w:rPr>
                <w:sz w:val="22"/>
                <w:szCs w:val="22"/>
              </w:rPr>
              <w:t xml:space="preserve"> номер лицевого счета заказчика</w:t>
            </w:r>
          </w:p>
        </w:tc>
      </w:tr>
      <w:tr w:rsidR="00AD1F54" w:rsidRPr="00264D5D" w14:paraId="1E4E7CE7"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699" w:type="dxa"/>
          </w:tcPr>
          <w:p w14:paraId="4CF96548" w14:textId="77777777" w:rsidR="00AD1F54" w:rsidRPr="00264D5D" w:rsidRDefault="00941227">
            <w:pPr>
              <w:spacing w:before="60" w:after="60"/>
              <w:rPr>
                <w:sz w:val="22"/>
                <w:szCs w:val="22"/>
              </w:rPr>
            </w:pPr>
            <w:r w:rsidRPr="00264D5D">
              <w:rPr>
                <w:sz w:val="22"/>
                <w:szCs w:val="22"/>
              </w:rPr>
              <w:t>Год плана закупок</w:t>
            </w:r>
          </w:p>
        </w:tc>
        <w:tc>
          <w:tcPr>
            <w:tcW w:w="1700" w:type="dxa"/>
          </w:tcPr>
          <w:p w14:paraId="16AF645C" w14:textId="77777777" w:rsidR="00AD1F54" w:rsidRPr="00264D5D" w:rsidRDefault="00941227">
            <w:pPr>
              <w:spacing w:before="60" w:after="60"/>
              <w:rPr>
                <w:sz w:val="22"/>
                <w:szCs w:val="22"/>
              </w:rPr>
            </w:pPr>
            <w:r w:rsidRPr="00264D5D">
              <w:rPr>
                <w:sz w:val="22"/>
                <w:szCs w:val="22"/>
              </w:rPr>
              <w:t>year</w:t>
            </w:r>
          </w:p>
        </w:tc>
        <w:tc>
          <w:tcPr>
            <w:tcW w:w="567" w:type="dxa"/>
          </w:tcPr>
          <w:p w14:paraId="61A9D1CC" w14:textId="77777777" w:rsidR="00AD1F54" w:rsidRPr="00264D5D" w:rsidRDefault="00941227">
            <w:pPr>
              <w:spacing w:before="60" w:after="60"/>
              <w:jc w:val="center"/>
              <w:rPr>
                <w:sz w:val="22"/>
                <w:szCs w:val="22"/>
              </w:rPr>
            </w:pPr>
            <w:r w:rsidRPr="00264D5D">
              <w:rPr>
                <w:sz w:val="22"/>
                <w:szCs w:val="22"/>
              </w:rPr>
              <w:t>П</w:t>
            </w:r>
          </w:p>
        </w:tc>
        <w:tc>
          <w:tcPr>
            <w:tcW w:w="1134" w:type="dxa"/>
          </w:tcPr>
          <w:p w14:paraId="4AE257AD" w14:textId="77777777" w:rsidR="00AD1F54" w:rsidRPr="00264D5D" w:rsidRDefault="00941227">
            <w:pPr>
              <w:spacing w:before="60" w:after="60"/>
              <w:jc w:val="left"/>
              <w:rPr>
                <w:sz w:val="22"/>
                <w:szCs w:val="22"/>
              </w:rPr>
            </w:pPr>
            <w:r w:rsidRPr="00264D5D">
              <w:rPr>
                <w:sz w:val="22"/>
                <w:szCs w:val="22"/>
              </w:rPr>
              <w:t>Т(4)</w:t>
            </w:r>
          </w:p>
        </w:tc>
        <w:tc>
          <w:tcPr>
            <w:tcW w:w="567" w:type="dxa"/>
          </w:tcPr>
          <w:p w14:paraId="684A5625" w14:textId="77777777" w:rsidR="00AD1F54" w:rsidRPr="00264D5D" w:rsidRDefault="00941227">
            <w:pPr>
              <w:spacing w:before="60" w:after="60"/>
              <w:jc w:val="center"/>
              <w:rPr>
                <w:sz w:val="22"/>
                <w:szCs w:val="22"/>
              </w:rPr>
            </w:pPr>
            <w:r w:rsidRPr="00264D5D">
              <w:rPr>
                <w:sz w:val="22"/>
                <w:szCs w:val="22"/>
              </w:rPr>
              <w:t>О</w:t>
            </w:r>
          </w:p>
        </w:tc>
        <w:tc>
          <w:tcPr>
            <w:tcW w:w="3961" w:type="dxa"/>
          </w:tcPr>
          <w:p w14:paraId="06D7C288" w14:textId="77777777" w:rsidR="00AD1F54" w:rsidRPr="00264D5D" w:rsidRDefault="00941227">
            <w:pPr>
              <w:pStyle w:val="ASFKTablenorm"/>
              <w:contextualSpacing w:val="0"/>
              <w:rPr>
                <w:sz w:val="22"/>
                <w:szCs w:val="22"/>
              </w:rPr>
            </w:pPr>
            <w:r w:rsidRPr="00264D5D">
              <w:rPr>
                <w:sz w:val="22"/>
                <w:szCs w:val="22"/>
              </w:rPr>
              <w:t>Указывает</w:t>
            </w:r>
            <w:r w:rsidR="00FA65CC" w:rsidRPr="00264D5D">
              <w:rPr>
                <w:sz w:val="22"/>
                <w:szCs w:val="22"/>
              </w:rPr>
              <w:t>ся финансовый год плана закупок</w:t>
            </w:r>
          </w:p>
        </w:tc>
      </w:tr>
      <w:tr w:rsidR="00AD1F54" w:rsidRPr="00264D5D" w14:paraId="439A508F"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9628" w:type="dxa"/>
            <w:gridSpan w:val="6"/>
          </w:tcPr>
          <w:p w14:paraId="441A64D0" w14:textId="77777777" w:rsidR="00AD1F54" w:rsidRPr="00264D5D" w:rsidRDefault="00941227">
            <w:pPr>
              <w:pStyle w:val="ASFKTablenorm"/>
              <w:contextualSpacing w:val="0"/>
              <w:rPr>
                <w:sz w:val="22"/>
                <w:szCs w:val="22"/>
              </w:rPr>
            </w:pPr>
            <w:r w:rsidRPr="00264D5D">
              <w:rPr>
                <w:b/>
                <w:sz w:val="22"/>
                <w:szCs w:val="22"/>
              </w:rPr>
              <w:t>Итоговые суммы на осуществление закупок</w:t>
            </w:r>
          </w:p>
        </w:tc>
      </w:tr>
      <w:tr w:rsidR="00AD1F54" w:rsidRPr="00264D5D" w14:paraId="0088FA36"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699" w:type="dxa"/>
          </w:tcPr>
          <w:p w14:paraId="1211655A" w14:textId="77777777" w:rsidR="00AD1F54" w:rsidRPr="00264D5D" w:rsidRDefault="00941227">
            <w:pPr>
              <w:spacing w:before="60" w:after="60"/>
              <w:rPr>
                <w:sz w:val="22"/>
                <w:szCs w:val="22"/>
              </w:rPr>
            </w:pPr>
            <w:r w:rsidRPr="00264D5D">
              <w:rPr>
                <w:sz w:val="22"/>
                <w:szCs w:val="22"/>
              </w:rPr>
              <w:t>Итого на осуществление закупок на текущий финансовый год (руб.)</w:t>
            </w:r>
          </w:p>
        </w:tc>
        <w:tc>
          <w:tcPr>
            <w:tcW w:w="1700" w:type="dxa"/>
          </w:tcPr>
          <w:p w14:paraId="4069FAA6" w14:textId="77777777" w:rsidR="00AD1F54" w:rsidRPr="00264D5D" w:rsidRDefault="00941227">
            <w:pPr>
              <w:spacing w:before="60" w:after="60"/>
              <w:rPr>
                <w:sz w:val="22"/>
                <w:szCs w:val="22"/>
              </w:rPr>
            </w:pPr>
            <w:r w:rsidRPr="00264D5D">
              <w:rPr>
                <w:sz w:val="22"/>
                <w:szCs w:val="22"/>
              </w:rPr>
              <w:t>SmCurrentYear</w:t>
            </w:r>
          </w:p>
        </w:tc>
        <w:tc>
          <w:tcPr>
            <w:tcW w:w="567" w:type="dxa"/>
          </w:tcPr>
          <w:p w14:paraId="3CC17AB0" w14:textId="77777777" w:rsidR="00AD1F54" w:rsidRPr="00264D5D" w:rsidRDefault="00941227">
            <w:pPr>
              <w:spacing w:before="60" w:after="60"/>
              <w:jc w:val="center"/>
              <w:rPr>
                <w:sz w:val="22"/>
                <w:szCs w:val="22"/>
              </w:rPr>
            </w:pPr>
            <w:r w:rsidRPr="00264D5D">
              <w:rPr>
                <w:sz w:val="22"/>
                <w:szCs w:val="22"/>
              </w:rPr>
              <w:t>П</w:t>
            </w:r>
          </w:p>
        </w:tc>
        <w:tc>
          <w:tcPr>
            <w:tcW w:w="1134" w:type="dxa"/>
          </w:tcPr>
          <w:p w14:paraId="658C773F" w14:textId="77777777" w:rsidR="00AD1F54" w:rsidRPr="00264D5D" w:rsidRDefault="00941227">
            <w:pPr>
              <w:spacing w:before="60" w:after="60"/>
              <w:jc w:val="left"/>
              <w:rPr>
                <w:sz w:val="22"/>
                <w:szCs w:val="22"/>
              </w:rPr>
            </w:pPr>
            <w:r w:rsidRPr="00264D5D">
              <w:rPr>
                <w:sz w:val="22"/>
                <w:szCs w:val="22"/>
              </w:rPr>
              <w:t>N(20.2)</w:t>
            </w:r>
          </w:p>
        </w:tc>
        <w:tc>
          <w:tcPr>
            <w:tcW w:w="567" w:type="dxa"/>
          </w:tcPr>
          <w:p w14:paraId="58C78666" w14:textId="77777777" w:rsidR="00AD1F54" w:rsidRPr="00264D5D" w:rsidRDefault="00941227">
            <w:pPr>
              <w:spacing w:before="60" w:after="60"/>
              <w:jc w:val="center"/>
              <w:rPr>
                <w:sz w:val="22"/>
                <w:szCs w:val="22"/>
              </w:rPr>
            </w:pPr>
            <w:r w:rsidRPr="00264D5D">
              <w:rPr>
                <w:sz w:val="22"/>
                <w:szCs w:val="22"/>
              </w:rPr>
              <w:t>О</w:t>
            </w:r>
          </w:p>
        </w:tc>
        <w:tc>
          <w:tcPr>
            <w:tcW w:w="3961" w:type="dxa"/>
          </w:tcPr>
          <w:p w14:paraId="797BE113" w14:textId="77777777" w:rsidR="00AD1F54" w:rsidRPr="00264D5D" w:rsidRDefault="00941227">
            <w:pPr>
              <w:pStyle w:val="ASFKTablenorm"/>
              <w:contextualSpacing w:val="0"/>
              <w:rPr>
                <w:sz w:val="22"/>
                <w:szCs w:val="22"/>
              </w:rPr>
            </w:pPr>
            <w:r w:rsidRPr="00264D5D">
              <w:rPr>
                <w:sz w:val="22"/>
                <w:szCs w:val="22"/>
              </w:rPr>
              <w:t>Указывается итоговая сумма на осуществление закупок на текущий финансовый год.</w:t>
            </w:r>
          </w:p>
          <w:p w14:paraId="207696EE" w14:textId="77777777" w:rsidR="00AD1F54" w:rsidRPr="00264D5D" w:rsidRDefault="00941227">
            <w:pPr>
              <w:pStyle w:val="ASFKTablenorm"/>
              <w:contextualSpacing w:val="0"/>
              <w:rPr>
                <w:sz w:val="22"/>
                <w:szCs w:val="22"/>
              </w:rPr>
            </w:pPr>
            <w:r w:rsidRPr="00264D5D">
              <w:rPr>
                <w:sz w:val="22"/>
                <w:szCs w:val="22"/>
              </w:rPr>
              <w:t>При отсутст</w:t>
            </w:r>
            <w:r w:rsidR="00FB163B" w:rsidRPr="00264D5D">
              <w:rPr>
                <w:sz w:val="22"/>
                <w:szCs w:val="22"/>
              </w:rPr>
              <w:t>вии значения указывается «0.00»</w:t>
            </w:r>
          </w:p>
        </w:tc>
      </w:tr>
      <w:tr w:rsidR="00AD1F54" w:rsidRPr="00264D5D" w14:paraId="64FDD320"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699" w:type="dxa"/>
          </w:tcPr>
          <w:p w14:paraId="21F3A39D" w14:textId="77777777" w:rsidR="00AD1F54" w:rsidRPr="00264D5D" w:rsidRDefault="00941227">
            <w:pPr>
              <w:spacing w:before="60" w:after="60"/>
              <w:rPr>
                <w:sz w:val="22"/>
                <w:szCs w:val="22"/>
              </w:rPr>
            </w:pPr>
            <w:r w:rsidRPr="00264D5D">
              <w:rPr>
                <w:sz w:val="22"/>
                <w:szCs w:val="22"/>
              </w:rPr>
              <w:t>Итого на осуществление закупок на первый год планового периода (руб.)</w:t>
            </w:r>
          </w:p>
        </w:tc>
        <w:tc>
          <w:tcPr>
            <w:tcW w:w="1700" w:type="dxa"/>
          </w:tcPr>
          <w:p w14:paraId="1AD88825" w14:textId="77777777" w:rsidR="00AD1F54" w:rsidRPr="00264D5D" w:rsidRDefault="00941227">
            <w:pPr>
              <w:spacing w:before="60" w:after="60"/>
              <w:rPr>
                <w:sz w:val="22"/>
                <w:szCs w:val="22"/>
              </w:rPr>
            </w:pPr>
            <w:r w:rsidRPr="00264D5D">
              <w:rPr>
                <w:sz w:val="22"/>
                <w:szCs w:val="22"/>
              </w:rPr>
              <w:t>Sm</w:t>
            </w:r>
            <w:r w:rsidRPr="00264D5D">
              <w:rPr>
                <w:sz w:val="22"/>
                <w:szCs w:val="22"/>
                <w:lang w:val="en-US"/>
              </w:rPr>
              <w:t>F</w:t>
            </w:r>
            <w:r w:rsidRPr="00264D5D">
              <w:rPr>
                <w:sz w:val="22"/>
                <w:szCs w:val="22"/>
              </w:rPr>
              <w:t>irstYear</w:t>
            </w:r>
          </w:p>
        </w:tc>
        <w:tc>
          <w:tcPr>
            <w:tcW w:w="567" w:type="dxa"/>
          </w:tcPr>
          <w:p w14:paraId="7FEBA4B4" w14:textId="77777777" w:rsidR="00AD1F54" w:rsidRPr="00264D5D" w:rsidRDefault="00941227">
            <w:pPr>
              <w:spacing w:before="60" w:after="60"/>
              <w:jc w:val="center"/>
              <w:rPr>
                <w:sz w:val="22"/>
                <w:szCs w:val="22"/>
              </w:rPr>
            </w:pPr>
            <w:r w:rsidRPr="00264D5D">
              <w:rPr>
                <w:sz w:val="22"/>
                <w:szCs w:val="22"/>
              </w:rPr>
              <w:t>П</w:t>
            </w:r>
          </w:p>
        </w:tc>
        <w:tc>
          <w:tcPr>
            <w:tcW w:w="1134" w:type="dxa"/>
          </w:tcPr>
          <w:p w14:paraId="0E1A8ADD" w14:textId="77777777" w:rsidR="00AD1F54" w:rsidRPr="00264D5D" w:rsidRDefault="00941227">
            <w:pPr>
              <w:spacing w:before="60" w:after="60"/>
              <w:jc w:val="left"/>
              <w:rPr>
                <w:sz w:val="22"/>
                <w:szCs w:val="22"/>
              </w:rPr>
            </w:pPr>
            <w:r w:rsidRPr="00264D5D">
              <w:rPr>
                <w:sz w:val="22"/>
                <w:szCs w:val="22"/>
              </w:rPr>
              <w:t>N(20.2)</w:t>
            </w:r>
          </w:p>
        </w:tc>
        <w:tc>
          <w:tcPr>
            <w:tcW w:w="567" w:type="dxa"/>
          </w:tcPr>
          <w:p w14:paraId="2B4DE6BA" w14:textId="77777777" w:rsidR="00AD1F54" w:rsidRPr="00264D5D" w:rsidRDefault="00941227">
            <w:pPr>
              <w:spacing w:before="60" w:after="60"/>
              <w:jc w:val="center"/>
              <w:rPr>
                <w:sz w:val="22"/>
                <w:szCs w:val="22"/>
              </w:rPr>
            </w:pPr>
            <w:r w:rsidRPr="00264D5D">
              <w:rPr>
                <w:sz w:val="22"/>
                <w:szCs w:val="22"/>
              </w:rPr>
              <w:t>О</w:t>
            </w:r>
          </w:p>
        </w:tc>
        <w:tc>
          <w:tcPr>
            <w:tcW w:w="3961" w:type="dxa"/>
          </w:tcPr>
          <w:p w14:paraId="66992803" w14:textId="77777777" w:rsidR="00AD1F54" w:rsidRPr="00264D5D" w:rsidRDefault="00941227">
            <w:pPr>
              <w:pStyle w:val="ASFKTablenorm"/>
              <w:contextualSpacing w:val="0"/>
              <w:rPr>
                <w:sz w:val="22"/>
                <w:szCs w:val="22"/>
              </w:rPr>
            </w:pPr>
            <w:r w:rsidRPr="00264D5D">
              <w:rPr>
                <w:sz w:val="22"/>
                <w:szCs w:val="22"/>
              </w:rPr>
              <w:t>Указывается итоговая сумма на осуществление закупок на первый год планового периода.</w:t>
            </w:r>
          </w:p>
          <w:p w14:paraId="1CA0EF02" w14:textId="77777777" w:rsidR="00AD1F54" w:rsidRPr="00264D5D" w:rsidRDefault="00941227">
            <w:pPr>
              <w:pStyle w:val="ASFKTablenorm"/>
              <w:contextualSpacing w:val="0"/>
              <w:rPr>
                <w:sz w:val="22"/>
                <w:szCs w:val="22"/>
              </w:rPr>
            </w:pPr>
            <w:r w:rsidRPr="00264D5D">
              <w:rPr>
                <w:sz w:val="22"/>
                <w:szCs w:val="22"/>
              </w:rPr>
              <w:t>При отсутст</w:t>
            </w:r>
            <w:r w:rsidR="00FB163B" w:rsidRPr="00264D5D">
              <w:rPr>
                <w:sz w:val="22"/>
                <w:szCs w:val="22"/>
              </w:rPr>
              <w:t>вии значения указывается «0.00»</w:t>
            </w:r>
          </w:p>
        </w:tc>
      </w:tr>
      <w:tr w:rsidR="00AD1F54" w:rsidRPr="00264D5D" w14:paraId="3C979268"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699" w:type="dxa"/>
          </w:tcPr>
          <w:p w14:paraId="789963B0" w14:textId="77777777" w:rsidR="00AD1F54" w:rsidRPr="00264D5D" w:rsidRDefault="00941227">
            <w:pPr>
              <w:spacing w:before="60" w:after="60"/>
              <w:rPr>
                <w:sz w:val="22"/>
                <w:szCs w:val="22"/>
              </w:rPr>
            </w:pPr>
            <w:r w:rsidRPr="00264D5D">
              <w:rPr>
                <w:sz w:val="22"/>
                <w:szCs w:val="22"/>
              </w:rPr>
              <w:t>Итого на осуществление закупок на второй год планового периода (руб.)</w:t>
            </w:r>
          </w:p>
        </w:tc>
        <w:tc>
          <w:tcPr>
            <w:tcW w:w="1700" w:type="dxa"/>
          </w:tcPr>
          <w:p w14:paraId="2F925AD0" w14:textId="77777777" w:rsidR="00AD1F54" w:rsidRPr="00264D5D" w:rsidRDefault="00941227">
            <w:pPr>
              <w:spacing w:before="60" w:after="60"/>
              <w:rPr>
                <w:sz w:val="22"/>
                <w:szCs w:val="22"/>
              </w:rPr>
            </w:pPr>
            <w:r w:rsidRPr="00264D5D">
              <w:rPr>
                <w:sz w:val="22"/>
                <w:szCs w:val="22"/>
                <w:lang w:val="en-US"/>
              </w:rPr>
              <w:t>SmS</w:t>
            </w:r>
            <w:r w:rsidRPr="00264D5D">
              <w:rPr>
                <w:sz w:val="22"/>
                <w:szCs w:val="22"/>
              </w:rPr>
              <w:t>econdYear</w:t>
            </w:r>
          </w:p>
        </w:tc>
        <w:tc>
          <w:tcPr>
            <w:tcW w:w="567" w:type="dxa"/>
          </w:tcPr>
          <w:p w14:paraId="1CB2AB6A" w14:textId="77777777" w:rsidR="00AD1F54" w:rsidRPr="00264D5D" w:rsidRDefault="00941227">
            <w:pPr>
              <w:spacing w:before="60" w:after="60"/>
              <w:jc w:val="center"/>
              <w:rPr>
                <w:sz w:val="22"/>
                <w:szCs w:val="22"/>
              </w:rPr>
            </w:pPr>
            <w:r w:rsidRPr="00264D5D">
              <w:rPr>
                <w:sz w:val="22"/>
                <w:szCs w:val="22"/>
              </w:rPr>
              <w:t>П</w:t>
            </w:r>
          </w:p>
        </w:tc>
        <w:tc>
          <w:tcPr>
            <w:tcW w:w="1134" w:type="dxa"/>
          </w:tcPr>
          <w:p w14:paraId="0D66D0C9" w14:textId="77777777" w:rsidR="00AD1F54" w:rsidRPr="00264D5D" w:rsidRDefault="00941227">
            <w:pPr>
              <w:spacing w:before="60" w:after="60"/>
              <w:jc w:val="left"/>
              <w:rPr>
                <w:sz w:val="22"/>
                <w:szCs w:val="22"/>
              </w:rPr>
            </w:pPr>
            <w:r w:rsidRPr="00264D5D">
              <w:rPr>
                <w:sz w:val="22"/>
                <w:szCs w:val="22"/>
              </w:rPr>
              <w:t>N(20.2)</w:t>
            </w:r>
          </w:p>
        </w:tc>
        <w:tc>
          <w:tcPr>
            <w:tcW w:w="567" w:type="dxa"/>
          </w:tcPr>
          <w:p w14:paraId="3C64693D" w14:textId="77777777" w:rsidR="00AD1F54" w:rsidRPr="00264D5D" w:rsidRDefault="00941227">
            <w:pPr>
              <w:spacing w:before="60" w:after="60"/>
              <w:jc w:val="center"/>
              <w:rPr>
                <w:sz w:val="22"/>
                <w:szCs w:val="22"/>
              </w:rPr>
            </w:pPr>
            <w:r w:rsidRPr="00264D5D">
              <w:rPr>
                <w:sz w:val="22"/>
                <w:szCs w:val="22"/>
              </w:rPr>
              <w:t>О</w:t>
            </w:r>
          </w:p>
        </w:tc>
        <w:tc>
          <w:tcPr>
            <w:tcW w:w="3961" w:type="dxa"/>
          </w:tcPr>
          <w:p w14:paraId="7326282B" w14:textId="77777777" w:rsidR="00AD1F54" w:rsidRPr="00264D5D" w:rsidRDefault="00941227">
            <w:pPr>
              <w:pStyle w:val="ASFKTablenorm"/>
              <w:contextualSpacing w:val="0"/>
              <w:rPr>
                <w:sz w:val="22"/>
                <w:szCs w:val="22"/>
              </w:rPr>
            </w:pPr>
            <w:r w:rsidRPr="00264D5D">
              <w:rPr>
                <w:sz w:val="22"/>
                <w:szCs w:val="22"/>
              </w:rPr>
              <w:t>Указывается итоговая сумма на осуществление закупок на второй год планового периода.</w:t>
            </w:r>
          </w:p>
          <w:p w14:paraId="19DFDFC0" w14:textId="77777777" w:rsidR="00AD1F54" w:rsidRPr="00264D5D" w:rsidRDefault="00941227">
            <w:pPr>
              <w:pStyle w:val="ASFKTablenorm"/>
              <w:contextualSpacing w:val="0"/>
              <w:rPr>
                <w:sz w:val="22"/>
                <w:szCs w:val="22"/>
              </w:rPr>
            </w:pPr>
            <w:r w:rsidRPr="00264D5D">
              <w:rPr>
                <w:sz w:val="22"/>
                <w:szCs w:val="22"/>
              </w:rPr>
              <w:t>При отсутст</w:t>
            </w:r>
            <w:r w:rsidR="00FB163B" w:rsidRPr="00264D5D">
              <w:rPr>
                <w:sz w:val="22"/>
                <w:szCs w:val="22"/>
              </w:rPr>
              <w:t>вии значения указывается «0.00»</w:t>
            </w:r>
          </w:p>
        </w:tc>
      </w:tr>
      <w:tr w:rsidR="00AD1F54" w:rsidRPr="00264D5D" w14:paraId="3BB4890F"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699" w:type="dxa"/>
          </w:tcPr>
          <w:p w14:paraId="1DD86877" w14:textId="77777777" w:rsidR="00AD1F54" w:rsidRPr="00264D5D" w:rsidRDefault="00941227">
            <w:pPr>
              <w:spacing w:before="60" w:after="60"/>
              <w:rPr>
                <w:sz w:val="22"/>
                <w:szCs w:val="22"/>
              </w:rPr>
            </w:pPr>
            <w:r w:rsidRPr="00264D5D">
              <w:rPr>
                <w:sz w:val="22"/>
                <w:szCs w:val="22"/>
              </w:rPr>
              <w:lastRenderedPageBreak/>
              <w:t>Итого на осуществление закупок на последующие периоды (руб.)</w:t>
            </w:r>
          </w:p>
        </w:tc>
        <w:tc>
          <w:tcPr>
            <w:tcW w:w="1700" w:type="dxa"/>
          </w:tcPr>
          <w:p w14:paraId="122C580D" w14:textId="77777777" w:rsidR="00AD1F54" w:rsidRPr="00264D5D" w:rsidRDefault="00941227">
            <w:pPr>
              <w:spacing w:before="60" w:after="60"/>
              <w:rPr>
                <w:sz w:val="22"/>
                <w:szCs w:val="22"/>
              </w:rPr>
            </w:pPr>
            <w:r w:rsidRPr="00264D5D">
              <w:rPr>
                <w:sz w:val="22"/>
                <w:szCs w:val="22"/>
                <w:lang w:val="en-US"/>
              </w:rPr>
              <w:t>SmN</w:t>
            </w:r>
            <w:r w:rsidRPr="00264D5D">
              <w:rPr>
                <w:sz w:val="22"/>
                <w:szCs w:val="22"/>
              </w:rPr>
              <w:t>extYear</w:t>
            </w:r>
          </w:p>
        </w:tc>
        <w:tc>
          <w:tcPr>
            <w:tcW w:w="567" w:type="dxa"/>
          </w:tcPr>
          <w:p w14:paraId="4A3AB4C0" w14:textId="77777777" w:rsidR="00AD1F54" w:rsidRPr="00264D5D" w:rsidRDefault="00941227">
            <w:pPr>
              <w:spacing w:before="60" w:after="60"/>
              <w:jc w:val="center"/>
              <w:rPr>
                <w:sz w:val="22"/>
                <w:szCs w:val="22"/>
              </w:rPr>
            </w:pPr>
            <w:r w:rsidRPr="00264D5D">
              <w:rPr>
                <w:sz w:val="22"/>
                <w:szCs w:val="22"/>
              </w:rPr>
              <w:t>П</w:t>
            </w:r>
          </w:p>
        </w:tc>
        <w:tc>
          <w:tcPr>
            <w:tcW w:w="1134" w:type="dxa"/>
          </w:tcPr>
          <w:p w14:paraId="49351546" w14:textId="77777777" w:rsidR="00AD1F54" w:rsidRPr="00264D5D" w:rsidRDefault="00941227">
            <w:pPr>
              <w:spacing w:before="60" w:after="60"/>
              <w:jc w:val="left"/>
              <w:rPr>
                <w:sz w:val="22"/>
                <w:szCs w:val="22"/>
              </w:rPr>
            </w:pPr>
            <w:r w:rsidRPr="00264D5D">
              <w:rPr>
                <w:sz w:val="22"/>
                <w:szCs w:val="22"/>
              </w:rPr>
              <w:t>N(20.2)</w:t>
            </w:r>
          </w:p>
        </w:tc>
        <w:tc>
          <w:tcPr>
            <w:tcW w:w="567" w:type="dxa"/>
          </w:tcPr>
          <w:p w14:paraId="147DEB02" w14:textId="77777777" w:rsidR="00AD1F54" w:rsidRPr="00264D5D" w:rsidRDefault="00941227">
            <w:pPr>
              <w:spacing w:before="60" w:after="60"/>
              <w:jc w:val="center"/>
              <w:rPr>
                <w:sz w:val="22"/>
                <w:szCs w:val="22"/>
              </w:rPr>
            </w:pPr>
            <w:r w:rsidRPr="00264D5D">
              <w:rPr>
                <w:sz w:val="22"/>
                <w:szCs w:val="22"/>
              </w:rPr>
              <w:t>О</w:t>
            </w:r>
          </w:p>
        </w:tc>
        <w:tc>
          <w:tcPr>
            <w:tcW w:w="3961" w:type="dxa"/>
          </w:tcPr>
          <w:p w14:paraId="3DAD77A1" w14:textId="77777777" w:rsidR="00AD1F54" w:rsidRPr="00264D5D" w:rsidRDefault="00941227">
            <w:pPr>
              <w:pStyle w:val="ASFKTablenorm"/>
              <w:contextualSpacing w:val="0"/>
              <w:rPr>
                <w:sz w:val="22"/>
                <w:szCs w:val="22"/>
              </w:rPr>
            </w:pPr>
            <w:r w:rsidRPr="00264D5D">
              <w:rPr>
                <w:sz w:val="22"/>
                <w:szCs w:val="22"/>
              </w:rPr>
              <w:t>Указывается итоговая сумма на осуществление закупок на последующие периоды.</w:t>
            </w:r>
          </w:p>
          <w:p w14:paraId="42D33567" w14:textId="77777777" w:rsidR="00AD1F54" w:rsidRPr="00264D5D" w:rsidRDefault="00941227">
            <w:pPr>
              <w:pStyle w:val="ASFKTablenorm"/>
              <w:contextualSpacing w:val="0"/>
              <w:rPr>
                <w:sz w:val="22"/>
                <w:szCs w:val="22"/>
              </w:rPr>
            </w:pPr>
            <w:r w:rsidRPr="00264D5D">
              <w:rPr>
                <w:sz w:val="22"/>
                <w:szCs w:val="22"/>
              </w:rPr>
              <w:t>При отсутст</w:t>
            </w:r>
            <w:r w:rsidR="00FB163B" w:rsidRPr="00264D5D">
              <w:rPr>
                <w:sz w:val="22"/>
                <w:szCs w:val="22"/>
              </w:rPr>
              <w:t>вии значения указывается «0.00»</w:t>
            </w:r>
          </w:p>
        </w:tc>
      </w:tr>
      <w:tr w:rsidR="00AD1F54" w:rsidRPr="00264D5D" w14:paraId="5863EB1C"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699" w:type="dxa"/>
          </w:tcPr>
          <w:p w14:paraId="17FAD9B8" w14:textId="77777777" w:rsidR="00AD1F54" w:rsidRPr="00264D5D" w:rsidRDefault="00941227">
            <w:pPr>
              <w:spacing w:before="60" w:after="60"/>
              <w:rPr>
                <w:sz w:val="22"/>
                <w:szCs w:val="22"/>
              </w:rPr>
            </w:pPr>
            <w:r w:rsidRPr="00264D5D">
              <w:rPr>
                <w:sz w:val="22"/>
                <w:szCs w:val="22"/>
              </w:rPr>
              <w:t>Итого на осуществление закупок, всего (руб.)</w:t>
            </w:r>
          </w:p>
        </w:tc>
        <w:tc>
          <w:tcPr>
            <w:tcW w:w="1700" w:type="dxa"/>
          </w:tcPr>
          <w:p w14:paraId="0D7F3672" w14:textId="77777777" w:rsidR="00AD1F54" w:rsidRPr="00264D5D" w:rsidRDefault="00941227">
            <w:pPr>
              <w:spacing w:before="60" w:after="60"/>
              <w:rPr>
                <w:sz w:val="22"/>
                <w:szCs w:val="22"/>
              </w:rPr>
            </w:pPr>
            <w:r w:rsidRPr="00264D5D">
              <w:rPr>
                <w:sz w:val="22"/>
                <w:szCs w:val="22"/>
                <w:lang w:val="en-US"/>
              </w:rPr>
              <w:t>SmT</w:t>
            </w:r>
            <w:r w:rsidRPr="00264D5D">
              <w:rPr>
                <w:sz w:val="22"/>
                <w:szCs w:val="22"/>
              </w:rPr>
              <w:t>otal</w:t>
            </w:r>
          </w:p>
        </w:tc>
        <w:tc>
          <w:tcPr>
            <w:tcW w:w="567" w:type="dxa"/>
          </w:tcPr>
          <w:p w14:paraId="64587BA5" w14:textId="77777777" w:rsidR="00AD1F54" w:rsidRPr="00264D5D" w:rsidRDefault="00941227">
            <w:pPr>
              <w:spacing w:before="60" w:after="60"/>
              <w:jc w:val="center"/>
              <w:rPr>
                <w:sz w:val="22"/>
                <w:szCs w:val="22"/>
              </w:rPr>
            </w:pPr>
            <w:r w:rsidRPr="00264D5D">
              <w:rPr>
                <w:sz w:val="22"/>
                <w:szCs w:val="22"/>
              </w:rPr>
              <w:t>П</w:t>
            </w:r>
          </w:p>
        </w:tc>
        <w:tc>
          <w:tcPr>
            <w:tcW w:w="1134" w:type="dxa"/>
          </w:tcPr>
          <w:p w14:paraId="318C46AE" w14:textId="77777777" w:rsidR="00AD1F54" w:rsidRPr="00264D5D" w:rsidRDefault="00941227">
            <w:pPr>
              <w:spacing w:before="60" w:after="60"/>
              <w:jc w:val="left"/>
              <w:rPr>
                <w:sz w:val="22"/>
                <w:szCs w:val="22"/>
              </w:rPr>
            </w:pPr>
            <w:r w:rsidRPr="00264D5D">
              <w:rPr>
                <w:sz w:val="22"/>
                <w:szCs w:val="22"/>
              </w:rPr>
              <w:t>N(20.2)</w:t>
            </w:r>
          </w:p>
        </w:tc>
        <w:tc>
          <w:tcPr>
            <w:tcW w:w="567" w:type="dxa"/>
          </w:tcPr>
          <w:p w14:paraId="6D803D9A" w14:textId="77777777" w:rsidR="00AD1F54" w:rsidRPr="00264D5D" w:rsidRDefault="00941227">
            <w:pPr>
              <w:spacing w:before="60" w:after="60"/>
              <w:jc w:val="center"/>
              <w:rPr>
                <w:sz w:val="22"/>
                <w:szCs w:val="22"/>
              </w:rPr>
            </w:pPr>
            <w:r w:rsidRPr="00264D5D">
              <w:rPr>
                <w:sz w:val="22"/>
                <w:szCs w:val="22"/>
              </w:rPr>
              <w:t>О</w:t>
            </w:r>
          </w:p>
        </w:tc>
        <w:tc>
          <w:tcPr>
            <w:tcW w:w="3961" w:type="dxa"/>
          </w:tcPr>
          <w:p w14:paraId="6BC82638" w14:textId="77777777" w:rsidR="00AD1F54" w:rsidRPr="00264D5D" w:rsidRDefault="00941227">
            <w:pPr>
              <w:pStyle w:val="ASFKTablenorm"/>
              <w:contextualSpacing w:val="0"/>
              <w:rPr>
                <w:sz w:val="22"/>
                <w:szCs w:val="22"/>
              </w:rPr>
            </w:pPr>
            <w:r w:rsidRPr="00264D5D">
              <w:rPr>
                <w:sz w:val="22"/>
                <w:szCs w:val="22"/>
              </w:rPr>
              <w:t>Указывается итоговая сумма на осуществление закупок, всего.</w:t>
            </w:r>
          </w:p>
          <w:p w14:paraId="786F141F" w14:textId="77777777" w:rsidR="00AD1F54" w:rsidRPr="00264D5D" w:rsidRDefault="00941227">
            <w:pPr>
              <w:pStyle w:val="ASFKTablenorm"/>
              <w:contextualSpacing w:val="0"/>
              <w:rPr>
                <w:sz w:val="22"/>
                <w:szCs w:val="22"/>
              </w:rPr>
            </w:pPr>
            <w:r w:rsidRPr="00264D5D">
              <w:rPr>
                <w:sz w:val="22"/>
                <w:szCs w:val="22"/>
              </w:rPr>
              <w:t>При отсутст</w:t>
            </w:r>
            <w:r w:rsidR="00FB163B" w:rsidRPr="00264D5D">
              <w:rPr>
                <w:sz w:val="22"/>
                <w:szCs w:val="22"/>
              </w:rPr>
              <w:t>вии значения указывается «0.00»</w:t>
            </w:r>
          </w:p>
        </w:tc>
      </w:tr>
      <w:tr w:rsidR="00AD1F54" w:rsidRPr="00264D5D" w14:paraId="7C7CAFC5"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9628" w:type="dxa"/>
            <w:gridSpan w:val="6"/>
          </w:tcPr>
          <w:p w14:paraId="0C3F8923" w14:textId="77777777" w:rsidR="00AD1F54" w:rsidRPr="00264D5D" w:rsidRDefault="00941227">
            <w:pPr>
              <w:pStyle w:val="ASFKTablenorm"/>
              <w:contextualSpacing w:val="0"/>
              <w:rPr>
                <w:sz w:val="22"/>
                <w:szCs w:val="22"/>
              </w:rPr>
            </w:pPr>
            <w:r w:rsidRPr="00264D5D">
              <w:rPr>
                <w:b/>
                <w:sz w:val="22"/>
                <w:szCs w:val="22"/>
              </w:rPr>
              <w:t>Блок «Объем финансового обеспечения»</w:t>
            </w:r>
          </w:p>
        </w:tc>
      </w:tr>
      <w:tr w:rsidR="00AD1F54" w:rsidRPr="00264D5D" w14:paraId="213C346A"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699" w:type="dxa"/>
          </w:tcPr>
          <w:p w14:paraId="56701146" w14:textId="77777777" w:rsidR="00AD1F54" w:rsidRPr="00264D5D" w:rsidRDefault="00941227">
            <w:pPr>
              <w:spacing w:before="60" w:after="60"/>
              <w:rPr>
                <w:sz w:val="22"/>
                <w:szCs w:val="22"/>
              </w:rPr>
            </w:pPr>
            <w:r w:rsidRPr="00264D5D">
              <w:rPr>
                <w:sz w:val="22"/>
                <w:szCs w:val="22"/>
              </w:rPr>
              <w:t>Объем финансового обеспечения</w:t>
            </w:r>
          </w:p>
        </w:tc>
        <w:tc>
          <w:tcPr>
            <w:tcW w:w="1700" w:type="dxa"/>
          </w:tcPr>
          <w:p w14:paraId="24539C3F" w14:textId="77777777" w:rsidR="00AD1F54" w:rsidRPr="00264D5D" w:rsidRDefault="00941227">
            <w:pPr>
              <w:spacing w:before="60" w:after="60"/>
              <w:rPr>
                <w:sz w:val="22"/>
                <w:szCs w:val="22"/>
              </w:rPr>
            </w:pPr>
            <w:r w:rsidRPr="00264D5D">
              <w:rPr>
                <w:sz w:val="22"/>
                <w:szCs w:val="22"/>
              </w:rPr>
              <w:t>financeInfo</w:t>
            </w:r>
          </w:p>
        </w:tc>
        <w:tc>
          <w:tcPr>
            <w:tcW w:w="567" w:type="dxa"/>
          </w:tcPr>
          <w:p w14:paraId="369DF35B" w14:textId="77777777" w:rsidR="00AD1F54" w:rsidRPr="00264D5D" w:rsidRDefault="00941227">
            <w:pPr>
              <w:spacing w:before="60" w:after="60"/>
              <w:jc w:val="center"/>
              <w:rPr>
                <w:sz w:val="22"/>
                <w:szCs w:val="22"/>
              </w:rPr>
            </w:pPr>
            <w:r w:rsidRPr="00264D5D">
              <w:rPr>
                <w:sz w:val="22"/>
                <w:szCs w:val="22"/>
              </w:rPr>
              <w:t>С</w:t>
            </w:r>
          </w:p>
        </w:tc>
        <w:tc>
          <w:tcPr>
            <w:tcW w:w="1134" w:type="dxa"/>
          </w:tcPr>
          <w:p w14:paraId="648DB50F" w14:textId="77777777" w:rsidR="00AD1F54" w:rsidRPr="00264D5D" w:rsidRDefault="00941227">
            <w:pPr>
              <w:spacing w:before="60" w:after="60"/>
              <w:jc w:val="left"/>
              <w:rPr>
                <w:sz w:val="22"/>
                <w:szCs w:val="22"/>
              </w:rPr>
            </w:pPr>
            <w:r w:rsidRPr="00264D5D">
              <w:rPr>
                <w:sz w:val="22"/>
                <w:szCs w:val="22"/>
                <w:lang w:val="en-US"/>
              </w:rPr>
              <w:t>tF</w:t>
            </w:r>
            <w:r w:rsidRPr="00264D5D">
              <w:rPr>
                <w:sz w:val="22"/>
                <w:szCs w:val="22"/>
              </w:rPr>
              <w:t>inanceInfo</w:t>
            </w:r>
          </w:p>
        </w:tc>
        <w:tc>
          <w:tcPr>
            <w:tcW w:w="567" w:type="dxa"/>
          </w:tcPr>
          <w:p w14:paraId="2B67F9D6" w14:textId="77777777" w:rsidR="00AD1F54" w:rsidRPr="00264D5D" w:rsidRDefault="00941227">
            <w:pPr>
              <w:spacing w:before="60" w:after="60"/>
              <w:jc w:val="center"/>
              <w:rPr>
                <w:sz w:val="22"/>
                <w:szCs w:val="22"/>
              </w:rPr>
            </w:pPr>
            <w:r w:rsidRPr="00264D5D">
              <w:rPr>
                <w:sz w:val="22"/>
                <w:szCs w:val="22"/>
              </w:rPr>
              <w:t>О</w:t>
            </w:r>
          </w:p>
        </w:tc>
        <w:tc>
          <w:tcPr>
            <w:tcW w:w="3961" w:type="dxa"/>
          </w:tcPr>
          <w:p w14:paraId="4EE8441C" w14:textId="77777777" w:rsidR="00AD1F54" w:rsidRPr="00264D5D" w:rsidRDefault="00941227">
            <w:pPr>
              <w:pStyle w:val="ASFKTablenorm"/>
              <w:contextualSpacing w:val="0"/>
              <w:rPr>
                <w:sz w:val="22"/>
                <w:szCs w:val="22"/>
              </w:rPr>
            </w:pPr>
            <w:r w:rsidRPr="00264D5D">
              <w:rPr>
                <w:sz w:val="22"/>
                <w:szCs w:val="22"/>
              </w:rPr>
              <w:t>Объем финансового обеспечения.</w:t>
            </w:r>
          </w:p>
          <w:p w14:paraId="3F89B6F2" w14:textId="7C760254" w:rsidR="00AD1F54" w:rsidRPr="00264D5D" w:rsidRDefault="00941227">
            <w:pPr>
              <w:pStyle w:val="ASFKTablenorm"/>
              <w:contextualSpacing w:val="0"/>
              <w:rPr>
                <w:sz w:val="22"/>
                <w:szCs w:val="22"/>
              </w:rPr>
            </w:pPr>
            <w:r w:rsidRPr="00264D5D">
              <w:rPr>
                <w:sz w:val="22"/>
                <w:szCs w:val="22"/>
              </w:rPr>
              <w:t xml:space="preserve">Состав элемента представлен в таблице </w:t>
            </w:r>
            <w:r w:rsidRPr="00264D5D">
              <w:rPr>
                <w:sz w:val="22"/>
                <w:szCs w:val="22"/>
              </w:rPr>
              <w:fldChar w:fldCharType="begin"/>
            </w:r>
            <w:r w:rsidRPr="00264D5D">
              <w:rPr>
                <w:sz w:val="22"/>
                <w:szCs w:val="22"/>
              </w:rPr>
              <w:instrText xml:space="preserve"> REF _Ref465954138 \h  \* MERGEFORMAT </w:instrText>
            </w:r>
            <w:r w:rsidRPr="00264D5D">
              <w:rPr>
                <w:sz w:val="22"/>
                <w:szCs w:val="22"/>
              </w:rPr>
            </w:r>
            <w:r w:rsidRPr="00264D5D">
              <w:rPr>
                <w:sz w:val="22"/>
                <w:szCs w:val="22"/>
              </w:rPr>
              <w:fldChar w:fldCharType="separate"/>
            </w:r>
            <w:r w:rsidR="008D797C" w:rsidRPr="008D797C">
              <w:rPr>
                <w:b/>
                <w:sz w:val="22"/>
                <w:szCs w:val="22"/>
              </w:rPr>
              <w:t>336</w:t>
            </w:r>
            <w:r w:rsidRPr="00264D5D">
              <w:rPr>
                <w:sz w:val="22"/>
                <w:szCs w:val="22"/>
              </w:rPr>
              <w:fldChar w:fldCharType="end"/>
            </w:r>
          </w:p>
        </w:tc>
      </w:tr>
      <w:tr w:rsidR="00AD1F54" w:rsidRPr="00264D5D" w14:paraId="09476B21"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9628" w:type="dxa"/>
            <w:gridSpan w:val="6"/>
          </w:tcPr>
          <w:p w14:paraId="1DB37976" w14:textId="77777777" w:rsidR="00AD1F54" w:rsidRPr="00264D5D" w:rsidRDefault="00941227">
            <w:pPr>
              <w:pStyle w:val="ASFKTablenorm"/>
              <w:contextualSpacing w:val="0"/>
              <w:rPr>
                <w:sz w:val="22"/>
                <w:szCs w:val="22"/>
              </w:rPr>
            </w:pPr>
            <w:r w:rsidRPr="00264D5D">
              <w:rPr>
                <w:b/>
                <w:sz w:val="22"/>
                <w:szCs w:val="22"/>
              </w:rPr>
              <w:t>Блок «Объем финансового обеспечения в разрезе КБК»</w:t>
            </w:r>
          </w:p>
        </w:tc>
      </w:tr>
      <w:tr w:rsidR="00AD1F54" w:rsidRPr="00264D5D" w14:paraId="14026F8E"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699" w:type="dxa"/>
          </w:tcPr>
          <w:p w14:paraId="13E57A80" w14:textId="77777777" w:rsidR="00AD1F54" w:rsidRPr="00264D5D" w:rsidRDefault="00941227">
            <w:pPr>
              <w:spacing w:before="60" w:after="60"/>
              <w:rPr>
                <w:sz w:val="22"/>
                <w:szCs w:val="22"/>
              </w:rPr>
            </w:pPr>
            <w:r w:rsidRPr="00264D5D">
              <w:rPr>
                <w:sz w:val="22"/>
                <w:szCs w:val="22"/>
              </w:rPr>
              <w:t>Объем финансового обеспечения в разрезе КБК</w:t>
            </w:r>
          </w:p>
        </w:tc>
        <w:tc>
          <w:tcPr>
            <w:tcW w:w="1700" w:type="dxa"/>
          </w:tcPr>
          <w:p w14:paraId="65994C1A" w14:textId="77777777" w:rsidR="00AD1F54" w:rsidRPr="00264D5D" w:rsidRDefault="00941227">
            <w:pPr>
              <w:spacing w:before="60" w:after="60"/>
              <w:rPr>
                <w:sz w:val="22"/>
                <w:szCs w:val="22"/>
              </w:rPr>
            </w:pPr>
            <w:r w:rsidRPr="00264D5D">
              <w:rPr>
                <w:sz w:val="22"/>
                <w:szCs w:val="22"/>
              </w:rPr>
              <w:t>financeInfo</w:t>
            </w:r>
            <w:r w:rsidRPr="00264D5D">
              <w:rPr>
                <w:sz w:val="22"/>
                <w:szCs w:val="22"/>
                <w:lang w:val="en-US"/>
              </w:rPr>
              <w:t>KBK</w:t>
            </w:r>
          </w:p>
        </w:tc>
        <w:tc>
          <w:tcPr>
            <w:tcW w:w="567" w:type="dxa"/>
          </w:tcPr>
          <w:p w14:paraId="450965D9" w14:textId="77777777" w:rsidR="00AD1F54" w:rsidRPr="00264D5D" w:rsidRDefault="00941227">
            <w:pPr>
              <w:spacing w:before="60" w:after="60"/>
              <w:jc w:val="center"/>
              <w:rPr>
                <w:sz w:val="22"/>
                <w:szCs w:val="22"/>
              </w:rPr>
            </w:pPr>
            <w:r w:rsidRPr="00264D5D">
              <w:rPr>
                <w:sz w:val="22"/>
                <w:szCs w:val="22"/>
              </w:rPr>
              <w:t>С</w:t>
            </w:r>
          </w:p>
        </w:tc>
        <w:tc>
          <w:tcPr>
            <w:tcW w:w="1134" w:type="dxa"/>
          </w:tcPr>
          <w:p w14:paraId="14951EF6" w14:textId="77777777" w:rsidR="00AD1F54" w:rsidRPr="00264D5D" w:rsidRDefault="00941227">
            <w:pPr>
              <w:spacing w:before="60" w:after="60"/>
              <w:jc w:val="left"/>
              <w:rPr>
                <w:sz w:val="22"/>
                <w:szCs w:val="22"/>
                <w:lang w:val="en-US"/>
              </w:rPr>
            </w:pPr>
            <w:r w:rsidRPr="00264D5D">
              <w:rPr>
                <w:sz w:val="22"/>
                <w:szCs w:val="22"/>
                <w:lang w:val="en-US"/>
              </w:rPr>
              <w:t>tf</w:t>
            </w:r>
            <w:r w:rsidRPr="00264D5D">
              <w:rPr>
                <w:sz w:val="22"/>
                <w:szCs w:val="22"/>
              </w:rPr>
              <w:t>inanceInfo</w:t>
            </w:r>
            <w:r w:rsidRPr="00264D5D">
              <w:rPr>
                <w:sz w:val="22"/>
                <w:szCs w:val="22"/>
                <w:lang w:val="en-US"/>
              </w:rPr>
              <w:t>KBK</w:t>
            </w:r>
          </w:p>
        </w:tc>
        <w:tc>
          <w:tcPr>
            <w:tcW w:w="567" w:type="dxa"/>
          </w:tcPr>
          <w:p w14:paraId="37D170C6" w14:textId="77777777" w:rsidR="00AD1F54" w:rsidRPr="00264D5D" w:rsidRDefault="00941227">
            <w:pPr>
              <w:spacing w:before="60" w:after="60"/>
              <w:jc w:val="center"/>
              <w:rPr>
                <w:sz w:val="22"/>
                <w:szCs w:val="22"/>
              </w:rPr>
            </w:pPr>
            <w:r w:rsidRPr="00264D5D">
              <w:rPr>
                <w:sz w:val="22"/>
                <w:szCs w:val="22"/>
              </w:rPr>
              <w:t>Н</w:t>
            </w:r>
          </w:p>
        </w:tc>
        <w:tc>
          <w:tcPr>
            <w:tcW w:w="3961" w:type="dxa"/>
          </w:tcPr>
          <w:p w14:paraId="78E0389D" w14:textId="77777777" w:rsidR="00AD1F54" w:rsidRPr="00264D5D" w:rsidRDefault="00941227">
            <w:pPr>
              <w:pStyle w:val="ASFKTablenorm"/>
              <w:contextualSpacing w:val="0"/>
              <w:rPr>
                <w:sz w:val="22"/>
                <w:szCs w:val="22"/>
              </w:rPr>
            </w:pPr>
            <w:r w:rsidRPr="00264D5D">
              <w:rPr>
                <w:sz w:val="22"/>
                <w:szCs w:val="22"/>
              </w:rPr>
              <w:t>Объем финансового обеспечения в разрезе КБК.</w:t>
            </w:r>
          </w:p>
          <w:p w14:paraId="4CE8D353" w14:textId="77777777" w:rsidR="00FB163B" w:rsidRPr="00264D5D" w:rsidRDefault="00941227">
            <w:pPr>
              <w:pStyle w:val="ASFKTablenorm"/>
              <w:contextualSpacing w:val="0"/>
              <w:rPr>
                <w:sz w:val="22"/>
                <w:szCs w:val="22"/>
              </w:rPr>
            </w:pPr>
            <w:r w:rsidRPr="00264D5D">
              <w:rPr>
                <w:sz w:val="22"/>
                <w:szCs w:val="22"/>
              </w:rPr>
              <w:t xml:space="preserve">Блок обязателен для заполнения, если в элементе «value» элемента «infoType» указано значение «ПЗ». </w:t>
            </w:r>
          </w:p>
          <w:p w14:paraId="1AFFED66" w14:textId="77777777" w:rsidR="00AD1F54" w:rsidRPr="00264D5D" w:rsidRDefault="00941227">
            <w:pPr>
              <w:pStyle w:val="ASFKTablenorm"/>
              <w:contextualSpacing w:val="0"/>
              <w:rPr>
                <w:sz w:val="22"/>
                <w:szCs w:val="22"/>
              </w:rPr>
            </w:pPr>
            <w:r w:rsidRPr="00264D5D">
              <w:rPr>
                <w:sz w:val="22"/>
                <w:szCs w:val="22"/>
              </w:rPr>
              <w:t xml:space="preserve">В случае указания «ПГЗ» – не заполняется. </w:t>
            </w:r>
          </w:p>
          <w:p w14:paraId="67431827" w14:textId="036181B5" w:rsidR="00AD1F54" w:rsidRPr="00264D5D" w:rsidRDefault="00941227">
            <w:pPr>
              <w:pStyle w:val="ASFKTablenorm"/>
              <w:contextualSpacing w:val="0"/>
              <w:rPr>
                <w:sz w:val="22"/>
                <w:szCs w:val="22"/>
              </w:rPr>
            </w:pPr>
            <w:r w:rsidRPr="00264D5D">
              <w:rPr>
                <w:sz w:val="22"/>
                <w:szCs w:val="22"/>
              </w:rPr>
              <w:t xml:space="preserve">Состав элемента представлен в таблице </w:t>
            </w:r>
            <w:r w:rsidRPr="00264D5D">
              <w:rPr>
                <w:b/>
                <w:sz w:val="22"/>
                <w:szCs w:val="22"/>
              </w:rPr>
              <w:fldChar w:fldCharType="begin"/>
            </w:r>
            <w:r w:rsidRPr="00264D5D">
              <w:rPr>
                <w:b/>
                <w:sz w:val="22"/>
                <w:szCs w:val="22"/>
              </w:rPr>
              <w:instrText xml:space="preserve"> REF _Ref489278856 \h  \* MERGEFORMAT </w:instrText>
            </w:r>
            <w:r w:rsidRPr="00264D5D">
              <w:rPr>
                <w:b/>
                <w:sz w:val="22"/>
                <w:szCs w:val="22"/>
              </w:rPr>
            </w:r>
            <w:r w:rsidRPr="00264D5D">
              <w:rPr>
                <w:b/>
                <w:sz w:val="22"/>
                <w:szCs w:val="22"/>
              </w:rPr>
              <w:fldChar w:fldCharType="separate"/>
            </w:r>
            <w:r w:rsidR="008D797C" w:rsidRPr="008D797C">
              <w:rPr>
                <w:b/>
                <w:sz w:val="22"/>
                <w:szCs w:val="22"/>
              </w:rPr>
              <w:t>338</w:t>
            </w:r>
            <w:r w:rsidRPr="00264D5D">
              <w:rPr>
                <w:b/>
                <w:sz w:val="22"/>
                <w:szCs w:val="22"/>
              </w:rPr>
              <w:fldChar w:fldCharType="end"/>
            </w:r>
          </w:p>
        </w:tc>
      </w:tr>
      <w:tr w:rsidR="00AD1F54" w:rsidRPr="00264D5D" w14:paraId="55D5DE5A"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9628" w:type="dxa"/>
            <w:gridSpan w:val="6"/>
          </w:tcPr>
          <w:p w14:paraId="3C7E56D4" w14:textId="77777777" w:rsidR="00AD1F54" w:rsidRPr="00264D5D" w:rsidRDefault="00941227">
            <w:pPr>
              <w:pStyle w:val="ASFKTablenorm"/>
              <w:contextualSpacing w:val="0"/>
              <w:rPr>
                <w:sz w:val="22"/>
                <w:szCs w:val="22"/>
              </w:rPr>
            </w:pPr>
            <w:r w:rsidRPr="00264D5D">
              <w:rPr>
                <w:b/>
                <w:sz w:val="22"/>
                <w:szCs w:val="22"/>
              </w:rPr>
              <w:t>Блок «Объем финансового обеспечения в разрезе ОКС (ОКВ)»</w:t>
            </w:r>
          </w:p>
        </w:tc>
      </w:tr>
      <w:tr w:rsidR="00AD1F54" w:rsidRPr="00264D5D" w14:paraId="5109B5C8"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699" w:type="dxa"/>
          </w:tcPr>
          <w:p w14:paraId="08C00CA6" w14:textId="77777777" w:rsidR="00AD1F54" w:rsidRPr="00264D5D" w:rsidRDefault="00941227">
            <w:pPr>
              <w:spacing w:before="60" w:after="60"/>
              <w:rPr>
                <w:sz w:val="22"/>
                <w:szCs w:val="22"/>
              </w:rPr>
            </w:pPr>
            <w:r w:rsidRPr="00264D5D">
              <w:rPr>
                <w:sz w:val="22"/>
                <w:szCs w:val="22"/>
              </w:rPr>
              <w:t>Объем финансового обеспечения в разрезе ОКС (ОКВ)</w:t>
            </w:r>
          </w:p>
        </w:tc>
        <w:tc>
          <w:tcPr>
            <w:tcW w:w="1700" w:type="dxa"/>
          </w:tcPr>
          <w:p w14:paraId="4AB1E9A3" w14:textId="77777777" w:rsidR="00AD1F54" w:rsidRPr="00264D5D" w:rsidRDefault="00941227">
            <w:pPr>
              <w:spacing w:before="60" w:after="60"/>
              <w:rPr>
                <w:sz w:val="22"/>
                <w:szCs w:val="22"/>
              </w:rPr>
            </w:pPr>
            <w:r w:rsidRPr="00264D5D">
              <w:rPr>
                <w:sz w:val="22"/>
                <w:szCs w:val="22"/>
              </w:rPr>
              <w:t>financeInfo</w:t>
            </w:r>
            <w:r w:rsidRPr="00264D5D">
              <w:rPr>
                <w:sz w:val="22"/>
                <w:szCs w:val="22"/>
                <w:lang w:val="en-US"/>
              </w:rPr>
              <w:t>KOKS</w:t>
            </w:r>
          </w:p>
        </w:tc>
        <w:tc>
          <w:tcPr>
            <w:tcW w:w="567" w:type="dxa"/>
          </w:tcPr>
          <w:p w14:paraId="265CE7EF" w14:textId="77777777" w:rsidR="00AD1F54" w:rsidRPr="00264D5D" w:rsidRDefault="00941227">
            <w:pPr>
              <w:spacing w:before="60" w:after="60"/>
              <w:jc w:val="center"/>
              <w:rPr>
                <w:sz w:val="22"/>
                <w:szCs w:val="22"/>
              </w:rPr>
            </w:pPr>
            <w:r w:rsidRPr="00264D5D">
              <w:rPr>
                <w:sz w:val="22"/>
                <w:szCs w:val="22"/>
              </w:rPr>
              <w:t>С</w:t>
            </w:r>
          </w:p>
        </w:tc>
        <w:tc>
          <w:tcPr>
            <w:tcW w:w="1134" w:type="dxa"/>
          </w:tcPr>
          <w:p w14:paraId="553A8DDF" w14:textId="77777777" w:rsidR="00AD1F54" w:rsidRPr="00264D5D" w:rsidRDefault="00941227">
            <w:pPr>
              <w:spacing w:before="60" w:after="60"/>
              <w:jc w:val="left"/>
              <w:rPr>
                <w:sz w:val="22"/>
                <w:szCs w:val="22"/>
              </w:rPr>
            </w:pPr>
            <w:r w:rsidRPr="00264D5D">
              <w:rPr>
                <w:sz w:val="22"/>
                <w:szCs w:val="22"/>
                <w:lang w:val="en-US"/>
              </w:rPr>
              <w:t>tf</w:t>
            </w:r>
            <w:r w:rsidRPr="00264D5D">
              <w:rPr>
                <w:sz w:val="22"/>
                <w:szCs w:val="22"/>
              </w:rPr>
              <w:t>inanceInfo</w:t>
            </w:r>
            <w:r w:rsidRPr="00264D5D">
              <w:rPr>
                <w:sz w:val="22"/>
                <w:szCs w:val="22"/>
                <w:lang w:val="en-US"/>
              </w:rPr>
              <w:t>KOKS</w:t>
            </w:r>
          </w:p>
        </w:tc>
        <w:tc>
          <w:tcPr>
            <w:tcW w:w="567" w:type="dxa"/>
          </w:tcPr>
          <w:p w14:paraId="426179E1" w14:textId="77777777" w:rsidR="00AD1F54" w:rsidRPr="00264D5D" w:rsidRDefault="00941227">
            <w:pPr>
              <w:spacing w:before="60" w:after="60"/>
              <w:jc w:val="center"/>
              <w:rPr>
                <w:sz w:val="22"/>
                <w:szCs w:val="22"/>
              </w:rPr>
            </w:pPr>
            <w:r w:rsidRPr="00264D5D">
              <w:rPr>
                <w:sz w:val="22"/>
                <w:szCs w:val="22"/>
              </w:rPr>
              <w:t>Н</w:t>
            </w:r>
          </w:p>
        </w:tc>
        <w:tc>
          <w:tcPr>
            <w:tcW w:w="3961" w:type="dxa"/>
          </w:tcPr>
          <w:p w14:paraId="308D8CB9" w14:textId="77777777" w:rsidR="00AD1F54" w:rsidRPr="00264D5D" w:rsidRDefault="00941227">
            <w:pPr>
              <w:pStyle w:val="ASFKTablenorm"/>
              <w:contextualSpacing w:val="0"/>
              <w:rPr>
                <w:sz w:val="22"/>
                <w:szCs w:val="22"/>
              </w:rPr>
            </w:pPr>
            <w:r w:rsidRPr="00264D5D">
              <w:rPr>
                <w:sz w:val="22"/>
                <w:szCs w:val="22"/>
              </w:rPr>
              <w:t>Объем финансового обеспечения в разрезе ОКС (ОКВ).</w:t>
            </w:r>
          </w:p>
          <w:p w14:paraId="415C62D5" w14:textId="77777777" w:rsidR="00FB163B" w:rsidRPr="00264D5D" w:rsidRDefault="00941227">
            <w:pPr>
              <w:pStyle w:val="ASFKTablenorm"/>
              <w:contextualSpacing w:val="0"/>
              <w:rPr>
                <w:sz w:val="22"/>
                <w:szCs w:val="22"/>
              </w:rPr>
            </w:pPr>
            <w:r w:rsidRPr="00264D5D">
              <w:rPr>
                <w:sz w:val="22"/>
                <w:szCs w:val="22"/>
              </w:rPr>
              <w:t xml:space="preserve">Блок обязателен для заполнения, если в элементе «value» элемента «infoType» указано значение «ПЗ». </w:t>
            </w:r>
          </w:p>
          <w:p w14:paraId="1048661D" w14:textId="77777777" w:rsidR="00AD1F54" w:rsidRPr="00264D5D" w:rsidRDefault="00941227">
            <w:pPr>
              <w:pStyle w:val="ASFKTablenorm"/>
              <w:contextualSpacing w:val="0"/>
              <w:rPr>
                <w:sz w:val="22"/>
                <w:szCs w:val="22"/>
              </w:rPr>
            </w:pPr>
            <w:r w:rsidRPr="00264D5D">
              <w:rPr>
                <w:sz w:val="22"/>
                <w:szCs w:val="22"/>
              </w:rPr>
              <w:t xml:space="preserve">В случае указания «ПГЗ» – не заполняется. </w:t>
            </w:r>
          </w:p>
          <w:p w14:paraId="44822D1E" w14:textId="2CEDA863" w:rsidR="00AD1F54" w:rsidRPr="00264D5D" w:rsidRDefault="00941227">
            <w:pPr>
              <w:pStyle w:val="ASFKTablenorm"/>
              <w:contextualSpacing w:val="0"/>
              <w:rPr>
                <w:sz w:val="22"/>
                <w:szCs w:val="22"/>
              </w:rPr>
            </w:pPr>
            <w:r w:rsidRPr="00264D5D">
              <w:rPr>
                <w:sz w:val="22"/>
                <w:szCs w:val="22"/>
              </w:rPr>
              <w:t xml:space="preserve">Состав элемента представлен в таблице </w:t>
            </w:r>
            <w:r w:rsidRPr="00264D5D">
              <w:rPr>
                <w:b/>
                <w:sz w:val="22"/>
                <w:szCs w:val="22"/>
              </w:rPr>
              <w:fldChar w:fldCharType="begin"/>
            </w:r>
            <w:r w:rsidRPr="00264D5D">
              <w:rPr>
                <w:b/>
                <w:sz w:val="22"/>
                <w:szCs w:val="22"/>
              </w:rPr>
              <w:instrText xml:space="preserve"> REF _Ref79761021 \h  \* MERGEFORMAT </w:instrText>
            </w:r>
            <w:r w:rsidRPr="00264D5D">
              <w:rPr>
                <w:b/>
                <w:sz w:val="22"/>
                <w:szCs w:val="22"/>
              </w:rPr>
            </w:r>
            <w:r w:rsidRPr="00264D5D">
              <w:rPr>
                <w:b/>
                <w:sz w:val="22"/>
                <w:szCs w:val="22"/>
              </w:rPr>
              <w:fldChar w:fldCharType="separate"/>
            </w:r>
            <w:r w:rsidR="008D797C" w:rsidRPr="008D797C">
              <w:rPr>
                <w:b/>
                <w:sz w:val="22"/>
                <w:szCs w:val="22"/>
              </w:rPr>
              <w:t>340</w:t>
            </w:r>
            <w:r w:rsidRPr="00264D5D">
              <w:rPr>
                <w:b/>
                <w:sz w:val="22"/>
                <w:szCs w:val="22"/>
              </w:rPr>
              <w:fldChar w:fldCharType="end"/>
            </w:r>
          </w:p>
        </w:tc>
      </w:tr>
      <w:tr w:rsidR="00AD1F54" w:rsidRPr="00264D5D" w14:paraId="2E86F95E"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9628" w:type="dxa"/>
            <w:gridSpan w:val="6"/>
          </w:tcPr>
          <w:p w14:paraId="7C8FAA58" w14:textId="77777777" w:rsidR="00AD1F54" w:rsidRPr="00264D5D" w:rsidRDefault="00941227">
            <w:pPr>
              <w:pStyle w:val="ASFKTablenorm"/>
              <w:contextualSpacing w:val="0"/>
              <w:rPr>
                <w:sz w:val="22"/>
                <w:szCs w:val="22"/>
              </w:rPr>
            </w:pPr>
            <w:r w:rsidRPr="00264D5D">
              <w:rPr>
                <w:b/>
                <w:sz w:val="22"/>
                <w:szCs w:val="22"/>
              </w:rPr>
              <w:t>Подписи</w:t>
            </w:r>
          </w:p>
        </w:tc>
      </w:tr>
      <w:tr w:rsidR="00AD1F54" w:rsidRPr="00264D5D" w14:paraId="146B0414"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699" w:type="dxa"/>
          </w:tcPr>
          <w:p w14:paraId="0B194752" w14:textId="77777777" w:rsidR="00AD1F54" w:rsidRPr="00264D5D" w:rsidRDefault="00941227">
            <w:pPr>
              <w:pStyle w:val="ASFKTablenorm"/>
              <w:contextualSpacing w:val="0"/>
              <w:rPr>
                <w:sz w:val="22"/>
                <w:szCs w:val="22"/>
              </w:rPr>
            </w:pPr>
            <w:r w:rsidRPr="00264D5D">
              <w:rPr>
                <w:sz w:val="22"/>
                <w:szCs w:val="22"/>
              </w:rPr>
              <w:t>Должность руководителя</w:t>
            </w:r>
          </w:p>
        </w:tc>
        <w:tc>
          <w:tcPr>
            <w:tcW w:w="1700" w:type="dxa"/>
          </w:tcPr>
          <w:p w14:paraId="63D1C2CB" w14:textId="77777777" w:rsidR="00AD1F54" w:rsidRPr="00264D5D" w:rsidRDefault="00941227">
            <w:pPr>
              <w:spacing w:before="60" w:after="60"/>
              <w:rPr>
                <w:sz w:val="22"/>
                <w:szCs w:val="22"/>
              </w:rPr>
            </w:pPr>
            <w:r w:rsidRPr="00264D5D">
              <w:rPr>
                <w:sz w:val="22"/>
                <w:szCs w:val="22"/>
              </w:rPr>
              <w:t>headPosition</w:t>
            </w:r>
          </w:p>
        </w:tc>
        <w:tc>
          <w:tcPr>
            <w:tcW w:w="567" w:type="dxa"/>
          </w:tcPr>
          <w:p w14:paraId="012AD3D2" w14:textId="77777777" w:rsidR="00AD1F54" w:rsidRPr="00264D5D" w:rsidRDefault="00941227">
            <w:pPr>
              <w:spacing w:before="60" w:after="60"/>
              <w:jc w:val="center"/>
              <w:rPr>
                <w:sz w:val="22"/>
                <w:szCs w:val="22"/>
              </w:rPr>
            </w:pPr>
            <w:r w:rsidRPr="00264D5D">
              <w:rPr>
                <w:sz w:val="22"/>
                <w:szCs w:val="22"/>
              </w:rPr>
              <w:t>П</w:t>
            </w:r>
          </w:p>
        </w:tc>
        <w:tc>
          <w:tcPr>
            <w:tcW w:w="1134" w:type="dxa"/>
          </w:tcPr>
          <w:p w14:paraId="630CCC3F" w14:textId="77777777" w:rsidR="00AD1F54" w:rsidRPr="00264D5D" w:rsidRDefault="00941227">
            <w:pPr>
              <w:spacing w:before="60" w:after="60"/>
              <w:jc w:val="left"/>
              <w:rPr>
                <w:sz w:val="22"/>
                <w:szCs w:val="22"/>
              </w:rPr>
            </w:pPr>
            <w:r w:rsidRPr="00264D5D">
              <w:rPr>
                <w:sz w:val="22"/>
                <w:szCs w:val="22"/>
              </w:rPr>
              <w:t>Т(1-100)</w:t>
            </w:r>
          </w:p>
        </w:tc>
        <w:tc>
          <w:tcPr>
            <w:tcW w:w="567" w:type="dxa"/>
          </w:tcPr>
          <w:p w14:paraId="7D046620" w14:textId="77777777" w:rsidR="00AD1F54" w:rsidRPr="00264D5D" w:rsidRDefault="00941227">
            <w:pPr>
              <w:spacing w:before="60" w:after="60"/>
              <w:jc w:val="center"/>
              <w:rPr>
                <w:sz w:val="22"/>
                <w:szCs w:val="22"/>
              </w:rPr>
            </w:pPr>
            <w:r w:rsidRPr="00264D5D">
              <w:rPr>
                <w:sz w:val="22"/>
                <w:szCs w:val="22"/>
              </w:rPr>
              <w:t>О</w:t>
            </w:r>
          </w:p>
        </w:tc>
        <w:tc>
          <w:tcPr>
            <w:tcW w:w="3961" w:type="dxa"/>
          </w:tcPr>
          <w:p w14:paraId="2CCECBBE" w14:textId="77777777" w:rsidR="00AD1F54" w:rsidRPr="00264D5D" w:rsidRDefault="00941227">
            <w:pPr>
              <w:pStyle w:val="ASFKTablenorm"/>
              <w:contextualSpacing w:val="0"/>
              <w:rPr>
                <w:sz w:val="22"/>
                <w:szCs w:val="22"/>
              </w:rPr>
            </w:pPr>
            <w:r w:rsidRPr="00264D5D">
              <w:rPr>
                <w:sz w:val="22"/>
                <w:szCs w:val="22"/>
              </w:rPr>
              <w:t>Указывается д</w:t>
            </w:r>
            <w:r w:rsidR="00FB163B" w:rsidRPr="00264D5D">
              <w:rPr>
                <w:sz w:val="22"/>
                <w:szCs w:val="22"/>
              </w:rPr>
              <w:t>олжность руководителя заказчика</w:t>
            </w:r>
          </w:p>
        </w:tc>
      </w:tr>
      <w:tr w:rsidR="00AD1F54" w:rsidRPr="00264D5D" w14:paraId="717D4D6C"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699" w:type="dxa"/>
          </w:tcPr>
          <w:p w14:paraId="688834C0" w14:textId="77777777" w:rsidR="00AD1F54" w:rsidRPr="00264D5D" w:rsidRDefault="00941227">
            <w:pPr>
              <w:pStyle w:val="ASFKTablenorm"/>
              <w:contextualSpacing w:val="0"/>
              <w:rPr>
                <w:sz w:val="22"/>
                <w:szCs w:val="22"/>
              </w:rPr>
            </w:pPr>
            <w:r w:rsidRPr="00264D5D">
              <w:rPr>
                <w:sz w:val="22"/>
                <w:szCs w:val="22"/>
              </w:rPr>
              <w:t>ФИО руководителя</w:t>
            </w:r>
          </w:p>
        </w:tc>
        <w:tc>
          <w:tcPr>
            <w:tcW w:w="1700" w:type="dxa"/>
          </w:tcPr>
          <w:p w14:paraId="4C5CA083" w14:textId="77777777" w:rsidR="00AD1F54" w:rsidRPr="00264D5D" w:rsidRDefault="00941227">
            <w:pPr>
              <w:spacing w:before="60" w:after="60"/>
              <w:rPr>
                <w:sz w:val="22"/>
                <w:szCs w:val="22"/>
              </w:rPr>
            </w:pPr>
            <w:r w:rsidRPr="00264D5D">
              <w:rPr>
                <w:sz w:val="22"/>
                <w:szCs w:val="22"/>
              </w:rPr>
              <w:t>headName</w:t>
            </w:r>
          </w:p>
        </w:tc>
        <w:tc>
          <w:tcPr>
            <w:tcW w:w="567" w:type="dxa"/>
          </w:tcPr>
          <w:p w14:paraId="1886979C" w14:textId="77777777" w:rsidR="00AD1F54" w:rsidRPr="00264D5D" w:rsidRDefault="00941227">
            <w:pPr>
              <w:spacing w:before="60" w:after="60"/>
              <w:jc w:val="center"/>
              <w:rPr>
                <w:sz w:val="22"/>
                <w:szCs w:val="22"/>
              </w:rPr>
            </w:pPr>
            <w:r w:rsidRPr="00264D5D">
              <w:rPr>
                <w:sz w:val="22"/>
                <w:szCs w:val="22"/>
              </w:rPr>
              <w:t>П</w:t>
            </w:r>
          </w:p>
        </w:tc>
        <w:tc>
          <w:tcPr>
            <w:tcW w:w="1134" w:type="dxa"/>
          </w:tcPr>
          <w:p w14:paraId="7E73033A" w14:textId="77777777" w:rsidR="00AD1F54" w:rsidRPr="00264D5D" w:rsidRDefault="00941227">
            <w:pPr>
              <w:spacing w:before="60" w:after="60"/>
              <w:jc w:val="left"/>
              <w:rPr>
                <w:sz w:val="22"/>
                <w:szCs w:val="22"/>
              </w:rPr>
            </w:pPr>
            <w:r w:rsidRPr="00264D5D">
              <w:rPr>
                <w:sz w:val="22"/>
                <w:szCs w:val="22"/>
              </w:rPr>
              <w:t>Т(1-50)</w:t>
            </w:r>
          </w:p>
        </w:tc>
        <w:tc>
          <w:tcPr>
            <w:tcW w:w="567" w:type="dxa"/>
          </w:tcPr>
          <w:p w14:paraId="1D4FB3D2" w14:textId="77777777" w:rsidR="00AD1F54" w:rsidRPr="00264D5D" w:rsidRDefault="00941227">
            <w:pPr>
              <w:spacing w:before="60" w:after="60"/>
              <w:jc w:val="center"/>
              <w:rPr>
                <w:sz w:val="22"/>
                <w:szCs w:val="22"/>
              </w:rPr>
            </w:pPr>
            <w:r w:rsidRPr="00264D5D">
              <w:rPr>
                <w:sz w:val="22"/>
                <w:szCs w:val="22"/>
              </w:rPr>
              <w:t>О</w:t>
            </w:r>
          </w:p>
        </w:tc>
        <w:tc>
          <w:tcPr>
            <w:tcW w:w="3961" w:type="dxa"/>
          </w:tcPr>
          <w:p w14:paraId="15B23A8F" w14:textId="77777777" w:rsidR="00AD1F54" w:rsidRPr="00264D5D" w:rsidRDefault="00941227">
            <w:pPr>
              <w:pStyle w:val="ASFKTablenorm"/>
              <w:contextualSpacing w:val="0"/>
              <w:rPr>
                <w:sz w:val="22"/>
                <w:szCs w:val="22"/>
              </w:rPr>
            </w:pPr>
            <w:r w:rsidRPr="00264D5D">
              <w:rPr>
                <w:sz w:val="22"/>
                <w:szCs w:val="22"/>
              </w:rPr>
              <w:t>Указыва</w:t>
            </w:r>
            <w:r w:rsidR="00FB163B" w:rsidRPr="00264D5D">
              <w:rPr>
                <w:sz w:val="22"/>
                <w:szCs w:val="22"/>
              </w:rPr>
              <w:t>ется ФИО руководителя заказчика</w:t>
            </w:r>
          </w:p>
        </w:tc>
      </w:tr>
      <w:tr w:rsidR="00AD1F54" w:rsidRPr="00264D5D" w14:paraId="04DD66D0"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699" w:type="dxa"/>
          </w:tcPr>
          <w:p w14:paraId="6F102164" w14:textId="77777777" w:rsidR="00AD1F54" w:rsidRPr="00264D5D" w:rsidRDefault="00941227">
            <w:pPr>
              <w:pStyle w:val="ASFKTablenorm"/>
              <w:contextualSpacing w:val="0"/>
              <w:rPr>
                <w:sz w:val="22"/>
                <w:szCs w:val="22"/>
              </w:rPr>
            </w:pPr>
            <w:r w:rsidRPr="00264D5D">
              <w:rPr>
                <w:sz w:val="22"/>
                <w:szCs w:val="22"/>
              </w:rPr>
              <w:lastRenderedPageBreak/>
              <w:t>ФИО ответственного исполнителя</w:t>
            </w:r>
          </w:p>
        </w:tc>
        <w:tc>
          <w:tcPr>
            <w:tcW w:w="1700" w:type="dxa"/>
          </w:tcPr>
          <w:p w14:paraId="58DDEE97" w14:textId="77777777" w:rsidR="00AD1F54" w:rsidRPr="00264D5D" w:rsidRDefault="00941227">
            <w:pPr>
              <w:spacing w:before="60" w:after="60"/>
              <w:rPr>
                <w:sz w:val="22"/>
                <w:szCs w:val="22"/>
              </w:rPr>
            </w:pPr>
            <w:r w:rsidRPr="00264D5D">
              <w:rPr>
                <w:sz w:val="22"/>
                <w:szCs w:val="22"/>
              </w:rPr>
              <w:t>responsibleName</w:t>
            </w:r>
          </w:p>
        </w:tc>
        <w:tc>
          <w:tcPr>
            <w:tcW w:w="567" w:type="dxa"/>
          </w:tcPr>
          <w:p w14:paraId="5516FB09" w14:textId="77777777" w:rsidR="00AD1F54" w:rsidRPr="00264D5D" w:rsidRDefault="00941227">
            <w:pPr>
              <w:spacing w:before="60" w:after="60"/>
              <w:jc w:val="center"/>
              <w:rPr>
                <w:sz w:val="22"/>
                <w:szCs w:val="22"/>
              </w:rPr>
            </w:pPr>
            <w:r w:rsidRPr="00264D5D">
              <w:rPr>
                <w:sz w:val="22"/>
                <w:szCs w:val="22"/>
              </w:rPr>
              <w:t>П</w:t>
            </w:r>
          </w:p>
        </w:tc>
        <w:tc>
          <w:tcPr>
            <w:tcW w:w="1134" w:type="dxa"/>
          </w:tcPr>
          <w:p w14:paraId="6DA95C7D" w14:textId="77777777" w:rsidR="00AD1F54" w:rsidRPr="00264D5D" w:rsidRDefault="00941227">
            <w:pPr>
              <w:spacing w:before="60" w:after="60"/>
              <w:jc w:val="left"/>
              <w:rPr>
                <w:sz w:val="22"/>
                <w:szCs w:val="22"/>
              </w:rPr>
            </w:pPr>
            <w:r w:rsidRPr="00264D5D">
              <w:rPr>
                <w:sz w:val="22"/>
                <w:szCs w:val="22"/>
              </w:rPr>
              <w:t>Т(1-50)</w:t>
            </w:r>
          </w:p>
        </w:tc>
        <w:tc>
          <w:tcPr>
            <w:tcW w:w="567" w:type="dxa"/>
          </w:tcPr>
          <w:p w14:paraId="154E078C" w14:textId="77777777" w:rsidR="00AD1F54" w:rsidRPr="00264D5D" w:rsidRDefault="00941227">
            <w:pPr>
              <w:spacing w:before="60" w:after="60"/>
              <w:jc w:val="center"/>
              <w:rPr>
                <w:sz w:val="22"/>
                <w:szCs w:val="22"/>
              </w:rPr>
            </w:pPr>
            <w:r w:rsidRPr="00264D5D">
              <w:rPr>
                <w:sz w:val="22"/>
                <w:szCs w:val="22"/>
              </w:rPr>
              <w:t>О</w:t>
            </w:r>
          </w:p>
        </w:tc>
        <w:tc>
          <w:tcPr>
            <w:tcW w:w="3961" w:type="dxa"/>
          </w:tcPr>
          <w:p w14:paraId="6D843B22" w14:textId="77777777" w:rsidR="00AD1F54" w:rsidRPr="00264D5D" w:rsidRDefault="00941227">
            <w:pPr>
              <w:pStyle w:val="ASFKTablenorm"/>
              <w:contextualSpacing w:val="0"/>
              <w:rPr>
                <w:sz w:val="22"/>
                <w:szCs w:val="22"/>
              </w:rPr>
            </w:pPr>
            <w:r w:rsidRPr="00264D5D">
              <w:rPr>
                <w:sz w:val="22"/>
                <w:szCs w:val="22"/>
              </w:rPr>
              <w:t>Указыв</w:t>
            </w:r>
            <w:r w:rsidR="00FB163B" w:rsidRPr="00264D5D">
              <w:rPr>
                <w:sz w:val="22"/>
                <w:szCs w:val="22"/>
              </w:rPr>
              <w:t>ается ФИО исполнителя заказчика</w:t>
            </w:r>
          </w:p>
        </w:tc>
      </w:tr>
      <w:tr w:rsidR="00AD1F54" w:rsidRPr="00264D5D" w14:paraId="765B4ED6"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699" w:type="dxa"/>
          </w:tcPr>
          <w:p w14:paraId="3CBDFCEC" w14:textId="77777777" w:rsidR="00AD1F54" w:rsidRPr="00264D5D" w:rsidRDefault="00941227">
            <w:pPr>
              <w:pStyle w:val="ASFKTablenorm"/>
              <w:widowControl w:val="0"/>
              <w:contextualSpacing w:val="0"/>
              <w:rPr>
                <w:sz w:val="22"/>
                <w:szCs w:val="22"/>
              </w:rPr>
            </w:pPr>
            <w:r w:rsidRPr="00264D5D">
              <w:rPr>
                <w:sz w:val="22"/>
                <w:szCs w:val="22"/>
              </w:rPr>
              <w:t>Дата утверждения</w:t>
            </w:r>
          </w:p>
        </w:tc>
        <w:tc>
          <w:tcPr>
            <w:tcW w:w="1700" w:type="dxa"/>
          </w:tcPr>
          <w:p w14:paraId="5F9CCEE3" w14:textId="77777777" w:rsidR="00AD1F54" w:rsidRPr="00264D5D" w:rsidRDefault="00941227">
            <w:pPr>
              <w:widowControl w:val="0"/>
              <w:spacing w:before="60" w:after="60"/>
              <w:rPr>
                <w:sz w:val="22"/>
                <w:szCs w:val="22"/>
              </w:rPr>
            </w:pPr>
            <w:r w:rsidRPr="00264D5D">
              <w:rPr>
                <w:sz w:val="22"/>
                <w:szCs w:val="22"/>
              </w:rPr>
              <w:t>approveDate</w:t>
            </w:r>
          </w:p>
        </w:tc>
        <w:tc>
          <w:tcPr>
            <w:tcW w:w="567" w:type="dxa"/>
          </w:tcPr>
          <w:p w14:paraId="1DB9BC8C" w14:textId="77777777" w:rsidR="00AD1F54" w:rsidRPr="00264D5D" w:rsidRDefault="00941227">
            <w:pPr>
              <w:widowControl w:val="0"/>
              <w:spacing w:before="60" w:after="60"/>
              <w:jc w:val="center"/>
              <w:rPr>
                <w:sz w:val="22"/>
                <w:szCs w:val="22"/>
              </w:rPr>
            </w:pPr>
            <w:r w:rsidRPr="00264D5D">
              <w:rPr>
                <w:sz w:val="22"/>
                <w:szCs w:val="22"/>
              </w:rPr>
              <w:t>П</w:t>
            </w:r>
          </w:p>
        </w:tc>
        <w:tc>
          <w:tcPr>
            <w:tcW w:w="1134" w:type="dxa"/>
          </w:tcPr>
          <w:p w14:paraId="798317C7" w14:textId="77777777" w:rsidR="00AD1F54" w:rsidRPr="00264D5D" w:rsidRDefault="00941227">
            <w:pPr>
              <w:widowControl w:val="0"/>
              <w:spacing w:before="60" w:after="60"/>
              <w:jc w:val="left"/>
              <w:rPr>
                <w:sz w:val="22"/>
                <w:szCs w:val="22"/>
                <w:lang w:val="en-US"/>
              </w:rPr>
            </w:pPr>
            <w:r w:rsidRPr="00264D5D">
              <w:rPr>
                <w:sz w:val="22"/>
                <w:szCs w:val="22"/>
                <w:lang w:val="en-US"/>
              </w:rPr>
              <w:t>Date</w:t>
            </w:r>
          </w:p>
        </w:tc>
        <w:tc>
          <w:tcPr>
            <w:tcW w:w="567" w:type="dxa"/>
          </w:tcPr>
          <w:p w14:paraId="35343417" w14:textId="77777777" w:rsidR="00AD1F54" w:rsidRPr="00264D5D" w:rsidRDefault="00941227">
            <w:pPr>
              <w:widowControl w:val="0"/>
              <w:spacing w:before="60" w:after="60"/>
              <w:jc w:val="center"/>
              <w:rPr>
                <w:sz w:val="22"/>
                <w:szCs w:val="22"/>
              </w:rPr>
            </w:pPr>
            <w:r w:rsidRPr="00264D5D">
              <w:rPr>
                <w:sz w:val="22"/>
                <w:szCs w:val="22"/>
              </w:rPr>
              <w:t>О</w:t>
            </w:r>
          </w:p>
        </w:tc>
        <w:tc>
          <w:tcPr>
            <w:tcW w:w="3961" w:type="dxa"/>
          </w:tcPr>
          <w:p w14:paraId="2EBF2781" w14:textId="77777777" w:rsidR="00AD1F54" w:rsidRPr="00264D5D" w:rsidRDefault="00941227">
            <w:pPr>
              <w:pStyle w:val="ASFKTablenorm"/>
              <w:widowControl w:val="0"/>
              <w:contextualSpacing w:val="0"/>
              <w:rPr>
                <w:sz w:val="22"/>
                <w:szCs w:val="22"/>
              </w:rPr>
            </w:pPr>
            <w:r w:rsidRPr="00264D5D">
              <w:rPr>
                <w:sz w:val="22"/>
                <w:szCs w:val="22"/>
              </w:rPr>
              <w:t>Указывается дата утверждения до</w:t>
            </w:r>
            <w:r w:rsidR="00FB163B" w:rsidRPr="00264D5D">
              <w:rPr>
                <w:sz w:val="22"/>
                <w:szCs w:val="22"/>
              </w:rPr>
              <w:t>кумента руководителем заказчика</w:t>
            </w:r>
          </w:p>
        </w:tc>
      </w:tr>
    </w:tbl>
    <w:p w14:paraId="27EC52D1" w14:textId="77777777" w:rsidR="00AD1F54" w:rsidRPr="00264D5D" w:rsidRDefault="00941227">
      <w:pPr>
        <w:pStyle w:val="31"/>
      </w:pPr>
      <w:bookmarkStart w:id="4406" w:name="_Toc464771480"/>
      <w:bookmarkStart w:id="4407" w:name="_Toc464771497"/>
      <w:bookmarkStart w:id="4408" w:name="_Ref462153306"/>
      <w:bookmarkStart w:id="4409" w:name="_Toc219309822"/>
      <w:bookmarkEnd w:id="4405"/>
      <w:bookmarkEnd w:id="4406"/>
      <w:bookmarkEnd w:id="4407"/>
      <w:r w:rsidRPr="00264D5D">
        <w:t>Описание комплексного типа «tTypeComplex»</w:t>
      </w:r>
      <w:bookmarkEnd w:id="4408"/>
      <w:bookmarkEnd w:id="4409"/>
    </w:p>
    <w:p w14:paraId="3031E522" w14:textId="77777777" w:rsidR="00AD1F54" w:rsidRPr="00264D5D" w:rsidRDefault="00941227">
      <w:pPr>
        <w:pStyle w:val="ASFKNormal"/>
        <w:widowControl w:val="0"/>
        <w:spacing w:before="60" w:after="120"/>
        <w:contextualSpacing w:val="0"/>
        <w:jc w:val="both"/>
        <w:rPr>
          <w:sz w:val="24"/>
          <w:szCs w:val="24"/>
        </w:rPr>
      </w:pPr>
      <w:r w:rsidRPr="00264D5D">
        <w:rPr>
          <w:sz w:val="24"/>
          <w:szCs w:val="24"/>
        </w:rPr>
        <w:t>Описание комплексного типа «tT</w:t>
      </w:r>
      <w:r w:rsidRPr="00264D5D">
        <w:rPr>
          <w:sz w:val="24"/>
          <w:szCs w:val="24"/>
          <w:lang w:val="en-US"/>
        </w:rPr>
        <w:t>ype</w:t>
      </w:r>
      <w:r w:rsidRPr="00264D5D">
        <w:rPr>
          <w:sz w:val="24"/>
          <w:szCs w:val="24"/>
        </w:rPr>
        <w:t>Complex» блока «Тип предоставляемых сведений».</w:t>
      </w:r>
    </w:p>
    <w:p w14:paraId="05300E97" w14:textId="4A51A2F0"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4410" w:name="_Ref465954070"/>
      <w:bookmarkStart w:id="4411" w:name="_Toc30503426"/>
      <w:bookmarkStart w:id="4412" w:name="_Toc30508024"/>
      <w:bookmarkStart w:id="4413" w:name="_Toc219309365"/>
      <w:r w:rsidR="008D797C">
        <w:rPr>
          <w:rFonts w:eastAsia="Calibri"/>
          <w:noProof/>
          <w:szCs w:val="24"/>
        </w:rPr>
        <w:t>335</w:t>
      </w:r>
      <w:bookmarkEnd w:id="4410"/>
      <w:r w:rsidRPr="00264D5D">
        <w:rPr>
          <w:rFonts w:eastAsia="Calibri"/>
          <w:szCs w:val="24"/>
        </w:rPr>
        <w:fldChar w:fldCharType="end"/>
      </w:r>
      <w:r w:rsidRPr="00264D5D">
        <w:rPr>
          <w:rFonts w:eastAsia="Calibri"/>
          <w:szCs w:val="24"/>
        </w:rPr>
        <w:t xml:space="preserve"> – Описание комплексного типа «t</w:t>
      </w:r>
      <w:r w:rsidRPr="00264D5D">
        <w:rPr>
          <w:rFonts w:eastAsia="Calibri"/>
          <w:szCs w:val="24"/>
          <w:lang w:val="en-US"/>
        </w:rPr>
        <w:t>Type</w:t>
      </w:r>
      <w:r w:rsidRPr="00264D5D">
        <w:rPr>
          <w:rFonts w:eastAsia="Calibri"/>
          <w:szCs w:val="24"/>
        </w:rPr>
        <w:t>Complex»</w:t>
      </w:r>
      <w:bookmarkEnd w:id="4411"/>
      <w:bookmarkEnd w:id="4412"/>
      <w:bookmarkEnd w:id="4413"/>
    </w:p>
    <w:tbl>
      <w:tblPr>
        <w:tblStyle w:val="GOSTTable"/>
        <w:tblW w:w="5000" w:type="pct"/>
        <w:tblLayout w:type="fixed"/>
        <w:tblLook w:val="04A0" w:firstRow="1" w:lastRow="0" w:firstColumn="1" w:lastColumn="0" w:noHBand="0" w:noVBand="1"/>
      </w:tblPr>
      <w:tblGrid>
        <w:gridCol w:w="1703"/>
        <w:gridCol w:w="1710"/>
        <w:gridCol w:w="567"/>
        <w:gridCol w:w="1131"/>
        <w:gridCol w:w="565"/>
        <w:gridCol w:w="3974"/>
      </w:tblGrid>
      <w:tr w:rsidR="00AD1F54" w:rsidRPr="00264D5D" w14:paraId="71686D92" w14:textId="77777777" w:rsidTr="00AD1F54">
        <w:trPr>
          <w:cnfStyle w:val="100000000000" w:firstRow="1" w:lastRow="0" w:firstColumn="0" w:lastColumn="0" w:oddVBand="0" w:evenVBand="0" w:oddHBand="0" w:evenHBand="0" w:firstRowFirstColumn="0" w:firstRowLastColumn="0" w:lastRowFirstColumn="0" w:lastRowLastColumn="0"/>
          <w:trHeight w:val="282"/>
          <w:tblHeader/>
        </w:trPr>
        <w:tc>
          <w:tcPr>
            <w:tcW w:w="882" w:type="pct"/>
          </w:tcPr>
          <w:p w14:paraId="1FAC640A" w14:textId="77777777" w:rsidR="00AD1F54" w:rsidRPr="00264D5D" w:rsidRDefault="00941227">
            <w:pPr>
              <w:pStyle w:val="EBTableHead"/>
              <w:keepNext w:val="0"/>
              <w:widowControl w:val="0"/>
              <w:ind w:left="0" w:right="0"/>
              <w:contextualSpacing w:val="0"/>
              <w:rPr>
                <w:sz w:val="22"/>
                <w:szCs w:val="22"/>
              </w:rPr>
            </w:pPr>
            <w:r w:rsidRPr="00264D5D">
              <w:rPr>
                <w:bCs w:val="0"/>
                <w:sz w:val="22"/>
                <w:szCs w:val="22"/>
              </w:rPr>
              <w:t>Наименование элемента</w:t>
            </w:r>
          </w:p>
        </w:tc>
        <w:tc>
          <w:tcPr>
            <w:tcW w:w="886" w:type="pct"/>
          </w:tcPr>
          <w:p w14:paraId="33869B6A" w14:textId="77777777" w:rsidR="00AD1F54" w:rsidRPr="00264D5D" w:rsidRDefault="00941227">
            <w:pPr>
              <w:pStyle w:val="EBTableHead"/>
              <w:keepNext w:val="0"/>
              <w:widowControl w:val="0"/>
              <w:ind w:left="0" w:right="0"/>
              <w:contextualSpacing w:val="0"/>
              <w:rPr>
                <w:sz w:val="22"/>
                <w:szCs w:val="22"/>
              </w:rPr>
            </w:pPr>
            <w:r w:rsidRPr="00264D5D">
              <w:rPr>
                <w:bCs w:val="0"/>
                <w:sz w:val="22"/>
                <w:szCs w:val="22"/>
              </w:rPr>
              <w:t>Сокращенное наименование (код) элемента</w:t>
            </w:r>
          </w:p>
        </w:tc>
        <w:tc>
          <w:tcPr>
            <w:tcW w:w="294" w:type="pct"/>
          </w:tcPr>
          <w:p w14:paraId="4E050BCC" w14:textId="77777777" w:rsidR="00AD1F54" w:rsidRPr="00264D5D" w:rsidRDefault="00941227">
            <w:pPr>
              <w:pStyle w:val="EBTableHead"/>
              <w:keepNext w:val="0"/>
              <w:widowControl w:val="0"/>
              <w:ind w:left="0" w:right="0"/>
              <w:contextualSpacing w:val="0"/>
              <w:rPr>
                <w:sz w:val="22"/>
                <w:szCs w:val="22"/>
              </w:rPr>
            </w:pPr>
            <w:r w:rsidRPr="00264D5D">
              <w:rPr>
                <w:bCs w:val="0"/>
                <w:sz w:val="22"/>
                <w:szCs w:val="22"/>
              </w:rPr>
              <w:t>Тип</w:t>
            </w:r>
          </w:p>
        </w:tc>
        <w:tc>
          <w:tcPr>
            <w:tcW w:w="586" w:type="pct"/>
          </w:tcPr>
          <w:p w14:paraId="32A2663B" w14:textId="77777777" w:rsidR="00AD1F54" w:rsidRPr="00264D5D" w:rsidRDefault="00941227">
            <w:pPr>
              <w:pStyle w:val="EBTableHead"/>
              <w:keepNext w:val="0"/>
              <w:widowControl w:val="0"/>
              <w:ind w:left="0" w:right="0"/>
              <w:contextualSpacing w:val="0"/>
              <w:rPr>
                <w:sz w:val="22"/>
                <w:szCs w:val="22"/>
              </w:rPr>
            </w:pPr>
            <w:r w:rsidRPr="00264D5D">
              <w:rPr>
                <w:bCs w:val="0"/>
                <w:sz w:val="22"/>
                <w:szCs w:val="22"/>
              </w:rPr>
              <w:t>Формат элемента</w:t>
            </w:r>
          </w:p>
        </w:tc>
        <w:tc>
          <w:tcPr>
            <w:tcW w:w="293" w:type="pct"/>
          </w:tcPr>
          <w:p w14:paraId="1B38A619" w14:textId="77777777" w:rsidR="00AD1F54" w:rsidRPr="00264D5D" w:rsidRDefault="00941227">
            <w:pPr>
              <w:widowControl w:val="0"/>
              <w:spacing w:before="60" w:after="60"/>
              <w:jc w:val="center"/>
              <w:rPr>
                <w:b/>
                <w:bCs/>
                <w:sz w:val="22"/>
                <w:szCs w:val="22"/>
              </w:rPr>
            </w:pPr>
            <w:r w:rsidRPr="00264D5D">
              <w:rPr>
                <w:b/>
                <w:bCs/>
                <w:sz w:val="22"/>
                <w:szCs w:val="22"/>
              </w:rPr>
              <w:t>Обязательность</w:t>
            </w:r>
          </w:p>
        </w:tc>
        <w:tc>
          <w:tcPr>
            <w:tcW w:w="2059" w:type="pct"/>
          </w:tcPr>
          <w:p w14:paraId="6748DD8E" w14:textId="77777777" w:rsidR="00AD1F54" w:rsidRPr="00264D5D" w:rsidRDefault="00941227">
            <w:pPr>
              <w:pStyle w:val="EBTableHead"/>
              <w:keepNext w:val="0"/>
              <w:widowControl w:val="0"/>
              <w:ind w:left="0" w:right="0"/>
              <w:contextualSpacing w:val="0"/>
              <w:rPr>
                <w:sz w:val="22"/>
                <w:szCs w:val="22"/>
              </w:rPr>
            </w:pPr>
            <w:r w:rsidRPr="00264D5D">
              <w:rPr>
                <w:bCs w:val="0"/>
                <w:sz w:val="22"/>
                <w:szCs w:val="22"/>
              </w:rPr>
              <w:t>Дополнительная информация</w:t>
            </w:r>
          </w:p>
        </w:tc>
      </w:tr>
      <w:tr w:rsidR="00AD1F54" w:rsidRPr="00264D5D" w14:paraId="4AB15402" w14:textId="77777777" w:rsidTr="00AD1F54">
        <w:trPr>
          <w:cnfStyle w:val="000000100000" w:firstRow="0" w:lastRow="0" w:firstColumn="0" w:lastColumn="0" w:oddVBand="0" w:evenVBand="0" w:oddHBand="1" w:evenHBand="0" w:firstRowFirstColumn="0" w:firstRowLastColumn="0" w:lastRowFirstColumn="0" w:lastRowLastColumn="0"/>
          <w:trHeight w:val="282"/>
        </w:trPr>
        <w:tc>
          <w:tcPr>
            <w:tcW w:w="882" w:type="pct"/>
          </w:tcPr>
          <w:p w14:paraId="4E4063D6" w14:textId="77777777" w:rsidR="00AD1F54" w:rsidRPr="00264D5D" w:rsidRDefault="00941227">
            <w:pPr>
              <w:widowControl w:val="0"/>
              <w:spacing w:before="60" w:after="60"/>
              <w:rPr>
                <w:sz w:val="22"/>
                <w:szCs w:val="22"/>
              </w:rPr>
            </w:pPr>
            <w:r w:rsidRPr="00264D5D">
              <w:rPr>
                <w:sz w:val="22"/>
                <w:szCs w:val="22"/>
              </w:rPr>
              <w:t>Код</w:t>
            </w:r>
          </w:p>
        </w:tc>
        <w:tc>
          <w:tcPr>
            <w:tcW w:w="886" w:type="pct"/>
          </w:tcPr>
          <w:p w14:paraId="1742F4DE" w14:textId="77777777" w:rsidR="00AD1F54" w:rsidRPr="00264D5D" w:rsidRDefault="00941227">
            <w:pPr>
              <w:widowControl w:val="0"/>
              <w:tabs>
                <w:tab w:val="left" w:pos="1122"/>
              </w:tabs>
              <w:spacing w:before="60" w:after="60"/>
              <w:rPr>
                <w:sz w:val="22"/>
                <w:szCs w:val="22"/>
              </w:rPr>
            </w:pPr>
            <w:r w:rsidRPr="00264D5D">
              <w:rPr>
                <w:sz w:val="22"/>
                <w:szCs w:val="22"/>
              </w:rPr>
              <w:t>code</w:t>
            </w:r>
          </w:p>
        </w:tc>
        <w:tc>
          <w:tcPr>
            <w:tcW w:w="294" w:type="pct"/>
          </w:tcPr>
          <w:p w14:paraId="7EB8A03E" w14:textId="77777777" w:rsidR="00AD1F54" w:rsidRPr="00264D5D" w:rsidRDefault="00941227">
            <w:pPr>
              <w:widowControl w:val="0"/>
              <w:spacing w:before="60" w:after="60"/>
              <w:jc w:val="center"/>
              <w:rPr>
                <w:sz w:val="22"/>
                <w:szCs w:val="22"/>
              </w:rPr>
            </w:pPr>
            <w:r w:rsidRPr="00264D5D">
              <w:rPr>
                <w:sz w:val="22"/>
                <w:szCs w:val="22"/>
              </w:rPr>
              <w:t>А</w:t>
            </w:r>
          </w:p>
        </w:tc>
        <w:tc>
          <w:tcPr>
            <w:tcW w:w="586" w:type="pct"/>
          </w:tcPr>
          <w:p w14:paraId="0BE86230" w14:textId="77777777" w:rsidR="00AD1F54" w:rsidRPr="00264D5D" w:rsidRDefault="00941227">
            <w:pPr>
              <w:widowControl w:val="0"/>
              <w:spacing w:before="60" w:after="60"/>
              <w:jc w:val="center"/>
              <w:rPr>
                <w:sz w:val="22"/>
                <w:szCs w:val="22"/>
              </w:rPr>
            </w:pPr>
            <w:r w:rsidRPr="00264D5D">
              <w:rPr>
                <w:sz w:val="22"/>
                <w:szCs w:val="22"/>
              </w:rPr>
              <w:t>-</w:t>
            </w:r>
          </w:p>
        </w:tc>
        <w:tc>
          <w:tcPr>
            <w:tcW w:w="293" w:type="pct"/>
          </w:tcPr>
          <w:p w14:paraId="6D0B820F" w14:textId="77777777" w:rsidR="00AD1F54" w:rsidRPr="00264D5D" w:rsidRDefault="00941227">
            <w:pPr>
              <w:widowControl w:val="0"/>
              <w:spacing w:before="60" w:after="60"/>
              <w:jc w:val="center"/>
              <w:rPr>
                <w:sz w:val="22"/>
                <w:szCs w:val="22"/>
              </w:rPr>
            </w:pPr>
            <w:r w:rsidRPr="00264D5D">
              <w:rPr>
                <w:sz w:val="22"/>
                <w:szCs w:val="22"/>
              </w:rPr>
              <w:t>Н</w:t>
            </w:r>
          </w:p>
        </w:tc>
        <w:tc>
          <w:tcPr>
            <w:tcW w:w="2059" w:type="pct"/>
          </w:tcPr>
          <w:p w14:paraId="6D89633F" w14:textId="77777777" w:rsidR="00AD1F54" w:rsidRPr="00264D5D" w:rsidRDefault="00FB163B">
            <w:pPr>
              <w:widowControl w:val="0"/>
              <w:spacing w:before="60" w:after="60"/>
              <w:rPr>
                <w:sz w:val="22"/>
                <w:szCs w:val="22"/>
              </w:rPr>
            </w:pPr>
            <w:r w:rsidRPr="00264D5D">
              <w:rPr>
                <w:sz w:val="22"/>
                <w:szCs w:val="22"/>
              </w:rPr>
              <w:t>Код</w:t>
            </w:r>
          </w:p>
        </w:tc>
      </w:tr>
      <w:tr w:rsidR="00AD1F54" w:rsidRPr="00264D5D" w14:paraId="340E862A" w14:textId="77777777" w:rsidTr="00AD1F54">
        <w:trPr>
          <w:cnfStyle w:val="000000010000" w:firstRow="0" w:lastRow="0" w:firstColumn="0" w:lastColumn="0" w:oddVBand="0" w:evenVBand="0" w:oddHBand="0" w:evenHBand="1" w:firstRowFirstColumn="0" w:firstRowLastColumn="0" w:lastRowFirstColumn="0" w:lastRowLastColumn="0"/>
          <w:trHeight w:val="282"/>
        </w:trPr>
        <w:tc>
          <w:tcPr>
            <w:tcW w:w="882" w:type="pct"/>
          </w:tcPr>
          <w:p w14:paraId="0FF0AEC4" w14:textId="77777777" w:rsidR="00AD1F54" w:rsidRPr="00264D5D" w:rsidRDefault="00941227">
            <w:pPr>
              <w:widowControl w:val="0"/>
              <w:spacing w:before="60" w:after="60"/>
              <w:rPr>
                <w:sz w:val="22"/>
                <w:szCs w:val="22"/>
              </w:rPr>
            </w:pPr>
            <w:r w:rsidRPr="00264D5D">
              <w:rPr>
                <w:sz w:val="22"/>
                <w:szCs w:val="22"/>
              </w:rPr>
              <w:t>Тип предоставляемых сведений</w:t>
            </w:r>
          </w:p>
        </w:tc>
        <w:tc>
          <w:tcPr>
            <w:tcW w:w="886" w:type="pct"/>
          </w:tcPr>
          <w:p w14:paraId="1F6D471C" w14:textId="77777777" w:rsidR="00AD1F54" w:rsidRPr="00264D5D" w:rsidRDefault="00941227">
            <w:pPr>
              <w:widowControl w:val="0"/>
              <w:spacing w:before="60" w:after="60"/>
              <w:rPr>
                <w:sz w:val="22"/>
                <w:szCs w:val="22"/>
              </w:rPr>
            </w:pPr>
            <w:r w:rsidRPr="00264D5D">
              <w:rPr>
                <w:sz w:val="22"/>
                <w:szCs w:val="22"/>
              </w:rPr>
              <w:t>value</w:t>
            </w:r>
          </w:p>
        </w:tc>
        <w:tc>
          <w:tcPr>
            <w:tcW w:w="294" w:type="pct"/>
          </w:tcPr>
          <w:p w14:paraId="3E4DAF99" w14:textId="77777777" w:rsidR="00AD1F54" w:rsidRPr="00264D5D" w:rsidRDefault="00941227">
            <w:pPr>
              <w:widowControl w:val="0"/>
              <w:spacing w:before="60" w:after="60"/>
              <w:jc w:val="center"/>
              <w:rPr>
                <w:sz w:val="22"/>
                <w:szCs w:val="22"/>
              </w:rPr>
            </w:pPr>
            <w:r w:rsidRPr="00264D5D">
              <w:rPr>
                <w:sz w:val="22"/>
                <w:szCs w:val="22"/>
              </w:rPr>
              <w:t>А</w:t>
            </w:r>
          </w:p>
        </w:tc>
        <w:tc>
          <w:tcPr>
            <w:tcW w:w="586" w:type="pct"/>
          </w:tcPr>
          <w:p w14:paraId="455663C9" w14:textId="77777777" w:rsidR="00AD1F54" w:rsidRPr="00264D5D" w:rsidRDefault="00941227">
            <w:pPr>
              <w:widowControl w:val="0"/>
              <w:spacing w:before="60" w:after="60"/>
              <w:jc w:val="center"/>
              <w:rPr>
                <w:sz w:val="22"/>
                <w:szCs w:val="22"/>
              </w:rPr>
            </w:pPr>
            <w:r w:rsidRPr="00264D5D">
              <w:rPr>
                <w:sz w:val="22"/>
                <w:szCs w:val="22"/>
              </w:rPr>
              <w:t>-</w:t>
            </w:r>
          </w:p>
        </w:tc>
        <w:tc>
          <w:tcPr>
            <w:tcW w:w="293" w:type="pct"/>
          </w:tcPr>
          <w:p w14:paraId="1E3F02BE" w14:textId="77777777" w:rsidR="00AD1F54" w:rsidRPr="00264D5D" w:rsidRDefault="00941227">
            <w:pPr>
              <w:widowControl w:val="0"/>
              <w:spacing w:before="60" w:after="60"/>
              <w:jc w:val="center"/>
              <w:rPr>
                <w:sz w:val="22"/>
                <w:szCs w:val="22"/>
              </w:rPr>
            </w:pPr>
            <w:r w:rsidRPr="00264D5D">
              <w:rPr>
                <w:sz w:val="22"/>
                <w:szCs w:val="22"/>
              </w:rPr>
              <w:t>О</w:t>
            </w:r>
          </w:p>
        </w:tc>
        <w:tc>
          <w:tcPr>
            <w:tcW w:w="2059" w:type="pct"/>
          </w:tcPr>
          <w:p w14:paraId="7258FC00" w14:textId="77777777" w:rsidR="00AD1F54" w:rsidRPr="00264D5D" w:rsidRDefault="00941227">
            <w:pPr>
              <w:pStyle w:val="ASFKTablenorm"/>
              <w:widowControl w:val="0"/>
              <w:contextualSpacing w:val="0"/>
              <w:rPr>
                <w:sz w:val="22"/>
                <w:szCs w:val="22"/>
              </w:rPr>
            </w:pPr>
            <w:r w:rsidRPr="00264D5D">
              <w:rPr>
                <w:sz w:val="22"/>
                <w:szCs w:val="22"/>
              </w:rPr>
              <w:t>Допустимые значения:</w:t>
            </w:r>
          </w:p>
          <w:p w14:paraId="5AC8890E" w14:textId="77777777" w:rsidR="00AD1F54" w:rsidRPr="00264D5D" w:rsidRDefault="00941227" w:rsidP="00101F62">
            <w:pPr>
              <w:pStyle w:val="ASFKTablenorm"/>
              <w:widowControl w:val="0"/>
              <w:numPr>
                <w:ilvl w:val="0"/>
                <w:numId w:val="146"/>
              </w:numPr>
              <w:ind w:left="284" w:hanging="227"/>
              <w:contextualSpacing w:val="0"/>
              <w:rPr>
                <w:sz w:val="22"/>
                <w:szCs w:val="22"/>
              </w:rPr>
            </w:pPr>
            <w:r w:rsidRPr="00264D5D">
              <w:rPr>
                <w:sz w:val="22"/>
                <w:szCs w:val="22"/>
              </w:rPr>
              <w:t>«ПЗ» – план закупок;</w:t>
            </w:r>
          </w:p>
          <w:p w14:paraId="5A3EBE11" w14:textId="77777777" w:rsidR="00AD1F54" w:rsidRPr="00264D5D" w:rsidRDefault="00FB163B" w:rsidP="00101F62">
            <w:pPr>
              <w:pStyle w:val="af5"/>
              <w:widowControl w:val="0"/>
              <w:numPr>
                <w:ilvl w:val="0"/>
                <w:numId w:val="146"/>
              </w:numPr>
              <w:spacing w:before="60" w:after="60"/>
              <w:ind w:left="284" w:hanging="227"/>
              <w:rPr>
                <w:sz w:val="22"/>
                <w:szCs w:val="22"/>
              </w:rPr>
            </w:pPr>
            <w:r w:rsidRPr="00264D5D">
              <w:rPr>
                <w:sz w:val="22"/>
                <w:szCs w:val="22"/>
              </w:rPr>
              <w:t>«ПГЗ» – план-график закупок</w:t>
            </w:r>
          </w:p>
        </w:tc>
      </w:tr>
    </w:tbl>
    <w:p w14:paraId="2C3DD9FE" w14:textId="77777777" w:rsidR="00AD1F54" w:rsidRPr="00264D5D" w:rsidRDefault="00941227">
      <w:pPr>
        <w:pStyle w:val="31"/>
      </w:pPr>
      <w:bookmarkStart w:id="4414" w:name="_Toc219309823"/>
      <w:r w:rsidRPr="00264D5D">
        <w:t>Описание комплексного типа «tFinanceInfo»</w:t>
      </w:r>
      <w:bookmarkEnd w:id="4414"/>
    </w:p>
    <w:p w14:paraId="5BE0ABDB" w14:textId="77777777" w:rsidR="00AD1F54" w:rsidRPr="00264D5D" w:rsidRDefault="00941227">
      <w:pPr>
        <w:pStyle w:val="ASFKNormal"/>
        <w:widowControl w:val="0"/>
        <w:spacing w:before="60" w:after="120"/>
        <w:contextualSpacing w:val="0"/>
        <w:jc w:val="both"/>
        <w:rPr>
          <w:sz w:val="24"/>
          <w:szCs w:val="24"/>
        </w:rPr>
      </w:pPr>
      <w:r w:rsidRPr="00264D5D">
        <w:rPr>
          <w:sz w:val="24"/>
          <w:szCs w:val="24"/>
        </w:rPr>
        <w:t>Описание комплексного типа «</w:t>
      </w:r>
      <w:r w:rsidRPr="00264D5D">
        <w:rPr>
          <w:sz w:val="24"/>
          <w:szCs w:val="24"/>
          <w:lang w:val="en-US"/>
        </w:rPr>
        <w:t>tF</w:t>
      </w:r>
      <w:r w:rsidRPr="00264D5D">
        <w:rPr>
          <w:sz w:val="24"/>
          <w:szCs w:val="24"/>
        </w:rPr>
        <w:t>inanceInfo» блока «Объем финансового обеспечения».</w:t>
      </w:r>
    </w:p>
    <w:p w14:paraId="552DCE71" w14:textId="7AE8ACB9"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w:instrText>
      </w:r>
      <w:r w:rsidRPr="00264D5D">
        <w:rPr>
          <w:rFonts w:eastAsia="Calibri"/>
          <w:szCs w:val="24"/>
          <w:lang w:val="en-US"/>
        </w:rPr>
        <w:instrText>SEQ</w:instrText>
      </w:r>
      <w:r w:rsidRPr="00264D5D">
        <w:rPr>
          <w:rFonts w:eastAsia="Calibri"/>
          <w:szCs w:val="24"/>
        </w:rPr>
        <w:instrText xml:space="preserve"> Таблица \* </w:instrText>
      </w:r>
      <w:r w:rsidRPr="00264D5D">
        <w:rPr>
          <w:rFonts w:eastAsia="Calibri"/>
          <w:szCs w:val="24"/>
          <w:lang w:val="en-US"/>
        </w:rPr>
        <w:instrText>ARABIC</w:instrText>
      </w:r>
      <w:r w:rsidRPr="00264D5D">
        <w:rPr>
          <w:rFonts w:eastAsia="Calibri"/>
          <w:szCs w:val="24"/>
        </w:rPr>
        <w:instrText xml:space="preserve"> </w:instrText>
      </w:r>
      <w:r w:rsidRPr="00264D5D">
        <w:rPr>
          <w:rFonts w:eastAsia="Calibri"/>
          <w:szCs w:val="24"/>
        </w:rPr>
        <w:fldChar w:fldCharType="separate"/>
      </w:r>
      <w:bookmarkStart w:id="4415" w:name="_Ref465954138"/>
      <w:bookmarkStart w:id="4416" w:name="_Toc30503427"/>
      <w:bookmarkStart w:id="4417" w:name="_Toc30508025"/>
      <w:bookmarkStart w:id="4418" w:name="_Toc219309366"/>
      <w:r w:rsidR="008D797C">
        <w:rPr>
          <w:rFonts w:eastAsia="Calibri"/>
          <w:noProof/>
          <w:szCs w:val="24"/>
          <w:lang w:val="en-US"/>
        </w:rPr>
        <w:t>336</w:t>
      </w:r>
      <w:bookmarkEnd w:id="4415"/>
      <w:r w:rsidRPr="00264D5D">
        <w:rPr>
          <w:rFonts w:eastAsia="Calibri"/>
          <w:szCs w:val="24"/>
        </w:rPr>
        <w:fldChar w:fldCharType="end"/>
      </w:r>
      <w:r w:rsidRPr="00264D5D">
        <w:rPr>
          <w:rFonts w:eastAsia="Calibri"/>
          <w:szCs w:val="24"/>
        </w:rPr>
        <w:t xml:space="preserve"> – Описание комплексного типа «</w:t>
      </w:r>
      <w:r w:rsidRPr="00264D5D">
        <w:rPr>
          <w:rFonts w:eastAsia="Calibri"/>
          <w:szCs w:val="24"/>
          <w:lang w:val="en-US"/>
        </w:rPr>
        <w:t>t</w:t>
      </w:r>
      <w:r w:rsidRPr="00264D5D">
        <w:rPr>
          <w:szCs w:val="24"/>
          <w:lang w:val="en-US"/>
        </w:rPr>
        <w:t>F</w:t>
      </w:r>
      <w:r w:rsidRPr="00264D5D">
        <w:rPr>
          <w:szCs w:val="24"/>
        </w:rPr>
        <w:t>inanceInfo</w:t>
      </w:r>
      <w:r w:rsidRPr="00264D5D">
        <w:rPr>
          <w:rFonts w:eastAsia="Calibri"/>
          <w:szCs w:val="24"/>
        </w:rPr>
        <w:t>»</w:t>
      </w:r>
      <w:bookmarkEnd w:id="4416"/>
      <w:bookmarkEnd w:id="4417"/>
      <w:bookmarkEnd w:id="4418"/>
    </w:p>
    <w:tbl>
      <w:tblPr>
        <w:tblStyle w:val="GOSTTable"/>
        <w:tblW w:w="5000" w:type="pct"/>
        <w:tblLayout w:type="fixed"/>
        <w:tblLook w:val="04A0" w:firstRow="1" w:lastRow="0" w:firstColumn="1" w:lastColumn="0" w:noHBand="0" w:noVBand="1"/>
      </w:tblPr>
      <w:tblGrid>
        <w:gridCol w:w="1704"/>
        <w:gridCol w:w="1704"/>
        <w:gridCol w:w="565"/>
        <w:gridCol w:w="1143"/>
        <w:gridCol w:w="564"/>
        <w:gridCol w:w="3970"/>
      </w:tblGrid>
      <w:tr w:rsidR="00AD1F54" w:rsidRPr="00264D5D" w14:paraId="5675BB9F" w14:textId="77777777" w:rsidTr="00AD1F54">
        <w:trPr>
          <w:cnfStyle w:val="100000000000" w:firstRow="1" w:lastRow="0" w:firstColumn="0" w:lastColumn="0" w:oddVBand="0" w:evenVBand="0" w:oddHBand="0" w:evenHBand="0" w:firstRowFirstColumn="0" w:firstRowLastColumn="0" w:lastRowFirstColumn="0" w:lastRowLastColumn="0"/>
          <w:trHeight w:val="282"/>
          <w:tblHeader/>
        </w:trPr>
        <w:tc>
          <w:tcPr>
            <w:tcW w:w="883" w:type="pct"/>
          </w:tcPr>
          <w:p w14:paraId="5955B5BE" w14:textId="77777777" w:rsidR="00AD1F54" w:rsidRPr="00264D5D" w:rsidRDefault="00941227">
            <w:pPr>
              <w:widowControl w:val="0"/>
              <w:spacing w:before="60" w:after="60"/>
              <w:jc w:val="center"/>
              <w:rPr>
                <w:b/>
                <w:bCs/>
                <w:sz w:val="22"/>
                <w:szCs w:val="22"/>
                <w:lang w:val="en-US"/>
              </w:rPr>
            </w:pPr>
            <w:r w:rsidRPr="00264D5D">
              <w:rPr>
                <w:b/>
                <w:bCs/>
                <w:sz w:val="22"/>
                <w:szCs w:val="22"/>
              </w:rPr>
              <w:t>Наименование комплексного типа</w:t>
            </w:r>
          </w:p>
        </w:tc>
        <w:tc>
          <w:tcPr>
            <w:tcW w:w="883" w:type="pct"/>
          </w:tcPr>
          <w:p w14:paraId="482A1B0E" w14:textId="77777777" w:rsidR="00AD1F54" w:rsidRPr="00264D5D" w:rsidRDefault="00941227">
            <w:pPr>
              <w:widowControl w:val="0"/>
              <w:spacing w:before="60" w:after="60"/>
              <w:jc w:val="center"/>
              <w:rPr>
                <w:b/>
                <w:bCs/>
                <w:sz w:val="22"/>
                <w:szCs w:val="22"/>
              </w:rPr>
            </w:pPr>
            <w:r w:rsidRPr="00264D5D">
              <w:rPr>
                <w:b/>
                <w:bCs/>
                <w:sz w:val="22"/>
                <w:szCs w:val="22"/>
              </w:rPr>
              <w:t>Текущий элемент/</w:t>
            </w:r>
            <w:r w:rsidRPr="00264D5D">
              <w:rPr>
                <w:b/>
                <w:bCs/>
                <w:sz w:val="22"/>
                <w:szCs w:val="22"/>
                <w:lang w:val="en-US"/>
              </w:rPr>
              <w:t xml:space="preserve"> </w:t>
            </w:r>
            <w:r w:rsidRPr="00264D5D">
              <w:rPr>
                <w:b/>
                <w:bCs/>
                <w:sz w:val="22"/>
                <w:szCs w:val="22"/>
              </w:rPr>
              <w:t>атрибут</w:t>
            </w:r>
          </w:p>
        </w:tc>
        <w:tc>
          <w:tcPr>
            <w:tcW w:w="293" w:type="pct"/>
          </w:tcPr>
          <w:p w14:paraId="125CCA8B" w14:textId="77777777" w:rsidR="00AD1F54" w:rsidRPr="00264D5D" w:rsidRDefault="00941227">
            <w:pPr>
              <w:widowControl w:val="0"/>
              <w:spacing w:before="60" w:after="60"/>
              <w:jc w:val="center"/>
              <w:rPr>
                <w:b/>
                <w:sz w:val="22"/>
                <w:szCs w:val="22"/>
              </w:rPr>
            </w:pPr>
            <w:r w:rsidRPr="00264D5D">
              <w:rPr>
                <w:b/>
                <w:bCs/>
                <w:sz w:val="22"/>
                <w:szCs w:val="22"/>
              </w:rPr>
              <w:t>Тип</w:t>
            </w:r>
          </w:p>
        </w:tc>
        <w:tc>
          <w:tcPr>
            <w:tcW w:w="592" w:type="pct"/>
          </w:tcPr>
          <w:p w14:paraId="0CD303E7" w14:textId="77777777" w:rsidR="00AD1F54" w:rsidRPr="00264D5D" w:rsidRDefault="00941227">
            <w:pPr>
              <w:widowControl w:val="0"/>
              <w:spacing w:before="60" w:after="60"/>
              <w:jc w:val="center"/>
              <w:rPr>
                <w:b/>
                <w:sz w:val="22"/>
                <w:szCs w:val="22"/>
              </w:rPr>
            </w:pPr>
            <w:r w:rsidRPr="00264D5D">
              <w:rPr>
                <w:b/>
                <w:bCs/>
                <w:sz w:val="22"/>
                <w:szCs w:val="22"/>
              </w:rPr>
              <w:t>Формат элемента</w:t>
            </w:r>
          </w:p>
        </w:tc>
        <w:tc>
          <w:tcPr>
            <w:tcW w:w="292" w:type="pct"/>
          </w:tcPr>
          <w:p w14:paraId="16495A63" w14:textId="77777777" w:rsidR="00AD1F54" w:rsidRPr="00264D5D" w:rsidRDefault="00941227">
            <w:pPr>
              <w:widowControl w:val="0"/>
              <w:spacing w:before="60" w:after="60"/>
              <w:jc w:val="center"/>
              <w:rPr>
                <w:b/>
                <w:bCs/>
                <w:sz w:val="22"/>
                <w:szCs w:val="22"/>
              </w:rPr>
            </w:pPr>
            <w:r w:rsidRPr="00264D5D">
              <w:rPr>
                <w:b/>
                <w:bCs/>
                <w:sz w:val="22"/>
                <w:szCs w:val="22"/>
              </w:rPr>
              <w:t>Обязательность</w:t>
            </w:r>
          </w:p>
        </w:tc>
        <w:tc>
          <w:tcPr>
            <w:tcW w:w="2057" w:type="pct"/>
          </w:tcPr>
          <w:p w14:paraId="171D348D" w14:textId="77777777" w:rsidR="00AD1F54" w:rsidRPr="00264D5D" w:rsidRDefault="00941227">
            <w:pPr>
              <w:widowControl w:val="0"/>
              <w:spacing w:before="60" w:after="60"/>
              <w:jc w:val="center"/>
              <w:rPr>
                <w:b/>
                <w:bCs/>
                <w:sz w:val="22"/>
                <w:szCs w:val="22"/>
              </w:rPr>
            </w:pPr>
            <w:r w:rsidRPr="00264D5D">
              <w:rPr>
                <w:b/>
                <w:bCs/>
                <w:sz w:val="22"/>
                <w:szCs w:val="22"/>
              </w:rPr>
              <w:t>Дополнительная информация</w:t>
            </w:r>
          </w:p>
        </w:tc>
      </w:tr>
      <w:tr w:rsidR="00AD1F54" w:rsidRPr="00264D5D" w14:paraId="3B4CF71D" w14:textId="77777777" w:rsidTr="00AD1F54">
        <w:trPr>
          <w:cnfStyle w:val="000000100000" w:firstRow="0" w:lastRow="0" w:firstColumn="0" w:lastColumn="0" w:oddVBand="0" w:evenVBand="0" w:oddHBand="1" w:evenHBand="0" w:firstRowFirstColumn="0" w:firstRowLastColumn="0" w:lastRowFirstColumn="0" w:lastRowLastColumn="0"/>
          <w:trHeight w:val="282"/>
        </w:trPr>
        <w:tc>
          <w:tcPr>
            <w:tcW w:w="883" w:type="pct"/>
          </w:tcPr>
          <w:p w14:paraId="7DAB97A7" w14:textId="77777777" w:rsidR="00AD1F54" w:rsidRPr="00264D5D" w:rsidRDefault="00941227">
            <w:pPr>
              <w:widowControl w:val="0"/>
              <w:spacing w:before="60" w:after="60"/>
              <w:rPr>
                <w:sz w:val="22"/>
                <w:szCs w:val="22"/>
              </w:rPr>
            </w:pPr>
            <w:r w:rsidRPr="00264D5D">
              <w:rPr>
                <w:sz w:val="22"/>
                <w:szCs w:val="22"/>
                <w:lang w:val="en-US"/>
              </w:rPr>
              <w:t>tF</w:t>
            </w:r>
            <w:r w:rsidRPr="00264D5D">
              <w:rPr>
                <w:sz w:val="22"/>
                <w:szCs w:val="22"/>
              </w:rPr>
              <w:t>inanceInfo</w:t>
            </w:r>
          </w:p>
        </w:tc>
        <w:tc>
          <w:tcPr>
            <w:tcW w:w="883" w:type="pct"/>
          </w:tcPr>
          <w:p w14:paraId="3AE5DA27" w14:textId="77777777" w:rsidR="00AD1F54" w:rsidRPr="00264D5D" w:rsidRDefault="00941227">
            <w:pPr>
              <w:widowControl w:val="0"/>
              <w:tabs>
                <w:tab w:val="left" w:pos="1122"/>
              </w:tabs>
              <w:spacing w:before="60" w:after="60"/>
              <w:rPr>
                <w:sz w:val="22"/>
                <w:szCs w:val="22"/>
                <w:lang w:val="en-US"/>
              </w:rPr>
            </w:pPr>
            <w:r w:rsidRPr="00264D5D">
              <w:rPr>
                <w:sz w:val="22"/>
                <w:szCs w:val="22"/>
                <w:lang w:val="en-US"/>
              </w:rPr>
              <w:t>financeInfoItem</w:t>
            </w:r>
          </w:p>
        </w:tc>
        <w:tc>
          <w:tcPr>
            <w:tcW w:w="293" w:type="pct"/>
          </w:tcPr>
          <w:p w14:paraId="1EEEE702" w14:textId="77777777" w:rsidR="00AD1F54" w:rsidRPr="00264D5D" w:rsidRDefault="00941227">
            <w:pPr>
              <w:widowControl w:val="0"/>
              <w:spacing w:before="60" w:after="60"/>
              <w:jc w:val="center"/>
              <w:rPr>
                <w:sz w:val="22"/>
                <w:szCs w:val="22"/>
              </w:rPr>
            </w:pPr>
            <w:r w:rsidRPr="00264D5D">
              <w:rPr>
                <w:sz w:val="22"/>
                <w:szCs w:val="22"/>
              </w:rPr>
              <w:t>С</w:t>
            </w:r>
          </w:p>
        </w:tc>
        <w:tc>
          <w:tcPr>
            <w:tcW w:w="592" w:type="pct"/>
          </w:tcPr>
          <w:p w14:paraId="4E20ED3A" w14:textId="77777777" w:rsidR="00AD1F54" w:rsidRPr="00264D5D" w:rsidRDefault="00941227">
            <w:pPr>
              <w:widowControl w:val="0"/>
              <w:spacing w:before="60" w:after="60"/>
              <w:jc w:val="left"/>
              <w:rPr>
                <w:sz w:val="22"/>
                <w:szCs w:val="22"/>
              </w:rPr>
            </w:pPr>
            <w:r w:rsidRPr="00264D5D">
              <w:rPr>
                <w:sz w:val="22"/>
                <w:szCs w:val="22"/>
                <w:lang w:val="en-US"/>
              </w:rPr>
              <w:t>tFinanceInfoItem</w:t>
            </w:r>
          </w:p>
        </w:tc>
        <w:tc>
          <w:tcPr>
            <w:tcW w:w="292" w:type="pct"/>
          </w:tcPr>
          <w:p w14:paraId="60399812" w14:textId="77777777" w:rsidR="00AD1F54" w:rsidRPr="00264D5D" w:rsidRDefault="00941227">
            <w:pPr>
              <w:widowControl w:val="0"/>
              <w:spacing w:before="60" w:after="60"/>
              <w:jc w:val="center"/>
              <w:rPr>
                <w:sz w:val="22"/>
                <w:szCs w:val="22"/>
              </w:rPr>
            </w:pPr>
            <w:r w:rsidRPr="00264D5D">
              <w:rPr>
                <w:sz w:val="22"/>
                <w:szCs w:val="22"/>
              </w:rPr>
              <w:t>ОМ</w:t>
            </w:r>
          </w:p>
        </w:tc>
        <w:tc>
          <w:tcPr>
            <w:tcW w:w="2057" w:type="pct"/>
          </w:tcPr>
          <w:p w14:paraId="1C8BC7C1" w14:textId="77777777" w:rsidR="00AD1F54" w:rsidRPr="00264D5D" w:rsidRDefault="00941227">
            <w:pPr>
              <w:widowControl w:val="0"/>
              <w:spacing w:before="60" w:after="60"/>
              <w:rPr>
                <w:sz w:val="22"/>
                <w:szCs w:val="22"/>
              </w:rPr>
            </w:pPr>
            <w:r w:rsidRPr="00264D5D">
              <w:rPr>
                <w:sz w:val="22"/>
                <w:szCs w:val="22"/>
              </w:rPr>
              <w:t>Объем финансового обеспечения.</w:t>
            </w:r>
          </w:p>
          <w:p w14:paraId="397AE917" w14:textId="412FCF40" w:rsidR="00AD1F54" w:rsidRPr="00264D5D" w:rsidRDefault="00941227">
            <w:pPr>
              <w:widowControl w:val="0"/>
              <w:spacing w:before="60" w:after="60"/>
              <w:rPr>
                <w:sz w:val="22"/>
                <w:szCs w:val="22"/>
              </w:rPr>
            </w:pPr>
            <w:r w:rsidRPr="00264D5D">
              <w:rPr>
                <w:sz w:val="22"/>
                <w:szCs w:val="22"/>
              </w:rPr>
              <w:t xml:space="preserve">Состав элемента представлен в таблице </w:t>
            </w:r>
            <w:r w:rsidRPr="00264D5D">
              <w:rPr>
                <w:sz w:val="22"/>
                <w:szCs w:val="22"/>
              </w:rPr>
              <w:fldChar w:fldCharType="begin"/>
            </w:r>
            <w:r w:rsidRPr="00264D5D">
              <w:rPr>
                <w:sz w:val="22"/>
                <w:szCs w:val="22"/>
              </w:rPr>
              <w:instrText xml:space="preserve"> REF _Ref466416159 \h  \* MERGEFORMAT </w:instrText>
            </w:r>
            <w:r w:rsidRPr="00264D5D">
              <w:rPr>
                <w:sz w:val="22"/>
                <w:szCs w:val="22"/>
              </w:rPr>
            </w:r>
            <w:r w:rsidRPr="00264D5D">
              <w:rPr>
                <w:sz w:val="22"/>
                <w:szCs w:val="22"/>
              </w:rPr>
              <w:fldChar w:fldCharType="separate"/>
            </w:r>
            <w:r w:rsidR="008D797C" w:rsidRPr="008D797C">
              <w:rPr>
                <w:rFonts w:eastAsia="Calibri"/>
                <w:b/>
                <w:sz w:val="22"/>
                <w:szCs w:val="22"/>
              </w:rPr>
              <w:t>337</w:t>
            </w:r>
            <w:r w:rsidRPr="00264D5D">
              <w:rPr>
                <w:sz w:val="22"/>
                <w:szCs w:val="22"/>
              </w:rPr>
              <w:fldChar w:fldCharType="end"/>
            </w:r>
          </w:p>
        </w:tc>
      </w:tr>
    </w:tbl>
    <w:p w14:paraId="12B0F29F" w14:textId="77777777" w:rsidR="00AD1F54" w:rsidRPr="00264D5D" w:rsidRDefault="00941227">
      <w:pPr>
        <w:pStyle w:val="31"/>
      </w:pPr>
      <w:bookmarkStart w:id="4419" w:name="_Toc219309824"/>
      <w:r w:rsidRPr="00264D5D">
        <w:t>Описание комплексного типа «tFinanceInfoItem»</w:t>
      </w:r>
      <w:bookmarkEnd w:id="4419"/>
    </w:p>
    <w:p w14:paraId="2958847F" w14:textId="77777777" w:rsidR="00AD1F54" w:rsidRPr="00264D5D" w:rsidRDefault="00941227">
      <w:pPr>
        <w:pStyle w:val="ASFKNormal"/>
        <w:widowControl w:val="0"/>
        <w:spacing w:before="60" w:after="120"/>
        <w:contextualSpacing w:val="0"/>
        <w:jc w:val="both"/>
        <w:rPr>
          <w:sz w:val="24"/>
          <w:szCs w:val="24"/>
        </w:rPr>
      </w:pPr>
      <w:r w:rsidRPr="00264D5D">
        <w:rPr>
          <w:sz w:val="24"/>
          <w:szCs w:val="24"/>
        </w:rPr>
        <w:t>Описание комплексного типа «</w:t>
      </w:r>
      <w:r w:rsidRPr="00264D5D">
        <w:rPr>
          <w:sz w:val="24"/>
          <w:szCs w:val="24"/>
          <w:lang w:val="en-US"/>
        </w:rPr>
        <w:t>tF</w:t>
      </w:r>
      <w:r w:rsidRPr="00264D5D">
        <w:rPr>
          <w:sz w:val="24"/>
          <w:szCs w:val="24"/>
        </w:rPr>
        <w:t>inanceInfoItem» строк блока «Объем финансового обеспечения».</w:t>
      </w:r>
    </w:p>
    <w:p w14:paraId="43DFC198" w14:textId="66635D8F" w:rsidR="00AD1F54" w:rsidRPr="00264D5D" w:rsidRDefault="00941227">
      <w:pPr>
        <w:pStyle w:val="GOSTNameTable"/>
        <w:numPr>
          <w:ilvl w:val="0"/>
          <w:numId w:val="2"/>
        </w:numPr>
        <w:ind w:left="425" w:hanging="357"/>
        <w:rPr>
          <w:rFonts w:eastAsia="Calibri"/>
          <w:szCs w:val="24"/>
        </w:rPr>
      </w:pPr>
      <w:r w:rsidRPr="00264D5D">
        <w:rPr>
          <w:rFonts w:eastAsia="Calibri"/>
          <w:szCs w:val="24"/>
        </w:rPr>
        <w:lastRenderedPageBreak/>
        <w:fldChar w:fldCharType="begin"/>
      </w:r>
      <w:r w:rsidRPr="00264D5D">
        <w:rPr>
          <w:rFonts w:eastAsia="Calibri"/>
          <w:szCs w:val="24"/>
        </w:rPr>
        <w:instrText xml:space="preserve"> </w:instrText>
      </w:r>
      <w:r w:rsidRPr="00264D5D">
        <w:rPr>
          <w:rFonts w:eastAsia="Calibri"/>
          <w:szCs w:val="24"/>
          <w:lang w:val="en-US"/>
        </w:rPr>
        <w:instrText>SEQ</w:instrText>
      </w:r>
      <w:r w:rsidRPr="00264D5D">
        <w:rPr>
          <w:rFonts w:eastAsia="Calibri"/>
          <w:szCs w:val="24"/>
        </w:rPr>
        <w:instrText xml:space="preserve"> Таблица \* </w:instrText>
      </w:r>
      <w:r w:rsidRPr="00264D5D">
        <w:rPr>
          <w:rFonts w:eastAsia="Calibri"/>
          <w:szCs w:val="24"/>
          <w:lang w:val="en-US"/>
        </w:rPr>
        <w:instrText>ARABIC</w:instrText>
      </w:r>
      <w:r w:rsidRPr="00264D5D">
        <w:rPr>
          <w:rFonts w:eastAsia="Calibri"/>
          <w:szCs w:val="24"/>
        </w:rPr>
        <w:instrText xml:space="preserve"> </w:instrText>
      </w:r>
      <w:r w:rsidRPr="00264D5D">
        <w:rPr>
          <w:rFonts w:eastAsia="Calibri"/>
          <w:szCs w:val="24"/>
        </w:rPr>
        <w:fldChar w:fldCharType="separate"/>
      </w:r>
      <w:bookmarkStart w:id="4420" w:name="_Ref466416159"/>
      <w:bookmarkStart w:id="4421" w:name="_Toc30503428"/>
      <w:bookmarkStart w:id="4422" w:name="_Toc30508026"/>
      <w:bookmarkStart w:id="4423" w:name="_Toc219309367"/>
      <w:r w:rsidR="008D797C">
        <w:rPr>
          <w:rFonts w:eastAsia="Calibri"/>
          <w:noProof/>
          <w:szCs w:val="24"/>
          <w:lang w:val="en-US"/>
        </w:rPr>
        <w:t>337</w:t>
      </w:r>
      <w:bookmarkEnd w:id="4420"/>
      <w:r w:rsidRPr="00264D5D">
        <w:rPr>
          <w:rFonts w:eastAsia="Calibri"/>
          <w:szCs w:val="24"/>
        </w:rPr>
        <w:fldChar w:fldCharType="end"/>
      </w:r>
      <w:r w:rsidRPr="00264D5D">
        <w:rPr>
          <w:rFonts w:eastAsia="Calibri"/>
          <w:szCs w:val="24"/>
        </w:rPr>
        <w:t xml:space="preserve"> – Описание комплексного типа «</w:t>
      </w:r>
      <w:r w:rsidRPr="00264D5D">
        <w:rPr>
          <w:rFonts w:eastAsia="Calibri"/>
          <w:szCs w:val="24"/>
          <w:lang w:val="en-US"/>
        </w:rPr>
        <w:t>tF</w:t>
      </w:r>
      <w:r w:rsidRPr="00264D5D">
        <w:rPr>
          <w:rFonts w:eastAsia="Calibri"/>
          <w:szCs w:val="24"/>
        </w:rPr>
        <w:t>inanceInfoItem»</w:t>
      </w:r>
      <w:bookmarkEnd w:id="4421"/>
      <w:bookmarkEnd w:id="4422"/>
      <w:bookmarkEnd w:id="4423"/>
    </w:p>
    <w:tbl>
      <w:tblPr>
        <w:tblStyle w:val="GOSTTable"/>
        <w:tblW w:w="5000" w:type="pct"/>
        <w:tblLayout w:type="fixed"/>
        <w:tblLook w:val="04A0" w:firstRow="1" w:lastRow="0" w:firstColumn="1" w:lastColumn="0" w:noHBand="0" w:noVBand="1"/>
      </w:tblPr>
      <w:tblGrid>
        <w:gridCol w:w="1705"/>
        <w:gridCol w:w="1706"/>
        <w:gridCol w:w="569"/>
        <w:gridCol w:w="1135"/>
        <w:gridCol w:w="567"/>
        <w:gridCol w:w="3968"/>
      </w:tblGrid>
      <w:tr w:rsidR="00AD1F54" w:rsidRPr="00264D5D" w14:paraId="4B4DFD33"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3" w:type="pct"/>
          </w:tcPr>
          <w:p w14:paraId="7A12CCAA" w14:textId="77777777" w:rsidR="00AD1F54" w:rsidRPr="00264D5D" w:rsidRDefault="00941227">
            <w:pPr>
              <w:widowControl w:val="0"/>
              <w:spacing w:before="60" w:after="60"/>
              <w:jc w:val="center"/>
              <w:rPr>
                <w:b/>
                <w:bCs/>
                <w:sz w:val="22"/>
                <w:szCs w:val="22"/>
              </w:rPr>
            </w:pPr>
            <w:r w:rsidRPr="00264D5D">
              <w:rPr>
                <w:b/>
                <w:bCs/>
                <w:sz w:val="22"/>
                <w:szCs w:val="22"/>
              </w:rPr>
              <w:t>Наименование элемента</w:t>
            </w:r>
          </w:p>
        </w:tc>
        <w:tc>
          <w:tcPr>
            <w:tcW w:w="884" w:type="pct"/>
          </w:tcPr>
          <w:p w14:paraId="3E429DE7" w14:textId="77777777" w:rsidR="00AD1F54" w:rsidRPr="00264D5D" w:rsidRDefault="00941227">
            <w:pPr>
              <w:widowControl w:val="0"/>
              <w:spacing w:before="60" w:after="60"/>
              <w:jc w:val="center"/>
              <w:rPr>
                <w:b/>
                <w:bCs/>
                <w:sz w:val="22"/>
                <w:szCs w:val="22"/>
              </w:rPr>
            </w:pPr>
            <w:r w:rsidRPr="00264D5D">
              <w:rPr>
                <w:b/>
                <w:bCs/>
                <w:sz w:val="22"/>
                <w:szCs w:val="22"/>
              </w:rPr>
              <w:t>Сокращенное наименование (код) элемента</w:t>
            </w:r>
          </w:p>
        </w:tc>
        <w:tc>
          <w:tcPr>
            <w:tcW w:w="295" w:type="pct"/>
          </w:tcPr>
          <w:p w14:paraId="1CB08268" w14:textId="77777777" w:rsidR="00AD1F54" w:rsidRPr="00264D5D" w:rsidRDefault="00941227">
            <w:pPr>
              <w:widowControl w:val="0"/>
              <w:spacing w:before="60" w:after="60"/>
              <w:jc w:val="center"/>
              <w:rPr>
                <w:b/>
                <w:sz w:val="22"/>
                <w:szCs w:val="22"/>
              </w:rPr>
            </w:pPr>
            <w:r w:rsidRPr="00264D5D">
              <w:rPr>
                <w:b/>
                <w:bCs/>
                <w:sz w:val="22"/>
                <w:szCs w:val="22"/>
              </w:rPr>
              <w:t>Тип</w:t>
            </w:r>
          </w:p>
        </w:tc>
        <w:tc>
          <w:tcPr>
            <w:tcW w:w="588" w:type="pct"/>
          </w:tcPr>
          <w:p w14:paraId="3A87A14E" w14:textId="77777777" w:rsidR="00AD1F54" w:rsidRPr="00264D5D" w:rsidRDefault="00941227">
            <w:pPr>
              <w:widowControl w:val="0"/>
              <w:spacing w:before="60" w:after="60"/>
              <w:jc w:val="center"/>
              <w:rPr>
                <w:b/>
                <w:bCs/>
                <w:sz w:val="22"/>
                <w:szCs w:val="22"/>
              </w:rPr>
            </w:pPr>
            <w:r w:rsidRPr="00264D5D">
              <w:rPr>
                <w:b/>
                <w:bCs/>
                <w:sz w:val="22"/>
                <w:szCs w:val="22"/>
              </w:rPr>
              <w:t>Формат элемента</w:t>
            </w:r>
          </w:p>
        </w:tc>
        <w:tc>
          <w:tcPr>
            <w:tcW w:w="294" w:type="pct"/>
          </w:tcPr>
          <w:p w14:paraId="0043F8CB" w14:textId="77777777" w:rsidR="00AD1F54" w:rsidRPr="00264D5D" w:rsidRDefault="00941227">
            <w:pPr>
              <w:widowControl w:val="0"/>
              <w:spacing w:before="60" w:after="60"/>
              <w:jc w:val="center"/>
              <w:rPr>
                <w:b/>
                <w:sz w:val="22"/>
                <w:szCs w:val="22"/>
              </w:rPr>
            </w:pPr>
            <w:r w:rsidRPr="00264D5D">
              <w:rPr>
                <w:b/>
                <w:bCs/>
                <w:sz w:val="22"/>
                <w:szCs w:val="22"/>
              </w:rPr>
              <w:t>Обязательность</w:t>
            </w:r>
          </w:p>
        </w:tc>
        <w:tc>
          <w:tcPr>
            <w:tcW w:w="2056" w:type="pct"/>
          </w:tcPr>
          <w:p w14:paraId="4AAC33DA" w14:textId="77777777" w:rsidR="00AD1F54" w:rsidRPr="00264D5D" w:rsidRDefault="00941227">
            <w:pPr>
              <w:widowControl w:val="0"/>
              <w:spacing w:before="60" w:after="60"/>
              <w:jc w:val="center"/>
              <w:rPr>
                <w:b/>
                <w:bCs/>
                <w:sz w:val="22"/>
                <w:szCs w:val="22"/>
              </w:rPr>
            </w:pPr>
            <w:r w:rsidRPr="00264D5D">
              <w:rPr>
                <w:b/>
                <w:bCs/>
                <w:sz w:val="22"/>
                <w:szCs w:val="22"/>
              </w:rPr>
              <w:t>Дополнительная информация</w:t>
            </w:r>
          </w:p>
        </w:tc>
      </w:tr>
      <w:tr w:rsidR="00AD1F54" w:rsidRPr="00264D5D" w14:paraId="5A96F06E"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09F76EF0" w14:textId="77777777" w:rsidR="00AD1F54" w:rsidRPr="00264D5D" w:rsidRDefault="00941227">
            <w:pPr>
              <w:widowControl w:val="0"/>
              <w:spacing w:before="60" w:after="60"/>
              <w:rPr>
                <w:sz w:val="22"/>
                <w:szCs w:val="22"/>
              </w:rPr>
            </w:pPr>
            <w:r w:rsidRPr="00264D5D">
              <w:rPr>
                <w:sz w:val="22"/>
                <w:szCs w:val="22"/>
              </w:rPr>
              <w:t>Идентификационный код закупки</w:t>
            </w:r>
          </w:p>
        </w:tc>
        <w:tc>
          <w:tcPr>
            <w:tcW w:w="884" w:type="pct"/>
          </w:tcPr>
          <w:p w14:paraId="7467A5C1" w14:textId="77777777" w:rsidR="00AD1F54" w:rsidRPr="00264D5D" w:rsidRDefault="00941227">
            <w:pPr>
              <w:widowControl w:val="0"/>
              <w:spacing w:before="60" w:after="60"/>
              <w:rPr>
                <w:sz w:val="22"/>
                <w:szCs w:val="22"/>
                <w:lang w:val="en-US"/>
              </w:rPr>
            </w:pPr>
            <w:r w:rsidRPr="00264D5D">
              <w:rPr>
                <w:sz w:val="22"/>
                <w:szCs w:val="22"/>
              </w:rPr>
              <w:t>IKZ</w:t>
            </w:r>
          </w:p>
        </w:tc>
        <w:tc>
          <w:tcPr>
            <w:tcW w:w="295" w:type="pct"/>
          </w:tcPr>
          <w:p w14:paraId="474EE2A3" w14:textId="77777777" w:rsidR="00AD1F54" w:rsidRPr="00264D5D" w:rsidRDefault="00941227">
            <w:pPr>
              <w:widowControl w:val="0"/>
              <w:spacing w:before="60" w:after="60"/>
              <w:jc w:val="center"/>
              <w:rPr>
                <w:sz w:val="22"/>
                <w:szCs w:val="22"/>
              </w:rPr>
            </w:pPr>
            <w:r w:rsidRPr="00264D5D">
              <w:rPr>
                <w:sz w:val="22"/>
                <w:szCs w:val="22"/>
              </w:rPr>
              <w:t>П</w:t>
            </w:r>
          </w:p>
        </w:tc>
        <w:tc>
          <w:tcPr>
            <w:tcW w:w="588" w:type="pct"/>
          </w:tcPr>
          <w:p w14:paraId="38595511" w14:textId="77777777" w:rsidR="00AD1F54" w:rsidRPr="00264D5D" w:rsidRDefault="00941227">
            <w:pPr>
              <w:widowControl w:val="0"/>
              <w:spacing w:before="60" w:after="60"/>
              <w:jc w:val="left"/>
              <w:rPr>
                <w:sz w:val="22"/>
                <w:szCs w:val="22"/>
              </w:rPr>
            </w:pPr>
            <w:r w:rsidRPr="00264D5D">
              <w:rPr>
                <w:sz w:val="22"/>
                <w:szCs w:val="22"/>
              </w:rPr>
              <w:t>Т(36)</w:t>
            </w:r>
          </w:p>
        </w:tc>
        <w:tc>
          <w:tcPr>
            <w:tcW w:w="294" w:type="pct"/>
          </w:tcPr>
          <w:p w14:paraId="56213C73" w14:textId="77777777" w:rsidR="00AD1F54" w:rsidRPr="00264D5D" w:rsidRDefault="00941227">
            <w:pPr>
              <w:widowControl w:val="0"/>
              <w:spacing w:before="60" w:after="60"/>
              <w:jc w:val="center"/>
              <w:rPr>
                <w:sz w:val="22"/>
                <w:szCs w:val="22"/>
              </w:rPr>
            </w:pPr>
            <w:r w:rsidRPr="00264D5D">
              <w:rPr>
                <w:sz w:val="22"/>
                <w:szCs w:val="22"/>
              </w:rPr>
              <w:t>О</w:t>
            </w:r>
          </w:p>
        </w:tc>
        <w:tc>
          <w:tcPr>
            <w:tcW w:w="2056" w:type="pct"/>
          </w:tcPr>
          <w:p w14:paraId="5418E85C" w14:textId="77777777" w:rsidR="00AD1F54" w:rsidRPr="00264D5D" w:rsidRDefault="00941227">
            <w:pPr>
              <w:widowControl w:val="0"/>
              <w:spacing w:before="60" w:after="60"/>
              <w:rPr>
                <w:sz w:val="22"/>
                <w:szCs w:val="22"/>
              </w:rPr>
            </w:pPr>
            <w:r w:rsidRPr="00264D5D">
              <w:rPr>
                <w:sz w:val="22"/>
                <w:szCs w:val="22"/>
              </w:rPr>
              <w:t>Указываетс</w:t>
            </w:r>
            <w:r w:rsidR="00FB163B" w:rsidRPr="00264D5D">
              <w:rPr>
                <w:sz w:val="22"/>
                <w:szCs w:val="22"/>
              </w:rPr>
              <w:t>я идентификационный код закупки</w:t>
            </w:r>
          </w:p>
        </w:tc>
      </w:tr>
      <w:tr w:rsidR="00AD1F54" w:rsidRPr="00264D5D" w14:paraId="6E0EB3C7"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3" w:type="pct"/>
          </w:tcPr>
          <w:p w14:paraId="6B929216" w14:textId="77777777" w:rsidR="00AD1F54" w:rsidRPr="00264D5D" w:rsidRDefault="00941227">
            <w:pPr>
              <w:widowControl w:val="0"/>
              <w:spacing w:before="60" w:after="60"/>
              <w:rPr>
                <w:sz w:val="22"/>
                <w:szCs w:val="22"/>
              </w:rPr>
            </w:pPr>
            <w:r w:rsidRPr="00264D5D">
              <w:rPr>
                <w:sz w:val="22"/>
                <w:szCs w:val="22"/>
              </w:rPr>
              <w:t>Сумма на текущий финансовый год</w:t>
            </w:r>
          </w:p>
          <w:p w14:paraId="70FB45EF" w14:textId="77777777" w:rsidR="00AD1F54" w:rsidRPr="00264D5D" w:rsidRDefault="00941227">
            <w:pPr>
              <w:widowControl w:val="0"/>
              <w:spacing w:before="60" w:after="60"/>
              <w:rPr>
                <w:sz w:val="22"/>
                <w:szCs w:val="22"/>
              </w:rPr>
            </w:pPr>
            <w:r w:rsidRPr="00264D5D">
              <w:rPr>
                <w:sz w:val="22"/>
                <w:szCs w:val="22"/>
              </w:rPr>
              <w:t>(руб.)</w:t>
            </w:r>
          </w:p>
        </w:tc>
        <w:tc>
          <w:tcPr>
            <w:tcW w:w="884" w:type="pct"/>
          </w:tcPr>
          <w:p w14:paraId="72B6CA0C" w14:textId="77777777" w:rsidR="00AD1F54" w:rsidRPr="00264D5D" w:rsidRDefault="00941227">
            <w:pPr>
              <w:widowControl w:val="0"/>
              <w:spacing w:before="60" w:after="60"/>
              <w:rPr>
                <w:sz w:val="22"/>
                <w:szCs w:val="22"/>
              </w:rPr>
            </w:pPr>
            <w:r w:rsidRPr="00264D5D">
              <w:rPr>
                <w:sz w:val="22"/>
                <w:szCs w:val="22"/>
              </w:rPr>
              <w:t>currentYear</w:t>
            </w:r>
          </w:p>
        </w:tc>
        <w:tc>
          <w:tcPr>
            <w:tcW w:w="295" w:type="pct"/>
          </w:tcPr>
          <w:p w14:paraId="697221AC" w14:textId="77777777" w:rsidR="00AD1F54" w:rsidRPr="00264D5D" w:rsidRDefault="00941227">
            <w:pPr>
              <w:widowControl w:val="0"/>
              <w:spacing w:before="60" w:after="60"/>
              <w:jc w:val="center"/>
              <w:rPr>
                <w:sz w:val="22"/>
                <w:szCs w:val="22"/>
              </w:rPr>
            </w:pPr>
            <w:r w:rsidRPr="00264D5D">
              <w:rPr>
                <w:sz w:val="22"/>
                <w:szCs w:val="22"/>
              </w:rPr>
              <w:t>П</w:t>
            </w:r>
          </w:p>
        </w:tc>
        <w:tc>
          <w:tcPr>
            <w:tcW w:w="588" w:type="pct"/>
          </w:tcPr>
          <w:p w14:paraId="5A82B24D" w14:textId="77777777" w:rsidR="00AD1F54" w:rsidRPr="00264D5D" w:rsidRDefault="00941227">
            <w:pPr>
              <w:widowControl w:val="0"/>
              <w:spacing w:before="60" w:after="60"/>
              <w:jc w:val="left"/>
              <w:rPr>
                <w:sz w:val="22"/>
                <w:szCs w:val="22"/>
              </w:rPr>
            </w:pPr>
            <w:r w:rsidRPr="00264D5D">
              <w:rPr>
                <w:sz w:val="22"/>
                <w:szCs w:val="22"/>
              </w:rPr>
              <w:t>N(20.2)</w:t>
            </w:r>
          </w:p>
        </w:tc>
        <w:tc>
          <w:tcPr>
            <w:tcW w:w="294" w:type="pct"/>
          </w:tcPr>
          <w:p w14:paraId="62FF269C" w14:textId="77777777" w:rsidR="00AD1F54" w:rsidRPr="00264D5D" w:rsidRDefault="00941227">
            <w:pPr>
              <w:widowControl w:val="0"/>
              <w:spacing w:before="60" w:after="60"/>
              <w:jc w:val="center"/>
              <w:rPr>
                <w:sz w:val="22"/>
                <w:szCs w:val="22"/>
              </w:rPr>
            </w:pPr>
            <w:r w:rsidRPr="00264D5D">
              <w:rPr>
                <w:sz w:val="22"/>
                <w:szCs w:val="22"/>
              </w:rPr>
              <w:t>О</w:t>
            </w:r>
          </w:p>
        </w:tc>
        <w:tc>
          <w:tcPr>
            <w:tcW w:w="2056" w:type="pct"/>
          </w:tcPr>
          <w:p w14:paraId="71792B6D" w14:textId="77777777" w:rsidR="00AD1F54" w:rsidRPr="00264D5D" w:rsidRDefault="00941227">
            <w:pPr>
              <w:widowControl w:val="0"/>
              <w:spacing w:before="60" w:after="60"/>
              <w:rPr>
                <w:sz w:val="22"/>
                <w:szCs w:val="22"/>
              </w:rPr>
            </w:pPr>
            <w:r w:rsidRPr="00264D5D">
              <w:rPr>
                <w:sz w:val="22"/>
                <w:szCs w:val="22"/>
              </w:rPr>
              <w:t>Указывается сумма финансового обеспечения на текущий финансовый год, соответствующая идентификационному коду закупки.</w:t>
            </w:r>
          </w:p>
          <w:p w14:paraId="5083DEFF" w14:textId="77777777" w:rsidR="00AD1F54" w:rsidRPr="00264D5D" w:rsidRDefault="00941227">
            <w:pPr>
              <w:widowControl w:val="0"/>
              <w:spacing w:before="60" w:after="60"/>
              <w:rPr>
                <w:sz w:val="22"/>
                <w:szCs w:val="22"/>
              </w:rPr>
            </w:pPr>
            <w:r w:rsidRPr="00264D5D">
              <w:rPr>
                <w:sz w:val="22"/>
                <w:szCs w:val="22"/>
              </w:rPr>
              <w:t>При отсутст</w:t>
            </w:r>
            <w:r w:rsidR="00FB163B" w:rsidRPr="00264D5D">
              <w:rPr>
                <w:sz w:val="22"/>
                <w:szCs w:val="22"/>
              </w:rPr>
              <w:t>вии значения указывается «0.00»</w:t>
            </w:r>
          </w:p>
        </w:tc>
      </w:tr>
      <w:tr w:rsidR="00AD1F54" w:rsidRPr="00264D5D" w14:paraId="0F9A76FB"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4513BCA6" w14:textId="77777777" w:rsidR="00AD1F54" w:rsidRPr="00264D5D" w:rsidRDefault="00941227">
            <w:pPr>
              <w:widowControl w:val="0"/>
              <w:spacing w:before="60" w:after="60"/>
              <w:rPr>
                <w:sz w:val="22"/>
                <w:szCs w:val="22"/>
              </w:rPr>
            </w:pPr>
            <w:r w:rsidRPr="00264D5D">
              <w:rPr>
                <w:sz w:val="22"/>
                <w:szCs w:val="22"/>
              </w:rPr>
              <w:t>Сумма на первый год планового периода</w:t>
            </w:r>
          </w:p>
          <w:p w14:paraId="213900C0" w14:textId="77777777" w:rsidR="00AD1F54" w:rsidRPr="00264D5D" w:rsidRDefault="00941227">
            <w:pPr>
              <w:widowControl w:val="0"/>
              <w:spacing w:before="60" w:after="60"/>
              <w:rPr>
                <w:sz w:val="22"/>
                <w:szCs w:val="22"/>
              </w:rPr>
            </w:pPr>
            <w:r w:rsidRPr="00264D5D">
              <w:rPr>
                <w:sz w:val="22"/>
                <w:szCs w:val="22"/>
              </w:rPr>
              <w:t>(руб.)</w:t>
            </w:r>
          </w:p>
        </w:tc>
        <w:tc>
          <w:tcPr>
            <w:tcW w:w="884" w:type="pct"/>
          </w:tcPr>
          <w:p w14:paraId="22DE946D" w14:textId="77777777" w:rsidR="00AD1F54" w:rsidRPr="00264D5D" w:rsidRDefault="00941227">
            <w:pPr>
              <w:widowControl w:val="0"/>
              <w:spacing w:before="60" w:after="60"/>
              <w:rPr>
                <w:sz w:val="22"/>
                <w:szCs w:val="22"/>
              </w:rPr>
            </w:pPr>
            <w:r w:rsidRPr="00264D5D">
              <w:rPr>
                <w:sz w:val="22"/>
                <w:szCs w:val="22"/>
              </w:rPr>
              <w:t>firstYear</w:t>
            </w:r>
          </w:p>
        </w:tc>
        <w:tc>
          <w:tcPr>
            <w:tcW w:w="295" w:type="pct"/>
          </w:tcPr>
          <w:p w14:paraId="4FF0E8CC" w14:textId="77777777" w:rsidR="00AD1F54" w:rsidRPr="00264D5D" w:rsidRDefault="00941227">
            <w:pPr>
              <w:widowControl w:val="0"/>
              <w:spacing w:before="60" w:after="60"/>
              <w:jc w:val="center"/>
              <w:rPr>
                <w:sz w:val="22"/>
                <w:szCs w:val="22"/>
              </w:rPr>
            </w:pPr>
            <w:r w:rsidRPr="00264D5D">
              <w:rPr>
                <w:sz w:val="22"/>
                <w:szCs w:val="22"/>
              </w:rPr>
              <w:t>П</w:t>
            </w:r>
          </w:p>
        </w:tc>
        <w:tc>
          <w:tcPr>
            <w:tcW w:w="588" w:type="pct"/>
          </w:tcPr>
          <w:p w14:paraId="681FB3B9" w14:textId="77777777" w:rsidR="00AD1F54" w:rsidRPr="00264D5D" w:rsidRDefault="00941227">
            <w:pPr>
              <w:widowControl w:val="0"/>
              <w:spacing w:before="60" w:after="60"/>
              <w:jc w:val="left"/>
              <w:rPr>
                <w:sz w:val="22"/>
                <w:szCs w:val="22"/>
              </w:rPr>
            </w:pPr>
            <w:r w:rsidRPr="00264D5D">
              <w:rPr>
                <w:sz w:val="22"/>
                <w:szCs w:val="22"/>
              </w:rPr>
              <w:t>N(20.2)</w:t>
            </w:r>
          </w:p>
        </w:tc>
        <w:tc>
          <w:tcPr>
            <w:tcW w:w="294" w:type="pct"/>
          </w:tcPr>
          <w:p w14:paraId="233EA357" w14:textId="77777777" w:rsidR="00AD1F54" w:rsidRPr="00264D5D" w:rsidRDefault="00941227">
            <w:pPr>
              <w:widowControl w:val="0"/>
              <w:spacing w:before="60" w:after="60"/>
              <w:jc w:val="center"/>
              <w:rPr>
                <w:sz w:val="22"/>
                <w:szCs w:val="22"/>
              </w:rPr>
            </w:pPr>
            <w:r w:rsidRPr="00264D5D">
              <w:rPr>
                <w:sz w:val="22"/>
                <w:szCs w:val="22"/>
              </w:rPr>
              <w:t>О</w:t>
            </w:r>
          </w:p>
        </w:tc>
        <w:tc>
          <w:tcPr>
            <w:tcW w:w="2056" w:type="pct"/>
          </w:tcPr>
          <w:p w14:paraId="350CFFFF" w14:textId="77777777" w:rsidR="00AD1F54" w:rsidRPr="00264D5D" w:rsidRDefault="00941227">
            <w:pPr>
              <w:widowControl w:val="0"/>
              <w:spacing w:before="60" w:after="60"/>
              <w:rPr>
                <w:sz w:val="22"/>
                <w:szCs w:val="22"/>
              </w:rPr>
            </w:pPr>
            <w:r w:rsidRPr="00264D5D">
              <w:rPr>
                <w:sz w:val="22"/>
                <w:szCs w:val="22"/>
              </w:rPr>
              <w:t>Указывается сумма финансового обеспечения на первый год планового периода, соответствующая идентификационному коду закупки.</w:t>
            </w:r>
          </w:p>
          <w:p w14:paraId="4EC5A6BD" w14:textId="77777777" w:rsidR="00AD1F54" w:rsidRPr="00264D5D" w:rsidRDefault="00941227">
            <w:pPr>
              <w:widowControl w:val="0"/>
              <w:spacing w:before="60" w:after="60"/>
              <w:rPr>
                <w:sz w:val="22"/>
                <w:szCs w:val="22"/>
              </w:rPr>
            </w:pPr>
            <w:r w:rsidRPr="00264D5D">
              <w:rPr>
                <w:sz w:val="22"/>
                <w:szCs w:val="22"/>
              </w:rPr>
              <w:t>При отсутст</w:t>
            </w:r>
            <w:r w:rsidR="00FB163B" w:rsidRPr="00264D5D">
              <w:rPr>
                <w:sz w:val="22"/>
                <w:szCs w:val="22"/>
              </w:rPr>
              <w:t>вии значения указывается «0.00»</w:t>
            </w:r>
          </w:p>
        </w:tc>
      </w:tr>
      <w:tr w:rsidR="00AD1F54" w:rsidRPr="00264D5D" w14:paraId="136D9AD6"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3" w:type="pct"/>
          </w:tcPr>
          <w:p w14:paraId="33D33840" w14:textId="77777777" w:rsidR="00AD1F54" w:rsidRPr="00264D5D" w:rsidRDefault="00941227">
            <w:pPr>
              <w:widowControl w:val="0"/>
              <w:spacing w:before="60" w:after="60"/>
              <w:rPr>
                <w:sz w:val="22"/>
                <w:szCs w:val="22"/>
              </w:rPr>
            </w:pPr>
            <w:r w:rsidRPr="00264D5D">
              <w:rPr>
                <w:sz w:val="22"/>
                <w:szCs w:val="22"/>
              </w:rPr>
              <w:t>Сумма на второй год планового периода</w:t>
            </w:r>
          </w:p>
          <w:p w14:paraId="4921CA83" w14:textId="77777777" w:rsidR="00AD1F54" w:rsidRPr="00264D5D" w:rsidRDefault="00941227">
            <w:pPr>
              <w:widowControl w:val="0"/>
              <w:spacing w:before="60" w:after="60"/>
              <w:rPr>
                <w:sz w:val="22"/>
                <w:szCs w:val="22"/>
              </w:rPr>
            </w:pPr>
            <w:r w:rsidRPr="00264D5D">
              <w:rPr>
                <w:sz w:val="22"/>
                <w:szCs w:val="22"/>
              </w:rPr>
              <w:t>(руб.)</w:t>
            </w:r>
          </w:p>
        </w:tc>
        <w:tc>
          <w:tcPr>
            <w:tcW w:w="884" w:type="pct"/>
          </w:tcPr>
          <w:p w14:paraId="3062E692" w14:textId="77777777" w:rsidR="00AD1F54" w:rsidRPr="00264D5D" w:rsidRDefault="00941227">
            <w:pPr>
              <w:widowControl w:val="0"/>
              <w:spacing w:before="60" w:after="60"/>
              <w:rPr>
                <w:sz w:val="22"/>
                <w:szCs w:val="22"/>
              </w:rPr>
            </w:pPr>
            <w:r w:rsidRPr="00264D5D">
              <w:rPr>
                <w:sz w:val="22"/>
                <w:szCs w:val="22"/>
              </w:rPr>
              <w:t>secondYear</w:t>
            </w:r>
          </w:p>
        </w:tc>
        <w:tc>
          <w:tcPr>
            <w:tcW w:w="295" w:type="pct"/>
          </w:tcPr>
          <w:p w14:paraId="5D3446DB" w14:textId="77777777" w:rsidR="00AD1F54" w:rsidRPr="00264D5D" w:rsidRDefault="00941227">
            <w:pPr>
              <w:widowControl w:val="0"/>
              <w:spacing w:before="60" w:after="60"/>
              <w:jc w:val="center"/>
              <w:rPr>
                <w:sz w:val="22"/>
                <w:szCs w:val="22"/>
              </w:rPr>
            </w:pPr>
            <w:r w:rsidRPr="00264D5D">
              <w:rPr>
                <w:sz w:val="22"/>
                <w:szCs w:val="22"/>
              </w:rPr>
              <w:t>П</w:t>
            </w:r>
          </w:p>
        </w:tc>
        <w:tc>
          <w:tcPr>
            <w:tcW w:w="588" w:type="pct"/>
          </w:tcPr>
          <w:p w14:paraId="398F14E7" w14:textId="77777777" w:rsidR="00AD1F54" w:rsidRPr="00264D5D" w:rsidRDefault="00941227">
            <w:pPr>
              <w:widowControl w:val="0"/>
              <w:spacing w:before="60" w:after="60"/>
              <w:jc w:val="left"/>
              <w:rPr>
                <w:sz w:val="22"/>
                <w:szCs w:val="22"/>
              </w:rPr>
            </w:pPr>
            <w:r w:rsidRPr="00264D5D">
              <w:rPr>
                <w:sz w:val="22"/>
                <w:szCs w:val="22"/>
              </w:rPr>
              <w:t>N(20.2)</w:t>
            </w:r>
          </w:p>
        </w:tc>
        <w:tc>
          <w:tcPr>
            <w:tcW w:w="294" w:type="pct"/>
          </w:tcPr>
          <w:p w14:paraId="4121B77D" w14:textId="77777777" w:rsidR="00AD1F54" w:rsidRPr="00264D5D" w:rsidRDefault="00941227">
            <w:pPr>
              <w:widowControl w:val="0"/>
              <w:spacing w:before="60" w:after="60"/>
              <w:jc w:val="center"/>
              <w:rPr>
                <w:sz w:val="22"/>
                <w:szCs w:val="22"/>
              </w:rPr>
            </w:pPr>
            <w:r w:rsidRPr="00264D5D">
              <w:rPr>
                <w:sz w:val="22"/>
                <w:szCs w:val="22"/>
              </w:rPr>
              <w:t>О</w:t>
            </w:r>
          </w:p>
        </w:tc>
        <w:tc>
          <w:tcPr>
            <w:tcW w:w="2056" w:type="pct"/>
          </w:tcPr>
          <w:p w14:paraId="4588FA85" w14:textId="77777777" w:rsidR="00AD1F54" w:rsidRPr="00264D5D" w:rsidRDefault="00941227">
            <w:pPr>
              <w:widowControl w:val="0"/>
              <w:spacing w:before="60" w:after="60"/>
              <w:rPr>
                <w:sz w:val="22"/>
                <w:szCs w:val="22"/>
              </w:rPr>
            </w:pPr>
            <w:r w:rsidRPr="00264D5D">
              <w:rPr>
                <w:sz w:val="22"/>
                <w:szCs w:val="22"/>
              </w:rPr>
              <w:t>Указывается сумма финансового обеспечения на второй год планового периода, соответствующая идентификационному коду закупки.</w:t>
            </w:r>
          </w:p>
          <w:p w14:paraId="32FF9E6D" w14:textId="77777777" w:rsidR="00AD1F54" w:rsidRPr="00264D5D" w:rsidRDefault="00941227">
            <w:pPr>
              <w:widowControl w:val="0"/>
              <w:spacing w:before="60" w:after="60"/>
              <w:rPr>
                <w:sz w:val="22"/>
                <w:szCs w:val="22"/>
              </w:rPr>
            </w:pPr>
            <w:r w:rsidRPr="00264D5D">
              <w:rPr>
                <w:sz w:val="22"/>
                <w:szCs w:val="22"/>
              </w:rPr>
              <w:t>При отсутст</w:t>
            </w:r>
            <w:r w:rsidR="00FB163B" w:rsidRPr="00264D5D">
              <w:rPr>
                <w:sz w:val="22"/>
                <w:szCs w:val="22"/>
              </w:rPr>
              <w:t>вии значения указывается «0.00»</w:t>
            </w:r>
          </w:p>
        </w:tc>
      </w:tr>
      <w:tr w:rsidR="00AD1F54" w:rsidRPr="00264D5D" w14:paraId="3C110EBF"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6ED9B20C" w14:textId="77777777" w:rsidR="00AD1F54" w:rsidRPr="00264D5D" w:rsidRDefault="00941227">
            <w:pPr>
              <w:widowControl w:val="0"/>
              <w:spacing w:before="60" w:after="60"/>
              <w:rPr>
                <w:sz w:val="22"/>
                <w:szCs w:val="22"/>
              </w:rPr>
            </w:pPr>
            <w:r w:rsidRPr="00264D5D">
              <w:rPr>
                <w:sz w:val="22"/>
                <w:szCs w:val="22"/>
              </w:rPr>
              <w:t>Сумма на последующие периоды</w:t>
            </w:r>
          </w:p>
          <w:p w14:paraId="309059F1" w14:textId="77777777" w:rsidR="00AD1F54" w:rsidRPr="00264D5D" w:rsidRDefault="00941227">
            <w:pPr>
              <w:widowControl w:val="0"/>
              <w:spacing w:before="60" w:after="60"/>
              <w:rPr>
                <w:sz w:val="22"/>
                <w:szCs w:val="22"/>
              </w:rPr>
            </w:pPr>
            <w:r w:rsidRPr="00264D5D">
              <w:rPr>
                <w:sz w:val="22"/>
                <w:szCs w:val="22"/>
              </w:rPr>
              <w:t>(руб.)</w:t>
            </w:r>
          </w:p>
        </w:tc>
        <w:tc>
          <w:tcPr>
            <w:tcW w:w="884" w:type="pct"/>
          </w:tcPr>
          <w:p w14:paraId="2CD73577" w14:textId="77777777" w:rsidR="00AD1F54" w:rsidRPr="00264D5D" w:rsidRDefault="00941227">
            <w:pPr>
              <w:widowControl w:val="0"/>
              <w:spacing w:before="60" w:after="60"/>
              <w:rPr>
                <w:sz w:val="22"/>
                <w:szCs w:val="22"/>
              </w:rPr>
            </w:pPr>
            <w:r w:rsidRPr="00264D5D">
              <w:rPr>
                <w:sz w:val="22"/>
                <w:szCs w:val="22"/>
              </w:rPr>
              <w:t>nextYear</w:t>
            </w:r>
          </w:p>
        </w:tc>
        <w:tc>
          <w:tcPr>
            <w:tcW w:w="295" w:type="pct"/>
          </w:tcPr>
          <w:p w14:paraId="572AD193" w14:textId="77777777" w:rsidR="00AD1F54" w:rsidRPr="00264D5D" w:rsidRDefault="00941227">
            <w:pPr>
              <w:widowControl w:val="0"/>
              <w:spacing w:before="60" w:after="60"/>
              <w:jc w:val="center"/>
              <w:rPr>
                <w:sz w:val="22"/>
                <w:szCs w:val="22"/>
              </w:rPr>
            </w:pPr>
            <w:r w:rsidRPr="00264D5D">
              <w:rPr>
                <w:sz w:val="22"/>
                <w:szCs w:val="22"/>
              </w:rPr>
              <w:t>П</w:t>
            </w:r>
          </w:p>
        </w:tc>
        <w:tc>
          <w:tcPr>
            <w:tcW w:w="588" w:type="pct"/>
          </w:tcPr>
          <w:p w14:paraId="20B6C8D9" w14:textId="77777777" w:rsidR="00AD1F54" w:rsidRPr="00264D5D" w:rsidRDefault="00941227">
            <w:pPr>
              <w:widowControl w:val="0"/>
              <w:spacing w:before="60" w:after="60"/>
              <w:jc w:val="left"/>
              <w:rPr>
                <w:sz w:val="22"/>
                <w:szCs w:val="22"/>
              </w:rPr>
            </w:pPr>
            <w:r w:rsidRPr="00264D5D">
              <w:rPr>
                <w:sz w:val="22"/>
                <w:szCs w:val="22"/>
              </w:rPr>
              <w:t>N(20.2)</w:t>
            </w:r>
          </w:p>
        </w:tc>
        <w:tc>
          <w:tcPr>
            <w:tcW w:w="294" w:type="pct"/>
          </w:tcPr>
          <w:p w14:paraId="1F43FB82" w14:textId="77777777" w:rsidR="00AD1F54" w:rsidRPr="00264D5D" w:rsidRDefault="00941227">
            <w:pPr>
              <w:widowControl w:val="0"/>
              <w:spacing w:before="60" w:after="60"/>
              <w:jc w:val="center"/>
              <w:rPr>
                <w:sz w:val="22"/>
                <w:szCs w:val="22"/>
              </w:rPr>
            </w:pPr>
            <w:r w:rsidRPr="00264D5D">
              <w:rPr>
                <w:sz w:val="22"/>
                <w:szCs w:val="22"/>
              </w:rPr>
              <w:t>О</w:t>
            </w:r>
          </w:p>
        </w:tc>
        <w:tc>
          <w:tcPr>
            <w:tcW w:w="2056" w:type="pct"/>
          </w:tcPr>
          <w:p w14:paraId="0E14796E" w14:textId="77777777" w:rsidR="00AD1F54" w:rsidRPr="00264D5D" w:rsidRDefault="00941227">
            <w:pPr>
              <w:widowControl w:val="0"/>
              <w:spacing w:before="60" w:after="60"/>
              <w:rPr>
                <w:sz w:val="22"/>
                <w:szCs w:val="22"/>
              </w:rPr>
            </w:pPr>
            <w:r w:rsidRPr="00264D5D">
              <w:rPr>
                <w:sz w:val="22"/>
                <w:szCs w:val="22"/>
              </w:rPr>
              <w:t>Указывается сумма финансового обеспечения на последующие периоды, соответствующая идентификационному коду закупки.</w:t>
            </w:r>
          </w:p>
          <w:p w14:paraId="42832436" w14:textId="77777777" w:rsidR="00AD1F54" w:rsidRPr="00264D5D" w:rsidRDefault="00941227">
            <w:pPr>
              <w:widowControl w:val="0"/>
              <w:spacing w:before="60" w:after="60"/>
              <w:rPr>
                <w:sz w:val="22"/>
                <w:szCs w:val="22"/>
              </w:rPr>
            </w:pPr>
            <w:r w:rsidRPr="00264D5D">
              <w:rPr>
                <w:sz w:val="22"/>
                <w:szCs w:val="22"/>
              </w:rPr>
              <w:t>При отсутст</w:t>
            </w:r>
            <w:r w:rsidR="00FB163B" w:rsidRPr="00264D5D">
              <w:rPr>
                <w:sz w:val="22"/>
                <w:szCs w:val="22"/>
              </w:rPr>
              <w:t>вии значения указывается «0.00»</w:t>
            </w:r>
          </w:p>
        </w:tc>
      </w:tr>
      <w:tr w:rsidR="00AD1F54" w:rsidRPr="00264D5D" w14:paraId="57FE41E9"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3" w:type="pct"/>
          </w:tcPr>
          <w:p w14:paraId="756F9B23" w14:textId="77777777" w:rsidR="00AD1F54" w:rsidRPr="00264D5D" w:rsidRDefault="00941227">
            <w:pPr>
              <w:widowControl w:val="0"/>
              <w:spacing w:before="60" w:after="60"/>
              <w:rPr>
                <w:sz w:val="22"/>
                <w:szCs w:val="22"/>
              </w:rPr>
            </w:pPr>
            <w:r w:rsidRPr="00264D5D">
              <w:rPr>
                <w:sz w:val="22"/>
                <w:szCs w:val="22"/>
              </w:rPr>
              <w:t>Сумма всего</w:t>
            </w:r>
          </w:p>
          <w:p w14:paraId="559F812E" w14:textId="77777777" w:rsidR="00AD1F54" w:rsidRPr="00264D5D" w:rsidRDefault="00941227">
            <w:pPr>
              <w:widowControl w:val="0"/>
              <w:spacing w:before="60" w:after="60"/>
              <w:rPr>
                <w:sz w:val="22"/>
                <w:szCs w:val="22"/>
              </w:rPr>
            </w:pPr>
            <w:r w:rsidRPr="00264D5D">
              <w:rPr>
                <w:sz w:val="22"/>
                <w:szCs w:val="22"/>
              </w:rPr>
              <w:t>(руб.)</w:t>
            </w:r>
          </w:p>
        </w:tc>
        <w:tc>
          <w:tcPr>
            <w:tcW w:w="884" w:type="pct"/>
          </w:tcPr>
          <w:p w14:paraId="632B981A" w14:textId="77777777" w:rsidR="00AD1F54" w:rsidRPr="00264D5D" w:rsidRDefault="00941227">
            <w:pPr>
              <w:widowControl w:val="0"/>
              <w:spacing w:before="60" w:after="60"/>
              <w:rPr>
                <w:sz w:val="22"/>
                <w:szCs w:val="22"/>
              </w:rPr>
            </w:pPr>
            <w:r w:rsidRPr="00264D5D">
              <w:rPr>
                <w:sz w:val="22"/>
                <w:szCs w:val="22"/>
              </w:rPr>
              <w:t>total</w:t>
            </w:r>
          </w:p>
        </w:tc>
        <w:tc>
          <w:tcPr>
            <w:tcW w:w="295" w:type="pct"/>
          </w:tcPr>
          <w:p w14:paraId="1A7707D9" w14:textId="77777777" w:rsidR="00AD1F54" w:rsidRPr="00264D5D" w:rsidRDefault="00941227">
            <w:pPr>
              <w:widowControl w:val="0"/>
              <w:spacing w:before="60" w:after="60"/>
              <w:jc w:val="center"/>
              <w:rPr>
                <w:sz w:val="22"/>
                <w:szCs w:val="22"/>
              </w:rPr>
            </w:pPr>
            <w:r w:rsidRPr="00264D5D">
              <w:rPr>
                <w:sz w:val="22"/>
                <w:szCs w:val="22"/>
              </w:rPr>
              <w:t>П</w:t>
            </w:r>
          </w:p>
        </w:tc>
        <w:tc>
          <w:tcPr>
            <w:tcW w:w="588" w:type="pct"/>
          </w:tcPr>
          <w:p w14:paraId="6374C09C" w14:textId="77777777" w:rsidR="00AD1F54" w:rsidRPr="00264D5D" w:rsidRDefault="00941227">
            <w:pPr>
              <w:widowControl w:val="0"/>
              <w:spacing w:before="60" w:after="60"/>
              <w:jc w:val="left"/>
              <w:rPr>
                <w:sz w:val="22"/>
                <w:szCs w:val="22"/>
              </w:rPr>
            </w:pPr>
            <w:r w:rsidRPr="00264D5D">
              <w:rPr>
                <w:sz w:val="22"/>
                <w:szCs w:val="22"/>
              </w:rPr>
              <w:t>N(20.2)</w:t>
            </w:r>
          </w:p>
        </w:tc>
        <w:tc>
          <w:tcPr>
            <w:tcW w:w="294" w:type="pct"/>
          </w:tcPr>
          <w:p w14:paraId="110E0408" w14:textId="77777777" w:rsidR="00AD1F54" w:rsidRPr="00264D5D" w:rsidRDefault="00941227">
            <w:pPr>
              <w:widowControl w:val="0"/>
              <w:spacing w:before="60" w:after="60"/>
              <w:jc w:val="center"/>
              <w:rPr>
                <w:sz w:val="22"/>
                <w:szCs w:val="22"/>
              </w:rPr>
            </w:pPr>
            <w:r w:rsidRPr="00264D5D">
              <w:rPr>
                <w:sz w:val="22"/>
                <w:szCs w:val="22"/>
              </w:rPr>
              <w:t>О</w:t>
            </w:r>
          </w:p>
        </w:tc>
        <w:tc>
          <w:tcPr>
            <w:tcW w:w="2056" w:type="pct"/>
          </w:tcPr>
          <w:p w14:paraId="61BD54D6" w14:textId="77777777" w:rsidR="00AD1F54" w:rsidRPr="00264D5D" w:rsidRDefault="00941227">
            <w:pPr>
              <w:widowControl w:val="0"/>
              <w:spacing w:before="60" w:after="60"/>
              <w:rPr>
                <w:sz w:val="22"/>
                <w:szCs w:val="22"/>
              </w:rPr>
            </w:pPr>
            <w:r w:rsidRPr="00264D5D">
              <w:rPr>
                <w:sz w:val="22"/>
                <w:szCs w:val="22"/>
              </w:rPr>
              <w:t>Указывается общая сумма финансового обеспечения, соответствующая идентификационному коду закупки.</w:t>
            </w:r>
          </w:p>
          <w:p w14:paraId="376C7CD8" w14:textId="77777777" w:rsidR="00AD1F54" w:rsidRPr="00264D5D" w:rsidRDefault="00941227">
            <w:pPr>
              <w:widowControl w:val="0"/>
              <w:spacing w:before="60" w:after="60"/>
              <w:rPr>
                <w:sz w:val="22"/>
                <w:szCs w:val="22"/>
              </w:rPr>
            </w:pPr>
            <w:r w:rsidRPr="00264D5D">
              <w:rPr>
                <w:sz w:val="22"/>
                <w:szCs w:val="22"/>
              </w:rPr>
              <w:t>При отсутст</w:t>
            </w:r>
            <w:r w:rsidR="00FB163B" w:rsidRPr="00264D5D">
              <w:rPr>
                <w:sz w:val="22"/>
                <w:szCs w:val="22"/>
              </w:rPr>
              <w:t>вии значения указывается «0.00»</w:t>
            </w:r>
          </w:p>
        </w:tc>
      </w:tr>
    </w:tbl>
    <w:p w14:paraId="50336082" w14:textId="77777777" w:rsidR="00AD1F54" w:rsidRPr="00264D5D" w:rsidRDefault="00941227">
      <w:pPr>
        <w:pStyle w:val="31"/>
      </w:pPr>
      <w:bookmarkStart w:id="4424" w:name="_Toc462254604"/>
      <w:bookmarkStart w:id="4425" w:name="_Toc219309825"/>
      <w:bookmarkEnd w:id="4424"/>
      <w:r w:rsidRPr="00264D5D">
        <w:t>Описание комплексного типа «tfinanceInfoKBK»</w:t>
      </w:r>
      <w:bookmarkEnd w:id="4425"/>
    </w:p>
    <w:p w14:paraId="5E0A4566" w14:textId="77777777" w:rsidR="00AD1F54" w:rsidRPr="00264D5D" w:rsidRDefault="00941227">
      <w:pPr>
        <w:pStyle w:val="ASFKNormal"/>
        <w:widowControl w:val="0"/>
        <w:spacing w:before="60" w:after="120"/>
        <w:contextualSpacing w:val="0"/>
        <w:jc w:val="both"/>
        <w:rPr>
          <w:sz w:val="24"/>
          <w:szCs w:val="24"/>
        </w:rPr>
      </w:pPr>
      <w:r w:rsidRPr="00264D5D">
        <w:rPr>
          <w:sz w:val="24"/>
          <w:szCs w:val="24"/>
        </w:rPr>
        <w:t>Описание комплексного типа «</w:t>
      </w:r>
      <w:r w:rsidRPr="00264D5D">
        <w:rPr>
          <w:sz w:val="24"/>
          <w:szCs w:val="24"/>
          <w:lang w:val="en-US"/>
        </w:rPr>
        <w:t>tf</w:t>
      </w:r>
      <w:r w:rsidRPr="00264D5D">
        <w:rPr>
          <w:sz w:val="22"/>
          <w:szCs w:val="22"/>
        </w:rPr>
        <w:t>inanceInfo</w:t>
      </w:r>
      <w:r w:rsidRPr="00264D5D">
        <w:rPr>
          <w:sz w:val="22"/>
          <w:szCs w:val="22"/>
          <w:lang w:val="en-US"/>
        </w:rPr>
        <w:t>KBK</w:t>
      </w:r>
      <w:r w:rsidRPr="00264D5D">
        <w:rPr>
          <w:sz w:val="24"/>
          <w:szCs w:val="24"/>
        </w:rPr>
        <w:t>» блока «Объем финансового обеспечения в разрезе КБК».</w:t>
      </w:r>
    </w:p>
    <w:p w14:paraId="4B1542A7" w14:textId="48870345" w:rsidR="00AD1F54" w:rsidRPr="00264D5D" w:rsidRDefault="00941227">
      <w:pPr>
        <w:pStyle w:val="GOSTNameTable"/>
        <w:numPr>
          <w:ilvl w:val="0"/>
          <w:numId w:val="2"/>
        </w:numPr>
        <w:ind w:left="425" w:hanging="357"/>
        <w:rPr>
          <w:rFonts w:eastAsia="Calibri"/>
          <w:szCs w:val="24"/>
        </w:rPr>
      </w:pPr>
      <w:r w:rsidRPr="00264D5D">
        <w:rPr>
          <w:rFonts w:eastAsia="Calibri"/>
          <w:szCs w:val="24"/>
        </w:rPr>
        <w:lastRenderedPageBreak/>
        <w:fldChar w:fldCharType="begin"/>
      </w:r>
      <w:r w:rsidRPr="00264D5D">
        <w:rPr>
          <w:rFonts w:eastAsia="Calibri"/>
          <w:szCs w:val="24"/>
        </w:rPr>
        <w:instrText xml:space="preserve"> </w:instrText>
      </w:r>
      <w:r w:rsidRPr="00264D5D">
        <w:rPr>
          <w:rFonts w:eastAsia="Calibri"/>
          <w:szCs w:val="24"/>
          <w:lang w:val="en-US"/>
        </w:rPr>
        <w:instrText>SEQ</w:instrText>
      </w:r>
      <w:r w:rsidRPr="00264D5D">
        <w:rPr>
          <w:rFonts w:eastAsia="Calibri"/>
          <w:szCs w:val="24"/>
        </w:rPr>
        <w:instrText xml:space="preserve"> Таблица \* </w:instrText>
      </w:r>
      <w:r w:rsidRPr="00264D5D">
        <w:rPr>
          <w:rFonts w:eastAsia="Calibri"/>
          <w:szCs w:val="24"/>
          <w:lang w:val="en-US"/>
        </w:rPr>
        <w:instrText>ARABIC</w:instrText>
      </w:r>
      <w:r w:rsidRPr="00264D5D">
        <w:rPr>
          <w:rFonts w:eastAsia="Calibri"/>
          <w:szCs w:val="24"/>
        </w:rPr>
        <w:instrText xml:space="preserve"> </w:instrText>
      </w:r>
      <w:r w:rsidRPr="00264D5D">
        <w:rPr>
          <w:rFonts w:eastAsia="Calibri"/>
          <w:szCs w:val="24"/>
        </w:rPr>
        <w:fldChar w:fldCharType="separate"/>
      </w:r>
      <w:bookmarkStart w:id="4426" w:name="_Ref489278856"/>
      <w:bookmarkStart w:id="4427" w:name="_Toc30503429"/>
      <w:bookmarkStart w:id="4428" w:name="_Toc30508027"/>
      <w:bookmarkStart w:id="4429" w:name="_Toc219309368"/>
      <w:r w:rsidR="008D797C">
        <w:rPr>
          <w:rFonts w:eastAsia="Calibri"/>
          <w:noProof/>
          <w:szCs w:val="24"/>
          <w:lang w:val="en-US"/>
        </w:rPr>
        <w:t>338</w:t>
      </w:r>
      <w:bookmarkEnd w:id="4426"/>
      <w:r w:rsidRPr="00264D5D">
        <w:rPr>
          <w:rFonts w:eastAsia="Calibri"/>
          <w:szCs w:val="24"/>
        </w:rPr>
        <w:fldChar w:fldCharType="end"/>
      </w:r>
      <w:r w:rsidRPr="00264D5D">
        <w:rPr>
          <w:rFonts w:eastAsia="Calibri"/>
          <w:szCs w:val="24"/>
        </w:rPr>
        <w:t xml:space="preserve"> – Описание комплексного типа «</w:t>
      </w:r>
      <w:r w:rsidRPr="00264D5D">
        <w:rPr>
          <w:rFonts w:eastAsia="Calibri"/>
          <w:szCs w:val="24"/>
          <w:lang w:val="en-US"/>
        </w:rPr>
        <w:t>t</w:t>
      </w:r>
      <w:r w:rsidRPr="00264D5D">
        <w:rPr>
          <w:szCs w:val="24"/>
          <w:lang w:val="en-US"/>
        </w:rPr>
        <w:t>f</w:t>
      </w:r>
      <w:r w:rsidRPr="00264D5D">
        <w:rPr>
          <w:szCs w:val="24"/>
        </w:rPr>
        <w:t>inanceInfo</w:t>
      </w:r>
      <w:r w:rsidRPr="00264D5D">
        <w:rPr>
          <w:szCs w:val="24"/>
          <w:lang w:val="en-US"/>
        </w:rPr>
        <w:t>KBK</w:t>
      </w:r>
      <w:r w:rsidRPr="00264D5D">
        <w:rPr>
          <w:rFonts w:eastAsia="Calibri"/>
          <w:szCs w:val="24"/>
        </w:rPr>
        <w:t>»</w:t>
      </w:r>
      <w:bookmarkEnd w:id="4427"/>
      <w:bookmarkEnd w:id="4428"/>
      <w:bookmarkEnd w:id="4429"/>
    </w:p>
    <w:tbl>
      <w:tblPr>
        <w:tblStyle w:val="GOSTTable"/>
        <w:tblW w:w="5003" w:type="pct"/>
        <w:tblLayout w:type="fixed"/>
        <w:tblLook w:val="04A0" w:firstRow="1" w:lastRow="0" w:firstColumn="1" w:lastColumn="0" w:noHBand="0" w:noVBand="1"/>
      </w:tblPr>
      <w:tblGrid>
        <w:gridCol w:w="1705"/>
        <w:gridCol w:w="1705"/>
        <w:gridCol w:w="570"/>
        <w:gridCol w:w="1137"/>
        <w:gridCol w:w="570"/>
        <w:gridCol w:w="3969"/>
      </w:tblGrid>
      <w:tr w:rsidR="00AD1F54" w:rsidRPr="00264D5D" w14:paraId="738D7C3E" w14:textId="77777777" w:rsidTr="00AD1F54">
        <w:trPr>
          <w:cnfStyle w:val="100000000000" w:firstRow="1" w:lastRow="0" w:firstColumn="0" w:lastColumn="0" w:oddVBand="0" w:evenVBand="0" w:oddHBand="0" w:evenHBand="0" w:firstRowFirstColumn="0" w:firstRowLastColumn="0" w:lastRowFirstColumn="0" w:lastRowLastColumn="0"/>
          <w:trHeight w:val="282"/>
          <w:tblHeader/>
        </w:trPr>
        <w:tc>
          <w:tcPr>
            <w:tcW w:w="883" w:type="pct"/>
          </w:tcPr>
          <w:p w14:paraId="09AAF064" w14:textId="77777777" w:rsidR="00AD1F54" w:rsidRPr="00264D5D" w:rsidRDefault="00941227">
            <w:pPr>
              <w:widowControl w:val="0"/>
              <w:spacing w:before="60" w:after="60"/>
              <w:jc w:val="center"/>
              <w:rPr>
                <w:b/>
                <w:bCs/>
                <w:sz w:val="22"/>
                <w:szCs w:val="22"/>
                <w:lang w:val="en-US"/>
              </w:rPr>
            </w:pPr>
            <w:r w:rsidRPr="00264D5D">
              <w:rPr>
                <w:b/>
                <w:bCs/>
                <w:sz w:val="22"/>
                <w:szCs w:val="22"/>
              </w:rPr>
              <w:t>Наименование комплексного типа</w:t>
            </w:r>
          </w:p>
        </w:tc>
        <w:tc>
          <w:tcPr>
            <w:tcW w:w="883" w:type="pct"/>
          </w:tcPr>
          <w:p w14:paraId="7DD4D922" w14:textId="77777777" w:rsidR="00AD1F54" w:rsidRPr="00264D5D" w:rsidRDefault="00941227">
            <w:pPr>
              <w:widowControl w:val="0"/>
              <w:spacing w:before="60" w:after="60"/>
              <w:jc w:val="center"/>
              <w:rPr>
                <w:b/>
                <w:bCs/>
                <w:sz w:val="22"/>
                <w:szCs w:val="22"/>
              </w:rPr>
            </w:pPr>
            <w:r w:rsidRPr="00264D5D">
              <w:rPr>
                <w:b/>
                <w:bCs/>
                <w:sz w:val="22"/>
                <w:szCs w:val="22"/>
              </w:rPr>
              <w:t>Текущий элемент/</w:t>
            </w:r>
            <w:r w:rsidRPr="00264D5D">
              <w:rPr>
                <w:b/>
                <w:bCs/>
                <w:sz w:val="22"/>
                <w:szCs w:val="22"/>
                <w:lang w:val="en-US"/>
              </w:rPr>
              <w:t xml:space="preserve"> </w:t>
            </w:r>
            <w:r w:rsidRPr="00264D5D">
              <w:rPr>
                <w:b/>
                <w:bCs/>
                <w:sz w:val="22"/>
                <w:szCs w:val="22"/>
              </w:rPr>
              <w:t>атрибут</w:t>
            </w:r>
          </w:p>
        </w:tc>
        <w:tc>
          <w:tcPr>
            <w:tcW w:w="295" w:type="pct"/>
          </w:tcPr>
          <w:p w14:paraId="699ADF04" w14:textId="77777777" w:rsidR="00AD1F54" w:rsidRPr="00264D5D" w:rsidRDefault="00941227">
            <w:pPr>
              <w:widowControl w:val="0"/>
              <w:spacing w:before="60" w:after="60"/>
              <w:jc w:val="center"/>
              <w:rPr>
                <w:b/>
                <w:sz w:val="22"/>
                <w:szCs w:val="22"/>
              </w:rPr>
            </w:pPr>
            <w:r w:rsidRPr="00264D5D">
              <w:rPr>
                <w:b/>
                <w:bCs/>
                <w:sz w:val="22"/>
                <w:szCs w:val="22"/>
              </w:rPr>
              <w:t>Тип</w:t>
            </w:r>
          </w:p>
        </w:tc>
        <w:tc>
          <w:tcPr>
            <w:tcW w:w="589" w:type="pct"/>
          </w:tcPr>
          <w:p w14:paraId="756A8B6B" w14:textId="77777777" w:rsidR="00AD1F54" w:rsidRPr="00264D5D" w:rsidRDefault="00941227">
            <w:pPr>
              <w:widowControl w:val="0"/>
              <w:spacing w:before="60" w:after="60"/>
              <w:jc w:val="center"/>
              <w:rPr>
                <w:b/>
                <w:sz w:val="22"/>
                <w:szCs w:val="22"/>
              </w:rPr>
            </w:pPr>
            <w:r w:rsidRPr="00264D5D">
              <w:rPr>
                <w:b/>
                <w:bCs/>
                <w:sz w:val="22"/>
                <w:szCs w:val="22"/>
              </w:rPr>
              <w:t>Формат элемента</w:t>
            </w:r>
          </w:p>
        </w:tc>
        <w:tc>
          <w:tcPr>
            <w:tcW w:w="295" w:type="pct"/>
          </w:tcPr>
          <w:p w14:paraId="13738873" w14:textId="77777777" w:rsidR="00AD1F54" w:rsidRPr="00264D5D" w:rsidRDefault="00941227">
            <w:pPr>
              <w:widowControl w:val="0"/>
              <w:spacing w:before="60" w:after="60"/>
              <w:jc w:val="center"/>
              <w:rPr>
                <w:b/>
                <w:bCs/>
                <w:sz w:val="22"/>
                <w:szCs w:val="22"/>
              </w:rPr>
            </w:pPr>
            <w:r w:rsidRPr="00264D5D">
              <w:rPr>
                <w:b/>
                <w:bCs/>
                <w:sz w:val="22"/>
                <w:szCs w:val="22"/>
              </w:rPr>
              <w:t>Обязательность</w:t>
            </w:r>
          </w:p>
        </w:tc>
        <w:tc>
          <w:tcPr>
            <w:tcW w:w="2056" w:type="pct"/>
          </w:tcPr>
          <w:p w14:paraId="524671ED" w14:textId="77777777" w:rsidR="00AD1F54" w:rsidRPr="00264D5D" w:rsidRDefault="00941227">
            <w:pPr>
              <w:widowControl w:val="0"/>
              <w:spacing w:before="60" w:after="60"/>
              <w:jc w:val="center"/>
              <w:rPr>
                <w:b/>
                <w:bCs/>
                <w:sz w:val="22"/>
                <w:szCs w:val="22"/>
              </w:rPr>
            </w:pPr>
            <w:r w:rsidRPr="00264D5D">
              <w:rPr>
                <w:b/>
                <w:bCs/>
                <w:sz w:val="22"/>
                <w:szCs w:val="22"/>
              </w:rPr>
              <w:t>Дополнительная информация</w:t>
            </w:r>
          </w:p>
        </w:tc>
      </w:tr>
      <w:tr w:rsidR="00AD1F54" w:rsidRPr="00264D5D" w14:paraId="7B0011F9" w14:textId="77777777" w:rsidTr="00AD1F54">
        <w:trPr>
          <w:cnfStyle w:val="000000100000" w:firstRow="0" w:lastRow="0" w:firstColumn="0" w:lastColumn="0" w:oddVBand="0" w:evenVBand="0" w:oddHBand="1" w:evenHBand="0" w:firstRowFirstColumn="0" w:firstRowLastColumn="0" w:lastRowFirstColumn="0" w:lastRowLastColumn="0"/>
          <w:trHeight w:val="282"/>
        </w:trPr>
        <w:tc>
          <w:tcPr>
            <w:tcW w:w="883" w:type="pct"/>
          </w:tcPr>
          <w:p w14:paraId="15E44CFD" w14:textId="77777777" w:rsidR="00AD1F54" w:rsidRPr="00264D5D" w:rsidRDefault="00941227">
            <w:pPr>
              <w:widowControl w:val="0"/>
              <w:spacing w:before="60" w:after="60"/>
              <w:rPr>
                <w:sz w:val="22"/>
                <w:szCs w:val="22"/>
                <w:lang w:val="en-US"/>
              </w:rPr>
            </w:pPr>
            <w:r w:rsidRPr="00264D5D">
              <w:rPr>
                <w:sz w:val="22"/>
                <w:szCs w:val="22"/>
                <w:lang w:val="en-US"/>
              </w:rPr>
              <w:t>tf</w:t>
            </w:r>
            <w:r w:rsidRPr="00264D5D">
              <w:rPr>
                <w:sz w:val="22"/>
                <w:szCs w:val="22"/>
              </w:rPr>
              <w:t>inanceInfo</w:t>
            </w:r>
            <w:r w:rsidRPr="00264D5D">
              <w:rPr>
                <w:sz w:val="22"/>
                <w:szCs w:val="22"/>
                <w:lang w:val="en-US"/>
              </w:rPr>
              <w:t>KBK</w:t>
            </w:r>
          </w:p>
        </w:tc>
        <w:tc>
          <w:tcPr>
            <w:tcW w:w="883" w:type="pct"/>
          </w:tcPr>
          <w:p w14:paraId="726A4020" w14:textId="77777777" w:rsidR="00AD1F54" w:rsidRPr="00264D5D" w:rsidRDefault="00941227">
            <w:pPr>
              <w:widowControl w:val="0"/>
              <w:tabs>
                <w:tab w:val="left" w:pos="1122"/>
              </w:tabs>
              <w:spacing w:before="60" w:after="60"/>
              <w:rPr>
                <w:sz w:val="22"/>
                <w:szCs w:val="22"/>
                <w:lang w:val="en-US"/>
              </w:rPr>
            </w:pPr>
            <w:r w:rsidRPr="00264D5D">
              <w:rPr>
                <w:sz w:val="22"/>
                <w:szCs w:val="22"/>
                <w:lang w:val="en-US"/>
              </w:rPr>
              <w:t>financeInfoKBKItem</w:t>
            </w:r>
          </w:p>
        </w:tc>
        <w:tc>
          <w:tcPr>
            <w:tcW w:w="295" w:type="pct"/>
          </w:tcPr>
          <w:p w14:paraId="712B10FF" w14:textId="77777777" w:rsidR="00AD1F54" w:rsidRPr="00264D5D" w:rsidRDefault="00941227">
            <w:pPr>
              <w:widowControl w:val="0"/>
              <w:spacing w:before="60" w:after="60"/>
              <w:jc w:val="center"/>
              <w:rPr>
                <w:sz w:val="22"/>
                <w:szCs w:val="22"/>
              </w:rPr>
            </w:pPr>
            <w:r w:rsidRPr="00264D5D">
              <w:rPr>
                <w:sz w:val="22"/>
                <w:szCs w:val="22"/>
              </w:rPr>
              <w:t>С</w:t>
            </w:r>
          </w:p>
        </w:tc>
        <w:tc>
          <w:tcPr>
            <w:tcW w:w="589" w:type="pct"/>
          </w:tcPr>
          <w:p w14:paraId="1C37ECC4" w14:textId="77777777" w:rsidR="00AD1F54" w:rsidRPr="00264D5D" w:rsidRDefault="00941227">
            <w:pPr>
              <w:widowControl w:val="0"/>
              <w:spacing w:before="60" w:after="60"/>
              <w:jc w:val="left"/>
              <w:rPr>
                <w:sz w:val="22"/>
                <w:szCs w:val="22"/>
              </w:rPr>
            </w:pPr>
            <w:r w:rsidRPr="00264D5D">
              <w:rPr>
                <w:sz w:val="22"/>
                <w:szCs w:val="22"/>
                <w:lang w:val="en-US"/>
              </w:rPr>
              <w:t>tfinanceInfoKBKItem</w:t>
            </w:r>
          </w:p>
        </w:tc>
        <w:tc>
          <w:tcPr>
            <w:tcW w:w="295" w:type="pct"/>
          </w:tcPr>
          <w:p w14:paraId="2882E4DC" w14:textId="77777777" w:rsidR="00AD1F54" w:rsidRPr="00264D5D" w:rsidRDefault="00941227">
            <w:pPr>
              <w:widowControl w:val="0"/>
              <w:spacing w:before="60" w:after="60"/>
              <w:jc w:val="center"/>
              <w:rPr>
                <w:sz w:val="22"/>
                <w:szCs w:val="22"/>
              </w:rPr>
            </w:pPr>
            <w:r w:rsidRPr="00264D5D">
              <w:rPr>
                <w:sz w:val="22"/>
                <w:szCs w:val="22"/>
              </w:rPr>
              <w:t>ОМ</w:t>
            </w:r>
          </w:p>
        </w:tc>
        <w:tc>
          <w:tcPr>
            <w:tcW w:w="2056" w:type="pct"/>
          </w:tcPr>
          <w:p w14:paraId="4092949A" w14:textId="77777777" w:rsidR="00AD1F54" w:rsidRPr="00264D5D" w:rsidRDefault="00941227">
            <w:pPr>
              <w:widowControl w:val="0"/>
              <w:spacing w:before="60" w:after="60"/>
              <w:rPr>
                <w:sz w:val="22"/>
                <w:szCs w:val="22"/>
              </w:rPr>
            </w:pPr>
            <w:r w:rsidRPr="00264D5D">
              <w:rPr>
                <w:sz w:val="22"/>
                <w:szCs w:val="22"/>
              </w:rPr>
              <w:t>Объем финансового обеспечения в разрезе КБК.</w:t>
            </w:r>
          </w:p>
          <w:p w14:paraId="525BB920" w14:textId="77777777" w:rsidR="00AD1F54" w:rsidRPr="00264D5D" w:rsidRDefault="00941227">
            <w:pPr>
              <w:widowControl w:val="0"/>
              <w:spacing w:before="60" w:after="60"/>
              <w:rPr>
                <w:sz w:val="22"/>
                <w:szCs w:val="22"/>
              </w:rPr>
            </w:pPr>
            <w:r w:rsidRPr="00264D5D">
              <w:rPr>
                <w:sz w:val="22"/>
                <w:szCs w:val="22"/>
              </w:rPr>
              <w:t>Значение КБК должно быть уникально в блоке.</w:t>
            </w:r>
          </w:p>
          <w:p w14:paraId="23D9F105" w14:textId="6550804A" w:rsidR="00AD1F54" w:rsidRPr="00264D5D" w:rsidRDefault="00941227">
            <w:pPr>
              <w:widowControl w:val="0"/>
              <w:spacing w:before="60" w:after="60"/>
              <w:rPr>
                <w:sz w:val="22"/>
                <w:szCs w:val="22"/>
              </w:rPr>
            </w:pPr>
            <w:r w:rsidRPr="00264D5D">
              <w:rPr>
                <w:sz w:val="22"/>
                <w:szCs w:val="22"/>
              </w:rPr>
              <w:t xml:space="preserve">Состав элемента представлен в таблице </w:t>
            </w:r>
            <w:r w:rsidRPr="00264D5D">
              <w:rPr>
                <w:sz w:val="22"/>
                <w:szCs w:val="22"/>
              </w:rPr>
              <w:fldChar w:fldCharType="begin"/>
            </w:r>
            <w:r w:rsidRPr="00264D5D">
              <w:rPr>
                <w:sz w:val="22"/>
                <w:szCs w:val="22"/>
              </w:rPr>
              <w:instrText xml:space="preserve"> REF _Ref489278898 \h  \* MERGEFORMAT </w:instrText>
            </w:r>
            <w:r w:rsidRPr="00264D5D">
              <w:rPr>
                <w:sz w:val="22"/>
                <w:szCs w:val="22"/>
              </w:rPr>
            </w:r>
            <w:r w:rsidRPr="00264D5D">
              <w:rPr>
                <w:sz w:val="22"/>
                <w:szCs w:val="22"/>
              </w:rPr>
              <w:fldChar w:fldCharType="separate"/>
            </w:r>
            <w:r w:rsidR="008D797C" w:rsidRPr="008D797C">
              <w:rPr>
                <w:rFonts w:eastAsia="Calibri"/>
                <w:b/>
                <w:sz w:val="22"/>
                <w:szCs w:val="22"/>
              </w:rPr>
              <w:t>339</w:t>
            </w:r>
            <w:r w:rsidRPr="00264D5D">
              <w:rPr>
                <w:sz w:val="22"/>
                <w:szCs w:val="22"/>
              </w:rPr>
              <w:fldChar w:fldCharType="end"/>
            </w:r>
          </w:p>
        </w:tc>
      </w:tr>
    </w:tbl>
    <w:p w14:paraId="4CBE7066" w14:textId="77777777" w:rsidR="00AD1F54" w:rsidRPr="00264D5D" w:rsidRDefault="00941227">
      <w:pPr>
        <w:pStyle w:val="31"/>
      </w:pPr>
      <w:bookmarkStart w:id="4430" w:name="_Toc219309826"/>
      <w:r w:rsidRPr="00264D5D">
        <w:t>Описание комплексного типа «tfinanceInfoKBKItem»</w:t>
      </w:r>
      <w:bookmarkEnd w:id="4430"/>
    </w:p>
    <w:p w14:paraId="40EAC51B" w14:textId="77777777" w:rsidR="00AD1F54" w:rsidRPr="00264D5D" w:rsidRDefault="00941227">
      <w:pPr>
        <w:pStyle w:val="ASFKNormal"/>
        <w:widowControl w:val="0"/>
        <w:spacing w:before="60" w:after="120"/>
        <w:contextualSpacing w:val="0"/>
        <w:jc w:val="both"/>
        <w:rPr>
          <w:sz w:val="24"/>
          <w:szCs w:val="24"/>
        </w:rPr>
      </w:pPr>
      <w:r w:rsidRPr="00264D5D">
        <w:rPr>
          <w:sz w:val="24"/>
          <w:szCs w:val="24"/>
        </w:rPr>
        <w:t>Описание комплексного типа «</w:t>
      </w:r>
      <w:r w:rsidRPr="00264D5D">
        <w:rPr>
          <w:sz w:val="24"/>
          <w:szCs w:val="24"/>
          <w:lang w:val="en-US"/>
        </w:rPr>
        <w:t>tf</w:t>
      </w:r>
      <w:r w:rsidRPr="00264D5D">
        <w:rPr>
          <w:sz w:val="24"/>
          <w:szCs w:val="24"/>
        </w:rPr>
        <w:t>inanceInfo</w:t>
      </w:r>
      <w:r w:rsidRPr="00264D5D">
        <w:rPr>
          <w:sz w:val="24"/>
          <w:szCs w:val="24"/>
          <w:lang w:val="en-US"/>
        </w:rPr>
        <w:t>KBK</w:t>
      </w:r>
      <w:r w:rsidRPr="00264D5D">
        <w:rPr>
          <w:sz w:val="24"/>
          <w:szCs w:val="24"/>
        </w:rPr>
        <w:t>Item» строк блока «Объем финансового обеспечения в разрезе КБК».</w:t>
      </w:r>
    </w:p>
    <w:p w14:paraId="099884AA" w14:textId="4E843684"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w:instrText>
      </w:r>
      <w:r w:rsidRPr="00264D5D">
        <w:rPr>
          <w:rFonts w:eastAsia="Calibri"/>
          <w:szCs w:val="24"/>
          <w:lang w:val="en-US"/>
        </w:rPr>
        <w:instrText>SEQ</w:instrText>
      </w:r>
      <w:r w:rsidRPr="00264D5D">
        <w:rPr>
          <w:rFonts w:eastAsia="Calibri"/>
          <w:szCs w:val="24"/>
        </w:rPr>
        <w:instrText xml:space="preserve"> Таблица \* </w:instrText>
      </w:r>
      <w:r w:rsidRPr="00264D5D">
        <w:rPr>
          <w:rFonts w:eastAsia="Calibri"/>
          <w:szCs w:val="24"/>
          <w:lang w:val="en-US"/>
        </w:rPr>
        <w:instrText>ARABIC</w:instrText>
      </w:r>
      <w:r w:rsidRPr="00264D5D">
        <w:rPr>
          <w:rFonts w:eastAsia="Calibri"/>
          <w:szCs w:val="24"/>
        </w:rPr>
        <w:instrText xml:space="preserve"> </w:instrText>
      </w:r>
      <w:r w:rsidRPr="00264D5D">
        <w:rPr>
          <w:rFonts w:eastAsia="Calibri"/>
          <w:szCs w:val="24"/>
        </w:rPr>
        <w:fldChar w:fldCharType="separate"/>
      </w:r>
      <w:bookmarkStart w:id="4431" w:name="_Ref489278898"/>
      <w:bookmarkStart w:id="4432" w:name="_Toc30503430"/>
      <w:bookmarkStart w:id="4433" w:name="_Toc30508028"/>
      <w:bookmarkStart w:id="4434" w:name="_Toc219309369"/>
      <w:r w:rsidR="008D797C">
        <w:rPr>
          <w:rFonts w:eastAsia="Calibri"/>
          <w:noProof/>
          <w:szCs w:val="24"/>
          <w:lang w:val="en-US"/>
        </w:rPr>
        <w:t>339</w:t>
      </w:r>
      <w:bookmarkEnd w:id="4431"/>
      <w:r w:rsidRPr="00264D5D">
        <w:rPr>
          <w:rFonts w:eastAsia="Calibri"/>
          <w:szCs w:val="24"/>
        </w:rPr>
        <w:fldChar w:fldCharType="end"/>
      </w:r>
      <w:r w:rsidRPr="00264D5D">
        <w:rPr>
          <w:rFonts w:eastAsia="Calibri"/>
          <w:szCs w:val="24"/>
        </w:rPr>
        <w:t xml:space="preserve"> – Описание комплексного типа «</w:t>
      </w:r>
      <w:r w:rsidRPr="00264D5D">
        <w:rPr>
          <w:rFonts w:eastAsia="Calibri"/>
          <w:szCs w:val="24"/>
          <w:lang w:val="en-US"/>
        </w:rPr>
        <w:t>tf</w:t>
      </w:r>
      <w:r w:rsidRPr="00264D5D">
        <w:rPr>
          <w:rFonts w:eastAsia="Calibri"/>
          <w:szCs w:val="24"/>
        </w:rPr>
        <w:t>inanceInfo</w:t>
      </w:r>
      <w:r w:rsidRPr="00264D5D">
        <w:rPr>
          <w:rFonts w:eastAsia="Calibri"/>
          <w:szCs w:val="24"/>
          <w:lang w:val="en-US"/>
        </w:rPr>
        <w:t>KBK</w:t>
      </w:r>
      <w:r w:rsidRPr="00264D5D">
        <w:rPr>
          <w:rFonts w:eastAsia="Calibri"/>
          <w:szCs w:val="24"/>
        </w:rPr>
        <w:t>Item»</w:t>
      </w:r>
      <w:bookmarkEnd w:id="4432"/>
      <w:bookmarkEnd w:id="4433"/>
      <w:bookmarkEnd w:id="4434"/>
    </w:p>
    <w:tbl>
      <w:tblPr>
        <w:tblStyle w:val="GOSTTable"/>
        <w:tblW w:w="5000" w:type="pct"/>
        <w:tblLayout w:type="fixed"/>
        <w:tblLook w:val="04A0" w:firstRow="1" w:lastRow="0" w:firstColumn="1" w:lastColumn="0" w:noHBand="0" w:noVBand="1"/>
      </w:tblPr>
      <w:tblGrid>
        <w:gridCol w:w="1707"/>
        <w:gridCol w:w="1705"/>
        <w:gridCol w:w="568"/>
        <w:gridCol w:w="1137"/>
        <w:gridCol w:w="567"/>
        <w:gridCol w:w="3966"/>
      </w:tblGrid>
      <w:tr w:rsidR="00AD1F54" w:rsidRPr="00264D5D" w14:paraId="6D8273A4"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4" w:type="pct"/>
          </w:tcPr>
          <w:p w14:paraId="3B2617CB" w14:textId="77777777" w:rsidR="00AD1F54" w:rsidRPr="00264D5D" w:rsidRDefault="00941227">
            <w:pPr>
              <w:widowControl w:val="0"/>
              <w:spacing w:before="60" w:after="60"/>
              <w:jc w:val="center"/>
              <w:rPr>
                <w:b/>
                <w:bCs/>
                <w:sz w:val="22"/>
                <w:szCs w:val="22"/>
              </w:rPr>
            </w:pPr>
            <w:r w:rsidRPr="00264D5D">
              <w:rPr>
                <w:b/>
                <w:bCs/>
                <w:sz w:val="22"/>
                <w:szCs w:val="22"/>
              </w:rPr>
              <w:t>Наименование элемента</w:t>
            </w:r>
          </w:p>
        </w:tc>
        <w:tc>
          <w:tcPr>
            <w:tcW w:w="883" w:type="pct"/>
          </w:tcPr>
          <w:p w14:paraId="3F6B9CC4" w14:textId="77777777" w:rsidR="00AD1F54" w:rsidRPr="00264D5D" w:rsidRDefault="00941227">
            <w:pPr>
              <w:widowControl w:val="0"/>
              <w:spacing w:before="60" w:after="60"/>
              <w:jc w:val="center"/>
              <w:rPr>
                <w:b/>
                <w:bCs/>
                <w:sz w:val="22"/>
                <w:szCs w:val="22"/>
              </w:rPr>
            </w:pPr>
            <w:r w:rsidRPr="00264D5D">
              <w:rPr>
                <w:b/>
                <w:bCs/>
                <w:sz w:val="22"/>
                <w:szCs w:val="22"/>
              </w:rPr>
              <w:t>Сокращенное наименование (код) элемента</w:t>
            </w:r>
          </w:p>
        </w:tc>
        <w:tc>
          <w:tcPr>
            <w:tcW w:w="294" w:type="pct"/>
          </w:tcPr>
          <w:p w14:paraId="1E69D2C3" w14:textId="77777777" w:rsidR="00AD1F54" w:rsidRPr="00264D5D" w:rsidRDefault="00941227">
            <w:pPr>
              <w:widowControl w:val="0"/>
              <w:spacing w:before="60" w:after="60"/>
              <w:jc w:val="center"/>
              <w:rPr>
                <w:b/>
                <w:sz w:val="22"/>
                <w:szCs w:val="22"/>
              </w:rPr>
            </w:pPr>
            <w:r w:rsidRPr="00264D5D">
              <w:rPr>
                <w:b/>
                <w:bCs/>
                <w:sz w:val="22"/>
                <w:szCs w:val="22"/>
              </w:rPr>
              <w:t>Тип</w:t>
            </w:r>
          </w:p>
        </w:tc>
        <w:tc>
          <w:tcPr>
            <w:tcW w:w="589" w:type="pct"/>
          </w:tcPr>
          <w:p w14:paraId="5CC74839" w14:textId="77777777" w:rsidR="00AD1F54" w:rsidRPr="00264D5D" w:rsidRDefault="00941227">
            <w:pPr>
              <w:widowControl w:val="0"/>
              <w:spacing w:before="60" w:after="60"/>
              <w:jc w:val="center"/>
              <w:rPr>
                <w:b/>
                <w:bCs/>
                <w:sz w:val="22"/>
                <w:szCs w:val="22"/>
              </w:rPr>
            </w:pPr>
            <w:r w:rsidRPr="00264D5D">
              <w:rPr>
                <w:b/>
                <w:bCs/>
                <w:sz w:val="22"/>
                <w:szCs w:val="22"/>
              </w:rPr>
              <w:t>Формат элемента</w:t>
            </w:r>
          </w:p>
        </w:tc>
        <w:tc>
          <w:tcPr>
            <w:tcW w:w="294" w:type="pct"/>
          </w:tcPr>
          <w:p w14:paraId="642A9430" w14:textId="77777777" w:rsidR="00AD1F54" w:rsidRPr="00264D5D" w:rsidRDefault="00941227">
            <w:pPr>
              <w:widowControl w:val="0"/>
              <w:spacing w:before="60" w:after="60"/>
              <w:jc w:val="center"/>
              <w:rPr>
                <w:b/>
                <w:sz w:val="22"/>
                <w:szCs w:val="22"/>
              </w:rPr>
            </w:pPr>
            <w:r w:rsidRPr="00264D5D">
              <w:rPr>
                <w:b/>
                <w:bCs/>
                <w:sz w:val="22"/>
                <w:szCs w:val="22"/>
              </w:rPr>
              <w:t>Обязательность</w:t>
            </w:r>
          </w:p>
        </w:tc>
        <w:tc>
          <w:tcPr>
            <w:tcW w:w="2055" w:type="pct"/>
          </w:tcPr>
          <w:p w14:paraId="5083DB57" w14:textId="77777777" w:rsidR="00AD1F54" w:rsidRPr="00264D5D" w:rsidRDefault="00941227">
            <w:pPr>
              <w:widowControl w:val="0"/>
              <w:spacing w:before="60" w:after="60"/>
              <w:jc w:val="center"/>
              <w:rPr>
                <w:b/>
                <w:bCs/>
                <w:sz w:val="22"/>
                <w:szCs w:val="22"/>
              </w:rPr>
            </w:pPr>
            <w:r w:rsidRPr="00264D5D">
              <w:rPr>
                <w:b/>
                <w:bCs/>
                <w:sz w:val="22"/>
                <w:szCs w:val="22"/>
              </w:rPr>
              <w:t>Дополнительная информация</w:t>
            </w:r>
          </w:p>
        </w:tc>
      </w:tr>
      <w:tr w:rsidR="00AD1F54" w:rsidRPr="00264D5D" w14:paraId="74B1437D"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409B4F04" w14:textId="77777777" w:rsidR="00AD1F54" w:rsidRPr="00264D5D" w:rsidRDefault="00941227">
            <w:pPr>
              <w:widowControl w:val="0"/>
              <w:spacing w:before="60" w:after="60"/>
              <w:rPr>
                <w:sz w:val="22"/>
                <w:szCs w:val="22"/>
              </w:rPr>
            </w:pPr>
            <w:r w:rsidRPr="00264D5D">
              <w:rPr>
                <w:sz w:val="22"/>
                <w:szCs w:val="22"/>
              </w:rPr>
              <w:t>КБК</w:t>
            </w:r>
          </w:p>
        </w:tc>
        <w:tc>
          <w:tcPr>
            <w:tcW w:w="883" w:type="pct"/>
          </w:tcPr>
          <w:p w14:paraId="213330C9" w14:textId="77777777" w:rsidR="00AD1F54" w:rsidRPr="00264D5D" w:rsidRDefault="00941227">
            <w:pPr>
              <w:widowControl w:val="0"/>
              <w:spacing w:before="60" w:after="60"/>
              <w:rPr>
                <w:sz w:val="22"/>
                <w:szCs w:val="22"/>
              </w:rPr>
            </w:pPr>
            <w:r w:rsidRPr="00264D5D">
              <w:rPr>
                <w:sz w:val="22"/>
                <w:szCs w:val="22"/>
              </w:rPr>
              <w:t>CodeBK</w:t>
            </w:r>
          </w:p>
        </w:tc>
        <w:tc>
          <w:tcPr>
            <w:tcW w:w="294" w:type="pct"/>
          </w:tcPr>
          <w:p w14:paraId="43E34AD0" w14:textId="77777777" w:rsidR="00AD1F54" w:rsidRPr="00264D5D" w:rsidRDefault="00941227">
            <w:pPr>
              <w:widowControl w:val="0"/>
              <w:spacing w:before="60" w:after="60"/>
              <w:jc w:val="center"/>
              <w:rPr>
                <w:sz w:val="22"/>
                <w:szCs w:val="22"/>
              </w:rPr>
            </w:pPr>
            <w:r w:rsidRPr="00264D5D">
              <w:rPr>
                <w:sz w:val="22"/>
                <w:szCs w:val="22"/>
              </w:rPr>
              <w:t>П</w:t>
            </w:r>
          </w:p>
        </w:tc>
        <w:tc>
          <w:tcPr>
            <w:tcW w:w="589" w:type="pct"/>
          </w:tcPr>
          <w:p w14:paraId="01B9E575" w14:textId="77777777" w:rsidR="00AD1F54" w:rsidRPr="00264D5D" w:rsidRDefault="00941227">
            <w:pPr>
              <w:widowControl w:val="0"/>
              <w:spacing w:before="60" w:after="60"/>
              <w:jc w:val="left"/>
              <w:rPr>
                <w:sz w:val="22"/>
                <w:szCs w:val="22"/>
              </w:rPr>
            </w:pPr>
            <w:r w:rsidRPr="00264D5D">
              <w:rPr>
                <w:sz w:val="22"/>
                <w:szCs w:val="22"/>
              </w:rPr>
              <w:t>T(20)</w:t>
            </w:r>
          </w:p>
        </w:tc>
        <w:tc>
          <w:tcPr>
            <w:tcW w:w="294" w:type="pct"/>
          </w:tcPr>
          <w:p w14:paraId="53A46F74" w14:textId="77777777" w:rsidR="00AD1F54" w:rsidRPr="00264D5D" w:rsidRDefault="00941227">
            <w:pPr>
              <w:widowControl w:val="0"/>
              <w:spacing w:before="60" w:after="60"/>
              <w:jc w:val="center"/>
              <w:rPr>
                <w:sz w:val="22"/>
                <w:szCs w:val="22"/>
              </w:rPr>
            </w:pPr>
            <w:r w:rsidRPr="00264D5D">
              <w:rPr>
                <w:sz w:val="22"/>
                <w:szCs w:val="22"/>
              </w:rPr>
              <w:t>О</w:t>
            </w:r>
          </w:p>
        </w:tc>
        <w:tc>
          <w:tcPr>
            <w:tcW w:w="2055" w:type="pct"/>
          </w:tcPr>
          <w:p w14:paraId="66548697" w14:textId="77777777" w:rsidR="00FB163B" w:rsidRPr="00264D5D" w:rsidRDefault="00941227">
            <w:pPr>
              <w:widowControl w:val="0"/>
              <w:spacing w:before="60" w:after="60"/>
              <w:rPr>
                <w:sz w:val="22"/>
                <w:szCs w:val="22"/>
              </w:rPr>
            </w:pPr>
            <w:r w:rsidRPr="00264D5D">
              <w:rPr>
                <w:sz w:val="22"/>
                <w:szCs w:val="22"/>
              </w:rPr>
              <w:t xml:space="preserve">Указывается КБК. </w:t>
            </w:r>
          </w:p>
          <w:p w14:paraId="53BC2A58" w14:textId="77777777" w:rsidR="00AD1F54" w:rsidRPr="00264D5D" w:rsidRDefault="00941227">
            <w:pPr>
              <w:widowControl w:val="0"/>
              <w:spacing w:before="60" w:after="60"/>
              <w:rPr>
                <w:sz w:val="22"/>
                <w:szCs w:val="22"/>
              </w:rPr>
            </w:pPr>
            <w:r w:rsidRPr="00264D5D">
              <w:rPr>
                <w:sz w:val="22"/>
                <w:szCs w:val="22"/>
              </w:rPr>
              <w:t>Значение КБ</w:t>
            </w:r>
            <w:r w:rsidR="00FB163B" w:rsidRPr="00264D5D">
              <w:rPr>
                <w:sz w:val="22"/>
                <w:szCs w:val="22"/>
              </w:rPr>
              <w:t>К должно быть уникально в блоке</w:t>
            </w:r>
          </w:p>
        </w:tc>
      </w:tr>
      <w:tr w:rsidR="00AD1F54" w:rsidRPr="00264D5D" w14:paraId="609A44FA"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4F77043A" w14:textId="77777777" w:rsidR="00AD1F54" w:rsidRPr="00264D5D" w:rsidRDefault="00941227">
            <w:pPr>
              <w:widowControl w:val="0"/>
              <w:spacing w:before="60" w:after="60"/>
              <w:rPr>
                <w:sz w:val="22"/>
                <w:szCs w:val="22"/>
              </w:rPr>
            </w:pPr>
            <w:r w:rsidRPr="00264D5D">
              <w:rPr>
                <w:sz w:val="22"/>
                <w:szCs w:val="22"/>
              </w:rPr>
              <w:t>Сумма на текущий финансовый год</w:t>
            </w:r>
          </w:p>
          <w:p w14:paraId="23E9FB9D" w14:textId="77777777" w:rsidR="00AD1F54" w:rsidRPr="00264D5D" w:rsidRDefault="00941227">
            <w:pPr>
              <w:widowControl w:val="0"/>
              <w:spacing w:before="60" w:after="60"/>
              <w:rPr>
                <w:sz w:val="22"/>
                <w:szCs w:val="22"/>
              </w:rPr>
            </w:pPr>
            <w:r w:rsidRPr="00264D5D">
              <w:rPr>
                <w:sz w:val="22"/>
                <w:szCs w:val="22"/>
              </w:rPr>
              <w:t>(руб.)</w:t>
            </w:r>
          </w:p>
        </w:tc>
        <w:tc>
          <w:tcPr>
            <w:tcW w:w="883" w:type="pct"/>
          </w:tcPr>
          <w:p w14:paraId="62668801" w14:textId="77777777" w:rsidR="00AD1F54" w:rsidRPr="00264D5D" w:rsidRDefault="00941227">
            <w:pPr>
              <w:widowControl w:val="0"/>
              <w:spacing w:before="60" w:after="60"/>
              <w:rPr>
                <w:sz w:val="22"/>
                <w:szCs w:val="22"/>
              </w:rPr>
            </w:pPr>
            <w:r w:rsidRPr="00264D5D">
              <w:rPr>
                <w:sz w:val="22"/>
                <w:szCs w:val="22"/>
              </w:rPr>
              <w:t>currentYear</w:t>
            </w:r>
          </w:p>
        </w:tc>
        <w:tc>
          <w:tcPr>
            <w:tcW w:w="294" w:type="pct"/>
          </w:tcPr>
          <w:p w14:paraId="127C83A1" w14:textId="77777777" w:rsidR="00AD1F54" w:rsidRPr="00264D5D" w:rsidRDefault="00941227">
            <w:pPr>
              <w:widowControl w:val="0"/>
              <w:spacing w:before="60" w:after="60"/>
              <w:jc w:val="center"/>
              <w:rPr>
                <w:sz w:val="22"/>
                <w:szCs w:val="22"/>
              </w:rPr>
            </w:pPr>
            <w:r w:rsidRPr="00264D5D">
              <w:rPr>
                <w:sz w:val="22"/>
                <w:szCs w:val="22"/>
              </w:rPr>
              <w:t>П</w:t>
            </w:r>
          </w:p>
        </w:tc>
        <w:tc>
          <w:tcPr>
            <w:tcW w:w="589" w:type="pct"/>
          </w:tcPr>
          <w:p w14:paraId="4DD2753B" w14:textId="77777777" w:rsidR="00AD1F54" w:rsidRPr="00264D5D" w:rsidRDefault="00941227">
            <w:pPr>
              <w:widowControl w:val="0"/>
              <w:spacing w:before="60" w:after="60"/>
              <w:jc w:val="left"/>
              <w:rPr>
                <w:sz w:val="22"/>
                <w:szCs w:val="22"/>
              </w:rPr>
            </w:pPr>
            <w:r w:rsidRPr="00264D5D">
              <w:rPr>
                <w:sz w:val="22"/>
                <w:szCs w:val="22"/>
              </w:rPr>
              <w:t>N(20.2)</w:t>
            </w:r>
          </w:p>
        </w:tc>
        <w:tc>
          <w:tcPr>
            <w:tcW w:w="294" w:type="pct"/>
          </w:tcPr>
          <w:p w14:paraId="1DE825B0" w14:textId="77777777" w:rsidR="00AD1F54" w:rsidRPr="00264D5D" w:rsidRDefault="00941227">
            <w:pPr>
              <w:widowControl w:val="0"/>
              <w:spacing w:before="60" w:after="60"/>
              <w:jc w:val="center"/>
              <w:rPr>
                <w:sz w:val="22"/>
                <w:szCs w:val="22"/>
              </w:rPr>
            </w:pPr>
            <w:r w:rsidRPr="00264D5D">
              <w:rPr>
                <w:sz w:val="22"/>
                <w:szCs w:val="22"/>
              </w:rPr>
              <w:t>О</w:t>
            </w:r>
          </w:p>
        </w:tc>
        <w:tc>
          <w:tcPr>
            <w:tcW w:w="2055" w:type="pct"/>
          </w:tcPr>
          <w:p w14:paraId="6DFA8ED3" w14:textId="77777777" w:rsidR="00AD1F54" w:rsidRPr="00264D5D" w:rsidRDefault="00941227">
            <w:pPr>
              <w:widowControl w:val="0"/>
              <w:spacing w:before="60" w:after="60"/>
              <w:rPr>
                <w:sz w:val="22"/>
                <w:szCs w:val="22"/>
              </w:rPr>
            </w:pPr>
            <w:r w:rsidRPr="00264D5D">
              <w:rPr>
                <w:sz w:val="22"/>
                <w:szCs w:val="22"/>
              </w:rPr>
              <w:t>Указывается сумма финансового обеспечения на текущий финансовый год, соответствующая КБК.</w:t>
            </w:r>
          </w:p>
          <w:p w14:paraId="40463634" w14:textId="77777777" w:rsidR="00AD1F54" w:rsidRPr="00264D5D" w:rsidRDefault="00941227">
            <w:pPr>
              <w:widowControl w:val="0"/>
              <w:spacing w:before="60" w:after="60"/>
              <w:rPr>
                <w:sz w:val="22"/>
                <w:szCs w:val="22"/>
              </w:rPr>
            </w:pPr>
            <w:r w:rsidRPr="00264D5D">
              <w:rPr>
                <w:sz w:val="22"/>
                <w:szCs w:val="22"/>
              </w:rPr>
              <w:t>При отсутст</w:t>
            </w:r>
            <w:r w:rsidR="00FB163B" w:rsidRPr="00264D5D">
              <w:rPr>
                <w:sz w:val="22"/>
                <w:szCs w:val="22"/>
              </w:rPr>
              <w:t>вии значения указывается «0.00»</w:t>
            </w:r>
          </w:p>
        </w:tc>
      </w:tr>
      <w:tr w:rsidR="00AD1F54" w:rsidRPr="00264D5D" w14:paraId="42E76E0F"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19550DBA" w14:textId="77777777" w:rsidR="00AD1F54" w:rsidRPr="00264D5D" w:rsidRDefault="00941227">
            <w:pPr>
              <w:widowControl w:val="0"/>
              <w:spacing w:before="60" w:after="60"/>
              <w:rPr>
                <w:sz w:val="22"/>
                <w:szCs w:val="22"/>
              </w:rPr>
            </w:pPr>
            <w:r w:rsidRPr="00264D5D">
              <w:rPr>
                <w:sz w:val="22"/>
                <w:szCs w:val="22"/>
              </w:rPr>
              <w:t>Сумма на первый год планового периода</w:t>
            </w:r>
          </w:p>
          <w:p w14:paraId="6EFC696A" w14:textId="77777777" w:rsidR="00AD1F54" w:rsidRPr="00264D5D" w:rsidRDefault="00941227">
            <w:pPr>
              <w:widowControl w:val="0"/>
              <w:spacing w:before="60" w:after="60"/>
              <w:rPr>
                <w:sz w:val="22"/>
                <w:szCs w:val="22"/>
              </w:rPr>
            </w:pPr>
            <w:r w:rsidRPr="00264D5D">
              <w:rPr>
                <w:sz w:val="22"/>
                <w:szCs w:val="22"/>
              </w:rPr>
              <w:t>(руб.)</w:t>
            </w:r>
          </w:p>
        </w:tc>
        <w:tc>
          <w:tcPr>
            <w:tcW w:w="883" w:type="pct"/>
          </w:tcPr>
          <w:p w14:paraId="64650755" w14:textId="77777777" w:rsidR="00AD1F54" w:rsidRPr="00264D5D" w:rsidRDefault="00941227">
            <w:pPr>
              <w:widowControl w:val="0"/>
              <w:spacing w:before="60" w:after="60"/>
              <w:rPr>
                <w:sz w:val="22"/>
                <w:szCs w:val="22"/>
              </w:rPr>
            </w:pPr>
            <w:r w:rsidRPr="00264D5D">
              <w:rPr>
                <w:sz w:val="22"/>
                <w:szCs w:val="22"/>
              </w:rPr>
              <w:t>firstYear</w:t>
            </w:r>
          </w:p>
        </w:tc>
        <w:tc>
          <w:tcPr>
            <w:tcW w:w="294" w:type="pct"/>
          </w:tcPr>
          <w:p w14:paraId="12D74397" w14:textId="77777777" w:rsidR="00AD1F54" w:rsidRPr="00264D5D" w:rsidRDefault="00941227">
            <w:pPr>
              <w:widowControl w:val="0"/>
              <w:spacing w:before="60" w:after="60"/>
              <w:jc w:val="center"/>
              <w:rPr>
                <w:sz w:val="22"/>
                <w:szCs w:val="22"/>
              </w:rPr>
            </w:pPr>
            <w:r w:rsidRPr="00264D5D">
              <w:rPr>
                <w:sz w:val="22"/>
                <w:szCs w:val="22"/>
              </w:rPr>
              <w:t>П</w:t>
            </w:r>
          </w:p>
        </w:tc>
        <w:tc>
          <w:tcPr>
            <w:tcW w:w="589" w:type="pct"/>
          </w:tcPr>
          <w:p w14:paraId="6748A70F" w14:textId="77777777" w:rsidR="00AD1F54" w:rsidRPr="00264D5D" w:rsidRDefault="00941227">
            <w:pPr>
              <w:widowControl w:val="0"/>
              <w:spacing w:before="60" w:after="60"/>
              <w:jc w:val="left"/>
              <w:rPr>
                <w:sz w:val="22"/>
                <w:szCs w:val="22"/>
              </w:rPr>
            </w:pPr>
            <w:r w:rsidRPr="00264D5D">
              <w:rPr>
                <w:sz w:val="22"/>
                <w:szCs w:val="22"/>
              </w:rPr>
              <w:t>N(20.2)</w:t>
            </w:r>
          </w:p>
        </w:tc>
        <w:tc>
          <w:tcPr>
            <w:tcW w:w="294" w:type="pct"/>
          </w:tcPr>
          <w:p w14:paraId="693DD4EC" w14:textId="77777777" w:rsidR="00AD1F54" w:rsidRPr="00264D5D" w:rsidRDefault="00941227">
            <w:pPr>
              <w:widowControl w:val="0"/>
              <w:spacing w:before="60" w:after="60"/>
              <w:jc w:val="center"/>
              <w:rPr>
                <w:sz w:val="22"/>
                <w:szCs w:val="22"/>
              </w:rPr>
            </w:pPr>
            <w:r w:rsidRPr="00264D5D">
              <w:rPr>
                <w:sz w:val="22"/>
                <w:szCs w:val="22"/>
              </w:rPr>
              <w:t>О</w:t>
            </w:r>
          </w:p>
        </w:tc>
        <w:tc>
          <w:tcPr>
            <w:tcW w:w="2055" w:type="pct"/>
          </w:tcPr>
          <w:p w14:paraId="041E3FD9" w14:textId="77777777" w:rsidR="00AD1F54" w:rsidRPr="00264D5D" w:rsidRDefault="00941227">
            <w:pPr>
              <w:widowControl w:val="0"/>
              <w:spacing w:before="60" w:after="60"/>
              <w:rPr>
                <w:sz w:val="22"/>
                <w:szCs w:val="22"/>
              </w:rPr>
            </w:pPr>
            <w:r w:rsidRPr="00264D5D">
              <w:rPr>
                <w:sz w:val="22"/>
                <w:szCs w:val="22"/>
              </w:rPr>
              <w:t>Указывается сумма финансового обеспечения на первый год планового периода, соответствующая КБК.</w:t>
            </w:r>
          </w:p>
          <w:p w14:paraId="178420B5" w14:textId="77777777" w:rsidR="00AD1F54" w:rsidRPr="00264D5D" w:rsidRDefault="00941227">
            <w:pPr>
              <w:widowControl w:val="0"/>
              <w:spacing w:before="60" w:after="60"/>
              <w:rPr>
                <w:sz w:val="22"/>
                <w:szCs w:val="22"/>
              </w:rPr>
            </w:pPr>
            <w:r w:rsidRPr="00264D5D">
              <w:rPr>
                <w:sz w:val="22"/>
                <w:szCs w:val="22"/>
              </w:rPr>
              <w:t>При отсутст</w:t>
            </w:r>
            <w:r w:rsidR="00FB163B" w:rsidRPr="00264D5D">
              <w:rPr>
                <w:sz w:val="22"/>
                <w:szCs w:val="22"/>
              </w:rPr>
              <w:t>вии значения указывается «0.00»</w:t>
            </w:r>
          </w:p>
        </w:tc>
      </w:tr>
      <w:tr w:rsidR="00AD1F54" w:rsidRPr="00264D5D" w14:paraId="1E1A638E"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43761907" w14:textId="77777777" w:rsidR="00AD1F54" w:rsidRPr="00264D5D" w:rsidRDefault="00941227">
            <w:pPr>
              <w:widowControl w:val="0"/>
              <w:spacing w:before="60" w:after="60"/>
              <w:rPr>
                <w:sz w:val="22"/>
                <w:szCs w:val="22"/>
              </w:rPr>
            </w:pPr>
            <w:r w:rsidRPr="00264D5D">
              <w:rPr>
                <w:sz w:val="22"/>
                <w:szCs w:val="22"/>
              </w:rPr>
              <w:t>Сумма на второй год планового периода</w:t>
            </w:r>
          </w:p>
          <w:p w14:paraId="24AB0ABF" w14:textId="77777777" w:rsidR="00AD1F54" w:rsidRPr="00264D5D" w:rsidRDefault="00941227">
            <w:pPr>
              <w:widowControl w:val="0"/>
              <w:spacing w:before="60" w:after="60"/>
              <w:rPr>
                <w:sz w:val="22"/>
                <w:szCs w:val="22"/>
              </w:rPr>
            </w:pPr>
            <w:r w:rsidRPr="00264D5D">
              <w:rPr>
                <w:sz w:val="22"/>
                <w:szCs w:val="22"/>
              </w:rPr>
              <w:t>(руб.)</w:t>
            </w:r>
          </w:p>
        </w:tc>
        <w:tc>
          <w:tcPr>
            <w:tcW w:w="883" w:type="pct"/>
          </w:tcPr>
          <w:p w14:paraId="50C7F5C3" w14:textId="77777777" w:rsidR="00AD1F54" w:rsidRPr="00264D5D" w:rsidRDefault="00941227">
            <w:pPr>
              <w:widowControl w:val="0"/>
              <w:spacing w:before="60" w:after="60"/>
              <w:rPr>
                <w:sz w:val="22"/>
                <w:szCs w:val="22"/>
              </w:rPr>
            </w:pPr>
            <w:r w:rsidRPr="00264D5D">
              <w:rPr>
                <w:sz w:val="22"/>
                <w:szCs w:val="22"/>
              </w:rPr>
              <w:t>secondYear</w:t>
            </w:r>
          </w:p>
        </w:tc>
        <w:tc>
          <w:tcPr>
            <w:tcW w:w="294" w:type="pct"/>
          </w:tcPr>
          <w:p w14:paraId="222C1268" w14:textId="77777777" w:rsidR="00AD1F54" w:rsidRPr="00264D5D" w:rsidRDefault="00941227">
            <w:pPr>
              <w:widowControl w:val="0"/>
              <w:spacing w:before="60" w:after="60"/>
              <w:jc w:val="center"/>
              <w:rPr>
                <w:sz w:val="22"/>
                <w:szCs w:val="22"/>
              </w:rPr>
            </w:pPr>
            <w:r w:rsidRPr="00264D5D">
              <w:rPr>
                <w:sz w:val="22"/>
                <w:szCs w:val="22"/>
              </w:rPr>
              <w:t>П</w:t>
            </w:r>
          </w:p>
        </w:tc>
        <w:tc>
          <w:tcPr>
            <w:tcW w:w="589" w:type="pct"/>
          </w:tcPr>
          <w:p w14:paraId="0FCAEE16" w14:textId="77777777" w:rsidR="00AD1F54" w:rsidRPr="00264D5D" w:rsidRDefault="00941227">
            <w:pPr>
              <w:widowControl w:val="0"/>
              <w:spacing w:before="60" w:after="60"/>
              <w:jc w:val="left"/>
              <w:rPr>
                <w:sz w:val="22"/>
                <w:szCs w:val="22"/>
              </w:rPr>
            </w:pPr>
            <w:r w:rsidRPr="00264D5D">
              <w:rPr>
                <w:sz w:val="22"/>
                <w:szCs w:val="22"/>
              </w:rPr>
              <w:t>N(20.2)</w:t>
            </w:r>
          </w:p>
        </w:tc>
        <w:tc>
          <w:tcPr>
            <w:tcW w:w="294" w:type="pct"/>
          </w:tcPr>
          <w:p w14:paraId="771C6E59" w14:textId="77777777" w:rsidR="00AD1F54" w:rsidRPr="00264D5D" w:rsidRDefault="00941227">
            <w:pPr>
              <w:widowControl w:val="0"/>
              <w:spacing w:before="60" w:after="60"/>
              <w:jc w:val="center"/>
              <w:rPr>
                <w:sz w:val="22"/>
                <w:szCs w:val="22"/>
              </w:rPr>
            </w:pPr>
            <w:r w:rsidRPr="00264D5D">
              <w:rPr>
                <w:sz w:val="22"/>
                <w:szCs w:val="22"/>
              </w:rPr>
              <w:t>О</w:t>
            </w:r>
          </w:p>
        </w:tc>
        <w:tc>
          <w:tcPr>
            <w:tcW w:w="2055" w:type="pct"/>
          </w:tcPr>
          <w:p w14:paraId="18C23A8E" w14:textId="77777777" w:rsidR="00AD1F54" w:rsidRPr="00264D5D" w:rsidRDefault="00941227">
            <w:pPr>
              <w:widowControl w:val="0"/>
              <w:spacing w:before="60" w:after="60"/>
              <w:rPr>
                <w:sz w:val="22"/>
                <w:szCs w:val="22"/>
              </w:rPr>
            </w:pPr>
            <w:r w:rsidRPr="00264D5D">
              <w:rPr>
                <w:sz w:val="22"/>
                <w:szCs w:val="22"/>
              </w:rPr>
              <w:t>Указывается сумма финансового обеспечения на второй год планового периода, соответствующая КБК.</w:t>
            </w:r>
          </w:p>
          <w:p w14:paraId="6E4D148D" w14:textId="77777777" w:rsidR="00AD1F54" w:rsidRPr="00264D5D" w:rsidRDefault="00941227">
            <w:pPr>
              <w:widowControl w:val="0"/>
              <w:spacing w:before="60" w:after="60"/>
              <w:rPr>
                <w:sz w:val="22"/>
                <w:szCs w:val="22"/>
              </w:rPr>
            </w:pPr>
            <w:r w:rsidRPr="00264D5D">
              <w:rPr>
                <w:sz w:val="22"/>
                <w:szCs w:val="22"/>
              </w:rPr>
              <w:t>При отсутст</w:t>
            </w:r>
            <w:r w:rsidR="00FB163B" w:rsidRPr="00264D5D">
              <w:rPr>
                <w:sz w:val="22"/>
                <w:szCs w:val="22"/>
              </w:rPr>
              <w:t>вии значения указывается «0.00»</w:t>
            </w:r>
          </w:p>
        </w:tc>
      </w:tr>
      <w:tr w:rsidR="00AD1F54" w:rsidRPr="00264D5D" w14:paraId="2E7C29D3"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7569FBA6" w14:textId="77777777" w:rsidR="00AD1F54" w:rsidRPr="00264D5D" w:rsidRDefault="00941227">
            <w:pPr>
              <w:widowControl w:val="0"/>
              <w:spacing w:before="60" w:after="60"/>
              <w:rPr>
                <w:sz w:val="22"/>
                <w:szCs w:val="22"/>
              </w:rPr>
            </w:pPr>
            <w:r w:rsidRPr="00264D5D">
              <w:rPr>
                <w:sz w:val="22"/>
                <w:szCs w:val="22"/>
              </w:rPr>
              <w:t>Сумма на последующие периоды</w:t>
            </w:r>
          </w:p>
          <w:p w14:paraId="7DE810ED" w14:textId="77777777" w:rsidR="00AD1F54" w:rsidRPr="00264D5D" w:rsidRDefault="00941227">
            <w:pPr>
              <w:widowControl w:val="0"/>
              <w:spacing w:before="60" w:after="60"/>
              <w:rPr>
                <w:sz w:val="22"/>
                <w:szCs w:val="22"/>
              </w:rPr>
            </w:pPr>
            <w:r w:rsidRPr="00264D5D">
              <w:rPr>
                <w:sz w:val="22"/>
                <w:szCs w:val="22"/>
              </w:rPr>
              <w:t>(руб.)</w:t>
            </w:r>
          </w:p>
        </w:tc>
        <w:tc>
          <w:tcPr>
            <w:tcW w:w="883" w:type="pct"/>
          </w:tcPr>
          <w:p w14:paraId="4ADE5D97" w14:textId="77777777" w:rsidR="00AD1F54" w:rsidRPr="00264D5D" w:rsidRDefault="00941227">
            <w:pPr>
              <w:widowControl w:val="0"/>
              <w:spacing w:before="60" w:after="60"/>
              <w:rPr>
                <w:sz w:val="22"/>
                <w:szCs w:val="22"/>
              </w:rPr>
            </w:pPr>
            <w:r w:rsidRPr="00264D5D">
              <w:rPr>
                <w:sz w:val="22"/>
                <w:szCs w:val="22"/>
              </w:rPr>
              <w:t>nextYear</w:t>
            </w:r>
          </w:p>
        </w:tc>
        <w:tc>
          <w:tcPr>
            <w:tcW w:w="294" w:type="pct"/>
          </w:tcPr>
          <w:p w14:paraId="4FB94FAF" w14:textId="77777777" w:rsidR="00AD1F54" w:rsidRPr="00264D5D" w:rsidRDefault="00941227">
            <w:pPr>
              <w:widowControl w:val="0"/>
              <w:spacing w:before="60" w:after="60"/>
              <w:jc w:val="center"/>
              <w:rPr>
                <w:sz w:val="22"/>
                <w:szCs w:val="22"/>
              </w:rPr>
            </w:pPr>
            <w:r w:rsidRPr="00264D5D">
              <w:rPr>
                <w:sz w:val="22"/>
                <w:szCs w:val="22"/>
              </w:rPr>
              <w:t>П</w:t>
            </w:r>
          </w:p>
        </w:tc>
        <w:tc>
          <w:tcPr>
            <w:tcW w:w="589" w:type="pct"/>
          </w:tcPr>
          <w:p w14:paraId="1332C0A6" w14:textId="77777777" w:rsidR="00AD1F54" w:rsidRPr="00264D5D" w:rsidRDefault="00941227">
            <w:pPr>
              <w:widowControl w:val="0"/>
              <w:spacing w:before="60" w:after="60"/>
              <w:jc w:val="left"/>
              <w:rPr>
                <w:sz w:val="22"/>
                <w:szCs w:val="22"/>
              </w:rPr>
            </w:pPr>
            <w:r w:rsidRPr="00264D5D">
              <w:rPr>
                <w:sz w:val="22"/>
                <w:szCs w:val="22"/>
              </w:rPr>
              <w:t>N(20.2)</w:t>
            </w:r>
          </w:p>
        </w:tc>
        <w:tc>
          <w:tcPr>
            <w:tcW w:w="294" w:type="pct"/>
          </w:tcPr>
          <w:p w14:paraId="1D154C24" w14:textId="77777777" w:rsidR="00AD1F54" w:rsidRPr="00264D5D" w:rsidRDefault="00941227">
            <w:pPr>
              <w:widowControl w:val="0"/>
              <w:spacing w:before="60" w:after="60"/>
              <w:jc w:val="center"/>
              <w:rPr>
                <w:sz w:val="22"/>
                <w:szCs w:val="22"/>
              </w:rPr>
            </w:pPr>
            <w:r w:rsidRPr="00264D5D">
              <w:rPr>
                <w:sz w:val="22"/>
                <w:szCs w:val="22"/>
              </w:rPr>
              <w:t>О</w:t>
            </w:r>
          </w:p>
        </w:tc>
        <w:tc>
          <w:tcPr>
            <w:tcW w:w="2055" w:type="pct"/>
          </w:tcPr>
          <w:p w14:paraId="5516BE85" w14:textId="77777777" w:rsidR="00AD1F54" w:rsidRPr="00264D5D" w:rsidRDefault="00941227">
            <w:pPr>
              <w:widowControl w:val="0"/>
              <w:spacing w:before="60" w:after="60"/>
              <w:rPr>
                <w:sz w:val="22"/>
                <w:szCs w:val="22"/>
              </w:rPr>
            </w:pPr>
            <w:r w:rsidRPr="00264D5D">
              <w:rPr>
                <w:sz w:val="22"/>
                <w:szCs w:val="22"/>
              </w:rPr>
              <w:t>Указывается сумма финансового обеспечения на последующие периоды, соответствующая КБК.</w:t>
            </w:r>
          </w:p>
          <w:p w14:paraId="6497CC0E" w14:textId="77777777" w:rsidR="00AD1F54" w:rsidRPr="00264D5D" w:rsidRDefault="00941227">
            <w:pPr>
              <w:widowControl w:val="0"/>
              <w:spacing w:before="60" w:after="60"/>
              <w:rPr>
                <w:sz w:val="22"/>
                <w:szCs w:val="22"/>
              </w:rPr>
            </w:pPr>
            <w:r w:rsidRPr="00264D5D">
              <w:rPr>
                <w:sz w:val="22"/>
                <w:szCs w:val="22"/>
              </w:rPr>
              <w:t>При отсутствии</w:t>
            </w:r>
            <w:r w:rsidR="00FB163B" w:rsidRPr="00264D5D">
              <w:rPr>
                <w:sz w:val="22"/>
                <w:szCs w:val="22"/>
              </w:rPr>
              <w:t xml:space="preserve"> значения указывается «0.00»</w:t>
            </w:r>
          </w:p>
        </w:tc>
      </w:tr>
      <w:tr w:rsidR="00AD1F54" w:rsidRPr="00264D5D" w14:paraId="6DB91511"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6C5D5D57" w14:textId="77777777" w:rsidR="00AD1F54" w:rsidRPr="00264D5D" w:rsidRDefault="00941227">
            <w:pPr>
              <w:widowControl w:val="0"/>
              <w:spacing w:before="60" w:after="60"/>
              <w:rPr>
                <w:sz w:val="22"/>
                <w:szCs w:val="22"/>
              </w:rPr>
            </w:pPr>
            <w:r w:rsidRPr="00264D5D">
              <w:rPr>
                <w:sz w:val="22"/>
                <w:szCs w:val="22"/>
              </w:rPr>
              <w:lastRenderedPageBreak/>
              <w:t>Сумма всего</w:t>
            </w:r>
          </w:p>
          <w:p w14:paraId="54D2BCB4" w14:textId="77777777" w:rsidR="00AD1F54" w:rsidRPr="00264D5D" w:rsidRDefault="00941227">
            <w:pPr>
              <w:widowControl w:val="0"/>
              <w:spacing w:before="60" w:after="60"/>
              <w:rPr>
                <w:sz w:val="22"/>
                <w:szCs w:val="22"/>
              </w:rPr>
            </w:pPr>
            <w:r w:rsidRPr="00264D5D">
              <w:rPr>
                <w:sz w:val="22"/>
                <w:szCs w:val="22"/>
              </w:rPr>
              <w:t>(руб.)</w:t>
            </w:r>
          </w:p>
        </w:tc>
        <w:tc>
          <w:tcPr>
            <w:tcW w:w="883" w:type="pct"/>
          </w:tcPr>
          <w:p w14:paraId="339E2706" w14:textId="77777777" w:rsidR="00AD1F54" w:rsidRPr="00264D5D" w:rsidRDefault="00941227">
            <w:pPr>
              <w:widowControl w:val="0"/>
              <w:spacing w:before="60" w:after="60"/>
              <w:rPr>
                <w:sz w:val="22"/>
                <w:szCs w:val="22"/>
              </w:rPr>
            </w:pPr>
            <w:r w:rsidRPr="00264D5D">
              <w:rPr>
                <w:sz w:val="22"/>
                <w:szCs w:val="22"/>
              </w:rPr>
              <w:t>total</w:t>
            </w:r>
          </w:p>
        </w:tc>
        <w:tc>
          <w:tcPr>
            <w:tcW w:w="294" w:type="pct"/>
          </w:tcPr>
          <w:p w14:paraId="554BDEA8" w14:textId="77777777" w:rsidR="00AD1F54" w:rsidRPr="00264D5D" w:rsidRDefault="00941227">
            <w:pPr>
              <w:widowControl w:val="0"/>
              <w:spacing w:before="60" w:after="60"/>
              <w:jc w:val="center"/>
              <w:rPr>
                <w:sz w:val="22"/>
                <w:szCs w:val="22"/>
              </w:rPr>
            </w:pPr>
            <w:r w:rsidRPr="00264D5D">
              <w:rPr>
                <w:sz w:val="22"/>
                <w:szCs w:val="22"/>
              </w:rPr>
              <w:t>П</w:t>
            </w:r>
          </w:p>
        </w:tc>
        <w:tc>
          <w:tcPr>
            <w:tcW w:w="589" w:type="pct"/>
          </w:tcPr>
          <w:p w14:paraId="5AA9A5D3" w14:textId="77777777" w:rsidR="00AD1F54" w:rsidRPr="00264D5D" w:rsidRDefault="00941227">
            <w:pPr>
              <w:widowControl w:val="0"/>
              <w:spacing w:before="60" w:after="60"/>
              <w:jc w:val="left"/>
              <w:rPr>
                <w:sz w:val="22"/>
                <w:szCs w:val="22"/>
              </w:rPr>
            </w:pPr>
            <w:r w:rsidRPr="00264D5D">
              <w:rPr>
                <w:sz w:val="22"/>
                <w:szCs w:val="22"/>
              </w:rPr>
              <w:t>N(20.2)</w:t>
            </w:r>
          </w:p>
        </w:tc>
        <w:tc>
          <w:tcPr>
            <w:tcW w:w="294" w:type="pct"/>
          </w:tcPr>
          <w:p w14:paraId="394B84D7" w14:textId="77777777" w:rsidR="00AD1F54" w:rsidRPr="00264D5D" w:rsidRDefault="00941227">
            <w:pPr>
              <w:widowControl w:val="0"/>
              <w:spacing w:before="60" w:after="60"/>
              <w:jc w:val="center"/>
              <w:rPr>
                <w:sz w:val="22"/>
                <w:szCs w:val="22"/>
              </w:rPr>
            </w:pPr>
            <w:r w:rsidRPr="00264D5D">
              <w:rPr>
                <w:sz w:val="22"/>
                <w:szCs w:val="22"/>
              </w:rPr>
              <w:t>О</w:t>
            </w:r>
          </w:p>
        </w:tc>
        <w:tc>
          <w:tcPr>
            <w:tcW w:w="2055" w:type="pct"/>
          </w:tcPr>
          <w:p w14:paraId="2134093E" w14:textId="77777777" w:rsidR="00AD1F54" w:rsidRPr="00264D5D" w:rsidRDefault="00941227">
            <w:pPr>
              <w:widowControl w:val="0"/>
              <w:spacing w:before="60" w:after="60"/>
              <w:rPr>
                <w:sz w:val="22"/>
                <w:szCs w:val="22"/>
              </w:rPr>
            </w:pPr>
            <w:r w:rsidRPr="00264D5D">
              <w:rPr>
                <w:sz w:val="22"/>
                <w:szCs w:val="22"/>
              </w:rPr>
              <w:t>Указывается общая сумма финансового обеспечения, соответствующая КБК.</w:t>
            </w:r>
          </w:p>
          <w:p w14:paraId="645360E5" w14:textId="77777777" w:rsidR="00AD1F54" w:rsidRPr="00264D5D" w:rsidRDefault="00941227">
            <w:pPr>
              <w:widowControl w:val="0"/>
              <w:spacing w:before="60" w:after="60"/>
              <w:rPr>
                <w:sz w:val="22"/>
                <w:szCs w:val="22"/>
              </w:rPr>
            </w:pPr>
            <w:r w:rsidRPr="00264D5D">
              <w:rPr>
                <w:sz w:val="22"/>
                <w:szCs w:val="22"/>
              </w:rPr>
              <w:t>При отсутст</w:t>
            </w:r>
            <w:r w:rsidR="00FB163B" w:rsidRPr="00264D5D">
              <w:rPr>
                <w:sz w:val="22"/>
                <w:szCs w:val="22"/>
              </w:rPr>
              <w:t>вии значения указывается «0.00»</w:t>
            </w:r>
          </w:p>
        </w:tc>
      </w:tr>
    </w:tbl>
    <w:p w14:paraId="706A323F" w14:textId="77777777" w:rsidR="00AD1F54" w:rsidRPr="00264D5D" w:rsidRDefault="00941227">
      <w:pPr>
        <w:pStyle w:val="31"/>
      </w:pPr>
      <w:bookmarkStart w:id="4435" w:name="_Toc84503093"/>
      <w:bookmarkStart w:id="4436" w:name="_Toc219309827"/>
      <w:r w:rsidRPr="00264D5D">
        <w:t>Описание комплексного типа «tfinanceInfoKOKS»</w:t>
      </w:r>
      <w:bookmarkEnd w:id="4435"/>
      <w:bookmarkEnd w:id="4436"/>
    </w:p>
    <w:p w14:paraId="35168B81" w14:textId="77777777" w:rsidR="00AD1F54" w:rsidRPr="00264D5D" w:rsidRDefault="00941227">
      <w:pPr>
        <w:pStyle w:val="ASFKNormal"/>
        <w:widowControl w:val="0"/>
        <w:spacing w:before="60" w:after="120"/>
        <w:contextualSpacing w:val="0"/>
        <w:jc w:val="both"/>
        <w:rPr>
          <w:sz w:val="24"/>
          <w:szCs w:val="24"/>
        </w:rPr>
      </w:pPr>
      <w:r w:rsidRPr="00264D5D">
        <w:rPr>
          <w:sz w:val="24"/>
          <w:szCs w:val="24"/>
        </w:rPr>
        <w:t>Описание комплексного типа «</w:t>
      </w:r>
      <w:r w:rsidRPr="00264D5D">
        <w:rPr>
          <w:sz w:val="24"/>
          <w:szCs w:val="24"/>
          <w:lang w:val="en-US"/>
        </w:rPr>
        <w:t>t</w:t>
      </w:r>
      <w:r w:rsidRPr="00264D5D">
        <w:rPr>
          <w:sz w:val="22"/>
          <w:szCs w:val="22"/>
          <w:lang w:val="en-US"/>
        </w:rPr>
        <w:t>f</w:t>
      </w:r>
      <w:r w:rsidRPr="00264D5D">
        <w:rPr>
          <w:sz w:val="22"/>
          <w:szCs w:val="22"/>
        </w:rPr>
        <w:t>inanceInfo</w:t>
      </w:r>
      <w:r w:rsidRPr="00264D5D">
        <w:rPr>
          <w:sz w:val="22"/>
          <w:szCs w:val="22"/>
          <w:lang w:val="en-US"/>
        </w:rPr>
        <w:t>KOKS</w:t>
      </w:r>
      <w:r w:rsidRPr="00264D5D">
        <w:rPr>
          <w:sz w:val="24"/>
          <w:szCs w:val="24"/>
        </w:rPr>
        <w:t>» блока «Объем финансового обеспечения в разрезе ОКС (ОКВ)».</w:t>
      </w:r>
    </w:p>
    <w:p w14:paraId="3CF2AE01" w14:textId="5EB3EC76"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w:instrText>
      </w:r>
      <w:r w:rsidRPr="00264D5D">
        <w:rPr>
          <w:rFonts w:eastAsia="Calibri"/>
          <w:szCs w:val="24"/>
          <w:lang w:val="en-US"/>
        </w:rPr>
        <w:instrText>SEQ</w:instrText>
      </w:r>
      <w:r w:rsidRPr="00264D5D">
        <w:rPr>
          <w:rFonts w:eastAsia="Calibri"/>
          <w:szCs w:val="24"/>
        </w:rPr>
        <w:instrText xml:space="preserve"> Таблица \* </w:instrText>
      </w:r>
      <w:r w:rsidRPr="00264D5D">
        <w:rPr>
          <w:rFonts w:eastAsia="Calibri"/>
          <w:szCs w:val="24"/>
          <w:lang w:val="en-US"/>
        </w:rPr>
        <w:instrText>ARABIC</w:instrText>
      </w:r>
      <w:r w:rsidRPr="00264D5D">
        <w:rPr>
          <w:rFonts w:eastAsia="Calibri"/>
          <w:szCs w:val="24"/>
        </w:rPr>
        <w:instrText xml:space="preserve"> </w:instrText>
      </w:r>
      <w:r w:rsidRPr="00264D5D">
        <w:rPr>
          <w:rFonts w:eastAsia="Calibri"/>
          <w:szCs w:val="24"/>
        </w:rPr>
        <w:fldChar w:fldCharType="separate"/>
      </w:r>
      <w:bookmarkStart w:id="4437" w:name="_Ref79761021"/>
      <w:bookmarkStart w:id="4438" w:name="_Toc84503041"/>
      <w:bookmarkStart w:id="4439" w:name="_Toc219309370"/>
      <w:r w:rsidR="008D797C">
        <w:rPr>
          <w:rFonts w:eastAsia="Calibri"/>
          <w:noProof/>
          <w:szCs w:val="24"/>
          <w:lang w:val="en-US"/>
        </w:rPr>
        <w:t>340</w:t>
      </w:r>
      <w:bookmarkEnd w:id="4437"/>
      <w:r w:rsidRPr="00264D5D">
        <w:rPr>
          <w:rFonts w:eastAsia="Calibri"/>
          <w:szCs w:val="24"/>
        </w:rPr>
        <w:fldChar w:fldCharType="end"/>
      </w:r>
      <w:r w:rsidRPr="00264D5D">
        <w:rPr>
          <w:rFonts w:eastAsia="Calibri"/>
          <w:szCs w:val="24"/>
        </w:rPr>
        <w:t xml:space="preserve"> – Описание комплексного типа «</w:t>
      </w:r>
      <w:r w:rsidRPr="00264D5D">
        <w:rPr>
          <w:rFonts w:eastAsia="Calibri"/>
          <w:szCs w:val="24"/>
          <w:lang w:val="en-US"/>
        </w:rPr>
        <w:t>t</w:t>
      </w:r>
      <w:r w:rsidRPr="00264D5D">
        <w:rPr>
          <w:szCs w:val="24"/>
          <w:lang w:val="en-US"/>
        </w:rPr>
        <w:t>f</w:t>
      </w:r>
      <w:r w:rsidRPr="00264D5D">
        <w:rPr>
          <w:szCs w:val="24"/>
        </w:rPr>
        <w:t>inanceInfo</w:t>
      </w:r>
      <w:r w:rsidRPr="00264D5D">
        <w:rPr>
          <w:szCs w:val="24"/>
          <w:lang w:val="en-US"/>
        </w:rPr>
        <w:t>KOKS</w:t>
      </w:r>
      <w:r w:rsidRPr="00264D5D">
        <w:rPr>
          <w:rFonts w:eastAsia="Calibri"/>
          <w:szCs w:val="24"/>
        </w:rPr>
        <w:t>»</w:t>
      </w:r>
      <w:bookmarkEnd w:id="4438"/>
      <w:bookmarkEnd w:id="4439"/>
    </w:p>
    <w:tbl>
      <w:tblPr>
        <w:tblStyle w:val="GOSTTable"/>
        <w:tblW w:w="5000" w:type="pct"/>
        <w:tblLayout w:type="fixed"/>
        <w:tblLook w:val="04A0" w:firstRow="1" w:lastRow="0" w:firstColumn="1" w:lastColumn="0" w:noHBand="0" w:noVBand="1"/>
      </w:tblPr>
      <w:tblGrid>
        <w:gridCol w:w="1703"/>
        <w:gridCol w:w="1702"/>
        <w:gridCol w:w="569"/>
        <w:gridCol w:w="1137"/>
        <w:gridCol w:w="569"/>
        <w:gridCol w:w="3970"/>
      </w:tblGrid>
      <w:tr w:rsidR="00AD1F54" w:rsidRPr="00264D5D" w14:paraId="17B1ACDE" w14:textId="77777777" w:rsidTr="00AD1F54">
        <w:trPr>
          <w:cnfStyle w:val="100000000000" w:firstRow="1" w:lastRow="0" w:firstColumn="0" w:lastColumn="0" w:oddVBand="0" w:evenVBand="0" w:oddHBand="0" w:evenHBand="0" w:firstRowFirstColumn="0" w:firstRowLastColumn="0" w:lastRowFirstColumn="0" w:lastRowLastColumn="0"/>
          <w:trHeight w:val="282"/>
          <w:tblHeader/>
        </w:trPr>
        <w:tc>
          <w:tcPr>
            <w:tcW w:w="882" w:type="pct"/>
          </w:tcPr>
          <w:p w14:paraId="450A238C" w14:textId="77777777" w:rsidR="00AD1F54" w:rsidRPr="00264D5D" w:rsidRDefault="00941227">
            <w:pPr>
              <w:widowControl w:val="0"/>
              <w:spacing w:before="60" w:after="60"/>
              <w:jc w:val="center"/>
              <w:rPr>
                <w:b/>
                <w:bCs/>
                <w:sz w:val="22"/>
                <w:szCs w:val="22"/>
                <w:lang w:val="en-US"/>
              </w:rPr>
            </w:pPr>
            <w:r w:rsidRPr="00264D5D">
              <w:rPr>
                <w:b/>
                <w:bCs/>
                <w:sz w:val="22"/>
                <w:szCs w:val="22"/>
              </w:rPr>
              <w:t>Наименование комплексного типа</w:t>
            </w:r>
          </w:p>
        </w:tc>
        <w:tc>
          <w:tcPr>
            <w:tcW w:w="882" w:type="pct"/>
          </w:tcPr>
          <w:p w14:paraId="31027AC4" w14:textId="77777777" w:rsidR="00AD1F54" w:rsidRPr="00264D5D" w:rsidRDefault="00941227">
            <w:pPr>
              <w:widowControl w:val="0"/>
              <w:spacing w:before="60" w:after="60"/>
              <w:jc w:val="center"/>
              <w:rPr>
                <w:b/>
                <w:bCs/>
                <w:sz w:val="22"/>
                <w:szCs w:val="22"/>
              </w:rPr>
            </w:pPr>
            <w:r w:rsidRPr="00264D5D">
              <w:rPr>
                <w:b/>
                <w:bCs/>
                <w:sz w:val="22"/>
                <w:szCs w:val="22"/>
              </w:rPr>
              <w:t>Текущий элемент/</w:t>
            </w:r>
            <w:r w:rsidRPr="00264D5D">
              <w:rPr>
                <w:b/>
                <w:bCs/>
                <w:sz w:val="22"/>
                <w:szCs w:val="22"/>
                <w:lang w:val="en-US"/>
              </w:rPr>
              <w:t xml:space="preserve"> </w:t>
            </w:r>
            <w:r w:rsidRPr="00264D5D">
              <w:rPr>
                <w:b/>
                <w:bCs/>
                <w:sz w:val="22"/>
                <w:szCs w:val="22"/>
              </w:rPr>
              <w:t>атрибут</w:t>
            </w:r>
          </w:p>
        </w:tc>
        <w:tc>
          <w:tcPr>
            <w:tcW w:w="295" w:type="pct"/>
          </w:tcPr>
          <w:p w14:paraId="472C80ED" w14:textId="77777777" w:rsidR="00AD1F54" w:rsidRPr="00264D5D" w:rsidRDefault="00941227">
            <w:pPr>
              <w:widowControl w:val="0"/>
              <w:spacing w:before="60" w:after="60"/>
              <w:jc w:val="center"/>
              <w:rPr>
                <w:b/>
                <w:sz w:val="22"/>
                <w:szCs w:val="22"/>
              </w:rPr>
            </w:pPr>
            <w:r w:rsidRPr="00264D5D">
              <w:rPr>
                <w:b/>
                <w:bCs/>
                <w:sz w:val="22"/>
                <w:szCs w:val="22"/>
              </w:rPr>
              <w:t>Тип</w:t>
            </w:r>
          </w:p>
        </w:tc>
        <w:tc>
          <w:tcPr>
            <w:tcW w:w="589" w:type="pct"/>
          </w:tcPr>
          <w:p w14:paraId="115AE821" w14:textId="77777777" w:rsidR="00AD1F54" w:rsidRPr="00264D5D" w:rsidRDefault="00941227">
            <w:pPr>
              <w:widowControl w:val="0"/>
              <w:spacing w:before="60" w:after="60"/>
              <w:jc w:val="center"/>
              <w:rPr>
                <w:b/>
                <w:sz w:val="22"/>
                <w:szCs w:val="22"/>
              </w:rPr>
            </w:pPr>
            <w:r w:rsidRPr="00264D5D">
              <w:rPr>
                <w:b/>
                <w:bCs/>
                <w:sz w:val="22"/>
                <w:szCs w:val="22"/>
              </w:rPr>
              <w:t>Формат элемента</w:t>
            </w:r>
          </w:p>
        </w:tc>
        <w:tc>
          <w:tcPr>
            <w:tcW w:w="295" w:type="pct"/>
          </w:tcPr>
          <w:p w14:paraId="67880045" w14:textId="77777777" w:rsidR="00AD1F54" w:rsidRPr="00264D5D" w:rsidRDefault="00941227">
            <w:pPr>
              <w:widowControl w:val="0"/>
              <w:spacing w:before="60" w:after="60"/>
              <w:jc w:val="center"/>
              <w:rPr>
                <w:b/>
                <w:bCs/>
                <w:sz w:val="22"/>
                <w:szCs w:val="22"/>
              </w:rPr>
            </w:pPr>
            <w:r w:rsidRPr="00264D5D">
              <w:rPr>
                <w:b/>
                <w:bCs/>
                <w:sz w:val="22"/>
                <w:szCs w:val="22"/>
              </w:rPr>
              <w:t>Обязательность</w:t>
            </w:r>
          </w:p>
        </w:tc>
        <w:tc>
          <w:tcPr>
            <w:tcW w:w="2057" w:type="pct"/>
          </w:tcPr>
          <w:p w14:paraId="677F3F70" w14:textId="77777777" w:rsidR="00AD1F54" w:rsidRPr="00264D5D" w:rsidRDefault="00941227">
            <w:pPr>
              <w:widowControl w:val="0"/>
              <w:spacing w:before="60" w:after="60"/>
              <w:jc w:val="center"/>
              <w:rPr>
                <w:b/>
                <w:bCs/>
                <w:sz w:val="22"/>
                <w:szCs w:val="22"/>
              </w:rPr>
            </w:pPr>
            <w:r w:rsidRPr="00264D5D">
              <w:rPr>
                <w:b/>
                <w:bCs/>
                <w:sz w:val="22"/>
                <w:szCs w:val="22"/>
              </w:rPr>
              <w:t>Дополнительная информация</w:t>
            </w:r>
          </w:p>
        </w:tc>
      </w:tr>
      <w:tr w:rsidR="00AD1F54" w:rsidRPr="00264D5D" w14:paraId="21E40530" w14:textId="77777777" w:rsidTr="00AD1F54">
        <w:trPr>
          <w:cnfStyle w:val="000000100000" w:firstRow="0" w:lastRow="0" w:firstColumn="0" w:lastColumn="0" w:oddVBand="0" w:evenVBand="0" w:oddHBand="1" w:evenHBand="0" w:firstRowFirstColumn="0" w:firstRowLastColumn="0" w:lastRowFirstColumn="0" w:lastRowLastColumn="0"/>
          <w:trHeight w:val="282"/>
        </w:trPr>
        <w:tc>
          <w:tcPr>
            <w:tcW w:w="882" w:type="pct"/>
          </w:tcPr>
          <w:p w14:paraId="164179D2" w14:textId="77777777" w:rsidR="00AD1F54" w:rsidRPr="00264D5D" w:rsidRDefault="00941227">
            <w:pPr>
              <w:widowControl w:val="0"/>
              <w:spacing w:before="60" w:after="60"/>
              <w:rPr>
                <w:sz w:val="22"/>
                <w:szCs w:val="22"/>
                <w:lang w:val="en-US"/>
              </w:rPr>
            </w:pPr>
            <w:r w:rsidRPr="00264D5D">
              <w:rPr>
                <w:sz w:val="22"/>
                <w:szCs w:val="22"/>
                <w:lang w:val="en-US"/>
              </w:rPr>
              <w:t>tf</w:t>
            </w:r>
            <w:r w:rsidRPr="00264D5D">
              <w:rPr>
                <w:sz w:val="22"/>
                <w:szCs w:val="22"/>
              </w:rPr>
              <w:t>inanceInfo</w:t>
            </w:r>
            <w:r w:rsidRPr="00264D5D">
              <w:rPr>
                <w:sz w:val="22"/>
                <w:szCs w:val="22"/>
                <w:lang w:val="en-US"/>
              </w:rPr>
              <w:t>KOKS</w:t>
            </w:r>
          </w:p>
        </w:tc>
        <w:tc>
          <w:tcPr>
            <w:tcW w:w="882" w:type="pct"/>
          </w:tcPr>
          <w:p w14:paraId="68EB3777" w14:textId="77777777" w:rsidR="00AD1F54" w:rsidRPr="00264D5D" w:rsidRDefault="00941227">
            <w:pPr>
              <w:widowControl w:val="0"/>
              <w:tabs>
                <w:tab w:val="left" w:pos="1122"/>
              </w:tabs>
              <w:spacing w:before="60" w:after="60"/>
              <w:rPr>
                <w:sz w:val="22"/>
                <w:szCs w:val="22"/>
                <w:lang w:val="en-US"/>
              </w:rPr>
            </w:pPr>
            <w:r w:rsidRPr="00264D5D">
              <w:rPr>
                <w:sz w:val="22"/>
                <w:szCs w:val="22"/>
                <w:lang w:val="en-US"/>
              </w:rPr>
              <w:t>financeInfoKOKSItem</w:t>
            </w:r>
          </w:p>
        </w:tc>
        <w:tc>
          <w:tcPr>
            <w:tcW w:w="295" w:type="pct"/>
          </w:tcPr>
          <w:p w14:paraId="22BBC9B1" w14:textId="77777777" w:rsidR="00AD1F54" w:rsidRPr="00264D5D" w:rsidRDefault="00941227">
            <w:pPr>
              <w:widowControl w:val="0"/>
              <w:spacing w:before="60" w:after="60"/>
              <w:jc w:val="center"/>
              <w:rPr>
                <w:sz w:val="22"/>
                <w:szCs w:val="22"/>
              </w:rPr>
            </w:pPr>
            <w:r w:rsidRPr="00264D5D">
              <w:rPr>
                <w:sz w:val="22"/>
                <w:szCs w:val="22"/>
              </w:rPr>
              <w:t>С</w:t>
            </w:r>
          </w:p>
        </w:tc>
        <w:tc>
          <w:tcPr>
            <w:tcW w:w="589" w:type="pct"/>
          </w:tcPr>
          <w:p w14:paraId="19354FA3" w14:textId="77777777" w:rsidR="00AD1F54" w:rsidRPr="00264D5D" w:rsidRDefault="00941227">
            <w:pPr>
              <w:widowControl w:val="0"/>
              <w:spacing w:before="60" w:after="60"/>
              <w:jc w:val="left"/>
              <w:rPr>
                <w:sz w:val="22"/>
                <w:szCs w:val="22"/>
              </w:rPr>
            </w:pPr>
            <w:r w:rsidRPr="00264D5D">
              <w:rPr>
                <w:sz w:val="22"/>
                <w:szCs w:val="22"/>
                <w:lang w:val="en-US"/>
              </w:rPr>
              <w:t>tfinanceInfoKOKSItem</w:t>
            </w:r>
          </w:p>
        </w:tc>
        <w:tc>
          <w:tcPr>
            <w:tcW w:w="295" w:type="pct"/>
          </w:tcPr>
          <w:p w14:paraId="2D3CECDE" w14:textId="77777777" w:rsidR="00AD1F54" w:rsidRPr="00264D5D" w:rsidRDefault="00941227">
            <w:pPr>
              <w:widowControl w:val="0"/>
              <w:spacing w:before="60" w:after="60"/>
              <w:jc w:val="center"/>
              <w:rPr>
                <w:sz w:val="22"/>
                <w:szCs w:val="22"/>
              </w:rPr>
            </w:pPr>
            <w:r w:rsidRPr="00264D5D">
              <w:rPr>
                <w:sz w:val="22"/>
                <w:szCs w:val="22"/>
              </w:rPr>
              <w:t>ОМ</w:t>
            </w:r>
          </w:p>
        </w:tc>
        <w:tc>
          <w:tcPr>
            <w:tcW w:w="2057" w:type="pct"/>
          </w:tcPr>
          <w:p w14:paraId="1557D386" w14:textId="77777777" w:rsidR="00AD1F54" w:rsidRPr="00264D5D" w:rsidRDefault="00941227">
            <w:pPr>
              <w:widowControl w:val="0"/>
              <w:spacing w:before="60" w:after="60"/>
              <w:rPr>
                <w:sz w:val="22"/>
                <w:szCs w:val="22"/>
              </w:rPr>
            </w:pPr>
            <w:r w:rsidRPr="00264D5D">
              <w:rPr>
                <w:sz w:val="22"/>
                <w:szCs w:val="22"/>
              </w:rPr>
              <w:t>Объем финансового обеспечения в разрезе ОКС (ОКВ).</w:t>
            </w:r>
          </w:p>
          <w:p w14:paraId="655A6B1B" w14:textId="77777777" w:rsidR="00AD1F54" w:rsidRPr="00264D5D" w:rsidRDefault="00941227">
            <w:pPr>
              <w:widowControl w:val="0"/>
              <w:spacing w:before="60" w:after="60"/>
              <w:rPr>
                <w:sz w:val="22"/>
                <w:szCs w:val="22"/>
              </w:rPr>
            </w:pPr>
            <w:r w:rsidRPr="00264D5D">
              <w:rPr>
                <w:sz w:val="22"/>
                <w:szCs w:val="22"/>
              </w:rPr>
              <w:t>Значение ОКС (ОКВ) должно быть уникально в блоке.</w:t>
            </w:r>
          </w:p>
          <w:p w14:paraId="58CBEA2F" w14:textId="4D146D70" w:rsidR="00AD1F54" w:rsidRPr="00264D5D" w:rsidRDefault="00941227">
            <w:pPr>
              <w:widowControl w:val="0"/>
              <w:spacing w:before="60" w:after="60"/>
              <w:rPr>
                <w:sz w:val="22"/>
                <w:szCs w:val="22"/>
              </w:rPr>
            </w:pPr>
            <w:r w:rsidRPr="00264D5D">
              <w:rPr>
                <w:sz w:val="22"/>
                <w:szCs w:val="22"/>
              </w:rPr>
              <w:t xml:space="preserve">Состав элемента представлен в таблице </w:t>
            </w:r>
            <w:r w:rsidRPr="00264D5D">
              <w:rPr>
                <w:b/>
                <w:sz w:val="22"/>
                <w:szCs w:val="22"/>
              </w:rPr>
              <w:fldChar w:fldCharType="begin"/>
            </w:r>
            <w:r w:rsidRPr="00264D5D">
              <w:rPr>
                <w:b/>
                <w:sz w:val="22"/>
                <w:szCs w:val="22"/>
              </w:rPr>
              <w:instrText xml:space="preserve"> REF _Ref79761080 \h  \* MERGEFORMAT </w:instrText>
            </w:r>
            <w:r w:rsidRPr="00264D5D">
              <w:rPr>
                <w:b/>
                <w:sz w:val="22"/>
                <w:szCs w:val="22"/>
              </w:rPr>
            </w:r>
            <w:r w:rsidRPr="00264D5D">
              <w:rPr>
                <w:b/>
                <w:sz w:val="22"/>
                <w:szCs w:val="22"/>
              </w:rPr>
              <w:fldChar w:fldCharType="separate"/>
            </w:r>
            <w:r w:rsidR="008D797C" w:rsidRPr="008D797C">
              <w:rPr>
                <w:rFonts w:eastAsia="Calibri"/>
                <w:b/>
                <w:sz w:val="22"/>
                <w:szCs w:val="22"/>
              </w:rPr>
              <w:t>341</w:t>
            </w:r>
            <w:r w:rsidRPr="00264D5D">
              <w:rPr>
                <w:b/>
                <w:sz w:val="22"/>
                <w:szCs w:val="22"/>
              </w:rPr>
              <w:fldChar w:fldCharType="end"/>
            </w:r>
          </w:p>
        </w:tc>
      </w:tr>
    </w:tbl>
    <w:p w14:paraId="43A7BC6F" w14:textId="77777777" w:rsidR="00AD1F54" w:rsidRPr="00264D5D" w:rsidRDefault="00941227">
      <w:pPr>
        <w:pStyle w:val="31"/>
      </w:pPr>
      <w:bookmarkStart w:id="4440" w:name="_Toc84503094"/>
      <w:bookmarkStart w:id="4441" w:name="_Toc219309828"/>
      <w:r w:rsidRPr="00264D5D">
        <w:t>Описание комплексного типа «tfinanceInfoKOKSItem»</w:t>
      </w:r>
      <w:bookmarkEnd w:id="4440"/>
      <w:bookmarkEnd w:id="4441"/>
    </w:p>
    <w:p w14:paraId="14F4B86E" w14:textId="77777777" w:rsidR="00AD1F54" w:rsidRPr="00264D5D" w:rsidRDefault="00941227">
      <w:pPr>
        <w:pStyle w:val="ASFKNormal"/>
        <w:widowControl w:val="0"/>
        <w:spacing w:before="60" w:after="120"/>
        <w:contextualSpacing w:val="0"/>
        <w:jc w:val="both"/>
        <w:rPr>
          <w:sz w:val="24"/>
          <w:szCs w:val="24"/>
        </w:rPr>
      </w:pPr>
      <w:r w:rsidRPr="00264D5D">
        <w:rPr>
          <w:sz w:val="24"/>
          <w:szCs w:val="24"/>
        </w:rPr>
        <w:t>Описание комплексного типа «</w:t>
      </w:r>
      <w:r w:rsidRPr="00264D5D">
        <w:rPr>
          <w:sz w:val="24"/>
          <w:szCs w:val="24"/>
          <w:lang w:val="en-US"/>
        </w:rPr>
        <w:t>tf</w:t>
      </w:r>
      <w:r w:rsidRPr="00264D5D">
        <w:rPr>
          <w:sz w:val="24"/>
          <w:szCs w:val="24"/>
        </w:rPr>
        <w:t>inanceInfo</w:t>
      </w:r>
      <w:r w:rsidRPr="00264D5D">
        <w:rPr>
          <w:sz w:val="24"/>
          <w:szCs w:val="24"/>
          <w:lang w:val="en-US"/>
        </w:rPr>
        <w:t>KOKS</w:t>
      </w:r>
      <w:r w:rsidRPr="00264D5D">
        <w:rPr>
          <w:sz w:val="24"/>
          <w:szCs w:val="24"/>
        </w:rPr>
        <w:t>Item» строк блока «Объем финансового обеспечения в разрезе ОКС (ОКВ)».</w:t>
      </w:r>
    </w:p>
    <w:p w14:paraId="0B542017" w14:textId="25BADD50"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w:instrText>
      </w:r>
      <w:r w:rsidRPr="00264D5D">
        <w:rPr>
          <w:rFonts w:eastAsia="Calibri"/>
          <w:szCs w:val="24"/>
          <w:lang w:val="en-US"/>
        </w:rPr>
        <w:instrText>SEQ</w:instrText>
      </w:r>
      <w:r w:rsidRPr="00264D5D">
        <w:rPr>
          <w:rFonts w:eastAsia="Calibri"/>
          <w:szCs w:val="24"/>
        </w:rPr>
        <w:instrText xml:space="preserve"> Таблица \* </w:instrText>
      </w:r>
      <w:r w:rsidRPr="00264D5D">
        <w:rPr>
          <w:rFonts w:eastAsia="Calibri"/>
          <w:szCs w:val="24"/>
          <w:lang w:val="en-US"/>
        </w:rPr>
        <w:instrText>ARABIC</w:instrText>
      </w:r>
      <w:r w:rsidRPr="00264D5D">
        <w:rPr>
          <w:rFonts w:eastAsia="Calibri"/>
          <w:szCs w:val="24"/>
        </w:rPr>
        <w:instrText xml:space="preserve"> </w:instrText>
      </w:r>
      <w:r w:rsidRPr="00264D5D">
        <w:rPr>
          <w:rFonts w:eastAsia="Calibri"/>
          <w:szCs w:val="24"/>
        </w:rPr>
        <w:fldChar w:fldCharType="separate"/>
      </w:r>
      <w:bookmarkStart w:id="4442" w:name="_Ref79761080"/>
      <w:bookmarkStart w:id="4443" w:name="_Toc84503042"/>
      <w:bookmarkStart w:id="4444" w:name="_Toc219309371"/>
      <w:r w:rsidR="008D797C">
        <w:rPr>
          <w:rFonts w:eastAsia="Calibri"/>
          <w:noProof/>
          <w:szCs w:val="24"/>
          <w:lang w:val="en-US"/>
        </w:rPr>
        <w:t>341</w:t>
      </w:r>
      <w:bookmarkEnd w:id="4442"/>
      <w:r w:rsidRPr="00264D5D">
        <w:rPr>
          <w:rFonts w:eastAsia="Calibri"/>
          <w:szCs w:val="24"/>
        </w:rPr>
        <w:fldChar w:fldCharType="end"/>
      </w:r>
      <w:r w:rsidRPr="00264D5D">
        <w:rPr>
          <w:rFonts w:eastAsia="Calibri"/>
          <w:szCs w:val="24"/>
        </w:rPr>
        <w:t xml:space="preserve"> – Описание комплексного типа «</w:t>
      </w:r>
      <w:r w:rsidRPr="00264D5D">
        <w:rPr>
          <w:rFonts w:eastAsia="Calibri"/>
          <w:szCs w:val="24"/>
          <w:lang w:val="en-US"/>
        </w:rPr>
        <w:t>tf</w:t>
      </w:r>
      <w:r w:rsidRPr="00264D5D">
        <w:rPr>
          <w:rFonts w:eastAsia="Calibri"/>
          <w:szCs w:val="24"/>
        </w:rPr>
        <w:t>inanceInfo</w:t>
      </w:r>
      <w:r w:rsidRPr="00264D5D">
        <w:rPr>
          <w:rFonts w:eastAsia="Calibri"/>
          <w:szCs w:val="24"/>
          <w:lang w:val="en-US"/>
        </w:rPr>
        <w:t>KOKS</w:t>
      </w:r>
      <w:r w:rsidRPr="00264D5D">
        <w:rPr>
          <w:rFonts w:eastAsia="Calibri"/>
          <w:szCs w:val="24"/>
        </w:rPr>
        <w:t>Item»</w:t>
      </w:r>
      <w:bookmarkEnd w:id="4443"/>
      <w:bookmarkEnd w:id="4444"/>
    </w:p>
    <w:tbl>
      <w:tblPr>
        <w:tblStyle w:val="GOSTTable"/>
        <w:tblW w:w="5000" w:type="pct"/>
        <w:tblLayout w:type="fixed"/>
        <w:tblLook w:val="04A0" w:firstRow="1" w:lastRow="0" w:firstColumn="1" w:lastColumn="0" w:noHBand="0" w:noVBand="1"/>
      </w:tblPr>
      <w:tblGrid>
        <w:gridCol w:w="1707"/>
        <w:gridCol w:w="1705"/>
        <w:gridCol w:w="568"/>
        <w:gridCol w:w="1137"/>
        <w:gridCol w:w="567"/>
        <w:gridCol w:w="3966"/>
      </w:tblGrid>
      <w:tr w:rsidR="00AD1F54" w:rsidRPr="00264D5D" w14:paraId="5545954B"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4" w:type="pct"/>
          </w:tcPr>
          <w:p w14:paraId="355FDAD0" w14:textId="77777777" w:rsidR="00AD1F54" w:rsidRPr="00264D5D" w:rsidRDefault="00941227">
            <w:pPr>
              <w:widowControl w:val="0"/>
              <w:spacing w:before="60" w:after="60"/>
              <w:jc w:val="center"/>
              <w:rPr>
                <w:b/>
                <w:bCs/>
                <w:sz w:val="22"/>
                <w:szCs w:val="22"/>
              </w:rPr>
            </w:pPr>
            <w:r w:rsidRPr="00264D5D">
              <w:rPr>
                <w:b/>
                <w:bCs/>
                <w:sz w:val="22"/>
                <w:szCs w:val="22"/>
              </w:rPr>
              <w:t>Наименование элемента</w:t>
            </w:r>
          </w:p>
        </w:tc>
        <w:tc>
          <w:tcPr>
            <w:tcW w:w="883" w:type="pct"/>
          </w:tcPr>
          <w:p w14:paraId="395A29D7" w14:textId="77777777" w:rsidR="00AD1F54" w:rsidRPr="00264D5D" w:rsidRDefault="00941227">
            <w:pPr>
              <w:widowControl w:val="0"/>
              <w:spacing w:before="60" w:after="60"/>
              <w:jc w:val="center"/>
              <w:rPr>
                <w:b/>
                <w:bCs/>
                <w:sz w:val="22"/>
                <w:szCs w:val="22"/>
              </w:rPr>
            </w:pPr>
            <w:r w:rsidRPr="00264D5D">
              <w:rPr>
                <w:b/>
                <w:bCs/>
                <w:sz w:val="22"/>
                <w:szCs w:val="22"/>
              </w:rPr>
              <w:t>Сокращенное наименование (код) элемента</w:t>
            </w:r>
          </w:p>
        </w:tc>
        <w:tc>
          <w:tcPr>
            <w:tcW w:w="294" w:type="pct"/>
          </w:tcPr>
          <w:p w14:paraId="5303F37F" w14:textId="77777777" w:rsidR="00AD1F54" w:rsidRPr="00264D5D" w:rsidRDefault="00941227">
            <w:pPr>
              <w:widowControl w:val="0"/>
              <w:spacing w:before="60" w:after="60"/>
              <w:jc w:val="center"/>
              <w:rPr>
                <w:b/>
                <w:sz w:val="22"/>
                <w:szCs w:val="22"/>
              </w:rPr>
            </w:pPr>
            <w:r w:rsidRPr="00264D5D">
              <w:rPr>
                <w:b/>
                <w:bCs/>
                <w:sz w:val="22"/>
                <w:szCs w:val="22"/>
              </w:rPr>
              <w:t>Тип</w:t>
            </w:r>
          </w:p>
        </w:tc>
        <w:tc>
          <w:tcPr>
            <w:tcW w:w="589" w:type="pct"/>
          </w:tcPr>
          <w:p w14:paraId="59A13989" w14:textId="77777777" w:rsidR="00AD1F54" w:rsidRPr="00264D5D" w:rsidRDefault="00941227">
            <w:pPr>
              <w:widowControl w:val="0"/>
              <w:spacing w:before="60" w:after="60"/>
              <w:jc w:val="center"/>
              <w:rPr>
                <w:b/>
                <w:bCs/>
                <w:sz w:val="22"/>
                <w:szCs w:val="22"/>
              </w:rPr>
            </w:pPr>
            <w:r w:rsidRPr="00264D5D">
              <w:rPr>
                <w:b/>
                <w:bCs/>
                <w:sz w:val="22"/>
                <w:szCs w:val="22"/>
              </w:rPr>
              <w:t>Формат элемента</w:t>
            </w:r>
          </w:p>
        </w:tc>
        <w:tc>
          <w:tcPr>
            <w:tcW w:w="294" w:type="pct"/>
          </w:tcPr>
          <w:p w14:paraId="192913EA" w14:textId="77777777" w:rsidR="00AD1F54" w:rsidRPr="00264D5D" w:rsidRDefault="00941227">
            <w:pPr>
              <w:widowControl w:val="0"/>
              <w:spacing w:before="60" w:after="60"/>
              <w:jc w:val="center"/>
              <w:rPr>
                <w:b/>
                <w:sz w:val="22"/>
                <w:szCs w:val="22"/>
              </w:rPr>
            </w:pPr>
            <w:r w:rsidRPr="00264D5D">
              <w:rPr>
                <w:b/>
                <w:bCs/>
                <w:sz w:val="22"/>
                <w:szCs w:val="22"/>
              </w:rPr>
              <w:t>Обязательность</w:t>
            </w:r>
          </w:p>
        </w:tc>
        <w:tc>
          <w:tcPr>
            <w:tcW w:w="2055" w:type="pct"/>
          </w:tcPr>
          <w:p w14:paraId="57EDB500" w14:textId="77777777" w:rsidR="00AD1F54" w:rsidRPr="00264D5D" w:rsidRDefault="00941227">
            <w:pPr>
              <w:widowControl w:val="0"/>
              <w:spacing w:before="60" w:after="60"/>
              <w:jc w:val="center"/>
              <w:rPr>
                <w:b/>
                <w:bCs/>
                <w:sz w:val="22"/>
                <w:szCs w:val="22"/>
              </w:rPr>
            </w:pPr>
            <w:r w:rsidRPr="00264D5D">
              <w:rPr>
                <w:b/>
                <w:bCs/>
                <w:sz w:val="22"/>
                <w:szCs w:val="22"/>
              </w:rPr>
              <w:t>Дополнительная информация</w:t>
            </w:r>
          </w:p>
        </w:tc>
      </w:tr>
      <w:tr w:rsidR="00AD1F54" w:rsidRPr="00264D5D" w14:paraId="1C5B209A"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697D4558" w14:textId="77777777" w:rsidR="00AD1F54" w:rsidRPr="00264D5D" w:rsidRDefault="00941227">
            <w:pPr>
              <w:widowControl w:val="0"/>
              <w:spacing w:before="60" w:after="60"/>
              <w:rPr>
                <w:sz w:val="22"/>
                <w:szCs w:val="22"/>
              </w:rPr>
            </w:pPr>
            <w:r w:rsidRPr="00264D5D">
              <w:rPr>
                <w:sz w:val="22"/>
                <w:szCs w:val="22"/>
              </w:rPr>
              <w:t>ОКС (ОКВ)</w:t>
            </w:r>
          </w:p>
        </w:tc>
        <w:tc>
          <w:tcPr>
            <w:tcW w:w="883" w:type="pct"/>
          </w:tcPr>
          <w:p w14:paraId="05DA3EC7" w14:textId="77777777" w:rsidR="00AD1F54" w:rsidRPr="00264D5D" w:rsidRDefault="00941227">
            <w:pPr>
              <w:widowControl w:val="0"/>
              <w:spacing w:before="60" w:after="60"/>
              <w:rPr>
                <w:sz w:val="22"/>
                <w:szCs w:val="22"/>
                <w:lang w:val="en-US"/>
              </w:rPr>
            </w:pPr>
            <w:r w:rsidRPr="00264D5D">
              <w:rPr>
                <w:sz w:val="22"/>
                <w:szCs w:val="22"/>
              </w:rPr>
              <w:t>Code</w:t>
            </w:r>
            <w:r w:rsidRPr="00264D5D">
              <w:rPr>
                <w:sz w:val="22"/>
                <w:szCs w:val="22"/>
                <w:lang w:val="en-US"/>
              </w:rPr>
              <w:t>OKS</w:t>
            </w:r>
          </w:p>
        </w:tc>
        <w:tc>
          <w:tcPr>
            <w:tcW w:w="294" w:type="pct"/>
          </w:tcPr>
          <w:p w14:paraId="20A70ACC" w14:textId="77777777" w:rsidR="00AD1F54" w:rsidRPr="00264D5D" w:rsidRDefault="00941227">
            <w:pPr>
              <w:widowControl w:val="0"/>
              <w:spacing w:before="60" w:after="60"/>
              <w:jc w:val="center"/>
              <w:rPr>
                <w:sz w:val="22"/>
                <w:szCs w:val="22"/>
              </w:rPr>
            </w:pPr>
            <w:r w:rsidRPr="00264D5D">
              <w:rPr>
                <w:sz w:val="22"/>
                <w:szCs w:val="22"/>
              </w:rPr>
              <w:t>П</w:t>
            </w:r>
          </w:p>
        </w:tc>
        <w:tc>
          <w:tcPr>
            <w:tcW w:w="589" w:type="pct"/>
          </w:tcPr>
          <w:p w14:paraId="4355F7EB" w14:textId="77777777" w:rsidR="00AD1F54" w:rsidRPr="00264D5D" w:rsidRDefault="00941227">
            <w:pPr>
              <w:widowControl w:val="0"/>
              <w:spacing w:before="60" w:after="60"/>
              <w:jc w:val="left"/>
              <w:rPr>
                <w:sz w:val="22"/>
                <w:szCs w:val="22"/>
              </w:rPr>
            </w:pPr>
            <w:r w:rsidRPr="00264D5D">
              <w:rPr>
                <w:sz w:val="22"/>
                <w:szCs w:val="22"/>
              </w:rPr>
              <w:t>T(18)</w:t>
            </w:r>
          </w:p>
        </w:tc>
        <w:tc>
          <w:tcPr>
            <w:tcW w:w="294" w:type="pct"/>
          </w:tcPr>
          <w:p w14:paraId="5414DAF8" w14:textId="77777777" w:rsidR="00AD1F54" w:rsidRPr="00264D5D" w:rsidRDefault="00941227">
            <w:pPr>
              <w:widowControl w:val="0"/>
              <w:spacing w:before="60" w:after="60"/>
              <w:jc w:val="center"/>
              <w:rPr>
                <w:sz w:val="22"/>
                <w:szCs w:val="22"/>
              </w:rPr>
            </w:pPr>
            <w:r w:rsidRPr="00264D5D">
              <w:rPr>
                <w:sz w:val="22"/>
                <w:szCs w:val="22"/>
              </w:rPr>
              <w:t>О</w:t>
            </w:r>
          </w:p>
        </w:tc>
        <w:tc>
          <w:tcPr>
            <w:tcW w:w="2055" w:type="pct"/>
          </w:tcPr>
          <w:p w14:paraId="3F214BD0" w14:textId="77777777" w:rsidR="00AD1F54" w:rsidRPr="00264D5D" w:rsidRDefault="00941227">
            <w:pPr>
              <w:widowControl w:val="0"/>
              <w:spacing w:before="60" w:after="60"/>
              <w:rPr>
                <w:sz w:val="22"/>
                <w:szCs w:val="22"/>
              </w:rPr>
            </w:pPr>
            <w:r w:rsidRPr="00264D5D">
              <w:rPr>
                <w:sz w:val="22"/>
                <w:szCs w:val="22"/>
              </w:rPr>
              <w:t xml:space="preserve">Указывается уникальный код объекта капитального строительства или объекта недвижимости. </w:t>
            </w:r>
          </w:p>
          <w:p w14:paraId="7B663DBB" w14:textId="77777777" w:rsidR="00AD1F54" w:rsidRPr="00264D5D" w:rsidRDefault="00941227">
            <w:pPr>
              <w:widowControl w:val="0"/>
              <w:spacing w:before="60" w:after="60"/>
              <w:rPr>
                <w:sz w:val="22"/>
                <w:szCs w:val="22"/>
              </w:rPr>
            </w:pPr>
            <w:r w:rsidRPr="00264D5D">
              <w:rPr>
                <w:sz w:val="22"/>
                <w:szCs w:val="22"/>
              </w:rPr>
              <w:t>Значение долж</w:t>
            </w:r>
            <w:r w:rsidR="00FB163B" w:rsidRPr="00264D5D">
              <w:rPr>
                <w:sz w:val="22"/>
                <w:szCs w:val="22"/>
              </w:rPr>
              <w:t>но быть уникально в блоке</w:t>
            </w:r>
          </w:p>
        </w:tc>
      </w:tr>
      <w:tr w:rsidR="00AD1F54" w:rsidRPr="00264D5D" w14:paraId="4230F234"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6EFE7C8C" w14:textId="77777777" w:rsidR="00AD1F54" w:rsidRPr="00264D5D" w:rsidRDefault="00941227">
            <w:pPr>
              <w:widowControl w:val="0"/>
              <w:spacing w:before="60" w:after="60"/>
              <w:rPr>
                <w:sz w:val="22"/>
                <w:szCs w:val="22"/>
              </w:rPr>
            </w:pPr>
            <w:r w:rsidRPr="00264D5D">
              <w:rPr>
                <w:sz w:val="22"/>
                <w:szCs w:val="22"/>
              </w:rPr>
              <w:t>Сумма на текущий финансовый год</w:t>
            </w:r>
          </w:p>
          <w:p w14:paraId="33FD0770" w14:textId="77777777" w:rsidR="00AD1F54" w:rsidRPr="00264D5D" w:rsidRDefault="00941227">
            <w:pPr>
              <w:widowControl w:val="0"/>
              <w:spacing w:before="60" w:after="60"/>
              <w:rPr>
                <w:sz w:val="22"/>
                <w:szCs w:val="22"/>
              </w:rPr>
            </w:pPr>
            <w:r w:rsidRPr="00264D5D">
              <w:rPr>
                <w:sz w:val="22"/>
                <w:szCs w:val="22"/>
              </w:rPr>
              <w:t>(руб.)</w:t>
            </w:r>
          </w:p>
        </w:tc>
        <w:tc>
          <w:tcPr>
            <w:tcW w:w="883" w:type="pct"/>
          </w:tcPr>
          <w:p w14:paraId="0D1321D7" w14:textId="77777777" w:rsidR="00AD1F54" w:rsidRPr="00264D5D" w:rsidRDefault="00941227">
            <w:pPr>
              <w:widowControl w:val="0"/>
              <w:spacing w:before="60" w:after="60"/>
              <w:rPr>
                <w:sz w:val="22"/>
                <w:szCs w:val="22"/>
              </w:rPr>
            </w:pPr>
            <w:r w:rsidRPr="00264D5D">
              <w:rPr>
                <w:sz w:val="22"/>
                <w:szCs w:val="22"/>
              </w:rPr>
              <w:t>currentYear</w:t>
            </w:r>
          </w:p>
        </w:tc>
        <w:tc>
          <w:tcPr>
            <w:tcW w:w="294" w:type="pct"/>
          </w:tcPr>
          <w:p w14:paraId="3205F9E4" w14:textId="77777777" w:rsidR="00AD1F54" w:rsidRPr="00264D5D" w:rsidRDefault="00941227">
            <w:pPr>
              <w:widowControl w:val="0"/>
              <w:spacing w:before="60" w:after="60"/>
              <w:jc w:val="center"/>
              <w:rPr>
                <w:sz w:val="22"/>
                <w:szCs w:val="22"/>
              </w:rPr>
            </w:pPr>
            <w:r w:rsidRPr="00264D5D">
              <w:rPr>
                <w:sz w:val="22"/>
                <w:szCs w:val="22"/>
              </w:rPr>
              <w:t>П</w:t>
            </w:r>
          </w:p>
        </w:tc>
        <w:tc>
          <w:tcPr>
            <w:tcW w:w="589" w:type="pct"/>
          </w:tcPr>
          <w:p w14:paraId="2A506FEE" w14:textId="77777777" w:rsidR="00AD1F54" w:rsidRPr="00264D5D" w:rsidRDefault="00941227">
            <w:pPr>
              <w:widowControl w:val="0"/>
              <w:spacing w:before="60" w:after="60"/>
              <w:jc w:val="left"/>
              <w:rPr>
                <w:sz w:val="22"/>
                <w:szCs w:val="22"/>
              </w:rPr>
            </w:pPr>
            <w:r w:rsidRPr="00264D5D">
              <w:rPr>
                <w:sz w:val="22"/>
                <w:szCs w:val="22"/>
              </w:rPr>
              <w:t>N(20.2)</w:t>
            </w:r>
          </w:p>
        </w:tc>
        <w:tc>
          <w:tcPr>
            <w:tcW w:w="294" w:type="pct"/>
          </w:tcPr>
          <w:p w14:paraId="6AE2B79A" w14:textId="77777777" w:rsidR="00AD1F54" w:rsidRPr="00264D5D" w:rsidRDefault="00941227">
            <w:pPr>
              <w:widowControl w:val="0"/>
              <w:spacing w:before="60" w:after="60"/>
              <w:jc w:val="center"/>
              <w:rPr>
                <w:sz w:val="22"/>
                <w:szCs w:val="22"/>
              </w:rPr>
            </w:pPr>
            <w:r w:rsidRPr="00264D5D">
              <w:rPr>
                <w:sz w:val="22"/>
                <w:szCs w:val="22"/>
              </w:rPr>
              <w:t>О</w:t>
            </w:r>
          </w:p>
        </w:tc>
        <w:tc>
          <w:tcPr>
            <w:tcW w:w="2055" w:type="pct"/>
          </w:tcPr>
          <w:p w14:paraId="16AA8D5A" w14:textId="77777777" w:rsidR="00AD1F54" w:rsidRPr="00264D5D" w:rsidRDefault="00941227">
            <w:pPr>
              <w:pStyle w:val="GOSTTablenorm"/>
              <w:rPr>
                <w:szCs w:val="22"/>
              </w:rPr>
            </w:pPr>
            <w:r w:rsidRPr="00264D5D">
              <w:rPr>
                <w:szCs w:val="22"/>
              </w:rPr>
              <w:t>Указывается сумма финансового обеспечения на текущий финансовый год, соответствующая ОКС (ОКВ).</w:t>
            </w:r>
          </w:p>
          <w:p w14:paraId="27FD79A8" w14:textId="77777777" w:rsidR="00AD1F54" w:rsidRPr="00264D5D" w:rsidRDefault="00941227">
            <w:pPr>
              <w:widowControl w:val="0"/>
              <w:spacing w:before="60" w:after="60"/>
              <w:rPr>
                <w:sz w:val="22"/>
                <w:szCs w:val="22"/>
              </w:rPr>
            </w:pPr>
            <w:r w:rsidRPr="00264D5D">
              <w:rPr>
                <w:sz w:val="22"/>
                <w:szCs w:val="22"/>
              </w:rPr>
              <w:t>При отсутст</w:t>
            </w:r>
            <w:r w:rsidR="00FB163B" w:rsidRPr="00264D5D">
              <w:rPr>
                <w:sz w:val="22"/>
                <w:szCs w:val="22"/>
              </w:rPr>
              <w:t>вии значения указывается «0.00»</w:t>
            </w:r>
          </w:p>
        </w:tc>
      </w:tr>
      <w:tr w:rsidR="00AD1F54" w:rsidRPr="00264D5D" w14:paraId="64AB8F1A"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6AC89C5D" w14:textId="77777777" w:rsidR="00AD1F54" w:rsidRPr="00264D5D" w:rsidRDefault="00941227">
            <w:pPr>
              <w:widowControl w:val="0"/>
              <w:spacing w:before="60" w:after="60"/>
              <w:rPr>
                <w:sz w:val="22"/>
                <w:szCs w:val="22"/>
              </w:rPr>
            </w:pPr>
            <w:r w:rsidRPr="00264D5D">
              <w:rPr>
                <w:sz w:val="22"/>
                <w:szCs w:val="22"/>
              </w:rPr>
              <w:lastRenderedPageBreak/>
              <w:t>Сумма на первый год планового периода</w:t>
            </w:r>
          </w:p>
          <w:p w14:paraId="2D239612" w14:textId="77777777" w:rsidR="00AD1F54" w:rsidRPr="00264D5D" w:rsidRDefault="00941227">
            <w:pPr>
              <w:widowControl w:val="0"/>
              <w:spacing w:before="60" w:after="60"/>
              <w:rPr>
                <w:sz w:val="22"/>
                <w:szCs w:val="22"/>
              </w:rPr>
            </w:pPr>
            <w:r w:rsidRPr="00264D5D">
              <w:rPr>
                <w:sz w:val="22"/>
                <w:szCs w:val="22"/>
              </w:rPr>
              <w:t>(руб.)</w:t>
            </w:r>
          </w:p>
        </w:tc>
        <w:tc>
          <w:tcPr>
            <w:tcW w:w="883" w:type="pct"/>
          </w:tcPr>
          <w:p w14:paraId="4940F4CC" w14:textId="77777777" w:rsidR="00AD1F54" w:rsidRPr="00264D5D" w:rsidRDefault="00941227">
            <w:pPr>
              <w:widowControl w:val="0"/>
              <w:spacing w:before="60" w:after="60"/>
              <w:rPr>
                <w:sz w:val="22"/>
                <w:szCs w:val="22"/>
              </w:rPr>
            </w:pPr>
            <w:r w:rsidRPr="00264D5D">
              <w:rPr>
                <w:sz w:val="22"/>
                <w:szCs w:val="22"/>
              </w:rPr>
              <w:t>firstYear</w:t>
            </w:r>
          </w:p>
        </w:tc>
        <w:tc>
          <w:tcPr>
            <w:tcW w:w="294" w:type="pct"/>
          </w:tcPr>
          <w:p w14:paraId="5BFC2228" w14:textId="77777777" w:rsidR="00AD1F54" w:rsidRPr="00264D5D" w:rsidRDefault="00941227">
            <w:pPr>
              <w:widowControl w:val="0"/>
              <w:spacing w:before="60" w:after="60"/>
              <w:jc w:val="center"/>
              <w:rPr>
                <w:sz w:val="22"/>
                <w:szCs w:val="22"/>
              </w:rPr>
            </w:pPr>
            <w:r w:rsidRPr="00264D5D">
              <w:rPr>
                <w:sz w:val="22"/>
                <w:szCs w:val="22"/>
              </w:rPr>
              <w:t>П</w:t>
            </w:r>
          </w:p>
        </w:tc>
        <w:tc>
          <w:tcPr>
            <w:tcW w:w="589" w:type="pct"/>
          </w:tcPr>
          <w:p w14:paraId="72B72F85" w14:textId="77777777" w:rsidR="00AD1F54" w:rsidRPr="00264D5D" w:rsidRDefault="00941227">
            <w:pPr>
              <w:widowControl w:val="0"/>
              <w:spacing w:before="60" w:after="60"/>
              <w:jc w:val="left"/>
              <w:rPr>
                <w:sz w:val="22"/>
                <w:szCs w:val="22"/>
              </w:rPr>
            </w:pPr>
            <w:r w:rsidRPr="00264D5D">
              <w:rPr>
                <w:sz w:val="22"/>
                <w:szCs w:val="22"/>
              </w:rPr>
              <w:t>N(20.2)</w:t>
            </w:r>
          </w:p>
        </w:tc>
        <w:tc>
          <w:tcPr>
            <w:tcW w:w="294" w:type="pct"/>
          </w:tcPr>
          <w:p w14:paraId="78A6FD18" w14:textId="77777777" w:rsidR="00AD1F54" w:rsidRPr="00264D5D" w:rsidRDefault="00941227">
            <w:pPr>
              <w:widowControl w:val="0"/>
              <w:spacing w:before="60" w:after="60"/>
              <w:jc w:val="center"/>
              <w:rPr>
                <w:sz w:val="22"/>
                <w:szCs w:val="22"/>
              </w:rPr>
            </w:pPr>
            <w:r w:rsidRPr="00264D5D">
              <w:rPr>
                <w:sz w:val="22"/>
                <w:szCs w:val="22"/>
              </w:rPr>
              <w:t>О</w:t>
            </w:r>
          </w:p>
        </w:tc>
        <w:tc>
          <w:tcPr>
            <w:tcW w:w="2055" w:type="pct"/>
          </w:tcPr>
          <w:p w14:paraId="3948849F" w14:textId="77777777" w:rsidR="00AD1F54" w:rsidRPr="00264D5D" w:rsidRDefault="00941227">
            <w:pPr>
              <w:pStyle w:val="GOSTTablenorm"/>
              <w:rPr>
                <w:szCs w:val="22"/>
              </w:rPr>
            </w:pPr>
            <w:r w:rsidRPr="00264D5D">
              <w:rPr>
                <w:szCs w:val="22"/>
              </w:rPr>
              <w:t>Указывается сумма финансового обеспечения на первый год планового периода, соответствующая ОКС (ОКВ).</w:t>
            </w:r>
          </w:p>
          <w:p w14:paraId="2E1487D4" w14:textId="77777777" w:rsidR="00AD1F54" w:rsidRPr="00264D5D" w:rsidRDefault="00941227">
            <w:pPr>
              <w:widowControl w:val="0"/>
              <w:spacing w:before="60" w:after="60"/>
              <w:rPr>
                <w:sz w:val="22"/>
                <w:szCs w:val="22"/>
              </w:rPr>
            </w:pPr>
            <w:r w:rsidRPr="00264D5D">
              <w:rPr>
                <w:sz w:val="22"/>
                <w:szCs w:val="22"/>
              </w:rPr>
              <w:t>При отсутст</w:t>
            </w:r>
            <w:r w:rsidR="00FB163B" w:rsidRPr="00264D5D">
              <w:rPr>
                <w:sz w:val="22"/>
                <w:szCs w:val="22"/>
              </w:rPr>
              <w:t>вии значения указывается «0.00»</w:t>
            </w:r>
          </w:p>
        </w:tc>
      </w:tr>
      <w:tr w:rsidR="00AD1F54" w:rsidRPr="00264D5D" w14:paraId="34EF26E4"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249DD667" w14:textId="77777777" w:rsidR="00AD1F54" w:rsidRPr="00264D5D" w:rsidRDefault="00941227">
            <w:pPr>
              <w:widowControl w:val="0"/>
              <w:spacing w:before="60" w:after="60"/>
              <w:rPr>
                <w:sz w:val="22"/>
                <w:szCs w:val="22"/>
              </w:rPr>
            </w:pPr>
            <w:r w:rsidRPr="00264D5D">
              <w:rPr>
                <w:sz w:val="22"/>
                <w:szCs w:val="22"/>
              </w:rPr>
              <w:t>Сумма на второй год планового периода</w:t>
            </w:r>
          </w:p>
          <w:p w14:paraId="5636EDDB" w14:textId="77777777" w:rsidR="00AD1F54" w:rsidRPr="00264D5D" w:rsidRDefault="00941227">
            <w:pPr>
              <w:widowControl w:val="0"/>
              <w:spacing w:before="60" w:after="60"/>
              <w:rPr>
                <w:sz w:val="22"/>
                <w:szCs w:val="22"/>
              </w:rPr>
            </w:pPr>
            <w:r w:rsidRPr="00264D5D">
              <w:rPr>
                <w:sz w:val="22"/>
                <w:szCs w:val="22"/>
              </w:rPr>
              <w:t>(руб.)</w:t>
            </w:r>
          </w:p>
        </w:tc>
        <w:tc>
          <w:tcPr>
            <w:tcW w:w="883" w:type="pct"/>
          </w:tcPr>
          <w:p w14:paraId="144FCC7E" w14:textId="77777777" w:rsidR="00AD1F54" w:rsidRPr="00264D5D" w:rsidRDefault="00941227">
            <w:pPr>
              <w:widowControl w:val="0"/>
              <w:spacing w:before="60" w:after="60"/>
              <w:rPr>
                <w:sz w:val="22"/>
                <w:szCs w:val="22"/>
              </w:rPr>
            </w:pPr>
            <w:r w:rsidRPr="00264D5D">
              <w:rPr>
                <w:sz w:val="22"/>
                <w:szCs w:val="22"/>
              </w:rPr>
              <w:t>secondYear</w:t>
            </w:r>
          </w:p>
        </w:tc>
        <w:tc>
          <w:tcPr>
            <w:tcW w:w="294" w:type="pct"/>
          </w:tcPr>
          <w:p w14:paraId="5464C0C2" w14:textId="77777777" w:rsidR="00AD1F54" w:rsidRPr="00264D5D" w:rsidRDefault="00941227">
            <w:pPr>
              <w:widowControl w:val="0"/>
              <w:spacing w:before="60" w:after="60"/>
              <w:jc w:val="center"/>
              <w:rPr>
                <w:sz w:val="22"/>
                <w:szCs w:val="22"/>
              </w:rPr>
            </w:pPr>
            <w:r w:rsidRPr="00264D5D">
              <w:rPr>
                <w:sz w:val="22"/>
                <w:szCs w:val="22"/>
              </w:rPr>
              <w:t>П</w:t>
            </w:r>
          </w:p>
        </w:tc>
        <w:tc>
          <w:tcPr>
            <w:tcW w:w="589" w:type="pct"/>
          </w:tcPr>
          <w:p w14:paraId="3843BB27" w14:textId="77777777" w:rsidR="00AD1F54" w:rsidRPr="00264D5D" w:rsidRDefault="00941227">
            <w:pPr>
              <w:widowControl w:val="0"/>
              <w:spacing w:before="60" w:after="60"/>
              <w:jc w:val="left"/>
              <w:rPr>
                <w:sz w:val="22"/>
                <w:szCs w:val="22"/>
              </w:rPr>
            </w:pPr>
            <w:r w:rsidRPr="00264D5D">
              <w:rPr>
                <w:sz w:val="22"/>
                <w:szCs w:val="22"/>
              </w:rPr>
              <w:t>N(20.2)</w:t>
            </w:r>
          </w:p>
        </w:tc>
        <w:tc>
          <w:tcPr>
            <w:tcW w:w="294" w:type="pct"/>
          </w:tcPr>
          <w:p w14:paraId="196F977E" w14:textId="77777777" w:rsidR="00AD1F54" w:rsidRPr="00264D5D" w:rsidRDefault="00941227">
            <w:pPr>
              <w:widowControl w:val="0"/>
              <w:spacing w:before="60" w:after="60"/>
              <w:jc w:val="center"/>
              <w:rPr>
                <w:sz w:val="22"/>
                <w:szCs w:val="22"/>
              </w:rPr>
            </w:pPr>
            <w:r w:rsidRPr="00264D5D">
              <w:rPr>
                <w:sz w:val="22"/>
                <w:szCs w:val="22"/>
              </w:rPr>
              <w:t>О</w:t>
            </w:r>
          </w:p>
        </w:tc>
        <w:tc>
          <w:tcPr>
            <w:tcW w:w="2055" w:type="pct"/>
          </w:tcPr>
          <w:p w14:paraId="69138BD2" w14:textId="77777777" w:rsidR="00AD1F54" w:rsidRPr="00264D5D" w:rsidRDefault="00941227">
            <w:pPr>
              <w:pStyle w:val="GOSTTablenorm"/>
              <w:rPr>
                <w:szCs w:val="22"/>
              </w:rPr>
            </w:pPr>
            <w:r w:rsidRPr="00264D5D">
              <w:rPr>
                <w:szCs w:val="22"/>
              </w:rPr>
              <w:t>Указывается сумма финансового обеспечения на второй год планового периода, соответствующая ОКС (ОКВ).</w:t>
            </w:r>
          </w:p>
          <w:p w14:paraId="2DE7E955" w14:textId="77777777" w:rsidR="00AD1F54" w:rsidRPr="00264D5D" w:rsidRDefault="00941227">
            <w:pPr>
              <w:widowControl w:val="0"/>
              <w:spacing w:before="60" w:after="60"/>
              <w:rPr>
                <w:sz w:val="22"/>
                <w:szCs w:val="22"/>
              </w:rPr>
            </w:pPr>
            <w:r w:rsidRPr="00264D5D">
              <w:rPr>
                <w:sz w:val="22"/>
                <w:szCs w:val="22"/>
              </w:rPr>
              <w:t>При отсутст</w:t>
            </w:r>
            <w:r w:rsidR="00FB163B" w:rsidRPr="00264D5D">
              <w:rPr>
                <w:sz w:val="22"/>
                <w:szCs w:val="22"/>
              </w:rPr>
              <w:t>вии значения указывается «0.00»</w:t>
            </w:r>
          </w:p>
        </w:tc>
      </w:tr>
      <w:tr w:rsidR="00AD1F54" w:rsidRPr="00264D5D" w14:paraId="749BB15A"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55B3B778" w14:textId="77777777" w:rsidR="00AD1F54" w:rsidRPr="00264D5D" w:rsidRDefault="00941227">
            <w:pPr>
              <w:widowControl w:val="0"/>
              <w:spacing w:before="60" w:after="60"/>
              <w:rPr>
                <w:sz w:val="22"/>
                <w:szCs w:val="22"/>
              </w:rPr>
            </w:pPr>
            <w:r w:rsidRPr="00264D5D">
              <w:rPr>
                <w:sz w:val="22"/>
                <w:szCs w:val="22"/>
              </w:rPr>
              <w:t>Сумма на последующие периоды</w:t>
            </w:r>
          </w:p>
          <w:p w14:paraId="6A924ABC" w14:textId="77777777" w:rsidR="00AD1F54" w:rsidRPr="00264D5D" w:rsidRDefault="00941227">
            <w:pPr>
              <w:widowControl w:val="0"/>
              <w:spacing w:before="60" w:after="60"/>
              <w:rPr>
                <w:sz w:val="22"/>
                <w:szCs w:val="22"/>
              </w:rPr>
            </w:pPr>
            <w:r w:rsidRPr="00264D5D">
              <w:rPr>
                <w:sz w:val="22"/>
                <w:szCs w:val="22"/>
              </w:rPr>
              <w:t>(руб.)</w:t>
            </w:r>
          </w:p>
        </w:tc>
        <w:tc>
          <w:tcPr>
            <w:tcW w:w="883" w:type="pct"/>
          </w:tcPr>
          <w:p w14:paraId="094A0DD4" w14:textId="77777777" w:rsidR="00AD1F54" w:rsidRPr="00264D5D" w:rsidRDefault="00941227">
            <w:pPr>
              <w:widowControl w:val="0"/>
              <w:spacing w:before="60" w:after="60"/>
              <w:rPr>
                <w:sz w:val="22"/>
                <w:szCs w:val="22"/>
              </w:rPr>
            </w:pPr>
            <w:r w:rsidRPr="00264D5D">
              <w:rPr>
                <w:sz w:val="22"/>
                <w:szCs w:val="22"/>
              </w:rPr>
              <w:t>nextYear</w:t>
            </w:r>
          </w:p>
        </w:tc>
        <w:tc>
          <w:tcPr>
            <w:tcW w:w="294" w:type="pct"/>
          </w:tcPr>
          <w:p w14:paraId="79013755" w14:textId="77777777" w:rsidR="00AD1F54" w:rsidRPr="00264D5D" w:rsidRDefault="00941227">
            <w:pPr>
              <w:widowControl w:val="0"/>
              <w:spacing w:before="60" w:after="60"/>
              <w:jc w:val="center"/>
              <w:rPr>
                <w:sz w:val="22"/>
                <w:szCs w:val="22"/>
              </w:rPr>
            </w:pPr>
            <w:r w:rsidRPr="00264D5D">
              <w:rPr>
                <w:sz w:val="22"/>
                <w:szCs w:val="22"/>
              </w:rPr>
              <w:t>П</w:t>
            </w:r>
          </w:p>
        </w:tc>
        <w:tc>
          <w:tcPr>
            <w:tcW w:w="589" w:type="pct"/>
          </w:tcPr>
          <w:p w14:paraId="3EB4B65C" w14:textId="77777777" w:rsidR="00AD1F54" w:rsidRPr="00264D5D" w:rsidRDefault="00941227">
            <w:pPr>
              <w:widowControl w:val="0"/>
              <w:spacing w:before="60" w:after="60"/>
              <w:jc w:val="left"/>
              <w:rPr>
                <w:sz w:val="22"/>
                <w:szCs w:val="22"/>
              </w:rPr>
            </w:pPr>
            <w:r w:rsidRPr="00264D5D">
              <w:rPr>
                <w:sz w:val="22"/>
                <w:szCs w:val="22"/>
              </w:rPr>
              <w:t>N(20.2)</w:t>
            </w:r>
          </w:p>
        </w:tc>
        <w:tc>
          <w:tcPr>
            <w:tcW w:w="294" w:type="pct"/>
          </w:tcPr>
          <w:p w14:paraId="35C4B247" w14:textId="77777777" w:rsidR="00AD1F54" w:rsidRPr="00264D5D" w:rsidRDefault="00941227">
            <w:pPr>
              <w:widowControl w:val="0"/>
              <w:spacing w:before="60" w:after="60"/>
              <w:jc w:val="center"/>
              <w:rPr>
                <w:sz w:val="22"/>
                <w:szCs w:val="22"/>
              </w:rPr>
            </w:pPr>
            <w:r w:rsidRPr="00264D5D">
              <w:rPr>
                <w:sz w:val="22"/>
                <w:szCs w:val="22"/>
              </w:rPr>
              <w:t>О</w:t>
            </w:r>
          </w:p>
        </w:tc>
        <w:tc>
          <w:tcPr>
            <w:tcW w:w="2055" w:type="pct"/>
          </w:tcPr>
          <w:p w14:paraId="55F812E0" w14:textId="77777777" w:rsidR="00AD1F54" w:rsidRPr="00264D5D" w:rsidRDefault="00941227">
            <w:pPr>
              <w:pStyle w:val="GOSTTablenorm"/>
              <w:rPr>
                <w:szCs w:val="22"/>
              </w:rPr>
            </w:pPr>
            <w:r w:rsidRPr="00264D5D">
              <w:rPr>
                <w:szCs w:val="22"/>
              </w:rPr>
              <w:t>Указывается сумма финансового обеспечения на последующие периоды, соответствующая ОКС (ОКВ).</w:t>
            </w:r>
          </w:p>
          <w:p w14:paraId="28F90759" w14:textId="77777777" w:rsidR="00AD1F54" w:rsidRPr="00264D5D" w:rsidRDefault="00941227">
            <w:pPr>
              <w:widowControl w:val="0"/>
              <w:spacing w:before="60" w:after="60"/>
              <w:rPr>
                <w:sz w:val="22"/>
                <w:szCs w:val="22"/>
              </w:rPr>
            </w:pPr>
            <w:r w:rsidRPr="00264D5D">
              <w:rPr>
                <w:sz w:val="22"/>
                <w:szCs w:val="22"/>
              </w:rPr>
              <w:t>При отсутст</w:t>
            </w:r>
            <w:r w:rsidR="00FB163B" w:rsidRPr="00264D5D">
              <w:rPr>
                <w:sz w:val="22"/>
                <w:szCs w:val="22"/>
              </w:rPr>
              <w:t>вии значения указывается «0.00»</w:t>
            </w:r>
          </w:p>
        </w:tc>
      </w:tr>
      <w:tr w:rsidR="00AD1F54" w:rsidRPr="00264D5D" w14:paraId="563240FC"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13EFC99A" w14:textId="77777777" w:rsidR="00AD1F54" w:rsidRPr="00264D5D" w:rsidRDefault="00941227">
            <w:pPr>
              <w:widowControl w:val="0"/>
              <w:spacing w:before="60" w:after="60"/>
              <w:rPr>
                <w:sz w:val="22"/>
                <w:szCs w:val="22"/>
              </w:rPr>
            </w:pPr>
            <w:r w:rsidRPr="00264D5D">
              <w:rPr>
                <w:sz w:val="22"/>
                <w:szCs w:val="22"/>
              </w:rPr>
              <w:t>Сумма всего</w:t>
            </w:r>
          </w:p>
          <w:p w14:paraId="7115CED1" w14:textId="77777777" w:rsidR="00AD1F54" w:rsidRPr="00264D5D" w:rsidRDefault="00941227">
            <w:pPr>
              <w:widowControl w:val="0"/>
              <w:spacing w:before="60" w:after="60"/>
              <w:rPr>
                <w:sz w:val="22"/>
                <w:szCs w:val="22"/>
              </w:rPr>
            </w:pPr>
            <w:r w:rsidRPr="00264D5D">
              <w:rPr>
                <w:sz w:val="22"/>
                <w:szCs w:val="22"/>
              </w:rPr>
              <w:t>(руб.)</w:t>
            </w:r>
          </w:p>
        </w:tc>
        <w:tc>
          <w:tcPr>
            <w:tcW w:w="883" w:type="pct"/>
          </w:tcPr>
          <w:p w14:paraId="6CAC18C4" w14:textId="77777777" w:rsidR="00AD1F54" w:rsidRPr="00264D5D" w:rsidRDefault="00941227">
            <w:pPr>
              <w:widowControl w:val="0"/>
              <w:spacing w:before="60" w:after="60"/>
              <w:rPr>
                <w:sz w:val="22"/>
                <w:szCs w:val="22"/>
              </w:rPr>
            </w:pPr>
            <w:r w:rsidRPr="00264D5D">
              <w:rPr>
                <w:sz w:val="22"/>
                <w:szCs w:val="22"/>
              </w:rPr>
              <w:t>total</w:t>
            </w:r>
          </w:p>
        </w:tc>
        <w:tc>
          <w:tcPr>
            <w:tcW w:w="294" w:type="pct"/>
          </w:tcPr>
          <w:p w14:paraId="213F0653" w14:textId="77777777" w:rsidR="00AD1F54" w:rsidRPr="00264D5D" w:rsidRDefault="00941227">
            <w:pPr>
              <w:widowControl w:val="0"/>
              <w:spacing w:before="60" w:after="60"/>
              <w:jc w:val="center"/>
              <w:rPr>
                <w:sz w:val="22"/>
                <w:szCs w:val="22"/>
              </w:rPr>
            </w:pPr>
            <w:r w:rsidRPr="00264D5D">
              <w:rPr>
                <w:sz w:val="22"/>
                <w:szCs w:val="22"/>
              </w:rPr>
              <w:t>П</w:t>
            </w:r>
          </w:p>
        </w:tc>
        <w:tc>
          <w:tcPr>
            <w:tcW w:w="589" w:type="pct"/>
          </w:tcPr>
          <w:p w14:paraId="09E26005" w14:textId="77777777" w:rsidR="00AD1F54" w:rsidRPr="00264D5D" w:rsidRDefault="00941227">
            <w:pPr>
              <w:widowControl w:val="0"/>
              <w:spacing w:before="60" w:after="60"/>
              <w:jc w:val="left"/>
              <w:rPr>
                <w:sz w:val="22"/>
                <w:szCs w:val="22"/>
              </w:rPr>
            </w:pPr>
            <w:r w:rsidRPr="00264D5D">
              <w:rPr>
                <w:sz w:val="22"/>
                <w:szCs w:val="22"/>
              </w:rPr>
              <w:t>N(20.2)</w:t>
            </w:r>
          </w:p>
        </w:tc>
        <w:tc>
          <w:tcPr>
            <w:tcW w:w="294" w:type="pct"/>
          </w:tcPr>
          <w:p w14:paraId="4C8A4654" w14:textId="77777777" w:rsidR="00AD1F54" w:rsidRPr="00264D5D" w:rsidRDefault="00941227">
            <w:pPr>
              <w:widowControl w:val="0"/>
              <w:spacing w:before="60" w:after="60"/>
              <w:jc w:val="center"/>
              <w:rPr>
                <w:sz w:val="22"/>
                <w:szCs w:val="22"/>
              </w:rPr>
            </w:pPr>
            <w:r w:rsidRPr="00264D5D">
              <w:rPr>
                <w:sz w:val="22"/>
                <w:szCs w:val="22"/>
              </w:rPr>
              <w:t>О</w:t>
            </w:r>
          </w:p>
        </w:tc>
        <w:tc>
          <w:tcPr>
            <w:tcW w:w="2055" w:type="pct"/>
          </w:tcPr>
          <w:p w14:paraId="6FB8EC4A" w14:textId="77777777" w:rsidR="00AD1F54" w:rsidRPr="00264D5D" w:rsidRDefault="00941227">
            <w:pPr>
              <w:pStyle w:val="GOSTTablenorm"/>
              <w:rPr>
                <w:szCs w:val="22"/>
              </w:rPr>
            </w:pPr>
            <w:r w:rsidRPr="00264D5D">
              <w:rPr>
                <w:szCs w:val="22"/>
              </w:rPr>
              <w:t>Указывается общая сумма финансового обеспечения, соответствующая ОКС (ОКВ).</w:t>
            </w:r>
          </w:p>
          <w:p w14:paraId="244DC2AE" w14:textId="77777777" w:rsidR="00AD1F54" w:rsidRPr="00264D5D" w:rsidRDefault="00941227">
            <w:pPr>
              <w:widowControl w:val="0"/>
              <w:spacing w:before="60" w:after="60"/>
              <w:rPr>
                <w:sz w:val="22"/>
                <w:szCs w:val="22"/>
              </w:rPr>
            </w:pPr>
            <w:r w:rsidRPr="00264D5D">
              <w:rPr>
                <w:sz w:val="22"/>
                <w:szCs w:val="22"/>
              </w:rPr>
              <w:t>При отсутст</w:t>
            </w:r>
            <w:r w:rsidR="00FB163B" w:rsidRPr="00264D5D">
              <w:rPr>
                <w:sz w:val="22"/>
                <w:szCs w:val="22"/>
              </w:rPr>
              <w:t>вии значения указывается «0.00»</w:t>
            </w:r>
          </w:p>
        </w:tc>
      </w:tr>
    </w:tbl>
    <w:p w14:paraId="60F3F117" w14:textId="77777777" w:rsidR="00AD1F54" w:rsidRPr="00264D5D" w:rsidRDefault="00941227">
      <w:pPr>
        <w:pStyle w:val="31"/>
      </w:pPr>
      <w:bookmarkStart w:id="4445" w:name="_Toc219309829"/>
      <w:r w:rsidRPr="00264D5D">
        <w:t>Пример XML</w:t>
      </w:r>
      <w:bookmarkEnd w:id="4445"/>
    </w:p>
    <w:p w14:paraId="0974EEA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bookmarkStart w:id="4446" w:name="OLE_LINK27"/>
      <w:bookmarkStart w:id="4447" w:name="OLE_LINK28"/>
      <w:r w:rsidRPr="00264D5D">
        <w:rPr>
          <w:rFonts w:cs="Courier New"/>
          <w:sz w:val="20"/>
        </w:rPr>
        <w:t>&lt;?xml version ="1.0" encoding="UTF-8"?&gt;</w:t>
      </w:r>
    </w:p>
    <w:p w14:paraId="65F33FD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&lt;self:exchangePacket xsi:schemaLocation="http://www.roskazna.ru/eb/domain/PUR_InformPlan/extHeader extHeader.xsd" xmlns:self="http://www.roskazna.ru/eb/domain/PUR_InformPlan/extHeader" xmlns:cm="http://www.roskazna.ru/eb/domain/common" xmlns:xsi="http://www.w3.org/2001/XMLSchema-instance"&gt;</w:t>
      </w:r>
    </w:p>
    <w:p w14:paraId="3FE54BD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&lt;packetHeader&gt;</w:t>
      </w:r>
    </w:p>
    <w:p w14:paraId="5A9C239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&lt;serviceInfo&gt;</w:t>
      </w:r>
    </w:p>
    <w:p w14:paraId="330D5A0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&lt;creationDateTime&gt;2024-01-24T09:30:47Z&lt;/creationDateTime&gt;</w:t>
      </w:r>
    </w:p>
    <w:p w14:paraId="22447F8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&lt;documentType&gt;PUR_InformPlan&lt;/documentType&gt;</w:t>
      </w:r>
    </w:p>
    <w:p w14:paraId="38DD8A4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&lt;/serviceInfo&gt;</w:t>
      </w:r>
    </w:p>
    <w:p w14:paraId="260F9C8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&lt;senderParty&gt;</w:t>
      </w:r>
    </w:p>
    <w:p w14:paraId="3FF4470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&lt;organizationParty&gt;</w:t>
      </w:r>
    </w:p>
    <w:p w14:paraId="1956820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&lt;SRCode&gt;00123401&lt;/SRCode&gt;</w:t>
      </w:r>
    </w:p>
    <w:p w14:paraId="26C8461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&lt;/organizationParty&gt;</w:t>
      </w:r>
    </w:p>
    <w:p w14:paraId="6C36265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&lt;/senderParty&gt;</w:t>
      </w:r>
    </w:p>
    <w:p w14:paraId="7468C73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&lt;receiverParty&gt;</w:t>
      </w:r>
    </w:p>
    <w:p w14:paraId="72AF886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&lt;TOFKParty&gt;</w:t>
      </w:r>
    </w:p>
    <w:p w14:paraId="5311E31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&lt;TOFKCode&gt;0400&lt;/TOFKCode&gt;</w:t>
      </w:r>
    </w:p>
    <w:p w14:paraId="7042B2D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&lt;/TOFKParty&gt;</w:t>
      </w:r>
    </w:p>
    <w:p w14:paraId="49D2C94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&lt;/receiverParty&gt;</w:t>
      </w:r>
    </w:p>
    <w:p w14:paraId="367F877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&lt;/packetHeader&gt;</w:t>
      </w:r>
    </w:p>
    <w:p w14:paraId="557D040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&lt;self:formularCollection&gt;</w:t>
      </w:r>
    </w:p>
    <w:p w14:paraId="3810369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ab/>
        <w:t>&lt;formular metaType="formular" versionID="3.0" xsi:type="self:tPUR_InformPlan" xsi:schemaLocation="http://www.roskazna.ru/eb/domain/PUR_InformPlan/formular formulars.xsd" xmlns:self="http://www.roskazna.ru/eb/domain/PUR_InformPlan/formular" xmlns:xsi="http://www.w3.org/2001/XMLSchema-instance"&gt;</w:t>
      </w:r>
    </w:p>
    <w:p w14:paraId="610A311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&lt;GUID&gt;6a4b54c6-d792-4871-bfbf-7c8b708c18d0&lt;/GUID&gt;</w:t>
      </w:r>
    </w:p>
    <w:p w14:paraId="5F0A261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&lt;number&gt;12345/432&lt;/number&gt;</w:t>
      </w:r>
    </w:p>
    <w:p w14:paraId="2363CE9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&lt;createDate&gt;2024-01-24&lt;/createDate&gt;</w:t>
      </w:r>
    </w:p>
    <w:p w14:paraId="46F9645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&lt;infoType value="ПЗ"/&gt;</w:t>
      </w:r>
    </w:p>
    <w:p w14:paraId="688AAC7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&lt;orgCode&gt;00123401&lt;/orgCode&gt;</w:t>
      </w:r>
    </w:p>
    <w:p w14:paraId="2B06B1F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&lt;INN&gt;1245452569&lt;/INN&gt;</w:t>
      </w:r>
    </w:p>
    <w:p w14:paraId="3AE6F43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&lt;accountNumber&gt;12457896511&lt;/accountNumber&gt;</w:t>
      </w:r>
    </w:p>
    <w:p w14:paraId="493338B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&lt;year&gt;2021&lt;/year&gt;</w:t>
      </w:r>
    </w:p>
    <w:p w14:paraId="4D12DB4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&lt;SmCurrentYear&gt;100000.00&lt;/SmCurrentYear&gt;</w:t>
      </w:r>
    </w:p>
    <w:p w14:paraId="6773321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&lt;SmFirstYear&gt;0.00&lt;/SmFirstYear&gt;</w:t>
      </w:r>
    </w:p>
    <w:p w14:paraId="4955B3D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&lt;SmSecondYear&gt;0.00&lt;/SmSecondYear&gt;</w:t>
      </w:r>
    </w:p>
    <w:p w14:paraId="77E1E36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&lt;SmNextYear&gt;0.00&lt;/SmNextYear&gt;</w:t>
      </w:r>
    </w:p>
    <w:p w14:paraId="2FDDB02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&lt;SmTotal&gt;100000.00&lt;/SmTotal&gt;</w:t>
      </w:r>
    </w:p>
    <w:p w14:paraId="66BB717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&lt;financeInfo&gt;</w:t>
      </w:r>
    </w:p>
    <w:p w14:paraId="3FFC4C3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&lt;financeInfoItem&gt;</w:t>
      </w:r>
    </w:p>
    <w:p w14:paraId="4D04314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&lt;IKZ&gt;258974563214579865258974563214574556&lt;/IKZ&gt;</w:t>
      </w:r>
    </w:p>
    <w:p w14:paraId="34E3F23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&lt;currentYear&gt;100000.00&lt;/currentYear&gt;</w:t>
      </w:r>
    </w:p>
    <w:p w14:paraId="27D1393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&lt;firstYear&gt;0.00&lt;/firstYear&gt;</w:t>
      </w:r>
    </w:p>
    <w:p w14:paraId="208D0D7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&lt;secondYear&gt;0.00&lt;/secondYear&gt;</w:t>
      </w:r>
    </w:p>
    <w:p w14:paraId="5E4B165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&lt;nextYear&gt;0.00&lt;/nextYear&gt;</w:t>
      </w:r>
    </w:p>
    <w:p w14:paraId="01A55F6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&lt;total&gt;100000.00&lt;/total&gt;</w:t>
      </w:r>
    </w:p>
    <w:p w14:paraId="4049AAB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&lt;/financeInfoItem&gt;</w:t>
      </w:r>
    </w:p>
    <w:p w14:paraId="65260B9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&lt;/financeInfo&gt;</w:t>
      </w:r>
    </w:p>
    <w:p w14:paraId="7F97632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&lt;financeInfoKBK&gt;</w:t>
      </w:r>
    </w:p>
    <w:p w14:paraId="6DC33A4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&lt;financeInfoKBKItem&gt;</w:t>
      </w:r>
    </w:p>
    <w:p w14:paraId="759F029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&lt;CodeBK&gt;25897456321457986525&lt;/CodeBK&gt;</w:t>
      </w:r>
    </w:p>
    <w:p w14:paraId="70343EF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&lt;currentYear&gt;100000.00&lt;/currentYear&gt;</w:t>
      </w:r>
    </w:p>
    <w:p w14:paraId="1F6156C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&lt;firstYear&gt;0.00&lt;/firstYear&gt;</w:t>
      </w:r>
    </w:p>
    <w:p w14:paraId="744B45F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&lt;secondYear&gt;0.00&lt;/secondYear&gt;</w:t>
      </w:r>
    </w:p>
    <w:p w14:paraId="06C90D7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&lt;nextYear&gt;0.00&lt;/nextYear&gt;</w:t>
      </w:r>
    </w:p>
    <w:p w14:paraId="6A16998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&lt;total&gt;100000.00&lt;/total&gt;</w:t>
      </w:r>
    </w:p>
    <w:p w14:paraId="000C76D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&lt;/financeInfoKBKItem&gt;</w:t>
      </w:r>
    </w:p>
    <w:p w14:paraId="79388CD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&lt;/financeInfoKBK&gt;</w:t>
      </w:r>
    </w:p>
    <w:p w14:paraId="098019C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&lt;financeInfoKOKS&gt;</w:t>
      </w:r>
    </w:p>
    <w:p w14:paraId="1269D0B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&lt;financeInfoKOKSItem&gt;</w:t>
      </w:r>
    </w:p>
    <w:p w14:paraId="0078EC2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&lt;CodeOKS&gt;231453627354634567&lt;/CodeOKS&gt;</w:t>
      </w:r>
    </w:p>
    <w:p w14:paraId="3A0753D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&lt;currentYear&gt;100.00&lt;/currentYear&gt;</w:t>
      </w:r>
    </w:p>
    <w:p w14:paraId="4627BB7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&lt;firstYear&gt;100.00&lt;/firstYear&gt;</w:t>
      </w:r>
    </w:p>
    <w:p w14:paraId="7D4EB1A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&lt;secondYear&gt;100.00&lt;/secondYear&gt;</w:t>
      </w:r>
    </w:p>
    <w:p w14:paraId="4F02E23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&lt;nextYear&gt;100.00&lt;/nextYear&gt;</w:t>
      </w:r>
    </w:p>
    <w:p w14:paraId="3CADEE0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&lt;total&gt;100.00&lt;/total&gt;</w:t>
      </w:r>
    </w:p>
    <w:p w14:paraId="7791D21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&lt;/financeInfoKOKSItem&gt;</w:t>
      </w:r>
    </w:p>
    <w:p w14:paraId="3035C21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&lt;/financeInfoKOKS&gt;</w:t>
      </w:r>
    </w:p>
    <w:p w14:paraId="1964422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&lt;headPosition&gt;Директор&lt;/headPosition&gt;</w:t>
      </w:r>
    </w:p>
    <w:p w14:paraId="3649A7E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&lt;headName&gt;Заказчиков Х.О.&lt;/headName&gt;</w:t>
      </w:r>
    </w:p>
    <w:p w14:paraId="42BC3B4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&lt;responsibleName&gt;Исполненный А.А.&lt;/responsibleName&gt;</w:t>
      </w:r>
    </w:p>
    <w:p w14:paraId="4A3B59F4"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&lt;approveDate&gt;2024-01-24&lt;/approveDate&gt;</w:t>
      </w:r>
    </w:p>
    <w:p w14:paraId="61F6B7D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&lt;/formular&gt;</w:t>
      </w:r>
    </w:p>
    <w:p w14:paraId="50F7708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&lt;/self:formularCollection&gt;</w:t>
      </w:r>
    </w:p>
    <w:p w14:paraId="3FA5829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264D5D">
        <w:rPr>
          <w:rFonts w:cs="Courier New"/>
          <w:sz w:val="20"/>
        </w:rPr>
        <w:t>&lt;/self:exchangePacket</w:t>
      </w:r>
      <w:r w:rsidR="00144ABC" w:rsidRPr="00264D5D">
        <w:rPr>
          <w:rFonts w:cs="Courier New"/>
          <w:sz w:val="20"/>
        </w:rPr>
        <w:t>&gt;</w:t>
      </w:r>
    </w:p>
    <w:p w14:paraId="4B901C52" w14:textId="77777777" w:rsidR="00AD1F54" w:rsidRPr="00264D5D" w:rsidRDefault="00941227">
      <w:pPr>
        <w:pStyle w:val="22"/>
        <w:rPr>
          <w:lang w:val="ru-RU"/>
        </w:rPr>
      </w:pPr>
      <w:bookmarkStart w:id="4448" w:name="_Toc462254605"/>
      <w:bookmarkStart w:id="4449" w:name="_Toc462255589"/>
      <w:bookmarkStart w:id="4450" w:name="_Toc462300027"/>
      <w:bookmarkStart w:id="4451" w:name="_Toc462315592"/>
      <w:bookmarkStart w:id="4452" w:name="_Toc462255590"/>
      <w:bookmarkStart w:id="4453" w:name="_Toc462300028"/>
      <w:bookmarkStart w:id="4454" w:name="_Toc462315593"/>
      <w:bookmarkStart w:id="4455" w:name="_Toc462255591"/>
      <w:bookmarkStart w:id="4456" w:name="_Toc462300029"/>
      <w:bookmarkStart w:id="4457" w:name="_Toc462315594"/>
      <w:bookmarkStart w:id="4458" w:name="_Toc462255592"/>
      <w:bookmarkStart w:id="4459" w:name="_Toc462300030"/>
      <w:bookmarkStart w:id="4460" w:name="_Toc462315595"/>
      <w:bookmarkStart w:id="4461" w:name="_Toc462255593"/>
      <w:bookmarkStart w:id="4462" w:name="_Toc462300031"/>
      <w:bookmarkStart w:id="4463" w:name="_Toc462315596"/>
      <w:bookmarkStart w:id="4464" w:name="_Toc462255594"/>
      <w:bookmarkStart w:id="4465" w:name="_Toc462300032"/>
      <w:bookmarkStart w:id="4466" w:name="_Toc462315597"/>
      <w:bookmarkStart w:id="4467" w:name="_Toc462255595"/>
      <w:bookmarkStart w:id="4468" w:name="_Toc462300033"/>
      <w:bookmarkStart w:id="4469" w:name="_Toc462315598"/>
      <w:bookmarkStart w:id="4470" w:name="_Toc462255596"/>
      <w:bookmarkStart w:id="4471" w:name="_Toc462300034"/>
      <w:bookmarkStart w:id="4472" w:name="_Toc462315599"/>
      <w:bookmarkStart w:id="4473" w:name="_Toc462255597"/>
      <w:bookmarkStart w:id="4474" w:name="_Toc462300035"/>
      <w:bookmarkStart w:id="4475" w:name="_Toc462315600"/>
      <w:bookmarkStart w:id="4476" w:name="_Toc462255598"/>
      <w:bookmarkStart w:id="4477" w:name="_Toc462300036"/>
      <w:bookmarkStart w:id="4478" w:name="_Toc462315601"/>
      <w:bookmarkStart w:id="4479" w:name="_Ref465283837"/>
      <w:bookmarkStart w:id="4480" w:name="_Ref2160570"/>
      <w:bookmarkStart w:id="4481" w:name="_Toc219309830"/>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r w:rsidRPr="00264D5D">
        <w:rPr>
          <w:lang w:val="ru-RU"/>
        </w:rPr>
        <w:lastRenderedPageBreak/>
        <w:t>Описание документа «Сведения о приглашении принять участие в определении поставщика (подрядчика, исполнителя)</w:t>
      </w:r>
      <w:bookmarkEnd w:id="4479"/>
      <w:r w:rsidRPr="00264D5D">
        <w:rPr>
          <w:lang w:val="ru-RU"/>
        </w:rPr>
        <w:t>»</w:t>
      </w:r>
      <w:bookmarkEnd w:id="4480"/>
      <w:bookmarkEnd w:id="4481"/>
    </w:p>
    <w:p w14:paraId="729B4F7A" w14:textId="77777777" w:rsidR="00AD1F54" w:rsidRPr="00264D5D" w:rsidRDefault="00941227">
      <w:pPr>
        <w:pStyle w:val="31"/>
      </w:pPr>
      <w:bookmarkStart w:id="4482" w:name="_Toc461374548"/>
      <w:bookmarkStart w:id="4483" w:name="_Toc219309831"/>
      <w:r w:rsidRPr="00264D5D">
        <w:t>Назначение и маршрут документа</w:t>
      </w:r>
      <w:bookmarkEnd w:id="4482"/>
      <w:bookmarkEnd w:id="4483"/>
    </w:p>
    <w:p w14:paraId="4B44E56B" w14:textId="77777777" w:rsidR="00AD1F54" w:rsidRPr="00264D5D" w:rsidRDefault="00941227">
      <w:pPr>
        <w:spacing w:before="60" w:after="120"/>
        <w:ind w:firstLine="567"/>
      </w:pPr>
      <w:r w:rsidRPr="00264D5D">
        <w:t>Документ «Сведения о приглашении принять участие в определении поставщика (подрядчика, исполнителя)» является основанием для постановки на учет принимаемых бюджетных обязательств получателей средств бюджета на основании приглашений принять участие в определении поставщика (подрядчика, исполнителя).</w:t>
      </w:r>
    </w:p>
    <w:p w14:paraId="2D221B81" w14:textId="5D302C2E" w:rsidR="00AD1F54" w:rsidRPr="00264D5D" w:rsidRDefault="00941227">
      <w:pPr>
        <w:pStyle w:val="GOSTNameTable"/>
        <w:numPr>
          <w:ilvl w:val="0"/>
          <w:numId w:val="2"/>
        </w:numPr>
        <w:ind w:left="425" w:hanging="357"/>
        <w:jc w:val="both"/>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4484" w:name="_Toc30503431"/>
      <w:bookmarkStart w:id="4485" w:name="_Toc30508029"/>
      <w:bookmarkStart w:id="4486" w:name="_Toc219309372"/>
      <w:r w:rsidR="008D797C">
        <w:rPr>
          <w:rFonts w:eastAsia="Calibri"/>
          <w:noProof/>
          <w:szCs w:val="24"/>
        </w:rPr>
        <w:t>342</w:t>
      </w:r>
      <w:r w:rsidRPr="00264D5D">
        <w:rPr>
          <w:rFonts w:eastAsia="Calibri"/>
          <w:szCs w:val="24"/>
        </w:rPr>
        <w:fldChar w:fldCharType="end"/>
      </w:r>
      <w:r w:rsidRPr="00264D5D">
        <w:rPr>
          <w:rFonts w:eastAsia="Calibri"/>
          <w:szCs w:val="24"/>
        </w:rPr>
        <w:t xml:space="preserve"> – Маршрут документа «</w:t>
      </w:r>
      <w:r w:rsidRPr="00264D5D">
        <w:t>Сведения о приглашении принять участие в определении поставщика (подрядчика, исполнителя)</w:t>
      </w:r>
      <w:r w:rsidRPr="00264D5D">
        <w:rPr>
          <w:rFonts w:eastAsia="Calibri"/>
          <w:szCs w:val="24"/>
        </w:rPr>
        <w:t>»</w:t>
      </w:r>
      <w:bookmarkEnd w:id="4484"/>
      <w:bookmarkEnd w:id="4485"/>
      <w:bookmarkEnd w:id="4486"/>
    </w:p>
    <w:tbl>
      <w:tblPr>
        <w:tblStyle w:val="GOSTTable"/>
        <w:tblW w:w="5000" w:type="pct"/>
        <w:tblLook w:val="01E0" w:firstRow="1" w:lastRow="1" w:firstColumn="1" w:lastColumn="1" w:noHBand="0" w:noVBand="0"/>
      </w:tblPr>
      <w:tblGrid>
        <w:gridCol w:w="2558"/>
        <w:gridCol w:w="2555"/>
        <w:gridCol w:w="4537"/>
      </w:tblGrid>
      <w:tr w:rsidR="00AD1F54" w:rsidRPr="00264D5D" w14:paraId="422C1EA9"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325" w:type="pct"/>
          </w:tcPr>
          <w:p w14:paraId="1085F158" w14:textId="77777777" w:rsidR="00AD1F54" w:rsidRPr="00264D5D" w:rsidRDefault="00941227">
            <w:pPr>
              <w:pStyle w:val="OTRTableHead"/>
              <w:widowControl w:val="0"/>
              <w:rPr>
                <w:sz w:val="22"/>
                <w:szCs w:val="22"/>
              </w:rPr>
            </w:pPr>
            <w:r w:rsidRPr="00264D5D">
              <w:rPr>
                <w:sz w:val="22"/>
                <w:szCs w:val="22"/>
              </w:rPr>
              <w:t>Отправитель</w:t>
            </w:r>
          </w:p>
        </w:tc>
        <w:tc>
          <w:tcPr>
            <w:tcW w:w="1324" w:type="pct"/>
          </w:tcPr>
          <w:p w14:paraId="7D886966" w14:textId="77777777" w:rsidR="00AD1F54" w:rsidRPr="00264D5D" w:rsidRDefault="00941227">
            <w:pPr>
              <w:pStyle w:val="OTRTableHead"/>
              <w:widowControl w:val="0"/>
              <w:rPr>
                <w:sz w:val="22"/>
                <w:szCs w:val="22"/>
              </w:rPr>
            </w:pPr>
            <w:r w:rsidRPr="00264D5D">
              <w:rPr>
                <w:sz w:val="22"/>
                <w:szCs w:val="22"/>
              </w:rPr>
              <w:t>Получатель</w:t>
            </w:r>
          </w:p>
        </w:tc>
        <w:tc>
          <w:tcPr>
            <w:tcW w:w="2352" w:type="pct"/>
          </w:tcPr>
          <w:p w14:paraId="7540633D" w14:textId="77777777" w:rsidR="00AD1F54" w:rsidRPr="00264D5D" w:rsidRDefault="00941227">
            <w:pPr>
              <w:pStyle w:val="OTRTableHead"/>
              <w:widowControl w:val="0"/>
              <w:rPr>
                <w:sz w:val="22"/>
                <w:szCs w:val="22"/>
              </w:rPr>
            </w:pPr>
            <w:r w:rsidRPr="00264D5D">
              <w:rPr>
                <w:sz w:val="22"/>
                <w:szCs w:val="22"/>
              </w:rPr>
              <w:t>Примечание</w:t>
            </w:r>
          </w:p>
        </w:tc>
      </w:tr>
      <w:tr w:rsidR="00AD1F54" w:rsidRPr="00264D5D" w14:paraId="5E6A6510" w14:textId="77777777" w:rsidTr="00AD1F54">
        <w:trPr>
          <w:cnfStyle w:val="000000100000" w:firstRow="0" w:lastRow="0" w:firstColumn="0" w:lastColumn="0" w:oddVBand="0" w:evenVBand="0" w:oddHBand="1" w:evenHBand="0" w:firstRowFirstColumn="0" w:firstRowLastColumn="0" w:lastRowFirstColumn="0" w:lastRowLastColumn="0"/>
        </w:trPr>
        <w:tc>
          <w:tcPr>
            <w:tcW w:w="1325" w:type="pct"/>
          </w:tcPr>
          <w:p w14:paraId="31A10AD8" w14:textId="77777777" w:rsidR="00AD1F54" w:rsidRPr="00264D5D" w:rsidRDefault="00941227">
            <w:pPr>
              <w:spacing w:before="60" w:after="60"/>
              <w:rPr>
                <w:sz w:val="22"/>
                <w:szCs w:val="22"/>
              </w:rPr>
            </w:pPr>
            <w:r w:rsidRPr="00264D5D">
              <w:rPr>
                <w:sz w:val="22"/>
                <w:szCs w:val="22"/>
              </w:rPr>
              <w:t>ПБС (УБП, НУБП, которому переданы полномочия ПБС)</w:t>
            </w:r>
          </w:p>
        </w:tc>
        <w:tc>
          <w:tcPr>
            <w:tcW w:w="1324" w:type="pct"/>
          </w:tcPr>
          <w:p w14:paraId="0A29C4F5" w14:textId="77777777" w:rsidR="00AD1F54" w:rsidRPr="00264D5D" w:rsidRDefault="00941227">
            <w:pPr>
              <w:spacing w:before="60" w:after="60"/>
              <w:rPr>
                <w:sz w:val="22"/>
                <w:szCs w:val="22"/>
              </w:rPr>
            </w:pPr>
            <w:r w:rsidRPr="00264D5D">
              <w:rPr>
                <w:sz w:val="22"/>
                <w:szCs w:val="22"/>
              </w:rPr>
              <w:t>ТОФК</w:t>
            </w:r>
          </w:p>
        </w:tc>
        <w:tc>
          <w:tcPr>
            <w:tcW w:w="2352" w:type="pct"/>
          </w:tcPr>
          <w:p w14:paraId="7F759F3A" w14:textId="77777777" w:rsidR="00AD1F54" w:rsidRPr="00264D5D" w:rsidRDefault="00941227">
            <w:pPr>
              <w:spacing w:before="60" w:after="60"/>
              <w:rPr>
                <w:sz w:val="22"/>
                <w:szCs w:val="22"/>
              </w:rPr>
            </w:pPr>
            <w:r w:rsidRPr="00264D5D">
              <w:rPr>
                <w:sz w:val="22"/>
                <w:szCs w:val="22"/>
              </w:rPr>
              <w:t>Для закрытых объектов контроля/сведений о закрытых объектах ко</w:t>
            </w:r>
            <w:r w:rsidR="00FB163B" w:rsidRPr="00264D5D">
              <w:rPr>
                <w:sz w:val="22"/>
                <w:szCs w:val="22"/>
              </w:rPr>
              <w:t>нтроля</w:t>
            </w:r>
          </w:p>
        </w:tc>
      </w:tr>
    </w:tbl>
    <w:p w14:paraId="32B3ED5B" w14:textId="77777777" w:rsidR="00AD1F54" w:rsidRPr="00264D5D" w:rsidRDefault="00941227">
      <w:pPr>
        <w:pStyle w:val="31"/>
      </w:pPr>
      <w:bookmarkStart w:id="4487" w:name="_Toc461374551"/>
      <w:bookmarkStart w:id="4488" w:name="_Toc219309832"/>
      <w:r w:rsidRPr="00264D5D">
        <w:t>Описание комплексного типа «tPUR_INFORM_INVITE»</w:t>
      </w:r>
      <w:bookmarkEnd w:id="4487"/>
      <w:bookmarkEnd w:id="4488"/>
    </w:p>
    <w:p w14:paraId="3BA58E08" w14:textId="1E066332"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4489" w:name="_Toc30503432"/>
      <w:bookmarkStart w:id="4490" w:name="_Toc30508030"/>
      <w:bookmarkStart w:id="4491" w:name="_Toc219309373"/>
      <w:r w:rsidR="008D797C">
        <w:rPr>
          <w:rFonts w:eastAsia="Calibri"/>
          <w:noProof/>
          <w:szCs w:val="24"/>
        </w:rPr>
        <w:t>343</w:t>
      </w:r>
      <w:r w:rsidRPr="00264D5D">
        <w:rPr>
          <w:rFonts w:eastAsia="Calibri"/>
          <w:szCs w:val="24"/>
        </w:rPr>
        <w:fldChar w:fldCharType="end"/>
      </w:r>
      <w:r w:rsidRPr="00264D5D">
        <w:rPr>
          <w:rFonts w:eastAsia="Calibri"/>
          <w:szCs w:val="24"/>
        </w:rPr>
        <w:t xml:space="preserve"> – Описание комплексного типа «</w:t>
      </w:r>
      <w:r w:rsidRPr="00264D5D">
        <w:t>t</w:t>
      </w:r>
      <w:r w:rsidRPr="00264D5D">
        <w:rPr>
          <w:lang w:val="en-US"/>
        </w:rPr>
        <w:t>PUR</w:t>
      </w:r>
      <w:r w:rsidRPr="00264D5D">
        <w:t>_INFORM_INVITE</w:t>
      </w:r>
      <w:r w:rsidRPr="00264D5D">
        <w:rPr>
          <w:rFonts w:eastAsia="Calibri"/>
          <w:szCs w:val="24"/>
        </w:rPr>
        <w:t>»</w:t>
      </w:r>
      <w:bookmarkEnd w:id="4489"/>
      <w:bookmarkEnd w:id="4490"/>
      <w:bookmarkEnd w:id="4491"/>
    </w:p>
    <w:tbl>
      <w:tblPr>
        <w:tblStyle w:val="GOSTTable"/>
        <w:tblW w:w="5000" w:type="pct"/>
        <w:tblLayout w:type="fixed"/>
        <w:tblLook w:val="04A0" w:firstRow="1" w:lastRow="0" w:firstColumn="1" w:lastColumn="0" w:noHBand="0" w:noVBand="1"/>
      </w:tblPr>
      <w:tblGrid>
        <w:gridCol w:w="1704"/>
        <w:gridCol w:w="1704"/>
        <w:gridCol w:w="568"/>
        <w:gridCol w:w="1136"/>
        <w:gridCol w:w="568"/>
        <w:gridCol w:w="3970"/>
      </w:tblGrid>
      <w:tr w:rsidR="00AD1F54" w:rsidRPr="00264D5D" w14:paraId="575C6637"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594697CE" w14:textId="77777777" w:rsidR="00AD1F54" w:rsidRPr="00264D5D" w:rsidRDefault="00941227">
            <w:pPr>
              <w:spacing w:before="60" w:after="60"/>
              <w:jc w:val="center"/>
              <w:rPr>
                <w:b/>
                <w:bCs/>
                <w:sz w:val="22"/>
                <w:szCs w:val="22"/>
              </w:rPr>
            </w:pPr>
            <w:r w:rsidRPr="00264D5D">
              <w:rPr>
                <w:b/>
                <w:bCs/>
                <w:sz w:val="22"/>
                <w:szCs w:val="22"/>
              </w:rPr>
              <w:t>Наименование элемента</w:t>
            </w:r>
          </w:p>
        </w:tc>
        <w:tc>
          <w:tcPr>
            <w:tcW w:w="1700" w:type="dxa"/>
          </w:tcPr>
          <w:p w14:paraId="043A9DF2" w14:textId="77777777" w:rsidR="00AD1F54" w:rsidRPr="00264D5D" w:rsidRDefault="00941227">
            <w:pPr>
              <w:spacing w:before="60" w:after="60"/>
              <w:jc w:val="center"/>
              <w:rPr>
                <w:b/>
                <w:bCs/>
                <w:sz w:val="22"/>
                <w:szCs w:val="22"/>
              </w:rPr>
            </w:pPr>
            <w:r w:rsidRPr="00264D5D">
              <w:rPr>
                <w:b/>
                <w:bCs/>
                <w:sz w:val="22"/>
                <w:szCs w:val="22"/>
              </w:rPr>
              <w:t>Сокращенное наименование (код) элемента</w:t>
            </w:r>
          </w:p>
        </w:tc>
        <w:tc>
          <w:tcPr>
            <w:tcW w:w="567" w:type="dxa"/>
          </w:tcPr>
          <w:p w14:paraId="57C9F3CD" w14:textId="77777777" w:rsidR="00AD1F54" w:rsidRPr="00264D5D" w:rsidRDefault="00941227">
            <w:pPr>
              <w:spacing w:before="60" w:after="60"/>
              <w:jc w:val="center"/>
              <w:rPr>
                <w:b/>
                <w:sz w:val="22"/>
                <w:szCs w:val="22"/>
              </w:rPr>
            </w:pPr>
            <w:r w:rsidRPr="00264D5D">
              <w:rPr>
                <w:b/>
                <w:bCs/>
                <w:sz w:val="22"/>
                <w:szCs w:val="22"/>
              </w:rPr>
              <w:t>Тип</w:t>
            </w:r>
          </w:p>
        </w:tc>
        <w:tc>
          <w:tcPr>
            <w:tcW w:w="1133" w:type="dxa"/>
          </w:tcPr>
          <w:p w14:paraId="799AE3B9" w14:textId="77777777" w:rsidR="00AD1F54" w:rsidRPr="00264D5D" w:rsidRDefault="00941227">
            <w:pPr>
              <w:spacing w:before="60" w:after="60"/>
              <w:jc w:val="center"/>
              <w:rPr>
                <w:b/>
                <w:sz w:val="22"/>
                <w:szCs w:val="22"/>
              </w:rPr>
            </w:pPr>
            <w:r w:rsidRPr="00264D5D">
              <w:rPr>
                <w:b/>
                <w:bCs/>
                <w:sz w:val="22"/>
                <w:szCs w:val="22"/>
              </w:rPr>
              <w:t>Формат элемента</w:t>
            </w:r>
          </w:p>
        </w:tc>
        <w:tc>
          <w:tcPr>
            <w:tcW w:w="567" w:type="dxa"/>
          </w:tcPr>
          <w:p w14:paraId="461F31C2" w14:textId="77777777" w:rsidR="00AD1F54" w:rsidRPr="00264D5D" w:rsidRDefault="00941227">
            <w:pPr>
              <w:spacing w:before="60" w:after="60"/>
              <w:jc w:val="center"/>
              <w:rPr>
                <w:b/>
                <w:sz w:val="22"/>
                <w:szCs w:val="22"/>
              </w:rPr>
            </w:pPr>
            <w:r w:rsidRPr="00264D5D">
              <w:rPr>
                <w:b/>
                <w:bCs/>
                <w:sz w:val="22"/>
                <w:szCs w:val="22"/>
              </w:rPr>
              <w:t>Обязательность</w:t>
            </w:r>
          </w:p>
        </w:tc>
        <w:tc>
          <w:tcPr>
            <w:tcW w:w="3961" w:type="dxa"/>
          </w:tcPr>
          <w:p w14:paraId="35C4BB90" w14:textId="77777777" w:rsidR="00AD1F54" w:rsidRPr="00264D5D" w:rsidRDefault="00941227">
            <w:pPr>
              <w:spacing w:before="60" w:after="60"/>
              <w:jc w:val="center"/>
              <w:rPr>
                <w:b/>
                <w:bCs/>
                <w:sz w:val="22"/>
                <w:szCs w:val="22"/>
              </w:rPr>
            </w:pPr>
            <w:r w:rsidRPr="00264D5D">
              <w:rPr>
                <w:b/>
                <w:bCs/>
                <w:sz w:val="22"/>
                <w:szCs w:val="22"/>
              </w:rPr>
              <w:t>Дополнительная информация</w:t>
            </w:r>
          </w:p>
        </w:tc>
      </w:tr>
      <w:tr w:rsidR="00AD1F54" w:rsidRPr="00264D5D" w14:paraId="00808845"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9628" w:type="dxa"/>
            <w:gridSpan w:val="6"/>
          </w:tcPr>
          <w:p w14:paraId="0ECA4332" w14:textId="77777777" w:rsidR="00AD1F54" w:rsidRPr="00264D5D" w:rsidRDefault="00941227">
            <w:pPr>
              <w:spacing w:before="60" w:after="60"/>
              <w:rPr>
                <w:sz w:val="22"/>
                <w:szCs w:val="22"/>
              </w:rPr>
            </w:pPr>
            <w:r w:rsidRPr="00264D5D">
              <w:rPr>
                <w:b/>
                <w:sz w:val="22"/>
                <w:szCs w:val="22"/>
              </w:rPr>
              <w:t>Заголовок</w:t>
            </w:r>
          </w:p>
        </w:tc>
      </w:tr>
      <w:tr w:rsidR="00AD1F54" w:rsidRPr="00264D5D" w14:paraId="7BAEE496"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700" w:type="dxa"/>
          </w:tcPr>
          <w:p w14:paraId="5DF86DE5" w14:textId="77777777" w:rsidR="00AD1F54" w:rsidRPr="00264D5D" w:rsidRDefault="00941227">
            <w:pPr>
              <w:spacing w:before="60" w:after="60"/>
              <w:rPr>
                <w:sz w:val="22"/>
                <w:szCs w:val="22"/>
                <w:lang w:val="en-US"/>
              </w:rPr>
            </w:pPr>
            <w:r w:rsidRPr="00264D5D">
              <w:rPr>
                <w:sz w:val="22"/>
                <w:szCs w:val="22"/>
                <w:lang w:val="en-US"/>
              </w:rPr>
              <w:t>GUID</w:t>
            </w:r>
          </w:p>
        </w:tc>
        <w:tc>
          <w:tcPr>
            <w:tcW w:w="1700" w:type="dxa"/>
          </w:tcPr>
          <w:p w14:paraId="1E9CD831" w14:textId="77777777" w:rsidR="00AD1F54" w:rsidRPr="00264D5D" w:rsidRDefault="00941227">
            <w:pPr>
              <w:spacing w:before="60" w:after="60"/>
              <w:rPr>
                <w:sz w:val="22"/>
                <w:szCs w:val="22"/>
                <w:lang w:val="en-US"/>
              </w:rPr>
            </w:pPr>
            <w:r w:rsidRPr="00264D5D">
              <w:rPr>
                <w:sz w:val="22"/>
                <w:szCs w:val="22"/>
                <w:lang w:val="en-US"/>
              </w:rPr>
              <w:t>GUID</w:t>
            </w:r>
          </w:p>
        </w:tc>
        <w:tc>
          <w:tcPr>
            <w:tcW w:w="567" w:type="dxa"/>
          </w:tcPr>
          <w:p w14:paraId="021E8142" w14:textId="77777777" w:rsidR="00AD1F54" w:rsidRPr="00264D5D" w:rsidRDefault="00941227">
            <w:pPr>
              <w:spacing w:before="60" w:after="60"/>
              <w:jc w:val="center"/>
              <w:rPr>
                <w:sz w:val="22"/>
                <w:szCs w:val="22"/>
              </w:rPr>
            </w:pPr>
            <w:r w:rsidRPr="00264D5D">
              <w:rPr>
                <w:sz w:val="22"/>
                <w:szCs w:val="22"/>
              </w:rPr>
              <w:t>П</w:t>
            </w:r>
          </w:p>
        </w:tc>
        <w:tc>
          <w:tcPr>
            <w:tcW w:w="1133" w:type="dxa"/>
          </w:tcPr>
          <w:p w14:paraId="67516FF4" w14:textId="77777777" w:rsidR="00AD1F54" w:rsidRPr="00264D5D" w:rsidRDefault="00941227">
            <w:pPr>
              <w:spacing w:before="60" w:after="60"/>
              <w:jc w:val="left"/>
              <w:rPr>
                <w:sz w:val="22"/>
                <w:szCs w:val="22"/>
              </w:rPr>
            </w:pPr>
            <w:r w:rsidRPr="00264D5D">
              <w:rPr>
                <w:sz w:val="22"/>
                <w:szCs w:val="22"/>
              </w:rPr>
              <w:t>Т(36)</w:t>
            </w:r>
          </w:p>
        </w:tc>
        <w:tc>
          <w:tcPr>
            <w:tcW w:w="567" w:type="dxa"/>
          </w:tcPr>
          <w:p w14:paraId="3A40DF93" w14:textId="77777777" w:rsidR="00AD1F54" w:rsidRPr="00264D5D" w:rsidRDefault="00941227">
            <w:pPr>
              <w:spacing w:before="60" w:after="60"/>
              <w:jc w:val="center"/>
              <w:rPr>
                <w:sz w:val="22"/>
                <w:szCs w:val="22"/>
              </w:rPr>
            </w:pPr>
            <w:r w:rsidRPr="00264D5D">
              <w:rPr>
                <w:sz w:val="22"/>
                <w:szCs w:val="22"/>
              </w:rPr>
              <w:t>Н</w:t>
            </w:r>
          </w:p>
        </w:tc>
        <w:tc>
          <w:tcPr>
            <w:tcW w:w="3961" w:type="dxa"/>
          </w:tcPr>
          <w:p w14:paraId="65CDE583" w14:textId="77777777" w:rsidR="00AD1F54" w:rsidRPr="00264D5D" w:rsidRDefault="00941227">
            <w:pPr>
              <w:spacing w:before="60" w:after="60"/>
              <w:rPr>
                <w:sz w:val="22"/>
                <w:szCs w:val="22"/>
              </w:rPr>
            </w:pPr>
            <w:r w:rsidRPr="00264D5D">
              <w:rPr>
                <w:sz w:val="22"/>
                <w:szCs w:val="22"/>
              </w:rPr>
              <w:t>GUID – Глобальный уникальный идентификатор.</w:t>
            </w:r>
          </w:p>
          <w:p w14:paraId="26EACE00" w14:textId="77777777" w:rsidR="00AD1F54" w:rsidRPr="00264D5D" w:rsidRDefault="00941227">
            <w:pPr>
              <w:spacing w:before="60" w:after="60"/>
              <w:rPr>
                <w:sz w:val="22"/>
                <w:szCs w:val="22"/>
              </w:rPr>
            </w:pPr>
            <w:r w:rsidRPr="00264D5D">
              <w:rPr>
                <w:sz w:val="22"/>
                <w:szCs w:val="22"/>
              </w:rPr>
              <w:t>Служебное поле, может заполняться клиентом или ТОФК.</w:t>
            </w:r>
          </w:p>
          <w:p w14:paraId="18ED8FB3" w14:textId="77777777" w:rsidR="00AD1F54" w:rsidRPr="00264D5D" w:rsidRDefault="00941227">
            <w:pPr>
              <w:spacing w:before="60" w:after="60"/>
              <w:rPr>
                <w:sz w:val="22"/>
                <w:szCs w:val="22"/>
              </w:rPr>
            </w:pPr>
            <w:r w:rsidRPr="00264D5D">
              <w:rPr>
                <w:sz w:val="22"/>
                <w:szCs w:val="22"/>
              </w:rPr>
              <w:t>Заполняется ТОФК в случае отсутствия значения, присвоенного клиентом.</w:t>
            </w:r>
          </w:p>
          <w:p w14:paraId="6CAE7441" w14:textId="77777777" w:rsidR="00AD1F54" w:rsidRPr="00264D5D" w:rsidRDefault="00941227">
            <w:pPr>
              <w:spacing w:before="60" w:after="60"/>
              <w:rPr>
                <w:sz w:val="22"/>
                <w:szCs w:val="22"/>
              </w:rPr>
            </w:pPr>
            <w:r w:rsidRPr="00264D5D">
              <w:rPr>
                <w:sz w:val="22"/>
                <w:szCs w:val="22"/>
              </w:rPr>
              <w:t>При поступлении в ТОФК документа с неуникальным значением идентификатора документа, документ не принимается к исполнению в си</w:t>
            </w:r>
            <w:r w:rsidR="00FB163B" w:rsidRPr="00264D5D">
              <w:rPr>
                <w:sz w:val="22"/>
                <w:szCs w:val="22"/>
              </w:rPr>
              <w:t>стеме Федерального казначейства</w:t>
            </w:r>
          </w:p>
        </w:tc>
      </w:tr>
      <w:tr w:rsidR="00AD1F54" w:rsidRPr="00264D5D" w14:paraId="5F205A72"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700" w:type="dxa"/>
          </w:tcPr>
          <w:p w14:paraId="7F843BCF" w14:textId="77777777" w:rsidR="00AD1F54" w:rsidRPr="00264D5D" w:rsidRDefault="00941227">
            <w:pPr>
              <w:spacing w:before="60" w:after="60"/>
              <w:rPr>
                <w:sz w:val="22"/>
                <w:szCs w:val="22"/>
              </w:rPr>
            </w:pPr>
            <w:r w:rsidRPr="00264D5D">
              <w:rPr>
                <w:sz w:val="22"/>
                <w:szCs w:val="22"/>
              </w:rPr>
              <w:t>Вид документа</w:t>
            </w:r>
          </w:p>
        </w:tc>
        <w:tc>
          <w:tcPr>
            <w:tcW w:w="1700" w:type="dxa"/>
          </w:tcPr>
          <w:p w14:paraId="0EF77501" w14:textId="77777777" w:rsidR="00AD1F54" w:rsidRPr="00264D5D" w:rsidRDefault="00941227">
            <w:pPr>
              <w:spacing w:before="60" w:after="60"/>
              <w:rPr>
                <w:sz w:val="22"/>
                <w:szCs w:val="22"/>
              </w:rPr>
            </w:pPr>
            <w:r w:rsidRPr="00264D5D">
              <w:rPr>
                <w:sz w:val="22"/>
                <w:szCs w:val="22"/>
              </w:rPr>
              <w:t>vidDoc</w:t>
            </w:r>
          </w:p>
        </w:tc>
        <w:tc>
          <w:tcPr>
            <w:tcW w:w="567" w:type="dxa"/>
          </w:tcPr>
          <w:p w14:paraId="46506421" w14:textId="77777777" w:rsidR="00AD1F54" w:rsidRPr="00264D5D" w:rsidRDefault="00941227">
            <w:pPr>
              <w:spacing w:before="60" w:after="60"/>
              <w:jc w:val="center"/>
              <w:rPr>
                <w:sz w:val="22"/>
                <w:szCs w:val="22"/>
              </w:rPr>
            </w:pPr>
            <w:r w:rsidRPr="00264D5D">
              <w:rPr>
                <w:sz w:val="22"/>
                <w:szCs w:val="22"/>
              </w:rPr>
              <w:t>С</w:t>
            </w:r>
          </w:p>
        </w:tc>
        <w:tc>
          <w:tcPr>
            <w:tcW w:w="1133" w:type="dxa"/>
          </w:tcPr>
          <w:p w14:paraId="151E2BBE" w14:textId="77777777" w:rsidR="00AD1F54" w:rsidRPr="00264D5D" w:rsidRDefault="00941227">
            <w:pPr>
              <w:spacing w:before="60" w:after="60"/>
              <w:jc w:val="left"/>
              <w:rPr>
                <w:sz w:val="22"/>
                <w:szCs w:val="22"/>
              </w:rPr>
            </w:pPr>
            <w:r w:rsidRPr="00264D5D">
              <w:rPr>
                <w:sz w:val="22"/>
                <w:szCs w:val="22"/>
              </w:rPr>
              <w:t>tV</w:t>
            </w:r>
            <w:r w:rsidRPr="00264D5D">
              <w:rPr>
                <w:sz w:val="22"/>
                <w:szCs w:val="22"/>
                <w:lang w:val="en-US"/>
              </w:rPr>
              <w:t>id</w:t>
            </w:r>
            <w:r w:rsidRPr="00264D5D">
              <w:rPr>
                <w:sz w:val="22"/>
                <w:szCs w:val="22"/>
              </w:rPr>
              <w:t>D</w:t>
            </w:r>
            <w:r w:rsidRPr="00264D5D">
              <w:rPr>
                <w:sz w:val="22"/>
                <w:szCs w:val="22"/>
                <w:lang w:val="en-US"/>
              </w:rPr>
              <w:t>oc</w:t>
            </w:r>
            <w:r w:rsidRPr="00264D5D">
              <w:rPr>
                <w:sz w:val="22"/>
                <w:szCs w:val="22"/>
              </w:rPr>
              <w:t>Complex</w:t>
            </w:r>
          </w:p>
        </w:tc>
        <w:tc>
          <w:tcPr>
            <w:tcW w:w="567" w:type="dxa"/>
          </w:tcPr>
          <w:p w14:paraId="4180E520" w14:textId="77777777" w:rsidR="00AD1F54" w:rsidRPr="00264D5D" w:rsidRDefault="00941227">
            <w:pPr>
              <w:spacing w:before="60" w:after="60"/>
              <w:jc w:val="center"/>
              <w:rPr>
                <w:sz w:val="22"/>
                <w:szCs w:val="22"/>
              </w:rPr>
            </w:pPr>
            <w:r w:rsidRPr="00264D5D">
              <w:rPr>
                <w:sz w:val="22"/>
                <w:szCs w:val="22"/>
              </w:rPr>
              <w:t>О</w:t>
            </w:r>
          </w:p>
        </w:tc>
        <w:tc>
          <w:tcPr>
            <w:tcW w:w="3961" w:type="dxa"/>
          </w:tcPr>
          <w:p w14:paraId="08E2D2F2" w14:textId="77777777" w:rsidR="00AD1F54" w:rsidRPr="00264D5D" w:rsidRDefault="00941227">
            <w:pPr>
              <w:pStyle w:val="ASFKTablenorm"/>
              <w:contextualSpacing w:val="0"/>
              <w:rPr>
                <w:sz w:val="22"/>
                <w:szCs w:val="22"/>
              </w:rPr>
            </w:pPr>
            <w:r w:rsidRPr="00264D5D">
              <w:rPr>
                <w:sz w:val="22"/>
                <w:szCs w:val="22"/>
              </w:rPr>
              <w:t>Указывается вид документа.</w:t>
            </w:r>
          </w:p>
          <w:p w14:paraId="00C34AFC" w14:textId="4D00DF10" w:rsidR="00AD1F54" w:rsidRPr="00264D5D" w:rsidRDefault="00941227">
            <w:pPr>
              <w:pStyle w:val="ASFKTablenorm"/>
              <w:contextualSpacing w:val="0"/>
              <w:rPr>
                <w:sz w:val="22"/>
                <w:szCs w:val="22"/>
              </w:rPr>
            </w:pPr>
            <w:r w:rsidRPr="00264D5D">
              <w:rPr>
                <w:sz w:val="22"/>
                <w:szCs w:val="22"/>
              </w:rPr>
              <w:t xml:space="preserve">Состав элемента представлен в таблице </w:t>
            </w:r>
            <w:r w:rsidRPr="00264D5D">
              <w:rPr>
                <w:sz w:val="22"/>
                <w:szCs w:val="22"/>
              </w:rPr>
              <w:fldChar w:fldCharType="begin"/>
            </w:r>
            <w:r w:rsidRPr="00264D5D">
              <w:rPr>
                <w:sz w:val="22"/>
                <w:szCs w:val="22"/>
              </w:rPr>
              <w:instrText xml:space="preserve"> REF _Ref465956936 \h  \* MERGEFORMAT </w:instrText>
            </w:r>
            <w:r w:rsidRPr="00264D5D">
              <w:rPr>
                <w:sz w:val="22"/>
                <w:szCs w:val="22"/>
              </w:rPr>
            </w:r>
            <w:r w:rsidRPr="00264D5D">
              <w:rPr>
                <w:sz w:val="22"/>
                <w:szCs w:val="22"/>
              </w:rPr>
              <w:fldChar w:fldCharType="separate"/>
            </w:r>
            <w:r w:rsidR="008D797C" w:rsidRPr="008D797C">
              <w:rPr>
                <w:b/>
                <w:sz w:val="22"/>
                <w:szCs w:val="22"/>
              </w:rPr>
              <w:t>344</w:t>
            </w:r>
            <w:r w:rsidRPr="00264D5D">
              <w:rPr>
                <w:sz w:val="22"/>
                <w:szCs w:val="22"/>
              </w:rPr>
              <w:fldChar w:fldCharType="end"/>
            </w:r>
          </w:p>
        </w:tc>
      </w:tr>
      <w:tr w:rsidR="00AD1F54" w:rsidRPr="00264D5D" w14:paraId="79F8FEA3"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700" w:type="dxa"/>
          </w:tcPr>
          <w:p w14:paraId="773AAA64" w14:textId="77777777" w:rsidR="00AD1F54" w:rsidRPr="00264D5D" w:rsidRDefault="00941227">
            <w:pPr>
              <w:spacing w:before="60" w:after="60"/>
              <w:rPr>
                <w:sz w:val="22"/>
                <w:szCs w:val="22"/>
              </w:rPr>
            </w:pPr>
            <w:r w:rsidRPr="00264D5D">
              <w:rPr>
                <w:sz w:val="22"/>
                <w:szCs w:val="22"/>
              </w:rPr>
              <w:t>Номер</w:t>
            </w:r>
          </w:p>
        </w:tc>
        <w:tc>
          <w:tcPr>
            <w:tcW w:w="1700" w:type="dxa"/>
          </w:tcPr>
          <w:p w14:paraId="20A7C7F9" w14:textId="77777777" w:rsidR="00AD1F54" w:rsidRPr="00264D5D" w:rsidRDefault="00941227">
            <w:pPr>
              <w:spacing w:before="60" w:after="60"/>
              <w:rPr>
                <w:sz w:val="22"/>
                <w:szCs w:val="22"/>
              </w:rPr>
            </w:pPr>
            <w:r w:rsidRPr="00264D5D">
              <w:rPr>
                <w:sz w:val="22"/>
                <w:szCs w:val="22"/>
              </w:rPr>
              <w:t>number</w:t>
            </w:r>
          </w:p>
        </w:tc>
        <w:tc>
          <w:tcPr>
            <w:tcW w:w="567" w:type="dxa"/>
          </w:tcPr>
          <w:p w14:paraId="5FAF68DB" w14:textId="77777777" w:rsidR="00AD1F54" w:rsidRPr="00264D5D" w:rsidRDefault="00941227">
            <w:pPr>
              <w:spacing w:before="60" w:after="60"/>
              <w:jc w:val="center"/>
              <w:rPr>
                <w:sz w:val="22"/>
                <w:szCs w:val="22"/>
              </w:rPr>
            </w:pPr>
            <w:r w:rsidRPr="00264D5D">
              <w:rPr>
                <w:sz w:val="22"/>
                <w:szCs w:val="22"/>
              </w:rPr>
              <w:t>П</w:t>
            </w:r>
          </w:p>
        </w:tc>
        <w:tc>
          <w:tcPr>
            <w:tcW w:w="1133" w:type="dxa"/>
          </w:tcPr>
          <w:p w14:paraId="67568BBF" w14:textId="77777777" w:rsidR="00AD1F54" w:rsidRPr="00264D5D" w:rsidRDefault="00941227">
            <w:pPr>
              <w:spacing w:before="60" w:after="60"/>
              <w:jc w:val="left"/>
              <w:rPr>
                <w:sz w:val="22"/>
                <w:szCs w:val="22"/>
              </w:rPr>
            </w:pPr>
            <w:r w:rsidRPr="00264D5D">
              <w:rPr>
                <w:sz w:val="22"/>
                <w:szCs w:val="22"/>
              </w:rPr>
              <w:t>Т(1-45)</w:t>
            </w:r>
          </w:p>
        </w:tc>
        <w:tc>
          <w:tcPr>
            <w:tcW w:w="567" w:type="dxa"/>
          </w:tcPr>
          <w:p w14:paraId="7E3C17B1" w14:textId="77777777" w:rsidR="00AD1F54" w:rsidRPr="00264D5D" w:rsidRDefault="00941227">
            <w:pPr>
              <w:spacing w:before="60" w:after="60"/>
              <w:jc w:val="center"/>
              <w:rPr>
                <w:sz w:val="22"/>
                <w:szCs w:val="22"/>
              </w:rPr>
            </w:pPr>
            <w:r w:rsidRPr="00264D5D">
              <w:rPr>
                <w:sz w:val="22"/>
                <w:szCs w:val="22"/>
              </w:rPr>
              <w:t>О</w:t>
            </w:r>
          </w:p>
        </w:tc>
        <w:tc>
          <w:tcPr>
            <w:tcW w:w="3961" w:type="dxa"/>
          </w:tcPr>
          <w:p w14:paraId="6265E46C" w14:textId="77777777" w:rsidR="00AD1F54" w:rsidRPr="00264D5D" w:rsidRDefault="00FB163B">
            <w:pPr>
              <w:spacing w:before="60" w:after="60"/>
              <w:rPr>
                <w:sz w:val="22"/>
                <w:szCs w:val="22"/>
              </w:rPr>
            </w:pPr>
            <w:r w:rsidRPr="00264D5D">
              <w:rPr>
                <w:sz w:val="22"/>
                <w:szCs w:val="22"/>
              </w:rPr>
              <w:t>Указывается номер документа</w:t>
            </w:r>
          </w:p>
        </w:tc>
      </w:tr>
      <w:tr w:rsidR="00AD1F54" w:rsidRPr="00264D5D" w14:paraId="284E5054"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700" w:type="dxa"/>
          </w:tcPr>
          <w:p w14:paraId="604DB9A2" w14:textId="77777777" w:rsidR="00AD1F54" w:rsidRPr="00264D5D" w:rsidRDefault="00941227">
            <w:pPr>
              <w:spacing w:before="60" w:after="60"/>
              <w:rPr>
                <w:sz w:val="22"/>
                <w:szCs w:val="22"/>
              </w:rPr>
            </w:pPr>
            <w:r w:rsidRPr="00264D5D">
              <w:rPr>
                <w:sz w:val="22"/>
                <w:szCs w:val="22"/>
              </w:rPr>
              <w:t>Дата</w:t>
            </w:r>
          </w:p>
        </w:tc>
        <w:tc>
          <w:tcPr>
            <w:tcW w:w="1700" w:type="dxa"/>
          </w:tcPr>
          <w:p w14:paraId="20D776F6" w14:textId="77777777" w:rsidR="00AD1F54" w:rsidRPr="00264D5D" w:rsidRDefault="00941227">
            <w:pPr>
              <w:spacing w:before="60" w:after="60"/>
              <w:rPr>
                <w:sz w:val="22"/>
                <w:szCs w:val="22"/>
              </w:rPr>
            </w:pPr>
            <w:r w:rsidRPr="00264D5D">
              <w:rPr>
                <w:sz w:val="22"/>
                <w:szCs w:val="22"/>
              </w:rPr>
              <w:t>createDate</w:t>
            </w:r>
          </w:p>
        </w:tc>
        <w:tc>
          <w:tcPr>
            <w:tcW w:w="567" w:type="dxa"/>
          </w:tcPr>
          <w:p w14:paraId="04FB7F8E" w14:textId="77777777" w:rsidR="00AD1F54" w:rsidRPr="00264D5D" w:rsidRDefault="00941227">
            <w:pPr>
              <w:spacing w:before="60" w:after="60"/>
              <w:jc w:val="center"/>
              <w:rPr>
                <w:sz w:val="22"/>
                <w:szCs w:val="22"/>
              </w:rPr>
            </w:pPr>
            <w:r w:rsidRPr="00264D5D">
              <w:rPr>
                <w:sz w:val="22"/>
                <w:szCs w:val="22"/>
              </w:rPr>
              <w:t>П</w:t>
            </w:r>
          </w:p>
        </w:tc>
        <w:tc>
          <w:tcPr>
            <w:tcW w:w="1133" w:type="dxa"/>
          </w:tcPr>
          <w:p w14:paraId="3F59294D" w14:textId="77777777" w:rsidR="00AD1F54" w:rsidRPr="00264D5D" w:rsidRDefault="00941227">
            <w:pPr>
              <w:spacing w:before="60" w:after="60"/>
              <w:jc w:val="left"/>
              <w:rPr>
                <w:sz w:val="22"/>
                <w:szCs w:val="22"/>
              </w:rPr>
            </w:pPr>
            <w:r w:rsidRPr="00264D5D">
              <w:rPr>
                <w:sz w:val="22"/>
                <w:szCs w:val="22"/>
                <w:lang w:val="en-US"/>
              </w:rPr>
              <w:t>D</w:t>
            </w:r>
            <w:r w:rsidRPr="00264D5D">
              <w:rPr>
                <w:sz w:val="22"/>
                <w:szCs w:val="22"/>
              </w:rPr>
              <w:t>ate</w:t>
            </w:r>
          </w:p>
        </w:tc>
        <w:tc>
          <w:tcPr>
            <w:tcW w:w="567" w:type="dxa"/>
          </w:tcPr>
          <w:p w14:paraId="5A924A16" w14:textId="77777777" w:rsidR="00AD1F54" w:rsidRPr="00264D5D" w:rsidRDefault="00941227">
            <w:pPr>
              <w:spacing w:before="60" w:after="60"/>
              <w:jc w:val="center"/>
              <w:rPr>
                <w:sz w:val="22"/>
                <w:szCs w:val="22"/>
              </w:rPr>
            </w:pPr>
            <w:r w:rsidRPr="00264D5D">
              <w:rPr>
                <w:sz w:val="22"/>
                <w:szCs w:val="22"/>
              </w:rPr>
              <w:t>О</w:t>
            </w:r>
          </w:p>
        </w:tc>
        <w:tc>
          <w:tcPr>
            <w:tcW w:w="3961" w:type="dxa"/>
          </w:tcPr>
          <w:p w14:paraId="39310309" w14:textId="77777777" w:rsidR="00AD1F54" w:rsidRPr="00264D5D" w:rsidRDefault="00FB163B">
            <w:pPr>
              <w:pStyle w:val="ASFKTablenorm"/>
              <w:contextualSpacing w:val="0"/>
              <w:rPr>
                <w:sz w:val="22"/>
                <w:szCs w:val="22"/>
              </w:rPr>
            </w:pPr>
            <w:r w:rsidRPr="00264D5D">
              <w:rPr>
                <w:sz w:val="22"/>
                <w:szCs w:val="22"/>
              </w:rPr>
              <w:t>Указывается дата документа</w:t>
            </w:r>
          </w:p>
        </w:tc>
      </w:tr>
      <w:tr w:rsidR="00AD1F54" w:rsidRPr="00264D5D" w14:paraId="314FF652"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700" w:type="dxa"/>
          </w:tcPr>
          <w:p w14:paraId="5F6C7B1C" w14:textId="77777777" w:rsidR="00AD1F54" w:rsidRPr="00264D5D" w:rsidRDefault="00941227">
            <w:pPr>
              <w:spacing w:before="60" w:after="60"/>
              <w:rPr>
                <w:sz w:val="22"/>
                <w:szCs w:val="22"/>
              </w:rPr>
            </w:pPr>
            <w:r w:rsidRPr="00264D5D">
              <w:rPr>
                <w:sz w:val="22"/>
                <w:szCs w:val="22"/>
              </w:rPr>
              <w:t>Код заказчика</w:t>
            </w:r>
          </w:p>
        </w:tc>
        <w:tc>
          <w:tcPr>
            <w:tcW w:w="1700" w:type="dxa"/>
          </w:tcPr>
          <w:p w14:paraId="5FBBBDC8" w14:textId="77777777" w:rsidR="00AD1F54" w:rsidRPr="00264D5D" w:rsidRDefault="00941227">
            <w:pPr>
              <w:spacing w:before="60" w:after="60"/>
              <w:rPr>
                <w:sz w:val="22"/>
                <w:szCs w:val="22"/>
              </w:rPr>
            </w:pPr>
            <w:r w:rsidRPr="00264D5D">
              <w:rPr>
                <w:sz w:val="22"/>
                <w:szCs w:val="22"/>
              </w:rPr>
              <w:t>orgCode</w:t>
            </w:r>
          </w:p>
        </w:tc>
        <w:tc>
          <w:tcPr>
            <w:tcW w:w="567" w:type="dxa"/>
          </w:tcPr>
          <w:p w14:paraId="406C8EFA" w14:textId="77777777" w:rsidR="00AD1F54" w:rsidRPr="00264D5D" w:rsidRDefault="00941227">
            <w:pPr>
              <w:spacing w:before="60" w:after="60"/>
              <w:jc w:val="center"/>
              <w:rPr>
                <w:sz w:val="22"/>
                <w:szCs w:val="22"/>
              </w:rPr>
            </w:pPr>
            <w:r w:rsidRPr="00264D5D">
              <w:rPr>
                <w:sz w:val="22"/>
                <w:szCs w:val="22"/>
              </w:rPr>
              <w:t>П</w:t>
            </w:r>
          </w:p>
        </w:tc>
        <w:tc>
          <w:tcPr>
            <w:tcW w:w="1133" w:type="dxa"/>
          </w:tcPr>
          <w:p w14:paraId="1FB5E730" w14:textId="77777777" w:rsidR="00AD1F54" w:rsidRPr="00264D5D" w:rsidRDefault="00941227">
            <w:pPr>
              <w:spacing w:before="60" w:after="60"/>
              <w:jc w:val="left"/>
              <w:rPr>
                <w:sz w:val="22"/>
                <w:szCs w:val="22"/>
              </w:rPr>
            </w:pPr>
            <w:r w:rsidRPr="00264D5D">
              <w:rPr>
                <w:sz w:val="22"/>
                <w:szCs w:val="22"/>
              </w:rPr>
              <w:t>Т(8)</w:t>
            </w:r>
          </w:p>
        </w:tc>
        <w:tc>
          <w:tcPr>
            <w:tcW w:w="567" w:type="dxa"/>
          </w:tcPr>
          <w:p w14:paraId="2072D22A" w14:textId="77777777" w:rsidR="00AD1F54" w:rsidRPr="00264D5D" w:rsidRDefault="00941227">
            <w:pPr>
              <w:spacing w:before="60" w:after="60"/>
              <w:jc w:val="center"/>
              <w:rPr>
                <w:sz w:val="22"/>
                <w:szCs w:val="22"/>
              </w:rPr>
            </w:pPr>
            <w:r w:rsidRPr="00264D5D">
              <w:rPr>
                <w:sz w:val="22"/>
                <w:szCs w:val="22"/>
              </w:rPr>
              <w:t>О</w:t>
            </w:r>
          </w:p>
        </w:tc>
        <w:tc>
          <w:tcPr>
            <w:tcW w:w="3961" w:type="dxa"/>
          </w:tcPr>
          <w:p w14:paraId="6FF551CC" w14:textId="77777777" w:rsidR="00AD1F54" w:rsidRPr="00264D5D" w:rsidRDefault="00941227">
            <w:pPr>
              <w:pStyle w:val="ASFKTablenorm"/>
              <w:contextualSpacing w:val="0"/>
              <w:rPr>
                <w:sz w:val="22"/>
                <w:szCs w:val="22"/>
              </w:rPr>
            </w:pPr>
            <w:r w:rsidRPr="00264D5D">
              <w:rPr>
                <w:sz w:val="22"/>
                <w:szCs w:val="22"/>
              </w:rPr>
              <w:t>Указывается уникальный код заказчика в с</w:t>
            </w:r>
            <w:r w:rsidR="00FB163B" w:rsidRPr="00264D5D">
              <w:rPr>
                <w:sz w:val="22"/>
                <w:szCs w:val="22"/>
              </w:rPr>
              <w:t>оответствии со Сводным реестром</w:t>
            </w:r>
          </w:p>
        </w:tc>
      </w:tr>
      <w:tr w:rsidR="00AD1F54" w:rsidRPr="00264D5D" w14:paraId="5C51D08D"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700" w:type="dxa"/>
          </w:tcPr>
          <w:p w14:paraId="63A98154" w14:textId="77777777" w:rsidR="00AD1F54" w:rsidRPr="00264D5D" w:rsidRDefault="00941227">
            <w:pPr>
              <w:spacing w:before="60" w:after="60"/>
              <w:rPr>
                <w:sz w:val="22"/>
                <w:szCs w:val="22"/>
              </w:rPr>
            </w:pPr>
            <w:r w:rsidRPr="00264D5D">
              <w:rPr>
                <w:sz w:val="22"/>
                <w:szCs w:val="22"/>
              </w:rPr>
              <w:lastRenderedPageBreak/>
              <w:t>Наименование заказчика</w:t>
            </w:r>
          </w:p>
        </w:tc>
        <w:tc>
          <w:tcPr>
            <w:tcW w:w="1700" w:type="dxa"/>
          </w:tcPr>
          <w:p w14:paraId="78D34FAD" w14:textId="77777777" w:rsidR="00AD1F54" w:rsidRPr="00264D5D" w:rsidRDefault="00941227">
            <w:pPr>
              <w:spacing w:before="60" w:after="60"/>
              <w:rPr>
                <w:sz w:val="22"/>
                <w:szCs w:val="22"/>
              </w:rPr>
            </w:pPr>
            <w:r w:rsidRPr="00264D5D">
              <w:rPr>
                <w:sz w:val="22"/>
                <w:szCs w:val="22"/>
              </w:rPr>
              <w:t>orgName</w:t>
            </w:r>
          </w:p>
        </w:tc>
        <w:tc>
          <w:tcPr>
            <w:tcW w:w="567" w:type="dxa"/>
          </w:tcPr>
          <w:p w14:paraId="5DA489B8" w14:textId="77777777" w:rsidR="00AD1F54" w:rsidRPr="00264D5D" w:rsidRDefault="00941227">
            <w:pPr>
              <w:spacing w:before="60" w:after="60"/>
              <w:jc w:val="center"/>
              <w:rPr>
                <w:sz w:val="22"/>
                <w:szCs w:val="22"/>
              </w:rPr>
            </w:pPr>
            <w:r w:rsidRPr="00264D5D">
              <w:rPr>
                <w:sz w:val="22"/>
                <w:szCs w:val="22"/>
              </w:rPr>
              <w:t>П</w:t>
            </w:r>
          </w:p>
        </w:tc>
        <w:tc>
          <w:tcPr>
            <w:tcW w:w="1133" w:type="dxa"/>
          </w:tcPr>
          <w:p w14:paraId="0C444B03" w14:textId="77777777" w:rsidR="00AD1F54" w:rsidRPr="00264D5D" w:rsidRDefault="00941227">
            <w:pPr>
              <w:spacing w:before="60" w:after="60"/>
              <w:jc w:val="left"/>
              <w:rPr>
                <w:sz w:val="22"/>
                <w:szCs w:val="22"/>
              </w:rPr>
            </w:pPr>
            <w:r w:rsidRPr="00264D5D">
              <w:rPr>
                <w:sz w:val="22"/>
                <w:szCs w:val="22"/>
              </w:rPr>
              <w:t>Т(1-2000)</w:t>
            </w:r>
          </w:p>
        </w:tc>
        <w:tc>
          <w:tcPr>
            <w:tcW w:w="567" w:type="dxa"/>
          </w:tcPr>
          <w:p w14:paraId="32FE6C89" w14:textId="77777777" w:rsidR="00AD1F54" w:rsidRPr="00264D5D" w:rsidRDefault="00941227">
            <w:pPr>
              <w:spacing w:before="60" w:after="60"/>
              <w:jc w:val="center"/>
              <w:rPr>
                <w:sz w:val="22"/>
                <w:szCs w:val="22"/>
              </w:rPr>
            </w:pPr>
            <w:r w:rsidRPr="00264D5D">
              <w:rPr>
                <w:sz w:val="22"/>
                <w:szCs w:val="22"/>
              </w:rPr>
              <w:t>О</w:t>
            </w:r>
          </w:p>
        </w:tc>
        <w:tc>
          <w:tcPr>
            <w:tcW w:w="3961" w:type="dxa"/>
          </w:tcPr>
          <w:p w14:paraId="65969151" w14:textId="77777777" w:rsidR="00AD1F54" w:rsidRPr="00264D5D" w:rsidRDefault="00941227">
            <w:pPr>
              <w:pStyle w:val="ASFKTablenorm"/>
              <w:contextualSpacing w:val="0"/>
              <w:rPr>
                <w:sz w:val="22"/>
                <w:szCs w:val="22"/>
              </w:rPr>
            </w:pPr>
            <w:r w:rsidRPr="00264D5D">
              <w:rPr>
                <w:sz w:val="22"/>
                <w:szCs w:val="22"/>
              </w:rPr>
              <w:t>Указывается наименование заказчика в с</w:t>
            </w:r>
            <w:r w:rsidR="00FB163B" w:rsidRPr="00264D5D">
              <w:rPr>
                <w:sz w:val="22"/>
                <w:szCs w:val="22"/>
              </w:rPr>
              <w:t>оответствии со Сводным реестром</w:t>
            </w:r>
          </w:p>
        </w:tc>
      </w:tr>
      <w:tr w:rsidR="00AD1F54" w:rsidRPr="00264D5D" w14:paraId="7A784CB0"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700" w:type="dxa"/>
          </w:tcPr>
          <w:p w14:paraId="49BAA24A" w14:textId="77777777" w:rsidR="00AD1F54" w:rsidRPr="00264D5D" w:rsidRDefault="00941227">
            <w:pPr>
              <w:spacing w:before="60" w:after="60"/>
              <w:rPr>
                <w:sz w:val="22"/>
                <w:szCs w:val="22"/>
              </w:rPr>
            </w:pPr>
            <w:r w:rsidRPr="00264D5D">
              <w:rPr>
                <w:sz w:val="22"/>
                <w:szCs w:val="22"/>
              </w:rPr>
              <w:t>ИНН заказчика</w:t>
            </w:r>
          </w:p>
        </w:tc>
        <w:tc>
          <w:tcPr>
            <w:tcW w:w="1700" w:type="dxa"/>
          </w:tcPr>
          <w:p w14:paraId="17F0CE65" w14:textId="77777777" w:rsidR="00AD1F54" w:rsidRPr="00264D5D" w:rsidRDefault="00941227">
            <w:pPr>
              <w:spacing w:before="60" w:after="60"/>
              <w:rPr>
                <w:sz w:val="22"/>
                <w:szCs w:val="22"/>
              </w:rPr>
            </w:pPr>
            <w:r w:rsidRPr="00264D5D">
              <w:rPr>
                <w:sz w:val="22"/>
                <w:szCs w:val="22"/>
              </w:rPr>
              <w:t>INN</w:t>
            </w:r>
          </w:p>
        </w:tc>
        <w:tc>
          <w:tcPr>
            <w:tcW w:w="567" w:type="dxa"/>
          </w:tcPr>
          <w:p w14:paraId="0C2AC68C" w14:textId="77777777" w:rsidR="00AD1F54" w:rsidRPr="00264D5D" w:rsidRDefault="00941227">
            <w:pPr>
              <w:spacing w:before="60" w:after="60"/>
              <w:jc w:val="center"/>
              <w:rPr>
                <w:sz w:val="22"/>
                <w:szCs w:val="22"/>
              </w:rPr>
            </w:pPr>
            <w:r w:rsidRPr="00264D5D">
              <w:rPr>
                <w:sz w:val="22"/>
                <w:szCs w:val="22"/>
              </w:rPr>
              <w:t>П</w:t>
            </w:r>
          </w:p>
        </w:tc>
        <w:tc>
          <w:tcPr>
            <w:tcW w:w="1133" w:type="dxa"/>
          </w:tcPr>
          <w:p w14:paraId="600F91C5" w14:textId="77777777" w:rsidR="00AD1F54" w:rsidRPr="00264D5D" w:rsidRDefault="00941227">
            <w:pPr>
              <w:spacing w:before="60" w:after="60"/>
              <w:jc w:val="left"/>
              <w:rPr>
                <w:sz w:val="22"/>
                <w:szCs w:val="22"/>
              </w:rPr>
            </w:pPr>
            <w:r w:rsidRPr="00264D5D">
              <w:rPr>
                <w:sz w:val="22"/>
                <w:szCs w:val="22"/>
              </w:rPr>
              <w:t>Т(10)</w:t>
            </w:r>
          </w:p>
        </w:tc>
        <w:tc>
          <w:tcPr>
            <w:tcW w:w="567" w:type="dxa"/>
          </w:tcPr>
          <w:p w14:paraId="50581326" w14:textId="77777777" w:rsidR="00AD1F54" w:rsidRPr="00264D5D" w:rsidRDefault="00941227">
            <w:pPr>
              <w:spacing w:before="60" w:after="60"/>
              <w:jc w:val="center"/>
              <w:rPr>
                <w:sz w:val="22"/>
                <w:szCs w:val="22"/>
              </w:rPr>
            </w:pPr>
            <w:r w:rsidRPr="00264D5D">
              <w:rPr>
                <w:sz w:val="22"/>
                <w:szCs w:val="22"/>
              </w:rPr>
              <w:t>О</w:t>
            </w:r>
          </w:p>
        </w:tc>
        <w:tc>
          <w:tcPr>
            <w:tcW w:w="3961" w:type="dxa"/>
          </w:tcPr>
          <w:p w14:paraId="5DE377D0" w14:textId="77777777" w:rsidR="00AD1F54" w:rsidRPr="00264D5D" w:rsidRDefault="00FB163B">
            <w:pPr>
              <w:pStyle w:val="ASFKTablenorm"/>
              <w:contextualSpacing w:val="0"/>
              <w:rPr>
                <w:sz w:val="22"/>
                <w:szCs w:val="22"/>
              </w:rPr>
            </w:pPr>
            <w:r w:rsidRPr="00264D5D">
              <w:rPr>
                <w:sz w:val="22"/>
                <w:szCs w:val="22"/>
              </w:rPr>
              <w:t>Указывается ИНН заказчика</w:t>
            </w:r>
          </w:p>
        </w:tc>
      </w:tr>
      <w:tr w:rsidR="00AD1F54" w:rsidRPr="00264D5D" w14:paraId="64F1CAA1"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700" w:type="dxa"/>
          </w:tcPr>
          <w:p w14:paraId="7422EBE1" w14:textId="77777777" w:rsidR="00AD1F54" w:rsidRPr="00264D5D" w:rsidRDefault="00941227">
            <w:pPr>
              <w:spacing w:before="60" w:after="60"/>
              <w:rPr>
                <w:sz w:val="22"/>
                <w:szCs w:val="22"/>
              </w:rPr>
            </w:pPr>
            <w:r w:rsidRPr="00264D5D">
              <w:rPr>
                <w:sz w:val="22"/>
                <w:szCs w:val="22"/>
              </w:rPr>
              <w:t>КПП заказчика</w:t>
            </w:r>
          </w:p>
        </w:tc>
        <w:tc>
          <w:tcPr>
            <w:tcW w:w="1700" w:type="dxa"/>
          </w:tcPr>
          <w:p w14:paraId="7ABFFEF6" w14:textId="77777777" w:rsidR="00AD1F54" w:rsidRPr="00264D5D" w:rsidRDefault="00941227">
            <w:pPr>
              <w:spacing w:before="60" w:after="60"/>
              <w:rPr>
                <w:sz w:val="22"/>
                <w:szCs w:val="22"/>
              </w:rPr>
            </w:pPr>
            <w:r w:rsidRPr="00264D5D">
              <w:rPr>
                <w:sz w:val="22"/>
                <w:szCs w:val="22"/>
              </w:rPr>
              <w:t>KPP</w:t>
            </w:r>
          </w:p>
        </w:tc>
        <w:tc>
          <w:tcPr>
            <w:tcW w:w="567" w:type="dxa"/>
          </w:tcPr>
          <w:p w14:paraId="32A516AF" w14:textId="77777777" w:rsidR="00AD1F54" w:rsidRPr="00264D5D" w:rsidRDefault="00941227">
            <w:pPr>
              <w:spacing w:before="60" w:after="60"/>
              <w:jc w:val="center"/>
              <w:rPr>
                <w:sz w:val="22"/>
                <w:szCs w:val="22"/>
              </w:rPr>
            </w:pPr>
            <w:r w:rsidRPr="00264D5D">
              <w:rPr>
                <w:sz w:val="22"/>
                <w:szCs w:val="22"/>
              </w:rPr>
              <w:t>П</w:t>
            </w:r>
          </w:p>
        </w:tc>
        <w:tc>
          <w:tcPr>
            <w:tcW w:w="1133" w:type="dxa"/>
          </w:tcPr>
          <w:p w14:paraId="02640009" w14:textId="77777777" w:rsidR="00AD1F54" w:rsidRPr="00264D5D" w:rsidRDefault="00941227">
            <w:pPr>
              <w:spacing w:before="60" w:after="60"/>
              <w:jc w:val="left"/>
              <w:rPr>
                <w:sz w:val="22"/>
                <w:szCs w:val="22"/>
              </w:rPr>
            </w:pPr>
            <w:r w:rsidRPr="00264D5D">
              <w:rPr>
                <w:sz w:val="22"/>
                <w:szCs w:val="22"/>
              </w:rPr>
              <w:t>Т(9)</w:t>
            </w:r>
          </w:p>
        </w:tc>
        <w:tc>
          <w:tcPr>
            <w:tcW w:w="567" w:type="dxa"/>
          </w:tcPr>
          <w:p w14:paraId="5161FF2F" w14:textId="77777777" w:rsidR="00AD1F54" w:rsidRPr="00264D5D" w:rsidRDefault="00941227">
            <w:pPr>
              <w:spacing w:before="60" w:after="60"/>
              <w:jc w:val="center"/>
              <w:rPr>
                <w:sz w:val="22"/>
                <w:szCs w:val="22"/>
              </w:rPr>
            </w:pPr>
            <w:r w:rsidRPr="00264D5D">
              <w:rPr>
                <w:sz w:val="22"/>
                <w:szCs w:val="22"/>
              </w:rPr>
              <w:t>Н</w:t>
            </w:r>
          </w:p>
        </w:tc>
        <w:tc>
          <w:tcPr>
            <w:tcW w:w="3961" w:type="dxa"/>
          </w:tcPr>
          <w:p w14:paraId="37878478" w14:textId="77777777" w:rsidR="00AD1F54" w:rsidRPr="00264D5D" w:rsidRDefault="00FB163B">
            <w:pPr>
              <w:pStyle w:val="ASFKTablenorm"/>
              <w:contextualSpacing w:val="0"/>
              <w:rPr>
                <w:sz w:val="22"/>
                <w:szCs w:val="22"/>
              </w:rPr>
            </w:pPr>
            <w:r w:rsidRPr="00264D5D">
              <w:rPr>
                <w:sz w:val="22"/>
                <w:szCs w:val="22"/>
              </w:rPr>
              <w:t>Указывается КПП заказчика</w:t>
            </w:r>
          </w:p>
        </w:tc>
      </w:tr>
      <w:tr w:rsidR="00AD1F54" w:rsidRPr="00264D5D" w14:paraId="6E69C35A"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700" w:type="dxa"/>
          </w:tcPr>
          <w:p w14:paraId="2AF776EE" w14:textId="77777777" w:rsidR="00AD1F54" w:rsidRPr="00264D5D" w:rsidRDefault="00941227">
            <w:pPr>
              <w:spacing w:before="60" w:after="60"/>
              <w:rPr>
                <w:sz w:val="22"/>
                <w:szCs w:val="22"/>
              </w:rPr>
            </w:pPr>
            <w:r w:rsidRPr="00264D5D">
              <w:rPr>
                <w:sz w:val="22"/>
                <w:szCs w:val="22"/>
              </w:rPr>
              <w:t>Номер лицевого счета</w:t>
            </w:r>
          </w:p>
        </w:tc>
        <w:tc>
          <w:tcPr>
            <w:tcW w:w="1700" w:type="dxa"/>
          </w:tcPr>
          <w:p w14:paraId="729A4646" w14:textId="77777777" w:rsidR="00AD1F54" w:rsidRPr="00264D5D" w:rsidRDefault="00941227">
            <w:pPr>
              <w:spacing w:before="60" w:after="60"/>
              <w:rPr>
                <w:sz w:val="22"/>
                <w:szCs w:val="22"/>
              </w:rPr>
            </w:pPr>
            <w:r w:rsidRPr="00264D5D">
              <w:rPr>
                <w:sz w:val="22"/>
                <w:szCs w:val="22"/>
              </w:rPr>
              <w:t>accountNumber</w:t>
            </w:r>
          </w:p>
        </w:tc>
        <w:tc>
          <w:tcPr>
            <w:tcW w:w="567" w:type="dxa"/>
          </w:tcPr>
          <w:p w14:paraId="2386E604" w14:textId="77777777" w:rsidR="00AD1F54" w:rsidRPr="00264D5D" w:rsidRDefault="00941227">
            <w:pPr>
              <w:spacing w:before="60" w:after="60"/>
              <w:jc w:val="center"/>
              <w:rPr>
                <w:sz w:val="22"/>
                <w:szCs w:val="22"/>
              </w:rPr>
            </w:pPr>
            <w:r w:rsidRPr="00264D5D">
              <w:rPr>
                <w:sz w:val="22"/>
                <w:szCs w:val="22"/>
              </w:rPr>
              <w:t>П</w:t>
            </w:r>
          </w:p>
        </w:tc>
        <w:tc>
          <w:tcPr>
            <w:tcW w:w="1133" w:type="dxa"/>
          </w:tcPr>
          <w:p w14:paraId="0932E13A" w14:textId="77777777" w:rsidR="00AD1F54" w:rsidRPr="00264D5D" w:rsidRDefault="00941227">
            <w:pPr>
              <w:spacing w:before="60" w:after="60"/>
              <w:jc w:val="left"/>
              <w:rPr>
                <w:sz w:val="22"/>
                <w:szCs w:val="22"/>
              </w:rPr>
            </w:pPr>
            <w:r w:rsidRPr="00264D5D">
              <w:rPr>
                <w:sz w:val="22"/>
                <w:szCs w:val="22"/>
              </w:rPr>
              <w:t>Т(11)</w:t>
            </w:r>
          </w:p>
        </w:tc>
        <w:tc>
          <w:tcPr>
            <w:tcW w:w="567" w:type="dxa"/>
          </w:tcPr>
          <w:p w14:paraId="7FF72344" w14:textId="77777777" w:rsidR="00AD1F54" w:rsidRPr="00264D5D" w:rsidRDefault="00941227">
            <w:pPr>
              <w:spacing w:before="60" w:after="60"/>
              <w:jc w:val="center"/>
              <w:rPr>
                <w:sz w:val="22"/>
                <w:szCs w:val="22"/>
              </w:rPr>
            </w:pPr>
            <w:r w:rsidRPr="00264D5D">
              <w:rPr>
                <w:sz w:val="22"/>
                <w:szCs w:val="22"/>
              </w:rPr>
              <w:t>О</w:t>
            </w:r>
          </w:p>
        </w:tc>
        <w:tc>
          <w:tcPr>
            <w:tcW w:w="3961" w:type="dxa"/>
          </w:tcPr>
          <w:p w14:paraId="4710E68E" w14:textId="77777777" w:rsidR="00AD1F54" w:rsidRPr="00264D5D" w:rsidRDefault="00941227">
            <w:pPr>
              <w:pStyle w:val="ASFKTablenorm"/>
              <w:contextualSpacing w:val="0"/>
              <w:rPr>
                <w:sz w:val="22"/>
                <w:szCs w:val="22"/>
              </w:rPr>
            </w:pPr>
            <w:r w:rsidRPr="00264D5D">
              <w:rPr>
                <w:sz w:val="22"/>
                <w:szCs w:val="22"/>
              </w:rPr>
              <w:t>Указывается номер лице</w:t>
            </w:r>
            <w:r w:rsidR="00FB163B" w:rsidRPr="00264D5D">
              <w:rPr>
                <w:sz w:val="22"/>
                <w:szCs w:val="22"/>
              </w:rPr>
              <w:t>вого счета заказчика</w:t>
            </w:r>
          </w:p>
        </w:tc>
      </w:tr>
      <w:tr w:rsidR="00AD1F54" w:rsidRPr="00264D5D" w14:paraId="2F87E1E5"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700" w:type="dxa"/>
          </w:tcPr>
          <w:p w14:paraId="6A7857DE" w14:textId="77777777" w:rsidR="00AD1F54" w:rsidRPr="00264D5D" w:rsidRDefault="00941227">
            <w:pPr>
              <w:spacing w:before="60" w:after="60"/>
              <w:rPr>
                <w:sz w:val="22"/>
                <w:szCs w:val="22"/>
              </w:rPr>
            </w:pPr>
            <w:r w:rsidRPr="00264D5D">
              <w:rPr>
                <w:sz w:val="22"/>
                <w:szCs w:val="22"/>
              </w:rPr>
              <w:t>ОКОПФ</w:t>
            </w:r>
          </w:p>
        </w:tc>
        <w:tc>
          <w:tcPr>
            <w:tcW w:w="1700" w:type="dxa"/>
          </w:tcPr>
          <w:p w14:paraId="25CFC960" w14:textId="77777777" w:rsidR="00AD1F54" w:rsidRPr="00264D5D" w:rsidRDefault="00941227">
            <w:pPr>
              <w:spacing w:before="60" w:after="60"/>
              <w:rPr>
                <w:sz w:val="22"/>
                <w:szCs w:val="22"/>
              </w:rPr>
            </w:pPr>
            <w:r w:rsidRPr="00264D5D">
              <w:rPr>
                <w:sz w:val="22"/>
                <w:szCs w:val="22"/>
              </w:rPr>
              <w:t>OKOPF</w:t>
            </w:r>
          </w:p>
        </w:tc>
        <w:tc>
          <w:tcPr>
            <w:tcW w:w="567" w:type="dxa"/>
          </w:tcPr>
          <w:p w14:paraId="2F6D26AB" w14:textId="77777777" w:rsidR="00AD1F54" w:rsidRPr="00264D5D" w:rsidRDefault="00941227">
            <w:pPr>
              <w:spacing w:before="60" w:after="60"/>
              <w:jc w:val="center"/>
              <w:rPr>
                <w:sz w:val="22"/>
                <w:szCs w:val="22"/>
              </w:rPr>
            </w:pPr>
            <w:r w:rsidRPr="00264D5D">
              <w:rPr>
                <w:sz w:val="22"/>
                <w:szCs w:val="22"/>
              </w:rPr>
              <w:t>П</w:t>
            </w:r>
          </w:p>
        </w:tc>
        <w:tc>
          <w:tcPr>
            <w:tcW w:w="1133" w:type="dxa"/>
          </w:tcPr>
          <w:p w14:paraId="097129D8" w14:textId="77777777" w:rsidR="00AD1F54" w:rsidRPr="00264D5D" w:rsidRDefault="00941227">
            <w:pPr>
              <w:spacing w:before="60" w:after="60"/>
              <w:jc w:val="left"/>
              <w:rPr>
                <w:sz w:val="22"/>
                <w:szCs w:val="22"/>
              </w:rPr>
            </w:pPr>
            <w:r w:rsidRPr="00264D5D">
              <w:rPr>
                <w:sz w:val="22"/>
                <w:szCs w:val="22"/>
              </w:rPr>
              <w:t>Т(5)</w:t>
            </w:r>
          </w:p>
        </w:tc>
        <w:tc>
          <w:tcPr>
            <w:tcW w:w="567" w:type="dxa"/>
          </w:tcPr>
          <w:p w14:paraId="555EEE07" w14:textId="77777777" w:rsidR="00AD1F54" w:rsidRPr="00264D5D" w:rsidRDefault="00941227">
            <w:pPr>
              <w:spacing w:before="60" w:after="60"/>
              <w:jc w:val="center"/>
              <w:rPr>
                <w:sz w:val="22"/>
                <w:szCs w:val="22"/>
              </w:rPr>
            </w:pPr>
            <w:r w:rsidRPr="00264D5D">
              <w:rPr>
                <w:sz w:val="22"/>
                <w:szCs w:val="22"/>
              </w:rPr>
              <w:t>О</w:t>
            </w:r>
          </w:p>
        </w:tc>
        <w:tc>
          <w:tcPr>
            <w:tcW w:w="3961" w:type="dxa"/>
          </w:tcPr>
          <w:p w14:paraId="35DE62FA" w14:textId="77777777" w:rsidR="00AD1F54" w:rsidRPr="00264D5D" w:rsidRDefault="00941227">
            <w:pPr>
              <w:pStyle w:val="ASFKTablenorm"/>
              <w:contextualSpacing w:val="0"/>
              <w:rPr>
                <w:sz w:val="22"/>
                <w:szCs w:val="22"/>
              </w:rPr>
            </w:pPr>
            <w:r w:rsidRPr="00264D5D">
              <w:rPr>
                <w:sz w:val="22"/>
                <w:szCs w:val="22"/>
              </w:rPr>
              <w:t>Ука</w:t>
            </w:r>
            <w:r w:rsidR="00FB163B" w:rsidRPr="00264D5D">
              <w:rPr>
                <w:sz w:val="22"/>
                <w:szCs w:val="22"/>
              </w:rPr>
              <w:t>зывается код по ОКОПФ заказчика</w:t>
            </w:r>
          </w:p>
        </w:tc>
      </w:tr>
      <w:tr w:rsidR="00AD1F54" w:rsidRPr="00264D5D" w14:paraId="4C22DC8B"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700" w:type="dxa"/>
          </w:tcPr>
          <w:p w14:paraId="0AF1D633" w14:textId="77777777" w:rsidR="00AD1F54" w:rsidRPr="00264D5D" w:rsidRDefault="00941227">
            <w:pPr>
              <w:spacing w:before="60" w:after="60"/>
              <w:rPr>
                <w:sz w:val="22"/>
                <w:szCs w:val="22"/>
              </w:rPr>
            </w:pPr>
            <w:r w:rsidRPr="00264D5D">
              <w:rPr>
                <w:sz w:val="22"/>
                <w:szCs w:val="22"/>
              </w:rPr>
              <w:t>ОКФС</w:t>
            </w:r>
          </w:p>
        </w:tc>
        <w:tc>
          <w:tcPr>
            <w:tcW w:w="1700" w:type="dxa"/>
          </w:tcPr>
          <w:p w14:paraId="7AB32B5B" w14:textId="77777777" w:rsidR="00AD1F54" w:rsidRPr="00264D5D" w:rsidRDefault="00941227">
            <w:pPr>
              <w:spacing w:before="60" w:after="60"/>
              <w:rPr>
                <w:sz w:val="22"/>
                <w:szCs w:val="22"/>
              </w:rPr>
            </w:pPr>
            <w:r w:rsidRPr="00264D5D">
              <w:rPr>
                <w:sz w:val="22"/>
                <w:szCs w:val="22"/>
              </w:rPr>
              <w:t>OKFS</w:t>
            </w:r>
          </w:p>
        </w:tc>
        <w:tc>
          <w:tcPr>
            <w:tcW w:w="567" w:type="dxa"/>
          </w:tcPr>
          <w:p w14:paraId="4693312D" w14:textId="77777777" w:rsidR="00AD1F54" w:rsidRPr="00264D5D" w:rsidRDefault="00941227">
            <w:pPr>
              <w:spacing w:before="60" w:after="60"/>
              <w:jc w:val="center"/>
              <w:rPr>
                <w:sz w:val="22"/>
                <w:szCs w:val="22"/>
              </w:rPr>
            </w:pPr>
            <w:r w:rsidRPr="00264D5D">
              <w:rPr>
                <w:sz w:val="22"/>
                <w:szCs w:val="22"/>
              </w:rPr>
              <w:t>П</w:t>
            </w:r>
          </w:p>
        </w:tc>
        <w:tc>
          <w:tcPr>
            <w:tcW w:w="1133" w:type="dxa"/>
          </w:tcPr>
          <w:p w14:paraId="17D27393" w14:textId="77777777" w:rsidR="00AD1F54" w:rsidRPr="00264D5D" w:rsidRDefault="00941227">
            <w:pPr>
              <w:spacing w:before="60" w:after="60"/>
              <w:jc w:val="left"/>
              <w:rPr>
                <w:sz w:val="22"/>
                <w:szCs w:val="22"/>
              </w:rPr>
            </w:pPr>
            <w:r w:rsidRPr="00264D5D">
              <w:rPr>
                <w:sz w:val="22"/>
                <w:szCs w:val="22"/>
              </w:rPr>
              <w:t>Т(2)</w:t>
            </w:r>
          </w:p>
        </w:tc>
        <w:tc>
          <w:tcPr>
            <w:tcW w:w="567" w:type="dxa"/>
          </w:tcPr>
          <w:p w14:paraId="7FA89B46" w14:textId="77777777" w:rsidR="00AD1F54" w:rsidRPr="00264D5D" w:rsidRDefault="00941227">
            <w:pPr>
              <w:spacing w:before="60" w:after="60"/>
              <w:jc w:val="center"/>
              <w:rPr>
                <w:sz w:val="22"/>
                <w:szCs w:val="22"/>
              </w:rPr>
            </w:pPr>
            <w:r w:rsidRPr="00264D5D">
              <w:rPr>
                <w:sz w:val="22"/>
                <w:szCs w:val="22"/>
              </w:rPr>
              <w:t>О</w:t>
            </w:r>
          </w:p>
        </w:tc>
        <w:tc>
          <w:tcPr>
            <w:tcW w:w="3961" w:type="dxa"/>
          </w:tcPr>
          <w:p w14:paraId="0259DA93" w14:textId="77777777" w:rsidR="00AD1F54" w:rsidRPr="00264D5D" w:rsidRDefault="00941227">
            <w:pPr>
              <w:pStyle w:val="ASFKTablenorm"/>
              <w:contextualSpacing w:val="0"/>
              <w:rPr>
                <w:sz w:val="22"/>
                <w:szCs w:val="22"/>
              </w:rPr>
            </w:pPr>
            <w:r w:rsidRPr="00264D5D">
              <w:rPr>
                <w:sz w:val="22"/>
                <w:szCs w:val="22"/>
              </w:rPr>
              <w:t>Ук</w:t>
            </w:r>
            <w:r w:rsidR="00FB163B" w:rsidRPr="00264D5D">
              <w:rPr>
                <w:sz w:val="22"/>
                <w:szCs w:val="22"/>
              </w:rPr>
              <w:t>азывается код по ОКФС заказчика</w:t>
            </w:r>
          </w:p>
        </w:tc>
      </w:tr>
      <w:tr w:rsidR="00AD1F54" w:rsidRPr="00264D5D" w14:paraId="4DF1B4A4"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700" w:type="dxa"/>
          </w:tcPr>
          <w:p w14:paraId="7073A19A" w14:textId="77777777" w:rsidR="00AD1F54" w:rsidRPr="00264D5D" w:rsidRDefault="00941227">
            <w:pPr>
              <w:spacing w:before="60" w:after="60"/>
              <w:rPr>
                <w:sz w:val="22"/>
                <w:szCs w:val="22"/>
              </w:rPr>
            </w:pPr>
            <w:r w:rsidRPr="00264D5D">
              <w:rPr>
                <w:sz w:val="22"/>
                <w:szCs w:val="22"/>
              </w:rPr>
              <w:t>Наименование бюджета</w:t>
            </w:r>
          </w:p>
        </w:tc>
        <w:tc>
          <w:tcPr>
            <w:tcW w:w="1700" w:type="dxa"/>
          </w:tcPr>
          <w:p w14:paraId="1F0B9160" w14:textId="77777777" w:rsidR="00AD1F54" w:rsidRPr="00264D5D" w:rsidRDefault="00941227">
            <w:pPr>
              <w:spacing w:before="60" w:after="60"/>
              <w:rPr>
                <w:sz w:val="22"/>
                <w:szCs w:val="22"/>
              </w:rPr>
            </w:pPr>
            <w:r w:rsidRPr="00264D5D">
              <w:rPr>
                <w:sz w:val="22"/>
                <w:szCs w:val="22"/>
              </w:rPr>
              <w:t>NameBud</w:t>
            </w:r>
          </w:p>
        </w:tc>
        <w:tc>
          <w:tcPr>
            <w:tcW w:w="567" w:type="dxa"/>
          </w:tcPr>
          <w:p w14:paraId="19D4D03E" w14:textId="77777777" w:rsidR="00AD1F54" w:rsidRPr="00264D5D" w:rsidRDefault="00941227">
            <w:pPr>
              <w:spacing w:before="60" w:after="60"/>
              <w:jc w:val="center"/>
              <w:rPr>
                <w:sz w:val="22"/>
                <w:szCs w:val="22"/>
              </w:rPr>
            </w:pPr>
            <w:r w:rsidRPr="00264D5D">
              <w:rPr>
                <w:sz w:val="22"/>
                <w:szCs w:val="22"/>
              </w:rPr>
              <w:t>П</w:t>
            </w:r>
          </w:p>
        </w:tc>
        <w:tc>
          <w:tcPr>
            <w:tcW w:w="1133" w:type="dxa"/>
          </w:tcPr>
          <w:p w14:paraId="14458F20" w14:textId="77777777" w:rsidR="00AD1F54" w:rsidRPr="00264D5D" w:rsidRDefault="00941227">
            <w:pPr>
              <w:spacing w:before="60" w:after="60"/>
              <w:jc w:val="left"/>
              <w:rPr>
                <w:sz w:val="22"/>
                <w:szCs w:val="22"/>
              </w:rPr>
            </w:pPr>
            <w:r w:rsidRPr="00264D5D">
              <w:rPr>
                <w:sz w:val="22"/>
                <w:szCs w:val="22"/>
              </w:rPr>
              <w:t>Т(1-2000)</w:t>
            </w:r>
          </w:p>
        </w:tc>
        <w:tc>
          <w:tcPr>
            <w:tcW w:w="567" w:type="dxa"/>
          </w:tcPr>
          <w:p w14:paraId="4B9085BB" w14:textId="77777777" w:rsidR="00AD1F54" w:rsidRPr="00264D5D" w:rsidRDefault="00941227">
            <w:pPr>
              <w:spacing w:before="60" w:after="60"/>
              <w:jc w:val="center"/>
              <w:rPr>
                <w:sz w:val="22"/>
                <w:szCs w:val="22"/>
              </w:rPr>
            </w:pPr>
            <w:r w:rsidRPr="00264D5D">
              <w:rPr>
                <w:sz w:val="22"/>
                <w:szCs w:val="22"/>
              </w:rPr>
              <w:t>О</w:t>
            </w:r>
          </w:p>
        </w:tc>
        <w:tc>
          <w:tcPr>
            <w:tcW w:w="3961" w:type="dxa"/>
          </w:tcPr>
          <w:p w14:paraId="02673F3D" w14:textId="77777777" w:rsidR="00AD1F54" w:rsidRPr="00264D5D" w:rsidRDefault="00941227">
            <w:pPr>
              <w:pStyle w:val="ASFKTablenorm"/>
              <w:contextualSpacing w:val="0"/>
              <w:rPr>
                <w:sz w:val="22"/>
                <w:szCs w:val="22"/>
              </w:rPr>
            </w:pPr>
            <w:r w:rsidRPr="00264D5D">
              <w:rPr>
                <w:sz w:val="22"/>
                <w:szCs w:val="22"/>
              </w:rPr>
              <w:t>У</w:t>
            </w:r>
            <w:r w:rsidR="00FB163B" w:rsidRPr="00264D5D">
              <w:rPr>
                <w:sz w:val="22"/>
                <w:szCs w:val="22"/>
              </w:rPr>
              <w:t>казывается наименование бюджета</w:t>
            </w:r>
          </w:p>
        </w:tc>
      </w:tr>
      <w:tr w:rsidR="00AD1F54" w:rsidRPr="00264D5D" w14:paraId="0BB123E7"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700" w:type="dxa"/>
          </w:tcPr>
          <w:p w14:paraId="4CABDB3C" w14:textId="77777777" w:rsidR="00AD1F54" w:rsidRPr="00264D5D" w:rsidRDefault="00941227">
            <w:pPr>
              <w:spacing w:before="60" w:after="60"/>
              <w:rPr>
                <w:sz w:val="22"/>
                <w:szCs w:val="22"/>
              </w:rPr>
            </w:pPr>
            <w:r w:rsidRPr="00264D5D">
              <w:rPr>
                <w:sz w:val="22"/>
                <w:szCs w:val="22"/>
              </w:rPr>
              <w:t>ОКТМО бюджета</w:t>
            </w:r>
          </w:p>
        </w:tc>
        <w:tc>
          <w:tcPr>
            <w:tcW w:w="1700" w:type="dxa"/>
          </w:tcPr>
          <w:p w14:paraId="78066D9A" w14:textId="77777777" w:rsidR="00AD1F54" w:rsidRPr="00264D5D" w:rsidRDefault="00941227">
            <w:pPr>
              <w:spacing w:before="60" w:after="60"/>
              <w:rPr>
                <w:sz w:val="22"/>
                <w:szCs w:val="22"/>
                <w:lang w:val="en-US"/>
              </w:rPr>
            </w:pPr>
            <w:r w:rsidRPr="00264D5D">
              <w:rPr>
                <w:sz w:val="22"/>
                <w:szCs w:val="22"/>
              </w:rPr>
              <w:t>OKTMO</w:t>
            </w:r>
            <w:r w:rsidRPr="00264D5D">
              <w:rPr>
                <w:sz w:val="22"/>
                <w:szCs w:val="22"/>
                <w:lang w:val="en-US"/>
              </w:rPr>
              <w:t>Bud</w:t>
            </w:r>
          </w:p>
        </w:tc>
        <w:tc>
          <w:tcPr>
            <w:tcW w:w="567" w:type="dxa"/>
          </w:tcPr>
          <w:p w14:paraId="29A7A0DC" w14:textId="77777777" w:rsidR="00AD1F54" w:rsidRPr="00264D5D" w:rsidRDefault="00941227">
            <w:pPr>
              <w:spacing w:before="60" w:after="60"/>
              <w:jc w:val="center"/>
              <w:rPr>
                <w:sz w:val="22"/>
                <w:szCs w:val="22"/>
              </w:rPr>
            </w:pPr>
            <w:r w:rsidRPr="00264D5D">
              <w:rPr>
                <w:sz w:val="22"/>
                <w:szCs w:val="22"/>
              </w:rPr>
              <w:t>П</w:t>
            </w:r>
          </w:p>
        </w:tc>
        <w:tc>
          <w:tcPr>
            <w:tcW w:w="1133" w:type="dxa"/>
          </w:tcPr>
          <w:p w14:paraId="1ED2F1C3" w14:textId="77777777" w:rsidR="00AD1F54" w:rsidRPr="00264D5D" w:rsidRDefault="00941227">
            <w:pPr>
              <w:spacing w:before="60" w:after="60"/>
              <w:jc w:val="left"/>
              <w:rPr>
                <w:sz w:val="22"/>
                <w:szCs w:val="22"/>
              </w:rPr>
            </w:pPr>
            <w:r w:rsidRPr="00264D5D">
              <w:rPr>
                <w:sz w:val="22"/>
                <w:szCs w:val="22"/>
              </w:rPr>
              <w:t>Т(8) или Т(11)</w:t>
            </w:r>
          </w:p>
        </w:tc>
        <w:tc>
          <w:tcPr>
            <w:tcW w:w="567" w:type="dxa"/>
          </w:tcPr>
          <w:p w14:paraId="1D919784" w14:textId="77777777" w:rsidR="00AD1F54" w:rsidRPr="00264D5D" w:rsidRDefault="00941227">
            <w:pPr>
              <w:spacing w:before="60" w:after="60"/>
              <w:jc w:val="center"/>
              <w:rPr>
                <w:sz w:val="22"/>
                <w:szCs w:val="22"/>
              </w:rPr>
            </w:pPr>
            <w:r w:rsidRPr="00264D5D">
              <w:rPr>
                <w:sz w:val="22"/>
                <w:szCs w:val="22"/>
              </w:rPr>
              <w:t>О</w:t>
            </w:r>
          </w:p>
        </w:tc>
        <w:tc>
          <w:tcPr>
            <w:tcW w:w="3961" w:type="dxa"/>
          </w:tcPr>
          <w:p w14:paraId="756E55FA" w14:textId="77777777" w:rsidR="00AD1F54" w:rsidRPr="00264D5D" w:rsidRDefault="00941227">
            <w:pPr>
              <w:pStyle w:val="ASFKTablenorm"/>
              <w:contextualSpacing w:val="0"/>
              <w:rPr>
                <w:sz w:val="22"/>
                <w:szCs w:val="22"/>
              </w:rPr>
            </w:pPr>
            <w:r w:rsidRPr="00264D5D">
              <w:rPr>
                <w:sz w:val="22"/>
                <w:szCs w:val="22"/>
              </w:rPr>
              <w:t>Указывается код ОКТМО соответствующий бюджету.</w:t>
            </w:r>
          </w:p>
          <w:p w14:paraId="24E54C69" w14:textId="77777777" w:rsidR="00AD1F54" w:rsidRPr="00264D5D" w:rsidRDefault="00941227">
            <w:pPr>
              <w:pStyle w:val="ASFKTablenorm"/>
              <w:contextualSpacing w:val="0"/>
              <w:rPr>
                <w:sz w:val="22"/>
                <w:szCs w:val="22"/>
              </w:rPr>
            </w:pPr>
            <w:r w:rsidRPr="00264D5D">
              <w:rPr>
                <w:sz w:val="22"/>
                <w:szCs w:val="22"/>
              </w:rPr>
              <w:t>Размерность строго ограничена колич</w:t>
            </w:r>
            <w:r w:rsidR="00FB163B" w:rsidRPr="00264D5D">
              <w:rPr>
                <w:sz w:val="22"/>
                <w:szCs w:val="22"/>
              </w:rPr>
              <w:t>еством символов: или 8 или 11</w:t>
            </w:r>
          </w:p>
        </w:tc>
      </w:tr>
      <w:tr w:rsidR="00AD1F54" w:rsidRPr="00264D5D" w14:paraId="3868CD47"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700" w:type="dxa"/>
          </w:tcPr>
          <w:p w14:paraId="25BAFA89" w14:textId="77777777" w:rsidR="00AD1F54" w:rsidRPr="00264D5D" w:rsidRDefault="00941227">
            <w:pPr>
              <w:spacing w:before="60" w:after="60"/>
              <w:rPr>
                <w:sz w:val="22"/>
                <w:szCs w:val="22"/>
              </w:rPr>
            </w:pPr>
            <w:r w:rsidRPr="00264D5D">
              <w:rPr>
                <w:sz w:val="22"/>
                <w:szCs w:val="22"/>
              </w:rPr>
              <w:t>Место нахождения (адрес) заказчика</w:t>
            </w:r>
          </w:p>
        </w:tc>
        <w:tc>
          <w:tcPr>
            <w:tcW w:w="1700" w:type="dxa"/>
          </w:tcPr>
          <w:p w14:paraId="112A144B" w14:textId="77777777" w:rsidR="00AD1F54" w:rsidRPr="00264D5D" w:rsidRDefault="00941227">
            <w:pPr>
              <w:spacing w:before="60" w:after="60"/>
              <w:rPr>
                <w:sz w:val="22"/>
                <w:szCs w:val="22"/>
              </w:rPr>
            </w:pPr>
            <w:r w:rsidRPr="00264D5D">
              <w:rPr>
                <w:sz w:val="22"/>
                <w:szCs w:val="22"/>
              </w:rPr>
              <w:t>Adress</w:t>
            </w:r>
          </w:p>
        </w:tc>
        <w:tc>
          <w:tcPr>
            <w:tcW w:w="567" w:type="dxa"/>
          </w:tcPr>
          <w:p w14:paraId="16592F68" w14:textId="77777777" w:rsidR="00AD1F54" w:rsidRPr="00264D5D" w:rsidRDefault="00941227">
            <w:pPr>
              <w:spacing w:before="60" w:after="60"/>
              <w:jc w:val="center"/>
              <w:rPr>
                <w:sz w:val="22"/>
                <w:szCs w:val="22"/>
              </w:rPr>
            </w:pPr>
            <w:r w:rsidRPr="00264D5D">
              <w:rPr>
                <w:sz w:val="22"/>
                <w:szCs w:val="22"/>
              </w:rPr>
              <w:t>П</w:t>
            </w:r>
          </w:p>
        </w:tc>
        <w:tc>
          <w:tcPr>
            <w:tcW w:w="1133" w:type="dxa"/>
          </w:tcPr>
          <w:p w14:paraId="767C580F" w14:textId="77777777" w:rsidR="00AD1F54" w:rsidRPr="00264D5D" w:rsidRDefault="00941227">
            <w:pPr>
              <w:spacing w:before="60" w:after="60"/>
              <w:jc w:val="left"/>
              <w:rPr>
                <w:sz w:val="22"/>
                <w:szCs w:val="22"/>
              </w:rPr>
            </w:pPr>
            <w:r w:rsidRPr="00264D5D">
              <w:rPr>
                <w:sz w:val="22"/>
                <w:szCs w:val="22"/>
              </w:rPr>
              <w:t>Т(1-2000)</w:t>
            </w:r>
          </w:p>
        </w:tc>
        <w:tc>
          <w:tcPr>
            <w:tcW w:w="567" w:type="dxa"/>
          </w:tcPr>
          <w:p w14:paraId="1B4B28E5" w14:textId="77777777" w:rsidR="00AD1F54" w:rsidRPr="00264D5D" w:rsidRDefault="00941227">
            <w:pPr>
              <w:spacing w:before="60" w:after="60"/>
              <w:jc w:val="center"/>
              <w:rPr>
                <w:sz w:val="22"/>
                <w:szCs w:val="22"/>
              </w:rPr>
            </w:pPr>
            <w:r w:rsidRPr="00264D5D">
              <w:rPr>
                <w:sz w:val="22"/>
                <w:szCs w:val="22"/>
              </w:rPr>
              <w:t>О</w:t>
            </w:r>
          </w:p>
        </w:tc>
        <w:tc>
          <w:tcPr>
            <w:tcW w:w="3961" w:type="dxa"/>
          </w:tcPr>
          <w:p w14:paraId="2D6C8CF8" w14:textId="77777777" w:rsidR="00AD1F54" w:rsidRPr="00264D5D" w:rsidRDefault="00941227">
            <w:pPr>
              <w:pStyle w:val="ASFKTablenorm"/>
              <w:contextualSpacing w:val="0"/>
              <w:rPr>
                <w:sz w:val="22"/>
                <w:szCs w:val="22"/>
              </w:rPr>
            </w:pPr>
            <w:r w:rsidRPr="00264D5D">
              <w:rPr>
                <w:sz w:val="22"/>
                <w:szCs w:val="22"/>
              </w:rPr>
              <w:t>Указывается мес</w:t>
            </w:r>
            <w:r w:rsidR="00FB163B" w:rsidRPr="00264D5D">
              <w:rPr>
                <w:sz w:val="22"/>
                <w:szCs w:val="22"/>
              </w:rPr>
              <w:t>то нахождения (адрес) заказчика</w:t>
            </w:r>
          </w:p>
        </w:tc>
      </w:tr>
      <w:tr w:rsidR="00AD1F54" w:rsidRPr="00264D5D" w14:paraId="04455E8F"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700" w:type="dxa"/>
          </w:tcPr>
          <w:p w14:paraId="2797E5B3" w14:textId="77777777" w:rsidR="00AD1F54" w:rsidRPr="00264D5D" w:rsidRDefault="00941227">
            <w:pPr>
              <w:spacing w:before="60" w:after="60"/>
              <w:rPr>
                <w:sz w:val="22"/>
                <w:szCs w:val="22"/>
              </w:rPr>
            </w:pPr>
            <w:r w:rsidRPr="00264D5D">
              <w:rPr>
                <w:sz w:val="22"/>
                <w:szCs w:val="22"/>
              </w:rPr>
              <w:t>ОКТМО</w:t>
            </w:r>
          </w:p>
        </w:tc>
        <w:tc>
          <w:tcPr>
            <w:tcW w:w="1700" w:type="dxa"/>
          </w:tcPr>
          <w:p w14:paraId="0953D3C1" w14:textId="77777777" w:rsidR="00AD1F54" w:rsidRPr="00264D5D" w:rsidRDefault="00941227">
            <w:pPr>
              <w:spacing w:before="60" w:after="60"/>
              <w:rPr>
                <w:sz w:val="22"/>
                <w:szCs w:val="22"/>
              </w:rPr>
            </w:pPr>
            <w:r w:rsidRPr="00264D5D">
              <w:rPr>
                <w:sz w:val="22"/>
                <w:szCs w:val="22"/>
              </w:rPr>
              <w:t>OKTMO</w:t>
            </w:r>
          </w:p>
        </w:tc>
        <w:tc>
          <w:tcPr>
            <w:tcW w:w="567" w:type="dxa"/>
          </w:tcPr>
          <w:p w14:paraId="6FEF50C7" w14:textId="77777777" w:rsidR="00AD1F54" w:rsidRPr="00264D5D" w:rsidRDefault="00941227">
            <w:pPr>
              <w:spacing w:before="60" w:after="60"/>
              <w:jc w:val="center"/>
              <w:rPr>
                <w:sz w:val="22"/>
                <w:szCs w:val="22"/>
              </w:rPr>
            </w:pPr>
            <w:r w:rsidRPr="00264D5D">
              <w:rPr>
                <w:sz w:val="22"/>
                <w:szCs w:val="22"/>
              </w:rPr>
              <w:t>П</w:t>
            </w:r>
          </w:p>
        </w:tc>
        <w:tc>
          <w:tcPr>
            <w:tcW w:w="1133" w:type="dxa"/>
          </w:tcPr>
          <w:p w14:paraId="4AFACEF0" w14:textId="77777777" w:rsidR="00AD1F54" w:rsidRPr="00264D5D" w:rsidRDefault="00941227">
            <w:pPr>
              <w:spacing w:before="60" w:after="60"/>
              <w:jc w:val="left"/>
              <w:rPr>
                <w:sz w:val="22"/>
                <w:szCs w:val="22"/>
              </w:rPr>
            </w:pPr>
            <w:r w:rsidRPr="00264D5D">
              <w:rPr>
                <w:sz w:val="22"/>
                <w:szCs w:val="22"/>
              </w:rPr>
              <w:t>Т(8) или Т(11)</w:t>
            </w:r>
          </w:p>
        </w:tc>
        <w:tc>
          <w:tcPr>
            <w:tcW w:w="567" w:type="dxa"/>
          </w:tcPr>
          <w:p w14:paraId="12E1B5B7" w14:textId="77777777" w:rsidR="00AD1F54" w:rsidRPr="00264D5D" w:rsidRDefault="00941227">
            <w:pPr>
              <w:spacing w:before="60" w:after="60"/>
              <w:jc w:val="center"/>
              <w:rPr>
                <w:sz w:val="22"/>
                <w:szCs w:val="22"/>
              </w:rPr>
            </w:pPr>
            <w:r w:rsidRPr="00264D5D">
              <w:rPr>
                <w:sz w:val="22"/>
                <w:szCs w:val="22"/>
              </w:rPr>
              <w:t>О</w:t>
            </w:r>
          </w:p>
        </w:tc>
        <w:tc>
          <w:tcPr>
            <w:tcW w:w="3961" w:type="dxa"/>
          </w:tcPr>
          <w:p w14:paraId="7804EFDD" w14:textId="77777777" w:rsidR="00AD1F54" w:rsidRPr="00264D5D" w:rsidRDefault="00941227">
            <w:pPr>
              <w:pStyle w:val="ASFKTablenorm"/>
              <w:contextualSpacing w:val="0"/>
              <w:rPr>
                <w:sz w:val="22"/>
                <w:szCs w:val="22"/>
              </w:rPr>
            </w:pPr>
            <w:r w:rsidRPr="00264D5D">
              <w:rPr>
                <w:sz w:val="22"/>
                <w:szCs w:val="22"/>
              </w:rPr>
              <w:t>Указывается код по ОКТМО заказчика.</w:t>
            </w:r>
          </w:p>
          <w:p w14:paraId="7072EEF0" w14:textId="77777777" w:rsidR="00AD1F54" w:rsidRPr="00264D5D" w:rsidRDefault="00941227">
            <w:pPr>
              <w:pStyle w:val="ASFKTablenorm"/>
              <w:contextualSpacing w:val="0"/>
              <w:rPr>
                <w:sz w:val="22"/>
                <w:szCs w:val="22"/>
              </w:rPr>
            </w:pPr>
            <w:r w:rsidRPr="00264D5D">
              <w:rPr>
                <w:sz w:val="22"/>
                <w:szCs w:val="22"/>
              </w:rPr>
              <w:t>Размерность строго ограни</w:t>
            </w:r>
            <w:r w:rsidR="00FB163B" w:rsidRPr="00264D5D">
              <w:rPr>
                <w:sz w:val="22"/>
                <w:szCs w:val="22"/>
              </w:rPr>
              <w:t>чена количеством символов: или 8 или 11</w:t>
            </w:r>
          </w:p>
        </w:tc>
      </w:tr>
      <w:tr w:rsidR="00AD1F54" w:rsidRPr="00264D5D" w14:paraId="435903FD"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700" w:type="dxa"/>
          </w:tcPr>
          <w:p w14:paraId="744940AE" w14:textId="77777777" w:rsidR="00AD1F54" w:rsidRPr="00264D5D" w:rsidRDefault="00941227">
            <w:pPr>
              <w:spacing w:before="60" w:after="60"/>
              <w:rPr>
                <w:sz w:val="22"/>
                <w:szCs w:val="22"/>
              </w:rPr>
            </w:pPr>
            <w:r w:rsidRPr="00264D5D">
              <w:rPr>
                <w:sz w:val="22"/>
                <w:szCs w:val="22"/>
              </w:rPr>
              <w:t>Телефон заказчика</w:t>
            </w:r>
          </w:p>
        </w:tc>
        <w:tc>
          <w:tcPr>
            <w:tcW w:w="1700" w:type="dxa"/>
          </w:tcPr>
          <w:p w14:paraId="39433DE9" w14:textId="77777777" w:rsidR="00AD1F54" w:rsidRPr="00264D5D" w:rsidRDefault="00941227">
            <w:pPr>
              <w:spacing w:before="60" w:after="60"/>
              <w:rPr>
                <w:sz w:val="22"/>
                <w:szCs w:val="22"/>
              </w:rPr>
            </w:pPr>
            <w:r w:rsidRPr="00264D5D">
              <w:rPr>
                <w:sz w:val="22"/>
                <w:szCs w:val="22"/>
              </w:rPr>
              <w:t>Telephone</w:t>
            </w:r>
          </w:p>
        </w:tc>
        <w:tc>
          <w:tcPr>
            <w:tcW w:w="567" w:type="dxa"/>
          </w:tcPr>
          <w:p w14:paraId="63AAE04B" w14:textId="77777777" w:rsidR="00AD1F54" w:rsidRPr="00264D5D" w:rsidRDefault="00941227">
            <w:pPr>
              <w:spacing w:before="60" w:after="60"/>
              <w:jc w:val="center"/>
              <w:rPr>
                <w:sz w:val="22"/>
                <w:szCs w:val="22"/>
              </w:rPr>
            </w:pPr>
            <w:r w:rsidRPr="00264D5D">
              <w:rPr>
                <w:sz w:val="22"/>
                <w:szCs w:val="22"/>
              </w:rPr>
              <w:t>П</w:t>
            </w:r>
          </w:p>
        </w:tc>
        <w:tc>
          <w:tcPr>
            <w:tcW w:w="1133" w:type="dxa"/>
          </w:tcPr>
          <w:p w14:paraId="2D6B967B" w14:textId="77777777" w:rsidR="00AD1F54" w:rsidRPr="00264D5D" w:rsidRDefault="00941227">
            <w:pPr>
              <w:spacing w:before="60" w:after="60"/>
              <w:jc w:val="left"/>
              <w:rPr>
                <w:sz w:val="22"/>
                <w:szCs w:val="22"/>
              </w:rPr>
            </w:pPr>
            <w:r w:rsidRPr="00264D5D">
              <w:rPr>
                <w:sz w:val="22"/>
                <w:szCs w:val="22"/>
              </w:rPr>
              <w:t>Т(1-50)</w:t>
            </w:r>
          </w:p>
        </w:tc>
        <w:tc>
          <w:tcPr>
            <w:tcW w:w="567" w:type="dxa"/>
          </w:tcPr>
          <w:p w14:paraId="1378C27B" w14:textId="77777777" w:rsidR="00AD1F54" w:rsidRPr="00264D5D" w:rsidRDefault="00941227">
            <w:pPr>
              <w:spacing w:before="60" w:after="60"/>
              <w:jc w:val="center"/>
              <w:rPr>
                <w:sz w:val="22"/>
                <w:szCs w:val="22"/>
              </w:rPr>
            </w:pPr>
            <w:r w:rsidRPr="00264D5D">
              <w:rPr>
                <w:sz w:val="22"/>
                <w:szCs w:val="22"/>
              </w:rPr>
              <w:t>Н</w:t>
            </w:r>
          </w:p>
        </w:tc>
        <w:tc>
          <w:tcPr>
            <w:tcW w:w="3961" w:type="dxa"/>
          </w:tcPr>
          <w:p w14:paraId="1AC99B56" w14:textId="77777777" w:rsidR="00AD1F54" w:rsidRPr="00264D5D" w:rsidRDefault="00941227">
            <w:pPr>
              <w:pStyle w:val="ASFKTablenorm"/>
              <w:contextualSpacing w:val="0"/>
              <w:rPr>
                <w:sz w:val="22"/>
                <w:szCs w:val="22"/>
              </w:rPr>
            </w:pPr>
            <w:r w:rsidRPr="00264D5D">
              <w:rPr>
                <w:sz w:val="22"/>
                <w:szCs w:val="22"/>
              </w:rPr>
              <w:t>Указы</w:t>
            </w:r>
            <w:r w:rsidR="00FB163B" w:rsidRPr="00264D5D">
              <w:rPr>
                <w:sz w:val="22"/>
                <w:szCs w:val="22"/>
              </w:rPr>
              <w:t>вается номер телефона заказчика</w:t>
            </w:r>
          </w:p>
        </w:tc>
      </w:tr>
      <w:tr w:rsidR="00AD1F54" w:rsidRPr="00264D5D" w14:paraId="62592377"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700" w:type="dxa"/>
          </w:tcPr>
          <w:p w14:paraId="48FAE145" w14:textId="77777777" w:rsidR="00AD1F54" w:rsidRPr="00264D5D" w:rsidRDefault="00941227">
            <w:pPr>
              <w:spacing w:before="60" w:after="60"/>
              <w:rPr>
                <w:sz w:val="22"/>
                <w:szCs w:val="22"/>
              </w:rPr>
            </w:pPr>
            <w:r w:rsidRPr="00264D5D">
              <w:rPr>
                <w:sz w:val="22"/>
                <w:szCs w:val="22"/>
              </w:rPr>
              <w:t>Табличная часть</w:t>
            </w:r>
          </w:p>
        </w:tc>
        <w:tc>
          <w:tcPr>
            <w:tcW w:w="1700" w:type="dxa"/>
          </w:tcPr>
          <w:p w14:paraId="5BA0DE2B" w14:textId="77777777" w:rsidR="00AD1F54" w:rsidRPr="00264D5D" w:rsidRDefault="00941227">
            <w:pPr>
              <w:spacing w:before="60" w:after="60"/>
              <w:rPr>
                <w:sz w:val="22"/>
                <w:szCs w:val="22"/>
                <w:lang w:val="en-US"/>
              </w:rPr>
            </w:pPr>
            <w:r w:rsidRPr="00264D5D">
              <w:rPr>
                <w:sz w:val="22"/>
                <w:szCs w:val="22"/>
              </w:rPr>
              <w:t>T</w:t>
            </w:r>
            <w:r w:rsidRPr="00264D5D">
              <w:rPr>
                <w:sz w:val="22"/>
                <w:szCs w:val="22"/>
                <w:lang w:val="en-US"/>
              </w:rPr>
              <w:t>able</w:t>
            </w:r>
            <w:r w:rsidRPr="00264D5D">
              <w:rPr>
                <w:sz w:val="22"/>
                <w:szCs w:val="22"/>
              </w:rPr>
              <w:t>P</w:t>
            </w:r>
            <w:r w:rsidRPr="00264D5D">
              <w:rPr>
                <w:sz w:val="22"/>
                <w:szCs w:val="22"/>
                <w:lang w:val="en-US"/>
              </w:rPr>
              <w:t>art</w:t>
            </w:r>
          </w:p>
        </w:tc>
        <w:tc>
          <w:tcPr>
            <w:tcW w:w="567" w:type="dxa"/>
          </w:tcPr>
          <w:p w14:paraId="45780A1D" w14:textId="77777777" w:rsidR="00AD1F54" w:rsidRPr="00264D5D" w:rsidRDefault="00941227">
            <w:pPr>
              <w:spacing w:before="60" w:after="60"/>
              <w:jc w:val="center"/>
              <w:rPr>
                <w:sz w:val="22"/>
                <w:szCs w:val="22"/>
              </w:rPr>
            </w:pPr>
            <w:r w:rsidRPr="00264D5D">
              <w:rPr>
                <w:sz w:val="22"/>
                <w:szCs w:val="22"/>
              </w:rPr>
              <w:t>С</w:t>
            </w:r>
          </w:p>
        </w:tc>
        <w:tc>
          <w:tcPr>
            <w:tcW w:w="1133" w:type="dxa"/>
          </w:tcPr>
          <w:p w14:paraId="2928C2FE" w14:textId="77777777" w:rsidR="00AD1F54" w:rsidRPr="00264D5D" w:rsidRDefault="00941227">
            <w:pPr>
              <w:spacing w:before="60" w:after="60"/>
              <w:jc w:val="left"/>
              <w:rPr>
                <w:sz w:val="22"/>
                <w:szCs w:val="22"/>
                <w:lang w:val="en-US"/>
              </w:rPr>
            </w:pPr>
            <w:r w:rsidRPr="00264D5D">
              <w:rPr>
                <w:sz w:val="22"/>
                <w:szCs w:val="22"/>
              </w:rPr>
              <w:t>tT</w:t>
            </w:r>
            <w:r w:rsidRPr="00264D5D">
              <w:rPr>
                <w:sz w:val="22"/>
                <w:szCs w:val="22"/>
                <w:lang w:val="en-US"/>
              </w:rPr>
              <w:t>ablePart</w:t>
            </w:r>
          </w:p>
        </w:tc>
        <w:tc>
          <w:tcPr>
            <w:tcW w:w="567" w:type="dxa"/>
          </w:tcPr>
          <w:p w14:paraId="1BCD568E" w14:textId="77777777" w:rsidR="00AD1F54" w:rsidRPr="00264D5D" w:rsidRDefault="00941227">
            <w:pPr>
              <w:spacing w:before="60" w:after="60"/>
              <w:jc w:val="center"/>
              <w:rPr>
                <w:sz w:val="22"/>
                <w:szCs w:val="22"/>
              </w:rPr>
            </w:pPr>
            <w:r w:rsidRPr="00264D5D">
              <w:rPr>
                <w:sz w:val="22"/>
                <w:szCs w:val="22"/>
              </w:rPr>
              <w:t>О</w:t>
            </w:r>
          </w:p>
        </w:tc>
        <w:tc>
          <w:tcPr>
            <w:tcW w:w="3961" w:type="dxa"/>
          </w:tcPr>
          <w:p w14:paraId="2F7E359E" w14:textId="77777777" w:rsidR="00AD1F54" w:rsidRPr="00264D5D" w:rsidRDefault="00941227">
            <w:pPr>
              <w:spacing w:before="60" w:after="60"/>
              <w:rPr>
                <w:sz w:val="22"/>
                <w:szCs w:val="22"/>
              </w:rPr>
            </w:pPr>
            <w:r w:rsidRPr="00264D5D">
              <w:rPr>
                <w:sz w:val="22"/>
                <w:szCs w:val="22"/>
              </w:rPr>
              <w:t>Табличная часть.</w:t>
            </w:r>
          </w:p>
          <w:p w14:paraId="17DBB270" w14:textId="09B88751" w:rsidR="00AD1F54" w:rsidRPr="00264D5D" w:rsidRDefault="00941227">
            <w:pPr>
              <w:spacing w:before="60" w:after="60"/>
              <w:rPr>
                <w:sz w:val="22"/>
                <w:szCs w:val="22"/>
              </w:rPr>
            </w:pPr>
            <w:r w:rsidRPr="00264D5D">
              <w:rPr>
                <w:sz w:val="22"/>
                <w:szCs w:val="22"/>
              </w:rPr>
              <w:t xml:space="preserve">Состав элемента представлен в таблице </w:t>
            </w:r>
            <w:r w:rsidRPr="00264D5D">
              <w:rPr>
                <w:sz w:val="22"/>
                <w:szCs w:val="22"/>
              </w:rPr>
              <w:fldChar w:fldCharType="begin"/>
            </w:r>
            <w:r w:rsidRPr="00264D5D">
              <w:rPr>
                <w:sz w:val="22"/>
                <w:szCs w:val="22"/>
              </w:rPr>
              <w:instrText xml:space="preserve"> REF _Ref465956969 \h  \* MERGEFORMAT </w:instrText>
            </w:r>
            <w:r w:rsidRPr="00264D5D">
              <w:rPr>
                <w:sz w:val="22"/>
                <w:szCs w:val="22"/>
              </w:rPr>
            </w:r>
            <w:r w:rsidRPr="00264D5D">
              <w:rPr>
                <w:sz w:val="22"/>
                <w:szCs w:val="22"/>
              </w:rPr>
              <w:fldChar w:fldCharType="separate"/>
            </w:r>
            <w:r w:rsidR="008D797C" w:rsidRPr="008D797C">
              <w:rPr>
                <w:rFonts w:eastAsia="Calibri"/>
                <w:b/>
                <w:sz w:val="22"/>
                <w:szCs w:val="22"/>
              </w:rPr>
              <w:t>345</w:t>
            </w:r>
            <w:r w:rsidRPr="00264D5D">
              <w:rPr>
                <w:sz w:val="22"/>
                <w:szCs w:val="22"/>
              </w:rPr>
              <w:fldChar w:fldCharType="end"/>
            </w:r>
          </w:p>
        </w:tc>
      </w:tr>
      <w:tr w:rsidR="00AD1F54" w:rsidRPr="00264D5D" w14:paraId="286FA1CA"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9628" w:type="dxa"/>
            <w:gridSpan w:val="6"/>
          </w:tcPr>
          <w:p w14:paraId="10B26F97" w14:textId="77777777" w:rsidR="00AD1F54" w:rsidRPr="00264D5D" w:rsidRDefault="00941227">
            <w:pPr>
              <w:spacing w:before="60" w:after="60"/>
              <w:rPr>
                <w:sz w:val="22"/>
                <w:szCs w:val="22"/>
              </w:rPr>
            </w:pPr>
            <w:r w:rsidRPr="00264D5D">
              <w:rPr>
                <w:b/>
                <w:sz w:val="22"/>
                <w:szCs w:val="22"/>
              </w:rPr>
              <w:t>Подписи</w:t>
            </w:r>
          </w:p>
        </w:tc>
      </w:tr>
      <w:tr w:rsidR="00AD1F54" w:rsidRPr="00264D5D" w14:paraId="34B42612"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700" w:type="dxa"/>
          </w:tcPr>
          <w:p w14:paraId="5D9E831F" w14:textId="77777777" w:rsidR="00AD1F54" w:rsidRPr="00264D5D" w:rsidRDefault="00941227">
            <w:pPr>
              <w:pStyle w:val="ASFKTablenorm"/>
              <w:contextualSpacing w:val="0"/>
              <w:rPr>
                <w:sz w:val="22"/>
                <w:szCs w:val="22"/>
              </w:rPr>
            </w:pPr>
            <w:r w:rsidRPr="00264D5D">
              <w:rPr>
                <w:sz w:val="22"/>
                <w:szCs w:val="22"/>
              </w:rPr>
              <w:t>Должность руководителя (уполномоченного руководителем лица)</w:t>
            </w:r>
          </w:p>
        </w:tc>
        <w:tc>
          <w:tcPr>
            <w:tcW w:w="1700" w:type="dxa"/>
          </w:tcPr>
          <w:p w14:paraId="251913B4" w14:textId="77777777" w:rsidR="00AD1F54" w:rsidRPr="00264D5D" w:rsidRDefault="00941227">
            <w:pPr>
              <w:spacing w:before="60" w:after="60"/>
              <w:rPr>
                <w:sz w:val="22"/>
                <w:szCs w:val="22"/>
              </w:rPr>
            </w:pPr>
            <w:r w:rsidRPr="00264D5D">
              <w:rPr>
                <w:sz w:val="22"/>
                <w:szCs w:val="22"/>
              </w:rPr>
              <w:t>headPosition</w:t>
            </w:r>
          </w:p>
        </w:tc>
        <w:tc>
          <w:tcPr>
            <w:tcW w:w="567" w:type="dxa"/>
          </w:tcPr>
          <w:p w14:paraId="4E15B941" w14:textId="77777777" w:rsidR="00AD1F54" w:rsidRPr="00264D5D" w:rsidRDefault="00941227">
            <w:pPr>
              <w:spacing w:before="60" w:after="60"/>
              <w:jc w:val="center"/>
              <w:rPr>
                <w:sz w:val="22"/>
                <w:szCs w:val="22"/>
              </w:rPr>
            </w:pPr>
            <w:r w:rsidRPr="00264D5D">
              <w:rPr>
                <w:sz w:val="22"/>
                <w:szCs w:val="22"/>
              </w:rPr>
              <w:t>П</w:t>
            </w:r>
          </w:p>
        </w:tc>
        <w:tc>
          <w:tcPr>
            <w:tcW w:w="1133" w:type="dxa"/>
          </w:tcPr>
          <w:p w14:paraId="3270DCCA" w14:textId="77777777" w:rsidR="00AD1F54" w:rsidRPr="00264D5D" w:rsidRDefault="00941227">
            <w:pPr>
              <w:spacing w:before="60" w:after="60"/>
              <w:jc w:val="left"/>
              <w:rPr>
                <w:sz w:val="22"/>
                <w:szCs w:val="22"/>
              </w:rPr>
            </w:pPr>
            <w:r w:rsidRPr="00264D5D">
              <w:rPr>
                <w:sz w:val="22"/>
                <w:szCs w:val="22"/>
              </w:rPr>
              <w:t>Т(1-100)</w:t>
            </w:r>
          </w:p>
        </w:tc>
        <w:tc>
          <w:tcPr>
            <w:tcW w:w="567" w:type="dxa"/>
          </w:tcPr>
          <w:p w14:paraId="2ED2F39F" w14:textId="77777777" w:rsidR="00AD1F54" w:rsidRPr="00264D5D" w:rsidRDefault="00941227">
            <w:pPr>
              <w:spacing w:before="60" w:after="60"/>
              <w:jc w:val="center"/>
              <w:rPr>
                <w:sz w:val="22"/>
                <w:szCs w:val="22"/>
              </w:rPr>
            </w:pPr>
            <w:r w:rsidRPr="00264D5D">
              <w:rPr>
                <w:sz w:val="22"/>
                <w:szCs w:val="22"/>
              </w:rPr>
              <w:t>О</w:t>
            </w:r>
          </w:p>
        </w:tc>
        <w:tc>
          <w:tcPr>
            <w:tcW w:w="3961" w:type="dxa"/>
          </w:tcPr>
          <w:p w14:paraId="6DD8E41D" w14:textId="77777777" w:rsidR="00AD1F54" w:rsidRPr="00264D5D" w:rsidRDefault="00941227">
            <w:pPr>
              <w:pStyle w:val="ASFKTablenorm"/>
              <w:contextualSpacing w:val="0"/>
              <w:rPr>
                <w:sz w:val="22"/>
                <w:szCs w:val="22"/>
              </w:rPr>
            </w:pPr>
            <w:r w:rsidRPr="00264D5D">
              <w:rPr>
                <w:sz w:val="22"/>
                <w:szCs w:val="22"/>
              </w:rPr>
              <w:t>Указывается должность руководителя (уполномоченног</w:t>
            </w:r>
            <w:r w:rsidR="00FB163B" w:rsidRPr="00264D5D">
              <w:rPr>
                <w:sz w:val="22"/>
                <w:szCs w:val="22"/>
              </w:rPr>
              <w:t>о руководителем лица) заказчика</w:t>
            </w:r>
          </w:p>
        </w:tc>
      </w:tr>
      <w:tr w:rsidR="00AD1F54" w:rsidRPr="00264D5D" w14:paraId="584A8D01"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1700" w:type="dxa"/>
          </w:tcPr>
          <w:p w14:paraId="7E254BFD" w14:textId="77777777" w:rsidR="00AD1F54" w:rsidRPr="00264D5D" w:rsidRDefault="00941227">
            <w:pPr>
              <w:pStyle w:val="ASFKTablenorm"/>
              <w:contextualSpacing w:val="0"/>
              <w:rPr>
                <w:sz w:val="22"/>
                <w:szCs w:val="22"/>
              </w:rPr>
            </w:pPr>
            <w:r w:rsidRPr="00264D5D">
              <w:rPr>
                <w:sz w:val="22"/>
                <w:szCs w:val="22"/>
              </w:rPr>
              <w:t>ФИО руководителя</w:t>
            </w:r>
          </w:p>
        </w:tc>
        <w:tc>
          <w:tcPr>
            <w:tcW w:w="1700" w:type="dxa"/>
          </w:tcPr>
          <w:p w14:paraId="77E125BD" w14:textId="77777777" w:rsidR="00AD1F54" w:rsidRPr="00264D5D" w:rsidRDefault="00941227">
            <w:pPr>
              <w:spacing w:before="60" w:after="60"/>
              <w:rPr>
                <w:rFonts w:eastAsia="Calibri"/>
                <w:sz w:val="22"/>
                <w:szCs w:val="22"/>
              </w:rPr>
            </w:pPr>
            <w:r w:rsidRPr="00264D5D">
              <w:rPr>
                <w:rFonts w:eastAsia="Calibri"/>
                <w:sz w:val="22"/>
                <w:szCs w:val="22"/>
              </w:rPr>
              <w:t>headName</w:t>
            </w:r>
          </w:p>
        </w:tc>
        <w:tc>
          <w:tcPr>
            <w:tcW w:w="567" w:type="dxa"/>
          </w:tcPr>
          <w:p w14:paraId="1371B52E" w14:textId="77777777" w:rsidR="00AD1F54" w:rsidRPr="00264D5D" w:rsidRDefault="00941227">
            <w:pPr>
              <w:spacing w:before="60" w:after="60"/>
              <w:jc w:val="center"/>
              <w:rPr>
                <w:rFonts w:eastAsia="Calibri"/>
                <w:sz w:val="22"/>
                <w:szCs w:val="22"/>
              </w:rPr>
            </w:pPr>
            <w:r w:rsidRPr="00264D5D">
              <w:rPr>
                <w:rFonts w:eastAsia="Calibri"/>
                <w:sz w:val="22"/>
                <w:szCs w:val="22"/>
              </w:rPr>
              <w:t>П</w:t>
            </w:r>
          </w:p>
        </w:tc>
        <w:tc>
          <w:tcPr>
            <w:tcW w:w="1133" w:type="dxa"/>
          </w:tcPr>
          <w:p w14:paraId="0C406062" w14:textId="77777777" w:rsidR="00AD1F54" w:rsidRPr="00264D5D" w:rsidRDefault="00941227">
            <w:pPr>
              <w:spacing w:before="60" w:after="60"/>
              <w:jc w:val="left"/>
              <w:rPr>
                <w:rFonts w:eastAsia="Calibri"/>
                <w:sz w:val="22"/>
                <w:szCs w:val="22"/>
              </w:rPr>
            </w:pPr>
            <w:r w:rsidRPr="00264D5D">
              <w:rPr>
                <w:rFonts w:eastAsia="Calibri"/>
                <w:sz w:val="22"/>
                <w:szCs w:val="22"/>
              </w:rPr>
              <w:t>Т(1-50)</w:t>
            </w:r>
          </w:p>
        </w:tc>
        <w:tc>
          <w:tcPr>
            <w:tcW w:w="567" w:type="dxa"/>
          </w:tcPr>
          <w:p w14:paraId="1CBE4BB2" w14:textId="77777777" w:rsidR="00AD1F54" w:rsidRPr="00264D5D" w:rsidRDefault="00941227">
            <w:pPr>
              <w:spacing w:before="60" w:after="60"/>
              <w:jc w:val="center"/>
              <w:rPr>
                <w:rFonts w:eastAsia="Calibri"/>
                <w:sz w:val="22"/>
                <w:szCs w:val="22"/>
              </w:rPr>
            </w:pPr>
            <w:r w:rsidRPr="00264D5D">
              <w:rPr>
                <w:rFonts w:eastAsia="Calibri"/>
                <w:sz w:val="22"/>
                <w:szCs w:val="22"/>
              </w:rPr>
              <w:t>О</w:t>
            </w:r>
          </w:p>
        </w:tc>
        <w:tc>
          <w:tcPr>
            <w:tcW w:w="3961" w:type="dxa"/>
          </w:tcPr>
          <w:p w14:paraId="4B6AB911" w14:textId="77777777" w:rsidR="00AD1F54" w:rsidRPr="00264D5D" w:rsidRDefault="00941227">
            <w:pPr>
              <w:pStyle w:val="ASFKTablenorm"/>
              <w:contextualSpacing w:val="0"/>
              <w:rPr>
                <w:sz w:val="22"/>
                <w:szCs w:val="22"/>
              </w:rPr>
            </w:pPr>
            <w:r w:rsidRPr="00264D5D">
              <w:rPr>
                <w:sz w:val="22"/>
                <w:szCs w:val="22"/>
              </w:rPr>
              <w:t>Указыва</w:t>
            </w:r>
            <w:r w:rsidR="00FB163B" w:rsidRPr="00264D5D">
              <w:rPr>
                <w:sz w:val="22"/>
                <w:szCs w:val="22"/>
              </w:rPr>
              <w:t>ется ФИО руководителя заказчика</w:t>
            </w:r>
          </w:p>
        </w:tc>
      </w:tr>
      <w:tr w:rsidR="00AD1F54" w:rsidRPr="00264D5D" w14:paraId="72BE2050"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700" w:type="dxa"/>
          </w:tcPr>
          <w:p w14:paraId="3F10324F" w14:textId="77777777" w:rsidR="00AD1F54" w:rsidRPr="00264D5D" w:rsidRDefault="00941227">
            <w:pPr>
              <w:pStyle w:val="ASFKTablenorm"/>
              <w:contextualSpacing w:val="0"/>
              <w:rPr>
                <w:sz w:val="22"/>
                <w:szCs w:val="22"/>
              </w:rPr>
            </w:pPr>
            <w:r w:rsidRPr="00264D5D">
              <w:rPr>
                <w:sz w:val="22"/>
                <w:szCs w:val="22"/>
              </w:rPr>
              <w:t xml:space="preserve">Дата утверждения </w:t>
            </w:r>
          </w:p>
        </w:tc>
        <w:tc>
          <w:tcPr>
            <w:tcW w:w="1700" w:type="dxa"/>
          </w:tcPr>
          <w:p w14:paraId="6B66DD75" w14:textId="77777777" w:rsidR="00AD1F54" w:rsidRPr="00264D5D" w:rsidRDefault="00941227">
            <w:pPr>
              <w:spacing w:before="60" w:after="60"/>
              <w:rPr>
                <w:rFonts w:eastAsia="Calibri"/>
                <w:sz w:val="22"/>
                <w:szCs w:val="22"/>
              </w:rPr>
            </w:pPr>
            <w:r w:rsidRPr="00264D5D">
              <w:rPr>
                <w:rFonts w:eastAsia="Calibri"/>
                <w:sz w:val="22"/>
                <w:szCs w:val="22"/>
              </w:rPr>
              <w:t>approveDate</w:t>
            </w:r>
          </w:p>
        </w:tc>
        <w:tc>
          <w:tcPr>
            <w:tcW w:w="567" w:type="dxa"/>
          </w:tcPr>
          <w:p w14:paraId="644ACCC2" w14:textId="77777777" w:rsidR="00AD1F54" w:rsidRPr="00264D5D" w:rsidRDefault="00941227">
            <w:pPr>
              <w:spacing w:before="60" w:after="60"/>
              <w:jc w:val="center"/>
              <w:rPr>
                <w:rFonts w:eastAsia="Calibri"/>
                <w:sz w:val="22"/>
                <w:szCs w:val="22"/>
              </w:rPr>
            </w:pPr>
            <w:r w:rsidRPr="00264D5D">
              <w:rPr>
                <w:rFonts w:eastAsia="Calibri"/>
                <w:sz w:val="22"/>
                <w:szCs w:val="22"/>
              </w:rPr>
              <w:t>П</w:t>
            </w:r>
          </w:p>
        </w:tc>
        <w:tc>
          <w:tcPr>
            <w:tcW w:w="1133" w:type="dxa"/>
          </w:tcPr>
          <w:p w14:paraId="249E270A" w14:textId="77777777" w:rsidR="00AD1F54" w:rsidRPr="00264D5D" w:rsidRDefault="00941227">
            <w:pPr>
              <w:spacing w:before="60" w:after="60"/>
              <w:jc w:val="left"/>
              <w:rPr>
                <w:rFonts w:eastAsia="Calibri"/>
                <w:sz w:val="22"/>
                <w:szCs w:val="22"/>
              </w:rPr>
            </w:pPr>
            <w:r w:rsidRPr="00264D5D">
              <w:rPr>
                <w:rFonts w:eastAsia="Calibri"/>
                <w:sz w:val="22"/>
                <w:szCs w:val="22"/>
                <w:lang w:val="en-US"/>
              </w:rPr>
              <w:t>D</w:t>
            </w:r>
            <w:r w:rsidRPr="00264D5D">
              <w:rPr>
                <w:rFonts w:eastAsia="Calibri"/>
                <w:sz w:val="22"/>
                <w:szCs w:val="22"/>
              </w:rPr>
              <w:t>ate</w:t>
            </w:r>
          </w:p>
        </w:tc>
        <w:tc>
          <w:tcPr>
            <w:tcW w:w="567" w:type="dxa"/>
          </w:tcPr>
          <w:p w14:paraId="624C6812" w14:textId="77777777" w:rsidR="00AD1F54" w:rsidRPr="00264D5D" w:rsidRDefault="00941227">
            <w:pPr>
              <w:spacing w:before="60" w:after="60"/>
              <w:jc w:val="center"/>
              <w:rPr>
                <w:rFonts w:eastAsia="Calibri"/>
                <w:sz w:val="22"/>
                <w:szCs w:val="22"/>
              </w:rPr>
            </w:pPr>
            <w:r w:rsidRPr="00264D5D">
              <w:rPr>
                <w:rFonts w:eastAsia="Calibri"/>
                <w:sz w:val="22"/>
                <w:szCs w:val="22"/>
              </w:rPr>
              <w:t>О</w:t>
            </w:r>
          </w:p>
        </w:tc>
        <w:tc>
          <w:tcPr>
            <w:tcW w:w="3961" w:type="dxa"/>
          </w:tcPr>
          <w:p w14:paraId="284178A5" w14:textId="77777777" w:rsidR="00AD1F54" w:rsidRPr="00264D5D" w:rsidRDefault="00941227">
            <w:pPr>
              <w:pStyle w:val="ASFKTablenorm"/>
              <w:contextualSpacing w:val="0"/>
              <w:rPr>
                <w:sz w:val="22"/>
                <w:szCs w:val="22"/>
              </w:rPr>
            </w:pPr>
            <w:r w:rsidRPr="00264D5D">
              <w:rPr>
                <w:sz w:val="22"/>
                <w:szCs w:val="22"/>
              </w:rPr>
              <w:t>Указывается дата утверждения документа руководителем (уполномоченным</w:t>
            </w:r>
            <w:r w:rsidR="00FB163B" w:rsidRPr="00264D5D">
              <w:rPr>
                <w:sz w:val="22"/>
                <w:szCs w:val="22"/>
              </w:rPr>
              <w:t xml:space="preserve"> руководителем </w:t>
            </w:r>
            <w:r w:rsidR="00FB163B" w:rsidRPr="00264D5D">
              <w:rPr>
                <w:sz w:val="22"/>
                <w:szCs w:val="22"/>
              </w:rPr>
              <w:lastRenderedPageBreak/>
              <w:t>лицом) заказчика</w:t>
            </w:r>
          </w:p>
        </w:tc>
      </w:tr>
      <w:tr w:rsidR="00AD1F54" w:rsidRPr="00264D5D" w14:paraId="7D9A4BB5"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9628" w:type="dxa"/>
            <w:gridSpan w:val="6"/>
          </w:tcPr>
          <w:p w14:paraId="02EA9D1E" w14:textId="77777777" w:rsidR="00AD1F54" w:rsidRPr="00264D5D" w:rsidRDefault="00941227">
            <w:pPr>
              <w:pStyle w:val="ASFKTablenorm"/>
              <w:contextualSpacing w:val="0"/>
              <w:rPr>
                <w:sz w:val="22"/>
                <w:szCs w:val="22"/>
              </w:rPr>
            </w:pPr>
            <w:r w:rsidRPr="00264D5D">
              <w:rPr>
                <w:b/>
                <w:sz w:val="22"/>
                <w:szCs w:val="22"/>
              </w:rPr>
              <w:lastRenderedPageBreak/>
              <w:t>Отметка ТОФК</w:t>
            </w:r>
          </w:p>
        </w:tc>
      </w:tr>
      <w:tr w:rsidR="00AD1F54" w:rsidRPr="00264D5D" w14:paraId="2695FB4D"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1700" w:type="dxa"/>
          </w:tcPr>
          <w:p w14:paraId="2357475C" w14:textId="77777777" w:rsidR="00AD1F54" w:rsidRPr="00264D5D" w:rsidRDefault="00941227">
            <w:pPr>
              <w:pStyle w:val="ASFKTablenorm"/>
              <w:contextualSpacing w:val="0"/>
              <w:rPr>
                <w:sz w:val="22"/>
                <w:szCs w:val="22"/>
              </w:rPr>
            </w:pPr>
            <w:r w:rsidRPr="00264D5D">
              <w:rPr>
                <w:sz w:val="22"/>
                <w:szCs w:val="22"/>
              </w:rPr>
              <w:t>Отметка ТОФК</w:t>
            </w:r>
          </w:p>
        </w:tc>
        <w:tc>
          <w:tcPr>
            <w:tcW w:w="1700" w:type="dxa"/>
          </w:tcPr>
          <w:p w14:paraId="66594E7D" w14:textId="77777777" w:rsidR="00AD1F54" w:rsidRPr="00264D5D" w:rsidRDefault="00941227">
            <w:pPr>
              <w:spacing w:before="60" w:after="60"/>
              <w:rPr>
                <w:rFonts w:eastAsia="Calibri"/>
                <w:sz w:val="22"/>
                <w:szCs w:val="22"/>
              </w:rPr>
            </w:pPr>
            <w:r w:rsidRPr="00264D5D">
              <w:rPr>
                <w:rFonts w:eastAsia="Calibri"/>
                <w:sz w:val="22"/>
                <w:szCs w:val="22"/>
              </w:rPr>
              <w:t>MarkORFK</w:t>
            </w:r>
          </w:p>
        </w:tc>
        <w:tc>
          <w:tcPr>
            <w:tcW w:w="567" w:type="dxa"/>
          </w:tcPr>
          <w:p w14:paraId="0B2508D9" w14:textId="77777777" w:rsidR="00AD1F54" w:rsidRPr="00264D5D" w:rsidRDefault="00941227">
            <w:pPr>
              <w:spacing w:before="60" w:after="60"/>
              <w:jc w:val="center"/>
              <w:rPr>
                <w:rFonts w:eastAsia="Calibri"/>
                <w:sz w:val="22"/>
                <w:szCs w:val="22"/>
                <w:lang w:val="en-US"/>
              </w:rPr>
            </w:pPr>
            <w:r w:rsidRPr="00264D5D">
              <w:rPr>
                <w:rFonts w:eastAsia="Calibri"/>
                <w:sz w:val="22"/>
                <w:szCs w:val="22"/>
                <w:lang w:val="en-US"/>
              </w:rPr>
              <w:t>C</w:t>
            </w:r>
          </w:p>
        </w:tc>
        <w:tc>
          <w:tcPr>
            <w:tcW w:w="1133" w:type="dxa"/>
          </w:tcPr>
          <w:p w14:paraId="26D134D7" w14:textId="77777777" w:rsidR="00AD1F54" w:rsidRPr="00264D5D" w:rsidRDefault="00941227">
            <w:pPr>
              <w:spacing w:before="60" w:after="60"/>
              <w:jc w:val="left"/>
              <w:rPr>
                <w:rFonts w:eastAsia="Calibri"/>
                <w:sz w:val="22"/>
                <w:szCs w:val="22"/>
              </w:rPr>
            </w:pPr>
            <w:r w:rsidRPr="00264D5D">
              <w:rPr>
                <w:rFonts w:eastAsia="Calibri"/>
                <w:sz w:val="22"/>
                <w:szCs w:val="22"/>
              </w:rPr>
              <w:t>tM</w:t>
            </w:r>
            <w:r w:rsidRPr="00264D5D">
              <w:rPr>
                <w:rFonts w:eastAsia="Calibri"/>
                <w:sz w:val="22"/>
                <w:szCs w:val="22"/>
                <w:lang w:val="en-US"/>
              </w:rPr>
              <w:t>ARK</w:t>
            </w:r>
            <w:r w:rsidRPr="00264D5D">
              <w:rPr>
                <w:rFonts w:eastAsia="Calibri"/>
                <w:sz w:val="22"/>
                <w:szCs w:val="22"/>
              </w:rPr>
              <w:t>_ORF</w:t>
            </w:r>
            <w:r w:rsidRPr="00264D5D">
              <w:rPr>
                <w:rFonts w:eastAsia="Calibri"/>
                <w:sz w:val="22"/>
                <w:szCs w:val="22"/>
                <w:lang w:val="en-US"/>
              </w:rPr>
              <w:t>K</w:t>
            </w:r>
          </w:p>
        </w:tc>
        <w:tc>
          <w:tcPr>
            <w:tcW w:w="567" w:type="dxa"/>
          </w:tcPr>
          <w:p w14:paraId="42E4E4F0" w14:textId="77777777" w:rsidR="00AD1F54" w:rsidRPr="00264D5D" w:rsidRDefault="00941227">
            <w:pPr>
              <w:spacing w:before="60" w:after="60"/>
              <w:jc w:val="center"/>
              <w:rPr>
                <w:rFonts w:eastAsia="Calibri"/>
                <w:sz w:val="22"/>
                <w:szCs w:val="22"/>
              </w:rPr>
            </w:pPr>
            <w:r w:rsidRPr="00264D5D">
              <w:rPr>
                <w:rFonts w:eastAsia="Calibri"/>
                <w:sz w:val="22"/>
                <w:szCs w:val="22"/>
                <w:lang w:val="en-US"/>
              </w:rPr>
              <w:t>Н</w:t>
            </w:r>
          </w:p>
        </w:tc>
        <w:tc>
          <w:tcPr>
            <w:tcW w:w="3961" w:type="dxa"/>
          </w:tcPr>
          <w:p w14:paraId="622F93F1" w14:textId="77777777" w:rsidR="00AD1F54" w:rsidRPr="00264D5D" w:rsidRDefault="00941227">
            <w:pPr>
              <w:pStyle w:val="ASFKTablenorm"/>
              <w:contextualSpacing w:val="0"/>
              <w:rPr>
                <w:sz w:val="22"/>
                <w:szCs w:val="22"/>
              </w:rPr>
            </w:pPr>
            <w:r w:rsidRPr="00264D5D">
              <w:rPr>
                <w:sz w:val="22"/>
                <w:szCs w:val="22"/>
              </w:rPr>
              <w:t>Отметка ТОФК. Заполняется ТОФК.</w:t>
            </w:r>
          </w:p>
          <w:p w14:paraId="564B6CB3" w14:textId="185211CC" w:rsidR="00AD1F54" w:rsidRPr="00264D5D" w:rsidRDefault="00941227">
            <w:pPr>
              <w:pStyle w:val="ASFKTablenorm"/>
              <w:contextualSpacing w:val="0"/>
              <w:rPr>
                <w:sz w:val="22"/>
                <w:szCs w:val="22"/>
              </w:rPr>
            </w:pPr>
            <w:r w:rsidRPr="00264D5D">
              <w:rPr>
                <w:sz w:val="22"/>
                <w:szCs w:val="22"/>
              </w:rPr>
              <w:t xml:space="preserve">Состав элемента представлен в таблице </w:t>
            </w:r>
            <w:r w:rsidRPr="00264D5D">
              <w:rPr>
                <w:sz w:val="22"/>
                <w:szCs w:val="22"/>
              </w:rPr>
              <w:fldChar w:fldCharType="begin"/>
            </w:r>
            <w:r w:rsidRPr="00264D5D">
              <w:rPr>
                <w:sz w:val="22"/>
                <w:szCs w:val="22"/>
              </w:rPr>
              <w:instrText xml:space="preserve"> REF _Ref465956994 \h  \* MERGEFORMAT </w:instrText>
            </w:r>
            <w:r w:rsidRPr="00264D5D">
              <w:rPr>
                <w:sz w:val="22"/>
                <w:szCs w:val="22"/>
              </w:rPr>
            </w:r>
            <w:r w:rsidRPr="00264D5D">
              <w:rPr>
                <w:sz w:val="22"/>
                <w:szCs w:val="22"/>
              </w:rPr>
              <w:fldChar w:fldCharType="separate"/>
            </w:r>
            <w:r w:rsidR="008D797C" w:rsidRPr="008D797C">
              <w:rPr>
                <w:b/>
                <w:sz w:val="22"/>
                <w:szCs w:val="22"/>
              </w:rPr>
              <w:t>347</w:t>
            </w:r>
            <w:r w:rsidRPr="00264D5D">
              <w:rPr>
                <w:sz w:val="22"/>
                <w:szCs w:val="22"/>
              </w:rPr>
              <w:fldChar w:fldCharType="end"/>
            </w:r>
          </w:p>
        </w:tc>
      </w:tr>
    </w:tbl>
    <w:p w14:paraId="62D67E81" w14:textId="77777777" w:rsidR="00AD1F54" w:rsidRPr="00264D5D" w:rsidRDefault="00941227">
      <w:pPr>
        <w:pStyle w:val="31"/>
      </w:pPr>
      <w:bookmarkStart w:id="4492" w:name="_Toc219309833"/>
      <w:r w:rsidRPr="00264D5D">
        <w:t>Описание комплексного типа «tVidDocComplex»</w:t>
      </w:r>
      <w:bookmarkEnd w:id="4492"/>
    </w:p>
    <w:p w14:paraId="59C00A48" w14:textId="77777777" w:rsidR="00AD1F54" w:rsidRPr="00264D5D" w:rsidRDefault="00941227">
      <w:pPr>
        <w:pStyle w:val="ASFKNormal"/>
        <w:spacing w:before="60" w:after="120"/>
        <w:contextualSpacing w:val="0"/>
        <w:jc w:val="both"/>
        <w:rPr>
          <w:sz w:val="24"/>
          <w:szCs w:val="24"/>
        </w:rPr>
      </w:pPr>
      <w:r w:rsidRPr="00264D5D">
        <w:rPr>
          <w:sz w:val="24"/>
          <w:szCs w:val="24"/>
        </w:rPr>
        <w:t>Описание комплексного типа «tV</w:t>
      </w:r>
      <w:r w:rsidRPr="00264D5D">
        <w:rPr>
          <w:sz w:val="24"/>
          <w:szCs w:val="24"/>
          <w:lang w:val="en-US"/>
        </w:rPr>
        <w:t>id</w:t>
      </w:r>
      <w:r w:rsidRPr="00264D5D">
        <w:rPr>
          <w:sz w:val="24"/>
          <w:szCs w:val="24"/>
        </w:rPr>
        <w:t>D</w:t>
      </w:r>
      <w:r w:rsidRPr="00264D5D">
        <w:rPr>
          <w:sz w:val="24"/>
          <w:szCs w:val="24"/>
          <w:lang w:val="en-US"/>
        </w:rPr>
        <w:t>oc</w:t>
      </w:r>
      <w:r w:rsidRPr="00264D5D">
        <w:rPr>
          <w:sz w:val="24"/>
          <w:szCs w:val="24"/>
        </w:rPr>
        <w:t>Complex» блока «Вид документа».</w:t>
      </w:r>
    </w:p>
    <w:p w14:paraId="375749D1" w14:textId="55FEE483"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4493" w:name="_Ref465956936"/>
      <w:bookmarkStart w:id="4494" w:name="_Toc30503433"/>
      <w:bookmarkStart w:id="4495" w:name="_Toc30508031"/>
      <w:bookmarkStart w:id="4496" w:name="_Toc219309374"/>
      <w:r w:rsidR="008D797C">
        <w:rPr>
          <w:rFonts w:eastAsia="Calibri"/>
          <w:noProof/>
          <w:szCs w:val="24"/>
        </w:rPr>
        <w:t>344</w:t>
      </w:r>
      <w:bookmarkEnd w:id="4493"/>
      <w:r w:rsidRPr="00264D5D">
        <w:rPr>
          <w:rFonts w:eastAsia="Calibri"/>
          <w:szCs w:val="24"/>
        </w:rPr>
        <w:fldChar w:fldCharType="end"/>
      </w:r>
      <w:r w:rsidRPr="00264D5D">
        <w:rPr>
          <w:rFonts w:eastAsia="Calibri"/>
          <w:szCs w:val="24"/>
        </w:rPr>
        <w:t xml:space="preserve"> – Описание комплексного типа «tV</w:t>
      </w:r>
      <w:r w:rsidRPr="00264D5D">
        <w:rPr>
          <w:rFonts w:eastAsia="Calibri"/>
          <w:szCs w:val="24"/>
          <w:lang w:val="en-US"/>
        </w:rPr>
        <w:t>id</w:t>
      </w:r>
      <w:r w:rsidRPr="00264D5D">
        <w:rPr>
          <w:rFonts w:eastAsia="Calibri"/>
          <w:szCs w:val="24"/>
        </w:rPr>
        <w:t>D</w:t>
      </w:r>
      <w:r w:rsidRPr="00264D5D">
        <w:rPr>
          <w:rFonts w:eastAsia="Calibri"/>
          <w:szCs w:val="24"/>
          <w:lang w:val="en-US"/>
        </w:rPr>
        <w:t>oc</w:t>
      </w:r>
      <w:r w:rsidRPr="00264D5D">
        <w:rPr>
          <w:rFonts w:eastAsia="Calibri"/>
          <w:szCs w:val="24"/>
        </w:rPr>
        <w:t>Complex»</w:t>
      </w:r>
      <w:bookmarkEnd w:id="4494"/>
      <w:bookmarkEnd w:id="4495"/>
      <w:bookmarkEnd w:id="4496"/>
    </w:p>
    <w:tbl>
      <w:tblPr>
        <w:tblStyle w:val="GOSTTable"/>
        <w:tblW w:w="5000" w:type="pct"/>
        <w:tblLayout w:type="fixed"/>
        <w:tblLook w:val="04A0" w:firstRow="1" w:lastRow="0" w:firstColumn="1" w:lastColumn="0" w:noHBand="0" w:noVBand="1"/>
      </w:tblPr>
      <w:tblGrid>
        <w:gridCol w:w="1707"/>
        <w:gridCol w:w="1704"/>
        <w:gridCol w:w="567"/>
        <w:gridCol w:w="1137"/>
        <w:gridCol w:w="567"/>
        <w:gridCol w:w="3968"/>
      </w:tblGrid>
      <w:tr w:rsidR="00AD1F54" w:rsidRPr="00264D5D" w14:paraId="1D520F68" w14:textId="77777777" w:rsidTr="00AD1F54">
        <w:trPr>
          <w:cnfStyle w:val="100000000000" w:firstRow="1" w:lastRow="0" w:firstColumn="0" w:lastColumn="0" w:oddVBand="0" w:evenVBand="0" w:oddHBand="0" w:evenHBand="0" w:firstRowFirstColumn="0" w:firstRowLastColumn="0" w:lastRowFirstColumn="0" w:lastRowLastColumn="0"/>
          <w:trHeight w:val="282"/>
          <w:tblHeader/>
        </w:trPr>
        <w:tc>
          <w:tcPr>
            <w:tcW w:w="884" w:type="pct"/>
          </w:tcPr>
          <w:p w14:paraId="2AB7B2B7" w14:textId="77777777" w:rsidR="00AD1F54" w:rsidRPr="00264D5D" w:rsidRDefault="00941227">
            <w:pPr>
              <w:spacing w:before="60" w:after="60"/>
              <w:jc w:val="center"/>
              <w:rPr>
                <w:b/>
                <w:bCs/>
                <w:sz w:val="22"/>
                <w:szCs w:val="22"/>
              </w:rPr>
            </w:pPr>
            <w:r w:rsidRPr="00264D5D">
              <w:rPr>
                <w:b/>
                <w:bCs/>
                <w:sz w:val="22"/>
                <w:szCs w:val="22"/>
              </w:rPr>
              <w:t>Наименование элемента</w:t>
            </w:r>
          </w:p>
        </w:tc>
        <w:tc>
          <w:tcPr>
            <w:tcW w:w="883" w:type="pct"/>
          </w:tcPr>
          <w:p w14:paraId="644FDD83" w14:textId="77777777" w:rsidR="00AD1F54" w:rsidRPr="00264D5D" w:rsidRDefault="00941227">
            <w:pPr>
              <w:spacing w:before="60" w:after="60"/>
              <w:jc w:val="center"/>
              <w:rPr>
                <w:b/>
                <w:bCs/>
                <w:sz w:val="22"/>
                <w:szCs w:val="22"/>
              </w:rPr>
            </w:pPr>
            <w:r w:rsidRPr="00264D5D">
              <w:rPr>
                <w:b/>
                <w:bCs/>
                <w:sz w:val="22"/>
                <w:szCs w:val="22"/>
              </w:rPr>
              <w:t>Сокращенное наименование (код) элемента</w:t>
            </w:r>
          </w:p>
        </w:tc>
        <w:tc>
          <w:tcPr>
            <w:tcW w:w="294" w:type="pct"/>
          </w:tcPr>
          <w:p w14:paraId="66F1CBEB" w14:textId="77777777" w:rsidR="00AD1F54" w:rsidRPr="00264D5D" w:rsidRDefault="00941227">
            <w:pPr>
              <w:spacing w:before="60" w:after="60"/>
              <w:jc w:val="center"/>
              <w:rPr>
                <w:b/>
                <w:sz w:val="22"/>
                <w:szCs w:val="22"/>
              </w:rPr>
            </w:pPr>
            <w:r w:rsidRPr="00264D5D">
              <w:rPr>
                <w:b/>
                <w:bCs/>
                <w:sz w:val="22"/>
                <w:szCs w:val="22"/>
              </w:rPr>
              <w:t>Тип</w:t>
            </w:r>
          </w:p>
        </w:tc>
        <w:tc>
          <w:tcPr>
            <w:tcW w:w="589" w:type="pct"/>
          </w:tcPr>
          <w:p w14:paraId="6528F4B3" w14:textId="77777777" w:rsidR="00AD1F54" w:rsidRPr="00264D5D" w:rsidRDefault="00941227">
            <w:pPr>
              <w:spacing w:before="60" w:after="60"/>
              <w:jc w:val="center"/>
              <w:rPr>
                <w:b/>
                <w:sz w:val="22"/>
                <w:szCs w:val="22"/>
              </w:rPr>
            </w:pPr>
            <w:r w:rsidRPr="00264D5D">
              <w:rPr>
                <w:b/>
                <w:bCs/>
                <w:sz w:val="22"/>
                <w:szCs w:val="22"/>
              </w:rPr>
              <w:t>Формат элемента</w:t>
            </w:r>
          </w:p>
        </w:tc>
        <w:tc>
          <w:tcPr>
            <w:tcW w:w="294" w:type="pct"/>
          </w:tcPr>
          <w:p w14:paraId="6F405A4E" w14:textId="77777777" w:rsidR="00AD1F54" w:rsidRPr="00264D5D" w:rsidRDefault="00941227">
            <w:pPr>
              <w:spacing w:before="60" w:after="60"/>
              <w:jc w:val="center"/>
              <w:rPr>
                <w:b/>
                <w:sz w:val="22"/>
                <w:szCs w:val="22"/>
              </w:rPr>
            </w:pPr>
            <w:r w:rsidRPr="00264D5D">
              <w:rPr>
                <w:b/>
                <w:bCs/>
                <w:sz w:val="22"/>
                <w:szCs w:val="22"/>
              </w:rPr>
              <w:t>Обязательность</w:t>
            </w:r>
          </w:p>
        </w:tc>
        <w:tc>
          <w:tcPr>
            <w:tcW w:w="2057" w:type="pct"/>
          </w:tcPr>
          <w:p w14:paraId="12D55607" w14:textId="77777777" w:rsidR="00AD1F54" w:rsidRPr="00264D5D" w:rsidRDefault="00941227">
            <w:pPr>
              <w:spacing w:before="60" w:after="60"/>
              <w:jc w:val="center"/>
              <w:rPr>
                <w:b/>
                <w:bCs/>
                <w:sz w:val="22"/>
                <w:szCs w:val="22"/>
              </w:rPr>
            </w:pPr>
            <w:r w:rsidRPr="00264D5D">
              <w:rPr>
                <w:b/>
                <w:bCs/>
                <w:sz w:val="22"/>
                <w:szCs w:val="22"/>
              </w:rPr>
              <w:t>Дополнительная информация</w:t>
            </w:r>
          </w:p>
        </w:tc>
      </w:tr>
      <w:tr w:rsidR="00AD1F54" w:rsidRPr="00264D5D" w14:paraId="6EAF6C8C" w14:textId="77777777" w:rsidTr="00AD1F54">
        <w:trPr>
          <w:cnfStyle w:val="000000100000" w:firstRow="0" w:lastRow="0" w:firstColumn="0" w:lastColumn="0" w:oddVBand="0" w:evenVBand="0" w:oddHBand="1" w:evenHBand="0" w:firstRowFirstColumn="0" w:firstRowLastColumn="0" w:lastRowFirstColumn="0" w:lastRowLastColumn="0"/>
          <w:trHeight w:val="282"/>
        </w:trPr>
        <w:tc>
          <w:tcPr>
            <w:tcW w:w="884" w:type="pct"/>
          </w:tcPr>
          <w:p w14:paraId="7025B97B" w14:textId="77777777" w:rsidR="00AD1F54" w:rsidRPr="00264D5D" w:rsidRDefault="00941227">
            <w:pPr>
              <w:spacing w:before="60" w:after="60"/>
              <w:rPr>
                <w:sz w:val="22"/>
                <w:szCs w:val="22"/>
              </w:rPr>
            </w:pPr>
            <w:r w:rsidRPr="00264D5D">
              <w:rPr>
                <w:sz w:val="22"/>
                <w:szCs w:val="22"/>
              </w:rPr>
              <w:t>Код</w:t>
            </w:r>
          </w:p>
        </w:tc>
        <w:tc>
          <w:tcPr>
            <w:tcW w:w="883" w:type="pct"/>
          </w:tcPr>
          <w:p w14:paraId="7249A66E" w14:textId="77777777" w:rsidR="00AD1F54" w:rsidRPr="00264D5D" w:rsidRDefault="00941227">
            <w:pPr>
              <w:tabs>
                <w:tab w:val="left" w:pos="1122"/>
              </w:tabs>
              <w:spacing w:before="60" w:after="60"/>
              <w:rPr>
                <w:sz w:val="22"/>
                <w:szCs w:val="22"/>
              </w:rPr>
            </w:pPr>
            <w:r w:rsidRPr="00264D5D">
              <w:rPr>
                <w:sz w:val="22"/>
                <w:szCs w:val="22"/>
              </w:rPr>
              <w:t>code</w:t>
            </w:r>
          </w:p>
        </w:tc>
        <w:tc>
          <w:tcPr>
            <w:tcW w:w="294" w:type="pct"/>
          </w:tcPr>
          <w:p w14:paraId="0E82C8D1" w14:textId="77777777" w:rsidR="00AD1F54" w:rsidRPr="00264D5D" w:rsidRDefault="00941227">
            <w:pPr>
              <w:spacing w:before="60" w:after="60"/>
              <w:jc w:val="center"/>
              <w:rPr>
                <w:sz w:val="22"/>
                <w:szCs w:val="22"/>
              </w:rPr>
            </w:pPr>
            <w:r w:rsidRPr="00264D5D">
              <w:rPr>
                <w:sz w:val="22"/>
                <w:szCs w:val="22"/>
              </w:rPr>
              <w:t>А</w:t>
            </w:r>
          </w:p>
        </w:tc>
        <w:tc>
          <w:tcPr>
            <w:tcW w:w="589" w:type="pct"/>
          </w:tcPr>
          <w:p w14:paraId="4A5EC155" w14:textId="77777777" w:rsidR="00AD1F54" w:rsidRPr="00264D5D" w:rsidRDefault="00941227">
            <w:pPr>
              <w:spacing w:before="60" w:after="60"/>
              <w:jc w:val="center"/>
              <w:rPr>
                <w:sz w:val="22"/>
                <w:szCs w:val="22"/>
              </w:rPr>
            </w:pPr>
            <w:r w:rsidRPr="00264D5D">
              <w:rPr>
                <w:sz w:val="22"/>
                <w:szCs w:val="22"/>
              </w:rPr>
              <w:t>-</w:t>
            </w:r>
          </w:p>
        </w:tc>
        <w:tc>
          <w:tcPr>
            <w:tcW w:w="294" w:type="pct"/>
          </w:tcPr>
          <w:p w14:paraId="302BB7B1" w14:textId="77777777" w:rsidR="00AD1F54" w:rsidRPr="00264D5D" w:rsidRDefault="00941227">
            <w:pPr>
              <w:spacing w:before="60" w:after="60"/>
              <w:jc w:val="center"/>
              <w:rPr>
                <w:sz w:val="22"/>
                <w:szCs w:val="22"/>
              </w:rPr>
            </w:pPr>
            <w:r w:rsidRPr="00264D5D">
              <w:rPr>
                <w:sz w:val="22"/>
                <w:szCs w:val="22"/>
              </w:rPr>
              <w:t>Н</w:t>
            </w:r>
          </w:p>
        </w:tc>
        <w:tc>
          <w:tcPr>
            <w:tcW w:w="2057" w:type="pct"/>
          </w:tcPr>
          <w:p w14:paraId="1832C4AA" w14:textId="77777777" w:rsidR="00AD1F54" w:rsidRPr="00264D5D" w:rsidRDefault="00FB163B">
            <w:pPr>
              <w:spacing w:before="60" w:after="60"/>
              <w:rPr>
                <w:sz w:val="22"/>
                <w:szCs w:val="22"/>
              </w:rPr>
            </w:pPr>
            <w:r w:rsidRPr="00264D5D">
              <w:rPr>
                <w:sz w:val="22"/>
                <w:szCs w:val="22"/>
              </w:rPr>
              <w:t>Код</w:t>
            </w:r>
          </w:p>
        </w:tc>
      </w:tr>
      <w:tr w:rsidR="00AD1F54" w:rsidRPr="00264D5D" w14:paraId="43C5B7AF" w14:textId="77777777" w:rsidTr="00AD1F54">
        <w:trPr>
          <w:cnfStyle w:val="000000010000" w:firstRow="0" w:lastRow="0" w:firstColumn="0" w:lastColumn="0" w:oddVBand="0" w:evenVBand="0" w:oddHBand="0" w:evenHBand="1" w:firstRowFirstColumn="0" w:firstRowLastColumn="0" w:lastRowFirstColumn="0" w:lastRowLastColumn="0"/>
          <w:trHeight w:val="282"/>
        </w:trPr>
        <w:tc>
          <w:tcPr>
            <w:tcW w:w="884" w:type="pct"/>
          </w:tcPr>
          <w:p w14:paraId="5AE418F0" w14:textId="77777777" w:rsidR="00AD1F54" w:rsidRPr="00264D5D" w:rsidRDefault="00941227">
            <w:pPr>
              <w:spacing w:before="60" w:after="60"/>
              <w:rPr>
                <w:sz w:val="22"/>
                <w:szCs w:val="22"/>
              </w:rPr>
            </w:pPr>
            <w:r w:rsidRPr="00264D5D">
              <w:rPr>
                <w:sz w:val="22"/>
                <w:szCs w:val="22"/>
              </w:rPr>
              <w:t>Вид документа</w:t>
            </w:r>
          </w:p>
        </w:tc>
        <w:tc>
          <w:tcPr>
            <w:tcW w:w="883" w:type="pct"/>
          </w:tcPr>
          <w:p w14:paraId="7B9DA68C" w14:textId="77777777" w:rsidR="00AD1F54" w:rsidRPr="00264D5D" w:rsidRDefault="00941227">
            <w:pPr>
              <w:spacing w:before="60" w:after="60"/>
              <w:rPr>
                <w:sz w:val="22"/>
                <w:szCs w:val="22"/>
              </w:rPr>
            </w:pPr>
            <w:r w:rsidRPr="00264D5D">
              <w:rPr>
                <w:sz w:val="22"/>
                <w:szCs w:val="22"/>
              </w:rPr>
              <w:t>value</w:t>
            </w:r>
          </w:p>
        </w:tc>
        <w:tc>
          <w:tcPr>
            <w:tcW w:w="294" w:type="pct"/>
          </w:tcPr>
          <w:p w14:paraId="6A0B3042" w14:textId="77777777" w:rsidR="00AD1F54" w:rsidRPr="00264D5D" w:rsidRDefault="00941227">
            <w:pPr>
              <w:spacing w:before="60" w:after="60"/>
              <w:jc w:val="center"/>
              <w:rPr>
                <w:sz w:val="22"/>
                <w:szCs w:val="22"/>
              </w:rPr>
            </w:pPr>
            <w:r w:rsidRPr="00264D5D">
              <w:rPr>
                <w:sz w:val="22"/>
                <w:szCs w:val="22"/>
              </w:rPr>
              <w:t>А</w:t>
            </w:r>
          </w:p>
        </w:tc>
        <w:tc>
          <w:tcPr>
            <w:tcW w:w="589" w:type="pct"/>
          </w:tcPr>
          <w:p w14:paraId="4A47474A" w14:textId="77777777" w:rsidR="00AD1F54" w:rsidRPr="00264D5D" w:rsidRDefault="00941227">
            <w:pPr>
              <w:spacing w:before="60" w:after="60"/>
              <w:jc w:val="center"/>
              <w:rPr>
                <w:sz w:val="22"/>
                <w:szCs w:val="22"/>
              </w:rPr>
            </w:pPr>
            <w:r w:rsidRPr="00264D5D">
              <w:rPr>
                <w:sz w:val="22"/>
                <w:szCs w:val="22"/>
              </w:rPr>
              <w:t>-</w:t>
            </w:r>
          </w:p>
        </w:tc>
        <w:tc>
          <w:tcPr>
            <w:tcW w:w="294" w:type="pct"/>
          </w:tcPr>
          <w:p w14:paraId="2B86D0A1" w14:textId="77777777" w:rsidR="00AD1F54" w:rsidRPr="00264D5D" w:rsidRDefault="00941227">
            <w:pPr>
              <w:spacing w:before="60" w:after="60"/>
              <w:jc w:val="center"/>
              <w:rPr>
                <w:sz w:val="22"/>
                <w:szCs w:val="22"/>
              </w:rPr>
            </w:pPr>
            <w:r w:rsidRPr="00264D5D">
              <w:rPr>
                <w:sz w:val="22"/>
                <w:szCs w:val="22"/>
              </w:rPr>
              <w:t>О</w:t>
            </w:r>
          </w:p>
        </w:tc>
        <w:tc>
          <w:tcPr>
            <w:tcW w:w="2057" w:type="pct"/>
          </w:tcPr>
          <w:p w14:paraId="6DFE75CB" w14:textId="77777777" w:rsidR="00AD1F54" w:rsidRPr="00264D5D" w:rsidRDefault="00941227">
            <w:pPr>
              <w:spacing w:before="60" w:after="60"/>
              <w:rPr>
                <w:sz w:val="22"/>
                <w:szCs w:val="22"/>
              </w:rPr>
            </w:pPr>
            <w:r w:rsidRPr="00264D5D">
              <w:rPr>
                <w:sz w:val="22"/>
                <w:szCs w:val="22"/>
              </w:rPr>
              <w:t>Допустимые значения:</w:t>
            </w:r>
          </w:p>
          <w:p w14:paraId="55F9ED9F" w14:textId="77777777" w:rsidR="00AD1F54" w:rsidRPr="00264D5D" w:rsidRDefault="00941227" w:rsidP="00101F62">
            <w:pPr>
              <w:pStyle w:val="af5"/>
              <w:numPr>
                <w:ilvl w:val="0"/>
                <w:numId w:val="147"/>
              </w:numPr>
              <w:spacing w:before="60" w:after="60"/>
              <w:ind w:left="284" w:hanging="227"/>
              <w:rPr>
                <w:sz w:val="22"/>
                <w:szCs w:val="22"/>
              </w:rPr>
            </w:pPr>
            <w:r w:rsidRPr="00264D5D">
              <w:rPr>
                <w:sz w:val="22"/>
                <w:szCs w:val="22"/>
              </w:rPr>
              <w:t>«01» – основной документ;</w:t>
            </w:r>
          </w:p>
          <w:p w14:paraId="701DD6C8" w14:textId="77777777" w:rsidR="00AD1F54" w:rsidRPr="00264D5D" w:rsidRDefault="00FB163B" w:rsidP="00101F62">
            <w:pPr>
              <w:pStyle w:val="af5"/>
              <w:numPr>
                <w:ilvl w:val="0"/>
                <w:numId w:val="147"/>
              </w:numPr>
              <w:spacing w:before="60" w:after="60"/>
              <w:ind w:left="284" w:hanging="227"/>
              <w:rPr>
                <w:sz w:val="22"/>
                <w:szCs w:val="22"/>
              </w:rPr>
            </w:pPr>
            <w:r w:rsidRPr="00264D5D">
              <w:rPr>
                <w:sz w:val="22"/>
                <w:szCs w:val="22"/>
              </w:rPr>
              <w:t>«02» – изменения к документу</w:t>
            </w:r>
          </w:p>
        </w:tc>
      </w:tr>
    </w:tbl>
    <w:p w14:paraId="13248653" w14:textId="77777777" w:rsidR="00AD1F54" w:rsidRPr="00264D5D" w:rsidRDefault="00941227">
      <w:pPr>
        <w:pStyle w:val="31"/>
      </w:pPr>
      <w:bookmarkStart w:id="4497" w:name="_Toc219309834"/>
      <w:r w:rsidRPr="00264D5D">
        <w:t>Описание комплексного типа «tTablePart»</w:t>
      </w:r>
      <w:bookmarkEnd w:id="4497"/>
    </w:p>
    <w:p w14:paraId="7B41D825" w14:textId="77777777" w:rsidR="00AD1F54" w:rsidRPr="00264D5D" w:rsidRDefault="00941227">
      <w:pPr>
        <w:pStyle w:val="ASFKNormal"/>
        <w:spacing w:before="60" w:after="120"/>
        <w:contextualSpacing w:val="0"/>
        <w:jc w:val="both"/>
        <w:rPr>
          <w:sz w:val="24"/>
          <w:szCs w:val="24"/>
        </w:rPr>
      </w:pPr>
      <w:r w:rsidRPr="00264D5D">
        <w:rPr>
          <w:sz w:val="24"/>
          <w:szCs w:val="24"/>
        </w:rPr>
        <w:t>Описание комплексного типа «tTablePart» блока «Табличная часть».</w:t>
      </w:r>
    </w:p>
    <w:p w14:paraId="280DF3E9" w14:textId="67CF1188"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4498" w:name="_Ref465956969"/>
      <w:bookmarkStart w:id="4499" w:name="_Toc30503434"/>
      <w:bookmarkStart w:id="4500" w:name="_Toc30508032"/>
      <w:bookmarkStart w:id="4501" w:name="_Toc219309375"/>
      <w:r w:rsidR="008D797C">
        <w:rPr>
          <w:rFonts w:eastAsia="Calibri"/>
          <w:noProof/>
          <w:szCs w:val="24"/>
        </w:rPr>
        <w:t>345</w:t>
      </w:r>
      <w:bookmarkEnd w:id="4498"/>
      <w:r w:rsidRPr="00264D5D">
        <w:rPr>
          <w:rFonts w:eastAsia="Calibri"/>
          <w:szCs w:val="24"/>
        </w:rPr>
        <w:fldChar w:fldCharType="end"/>
      </w:r>
      <w:r w:rsidRPr="00264D5D">
        <w:rPr>
          <w:rFonts w:eastAsia="Calibri"/>
          <w:szCs w:val="24"/>
        </w:rPr>
        <w:t xml:space="preserve"> – Описание комплексного типа «tTablePart»</w:t>
      </w:r>
      <w:bookmarkEnd w:id="4499"/>
      <w:bookmarkEnd w:id="4500"/>
      <w:bookmarkEnd w:id="4501"/>
    </w:p>
    <w:tbl>
      <w:tblPr>
        <w:tblStyle w:val="GOSTTable"/>
        <w:tblW w:w="5000" w:type="pct"/>
        <w:tblLayout w:type="fixed"/>
        <w:tblLook w:val="04A0" w:firstRow="1" w:lastRow="0" w:firstColumn="1" w:lastColumn="0" w:noHBand="0" w:noVBand="1"/>
      </w:tblPr>
      <w:tblGrid>
        <w:gridCol w:w="1705"/>
        <w:gridCol w:w="1705"/>
        <w:gridCol w:w="568"/>
        <w:gridCol w:w="1137"/>
        <w:gridCol w:w="567"/>
        <w:gridCol w:w="3968"/>
      </w:tblGrid>
      <w:tr w:rsidR="00AD1F54" w:rsidRPr="00264D5D" w14:paraId="1DEF4B3F" w14:textId="77777777" w:rsidTr="00AD1F54">
        <w:trPr>
          <w:cnfStyle w:val="100000000000" w:firstRow="1" w:lastRow="0" w:firstColumn="0" w:lastColumn="0" w:oddVBand="0" w:evenVBand="0" w:oddHBand="0" w:evenHBand="0" w:firstRowFirstColumn="0" w:firstRowLastColumn="0" w:lastRowFirstColumn="0" w:lastRowLastColumn="0"/>
          <w:trHeight w:val="282"/>
          <w:tblHeader/>
        </w:trPr>
        <w:tc>
          <w:tcPr>
            <w:tcW w:w="883" w:type="pct"/>
          </w:tcPr>
          <w:p w14:paraId="3A52FDD9" w14:textId="77777777" w:rsidR="00AD1F54" w:rsidRPr="00264D5D" w:rsidRDefault="00941227">
            <w:pPr>
              <w:spacing w:before="60" w:after="60"/>
              <w:jc w:val="center"/>
              <w:rPr>
                <w:b/>
                <w:bCs/>
                <w:sz w:val="22"/>
                <w:szCs w:val="22"/>
                <w:lang w:val="en-US"/>
              </w:rPr>
            </w:pPr>
            <w:r w:rsidRPr="00264D5D">
              <w:rPr>
                <w:b/>
                <w:bCs/>
                <w:sz w:val="22"/>
                <w:szCs w:val="22"/>
              </w:rPr>
              <w:t>Наименование комплексного типа</w:t>
            </w:r>
          </w:p>
        </w:tc>
        <w:tc>
          <w:tcPr>
            <w:tcW w:w="883" w:type="pct"/>
          </w:tcPr>
          <w:p w14:paraId="1CE13D42" w14:textId="77777777" w:rsidR="00AD1F54" w:rsidRPr="00264D5D" w:rsidRDefault="00941227">
            <w:pPr>
              <w:spacing w:before="60" w:after="60"/>
              <w:jc w:val="center"/>
              <w:rPr>
                <w:b/>
                <w:bCs/>
                <w:sz w:val="22"/>
                <w:szCs w:val="22"/>
              </w:rPr>
            </w:pPr>
            <w:r w:rsidRPr="00264D5D">
              <w:rPr>
                <w:b/>
                <w:bCs/>
                <w:sz w:val="22"/>
                <w:szCs w:val="22"/>
              </w:rPr>
              <w:t>Текущий элемент/</w:t>
            </w:r>
            <w:r w:rsidRPr="00264D5D">
              <w:rPr>
                <w:b/>
                <w:bCs/>
                <w:sz w:val="22"/>
                <w:szCs w:val="22"/>
                <w:lang w:val="en-US"/>
              </w:rPr>
              <w:t xml:space="preserve"> </w:t>
            </w:r>
            <w:r w:rsidRPr="00264D5D">
              <w:rPr>
                <w:b/>
                <w:bCs/>
                <w:sz w:val="22"/>
                <w:szCs w:val="22"/>
              </w:rPr>
              <w:t>атрибут</w:t>
            </w:r>
          </w:p>
        </w:tc>
        <w:tc>
          <w:tcPr>
            <w:tcW w:w="294" w:type="pct"/>
          </w:tcPr>
          <w:p w14:paraId="07F7D523" w14:textId="77777777" w:rsidR="00AD1F54" w:rsidRPr="00264D5D" w:rsidRDefault="00941227">
            <w:pPr>
              <w:spacing w:before="60" w:after="60"/>
              <w:jc w:val="center"/>
              <w:rPr>
                <w:b/>
                <w:sz w:val="22"/>
                <w:szCs w:val="22"/>
              </w:rPr>
            </w:pPr>
            <w:r w:rsidRPr="00264D5D">
              <w:rPr>
                <w:b/>
                <w:bCs/>
                <w:sz w:val="22"/>
                <w:szCs w:val="22"/>
              </w:rPr>
              <w:t>Тип</w:t>
            </w:r>
          </w:p>
        </w:tc>
        <w:tc>
          <w:tcPr>
            <w:tcW w:w="589" w:type="pct"/>
          </w:tcPr>
          <w:p w14:paraId="49B8501E" w14:textId="77777777" w:rsidR="00AD1F54" w:rsidRPr="00264D5D" w:rsidRDefault="00941227">
            <w:pPr>
              <w:spacing w:before="60" w:after="60"/>
              <w:jc w:val="center"/>
              <w:rPr>
                <w:b/>
                <w:sz w:val="22"/>
                <w:szCs w:val="22"/>
              </w:rPr>
            </w:pPr>
            <w:r w:rsidRPr="00264D5D">
              <w:rPr>
                <w:b/>
                <w:bCs/>
                <w:sz w:val="22"/>
                <w:szCs w:val="22"/>
              </w:rPr>
              <w:t>Формат элемента</w:t>
            </w:r>
          </w:p>
        </w:tc>
        <w:tc>
          <w:tcPr>
            <w:tcW w:w="294" w:type="pct"/>
          </w:tcPr>
          <w:p w14:paraId="3EE675C6" w14:textId="77777777" w:rsidR="00AD1F54" w:rsidRPr="00264D5D" w:rsidRDefault="00941227">
            <w:pPr>
              <w:spacing w:before="60" w:after="60"/>
              <w:jc w:val="center"/>
              <w:rPr>
                <w:b/>
                <w:sz w:val="22"/>
                <w:szCs w:val="22"/>
              </w:rPr>
            </w:pPr>
            <w:r w:rsidRPr="00264D5D">
              <w:rPr>
                <w:b/>
                <w:bCs/>
                <w:sz w:val="22"/>
                <w:szCs w:val="22"/>
              </w:rPr>
              <w:t>Обязательность</w:t>
            </w:r>
          </w:p>
        </w:tc>
        <w:tc>
          <w:tcPr>
            <w:tcW w:w="2056" w:type="pct"/>
          </w:tcPr>
          <w:p w14:paraId="2A4115D5" w14:textId="77777777" w:rsidR="00AD1F54" w:rsidRPr="00264D5D" w:rsidRDefault="00941227">
            <w:pPr>
              <w:spacing w:before="60" w:after="60"/>
              <w:jc w:val="center"/>
              <w:rPr>
                <w:b/>
                <w:bCs/>
                <w:sz w:val="22"/>
                <w:szCs w:val="22"/>
              </w:rPr>
            </w:pPr>
            <w:r w:rsidRPr="00264D5D">
              <w:rPr>
                <w:b/>
                <w:bCs/>
                <w:sz w:val="22"/>
                <w:szCs w:val="22"/>
              </w:rPr>
              <w:t>Дополнительная информация</w:t>
            </w:r>
          </w:p>
        </w:tc>
      </w:tr>
      <w:tr w:rsidR="00AD1F54" w:rsidRPr="00264D5D" w14:paraId="2E4FD29D" w14:textId="77777777" w:rsidTr="00AD1F54">
        <w:trPr>
          <w:cnfStyle w:val="000000100000" w:firstRow="0" w:lastRow="0" w:firstColumn="0" w:lastColumn="0" w:oddVBand="0" w:evenVBand="0" w:oddHBand="1" w:evenHBand="0" w:firstRowFirstColumn="0" w:firstRowLastColumn="0" w:lastRowFirstColumn="0" w:lastRowLastColumn="0"/>
          <w:trHeight w:val="282"/>
        </w:trPr>
        <w:tc>
          <w:tcPr>
            <w:tcW w:w="883" w:type="pct"/>
          </w:tcPr>
          <w:p w14:paraId="00267294" w14:textId="77777777" w:rsidR="00AD1F54" w:rsidRPr="00264D5D" w:rsidRDefault="00941227">
            <w:pPr>
              <w:spacing w:before="60" w:after="60"/>
              <w:rPr>
                <w:sz w:val="22"/>
                <w:szCs w:val="22"/>
              </w:rPr>
            </w:pPr>
            <w:r w:rsidRPr="00264D5D">
              <w:rPr>
                <w:sz w:val="22"/>
                <w:szCs w:val="22"/>
              </w:rPr>
              <w:t>tTablePart</w:t>
            </w:r>
          </w:p>
        </w:tc>
        <w:tc>
          <w:tcPr>
            <w:tcW w:w="883" w:type="pct"/>
          </w:tcPr>
          <w:p w14:paraId="5E063E34" w14:textId="77777777" w:rsidR="00AD1F54" w:rsidRPr="00264D5D" w:rsidRDefault="00941227">
            <w:pPr>
              <w:tabs>
                <w:tab w:val="left" w:pos="1122"/>
              </w:tabs>
              <w:spacing w:before="60" w:after="60"/>
              <w:rPr>
                <w:sz w:val="22"/>
                <w:szCs w:val="22"/>
              </w:rPr>
            </w:pPr>
            <w:r w:rsidRPr="00264D5D">
              <w:rPr>
                <w:sz w:val="22"/>
                <w:szCs w:val="22"/>
              </w:rPr>
              <w:t>TablePartITEM</w:t>
            </w:r>
          </w:p>
        </w:tc>
        <w:tc>
          <w:tcPr>
            <w:tcW w:w="294" w:type="pct"/>
          </w:tcPr>
          <w:p w14:paraId="308D31B3" w14:textId="77777777" w:rsidR="00AD1F54" w:rsidRPr="00264D5D" w:rsidRDefault="00941227">
            <w:pPr>
              <w:spacing w:before="60" w:after="60"/>
              <w:jc w:val="center"/>
              <w:rPr>
                <w:sz w:val="22"/>
                <w:szCs w:val="22"/>
              </w:rPr>
            </w:pPr>
            <w:r w:rsidRPr="00264D5D">
              <w:rPr>
                <w:sz w:val="22"/>
                <w:szCs w:val="22"/>
              </w:rPr>
              <w:t>С</w:t>
            </w:r>
          </w:p>
        </w:tc>
        <w:tc>
          <w:tcPr>
            <w:tcW w:w="589" w:type="pct"/>
          </w:tcPr>
          <w:p w14:paraId="33B87BF7" w14:textId="77777777" w:rsidR="00AD1F54" w:rsidRPr="00264D5D" w:rsidRDefault="00941227">
            <w:pPr>
              <w:spacing w:before="60" w:after="60"/>
              <w:jc w:val="left"/>
              <w:rPr>
                <w:sz w:val="22"/>
                <w:szCs w:val="22"/>
              </w:rPr>
            </w:pPr>
            <w:r w:rsidRPr="00264D5D">
              <w:rPr>
                <w:sz w:val="22"/>
                <w:szCs w:val="22"/>
              </w:rPr>
              <w:t xml:space="preserve">tTablePartITEM </w:t>
            </w:r>
          </w:p>
        </w:tc>
        <w:tc>
          <w:tcPr>
            <w:tcW w:w="294" w:type="pct"/>
          </w:tcPr>
          <w:p w14:paraId="477887B3" w14:textId="77777777" w:rsidR="00AD1F54" w:rsidRPr="00264D5D" w:rsidRDefault="00941227">
            <w:pPr>
              <w:spacing w:before="60" w:after="60"/>
              <w:jc w:val="center"/>
              <w:rPr>
                <w:sz w:val="22"/>
                <w:szCs w:val="22"/>
              </w:rPr>
            </w:pPr>
            <w:r w:rsidRPr="00264D5D">
              <w:rPr>
                <w:sz w:val="22"/>
                <w:szCs w:val="22"/>
              </w:rPr>
              <w:t>ОМ</w:t>
            </w:r>
          </w:p>
        </w:tc>
        <w:tc>
          <w:tcPr>
            <w:tcW w:w="2056" w:type="pct"/>
          </w:tcPr>
          <w:p w14:paraId="75FAB71D" w14:textId="2B26EA62" w:rsidR="00AD1F54" w:rsidRPr="00264D5D" w:rsidRDefault="00941227">
            <w:pPr>
              <w:spacing w:before="60" w:after="60"/>
              <w:rPr>
                <w:sz w:val="22"/>
                <w:szCs w:val="22"/>
              </w:rPr>
            </w:pPr>
            <w:r w:rsidRPr="00264D5D">
              <w:rPr>
                <w:sz w:val="22"/>
                <w:szCs w:val="22"/>
              </w:rPr>
              <w:t xml:space="preserve">Состав элемента представлен в таблице </w:t>
            </w:r>
            <w:r w:rsidRPr="00264D5D">
              <w:rPr>
                <w:sz w:val="22"/>
                <w:szCs w:val="22"/>
              </w:rPr>
              <w:fldChar w:fldCharType="begin"/>
            </w:r>
            <w:r w:rsidRPr="00264D5D">
              <w:rPr>
                <w:sz w:val="22"/>
                <w:szCs w:val="22"/>
              </w:rPr>
              <w:instrText xml:space="preserve"> REF _Ref466416435 \h  \* MERGEFORMAT </w:instrText>
            </w:r>
            <w:r w:rsidRPr="00264D5D">
              <w:rPr>
                <w:sz w:val="22"/>
                <w:szCs w:val="22"/>
              </w:rPr>
            </w:r>
            <w:r w:rsidRPr="00264D5D">
              <w:rPr>
                <w:sz w:val="22"/>
                <w:szCs w:val="22"/>
              </w:rPr>
              <w:fldChar w:fldCharType="separate"/>
            </w:r>
            <w:r w:rsidR="008D797C" w:rsidRPr="008D797C">
              <w:rPr>
                <w:rFonts w:eastAsia="Calibri"/>
                <w:b/>
                <w:sz w:val="22"/>
                <w:szCs w:val="22"/>
              </w:rPr>
              <w:t>346</w:t>
            </w:r>
            <w:r w:rsidRPr="00264D5D">
              <w:rPr>
                <w:sz w:val="22"/>
                <w:szCs w:val="22"/>
              </w:rPr>
              <w:fldChar w:fldCharType="end"/>
            </w:r>
          </w:p>
        </w:tc>
      </w:tr>
    </w:tbl>
    <w:p w14:paraId="474FAD46" w14:textId="77777777" w:rsidR="00AD1F54" w:rsidRPr="00264D5D" w:rsidRDefault="00941227">
      <w:pPr>
        <w:pStyle w:val="31"/>
      </w:pPr>
      <w:bookmarkStart w:id="4502" w:name="_Toc219309835"/>
      <w:r w:rsidRPr="00264D5D">
        <w:t>Описание комплексного типа «tTablePartITEM»</w:t>
      </w:r>
      <w:bookmarkEnd w:id="4502"/>
    </w:p>
    <w:p w14:paraId="56B720E8" w14:textId="77777777" w:rsidR="00AD1F54" w:rsidRPr="00264D5D" w:rsidRDefault="00941227">
      <w:pPr>
        <w:pStyle w:val="ASFKNormal"/>
        <w:spacing w:before="60" w:after="120"/>
        <w:contextualSpacing w:val="0"/>
        <w:jc w:val="both"/>
        <w:rPr>
          <w:sz w:val="24"/>
          <w:szCs w:val="24"/>
        </w:rPr>
      </w:pPr>
      <w:r w:rsidRPr="00264D5D">
        <w:rPr>
          <w:sz w:val="24"/>
          <w:szCs w:val="24"/>
        </w:rPr>
        <w:t>Описание комплексного типа «tTablePartITEM» строк блока «Табличная часть».</w:t>
      </w:r>
    </w:p>
    <w:p w14:paraId="4A765340" w14:textId="0526CC2A"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4503" w:name="_Ref466416435"/>
      <w:bookmarkStart w:id="4504" w:name="_Toc30503435"/>
      <w:bookmarkStart w:id="4505" w:name="_Toc30508033"/>
      <w:bookmarkStart w:id="4506" w:name="_Toc219309376"/>
      <w:r w:rsidR="008D797C">
        <w:rPr>
          <w:rFonts w:eastAsia="Calibri"/>
          <w:noProof/>
          <w:szCs w:val="24"/>
        </w:rPr>
        <w:t>346</w:t>
      </w:r>
      <w:bookmarkEnd w:id="4503"/>
      <w:r w:rsidRPr="00264D5D">
        <w:rPr>
          <w:rFonts w:eastAsia="Calibri"/>
          <w:szCs w:val="24"/>
        </w:rPr>
        <w:fldChar w:fldCharType="end"/>
      </w:r>
      <w:r w:rsidRPr="00264D5D">
        <w:rPr>
          <w:rFonts w:eastAsia="Calibri"/>
          <w:szCs w:val="24"/>
        </w:rPr>
        <w:t xml:space="preserve"> – Описание комплексного типа «tTablePartITEM»</w:t>
      </w:r>
      <w:bookmarkEnd w:id="4504"/>
      <w:bookmarkEnd w:id="4505"/>
      <w:bookmarkEnd w:id="4506"/>
    </w:p>
    <w:tbl>
      <w:tblPr>
        <w:tblStyle w:val="GOSTTable"/>
        <w:tblW w:w="5000" w:type="pct"/>
        <w:tblLayout w:type="fixed"/>
        <w:tblLook w:val="04A0" w:firstRow="1" w:lastRow="0" w:firstColumn="1" w:lastColumn="0" w:noHBand="0" w:noVBand="1"/>
      </w:tblPr>
      <w:tblGrid>
        <w:gridCol w:w="1705"/>
        <w:gridCol w:w="1705"/>
        <w:gridCol w:w="568"/>
        <w:gridCol w:w="1137"/>
        <w:gridCol w:w="567"/>
        <w:gridCol w:w="3968"/>
      </w:tblGrid>
      <w:tr w:rsidR="00AD1F54" w:rsidRPr="00264D5D" w14:paraId="16D9BD28" w14:textId="77777777" w:rsidTr="00AD1F54">
        <w:trPr>
          <w:cnfStyle w:val="100000000000" w:firstRow="1" w:lastRow="0" w:firstColumn="0" w:lastColumn="0" w:oddVBand="0" w:evenVBand="0" w:oddHBand="0" w:evenHBand="0" w:firstRowFirstColumn="0" w:firstRowLastColumn="0" w:lastRowFirstColumn="0" w:lastRowLastColumn="0"/>
          <w:trHeight w:val="282"/>
          <w:tblHeader/>
        </w:trPr>
        <w:tc>
          <w:tcPr>
            <w:tcW w:w="883" w:type="pct"/>
          </w:tcPr>
          <w:p w14:paraId="38649877" w14:textId="77777777" w:rsidR="00AD1F54" w:rsidRPr="00264D5D" w:rsidRDefault="00941227">
            <w:pPr>
              <w:spacing w:before="60" w:after="60"/>
              <w:jc w:val="center"/>
              <w:rPr>
                <w:b/>
                <w:bCs/>
                <w:sz w:val="22"/>
                <w:szCs w:val="22"/>
              </w:rPr>
            </w:pPr>
            <w:r w:rsidRPr="00264D5D">
              <w:rPr>
                <w:b/>
                <w:bCs/>
                <w:sz w:val="22"/>
                <w:szCs w:val="22"/>
              </w:rPr>
              <w:t>Наименование элемента</w:t>
            </w:r>
          </w:p>
        </w:tc>
        <w:tc>
          <w:tcPr>
            <w:tcW w:w="883" w:type="pct"/>
          </w:tcPr>
          <w:p w14:paraId="0639DB62" w14:textId="77777777" w:rsidR="00AD1F54" w:rsidRPr="00264D5D" w:rsidRDefault="00941227">
            <w:pPr>
              <w:spacing w:before="60" w:after="60"/>
              <w:jc w:val="center"/>
              <w:rPr>
                <w:b/>
                <w:bCs/>
                <w:sz w:val="22"/>
                <w:szCs w:val="22"/>
              </w:rPr>
            </w:pPr>
            <w:r w:rsidRPr="00264D5D">
              <w:rPr>
                <w:b/>
                <w:bCs/>
                <w:sz w:val="22"/>
                <w:szCs w:val="22"/>
              </w:rPr>
              <w:t>Сокращенное наименование (код) элемента</w:t>
            </w:r>
          </w:p>
        </w:tc>
        <w:tc>
          <w:tcPr>
            <w:tcW w:w="294" w:type="pct"/>
          </w:tcPr>
          <w:p w14:paraId="74A20362" w14:textId="77777777" w:rsidR="00AD1F54" w:rsidRPr="00264D5D" w:rsidRDefault="00941227">
            <w:pPr>
              <w:spacing w:before="60" w:after="60"/>
              <w:jc w:val="center"/>
              <w:rPr>
                <w:b/>
                <w:sz w:val="22"/>
                <w:szCs w:val="22"/>
              </w:rPr>
            </w:pPr>
            <w:r w:rsidRPr="00264D5D">
              <w:rPr>
                <w:b/>
                <w:bCs/>
                <w:sz w:val="22"/>
                <w:szCs w:val="22"/>
              </w:rPr>
              <w:t>Тип</w:t>
            </w:r>
          </w:p>
        </w:tc>
        <w:tc>
          <w:tcPr>
            <w:tcW w:w="589" w:type="pct"/>
          </w:tcPr>
          <w:p w14:paraId="0668BD11" w14:textId="77777777" w:rsidR="00AD1F54" w:rsidRPr="00264D5D" w:rsidRDefault="00941227">
            <w:pPr>
              <w:spacing w:before="60" w:after="60"/>
              <w:jc w:val="center"/>
              <w:rPr>
                <w:b/>
                <w:sz w:val="22"/>
                <w:szCs w:val="22"/>
              </w:rPr>
            </w:pPr>
            <w:r w:rsidRPr="00264D5D">
              <w:rPr>
                <w:b/>
                <w:bCs/>
                <w:sz w:val="22"/>
                <w:szCs w:val="22"/>
              </w:rPr>
              <w:t>Формат элемента</w:t>
            </w:r>
          </w:p>
        </w:tc>
        <w:tc>
          <w:tcPr>
            <w:tcW w:w="294" w:type="pct"/>
          </w:tcPr>
          <w:p w14:paraId="7B29EF64" w14:textId="77777777" w:rsidR="00AD1F54" w:rsidRPr="00264D5D" w:rsidRDefault="00941227">
            <w:pPr>
              <w:spacing w:before="60" w:after="60"/>
              <w:jc w:val="center"/>
              <w:rPr>
                <w:b/>
                <w:sz w:val="22"/>
                <w:szCs w:val="22"/>
              </w:rPr>
            </w:pPr>
            <w:r w:rsidRPr="00264D5D">
              <w:rPr>
                <w:b/>
                <w:bCs/>
                <w:sz w:val="22"/>
                <w:szCs w:val="22"/>
              </w:rPr>
              <w:t>Обязательность</w:t>
            </w:r>
          </w:p>
        </w:tc>
        <w:tc>
          <w:tcPr>
            <w:tcW w:w="2056" w:type="pct"/>
          </w:tcPr>
          <w:p w14:paraId="12D1D4B4" w14:textId="77777777" w:rsidR="00AD1F54" w:rsidRPr="00264D5D" w:rsidRDefault="00941227">
            <w:pPr>
              <w:spacing w:before="60" w:after="60"/>
              <w:jc w:val="center"/>
              <w:rPr>
                <w:b/>
                <w:bCs/>
                <w:sz w:val="22"/>
                <w:szCs w:val="22"/>
              </w:rPr>
            </w:pPr>
            <w:r w:rsidRPr="00264D5D">
              <w:rPr>
                <w:b/>
                <w:bCs/>
                <w:sz w:val="22"/>
                <w:szCs w:val="22"/>
              </w:rPr>
              <w:t>Дополнительная информация</w:t>
            </w:r>
          </w:p>
        </w:tc>
      </w:tr>
      <w:tr w:rsidR="00AD1F54" w:rsidRPr="00264D5D" w14:paraId="7A70B8BE" w14:textId="77777777" w:rsidTr="00AD1F54">
        <w:trPr>
          <w:cnfStyle w:val="000000100000" w:firstRow="0" w:lastRow="0" w:firstColumn="0" w:lastColumn="0" w:oddVBand="0" w:evenVBand="0" w:oddHBand="1" w:evenHBand="0" w:firstRowFirstColumn="0" w:firstRowLastColumn="0" w:lastRowFirstColumn="0" w:lastRowLastColumn="0"/>
          <w:trHeight w:val="282"/>
        </w:trPr>
        <w:tc>
          <w:tcPr>
            <w:tcW w:w="883" w:type="pct"/>
          </w:tcPr>
          <w:p w14:paraId="3A3A711D" w14:textId="77777777" w:rsidR="00AD1F54" w:rsidRPr="00264D5D" w:rsidRDefault="00941227">
            <w:pPr>
              <w:spacing w:before="60" w:after="60"/>
              <w:rPr>
                <w:sz w:val="22"/>
                <w:szCs w:val="22"/>
              </w:rPr>
            </w:pPr>
            <w:r w:rsidRPr="00264D5D">
              <w:rPr>
                <w:sz w:val="22"/>
                <w:szCs w:val="22"/>
              </w:rPr>
              <w:t>Идентификацио</w:t>
            </w:r>
            <w:r w:rsidRPr="00264D5D">
              <w:rPr>
                <w:sz w:val="22"/>
                <w:szCs w:val="22"/>
              </w:rPr>
              <w:lastRenderedPageBreak/>
              <w:t>нный код закупки</w:t>
            </w:r>
          </w:p>
        </w:tc>
        <w:tc>
          <w:tcPr>
            <w:tcW w:w="883" w:type="pct"/>
          </w:tcPr>
          <w:p w14:paraId="6F12273F" w14:textId="77777777" w:rsidR="00AD1F54" w:rsidRPr="00264D5D" w:rsidRDefault="00941227">
            <w:pPr>
              <w:spacing w:before="60" w:after="60"/>
              <w:rPr>
                <w:sz w:val="22"/>
                <w:szCs w:val="22"/>
                <w:lang w:val="en-US"/>
              </w:rPr>
            </w:pPr>
            <w:r w:rsidRPr="00264D5D">
              <w:rPr>
                <w:sz w:val="22"/>
                <w:szCs w:val="22"/>
              </w:rPr>
              <w:lastRenderedPageBreak/>
              <w:t>IKZ</w:t>
            </w:r>
          </w:p>
        </w:tc>
        <w:tc>
          <w:tcPr>
            <w:tcW w:w="294" w:type="pct"/>
          </w:tcPr>
          <w:p w14:paraId="26788131" w14:textId="77777777" w:rsidR="00AD1F54" w:rsidRPr="00264D5D" w:rsidRDefault="00941227">
            <w:pPr>
              <w:spacing w:before="60" w:after="60"/>
              <w:jc w:val="center"/>
              <w:rPr>
                <w:sz w:val="22"/>
                <w:szCs w:val="22"/>
              </w:rPr>
            </w:pPr>
            <w:r w:rsidRPr="00264D5D">
              <w:rPr>
                <w:sz w:val="22"/>
                <w:szCs w:val="22"/>
              </w:rPr>
              <w:t>П</w:t>
            </w:r>
          </w:p>
        </w:tc>
        <w:tc>
          <w:tcPr>
            <w:tcW w:w="589" w:type="pct"/>
          </w:tcPr>
          <w:p w14:paraId="7800FE74" w14:textId="77777777" w:rsidR="00AD1F54" w:rsidRPr="00264D5D" w:rsidRDefault="00941227">
            <w:pPr>
              <w:spacing w:before="60" w:after="60"/>
              <w:jc w:val="left"/>
              <w:rPr>
                <w:sz w:val="22"/>
                <w:szCs w:val="22"/>
              </w:rPr>
            </w:pPr>
            <w:r w:rsidRPr="00264D5D">
              <w:rPr>
                <w:sz w:val="22"/>
                <w:szCs w:val="22"/>
              </w:rPr>
              <w:t>Т(36)</w:t>
            </w:r>
          </w:p>
        </w:tc>
        <w:tc>
          <w:tcPr>
            <w:tcW w:w="294" w:type="pct"/>
          </w:tcPr>
          <w:p w14:paraId="592E972F" w14:textId="77777777" w:rsidR="00AD1F54" w:rsidRPr="00264D5D" w:rsidRDefault="00941227">
            <w:pPr>
              <w:spacing w:before="60" w:after="60"/>
              <w:jc w:val="center"/>
              <w:rPr>
                <w:sz w:val="22"/>
                <w:szCs w:val="22"/>
              </w:rPr>
            </w:pPr>
            <w:r w:rsidRPr="00264D5D">
              <w:rPr>
                <w:sz w:val="22"/>
                <w:szCs w:val="22"/>
              </w:rPr>
              <w:t>О</w:t>
            </w:r>
          </w:p>
        </w:tc>
        <w:tc>
          <w:tcPr>
            <w:tcW w:w="2056" w:type="pct"/>
          </w:tcPr>
          <w:p w14:paraId="6B6AC767" w14:textId="77777777" w:rsidR="00AD1F54" w:rsidRPr="00264D5D" w:rsidRDefault="00941227">
            <w:pPr>
              <w:spacing w:before="60" w:after="60"/>
              <w:rPr>
                <w:sz w:val="22"/>
                <w:szCs w:val="22"/>
              </w:rPr>
            </w:pPr>
            <w:r w:rsidRPr="00264D5D">
              <w:rPr>
                <w:sz w:val="22"/>
                <w:szCs w:val="22"/>
              </w:rPr>
              <w:t>Указываетс</w:t>
            </w:r>
            <w:r w:rsidR="00FB163B" w:rsidRPr="00264D5D">
              <w:rPr>
                <w:sz w:val="22"/>
                <w:szCs w:val="22"/>
              </w:rPr>
              <w:t xml:space="preserve">я идентификационный код </w:t>
            </w:r>
            <w:r w:rsidR="00FB163B" w:rsidRPr="00264D5D">
              <w:rPr>
                <w:sz w:val="22"/>
                <w:szCs w:val="22"/>
              </w:rPr>
              <w:lastRenderedPageBreak/>
              <w:t>закупки</w:t>
            </w:r>
          </w:p>
        </w:tc>
      </w:tr>
      <w:tr w:rsidR="00AD1F54" w:rsidRPr="00264D5D" w14:paraId="5F4E6D96" w14:textId="77777777" w:rsidTr="00AD1F54">
        <w:trPr>
          <w:cnfStyle w:val="000000010000" w:firstRow="0" w:lastRow="0" w:firstColumn="0" w:lastColumn="0" w:oddVBand="0" w:evenVBand="0" w:oddHBand="0" w:evenHBand="1" w:firstRowFirstColumn="0" w:firstRowLastColumn="0" w:lastRowFirstColumn="0" w:lastRowLastColumn="0"/>
          <w:trHeight w:val="282"/>
        </w:trPr>
        <w:tc>
          <w:tcPr>
            <w:tcW w:w="883" w:type="pct"/>
          </w:tcPr>
          <w:p w14:paraId="516C5AD1" w14:textId="77777777" w:rsidR="00AD1F54" w:rsidRPr="00264D5D" w:rsidRDefault="00941227">
            <w:pPr>
              <w:spacing w:before="60" w:after="60"/>
              <w:rPr>
                <w:sz w:val="22"/>
                <w:szCs w:val="22"/>
              </w:rPr>
            </w:pPr>
            <w:r w:rsidRPr="00264D5D">
              <w:rPr>
                <w:sz w:val="22"/>
                <w:szCs w:val="22"/>
              </w:rPr>
              <w:lastRenderedPageBreak/>
              <w:t>Начальная (максимальная) цена контракта</w:t>
            </w:r>
          </w:p>
        </w:tc>
        <w:tc>
          <w:tcPr>
            <w:tcW w:w="883" w:type="pct"/>
          </w:tcPr>
          <w:p w14:paraId="44E4DF43" w14:textId="77777777" w:rsidR="00AD1F54" w:rsidRPr="00264D5D" w:rsidRDefault="00941227">
            <w:pPr>
              <w:spacing w:before="60" w:after="60"/>
              <w:rPr>
                <w:sz w:val="22"/>
                <w:szCs w:val="22"/>
              </w:rPr>
            </w:pPr>
            <w:r w:rsidRPr="00264D5D">
              <w:rPr>
                <w:sz w:val="22"/>
                <w:szCs w:val="22"/>
              </w:rPr>
              <w:t>MaxPrice</w:t>
            </w:r>
          </w:p>
        </w:tc>
        <w:tc>
          <w:tcPr>
            <w:tcW w:w="294" w:type="pct"/>
          </w:tcPr>
          <w:p w14:paraId="1B55F74A" w14:textId="77777777" w:rsidR="00AD1F54" w:rsidRPr="00264D5D" w:rsidRDefault="00941227">
            <w:pPr>
              <w:spacing w:before="60" w:after="60"/>
              <w:jc w:val="center"/>
              <w:rPr>
                <w:sz w:val="22"/>
                <w:szCs w:val="22"/>
              </w:rPr>
            </w:pPr>
            <w:r w:rsidRPr="00264D5D">
              <w:rPr>
                <w:sz w:val="22"/>
                <w:szCs w:val="22"/>
              </w:rPr>
              <w:t>П</w:t>
            </w:r>
          </w:p>
        </w:tc>
        <w:tc>
          <w:tcPr>
            <w:tcW w:w="589" w:type="pct"/>
          </w:tcPr>
          <w:p w14:paraId="4BFCA594" w14:textId="77777777" w:rsidR="00AD1F54" w:rsidRPr="00264D5D" w:rsidRDefault="00941227">
            <w:pPr>
              <w:spacing w:before="60" w:after="60"/>
              <w:jc w:val="left"/>
              <w:rPr>
                <w:sz w:val="22"/>
                <w:szCs w:val="22"/>
              </w:rPr>
            </w:pPr>
            <w:r w:rsidRPr="00264D5D">
              <w:rPr>
                <w:sz w:val="22"/>
                <w:szCs w:val="22"/>
              </w:rPr>
              <w:t>Т(20.2)</w:t>
            </w:r>
          </w:p>
        </w:tc>
        <w:tc>
          <w:tcPr>
            <w:tcW w:w="294" w:type="pct"/>
          </w:tcPr>
          <w:p w14:paraId="3668F47C" w14:textId="77777777" w:rsidR="00AD1F54" w:rsidRPr="00264D5D" w:rsidRDefault="00941227">
            <w:pPr>
              <w:spacing w:before="60" w:after="60"/>
              <w:jc w:val="center"/>
              <w:rPr>
                <w:sz w:val="22"/>
                <w:szCs w:val="22"/>
              </w:rPr>
            </w:pPr>
            <w:r w:rsidRPr="00264D5D">
              <w:rPr>
                <w:sz w:val="22"/>
                <w:szCs w:val="22"/>
              </w:rPr>
              <w:t>О</w:t>
            </w:r>
          </w:p>
        </w:tc>
        <w:tc>
          <w:tcPr>
            <w:tcW w:w="2056" w:type="pct"/>
          </w:tcPr>
          <w:p w14:paraId="73780B17" w14:textId="77777777" w:rsidR="00AD1F54" w:rsidRPr="00264D5D" w:rsidRDefault="00941227">
            <w:pPr>
              <w:spacing w:before="60" w:after="60"/>
              <w:rPr>
                <w:sz w:val="22"/>
                <w:szCs w:val="22"/>
              </w:rPr>
            </w:pPr>
            <w:r w:rsidRPr="00264D5D">
              <w:rPr>
                <w:sz w:val="22"/>
                <w:szCs w:val="22"/>
              </w:rPr>
              <w:t>Указывается начальна</w:t>
            </w:r>
            <w:r w:rsidR="00FB163B" w:rsidRPr="00264D5D">
              <w:rPr>
                <w:sz w:val="22"/>
                <w:szCs w:val="22"/>
              </w:rPr>
              <w:t>я (максимальная) цена контракта</w:t>
            </w:r>
          </w:p>
        </w:tc>
      </w:tr>
    </w:tbl>
    <w:p w14:paraId="5ECEF3A0" w14:textId="77777777" w:rsidR="00AD1F54" w:rsidRPr="00264D5D" w:rsidRDefault="00941227">
      <w:pPr>
        <w:pStyle w:val="31"/>
      </w:pPr>
      <w:bookmarkStart w:id="4507" w:name="_Toc219309836"/>
      <w:r w:rsidRPr="00264D5D">
        <w:t>Описание комплексного типа «tMARK_ORFK»</w:t>
      </w:r>
      <w:bookmarkEnd w:id="4507"/>
    </w:p>
    <w:p w14:paraId="44651CB0" w14:textId="77777777" w:rsidR="00AD1F54" w:rsidRPr="00264D5D" w:rsidRDefault="00941227">
      <w:pPr>
        <w:pStyle w:val="ASFKNormal"/>
        <w:spacing w:before="60" w:after="120"/>
        <w:contextualSpacing w:val="0"/>
        <w:jc w:val="both"/>
        <w:rPr>
          <w:sz w:val="24"/>
          <w:szCs w:val="24"/>
        </w:rPr>
      </w:pPr>
      <w:r w:rsidRPr="00264D5D">
        <w:rPr>
          <w:sz w:val="24"/>
          <w:szCs w:val="24"/>
        </w:rPr>
        <w:t>Описание комплексного типа «</w:t>
      </w:r>
      <w:r w:rsidRPr="00264D5D">
        <w:rPr>
          <w:sz w:val="24"/>
          <w:szCs w:val="24"/>
          <w:lang w:val="en-US"/>
        </w:rPr>
        <w:t>t</w:t>
      </w:r>
      <w:r w:rsidRPr="00264D5D">
        <w:rPr>
          <w:rFonts w:eastAsia="Calibri"/>
          <w:sz w:val="24"/>
          <w:szCs w:val="24"/>
        </w:rPr>
        <w:t>M</w:t>
      </w:r>
      <w:r w:rsidRPr="00264D5D">
        <w:rPr>
          <w:rFonts w:eastAsia="Calibri"/>
          <w:sz w:val="24"/>
          <w:szCs w:val="24"/>
          <w:lang w:val="en-US"/>
        </w:rPr>
        <w:t>ARK</w:t>
      </w:r>
      <w:r w:rsidRPr="00264D5D">
        <w:rPr>
          <w:rFonts w:eastAsia="Calibri"/>
          <w:sz w:val="24"/>
          <w:szCs w:val="24"/>
        </w:rPr>
        <w:t>_ORFK</w:t>
      </w:r>
      <w:r w:rsidRPr="00264D5D">
        <w:rPr>
          <w:sz w:val="24"/>
          <w:szCs w:val="24"/>
        </w:rPr>
        <w:t>» блока «Отметка ТОФК».</w:t>
      </w:r>
    </w:p>
    <w:p w14:paraId="760A646D" w14:textId="05760C43"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4508" w:name="_Ref465956994"/>
      <w:bookmarkStart w:id="4509" w:name="_Toc30503436"/>
      <w:bookmarkStart w:id="4510" w:name="_Toc30508034"/>
      <w:bookmarkStart w:id="4511" w:name="_Toc219309377"/>
      <w:r w:rsidR="008D797C">
        <w:rPr>
          <w:rFonts w:eastAsia="Calibri"/>
          <w:noProof/>
          <w:szCs w:val="24"/>
        </w:rPr>
        <w:t>347</w:t>
      </w:r>
      <w:bookmarkEnd w:id="4508"/>
      <w:r w:rsidRPr="00264D5D">
        <w:rPr>
          <w:rFonts w:eastAsia="Calibri"/>
          <w:szCs w:val="24"/>
        </w:rPr>
        <w:fldChar w:fldCharType="end"/>
      </w:r>
      <w:r w:rsidRPr="00264D5D">
        <w:rPr>
          <w:rFonts w:eastAsia="Calibri"/>
          <w:szCs w:val="24"/>
        </w:rPr>
        <w:t xml:space="preserve"> – Описание комплексного типа «tM</w:t>
      </w:r>
      <w:r w:rsidRPr="00264D5D">
        <w:rPr>
          <w:rFonts w:eastAsia="Calibri"/>
          <w:szCs w:val="24"/>
          <w:lang w:val="en-US"/>
        </w:rPr>
        <w:t>ARK</w:t>
      </w:r>
      <w:r w:rsidRPr="00264D5D">
        <w:rPr>
          <w:rFonts w:eastAsia="Calibri"/>
          <w:szCs w:val="24"/>
        </w:rPr>
        <w:t>_ORFK»</w:t>
      </w:r>
      <w:bookmarkEnd w:id="4509"/>
      <w:bookmarkEnd w:id="4510"/>
      <w:bookmarkEnd w:id="4511"/>
    </w:p>
    <w:tbl>
      <w:tblPr>
        <w:tblStyle w:val="GOSTTable"/>
        <w:tblW w:w="4999" w:type="pct"/>
        <w:tblLayout w:type="fixed"/>
        <w:tblLook w:val="04A0" w:firstRow="1" w:lastRow="0" w:firstColumn="1" w:lastColumn="0" w:noHBand="0" w:noVBand="1"/>
      </w:tblPr>
      <w:tblGrid>
        <w:gridCol w:w="1701"/>
        <w:gridCol w:w="1700"/>
        <w:gridCol w:w="569"/>
        <w:gridCol w:w="1138"/>
        <w:gridCol w:w="569"/>
        <w:gridCol w:w="3971"/>
      </w:tblGrid>
      <w:tr w:rsidR="00AD1F54" w:rsidRPr="00264D5D" w14:paraId="3998C71D" w14:textId="77777777" w:rsidTr="00AD1F54">
        <w:trPr>
          <w:cnfStyle w:val="100000000000" w:firstRow="1" w:lastRow="0" w:firstColumn="0" w:lastColumn="0" w:oddVBand="0" w:evenVBand="0" w:oddHBand="0" w:evenHBand="0" w:firstRowFirstColumn="0" w:firstRowLastColumn="0" w:lastRowFirstColumn="0" w:lastRowLastColumn="0"/>
          <w:trHeight w:val="282"/>
          <w:tblHeader/>
        </w:trPr>
        <w:tc>
          <w:tcPr>
            <w:tcW w:w="881" w:type="pct"/>
          </w:tcPr>
          <w:p w14:paraId="07BB974C" w14:textId="77777777" w:rsidR="00AD1F54" w:rsidRPr="00264D5D" w:rsidRDefault="00941227">
            <w:pPr>
              <w:spacing w:before="60" w:after="60"/>
              <w:jc w:val="center"/>
              <w:rPr>
                <w:b/>
                <w:bCs/>
                <w:sz w:val="22"/>
                <w:szCs w:val="22"/>
                <w:lang w:val="en-US"/>
              </w:rPr>
            </w:pPr>
            <w:r w:rsidRPr="00264D5D">
              <w:rPr>
                <w:b/>
                <w:bCs/>
                <w:sz w:val="22"/>
                <w:szCs w:val="22"/>
              </w:rPr>
              <w:t>Наименование комплексного типа</w:t>
            </w:r>
          </w:p>
        </w:tc>
        <w:tc>
          <w:tcPr>
            <w:tcW w:w="881" w:type="pct"/>
          </w:tcPr>
          <w:p w14:paraId="42A7EF17" w14:textId="77777777" w:rsidR="00AD1F54" w:rsidRPr="00264D5D" w:rsidRDefault="00941227">
            <w:pPr>
              <w:spacing w:before="60" w:after="60"/>
              <w:jc w:val="center"/>
              <w:rPr>
                <w:b/>
                <w:bCs/>
                <w:sz w:val="22"/>
                <w:szCs w:val="22"/>
              </w:rPr>
            </w:pPr>
            <w:r w:rsidRPr="00264D5D">
              <w:rPr>
                <w:b/>
                <w:bCs/>
                <w:sz w:val="22"/>
                <w:szCs w:val="22"/>
              </w:rPr>
              <w:t>Текущий элемент/</w:t>
            </w:r>
            <w:r w:rsidRPr="00264D5D">
              <w:rPr>
                <w:b/>
                <w:bCs/>
                <w:sz w:val="22"/>
                <w:szCs w:val="22"/>
                <w:lang w:val="en-US"/>
              </w:rPr>
              <w:t xml:space="preserve"> </w:t>
            </w:r>
            <w:r w:rsidRPr="00264D5D">
              <w:rPr>
                <w:b/>
                <w:bCs/>
                <w:sz w:val="22"/>
                <w:szCs w:val="22"/>
              </w:rPr>
              <w:t>атрибут</w:t>
            </w:r>
          </w:p>
        </w:tc>
        <w:tc>
          <w:tcPr>
            <w:tcW w:w="295" w:type="pct"/>
          </w:tcPr>
          <w:p w14:paraId="3F8C0CD6" w14:textId="77777777" w:rsidR="00AD1F54" w:rsidRPr="00264D5D" w:rsidRDefault="00941227">
            <w:pPr>
              <w:spacing w:before="60" w:after="60"/>
              <w:jc w:val="center"/>
              <w:rPr>
                <w:b/>
                <w:sz w:val="22"/>
                <w:szCs w:val="22"/>
              </w:rPr>
            </w:pPr>
            <w:r w:rsidRPr="00264D5D">
              <w:rPr>
                <w:b/>
                <w:bCs/>
                <w:sz w:val="22"/>
                <w:szCs w:val="22"/>
              </w:rPr>
              <w:t>Тип</w:t>
            </w:r>
          </w:p>
        </w:tc>
        <w:tc>
          <w:tcPr>
            <w:tcW w:w="590" w:type="pct"/>
          </w:tcPr>
          <w:p w14:paraId="7AD55284" w14:textId="77777777" w:rsidR="00AD1F54" w:rsidRPr="00264D5D" w:rsidRDefault="00941227">
            <w:pPr>
              <w:spacing w:before="60" w:after="60"/>
              <w:jc w:val="center"/>
              <w:rPr>
                <w:b/>
                <w:sz w:val="22"/>
                <w:szCs w:val="22"/>
              </w:rPr>
            </w:pPr>
            <w:r w:rsidRPr="00264D5D">
              <w:rPr>
                <w:b/>
                <w:bCs/>
                <w:sz w:val="22"/>
                <w:szCs w:val="22"/>
              </w:rPr>
              <w:t>Формат элемента</w:t>
            </w:r>
          </w:p>
        </w:tc>
        <w:tc>
          <w:tcPr>
            <w:tcW w:w="295" w:type="pct"/>
          </w:tcPr>
          <w:p w14:paraId="64CB9DEB" w14:textId="77777777" w:rsidR="00AD1F54" w:rsidRPr="00264D5D" w:rsidRDefault="00941227">
            <w:pPr>
              <w:spacing w:before="60" w:after="60"/>
              <w:jc w:val="center"/>
              <w:rPr>
                <w:b/>
                <w:sz w:val="22"/>
                <w:szCs w:val="22"/>
              </w:rPr>
            </w:pPr>
            <w:r w:rsidRPr="00264D5D">
              <w:rPr>
                <w:b/>
                <w:bCs/>
                <w:sz w:val="22"/>
                <w:szCs w:val="22"/>
              </w:rPr>
              <w:t>Обязательность</w:t>
            </w:r>
          </w:p>
        </w:tc>
        <w:tc>
          <w:tcPr>
            <w:tcW w:w="2058" w:type="pct"/>
          </w:tcPr>
          <w:p w14:paraId="727625E5" w14:textId="77777777" w:rsidR="00AD1F54" w:rsidRPr="00264D5D" w:rsidRDefault="00941227">
            <w:pPr>
              <w:spacing w:before="60" w:after="60"/>
              <w:jc w:val="center"/>
              <w:rPr>
                <w:b/>
                <w:bCs/>
                <w:sz w:val="22"/>
                <w:szCs w:val="22"/>
              </w:rPr>
            </w:pPr>
            <w:r w:rsidRPr="00264D5D">
              <w:rPr>
                <w:b/>
                <w:bCs/>
                <w:sz w:val="22"/>
                <w:szCs w:val="22"/>
              </w:rPr>
              <w:t>Дополнительная информация</w:t>
            </w:r>
          </w:p>
        </w:tc>
      </w:tr>
      <w:tr w:rsidR="00AD1F54" w:rsidRPr="00264D5D" w14:paraId="7A2863A0" w14:textId="77777777" w:rsidTr="00AD1F54">
        <w:trPr>
          <w:cnfStyle w:val="000000100000" w:firstRow="0" w:lastRow="0" w:firstColumn="0" w:lastColumn="0" w:oddVBand="0" w:evenVBand="0" w:oddHBand="1" w:evenHBand="0" w:firstRowFirstColumn="0" w:firstRowLastColumn="0" w:lastRowFirstColumn="0" w:lastRowLastColumn="0"/>
          <w:trHeight w:val="282"/>
        </w:trPr>
        <w:tc>
          <w:tcPr>
            <w:tcW w:w="881" w:type="pct"/>
          </w:tcPr>
          <w:p w14:paraId="351B865E" w14:textId="77777777" w:rsidR="00AD1F54" w:rsidRPr="00264D5D" w:rsidRDefault="00941227">
            <w:pPr>
              <w:tabs>
                <w:tab w:val="left" w:pos="1122"/>
              </w:tabs>
              <w:spacing w:before="60" w:after="60"/>
              <w:rPr>
                <w:sz w:val="22"/>
                <w:szCs w:val="22"/>
              </w:rPr>
            </w:pPr>
            <w:r w:rsidRPr="00264D5D">
              <w:rPr>
                <w:sz w:val="22"/>
                <w:szCs w:val="22"/>
              </w:rPr>
              <w:t>tM</w:t>
            </w:r>
            <w:r w:rsidRPr="00264D5D">
              <w:rPr>
                <w:sz w:val="22"/>
                <w:szCs w:val="22"/>
                <w:lang w:val="en-US"/>
              </w:rPr>
              <w:t>ARK</w:t>
            </w:r>
            <w:r w:rsidRPr="00264D5D">
              <w:rPr>
                <w:sz w:val="22"/>
                <w:szCs w:val="22"/>
              </w:rPr>
              <w:t>_ORFK</w:t>
            </w:r>
          </w:p>
        </w:tc>
        <w:tc>
          <w:tcPr>
            <w:tcW w:w="881" w:type="pct"/>
          </w:tcPr>
          <w:p w14:paraId="7BFE8E06" w14:textId="77777777" w:rsidR="00AD1F54" w:rsidRPr="00264D5D" w:rsidRDefault="00941227">
            <w:pPr>
              <w:tabs>
                <w:tab w:val="left" w:pos="1122"/>
              </w:tabs>
              <w:spacing w:before="60" w:after="60"/>
              <w:rPr>
                <w:sz w:val="22"/>
                <w:szCs w:val="22"/>
              </w:rPr>
            </w:pPr>
            <w:r w:rsidRPr="00264D5D">
              <w:rPr>
                <w:sz w:val="22"/>
                <w:szCs w:val="22"/>
              </w:rPr>
              <w:t>MarkORFKITEM</w:t>
            </w:r>
          </w:p>
        </w:tc>
        <w:tc>
          <w:tcPr>
            <w:tcW w:w="295" w:type="pct"/>
          </w:tcPr>
          <w:p w14:paraId="6F9B8020" w14:textId="77777777" w:rsidR="00AD1F54" w:rsidRPr="00264D5D" w:rsidRDefault="00941227">
            <w:pPr>
              <w:spacing w:before="60" w:after="60"/>
              <w:jc w:val="center"/>
              <w:rPr>
                <w:sz w:val="22"/>
                <w:szCs w:val="22"/>
              </w:rPr>
            </w:pPr>
            <w:r w:rsidRPr="00264D5D">
              <w:rPr>
                <w:sz w:val="22"/>
                <w:szCs w:val="22"/>
              </w:rPr>
              <w:t>С</w:t>
            </w:r>
          </w:p>
        </w:tc>
        <w:tc>
          <w:tcPr>
            <w:tcW w:w="590" w:type="pct"/>
          </w:tcPr>
          <w:p w14:paraId="3B8F46E2" w14:textId="77777777" w:rsidR="00AD1F54" w:rsidRPr="00264D5D" w:rsidRDefault="00941227">
            <w:pPr>
              <w:spacing w:before="60" w:after="60"/>
              <w:jc w:val="left"/>
              <w:rPr>
                <w:sz w:val="22"/>
                <w:szCs w:val="22"/>
              </w:rPr>
            </w:pPr>
            <w:r w:rsidRPr="00264D5D">
              <w:rPr>
                <w:sz w:val="22"/>
                <w:szCs w:val="22"/>
              </w:rPr>
              <w:t>tM</w:t>
            </w:r>
            <w:r w:rsidRPr="00264D5D">
              <w:rPr>
                <w:sz w:val="22"/>
                <w:szCs w:val="22"/>
                <w:lang w:val="en-US"/>
              </w:rPr>
              <w:t>ARK</w:t>
            </w:r>
            <w:r w:rsidRPr="00264D5D">
              <w:rPr>
                <w:sz w:val="22"/>
                <w:szCs w:val="22"/>
              </w:rPr>
              <w:t>_ORFK_ITEM</w:t>
            </w:r>
          </w:p>
        </w:tc>
        <w:tc>
          <w:tcPr>
            <w:tcW w:w="295" w:type="pct"/>
          </w:tcPr>
          <w:p w14:paraId="029F1E4D" w14:textId="77777777" w:rsidR="00AD1F54" w:rsidRPr="00264D5D" w:rsidRDefault="00941227">
            <w:pPr>
              <w:spacing w:before="60" w:after="60"/>
              <w:jc w:val="center"/>
              <w:rPr>
                <w:sz w:val="22"/>
                <w:szCs w:val="22"/>
                <w:lang w:val="en-US"/>
              </w:rPr>
            </w:pPr>
            <w:r w:rsidRPr="00264D5D">
              <w:rPr>
                <w:sz w:val="22"/>
                <w:szCs w:val="22"/>
              </w:rPr>
              <w:t>Н</w:t>
            </w:r>
          </w:p>
        </w:tc>
        <w:tc>
          <w:tcPr>
            <w:tcW w:w="2058" w:type="pct"/>
          </w:tcPr>
          <w:p w14:paraId="2D5A2D6A" w14:textId="77777777" w:rsidR="00AD1F54" w:rsidRPr="00264D5D" w:rsidRDefault="00941227">
            <w:pPr>
              <w:spacing w:before="60" w:after="60"/>
              <w:rPr>
                <w:sz w:val="22"/>
                <w:szCs w:val="22"/>
              </w:rPr>
            </w:pPr>
            <w:r w:rsidRPr="00264D5D">
              <w:rPr>
                <w:sz w:val="22"/>
                <w:szCs w:val="22"/>
              </w:rPr>
              <w:t>Отметка ТОФК.</w:t>
            </w:r>
          </w:p>
          <w:p w14:paraId="778D1340" w14:textId="779C9686" w:rsidR="00AD1F54" w:rsidRPr="00264D5D" w:rsidRDefault="00941227">
            <w:pPr>
              <w:spacing w:before="60" w:after="60"/>
              <w:rPr>
                <w:sz w:val="22"/>
                <w:szCs w:val="22"/>
              </w:rPr>
            </w:pPr>
            <w:r w:rsidRPr="00264D5D">
              <w:rPr>
                <w:sz w:val="22"/>
                <w:szCs w:val="22"/>
              </w:rPr>
              <w:t xml:space="preserve">Состав элемента представлен в таблице </w:t>
            </w:r>
            <w:r w:rsidRPr="00264D5D">
              <w:rPr>
                <w:sz w:val="22"/>
                <w:szCs w:val="22"/>
              </w:rPr>
              <w:fldChar w:fldCharType="begin"/>
            </w:r>
            <w:r w:rsidRPr="00264D5D">
              <w:rPr>
                <w:sz w:val="22"/>
                <w:szCs w:val="22"/>
              </w:rPr>
              <w:instrText xml:space="preserve"> REF _Ref466416474 \h  \* MERGEFORMAT </w:instrText>
            </w:r>
            <w:r w:rsidRPr="00264D5D">
              <w:rPr>
                <w:sz w:val="22"/>
                <w:szCs w:val="22"/>
              </w:rPr>
            </w:r>
            <w:r w:rsidRPr="00264D5D">
              <w:rPr>
                <w:sz w:val="22"/>
                <w:szCs w:val="22"/>
              </w:rPr>
              <w:fldChar w:fldCharType="separate"/>
            </w:r>
            <w:r w:rsidR="008D797C" w:rsidRPr="008D797C">
              <w:rPr>
                <w:rFonts w:eastAsia="Calibri"/>
                <w:b/>
                <w:sz w:val="22"/>
                <w:szCs w:val="22"/>
              </w:rPr>
              <w:t>348</w:t>
            </w:r>
            <w:r w:rsidRPr="00264D5D">
              <w:rPr>
                <w:sz w:val="22"/>
                <w:szCs w:val="22"/>
              </w:rPr>
              <w:fldChar w:fldCharType="end"/>
            </w:r>
          </w:p>
        </w:tc>
      </w:tr>
    </w:tbl>
    <w:p w14:paraId="7A82E82F" w14:textId="77777777" w:rsidR="00AD1F54" w:rsidRPr="00264D5D" w:rsidRDefault="00941227">
      <w:pPr>
        <w:pStyle w:val="31"/>
      </w:pPr>
      <w:bookmarkStart w:id="4512" w:name="_Toc219309837"/>
      <w:r w:rsidRPr="00264D5D">
        <w:t>Описание комплексного типа «tMARK_ORFK_ITEM»</w:t>
      </w:r>
      <w:bookmarkEnd w:id="4512"/>
    </w:p>
    <w:p w14:paraId="0B12450B" w14:textId="77777777" w:rsidR="00AD1F54" w:rsidRPr="00264D5D" w:rsidRDefault="00941227">
      <w:pPr>
        <w:pStyle w:val="ASFKNormal"/>
        <w:spacing w:before="60" w:after="120"/>
        <w:contextualSpacing w:val="0"/>
        <w:jc w:val="both"/>
        <w:rPr>
          <w:sz w:val="24"/>
          <w:szCs w:val="24"/>
        </w:rPr>
      </w:pPr>
      <w:r w:rsidRPr="00264D5D">
        <w:rPr>
          <w:sz w:val="24"/>
          <w:szCs w:val="24"/>
        </w:rPr>
        <w:t>Описание комплексного типа «tMARK_ORFK_ITEM» строк блока «Отметка ТОФК».</w:t>
      </w:r>
    </w:p>
    <w:p w14:paraId="56EF751C" w14:textId="69E8A5AC"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4513" w:name="_Ref466416474"/>
      <w:bookmarkStart w:id="4514" w:name="_Toc30503437"/>
      <w:bookmarkStart w:id="4515" w:name="_Toc30508035"/>
      <w:bookmarkStart w:id="4516" w:name="_Toc219309378"/>
      <w:r w:rsidR="008D797C">
        <w:rPr>
          <w:rFonts w:eastAsia="Calibri"/>
          <w:noProof/>
          <w:szCs w:val="24"/>
        </w:rPr>
        <w:t>348</w:t>
      </w:r>
      <w:bookmarkEnd w:id="4513"/>
      <w:r w:rsidRPr="00264D5D">
        <w:rPr>
          <w:rFonts w:eastAsia="Calibri"/>
          <w:szCs w:val="24"/>
        </w:rPr>
        <w:fldChar w:fldCharType="end"/>
      </w:r>
      <w:r w:rsidRPr="00264D5D">
        <w:rPr>
          <w:rFonts w:eastAsia="Calibri"/>
          <w:szCs w:val="24"/>
        </w:rPr>
        <w:t xml:space="preserve"> – Описание комплексного типа «tMARK_ORFK_ITEM»</w:t>
      </w:r>
      <w:bookmarkEnd w:id="4514"/>
      <w:bookmarkEnd w:id="4515"/>
      <w:bookmarkEnd w:id="4516"/>
    </w:p>
    <w:tbl>
      <w:tblPr>
        <w:tblStyle w:val="GOSTTable"/>
        <w:tblW w:w="5000" w:type="pct"/>
        <w:tblLayout w:type="fixed"/>
        <w:tblLook w:val="04A0" w:firstRow="1" w:lastRow="0" w:firstColumn="1" w:lastColumn="0" w:noHBand="0" w:noVBand="1"/>
      </w:tblPr>
      <w:tblGrid>
        <w:gridCol w:w="1705"/>
        <w:gridCol w:w="1705"/>
        <w:gridCol w:w="568"/>
        <w:gridCol w:w="1137"/>
        <w:gridCol w:w="567"/>
        <w:gridCol w:w="3968"/>
      </w:tblGrid>
      <w:tr w:rsidR="00AD1F54" w:rsidRPr="00264D5D" w14:paraId="1DA12B7D"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3" w:type="pct"/>
          </w:tcPr>
          <w:p w14:paraId="3B6CA344" w14:textId="77777777" w:rsidR="00AD1F54" w:rsidRPr="00264D5D" w:rsidRDefault="00941227">
            <w:pPr>
              <w:spacing w:before="60" w:after="60"/>
              <w:jc w:val="center"/>
              <w:rPr>
                <w:b/>
                <w:bCs/>
                <w:sz w:val="22"/>
                <w:szCs w:val="22"/>
              </w:rPr>
            </w:pPr>
            <w:r w:rsidRPr="00264D5D">
              <w:rPr>
                <w:b/>
                <w:bCs/>
                <w:sz w:val="22"/>
                <w:szCs w:val="22"/>
              </w:rPr>
              <w:t>Наименование элемента</w:t>
            </w:r>
          </w:p>
        </w:tc>
        <w:tc>
          <w:tcPr>
            <w:tcW w:w="883" w:type="pct"/>
          </w:tcPr>
          <w:p w14:paraId="51C0375A" w14:textId="77777777" w:rsidR="00AD1F54" w:rsidRPr="00264D5D" w:rsidRDefault="00941227">
            <w:pPr>
              <w:spacing w:before="60" w:after="60"/>
              <w:jc w:val="center"/>
              <w:rPr>
                <w:b/>
                <w:bCs/>
                <w:sz w:val="22"/>
                <w:szCs w:val="22"/>
              </w:rPr>
            </w:pPr>
            <w:r w:rsidRPr="00264D5D">
              <w:rPr>
                <w:b/>
                <w:bCs/>
                <w:sz w:val="22"/>
                <w:szCs w:val="22"/>
              </w:rPr>
              <w:t>Сокращенное наименование (код) элемента</w:t>
            </w:r>
          </w:p>
        </w:tc>
        <w:tc>
          <w:tcPr>
            <w:tcW w:w="294" w:type="pct"/>
          </w:tcPr>
          <w:p w14:paraId="561854C1" w14:textId="77777777" w:rsidR="00AD1F54" w:rsidRPr="00264D5D" w:rsidRDefault="00941227">
            <w:pPr>
              <w:spacing w:before="60" w:after="60"/>
              <w:jc w:val="center"/>
              <w:rPr>
                <w:b/>
                <w:sz w:val="22"/>
                <w:szCs w:val="22"/>
              </w:rPr>
            </w:pPr>
            <w:r w:rsidRPr="00264D5D">
              <w:rPr>
                <w:b/>
                <w:bCs/>
                <w:sz w:val="22"/>
                <w:szCs w:val="22"/>
              </w:rPr>
              <w:t>Тип</w:t>
            </w:r>
          </w:p>
        </w:tc>
        <w:tc>
          <w:tcPr>
            <w:tcW w:w="589" w:type="pct"/>
          </w:tcPr>
          <w:p w14:paraId="7E7860E0" w14:textId="77777777" w:rsidR="00AD1F54" w:rsidRPr="00264D5D" w:rsidRDefault="00941227">
            <w:pPr>
              <w:spacing w:before="60" w:after="60"/>
              <w:jc w:val="center"/>
              <w:rPr>
                <w:b/>
                <w:sz w:val="22"/>
                <w:szCs w:val="22"/>
              </w:rPr>
            </w:pPr>
            <w:r w:rsidRPr="00264D5D">
              <w:rPr>
                <w:b/>
                <w:bCs/>
                <w:sz w:val="22"/>
                <w:szCs w:val="22"/>
              </w:rPr>
              <w:t>Формат элемента</w:t>
            </w:r>
          </w:p>
        </w:tc>
        <w:tc>
          <w:tcPr>
            <w:tcW w:w="294" w:type="pct"/>
          </w:tcPr>
          <w:p w14:paraId="6B297FBD" w14:textId="77777777" w:rsidR="00AD1F54" w:rsidRPr="00264D5D" w:rsidRDefault="00941227">
            <w:pPr>
              <w:spacing w:before="60" w:after="60"/>
              <w:jc w:val="center"/>
              <w:rPr>
                <w:b/>
                <w:sz w:val="22"/>
                <w:szCs w:val="22"/>
              </w:rPr>
            </w:pPr>
            <w:r w:rsidRPr="00264D5D">
              <w:rPr>
                <w:b/>
                <w:bCs/>
                <w:sz w:val="22"/>
                <w:szCs w:val="22"/>
              </w:rPr>
              <w:t>Обязательность</w:t>
            </w:r>
          </w:p>
        </w:tc>
        <w:tc>
          <w:tcPr>
            <w:tcW w:w="2056" w:type="pct"/>
          </w:tcPr>
          <w:p w14:paraId="321653FF" w14:textId="77777777" w:rsidR="00AD1F54" w:rsidRPr="00264D5D" w:rsidRDefault="00941227">
            <w:pPr>
              <w:spacing w:before="60" w:after="60"/>
              <w:jc w:val="center"/>
              <w:rPr>
                <w:b/>
                <w:bCs/>
                <w:sz w:val="22"/>
                <w:szCs w:val="22"/>
              </w:rPr>
            </w:pPr>
            <w:r w:rsidRPr="00264D5D">
              <w:rPr>
                <w:b/>
                <w:bCs/>
                <w:sz w:val="22"/>
                <w:szCs w:val="22"/>
              </w:rPr>
              <w:t>Дополнительная информация</w:t>
            </w:r>
          </w:p>
        </w:tc>
      </w:tr>
      <w:tr w:rsidR="00AD1F54" w:rsidRPr="00264D5D" w14:paraId="657C4CB7"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4B0E29AF" w14:textId="77777777" w:rsidR="00AD1F54" w:rsidRPr="00264D5D" w:rsidRDefault="00941227">
            <w:pPr>
              <w:spacing w:before="60" w:after="60"/>
              <w:rPr>
                <w:sz w:val="22"/>
                <w:szCs w:val="22"/>
              </w:rPr>
            </w:pPr>
            <w:r w:rsidRPr="00264D5D">
              <w:rPr>
                <w:sz w:val="22"/>
                <w:szCs w:val="22"/>
              </w:rPr>
              <w:t>Дата получения сведений</w:t>
            </w:r>
          </w:p>
        </w:tc>
        <w:tc>
          <w:tcPr>
            <w:tcW w:w="883" w:type="pct"/>
          </w:tcPr>
          <w:p w14:paraId="7961FF27" w14:textId="77777777" w:rsidR="00AD1F54" w:rsidRPr="00264D5D" w:rsidRDefault="00941227">
            <w:pPr>
              <w:spacing w:before="60" w:after="60"/>
              <w:jc w:val="left"/>
              <w:rPr>
                <w:sz w:val="22"/>
                <w:szCs w:val="22"/>
              </w:rPr>
            </w:pPr>
            <w:r w:rsidRPr="00264D5D">
              <w:rPr>
                <w:rFonts w:eastAsia="Calibri"/>
                <w:sz w:val="22"/>
                <w:szCs w:val="22"/>
              </w:rPr>
              <w:t>DateR</w:t>
            </w:r>
            <w:r w:rsidRPr="00264D5D">
              <w:rPr>
                <w:rFonts w:eastAsia="Calibri"/>
                <w:sz w:val="22"/>
                <w:szCs w:val="22"/>
                <w:lang w:val="en-US"/>
              </w:rPr>
              <w:t>cp</w:t>
            </w:r>
          </w:p>
        </w:tc>
        <w:tc>
          <w:tcPr>
            <w:tcW w:w="294" w:type="pct"/>
          </w:tcPr>
          <w:p w14:paraId="3F86808A" w14:textId="77777777" w:rsidR="00AD1F54" w:rsidRPr="00264D5D" w:rsidRDefault="00941227">
            <w:pPr>
              <w:spacing w:before="60" w:after="60"/>
              <w:jc w:val="center"/>
              <w:rPr>
                <w:sz w:val="22"/>
                <w:szCs w:val="22"/>
              </w:rPr>
            </w:pPr>
            <w:r w:rsidRPr="00264D5D">
              <w:rPr>
                <w:rFonts w:eastAsia="Calibri"/>
                <w:sz w:val="22"/>
                <w:szCs w:val="22"/>
              </w:rPr>
              <w:t>П</w:t>
            </w:r>
          </w:p>
        </w:tc>
        <w:tc>
          <w:tcPr>
            <w:tcW w:w="589" w:type="pct"/>
          </w:tcPr>
          <w:p w14:paraId="25FE1443" w14:textId="77777777" w:rsidR="00AD1F54" w:rsidRPr="00264D5D" w:rsidRDefault="00941227">
            <w:pPr>
              <w:spacing w:before="60" w:after="60"/>
              <w:jc w:val="left"/>
              <w:rPr>
                <w:sz w:val="22"/>
                <w:szCs w:val="22"/>
              </w:rPr>
            </w:pPr>
            <w:r w:rsidRPr="00264D5D">
              <w:rPr>
                <w:rFonts w:eastAsia="Calibri"/>
                <w:sz w:val="22"/>
                <w:szCs w:val="22"/>
                <w:lang w:val="en-US"/>
              </w:rPr>
              <w:t>D</w:t>
            </w:r>
            <w:r w:rsidRPr="00264D5D">
              <w:rPr>
                <w:rFonts w:eastAsia="Calibri"/>
                <w:sz w:val="22"/>
                <w:szCs w:val="22"/>
              </w:rPr>
              <w:t>ate</w:t>
            </w:r>
          </w:p>
        </w:tc>
        <w:tc>
          <w:tcPr>
            <w:tcW w:w="294" w:type="pct"/>
          </w:tcPr>
          <w:p w14:paraId="1F5C17EC" w14:textId="77777777" w:rsidR="00AD1F54" w:rsidRPr="00264D5D" w:rsidRDefault="00941227">
            <w:pPr>
              <w:spacing w:before="60" w:after="60"/>
              <w:jc w:val="center"/>
              <w:rPr>
                <w:sz w:val="22"/>
                <w:szCs w:val="22"/>
              </w:rPr>
            </w:pPr>
            <w:r w:rsidRPr="00264D5D">
              <w:rPr>
                <w:rFonts w:eastAsia="Calibri"/>
                <w:sz w:val="22"/>
                <w:szCs w:val="22"/>
              </w:rPr>
              <w:t>О</w:t>
            </w:r>
          </w:p>
        </w:tc>
        <w:tc>
          <w:tcPr>
            <w:tcW w:w="2056" w:type="pct"/>
          </w:tcPr>
          <w:p w14:paraId="2B0E7A73" w14:textId="77777777" w:rsidR="00AD1F54" w:rsidRPr="00264D5D" w:rsidRDefault="00FB163B">
            <w:pPr>
              <w:spacing w:before="60" w:after="60"/>
              <w:rPr>
                <w:sz w:val="22"/>
                <w:szCs w:val="22"/>
              </w:rPr>
            </w:pPr>
            <w:r w:rsidRPr="00264D5D">
              <w:rPr>
                <w:sz w:val="22"/>
                <w:szCs w:val="22"/>
              </w:rPr>
              <w:t>Дата получения документа в ТОФК</w:t>
            </w:r>
          </w:p>
        </w:tc>
      </w:tr>
      <w:tr w:rsidR="00AD1F54" w:rsidRPr="00264D5D" w14:paraId="4729832F"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3" w:type="pct"/>
          </w:tcPr>
          <w:p w14:paraId="6C97F87F" w14:textId="77777777" w:rsidR="00AD1F54" w:rsidRPr="00264D5D" w:rsidRDefault="00941227">
            <w:pPr>
              <w:spacing w:before="60" w:after="60"/>
              <w:rPr>
                <w:sz w:val="22"/>
                <w:szCs w:val="22"/>
              </w:rPr>
            </w:pPr>
            <w:r w:rsidRPr="00264D5D">
              <w:rPr>
                <w:sz w:val="22"/>
                <w:szCs w:val="22"/>
              </w:rPr>
              <w:t>Регистрацион</w:t>
            </w:r>
          </w:p>
          <w:p w14:paraId="1D250F2F" w14:textId="77777777" w:rsidR="00AD1F54" w:rsidRPr="00264D5D" w:rsidRDefault="00941227">
            <w:pPr>
              <w:spacing w:before="60" w:after="60"/>
              <w:rPr>
                <w:sz w:val="22"/>
                <w:szCs w:val="22"/>
              </w:rPr>
            </w:pPr>
            <w:r w:rsidRPr="00264D5D">
              <w:rPr>
                <w:sz w:val="22"/>
                <w:szCs w:val="22"/>
              </w:rPr>
              <w:t>ный номер</w:t>
            </w:r>
          </w:p>
        </w:tc>
        <w:tc>
          <w:tcPr>
            <w:tcW w:w="883" w:type="pct"/>
          </w:tcPr>
          <w:p w14:paraId="31C4390B" w14:textId="77777777" w:rsidR="00AD1F54" w:rsidRPr="00264D5D" w:rsidRDefault="00941227">
            <w:pPr>
              <w:spacing w:before="60" w:after="60"/>
              <w:jc w:val="left"/>
              <w:rPr>
                <w:sz w:val="22"/>
                <w:szCs w:val="22"/>
              </w:rPr>
            </w:pPr>
            <w:r w:rsidRPr="00264D5D">
              <w:rPr>
                <w:rFonts w:eastAsia="Calibri"/>
                <w:sz w:val="22"/>
                <w:szCs w:val="22"/>
              </w:rPr>
              <w:t>RegNum</w:t>
            </w:r>
          </w:p>
        </w:tc>
        <w:tc>
          <w:tcPr>
            <w:tcW w:w="294" w:type="pct"/>
          </w:tcPr>
          <w:p w14:paraId="4FCD32F6" w14:textId="77777777" w:rsidR="00AD1F54" w:rsidRPr="00264D5D" w:rsidRDefault="00941227">
            <w:pPr>
              <w:spacing w:before="60" w:after="60"/>
              <w:jc w:val="center"/>
              <w:rPr>
                <w:sz w:val="22"/>
                <w:szCs w:val="22"/>
              </w:rPr>
            </w:pPr>
            <w:r w:rsidRPr="00264D5D">
              <w:rPr>
                <w:rFonts w:eastAsia="Calibri"/>
                <w:sz w:val="22"/>
                <w:szCs w:val="22"/>
              </w:rPr>
              <w:t>П</w:t>
            </w:r>
          </w:p>
        </w:tc>
        <w:tc>
          <w:tcPr>
            <w:tcW w:w="589" w:type="pct"/>
          </w:tcPr>
          <w:p w14:paraId="0E28EAA7" w14:textId="77777777" w:rsidR="00AD1F54" w:rsidRPr="00264D5D" w:rsidRDefault="00941227">
            <w:pPr>
              <w:spacing w:before="60" w:after="60"/>
              <w:jc w:val="left"/>
              <w:rPr>
                <w:sz w:val="22"/>
                <w:szCs w:val="22"/>
              </w:rPr>
            </w:pPr>
            <w:r w:rsidRPr="00264D5D">
              <w:rPr>
                <w:rFonts w:eastAsia="Calibri"/>
                <w:sz w:val="22"/>
                <w:szCs w:val="22"/>
              </w:rPr>
              <w:t>Т(1-50)</w:t>
            </w:r>
          </w:p>
        </w:tc>
        <w:tc>
          <w:tcPr>
            <w:tcW w:w="294" w:type="pct"/>
          </w:tcPr>
          <w:p w14:paraId="52BEAFA1" w14:textId="77777777" w:rsidR="00AD1F54" w:rsidRPr="00264D5D" w:rsidRDefault="00941227">
            <w:pPr>
              <w:spacing w:before="60" w:after="60"/>
              <w:jc w:val="center"/>
              <w:rPr>
                <w:sz w:val="22"/>
                <w:szCs w:val="22"/>
              </w:rPr>
            </w:pPr>
            <w:r w:rsidRPr="00264D5D">
              <w:rPr>
                <w:rFonts w:eastAsia="Calibri"/>
                <w:sz w:val="22"/>
                <w:szCs w:val="22"/>
              </w:rPr>
              <w:t>О</w:t>
            </w:r>
          </w:p>
        </w:tc>
        <w:tc>
          <w:tcPr>
            <w:tcW w:w="2056" w:type="pct"/>
          </w:tcPr>
          <w:p w14:paraId="78649EB5" w14:textId="77777777" w:rsidR="00AD1F54" w:rsidRPr="00264D5D" w:rsidRDefault="00941227">
            <w:pPr>
              <w:spacing w:before="60" w:after="60"/>
              <w:rPr>
                <w:sz w:val="22"/>
                <w:szCs w:val="22"/>
              </w:rPr>
            </w:pPr>
            <w:r w:rsidRPr="00264D5D">
              <w:rPr>
                <w:sz w:val="22"/>
                <w:szCs w:val="22"/>
              </w:rPr>
              <w:t>Регистр</w:t>
            </w:r>
            <w:r w:rsidR="00FB163B" w:rsidRPr="00264D5D">
              <w:rPr>
                <w:sz w:val="22"/>
                <w:szCs w:val="22"/>
              </w:rPr>
              <w:t>ационный номер документа в ТОФК</w:t>
            </w:r>
          </w:p>
        </w:tc>
      </w:tr>
      <w:tr w:rsidR="00AD1F54" w:rsidRPr="00264D5D" w14:paraId="060DDEE9"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1E9A7E9D" w14:textId="77777777" w:rsidR="00AD1F54" w:rsidRPr="00264D5D" w:rsidRDefault="00941227">
            <w:pPr>
              <w:spacing w:before="60" w:after="60"/>
              <w:rPr>
                <w:sz w:val="22"/>
                <w:szCs w:val="22"/>
              </w:rPr>
            </w:pPr>
            <w:r w:rsidRPr="00264D5D">
              <w:rPr>
                <w:sz w:val="22"/>
                <w:szCs w:val="22"/>
              </w:rPr>
              <w:t>Наличие сведений на машинном носителе</w:t>
            </w:r>
          </w:p>
        </w:tc>
        <w:tc>
          <w:tcPr>
            <w:tcW w:w="883" w:type="pct"/>
          </w:tcPr>
          <w:p w14:paraId="27F80D07" w14:textId="77777777" w:rsidR="00AD1F54" w:rsidRPr="00264D5D" w:rsidRDefault="00941227">
            <w:pPr>
              <w:spacing w:before="60" w:after="60"/>
              <w:jc w:val="left"/>
              <w:rPr>
                <w:sz w:val="22"/>
                <w:szCs w:val="22"/>
              </w:rPr>
            </w:pPr>
            <w:r w:rsidRPr="00264D5D">
              <w:rPr>
                <w:rFonts w:eastAsia="Calibri"/>
                <w:sz w:val="22"/>
                <w:szCs w:val="22"/>
              </w:rPr>
              <w:t>Medium</w:t>
            </w:r>
          </w:p>
        </w:tc>
        <w:tc>
          <w:tcPr>
            <w:tcW w:w="294" w:type="pct"/>
          </w:tcPr>
          <w:p w14:paraId="72187DA9" w14:textId="77777777" w:rsidR="00AD1F54" w:rsidRPr="00264D5D" w:rsidRDefault="00941227">
            <w:pPr>
              <w:spacing w:before="60" w:after="60"/>
              <w:jc w:val="center"/>
              <w:rPr>
                <w:sz w:val="22"/>
                <w:szCs w:val="22"/>
              </w:rPr>
            </w:pPr>
            <w:r w:rsidRPr="00264D5D">
              <w:rPr>
                <w:rFonts w:eastAsia="Calibri"/>
                <w:sz w:val="22"/>
                <w:szCs w:val="22"/>
              </w:rPr>
              <w:t>С</w:t>
            </w:r>
          </w:p>
        </w:tc>
        <w:tc>
          <w:tcPr>
            <w:tcW w:w="589" w:type="pct"/>
          </w:tcPr>
          <w:p w14:paraId="3099BE79" w14:textId="77777777" w:rsidR="00AD1F54" w:rsidRPr="00264D5D" w:rsidRDefault="00941227">
            <w:pPr>
              <w:spacing w:before="60" w:after="60"/>
              <w:jc w:val="left"/>
              <w:rPr>
                <w:sz w:val="22"/>
                <w:szCs w:val="22"/>
              </w:rPr>
            </w:pPr>
            <w:r w:rsidRPr="00264D5D">
              <w:rPr>
                <w:rFonts w:eastAsia="Calibri"/>
                <w:sz w:val="22"/>
                <w:szCs w:val="22"/>
              </w:rPr>
              <w:t>tM</w:t>
            </w:r>
            <w:r w:rsidRPr="00264D5D">
              <w:rPr>
                <w:rFonts w:eastAsia="Calibri"/>
                <w:sz w:val="22"/>
                <w:szCs w:val="22"/>
                <w:lang w:val="en-US"/>
              </w:rPr>
              <w:t>edium</w:t>
            </w:r>
            <w:r w:rsidRPr="00264D5D">
              <w:rPr>
                <w:rFonts w:eastAsia="Calibri"/>
                <w:sz w:val="22"/>
                <w:szCs w:val="22"/>
              </w:rPr>
              <w:t>Complex</w:t>
            </w:r>
          </w:p>
        </w:tc>
        <w:tc>
          <w:tcPr>
            <w:tcW w:w="294" w:type="pct"/>
          </w:tcPr>
          <w:p w14:paraId="152CE806" w14:textId="77777777" w:rsidR="00AD1F54" w:rsidRPr="00264D5D" w:rsidRDefault="00941227">
            <w:pPr>
              <w:spacing w:before="60" w:after="60"/>
              <w:jc w:val="center"/>
              <w:rPr>
                <w:sz w:val="22"/>
                <w:szCs w:val="22"/>
              </w:rPr>
            </w:pPr>
            <w:r w:rsidRPr="00264D5D">
              <w:rPr>
                <w:rFonts w:eastAsia="Calibri"/>
                <w:sz w:val="22"/>
                <w:szCs w:val="22"/>
              </w:rPr>
              <w:t>О</w:t>
            </w:r>
          </w:p>
        </w:tc>
        <w:tc>
          <w:tcPr>
            <w:tcW w:w="2056" w:type="pct"/>
          </w:tcPr>
          <w:p w14:paraId="76CDED44" w14:textId="77777777" w:rsidR="00AD1F54" w:rsidRPr="00264D5D" w:rsidRDefault="00941227">
            <w:pPr>
              <w:spacing w:before="60" w:after="60"/>
              <w:rPr>
                <w:sz w:val="22"/>
                <w:szCs w:val="22"/>
              </w:rPr>
            </w:pPr>
            <w:r w:rsidRPr="00264D5D">
              <w:rPr>
                <w:sz w:val="22"/>
                <w:szCs w:val="22"/>
              </w:rPr>
              <w:t>Указывается признак наличия сведений на машинном носителе.</w:t>
            </w:r>
          </w:p>
          <w:p w14:paraId="551447A8" w14:textId="0B41B5A3" w:rsidR="00AD1F54" w:rsidRPr="00264D5D" w:rsidRDefault="00941227">
            <w:pPr>
              <w:spacing w:before="60" w:after="60"/>
              <w:rPr>
                <w:sz w:val="22"/>
                <w:szCs w:val="22"/>
              </w:rPr>
            </w:pPr>
            <w:r w:rsidRPr="00264D5D">
              <w:rPr>
                <w:sz w:val="22"/>
                <w:szCs w:val="22"/>
              </w:rPr>
              <w:t xml:space="preserve">Состав элемента представлен в таблице </w:t>
            </w:r>
            <w:r w:rsidRPr="00264D5D">
              <w:rPr>
                <w:sz w:val="22"/>
                <w:szCs w:val="22"/>
              </w:rPr>
              <w:fldChar w:fldCharType="begin"/>
            </w:r>
            <w:r w:rsidRPr="00264D5D">
              <w:rPr>
                <w:sz w:val="22"/>
                <w:szCs w:val="22"/>
              </w:rPr>
              <w:instrText xml:space="preserve"> REF _Ref465957026 \h  \* MERGEFORMAT </w:instrText>
            </w:r>
            <w:r w:rsidRPr="00264D5D">
              <w:rPr>
                <w:sz w:val="22"/>
                <w:szCs w:val="22"/>
              </w:rPr>
            </w:r>
            <w:r w:rsidRPr="00264D5D">
              <w:rPr>
                <w:sz w:val="22"/>
                <w:szCs w:val="22"/>
              </w:rPr>
              <w:fldChar w:fldCharType="separate"/>
            </w:r>
            <w:r w:rsidR="008D797C" w:rsidRPr="008D797C">
              <w:rPr>
                <w:rFonts w:eastAsia="Calibri"/>
                <w:b/>
                <w:sz w:val="22"/>
                <w:szCs w:val="22"/>
              </w:rPr>
              <w:t>349</w:t>
            </w:r>
            <w:r w:rsidRPr="00264D5D">
              <w:rPr>
                <w:sz w:val="22"/>
                <w:szCs w:val="22"/>
              </w:rPr>
              <w:fldChar w:fldCharType="end"/>
            </w:r>
          </w:p>
        </w:tc>
      </w:tr>
      <w:tr w:rsidR="00AD1F54" w:rsidRPr="00264D5D" w14:paraId="6FC76AB1"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3" w:type="pct"/>
          </w:tcPr>
          <w:p w14:paraId="5D2D532E" w14:textId="77777777" w:rsidR="00AD1F54" w:rsidRPr="00264D5D" w:rsidRDefault="00941227">
            <w:pPr>
              <w:spacing w:before="60" w:after="60"/>
              <w:rPr>
                <w:sz w:val="22"/>
                <w:szCs w:val="22"/>
              </w:rPr>
            </w:pPr>
            <w:r w:rsidRPr="00264D5D">
              <w:rPr>
                <w:sz w:val="22"/>
                <w:szCs w:val="22"/>
              </w:rPr>
              <w:t>Признак корректности контролируемой информации</w:t>
            </w:r>
          </w:p>
        </w:tc>
        <w:tc>
          <w:tcPr>
            <w:tcW w:w="883" w:type="pct"/>
          </w:tcPr>
          <w:p w14:paraId="2EDCF0F1" w14:textId="77777777" w:rsidR="00AD1F54" w:rsidRPr="00264D5D" w:rsidRDefault="00941227">
            <w:pPr>
              <w:spacing w:before="60" w:after="60"/>
              <w:jc w:val="left"/>
              <w:rPr>
                <w:sz w:val="22"/>
                <w:szCs w:val="22"/>
              </w:rPr>
            </w:pPr>
            <w:r w:rsidRPr="00264D5D">
              <w:rPr>
                <w:rFonts w:eastAsia="Calibri"/>
                <w:sz w:val="22"/>
                <w:szCs w:val="22"/>
              </w:rPr>
              <w:t>ContrInfo</w:t>
            </w:r>
          </w:p>
        </w:tc>
        <w:tc>
          <w:tcPr>
            <w:tcW w:w="294" w:type="pct"/>
          </w:tcPr>
          <w:p w14:paraId="6D14103C" w14:textId="77777777" w:rsidR="00AD1F54" w:rsidRPr="00264D5D" w:rsidRDefault="00941227">
            <w:pPr>
              <w:spacing w:before="60" w:after="60"/>
              <w:jc w:val="center"/>
              <w:rPr>
                <w:sz w:val="22"/>
                <w:szCs w:val="22"/>
              </w:rPr>
            </w:pPr>
            <w:r w:rsidRPr="00264D5D">
              <w:rPr>
                <w:rFonts w:eastAsia="Calibri"/>
                <w:sz w:val="22"/>
                <w:szCs w:val="22"/>
              </w:rPr>
              <w:t>С</w:t>
            </w:r>
          </w:p>
        </w:tc>
        <w:tc>
          <w:tcPr>
            <w:tcW w:w="589" w:type="pct"/>
          </w:tcPr>
          <w:p w14:paraId="35BFC0F6" w14:textId="77777777" w:rsidR="00AD1F54" w:rsidRPr="00264D5D" w:rsidRDefault="00941227">
            <w:pPr>
              <w:spacing w:before="60" w:after="60"/>
              <w:jc w:val="left"/>
              <w:rPr>
                <w:sz w:val="22"/>
                <w:szCs w:val="22"/>
              </w:rPr>
            </w:pPr>
            <w:r w:rsidRPr="00264D5D">
              <w:rPr>
                <w:rFonts w:eastAsia="Calibri"/>
                <w:sz w:val="22"/>
                <w:szCs w:val="22"/>
              </w:rPr>
              <w:t>tC</w:t>
            </w:r>
            <w:r w:rsidRPr="00264D5D">
              <w:rPr>
                <w:rFonts w:eastAsia="Calibri"/>
                <w:sz w:val="22"/>
                <w:szCs w:val="22"/>
                <w:lang w:val="en-US"/>
              </w:rPr>
              <w:t>ontr</w:t>
            </w:r>
            <w:r w:rsidRPr="00264D5D">
              <w:rPr>
                <w:rFonts w:eastAsia="Calibri"/>
                <w:sz w:val="22"/>
                <w:szCs w:val="22"/>
              </w:rPr>
              <w:t>I</w:t>
            </w:r>
            <w:r w:rsidRPr="00264D5D">
              <w:rPr>
                <w:rFonts w:eastAsia="Calibri"/>
                <w:sz w:val="22"/>
                <w:szCs w:val="22"/>
                <w:lang w:val="en-US"/>
              </w:rPr>
              <w:t>nfo</w:t>
            </w:r>
            <w:r w:rsidRPr="00264D5D">
              <w:rPr>
                <w:rFonts w:eastAsia="Calibri"/>
                <w:sz w:val="22"/>
                <w:szCs w:val="22"/>
              </w:rPr>
              <w:t>Complex</w:t>
            </w:r>
          </w:p>
        </w:tc>
        <w:tc>
          <w:tcPr>
            <w:tcW w:w="294" w:type="pct"/>
          </w:tcPr>
          <w:p w14:paraId="185A7E41" w14:textId="77777777" w:rsidR="00AD1F54" w:rsidRPr="00264D5D" w:rsidRDefault="00941227">
            <w:pPr>
              <w:spacing w:before="60" w:after="60"/>
              <w:jc w:val="center"/>
              <w:rPr>
                <w:sz w:val="22"/>
                <w:szCs w:val="22"/>
              </w:rPr>
            </w:pPr>
            <w:r w:rsidRPr="00264D5D">
              <w:rPr>
                <w:rFonts w:eastAsia="Calibri"/>
                <w:sz w:val="22"/>
                <w:szCs w:val="22"/>
              </w:rPr>
              <w:t>О</w:t>
            </w:r>
          </w:p>
        </w:tc>
        <w:tc>
          <w:tcPr>
            <w:tcW w:w="2056" w:type="pct"/>
          </w:tcPr>
          <w:p w14:paraId="62AA31C4" w14:textId="77777777" w:rsidR="00AD1F54" w:rsidRPr="00264D5D" w:rsidRDefault="00941227">
            <w:pPr>
              <w:spacing w:before="60" w:after="60"/>
              <w:rPr>
                <w:sz w:val="22"/>
                <w:szCs w:val="22"/>
              </w:rPr>
            </w:pPr>
            <w:r w:rsidRPr="00264D5D">
              <w:rPr>
                <w:sz w:val="22"/>
                <w:szCs w:val="22"/>
              </w:rPr>
              <w:t>Указывается признак соответствия/несоответствия контролируемой информации требованиям, установленным частью 5 статьи 99 Федерального закона № 44-ФЗ.</w:t>
            </w:r>
          </w:p>
          <w:p w14:paraId="36442836" w14:textId="23D9F0E3" w:rsidR="00AD1F54" w:rsidRPr="00264D5D" w:rsidRDefault="00941227">
            <w:pPr>
              <w:spacing w:before="60" w:after="60"/>
              <w:rPr>
                <w:sz w:val="22"/>
                <w:szCs w:val="22"/>
              </w:rPr>
            </w:pPr>
            <w:r w:rsidRPr="00264D5D">
              <w:rPr>
                <w:sz w:val="22"/>
                <w:szCs w:val="22"/>
              </w:rPr>
              <w:lastRenderedPageBreak/>
              <w:t xml:space="preserve">Состав элемента представлен в таблице </w:t>
            </w:r>
            <w:r w:rsidRPr="00264D5D">
              <w:rPr>
                <w:sz w:val="22"/>
                <w:szCs w:val="22"/>
              </w:rPr>
              <w:fldChar w:fldCharType="begin"/>
            </w:r>
            <w:r w:rsidRPr="00264D5D">
              <w:rPr>
                <w:sz w:val="22"/>
                <w:szCs w:val="22"/>
              </w:rPr>
              <w:instrText xml:space="preserve"> REF _Ref465957051 \h  \* MERGEFORMAT </w:instrText>
            </w:r>
            <w:r w:rsidRPr="00264D5D">
              <w:rPr>
                <w:sz w:val="22"/>
                <w:szCs w:val="22"/>
              </w:rPr>
            </w:r>
            <w:r w:rsidRPr="00264D5D">
              <w:rPr>
                <w:sz w:val="22"/>
                <w:szCs w:val="22"/>
              </w:rPr>
              <w:fldChar w:fldCharType="separate"/>
            </w:r>
            <w:r w:rsidR="008D797C" w:rsidRPr="008D797C">
              <w:rPr>
                <w:rFonts w:eastAsia="Calibri"/>
                <w:b/>
                <w:sz w:val="22"/>
                <w:szCs w:val="22"/>
              </w:rPr>
              <w:t>350</w:t>
            </w:r>
            <w:r w:rsidRPr="00264D5D">
              <w:rPr>
                <w:sz w:val="22"/>
                <w:szCs w:val="22"/>
              </w:rPr>
              <w:fldChar w:fldCharType="end"/>
            </w:r>
          </w:p>
        </w:tc>
      </w:tr>
      <w:tr w:rsidR="00AD1F54" w:rsidRPr="00264D5D" w14:paraId="293DC8FE"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505508A7" w14:textId="77777777" w:rsidR="00AD1F54" w:rsidRPr="00264D5D" w:rsidRDefault="00941227">
            <w:pPr>
              <w:spacing w:before="60" w:after="60"/>
              <w:rPr>
                <w:sz w:val="22"/>
                <w:szCs w:val="22"/>
              </w:rPr>
            </w:pPr>
            <w:r w:rsidRPr="00264D5D">
              <w:rPr>
                <w:sz w:val="22"/>
                <w:szCs w:val="22"/>
              </w:rPr>
              <w:lastRenderedPageBreak/>
              <w:t>Номер протокола</w:t>
            </w:r>
          </w:p>
        </w:tc>
        <w:tc>
          <w:tcPr>
            <w:tcW w:w="883" w:type="pct"/>
          </w:tcPr>
          <w:p w14:paraId="6939CE59" w14:textId="77777777" w:rsidR="00AD1F54" w:rsidRPr="00264D5D" w:rsidRDefault="00941227">
            <w:pPr>
              <w:spacing w:before="60" w:after="60"/>
              <w:jc w:val="left"/>
              <w:rPr>
                <w:rFonts w:eastAsia="Calibri"/>
                <w:sz w:val="22"/>
                <w:szCs w:val="22"/>
              </w:rPr>
            </w:pPr>
            <w:r w:rsidRPr="00264D5D">
              <w:rPr>
                <w:rFonts w:eastAsia="Calibri"/>
                <w:sz w:val="22"/>
                <w:szCs w:val="22"/>
              </w:rPr>
              <w:t>NumProt</w:t>
            </w:r>
          </w:p>
        </w:tc>
        <w:tc>
          <w:tcPr>
            <w:tcW w:w="294" w:type="pct"/>
          </w:tcPr>
          <w:p w14:paraId="69AE2ACF" w14:textId="77777777" w:rsidR="00AD1F54" w:rsidRPr="00264D5D" w:rsidRDefault="00941227">
            <w:pPr>
              <w:spacing w:before="60" w:after="60"/>
              <w:jc w:val="center"/>
              <w:rPr>
                <w:rFonts w:eastAsia="Calibri"/>
                <w:sz w:val="22"/>
                <w:szCs w:val="22"/>
              </w:rPr>
            </w:pPr>
            <w:r w:rsidRPr="00264D5D">
              <w:rPr>
                <w:rFonts w:eastAsia="Calibri"/>
                <w:sz w:val="22"/>
                <w:szCs w:val="22"/>
              </w:rPr>
              <w:t>П</w:t>
            </w:r>
          </w:p>
        </w:tc>
        <w:tc>
          <w:tcPr>
            <w:tcW w:w="589" w:type="pct"/>
          </w:tcPr>
          <w:p w14:paraId="59AD386A" w14:textId="77777777" w:rsidR="00AD1F54" w:rsidRPr="00264D5D" w:rsidRDefault="00941227">
            <w:pPr>
              <w:spacing w:before="60" w:after="60"/>
              <w:jc w:val="left"/>
              <w:rPr>
                <w:rFonts w:eastAsia="Calibri"/>
                <w:sz w:val="22"/>
                <w:szCs w:val="22"/>
              </w:rPr>
            </w:pPr>
            <w:r w:rsidRPr="00264D5D">
              <w:rPr>
                <w:rFonts w:eastAsia="Calibri"/>
                <w:sz w:val="22"/>
                <w:szCs w:val="22"/>
              </w:rPr>
              <w:t>Т(1-45)</w:t>
            </w:r>
          </w:p>
        </w:tc>
        <w:tc>
          <w:tcPr>
            <w:tcW w:w="294" w:type="pct"/>
          </w:tcPr>
          <w:p w14:paraId="655A25F4" w14:textId="77777777" w:rsidR="00AD1F54" w:rsidRPr="00264D5D" w:rsidRDefault="00941227">
            <w:pPr>
              <w:spacing w:before="60" w:after="60"/>
              <w:jc w:val="center"/>
              <w:rPr>
                <w:rFonts w:eastAsia="Calibri"/>
                <w:sz w:val="22"/>
                <w:szCs w:val="22"/>
              </w:rPr>
            </w:pPr>
            <w:r w:rsidRPr="00264D5D">
              <w:rPr>
                <w:rFonts w:eastAsia="Calibri"/>
                <w:sz w:val="22"/>
                <w:szCs w:val="22"/>
              </w:rPr>
              <w:t>Н</w:t>
            </w:r>
          </w:p>
        </w:tc>
        <w:tc>
          <w:tcPr>
            <w:tcW w:w="2056" w:type="pct"/>
          </w:tcPr>
          <w:p w14:paraId="4E6EED9D" w14:textId="77777777" w:rsidR="00AD1F54" w:rsidRPr="00264D5D" w:rsidRDefault="00941227">
            <w:pPr>
              <w:pStyle w:val="ASFKTablenorm"/>
              <w:contextualSpacing w:val="0"/>
              <w:rPr>
                <w:sz w:val="22"/>
                <w:szCs w:val="22"/>
              </w:rPr>
            </w:pPr>
            <w:r w:rsidRPr="00264D5D">
              <w:rPr>
                <w:sz w:val="22"/>
                <w:szCs w:val="22"/>
              </w:rPr>
              <w:t>Указывается номер протокола, сформированного в случае несоответствия контролируемой информации требованиям, установленным частью 5 статьи 99 Федерального закона № 44-ФЗ.</w:t>
            </w:r>
          </w:p>
          <w:p w14:paraId="109E7010" w14:textId="77777777" w:rsidR="00AD1F54" w:rsidRPr="00264D5D" w:rsidRDefault="00941227">
            <w:pPr>
              <w:spacing w:before="60" w:after="60"/>
              <w:rPr>
                <w:sz w:val="22"/>
                <w:szCs w:val="22"/>
              </w:rPr>
            </w:pPr>
            <w:r w:rsidRPr="00264D5D">
              <w:rPr>
                <w:sz w:val="22"/>
                <w:szCs w:val="22"/>
              </w:rPr>
              <w:t>Заполняется только при указании в элементе «Признак корректности контроли</w:t>
            </w:r>
            <w:r w:rsidR="00FB163B" w:rsidRPr="00264D5D">
              <w:rPr>
                <w:sz w:val="22"/>
                <w:szCs w:val="22"/>
              </w:rPr>
              <w:t>руемой информации» значения «1»</w:t>
            </w:r>
          </w:p>
        </w:tc>
      </w:tr>
      <w:tr w:rsidR="00AD1F54" w:rsidRPr="00264D5D" w14:paraId="0F0334C6"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3" w:type="pct"/>
          </w:tcPr>
          <w:p w14:paraId="42546E12" w14:textId="77777777" w:rsidR="00AD1F54" w:rsidRPr="00264D5D" w:rsidRDefault="00941227">
            <w:pPr>
              <w:spacing w:before="60" w:after="60"/>
              <w:rPr>
                <w:sz w:val="22"/>
                <w:szCs w:val="22"/>
              </w:rPr>
            </w:pPr>
            <w:r w:rsidRPr="00264D5D">
              <w:rPr>
                <w:sz w:val="22"/>
                <w:szCs w:val="22"/>
              </w:rPr>
              <w:t>GUID протокола</w:t>
            </w:r>
          </w:p>
        </w:tc>
        <w:tc>
          <w:tcPr>
            <w:tcW w:w="883" w:type="pct"/>
          </w:tcPr>
          <w:p w14:paraId="3C0F926A" w14:textId="77777777" w:rsidR="00AD1F54" w:rsidRPr="00264D5D" w:rsidRDefault="00941227">
            <w:pPr>
              <w:spacing w:before="60" w:after="60"/>
              <w:jc w:val="left"/>
              <w:rPr>
                <w:rFonts w:eastAsia="Calibri"/>
                <w:sz w:val="22"/>
                <w:szCs w:val="22"/>
              </w:rPr>
            </w:pPr>
            <w:r w:rsidRPr="00264D5D">
              <w:rPr>
                <w:rFonts w:eastAsia="Calibri"/>
                <w:sz w:val="22"/>
                <w:szCs w:val="22"/>
              </w:rPr>
              <w:t>IDProt</w:t>
            </w:r>
          </w:p>
        </w:tc>
        <w:tc>
          <w:tcPr>
            <w:tcW w:w="294" w:type="pct"/>
          </w:tcPr>
          <w:p w14:paraId="3C70B93C" w14:textId="77777777" w:rsidR="00AD1F54" w:rsidRPr="00264D5D" w:rsidRDefault="00941227">
            <w:pPr>
              <w:spacing w:before="60" w:after="60"/>
              <w:jc w:val="center"/>
              <w:rPr>
                <w:rFonts w:eastAsia="Calibri"/>
                <w:sz w:val="22"/>
                <w:szCs w:val="22"/>
              </w:rPr>
            </w:pPr>
            <w:r w:rsidRPr="00264D5D">
              <w:rPr>
                <w:rFonts w:eastAsia="Calibri"/>
                <w:sz w:val="22"/>
                <w:szCs w:val="22"/>
              </w:rPr>
              <w:t>П</w:t>
            </w:r>
          </w:p>
        </w:tc>
        <w:tc>
          <w:tcPr>
            <w:tcW w:w="589" w:type="pct"/>
          </w:tcPr>
          <w:p w14:paraId="4B7F0CA3" w14:textId="77777777" w:rsidR="00AD1F54" w:rsidRPr="00264D5D" w:rsidRDefault="00941227">
            <w:pPr>
              <w:spacing w:before="60" w:after="60"/>
              <w:jc w:val="left"/>
              <w:rPr>
                <w:rFonts w:eastAsia="Calibri"/>
                <w:sz w:val="22"/>
                <w:szCs w:val="22"/>
              </w:rPr>
            </w:pPr>
            <w:r w:rsidRPr="00264D5D">
              <w:rPr>
                <w:rFonts w:eastAsia="Calibri"/>
                <w:sz w:val="22"/>
                <w:szCs w:val="22"/>
              </w:rPr>
              <w:t>Т(36)</w:t>
            </w:r>
          </w:p>
        </w:tc>
        <w:tc>
          <w:tcPr>
            <w:tcW w:w="294" w:type="pct"/>
          </w:tcPr>
          <w:p w14:paraId="64149AE3" w14:textId="77777777" w:rsidR="00AD1F54" w:rsidRPr="00264D5D" w:rsidRDefault="00941227">
            <w:pPr>
              <w:spacing w:before="60" w:after="60"/>
              <w:jc w:val="center"/>
              <w:rPr>
                <w:rFonts w:eastAsia="Calibri"/>
                <w:sz w:val="22"/>
                <w:szCs w:val="22"/>
              </w:rPr>
            </w:pPr>
            <w:r w:rsidRPr="00264D5D">
              <w:rPr>
                <w:rFonts w:eastAsia="Calibri"/>
                <w:sz w:val="22"/>
                <w:szCs w:val="22"/>
              </w:rPr>
              <w:t>Н</w:t>
            </w:r>
          </w:p>
        </w:tc>
        <w:tc>
          <w:tcPr>
            <w:tcW w:w="2056" w:type="pct"/>
          </w:tcPr>
          <w:p w14:paraId="0586CFDC" w14:textId="77777777" w:rsidR="00AD1F54" w:rsidRPr="00264D5D" w:rsidRDefault="00941227">
            <w:pPr>
              <w:pStyle w:val="ASFKTablenorm"/>
              <w:contextualSpacing w:val="0"/>
              <w:rPr>
                <w:sz w:val="22"/>
                <w:szCs w:val="22"/>
              </w:rPr>
            </w:pPr>
            <w:r w:rsidRPr="00264D5D">
              <w:rPr>
                <w:sz w:val="22"/>
                <w:szCs w:val="22"/>
              </w:rPr>
              <w:t>Указывается уникальный идентификатор протокола, сформированного в случае несоответствия контролируемой информации требованиям, установленным частью 5 статьи 99 Федерального закона № 44-ФЗ.</w:t>
            </w:r>
          </w:p>
          <w:p w14:paraId="1FE0D2C9" w14:textId="77777777" w:rsidR="00AD1F54" w:rsidRPr="00264D5D" w:rsidRDefault="00941227">
            <w:pPr>
              <w:pStyle w:val="ASFKTablenorm"/>
              <w:contextualSpacing w:val="0"/>
              <w:rPr>
                <w:sz w:val="22"/>
                <w:szCs w:val="22"/>
              </w:rPr>
            </w:pPr>
            <w:r w:rsidRPr="00264D5D">
              <w:rPr>
                <w:sz w:val="22"/>
                <w:szCs w:val="22"/>
              </w:rPr>
              <w:t>Заполняется только при указании в элементе «Признак корректности контроли</w:t>
            </w:r>
            <w:r w:rsidR="00FB163B" w:rsidRPr="00264D5D">
              <w:rPr>
                <w:sz w:val="22"/>
                <w:szCs w:val="22"/>
              </w:rPr>
              <w:t>руемой информации» значения «1»</w:t>
            </w:r>
          </w:p>
        </w:tc>
      </w:tr>
      <w:tr w:rsidR="00AD1F54" w:rsidRPr="00264D5D" w14:paraId="21538FE9"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090C5BE9" w14:textId="77777777" w:rsidR="00AD1F54" w:rsidRPr="00264D5D" w:rsidRDefault="00941227">
            <w:pPr>
              <w:spacing w:before="60" w:after="60"/>
              <w:rPr>
                <w:sz w:val="22"/>
                <w:szCs w:val="22"/>
              </w:rPr>
            </w:pPr>
            <w:r w:rsidRPr="00264D5D">
              <w:rPr>
                <w:sz w:val="22"/>
                <w:szCs w:val="22"/>
              </w:rPr>
              <w:t>Должность ответственного исполнителя ТОФК</w:t>
            </w:r>
          </w:p>
        </w:tc>
        <w:tc>
          <w:tcPr>
            <w:tcW w:w="883" w:type="pct"/>
          </w:tcPr>
          <w:p w14:paraId="3A2EB42A" w14:textId="77777777" w:rsidR="00AD1F54" w:rsidRPr="00264D5D" w:rsidRDefault="00941227">
            <w:pPr>
              <w:spacing w:before="60" w:after="60"/>
              <w:jc w:val="left"/>
              <w:rPr>
                <w:rFonts w:eastAsia="Calibri"/>
                <w:sz w:val="22"/>
                <w:szCs w:val="22"/>
                <w:lang w:val="en-US"/>
              </w:rPr>
            </w:pPr>
            <w:r w:rsidRPr="00264D5D">
              <w:rPr>
                <w:rFonts w:eastAsia="Calibri"/>
                <w:sz w:val="22"/>
                <w:szCs w:val="22"/>
                <w:lang w:val="en-US"/>
              </w:rPr>
              <w:t>headPositionFK</w:t>
            </w:r>
          </w:p>
        </w:tc>
        <w:tc>
          <w:tcPr>
            <w:tcW w:w="294" w:type="pct"/>
          </w:tcPr>
          <w:p w14:paraId="2CC283C7" w14:textId="77777777" w:rsidR="00AD1F54" w:rsidRPr="00264D5D" w:rsidRDefault="00941227">
            <w:pPr>
              <w:spacing w:before="60" w:after="60"/>
              <w:jc w:val="center"/>
              <w:rPr>
                <w:rFonts w:eastAsia="Calibri"/>
                <w:sz w:val="22"/>
                <w:szCs w:val="22"/>
              </w:rPr>
            </w:pPr>
            <w:r w:rsidRPr="00264D5D">
              <w:rPr>
                <w:rFonts w:eastAsia="Calibri"/>
                <w:sz w:val="22"/>
                <w:szCs w:val="22"/>
              </w:rPr>
              <w:t>П</w:t>
            </w:r>
          </w:p>
        </w:tc>
        <w:tc>
          <w:tcPr>
            <w:tcW w:w="589" w:type="pct"/>
          </w:tcPr>
          <w:p w14:paraId="3D463EF0" w14:textId="77777777" w:rsidR="00AD1F54" w:rsidRPr="00264D5D" w:rsidRDefault="00941227">
            <w:pPr>
              <w:spacing w:before="60" w:after="60"/>
              <w:jc w:val="left"/>
              <w:rPr>
                <w:rFonts w:eastAsia="Calibri"/>
                <w:sz w:val="22"/>
                <w:szCs w:val="22"/>
              </w:rPr>
            </w:pPr>
            <w:r w:rsidRPr="00264D5D">
              <w:rPr>
                <w:rFonts w:eastAsia="Calibri"/>
                <w:sz w:val="22"/>
                <w:szCs w:val="22"/>
              </w:rPr>
              <w:t>Т(1-100)</w:t>
            </w:r>
          </w:p>
        </w:tc>
        <w:tc>
          <w:tcPr>
            <w:tcW w:w="294" w:type="pct"/>
          </w:tcPr>
          <w:p w14:paraId="4AE94844" w14:textId="77777777" w:rsidR="00AD1F54" w:rsidRPr="00264D5D" w:rsidRDefault="00941227">
            <w:pPr>
              <w:spacing w:before="60" w:after="60"/>
              <w:jc w:val="center"/>
              <w:rPr>
                <w:rFonts w:eastAsia="Calibri"/>
                <w:sz w:val="22"/>
                <w:szCs w:val="22"/>
              </w:rPr>
            </w:pPr>
            <w:r w:rsidRPr="00264D5D">
              <w:rPr>
                <w:rFonts w:eastAsia="Calibri"/>
                <w:sz w:val="22"/>
                <w:szCs w:val="22"/>
              </w:rPr>
              <w:t>О</w:t>
            </w:r>
          </w:p>
        </w:tc>
        <w:tc>
          <w:tcPr>
            <w:tcW w:w="2056" w:type="pct"/>
          </w:tcPr>
          <w:p w14:paraId="728632B0" w14:textId="77777777" w:rsidR="00AD1F54" w:rsidRPr="00264D5D" w:rsidRDefault="00941227">
            <w:pPr>
              <w:pStyle w:val="ASFKTablenorm"/>
              <w:contextualSpacing w:val="0"/>
              <w:rPr>
                <w:sz w:val="22"/>
                <w:szCs w:val="22"/>
              </w:rPr>
            </w:pPr>
            <w:r w:rsidRPr="00264D5D">
              <w:rPr>
                <w:sz w:val="22"/>
                <w:szCs w:val="22"/>
              </w:rPr>
              <w:t xml:space="preserve">Указывается должность </w:t>
            </w:r>
            <w:r w:rsidR="00FB163B" w:rsidRPr="00264D5D">
              <w:rPr>
                <w:sz w:val="22"/>
                <w:szCs w:val="22"/>
              </w:rPr>
              <w:t>ответственного исполнителя ТОФК</w:t>
            </w:r>
          </w:p>
        </w:tc>
      </w:tr>
      <w:tr w:rsidR="00AD1F54" w:rsidRPr="00264D5D" w14:paraId="4722A170" w14:textId="77777777" w:rsidTr="00AD1F54">
        <w:trPr>
          <w:cnfStyle w:val="000000010000" w:firstRow="0" w:lastRow="0" w:firstColumn="0" w:lastColumn="0" w:oddVBand="0" w:evenVBand="0" w:oddHBand="0" w:evenHBand="1" w:firstRowFirstColumn="0" w:firstRowLastColumn="0" w:lastRowFirstColumn="0" w:lastRowLastColumn="0"/>
          <w:trHeight w:val="283"/>
        </w:trPr>
        <w:tc>
          <w:tcPr>
            <w:tcW w:w="883" w:type="pct"/>
          </w:tcPr>
          <w:p w14:paraId="1DC4AECB" w14:textId="77777777" w:rsidR="00AD1F54" w:rsidRPr="00264D5D" w:rsidRDefault="00941227">
            <w:pPr>
              <w:spacing w:before="60" w:after="60"/>
              <w:rPr>
                <w:sz w:val="22"/>
                <w:szCs w:val="22"/>
              </w:rPr>
            </w:pPr>
            <w:r w:rsidRPr="00264D5D">
              <w:rPr>
                <w:sz w:val="22"/>
                <w:szCs w:val="22"/>
              </w:rPr>
              <w:t>ФИО ответственного исполнителя ТОФК</w:t>
            </w:r>
          </w:p>
        </w:tc>
        <w:tc>
          <w:tcPr>
            <w:tcW w:w="883" w:type="pct"/>
          </w:tcPr>
          <w:p w14:paraId="1D7270B9" w14:textId="77777777" w:rsidR="00AD1F54" w:rsidRPr="00264D5D" w:rsidRDefault="00941227">
            <w:pPr>
              <w:spacing w:before="60" w:after="60"/>
              <w:jc w:val="left"/>
              <w:rPr>
                <w:rFonts w:eastAsia="Calibri"/>
                <w:sz w:val="22"/>
                <w:szCs w:val="22"/>
                <w:lang w:val="en-US"/>
              </w:rPr>
            </w:pPr>
            <w:r w:rsidRPr="00264D5D">
              <w:rPr>
                <w:rFonts w:eastAsia="Calibri"/>
                <w:sz w:val="22"/>
                <w:szCs w:val="22"/>
                <w:lang w:val="en-US"/>
              </w:rPr>
              <w:t>headNameFK</w:t>
            </w:r>
          </w:p>
        </w:tc>
        <w:tc>
          <w:tcPr>
            <w:tcW w:w="294" w:type="pct"/>
          </w:tcPr>
          <w:p w14:paraId="4A5B2DEA" w14:textId="77777777" w:rsidR="00AD1F54" w:rsidRPr="00264D5D" w:rsidRDefault="00941227">
            <w:pPr>
              <w:spacing w:before="60" w:after="60"/>
              <w:jc w:val="center"/>
              <w:rPr>
                <w:rFonts w:eastAsia="Calibri"/>
                <w:sz w:val="22"/>
                <w:szCs w:val="22"/>
              </w:rPr>
            </w:pPr>
            <w:r w:rsidRPr="00264D5D">
              <w:rPr>
                <w:rFonts w:eastAsia="Calibri"/>
                <w:sz w:val="22"/>
                <w:szCs w:val="22"/>
              </w:rPr>
              <w:t>П</w:t>
            </w:r>
          </w:p>
        </w:tc>
        <w:tc>
          <w:tcPr>
            <w:tcW w:w="589" w:type="pct"/>
          </w:tcPr>
          <w:p w14:paraId="26FD5981" w14:textId="77777777" w:rsidR="00AD1F54" w:rsidRPr="00264D5D" w:rsidRDefault="00941227">
            <w:pPr>
              <w:spacing w:before="60" w:after="60"/>
              <w:jc w:val="left"/>
              <w:rPr>
                <w:rFonts w:eastAsia="Calibri"/>
                <w:sz w:val="22"/>
                <w:szCs w:val="22"/>
              </w:rPr>
            </w:pPr>
            <w:r w:rsidRPr="00264D5D">
              <w:rPr>
                <w:rFonts w:eastAsia="Calibri"/>
                <w:sz w:val="22"/>
                <w:szCs w:val="22"/>
              </w:rPr>
              <w:t>Т(1-50)</w:t>
            </w:r>
          </w:p>
        </w:tc>
        <w:tc>
          <w:tcPr>
            <w:tcW w:w="294" w:type="pct"/>
          </w:tcPr>
          <w:p w14:paraId="605F6821" w14:textId="77777777" w:rsidR="00AD1F54" w:rsidRPr="00264D5D" w:rsidRDefault="00941227">
            <w:pPr>
              <w:spacing w:before="60" w:after="60"/>
              <w:jc w:val="center"/>
              <w:rPr>
                <w:rFonts w:eastAsia="Calibri"/>
                <w:sz w:val="22"/>
                <w:szCs w:val="22"/>
              </w:rPr>
            </w:pPr>
            <w:r w:rsidRPr="00264D5D">
              <w:rPr>
                <w:rFonts w:eastAsia="Calibri"/>
                <w:sz w:val="22"/>
                <w:szCs w:val="22"/>
              </w:rPr>
              <w:t>О</w:t>
            </w:r>
          </w:p>
        </w:tc>
        <w:tc>
          <w:tcPr>
            <w:tcW w:w="2056" w:type="pct"/>
          </w:tcPr>
          <w:p w14:paraId="472A91A7" w14:textId="77777777" w:rsidR="00AD1F54" w:rsidRPr="00264D5D" w:rsidRDefault="00941227">
            <w:pPr>
              <w:pStyle w:val="ASFKTablenorm"/>
              <w:contextualSpacing w:val="0"/>
              <w:rPr>
                <w:sz w:val="22"/>
                <w:szCs w:val="22"/>
              </w:rPr>
            </w:pPr>
            <w:r w:rsidRPr="00264D5D">
              <w:rPr>
                <w:sz w:val="22"/>
                <w:szCs w:val="22"/>
              </w:rPr>
              <w:t xml:space="preserve">Указывается ФИО </w:t>
            </w:r>
            <w:r w:rsidR="00FB163B" w:rsidRPr="00264D5D">
              <w:rPr>
                <w:sz w:val="22"/>
                <w:szCs w:val="22"/>
              </w:rPr>
              <w:t>ответственного исполнителя ТОФК</w:t>
            </w:r>
          </w:p>
        </w:tc>
      </w:tr>
      <w:tr w:rsidR="00AD1F54" w:rsidRPr="00264D5D" w14:paraId="6ABA949E" w14:textId="77777777" w:rsidTr="00AD1F54">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16982380" w14:textId="77777777" w:rsidR="00AD1F54" w:rsidRPr="00264D5D" w:rsidRDefault="00941227">
            <w:pPr>
              <w:spacing w:before="60" w:after="60"/>
              <w:rPr>
                <w:sz w:val="22"/>
                <w:szCs w:val="22"/>
              </w:rPr>
            </w:pPr>
            <w:r w:rsidRPr="00264D5D">
              <w:rPr>
                <w:sz w:val="22"/>
                <w:szCs w:val="22"/>
              </w:rPr>
              <w:t xml:space="preserve">Дата отметки ТОФК </w:t>
            </w:r>
          </w:p>
        </w:tc>
        <w:tc>
          <w:tcPr>
            <w:tcW w:w="883" w:type="pct"/>
          </w:tcPr>
          <w:p w14:paraId="6596A8DC" w14:textId="77777777" w:rsidR="00AD1F54" w:rsidRPr="00264D5D" w:rsidRDefault="00941227">
            <w:pPr>
              <w:spacing w:before="60" w:after="60"/>
              <w:jc w:val="left"/>
              <w:rPr>
                <w:rFonts w:eastAsia="Calibri"/>
                <w:sz w:val="22"/>
                <w:szCs w:val="22"/>
                <w:lang w:val="en-US"/>
              </w:rPr>
            </w:pPr>
            <w:r w:rsidRPr="00264D5D">
              <w:rPr>
                <w:rFonts w:eastAsia="Calibri"/>
                <w:sz w:val="22"/>
                <w:szCs w:val="22"/>
              </w:rPr>
              <w:t>approveDateFK</w:t>
            </w:r>
          </w:p>
        </w:tc>
        <w:tc>
          <w:tcPr>
            <w:tcW w:w="294" w:type="pct"/>
          </w:tcPr>
          <w:p w14:paraId="5FD8E513" w14:textId="77777777" w:rsidR="00AD1F54" w:rsidRPr="00264D5D" w:rsidRDefault="00941227">
            <w:pPr>
              <w:spacing w:before="60" w:after="60"/>
              <w:jc w:val="center"/>
              <w:rPr>
                <w:rFonts w:eastAsia="Calibri"/>
                <w:sz w:val="22"/>
                <w:szCs w:val="22"/>
              </w:rPr>
            </w:pPr>
            <w:r w:rsidRPr="00264D5D">
              <w:rPr>
                <w:rFonts w:eastAsia="Calibri"/>
                <w:sz w:val="22"/>
                <w:szCs w:val="22"/>
              </w:rPr>
              <w:t>П</w:t>
            </w:r>
          </w:p>
        </w:tc>
        <w:tc>
          <w:tcPr>
            <w:tcW w:w="589" w:type="pct"/>
          </w:tcPr>
          <w:p w14:paraId="1ED8EBFC" w14:textId="77777777" w:rsidR="00AD1F54" w:rsidRPr="00264D5D" w:rsidRDefault="00941227">
            <w:pPr>
              <w:spacing w:before="60" w:after="60"/>
              <w:jc w:val="left"/>
              <w:rPr>
                <w:rFonts w:eastAsia="Calibri"/>
                <w:sz w:val="22"/>
                <w:szCs w:val="22"/>
              </w:rPr>
            </w:pPr>
            <w:r w:rsidRPr="00264D5D">
              <w:rPr>
                <w:rFonts w:eastAsia="Calibri"/>
                <w:sz w:val="22"/>
                <w:szCs w:val="22"/>
                <w:lang w:val="en-US"/>
              </w:rPr>
              <w:t>D</w:t>
            </w:r>
            <w:r w:rsidRPr="00264D5D">
              <w:rPr>
                <w:rFonts w:eastAsia="Calibri"/>
                <w:sz w:val="22"/>
                <w:szCs w:val="22"/>
              </w:rPr>
              <w:t>ate</w:t>
            </w:r>
          </w:p>
        </w:tc>
        <w:tc>
          <w:tcPr>
            <w:tcW w:w="294" w:type="pct"/>
          </w:tcPr>
          <w:p w14:paraId="02E1F379" w14:textId="77777777" w:rsidR="00AD1F54" w:rsidRPr="00264D5D" w:rsidRDefault="00941227">
            <w:pPr>
              <w:spacing w:before="60" w:after="60"/>
              <w:jc w:val="center"/>
              <w:rPr>
                <w:rFonts w:eastAsia="Calibri"/>
                <w:sz w:val="22"/>
                <w:szCs w:val="22"/>
              </w:rPr>
            </w:pPr>
            <w:r w:rsidRPr="00264D5D">
              <w:rPr>
                <w:rFonts w:eastAsia="Calibri"/>
                <w:sz w:val="22"/>
                <w:szCs w:val="22"/>
              </w:rPr>
              <w:t>О</w:t>
            </w:r>
          </w:p>
        </w:tc>
        <w:tc>
          <w:tcPr>
            <w:tcW w:w="2056" w:type="pct"/>
          </w:tcPr>
          <w:p w14:paraId="31462307" w14:textId="77777777" w:rsidR="00AD1F54" w:rsidRPr="00264D5D" w:rsidRDefault="00941227">
            <w:pPr>
              <w:pStyle w:val="ASFKTablenorm"/>
              <w:contextualSpacing w:val="0"/>
              <w:rPr>
                <w:sz w:val="22"/>
                <w:szCs w:val="22"/>
              </w:rPr>
            </w:pPr>
            <w:r w:rsidRPr="00264D5D">
              <w:rPr>
                <w:sz w:val="22"/>
                <w:szCs w:val="22"/>
              </w:rPr>
              <w:t>Указывается</w:t>
            </w:r>
            <w:r w:rsidR="00FB163B" w:rsidRPr="00264D5D">
              <w:rPr>
                <w:sz w:val="22"/>
                <w:szCs w:val="22"/>
              </w:rPr>
              <w:t xml:space="preserve"> дата проставления отметки ТОФК</w:t>
            </w:r>
          </w:p>
        </w:tc>
      </w:tr>
    </w:tbl>
    <w:p w14:paraId="12E45069" w14:textId="77777777" w:rsidR="00AD1F54" w:rsidRPr="00264D5D" w:rsidRDefault="00941227">
      <w:pPr>
        <w:pStyle w:val="31"/>
      </w:pPr>
      <w:bookmarkStart w:id="4517" w:name="_Toc219309838"/>
      <w:r w:rsidRPr="00264D5D">
        <w:t>Описание комплексного типа «tMediumComplex»</w:t>
      </w:r>
      <w:bookmarkEnd w:id="4517"/>
    </w:p>
    <w:p w14:paraId="5BED8BE8" w14:textId="77777777" w:rsidR="00AD1F54" w:rsidRPr="00264D5D" w:rsidRDefault="00941227">
      <w:pPr>
        <w:pStyle w:val="ASFKNormal"/>
        <w:spacing w:before="60" w:after="120"/>
        <w:contextualSpacing w:val="0"/>
        <w:jc w:val="both"/>
        <w:rPr>
          <w:sz w:val="24"/>
          <w:szCs w:val="24"/>
        </w:rPr>
      </w:pPr>
      <w:r w:rsidRPr="00264D5D">
        <w:rPr>
          <w:sz w:val="24"/>
          <w:szCs w:val="24"/>
        </w:rPr>
        <w:t>Описание комплексного типа «tM</w:t>
      </w:r>
      <w:r w:rsidRPr="00264D5D">
        <w:rPr>
          <w:sz w:val="24"/>
          <w:szCs w:val="24"/>
          <w:lang w:val="en-US"/>
        </w:rPr>
        <w:t>edium</w:t>
      </w:r>
      <w:r w:rsidRPr="00264D5D">
        <w:rPr>
          <w:sz w:val="24"/>
          <w:szCs w:val="24"/>
        </w:rPr>
        <w:t>Complex» блока «Наличие сведений на машинном носителе».</w:t>
      </w:r>
    </w:p>
    <w:p w14:paraId="431D3339" w14:textId="69072C60" w:rsidR="00AD1F54" w:rsidRPr="00264D5D" w:rsidRDefault="00941227">
      <w:pPr>
        <w:pStyle w:val="GOSTNameTable"/>
        <w:numPr>
          <w:ilvl w:val="0"/>
          <w:numId w:val="2"/>
        </w:numPr>
        <w:ind w:left="425" w:hanging="357"/>
        <w:rPr>
          <w:rFonts w:eastAsia="Calibri"/>
          <w:szCs w:val="24"/>
        </w:rPr>
      </w:pPr>
      <w:r w:rsidRPr="00264D5D">
        <w:rPr>
          <w:rFonts w:eastAsia="Calibri"/>
          <w:szCs w:val="24"/>
        </w:rPr>
        <w:lastRenderedPageBreak/>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4518" w:name="_Ref465957026"/>
      <w:bookmarkStart w:id="4519" w:name="_Toc30503438"/>
      <w:bookmarkStart w:id="4520" w:name="_Toc30508036"/>
      <w:bookmarkStart w:id="4521" w:name="_Toc219309379"/>
      <w:r w:rsidR="008D797C">
        <w:rPr>
          <w:rFonts w:eastAsia="Calibri"/>
          <w:noProof/>
          <w:szCs w:val="24"/>
        </w:rPr>
        <w:t>349</w:t>
      </w:r>
      <w:bookmarkEnd w:id="4518"/>
      <w:r w:rsidRPr="00264D5D">
        <w:rPr>
          <w:rFonts w:eastAsia="Calibri"/>
          <w:szCs w:val="24"/>
        </w:rPr>
        <w:fldChar w:fldCharType="end"/>
      </w:r>
      <w:r w:rsidRPr="00264D5D">
        <w:rPr>
          <w:rFonts w:eastAsia="Calibri"/>
          <w:szCs w:val="24"/>
        </w:rPr>
        <w:t xml:space="preserve"> – Описание комплексного типа «tM</w:t>
      </w:r>
      <w:r w:rsidRPr="00264D5D">
        <w:rPr>
          <w:rFonts w:eastAsia="Calibri"/>
          <w:szCs w:val="24"/>
          <w:lang w:val="en-US"/>
        </w:rPr>
        <w:t>edium</w:t>
      </w:r>
      <w:r w:rsidRPr="00264D5D">
        <w:rPr>
          <w:rFonts w:eastAsia="Calibri"/>
          <w:szCs w:val="24"/>
        </w:rPr>
        <w:t>Complex»</w:t>
      </w:r>
      <w:bookmarkEnd w:id="4519"/>
      <w:bookmarkEnd w:id="4520"/>
      <w:bookmarkEnd w:id="4521"/>
    </w:p>
    <w:tbl>
      <w:tblPr>
        <w:tblStyle w:val="GOSTTable"/>
        <w:tblW w:w="5000" w:type="pct"/>
        <w:tblLayout w:type="fixed"/>
        <w:tblLook w:val="04A0" w:firstRow="1" w:lastRow="0" w:firstColumn="1" w:lastColumn="0" w:noHBand="0" w:noVBand="1"/>
      </w:tblPr>
      <w:tblGrid>
        <w:gridCol w:w="1703"/>
        <w:gridCol w:w="1707"/>
        <w:gridCol w:w="568"/>
        <w:gridCol w:w="1135"/>
        <w:gridCol w:w="567"/>
        <w:gridCol w:w="3970"/>
      </w:tblGrid>
      <w:tr w:rsidR="00AD1F54" w:rsidRPr="00264D5D" w14:paraId="602CB68A" w14:textId="77777777" w:rsidTr="00AD1F54">
        <w:trPr>
          <w:cnfStyle w:val="100000000000" w:firstRow="1" w:lastRow="0" w:firstColumn="0" w:lastColumn="0" w:oddVBand="0" w:evenVBand="0" w:oddHBand="0" w:evenHBand="0" w:firstRowFirstColumn="0" w:firstRowLastColumn="0" w:lastRowFirstColumn="0" w:lastRowLastColumn="0"/>
          <w:trHeight w:val="282"/>
          <w:tblHeader/>
        </w:trPr>
        <w:tc>
          <w:tcPr>
            <w:tcW w:w="882" w:type="pct"/>
          </w:tcPr>
          <w:p w14:paraId="5242F9C8" w14:textId="77777777" w:rsidR="00AD1F54" w:rsidRPr="00264D5D" w:rsidRDefault="00941227">
            <w:pPr>
              <w:spacing w:before="60" w:after="60"/>
              <w:jc w:val="center"/>
              <w:rPr>
                <w:b/>
                <w:bCs/>
                <w:sz w:val="22"/>
                <w:szCs w:val="22"/>
              </w:rPr>
            </w:pPr>
            <w:r w:rsidRPr="00264D5D">
              <w:rPr>
                <w:b/>
                <w:bCs/>
                <w:sz w:val="22"/>
                <w:szCs w:val="22"/>
              </w:rPr>
              <w:t>Наименование элемента</w:t>
            </w:r>
          </w:p>
        </w:tc>
        <w:tc>
          <w:tcPr>
            <w:tcW w:w="884" w:type="pct"/>
          </w:tcPr>
          <w:p w14:paraId="6E7552F5" w14:textId="77777777" w:rsidR="00AD1F54" w:rsidRPr="00264D5D" w:rsidRDefault="00941227">
            <w:pPr>
              <w:spacing w:before="60" w:after="60"/>
              <w:jc w:val="center"/>
              <w:rPr>
                <w:b/>
                <w:bCs/>
                <w:sz w:val="22"/>
                <w:szCs w:val="22"/>
              </w:rPr>
            </w:pPr>
            <w:r w:rsidRPr="00264D5D">
              <w:rPr>
                <w:b/>
                <w:bCs/>
                <w:sz w:val="22"/>
                <w:szCs w:val="22"/>
              </w:rPr>
              <w:t>Сокращенное наименование (код) элемента</w:t>
            </w:r>
          </w:p>
        </w:tc>
        <w:tc>
          <w:tcPr>
            <w:tcW w:w="294" w:type="pct"/>
          </w:tcPr>
          <w:p w14:paraId="25FC7106" w14:textId="77777777" w:rsidR="00AD1F54" w:rsidRPr="00264D5D" w:rsidRDefault="00941227">
            <w:pPr>
              <w:spacing w:before="60" w:after="60"/>
              <w:jc w:val="center"/>
              <w:rPr>
                <w:b/>
                <w:sz w:val="22"/>
                <w:szCs w:val="22"/>
              </w:rPr>
            </w:pPr>
            <w:r w:rsidRPr="00264D5D">
              <w:rPr>
                <w:b/>
                <w:bCs/>
                <w:sz w:val="22"/>
                <w:szCs w:val="22"/>
              </w:rPr>
              <w:t>Тип</w:t>
            </w:r>
          </w:p>
        </w:tc>
        <w:tc>
          <w:tcPr>
            <w:tcW w:w="588" w:type="pct"/>
          </w:tcPr>
          <w:p w14:paraId="6088BBEF" w14:textId="77777777" w:rsidR="00AD1F54" w:rsidRPr="00264D5D" w:rsidRDefault="00941227">
            <w:pPr>
              <w:spacing w:before="60" w:after="60"/>
              <w:jc w:val="center"/>
              <w:rPr>
                <w:b/>
                <w:sz w:val="22"/>
                <w:szCs w:val="22"/>
              </w:rPr>
            </w:pPr>
            <w:r w:rsidRPr="00264D5D">
              <w:rPr>
                <w:b/>
                <w:bCs/>
                <w:sz w:val="22"/>
                <w:szCs w:val="22"/>
              </w:rPr>
              <w:t>Формат элемента</w:t>
            </w:r>
          </w:p>
        </w:tc>
        <w:tc>
          <w:tcPr>
            <w:tcW w:w="294" w:type="pct"/>
          </w:tcPr>
          <w:p w14:paraId="789EA7F9" w14:textId="77777777" w:rsidR="00AD1F54" w:rsidRPr="00264D5D" w:rsidRDefault="00941227">
            <w:pPr>
              <w:spacing w:before="60" w:after="60"/>
              <w:jc w:val="center"/>
              <w:rPr>
                <w:b/>
                <w:sz w:val="22"/>
                <w:szCs w:val="22"/>
              </w:rPr>
            </w:pPr>
            <w:r w:rsidRPr="00264D5D">
              <w:rPr>
                <w:b/>
                <w:bCs/>
                <w:sz w:val="22"/>
                <w:szCs w:val="22"/>
              </w:rPr>
              <w:t>Обязательность</w:t>
            </w:r>
          </w:p>
        </w:tc>
        <w:tc>
          <w:tcPr>
            <w:tcW w:w="2057" w:type="pct"/>
          </w:tcPr>
          <w:p w14:paraId="799EE7BA" w14:textId="77777777" w:rsidR="00AD1F54" w:rsidRPr="00264D5D" w:rsidRDefault="00941227">
            <w:pPr>
              <w:spacing w:before="60" w:after="60"/>
              <w:jc w:val="center"/>
              <w:rPr>
                <w:b/>
                <w:bCs/>
                <w:sz w:val="22"/>
                <w:szCs w:val="22"/>
              </w:rPr>
            </w:pPr>
            <w:r w:rsidRPr="00264D5D">
              <w:rPr>
                <w:b/>
                <w:bCs/>
                <w:sz w:val="22"/>
                <w:szCs w:val="22"/>
              </w:rPr>
              <w:t>Дополнительная информация</w:t>
            </w:r>
          </w:p>
        </w:tc>
      </w:tr>
      <w:tr w:rsidR="00AD1F54" w:rsidRPr="00264D5D" w14:paraId="79BF286F" w14:textId="77777777" w:rsidTr="00AD1F54">
        <w:trPr>
          <w:cnfStyle w:val="000000100000" w:firstRow="0" w:lastRow="0" w:firstColumn="0" w:lastColumn="0" w:oddVBand="0" w:evenVBand="0" w:oddHBand="1" w:evenHBand="0" w:firstRowFirstColumn="0" w:firstRowLastColumn="0" w:lastRowFirstColumn="0" w:lastRowLastColumn="0"/>
          <w:trHeight w:val="282"/>
        </w:trPr>
        <w:tc>
          <w:tcPr>
            <w:tcW w:w="882" w:type="pct"/>
          </w:tcPr>
          <w:p w14:paraId="2E63C299" w14:textId="77777777" w:rsidR="00AD1F54" w:rsidRPr="00264D5D" w:rsidRDefault="00941227">
            <w:pPr>
              <w:spacing w:before="60" w:after="60"/>
              <w:rPr>
                <w:sz w:val="22"/>
                <w:szCs w:val="22"/>
              </w:rPr>
            </w:pPr>
            <w:r w:rsidRPr="00264D5D">
              <w:rPr>
                <w:sz w:val="22"/>
                <w:szCs w:val="22"/>
              </w:rPr>
              <w:t>Код</w:t>
            </w:r>
          </w:p>
        </w:tc>
        <w:tc>
          <w:tcPr>
            <w:tcW w:w="884" w:type="pct"/>
          </w:tcPr>
          <w:p w14:paraId="442D21BA" w14:textId="77777777" w:rsidR="00AD1F54" w:rsidRPr="00264D5D" w:rsidRDefault="00941227">
            <w:pPr>
              <w:tabs>
                <w:tab w:val="left" w:pos="1122"/>
              </w:tabs>
              <w:spacing w:before="60" w:after="60"/>
              <w:rPr>
                <w:sz w:val="22"/>
                <w:szCs w:val="22"/>
              </w:rPr>
            </w:pPr>
            <w:r w:rsidRPr="00264D5D">
              <w:rPr>
                <w:sz w:val="22"/>
                <w:szCs w:val="22"/>
              </w:rPr>
              <w:t>code</w:t>
            </w:r>
          </w:p>
        </w:tc>
        <w:tc>
          <w:tcPr>
            <w:tcW w:w="294" w:type="pct"/>
          </w:tcPr>
          <w:p w14:paraId="1273B49D" w14:textId="77777777" w:rsidR="00AD1F54" w:rsidRPr="00264D5D" w:rsidRDefault="00941227">
            <w:pPr>
              <w:spacing w:before="60" w:after="60"/>
              <w:jc w:val="center"/>
              <w:rPr>
                <w:sz w:val="22"/>
                <w:szCs w:val="22"/>
              </w:rPr>
            </w:pPr>
            <w:r w:rsidRPr="00264D5D">
              <w:rPr>
                <w:sz w:val="22"/>
                <w:szCs w:val="22"/>
              </w:rPr>
              <w:t>А</w:t>
            </w:r>
          </w:p>
        </w:tc>
        <w:tc>
          <w:tcPr>
            <w:tcW w:w="588" w:type="pct"/>
          </w:tcPr>
          <w:p w14:paraId="7BE4AEEB" w14:textId="77777777" w:rsidR="00AD1F54" w:rsidRPr="00264D5D" w:rsidRDefault="00941227">
            <w:pPr>
              <w:spacing w:before="60" w:after="60"/>
              <w:jc w:val="center"/>
              <w:rPr>
                <w:sz w:val="22"/>
                <w:szCs w:val="22"/>
              </w:rPr>
            </w:pPr>
            <w:r w:rsidRPr="00264D5D">
              <w:rPr>
                <w:sz w:val="22"/>
                <w:szCs w:val="22"/>
              </w:rPr>
              <w:t>-</w:t>
            </w:r>
          </w:p>
        </w:tc>
        <w:tc>
          <w:tcPr>
            <w:tcW w:w="294" w:type="pct"/>
          </w:tcPr>
          <w:p w14:paraId="0F175CF1" w14:textId="77777777" w:rsidR="00AD1F54" w:rsidRPr="00264D5D" w:rsidRDefault="00941227">
            <w:pPr>
              <w:spacing w:before="60" w:after="60"/>
              <w:jc w:val="center"/>
              <w:rPr>
                <w:sz w:val="22"/>
                <w:szCs w:val="22"/>
              </w:rPr>
            </w:pPr>
            <w:r w:rsidRPr="00264D5D">
              <w:rPr>
                <w:sz w:val="22"/>
                <w:szCs w:val="22"/>
              </w:rPr>
              <w:t>Н</w:t>
            </w:r>
          </w:p>
        </w:tc>
        <w:tc>
          <w:tcPr>
            <w:tcW w:w="2057" w:type="pct"/>
          </w:tcPr>
          <w:p w14:paraId="0E554EDD" w14:textId="77777777" w:rsidR="00AD1F54" w:rsidRPr="00264D5D" w:rsidRDefault="00FB163B">
            <w:pPr>
              <w:spacing w:before="60" w:after="60"/>
              <w:rPr>
                <w:sz w:val="22"/>
                <w:szCs w:val="22"/>
              </w:rPr>
            </w:pPr>
            <w:r w:rsidRPr="00264D5D">
              <w:rPr>
                <w:sz w:val="22"/>
                <w:szCs w:val="22"/>
              </w:rPr>
              <w:t>Код</w:t>
            </w:r>
          </w:p>
        </w:tc>
      </w:tr>
      <w:tr w:rsidR="00AD1F54" w:rsidRPr="00264D5D" w14:paraId="207B6418" w14:textId="77777777" w:rsidTr="00AD1F54">
        <w:trPr>
          <w:cnfStyle w:val="000000010000" w:firstRow="0" w:lastRow="0" w:firstColumn="0" w:lastColumn="0" w:oddVBand="0" w:evenVBand="0" w:oddHBand="0" w:evenHBand="1" w:firstRowFirstColumn="0" w:firstRowLastColumn="0" w:lastRowFirstColumn="0" w:lastRowLastColumn="0"/>
          <w:trHeight w:val="833"/>
        </w:trPr>
        <w:tc>
          <w:tcPr>
            <w:tcW w:w="882" w:type="pct"/>
          </w:tcPr>
          <w:p w14:paraId="357F1459" w14:textId="77777777" w:rsidR="00AD1F54" w:rsidRPr="00264D5D" w:rsidRDefault="00941227">
            <w:pPr>
              <w:spacing w:before="60" w:after="60"/>
              <w:rPr>
                <w:sz w:val="22"/>
                <w:szCs w:val="22"/>
              </w:rPr>
            </w:pPr>
            <w:r w:rsidRPr="00264D5D">
              <w:rPr>
                <w:sz w:val="22"/>
                <w:szCs w:val="22"/>
              </w:rPr>
              <w:t>Наличие сведений на машинном носителе</w:t>
            </w:r>
          </w:p>
        </w:tc>
        <w:tc>
          <w:tcPr>
            <w:tcW w:w="884" w:type="pct"/>
          </w:tcPr>
          <w:p w14:paraId="673C7511" w14:textId="77777777" w:rsidR="00AD1F54" w:rsidRPr="00264D5D" w:rsidRDefault="00941227">
            <w:pPr>
              <w:spacing w:before="60" w:after="60"/>
              <w:rPr>
                <w:sz w:val="22"/>
                <w:szCs w:val="22"/>
              </w:rPr>
            </w:pPr>
            <w:r w:rsidRPr="00264D5D">
              <w:rPr>
                <w:sz w:val="22"/>
                <w:szCs w:val="22"/>
              </w:rPr>
              <w:t>value</w:t>
            </w:r>
          </w:p>
        </w:tc>
        <w:tc>
          <w:tcPr>
            <w:tcW w:w="294" w:type="pct"/>
          </w:tcPr>
          <w:p w14:paraId="15640C1B" w14:textId="77777777" w:rsidR="00AD1F54" w:rsidRPr="00264D5D" w:rsidRDefault="00941227">
            <w:pPr>
              <w:spacing w:before="60" w:after="60"/>
              <w:jc w:val="center"/>
              <w:rPr>
                <w:sz w:val="22"/>
                <w:szCs w:val="22"/>
              </w:rPr>
            </w:pPr>
            <w:r w:rsidRPr="00264D5D">
              <w:rPr>
                <w:sz w:val="22"/>
                <w:szCs w:val="22"/>
              </w:rPr>
              <w:t>А</w:t>
            </w:r>
          </w:p>
        </w:tc>
        <w:tc>
          <w:tcPr>
            <w:tcW w:w="588" w:type="pct"/>
          </w:tcPr>
          <w:p w14:paraId="3A31361C" w14:textId="77777777" w:rsidR="00AD1F54" w:rsidRPr="00264D5D" w:rsidRDefault="00941227">
            <w:pPr>
              <w:spacing w:before="60" w:after="60"/>
              <w:jc w:val="center"/>
              <w:rPr>
                <w:sz w:val="22"/>
                <w:szCs w:val="22"/>
              </w:rPr>
            </w:pPr>
            <w:r w:rsidRPr="00264D5D">
              <w:rPr>
                <w:sz w:val="22"/>
                <w:szCs w:val="22"/>
              </w:rPr>
              <w:t>-</w:t>
            </w:r>
          </w:p>
        </w:tc>
        <w:tc>
          <w:tcPr>
            <w:tcW w:w="294" w:type="pct"/>
          </w:tcPr>
          <w:p w14:paraId="0CF5A2E5" w14:textId="77777777" w:rsidR="00AD1F54" w:rsidRPr="00264D5D" w:rsidRDefault="00941227">
            <w:pPr>
              <w:spacing w:before="60" w:after="60"/>
              <w:jc w:val="center"/>
              <w:rPr>
                <w:sz w:val="22"/>
                <w:szCs w:val="22"/>
              </w:rPr>
            </w:pPr>
            <w:r w:rsidRPr="00264D5D">
              <w:rPr>
                <w:sz w:val="22"/>
                <w:szCs w:val="22"/>
              </w:rPr>
              <w:t>О</w:t>
            </w:r>
          </w:p>
        </w:tc>
        <w:tc>
          <w:tcPr>
            <w:tcW w:w="2057" w:type="pct"/>
          </w:tcPr>
          <w:p w14:paraId="4676F30C" w14:textId="77777777" w:rsidR="00AD1F54" w:rsidRPr="00264D5D" w:rsidRDefault="00941227">
            <w:pPr>
              <w:spacing w:before="60" w:after="60"/>
              <w:rPr>
                <w:sz w:val="22"/>
                <w:szCs w:val="22"/>
              </w:rPr>
            </w:pPr>
            <w:r w:rsidRPr="00264D5D">
              <w:rPr>
                <w:sz w:val="22"/>
                <w:szCs w:val="22"/>
              </w:rPr>
              <w:t>Допустимые значения:</w:t>
            </w:r>
          </w:p>
          <w:p w14:paraId="5C56F49D" w14:textId="77777777" w:rsidR="00AD1F54" w:rsidRPr="00264D5D" w:rsidRDefault="00941227" w:rsidP="00101F62">
            <w:pPr>
              <w:pStyle w:val="af5"/>
              <w:numPr>
                <w:ilvl w:val="0"/>
                <w:numId w:val="148"/>
              </w:numPr>
              <w:spacing w:before="60" w:after="60"/>
              <w:ind w:left="284" w:hanging="227"/>
              <w:rPr>
                <w:sz w:val="22"/>
                <w:szCs w:val="22"/>
              </w:rPr>
            </w:pPr>
            <w:r w:rsidRPr="00264D5D">
              <w:rPr>
                <w:sz w:val="22"/>
                <w:szCs w:val="22"/>
              </w:rPr>
              <w:t>«0» – нет;</w:t>
            </w:r>
          </w:p>
          <w:p w14:paraId="0EF32266" w14:textId="77777777" w:rsidR="00AD1F54" w:rsidRPr="00264D5D" w:rsidRDefault="00941227" w:rsidP="00101F62">
            <w:pPr>
              <w:pStyle w:val="af5"/>
              <w:numPr>
                <w:ilvl w:val="0"/>
                <w:numId w:val="148"/>
              </w:numPr>
              <w:spacing w:before="60" w:after="60"/>
              <w:ind w:left="284" w:hanging="227"/>
              <w:rPr>
                <w:sz w:val="22"/>
                <w:szCs w:val="22"/>
              </w:rPr>
            </w:pPr>
            <w:r w:rsidRPr="00264D5D">
              <w:rPr>
                <w:sz w:val="22"/>
                <w:szCs w:val="22"/>
              </w:rPr>
              <w:t xml:space="preserve">«1» – </w:t>
            </w:r>
            <w:r w:rsidR="00FB163B" w:rsidRPr="00264D5D">
              <w:rPr>
                <w:sz w:val="22"/>
                <w:szCs w:val="22"/>
              </w:rPr>
              <w:t>да</w:t>
            </w:r>
          </w:p>
        </w:tc>
      </w:tr>
    </w:tbl>
    <w:p w14:paraId="38BBB9AC" w14:textId="77777777" w:rsidR="00AD1F54" w:rsidRPr="00264D5D" w:rsidRDefault="00941227">
      <w:pPr>
        <w:pStyle w:val="31"/>
      </w:pPr>
      <w:bookmarkStart w:id="4522" w:name="_Toc219309839"/>
      <w:r w:rsidRPr="00264D5D">
        <w:t>Описание комплексного типа «tContrInfoComplex»</w:t>
      </w:r>
      <w:bookmarkEnd w:id="4522"/>
    </w:p>
    <w:p w14:paraId="14CEC3DE" w14:textId="77777777" w:rsidR="00AD1F54" w:rsidRPr="00264D5D" w:rsidRDefault="00941227">
      <w:pPr>
        <w:pStyle w:val="ASFKNormal"/>
        <w:spacing w:before="60" w:after="120"/>
        <w:contextualSpacing w:val="0"/>
        <w:jc w:val="both"/>
        <w:rPr>
          <w:sz w:val="24"/>
          <w:szCs w:val="24"/>
        </w:rPr>
      </w:pPr>
      <w:r w:rsidRPr="00264D5D">
        <w:rPr>
          <w:sz w:val="24"/>
          <w:szCs w:val="24"/>
        </w:rPr>
        <w:t>Описание комплексного типа «tC</w:t>
      </w:r>
      <w:r w:rsidRPr="00264D5D">
        <w:rPr>
          <w:sz w:val="24"/>
          <w:szCs w:val="24"/>
          <w:lang w:val="en-US"/>
        </w:rPr>
        <w:t>ontr</w:t>
      </w:r>
      <w:r w:rsidRPr="00264D5D">
        <w:rPr>
          <w:sz w:val="24"/>
          <w:szCs w:val="24"/>
        </w:rPr>
        <w:t>I</w:t>
      </w:r>
      <w:r w:rsidRPr="00264D5D">
        <w:rPr>
          <w:sz w:val="24"/>
          <w:szCs w:val="24"/>
          <w:lang w:val="en-US"/>
        </w:rPr>
        <w:t>nfo</w:t>
      </w:r>
      <w:r w:rsidRPr="00264D5D">
        <w:rPr>
          <w:sz w:val="24"/>
          <w:szCs w:val="24"/>
        </w:rPr>
        <w:t>Complex» блока «Признак корректности контролируемой информации».</w:t>
      </w:r>
    </w:p>
    <w:p w14:paraId="5B3CE0F5" w14:textId="3DC95414" w:rsidR="00AD1F54" w:rsidRPr="00264D5D" w:rsidRDefault="00941227">
      <w:pPr>
        <w:pStyle w:val="GOSTNameTable"/>
        <w:numPr>
          <w:ilvl w:val="0"/>
          <w:numId w:val="2"/>
        </w:numPr>
        <w:ind w:left="425" w:hanging="357"/>
        <w:rPr>
          <w:rFonts w:eastAsia="Calibri"/>
          <w:szCs w:val="24"/>
        </w:rPr>
      </w:pPr>
      <w:r w:rsidRPr="00264D5D">
        <w:rPr>
          <w:rFonts w:eastAsia="Calibri"/>
          <w:szCs w:val="24"/>
        </w:rPr>
        <w:fldChar w:fldCharType="begin"/>
      </w:r>
      <w:r w:rsidRPr="00264D5D">
        <w:rPr>
          <w:rFonts w:eastAsia="Calibri"/>
          <w:szCs w:val="24"/>
        </w:rPr>
        <w:instrText xml:space="preserve"> SEQ Таблица \* ARABIC </w:instrText>
      </w:r>
      <w:r w:rsidRPr="00264D5D">
        <w:rPr>
          <w:rFonts w:eastAsia="Calibri"/>
          <w:szCs w:val="24"/>
        </w:rPr>
        <w:fldChar w:fldCharType="separate"/>
      </w:r>
      <w:bookmarkStart w:id="4523" w:name="_Ref465957051"/>
      <w:bookmarkStart w:id="4524" w:name="_Toc30503439"/>
      <w:bookmarkStart w:id="4525" w:name="_Toc30508037"/>
      <w:bookmarkStart w:id="4526" w:name="_Toc219309380"/>
      <w:r w:rsidR="008D797C">
        <w:rPr>
          <w:rFonts w:eastAsia="Calibri"/>
          <w:noProof/>
          <w:szCs w:val="24"/>
        </w:rPr>
        <w:t>350</w:t>
      </w:r>
      <w:bookmarkEnd w:id="4523"/>
      <w:r w:rsidRPr="00264D5D">
        <w:rPr>
          <w:rFonts w:eastAsia="Calibri"/>
          <w:szCs w:val="24"/>
        </w:rPr>
        <w:fldChar w:fldCharType="end"/>
      </w:r>
      <w:r w:rsidRPr="00264D5D">
        <w:rPr>
          <w:rFonts w:eastAsia="Calibri"/>
          <w:szCs w:val="24"/>
        </w:rPr>
        <w:t xml:space="preserve"> – Описание комплексного типа «tC</w:t>
      </w:r>
      <w:r w:rsidRPr="00264D5D">
        <w:rPr>
          <w:rFonts w:eastAsia="Calibri"/>
          <w:szCs w:val="24"/>
          <w:lang w:val="en-US"/>
        </w:rPr>
        <w:t>ontr</w:t>
      </w:r>
      <w:r w:rsidRPr="00264D5D">
        <w:rPr>
          <w:rFonts w:eastAsia="Calibri"/>
          <w:szCs w:val="24"/>
        </w:rPr>
        <w:t>I</w:t>
      </w:r>
      <w:r w:rsidRPr="00264D5D">
        <w:rPr>
          <w:rFonts w:eastAsia="Calibri"/>
          <w:szCs w:val="24"/>
          <w:lang w:val="en-US"/>
        </w:rPr>
        <w:t>nfo</w:t>
      </w:r>
      <w:r w:rsidRPr="00264D5D">
        <w:rPr>
          <w:rFonts w:eastAsia="Calibri"/>
          <w:szCs w:val="24"/>
        </w:rPr>
        <w:t>Complex»</w:t>
      </w:r>
      <w:bookmarkEnd w:id="4524"/>
      <w:bookmarkEnd w:id="4525"/>
      <w:bookmarkEnd w:id="4526"/>
    </w:p>
    <w:tbl>
      <w:tblPr>
        <w:tblStyle w:val="GOSTTable"/>
        <w:tblW w:w="5000" w:type="pct"/>
        <w:tblLayout w:type="fixed"/>
        <w:tblLook w:val="04A0" w:firstRow="1" w:lastRow="0" w:firstColumn="1" w:lastColumn="0" w:noHBand="0" w:noVBand="1"/>
      </w:tblPr>
      <w:tblGrid>
        <w:gridCol w:w="1707"/>
        <w:gridCol w:w="1704"/>
        <w:gridCol w:w="565"/>
        <w:gridCol w:w="1137"/>
        <w:gridCol w:w="567"/>
        <w:gridCol w:w="3970"/>
      </w:tblGrid>
      <w:tr w:rsidR="00AD1F54" w:rsidRPr="00264D5D" w14:paraId="126ACEBC" w14:textId="77777777" w:rsidTr="00AD1F54">
        <w:trPr>
          <w:cnfStyle w:val="100000000000" w:firstRow="1" w:lastRow="0" w:firstColumn="0" w:lastColumn="0" w:oddVBand="0" w:evenVBand="0" w:oddHBand="0" w:evenHBand="0" w:firstRowFirstColumn="0" w:firstRowLastColumn="0" w:lastRowFirstColumn="0" w:lastRowLastColumn="0"/>
          <w:trHeight w:val="282"/>
          <w:tblHeader/>
        </w:trPr>
        <w:tc>
          <w:tcPr>
            <w:tcW w:w="884" w:type="pct"/>
          </w:tcPr>
          <w:p w14:paraId="498EF184" w14:textId="77777777" w:rsidR="00AD1F54" w:rsidRPr="00264D5D" w:rsidRDefault="00941227">
            <w:pPr>
              <w:spacing w:before="60" w:after="60"/>
              <w:jc w:val="center"/>
              <w:rPr>
                <w:b/>
                <w:bCs/>
                <w:sz w:val="22"/>
                <w:szCs w:val="22"/>
              </w:rPr>
            </w:pPr>
            <w:r w:rsidRPr="00264D5D">
              <w:rPr>
                <w:b/>
                <w:bCs/>
                <w:sz w:val="22"/>
                <w:szCs w:val="22"/>
              </w:rPr>
              <w:t>Наименование элемента</w:t>
            </w:r>
          </w:p>
        </w:tc>
        <w:tc>
          <w:tcPr>
            <w:tcW w:w="883" w:type="pct"/>
          </w:tcPr>
          <w:p w14:paraId="0BD43EFB" w14:textId="77777777" w:rsidR="00AD1F54" w:rsidRPr="00264D5D" w:rsidRDefault="00941227">
            <w:pPr>
              <w:spacing w:before="60" w:after="60"/>
              <w:jc w:val="center"/>
              <w:rPr>
                <w:b/>
                <w:bCs/>
                <w:sz w:val="22"/>
                <w:szCs w:val="22"/>
              </w:rPr>
            </w:pPr>
            <w:r w:rsidRPr="00264D5D">
              <w:rPr>
                <w:b/>
                <w:bCs/>
                <w:sz w:val="22"/>
                <w:szCs w:val="22"/>
              </w:rPr>
              <w:t>Сокращенное наименование (код) элемента</w:t>
            </w:r>
          </w:p>
        </w:tc>
        <w:tc>
          <w:tcPr>
            <w:tcW w:w="293" w:type="pct"/>
          </w:tcPr>
          <w:p w14:paraId="6880D77B" w14:textId="77777777" w:rsidR="00AD1F54" w:rsidRPr="00264D5D" w:rsidRDefault="00941227">
            <w:pPr>
              <w:spacing w:before="60" w:after="60"/>
              <w:jc w:val="center"/>
              <w:rPr>
                <w:b/>
                <w:sz w:val="22"/>
                <w:szCs w:val="22"/>
              </w:rPr>
            </w:pPr>
            <w:r w:rsidRPr="00264D5D">
              <w:rPr>
                <w:b/>
                <w:bCs/>
                <w:sz w:val="22"/>
                <w:szCs w:val="22"/>
              </w:rPr>
              <w:t>Тип</w:t>
            </w:r>
          </w:p>
        </w:tc>
        <w:tc>
          <w:tcPr>
            <w:tcW w:w="589" w:type="pct"/>
          </w:tcPr>
          <w:p w14:paraId="31D781A5" w14:textId="77777777" w:rsidR="00AD1F54" w:rsidRPr="00264D5D" w:rsidRDefault="00941227">
            <w:pPr>
              <w:spacing w:before="60" w:after="60"/>
              <w:jc w:val="center"/>
              <w:rPr>
                <w:b/>
                <w:sz w:val="22"/>
                <w:szCs w:val="22"/>
              </w:rPr>
            </w:pPr>
            <w:r w:rsidRPr="00264D5D">
              <w:rPr>
                <w:b/>
                <w:bCs/>
                <w:sz w:val="22"/>
                <w:szCs w:val="22"/>
              </w:rPr>
              <w:t>Формат элемента</w:t>
            </w:r>
          </w:p>
        </w:tc>
        <w:tc>
          <w:tcPr>
            <w:tcW w:w="294" w:type="pct"/>
          </w:tcPr>
          <w:p w14:paraId="3395695D" w14:textId="77777777" w:rsidR="00AD1F54" w:rsidRPr="00264D5D" w:rsidRDefault="00941227">
            <w:pPr>
              <w:spacing w:before="60" w:after="60"/>
              <w:jc w:val="center"/>
              <w:rPr>
                <w:b/>
                <w:sz w:val="22"/>
                <w:szCs w:val="22"/>
              </w:rPr>
            </w:pPr>
            <w:r w:rsidRPr="00264D5D">
              <w:rPr>
                <w:b/>
                <w:bCs/>
                <w:sz w:val="22"/>
                <w:szCs w:val="22"/>
              </w:rPr>
              <w:t>Обязательность</w:t>
            </w:r>
          </w:p>
        </w:tc>
        <w:tc>
          <w:tcPr>
            <w:tcW w:w="2057" w:type="pct"/>
          </w:tcPr>
          <w:p w14:paraId="05F7E723" w14:textId="77777777" w:rsidR="00AD1F54" w:rsidRPr="00264D5D" w:rsidRDefault="00941227">
            <w:pPr>
              <w:spacing w:before="60" w:after="60"/>
              <w:jc w:val="center"/>
              <w:rPr>
                <w:b/>
                <w:bCs/>
                <w:sz w:val="22"/>
                <w:szCs w:val="22"/>
              </w:rPr>
            </w:pPr>
            <w:r w:rsidRPr="00264D5D">
              <w:rPr>
                <w:b/>
                <w:bCs/>
                <w:sz w:val="22"/>
                <w:szCs w:val="22"/>
              </w:rPr>
              <w:t>Дополнительная информация</w:t>
            </w:r>
          </w:p>
        </w:tc>
      </w:tr>
      <w:tr w:rsidR="00AD1F54" w:rsidRPr="00264D5D" w14:paraId="31A7F323" w14:textId="77777777" w:rsidTr="00AD1F54">
        <w:trPr>
          <w:cnfStyle w:val="000000100000" w:firstRow="0" w:lastRow="0" w:firstColumn="0" w:lastColumn="0" w:oddVBand="0" w:evenVBand="0" w:oddHBand="1" w:evenHBand="0" w:firstRowFirstColumn="0" w:firstRowLastColumn="0" w:lastRowFirstColumn="0" w:lastRowLastColumn="0"/>
          <w:trHeight w:val="282"/>
        </w:trPr>
        <w:tc>
          <w:tcPr>
            <w:tcW w:w="884" w:type="pct"/>
          </w:tcPr>
          <w:p w14:paraId="2689AB6F" w14:textId="77777777" w:rsidR="00AD1F54" w:rsidRPr="00264D5D" w:rsidRDefault="00941227">
            <w:pPr>
              <w:spacing w:before="60" w:after="60"/>
              <w:rPr>
                <w:sz w:val="22"/>
                <w:szCs w:val="22"/>
              </w:rPr>
            </w:pPr>
            <w:r w:rsidRPr="00264D5D">
              <w:rPr>
                <w:sz w:val="22"/>
                <w:szCs w:val="22"/>
              </w:rPr>
              <w:t>Код</w:t>
            </w:r>
          </w:p>
        </w:tc>
        <w:tc>
          <w:tcPr>
            <w:tcW w:w="883" w:type="pct"/>
          </w:tcPr>
          <w:p w14:paraId="0A829074" w14:textId="77777777" w:rsidR="00AD1F54" w:rsidRPr="00264D5D" w:rsidRDefault="00941227">
            <w:pPr>
              <w:tabs>
                <w:tab w:val="left" w:pos="1122"/>
              </w:tabs>
              <w:spacing w:before="60" w:after="60"/>
              <w:rPr>
                <w:sz w:val="22"/>
                <w:szCs w:val="22"/>
              </w:rPr>
            </w:pPr>
            <w:r w:rsidRPr="00264D5D">
              <w:rPr>
                <w:sz w:val="22"/>
                <w:szCs w:val="22"/>
              </w:rPr>
              <w:t>code</w:t>
            </w:r>
          </w:p>
        </w:tc>
        <w:tc>
          <w:tcPr>
            <w:tcW w:w="293" w:type="pct"/>
          </w:tcPr>
          <w:p w14:paraId="4DEC5E6C" w14:textId="77777777" w:rsidR="00AD1F54" w:rsidRPr="00264D5D" w:rsidRDefault="00941227">
            <w:pPr>
              <w:spacing w:before="60" w:after="60"/>
              <w:jc w:val="center"/>
              <w:rPr>
                <w:sz w:val="22"/>
                <w:szCs w:val="22"/>
              </w:rPr>
            </w:pPr>
            <w:r w:rsidRPr="00264D5D">
              <w:rPr>
                <w:sz w:val="22"/>
                <w:szCs w:val="22"/>
              </w:rPr>
              <w:t>А</w:t>
            </w:r>
          </w:p>
        </w:tc>
        <w:tc>
          <w:tcPr>
            <w:tcW w:w="589" w:type="pct"/>
          </w:tcPr>
          <w:p w14:paraId="7FEF3C7B" w14:textId="77777777" w:rsidR="00AD1F54" w:rsidRPr="00264D5D" w:rsidRDefault="00941227">
            <w:pPr>
              <w:spacing w:before="60" w:after="60"/>
              <w:jc w:val="center"/>
              <w:rPr>
                <w:sz w:val="22"/>
                <w:szCs w:val="22"/>
              </w:rPr>
            </w:pPr>
            <w:r w:rsidRPr="00264D5D">
              <w:rPr>
                <w:sz w:val="22"/>
                <w:szCs w:val="22"/>
              </w:rPr>
              <w:t>-</w:t>
            </w:r>
          </w:p>
        </w:tc>
        <w:tc>
          <w:tcPr>
            <w:tcW w:w="294" w:type="pct"/>
          </w:tcPr>
          <w:p w14:paraId="17F0466D" w14:textId="77777777" w:rsidR="00AD1F54" w:rsidRPr="00264D5D" w:rsidRDefault="00941227">
            <w:pPr>
              <w:spacing w:before="60" w:after="60"/>
              <w:jc w:val="center"/>
              <w:rPr>
                <w:sz w:val="22"/>
                <w:szCs w:val="22"/>
              </w:rPr>
            </w:pPr>
            <w:r w:rsidRPr="00264D5D">
              <w:rPr>
                <w:sz w:val="22"/>
                <w:szCs w:val="22"/>
              </w:rPr>
              <w:t>Н</w:t>
            </w:r>
          </w:p>
        </w:tc>
        <w:tc>
          <w:tcPr>
            <w:tcW w:w="2057" w:type="pct"/>
          </w:tcPr>
          <w:p w14:paraId="77CA944B" w14:textId="77777777" w:rsidR="00AD1F54" w:rsidRPr="00264D5D" w:rsidRDefault="00FB163B">
            <w:pPr>
              <w:spacing w:before="60" w:after="60"/>
              <w:rPr>
                <w:sz w:val="22"/>
                <w:szCs w:val="22"/>
              </w:rPr>
            </w:pPr>
            <w:r w:rsidRPr="00264D5D">
              <w:rPr>
                <w:sz w:val="22"/>
                <w:szCs w:val="22"/>
              </w:rPr>
              <w:t>Код</w:t>
            </w:r>
          </w:p>
        </w:tc>
      </w:tr>
      <w:tr w:rsidR="00AD1F54" w:rsidRPr="00264D5D" w14:paraId="164C0C4D" w14:textId="77777777" w:rsidTr="00AD1F54">
        <w:trPr>
          <w:cnfStyle w:val="000000010000" w:firstRow="0" w:lastRow="0" w:firstColumn="0" w:lastColumn="0" w:oddVBand="0" w:evenVBand="0" w:oddHBand="0" w:evenHBand="1" w:firstRowFirstColumn="0" w:firstRowLastColumn="0" w:lastRowFirstColumn="0" w:lastRowLastColumn="0"/>
          <w:trHeight w:val="282"/>
        </w:trPr>
        <w:tc>
          <w:tcPr>
            <w:tcW w:w="884" w:type="pct"/>
          </w:tcPr>
          <w:p w14:paraId="13276327" w14:textId="77777777" w:rsidR="00AD1F54" w:rsidRPr="00264D5D" w:rsidRDefault="00941227">
            <w:pPr>
              <w:spacing w:before="60" w:after="60"/>
              <w:rPr>
                <w:sz w:val="22"/>
                <w:szCs w:val="22"/>
              </w:rPr>
            </w:pPr>
            <w:r w:rsidRPr="00264D5D">
              <w:rPr>
                <w:sz w:val="22"/>
                <w:szCs w:val="22"/>
              </w:rPr>
              <w:t>Признак корректности контролируемой информации</w:t>
            </w:r>
          </w:p>
        </w:tc>
        <w:tc>
          <w:tcPr>
            <w:tcW w:w="883" w:type="pct"/>
          </w:tcPr>
          <w:p w14:paraId="6913960C" w14:textId="77777777" w:rsidR="00AD1F54" w:rsidRPr="00264D5D" w:rsidRDefault="00941227">
            <w:pPr>
              <w:spacing w:before="60" w:after="60"/>
              <w:rPr>
                <w:sz w:val="22"/>
                <w:szCs w:val="22"/>
              </w:rPr>
            </w:pPr>
            <w:r w:rsidRPr="00264D5D">
              <w:rPr>
                <w:sz w:val="22"/>
                <w:szCs w:val="22"/>
              </w:rPr>
              <w:t>value</w:t>
            </w:r>
          </w:p>
        </w:tc>
        <w:tc>
          <w:tcPr>
            <w:tcW w:w="293" w:type="pct"/>
          </w:tcPr>
          <w:p w14:paraId="2F70441F" w14:textId="77777777" w:rsidR="00AD1F54" w:rsidRPr="00264D5D" w:rsidRDefault="00941227">
            <w:pPr>
              <w:spacing w:before="60" w:after="60"/>
              <w:jc w:val="center"/>
              <w:rPr>
                <w:sz w:val="22"/>
                <w:szCs w:val="22"/>
              </w:rPr>
            </w:pPr>
            <w:r w:rsidRPr="00264D5D">
              <w:rPr>
                <w:sz w:val="22"/>
                <w:szCs w:val="22"/>
              </w:rPr>
              <w:t>А</w:t>
            </w:r>
          </w:p>
        </w:tc>
        <w:tc>
          <w:tcPr>
            <w:tcW w:w="589" w:type="pct"/>
          </w:tcPr>
          <w:p w14:paraId="00F2131C" w14:textId="77777777" w:rsidR="00AD1F54" w:rsidRPr="00264D5D" w:rsidRDefault="00941227">
            <w:pPr>
              <w:spacing w:before="60" w:after="60"/>
              <w:jc w:val="center"/>
              <w:rPr>
                <w:sz w:val="22"/>
                <w:szCs w:val="22"/>
              </w:rPr>
            </w:pPr>
            <w:r w:rsidRPr="00264D5D">
              <w:rPr>
                <w:sz w:val="22"/>
                <w:szCs w:val="22"/>
              </w:rPr>
              <w:t>-</w:t>
            </w:r>
          </w:p>
        </w:tc>
        <w:tc>
          <w:tcPr>
            <w:tcW w:w="294" w:type="pct"/>
          </w:tcPr>
          <w:p w14:paraId="61D3D556" w14:textId="77777777" w:rsidR="00AD1F54" w:rsidRPr="00264D5D" w:rsidRDefault="00941227">
            <w:pPr>
              <w:spacing w:before="60" w:after="60"/>
              <w:jc w:val="center"/>
              <w:rPr>
                <w:sz w:val="22"/>
                <w:szCs w:val="22"/>
              </w:rPr>
            </w:pPr>
            <w:r w:rsidRPr="00264D5D">
              <w:rPr>
                <w:sz w:val="22"/>
                <w:szCs w:val="22"/>
              </w:rPr>
              <w:t>О</w:t>
            </w:r>
          </w:p>
        </w:tc>
        <w:tc>
          <w:tcPr>
            <w:tcW w:w="2057" w:type="pct"/>
          </w:tcPr>
          <w:p w14:paraId="16AC3EFB" w14:textId="77777777" w:rsidR="00AD1F54" w:rsidRPr="00264D5D" w:rsidRDefault="00941227">
            <w:pPr>
              <w:spacing w:before="60" w:after="60"/>
              <w:rPr>
                <w:sz w:val="22"/>
                <w:szCs w:val="22"/>
              </w:rPr>
            </w:pPr>
            <w:r w:rsidRPr="00264D5D">
              <w:rPr>
                <w:sz w:val="22"/>
                <w:szCs w:val="22"/>
              </w:rPr>
              <w:t xml:space="preserve">Допустимые значения: </w:t>
            </w:r>
          </w:p>
          <w:p w14:paraId="68F8CFFD" w14:textId="77777777" w:rsidR="00AD1F54" w:rsidRPr="00264D5D" w:rsidRDefault="00941227" w:rsidP="00101F62">
            <w:pPr>
              <w:pStyle w:val="af5"/>
              <w:numPr>
                <w:ilvl w:val="0"/>
                <w:numId w:val="148"/>
              </w:numPr>
              <w:spacing w:before="60" w:after="60"/>
              <w:ind w:left="284" w:hanging="227"/>
              <w:rPr>
                <w:sz w:val="22"/>
                <w:szCs w:val="22"/>
              </w:rPr>
            </w:pPr>
            <w:r w:rsidRPr="00264D5D">
              <w:rPr>
                <w:sz w:val="22"/>
                <w:szCs w:val="22"/>
              </w:rPr>
              <w:t>«0» – соответствует;</w:t>
            </w:r>
          </w:p>
          <w:p w14:paraId="2C500E94" w14:textId="77777777" w:rsidR="00AD1F54" w:rsidRPr="00264D5D" w:rsidRDefault="00FB163B" w:rsidP="00101F62">
            <w:pPr>
              <w:pStyle w:val="af5"/>
              <w:numPr>
                <w:ilvl w:val="0"/>
                <w:numId w:val="148"/>
              </w:numPr>
              <w:spacing w:before="60" w:after="60"/>
              <w:ind w:left="284" w:hanging="227"/>
              <w:rPr>
                <w:sz w:val="22"/>
                <w:szCs w:val="22"/>
              </w:rPr>
            </w:pPr>
            <w:r w:rsidRPr="00264D5D">
              <w:rPr>
                <w:sz w:val="22"/>
                <w:szCs w:val="22"/>
              </w:rPr>
              <w:t>«1» – не соответствует</w:t>
            </w:r>
          </w:p>
        </w:tc>
      </w:tr>
    </w:tbl>
    <w:p w14:paraId="7E8092DA" w14:textId="77777777" w:rsidR="00AD1F54" w:rsidRPr="00264D5D" w:rsidRDefault="00941227">
      <w:pPr>
        <w:pStyle w:val="31"/>
      </w:pPr>
      <w:r w:rsidRPr="00264D5D">
        <w:t xml:space="preserve"> </w:t>
      </w:r>
      <w:bookmarkStart w:id="4527" w:name="_Toc219309840"/>
      <w:r w:rsidRPr="00264D5D">
        <w:t>Пример XML</w:t>
      </w:r>
      <w:bookmarkEnd w:id="4527"/>
    </w:p>
    <w:p w14:paraId="258EADD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&lt;?xml version ="1.0" encoding="UTF-8"?&gt;</w:t>
      </w:r>
    </w:p>
    <w:p w14:paraId="6DAF88F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&lt;self:exchangePacket xsi:schemaLocation="http://www.roskazna.ru/eb/domain/PUR_INFORM_INVITE/extHeader extHeader.xsd" xmlns:self="http://www.roskazna.ru/eb/domain/PUR_INFORM_INVITE/extHeader" xmlns:cm="http://www.roskazna.ru/eb/domain/common" xmlns:xsi="http://www.w3.org/2001/XMLSchema-instance"&gt;</w:t>
      </w:r>
    </w:p>
    <w:p w14:paraId="022540C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&lt;packetHeader&gt;</w:t>
      </w:r>
    </w:p>
    <w:p w14:paraId="6A31A60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&lt;serviceInfo&gt;</w:t>
      </w:r>
    </w:p>
    <w:p w14:paraId="0DBBD8D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&lt;creationDateTime&gt;2016-08-13T09:30:47Z&lt;/creationDateTime&gt;</w:t>
      </w:r>
    </w:p>
    <w:p w14:paraId="7A7B006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&lt;documentType&gt;PUR_INFORM_INVITE&lt;/documentType&gt;</w:t>
      </w:r>
    </w:p>
    <w:p w14:paraId="5BCB6E1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&lt;/serviceInfo&gt;</w:t>
      </w:r>
    </w:p>
    <w:p w14:paraId="264C7B1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&lt;senderParty&gt;</w:t>
      </w:r>
    </w:p>
    <w:p w14:paraId="5F1B2DC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&lt;organizationParty&gt;</w:t>
      </w:r>
    </w:p>
    <w:p w14:paraId="30B7C78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&lt;SRCode&gt;19006000&lt;/SRCode&gt;</w:t>
      </w:r>
    </w:p>
    <w:p w14:paraId="156EE55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&lt;/organizationParty&gt;</w:t>
      </w:r>
    </w:p>
    <w:p w14:paraId="5A60AC7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&lt;/senderParty&gt;</w:t>
      </w:r>
    </w:p>
    <w:p w14:paraId="49C45E9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&lt;receiverParty&gt;</w:t>
      </w:r>
    </w:p>
    <w:p w14:paraId="0D6DA42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&lt;TOFKParty&gt;</w:t>
      </w:r>
    </w:p>
    <w:p w14:paraId="423ED86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&lt;TOFKCode&gt;0400&lt;/TOFKCode&gt;</w:t>
      </w:r>
    </w:p>
    <w:p w14:paraId="0000299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&lt;/TOFKParty&gt;</w:t>
      </w:r>
    </w:p>
    <w:p w14:paraId="2148D86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&lt;/receiverParty&gt;</w:t>
      </w:r>
    </w:p>
    <w:p w14:paraId="02A2D0F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ab/>
        <w:t>&lt;/packetHeader&gt;</w:t>
      </w:r>
    </w:p>
    <w:p w14:paraId="3B38854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&lt;self:formularCollection&gt;</w:t>
      </w:r>
    </w:p>
    <w:p w14:paraId="025DC8F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&lt;formular metaType="formular" versionID="1.0" xsi:type="self:tPUR_INFORM_INVITE" xsi:schemaLocation="http://www.roskazna.ru/eb/domain/PUR_INFORM_INVITE/formular formulars.xsd" xmlns:self="http://www.roskazna.ru/eb/domain/PUR_INFORM_INVITE/formular" xmlns:xsi="http://www.w3.org/2001/XMLSchema-instance"&gt;</w:t>
      </w:r>
    </w:p>
    <w:p w14:paraId="62F28F5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&lt;GUID&gt;6a4b54c6-d792-4871-bfbf-7c8b708c18d0&lt;/GUID&gt;</w:t>
      </w:r>
    </w:p>
    <w:p w14:paraId="0E726CA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&lt;vidDoc value="02"&gt;text&lt;/vidDoc&gt;</w:t>
      </w:r>
    </w:p>
    <w:p w14:paraId="56C018C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&lt;number&gt;258974563214579865258974563214574555/2017/001&lt;/number&gt;</w:t>
      </w:r>
    </w:p>
    <w:p w14:paraId="2283E57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&lt;createDate&gt;2017-01-10&lt;/createDate&gt;</w:t>
      </w:r>
    </w:p>
    <w:p w14:paraId="39069EC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&lt;orgCode&gt;32100093&lt;/orgCode&gt;</w:t>
      </w:r>
    </w:p>
    <w:p w14:paraId="4E0734D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&lt;orgName&gt; ФЕДЕРАЛЬНОЕ АГЕНТСТВО ЛЕСНОГО ХОЗЯЙСТВА &lt;/orgName&gt;</w:t>
      </w:r>
    </w:p>
    <w:p w14:paraId="05837E3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&lt;INN&gt;1245452569&lt;/INN&gt;</w:t>
      </w:r>
    </w:p>
    <w:p w14:paraId="208ECB5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&lt;KPP&gt;124578965&lt;/KPP&gt;</w:t>
      </w:r>
    </w:p>
    <w:p w14:paraId="211BB90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&lt;accountNumber&gt;12457896511&lt;/accountNumber&gt;</w:t>
      </w:r>
    </w:p>
    <w:p w14:paraId="3F94FA2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&lt;OKOPF &gt;12345&lt;/OKOPF&gt;</w:t>
      </w:r>
    </w:p>
    <w:p w14:paraId="514DC37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&lt;OKFS&gt;56&lt;/OKFS&gt;</w:t>
      </w:r>
    </w:p>
    <w:p w14:paraId="2F50C4D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&lt;NameBud&gt;Федеральный бюджет&lt;/NameBud&gt;</w:t>
      </w:r>
    </w:p>
    <w:p w14:paraId="489D05D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&lt;OKTMOBud&gt;12345678&lt;/OKTMOBud&gt;</w:t>
      </w:r>
    </w:p>
    <w:p w14:paraId="4AF5BB6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&lt;Adress&gt;Москва&lt;/Adress&gt;</w:t>
      </w:r>
    </w:p>
    <w:p w14:paraId="502273D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&lt;OKTMO&gt;12345678910&lt;/OKTMO&gt;</w:t>
      </w:r>
    </w:p>
    <w:p w14:paraId="54C4009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&lt;TablePart&gt;</w:t>
      </w:r>
    </w:p>
    <w:p w14:paraId="7E584F4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&lt;TablePartITEM&gt;</w:t>
      </w:r>
    </w:p>
    <w:p w14:paraId="1CE5C17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&lt;IKZ&gt;258974563214579865258974563214574151&lt;/IKZ&gt;</w:t>
      </w:r>
    </w:p>
    <w:p w14:paraId="353AC88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&lt;MaxPrice&gt;1000000.00&lt;/MaxPrice&gt;</w:t>
      </w:r>
    </w:p>
    <w:p w14:paraId="2B2B603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&lt;/TablePartITEM&gt;</w:t>
      </w:r>
    </w:p>
    <w:p w14:paraId="3A163BC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&lt;/TablePart&gt;</w:t>
      </w:r>
    </w:p>
    <w:p w14:paraId="01FF099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&lt;headPosition&gt;Директор&lt;/headPosition&gt;</w:t>
      </w:r>
    </w:p>
    <w:p w14:paraId="301EF13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&lt;headName&gt;Заказчиков Х.О.&lt;/headName&gt;</w:t>
      </w:r>
    </w:p>
    <w:p w14:paraId="2E17C5C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&lt;approveDate&gt;2017-01-10&lt;/approveDate&gt;</w:t>
      </w:r>
    </w:p>
    <w:p w14:paraId="610A95F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&lt;MarkORFK&gt;</w:t>
      </w:r>
    </w:p>
    <w:p w14:paraId="6E28138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&lt;MarkORFKITEM&gt;</w:t>
      </w:r>
    </w:p>
    <w:p w14:paraId="1282D48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&lt;DateRcp&gt;2017-01-11&lt;/DateRcp&gt;</w:t>
      </w:r>
    </w:p>
    <w:p w14:paraId="401F090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&lt;RegNum&gt;4587&lt;/RegNum&gt;</w:t>
      </w:r>
    </w:p>
    <w:p w14:paraId="01AABCF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&lt;Medium value="0"&gt;text&lt;/Medium&gt;</w:t>
      </w:r>
    </w:p>
    <w:p w14:paraId="0E2044F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&lt;ContrInfo value="1"&gt;text&lt;/ContrInfo&gt;</w:t>
      </w:r>
    </w:p>
    <w:p w14:paraId="0703A86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&lt;NumProt&gt;a&lt;/NumProt&gt;</w:t>
      </w:r>
    </w:p>
    <w:p w14:paraId="325F757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&lt;IDProt&gt;00000000-0000-0000-0000-000000000000&lt;/IDProt&gt;</w:t>
      </w:r>
    </w:p>
    <w:p w14:paraId="132B3DF7"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&lt;headPositionFK&gt;Казначей&lt;/headPositionFK&gt;</w:t>
      </w:r>
    </w:p>
    <w:p w14:paraId="7CF4E26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&lt;headNameFK&gt;Казначеев М.Ю.&lt;/headNameFK&gt;</w:t>
      </w:r>
    </w:p>
    <w:p w14:paraId="599D7F2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&lt;approveDateFK&gt;2017-01-11&lt;/approveDateFK&gt;</w:t>
      </w:r>
    </w:p>
    <w:p w14:paraId="0A24B66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&lt;/MarkORFKITEM&gt;</w:t>
      </w:r>
    </w:p>
    <w:p w14:paraId="3D75FA6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&lt;/MarkORFK&gt;</w:t>
      </w:r>
    </w:p>
    <w:p w14:paraId="72137C8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&lt;/formular&gt;</w:t>
      </w:r>
    </w:p>
    <w:p w14:paraId="709E568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&lt;/self:formularCollection&gt;</w:t>
      </w:r>
    </w:p>
    <w:p w14:paraId="056B9946"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264D5D">
        <w:rPr>
          <w:rFonts w:cs="Courier New"/>
          <w:sz w:val="20"/>
        </w:rPr>
        <w:t>&lt;/self:exchangePacket&gt;</w:t>
      </w:r>
    </w:p>
    <w:p w14:paraId="0BE3C682" w14:textId="77777777" w:rsidR="00D01516" w:rsidRPr="00D01516" w:rsidRDefault="00D01516" w:rsidP="00D01516">
      <w:pPr>
        <w:pStyle w:val="22"/>
        <w:suppressAutoHyphens/>
        <w:jc w:val="left"/>
        <w:rPr>
          <w:highlight w:val="green"/>
          <w:lang w:val="ru-RU"/>
        </w:rPr>
      </w:pPr>
      <w:bookmarkStart w:id="4528" w:name="_Toc185884053"/>
      <w:bookmarkStart w:id="4529" w:name="_Toc201851015"/>
      <w:bookmarkStart w:id="4530" w:name="_Ref216202943"/>
      <w:bookmarkStart w:id="4531" w:name="_Toc47360849"/>
      <w:bookmarkStart w:id="4532" w:name="_Toc51953098"/>
      <w:bookmarkStart w:id="4533" w:name="_Toc219309841"/>
      <w:r w:rsidRPr="00D01516">
        <w:rPr>
          <w:highlight w:val="green"/>
          <w:lang w:val="ru-RU"/>
        </w:rPr>
        <w:t>Описание документа «Выписка из проекта контракта»</w:t>
      </w:r>
      <w:bookmarkEnd w:id="4528"/>
      <w:bookmarkEnd w:id="4529"/>
      <w:bookmarkEnd w:id="4530"/>
      <w:bookmarkEnd w:id="4533"/>
    </w:p>
    <w:p w14:paraId="3C4325EB" w14:textId="77777777" w:rsidR="00D01516" w:rsidRPr="00995E1F" w:rsidRDefault="00D01516" w:rsidP="00D01516">
      <w:pPr>
        <w:pStyle w:val="31"/>
        <w:suppressAutoHyphens/>
        <w:rPr>
          <w:highlight w:val="green"/>
        </w:rPr>
      </w:pPr>
      <w:bookmarkStart w:id="4534" w:name="_Toc185884054"/>
      <w:bookmarkStart w:id="4535" w:name="_Toc201851016"/>
      <w:bookmarkStart w:id="4536" w:name="_Toc219309842"/>
      <w:r w:rsidRPr="00995E1F">
        <w:rPr>
          <w:highlight w:val="green"/>
        </w:rPr>
        <w:t>Назначение и маршрут документа</w:t>
      </w:r>
      <w:bookmarkEnd w:id="4534"/>
      <w:bookmarkEnd w:id="4535"/>
      <w:bookmarkEnd w:id="4536"/>
    </w:p>
    <w:p w14:paraId="77128727" w14:textId="77777777" w:rsidR="00D01516" w:rsidRPr="009D2D00" w:rsidRDefault="00D01516" w:rsidP="00E92FA5">
      <w:pPr>
        <w:spacing w:before="60" w:after="120"/>
        <w:ind w:firstLine="567"/>
      </w:pPr>
      <w:r w:rsidRPr="009D2D00">
        <w:t>Документ «</w:t>
      </w:r>
      <w:r w:rsidRPr="00C92E68">
        <w:t>Выписка из проекта контракта</w:t>
      </w:r>
      <w:r w:rsidRPr="009350C2">
        <w:t xml:space="preserve">» </w:t>
      </w:r>
      <w:r w:rsidRPr="00C7024C">
        <w:t xml:space="preserve">является основанием для постановки на учет принимаемых бюджетных обязательств получателей средств бюджета на основании проекта контракта поставщика (подрядчика, исполнителя), содержащего сведения, </w:t>
      </w:r>
      <w:r w:rsidRPr="00C7024C">
        <w:lastRenderedPageBreak/>
        <w:t>составляющие государственную тайну, и направляемого участнику закупки при осуществлении закупки у единственного поставщика (подрядчика, исполнителя).</w:t>
      </w:r>
    </w:p>
    <w:p w14:paraId="1CD7DAC2" w14:textId="6FCE9D91" w:rsidR="00D01516" w:rsidRPr="00995E1F" w:rsidRDefault="00D01516" w:rsidP="00D01516">
      <w:pPr>
        <w:pStyle w:val="GOSTNameTable"/>
        <w:numPr>
          <w:ilvl w:val="0"/>
          <w:numId w:val="151"/>
        </w:numPr>
        <w:suppressAutoHyphens/>
        <w:spacing w:before="240" w:after="120"/>
        <w:ind w:left="425" w:hanging="357"/>
        <w:rPr>
          <w:rFonts w:eastAsia="Calibri"/>
          <w:highlight w:val="green"/>
        </w:rPr>
      </w:pPr>
      <w:r w:rsidRPr="00995E1F">
        <w:rPr>
          <w:rFonts w:eastAsia="Calibri"/>
          <w:highlight w:val="green"/>
        </w:rPr>
        <w:fldChar w:fldCharType="begin"/>
      </w:r>
      <w:r w:rsidRPr="00995E1F">
        <w:rPr>
          <w:rFonts w:eastAsia="Calibri"/>
          <w:highlight w:val="green"/>
        </w:rPr>
        <w:instrText xml:space="preserve"> SEQ Таблица \* ARABIC </w:instrText>
      </w:r>
      <w:r w:rsidRPr="00995E1F">
        <w:rPr>
          <w:rFonts w:eastAsia="Calibri"/>
          <w:highlight w:val="green"/>
        </w:rPr>
        <w:fldChar w:fldCharType="separate"/>
      </w:r>
      <w:bookmarkStart w:id="4537" w:name="_Toc185882667"/>
      <w:bookmarkStart w:id="4538" w:name="_Toc219309381"/>
      <w:r w:rsidR="008D797C">
        <w:rPr>
          <w:rFonts w:eastAsia="Calibri"/>
          <w:noProof/>
          <w:highlight w:val="green"/>
        </w:rPr>
        <w:t>351</w:t>
      </w:r>
      <w:r w:rsidRPr="00995E1F">
        <w:rPr>
          <w:rFonts w:eastAsia="Calibri"/>
          <w:highlight w:val="green"/>
        </w:rPr>
        <w:fldChar w:fldCharType="end"/>
      </w:r>
      <w:r w:rsidRPr="00995E1F">
        <w:rPr>
          <w:rFonts w:eastAsia="Calibri"/>
          <w:highlight w:val="green"/>
        </w:rPr>
        <w:t xml:space="preserve"> – Маршрут </w:t>
      </w:r>
      <w:r w:rsidRPr="00A31A4B">
        <w:rPr>
          <w:rFonts w:eastAsia="Calibri"/>
          <w:highlight w:val="green"/>
        </w:rPr>
        <w:t>докум</w:t>
      </w:r>
      <w:r w:rsidRPr="00C92E68">
        <w:rPr>
          <w:rFonts w:eastAsia="Calibri"/>
          <w:highlight w:val="green"/>
        </w:rPr>
        <w:t>ента «</w:t>
      </w:r>
      <w:r w:rsidRPr="00CF3559">
        <w:rPr>
          <w:highlight w:val="green"/>
        </w:rPr>
        <w:t>Выписка из проекта контракта</w:t>
      </w:r>
      <w:r w:rsidRPr="00C92E68">
        <w:rPr>
          <w:rFonts w:eastAsia="Calibri"/>
          <w:highlight w:val="green"/>
        </w:rPr>
        <w:t>»</w:t>
      </w:r>
      <w:bookmarkEnd w:id="4537"/>
      <w:bookmarkEnd w:id="4538"/>
    </w:p>
    <w:tbl>
      <w:tblPr>
        <w:tblStyle w:val="GOSTTable"/>
        <w:tblW w:w="5000" w:type="pct"/>
        <w:tblLook w:val="07E0" w:firstRow="1" w:lastRow="1" w:firstColumn="1" w:lastColumn="1" w:noHBand="1" w:noVBand="1"/>
      </w:tblPr>
      <w:tblGrid>
        <w:gridCol w:w="2558"/>
        <w:gridCol w:w="2555"/>
        <w:gridCol w:w="4537"/>
      </w:tblGrid>
      <w:tr w:rsidR="00D01516" w:rsidRPr="009D2D00" w14:paraId="122F68D3" w14:textId="77777777" w:rsidTr="00D01516">
        <w:trPr>
          <w:cnfStyle w:val="100000000000" w:firstRow="1" w:lastRow="0" w:firstColumn="0" w:lastColumn="0" w:oddVBand="0" w:evenVBand="0" w:oddHBand="0" w:evenHBand="0" w:firstRowFirstColumn="0" w:firstRowLastColumn="0" w:lastRowFirstColumn="0" w:lastRowLastColumn="0"/>
        </w:trPr>
        <w:tc>
          <w:tcPr>
            <w:tcW w:w="1325" w:type="pct"/>
          </w:tcPr>
          <w:p w14:paraId="1FEFF40F" w14:textId="77777777" w:rsidR="00D01516" w:rsidRPr="009D2D00" w:rsidRDefault="00D01516" w:rsidP="005056E2">
            <w:pPr>
              <w:pStyle w:val="OTRTableHead"/>
              <w:widowControl w:val="0"/>
              <w:rPr>
                <w:sz w:val="22"/>
                <w:szCs w:val="22"/>
              </w:rPr>
            </w:pPr>
            <w:r w:rsidRPr="009D2D00">
              <w:rPr>
                <w:sz w:val="22"/>
                <w:szCs w:val="22"/>
              </w:rPr>
              <w:t>Отправитель</w:t>
            </w:r>
          </w:p>
        </w:tc>
        <w:tc>
          <w:tcPr>
            <w:tcW w:w="1324" w:type="pct"/>
          </w:tcPr>
          <w:p w14:paraId="5372A409" w14:textId="77777777" w:rsidR="00D01516" w:rsidRPr="009D2D00" w:rsidRDefault="00D01516" w:rsidP="005056E2">
            <w:pPr>
              <w:pStyle w:val="OTRTableHead"/>
              <w:widowControl w:val="0"/>
              <w:rPr>
                <w:sz w:val="22"/>
                <w:szCs w:val="22"/>
              </w:rPr>
            </w:pPr>
            <w:r w:rsidRPr="009D2D00">
              <w:rPr>
                <w:sz w:val="22"/>
                <w:szCs w:val="22"/>
              </w:rPr>
              <w:t>Получатель</w:t>
            </w:r>
          </w:p>
        </w:tc>
        <w:tc>
          <w:tcPr>
            <w:tcW w:w="2352" w:type="pct"/>
          </w:tcPr>
          <w:p w14:paraId="700BDD23" w14:textId="77777777" w:rsidR="00D01516" w:rsidRPr="009D2D00" w:rsidRDefault="00D01516" w:rsidP="005056E2">
            <w:pPr>
              <w:pStyle w:val="OTRTableHead"/>
              <w:widowControl w:val="0"/>
              <w:rPr>
                <w:sz w:val="22"/>
                <w:szCs w:val="22"/>
              </w:rPr>
            </w:pPr>
            <w:r w:rsidRPr="009D2D00">
              <w:rPr>
                <w:sz w:val="22"/>
                <w:szCs w:val="22"/>
              </w:rPr>
              <w:t>Примечание</w:t>
            </w:r>
          </w:p>
        </w:tc>
      </w:tr>
      <w:tr w:rsidR="00D01516" w:rsidRPr="009D2D00" w14:paraId="54F4B07E" w14:textId="77777777" w:rsidTr="00D01516">
        <w:tc>
          <w:tcPr>
            <w:tcW w:w="1325" w:type="pct"/>
          </w:tcPr>
          <w:p w14:paraId="3FD529B7" w14:textId="77777777" w:rsidR="00D01516" w:rsidRPr="009350C2" w:rsidRDefault="00D01516" w:rsidP="005056E2">
            <w:pPr>
              <w:pStyle w:val="GOSTTablenorm"/>
            </w:pPr>
            <w:r w:rsidRPr="009350C2">
              <w:t>ПБС (УБП, НУБП, которому переданы полномочия ПБС)</w:t>
            </w:r>
          </w:p>
        </w:tc>
        <w:tc>
          <w:tcPr>
            <w:tcW w:w="1324" w:type="pct"/>
          </w:tcPr>
          <w:p w14:paraId="6FAE1AC2" w14:textId="77777777" w:rsidR="00D01516" w:rsidRPr="009350C2" w:rsidRDefault="00D01516" w:rsidP="005056E2">
            <w:pPr>
              <w:pStyle w:val="GOSTTablenorm"/>
            </w:pPr>
            <w:r w:rsidRPr="009350C2">
              <w:t>ТОФК</w:t>
            </w:r>
            <w:r>
              <w:t xml:space="preserve"> (ППО АСФК)</w:t>
            </w:r>
          </w:p>
        </w:tc>
        <w:tc>
          <w:tcPr>
            <w:tcW w:w="2352" w:type="pct"/>
          </w:tcPr>
          <w:p w14:paraId="0545770C" w14:textId="77777777" w:rsidR="00D01516" w:rsidRPr="009350C2" w:rsidRDefault="00D01516" w:rsidP="005056E2">
            <w:pPr>
              <w:pStyle w:val="GOSTTablenorm"/>
            </w:pPr>
            <w:r w:rsidRPr="009350C2">
              <w:t>Для закрытых объектов контроля</w:t>
            </w:r>
          </w:p>
        </w:tc>
      </w:tr>
    </w:tbl>
    <w:p w14:paraId="4A23C743" w14:textId="77777777" w:rsidR="00D01516" w:rsidRPr="00050272" w:rsidRDefault="00D01516" w:rsidP="00D01516">
      <w:pPr>
        <w:pStyle w:val="31"/>
        <w:suppressAutoHyphens/>
        <w:rPr>
          <w:highlight w:val="green"/>
        </w:rPr>
      </w:pPr>
      <w:bookmarkStart w:id="4539" w:name="_Toc185884055"/>
      <w:bookmarkStart w:id="4540" w:name="_Toc201851017"/>
      <w:bookmarkStart w:id="4541" w:name="_Toc219309843"/>
      <w:r w:rsidRPr="00050272">
        <w:rPr>
          <w:highlight w:val="green"/>
        </w:rPr>
        <w:t>Описание комплексного типа «t</w:t>
      </w:r>
      <w:r w:rsidRPr="00050272">
        <w:rPr>
          <w:highlight w:val="green"/>
          <w:lang w:val="en-US"/>
        </w:rPr>
        <w:t>Inf</w:t>
      </w:r>
      <w:r w:rsidRPr="00050272">
        <w:rPr>
          <w:highlight w:val="green"/>
        </w:rPr>
        <w:t>_Draft_Contract»</w:t>
      </w:r>
      <w:bookmarkEnd w:id="4539"/>
      <w:bookmarkEnd w:id="4540"/>
      <w:bookmarkEnd w:id="4541"/>
    </w:p>
    <w:p w14:paraId="59A027FC" w14:textId="3618C418" w:rsidR="00D01516" w:rsidRPr="00050272" w:rsidRDefault="00D01516" w:rsidP="00D01516">
      <w:pPr>
        <w:pStyle w:val="GOSTNameTable"/>
        <w:numPr>
          <w:ilvl w:val="0"/>
          <w:numId w:val="151"/>
        </w:numPr>
        <w:suppressAutoHyphens/>
        <w:spacing w:before="240" w:after="120"/>
        <w:ind w:left="425" w:hanging="357"/>
        <w:rPr>
          <w:rFonts w:eastAsia="Calibri"/>
          <w:szCs w:val="24"/>
          <w:highlight w:val="green"/>
        </w:rPr>
      </w:pPr>
      <w:r w:rsidRPr="00050272">
        <w:rPr>
          <w:rFonts w:eastAsia="Calibri"/>
          <w:szCs w:val="24"/>
          <w:highlight w:val="green"/>
        </w:rPr>
        <w:fldChar w:fldCharType="begin"/>
      </w:r>
      <w:r w:rsidRPr="00050272">
        <w:rPr>
          <w:rFonts w:eastAsia="Calibri"/>
          <w:szCs w:val="24"/>
          <w:highlight w:val="green"/>
        </w:rPr>
        <w:instrText xml:space="preserve"> SEQ Таблица \* ARABIC </w:instrText>
      </w:r>
      <w:r w:rsidRPr="00050272">
        <w:rPr>
          <w:rFonts w:eastAsia="Calibri"/>
          <w:szCs w:val="24"/>
          <w:highlight w:val="green"/>
        </w:rPr>
        <w:fldChar w:fldCharType="separate"/>
      </w:r>
      <w:bookmarkStart w:id="4542" w:name="_Toc185882668"/>
      <w:bookmarkStart w:id="4543" w:name="_Toc219309382"/>
      <w:r w:rsidR="008D797C">
        <w:rPr>
          <w:rFonts w:eastAsia="Calibri"/>
          <w:noProof/>
          <w:szCs w:val="24"/>
          <w:highlight w:val="green"/>
        </w:rPr>
        <w:t>352</w:t>
      </w:r>
      <w:r w:rsidRPr="00050272">
        <w:rPr>
          <w:rFonts w:eastAsia="Calibri"/>
          <w:szCs w:val="24"/>
          <w:highlight w:val="green"/>
        </w:rPr>
        <w:fldChar w:fldCharType="end"/>
      </w:r>
      <w:r w:rsidRPr="00050272">
        <w:rPr>
          <w:rFonts w:eastAsia="Calibri"/>
          <w:szCs w:val="24"/>
          <w:highlight w:val="green"/>
        </w:rPr>
        <w:t xml:space="preserve"> – Описание комплексного типа «</w:t>
      </w:r>
      <w:r w:rsidRPr="00050272">
        <w:rPr>
          <w:highlight w:val="green"/>
        </w:rPr>
        <w:t>t</w:t>
      </w:r>
      <w:r w:rsidRPr="00050272">
        <w:rPr>
          <w:highlight w:val="green"/>
          <w:lang w:val="en-US"/>
        </w:rPr>
        <w:t>Inf</w:t>
      </w:r>
      <w:r w:rsidRPr="00050272">
        <w:rPr>
          <w:highlight w:val="green"/>
        </w:rPr>
        <w:t>_Draft_Contract</w:t>
      </w:r>
      <w:r w:rsidRPr="00050272">
        <w:rPr>
          <w:rFonts w:eastAsia="Calibri"/>
          <w:szCs w:val="24"/>
          <w:highlight w:val="green"/>
        </w:rPr>
        <w:t>»</w:t>
      </w:r>
      <w:bookmarkEnd w:id="4542"/>
      <w:bookmarkEnd w:id="4543"/>
    </w:p>
    <w:tbl>
      <w:tblPr>
        <w:tblStyle w:val="GOSTTable"/>
        <w:tblW w:w="5000" w:type="pct"/>
        <w:tblLayout w:type="fixed"/>
        <w:tblLook w:val="07E0" w:firstRow="1" w:lastRow="1" w:firstColumn="1" w:lastColumn="1" w:noHBand="1" w:noVBand="1"/>
      </w:tblPr>
      <w:tblGrid>
        <w:gridCol w:w="1704"/>
        <w:gridCol w:w="1704"/>
        <w:gridCol w:w="570"/>
        <w:gridCol w:w="1136"/>
        <w:gridCol w:w="570"/>
        <w:gridCol w:w="3966"/>
      </w:tblGrid>
      <w:tr w:rsidR="00D01516" w:rsidRPr="009D2D00" w14:paraId="78633CEE" w14:textId="77777777" w:rsidTr="00D01516">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702AD5CC" w14:textId="77777777" w:rsidR="00D01516" w:rsidRPr="009D2D00" w:rsidRDefault="00D01516" w:rsidP="005056E2">
            <w:pPr>
              <w:pStyle w:val="GOSTTableHead"/>
            </w:pPr>
            <w:r w:rsidRPr="009D2D00">
              <w:t>Наименование элемента</w:t>
            </w:r>
          </w:p>
        </w:tc>
        <w:tc>
          <w:tcPr>
            <w:tcW w:w="1700" w:type="dxa"/>
          </w:tcPr>
          <w:p w14:paraId="3658D87D" w14:textId="77777777" w:rsidR="00D01516" w:rsidRPr="009D2D00" w:rsidRDefault="00D01516" w:rsidP="005056E2">
            <w:pPr>
              <w:pStyle w:val="GOSTTableHead"/>
            </w:pPr>
            <w:r w:rsidRPr="009D2D00">
              <w:t>Сокращенное наименование (код) элемента</w:t>
            </w:r>
          </w:p>
        </w:tc>
        <w:tc>
          <w:tcPr>
            <w:tcW w:w="569" w:type="dxa"/>
          </w:tcPr>
          <w:p w14:paraId="0976041D" w14:textId="77777777" w:rsidR="00D01516" w:rsidRPr="009D2D00" w:rsidRDefault="00D01516" w:rsidP="005056E2">
            <w:pPr>
              <w:pStyle w:val="GOSTTableHead"/>
            </w:pPr>
            <w:r w:rsidRPr="009D2D00">
              <w:t>Тип</w:t>
            </w:r>
          </w:p>
        </w:tc>
        <w:tc>
          <w:tcPr>
            <w:tcW w:w="1133" w:type="dxa"/>
          </w:tcPr>
          <w:p w14:paraId="0F8871B4" w14:textId="77777777" w:rsidR="00D01516" w:rsidRPr="009D2D00" w:rsidRDefault="00D01516" w:rsidP="005056E2">
            <w:pPr>
              <w:pStyle w:val="GOSTTableHead"/>
            </w:pPr>
            <w:r w:rsidRPr="009D2D00">
              <w:t>Формат элемента</w:t>
            </w:r>
          </w:p>
        </w:tc>
        <w:tc>
          <w:tcPr>
            <w:tcW w:w="569" w:type="dxa"/>
          </w:tcPr>
          <w:p w14:paraId="007EBD78" w14:textId="77777777" w:rsidR="00D01516" w:rsidRPr="009D2D00" w:rsidRDefault="00D01516" w:rsidP="005056E2">
            <w:pPr>
              <w:pStyle w:val="GOSTTableHead"/>
            </w:pPr>
            <w:r w:rsidRPr="009D2D00">
              <w:t>Обязательность</w:t>
            </w:r>
          </w:p>
        </w:tc>
        <w:tc>
          <w:tcPr>
            <w:tcW w:w="3957" w:type="dxa"/>
          </w:tcPr>
          <w:p w14:paraId="1937451E" w14:textId="77777777" w:rsidR="00D01516" w:rsidRPr="009D2D00" w:rsidRDefault="00D01516" w:rsidP="005056E2">
            <w:pPr>
              <w:pStyle w:val="GOSTTableHead"/>
            </w:pPr>
            <w:r w:rsidRPr="009D2D00">
              <w:t>Дополнительная информация</w:t>
            </w:r>
          </w:p>
        </w:tc>
      </w:tr>
      <w:tr w:rsidR="00D01516" w:rsidRPr="009D2D00" w14:paraId="3F33FCD7" w14:textId="77777777" w:rsidTr="005056E2">
        <w:trPr>
          <w:trHeight w:val="283"/>
        </w:trPr>
        <w:tc>
          <w:tcPr>
            <w:tcW w:w="9628" w:type="dxa"/>
            <w:gridSpan w:val="6"/>
          </w:tcPr>
          <w:p w14:paraId="1225622C" w14:textId="77777777" w:rsidR="00D01516" w:rsidRPr="00050272" w:rsidRDefault="00D01516" w:rsidP="005056E2">
            <w:pPr>
              <w:pStyle w:val="GOSTTablenorm"/>
              <w:rPr>
                <w:b/>
              </w:rPr>
            </w:pPr>
            <w:r w:rsidRPr="00050272">
              <w:rPr>
                <w:b/>
              </w:rPr>
              <w:t>Заголовок</w:t>
            </w:r>
          </w:p>
        </w:tc>
      </w:tr>
      <w:tr w:rsidR="00D01516" w:rsidRPr="009D2D00" w14:paraId="6A5FE426" w14:textId="77777777" w:rsidTr="005056E2">
        <w:trPr>
          <w:trHeight w:val="283"/>
        </w:trPr>
        <w:tc>
          <w:tcPr>
            <w:tcW w:w="1700" w:type="dxa"/>
          </w:tcPr>
          <w:p w14:paraId="48778930" w14:textId="77777777" w:rsidR="00D01516" w:rsidRPr="009D2D00" w:rsidRDefault="00D01516" w:rsidP="005056E2">
            <w:pPr>
              <w:pStyle w:val="GOSTTablenorm"/>
              <w:rPr>
                <w:lang w:val="en-US"/>
              </w:rPr>
            </w:pPr>
            <w:r w:rsidRPr="009D2D00">
              <w:rPr>
                <w:lang w:val="en-US"/>
              </w:rPr>
              <w:t>GUID</w:t>
            </w:r>
          </w:p>
        </w:tc>
        <w:tc>
          <w:tcPr>
            <w:tcW w:w="1700" w:type="dxa"/>
          </w:tcPr>
          <w:p w14:paraId="2CD6E269" w14:textId="77777777" w:rsidR="00D01516" w:rsidRPr="009D2D00" w:rsidRDefault="00D01516" w:rsidP="005056E2">
            <w:pPr>
              <w:pStyle w:val="GOSTTablenorm"/>
              <w:rPr>
                <w:lang w:val="en-US"/>
              </w:rPr>
            </w:pPr>
            <w:r w:rsidRPr="009D2D00">
              <w:rPr>
                <w:lang w:val="en-US"/>
              </w:rPr>
              <w:t>GUID</w:t>
            </w:r>
          </w:p>
        </w:tc>
        <w:tc>
          <w:tcPr>
            <w:tcW w:w="569" w:type="dxa"/>
          </w:tcPr>
          <w:p w14:paraId="4AB8A62B" w14:textId="77777777" w:rsidR="00D01516" w:rsidRPr="009D2D00" w:rsidRDefault="00D01516" w:rsidP="005056E2">
            <w:pPr>
              <w:pStyle w:val="GOSTTablenorm"/>
            </w:pPr>
            <w:r w:rsidRPr="009D2D00">
              <w:t>П</w:t>
            </w:r>
          </w:p>
        </w:tc>
        <w:tc>
          <w:tcPr>
            <w:tcW w:w="1133" w:type="dxa"/>
          </w:tcPr>
          <w:p w14:paraId="28CB992A" w14:textId="77777777" w:rsidR="00D01516" w:rsidRPr="009D2D00" w:rsidRDefault="00D01516" w:rsidP="005056E2">
            <w:pPr>
              <w:pStyle w:val="GOSTTablenorm"/>
            </w:pPr>
            <w:r w:rsidRPr="009D2D00">
              <w:t>Т(36)</w:t>
            </w:r>
          </w:p>
        </w:tc>
        <w:tc>
          <w:tcPr>
            <w:tcW w:w="569" w:type="dxa"/>
          </w:tcPr>
          <w:p w14:paraId="25BF960F" w14:textId="77777777" w:rsidR="00D01516" w:rsidRPr="009D2D00" w:rsidRDefault="00D01516" w:rsidP="005056E2">
            <w:pPr>
              <w:pStyle w:val="GOSTTablenorm"/>
            </w:pPr>
            <w:r w:rsidRPr="009D2D00">
              <w:t>Н</w:t>
            </w:r>
          </w:p>
        </w:tc>
        <w:tc>
          <w:tcPr>
            <w:tcW w:w="3957" w:type="dxa"/>
          </w:tcPr>
          <w:p w14:paraId="41EC80F6" w14:textId="77777777" w:rsidR="00D01516" w:rsidRPr="009D2D00" w:rsidRDefault="00D01516" w:rsidP="005056E2">
            <w:pPr>
              <w:pStyle w:val="GOSTTablenorm"/>
            </w:pPr>
            <w:r w:rsidRPr="009D2D00">
              <w:t>GUID – Глобальный уникальный идентификатор.</w:t>
            </w:r>
          </w:p>
          <w:p w14:paraId="291C2A18" w14:textId="77777777" w:rsidR="00D01516" w:rsidRPr="009D2D00" w:rsidRDefault="00D01516" w:rsidP="005056E2">
            <w:pPr>
              <w:pStyle w:val="GOSTTablenorm"/>
            </w:pPr>
            <w:r w:rsidRPr="009D2D00">
              <w:t>Служебное поле, может заполняться клиентом или ТОФК.</w:t>
            </w:r>
          </w:p>
          <w:p w14:paraId="3887B48F" w14:textId="77777777" w:rsidR="00D01516" w:rsidRPr="009D2D00" w:rsidRDefault="00D01516" w:rsidP="005056E2">
            <w:pPr>
              <w:pStyle w:val="GOSTTablenorm"/>
            </w:pPr>
            <w:r w:rsidRPr="009D2D00">
              <w:t>Заполняется ТОФК в случае отсутствия значения, присвоенного клиентом.</w:t>
            </w:r>
          </w:p>
          <w:p w14:paraId="4926A39F" w14:textId="77777777" w:rsidR="00D01516" w:rsidRPr="009D2D00" w:rsidRDefault="00D01516" w:rsidP="005056E2">
            <w:pPr>
              <w:pStyle w:val="GOSTTablenorm"/>
            </w:pPr>
            <w:r w:rsidRPr="009D2D00">
              <w:t>При поступлении в ТОФК документа с неуникальным значением идентификатора документа, документ не принимается к исполнению в си</w:t>
            </w:r>
            <w:r>
              <w:t>стеме Федерального казначейства</w:t>
            </w:r>
          </w:p>
        </w:tc>
      </w:tr>
      <w:tr w:rsidR="00D01516" w:rsidRPr="009D2D00" w14:paraId="12FE5966" w14:textId="77777777" w:rsidTr="005056E2">
        <w:trPr>
          <w:trHeight w:val="283"/>
        </w:trPr>
        <w:tc>
          <w:tcPr>
            <w:tcW w:w="1700" w:type="dxa"/>
          </w:tcPr>
          <w:p w14:paraId="7BC07A64" w14:textId="77777777" w:rsidR="00D01516" w:rsidRPr="009D2D00" w:rsidRDefault="00D01516" w:rsidP="005056E2">
            <w:pPr>
              <w:pStyle w:val="GOSTTablenorm"/>
            </w:pPr>
            <w:r w:rsidRPr="009D2D00">
              <w:t>Вид документа</w:t>
            </w:r>
          </w:p>
        </w:tc>
        <w:tc>
          <w:tcPr>
            <w:tcW w:w="1700" w:type="dxa"/>
          </w:tcPr>
          <w:p w14:paraId="22244072" w14:textId="77777777" w:rsidR="00D01516" w:rsidRPr="009D2D00" w:rsidRDefault="00D01516" w:rsidP="005056E2">
            <w:pPr>
              <w:pStyle w:val="GOSTTablenorm"/>
            </w:pPr>
            <w:r w:rsidRPr="009D2D00">
              <w:t>vidDoc</w:t>
            </w:r>
          </w:p>
        </w:tc>
        <w:tc>
          <w:tcPr>
            <w:tcW w:w="569" w:type="dxa"/>
          </w:tcPr>
          <w:p w14:paraId="63C92177" w14:textId="77777777" w:rsidR="00D01516" w:rsidRPr="009D2D00" w:rsidRDefault="00D01516" w:rsidP="005056E2">
            <w:pPr>
              <w:pStyle w:val="GOSTTablenorm"/>
            </w:pPr>
            <w:r w:rsidRPr="009D2D00">
              <w:t>С</w:t>
            </w:r>
          </w:p>
        </w:tc>
        <w:tc>
          <w:tcPr>
            <w:tcW w:w="1133" w:type="dxa"/>
          </w:tcPr>
          <w:p w14:paraId="3615BA15" w14:textId="77777777" w:rsidR="00D01516" w:rsidRPr="009D2D00" w:rsidRDefault="00D01516" w:rsidP="005056E2">
            <w:pPr>
              <w:pStyle w:val="GOSTTablenorm"/>
            </w:pPr>
            <w:r w:rsidRPr="009D2D00">
              <w:t>tV</w:t>
            </w:r>
            <w:r w:rsidRPr="009D2D00">
              <w:rPr>
                <w:lang w:val="en-US"/>
              </w:rPr>
              <w:t>id</w:t>
            </w:r>
            <w:r w:rsidRPr="009D2D00">
              <w:t>D</w:t>
            </w:r>
            <w:r w:rsidRPr="009D2D00">
              <w:rPr>
                <w:lang w:val="en-US"/>
              </w:rPr>
              <w:t>oc</w:t>
            </w:r>
            <w:r w:rsidRPr="009D2D00">
              <w:t>Complex</w:t>
            </w:r>
          </w:p>
        </w:tc>
        <w:tc>
          <w:tcPr>
            <w:tcW w:w="569" w:type="dxa"/>
          </w:tcPr>
          <w:p w14:paraId="7A908806" w14:textId="77777777" w:rsidR="00D01516" w:rsidRPr="009D2D00" w:rsidRDefault="00D01516" w:rsidP="005056E2">
            <w:pPr>
              <w:pStyle w:val="GOSTTablenorm"/>
            </w:pPr>
            <w:r w:rsidRPr="009D2D00">
              <w:t>О</w:t>
            </w:r>
          </w:p>
        </w:tc>
        <w:tc>
          <w:tcPr>
            <w:tcW w:w="3957" w:type="dxa"/>
          </w:tcPr>
          <w:p w14:paraId="15BF4A90" w14:textId="77777777" w:rsidR="00D01516" w:rsidRPr="009D2D00" w:rsidRDefault="00D01516" w:rsidP="005056E2">
            <w:pPr>
              <w:pStyle w:val="GOSTTablenorm"/>
            </w:pPr>
            <w:r w:rsidRPr="009D2D00">
              <w:t>Указывается вид документа.</w:t>
            </w:r>
          </w:p>
          <w:p w14:paraId="669C3DDE" w14:textId="5B1292E1" w:rsidR="00D01516" w:rsidRPr="009D2D00" w:rsidRDefault="00D01516" w:rsidP="00D01516">
            <w:pPr>
              <w:pStyle w:val="GOSTTablenorm"/>
            </w:pPr>
            <w:r w:rsidRPr="009D2D00">
              <w:t xml:space="preserve">Состав элемента представлен в таблице </w:t>
            </w:r>
            <w:r>
              <w:fldChar w:fldCharType="begin"/>
            </w:r>
            <w:r>
              <w:instrText xml:space="preserve"> REF _Ref216204755 \h </w:instrText>
            </w:r>
            <w:r>
              <w:fldChar w:fldCharType="separate"/>
            </w:r>
            <w:r w:rsidR="008D797C">
              <w:rPr>
                <w:rFonts w:eastAsia="Calibri"/>
                <w:noProof/>
                <w:szCs w:val="24"/>
                <w:highlight w:val="green"/>
              </w:rPr>
              <w:t>353</w:t>
            </w:r>
            <w:r>
              <w:fldChar w:fldCharType="end"/>
            </w:r>
          </w:p>
        </w:tc>
      </w:tr>
      <w:tr w:rsidR="00D01516" w:rsidRPr="009D2D00" w14:paraId="37FE0E48" w14:textId="77777777" w:rsidTr="005056E2">
        <w:trPr>
          <w:trHeight w:val="283"/>
        </w:trPr>
        <w:tc>
          <w:tcPr>
            <w:tcW w:w="1700" w:type="dxa"/>
          </w:tcPr>
          <w:p w14:paraId="42B8592C" w14:textId="77777777" w:rsidR="00D01516" w:rsidRPr="009D2D00" w:rsidRDefault="00D01516" w:rsidP="005056E2">
            <w:pPr>
              <w:pStyle w:val="GOSTTablenorm"/>
            </w:pPr>
            <w:r w:rsidRPr="009D2D00">
              <w:t>Номер</w:t>
            </w:r>
          </w:p>
        </w:tc>
        <w:tc>
          <w:tcPr>
            <w:tcW w:w="1700" w:type="dxa"/>
          </w:tcPr>
          <w:p w14:paraId="3541D2E3" w14:textId="77777777" w:rsidR="00D01516" w:rsidRPr="009D2D00" w:rsidRDefault="00D01516" w:rsidP="005056E2">
            <w:pPr>
              <w:pStyle w:val="GOSTTablenorm"/>
            </w:pPr>
            <w:r w:rsidRPr="009D2D00">
              <w:t>number</w:t>
            </w:r>
          </w:p>
        </w:tc>
        <w:tc>
          <w:tcPr>
            <w:tcW w:w="569" w:type="dxa"/>
          </w:tcPr>
          <w:p w14:paraId="39442981" w14:textId="77777777" w:rsidR="00D01516" w:rsidRPr="009D2D00" w:rsidRDefault="00D01516" w:rsidP="005056E2">
            <w:pPr>
              <w:pStyle w:val="GOSTTablenorm"/>
            </w:pPr>
            <w:r w:rsidRPr="009D2D00">
              <w:t>П</w:t>
            </w:r>
          </w:p>
        </w:tc>
        <w:tc>
          <w:tcPr>
            <w:tcW w:w="1133" w:type="dxa"/>
          </w:tcPr>
          <w:p w14:paraId="06F907F1" w14:textId="77777777" w:rsidR="00D01516" w:rsidRPr="009D2D00" w:rsidRDefault="00D01516" w:rsidP="005056E2">
            <w:pPr>
              <w:pStyle w:val="GOSTTablenorm"/>
            </w:pPr>
            <w:r w:rsidRPr="009D2D00">
              <w:t>Т(1-45)</w:t>
            </w:r>
          </w:p>
        </w:tc>
        <w:tc>
          <w:tcPr>
            <w:tcW w:w="569" w:type="dxa"/>
          </w:tcPr>
          <w:p w14:paraId="1AB2665F" w14:textId="77777777" w:rsidR="00D01516" w:rsidRPr="009D2D00" w:rsidRDefault="00D01516" w:rsidP="005056E2">
            <w:pPr>
              <w:pStyle w:val="GOSTTablenorm"/>
            </w:pPr>
            <w:r w:rsidRPr="009D2D00">
              <w:t>О</w:t>
            </w:r>
          </w:p>
        </w:tc>
        <w:tc>
          <w:tcPr>
            <w:tcW w:w="3957" w:type="dxa"/>
          </w:tcPr>
          <w:p w14:paraId="490DF85E" w14:textId="77777777" w:rsidR="00D01516" w:rsidRPr="009D2D00" w:rsidRDefault="00D01516" w:rsidP="005056E2">
            <w:pPr>
              <w:pStyle w:val="GOSTTablenorm"/>
            </w:pPr>
            <w:r>
              <w:t>Указывается номер документа</w:t>
            </w:r>
          </w:p>
        </w:tc>
      </w:tr>
      <w:tr w:rsidR="00D01516" w:rsidRPr="009D2D00" w14:paraId="692BEF76" w14:textId="77777777" w:rsidTr="005056E2">
        <w:trPr>
          <w:trHeight w:val="283"/>
        </w:trPr>
        <w:tc>
          <w:tcPr>
            <w:tcW w:w="1700" w:type="dxa"/>
          </w:tcPr>
          <w:p w14:paraId="2876BBB8" w14:textId="77777777" w:rsidR="00D01516" w:rsidRPr="009D2D00" w:rsidRDefault="00D01516" w:rsidP="005056E2">
            <w:pPr>
              <w:pStyle w:val="GOSTTablenorm"/>
            </w:pPr>
            <w:r w:rsidRPr="009D2D00">
              <w:t>Дата</w:t>
            </w:r>
          </w:p>
        </w:tc>
        <w:tc>
          <w:tcPr>
            <w:tcW w:w="1700" w:type="dxa"/>
          </w:tcPr>
          <w:p w14:paraId="6E0C5A55" w14:textId="77777777" w:rsidR="00D01516" w:rsidRPr="009D2D00" w:rsidRDefault="00D01516" w:rsidP="005056E2">
            <w:pPr>
              <w:pStyle w:val="GOSTTablenorm"/>
            </w:pPr>
            <w:r w:rsidRPr="009D2D00">
              <w:t>createDate</w:t>
            </w:r>
          </w:p>
        </w:tc>
        <w:tc>
          <w:tcPr>
            <w:tcW w:w="569" w:type="dxa"/>
          </w:tcPr>
          <w:p w14:paraId="6AF25C92" w14:textId="77777777" w:rsidR="00D01516" w:rsidRPr="009D2D00" w:rsidRDefault="00D01516" w:rsidP="005056E2">
            <w:pPr>
              <w:pStyle w:val="GOSTTablenorm"/>
            </w:pPr>
            <w:r w:rsidRPr="009D2D00">
              <w:t>П</w:t>
            </w:r>
          </w:p>
        </w:tc>
        <w:tc>
          <w:tcPr>
            <w:tcW w:w="1133" w:type="dxa"/>
          </w:tcPr>
          <w:p w14:paraId="6ED64A3E" w14:textId="77777777" w:rsidR="00D01516" w:rsidRPr="009D2D00" w:rsidRDefault="00D01516" w:rsidP="005056E2">
            <w:pPr>
              <w:pStyle w:val="GOSTTablenorm"/>
            </w:pPr>
            <w:r w:rsidRPr="009D2D00">
              <w:rPr>
                <w:lang w:val="en-US"/>
              </w:rPr>
              <w:t>D</w:t>
            </w:r>
            <w:r w:rsidRPr="009D2D00">
              <w:t>ate</w:t>
            </w:r>
          </w:p>
        </w:tc>
        <w:tc>
          <w:tcPr>
            <w:tcW w:w="569" w:type="dxa"/>
          </w:tcPr>
          <w:p w14:paraId="2DEB1A72" w14:textId="77777777" w:rsidR="00D01516" w:rsidRPr="009D2D00" w:rsidRDefault="00D01516" w:rsidP="005056E2">
            <w:pPr>
              <w:pStyle w:val="GOSTTablenorm"/>
            </w:pPr>
            <w:r w:rsidRPr="009D2D00">
              <w:t>О</w:t>
            </w:r>
          </w:p>
        </w:tc>
        <w:tc>
          <w:tcPr>
            <w:tcW w:w="3957" w:type="dxa"/>
          </w:tcPr>
          <w:p w14:paraId="2F624CE0" w14:textId="77777777" w:rsidR="00D01516" w:rsidRPr="009D2D00" w:rsidRDefault="00D01516" w:rsidP="005056E2">
            <w:pPr>
              <w:pStyle w:val="GOSTTablenorm"/>
            </w:pPr>
            <w:r>
              <w:t>Указывается дата документа</w:t>
            </w:r>
          </w:p>
        </w:tc>
      </w:tr>
      <w:tr w:rsidR="00D01516" w:rsidRPr="009D2D00" w14:paraId="08DD9D4C" w14:textId="77777777" w:rsidTr="005056E2">
        <w:trPr>
          <w:trHeight w:val="283"/>
        </w:trPr>
        <w:tc>
          <w:tcPr>
            <w:tcW w:w="1700" w:type="dxa"/>
          </w:tcPr>
          <w:p w14:paraId="558E63A6" w14:textId="77777777" w:rsidR="00D01516" w:rsidRPr="009D2D00" w:rsidRDefault="00D01516" w:rsidP="005056E2">
            <w:pPr>
              <w:pStyle w:val="GOSTTablenorm"/>
            </w:pPr>
            <w:r w:rsidRPr="009D2D00">
              <w:t>Код заказчика</w:t>
            </w:r>
          </w:p>
        </w:tc>
        <w:tc>
          <w:tcPr>
            <w:tcW w:w="1700" w:type="dxa"/>
          </w:tcPr>
          <w:p w14:paraId="5291B2B7" w14:textId="77777777" w:rsidR="00D01516" w:rsidRPr="009D2D00" w:rsidRDefault="00D01516" w:rsidP="005056E2">
            <w:pPr>
              <w:pStyle w:val="GOSTTablenorm"/>
            </w:pPr>
            <w:r w:rsidRPr="009D2D00">
              <w:t>orgCode</w:t>
            </w:r>
          </w:p>
        </w:tc>
        <w:tc>
          <w:tcPr>
            <w:tcW w:w="569" w:type="dxa"/>
          </w:tcPr>
          <w:p w14:paraId="3A820766" w14:textId="77777777" w:rsidR="00D01516" w:rsidRPr="009D2D00" w:rsidRDefault="00D01516" w:rsidP="005056E2">
            <w:pPr>
              <w:pStyle w:val="GOSTTablenorm"/>
            </w:pPr>
            <w:r w:rsidRPr="009D2D00">
              <w:t>П</w:t>
            </w:r>
          </w:p>
        </w:tc>
        <w:tc>
          <w:tcPr>
            <w:tcW w:w="1133" w:type="dxa"/>
          </w:tcPr>
          <w:p w14:paraId="2962A3A1" w14:textId="77777777" w:rsidR="00D01516" w:rsidRPr="009D2D00" w:rsidRDefault="00D01516" w:rsidP="005056E2">
            <w:pPr>
              <w:pStyle w:val="GOSTTablenorm"/>
            </w:pPr>
            <w:r w:rsidRPr="009D2D00">
              <w:t>Т(8)</w:t>
            </w:r>
          </w:p>
        </w:tc>
        <w:tc>
          <w:tcPr>
            <w:tcW w:w="569" w:type="dxa"/>
          </w:tcPr>
          <w:p w14:paraId="482C2D95" w14:textId="77777777" w:rsidR="00D01516" w:rsidRPr="009D2D00" w:rsidRDefault="00D01516" w:rsidP="005056E2">
            <w:pPr>
              <w:pStyle w:val="GOSTTablenorm"/>
            </w:pPr>
            <w:r w:rsidRPr="009D2D00">
              <w:t>О</w:t>
            </w:r>
          </w:p>
        </w:tc>
        <w:tc>
          <w:tcPr>
            <w:tcW w:w="3957" w:type="dxa"/>
          </w:tcPr>
          <w:p w14:paraId="61DD7BA7" w14:textId="77777777" w:rsidR="00D01516" w:rsidRPr="009D2D00" w:rsidRDefault="00D01516" w:rsidP="005056E2">
            <w:pPr>
              <w:pStyle w:val="GOSTTablenorm"/>
            </w:pPr>
            <w:r w:rsidRPr="009D2D00">
              <w:t>Указывается уникальный код заказчика в с</w:t>
            </w:r>
            <w:r>
              <w:t>оответствии со Сводным реестром</w:t>
            </w:r>
          </w:p>
        </w:tc>
      </w:tr>
      <w:tr w:rsidR="00D01516" w:rsidRPr="009D2D00" w14:paraId="79AA5AEB" w14:textId="77777777" w:rsidTr="005056E2">
        <w:trPr>
          <w:trHeight w:val="283"/>
        </w:trPr>
        <w:tc>
          <w:tcPr>
            <w:tcW w:w="1700" w:type="dxa"/>
          </w:tcPr>
          <w:p w14:paraId="38E8281A" w14:textId="77777777" w:rsidR="00D01516" w:rsidRPr="009D2D00" w:rsidRDefault="00D01516" w:rsidP="005056E2">
            <w:pPr>
              <w:pStyle w:val="GOSTTablenorm"/>
            </w:pPr>
            <w:r w:rsidRPr="009D2D00">
              <w:t>Наименование заказчика</w:t>
            </w:r>
          </w:p>
        </w:tc>
        <w:tc>
          <w:tcPr>
            <w:tcW w:w="1700" w:type="dxa"/>
          </w:tcPr>
          <w:p w14:paraId="3D574FD4" w14:textId="77777777" w:rsidR="00D01516" w:rsidRPr="009D2D00" w:rsidRDefault="00D01516" w:rsidP="005056E2">
            <w:pPr>
              <w:pStyle w:val="GOSTTablenorm"/>
            </w:pPr>
            <w:r w:rsidRPr="009D2D00">
              <w:t>orgName</w:t>
            </w:r>
          </w:p>
        </w:tc>
        <w:tc>
          <w:tcPr>
            <w:tcW w:w="569" w:type="dxa"/>
          </w:tcPr>
          <w:p w14:paraId="599E3E72" w14:textId="77777777" w:rsidR="00D01516" w:rsidRPr="009D2D00" w:rsidRDefault="00D01516" w:rsidP="005056E2">
            <w:pPr>
              <w:pStyle w:val="GOSTTablenorm"/>
            </w:pPr>
            <w:r w:rsidRPr="009D2D00">
              <w:t>П</w:t>
            </w:r>
          </w:p>
        </w:tc>
        <w:tc>
          <w:tcPr>
            <w:tcW w:w="1133" w:type="dxa"/>
          </w:tcPr>
          <w:p w14:paraId="26CE91BA" w14:textId="77777777" w:rsidR="00D01516" w:rsidRPr="009D2D00" w:rsidRDefault="00D01516" w:rsidP="005056E2">
            <w:pPr>
              <w:pStyle w:val="GOSTTablenorm"/>
            </w:pPr>
            <w:r w:rsidRPr="009D2D00">
              <w:t>Т(1-2000)</w:t>
            </w:r>
          </w:p>
        </w:tc>
        <w:tc>
          <w:tcPr>
            <w:tcW w:w="569" w:type="dxa"/>
          </w:tcPr>
          <w:p w14:paraId="5DB95F24" w14:textId="77777777" w:rsidR="00D01516" w:rsidRPr="009D2D00" w:rsidRDefault="00D01516" w:rsidP="005056E2">
            <w:pPr>
              <w:pStyle w:val="GOSTTablenorm"/>
            </w:pPr>
            <w:r w:rsidRPr="009D2D00">
              <w:t>О</w:t>
            </w:r>
          </w:p>
        </w:tc>
        <w:tc>
          <w:tcPr>
            <w:tcW w:w="3957" w:type="dxa"/>
          </w:tcPr>
          <w:p w14:paraId="2B83C85D" w14:textId="77777777" w:rsidR="00D01516" w:rsidRPr="009D2D00" w:rsidRDefault="00D01516" w:rsidP="005056E2">
            <w:pPr>
              <w:pStyle w:val="GOSTTablenorm"/>
            </w:pPr>
            <w:r w:rsidRPr="009D2D00">
              <w:t>Указывается наименование заказчика в с</w:t>
            </w:r>
            <w:r>
              <w:t>оответствии со Сводным реестром</w:t>
            </w:r>
          </w:p>
        </w:tc>
      </w:tr>
      <w:tr w:rsidR="00D01516" w:rsidRPr="009D2D00" w14:paraId="4ED476BD" w14:textId="77777777" w:rsidTr="005056E2">
        <w:trPr>
          <w:trHeight w:val="283"/>
        </w:trPr>
        <w:tc>
          <w:tcPr>
            <w:tcW w:w="1700" w:type="dxa"/>
          </w:tcPr>
          <w:p w14:paraId="176EDFFC" w14:textId="77777777" w:rsidR="00D01516" w:rsidRPr="009D2D00" w:rsidRDefault="00D01516" w:rsidP="005056E2">
            <w:pPr>
              <w:pStyle w:val="GOSTTablenorm"/>
            </w:pPr>
            <w:r w:rsidRPr="009D2D00">
              <w:t>ИНН заказчика</w:t>
            </w:r>
          </w:p>
        </w:tc>
        <w:tc>
          <w:tcPr>
            <w:tcW w:w="1700" w:type="dxa"/>
          </w:tcPr>
          <w:p w14:paraId="13938EB5" w14:textId="77777777" w:rsidR="00D01516" w:rsidRPr="009D2D00" w:rsidRDefault="00D01516" w:rsidP="005056E2">
            <w:pPr>
              <w:pStyle w:val="GOSTTablenorm"/>
            </w:pPr>
            <w:r w:rsidRPr="009D2D00">
              <w:t>INN</w:t>
            </w:r>
          </w:p>
        </w:tc>
        <w:tc>
          <w:tcPr>
            <w:tcW w:w="569" w:type="dxa"/>
          </w:tcPr>
          <w:p w14:paraId="1ED66629" w14:textId="77777777" w:rsidR="00D01516" w:rsidRPr="009D2D00" w:rsidRDefault="00D01516" w:rsidP="005056E2">
            <w:pPr>
              <w:pStyle w:val="GOSTTablenorm"/>
            </w:pPr>
            <w:r w:rsidRPr="009D2D00">
              <w:t>П</w:t>
            </w:r>
          </w:p>
        </w:tc>
        <w:tc>
          <w:tcPr>
            <w:tcW w:w="1133" w:type="dxa"/>
          </w:tcPr>
          <w:p w14:paraId="2219F369" w14:textId="77777777" w:rsidR="00D01516" w:rsidRPr="009D2D00" w:rsidRDefault="00D01516" w:rsidP="005056E2">
            <w:pPr>
              <w:pStyle w:val="GOSTTablenorm"/>
            </w:pPr>
            <w:r w:rsidRPr="009D2D00">
              <w:t>Т(1</w:t>
            </w:r>
            <w:r>
              <w:t>0</w:t>
            </w:r>
            <w:r w:rsidRPr="009D2D00">
              <w:t>)</w:t>
            </w:r>
          </w:p>
        </w:tc>
        <w:tc>
          <w:tcPr>
            <w:tcW w:w="569" w:type="dxa"/>
          </w:tcPr>
          <w:p w14:paraId="589BC5AE" w14:textId="77777777" w:rsidR="00D01516" w:rsidRPr="009D2D00" w:rsidRDefault="00D01516" w:rsidP="005056E2">
            <w:pPr>
              <w:pStyle w:val="GOSTTablenorm"/>
            </w:pPr>
            <w:r w:rsidRPr="009D2D00">
              <w:t>О</w:t>
            </w:r>
          </w:p>
        </w:tc>
        <w:tc>
          <w:tcPr>
            <w:tcW w:w="3957" w:type="dxa"/>
          </w:tcPr>
          <w:p w14:paraId="6AFB8970" w14:textId="77777777" w:rsidR="00D01516" w:rsidRPr="009D2D00" w:rsidRDefault="00D01516" w:rsidP="005056E2">
            <w:pPr>
              <w:pStyle w:val="GOSTTablenorm"/>
            </w:pPr>
            <w:r>
              <w:t>Указывается ИНН заказчика</w:t>
            </w:r>
          </w:p>
        </w:tc>
      </w:tr>
      <w:tr w:rsidR="00D01516" w:rsidRPr="009D2D00" w14:paraId="3B66F454" w14:textId="77777777" w:rsidTr="005056E2">
        <w:trPr>
          <w:trHeight w:val="283"/>
        </w:trPr>
        <w:tc>
          <w:tcPr>
            <w:tcW w:w="1700" w:type="dxa"/>
          </w:tcPr>
          <w:p w14:paraId="47DBFD9D" w14:textId="77777777" w:rsidR="00D01516" w:rsidRPr="009D2D00" w:rsidRDefault="00D01516" w:rsidP="005056E2">
            <w:pPr>
              <w:pStyle w:val="GOSTTablenorm"/>
            </w:pPr>
            <w:r w:rsidRPr="009D2D00">
              <w:t>КПП заказчика</w:t>
            </w:r>
          </w:p>
        </w:tc>
        <w:tc>
          <w:tcPr>
            <w:tcW w:w="1700" w:type="dxa"/>
          </w:tcPr>
          <w:p w14:paraId="5D9D386A" w14:textId="77777777" w:rsidR="00D01516" w:rsidRPr="009D2D00" w:rsidRDefault="00D01516" w:rsidP="005056E2">
            <w:pPr>
              <w:pStyle w:val="GOSTTablenorm"/>
            </w:pPr>
            <w:r w:rsidRPr="009D2D00">
              <w:t>KPP</w:t>
            </w:r>
          </w:p>
        </w:tc>
        <w:tc>
          <w:tcPr>
            <w:tcW w:w="569" w:type="dxa"/>
          </w:tcPr>
          <w:p w14:paraId="738A262D" w14:textId="77777777" w:rsidR="00D01516" w:rsidRPr="009D2D00" w:rsidRDefault="00D01516" w:rsidP="005056E2">
            <w:pPr>
              <w:pStyle w:val="GOSTTablenorm"/>
            </w:pPr>
            <w:r w:rsidRPr="009D2D00">
              <w:t>П</w:t>
            </w:r>
          </w:p>
        </w:tc>
        <w:tc>
          <w:tcPr>
            <w:tcW w:w="1133" w:type="dxa"/>
          </w:tcPr>
          <w:p w14:paraId="15E78D3A" w14:textId="77777777" w:rsidR="00D01516" w:rsidRPr="009D2D00" w:rsidRDefault="00D01516" w:rsidP="005056E2">
            <w:pPr>
              <w:pStyle w:val="GOSTTablenorm"/>
            </w:pPr>
            <w:r w:rsidRPr="009D2D00">
              <w:t>Т(9)</w:t>
            </w:r>
          </w:p>
        </w:tc>
        <w:tc>
          <w:tcPr>
            <w:tcW w:w="569" w:type="dxa"/>
          </w:tcPr>
          <w:p w14:paraId="6F21ADBA" w14:textId="77777777" w:rsidR="00D01516" w:rsidRPr="009D2D00" w:rsidRDefault="00D01516" w:rsidP="005056E2">
            <w:pPr>
              <w:pStyle w:val="GOSTTablenorm"/>
            </w:pPr>
            <w:r w:rsidRPr="009D2D00">
              <w:t>О</w:t>
            </w:r>
          </w:p>
        </w:tc>
        <w:tc>
          <w:tcPr>
            <w:tcW w:w="3957" w:type="dxa"/>
          </w:tcPr>
          <w:p w14:paraId="7A12B998" w14:textId="77777777" w:rsidR="00D01516" w:rsidRPr="009D2D00" w:rsidRDefault="00D01516" w:rsidP="005056E2">
            <w:pPr>
              <w:pStyle w:val="GOSTTablenorm"/>
            </w:pPr>
            <w:r>
              <w:t>Указывается КПП заказчика</w:t>
            </w:r>
          </w:p>
        </w:tc>
      </w:tr>
      <w:tr w:rsidR="00D01516" w:rsidRPr="009D2D00" w14:paraId="644E01AA" w14:textId="77777777" w:rsidTr="005056E2">
        <w:trPr>
          <w:trHeight w:val="283"/>
        </w:trPr>
        <w:tc>
          <w:tcPr>
            <w:tcW w:w="1700" w:type="dxa"/>
          </w:tcPr>
          <w:p w14:paraId="77B81AF2" w14:textId="77777777" w:rsidR="00D01516" w:rsidRPr="009D2D00" w:rsidRDefault="00D01516" w:rsidP="005056E2">
            <w:pPr>
              <w:pStyle w:val="GOSTTablenorm"/>
            </w:pPr>
            <w:r w:rsidRPr="009D2D00">
              <w:t>Номер лицевого счета</w:t>
            </w:r>
          </w:p>
        </w:tc>
        <w:tc>
          <w:tcPr>
            <w:tcW w:w="1700" w:type="dxa"/>
          </w:tcPr>
          <w:p w14:paraId="6CEEAD59" w14:textId="77777777" w:rsidR="00D01516" w:rsidRPr="009D2D00" w:rsidRDefault="00D01516" w:rsidP="005056E2">
            <w:pPr>
              <w:pStyle w:val="GOSTTablenorm"/>
            </w:pPr>
            <w:r w:rsidRPr="009D2D00">
              <w:t>accountNumber</w:t>
            </w:r>
          </w:p>
        </w:tc>
        <w:tc>
          <w:tcPr>
            <w:tcW w:w="569" w:type="dxa"/>
          </w:tcPr>
          <w:p w14:paraId="1B7D1DDB" w14:textId="77777777" w:rsidR="00D01516" w:rsidRPr="009D2D00" w:rsidRDefault="00D01516" w:rsidP="005056E2">
            <w:pPr>
              <w:pStyle w:val="GOSTTablenorm"/>
            </w:pPr>
            <w:r w:rsidRPr="009D2D00">
              <w:t>П</w:t>
            </w:r>
          </w:p>
        </w:tc>
        <w:tc>
          <w:tcPr>
            <w:tcW w:w="1133" w:type="dxa"/>
          </w:tcPr>
          <w:p w14:paraId="29EF0B0A" w14:textId="77777777" w:rsidR="00D01516" w:rsidRPr="009D2D00" w:rsidRDefault="00D01516" w:rsidP="005056E2">
            <w:pPr>
              <w:pStyle w:val="GOSTTablenorm"/>
            </w:pPr>
            <w:r w:rsidRPr="009D2D00">
              <w:t>Т(11)</w:t>
            </w:r>
          </w:p>
        </w:tc>
        <w:tc>
          <w:tcPr>
            <w:tcW w:w="569" w:type="dxa"/>
          </w:tcPr>
          <w:p w14:paraId="5287461D" w14:textId="77777777" w:rsidR="00D01516" w:rsidRPr="009D2D00" w:rsidRDefault="00D01516" w:rsidP="005056E2">
            <w:pPr>
              <w:pStyle w:val="GOSTTablenorm"/>
            </w:pPr>
            <w:r w:rsidRPr="009D2D00">
              <w:t>О</w:t>
            </w:r>
          </w:p>
        </w:tc>
        <w:tc>
          <w:tcPr>
            <w:tcW w:w="3957" w:type="dxa"/>
          </w:tcPr>
          <w:p w14:paraId="2A99AB51" w14:textId="77777777" w:rsidR="00D01516" w:rsidRPr="009D2D00" w:rsidRDefault="00D01516" w:rsidP="005056E2">
            <w:pPr>
              <w:pStyle w:val="GOSTTablenorm"/>
            </w:pPr>
            <w:r w:rsidRPr="009D2D00">
              <w:t>Указывается номер лице</w:t>
            </w:r>
            <w:r>
              <w:t>вого счета заказчика</w:t>
            </w:r>
          </w:p>
        </w:tc>
      </w:tr>
      <w:tr w:rsidR="00D01516" w:rsidRPr="009D2D00" w14:paraId="1E54AF49" w14:textId="77777777" w:rsidTr="005056E2">
        <w:trPr>
          <w:trHeight w:val="283"/>
        </w:trPr>
        <w:tc>
          <w:tcPr>
            <w:tcW w:w="1700" w:type="dxa"/>
          </w:tcPr>
          <w:p w14:paraId="1FA2BC4A" w14:textId="77777777" w:rsidR="00D01516" w:rsidRPr="009D2D00" w:rsidRDefault="00D01516" w:rsidP="005056E2">
            <w:pPr>
              <w:pStyle w:val="GOSTTablenorm"/>
            </w:pPr>
            <w:r w:rsidRPr="009D2D00">
              <w:t>ОКОПФ</w:t>
            </w:r>
          </w:p>
        </w:tc>
        <w:tc>
          <w:tcPr>
            <w:tcW w:w="1700" w:type="dxa"/>
          </w:tcPr>
          <w:p w14:paraId="411E1B14" w14:textId="77777777" w:rsidR="00D01516" w:rsidRPr="009D2D00" w:rsidRDefault="00D01516" w:rsidP="005056E2">
            <w:pPr>
              <w:pStyle w:val="GOSTTablenorm"/>
            </w:pPr>
            <w:r w:rsidRPr="009D2D00">
              <w:t>OKOPF</w:t>
            </w:r>
          </w:p>
        </w:tc>
        <w:tc>
          <w:tcPr>
            <w:tcW w:w="569" w:type="dxa"/>
          </w:tcPr>
          <w:p w14:paraId="3B01B0F2" w14:textId="77777777" w:rsidR="00D01516" w:rsidRPr="009D2D00" w:rsidRDefault="00D01516" w:rsidP="005056E2">
            <w:pPr>
              <w:pStyle w:val="GOSTTablenorm"/>
            </w:pPr>
            <w:r w:rsidRPr="009D2D00">
              <w:t>П</w:t>
            </w:r>
          </w:p>
        </w:tc>
        <w:tc>
          <w:tcPr>
            <w:tcW w:w="1133" w:type="dxa"/>
          </w:tcPr>
          <w:p w14:paraId="4AEE1638" w14:textId="77777777" w:rsidR="00D01516" w:rsidRPr="009D2D00" w:rsidRDefault="00D01516" w:rsidP="005056E2">
            <w:pPr>
              <w:pStyle w:val="GOSTTablenorm"/>
            </w:pPr>
            <w:r w:rsidRPr="009D2D00">
              <w:t>Т(5)</w:t>
            </w:r>
          </w:p>
        </w:tc>
        <w:tc>
          <w:tcPr>
            <w:tcW w:w="569" w:type="dxa"/>
          </w:tcPr>
          <w:p w14:paraId="2AD7482C" w14:textId="77777777" w:rsidR="00D01516" w:rsidRPr="009D2D00" w:rsidRDefault="00D01516" w:rsidP="005056E2">
            <w:pPr>
              <w:pStyle w:val="GOSTTablenorm"/>
            </w:pPr>
            <w:r w:rsidRPr="009D2D00">
              <w:t>О</w:t>
            </w:r>
          </w:p>
        </w:tc>
        <w:tc>
          <w:tcPr>
            <w:tcW w:w="3957" w:type="dxa"/>
          </w:tcPr>
          <w:p w14:paraId="1FF8940E" w14:textId="77777777" w:rsidR="00D01516" w:rsidRPr="009D2D00" w:rsidRDefault="00D01516" w:rsidP="005056E2">
            <w:pPr>
              <w:pStyle w:val="GOSTTablenorm"/>
            </w:pPr>
            <w:r w:rsidRPr="009D2D00">
              <w:t>Ука</w:t>
            </w:r>
            <w:r>
              <w:t>зывается код по ОКОПФ заказчика</w:t>
            </w:r>
          </w:p>
        </w:tc>
      </w:tr>
      <w:tr w:rsidR="00D01516" w:rsidRPr="009D2D00" w14:paraId="7E976BB0" w14:textId="77777777" w:rsidTr="005056E2">
        <w:trPr>
          <w:trHeight w:val="283"/>
        </w:trPr>
        <w:tc>
          <w:tcPr>
            <w:tcW w:w="1700" w:type="dxa"/>
          </w:tcPr>
          <w:p w14:paraId="31D540F6" w14:textId="77777777" w:rsidR="00D01516" w:rsidRPr="009D2D00" w:rsidRDefault="00D01516" w:rsidP="005056E2">
            <w:pPr>
              <w:pStyle w:val="GOSTTablenorm"/>
            </w:pPr>
            <w:r w:rsidRPr="009D2D00">
              <w:lastRenderedPageBreak/>
              <w:t>ОКФС</w:t>
            </w:r>
          </w:p>
        </w:tc>
        <w:tc>
          <w:tcPr>
            <w:tcW w:w="1700" w:type="dxa"/>
          </w:tcPr>
          <w:p w14:paraId="5D29F51B" w14:textId="77777777" w:rsidR="00D01516" w:rsidRPr="009D2D00" w:rsidRDefault="00D01516" w:rsidP="005056E2">
            <w:pPr>
              <w:pStyle w:val="GOSTTablenorm"/>
            </w:pPr>
            <w:r w:rsidRPr="009D2D00">
              <w:t>OKFS</w:t>
            </w:r>
          </w:p>
        </w:tc>
        <w:tc>
          <w:tcPr>
            <w:tcW w:w="569" w:type="dxa"/>
          </w:tcPr>
          <w:p w14:paraId="2DAD018C" w14:textId="77777777" w:rsidR="00D01516" w:rsidRPr="009D2D00" w:rsidRDefault="00D01516" w:rsidP="005056E2">
            <w:pPr>
              <w:pStyle w:val="GOSTTablenorm"/>
            </w:pPr>
            <w:r w:rsidRPr="009D2D00">
              <w:t>П</w:t>
            </w:r>
          </w:p>
        </w:tc>
        <w:tc>
          <w:tcPr>
            <w:tcW w:w="1133" w:type="dxa"/>
          </w:tcPr>
          <w:p w14:paraId="6121318C" w14:textId="77777777" w:rsidR="00D01516" w:rsidRPr="009D2D00" w:rsidRDefault="00D01516" w:rsidP="005056E2">
            <w:pPr>
              <w:pStyle w:val="GOSTTablenorm"/>
            </w:pPr>
            <w:r w:rsidRPr="009D2D00">
              <w:t>Т(2)</w:t>
            </w:r>
          </w:p>
        </w:tc>
        <w:tc>
          <w:tcPr>
            <w:tcW w:w="569" w:type="dxa"/>
          </w:tcPr>
          <w:p w14:paraId="5176B1F5" w14:textId="77777777" w:rsidR="00D01516" w:rsidRPr="009D2D00" w:rsidRDefault="00D01516" w:rsidP="005056E2">
            <w:pPr>
              <w:pStyle w:val="GOSTTablenorm"/>
            </w:pPr>
            <w:r w:rsidRPr="009D2D00">
              <w:t>О</w:t>
            </w:r>
          </w:p>
        </w:tc>
        <w:tc>
          <w:tcPr>
            <w:tcW w:w="3957" w:type="dxa"/>
          </w:tcPr>
          <w:p w14:paraId="5195E5A2" w14:textId="77777777" w:rsidR="00D01516" w:rsidRPr="009D2D00" w:rsidRDefault="00D01516" w:rsidP="005056E2">
            <w:pPr>
              <w:pStyle w:val="GOSTTablenorm"/>
            </w:pPr>
            <w:r w:rsidRPr="009D2D00">
              <w:t>Ук</w:t>
            </w:r>
            <w:r>
              <w:t>азывается код по ОКФС заказчика</w:t>
            </w:r>
          </w:p>
        </w:tc>
      </w:tr>
      <w:tr w:rsidR="00D01516" w:rsidRPr="009D2D00" w14:paraId="26BAE6E4" w14:textId="77777777" w:rsidTr="005056E2">
        <w:trPr>
          <w:trHeight w:val="283"/>
        </w:trPr>
        <w:tc>
          <w:tcPr>
            <w:tcW w:w="1700" w:type="dxa"/>
          </w:tcPr>
          <w:p w14:paraId="120B381A" w14:textId="77777777" w:rsidR="00D01516" w:rsidRPr="009D2D00" w:rsidRDefault="00D01516" w:rsidP="005056E2">
            <w:pPr>
              <w:pStyle w:val="GOSTTablenorm"/>
            </w:pPr>
            <w:r w:rsidRPr="009D2D00">
              <w:t>Наименование бюджета</w:t>
            </w:r>
          </w:p>
        </w:tc>
        <w:tc>
          <w:tcPr>
            <w:tcW w:w="1700" w:type="dxa"/>
          </w:tcPr>
          <w:p w14:paraId="5373E5FB" w14:textId="77777777" w:rsidR="00D01516" w:rsidRPr="009D2D00" w:rsidRDefault="00D01516" w:rsidP="005056E2">
            <w:pPr>
              <w:pStyle w:val="GOSTTablenorm"/>
            </w:pPr>
            <w:r w:rsidRPr="009D2D00">
              <w:t>NameBud</w:t>
            </w:r>
          </w:p>
        </w:tc>
        <w:tc>
          <w:tcPr>
            <w:tcW w:w="569" w:type="dxa"/>
          </w:tcPr>
          <w:p w14:paraId="204AB24A" w14:textId="77777777" w:rsidR="00D01516" w:rsidRPr="009D2D00" w:rsidRDefault="00D01516" w:rsidP="005056E2">
            <w:pPr>
              <w:pStyle w:val="GOSTTablenorm"/>
            </w:pPr>
            <w:r w:rsidRPr="009D2D00">
              <w:t>П</w:t>
            </w:r>
          </w:p>
        </w:tc>
        <w:tc>
          <w:tcPr>
            <w:tcW w:w="1133" w:type="dxa"/>
          </w:tcPr>
          <w:p w14:paraId="6CA68E22" w14:textId="77777777" w:rsidR="00D01516" w:rsidRPr="009D2D00" w:rsidRDefault="00D01516" w:rsidP="005056E2">
            <w:pPr>
              <w:pStyle w:val="GOSTTablenorm"/>
            </w:pPr>
            <w:r w:rsidRPr="009D2D00">
              <w:t>Т(1-2000)</w:t>
            </w:r>
          </w:p>
        </w:tc>
        <w:tc>
          <w:tcPr>
            <w:tcW w:w="569" w:type="dxa"/>
          </w:tcPr>
          <w:p w14:paraId="4CA7929B" w14:textId="77777777" w:rsidR="00D01516" w:rsidRPr="009D2D00" w:rsidRDefault="00D01516" w:rsidP="005056E2">
            <w:pPr>
              <w:pStyle w:val="GOSTTablenorm"/>
            </w:pPr>
            <w:r w:rsidRPr="009D2D00">
              <w:t>О</w:t>
            </w:r>
          </w:p>
        </w:tc>
        <w:tc>
          <w:tcPr>
            <w:tcW w:w="3957" w:type="dxa"/>
          </w:tcPr>
          <w:p w14:paraId="53B01FA5" w14:textId="77777777" w:rsidR="00D01516" w:rsidRPr="009D2D00" w:rsidRDefault="00D01516" w:rsidP="005056E2">
            <w:pPr>
              <w:pStyle w:val="GOSTTablenorm"/>
            </w:pPr>
            <w:r w:rsidRPr="009D2D00">
              <w:t>У</w:t>
            </w:r>
            <w:r>
              <w:t>казывается наименование бюджета</w:t>
            </w:r>
          </w:p>
        </w:tc>
      </w:tr>
      <w:tr w:rsidR="00D01516" w:rsidRPr="009D2D00" w14:paraId="2907CE4D" w14:textId="77777777" w:rsidTr="005056E2">
        <w:trPr>
          <w:trHeight w:val="283"/>
        </w:trPr>
        <w:tc>
          <w:tcPr>
            <w:tcW w:w="1700" w:type="dxa"/>
          </w:tcPr>
          <w:p w14:paraId="6B388C85" w14:textId="77777777" w:rsidR="00D01516" w:rsidRPr="009D2D00" w:rsidRDefault="00D01516" w:rsidP="005056E2">
            <w:pPr>
              <w:pStyle w:val="GOSTTablenorm"/>
            </w:pPr>
            <w:r w:rsidRPr="009D2D00">
              <w:t>ОКТМО бюджета</w:t>
            </w:r>
          </w:p>
        </w:tc>
        <w:tc>
          <w:tcPr>
            <w:tcW w:w="1700" w:type="dxa"/>
          </w:tcPr>
          <w:p w14:paraId="7373C665" w14:textId="77777777" w:rsidR="00D01516" w:rsidRPr="009D2D00" w:rsidRDefault="00D01516" w:rsidP="005056E2">
            <w:pPr>
              <w:pStyle w:val="GOSTTablenorm"/>
              <w:rPr>
                <w:lang w:val="en-US"/>
              </w:rPr>
            </w:pPr>
            <w:r w:rsidRPr="009D2D00">
              <w:t>OKTMO</w:t>
            </w:r>
            <w:r w:rsidRPr="009D2D00">
              <w:rPr>
                <w:lang w:val="en-US"/>
              </w:rPr>
              <w:t>Bud</w:t>
            </w:r>
          </w:p>
        </w:tc>
        <w:tc>
          <w:tcPr>
            <w:tcW w:w="569" w:type="dxa"/>
          </w:tcPr>
          <w:p w14:paraId="3B8F091A" w14:textId="77777777" w:rsidR="00D01516" w:rsidRPr="009D2D00" w:rsidRDefault="00D01516" w:rsidP="005056E2">
            <w:pPr>
              <w:pStyle w:val="GOSTTablenorm"/>
            </w:pPr>
            <w:r w:rsidRPr="009D2D00">
              <w:t>П</w:t>
            </w:r>
          </w:p>
        </w:tc>
        <w:tc>
          <w:tcPr>
            <w:tcW w:w="1133" w:type="dxa"/>
          </w:tcPr>
          <w:p w14:paraId="795D0063" w14:textId="77777777" w:rsidR="00D01516" w:rsidRPr="009D2D00" w:rsidRDefault="00D01516" w:rsidP="005056E2">
            <w:pPr>
              <w:pStyle w:val="GOSTTablenorm"/>
            </w:pPr>
            <w:r w:rsidRPr="009D2D00">
              <w:t>Т(</w:t>
            </w:r>
            <w:r>
              <w:t>1-</w:t>
            </w:r>
            <w:r w:rsidRPr="009D2D00">
              <w:t>11)</w:t>
            </w:r>
          </w:p>
        </w:tc>
        <w:tc>
          <w:tcPr>
            <w:tcW w:w="569" w:type="dxa"/>
          </w:tcPr>
          <w:p w14:paraId="7FE4BCEA" w14:textId="77777777" w:rsidR="00D01516" w:rsidRPr="009D2D00" w:rsidRDefault="00D01516" w:rsidP="005056E2">
            <w:pPr>
              <w:pStyle w:val="GOSTTablenorm"/>
            </w:pPr>
            <w:r w:rsidRPr="009D2D00">
              <w:t>О</w:t>
            </w:r>
          </w:p>
        </w:tc>
        <w:tc>
          <w:tcPr>
            <w:tcW w:w="3957" w:type="dxa"/>
          </w:tcPr>
          <w:p w14:paraId="05304D08" w14:textId="77777777" w:rsidR="00D01516" w:rsidRPr="009D2D00" w:rsidRDefault="00D01516" w:rsidP="005056E2">
            <w:pPr>
              <w:pStyle w:val="GOSTTablenorm"/>
            </w:pPr>
            <w:r w:rsidRPr="009D2D00">
              <w:t>Указывается код ОКТМО соответствующий бюджету</w:t>
            </w:r>
          </w:p>
        </w:tc>
      </w:tr>
      <w:tr w:rsidR="00D01516" w:rsidRPr="009D2D00" w14:paraId="2E8EBBFB" w14:textId="77777777" w:rsidTr="005056E2">
        <w:trPr>
          <w:trHeight w:val="283"/>
        </w:trPr>
        <w:tc>
          <w:tcPr>
            <w:tcW w:w="1700" w:type="dxa"/>
          </w:tcPr>
          <w:p w14:paraId="2B8221C3" w14:textId="77777777" w:rsidR="00D01516" w:rsidRPr="009D2D00" w:rsidRDefault="00D01516" w:rsidP="005056E2">
            <w:pPr>
              <w:pStyle w:val="GOSTTablenorm"/>
            </w:pPr>
            <w:r w:rsidRPr="009D2D00">
              <w:t>Место нахождения (адрес) заказчика</w:t>
            </w:r>
          </w:p>
        </w:tc>
        <w:tc>
          <w:tcPr>
            <w:tcW w:w="1700" w:type="dxa"/>
          </w:tcPr>
          <w:p w14:paraId="3A55FBC0" w14:textId="77777777" w:rsidR="00D01516" w:rsidRPr="009D2D00" w:rsidRDefault="00D01516" w:rsidP="005056E2">
            <w:pPr>
              <w:pStyle w:val="GOSTTablenorm"/>
            </w:pPr>
            <w:r w:rsidRPr="009D2D00">
              <w:t>Adress</w:t>
            </w:r>
          </w:p>
        </w:tc>
        <w:tc>
          <w:tcPr>
            <w:tcW w:w="569" w:type="dxa"/>
          </w:tcPr>
          <w:p w14:paraId="0FA7BA49" w14:textId="77777777" w:rsidR="00D01516" w:rsidRPr="009D2D00" w:rsidRDefault="00D01516" w:rsidP="005056E2">
            <w:pPr>
              <w:pStyle w:val="GOSTTablenorm"/>
            </w:pPr>
            <w:r w:rsidRPr="009D2D00">
              <w:t>П</w:t>
            </w:r>
          </w:p>
        </w:tc>
        <w:tc>
          <w:tcPr>
            <w:tcW w:w="1133" w:type="dxa"/>
          </w:tcPr>
          <w:p w14:paraId="30A24B93" w14:textId="77777777" w:rsidR="00D01516" w:rsidRPr="009D2D00" w:rsidRDefault="00D01516" w:rsidP="005056E2">
            <w:pPr>
              <w:pStyle w:val="GOSTTablenorm"/>
            </w:pPr>
            <w:r w:rsidRPr="009D2D00">
              <w:t>Т(1-2000)</w:t>
            </w:r>
          </w:p>
        </w:tc>
        <w:tc>
          <w:tcPr>
            <w:tcW w:w="569" w:type="dxa"/>
          </w:tcPr>
          <w:p w14:paraId="5D3A2410" w14:textId="77777777" w:rsidR="00D01516" w:rsidRPr="009D2D00" w:rsidRDefault="00D01516" w:rsidP="005056E2">
            <w:pPr>
              <w:pStyle w:val="GOSTTablenorm"/>
            </w:pPr>
            <w:r w:rsidRPr="009D2D00">
              <w:t>О</w:t>
            </w:r>
          </w:p>
        </w:tc>
        <w:tc>
          <w:tcPr>
            <w:tcW w:w="3957" w:type="dxa"/>
          </w:tcPr>
          <w:p w14:paraId="1A86559A" w14:textId="77777777" w:rsidR="00D01516" w:rsidRPr="009D2D00" w:rsidRDefault="00D01516" w:rsidP="005056E2">
            <w:pPr>
              <w:pStyle w:val="GOSTTablenorm"/>
            </w:pPr>
            <w:r w:rsidRPr="009D2D00">
              <w:t>Указывается мес</w:t>
            </w:r>
            <w:r>
              <w:t>то нахождения (адрес), телефон, адрес электронной почты заказчика</w:t>
            </w:r>
          </w:p>
        </w:tc>
      </w:tr>
      <w:tr w:rsidR="00D01516" w:rsidRPr="009D2D00" w14:paraId="3A989F58" w14:textId="77777777" w:rsidTr="005056E2">
        <w:trPr>
          <w:trHeight w:val="283"/>
        </w:trPr>
        <w:tc>
          <w:tcPr>
            <w:tcW w:w="1700" w:type="dxa"/>
          </w:tcPr>
          <w:p w14:paraId="34CE4727" w14:textId="77777777" w:rsidR="00D01516" w:rsidRPr="009D2D00" w:rsidRDefault="00D01516" w:rsidP="005056E2">
            <w:pPr>
              <w:pStyle w:val="GOSTTablenorm"/>
            </w:pPr>
            <w:r w:rsidRPr="009D2D00">
              <w:t>ОКТМО</w:t>
            </w:r>
          </w:p>
        </w:tc>
        <w:tc>
          <w:tcPr>
            <w:tcW w:w="1700" w:type="dxa"/>
          </w:tcPr>
          <w:p w14:paraId="688C7B22" w14:textId="77777777" w:rsidR="00D01516" w:rsidRPr="009D2D00" w:rsidRDefault="00D01516" w:rsidP="005056E2">
            <w:pPr>
              <w:pStyle w:val="GOSTTablenorm"/>
            </w:pPr>
            <w:r w:rsidRPr="009D2D00">
              <w:t>OKTMO</w:t>
            </w:r>
          </w:p>
        </w:tc>
        <w:tc>
          <w:tcPr>
            <w:tcW w:w="569" w:type="dxa"/>
          </w:tcPr>
          <w:p w14:paraId="705CAAA1" w14:textId="77777777" w:rsidR="00D01516" w:rsidRPr="009D2D00" w:rsidRDefault="00D01516" w:rsidP="005056E2">
            <w:pPr>
              <w:pStyle w:val="GOSTTablenorm"/>
            </w:pPr>
            <w:r w:rsidRPr="009D2D00">
              <w:t>П</w:t>
            </w:r>
          </w:p>
        </w:tc>
        <w:tc>
          <w:tcPr>
            <w:tcW w:w="1133" w:type="dxa"/>
          </w:tcPr>
          <w:p w14:paraId="2E0AD62E" w14:textId="77777777" w:rsidR="00D01516" w:rsidRPr="009D2D00" w:rsidRDefault="00D01516" w:rsidP="005056E2">
            <w:pPr>
              <w:pStyle w:val="GOSTTablenorm"/>
            </w:pPr>
            <w:r w:rsidRPr="009D2D00">
              <w:t>Т(</w:t>
            </w:r>
            <w:r>
              <w:t>1-</w:t>
            </w:r>
            <w:r w:rsidRPr="009D2D00">
              <w:t>11)</w:t>
            </w:r>
          </w:p>
        </w:tc>
        <w:tc>
          <w:tcPr>
            <w:tcW w:w="569" w:type="dxa"/>
          </w:tcPr>
          <w:p w14:paraId="70C76791" w14:textId="77777777" w:rsidR="00D01516" w:rsidRPr="009D2D00" w:rsidRDefault="00D01516" w:rsidP="005056E2">
            <w:pPr>
              <w:pStyle w:val="GOSTTablenorm"/>
            </w:pPr>
            <w:r w:rsidRPr="009D2D00">
              <w:t>О</w:t>
            </w:r>
          </w:p>
        </w:tc>
        <w:tc>
          <w:tcPr>
            <w:tcW w:w="3957" w:type="dxa"/>
          </w:tcPr>
          <w:p w14:paraId="2CDD231B" w14:textId="77777777" w:rsidR="00D01516" w:rsidRPr="009D2D00" w:rsidRDefault="00D01516" w:rsidP="005056E2">
            <w:pPr>
              <w:pStyle w:val="GOSTTablenorm"/>
            </w:pPr>
            <w:r w:rsidRPr="009D2D00">
              <w:t>Указывается код по ОКТМО заказчика</w:t>
            </w:r>
          </w:p>
        </w:tc>
      </w:tr>
      <w:tr w:rsidR="00D01516" w:rsidRPr="009D2D00" w14:paraId="38009255" w14:textId="77777777" w:rsidTr="005056E2">
        <w:trPr>
          <w:trHeight w:val="283"/>
        </w:trPr>
        <w:tc>
          <w:tcPr>
            <w:tcW w:w="1700" w:type="dxa"/>
          </w:tcPr>
          <w:p w14:paraId="0C25D953" w14:textId="77777777" w:rsidR="00D01516" w:rsidRPr="009D2D00" w:rsidRDefault="00D01516" w:rsidP="005056E2">
            <w:pPr>
              <w:pStyle w:val="GOSTTablenorm"/>
            </w:pPr>
            <w:r w:rsidRPr="00050272">
              <w:t>Предмет по документу-основанию</w:t>
            </w:r>
          </w:p>
        </w:tc>
        <w:tc>
          <w:tcPr>
            <w:tcW w:w="1700" w:type="dxa"/>
          </w:tcPr>
          <w:p w14:paraId="230EFD47" w14:textId="77777777" w:rsidR="00D01516" w:rsidRPr="009D2D00" w:rsidRDefault="00D01516" w:rsidP="005056E2">
            <w:pPr>
              <w:pStyle w:val="GOSTTablenorm"/>
            </w:pPr>
            <w:r>
              <w:rPr>
                <w:lang w:val="en-US"/>
              </w:rPr>
              <w:t>P</w:t>
            </w:r>
            <w:r w:rsidRPr="00050272">
              <w:t>urchase</w:t>
            </w:r>
            <w:r>
              <w:rPr>
                <w:lang w:val="en-US"/>
              </w:rPr>
              <w:t>I</w:t>
            </w:r>
            <w:r w:rsidRPr="00050272">
              <w:t>tem</w:t>
            </w:r>
          </w:p>
        </w:tc>
        <w:tc>
          <w:tcPr>
            <w:tcW w:w="569" w:type="dxa"/>
          </w:tcPr>
          <w:p w14:paraId="11174225" w14:textId="77777777" w:rsidR="00D01516" w:rsidRPr="009D2D00" w:rsidRDefault="00D01516" w:rsidP="005056E2">
            <w:pPr>
              <w:pStyle w:val="GOSTTablenorm"/>
            </w:pPr>
            <w:r>
              <w:t>П</w:t>
            </w:r>
          </w:p>
        </w:tc>
        <w:tc>
          <w:tcPr>
            <w:tcW w:w="1133" w:type="dxa"/>
          </w:tcPr>
          <w:p w14:paraId="44514581" w14:textId="77777777" w:rsidR="00D01516" w:rsidRPr="009D2D00" w:rsidRDefault="00D01516" w:rsidP="005056E2">
            <w:pPr>
              <w:pStyle w:val="GOSTTablenorm"/>
            </w:pPr>
            <w:r w:rsidRPr="009D2D00">
              <w:t>Т(1-</w:t>
            </w:r>
            <w:r>
              <w:t>200</w:t>
            </w:r>
            <w:r w:rsidRPr="009D2D00">
              <w:t>0)</w:t>
            </w:r>
          </w:p>
        </w:tc>
        <w:tc>
          <w:tcPr>
            <w:tcW w:w="569" w:type="dxa"/>
          </w:tcPr>
          <w:p w14:paraId="7CE44B50" w14:textId="77777777" w:rsidR="00D01516" w:rsidRPr="009D2D00" w:rsidRDefault="00D01516" w:rsidP="005056E2">
            <w:pPr>
              <w:pStyle w:val="GOSTTablenorm"/>
            </w:pPr>
            <w:r>
              <w:t>О</w:t>
            </w:r>
          </w:p>
        </w:tc>
        <w:tc>
          <w:tcPr>
            <w:tcW w:w="3957" w:type="dxa"/>
          </w:tcPr>
          <w:p w14:paraId="5D2A3A04" w14:textId="77777777" w:rsidR="00D01516" w:rsidRPr="009D2D00" w:rsidRDefault="00D01516" w:rsidP="005056E2">
            <w:pPr>
              <w:pStyle w:val="GOSTTablenorm"/>
            </w:pPr>
            <w:r>
              <w:t>Указывается предмет закупки</w:t>
            </w:r>
          </w:p>
        </w:tc>
      </w:tr>
      <w:tr w:rsidR="00D01516" w:rsidRPr="009D2D00" w14:paraId="368B3412" w14:textId="77777777" w:rsidTr="005056E2">
        <w:trPr>
          <w:trHeight w:val="283"/>
        </w:trPr>
        <w:tc>
          <w:tcPr>
            <w:tcW w:w="1700" w:type="dxa"/>
          </w:tcPr>
          <w:p w14:paraId="08FA896B" w14:textId="77777777" w:rsidR="00D01516" w:rsidRPr="00050272" w:rsidRDefault="00D01516" w:rsidP="005056E2">
            <w:pPr>
              <w:pStyle w:val="GOSTTablenorm"/>
            </w:pPr>
            <w:r w:rsidRPr="00C6641E">
              <w:t>Код валюты по ОКВ</w:t>
            </w:r>
          </w:p>
        </w:tc>
        <w:tc>
          <w:tcPr>
            <w:tcW w:w="1700" w:type="dxa"/>
          </w:tcPr>
          <w:p w14:paraId="0E768CBD" w14:textId="77777777" w:rsidR="00D01516" w:rsidRPr="008B26A8" w:rsidRDefault="00D01516" w:rsidP="005056E2">
            <w:pPr>
              <w:pStyle w:val="GOSTTablenorm"/>
            </w:pPr>
            <w:r w:rsidRPr="00781973">
              <w:t>CodeOKV</w:t>
            </w:r>
          </w:p>
        </w:tc>
        <w:tc>
          <w:tcPr>
            <w:tcW w:w="569" w:type="dxa"/>
          </w:tcPr>
          <w:p w14:paraId="7501F158" w14:textId="77777777" w:rsidR="00D01516" w:rsidRDefault="00D01516" w:rsidP="005056E2">
            <w:pPr>
              <w:pStyle w:val="GOSTTablenorm"/>
            </w:pPr>
            <w:r>
              <w:t>П</w:t>
            </w:r>
          </w:p>
        </w:tc>
        <w:tc>
          <w:tcPr>
            <w:tcW w:w="1133" w:type="dxa"/>
          </w:tcPr>
          <w:p w14:paraId="6694B022" w14:textId="77777777" w:rsidR="00D01516" w:rsidRPr="009D2D00" w:rsidRDefault="00D01516" w:rsidP="005056E2">
            <w:pPr>
              <w:pStyle w:val="GOSTTablenorm"/>
            </w:pPr>
            <w:r>
              <w:t>Т(3)</w:t>
            </w:r>
          </w:p>
        </w:tc>
        <w:tc>
          <w:tcPr>
            <w:tcW w:w="569" w:type="dxa"/>
          </w:tcPr>
          <w:p w14:paraId="7135E93B" w14:textId="77777777" w:rsidR="00D01516" w:rsidRDefault="00D01516" w:rsidP="005056E2">
            <w:pPr>
              <w:pStyle w:val="GOSTTablenorm"/>
            </w:pPr>
            <w:r w:rsidRPr="004275E1">
              <w:t>О</w:t>
            </w:r>
          </w:p>
        </w:tc>
        <w:tc>
          <w:tcPr>
            <w:tcW w:w="3957" w:type="dxa"/>
          </w:tcPr>
          <w:p w14:paraId="3C417751" w14:textId="77777777" w:rsidR="00D01516" w:rsidRDefault="00D01516" w:rsidP="005056E2">
            <w:pPr>
              <w:pStyle w:val="GOSTTablenorm"/>
            </w:pPr>
            <w:r w:rsidRPr="003024A7">
              <w:t>Указывается цифровой код валюты по ОКВ</w:t>
            </w:r>
          </w:p>
        </w:tc>
      </w:tr>
      <w:tr w:rsidR="00D01516" w:rsidRPr="009D2D00" w14:paraId="67BD6B96" w14:textId="77777777" w:rsidTr="005056E2">
        <w:trPr>
          <w:trHeight w:val="283"/>
        </w:trPr>
        <w:tc>
          <w:tcPr>
            <w:tcW w:w="1700" w:type="dxa"/>
          </w:tcPr>
          <w:p w14:paraId="1559619F" w14:textId="77777777" w:rsidR="00D01516" w:rsidRPr="00C6641E" w:rsidRDefault="00D01516" w:rsidP="005056E2">
            <w:pPr>
              <w:pStyle w:val="GOSTTablenorm"/>
            </w:pPr>
            <w:r w:rsidRPr="00C6641E">
              <w:t>Сумма в валюте контракта</w:t>
            </w:r>
          </w:p>
        </w:tc>
        <w:tc>
          <w:tcPr>
            <w:tcW w:w="1700" w:type="dxa"/>
          </w:tcPr>
          <w:p w14:paraId="2102C464" w14:textId="77777777" w:rsidR="00D01516" w:rsidRPr="00A52321" w:rsidRDefault="00D01516" w:rsidP="005056E2">
            <w:pPr>
              <w:pStyle w:val="GOSTTablenorm"/>
            </w:pPr>
            <w:r w:rsidRPr="006A52CE">
              <w:t>AmntCrr</w:t>
            </w:r>
          </w:p>
        </w:tc>
        <w:tc>
          <w:tcPr>
            <w:tcW w:w="569" w:type="dxa"/>
          </w:tcPr>
          <w:p w14:paraId="0234E994" w14:textId="77777777" w:rsidR="00D01516" w:rsidRDefault="00D01516" w:rsidP="005056E2">
            <w:pPr>
              <w:pStyle w:val="GOSTTablenorm"/>
            </w:pPr>
            <w:r w:rsidRPr="009D2D00">
              <w:t>П</w:t>
            </w:r>
          </w:p>
        </w:tc>
        <w:tc>
          <w:tcPr>
            <w:tcW w:w="1133" w:type="dxa"/>
          </w:tcPr>
          <w:p w14:paraId="42F17D8D" w14:textId="77777777" w:rsidR="00D01516" w:rsidRPr="009D2D00" w:rsidRDefault="00D01516" w:rsidP="005056E2">
            <w:pPr>
              <w:pStyle w:val="GOSTTablenorm"/>
            </w:pPr>
            <w:r w:rsidRPr="00A31C8D">
              <w:rPr>
                <w:szCs w:val="22"/>
                <w:lang w:val="en-US"/>
              </w:rPr>
              <w:t>N(20</w:t>
            </w:r>
            <w:r w:rsidRPr="00A31C8D">
              <w:rPr>
                <w:szCs w:val="22"/>
              </w:rPr>
              <w:t>.2</w:t>
            </w:r>
            <w:r w:rsidRPr="00A31C8D">
              <w:rPr>
                <w:szCs w:val="22"/>
                <w:lang w:val="en-US"/>
              </w:rPr>
              <w:t>)</w:t>
            </w:r>
          </w:p>
        </w:tc>
        <w:tc>
          <w:tcPr>
            <w:tcW w:w="569" w:type="dxa"/>
          </w:tcPr>
          <w:p w14:paraId="456A5933" w14:textId="77777777" w:rsidR="00D01516" w:rsidRDefault="00D01516" w:rsidP="005056E2">
            <w:pPr>
              <w:pStyle w:val="GOSTTablenorm"/>
            </w:pPr>
            <w:r w:rsidRPr="004275E1">
              <w:t>О</w:t>
            </w:r>
          </w:p>
        </w:tc>
        <w:tc>
          <w:tcPr>
            <w:tcW w:w="3957" w:type="dxa"/>
          </w:tcPr>
          <w:p w14:paraId="1BECD53E" w14:textId="77777777" w:rsidR="00D01516" w:rsidRDefault="00D01516" w:rsidP="005056E2">
            <w:pPr>
              <w:pStyle w:val="GOSTTablenorm"/>
            </w:pPr>
            <w:r w:rsidRPr="003024A7">
              <w:t>Указывается сумма в валюте контракта</w:t>
            </w:r>
          </w:p>
        </w:tc>
      </w:tr>
      <w:tr w:rsidR="00D01516" w:rsidRPr="009D2D00" w14:paraId="78425175" w14:textId="77777777" w:rsidTr="005056E2">
        <w:trPr>
          <w:trHeight w:val="283"/>
        </w:trPr>
        <w:tc>
          <w:tcPr>
            <w:tcW w:w="1700" w:type="dxa"/>
          </w:tcPr>
          <w:p w14:paraId="68D53EF1" w14:textId="77777777" w:rsidR="00D01516" w:rsidRPr="00C6641E" w:rsidRDefault="00D01516" w:rsidP="005056E2">
            <w:pPr>
              <w:pStyle w:val="GOSTTablenorm"/>
            </w:pPr>
            <w:r w:rsidRPr="00567F15">
              <w:t>Учетный номер бюджетного обязательства</w:t>
            </w:r>
          </w:p>
        </w:tc>
        <w:tc>
          <w:tcPr>
            <w:tcW w:w="1700" w:type="dxa"/>
          </w:tcPr>
          <w:p w14:paraId="57DCA181" w14:textId="77777777" w:rsidR="00D01516" w:rsidRPr="006A52CE" w:rsidRDefault="00D01516" w:rsidP="005056E2">
            <w:pPr>
              <w:pStyle w:val="GOSTTablenorm"/>
            </w:pPr>
            <w:r w:rsidRPr="00567F15">
              <w:t>N</w:t>
            </w:r>
            <w:r>
              <w:rPr>
                <w:lang w:val="en-US"/>
              </w:rPr>
              <w:t>um</w:t>
            </w:r>
            <w:r w:rsidRPr="00567F15">
              <w:t>BO</w:t>
            </w:r>
          </w:p>
        </w:tc>
        <w:tc>
          <w:tcPr>
            <w:tcW w:w="569" w:type="dxa"/>
          </w:tcPr>
          <w:p w14:paraId="462CB8AA" w14:textId="77777777" w:rsidR="00D01516" w:rsidRPr="009D2D00" w:rsidRDefault="00D01516" w:rsidP="005056E2">
            <w:pPr>
              <w:pStyle w:val="GOSTTablenorm"/>
            </w:pPr>
            <w:r>
              <w:t>П</w:t>
            </w:r>
          </w:p>
        </w:tc>
        <w:tc>
          <w:tcPr>
            <w:tcW w:w="1133" w:type="dxa"/>
          </w:tcPr>
          <w:p w14:paraId="3CB533B1" w14:textId="77777777" w:rsidR="00D01516" w:rsidRPr="00A31C8D" w:rsidRDefault="00D01516" w:rsidP="005056E2">
            <w:pPr>
              <w:pStyle w:val="GOSTTablenorm"/>
              <w:rPr>
                <w:szCs w:val="22"/>
                <w:lang w:val="en-US"/>
              </w:rPr>
            </w:pPr>
            <w:r>
              <w:rPr>
                <w:szCs w:val="22"/>
              </w:rPr>
              <w:t>Т(19)</w:t>
            </w:r>
          </w:p>
        </w:tc>
        <w:tc>
          <w:tcPr>
            <w:tcW w:w="569" w:type="dxa"/>
          </w:tcPr>
          <w:p w14:paraId="0E8CD04A" w14:textId="77777777" w:rsidR="00D01516" w:rsidRPr="004275E1" w:rsidRDefault="00D01516" w:rsidP="005056E2">
            <w:pPr>
              <w:pStyle w:val="GOSTTablenorm"/>
            </w:pPr>
            <w:r>
              <w:t>Н</w:t>
            </w:r>
          </w:p>
        </w:tc>
        <w:tc>
          <w:tcPr>
            <w:tcW w:w="3957" w:type="dxa"/>
          </w:tcPr>
          <w:p w14:paraId="4B1F6932" w14:textId="77777777" w:rsidR="00D01516" w:rsidRDefault="00D01516" w:rsidP="005056E2">
            <w:pPr>
              <w:pStyle w:val="GOSTTablenorm"/>
            </w:pPr>
            <w:r>
              <w:t>Указывается учетный номер бюджетного обязательства, по которому вносятся изменения.</w:t>
            </w:r>
          </w:p>
          <w:p w14:paraId="0F13737E" w14:textId="77777777" w:rsidR="00D01516" w:rsidRPr="003024A7" w:rsidRDefault="00D01516" w:rsidP="005056E2">
            <w:pPr>
              <w:pStyle w:val="GOSTTablenorm"/>
            </w:pPr>
            <w:r>
              <w:t>Обязательно к заполнению, если в поле «Вид документа» указано значение «02»</w:t>
            </w:r>
          </w:p>
        </w:tc>
      </w:tr>
      <w:tr w:rsidR="00D01516" w:rsidRPr="009D2D00" w14:paraId="21C50619" w14:textId="77777777" w:rsidTr="005056E2">
        <w:trPr>
          <w:trHeight w:val="283"/>
        </w:trPr>
        <w:tc>
          <w:tcPr>
            <w:tcW w:w="1700" w:type="dxa"/>
          </w:tcPr>
          <w:p w14:paraId="233BE78C" w14:textId="77777777" w:rsidR="00D01516" w:rsidRPr="009D2D00" w:rsidRDefault="00D01516" w:rsidP="005056E2">
            <w:pPr>
              <w:pStyle w:val="GOSTTablenorm"/>
            </w:pPr>
            <w:r w:rsidRPr="009D2D00">
              <w:t>Табличная часть</w:t>
            </w:r>
            <w:r>
              <w:t xml:space="preserve"> </w:t>
            </w:r>
            <w:r w:rsidRPr="00050272">
              <w:t>«Планируемые платежи»</w:t>
            </w:r>
          </w:p>
        </w:tc>
        <w:tc>
          <w:tcPr>
            <w:tcW w:w="1700" w:type="dxa"/>
          </w:tcPr>
          <w:p w14:paraId="4C2EAB05" w14:textId="77777777" w:rsidR="00D01516" w:rsidRPr="007F04C4" w:rsidRDefault="00D01516" w:rsidP="005056E2">
            <w:pPr>
              <w:pStyle w:val="GOSTTablenorm"/>
            </w:pPr>
            <w:r w:rsidRPr="009D2D00">
              <w:t>T</w:t>
            </w:r>
            <w:r w:rsidRPr="009D2D00">
              <w:rPr>
                <w:lang w:val="en-US"/>
              </w:rPr>
              <w:t>able</w:t>
            </w:r>
            <w:r>
              <w:t>Pl</w:t>
            </w:r>
            <w:r>
              <w:rPr>
                <w:lang w:val="en-US"/>
              </w:rPr>
              <w:t>anP</w:t>
            </w:r>
            <w:r w:rsidRPr="00042743">
              <w:t>ay</w:t>
            </w:r>
          </w:p>
        </w:tc>
        <w:tc>
          <w:tcPr>
            <w:tcW w:w="569" w:type="dxa"/>
          </w:tcPr>
          <w:p w14:paraId="3563AB65" w14:textId="77777777" w:rsidR="00D01516" w:rsidRPr="009D2D00" w:rsidRDefault="00D01516" w:rsidP="005056E2">
            <w:pPr>
              <w:pStyle w:val="GOSTTablenorm"/>
            </w:pPr>
            <w:r w:rsidRPr="009D2D00">
              <w:t>С</w:t>
            </w:r>
          </w:p>
        </w:tc>
        <w:tc>
          <w:tcPr>
            <w:tcW w:w="1133" w:type="dxa"/>
          </w:tcPr>
          <w:p w14:paraId="4BB30D98" w14:textId="77777777" w:rsidR="00D01516" w:rsidRPr="00837171" w:rsidRDefault="00D01516" w:rsidP="005056E2">
            <w:pPr>
              <w:pStyle w:val="GOSTTablenorm"/>
            </w:pPr>
            <w:r w:rsidRPr="009D2D00">
              <w:t>tT</w:t>
            </w:r>
            <w:r w:rsidRPr="009D2D00">
              <w:rPr>
                <w:lang w:val="en-US"/>
              </w:rPr>
              <w:t>able</w:t>
            </w:r>
            <w:r>
              <w:t>Pl</w:t>
            </w:r>
            <w:r>
              <w:rPr>
                <w:lang w:val="en-US"/>
              </w:rPr>
              <w:t>anP</w:t>
            </w:r>
            <w:r w:rsidRPr="00042743">
              <w:t>ay</w:t>
            </w:r>
          </w:p>
        </w:tc>
        <w:tc>
          <w:tcPr>
            <w:tcW w:w="569" w:type="dxa"/>
          </w:tcPr>
          <w:p w14:paraId="2F1D5A22" w14:textId="77777777" w:rsidR="00D01516" w:rsidRPr="009D2D00" w:rsidRDefault="00D01516" w:rsidP="005056E2">
            <w:pPr>
              <w:pStyle w:val="GOSTTablenorm"/>
            </w:pPr>
            <w:r w:rsidRPr="009D2D00">
              <w:t>О</w:t>
            </w:r>
          </w:p>
        </w:tc>
        <w:tc>
          <w:tcPr>
            <w:tcW w:w="3957" w:type="dxa"/>
          </w:tcPr>
          <w:p w14:paraId="1417A2FF" w14:textId="77777777" w:rsidR="00D01516" w:rsidRPr="009D2D00" w:rsidRDefault="00D01516" w:rsidP="005056E2">
            <w:pPr>
              <w:pStyle w:val="GOSTTablenorm"/>
            </w:pPr>
            <w:r w:rsidRPr="009D2D00">
              <w:t>Табличная часть</w:t>
            </w:r>
            <w:r>
              <w:t xml:space="preserve"> </w:t>
            </w:r>
            <w:r w:rsidRPr="00050272">
              <w:t>«Планируемые платежи»</w:t>
            </w:r>
            <w:r w:rsidRPr="009D2D00">
              <w:t>.</w:t>
            </w:r>
          </w:p>
          <w:p w14:paraId="69D4BF8A" w14:textId="5DD8B68F" w:rsidR="00D01516" w:rsidRPr="009D2D00" w:rsidRDefault="00D01516" w:rsidP="00D01516">
            <w:pPr>
              <w:pStyle w:val="GOSTTablenorm"/>
            </w:pPr>
            <w:r w:rsidRPr="009D2D00">
              <w:t xml:space="preserve">Состав элемента представлен в таблице </w:t>
            </w:r>
            <w:r>
              <w:fldChar w:fldCharType="begin"/>
            </w:r>
            <w:r>
              <w:instrText xml:space="preserve"> REF _Ref216204756 \h </w:instrText>
            </w:r>
            <w:r>
              <w:fldChar w:fldCharType="separate"/>
            </w:r>
            <w:r w:rsidR="008D797C">
              <w:rPr>
                <w:rFonts w:eastAsia="Calibri"/>
                <w:noProof/>
                <w:highlight w:val="green"/>
              </w:rPr>
              <w:t>354</w:t>
            </w:r>
            <w:r>
              <w:fldChar w:fldCharType="end"/>
            </w:r>
          </w:p>
        </w:tc>
      </w:tr>
      <w:tr w:rsidR="00D01516" w:rsidRPr="009D2D00" w14:paraId="1C1295D7" w14:textId="77777777" w:rsidTr="005056E2">
        <w:trPr>
          <w:trHeight w:val="283"/>
        </w:trPr>
        <w:tc>
          <w:tcPr>
            <w:tcW w:w="1700" w:type="dxa"/>
          </w:tcPr>
          <w:p w14:paraId="1E87B551" w14:textId="77777777" w:rsidR="00D01516" w:rsidRPr="009D2D00" w:rsidRDefault="00D01516" w:rsidP="005056E2">
            <w:pPr>
              <w:pStyle w:val="GOSTTablenorm"/>
            </w:pPr>
            <w:r>
              <w:t>Табличная часть «Расшифровка»</w:t>
            </w:r>
          </w:p>
        </w:tc>
        <w:tc>
          <w:tcPr>
            <w:tcW w:w="1700" w:type="dxa"/>
          </w:tcPr>
          <w:p w14:paraId="57439BCC" w14:textId="77777777" w:rsidR="00D01516" w:rsidRPr="00837171" w:rsidRDefault="00D01516" w:rsidP="005056E2">
            <w:pPr>
              <w:pStyle w:val="GOSTTablenorm"/>
            </w:pPr>
            <w:r w:rsidRPr="009D2D00">
              <w:t>T</w:t>
            </w:r>
            <w:r w:rsidRPr="009D2D00">
              <w:rPr>
                <w:lang w:val="en-US"/>
              </w:rPr>
              <w:t>able</w:t>
            </w:r>
            <w:r>
              <w:rPr>
                <w:lang w:val="en-US"/>
              </w:rPr>
              <w:t>T</w:t>
            </w:r>
            <w:r w:rsidRPr="007F04C4">
              <w:t>r</w:t>
            </w:r>
            <w:r>
              <w:rPr>
                <w:lang w:val="en-US"/>
              </w:rPr>
              <w:t>s</w:t>
            </w:r>
            <w:r w:rsidRPr="007F04C4">
              <w:t>cr</w:t>
            </w:r>
          </w:p>
        </w:tc>
        <w:tc>
          <w:tcPr>
            <w:tcW w:w="569" w:type="dxa"/>
          </w:tcPr>
          <w:p w14:paraId="57BCC3DD" w14:textId="77777777" w:rsidR="00D01516" w:rsidRPr="009D2D00" w:rsidRDefault="00D01516" w:rsidP="005056E2">
            <w:pPr>
              <w:pStyle w:val="GOSTTablenorm"/>
            </w:pPr>
            <w:r w:rsidRPr="009D2D00">
              <w:t>С</w:t>
            </w:r>
          </w:p>
        </w:tc>
        <w:tc>
          <w:tcPr>
            <w:tcW w:w="1133" w:type="dxa"/>
          </w:tcPr>
          <w:p w14:paraId="7FB2DE8E" w14:textId="77777777" w:rsidR="00D01516" w:rsidRPr="00837171" w:rsidRDefault="00D01516" w:rsidP="005056E2">
            <w:pPr>
              <w:pStyle w:val="GOSTTablenorm"/>
            </w:pPr>
            <w:r w:rsidRPr="009D2D00">
              <w:t>tT</w:t>
            </w:r>
            <w:r w:rsidRPr="009D2D00">
              <w:rPr>
                <w:lang w:val="en-US"/>
              </w:rPr>
              <w:t>able</w:t>
            </w:r>
            <w:r>
              <w:rPr>
                <w:lang w:val="en-US"/>
              </w:rPr>
              <w:t>T</w:t>
            </w:r>
            <w:r w:rsidRPr="007F04C4">
              <w:t>r</w:t>
            </w:r>
            <w:r>
              <w:rPr>
                <w:lang w:val="en-US"/>
              </w:rPr>
              <w:t>s</w:t>
            </w:r>
            <w:r w:rsidRPr="007F04C4">
              <w:t>cr</w:t>
            </w:r>
          </w:p>
        </w:tc>
        <w:tc>
          <w:tcPr>
            <w:tcW w:w="569" w:type="dxa"/>
          </w:tcPr>
          <w:p w14:paraId="0C10F5A9" w14:textId="77777777" w:rsidR="00D01516" w:rsidRPr="009D2D00" w:rsidRDefault="00D01516" w:rsidP="005056E2">
            <w:pPr>
              <w:pStyle w:val="GOSTTablenorm"/>
            </w:pPr>
            <w:r w:rsidRPr="009D2D00">
              <w:t>О</w:t>
            </w:r>
          </w:p>
        </w:tc>
        <w:tc>
          <w:tcPr>
            <w:tcW w:w="3957" w:type="dxa"/>
          </w:tcPr>
          <w:p w14:paraId="01AD027B" w14:textId="77777777" w:rsidR="00D01516" w:rsidRPr="009D2D00" w:rsidRDefault="00D01516" w:rsidP="005056E2">
            <w:pPr>
              <w:pStyle w:val="GOSTTablenorm"/>
            </w:pPr>
            <w:r w:rsidRPr="009D2D00">
              <w:t>Табличная часть</w:t>
            </w:r>
            <w:r>
              <w:t xml:space="preserve"> </w:t>
            </w:r>
            <w:r w:rsidRPr="00050272">
              <w:t>«</w:t>
            </w:r>
            <w:r>
              <w:t>Расшифровка</w:t>
            </w:r>
            <w:r w:rsidRPr="00050272">
              <w:t>»</w:t>
            </w:r>
            <w:r w:rsidRPr="009D2D00">
              <w:t>.</w:t>
            </w:r>
          </w:p>
          <w:p w14:paraId="6544D0FE" w14:textId="20F6B458" w:rsidR="00D01516" w:rsidRPr="009D2D00" w:rsidRDefault="00D01516" w:rsidP="005056E2">
            <w:pPr>
              <w:pStyle w:val="GOSTTablenorm"/>
            </w:pPr>
            <w:r w:rsidRPr="009D2D00">
              <w:t>Состав элемента представлен в таблице</w:t>
            </w:r>
            <w:r>
              <w:t xml:space="preserve"> </w:t>
            </w:r>
            <w:r>
              <w:fldChar w:fldCharType="begin"/>
            </w:r>
            <w:r>
              <w:instrText xml:space="preserve"> REF _Ref216204757 \h </w:instrText>
            </w:r>
            <w:r>
              <w:fldChar w:fldCharType="separate"/>
            </w:r>
            <w:r w:rsidR="008D797C">
              <w:rPr>
                <w:rFonts w:eastAsia="Calibri"/>
                <w:noProof/>
                <w:szCs w:val="24"/>
                <w:highlight w:val="green"/>
              </w:rPr>
              <w:t>356</w:t>
            </w:r>
            <w:r>
              <w:fldChar w:fldCharType="end"/>
            </w:r>
          </w:p>
        </w:tc>
      </w:tr>
      <w:tr w:rsidR="00D01516" w:rsidRPr="009D2D00" w14:paraId="16585A7D" w14:textId="77777777" w:rsidTr="005056E2">
        <w:trPr>
          <w:trHeight w:val="283"/>
        </w:trPr>
        <w:tc>
          <w:tcPr>
            <w:tcW w:w="9628" w:type="dxa"/>
            <w:gridSpan w:val="6"/>
          </w:tcPr>
          <w:p w14:paraId="100B235D" w14:textId="77777777" w:rsidR="00D01516" w:rsidRPr="00050272" w:rsidRDefault="00D01516" w:rsidP="005056E2">
            <w:pPr>
              <w:pStyle w:val="GOSTTablenorm"/>
              <w:rPr>
                <w:b/>
              </w:rPr>
            </w:pPr>
            <w:r w:rsidRPr="00050272">
              <w:rPr>
                <w:b/>
              </w:rPr>
              <w:t>Подписи</w:t>
            </w:r>
          </w:p>
        </w:tc>
      </w:tr>
      <w:tr w:rsidR="00D01516" w:rsidRPr="009D2D00" w14:paraId="30B948AC" w14:textId="77777777" w:rsidTr="005056E2">
        <w:trPr>
          <w:trHeight w:val="283"/>
        </w:trPr>
        <w:tc>
          <w:tcPr>
            <w:tcW w:w="1700" w:type="dxa"/>
          </w:tcPr>
          <w:p w14:paraId="56942D9F" w14:textId="77777777" w:rsidR="00D01516" w:rsidRPr="009D2D00" w:rsidRDefault="00D01516" w:rsidP="005056E2">
            <w:pPr>
              <w:pStyle w:val="GOSTTablenorm"/>
            </w:pPr>
            <w:r w:rsidRPr="009D2D00">
              <w:t>Должность руководителя (уполномоченного руководителем лица)</w:t>
            </w:r>
          </w:p>
        </w:tc>
        <w:tc>
          <w:tcPr>
            <w:tcW w:w="1700" w:type="dxa"/>
          </w:tcPr>
          <w:p w14:paraId="0DA72028" w14:textId="77777777" w:rsidR="00D01516" w:rsidRPr="009D2D00" w:rsidRDefault="00D01516" w:rsidP="005056E2">
            <w:pPr>
              <w:pStyle w:val="GOSTTablenorm"/>
            </w:pPr>
            <w:r w:rsidRPr="009D2D00">
              <w:t>headPosition</w:t>
            </w:r>
          </w:p>
        </w:tc>
        <w:tc>
          <w:tcPr>
            <w:tcW w:w="569" w:type="dxa"/>
          </w:tcPr>
          <w:p w14:paraId="5F894784" w14:textId="77777777" w:rsidR="00D01516" w:rsidRPr="009D2D00" w:rsidRDefault="00D01516" w:rsidP="005056E2">
            <w:pPr>
              <w:pStyle w:val="GOSTTablenorm"/>
            </w:pPr>
            <w:r w:rsidRPr="009D2D00">
              <w:t>П</w:t>
            </w:r>
          </w:p>
        </w:tc>
        <w:tc>
          <w:tcPr>
            <w:tcW w:w="1133" w:type="dxa"/>
          </w:tcPr>
          <w:p w14:paraId="30897A81" w14:textId="77777777" w:rsidR="00D01516" w:rsidRPr="009D2D00" w:rsidRDefault="00D01516" w:rsidP="005056E2">
            <w:pPr>
              <w:pStyle w:val="GOSTTablenorm"/>
            </w:pPr>
            <w:r w:rsidRPr="009D2D00">
              <w:t>Т(1-100)</w:t>
            </w:r>
          </w:p>
        </w:tc>
        <w:tc>
          <w:tcPr>
            <w:tcW w:w="569" w:type="dxa"/>
          </w:tcPr>
          <w:p w14:paraId="252D81C1" w14:textId="77777777" w:rsidR="00D01516" w:rsidRPr="009D2D00" w:rsidRDefault="00D01516" w:rsidP="005056E2">
            <w:pPr>
              <w:pStyle w:val="GOSTTablenorm"/>
            </w:pPr>
            <w:r w:rsidRPr="009D2D00">
              <w:t>О</w:t>
            </w:r>
          </w:p>
        </w:tc>
        <w:tc>
          <w:tcPr>
            <w:tcW w:w="3957" w:type="dxa"/>
          </w:tcPr>
          <w:p w14:paraId="5DD78940" w14:textId="77777777" w:rsidR="00D01516" w:rsidRPr="009D2D00" w:rsidRDefault="00D01516" w:rsidP="005056E2">
            <w:pPr>
              <w:pStyle w:val="GOSTTablenorm"/>
            </w:pPr>
            <w:r w:rsidRPr="009D2D00">
              <w:t>Указывается должность руководителя (уполномоченног</w:t>
            </w:r>
            <w:r>
              <w:t>о руководителем лица) заказчика</w:t>
            </w:r>
          </w:p>
        </w:tc>
      </w:tr>
      <w:tr w:rsidR="00D01516" w:rsidRPr="009D2D00" w14:paraId="72823B38" w14:textId="77777777" w:rsidTr="005056E2">
        <w:trPr>
          <w:trHeight w:val="283"/>
        </w:trPr>
        <w:tc>
          <w:tcPr>
            <w:tcW w:w="1700" w:type="dxa"/>
          </w:tcPr>
          <w:p w14:paraId="4F25C1F4" w14:textId="77777777" w:rsidR="00D01516" w:rsidRPr="009D2D00" w:rsidRDefault="00D01516" w:rsidP="005056E2">
            <w:pPr>
              <w:pStyle w:val="GOSTTablenorm"/>
            </w:pPr>
            <w:r w:rsidRPr="009D2D00">
              <w:t>ФИО руководителя</w:t>
            </w:r>
          </w:p>
        </w:tc>
        <w:tc>
          <w:tcPr>
            <w:tcW w:w="1700" w:type="dxa"/>
          </w:tcPr>
          <w:p w14:paraId="768E94D0" w14:textId="77777777" w:rsidR="00D01516" w:rsidRPr="009D2D00" w:rsidRDefault="00D01516" w:rsidP="005056E2">
            <w:pPr>
              <w:pStyle w:val="GOSTTablenorm"/>
              <w:rPr>
                <w:rFonts w:eastAsia="Calibri"/>
              </w:rPr>
            </w:pPr>
            <w:r w:rsidRPr="009D2D00">
              <w:rPr>
                <w:rFonts w:eastAsia="Calibri"/>
              </w:rPr>
              <w:t>headName</w:t>
            </w:r>
          </w:p>
        </w:tc>
        <w:tc>
          <w:tcPr>
            <w:tcW w:w="569" w:type="dxa"/>
          </w:tcPr>
          <w:p w14:paraId="56EFF456" w14:textId="77777777" w:rsidR="00D01516" w:rsidRPr="009D2D00" w:rsidRDefault="00D01516" w:rsidP="005056E2">
            <w:pPr>
              <w:pStyle w:val="GOSTTablenorm"/>
              <w:rPr>
                <w:rFonts w:eastAsia="Calibri"/>
              </w:rPr>
            </w:pPr>
            <w:r w:rsidRPr="009D2D00">
              <w:rPr>
                <w:rFonts w:eastAsia="Calibri"/>
              </w:rPr>
              <w:t>П</w:t>
            </w:r>
          </w:p>
        </w:tc>
        <w:tc>
          <w:tcPr>
            <w:tcW w:w="1133" w:type="dxa"/>
          </w:tcPr>
          <w:p w14:paraId="4E7D5BFC" w14:textId="77777777" w:rsidR="00D01516" w:rsidRPr="009D2D00" w:rsidRDefault="00D01516" w:rsidP="005056E2">
            <w:pPr>
              <w:pStyle w:val="GOSTTablenorm"/>
              <w:rPr>
                <w:rFonts w:eastAsia="Calibri"/>
              </w:rPr>
            </w:pPr>
            <w:r w:rsidRPr="009D2D00">
              <w:rPr>
                <w:rFonts w:eastAsia="Calibri"/>
              </w:rPr>
              <w:t>Т(1-50)</w:t>
            </w:r>
          </w:p>
        </w:tc>
        <w:tc>
          <w:tcPr>
            <w:tcW w:w="569" w:type="dxa"/>
          </w:tcPr>
          <w:p w14:paraId="3A3EBD18" w14:textId="77777777" w:rsidR="00D01516" w:rsidRPr="009D2D00" w:rsidRDefault="00D01516" w:rsidP="005056E2">
            <w:pPr>
              <w:pStyle w:val="GOSTTablenorm"/>
              <w:rPr>
                <w:rFonts w:eastAsia="Calibri"/>
              </w:rPr>
            </w:pPr>
            <w:r w:rsidRPr="009D2D00">
              <w:rPr>
                <w:rFonts w:eastAsia="Calibri"/>
              </w:rPr>
              <w:t>О</w:t>
            </w:r>
          </w:p>
        </w:tc>
        <w:tc>
          <w:tcPr>
            <w:tcW w:w="3957" w:type="dxa"/>
          </w:tcPr>
          <w:p w14:paraId="13E926CD" w14:textId="77777777" w:rsidR="00D01516" w:rsidRPr="009D2D00" w:rsidRDefault="00D01516" w:rsidP="005056E2">
            <w:pPr>
              <w:pStyle w:val="GOSTTablenorm"/>
            </w:pPr>
            <w:r w:rsidRPr="009D2D00">
              <w:t>Указыва</w:t>
            </w:r>
            <w:r>
              <w:t>ется ФИО руководителя заказчика</w:t>
            </w:r>
          </w:p>
        </w:tc>
      </w:tr>
      <w:tr w:rsidR="00D01516" w:rsidRPr="009D2D00" w14:paraId="1771A9F1" w14:textId="77777777" w:rsidTr="005056E2">
        <w:trPr>
          <w:trHeight w:val="283"/>
        </w:trPr>
        <w:tc>
          <w:tcPr>
            <w:tcW w:w="1700" w:type="dxa"/>
          </w:tcPr>
          <w:p w14:paraId="0926CEC1" w14:textId="77777777" w:rsidR="00D01516" w:rsidRPr="009D2D00" w:rsidRDefault="00D01516" w:rsidP="005056E2">
            <w:pPr>
              <w:pStyle w:val="GOSTTablenorm"/>
            </w:pPr>
            <w:r w:rsidRPr="009D2D00">
              <w:lastRenderedPageBreak/>
              <w:t xml:space="preserve">Дата </w:t>
            </w:r>
            <w:r w:rsidRPr="00532ACE">
              <w:t>подписания</w:t>
            </w:r>
          </w:p>
        </w:tc>
        <w:tc>
          <w:tcPr>
            <w:tcW w:w="1700" w:type="dxa"/>
          </w:tcPr>
          <w:p w14:paraId="30D67BE2" w14:textId="77777777" w:rsidR="00D01516" w:rsidRPr="009D2D00" w:rsidRDefault="00D01516" w:rsidP="005056E2">
            <w:pPr>
              <w:pStyle w:val="GOSTTablenorm"/>
              <w:rPr>
                <w:rFonts w:eastAsia="Calibri"/>
              </w:rPr>
            </w:pPr>
            <w:r w:rsidRPr="009D2D00">
              <w:rPr>
                <w:rFonts w:eastAsia="Calibri"/>
              </w:rPr>
              <w:t>approveDate</w:t>
            </w:r>
          </w:p>
        </w:tc>
        <w:tc>
          <w:tcPr>
            <w:tcW w:w="569" w:type="dxa"/>
          </w:tcPr>
          <w:p w14:paraId="2F5B68AA" w14:textId="77777777" w:rsidR="00D01516" w:rsidRPr="009D2D00" w:rsidRDefault="00D01516" w:rsidP="005056E2">
            <w:pPr>
              <w:pStyle w:val="GOSTTablenorm"/>
              <w:rPr>
                <w:rFonts w:eastAsia="Calibri"/>
              </w:rPr>
            </w:pPr>
            <w:r w:rsidRPr="009D2D00">
              <w:rPr>
                <w:rFonts w:eastAsia="Calibri"/>
              </w:rPr>
              <w:t>П</w:t>
            </w:r>
          </w:p>
        </w:tc>
        <w:tc>
          <w:tcPr>
            <w:tcW w:w="1133" w:type="dxa"/>
          </w:tcPr>
          <w:p w14:paraId="60CB1A3F" w14:textId="77777777" w:rsidR="00D01516" w:rsidRPr="009D2D00" w:rsidRDefault="00D01516" w:rsidP="005056E2">
            <w:pPr>
              <w:pStyle w:val="GOSTTablenorm"/>
              <w:rPr>
                <w:rFonts w:eastAsia="Calibri"/>
              </w:rPr>
            </w:pPr>
            <w:r w:rsidRPr="009D2D00">
              <w:rPr>
                <w:rFonts w:eastAsia="Calibri"/>
                <w:lang w:val="en-US"/>
              </w:rPr>
              <w:t>D</w:t>
            </w:r>
            <w:r w:rsidRPr="009D2D00">
              <w:rPr>
                <w:rFonts w:eastAsia="Calibri"/>
              </w:rPr>
              <w:t>ate</w:t>
            </w:r>
          </w:p>
        </w:tc>
        <w:tc>
          <w:tcPr>
            <w:tcW w:w="569" w:type="dxa"/>
          </w:tcPr>
          <w:p w14:paraId="6ABAD094" w14:textId="77777777" w:rsidR="00D01516" w:rsidRPr="009D2D00" w:rsidRDefault="00D01516" w:rsidP="005056E2">
            <w:pPr>
              <w:pStyle w:val="GOSTTablenorm"/>
              <w:rPr>
                <w:rFonts w:eastAsia="Calibri"/>
              </w:rPr>
            </w:pPr>
            <w:r w:rsidRPr="009D2D00">
              <w:rPr>
                <w:rFonts w:eastAsia="Calibri"/>
              </w:rPr>
              <w:t>О</w:t>
            </w:r>
          </w:p>
        </w:tc>
        <w:tc>
          <w:tcPr>
            <w:tcW w:w="3957" w:type="dxa"/>
          </w:tcPr>
          <w:p w14:paraId="1BE0BAF9" w14:textId="77777777" w:rsidR="00D01516" w:rsidRPr="009D2D00" w:rsidRDefault="00D01516" w:rsidP="005056E2">
            <w:pPr>
              <w:pStyle w:val="GOSTTablenorm"/>
            </w:pPr>
            <w:r w:rsidRPr="009D2D00">
              <w:t>Указывается дата утверждения документа руководителем (уполномоченным</w:t>
            </w:r>
            <w:r>
              <w:t xml:space="preserve"> руководителем лицом) заказчика</w:t>
            </w:r>
          </w:p>
        </w:tc>
      </w:tr>
    </w:tbl>
    <w:p w14:paraId="7E9140F6" w14:textId="77777777" w:rsidR="00D01516" w:rsidRPr="00BF75F2" w:rsidRDefault="00D01516" w:rsidP="00D01516">
      <w:pPr>
        <w:pStyle w:val="31"/>
        <w:suppressAutoHyphens/>
        <w:rPr>
          <w:highlight w:val="green"/>
        </w:rPr>
      </w:pPr>
      <w:bookmarkStart w:id="4544" w:name="_Toc185884056"/>
      <w:bookmarkStart w:id="4545" w:name="_Toc201851018"/>
      <w:bookmarkStart w:id="4546" w:name="_Toc219309844"/>
      <w:r w:rsidRPr="00BF75F2">
        <w:rPr>
          <w:highlight w:val="green"/>
        </w:rPr>
        <w:t>Описание комплексного типа «tVidDocComplex»</w:t>
      </w:r>
      <w:bookmarkEnd w:id="4544"/>
      <w:bookmarkEnd w:id="4545"/>
      <w:bookmarkEnd w:id="4546"/>
    </w:p>
    <w:p w14:paraId="25762956" w14:textId="77777777" w:rsidR="00D01516" w:rsidRPr="009D2D00" w:rsidRDefault="00D01516" w:rsidP="00D01516">
      <w:pPr>
        <w:pStyle w:val="ASFKNormal"/>
        <w:spacing w:before="60" w:after="120"/>
        <w:contextualSpacing w:val="0"/>
        <w:jc w:val="both"/>
        <w:rPr>
          <w:sz w:val="24"/>
          <w:szCs w:val="24"/>
        </w:rPr>
      </w:pPr>
      <w:r w:rsidRPr="009D2D00">
        <w:rPr>
          <w:sz w:val="24"/>
          <w:szCs w:val="24"/>
        </w:rPr>
        <w:t>Описание комплексного типа «tV</w:t>
      </w:r>
      <w:r w:rsidRPr="009D2D00">
        <w:rPr>
          <w:sz w:val="24"/>
          <w:szCs w:val="24"/>
          <w:lang w:val="en-US"/>
        </w:rPr>
        <w:t>id</w:t>
      </w:r>
      <w:r w:rsidRPr="009D2D00">
        <w:rPr>
          <w:sz w:val="24"/>
          <w:szCs w:val="24"/>
        </w:rPr>
        <w:t>D</w:t>
      </w:r>
      <w:r w:rsidRPr="009D2D00">
        <w:rPr>
          <w:sz w:val="24"/>
          <w:szCs w:val="24"/>
          <w:lang w:val="en-US"/>
        </w:rPr>
        <w:t>oc</w:t>
      </w:r>
      <w:r w:rsidRPr="009D2D00">
        <w:rPr>
          <w:sz w:val="24"/>
          <w:szCs w:val="24"/>
        </w:rPr>
        <w:t>Complex» блока «Вид документа».</w:t>
      </w:r>
    </w:p>
    <w:p w14:paraId="411C8768" w14:textId="60FBC45D" w:rsidR="00D01516" w:rsidRPr="00BF75F2" w:rsidRDefault="00D01516" w:rsidP="00D01516">
      <w:pPr>
        <w:pStyle w:val="GOSTNameTable"/>
        <w:numPr>
          <w:ilvl w:val="0"/>
          <w:numId w:val="151"/>
        </w:numPr>
        <w:suppressAutoHyphens/>
        <w:spacing w:before="240" w:after="120"/>
        <w:ind w:left="425" w:hanging="357"/>
        <w:rPr>
          <w:rFonts w:eastAsia="Calibri"/>
          <w:szCs w:val="24"/>
          <w:highlight w:val="green"/>
        </w:rPr>
      </w:pPr>
      <w:r w:rsidRPr="00BF75F2">
        <w:rPr>
          <w:rFonts w:eastAsia="Calibri"/>
          <w:szCs w:val="24"/>
          <w:highlight w:val="green"/>
        </w:rPr>
        <w:fldChar w:fldCharType="begin"/>
      </w:r>
      <w:r w:rsidRPr="00BF75F2">
        <w:rPr>
          <w:rFonts w:eastAsia="Calibri"/>
          <w:szCs w:val="24"/>
          <w:highlight w:val="green"/>
        </w:rPr>
        <w:instrText xml:space="preserve"> SEQ Таблица \* ARABIC </w:instrText>
      </w:r>
      <w:r w:rsidRPr="00BF75F2">
        <w:rPr>
          <w:rFonts w:eastAsia="Calibri"/>
          <w:szCs w:val="24"/>
          <w:highlight w:val="green"/>
        </w:rPr>
        <w:fldChar w:fldCharType="separate"/>
      </w:r>
      <w:bookmarkStart w:id="4547" w:name="_Ref216204755"/>
      <w:bookmarkStart w:id="4548" w:name="_Toc185882669"/>
      <w:bookmarkStart w:id="4549" w:name="_Toc219309383"/>
      <w:r w:rsidR="008D797C">
        <w:rPr>
          <w:rFonts w:eastAsia="Calibri"/>
          <w:noProof/>
          <w:szCs w:val="24"/>
          <w:highlight w:val="green"/>
        </w:rPr>
        <w:t>353</w:t>
      </w:r>
      <w:bookmarkEnd w:id="4547"/>
      <w:r w:rsidRPr="00BF75F2">
        <w:rPr>
          <w:rFonts w:eastAsia="Calibri"/>
          <w:szCs w:val="24"/>
          <w:highlight w:val="green"/>
        </w:rPr>
        <w:fldChar w:fldCharType="end"/>
      </w:r>
      <w:r w:rsidRPr="00BF75F2">
        <w:rPr>
          <w:rFonts w:eastAsia="Calibri"/>
          <w:szCs w:val="24"/>
          <w:highlight w:val="green"/>
        </w:rPr>
        <w:t xml:space="preserve"> – Описание комплексного типа «tV</w:t>
      </w:r>
      <w:r w:rsidRPr="00BF75F2">
        <w:rPr>
          <w:rFonts w:eastAsia="Calibri"/>
          <w:szCs w:val="24"/>
          <w:highlight w:val="green"/>
          <w:lang w:val="en-US"/>
        </w:rPr>
        <w:t>id</w:t>
      </w:r>
      <w:r w:rsidRPr="00BF75F2">
        <w:rPr>
          <w:rFonts w:eastAsia="Calibri"/>
          <w:szCs w:val="24"/>
          <w:highlight w:val="green"/>
        </w:rPr>
        <w:t>D</w:t>
      </w:r>
      <w:r w:rsidRPr="00BF75F2">
        <w:rPr>
          <w:rFonts w:eastAsia="Calibri"/>
          <w:szCs w:val="24"/>
          <w:highlight w:val="green"/>
          <w:lang w:val="en-US"/>
        </w:rPr>
        <w:t>oc</w:t>
      </w:r>
      <w:r w:rsidRPr="00BF75F2">
        <w:rPr>
          <w:rFonts w:eastAsia="Calibri"/>
          <w:szCs w:val="24"/>
          <w:highlight w:val="green"/>
        </w:rPr>
        <w:t>Complex»</w:t>
      </w:r>
      <w:bookmarkEnd w:id="4548"/>
      <w:bookmarkEnd w:id="4549"/>
    </w:p>
    <w:tbl>
      <w:tblPr>
        <w:tblStyle w:val="GOSTTable"/>
        <w:tblW w:w="5000" w:type="pct"/>
        <w:tblLayout w:type="fixed"/>
        <w:tblLook w:val="07E0" w:firstRow="1" w:lastRow="1" w:firstColumn="1" w:lastColumn="1" w:noHBand="1" w:noVBand="1"/>
      </w:tblPr>
      <w:tblGrid>
        <w:gridCol w:w="1707"/>
        <w:gridCol w:w="1704"/>
        <w:gridCol w:w="567"/>
        <w:gridCol w:w="1137"/>
        <w:gridCol w:w="567"/>
        <w:gridCol w:w="3968"/>
      </w:tblGrid>
      <w:tr w:rsidR="00D01516" w:rsidRPr="009D2D00" w14:paraId="13A25307" w14:textId="77777777" w:rsidTr="00D01516">
        <w:trPr>
          <w:cnfStyle w:val="100000000000" w:firstRow="1" w:lastRow="0" w:firstColumn="0" w:lastColumn="0" w:oddVBand="0" w:evenVBand="0" w:oddHBand="0" w:evenHBand="0" w:firstRowFirstColumn="0" w:firstRowLastColumn="0" w:lastRowFirstColumn="0" w:lastRowLastColumn="0"/>
          <w:trHeight w:val="282"/>
          <w:tblHeader/>
        </w:trPr>
        <w:tc>
          <w:tcPr>
            <w:tcW w:w="884" w:type="pct"/>
          </w:tcPr>
          <w:p w14:paraId="7E837F56" w14:textId="77777777" w:rsidR="00D01516" w:rsidRPr="009D2D00" w:rsidRDefault="00D01516" w:rsidP="005056E2">
            <w:pPr>
              <w:pStyle w:val="GOSTTableHead"/>
            </w:pPr>
            <w:r w:rsidRPr="009D2D00">
              <w:t>Наименование элемента</w:t>
            </w:r>
          </w:p>
        </w:tc>
        <w:tc>
          <w:tcPr>
            <w:tcW w:w="883" w:type="pct"/>
          </w:tcPr>
          <w:p w14:paraId="15B90F4A" w14:textId="77777777" w:rsidR="00D01516" w:rsidRPr="009D2D00" w:rsidRDefault="00D01516" w:rsidP="005056E2">
            <w:pPr>
              <w:pStyle w:val="GOSTTableHead"/>
            </w:pPr>
            <w:r w:rsidRPr="009D2D00">
              <w:t>Сокращенное наименование (код) элемента</w:t>
            </w:r>
          </w:p>
        </w:tc>
        <w:tc>
          <w:tcPr>
            <w:tcW w:w="294" w:type="pct"/>
          </w:tcPr>
          <w:p w14:paraId="778C45E6" w14:textId="77777777" w:rsidR="00D01516" w:rsidRPr="009D2D00" w:rsidRDefault="00D01516" w:rsidP="005056E2">
            <w:pPr>
              <w:pStyle w:val="GOSTTableHead"/>
            </w:pPr>
            <w:r w:rsidRPr="009D2D00">
              <w:t>Тип</w:t>
            </w:r>
          </w:p>
        </w:tc>
        <w:tc>
          <w:tcPr>
            <w:tcW w:w="589" w:type="pct"/>
          </w:tcPr>
          <w:p w14:paraId="5B627559" w14:textId="77777777" w:rsidR="00D01516" w:rsidRPr="009D2D00" w:rsidRDefault="00D01516" w:rsidP="005056E2">
            <w:pPr>
              <w:pStyle w:val="GOSTTableHead"/>
            </w:pPr>
            <w:r w:rsidRPr="009D2D00">
              <w:t>Формат элемента</w:t>
            </w:r>
          </w:p>
        </w:tc>
        <w:tc>
          <w:tcPr>
            <w:tcW w:w="294" w:type="pct"/>
          </w:tcPr>
          <w:p w14:paraId="6B3CCDA4" w14:textId="77777777" w:rsidR="00D01516" w:rsidRPr="009D2D00" w:rsidRDefault="00D01516" w:rsidP="005056E2">
            <w:pPr>
              <w:pStyle w:val="GOSTTableHead"/>
            </w:pPr>
            <w:r w:rsidRPr="009D2D00">
              <w:t>Обязательность</w:t>
            </w:r>
          </w:p>
        </w:tc>
        <w:tc>
          <w:tcPr>
            <w:tcW w:w="2057" w:type="pct"/>
          </w:tcPr>
          <w:p w14:paraId="16AA0584" w14:textId="77777777" w:rsidR="00D01516" w:rsidRPr="009D2D00" w:rsidRDefault="00D01516" w:rsidP="005056E2">
            <w:pPr>
              <w:pStyle w:val="GOSTTableHead"/>
            </w:pPr>
            <w:r w:rsidRPr="009D2D00">
              <w:t>Дополнительная информация</w:t>
            </w:r>
          </w:p>
        </w:tc>
      </w:tr>
      <w:tr w:rsidR="00D01516" w:rsidRPr="009D2D00" w14:paraId="7CCDAA1C" w14:textId="77777777" w:rsidTr="005056E2">
        <w:trPr>
          <w:trHeight w:val="282"/>
        </w:trPr>
        <w:tc>
          <w:tcPr>
            <w:tcW w:w="884" w:type="pct"/>
          </w:tcPr>
          <w:p w14:paraId="5557DE40" w14:textId="77777777" w:rsidR="00D01516" w:rsidRPr="009D2D00" w:rsidRDefault="00D01516" w:rsidP="005056E2">
            <w:pPr>
              <w:pStyle w:val="GOSTTablenorm"/>
            </w:pPr>
            <w:r w:rsidRPr="009D2D00">
              <w:t>Код</w:t>
            </w:r>
          </w:p>
        </w:tc>
        <w:tc>
          <w:tcPr>
            <w:tcW w:w="883" w:type="pct"/>
          </w:tcPr>
          <w:p w14:paraId="26F62B9F" w14:textId="77777777" w:rsidR="00D01516" w:rsidRPr="009D2D00" w:rsidRDefault="00D01516" w:rsidP="005056E2">
            <w:pPr>
              <w:pStyle w:val="GOSTTablenorm"/>
            </w:pPr>
            <w:r w:rsidRPr="009D2D00">
              <w:t>code</w:t>
            </w:r>
          </w:p>
        </w:tc>
        <w:tc>
          <w:tcPr>
            <w:tcW w:w="294" w:type="pct"/>
          </w:tcPr>
          <w:p w14:paraId="4CF43B97" w14:textId="77777777" w:rsidR="00D01516" w:rsidRPr="009D2D00" w:rsidRDefault="00D01516" w:rsidP="005056E2">
            <w:pPr>
              <w:pStyle w:val="GOSTTablenorm"/>
            </w:pPr>
            <w:r w:rsidRPr="009D2D00">
              <w:t>А</w:t>
            </w:r>
          </w:p>
        </w:tc>
        <w:tc>
          <w:tcPr>
            <w:tcW w:w="589" w:type="pct"/>
          </w:tcPr>
          <w:p w14:paraId="509EFEF9" w14:textId="77777777" w:rsidR="00D01516" w:rsidRPr="009D2D00" w:rsidRDefault="00D01516" w:rsidP="005056E2">
            <w:pPr>
              <w:pStyle w:val="GOSTTablenorm"/>
            </w:pPr>
            <w:r w:rsidRPr="009D2D00">
              <w:t>-</w:t>
            </w:r>
          </w:p>
        </w:tc>
        <w:tc>
          <w:tcPr>
            <w:tcW w:w="294" w:type="pct"/>
          </w:tcPr>
          <w:p w14:paraId="7EA87E9B" w14:textId="77777777" w:rsidR="00D01516" w:rsidRPr="0012332B" w:rsidRDefault="00D01516" w:rsidP="005056E2">
            <w:pPr>
              <w:pStyle w:val="GOSTTablenorm"/>
            </w:pPr>
            <w:r w:rsidRPr="0012332B">
              <w:t>О</w:t>
            </w:r>
          </w:p>
        </w:tc>
        <w:tc>
          <w:tcPr>
            <w:tcW w:w="2057" w:type="pct"/>
          </w:tcPr>
          <w:p w14:paraId="210DEC95" w14:textId="77777777" w:rsidR="00D01516" w:rsidRDefault="00D01516" w:rsidP="005056E2">
            <w:pPr>
              <w:pStyle w:val="GOSTTablenorm"/>
            </w:pPr>
            <w:r w:rsidRPr="0012332B">
              <w:t>Возможные значения:</w:t>
            </w:r>
          </w:p>
          <w:p w14:paraId="2E39D5BD" w14:textId="77777777" w:rsidR="00D01516" w:rsidRPr="0012332B" w:rsidRDefault="00D01516" w:rsidP="00D01516">
            <w:pPr>
              <w:pStyle w:val="GOSTTableListMark1"/>
              <w:numPr>
                <w:ilvl w:val="0"/>
                <w:numId w:val="154"/>
              </w:numPr>
              <w:tabs>
                <w:tab w:val="clear" w:pos="368"/>
                <w:tab w:val="num" w:pos="340"/>
              </w:tabs>
              <w:ind w:left="340"/>
            </w:pPr>
            <w:r w:rsidRPr="0012332B">
              <w:t>«01» – основной документ;</w:t>
            </w:r>
          </w:p>
          <w:p w14:paraId="7BC983AE" w14:textId="77777777" w:rsidR="00D01516" w:rsidRPr="0012332B" w:rsidRDefault="00D01516" w:rsidP="00D01516">
            <w:pPr>
              <w:pStyle w:val="GOSTTableListMark1"/>
              <w:numPr>
                <w:ilvl w:val="0"/>
                <w:numId w:val="154"/>
              </w:numPr>
              <w:tabs>
                <w:tab w:val="clear" w:pos="368"/>
                <w:tab w:val="num" w:pos="340"/>
              </w:tabs>
              <w:ind w:left="340"/>
            </w:pPr>
            <w:r w:rsidRPr="0012332B">
              <w:t>«02» – изменения к документу</w:t>
            </w:r>
          </w:p>
        </w:tc>
      </w:tr>
      <w:tr w:rsidR="00D01516" w:rsidRPr="009D2D00" w14:paraId="46D99B68" w14:textId="77777777" w:rsidTr="005056E2">
        <w:trPr>
          <w:trHeight w:val="282"/>
        </w:trPr>
        <w:tc>
          <w:tcPr>
            <w:tcW w:w="884" w:type="pct"/>
          </w:tcPr>
          <w:p w14:paraId="7903F6C5" w14:textId="77777777" w:rsidR="00D01516" w:rsidRPr="009D2D00" w:rsidRDefault="00D01516" w:rsidP="005056E2">
            <w:pPr>
              <w:pStyle w:val="GOSTTablenorm"/>
            </w:pPr>
            <w:r w:rsidRPr="009D2D00">
              <w:t>Вид документа</w:t>
            </w:r>
          </w:p>
        </w:tc>
        <w:tc>
          <w:tcPr>
            <w:tcW w:w="883" w:type="pct"/>
          </w:tcPr>
          <w:p w14:paraId="281ED47C" w14:textId="77777777" w:rsidR="00D01516" w:rsidRPr="009D2D00" w:rsidRDefault="00D01516" w:rsidP="005056E2">
            <w:pPr>
              <w:pStyle w:val="GOSTTablenorm"/>
            </w:pPr>
            <w:r w:rsidRPr="009D2D00">
              <w:t>value</w:t>
            </w:r>
          </w:p>
        </w:tc>
        <w:tc>
          <w:tcPr>
            <w:tcW w:w="294" w:type="pct"/>
          </w:tcPr>
          <w:p w14:paraId="41CA68B2" w14:textId="77777777" w:rsidR="00D01516" w:rsidRPr="009D2D00" w:rsidRDefault="00D01516" w:rsidP="005056E2">
            <w:pPr>
              <w:pStyle w:val="GOSTTablenorm"/>
            </w:pPr>
            <w:r w:rsidRPr="009D2D00">
              <w:t>А</w:t>
            </w:r>
          </w:p>
        </w:tc>
        <w:tc>
          <w:tcPr>
            <w:tcW w:w="589" w:type="pct"/>
          </w:tcPr>
          <w:p w14:paraId="0D1F51BA" w14:textId="77777777" w:rsidR="00D01516" w:rsidRPr="009D2D00" w:rsidRDefault="00D01516" w:rsidP="005056E2">
            <w:pPr>
              <w:pStyle w:val="GOSTTablenorm"/>
            </w:pPr>
            <w:r w:rsidRPr="009D2D00">
              <w:t>-</w:t>
            </w:r>
          </w:p>
        </w:tc>
        <w:tc>
          <w:tcPr>
            <w:tcW w:w="294" w:type="pct"/>
          </w:tcPr>
          <w:p w14:paraId="058F16FA" w14:textId="77777777" w:rsidR="00D01516" w:rsidRPr="0012332B" w:rsidRDefault="00D01516" w:rsidP="005056E2">
            <w:pPr>
              <w:pStyle w:val="GOSTTablenorm"/>
            </w:pPr>
            <w:r w:rsidRPr="0012332B">
              <w:t>Н</w:t>
            </w:r>
          </w:p>
        </w:tc>
        <w:tc>
          <w:tcPr>
            <w:tcW w:w="2057" w:type="pct"/>
          </w:tcPr>
          <w:p w14:paraId="5D713675" w14:textId="77777777" w:rsidR="00D01516" w:rsidRPr="0012332B" w:rsidRDefault="00D01516" w:rsidP="005056E2">
            <w:pPr>
              <w:pStyle w:val="GOSTTablenorm"/>
            </w:pPr>
            <w:r w:rsidRPr="0012332B">
              <w:t>Возможные значения:</w:t>
            </w:r>
          </w:p>
          <w:p w14:paraId="5B4304D6" w14:textId="77777777" w:rsidR="00D01516" w:rsidRPr="0012332B" w:rsidRDefault="00D01516" w:rsidP="00D01516">
            <w:pPr>
              <w:pStyle w:val="GOSTTableListMark1"/>
              <w:numPr>
                <w:ilvl w:val="0"/>
                <w:numId w:val="154"/>
              </w:numPr>
              <w:tabs>
                <w:tab w:val="clear" w:pos="368"/>
                <w:tab w:val="num" w:pos="340"/>
              </w:tabs>
              <w:ind w:left="340"/>
            </w:pPr>
            <w:r>
              <w:t>«</w:t>
            </w:r>
            <w:r w:rsidRPr="0012332B">
              <w:t>основной документ</w:t>
            </w:r>
            <w:r>
              <w:t>»</w:t>
            </w:r>
            <w:r w:rsidRPr="0012332B">
              <w:t>;</w:t>
            </w:r>
          </w:p>
          <w:p w14:paraId="351D79E2" w14:textId="77777777" w:rsidR="00D01516" w:rsidRPr="0012332B" w:rsidRDefault="00D01516" w:rsidP="00D01516">
            <w:pPr>
              <w:pStyle w:val="GOSTTableListMark1"/>
              <w:numPr>
                <w:ilvl w:val="0"/>
                <w:numId w:val="154"/>
              </w:numPr>
              <w:tabs>
                <w:tab w:val="clear" w:pos="368"/>
                <w:tab w:val="num" w:pos="340"/>
              </w:tabs>
              <w:ind w:left="340"/>
            </w:pPr>
            <w:r>
              <w:t>«</w:t>
            </w:r>
            <w:r w:rsidRPr="0012332B">
              <w:t>изменения к документу</w:t>
            </w:r>
            <w:r>
              <w:t>»</w:t>
            </w:r>
          </w:p>
        </w:tc>
      </w:tr>
    </w:tbl>
    <w:p w14:paraId="252BC97D" w14:textId="77777777" w:rsidR="00D01516" w:rsidRPr="00BF75F2" w:rsidRDefault="00D01516" w:rsidP="00D01516">
      <w:pPr>
        <w:pStyle w:val="31"/>
        <w:suppressAutoHyphens/>
        <w:rPr>
          <w:highlight w:val="green"/>
        </w:rPr>
      </w:pPr>
      <w:bookmarkStart w:id="4550" w:name="_Toc185884057"/>
      <w:bookmarkStart w:id="4551" w:name="_Toc201851019"/>
      <w:bookmarkStart w:id="4552" w:name="_Toc219309845"/>
      <w:r w:rsidRPr="00BF75F2">
        <w:rPr>
          <w:highlight w:val="green"/>
        </w:rPr>
        <w:t>Описание комплексного типа «tT</w:t>
      </w:r>
      <w:r w:rsidRPr="00BF75F2">
        <w:rPr>
          <w:highlight w:val="green"/>
          <w:lang w:val="en-US"/>
        </w:rPr>
        <w:t>able</w:t>
      </w:r>
      <w:r w:rsidRPr="00BF75F2">
        <w:rPr>
          <w:highlight w:val="green"/>
        </w:rPr>
        <w:t>Pl</w:t>
      </w:r>
      <w:r w:rsidRPr="00BF75F2">
        <w:rPr>
          <w:highlight w:val="green"/>
          <w:lang w:val="en-US"/>
        </w:rPr>
        <w:t>anP</w:t>
      </w:r>
      <w:r w:rsidRPr="00BF75F2">
        <w:rPr>
          <w:highlight w:val="green"/>
        </w:rPr>
        <w:t>ay»</w:t>
      </w:r>
      <w:bookmarkEnd w:id="4550"/>
      <w:bookmarkEnd w:id="4551"/>
      <w:bookmarkEnd w:id="4552"/>
    </w:p>
    <w:p w14:paraId="1BDD78AF" w14:textId="77777777" w:rsidR="00D01516" w:rsidRPr="009D2D00" w:rsidRDefault="00D01516" w:rsidP="00D01516">
      <w:pPr>
        <w:pStyle w:val="ASFKNormal"/>
        <w:spacing w:before="60" w:after="120"/>
        <w:contextualSpacing w:val="0"/>
        <w:jc w:val="both"/>
        <w:rPr>
          <w:sz w:val="24"/>
          <w:szCs w:val="24"/>
        </w:rPr>
      </w:pPr>
      <w:r w:rsidRPr="009D2D00">
        <w:rPr>
          <w:sz w:val="24"/>
          <w:szCs w:val="24"/>
        </w:rPr>
        <w:t>Описание комплексного типа «</w:t>
      </w:r>
      <w:r w:rsidRPr="007F04C4">
        <w:rPr>
          <w:sz w:val="24"/>
          <w:szCs w:val="24"/>
        </w:rPr>
        <w:t>tTablePlanPay</w:t>
      </w:r>
      <w:r w:rsidRPr="009D2D00">
        <w:rPr>
          <w:sz w:val="24"/>
          <w:szCs w:val="24"/>
        </w:rPr>
        <w:t>» блока «Табличная часть</w:t>
      </w:r>
      <w:r>
        <w:rPr>
          <w:sz w:val="24"/>
          <w:szCs w:val="24"/>
        </w:rPr>
        <w:t xml:space="preserve"> </w:t>
      </w:r>
      <w:r w:rsidRPr="00D77362">
        <w:rPr>
          <w:sz w:val="24"/>
          <w:szCs w:val="24"/>
        </w:rPr>
        <w:t>«Планируемые платежи»</w:t>
      </w:r>
      <w:r w:rsidRPr="009D2D00">
        <w:rPr>
          <w:sz w:val="24"/>
          <w:szCs w:val="24"/>
        </w:rPr>
        <w:t>».</w:t>
      </w:r>
    </w:p>
    <w:p w14:paraId="1A6B94DD" w14:textId="4F818413" w:rsidR="00D01516" w:rsidRPr="00BF75F2" w:rsidRDefault="00D01516" w:rsidP="00D01516">
      <w:pPr>
        <w:pStyle w:val="GOSTNameTable"/>
        <w:numPr>
          <w:ilvl w:val="0"/>
          <w:numId w:val="151"/>
        </w:numPr>
        <w:suppressAutoHyphens/>
        <w:spacing w:before="240" w:after="120"/>
        <w:rPr>
          <w:rFonts w:eastAsia="Calibri"/>
          <w:highlight w:val="green"/>
        </w:rPr>
      </w:pPr>
      <w:r w:rsidRPr="00BF75F2">
        <w:rPr>
          <w:rFonts w:eastAsia="Calibri"/>
          <w:highlight w:val="green"/>
        </w:rPr>
        <w:fldChar w:fldCharType="begin"/>
      </w:r>
      <w:r w:rsidRPr="00BF75F2">
        <w:rPr>
          <w:rFonts w:eastAsia="Calibri"/>
          <w:highlight w:val="green"/>
        </w:rPr>
        <w:instrText xml:space="preserve"> SEQ Таблица \* ARABIC </w:instrText>
      </w:r>
      <w:r w:rsidRPr="00BF75F2">
        <w:rPr>
          <w:rFonts w:eastAsia="Calibri"/>
          <w:highlight w:val="green"/>
        </w:rPr>
        <w:fldChar w:fldCharType="separate"/>
      </w:r>
      <w:bookmarkStart w:id="4553" w:name="_Ref216204756"/>
      <w:bookmarkStart w:id="4554" w:name="_Toc185882670"/>
      <w:bookmarkStart w:id="4555" w:name="_Toc219309384"/>
      <w:r w:rsidR="008D797C">
        <w:rPr>
          <w:rFonts w:eastAsia="Calibri"/>
          <w:noProof/>
          <w:highlight w:val="green"/>
        </w:rPr>
        <w:t>354</w:t>
      </w:r>
      <w:bookmarkEnd w:id="4553"/>
      <w:r w:rsidRPr="00BF75F2">
        <w:rPr>
          <w:rFonts w:eastAsia="Calibri"/>
          <w:highlight w:val="green"/>
        </w:rPr>
        <w:fldChar w:fldCharType="end"/>
      </w:r>
      <w:r w:rsidRPr="00BF75F2">
        <w:rPr>
          <w:rFonts w:eastAsia="Calibri"/>
          <w:highlight w:val="green"/>
        </w:rPr>
        <w:t xml:space="preserve"> – Описание комплексного типа «</w:t>
      </w:r>
      <w:r w:rsidRPr="00BF75F2">
        <w:rPr>
          <w:rFonts w:eastAsia="Calibri"/>
          <w:szCs w:val="24"/>
          <w:highlight w:val="green"/>
        </w:rPr>
        <w:t>tTablePlanPay</w:t>
      </w:r>
      <w:r w:rsidRPr="00BF75F2">
        <w:rPr>
          <w:rFonts w:eastAsia="Calibri"/>
          <w:highlight w:val="green"/>
        </w:rPr>
        <w:t>»</w:t>
      </w:r>
      <w:bookmarkEnd w:id="4554"/>
      <w:bookmarkEnd w:id="4555"/>
    </w:p>
    <w:tbl>
      <w:tblPr>
        <w:tblStyle w:val="GOSTTable"/>
        <w:tblW w:w="5000" w:type="pct"/>
        <w:tblLayout w:type="fixed"/>
        <w:tblLook w:val="07E0" w:firstRow="1" w:lastRow="1" w:firstColumn="1" w:lastColumn="1" w:noHBand="1" w:noVBand="1"/>
      </w:tblPr>
      <w:tblGrid>
        <w:gridCol w:w="1705"/>
        <w:gridCol w:w="1705"/>
        <w:gridCol w:w="568"/>
        <w:gridCol w:w="1137"/>
        <w:gridCol w:w="567"/>
        <w:gridCol w:w="3968"/>
      </w:tblGrid>
      <w:tr w:rsidR="00D01516" w:rsidRPr="009D2D00" w14:paraId="2C3CA140" w14:textId="77777777" w:rsidTr="00D01516">
        <w:trPr>
          <w:cnfStyle w:val="100000000000" w:firstRow="1" w:lastRow="0" w:firstColumn="0" w:lastColumn="0" w:oddVBand="0" w:evenVBand="0" w:oddHBand="0" w:evenHBand="0" w:firstRowFirstColumn="0" w:firstRowLastColumn="0" w:lastRowFirstColumn="0" w:lastRowLastColumn="0"/>
          <w:trHeight w:val="282"/>
          <w:tblHeader/>
        </w:trPr>
        <w:tc>
          <w:tcPr>
            <w:tcW w:w="883" w:type="pct"/>
          </w:tcPr>
          <w:p w14:paraId="2C3A9A1C" w14:textId="77777777" w:rsidR="00D01516" w:rsidRPr="009D2D00" w:rsidRDefault="00D01516" w:rsidP="005056E2">
            <w:pPr>
              <w:pStyle w:val="GOSTTableHead"/>
              <w:rPr>
                <w:lang w:val="en-US"/>
              </w:rPr>
            </w:pPr>
            <w:r w:rsidRPr="009D2D00">
              <w:t>Наименование комплексного типа</w:t>
            </w:r>
          </w:p>
        </w:tc>
        <w:tc>
          <w:tcPr>
            <w:tcW w:w="883" w:type="pct"/>
          </w:tcPr>
          <w:p w14:paraId="5F36E402" w14:textId="77777777" w:rsidR="00D01516" w:rsidRPr="009D2D00" w:rsidRDefault="00D01516" w:rsidP="005056E2">
            <w:pPr>
              <w:pStyle w:val="GOSTTableHead"/>
            </w:pPr>
            <w:r w:rsidRPr="009D2D00">
              <w:t>Текущий элемент/</w:t>
            </w:r>
            <w:r w:rsidRPr="009D2D00">
              <w:rPr>
                <w:lang w:val="en-US"/>
              </w:rPr>
              <w:t xml:space="preserve"> </w:t>
            </w:r>
            <w:r w:rsidRPr="009D2D00">
              <w:t>атрибут</w:t>
            </w:r>
          </w:p>
        </w:tc>
        <w:tc>
          <w:tcPr>
            <w:tcW w:w="294" w:type="pct"/>
          </w:tcPr>
          <w:p w14:paraId="57D617A3" w14:textId="77777777" w:rsidR="00D01516" w:rsidRPr="009D2D00" w:rsidRDefault="00D01516" w:rsidP="005056E2">
            <w:pPr>
              <w:pStyle w:val="GOSTTableHead"/>
            </w:pPr>
            <w:r w:rsidRPr="009D2D00">
              <w:t>Тип</w:t>
            </w:r>
          </w:p>
        </w:tc>
        <w:tc>
          <w:tcPr>
            <w:tcW w:w="589" w:type="pct"/>
          </w:tcPr>
          <w:p w14:paraId="4B55AC2B" w14:textId="77777777" w:rsidR="00D01516" w:rsidRPr="009D2D00" w:rsidRDefault="00D01516" w:rsidP="005056E2">
            <w:pPr>
              <w:pStyle w:val="GOSTTableHead"/>
            </w:pPr>
            <w:r w:rsidRPr="009D2D00">
              <w:t>Формат элемента</w:t>
            </w:r>
          </w:p>
        </w:tc>
        <w:tc>
          <w:tcPr>
            <w:tcW w:w="294" w:type="pct"/>
          </w:tcPr>
          <w:p w14:paraId="30BAD34D" w14:textId="77777777" w:rsidR="00D01516" w:rsidRPr="009D2D00" w:rsidRDefault="00D01516" w:rsidP="005056E2">
            <w:pPr>
              <w:pStyle w:val="GOSTTableHead"/>
            </w:pPr>
            <w:r w:rsidRPr="009D2D00">
              <w:t>Обязательность</w:t>
            </w:r>
          </w:p>
        </w:tc>
        <w:tc>
          <w:tcPr>
            <w:tcW w:w="2056" w:type="pct"/>
          </w:tcPr>
          <w:p w14:paraId="0A48F71C" w14:textId="77777777" w:rsidR="00D01516" w:rsidRPr="009D2D00" w:rsidRDefault="00D01516" w:rsidP="005056E2">
            <w:pPr>
              <w:pStyle w:val="GOSTTableHead"/>
            </w:pPr>
            <w:r w:rsidRPr="009D2D00">
              <w:t>Дополнительная информация</w:t>
            </w:r>
          </w:p>
        </w:tc>
      </w:tr>
      <w:tr w:rsidR="00D01516" w:rsidRPr="009D2D00" w14:paraId="71F9FC7B" w14:textId="77777777" w:rsidTr="005056E2">
        <w:trPr>
          <w:trHeight w:val="282"/>
        </w:trPr>
        <w:tc>
          <w:tcPr>
            <w:tcW w:w="883" w:type="pct"/>
          </w:tcPr>
          <w:p w14:paraId="2D02D0F2" w14:textId="77777777" w:rsidR="00D01516" w:rsidRPr="009D2D00" w:rsidRDefault="00D01516" w:rsidP="005056E2">
            <w:pPr>
              <w:pStyle w:val="GOSTTablenorm"/>
            </w:pPr>
            <w:r w:rsidRPr="009D2D00">
              <w:t>tT</w:t>
            </w:r>
            <w:r w:rsidRPr="009D2D00">
              <w:rPr>
                <w:lang w:val="en-US"/>
              </w:rPr>
              <w:t>able</w:t>
            </w:r>
            <w:r>
              <w:t>Pl</w:t>
            </w:r>
            <w:r>
              <w:rPr>
                <w:lang w:val="en-US"/>
              </w:rPr>
              <w:t>anP</w:t>
            </w:r>
            <w:r w:rsidRPr="00042743">
              <w:t>ay</w:t>
            </w:r>
          </w:p>
        </w:tc>
        <w:tc>
          <w:tcPr>
            <w:tcW w:w="883" w:type="pct"/>
          </w:tcPr>
          <w:p w14:paraId="60168C55" w14:textId="77777777" w:rsidR="00D01516" w:rsidRPr="009D2D00" w:rsidRDefault="00D01516" w:rsidP="005056E2">
            <w:pPr>
              <w:pStyle w:val="GOSTTablenorm"/>
            </w:pPr>
            <w:r w:rsidRPr="009D2D00">
              <w:t>T</w:t>
            </w:r>
            <w:r w:rsidRPr="009D2D00">
              <w:rPr>
                <w:lang w:val="en-US"/>
              </w:rPr>
              <w:t>able</w:t>
            </w:r>
            <w:r>
              <w:t>Pl</w:t>
            </w:r>
            <w:r>
              <w:rPr>
                <w:lang w:val="en-US"/>
              </w:rPr>
              <w:t>anP</w:t>
            </w:r>
            <w:r w:rsidRPr="00042743">
              <w:t>ay</w:t>
            </w:r>
            <w:r>
              <w:t>_</w:t>
            </w:r>
            <w:r w:rsidRPr="009D2D00">
              <w:t>ITEM</w:t>
            </w:r>
          </w:p>
        </w:tc>
        <w:tc>
          <w:tcPr>
            <w:tcW w:w="294" w:type="pct"/>
          </w:tcPr>
          <w:p w14:paraId="5C129077" w14:textId="77777777" w:rsidR="00D01516" w:rsidRPr="009D2D00" w:rsidRDefault="00D01516" w:rsidP="005056E2">
            <w:pPr>
              <w:pStyle w:val="GOSTTablenorm"/>
            </w:pPr>
            <w:r w:rsidRPr="009D2D00">
              <w:t>С</w:t>
            </w:r>
          </w:p>
        </w:tc>
        <w:tc>
          <w:tcPr>
            <w:tcW w:w="589" w:type="pct"/>
          </w:tcPr>
          <w:p w14:paraId="4F3CFB2C" w14:textId="77777777" w:rsidR="00D01516" w:rsidRPr="009D2D00" w:rsidRDefault="00D01516" w:rsidP="005056E2">
            <w:pPr>
              <w:pStyle w:val="GOSTTablenorm"/>
            </w:pPr>
            <w:r w:rsidRPr="009D2D00">
              <w:t>tT</w:t>
            </w:r>
            <w:r w:rsidRPr="009D2D00">
              <w:rPr>
                <w:lang w:val="en-US"/>
              </w:rPr>
              <w:t>able</w:t>
            </w:r>
            <w:r>
              <w:t>Pl</w:t>
            </w:r>
            <w:r>
              <w:rPr>
                <w:lang w:val="en-US"/>
              </w:rPr>
              <w:t>anP</w:t>
            </w:r>
            <w:r w:rsidRPr="00042743">
              <w:t>ay</w:t>
            </w:r>
            <w:r>
              <w:t>_</w:t>
            </w:r>
            <w:r w:rsidRPr="009D2D00">
              <w:t>ITEM</w:t>
            </w:r>
          </w:p>
        </w:tc>
        <w:tc>
          <w:tcPr>
            <w:tcW w:w="294" w:type="pct"/>
          </w:tcPr>
          <w:p w14:paraId="717CADEF" w14:textId="77777777" w:rsidR="00D01516" w:rsidRPr="009D2D00" w:rsidRDefault="00D01516" w:rsidP="005056E2">
            <w:pPr>
              <w:pStyle w:val="GOSTTablenorm"/>
            </w:pPr>
            <w:r w:rsidRPr="009D2D00">
              <w:t>ОМ</w:t>
            </w:r>
          </w:p>
        </w:tc>
        <w:tc>
          <w:tcPr>
            <w:tcW w:w="2056" w:type="pct"/>
          </w:tcPr>
          <w:p w14:paraId="572999B1" w14:textId="508A5B8B" w:rsidR="00D01516" w:rsidRPr="009D2D00" w:rsidRDefault="00D01516" w:rsidP="00D01516">
            <w:pPr>
              <w:pStyle w:val="GOSTTablenorm"/>
            </w:pPr>
            <w:r w:rsidRPr="009D2D00">
              <w:t xml:space="preserve">Состав элемента представлен в таблице </w:t>
            </w:r>
            <w:r>
              <w:fldChar w:fldCharType="begin"/>
            </w:r>
            <w:r>
              <w:instrText xml:space="preserve"> REF _Ref216204758 \h </w:instrText>
            </w:r>
            <w:r>
              <w:fldChar w:fldCharType="separate"/>
            </w:r>
            <w:r w:rsidR="008D797C">
              <w:rPr>
                <w:rFonts w:eastAsia="Calibri"/>
                <w:noProof/>
                <w:highlight w:val="green"/>
              </w:rPr>
              <w:t>355</w:t>
            </w:r>
            <w:r>
              <w:fldChar w:fldCharType="end"/>
            </w:r>
          </w:p>
        </w:tc>
      </w:tr>
    </w:tbl>
    <w:p w14:paraId="1E57EB14" w14:textId="77777777" w:rsidR="00D01516" w:rsidRPr="00BF75F2" w:rsidRDefault="00D01516" w:rsidP="00D01516">
      <w:pPr>
        <w:pStyle w:val="31"/>
        <w:suppressAutoHyphens/>
        <w:rPr>
          <w:highlight w:val="green"/>
        </w:rPr>
      </w:pPr>
      <w:bookmarkStart w:id="4556" w:name="_Toc185884058"/>
      <w:bookmarkStart w:id="4557" w:name="_Toc201851020"/>
      <w:bookmarkStart w:id="4558" w:name="_Toc219309846"/>
      <w:r w:rsidRPr="00BF75F2">
        <w:rPr>
          <w:highlight w:val="green"/>
        </w:rPr>
        <w:t>Описание комплексного типа «tTablePlanPay_ITEM»</w:t>
      </w:r>
      <w:bookmarkEnd w:id="4556"/>
      <w:bookmarkEnd w:id="4557"/>
      <w:bookmarkEnd w:id="4558"/>
    </w:p>
    <w:p w14:paraId="2DE2236D" w14:textId="77777777" w:rsidR="00D01516" w:rsidRPr="009D2D00" w:rsidRDefault="00D01516" w:rsidP="00D01516">
      <w:pPr>
        <w:pStyle w:val="ASFKNormal"/>
        <w:spacing w:before="60" w:after="120"/>
        <w:contextualSpacing w:val="0"/>
        <w:jc w:val="both"/>
        <w:rPr>
          <w:sz w:val="24"/>
          <w:szCs w:val="24"/>
        </w:rPr>
      </w:pPr>
      <w:r w:rsidRPr="009D2D00">
        <w:rPr>
          <w:sz w:val="24"/>
          <w:szCs w:val="24"/>
        </w:rPr>
        <w:t>Описание комплексного типа «</w:t>
      </w:r>
      <w:r w:rsidRPr="007F04C4">
        <w:rPr>
          <w:sz w:val="24"/>
          <w:szCs w:val="24"/>
        </w:rPr>
        <w:t>tTablePlanPay</w:t>
      </w:r>
      <w:r>
        <w:rPr>
          <w:sz w:val="24"/>
          <w:szCs w:val="24"/>
        </w:rPr>
        <w:t>_</w:t>
      </w:r>
      <w:r w:rsidRPr="007F04C4">
        <w:rPr>
          <w:sz w:val="24"/>
          <w:szCs w:val="24"/>
        </w:rPr>
        <w:t>ITEM</w:t>
      </w:r>
      <w:r w:rsidRPr="009D2D00">
        <w:rPr>
          <w:sz w:val="24"/>
          <w:szCs w:val="24"/>
        </w:rPr>
        <w:t>» строк блока «Табличная часть</w:t>
      </w:r>
      <w:r>
        <w:rPr>
          <w:sz w:val="24"/>
          <w:szCs w:val="24"/>
        </w:rPr>
        <w:t xml:space="preserve"> </w:t>
      </w:r>
      <w:r w:rsidRPr="00D77362">
        <w:rPr>
          <w:sz w:val="24"/>
          <w:szCs w:val="24"/>
        </w:rPr>
        <w:t>«Планируемые платежи»</w:t>
      </w:r>
      <w:r w:rsidRPr="009D2D00">
        <w:rPr>
          <w:sz w:val="24"/>
          <w:szCs w:val="24"/>
        </w:rPr>
        <w:t>».</w:t>
      </w:r>
    </w:p>
    <w:p w14:paraId="5775D92C" w14:textId="3D2C7F76" w:rsidR="00D01516" w:rsidRPr="00BF75F2" w:rsidRDefault="00D01516" w:rsidP="00D01516">
      <w:pPr>
        <w:pStyle w:val="GOSTNameTable"/>
        <w:numPr>
          <w:ilvl w:val="0"/>
          <w:numId w:val="151"/>
        </w:numPr>
        <w:suppressAutoHyphens/>
        <w:spacing w:before="240" w:after="120"/>
        <w:rPr>
          <w:rFonts w:eastAsia="Calibri"/>
          <w:highlight w:val="green"/>
        </w:rPr>
      </w:pPr>
      <w:r w:rsidRPr="00BF75F2">
        <w:rPr>
          <w:rFonts w:eastAsia="Calibri"/>
          <w:highlight w:val="green"/>
        </w:rPr>
        <w:lastRenderedPageBreak/>
        <w:fldChar w:fldCharType="begin"/>
      </w:r>
      <w:r w:rsidRPr="00BF75F2">
        <w:rPr>
          <w:rFonts w:eastAsia="Calibri"/>
          <w:highlight w:val="green"/>
        </w:rPr>
        <w:instrText xml:space="preserve"> SEQ Таблица \* ARABIC </w:instrText>
      </w:r>
      <w:r w:rsidRPr="00BF75F2">
        <w:rPr>
          <w:rFonts w:eastAsia="Calibri"/>
          <w:highlight w:val="green"/>
        </w:rPr>
        <w:fldChar w:fldCharType="separate"/>
      </w:r>
      <w:bookmarkStart w:id="4559" w:name="_Ref216204758"/>
      <w:bookmarkStart w:id="4560" w:name="_Toc185882671"/>
      <w:bookmarkStart w:id="4561" w:name="_Toc219309385"/>
      <w:r w:rsidR="008D797C">
        <w:rPr>
          <w:rFonts w:eastAsia="Calibri"/>
          <w:noProof/>
          <w:highlight w:val="green"/>
        </w:rPr>
        <w:t>355</w:t>
      </w:r>
      <w:bookmarkEnd w:id="4559"/>
      <w:r w:rsidRPr="00BF75F2">
        <w:rPr>
          <w:rFonts w:eastAsia="Calibri"/>
          <w:highlight w:val="green"/>
        </w:rPr>
        <w:fldChar w:fldCharType="end"/>
      </w:r>
      <w:r w:rsidRPr="00BF75F2">
        <w:rPr>
          <w:rFonts w:eastAsia="Calibri"/>
          <w:highlight w:val="green"/>
        </w:rPr>
        <w:t xml:space="preserve"> – Описание комплексного типа «</w:t>
      </w:r>
      <w:r w:rsidRPr="00BF75F2">
        <w:rPr>
          <w:rFonts w:eastAsia="Calibri"/>
          <w:szCs w:val="24"/>
          <w:highlight w:val="green"/>
        </w:rPr>
        <w:t>tTablePlanPay_ITEM</w:t>
      </w:r>
      <w:r w:rsidRPr="00BF75F2">
        <w:rPr>
          <w:rFonts w:eastAsia="Calibri"/>
          <w:highlight w:val="green"/>
        </w:rPr>
        <w:t>»</w:t>
      </w:r>
      <w:bookmarkEnd w:id="4560"/>
      <w:bookmarkEnd w:id="4561"/>
    </w:p>
    <w:tbl>
      <w:tblPr>
        <w:tblStyle w:val="GOSTTable"/>
        <w:tblW w:w="5000" w:type="pct"/>
        <w:tblLayout w:type="fixed"/>
        <w:tblLook w:val="07E0" w:firstRow="1" w:lastRow="1" w:firstColumn="1" w:lastColumn="1" w:noHBand="1" w:noVBand="1"/>
      </w:tblPr>
      <w:tblGrid>
        <w:gridCol w:w="1705"/>
        <w:gridCol w:w="1705"/>
        <w:gridCol w:w="568"/>
        <w:gridCol w:w="1137"/>
        <w:gridCol w:w="567"/>
        <w:gridCol w:w="3968"/>
      </w:tblGrid>
      <w:tr w:rsidR="00D01516" w:rsidRPr="009D2D00" w14:paraId="2E2E657C" w14:textId="77777777" w:rsidTr="00D01516">
        <w:trPr>
          <w:cnfStyle w:val="100000000000" w:firstRow="1" w:lastRow="0" w:firstColumn="0" w:lastColumn="0" w:oddVBand="0" w:evenVBand="0" w:oddHBand="0" w:evenHBand="0" w:firstRowFirstColumn="0" w:firstRowLastColumn="0" w:lastRowFirstColumn="0" w:lastRowLastColumn="0"/>
          <w:trHeight w:val="282"/>
          <w:tblHeader/>
        </w:trPr>
        <w:tc>
          <w:tcPr>
            <w:tcW w:w="883" w:type="pct"/>
          </w:tcPr>
          <w:p w14:paraId="5F195F40" w14:textId="77777777" w:rsidR="00D01516" w:rsidRPr="009D2D00" w:rsidRDefault="00D01516" w:rsidP="005056E2">
            <w:pPr>
              <w:pStyle w:val="GOSTTableHead"/>
            </w:pPr>
            <w:r w:rsidRPr="009D2D00">
              <w:t>Наименование элемента</w:t>
            </w:r>
          </w:p>
        </w:tc>
        <w:tc>
          <w:tcPr>
            <w:tcW w:w="883" w:type="pct"/>
          </w:tcPr>
          <w:p w14:paraId="6B67F429" w14:textId="77777777" w:rsidR="00D01516" w:rsidRPr="009D2D00" w:rsidRDefault="00D01516" w:rsidP="005056E2">
            <w:pPr>
              <w:pStyle w:val="GOSTTableHead"/>
            </w:pPr>
            <w:r w:rsidRPr="009D2D00">
              <w:t>Сокращенное наименование (код) элемента</w:t>
            </w:r>
          </w:p>
        </w:tc>
        <w:tc>
          <w:tcPr>
            <w:tcW w:w="294" w:type="pct"/>
          </w:tcPr>
          <w:p w14:paraId="0E0EC7E7" w14:textId="77777777" w:rsidR="00D01516" w:rsidRPr="009D2D00" w:rsidRDefault="00D01516" w:rsidP="005056E2">
            <w:pPr>
              <w:pStyle w:val="GOSTTableHead"/>
            </w:pPr>
            <w:r w:rsidRPr="009D2D00">
              <w:t>Тип</w:t>
            </w:r>
          </w:p>
        </w:tc>
        <w:tc>
          <w:tcPr>
            <w:tcW w:w="589" w:type="pct"/>
          </w:tcPr>
          <w:p w14:paraId="681797E5" w14:textId="77777777" w:rsidR="00D01516" w:rsidRPr="009D2D00" w:rsidRDefault="00D01516" w:rsidP="005056E2">
            <w:pPr>
              <w:pStyle w:val="GOSTTableHead"/>
            </w:pPr>
            <w:r w:rsidRPr="009D2D00">
              <w:t>Формат элемента</w:t>
            </w:r>
          </w:p>
        </w:tc>
        <w:tc>
          <w:tcPr>
            <w:tcW w:w="294" w:type="pct"/>
          </w:tcPr>
          <w:p w14:paraId="6C2B281F" w14:textId="77777777" w:rsidR="00D01516" w:rsidRPr="009D2D00" w:rsidRDefault="00D01516" w:rsidP="005056E2">
            <w:pPr>
              <w:pStyle w:val="GOSTTableHead"/>
            </w:pPr>
            <w:r w:rsidRPr="009D2D00">
              <w:t>Обязательность</w:t>
            </w:r>
          </w:p>
        </w:tc>
        <w:tc>
          <w:tcPr>
            <w:tcW w:w="2056" w:type="pct"/>
          </w:tcPr>
          <w:p w14:paraId="4EAF17BC" w14:textId="77777777" w:rsidR="00D01516" w:rsidRPr="009D2D00" w:rsidRDefault="00D01516" w:rsidP="005056E2">
            <w:pPr>
              <w:pStyle w:val="GOSTTableHead"/>
            </w:pPr>
            <w:r w:rsidRPr="009D2D00">
              <w:t>Дополнительная информация</w:t>
            </w:r>
          </w:p>
        </w:tc>
      </w:tr>
      <w:tr w:rsidR="00D01516" w:rsidRPr="009D2D00" w14:paraId="16A70A10" w14:textId="77777777" w:rsidTr="005056E2">
        <w:trPr>
          <w:trHeight w:val="282"/>
        </w:trPr>
        <w:tc>
          <w:tcPr>
            <w:tcW w:w="883" w:type="pct"/>
          </w:tcPr>
          <w:p w14:paraId="44F805E3" w14:textId="77777777" w:rsidR="00D01516" w:rsidRPr="009D2D00" w:rsidRDefault="00D01516" w:rsidP="005056E2">
            <w:pPr>
              <w:pStyle w:val="GOSTTablenorm"/>
            </w:pPr>
            <w:r w:rsidRPr="009D2D00">
              <w:t>Идентификационный код закупки</w:t>
            </w:r>
          </w:p>
        </w:tc>
        <w:tc>
          <w:tcPr>
            <w:tcW w:w="883" w:type="pct"/>
          </w:tcPr>
          <w:p w14:paraId="7A06A602" w14:textId="77777777" w:rsidR="00D01516" w:rsidRPr="009D2D00" w:rsidRDefault="00D01516" w:rsidP="005056E2">
            <w:pPr>
              <w:pStyle w:val="GOSTTablenorm"/>
              <w:rPr>
                <w:lang w:val="en-US"/>
              </w:rPr>
            </w:pPr>
            <w:r w:rsidRPr="009D2D00">
              <w:t>IKZ</w:t>
            </w:r>
          </w:p>
        </w:tc>
        <w:tc>
          <w:tcPr>
            <w:tcW w:w="294" w:type="pct"/>
          </w:tcPr>
          <w:p w14:paraId="6C1BA50B" w14:textId="77777777" w:rsidR="00D01516" w:rsidRPr="009D2D00" w:rsidRDefault="00D01516" w:rsidP="005056E2">
            <w:pPr>
              <w:pStyle w:val="GOSTTablenorm"/>
            </w:pPr>
            <w:r w:rsidRPr="009D2D00">
              <w:t>П</w:t>
            </w:r>
          </w:p>
        </w:tc>
        <w:tc>
          <w:tcPr>
            <w:tcW w:w="589" w:type="pct"/>
          </w:tcPr>
          <w:p w14:paraId="7B977CD2" w14:textId="77777777" w:rsidR="00D01516" w:rsidRPr="009D2D00" w:rsidRDefault="00D01516" w:rsidP="005056E2">
            <w:pPr>
              <w:pStyle w:val="GOSTTablenorm"/>
            </w:pPr>
            <w:r w:rsidRPr="009D2D00">
              <w:t>Т(36)</w:t>
            </w:r>
          </w:p>
        </w:tc>
        <w:tc>
          <w:tcPr>
            <w:tcW w:w="294" w:type="pct"/>
          </w:tcPr>
          <w:p w14:paraId="7D9C7ECB" w14:textId="77777777" w:rsidR="00D01516" w:rsidRPr="009D2D00" w:rsidRDefault="00D01516" w:rsidP="005056E2">
            <w:pPr>
              <w:pStyle w:val="GOSTTablenorm"/>
            </w:pPr>
            <w:r w:rsidRPr="009D2D00">
              <w:t>О</w:t>
            </w:r>
          </w:p>
        </w:tc>
        <w:tc>
          <w:tcPr>
            <w:tcW w:w="2056" w:type="pct"/>
          </w:tcPr>
          <w:p w14:paraId="77B93159" w14:textId="77777777" w:rsidR="00D01516" w:rsidRPr="009D2D00" w:rsidRDefault="00D01516" w:rsidP="005056E2">
            <w:pPr>
              <w:pStyle w:val="GOSTTablenorm"/>
            </w:pPr>
            <w:r w:rsidRPr="009D2D00">
              <w:t>Указываетс</w:t>
            </w:r>
            <w:r>
              <w:t>я идентификационный код закупки</w:t>
            </w:r>
          </w:p>
        </w:tc>
      </w:tr>
      <w:tr w:rsidR="00D01516" w:rsidRPr="009D2D00" w14:paraId="496074F1" w14:textId="77777777" w:rsidTr="005056E2">
        <w:trPr>
          <w:trHeight w:val="282"/>
        </w:trPr>
        <w:tc>
          <w:tcPr>
            <w:tcW w:w="883" w:type="pct"/>
          </w:tcPr>
          <w:p w14:paraId="2139BC7D" w14:textId="77777777" w:rsidR="00D01516" w:rsidRPr="009D2D00" w:rsidRDefault="00D01516" w:rsidP="005056E2">
            <w:pPr>
              <w:pStyle w:val="GOSTTablenorm"/>
            </w:pPr>
            <w:r>
              <w:t>Ц</w:t>
            </w:r>
            <w:r w:rsidRPr="009D2D00">
              <w:t>ена контракта</w:t>
            </w:r>
          </w:p>
        </w:tc>
        <w:tc>
          <w:tcPr>
            <w:tcW w:w="883" w:type="pct"/>
          </w:tcPr>
          <w:p w14:paraId="3F00D57C" w14:textId="77777777" w:rsidR="00D01516" w:rsidRPr="009D2D00" w:rsidRDefault="00D01516" w:rsidP="005056E2">
            <w:pPr>
              <w:pStyle w:val="GOSTTablenorm"/>
            </w:pPr>
            <w:r w:rsidRPr="009D2D00">
              <w:t>Price</w:t>
            </w:r>
          </w:p>
        </w:tc>
        <w:tc>
          <w:tcPr>
            <w:tcW w:w="294" w:type="pct"/>
          </w:tcPr>
          <w:p w14:paraId="1E0ADA3A" w14:textId="77777777" w:rsidR="00D01516" w:rsidRPr="009D2D00" w:rsidRDefault="00D01516" w:rsidP="005056E2">
            <w:pPr>
              <w:pStyle w:val="GOSTTablenorm"/>
            </w:pPr>
            <w:r w:rsidRPr="009D2D00">
              <w:t>П</w:t>
            </w:r>
          </w:p>
        </w:tc>
        <w:tc>
          <w:tcPr>
            <w:tcW w:w="589" w:type="pct"/>
          </w:tcPr>
          <w:p w14:paraId="2162B74B" w14:textId="77777777" w:rsidR="00D01516" w:rsidRPr="009D2D00" w:rsidRDefault="00D01516" w:rsidP="005056E2">
            <w:pPr>
              <w:pStyle w:val="GOSTTablenorm"/>
            </w:pPr>
            <w:r w:rsidRPr="00A31C8D">
              <w:rPr>
                <w:szCs w:val="22"/>
                <w:lang w:val="en-US"/>
              </w:rPr>
              <w:t>N(20</w:t>
            </w:r>
            <w:r w:rsidRPr="00A31C8D">
              <w:rPr>
                <w:szCs w:val="22"/>
              </w:rPr>
              <w:t>.2</w:t>
            </w:r>
            <w:r w:rsidRPr="00A31C8D">
              <w:rPr>
                <w:szCs w:val="22"/>
                <w:lang w:val="en-US"/>
              </w:rPr>
              <w:t>)</w:t>
            </w:r>
          </w:p>
        </w:tc>
        <w:tc>
          <w:tcPr>
            <w:tcW w:w="294" w:type="pct"/>
          </w:tcPr>
          <w:p w14:paraId="631E7204" w14:textId="77777777" w:rsidR="00D01516" w:rsidRPr="009D2D00" w:rsidRDefault="00D01516" w:rsidP="005056E2">
            <w:pPr>
              <w:pStyle w:val="GOSTTablenorm"/>
            </w:pPr>
            <w:r w:rsidRPr="009D2D00">
              <w:t>О</w:t>
            </w:r>
          </w:p>
        </w:tc>
        <w:tc>
          <w:tcPr>
            <w:tcW w:w="2056" w:type="pct"/>
          </w:tcPr>
          <w:p w14:paraId="2208DF05" w14:textId="77777777" w:rsidR="00D01516" w:rsidRPr="009D2D00" w:rsidRDefault="00D01516" w:rsidP="005056E2">
            <w:pPr>
              <w:pStyle w:val="GOSTTablenorm"/>
            </w:pPr>
            <w:r w:rsidRPr="009D2D00">
              <w:t xml:space="preserve">Указывается </w:t>
            </w:r>
            <w:r>
              <w:t>цена контракта</w:t>
            </w:r>
          </w:p>
        </w:tc>
      </w:tr>
      <w:tr w:rsidR="00D01516" w:rsidRPr="009D2D00" w14:paraId="76122919" w14:textId="77777777" w:rsidTr="005056E2">
        <w:trPr>
          <w:trHeight w:val="282"/>
        </w:trPr>
        <w:tc>
          <w:tcPr>
            <w:tcW w:w="883" w:type="pct"/>
          </w:tcPr>
          <w:p w14:paraId="14732F40" w14:textId="77777777" w:rsidR="00D01516" w:rsidRDefault="00D01516" w:rsidP="005056E2">
            <w:pPr>
              <w:pStyle w:val="GOSTTablenorm"/>
            </w:pPr>
            <w:r w:rsidRPr="00D77362">
              <w:t>Планируемые платежи на текущий год</w:t>
            </w:r>
          </w:p>
        </w:tc>
        <w:tc>
          <w:tcPr>
            <w:tcW w:w="883" w:type="pct"/>
          </w:tcPr>
          <w:p w14:paraId="21E85ABB" w14:textId="77777777" w:rsidR="00D01516" w:rsidRPr="00042743" w:rsidRDefault="00D01516" w:rsidP="005056E2">
            <w:pPr>
              <w:pStyle w:val="GOSTTablenorm"/>
              <w:rPr>
                <w:lang w:val="en-US"/>
              </w:rPr>
            </w:pPr>
            <w:r>
              <w:t>Pl</w:t>
            </w:r>
            <w:r>
              <w:rPr>
                <w:lang w:val="en-US"/>
              </w:rPr>
              <w:t>anP</w:t>
            </w:r>
            <w:r w:rsidRPr="00042743">
              <w:t>ay</w:t>
            </w:r>
            <w:r>
              <w:rPr>
                <w:lang w:val="en-US"/>
              </w:rPr>
              <w:t>C</w:t>
            </w:r>
            <w:r w:rsidRPr="00042743">
              <w:t>urr</w:t>
            </w:r>
            <w:r>
              <w:rPr>
                <w:lang w:val="en-US"/>
              </w:rPr>
              <w:t>Yr</w:t>
            </w:r>
          </w:p>
        </w:tc>
        <w:tc>
          <w:tcPr>
            <w:tcW w:w="294" w:type="pct"/>
          </w:tcPr>
          <w:p w14:paraId="69ED7F6A" w14:textId="77777777" w:rsidR="00D01516" w:rsidRPr="009D2D00" w:rsidRDefault="00D01516" w:rsidP="005056E2">
            <w:pPr>
              <w:pStyle w:val="GOSTTablenorm"/>
            </w:pPr>
            <w:r w:rsidRPr="0043638D">
              <w:t>П</w:t>
            </w:r>
          </w:p>
        </w:tc>
        <w:tc>
          <w:tcPr>
            <w:tcW w:w="589" w:type="pct"/>
          </w:tcPr>
          <w:p w14:paraId="573DEA49" w14:textId="77777777" w:rsidR="00D01516" w:rsidRPr="009D2D00" w:rsidRDefault="00D01516" w:rsidP="005056E2">
            <w:pPr>
              <w:pStyle w:val="GOSTTablenorm"/>
            </w:pPr>
            <w:r w:rsidRPr="004C37EE">
              <w:rPr>
                <w:szCs w:val="22"/>
                <w:lang w:val="en-US"/>
              </w:rPr>
              <w:t>N(20</w:t>
            </w:r>
            <w:r w:rsidRPr="004C37EE">
              <w:rPr>
                <w:szCs w:val="22"/>
              </w:rPr>
              <w:t>.2</w:t>
            </w:r>
            <w:r w:rsidRPr="004C37EE">
              <w:rPr>
                <w:szCs w:val="22"/>
                <w:lang w:val="en-US"/>
              </w:rPr>
              <w:t>)</w:t>
            </w:r>
          </w:p>
        </w:tc>
        <w:tc>
          <w:tcPr>
            <w:tcW w:w="294" w:type="pct"/>
          </w:tcPr>
          <w:p w14:paraId="7D51D81E" w14:textId="77777777" w:rsidR="00D01516" w:rsidRPr="009D2D00" w:rsidRDefault="00D01516" w:rsidP="005056E2">
            <w:pPr>
              <w:pStyle w:val="GOSTTablenorm"/>
            </w:pPr>
            <w:r w:rsidRPr="006E2FAC">
              <w:t>О</w:t>
            </w:r>
          </w:p>
        </w:tc>
        <w:tc>
          <w:tcPr>
            <w:tcW w:w="2056" w:type="pct"/>
          </w:tcPr>
          <w:p w14:paraId="47DD02CA" w14:textId="77777777" w:rsidR="00D01516" w:rsidRDefault="00D01516" w:rsidP="005056E2">
            <w:pPr>
              <w:pStyle w:val="GOSTTablenorm"/>
            </w:pPr>
            <w:r w:rsidRPr="00AD2DAE">
              <w:t xml:space="preserve">Указывается </w:t>
            </w:r>
            <w:r>
              <w:t>сумма планируемых платежей на текущий год</w:t>
            </w:r>
            <w:r w:rsidRPr="00AD2DAE">
              <w:t>.</w:t>
            </w:r>
          </w:p>
          <w:p w14:paraId="04C0DE05" w14:textId="77777777" w:rsidR="00D01516" w:rsidRPr="009D2D00" w:rsidRDefault="00D01516" w:rsidP="005056E2">
            <w:pPr>
              <w:pStyle w:val="GOSTTablenorm"/>
            </w:pPr>
            <w:r w:rsidRPr="009D2D00">
              <w:rPr>
                <w:szCs w:val="22"/>
              </w:rPr>
              <w:t>При отсутс</w:t>
            </w:r>
            <w:r>
              <w:rPr>
                <w:szCs w:val="22"/>
              </w:rPr>
              <w:t>твии значения указывается «0.00»</w:t>
            </w:r>
          </w:p>
        </w:tc>
      </w:tr>
      <w:tr w:rsidR="00D01516" w:rsidRPr="009D2D00" w14:paraId="647D1C16" w14:textId="77777777" w:rsidTr="005056E2">
        <w:trPr>
          <w:trHeight w:val="282"/>
        </w:trPr>
        <w:tc>
          <w:tcPr>
            <w:tcW w:w="883" w:type="pct"/>
          </w:tcPr>
          <w:p w14:paraId="31BFA8A2" w14:textId="77777777" w:rsidR="00D01516" w:rsidRPr="00D77362" w:rsidRDefault="00D01516" w:rsidP="005056E2">
            <w:pPr>
              <w:pStyle w:val="GOSTTablenorm"/>
            </w:pPr>
            <w:r>
              <w:t>Планируемые платежи на первый год планового периода</w:t>
            </w:r>
          </w:p>
        </w:tc>
        <w:tc>
          <w:tcPr>
            <w:tcW w:w="883" w:type="pct"/>
          </w:tcPr>
          <w:p w14:paraId="20B50EC5" w14:textId="77777777" w:rsidR="00D01516" w:rsidRPr="009D2D00" w:rsidRDefault="00D01516" w:rsidP="005056E2">
            <w:pPr>
              <w:pStyle w:val="GOSTTablenorm"/>
            </w:pPr>
            <w:r>
              <w:t>Pl</w:t>
            </w:r>
            <w:r>
              <w:rPr>
                <w:lang w:val="en-US"/>
              </w:rPr>
              <w:t>anP</w:t>
            </w:r>
            <w:r w:rsidRPr="00042743">
              <w:t>ay</w:t>
            </w:r>
            <w:r w:rsidRPr="009D2D00">
              <w:t>FrstYr</w:t>
            </w:r>
          </w:p>
        </w:tc>
        <w:tc>
          <w:tcPr>
            <w:tcW w:w="294" w:type="pct"/>
          </w:tcPr>
          <w:p w14:paraId="5D044CB8" w14:textId="77777777" w:rsidR="00D01516" w:rsidRPr="009D2D00" w:rsidRDefault="00D01516" w:rsidP="005056E2">
            <w:pPr>
              <w:pStyle w:val="GOSTTablenorm"/>
            </w:pPr>
            <w:r w:rsidRPr="0043638D">
              <w:t>П</w:t>
            </w:r>
          </w:p>
        </w:tc>
        <w:tc>
          <w:tcPr>
            <w:tcW w:w="589" w:type="pct"/>
          </w:tcPr>
          <w:p w14:paraId="09000EAE" w14:textId="77777777" w:rsidR="00D01516" w:rsidRPr="009D2D00" w:rsidRDefault="00D01516" w:rsidP="005056E2">
            <w:pPr>
              <w:pStyle w:val="GOSTTablenorm"/>
            </w:pPr>
            <w:r w:rsidRPr="004C37EE">
              <w:rPr>
                <w:szCs w:val="22"/>
                <w:lang w:val="en-US"/>
              </w:rPr>
              <w:t>N(20</w:t>
            </w:r>
            <w:r w:rsidRPr="004C37EE">
              <w:rPr>
                <w:szCs w:val="22"/>
              </w:rPr>
              <w:t>.2</w:t>
            </w:r>
            <w:r w:rsidRPr="004C37EE">
              <w:rPr>
                <w:szCs w:val="22"/>
                <w:lang w:val="en-US"/>
              </w:rPr>
              <w:t>)</w:t>
            </w:r>
          </w:p>
        </w:tc>
        <w:tc>
          <w:tcPr>
            <w:tcW w:w="294" w:type="pct"/>
          </w:tcPr>
          <w:p w14:paraId="623FE8E6" w14:textId="77777777" w:rsidR="00D01516" w:rsidRPr="009D2D00" w:rsidRDefault="00D01516" w:rsidP="005056E2">
            <w:pPr>
              <w:pStyle w:val="GOSTTablenorm"/>
            </w:pPr>
            <w:r w:rsidRPr="006E2FAC">
              <w:t>О</w:t>
            </w:r>
          </w:p>
        </w:tc>
        <w:tc>
          <w:tcPr>
            <w:tcW w:w="2056" w:type="pct"/>
          </w:tcPr>
          <w:p w14:paraId="48D6A887" w14:textId="77777777" w:rsidR="00D01516" w:rsidRDefault="00D01516" w:rsidP="005056E2">
            <w:pPr>
              <w:pStyle w:val="GOSTTablenorm"/>
            </w:pPr>
            <w:r w:rsidRPr="00AD2DAE">
              <w:t xml:space="preserve">Указывается </w:t>
            </w:r>
            <w:r>
              <w:t>сумма планируемых платежей на первый год планового периода</w:t>
            </w:r>
            <w:r w:rsidRPr="00AD2DAE">
              <w:t>.</w:t>
            </w:r>
          </w:p>
          <w:p w14:paraId="6E0C2F3D" w14:textId="77777777" w:rsidR="00D01516" w:rsidRPr="009D2D00" w:rsidRDefault="00D01516" w:rsidP="005056E2">
            <w:pPr>
              <w:pStyle w:val="GOSTTablenorm"/>
            </w:pPr>
            <w:r w:rsidRPr="009D2D00">
              <w:rPr>
                <w:szCs w:val="22"/>
              </w:rPr>
              <w:t>При отсутс</w:t>
            </w:r>
            <w:r>
              <w:rPr>
                <w:szCs w:val="22"/>
              </w:rPr>
              <w:t>твии значения указывается «0.00»</w:t>
            </w:r>
          </w:p>
        </w:tc>
      </w:tr>
      <w:tr w:rsidR="00D01516" w:rsidRPr="009D2D00" w14:paraId="696AEB72" w14:textId="77777777" w:rsidTr="005056E2">
        <w:trPr>
          <w:trHeight w:val="282"/>
        </w:trPr>
        <w:tc>
          <w:tcPr>
            <w:tcW w:w="883" w:type="pct"/>
          </w:tcPr>
          <w:p w14:paraId="2EAB6B9C" w14:textId="77777777" w:rsidR="00D01516" w:rsidRPr="00D77362" w:rsidRDefault="00D01516" w:rsidP="005056E2">
            <w:pPr>
              <w:pStyle w:val="GOSTTablenorm"/>
            </w:pPr>
            <w:r w:rsidRPr="00096A77">
              <w:t xml:space="preserve">Планируемые платежи на </w:t>
            </w:r>
            <w:r>
              <w:t>второй</w:t>
            </w:r>
            <w:r w:rsidRPr="00096A77">
              <w:t xml:space="preserve"> год планового периода</w:t>
            </w:r>
          </w:p>
        </w:tc>
        <w:tc>
          <w:tcPr>
            <w:tcW w:w="883" w:type="pct"/>
          </w:tcPr>
          <w:p w14:paraId="014BFD91" w14:textId="77777777" w:rsidR="00D01516" w:rsidRPr="009D2D00" w:rsidRDefault="00D01516" w:rsidP="005056E2">
            <w:pPr>
              <w:pStyle w:val="GOSTTablenorm"/>
            </w:pPr>
            <w:r>
              <w:t>Pl</w:t>
            </w:r>
            <w:r>
              <w:rPr>
                <w:lang w:val="en-US"/>
              </w:rPr>
              <w:t>anP</w:t>
            </w:r>
            <w:r w:rsidRPr="00042743">
              <w:t>ay</w:t>
            </w:r>
            <w:r w:rsidRPr="009D2D00">
              <w:t>ScndYr</w:t>
            </w:r>
          </w:p>
        </w:tc>
        <w:tc>
          <w:tcPr>
            <w:tcW w:w="294" w:type="pct"/>
          </w:tcPr>
          <w:p w14:paraId="5B4B5880" w14:textId="77777777" w:rsidR="00D01516" w:rsidRPr="009D2D00" w:rsidRDefault="00D01516" w:rsidP="005056E2">
            <w:pPr>
              <w:pStyle w:val="GOSTTablenorm"/>
            </w:pPr>
            <w:r w:rsidRPr="0043638D">
              <w:t>П</w:t>
            </w:r>
          </w:p>
        </w:tc>
        <w:tc>
          <w:tcPr>
            <w:tcW w:w="589" w:type="pct"/>
          </w:tcPr>
          <w:p w14:paraId="748F0283" w14:textId="77777777" w:rsidR="00D01516" w:rsidRPr="009D2D00" w:rsidRDefault="00D01516" w:rsidP="005056E2">
            <w:pPr>
              <w:pStyle w:val="GOSTTablenorm"/>
            </w:pPr>
            <w:r w:rsidRPr="004C37EE">
              <w:rPr>
                <w:szCs w:val="22"/>
                <w:lang w:val="en-US"/>
              </w:rPr>
              <w:t>N(20</w:t>
            </w:r>
            <w:r w:rsidRPr="004C37EE">
              <w:rPr>
                <w:szCs w:val="22"/>
              </w:rPr>
              <w:t>.2</w:t>
            </w:r>
            <w:r w:rsidRPr="004C37EE">
              <w:rPr>
                <w:szCs w:val="22"/>
                <w:lang w:val="en-US"/>
              </w:rPr>
              <w:t>)</w:t>
            </w:r>
          </w:p>
        </w:tc>
        <w:tc>
          <w:tcPr>
            <w:tcW w:w="294" w:type="pct"/>
          </w:tcPr>
          <w:p w14:paraId="2D6042FE" w14:textId="77777777" w:rsidR="00D01516" w:rsidRPr="009D2D00" w:rsidRDefault="00D01516" w:rsidP="005056E2">
            <w:pPr>
              <w:pStyle w:val="GOSTTablenorm"/>
            </w:pPr>
            <w:r w:rsidRPr="006E2FAC">
              <w:t>О</w:t>
            </w:r>
          </w:p>
        </w:tc>
        <w:tc>
          <w:tcPr>
            <w:tcW w:w="2056" w:type="pct"/>
          </w:tcPr>
          <w:p w14:paraId="60F6D739" w14:textId="77777777" w:rsidR="00D01516" w:rsidRDefault="00D01516" w:rsidP="005056E2">
            <w:pPr>
              <w:pStyle w:val="GOSTTablenorm"/>
            </w:pPr>
            <w:r w:rsidRPr="00AD2DAE">
              <w:t xml:space="preserve">Указывается </w:t>
            </w:r>
            <w:r>
              <w:t>сумма планируемых платежей на второй год планового периода</w:t>
            </w:r>
            <w:r w:rsidRPr="00AD2DAE">
              <w:t>.</w:t>
            </w:r>
          </w:p>
          <w:p w14:paraId="78AB9473" w14:textId="77777777" w:rsidR="00D01516" w:rsidRPr="009D2D00" w:rsidRDefault="00D01516" w:rsidP="005056E2">
            <w:pPr>
              <w:pStyle w:val="GOSTTablenorm"/>
            </w:pPr>
            <w:r w:rsidRPr="009D2D00">
              <w:rPr>
                <w:szCs w:val="22"/>
              </w:rPr>
              <w:t>При отсутс</w:t>
            </w:r>
            <w:r>
              <w:rPr>
                <w:szCs w:val="22"/>
              </w:rPr>
              <w:t>твии значения указывается «0.00»</w:t>
            </w:r>
          </w:p>
        </w:tc>
      </w:tr>
      <w:tr w:rsidR="00D01516" w:rsidRPr="009D2D00" w14:paraId="23D718F8" w14:textId="77777777" w:rsidTr="005056E2">
        <w:trPr>
          <w:trHeight w:val="282"/>
        </w:trPr>
        <w:tc>
          <w:tcPr>
            <w:tcW w:w="883" w:type="pct"/>
          </w:tcPr>
          <w:p w14:paraId="45D7755E" w14:textId="77777777" w:rsidR="00D01516" w:rsidRPr="00D77362" w:rsidRDefault="00D01516" w:rsidP="005056E2">
            <w:pPr>
              <w:pStyle w:val="GOSTTablenorm"/>
            </w:pPr>
            <w:r w:rsidRPr="00096A77">
              <w:t xml:space="preserve">Планируемые платежи на </w:t>
            </w:r>
            <w:r>
              <w:t>следующие годы</w:t>
            </w:r>
          </w:p>
        </w:tc>
        <w:tc>
          <w:tcPr>
            <w:tcW w:w="883" w:type="pct"/>
          </w:tcPr>
          <w:p w14:paraId="75BE61C6" w14:textId="77777777" w:rsidR="00D01516" w:rsidRPr="009D2D00" w:rsidRDefault="00D01516" w:rsidP="005056E2">
            <w:pPr>
              <w:pStyle w:val="GOSTTablenorm"/>
            </w:pPr>
            <w:r>
              <w:t>Pl</w:t>
            </w:r>
            <w:r>
              <w:rPr>
                <w:lang w:val="en-US"/>
              </w:rPr>
              <w:t>anP</w:t>
            </w:r>
            <w:r w:rsidRPr="00042743">
              <w:t>ay</w:t>
            </w:r>
            <w:r w:rsidRPr="009D2D00">
              <w:rPr>
                <w:szCs w:val="22"/>
              </w:rPr>
              <w:t>NxtYr</w:t>
            </w:r>
          </w:p>
        </w:tc>
        <w:tc>
          <w:tcPr>
            <w:tcW w:w="294" w:type="pct"/>
          </w:tcPr>
          <w:p w14:paraId="23B9E5D6" w14:textId="77777777" w:rsidR="00D01516" w:rsidRPr="009D2D00" w:rsidRDefault="00D01516" w:rsidP="005056E2">
            <w:pPr>
              <w:pStyle w:val="GOSTTablenorm"/>
            </w:pPr>
            <w:r w:rsidRPr="0043638D">
              <w:t>П</w:t>
            </w:r>
          </w:p>
        </w:tc>
        <w:tc>
          <w:tcPr>
            <w:tcW w:w="589" w:type="pct"/>
          </w:tcPr>
          <w:p w14:paraId="2DB314CA" w14:textId="77777777" w:rsidR="00D01516" w:rsidRPr="009D2D00" w:rsidRDefault="00D01516" w:rsidP="005056E2">
            <w:pPr>
              <w:pStyle w:val="GOSTTablenorm"/>
            </w:pPr>
            <w:r w:rsidRPr="004C37EE">
              <w:rPr>
                <w:szCs w:val="22"/>
                <w:lang w:val="en-US"/>
              </w:rPr>
              <w:t>N(20</w:t>
            </w:r>
            <w:r w:rsidRPr="004C37EE">
              <w:rPr>
                <w:szCs w:val="22"/>
              </w:rPr>
              <w:t>.2</w:t>
            </w:r>
            <w:r w:rsidRPr="004C37EE">
              <w:rPr>
                <w:szCs w:val="22"/>
                <w:lang w:val="en-US"/>
              </w:rPr>
              <w:t>)</w:t>
            </w:r>
          </w:p>
        </w:tc>
        <w:tc>
          <w:tcPr>
            <w:tcW w:w="294" w:type="pct"/>
          </w:tcPr>
          <w:p w14:paraId="4A315F40" w14:textId="77777777" w:rsidR="00D01516" w:rsidRPr="009D2D00" w:rsidRDefault="00D01516" w:rsidP="005056E2">
            <w:pPr>
              <w:pStyle w:val="GOSTTablenorm"/>
            </w:pPr>
            <w:r w:rsidRPr="006E2FAC">
              <w:t>О</w:t>
            </w:r>
          </w:p>
        </w:tc>
        <w:tc>
          <w:tcPr>
            <w:tcW w:w="2056" w:type="pct"/>
          </w:tcPr>
          <w:p w14:paraId="631FFA3B" w14:textId="77777777" w:rsidR="00D01516" w:rsidRDefault="00D01516" w:rsidP="005056E2">
            <w:pPr>
              <w:pStyle w:val="GOSTTablenorm"/>
            </w:pPr>
            <w:r w:rsidRPr="00AD2DAE">
              <w:t xml:space="preserve">Указывается </w:t>
            </w:r>
            <w:r>
              <w:t>сумма планируемых платежей на следующие годы.</w:t>
            </w:r>
          </w:p>
          <w:p w14:paraId="5CCF9D6C" w14:textId="77777777" w:rsidR="00D01516" w:rsidRPr="009D2D00" w:rsidRDefault="00D01516" w:rsidP="005056E2">
            <w:pPr>
              <w:pStyle w:val="GOSTTablenorm"/>
            </w:pPr>
            <w:r w:rsidRPr="009D2D00">
              <w:rPr>
                <w:szCs w:val="22"/>
              </w:rPr>
              <w:t>При отсутс</w:t>
            </w:r>
            <w:r>
              <w:rPr>
                <w:szCs w:val="22"/>
              </w:rPr>
              <w:t>твии значения указывается «0.00»</w:t>
            </w:r>
          </w:p>
        </w:tc>
      </w:tr>
      <w:tr w:rsidR="00D01516" w:rsidRPr="009D2D00" w14:paraId="374AAAE4" w14:textId="77777777" w:rsidTr="005056E2">
        <w:trPr>
          <w:trHeight w:val="282"/>
        </w:trPr>
        <w:tc>
          <w:tcPr>
            <w:tcW w:w="883" w:type="pct"/>
          </w:tcPr>
          <w:p w14:paraId="0DE5A8AE" w14:textId="77777777" w:rsidR="00D01516" w:rsidRPr="00D77362" w:rsidRDefault="00D01516" w:rsidP="005056E2">
            <w:pPr>
              <w:pStyle w:val="GOSTTablenorm"/>
            </w:pPr>
            <w:r>
              <w:t>ИНН участника закупки</w:t>
            </w:r>
          </w:p>
        </w:tc>
        <w:tc>
          <w:tcPr>
            <w:tcW w:w="883" w:type="pct"/>
          </w:tcPr>
          <w:p w14:paraId="3E84D2BC" w14:textId="77777777" w:rsidR="00D01516" w:rsidRPr="006D0BBA" w:rsidRDefault="00D01516" w:rsidP="005056E2">
            <w:pPr>
              <w:pStyle w:val="GOSTTablenorm"/>
              <w:rPr>
                <w:lang w:val="en-US"/>
              </w:rPr>
            </w:pPr>
            <w:r>
              <w:rPr>
                <w:lang w:val="en-US"/>
              </w:rPr>
              <w:t>INN</w:t>
            </w:r>
            <w:r w:rsidRPr="006D0BBA">
              <w:rPr>
                <w:lang w:val="en-US"/>
              </w:rPr>
              <w:t>part</w:t>
            </w:r>
          </w:p>
        </w:tc>
        <w:tc>
          <w:tcPr>
            <w:tcW w:w="294" w:type="pct"/>
          </w:tcPr>
          <w:p w14:paraId="089540A1" w14:textId="77777777" w:rsidR="00D01516" w:rsidRPr="009D2D00" w:rsidRDefault="00D01516" w:rsidP="005056E2">
            <w:pPr>
              <w:pStyle w:val="GOSTTablenorm"/>
            </w:pPr>
            <w:r w:rsidRPr="0043638D">
              <w:t>П</w:t>
            </w:r>
          </w:p>
        </w:tc>
        <w:tc>
          <w:tcPr>
            <w:tcW w:w="589" w:type="pct"/>
          </w:tcPr>
          <w:p w14:paraId="60DD1B28" w14:textId="77777777" w:rsidR="00D01516" w:rsidRPr="009D2D00" w:rsidRDefault="00D01516" w:rsidP="005056E2">
            <w:pPr>
              <w:pStyle w:val="GOSTTablenorm"/>
            </w:pPr>
            <w:r w:rsidRPr="009D2D00">
              <w:rPr>
                <w:rFonts w:eastAsia="Calibri"/>
              </w:rPr>
              <w:t>Т(</w:t>
            </w:r>
            <w:r>
              <w:rPr>
                <w:rFonts w:eastAsia="Calibri"/>
                <w:lang w:val="en-US"/>
              </w:rPr>
              <w:t>1-100</w:t>
            </w:r>
            <w:r w:rsidRPr="009D2D00">
              <w:rPr>
                <w:rFonts w:eastAsia="Calibri"/>
              </w:rPr>
              <w:t>)</w:t>
            </w:r>
          </w:p>
        </w:tc>
        <w:tc>
          <w:tcPr>
            <w:tcW w:w="294" w:type="pct"/>
          </w:tcPr>
          <w:p w14:paraId="1D67AFFD" w14:textId="77777777" w:rsidR="00D01516" w:rsidRPr="009D2D00" w:rsidRDefault="00D01516" w:rsidP="005056E2">
            <w:pPr>
              <w:pStyle w:val="GOSTTablenorm"/>
            </w:pPr>
            <w:r w:rsidRPr="006E2FAC">
              <w:t>О</w:t>
            </w:r>
          </w:p>
        </w:tc>
        <w:tc>
          <w:tcPr>
            <w:tcW w:w="2056" w:type="pct"/>
          </w:tcPr>
          <w:p w14:paraId="2DD74A50" w14:textId="77777777" w:rsidR="00D01516" w:rsidRPr="009D2D00" w:rsidRDefault="00D01516" w:rsidP="005056E2">
            <w:pPr>
              <w:pStyle w:val="GOSTTablenorm"/>
            </w:pPr>
            <w:r w:rsidRPr="00002977">
              <w:t>Указывается ИНН участника закупки</w:t>
            </w:r>
            <w:r>
              <w:t xml:space="preserve"> или его аналог</w:t>
            </w:r>
          </w:p>
        </w:tc>
      </w:tr>
      <w:tr w:rsidR="00D01516" w:rsidRPr="009D2D00" w14:paraId="102D50BD" w14:textId="77777777" w:rsidTr="005056E2">
        <w:trPr>
          <w:trHeight w:val="282"/>
        </w:trPr>
        <w:tc>
          <w:tcPr>
            <w:tcW w:w="883" w:type="pct"/>
          </w:tcPr>
          <w:p w14:paraId="468ABFC6" w14:textId="77777777" w:rsidR="00D01516" w:rsidRPr="00D77362" w:rsidRDefault="00D01516" w:rsidP="005056E2">
            <w:pPr>
              <w:pStyle w:val="GOSTTablenorm"/>
            </w:pPr>
            <w:r>
              <w:t>КПП участника закупки</w:t>
            </w:r>
          </w:p>
        </w:tc>
        <w:tc>
          <w:tcPr>
            <w:tcW w:w="883" w:type="pct"/>
          </w:tcPr>
          <w:p w14:paraId="53EBEBB1" w14:textId="77777777" w:rsidR="00D01516" w:rsidRPr="009D2D00" w:rsidRDefault="00D01516" w:rsidP="005056E2">
            <w:pPr>
              <w:pStyle w:val="GOSTTablenorm"/>
            </w:pPr>
            <w:r>
              <w:rPr>
                <w:lang w:val="en-US"/>
              </w:rPr>
              <w:t>KPP</w:t>
            </w:r>
            <w:r w:rsidRPr="006D0BBA">
              <w:rPr>
                <w:lang w:val="en-US"/>
              </w:rPr>
              <w:t>part</w:t>
            </w:r>
          </w:p>
        </w:tc>
        <w:tc>
          <w:tcPr>
            <w:tcW w:w="294" w:type="pct"/>
          </w:tcPr>
          <w:p w14:paraId="1CBDBA32" w14:textId="77777777" w:rsidR="00D01516" w:rsidRPr="009D2D00" w:rsidRDefault="00D01516" w:rsidP="005056E2">
            <w:pPr>
              <w:pStyle w:val="GOSTTablenorm"/>
            </w:pPr>
            <w:r w:rsidRPr="0043638D">
              <w:t>П</w:t>
            </w:r>
          </w:p>
        </w:tc>
        <w:tc>
          <w:tcPr>
            <w:tcW w:w="589" w:type="pct"/>
          </w:tcPr>
          <w:p w14:paraId="359CE249" w14:textId="77777777" w:rsidR="00D01516" w:rsidRPr="009D2D00" w:rsidRDefault="00D01516" w:rsidP="005056E2">
            <w:pPr>
              <w:pStyle w:val="GOSTTablenorm"/>
            </w:pPr>
            <w:r w:rsidRPr="009D2D00">
              <w:rPr>
                <w:rFonts w:eastAsia="Calibri"/>
              </w:rPr>
              <w:t>Т(</w:t>
            </w:r>
            <w:r>
              <w:rPr>
                <w:rFonts w:eastAsia="Calibri"/>
              </w:rPr>
              <w:t>9</w:t>
            </w:r>
            <w:r w:rsidRPr="009D2D00">
              <w:rPr>
                <w:rFonts w:eastAsia="Calibri"/>
              </w:rPr>
              <w:t>)</w:t>
            </w:r>
          </w:p>
        </w:tc>
        <w:tc>
          <w:tcPr>
            <w:tcW w:w="294" w:type="pct"/>
          </w:tcPr>
          <w:p w14:paraId="5EA1E75B" w14:textId="77777777" w:rsidR="00D01516" w:rsidRPr="00BD1752" w:rsidRDefault="00D01516" w:rsidP="005056E2">
            <w:pPr>
              <w:pStyle w:val="GOSTTablenorm"/>
            </w:pPr>
            <w:r>
              <w:t>Н</w:t>
            </w:r>
          </w:p>
        </w:tc>
        <w:tc>
          <w:tcPr>
            <w:tcW w:w="2056" w:type="pct"/>
          </w:tcPr>
          <w:p w14:paraId="043569ED" w14:textId="77777777" w:rsidR="00D01516" w:rsidRPr="009D2D00" w:rsidRDefault="00D01516" w:rsidP="005056E2">
            <w:pPr>
              <w:pStyle w:val="GOSTTablenorm"/>
            </w:pPr>
            <w:r w:rsidRPr="00002977">
              <w:t xml:space="preserve">Указывается </w:t>
            </w:r>
            <w:r>
              <w:t>КПП</w:t>
            </w:r>
            <w:r w:rsidRPr="00002977">
              <w:t xml:space="preserve"> участника закупки</w:t>
            </w:r>
          </w:p>
        </w:tc>
      </w:tr>
      <w:tr w:rsidR="00D01516" w:rsidRPr="009D2D00" w14:paraId="2E0D689E" w14:textId="77777777" w:rsidTr="005056E2">
        <w:trPr>
          <w:trHeight w:val="282"/>
        </w:trPr>
        <w:tc>
          <w:tcPr>
            <w:tcW w:w="883" w:type="pct"/>
          </w:tcPr>
          <w:p w14:paraId="357F1982" w14:textId="77777777" w:rsidR="00D01516" w:rsidRPr="00D77362" w:rsidRDefault="00D01516" w:rsidP="005056E2">
            <w:pPr>
              <w:pStyle w:val="GOSTTablenorm"/>
            </w:pPr>
            <w:r>
              <w:t>Наименование (ФИО) участника закупки</w:t>
            </w:r>
          </w:p>
        </w:tc>
        <w:tc>
          <w:tcPr>
            <w:tcW w:w="883" w:type="pct"/>
          </w:tcPr>
          <w:p w14:paraId="68026891" w14:textId="77777777" w:rsidR="00D01516" w:rsidRPr="00042743" w:rsidRDefault="00D01516" w:rsidP="005056E2">
            <w:pPr>
              <w:pStyle w:val="GOSTTablenorm"/>
              <w:rPr>
                <w:lang w:val="en-US"/>
              </w:rPr>
            </w:pPr>
            <w:r>
              <w:rPr>
                <w:lang w:val="en-US"/>
              </w:rPr>
              <w:t>NameP</w:t>
            </w:r>
            <w:r w:rsidRPr="006D0BBA">
              <w:rPr>
                <w:lang w:val="en-US"/>
              </w:rPr>
              <w:t>art</w:t>
            </w:r>
          </w:p>
        </w:tc>
        <w:tc>
          <w:tcPr>
            <w:tcW w:w="294" w:type="pct"/>
          </w:tcPr>
          <w:p w14:paraId="3F72626F" w14:textId="77777777" w:rsidR="00D01516" w:rsidRPr="009D2D00" w:rsidRDefault="00D01516" w:rsidP="005056E2">
            <w:pPr>
              <w:pStyle w:val="GOSTTablenorm"/>
            </w:pPr>
            <w:r w:rsidRPr="0043638D">
              <w:t>П</w:t>
            </w:r>
          </w:p>
        </w:tc>
        <w:tc>
          <w:tcPr>
            <w:tcW w:w="589" w:type="pct"/>
          </w:tcPr>
          <w:p w14:paraId="22371B69" w14:textId="77777777" w:rsidR="00D01516" w:rsidRPr="009D2D00" w:rsidRDefault="00D01516" w:rsidP="005056E2">
            <w:pPr>
              <w:pStyle w:val="GOSTTablenorm"/>
            </w:pPr>
            <w:r w:rsidRPr="009D2D00">
              <w:rPr>
                <w:rFonts w:eastAsia="Calibri"/>
              </w:rPr>
              <w:t>Т(</w:t>
            </w:r>
            <w:r>
              <w:rPr>
                <w:rFonts w:eastAsia="Calibri"/>
                <w:lang w:val="en-US"/>
              </w:rPr>
              <w:t>1-</w:t>
            </w:r>
            <w:r>
              <w:rPr>
                <w:rFonts w:eastAsia="Calibri"/>
              </w:rPr>
              <w:t>20</w:t>
            </w:r>
            <w:r>
              <w:rPr>
                <w:rFonts w:eastAsia="Calibri"/>
                <w:lang w:val="en-US"/>
              </w:rPr>
              <w:t>00</w:t>
            </w:r>
            <w:r w:rsidRPr="009D2D00">
              <w:rPr>
                <w:rFonts w:eastAsia="Calibri"/>
              </w:rPr>
              <w:t>)</w:t>
            </w:r>
          </w:p>
        </w:tc>
        <w:tc>
          <w:tcPr>
            <w:tcW w:w="294" w:type="pct"/>
          </w:tcPr>
          <w:p w14:paraId="372351E1" w14:textId="77777777" w:rsidR="00D01516" w:rsidRPr="009D2D00" w:rsidRDefault="00D01516" w:rsidP="005056E2">
            <w:pPr>
              <w:pStyle w:val="GOSTTablenorm"/>
            </w:pPr>
            <w:r w:rsidRPr="006E2FAC">
              <w:t>О</w:t>
            </w:r>
          </w:p>
        </w:tc>
        <w:tc>
          <w:tcPr>
            <w:tcW w:w="2056" w:type="pct"/>
          </w:tcPr>
          <w:p w14:paraId="6108EA32" w14:textId="77777777" w:rsidR="00D01516" w:rsidRPr="009D2D00" w:rsidRDefault="00D01516" w:rsidP="005056E2">
            <w:pPr>
              <w:pStyle w:val="GOSTTablenorm"/>
            </w:pPr>
            <w:r w:rsidRPr="00002977">
              <w:t xml:space="preserve">Указывается </w:t>
            </w:r>
            <w:r>
              <w:t>наименование (или ФИО, если участник – физическое лицо)</w:t>
            </w:r>
            <w:r w:rsidRPr="00002977">
              <w:t xml:space="preserve"> участника закупки</w:t>
            </w:r>
          </w:p>
        </w:tc>
      </w:tr>
    </w:tbl>
    <w:p w14:paraId="537330D1" w14:textId="77777777" w:rsidR="00D01516" w:rsidRPr="00BF75F2" w:rsidRDefault="00D01516" w:rsidP="00D01516">
      <w:pPr>
        <w:pStyle w:val="31"/>
        <w:suppressAutoHyphens/>
        <w:rPr>
          <w:highlight w:val="green"/>
        </w:rPr>
      </w:pPr>
      <w:bookmarkStart w:id="4562" w:name="_Toc185884059"/>
      <w:bookmarkStart w:id="4563" w:name="_Toc201851021"/>
      <w:bookmarkStart w:id="4564" w:name="_Toc219309847"/>
      <w:r w:rsidRPr="00BF75F2">
        <w:rPr>
          <w:highlight w:val="green"/>
        </w:rPr>
        <w:t>Описание комплексного типа «tT</w:t>
      </w:r>
      <w:r w:rsidRPr="00BF75F2">
        <w:rPr>
          <w:highlight w:val="green"/>
          <w:lang w:val="en-US"/>
        </w:rPr>
        <w:t>ableT</w:t>
      </w:r>
      <w:r w:rsidRPr="00BF75F2">
        <w:rPr>
          <w:highlight w:val="green"/>
        </w:rPr>
        <w:t>r</w:t>
      </w:r>
      <w:r w:rsidRPr="00BF75F2">
        <w:rPr>
          <w:highlight w:val="green"/>
          <w:lang w:val="en-US"/>
        </w:rPr>
        <w:t>s</w:t>
      </w:r>
      <w:r w:rsidRPr="00BF75F2">
        <w:rPr>
          <w:highlight w:val="green"/>
        </w:rPr>
        <w:t>cr»</w:t>
      </w:r>
      <w:bookmarkEnd w:id="4562"/>
      <w:bookmarkEnd w:id="4563"/>
      <w:bookmarkEnd w:id="4564"/>
    </w:p>
    <w:p w14:paraId="05249D58" w14:textId="77777777" w:rsidR="00D01516" w:rsidRPr="009D2D00" w:rsidRDefault="00D01516" w:rsidP="00D01516">
      <w:pPr>
        <w:pStyle w:val="ASFKNormal"/>
        <w:spacing w:before="60" w:after="120"/>
        <w:contextualSpacing w:val="0"/>
        <w:jc w:val="both"/>
        <w:rPr>
          <w:sz w:val="24"/>
          <w:szCs w:val="24"/>
        </w:rPr>
      </w:pPr>
      <w:r w:rsidRPr="009D2D00">
        <w:rPr>
          <w:sz w:val="24"/>
          <w:szCs w:val="24"/>
        </w:rPr>
        <w:t>Описание комплексного типа «</w:t>
      </w:r>
      <w:r w:rsidRPr="007F04C4">
        <w:rPr>
          <w:sz w:val="24"/>
          <w:szCs w:val="24"/>
        </w:rPr>
        <w:t>tTableTr</w:t>
      </w:r>
      <w:r>
        <w:rPr>
          <w:sz w:val="24"/>
          <w:szCs w:val="24"/>
          <w:lang w:val="en-US"/>
        </w:rPr>
        <w:t>s</w:t>
      </w:r>
      <w:r w:rsidRPr="007F04C4">
        <w:rPr>
          <w:sz w:val="24"/>
          <w:szCs w:val="24"/>
        </w:rPr>
        <w:t>cr</w:t>
      </w:r>
      <w:r w:rsidRPr="009D2D00">
        <w:rPr>
          <w:sz w:val="24"/>
          <w:szCs w:val="24"/>
        </w:rPr>
        <w:t>» блока «Табличная часть</w:t>
      </w:r>
      <w:r>
        <w:rPr>
          <w:sz w:val="24"/>
          <w:szCs w:val="24"/>
        </w:rPr>
        <w:t xml:space="preserve"> </w:t>
      </w:r>
      <w:r w:rsidRPr="00D77362">
        <w:rPr>
          <w:sz w:val="24"/>
          <w:szCs w:val="24"/>
        </w:rPr>
        <w:t>«</w:t>
      </w:r>
      <w:r w:rsidRPr="00DD7D04">
        <w:rPr>
          <w:sz w:val="24"/>
          <w:szCs w:val="24"/>
        </w:rPr>
        <w:t>Расшифровка</w:t>
      </w:r>
      <w:r w:rsidRPr="00D77362">
        <w:rPr>
          <w:sz w:val="24"/>
          <w:szCs w:val="24"/>
        </w:rPr>
        <w:t>»</w:t>
      </w:r>
      <w:r w:rsidRPr="009D2D00">
        <w:rPr>
          <w:sz w:val="24"/>
          <w:szCs w:val="24"/>
        </w:rPr>
        <w:t>».</w:t>
      </w:r>
    </w:p>
    <w:p w14:paraId="68B4DD28" w14:textId="5F0252E3" w:rsidR="00D01516" w:rsidRPr="00BF75F2" w:rsidRDefault="00D01516" w:rsidP="00D01516">
      <w:pPr>
        <w:pStyle w:val="GOSTNameTable"/>
        <w:numPr>
          <w:ilvl w:val="0"/>
          <w:numId w:val="151"/>
        </w:numPr>
        <w:suppressAutoHyphens/>
        <w:spacing w:before="240" w:after="120"/>
        <w:ind w:left="425" w:hanging="357"/>
        <w:rPr>
          <w:rFonts w:eastAsia="Calibri"/>
          <w:szCs w:val="24"/>
          <w:highlight w:val="green"/>
        </w:rPr>
      </w:pPr>
      <w:r w:rsidRPr="00BF75F2">
        <w:rPr>
          <w:rFonts w:eastAsia="Calibri"/>
          <w:szCs w:val="24"/>
          <w:highlight w:val="green"/>
        </w:rPr>
        <w:lastRenderedPageBreak/>
        <w:fldChar w:fldCharType="begin"/>
      </w:r>
      <w:r w:rsidRPr="00BF75F2">
        <w:rPr>
          <w:rFonts w:eastAsia="Calibri"/>
          <w:szCs w:val="24"/>
          <w:highlight w:val="green"/>
        </w:rPr>
        <w:instrText xml:space="preserve"> SEQ Таблица \* ARABIC </w:instrText>
      </w:r>
      <w:r w:rsidRPr="00BF75F2">
        <w:rPr>
          <w:rFonts w:eastAsia="Calibri"/>
          <w:szCs w:val="24"/>
          <w:highlight w:val="green"/>
        </w:rPr>
        <w:fldChar w:fldCharType="separate"/>
      </w:r>
      <w:bookmarkStart w:id="4565" w:name="_Ref216204757"/>
      <w:bookmarkStart w:id="4566" w:name="_Toc185882672"/>
      <w:bookmarkStart w:id="4567" w:name="_Toc219309386"/>
      <w:r w:rsidR="008D797C">
        <w:rPr>
          <w:rFonts w:eastAsia="Calibri"/>
          <w:noProof/>
          <w:szCs w:val="24"/>
          <w:highlight w:val="green"/>
        </w:rPr>
        <w:t>356</w:t>
      </w:r>
      <w:bookmarkEnd w:id="4565"/>
      <w:r w:rsidRPr="00BF75F2">
        <w:rPr>
          <w:rFonts w:eastAsia="Calibri"/>
          <w:szCs w:val="24"/>
          <w:highlight w:val="green"/>
        </w:rPr>
        <w:fldChar w:fldCharType="end"/>
      </w:r>
      <w:r w:rsidRPr="00BF75F2">
        <w:rPr>
          <w:rFonts w:eastAsia="Calibri"/>
          <w:szCs w:val="24"/>
          <w:highlight w:val="green"/>
        </w:rPr>
        <w:t xml:space="preserve"> – Описание комплексного типа «</w:t>
      </w:r>
      <w:r w:rsidRPr="00BF75F2">
        <w:rPr>
          <w:highlight w:val="green"/>
        </w:rPr>
        <w:t>tT</w:t>
      </w:r>
      <w:r w:rsidRPr="00BF75F2">
        <w:rPr>
          <w:highlight w:val="green"/>
          <w:lang w:val="en-US"/>
        </w:rPr>
        <w:t>ableT</w:t>
      </w:r>
      <w:r w:rsidRPr="00BF75F2">
        <w:rPr>
          <w:highlight w:val="green"/>
        </w:rPr>
        <w:t>r</w:t>
      </w:r>
      <w:r w:rsidRPr="00BF75F2">
        <w:rPr>
          <w:highlight w:val="green"/>
          <w:lang w:val="en-US"/>
        </w:rPr>
        <w:t>s</w:t>
      </w:r>
      <w:r w:rsidRPr="00BF75F2">
        <w:rPr>
          <w:highlight w:val="green"/>
        </w:rPr>
        <w:t>cr</w:t>
      </w:r>
      <w:r w:rsidRPr="00BF75F2">
        <w:rPr>
          <w:rFonts w:eastAsia="Calibri"/>
          <w:szCs w:val="24"/>
          <w:highlight w:val="green"/>
        </w:rPr>
        <w:t>»</w:t>
      </w:r>
      <w:bookmarkEnd w:id="4566"/>
      <w:bookmarkEnd w:id="4567"/>
    </w:p>
    <w:tbl>
      <w:tblPr>
        <w:tblStyle w:val="GOSTTable"/>
        <w:tblW w:w="4999" w:type="pct"/>
        <w:tblLayout w:type="fixed"/>
        <w:tblLook w:val="07E0" w:firstRow="1" w:lastRow="1" w:firstColumn="1" w:lastColumn="1" w:noHBand="1" w:noVBand="1"/>
      </w:tblPr>
      <w:tblGrid>
        <w:gridCol w:w="1701"/>
        <w:gridCol w:w="1700"/>
        <w:gridCol w:w="569"/>
        <w:gridCol w:w="1138"/>
        <w:gridCol w:w="569"/>
        <w:gridCol w:w="3971"/>
      </w:tblGrid>
      <w:tr w:rsidR="00D01516" w:rsidRPr="009D2D00" w14:paraId="76E1CBCF" w14:textId="77777777" w:rsidTr="00D01516">
        <w:trPr>
          <w:cnfStyle w:val="100000000000" w:firstRow="1" w:lastRow="0" w:firstColumn="0" w:lastColumn="0" w:oddVBand="0" w:evenVBand="0" w:oddHBand="0" w:evenHBand="0" w:firstRowFirstColumn="0" w:firstRowLastColumn="0" w:lastRowFirstColumn="0" w:lastRowLastColumn="0"/>
          <w:trHeight w:val="282"/>
          <w:tblHeader/>
        </w:trPr>
        <w:tc>
          <w:tcPr>
            <w:tcW w:w="881" w:type="pct"/>
          </w:tcPr>
          <w:p w14:paraId="7D953D77" w14:textId="77777777" w:rsidR="00D01516" w:rsidRPr="009D2D00" w:rsidRDefault="00D01516" w:rsidP="005056E2">
            <w:pPr>
              <w:pStyle w:val="GOSTTableHead"/>
              <w:rPr>
                <w:lang w:val="en-US"/>
              </w:rPr>
            </w:pPr>
            <w:r w:rsidRPr="009D2D00">
              <w:t>Наименование комплексного типа</w:t>
            </w:r>
          </w:p>
        </w:tc>
        <w:tc>
          <w:tcPr>
            <w:tcW w:w="881" w:type="pct"/>
          </w:tcPr>
          <w:p w14:paraId="6163FAAF" w14:textId="77777777" w:rsidR="00D01516" w:rsidRPr="009D2D00" w:rsidRDefault="00D01516" w:rsidP="005056E2">
            <w:pPr>
              <w:pStyle w:val="GOSTTableHead"/>
            </w:pPr>
            <w:r w:rsidRPr="009D2D00">
              <w:t>Текущий элемент/</w:t>
            </w:r>
            <w:r w:rsidRPr="009D2D00">
              <w:rPr>
                <w:lang w:val="en-US"/>
              </w:rPr>
              <w:t xml:space="preserve"> </w:t>
            </w:r>
            <w:r w:rsidRPr="009D2D00">
              <w:t>атрибут</w:t>
            </w:r>
          </w:p>
        </w:tc>
        <w:tc>
          <w:tcPr>
            <w:tcW w:w="295" w:type="pct"/>
          </w:tcPr>
          <w:p w14:paraId="53950089" w14:textId="77777777" w:rsidR="00D01516" w:rsidRPr="009D2D00" w:rsidRDefault="00D01516" w:rsidP="005056E2">
            <w:pPr>
              <w:pStyle w:val="GOSTTableHead"/>
            </w:pPr>
            <w:r w:rsidRPr="009D2D00">
              <w:t>Тип</w:t>
            </w:r>
          </w:p>
        </w:tc>
        <w:tc>
          <w:tcPr>
            <w:tcW w:w="590" w:type="pct"/>
          </w:tcPr>
          <w:p w14:paraId="1642765E" w14:textId="77777777" w:rsidR="00D01516" w:rsidRPr="009D2D00" w:rsidRDefault="00D01516" w:rsidP="005056E2">
            <w:pPr>
              <w:pStyle w:val="GOSTTableHead"/>
            </w:pPr>
            <w:r w:rsidRPr="009D2D00">
              <w:t>Формат элемента</w:t>
            </w:r>
          </w:p>
        </w:tc>
        <w:tc>
          <w:tcPr>
            <w:tcW w:w="295" w:type="pct"/>
          </w:tcPr>
          <w:p w14:paraId="0EC3AB86" w14:textId="77777777" w:rsidR="00D01516" w:rsidRPr="009D2D00" w:rsidRDefault="00D01516" w:rsidP="005056E2">
            <w:pPr>
              <w:pStyle w:val="GOSTTableHead"/>
            </w:pPr>
            <w:r w:rsidRPr="009D2D00">
              <w:t>Обязательность</w:t>
            </w:r>
          </w:p>
        </w:tc>
        <w:tc>
          <w:tcPr>
            <w:tcW w:w="2058" w:type="pct"/>
          </w:tcPr>
          <w:p w14:paraId="0397F013" w14:textId="77777777" w:rsidR="00D01516" w:rsidRPr="009D2D00" w:rsidRDefault="00D01516" w:rsidP="005056E2">
            <w:pPr>
              <w:pStyle w:val="GOSTTableHead"/>
            </w:pPr>
            <w:r w:rsidRPr="009D2D00">
              <w:t>Дополнительная информация</w:t>
            </w:r>
          </w:p>
        </w:tc>
      </w:tr>
      <w:tr w:rsidR="00D01516" w:rsidRPr="009D2D00" w14:paraId="2224B2F5" w14:textId="77777777" w:rsidTr="005056E2">
        <w:trPr>
          <w:trHeight w:val="282"/>
        </w:trPr>
        <w:tc>
          <w:tcPr>
            <w:tcW w:w="881" w:type="pct"/>
          </w:tcPr>
          <w:p w14:paraId="4F54CC45" w14:textId="77777777" w:rsidR="00D01516" w:rsidRPr="009D2D00" w:rsidRDefault="00D01516" w:rsidP="005056E2">
            <w:pPr>
              <w:pStyle w:val="GOSTTablenorm"/>
            </w:pPr>
            <w:r w:rsidRPr="009D2D00">
              <w:t>tT</w:t>
            </w:r>
            <w:r w:rsidRPr="009D2D00">
              <w:rPr>
                <w:lang w:val="en-US"/>
              </w:rPr>
              <w:t>able</w:t>
            </w:r>
            <w:r>
              <w:rPr>
                <w:lang w:val="en-US"/>
              </w:rPr>
              <w:t>T</w:t>
            </w:r>
            <w:r w:rsidRPr="007F04C4">
              <w:t>r</w:t>
            </w:r>
            <w:r>
              <w:rPr>
                <w:lang w:val="en-US"/>
              </w:rPr>
              <w:t>s</w:t>
            </w:r>
            <w:r w:rsidRPr="007F04C4">
              <w:t>cr</w:t>
            </w:r>
          </w:p>
        </w:tc>
        <w:tc>
          <w:tcPr>
            <w:tcW w:w="881" w:type="pct"/>
          </w:tcPr>
          <w:p w14:paraId="032D4784" w14:textId="77777777" w:rsidR="00D01516" w:rsidRPr="009D2D00" w:rsidRDefault="00D01516" w:rsidP="005056E2">
            <w:pPr>
              <w:pStyle w:val="GOSTTablenorm"/>
            </w:pPr>
            <w:r w:rsidRPr="009D2D00">
              <w:t>T</w:t>
            </w:r>
            <w:r w:rsidRPr="009D2D00">
              <w:rPr>
                <w:lang w:val="en-US"/>
              </w:rPr>
              <w:t>able</w:t>
            </w:r>
            <w:r>
              <w:rPr>
                <w:lang w:val="en-US"/>
              </w:rPr>
              <w:t>T</w:t>
            </w:r>
            <w:r w:rsidRPr="007F04C4">
              <w:t>r</w:t>
            </w:r>
            <w:r>
              <w:rPr>
                <w:lang w:val="en-US"/>
              </w:rPr>
              <w:t>s</w:t>
            </w:r>
            <w:r w:rsidRPr="007F04C4">
              <w:t>cr</w:t>
            </w:r>
            <w:r>
              <w:t>_</w:t>
            </w:r>
            <w:r w:rsidRPr="009D2D00">
              <w:t>ITEM</w:t>
            </w:r>
          </w:p>
        </w:tc>
        <w:tc>
          <w:tcPr>
            <w:tcW w:w="295" w:type="pct"/>
          </w:tcPr>
          <w:p w14:paraId="7B1D3B43" w14:textId="77777777" w:rsidR="00D01516" w:rsidRPr="009D2D00" w:rsidRDefault="00D01516" w:rsidP="005056E2">
            <w:pPr>
              <w:pStyle w:val="GOSTTablenorm"/>
            </w:pPr>
            <w:r w:rsidRPr="009D2D00">
              <w:t>С</w:t>
            </w:r>
          </w:p>
        </w:tc>
        <w:tc>
          <w:tcPr>
            <w:tcW w:w="590" w:type="pct"/>
          </w:tcPr>
          <w:p w14:paraId="2B776EE8" w14:textId="77777777" w:rsidR="00D01516" w:rsidRPr="009D2D00" w:rsidRDefault="00D01516" w:rsidP="005056E2">
            <w:pPr>
              <w:pStyle w:val="GOSTTablenorm"/>
            </w:pPr>
            <w:r>
              <w:t>t</w:t>
            </w:r>
            <w:r w:rsidRPr="009D2D00">
              <w:t>T</w:t>
            </w:r>
            <w:r w:rsidRPr="009D2D00">
              <w:rPr>
                <w:lang w:val="en-US"/>
              </w:rPr>
              <w:t>able</w:t>
            </w:r>
            <w:r>
              <w:rPr>
                <w:lang w:val="en-US"/>
              </w:rPr>
              <w:t>T</w:t>
            </w:r>
            <w:r w:rsidRPr="007F04C4">
              <w:t>r</w:t>
            </w:r>
            <w:r>
              <w:rPr>
                <w:lang w:val="en-US"/>
              </w:rPr>
              <w:t>s</w:t>
            </w:r>
            <w:r w:rsidRPr="007F04C4">
              <w:t>cr</w:t>
            </w:r>
            <w:r>
              <w:t>_</w:t>
            </w:r>
            <w:r w:rsidRPr="009D2D00">
              <w:t>ITEM</w:t>
            </w:r>
          </w:p>
        </w:tc>
        <w:tc>
          <w:tcPr>
            <w:tcW w:w="295" w:type="pct"/>
          </w:tcPr>
          <w:p w14:paraId="1FE6848A" w14:textId="77777777" w:rsidR="00D01516" w:rsidRPr="009D2D00" w:rsidRDefault="00D01516" w:rsidP="005056E2">
            <w:pPr>
              <w:pStyle w:val="GOSTTablenorm"/>
              <w:rPr>
                <w:lang w:val="en-US"/>
              </w:rPr>
            </w:pPr>
            <w:r w:rsidRPr="009D2D00">
              <w:t>ОМ</w:t>
            </w:r>
          </w:p>
        </w:tc>
        <w:tc>
          <w:tcPr>
            <w:tcW w:w="2058" w:type="pct"/>
          </w:tcPr>
          <w:p w14:paraId="697755D5" w14:textId="6A167071" w:rsidR="00D01516" w:rsidRPr="009D2D00" w:rsidRDefault="00D01516" w:rsidP="00D01516">
            <w:pPr>
              <w:pStyle w:val="GOSTTablenorm"/>
            </w:pPr>
            <w:r w:rsidRPr="009D2D00">
              <w:t xml:space="preserve">Состав элемента представлен в таблице </w:t>
            </w:r>
            <w:r>
              <w:fldChar w:fldCharType="begin"/>
            </w:r>
            <w:r>
              <w:instrText xml:space="preserve"> REF _Ref216204759 \h </w:instrText>
            </w:r>
            <w:r>
              <w:fldChar w:fldCharType="separate"/>
            </w:r>
            <w:r w:rsidR="008D797C">
              <w:rPr>
                <w:rFonts w:eastAsia="Calibri"/>
                <w:noProof/>
                <w:highlight w:val="green"/>
              </w:rPr>
              <w:t>357</w:t>
            </w:r>
            <w:r>
              <w:fldChar w:fldCharType="end"/>
            </w:r>
          </w:p>
        </w:tc>
      </w:tr>
    </w:tbl>
    <w:p w14:paraId="74F22E07" w14:textId="77777777" w:rsidR="00D01516" w:rsidRPr="009D2D00" w:rsidRDefault="00D01516" w:rsidP="00D01516">
      <w:pPr>
        <w:pStyle w:val="31"/>
        <w:suppressAutoHyphens/>
      </w:pPr>
      <w:bookmarkStart w:id="4568" w:name="_Toc185884060"/>
      <w:bookmarkStart w:id="4569" w:name="_Toc201851022"/>
      <w:bookmarkStart w:id="4570" w:name="_Toc219309848"/>
      <w:r w:rsidRPr="00BF75F2">
        <w:rPr>
          <w:highlight w:val="green"/>
        </w:rPr>
        <w:t>Описание комплексного типа «tT</w:t>
      </w:r>
      <w:r w:rsidRPr="00BF75F2">
        <w:rPr>
          <w:highlight w:val="green"/>
          <w:lang w:val="en-US"/>
        </w:rPr>
        <w:t>ableT</w:t>
      </w:r>
      <w:r w:rsidRPr="00BF75F2">
        <w:rPr>
          <w:highlight w:val="green"/>
        </w:rPr>
        <w:t>r</w:t>
      </w:r>
      <w:r w:rsidRPr="00BF75F2">
        <w:rPr>
          <w:highlight w:val="green"/>
          <w:lang w:val="en-US"/>
        </w:rPr>
        <w:t>s</w:t>
      </w:r>
      <w:r w:rsidRPr="00BF75F2">
        <w:rPr>
          <w:highlight w:val="green"/>
        </w:rPr>
        <w:t>cr_ITEM»</w:t>
      </w:r>
      <w:bookmarkEnd w:id="4568"/>
      <w:bookmarkEnd w:id="4569"/>
      <w:bookmarkEnd w:id="4570"/>
    </w:p>
    <w:p w14:paraId="09DCB842" w14:textId="77777777" w:rsidR="00D01516" w:rsidRPr="009D2D00" w:rsidRDefault="00D01516" w:rsidP="00D01516">
      <w:pPr>
        <w:pStyle w:val="ASFKNormal"/>
        <w:spacing w:before="60" w:after="120"/>
        <w:contextualSpacing w:val="0"/>
        <w:jc w:val="both"/>
        <w:rPr>
          <w:sz w:val="24"/>
          <w:szCs w:val="24"/>
        </w:rPr>
      </w:pPr>
      <w:r w:rsidRPr="009D2D00">
        <w:rPr>
          <w:sz w:val="24"/>
          <w:szCs w:val="24"/>
        </w:rPr>
        <w:t>Описание комплексного типа «</w:t>
      </w:r>
      <w:r w:rsidRPr="007F04C4">
        <w:rPr>
          <w:sz w:val="24"/>
          <w:szCs w:val="24"/>
        </w:rPr>
        <w:t>tTableTr</w:t>
      </w:r>
      <w:r>
        <w:rPr>
          <w:sz w:val="24"/>
          <w:szCs w:val="24"/>
          <w:lang w:val="en-US"/>
        </w:rPr>
        <w:t>s</w:t>
      </w:r>
      <w:r w:rsidRPr="007F04C4">
        <w:rPr>
          <w:sz w:val="24"/>
          <w:szCs w:val="24"/>
        </w:rPr>
        <w:t>cr</w:t>
      </w:r>
      <w:r>
        <w:rPr>
          <w:sz w:val="24"/>
          <w:szCs w:val="24"/>
        </w:rPr>
        <w:t>_</w:t>
      </w:r>
      <w:r w:rsidRPr="007F04C4">
        <w:rPr>
          <w:sz w:val="24"/>
          <w:szCs w:val="24"/>
        </w:rPr>
        <w:t>ITEM</w:t>
      </w:r>
      <w:r w:rsidRPr="009D2D00">
        <w:rPr>
          <w:sz w:val="24"/>
          <w:szCs w:val="24"/>
        </w:rPr>
        <w:t>» строк блока «Табличная часть</w:t>
      </w:r>
      <w:r>
        <w:rPr>
          <w:sz w:val="24"/>
          <w:szCs w:val="24"/>
        </w:rPr>
        <w:t xml:space="preserve"> </w:t>
      </w:r>
      <w:r w:rsidRPr="00D77362">
        <w:rPr>
          <w:sz w:val="24"/>
          <w:szCs w:val="24"/>
        </w:rPr>
        <w:t>«</w:t>
      </w:r>
      <w:r w:rsidRPr="00DD7D04">
        <w:rPr>
          <w:sz w:val="24"/>
          <w:szCs w:val="24"/>
        </w:rPr>
        <w:t>Расшифровка</w:t>
      </w:r>
      <w:r w:rsidRPr="00D77362">
        <w:rPr>
          <w:sz w:val="24"/>
          <w:szCs w:val="24"/>
        </w:rPr>
        <w:t>»</w:t>
      </w:r>
      <w:r w:rsidRPr="009D2D00">
        <w:rPr>
          <w:sz w:val="24"/>
          <w:szCs w:val="24"/>
        </w:rPr>
        <w:t>».</w:t>
      </w:r>
    </w:p>
    <w:p w14:paraId="73957D3C" w14:textId="6039BC70" w:rsidR="00D01516" w:rsidRPr="00BF75F2" w:rsidRDefault="00D01516" w:rsidP="00D01516">
      <w:pPr>
        <w:pStyle w:val="GOSTNameTable"/>
        <w:numPr>
          <w:ilvl w:val="0"/>
          <w:numId w:val="151"/>
        </w:numPr>
        <w:suppressAutoHyphens/>
        <w:spacing w:before="240" w:after="120"/>
        <w:rPr>
          <w:rFonts w:eastAsia="Calibri"/>
          <w:highlight w:val="green"/>
        </w:rPr>
      </w:pPr>
      <w:r w:rsidRPr="00BF75F2">
        <w:rPr>
          <w:rFonts w:eastAsia="Calibri"/>
          <w:highlight w:val="green"/>
        </w:rPr>
        <w:fldChar w:fldCharType="begin"/>
      </w:r>
      <w:r w:rsidRPr="00BF75F2">
        <w:rPr>
          <w:rFonts w:eastAsia="Calibri"/>
          <w:highlight w:val="green"/>
        </w:rPr>
        <w:instrText xml:space="preserve"> SEQ Таблица \* ARABIC </w:instrText>
      </w:r>
      <w:r w:rsidRPr="00BF75F2">
        <w:rPr>
          <w:rFonts w:eastAsia="Calibri"/>
          <w:highlight w:val="green"/>
        </w:rPr>
        <w:fldChar w:fldCharType="separate"/>
      </w:r>
      <w:bookmarkStart w:id="4571" w:name="_Ref216204759"/>
      <w:bookmarkStart w:id="4572" w:name="_Toc185882673"/>
      <w:bookmarkStart w:id="4573" w:name="_Toc219309387"/>
      <w:r w:rsidR="008D797C">
        <w:rPr>
          <w:rFonts w:eastAsia="Calibri"/>
          <w:noProof/>
          <w:highlight w:val="green"/>
        </w:rPr>
        <w:t>357</w:t>
      </w:r>
      <w:bookmarkEnd w:id="4571"/>
      <w:r w:rsidRPr="00BF75F2">
        <w:rPr>
          <w:rFonts w:eastAsia="Calibri"/>
          <w:highlight w:val="green"/>
        </w:rPr>
        <w:fldChar w:fldCharType="end"/>
      </w:r>
      <w:r w:rsidRPr="00BF75F2">
        <w:rPr>
          <w:rFonts w:eastAsia="Calibri"/>
          <w:highlight w:val="green"/>
        </w:rPr>
        <w:t xml:space="preserve"> – Описание комплексного типа «</w:t>
      </w:r>
      <w:r w:rsidRPr="00BF75F2">
        <w:rPr>
          <w:rFonts w:eastAsia="Calibri"/>
          <w:szCs w:val="24"/>
          <w:highlight w:val="green"/>
        </w:rPr>
        <w:t>tTableTr</w:t>
      </w:r>
      <w:r w:rsidRPr="00BF75F2">
        <w:rPr>
          <w:rFonts w:eastAsia="Calibri"/>
          <w:szCs w:val="24"/>
          <w:highlight w:val="green"/>
          <w:lang w:val="en-US"/>
        </w:rPr>
        <w:t>s</w:t>
      </w:r>
      <w:r w:rsidRPr="00BF75F2">
        <w:rPr>
          <w:rFonts w:eastAsia="Calibri"/>
          <w:szCs w:val="24"/>
          <w:highlight w:val="green"/>
        </w:rPr>
        <w:t>cr_ITEM</w:t>
      </w:r>
      <w:r w:rsidRPr="00BF75F2">
        <w:rPr>
          <w:rFonts w:eastAsia="Calibri"/>
          <w:highlight w:val="green"/>
        </w:rPr>
        <w:t>»</w:t>
      </w:r>
      <w:bookmarkEnd w:id="4572"/>
      <w:bookmarkEnd w:id="4573"/>
    </w:p>
    <w:tbl>
      <w:tblPr>
        <w:tblStyle w:val="GOSTTable"/>
        <w:tblW w:w="5000" w:type="pct"/>
        <w:tblLayout w:type="fixed"/>
        <w:tblLook w:val="07E0" w:firstRow="1" w:lastRow="1" w:firstColumn="1" w:lastColumn="1" w:noHBand="1" w:noVBand="1"/>
      </w:tblPr>
      <w:tblGrid>
        <w:gridCol w:w="1705"/>
        <w:gridCol w:w="1705"/>
        <w:gridCol w:w="568"/>
        <w:gridCol w:w="1137"/>
        <w:gridCol w:w="567"/>
        <w:gridCol w:w="3968"/>
      </w:tblGrid>
      <w:tr w:rsidR="00D01516" w:rsidRPr="009D2D00" w14:paraId="481A65E2" w14:textId="77777777" w:rsidTr="00D01516">
        <w:trPr>
          <w:cnfStyle w:val="100000000000" w:firstRow="1" w:lastRow="0" w:firstColumn="0" w:lastColumn="0" w:oddVBand="0" w:evenVBand="0" w:oddHBand="0" w:evenHBand="0" w:firstRowFirstColumn="0" w:firstRowLastColumn="0" w:lastRowFirstColumn="0" w:lastRowLastColumn="0"/>
          <w:trHeight w:val="283"/>
          <w:tblHeader/>
        </w:trPr>
        <w:tc>
          <w:tcPr>
            <w:tcW w:w="883" w:type="pct"/>
          </w:tcPr>
          <w:p w14:paraId="48F26F04" w14:textId="77777777" w:rsidR="00D01516" w:rsidRPr="009D2D00" w:rsidRDefault="00D01516" w:rsidP="005056E2">
            <w:pPr>
              <w:pStyle w:val="GOSTTableHead"/>
            </w:pPr>
            <w:r w:rsidRPr="009D2D00">
              <w:t>Наименование элемента</w:t>
            </w:r>
          </w:p>
        </w:tc>
        <w:tc>
          <w:tcPr>
            <w:tcW w:w="883" w:type="pct"/>
          </w:tcPr>
          <w:p w14:paraId="1799CEFD" w14:textId="77777777" w:rsidR="00D01516" w:rsidRPr="009D2D00" w:rsidRDefault="00D01516" w:rsidP="005056E2">
            <w:pPr>
              <w:pStyle w:val="GOSTTableHead"/>
            </w:pPr>
            <w:r w:rsidRPr="009D2D00">
              <w:t>Сокращенное наименование (код) элемента</w:t>
            </w:r>
          </w:p>
        </w:tc>
        <w:tc>
          <w:tcPr>
            <w:tcW w:w="294" w:type="pct"/>
          </w:tcPr>
          <w:p w14:paraId="02A66DEC" w14:textId="77777777" w:rsidR="00D01516" w:rsidRPr="009D2D00" w:rsidRDefault="00D01516" w:rsidP="005056E2">
            <w:pPr>
              <w:pStyle w:val="GOSTTableHead"/>
            </w:pPr>
            <w:r w:rsidRPr="009D2D00">
              <w:t>Тип</w:t>
            </w:r>
          </w:p>
        </w:tc>
        <w:tc>
          <w:tcPr>
            <w:tcW w:w="589" w:type="pct"/>
          </w:tcPr>
          <w:p w14:paraId="45D39814" w14:textId="77777777" w:rsidR="00D01516" w:rsidRPr="009D2D00" w:rsidRDefault="00D01516" w:rsidP="005056E2">
            <w:pPr>
              <w:pStyle w:val="GOSTTableHead"/>
            </w:pPr>
            <w:r w:rsidRPr="009D2D00">
              <w:t>Формат элемента</w:t>
            </w:r>
          </w:p>
        </w:tc>
        <w:tc>
          <w:tcPr>
            <w:tcW w:w="294" w:type="pct"/>
          </w:tcPr>
          <w:p w14:paraId="617E0A96" w14:textId="77777777" w:rsidR="00D01516" w:rsidRPr="009D2D00" w:rsidRDefault="00D01516" w:rsidP="005056E2">
            <w:pPr>
              <w:pStyle w:val="GOSTTableHead"/>
            </w:pPr>
            <w:r w:rsidRPr="009D2D00">
              <w:t>Обязательность</w:t>
            </w:r>
          </w:p>
        </w:tc>
        <w:tc>
          <w:tcPr>
            <w:tcW w:w="2056" w:type="pct"/>
          </w:tcPr>
          <w:p w14:paraId="3B690CBC" w14:textId="77777777" w:rsidR="00D01516" w:rsidRPr="009D2D00" w:rsidRDefault="00D01516" w:rsidP="005056E2">
            <w:pPr>
              <w:pStyle w:val="GOSTTableHead"/>
            </w:pPr>
            <w:r w:rsidRPr="009D2D00">
              <w:t>Дополнительная информация</w:t>
            </w:r>
          </w:p>
        </w:tc>
      </w:tr>
      <w:tr w:rsidR="00D01516" w:rsidRPr="009D2D00" w14:paraId="3DF2CD6F" w14:textId="77777777" w:rsidTr="005056E2">
        <w:trPr>
          <w:trHeight w:val="283"/>
        </w:trPr>
        <w:tc>
          <w:tcPr>
            <w:tcW w:w="883" w:type="pct"/>
          </w:tcPr>
          <w:p w14:paraId="37C363EC" w14:textId="77777777" w:rsidR="00D01516" w:rsidRPr="009D2D00" w:rsidRDefault="00D01516" w:rsidP="005056E2">
            <w:pPr>
              <w:pStyle w:val="GOSTTablenorm"/>
            </w:pPr>
            <w:r>
              <w:t>КБК</w:t>
            </w:r>
          </w:p>
        </w:tc>
        <w:tc>
          <w:tcPr>
            <w:tcW w:w="883" w:type="pct"/>
          </w:tcPr>
          <w:p w14:paraId="5DDD1FE3" w14:textId="77777777" w:rsidR="00D01516" w:rsidRPr="00DD7D04" w:rsidRDefault="00D01516" w:rsidP="005056E2">
            <w:pPr>
              <w:pStyle w:val="GOSTTablenorm"/>
              <w:rPr>
                <w:lang w:val="en-US"/>
              </w:rPr>
            </w:pPr>
            <w:r>
              <w:rPr>
                <w:rFonts w:eastAsia="Calibri"/>
                <w:lang w:val="en-US"/>
              </w:rPr>
              <w:t>KBK</w:t>
            </w:r>
          </w:p>
        </w:tc>
        <w:tc>
          <w:tcPr>
            <w:tcW w:w="294" w:type="pct"/>
          </w:tcPr>
          <w:p w14:paraId="071D286D" w14:textId="77777777" w:rsidR="00D01516" w:rsidRPr="009D2D00" w:rsidRDefault="00D01516" w:rsidP="005056E2">
            <w:pPr>
              <w:pStyle w:val="GOSTTablenorm"/>
            </w:pPr>
            <w:r w:rsidRPr="009D2D00">
              <w:rPr>
                <w:rFonts w:eastAsia="Calibri"/>
              </w:rPr>
              <w:t>П</w:t>
            </w:r>
          </w:p>
        </w:tc>
        <w:tc>
          <w:tcPr>
            <w:tcW w:w="589" w:type="pct"/>
          </w:tcPr>
          <w:p w14:paraId="04A492BA" w14:textId="77777777" w:rsidR="00D01516" w:rsidRPr="009D2D00" w:rsidRDefault="00D01516" w:rsidP="005056E2">
            <w:pPr>
              <w:pStyle w:val="GOSTTablenorm"/>
            </w:pPr>
            <w:r w:rsidRPr="009D2D00">
              <w:rPr>
                <w:rFonts w:eastAsia="Calibri"/>
              </w:rPr>
              <w:t>Т(</w:t>
            </w:r>
            <w:r>
              <w:rPr>
                <w:rFonts w:eastAsia="Calibri"/>
                <w:lang w:val="en-US"/>
              </w:rPr>
              <w:t>2</w:t>
            </w:r>
            <w:r w:rsidRPr="009D2D00">
              <w:rPr>
                <w:rFonts w:eastAsia="Calibri"/>
              </w:rPr>
              <w:t>0)</w:t>
            </w:r>
          </w:p>
        </w:tc>
        <w:tc>
          <w:tcPr>
            <w:tcW w:w="294" w:type="pct"/>
          </w:tcPr>
          <w:p w14:paraId="389D94BB" w14:textId="77777777" w:rsidR="00D01516" w:rsidRPr="009D2D00" w:rsidRDefault="00D01516" w:rsidP="005056E2">
            <w:pPr>
              <w:pStyle w:val="GOSTTablenorm"/>
            </w:pPr>
            <w:r w:rsidRPr="009D2D00">
              <w:rPr>
                <w:rFonts w:eastAsia="Calibri"/>
              </w:rPr>
              <w:t>О</w:t>
            </w:r>
          </w:p>
        </w:tc>
        <w:tc>
          <w:tcPr>
            <w:tcW w:w="2056" w:type="pct"/>
          </w:tcPr>
          <w:p w14:paraId="105F9564" w14:textId="77777777" w:rsidR="00D01516" w:rsidRPr="009D2D00" w:rsidRDefault="00D01516" w:rsidP="005056E2">
            <w:pPr>
              <w:pStyle w:val="GOSTTablenorm"/>
            </w:pPr>
            <w:r w:rsidRPr="00DD7D04">
              <w:t>Указывается КБК</w:t>
            </w:r>
          </w:p>
        </w:tc>
      </w:tr>
      <w:tr w:rsidR="00D01516" w:rsidRPr="009D2D00" w14:paraId="6D164E8B" w14:textId="77777777" w:rsidTr="005056E2">
        <w:trPr>
          <w:trHeight w:val="283"/>
        </w:trPr>
        <w:tc>
          <w:tcPr>
            <w:tcW w:w="883" w:type="pct"/>
          </w:tcPr>
          <w:p w14:paraId="26BFE654" w14:textId="77777777" w:rsidR="00D01516" w:rsidRPr="009D2D00" w:rsidRDefault="00D01516" w:rsidP="005056E2">
            <w:pPr>
              <w:pStyle w:val="GOSTTablenorm"/>
            </w:pPr>
            <w:r>
              <w:t>Код по ОКС (КМИ)</w:t>
            </w:r>
          </w:p>
        </w:tc>
        <w:tc>
          <w:tcPr>
            <w:tcW w:w="883" w:type="pct"/>
          </w:tcPr>
          <w:p w14:paraId="2AF3F78A" w14:textId="77777777" w:rsidR="00D01516" w:rsidRPr="009D2D00" w:rsidRDefault="00D01516" w:rsidP="005056E2">
            <w:pPr>
              <w:pStyle w:val="GOSTTablenorm"/>
            </w:pPr>
            <w:r w:rsidRPr="009D2D00">
              <w:rPr>
                <w:szCs w:val="22"/>
              </w:rPr>
              <w:t>Code</w:t>
            </w:r>
            <w:r w:rsidRPr="009D2D00">
              <w:rPr>
                <w:szCs w:val="22"/>
                <w:lang w:val="en-US"/>
              </w:rPr>
              <w:t>OKS</w:t>
            </w:r>
          </w:p>
        </w:tc>
        <w:tc>
          <w:tcPr>
            <w:tcW w:w="294" w:type="pct"/>
          </w:tcPr>
          <w:p w14:paraId="6C6C267F" w14:textId="77777777" w:rsidR="00D01516" w:rsidRPr="009D2D00" w:rsidRDefault="00D01516" w:rsidP="005056E2">
            <w:pPr>
              <w:pStyle w:val="GOSTTablenorm"/>
            </w:pPr>
            <w:r w:rsidRPr="009D2D00">
              <w:rPr>
                <w:rFonts w:eastAsia="Calibri"/>
              </w:rPr>
              <w:t>П</w:t>
            </w:r>
          </w:p>
        </w:tc>
        <w:tc>
          <w:tcPr>
            <w:tcW w:w="589" w:type="pct"/>
          </w:tcPr>
          <w:p w14:paraId="0C0DCD47" w14:textId="77777777" w:rsidR="00D01516" w:rsidRPr="009D2D00" w:rsidRDefault="00D01516" w:rsidP="005056E2">
            <w:pPr>
              <w:pStyle w:val="GOSTTablenorm"/>
            </w:pPr>
            <w:r w:rsidRPr="009D2D00">
              <w:rPr>
                <w:rFonts w:eastAsia="Calibri"/>
              </w:rPr>
              <w:t>Т(</w:t>
            </w:r>
            <w:r>
              <w:rPr>
                <w:rFonts w:eastAsia="Calibri"/>
                <w:lang w:val="en-US"/>
              </w:rPr>
              <w:t>1-24</w:t>
            </w:r>
            <w:r w:rsidRPr="009D2D00">
              <w:rPr>
                <w:rFonts w:eastAsia="Calibri"/>
              </w:rPr>
              <w:t>)</w:t>
            </w:r>
          </w:p>
        </w:tc>
        <w:tc>
          <w:tcPr>
            <w:tcW w:w="294" w:type="pct"/>
          </w:tcPr>
          <w:p w14:paraId="0888C914" w14:textId="77777777" w:rsidR="00D01516" w:rsidRPr="009D2D00" w:rsidRDefault="00D01516" w:rsidP="005056E2">
            <w:pPr>
              <w:pStyle w:val="GOSTTablenorm"/>
            </w:pPr>
            <w:r>
              <w:rPr>
                <w:rFonts w:eastAsia="Calibri"/>
              </w:rPr>
              <w:t>Н</w:t>
            </w:r>
          </w:p>
        </w:tc>
        <w:tc>
          <w:tcPr>
            <w:tcW w:w="2056" w:type="pct"/>
          </w:tcPr>
          <w:p w14:paraId="0296C528" w14:textId="77777777" w:rsidR="00D01516" w:rsidRPr="009D2D00" w:rsidRDefault="00D01516" w:rsidP="00E92FA5">
            <w:pPr>
              <w:pStyle w:val="GOSTTablenorm"/>
            </w:pPr>
            <w:r>
              <w:t>Указывается код ОК</w:t>
            </w:r>
            <w:r w:rsidR="00E92FA5">
              <w:t>С</w:t>
            </w:r>
            <w:r>
              <w:t xml:space="preserve"> (ОК</w:t>
            </w:r>
            <w:r w:rsidR="00E92FA5">
              <w:t>В</w:t>
            </w:r>
            <w:r>
              <w:t>) или КМИ</w:t>
            </w:r>
          </w:p>
        </w:tc>
      </w:tr>
      <w:tr w:rsidR="00D01516" w:rsidRPr="009D2D00" w14:paraId="40E7CFE9" w14:textId="77777777" w:rsidTr="005056E2">
        <w:trPr>
          <w:trHeight w:val="283"/>
        </w:trPr>
        <w:tc>
          <w:tcPr>
            <w:tcW w:w="883" w:type="pct"/>
          </w:tcPr>
          <w:p w14:paraId="0BD0217D" w14:textId="77777777" w:rsidR="00D01516" w:rsidRPr="009D2D00" w:rsidRDefault="00D01516" w:rsidP="005056E2">
            <w:pPr>
              <w:pStyle w:val="GOSTTablenorm"/>
            </w:pPr>
            <w:r>
              <w:t>Наименование по ОКС (КМИ)</w:t>
            </w:r>
          </w:p>
        </w:tc>
        <w:tc>
          <w:tcPr>
            <w:tcW w:w="883" w:type="pct"/>
          </w:tcPr>
          <w:p w14:paraId="4AA16DAF" w14:textId="77777777" w:rsidR="00D01516" w:rsidRPr="009D2D00" w:rsidRDefault="00D01516" w:rsidP="005056E2">
            <w:pPr>
              <w:pStyle w:val="GOSTTablenorm"/>
            </w:pPr>
            <w:r>
              <w:rPr>
                <w:szCs w:val="22"/>
                <w:lang w:val="en-US"/>
              </w:rPr>
              <w:t>Name</w:t>
            </w:r>
            <w:r w:rsidRPr="009D2D00">
              <w:rPr>
                <w:szCs w:val="22"/>
                <w:lang w:val="en-US"/>
              </w:rPr>
              <w:t>OKS</w:t>
            </w:r>
          </w:p>
        </w:tc>
        <w:tc>
          <w:tcPr>
            <w:tcW w:w="294" w:type="pct"/>
          </w:tcPr>
          <w:p w14:paraId="2DF9B209" w14:textId="77777777" w:rsidR="00D01516" w:rsidRPr="009D2D00" w:rsidRDefault="00D01516" w:rsidP="005056E2">
            <w:pPr>
              <w:pStyle w:val="GOSTTablenorm"/>
            </w:pPr>
            <w:r w:rsidRPr="00FC072A">
              <w:rPr>
                <w:rFonts w:eastAsia="Calibri"/>
              </w:rPr>
              <w:t>П</w:t>
            </w:r>
          </w:p>
        </w:tc>
        <w:tc>
          <w:tcPr>
            <w:tcW w:w="589" w:type="pct"/>
          </w:tcPr>
          <w:p w14:paraId="5F2FC67B" w14:textId="77777777" w:rsidR="00D01516" w:rsidRPr="009D2D00" w:rsidRDefault="00D01516" w:rsidP="005056E2">
            <w:pPr>
              <w:pStyle w:val="GOSTTablenorm"/>
            </w:pPr>
            <w:r w:rsidRPr="009D2D00">
              <w:rPr>
                <w:rFonts w:eastAsia="Calibri"/>
              </w:rPr>
              <w:t>Т(</w:t>
            </w:r>
            <w:r>
              <w:rPr>
                <w:rFonts w:eastAsia="Calibri"/>
                <w:lang w:val="en-US"/>
              </w:rPr>
              <w:t>1-2000</w:t>
            </w:r>
            <w:r w:rsidRPr="009D2D00">
              <w:rPr>
                <w:rFonts w:eastAsia="Calibri"/>
              </w:rPr>
              <w:t>)</w:t>
            </w:r>
          </w:p>
        </w:tc>
        <w:tc>
          <w:tcPr>
            <w:tcW w:w="294" w:type="pct"/>
          </w:tcPr>
          <w:p w14:paraId="46DE33E6" w14:textId="77777777" w:rsidR="00D01516" w:rsidRPr="009D2D00" w:rsidRDefault="00D01516" w:rsidP="005056E2">
            <w:pPr>
              <w:pStyle w:val="GOSTTablenorm"/>
            </w:pPr>
            <w:r>
              <w:rPr>
                <w:rFonts w:eastAsia="Calibri"/>
              </w:rPr>
              <w:t>Н</w:t>
            </w:r>
          </w:p>
        </w:tc>
        <w:tc>
          <w:tcPr>
            <w:tcW w:w="2056" w:type="pct"/>
          </w:tcPr>
          <w:p w14:paraId="5579E8E0" w14:textId="77777777" w:rsidR="00D01516" w:rsidRPr="009D2D00" w:rsidRDefault="00D01516" w:rsidP="00E92FA5">
            <w:pPr>
              <w:pStyle w:val="GOSTTablenorm"/>
            </w:pPr>
            <w:r>
              <w:t>Указывается наименование ОК</w:t>
            </w:r>
            <w:r w:rsidR="00E92FA5">
              <w:t>С</w:t>
            </w:r>
            <w:r>
              <w:t xml:space="preserve"> (ОК</w:t>
            </w:r>
            <w:r w:rsidR="00E92FA5">
              <w:t>В</w:t>
            </w:r>
            <w:r>
              <w:t>) или КМИ</w:t>
            </w:r>
          </w:p>
        </w:tc>
      </w:tr>
      <w:tr w:rsidR="00D01516" w:rsidRPr="009D2D00" w14:paraId="54467909" w14:textId="77777777" w:rsidTr="005056E2">
        <w:trPr>
          <w:trHeight w:val="283"/>
        </w:trPr>
        <w:tc>
          <w:tcPr>
            <w:tcW w:w="883" w:type="pct"/>
          </w:tcPr>
          <w:p w14:paraId="175A187A" w14:textId="77777777" w:rsidR="00D01516" w:rsidRPr="009D2D00" w:rsidRDefault="00D01516" w:rsidP="005056E2">
            <w:pPr>
              <w:pStyle w:val="GOSTTablenorm"/>
            </w:pPr>
            <w:r>
              <w:t>Сумма на текущий год</w:t>
            </w:r>
          </w:p>
        </w:tc>
        <w:tc>
          <w:tcPr>
            <w:tcW w:w="883" w:type="pct"/>
          </w:tcPr>
          <w:p w14:paraId="7669B8D0" w14:textId="77777777" w:rsidR="00D01516" w:rsidRPr="009D2D00" w:rsidRDefault="00D01516" w:rsidP="005056E2">
            <w:pPr>
              <w:pStyle w:val="GOSTTablenorm"/>
            </w:pPr>
            <w:r>
              <w:rPr>
                <w:lang w:val="en-US"/>
              </w:rPr>
              <w:t>AmntC</w:t>
            </w:r>
            <w:r w:rsidRPr="00042743">
              <w:t>urr</w:t>
            </w:r>
            <w:r>
              <w:rPr>
                <w:lang w:val="en-US"/>
              </w:rPr>
              <w:t>Yr</w:t>
            </w:r>
          </w:p>
        </w:tc>
        <w:tc>
          <w:tcPr>
            <w:tcW w:w="294" w:type="pct"/>
          </w:tcPr>
          <w:p w14:paraId="50E4021E" w14:textId="77777777" w:rsidR="00D01516" w:rsidRPr="009D2D00" w:rsidRDefault="00D01516" w:rsidP="005056E2">
            <w:pPr>
              <w:pStyle w:val="GOSTTablenorm"/>
            </w:pPr>
            <w:r w:rsidRPr="00FC072A">
              <w:rPr>
                <w:rFonts w:eastAsia="Calibri"/>
              </w:rPr>
              <w:t>П</w:t>
            </w:r>
          </w:p>
        </w:tc>
        <w:tc>
          <w:tcPr>
            <w:tcW w:w="589" w:type="pct"/>
          </w:tcPr>
          <w:p w14:paraId="56320ACB" w14:textId="77777777" w:rsidR="00D01516" w:rsidRPr="009D2D00" w:rsidRDefault="00D01516" w:rsidP="005056E2">
            <w:pPr>
              <w:pStyle w:val="GOSTTablenorm"/>
            </w:pPr>
            <w:r w:rsidRPr="00380456">
              <w:rPr>
                <w:szCs w:val="22"/>
                <w:lang w:val="en-US"/>
              </w:rPr>
              <w:t>N(20</w:t>
            </w:r>
            <w:r w:rsidRPr="00380456">
              <w:rPr>
                <w:szCs w:val="22"/>
              </w:rPr>
              <w:t>.2</w:t>
            </w:r>
            <w:r w:rsidRPr="00380456">
              <w:rPr>
                <w:szCs w:val="22"/>
                <w:lang w:val="en-US"/>
              </w:rPr>
              <w:t>)</w:t>
            </w:r>
          </w:p>
        </w:tc>
        <w:tc>
          <w:tcPr>
            <w:tcW w:w="294" w:type="pct"/>
          </w:tcPr>
          <w:p w14:paraId="58D4FC0A" w14:textId="77777777" w:rsidR="00D01516" w:rsidRPr="009D2D00" w:rsidRDefault="00D01516" w:rsidP="005056E2">
            <w:pPr>
              <w:pStyle w:val="GOSTTablenorm"/>
            </w:pPr>
            <w:r w:rsidRPr="009D2D00">
              <w:rPr>
                <w:rFonts w:eastAsia="Calibri"/>
              </w:rPr>
              <w:t>О</w:t>
            </w:r>
          </w:p>
        </w:tc>
        <w:tc>
          <w:tcPr>
            <w:tcW w:w="2056" w:type="pct"/>
          </w:tcPr>
          <w:p w14:paraId="7DD5F3DB" w14:textId="77777777" w:rsidR="00D01516" w:rsidRDefault="00D01516" w:rsidP="005056E2">
            <w:pPr>
              <w:pStyle w:val="GOSTTablenorm"/>
            </w:pPr>
            <w:r w:rsidRPr="00261C87">
              <w:t>Указывается сумма на текущий год</w:t>
            </w:r>
            <w:r>
              <w:t>.</w:t>
            </w:r>
          </w:p>
          <w:p w14:paraId="13F90BCD" w14:textId="77777777" w:rsidR="00D01516" w:rsidRPr="009D2D00" w:rsidRDefault="00D01516" w:rsidP="005056E2">
            <w:pPr>
              <w:pStyle w:val="GOSTTablenorm"/>
            </w:pPr>
            <w:r w:rsidRPr="009D2D00">
              <w:rPr>
                <w:szCs w:val="22"/>
              </w:rPr>
              <w:t>При отсутс</w:t>
            </w:r>
            <w:r>
              <w:rPr>
                <w:szCs w:val="22"/>
              </w:rPr>
              <w:t>твии значения указывается «0.00»</w:t>
            </w:r>
          </w:p>
        </w:tc>
      </w:tr>
      <w:tr w:rsidR="00D01516" w:rsidRPr="009D2D00" w14:paraId="5B912171" w14:textId="77777777" w:rsidTr="005056E2">
        <w:trPr>
          <w:trHeight w:val="283"/>
        </w:trPr>
        <w:tc>
          <w:tcPr>
            <w:tcW w:w="883" w:type="pct"/>
          </w:tcPr>
          <w:p w14:paraId="2E9E25A3" w14:textId="77777777" w:rsidR="00D01516" w:rsidRPr="009D2D00" w:rsidRDefault="00D01516" w:rsidP="005056E2">
            <w:pPr>
              <w:pStyle w:val="GOSTTablenorm"/>
            </w:pPr>
            <w:r>
              <w:t>Сумма на первый год планового периода</w:t>
            </w:r>
          </w:p>
        </w:tc>
        <w:tc>
          <w:tcPr>
            <w:tcW w:w="883" w:type="pct"/>
          </w:tcPr>
          <w:p w14:paraId="0416B01E" w14:textId="77777777" w:rsidR="00D01516" w:rsidRPr="009D2D00" w:rsidRDefault="00D01516" w:rsidP="005056E2">
            <w:pPr>
              <w:pStyle w:val="GOSTTablenorm"/>
              <w:rPr>
                <w:rFonts w:eastAsia="Calibri"/>
              </w:rPr>
            </w:pPr>
            <w:r>
              <w:rPr>
                <w:lang w:val="en-US"/>
              </w:rPr>
              <w:t>Amnt</w:t>
            </w:r>
            <w:r w:rsidRPr="009D2D00">
              <w:t>FrstYr</w:t>
            </w:r>
          </w:p>
        </w:tc>
        <w:tc>
          <w:tcPr>
            <w:tcW w:w="294" w:type="pct"/>
          </w:tcPr>
          <w:p w14:paraId="756F1077" w14:textId="77777777" w:rsidR="00D01516" w:rsidRPr="009D2D00" w:rsidRDefault="00D01516" w:rsidP="005056E2">
            <w:pPr>
              <w:pStyle w:val="GOSTTablenorm"/>
              <w:rPr>
                <w:rFonts w:eastAsia="Calibri"/>
              </w:rPr>
            </w:pPr>
            <w:r w:rsidRPr="009D2D00">
              <w:rPr>
                <w:rFonts w:eastAsia="Calibri"/>
              </w:rPr>
              <w:t>П</w:t>
            </w:r>
          </w:p>
        </w:tc>
        <w:tc>
          <w:tcPr>
            <w:tcW w:w="589" w:type="pct"/>
          </w:tcPr>
          <w:p w14:paraId="40D78D75" w14:textId="77777777" w:rsidR="00D01516" w:rsidRPr="009D2D00" w:rsidRDefault="00D01516" w:rsidP="005056E2">
            <w:pPr>
              <w:pStyle w:val="GOSTTablenorm"/>
              <w:rPr>
                <w:rFonts w:eastAsia="Calibri"/>
              </w:rPr>
            </w:pPr>
            <w:r w:rsidRPr="00380456">
              <w:rPr>
                <w:szCs w:val="22"/>
                <w:lang w:val="en-US"/>
              </w:rPr>
              <w:t>N(20</w:t>
            </w:r>
            <w:r w:rsidRPr="00380456">
              <w:rPr>
                <w:szCs w:val="22"/>
              </w:rPr>
              <w:t>.2</w:t>
            </w:r>
            <w:r w:rsidRPr="00380456">
              <w:rPr>
                <w:szCs w:val="22"/>
                <w:lang w:val="en-US"/>
              </w:rPr>
              <w:t>)</w:t>
            </w:r>
          </w:p>
        </w:tc>
        <w:tc>
          <w:tcPr>
            <w:tcW w:w="294" w:type="pct"/>
          </w:tcPr>
          <w:p w14:paraId="285A8E75" w14:textId="77777777" w:rsidR="00D01516" w:rsidRPr="009D2D00" w:rsidRDefault="00D01516" w:rsidP="005056E2">
            <w:pPr>
              <w:pStyle w:val="GOSTTablenorm"/>
              <w:rPr>
                <w:rFonts w:eastAsia="Calibri"/>
              </w:rPr>
            </w:pPr>
            <w:r w:rsidRPr="00CC3D8D">
              <w:rPr>
                <w:rFonts w:eastAsia="Calibri"/>
              </w:rPr>
              <w:t>О</w:t>
            </w:r>
          </w:p>
        </w:tc>
        <w:tc>
          <w:tcPr>
            <w:tcW w:w="2056" w:type="pct"/>
          </w:tcPr>
          <w:p w14:paraId="3517E6E3" w14:textId="77777777" w:rsidR="00D01516" w:rsidRDefault="00D01516" w:rsidP="005056E2">
            <w:pPr>
              <w:pStyle w:val="GOSTTablenorm"/>
            </w:pPr>
            <w:r w:rsidRPr="00261C87">
              <w:t xml:space="preserve">Указывается сумма на </w:t>
            </w:r>
            <w:r>
              <w:t>первый год планового периода.</w:t>
            </w:r>
          </w:p>
          <w:p w14:paraId="710157C5" w14:textId="77777777" w:rsidR="00D01516" w:rsidRPr="009D2D00" w:rsidRDefault="00D01516" w:rsidP="005056E2">
            <w:pPr>
              <w:pStyle w:val="GOSTTablenorm"/>
            </w:pPr>
            <w:r w:rsidRPr="009D2D00">
              <w:rPr>
                <w:szCs w:val="22"/>
              </w:rPr>
              <w:t>При отсутс</w:t>
            </w:r>
            <w:r>
              <w:rPr>
                <w:szCs w:val="22"/>
              </w:rPr>
              <w:t>твии значения указывается «0.00»</w:t>
            </w:r>
          </w:p>
        </w:tc>
      </w:tr>
      <w:tr w:rsidR="00D01516" w:rsidRPr="009D2D00" w14:paraId="00FE1665" w14:textId="77777777" w:rsidTr="005056E2">
        <w:trPr>
          <w:trHeight w:val="283"/>
        </w:trPr>
        <w:tc>
          <w:tcPr>
            <w:tcW w:w="883" w:type="pct"/>
          </w:tcPr>
          <w:p w14:paraId="69BCD612" w14:textId="77777777" w:rsidR="00D01516" w:rsidRPr="009D2D00" w:rsidRDefault="00D01516" w:rsidP="005056E2">
            <w:pPr>
              <w:pStyle w:val="GOSTTablenorm"/>
            </w:pPr>
            <w:r>
              <w:t>Сумма на второй год планового периода</w:t>
            </w:r>
          </w:p>
        </w:tc>
        <w:tc>
          <w:tcPr>
            <w:tcW w:w="883" w:type="pct"/>
          </w:tcPr>
          <w:p w14:paraId="0C6D7192" w14:textId="77777777" w:rsidR="00D01516" w:rsidRPr="009D2D00" w:rsidRDefault="00D01516" w:rsidP="005056E2">
            <w:pPr>
              <w:pStyle w:val="GOSTTablenorm"/>
              <w:rPr>
                <w:rFonts w:eastAsia="Calibri"/>
              </w:rPr>
            </w:pPr>
            <w:r>
              <w:rPr>
                <w:lang w:val="en-US"/>
              </w:rPr>
              <w:t>Amnt</w:t>
            </w:r>
            <w:r w:rsidRPr="009D2D00">
              <w:t>ScndYr</w:t>
            </w:r>
          </w:p>
        </w:tc>
        <w:tc>
          <w:tcPr>
            <w:tcW w:w="294" w:type="pct"/>
          </w:tcPr>
          <w:p w14:paraId="5DAA9945" w14:textId="77777777" w:rsidR="00D01516" w:rsidRPr="009D2D00" w:rsidRDefault="00D01516" w:rsidP="005056E2">
            <w:pPr>
              <w:pStyle w:val="GOSTTablenorm"/>
              <w:rPr>
                <w:rFonts w:eastAsia="Calibri"/>
              </w:rPr>
            </w:pPr>
            <w:r w:rsidRPr="009D2D00">
              <w:rPr>
                <w:rFonts w:eastAsia="Calibri"/>
              </w:rPr>
              <w:t>П</w:t>
            </w:r>
          </w:p>
        </w:tc>
        <w:tc>
          <w:tcPr>
            <w:tcW w:w="589" w:type="pct"/>
          </w:tcPr>
          <w:p w14:paraId="74C6E4D9" w14:textId="77777777" w:rsidR="00D01516" w:rsidRPr="009D2D00" w:rsidRDefault="00D01516" w:rsidP="005056E2">
            <w:pPr>
              <w:pStyle w:val="GOSTTablenorm"/>
              <w:rPr>
                <w:rFonts w:eastAsia="Calibri"/>
              </w:rPr>
            </w:pPr>
            <w:r w:rsidRPr="00380456">
              <w:rPr>
                <w:szCs w:val="22"/>
                <w:lang w:val="en-US"/>
              </w:rPr>
              <w:t>N(20</w:t>
            </w:r>
            <w:r w:rsidRPr="00380456">
              <w:rPr>
                <w:szCs w:val="22"/>
              </w:rPr>
              <w:t>.2</w:t>
            </w:r>
            <w:r w:rsidRPr="00380456">
              <w:rPr>
                <w:szCs w:val="22"/>
                <w:lang w:val="en-US"/>
              </w:rPr>
              <w:t>)</w:t>
            </w:r>
          </w:p>
        </w:tc>
        <w:tc>
          <w:tcPr>
            <w:tcW w:w="294" w:type="pct"/>
          </w:tcPr>
          <w:p w14:paraId="0D46518C" w14:textId="77777777" w:rsidR="00D01516" w:rsidRPr="009D2D00" w:rsidRDefault="00D01516" w:rsidP="005056E2">
            <w:pPr>
              <w:pStyle w:val="GOSTTablenorm"/>
              <w:rPr>
                <w:rFonts w:eastAsia="Calibri"/>
              </w:rPr>
            </w:pPr>
            <w:r w:rsidRPr="00CC3D8D">
              <w:rPr>
                <w:rFonts w:eastAsia="Calibri"/>
              </w:rPr>
              <w:t>О</w:t>
            </w:r>
          </w:p>
        </w:tc>
        <w:tc>
          <w:tcPr>
            <w:tcW w:w="2056" w:type="pct"/>
          </w:tcPr>
          <w:p w14:paraId="5DB30CF3" w14:textId="77777777" w:rsidR="00D01516" w:rsidRDefault="00D01516" w:rsidP="005056E2">
            <w:pPr>
              <w:pStyle w:val="GOSTTablenorm"/>
            </w:pPr>
            <w:r w:rsidRPr="00261C87">
              <w:t xml:space="preserve">Указывается сумма на </w:t>
            </w:r>
            <w:r>
              <w:t>второй год планового периода.</w:t>
            </w:r>
          </w:p>
          <w:p w14:paraId="39049CBF" w14:textId="77777777" w:rsidR="00D01516" w:rsidRPr="009D2D00" w:rsidRDefault="00D01516" w:rsidP="005056E2">
            <w:pPr>
              <w:pStyle w:val="GOSTTablenorm"/>
            </w:pPr>
            <w:r w:rsidRPr="009D2D00">
              <w:rPr>
                <w:szCs w:val="22"/>
              </w:rPr>
              <w:t>При отсутс</w:t>
            </w:r>
            <w:r>
              <w:rPr>
                <w:szCs w:val="22"/>
              </w:rPr>
              <w:t>твии значения указывается «0.00»</w:t>
            </w:r>
          </w:p>
        </w:tc>
      </w:tr>
      <w:tr w:rsidR="00D01516" w:rsidRPr="009D2D00" w14:paraId="029A1464" w14:textId="77777777" w:rsidTr="005056E2">
        <w:trPr>
          <w:trHeight w:val="283"/>
        </w:trPr>
        <w:tc>
          <w:tcPr>
            <w:tcW w:w="883" w:type="pct"/>
          </w:tcPr>
          <w:p w14:paraId="2EADCD5A" w14:textId="77777777" w:rsidR="00D01516" w:rsidRDefault="00D01516" w:rsidP="005056E2">
            <w:pPr>
              <w:pStyle w:val="GOSTTablenorm"/>
            </w:pPr>
            <w:r w:rsidRPr="00DD4E88">
              <w:t>Сумма на третий год планового периода</w:t>
            </w:r>
          </w:p>
        </w:tc>
        <w:tc>
          <w:tcPr>
            <w:tcW w:w="883" w:type="pct"/>
          </w:tcPr>
          <w:p w14:paraId="5CABB310" w14:textId="77777777" w:rsidR="00D01516" w:rsidRPr="008B26A8" w:rsidRDefault="00D01516" w:rsidP="005056E2">
            <w:pPr>
              <w:pStyle w:val="GOSTTablenorm"/>
            </w:pPr>
            <w:r>
              <w:rPr>
                <w:lang w:val="en-US"/>
              </w:rPr>
              <w:t>Amnt</w:t>
            </w:r>
            <w:r w:rsidRPr="00DD4E88">
              <w:t>ThrdYr</w:t>
            </w:r>
          </w:p>
        </w:tc>
        <w:tc>
          <w:tcPr>
            <w:tcW w:w="294" w:type="pct"/>
          </w:tcPr>
          <w:p w14:paraId="42014916" w14:textId="77777777" w:rsidR="00D01516" w:rsidRPr="009D2D00" w:rsidRDefault="00D01516" w:rsidP="005056E2">
            <w:pPr>
              <w:pStyle w:val="GOSTTablenorm"/>
              <w:rPr>
                <w:rFonts w:eastAsia="Calibri"/>
              </w:rPr>
            </w:pPr>
            <w:r w:rsidRPr="009D2D00">
              <w:rPr>
                <w:rFonts w:eastAsia="Calibri"/>
              </w:rPr>
              <w:t>П</w:t>
            </w:r>
          </w:p>
        </w:tc>
        <w:tc>
          <w:tcPr>
            <w:tcW w:w="589" w:type="pct"/>
          </w:tcPr>
          <w:p w14:paraId="465DB219" w14:textId="77777777" w:rsidR="00D01516" w:rsidRPr="008B26A8" w:rsidRDefault="00D01516" w:rsidP="005056E2">
            <w:pPr>
              <w:pStyle w:val="GOSTTablenorm"/>
              <w:rPr>
                <w:szCs w:val="22"/>
              </w:rPr>
            </w:pPr>
            <w:r w:rsidRPr="00380456">
              <w:rPr>
                <w:szCs w:val="22"/>
                <w:lang w:val="en-US"/>
              </w:rPr>
              <w:t>N(20</w:t>
            </w:r>
            <w:r w:rsidRPr="00380456">
              <w:rPr>
                <w:szCs w:val="22"/>
              </w:rPr>
              <w:t>.2</w:t>
            </w:r>
            <w:r w:rsidRPr="00380456">
              <w:rPr>
                <w:szCs w:val="22"/>
                <w:lang w:val="en-US"/>
              </w:rPr>
              <w:t>)</w:t>
            </w:r>
          </w:p>
        </w:tc>
        <w:tc>
          <w:tcPr>
            <w:tcW w:w="294" w:type="pct"/>
          </w:tcPr>
          <w:p w14:paraId="13865282" w14:textId="77777777" w:rsidR="00D01516" w:rsidRPr="00CC3D8D" w:rsidRDefault="00D01516" w:rsidP="005056E2">
            <w:pPr>
              <w:pStyle w:val="GOSTTablenorm"/>
              <w:rPr>
                <w:rFonts w:eastAsia="Calibri"/>
              </w:rPr>
            </w:pPr>
            <w:r w:rsidRPr="00CC3D8D">
              <w:rPr>
                <w:rFonts w:eastAsia="Calibri"/>
              </w:rPr>
              <w:t>О</w:t>
            </w:r>
          </w:p>
        </w:tc>
        <w:tc>
          <w:tcPr>
            <w:tcW w:w="2056" w:type="pct"/>
          </w:tcPr>
          <w:p w14:paraId="23180E82" w14:textId="77777777" w:rsidR="00D01516" w:rsidRDefault="00D01516" w:rsidP="005056E2">
            <w:pPr>
              <w:pStyle w:val="GOSTTablenorm"/>
            </w:pPr>
            <w:r w:rsidRPr="00DD4E88">
              <w:t>Указывается сумма на третий год планового периода</w:t>
            </w:r>
            <w:r>
              <w:t>.</w:t>
            </w:r>
          </w:p>
          <w:p w14:paraId="6CF15D6D" w14:textId="77777777" w:rsidR="00D01516" w:rsidRPr="00261C87" w:rsidRDefault="00D01516" w:rsidP="005056E2">
            <w:pPr>
              <w:pStyle w:val="GOSTTablenorm"/>
            </w:pPr>
            <w:r w:rsidRPr="009D2D00">
              <w:rPr>
                <w:szCs w:val="22"/>
              </w:rPr>
              <w:t>При отсутс</w:t>
            </w:r>
            <w:r>
              <w:rPr>
                <w:szCs w:val="22"/>
              </w:rPr>
              <w:t>твии значения указывается «0.00»</w:t>
            </w:r>
          </w:p>
        </w:tc>
      </w:tr>
      <w:tr w:rsidR="00D01516" w:rsidRPr="009D2D00" w14:paraId="03D1D4A4" w14:textId="77777777" w:rsidTr="005056E2">
        <w:trPr>
          <w:trHeight w:val="283"/>
        </w:trPr>
        <w:tc>
          <w:tcPr>
            <w:tcW w:w="883" w:type="pct"/>
          </w:tcPr>
          <w:p w14:paraId="6C0CE21E" w14:textId="77777777" w:rsidR="00D01516" w:rsidRPr="009D2D00" w:rsidRDefault="00D01516" w:rsidP="005056E2">
            <w:pPr>
              <w:pStyle w:val="GOSTTablenorm"/>
            </w:pPr>
            <w:r>
              <w:t>Сумма на последующие годы</w:t>
            </w:r>
          </w:p>
        </w:tc>
        <w:tc>
          <w:tcPr>
            <w:tcW w:w="883" w:type="pct"/>
          </w:tcPr>
          <w:p w14:paraId="454B9608" w14:textId="77777777" w:rsidR="00D01516" w:rsidRPr="009D2D00" w:rsidRDefault="00D01516" w:rsidP="005056E2">
            <w:pPr>
              <w:pStyle w:val="GOSTTablenorm"/>
              <w:rPr>
                <w:rFonts w:eastAsia="Calibri"/>
                <w:lang w:val="en-US"/>
              </w:rPr>
            </w:pPr>
            <w:r>
              <w:rPr>
                <w:lang w:val="en-US"/>
              </w:rPr>
              <w:t>Amnt</w:t>
            </w:r>
            <w:r w:rsidRPr="009D2D00">
              <w:rPr>
                <w:szCs w:val="22"/>
              </w:rPr>
              <w:t>NxtYr</w:t>
            </w:r>
          </w:p>
        </w:tc>
        <w:tc>
          <w:tcPr>
            <w:tcW w:w="294" w:type="pct"/>
          </w:tcPr>
          <w:p w14:paraId="7FC7887E" w14:textId="77777777" w:rsidR="00D01516" w:rsidRPr="009D2D00" w:rsidRDefault="00D01516" w:rsidP="005056E2">
            <w:pPr>
              <w:pStyle w:val="GOSTTablenorm"/>
              <w:rPr>
                <w:rFonts w:eastAsia="Calibri"/>
              </w:rPr>
            </w:pPr>
            <w:r w:rsidRPr="009D2D00">
              <w:rPr>
                <w:rFonts w:eastAsia="Calibri"/>
              </w:rPr>
              <w:t>П</w:t>
            </w:r>
          </w:p>
        </w:tc>
        <w:tc>
          <w:tcPr>
            <w:tcW w:w="589" w:type="pct"/>
          </w:tcPr>
          <w:p w14:paraId="24CC56F1" w14:textId="77777777" w:rsidR="00D01516" w:rsidRPr="009D2D00" w:rsidRDefault="00D01516" w:rsidP="005056E2">
            <w:pPr>
              <w:pStyle w:val="GOSTTablenorm"/>
              <w:rPr>
                <w:rFonts w:eastAsia="Calibri"/>
              </w:rPr>
            </w:pPr>
            <w:r w:rsidRPr="00380456">
              <w:rPr>
                <w:szCs w:val="22"/>
                <w:lang w:val="en-US"/>
              </w:rPr>
              <w:t>N(20</w:t>
            </w:r>
            <w:r w:rsidRPr="00380456">
              <w:rPr>
                <w:szCs w:val="22"/>
              </w:rPr>
              <w:t>.2</w:t>
            </w:r>
            <w:r w:rsidRPr="00380456">
              <w:rPr>
                <w:szCs w:val="22"/>
                <w:lang w:val="en-US"/>
              </w:rPr>
              <w:t>)</w:t>
            </w:r>
          </w:p>
        </w:tc>
        <w:tc>
          <w:tcPr>
            <w:tcW w:w="294" w:type="pct"/>
          </w:tcPr>
          <w:p w14:paraId="4E30171E" w14:textId="77777777" w:rsidR="00D01516" w:rsidRPr="009D2D00" w:rsidRDefault="00D01516" w:rsidP="005056E2">
            <w:pPr>
              <w:pStyle w:val="GOSTTablenorm"/>
              <w:rPr>
                <w:rFonts w:eastAsia="Calibri"/>
              </w:rPr>
            </w:pPr>
            <w:r w:rsidRPr="009D2D00">
              <w:rPr>
                <w:rFonts w:eastAsia="Calibri"/>
              </w:rPr>
              <w:t>О</w:t>
            </w:r>
          </w:p>
        </w:tc>
        <w:tc>
          <w:tcPr>
            <w:tcW w:w="2056" w:type="pct"/>
          </w:tcPr>
          <w:p w14:paraId="25F3C340" w14:textId="77777777" w:rsidR="00D01516" w:rsidRDefault="00D01516" w:rsidP="005056E2">
            <w:pPr>
              <w:pStyle w:val="GOSTTablenorm"/>
            </w:pPr>
            <w:r w:rsidRPr="00261C87">
              <w:t xml:space="preserve">Указывается сумма на </w:t>
            </w:r>
            <w:r>
              <w:t>последующие годы.</w:t>
            </w:r>
          </w:p>
          <w:p w14:paraId="13963091" w14:textId="77777777" w:rsidR="00D01516" w:rsidRPr="009D2D00" w:rsidRDefault="00D01516" w:rsidP="005056E2">
            <w:pPr>
              <w:pStyle w:val="GOSTTablenorm"/>
            </w:pPr>
            <w:r w:rsidRPr="009D2D00">
              <w:rPr>
                <w:szCs w:val="22"/>
              </w:rPr>
              <w:t>При отсутс</w:t>
            </w:r>
            <w:r>
              <w:rPr>
                <w:szCs w:val="22"/>
              </w:rPr>
              <w:t>твии значения указывается «0.00»</w:t>
            </w:r>
          </w:p>
        </w:tc>
      </w:tr>
    </w:tbl>
    <w:p w14:paraId="23D74044" w14:textId="77777777" w:rsidR="00D01516" w:rsidRPr="00BF75F2" w:rsidRDefault="00D01516" w:rsidP="00D01516">
      <w:pPr>
        <w:pStyle w:val="31"/>
        <w:suppressAutoHyphens/>
        <w:rPr>
          <w:highlight w:val="green"/>
        </w:rPr>
      </w:pPr>
      <w:bookmarkStart w:id="4574" w:name="_Toc185884063"/>
      <w:bookmarkStart w:id="4575" w:name="_Toc201851023"/>
      <w:bookmarkStart w:id="4576" w:name="_Toc219309849"/>
      <w:r w:rsidRPr="00BF75F2">
        <w:rPr>
          <w:highlight w:val="green"/>
        </w:rPr>
        <w:lastRenderedPageBreak/>
        <w:t>Пример XML</w:t>
      </w:r>
      <w:bookmarkEnd w:id="4574"/>
      <w:bookmarkEnd w:id="4575"/>
      <w:bookmarkEnd w:id="4576"/>
    </w:p>
    <w:p w14:paraId="13C93C62"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&lt;?xml version ="1.0" encoding="UTF-8"?&gt;</w:t>
      </w:r>
    </w:p>
    <w:p w14:paraId="2A1E409D"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&lt;self:exchangePacket xsi:schemaLocation="http://www.roskazna.ru/eb/domain/Inf_Draft_Contract/extHeader extHeader.xsd" xmlns:self="http://www.roskazna.ru/eb/domain/Inf_Draft_Contract/extHeader" xmlns:cm="http://www.roskazna.ru/eb/domain/common" xmlns:xsi="http://www.w3.org/2001/XMLSchema-instance"&gt;</w:t>
      </w:r>
    </w:p>
    <w:p w14:paraId="65A185AC"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t>&lt;packetHeader&gt;</w:t>
      </w:r>
    </w:p>
    <w:p w14:paraId="009211FF"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t>&lt;serviceInfo&gt;</w:t>
      </w:r>
    </w:p>
    <w:p w14:paraId="7EC9166F" w14:textId="06CF95F3"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r>
      <w:r w:rsidRPr="00D01516">
        <w:rPr>
          <w:rFonts w:cs="Courier New"/>
          <w:sz w:val="20"/>
        </w:rPr>
        <w:tab/>
        <w:t>&lt;creationDateTime&gt;2025-07-13T09:30:47Z&lt;/creationDateTime&gt;</w:t>
      </w:r>
    </w:p>
    <w:p w14:paraId="036EA660"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r>
      <w:r w:rsidRPr="00D01516">
        <w:rPr>
          <w:rFonts w:cs="Courier New"/>
          <w:sz w:val="20"/>
        </w:rPr>
        <w:tab/>
        <w:t>&lt;documentType&gt;Inf_Draft_Contract&lt;/documentType&gt;</w:t>
      </w:r>
    </w:p>
    <w:p w14:paraId="46F16E3E"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t>&lt;/serviceInfo&gt;</w:t>
      </w:r>
    </w:p>
    <w:p w14:paraId="371F114C"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t>&lt;senderParty&gt;</w:t>
      </w:r>
    </w:p>
    <w:p w14:paraId="3DE7631B"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r>
      <w:r w:rsidRPr="00D01516">
        <w:rPr>
          <w:rFonts w:cs="Courier New"/>
          <w:sz w:val="20"/>
        </w:rPr>
        <w:tab/>
        <w:t>&lt;organizationParty&gt;</w:t>
      </w:r>
    </w:p>
    <w:p w14:paraId="70D1DC1F"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r>
      <w:r w:rsidRPr="00D01516">
        <w:rPr>
          <w:rFonts w:cs="Courier New"/>
          <w:sz w:val="20"/>
        </w:rPr>
        <w:tab/>
      </w:r>
      <w:r w:rsidRPr="00D01516">
        <w:rPr>
          <w:rFonts w:cs="Courier New"/>
          <w:sz w:val="20"/>
        </w:rPr>
        <w:tab/>
        <w:t>&lt;SRCode&gt;32185743&lt;/SRCode&gt;</w:t>
      </w:r>
    </w:p>
    <w:p w14:paraId="3DF67EE2"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r>
      <w:r w:rsidRPr="00D01516">
        <w:rPr>
          <w:rFonts w:cs="Courier New"/>
          <w:sz w:val="20"/>
        </w:rPr>
        <w:tab/>
        <w:t>&lt;/organizationParty&gt;</w:t>
      </w:r>
    </w:p>
    <w:p w14:paraId="346E740D"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t>&lt;/senderParty&gt;</w:t>
      </w:r>
    </w:p>
    <w:p w14:paraId="0C66E94C"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t>&lt;receiverParty&gt;</w:t>
      </w:r>
    </w:p>
    <w:p w14:paraId="6310C287"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r>
      <w:r w:rsidRPr="00D01516">
        <w:rPr>
          <w:rFonts w:cs="Courier New"/>
          <w:sz w:val="20"/>
        </w:rPr>
        <w:tab/>
        <w:t>&lt;TOFKParty&gt;</w:t>
      </w:r>
    </w:p>
    <w:p w14:paraId="15039E8C"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r>
      <w:r w:rsidRPr="00D01516">
        <w:rPr>
          <w:rFonts w:cs="Courier New"/>
          <w:sz w:val="20"/>
        </w:rPr>
        <w:tab/>
      </w:r>
      <w:r w:rsidRPr="00D01516">
        <w:rPr>
          <w:rFonts w:cs="Courier New"/>
          <w:sz w:val="20"/>
        </w:rPr>
        <w:tab/>
        <w:t>&lt;TOFKCode&gt;0400&lt;/TOFKCode&gt;</w:t>
      </w:r>
    </w:p>
    <w:p w14:paraId="46E60ABF"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r>
      <w:r w:rsidRPr="00D01516">
        <w:rPr>
          <w:rFonts w:cs="Courier New"/>
          <w:sz w:val="20"/>
        </w:rPr>
        <w:tab/>
        <w:t>&lt;/TOFKParty&gt;</w:t>
      </w:r>
    </w:p>
    <w:p w14:paraId="02370979"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t>&lt;/receiverParty&gt;</w:t>
      </w:r>
    </w:p>
    <w:p w14:paraId="14731065"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t>&lt;/packetHeader&gt;</w:t>
      </w:r>
    </w:p>
    <w:p w14:paraId="1D48B755"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t>&lt;self:formularCollection&gt;</w:t>
      </w:r>
    </w:p>
    <w:p w14:paraId="09ADEAAF" w14:textId="64B8487E"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&lt;formular metaType="formular" versionID="</w:t>
      </w:r>
      <w:r w:rsidRPr="00662604">
        <w:rPr>
          <w:rFonts w:cs="Courier New"/>
          <w:sz w:val="20"/>
        </w:rPr>
        <w:t>1</w:t>
      </w:r>
      <w:r w:rsidRPr="00D01516">
        <w:rPr>
          <w:rFonts w:cs="Courier New"/>
          <w:sz w:val="20"/>
        </w:rPr>
        <w:t>.0" xsi:type="self:tInf_Draft_Contract" xsi:schemaLocation="http://www.roskazna.ru/eb/domain/Inf_Draft_Contract/formular formulars.xsd" xmlns:self="http://www.roskazna.ru/eb/domain/Inf_Draft_Contract/formular" xmlns:xsi="http://www.w3.org/2001/XMLSchema-instance"&gt;</w:t>
      </w:r>
    </w:p>
    <w:p w14:paraId="7010F4E4"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t>&lt;GUID&gt;6a4b54c6-d792-4871-bfbf-7c8b708c18d0&lt;/GUID&gt;</w:t>
      </w:r>
    </w:p>
    <w:p w14:paraId="558FCD4E"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t>&lt;vidDoc code="01"&gt;text&lt;/vidDoc&gt;</w:t>
      </w:r>
    </w:p>
    <w:p w14:paraId="08C41A8E"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t>&lt;number&gt;258974563214579865258974563214574555/2025/001&lt;/number&gt;</w:t>
      </w:r>
    </w:p>
    <w:p w14:paraId="663B7EAB" w14:textId="07931533"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t>&lt;createDate&gt;2025-07-10&lt;/createDate&gt;</w:t>
      </w:r>
    </w:p>
    <w:p w14:paraId="13775219"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t>&lt;orgCode&gt;32185743&lt;/orgCode&gt;</w:t>
      </w:r>
    </w:p>
    <w:p w14:paraId="639532BE"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t>&lt;orgName&gt;ФЕДЕРАЛЬНОЕ АГЕНТСТВО ЛЕСНОГО ХОЗЯЙСТВА&lt;/orgName&gt;</w:t>
      </w:r>
    </w:p>
    <w:p w14:paraId="6DC87C8F"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t>&lt;INN&gt;2410452569&lt;/INN&gt;</w:t>
      </w:r>
    </w:p>
    <w:p w14:paraId="3F5F7C7A"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t>&lt;KPP&gt;241001001&lt;/KPP&gt;</w:t>
      </w:r>
    </w:p>
    <w:p w14:paraId="4D3717FB"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t>&lt;accountNumber&gt;12457896511&lt;/accountNumber&gt;</w:t>
      </w:r>
    </w:p>
    <w:p w14:paraId="559FD2D9"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t>&lt;OKOPF&gt;12345&lt;/OKOPF&gt;</w:t>
      </w:r>
    </w:p>
    <w:p w14:paraId="6F68A06D"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t>&lt;OKFS&gt;56&lt;/OKFS&gt;</w:t>
      </w:r>
    </w:p>
    <w:p w14:paraId="1BDF6E62"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t>&lt;NameBud&gt;Федеральный бюджет&lt;/NameBud&gt;</w:t>
      </w:r>
    </w:p>
    <w:p w14:paraId="659A77F2"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t>&lt;OKTMOBud&gt;12345678&lt;/OKTMOBud&gt;</w:t>
      </w:r>
    </w:p>
    <w:p w14:paraId="71F870A7"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t>&lt;Adress&gt;Красноярск&lt;/Adress&gt;</w:t>
      </w:r>
    </w:p>
    <w:p w14:paraId="6306AC87"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t>&lt;OKTMO&gt;12345678910&lt;/OKTMO&gt;</w:t>
      </w:r>
    </w:p>
    <w:p w14:paraId="1215AC9C"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t>&lt;PurchaseItem&gt;брус лиственницы&lt;/PurchaseItem&gt;</w:t>
      </w:r>
    </w:p>
    <w:p w14:paraId="648B8FEC"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t>&lt;CodeOKV&gt;</w:t>
      </w:r>
      <w:r w:rsidRPr="008B26A8">
        <w:rPr>
          <w:rFonts w:cs="Courier New"/>
          <w:sz w:val="20"/>
        </w:rPr>
        <w:t>643</w:t>
      </w:r>
      <w:r w:rsidRPr="00D01516">
        <w:rPr>
          <w:rFonts w:cs="Courier New"/>
          <w:sz w:val="20"/>
        </w:rPr>
        <w:t>&lt;/CodeOKV&gt;</w:t>
      </w:r>
    </w:p>
    <w:p w14:paraId="591D33DD"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t>&lt;AmntCrr&gt;1000000.00&lt;/AmntCrr&gt;</w:t>
      </w:r>
    </w:p>
    <w:p w14:paraId="505B8B09"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t>&lt;TablePlanPay&gt;</w:t>
      </w:r>
    </w:p>
    <w:p w14:paraId="62F1CBBB"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t>&lt;TablePlanPay_ITEM&gt;</w:t>
      </w:r>
    </w:p>
    <w:p w14:paraId="7121C19D"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r>
      <w:r w:rsidRPr="00D01516">
        <w:rPr>
          <w:rFonts w:cs="Courier New"/>
          <w:sz w:val="20"/>
        </w:rPr>
        <w:tab/>
        <w:t>&lt;IKZ&gt;258974563214579865258974563214574151&lt;/IKZ&gt;</w:t>
      </w:r>
    </w:p>
    <w:p w14:paraId="370D8777"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r>
      <w:r w:rsidRPr="00D01516">
        <w:rPr>
          <w:rFonts w:cs="Courier New"/>
          <w:sz w:val="20"/>
        </w:rPr>
        <w:tab/>
        <w:t>&lt;Price&gt;1000000.00&lt;/Price&gt;</w:t>
      </w:r>
    </w:p>
    <w:p w14:paraId="1D12BB92"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r>
      <w:r w:rsidRPr="00D01516">
        <w:rPr>
          <w:rFonts w:cs="Courier New"/>
          <w:sz w:val="20"/>
        </w:rPr>
        <w:tab/>
        <w:t>&lt;PlanPayCurrYr&gt;500000.00&lt;/PlanPayCurrYr&gt;</w:t>
      </w:r>
    </w:p>
    <w:p w14:paraId="72B2939F"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r>
      <w:r w:rsidRPr="00D01516">
        <w:rPr>
          <w:rFonts w:cs="Courier New"/>
          <w:sz w:val="20"/>
        </w:rPr>
        <w:tab/>
        <w:t>&lt;PlanPayFrstYr&gt;200000.00&lt;/PlanPayFrstYr&gt;</w:t>
      </w:r>
    </w:p>
    <w:p w14:paraId="47D634D2"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r>
      <w:r w:rsidRPr="00D01516">
        <w:rPr>
          <w:rFonts w:cs="Courier New"/>
          <w:sz w:val="20"/>
        </w:rPr>
        <w:tab/>
        <w:t>&lt;PlanPayScndYr&gt;300000.00&lt;/PlanPayScndYr&gt;</w:t>
      </w:r>
    </w:p>
    <w:p w14:paraId="7FB53214"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r>
      <w:r w:rsidRPr="00D01516">
        <w:rPr>
          <w:rFonts w:cs="Courier New"/>
          <w:sz w:val="20"/>
        </w:rPr>
        <w:tab/>
        <w:t>&lt;PlanPayNxtYr&gt;0.00&lt;/PlanPayNxtYr&gt;</w:t>
      </w:r>
    </w:p>
    <w:p w14:paraId="654F28A4"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r>
      <w:r w:rsidRPr="00D01516">
        <w:rPr>
          <w:rFonts w:cs="Courier New"/>
          <w:sz w:val="20"/>
        </w:rPr>
        <w:tab/>
        <w:t>&lt;INNpart&gt;5609250015&lt;/INNpart&gt;</w:t>
      </w:r>
    </w:p>
    <w:p w14:paraId="28D713B1"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r>
      <w:r w:rsidRPr="00D01516">
        <w:rPr>
          <w:rFonts w:cs="Courier New"/>
          <w:sz w:val="20"/>
        </w:rPr>
        <w:tab/>
        <w:t>&lt;KPPpart&gt;560101001&lt;/KPPpart&gt;</w:t>
      </w:r>
    </w:p>
    <w:p w14:paraId="5E1B274B"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lastRenderedPageBreak/>
        <w:tab/>
      </w:r>
      <w:r w:rsidRPr="00D01516">
        <w:rPr>
          <w:rFonts w:cs="Courier New"/>
          <w:sz w:val="20"/>
        </w:rPr>
        <w:tab/>
      </w:r>
      <w:r w:rsidRPr="00D01516">
        <w:rPr>
          <w:rFonts w:cs="Courier New"/>
          <w:sz w:val="20"/>
        </w:rPr>
        <w:tab/>
        <w:t>&lt;NamePart&gt;ООО «Лесстрой»&lt;/NamePart&gt;</w:t>
      </w:r>
    </w:p>
    <w:p w14:paraId="52BF58B6"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t>&lt;/TablePlanPay_ITEM&gt;</w:t>
      </w:r>
    </w:p>
    <w:p w14:paraId="11BB309C"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t>&lt;/TablePlanPay&gt;&lt;TableTrscr&gt;</w:t>
      </w:r>
    </w:p>
    <w:p w14:paraId="55449920"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t>&lt;TableTrscr_ITEM&gt;</w:t>
      </w:r>
    </w:p>
    <w:p w14:paraId="518E2E18" w14:textId="678DF37D" w:rsidR="00E341C7"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r>
      <w:r w:rsidRPr="00D01516">
        <w:rPr>
          <w:rFonts w:cs="Courier New"/>
          <w:sz w:val="20"/>
        </w:rPr>
        <w:tab/>
        <w:t>&lt;KBK&gt;18201063930290019243&lt;/KBK&gt;</w:t>
      </w:r>
    </w:p>
    <w:p w14:paraId="568B391E"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r>
      <w:r w:rsidRPr="00D01516">
        <w:rPr>
          <w:rFonts w:cs="Courier New"/>
          <w:sz w:val="20"/>
        </w:rPr>
        <w:tab/>
        <w:t>&lt;AmntCurrYr&gt;500000.00&lt;/AmntCurrYr&gt;</w:t>
      </w:r>
    </w:p>
    <w:p w14:paraId="361B0B0A"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r>
      <w:r w:rsidRPr="00D01516">
        <w:rPr>
          <w:rFonts w:cs="Courier New"/>
          <w:sz w:val="20"/>
        </w:rPr>
        <w:tab/>
        <w:t>&lt;AmntFrstYr&gt;200000.00&lt;/AmntFrstYr&gt;</w:t>
      </w:r>
    </w:p>
    <w:p w14:paraId="468361FD"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r>
      <w:r w:rsidRPr="00D01516">
        <w:rPr>
          <w:rFonts w:cs="Courier New"/>
          <w:sz w:val="20"/>
        </w:rPr>
        <w:tab/>
        <w:t>&lt;AmntScndYr&gt;300000.00&lt;/AmntScndYr&gt;</w:t>
      </w:r>
    </w:p>
    <w:p w14:paraId="3952FB35"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r>
      <w:r w:rsidRPr="00D01516">
        <w:rPr>
          <w:rFonts w:cs="Courier New"/>
          <w:sz w:val="20"/>
        </w:rPr>
        <w:tab/>
        <w:t>&lt;AmntThrdYr&gt;0.00&lt;/AmntThrdYr&gt;</w:t>
      </w:r>
    </w:p>
    <w:p w14:paraId="3F7BE0FE"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r>
      <w:r w:rsidRPr="00D01516">
        <w:rPr>
          <w:rFonts w:cs="Courier New"/>
          <w:sz w:val="20"/>
        </w:rPr>
        <w:tab/>
        <w:t>&lt;AmntNxtYr&gt;0.00&lt;/AmntNxtYr&gt;</w:t>
      </w:r>
    </w:p>
    <w:p w14:paraId="0E7347B8"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t>&lt;/TableTrscr_ITEM&gt;</w:t>
      </w:r>
    </w:p>
    <w:p w14:paraId="77931058"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t>&lt;/TableTrscr&gt;</w:t>
      </w:r>
    </w:p>
    <w:p w14:paraId="5FE6EA24"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t>&lt;headPosition&gt;Директор&lt;/headPosition&gt;</w:t>
      </w:r>
    </w:p>
    <w:p w14:paraId="38B14FC1"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t>&lt;headName&gt;Заказчиков Х.О.&lt;/headName&gt;</w:t>
      </w:r>
    </w:p>
    <w:p w14:paraId="054D6F71" w14:textId="10347625"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r>
      <w:r w:rsidRPr="00D01516">
        <w:rPr>
          <w:rFonts w:cs="Courier New"/>
          <w:sz w:val="20"/>
        </w:rPr>
        <w:tab/>
        <w:t>&lt;approveDate&gt;2025-07-10&lt;/approveDate&gt;</w:t>
      </w:r>
    </w:p>
    <w:p w14:paraId="06B8EABE"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ab/>
        <w:t>&lt;/formular&gt;</w:t>
      </w:r>
    </w:p>
    <w:p w14:paraId="7F122056" w14:textId="77777777" w:rsidR="00D01516" w:rsidRPr="00D01516" w:rsidRDefault="00D01516" w:rsidP="00D01516">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01516">
        <w:rPr>
          <w:rFonts w:cs="Courier New"/>
          <w:sz w:val="20"/>
        </w:rPr>
        <w:t>&lt;/self:formularCollection&gt;</w:t>
      </w:r>
    </w:p>
    <w:p w14:paraId="756F6E9D" w14:textId="77777777" w:rsidR="00D01516" w:rsidRPr="00A744F0" w:rsidRDefault="00D01516" w:rsidP="00D01516">
      <w:pPr>
        <w:pStyle w:val="EBScript"/>
        <w:widowControl w:val="0"/>
        <w:pBdr>
          <w:top w:val="single" w:sz="4" w:space="0" w:color="000000"/>
          <w:left w:val="single" w:sz="4" w:space="0" w:color="000000"/>
          <w:right w:val="single" w:sz="4" w:space="0" w:color="000000"/>
        </w:pBdr>
        <w:spacing w:before="0" w:after="0"/>
        <w:ind w:left="0" w:right="0"/>
        <w:rPr>
          <w:szCs w:val="22"/>
        </w:rPr>
      </w:pPr>
      <w:r w:rsidRPr="00D01516">
        <w:rPr>
          <w:rFonts w:cs="Courier New"/>
          <w:sz w:val="20"/>
        </w:rPr>
        <w:t>&lt;/self:exchangePacket&gt;</w:t>
      </w:r>
    </w:p>
    <w:p w14:paraId="4EF3621D" w14:textId="77777777" w:rsidR="00D01516" w:rsidRPr="00CE5963" w:rsidRDefault="00D01516" w:rsidP="00D01516">
      <w:pPr>
        <w:ind w:left="567"/>
      </w:pPr>
    </w:p>
    <w:p w14:paraId="6A07CDB8" w14:textId="77777777" w:rsidR="00D01516" w:rsidRPr="00CE5963" w:rsidRDefault="00D01516" w:rsidP="00D01516">
      <w:pPr>
        <w:ind w:left="567"/>
        <w:sectPr w:rsidR="00D01516" w:rsidRPr="00CE5963" w:rsidSect="005056E2">
          <w:pgSz w:w="11906" w:h="16838"/>
          <w:pgMar w:top="1134" w:right="567" w:bottom="851" w:left="1701" w:header="709" w:footer="709" w:gutter="0"/>
          <w:cols w:space="708"/>
          <w:docGrid w:linePitch="360"/>
        </w:sectPr>
      </w:pPr>
    </w:p>
    <w:p w14:paraId="486C0E38" w14:textId="77777777" w:rsidR="002E0E1D" w:rsidRPr="002E0E1D" w:rsidRDefault="002E0E1D" w:rsidP="002E0E1D">
      <w:pPr>
        <w:pStyle w:val="22"/>
        <w:suppressAutoHyphens/>
        <w:rPr>
          <w:highlight w:val="green"/>
          <w:lang w:val="ru-RU"/>
        </w:rPr>
      </w:pPr>
      <w:bookmarkStart w:id="4577" w:name="_Toc207639657"/>
      <w:bookmarkStart w:id="4578" w:name="_Ref216430523"/>
      <w:bookmarkStart w:id="4579" w:name="_Toc219309850"/>
      <w:r w:rsidRPr="002E0E1D">
        <w:rPr>
          <w:highlight w:val="green"/>
          <w:lang w:val="ru-RU"/>
        </w:rPr>
        <w:lastRenderedPageBreak/>
        <w:t>Описание документа «Сведения об объемах средств, указанных в нормативных правовых актах, предусматривающих в соответствии с бюджетным законодательством Российской Федерации возможность заключения государственного (муниципального) контракта на срок, превышающий срок действия доведенных лимитов бюджетных обязательств»</w:t>
      </w:r>
      <w:bookmarkEnd w:id="4577"/>
      <w:bookmarkEnd w:id="4578"/>
      <w:bookmarkEnd w:id="4579"/>
    </w:p>
    <w:p w14:paraId="746A5647" w14:textId="77777777" w:rsidR="002E0E1D" w:rsidRPr="00176E24" w:rsidRDefault="002E0E1D" w:rsidP="002E0E1D">
      <w:pPr>
        <w:pStyle w:val="31"/>
        <w:tabs>
          <w:tab w:val="clear" w:pos="720"/>
        </w:tabs>
        <w:suppressAutoHyphens/>
        <w:ind w:left="862"/>
        <w:rPr>
          <w:highlight w:val="green"/>
        </w:rPr>
      </w:pPr>
      <w:bookmarkStart w:id="4580" w:name="_Toc207639658"/>
      <w:bookmarkStart w:id="4581" w:name="_Toc219309851"/>
      <w:r w:rsidRPr="00176E24">
        <w:rPr>
          <w:highlight w:val="green"/>
        </w:rPr>
        <w:t>Назначение и маршрут документа</w:t>
      </w:r>
      <w:bookmarkEnd w:id="4580"/>
      <w:bookmarkEnd w:id="4581"/>
    </w:p>
    <w:p w14:paraId="2E7CDD20" w14:textId="77777777" w:rsidR="002E0E1D" w:rsidRPr="009D2D00" w:rsidRDefault="002E0E1D" w:rsidP="002E0E1D">
      <w:pPr>
        <w:spacing w:before="60" w:after="120"/>
      </w:pPr>
      <w:r w:rsidRPr="009D2D00">
        <w:t>Документ «</w:t>
      </w:r>
      <w:r w:rsidRPr="00A66DAA">
        <w:t>Сведения об объемах средств, указанных в нормативных правовых актах, предусматривающих в соответствии с бюджетным законодательством Российской Федерации возможность заключения государственного (муниципального) контракта на срок, превышающий срок действия доведенных лимитов бюджетных обязательств</w:t>
      </w:r>
      <w:r w:rsidRPr="009350C2">
        <w:t xml:space="preserve">» </w:t>
      </w:r>
      <w:r>
        <w:t>предназначен</w:t>
      </w:r>
      <w:r w:rsidRPr="00A66DAA">
        <w:t xml:space="preserve"> для информирования органов контроля в части объемов средств, указанных в нормативных правовых актах, за пределами планового периода доведения ЛБО в разрезе КВР при постановк</w:t>
      </w:r>
      <w:r>
        <w:t>е</w:t>
      </w:r>
      <w:r w:rsidRPr="00A66DAA">
        <w:t xml:space="preserve"> на учет принимаемых (принятых) бюджетных обязательств при осуществлении закупки в рамках государственного оборонного заказа, оплата которой планируется по истечении планового периода.</w:t>
      </w:r>
    </w:p>
    <w:p w14:paraId="073BEDDE" w14:textId="0A3EAA1A" w:rsidR="002E0E1D" w:rsidRPr="00995E1F" w:rsidRDefault="002E0E1D" w:rsidP="002E0E1D">
      <w:pPr>
        <w:pStyle w:val="GOSTNameTable"/>
        <w:numPr>
          <w:ilvl w:val="0"/>
          <w:numId w:val="151"/>
        </w:numPr>
        <w:suppressAutoHyphens/>
        <w:spacing w:before="240" w:after="120"/>
        <w:rPr>
          <w:rFonts w:eastAsia="Calibri"/>
          <w:highlight w:val="green"/>
        </w:rPr>
      </w:pPr>
      <w:r w:rsidRPr="00995E1F">
        <w:rPr>
          <w:rFonts w:eastAsia="Calibri"/>
          <w:highlight w:val="green"/>
        </w:rPr>
        <w:fldChar w:fldCharType="begin"/>
      </w:r>
      <w:r w:rsidRPr="00995E1F">
        <w:rPr>
          <w:rFonts w:eastAsia="Calibri"/>
          <w:highlight w:val="green"/>
        </w:rPr>
        <w:instrText xml:space="preserve"> SEQ Таблица \* ARABIC </w:instrText>
      </w:r>
      <w:r w:rsidRPr="00995E1F">
        <w:rPr>
          <w:rFonts w:eastAsia="Calibri"/>
          <w:highlight w:val="green"/>
        </w:rPr>
        <w:fldChar w:fldCharType="separate"/>
      </w:r>
      <w:bookmarkStart w:id="4582" w:name="_Toc219309388"/>
      <w:r w:rsidR="008D797C">
        <w:rPr>
          <w:rFonts w:eastAsia="Calibri"/>
          <w:noProof/>
          <w:highlight w:val="green"/>
        </w:rPr>
        <w:t>358</w:t>
      </w:r>
      <w:r w:rsidRPr="00995E1F">
        <w:rPr>
          <w:rFonts w:eastAsia="Calibri"/>
          <w:highlight w:val="green"/>
        </w:rPr>
        <w:fldChar w:fldCharType="end"/>
      </w:r>
      <w:r w:rsidRPr="00995E1F">
        <w:rPr>
          <w:rFonts w:eastAsia="Calibri"/>
          <w:highlight w:val="green"/>
        </w:rPr>
        <w:t xml:space="preserve"> – Маршрут </w:t>
      </w:r>
      <w:r w:rsidRPr="00A31A4B">
        <w:rPr>
          <w:rFonts w:eastAsia="Calibri"/>
          <w:highlight w:val="green"/>
        </w:rPr>
        <w:t>докум</w:t>
      </w:r>
      <w:r w:rsidRPr="00C92E68">
        <w:rPr>
          <w:rFonts w:eastAsia="Calibri"/>
          <w:highlight w:val="green"/>
        </w:rPr>
        <w:t>ента «</w:t>
      </w:r>
      <w:r w:rsidRPr="008A11A9">
        <w:rPr>
          <w:highlight w:val="green"/>
        </w:rPr>
        <w:t>Сведения об объемах средств, указанных в нормативных правовых актах, предусматривающих в соответствии с бюджетным законодательством Российской Федерации возможность заключения государственного (муниципального) контракта на срок, превышающий срок действия доведенных лимитов бюджетных обязательств</w:t>
      </w:r>
      <w:r w:rsidRPr="008A11A9">
        <w:rPr>
          <w:rFonts w:eastAsia="Calibri"/>
          <w:highlight w:val="green"/>
        </w:rPr>
        <w:t>»</w:t>
      </w:r>
      <w:bookmarkEnd w:id="4582"/>
    </w:p>
    <w:tbl>
      <w:tblPr>
        <w:tblStyle w:val="GOSTTable"/>
        <w:tblW w:w="5000" w:type="pct"/>
        <w:tblLook w:val="07E0" w:firstRow="1" w:lastRow="1" w:firstColumn="1" w:lastColumn="1" w:noHBand="1" w:noVBand="1"/>
      </w:tblPr>
      <w:tblGrid>
        <w:gridCol w:w="2558"/>
        <w:gridCol w:w="2555"/>
        <w:gridCol w:w="4537"/>
      </w:tblGrid>
      <w:tr w:rsidR="002E0E1D" w:rsidRPr="009D2D00" w14:paraId="228D23E6" w14:textId="77777777" w:rsidTr="002E0E1D">
        <w:trPr>
          <w:cnfStyle w:val="100000000000" w:firstRow="1" w:lastRow="0" w:firstColumn="0" w:lastColumn="0" w:oddVBand="0" w:evenVBand="0" w:oddHBand="0" w:evenHBand="0" w:firstRowFirstColumn="0" w:firstRowLastColumn="0" w:lastRowFirstColumn="0" w:lastRowLastColumn="0"/>
        </w:trPr>
        <w:tc>
          <w:tcPr>
            <w:tcW w:w="1325" w:type="pct"/>
          </w:tcPr>
          <w:p w14:paraId="21211DF0" w14:textId="77777777" w:rsidR="002E0E1D" w:rsidRPr="009D2D00" w:rsidRDefault="002E0E1D" w:rsidP="002E0E1D">
            <w:pPr>
              <w:pStyle w:val="OTRTableHead"/>
              <w:widowControl w:val="0"/>
              <w:rPr>
                <w:sz w:val="22"/>
                <w:szCs w:val="22"/>
              </w:rPr>
            </w:pPr>
            <w:r w:rsidRPr="009D2D00">
              <w:rPr>
                <w:sz w:val="22"/>
                <w:szCs w:val="22"/>
              </w:rPr>
              <w:t>Отправитель</w:t>
            </w:r>
          </w:p>
        </w:tc>
        <w:tc>
          <w:tcPr>
            <w:tcW w:w="1324" w:type="pct"/>
          </w:tcPr>
          <w:p w14:paraId="0E86542F" w14:textId="77777777" w:rsidR="002E0E1D" w:rsidRPr="009D2D00" w:rsidRDefault="002E0E1D" w:rsidP="002E0E1D">
            <w:pPr>
              <w:pStyle w:val="OTRTableHead"/>
              <w:widowControl w:val="0"/>
              <w:rPr>
                <w:sz w:val="22"/>
                <w:szCs w:val="22"/>
              </w:rPr>
            </w:pPr>
            <w:r w:rsidRPr="009D2D00">
              <w:rPr>
                <w:sz w:val="22"/>
                <w:szCs w:val="22"/>
              </w:rPr>
              <w:t>Получатель</w:t>
            </w:r>
          </w:p>
        </w:tc>
        <w:tc>
          <w:tcPr>
            <w:tcW w:w="2352" w:type="pct"/>
          </w:tcPr>
          <w:p w14:paraId="52585A4D" w14:textId="77777777" w:rsidR="002E0E1D" w:rsidRPr="009D2D00" w:rsidRDefault="002E0E1D" w:rsidP="002E0E1D">
            <w:pPr>
              <w:pStyle w:val="OTRTableHead"/>
              <w:widowControl w:val="0"/>
              <w:rPr>
                <w:sz w:val="22"/>
                <w:szCs w:val="22"/>
              </w:rPr>
            </w:pPr>
            <w:r w:rsidRPr="009D2D00">
              <w:rPr>
                <w:sz w:val="22"/>
                <w:szCs w:val="22"/>
              </w:rPr>
              <w:t>Примечание</w:t>
            </w:r>
          </w:p>
        </w:tc>
      </w:tr>
      <w:tr w:rsidR="002E0E1D" w:rsidRPr="009D2D00" w14:paraId="1967F6E2" w14:textId="77777777" w:rsidTr="002E0E1D">
        <w:tc>
          <w:tcPr>
            <w:tcW w:w="1325" w:type="pct"/>
          </w:tcPr>
          <w:p w14:paraId="1BA705EC" w14:textId="77777777" w:rsidR="002E0E1D" w:rsidRPr="008C3D50" w:rsidRDefault="002E0E1D" w:rsidP="002E0E1D">
            <w:pPr>
              <w:pStyle w:val="GOSTTablenorm"/>
            </w:pPr>
            <w:r w:rsidRPr="008C3D50">
              <w:t>ПБС (УБП, НУБП, которому переданы полномочия ПБС)</w:t>
            </w:r>
          </w:p>
        </w:tc>
        <w:tc>
          <w:tcPr>
            <w:tcW w:w="1324" w:type="pct"/>
          </w:tcPr>
          <w:p w14:paraId="719B00A1" w14:textId="77777777" w:rsidR="002E0E1D" w:rsidRPr="008C3D50" w:rsidRDefault="002E0E1D" w:rsidP="002E0E1D">
            <w:pPr>
              <w:pStyle w:val="GOSTTablenorm"/>
            </w:pPr>
            <w:r w:rsidRPr="008C3D50">
              <w:t>ТОФК (ППО АСФК)</w:t>
            </w:r>
          </w:p>
        </w:tc>
        <w:tc>
          <w:tcPr>
            <w:tcW w:w="2352" w:type="pct"/>
          </w:tcPr>
          <w:p w14:paraId="62740EC8" w14:textId="77777777" w:rsidR="002E0E1D" w:rsidRPr="008C3D50" w:rsidRDefault="002E0E1D" w:rsidP="002E0E1D">
            <w:pPr>
              <w:pStyle w:val="GOSTTablenorm"/>
            </w:pPr>
            <w:r w:rsidRPr="008C3D50">
              <w:t>Для закрытых объектов контроля</w:t>
            </w:r>
          </w:p>
        </w:tc>
      </w:tr>
    </w:tbl>
    <w:p w14:paraId="447708FA" w14:textId="77777777" w:rsidR="002E0E1D" w:rsidRPr="00176E24" w:rsidRDefault="002E0E1D" w:rsidP="002E0E1D">
      <w:pPr>
        <w:pStyle w:val="31"/>
        <w:tabs>
          <w:tab w:val="clear" w:pos="720"/>
        </w:tabs>
        <w:suppressAutoHyphens/>
        <w:ind w:left="862"/>
        <w:rPr>
          <w:highlight w:val="green"/>
        </w:rPr>
      </w:pPr>
      <w:bookmarkStart w:id="4583" w:name="_Toc207639659"/>
      <w:bookmarkStart w:id="4584" w:name="_Toc219309852"/>
      <w:r w:rsidRPr="00176E24">
        <w:rPr>
          <w:highlight w:val="green"/>
        </w:rPr>
        <w:t>Описание комплексного типа «tInf_AmnFnds_NPA»</w:t>
      </w:r>
      <w:bookmarkEnd w:id="4583"/>
      <w:bookmarkEnd w:id="4584"/>
    </w:p>
    <w:p w14:paraId="25A04699" w14:textId="4978C9F4" w:rsidR="002E0E1D" w:rsidRPr="00050272" w:rsidRDefault="002E0E1D" w:rsidP="002E0E1D">
      <w:pPr>
        <w:pStyle w:val="GOSTNameTable"/>
        <w:numPr>
          <w:ilvl w:val="0"/>
          <w:numId w:val="151"/>
        </w:numPr>
        <w:suppressAutoHyphens/>
        <w:spacing w:before="240" w:after="120"/>
        <w:ind w:left="425" w:hanging="357"/>
        <w:rPr>
          <w:rFonts w:eastAsia="Calibri"/>
          <w:szCs w:val="24"/>
          <w:highlight w:val="green"/>
        </w:rPr>
      </w:pPr>
      <w:r w:rsidRPr="00050272">
        <w:rPr>
          <w:rFonts w:eastAsia="Calibri"/>
          <w:szCs w:val="24"/>
          <w:highlight w:val="green"/>
        </w:rPr>
        <w:fldChar w:fldCharType="begin"/>
      </w:r>
      <w:r w:rsidRPr="00050272">
        <w:rPr>
          <w:rFonts w:eastAsia="Calibri"/>
          <w:szCs w:val="24"/>
          <w:highlight w:val="green"/>
        </w:rPr>
        <w:instrText xml:space="preserve"> SEQ Таблица \* ARABIC </w:instrText>
      </w:r>
      <w:r w:rsidRPr="00050272">
        <w:rPr>
          <w:rFonts w:eastAsia="Calibri"/>
          <w:szCs w:val="24"/>
          <w:highlight w:val="green"/>
        </w:rPr>
        <w:fldChar w:fldCharType="separate"/>
      </w:r>
      <w:bookmarkStart w:id="4585" w:name="_Toc219309389"/>
      <w:r w:rsidR="008D797C">
        <w:rPr>
          <w:rFonts w:eastAsia="Calibri"/>
          <w:noProof/>
          <w:szCs w:val="24"/>
          <w:highlight w:val="green"/>
        </w:rPr>
        <w:t>359</w:t>
      </w:r>
      <w:r w:rsidRPr="00050272">
        <w:rPr>
          <w:rFonts w:eastAsia="Calibri"/>
          <w:szCs w:val="24"/>
          <w:highlight w:val="green"/>
        </w:rPr>
        <w:fldChar w:fldCharType="end"/>
      </w:r>
      <w:r w:rsidRPr="00050272">
        <w:rPr>
          <w:rFonts w:eastAsia="Calibri"/>
          <w:szCs w:val="24"/>
          <w:highlight w:val="green"/>
        </w:rPr>
        <w:t xml:space="preserve"> – Описание комплексного типа «</w:t>
      </w:r>
      <w:r w:rsidRPr="00741F65">
        <w:rPr>
          <w:highlight w:val="green"/>
        </w:rPr>
        <w:t>t</w:t>
      </w:r>
      <w:r w:rsidRPr="00741F65">
        <w:rPr>
          <w:highlight w:val="green"/>
          <w:lang w:val="en-US"/>
        </w:rPr>
        <w:t>Inf</w:t>
      </w:r>
      <w:r w:rsidRPr="00741F65">
        <w:rPr>
          <w:highlight w:val="green"/>
        </w:rPr>
        <w:t>_</w:t>
      </w:r>
      <w:r w:rsidRPr="00741F65">
        <w:rPr>
          <w:highlight w:val="green"/>
          <w:lang w:val="en-US"/>
        </w:rPr>
        <w:t>AmnFnds</w:t>
      </w:r>
      <w:r w:rsidRPr="00741F65">
        <w:rPr>
          <w:highlight w:val="green"/>
        </w:rPr>
        <w:t>_</w:t>
      </w:r>
      <w:r w:rsidRPr="00741F65">
        <w:rPr>
          <w:highlight w:val="green"/>
          <w:lang w:val="en-US"/>
        </w:rPr>
        <w:t>NPA</w:t>
      </w:r>
      <w:r w:rsidRPr="00050272">
        <w:rPr>
          <w:rFonts w:eastAsia="Calibri"/>
          <w:szCs w:val="24"/>
          <w:highlight w:val="green"/>
        </w:rPr>
        <w:t>»</w:t>
      </w:r>
      <w:bookmarkEnd w:id="4585"/>
    </w:p>
    <w:tbl>
      <w:tblPr>
        <w:tblStyle w:val="GOSTTable"/>
        <w:tblW w:w="5000" w:type="pct"/>
        <w:tblLayout w:type="fixed"/>
        <w:tblLook w:val="07E0" w:firstRow="1" w:lastRow="1" w:firstColumn="1" w:lastColumn="1" w:noHBand="1" w:noVBand="1"/>
      </w:tblPr>
      <w:tblGrid>
        <w:gridCol w:w="1704"/>
        <w:gridCol w:w="1704"/>
        <w:gridCol w:w="572"/>
        <w:gridCol w:w="1136"/>
        <w:gridCol w:w="572"/>
        <w:gridCol w:w="3962"/>
      </w:tblGrid>
      <w:tr w:rsidR="002E0E1D" w:rsidRPr="009D2D00" w14:paraId="50749DF7" w14:textId="77777777" w:rsidTr="00EF2AE3">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10C12504" w14:textId="77777777" w:rsidR="002E0E1D" w:rsidRPr="009D2D00" w:rsidRDefault="002E0E1D" w:rsidP="002E0E1D">
            <w:pPr>
              <w:pStyle w:val="GOSTTableHead"/>
            </w:pPr>
            <w:r w:rsidRPr="009D2D00">
              <w:t>Наименование элемента</w:t>
            </w:r>
          </w:p>
        </w:tc>
        <w:tc>
          <w:tcPr>
            <w:tcW w:w="1700" w:type="dxa"/>
          </w:tcPr>
          <w:p w14:paraId="5CB5BE3A" w14:textId="77777777" w:rsidR="002E0E1D" w:rsidRPr="009D2D00" w:rsidRDefault="002E0E1D" w:rsidP="002E0E1D">
            <w:pPr>
              <w:pStyle w:val="GOSTTableHead"/>
            </w:pPr>
            <w:r w:rsidRPr="009D2D00">
              <w:t>Сокращенное наименование (код) элемента</w:t>
            </w:r>
          </w:p>
        </w:tc>
        <w:tc>
          <w:tcPr>
            <w:tcW w:w="571" w:type="dxa"/>
          </w:tcPr>
          <w:p w14:paraId="434FA49E" w14:textId="77777777" w:rsidR="002E0E1D" w:rsidRPr="009D2D00" w:rsidRDefault="002E0E1D" w:rsidP="002E0E1D">
            <w:pPr>
              <w:pStyle w:val="GOSTTableHead"/>
            </w:pPr>
            <w:r w:rsidRPr="009D2D00">
              <w:t>Тип</w:t>
            </w:r>
          </w:p>
        </w:tc>
        <w:tc>
          <w:tcPr>
            <w:tcW w:w="1133" w:type="dxa"/>
          </w:tcPr>
          <w:p w14:paraId="616B0A4D" w14:textId="77777777" w:rsidR="002E0E1D" w:rsidRPr="009D2D00" w:rsidRDefault="002E0E1D" w:rsidP="002E0E1D">
            <w:pPr>
              <w:pStyle w:val="GOSTTableHead"/>
            </w:pPr>
            <w:r w:rsidRPr="009D2D00">
              <w:t>Формат элемента</w:t>
            </w:r>
          </w:p>
        </w:tc>
        <w:tc>
          <w:tcPr>
            <w:tcW w:w="571" w:type="dxa"/>
          </w:tcPr>
          <w:p w14:paraId="6277220F" w14:textId="77777777" w:rsidR="002E0E1D" w:rsidRPr="009D2D00" w:rsidRDefault="002E0E1D" w:rsidP="002E0E1D">
            <w:pPr>
              <w:pStyle w:val="GOSTTableHead"/>
            </w:pPr>
            <w:r w:rsidRPr="009D2D00">
              <w:t>Обязательность</w:t>
            </w:r>
          </w:p>
        </w:tc>
        <w:tc>
          <w:tcPr>
            <w:tcW w:w="3953" w:type="dxa"/>
          </w:tcPr>
          <w:p w14:paraId="0F627D7B" w14:textId="77777777" w:rsidR="002E0E1D" w:rsidRPr="009D2D00" w:rsidRDefault="002E0E1D" w:rsidP="002E0E1D">
            <w:pPr>
              <w:pStyle w:val="GOSTTableHead"/>
            </w:pPr>
            <w:r w:rsidRPr="009D2D00">
              <w:t>Дополнительная информация</w:t>
            </w:r>
          </w:p>
        </w:tc>
      </w:tr>
      <w:tr w:rsidR="002E0E1D" w:rsidRPr="009D2D00" w14:paraId="284FCA78" w14:textId="77777777" w:rsidTr="00EF2AE3">
        <w:trPr>
          <w:trHeight w:val="283"/>
        </w:trPr>
        <w:tc>
          <w:tcPr>
            <w:tcW w:w="1700" w:type="dxa"/>
          </w:tcPr>
          <w:p w14:paraId="24DCF51C" w14:textId="77777777" w:rsidR="002E0E1D" w:rsidRPr="00B409B7" w:rsidRDefault="002E0E1D" w:rsidP="002E0E1D">
            <w:pPr>
              <w:pStyle w:val="GOSTTablenorm"/>
              <w:rPr>
                <w:lang w:val="en-US"/>
              </w:rPr>
            </w:pPr>
            <w:r w:rsidRPr="00B409B7">
              <w:rPr>
                <w:lang w:val="en-US"/>
              </w:rPr>
              <w:t>Версия структуры формуляра</w:t>
            </w:r>
          </w:p>
        </w:tc>
        <w:tc>
          <w:tcPr>
            <w:tcW w:w="1700" w:type="dxa"/>
          </w:tcPr>
          <w:p w14:paraId="4BB3E79F" w14:textId="77777777" w:rsidR="002E0E1D" w:rsidRPr="00B409B7" w:rsidRDefault="002E0E1D" w:rsidP="002E0E1D">
            <w:pPr>
              <w:pStyle w:val="GOSTTablenorm"/>
              <w:rPr>
                <w:lang w:val="en-US"/>
              </w:rPr>
            </w:pPr>
            <w:r>
              <w:rPr>
                <w:lang w:val="en-US"/>
              </w:rPr>
              <w:t>v</w:t>
            </w:r>
            <w:r w:rsidRPr="00B409B7">
              <w:rPr>
                <w:lang w:val="en-US"/>
              </w:rPr>
              <w:t>ersion</w:t>
            </w:r>
            <w:r>
              <w:rPr>
                <w:lang w:val="en-US"/>
              </w:rPr>
              <w:t>ID</w:t>
            </w:r>
          </w:p>
        </w:tc>
        <w:tc>
          <w:tcPr>
            <w:tcW w:w="571" w:type="dxa"/>
          </w:tcPr>
          <w:p w14:paraId="4FC99E4B" w14:textId="77777777" w:rsidR="002E0E1D" w:rsidRPr="00B409B7" w:rsidRDefault="002E0E1D" w:rsidP="002E0E1D">
            <w:pPr>
              <w:pStyle w:val="GOSTTablenorm"/>
              <w:rPr>
                <w:lang w:val="en-US"/>
              </w:rPr>
            </w:pPr>
            <w:r w:rsidRPr="00956D94">
              <w:rPr>
                <w:lang w:val="en-US"/>
              </w:rPr>
              <w:t>А</w:t>
            </w:r>
          </w:p>
        </w:tc>
        <w:tc>
          <w:tcPr>
            <w:tcW w:w="1133" w:type="dxa"/>
          </w:tcPr>
          <w:p w14:paraId="04CA93CB" w14:textId="77777777" w:rsidR="002E0E1D" w:rsidRPr="00B409B7" w:rsidRDefault="002E0E1D" w:rsidP="002E0E1D">
            <w:pPr>
              <w:pStyle w:val="GOSTTablenorm"/>
              <w:rPr>
                <w:lang w:val="en-US"/>
              </w:rPr>
            </w:pPr>
            <w:r w:rsidRPr="00B409B7">
              <w:rPr>
                <w:lang w:val="en-US"/>
              </w:rPr>
              <w:t>-</w:t>
            </w:r>
          </w:p>
        </w:tc>
        <w:tc>
          <w:tcPr>
            <w:tcW w:w="571" w:type="dxa"/>
          </w:tcPr>
          <w:p w14:paraId="6A947F7A" w14:textId="77777777" w:rsidR="002E0E1D" w:rsidRPr="00B409B7" w:rsidRDefault="002E0E1D" w:rsidP="002E0E1D">
            <w:pPr>
              <w:pStyle w:val="GOSTTablenorm"/>
              <w:rPr>
                <w:lang w:val="en-US"/>
              </w:rPr>
            </w:pPr>
            <w:r w:rsidRPr="00B409B7">
              <w:rPr>
                <w:lang w:val="en-US"/>
              </w:rPr>
              <w:t>О</w:t>
            </w:r>
          </w:p>
        </w:tc>
        <w:tc>
          <w:tcPr>
            <w:tcW w:w="3953" w:type="dxa"/>
          </w:tcPr>
          <w:p w14:paraId="5DEB5604" w14:textId="5656DBB1" w:rsidR="002E0E1D" w:rsidRPr="00446E69" w:rsidRDefault="002E0E1D" w:rsidP="00EF2AE3">
            <w:pPr>
              <w:pStyle w:val="GOSTTablenorm"/>
            </w:pPr>
            <w:r w:rsidRPr="00446E69">
              <w:t xml:space="preserve">Указывается значение версии, соответствующее таблице </w:t>
            </w:r>
            <w:r w:rsidR="00EF2AE3">
              <w:rPr>
                <w:lang w:val="en-US"/>
              </w:rPr>
              <w:fldChar w:fldCharType="begin"/>
            </w:r>
            <w:r w:rsidR="00EF2AE3">
              <w:instrText xml:space="preserve"> REF _Ref19881821 \h </w:instrText>
            </w:r>
            <w:r w:rsidR="00EF2AE3" w:rsidRPr="00EF2AE3">
              <w:instrText xml:space="preserve"> \* </w:instrText>
            </w:r>
            <w:r w:rsidR="00EF2AE3">
              <w:rPr>
                <w:lang w:val="en-US"/>
              </w:rPr>
              <w:instrText>MERGEFORMAT</w:instrText>
            </w:r>
            <w:r w:rsidR="00EF2AE3" w:rsidRPr="00EF2AE3">
              <w:instrText xml:space="preserve"> </w:instrText>
            </w:r>
            <w:r w:rsidR="00EF2AE3">
              <w:rPr>
                <w:lang w:val="en-US"/>
              </w:rPr>
            </w:r>
            <w:r w:rsidR="00EF2AE3">
              <w:rPr>
                <w:lang w:val="en-US"/>
              </w:rPr>
              <w:fldChar w:fldCharType="separate"/>
            </w:r>
            <w:r w:rsidR="008D797C">
              <w:rPr>
                <w:rFonts w:eastAsia="Calibri"/>
                <w:noProof/>
                <w:szCs w:val="24"/>
                <w:highlight w:val="green"/>
              </w:rPr>
              <w:t>2</w:t>
            </w:r>
            <w:r w:rsidR="00EF2AE3">
              <w:rPr>
                <w:lang w:val="en-US"/>
              </w:rPr>
              <w:fldChar w:fldCharType="end"/>
            </w:r>
          </w:p>
        </w:tc>
      </w:tr>
      <w:tr w:rsidR="002E0E1D" w:rsidRPr="009D2D00" w14:paraId="4CAB1B06" w14:textId="77777777" w:rsidTr="00EF2AE3">
        <w:trPr>
          <w:trHeight w:val="283"/>
        </w:trPr>
        <w:tc>
          <w:tcPr>
            <w:tcW w:w="9628" w:type="dxa"/>
            <w:gridSpan w:val="6"/>
          </w:tcPr>
          <w:p w14:paraId="18173078" w14:textId="77777777" w:rsidR="002E0E1D" w:rsidRPr="00050272" w:rsidRDefault="002E0E1D" w:rsidP="002E0E1D">
            <w:pPr>
              <w:pStyle w:val="GOSTTablenorm"/>
              <w:rPr>
                <w:b/>
              </w:rPr>
            </w:pPr>
            <w:r w:rsidRPr="00050272">
              <w:rPr>
                <w:b/>
              </w:rPr>
              <w:t>Заголовок</w:t>
            </w:r>
          </w:p>
        </w:tc>
      </w:tr>
      <w:tr w:rsidR="002E0E1D" w:rsidRPr="009D2D00" w14:paraId="4C78A917" w14:textId="77777777" w:rsidTr="00EF2AE3">
        <w:trPr>
          <w:trHeight w:val="283"/>
        </w:trPr>
        <w:tc>
          <w:tcPr>
            <w:tcW w:w="1700" w:type="dxa"/>
          </w:tcPr>
          <w:p w14:paraId="5B388E31" w14:textId="77777777" w:rsidR="002E0E1D" w:rsidRPr="009D2D00" w:rsidRDefault="002E0E1D" w:rsidP="002E0E1D">
            <w:pPr>
              <w:pStyle w:val="GOSTTablenorm"/>
              <w:rPr>
                <w:lang w:val="en-US"/>
              </w:rPr>
            </w:pPr>
            <w:r w:rsidRPr="009D2D00">
              <w:rPr>
                <w:lang w:val="en-US"/>
              </w:rPr>
              <w:t>GUID</w:t>
            </w:r>
          </w:p>
        </w:tc>
        <w:tc>
          <w:tcPr>
            <w:tcW w:w="1700" w:type="dxa"/>
          </w:tcPr>
          <w:p w14:paraId="23B3E5EA" w14:textId="77777777" w:rsidR="002E0E1D" w:rsidRPr="009D2D00" w:rsidRDefault="002E0E1D" w:rsidP="002E0E1D">
            <w:pPr>
              <w:pStyle w:val="GOSTTablenorm"/>
              <w:rPr>
                <w:lang w:val="en-US"/>
              </w:rPr>
            </w:pPr>
            <w:r w:rsidRPr="009D2D00">
              <w:rPr>
                <w:lang w:val="en-US"/>
              </w:rPr>
              <w:t>GUID</w:t>
            </w:r>
          </w:p>
        </w:tc>
        <w:tc>
          <w:tcPr>
            <w:tcW w:w="571" w:type="dxa"/>
          </w:tcPr>
          <w:p w14:paraId="4787FC01" w14:textId="77777777" w:rsidR="002E0E1D" w:rsidRPr="009D2D00" w:rsidRDefault="002E0E1D" w:rsidP="002E0E1D">
            <w:pPr>
              <w:pStyle w:val="GOSTTablenorm"/>
            </w:pPr>
            <w:r w:rsidRPr="009D2D00">
              <w:t>П</w:t>
            </w:r>
          </w:p>
        </w:tc>
        <w:tc>
          <w:tcPr>
            <w:tcW w:w="1133" w:type="dxa"/>
          </w:tcPr>
          <w:p w14:paraId="46DB7C78" w14:textId="77777777" w:rsidR="002E0E1D" w:rsidRPr="009D2D00" w:rsidRDefault="002E0E1D" w:rsidP="002E0E1D">
            <w:pPr>
              <w:pStyle w:val="GOSTTablenorm"/>
            </w:pPr>
            <w:r w:rsidRPr="009D2D00">
              <w:t>Т(36)</w:t>
            </w:r>
          </w:p>
        </w:tc>
        <w:tc>
          <w:tcPr>
            <w:tcW w:w="571" w:type="dxa"/>
          </w:tcPr>
          <w:p w14:paraId="6D42D3B8" w14:textId="77777777" w:rsidR="002E0E1D" w:rsidRPr="009D2D00" w:rsidRDefault="002E0E1D" w:rsidP="002E0E1D">
            <w:pPr>
              <w:pStyle w:val="GOSTTablenorm"/>
            </w:pPr>
            <w:r w:rsidRPr="009D2D00">
              <w:t>Н</w:t>
            </w:r>
          </w:p>
        </w:tc>
        <w:tc>
          <w:tcPr>
            <w:tcW w:w="3953" w:type="dxa"/>
          </w:tcPr>
          <w:p w14:paraId="37C128AA" w14:textId="77777777" w:rsidR="002E0E1D" w:rsidRPr="009D2D00" w:rsidRDefault="002E0E1D" w:rsidP="002E0E1D">
            <w:pPr>
              <w:pStyle w:val="GOSTTablenorm"/>
            </w:pPr>
            <w:r w:rsidRPr="009D2D00">
              <w:t>GUID – Глобальный уникальный идентификатор.</w:t>
            </w:r>
          </w:p>
          <w:p w14:paraId="0841CE1D" w14:textId="77777777" w:rsidR="002E0E1D" w:rsidRPr="009D2D00" w:rsidRDefault="002E0E1D" w:rsidP="002E0E1D">
            <w:pPr>
              <w:pStyle w:val="GOSTTablenorm"/>
            </w:pPr>
            <w:r w:rsidRPr="009D2D00">
              <w:lastRenderedPageBreak/>
              <w:t>Служебное поле, может заполняться клиентом или ТОФК.</w:t>
            </w:r>
          </w:p>
          <w:p w14:paraId="5F8CE588" w14:textId="77777777" w:rsidR="002E0E1D" w:rsidRPr="009D2D00" w:rsidRDefault="002E0E1D" w:rsidP="002E0E1D">
            <w:pPr>
              <w:pStyle w:val="GOSTTablenorm"/>
            </w:pPr>
            <w:r w:rsidRPr="009D2D00">
              <w:t>Заполняется ТОФК в случае отсутствия значения, присвоенного клиентом.</w:t>
            </w:r>
          </w:p>
          <w:p w14:paraId="3B4E78AF" w14:textId="77777777" w:rsidR="002E0E1D" w:rsidRPr="009D2D00" w:rsidRDefault="002E0E1D" w:rsidP="002E0E1D">
            <w:pPr>
              <w:pStyle w:val="GOSTTablenorm"/>
            </w:pPr>
            <w:r w:rsidRPr="009D2D00">
              <w:t>При поступлении в ТОФК документа с неуникальным значением идентификатора документа, документ не принимается к исполнению в си</w:t>
            </w:r>
            <w:r>
              <w:t>стеме Федерального казначейства</w:t>
            </w:r>
          </w:p>
        </w:tc>
      </w:tr>
      <w:tr w:rsidR="002E0E1D" w:rsidRPr="009D2D00" w14:paraId="512FEE19" w14:textId="77777777" w:rsidTr="00EF2AE3">
        <w:trPr>
          <w:trHeight w:val="283"/>
        </w:trPr>
        <w:tc>
          <w:tcPr>
            <w:tcW w:w="1700" w:type="dxa"/>
          </w:tcPr>
          <w:p w14:paraId="4BFBB730" w14:textId="77777777" w:rsidR="002E0E1D" w:rsidRPr="009D2D00" w:rsidRDefault="002E0E1D" w:rsidP="002E0E1D">
            <w:pPr>
              <w:pStyle w:val="GOSTTablenorm"/>
            </w:pPr>
            <w:r w:rsidRPr="009D2D00">
              <w:lastRenderedPageBreak/>
              <w:t>Вид документа</w:t>
            </w:r>
          </w:p>
        </w:tc>
        <w:tc>
          <w:tcPr>
            <w:tcW w:w="1700" w:type="dxa"/>
          </w:tcPr>
          <w:p w14:paraId="12AF927E" w14:textId="77777777" w:rsidR="002E0E1D" w:rsidRPr="009D2D00" w:rsidRDefault="002E0E1D" w:rsidP="002E0E1D">
            <w:pPr>
              <w:pStyle w:val="GOSTTablenorm"/>
            </w:pPr>
            <w:r w:rsidRPr="009D2D00">
              <w:t>vidDoc</w:t>
            </w:r>
          </w:p>
        </w:tc>
        <w:tc>
          <w:tcPr>
            <w:tcW w:w="571" w:type="dxa"/>
          </w:tcPr>
          <w:p w14:paraId="7493AE62" w14:textId="77777777" w:rsidR="002E0E1D" w:rsidRPr="009D2D00" w:rsidRDefault="002E0E1D" w:rsidP="002E0E1D">
            <w:pPr>
              <w:pStyle w:val="GOSTTablenorm"/>
            </w:pPr>
            <w:r w:rsidRPr="009D2D00">
              <w:t>С</w:t>
            </w:r>
          </w:p>
        </w:tc>
        <w:tc>
          <w:tcPr>
            <w:tcW w:w="1133" w:type="dxa"/>
          </w:tcPr>
          <w:p w14:paraId="6095D1CC" w14:textId="77777777" w:rsidR="002E0E1D" w:rsidRPr="009D2D00" w:rsidRDefault="002E0E1D" w:rsidP="002E0E1D">
            <w:pPr>
              <w:pStyle w:val="GOSTTablenorm"/>
            </w:pPr>
            <w:r w:rsidRPr="009D2D00">
              <w:t>tV</w:t>
            </w:r>
            <w:r w:rsidRPr="009D2D00">
              <w:rPr>
                <w:lang w:val="en-US"/>
              </w:rPr>
              <w:t>id</w:t>
            </w:r>
            <w:r w:rsidRPr="009D2D00">
              <w:t>D</w:t>
            </w:r>
            <w:r w:rsidRPr="009D2D00">
              <w:rPr>
                <w:lang w:val="en-US"/>
              </w:rPr>
              <w:t>oc</w:t>
            </w:r>
            <w:r w:rsidRPr="009D2D00">
              <w:t>Complex</w:t>
            </w:r>
          </w:p>
        </w:tc>
        <w:tc>
          <w:tcPr>
            <w:tcW w:w="571" w:type="dxa"/>
          </w:tcPr>
          <w:p w14:paraId="6E9E6409" w14:textId="77777777" w:rsidR="002E0E1D" w:rsidRPr="009D2D00" w:rsidRDefault="002E0E1D" w:rsidP="002E0E1D">
            <w:pPr>
              <w:pStyle w:val="GOSTTablenorm"/>
            </w:pPr>
            <w:r w:rsidRPr="009D2D00">
              <w:t>О</w:t>
            </w:r>
          </w:p>
        </w:tc>
        <w:tc>
          <w:tcPr>
            <w:tcW w:w="3953" w:type="dxa"/>
          </w:tcPr>
          <w:p w14:paraId="4D70A0CF" w14:textId="77777777" w:rsidR="002E0E1D" w:rsidRPr="009D2D00" w:rsidRDefault="002E0E1D" w:rsidP="002E0E1D">
            <w:pPr>
              <w:pStyle w:val="GOSTTablenorm"/>
            </w:pPr>
            <w:r w:rsidRPr="009D2D00">
              <w:t>Указывается вид документа.</w:t>
            </w:r>
          </w:p>
          <w:p w14:paraId="74D602A2" w14:textId="51A3FDA5" w:rsidR="002E0E1D" w:rsidRPr="009D2D00" w:rsidRDefault="002E0E1D" w:rsidP="00EF2AE3">
            <w:pPr>
              <w:pStyle w:val="GOSTTablenorm"/>
            </w:pPr>
            <w:r w:rsidRPr="009D2D00">
              <w:t xml:space="preserve">Состав элемента представлен в таблице </w:t>
            </w:r>
            <w:r w:rsidR="00EF2AE3">
              <w:fldChar w:fldCharType="begin"/>
            </w:r>
            <w:r w:rsidR="00EF2AE3">
              <w:instrText xml:space="preserve"> REF _Ref216442763 \h </w:instrText>
            </w:r>
            <w:r w:rsidR="00EF2AE3">
              <w:fldChar w:fldCharType="separate"/>
            </w:r>
            <w:r w:rsidR="008D797C">
              <w:rPr>
                <w:rFonts w:eastAsia="Calibri"/>
                <w:noProof/>
                <w:szCs w:val="24"/>
                <w:highlight w:val="green"/>
              </w:rPr>
              <w:t>360</w:t>
            </w:r>
            <w:r w:rsidR="00EF2AE3">
              <w:fldChar w:fldCharType="end"/>
            </w:r>
          </w:p>
        </w:tc>
      </w:tr>
      <w:tr w:rsidR="002E0E1D" w:rsidRPr="009D2D00" w14:paraId="5FDF3051" w14:textId="77777777" w:rsidTr="00EF2AE3">
        <w:trPr>
          <w:trHeight w:val="283"/>
        </w:trPr>
        <w:tc>
          <w:tcPr>
            <w:tcW w:w="1700" w:type="dxa"/>
          </w:tcPr>
          <w:p w14:paraId="36CE08A1" w14:textId="77777777" w:rsidR="002E0E1D" w:rsidRPr="009D2D00" w:rsidRDefault="002E0E1D" w:rsidP="002E0E1D">
            <w:pPr>
              <w:pStyle w:val="GOSTTablenorm"/>
            </w:pPr>
            <w:r w:rsidRPr="009D2D00">
              <w:t>Номер</w:t>
            </w:r>
          </w:p>
        </w:tc>
        <w:tc>
          <w:tcPr>
            <w:tcW w:w="1700" w:type="dxa"/>
          </w:tcPr>
          <w:p w14:paraId="192DD046" w14:textId="77777777" w:rsidR="002E0E1D" w:rsidRPr="009D2D00" w:rsidRDefault="002E0E1D" w:rsidP="002E0E1D">
            <w:pPr>
              <w:pStyle w:val="GOSTTablenorm"/>
            </w:pPr>
            <w:r w:rsidRPr="009D2D00">
              <w:t>number</w:t>
            </w:r>
          </w:p>
        </w:tc>
        <w:tc>
          <w:tcPr>
            <w:tcW w:w="571" w:type="dxa"/>
          </w:tcPr>
          <w:p w14:paraId="0D9BC15C" w14:textId="77777777" w:rsidR="002E0E1D" w:rsidRPr="009D2D00" w:rsidRDefault="002E0E1D" w:rsidP="002E0E1D">
            <w:pPr>
              <w:pStyle w:val="GOSTTablenorm"/>
            </w:pPr>
            <w:r w:rsidRPr="009D2D00">
              <w:t>П</w:t>
            </w:r>
          </w:p>
        </w:tc>
        <w:tc>
          <w:tcPr>
            <w:tcW w:w="1133" w:type="dxa"/>
          </w:tcPr>
          <w:p w14:paraId="2B55952E" w14:textId="77777777" w:rsidR="002E0E1D" w:rsidRPr="009D2D00" w:rsidRDefault="002E0E1D" w:rsidP="002E0E1D">
            <w:pPr>
              <w:pStyle w:val="GOSTTablenorm"/>
            </w:pPr>
            <w:r w:rsidRPr="009D2D00">
              <w:t>Т(1-45)</w:t>
            </w:r>
          </w:p>
        </w:tc>
        <w:tc>
          <w:tcPr>
            <w:tcW w:w="571" w:type="dxa"/>
          </w:tcPr>
          <w:p w14:paraId="0D48C661" w14:textId="77777777" w:rsidR="002E0E1D" w:rsidRPr="009D2D00" w:rsidRDefault="002E0E1D" w:rsidP="002E0E1D">
            <w:pPr>
              <w:pStyle w:val="GOSTTablenorm"/>
            </w:pPr>
            <w:r w:rsidRPr="009D2D00">
              <w:t>О</w:t>
            </w:r>
          </w:p>
        </w:tc>
        <w:tc>
          <w:tcPr>
            <w:tcW w:w="3953" w:type="dxa"/>
          </w:tcPr>
          <w:p w14:paraId="3BEF2159" w14:textId="77777777" w:rsidR="002E0E1D" w:rsidRPr="009D2D00" w:rsidRDefault="002E0E1D" w:rsidP="002E0E1D">
            <w:pPr>
              <w:pStyle w:val="GOSTTablenorm"/>
            </w:pPr>
            <w:r>
              <w:t>Указывается номер документа</w:t>
            </w:r>
          </w:p>
        </w:tc>
      </w:tr>
      <w:tr w:rsidR="002E0E1D" w:rsidRPr="009D2D00" w14:paraId="08C1D4CA" w14:textId="77777777" w:rsidTr="00EF2AE3">
        <w:trPr>
          <w:trHeight w:val="283"/>
        </w:trPr>
        <w:tc>
          <w:tcPr>
            <w:tcW w:w="1700" w:type="dxa"/>
          </w:tcPr>
          <w:p w14:paraId="104D7D3A" w14:textId="77777777" w:rsidR="002E0E1D" w:rsidRPr="009D2D00" w:rsidRDefault="002E0E1D" w:rsidP="002E0E1D">
            <w:pPr>
              <w:pStyle w:val="GOSTTablenorm"/>
            </w:pPr>
            <w:r w:rsidRPr="009D2D00">
              <w:t>Дата</w:t>
            </w:r>
          </w:p>
        </w:tc>
        <w:tc>
          <w:tcPr>
            <w:tcW w:w="1700" w:type="dxa"/>
          </w:tcPr>
          <w:p w14:paraId="07C9DFD5" w14:textId="77777777" w:rsidR="002E0E1D" w:rsidRPr="009D2D00" w:rsidRDefault="002E0E1D" w:rsidP="002E0E1D">
            <w:pPr>
              <w:pStyle w:val="GOSTTablenorm"/>
            </w:pPr>
            <w:r w:rsidRPr="009D2D00">
              <w:t>createDate</w:t>
            </w:r>
          </w:p>
        </w:tc>
        <w:tc>
          <w:tcPr>
            <w:tcW w:w="571" w:type="dxa"/>
          </w:tcPr>
          <w:p w14:paraId="669CA5F9" w14:textId="77777777" w:rsidR="002E0E1D" w:rsidRPr="009D2D00" w:rsidRDefault="002E0E1D" w:rsidP="002E0E1D">
            <w:pPr>
              <w:pStyle w:val="GOSTTablenorm"/>
            </w:pPr>
            <w:r w:rsidRPr="009D2D00">
              <w:t>П</w:t>
            </w:r>
          </w:p>
        </w:tc>
        <w:tc>
          <w:tcPr>
            <w:tcW w:w="1133" w:type="dxa"/>
          </w:tcPr>
          <w:p w14:paraId="2298391F" w14:textId="77777777" w:rsidR="002E0E1D" w:rsidRPr="009D2D00" w:rsidRDefault="002E0E1D" w:rsidP="002E0E1D">
            <w:pPr>
              <w:pStyle w:val="GOSTTablenorm"/>
            </w:pPr>
            <w:r w:rsidRPr="009D2D00">
              <w:rPr>
                <w:lang w:val="en-US"/>
              </w:rPr>
              <w:t>D</w:t>
            </w:r>
            <w:r w:rsidRPr="009D2D00">
              <w:t>ate</w:t>
            </w:r>
          </w:p>
        </w:tc>
        <w:tc>
          <w:tcPr>
            <w:tcW w:w="571" w:type="dxa"/>
          </w:tcPr>
          <w:p w14:paraId="44D410CF" w14:textId="77777777" w:rsidR="002E0E1D" w:rsidRPr="009D2D00" w:rsidRDefault="002E0E1D" w:rsidP="002E0E1D">
            <w:pPr>
              <w:pStyle w:val="GOSTTablenorm"/>
            </w:pPr>
            <w:r w:rsidRPr="009D2D00">
              <w:t>О</w:t>
            </w:r>
          </w:p>
        </w:tc>
        <w:tc>
          <w:tcPr>
            <w:tcW w:w="3953" w:type="dxa"/>
          </w:tcPr>
          <w:p w14:paraId="1695B808" w14:textId="77777777" w:rsidR="002E0E1D" w:rsidRPr="009D2D00" w:rsidRDefault="002E0E1D" w:rsidP="002E0E1D">
            <w:pPr>
              <w:pStyle w:val="GOSTTablenorm"/>
            </w:pPr>
            <w:r>
              <w:t>Указывается дата документа</w:t>
            </w:r>
          </w:p>
        </w:tc>
      </w:tr>
      <w:tr w:rsidR="002E0E1D" w:rsidRPr="009D2D00" w14:paraId="51F94AB9" w14:textId="77777777" w:rsidTr="00EF2AE3">
        <w:trPr>
          <w:trHeight w:val="283"/>
        </w:trPr>
        <w:tc>
          <w:tcPr>
            <w:tcW w:w="1700" w:type="dxa"/>
          </w:tcPr>
          <w:p w14:paraId="0F0D009C" w14:textId="77777777" w:rsidR="002E0E1D" w:rsidRPr="009D2D00" w:rsidRDefault="002E0E1D" w:rsidP="002E0E1D">
            <w:pPr>
              <w:pStyle w:val="GOSTTablenorm"/>
            </w:pPr>
            <w:r w:rsidRPr="009D2D00">
              <w:t>Код заказчика</w:t>
            </w:r>
          </w:p>
        </w:tc>
        <w:tc>
          <w:tcPr>
            <w:tcW w:w="1700" w:type="dxa"/>
          </w:tcPr>
          <w:p w14:paraId="00DD0F22" w14:textId="77777777" w:rsidR="002E0E1D" w:rsidRPr="009D2D00" w:rsidRDefault="002E0E1D" w:rsidP="002E0E1D">
            <w:pPr>
              <w:pStyle w:val="GOSTTablenorm"/>
            </w:pPr>
            <w:r w:rsidRPr="009D2D00">
              <w:t>orgCode</w:t>
            </w:r>
          </w:p>
        </w:tc>
        <w:tc>
          <w:tcPr>
            <w:tcW w:w="571" w:type="dxa"/>
          </w:tcPr>
          <w:p w14:paraId="3B9A3024" w14:textId="77777777" w:rsidR="002E0E1D" w:rsidRPr="009D2D00" w:rsidRDefault="002E0E1D" w:rsidP="002E0E1D">
            <w:pPr>
              <w:pStyle w:val="GOSTTablenorm"/>
            </w:pPr>
            <w:r w:rsidRPr="009D2D00">
              <w:t>П</w:t>
            </w:r>
          </w:p>
        </w:tc>
        <w:tc>
          <w:tcPr>
            <w:tcW w:w="1133" w:type="dxa"/>
          </w:tcPr>
          <w:p w14:paraId="2535B60A" w14:textId="77777777" w:rsidR="002E0E1D" w:rsidRPr="009D2D00" w:rsidRDefault="002E0E1D" w:rsidP="002E0E1D">
            <w:pPr>
              <w:pStyle w:val="GOSTTablenorm"/>
            </w:pPr>
            <w:r w:rsidRPr="009D2D00">
              <w:t>Т(8)</w:t>
            </w:r>
          </w:p>
        </w:tc>
        <w:tc>
          <w:tcPr>
            <w:tcW w:w="571" w:type="dxa"/>
          </w:tcPr>
          <w:p w14:paraId="18955E39" w14:textId="77777777" w:rsidR="002E0E1D" w:rsidRPr="009D2D00" w:rsidRDefault="002E0E1D" w:rsidP="002E0E1D">
            <w:pPr>
              <w:pStyle w:val="GOSTTablenorm"/>
            </w:pPr>
            <w:r w:rsidRPr="009D2D00">
              <w:t>О</w:t>
            </w:r>
          </w:p>
        </w:tc>
        <w:tc>
          <w:tcPr>
            <w:tcW w:w="3953" w:type="dxa"/>
          </w:tcPr>
          <w:p w14:paraId="354C7A36" w14:textId="77777777" w:rsidR="002E0E1D" w:rsidRPr="009D2D00" w:rsidRDefault="002E0E1D" w:rsidP="002E0E1D">
            <w:pPr>
              <w:pStyle w:val="GOSTTablenorm"/>
            </w:pPr>
            <w:r w:rsidRPr="009D2D00">
              <w:t>Указывается уникальный код заказчика в с</w:t>
            </w:r>
            <w:r>
              <w:t>оответствии со Сводным реестром</w:t>
            </w:r>
          </w:p>
        </w:tc>
      </w:tr>
      <w:tr w:rsidR="002E0E1D" w:rsidRPr="009D2D00" w14:paraId="6B16CED7" w14:textId="77777777" w:rsidTr="00EF2AE3">
        <w:trPr>
          <w:trHeight w:val="283"/>
        </w:trPr>
        <w:tc>
          <w:tcPr>
            <w:tcW w:w="1700" w:type="dxa"/>
          </w:tcPr>
          <w:p w14:paraId="63B484A1" w14:textId="77777777" w:rsidR="002E0E1D" w:rsidRPr="009D2D00" w:rsidRDefault="002E0E1D" w:rsidP="002E0E1D">
            <w:pPr>
              <w:pStyle w:val="GOSTTablenorm"/>
            </w:pPr>
            <w:r>
              <w:t>Полное н</w:t>
            </w:r>
            <w:r w:rsidRPr="009D2D00">
              <w:t>аименование заказчика</w:t>
            </w:r>
          </w:p>
        </w:tc>
        <w:tc>
          <w:tcPr>
            <w:tcW w:w="1700" w:type="dxa"/>
          </w:tcPr>
          <w:p w14:paraId="1F510422" w14:textId="77777777" w:rsidR="002E0E1D" w:rsidRPr="009D2D00" w:rsidRDefault="002E0E1D" w:rsidP="002E0E1D">
            <w:pPr>
              <w:pStyle w:val="GOSTTablenorm"/>
            </w:pPr>
            <w:r w:rsidRPr="009D2D00">
              <w:t>orgName</w:t>
            </w:r>
          </w:p>
        </w:tc>
        <w:tc>
          <w:tcPr>
            <w:tcW w:w="571" w:type="dxa"/>
          </w:tcPr>
          <w:p w14:paraId="0218588F" w14:textId="77777777" w:rsidR="002E0E1D" w:rsidRPr="009D2D00" w:rsidRDefault="002E0E1D" w:rsidP="002E0E1D">
            <w:pPr>
              <w:pStyle w:val="GOSTTablenorm"/>
            </w:pPr>
            <w:r w:rsidRPr="009D2D00">
              <w:t>П</w:t>
            </w:r>
          </w:p>
        </w:tc>
        <w:tc>
          <w:tcPr>
            <w:tcW w:w="1133" w:type="dxa"/>
          </w:tcPr>
          <w:p w14:paraId="7B0A0F02" w14:textId="77777777" w:rsidR="002E0E1D" w:rsidRPr="009D2D00" w:rsidRDefault="002E0E1D" w:rsidP="002E0E1D">
            <w:pPr>
              <w:pStyle w:val="GOSTTablenorm"/>
            </w:pPr>
            <w:r w:rsidRPr="009D2D00">
              <w:t>Т(1-2000)</w:t>
            </w:r>
          </w:p>
        </w:tc>
        <w:tc>
          <w:tcPr>
            <w:tcW w:w="571" w:type="dxa"/>
          </w:tcPr>
          <w:p w14:paraId="4BEEAE3F" w14:textId="77777777" w:rsidR="002E0E1D" w:rsidRPr="009D2D00" w:rsidRDefault="002E0E1D" w:rsidP="002E0E1D">
            <w:pPr>
              <w:pStyle w:val="GOSTTablenorm"/>
            </w:pPr>
            <w:r w:rsidRPr="009D2D00">
              <w:t>О</w:t>
            </w:r>
          </w:p>
        </w:tc>
        <w:tc>
          <w:tcPr>
            <w:tcW w:w="3953" w:type="dxa"/>
          </w:tcPr>
          <w:p w14:paraId="1E9F94A9" w14:textId="77777777" w:rsidR="002E0E1D" w:rsidRPr="009D2D00" w:rsidRDefault="002E0E1D" w:rsidP="002E0E1D">
            <w:pPr>
              <w:pStyle w:val="GOSTTablenorm"/>
            </w:pPr>
            <w:r w:rsidRPr="009D2D00">
              <w:t xml:space="preserve">Указывается </w:t>
            </w:r>
            <w:r>
              <w:t xml:space="preserve">полное </w:t>
            </w:r>
            <w:r w:rsidRPr="009D2D00">
              <w:t>наименование заказчика в с</w:t>
            </w:r>
            <w:r>
              <w:t>оответствии со Сводным реестром</w:t>
            </w:r>
          </w:p>
        </w:tc>
      </w:tr>
      <w:tr w:rsidR="002E0E1D" w:rsidRPr="009D2D00" w14:paraId="248EB288" w14:textId="77777777" w:rsidTr="00EF2AE3">
        <w:trPr>
          <w:trHeight w:val="283"/>
        </w:trPr>
        <w:tc>
          <w:tcPr>
            <w:tcW w:w="1700" w:type="dxa"/>
          </w:tcPr>
          <w:p w14:paraId="6509F7D4" w14:textId="77777777" w:rsidR="002E0E1D" w:rsidRPr="009D2D00" w:rsidRDefault="002E0E1D" w:rsidP="002E0E1D">
            <w:pPr>
              <w:pStyle w:val="GOSTTablenorm"/>
            </w:pPr>
            <w:r w:rsidRPr="009D2D00">
              <w:t>ИНН заказчика</w:t>
            </w:r>
          </w:p>
        </w:tc>
        <w:tc>
          <w:tcPr>
            <w:tcW w:w="1700" w:type="dxa"/>
          </w:tcPr>
          <w:p w14:paraId="4A75653E" w14:textId="77777777" w:rsidR="002E0E1D" w:rsidRPr="009D2D00" w:rsidRDefault="002E0E1D" w:rsidP="002E0E1D">
            <w:pPr>
              <w:pStyle w:val="GOSTTablenorm"/>
            </w:pPr>
            <w:r w:rsidRPr="009D2D00">
              <w:t>INN</w:t>
            </w:r>
          </w:p>
        </w:tc>
        <w:tc>
          <w:tcPr>
            <w:tcW w:w="571" w:type="dxa"/>
          </w:tcPr>
          <w:p w14:paraId="14B9E493" w14:textId="77777777" w:rsidR="002E0E1D" w:rsidRPr="009D2D00" w:rsidRDefault="002E0E1D" w:rsidP="002E0E1D">
            <w:pPr>
              <w:pStyle w:val="GOSTTablenorm"/>
            </w:pPr>
            <w:r w:rsidRPr="009D2D00">
              <w:t>П</w:t>
            </w:r>
          </w:p>
        </w:tc>
        <w:tc>
          <w:tcPr>
            <w:tcW w:w="1133" w:type="dxa"/>
          </w:tcPr>
          <w:p w14:paraId="3A82A834" w14:textId="77777777" w:rsidR="002E0E1D" w:rsidRPr="009D2D00" w:rsidRDefault="002E0E1D" w:rsidP="002E0E1D">
            <w:pPr>
              <w:pStyle w:val="GOSTTablenorm"/>
            </w:pPr>
            <w:r w:rsidRPr="009D2D00">
              <w:t>Т(1</w:t>
            </w:r>
            <w:r>
              <w:t>0</w:t>
            </w:r>
            <w:r w:rsidRPr="009D2D00">
              <w:t>)</w:t>
            </w:r>
          </w:p>
        </w:tc>
        <w:tc>
          <w:tcPr>
            <w:tcW w:w="571" w:type="dxa"/>
          </w:tcPr>
          <w:p w14:paraId="417BB3B3" w14:textId="77777777" w:rsidR="002E0E1D" w:rsidRPr="009D2D00" w:rsidRDefault="002E0E1D" w:rsidP="002E0E1D">
            <w:pPr>
              <w:pStyle w:val="GOSTTablenorm"/>
            </w:pPr>
            <w:r w:rsidRPr="009D2D00">
              <w:t>О</w:t>
            </w:r>
          </w:p>
        </w:tc>
        <w:tc>
          <w:tcPr>
            <w:tcW w:w="3953" w:type="dxa"/>
          </w:tcPr>
          <w:p w14:paraId="41A9A794" w14:textId="77777777" w:rsidR="002E0E1D" w:rsidRPr="009D2D00" w:rsidRDefault="002E0E1D" w:rsidP="002E0E1D">
            <w:pPr>
              <w:pStyle w:val="GOSTTablenorm"/>
            </w:pPr>
            <w:r>
              <w:t>Указывается ИНН заказчика</w:t>
            </w:r>
          </w:p>
        </w:tc>
      </w:tr>
      <w:tr w:rsidR="002E0E1D" w:rsidRPr="009D2D00" w14:paraId="14BFD022" w14:textId="77777777" w:rsidTr="00EF2AE3">
        <w:trPr>
          <w:trHeight w:val="283"/>
        </w:trPr>
        <w:tc>
          <w:tcPr>
            <w:tcW w:w="1700" w:type="dxa"/>
          </w:tcPr>
          <w:p w14:paraId="1163D61D" w14:textId="77777777" w:rsidR="002E0E1D" w:rsidRPr="009D2D00" w:rsidRDefault="002E0E1D" w:rsidP="002E0E1D">
            <w:pPr>
              <w:pStyle w:val="GOSTTablenorm"/>
            </w:pPr>
            <w:r w:rsidRPr="009D2D00">
              <w:t>КПП заказчика</w:t>
            </w:r>
          </w:p>
        </w:tc>
        <w:tc>
          <w:tcPr>
            <w:tcW w:w="1700" w:type="dxa"/>
          </w:tcPr>
          <w:p w14:paraId="3E19CDAF" w14:textId="77777777" w:rsidR="002E0E1D" w:rsidRPr="009D2D00" w:rsidRDefault="002E0E1D" w:rsidP="002E0E1D">
            <w:pPr>
              <w:pStyle w:val="GOSTTablenorm"/>
            </w:pPr>
            <w:r w:rsidRPr="009D2D00">
              <w:t>KPP</w:t>
            </w:r>
          </w:p>
        </w:tc>
        <w:tc>
          <w:tcPr>
            <w:tcW w:w="571" w:type="dxa"/>
          </w:tcPr>
          <w:p w14:paraId="7EF4806C" w14:textId="77777777" w:rsidR="002E0E1D" w:rsidRPr="009D2D00" w:rsidRDefault="002E0E1D" w:rsidP="002E0E1D">
            <w:pPr>
              <w:pStyle w:val="GOSTTablenorm"/>
            </w:pPr>
            <w:r w:rsidRPr="009D2D00">
              <w:t>П</w:t>
            </w:r>
          </w:p>
        </w:tc>
        <w:tc>
          <w:tcPr>
            <w:tcW w:w="1133" w:type="dxa"/>
          </w:tcPr>
          <w:p w14:paraId="04EFA4E0" w14:textId="77777777" w:rsidR="002E0E1D" w:rsidRPr="009D2D00" w:rsidRDefault="002E0E1D" w:rsidP="002E0E1D">
            <w:pPr>
              <w:pStyle w:val="GOSTTablenorm"/>
            </w:pPr>
            <w:r w:rsidRPr="009D2D00">
              <w:t>Т(9)</w:t>
            </w:r>
          </w:p>
        </w:tc>
        <w:tc>
          <w:tcPr>
            <w:tcW w:w="571" w:type="dxa"/>
          </w:tcPr>
          <w:p w14:paraId="7894DFBE" w14:textId="77777777" w:rsidR="002E0E1D" w:rsidRPr="009D2D00" w:rsidRDefault="002E0E1D" w:rsidP="002E0E1D">
            <w:pPr>
              <w:pStyle w:val="GOSTTablenorm"/>
            </w:pPr>
            <w:r w:rsidRPr="009D2D00">
              <w:t>О</w:t>
            </w:r>
          </w:p>
        </w:tc>
        <w:tc>
          <w:tcPr>
            <w:tcW w:w="3953" w:type="dxa"/>
          </w:tcPr>
          <w:p w14:paraId="025868F9" w14:textId="77777777" w:rsidR="002E0E1D" w:rsidRPr="009D2D00" w:rsidRDefault="002E0E1D" w:rsidP="002E0E1D">
            <w:pPr>
              <w:pStyle w:val="GOSTTablenorm"/>
            </w:pPr>
            <w:r>
              <w:t>Указывается КПП заказчика</w:t>
            </w:r>
          </w:p>
        </w:tc>
      </w:tr>
      <w:tr w:rsidR="002E0E1D" w:rsidRPr="009D2D00" w14:paraId="3A2AB8FC" w14:textId="77777777" w:rsidTr="00EF2AE3">
        <w:trPr>
          <w:trHeight w:val="283"/>
        </w:trPr>
        <w:tc>
          <w:tcPr>
            <w:tcW w:w="1700" w:type="dxa"/>
          </w:tcPr>
          <w:p w14:paraId="1DA05A42" w14:textId="77777777" w:rsidR="002E0E1D" w:rsidRPr="009D2D00" w:rsidRDefault="002E0E1D" w:rsidP="002E0E1D">
            <w:pPr>
              <w:pStyle w:val="GOSTTablenorm"/>
            </w:pPr>
            <w:r w:rsidRPr="009D2D00">
              <w:t>Номер лицевого счета</w:t>
            </w:r>
          </w:p>
        </w:tc>
        <w:tc>
          <w:tcPr>
            <w:tcW w:w="1700" w:type="dxa"/>
          </w:tcPr>
          <w:p w14:paraId="2BB35F68" w14:textId="77777777" w:rsidR="002E0E1D" w:rsidRPr="009D2D00" w:rsidRDefault="002E0E1D" w:rsidP="002E0E1D">
            <w:pPr>
              <w:pStyle w:val="GOSTTablenorm"/>
            </w:pPr>
            <w:r w:rsidRPr="009D2D00">
              <w:t>accountNumber</w:t>
            </w:r>
          </w:p>
        </w:tc>
        <w:tc>
          <w:tcPr>
            <w:tcW w:w="571" w:type="dxa"/>
          </w:tcPr>
          <w:p w14:paraId="1B5FF2EC" w14:textId="77777777" w:rsidR="002E0E1D" w:rsidRPr="009D2D00" w:rsidRDefault="002E0E1D" w:rsidP="002E0E1D">
            <w:pPr>
              <w:pStyle w:val="GOSTTablenorm"/>
            </w:pPr>
            <w:r w:rsidRPr="009D2D00">
              <w:t>П</w:t>
            </w:r>
          </w:p>
        </w:tc>
        <w:tc>
          <w:tcPr>
            <w:tcW w:w="1133" w:type="dxa"/>
          </w:tcPr>
          <w:p w14:paraId="4AF70EEA" w14:textId="77777777" w:rsidR="002E0E1D" w:rsidRPr="009D2D00" w:rsidRDefault="002E0E1D" w:rsidP="002E0E1D">
            <w:pPr>
              <w:pStyle w:val="GOSTTablenorm"/>
            </w:pPr>
            <w:r w:rsidRPr="009D2D00">
              <w:t>Т(11)</w:t>
            </w:r>
          </w:p>
        </w:tc>
        <w:tc>
          <w:tcPr>
            <w:tcW w:w="571" w:type="dxa"/>
          </w:tcPr>
          <w:p w14:paraId="03041648" w14:textId="77777777" w:rsidR="002E0E1D" w:rsidRPr="009D2D00" w:rsidRDefault="002E0E1D" w:rsidP="002E0E1D">
            <w:pPr>
              <w:pStyle w:val="GOSTTablenorm"/>
            </w:pPr>
            <w:r w:rsidRPr="009D2D00">
              <w:t>О</w:t>
            </w:r>
          </w:p>
        </w:tc>
        <w:tc>
          <w:tcPr>
            <w:tcW w:w="3953" w:type="dxa"/>
          </w:tcPr>
          <w:p w14:paraId="4ED77184" w14:textId="77777777" w:rsidR="002E0E1D" w:rsidRPr="009D2D00" w:rsidRDefault="002E0E1D" w:rsidP="002E0E1D">
            <w:pPr>
              <w:pStyle w:val="GOSTTablenorm"/>
            </w:pPr>
            <w:r w:rsidRPr="009D2D00">
              <w:t>Указывается номер лице</w:t>
            </w:r>
            <w:r>
              <w:t>вого счета заказчика</w:t>
            </w:r>
          </w:p>
        </w:tc>
      </w:tr>
      <w:tr w:rsidR="002E0E1D" w:rsidRPr="009D2D00" w14:paraId="3163C639" w14:textId="77777777" w:rsidTr="00EF2AE3">
        <w:trPr>
          <w:trHeight w:val="283"/>
        </w:trPr>
        <w:tc>
          <w:tcPr>
            <w:tcW w:w="1700" w:type="dxa"/>
          </w:tcPr>
          <w:p w14:paraId="140778D6" w14:textId="77777777" w:rsidR="002E0E1D" w:rsidRPr="009D2D00" w:rsidRDefault="002E0E1D" w:rsidP="002E0E1D">
            <w:pPr>
              <w:pStyle w:val="GOSTTablenorm"/>
            </w:pPr>
            <w:r w:rsidRPr="009D2D00">
              <w:t>ОКОПФ</w:t>
            </w:r>
          </w:p>
        </w:tc>
        <w:tc>
          <w:tcPr>
            <w:tcW w:w="1700" w:type="dxa"/>
          </w:tcPr>
          <w:p w14:paraId="7DB362AF" w14:textId="77777777" w:rsidR="002E0E1D" w:rsidRPr="009D2D00" w:rsidRDefault="002E0E1D" w:rsidP="002E0E1D">
            <w:pPr>
              <w:pStyle w:val="GOSTTablenorm"/>
            </w:pPr>
            <w:r w:rsidRPr="009D2D00">
              <w:t>OKOPF</w:t>
            </w:r>
          </w:p>
        </w:tc>
        <w:tc>
          <w:tcPr>
            <w:tcW w:w="571" w:type="dxa"/>
          </w:tcPr>
          <w:p w14:paraId="65DDD593" w14:textId="77777777" w:rsidR="002E0E1D" w:rsidRPr="009D2D00" w:rsidRDefault="002E0E1D" w:rsidP="002E0E1D">
            <w:pPr>
              <w:pStyle w:val="GOSTTablenorm"/>
            </w:pPr>
            <w:r w:rsidRPr="009D2D00">
              <w:t>П</w:t>
            </w:r>
          </w:p>
        </w:tc>
        <w:tc>
          <w:tcPr>
            <w:tcW w:w="1133" w:type="dxa"/>
          </w:tcPr>
          <w:p w14:paraId="0A5747F1" w14:textId="77777777" w:rsidR="002E0E1D" w:rsidRPr="009D2D00" w:rsidRDefault="002E0E1D" w:rsidP="002E0E1D">
            <w:pPr>
              <w:pStyle w:val="GOSTTablenorm"/>
            </w:pPr>
            <w:r w:rsidRPr="009D2D00">
              <w:t>Т(5)</w:t>
            </w:r>
          </w:p>
        </w:tc>
        <w:tc>
          <w:tcPr>
            <w:tcW w:w="571" w:type="dxa"/>
          </w:tcPr>
          <w:p w14:paraId="516F8C5E" w14:textId="77777777" w:rsidR="002E0E1D" w:rsidRPr="009D2D00" w:rsidRDefault="002E0E1D" w:rsidP="002E0E1D">
            <w:pPr>
              <w:pStyle w:val="GOSTTablenorm"/>
            </w:pPr>
            <w:r w:rsidRPr="009D2D00">
              <w:t>О</w:t>
            </w:r>
          </w:p>
        </w:tc>
        <w:tc>
          <w:tcPr>
            <w:tcW w:w="3953" w:type="dxa"/>
          </w:tcPr>
          <w:p w14:paraId="3F68C53F" w14:textId="77777777" w:rsidR="002E0E1D" w:rsidRPr="009D2D00" w:rsidRDefault="002E0E1D" w:rsidP="002E0E1D">
            <w:pPr>
              <w:pStyle w:val="GOSTTablenorm"/>
            </w:pPr>
            <w:r w:rsidRPr="009D2D00">
              <w:t>Ука</w:t>
            </w:r>
            <w:r>
              <w:t>зывается код по ОКОПФ заказчика</w:t>
            </w:r>
          </w:p>
        </w:tc>
      </w:tr>
      <w:tr w:rsidR="002E0E1D" w:rsidRPr="009D2D00" w14:paraId="385F9C9B" w14:textId="77777777" w:rsidTr="00EF2AE3">
        <w:trPr>
          <w:trHeight w:val="283"/>
        </w:trPr>
        <w:tc>
          <w:tcPr>
            <w:tcW w:w="1700" w:type="dxa"/>
          </w:tcPr>
          <w:p w14:paraId="5BB8455B" w14:textId="77777777" w:rsidR="002E0E1D" w:rsidRPr="009D2D00" w:rsidRDefault="002E0E1D" w:rsidP="002E0E1D">
            <w:pPr>
              <w:pStyle w:val="GOSTTablenorm"/>
            </w:pPr>
            <w:r w:rsidRPr="009D2D00">
              <w:t>ОКФС</w:t>
            </w:r>
          </w:p>
        </w:tc>
        <w:tc>
          <w:tcPr>
            <w:tcW w:w="1700" w:type="dxa"/>
          </w:tcPr>
          <w:p w14:paraId="4749AD4B" w14:textId="77777777" w:rsidR="002E0E1D" w:rsidRPr="009D2D00" w:rsidRDefault="002E0E1D" w:rsidP="002E0E1D">
            <w:pPr>
              <w:pStyle w:val="GOSTTablenorm"/>
            </w:pPr>
            <w:r w:rsidRPr="009D2D00">
              <w:t>OKFS</w:t>
            </w:r>
          </w:p>
        </w:tc>
        <w:tc>
          <w:tcPr>
            <w:tcW w:w="571" w:type="dxa"/>
          </w:tcPr>
          <w:p w14:paraId="7089EC09" w14:textId="77777777" w:rsidR="002E0E1D" w:rsidRPr="009D2D00" w:rsidRDefault="002E0E1D" w:rsidP="002E0E1D">
            <w:pPr>
              <w:pStyle w:val="GOSTTablenorm"/>
            </w:pPr>
            <w:r w:rsidRPr="009D2D00">
              <w:t>П</w:t>
            </w:r>
          </w:p>
        </w:tc>
        <w:tc>
          <w:tcPr>
            <w:tcW w:w="1133" w:type="dxa"/>
          </w:tcPr>
          <w:p w14:paraId="763114A5" w14:textId="77777777" w:rsidR="002E0E1D" w:rsidRPr="009D2D00" w:rsidRDefault="002E0E1D" w:rsidP="002E0E1D">
            <w:pPr>
              <w:pStyle w:val="GOSTTablenorm"/>
            </w:pPr>
            <w:r w:rsidRPr="009D2D00">
              <w:t>Т(2)</w:t>
            </w:r>
          </w:p>
        </w:tc>
        <w:tc>
          <w:tcPr>
            <w:tcW w:w="571" w:type="dxa"/>
          </w:tcPr>
          <w:p w14:paraId="53F1F60D" w14:textId="77777777" w:rsidR="002E0E1D" w:rsidRPr="009D2D00" w:rsidRDefault="002E0E1D" w:rsidP="002E0E1D">
            <w:pPr>
              <w:pStyle w:val="GOSTTablenorm"/>
            </w:pPr>
            <w:r w:rsidRPr="009D2D00">
              <w:t>О</w:t>
            </w:r>
          </w:p>
        </w:tc>
        <w:tc>
          <w:tcPr>
            <w:tcW w:w="3953" w:type="dxa"/>
          </w:tcPr>
          <w:p w14:paraId="04793129" w14:textId="77777777" w:rsidR="002E0E1D" w:rsidRPr="009D2D00" w:rsidRDefault="002E0E1D" w:rsidP="002E0E1D">
            <w:pPr>
              <w:pStyle w:val="GOSTTablenorm"/>
            </w:pPr>
            <w:r w:rsidRPr="009D2D00">
              <w:t>Ук</w:t>
            </w:r>
            <w:r>
              <w:t>азывается код по ОКФС заказчика</w:t>
            </w:r>
          </w:p>
        </w:tc>
      </w:tr>
      <w:tr w:rsidR="002E0E1D" w:rsidRPr="009D2D00" w14:paraId="16270733" w14:textId="77777777" w:rsidTr="00EF2AE3">
        <w:trPr>
          <w:trHeight w:val="283"/>
        </w:trPr>
        <w:tc>
          <w:tcPr>
            <w:tcW w:w="1700" w:type="dxa"/>
          </w:tcPr>
          <w:p w14:paraId="4707AE51" w14:textId="77777777" w:rsidR="002E0E1D" w:rsidRPr="009D2D00" w:rsidRDefault="002E0E1D" w:rsidP="002E0E1D">
            <w:pPr>
              <w:pStyle w:val="GOSTTablenorm"/>
            </w:pPr>
            <w:r w:rsidRPr="009D2D00">
              <w:t>Наименование бюджета</w:t>
            </w:r>
          </w:p>
        </w:tc>
        <w:tc>
          <w:tcPr>
            <w:tcW w:w="1700" w:type="dxa"/>
          </w:tcPr>
          <w:p w14:paraId="0CB72242" w14:textId="77777777" w:rsidR="002E0E1D" w:rsidRPr="009D2D00" w:rsidRDefault="002E0E1D" w:rsidP="002E0E1D">
            <w:pPr>
              <w:pStyle w:val="GOSTTablenorm"/>
            </w:pPr>
            <w:r w:rsidRPr="009D2D00">
              <w:t>NameBud</w:t>
            </w:r>
          </w:p>
        </w:tc>
        <w:tc>
          <w:tcPr>
            <w:tcW w:w="571" w:type="dxa"/>
          </w:tcPr>
          <w:p w14:paraId="68AA06BB" w14:textId="77777777" w:rsidR="002E0E1D" w:rsidRPr="009D2D00" w:rsidRDefault="002E0E1D" w:rsidP="002E0E1D">
            <w:pPr>
              <w:pStyle w:val="GOSTTablenorm"/>
            </w:pPr>
            <w:r w:rsidRPr="009D2D00">
              <w:t>П</w:t>
            </w:r>
          </w:p>
        </w:tc>
        <w:tc>
          <w:tcPr>
            <w:tcW w:w="1133" w:type="dxa"/>
          </w:tcPr>
          <w:p w14:paraId="5DD11C15" w14:textId="77777777" w:rsidR="002E0E1D" w:rsidRPr="009D2D00" w:rsidRDefault="002E0E1D" w:rsidP="002E0E1D">
            <w:pPr>
              <w:pStyle w:val="GOSTTablenorm"/>
            </w:pPr>
            <w:r w:rsidRPr="009D2D00">
              <w:t>Т(1-2000)</w:t>
            </w:r>
          </w:p>
        </w:tc>
        <w:tc>
          <w:tcPr>
            <w:tcW w:w="571" w:type="dxa"/>
          </w:tcPr>
          <w:p w14:paraId="3A2F3DE7" w14:textId="77777777" w:rsidR="002E0E1D" w:rsidRPr="009D2D00" w:rsidRDefault="002E0E1D" w:rsidP="002E0E1D">
            <w:pPr>
              <w:pStyle w:val="GOSTTablenorm"/>
            </w:pPr>
            <w:r w:rsidRPr="009D2D00">
              <w:t>О</w:t>
            </w:r>
          </w:p>
        </w:tc>
        <w:tc>
          <w:tcPr>
            <w:tcW w:w="3953" w:type="dxa"/>
          </w:tcPr>
          <w:p w14:paraId="41668C74" w14:textId="77777777" w:rsidR="002E0E1D" w:rsidRPr="009D2D00" w:rsidRDefault="002E0E1D" w:rsidP="002E0E1D">
            <w:pPr>
              <w:pStyle w:val="GOSTTablenorm"/>
            </w:pPr>
            <w:r w:rsidRPr="009D2D00">
              <w:t>У</w:t>
            </w:r>
            <w:r>
              <w:t>казывается наименование бюджета</w:t>
            </w:r>
          </w:p>
        </w:tc>
      </w:tr>
      <w:tr w:rsidR="002E0E1D" w:rsidRPr="009D2D00" w14:paraId="44F52297" w14:textId="77777777" w:rsidTr="00EF2AE3">
        <w:trPr>
          <w:trHeight w:val="283"/>
        </w:trPr>
        <w:tc>
          <w:tcPr>
            <w:tcW w:w="1700" w:type="dxa"/>
          </w:tcPr>
          <w:p w14:paraId="724BE6D2" w14:textId="77777777" w:rsidR="002E0E1D" w:rsidRPr="009D2D00" w:rsidRDefault="002E0E1D" w:rsidP="002E0E1D">
            <w:pPr>
              <w:pStyle w:val="GOSTTablenorm"/>
            </w:pPr>
            <w:r w:rsidRPr="009D2D00">
              <w:t>ОКТМО бюджета</w:t>
            </w:r>
          </w:p>
        </w:tc>
        <w:tc>
          <w:tcPr>
            <w:tcW w:w="1700" w:type="dxa"/>
          </w:tcPr>
          <w:p w14:paraId="64E30870" w14:textId="77777777" w:rsidR="002E0E1D" w:rsidRPr="009D2D00" w:rsidRDefault="002E0E1D" w:rsidP="002E0E1D">
            <w:pPr>
              <w:pStyle w:val="GOSTTablenorm"/>
              <w:rPr>
                <w:lang w:val="en-US"/>
              </w:rPr>
            </w:pPr>
            <w:r w:rsidRPr="009D2D00">
              <w:t>OKTMO</w:t>
            </w:r>
            <w:r w:rsidRPr="009D2D00">
              <w:rPr>
                <w:lang w:val="en-US"/>
              </w:rPr>
              <w:t>Bud</w:t>
            </w:r>
          </w:p>
        </w:tc>
        <w:tc>
          <w:tcPr>
            <w:tcW w:w="571" w:type="dxa"/>
          </w:tcPr>
          <w:p w14:paraId="74C79E28" w14:textId="77777777" w:rsidR="002E0E1D" w:rsidRPr="009D2D00" w:rsidRDefault="002E0E1D" w:rsidP="002E0E1D">
            <w:pPr>
              <w:pStyle w:val="GOSTTablenorm"/>
            </w:pPr>
            <w:r w:rsidRPr="009D2D00">
              <w:t>П</w:t>
            </w:r>
          </w:p>
        </w:tc>
        <w:tc>
          <w:tcPr>
            <w:tcW w:w="1133" w:type="dxa"/>
          </w:tcPr>
          <w:p w14:paraId="290B4CD5" w14:textId="77777777" w:rsidR="002E0E1D" w:rsidRPr="009D2D00" w:rsidRDefault="002E0E1D" w:rsidP="002E0E1D">
            <w:pPr>
              <w:pStyle w:val="GOSTTablenorm"/>
            </w:pPr>
            <w:r w:rsidRPr="009D2D00">
              <w:t>Т(</w:t>
            </w:r>
            <w:r>
              <w:t>1-</w:t>
            </w:r>
            <w:r w:rsidRPr="009D2D00">
              <w:t>11)</w:t>
            </w:r>
          </w:p>
        </w:tc>
        <w:tc>
          <w:tcPr>
            <w:tcW w:w="571" w:type="dxa"/>
          </w:tcPr>
          <w:p w14:paraId="318F5B3A" w14:textId="77777777" w:rsidR="002E0E1D" w:rsidRPr="009D2D00" w:rsidRDefault="002E0E1D" w:rsidP="002E0E1D">
            <w:pPr>
              <w:pStyle w:val="GOSTTablenorm"/>
            </w:pPr>
            <w:r w:rsidRPr="009D2D00">
              <w:t>О</w:t>
            </w:r>
          </w:p>
        </w:tc>
        <w:tc>
          <w:tcPr>
            <w:tcW w:w="3953" w:type="dxa"/>
          </w:tcPr>
          <w:p w14:paraId="63AB7D5C" w14:textId="77777777" w:rsidR="002E0E1D" w:rsidRPr="009D2D00" w:rsidRDefault="002E0E1D" w:rsidP="002E0E1D">
            <w:pPr>
              <w:pStyle w:val="GOSTTablenorm"/>
            </w:pPr>
            <w:r w:rsidRPr="009D2D00">
              <w:t>Указывается код ОКТМО соответствующий бюджету</w:t>
            </w:r>
          </w:p>
        </w:tc>
      </w:tr>
      <w:tr w:rsidR="002E0E1D" w:rsidRPr="009D2D00" w14:paraId="5D9226FC" w14:textId="77777777" w:rsidTr="00EF2AE3">
        <w:trPr>
          <w:trHeight w:val="283"/>
        </w:trPr>
        <w:tc>
          <w:tcPr>
            <w:tcW w:w="1700" w:type="dxa"/>
          </w:tcPr>
          <w:p w14:paraId="0B3CD17A" w14:textId="77777777" w:rsidR="002E0E1D" w:rsidRPr="009D2D00" w:rsidRDefault="002E0E1D" w:rsidP="002E0E1D">
            <w:pPr>
              <w:pStyle w:val="GOSTTablenorm"/>
            </w:pPr>
            <w:r w:rsidRPr="009D2D00">
              <w:t>Место нахождения (адрес) заказчика</w:t>
            </w:r>
          </w:p>
        </w:tc>
        <w:tc>
          <w:tcPr>
            <w:tcW w:w="1700" w:type="dxa"/>
          </w:tcPr>
          <w:p w14:paraId="373CE7E6" w14:textId="77777777" w:rsidR="002E0E1D" w:rsidRPr="009D2D00" w:rsidRDefault="002E0E1D" w:rsidP="002E0E1D">
            <w:pPr>
              <w:pStyle w:val="GOSTTablenorm"/>
            </w:pPr>
            <w:r w:rsidRPr="009D2D00">
              <w:t>Adress</w:t>
            </w:r>
          </w:p>
        </w:tc>
        <w:tc>
          <w:tcPr>
            <w:tcW w:w="571" w:type="dxa"/>
          </w:tcPr>
          <w:p w14:paraId="36992D56" w14:textId="77777777" w:rsidR="002E0E1D" w:rsidRPr="009D2D00" w:rsidRDefault="002E0E1D" w:rsidP="002E0E1D">
            <w:pPr>
              <w:pStyle w:val="GOSTTablenorm"/>
            </w:pPr>
            <w:r w:rsidRPr="009D2D00">
              <w:t>П</w:t>
            </w:r>
          </w:p>
        </w:tc>
        <w:tc>
          <w:tcPr>
            <w:tcW w:w="1133" w:type="dxa"/>
          </w:tcPr>
          <w:p w14:paraId="2D6CFA5C" w14:textId="77777777" w:rsidR="002E0E1D" w:rsidRPr="009D2D00" w:rsidRDefault="002E0E1D" w:rsidP="002E0E1D">
            <w:pPr>
              <w:pStyle w:val="GOSTTablenorm"/>
            </w:pPr>
            <w:r w:rsidRPr="009D2D00">
              <w:t>Т(1-2000)</w:t>
            </w:r>
          </w:p>
        </w:tc>
        <w:tc>
          <w:tcPr>
            <w:tcW w:w="571" w:type="dxa"/>
          </w:tcPr>
          <w:p w14:paraId="48CD6527" w14:textId="77777777" w:rsidR="002E0E1D" w:rsidRPr="009D2D00" w:rsidRDefault="002E0E1D" w:rsidP="002E0E1D">
            <w:pPr>
              <w:pStyle w:val="GOSTTablenorm"/>
            </w:pPr>
            <w:r w:rsidRPr="009D2D00">
              <w:t>О</w:t>
            </w:r>
          </w:p>
        </w:tc>
        <w:tc>
          <w:tcPr>
            <w:tcW w:w="3953" w:type="dxa"/>
          </w:tcPr>
          <w:p w14:paraId="0AAE58D2" w14:textId="77777777" w:rsidR="002E0E1D" w:rsidRPr="009D2D00" w:rsidRDefault="002E0E1D" w:rsidP="002E0E1D">
            <w:pPr>
              <w:pStyle w:val="GOSTTablenorm"/>
            </w:pPr>
            <w:r w:rsidRPr="009D2D00">
              <w:t>Указывается мес</w:t>
            </w:r>
            <w:r>
              <w:t>то нахождения (адрес), телефон, адрес электронной почты заказчика</w:t>
            </w:r>
          </w:p>
        </w:tc>
      </w:tr>
      <w:tr w:rsidR="002E0E1D" w:rsidRPr="009D2D00" w14:paraId="0198A42E" w14:textId="77777777" w:rsidTr="00EF2AE3">
        <w:trPr>
          <w:trHeight w:val="283"/>
        </w:trPr>
        <w:tc>
          <w:tcPr>
            <w:tcW w:w="1700" w:type="dxa"/>
          </w:tcPr>
          <w:p w14:paraId="4AEE8250" w14:textId="77777777" w:rsidR="002E0E1D" w:rsidRPr="009D2D00" w:rsidRDefault="002E0E1D" w:rsidP="002E0E1D">
            <w:pPr>
              <w:pStyle w:val="GOSTTablenorm"/>
            </w:pPr>
            <w:r w:rsidRPr="009D2D00">
              <w:t>ОКТМО</w:t>
            </w:r>
          </w:p>
        </w:tc>
        <w:tc>
          <w:tcPr>
            <w:tcW w:w="1700" w:type="dxa"/>
          </w:tcPr>
          <w:p w14:paraId="3B0A1F10" w14:textId="77777777" w:rsidR="002E0E1D" w:rsidRPr="009D2D00" w:rsidRDefault="002E0E1D" w:rsidP="002E0E1D">
            <w:pPr>
              <w:pStyle w:val="GOSTTablenorm"/>
            </w:pPr>
            <w:r w:rsidRPr="009D2D00">
              <w:t>OKTMO</w:t>
            </w:r>
          </w:p>
        </w:tc>
        <w:tc>
          <w:tcPr>
            <w:tcW w:w="571" w:type="dxa"/>
          </w:tcPr>
          <w:p w14:paraId="0E568727" w14:textId="77777777" w:rsidR="002E0E1D" w:rsidRPr="009D2D00" w:rsidRDefault="002E0E1D" w:rsidP="002E0E1D">
            <w:pPr>
              <w:pStyle w:val="GOSTTablenorm"/>
            </w:pPr>
            <w:r w:rsidRPr="009D2D00">
              <w:t>П</w:t>
            </w:r>
          </w:p>
        </w:tc>
        <w:tc>
          <w:tcPr>
            <w:tcW w:w="1133" w:type="dxa"/>
          </w:tcPr>
          <w:p w14:paraId="288B8A95" w14:textId="77777777" w:rsidR="002E0E1D" w:rsidRPr="009D2D00" w:rsidRDefault="002E0E1D" w:rsidP="002E0E1D">
            <w:pPr>
              <w:pStyle w:val="GOSTTablenorm"/>
            </w:pPr>
            <w:r w:rsidRPr="009D2D00">
              <w:t>Т(</w:t>
            </w:r>
            <w:r>
              <w:t>1-</w:t>
            </w:r>
            <w:r w:rsidRPr="009D2D00">
              <w:t>11)</w:t>
            </w:r>
          </w:p>
        </w:tc>
        <w:tc>
          <w:tcPr>
            <w:tcW w:w="571" w:type="dxa"/>
          </w:tcPr>
          <w:p w14:paraId="0C503E70" w14:textId="77777777" w:rsidR="002E0E1D" w:rsidRPr="009D2D00" w:rsidRDefault="002E0E1D" w:rsidP="002E0E1D">
            <w:pPr>
              <w:pStyle w:val="GOSTTablenorm"/>
            </w:pPr>
            <w:r w:rsidRPr="009D2D00">
              <w:t>О</w:t>
            </w:r>
          </w:p>
        </w:tc>
        <w:tc>
          <w:tcPr>
            <w:tcW w:w="3953" w:type="dxa"/>
          </w:tcPr>
          <w:p w14:paraId="7D780D06" w14:textId="77777777" w:rsidR="002E0E1D" w:rsidRPr="009D2D00" w:rsidRDefault="002E0E1D" w:rsidP="002E0E1D">
            <w:pPr>
              <w:pStyle w:val="GOSTTablenorm"/>
            </w:pPr>
            <w:r w:rsidRPr="009D2D00">
              <w:t>Указывается код по ОКТМО заказчика</w:t>
            </w:r>
          </w:p>
        </w:tc>
      </w:tr>
      <w:tr w:rsidR="002E0E1D" w:rsidRPr="009D2D00" w14:paraId="2CC53123" w14:textId="77777777" w:rsidTr="00EF2AE3">
        <w:trPr>
          <w:trHeight w:val="283"/>
        </w:trPr>
        <w:tc>
          <w:tcPr>
            <w:tcW w:w="1700" w:type="dxa"/>
          </w:tcPr>
          <w:p w14:paraId="57DF3C12" w14:textId="77777777" w:rsidR="002E0E1D" w:rsidRPr="00050272" w:rsidRDefault="002E0E1D" w:rsidP="002E0E1D">
            <w:pPr>
              <w:pStyle w:val="GOSTTablenorm"/>
            </w:pPr>
            <w:r w:rsidRPr="00C6641E">
              <w:t>Код валюты по ОКВ</w:t>
            </w:r>
          </w:p>
        </w:tc>
        <w:tc>
          <w:tcPr>
            <w:tcW w:w="1700" w:type="dxa"/>
          </w:tcPr>
          <w:p w14:paraId="2A1063B2" w14:textId="77777777" w:rsidR="002E0E1D" w:rsidRPr="00C65127" w:rsidRDefault="002E0E1D" w:rsidP="002E0E1D">
            <w:pPr>
              <w:pStyle w:val="GOSTTablenorm"/>
            </w:pPr>
            <w:r w:rsidRPr="00781973">
              <w:t>CodeOKV</w:t>
            </w:r>
          </w:p>
        </w:tc>
        <w:tc>
          <w:tcPr>
            <w:tcW w:w="571" w:type="dxa"/>
          </w:tcPr>
          <w:p w14:paraId="51CD6AD8" w14:textId="77777777" w:rsidR="002E0E1D" w:rsidRDefault="002E0E1D" w:rsidP="002E0E1D">
            <w:pPr>
              <w:pStyle w:val="GOSTTablenorm"/>
            </w:pPr>
            <w:r>
              <w:t>П</w:t>
            </w:r>
          </w:p>
        </w:tc>
        <w:tc>
          <w:tcPr>
            <w:tcW w:w="1133" w:type="dxa"/>
          </w:tcPr>
          <w:p w14:paraId="5088CFBD" w14:textId="77777777" w:rsidR="002E0E1D" w:rsidRPr="009D2D00" w:rsidRDefault="002E0E1D" w:rsidP="002E0E1D">
            <w:pPr>
              <w:pStyle w:val="GOSTTablenorm"/>
            </w:pPr>
            <w:r>
              <w:t>Т(3)</w:t>
            </w:r>
          </w:p>
        </w:tc>
        <w:tc>
          <w:tcPr>
            <w:tcW w:w="571" w:type="dxa"/>
          </w:tcPr>
          <w:p w14:paraId="2B965563" w14:textId="77777777" w:rsidR="002E0E1D" w:rsidRDefault="002E0E1D" w:rsidP="002E0E1D">
            <w:pPr>
              <w:pStyle w:val="GOSTTablenorm"/>
            </w:pPr>
            <w:r w:rsidRPr="004275E1">
              <w:t>О</w:t>
            </w:r>
          </w:p>
        </w:tc>
        <w:tc>
          <w:tcPr>
            <w:tcW w:w="3953" w:type="dxa"/>
          </w:tcPr>
          <w:p w14:paraId="415674A2" w14:textId="77777777" w:rsidR="002E0E1D" w:rsidRDefault="002E0E1D" w:rsidP="002E0E1D">
            <w:pPr>
              <w:pStyle w:val="GOSTTablenorm"/>
            </w:pPr>
            <w:r w:rsidRPr="003024A7">
              <w:t>Указывается цифровой код валюты по ОКВ</w:t>
            </w:r>
          </w:p>
        </w:tc>
      </w:tr>
      <w:tr w:rsidR="002E0E1D" w:rsidRPr="009D2D00" w14:paraId="10D62200" w14:textId="77777777" w:rsidTr="00EF2AE3">
        <w:trPr>
          <w:trHeight w:val="283"/>
        </w:trPr>
        <w:tc>
          <w:tcPr>
            <w:tcW w:w="1700" w:type="dxa"/>
          </w:tcPr>
          <w:p w14:paraId="23FACDBB" w14:textId="77777777" w:rsidR="002E0E1D" w:rsidRPr="00C6641E" w:rsidRDefault="002E0E1D" w:rsidP="002E0E1D">
            <w:pPr>
              <w:pStyle w:val="GOSTTablenorm"/>
            </w:pPr>
            <w:r w:rsidRPr="006E03B5">
              <w:t>Глава по БК</w:t>
            </w:r>
          </w:p>
        </w:tc>
        <w:tc>
          <w:tcPr>
            <w:tcW w:w="1700" w:type="dxa"/>
          </w:tcPr>
          <w:p w14:paraId="67B33362" w14:textId="77777777" w:rsidR="002E0E1D" w:rsidRPr="00A52321" w:rsidRDefault="002E0E1D" w:rsidP="002E0E1D">
            <w:pPr>
              <w:pStyle w:val="GOSTTablenorm"/>
            </w:pPr>
            <w:r w:rsidRPr="009D2D00">
              <w:rPr>
                <w:szCs w:val="22"/>
                <w:lang w:val="en-US"/>
              </w:rPr>
              <w:t>GlvBKCd</w:t>
            </w:r>
          </w:p>
        </w:tc>
        <w:tc>
          <w:tcPr>
            <w:tcW w:w="571" w:type="dxa"/>
          </w:tcPr>
          <w:p w14:paraId="60C71622" w14:textId="77777777" w:rsidR="002E0E1D" w:rsidRDefault="002E0E1D" w:rsidP="002E0E1D">
            <w:pPr>
              <w:pStyle w:val="GOSTTablenorm"/>
            </w:pPr>
            <w:r w:rsidRPr="009D2D00">
              <w:t>П</w:t>
            </w:r>
          </w:p>
        </w:tc>
        <w:tc>
          <w:tcPr>
            <w:tcW w:w="1133" w:type="dxa"/>
          </w:tcPr>
          <w:p w14:paraId="50A906E5" w14:textId="77777777" w:rsidR="002E0E1D" w:rsidRPr="009D2D00" w:rsidRDefault="002E0E1D" w:rsidP="002E0E1D">
            <w:pPr>
              <w:pStyle w:val="GOSTTablenorm"/>
            </w:pPr>
            <w:r>
              <w:t>Т(3)</w:t>
            </w:r>
          </w:p>
        </w:tc>
        <w:tc>
          <w:tcPr>
            <w:tcW w:w="571" w:type="dxa"/>
          </w:tcPr>
          <w:p w14:paraId="7F7A5249" w14:textId="77777777" w:rsidR="002E0E1D" w:rsidRDefault="002E0E1D" w:rsidP="002E0E1D">
            <w:pPr>
              <w:pStyle w:val="GOSTTablenorm"/>
            </w:pPr>
            <w:r w:rsidRPr="004275E1">
              <w:t>О</w:t>
            </w:r>
          </w:p>
        </w:tc>
        <w:tc>
          <w:tcPr>
            <w:tcW w:w="3953" w:type="dxa"/>
          </w:tcPr>
          <w:p w14:paraId="12B3A538" w14:textId="77777777" w:rsidR="002E0E1D" w:rsidRDefault="002E0E1D" w:rsidP="002E0E1D">
            <w:pPr>
              <w:pStyle w:val="GOSTTablenorm"/>
            </w:pPr>
            <w:r w:rsidRPr="006E03B5">
              <w:t>Указывается код главы по бюджетной классификации Российской Федерации</w:t>
            </w:r>
          </w:p>
        </w:tc>
      </w:tr>
      <w:tr w:rsidR="002E0E1D" w:rsidRPr="009D2D00" w14:paraId="4F9B2952" w14:textId="77777777" w:rsidTr="00EF2AE3">
        <w:trPr>
          <w:trHeight w:val="283"/>
        </w:trPr>
        <w:tc>
          <w:tcPr>
            <w:tcW w:w="1700" w:type="dxa"/>
          </w:tcPr>
          <w:p w14:paraId="01E30683" w14:textId="77777777" w:rsidR="002E0E1D" w:rsidRPr="00C6641E" w:rsidRDefault="002E0E1D" w:rsidP="002E0E1D">
            <w:pPr>
              <w:pStyle w:val="GOSTTablenorm"/>
            </w:pPr>
            <w:r w:rsidRPr="007E01DB">
              <w:lastRenderedPageBreak/>
              <w:t xml:space="preserve">Наименование </w:t>
            </w:r>
            <w:r>
              <w:t>ГРБС</w:t>
            </w:r>
          </w:p>
        </w:tc>
        <w:tc>
          <w:tcPr>
            <w:tcW w:w="1700" w:type="dxa"/>
          </w:tcPr>
          <w:p w14:paraId="7D7D7F04" w14:textId="77777777" w:rsidR="002E0E1D" w:rsidRPr="006A52CE" w:rsidRDefault="002E0E1D" w:rsidP="002E0E1D">
            <w:pPr>
              <w:pStyle w:val="GOSTTablenorm"/>
            </w:pPr>
            <w:r w:rsidRPr="009D2D00">
              <w:rPr>
                <w:szCs w:val="22"/>
                <w:lang w:val="en-US"/>
              </w:rPr>
              <w:t>GlvBK</w:t>
            </w:r>
            <w:r>
              <w:rPr>
                <w:szCs w:val="22"/>
                <w:lang w:val="en-US"/>
              </w:rPr>
              <w:t>Nm</w:t>
            </w:r>
          </w:p>
        </w:tc>
        <w:tc>
          <w:tcPr>
            <w:tcW w:w="571" w:type="dxa"/>
          </w:tcPr>
          <w:p w14:paraId="527EBBD5" w14:textId="77777777" w:rsidR="002E0E1D" w:rsidRPr="009D2D00" w:rsidRDefault="002E0E1D" w:rsidP="002E0E1D">
            <w:pPr>
              <w:pStyle w:val="GOSTTablenorm"/>
            </w:pPr>
            <w:r>
              <w:t>П</w:t>
            </w:r>
          </w:p>
        </w:tc>
        <w:tc>
          <w:tcPr>
            <w:tcW w:w="1133" w:type="dxa"/>
          </w:tcPr>
          <w:p w14:paraId="62F8C334" w14:textId="77777777" w:rsidR="002E0E1D" w:rsidRPr="00A31C8D" w:rsidRDefault="002E0E1D" w:rsidP="002E0E1D">
            <w:pPr>
              <w:pStyle w:val="GOSTTablenorm"/>
              <w:rPr>
                <w:szCs w:val="22"/>
                <w:lang w:val="en-US"/>
              </w:rPr>
            </w:pPr>
            <w:r>
              <w:rPr>
                <w:szCs w:val="22"/>
              </w:rPr>
              <w:t>Т(1-2000)</w:t>
            </w:r>
          </w:p>
        </w:tc>
        <w:tc>
          <w:tcPr>
            <w:tcW w:w="571" w:type="dxa"/>
          </w:tcPr>
          <w:p w14:paraId="7C658026" w14:textId="77777777" w:rsidR="002E0E1D" w:rsidRPr="004275E1" w:rsidRDefault="002E0E1D" w:rsidP="002E0E1D">
            <w:pPr>
              <w:pStyle w:val="GOSTTablenorm"/>
            </w:pPr>
            <w:r>
              <w:t>О</w:t>
            </w:r>
          </w:p>
        </w:tc>
        <w:tc>
          <w:tcPr>
            <w:tcW w:w="3953" w:type="dxa"/>
          </w:tcPr>
          <w:p w14:paraId="5CF21EF9" w14:textId="77777777" w:rsidR="002E0E1D" w:rsidRPr="003024A7" w:rsidRDefault="002E0E1D" w:rsidP="002E0E1D">
            <w:pPr>
              <w:pStyle w:val="GOSTTablenorm"/>
            </w:pPr>
            <w:r w:rsidRPr="006E03B5">
              <w:t>Указывается полное наименование соответствующего ГРБС</w:t>
            </w:r>
          </w:p>
        </w:tc>
      </w:tr>
      <w:tr w:rsidR="002E0E1D" w:rsidRPr="009D2D00" w14:paraId="7BEFF4B1" w14:textId="77777777" w:rsidTr="00EF2AE3">
        <w:trPr>
          <w:trHeight w:val="283"/>
        </w:trPr>
        <w:tc>
          <w:tcPr>
            <w:tcW w:w="1700" w:type="dxa"/>
          </w:tcPr>
          <w:p w14:paraId="0E8D1A17" w14:textId="77777777" w:rsidR="002E0E1D" w:rsidRPr="007E01DB" w:rsidRDefault="002E0E1D" w:rsidP="002E0E1D">
            <w:pPr>
              <w:pStyle w:val="GOSTTablenorm"/>
            </w:pPr>
            <w:r w:rsidRPr="008C3D50">
              <w:t>Всего объем средств, предусмотренный НПА</w:t>
            </w:r>
          </w:p>
        </w:tc>
        <w:tc>
          <w:tcPr>
            <w:tcW w:w="1700" w:type="dxa"/>
          </w:tcPr>
          <w:p w14:paraId="562E9C07" w14:textId="77777777" w:rsidR="002E0E1D" w:rsidRPr="008C3D50" w:rsidRDefault="002E0E1D" w:rsidP="002E0E1D">
            <w:pPr>
              <w:pStyle w:val="GOSTTablenorm"/>
              <w:rPr>
                <w:szCs w:val="22"/>
              </w:rPr>
            </w:pPr>
            <w:r>
              <w:rPr>
                <w:lang w:val="en-US"/>
              </w:rPr>
              <w:t>TTL</w:t>
            </w:r>
            <w:r>
              <w:t>_</w:t>
            </w:r>
            <w:r w:rsidRPr="00450BD0">
              <w:t>NPA</w:t>
            </w:r>
            <w:r w:rsidRPr="006A52CE">
              <w:t>Amnt</w:t>
            </w:r>
            <w:r>
              <w:rPr>
                <w:lang w:val="en-US"/>
              </w:rPr>
              <w:t>Ttl</w:t>
            </w:r>
          </w:p>
        </w:tc>
        <w:tc>
          <w:tcPr>
            <w:tcW w:w="571" w:type="dxa"/>
          </w:tcPr>
          <w:p w14:paraId="552490CF" w14:textId="77777777" w:rsidR="002E0E1D" w:rsidRDefault="002E0E1D" w:rsidP="002E0E1D">
            <w:pPr>
              <w:pStyle w:val="GOSTTablenorm"/>
            </w:pPr>
            <w:r w:rsidRPr="006D51C1">
              <w:t>П</w:t>
            </w:r>
          </w:p>
        </w:tc>
        <w:tc>
          <w:tcPr>
            <w:tcW w:w="1133" w:type="dxa"/>
          </w:tcPr>
          <w:p w14:paraId="76D42DFC" w14:textId="77777777" w:rsidR="002E0E1D" w:rsidRDefault="002E0E1D" w:rsidP="002E0E1D">
            <w:pPr>
              <w:pStyle w:val="GOSTTablenorm"/>
              <w:rPr>
                <w:szCs w:val="22"/>
              </w:rPr>
            </w:pPr>
            <w:r w:rsidRPr="007F2577">
              <w:rPr>
                <w:szCs w:val="22"/>
                <w:lang w:val="en-US"/>
              </w:rPr>
              <w:t>N(20</w:t>
            </w:r>
            <w:r w:rsidRPr="007F2577">
              <w:rPr>
                <w:szCs w:val="22"/>
              </w:rPr>
              <w:t>.2</w:t>
            </w:r>
            <w:r w:rsidRPr="007F2577">
              <w:rPr>
                <w:szCs w:val="22"/>
                <w:lang w:val="en-US"/>
              </w:rPr>
              <w:t>)</w:t>
            </w:r>
          </w:p>
        </w:tc>
        <w:tc>
          <w:tcPr>
            <w:tcW w:w="571" w:type="dxa"/>
          </w:tcPr>
          <w:p w14:paraId="44F5261E" w14:textId="77777777" w:rsidR="002E0E1D" w:rsidRDefault="002E0E1D" w:rsidP="002E0E1D">
            <w:pPr>
              <w:pStyle w:val="GOSTTablenorm"/>
            </w:pPr>
            <w:r w:rsidRPr="00074125">
              <w:t>О</w:t>
            </w:r>
          </w:p>
        </w:tc>
        <w:tc>
          <w:tcPr>
            <w:tcW w:w="3953" w:type="dxa"/>
          </w:tcPr>
          <w:p w14:paraId="0BC41342" w14:textId="77777777" w:rsidR="002E0E1D" w:rsidRDefault="002E0E1D" w:rsidP="002E0E1D">
            <w:pPr>
              <w:pStyle w:val="GOSTTablenorm"/>
            </w:pPr>
            <w:r w:rsidRPr="008C3D50">
              <w:t xml:space="preserve">Указывается </w:t>
            </w:r>
            <w:r w:rsidRPr="0052489E">
              <w:t>объем средств, предусмотренный нормативным правовым актом</w:t>
            </w:r>
            <w:r>
              <w:t xml:space="preserve">, </w:t>
            </w:r>
            <w:r w:rsidRPr="008C3D50">
              <w:t>всего</w:t>
            </w:r>
            <w:r w:rsidRPr="00636EBF">
              <w:t>.</w:t>
            </w:r>
          </w:p>
          <w:p w14:paraId="7C2393F4" w14:textId="77777777" w:rsidR="002E0E1D" w:rsidRPr="006E03B5" w:rsidRDefault="002E0E1D" w:rsidP="002E0E1D">
            <w:pPr>
              <w:pStyle w:val="GOSTTablenorm"/>
            </w:pPr>
            <w:r w:rsidRPr="009D2D00">
              <w:rPr>
                <w:szCs w:val="22"/>
              </w:rPr>
              <w:t>При отсутс</w:t>
            </w:r>
            <w:r>
              <w:rPr>
                <w:szCs w:val="22"/>
              </w:rPr>
              <w:t>твии значения указывается «0.00»</w:t>
            </w:r>
          </w:p>
        </w:tc>
      </w:tr>
      <w:tr w:rsidR="002E0E1D" w:rsidRPr="009D2D00" w14:paraId="72129CD6" w14:textId="77777777" w:rsidTr="00EF2AE3">
        <w:trPr>
          <w:trHeight w:val="283"/>
        </w:trPr>
        <w:tc>
          <w:tcPr>
            <w:tcW w:w="1700" w:type="dxa"/>
          </w:tcPr>
          <w:p w14:paraId="3F8B30A6" w14:textId="77777777" w:rsidR="002E0E1D" w:rsidRPr="008C3D50" w:rsidRDefault="002E0E1D" w:rsidP="002E0E1D">
            <w:pPr>
              <w:pStyle w:val="GOSTTablenorm"/>
            </w:pPr>
            <w:r w:rsidRPr="008C3D50">
              <w:t>Всего объем средств, предусмотренный НПА на очередной (текущий) финансовый год</w:t>
            </w:r>
          </w:p>
        </w:tc>
        <w:tc>
          <w:tcPr>
            <w:tcW w:w="1700" w:type="dxa"/>
          </w:tcPr>
          <w:p w14:paraId="59D61E01" w14:textId="77777777" w:rsidR="002E0E1D" w:rsidRPr="008C3D50" w:rsidRDefault="002E0E1D" w:rsidP="002E0E1D">
            <w:pPr>
              <w:pStyle w:val="GOSTTablenorm"/>
              <w:rPr>
                <w:szCs w:val="22"/>
              </w:rPr>
            </w:pPr>
            <w:r>
              <w:rPr>
                <w:lang w:val="en-US"/>
              </w:rPr>
              <w:t>TTL</w:t>
            </w:r>
            <w:r>
              <w:t>_</w:t>
            </w:r>
            <w:r w:rsidRPr="00450BD0">
              <w:t>NPA</w:t>
            </w:r>
            <w:r w:rsidRPr="006A52CE">
              <w:t>Amnt</w:t>
            </w:r>
            <w:r>
              <w:rPr>
                <w:lang w:val="en-US"/>
              </w:rPr>
              <w:t>C</w:t>
            </w:r>
            <w:r w:rsidRPr="00042743">
              <w:t>urr</w:t>
            </w:r>
            <w:r>
              <w:rPr>
                <w:lang w:val="en-US"/>
              </w:rPr>
              <w:t>Yr</w:t>
            </w:r>
          </w:p>
        </w:tc>
        <w:tc>
          <w:tcPr>
            <w:tcW w:w="571" w:type="dxa"/>
          </w:tcPr>
          <w:p w14:paraId="0649F411" w14:textId="77777777" w:rsidR="002E0E1D" w:rsidRDefault="002E0E1D" w:rsidP="002E0E1D">
            <w:pPr>
              <w:pStyle w:val="GOSTTablenorm"/>
            </w:pPr>
            <w:r w:rsidRPr="006D51C1">
              <w:t>П</w:t>
            </w:r>
          </w:p>
        </w:tc>
        <w:tc>
          <w:tcPr>
            <w:tcW w:w="1133" w:type="dxa"/>
          </w:tcPr>
          <w:p w14:paraId="5E24F2A3" w14:textId="77777777" w:rsidR="002E0E1D" w:rsidRDefault="002E0E1D" w:rsidP="002E0E1D">
            <w:pPr>
              <w:pStyle w:val="GOSTTablenorm"/>
              <w:rPr>
                <w:szCs w:val="22"/>
              </w:rPr>
            </w:pPr>
            <w:r w:rsidRPr="007F2577">
              <w:rPr>
                <w:szCs w:val="22"/>
                <w:lang w:val="en-US"/>
              </w:rPr>
              <w:t>N(20</w:t>
            </w:r>
            <w:r w:rsidRPr="007F2577">
              <w:rPr>
                <w:szCs w:val="22"/>
              </w:rPr>
              <w:t>.2</w:t>
            </w:r>
            <w:r w:rsidRPr="007F2577">
              <w:rPr>
                <w:szCs w:val="22"/>
                <w:lang w:val="en-US"/>
              </w:rPr>
              <w:t>)</w:t>
            </w:r>
          </w:p>
        </w:tc>
        <w:tc>
          <w:tcPr>
            <w:tcW w:w="571" w:type="dxa"/>
          </w:tcPr>
          <w:p w14:paraId="4A7D3579" w14:textId="77777777" w:rsidR="002E0E1D" w:rsidRDefault="002E0E1D" w:rsidP="002E0E1D">
            <w:pPr>
              <w:pStyle w:val="GOSTTablenorm"/>
            </w:pPr>
            <w:r w:rsidRPr="00074125">
              <w:t>О</w:t>
            </w:r>
          </w:p>
        </w:tc>
        <w:tc>
          <w:tcPr>
            <w:tcW w:w="3953" w:type="dxa"/>
          </w:tcPr>
          <w:p w14:paraId="40795021" w14:textId="77777777" w:rsidR="002E0E1D" w:rsidRDefault="002E0E1D" w:rsidP="002E0E1D">
            <w:pPr>
              <w:pStyle w:val="GOSTTablenorm"/>
            </w:pPr>
            <w:r w:rsidRPr="008C3D50">
              <w:t>Указывается объем средств, предусмотренный нормативным правовым актом на очередной (текущий) финансовый год</w:t>
            </w:r>
            <w:r>
              <w:t>,</w:t>
            </w:r>
            <w:r w:rsidRPr="008C3D50">
              <w:t xml:space="preserve"> всего</w:t>
            </w:r>
            <w:r w:rsidRPr="00636EBF">
              <w:t>.</w:t>
            </w:r>
          </w:p>
          <w:p w14:paraId="0903CE6B" w14:textId="77777777" w:rsidR="002E0E1D" w:rsidRPr="008C3D50" w:rsidRDefault="002E0E1D" w:rsidP="002E0E1D">
            <w:pPr>
              <w:pStyle w:val="GOSTTablenorm"/>
            </w:pPr>
            <w:r w:rsidRPr="009D2D00">
              <w:rPr>
                <w:szCs w:val="22"/>
              </w:rPr>
              <w:t>При отсутс</w:t>
            </w:r>
            <w:r>
              <w:rPr>
                <w:szCs w:val="22"/>
              </w:rPr>
              <w:t>твии значения указывается «0.00»</w:t>
            </w:r>
          </w:p>
        </w:tc>
      </w:tr>
      <w:tr w:rsidR="002E0E1D" w:rsidRPr="009D2D00" w14:paraId="481C1267" w14:textId="77777777" w:rsidTr="00EF2AE3">
        <w:trPr>
          <w:trHeight w:val="283"/>
        </w:trPr>
        <w:tc>
          <w:tcPr>
            <w:tcW w:w="1700" w:type="dxa"/>
          </w:tcPr>
          <w:p w14:paraId="4F179FE6" w14:textId="77777777" w:rsidR="002E0E1D" w:rsidRPr="008C3D50" w:rsidRDefault="002E0E1D" w:rsidP="002E0E1D">
            <w:pPr>
              <w:pStyle w:val="GOSTTablenorm"/>
            </w:pPr>
            <w:r w:rsidRPr="008C3D50">
              <w:t>Всего объем средств, предусмотренный НПА на первый год планового периода</w:t>
            </w:r>
          </w:p>
        </w:tc>
        <w:tc>
          <w:tcPr>
            <w:tcW w:w="1700" w:type="dxa"/>
          </w:tcPr>
          <w:p w14:paraId="585E1298" w14:textId="77777777" w:rsidR="002E0E1D" w:rsidRPr="008C3D50" w:rsidRDefault="002E0E1D" w:rsidP="002E0E1D">
            <w:pPr>
              <w:pStyle w:val="GOSTTablenorm"/>
              <w:rPr>
                <w:szCs w:val="22"/>
              </w:rPr>
            </w:pPr>
            <w:r>
              <w:rPr>
                <w:lang w:val="en-US"/>
              </w:rPr>
              <w:t>TTL</w:t>
            </w:r>
            <w:r>
              <w:t>_</w:t>
            </w:r>
            <w:r w:rsidRPr="00450BD0">
              <w:t>NPA</w:t>
            </w:r>
            <w:r w:rsidRPr="006A52CE">
              <w:t>Amnt</w:t>
            </w:r>
            <w:r w:rsidRPr="009D2D00">
              <w:t>FrstYr</w:t>
            </w:r>
          </w:p>
        </w:tc>
        <w:tc>
          <w:tcPr>
            <w:tcW w:w="571" w:type="dxa"/>
          </w:tcPr>
          <w:p w14:paraId="2BFC3B78" w14:textId="77777777" w:rsidR="002E0E1D" w:rsidRDefault="002E0E1D" w:rsidP="002E0E1D">
            <w:pPr>
              <w:pStyle w:val="GOSTTablenorm"/>
            </w:pPr>
            <w:r w:rsidRPr="006D51C1">
              <w:t>П</w:t>
            </w:r>
          </w:p>
        </w:tc>
        <w:tc>
          <w:tcPr>
            <w:tcW w:w="1133" w:type="dxa"/>
          </w:tcPr>
          <w:p w14:paraId="068233CD" w14:textId="77777777" w:rsidR="002E0E1D" w:rsidRDefault="002E0E1D" w:rsidP="002E0E1D">
            <w:pPr>
              <w:pStyle w:val="GOSTTablenorm"/>
              <w:rPr>
                <w:szCs w:val="22"/>
              </w:rPr>
            </w:pPr>
            <w:r w:rsidRPr="007F2577">
              <w:rPr>
                <w:szCs w:val="22"/>
                <w:lang w:val="en-US"/>
              </w:rPr>
              <w:t>N(20</w:t>
            </w:r>
            <w:r w:rsidRPr="007F2577">
              <w:rPr>
                <w:szCs w:val="22"/>
              </w:rPr>
              <w:t>.2</w:t>
            </w:r>
            <w:r w:rsidRPr="007F2577">
              <w:rPr>
                <w:szCs w:val="22"/>
                <w:lang w:val="en-US"/>
              </w:rPr>
              <w:t>)</w:t>
            </w:r>
          </w:p>
        </w:tc>
        <w:tc>
          <w:tcPr>
            <w:tcW w:w="571" w:type="dxa"/>
          </w:tcPr>
          <w:p w14:paraId="4C0A04B5" w14:textId="77777777" w:rsidR="002E0E1D" w:rsidRDefault="002E0E1D" w:rsidP="002E0E1D">
            <w:pPr>
              <w:pStyle w:val="GOSTTablenorm"/>
            </w:pPr>
            <w:r w:rsidRPr="00074125">
              <w:t>О</w:t>
            </w:r>
          </w:p>
        </w:tc>
        <w:tc>
          <w:tcPr>
            <w:tcW w:w="3953" w:type="dxa"/>
          </w:tcPr>
          <w:p w14:paraId="3763674D" w14:textId="77777777" w:rsidR="002E0E1D" w:rsidRDefault="002E0E1D" w:rsidP="002E0E1D">
            <w:pPr>
              <w:pStyle w:val="GOSTTablenorm"/>
            </w:pPr>
            <w:r w:rsidRPr="008C3D50">
              <w:t>Указывается объем средств, предусмотренный нормативным правовым актом на первый год планового периода</w:t>
            </w:r>
            <w:r>
              <w:t>,</w:t>
            </w:r>
            <w:r w:rsidRPr="008C3D50">
              <w:t xml:space="preserve"> всего</w:t>
            </w:r>
            <w:r w:rsidRPr="00636EBF">
              <w:t>.</w:t>
            </w:r>
          </w:p>
          <w:p w14:paraId="7B7EBCC0" w14:textId="77777777" w:rsidR="002E0E1D" w:rsidRPr="008C3D50" w:rsidRDefault="002E0E1D" w:rsidP="002E0E1D">
            <w:pPr>
              <w:pStyle w:val="GOSTTablenorm"/>
            </w:pPr>
            <w:r w:rsidRPr="009D2D00">
              <w:rPr>
                <w:szCs w:val="22"/>
              </w:rPr>
              <w:t>При отсутс</w:t>
            </w:r>
            <w:r>
              <w:rPr>
                <w:szCs w:val="22"/>
              </w:rPr>
              <w:t>твии значения указывается «0.00»</w:t>
            </w:r>
          </w:p>
        </w:tc>
      </w:tr>
      <w:tr w:rsidR="002E0E1D" w:rsidRPr="009D2D00" w14:paraId="27D62629" w14:textId="77777777" w:rsidTr="00EF2AE3">
        <w:trPr>
          <w:trHeight w:val="283"/>
        </w:trPr>
        <w:tc>
          <w:tcPr>
            <w:tcW w:w="1700" w:type="dxa"/>
          </w:tcPr>
          <w:p w14:paraId="77FACE9C" w14:textId="77777777" w:rsidR="002E0E1D" w:rsidRPr="008C3D50" w:rsidRDefault="002E0E1D" w:rsidP="002E0E1D">
            <w:pPr>
              <w:pStyle w:val="GOSTTablenorm"/>
            </w:pPr>
            <w:r w:rsidRPr="008C3D50">
              <w:t>Всего объем средств, предусмотренный НПА на второй год планового периода</w:t>
            </w:r>
          </w:p>
        </w:tc>
        <w:tc>
          <w:tcPr>
            <w:tcW w:w="1700" w:type="dxa"/>
          </w:tcPr>
          <w:p w14:paraId="6BD524AA" w14:textId="77777777" w:rsidR="002E0E1D" w:rsidRPr="008C3D50" w:rsidRDefault="002E0E1D" w:rsidP="002E0E1D">
            <w:pPr>
              <w:pStyle w:val="GOSTTablenorm"/>
              <w:rPr>
                <w:szCs w:val="22"/>
              </w:rPr>
            </w:pPr>
            <w:r>
              <w:rPr>
                <w:lang w:val="en-US"/>
              </w:rPr>
              <w:t>TTL</w:t>
            </w:r>
            <w:r>
              <w:t>_</w:t>
            </w:r>
            <w:r w:rsidRPr="00450BD0">
              <w:t>NPA</w:t>
            </w:r>
            <w:r w:rsidRPr="006A52CE">
              <w:t>Amnt</w:t>
            </w:r>
            <w:r w:rsidRPr="009D2D00">
              <w:t>ScndYr</w:t>
            </w:r>
          </w:p>
        </w:tc>
        <w:tc>
          <w:tcPr>
            <w:tcW w:w="571" w:type="dxa"/>
          </w:tcPr>
          <w:p w14:paraId="6AEC8079" w14:textId="77777777" w:rsidR="002E0E1D" w:rsidRDefault="002E0E1D" w:rsidP="002E0E1D">
            <w:pPr>
              <w:pStyle w:val="GOSTTablenorm"/>
            </w:pPr>
            <w:r w:rsidRPr="006D51C1">
              <w:t>П</w:t>
            </w:r>
          </w:p>
        </w:tc>
        <w:tc>
          <w:tcPr>
            <w:tcW w:w="1133" w:type="dxa"/>
          </w:tcPr>
          <w:p w14:paraId="0E097F65" w14:textId="77777777" w:rsidR="002E0E1D" w:rsidRDefault="002E0E1D" w:rsidP="002E0E1D">
            <w:pPr>
              <w:pStyle w:val="GOSTTablenorm"/>
              <w:rPr>
                <w:szCs w:val="22"/>
              </w:rPr>
            </w:pPr>
            <w:r w:rsidRPr="007F2577">
              <w:rPr>
                <w:szCs w:val="22"/>
                <w:lang w:val="en-US"/>
              </w:rPr>
              <w:t>N(20</w:t>
            </w:r>
            <w:r w:rsidRPr="007F2577">
              <w:rPr>
                <w:szCs w:val="22"/>
              </w:rPr>
              <w:t>.2</w:t>
            </w:r>
            <w:r w:rsidRPr="007F2577">
              <w:rPr>
                <w:szCs w:val="22"/>
                <w:lang w:val="en-US"/>
              </w:rPr>
              <w:t>)</w:t>
            </w:r>
          </w:p>
        </w:tc>
        <w:tc>
          <w:tcPr>
            <w:tcW w:w="571" w:type="dxa"/>
          </w:tcPr>
          <w:p w14:paraId="1D690CA7" w14:textId="77777777" w:rsidR="002E0E1D" w:rsidRDefault="002E0E1D" w:rsidP="002E0E1D">
            <w:pPr>
              <w:pStyle w:val="GOSTTablenorm"/>
            </w:pPr>
            <w:r w:rsidRPr="00074125">
              <w:t>О</w:t>
            </w:r>
          </w:p>
        </w:tc>
        <w:tc>
          <w:tcPr>
            <w:tcW w:w="3953" w:type="dxa"/>
          </w:tcPr>
          <w:p w14:paraId="621716AB" w14:textId="77777777" w:rsidR="002E0E1D" w:rsidRDefault="002E0E1D" w:rsidP="002E0E1D">
            <w:pPr>
              <w:pStyle w:val="GOSTTablenorm"/>
            </w:pPr>
            <w:r w:rsidRPr="008C3D50">
              <w:t>Указывается объем средств, предусмотренный нормативным правовым актом на второй год планового периода</w:t>
            </w:r>
            <w:r>
              <w:t>,</w:t>
            </w:r>
            <w:r w:rsidRPr="008C3D50">
              <w:t xml:space="preserve"> всего</w:t>
            </w:r>
            <w:r w:rsidRPr="00636EBF">
              <w:t>.</w:t>
            </w:r>
          </w:p>
          <w:p w14:paraId="2ACD7A36" w14:textId="77777777" w:rsidR="002E0E1D" w:rsidRPr="008C3D50" w:rsidRDefault="002E0E1D" w:rsidP="002E0E1D">
            <w:pPr>
              <w:pStyle w:val="GOSTTablenorm"/>
            </w:pPr>
            <w:r w:rsidRPr="009D2D00">
              <w:rPr>
                <w:szCs w:val="22"/>
              </w:rPr>
              <w:t>При отсутс</w:t>
            </w:r>
            <w:r>
              <w:rPr>
                <w:szCs w:val="22"/>
              </w:rPr>
              <w:t>твии значения указывается «0.00»</w:t>
            </w:r>
          </w:p>
        </w:tc>
      </w:tr>
      <w:tr w:rsidR="002E0E1D" w:rsidRPr="009D2D00" w14:paraId="3420C56D" w14:textId="77777777" w:rsidTr="00EF2AE3">
        <w:trPr>
          <w:trHeight w:val="283"/>
        </w:trPr>
        <w:tc>
          <w:tcPr>
            <w:tcW w:w="1700" w:type="dxa"/>
          </w:tcPr>
          <w:p w14:paraId="5D82C3BE" w14:textId="77777777" w:rsidR="002E0E1D" w:rsidRPr="008C3D50" w:rsidRDefault="002E0E1D" w:rsidP="002E0E1D">
            <w:pPr>
              <w:pStyle w:val="GOSTTablenorm"/>
            </w:pPr>
            <w:r w:rsidRPr="008C3D50">
              <w:t>Всего объем средств, предусмотренный НПА на последующие годы</w:t>
            </w:r>
          </w:p>
        </w:tc>
        <w:tc>
          <w:tcPr>
            <w:tcW w:w="1700" w:type="dxa"/>
          </w:tcPr>
          <w:p w14:paraId="7C9C297C" w14:textId="77777777" w:rsidR="002E0E1D" w:rsidRPr="008C3D50" w:rsidRDefault="002E0E1D" w:rsidP="002E0E1D">
            <w:pPr>
              <w:pStyle w:val="GOSTTablenorm"/>
              <w:rPr>
                <w:szCs w:val="22"/>
              </w:rPr>
            </w:pPr>
            <w:r>
              <w:rPr>
                <w:lang w:val="en-US"/>
              </w:rPr>
              <w:t>TTL</w:t>
            </w:r>
            <w:r>
              <w:t>_</w:t>
            </w:r>
            <w:r w:rsidRPr="00450BD0">
              <w:t>NPA</w:t>
            </w:r>
            <w:r w:rsidRPr="006A52CE">
              <w:t>Amnt</w:t>
            </w:r>
            <w:r w:rsidRPr="009D2D00">
              <w:rPr>
                <w:szCs w:val="22"/>
              </w:rPr>
              <w:t>NxtYr</w:t>
            </w:r>
          </w:p>
        </w:tc>
        <w:tc>
          <w:tcPr>
            <w:tcW w:w="571" w:type="dxa"/>
          </w:tcPr>
          <w:p w14:paraId="0DF0759B" w14:textId="77777777" w:rsidR="002E0E1D" w:rsidRDefault="002E0E1D" w:rsidP="002E0E1D">
            <w:pPr>
              <w:pStyle w:val="GOSTTablenorm"/>
            </w:pPr>
            <w:r w:rsidRPr="006D51C1">
              <w:t>П</w:t>
            </w:r>
          </w:p>
        </w:tc>
        <w:tc>
          <w:tcPr>
            <w:tcW w:w="1133" w:type="dxa"/>
          </w:tcPr>
          <w:p w14:paraId="5CDC8303" w14:textId="77777777" w:rsidR="002E0E1D" w:rsidRDefault="002E0E1D" w:rsidP="002E0E1D">
            <w:pPr>
              <w:pStyle w:val="GOSTTablenorm"/>
              <w:rPr>
                <w:szCs w:val="22"/>
              </w:rPr>
            </w:pPr>
            <w:r w:rsidRPr="004C37EE">
              <w:rPr>
                <w:szCs w:val="22"/>
                <w:lang w:val="en-US"/>
              </w:rPr>
              <w:t>N(20</w:t>
            </w:r>
            <w:r w:rsidRPr="004C37EE">
              <w:rPr>
                <w:szCs w:val="22"/>
              </w:rPr>
              <w:t>.2</w:t>
            </w:r>
            <w:r w:rsidRPr="004C37EE">
              <w:rPr>
                <w:szCs w:val="22"/>
                <w:lang w:val="en-US"/>
              </w:rPr>
              <w:t>)</w:t>
            </w:r>
          </w:p>
        </w:tc>
        <w:tc>
          <w:tcPr>
            <w:tcW w:w="571" w:type="dxa"/>
          </w:tcPr>
          <w:p w14:paraId="129B03C7" w14:textId="77777777" w:rsidR="002E0E1D" w:rsidRDefault="002E0E1D" w:rsidP="002E0E1D">
            <w:pPr>
              <w:pStyle w:val="GOSTTablenorm"/>
            </w:pPr>
            <w:r w:rsidRPr="00074125">
              <w:t>О</w:t>
            </w:r>
          </w:p>
        </w:tc>
        <w:tc>
          <w:tcPr>
            <w:tcW w:w="3953" w:type="dxa"/>
          </w:tcPr>
          <w:p w14:paraId="5FEC9C2B" w14:textId="77777777" w:rsidR="002E0E1D" w:rsidRDefault="002E0E1D" w:rsidP="002E0E1D">
            <w:pPr>
              <w:pStyle w:val="GOSTTablenorm"/>
            </w:pPr>
            <w:r w:rsidRPr="008C3D50">
              <w:t>Указывается объем средств, предусмотренный нормативным правовым актом на последующие годы</w:t>
            </w:r>
            <w:r>
              <w:t>,</w:t>
            </w:r>
            <w:r w:rsidRPr="008C3D50">
              <w:t xml:space="preserve"> всего</w:t>
            </w:r>
            <w:r w:rsidRPr="00636EBF">
              <w:t>.</w:t>
            </w:r>
          </w:p>
          <w:p w14:paraId="13300447" w14:textId="77777777" w:rsidR="002E0E1D" w:rsidRPr="008C3D50" w:rsidRDefault="002E0E1D" w:rsidP="002E0E1D">
            <w:pPr>
              <w:pStyle w:val="GOSTTablenorm"/>
            </w:pPr>
            <w:r w:rsidRPr="009D2D00">
              <w:rPr>
                <w:szCs w:val="22"/>
              </w:rPr>
              <w:t>При отсутс</w:t>
            </w:r>
            <w:r>
              <w:rPr>
                <w:szCs w:val="22"/>
              </w:rPr>
              <w:t>твии значения указывается «0.00»</w:t>
            </w:r>
          </w:p>
        </w:tc>
      </w:tr>
      <w:tr w:rsidR="002E0E1D" w:rsidRPr="009D2D00" w14:paraId="7BDBCEBC" w14:textId="77777777" w:rsidTr="00EF2AE3">
        <w:trPr>
          <w:trHeight w:val="283"/>
        </w:trPr>
        <w:tc>
          <w:tcPr>
            <w:tcW w:w="1700" w:type="dxa"/>
          </w:tcPr>
          <w:p w14:paraId="6842B1D3" w14:textId="77777777" w:rsidR="002E0E1D" w:rsidRPr="009D2D00" w:rsidRDefault="002E0E1D" w:rsidP="002E0E1D">
            <w:pPr>
              <w:pStyle w:val="GOSTTablenorm"/>
            </w:pPr>
            <w:r w:rsidRPr="009D2D00">
              <w:t>Табличная часть</w:t>
            </w:r>
            <w:r>
              <w:t xml:space="preserve"> </w:t>
            </w:r>
            <w:r w:rsidRPr="00050272">
              <w:t>«</w:t>
            </w:r>
            <w:r w:rsidRPr="006E03B5">
              <w:t>Объем средств, предусмотренный НПА</w:t>
            </w:r>
            <w:r w:rsidRPr="00050272">
              <w:t>»</w:t>
            </w:r>
          </w:p>
        </w:tc>
        <w:tc>
          <w:tcPr>
            <w:tcW w:w="1700" w:type="dxa"/>
          </w:tcPr>
          <w:p w14:paraId="61ACD393" w14:textId="77777777" w:rsidR="002E0E1D" w:rsidRPr="007F04C4" w:rsidRDefault="002E0E1D" w:rsidP="002E0E1D">
            <w:pPr>
              <w:pStyle w:val="GOSTTablenorm"/>
            </w:pPr>
            <w:r>
              <w:rPr>
                <w:lang w:val="en-US"/>
              </w:rPr>
              <w:t>TBL_</w:t>
            </w:r>
            <w:r w:rsidRPr="00450BD0">
              <w:t>NPAAmnt</w:t>
            </w:r>
          </w:p>
        </w:tc>
        <w:tc>
          <w:tcPr>
            <w:tcW w:w="571" w:type="dxa"/>
          </w:tcPr>
          <w:p w14:paraId="3E3DAC22" w14:textId="77777777" w:rsidR="002E0E1D" w:rsidRPr="009D2D00" w:rsidRDefault="002E0E1D" w:rsidP="002E0E1D">
            <w:pPr>
              <w:pStyle w:val="GOSTTablenorm"/>
            </w:pPr>
            <w:r w:rsidRPr="009D2D00">
              <w:t>С</w:t>
            </w:r>
          </w:p>
        </w:tc>
        <w:tc>
          <w:tcPr>
            <w:tcW w:w="1133" w:type="dxa"/>
          </w:tcPr>
          <w:p w14:paraId="5F01663F" w14:textId="77777777" w:rsidR="002E0E1D" w:rsidRPr="00837171" w:rsidRDefault="002E0E1D" w:rsidP="002E0E1D">
            <w:pPr>
              <w:pStyle w:val="GOSTTablenorm"/>
            </w:pPr>
            <w:r w:rsidRPr="00450BD0">
              <w:t>t</w:t>
            </w:r>
            <w:r>
              <w:rPr>
                <w:lang w:val="en-US"/>
              </w:rPr>
              <w:t>TBL_</w:t>
            </w:r>
            <w:r w:rsidRPr="00450BD0">
              <w:t>NPAAmnt</w:t>
            </w:r>
          </w:p>
        </w:tc>
        <w:tc>
          <w:tcPr>
            <w:tcW w:w="571" w:type="dxa"/>
          </w:tcPr>
          <w:p w14:paraId="53BC6D2E" w14:textId="77777777" w:rsidR="002E0E1D" w:rsidRPr="009D2D00" w:rsidRDefault="002E0E1D" w:rsidP="002E0E1D">
            <w:pPr>
              <w:pStyle w:val="GOSTTablenorm"/>
            </w:pPr>
            <w:r w:rsidRPr="009D2D00">
              <w:t>О</w:t>
            </w:r>
          </w:p>
        </w:tc>
        <w:tc>
          <w:tcPr>
            <w:tcW w:w="3953" w:type="dxa"/>
          </w:tcPr>
          <w:p w14:paraId="7EB565EF" w14:textId="77777777" w:rsidR="002E0E1D" w:rsidRPr="009D2D00" w:rsidRDefault="002E0E1D" w:rsidP="002E0E1D">
            <w:pPr>
              <w:pStyle w:val="GOSTTablenorm"/>
            </w:pPr>
            <w:r w:rsidRPr="009D2D00">
              <w:t>Табличная часть</w:t>
            </w:r>
            <w:r>
              <w:t xml:space="preserve"> </w:t>
            </w:r>
            <w:r w:rsidRPr="00050272">
              <w:t>«</w:t>
            </w:r>
            <w:r w:rsidRPr="006E03B5">
              <w:t>Объем средств, предусмотренный НПА</w:t>
            </w:r>
            <w:r w:rsidRPr="00050272">
              <w:t>»</w:t>
            </w:r>
            <w:r w:rsidRPr="009D2D00">
              <w:t>.</w:t>
            </w:r>
          </w:p>
          <w:p w14:paraId="10147511" w14:textId="5DA6EED3" w:rsidR="002E0E1D" w:rsidRPr="009D2D00" w:rsidRDefault="002E0E1D" w:rsidP="00EF2AE3">
            <w:pPr>
              <w:pStyle w:val="GOSTTablenorm"/>
            </w:pPr>
            <w:r w:rsidRPr="009D2D00">
              <w:t xml:space="preserve">Состав элемента представлен в таблице </w:t>
            </w:r>
            <w:r w:rsidR="00EF2AE3">
              <w:fldChar w:fldCharType="begin"/>
            </w:r>
            <w:r w:rsidR="00EF2AE3">
              <w:instrText xml:space="preserve"> REF _Ref216442762 \h </w:instrText>
            </w:r>
            <w:r w:rsidR="00EF2AE3">
              <w:fldChar w:fldCharType="separate"/>
            </w:r>
            <w:r w:rsidR="008D797C">
              <w:rPr>
                <w:rFonts w:eastAsia="Calibri"/>
                <w:noProof/>
                <w:highlight w:val="green"/>
              </w:rPr>
              <w:t>361</w:t>
            </w:r>
            <w:r w:rsidR="00EF2AE3">
              <w:fldChar w:fldCharType="end"/>
            </w:r>
          </w:p>
        </w:tc>
      </w:tr>
      <w:tr w:rsidR="002E0E1D" w:rsidRPr="009D2D00" w14:paraId="0483514D" w14:textId="77777777" w:rsidTr="00EF2AE3">
        <w:trPr>
          <w:trHeight w:val="283"/>
        </w:trPr>
        <w:tc>
          <w:tcPr>
            <w:tcW w:w="1700" w:type="dxa"/>
          </w:tcPr>
          <w:p w14:paraId="3A970007" w14:textId="77777777" w:rsidR="002E0E1D" w:rsidRPr="000E2107" w:rsidRDefault="002E0E1D" w:rsidP="002E0E1D">
            <w:pPr>
              <w:pStyle w:val="GOSTTablenorm"/>
            </w:pPr>
            <w:r w:rsidRPr="000E2107">
              <w:t>Итого по КВР</w:t>
            </w:r>
          </w:p>
        </w:tc>
        <w:tc>
          <w:tcPr>
            <w:tcW w:w="1700" w:type="dxa"/>
          </w:tcPr>
          <w:p w14:paraId="4DE8DE97" w14:textId="77777777" w:rsidR="002E0E1D" w:rsidRPr="000E2107" w:rsidRDefault="002E0E1D" w:rsidP="002E0E1D">
            <w:pPr>
              <w:pStyle w:val="GOSTTablenorm"/>
              <w:rPr>
                <w:lang w:val="en-US"/>
              </w:rPr>
            </w:pPr>
            <w:r w:rsidRPr="000E2107">
              <w:t>KVR</w:t>
            </w:r>
            <w:r w:rsidRPr="000E2107">
              <w:rPr>
                <w:lang w:val="en-US"/>
              </w:rPr>
              <w:t>_</w:t>
            </w:r>
            <w:r w:rsidRPr="000E2107">
              <w:t>NPAAmnt</w:t>
            </w:r>
          </w:p>
        </w:tc>
        <w:tc>
          <w:tcPr>
            <w:tcW w:w="571" w:type="dxa"/>
          </w:tcPr>
          <w:p w14:paraId="79B01CB8" w14:textId="77777777" w:rsidR="002E0E1D" w:rsidRPr="000E2107" w:rsidRDefault="002E0E1D" w:rsidP="002E0E1D">
            <w:pPr>
              <w:pStyle w:val="GOSTTablenorm"/>
            </w:pPr>
            <w:r w:rsidRPr="000E2107">
              <w:t>С</w:t>
            </w:r>
          </w:p>
        </w:tc>
        <w:tc>
          <w:tcPr>
            <w:tcW w:w="1133" w:type="dxa"/>
          </w:tcPr>
          <w:p w14:paraId="744AC530" w14:textId="77777777" w:rsidR="002E0E1D" w:rsidRPr="000E2107" w:rsidRDefault="002E0E1D" w:rsidP="002E0E1D">
            <w:pPr>
              <w:pStyle w:val="GOSTTablenorm"/>
            </w:pPr>
            <w:r w:rsidRPr="000E2107">
              <w:rPr>
                <w:lang w:val="en-US"/>
              </w:rPr>
              <w:t>t</w:t>
            </w:r>
            <w:r w:rsidRPr="000E2107">
              <w:t>KVR</w:t>
            </w:r>
            <w:r w:rsidRPr="000E2107">
              <w:rPr>
                <w:lang w:val="en-US"/>
              </w:rPr>
              <w:t>_</w:t>
            </w:r>
            <w:r w:rsidRPr="000E2107">
              <w:t>NPAAmnt</w:t>
            </w:r>
          </w:p>
        </w:tc>
        <w:tc>
          <w:tcPr>
            <w:tcW w:w="571" w:type="dxa"/>
          </w:tcPr>
          <w:p w14:paraId="737BB680" w14:textId="77777777" w:rsidR="002E0E1D" w:rsidRPr="000E2107" w:rsidRDefault="002E0E1D" w:rsidP="002E0E1D">
            <w:pPr>
              <w:pStyle w:val="GOSTTablenorm"/>
            </w:pPr>
            <w:r w:rsidRPr="000E2107">
              <w:t>О</w:t>
            </w:r>
          </w:p>
        </w:tc>
        <w:tc>
          <w:tcPr>
            <w:tcW w:w="3953" w:type="dxa"/>
          </w:tcPr>
          <w:p w14:paraId="6C153446" w14:textId="7AD5C819" w:rsidR="002E0E1D" w:rsidRPr="000E2107" w:rsidRDefault="002E0E1D" w:rsidP="00EF2AE3">
            <w:pPr>
              <w:pStyle w:val="GOSTTablenorm"/>
            </w:pPr>
            <w:r w:rsidRPr="000E2107">
              <w:t xml:space="preserve">Состав элемента представлен в таблице </w:t>
            </w:r>
            <w:r w:rsidR="00EF2AE3">
              <w:fldChar w:fldCharType="begin"/>
            </w:r>
            <w:r w:rsidR="00EF2AE3">
              <w:instrText xml:space="preserve"> REF _Ref204092075 \h </w:instrText>
            </w:r>
            <w:r w:rsidR="00EF2AE3">
              <w:fldChar w:fldCharType="separate"/>
            </w:r>
            <w:r w:rsidR="008D797C">
              <w:rPr>
                <w:rFonts w:eastAsia="Calibri"/>
                <w:noProof/>
                <w:highlight w:val="green"/>
              </w:rPr>
              <w:t>363</w:t>
            </w:r>
            <w:r w:rsidR="00EF2AE3">
              <w:fldChar w:fldCharType="end"/>
            </w:r>
          </w:p>
        </w:tc>
      </w:tr>
      <w:tr w:rsidR="002E0E1D" w:rsidRPr="009D2D00" w14:paraId="79FB82C6" w14:textId="77777777" w:rsidTr="00EF2AE3">
        <w:trPr>
          <w:trHeight w:val="283"/>
        </w:trPr>
        <w:tc>
          <w:tcPr>
            <w:tcW w:w="9628" w:type="dxa"/>
            <w:gridSpan w:val="6"/>
          </w:tcPr>
          <w:p w14:paraId="3CD2B1CB" w14:textId="77777777" w:rsidR="002E0E1D" w:rsidRPr="00050272" w:rsidRDefault="002E0E1D" w:rsidP="002E0E1D">
            <w:pPr>
              <w:pStyle w:val="GOSTTablenorm"/>
              <w:rPr>
                <w:b/>
              </w:rPr>
            </w:pPr>
            <w:r w:rsidRPr="00050272">
              <w:rPr>
                <w:b/>
              </w:rPr>
              <w:t>Подписи</w:t>
            </w:r>
          </w:p>
        </w:tc>
      </w:tr>
      <w:tr w:rsidR="002E0E1D" w:rsidRPr="009D2D00" w14:paraId="394A39D8" w14:textId="77777777" w:rsidTr="00EF2AE3">
        <w:trPr>
          <w:trHeight w:val="283"/>
        </w:trPr>
        <w:tc>
          <w:tcPr>
            <w:tcW w:w="1700" w:type="dxa"/>
          </w:tcPr>
          <w:p w14:paraId="40D4D174" w14:textId="77777777" w:rsidR="002E0E1D" w:rsidRPr="009D2D00" w:rsidRDefault="002E0E1D" w:rsidP="002E0E1D">
            <w:pPr>
              <w:pStyle w:val="GOSTTablenorm"/>
            </w:pPr>
            <w:r w:rsidRPr="009D2D00">
              <w:t xml:space="preserve">Должность </w:t>
            </w:r>
            <w:r w:rsidRPr="009D2D00">
              <w:lastRenderedPageBreak/>
              <w:t>руководителя (уполномоченного руководителем лица)</w:t>
            </w:r>
          </w:p>
        </w:tc>
        <w:tc>
          <w:tcPr>
            <w:tcW w:w="1700" w:type="dxa"/>
          </w:tcPr>
          <w:p w14:paraId="3F741BCB" w14:textId="77777777" w:rsidR="002E0E1D" w:rsidRPr="009D2D00" w:rsidRDefault="002E0E1D" w:rsidP="002E0E1D">
            <w:pPr>
              <w:pStyle w:val="GOSTTablenorm"/>
            </w:pPr>
            <w:r w:rsidRPr="009D2D00">
              <w:lastRenderedPageBreak/>
              <w:t>headPosition</w:t>
            </w:r>
          </w:p>
        </w:tc>
        <w:tc>
          <w:tcPr>
            <w:tcW w:w="571" w:type="dxa"/>
          </w:tcPr>
          <w:p w14:paraId="645B0D9D" w14:textId="77777777" w:rsidR="002E0E1D" w:rsidRPr="009D2D00" w:rsidRDefault="002E0E1D" w:rsidP="002E0E1D">
            <w:pPr>
              <w:pStyle w:val="GOSTTablenorm"/>
            </w:pPr>
            <w:r w:rsidRPr="009D2D00">
              <w:t>П</w:t>
            </w:r>
          </w:p>
        </w:tc>
        <w:tc>
          <w:tcPr>
            <w:tcW w:w="1133" w:type="dxa"/>
          </w:tcPr>
          <w:p w14:paraId="14263C32" w14:textId="77777777" w:rsidR="002E0E1D" w:rsidRPr="009D2D00" w:rsidRDefault="002E0E1D" w:rsidP="002E0E1D">
            <w:pPr>
              <w:pStyle w:val="GOSTTablenorm"/>
            </w:pPr>
            <w:r w:rsidRPr="009D2D00">
              <w:t>Т(1-100)</w:t>
            </w:r>
          </w:p>
        </w:tc>
        <w:tc>
          <w:tcPr>
            <w:tcW w:w="571" w:type="dxa"/>
          </w:tcPr>
          <w:p w14:paraId="19DFFCD1" w14:textId="77777777" w:rsidR="002E0E1D" w:rsidRPr="009D2D00" w:rsidRDefault="002E0E1D" w:rsidP="002E0E1D">
            <w:pPr>
              <w:pStyle w:val="GOSTTablenorm"/>
            </w:pPr>
            <w:r w:rsidRPr="009D2D00">
              <w:t>О</w:t>
            </w:r>
          </w:p>
        </w:tc>
        <w:tc>
          <w:tcPr>
            <w:tcW w:w="3953" w:type="dxa"/>
          </w:tcPr>
          <w:p w14:paraId="40F2AFAC" w14:textId="77777777" w:rsidR="002E0E1D" w:rsidRPr="009D2D00" w:rsidRDefault="002E0E1D" w:rsidP="002E0E1D">
            <w:pPr>
              <w:pStyle w:val="GOSTTablenorm"/>
            </w:pPr>
            <w:r w:rsidRPr="009D2D00">
              <w:t xml:space="preserve">Указывается должность руководителя </w:t>
            </w:r>
            <w:r w:rsidRPr="009D2D00">
              <w:lastRenderedPageBreak/>
              <w:t>(уполномоченног</w:t>
            </w:r>
            <w:r>
              <w:t>о руководителем лица) заказчика</w:t>
            </w:r>
          </w:p>
        </w:tc>
      </w:tr>
      <w:tr w:rsidR="002E0E1D" w:rsidRPr="009D2D00" w14:paraId="6CFD14CD" w14:textId="77777777" w:rsidTr="00EF2AE3">
        <w:trPr>
          <w:trHeight w:val="283"/>
        </w:trPr>
        <w:tc>
          <w:tcPr>
            <w:tcW w:w="1700" w:type="dxa"/>
          </w:tcPr>
          <w:p w14:paraId="6F99DD92" w14:textId="77777777" w:rsidR="002E0E1D" w:rsidRPr="009D2D00" w:rsidRDefault="002E0E1D" w:rsidP="002E0E1D">
            <w:pPr>
              <w:pStyle w:val="GOSTTablenorm"/>
            </w:pPr>
            <w:r w:rsidRPr="009D2D00">
              <w:lastRenderedPageBreak/>
              <w:t>ФИО руководителя</w:t>
            </w:r>
            <w:r>
              <w:t xml:space="preserve"> </w:t>
            </w:r>
            <w:r w:rsidRPr="00644406">
              <w:t>(уполномоченного лица)</w:t>
            </w:r>
          </w:p>
        </w:tc>
        <w:tc>
          <w:tcPr>
            <w:tcW w:w="1700" w:type="dxa"/>
          </w:tcPr>
          <w:p w14:paraId="7CD61C87" w14:textId="77777777" w:rsidR="002E0E1D" w:rsidRPr="009D2D00" w:rsidRDefault="002E0E1D" w:rsidP="002E0E1D">
            <w:pPr>
              <w:pStyle w:val="GOSTTablenorm"/>
              <w:rPr>
                <w:rFonts w:eastAsia="Calibri"/>
              </w:rPr>
            </w:pPr>
            <w:r w:rsidRPr="009D2D00">
              <w:rPr>
                <w:rFonts w:eastAsia="Calibri"/>
              </w:rPr>
              <w:t>headName</w:t>
            </w:r>
          </w:p>
        </w:tc>
        <w:tc>
          <w:tcPr>
            <w:tcW w:w="571" w:type="dxa"/>
          </w:tcPr>
          <w:p w14:paraId="3D1155DD" w14:textId="77777777" w:rsidR="002E0E1D" w:rsidRPr="009D2D00" w:rsidRDefault="002E0E1D" w:rsidP="002E0E1D">
            <w:pPr>
              <w:pStyle w:val="GOSTTablenorm"/>
              <w:rPr>
                <w:rFonts w:eastAsia="Calibri"/>
              </w:rPr>
            </w:pPr>
            <w:r w:rsidRPr="009D2D00">
              <w:rPr>
                <w:rFonts w:eastAsia="Calibri"/>
              </w:rPr>
              <w:t>П</w:t>
            </w:r>
          </w:p>
        </w:tc>
        <w:tc>
          <w:tcPr>
            <w:tcW w:w="1133" w:type="dxa"/>
          </w:tcPr>
          <w:p w14:paraId="5D17CBA3" w14:textId="77777777" w:rsidR="002E0E1D" w:rsidRPr="009D2D00" w:rsidRDefault="002E0E1D" w:rsidP="002E0E1D">
            <w:pPr>
              <w:pStyle w:val="GOSTTablenorm"/>
              <w:rPr>
                <w:rFonts w:eastAsia="Calibri"/>
              </w:rPr>
            </w:pPr>
            <w:r w:rsidRPr="009D2D00">
              <w:rPr>
                <w:rFonts w:eastAsia="Calibri"/>
              </w:rPr>
              <w:t>Т(1-50)</w:t>
            </w:r>
          </w:p>
        </w:tc>
        <w:tc>
          <w:tcPr>
            <w:tcW w:w="571" w:type="dxa"/>
          </w:tcPr>
          <w:p w14:paraId="74EC0993" w14:textId="77777777" w:rsidR="002E0E1D" w:rsidRPr="009D2D00" w:rsidRDefault="002E0E1D" w:rsidP="002E0E1D">
            <w:pPr>
              <w:pStyle w:val="GOSTTablenorm"/>
              <w:rPr>
                <w:rFonts w:eastAsia="Calibri"/>
              </w:rPr>
            </w:pPr>
            <w:r w:rsidRPr="009D2D00">
              <w:rPr>
                <w:rFonts w:eastAsia="Calibri"/>
              </w:rPr>
              <w:t>О</w:t>
            </w:r>
          </w:p>
        </w:tc>
        <w:tc>
          <w:tcPr>
            <w:tcW w:w="3953" w:type="dxa"/>
          </w:tcPr>
          <w:p w14:paraId="1E3832AF" w14:textId="77777777" w:rsidR="002E0E1D" w:rsidRPr="009D2D00" w:rsidRDefault="002E0E1D" w:rsidP="002E0E1D">
            <w:pPr>
              <w:pStyle w:val="GOSTTablenorm"/>
            </w:pPr>
            <w:r w:rsidRPr="009D2D00">
              <w:t>Указыва</w:t>
            </w:r>
            <w:r>
              <w:t>ется ФИО руководителя заказчика</w:t>
            </w:r>
          </w:p>
        </w:tc>
      </w:tr>
      <w:tr w:rsidR="002E0E1D" w:rsidRPr="009D2D00" w14:paraId="3479D0C8" w14:textId="77777777" w:rsidTr="00EF2AE3">
        <w:trPr>
          <w:trHeight w:val="283"/>
        </w:trPr>
        <w:tc>
          <w:tcPr>
            <w:tcW w:w="1700" w:type="dxa"/>
          </w:tcPr>
          <w:p w14:paraId="4413E346" w14:textId="77777777" w:rsidR="002E0E1D" w:rsidRPr="009D2D00" w:rsidRDefault="002E0E1D" w:rsidP="002E0E1D">
            <w:pPr>
              <w:pStyle w:val="GOSTTablenorm"/>
            </w:pPr>
            <w:r w:rsidRPr="009D2D00">
              <w:t xml:space="preserve">Дата </w:t>
            </w:r>
            <w:r w:rsidRPr="00532ACE">
              <w:t>подписания</w:t>
            </w:r>
          </w:p>
        </w:tc>
        <w:tc>
          <w:tcPr>
            <w:tcW w:w="1700" w:type="dxa"/>
          </w:tcPr>
          <w:p w14:paraId="4A02D65C" w14:textId="77777777" w:rsidR="002E0E1D" w:rsidRPr="009D2D00" w:rsidRDefault="002E0E1D" w:rsidP="002E0E1D">
            <w:pPr>
              <w:pStyle w:val="GOSTTablenorm"/>
              <w:rPr>
                <w:rFonts w:eastAsia="Calibri"/>
              </w:rPr>
            </w:pPr>
            <w:r w:rsidRPr="009D2D00">
              <w:rPr>
                <w:rFonts w:eastAsia="Calibri"/>
              </w:rPr>
              <w:t>approveDate</w:t>
            </w:r>
          </w:p>
        </w:tc>
        <w:tc>
          <w:tcPr>
            <w:tcW w:w="571" w:type="dxa"/>
          </w:tcPr>
          <w:p w14:paraId="69E670C5" w14:textId="77777777" w:rsidR="002E0E1D" w:rsidRPr="009D2D00" w:rsidRDefault="002E0E1D" w:rsidP="002E0E1D">
            <w:pPr>
              <w:pStyle w:val="GOSTTablenorm"/>
              <w:rPr>
                <w:rFonts w:eastAsia="Calibri"/>
              </w:rPr>
            </w:pPr>
            <w:r w:rsidRPr="009D2D00">
              <w:rPr>
                <w:rFonts w:eastAsia="Calibri"/>
              </w:rPr>
              <w:t>П</w:t>
            </w:r>
          </w:p>
        </w:tc>
        <w:tc>
          <w:tcPr>
            <w:tcW w:w="1133" w:type="dxa"/>
          </w:tcPr>
          <w:p w14:paraId="48811E3E" w14:textId="77777777" w:rsidR="002E0E1D" w:rsidRPr="009D2D00" w:rsidRDefault="002E0E1D" w:rsidP="002E0E1D">
            <w:pPr>
              <w:pStyle w:val="GOSTTablenorm"/>
              <w:rPr>
                <w:rFonts w:eastAsia="Calibri"/>
              </w:rPr>
            </w:pPr>
            <w:r w:rsidRPr="009D2D00">
              <w:rPr>
                <w:rFonts w:eastAsia="Calibri"/>
                <w:lang w:val="en-US"/>
              </w:rPr>
              <w:t>D</w:t>
            </w:r>
            <w:r w:rsidRPr="009D2D00">
              <w:rPr>
                <w:rFonts w:eastAsia="Calibri"/>
              </w:rPr>
              <w:t>ate</w:t>
            </w:r>
          </w:p>
        </w:tc>
        <w:tc>
          <w:tcPr>
            <w:tcW w:w="571" w:type="dxa"/>
          </w:tcPr>
          <w:p w14:paraId="1C7200D9" w14:textId="77777777" w:rsidR="002E0E1D" w:rsidRPr="009D2D00" w:rsidRDefault="002E0E1D" w:rsidP="002E0E1D">
            <w:pPr>
              <w:pStyle w:val="GOSTTablenorm"/>
              <w:rPr>
                <w:rFonts w:eastAsia="Calibri"/>
              </w:rPr>
            </w:pPr>
            <w:r w:rsidRPr="009D2D00">
              <w:rPr>
                <w:rFonts w:eastAsia="Calibri"/>
              </w:rPr>
              <w:t>О</w:t>
            </w:r>
          </w:p>
        </w:tc>
        <w:tc>
          <w:tcPr>
            <w:tcW w:w="3953" w:type="dxa"/>
          </w:tcPr>
          <w:p w14:paraId="5C9753E1" w14:textId="77777777" w:rsidR="002E0E1D" w:rsidRPr="009D2D00" w:rsidRDefault="002E0E1D" w:rsidP="002E0E1D">
            <w:pPr>
              <w:pStyle w:val="GOSTTablenorm"/>
            </w:pPr>
            <w:r w:rsidRPr="009D2D00">
              <w:t>Указывается дата утверждения документа руководителем (уполномоченным</w:t>
            </w:r>
            <w:r>
              <w:t xml:space="preserve"> руководителем лицом) заказчика</w:t>
            </w:r>
          </w:p>
        </w:tc>
      </w:tr>
    </w:tbl>
    <w:p w14:paraId="404B4DAA" w14:textId="77777777" w:rsidR="002E0E1D" w:rsidRPr="00176E24" w:rsidRDefault="002E0E1D" w:rsidP="002E0E1D">
      <w:pPr>
        <w:pStyle w:val="31"/>
        <w:tabs>
          <w:tab w:val="clear" w:pos="720"/>
        </w:tabs>
        <w:suppressAutoHyphens/>
        <w:ind w:left="862"/>
        <w:rPr>
          <w:highlight w:val="green"/>
        </w:rPr>
      </w:pPr>
      <w:bookmarkStart w:id="4586" w:name="_Toc207639660"/>
      <w:bookmarkStart w:id="4587" w:name="_Toc219309853"/>
      <w:r w:rsidRPr="00176E24">
        <w:rPr>
          <w:highlight w:val="green"/>
        </w:rPr>
        <w:t>Описание комплексного типа «tVidDocComplex»</w:t>
      </w:r>
      <w:bookmarkEnd w:id="4586"/>
      <w:bookmarkEnd w:id="4587"/>
    </w:p>
    <w:p w14:paraId="23EF57C3" w14:textId="77777777" w:rsidR="002E0E1D" w:rsidRPr="009D2D00" w:rsidRDefault="002E0E1D" w:rsidP="002E0E1D">
      <w:pPr>
        <w:pStyle w:val="ASFKNormal"/>
        <w:spacing w:before="60" w:after="120"/>
        <w:contextualSpacing w:val="0"/>
        <w:jc w:val="both"/>
        <w:rPr>
          <w:sz w:val="24"/>
          <w:szCs w:val="24"/>
        </w:rPr>
      </w:pPr>
      <w:r w:rsidRPr="009D2D00">
        <w:rPr>
          <w:sz w:val="24"/>
          <w:szCs w:val="24"/>
        </w:rPr>
        <w:t>Описание комплексного типа «tV</w:t>
      </w:r>
      <w:r w:rsidRPr="009D2D00">
        <w:rPr>
          <w:sz w:val="24"/>
          <w:szCs w:val="24"/>
          <w:lang w:val="en-US"/>
        </w:rPr>
        <w:t>id</w:t>
      </w:r>
      <w:r w:rsidRPr="009D2D00">
        <w:rPr>
          <w:sz w:val="24"/>
          <w:szCs w:val="24"/>
        </w:rPr>
        <w:t>D</w:t>
      </w:r>
      <w:r w:rsidRPr="009D2D00">
        <w:rPr>
          <w:sz w:val="24"/>
          <w:szCs w:val="24"/>
          <w:lang w:val="en-US"/>
        </w:rPr>
        <w:t>oc</w:t>
      </w:r>
      <w:r w:rsidRPr="009D2D00">
        <w:rPr>
          <w:sz w:val="24"/>
          <w:szCs w:val="24"/>
        </w:rPr>
        <w:t>Complex» блока «Вид документа».</w:t>
      </w:r>
    </w:p>
    <w:p w14:paraId="3006A7FC" w14:textId="07389186" w:rsidR="002E0E1D" w:rsidRPr="00BF75F2" w:rsidRDefault="002E0E1D" w:rsidP="002E0E1D">
      <w:pPr>
        <w:pStyle w:val="GOSTNameTable"/>
        <w:numPr>
          <w:ilvl w:val="0"/>
          <w:numId w:val="151"/>
        </w:numPr>
        <w:suppressAutoHyphens/>
        <w:spacing w:before="240" w:after="120"/>
        <w:ind w:left="425" w:hanging="357"/>
        <w:rPr>
          <w:rFonts w:eastAsia="Calibri"/>
          <w:szCs w:val="24"/>
          <w:highlight w:val="green"/>
        </w:rPr>
      </w:pPr>
      <w:r w:rsidRPr="00BF75F2">
        <w:rPr>
          <w:rFonts w:eastAsia="Calibri"/>
          <w:szCs w:val="24"/>
          <w:highlight w:val="green"/>
        </w:rPr>
        <w:fldChar w:fldCharType="begin"/>
      </w:r>
      <w:r w:rsidRPr="00BF75F2">
        <w:rPr>
          <w:rFonts w:eastAsia="Calibri"/>
          <w:szCs w:val="24"/>
          <w:highlight w:val="green"/>
        </w:rPr>
        <w:instrText xml:space="preserve"> SEQ Таблица \* ARABIC </w:instrText>
      </w:r>
      <w:r w:rsidRPr="00BF75F2">
        <w:rPr>
          <w:rFonts w:eastAsia="Calibri"/>
          <w:szCs w:val="24"/>
          <w:highlight w:val="green"/>
        </w:rPr>
        <w:fldChar w:fldCharType="separate"/>
      </w:r>
      <w:bookmarkStart w:id="4588" w:name="_Ref216442763"/>
      <w:bookmarkStart w:id="4589" w:name="_Toc219309390"/>
      <w:r w:rsidR="008D797C">
        <w:rPr>
          <w:rFonts w:eastAsia="Calibri"/>
          <w:noProof/>
          <w:szCs w:val="24"/>
          <w:highlight w:val="green"/>
        </w:rPr>
        <w:t>360</w:t>
      </w:r>
      <w:bookmarkEnd w:id="4588"/>
      <w:r w:rsidRPr="00BF75F2">
        <w:rPr>
          <w:rFonts w:eastAsia="Calibri"/>
          <w:szCs w:val="24"/>
          <w:highlight w:val="green"/>
        </w:rPr>
        <w:fldChar w:fldCharType="end"/>
      </w:r>
      <w:r w:rsidRPr="00BF75F2">
        <w:rPr>
          <w:rFonts w:eastAsia="Calibri"/>
          <w:szCs w:val="24"/>
          <w:highlight w:val="green"/>
        </w:rPr>
        <w:t xml:space="preserve"> – Описание комплексного типа «tV</w:t>
      </w:r>
      <w:r w:rsidRPr="00BF75F2">
        <w:rPr>
          <w:rFonts w:eastAsia="Calibri"/>
          <w:szCs w:val="24"/>
          <w:highlight w:val="green"/>
          <w:lang w:val="en-US"/>
        </w:rPr>
        <w:t>id</w:t>
      </w:r>
      <w:r w:rsidRPr="00BF75F2">
        <w:rPr>
          <w:rFonts w:eastAsia="Calibri"/>
          <w:szCs w:val="24"/>
          <w:highlight w:val="green"/>
        </w:rPr>
        <w:t>D</w:t>
      </w:r>
      <w:r w:rsidRPr="00BF75F2">
        <w:rPr>
          <w:rFonts w:eastAsia="Calibri"/>
          <w:szCs w:val="24"/>
          <w:highlight w:val="green"/>
          <w:lang w:val="en-US"/>
        </w:rPr>
        <w:t>oc</w:t>
      </w:r>
      <w:r w:rsidRPr="00BF75F2">
        <w:rPr>
          <w:rFonts w:eastAsia="Calibri"/>
          <w:szCs w:val="24"/>
          <w:highlight w:val="green"/>
        </w:rPr>
        <w:t>Complex»</w:t>
      </w:r>
      <w:bookmarkEnd w:id="4589"/>
    </w:p>
    <w:tbl>
      <w:tblPr>
        <w:tblStyle w:val="GOSTTable"/>
        <w:tblW w:w="5000" w:type="pct"/>
        <w:tblLayout w:type="fixed"/>
        <w:tblLook w:val="07E0" w:firstRow="1" w:lastRow="1" w:firstColumn="1" w:lastColumn="1" w:noHBand="1" w:noVBand="1"/>
      </w:tblPr>
      <w:tblGrid>
        <w:gridCol w:w="1707"/>
        <w:gridCol w:w="1704"/>
        <w:gridCol w:w="567"/>
        <w:gridCol w:w="1137"/>
        <w:gridCol w:w="567"/>
        <w:gridCol w:w="3968"/>
      </w:tblGrid>
      <w:tr w:rsidR="002E0E1D" w:rsidRPr="009D2D00" w14:paraId="466DC899" w14:textId="77777777" w:rsidTr="00891104">
        <w:trPr>
          <w:cnfStyle w:val="100000000000" w:firstRow="1" w:lastRow="0" w:firstColumn="0" w:lastColumn="0" w:oddVBand="0" w:evenVBand="0" w:oddHBand="0" w:evenHBand="0" w:firstRowFirstColumn="0" w:firstRowLastColumn="0" w:lastRowFirstColumn="0" w:lastRowLastColumn="0"/>
          <w:trHeight w:val="282"/>
        </w:trPr>
        <w:tc>
          <w:tcPr>
            <w:tcW w:w="884" w:type="pct"/>
          </w:tcPr>
          <w:p w14:paraId="0A6747B7" w14:textId="77777777" w:rsidR="002E0E1D" w:rsidRPr="009D2D00" w:rsidRDefault="002E0E1D" w:rsidP="002E0E1D">
            <w:pPr>
              <w:pStyle w:val="GOSTTableHead"/>
            </w:pPr>
            <w:r w:rsidRPr="009D2D00">
              <w:t>Наименование элемента</w:t>
            </w:r>
          </w:p>
        </w:tc>
        <w:tc>
          <w:tcPr>
            <w:tcW w:w="883" w:type="pct"/>
          </w:tcPr>
          <w:p w14:paraId="3736F0CD" w14:textId="77777777" w:rsidR="002E0E1D" w:rsidRPr="009D2D00" w:rsidRDefault="002E0E1D" w:rsidP="002E0E1D">
            <w:pPr>
              <w:pStyle w:val="GOSTTableHead"/>
            </w:pPr>
            <w:r w:rsidRPr="009D2D00">
              <w:t>Сокращенное наименование (код) элемента</w:t>
            </w:r>
          </w:p>
        </w:tc>
        <w:tc>
          <w:tcPr>
            <w:tcW w:w="294" w:type="pct"/>
          </w:tcPr>
          <w:p w14:paraId="51C0C096" w14:textId="77777777" w:rsidR="002E0E1D" w:rsidRPr="009D2D00" w:rsidRDefault="002E0E1D" w:rsidP="002E0E1D">
            <w:pPr>
              <w:pStyle w:val="GOSTTableHead"/>
            </w:pPr>
            <w:r w:rsidRPr="009D2D00">
              <w:t>Тип</w:t>
            </w:r>
          </w:p>
        </w:tc>
        <w:tc>
          <w:tcPr>
            <w:tcW w:w="589" w:type="pct"/>
          </w:tcPr>
          <w:p w14:paraId="6AA92BB5" w14:textId="77777777" w:rsidR="002E0E1D" w:rsidRPr="009D2D00" w:rsidRDefault="002E0E1D" w:rsidP="002E0E1D">
            <w:pPr>
              <w:pStyle w:val="GOSTTableHead"/>
            </w:pPr>
            <w:r w:rsidRPr="009D2D00">
              <w:t>Формат элемента</w:t>
            </w:r>
          </w:p>
        </w:tc>
        <w:tc>
          <w:tcPr>
            <w:tcW w:w="294" w:type="pct"/>
          </w:tcPr>
          <w:p w14:paraId="76FEAA33" w14:textId="77777777" w:rsidR="002E0E1D" w:rsidRPr="009D2D00" w:rsidRDefault="002E0E1D" w:rsidP="002E0E1D">
            <w:pPr>
              <w:pStyle w:val="GOSTTableHead"/>
            </w:pPr>
            <w:r w:rsidRPr="009D2D00">
              <w:t>Обязательность</w:t>
            </w:r>
          </w:p>
        </w:tc>
        <w:tc>
          <w:tcPr>
            <w:tcW w:w="2057" w:type="pct"/>
          </w:tcPr>
          <w:p w14:paraId="22D45280" w14:textId="77777777" w:rsidR="002E0E1D" w:rsidRPr="009D2D00" w:rsidRDefault="002E0E1D" w:rsidP="002E0E1D">
            <w:pPr>
              <w:pStyle w:val="GOSTTableHead"/>
            </w:pPr>
            <w:r w:rsidRPr="009D2D00">
              <w:t>Дополнительная информация</w:t>
            </w:r>
          </w:p>
        </w:tc>
      </w:tr>
      <w:tr w:rsidR="002E0E1D" w:rsidRPr="009D2D00" w14:paraId="36159B82" w14:textId="77777777" w:rsidTr="00891104">
        <w:trPr>
          <w:trHeight w:val="282"/>
        </w:trPr>
        <w:tc>
          <w:tcPr>
            <w:tcW w:w="884" w:type="pct"/>
          </w:tcPr>
          <w:p w14:paraId="7CB57616" w14:textId="77777777" w:rsidR="002E0E1D" w:rsidRPr="009D2D00" w:rsidRDefault="002E0E1D" w:rsidP="002E0E1D">
            <w:pPr>
              <w:pStyle w:val="GOSTTablenorm"/>
            </w:pPr>
            <w:r w:rsidRPr="009D2D00">
              <w:t>Код</w:t>
            </w:r>
          </w:p>
        </w:tc>
        <w:tc>
          <w:tcPr>
            <w:tcW w:w="883" w:type="pct"/>
          </w:tcPr>
          <w:p w14:paraId="58802865" w14:textId="77777777" w:rsidR="002E0E1D" w:rsidRPr="009D2D00" w:rsidRDefault="002E0E1D" w:rsidP="002E0E1D">
            <w:pPr>
              <w:pStyle w:val="GOSTTablenorm"/>
            </w:pPr>
            <w:r w:rsidRPr="009D2D00">
              <w:t>code</w:t>
            </w:r>
          </w:p>
        </w:tc>
        <w:tc>
          <w:tcPr>
            <w:tcW w:w="294" w:type="pct"/>
          </w:tcPr>
          <w:p w14:paraId="479A9504" w14:textId="77777777" w:rsidR="002E0E1D" w:rsidRPr="009D2D00" w:rsidRDefault="002E0E1D" w:rsidP="002E0E1D">
            <w:pPr>
              <w:pStyle w:val="GOSTTablenorm"/>
            </w:pPr>
            <w:r w:rsidRPr="009D2D00">
              <w:t>А</w:t>
            </w:r>
          </w:p>
        </w:tc>
        <w:tc>
          <w:tcPr>
            <w:tcW w:w="589" w:type="pct"/>
          </w:tcPr>
          <w:p w14:paraId="10538AA1" w14:textId="77777777" w:rsidR="002E0E1D" w:rsidRPr="009D2D00" w:rsidRDefault="002E0E1D" w:rsidP="002E0E1D">
            <w:pPr>
              <w:pStyle w:val="GOSTTablenorm"/>
            </w:pPr>
            <w:r w:rsidRPr="009D2D00">
              <w:t>-</w:t>
            </w:r>
          </w:p>
        </w:tc>
        <w:tc>
          <w:tcPr>
            <w:tcW w:w="294" w:type="pct"/>
          </w:tcPr>
          <w:p w14:paraId="6FFA0399" w14:textId="77777777" w:rsidR="002E0E1D" w:rsidRPr="0012332B" w:rsidRDefault="002E0E1D" w:rsidP="002E0E1D">
            <w:pPr>
              <w:pStyle w:val="GOSTTablenorm"/>
            </w:pPr>
            <w:r w:rsidRPr="0012332B">
              <w:t>О</w:t>
            </w:r>
          </w:p>
        </w:tc>
        <w:tc>
          <w:tcPr>
            <w:tcW w:w="2057" w:type="pct"/>
          </w:tcPr>
          <w:p w14:paraId="6568FEDD" w14:textId="77777777" w:rsidR="002E0E1D" w:rsidRDefault="002E0E1D" w:rsidP="002E0E1D">
            <w:pPr>
              <w:pStyle w:val="GOSTTablenorm"/>
            </w:pPr>
            <w:r w:rsidRPr="0012332B">
              <w:t>Возможные значения:</w:t>
            </w:r>
          </w:p>
          <w:p w14:paraId="08064EE9" w14:textId="77777777" w:rsidR="002E0E1D" w:rsidRPr="0012332B" w:rsidRDefault="002E0E1D" w:rsidP="002E0E1D">
            <w:pPr>
              <w:pStyle w:val="GOSTTableListMark1"/>
              <w:numPr>
                <w:ilvl w:val="0"/>
                <w:numId w:val="154"/>
              </w:numPr>
              <w:tabs>
                <w:tab w:val="clear" w:pos="368"/>
                <w:tab w:val="num" w:pos="340"/>
              </w:tabs>
              <w:ind w:left="340"/>
            </w:pPr>
            <w:r w:rsidRPr="0012332B">
              <w:t>«01» – основной документ;</w:t>
            </w:r>
          </w:p>
          <w:p w14:paraId="750E0653" w14:textId="77777777" w:rsidR="002E0E1D" w:rsidRPr="0012332B" w:rsidRDefault="002E0E1D" w:rsidP="002E0E1D">
            <w:pPr>
              <w:pStyle w:val="GOSTTableListMark1"/>
              <w:numPr>
                <w:ilvl w:val="0"/>
                <w:numId w:val="154"/>
              </w:numPr>
              <w:tabs>
                <w:tab w:val="clear" w:pos="368"/>
                <w:tab w:val="num" w:pos="340"/>
              </w:tabs>
              <w:ind w:left="340"/>
            </w:pPr>
            <w:r w:rsidRPr="0012332B">
              <w:t>«02» – изменения к документу</w:t>
            </w:r>
          </w:p>
        </w:tc>
      </w:tr>
      <w:tr w:rsidR="002E0E1D" w:rsidRPr="009D2D00" w14:paraId="7F3A7038" w14:textId="77777777" w:rsidTr="00891104">
        <w:trPr>
          <w:trHeight w:val="282"/>
        </w:trPr>
        <w:tc>
          <w:tcPr>
            <w:tcW w:w="884" w:type="pct"/>
          </w:tcPr>
          <w:p w14:paraId="75FB9FB7" w14:textId="77777777" w:rsidR="002E0E1D" w:rsidRPr="009D2D00" w:rsidRDefault="002E0E1D" w:rsidP="002E0E1D">
            <w:pPr>
              <w:pStyle w:val="GOSTTablenorm"/>
            </w:pPr>
            <w:r w:rsidRPr="009D2D00">
              <w:t>Вид документа</w:t>
            </w:r>
          </w:p>
        </w:tc>
        <w:tc>
          <w:tcPr>
            <w:tcW w:w="883" w:type="pct"/>
          </w:tcPr>
          <w:p w14:paraId="512B3959" w14:textId="77777777" w:rsidR="002E0E1D" w:rsidRPr="009D2D00" w:rsidRDefault="002E0E1D" w:rsidP="002E0E1D">
            <w:pPr>
              <w:pStyle w:val="GOSTTablenorm"/>
            </w:pPr>
            <w:r w:rsidRPr="009D2D00">
              <w:t>value</w:t>
            </w:r>
          </w:p>
        </w:tc>
        <w:tc>
          <w:tcPr>
            <w:tcW w:w="294" w:type="pct"/>
          </w:tcPr>
          <w:p w14:paraId="0243ED91" w14:textId="77777777" w:rsidR="002E0E1D" w:rsidRPr="009D2D00" w:rsidRDefault="002E0E1D" w:rsidP="002E0E1D">
            <w:pPr>
              <w:pStyle w:val="GOSTTablenorm"/>
            </w:pPr>
            <w:r w:rsidRPr="009D2D00">
              <w:t>А</w:t>
            </w:r>
          </w:p>
        </w:tc>
        <w:tc>
          <w:tcPr>
            <w:tcW w:w="589" w:type="pct"/>
          </w:tcPr>
          <w:p w14:paraId="02FD8C2D" w14:textId="77777777" w:rsidR="002E0E1D" w:rsidRPr="009D2D00" w:rsidRDefault="002E0E1D" w:rsidP="002E0E1D">
            <w:pPr>
              <w:pStyle w:val="GOSTTablenorm"/>
            </w:pPr>
            <w:r w:rsidRPr="009D2D00">
              <w:t>-</w:t>
            </w:r>
          </w:p>
        </w:tc>
        <w:tc>
          <w:tcPr>
            <w:tcW w:w="294" w:type="pct"/>
          </w:tcPr>
          <w:p w14:paraId="53F74C2D" w14:textId="77777777" w:rsidR="002E0E1D" w:rsidRPr="0012332B" w:rsidRDefault="002E0E1D" w:rsidP="002E0E1D">
            <w:pPr>
              <w:pStyle w:val="GOSTTablenorm"/>
            </w:pPr>
            <w:r w:rsidRPr="0012332B">
              <w:t>Н</w:t>
            </w:r>
          </w:p>
        </w:tc>
        <w:tc>
          <w:tcPr>
            <w:tcW w:w="2057" w:type="pct"/>
          </w:tcPr>
          <w:p w14:paraId="5132432B" w14:textId="77777777" w:rsidR="002E0E1D" w:rsidRPr="0012332B" w:rsidRDefault="002E0E1D" w:rsidP="002E0E1D">
            <w:pPr>
              <w:pStyle w:val="GOSTTablenorm"/>
            </w:pPr>
            <w:r w:rsidRPr="0012332B">
              <w:t>Возможные значения:</w:t>
            </w:r>
          </w:p>
          <w:p w14:paraId="10479F3E" w14:textId="77777777" w:rsidR="002E0E1D" w:rsidRPr="0012332B" w:rsidRDefault="002E0E1D" w:rsidP="002E0E1D">
            <w:pPr>
              <w:pStyle w:val="GOSTTableListMark1"/>
              <w:numPr>
                <w:ilvl w:val="0"/>
                <w:numId w:val="154"/>
              </w:numPr>
              <w:tabs>
                <w:tab w:val="clear" w:pos="368"/>
                <w:tab w:val="num" w:pos="340"/>
              </w:tabs>
              <w:ind w:left="340"/>
            </w:pPr>
            <w:r>
              <w:t>«</w:t>
            </w:r>
            <w:r w:rsidRPr="0012332B">
              <w:t>основной документ</w:t>
            </w:r>
            <w:r>
              <w:t>»</w:t>
            </w:r>
            <w:r w:rsidRPr="0012332B">
              <w:t>;</w:t>
            </w:r>
          </w:p>
          <w:p w14:paraId="26B4C01A" w14:textId="77777777" w:rsidR="002E0E1D" w:rsidRPr="0012332B" w:rsidRDefault="002E0E1D" w:rsidP="002E0E1D">
            <w:pPr>
              <w:pStyle w:val="GOSTTableListMark1"/>
              <w:numPr>
                <w:ilvl w:val="0"/>
                <w:numId w:val="154"/>
              </w:numPr>
              <w:tabs>
                <w:tab w:val="clear" w:pos="368"/>
                <w:tab w:val="num" w:pos="340"/>
              </w:tabs>
              <w:ind w:left="340"/>
            </w:pPr>
            <w:r>
              <w:t>«</w:t>
            </w:r>
            <w:r w:rsidRPr="0012332B">
              <w:t>изменения к документу</w:t>
            </w:r>
            <w:r>
              <w:t>»</w:t>
            </w:r>
          </w:p>
        </w:tc>
      </w:tr>
    </w:tbl>
    <w:p w14:paraId="7FF01F2F" w14:textId="77777777" w:rsidR="002E0E1D" w:rsidRPr="00176E24" w:rsidRDefault="002E0E1D" w:rsidP="002E0E1D">
      <w:pPr>
        <w:pStyle w:val="31"/>
        <w:tabs>
          <w:tab w:val="clear" w:pos="720"/>
        </w:tabs>
        <w:suppressAutoHyphens/>
        <w:ind w:left="862"/>
        <w:rPr>
          <w:highlight w:val="green"/>
        </w:rPr>
      </w:pPr>
      <w:bookmarkStart w:id="4590" w:name="_Toc207639661"/>
      <w:bookmarkStart w:id="4591" w:name="_Toc219309854"/>
      <w:r w:rsidRPr="00176E24">
        <w:rPr>
          <w:highlight w:val="green"/>
        </w:rPr>
        <w:t>Описание комплексного типа «tTBL_NPAAmnt»</w:t>
      </w:r>
      <w:bookmarkEnd w:id="4590"/>
      <w:bookmarkEnd w:id="4591"/>
    </w:p>
    <w:p w14:paraId="39E93E3E" w14:textId="77777777" w:rsidR="002E0E1D" w:rsidRPr="009D2D00" w:rsidRDefault="002E0E1D" w:rsidP="002E0E1D">
      <w:pPr>
        <w:pStyle w:val="ASFKNormal"/>
        <w:spacing w:before="60" w:after="120"/>
        <w:contextualSpacing w:val="0"/>
        <w:jc w:val="both"/>
        <w:rPr>
          <w:sz w:val="24"/>
          <w:szCs w:val="24"/>
        </w:rPr>
      </w:pPr>
      <w:r w:rsidRPr="009D2D00">
        <w:rPr>
          <w:sz w:val="24"/>
          <w:szCs w:val="24"/>
        </w:rPr>
        <w:t>Описание комплексного типа «</w:t>
      </w:r>
      <w:r w:rsidRPr="00450BD0">
        <w:rPr>
          <w:sz w:val="24"/>
          <w:szCs w:val="24"/>
        </w:rPr>
        <w:t>t</w:t>
      </w:r>
      <w:r>
        <w:rPr>
          <w:sz w:val="24"/>
          <w:szCs w:val="24"/>
          <w:lang w:val="en-US"/>
        </w:rPr>
        <w:t>TBL</w:t>
      </w:r>
      <w:r w:rsidRPr="00C1651F">
        <w:rPr>
          <w:sz w:val="24"/>
          <w:szCs w:val="24"/>
        </w:rPr>
        <w:t>_</w:t>
      </w:r>
      <w:r w:rsidRPr="00450BD0">
        <w:rPr>
          <w:sz w:val="24"/>
          <w:szCs w:val="24"/>
        </w:rPr>
        <w:t>NPAAmnt</w:t>
      </w:r>
      <w:r w:rsidRPr="009D2D00">
        <w:rPr>
          <w:sz w:val="24"/>
          <w:szCs w:val="24"/>
        </w:rPr>
        <w:t>» блока «Табличная часть</w:t>
      </w:r>
      <w:r>
        <w:rPr>
          <w:sz w:val="24"/>
          <w:szCs w:val="24"/>
        </w:rPr>
        <w:t xml:space="preserve"> </w:t>
      </w:r>
      <w:r w:rsidRPr="00D77362">
        <w:rPr>
          <w:sz w:val="24"/>
          <w:szCs w:val="24"/>
        </w:rPr>
        <w:t>«</w:t>
      </w:r>
      <w:r w:rsidRPr="005F3BE0">
        <w:rPr>
          <w:sz w:val="24"/>
          <w:szCs w:val="24"/>
        </w:rPr>
        <w:t>Объем средств, предусмотренный НПА</w:t>
      </w:r>
      <w:r w:rsidRPr="00D77362">
        <w:rPr>
          <w:sz w:val="24"/>
          <w:szCs w:val="24"/>
        </w:rPr>
        <w:t>»</w:t>
      </w:r>
      <w:r w:rsidRPr="009D2D00">
        <w:rPr>
          <w:sz w:val="24"/>
          <w:szCs w:val="24"/>
        </w:rPr>
        <w:t>».</w:t>
      </w:r>
    </w:p>
    <w:p w14:paraId="4405A737" w14:textId="27B3CD9B" w:rsidR="002E0E1D" w:rsidRPr="00BF75F2" w:rsidRDefault="002E0E1D" w:rsidP="002E0E1D">
      <w:pPr>
        <w:pStyle w:val="GOSTNameTable"/>
        <w:numPr>
          <w:ilvl w:val="0"/>
          <w:numId w:val="151"/>
        </w:numPr>
        <w:suppressAutoHyphens/>
        <w:spacing w:before="240" w:after="120"/>
        <w:rPr>
          <w:rFonts w:eastAsia="Calibri"/>
          <w:highlight w:val="green"/>
        </w:rPr>
      </w:pPr>
      <w:r w:rsidRPr="00BF75F2">
        <w:rPr>
          <w:rFonts w:eastAsia="Calibri"/>
          <w:highlight w:val="green"/>
        </w:rPr>
        <w:fldChar w:fldCharType="begin"/>
      </w:r>
      <w:r w:rsidRPr="00BF75F2">
        <w:rPr>
          <w:rFonts w:eastAsia="Calibri"/>
          <w:highlight w:val="green"/>
        </w:rPr>
        <w:instrText xml:space="preserve"> SEQ Таблица \* ARABIC </w:instrText>
      </w:r>
      <w:r w:rsidRPr="00BF75F2">
        <w:rPr>
          <w:rFonts w:eastAsia="Calibri"/>
          <w:highlight w:val="green"/>
        </w:rPr>
        <w:fldChar w:fldCharType="separate"/>
      </w:r>
      <w:bookmarkStart w:id="4592" w:name="_Ref216442762"/>
      <w:bookmarkStart w:id="4593" w:name="_Toc219309391"/>
      <w:r w:rsidR="008D797C">
        <w:rPr>
          <w:rFonts w:eastAsia="Calibri"/>
          <w:noProof/>
          <w:highlight w:val="green"/>
        </w:rPr>
        <w:t>361</w:t>
      </w:r>
      <w:bookmarkEnd w:id="4592"/>
      <w:r w:rsidRPr="00BF75F2">
        <w:rPr>
          <w:rFonts w:eastAsia="Calibri"/>
          <w:highlight w:val="green"/>
        </w:rPr>
        <w:fldChar w:fldCharType="end"/>
      </w:r>
      <w:r w:rsidRPr="00BF75F2">
        <w:rPr>
          <w:rFonts w:eastAsia="Calibri"/>
          <w:highlight w:val="green"/>
        </w:rPr>
        <w:t xml:space="preserve"> – Описание комплексного типа «</w:t>
      </w:r>
      <w:r w:rsidRPr="00BF75F2">
        <w:rPr>
          <w:highlight w:val="green"/>
        </w:rPr>
        <w:t>t</w:t>
      </w:r>
      <w:r>
        <w:rPr>
          <w:highlight w:val="green"/>
          <w:lang w:val="en-US"/>
        </w:rPr>
        <w:t>TBL</w:t>
      </w:r>
      <w:r w:rsidRPr="00C1651F">
        <w:rPr>
          <w:highlight w:val="green"/>
        </w:rPr>
        <w:t>_</w:t>
      </w:r>
      <w:r w:rsidRPr="00450BD0">
        <w:rPr>
          <w:highlight w:val="green"/>
        </w:rPr>
        <w:t>NPAAmnt</w:t>
      </w:r>
      <w:r w:rsidRPr="00BF75F2">
        <w:rPr>
          <w:rFonts w:eastAsia="Calibri"/>
          <w:highlight w:val="green"/>
        </w:rPr>
        <w:t>»</w:t>
      </w:r>
      <w:bookmarkEnd w:id="4593"/>
    </w:p>
    <w:tbl>
      <w:tblPr>
        <w:tblStyle w:val="GOSTTable"/>
        <w:tblW w:w="5000" w:type="pct"/>
        <w:tblLayout w:type="fixed"/>
        <w:tblLook w:val="07E0" w:firstRow="1" w:lastRow="1" w:firstColumn="1" w:lastColumn="1" w:noHBand="1" w:noVBand="1"/>
      </w:tblPr>
      <w:tblGrid>
        <w:gridCol w:w="1705"/>
        <w:gridCol w:w="1705"/>
        <w:gridCol w:w="568"/>
        <w:gridCol w:w="1137"/>
        <w:gridCol w:w="567"/>
        <w:gridCol w:w="3968"/>
      </w:tblGrid>
      <w:tr w:rsidR="002E0E1D" w:rsidRPr="009D2D00" w14:paraId="70E77B43" w14:textId="77777777" w:rsidTr="00891104">
        <w:trPr>
          <w:cnfStyle w:val="100000000000" w:firstRow="1" w:lastRow="0" w:firstColumn="0" w:lastColumn="0" w:oddVBand="0" w:evenVBand="0" w:oddHBand="0" w:evenHBand="0" w:firstRowFirstColumn="0" w:firstRowLastColumn="0" w:lastRowFirstColumn="0" w:lastRowLastColumn="0"/>
          <w:trHeight w:val="282"/>
          <w:tblHeader/>
        </w:trPr>
        <w:tc>
          <w:tcPr>
            <w:tcW w:w="883" w:type="pct"/>
          </w:tcPr>
          <w:p w14:paraId="27ECC8E4" w14:textId="77777777" w:rsidR="002E0E1D" w:rsidRPr="009D2D00" w:rsidRDefault="002E0E1D" w:rsidP="002E0E1D">
            <w:pPr>
              <w:pStyle w:val="GOSTTableHead"/>
              <w:rPr>
                <w:lang w:val="en-US"/>
              </w:rPr>
            </w:pPr>
            <w:r w:rsidRPr="009D2D00">
              <w:t>Наименование комплексного типа</w:t>
            </w:r>
          </w:p>
        </w:tc>
        <w:tc>
          <w:tcPr>
            <w:tcW w:w="883" w:type="pct"/>
          </w:tcPr>
          <w:p w14:paraId="41E3997C" w14:textId="77777777" w:rsidR="002E0E1D" w:rsidRPr="009D2D00" w:rsidRDefault="002E0E1D" w:rsidP="002E0E1D">
            <w:pPr>
              <w:pStyle w:val="GOSTTableHead"/>
            </w:pPr>
            <w:r w:rsidRPr="009D2D00">
              <w:t>Текущий элемент/</w:t>
            </w:r>
            <w:r w:rsidRPr="009D2D00">
              <w:rPr>
                <w:lang w:val="en-US"/>
              </w:rPr>
              <w:t xml:space="preserve"> </w:t>
            </w:r>
            <w:r w:rsidRPr="009D2D00">
              <w:t>атрибут</w:t>
            </w:r>
          </w:p>
        </w:tc>
        <w:tc>
          <w:tcPr>
            <w:tcW w:w="294" w:type="pct"/>
          </w:tcPr>
          <w:p w14:paraId="53840EE6" w14:textId="77777777" w:rsidR="002E0E1D" w:rsidRPr="009D2D00" w:rsidRDefault="002E0E1D" w:rsidP="002E0E1D">
            <w:pPr>
              <w:pStyle w:val="GOSTTableHead"/>
            </w:pPr>
            <w:r w:rsidRPr="009D2D00">
              <w:t>Тип</w:t>
            </w:r>
          </w:p>
        </w:tc>
        <w:tc>
          <w:tcPr>
            <w:tcW w:w="589" w:type="pct"/>
          </w:tcPr>
          <w:p w14:paraId="0C3C7A21" w14:textId="77777777" w:rsidR="002E0E1D" w:rsidRPr="009D2D00" w:rsidRDefault="002E0E1D" w:rsidP="002E0E1D">
            <w:pPr>
              <w:pStyle w:val="GOSTTableHead"/>
            </w:pPr>
            <w:r w:rsidRPr="009D2D00">
              <w:t>Формат элемента</w:t>
            </w:r>
          </w:p>
        </w:tc>
        <w:tc>
          <w:tcPr>
            <w:tcW w:w="294" w:type="pct"/>
          </w:tcPr>
          <w:p w14:paraId="0725FF09" w14:textId="77777777" w:rsidR="002E0E1D" w:rsidRPr="009D2D00" w:rsidRDefault="002E0E1D" w:rsidP="002E0E1D">
            <w:pPr>
              <w:pStyle w:val="GOSTTableHead"/>
            </w:pPr>
            <w:r w:rsidRPr="009D2D00">
              <w:t>Обязательность</w:t>
            </w:r>
          </w:p>
        </w:tc>
        <w:tc>
          <w:tcPr>
            <w:tcW w:w="2056" w:type="pct"/>
          </w:tcPr>
          <w:p w14:paraId="57B5B4D7" w14:textId="77777777" w:rsidR="002E0E1D" w:rsidRPr="009D2D00" w:rsidRDefault="002E0E1D" w:rsidP="002E0E1D">
            <w:pPr>
              <w:pStyle w:val="GOSTTableHead"/>
            </w:pPr>
            <w:r w:rsidRPr="009D2D00">
              <w:t>Дополнительная информация</w:t>
            </w:r>
          </w:p>
        </w:tc>
      </w:tr>
      <w:tr w:rsidR="002E0E1D" w:rsidRPr="009D2D00" w14:paraId="65B29813" w14:textId="77777777" w:rsidTr="00891104">
        <w:trPr>
          <w:trHeight w:val="282"/>
        </w:trPr>
        <w:tc>
          <w:tcPr>
            <w:tcW w:w="883" w:type="pct"/>
          </w:tcPr>
          <w:p w14:paraId="7B70AD67" w14:textId="77777777" w:rsidR="002E0E1D" w:rsidRPr="009D2D00" w:rsidRDefault="002E0E1D" w:rsidP="002E0E1D">
            <w:pPr>
              <w:pStyle w:val="GOSTTablenorm"/>
            </w:pPr>
            <w:r w:rsidRPr="00450BD0">
              <w:t>t</w:t>
            </w:r>
            <w:r>
              <w:rPr>
                <w:lang w:val="en-US"/>
              </w:rPr>
              <w:t>TBL_</w:t>
            </w:r>
            <w:r w:rsidRPr="00450BD0">
              <w:t>NPAAmnt</w:t>
            </w:r>
          </w:p>
        </w:tc>
        <w:tc>
          <w:tcPr>
            <w:tcW w:w="883" w:type="pct"/>
          </w:tcPr>
          <w:p w14:paraId="2CB93032" w14:textId="77777777" w:rsidR="002E0E1D" w:rsidRPr="009D2D00" w:rsidRDefault="002E0E1D" w:rsidP="002E0E1D">
            <w:pPr>
              <w:pStyle w:val="GOSTTablenorm"/>
            </w:pPr>
            <w:r>
              <w:rPr>
                <w:lang w:val="en-US"/>
              </w:rPr>
              <w:t>TBL_</w:t>
            </w:r>
            <w:r w:rsidRPr="00450BD0">
              <w:t>NPAAmnt</w:t>
            </w:r>
            <w:r>
              <w:t>_</w:t>
            </w:r>
            <w:r w:rsidRPr="009D2D00">
              <w:t>ITEM</w:t>
            </w:r>
          </w:p>
        </w:tc>
        <w:tc>
          <w:tcPr>
            <w:tcW w:w="294" w:type="pct"/>
          </w:tcPr>
          <w:p w14:paraId="577AB7AB" w14:textId="77777777" w:rsidR="002E0E1D" w:rsidRPr="009D2D00" w:rsidRDefault="002E0E1D" w:rsidP="002E0E1D">
            <w:pPr>
              <w:pStyle w:val="GOSTTablenorm"/>
            </w:pPr>
            <w:r w:rsidRPr="009D2D00">
              <w:t>С</w:t>
            </w:r>
          </w:p>
        </w:tc>
        <w:tc>
          <w:tcPr>
            <w:tcW w:w="589" w:type="pct"/>
          </w:tcPr>
          <w:p w14:paraId="19E4FC3B" w14:textId="77777777" w:rsidR="002E0E1D" w:rsidRPr="009D2D00" w:rsidRDefault="002E0E1D" w:rsidP="002E0E1D">
            <w:pPr>
              <w:pStyle w:val="GOSTTablenorm"/>
            </w:pPr>
            <w:r w:rsidRPr="00450BD0">
              <w:t>t</w:t>
            </w:r>
            <w:r>
              <w:rPr>
                <w:lang w:val="en-US"/>
              </w:rPr>
              <w:t>TBL_</w:t>
            </w:r>
            <w:r w:rsidRPr="00450BD0">
              <w:t>NPAAmnt</w:t>
            </w:r>
            <w:r>
              <w:t>_</w:t>
            </w:r>
            <w:r w:rsidRPr="009D2D00">
              <w:t>IT</w:t>
            </w:r>
            <w:r w:rsidRPr="009D2D00">
              <w:lastRenderedPageBreak/>
              <w:t>EM</w:t>
            </w:r>
          </w:p>
        </w:tc>
        <w:tc>
          <w:tcPr>
            <w:tcW w:w="294" w:type="pct"/>
          </w:tcPr>
          <w:p w14:paraId="00AD2680" w14:textId="77777777" w:rsidR="002E0E1D" w:rsidRPr="009D2D00" w:rsidRDefault="002E0E1D" w:rsidP="002E0E1D">
            <w:pPr>
              <w:pStyle w:val="GOSTTablenorm"/>
            </w:pPr>
            <w:r w:rsidRPr="009D2D00">
              <w:lastRenderedPageBreak/>
              <w:t>ОМ</w:t>
            </w:r>
          </w:p>
        </w:tc>
        <w:tc>
          <w:tcPr>
            <w:tcW w:w="2056" w:type="pct"/>
          </w:tcPr>
          <w:p w14:paraId="0DAA9F6C" w14:textId="7010B7D4" w:rsidR="002E0E1D" w:rsidRPr="009D2D00" w:rsidRDefault="002E0E1D" w:rsidP="00891104">
            <w:pPr>
              <w:pStyle w:val="GOSTTablenorm"/>
            </w:pPr>
            <w:r w:rsidRPr="009D2D00">
              <w:t xml:space="preserve">Состав элемента представлен в таблице </w:t>
            </w:r>
            <w:r w:rsidR="00891104">
              <w:fldChar w:fldCharType="begin"/>
            </w:r>
            <w:r w:rsidR="00891104">
              <w:instrText xml:space="preserve"> REF _Ref216442764 \h  \* MERGEFORMAT </w:instrText>
            </w:r>
            <w:r w:rsidR="00891104">
              <w:fldChar w:fldCharType="separate"/>
            </w:r>
            <w:r w:rsidR="008D797C">
              <w:rPr>
                <w:rFonts w:eastAsia="Calibri"/>
                <w:noProof/>
                <w:highlight w:val="green"/>
              </w:rPr>
              <w:t>362</w:t>
            </w:r>
            <w:r w:rsidR="00891104">
              <w:fldChar w:fldCharType="end"/>
            </w:r>
          </w:p>
        </w:tc>
      </w:tr>
    </w:tbl>
    <w:p w14:paraId="0F80EBD5" w14:textId="77777777" w:rsidR="002E0E1D" w:rsidRPr="00176E24" w:rsidRDefault="002E0E1D" w:rsidP="002E0E1D">
      <w:pPr>
        <w:pStyle w:val="31"/>
        <w:tabs>
          <w:tab w:val="clear" w:pos="720"/>
        </w:tabs>
        <w:suppressAutoHyphens/>
        <w:ind w:left="862"/>
        <w:rPr>
          <w:highlight w:val="green"/>
        </w:rPr>
      </w:pPr>
      <w:bookmarkStart w:id="4594" w:name="_Toc207639662"/>
      <w:bookmarkStart w:id="4595" w:name="_Toc219309855"/>
      <w:r w:rsidRPr="00176E24">
        <w:rPr>
          <w:highlight w:val="green"/>
        </w:rPr>
        <w:lastRenderedPageBreak/>
        <w:t>Описание комплексного типа «tTBL_NPAAmnt_ITEM»</w:t>
      </w:r>
      <w:bookmarkEnd w:id="4594"/>
      <w:bookmarkEnd w:id="4595"/>
    </w:p>
    <w:p w14:paraId="5FE3FAC8" w14:textId="77777777" w:rsidR="002E0E1D" w:rsidRPr="009D2D00" w:rsidRDefault="002E0E1D" w:rsidP="002E0E1D">
      <w:pPr>
        <w:pStyle w:val="ASFKNormal"/>
        <w:spacing w:before="60" w:after="120"/>
        <w:contextualSpacing w:val="0"/>
        <w:jc w:val="both"/>
        <w:rPr>
          <w:sz w:val="24"/>
          <w:szCs w:val="24"/>
        </w:rPr>
      </w:pPr>
      <w:r w:rsidRPr="009D2D00">
        <w:rPr>
          <w:sz w:val="24"/>
          <w:szCs w:val="24"/>
        </w:rPr>
        <w:t>Описание комплексного типа «</w:t>
      </w:r>
      <w:r w:rsidRPr="006645C0">
        <w:rPr>
          <w:sz w:val="24"/>
          <w:szCs w:val="24"/>
        </w:rPr>
        <w:t>t</w:t>
      </w:r>
      <w:r>
        <w:rPr>
          <w:sz w:val="24"/>
          <w:szCs w:val="24"/>
          <w:lang w:val="en-US"/>
        </w:rPr>
        <w:t>TBL</w:t>
      </w:r>
      <w:r w:rsidRPr="00C1651F">
        <w:rPr>
          <w:sz w:val="24"/>
          <w:szCs w:val="24"/>
        </w:rPr>
        <w:t>_</w:t>
      </w:r>
      <w:r w:rsidRPr="006645C0">
        <w:rPr>
          <w:sz w:val="24"/>
          <w:szCs w:val="24"/>
        </w:rPr>
        <w:t>NPAAmnt_ITEM</w:t>
      </w:r>
      <w:r w:rsidRPr="009D2D00">
        <w:rPr>
          <w:sz w:val="24"/>
          <w:szCs w:val="24"/>
        </w:rPr>
        <w:t>» строк блока «Табличная часть</w:t>
      </w:r>
      <w:r>
        <w:rPr>
          <w:sz w:val="24"/>
          <w:szCs w:val="24"/>
        </w:rPr>
        <w:t xml:space="preserve"> </w:t>
      </w:r>
      <w:r w:rsidRPr="00D77362">
        <w:rPr>
          <w:sz w:val="24"/>
          <w:szCs w:val="24"/>
        </w:rPr>
        <w:t>«</w:t>
      </w:r>
      <w:r w:rsidRPr="0068319E">
        <w:rPr>
          <w:sz w:val="24"/>
          <w:szCs w:val="24"/>
        </w:rPr>
        <w:t>Объем средств, предусмотренный НПА</w:t>
      </w:r>
      <w:r w:rsidRPr="00D77362">
        <w:rPr>
          <w:sz w:val="24"/>
          <w:szCs w:val="24"/>
        </w:rPr>
        <w:t>»</w:t>
      </w:r>
      <w:r w:rsidRPr="009D2D00">
        <w:rPr>
          <w:sz w:val="24"/>
          <w:szCs w:val="24"/>
        </w:rPr>
        <w:t>».</w:t>
      </w:r>
    </w:p>
    <w:p w14:paraId="4818B188" w14:textId="6F6258AD" w:rsidR="002E0E1D" w:rsidRPr="00BF75F2" w:rsidRDefault="002E0E1D" w:rsidP="002E0E1D">
      <w:pPr>
        <w:pStyle w:val="GOSTNameTable"/>
        <w:numPr>
          <w:ilvl w:val="0"/>
          <w:numId w:val="151"/>
        </w:numPr>
        <w:suppressAutoHyphens/>
        <w:spacing w:before="240" w:after="120"/>
        <w:rPr>
          <w:rFonts w:eastAsia="Calibri"/>
          <w:highlight w:val="green"/>
        </w:rPr>
      </w:pPr>
      <w:r w:rsidRPr="00BF75F2">
        <w:rPr>
          <w:rFonts w:eastAsia="Calibri"/>
          <w:highlight w:val="green"/>
        </w:rPr>
        <w:fldChar w:fldCharType="begin"/>
      </w:r>
      <w:r w:rsidRPr="00BF75F2">
        <w:rPr>
          <w:rFonts w:eastAsia="Calibri"/>
          <w:highlight w:val="green"/>
        </w:rPr>
        <w:instrText xml:space="preserve"> SEQ Таблица \* ARABIC </w:instrText>
      </w:r>
      <w:r w:rsidRPr="00BF75F2">
        <w:rPr>
          <w:rFonts w:eastAsia="Calibri"/>
          <w:highlight w:val="green"/>
        </w:rPr>
        <w:fldChar w:fldCharType="separate"/>
      </w:r>
      <w:bookmarkStart w:id="4596" w:name="_Ref216442764"/>
      <w:bookmarkStart w:id="4597" w:name="_Toc219309392"/>
      <w:r w:rsidR="008D797C">
        <w:rPr>
          <w:rFonts w:eastAsia="Calibri"/>
          <w:noProof/>
          <w:highlight w:val="green"/>
        </w:rPr>
        <w:t>362</w:t>
      </w:r>
      <w:bookmarkEnd w:id="4596"/>
      <w:r w:rsidRPr="00BF75F2">
        <w:rPr>
          <w:rFonts w:eastAsia="Calibri"/>
          <w:highlight w:val="green"/>
        </w:rPr>
        <w:fldChar w:fldCharType="end"/>
      </w:r>
      <w:r w:rsidRPr="00BF75F2">
        <w:rPr>
          <w:rFonts w:eastAsia="Calibri"/>
          <w:highlight w:val="green"/>
        </w:rPr>
        <w:t xml:space="preserve"> – Описание комплексного типа «</w:t>
      </w:r>
      <w:r>
        <w:rPr>
          <w:highlight w:val="green"/>
        </w:rPr>
        <w:t>t</w:t>
      </w:r>
      <w:r>
        <w:rPr>
          <w:highlight w:val="green"/>
          <w:lang w:val="en-US"/>
        </w:rPr>
        <w:t>TBL</w:t>
      </w:r>
      <w:r w:rsidRPr="00C1651F">
        <w:rPr>
          <w:highlight w:val="green"/>
        </w:rPr>
        <w:t>_</w:t>
      </w:r>
      <w:r w:rsidRPr="006645C0">
        <w:rPr>
          <w:highlight w:val="green"/>
        </w:rPr>
        <w:t>NPAAmnt_ITEM</w:t>
      </w:r>
      <w:r w:rsidRPr="00BF75F2">
        <w:rPr>
          <w:rFonts w:eastAsia="Calibri"/>
          <w:highlight w:val="green"/>
        </w:rPr>
        <w:t>»</w:t>
      </w:r>
      <w:bookmarkEnd w:id="4597"/>
    </w:p>
    <w:tbl>
      <w:tblPr>
        <w:tblStyle w:val="GOSTTable"/>
        <w:tblW w:w="5000" w:type="pct"/>
        <w:tblLayout w:type="fixed"/>
        <w:tblLook w:val="07E0" w:firstRow="1" w:lastRow="1" w:firstColumn="1" w:lastColumn="1" w:noHBand="1" w:noVBand="1"/>
      </w:tblPr>
      <w:tblGrid>
        <w:gridCol w:w="1705"/>
        <w:gridCol w:w="1705"/>
        <w:gridCol w:w="568"/>
        <w:gridCol w:w="1137"/>
        <w:gridCol w:w="567"/>
        <w:gridCol w:w="3968"/>
      </w:tblGrid>
      <w:tr w:rsidR="002E0E1D" w:rsidRPr="009D2D00" w14:paraId="00813CD1" w14:textId="77777777" w:rsidTr="00891104">
        <w:trPr>
          <w:cnfStyle w:val="100000000000" w:firstRow="1" w:lastRow="0" w:firstColumn="0" w:lastColumn="0" w:oddVBand="0" w:evenVBand="0" w:oddHBand="0" w:evenHBand="0" w:firstRowFirstColumn="0" w:firstRowLastColumn="0" w:lastRowFirstColumn="0" w:lastRowLastColumn="0"/>
          <w:trHeight w:val="282"/>
          <w:tblHeader/>
        </w:trPr>
        <w:tc>
          <w:tcPr>
            <w:tcW w:w="883" w:type="pct"/>
          </w:tcPr>
          <w:p w14:paraId="765F974E" w14:textId="77777777" w:rsidR="002E0E1D" w:rsidRPr="009D2D00" w:rsidRDefault="002E0E1D" w:rsidP="002E0E1D">
            <w:pPr>
              <w:pStyle w:val="GOSTTableHead"/>
            </w:pPr>
            <w:r w:rsidRPr="009D2D00">
              <w:t>Наименование элемента</w:t>
            </w:r>
          </w:p>
        </w:tc>
        <w:tc>
          <w:tcPr>
            <w:tcW w:w="883" w:type="pct"/>
          </w:tcPr>
          <w:p w14:paraId="4C3C7090" w14:textId="77777777" w:rsidR="002E0E1D" w:rsidRPr="009D2D00" w:rsidRDefault="002E0E1D" w:rsidP="002E0E1D">
            <w:pPr>
              <w:pStyle w:val="GOSTTableHead"/>
            </w:pPr>
            <w:r w:rsidRPr="009D2D00">
              <w:t>Сокращенное наименование (код) элемента</w:t>
            </w:r>
          </w:p>
        </w:tc>
        <w:tc>
          <w:tcPr>
            <w:tcW w:w="294" w:type="pct"/>
          </w:tcPr>
          <w:p w14:paraId="45B72D70" w14:textId="77777777" w:rsidR="002E0E1D" w:rsidRPr="009D2D00" w:rsidRDefault="002E0E1D" w:rsidP="002E0E1D">
            <w:pPr>
              <w:pStyle w:val="GOSTTableHead"/>
            </w:pPr>
            <w:r w:rsidRPr="009D2D00">
              <w:t>Тип</w:t>
            </w:r>
          </w:p>
        </w:tc>
        <w:tc>
          <w:tcPr>
            <w:tcW w:w="589" w:type="pct"/>
          </w:tcPr>
          <w:p w14:paraId="1F56F576" w14:textId="77777777" w:rsidR="002E0E1D" w:rsidRPr="009D2D00" w:rsidRDefault="002E0E1D" w:rsidP="002E0E1D">
            <w:pPr>
              <w:pStyle w:val="GOSTTableHead"/>
            </w:pPr>
            <w:r w:rsidRPr="009D2D00">
              <w:t>Формат элемента</w:t>
            </w:r>
          </w:p>
        </w:tc>
        <w:tc>
          <w:tcPr>
            <w:tcW w:w="294" w:type="pct"/>
          </w:tcPr>
          <w:p w14:paraId="66136630" w14:textId="77777777" w:rsidR="002E0E1D" w:rsidRPr="009D2D00" w:rsidRDefault="002E0E1D" w:rsidP="002E0E1D">
            <w:pPr>
              <w:pStyle w:val="GOSTTableHead"/>
            </w:pPr>
            <w:r w:rsidRPr="009D2D00">
              <w:t>Обязательность</w:t>
            </w:r>
          </w:p>
        </w:tc>
        <w:tc>
          <w:tcPr>
            <w:tcW w:w="2056" w:type="pct"/>
          </w:tcPr>
          <w:p w14:paraId="114433BB" w14:textId="77777777" w:rsidR="002E0E1D" w:rsidRPr="009D2D00" w:rsidRDefault="002E0E1D" w:rsidP="002E0E1D">
            <w:pPr>
              <w:pStyle w:val="GOSTTableHead"/>
            </w:pPr>
            <w:r w:rsidRPr="009D2D00">
              <w:t>Дополнительная информация</w:t>
            </w:r>
          </w:p>
        </w:tc>
      </w:tr>
      <w:tr w:rsidR="002E0E1D" w:rsidRPr="009D2D00" w14:paraId="2DAD4AAA" w14:textId="77777777" w:rsidTr="002E0E1D">
        <w:trPr>
          <w:trHeight w:val="282"/>
        </w:trPr>
        <w:tc>
          <w:tcPr>
            <w:tcW w:w="883" w:type="pct"/>
          </w:tcPr>
          <w:p w14:paraId="7906D405" w14:textId="77777777" w:rsidR="002E0E1D" w:rsidRDefault="002E0E1D" w:rsidP="002E0E1D">
            <w:pPr>
              <w:pStyle w:val="GOSTTablenorm"/>
            </w:pPr>
            <w:r w:rsidRPr="007C0060">
              <w:t>Сведения о нормативном правовом акте</w:t>
            </w:r>
          </w:p>
          <w:p w14:paraId="1600C991" w14:textId="77777777" w:rsidR="002E0E1D" w:rsidRPr="009D2D00" w:rsidRDefault="002E0E1D" w:rsidP="002E0E1D">
            <w:pPr>
              <w:pStyle w:val="GOSTTablenorm"/>
            </w:pPr>
            <w:r>
              <w:t>вид документа</w:t>
            </w:r>
          </w:p>
        </w:tc>
        <w:tc>
          <w:tcPr>
            <w:tcW w:w="883" w:type="pct"/>
          </w:tcPr>
          <w:p w14:paraId="37418788" w14:textId="77777777" w:rsidR="002E0E1D" w:rsidRPr="00636EBF" w:rsidRDefault="002E0E1D" w:rsidP="002E0E1D">
            <w:pPr>
              <w:pStyle w:val="GOSTTablenorm"/>
            </w:pPr>
            <w:r w:rsidRPr="001D7AC6">
              <w:t>NPA</w:t>
            </w:r>
            <w:r>
              <w:t>_</w:t>
            </w:r>
            <w:r w:rsidRPr="007F3877">
              <w:t>T</w:t>
            </w:r>
            <w:r>
              <w:rPr>
                <w:lang w:val="en-US"/>
              </w:rPr>
              <w:t>p</w:t>
            </w:r>
            <w:r w:rsidRPr="007F3877">
              <w:t>D</w:t>
            </w:r>
            <w:r>
              <w:rPr>
                <w:lang w:val="en-US"/>
              </w:rPr>
              <w:t>o</w:t>
            </w:r>
            <w:r w:rsidRPr="007F3877">
              <w:t>c</w:t>
            </w:r>
          </w:p>
        </w:tc>
        <w:tc>
          <w:tcPr>
            <w:tcW w:w="294" w:type="pct"/>
          </w:tcPr>
          <w:p w14:paraId="67F94DA9" w14:textId="77777777" w:rsidR="002E0E1D" w:rsidRPr="009D2D00" w:rsidRDefault="002E0E1D" w:rsidP="002E0E1D">
            <w:pPr>
              <w:pStyle w:val="GOSTTablenorm"/>
            </w:pPr>
            <w:r w:rsidRPr="009D2D00">
              <w:t>П</w:t>
            </w:r>
          </w:p>
        </w:tc>
        <w:tc>
          <w:tcPr>
            <w:tcW w:w="589" w:type="pct"/>
          </w:tcPr>
          <w:p w14:paraId="622543C1" w14:textId="77777777" w:rsidR="002E0E1D" w:rsidRPr="009D2D00" w:rsidRDefault="002E0E1D" w:rsidP="002E0E1D">
            <w:pPr>
              <w:pStyle w:val="GOSTTablenorm"/>
            </w:pPr>
            <w:r w:rsidRPr="009D2D00">
              <w:t>Т(</w:t>
            </w:r>
            <w:r>
              <w:t>1-2000</w:t>
            </w:r>
            <w:r w:rsidRPr="009D2D00">
              <w:t>)</w:t>
            </w:r>
          </w:p>
        </w:tc>
        <w:tc>
          <w:tcPr>
            <w:tcW w:w="294" w:type="pct"/>
          </w:tcPr>
          <w:p w14:paraId="4AA52A84" w14:textId="77777777" w:rsidR="002E0E1D" w:rsidRPr="009D2D00" w:rsidRDefault="002E0E1D" w:rsidP="002E0E1D">
            <w:pPr>
              <w:pStyle w:val="GOSTTablenorm"/>
            </w:pPr>
            <w:r w:rsidRPr="009D2D00">
              <w:t>О</w:t>
            </w:r>
          </w:p>
        </w:tc>
        <w:tc>
          <w:tcPr>
            <w:tcW w:w="2056" w:type="pct"/>
          </w:tcPr>
          <w:p w14:paraId="3D5CD6E8" w14:textId="77777777" w:rsidR="002E0E1D" w:rsidRPr="009D2D00" w:rsidRDefault="002E0E1D" w:rsidP="002E0E1D">
            <w:pPr>
              <w:pStyle w:val="GOSTTablenorm"/>
            </w:pPr>
            <w:r w:rsidRPr="00210046">
              <w:t>Указывается вид нормативно-правового документа</w:t>
            </w:r>
          </w:p>
        </w:tc>
      </w:tr>
      <w:tr w:rsidR="002E0E1D" w:rsidRPr="009D2D00" w14:paraId="0905B508" w14:textId="77777777" w:rsidTr="002E0E1D">
        <w:trPr>
          <w:trHeight w:val="282"/>
        </w:trPr>
        <w:tc>
          <w:tcPr>
            <w:tcW w:w="883" w:type="pct"/>
          </w:tcPr>
          <w:p w14:paraId="6C162110" w14:textId="77777777" w:rsidR="002E0E1D" w:rsidRDefault="002E0E1D" w:rsidP="002E0E1D">
            <w:pPr>
              <w:pStyle w:val="GOSTTablenorm"/>
            </w:pPr>
            <w:r w:rsidRPr="007C0060">
              <w:t>Сведения о нормативном правовом акте</w:t>
            </w:r>
          </w:p>
          <w:p w14:paraId="27FF63B1" w14:textId="77777777" w:rsidR="002E0E1D" w:rsidRPr="009D2D00" w:rsidRDefault="002E0E1D" w:rsidP="002E0E1D">
            <w:pPr>
              <w:pStyle w:val="GOSTTablenorm"/>
            </w:pPr>
            <w:r w:rsidRPr="007C0060">
              <w:t>дата документа</w:t>
            </w:r>
          </w:p>
        </w:tc>
        <w:tc>
          <w:tcPr>
            <w:tcW w:w="883" w:type="pct"/>
          </w:tcPr>
          <w:p w14:paraId="0BA040F7" w14:textId="77777777" w:rsidR="002E0E1D" w:rsidRPr="009D2D00" w:rsidRDefault="002E0E1D" w:rsidP="002E0E1D">
            <w:pPr>
              <w:pStyle w:val="GOSTTablenorm"/>
            </w:pPr>
            <w:r w:rsidRPr="001D7AC6">
              <w:t>NPA</w:t>
            </w:r>
            <w:r>
              <w:t>_</w:t>
            </w:r>
            <w:r>
              <w:rPr>
                <w:lang w:val="en-US"/>
              </w:rPr>
              <w:t>Dt</w:t>
            </w:r>
            <w:r w:rsidRPr="007F3877">
              <w:t>D</w:t>
            </w:r>
            <w:r>
              <w:rPr>
                <w:lang w:val="en-US"/>
              </w:rPr>
              <w:t>o</w:t>
            </w:r>
            <w:r w:rsidRPr="007F3877">
              <w:t>c</w:t>
            </w:r>
          </w:p>
        </w:tc>
        <w:tc>
          <w:tcPr>
            <w:tcW w:w="294" w:type="pct"/>
          </w:tcPr>
          <w:p w14:paraId="1DE8F808" w14:textId="77777777" w:rsidR="002E0E1D" w:rsidRPr="009D2D00" w:rsidRDefault="002E0E1D" w:rsidP="002E0E1D">
            <w:pPr>
              <w:pStyle w:val="GOSTTablenorm"/>
            </w:pPr>
            <w:r w:rsidRPr="009D2D00">
              <w:t>П</w:t>
            </w:r>
          </w:p>
        </w:tc>
        <w:tc>
          <w:tcPr>
            <w:tcW w:w="589" w:type="pct"/>
          </w:tcPr>
          <w:p w14:paraId="0D801C82" w14:textId="77777777" w:rsidR="002E0E1D" w:rsidRPr="00636EBF" w:rsidRDefault="002E0E1D" w:rsidP="002E0E1D">
            <w:pPr>
              <w:pStyle w:val="GOSTTablenorm"/>
              <w:rPr>
                <w:lang w:val="en-US"/>
              </w:rPr>
            </w:pPr>
            <w:r>
              <w:rPr>
                <w:szCs w:val="22"/>
                <w:lang w:val="en-US"/>
              </w:rPr>
              <w:t>Date</w:t>
            </w:r>
          </w:p>
        </w:tc>
        <w:tc>
          <w:tcPr>
            <w:tcW w:w="294" w:type="pct"/>
          </w:tcPr>
          <w:p w14:paraId="06D2534A" w14:textId="77777777" w:rsidR="002E0E1D" w:rsidRPr="009D2D00" w:rsidRDefault="002E0E1D" w:rsidP="002E0E1D">
            <w:pPr>
              <w:pStyle w:val="GOSTTablenorm"/>
            </w:pPr>
            <w:r w:rsidRPr="009D2D00">
              <w:t>О</w:t>
            </w:r>
          </w:p>
        </w:tc>
        <w:tc>
          <w:tcPr>
            <w:tcW w:w="2056" w:type="pct"/>
          </w:tcPr>
          <w:p w14:paraId="4DD1E9DD" w14:textId="77777777" w:rsidR="002E0E1D" w:rsidRPr="009D2D00" w:rsidRDefault="002E0E1D" w:rsidP="002E0E1D">
            <w:pPr>
              <w:pStyle w:val="GOSTTablenorm"/>
            </w:pPr>
            <w:r w:rsidRPr="00636EBF">
              <w:t>Указывается дата нормативно-правового документа</w:t>
            </w:r>
          </w:p>
        </w:tc>
      </w:tr>
      <w:tr w:rsidR="002E0E1D" w:rsidRPr="009D2D00" w14:paraId="3307EF0F" w14:textId="77777777" w:rsidTr="002E0E1D">
        <w:trPr>
          <w:trHeight w:val="282"/>
        </w:trPr>
        <w:tc>
          <w:tcPr>
            <w:tcW w:w="883" w:type="pct"/>
          </w:tcPr>
          <w:p w14:paraId="3AFE9D0B" w14:textId="77777777" w:rsidR="002E0E1D" w:rsidRDefault="002E0E1D" w:rsidP="002E0E1D">
            <w:pPr>
              <w:pStyle w:val="GOSTTablenorm"/>
            </w:pPr>
            <w:r w:rsidRPr="007C0060">
              <w:t>Сведения о нормативном правовом акте</w:t>
            </w:r>
          </w:p>
          <w:p w14:paraId="54DB7E1F" w14:textId="77777777" w:rsidR="002E0E1D" w:rsidRDefault="002E0E1D" w:rsidP="002E0E1D">
            <w:pPr>
              <w:pStyle w:val="GOSTTablenorm"/>
            </w:pPr>
            <w:r w:rsidRPr="007C0060">
              <w:t>номер документа</w:t>
            </w:r>
          </w:p>
        </w:tc>
        <w:tc>
          <w:tcPr>
            <w:tcW w:w="883" w:type="pct"/>
          </w:tcPr>
          <w:p w14:paraId="03823DE9" w14:textId="77777777" w:rsidR="002E0E1D" w:rsidRPr="00042743" w:rsidRDefault="002E0E1D" w:rsidP="002E0E1D">
            <w:pPr>
              <w:pStyle w:val="GOSTTablenorm"/>
              <w:rPr>
                <w:lang w:val="en-US"/>
              </w:rPr>
            </w:pPr>
            <w:r w:rsidRPr="001D7AC6">
              <w:t>NPA</w:t>
            </w:r>
            <w:r>
              <w:t>_</w:t>
            </w:r>
            <w:r>
              <w:rPr>
                <w:lang w:val="en-US"/>
              </w:rPr>
              <w:t>Num</w:t>
            </w:r>
            <w:r w:rsidRPr="007F3877">
              <w:t>D</w:t>
            </w:r>
            <w:r>
              <w:rPr>
                <w:lang w:val="en-US"/>
              </w:rPr>
              <w:t>o</w:t>
            </w:r>
            <w:r w:rsidRPr="007F3877">
              <w:t>c</w:t>
            </w:r>
          </w:p>
        </w:tc>
        <w:tc>
          <w:tcPr>
            <w:tcW w:w="294" w:type="pct"/>
          </w:tcPr>
          <w:p w14:paraId="368DD489" w14:textId="77777777" w:rsidR="002E0E1D" w:rsidRPr="009D2D00" w:rsidRDefault="002E0E1D" w:rsidP="002E0E1D">
            <w:pPr>
              <w:pStyle w:val="GOSTTablenorm"/>
            </w:pPr>
            <w:r w:rsidRPr="0043638D">
              <w:t>П</w:t>
            </w:r>
          </w:p>
        </w:tc>
        <w:tc>
          <w:tcPr>
            <w:tcW w:w="589" w:type="pct"/>
          </w:tcPr>
          <w:p w14:paraId="7A1F4AC8" w14:textId="77777777" w:rsidR="002E0E1D" w:rsidRPr="00636EBF" w:rsidRDefault="002E0E1D" w:rsidP="002E0E1D">
            <w:pPr>
              <w:pStyle w:val="GOSTTablenorm"/>
              <w:rPr>
                <w:lang w:val="en-US"/>
              </w:rPr>
            </w:pPr>
            <w:r w:rsidRPr="009D2D00">
              <w:t>Т(</w:t>
            </w:r>
            <w:r>
              <w:t>1-</w:t>
            </w:r>
            <w:r>
              <w:rPr>
                <w:lang w:val="en-US"/>
              </w:rPr>
              <w:t>1</w:t>
            </w:r>
            <w:r>
              <w:t>00</w:t>
            </w:r>
            <w:r>
              <w:rPr>
                <w:lang w:val="en-US"/>
              </w:rPr>
              <w:t>)</w:t>
            </w:r>
          </w:p>
        </w:tc>
        <w:tc>
          <w:tcPr>
            <w:tcW w:w="294" w:type="pct"/>
          </w:tcPr>
          <w:p w14:paraId="1D84D1A5" w14:textId="77777777" w:rsidR="002E0E1D" w:rsidRPr="009D2D00" w:rsidRDefault="002E0E1D" w:rsidP="002E0E1D">
            <w:pPr>
              <w:pStyle w:val="GOSTTablenorm"/>
            </w:pPr>
            <w:r w:rsidRPr="006E2FAC">
              <w:t>О</w:t>
            </w:r>
          </w:p>
        </w:tc>
        <w:tc>
          <w:tcPr>
            <w:tcW w:w="2056" w:type="pct"/>
          </w:tcPr>
          <w:p w14:paraId="0B6B6B81" w14:textId="77777777" w:rsidR="002E0E1D" w:rsidRPr="009D2D00" w:rsidRDefault="002E0E1D" w:rsidP="002E0E1D">
            <w:pPr>
              <w:pStyle w:val="GOSTTablenorm"/>
            </w:pPr>
            <w:r w:rsidRPr="007C0060">
              <w:t>Указывается номер нормативно-правового документа</w:t>
            </w:r>
          </w:p>
        </w:tc>
      </w:tr>
      <w:tr w:rsidR="002E0E1D" w:rsidRPr="009D2D00" w14:paraId="74D41F50" w14:textId="77777777" w:rsidTr="002E0E1D">
        <w:trPr>
          <w:trHeight w:val="282"/>
        </w:trPr>
        <w:tc>
          <w:tcPr>
            <w:tcW w:w="883" w:type="pct"/>
          </w:tcPr>
          <w:p w14:paraId="526AD8F5" w14:textId="77777777" w:rsidR="002E0E1D" w:rsidRDefault="002E0E1D" w:rsidP="002E0E1D">
            <w:pPr>
              <w:pStyle w:val="GOSTTablenorm"/>
            </w:pPr>
            <w:r>
              <w:t>Сведения о нормативном правовом акте</w:t>
            </w:r>
          </w:p>
          <w:p w14:paraId="681205EB" w14:textId="77777777" w:rsidR="002E0E1D" w:rsidRPr="007C0060" w:rsidRDefault="002E0E1D" w:rsidP="002E0E1D">
            <w:pPr>
              <w:pStyle w:val="GOSTTablenorm"/>
            </w:pPr>
            <w:r>
              <w:t>наименование документа</w:t>
            </w:r>
          </w:p>
        </w:tc>
        <w:tc>
          <w:tcPr>
            <w:tcW w:w="883" w:type="pct"/>
          </w:tcPr>
          <w:p w14:paraId="1679FD30" w14:textId="77777777" w:rsidR="002E0E1D" w:rsidRPr="001D7AC6" w:rsidRDefault="002E0E1D" w:rsidP="002E0E1D">
            <w:pPr>
              <w:pStyle w:val="GOSTTablenorm"/>
            </w:pPr>
            <w:r w:rsidRPr="001D7AC6">
              <w:t>NPA</w:t>
            </w:r>
            <w:r>
              <w:t>_</w:t>
            </w:r>
            <w:r>
              <w:rPr>
                <w:lang w:val="en-US"/>
              </w:rPr>
              <w:t>Name</w:t>
            </w:r>
            <w:r w:rsidRPr="007F3877">
              <w:t>D</w:t>
            </w:r>
            <w:r>
              <w:rPr>
                <w:lang w:val="en-US"/>
              </w:rPr>
              <w:t>o</w:t>
            </w:r>
            <w:r w:rsidRPr="007F3877">
              <w:t>c</w:t>
            </w:r>
          </w:p>
        </w:tc>
        <w:tc>
          <w:tcPr>
            <w:tcW w:w="294" w:type="pct"/>
          </w:tcPr>
          <w:p w14:paraId="60F2D4BB" w14:textId="77777777" w:rsidR="002E0E1D" w:rsidRPr="0043638D" w:rsidRDefault="002E0E1D" w:rsidP="002E0E1D">
            <w:pPr>
              <w:pStyle w:val="GOSTTablenorm"/>
            </w:pPr>
            <w:r w:rsidRPr="0043638D">
              <w:t>П</w:t>
            </w:r>
          </w:p>
        </w:tc>
        <w:tc>
          <w:tcPr>
            <w:tcW w:w="589" w:type="pct"/>
          </w:tcPr>
          <w:p w14:paraId="5ED7EFE9" w14:textId="77777777" w:rsidR="002E0E1D" w:rsidRPr="009D2D00" w:rsidRDefault="002E0E1D" w:rsidP="002E0E1D">
            <w:pPr>
              <w:pStyle w:val="GOSTTablenorm"/>
            </w:pPr>
            <w:r w:rsidRPr="009D2D00">
              <w:t>Т(</w:t>
            </w:r>
            <w:r>
              <w:t>1-2000</w:t>
            </w:r>
            <w:r>
              <w:rPr>
                <w:lang w:val="en-US"/>
              </w:rPr>
              <w:t>)</w:t>
            </w:r>
          </w:p>
        </w:tc>
        <w:tc>
          <w:tcPr>
            <w:tcW w:w="294" w:type="pct"/>
          </w:tcPr>
          <w:p w14:paraId="1D1B9FA7" w14:textId="77777777" w:rsidR="002E0E1D" w:rsidRPr="006E2FAC" w:rsidRDefault="002E0E1D" w:rsidP="002E0E1D">
            <w:pPr>
              <w:pStyle w:val="GOSTTablenorm"/>
            </w:pPr>
            <w:r w:rsidRPr="006E2FAC">
              <w:t>О</w:t>
            </w:r>
          </w:p>
        </w:tc>
        <w:tc>
          <w:tcPr>
            <w:tcW w:w="2056" w:type="pct"/>
          </w:tcPr>
          <w:p w14:paraId="47C8939F" w14:textId="77777777" w:rsidR="002E0E1D" w:rsidRPr="007C0060" w:rsidRDefault="002E0E1D" w:rsidP="002E0E1D">
            <w:pPr>
              <w:pStyle w:val="GOSTTablenorm"/>
            </w:pPr>
            <w:r w:rsidRPr="007C0060">
              <w:t xml:space="preserve">Указывается </w:t>
            </w:r>
            <w:r>
              <w:t xml:space="preserve">наименование </w:t>
            </w:r>
            <w:r w:rsidRPr="007C0060">
              <w:t>нормативно-правового документа</w:t>
            </w:r>
          </w:p>
        </w:tc>
      </w:tr>
      <w:tr w:rsidR="002E0E1D" w:rsidRPr="009D2D00" w14:paraId="0ED93EF4" w14:textId="77777777" w:rsidTr="002E0E1D">
        <w:trPr>
          <w:trHeight w:val="282"/>
        </w:trPr>
        <w:tc>
          <w:tcPr>
            <w:tcW w:w="883" w:type="pct"/>
          </w:tcPr>
          <w:p w14:paraId="08C23721" w14:textId="77777777" w:rsidR="002E0E1D" w:rsidRPr="00D77362" w:rsidRDefault="002E0E1D" w:rsidP="002E0E1D">
            <w:pPr>
              <w:pStyle w:val="GOSTTablenorm"/>
            </w:pPr>
            <w:r w:rsidRPr="007C0060">
              <w:t>Код вида расходов по бюджетной классификации</w:t>
            </w:r>
          </w:p>
        </w:tc>
        <w:tc>
          <w:tcPr>
            <w:tcW w:w="883" w:type="pct"/>
          </w:tcPr>
          <w:p w14:paraId="1DC9923B" w14:textId="77777777" w:rsidR="002E0E1D" w:rsidRPr="009D2D00" w:rsidRDefault="002E0E1D" w:rsidP="002E0E1D">
            <w:pPr>
              <w:pStyle w:val="GOSTTablenorm"/>
            </w:pPr>
            <w:r w:rsidRPr="0070781F">
              <w:t>CodeKVR</w:t>
            </w:r>
          </w:p>
        </w:tc>
        <w:tc>
          <w:tcPr>
            <w:tcW w:w="294" w:type="pct"/>
          </w:tcPr>
          <w:p w14:paraId="58FB9F79" w14:textId="77777777" w:rsidR="002E0E1D" w:rsidRPr="009D2D00" w:rsidRDefault="002E0E1D" w:rsidP="002E0E1D">
            <w:pPr>
              <w:pStyle w:val="GOSTTablenorm"/>
            </w:pPr>
            <w:r w:rsidRPr="0043638D">
              <w:t>П</w:t>
            </w:r>
          </w:p>
        </w:tc>
        <w:tc>
          <w:tcPr>
            <w:tcW w:w="589" w:type="pct"/>
          </w:tcPr>
          <w:p w14:paraId="4821CE15" w14:textId="77777777" w:rsidR="002E0E1D" w:rsidRPr="00636EBF" w:rsidRDefault="002E0E1D" w:rsidP="002E0E1D">
            <w:pPr>
              <w:pStyle w:val="GOSTTablenorm"/>
            </w:pPr>
            <w:r>
              <w:rPr>
                <w:szCs w:val="22"/>
              </w:rPr>
              <w:t>Т(3)</w:t>
            </w:r>
          </w:p>
        </w:tc>
        <w:tc>
          <w:tcPr>
            <w:tcW w:w="294" w:type="pct"/>
          </w:tcPr>
          <w:p w14:paraId="53EBCF66" w14:textId="77777777" w:rsidR="002E0E1D" w:rsidRPr="009D2D00" w:rsidRDefault="002E0E1D" w:rsidP="002E0E1D">
            <w:pPr>
              <w:pStyle w:val="GOSTTablenorm"/>
            </w:pPr>
            <w:r w:rsidRPr="006E2FAC">
              <w:t>О</w:t>
            </w:r>
          </w:p>
        </w:tc>
        <w:tc>
          <w:tcPr>
            <w:tcW w:w="2056" w:type="pct"/>
          </w:tcPr>
          <w:p w14:paraId="188058BE" w14:textId="77777777" w:rsidR="002E0E1D" w:rsidRPr="009D2D00" w:rsidRDefault="002E0E1D" w:rsidP="002E0E1D">
            <w:pPr>
              <w:pStyle w:val="GOSTTablenorm"/>
            </w:pPr>
            <w:r w:rsidRPr="007C0060">
              <w:t>Указывается Код вида расходов по бюджетной классификации</w:t>
            </w:r>
          </w:p>
        </w:tc>
      </w:tr>
      <w:tr w:rsidR="002E0E1D" w:rsidRPr="009D2D00" w14:paraId="3F661AFF" w14:textId="77777777" w:rsidTr="002E0E1D">
        <w:trPr>
          <w:trHeight w:val="282"/>
        </w:trPr>
        <w:tc>
          <w:tcPr>
            <w:tcW w:w="883" w:type="pct"/>
          </w:tcPr>
          <w:p w14:paraId="3F50C685" w14:textId="77777777" w:rsidR="002E0E1D" w:rsidRDefault="002E0E1D" w:rsidP="002E0E1D">
            <w:pPr>
              <w:pStyle w:val="GOSTTablenorm"/>
            </w:pPr>
            <w:r>
              <w:t>Объем средств, предусмотренный нормативным правовым актом</w:t>
            </w:r>
          </w:p>
          <w:p w14:paraId="18DCB8C8" w14:textId="77777777" w:rsidR="002E0E1D" w:rsidRPr="00D77362" w:rsidRDefault="002E0E1D" w:rsidP="002E0E1D">
            <w:pPr>
              <w:pStyle w:val="GOSTTablenorm"/>
            </w:pPr>
            <w:r>
              <w:t>всего</w:t>
            </w:r>
          </w:p>
        </w:tc>
        <w:tc>
          <w:tcPr>
            <w:tcW w:w="883" w:type="pct"/>
          </w:tcPr>
          <w:p w14:paraId="66A989AD" w14:textId="77777777" w:rsidR="002E0E1D" w:rsidRPr="0070781F" w:rsidRDefault="002E0E1D" w:rsidP="002E0E1D">
            <w:pPr>
              <w:pStyle w:val="GOSTTablenorm"/>
              <w:rPr>
                <w:lang w:val="en-US"/>
              </w:rPr>
            </w:pPr>
            <w:r w:rsidRPr="0070781F">
              <w:t>NPA</w:t>
            </w:r>
            <w:r w:rsidRPr="006A52CE">
              <w:t>Amnt</w:t>
            </w:r>
            <w:r>
              <w:rPr>
                <w:lang w:val="en-US"/>
              </w:rPr>
              <w:t>Ttl</w:t>
            </w:r>
          </w:p>
        </w:tc>
        <w:tc>
          <w:tcPr>
            <w:tcW w:w="294" w:type="pct"/>
          </w:tcPr>
          <w:p w14:paraId="11139475" w14:textId="77777777" w:rsidR="002E0E1D" w:rsidRPr="009D2D00" w:rsidRDefault="002E0E1D" w:rsidP="002E0E1D">
            <w:pPr>
              <w:pStyle w:val="GOSTTablenorm"/>
            </w:pPr>
            <w:r w:rsidRPr="0043638D">
              <w:t>П</w:t>
            </w:r>
          </w:p>
        </w:tc>
        <w:tc>
          <w:tcPr>
            <w:tcW w:w="589" w:type="pct"/>
          </w:tcPr>
          <w:p w14:paraId="3733017B" w14:textId="77777777" w:rsidR="002E0E1D" w:rsidRPr="009D2D00" w:rsidRDefault="002E0E1D" w:rsidP="002E0E1D">
            <w:pPr>
              <w:pStyle w:val="GOSTTablenorm"/>
            </w:pPr>
            <w:r w:rsidRPr="004C37EE">
              <w:rPr>
                <w:szCs w:val="22"/>
                <w:lang w:val="en-US"/>
              </w:rPr>
              <w:t>N(20</w:t>
            </w:r>
            <w:r w:rsidRPr="004C37EE">
              <w:rPr>
                <w:szCs w:val="22"/>
              </w:rPr>
              <w:t>.2</w:t>
            </w:r>
            <w:r w:rsidRPr="004C37EE">
              <w:rPr>
                <w:szCs w:val="22"/>
                <w:lang w:val="en-US"/>
              </w:rPr>
              <w:t>)</w:t>
            </w:r>
          </w:p>
        </w:tc>
        <w:tc>
          <w:tcPr>
            <w:tcW w:w="294" w:type="pct"/>
          </w:tcPr>
          <w:p w14:paraId="3ACC8F45" w14:textId="77777777" w:rsidR="002E0E1D" w:rsidRPr="009D2D00" w:rsidRDefault="002E0E1D" w:rsidP="002E0E1D">
            <w:pPr>
              <w:pStyle w:val="GOSTTablenorm"/>
            </w:pPr>
            <w:r w:rsidRPr="006E2FAC">
              <w:t>О</w:t>
            </w:r>
          </w:p>
        </w:tc>
        <w:tc>
          <w:tcPr>
            <w:tcW w:w="2056" w:type="pct"/>
          </w:tcPr>
          <w:p w14:paraId="54A11DC3" w14:textId="77777777" w:rsidR="002E0E1D" w:rsidRDefault="002E0E1D" w:rsidP="002E0E1D">
            <w:pPr>
              <w:pStyle w:val="GOSTTablenorm"/>
            </w:pPr>
            <w:r w:rsidRPr="00636EBF">
              <w:t>Указывается сумма общего объема средств, предусмотренн</w:t>
            </w:r>
            <w:r>
              <w:t>ого</w:t>
            </w:r>
            <w:r w:rsidRPr="00636EBF">
              <w:t xml:space="preserve"> нормативным правовым актом по КВР</w:t>
            </w:r>
            <w:r>
              <w:t>, всего</w:t>
            </w:r>
            <w:r w:rsidRPr="00AD2DAE">
              <w:t>.</w:t>
            </w:r>
          </w:p>
          <w:p w14:paraId="43FF978F" w14:textId="77777777" w:rsidR="002E0E1D" w:rsidRPr="009D2D00" w:rsidRDefault="002E0E1D" w:rsidP="002E0E1D">
            <w:pPr>
              <w:pStyle w:val="GOSTTablenorm"/>
            </w:pPr>
            <w:r w:rsidRPr="009D2D00">
              <w:rPr>
                <w:szCs w:val="22"/>
              </w:rPr>
              <w:t>При отсутс</w:t>
            </w:r>
            <w:r>
              <w:rPr>
                <w:szCs w:val="22"/>
              </w:rPr>
              <w:t>твии значения указывается «0.00»</w:t>
            </w:r>
          </w:p>
        </w:tc>
      </w:tr>
      <w:tr w:rsidR="002E0E1D" w:rsidRPr="009D2D00" w14:paraId="4D20D045" w14:textId="77777777" w:rsidTr="002E0E1D">
        <w:trPr>
          <w:trHeight w:val="282"/>
        </w:trPr>
        <w:tc>
          <w:tcPr>
            <w:tcW w:w="883" w:type="pct"/>
          </w:tcPr>
          <w:p w14:paraId="4B267E81" w14:textId="77777777" w:rsidR="002E0E1D" w:rsidRDefault="002E0E1D" w:rsidP="002E0E1D">
            <w:pPr>
              <w:pStyle w:val="GOSTTablenorm"/>
            </w:pPr>
            <w:r>
              <w:lastRenderedPageBreak/>
              <w:t>Объем средств, предусмотренный нормативным правовым актом</w:t>
            </w:r>
          </w:p>
          <w:p w14:paraId="1ECFFAD9" w14:textId="77777777" w:rsidR="002E0E1D" w:rsidRPr="00D77362" w:rsidRDefault="002E0E1D" w:rsidP="002E0E1D">
            <w:pPr>
              <w:pStyle w:val="GOSTTablenorm"/>
            </w:pPr>
            <w:r>
              <w:t>на очередной (текущий) финансовый год</w:t>
            </w:r>
          </w:p>
        </w:tc>
        <w:tc>
          <w:tcPr>
            <w:tcW w:w="883" w:type="pct"/>
          </w:tcPr>
          <w:p w14:paraId="2BD72476" w14:textId="77777777" w:rsidR="002E0E1D" w:rsidRPr="009D2D00" w:rsidRDefault="002E0E1D" w:rsidP="002E0E1D">
            <w:pPr>
              <w:pStyle w:val="GOSTTablenorm"/>
            </w:pPr>
            <w:r w:rsidRPr="0070781F">
              <w:t>NPA</w:t>
            </w:r>
            <w:r w:rsidRPr="006A52CE">
              <w:t>Amnt</w:t>
            </w:r>
            <w:r>
              <w:rPr>
                <w:lang w:val="en-US"/>
              </w:rPr>
              <w:t>C</w:t>
            </w:r>
            <w:r w:rsidRPr="00042743">
              <w:t>urr</w:t>
            </w:r>
            <w:r>
              <w:rPr>
                <w:lang w:val="en-US"/>
              </w:rPr>
              <w:t>Yr</w:t>
            </w:r>
          </w:p>
        </w:tc>
        <w:tc>
          <w:tcPr>
            <w:tcW w:w="294" w:type="pct"/>
          </w:tcPr>
          <w:p w14:paraId="779E7D3C" w14:textId="77777777" w:rsidR="002E0E1D" w:rsidRPr="009D2D00" w:rsidRDefault="002E0E1D" w:rsidP="002E0E1D">
            <w:pPr>
              <w:pStyle w:val="GOSTTablenorm"/>
            </w:pPr>
            <w:r w:rsidRPr="0043638D">
              <w:t>П</w:t>
            </w:r>
          </w:p>
        </w:tc>
        <w:tc>
          <w:tcPr>
            <w:tcW w:w="589" w:type="pct"/>
          </w:tcPr>
          <w:p w14:paraId="163753BF" w14:textId="77777777" w:rsidR="002E0E1D" w:rsidRPr="009D2D00" w:rsidRDefault="002E0E1D" w:rsidP="002E0E1D">
            <w:pPr>
              <w:pStyle w:val="GOSTTablenorm"/>
            </w:pPr>
            <w:r w:rsidRPr="004C37EE">
              <w:rPr>
                <w:szCs w:val="22"/>
                <w:lang w:val="en-US"/>
              </w:rPr>
              <w:t>N(20</w:t>
            </w:r>
            <w:r w:rsidRPr="004C37EE">
              <w:rPr>
                <w:szCs w:val="22"/>
              </w:rPr>
              <w:t>.2</w:t>
            </w:r>
            <w:r w:rsidRPr="004C37EE">
              <w:rPr>
                <w:szCs w:val="22"/>
                <w:lang w:val="en-US"/>
              </w:rPr>
              <w:t>)</w:t>
            </w:r>
          </w:p>
        </w:tc>
        <w:tc>
          <w:tcPr>
            <w:tcW w:w="294" w:type="pct"/>
          </w:tcPr>
          <w:p w14:paraId="63947E0E" w14:textId="77777777" w:rsidR="002E0E1D" w:rsidRPr="009D2D00" w:rsidRDefault="002E0E1D" w:rsidP="002E0E1D">
            <w:pPr>
              <w:pStyle w:val="GOSTTablenorm"/>
            </w:pPr>
            <w:r w:rsidRPr="006E2FAC">
              <w:t>О</w:t>
            </w:r>
          </w:p>
        </w:tc>
        <w:tc>
          <w:tcPr>
            <w:tcW w:w="2056" w:type="pct"/>
          </w:tcPr>
          <w:p w14:paraId="52B4DDB7" w14:textId="77777777" w:rsidR="002E0E1D" w:rsidRDefault="002E0E1D" w:rsidP="002E0E1D">
            <w:pPr>
              <w:pStyle w:val="GOSTTablenorm"/>
            </w:pPr>
            <w:r w:rsidRPr="00636EBF">
              <w:t>Указывается сумма объема средств, предусмотренн</w:t>
            </w:r>
            <w:r>
              <w:t>ого</w:t>
            </w:r>
            <w:r w:rsidRPr="00636EBF">
              <w:t xml:space="preserve"> нормативным правовым актом по КВР </w:t>
            </w:r>
            <w:r w:rsidRPr="00021F1B">
              <w:t>на очередной (текущий) финансовый год</w:t>
            </w:r>
            <w:r w:rsidRPr="00636EBF">
              <w:t>.</w:t>
            </w:r>
          </w:p>
          <w:p w14:paraId="7FAA8E44" w14:textId="77777777" w:rsidR="002E0E1D" w:rsidRPr="009D2D00" w:rsidRDefault="002E0E1D" w:rsidP="002E0E1D">
            <w:pPr>
              <w:pStyle w:val="GOSTTablenorm"/>
            </w:pPr>
            <w:r w:rsidRPr="009D2D00">
              <w:rPr>
                <w:szCs w:val="22"/>
              </w:rPr>
              <w:t>При отсутс</w:t>
            </w:r>
            <w:r>
              <w:rPr>
                <w:szCs w:val="22"/>
              </w:rPr>
              <w:t>твии значения указывается «0.00»</w:t>
            </w:r>
          </w:p>
        </w:tc>
      </w:tr>
      <w:tr w:rsidR="002E0E1D" w:rsidRPr="009D2D00" w14:paraId="27AD8BB2" w14:textId="77777777" w:rsidTr="002E0E1D">
        <w:trPr>
          <w:trHeight w:val="282"/>
        </w:trPr>
        <w:tc>
          <w:tcPr>
            <w:tcW w:w="883" w:type="pct"/>
          </w:tcPr>
          <w:p w14:paraId="7EE2D3C9" w14:textId="77777777" w:rsidR="002E0E1D" w:rsidRDefault="002E0E1D" w:rsidP="002E0E1D">
            <w:pPr>
              <w:pStyle w:val="GOSTTablenorm"/>
            </w:pPr>
            <w:r w:rsidRPr="007C0060">
              <w:t>Объем средств, предусмотренный нормативным правовым актом</w:t>
            </w:r>
          </w:p>
          <w:p w14:paraId="5EE3B55D" w14:textId="77777777" w:rsidR="002E0E1D" w:rsidRPr="00D77362" w:rsidRDefault="002E0E1D" w:rsidP="002E0E1D">
            <w:pPr>
              <w:pStyle w:val="GOSTTablenorm"/>
            </w:pPr>
            <w:r w:rsidRPr="007C0060">
              <w:t>на плановый период на первый год</w:t>
            </w:r>
          </w:p>
        </w:tc>
        <w:tc>
          <w:tcPr>
            <w:tcW w:w="883" w:type="pct"/>
          </w:tcPr>
          <w:p w14:paraId="60B187A0" w14:textId="77777777" w:rsidR="002E0E1D" w:rsidRPr="006D0BBA" w:rsidRDefault="002E0E1D" w:rsidP="002E0E1D">
            <w:pPr>
              <w:pStyle w:val="GOSTTablenorm"/>
              <w:rPr>
                <w:lang w:val="en-US"/>
              </w:rPr>
            </w:pPr>
            <w:r w:rsidRPr="0070781F">
              <w:t>NPA</w:t>
            </w:r>
            <w:r w:rsidRPr="006A52CE">
              <w:t>Amnt</w:t>
            </w:r>
            <w:r w:rsidRPr="009D2D00">
              <w:t>FrstYr</w:t>
            </w:r>
          </w:p>
        </w:tc>
        <w:tc>
          <w:tcPr>
            <w:tcW w:w="294" w:type="pct"/>
          </w:tcPr>
          <w:p w14:paraId="15ACF2F9" w14:textId="77777777" w:rsidR="002E0E1D" w:rsidRPr="009D2D00" w:rsidRDefault="002E0E1D" w:rsidP="002E0E1D">
            <w:pPr>
              <w:pStyle w:val="GOSTTablenorm"/>
            </w:pPr>
            <w:r w:rsidRPr="0043638D">
              <w:t>П</w:t>
            </w:r>
          </w:p>
        </w:tc>
        <w:tc>
          <w:tcPr>
            <w:tcW w:w="589" w:type="pct"/>
          </w:tcPr>
          <w:p w14:paraId="26F1F8E0" w14:textId="77777777" w:rsidR="002E0E1D" w:rsidRPr="009D2D00" w:rsidRDefault="002E0E1D" w:rsidP="002E0E1D">
            <w:pPr>
              <w:pStyle w:val="GOSTTablenorm"/>
            </w:pPr>
            <w:r w:rsidRPr="00D446D3">
              <w:rPr>
                <w:szCs w:val="22"/>
                <w:lang w:val="en-US"/>
              </w:rPr>
              <w:t>N(20</w:t>
            </w:r>
            <w:r w:rsidRPr="00D446D3">
              <w:rPr>
                <w:szCs w:val="22"/>
              </w:rPr>
              <w:t>.2</w:t>
            </w:r>
            <w:r w:rsidRPr="00D446D3">
              <w:rPr>
                <w:szCs w:val="22"/>
                <w:lang w:val="en-US"/>
              </w:rPr>
              <w:t>)</w:t>
            </w:r>
          </w:p>
        </w:tc>
        <w:tc>
          <w:tcPr>
            <w:tcW w:w="294" w:type="pct"/>
          </w:tcPr>
          <w:p w14:paraId="2BE5689E" w14:textId="77777777" w:rsidR="002E0E1D" w:rsidRPr="009D2D00" w:rsidRDefault="002E0E1D" w:rsidP="002E0E1D">
            <w:pPr>
              <w:pStyle w:val="GOSTTablenorm"/>
            </w:pPr>
            <w:r w:rsidRPr="006E2FAC">
              <w:t>О</w:t>
            </w:r>
          </w:p>
        </w:tc>
        <w:tc>
          <w:tcPr>
            <w:tcW w:w="2056" w:type="pct"/>
          </w:tcPr>
          <w:p w14:paraId="1AEB3491" w14:textId="77777777" w:rsidR="002E0E1D" w:rsidRDefault="002E0E1D" w:rsidP="002E0E1D">
            <w:pPr>
              <w:pStyle w:val="GOSTTablenorm"/>
            </w:pPr>
            <w:r w:rsidRPr="007C0060">
              <w:t>Указывается сумма объема средств, предусмотренн</w:t>
            </w:r>
            <w:r>
              <w:t>ого</w:t>
            </w:r>
            <w:r w:rsidRPr="007C0060">
              <w:t xml:space="preserve"> нормативным правовым актом</w:t>
            </w:r>
            <w:r>
              <w:t xml:space="preserve"> по КВР</w:t>
            </w:r>
            <w:r w:rsidRPr="007C0060">
              <w:t xml:space="preserve"> </w:t>
            </w:r>
            <w:r w:rsidRPr="00021F1B">
              <w:t>на плановый период на первый год</w:t>
            </w:r>
            <w:r w:rsidRPr="007C0060">
              <w:t>.</w:t>
            </w:r>
          </w:p>
          <w:p w14:paraId="4C4C56DF" w14:textId="77777777" w:rsidR="002E0E1D" w:rsidRPr="009D2D00" w:rsidRDefault="002E0E1D" w:rsidP="002E0E1D">
            <w:pPr>
              <w:pStyle w:val="GOSTTablenorm"/>
            </w:pPr>
            <w:r w:rsidRPr="009D2D00">
              <w:rPr>
                <w:szCs w:val="22"/>
              </w:rPr>
              <w:t>При отсутс</w:t>
            </w:r>
            <w:r>
              <w:rPr>
                <w:szCs w:val="22"/>
              </w:rPr>
              <w:t>твии значения указывается «0.00»</w:t>
            </w:r>
          </w:p>
        </w:tc>
      </w:tr>
      <w:tr w:rsidR="002E0E1D" w:rsidRPr="009D2D00" w14:paraId="67BCA8F5" w14:textId="77777777" w:rsidTr="002E0E1D">
        <w:trPr>
          <w:trHeight w:val="282"/>
        </w:trPr>
        <w:tc>
          <w:tcPr>
            <w:tcW w:w="883" w:type="pct"/>
          </w:tcPr>
          <w:p w14:paraId="47D4E79B" w14:textId="77777777" w:rsidR="002E0E1D" w:rsidRDefault="002E0E1D" w:rsidP="002E0E1D">
            <w:pPr>
              <w:pStyle w:val="GOSTTablenorm"/>
            </w:pPr>
            <w:r w:rsidRPr="007C0060">
              <w:t>Объем средств, предусмотренный нормативным правовым актом</w:t>
            </w:r>
          </w:p>
          <w:p w14:paraId="4DC60B23" w14:textId="77777777" w:rsidR="002E0E1D" w:rsidRPr="00D77362" w:rsidRDefault="002E0E1D" w:rsidP="002E0E1D">
            <w:pPr>
              <w:pStyle w:val="GOSTTablenorm"/>
            </w:pPr>
            <w:r w:rsidRPr="007C0060">
              <w:t>на плановый период на второй год</w:t>
            </w:r>
          </w:p>
        </w:tc>
        <w:tc>
          <w:tcPr>
            <w:tcW w:w="883" w:type="pct"/>
          </w:tcPr>
          <w:p w14:paraId="41A611C9" w14:textId="77777777" w:rsidR="002E0E1D" w:rsidRPr="009D2D00" w:rsidRDefault="002E0E1D" w:rsidP="002E0E1D">
            <w:pPr>
              <w:pStyle w:val="GOSTTablenorm"/>
            </w:pPr>
            <w:r w:rsidRPr="0070781F">
              <w:t>NPA</w:t>
            </w:r>
            <w:r w:rsidRPr="006A52CE">
              <w:t>Amnt</w:t>
            </w:r>
            <w:r w:rsidRPr="009D2D00">
              <w:t>ScndYr</w:t>
            </w:r>
          </w:p>
        </w:tc>
        <w:tc>
          <w:tcPr>
            <w:tcW w:w="294" w:type="pct"/>
          </w:tcPr>
          <w:p w14:paraId="1B051E38" w14:textId="77777777" w:rsidR="002E0E1D" w:rsidRPr="009D2D00" w:rsidRDefault="002E0E1D" w:rsidP="002E0E1D">
            <w:pPr>
              <w:pStyle w:val="GOSTTablenorm"/>
            </w:pPr>
            <w:r w:rsidRPr="0043638D">
              <w:t>П</w:t>
            </w:r>
          </w:p>
        </w:tc>
        <w:tc>
          <w:tcPr>
            <w:tcW w:w="589" w:type="pct"/>
          </w:tcPr>
          <w:p w14:paraId="2E6507C9" w14:textId="77777777" w:rsidR="002E0E1D" w:rsidRPr="009D2D00" w:rsidRDefault="002E0E1D" w:rsidP="002E0E1D">
            <w:pPr>
              <w:pStyle w:val="GOSTTablenorm"/>
            </w:pPr>
            <w:r w:rsidRPr="00D446D3">
              <w:rPr>
                <w:szCs w:val="22"/>
                <w:lang w:val="en-US"/>
              </w:rPr>
              <w:t>N(20</w:t>
            </w:r>
            <w:r w:rsidRPr="00D446D3">
              <w:rPr>
                <w:szCs w:val="22"/>
              </w:rPr>
              <w:t>.2</w:t>
            </w:r>
            <w:r w:rsidRPr="00D446D3">
              <w:rPr>
                <w:szCs w:val="22"/>
                <w:lang w:val="en-US"/>
              </w:rPr>
              <w:t>)</w:t>
            </w:r>
          </w:p>
        </w:tc>
        <w:tc>
          <w:tcPr>
            <w:tcW w:w="294" w:type="pct"/>
          </w:tcPr>
          <w:p w14:paraId="74E881C2" w14:textId="77777777" w:rsidR="002E0E1D" w:rsidRPr="00BD1752" w:rsidRDefault="002E0E1D" w:rsidP="002E0E1D">
            <w:pPr>
              <w:pStyle w:val="GOSTTablenorm"/>
            </w:pPr>
            <w:r>
              <w:t>О</w:t>
            </w:r>
          </w:p>
        </w:tc>
        <w:tc>
          <w:tcPr>
            <w:tcW w:w="2056" w:type="pct"/>
          </w:tcPr>
          <w:p w14:paraId="16C6E438" w14:textId="77777777" w:rsidR="002E0E1D" w:rsidRDefault="002E0E1D" w:rsidP="002E0E1D">
            <w:pPr>
              <w:pStyle w:val="GOSTTablenorm"/>
            </w:pPr>
            <w:r w:rsidRPr="007C0060">
              <w:t>Указывается сумма объема средств, предусмотренн</w:t>
            </w:r>
            <w:r>
              <w:t>ого</w:t>
            </w:r>
            <w:r w:rsidRPr="007C0060">
              <w:t xml:space="preserve"> нормативным правовым актом </w:t>
            </w:r>
            <w:r>
              <w:t xml:space="preserve">по КВР </w:t>
            </w:r>
            <w:r w:rsidRPr="00021F1B">
              <w:t>на плановый период на второй год</w:t>
            </w:r>
            <w:r w:rsidRPr="007C0060">
              <w:t>.</w:t>
            </w:r>
          </w:p>
          <w:p w14:paraId="672DEBD1" w14:textId="77777777" w:rsidR="002E0E1D" w:rsidRPr="009D2D00" w:rsidRDefault="002E0E1D" w:rsidP="002E0E1D">
            <w:pPr>
              <w:pStyle w:val="GOSTTablenorm"/>
            </w:pPr>
            <w:r w:rsidRPr="009D2D00">
              <w:rPr>
                <w:szCs w:val="22"/>
              </w:rPr>
              <w:t>При отсутс</w:t>
            </w:r>
            <w:r>
              <w:rPr>
                <w:szCs w:val="22"/>
              </w:rPr>
              <w:t>твии значения указывается «0.00»</w:t>
            </w:r>
          </w:p>
        </w:tc>
      </w:tr>
      <w:tr w:rsidR="002E0E1D" w:rsidRPr="009D2D00" w14:paraId="1EB0E6B7" w14:textId="77777777" w:rsidTr="002E0E1D">
        <w:trPr>
          <w:trHeight w:val="282"/>
        </w:trPr>
        <w:tc>
          <w:tcPr>
            <w:tcW w:w="883" w:type="pct"/>
          </w:tcPr>
          <w:p w14:paraId="4BAABEC2" w14:textId="77777777" w:rsidR="002E0E1D" w:rsidRDefault="002E0E1D" w:rsidP="002E0E1D">
            <w:pPr>
              <w:pStyle w:val="GOSTTablenorm"/>
            </w:pPr>
            <w:r w:rsidRPr="007C0060">
              <w:t>Объем средств, предусмотренный нормативным правовым актом</w:t>
            </w:r>
          </w:p>
          <w:p w14:paraId="7064E6B3" w14:textId="77777777" w:rsidR="002E0E1D" w:rsidRPr="00D77362" w:rsidRDefault="002E0E1D" w:rsidP="002E0E1D">
            <w:pPr>
              <w:pStyle w:val="GOSTTablenorm"/>
            </w:pPr>
            <w:r w:rsidRPr="007C0060">
              <w:t>на последующие годы</w:t>
            </w:r>
          </w:p>
        </w:tc>
        <w:tc>
          <w:tcPr>
            <w:tcW w:w="883" w:type="pct"/>
          </w:tcPr>
          <w:p w14:paraId="69F35324" w14:textId="77777777" w:rsidR="002E0E1D" w:rsidRPr="00042743" w:rsidRDefault="002E0E1D" w:rsidP="002E0E1D">
            <w:pPr>
              <w:pStyle w:val="GOSTTablenorm"/>
              <w:rPr>
                <w:lang w:val="en-US"/>
              </w:rPr>
            </w:pPr>
            <w:r w:rsidRPr="0070781F">
              <w:t>NPA</w:t>
            </w:r>
            <w:r w:rsidRPr="006A52CE">
              <w:t>Amnt</w:t>
            </w:r>
            <w:r w:rsidRPr="009D2D00">
              <w:rPr>
                <w:szCs w:val="22"/>
              </w:rPr>
              <w:t>NxtYr</w:t>
            </w:r>
          </w:p>
        </w:tc>
        <w:tc>
          <w:tcPr>
            <w:tcW w:w="294" w:type="pct"/>
          </w:tcPr>
          <w:p w14:paraId="36C97E7F" w14:textId="77777777" w:rsidR="002E0E1D" w:rsidRPr="009D2D00" w:rsidRDefault="002E0E1D" w:rsidP="002E0E1D">
            <w:pPr>
              <w:pStyle w:val="GOSTTablenorm"/>
            </w:pPr>
            <w:r w:rsidRPr="0043638D">
              <w:t>П</w:t>
            </w:r>
          </w:p>
        </w:tc>
        <w:tc>
          <w:tcPr>
            <w:tcW w:w="589" w:type="pct"/>
          </w:tcPr>
          <w:p w14:paraId="6B068F9F" w14:textId="77777777" w:rsidR="002E0E1D" w:rsidRPr="009D2D00" w:rsidRDefault="002E0E1D" w:rsidP="002E0E1D">
            <w:pPr>
              <w:pStyle w:val="GOSTTablenorm"/>
            </w:pPr>
            <w:r w:rsidRPr="00D446D3">
              <w:rPr>
                <w:szCs w:val="22"/>
                <w:lang w:val="en-US"/>
              </w:rPr>
              <w:t>N(20</w:t>
            </w:r>
            <w:r w:rsidRPr="00D446D3">
              <w:rPr>
                <w:szCs w:val="22"/>
              </w:rPr>
              <w:t>.2</w:t>
            </w:r>
            <w:r w:rsidRPr="00D446D3">
              <w:rPr>
                <w:szCs w:val="22"/>
                <w:lang w:val="en-US"/>
              </w:rPr>
              <w:t>)</w:t>
            </w:r>
          </w:p>
        </w:tc>
        <w:tc>
          <w:tcPr>
            <w:tcW w:w="294" w:type="pct"/>
          </w:tcPr>
          <w:p w14:paraId="75C0BD85" w14:textId="77777777" w:rsidR="002E0E1D" w:rsidRPr="009D2D00" w:rsidRDefault="002E0E1D" w:rsidP="002E0E1D">
            <w:pPr>
              <w:pStyle w:val="GOSTTablenorm"/>
            </w:pPr>
            <w:r w:rsidRPr="006E2FAC">
              <w:t>О</w:t>
            </w:r>
          </w:p>
        </w:tc>
        <w:tc>
          <w:tcPr>
            <w:tcW w:w="2056" w:type="pct"/>
          </w:tcPr>
          <w:p w14:paraId="7E3393C5" w14:textId="77777777" w:rsidR="002E0E1D" w:rsidRDefault="002E0E1D" w:rsidP="002E0E1D">
            <w:pPr>
              <w:pStyle w:val="GOSTTablenorm"/>
            </w:pPr>
            <w:r w:rsidRPr="007C0060">
              <w:t>Указывается сумма объема средств, предусмотренн</w:t>
            </w:r>
            <w:r>
              <w:t>ого</w:t>
            </w:r>
            <w:r w:rsidRPr="007C0060">
              <w:t xml:space="preserve"> нормативным правовым актом </w:t>
            </w:r>
            <w:r>
              <w:t xml:space="preserve">по КВР </w:t>
            </w:r>
            <w:r w:rsidRPr="007C0060">
              <w:t>на последующие годы</w:t>
            </w:r>
            <w:r>
              <w:t>.</w:t>
            </w:r>
          </w:p>
          <w:p w14:paraId="1BB8E188" w14:textId="77777777" w:rsidR="002E0E1D" w:rsidRPr="009D2D00" w:rsidRDefault="002E0E1D" w:rsidP="002E0E1D">
            <w:pPr>
              <w:pStyle w:val="GOSTTablenorm"/>
            </w:pPr>
            <w:r w:rsidRPr="009D2D00">
              <w:rPr>
                <w:szCs w:val="22"/>
              </w:rPr>
              <w:t>При отсутс</w:t>
            </w:r>
            <w:r>
              <w:rPr>
                <w:szCs w:val="22"/>
              </w:rPr>
              <w:t>твии значения указывается «0.00»</w:t>
            </w:r>
          </w:p>
        </w:tc>
      </w:tr>
    </w:tbl>
    <w:p w14:paraId="038FB8D3" w14:textId="77777777" w:rsidR="002E0E1D" w:rsidRPr="00176E24" w:rsidRDefault="002E0E1D" w:rsidP="002E0E1D">
      <w:pPr>
        <w:pStyle w:val="31"/>
        <w:tabs>
          <w:tab w:val="clear" w:pos="720"/>
        </w:tabs>
        <w:suppressAutoHyphens/>
        <w:ind w:left="862"/>
        <w:rPr>
          <w:highlight w:val="green"/>
        </w:rPr>
      </w:pPr>
      <w:bookmarkStart w:id="4598" w:name="_Toc207639663"/>
      <w:bookmarkStart w:id="4599" w:name="_Toc219309856"/>
      <w:r w:rsidRPr="00176E24">
        <w:rPr>
          <w:highlight w:val="green"/>
        </w:rPr>
        <w:t>Описание комплексного типа «tKVR_NPAAmnt»</w:t>
      </w:r>
      <w:bookmarkEnd w:id="4598"/>
      <w:bookmarkEnd w:id="4599"/>
    </w:p>
    <w:p w14:paraId="3BB22EED" w14:textId="77777777" w:rsidR="002E0E1D" w:rsidRPr="009D2D00" w:rsidRDefault="002E0E1D" w:rsidP="002E0E1D">
      <w:pPr>
        <w:pStyle w:val="ASFKNormal"/>
        <w:spacing w:before="60" w:after="120"/>
        <w:contextualSpacing w:val="0"/>
        <w:jc w:val="both"/>
        <w:rPr>
          <w:sz w:val="24"/>
          <w:szCs w:val="24"/>
        </w:rPr>
      </w:pPr>
      <w:r w:rsidRPr="009D2D00">
        <w:rPr>
          <w:sz w:val="24"/>
          <w:szCs w:val="24"/>
        </w:rPr>
        <w:t>Описание комплексного типа «</w:t>
      </w:r>
      <w:r w:rsidRPr="007D45A5">
        <w:rPr>
          <w:sz w:val="24"/>
          <w:szCs w:val="24"/>
        </w:rPr>
        <w:t>tKVR_NPAAmnt</w:t>
      </w:r>
      <w:r w:rsidRPr="009D2D00">
        <w:rPr>
          <w:sz w:val="24"/>
          <w:szCs w:val="24"/>
        </w:rPr>
        <w:t>» блока «</w:t>
      </w:r>
      <w:r w:rsidRPr="007D45A5">
        <w:rPr>
          <w:sz w:val="24"/>
          <w:szCs w:val="24"/>
        </w:rPr>
        <w:t>Итого по КВР</w:t>
      </w:r>
      <w:r w:rsidRPr="00D77362">
        <w:rPr>
          <w:sz w:val="24"/>
          <w:szCs w:val="24"/>
        </w:rPr>
        <w:t>»</w:t>
      </w:r>
      <w:r w:rsidRPr="009D2D00">
        <w:rPr>
          <w:sz w:val="24"/>
          <w:szCs w:val="24"/>
        </w:rPr>
        <w:t>.</w:t>
      </w:r>
    </w:p>
    <w:p w14:paraId="3DBEFD62" w14:textId="4A4BAB20" w:rsidR="002E0E1D" w:rsidRPr="00BF75F2" w:rsidRDefault="002E0E1D" w:rsidP="002E0E1D">
      <w:pPr>
        <w:pStyle w:val="GOSTNameTable"/>
        <w:numPr>
          <w:ilvl w:val="0"/>
          <w:numId w:val="151"/>
        </w:numPr>
        <w:suppressAutoHyphens/>
        <w:spacing w:before="240" w:after="120"/>
        <w:rPr>
          <w:rFonts w:eastAsia="Calibri"/>
          <w:highlight w:val="green"/>
        </w:rPr>
      </w:pPr>
      <w:r w:rsidRPr="00BF75F2">
        <w:rPr>
          <w:rFonts w:eastAsia="Calibri"/>
          <w:highlight w:val="green"/>
        </w:rPr>
        <w:fldChar w:fldCharType="begin"/>
      </w:r>
      <w:r w:rsidRPr="00BF75F2">
        <w:rPr>
          <w:rFonts w:eastAsia="Calibri"/>
          <w:highlight w:val="green"/>
        </w:rPr>
        <w:instrText xml:space="preserve"> SEQ Таблица \* ARABIC </w:instrText>
      </w:r>
      <w:r w:rsidRPr="00BF75F2">
        <w:rPr>
          <w:rFonts w:eastAsia="Calibri"/>
          <w:highlight w:val="green"/>
        </w:rPr>
        <w:fldChar w:fldCharType="separate"/>
      </w:r>
      <w:bookmarkStart w:id="4600" w:name="_Ref204092075"/>
      <w:bookmarkStart w:id="4601" w:name="_Toc219309393"/>
      <w:r w:rsidR="008D797C">
        <w:rPr>
          <w:rFonts w:eastAsia="Calibri"/>
          <w:noProof/>
          <w:highlight w:val="green"/>
        </w:rPr>
        <w:t>363</w:t>
      </w:r>
      <w:bookmarkEnd w:id="4600"/>
      <w:r w:rsidRPr="00BF75F2">
        <w:rPr>
          <w:rFonts w:eastAsia="Calibri"/>
          <w:highlight w:val="green"/>
        </w:rPr>
        <w:fldChar w:fldCharType="end"/>
      </w:r>
      <w:r w:rsidRPr="00BF75F2">
        <w:rPr>
          <w:rFonts w:eastAsia="Calibri"/>
          <w:highlight w:val="green"/>
        </w:rPr>
        <w:t xml:space="preserve"> – Описание комплексного типа «</w:t>
      </w:r>
      <w:r w:rsidRPr="007D45A5">
        <w:rPr>
          <w:highlight w:val="green"/>
        </w:rPr>
        <w:t>tKVR_NPAAmnt</w:t>
      </w:r>
      <w:r w:rsidRPr="00BF75F2">
        <w:rPr>
          <w:rFonts w:eastAsia="Calibri"/>
          <w:highlight w:val="green"/>
        </w:rPr>
        <w:t>»</w:t>
      </w:r>
      <w:bookmarkEnd w:id="4601"/>
    </w:p>
    <w:tbl>
      <w:tblPr>
        <w:tblStyle w:val="GOSTTable"/>
        <w:tblW w:w="5000" w:type="pct"/>
        <w:tblLayout w:type="fixed"/>
        <w:tblLook w:val="07E0" w:firstRow="1" w:lastRow="1" w:firstColumn="1" w:lastColumn="1" w:noHBand="1" w:noVBand="1"/>
      </w:tblPr>
      <w:tblGrid>
        <w:gridCol w:w="1705"/>
        <w:gridCol w:w="1705"/>
        <w:gridCol w:w="568"/>
        <w:gridCol w:w="1137"/>
        <w:gridCol w:w="567"/>
        <w:gridCol w:w="3968"/>
      </w:tblGrid>
      <w:tr w:rsidR="002E0E1D" w:rsidRPr="009D2D00" w14:paraId="08558E3E" w14:textId="77777777" w:rsidTr="00891104">
        <w:trPr>
          <w:cnfStyle w:val="100000000000" w:firstRow="1" w:lastRow="0" w:firstColumn="0" w:lastColumn="0" w:oddVBand="0" w:evenVBand="0" w:oddHBand="0" w:evenHBand="0" w:firstRowFirstColumn="0" w:firstRowLastColumn="0" w:lastRowFirstColumn="0" w:lastRowLastColumn="0"/>
          <w:trHeight w:val="282"/>
          <w:tblHeader/>
        </w:trPr>
        <w:tc>
          <w:tcPr>
            <w:tcW w:w="883" w:type="pct"/>
          </w:tcPr>
          <w:p w14:paraId="630B76C9" w14:textId="77777777" w:rsidR="002E0E1D" w:rsidRPr="009D2D00" w:rsidRDefault="002E0E1D" w:rsidP="002E0E1D">
            <w:pPr>
              <w:pStyle w:val="GOSTTableHead"/>
              <w:rPr>
                <w:lang w:val="en-US"/>
              </w:rPr>
            </w:pPr>
            <w:r w:rsidRPr="009D2D00">
              <w:t>Наименование комплексного типа</w:t>
            </w:r>
          </w:p>
        </w:tc>
        <w:tc>
          <w:tcPr>
            <w:tcW w:w="883" w:type="pct"/>
          </w:tcPr>
          <w:p w14:paraId="49D8E339" w14:textId="77777777" w:rsidR="002E0E1D" w:rsidRPr="009D2D00" w:rsidRDefault="002E0E1D" w:rsidP="002E0E1D">
            <w:pPr>
              <w:pStyle w:val="GOSTTableHead"/>
            </w:pPr>
            <w:r w:rsidRPr="009D2D00">
              <w:t>Текущий элемент/</w:t>
            </w:r>
            <w:r w:rsidRPr="009D2D00">
              <w:rPr>
                <w:lang w:val="en-US"/>
              </w:rPr>
              <w:t xml:space="preserve"> </w:t>
            </w:r>
            <w:r w:rsidRPr="009D2D00">
              <w:t>атрибут</w:t>
            </w:r>
          </w:p>
        </w:tc>
        <w:tc>
          <w:tcPr>
            <w:tcW w:w="294" w:type="pct"/>
          </w:tcPr>
          <w:p w14:paraId="2091D242" w14:textId="77777777" w:rsidR="002E0E1D" w:rsidRPr="009D2D00" w:rsidRDefault="002E0E1D" w:rsidP="002E0E1D">
            <w:pPr>
              <w:pStyle w:val="GOSTTableHead"/>
            </w:pPr>
            <w:r w:rsidRPr="009D2D00">
              <w:t>Тип</w:t>
            </w:r>
          </w:p>
        </w:tc>
        <w:tc>
          <w:tcPr>
            <w:tcW w:w="589" w:type="pct"/>
          </w:tcPr>
          <w:p w14:paraId="153BEB92" w14:textId="77777777" w:rsidR="002E0E1D" w:rsidRPr="009D2D00" w:rsidRDefault="002E0E1D" w:rsidP="002E0E1D">
            <w:pPr>
              <w:pStyle w:val="GOSTTableHead"/>
            </w:pPr>
            <w:r w:rsidRPr="009D2D00">
              <w:t>Формат элемента</w:t>
            </w:r>
          </w:p>
        </w:tc>
        <w:tc>
          <w:tcPr>
            <w:tcW w:w="294" w:type="pct"/>
          </w:tcPr>
          <w:p w14:paraId="36C8FF5B" w14:textId="77777777" w:rsidR="002E0E1D" w:rsidRPr="009D2D00" w:rsidRDefault="002E0E1D" w:rsidP="002E0E1D">
            <w:pPr>
              <w:pStyle w:val="GOSTTableHead"/>
            </w:pPr>
            <w:r w:rsidRPr="009D2D00">
              <w:t>Обязательность</w:t>
            </w:r>
          </w:p>
        </w:tc>
        <w:tc>
          <w:tcPr>
            <w:tcW w:w="2056" w:type="pct"/>
          </w:tcPr>
          <w:p w14:paraId="57F90C31" w14:textId="77777777" w:rsidR="002E0E1D" w:rsidRPr="009D2D00" w:rsidRDefault="002E0E1D" w:rsidP="002E0E1D">
            <w:pPr>
              <w:pStyle w:val="GOSTTableHead"/>
            </w:pPr>
            <w:r w:rsidRPr="009D2D00">
              <w:t>Дополнительная информация</w:t>
            </w:r>
          </w:p>
        </w:tc>
      </w:tr>
      <w:tr w:rsidR="002E0E1D" w:rsidRPr="009D2D00" w14:paraId="5E2D8EFC" w14:textId="77777777" w:rsidTr="002E0E1D">
        <w:trPr>
          <w:trHeight w:val="282"/>
        </w:trPr>
        <w:tc>
          <w:tcPr>
            <w:tcW w:w="883" w:type="pct"/>
          </w:tcPr>
          <w:p w14:paraId="553E9D37" w14:textId="77777777" w:rsidR="002E0E1D" w:rsidRPr="009D2D00" w:rsidRDefault="002E0E1D" w:rsidP="002E0E1D">
            <w:pPr>
              <w:pStyle w:val="GOSTTablenorm"/>
            </w:pPr>
            <w:r w:rsidRPr="007D45A5">
              <w:t>tKVR_NPAAmnt</w:t>
            </w:r>
          </w:p>
        </w:tc>
        <w:tc>
          <w:tcPr>
            <w:tcW w:w="883" w:type="pct"/>
          </w:tcPr>
          <w:p w14:paraId="5E2225C3" w14:textId="77777777" w:rsidR="002E0E1D" w:rsidRPr="009D2D00" w:rsidRDefault="002E0E1D" w:rsidP="002E0E1D">
            <w:pPr>
              <w:pStyle w:val="GOSTTablenorm"/>
            </w:pPr>
            <w:r w:rsidRPr="007D45A5">
              <w:t>KVR_NPAAmnt</w:t>
            </w:r>
            <w:r>
              <w:lastRenderedPageBreak/>
              <w:t>_</w:t>
            </w:r>
            <w:r w:rsidRPr="009D2D00">
              <w:t>ITEM</w:t>
            </w:r>
          </w:p>
        </w:tc>
        <w:tc>
          <w:tcPr>
            <w:tcW w:w="294" w:type="pct"/>
          </w:tcPr>
          <w:p w14:paraId="5F0FA16C" w14:textId="77777777" w:rsidR="002E0E1D" w:rsidRPr="000E2107" w:rsidRDefault="002E0E1D" w:rsidP="002E0E1D">
            <w:pPr>
              <w:pStyle w:val="GOSTTablenorm"/>
            </w:pPr>
            <w:r w:rsidRPr="000E2107">
              <w:lastRenderedPageBreak/>
              <w:t>С</w:t>
            </w:r>
          </w:p>
        </w:tc>
        <w:tc>
          <w:tcPr>
            <w:tcW w:w="589" w:type="pct"/>
          </w:tcPr>
          <w:p w14:paraId="75B0A88A" w14:textId="77777777" w:rsidR="002E0E1D" w:rsidRPr="000E2107" w:rsidRDefault="002E0E1D" w:rsidP="002E0E1D">
            <w:pPr>
              <w:pStyle w:val="GOSTTablenorm"/>
            </w:pPr>
            <w:r w:rsidRPr="000E2107">
              <w:t>tKVR_NP</w:t>
            </w:r>
            <w:r w:rsidRPr="000E2107">
              <w:lastRenderedPageBreak/>
              <w:t>AAmnt_ITEM</w:t>
            </w:r>
          </w:p>
        </w:tc>
        <w:tc>
          <w:tcPr>
            <w:tcW w:w="294" w:type="pct"/>
          </w:tcPr>
          <w:p w14:paraId="153E9D16" w14:textId="77777777" w:rsidR="002E0E1D" w:rsidRPr="000E2107" w:rsidRDefault="002E0E1D" w:rsidP="002E0E1D">
            <w:pPr>
              <w:pStyle w:val="GOSTTablenorm"/>
            </w:pPr>
            <w:r w:rsidRPr="000E2107">
              <w:lastRenderedPageBreak/>
              <w:t>ОМ</w:t>
            </w:r>
          </w:p>
        </w:tc>
        <w:tc>
          <w:tcPr>
            <w:tcW w:w="2056" w:type="pct"/>
          </w:tcPr>
          <w:p w14:paraId="1E1D1EA6" w14:textId="496C9C99" w:rsidR="002E0E1D" w:rsidRPr="000E2107" w:rsidRDefault="002E0E1D" w:rsidP="00891104">
            <w:pPr>
              <w:pStyle w:val="GOSTTablenorm"/>
            </w:pPr>
            <w:r w:rsidRPr="000E2107">
              <w:t xml:space="preserve">Состав элемента представлен в таблице </w:t>
            </w:r>
            <w:r w:rsidR="00891104">
              <w:lastRenderedPageBreak/>
              <w:fldChar w:fldCharType="begin"/>
            </w:r>
            <w:r w:rsidR="00891104">
              <w:instrText xml:space="preserve"> REF _Ref204095580 \h </w:instrText>
            </w:r>
            <w:r w:rsidR="00891104">
              <w:fldChar w:fldCharType="separate"/>
            </w:r>
            <w:r w:rsidR="008D797C">
              <w:rPr>
                <w:rFonts w:eastAsia="Calibri"/>
                <w:noProof/>
                <w:highlight w:val="green"/>
              </w:rPr>
              <w:t>364</w:t>
            </w:r>
            <w:r w:rsidR="00891104">
              <w:fldChar w:fldCharType="end"/>
            </w:r>
          </w:p>
        </w:tc>
      </w:tr>
    </w:tbl>
    <w:p w14:paraId="14D33ABB" w14:textId="77777777" w:rsidR="002E0E1D" w:rsidRPr="00176E24" w:rsidRDefault="002E0E1D" w:rsidP="002E0E1D">
      <w:pPr>
        <w:pStyle w:val="31"/>
        <w:tabs>
          <w:tab w:val="clear" w:pos="720"/>
        </w:tabs>
        <w:suppressAutoHyphens/>
        <w:ind w:left="862"/>
        <w:rPr>
          <w:highlight w:val="green"/>
        </w:rPr>
      </w:pPr>
      <w:bookmarkStart w:id="4602" w:name="_Toc207639664"/>
      <w:bookmarkStart w:id="4603" w:name="_Toc219309857"/>
      <w:r w:rsidRPr="00176E24">
        <w:rPr>
          <w:highlight w:val="green"/>
        </w:rPr>
        <w:lastRenderedPageBreak/>
        <w:t>Описание комплексного типа «tKVR_NPAAmnt_ITEM»</w:t>
      </w:r>
      <w:bookmarkEnd w:id="4602"/>
      <w:bookmarkEnd w:id="4603"/>
    </w:p>
    <w:p w14:paraId="0680E1F7" w14:textId="77777777" w:rsidR="002E0E1D" w:rsidRPr="009D2D00" w:rsidRDefault="002E0E1D" w:rsidP="002E0E1D">
      <w:pPr>
        <w:pStyle w:val="ASFKNormal"/>
        <w:spacing w:before="60" w:after="120"/>
        <w:contextualSpacing w:val="0"/>
        <w:jc w:val="both"/>
        <w:rPr>
          <w:sz w:val="24"/>
          <w:szCs w:val="24"/>
        </w:rPr>
      </w:pPr>
      <w:r w:rsidRPr="009D2D00">
        <w:rPr>
          <w:sz w:val="24"/>
          <w:szCs w:val="24"/>
        </w:rPr>
        <w:t>Описание комплексного типа «</w:t>
      </w:r>
      <w:r w:rsidRPr="007D45A5">
        <w:rPr>
          <w:sz w:val="24"/>
          <w:szCs w:val="24"/>
        </w:rPr>
        <w:t>tKVR_NPAAmnt_ITEM</w:t>
      </w:r>
      <w:r w:rsidRPr="009D2D00">
        <w:rPr>
          <w:sz w:val="24"/>
          <w:szCs w:val="24"/>
        </w:rPr>
        <w:t>» строк блока «</w:t>
      </w:r>
      <w:r w:rsidRPr="007D45A5">
        <w:rPr>
          <w:sz w:val="24"/>
          <w:szCs w:val="24"/>
        </w:rPr>
        <w:t>Итого по КВР</w:t>
      </w:r>
      <w:r w:rsidRPr="009D2D00">
        <w:rPr>
          <w:sz w:val="24"/>
          <w:szCs w:val="24"/>
        </w:rPr>
        <w:t>».</w:t>
      </w:r>
    </w:p>
    <w:p w14:paraId="196985E4" w14:textId="77498604" w:rsidR="002E0E1D" w:rsidRPr="00BF75F2" w:rsidRDefault="002E0E1D" w:rsidP="002E0E1D">
      <w:pPr>
        <w:pStyle w:val="GOSTNameTable"/>
        <w:numPr>
          <w:ilvl w:val="0"/>
          <w:numId w:val="151"/>
        </w:numPr>
        <w:suppressAutoHyphens/>
        <w:spacing w:before="240" w:after="120"/>
        <w:rPr>
          <w:rFonts w:eastAsia="Calibri"/>
          <w:highlight w:val="green"/>
        </w:rPr>
      </w:pPr>
      <w:r w:rsidRPr="00BF75F2">
        <w:rPr>
          <w:rFonts w:eastAsia="Calibri"/>
          <w:highlight w:val="green"/>
        </w:rPr>
        <w:fldChar w:fldCharType="begin"/>
      </w:r>
      <w:r w:rsidRPr="00BF75F2">
        <w:rPr>
          <w:rFonts w:eastAsia="Calibri"/>
          <w:highlight w:val="green"/>
        </w:rPr>
        <w:instrText xml:space="preserve"> SEQ Таблица \* ARABIC </w:instrText>
      </w:r>
      <w:r w:rsidRPr="00BF75F2">
        <w:rPr>
          <w:rFonts w:eastAsia="Calibri"/>
          <w:highlight w:val="green"/>
        </w:rPr>
        <w:fldChar w:fldCharType="separate"/>
      </w:r>
      <w:bookmarkStart w:id="4604" w:name="_Ref204095580"/>
      <w:bookmarkStart w:id="4605" w:name="_Toc219309394"/>
      <w:r w:rsidR="008D797C">
        <w:rPr>
          <w:rFonts w:eastAsia="Calibri"/>
          <w:noProof/>
          <w:highlight w:val="green"/>
        </w:rPr>
        <w:t>364</w:t>
      </w:r>
      <w:bookmarkEnd w:id="4604"/>
      <w:r w:rsidRPr="00BF75F2">
        <w:rPr>
          <w:rFonts w:eastAsia="Calibri"/>
          <w:highlight w:val="green"/>
        </w:rPr>
        <w:fldChar w:fldCharType="end"/>
      </w:r>
      <w:r w:rsidRPr="00BF75F2">
        <w:rPr>
          <w:rFonts w:eastAsia="Calibri"/>
          <w:highlight w:val="green"/>
        </w:rPr>
        <w:t xml:space="preserve"> – Описание комплексного типа «</w:t>
      </w:r>
      <w:r w:rsidRPr="007D45A5">
        <w:rPr>
          <w:highlight w:val="green"/>
        </w:rPr>
        <w:t>tKVR_NPAAmnt_ITEM</w:t>
      </w:r>
      <w:r w:rsidRPr="00BF75F2">
        <w:rPr>
          <w:rFonts w:eastAsia="Calibri"/>
          <w:highlight w:val="green"/>
        </w:rPr>
        <w:t>»</w:t>
      </w:r>
      <w:bookmarkEnd w:id="4605"/>
    </w:p>
    <w:tbl>
      <w:tblPr>
        <w:tblStyle w:val="GOSTTable"/>
        <w:tblW w:w="5000" w:type="pct"/>
        <w:tblLayout w:type="fixed"/>
        <w:tblLook w:val="07E0" w:firstRow="1" w:lastRow="1" w:firstColumn="1" w:lastColumn="1" w:noHBand="1" w:noVBand="1"/>
      </w:tblPr>
      <w:tblGrid>
        <w:gridCol w:w="1705"/>
        <w:gridCol w:w="1705"/>
        <w:gridCol w:w="568"/>
        <w:gridCol w:w="1137"/>
        <w:gridCol w:w="567"/>
        <w:gridCol w:w="3968"/>
      </w:tblGrid>
      <w:tr w:rsidR="002E0E1D" w:rsidRPr="009D2D00" w14:paraId="6D392E81" w14:textId="77777777" w:rsidTr="00891104">
        <w:trPr>
          <w:cnfStyle w:val="100000000000" w:firstRow="1" w:lastRow="0" w:firstColumn="0" w:lastColumn="0" w:oddVBand="0" w:evenVBand="0" w:oddHBand="0" w:evenHBand="0" w:firstRowFirstColumn="0" w:firstRowLastColumn="0" w:lastRowFirstColumn="0" w:lastRowLastColumn="0"/>
          <w:trHeight w:val="282"/>
          <w:tblHeader/>
        </w:trPr>
        <w:tc>
          <w:tcPr>
            <w:tcW w:w="883" w:type="pct"/>
          </w:tcPr>
          <w:p w14:paraId="00424869" w14:textId="77777777" w:rsidR="002E0E1D" w:rsidRPr="009D2D00" w:rsidRDefault="002E0E1D" w:rsidP="002E0E1D">
            <w:pPr>
              <w:pStyle w:val="GOSTTableHead"/>
            </w:pPr>
            <w:r w:rsidRPr="009D2D00">
              <w:t>Наименование элемента</w:t>
            </w:r>
          </w:p>
        </w:tc>
        <w:tc>
          <w:tcPr>
            <w:tcW w:w="883" w:type="pct"/>
          </w:tcPr>
          <w:p w14:paraId="09E089B0" w14:textId="77777777" w:rsidR="002E0E1D" w:rsidRPr="009D2D00" w:rsidRDefault="002E0E1D" w:rsidP="002E0E1D">
            <w:pPr>
              <w:pStyle w:val="GOSTTableHead"/>
            </w:pPr>
            <w:r w:rsidRPr="009D2D00">
              <w:t>Сокращенное наименование (код) элемента</w:t>
            </w:r>
          </w:p>
        </w:tc>
        <w:tc>
          <w:tcPr>
            <w:tcW w:w="294" w:type="pct"/>
          </w:tcPr>
          <w:p w14:paraId="060ED87E" w14:textId="77777777" w:rsidR="002E0E1D" w:rsidRPr="009D2D00" w:rsidRDefault="002E0E1D" w:rsidP="002E0E1D">
            <w:pPr>
              <w:pStyle w:val="GOSTTableHead"/>
            </w:pPr>
            <w:r w:rsidRPr="009D2D00">
              <w:t>Тип</w:t>
            </w:r>
          </w:p>
        </w:tc>
        <w:tc>
          <w:tcPr>
            <w:tcW w:w="589" w:type="pct"/>
          </w:tcPr>
          <w:p w14:paraId="02941A6E" w14:textId="77777777" w:rsidR="002E0E1D" w:rsidRPr="009D2D00" w:rsidRDefault="002E0E1D" w:rsidP="002E0E1D">
            <w:pPr>
              <w:pStyle w:val="GOSTTableHead"/>
            </w:pPr>
            <w:r w:rsidRPr="009D2D00">
              <w:t>Формат элемента</w:t>
            </w:r>
          </w:p>
        </w:tc>
        <w:tc>
          <w:tcPr>
            <w:tcW w:w="294" w:type="pct"/>
          </w:tcPr>
          <w:p w14:paraId="06C6AF2E" w14:textId="77777777" w:rsidR="002E0E1D" w:rsidRPr="009D2D00" w:rsidRDefault="002E0E1D" w:rsidP="002E0E1D">
            <w:pPr>
              <w:pStyle w:val="GOSTTableHead"/>
            </w:pPr>
            <w:r w:rsidRPr="009D2D00">
              <w:t>Обязательность</w:t>
            </w:r>
          </w:p>
        </w:tc>
        <w:tc>
          <w:tcPr>
            <w:tcW w:w="2056" w:type="pct"/>
          </w:tcPr>
          <w:p w14:paraId="0F3B33A6" w14:textId="77777777" w:rsidR="002E0E1D" w:rsidRPr="009D2D00" w:rsidRDefault="002E0E1D" w:rsidP="002E0E1D">
            <w:pPr>
              <w:pStyle w:val="GOSTTableHead"/>
            </w:pPr>
            <w:r w:rsidRPr="009D2D00">
              <w:t>Дополнительная информация</w:t>
            </w:r>
          </w:p>
        </w:tc>
      </w:tr>
      <w:tr w:rsidR="002E0E1D" w:rsidRPr="009D2D00" w14:paraId="610E5C12" w14:textId="77777777" w:rsidTr="002E0E1D">
        <w:trPr>
          <w:trHeight w:val="282"/>
        </w:trPr>
        <w:tc>
          <w:tcPr>
            <w:tcW w:w="883" w:type="pct"/>
          </w:tcPr>
          <w:p w14:paraId="45B9F248" w14:textId="77777777" w:rsidR="002E0E1D" w:rsidRPr="00D77362" w:rsidRDefault="002E0E1D" w:rsidP="002E0E1D">
            <w:pPr>
              <w:pStyle w:val="GOSTTablenorm"/>
            </w:pPr>
            <w:r w:rsidRPr="007C0060">
              <w:t>Код вида расходов по бюджетной классификации</w:t>
            </w:r>
          </w:p>
        </w:tc>
        <w:tc>
          <w:tcPr>
            <w:tcW w:w="883" w:type="pct"/>
          </w:tcPr>
          <w:p w14:paraId="09909FAF" w14:textId="77777777" w:rsidR="002E0E1D" w:rsidRPr="009D2D00" w:rsidRDefault="002E0E1D" w:rsidP="002E0E1D">
            <w:pPr>
              <w:pStyle w:val="GOSTTablenorm"/>
            </w:pPr>
            <w:r w:rsidRPr="0070781F">
              <w:t>CodeKVR</w:t>
            </w:r>
          </w:p>
        </w:tc>
        <w:tc>
          <w:tcPr>
            <w:tcW w:w="294" w:type="pct"/>
          </w:tcPr>
          <w:p w14:paraId="0C4AA2CB" w14:textId="77777777" w:rsidR="002E0E1D" w:rsidRPr="009D2D00" w:rsidRDefault="002E0E1D" w:rsidP="002E0E1D">
            <w:pPr>
              <w:pStyle w:val="GOSTTablenorm"/>
            </w:pPr>
            <w:r w:rsidRPr="0043638D">
              <w:t>П</w:t>
            </w:r>
          </w:p>
        </w:tc>
        <w:tc>
          <w:tcPr>
            <w:tcW w:w="589" w:type="pct"/>
          </w:tcPr>
          <w:p w14:paraId="2653EB49" w14:textId="77777777" w:rsidR="002E0E1D" w:rsidRPr="00636EBF" w:rsidRDefault="002E0E1D" w:rsidP="002E0E1D">
            <w:pPr>
              <w:pStyle w:val="GOSTTablenorm"/>
            </w:pPr>
            <w:r>
              <w:rPr>
                <w:szCs w:val="22"/>
              </w:rPr>
              <w:t>Т(3)</w:t>
            </w:r>
          </w:p>
        </w:tc>
        <w:tc>
          <w:tcPr>
            <w:tcW w:w="294" w:type="pct"/>
          </w:tcPr>
          <w:p w14:paraId="7C76296E" w14:textId="77777777" w:rsidR="002E0E1D" w:rsidRPr="009D2D00" w:rsidRDefault="002E0E1D" w:rsidP="002E0E1D">
            <w:pPr>
              <w:pStyle w:val="GOSTTablenorm"/>
            </w:pPr>
            <w:r w:rsidRPr="006E2FAC">
              <w:t>О</w:t>
            </w:r>
          </w:p>
        </w:tc>
        <w:tc>
          <w:tcPr>
            <w:tcW w:w="2056" w:type="pct"/>
          </w:tcPr>
          <w:p w14:paraId="5C205FF7" w14:textId="77777777" w:rsidR="002E0E1D" w:rsidRPr="00C1651F" w:rsidRDefault="002E0E1D" w:rsidP="002E0E1D">
            <w:pPr>
              <w:pStyle w:val="GOSTTablenorm"/>
            </w:pPr>
            <w:r w:rsidRPr="00C1651F">
              <w:t xml:space="preserve">Указывается </w:t>
            </w:r>
            <w:r>
              <w:t>к</w:t>
            </w:r>
            <w:r w:rsidRPr="00C1651F">
              <w:t>од вида расходов по бюджетной классификации</w:t>
            </w:r>
          </w:p>
        </w:tc>
      </w:tr>
      <w:tr w:rsidR="002E0E1D" w:rsidRPr="009D2D00" w14:paraId="215DEA62" w14:textId="77777777" w:rsidTr="002E0E1D">
        <w:trPr>
          <w:trHeight w:val="282"/>
        </w:trPr>
        <w:tc>
          <w:tcPr>
            <w:tcW w:w="883" w:type="pct"/>
          </w:tcPr>
          <w:p w14:paraId="7EEF1A78" w14:textId="77777777" w:rsidR="002E0E1D" w:rsidRDefault="002E0E1D" w:rsidP="002E0E1D">
            <w:pPr>
              <w:pStyle w:val="GOSTTablenorm"/>
            </w:pPr>
            <w:r>
              <w:t>И</w:t>
            </w:r>
            <w:r w:rsidRPr="00C1651F">
              <w:t>тоговая сумма по КВР</w:t>
            </w:r>
            <w:r>
              <w:t xml:space="preserve"> </w:t>
            </w:r>
            <w:r w:rsidRPr="00C95AB5">
              <w:rPr>
                <w:rFonts w:eastAsia="Calibri"/>
              </w:rPr>
              <w:t>–</w:t>
            </w:r>
            <w:r>
              <w:t xml:space="preserve"> Объем средств, предусмотренный нормативным правовым актом</w:t>
            </w:r>
          </w:p>
          <w:p w14:paraId="35D75811" w14:textId="77777777" w:rsidR="002E0E1D" w:rsidRPr="00D77362" w:rsidRDefault="002E0E1D" w:rsidP="002E0E1D">
            <w:pPr>
              <w:pStyle w:val="GOSTTablenorm"/>
            </w:pPr>
            <w:r>
              <w:t>всего</w:t>
            </w:r>
          </w:p>
        </w:tc>
        <w:tc>
          <w:tcPr>
            <w:tcW w:w="883" w:type="pct"/>
          </w:tcPr>
          <w:p w14:paraId="215A625D" w14:textId="77777777" w:rsidR="002E0E1D" w:rsidRPr="0070781F" w:rsidRDefault="002E0E1D" w:rsidP="002E0E1D">
            <w:pPr>
              <w:pStyle w:val="GOSTTablenorm"/>
              <w:rPr>
                <w:lang w:val="en-US"/>
              </w:rPr>
            </w:pPr>
            <w:r w:rsidRPr="007D45A5">
              <w:rPr>
                <w:sz w:val="24"/>
                <w:szCs w:val="24"/>
              </w:rPr>
              <w:t>KVR_</w:t>
            </w:r>
            <w:r w:rsidRPr="0070781F">
              <w:t>NPA</w:t>
            </w:r>
            <w:r w:rsidRPr="006A52CE">
              <w:t>Amnt</w:t>
            </w:r>
            <w:r>
              <w:rPr>
                <w:lang w:val="en-US"/>
              </w:rPr>
              <w:t>Ttl</w:t>
            </w:r>
          </w:p>
        </w:tc>
        <w:tc>
          <w:tcPr>
            <w:tcW w:w="294" w:type="pct"/>
          </w:tcPr>
          <w:p w14:paraId="237C49A0" w14:textId="77777777" w:rsidR="002E0E1D" w:rsidRPr="009D2D00" w:rsidRDefault="002E0E1D" w:rsidP="002E0E1D">
            <w:pPr>
              <w:pStyle w:val="GOSTTablenorm"/>
            </w:pPr>
            <w:r w:rsidRPr="0043638D">
              <w:t>П</w:t>
            </w:r>
          </w:p>
        </w:tc>
        <w:tc>
          <w:tcPr>
            <w:tcW w:w="589" w:type="pct"/>
          </w:tcPr>
          <w:p w14:paraId="72214FAC" w14:textId="77777777" w:rsidR="002E0E1D" w:rsidRPr="009D2D00" w:rsidRDefault="002E0E1D" w:rsidP="002E0E1D">
            <w:pPr>
              <w:pStyle w:val="GOSTTablenorm"/>
            </w:pPr>
            <w:r w:rsidRPr="004C37EE">
              <w:rPr>
                <w:szCs w:val="22"/>
                <w:lang w:val="en-US"/>
              </w:rPr>
              <w:t>N(20</w:t>
            </w:r>
            <w:r w:rsidRPr="004C37EE">
              <w:rPr>
                <w:szCs w:val="22"/>
              </w:rPr>
              <w:t>.2</w:t>
            </w:r>
            <w:r w:rsidRPr="004C37EE">
              <w:rPr>
                <w:szCs w:val="22"/>
                <w:lang w:val="en-US"/>
              </w:rPr>
              <w:t>)</w:t>
            </w:r>
          </w:p>
        </w:tc>
        <w:tc>
          <w:tcPr>
            <w:tcW w:w="294" w:type="pct"/>
          </w:tcPr>
          <w:p w14:paraId="02FA5D71" w14:textId="77777777" w:rsidR="002E0E1D" w:rsidRPr="009D2D00" w:rsidRDefault="002E0E1D" w:rsidP="002E0E1D">
            <w:pPr>
              <w:pStyle w:val="GOSTTablenorm"/>
            </w:pPr>
            <w:r w:rsidRPr="006E2FAC">
              <w:t>О</w:t>
            </w:r>
          </w:p>
        </w:tc>
        <w:tc>
          <w:tcPr>
            <w:tcW w:w="2056" w:type="pct"/>
          </w:tcPr>
          <w:p w14:paraId="59DF7784" w14:textId="77777777" w:rsidR="002E0E1D" w:rsidRPr="00C1651F" w:rsidRDefault="002E0E1D" w:rsidP="002E0E1D">
            <w:pPr>
              <w:pStyle w:val="GOSTTablenorm"/>
            </w:pPr>
            <w:r w:rsidRPr="00C1651F">
              <w:t>Указывается итоговая сумма по КВР всег</w:t>
            </w:r>
            <w:r>
              <w:t>о объема средств, предусмотренного</w:t>
            </w:r>
            <w:r w:rsidRPr="00C1651F">
              <w:t xml:space="preserve"> нормативным правовым актом за все периоды.</w:t>
            </w:r>
          </w:p>
          <w:p w14:paraId="6CF8D706" w14:textId="77777777" w:rsidR="002E0E1D" w:rsidRPr="00C1651F" w:rsidRDefault="002E0E1D" w:rsidP="002E0E1D">
            <w:pPr>
              <w:pStyle w:val="GOSTTablenorm"/>
            </w:pPr>
            <w:r w:rsidRPr="00C1651F">
              <w:t>При отсутствии значения указывается «0.00»</w:t>
            </w:r>
          </w:p>
        </w:tc>
      </w:tr>
      <w:tr w:rsidR="002E0E1D" w:rsidRPr="009D2D00" w14:paraId="33F6FB94" w14:textId="77777777" w:rsidTr="002E0E1D">
        <w:trPr>
          <w:trHeight w:val="282"/>
        </w:trPr>
        <w:tc>
          <w:tcPr>
            <w:tcW w:w="883" w:type="pct"/>
          </w:tcPr>
          <w:p w14:paraId="2AF565FA" w14:textId="77777777" w:rsidR="002E0E1D" w:rsidRDefault="002E0E1D" w:rsidP="002E0E1D">
            <w:pPr>
              <w:pStyle w:val="GOSTTablenorm"/>
            </w:pPr>
            <w:r>
              <w:t>И</w:t>
            </w:r>
            <w:r w:rsidRPr="00C1651F">
              <w:t>тоговая сумма по КВР</w:t>
            </w:r>
            <w:r>
              <w:t xml:space="preserve"> </w:t>
            </w:r>
            <w:r w:rsidRPr="00C95AB5">
              <w:rPr>
                <w:rFonts w:eastAsia="Calibri"/>
              </w:rPr>
              <w:t>–</w:t>
            </w:r>
            <w:r>
              <w:t xml:space="preserve"> Объем средств, предусмотренный нормативным правовым актом</w:t>
            </w:r>
          </w:p>
          <w:p w14:paraId="23560063" w14:textId="77777777" w:rsidR="002E0E1D" w:rsidRPr="00D77362" w:rsidRDefault="002E0E1D" w:rsidP="002E0E1D">
            <w:pPr>
              <w:pStyle w:val="GOSTTablenorm"/>
            </w:pPr>
            <w:r>
              <w:t>на очередной (текущий) финансовый год</w:t>
            </w:r>
          </w:p>
        </w:tc>
        <w:tc>
          <w:tcPr>
            <w:tcW w:w="883" w:type="pct"/>
          </w:tcPr>
          <w:p w14:paraId="3559A444" w14:textId="77777777" w:rsidR="002E0E1D" w:rsidRPr="009D2D00" w:rsidRDefault="002E0E1D" w:rsidP="002E0E1D">
            <w:pPr>
              <w:pStyle w:val="GOSTTablenorm"/>
            </w:pPr>
            <w:r w:rsidRPr="007D45A5">
              <w:rPr>
                <w:sz w:val="24"/>
                <w:szCs w:val="24"/>
              </w:rPr>
              <w:t>KVR_</w:t>
            </w:r>
            <w:r w:rsidRPr="0070781F">
              <w:t>NPA</w:t>
            </w:r>
            <w:r w:rsidRPr="006A52CE">
              <w:t>Amnt</w:t>
            </w:r>
            <w:r>
              <w:rPr>
                <w:lang w:val="en-US"/>
              </w:rPr>
              <w:t>C</w:t>
            </w:r>
            <w:r w:rsidRPr="00042743">
              <w:t>urr</w:t>
            </w:r>
            <w:r>
              <w:rPr>
                <w:lang w:val="en-US"/>
              </w:rPr>
              <w:t>Yr</w:t>
            </w:r>
          </w:p>
        </w:tc>
        <w:tc>
          <w:tcPr>
            <w:tcW w:w="294" w:type="pct"/>
          </w:tcPr>
          <w:p w14:paraId="4AFF976C" w14:textId="77777777" w:rsidR="002E0E1D" w:rsidRPr="009D2D00" w:rsidRDefault="002E0E1D" w:rsidP="002E0E1D">
            <w:pPr>
              <w:pStyle w:val="GOSTTablenorm"/>
            </w:pPr>
            <w:r w:rsidRPr="0043638D">
              <w:t>П</w:t>
            </w:r>
          </w:p>
        </w:tc>
        <w:tc>
          <w:tcPr>
            <w:tcW w:w="589" w:type="pct"/>
          </w:tcPr>
          <w:p w14:paraId="4A60F874" w14:textId="77777777" w:rsidR="002E0E1D" w:rsidRPr="009D2D00" w:rsidRDefault="002E0E1D" w:rsidP="002E0E1D">
            <w:pPr>
              <w:pStyle w:val="GOSTTablenorm"/>
            </w:pPr>
            <w:r w:rsidRPr="004C37EE">
              <w:rPr>
                <w:szCs w:val="22"/>
                <w:lang w:val="en-US"/>
              </w:rPr>
              <w:t>N(20</w:t>
            </w:r>
            <w:r w:rsidRPr="004C37EE">
              <w:rPr>
                <w:szCs w:val="22"/>
              </w:rPr>
              <w:t>.2</w:t>
            </w:r>
            <w:r w:rsidRPr="004C37EE">
              <w:rPr>
                <w:szCs w:val="22"/>
                <w:lang w:val="en-US"/>
              </w:rPr>
              <w:t>)</w:t>
            </w:r>
          </w:p>
        </w:tc>
        <w:tc>
          <w:tcPr>
            <w:tcW w:w="294" w:type="pct"/>
          </w:tcPr>
          <w:p w14:paraId="05285B67" w14:textId="77777777" w:rsidR="002E0E1D" w:rsidRPr="009D2D00" w:rsidRDefault="002E0E1D" w:rsidP="002E0E1D">
            <w:pPr>
              <w:pStyle w:val="GOSTTablenorm"/>
            </w:pPr>
            <w:r w:rsidRPr="006E2FAC">
              <w:t>О</w:t>
            </w:r>
          </w:p>
        </w:tc>
        <w:tc>
          <w:tcPr>
            <w:tcW w:w="2056" w:type="pct"/>
          </w:tcPr>
          <w:p w14:paraId="7847290D" w14:textId="77777777" w:rsidR="002E0E1D" w:rsidRPr="00C1651F" w:rsidRDefault="002E0E1D" w:rsidP="002E0E1D">
            <w:pPr>
              <w:pStyle w:val="GOSTTablenorm"/>
            </w:pPr>
            <w:r w:rsidRPr="00C1651F">
              <w:t>Указывается итоговая сумма по КВР объема средств, предусмотренн</w:t>
            </w:r>
            <w:r>
              <w:t>ого</w:t>
            </w:r>
            <w:r w:rsidRPr="00C1651F">
              <w:t xml:space="preserve"> нормативным правовым актом на очередной (текущий) финансовый год.</w:t>
            </w:r>
          </w:p>
          <w:p w14:paraId="5CFEBF1F" w14:textId="77777777" w:rsidR="002E0E1D" w:rsidRPr="00C1651F" w:rsidRDefault="002E0E1D" w:rsidP="002E0E1D">
            <w:pPr>
              <w:pStyle w:val="GOSTTablenorm"/>
            </w:pPr>
            <w:r w:rsidRPr="00C1651F">
              <w:t>При отсутствии значения указывается «0.00»</w:t>
            </w:r>
          </w:p>
        </w:tc>
      </w:tr>
      <w:tr w:rsidR="002E0E1D" w:rsidRPr="009D2D00" w14:paraId="5F121D28" w14:textId="77777777" w:rsidTr="002E0E1D">
        <w:trPr>
          <w:trHeight w:val="282"/>
        </w:trPr>
        <w:tc>
          <w:tcPr>
            <w:tcW w:w="883" w:type="pct"/>
          </w:tcPr>
          <w:p w14:paraId="251E2526" w14:textId="77777777" w:rsidR="002E0E1D" w:rsidRDefault="002E0E1D" w:rsidP="002E0E1D">
            <w:pPr>
              <w:pStyle w:val="GOSTTablenorm"/>
            </w:pPr>
            <w:r>
              <w:t>И</w:t>
            </w:r>
            <w:r w:rsidRPr="00C1651F">
              <w:t>тоговая сумма по КВР</w:t>
            </w:r>
            <w:r>
              <w:t xml:space="preserve"> </w:t>
            </w:r>
            <w:r w:rsidRPr="00C95AB5">
              <w:rPr>
                <w:rFonts w:eastAsia="Calibri"/>
              </w:rPr>
              <w:t>–</w:t>
            </w:r>
            <w:r>
              <w:t xml:space="preserve"> Объем </w:t>
            </w:r>
            <w:r w:rsidRPr="007C0060">
              <w:t>средств, предусмотренны</w:t>
            </w:r>
            <w:r>
              <w:t>й</w:t>
            </w:r>
            <w:r w:rsidRPr="007C0060">
              <w:t xml:space="preserve"> нормативным правовым актом</w:t>
            </w:r>
          </w:p>
          <w:p w14:paraId="1083E81E" w14:textId="77777777" w:rsidR="002E0E1D" w:rsidRPr="00D77362" w:rsidRDefault="002E0E1D" w:rsidP="002E0E1D">
            <w:pPr>
              <w:pStyle w:val="GOSTTablenorm"/>
            </w:pPr>
            <w:r w:rsidRPr="007C0060">
              <w:t xml:space="preserve">на плановый период на </w:t>
            </w:r>
            <w:r w:rsidRPr="007C0060">
              <w:lastRenderedPageBreak/>
              <w:t>первый год</w:t>
            </w:r>
          </w:p>
        </w:tc>
        <w:tc>
          <w:tcPr>
            <w:tcW w:w="883" w:type="pct"/>
          </w:tcPr>
          <w:p w14:paraId="2F6C7B0D" w14:textId="77777777" w:rsidR="002E0E1D" w:rsidRPr="006D0BBA" w:rsidRDefault="002E0E1D" w:rsidP="002E0E1D">
            <w:pPr>
              <w:pStyle w:val="GOSTTablenorm"/>
              <w:rPr>
                <w:lang w:val="en-US"/>
              </w:rPr>
            </w:pPr>
            <w:r w:rsidRPr="007D45A5">
              <w:rPr>
                <w:sz w:val="24"/>
                <w:szCs w:val="24"/>
              </w:rPr>
              <w:lastRenderedPageBreak/>
              <w:t>KVR_</w:t>
            </w:r>
            <w:r w:rsidRPr="0070781F">
              <w:t>NPA</w:t>
            </w:r>
            <w:r w:rsidRPr="006A52CE">
              <w:t>Amnt</w:t>
            </w:r>
            <w:r w:rsidRPr="009D2D00">
              <w:t>FrstYr</w:t>
            </w:r>
          </w:p>
        </w:tc>
        <w:tc>
          <w:tcPr>
            <w:tcW w:w="294" w:type="pct"/>
          </w:tcPr>
          <w:p w14:paraId="6FB96561" w14:textId="77777777" w:rsidR="002E0E1D" w:rsidRPr="009D2D00" w:rsidRDefault="002E0E1D" w:rsidP="002E0E1D">
            <w:pPr>
              <w:pStyle w:val="GOSTTablenorm"/>
            </w:pPr>
            <w:r w:rsidRPr="0043638D">
              <w:t>П</w:t>
            </w:r>
          </w:p>
        </w:tc>
        <w:tc>
          <w:tcPr>
            <w:tcW w:w="589" w:type="pct"/>
          </w:tcPr>
          <w:p w14:paraId="36733B44" w14:textId="77777777" w:rsidR="002E0E1D" w:rsidRPr="009D2D00" w:rsidRDefault="002E0E1D" w:rsidP="002E0E1D">
            <w:pPr>
              <w:pStyle w:val="GOSTTablenorm"/>
            </w:pPr>
            <w:r w:rsidRPr="00D446D3">
              <w:rPr>
                <w:szCs w:val="22"/>
                <w:lang w:val="en-US"/>
              </w:rPr>
              <w:t>N(20</w:t>
            </w:r>
            <w:r w:rsidRPr="00D446D3">
              <w:rPr>
                <w:szCs w:val="22"/>
              </w:rPr>
              <w:t>.2</w:t>
            </w:r>
            <w:r w:rsidRPr="00D446D3">
              <w:rPr>
                <w:szCs w:val="22"/>
                <w:lang w:val="en-US"/>
              </w:rPr>
              <w:t>)</w:t>
            </w:r>
          </w:p>
        </w:tc>
        <w:tc>
          <w:tcPr>
            <w:tcW w:w="294" w:type="pct"/>
          </w:tcPr>
          <w:p w14:paraId="7DB57172" w14:textId="77777777" w:rsidR="002E0E1D" w:rsidRPr="009D2D00" w:rsidRDefault="002E0E1D" w:rsidP="002E0E1D">
            <w:pPr>
              <w:pStyle w:val="GOSTTablenorm"/>
            </w:pPr>
            <w:r w:rsidRPr="006E2FAC">
              <w:t>О</w:t>
            </w:r>
          </w:p>
        </w:tc>
        <w:tc>
          <w:tcPr>
            <w:tcW w:w="2056" w:type="pct"/>
          </w:tcPr>
          <w:p w14:paraId="34CE2923" w14:textId="77777777" w:rsidR="002E0E1D" w:rsidRPr="00C1651F" w:rsidRDefault="002E0E1D" w:rsidP="002E0E1D">
            <w:pPr>
              <w:pStyle w:val="GOSTTablenorm"/>
            </w:pPr>
            <w:r w:rsidRPr="00C1651F">
              <w:t>Указывается итоговая сумма по КВР объема средств, предусмотренн</w:t>
            </w:r>
            <w:r>
              <w:t>ого</w:t>
            </w:r>
            <w:r w:rsidRPr="00C1651F">
              <w:t xml:space="preserve"> нормативным правовым актом на плановый период на первый год.</w:t>
            </w:r>
          </w:p>
          <w:p w14:paraId="640CEDF8" w14:textId="77777777" w:rsidR="002E0E1D" w:rsidRPr="00C1651F" w:rsidRDefault="002E0E1D" w:rsidP="002E0E1D">
            <w:pPr>
              <w:pStyle w:val="GOSTTablenorm"/>
            </w:pPr>
            <w:r w:rsidRPr="00C1651F">
              <w:t>При отсутствии значения указывается «0.00»</w:t>
            </w:r>
          </w:p>
        </w:tc>
      </w:tr>
      <w:tr w:rsidR="002E0E1D" w:rsidRPr="009D2D00" w14:paraId="7C7E7189" w14:textId="77777777" w:rsidTr="002E0E1D">
        <w:trPr>
          <w:trHeight w:val="282"/>
        </w:trPr>
        <w:tc>
          <w:tcPr>
            <w:tcW w:w="883" w:type="pct"/>
          </w:tcPr>
          <w:p w14:paraId="54F56E1B" w14:textId="77777777" w:rsidR="002E0E1D" w:rsidRDefault="002E0E1D" w:rsidP="002E0E1D">
            <w:pPr>
              <w:pStyle w:val="GOSTTablenorm"/>
            </w:pPr>
            <w:r>
              <w:lastRenderedPageBreak/>
              <w:t>И</w:t>
            </w:r>
            <w:r w:rsidRPr="00C1651F">
              <w:t>тоговая сумма по КВР</w:t>
            </w:r>
            <w:r>
              <w:t xml:space="preserve"> </w:t>
            </w:r>
            <w:r w:rsidRPr="00C95AB5">
              <w:rPr>
                <w:rFonts w:eastAsia="Calibri"/>
              </w:rPr>
              <w:t>–</w:t>
            </w:r>
            <w:r>
              <w:t xml:space="preserve"> Объем </w:t>
            </w:r>
            <w:r w:rsidRPr="007C0060">
              <w:t>средств, предусмотренны</w:t>
            </w:r>
            <w:r>
              <w:t>й</w:t>
            </w:r>
            <w:r w:rsidRPr="007C0060">
              <w:t xml:space="preserve"> нормативным правовым актом</w:t>
            </w:r>
          </w:p>
          <w:p w14:paraId="668DF532" w14:textId="77777777" w:rsidR="002E0E1D" w:rsidRPr="00D77362" w:rsidRDefault="002E0E1D" w:rsidP="002E0E1D">
            <w:pPr>
              <w:pStyle w:val="GOSTTablenorm"/>
            </w:pPr>
            <w:r w:rsidRPr="007C0060">
              <w:t>на плановый период на второй год</w:t>
            </w:r>
          </w:p>
        </w:tc>
        <w:tc>
          <w:tcPr>
            <w:tcW w:w="883" w:type="pct"/>
          </w:tcPr>
          <w:p w14:paraId="6F0474E0" w14:textId="77777777" w:rsidR="002E0E1D" w:rsidRPr="009D2D00" w:rsidRDefault="002E0E1D" w:rsidP="002E0E1D">
            <w:pPr>
              <w:pStyle w:val="GOSTTablenorm"/>
            </w:pPr>
            <w:r w:rsidRPr="007D45A5">
              <w:rPr>
                <w:sz w:val="24"/>
                <w:szCs w:val="24"/>
              </w:rPr>
              <w:t>KVR_</w:t>
            </w:r>
            <w:r w:rsidRPr="0070781F">
              <w:t>NPA</w:t>
            </w:r>
            <w:r w:rsidRPr="006A52CE">
              <w:t>Amnt</w:t>
            </w:r>
            <w:r w:rsidRPr="009D2D00">
              <w:t>ScndYr</w:t>
            </w:r>
          </w:p>
        </w:tc>
        <w:tc>
          <w:tcPr>
            <w:tcW w:w="294" w:type="pct"/>
          </w:tcPr>
          <w:p w14:paraId="19049CEE" w14:textId="77777777" w:rsidR="002E0E1D" w:rsidRPr="009D2D00" w:rsidRDefault="002E0E1D" w:rsidP="002E0E1D">
            <w:pPr>
              <w:pStyle w:val="GOSTTablenorm"/>
            </w:pPr>
            <w:r w:rsidRPr="0043638D">
              <w:t>П</w:t>
            </w:r>
          </w:p>
        </w:tc>
        <w:tc>
          <w:tcPr>
            <w:tcW w:w="589" w:type="pct"/>
          </w:tcPr>
          <w:p w14:paraId="61050B22" w14:textId="77777777" w:rsidR="002E0E1D" w:rsidRPr="009D2D00" w:rsidRDefault="002E0E1D" w:rsidP="002E0E1D">
            <w:pPr>
              <w:pStyle w:val="GOSTTablenorm"/>
            </w:pPr>
            <w:r w:rsidRPr="00D446D3">
              <w:rPr>
                <w:szCs w:val="22"/>
                <w:lang w:val="en-US"/>
              </w:rPr>
              <w:t>N(20</w:t>
            </w:r>
            <w:r w:rsidRPr="00D446D3">
              <w:rPr>
                <w:szCs w:val="22"/>
              </w:rPr>
              <w:t>.2</w:t>
            </w:r>
            <w:r w:rsidRPr="00D446D3">
              <w:rPr>
                <w:szCs w:val="22"/>
                <w:lang w:val="en-US"/>
              </w:rPr>
              <w:t>)</w:t>
            </w:r>
          </w:p>
        </w:tc>
        <w:tc>
          <w:tcPr>
            <w:tcW w:w="294" w:type="pct"/>
          </w:tcPr>
          <w:p w14:paraId="19890BCB" w14:textId="77777777" w:rsidR="002E0E1D" w:rsidRPr="00BD1752" w:rsidRDefault="002E0E1D" w:rsidP="002E0E1D">
            <w:pPr>
              <w:pStyle w:val="GOSTTablenorm"/>
            </w:pPr>
            <w:r>
              <w:t>О</w:t>
            </w:r>
          </w:p>
        </w:tc>
        <w:tc>
          <w:tcPr>
            <w:tcW w:w="2056" w:type="pct"/>
          </w:tcPr>
          <w:p w14:paraId="39962890" w14:textId="77777777" w:rsidR="002E0E1D" w:rsidRPr="00C1651F" w:rsidRDefault="002E0E1D" w:rsidP="002E0E1D">
            <w:pPr>
              <w:pStyle w:val="GOSTTablenorm"/>
            </w:pPr>
            <w:r w:rsidRPr="00C1651F">
              <w:t>Указывается итоговая сумма по КВР объема средств, предусмотренн</w:t>
            </w:r>
            <w:r>
              <w:t>ого</w:t>
            </w:r>
            <w:r w:rsidRPr="00C1651F">
              <w:t xml:space="preserve"> нормативным правовым актом на плановый период на второй год.</w:t>
            </w:r>
          </w:p>
          <w:p w14:paraId="509EF088" w14:textId="77777777" w:rsidR="002E0E1D" w:rsidRPr="00C1651F" w:rsidRDefault="002E0E1D" w:rsidP="002E0E1D">
            <w:pPr>
              <w:pStyle w:val="GOSTTablenorm"/>
            </w:pPr>
            <w:r w:rsidRPr="00C1651F">
              <w:t>При отсутствии значения указывается «0.00»</w:t>
            </w:r>
          </w:p>
        </w:tc>
      </w:tr>
      <w:tr w:rsidR="002E0E1D" w:rsidRPr="009D2D00" w14:paraId="7A5A6395" w14:textId="77777777" w:rsidTr="002E0E1D">
        <w:trPr>
          <w:trHeight w:val="282"/>
        </w:trPr>
        <w:tc>
          <w:tcPr>
            <w:tcW w:w="883" w:type="pct"/>
          </w:tcPr>
          <w:p w14:paraId="19D696B3" w14:textId="77777777" w:rsidR="002E0E1D" w:rsidRDefault="002E0E1D" w:rsidP="002E0E1D">
            <w:pPr>
              <w:pStyle w:val="GOSTTablenorm"/>
            </w:pPr>
            <w:r>
              <w:t>И</w:t>
            </w:r>
            <w:r w:rsidRPr="00C1651F">
              <w:t>тоговая сумма по КВР</w:t>
            </w:r>
            <w:r>
              <w:t xml:space="preserve"> </w:t>
            </w:r>
            <w:r w:rsidRPr="00C95AB5">
              <w:rPr>
                <w:rFonts w:eastAsia="Calibri"/>
              </w:rPr>
              <w:t>–</w:t>
            </w:r>
            <w:r>
              <w:t xml:space="preserve"> Объем </w:t>
            </w:r>
            <w:r w:rsidRPr="007C0060">
              <w:t>средств, предусмотренны</w:t>
            </w:r>
            <w:r>
              <w:t>й</w:t>
            </w:r>
            <w:r w:rsidRPr="007C0060">
              <w:t xml:space="preserve"> нормативным правовым актом</w:t>
            </w:r>
          </w:p>
          <w:p w14:paraId="5860034E" w14:textId="77777777" w:rsidR="002E0E1D" w:rsidRPr="00D77362" w:rsidRDefault="002E0E1D" w:rsidP="002E0E1D">
            <w:pPr>
              <w:pStyle w:val="GOSTTablenorm"/>
            </w:pPr>
            <w:r w:rsidRPr="007C0060">
              <w:t>на последующие годы</w:t>
            </w:r>
          </w:p>
        </w:tc>
        <w:tc>
          <w:tcPr>
            <w:tcW w:w="883" w:type="pct"/>
          </w:tcPr>
          <w:p w14:paraId="766B9C9A" w14:textId="77777777" w:rsidR="002E0E1D" w:rsidRPr="00042743" w:rsidRDefault="002E0E1D" w:rsidP="002E0E1D">
            <w:pPr>
              <w:pStyle w:val="GOSTTablenorm"/>
              <w:rPr>
                <w:lang w:val="en-US"/>
              </w:rPr>
            </w:pPr>
            <w:r w:rsidRPr="007D45A5">
              <w:rPr>
                <w:sz w:val="24"/>
                <w:szCs w:val="24"/>
              </w:rPr>
              <w:t>KVR_</w:t>
            </w:r>
            <w:r w:rsidRPr="0070781F">
              <w:t>NPA</w:t>
            </w:r>
            <w:r w:rsidRPr="006A52CE">
              <w:t>Amnt</w:t>
            </w:r>
            <w:r w:rsidRPr="009D2D00">
              <w:rPr>
                <w:szCs w:val="22"/>
              </w:rPr>
              <w:t>NxtYr</w:t>
            </w:r>
          </w:p>
        </w:tc>
        <w:tc>
          <w:tcPr>
            <w:tcW w:w="294" w:type="pct"/>
          </w:tcPr>
          <w:p w14:paraId="1963B4E9" w14:textId="77777777" w:rsidR="002E0E1D" w:rsidRPr="009D2D00" w:rsidRDefault="002E0E1D" w:rsidP="002E0E1D">
            <w:pPr>
              <w:pStyle w:val="GOSTTablenorm"/>
            </w:pPr>
            <w:r w:rsidRPr="0043638D">
              <w:t>П</w:t>
            </w:r>
          </w:p>
        </w:tc>
        <w:tc>
          <w:tcPr>
            <w:tcW w:w="589" w:type="pct"/>
          </w:tcPr>
          <w:p w14:paraId="212016F4" w14:textId="77777777" w:rsidR="002E0E1D" w:rsidRPr="009D2D00" w:rsidRDefault="002E0E1D" w:rsidP="002E0E1D">
            <w:pPr>
              <w:pStyle w:val="GOSTTablenorm"/>
            </w:pPr>
            <w:r w:rsidRPr="00D446D3">
              <w:rPr>
                <w:szCs w:val="22"/>
                <w:lang w:val="en-US"/>
              </w:rPr>
              <w:t>N(20</w:t>
            </w:r>
            <w:r w:rsidRPr="00D446D3">
              <w:rPr>
                <w:szCs w:val="22"/>
              </w:rPr>
              <w:t>.2</w:t>
            </w:r>
            <w:r w:rsidRPr="00D446D3">
              <w:rPr>
                <w:szCs w:val="22"/>
                <w:lang w:val="en-US"/>
              </w:rPr>
              <w:t>)</w:t>
            </w:r>
          </w:p>
        </w:tc>
        <w:tc>
          <w:tcPr>
            <w:tcW w:w="294" w:type="pct"/>
          </w:tcPr>
          <w:p w14:paraId="671D4CFB" w14:textId="77777777" w:rsidR="002E0E1D" w:rsidRPr="009D2D00" w:rsidRDefault="002E0E1D" w:rsidP="002E0E1D">
            <w:pPr>
              <w:pStyle w:val="GOSTTablenorm"/>
            </w:pPr>
            <w:r w:rsidRPr="006E2FAC">
              <w:t>О</w:t>
            </w:r>
          </w:p>
        </w:tc>
        <w:tc>
          <w:tcPr>
            <w:tcW w:w="2056" w:type="pct"/>
          </w:tcPr>
          <w:p w14:paraId="6A1F17D1" w14:textId="77777777" w:rsidR="002E0E1D" w:rsidRPr="00C1651F" w:rsidRDefault="002E0E1D" w:rsidP="002E0E1D">
            <w:pPr>
              <w:pStyle w:val="GOSTTablenorm"/>
            </w:pPr>
            <w:r w:rsidRPr="00C1651F">
              <w:t>Указывается итоговая сумма по КВР объема средств, предусмотренн</w:t>
            </w:r>
            <w:r>
              <w:t>ого</w:t>
            </w:r>
            <w:r w:rsidRPr="00C1651F">
              <w:t xml:space="preserve"> нормативным правовым актом на последующие годы.</w:t>
            </w:r>
          </w:p>
          <w:p w14:paraId="45E19693" w14:textId="77777777" w:rsidR="002E0E1D" w:rsidRPr="00C1651F" w:rsidRDefault="002E0E1D" w:rsidP="002E0E1D">
            <w:pPr>
              <w:pStyle w:val="GOSTTablenorm"/>
            </w:pPr>
            <w:r w:rsidRPr="00C1651F">
              <w:t>При отсутствии значения указывается «0.00»</w:t>
            </w:r>
          </w:p>
        </w:tc>
      </w:tr>
    </w:tbl>
    <w:p w14:paraId="78AB57B1" w14:textId="77777777" w:rsidR="002E0E1D" w:rsidRPr="00176E24" w:rsidRDefault="002E0E1D" w:rsidP="002E0E1D">
      <w:pPr>
        <w:pStyle w:val="31"/>
        <w:tabs>
          <w:tab w:val="clear" w:pos="720"/>
        </w:tabs>
        <w:suppressAutoHyphens/>
        <w:ind w:left="862"/>
        <w:rPr>
          <w:highlight w:val="green"/>
        </w:rPr>
      </w:pPr>
      <w:bookmarkStart w:id="4606" w:name="_Toc207639665"/>
      <w:bookmarkStart w:id="4607" w:name="_Toc219309858"/>
      <w:r w:rsidRPr="00176E24">
        <w:rPr>
          <w:highlight w:val="green"/>
        </w:rPr>
        <w:t>Пример XML</w:t>
      </w:r>
      <w:bookmarkEnd w:id="4606"/>
      <w:bookmarkEnd w:id="4607"/>
    </w:p>
    <w:p w14:paraId="60501836" w14:textId="77777777" w:rsidR="002E0E1D" w:rsidRDefault="002E0E1D" w:rsidP="002E0E1D">
      <w:pPr>
        <w:pStyle w:val="GOSTScript"/>
        <w:ind w:left="142" w:right="140" w:firstLine="0"/>
      </w:pPr>
      <w:r>
        <w:t>&lt;?xml version="1.0" encoding="UTF-8"?&gt;</w:t>
      </w:r>
    </w:p>
    <w:p w14:paraId="7BBDB3A5" w14:textId="77777777" w:rsidR="002E0E1D" w:rsidRDefault="002E0E1D" w:rsidP="002E0E1D">
      <w:pPr>
        <w:pStyle w:val="GOSTScript"/>
        <w:ind w:left="142" w:right="140" w:firstLine="0"/>
      </w:pPr>
      <w:r>
        <w:t>&lt;self:exchangePacket xsi:schemaLocation="http://www.roskazna.ru/eb/domain/Inf_AmnFnds_NPA/extHeader extHeader.xsd" xmlns:self="http://www.roskazna.ru/eb/domain/Inf_AmnFnds_NPA/extHeader" xmlns:cm="http://www.roskazna.ru/eb/domain/common" xmlns:xsi="http://www.w3.org/2001/XMLSchema-instance"&gt;</w:t>
      </w:r>
    </w:p>
    <w:p w14:paraId="37A1AD97" w14:textId="77777777" w:rsidR="002E0E1D" w:rsidRDefault="002E0E1D" w:rsidP="002E0E1D">
      <w:pPr>
        <w:pStyle w:val="GOSTScript"/>
        <w:ind w:left="142" w:right="140" w:firstLine="0"/>
      </w:pPr>
      <w:r>
        <w:tab/>
        <w:t>&lt;packetHeader&gt;</w:t>
      </w:r>
    </w:p>
    <w:p w14:paraId="508D3C04" w14:textId="77777777" w:rsidR="002E0E1D" w:rsidRDefault="002E0E1D" w:rsidP="002E0E1D">
      <w:pPr>
        <w:pStyle w:val="GOSTScript"/>
        <w:ind w:left="142" w:right="140" w:firstLine="0"/>
      </w:pPr>
      <w:r>
        <w:tab/>
      </w:r>
      <w:r>
        <w:tab/>
        <w:t>&lt;serviceInfo&gt;</w:t>
      </w:r>
    </w:p>
    <w:p w14:paraId="55444E34" w14:textId="77777777" w:rsidR="002E0E1D" w:rsidRDefault="002E0E1D" w:rsidP="002E0E1D">
      <w:pPr>
        <w:pStyle w:val="GOSTScript"/>
        <w:ind w:left="142" w:right="140" w:firstLine="0"/>
      </w:pPr>
      <w:r>
        <w:tab/>
      </w:r>
      <w:r>
        <w:tab/>
      </w:r>
      <w:r>
        <w:tab/>
        <w:t>&lt;creationDateTime&gt;2025-09-13T09:30:47Z&lt;/creationDateTime&gt;</w:t>
      </w:r>
    </w:p>
    <w:p w14:paraId="3878F82F" w14:textId="77777777" w:rsidR="002E0E1D" w:rsidRDefault="002E0E1D" w:rsidP="002E0E1D">
      <w:pPr>
        <w:pStyle w:val="GOSTScript"/>
        <w:ind w:left="142" w:right="140" w:firstLine="0"/>
      </w:pPr>
      <w:r>
        <w:tab/>
      </w:r>
      <w:r>
        <w:tab/>
      </w:r>
      <w:r>
        <w:tab/>
        <w:t>&lt;documentType&gt;Inf_AmnFnds_NPA&lt;/documentType&gt;</w:t>
      </w:r>
    </w:p>
    <w:p w14:paraId="13D5EE01" w14:textId="77777777" w:rsidR="002E0E1D" w:rsidRDefault="002E0E1D" w:rsidP="002E0E1D">
      <w:pPr>
        <w:pStyle w:val="GOSTScript"/>
        <w:ind w:left="142" w:right="140" w:firstLine="0"/>
      </w:pPr>
      <w:r>
        <w:tab/>
      </w:r>
      <w:r>
        <w:tab/>
        <w:t>&lt;/serviceInfo&gt;</w:t>
      </w:r>
    </w:p>
    <w:p w14:paraId="1118686B" w14:textId="77777777" w:rsidR="002E0E1D" w:rsidRDefault="002E0E1D" w:rsidP="002E0E1D">
      <w:pPr>
        <w:pStyle w:val="GOSTScript"/>
        <w:ind w:left="142" w:right="140" w:firstLine="0"/>
      </w:pPr>
      <w:r>
        <w:tab/>
      </w:r>
      <w:r>
        <w:tab/>
        <w:t>&lt;senderParty&gt;</w:t>
      </w:r>
    </w:p>
    <w:p w14:paraId="706A925B" w14:textId="77777777" w:rsidR="002E0E1D" w:rsidRDefault="002E0E1D" w:rsidP="002E0E1D">
      <w:pPr>
        <w:pStyle w:val="GOSTScript"/>
        <w:ind w:left="142" w:right="140" w:firstLine="0"/>
      </w:pPr>
      <w:r>
        <w:tab/>
      </w:r>
      <w:r>
        <w:tab/>
      </w:r>
      <w:r>
        <w:tab/>
        <w:t>&lt;organizationParty&gt;</w:t>
      </w:r>
    </w:p>
    <w:p w14:paraId="437DA3D2" w14:textId="77777777" w:rsidR="002E0E1D" w:rsidRDefault="002E0E1D" w:rsidP="002E0E1D">
      <w:pPr>
        <w:pStyle w:val="GOSTScript"/>
        <w:ind w:left="142" w:right="140" w:firstLine="0"/>
      </w:pPr>
      <w:r>
        <w:tab/>
      </w:r>
      <w:r>
        <w:tab/>
      </w:r>
      <w:r>
        <w:tab/>
      </w:r>
      <w:r>
        <w:tab/>
        <w:t>&lt;SRCode&gt;32185743&lt;/SRCode&gt;</w:t>
      </w:r>
    </w:p>
    <w:p w14:paraId="46028562" w14:textId="77777777" w:rsidR="002E0E1D" w:rsidRDefault="002E0E1D" w:rsidP="002E0E1D">
      <w:pPr>
        <w:pStyle w:val="GOSTScript"/>
        <w:ind w:left="142" w:right="140" w:firstLine="0"/>
      </w:pPr>
      <w:r>
        <w:tab/>
      </w:r>
      <w:r>
        <w:tab/>
      </w:r>
      <w:r>
        <w:tab/>
        <w:t>&lt;/organizationParty&gt;</w:t>
      </w:r>
    </w:p>
    <w:p w14:paraId="69C3CF20" w14:textId="77777777" w:rsidR="002E0E1D" w:rsidRDefault="002E0E1D" w:rsidP="002E0E1D">
      <w:pPr>
        <w:pStyle w:val="GOSTScript"/>
        <w:ind w:left="142" w:right="140" w:firstLine="0"/>
      </w:pPr>
      <w:r>
        <w:tab/>
      </w:r>
      <w:r>
        <w:tab/>
        <w:t>&lt;/senderParty&gt;</w:t>
      </w:r>
    </w:p>
    <w:p w14:paraId="17EDE641" w14:textId="77777777" w:rsidR="002E0E1D" w:rsidRDefault="002E0E1D" w:rsidP="002E0E1D">
      <w:pPr>
        <w:pStyle w:val="GOSTScript"/>
        <w:ind w:left="142" w:right="140" w:firstLine="0"/>
      </w:pPr>
      <w:r>
        <w:tab/>
      </w:r>
      <w:r>
        <w:tab/>
        <w:t>&lt;receiverParty&gt;</w:t>
      </w:r>
    </w:p>
    <w:p w14:paraId="1CA7071C" w14:textId="77777777" w:rsidR="002E0E1D" w:rsidRDefault="002E0E1D" w:rsidP="002E0E1D">
      <w:pPr>
        <w:pStyle w:val="GOSTScript"/>
        <w:ind w:left="142" w:right="140" w:firstLine="0"/>
      </w:pPr>
      <w:r>
        <w:tab/>
      </w:r>
      <w:r>
        <w:tab/>
      </w:r>
      <w:r>
        <w:tab/>
        <w:t>&lt;TOFKParty&gt;</w:t>
      </w:r>
    </w:p>
    <w:p w14:paraId="4EC87930" w14:textId="77777777" w:rsidR="002E0E1D" w:rsidRDefault="002E0E1D" w:rsidP="002E0E1D">
      <w:pPr>
        <w:pStyle w:val="GOSTScript"/>
        <w:ind w:left="142" w:right="140" w:firstLine="0"/>
      </w:pPr>
      <w:r>
        <w:tab/>
      </w:r>
      <w:r>
        <w:tab/>
      </w:r>
      <w:r>
        <w:tab/>
      </w:r>
      <w:r>
        <w:tab/>
        <w:t>&lt;TOFKCode&gt;0400&lt;/TOFKCode&gt;</w:t>
      </w:r>
    </w:p>
    <w:p w14:paraId="7BDE133B" w14:textId="77777777" w:rsidR="002E0E1D" w:rsidRDefault="002E0E1D" w:rsidP="002E0E1D">
      <w:pPr>
        <w:pStyle w:val="GOSTScript"/>
        <w:ind w:left="142" w:right="140" w:firstLine="0"/>
      </w:pPr>
      <w:r>
        <w:tab/>
      </w:r>
      <w:r>
        <w:tab/>
      </w:r>
      <w:r>
        <w:tab/>
        <w:t>&lt;/TOFKParty&gt;</w:t>
      </w:r>
    </w:p>
    <w:p w14:paraId="1194B4C0" w14:textId="77777777" w:rsidR="002E0E1D" w:rsidRDefault="002E0E1D" w:rsidP="002E0E1D">
      <w:pPr>
        <w:pStyle w:val="GOSTScript"/>
        <w:ind w:left="142" w:right="140" w:firstLine="0"/>
      </w:pPr>
      <w:r>
        <w:tab/>
      </w:r>
      <w:r>
        <w:tab/>
        <w:t>&lt;/receiverParty&gt;</w:t>
      </w:r>
    </w:p>
    <w:p w14:paraId="10E6D609" w14:textId="77777777" w:rsidR="002E0E1D" w:rsidRDefault="002E0E1D" w:rsidP="002E0E1D">
      <w:pPr>
        <w:pStyle w:val="GOSTScript"/>
        <w:ind w:left="142" w:right="140" w:firstLine="0"/>
      </w:pPr>
      <w:r>
        <w:tab/>
        <w:t>&lt;/packetHeader&gt;</w:t>
      </w:r>
    </w:p>
    <w:p w14:paraId="02ADD829" w14:textId="77777777" w:rsidR="002E0E1D" w:rsidRDefault="002E0E1D" w:rsidP="002E0E1D">
      <w:pPr>
        <w:pStyle w:val="GOSTScript"/>
        <w:ind w:left="142" w:right="140" w:firstLine="0"/>
      </w:pPr>
      <w:r>
        <w:tab/>
        <w:t>&lt;self:formularCollection&gt;</w:t>
      </w:r>
    </w:p>
    <w:p w14:paraId="624A5BE8" w14:textId="77777777" w:rsidR="002E0E1D" w:rsidRDefault="002E0E1D" w:rsidP="002E0E1D">
      <w:pPr>
        <w:pStyle w:val="GOSTScript"/>
        <w:ind w:left="142" w:right="140" w:firstLine="0"/>
      </w:pPr>
      <w:r>
        <w:lastRenderedPageBreak/>
        <w:t>&lt;formular metaType="formular" versionID="1.0" xsi:type="self:tInf_AmnFnds_NPA"  xsi:schemaLocation="http://www.roskazna.ru/eb/domain/Inf_AmnFnds_NPA/formular formulars.xsd" xmlns:self="http://www.roskazna.ru/eb/domain/Inf_AmnFnds_NPA/formular" xmlns:xsi="http://www.w3.org/2001/XMLSchema-instance"&gt;</w:t>
      </w:r>
    </w:p>
    <w:p w14:paraId="59B4CA45" w14:textId="77777777" w:rsidR="002E0E1D" w:rsidRDefault="002E0E1D" w:rsidP="002E0E1D">
      <w:pPr>
        <w:pStyle w:val="GOSTScript"/>
        <w:ind w:left="142" w:right="140" w:firstLine="0"/>
      </w:pPr>
      <w:r>
        <w:tab/>
        <w:t>&lt;GUID&gt;6a4b54c6-d792-4871-bfbf-7c8b708c18d0&lt;/GUID&gt;</w:t>
      </w:r>
    </w:p>
    <w:p w14:paraId="07C094A2" w14:textId="77777777" w:rsidR="002E0E1D" w:rsidRPr="005D6362" w:rsidRDefault="002E0E1D" w:rsidP="002E0E1D">
      <w:pPr>
        <w:pStyle w:val="GOSTScript"/>
        <w:ind w:left="142" w:right="140" w:firstLine="0"/>
      </w:pPr>
      <w:r>
        <w:tab/>
      </w:r>
      <w:r w:rsidRPr="005D6362">
        <w:t>&lt;</w:t>
      </w:r>
      <w:r>
        <w:t>vidDoc</w:t>
      </w:r>
      <w:r w:rsidRPr="005D6362">
        <w:t xml:space="preserve"> </w:t>
      </w:r>
      <w:r>
        <w:t>code</w:t>
      </w:r>
      <w:r w:rsidRPr="005D6362">
        <w:t>="01"&gt;&lt;/</w:t>
      </w:r>
      <w:r>
        <w:t>vidDoc</w:t>
      </w:r>
      <w:r w:rsidRPr="005D6362">
        <w:t>&gt;</w:t>
      </w:r>
    </w:p>
    <w:p w14:paraId="0212BCFC" w14:textId="77777777" w:rsidR="002E0E1D" w:rsidRDefault="002E0E1D" w:rsidP="002E0E1D">
      <w:pPr>
        <w:pStyle w:val="GOSTScript"/>
        <w:ind w:left="142" w:right="140" w:firstLine="0"/>
      </w:pPr>
      <w:r w:rsidRPr="005D6362">
        <w:tab/>
      </w:r>
      <w:r>
        <w:t>&lt;number&gt;258974563214579865258974563214574555/2025/001&lt;/number&gt;</w:t>
      </w:r>
    </w:p>
    <w:p w14:paraId="23E8B084" w14:textId="77777777" w:rsidR="002E0E1D" w:rsidRDefault="002E0E1D" w:rsidP="002E0E1D">
      <w:pPr>
        <w:pStyle w:val="GOSTScript"/>
        <w:ind w:left="142" w:right="140" w:firstLine="0"/>
      </w:pPr>
      <w:r>
        <w:tab/>
        <w:t>&lt;createDate&gt;2025-09-10&lt;/createDate&gt;</w:t>
      </w:r>
    </w:p>
    <w:p w14:paraId="30C88ECC" w14:textId="77777777" w:rsidR="002E0E1D" w:rsidRDefault="002E0E1D" w:rsidP="002E0E1D">
      <w:pPr>
        <w:pStyle w:val="GOSTScript"/>
        <w:ind w:left="142" w:right="140" w:firstLine="0"/>
      </w:pPr>
      <w:r>
        <w:tab/>
        <w:t>&lt;orgCode&gt;32185743&lt;/orgCode&gt;</w:t>
      </w:r>
    </w:p>
    <w:p w14:paraId="191B0699" w14:textId="77777777" w:rsidR="002E0E1D" w:rsidRPr="005D6362" w:rsidRDefault="002E0E1D" w:rsidP="002E0E1D">
      <w:pPr>
        <w:pStyle w:val="GOSTScript"/>
        <w:ind w:left="142" w:right="140" w:firstLine="0"/>
      </w:pPr>
      <w:r>
        <w:tab/>
      </w:r>
      <w:r w:rsidRPr="005D6362">
        <w:t>&lt;</w:t>
      </w:r>
      <w:r>
        <w:t>orgName</w:t>
      </w:r>
      <w:r w:rsidRPr="005D6362">
        <w:t>&gt;</w:t>
      </w:r>
      <w:r w:rsidRPr="00CE6968">
        <w:rPr>
          <w:lang w:val="ru-RU"/>
        </w:rPr>
        <w:t>ФЕДЕРАЛЬНОЕ</w:t>
      </w:r>
      <w:r w:rsidRPr="005D6362">
        <w:t xml:space="preserve"> </w:t>
      </w:r>
      <w:r w:rsidRPr="00CE6968">
        <w:rPr>
          <w:lang w:val="ru-RU"/>
        </w:rPr>
        <w:t>АГЕНТСТВО</w:t>
      </w:r>
      <w:r w:rsidRPr="005D6362">
        <w:t xml:space="preserve"> </w:t>
      </w:r>
      <w:r w:rsidRPr="00CE6968">
        <w:rPr>
          <w:lang w:val="ru-RU"/>
        </w:rPr>
        <w:t>ЛЕСНОГО</w:t>
      </w:r>
      <w:r w:rsidRPr="005D6362">
        <w:t xml:space="preserve"> </w:t>
      </w:r>
      <w:r w:rsidRPr="00CE6968">
        <w:rPr>
          <w:lang w:val="ru-RU"/>
        </w:rPr>
        <w:t>ХОЗЯЙСТВА</w:t>
      </w:r>
      <w:r w:rsidRPr="005D6362">
        <w:t>&lt;/</w:t>
      </w:r>
      <w:r>
        <w:t>orgName</w:t>
      </w:r>
      <w:r w:rsidRPr="005D6362">
        <w:t>&gt;</w:t>
      </w:r>
    </w:p>
    <w:p w14:paraId="3CD8D0EE" w14:textId="77777777" w:rsidR="002E0E1D" w:rsidRDefault="002E0E1D" w:rsidP="002E0E1D">
      <w:pPr>
        <w:pStyle w:val="GOSTScript"/>
        <w:ind w:left="142" w:right="140" w:firstLine="0"/>
      </w:pPr>
      <w:r w:rsidRPr="005D6362">
        <w:tab/>
      </w:r>
      <w:r>
        <w:t>&lt;INN&gt;2410452569&lt;/INN&gt;</w:t>
      </w:r>
    </w:p>
    <w:p w14:paraId="64D420E3" w14:textId="77777777" w:rsidR="002E0E1D" w:rsidRDefault="002E0E1D" w:rsidP="002E0E1D">
      <w:pPr>
        <w:pStyle w:val="GOSTScript"/>
        <w:ind w:left="142" w:right="140" w:firstLine="0"/>
      </w:pPr>
      <w:r>
        <w:tab/>
        <w:t>&lt;KPP&gt;241001001&lt;/KPP&gt;</w:t>
      </w:r>
    </w:p>
    <w:p w14:paraId="38FE89EB" w14:textId="77777777" w:rsidR="002E0E1D" w:rsidRDefault="002E0E1D" w:rsidP="002E0E1D">
      <w:pPr>
        <w:pStyle w:val="GOSTScript"/>
        <w:ind w:left="142" w:right="140" w:firstLine="0"/>
      </w:pPr>
      <w:r>
        <w:tab/>
        <w:t>&lt;accountNumber&gt;12457896511&lt;/accountNumber&gt;</w:t>
      </w:r>
    </w:p>
    <w:p w14:paraId="17FDD3F7" w14:textId="77777777" w:rsidR="002E0E1D" w:rsidRDefault="002E0E1D" w:rsidP="002E0E1D">
      <w:pPr>
        <w:pStyle w:val="GOSTScript"/>
        <w:ind w:left="142" w:right="140" w:firstLine="0"/>
      </w:pPr>
      <w:r>
        <w:tab/>
        <w:t>&lt;OKOPF&gt;20102&lt;/OKOPF&gt;</w:t>
      </w:r>
    </w:p>
    <w:p w14:paraId="7FB96B2A" w14:textId="77777777" w:rsidR="002E0E1D" w:rsidRDefault="002E0E1D" w:rsidP="002E0E1D">
      <w:pPr>
        <w:pStyle w:val="GOSTScript"/>
        <w:ind w:left="142" w:right="140" w:firstLine="0"/>
      </w:pPr>
      <w:r>
        <w:tab/>
        <w:t>&lt;OKFS&gt;56&lt;/OKFS&gt;</w:t>
      </w:r>
    </w:p>
    <w:p w14:paraId="0751328E" w14:textId="77777777" w:rsidR="002E0E1D" w:rsidRDefault="002E0E1D" w:rsidP="002E0E1D">
      <w:pPr>
        <w:pStyle w:val="GOSTScript"/>
        <w:ind w:left="142" w:right="140" w:firstLine="0"/>
      </w:pPr>
      <w:r>
        <w:tab/>
        <w:t>&lt;NameBud&gt;Федеральный бюджет&lt;/NameBud&gt;</w:t>
      </w:r>
    </w:p>
    <w:p w14:paraId="510D34A5" w14:textId="77777777" w:rsidR="002E0E1D" w:rsidRDefault="002E0E1D" w:rsidP="002E0E1D">
      <w:pPr>
        <w:pStyle w:val="GOSTScript"/>
        <w:ind w:left="142" w:right="140" w:firstLine="0"/>
      </w:pPr>
      <w:r>
        <w:tab/>
        <w:t>&lt;OKTMOBud&gt;12345678&lt;/OKTMOBud&gt;</w:t>
      </w:r>
    </w:p>
    <w:p w14:paraId="02A98D97" w14:textId="77777777" w:rsidR="002E0E1D" w:rsidRDefault="002E0E1D" w:rsidP="002E0E1D">
      <w:pPr>
        <w:pStyle w:val="GOSTScript"/>
        <w:ind w:left="142" w:right="140" w:firstLine="0"/>
      </w:pPr>
      <w:r>
        <w:tab/>
        <w:t>&lt;Adress&gt;г. Красноярск, ул. Промзона, стр. 8&lt;/Adress&gt;</w:t>
      </w:r>
    </w:p>
    <w:p w14:paraId="3DA97FB2" w14:textId="77777777" w:rsidR="002E0E1D" w:rsidRDefault="002E0E1D" w:rsidP="002E0E1D">
      <w:pPr>
        <w:pStyle w:val="GOSTScript"/>
        <w:ind w:left="142" w:right="140" w:firstLine="0"/>
      </w:pPr>
      <w:r>
        <w:tab/>
        <w:t>&lt;OKTMO&gt;04701363&lt;/OKTMO&gt;</w:t>
      </w:r>
    </w:p>
    <w:p w14:paraId="2A949F18" w14:textId="77777777" w:rsidR="002E0E1D" w:rsidRDefault="002E0E1D" w:rsidP="002E0E1D">
      <w:pPr>
        <w:pStyle w:val="GOSTScript"/>
        <w:ind w:left="142" w:right="140" w:firstLine="0"/>
      </w:pPr>
      <w:r>
        <w:tab/>
        <w:t>&lt;CodeOKV&gt;643&lt;/CodeOKV&gt;</w:t>
      </w:r>
    </w:p>
    <w:p w14:paraId="22A81484" w14:textId="77777777" w:rsidR="002E0E1D" w:rsidRDefault="002E0E1D" w:rsidP="002E0E1D">
      <w:pPr>
        <w:pStyle w:val="GOSTScript"/>
        <w:ind w:left="142" w:right="140" w:firstLine="0"/>
      </w:pPr>
      <w:r>
        <w:tab/>
        <w:t>&lt;GlvBKCd&gt;092&lt;/GlvBKCd&gt;</w:t>
      </w:r>
    </w:p>
    <w:p w14:paraId="2527D9A8" w14:textId="77777777" w:rsidR="002E0E1D" w:rsidRPr="00BE006F" w:rsidRDefault="002E0E1D" w:rsidP="002E0E1D">
      <w:pPr>
        <w:pStyle w:val="GOSTScript"/>
        <w:ind w:left="142" w:right="140" w:firstLine="0"/>
      </w:pPr>
      <w:r>
        <w:tab/>
      </w:r>
      <w:r w:rsidRPr="00BE006F">
        <w:t>&lt;</w:t>
      </w:r>
      <w:r>
        <w:t>GlvBKNm</w:t>
      </w:r>
      <w:r w:rsidRPr="00BE006F">
        <w:t>&gt;</w:t>
      </w:r>
      <w:r w:rsidRPr="008B26A8">
        <w:rPr>
          <w:lang w:val="ru-RU"/>
        </w:rPr>
        <w:t>Министерство</w:t>
      </w:r>
      <w:r w:rsidRPr="00BE006F">
        <w:t xml:space="preserve"> </w:t>
      </w:r>
      <w:r w:rsidRPr="008B26A8">
        <w:rPr>
          <w:lang w:val="ru-RU"/>
        </w:rPr>
        <w:t>лесного</w:t>
      </w:r>
      <w:r w:rsidRPr="00BE006F">
        <w:t xml:space="preserve"> </w:t>
      </w:r>
      <w:r w:rsidRPr="008B26A8">
        <w:rPr>
          <w:lang w:val="ru-RU"/>
        </w:rPr>
        <w:t>хозяйства</w:t>
      </w:r>
      <w:r w:rsidRPr="00BE006F">
        <w:t xml:space="preserve"> </w:t>
      </w:r>
      <w:r w:rsidRPr="008B26A8">
        <w:rPr>
          <w:lang w:val="ru-RU"/>
        </w:rPr>
        <w:t>РФ</w:t>
      </w:r>
      <w:r w:rsidRPr="00BE006F">
        <w:t>&lt;/</w:t>
      </w:r>
      <w:r>
        <w:t>GlvBKNm</w:t>
      </w:r>
      <w:r w:rsidRPr="00BE006F">
        <w:t>&gt;</w:t>
      </w:r>
    </w:p>
    <w:p w14:paraId="04D5C35F" w14:textId="77777777" w:rsidR="002E0E1D" w:rsidRPr="00BE006F" w:rsidRDefault="002E0E1D" w:rsidP="002E0E1D">
      <w:pPr>
        <w:pStyle w:val="GOSTScript"/>
        <w:ind w:left="142" w:right="140" w:firstLine="0"/>
      </w:pPr>
      <w:r w:rsidRPr="00BE006F">
        <w:tab/>
        <w:t>&lt;</w:t>
      </w:r>
      <w:r>
        <w:t>TTL</w:t>
      </w:r>
      <w:r w:rsidRPr="00BE006F">
        <w:t>_</w:t>
      </w:r>
      <w:r>
        <w:t>NPAAmntTtl</w:t>
      </w:r>
      <w:r w:rsidRPr="00BE006F">
        <w:t>&gt;3000.00&lt;/</w:t>
      </w:r>
      <w:r>
        <w:t>TTL</w:t>
      </w:r>
      <w:r w:rsidRPr="00BE006F">
        <w:t>_</w:t>
      </w:r>
      <w:r>
        <w:t>NPAAmntTtl</w:t>
      </w:r>
      <w:r w:rsidRPr="00BE006F">
        <w:t>&gt;</w:t>
      </w:r>
    </w:p>
    <w:p w14:paraId="17B4D5FA" w14:textId="77777777" w:rsidR="002E0E1D" w:rsidRPr="00BE006F" w:rsidRDefault="002E0E1D" w:rsidP="002E0E1D">
      <w:pPr>
        <w:pStyle w:val="GOSTScript"/>
        <w:ind w:left="142" w:right="140" w:firstLine="0"/>
      </w:pPr>
      <w:r w:rsidRPr="00BE006F">
        <w:tab/>
        <w:t>&lt;</w:t>
      </w:r>
      <w:r>
        <w:t>TTL</w:t>
      </w:r>
      <w:r w:rsidRPr="00BE006F">
        <w:t>_</w:t>
      </w:r>
      <w:r>
        <w:t>NPAAmntCurrYr</w:t>
      </w:r>
      <w:r w:rsidRPr="00BE006F">
        <w:t>&gt;3000.00&lt;/</w:t>
      </w:r>
      <w:r>
        <w:t>TTL</w:t>
      </w:r>
      <w:r w:rsidRPr="00BE006F">
        <w:t>_</w:t>
      </w:r>
      <w:r>
        <w:t>NPAAmntCurrYr</w:t>
      </w:r>
      <w:r w:rsidRPr="00BE006F">
        <w:t>&gt;</w:t>
      </w:r>
    </w:p>
    <w:p w14:paraId="0F818FB8" w14:textId="77777777" w:rsidR="002E0E1D" w:rsidRPr="00BE006F" w:rsidRDefault="002E0E1D" w:rsidP="002E0E1D">
      <w:pPr>
        <w:pStyle w:val="GOSTScript"/>
        <w:ind w:left="142" w:right="140" w:firstLine="0"/>
      </w:pPr>
      <w:r w:rsidRPr="00BE006F">
        <w:tab/>
        <w:t>&lt;</w:t>
      </w:r>
      <w:r>
        <w:t>TTL</w:t>
      </w:r>
      <w:r w:rsidRPr="00BE006F">
        <w:t>_</w:t>
      </w:r>
      <w:r>
        <w:t>NPAAmntFrstYr</w:t>
      </w:r>
      <w:r w:rsidRPr="00BE006F">
        <w:t>&gt;3000.00&lt;/</w:t>
      </w:r>
      <w:r>
        <w:t>TTL</w:t>
      </w:r>
      <w:r w:rsidRPr="00BE006F">
        <w:t>_</w:t>
      </w:r>
      <w:r>
        <w:t>NPAAmntFrstYr</w:t>
      </w:r>
      <w:r w:rsidRPr="00BE006F">
        <w:t>&gt;</w:t>
      </w:r>
    </w:p>
    <w:p w14:paraId="78734CA6" w14:textId="77777777" w:rsidR="002E0E1D" w:rsidRPr="00BE006F" w:rsidRDefault="002E0E1D" w:rsidP="002E0E1D">
      <w:pPr>
        <w:pStyle w:val="GOSTScript"/>
        <w:ind w:left="142" w:right="140" w:firstLine="0"/>
      </w:pPr>
      <w:r w:rsidRPr="00BE006F">
        <w:tab/>
        <w:t>&lt;</w:t>
      </w:r>
      <w:r>
        <w:t>TTL</w:t>
      </w:r>
      <w:r w:rsidRPr="00BE006F">
        <w:t>_</w:t>
      </w:r>
      <w:r>
        <w:t>NPAAmntScndYr</w:t>
      </w:r>
      <w:r w:rsidRPr="00BE006F">
        <w:t>&gt;3000.00&lt;/</w:t>
      </w:r>
      <w:r>
        <w:t>TTL</w:t>
      </w:r>
      <w:r w:rsidRPr="00BE006F">
        <w:t>_</w:t>
      </w:r>
      <w:r>
        <w:t>NPAAmntScndYr</w:t>
      </w:r>
      <w:r w:rsidRPr="00BE006F">
        <w:t>&gt;</w:t>
      </w:r>
    </w:p>
    <w:p w14:paraId="7A506F17" w14:textId="77777777" w:rsidR="002E0E1D" w:rsidRPr="00BE006F" w:rsidRDefault="002E0E1D" w:rsidP="002E0E1D">
      <w:pPr>
        <w:pStyle w:val="GOSTScript"/>
        <w:ind w:left="142" w:right="140" w:firstLine="0"/>
      </w:pPr>
      <w:r w:rsidRPr="00BE006F">
        <w:tab/>
        <w:t>&lt;</w:t>
      </w:r>
      <w:r>
        <w:t>TTL</w:t>
      </w:r>
      <w:r w:rsidRPr="00BE006F">
        <w:t>_</w:t>
      </w:r>
      <w:r>
        <w:t>NPAAmntNxtYr</w:t>
      </w:r>
      <w:r w:rsidRPr="00BE006F">
        <w:t>&gt;0.00&lt;/</w:t>
      </w:r>
      <w:r>
        <w:t>TTL</w:t>
      </w:r>
      <w:r w:rsidRPr="00BE006F">
        <w:t>_</w:t>
      </w:r>
      <w:r>
        <w:t>NPAAmntNxtYr</w:t>
      </w:r>
      <w:r w:rsidRPr="00BE006F">
        <w:t>&gt;</w:t>
      </w:r>
    </w:p>
    <w:p w14:paraId="7AC2D00B" w14:textId="77777777" w:rsidR="002E0E1D" w:rsidRPr="00BE006F" w:rsidRDefault="002E0E1D" w:rsidP="002E0E1D">
      <w:pPr>
        <w:pStyle w:val="GOSTScript"/>
        <w:ind w:left="142" w:right="140" w:firstLine="0"/>
      </w:pPr>
      <w:r w:rsidRPr="00BE006F">
        <w:tab/>
        <w:t>&lt;</w:t>
      </w:r>
      <w:r>
        <w:t>TBL</w:t>
      </w:r>
      <w:r w:rsidRPr="00BE006F">
        <w:t>_</w:t>
      </w:r>
      <w:r>
        <w:t>NPAAmnt</w:t>
      </w:r>
      <w:r w:rsidRPr="00BE006F">
        <w:t>&gt;</w:t>
      </w:r>
    </w:p>
    <w:p w14:paraId="1EB43E98" w14:textId="77777777" w:rsidR="002E0E1D" w:rsidRPr="00BE006F" w:rsidRDefault="002E0E1D" w:rsidP="002E0E1D">
      <w:pPr>
        <w:pStyle w:val="GOSTScript"/>
        <w:ind w:left="142" w:right="140" w:firstLine="0"/>
      </w:pPr>
      <w:r w:rsidRPr="00BE006F">
        <w:tab/>
      </w:r>
      <w:r w:rsidRPr="00BE006F">
        <w:tab/>
        <w:t>&lt;</w:t>
      </w:r>
      <w:r>
        <w:t>TBL</w:t>
      </w:r>
      <w:r w:rsidRPr="00BE006F">
        <w:t>_</w:t>
      </w:r>
      <w:r>
        <w:t>NPAAmnt</w:t>
      </w:r>
      <w:r w:rsidRPr="00BE006F">
        <w:t>_</w:t>
      </w:r>
      <w:r>
        <w:t>ITEM</w:t>
      </w:r>
      <w:r w:rsidRPr="00BE006F">
        <w:t>&gt;</w:t>
      </w:r>
    </w:p>
    <w:p w14:paraId="03D205CB" w14:textId="77777777" w:rsidR="002E0E1D" w:rsidRPr="00BE006F" w:rsidRDefault="002E0E1D" w:rsidP="002E0E1D">
      <w:pPr>
        <w:pStyle w:val="GOSTScript"/>
        <w:ind w:left="142" w:right="140" w:firstLine="0"/>
      </w:pPr>
      <w:r w:rsidRPr="00BE006F">
        <w:tab/>
      </w:r>
      <w:r w:rsidRPr="00BE006F">
        <w:tab/>
      </w:r>
      <w:r w:rsidRPr="00BE006F">
        <w:tab/>
        <w:t>&lt;</w:t>
      </w:r>
      <w:r>
        <w:t>NPA</w:t>
      </w:r>
      <w:r w:rsidRPr="00BE006F">
        <w:t>_</w:t>
      </w:r>
      <w:r>
        <w:t>TpDoc</w:t>
      </w:r>
      <w:r w:rsidRPr="00BE006F">
        <w:t>&gt;</w:t>
      </w:r>
      <w:r w:rsidRPr="008B26A8">
        <w:rPr>
          <w:lang w:val="ru-RU"/>
        </w:rPr>
        <w:t>Федеральный</w:t>
      </w:r>
      <w:r w:rsidRPr="00BE006F">
        <w:t xml:space="preserve"> </w:t>
      </w:r>
      <w:r w:rsidRPr="008B26A8">
        <w:rPr>
          <w:lang w:val="ru-RU"/>
        </w:rPr>
        <w:t>закон</w:t>
      </w:r>
      <w:r w:rsidRPr="00BE006F">
        <w:t>&lt;/</w:t>
      </w:r>
      <w:r>
        <w:t>NPA</w:t>
      </w:r>
      <w:r w:rsidRPr="00BE006F">
        <w:t>_</w:t>
      </w:r>
      <w:r>
        <w:t>TpDoc</w:t>
      </w:r>
      <w:r w:rsidRPr="00BE006F">
        <w:t>&gt;</w:t>
      </w:r>
    </w:p>
    <w:p w14:paraId="2B34F58B" w14:textId="77777777" w:rsidR="002E0E1D" w:rsidRDefault="002E0E1D" w:rsidP="002E0E1D">
      <w:pPr>
        <w:pStyle w:val="GOSTScript"/>
        <w:ind w:left="142" w:right="140" w:firstLine="0"/>
      </w:pPr>
      <w:r w:rsidRPr="00BE006F">
        <w:tab/>
      </w:r>
      <w:r w:rsidRPr="00BE006F">
        <w:tab/>
      </w:r>
      <w:r w:rsidRPr="00BE006F">
        <w:tab/>
      </w:r>
      <w:r>
        <w:t>&lt;NPA_DtDoc&gt;2025-01-13&lt;/NPA_DtDoc&gt;</w:t>
      </w:r>
    </w:p>
    <w:p w14:paraId="29BCA333" w14:textId="77777777" w:rsidR="002E0E1D" w:rsidRDefault="002E0E1D" w:rsidP="002E0E1D">
      <w:pPr>
        <w:pStyle w:val="GOSTScript"/>
        <w:ind w:left="142" w:right="140" w:firstLine="0"/>
      </w:pPr>
      <w:r>
        <w:tab/>
      </w:r>
      <w:r>
        <w:tab/>
      </w:r>
      <w:r>
        <w:tab/>
        <w:t>&lt;NPA_NumDoc&gt;2025/01-13001&lt;/NPA_NumDoc&gt;</w:t>
      </w:r>
    </w:p>
    <w:p w14:paraId="44CD9CDD" w14:textId="77777777" w:rsidR="002E0E1D" w:rsidRPr="00C31858" w:rsidRDefault="002E0E1D" w:rsidP="002E0E1D">
      <w:pPr>
        <w:pStyle w:val="GOSTScript"/>
        <w:ind w:left="142" w:right="140" w:firstLine="0"/>
      </w:pPr>
      <w:r w:rsidRPr="00C31858">
        <w:tab/>
      </w:r>
      <w:r w:rsidRPr="00C31858">
        <w:tab/>
      </w:r>
      <w:r w:rsidRPr="00C31858">
        <w:tab/>
        <w:t>&lt;</w:t>
      </w:r>
      <w:r>
        <w:t>NPA</w:t>
      </w:r>
      <w:r w:rsidRPr="00C31858">
        <w:t>_</w:t>
      </w:r>
      <w:r>
        <w:t>NameDoc</w:t>
      </w:r>
      <w:r w:rsidRPr="00C31858">
        <w:t>&gt;</w:t>
      </w:r>
      <w:r w:rsidRPr="00516FB6">
        <w:rPr>
          <w:lang w:val="ru-RU"/>
        </w:rPr>
        <w:t>Закон</w:t>
      </w:r>
      <w:r w:rsidRPr="00C31858">
        <w:t xml:space="preserve"> </w:t>
      </w:r>
      <w:r w:rsidRPr="00516FB6">
        <w:rPr>
          <w:lang w:val="ru-RU"/>
        </w:rPr>
        <w:t>о</w:t>
      </w:r>
      <w:r w:rsidRPr="00C31858">
        <w:t xml:space="preserve"> </w:t>
      </w:r>
      <w:r w:rsidRPr="00516FB6">
        <w:rPr>
          <w:lang w:val="ru-RU"/>
        </w:rPr>
        <w:t>гособоронзаказе</w:t>
      </w:r>
      <w:r w:rsidRPr="00C31858">
        <w:t>&lt;/</w:t>
      </w:r>
      <w:r>
        <w:t>NPA</w:t>
      </w:r>
      <w:r w:rsidRPr="00C31858">
        <w:t>_</w:t>
      </w:r>
      <w:r>
        <w:t>NameDoc</w:t>
      </w:r>
      <w:r w:rsidRPr="00C31858">
        <w:t>&gt;</w:t>
      </w:r>
    </w:p>
    <w:p w14:paraId="1F07B31D" w14:textId="77777777" w:rsidR="002E0E1D" w:rsidRDefault="002E0E1D" w:rsidP="002E0E1D">
      <w:pPr>
        <w:pStyle w:val="GOSTScript"/>
        <w:ind w:left="142" w:right="140" w:firstLine="0"/>
      </w:pPr>
      <w:r w:rsidRPr="00C31858">
        <w:tab/>
      </w:r>
      <w:r w:rsidRPr="00C31858">
        <w:tab/>
      </w:r>
      <w:r w:rsidRPr="00C31858">
        <w:tab/>
      </w:r>
      <w:r>
        <w:t>&lt;CodeKVR&gt;800&lt;/CodeKVR&gt;</w:t>
      </w:r>
    </w:p>
    <w:p w14:paraId="056F1770" w14:textId="77777777" w:rsidR="002E0E1D" w:rsidRDefault="002E0E1D" w:rsidP="002E0E1D">
      <w:pPr>
        <w:pStyle w:val="GOSTScript"/>
        <w:ind w:left="142" w:right="140" w:firstLine="0"/>
      </w:pPr>
      <w:r>
        <w:tab/>
      </w:r>
      <w:r>
        <w:tab/>
      </w:r>
      <w:r>
        <w:tab/>
        <w:t>&lt;NPAAmntTtl&gt;2980.00&lt;/NPAAmntTtl&gt;</w:t>
      </w:r>
    </w:p>
    <w:p w14:paraId="11E2C422" w14:textId="77777777" w:rsidR="002E0E1D" w:rsidRDefault="002E0E1D" w:rsidP="002E0E1D">
      <w:pPr>
        <w:pStyle w:val="GOSTScript"/>
        <w:ind w:left="142" w:right="140" w:firstLine="0"/>
      </w:pPr>
      <w:r>
        <w:tab/>
      </w:r>
      <w:r>
        <w:tab/>
      </w:r>
      <w:r>
        <w:tab/>
        <w:t>&lt;NPAAmntCurrYr&gt;2980.00&lt;/NPAAmntCurrYr&gt;</w:t>
      </w:r>
    </w:p>
    <w:p w14:paraId="438B18C7" w14:textId="77777777" w:rsidR="002E0E1D" w:rsidRDefault="002E0E1D" w:rsidP="002E0E1D">
      <w:pPr>
        <w:pStyle w:val="GOSTScript"/>
        <w:ind w:left="142" w:right="140" w:firstLine="0"/>
      </w:pPr>
      <w:r>
        <w:tab/>
      </w:r>
      <w:r>
        <w:tab/>
      </w:r>
      <w:r>
        <w:tab/>
        <w:t>&lt;NPAAmntFrstYr&gt;2980.00&lt;/NPAAmntFrstYr&gt;</w:t>
      </w:r>
    </w:p>
    <w:p w14:paraId="4A426E9F" w14:textId="77777777" w:rsidR="002E0E1D" w:rsidRDefault="002E0E1D" w:rsidP="002E0E1D">
      <w:pPr>
        <w:pStyle w:val="GOSTScript"/>
        <w:ind w:left="142" w:right="140" w:firstLine="0"/>
      </w:pPr>
      <w:r>
        <w:tab/>
      </w:r>
      <w:r>
        <w:tab/>
      </w:r>
      <w:r>
        <w:tab/>
        <w:t>&lt;NPAAmntScndYr&gt;2980.00&lt;/NPAAmntScndYr&gt;</w:t>
      </w:r>
    </w:p>
    <w:p w14:paraId="719AABEA" w14:textId="77777777" w:rsidR="002E0E1D" w:rsidRDefault="002E0E1D" w:rsidP="002E0E1D">
      <w:pPr>
        <w:pStyle w:val="GOSTScript"/>
        <w:ind w:left="142" w:right="140" w:firstLine="0"/>
      </w:pPr>
      <w:r>
        <w:tab/>
      </w:r>
      <w:r>
        <w:tab/>
      </w:r>
      <w:r>
        <w:tab/>
        <w:t>&lt;NPAAmntNxtYr&gt;0.00&lt;/NPAAmntNxtYr&gt;</w:t>
      </w:r>
    </w:p>
    <w:p w14:paraId="55C22E43" w14:textId="77777777" w:rsidR="002E0E1D" w:rsidRDefault="002E0E1D" w:rsidP="002E0E1D">
      <w:pPr>
        <w:pStyle w:val="GOSTScript"/>
        <w:ind w:left="142" w:right="140" w:firstLine="0"/>
      </w:pPr>
      <w:r>
        <w:tab/>
      </w:r>
      <w:r>
        <w:tab/>
        <w:t>&lt;/TBL_NPAAmnt_ITEM&gt;</w:t>
      </w:r>
    </w:p>
    <w:p w14:paraId="15759CBB" w14:textId="77777777" w:rsidR="002E0E1D" w:rsidRDefault="002E0E1D" w:rsidP="002E0E1D">
      <w:pPr>
        <w:pStyle w:val="GOSTScript"/>
        <w:ind w:left="142" w:right="140" w:firstLine="0"/>
      </w:pPr>
      <w:r>
        <w:tab/>
      </w:r>
      <w:r>
        <w:tab/>
        <w:t>&lt;TBL_NPAAmnt_ITEM&gt;</w:t>
      </w:r>
    </w:p>
    <w:p w14:paraId="5C0A63FC" w14:textId="77777777" w:rsidR="002E0E1D" w:rsidRPr="00176E24" w:rsidRDefault="002E0E1D" w:rsidP="002E0E1D">
      <w:pPr>
        <w:pStyle w:val="GOSTScript"/>
        <w:ind w:left="142" w:right="140" w:firstLine="0"/>
        <w:rPr>
          <w:lang w:val="ru-RU"/>
        </w:rPr>
      </w:pPr>
      <w:r>
        <w:tab/>
      </w:r>
      <w:r>
        <w:tab/>
      </w:r>
      <w:r>
        <w:tab/>
      </w:r>
      <w:r w:rsidRPr="00176E24">
        <w:rPr>
          <w:lang w:val="ru-RU"/>
        </w:rPr>
        <w:t>&lt;</w:t>
      </w:r>
      <w:r>
        <w:t>NPA</w:t>
      </w:r>
      <w:r w:rsidRPr="00176E24">
        <w:rPr>
          <w:lang w:val="ru-RU"/>
        </w:rPr>
        <w:t>_</w:t>
      </w:r>
      <w:r>
        <w:t>TpDoc</w:t>
      </w:r>
      <w:r w:rsidRPr="00176E24">
        <w:rPr>
          <w:lang w:val="ru-RU"/>
        </w:rPr>
        <w:t>&gt;</w:t>
      </w:r>
      <w:r w:rsidRPr="00CE6968">
        <w:rPr>
          <w:lang w:val="ru-RU"/>
        </w:rPr>
        <w:t>Федеральный</w:t>
      </w:r>
      <w:r w:rsidRPr="00176E24">
        <w:rPr>
          <w:lang w:val="ru-RU"/>
        </w:rPr>
        <w:t xml:space="preserve"> </w:t>
      </w:r>
      <w:r w:rsidRPr="00CE6968">
        <w:rPr>
          <w:lang w:val="ru-RU"/>
        </w:rPr>
        <w:t>закон</w:t>
      </w:r>
      <w:r w:rsidRPr="00176E24">
        <w:rPr>
          <w:lang w:val="ru-RU"/>
        </w:rPr>
        <w:t>&lt;/</w:t>
      </w:r>
      <w:r>
        <w:t>NPA</w:t>
      </w:r>
      <w:r w:rsidRPr="00176E24">
        <w:rPr>
          <w:lang w:val="ru-RU"/>
        </w:rPr>
        <w:t>_</w:t>
      </w:r>
      <w:r>
        <w:t>TpDoc</w:t>
      </w:r>
      <w:r w:rsidRPr="00176E24">
        <w:rPr>
          <w:lang w:val="ru-RU"/>
        </w:rPr>
        <w:t>&gt;</w:t>
      </w:r>
    </w:p>
    <w:p w14:paraId="15AAA147" w14:textId="77777777" w:rsidR="002E0E1D" w:rsidRPr="00AC6F64" w:rsidRDefault="002E0E1D" w:rsidP="002E0E1D">
      <w:pPr>
        <w:pStyle w:val="GOSTScript"/>
        <w:ind w:left="142" w:right="140" w:firstLine="0"/>
      </w:pPr>
      <w:r w:rsidRPr="00176E24">
        <w:rPr>
          <w:lang w:val="ru-RU"/>
        </w:rPr>
        <w:tab/>
      </w:r>
      <w:r w:rsidRPr="00176E24">
        <w:rPr>
          <w:lang w:val="ru-RU"/>
        </w:rPr>
        <w:tab/>
      </w:r>
      <w:r w:rsidRPr="00176E24">
        <w:rPr>
          <w:lang w:val="ru-RU"/>
        </w:rPr>
        <w:tab/>
      </w:r>
      <w:r w:rsidRPr="00AC6F64">
        <w:t>&lt;</w:t>
      </w:r>
      <w:r>
        <w:t>NPA</w:t>
      </w:r>
      <w:r w:rsidRPr="00AC6F64">
        <w:t>_</w:t>
      </w:r>
      <w:r>
        <w:t>DtDoc</w:t>
      </w:r>
      <w:r w:rsidRPr="00AC6F64">
        <w:t>&gt;2025-03-03&lt;/</w:t>
      </w:r>
      <w:r>
        <w:t>NPA</w:t>
      </w:r>
      <w:r w:rsidRPr="00AC6F64">
        <w:t>_</w:t>
      </w:r>
      <w:r>
        <w:t>DtDoc</w:t>
      </w:r>
      <w:r w:rsidRPr="00AC6F64">
        <w:t>&gt;</w:t>
      </w:r>
    </w:p>
    <w:p w14:paraId="4DF9D564" w14:textId="77777777" w:rsidR="002E0E1D" w:rsidRPr="00AC6F64" w:rsidRDefault="002E0E1D" w:rsidP="002E0E1D">
      <w:pPr>
        <w:pStyle w:val="GOSTScript"/>
        <w:ind w:left="142" w:right="140" w:firstLine="0"/>
      </w:pPr>
      <w:r w:rsidRPr="00AC6F64">
        <w:tab/>
      </w:r>
      <w:r w:rsidRPr="00AC6F64">
        <w:tab/>
      </w:r>
      <w:r w:rsidRPr="00AC6F64">
        <w:tab/>
        <w:t>&lt;</w:t>
      </w:r>
      <w:r>
        <w:t>NPA</w:t>
      </w:r>
      <w:r w:rsidRPr="00AC6F64">
        <w:t>_</w:t>
      </w:r>
      <w:r>
        <w:t>NumDoc</w:t>
      </w:r>
      <w:r w:rsidRPr="00AC6F64">
        <w:t>&gt;2025/03-5521&lt;/</w:t>
      </w:r>
      <w:r>
        <w:t>NPA</w:t>
      </w:r>
      <w:r w:rsidRPr="00AC6F64">
        <w:t>_</w:t>
      </w:r>
      <w:r>
        <w:t>NumDoc</w:t>
      </w:r>
      <w:r w:rsidRPr="00AC6F64">
        <w:t>&gt;</w:t>
      </w:r>
    </w:p>
    <w:p w14:paraId="047C4ACD" w14:textId="77777777" w:rsidR="002E0E1D" w:rsidRPr="00AC6F64" w:rsidRDefault="002E0E1D" w:rsidP="002E0E1D">
      <w:pPr>
        <w:pStyle w:val="GOSTScript"/>
        <w:ind w:left="142" w:right="140" w:firstLine="0"/>
      </w:pPr>
      <w:r w:rsidRPr="00AC6F64">
        <w:tab/>
      </w:r>
      <w:r w:rsidRPr="00AC6F64">
        <w:tab/>
      </w:r>
      <w:r w:rsidRPr="00AC6F64">
        <w:tab/>
        <w:t>&lt;</w:t>
      </w:r>
      <w:r>
        <w:t>NPA</w:t>
      </w:r>
      <w:r w:rsidRPr="00AC6F64">
        <w:t>_</w:t>
      </w:r>
      <w:r>
        <w:t>NameDoc</w:t>
      </w:r>
      <w:r w:rsidRPr="00AC6F64">
        <w:t>&gt;</w:t>
      </w:r>
      <w:r w:rsidRPr="00516FB6">
        <w:rPr>
          <w:lang w:val="ru-RU"/>
        </w:rPr>
        <w:t>Закон</w:t>
      </w:r>
      <w:r w:rsidRPr="00AC6F64">
        <w:t xml:space="preserve"> </w:t>
      </w:r>
      <w:r w:rsidRPr="00516FB6">
        <w:rPr>
          <w:lang w:val="ru-RU"/>
        </w:rPr>
        <w:t>о</w:t>
      </w:r>
      <w:r w:rsidRPr="00AC6F64">
        <w:t xml:space="preserve"> </w:t>
      </w:r>
      <w:r w:rsidRPr="00516FB6">
        <w:rPr>
          <w:lang w:val="ru-RU"/>
        </w:rPr>
        <w:t>гособоронзаказе</w:t>
      </w:r>
      <w:r w:rsidRPr="00AC6F64">
        <w:t>&lt;/</w:t>
      </w:r>
      <w:r>
        <w:t>NPA</w:t>
      </w:r>
      <w:r w:rsidRPr="00AC6F64">
        <w:t>_</w:t>
      </w:r>
      <w:r>
        <w:t>NameDoc</w:t>
      </w:r>
      <w:r w:rsidRPr="00AC6F64">
        <w:t>&gt;</w:t>
      </w:r>
    </w:p>
    <w:p w14:paraId="2F4E5C69" w14:textId="77777777" w:rsidR="002E0E1D" w:rsidRPr="00AC6F64" w:rsidRDefault="002E0E1D" w:rsidP="002E0E1D">
      <w:pPr>
        <w:pStyle w:val="GOSTScript"/>
        <w:ind w:left="142" w:right="140" w:firstLine="0"/>
      </w:pPr>
      <w:r w:rsidRPr="00AC6F64">
        <w:tab/>
      </w:r>
      <w:r w:rsidRPr="00AC6F64">
        <w:tab/>
      </w:r>
      <w:r w:rsidRPr="00AC6F64">
        <w:tab/>
        <w:t>&lt;</w:t>
      </w:r>
      <w:r>
        <w:t>CodeKVR</w:t>
      </w:r>
      <w:r w:rsidRPr="00AC6F64">
        <w:t>&gt;80</w:t>
      </w:r>
      <w:r>
        <w:t>1</w:t>
      </w:r>
      <w:r w:rsidRPr="00AC6F64">
        <w:t>&lt;/</w:t>
      </w:r>
      <w:r>
        <w:t>CodeKVR</w:t>
      </w:r>
      <w:r w:rsidRPr="00AC6F64">
        <w:t>&gt;</w:t>
      </w:r>
    </w:p>
    <w:p w14:paraId="6C3BFBFD" w14:textId="77777777" w:rsidR="002E0E1D" w:rsidRPr="00AC6F64" w:rsidRDefault="002E0E1D" w:rsidP="002E0E1D">
      <w:pPr>
        <w:pStyle w:val="GOSTScript"/>
        <w:ind w:left="142" w:right="140" w:firstLine="0"/>
      </w:pPr>
      <w:r w:rsidRPr="00AC6F64">
        <w:tab/>
      </w:r>
      <w:r w:rsidRPr="00AC6F64">
        <w:tab/>
      </w:r>
      <w:r w:rsidRPr="00AC6F64">
        <w:tab/>
        <w:t>&lt;</w:t>
      </w:r>
      <w:r>
        <w:t>NPAAmntTtl</w:t>
      </w:r>
      <w:r w:rsidRPr="00AC6F64">
        <w:t>&gt;20.00&lt;/</w:t>
      </w:r>
      <w:r>
        <w:t>NPAAmntTtl</w:t>
      </w:r>
      <w:r w:rsidRPr="00AC6F64">
        <w:t>&gt;</w:t>
      </w:r>
    </w:p>
    <w:p w14:paraId="543EFC90" w14:textId="77777777" w:rsidR="002E0E1D" w:rsidRPr="00AC6F64" w:rsidRDefault="002E0E1D" w:rsidP="002E0E1D">
      <w:pPr>
        <w:pStyle w:val="GOSTScript"/>
        <w:ind w:left="142" w:right="140" w:firstLine="0"/>
      </w:pPr>
      <w:r w:rsidRPr="00AC6F64">
        <w:tab/>
      </w:r>
      <w:r w:rsidRPr="00AC6F64">
        <w:tab/>
      </w:r>
      <w:r w:rsidRPr="00AC6F64">
        <w:tab/>
        <w:t>&lt;</w:t>
      </w:r>
      <w:r>
        <w:t>NPAAmntCurrYr</w:t>
      </w:r>
      <w:r w:rsidRPr="00AC6F64">
        <w:t>&gt;20.00&lt;/</w:t>
      </w:r>
      <w:r>
        <w:t>NPAAmntCurrYr</w:t>
      </w:r>
      <w:r w:rsidRPr="00AC6F64">
        <w:t>&gt;</w:t>
      </w:r>
    </w:p>
    <w:p w14:paraId="0F6C10A2" w14:textId="77777777" w:rsidR="002E0E1D" w:rsidRPr="00AC6F64" w:rsidRDefault="002E0E1D" w:rsidP="002E0E1D">
      <w:pPr>
        <w:pStyle w:val="GOSTScript"/>
        <w:ind w:left="142" w:right="140" w:firstLine="0"/>
      </w:pPr>
      <w:r w:rsidRPr="00AC6F64">
        <w:tab/>
      </w:r>
      <w:r w:rsidRPr="00AC6F64">
        <w:tab/>
      </w:r>
      <w:r w:rsidRPr="00AC6F64">
        <w:tab/>
        <w:t>&lt;</w:t>
      </w:r>
      <w:r>
        <w:t>NPAAmntFrstYr</w:t>
      </w:r>
      <w:r w:rsidRPr="00AC6F64">
        <w:t>&gt;20.00&lt;/</w:t>
      </w:r>
      <w:r>
        <w:t>NPAAmntFrstYr</w:t>
      </w:r>
      <w:r w:rsidRPr="00AC6F64">
        <w:t>&gt;</w:t>
      </w:r>
    </w:p>
    <w:p w14:paraId="3FC6D50B" w14:textId="77777777" w:rsidR="002E0E1D" w:rsidRPr="00AC6F64" w:rsidRDefault="002E0E1D" w:rsidP="002E0E1D">
      <w:pPr>
        <w:pStyle w:val="GOSTScript"/>
        <w:ind w:left="142" w:right="140" w:firstLine="0"/>
      </w:pPr>
      <w:r w:rsidRPr="00AC6F64">
        <w:tab/>
      </w:r>
      <w:r w:rsidRPr="00AC6F64">
        <w:tab/>
      </w:r>
      <w:r w:rsidRPr="00AC6F64">
        <w:tab/>
        <w:t>&lt;</w:t>
      </w:r>
      <w:r>
        <w:t>NPAAmntScndYr</w:t>
      </w:r>
      <w:r w:rsidRPr="00AC6F64">
        <w:t>&gt;20.00&lt;/</w:t>
      </w:r>
      <w:r>
        <w:t>NPAAmntScndYr</w:t>
      </w:r>
      <w:r w:rsidRPr="00AC6F64">
        <w:t>&gt;</w:t>
      </w:r>
    </w:p>
    <w:p w14:paraId="49E7D7B2" w14:textId="77777777" w:rsidR="002E0E1D" w:rsidRPr="00AC6F64" w:rsidRDefault="002E0E1D" w:rsidP="002E0E1D">
      <w:pPr>
        <w:pStyle w:val="GOSTScript"/>
        <w:ind w:left="142" w:right="140" w:firstLine="0"/>
      </w:pPr>
      <w:r w:rsidRPr="00AC6F64">
        <w:tab/>
      </w:r>
      <w:r w:rsidRPr="00AC6F64">
        <w:tab/>
      </w:r>
      <w:r w:rsidRPr="00AC6F64">
        <w:tab/>
        <w:t>&lt;</w:t>
      </w:r>
      <w:r>
        <w:t>NPAAmntNxtYr</w:t>
      </w:r>
      <w:r w:rsidRPr="00AC6F64">
        <w:t>&gt;0.00&lt;/</w:t>
      </w:r>
      <w:r>
        <w:t>NPAAmntNxtYr</w:t>
      </w:r>
      <w:r w:rsidRPr="00AC6F64">
        <w:t>&gt;</w:t>
      </w:r>
    </w:p>
    <w:p w14:paraId="5E4A9331" w14:textId="77777777" w:rsidR="002E0E1D" w:rsidRDefault="002E0E1D" w:rsidP="002E0E1D">
      <w:pPr>
        <w:pStyle w:val="GOSTScript"/>
        <w:ind w:left="142" w:right="140" w:firstLine="0"/>
      </w:pPr>
      <w:r w:rsidRPr="00AC6F64">
        <w:tab/>
      </w:r>
      <w:r w:rsidRPr="00AC6F64">
        <w:tab/>
      </w:r>
      <w:r>
        <w:t>&lt;/TBL_NPAAmnt_ITEM&gt;</w:t>
      </w:r>
    </w:p>
    <w:p w14:paraId="6DFD9C3C" w14:textId="77777777" w:rsidR="002E0E1D" w:rsidRDefault="002E0E1D" w:rsidP="002E0E1D">
      <w:pPr>
        <w:pStyle w:val="GOSTScript"/>
        <w:ind w:left="142" w:right="140" w:firstLine="0"/>
      </w:pPr>
      <w:r>
        <w:tab/>
        <w:t>&lt;/TBL_NPAAmnt&gt;</w:t>
      </w:r>
    </w:p>
    <w:p w14:paraId="355F970B" w14:textId="77777777" w:rsidR="002E0E1D" w:rsidRDefault="002E0E1D" w:rsidP="002E0E1D">
      <w:pPr>
        <w:pStyle w:val="GOSTScript"/>
        <w:ind w:left="142" w:right="140" w:firstLine="0"/>
      </w:pPr>
      <w:r>
        <w:tab/>
        <w:t>&lt;KVR_NPAAmnt&gt;</w:t>
      </w:r>
    </w:p>
    <w:p w14:paraId="2F32548B" w14:textId="77777777" w:rsidR="002E0E1D" w:rsidRDefault="002E0E1D" w:rsidP="002E0E1D">
      <w:pPr>
        <w:pStyle w:val="GOSTScript"/>
        <w:ind w:left="142" w:right="140" w:firstLine="0"/>
      </w:pPr>
      <w:r>
        <w:tab/>
      </w:r>
      <w:r>
        <w:tab/>
        <w:t>&lt;KVR_NPAAmnt_ITEM&gt;</w:t>
      </w:r>
    </w:p>
    <w:p w14:paraId="38E22047" w14:textId="77777777" w:rsidR="002E0E1D" w:rsidRDefault="002E0E1D" w:rsidP="002E0E1D">
      <w:pPr>
        <w:pStyle w:val="GOSTScript"/>
        <w:ind w:left="142" w:right="140" w:firstLine="0"/>
      </w:pPr>
      <w:r>
        <w:tab/>
      </w:r>
      <w:r>
        <w:tab/>
      </w:r>
      <w:r>
        <w:tab/>
        <w:t>&lt;CodeKVR&gt;800&lt;/CodeKVR&gt;</w:t>
      </w:r>
    </w:p>
    <w:p w14:paraId="55FD1E15" w14:textId="77777777" w:rsidR="002E0E1D" w:rsidRDefault="002E0E1D" w:rsidP="002E0E1D">
      <w:pPr>
        <w:pStyle w:val="GOSTScript"/>
        <w:ind w:left="142" w:right="140" w:firstLine="0"/>
      </w:pPr>
      <w:r>
        <w:tab/>
      </w:r>
      <w:r>
        <w:tab/>
      </w:r>
      <w:r>
        <w:tab/>
        <w:t>&lt;KVR_NPAAmntTtl&gt;2980.00&lt;/KVR_NPAAmntTtl&gt;</w:t>
      </w:r>
    </w:p>
    <w:p w14:paraId="6A77E0BF" w14:textId="77777777" w:rsidR="002E0E1D" w:rsidRDefault="002E0E1D" w:rsidP="002E0E1D">
      <w:pPr>
        <w:pStyle w:val="GOSTScript"/>
        <w:ind w:left="142" w:right="140" w:firstLine="0"/>
      </w:pPr>
      <w:r>
        <w:lastRenderedPageBreak/>
        <w:tab/>
      </w:r>
      <w:r>
        <w:tab/>
      </w:r>
      <w:r>
        <w:tab/>
        <w:t>&lt;KVR_NPAAmntCurrYr&gt;2980.00&lt;/KVR_NPAAmntCurrYr&gt;</w:t>
      </w:r>
    </w:p>
    <w:p w14:paraId="13F5E66B" w14:textId="77777777" w:rsidR="002E0E1D" w:rsidRDefault="002E0E1D" w:rsidP="002E0E1D">
      <w:pPr>
        <w:pStyle w:val="GOSTScript"/>
        <w:ind w:left="142" w:right="140" w:firstLine="0"/>
      </w:pPr>
      <w:r>
        <w:tab/>
      </w:r>
      <w:r>
        <w:tab/>
      </w:r>
      <w:r>
        <w:tab/>
        <w:t>&lt;KVR_NPAAmntFrstYr&gt;2980.00&lt;/KVR_NPAAmntFrstYr&gt;</w:t>
      </w:r>
    </w:p>
    <w:p w14:paraId="5B9540FB" w14:textId="77777777" w:rsidR="002E0E1D" w:rsidRDefault="002E0E1D" w:rsidP="002E0E1D">
      <w:pPr>
        <w:pStyle w:val="GOSTScript"/>
        <w:ind w:left="142" w:right="140" w:firstLine="0"/>
      </w:pPr>
      <w:r>
        <w:tab/>
      </w:r>
      <w:r>
        <w:tab/>
      </w:r>
      <w:r>
        <w:tab/>
        <w:t>&lt;KVR_NPAAmntScndYr&gt;2980.00&lt;/KVR_NPAAmntScndYr&gt;</w:t>
      </w:r>
    </w:p>
    <w:p w14:paraId="07EABA2C" w14:textId="77777777" w:rsidR="002E0E1D" w:rsidRDefault="002E0E1D" w:rsidP="002E0E1D">
      <w:pPr>
        <w:pStyle w:val="GOSTScript"/>
        <w:ind w:left="142" w:right="140" w:firstLine="0"/>
      </w:pPr>
      <w:r>
        <w:tab/>
      </w:r>
      <w:r>
        <w:tab/>
      </w:r>
      <w:r>
        <w:tab/>
        <w:t>&lt;KVR_NPAAmntNxtYr&gt;0.00&lt;/KVR_NPAAmntNxtYr&gt;</w:t>
      </w:r>
    </w:p>
    <w:p w14:paraId="52F4ED6B" w14:textId="77777777" w:rsidR="002E0E1D" w:rsidRDefault="002E0E1D" w:rsidP="002E0E1D">
      <w:pPr>
        <w:pStyle w:val="GOSTScript"/>
        <w:ind w:left="142" w:right="140" w:firstLine="0"/>
      </w:pPr>
      <w:r>
        <w:tab/>
      </w:r>
      <w:r>
        <w:tab/>
        <w:t>&lt;/KVR_NPAAmnt_ITEM&gt;</w:t>
      </w:r>
    </w:p>
    <w:p w14:paraId="19450DFF" w14:textId="77777777" w:rsidR="002E0E1D" w:rsidRDefault="002E0E1D" w:rsidP="002E0E1D">
      <w:pPr>
        <w:pStyle w:val="GOSTScript"/>
        <w:ind w:left="142" w:right="140" w:firstLine="0"/>
      </w:pPr>
      <w:r>
        <w:tab/>
      </w:r>
      <w:r>
        <w:tab/>
        <w:t>&lt;KVR_NPAAmnt_ITEM&gt;</w:t>
      </w:r>
    </w:p>
    <w:p w14:paraId="0936A73D" w14:textId="77777777" w:rsidR="002E0E1D" w:rsidRDefault="002E0E1D" w:rsidP="002E0E1D">
      <w:pPr>
        <w:pStyle w:val="GOSTScript"/>
        <w:ind w:left="142" w:right="140" w:firstLine="0"/>
      </w:pPr>
      <w:r>
        <w:tab/>
      </w:r>
      <w:r>
        <w:tab/>
      </w:r>
      <w:r>
        <w:tab/>
        <w:t>&lt;CodeKVR&gt;801&lt;/CodeKVR&gt;</w:t>
      </w:r>
    </w:p>
    <w:p w14:paraId="10BA7A19" w14:textId="77777777" w:rsidR="002E0E1D" w:rsidRDefault="002E0E1D" w:rsidP="002E0E1D">
      <w:pPr>
        <w:pStyle w:val="GOSTScript"/>
        <w:ind w:left="142" w:right="140" w:firstLine="0"/>
      </w:pPr>
      <w:r>
        <w:tab/>
      </w:r>
      <w:r>
        <w:tab/>
      </w:r>
      <w:r>
        <w:tab/>
        <w:t>&lt;KVR_NPAAmntTtl&gt;20.00&lt;/KVR_NPAAmntTtl&gt;</w:t>
      </w:r>
    </w:p>
    <w:p w14:paraId="5CEAC7A1" w14:textId="77777777" w:rsidR="002E0E1D" w:rsidRDefault="002E0E1D" w:rsidP="002E0E1D">
      <w:pPr>
        <w:pStyle w:val="GOSTScript"/>
        <w:ind w:left="142" w:right="140" w:firstLine="0"/>
      </w:pPr>
      <w:r>
        <w:tab/>
      </w:r>
      <w:r>
        <w:tab/>
      </w:r>
      <w:r>
        <w:tab/>
        <w:t>&lt;KVR_NPAAmntCurrYr&gt;20.00&lt;/KVR_NPAAmntCurrYr&gt;</w:t>
      </w:r>
    </w:p>
    <w:p w14:paraId="35F94E52" w14:textId="77777777" w:rsidR="002E0E1D" w:rsidRDefault="002E0E1D" w:rsidP="002E0E1D">
      <w:pPr>
        <w:pStyle w:val="GOSTScript"/>
        <w:ind w:left="142" w:right="140" w:firstLine="0"/>
      </w:pPr>
      <w:r>
        <w:tab/>
      </w:r>
      <w:r>
        <w:tab/>
      </w:r>
      <w:r>
        <w:tab/>
        <w:t>&lt;KVR_NPAAmntFrstYr&gt;20.00&lt;/KVR_NPAAmntFrstYr&gt;</w:t>
      </w:r>
    </w:p>
    <w:p w14:paraId="383E69AB" w14:textId="77777777" w:rsidR="002E0E1D" w:rsidRDefault="002E0E1D" w:rsidP="002E0E1D">
      <w:pPr>
        <w:pStyle w:val="GOSTScript"/>
        <w:ind w:left="142" w:right="140" w:firstLine="0"/>
      </w:pPr>
      <w:r>
        <w:tab/>
      </w:r>
      <w:r>
        <w:tab/>
      </w:r>
      <w:r>
        <w:tab/>
        <w:t>&lt;KVR_NPAAmntScndYr&gt;2.00&lt;/KVR_NPAAmntScndYr&gt;</w:t>
      </w:r>
    </w:p>
    <w:p w14:paraId="4D68A2B5" w14:textId="77777777" w:rsidR="002E0E1D" w:rsidRDefault="002E0E1D" w:rsidP="002E0E1D">
      <w:pPr>
        <w:pStyle w:val="GOSTScript"/>
        <w:ind w:left="142" w:right="140" w:firstLine="0"/>
      </w:pPr>
      <w:r>
        <w:tab/>
      </w:r>
      <w:r>
        <w:tab/>
      </w:r>
      <w:r>
        <w:tab/>
        <w:t>&lt;KVR_NPAAmntNxtYr&gt;0.00&lt;/KVR_NPAAmntNxtYr&gt;</w:t>
      </w:r>
    </w:p>
    <w:p w14:paraId="4236CE93" w14:textId="77777777" w:rsidR="002E0E1D" w:rsidRDefault="002E0E1D" w:rsidP="002E0E1D">
      <w:pPr>
        <w:pStyle w:val="GOSTScript"/>
        <w:ind w:left="142" w:right="140" w:firstLine="0"/>
      </w:pPr>
      <w:r>
        <w:tab/>
      </w:r>
      <w:r>
        <w:tab/>
        <w:t>&lt;/KVR_NPAAmnt_ITEM&gt;</w:t>
      </w:r>
    </w:p>
    <w:p w14:paraId="4B9FA88E" w14:textId="77777777" w:rsidR="002E0E1D" w:rsidRDefault="002E0E1D" w:rsidP="002E0E1D">
      <w:pPr>
        <w:pStyle w:val="GOSTScript"/>
        <w:ind w:left="142" w:right="140" w:firstLine="0"/>
      </w:pPr>
      <w:r>
        <w:tab/>
        <w:t>&lt;/KVR_NPAAmnt&gt;</w:t>
      </w:r>
    </w:p>
    <w:p w14:paraId="4712308B" w14:textId="77777777" w:rsidR="002E0E1D" w:rsidRDefault="002E0E1D" w:rsidP="002E0E1D">
      <w:pPr>
        <w:pStyle w:val="GOSTScript"/>
        <w:ind w:left="142" w:right="140" w:firstLine="0"/>
      </w:pPr>
      <w:r>
        <w:tab/>
        <w:t>&lt;headPosition&gt;Руководитель&lt;/headPosition&gt;</w:t>
      </w:r>
    </w:p>
    <w:p w14:paraId="1FDD1FFC" w14:textId="77777777" w:rsidR="002E0E1D" w:rsidRDefault="002E0E1D" w:rsidP="002E0E1D">
      <w:pPr>
        <w:pStyle w:val="GOSTScript"/>
        <w:ind w:left="142" w:right="140" w:firstLine="0"/>
      </w:pPr>
      <w:r>
        <w:tab/>
        <w:t>&lt;headName&gt;Щуклин О.А.&lt;/headName&gt;</w:t>
      </w:r>
    </w:p>
    <w:p w14:paraId="0120D813" w14:textId="77777777" w:rsidR="002E0E1D" w:rsidRDefault="002E0E1D" w:rsidP="002E0E1D">
      <w:pPr>
        <w:pStyle w:val="GOSTScript"/>
        <w:ind w:left="142" w:right="140" w:firstLine="0"/>
      </w:pPr>
      <w:r>
        <w:tab/>
        <w:t>&lt;approveDate&gt;2025-09-10&lt;/approveDate&gt;</w:t>
      </w:r>
    </w:p>
    <w:p w14:paraId="640DF5FD" w14:textId="77777777" w:rsidR="002E0E1D" w:rsidRDefault="002E0E1D" w:rsidP="002E0E1D">
      <w:pPr>
        <w:pStyle w:val="GOSTScript"/>
        <w:ind w:left="142" w:right="140" w:firstLine="0"/>
      </w:pPr>
      <w:r>
        <w:tab/>
        <w:t>&lt;/formular&gt;</w:t>
      </w:r>
    </w:p>
    <w:p w14:paraId="06A2E7BF" w14:textId="77777777" w:rsidR="002E0E1D" w:rsidRDefault="002E0E1D" w:rsidP="002E0E1D">
      <w:pPr>
        <w:pStyle w:val="GOSTScript"/>
        <w:ind w:left="142" w:right="140" w:firstLine="0"/>
      </w:pPr>
      <w:r>
        <w:tab/>
        <w:t>&lt;/self:formularCollection&gt;</w:t>
      </w:r>
    </w:p>
    <w:p w14:paraId="32A13A7E" w14:textId="77777777" w:rsidR="002E0E1D" w:rsidRPr="00636EBF" w:rsidRDefault="002E0E1D" w:rsidP="002E0E1D">
      <w:pPr>
        <w:pStyle w:val="GOSTScript"/>
        <w:ind w:left="142" w:right="140" w:firstLine="0"/>
        <w:rPr>
          <w:szCs w:val="22"/>
          <w:lang w:val="ru-RU"/>
        </w:rPr>
      </w:pPr>
      <w:r w:rsidRPr="005D6362">
        <w:rPr>
          <w:lang w:val="ru-RU"/>
        </w:rPr>
        <w:t>&lt;/</w:t>
      </w:r>
      <w:r>
        <w:t>self</w:t>
      </w:r>
      <w:r w:rsidRPr="005D6362">
        <w:rPr>
          <w:lang w:val="ru-RU"/>
        </w:rPr>
        <w:t>:</w:t>
      </w:r>
      <w:r>
        <w:t>exchangePacket</w:t>
      </w:r>
      <w:r w:rsidRPr="005D6362">
        <w:rPr>
          <w:lang w:val="ru-RU"/>
        </w:rPr>
        <w:t>&gt;</w:t>
      </w:r>
    </w:p>
    <w:p w14:paraId="6E4DBEC6" w14:textId="77777777" w:rsidR="00AD1F54" w:rsidRPr="00264D5D" w:rsidRDefault="00941227">
      <w:pPr>
        <w:pStyle w:val="10"/>
        <w:jc w:val="both"/>
      </w:pPr>
      <w:bookmarkStart w:id="4608" w:name="_Toc219309859"/>
      <w:r w:rsidRPr="00264D5D">
        <w:lastRenderedPageBreak/>
        <w:t>Требования к составу информации при информационном взаимодействии между территориальными органами Федерального казначейства и финансовыми органами</w:t>
      </w:r>
      <w:bookmarkEnd w:id="4531"/>
      <w:bookmarkEnd w:id="4532"/>
      <w:bookmarkEnd w:id="4608"/>
    </w:p>
    <w:p w14:paraId="379CAB50" w14:textId="5CDF8295" w:rsidR="00AD1F54" w:rsidRPr="00264D5D" w:rsidRDefault="00941227">
      <w:pPr>
        <w:pStyle w:val="OTRNormal"/>
        <w:rPr>
          <w:sz w:val="24"/>
          <w:szCs w:val="24"/>
        </w:rPr>
      </w:pPr>
      <w:r w:rsidRPr="00264D5D">
        <w:rPr>
          <w:sz w:val="24"/>
          <w:szCs w:val="24"/>
        </w:rPr>
        <w:t xml:space="preserve">Для учета операций, осуществляемых финансовыми органами в рамках их бюджетных полномочий, используются документы в </w:t>
      </w:r>
      <w:r w:rsidR="00CB6F29" w:rsidRPr="00264D5D">
        <w:rPr>
          <w:sz w:val="24"/>
          <w:szCs w:val="24"/>
          <w:lang w:val="en-US"/>
        </w:rPr>
        <w:t>xml</w:t>
      </w:r>
      <w:r w:rsidRPr="00264D5D">
        <w:rPr>
          <w:sz w:val="24"/>
          <w:szCs w:val="24"/>
        </w:rPr>
        <w:t xml:space="preserve">-формате, представленные в таблице </w:t>
      </w:r>
      <w:r w:rsidRPr="00264D5D">
        <w:rPr>
          <w:sz w:val="24"/>
          <w:szCs w:val="24"/>
        </w:rPr>
        <w:fldChar w:fldCharType="begin"/>
      </w:r>
      <w:r w:rsidRPr="00264D5D">
        <w:rPr>
          <w:sz w:val="24"/>
          <w:szCs w:val="24"/>
        </w:rPr>
        <w:instrText xml:space="preserve"> REF _Ref52049734 \h  \* MERGEFORMAT </w:instrText>
      </w:r>
      <w:r w:rsidRPr="00264D5D">
        <w:rPr>
          <w:sz w:val="24"/>
          <w:szCs w:val="24"/>
        </w:rPr>
      </w:r>
      <w:r w:rsidRPr="00264D5D">
        <w:rPr>
          <w:sz w:val="24"/>
          <w:szCs w:val="24"/>
        </w:rPr>
        <w:fldChar w:fldCharType="separate"/>
      </w:r>
      <w:r w:rsidR="008D797C" w:rsidRPr="008D797C">
        <w:rPr>
          <w:sz w:val="24"/>
          <w:szCs w:val="24"/>
        </w:rPr>
        <w:t>365</w:t>
      </w:r>
      <w:r w:rsidRPr="00264D5D">
        <w:rPr>
          <w:sz w:val="24"/>
          <w:szCs w:val="24"/>
        </w:rPr>
        <w:fldChar w:fldCharType="end"/>
      </w:r>
      <w:r w:rsidRPr="00264D5D">
        <w:rPr>
          <w:sz w:val="24"/>
          <w:szCs w:val="24"/>
        </w:rPr>
        <w:t>.</w:t>
      </w:r>
    </w:p>
    <w:p w14:paraId="1064FFCC" w14:textId="77777777" w:rsidR="00AD1F54" w:rsidRPr="00264D5D" w:rsidRDefault="00941227">
      <w:pPr>
        <w:pStyle w:val="OTRNormal"/>
        <w:rPr>
          <w:sz w:val="24"/>
          <w:szCs w:val="24"/>
        </w:rPr>
      </w:pPr>
      <w:r w:rsidRPr="00264D5D">
        <w:rPr>
          <w:sz w:val="24"/>
          <w:szCs w:val="24"/>
        </w:rPr>
        <w:t>Документы, используемые для обмена в текстовом формате, представлены в 1 и 2 томах настоящего Альбома.</w:t>
      </w:r>
    </w:p>
    <w:p w14:paraId="0DB5DF86" w14:textId="61578ACC" w:rsidR="00AD1F54" w:rsidRPr="00264D5D" w:rsidRDefault="00941227">
      <w:pPr>
        <w:pStyle w:val="GOSTNameTable"/>
        <w:numPr>
          <w:ilvl w:val="0"/>
          <w:numId w:val="2"/>
        </w:numPr>
        <w:ind w:left="425" w:hanging="357"/>
        <w:jc w:val="both"/>
      </w:pPr>
      <w:r w:rsidRPr="00264D5D">
        <w:fldChar w:fldCharType="begin"/>
      </w:r>
      <w:r w:rsidRPr="00264D5D">
        <w:instrText>SEQ Таблица \* ARABIC</w:instrText>
      </w:r>
      <w:r w:rsidRPr="00264D5D">
        <w:fldChar w:fldCharType="separate"/>
      </w:r>
      <w:bookmarkStart w:id="4609" w:name="_Ref52049734"/>
      <w:bookmarkStart w:id="4610" w:name="_Toc219309395"/>
      <w:r w:rsidR="008D797C">
        <w:rPr>
          <w:noProof/>
        </w:rPr>
        <w:t>365</w:t>
      </w:r>
      <w:bookmarkEnd w:id="4609"/>
      <w:r w:rsidRPr="00264D5D">
        <w:fldChar w:fldCharType="end"/>
      </w:r>
      <w:r w:rsidRPr="00264D5D">
        <w:rPr>
          <w:rFonts w:eastAsia="Calibri"/>
          <w:szCs w:val="24"/>
        </w:rPr>
        <w:t xml:space="preserve"> –</w:t>
      </w:r>
      <w:r w:rsidRPr="00264D5D">
        <w:t xml:space="preserve"> Документы для обмена в </w:t>
      </w:r>
      <w:r w:rsidR="00CB6F29" w:rsidRPr="00264D5D">
        <w:rPr>
          <w:szCs w:val="24"/>
          <w:lang w:val="en-US"/>
        </w:rPr>
        <w:t>xml</w:t>
      </w:r>
      <w:r w:rsidRPr="00264D5D">
        <w:rPr>
          <w:szCs w:val="24"/>
        </w:rPr>
        <w:t>-формате</w:t>
      </w:r>
      <w:bookmarkEnd w:id="4610"/>
    </w:p>
    <w:tbl>
      <w:tblPr>
        <w:tblStyle w:val="GOSTTable"/>
        <w:tblW w:w="5000" w:type="pct"/>
        <w:tblLayout w:type="fixed"/>
        <w:tblLook w:val="01E0" w:firstRow="1" w:lastRow="1" w:firstColumn="1" w:lastColumn="1" w:noHBand="0" w:noVBand="0"/>
      </w:tblPr>
      <w:tblGrid>
        <w:gridCol w:w="7672"/>
        <w:gridCol w:w="11"/>
        <w:gridCol w:w="1004"/>
        <w:gridCol w:w="11"/>
        <w:gridCol w:w="941"/>
        <w:gridCol w:w="11"/>
      </w:tblGrid>
      <w:tr w:rsidR="008B26A8" w:rsidRPr="00264D5D" w14:paraId="4E25BF82" w14:textId="77777777" w:rsidTr="008B26A8">
        <w:trPr>
          <w:gridAfter w:val="1"/>
          <w:cnfStyle w:val="100000000000" w:firstRow="1" w:lastRow="0" w:firstColumn="0" w:lastColumn="0" w:oddVBand="0" w:evenVBand="0" w:oddHBand="0" w:evenHBand="0" w:firstRowFirstColumn="0" w:firstRowLastColumn="0" w:lastRowFirstColumn="0" w:lastRowLastColumn="0"/>
          <w:wAfter w:w="11" w:type="dxa"/>
          <w:tblHeader/>
        </w:trPr>
        <w:tc>
          <w:tcPr>
            <w:tcW w:w="7501" w:type="dxa"/>
          </w:tcPr>
          <w:p w14:paraId="154CC3D1" w14:textId="77777777" w:rsidR="008B26A8" w:rsidRPr="00264D5D" w:rsidRDefault="008B26A8">
            <w:pPr>
              <w:pStyle w:val="OTRTableHead"/>
              <w:widowControl w:val="0"/>
              <w:rPr>
                <w:sz w:val="22"/>
                <w:szCs w:val="22"/>
              </w:rPr>
            </w:pPr>
            <w:r w:rsidRPr="00264D5D">
              <w:rPr>
                <w:sz w:val="22"/>
                <w:szCs w:val="22"/>
              </w:rPr>
              <w:t>Наименование документа</w:t>
            </w:r>
          </w:p>
        </w:tc>
        <w:tc>
          <w:tcPr>
            <w:tcW w:w="993" w:type="dxa"/>
            <w:gridSpan w:val="2"/>
          </w:tcPr>
          <w:p w14:paraId="3D00DBE1" w14:textId="77777777" w:rsidR="008B26A8" w:rsidRPr="00264D5D" w:rsidRDefault="008B26A8">
            <w:pPr>
              <w:pStyle w:val="OTRTableHead"/>
              <w:widowControl w:val="0"/>
              <w:rPr>
                <w:sz w:val="22"/>
                <w:szCs w:val="22"/>
              </w:rPr>
            </w:pPr>
            <w:r w:rsidRPr="00264D5D">
              <w:rPr>
                <w:sz w:val="22"/>
                <w:szCs w:val="22"/>
              </w:rPr>
              <w:t>Номер пункта</w:t>
            </w:r>
          </w:p>
        </w:tc>
        <w:tc>
          <w:tcPr>
            <w:tcW w:w="931" w:type="dxa"/>
            <w:gridSpan w:val="2"/>
          </w:tcPr>
          <w:p w14:paraId="65000DFE" w14:textId="77777777" w:rsidR="008B26A8" w:rsidRPr="00264D5D" w:rsidRDefault="008B26A8">
            <w:pPr>
              <w:pStyle w:val="OTRTableHead"/>
              <w:widowControl w:val="0"/>
              <w:rPr>
                <w:sz w:val="22"/>
                <w:szCs w:val="22"/>
              </w:rPr>
            </w:pPr>
            <w:r w:rsidRPr="00264D5D">
              <w:rPr>
                <w:sz w:val="22"/>
                <w:szCs w:val="22"/>
              </w:rPr>
              <w:t>Номер тома</w:t>
            </w:r>
          </w:p>
        </w:tc>
      </w:tr>
      <w:tr w:rsidR="008B26A8" w:rsidRPr="00264D5D" w14:paraId="0BEDFD3A" w14:textId="77777777" w:rsidTr="008B26A8">
        <w:trPr>
          <w:cnfStyle w:val="000000100000" w:firstRow="0" w:lastRow="0" w:firstColumn="0" w:lastColumn="0" w:oddVBand="0" w:evenVBand="0" w:oddHBand="1" w:evenHBand="0" w:firstRowFirstColumn="0" w:firstRowLastColumn="0" w:lastRowFirstColumn="0" w:lastRowLastColumn="0"/>
        </w:trPr>
        <w:tc>
          <w:tcPr>
            <w:tcW w:w="7512" w:type="dxa"/>
            <w:gridSpan w:val="2"/>
          </w:tcPr>
          <w:p w14:paraId="1930D032" w14:textId="77777777" w:rsidR="008B26A8" w:rsidRPr="00264D5D" w:rsidRDefault="008B26A8" w:rsidP="00EC3989">
            <w:pPr>
              <w:spacing w:before="60" w:after="60"/>
              <w:rPr>
                <w:sz w:val="22"/>
                <w:szCs w:val="22"/>
              </w:rPr>
            </w:pPr>
            <w:r w:rsidRPr="00264D5D">
              <w:rPr>
                <w:sz w:val="22"/>
                <w:szCs w:val="22"/>
              </w:rPr>
              <w:t>Запрос на предоставление выписки из казначейского счета</w:t>
            </w:r>
          </w:p>
        </w:tc>
        <w:tc>
          <w:tcPr>
            <w:tcW w:w="993" w:type="dxa"/>
            <w:gridSpan w:val="2"/>
          </w:tcPr>
          <w:p w14:paraId="00AFCC35" w14:textId="73C38EED" w:rsidR="008B26A8" w:rsidRPr="00264D5D" w:rsidRDefault="008B26A8" w:rsidP="00EC3989">
            <w:pPr>
              <w:spacing w:before="60" w:after="60"/>
              <w:rPr>
                <w:sz w:val="22"/>
                <w:szCs w:val="22"/>
              </w:rPr>
            </w:pPr>
            <w:r w:rsidRPr="00264D5D">
              <w:rPr>
                <w:sz w:val="22"/>
                <w:szCs w:val="22"/>
              </w:rPr>
              <w:t xml:space="preserve">П. </w:t>
            </w:r>
            <w:r w:rsidRPr="00264D5D">
              <w:rPr>
                <w:sz w:val="22"/>
                <w:szCs w:val="22"/>
              </w:rPr>
              <w:fldChar w:fldCharType="begin"/>
            </w:r>
            <w:r w:rsidRPr="00264D5D">
              <w:rPr>
                <w:sz w:val="22"/>
                <w:szCs w:val="22"/>
              </w:rPr>
              <w:instrText xml:space="preserve"> REF _Ref47551153 \n \h  \* MERGEFORMAT </w:instrText>
            </w:r>
            <w:r w:rsidRPr="00264D5D">
              <w:rPr>
                <w:sz w:val="22"/>
                <w:szCs w:val="22"/>
              </w:rPr>
            </w:r>
            <w:r w:rsidRPr="00264D5D">
              <w:rPr>
                <w:sz w:val="22"/>
                <w:szCs w:val="22"/>
              </w:rPr>
              <w:fldChar w:fldCharType="separate"/>
            </w:r>
            <w:r w:rsidR="008D797C">
              <w:rPr>
                <w:sz w:val="22"/>
                <w:szCs w:val="22"/>
              </w:rPr>
              <w:t>8.1</w:t>
            </w:r>
            <w:r w:rsidRPr="00264D5D">
              <w:rPr>
                <w:sz w:val="22"/>
                <w:szCs w:val="22"/>
              </w:rPr>
              <w:fldChar w:fldCharType="end"/>
            </w:r>
          </w:p>
        </w:tc>
        <w:tc>
          <w:tcPr>
            <w:tcW w:w="931" w:type="dxa"/>
            <w:gridSpan w:val="2"/>
          </w:tcPr>
          <w:p w14:paraId="7339D003" w14:textId="77777777" w:rsidR="008B26A8" w:rsidRPr="00264D5D" w:rsidRDefault="008B26A8" w:rsidP="00EC3989">
            <w:pPr>
              <w:spacing w:before="60" w:after="60"/>
              <w:rPr>
                <w:sz w:val="22"/>
                <w:szCs w:val="22"/>
              </w:rPr>
            </w:pPr>
            <w:r w:rsidRPr="00264D5D">
              <w:rPr>
                <w:sz w:val="22"/>
                <w:szCs w:val="22"/>
              </w:rPr>
              <w:t>Т. 7</w:t>
            </w:r>
          </w:p>
        </w:tc>
      </w:tr>
      <w:tr w:rsidR="008B26A8" w:rsidRPr="00264D5D" w14:paraId="1ADC4658" w14:textId="77777777" w:rsidTr="008B26A8">
        <w:trPr>
          <w:cnfStyle w:val="000000010000" w:firstRow="0" w:lastRow="0" w:firstColumn="0" w:lastColumn="0" w:oddVBand="0" w:evenVBand="0" w:oddHBand="0" w:evenHBand="1" w:firstRowFirstColumn="0" w:firstRowLastColumn="0" w:lastRowFirstColumn="0" w:lastRowLastColumn="0"/>
        </w:trPr>
        <w:tc>
          <w:tcPr>
            <w:tcW w:w="7512" w:type="dxa"/>
            <w:gridSpan w:val="2"/>
          </w:tcPr>
          <w:p w14:paraId="44185BEF" w14:textId="77777777" w:rsidR="008B26A8" w:rsidRPr="00264D5D" w:rsidRDefault="008B26A8" w:rsidP="00EC3989">
            <w:pPr>
              <w:spacing w:before="60" w:after="60"/>
              <w:rPr>
                <w:sz w:val="22"/>
                <w:szCs w:val="22"/>
              </w:rPr>
            </w:pPr>
            <w:r w:rsidRPr="00264D5D">
              <w:rPr>
                <w:sz w:val="22"/>
                <w:szCs w:val="22"/>
              </w:rPr>
              <w:t>Информация из документов, подтверждающих операции клиентов Федерального казначейства при расчетах с контрагентами</w:t>
            </w:r>
          </w:p>
        </w:tc>
        <w:tc>
          <w:tcPr>
            <w:tcW w:w="993" w:type="dxa"/>
            <w:gridSpan w:val="2"/>
          </w:tcPr>
          <w:p w14:paraId="758BACB3" w14:textId="77777777" w:rsidR="008B26A8" w:rsidRPr="00264D5D" w:rsidRDefault="008B26A8" w:rsidP="00EC3989">
            <w:pPr>
              <w:spacing w:before="60" w:after="60"/>
              <w:rPr>
                <w:sz w:val="22"/>
                <w:szCs w:val="22"/>
              </w:rPr>
            </w:pPr>
            <w:r w:rsidRPr="00264D5D">
              <w:rPr>
                <w:sz w:val="22"/>
                <w:szCs w:val="22"/>
              </w:rPr>
              <w:t>П. 10.1</w:t>
            </w:r>
          </w:p>
        </w:tc>
        <w:tc>
          <w:tcPr>
            <w:tcW w:w="931" w:type="dxa"/>
            <w:gridSpan w:val="2"/>
          </w:tcPr>
          <w:p w14:paraId="0A6D36CE" w14:textId="77777777" w:rsidR="008B26A8" w:rsidRPr="00264D5D" w:rsidRDefault="008B26A8" w:rsidP="00EC3989">
            <w:pPr>
              <w:spacing w:before="60" w:after="60"/>
              <w:rPr>
                <w:sz w:val="22"/>
                <w:szCs w:val="22"/>
              </w:rPr>
            </w:pPr>
            <w:r w:rsidRPr="00264D5D">
              <w:rPr>
                <w:sz w:val="22"/>
                <w:szCs w:val="22"/>
              </w:rPr>
              <w:t>Т. 8</w:t>
            </w:r>
          </w:p>
        </w:tc>
      </w:tr>
      <w:tr w:rsidR="008B26A8" w:rsidRPr="00264D5D" w14:paraId="743F467E" w14:textId="77777777" w:rsidTr="008B26A8">
        <w:trPr>
          <w:cnfStyle w:val="000000100000" w:firstRow="0" w:lastRow="0" w:firstColumn="0" w:lastColumn="0" w:oddVBand="0" w:evenVBand="0" w:oddHBand="1" w:evenHBand="0" w:firstRowFirstColumn="0" w:firstRowLastColumn="0" w:lastRowFirstColumn="0" w:lastRowLastColumn="0"/>
        </w:trPr>
        <w:tc>
          <w:tcPr>
            <w:tcW w:w="7512" w:type="dxa"/>
            <w:gridSpan w:val="2"/>
          </w:tcPr>
          <w:p w14:paraId="0F8358B7" w14:textId="77777777" w:rsidR="008B26A8" w:rsidRPr="00264D5D" w:rsidRDefault="008B26A8" w:rsidP="00EC3989">
            <w:pPr>
              <w:spacing w:before="60" w:after="60"/>
              <w:rPr>
                <w:sz w:val="22"/>
                <w:szCs w:val="22"/>
              </w:rPr>
            </w:pPr>
            <w:r w:rsidRPr="00264D5D">
              <w:rPr>
                <w:sz w:val="22"/>
                <w:szCs w:val="22"/>
              </w:rPr>
              <w:t>Ведомость учета невыясненных поступлений по казначейскому счету (ф. 0531853)</w:t>
            </w:r>
          </w:p>
        </w:tc>
        <w:tc>
          <w:tcPr>
            <w:tcW w:w="993" w:type="dxa"/>
            <w:gridSpan w:val="2"/>
          </w:tcPr>
          <w:p w14:paraId="3CEF278B" w14:textId="77777777" w:rsidR="008B26A8" w:rsidRPr="00264D5D" w:rsidRDefault="008B26A8" w:rsidP="00EC3989">
            <w:pPr>
              <w:spacing w:before="60" w:after="60"/>
              <w:rPr>
                <w:sz w:val="22"/>
                <w:szCs w:val="22"/>
              </w:rPr>
            </w:pPr>
            <w:r w:rsidRPr="00264D5D">
              <w:rPr>
                <w:sz w:val="22"/>
                <w:szCs w:val="22"/>
              </w:rPr>
              <w:t>П. 10.2</w:t>
            </w:r>
          </w:p>
        </w:tc>
        <w:tc>
          <w:tcPr>
            <w:tcW w:w="931" w:type="dxa"/>
            <w:gridSpan w:val="2"/>
          </w:tcPr>
          <w:p w14:paraId="3DCCC8C7" w14:textId="77777777" w:rsidR="008B26A8" w:rsidRPr="00264D5D" w:rsidRDefault="008B26A8" w:rsidP="00EC3989">
            <w:pPr>
              <w:spacing w:before="60" w:after="60"/>
              <w:rPr>
                <w:sz w:val="22"/>
                <w:szCs w:val="22"/>
              </w:rPr>
            </w:pPr>
            <w:r w:rsidRPr="00264D5D">
              <w:rPr>
                <w:sz w:val="22"/>
                <w:szCs w:val="22"/>
              </w:rPr>
              <w:t>Т. 8</w:t>
            </w:r>
          </w:p>
        </w:tc>
      </w:tr>
      <w:tr w:rsidR="008B26A8" w:rsidRPr="00264D5D" w14:paraId="11C88F4D" w14:textId="77777777" w:rsidTr="008B26A8">
        <w:trPr>
          <w:cnfStyle w:val="000000010000" w:firstRow="0" w:lastRow="0" w:firstColumn="0" w:lastColumn="0" w:oddVBand="0" w:evenVBand="0" w:oddHBand="0" w:evenHBand="1" w:firstRowFirstColumn="0" w:firstRowLastColumn="0" w:lastRowFirstColumn="0" w:lastRowLastColumn="0"/>
        </w:trPr>
        <w:tc>
          <w:tcPr>
            <w:tcW w:w="7512" w:type="dxa"/>
            <w:gridSpan w:val="2"/>
          </w:tcPr>
          <w:p w14:paraId="3A804590" w14:textId="77777777" w:rsidR="008B26A8" w:rsidRPr="00264D5D" w:rsidRDefault="008B26A8" w:rsidP="00953A46">
            <w:pPr>
              <w:spacing w:before="60" w:after="60"/>
              <w:rPr>
                <w:sz w:val="22"/>
                <w:szCs w:val="22"/>
              </w:rPr>
            </w:pPr>
            <w:r w:rsidRPr="00264D5D">
              <w:rPr>
                <w:sz w:val="22"/>
                <w:szCs w:val="22"/>
              </w:rPr>
              <w:t>Сведения о поступивших от юридических лиц платежах (ф. 0531480)</w:t>
            </w:r>
          </w:p>
        </w:tc>
        <w:tc>
          <w:tcPr>
            <w:tcW w:w="993" w:type="dxa"/>
            <w:gridSpan w:val="2"/>
          </w:tcPr>
          <w:p w14:paraId="65F96D77" w14:textId="77777777" w:rsidR="008B26A8" w:rsidRPr="00264D5D" w:rsidRDefault="008B26A8" w:rsidP="00953A46">
            <w:pPr>
              <w:spacing w:before="60" w:after="60"/>
              <w:rPr>
                <w:sz w:val="22"/>
                <w:szCs w:val="22"/>
              </w:rPr>
            </w:pPr>
            <w:r w:rsidRPr="00264D5D">
              <w:rPr>
                <w:sz w:val="22"/>
                <w:szCs w:val="22"/>
              </w:rPr>
              <w:t>П. 10.3</w:t>
            </w:r>
          </w:p>
        </w:tc>
        <w:tc>
          <w:tcPr>
            <w:tcW w:w="931" w:type="dxa"/>
            <w:gridSpan w:val="2"/>
          </w:tcPr>
          <w:p w14:paraId="2CE96B5D" w14:textId="77777777" w:rsidR="008B26A8" w:rsidRPr="00264D5D" w:rsidRDefault="008B26A8" w:rsidP="00953A46">
            <w:pPr>
              <w:spacing w:before="60" w:after="60"/>
              <w:rPr>
                <w:sz w:val="22"/>
                <w:szCs w:val="22"/>
              </w:rPr>
            </w:pPr>
            <w:r w:rsidRPr="00264D5D">
              <w:rPr>
                <w:sz w:val="22"/>
                <w:szCs w:val="22"/>
              </w:rPr>
              <w:t>Т. 8</w:t>
            </w:r>
          </w:p>
        </w:tc>
      </w:tr>
      <w:tr w:rsidR="008B26A8" w:rsidRPr="00264D5D" w14:paraId="04A1FE9B" w14:textId="77777777" w:rsidTr="008B26A8">
        <w:trPr>
          <w:cnfStyle w:val="000000100000" w:firstRow="0" w:lastRow="0" w:firstColumn="0" w:lastColumn="0" w:oddVBand="0" w:evenVBand="0" w:oddHBand="1" w:evenHBand="0" w:firstRowFirstColumn="0" w:firstRowLastColumn="0" w:lastRowFirstColumn="0" w:lastRowLastColumn="0"/>
        </w:trPr>
        <w:tc>
          <w:tcPr>
            <w:tcW w:w="7512" w:type="dxa"/>
            <w:gridSpan w:val="2"/>
          </w:tcPr>
          <w:p w14:paraId="562E3F82" w14:textId="77777777" w:rsidR="008B26A8" w:rsidRPr="00264D5D" w:rsidRDefault="008B26A8" w:rsidP="00953A46">
            <w:pPr>
              <w:spacing w:before="60" w:after="60"/>
              <w:rPr>
                <w:sz w:val="22"/>
                <w:szCs w:val="22"/>
              </w:rPr>
            </w:pPr>
            <w:r w:rsidRPr="00264D5D">
              <w:rPr>
                <w:sz w:val="22"/>
                <w:szCs w:val="22"/>
              </w:rPr>
              <w:t>Выписка из казначейского счета</w:t>
            </w:r>
          </w:p>
        </w:tc>
        <w:tc>
          <w:tcPr>
            <w:tcW w:w="993" w:type="dxa"/>
            <w:gridSpan w:val="2"/>
          </w:tcPr>
          <w:p w14:paraId="47474374" w14:textId="77777777" w:rsidR="008B26A8" w:rsidRPr="00264D5D" w:rsidRDefault="008B26A8" w:rsidP="00953A46">
            <w:pPr>
              <w:spacing w:before="60" w:after="60"/>
              <w:rPr>
                <w:sz w:val="22"/>
                <w:szCs w:val="22"/>
                <w:lang w:val="en-US"/>
              </w:rPr>
            </w:pPr>
            <w:r w:rsidRPr="00264D5D">
              <w:rPr>
                <w:sz w:val="22"/>
                <w:szCs w:val="22"/>
              </w:rPr>
              <w:t>П. 9.1</w:t>
            </w:r>
          </w:p>
        </w:tc>
        <w:tc>
          <w:tcPr>
            <w:tcW w:w="931" w:type="dxa"/>
            <w:gridSpan w:val="2"/>
          </w:tcPr>
          <w:p w14:paraId="13F3A231" w14:textId="77777777" w:rsidR="008B26A8" w:rsidRPr="00264D5D" w:rsidRDefault="008B26A8" w:rsidP="00953A46">
            <w:pPr>
              <w:spacing w:before="60" w:after="60"/>
              <w:rPr>
                <w:sz w:val="22"/>
                <w:szCs w:val="22"/>
              </w:rPr>
            </w:pPr>
            <w:r w:rsidRPr="00264D5D">
              <w:rPr>
                <w:sz w:val="22"/>
                <w:szCs w:val="22"/>
              </w:rPr>
              <w:t>Т. 9</w:t>
            </w:r>
          </w:p>
        </w:tc>
      </w:tr>
    </w:tbl>
    <w:p w14:paraId="55B13AC0" w14:textId="77777777" w:rsidR="00AD1F54" w:rsidRPr="00264D5D" w:rsidRDefault="00941227">
      <w:pPr>
        <w:pStyle w:val="22"/>
        <w:rPr>
          <w:lang w:val="ru-RU"/>
        </w:rPr>
      </w:pPr>
      <w:r w:rsidRPr="00264D5D">
        <w:rPr>
          <w:rFonts w:cs="Courier New"/>
          <w:szCs w:val="22"/>
          <w:lang w:val="ru-RU"/>
        </w:rPr>
        <w:br w:type="page" w:clear="all"/>
      </w:r>
      <w:bookmarkStart w:id="4611" w:name="_Ref47551153"/>
      <w:bookmarkStart w:id="4612" w:name="_Toc51953099"/>
      <w:bookmarkStart w:id="4613" w:name="_Toc219309860"/>
      <w:r w:rsidRPr="00264D5D">
        <w:rPr>
          <w:lang w:val="ru-RU"/>
        </w:rPr>
        <w:lastRenderedPageBreak/>
        <w:t>Описание документа «Запрос на предоставление выписки из казначейского счета»</w:t>
      </w:r>
      <w:bookmarkEnd w:id="4611"/>
      <w:bookmarkEnd w:id="4612"/>
      <w:bookmarkEnd w:id="4613"/>
    </w:p>
    <w:p w14:paraId="0B27CBAB" w14:textId="77777777" w:rsidR="00AD1F54" w:rsidRPr="00264D5D" w:rsidRDefault="00941227">
      <w:pPr>
        <w:pStyle w:val="31"/>
      </w:pPr>
      <w:bookmarkStart w:id="4614" w:name="_Toc51953100"/>
      <w:bookmarkStart w:id="4615" w:name="_Toc219309861"/>
      <w:r w:rsidRPr="00264D5D">
        <w:t>Назначение и маршрут документа</w:t>
      </w:r>
      <w:bookmarkEnd w:id="4614"/>
      <w:bookmarkEnd w:id="4615"/>
    </w:p>
    <w:p w14:paraId="10BD1286" w14:textId="77777777" w:rsidR="00AD1F54" w:rsidRPr="00264D5D" w:rsidRDefault="00941227">
      <w:pPr>
        <w:pStyle w:val="OTRNormal"/>
        <w:keepNext/>
        <w:keepLines/>
        <w:contextualSpacing/>
        <w:rPr>
          <w:sz w:val="24"/>
          <w:szCs w:val="24"/>
        </w:rPr>
      </w:pPr>
      <w:r w:rsidRPr="00264D5D">
        <w:rPr>
          <w:sz w:val="24"/>
          <w:szCs w:val="24"/>
        </w:rPr>
        <w:t>Документ «Запрос на предоставление выписки из казначейского счета» предназначен для запроса владельцем КС ФО БС (МБ), ОУ ВБФ оперативного отчета «Выписка из казначейского счета».</w:t>
      </w:r>
    </w:p>
    <w:p w14:paraId="407C6962" w14:textId="6163135A" w:rsidR="00AD1F54" w:rsidRPr="00264D5D" w:rsidRDefault="00941227">
      <w:pPr>
        <w:pStyle w:val="GOSTNameTable"/>
        <w:numPr>
          <w:ilvl w:val="0"/>
          <w:numId w:val="2"/>
        </w:numPr>
        <w:ind w:left="425" w:hanging="357"/>
        <w:jc w:val="both"/>
      </w:pPr>
      <w:r w:rsidRPr="00264D5D">
        <w:fldChar w:fldCharType="begin"/>
      </w:r>
      <w:r w:rsidRPr="00264D5D">
        <w:instrText>SEQ Таблица \* ARABIC</w:instrText>
      </w:r>
      <w:r w:rsidRPr="00264D5D">
        <w:fldChar w:fldCharType="separate"/>
      </w:r>
      <w:bookmarkStart w:id="4616" w:name="_Toc219309396"/>
      <w:r w:rsidR="008D797C">
        <w:rPr>
          <w:noProof/>
        </w:rPr>
        <w:t>366</w:t>
      </w:r>
      <w:r w:rsidRPr="00264D5D">
        <w:fldChar w:fldCharType="end"/>
      </w:r>
      <w:r w:rsidRPr="00264D5D">
        <w:rPr>
          <w:rFonts w:eastAsia="Calibri"/>
          <w:szCs w:val="24"/>
        </w:rPr>
        <w:t xml:space="preserve"> –</w:t>
      </w:r>
      <w:r w:rsidRPr="00264D5D">
        <w:t xml:space="preserve"> Маршрут документа «</w:t>
      </w:r>
      <w:r w:rsidRPr="00264D5D">
        <w:rPr>
          <w:szCs w:val="24"/>
        </w:rPr>
        <w:t>Запрос на предоставление выписки из казначейского счета</w:t>
      </w:r>
      <w:r w:rsidRPr="00264D5D">
        <w:t>»</w:t>
      </w:r>
      <w:bookmarkEnd w:id="4616"/>
      <w:r w:rsidRPr="00264D5D">
        <w:t xml:space="preserve"> </w:t>
      </w:r>
    </w:p>
    <w:tbl>
      <w:tblPr>
        <w:tblStyle w:val="GOSTTable"/>
        <w:tblW w:w="5000" w:type="pct"/>
        <w:tblLook w:val="01E0" w:firstRow="1" w:lastRow="1" w:firstColumn="1" w:lastColumn="1" w:noHBand="0" w:noVBand="0"/>
      </w:tblPr>
      <w:tblGrid>
        <w:gridCol w:w="2558"/>
        <w:gridCol w:w="2555"/>
        <w:gridCol w:w="4537"/>
      </w:tblGrid>
      <w:tr w:rsidR="00AD1F54" w:rsidRPr="00264D5D" w14:paraId="6AA9259C"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325" w:type="pct"/>
          </w:tcPr>
          <w:p w14:paraId="7FE3B21C" w14:textId="77777777" w:rsidR="00AD1F54" w:rsidRPr="00264D5D" w:rsidRDefault="00941227">
            <w:pPr>
              <w:pStyle w:val="ASFKTableHead"/>
            </w:pPr>
            <w:r w:rsidRPr="00264D5D">
              <w:t>Отправитель</w:t>
            </w:r>
          </w:p>
        </w:tc>
        <w:tc>
          <w:tcPr>
            <w:tcW w:w="1324" w:type="pct"/>
          </w:tcPr>
          <w:p w14:paraId="5D34D062" w14:textId="77777777" w:rsidR="00AD1F54" w:rsidRPr="00264D5D" w:rsidRDefault="00941227">
            <w:pPr>
              <w:pStyle w:val="ASFKTableHead"/>
            </w:pPr>
            <w:r w:rsidRPr="00264D5D">
              <w:t>Получатель</w:t>
            </w:r>
          </w:p>
        </w:tc>
        <w:tc>
          <w:tcPr>
            <w:tcW w:w="2352" w:type="pct"/>
          </w:tcPr>
          <w:p w14:paraId="4E2B3550" w14:textId="77777777" w:rsidR="00AD1F54" w:rsidRPr="00264D5D" w:rsidRDefault="00941227">
            <w:pPr>
              <w:pStyle w:val="ASFKTableHead"/>
            </w:pPr>
            <w:r w:rsidRPr="00264D5D">
              <w:t>Примечание</w:t>
            </w:r>
          </w:p>
        </w:tc>
      </w:tr>
      <w:tr w:rsidR="00AD1F54" w:rsidRPr="00264D5D" w14:paraId="1258B7D1" w14:textId="77777777" w:rsidTr="00AD1F54">
        <w:trPr>
          <w:cnfStyle w:val="000000100000" w:firstRow="0" w:lastRow="0" w:firstColumn="0" w:lastColumn="0" w:oddVBand="0" w:evenVBand="0" w:oddHBand="1" w:evenHBand="0" w:firstRowFirstColumn="0" w:firstRowLastColumn="0" w:lastRowFirstColumn="0" w:lastRowLastColumn="0"/>
        </w:trPr>
        <w:tc>
          <w:tcPr>
            <w:tcW w:w="1325" w:type="pct"/>
          </w:tcPr>
          <w:p w14:paraId="7614D2EC" w14:textId="77777777" w:rsidR="00AD1F54" w:rsidRPr="00264D5D" w:rsidRDefault="00941227">
            <w:pPr>
              <w:pStyle w:val="GOSTTablenorm"/>
              <w:keepNext/>
              <w:keepLines/>
            </w:pPr>
            <w:r w:rsidRPr="00264D5D">
              <w:t>ФО/ОУ ВБФ</w:t>
            </w:r>
          </w:p>
        </w:tc>
        <w:tc>
          <w:tcPr>
            <w:tcW w:w="1324" w:type="pct"/>
          </w:tcPr>
          <w:p w14:paraId="17EC8E3D" w14:textId="77777777" w:rsidR="00AD1F54" w:rsidRPr="00264D5D" w:rsidRDefault="00941227">
            <w:pPr>
              <w:pStyle w:val="GOSTTablenorm"/>
              <w:keepNext/>
              <w:keepLines/>
            </w:pPr>
            <w:r w:rsidRPr="00264D5D">
              <w:t>ТОФК</w:t>
            </w:r>
          </w:p>
        </w:tc>
        <w:tc>
          <w:tcPr>
            <w:tcW w:w="2352" w:type="pct"/>
          </w:tcPr>
          <w:p w14:paraId="69198037" w14:textId="77777777" w:rsidR="00AD1F54" w:rsidRPr="00264D5D" w:rsidRDefault="00AD1F54">
            <w:pPr>
              <w:pStyle w:val="GOSTTablenorm"/>
              <w:keepNext/>
              <w:keepLines/>
            </w:pPr>
          </w:p>
        </w:tc>
      </w:tr>
    </w:tbl>
    <w:p w14:paraId="70908DBC" w14:textId="77777777" w:rsidR="00AD1F54" w:rsidRPr="00264D5D" w:rsidRDefault="00941227">
      <w:pPr>
        <w:pStyle w:val="31"/>
      </w:pPr>
      <w:bookmarkStart w:id="4617" w:name="_Ref47548245"/>
      <w:bookmarkStart w:id="4618" w:name="_Toc51953101"/>
      <w:bookmarkStart w:id="4619" w:name="_Toc219309862"/>
      <w:r w:rsidRPr="00264D5D">
        <w:t>Описание комплексного типа «</w:t>
      </w:r>
      <w:r w:rsidRPr="00264D5D">
        <w:rPr>
          <w:rStyle w:val="GOSTNormal0"/>
          <w:szCs w:val="24"/>
        </w:rPr>
        <w:t>tSKP_REQREP_KS</w:t>
      </w:r>
      <w:r w:rsidRPr="00264D5D">
        <w:t>»</w:t>
      </w:r>
      <w:bookmarkEnd w:id="4617"/>
      <w:bookmarkEnd w:id="4618"/>
      <w:bookmarkEnd w:id="4619"/>
      <w:r w:rsidRPr="00264D5D">
        <w:t xml:space="preserve"> </w:t>
      </w:r>
    </w:p>
    <w:p w14:paraId="749A6A11" w14:textId="0D828042" w:rsidR="00AD1F54" w:rsidRPr="00264D5D" w:rsidRDefault="001E5517">
      <w:pPr>
        <w:pStyle w:val="GOSTNameTable"/>
        <w:numPr>
          <w:ilvl w:val="0"/>
          <w:numId w:val="2"/>
        </w:numPr>
        <w:ind w:left="425" w:hanging="357"/>
        <w:jc w:val="both"/>
      </w:pPr>
      <w:r w:rsidRPr="00264D5D">
        <w:rPr>
          <w:noProof/>
        </w:rPr>
        <w:fldChar w:fldCharType="begin"/>
      </w:r>
      <w:r w:rsidRPr="00264D5D">
        <w:rPr>
          <w:noProof/>
        </w:rPr>
        <w:instrText xml:space="preserve"> SEQ Таблица \* ARABIC </w:instrText>
      </w:r>
      <w:r w:rsidRPr="00264D5D">
        <w:rPr>
          <w:noProof/>
        </w:rPr>
        <w:fldChar w:fldCharType="separate"/>
      </w:r>
      <w:bookmarkStart w:id="4620" w:name="_Ref47548289"/>
      <w:bookmarkStart w:id="4621" w:name="_Toc219309397"/>
      <w:r w:rsidR="008D797C">
        <w:rPr>
          <w:noProof/>
        </w:rPr>
        <w:t>367</w:t>
      </w:r>
      <w:bookmarkEnd w:id="4620"/>
      <w:r w:rsidRPr="00264D5D">
        <w:rPr>
          <w:noProof/>
        </w:rPr>
        <w:fldChar w:fldCharType="end"/>
      </w:r>
      <w:r w:rsidR="00941227" w:rsidRPr="00264D5D">
        <w:rPr>
          <w:rFonts w:eastAsia="Calibri"/>
          <w:szCs w:val="24"/>
        </w:rPr>
        <w:t xml:space="preserve"> –</w:t>
      </w:r>
      <w:r w:rsidR="00941227" w:rsidRPr="00264D5D">
        <w:t xml:space="preserve"> Описание комплексного типа «</w:t>
      </w:r>
      <w:r w:rsidR="00941227" w:rsidRPr="00264D5D">
        <w:rPr>
          <w:rStyle w:val="GOSTNormal0"/>
          <w:szCs w:val="24"/>
          <w:lang w:val="en-US"/>
        </w:rPr>
        <w:t>tSKP</w:t>
      </w:r>
      <w:r w:rsidR="00941227" w:rsidRPr="00264D5D">
        <w:rPr>
          <w:rStyle w:val="GOSTNormal0"/>
          <w:szCs w:val="24"/>
        </w:rPr>
        <w:t>_</w:t>
      </w:r>
      <w:r w:rsidR="00941227" w:rsidRPr="00264D5D">
        <w:rPr>
          <w:rStyle w:val="GOSTNormal0"/>
          <w:szCs w:val="24"/>
          <w:lang w:val="en-US"/>
        </w:rPr>
        <w:t>REQREP</w:t>
      </w:r>
      <w:r w:rsidR="00941227" w:rsidRPr="00264D5D">
        <w:rPr>
          <w:rStyle w:val="GOSTNormal0"/>
          <w:szCs w:val="24"/>
        </w:rPr>
        <w:t>_</w:t>
      </w:r>
      <w:r w:rsidR="00941227" w:rsidRPr="00264D5D">
        <w:rPr>
          <w:rStyle w:val="GOSTNormal0"/>
          <w:szCs w:val="24"/>
          <w:lang w:val="en-US"/>
        </w:rPr>
        <w:t>KS</w:t>
      </w:r>
      <w:r w:rsidR="00941227" w:rsidRPr="00264D5D">
        <w:t>»</w:t>
      </w:r>
      <w:bookmarkEnd w:id="4621"/>
    </w:p>
    <w:tbl>
      <w:tblPr>
        <w:tblStyle w:val="GOSTTable"/>
        <w:tblW w:w="5000" w:type="pct"/>
        <w:tblLayout w:type="fixed"/>
        <w:tblLook w:val="04A0" w:firstRow="1" w:lastRow="0" w:firstColumn="1" w:lastColumn="0" w:noHBand="0" w:noVBand="1"/>
      </w:tblPr>
      <w:tblGrid>
        <w:gridCol w:w="1702"/>
        <w:gridCol w:w="1704"/>
        <w:gridCol w:w="568"/>
        <w:gridCol w:w="1137"/>
        <w:gridCol w:w="568"/>
        <w:gridCol w:w="3971"/>
      </w:tblGrid>
      <w:tr w:rsidR="00AD1F54" w:rsidRPr="00264D5D" w14:paraId="7B0F7831"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1698" w:type="dxa"/>
          </w:tcPr>
          <w:p w14:paraId="62E40948" w14:textId="77777777" w:rsidR="00AD1F54" w:rsidRPr="00264D5D" w:rsidRDefault="00941227">
            <w:pPr>
              <w:pStyle w:val="ASFKTableHead"/>
            </w:pPr>
            <w:r w:rsidRPr="00264D5D">
              <w:t>Наименование элемента</w:t>
            </w:r>
          </w:p>
        </w:tc>
        <w:tc>
          <w:tcPr>
            <w:tcW w:w="1700" w:type="dxa"/>
          </w:tcPr>
          <w:p w14:paraId="6144F9C7" w14:textId="77777777" w:rsidR="00AD1F54" w:rsidRPr="00264D5D" w:rsidRDefault="00941227">
            <w:pPr>
              <w:pStyle w:val="ASFKTableHead"/>
            </w:pPr>
            <w:r w:rsidRPr="00264D5D">
              <w:t>Сокращенное наименование (код) элемента</w:t>
            </w:r>
          </w:p>
        </w:tc>
        <w:tc>
          <w:tcPr>
            <w:tcW w:w="567" w:type="dxa"/>
          </w:tcPr>
          <w:p w14:paraId="2E2F3357" w14:textId="77777777" w:rsidR="00AD1F54" w:rsidRPr="00264D5D" w:rsidRDefault="00941227">
            <w:pPr>
              <w:pStyle w:val="ASFKTableHead"/>
            </w:pPr>
            <w:r w:rsidRPr="00264D5D">
              <w:t>Тип</w:t>
            </w:r>
          </w:p>
        </w:tc>
        <w:tc>
          <w:tcPr>
            <w:tcW w:w="1134" w:type="dxa"/>
          </w:tcPr>
          <w:p w14:paraId="63D16798" w14:textId="77777777" w:rsidR="00AD1F54" w:rsidRPr="00264D5D" w:rsidRDefault="00941227">
            <w:pPr>
              <w:pStyle w:val="ASFKTableHead"/>
            </w:pPr>
            <w:r w:rsidRPr="00264D5D">
              <w:t>Формат элемента</w:t>
            </w:r>
          </w:p>
        </w:tc>
        <w:tc>
          <w:tcPr>
            <w:tcW w:w="567" w:type="dxa"/>
          </w:tcPr>
          <w:p w14:paraId="73802DFF" w14:textId="77777777" w:rsidR="00AD1F54" w:rsidRPr="00264D5D" w:rsidRDefault="00941227">
            <w:pPr>
              <w:pStyle w:val="ASFKTableHead"/>
            </w:pPr>
            <w:r w:rsidRPr="00264D5D">
              <w:t>Обязательность</w:t>
            </w:r>
          </w:p>
        </w:tc>
        <w:tc>
          <w:tcPr>
            <w:tcW w:w="3962" w:type="dxa"/>
          </w:tcPr>
          <w:p w14:paraId="1771928A" w14:textId="77777777" w:rsidR="00AD1F54" w:rsidRPr="00264D5D" w:rsidRDefault="00941227">
            <w:pPr>
              <w:pStyle w:val="ASFKTableHead"/>
            </w:pPr>
            <w:r w:rsidRPr="00264D5D">
              <w:t>Дополнительная информация</w:t>
            </w:r>
          </w:p>
        </w:tc>
      </w:tr>
      <w:tr w:rsidR="00AD1F54" w:rsidRPr="00264D5D" w14:paraId="3FC58FFD" w14:textId="77777777" w:rsidTr="00AD1F54">
        <w:trPr>
          <w:cnfStyle w:val="000000100000" w:firstRow="0" w:lastRow="0" w:firstColumn="0" w:lastColumn="0" w:oddVBand="0" w:evenVBand="0" w:oddHBand="1" w:evenHBand="0" w:firstRowFirstColumn="0" w:firstRowLastColumn="0" w:lastRowFirstColumn="0" w:lastRowLastColumn="0"/>
          <w:trHeight w:val="226"/>
        </w:trPr>
        <w:tc>
          <w:tcPr>
            <w:tcW w:w="1698" w:type="dxa"/>
          </w:tcPr>
          <w:p w14:paraId="1B82FB9F" w14:textId="77777777" w:rsidR="00AD1F54" w:rsidRPr="00264D5D" w:rsidRDefault="00941227">
            <w:pPr>
              <w:pStyle w:val="GOSTTablenorm"/>
              <w:widowControl w:val="0"/>
              <w:rPr>
                <w:szCs w:val="22"/>
              </w:rPr>
            </w:pPr>
            <w:r w:rsidRPr="00264D5D">
              <w:rPr>
                <w:szCs w:val="22"/>
              </w:rPr>
              <w:t>Версия структуры формуляра</w:t>
            </w:r>
          </w:p>
        </w:tc>
        <w:tc>
          <w:tcPr>
            <w:tcW w:w="1700" w:type="dxa"/>
          </w:tcPr>
          <w:p w14:paraId="0AFBB425" w14:textId="77777777" w:rsidR="00AD1F54" w:rsidRPr="00264D5D" w:rsidRDefault="00941227">
            <w:pPr>
              <w:pStyle w:val="GOSTTablenorm"/>
              <w:widowControl w:val="0"/>
              <w:rPr>
                <w:szCs w:val="22"/>
                <w:lang w:val="en-US"/>
              </w:rPr>
            </w:pPr>
            <w:r w:rsidRPr="00264D5D">
              <w:rPr>
                <w:szCs w:val="22"/>
                <w:lang w:val="en-US"/>
              </w:rPr>
              <w:t>v</w:t>
            </w:r>
            <w:r w:rsidRPr="00264D5D">
              <w:rPr>
                <w:szCs w:val="22"/>
              </w:rPr>
              <w:t>ersion</w:t>
            </w:r>
            <w:r w:rsidRPr="00264D5D">
              <w:rPr>
                <w:szCs w:val="22"/>
                <w:lang w:val="en-US"/>
              </w:rPr>
              <w:t>ID</w:t>
            </w:r>
          </w:p>
        </w:tc>
        <w:tc>
          <w:tcPr>
            <w:tcW w:w="567" w:type="dxa"/>
          </w:tcPr>
          <w:p w14:paraId="753A9773" w14:textId="77777777" w:rsidR="00AD1F54" w:rsidRPr="00264D5D" w:rsidRDefault="00941227">
            <w:pPr>
              <w:pStyle w:val="GOSTTablenorm"/>
              <w:widowControl w:val="0"/>
              <w:jc w:val="center"/>
              <w:rPr>
                <w:szCs w:val="22"/>
              </w:rPr>
            </w:pPr>
            <w:r w:rsidRPr="00264D5D">
              <w:rPr>
                <w:szCs w:val="22"/>
                <w:lang w:val="en-US"/>
              </w:rPr>
              <w:t>А</w:t>
            </w:r>
          </w:p>
        </w:tc>
        <w:tc>
          <w:tcPr>
            <w:tcW w:w="1134" w:type="dxa"/>
          </w:tcPr>
          <w:p w14:paraId="63D116D4" w14:textId="77777777" w:rsidR="00AD1F54" w:rsidRPr="00264D5D" w:rsidRDefault="00941227">
            <w:pPr>
              <w:pStyle w:val="GOSTTablenorm"/>
              <w:widowControl w:val="0"/>
              <w:rPr>
                <w:szCs w:val="22"/>
              </w:rPr>
            </w:pPr>
            <w:r w:rsidRPr="00264D5D">
              <w:rPr>
                <w:szCs w:val="22"/>
              </w:rPr>
              <w:t>-</w:t>
            </w:r>
          </w:p>
        </w:tc>
        <w:tc>
          <w:tcPr>
            <w:tcW w:w="567" w:type="dxa"/>
          </w:tcPr>
          <w:p w14:paraId="6765AD30" w14:textId="77777777" w:rsidR="00AD1F54" w:rsidRPr="00264D5D" w:rsidRDefault="00941227">
            <w:pPr>
              <w:pStyle w:val="GOSTTablenorm"/>
              <w:widowControl w:val="0"/>
              <w:jc w:val="center"/>
              <w:rPr>
                <w:szCs w:val="22"/>
              </w:rPr>
            </w:pPr>
            <w:r w:rsidRPr="00264D5D">
              <w:rPr>
                <w:szCs w:val="22"/>
              </w:rPr>
              <w:t>О</w:t>
            </w:r>
          </w:p>
        </w:tc>
        <w:tc>
          <w:tcPr>
            <w:tcW w:w="3962" w:type="dxa"/>
          </w:tcPr>
          <w:p w14:paraId="42B1F30A" w14:textId="3FD95009" w:rsidR="00AD1F54" w:rsidRPr="00264D5D" w:rsidRDefault="00941227">
            <w:pPr>
              <w:pStyle w:val="GOSTTablenorm"/>
              <w:widowControl w:val="0"/>
              <w:rPr>
                <w:szCs w:val="22"/>
              </w:rPr>
            </w:pPr>
            <w:r w:rsidRPr="00264D5D">
              <w:rPr>
                <w:szCs w:val="22"/>
              </w:rPr>
              <w:t xml:space="preserve">Указывается значение версии, соответствующее таблице </w:t>
            </w:r>
            <w:r w:rsidRPr="00264D5D">
              <w:rPr>
                <w:szCs w:val="22"/>
              </w:rPr>
              <w:fldChar w:fldCharType="begin"/>
            </w:r>
            <w:r w:rsidRPr="00264D5D">
              <w:rPr>
                <w:szCs w:val="22"/>
              </w:rPr>
              <w:instrText xml:space="preserve"> REF _Ref19881821 \h  \* MERGEFORMAT </w:instrText>
            </w:r>
            <w:r w:rsidRPr="00264D5D">
              <w:rPr>
                <w:szCs w:val="22"/>
              </w:rPr>
            </w:r>
            <w:r w:rsidRPr="00264D5D">
              <w:rPr>
                <w:szCs w:val="22"/>
              </w:rPr>
              <w:fldChar w:fldCharType="separate"/>
            </w:r>
            <w:r w:rsidR="008D797C" w:rsidRPr="008D797C">
              <w:rPr>
                <w:rFonts w:eastAsia="Calibri"/>
                <w:szCs w:val="22"/>
              </w:rPr>
              <w:t>2</w:t>
            </w:r>
            <w:r w:rsidRPr="00264D5D">
              <w:rPr>
                <w:szCs w:val="22"/>
              </w:rPr>
              <w:fldChar w:fldCharType="end"/>
            </w:r>
          </w:p>
        </w:tc>
      </w:tr>
      <w:tr w:rsidR="00AD1F54" w:rsidRPr="00264D5D" w14:paraId="223CE0EF" w14:textId="77777777" w:rsidTr="00AD1F54">
        <w:trPr>
          <w:cnfStyle w:val="000000010000" w:firstRow="0" w:lastRow="0" w:firstColumn="0" w:lastColumn="0" w:oddVBand="0" w:evenVBand="0" w:oddHBand="0" w:evenHBand="1" w:firstRowFirstColumn="0" w:firstRowLastColumn="0" w:lastRowFirstColumn="0" w:lastRowLastColumn="0"/>
          <w:trHeight w:val="226"/>
        </w:trPr>
        <w:tc>
          <w:tcPr>
            <w:tcW w:w="9628" w:type="dxa"/>
            <w:gridSpan w:val="6"/>
          </w:tcPr>
          <w:p w14:paraId="1931B015" w14:textId="77777777" w:rsidR="00AD1F54" w:rsidRPr="00264D5D" w:rsidRDefault="00941227">
            <w:pPr>
              <w:pStyle w:val="GOSTTablenorm"/>
              <w:widowControl w:val="0"/>
              <w:rPr>
                <w:szCs w:val="22"/>
              </w:rPr>
            </w:pPr>
            <w:r w:rsidRPr="00264D5D">
              <w:rPr>
                <w:b/>
                <w:szCs w:val="22"/>
              </w:rPr>
              <w:t>Параметры отчета</w:t>
            </w:r>
          </w:p>
        </w:tc>
      </w:tr>
      <w:tr w:rsidR="00AD1F54" w:rsidRPr="00264D5D" w14:paraId="08F4CF2C" w14:textId="77777777" w:rsidTr="00AD1F54">
        <w:trPr>
          <w:cnfStyle w:val="000000100000" w:firstRow="0" w:lastRow="0" w:firstColumn="0" w:lastColumn="0" w:oddVBand="0" w:evenVBand="0" w:oddHBand="1" w:evenHBand="0" w:firstRowFirstColumn="0" w:firstRowLastColumn="0" w:lastRowFirstColumn="0" w:lastRowLastColumn="0"/>
          <w:trHeight w:val="226"/>
        </w:trPr>
        <w:tc>
          <w:tcPr>
            <w:tcW w:w="1698" w:type="dxa"/>
          </w:tcPr>
          <w:p w14:paraId="148DF95C" w14:textId="77777777" w:rsidR="00AD1F54" w:rsidRPr="00264D5D" w:rsidRDefault="00941227">
            <w:pPr>
              <w:pStyle w:val="GOSTTablenorm"/>
              <w:widowControl w:val="0"/>
              <w:rPr>
                <w:szCs w:val="22"/>
              </w:rPr>
            </w:pPr>
            <w:r w:rsidRPr="00264D5D">
              <w:rPr>
                <w:szCs w:val="22"/>
              </w:rPr>
              <w:t>Номер Запроса</w:t>
            </w:r>
          </w:p>
        </w:tc>
        <w:tc>
          <w:tcPr>
            <w:tcW w:w="1700" w:type="dxa"/>
          </w:tcPr>
          <w:p w14:paraId="25A3EB4E" w14:textId="77777777" w:rsidR="00AD1F54" w:rsidRPr="00264D5D" w:rsidRDefault="00941227">
            <w:pPr>
              <w:pStyle w:val="GOSTTablenorm"/>
              <w:widowControl w:val="0"/>
              <w:rPr>
                <w:szCs w:val="22"/>
              </w:rPr>
            </w:pPr>
            <w:r w:rsidRPr="00264D5D">
              <w:rPr>
                <w:szCs w:val="22"/>
              </w:rPr>
              <w:t>TtlPrt_D</w:t>
            </w:r>
            <w:r w:rsidRPr="00264D5D">
              <w:rPr>
                <w:szCs w:val="22"/>
                <w:lang w:val="en-US"/>
              </w:rPr>
              <w:t>ocNum</w:t>
            </w:r>
          </w:p>
        </w:tc>
        <w:tc>
          <w:tcPr>
            <w:tcW w:w="567" w:type="dxa"/>
          </w:tcPr>
          <w:p w14:paraId="1C86E19C" w14:textId="77777777" w:rsidR="00AD1F54" w:rsidRPr="00264D5D" w:rsidRDefault="00941227">
            <w:pPr>
              <w:pStyle w:val="GOSTTablenorm"/>
              <w:widowControl w:val="0"/>
              <w:jc w:val="center"/>
              <w:rPr>
                <w:szCs w:val="22"/>
              </w:rPr>
            </w:pPr>
            <w:r w:rsidRPr="00264D5D">
              <w:rPr>
                <w:szCs w:val="22"/>
              </w:rPr>
              <w:t>П</w:t>
            </w:r>
          </w:p>
        </w:tc>
        <w:tc>
          <w:tcPr>
            <w:tcW w:w="1134" w:type="dxa"/>
          </w:tcPr>
          <w:p w14:paraId="7D89E214" w14:textId="77777777" w:rsidR="00AD1F54" w:rsidRPr="00264D5D" w:rsidRDefault="00941227">
            <w:pPr>
              <w:pStyle w:val="GOSTTablenorm"/>
              <w:widowControl w:val="0"/>
              <w:rPr>
                <w:szCs w:val="22"/>
              </w:rPr>
            </w:pPr>
            <w:r w:rsidRPr="00264D5D">
              <w:rPr>
                <w:szCs w:val="22"/>
              </w:rPr>
              <w:t>Т(</w:t>
            </w:r>
            <w:r w:rsidRPr="00264D5D">
              <w:rPr>
                <w:szCs w:val="22"/>
                <w:lang w:val="en-US"/>
              </w:rPr>
              <w:t>1-</w:t>
            </w:r>
            <w:r w:rsidRPr="00264D5D">
              <w:rPr>
                <w:szCs w:val="22"/>
              </w:rPr>
              <w:t>15)</w:t>
            </w:r>
          </w:p>
        </w:tc>
        <w:tc>
          <w:tcPr>
            <w:tcW w:w="567" w:type="dxa"/>
          </w:tcPr>
          <w:p w14:paraId="2DB31340" w14:textId="77777777" w:rsidR="00AD1F54" w:rsidRPr="00264D5D" w:rsidRDefault="00941227">
            <w:pPr>
              <w:widowControl w:val="0"/>
              <w:spacing w:before="60" w:after="60"/>
              <w:contextualSpacing/>
              <w:jc w:val="center"/>
              <w:rPr>
                <w:sz w:val="22"/>
                <w:szCs w:val="22"/>
              </w:rPr>
            </w:pPr>
            <w:r w:rsidRPr="00264D5D">
              <w:rPr>
                <w:sz w:val="22"/>
                <w:szCs w:val="22"/>
              </w:rPr>
              <w:t>О</w:t>
            </w:r>
          </w:p>
        </w:tc>
        <w:tc>
          <w:tcPr>
            <w:tcW w:w="3962" w:type="dxa"/>
          </w:tcPr>
          <w:p w14:paraId="49F64D00" w14:textId="77777777" w:rsidR="00AD1F54" w:rsidRPr="00264D5D" w:rsidRDefault="00941227">
            <w:pPr>
              <w:pStyle w:val="GOSTTablenorm"/>
              <w:widowControl w:val="0"/>
              <w:rPr>
                <w:szCs w:val="22"/>
              </w:rPr>
            </w:pPr>
            <w:r w:rsidRPr="00264D5D">
              <w:rPr>
                <w:szCs w:val="22"/>
              </w:rPr>
              <w:t>Указывается номер За</w:t>
            </w:r>
            <w:r w:rsidR="00E720ED" w:rsidRPr="00264D5D">
              <w:rPr>
                <w:szCs w:val="22"/>
              </w:rPr>
              <w:t>проса в течении дня</w:t>
            </w:r>
          </w:p>
        </w:tc>
      </w:tr>
      <w:tr w:rsidR="00AD1F54" w:rsidRPr="00264D5D" w14:paraId="214EF500" w14:textId="77777777" w:rsidTr="00AD1F54">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32BC7A1E" w14:textId="77777777" w:rsidR="00AD1F54" w:rsidRPr="00264D5D" w:rsidRDefault="00941227">
            <w:pPr>
              <w:pStyle w:val="GOSTTablenorm"/>
              <w:widowControl w:val="0"/>
              <w:rPr>
                <w:szCs w:val="22"/>
              </w:rPr>
            </w:pPr>
            <w:r w:rsidRPr="00264D5D">
              <w:rPr>
                <w:szCs w:val="22"/>
              </w:rPr>
              <w:t>Дата Запроса</w:t>
            </w:r>
          </w:p>
        </w:tc>
        <w:tc>
          <w:tcPr>
            <w:tcW w:w="1700" w:type="dxa"/>
          </w:tcPr>
          <w:p w14:paraId="03A58E0B" w14:textId="77777777" w:rsidR="00AD1F54" w:rsidRPr="00264D5D" w:rsidRDefault="00941227">
            <w:pPr>
              <w:pStyle w:val="GOSTTablenorm"/>
              <w:widowControl w:val="0"/>
              <w:rPr>
                <w:szCs w:val="22"/>
                <w:lang w:val="en-US"/>
              </w:rPr>
            </w:pPr>
            <w:r w:rsidRPr="00264D5D">
              <w:rPr>
                <w:szCs w:val="22"/>
              </w:rPr>
              <w:t>TtlPrt_D</w:t>
            </w:r>
            <w:r w:rsidRPr="00264D5D">
              <w:rPr>
                <w:szCs w:val="22"/>
                <w:lang w:val="en-US"/>
              </w:rPr>
              <w:t>oc</w:t>
            </w:r>
            <w:r w:rsidRPr="00264D5D">
              <w:rPr>
                <w:szCs w:val="22"/>
              </w:rPr>
              <w:t>D</w:t>
            </w:r>
            <w:r w:rsidRPr="00264D5D">
              <w:rPr>
                <w:szCs w:val="22"/>
                <w:lang w:val="en-US"/>
              </w:rPr>
              <w:t>a</w:t>
            </w:r>
            <w:r w:rsidRPr="00264D5D">
              <w:rPr>
                <w:szCs w:val="22"/>
              </w:rPr>
              <w:t>t</w:t>
            </w:r>
            <w:r w:rsidRPr="00264D5D">
              <w:rPr>
                <w:szCs w:val="22"/>
                <w:lang w:val="en-US"/>
              </w:rPr>
              <w:t>e</w:t>
            </w:r>
          </w:p>
        </w:tc>
        <w:tc>
          <w:tcPr>
            <w:tcW w:w="567" w:type="dxa"/>
          </w:tcPr>
          <w:p w14:paraId="0146F7DE" w14:textId="77777777" w:rsidR="00AD1F54" w:rsidRPr="00264D5D" w:rsidRDefault="00941227">
            <w:pPr>
              <w:pStyle w:val="GOSTTablenorm"/>
              <w:widowControl w:val="0"/>
              <w:jc w:val="center"/>
              <w:rPr>
                <w:szCs w:val="22"/>
              </w:rPr>
            </w:pPr>
            <w:r w:rsidRPr="00264D5D">
              <w:rPr>
                <w:szCs w:val="22"/>
              </w:rPr>
              <w:t>П</w:t>
            </w:r>
          </w:p>
        </w:tc>
        <w:tc>
          <w:tcPr>
            <w:tcW w:w="1134" w:type="dxa"/>
          </w:tcPr>
          <w:p w14:paraId="1A9FB826" w14:textId="77777777" w:rsidR="00AD1F54" w:rsidRPr="00264D5D" w:rsidRDefault="00941227">
            <w:pPr>
              <w:pStyle w:val="GOSTTablenorm"/>
              <w:widowControl w:val="0"/>
              <w:rPr>
                <w:szCs w:val="22"/>
              </w:rPr>
            </w:pPr>
            <w:r w:rsidRPr="00264D5D">
              <w:rPr>
                <w:szCs w:val="22"/>
              </w:rPr>
              <w:t>Date</w:t>
            </w:r>
          </w:p>
        </w:tc>
        <w:tc>
          <w:tcPr>
            <w:tcW w:w="567" w:type="dxa"/>
          </w:tcPr>
          <w:p w14:paraId="7C683BA1" w14:textId="77777777" w:rsidR="00AD1F54" w:rsidRPr="00264D5D" w:rsidRDefault="00941227">
            <w:pPr>
              <w:widowControl w:val="0"/>
              <w:spacing w:before="60" w:after="60"/>
              <w:contextualSpacing/>
              <w:jc w:val="center"/>
              <w:rPr>
                <w:sz w:val="22"/>
                <w:szCs w:val="22"/>
              </w:rPr>
            </w:pPr>
            <w:r w:rsidRPr="00264D5D">
              <w:rPr>
                <w:sz w:val="22"/>
                <w:szCs w:val="22"/>
              </w:rPr>
              <w:t>О</w:t>
            </w:r>
          </w:p>
        </w:tc>
        <w:tc>
          <w:tcPr>
            <w:tcW w:w="3962" w:type="dxa"/>
          </w:tcPr>
          <w:p w14:paraId="45C4932D" w14:textId="77777777" w:rsidR="00AD1F54" w:rsidRPr="00264D5D" w:rsidRDefault="00E720ED">
            <w:pPr>
              <w:pStyle w:val="GOSTTablenorm"/>
              <w:widowControl w:val="0"/>
              <w:rPr>
                <w:szCs w:val="22"/>
              </w:rPr>
            </w:pPr>
            <w:r w:rsidRPr="00264D5D">
              <w:rPr>
                <w:szCs w:val="22"/>
              </w:rPr>
              <w:t>Указывается дата Запроса</w:t>
            </w:r>
          </w:p>
        </w:tc>
      </w:tr>
      <w:tr w:rsidR="00AD1F54" w:rsidRPr="00264D5D" w14:paraId="6477E62B" w14:textId="77777777" w:rsidTr="00AD1F54">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6D19B7B2" w14:textId="77777777" w:rsidR="00AD1F54" w:rsidRPr="00264D5D" w:rsidRDefault="00941227">
            <w:pPr>
              <w:pStyle w:val="GOSTTablenorm"/>
              <w:widowControl w:val="0"/>
              <w:rPr>
                <w:szCs w:val="22"/>
              </w:rPr>
            </w:pPr>
            <w:r w:rsidRPr="00264D5D">
              <w:rPr>
                <w:szCs w:val="22"/>
              </w:rPr>
              <w:t>ТОФК</w:t>
            </w:r>
          </w:p>
        </w:tc>
        <w:tc>
          <w:tcPr>
            <w:tcW w:w="1700" w:type="dxa"/>
          </w:tcPr>
          <w:p w14:paraId="0EA9186F" w14:textId="77777777" w:rsidR="00AD1F54" w:rsidRPr="00264D5D" w:rsidRDefault="00941227">
            <w:pPr>
              <w:pStyle w:val="GOSTTablenorm"/>
              <w:widowControl w:val="0"/>
              <w:rPr>
                <w:szCs w:val="22"/>
                <w:lang w:val="en-US"/>
              </w:rPr>
            </w:pPr>
            <w:r w:rsidRPr="00264D5D">
              <w:rPr>
                <w:szCs w:val="22"/>
              </w:rPr>
              <w:t>TtlPrt_</w:t>
            </w:r>
            <w:r w:rsidRPr="00264D5D">
              <w:rPr>
                <w:szCs w:val="22"/>
                <w:lang w:val="en-US"/>
              </w:rPr>
              <w:t>TOFK</w:t>
            </w:r>
          </w:p>
        </w:tc>
        <w:tc>
          <w:tcPr>
            <w:tcW w:w="567" w:type="dxa"/>
          </w:tcPr>
          <w:p w14:paraId="081B1C0A" w14:textId="77777777" w:rsidR="00AD1F54" w:rsidRPr="00264D5D" w:rsidRDefault="00941227">
            <w:pPr>
              <w:pStyle w:val="GOSTTablenorm"/>
              <w:widowControl w:val="0"/>
              <w:jc w:val="center"/>
              <w:rPr>
                <w:szCs w:val="22"/>
              </w:rPr>
            </w:pPr>
            <w:r w:rsidRPr="00264D5D">
              <w:rPr>
                <w:szCs w:val="22"/>
              </w:rPr>
              <w:t>С</w:t>
            </w:r>
          </w:p>
        </w:tc>
        <w:tc>
          <w:tcPr>
            <w:tcW w:w="1134" w:type="dxa"/>
          </w:tcPr>
          <w:p w14:paraId="130F6A93" w14:textId="77777777" w:rsidR="00AD1F54" w:rsidRPr="00264D5D" w:rsidRDefault="00941227">
            <w:pPr>
              <w:pStyle w:val="GOSTTablenorm"/>
              <w:widowControl w:val="0"/>
              <w:rPr>
                <w:szCs w:val="22"/>
              </w:rPr>
            </w:pPr>
            <w:r w:rsidRPr="00264D5D">
              <w:rPr>
                <w:szCs w:val="22"/>
              </w:rPr>
              <w:t>tMSC_TOFK</w:t>
            </w:r>
          </w:p>
        </w:tc>
        <w:tc>
          <w:tcPr>
            <w:tcW w:w="567" w:type="dxa"/>
          </w:tcPr>
          <w:p w14:paraId="5178530E" w14:textId="77777777" w:rsidR="00AD1F54" w:rsidRPr="00264D5D" w:rsidRDefault="00941227">
            <w:pPr>
              <w:widowControl w:val="0"/>
              <w:spacing w:before="60" w:after="60"/>
              <w:contextualSpacing/>
              <w:jc w:val="center"/>
              <w:rPr>
                <w:sz w:val="22"/>
                <w:szCs w:val="22"/>
              </w:rPr>
            </w:pPr>
            <w:r w:rsidRPr="00264D5D">
              <w:rPr>
                <w:sz w:val="22"/>
                <w:szCs w:val="22"/>
              </w:rPr>
              <w:t>О</w:t>
            </w:r>
          </w:p>
        </w:tc>
        <w:tc>
          <w:tcPr>
            <w:tcW w:w="3962" w:type="dxa"/>
          </w:tcPr>
          <w:p w14:paraId="10172F22" w14:textId="5CF5D1BC" w:rsidR="00AD1F54" w:rsidRPr="00264D5D" w:rsidRDefault="00941227">
            <w:pPr>
              <w:pStyle w:val="GOSTTablenorm"/>
              <w:widowControl w:val="0"/>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_Ref47548312 \h  \* MERGEFORMAT </w:instrText>
            </w:r>
            <w:r w:rsidRPr="00264D5D">
              <w:rPr>
                <w:b/>
                <w:szCs w:val="22"/>
              </w:rPr>
            </w:r>
            <w:r w:rsidRPr="00264D5D">
              <w:rPr>
                <w:b/>
                <w:szCs w:val="22"/>
              </w:rPr>
              <w:fldChar w:fldCharType="separate"/>
            </w:r>
            <w:r w:rsidR="008D797C" w:rsidRPr="008D797C">
              <w:rPr>
                <w:b/>
                <w:szCs w:val="22"/>
              </w:rPr>
              <w:t>368</w:t>
            </w:r>
            <w:r w:rsidRPr="00264D5D">
              <w:rPr>
                <w:b/>
                <w:szCs w:val="22"/>
              </w:rPr>
              <w:fldChar w:fldCharType="end"/>
            </w:r>
          </w:p>
        </w:tc>
      </w:tr>
      <w:tr w:rsidR="00AD1F54" w:rsidRPr="00264D5D" w14:paraId="2F891343" w14:textId="77777777" w:rsidTr="00AD1F54">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66C5F003" w14:textId="77777777" w:rsidR="00AD1F54" w:rsidRPr="00264D5D" w:rsidRDefault="00941227">
            <w:pPr>
              <w:pStyle w:val="GOSTTablenorm"/>
              <w:widowControl w:val="0"/>
              <w:rPr>
                <w:i/>
                <w:szCs w:val="22"/>
              </w:rPr>
            </w:pPr>
            <w:r w:rsidRPr="00264D5D">
              <w:rPr>
                <w:rStyle w:val="GOSTSymItalic"/>
                <w:i w:val="0"/>
                <w:szCs w:val="22"/>
              </w:rPr>
              <w:t>Бюджет</w:t>
            </w:r>
          </w:p>
        </w:tc>
        <w:tc>
          <w:tcPr>
            <w:tcW w:w="1700" w:type="dxa"/>
          </w:tcPr>
          <w:p w14:paraId="52958E9C" w14:textId="77777777" w:rsidR="00AD1F54" w:rsidRPr="00264D5D" w:rsidRDefault="00941227">
            <w:pPr>
              <w:pStyle w:val="GOSTTablenorm"/>
              <w:widowControl w:val="0"/>
              <w:rPr>
                <w:szCs w:val="22"/>
              </w:rPr>
            </w:pPr>
            <w:r w:rsidRPr="00264D5D">
              <w:rPr>
                <w:szCs w:val="22"/>
              </w:rPr>
              <w:t>TtlPrt_</w:t>
            </w:r>
            <w:r w:rsidRPr="00264D5D">
              <w:rPr>
                <w:rFonts w:eastAsia="Calibri"/>
                <w:szCs w:val="22"/>
                <w:lang w:eastAsia="en-US"/>
              </w:rPr>
              <w:t>B</w:t>
            </w:r>
            <w:r w:rsidRPr="00264D5D">
              <w:rPr>
                <w:rFonts w:eastAsia="Calibri"/>
                <w:szCs w:val="22"/>
                <w:lang w:val="en-US" w:eastAsia="en-US"/>
              </w:rPr>
              <w:t>u</w:t>
            </w:r>
            <w:r w:rsidRPr="00264D5D">
              <w:rPr>
                <w:rFonts w:eastAsia="Calibri"/>
                <w:szCs w:val="22"/>
                <w:lang w:eastAsia="en-US"/>
              </w:rPr>
              <w:t>dg</w:t>
            </w:r>
            <w:r w:rsidRPr="00264D5D">
              <w:rPr>
                <w:rFonts w:eastAsia="Calibri"/>
                <w:szCs w:val="22"/>
                <w:lang w:val="en-US" w:eastAsia="en-US"/>
              </w:rPr>
              <w:t>e</w:t>
            </w:r>
            <w:r w:rsidRPr="00264D5D">
              <w:rPr>
                <w:rFonts w:eastAsia="Calibri"/>
                <w:szCs w:val="22"/>
                <w:lang w:eastAsia="en-US"/>
              </w:rPr>
              <w:t>t</w:t>
            </w:r>
          </w:p>
        </w:tc>
        <w:tc>
          <w:tcPr>
            <w:tcW w:w="567" w:type="dxa"/>
          </w:tcPr>
          <w:p w14:paraId="4E8CE99C" w14:textId="77777777" w:rsidR="00AD1F54" w:rsidRPr="00264D5D" w:rsidRDefault="00941227">
            <w:pPr>
              <w:pStyle w:val="GOSTTablenorm"/>
              <w:widowControl w:val="0"/>
              <w:jc w:val="center"/>
              <w:rPr>
                <w:szCs w:val="22"/>
              </w:rPr>
            </w:pPr>
            <w:r w:rsidRPr="00264D5D">
              <w:rPr>
                <w:szCs w:val="22"/>
              </w:rPr>
              <w:t>С</w:t>
            </w:r>
          </w:p>
        </w:tc>
        <w:tc>
          <w:tcPr>
            <w:tcW w:w="1134" w:type="dxa"/>
          </w:tcPr>
          <w:p w14:paraId="0EEAF7F1" w14:textId="77777777" w:rsidR="00AD1F54" w:rsidRPr="00264D5D" w:rsidRDefault="00941227">
            <w:pPr>
              <w:pStyle w:val="GOSTTablenorm"/>
              <w:widowControl w:val="0"/>
              <w:rPr>
                <w:szCs w:val="22"/>
              </w:rPr>
            </w:pPr>
            <w:r w:rsidRPr="00264D5D">
              <w:rPr>
                <w:rFonts w:eastAsia="Calibri"/>
                <w:szCs w:val="22"/>
                <w:lang w:eastAsia="en-US"/>
              </w:rPr>
              <w:t>tMSC_Bdgt4</w:t>
            </w:r>
          </w:p>
        </w:tc>
        <w:tc>
          <w:tcPr>
            <w:tcW w:w="567" w:type="dxa"/>
          </w:tcPr>
          <w:p w14:paraId="67368C19" w14:textId="77777777" w:rsidR="00AD1F54" w:rsidRPr="00264D5D" w:rsidRDefault="00941227">
            <w:pPr>
              <w:widowControl w:val="0"/>
              <w:spacing w:before="60" w:after="60"/>
              <w:contextualSpacing/>
              <w:jc w:val="center"/>
              <w:rPr>
                <w:sz w:val="22"/>
                <w:szCs w:val="22"/>
              </w:rPr>
            </w:pPr>
            <w:r w:rsidRPr="00264D5D">
              <w:rPr>
                <w:sz w:val="22"/>
                <w:szCs w:val="22"/>
              </w:rPr>
              <w:t>О</w:t>
            </w:r>
          </w:p>
        </w:tc>
        <w:tc>
          <w:tcPr>
            <w:tcW w:w="3962" w:type="dxa"/>
          </w:tcPr>
          <w:p w14:paraId="32A99A16" w14:textId="3DD3E547" w:rsidR="00AD1F54" w:rsidRPr="00264D5D" w:rsidRDefault="00941227">
            <w:pPr>
              <w:pStyle w:val="GOSTTablenorm"/>
              <w:widowControl w:val="0"/>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_Ref52108275 \h  \* MERGEFORMAT </w:instrText>
            </w:r>
            <w:r w:rsidRPr="00264D5D">
              <w:rPr>
                <w:b/>
                <w:szCs w:val="22"/>
              </w:rPr>
            </w:r>
            <w:r w:rsidRPr="00264D5D">
              <w:rPr>
                <w:b/>
                <w:szCs w:val="22"/>
              </w:rPr>
              <w:fldChar w:fldCharType="separate"/>
            </w:r>
            <w:r w:rsidR="008D797C" w:rsidRPr="008D797C">
              <w:rPr>
                <w:b/>
                <w:szCs w:val="22"/>
              </w:rPr>
              <w:t>369</w:t>
            </w:r>
            <w:r w:rsidRPr="00264D5D">
              <w:rPr>
                <w:b/>
                <w:szCs w:val="22"/>
              </w:rPr>
              <w:fldChar w:fldCharType="end"/>
            </w:r>
          </w:p>
        </w:tc>
      </w:tr>
      <w:tr w:rsidR="00AD1F54" w:rsidRPr="00264D5D" w14:paraId="4548B7CA" w14:textId="77777777" w:rsidTr="00AD1F54">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38B4BFF1" w14:textId="77777777" w:rsidR="00AD1F54" w:rsidRPr="00264D5D" w:rsidRDefault="00941227">
            <w:pPr>
              <w:pStyle w:val="GOSTTablenorm"/>
              <w:widowControl w:val="0"/>
              <w:rPr>
                <w:szCs w:val="22"/>
              </w:rPr>
            </w:pPr>
            <w:r w:rsidRPr="00264D5D">
              <w:rPr>
                <w:szCs w:val="22"/>
              </w:rPr>
              <w:t>Код клиента</w:t>
            </w:r>
          </w:p>
        </w:tc>
        <w:tc>
          <w:tcPr>
            <w:tcW w:w="1700" w:type="dxa"/>
          </w:tcPr>
          <w:p w14:paraId="093448C9" w14:textId="77777777" w:rsidR="00AD1F54" w:rsidRPr="00264D5D" w:rsidRDefault="00941227">
            <w:pPr>
              <w:pStyle w:val="GOSTTablenorm"/>
              <w:widowControl w:val="0"/>
              <w:rPr>
                <w:szCs w:val="22"/>
                <w:lang w:val="en-US"/>
              </w:rPr>
            </w:pPr>
            <w:r w:rsidRPr="00264D5D">
              <w:rPr>
                <w:szCs w:val="22"/>
              </w:rPr>
              <w:t>TtlPrt_</w:t>
            </w:r>
            <w:r w:rsidRPr="00264D5D">
              <w:rPr>
                <w:szCs w:val="22"/>
                <w:lang w:val="en-US"/>
              </w:rPr>
              <w:t>ClientCd</w:t>
            </w:r>
          </w:p>
        </w:tc>
        <w:tc>
          <w:tcPr>
            <w:tcW w:w="567" w:type="dxa"/>
          </w:tcPr>
          <w:p w14:paraId="35D8FE64" w14:textId="77777777" w:rsidR="00AD1F54" w:rsidRPr="00264D5D" w:rsidRDefault="00941227">
            <w:pPr>
              <w:pStyle w:val="GOSTTablenorm"/>
              <w:widowControl w:val="0"/>
              <w:jc w:val="center"/>
              <w:rPr>
                <w:szCs w:val="22"/>
              </w:rPr>
            </w:pPr>
            <w:r w:rsidRPr="00264D5D">
              <w:rPr>
                <w:szCs w:val="22"/>
              </w:rPr>
              <w:t>П</w:t>
            </w:r>
          </w:p>
        </w:tc>
        <w:tc>
          <w:tcPr>
            <w:tcW w:w="1134" w:type="dxa"/>
          </w:tcPr>
          <w:p w14:paraId="60A42515" w14:textId="77777777" w:rsidR="00AD1F54" w:rsidRPr="00264D5D" w:rsidRDefault="00941227">
            <w:pPr>
              <w:pStyle w:val="GOSTTablenorm"/>
              <w:widowControl w:val="0"/>
              <w:rPr>
                <w:szCs w:val="22"/>
              </w:rPr>
            </w:pPr>
            <w:r w:rsidRPr="00264D5D">
              <w:rPr>
                <w:szCs w:val="22"/>
              </w:rPr>
              <w:t>Т(1-8)</w:t>
            </w:r>
          </w:p>
        </w:tc>
        <w:tc>
          <w:tcPr>
            <w:tcW w:w="567" w:type="dxa"/>
          </w:tcPr>
          <w:p w14:paraId="142F7FE8" w14:textId="77777777" w:rsidR="00AD1F54" w:rsidRPr="00264D5D" w:rsidRDefault="00941227">
            <w:pPr>
              <w:widowControl w:val="0"/>
              <w:spacing w:before="60" w:after="60"/>
              <w:contextualSpacing/>
              <w:jc w:val="center"/>
              <w:rPr>
                <w:sz w:val="22"/>
                <w:szCs w:val="22"/>
              </w:rPr>
            </w:pPr>
            <w:r w:rsidRPr="00264D5D">
              <w:rPr>
                <w:sz w:val="22"/>
                <w:szCs w:val="22"/>
              </w:rPr>
              <w:t>О</w:t>
            </w:r>
          </w:p>
        </w:tc>
        <w:tc>
          <w:tcPr>
            <w:tcW w:w="3962" w:type="dxa"/>
          </w:tcPr>
          <w:p w14:paraId="7D4AA29F" w14:textId="77777777" w:rsidR="00AD1F54" w:rsidRPr="00264D5D" w:rsidRDefault="00941227">
            <w:pPr>
              <w:pStyle w:val="GOSTTablenorm"/>
              <w:widowControl w:val="0"/>
              <w:rPr>
                <w:szCs w:val="22"/>
              </w:rPr>
            </w:pPr>
            <w:r w:rsidRPr="00264D5D">
              <w:rPr>
                <w:szCs w:val="22"/>
              </w:rPr>
              <w:t xml:space="preserve">Указывается код клиента по Сводному реестру. </w:t>
            </w:r>
          </w:p>
          <w:p w14:paraId="334DA892" w14:textId="77777777" w:rsidR="00AD1F54" w:rsidRPr="00264D5D" w:rsidRDefault="00941227">
            <w:pPr>
              <w:pStyle w:val="GOSTTablenorm"/>
              <w:widowControl w:val="0"/>
              <w:rPr>
                <w:szCs w:val="22"/>
              </w:rPr>
            </w:pPr>
            <w:r w:rsidRPr="00264D5D">
              <w:rPr>
                <w:szCs w:val="22"/>
              </w:rPr>
              <w:t>Заполняется в соответствии со справочником СРРПБ, ПУБП</w:t>
            </w:r>
            <w:r w:rsidR="00E720ED" w:rsidRPr="00264D5D">
              <w:rPr>
                <w:szCs w:val="22"/>
              </w:rPr>
              <w:t>, НУБП вручную или путем выбора</w:t>
            </w:r>
          </w:p>
        </w:tc>
      </w:tr>
      <w:tr w:rsidR="00AD1F54" w:rsidRPr="00264D5D" w14:paraId="117BA03F" w14:textId="77777777" w:rsidTr="00AD1F54">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11BF968E" w14:textId="77777777" w:rsidR="00AD1F54" w:rsidRPr="00264D5D" w:rsidRDefault="00941227">
            <w:pPr>
              <w:pStyle w:val="GOSTTablenorm"/>
              <w:widowControl w:val="0"/>
              <w:rPr>
                <w:szCs w:val="22"/>
              </w:rPr>
            </w:pPr>
            <w:r w:rsidRPr="00264D5D">
              <w:rPr>
                <w:szCs w:val="22"/>
              </w:rPr>
              <w:t>Полное наименование клиента</w:t>
            </w:r>
          </w:p>
        </w:tc>
        <w:tc>
          <w:tcPr>
            <w:tcW w:w="1700" w:type="dxa"/>
          </w:tcPr>
          <w:p w14:paraId="7DFF74B6" w14:textId="77777777" w:rsidR="00AD1F54" w:rsidRPr="00264D5D" w:rsidRDefault="00941227">
            <w:pPr>
              <w:pStyle w:val="GOSTTablenorm"/>
              <w:widowControl w:val="0"/>
              <w:rPr>
                <w:szCs w:val="22"/>
              </w:rPr>
            </w:pPr>
            <w:r w:rsidRPr="00264D5D">
              <w:rPr>
                <w:szCs w:val="22"/>
              </w:rPr>
              <w:t>TtlPrt_</w:t>
            </w:r>
            <w:r w:rsidRPr="00264D5D">
              <w:rPr>
                <w:szCs w:val="22"/>
                <w:lang w:val="en-US"/>
              </w:rPr>
              <w:t>ClientNm</w:t>
            </w:r>
          </w:p>
        </w:tc>
        <w:tc>
          <w:tcPr>
            <w:tcW w:w="567" w:type="dxa"/>
          </w:tcPr>
          <w:p w14:paraId="4C2D73FC" w14:textId="77777777" w:rsidR="00AD1F54" w:rsidRPr="00264D5D" w:rsidRDefault="00941227">
            <w:pPr>
              <w:pStyle w:val="GOSTTablenorm"/>
              <w:widowControl w:val="0"/>
              <w:jc w:val="center"/>
              <w:rPr>
                <w:szCs w:val="22"/>
              </w:rPr>
            </w:pPr>
            <w:r w:rsidRPr="00264D5D">
              <w:rPr>
                <w:szCs w:val="22"/>
              </w:rPr>
              <w:t>П</w:t>
            </w:r>
          </w:p>
        </w:tc>
        <w:tc>
          <w:tcPr>
            <w:tcW w:w="1134" w:type="dxa"/>
          </w:tcPr>
          <w:p w14:paraId="06C76CC8" w14:textId="77777777" w:rsidR="00AD1F54" w:rsidRPr="00264D5D" w:rsidRDefault="00941227">
            <w:pPr>
              <w:pStyle w:val="GOSTTablenorm"/>
              <w:widowControl w:val="0"/>
              <w:rPr>
                <w:szCs w:val="22"/>
              </w:rPr>
            </w:pPr>
            <w:r w:rsidRPr="00264D5D">
              <w:rPr>
                <w:szCs w:val="22"/>
              </w:rPr>
              <w:t>Т(</w:t>
            </w:r>
            <w:r w:rsidRPr="00264D5D">
              <w:rPr>
                <w:szCs w:val="22"/>
                <w:lang w:val="en-US"/>
              </w:rPr>
              <w:t>1-</w:t>
            </w:r>
            <w:r w:rsidRPr="00264D5D">
              <w:rPr>
                <w:szCs w:val="22"/>
              </w:rPr>
              <w:t>2000)</w:t>
            </w:r>
          </w:p>
        </w:tc>
        <w:tc>
          <w:tcPr>
            <w:tcW w:w="567" w:type="dxa"/>
          </w:tcPr>
          <w:p w14:paraId="2BA4ED27" w14:textId="77777777" w:rsidR="00AD1F54" w:rsidRPr="00264D5D" w:rsidRDefault="00941227">
            <w:pPr>
              <w:widowControl w:val="0"/>
              <w:spacing w:before="60" w:after="60"/>
              <w:contextualSpacing/>
              <w:jc w:val="center"/>
              <w:rPr>
                <w:sz w:val="22"/>
                <w:szCs w:val="22"/>
              </w:rPr>
            </w:pPr>
            <w:r w:rsidRPr="00264D5D">
              <w:rPr>
                <w:sz w:val="22"/>
                <w:szCs w:val="22"/>
              </w:rPr>
              <w:t>О</w:t>
            </w:r>
          </w:p>
        </w:tc>
        <w:tc>
          <w:tcPr>
            <w:tcW w:w="3962" w:type="dxa"/>
          </w:tcPr>
          <w:p w14:paraId="712AC95B" w14:textId="77777777" w:rsidR="00AD1F54" w:rsidRPr="00264D5D" w:rsidRDefault="00941227">
            <w:pPr>
              <w:pStyle w:val="GOSTTablenorm"/>
              <w:widowControl w:val="0"/>
              <w:rPr>
                <w:szCs w:val="22"/>
              </w:rPr>
            </w:pPr>
            <w:r w:rsidRPr="00264D5D">
              <w:rPr>
                <w:szCs w:val="22"/>
              </w:rPr>
              <w:t>Указывае</w:t>
            </w:r>
            <w:r w:rsidR="00E720ED" w:rsidRPr="00264D5D">
              <w:rPr>
                <w:szCs w:val="22"/>
              </w:rPr>
              <w:t>тся полное наименование клиента</w:t>
            </w:r>
          </w:p>
        </w:tc>
      </w:tr>
      <w:tr w:rsidR="00AD1F54" w:rsidRPr="00264D5D" w14:paraId="6EF46147" w14:textId="77777777" w:rsidTr="00AD1F54">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4EBF51D9" w14:textId="77777777" w:rsidR="00AD1F54" w:rsidRPr="00264D5D" w:rsidRDefault="00941227">
            <w:pPr>
              <w:pStyle w:val="GOSTTablenorm"/>
              <w:widowControl w:val="0"/>
              <w:rPr>
                <w:szCs w:val="22"/>
              </w:rPr>
            </w:pPr>
            <w:r w:rsidRPr="00264D5D">
              <w:rPr>
                <w:szCs w:val="22"/>
              </w:rPr>
              <w:t>ИНН клиента</w:t>
            </w:r>
          </w:p>
        </w:tc>
        <w:tc>
          <w:tcPr>
            <w:tcW w:w="1700" w:type="dxa"/>
          </w:tcPr>
          <w:p w14:paraId="1CB3DE2E" w14:textId="77777777" w:rsidR="00AD1F54" w:rsidRPr="00264D5D" w:rsidRDefault="00941227">
            <w:pPr>
              <w:pStyle w:val="GOSTTablenorm"/>
              <w:widowControl w:val="0"/>
              <w:rPr>
                <w:szCs w:val="22"/>
              </w:rPr>
            </w:pPr>
            <w:r w:rsidRPr="00264D5D">
              <w:rPr>
                <w:szCs w:val="22"/>
              </w:rPr>
              <w:t>TtlPrt_</w:t>
            </w:r>
            <w:r w:rsidRPr="00264D5D">
              <w:rPr>
                <w:szCs w:val="22"/>
                <w:lang w:val="en-US"/>
              </w:rPr>
              <w:t>ClientINN</w:t>
            </w:r>
          </w:p>
        </w:tc>
        <w:tc>
          <w:tcPr>
            <w:tcW w:w="567" w:type="dxa"/>
          </w:tcPr>
          <w:p w14:paraId="3B5F5737" w14:textId="77777777" w:rsidR="00AD1F54" w:rsidRPr="00264D5D" w:rsidRDefault="00941227">
            <w:pPr>
              <w:pStyle w:val="GOSTTablenorm"/>
              <w:widowControl w:val="0"/>
              <w:jc w:val="center"/>
              <w:rPr>
                <w:szCs w:val="22"/>
              </w:rPr>
            </w:pPr>
            <w:r w:rsidRPr="00264D5D">
              <w:rPr>
                <w:szCs w:val="22"/>
              </w:rPr>
              <w:t>П</w:t>
            </w:r>
          </w:p>
        </w:tc>
        <w:tc>
          <w:tcPr>
            <w:tcW w:w="1134" w:type="dxa"/>
          </w:tcPr>
          <w:p w14:paraId="53A19DEA" w14:textId="77777777" w:rsidR="00AD1F54" w:rsidRPr="00264D5D" w:rsidRDefault="00941227">
            <w:pPr>
              <w:pStyle w:val="GOSTTablenorm"/>
              <w:widowControl w:val="0"/>
              <w:rPr>
                <w:szCs w:val="22"/>
              </w:rPr>
            </w:pPr>
            <w:r w:rsidRPr="00264D5D">
              <w:rPr>
                <w:szCs w:val="22"/>
              </w:rPr>
              <w:t>Т(1</w:t>
            </w:r>
            <w:r w:rsidRPr="00264D5D">
              <w:rPr>
                <w:szCs w:val="22"/>
                <w:lang w:val="en-US"/>
              </w:rPr>
              <w:t>0</w:t>
            </w:r>
            <w:r w:rsidRPr="00264D5D">
              <w:rPr>
                <w:szCs w:val="22"/>
              </w:rPr>
              <w:t>) или Т(12)</w:t>
            </w:r>
          </w:p>
        </w:tc>
        <w:tc>
          <w:tcPr>
            <w:tcW w:w="567" w:type="dxa"/>
          </w:tcPr>
          <w:p w14:paraId="7A33F80A" w14:textId="77777777" w:rsidR="00AD1F54" w:rsidRPr="00264D5D" w:rsidRDefault="00941227">
            <w:pPr>
              <w:widowControl w:val="0"/>
              <w:spacing w:before="60" w:after="60"/>
              <w:contextualSpacing/>
              <w:jc w:val="center"/>
              <w:rPr>
                <w:sz w:val="22"/>
                <w:szCs w:val="22"/>
              </w:rPr>
            </w:pPr>
            <w:r w:rsidRPr="00264D5D">
              <w:rPr>
                <w:sz w:val="22"/>
                <w:szCs w:val="22"/>
              </w:rPr>
              <w:t>О</w:t>
            </w:r>
          </w:p>
        </w:tc>
        <w:tc>
          <w:tcPr>
            <w:tcW w:w="3962" w:type="dxa"/>
          </w:tcPr>
          <w:p w14:paraId="36BF9643" w14:textId="77777777" w:rsidR="00AD1F54" w:rsidRPr="00264D5D" w:rsidRDefault="00E720ED">
            <w:pPr>
              <w:pStyle w:val="GOSTTablenorm"/>
              <w:widowControl w:val="0"/>
              <w:rPr>
                <w:szCs w:val="22"/>
              </w:rPr>
            </w:pPr>
            <w:r w:rsidRPr="00264D5D">
              <w:rPr>
                <w:szCs w:val="22"/>
              </w:rPr>
              <w:t>Указывается ИНН клиента</w:t>
            </w:r>
          </w:p>
        </w:tc>
      </w:tr>
      <w:tr w:rsidR="00AD1F54" w:rsidRPr="00264D5D" w14:paraId="5F58D7EA" w14:textId="77777777" w:rsidTr="00AD1F54">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3044D1F0" w14:textId="77777777" w:rsidR="00AD1F54" w:rsidRPr="00264D5D" w:rsidRDefault="00941227">
            <w:pPr>
              <w:pStyle w:val="GOSTTablenorm"/>
              <w:widowControl w:val="0"/>
              <w:rPr>
                <w:szCs w:val="22"/>
              </w:rPr>
            </w:pPr>
            <w:r w:rsidRPr="00264D5D">
              <w:rPr>
                <w:szCs w:val="22"/>
              </w:rPr>
              <w:t>КПП клиента</w:t>
            </w:r>
          </w:p>
        </w:tc>
        <w:tc>
          <w:tcPr>
            <w:tcW w:w="1700" w:type="dxa"/>
          </w:tcPr>
          <w:p w14:paraId="5B36A274" w14:textId="77777777" w:rsidR="00AD1F54" w:rsidRPr="00264D5D" w:rsidRDefault="00941227">
            <w:pPr>
              <w:pStyle w:val="GOSTTablenorm"/>
              <w:widowControl w:val="0"/>
              <w:rPr>
                <w:szCs w:val="22"/>
              </w:rPr>
            </w:pPr>
            <w:r w:rsidRPr="00264D5D">
              <w:rPr>
                <w:szCs w:val="22"/>
              </w:rPr>
              <w:t>TtlPrt_</w:t>
            </w:r>
            <w:r w:rsidRPr="00264D5D">
              <w:rPr>
                <w:szCs w:val="22"/>
                <w:lang w:val="en-US"/>
              </w:rPr>
              <w:t>ClientKPP</w:t>
            </w:r>
          </w:p>
        </w:tc>
        <w:tc>
          <w:tcPr>
            <w:tcW w:w="567" w:type="dxa"/>
          </w:tcPr>
          <w:p w14:paraId="5A0313CE" w14:textId="77777777" w:rsidR="00AD1F54" w:rsidRPr="00264D5D" w:rsidRDefault="00941227">
            <w:pPr>
              <w:pStyle w:val="GOSTTablenorm"/>
              <w:widowControl w:val="0"/>
              <w:jc w:val="center"/>
              <w:rPr>
                <w:szCs w:val="22"/>
              </w:rPr>
            </w:pPr>
            <w:r w:rsidRPr="00264D5D">
              <w:rPr>
                <w:szCs w:val="22"/>
              </w:rPr>
              <w:t>П</w:t>
            </w:r>
          </w:p>
        </w:tc>
        <w:tc>
          <w:tcPr>
            <w:tcW w:w="1134" w:type="dxa"/>
          </w:tcPr>
          <w:p w14:paraId="431BB39B" w14:textId="77777777" w:rsidR="00AD1F54" w:rsidRPr="00264D5D" w:rsidRDefault="00941227">
            <w:pPr>
              <w:pStyle w:val="GOSTTablenorm"/>
              <w:widowControl w:val="0"/>
              <w:rPr>
                <w:szCs w:val="22"/>
              </w:rPr>
            </w:pPr>
            <w:r w:rsidRPr="00264D5D">
              <w:rPr>
                <w:szCs w:val="22"/>
              </w:rPr>
              <w:t>Т(9)</w:t>
            </w:r>
          </w:p>
        </w:tc>
        <w:tc>
          <w:tcPr>
            <w:tcW w:w="567" w:type="dxa"/>
          </w:tcPr>
          <w:p w14:paraId="18C61F1F" w14:textId="77777777" w:rsidR="00AD1F54" w:rsidRPr="00264D5D" w:rsidRDefault="00941227">
            <w:pPr>
              <w:widowControl w:val="0"/>
              <w:spacing w:before="60" w:after="60"/>
              <w:contextualSpacing/>
              <w:jc w:val="center"/>
              <w:rPr>
                <w:sz w:val="22"/>
                <w:szCs w:val="22"/>
              </w:rPr>
            </w:pPr>
            <w:r w:rsidRPr="00264D5D">
              <w:rPr>
                <w:sz w:val="22"/>
                <w:szCs w:val="22"/>
              </w:rPr>
              <w:t>О</w:t>
            </w:r>
          </w:p>
        </w:tc>
        <w:tc>
          <w:tcPr>
            <w:tcW w:w="3962" w:type="dxa"/>
          </w:tcPr>
          <w:p w14:paraId="03A4ABA0" w14:textId="77777777" w:rsidR="00AD1F54" w:rsidRPr="00264D5D" w:rsidRDefault="00E720ED">
            <w:pPr>
              <w:pStyle w:val="GOSTTablenorm"/>
              <w:widowControl w:val="0"/>
              <w:rPr>
                <w:szCs w:val="22"/>
              </w:rPr>
            </w:pPr>
            <w:r w:rsidRPr="00264D5D">
              <w:rPr>
                <w:szCs w:val="22"/>
              </w:rPr>
              <w:t>Указывается КПП клиента</w:t>
            </w:r>
          </w:p>
        </w:tc>
      </w:tr>
      <w:tr w:rsidR="00AD1F54" w:rsidRPr="00264D5D" w14:paraId="53ED8B5F" w14:textId="77777777" w:rsidTr="00AD1F54">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6E600E16" w14:textId="77777777" w:rsidR="00AD1F54" w:rsidRPr="00264D5D" w:rsidRDefault="00941227">
            <w:pPr>
              <w:pStyle w:val="GOSTTablenorm"/>
              <w:widowControl w:val="0"/>
              <w:rPr>
                <w:szCs w:val="22"/>
              </w:rPr>
            </w:pPr>
            <w:r w:rsidRPr="00264D5D">
              <w:rPr>
                <w:szCs w:val="22"/>
              </w:rPr>
              <w:lastRenderedPageBreak/>
              <w:t>Номер казначейского счета</w:t>
            </w:r>
          </w:p>
        </w:tc>
        <w:tc>
          <w:tcPr>
            <w:tcW w:w="1700" w:type="dxa"/>
          </w:tcPr>
          <w:p w14:paraId="76095946" w14:textId="77777777" w:rsidR="00AD1F54" w:rsidRPr="00264D5D" w:rsidRDefault="00941227">
            <w:pPr>
              <w:pStyle w:val="GOSTTablenorm"/>
              <w:widowControl w:val="0"/>
              <w:rPr>
                <w:szCs w:val="22"/>
              </w:rPr>
            </w:pPr>
            <w:r w:rsidRPr="00264D5D">
              <w:rPr>
                <w:szCs w:val="22"/>
              </w:rPr>
              <w:t>TtlPrt_</w:t>
            </w:r>
            <w:r w:rsidRPr="00264D5D">
              <w:rPr>
                <w:szCs w:val="22"/>
                <w:lang w:val="en-US"/>
              </w:rPr>
              <w:t>TR</w:t>
            </w:r>
            <w:r w:rsidRPr="00264D5D">
              <w:rPr>
                <w:szCs w:val="22"/>
              </w:rPr>
              <w:t>_</w:t>
            </w:r>
            <w:r w:rsidRPr="00264D5D">
              <w:rPr>
                <w:szCs w:val="22"/>
                <w:lang w:val="en-US"/>
              </w:rPr>
              <w:t>A</w:t>
            </w:r>
            <w:r w:rsidRPr="00264D5D">
              <w:rPr>
                <w:szCs w:val="22"/>
              </w:rPr>
              <w:t>ccNum</w:t>
            </w:r>
          </w:p>
        </w:tc>
        <w:tc>
          <w:tcPr>
            <w:tcW w:w="567" w:type="dxa"/>
          </w:tcPr>
          <w:p w14:paraId="5FB2D939" w14:textId="77777777" w:rsidR="00AD1F54" w:rsidRPr="00264D5D" w:rsidRDefault="00941227">
            <w:pPr>
              <w:pStyle w:val="GOSTTablenorm"/>
              <w:widowControl w:val="0"/>
              <w:jc w:val="center"/>
              <w:rPr>
                <w:szCs w:val="22"/>
              </w:rPr>
            </w:pPr>
            <w:r w:rsidRPr="00264D5D">
              <w:rPr>
                <w:szCs w:val="22"/>
              </w:rPr>
              <w:t>П</w:t>
            </w:r>
          </w:p>
        </w:tc>
        <w:tc>
          <w:tcPr>
            <w:tcW w:w="1134" w:type="dxa"/>
          </w:tcPr>
          <w:p w14:paraId="6B445737" w14:textId="77777777" w:rsidR="00AD1F54" w:rsidRPr="00264D5D" w:rsidRDefault="00941227">
            <w:pPr>
              <w:pStyle w:val="GOSTTablenorm"/>
              <w:widowControl w:val="0"/>
              <w:rPr>
                <w:szCs w:val="22"/>
              </w:rPr>
            </w:pPr>
            <w:r w:rsidRPr="00264D5D">
              <w:rPr>
                <w:szCs w:val="22"/>
              </w:rPr>
              <w:t>Т(</w:t>
            </w:r>
            <w:r w:rsidRPr="00264D5D">
              <w:rPr>
                <w:szCs w:val="22"/>
                <w:lang w:val="en-US"/>
              </w:rPr>
              <w:t>20</w:t>
            </w:r>
            <w:r w:rsidRPr="00264D5D">
              <w:rPr>
                <w:szCs w:val="22"/>
              </w:rPr>
              <w:t>)</w:t>
            </w:r>
          </w:p>
        </w:tc>
        <w:tc>
          <w:tcPr>
            <w:tcW w:w="567" w:type="dxa"/>
          </w:tcPr>
          <w:p w14:paraId="37D2CE52" w14:textId="77777777" w:rsidR="00AD1F54" w:rsidRPr="00264D5D" w:rsidRDefault="00941227">
            <w:pPr>
              <w:widowControl w:val="0"/>
              <w:spacing w:before="60" w:after="60"/>
              <w:contextualSpacing/>
              <w:jc w:val="center"/>
              <w:rPr>
                <w:sz w:val="22"/>
                <w:szCs w:val="22"/>
              </w:rPr>
            </w:pPr>
            <w:r w:rsidRPr="00264D5D">
              <w:rPr>
                <w:sz w:val="22"/>
                <w:szCs w:val="22"/>
              </w:rPr>
              <w:t>О</w:t>
            </w:r>
          </w:p>
        </w:tc>
        <w:tc>
          <w:tcPr>
            <w:tcW w:w="3962" w:type="dxa"/>
          </w:tcPr>
          <w:p w14:paraId="2D41E4A6" w14:textId="77777777" w:rsidR="00AD1F54" w:rsidRPr="00264D5D" w:rsidRDefault="00941227">
            <w:pPr>
              <w:pStyle w:val="GOSTTablenorm"/>
              <w:widowControl w:val="0"/>
              <w:rPr>
                <w:szCs w:val="22"/>
              </w:rPr>
            </w:pPr>
            <w:r w:rsidRPr="00264D5D">
              <w:rPr>
                <w:szCs w:val="22"/>
              </w:rPr>
              <w:t>Указыв</w:t>
            </w:r>
            <w:r w:rsidR="00E720ED" w:rsidRPr="00264D5D">
              <w:rPr>
                <w:szCs w:val="22"/>
              </w:rPr>
              <w:t>ается номер казначейского счета</w:t>
            </w:r>
          </w:p>
        </w:tc>
      </w:tr>
      <w:tr w:rsidR="00AD1F54" w:rsidRPr="00264D5D" w14:paraId="73B82AF8" w14:textId="77777777" w:rsidTr="00AD1F54">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5B0897E6" w14:textId="77777777" w:rsidR="00AD1F54" w:rsidRPr="00264D5D" w:rsidRDefault="00941227">
            <w:pPr>
              <w:pStyle w:val="GOSTTablenorm"/>
              <w:widowControl w:val="0"/>
              <w:rPr>
                <w:szCs w:val="22"/>
              </w:rPr>
            </w:pPr>
            <w:r w:rsidRPr="00264D5D">
              <w:rPr>
                <w:b/>
                <w:szCs w:val="22"/>
              </w:rPr>
              <w:t>Информация запрашиваемого документа</w:t>
            </w:r>
          </w:p>
        </w:tc>
      </w:tr>
      <w:tr w:rsidR="00AD1F54" w:rsidRPr="00264D5D" w14:paraId="4A1C416D" w14:textId="77777777" w:rsidTr="00AD1F54">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7B5552D1" w14:textId="77777777" w:rsidR="00AD1F54" w:rsidRPr="00264D5D" w:rsidRDefault="00941227">
            <w:pPr>
              <w:pStyle w:val="GOSTTablenorm"/>
              <w:widowControl w:val="0"/>
              <w:rPr>
                <w:szCs w:val="22"/>
              </w:rPr>
            </w:pPr>
            <w:r w:rsidRPr="00264D5D">
              <w:rPr>
                <w:szCs w:val="22"/>
              </w:rPr>
              <w:t>Дата отчета</w:t>
            </w:r>
          </w:p>
        </w:tc>
        <w:tc>
          <w:tcPr>
            <w:tcW w:w="1700" w:type="dxa"/>
          </w:tcPr>
          <w:p w14:paraId="13571D54" w14:textId="77777777" w:rsidR="00AD1F54" w:rsidRPr="00264D5D" w:rsidRDefault="00941227">
            <w:pPr>
              <w:pStyle w:val="GOSTTablenorm"/>
              <w:widowControl w:val="0"/>
              <w:rPr>
                <w:szCs w:val="22"/>
                <w:lang w:val="en-US"/>
              </w:rPr>
            </w:pPr>
            <w:r w:rsidRPr="00264D5D">
              <w:rPr>
                <w:szCs w:val="22"/>
                <w:lang w:val="en-US"/>
              </w:rPr>
              <w:t>ReportDate</w:t>
            </w:r>
          </w:p>
        </w:tc>
        <w:tc>
          <w:tcPr>
            <w:tcW w:w="567" w:type="dxa"/>
          </w:tcPr>
          <w:p w14:paraId="100CEDAB" w14:textId="77777777" w:rsidR="00AD1F54" w:rsidRPr="00264D5D" w:rsidRDefault="00941227">
            <w:pPr>
              <w:pStyle w:val="GOSTTablenorm"/>
              <w:widowControl w:val="0"/>
              <w:jc w:val="center"/>
              <w:rPr>
                <w:szCs w:val="22"/>
              </w:rPr>
            </w:pPr>
            <w:r w:rsidRPr="00264D5D">
              <w:rPr>
                <w:szCs w:val="22"/>
              </w:rPr>
              <w:t>П</w:t>
            </w:r>
          </w:p>
        </w:tc>
        <w:tc>
          <w:tcPr>
            <w:tcW w:w="1134" w:type="dxa"/>
          </w:tcPr>
          <w:p w14:paraId="5B067DE7" w14:textId="77777777" w:rsidR="00AD1F54" w:rsidRPr="00264D5D" w:rsidRDefault="00941227">
            <w:pPr>
              <w:pStyle w:val="GOSTTablenorm"/>
              <w:widowControl w:val="0"/>
              <w:rPr>
                <w:szCs w:val="22"/>
                <w:lang w:val="en-US"/>
              </w:rPr>
            </w:pPr>
            <w:r w:rsidRPr="00264D5D">
              <w:rPr>
                <w:szCs w:val="22"/>
              </w:rPr>
              <w:t>Date</w:t>
            </w:r>
          </w:p>
        </w:tc>
        <w:tc>
          <w:tcPr>
            <w:tcW w:w="567" w:type="dxa"/>
          </w:tcPr>
          <w:p w14:paraId="2318FD62" w14:textId="77777777" w:rsidR="00AD1F54" w:rsidRPr="00264D5D" w:rsidRDefault="00941227">
            <w:pPr>
              <w:widowControl w:val="0"/>
              <w:spacing w:before="60" w:after="60"/>
              <w:contextualSpacing/>
              <w:jc w:val="center"/>
              <w:rPr>
                <w:sz w:val="22"/>
                <w:szCs w:val="22"/>
              </w:rPr>
            </w:pPr>
            <w:r w:rsidRPr="00264D5D">
              <w:rPr>
                <w:sz w:val="22"/>
                <w:szCs w:val="22"/>
              </w:rPr>
              <w:t>О</w:t>
            </w:r>
          </w:p>
        </w:tc>
        <w:tc>
          <w:tcPr>
            <w:tcW w:w="3962" w:type="dxa"/>
          </w:tcPr>
          <w:p w14:paraId="10BD52C0" w14:textId="77777777" w:rsidR="00AD1F54" w:rsidRPr="00264D5D" w:rsidRDefault="00941227">
            <w:pPr>
              <w:pStyle w:val="GOSTTablenorm"/>
              <w:widowControl w:val="0"/>
              <w:rPr>
                <w:szCs w:val="22"/>
              </w:rPr>
            </w:pPr>
            <w:r w:rsidRPr="00264D5D">
              <w:rPr>
                <w:szCs w:val="22"/>
              </w:rPr>
              <w:t>Указыва</w:t>
            </w:r>
            <w:r w:rsidR="00E720ED" w:rsidRPr="00264D5D">
              <w:rPr>
                <w:szCs w:val="22"/>
              </w:rPr>
              <w:t>ется дата запрашиваемого отчета</w:t>
            </w:r>
          </w:p>
        </w:tc>
      </w:tr>
      <w:tr w:rsidR="00AD1F54" w:rsidRPr="00264D5D" w14:paraId="04886103" w14:textId="77777777" w:rsidTr="00AD1F54">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3906DCD9" w14:textId="77777777" w:rsidR="00AD1F54" w:rsidRPr="00264D5D" w:rsidRDefault="00941227">
            <w:pPr>
              <w:pStyle w:val="GOSTTablenorm"/>
              <w:widowControl w:val="0"/>
              <w:rPr>
                <w:szCs w:val="22"/>
              </w:rPr>
            </w:pPr>
            <w:r w:rsidRPr="00264D5D">
              <w:rPr>
                <w:szCs w:val="22"/>
              </w:rPr>
              <w:t>Код отчетной формы</w:t>
            </w:r>
          </w:p>
        </w:tc>
        <w:tc>
          <w:tcPr>
            <w:tcW w:w="1700" w:type="dxa"/>
          </w:tcPr>
          <w:p w14:paraId="57533A09" w14:textId="77777777" w:rsidR="00AD1F54" w:rsidRPr="00264D5D" w:rsidRDefault="00941227">
            <w:pPr>
              <w:pStyle w:val="GOSTTablenorm"/>
              <w:widowControl w:val="0"/>
              <w:rPr>
                <w:szCs w:val="22"/>
                <w:lang w:val="en-US"/>
              </w:rPr>
            </w:pPr>
            <w:r w:rsidRPr="00264D5D">
              <w:rPr>
                <w:szCs w:val="22"/>
              </w:rPr>
              <w:t>ReqDocForm</w:t>
            </w:r>
          </w:p>
        </w:tc>
        <w:tc>
          <w:tcPr>
            <w:tcW w:w="567" w:type="dxa"/>
          </w:tcPr>
          <w:p w14:paraId="2EE656DE" w14:textId="77777777" w:rsidR="00AD1F54" w:rsidRPr="00264D5D" w:rsidRDefault="00941227">
            <w:pPr>
              <w:pStyle w:val="GOSTTablenorm"/>
              <w:widowControl w:val="0"/>
              <w:jc w:val="center"/>
              <w:rPr>
                <w:szCs w:val="22"/>
              </w:rPr>
            </w:pPr>
            <w:r w:rsidRPr="00264D5D">
              <w:rPr>
                <w:szCs w:val="22"/>
              </w:rPr>
              <w:t>П</w:t>
            </w:r>
          </w:p>
        </w:tc>
        <w:tc>
          <w:tcPr>
            <w:tcW w:w="1134" w:type="dxa"/>
          </w:tcPr>
          <w:p w14:paraId="559F5631" w14:textId="77777777" w:rsidR="00AD1F54" w:rsidRPr="00264D5D" w:rsidRDefault="00941227">
            <w:pPr>
              <w:pStyle w:val="GOSTTablenorm"/>
              <w:widowControl w:val="0"/>
              <w:rPr>
                <w:szCs w:val="22"/>
              </w:rPr>
            </w:pPr>
            <w:r w:rsidRPr="00264D5D">
              <w:rPr>
                <w:szCs w:val="22"/>
              </w:rPr>
              <w:t>Т(1-10)</w:t>
            </w:r>
          </w:p>
        </w:tc>
        <w:tc>
          <w:tcPr>
            <w:tcW w:w="567" w:type="dxa"/>
          </w:tcPr>
          <w:p w14:paraId="5CBA83F2" w14:textId="77777777" w:rsidR="00AD1F54" w:rsidRPr="00264D5D" w:rsidRDefault="00941227">
            <w:pPr>
              <w:widowControl w:val="0"/>
              <w:spacing w:before="60" w:after="60"/>
              <w:contextualSpacing/>
              <w:jc w:val="center"/>
              <w:rPr>
                <w:sz w:val="22"/>
                <w:szCs w:val="22"/>
              </w:rPr>
            </w:pPr>
            <w:r w:rsidRPr="00264D5D">
              <w:rPr>
                <w:sz w:val="22"/>
                <w:szCs w:val="22"/>
              </w:rPr>
              <w:t>О</w:t>
            </w:r>
          </w:p>
        </w:tc>
        <w:tc>
          <w:tcPr>
            <w:tcW w:w="3962" w:type="dxa"/>
          </w:tcPr>
          <w:p w14:paraId="7A64B533" w14:textId="77777777" w:rsidR="00AD1F54" w:rsidRPr="00264D5D" w:rsidRDefault="00941227">
            <w:pPr>
              <w:pStyle w:val="GOSTTablenorm"/>
              <w:widowControl w:val="0"/>
              <w:rPr>
                <w:szCs w:val="22"/>
              </w:rPr>
            </w:pPr>
            <w:r w:rsidRPr="00264D5D">
              <w:rPr>
                <w:szCs w:val="22"/>
              </w:rPr>
              <w:t>Автоматически указывается код отчетной формы</w:t>
            </w:r>
            <w:r w:rsidR="00E720ED" w:rsidRPr="00264D5D">
              <w:rPr>
                <w:szCs w:val="22"/>
              </w:rPr>
              <w:t xml:space="preserve"> запрашиваемого документа</w:t>
            </w:r>
          </w:p>
        </w:tc>
      </w:tr>
      <w:tr w:rsidR="00AD1F54" w:rsidRPr="00264D5D" w14:paraId="73DC57C2" w14:textId="77777777" w:rsidTr="00AD1F54">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7EFE70C0" w14:textId="77777777" w:rsidR="00AD1F54" w:rsidRPr="00264D5D" w:rsidRDefault="00941227">
            <w:pPr>
              <w:pStyle w:val="GOSTTablenorm"/>
              <w:widowControl w:val="0"/>
              <w:rPr>
                <w:szCs w:val="22"/>
              </w:rPr>
            </w:pPr>
            <w:r w:rsidRPr="00264D5D">
              <w:rPr>
                <w:szCs w:val="22"/>
              </w:rPr>
              <w:t>Наименование запрашиваемого документа</w:t>
            </w:r>
          </w:p>
        </w:tc>
        <w:tc>
          <w:tcPr>
            <w:tcW w:w="1700" w:type="dxa"/>
          </w:tcPr>
          <w:p w14:paraId="02386C97" w14:textId="77777777" w:rsidR="00AD1F54" w:rsidRPr="00264D5D" w:rsidRDefault="00941227">
            <w:pPr>
              <w:pStyle w:val="GOSTTablenorm"/>
              <w:widowControl w:val="0"/>
              <w:rPr>
                <w:szCs w:val="22"/>
                <w:lang w:val="en-US"/>
              </w:rPr>
            </w:pPr>
            <w:r w:rsidRPr="00264D5D">
              <w:rPr>
                <w:szCs w:val="22"/>
                <w:lang w:val="en-US"/>
              </w:rPr>
              <w:t>ReportName</w:t>
            </w:r>
          </w:p>
        </w:tc>
        <w:tc>
          <w:tcPr>
            <w:tcW w:w="567" w:type="dxa"/>
          </w:tcPr>
          <w:p w14:paraId="49AA93A1" w14:textId="77777777" w:rsidR="00AD1F54" w:rsidRPr="00264D5D" w:rsidRDefault="00941227">
            <w:pPr>
              <w:pStyle w:val="GOSTTablenorm"/>
              <w:widowControl w:val="0"/>
              <w:jc w:val="center"/>
              <w:rPr>
                <w:szCs w:val="22"/>
              </w:rPr>
            </w:pPr>
            <w:r w:rsidRPr="00264D5D">
              <w:rPr>
                <w:szCs w:val="22"/>
              </w:rPr>
              <w:t>П</w:t>
            </w:r>
          </w:p>
        </w:tc>
        <w:tc>
          <w:tcPr>
            <w:tcW w:w="1134" w:type="dxa"/>
          </w:tcPr>
          <w:p w14:paraId="2FEE58DD" w14:textId="77777777" w:rsidR="00AD1F54" w:rsidRPr="00264D5D" w:rsidRDefault="00941227">
            <w:pPr>
              <w:pStyle w:val="GOSTTablenorm"/>
              <w:widowControl w:val="0"/>
              <w:rPr>
                <w:szCs w:val="22"/>
              </w:rPr>
            </w:pPr>
            <w:r w:rsidRPr="00264D5D">
              <w:rPr>
                <w:szCs w:val="22"/>
              </w:rPr>
              <w:t>Т(1-2000)</w:t>
            </w:r>
          </w:p>
        </w:tc>
        <w:tc>
          <w:tcPr>
            <w:tcW w:w="567" w:type="dxa"/>
          </w:tcPr>
          <w:p w14:paraId="65D3EACD" w14:textId="77777777" w:rsidR="00AD1F54" w:rsidRPr="00264D5D" w:rsidRDefault="00941227">
            <w:pPr>
              <w:widowControl w:val="0"/>
              <w:spacing w:before="60" w:after="60"/>
              <w:contextualSpacing/>
              <w:jc w:val="center"/>
              <w:rPr>
                <w:sz w:val="22"/>
                <w:szCs w:val="22"/>
              </w:rPr>
            </w:pPr>
            <w:r w:rsidRPr="00264D5D">
              <w:rPr>
                <w:sz w:val="22"/>
                <w:szCs w:val="22"/>
              </w:rPr>
              <w:t>О</w:t>
            </w:r>
          </w:p>
        </w:tc>
        <w:tc>
          <w:tcPr>
            <w:tcW w:w="3962" w:type="dxa"/>
          </w:tcPr>
          <w:p w14:paraId="0DE3B67B" w14:textId="77777777" w:rsidR="00AD1F54" w:rsidRPr="00264D5D" w:rsidRDefault="00941227">
            <w:pPr>
              <w:pStyle w:val="GOSTTablenorm"/>
              <w:widowControl w:val="0"/>
              <w:rPr>
                <w:szCs w:val="22"/>
              </w:rPr>
            </w:pPr>
            <w:r w:rsidRPr="00264D5D">
              <w:rPr>
                <w:szCs w:val="22"/>
              </w:rPr>
              <w:t>Указывается наи</w:t>
            </w:r>
            <w:r w:rsidR="00E720ED" w:rsidRPr="00264D5D">
              <w:rPr>
                <w:szCs w:val="22"/>
              </w:rPr>
              <w:t>менование запрашиваемого отчета</w:t>
            </w:r>
          </w:p>
        </w:tc>
      </w:tr>
      <w:tr w:rsidR="00AD1F54" w:rsidRPr="00264D5D" w14:paraId="455C7DB3" w14:textId="77777777" w:rsidTr="00AD1F54">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671FADD4" w14:textId="77777777" w:rsidR="00AD1F54" w:rsidRPr="00264D5D" w:rsidRDefault="00941227">
            <w:pPr>
              <w:pStyle w:val="GOSTTablenorm"/>
              <w:widowControl w:val="0"/>
              <w:rPr>
                <w:szCs w:val="22"/>
              </w:rPr>
            </w:pPr>
            <w:r w:rsidRPr="00264D5D">
              <w:rPr>
                <w:b/>
                <w:szCs w:val="22"/>
              </w:rPr>
              <w:t>Подписи</w:t>
            </w:r>
          </w:p>
        </w:tc>
      </w:tr>
      <w:tr w:rsidR="00AD1F54" w:rsidRPr="00264D5D" w14:paraId="61129122" w14:textId="77777777" w:rsidTr="00AD1F54">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084F1426" w14:textId="77777777" w:rsidR="00AD1F54" w:rsidRPr="00264D5D" w:rsidRDefault="00941227">
            <w:pPr>
              <w:pStyle w:val="GOSTTablenorm"/>
              <w:widowControl w:val="0"/>
              <w:rPr>
                <w:szCs w:val="22"/>
              </w:rPr>
            </w:pPr>
            <w:r w:rsidRPr="00264D5D">
              <w:rPr>
                <w:szCs w:val="22"/>
              </w:rPr>
              <w:t>Расшифровка подписи руководителя</w:t>
            </w:r>
          </w:p>
        </w:tc>
        <w:tc>
          <w:tcPr>
            <w:tcW w:w="1700" w:type="dxa"/>
          </w:tcPr>
          <w:p w14:paraId="5CC49A4B" w14:textId="77777777" w:rsidR="00AD1F54" w:rsidRPr="00264D5D" w:rsidRDefault="00941227">
            <w:pPr>
              <w:pStyle w:val="GOSTTablenorm"/>
              <w:widowControl w:val="0"/>
              <w:rPr>
                <w:szCs w:val="22"/>
              </w:rPr>
            </w:pPr>
            <w:r w:rsidRPr="00264D5D">
              <w:rPr>
                <w:szCs w:val="22"/>
              </w:rPr>
              <w:t>ListApp_</w:t>
            </w:r>
            <w:r w:rsidRPr="00264D5D">
              <w:rPr>
                <w:szCs w:val="22"/>
                <w:lang w:val="en-US"/>
              </w:rPr>
              <w:t>Director</w:t>
            </w:r>
            <w:r w:rsidRPr="00264D5D">
              <w:rPr>
                <w:szCs w:val="22"/>
              </w:rPr>
              <w:t>_SFP</w:t>
            </w:r>
          </w:p>
        </w:tc>
        <w:tc>
          <w:tcPr>
            <w:tcW w:w="567" w:type="dxa"/>
          </w:tcPr>
          <w:p w14:paraId="7D601AB1" w14:textId="77777777" w:rsidR="00AD1F54" w:rsidRPr="00264D5D" w:rsidRDefault="00941227">
            <w:pPr>
              <w:pStyle w:val="GOSTTablenorm"/>
              <w:widowControl w:val="0"/>
              <w:jc w:val="center"/>
              <w:rPr>
                <w:szCs w:val="22"/>
              </w:rPr>
            </w:pPr>
            <w:r w:rsidRPr="00264D5D">
              <w:rPr>
                <w:szCs w:val="22"/>
              </w:rPr>
              <w:t>П</w:t>
            </w:r>
          </w:p>
        </w:tc>
        <w:tc>
          <w:tcPr>
            <w:tcW w:w="1134" w:type="dxa"/>
          </w:tcPr>
          <w:p w14:paraId="6AECE445" w14:textId="77777777" w:rsidR="00AD1F54" w:rsidRPr="00264D5D" w:rsidRDefault="00941227">
            <w:pPr>
              <w:pStyle w:val="GOSTTablenorm"/>
              <w:widowControl w:val="0"/>
              <w:rPr>
                <w:szCs w:val="22"/>
              </w:rPr>
            </w:pPr>
            <w:r w:rsidRPr="00264D5D">
              <w:rPr>
                <w:szCs w:val="22"/>
              </w:rPr>
              <w:t>Т(1-</w:t>
            </w:r>
            <w:r w:rsidRPr="00264D5D">
              <w:rPr>
                <w:szCs w:val="22"/>
                <w:lang w:val="en-US"/>
              </w:rPr>
              <w:t>5</w:t>
            </w:r>
            <w:r w:rsidRPr="00264D5D">
              <w:rPr>
                <w:szCs w:val="22"/>
              </w:rPr>
              <w:t>0)</w:t>
            </w:r>
          </w:p>
        </w:tc>
        <w:tc>
          <w:tcPr>
            <w:tcW w:w="567" w:type="dxa"/>
          </w:tcPr>
          <w:p w14:paraId="1CFE2188" w14:textId="77777777" w:rsidR="00AD1F54" w:rsidRPr="00264D5D" w:rsidRDefault="00941227">
            <w:pPr>
              <w:widowControl w:val="0"/>
              <w:spacing w:before="60" w:after="60"/>
              <w:contextualSpacing/>
              <w:jc w:val="center"/>
              <w:rPr>
                <w:sz w:val="22"/>
                <w:szCs w:val="22"/>
              </w:rPr>
            </w:pPr>
            <w:r w:rsidRPr="00264D5D">
              <w:rPr>
                <w:sz w:val="22"/>
                <w:szCs w:val="22"/>
              </w:rPr>
              <w:t>Н</w:t>
            </w:r>
          </w:p>
        </w:tc>
        <w:tc>
          <w:tcPr>
            <w:tcW w:w="3962" w:type="dxa"/>
          </w:tcPr>
          <w:p w14:paraId="5C5918A0" w14:textId="77777777" w:rsidR="00AD1F54" w:rsidRPr="00264D5D" w:rsidRDefault="00941227">
            <w:pPr>
              <w:pStyle w:val="GOSTTablenorm"/>
              <w:widowControl w:val="0"/>
              <w:rPr>
                <w:szCs w:val="22"/>
              </w:rPr>
            </w:pPr>
            <w:r w:rsidRPr="00264D5D">
              <w:rPr>
                <w:szCs w:val="22"/>
              </w:rPr>
              <w:t>Указывается фамилия и инициалы рукводител</w:t>
            </w:r>
            <w:r w:rsidR="00E720ED" w:rsidRPr="00264D5D">
              <w:rPr>
                <w:szCs w:val="22"/>
              </w:rPr>
              <w:t>я (уполномоченного лица)</w:t>
            </w:r>
          </w:p>
        </w:tc>
      </w:tr>
      <w:tr w:rsidR="00AD1F54" w:rsidRPr="00264D5D" w14:paraId="4F607D5C" w14:textId="77777777" w:rsidTr="00AD1F54">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2056AB7B" w14:textId="77777777" w:rsidR="00AD1F54" w:rsidRPr="00264D5D" w:rsidRDefault="00941227">
            <w:pPr>
              <w:pStyle w:val="GOSTTablenorm"/>
              <w:widowControl w:val="0"/>
              <w:rPr>
                <w:szCs w:val="22"/>
              </w:rPr>
            </w:pPr>
            <w:r w:rsidRPr="00264D5D">
              <w:rPr>
                <w:szCs w:val="22"/>
              </w:rPr>
              <w:t>Должность руководителя</w:t>
            </w:r>
          </w:p>
        </w:tc>
        <w:tc>
          <w:tcPr>
            <w:tcW w:w="1700" w:type="dxa"/>
          </w:tcPr>
          <w:p w14:paraId="37FD5744" w14:textId="77777777" w:rsidR="00AD1F54" w:rsidRPr="00264D5D" w:rsidRDefault="00941227">
            <w:pPr>
              <w:pStyle w:val="GOSTTablenorm"/>
              <w:widowControl w:val="0"/>
              <w:rPr>
                <w:szCs w:val="22"/>
              </w:rPr>
            </w:pPr>
            <w:r w:rsidRPr="00264D5D">
              <w:rPr>
                <w:szCs w:val="22"/>
              </w:rPr>
              <w:t>ListApp_</w:t>
            </w:r>
            <w:r w:rsidRPr="00264D5D">
              <w:rPr>
                <w:szCs w:val="22"/>
                <w:lang w:val="en-US"/>
              </w:rPr>
              <w:t>Director</w:t>
            </w:r>
            <w:r w:rsidRPr="00264D5D">
              <w:rPr>
                <w:szCs w:val="22"/>
              </w:rPr>
              <w:t>_Post</w:t>
            </w:r>
          </w:p>
        </w:tc>
        <w:tc>
          <w:tcPr>
            <w:tcW w:w="567" w:type="dxa"/>
          </w:tcPr>
          <w:p w14:paraId="0D098D6B" w14:textId="77777777" w:rsidR="00AD1F54" w:rsidRPr="00264D5D" w:rsidRDefault="00941227">
            <w:pPr>
              <w:pStyle w:val="GOSTTablenorm"/>
              <w:widowControl w:val="0"/>
              <w:jc w:val="center"/>
              <w:rPr>
                <w:szCs w:val="22"/>
              </w:rPr>
            </w:pPr>
            <w:r w:rsidRPr="00264D5D">
              <w:rPr>
                <w:szCs w:val="22"/>
              </w:rPr>
              <w:t>П</w:t>
            </w:r>
          </w:p>
        </w:tc>
        <w:tc>
          <w:tcPr>
            <w:tcW w:w="1134" w:type="dxa"/>
          </w:tcPr>
          <w:p w14:paraId="428300D0" w14:textId="77777777" w:rsidR="00AD1F54" w:rsidRPr="00264D5D" w:rsidRDefault="00941227">
            <w:pPr>
              <w:pStyle w:val="GOSTTablenorm"/>
              <w:widowControl w:val="0"/>
              <w:rPr>
                <w:szCs w:val="22"/>
              </w:rPr>
            </w:pPr>
            <w:r w:rsidRPr="00264D5D">
              <w:rPr>
                <w:szCs w:val="22"/>
              </w:rPr>
              <w:t>Т(1-100)</w:t>
            </w:r>
          </w:p>
        </w:tc>
        <w:tc>
          <w:tcPr>
            <w:tcW w:w="567" w:type="dxa"/>
          </w:tcPr>
          <w:p w14:paraId="36C2F538" w14:textId="77777777" w:rsidR="00AD1F54" w:rsidRPr="00264D5D" w:rsidRDefault="00941227">
            <w:pPr>
              <w:widowControl w:val="0"/>
              <w:spacing w:before="60" w:after="60"/>
              <w:contextualSpacing/>
              <w:jc w:val="center"/>
              <w:rPr>
                <w:sz w:val="22"/>
                <w:szCs w:val="22"/>
              </w:rPr>
            </w:pPr>
            <w:r w:rsidRPr="00264D5D">
              <w:rPr>
                <w:sz w:val="22"/>
                <w:szCs w:val="22"/>
              </w:rPr>
              <w:t>О</w:t>
            </w:r>
          </w:p>
        </w:tc>
        <w:tc>
          <w:tcPr>
            <w:tcW w:w="3962" w:type="dxa"/>
          </w:tcPr>
          <w:p w14:paraId="70462E06" w14:textId="77777777" w:rsidR="00AD1F54" w:rsidRPr="00264D5D" w:rsidRDefault="00941227">
            <w:pPr>
              <w:pStyle w:val="GOSTTablenorm"/>
              <w:widowControl w:val="0"/>
              <w:rPr>
                <w:szCs w:val="22"/>
              </w:rPr>
            </w:pPr>
            <w:r w:rsidRPr="00264D5D">
              <w:rPr>
                <w:szCs w:val="22"/>
              </w:rPr>
              <w:t>Указывается должность рук</w:t>
            </w:r>
            <w:r w:rsidR="00E720ED" w:rsidRPr="00264D5D">
              <w:rPr>
                <w:szCs w:val="22"/>
              </w:rPr>
              <w:t>водителя (уполномоченного лица)</w:t>
            </w:r>
          </w:p>
        </w:tc>
      </w:tr>
      <w:tr w:rsidR="00AD1F54" w:rsidRPr="00264D5D" w14:paraId="3D6550F5" w14:textId="77777777" w:rsidTr="00AD1F54">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43B622E4" w14:textId="77777777" w:rsidR="00AD1F54" w:rsidRPr="00264D5D" w:rsidRDefault="00941227">
            <w:pPr>
              <w:pStyle w:val="GOSTTablenorm"/>
              <w:widowControl w:val="0"/>
              <w:rPr>
                <w:szCs w:val="22"/>
              </w:rPr>
            </w:pPr>
            <w:r w:rsidRPr="00264D5D">
              <w:rPr>
                <w:b/>
                <w:szCs w:val="22"/>
              </w:rPr>
              <w:t>Системная информация документа</w:t>
            </w:r>
          </w:p>
        </w:tc>
      </w:tr>
      <w:tr w:rsidR="00AD1F54" w:rsidRPr="00264D5D" w14:paraId="4907A81D" w14:textId="77777777" w:rsidTr="00AD1F54">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72DF8F75" w14:textId="77777777" w:rsidR="00AD1F54" w:rsidRPr="00264D5D" w:rsidRDefault="00941227">
            <w:pPr>
              <w:pStyle w:val="GOSTTablenorm"/>
              <w:widowControl w:val="0"/>
              <w:rPr>
                <w:szCs w:val="22"/>
              </w:rPr>
            </w:pPr>
            <w:r w:rsidRPr="00264D5D">
              <w:rPr>
                <w:szCs w:val="22"/>
              </w:rPr>
              <w:t>Системная информация</w:t>
            </w:r>
          </w:p>
        </w:tc>
        <w:tc>
          <w:tcPr>
            <w:tcW w:w="1700" w:type="dxa"/>
          </w:tcPr>
          <w:p w14:paraId="058F6E26" w14:textId="77777777" w:rsidR="00AD1F54" w:rsidRPr="00264D5D" w:rsidRDefault="00941227">
            <w:pPr>
              <w:pStyle w:val="GOSTTablenorm"/>
              <w:widowControl w:val="0"/>
              <w:rPr>
                <w:szCs w:val="22"/>
              </w:rPr>
            </w:pPr>
            <w:r w:rsidRPr="00264D5D">
              <w:rPr>
                <w:szCs w:val="22"/>
              </w:rPr>
              <w:t>StmInfrmtn_TF</w:t>
            </w:r>
          </w:p>
        </w:tc>
        <w:tc>
          <w:tcPr>
            <w:tcW w:w="567" w:type="dxa"/>
          </w:tcPr>
          <w:p w14:paraId="6A8157FB" w14:textId="77777777" w:rsidR="00AD1F54" w:rsidRPr="00264D5D" w:rsidRDefault="00941227">
            <w:pPr>
              <w:pStyle w:val="GOSTTablenorm"/>
              <w:widowControl w:val="0"/>
              <w:jc w:val="center"/>
              <w:rPr>
                <w:szCs w:val="22"/>
              </w:rPr>
            </w:pPr>
            <w:r w:rsidRPr="00264D5D">
              <w:rPr>
                <w:szCs w:val="22"/>
              </w:rPr>
              <w:t>С</w:t>
            </w:r>
          </w:p>
        </w:tc>
        <w:tc>
          <w:tcPr>
            <w:tcW w:w="1134" w:type="dxa"/>
          </w:tcPr>
          <w:p w14:paraId="7F193084" w14:textId="77777777" w:rsidR="00AD1F54" w:rsidRPr="00264D5D" w:rsidRDefault="00941227">
            <w:pPr>
              <w:pStyle w:val="GOSTTablenorm"/>
              <w:widowControl w:val="0"/>
              <w:rPr>
                <w:szCs w:val="22"/>
              </w:rPr>
            </w:pPr>
            <w:r w:rsidRPr="00264D5D">
              <w:rPr>
                <w:szCs w:val="22"/>
              </w:rPr>
              <w:t>tTF</w:t>
            </w:r>
          </w:p>
        </w:tc>
        <w:tc>
          <w:tcPr>
            <w:tcW w:w="567" w:type="dxa"/>
          </w:tcPr>
          <w:p w14:paraId="04672D38" w14:textId="77777777" w:rsidR="00AD1F54" w:rsidRPr="00264D5D" w:rsidRDefault="00941227">
            <w:pPr>
              <w:pStyle w:val="GOSTTablenorm"/>
              <w:widowControl w:val="0"/>
              <w:jc w:val="center"/>
              <w:rPr>
                <w:szCs w:val="22"/>
              </w:rPr>
            </w:pPr>
            <w:r w:rsidRPr="00264D5D">
              <w:rPr>
                <w:szCs w:val="22"/>
              </w:rPr>
              <w:t>О</w:t>
            </w:r>
          </w:p>
        </w:tc>
        <w:tc>
          <w:tcPr>
            <w:tcW w:w="3962" w:type="dxa"/>
          </w:tcPr>
          <w:p w14:paraId="053E7B2A" w14:textId="6D00A894" w:rsidR="00AD1F54" w:rsidRPr="00264D5D" w:rsidRDefault="00941227">
            <w:pPr>
              <w:pStyle w:val="GOSTTablenorm"/>
              <w:widowControl w:val="0"/>
              <w:rPr>
                <w:szCs w:val="22"/>
              </w:rPr>
            </w:pPr>
            <w:r w:rsidRPr="00264D5D">
              <w:rPr>
                <w:szCs w:val="22"/>
              </w:rPr>
              <w:t xml:space="preserve">Состав элемента представлен в таблице </w:t>
            </w:r>
            <w:r w:rsidRPr="00264D5D">
              <w:rPr>
                <w:b/>
                <w:szCs w:val="22"/>
              </w:rPr>
              <w:fldChar w:fldCharType="begin"/>
            </w:r>
            <w:r w:rsidRPr="00264D5D">
              <w:rPr>
                <w:b/>
                <w:szCs w:val="22"/>
              </w:rPr>
              <w:instrText xml:space="preserve"> REF _Ref47548336 \h  \* MERGEFORMAT </w:instrText>
            </w:r>
            <w:r w:rsidRPr="00264D5D">
              <w:rPr>
                <w:b/>
                <w:szCs w:val="22"/>
              </w:rPr>
            </w:r>
            <w:r w:rsidRPr="00264D5D">
              <w:rPr>
                <w:b/>
                <w:szCs w:val="22"/>
              </w:rPr>
              <w:fldChar w:fldCharType="separate"/>
            </w:r>
            <w:r w:rsidR="008D797C" w:rsidRPr="008D797C">
              <w:rPr>
                <w:rFonts w:eastAsia="Calibri"/>
                <w:b/>
                <w:szCs w:val="22"/>
              </w:rPr>
              <w:t>370</w:t>
            </w:r>
            <w:r w:rsidRPr="00264D5D">
              <w:rPr>
                <w:b/>
                <w:szCs w:val="22"/>
              </w:rPr>
              <w:fldChar w:fldCharType="end"/>
            </w:r>
          </w:p>
        </w:tc>
      </w:tr>
    </w:tbl>
    <w:p w14:paraId="45C940AB" w14:textId="77777777" w:rsidR="00AD1F54" w:rsidRPr="00264D5D" w:rsidRDefault="00941227">
      <w:pPr>
        <w:pStyle w:val="31"/>
      </w:pPr>
      <w:bookmarkStart w:id="4622" w:name="_Toc51953102"/>
      <w:bookmarkStart w:id="4623" w:name="_Toc219309863"/>
      <w:r w:rsidRPr="00264D5D">
        <w:t>Описание комплексного типа «tMSC_TOFK»</w:t>
      </w:r>
      <w:bookmarkEnd w:id="4622"/>
      <w:bookmarkEnd w:id="4623"/>
    </w:p>
    <w:p w14:paraId="54C2BBAF" w14:textId="77777777" w:rsidR="00AD1F54" w:rsidRPr="00264D5D" w:rsidRDefault="00941227">
      <w:pPr>
        <w:pStyle w:val="ASFKNormal"/>
        <w:widowControl w:val="0"/>
        <w:jc w:val="both"/>
        <w:rPr>
          <w:rStyle w:val="GOSTNormal0"/>
        </w:rPr>
      </w:pPr>
      <w:r w:rsidRPr="00264D5D">
        <w:rPr>
          <w:rStyle w:val="GOSTNormal0"/>
        </w:rPr>
        <w:t xml:space="preserve">Описание комплексного </w:t>
      </w:r>
      <w:r w:rsidRPr="00264D5D">
        <w:rPr>
          <w:rStyle w:val="GOSTNormal0"/>
          <w:szCs w:val="24"/>
        </w:rPr>
        <w:t xml:space="preserve">типа </w:t>
      </w:r>
      <w:r w:rsidRPr="00264D5D">
        <w:rPr>
          <w:rStyle w:val="GOSTNormal0"/>
          <w:rFonts w:eastAsia="Calibri"/>
          <w:szCs w:val="24"/>
        </w:rPr>
        <w:t>«</w:t>
      </w:r>
      <w:r w:rsidRPr="00264D5D">
        <w:rPr>
          <w:sz w:val="24"/>
          <w:szCs w:val="24"/>
        </w:rPr>
        <w:t>tMSC_TOFK</w:t>
      </w:r>
      <w:r w:rsidRPr="00264D5D">
        <w:rPr>
          <w:rStyle w:val="GOSTNormal0"/>
          <w:szCs w:val="24"/>
        </w:rPr>
        <w:t>» блока</w:t>
      </w:r>
      <w:r w:rsidRPr="00264D5D">
        <w:rPr>
          <w:rStyle w:val="GOSTNormal0"/>
        </w:rPr>
        <w:t xml:space="preserve"> «</w:t>
      </w:r>
      <w:r w:rsidRPr="00264D5D">
        <w:rPr>
          <w:sz w:val="24"/>
          <w:szCs w:val="24"/>
        </w:rPr>
        <w:t>ТОФК</w:t>
      </w:r>
      <w:r w:rsidRPr="00264D5D">
        <w:rPr>
          <w:rStyle w:val="GOSTNormal0"/>
        </w:rPr>
        <w:t>»</w:t>
      </w:r>
      <w:r w:rsidRPr="00264D5D">
        <w:rPr>
          <w:rStyle w:val="GOSTNormal0"/>
          <w:szCs w:val="24"/>
        </w:rPr>
        <w:t>.</w:t>
      </w:r>
    </w:p>
    <w:p w14:paraId="4DA70110" w14:textId="0E2D547B" w:rsidR="00AD1F54" w:rsidRPr="00264D5D" w:rsidRDefault="001E5517">
      <w:pPr>
        <w:pStyle w:val="GOSTNameTable"/>
        <w:numPr>
          <w:ilvl w:val="0"/>
          <w:numId w:val="2"/>
        </w:numPr>
        <w:ind w:left="425" w:hanging="357"/>
      </w:pPr>
      <w:r w:rsidRPr="00264D5D">
        <w:rPr>
          <w:noProof/>
        </w:rPr>
        <w:fldChar w:fldCharType="begin"/>
      </w:r>
      <w:r w:rsidRPr="00264D5D">
        <w:rPr>
          <w:noProof/>
        </w:rPr>
        <w:instrText xml:space="preserve"> SEQ Таблица \* ARABIC </w:instrText>
      </w:r>
      <w:r w:rsidRPr="00264D5D">
        <w:rPr>
          <w:noProof/>
        </w:rPr>
        <w:fldChar w:fldCharType="separate"/>
      </w:r>
      <w:bookmarkStart w:id="4624" w:name="_Ref47548312"/>
      <w:bookmarkStart w:id="4625" w:name="_Toc219309398"/>
      <w:r w:rsidR="008D797C">
        <w:rPr>
          <w:noProof/>
        </w:rPr>
        <w:t>368</w:t>
      </w:r>
      <w:bookmarkEnd w:id="4624"/>
      <w:r w:rsidRPr="00264D5D">
        <w:rPr>
          <w:noProof/>
        </w:rPr>
        <w:fldChar w:fldCharType="end"/>
      </w:r>
      <w:r w:rsidR="00941227" w:rsidRPr="00264D5D">
        <w:rPr>
          <w:rFonts w:eastAsia="Calibri"/>
          <w:szCs w:val="24"/>
        </w:rPr>
        <w:t xml:space="preserve"> –</w:t>
      </w:r>
      <w:r w:rsidR="00941227" w:rsidRPr="00264D5D">
        <w:t xml:space="preserve"> Описание комплексного типа «</w:t>
      </w:r>
      <w:r w:rsidR="00941227" w:rsidRPr="00264D5D">
        <w:rPr>
          <w:szCs w:val="22"/>
        </w:rPr>
        <w:t>tMSC_TOFK</w:t>
      </w:r>
      <w:r w:rsidR="00941227" w:rsidRPr="00264D5D">
        <w:t>»</w:t>
      </w:r>
      <w:bookmarkEnd w:id="4625"/>
    </w:p>
    <w:tbl>
      <w:tblPr>
        <w:tblStyle w:val="GOSTTable"/>
        <w:tblW w:w="5000" w:type="pct"/>
        <w:tblLayout w:type="fixed"/>
        <w:tblLook w:val="04A0" w:firstRow="1" w:lastRow="0" w:firstColumn="1" w:lastColumn="0" w:noHBand="0" w:noVBand="1"/>
      </w:tblPr>
      <w:tblGrid>
        <w:gridCol w:w="1704"/>
        <w:gridCol w:w="1704"/>
        <w:gridCol w:w="568"/>
        <w:gridCol w:w="1136"/>
        <w:gridCol w:w="568"/>
        <w:gridCol w:w="3970"/>
      </w:tblGrid>
      <w:tr w:rsidR="00AD1F54" w:rsidRPr="00264D5D" w14:paraId="2A47ED7D"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1AE0B083" w14:textId="77777777" w:rsidR="00AD1F54" w:rsidRPr="00264D5D" w:rsidRDefault="00941227">
            <w:pPr>
              <w:pStyle w:val="ASFKTableHead"/>
            </w:pPr>
            <w:r w:rsidRPr="00264D5D">
              <w:t>Наименование элемента</w:t>
            </w:r>
          </w:p>
        </w:tc>
        <w:tc>
          <w:tcPr>
            <w:tcW w:w="1701" w:type="dxa"/>
          </w:tcPr>
          <w:p w14:paraId="38E04212" w14:textId="77777777" w:rsidR="00AD1F54" w:rsidRPr="00264D5D" w:rsidRDefault="00941227">
            <w:pPr>
              <w:pStyle w:val="ASFKTableHead"/>
            </w:pPr>
            <w:r w:rsidRPr="00264D5D">
              <w:t>Сокращенное наименование (код) элемента</w:t>
            </w:r>
          </w:p>
        </w:tc>
        <w:tc>
          <w:tcPr>
            <w:tcW w:w="567" w:type="dxa"/>
          </w:tcPr>
          <w:p w14:paraId="0E537406" w14:textId="77777777" w:rsidR="00AD1F54" w:rsidRPr="00264D5D" w:rsidRDefault="00941227">
            <w:pPr>
              <w:pStyle w:val="ASFKTableHead"/>
            </w:pPr>
            <w:r w:rsidRPr="00264D5D">
              <w:t>Тип</w:t>
            </w:r>
          </w:p>
        </w:tc>
        <w:tc>
          <w:tcPr>
            <w:tcW w:w="1134" w:type="dxa"/>
          </w:tcPr>
          <w:p w14:paraId="3296C899" w14:textId="77777777" w:rsidR="00AD1F54" w:rsidRPr="00264D5D" w:rsidRDefault="00941227">
            <w:pPr>
              <w:pStyle w:val="ASFKTableHead"/>
            </w:pPr>
            <w:r w:rsidRPr="00264D5D">
              <w:t>Формат элемента</w:t>
            </w:r>
          </w:p>
        </w:tc>
        <w:tc>
          <w:tcPr>
            <w:tcW w:w="567" w:type="dxa"/>
          </w:tcPr>
          <w:p w14:paraId="5D9A54D2" w14:textId="77777777" w:rsidR="00AD1F54" w:rsidRPr="00264D5D" w:rsidRDefault="00941227">
            <w:pPr>
              <w:pStyle w:val="ASFKTableHead"/>
            </w:pPr>
            <w:r w:rsidRPr="00264D5D">
              <w:t>Обязательность</w:t>
            </w:r>
          </w:p>
        </w:tc>
        <w:tc>
          <w:tcPr>
            <w:tcW w:w="3963" w:type="dxa"/>
          </w:tcPr>
          <w:p w14:paraId="04B4E1D2" w14:textId="77777777" w:rsidR="00AD1F54" w:rsidRPr="00264D5D" w:rsidRDefault="00941227">
            <w:pPr>
              <w:pStyle w:val="ASFKTableHead"/>
            </w:pPr>
            <w:r w:rsidRPr="00264D5D">
              <w:t>Дополнительная информация</w:t>
            </w:r>
          </w:p>
        </w:tc>
      </w:tr>
      <w:tr w:rsidR="00AD1F54" w:rsidRPr="00264D5D" w14:paraId="58AA14F4" w14:textId="77777777" w:rsidTr="00AD1F54">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46E90BB" w14:textId="77777777" w:rsidR="00AD1F54" w:rsidRPr="00264D5D" w:rsidRDefault="00941227">
            <w:pPr>
              <w:pStyle w:val="GOSTTablenorm"/>
              <w:widowControl w:val="0"/>
              <w:rPr>
                <w:szCs w:val="22"/>
              </w:rPr>
            </w:pPr>
            <w:r w:rsidRPr="00264D5D">
              <w:rPr>
                <w:szCs w:val="22"/>
              </w:rPr>
              <w:t>Наименование ТОФК</w:t>
            </w:r>
          </w:p>
        </w:tc>
        <w:tc>
          <w:tcPr>
            <w:tcW w:w="1701" w:type="dxa"/>
          </w:tcPr>
          <w:p w14:paraId="40B311E0" w14:textId="77777777" w:rsidR="00AD1F54" w:rsidRPr="00264D5D" w:rsidRDefault="00941227">
            <w:pPr>
              <w:widowControl w:val="0"/>
              <w:spacing w:before="60" w:after="60"/>
              <w:ind w:firstLine="3"/>
              <w:contextualSpacing/>
              <w:rPr>
                <w:sz w:val="22"/>
                <w:szCs w:val="22"/>
              </w:rPr>
            </w:pPr>
            <w:r w:rsidRPr="00264D5D">
              <w:rPr>
                <w:sz w:val="22"/>
                <w:szCs w:val="22"/>
              </w:rPr>
              <w:t>Nm</w:t>
            </w:r>
          </w:p>
        </w:tc>
        <w:tc>
          <w:tcPr>
            <w:tcW w:w="567" w:type="dxa"/>
          </w:tcPr>
          <w:p w14:paraId="30C1A434" w14:textId="77777777" w:rsidR="00AD1F54" w:rsidRPr="00264D5D" w:rsidRDefault="00941227">
            <w:pPr>
              <w:pStyle w:val="GOSTTablenorm"/>
              <w:widowControl w:val="0"/>
              <w:ind w:firstLine="3"/>
              <w:jc w:val="center"/>
              <w:rPr>
                <w:szCs w:val="22"/>
              </w:rPr>
            </w:pPr>
            <w:r w:rsidRPr="00264D5D">
              <w:rPr>
                <w:szCs w:val="22"/>
              </w:rPr>
              <w:t>П</w:t>
            </w:r>
          </w:p>
        </w:tc>
        <w:tc>
          <w:tcPr>
            <w:tcW w:w="1134" w:type="dxa"/>
          </w:tcPr>
          <w:p w14:paraId="0FC532F7" w14:textId="77777777" w:rsidR="00AD1F54" w:rsidRPr="00264D5D" w:rsidRDefault="00941227">
            <w:pPr>
              <w:pStyle w:val="GOSTTablenorm"/>
              <w:widowControl w:val="0"/>
              <w:ind w:firstLine="3"/>
              <w:rPr>
                <w:szCs w:val="22"/>
              </w:rPr>
            </w:pPr>
            <w:r w:rsidRPr="00264D5D">
              <w:rPr>
                <w:szCs w:val="22"/>
              </w:rPr>
              <w:t>Т(1-2000)</w:t>
            </w:r>
          </w:p>
        </w:tc>
        <w:tc>
          <w:tcPr>
            <w:tcW w:w="567" w:type="dxa"/>
          </w:tcPr>
          <w:p w14:paraId="1B40D991" w14:textId="77777777" w:rsidR="00AD1F54" w:rsidRPr="00264D5D" w:rsidRDefault="00941227">
            <w:pPr>
              <w:widowControl w:val="0"/>
              <w:spacing w:before="60" w:after="60"/>
              <w:ind w:firstLine="3"/>
              <w:contextualSpacing/>
              <w:jc w:val="center"/>
              <w:rPr>
                <w:sz w:val="22"/>
                <w:szCs w:val="22"/>
              </w:rPr>
            </w:pPr>
            <w:r w:rsidRPr="00264D5D">
              <w:rPr>
                <w:sz w:val="22"/>
                <w:szCs w:val="22"/>
              </w:rPr>
              <w:t>О</w:t>
            </w:r>
          </w:p>
        </w:tc>
        <w:tc>
          <w:tcPr>
            <w:tcW w:w="3963" w:type="dxa"/>
          </w:tcPr>
          <w:p w14:paraId="21E74D1F" w14:textId="77777777" w:rsidR="00AD1F54" w:rsidRPr="00264D5D" w:rsidRDefault="00941227">
            <w:pPr>
              <w:pStyle w:val="GOSTTablenorm"/>
              <w:widowControl w:val="0"/>
              <w:ind w:firstLine="3"/>
              <w:rPr>
                <w:szCs w:val="22"/>
              </w:rPr>
            </w:pPr>
            <w:r w:rsidRPr="00264D5D">
              <w:rPr>
                <w:szCs w:val="22"/>
              </w:rPr>
              <w:t>Указывается полное наименование ТОФК.</w:t>
            </w:r>
          </w:p>
          <w:p w14:paraId="41864FA4" w14:textId="77777777" w:rsidR="00AD1F54" w:rsidRPr="00264D5D" w:rsidRDefault="00941227">
            <w:pPr>
              <w:pStyle w:val="GOSTTablenorm"/>
              <w:widowControl w:val="0"/>
              <w:ind w:firstLine="3"/>
              <w:rPr>
                <w:szCs w:val="22"/>
              </w:rPr>
            </w:pPr>
            <w:r w:rsidRPr="00264D5D">
              <w:rPr>
                <w:szCs w:val="22"/>
              </w:rPr>
              <w:t>Поле заполняется в соответствии с ц</w:t>
            </w:r>
            <w:r w:rsidR="00E720ED" w:rsidRPr="00264D5D">
              <w:rPr>
                <w:szCs w:val="22"/>
              </w:rPr>
              <w:t>ентрализованным справочником ФК</w:t>
            </w:r>
          </w:p>
        </w:tc>
      </w:tr>
      <w:tr w:rsidR="00AD1F54" w:rsidRPr="00264D5D" w14:paraId="6DB1F004" w14:textId="77777777" w:rsidTr="00AD1F54">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FF2AE55" w14:textId="77777777" w:rsidR="00AD1F54" w:rsidRPr="00264D5D" w:rsidRDefault="00941227">
            <w:pPr>
              <w:pStyle w:val="GOSTTablenorm"/>
              <w:widowControl w:val="0"/>
              <w:rPr>
                <w:szCs w:val="22"/>
              </w:rPr>
            </w:pPr>
            <w:r w:rsidRPr="00264D5D">
              <w:rPr>
                <w:szCs w:val="22"/>
              </w:rPr>
              <w:t>Код ТОФК</w:t>
            </w:r>
          </w:p>
        </w:tc>
        <w:tc>
          <w:tcPr>
            <w:tcW w:w="1701" w:type="dxa"/>
          </w:tcPr>
          <w:p w14:paraId="6C16B69D" w14:textId="77777777" w:rsidR="00AD1F54" w:rsidRPr="00264D5D" w:rsidRDefault="00941227">
            <w:pPr>
              <w:widowControl w:val="0"/>
              <w:spacing w:before="60" w:after="60"/>
              <w:ind w:firstLine="3"/>
              <w:contextualSpacing/>
              <w:rPr>
                <w:sz w:val="22"/>
                <w:szCs w:val="22"/>
              </w:rPr>
            </w:pPr>
            <w:r w:rsidRPr="00264D5D">
              <w:rPr>
                <w:sz w:val="22"/>
                <w:szCs w:val="22"/>
              </w:rPr>
              <w:t>Cd</w:t>
            </w:r>
          </w:p>
        </w:tc>
        <w:tc>
          <w:tcPr>
            <w:tcW w:w="567" w:type="dxa"/>
          </w:tcPr>
          <w:p w14:paraId="3E6886AB" w14:textId="77777777" w:rsidR="00AD1F54" w:rsidRPr="00264D5D" w:rsidRDefault="00941227">
            <w:pPr>
              <w:pStyle w:val="GOSTTablenorm"/>
              <w:widowControl w:val="0"/>
              <w:ind w:firstLine="3"/>
              <w:jc w:val="center"/>
              <w:rPr>
                <w:szCs w:val="22"/>
              </w:rPr>
            </w:pPr>
            <w:r w:rsidRPr="00264D5D">
              <w:rPr>
                <w:szCs w:val="22"/>
              </w:rPr>
              <w:t>П</w:t>
            </w:r>
          </w:p>
        </w:tc>
        <w:tc>
          <w:tcPr>
            <w:tcW w:w="1134" w:type="dxa"/>
          </w:tcPr>
          <w:p w14:paraId="4B031BAC" w14:textId="77777777" w:rsidR="00AD1F54" w:rsidRPr="00264D5D" w:rsidRDefault="00941227">
            <w:pPr>
              <w:pStyle w:val="GOSTTablenorm"/>
              <w:widowControl w:val="0"/>
              <w:ind w:firstLine="3"/>
              <w:rPr>
                <w:szCs w:val="22"/>
              </w:rPr>
            </w:pPr>
            <w:r w:rsidRPr="00264D5D">
              <w:rPr>
                <w:szCs w:val="22"/>
              </w:rPr>
              <w:t>Т(4)</w:t>
            </w:r>
          </w:p>
        </w:tc>
        <w:tc>
          <w:tcPr>
            <w:tcW w:w="567" w:type="dxa"/>
          </w:tcPr>
          <w:p w14:paraId="51496F3F" w14:textId="77777777" w:rsidR="00AD1F54" w:rsidRPr="00264D5D" w:rsidRDefault="00941227">
            <w:pPr>
              <w:widowControl w:val="0"/>
              <w:spacing w:before="60" w:after="60"/>
              <w:ind w:firstLine="3"/>
              <w:contextualSpacing/>
              <w:jc w:val="center"/>
              <w:rPr>
                <w:sz w:val="22"/>
                <w:szCs w:val="22"/>
              </w:rPr>
            </w:pPr>
            <w:r w:rsidRPr="00264D5D">
              <w:rPr>
                <w:sz w:val="22"/>
                <w:szCs w:val="22"/>
              </w:rPr>
              <w:t>О</w:t>
            </w:r>
          </w:p>
        </w:tc>
        <w:tc>
          <w:tcPr>
            <w:tcW w:w="3963" w:type="dxa"/>
          </w:tcPr>
          <w:p w14:paraId="093DB4F5" w14:textId="77777777" w:rsidR="00AD1F54" w:rsidRPr="00264D5D" w:rsidRDefault="00941227">
            <w:pPr>
              <w:pStyle w:val="GOSTTablenorm"/>
              <w:widowControl w:val="0"/>
              <w:ind w:firstLine="3"/>
              <w:rPr>
                <w:szCs w:val="22"/>
              </w:rPr>
            </w:pPr>
            <w:r w:rsidRPr="00264D5D">
              <w:rPr>
                <w:szCs w:val="22"/>
              </w:rPr>
              <w:t xml:space="preserve">Указывается код ТОФК. </w:t>
            </w:r>
          </w:p>
          <w:p w14:paraId="1F53D227" w14:textId="77777777" w:rsidR="00AD1F54" w:rsidRPr="00264D5D" w:rsidRDefault="00941227">
            <w:pPr>
              <w:pStyle w:val="GOSTTablenorm"/>
              <w:widowControl w:val="0"/>
              <w:ind w:firstLine="3"/>
              <w:rPr>
                <w:szCs w:val="22"/>
              </w:rPr>
            </w:pPr>
            <w:r w:rsidRPr="00264D5D">
              <w:rPr>
                <w:szCs w:val="22"/>
              </w:rPr>
              <w:t>Поле заполняется в соответствии с ц</w:t>
            </w:r>
            <w:r w:rsidR="00E720ED" w:rsidRPr="00264D5D">
              <w:rPr>
                <w:szCs w:val="22"/>
              </w:rPr>
              <w:t>ентрализованным справочником ФК</w:t>
            </w:r>
          </w:p>
        </w:tc>
      </w:tr>
    </w:tbl>
    <w:p w14:paraId="5E51BF17" w14:textId="77777777" w:rsidR="00AD1F54" w:rsidRPr="00264D5D" w:rsidRDefault="00941227">
      <w:pPr>
        <w:pStyle w:val="31"/>
      </w:pPr>
      <w:bookmarkStart w:id="4626" w:name="_Toc51953105"/>
      <w:bookmarkStart w:id="4627" w:name="_Toc219309864"/>
      <w:r w:rsidRPr="00264D5D">
        <w:lastRenderedPageBreak/>
        <w:t>Описание комплексного типа «</w:t>
      </w:r>
      <w:r w:rsidRPr="00264D5D">
        <w:rPr>
          <w:rFonts w:eastAsia="Calibri"/>
          <w:lang w:eastAsia="en-US"/>
        </w:rPr>
        <w:t>tMSC_Bdgt4</w:t>
      </w:r>
      <w:r w:rsidRPr="00264D5D">
        <w:t>»</w:t>
      </w:r>
      <w:bookmarkEnd w:id="4627"/>
    </w:p>
    <w:p w14:paraId="011CB618" w14:textId="77777777" w:rsidR="00AD1F54" w:rsidRPr="00264D5D" w:rsidRDefault="00941227">
      <w:pPr>
        <w:pStyle w:val="ASFKNormal"/>
        <w:widowControl w:val="0"/>
        <w:jc w:val="both"/>
        <w:rPr>
          <w:rStyle w:val="GOSTNormal0"/>
        </w:rPr>
      </w:pPr>
      <w:r w:rsidRPr="00264D5D">
        <w:rPr>
          <w:rStyle w:val="GOSTNormal0"/>
        </w:rPr>
        <w:t xml:space="preserve">Описание комплексного </w:t>
      </w:r>
      <w:r w:rsidRPr="00264D5D">
        <w:rPr>
          <w:rStyle w:val="GOSTNormal0"/>
          <w:szCs w:val="24"/>
        </w:rPr>
        <w:t xml:space="preserve">типа </w:t>
      </w:r>
      <w:r w:rsidRPr="00264D5D">
        <w:rPr>
          <w:rStyle w:val="GOSTNormal0"/>
          <w:rFonts w:eastAsia="Calibri"/>
          <w:szCs w:val="24"/>
        </w:rPr>
        <w:t>«</w:t>
      </w:r>
      <w:r w:rsidRPr="00264D5D">
        <w:rPr>
          <w:rFonts w:eastAsia="Calibri"/>
          <w:sz w:val="24"/>
          <w:szCs w:val="24"/>
          <w:lang w:eastAsia="en-US"/>
        </w:rPr>
        <w:t>tMSC_Bdgt4</w:t>
      </w:r>
      <w:r w:rsidRPr="00264D5D">
        <w:rPr>
          <w:rStyle w:val="GOSTNormal0"/>
          <w:szCs w:val="24"/>
        </w:rPr>
        <w:t>» блока</w:t>
      </w:r>
      <w:r w:rsidRPr="00264D5D">
        <w:rPr>
          <w:rStyle w:val="GOSTNormal0"/>
        </w:rPr>
        <w:t xml:space="preserve"> «</w:t>
      </w:r>
      <w:r w:rsidRPr="00264D5D">
        <w:rPr>
          <w:sz w:val="24"/>
          <w:szCs w:val="24"/>
        </w:rPr>
        <w:t>Бюджет</w:t>
      </w:r>
      <w:r w:rsidRPr="00264D5D">
        <w:rPr>
          <w:rStyle w:val="GOSTNormal0"/>
        </w:rPr>
        <w:t>»</w:t>
      </w:r>
      <w:r w:rsidRPr="00264D5D">
        <w:rPr>
          <w:rStyle w:val="GOSTNormal0"/>
          <w:szCs w:val="24"/>
        </w:rPr>
        <w:t>.</w:t>
      </w:r>
    </w:p>
    <w:p w14:paraId="458256F0" w14:textId="3C485C9D" w:rsidR="00AD1F54" w:rsidRPr="00264D5D" w:rsidRDefault="001E5517">
      <w:pPr>
        <w:pStyle w:val="GOSTNameTable"/>
        <w:numPr>
          <w:ilvl w:val="0"/>
          <w:numId w:val="2"/>
        </w:numPr>
        <w:ind w:left="425" w:hanging="357"/>
      </w:pPr>
      <w:r w:rsidRPr="00264D5D">
        <w:rPr>
          <w:noProof/>
        </w:rPr>
        <w:fldChar w:fldCharType="begin"/>
      </w:r>
      <w:r w:rsidRPr="00264D5D">
        <w:rPr>
          <w:noProof/>
        </w:rPr>
        <w:instrText xml:space="preserve"> SEQ Таблица \* ARABIC </w:instrText>
      </w:r>
      <w:r w:rsidRPr="00264D5D">
        <w:rPr>
          <w:noProof/>
        </w:rPr>
        <w:fldChar w:fldCharType="separate"/>
      </w:r>
      <w:bookmarkStart w:id="4628" w:name="_Ref52108275"/>
      <w:bookmarkStart w:id="4629" w:name="_Toc219309399"/>
      <w:r w:rsidR="008D797C">
        <w:rPr>
          <w:noProof/>
        </w:rPr>
        <w:t>369</w:t>
      </w:r>
      <w:bookmarkEnd w:id="4628"/>
      <w:r w:rsidRPr="00264D5D">
        <w:rPr>
          <w:noProof/>
        </w:rPr>
        <w:fldChar w:fldCharType="end"/>
      </w:r>
      <w:r w:rsidR="00941227" w:rsidRPr="00264D5D">
        <w:rPr>
          <w:rFonts w:eastAsia="Calibri"/>
          <w:szCs w:val="24"/>
        </w:rPr>
        <w:t xml:space="preserve"> –</w:t>
      </w:r>
      <w:r w:rsidR="00941227" w:rsidRPr="00264D5D">
        <w:t xml:space="preserve"> Описание комплексного типа «</w:t>
      </w:r>
      <w:r w:rsidR="00941227" w:rsidRPr="00264D5D">
        <w:rPr>
          <w:rFonts w:eastAsia="Calibri"/>
          <w:lang w:eastAsia="en-US"/>
        </w:rPr>
        <w:t>tMSC_Bdgt4</w:t>
      </w:r>
      <w:r w:rsidR="00941227" w:rsidRPr="00264D5D">
        <w:t>»</w:t>
      </w:r>
      <w:bookmarkEnd w:id="4629"/>
    </w:p>
    <w:tbl>
      <w:tblPr>
        <w:tblStyle w:val="GOSTTable"/>
        <w:tblW w:w="5000" w:type="pct"/>
        <w:tblLayout w:type="fixed"/>
        <w:tblLook w:val="04A0" w:firstRow="1" w:lastRow="0" w:firstColumn="1" w:lastColumn="0" w:noHBand="0" w:noVBand="1"/>
      </w:tblPr>
      <w:tblGrid>
        <w:gridCol w:w="1704"/>
        <w:gridCol w:w="1704"/>
        <w:gridCol w:w="568"/>
        <w:gridCol w:w="1136"/>
        <w:gridCol w:w="568"/>
        <w:gridCol w:w="3970"/>
      </w:tblGrid>
      <w:tr w:rsidR="00AD1F54" w:rsidRPr="00264D5D" w14:paraId="51C9B4F4"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344E1313" w14:textId="77777777" w:rsidR="00AD1F54" w:rsidRPr="00264D5D" w:rsidRDefault="00941227">
            <w:pPr>
              <w:pStyle w:val="ASFKTableHead"/>
            </w:pPr>
            <w:r w:rsidRPr="00264D5D">
              <w:t>Наименование элемента</w:t>
            </w:r>
          </w:p>
        </w:tc>
        <w:tc>
          <w:tcPr>
            <w:tcW w:w="1701" w:type="dxa"/>
          </w:tcPr>
          <w:p w14:paraId="323E95B2" w14:textId="77777777" w:rsidR="00AD1F54" w:rsidRPr="00264D5D" w:rsidRDefault="00941227">
            <w:pPr>
              <w:pStyle w:val="ASFKTableHead"/>
            </w:pPr>
            <w:r w:rsidRPr="00264D5D">
              <w:t>Сокращенное наименование (код) элемента</w:t>
            </w:r>
          </w:p>
        </w:tc>
        <w:tc>
          <w:tcPr>
            <w:tcW w:w="567" w:type="dxa"/>
          </w:tcPr>
          <w:p w14:paraId="2601A6AE" w14:textId="77777777" w:rsidR="00AD1F54" w:rsidRPr="00264D5D" w:rsidRDefault="00941227">
            <w:pPr>
              <w:pStyle w:val="ASFKTableHead"/>
            </w:pPr>
            <w:r w:rsidRPr="00264D5D">
              <w:t>Тип</w:t>
            </w:r>
          </w:p>
        </w:tc>
        <w:tc>
          <w:tcPr>
            <w:tcW w:w="1134" w:type="dxa"/>
          </w:tcPr>
          <w:p w14:paraId="286432F6" w14:textId="77777777" w:rsidR="00AD1F54" w:rsidRPr="00264D5D" w:rsidRDefault="00941227">
            <w:pPr>
              <w:pStyle w:val="ASFKTableHead"/>
            </w:pPr>
            <w:r w:rsidRPr="00264D5D">
              <w:t>Формат элемента</w:t>
            </w:r>
          </w:p>
        </w:tc>
        <w:tc>
          <w:tcPr>
            <w:tcW w:w="567" w:type="dxa"/>
          </w:tcPr>
          <w:p w14:paraId="2703C15D" w14:textId="77777777" w:rsidR="00AD1F54" w:rsidRPr="00264D5D" w:rsidRDefault="00941227">
            <w:pPr>
              <w:pStyle w:val="ASFKTableHead"/>
            </w:pPr>
            <w:r w:rsidRPr="00264D5D">
              <w:t>Обязательность</w:t>
            </w:r>
          </w:p>
        </w:tc>
        <w:tc>
          <w:tcPr>
            <w:tcW w:w="3963" w:type="dxa"/>
          </w:tcPr>
          <w:p w14:paraId="561DD6E3" w14:textId="77777777" w:rsidR="00AD1F54" w:rsidRPr="00264D5D" w:rsidRDefault="00941227">
            <w:pPr>
              <w:pStyle w:val="ASFKTableHead"/>
            </w:pPr>
            <w:r w:rsidRPr="00264D5D">
              <w:t>Дополнительная информация</w:t>
            </w:r>
          </w:p>
        </w:tc>
      </w:tr>
      <w:tr w:rsidR="00AD1F54" w:rsidRPr="00264D5D" w14:paraId="123934F8" w14:textId="77777777" w:rsidTr="00AD1F54">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22FE376" w14:textId="77777777" w:rsidR="00AD1F54" w:rsidRPr="00264D5D" w:rsidRDefault="00941227">
            <w:pPr>
              <w:pStyle w:val="GOSTTablenorm"/>
              <w:widowControl w:val="0"/>
              <w:rPr>
                <w:szCs w:val="22"/>
              </w:rPr>
            </w:pPr>
            <w:r w:rsidRPr="00264D5D">
              <w:rPr>
                <w:szCs w:val="22"/>
              </w:rPr>
              <w:t>Наименование бюджета</w:t>
            </w:r>
          </w:p>
        </w:tc>
        <w:tc>
          <w:tcPr>
            <w:tcW w:w="1701" w:type="dxa"/>
          </w:tcPr>
          <w:p w14:paraId="4235F225" w14:textId="77777777" w:rsidR="00AD1F54" w:rsidRPr="00264D5D" w:rsidRDefault="00941227">
            <w:pPr>
              <w:widowControl w:val="0"/>
              <w:spacing w:before="60" w:after="60"/>
              <w:ind w:firstLine="3"/>
              <w:contextualSpacing/>
              <w:rPr>
                <w:sz w:val="22"/>
                <w:szCs w:val="22"/>
              </w:rPr>
            </w:pPr>
            <w:r w:rsidRPr="00264D5D">
              <w:rPr>
                <w:sz w:val="22"/>
                <w:szCs w:val="22"/>
              </w:rPr>
              <w:t>Nm</w:t>
            </w:r>
          </w:p>
        </w:tc>
        <w:tc>
          <w:tcPr>
            <w:tcW w:w="567" w:type="dxa"/>
          </w:tcPr>
          <w:p w14:paraId="2A974BD6" w14:textId="77777777" w:rsidR="00AD1F54" w:rsidRPr="00264D5D" w:rsidRDefault="00941227">
            <w:pPr>
              <w:pStyle w:val="GOSTTablenorm"/>
              <w:widowControl w:val="0"/>
              <w:ind w:firstLine="3"/>
              <w:jc w:val="center"/>
              <w:rPr>
                <w:szCs w:val="22"/>
              </w:rPr>
            </w:pPr>
            <w:r w:rsidRPr="00264D5D">
              <w:rPr>
                <w:szCs w:val="22"/>
              </w:rPr>
              <w:t>П</w:t>
            </w:r>
          </w:p>
        </w:tc>
        <w:tc>
          <w:tcPr>
            <w:tcW w:w="1134" w:type="dxa"/>
          </w:tcPr>
          <w:p w14:paraId="094514C8" w14:textId="77777777" w:rsidR="00AD1F54" w:rsidRPr="00264D5D" w:rsidRDefault="00941227">
            <w:pPr>
              <w:pStyle w:val="GOSTTablenorm"/>
              <w:widowControl w:val="0"/>
              <w:ind w:firstLine="3"/>
              <w:rPr>
                <w:szCs w:val="22"/>
              </w:rPr>
            </w:pPr>
            <w:r w:rsidRPr="00264D5D">
              <w:rPr>
                <w:szCs w:val="22"/>
              </w:rPr>
              <w:t>Т(1-2000)</w:t>
            </w:r>
          </w:p>
        </w:tc>
        <w:tc>
          <w:tcPr>
            <w:tcW w:w="567" w:type="dxa"/>
          </w:tcPr>
          <w:p w14:paraId="3A3AED6F" w14:textId="77777777" w:rsidR="00AD1F54" w:rsidRPr="00264D5D" w:rsidRDefault="00941227">
            <w:pPr>
              <w:widowControl w:val="0"/>
              <w:spacing w:before="60" w:after="60"/>
              <w:ind w:firstLine="3"/>
              <w:contextualSpacing/>
              <w:jc w:val="center"/>
              <w:rPr>
                <w:sz w:val="22"/>
                <w:szCs w:val="22"/>
              </w:rPr>
            </w:pPr>
            <w:r w:rsidRPr="00264D5D">
              <w:rPr>
                <w:sz w:val="22"/>
                <w:szCs w:val="22"/>
              </w:rPr>
              <w:t>Н</w:t>
            </w:r>
          </w:p>
        </w:tc>
        <w:tc>
          <w:tcPr>
            <w:tcW w:w="3963" w:type="dxa"/>
          </w:tcPr>
          <w:p w14:paraId="01B39EAF" w14:textId="77777777" w:rsidR="00AD1F54" w:rsidRPr="00264D5D" w:rsidRDefault="00941227">
            <w:pPr>
              <w:pStyle w:val="GOSTTablenorm"/>
              <w:widowControl w:val="0"/>
              <w:ind w:firstLine="3"/>
              <w:rPr>
                <w:szCs w:val="22"/>
              </w:rPr>
            </w:pPr>
            <w:r w:rsidRPr="00264D5D">
              <w:rPr>
                <w:szCs w:val="22"/>
              </w:rPr>
              <w:t xml:space="preserve">Указывается наименование бюджета. </w:t>
            </w:r>
          </w:p>
          <w:p w14:paraId="62DB4D81" w14:textId="77777777" w:rsidR="00AD1F54" w:rsidRPr="00264D5D" w:rsidRDefault="00941227">
            <w:pPr>
              <w:pStyle w:val="GOSTTablenorm"/>
              <w:widowControl w:val="0"/>
              <w:ind w:firstLine="3"/>
              <w:rPr>
                <w:szCs w:val="22"/>
              </w:rPr>
            </w:pPr>
            <w:r w:rsidRPr="00264D5D">
              <w:rPr>
                <w:szCs w:val="22"/>
              </w:rPr>
              <w:t>Поле заполняется в соответствии с ц</w:t>
            </w:r>
            <w:r w:rsidR="00E720ED" w:rsidRPr="00264D5D">
              <w:rPr>
                <w:szCs w:val="22"/>
              </w:rPr>
              <w:t>ентрализованным справочником ФК</w:t>
            </w:r>
          </w:p>
        </w:tc>
      </w:tr>
      <w:tr w:rsidR="00AD1F54" w:rsidRPr="00264D5D" w14:paraId="1317DE3D" w14:textId="77777777" w:rsidTr="00AD1F54">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7B1D62D" w14:textId="77777777" w:rsidR="00AD1F54" w:rsidRPr="00264D5D" w:rsidRDefault="00941227">
            <w:pPr>
              <w:pStyle w:val="GOSTTablenorm"/>
              <w:widowControl w:val="0"/>
              <w:rPr>
                <w:szCs w:val="22"/>
              </w:rPr>
            </w:pPr>
            <w:r w:rsidRPr="00264D5D">
              <w:rPr>
                <w:szCs w:val="22"/>
              </w:rPr>
              <w:t>Код бюджета</w:t>
            </w:r>
          </w:p>
        </w:tc>
        <w:tc>
          <w:tcPr>
            <w:tcW w:w="1701" w:type="dxa"/>
          </w:tcPr>
          <w:p w14:paraId="3C724C26" w14:textId="77777777" w:rsidR="00AD1F54" w:rsidRPr="00264D5D" w:rsidRDefault="00941227">
            <w:pPr>
              <w:widowControl w:val="0"/>
              <w:spacing w:before="60" w:after="60"/>
              <w:ind w:firstLine="3"/>
              <w:contextualSpacing/>
              <w:rPr>
                <w:sz w:val="22"/>
                <w:szCs w:val="22"/>
              </w:rPr>
            </w:pPr>
            <w:r w:rsidRPr="00264D5D">
              <w:rPr>
                <w:sz w:val="22"/>
                <w:szCs w:val="22"/>
              </w:rPr>
              <w:t>Cd</w:t>
            </w:r>
          </w:p>
        </w:tc>
        <w:tc>
          <w:tcPr>
            <w:tcW w:w="567" w:type="dxa"/>
          </w:tcPr>
          <w:p w14:paraId="07E01271" w14:textId="77777777" w:rsidR="00AD1F54" w:rsidRPr="00264D5D" w:rsidRDefault="00941227">
            <w:pPr>
              <w:pStyle w:val="GOSTTablenorm"/>
              <w:widowControl w:val="0"/>
              <w:ind w:firstLine="3"/>
              <w:jc w:val="center"/>
              <w:rPr>
                <w:szCs w:val="22"/>
              </w:rPr>
            </w:pPr>
            <w:r w:rsidRPr="00264D5D">
              <w:rPr>
                <w:szCs w:val="22"/>
              </w:rPr>
              <w:t>П</w:t>
            </w:r>
          </w:p>
        </w:tc>
        <w:tc>
          <w:tcPr>
            <w:tcW w:w="1134" w:type="dxa"/>
          </w:tcPr>
          <w:p w14:paraId="3A303B37" w14:textId="77777777" w:rsidR="00AD1F54" w:rsidRPr="00264D5D" w:rsidRDefault="00941227">
            <w:pPr>
              <w:pStyle w:val="GOSTTablenorm"/>
              <w:widowControl w:val="0"/>
              <w:ind w:firstLine="3"/>
              <w:rPr>
                <w:szCs w:val="22"/>
              </w:rPr>
            </w:pPr>
            <w:r w:rsidRPr="00264D5D">
              <w:rPr>
                <w:szCs w:val="22"/>
              </w:rPr>
              <w:t>Т(8)</w:t>
            </w:r>
          </w:p>
        </w:tc>
        <w:tc>
          <w:tcPr>
            <w:tcW w:w="567" w:type="dxa"/>
          </w:tcPr>
          <w:p w14:paraId="675C6F5D" w14:textId="77777777" w:rsidR="00AD1F54" w:rsidRPr="00264D5D" w:rsidRDefault="00941227">
            <w:pPr>
              <w:widowControl w:val="0"/>
              <w:spacing w:before="60" w:after="60"/>
              <w:ind w:firstLine="3"/>
              <w:contextualSpacing/>
              <w:jc w:val="center"/>
              <w:rPr>
                <w:sz w:val="22"/>
                <w:szCs w:val="22"/>
              </w:rPr>
            </w:pPr>
            <w:r w:rsidRPr="00264D5D">
              <w:rPr>
                <w:sz w:val="22"/>
                <w:szCs w:val="22"/>
              </w:rPr>
              <w:t>О</w:t>
            </w:r>
          </w:p>
        </w:tc>
        <w:tc>
          <w:tcPr>
            <w:tcW w:w="3963" w:type="dxa"/>
          </w:tcPr>
          <w:p w14:paraId="60294070" w14:textId="77777777" w:rsidR="00AD1F54" w:rsidRPr="00264D5D" w:rsidRDefault="00941227">
            <w:pPr>
              <w:pStyle w:val="GOSTTablenorm"/>
              <w:widowControl w:val="0"/>
              <w:ind w:firstLine="3"/>
              <w:rPr>
                <w:szCs w:val="22"/>
              </w:rPr>
            </w:pPr>
            <w:r w:rsidRPr="00264D5D">
              <w:rPr>
                <w:szCs w:val="22"/>
              </w:rPr>
              <w:t xml:space="preserve">Указывается код бюджета. </w:t>
            </w:r>
          </w:p>
          <w:p w14:paraId="2999F9FB" w14:textId="77777777" w:rsidR="00AD1F54" w:rsidRPr="00264D5D" w:rsidRDefault="00941227">
            <w:pPr>
              <w:pStyle w:val="GOSTTablenorm"/>
              <w:widowControl w:val="0"/>
              <w:ind w:firstLine="3"/>
              <w:rPr>
                <w:szCs w:val="22"/>
              </w:rPr>
            </w:pPr>
            <w:r w:rsidRPr="00264D5D">
              <w:rPr>
                <w:szCs w:val="22"/>
              </w:rPr>
              <w:t>Поле заполняется в соответствии с ц</w:t>
            </w:r>
            <w:r w:rsidR="00E720ED" w:rsidRPr="00264D5D">
              <w:rPr>
                <w:szCs w:val="22"/>
              </w:rPr>
              <w:t>ентрализованным справочником ФК</w:t>
            </w:r>
          </w:p>
        </w:tc>
      </w:tr>
    </w:tbl>
    <w:p w14:paraId="15B58BA7" w14:textId="77777777" w:rsidR="00AD1F54" w:rsidRPr="00264D5D" w:rsidRDefault="00941227">
      <w:pPr>
        <w:pStyle w:val="31"/>
      </w:pPr>
      <w:bookmarkStart w:id="4630" w:name="_Toc219309865"/>
      <w:r w:rsidRPr="00264D5D">
        <w:t>Описание комплексного типа «tTF»</w:t>
      </w:r>
      <w:bookmarkEnd w:id="4626"/>
      <w:bookmarkEnd w:id="4630"/>
    </w:p>
    <w:p w14:paraId="70BB2FB3" w14:textId="77777777" w:rsidR="00AD1F54" w:rsidRPr="00264D5D" w:rsidRDefault="00941227">
      <w:pPr>
        <w:pStyle w:val="GOSTNormal"/>
        <w:keepNext/>
        <w:keepLines/>
      </w:pPr>
      <w:r w:rsidRPr="00264D5D">
        <w:t xml:space="preserve">Описание комплексного типа </w:t>
      </w:r>
      <w:r w:rsidRPr="00264D5D">
        <w:rPr>
          <w:rFonts w:eastAsia="Calibri"/>
        </w:rPr>
        <w:t>«</w:t>
      </w:r>
      <w:r w:rsidRPr="00264D5D">
        <w:t>tTF» блока «Системная информация».</w:t>
      </w:r>
    </w:p>
    <w:p w14:paraId="5821E268" w14:textId="6E702BC0" w:rsidR="00AD1F54" w:rsidRPr="00264D5D" w:rsidRDefault="00941227">
      <w:pPr>
        <w:pStyle w:val="GOSTNameTable"/>
        <w:numPr>
          <w:ilvl w:val="0"/>
          <w:numId w:val="2"/>
        </w:numPr>
        <w:ind w:left="425" w:hanging="357"/>
        <w:rPr>
          <w:rFonts w:eastAsia="Calibri"/>
        </w:rPr>
      </w:pPr>
      <w:r w:rsidRPr="00264D5D">
        <w:rPr>
          <w:rFonts w:eastAsia="Calibri"/>
        </w:rPr>
        <w:fldChar w:fldCharType="begin"/>
      </w:r>
      <w:r w:rsidRPr="00264D5D">
        <w:rPr>
          <w:rFonts w:eastAsia="Calibri"/>
        </w:rPr>
        <w:instrText xml:space="preserve"> SEQ Таблица \* ARABIC </w:instrText>
      </w:r>
      <w:r w:rsidRPr="00264D5D">
        <w:rPr>
          <w:rFonts w:eastAsia="Calibri"/>
        </w:rPr>
        <w:fldChar w:fldCharType="separate"/>
      </w:r>
      <w:bookmarkStart w:id="4631" w:name="_Ref47548336"/>
      <w:bookmarkStart w:id="4632" w:name="_Toc219309400"/>
      <w:r w:rsidR="008D797C">
        <w:rPr>
          <w:rFonts w:eastAsia="Calibri"/>
          <w:noProof/>
        </w:rPr>
        <w:t>370</w:t>
      </w:r>
      <w:bookmarkEnd w:id="4631"/>
      <w:r w:rsidRPr="00264D5D">
        <w:rPr>
          <w:rFonts w:eastAsia="Calibri"/>
        </w:rPr>
        <w:fldChar w:fldCharType="end"/>
      </w:r>
      <w:r w:rsidRPr="00264D5D">
        <w:rPr>
          <w:rFonts w:eastAsia="Calibri"/>
        </w:rPr>
        <w:t xml:space="preserve"> </w:t>
      </w:r>
      <w:r w:rsidRPr="00264D5D">
        <w:rPr>
          <w:rFonts w:eastAsia="Calibri"/>
          <w:szCs w:val="24"/>
        </w:rPr>
        <w:t>–</w:t>
      </w:r>
      <w:r w:rsidRPr="00264D5D">
        <w:rPr>
          <w:rFonts w:eastAsia="Calibri"/>
        </w:rPr>
        <w:t xml:space="preserve"> Описание комплексного типа </w:t>
      </w:r>
      <w:r w:rsidRPr="00264D5D">
        <w:rPr>
          <w:rFonts w:eastAsia="Calibri"/>
          <w:szCs w:val="24"/>
        </w:rPr>
        <w:t>«</w:t>
      </w:r>
      <w:r w:rsidRPr="00264D5D">
        <w:rPr>
          <w:szCs w:val="24"/>
        </w:rPr>
        <w:t>tTF</w:t>
      </w:r>
      <w:r w:rsidRPr="00264D5D">
        <w:rPr>
          <w:rFonts w:eastAsia="Calibri"/>
          <w:szCs w:val="24"/>
        </w:rPr>
        <w:t>»</w:t>
      </w:r>
      <w:bookmarkEnd w:id="4632"/>
    </w:p>
    <w:tbl>
      <w:tblPr>
        <w:tblStyle w:val="GOSTTable"/>
        <w:tblW w:w="5000" w:type="pct"/>
        <w:tblLayout w:type="fixed"/>
        <w:tblLook w:val="01E0" w:firstRow="1" w:lastRow="1" w:firstColumn="1" w:lastColumn="1" w:noHBand="0" w:noVBand="0"/>
      </w:tblPr>
      <w:tblGrid>
        <w:gridCol w:w="1703"/>
        <w:gridCol w:w="1704"/>
        <w:gridCol w:w="568"/>
        <w:gridCol w:w="1136"/>
        <w:gridCol w:w="568"/>
        <w:gridCol w:w="3971"/>
      </w:tblGrid>
      <w:tr w:rsidR="00AD1F54" w:rsidRPr="00264D5D" w14:paraId="2724D22B"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699" w:type="dxa"/>
          </w:tcPr>
          <w:p w14:paraId="26F79DB4" w14:textId="77777777" w:rsidR="00AD1F54" w:rsidRPr="00264D5D" w:rsidRDefault="00941227">
            <w:pPr>
              <w:pStyle w:val="ASFKTableHead"/>
            </w:pPr>
            <w:r w:rsidRPr="00264D5D">
              <w:t>Наименование элемента</w:t>
            </w:r>
          </w:p>
        </w:tc>
        <w:tc>
          <w:tcPr>
            <w:tcW w:w="1701" w:type="dxa"/>
          </w:tcPr>
          <w:p w14:paraId="0469C7C7" w14:textId="77777777" w:rsidR="00AD1F54" w:rsidRPr="00264D5D" w:rsidRDefault="00941227">
            <w:pPr>
              <w:pStyle w:val="ASFKTableHead"/>
            </w:pPr>
            <w:r w:rsidRPr="00264D5D">
              <w:t>Сокращенное наименование (код) элемента</w:t>
            </w:r>
          </w:p>
        </w:tc>
        <w:tc>
          <w:tcPr>
            <w:tcW w:w="567" w:type="dxa"/>
          </w:tcPr>
          <w:p w14:paraId="6921D869" w14:textId="77777777" w:rsidR="00AD1F54" w:rsidRPr="00264D5D" w:rsidRDefault="00941227">
            <w:pPr>
              <w:pStyle w:val="ASFKTableHead"/>
            </w:pPr>
            <w:r w:rsidRPr="00264D5D">
              <w:t>Тип</w:t>
            </w:r>
          </w:p>
        </w:tc>
        <w:tc>
          <w:tcPr>
            <w:tcW w:w="1134" w:type="dxa"/>
          </w:tcPr>
          <w:p w14:paraId="52781A0C" w14:textId="77777777" w:rsidR="00AD1F54" w:rsidRPr="00264D5D" w:rsidRDefault="00941227">
            <w:pPr>
              <w:pStyle w:val="ASFKTableHead"/>
            </w:pPr>
            <w:r w:rsidRPr="00264D5D">
              <w:t>Формат элемента</w:t>
            </w:r>
          </w:p>
        </w:tc>
        <w:tc>
          <w:tcPr>
            <w:tcW w:w="567" w:type="dxa"/>
          </w:tcPr>
          <w:p w14:paraId="648C1965" w14:textId="77777777" w:rsidR="00AD1F54" w:rsidRPr="00264D5D" w:rsidRDefault="00941227">
            <w:pPr>
              <w:pStyle w:val="ASFKTableHead"/>
            </w:pPr>
            <w:r w:rsidRPr="00264D5D">
              <w:t>Обязательность</w:t>
            </w:r>
          </w:p>
        </w:tc>
        <w:tc>
          <w:tcPr>
            <w:tcW w:w="3963" w:type="dxa"/>
          </w:tcPr>
          <w:p w14:paraId="6DB72C21" w14:textId="77777777" w:rsidR="00AD1F54" w:rsidRPr="00264D5D" w:rsidRDefault="00941227">
            <w:pPr>
              <w:pStyle w:val="ASFKTableHead"/>
            </w:pPr>
            <w:r w:rsidRPr="00264D5D">
              <w:t>Дополнительная информация</w:t>
            </w:r>
          </w:p>
        </w:tc>
      </w:tr>
      <w:tr w:rsidR="00AD1F54" w:rsidRPr="00264D5D" w14:paraId="3926F557" w14:textId="77777777" w:rsidTr="00AD1F54">
        <w:trPr>
          <w:cnfStyle w:val="000000100000" w:firstRow="0" w:lastRow="0" w:firstColumn="0" w:lastColumn="0" w:oddVBand="0" w:evenVBand="0" w:oddHBand="1" w:evenHBand="0" w:firstRowFirstColumn="0" w:firstRowLastColumn="0" w:lastRowFirstColumn="0" w:lastRowLastColumn="0"/>
        </w:trPr>
        <w:tc>
          <w:tcPr>
            <w:tcW w:w="1699" w:type="dxa"/>
          </w:tcPr>
          <w:p w14:paraId="4A9F8FEA" w14:textId="77777777" w:rsidR="00AD1F54" w:rsidRPr="00264D5D" w:rsidRDefault="00941227">
            <w:pPr>
              <w:pStyle w:val="GOSTTablenorm"/>
              <w:keepNext/>
              <w:keepLines/>
            </w:pPr>
            <w:r w:rsidRPr="00264D5D">
              <w:t>Глобальный уникальный идентификатор</w:t>
            </w:r>
          </w:p>
        </w:tc>
        <w:tc>
          <w:tcPr>
            <w:tcW w:w="1701" w:type="dxa"/>
          </w:tcPr>
          <w:p w14:paraId="6660EB1B" w14:textId="77777777" w:rsidR="00AD1F54" w:rsidRPr="00264D5D" w:rsidRDefault="00941227">
            <w:pPr>
              <w:pStyle w:val="GOSTTablenorm"/>
              <w:keepNext/>
              <w:keepLines/>
            </w:pPr>
            <w:r w:rsidRPr="00264D5D">
              <w:t xml:space="preserve"> GUID</w:t>
            </w:r>
          </w:p>
        </w:tc>
        <w:tc>
          <w:tcPr>
            <w:tcW w:w="567" w:type="dxa"/>
          </w:tcPr>
          <w:p w14:paraId="2F28689D" w14:textId="77777777" w:rsidR="00AD1F54" w:rsidRPr="00264D5D" w:rsidRDefault="00941227">
            <w:pPr>
              <w:pStyle w:val="GOSTTablenorm"/>
              <w:keepNext/>
              <w:keepLines/>
              <w:jc w:val="center"/>
            </w:pPr>
            <w:r w:rsidRPr="00264D5D">
              <w:t>П</w:t>
            </w:r>
          </w:p>
        </w:tc>
        <w:tc>
          <w:tcPr>
            <w:tcW w:w="1134" w:type="dxa"/>
          </w:tcPr>
          <w:p w14:paraId="3C4227E7" w14:textId="77777777" w:rsidR="00AD1F54" w:rsidRPr="00264D5D" w:rsidRDefault="00941227">
            <w:pPr>
              <w:pStyle w:val="GOSTTablenorm"/>
              <w:keepNext/>
              <w:keepLines/>
              <w:rPr>
                <w:lang w:val="en-US"/>
              </w:rPr>
            </w:pPr>
            <w:r w:rsidRPr="00264D5D">
              <w:t>GUID</w:t>
            </w:r>
          </w:p>
        </w:tc>
        <w:tc>
          <w:tcPr>
            <w:tcW w:w="567" w:type="dxa"/>
          </w:tcPr>
          <w:p w14:paraId="51018CBA" w14:textId="77777777" w:rsidR="00AD1F54" w:rsidRPr="00264D5D" w:rsidRDefault="00941227">
            <w:pPr>
              <w:pStyle w:val="GOSTTablenorm"/>
              <w:keepNext/>
              <w:keepLines/>
              <w:jc w:val="center"/>
              <w:rPr>
                <w:lang w:val="en-US"/>
              </w:rPr>
            </w:pPr>
            <w:r w:rsidRPr="00264D5D">
              <w:t>О</w:t>
            </w:r>
          </w:p>
        </w:tc>
        <w:tc>
          <w:tcPr>
            <w:tcW w:w="3963" w:type="dxa"/>
          </w:tcPr>
          <w:p w14:paraId="4380A42C" w14:textId="77777777" w:rsidR="00AD1F54" w:rsidRPr="00264D5D" w:rsidRDefault="00941227">
            <w:pPr>
              <w:pStyle w:val="GOSTTablenorm"/>
              <w:keepNext/>
              <w:keepLines/>
            </w:pPr>
            <w:r w:rsidRPr="00264D5D">
              <w:t>Слу</w:t>
            </w:r>
            <w:r w:rsidR="00E720ED" w:rsidRPr="00264D5D">
              <w:t>жебное поле, заполняется в ТОФК</w:t>
            </w:r>
          </w:p>
        </w:tc>
      </w:tr>
    </w:tbl>
    <w:p w14:paraId="269EDDC7" w14:textId="77777777" w:rsidR="00AD1F54" w:rsidRPr="00264D5D" w:rsidRDefault="00941227">
      <w:pPr>
        <w:pStyle w:val="31"/>
      </w:pPr>
      <w:bookmarkStart w:id="4633" w:name="_Toc51953106"/>
      <w:bookmarkStart w:id="4634" w:name="_Toc219309866"/>
      <w:r w:rsidRPr="00264D5D">
        <w:t>Пример XML</w:t>
      </w:r>
      <w:bookmarkEnd w:id="4633"/>
      <w:bookmarkEnd w:id="4634"/>
    </w:p>
    <w:p w14:paraId="37AEE69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&lt;?xml version="1.0" encoding="UTF-8"?&gt;</w:t>
      </w:r>
    </w:p>
    <w:p w14:paraId="4BD1441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&lt;self:SKP_REQREP_KS versionID="1.0" xsi:schemaLocation="http://www.roskazna.ru/eb/domain/SKP_REQREP_KS/formular formulars.xsd" xmlns:self="http://www.roskazna.ru/eb/domain/SKP_REQREP_KS/formular" xmlns:xsi="http://www.w3.org/2001/XMLSchema-instance"&gt;</w:t>
      </w:r>
    </w:p>
    <w:p w14:paraId="362EDFC8"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&lt;TtlPrt_DocNum&gt;4535&lt;/TtlPrt_DocNum&gt;</w:t>
      </w:r>
    </w:p>
    <w:p w14:paraId="3F4BCDE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&lt;TtlPrt_DocDate&gt;2021-01-13&lt;/TtlPrt_DocDate&gt;</w:t>
      </w:r>
    </w:p>
    <w:p w14:paraId="5A27E7D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&lt;TtlPrt_TOFK&gt;</w:t>
      </w:r>
    </w:p>
    <w:p w14:paraId="47F729A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&lt;Nm&gt;УФК по г.Москве, г.Москва&lt;/Nm&gt;</w:t>
      </w:r>
    </w:p>
    <w:p w14:paraId="7004FA9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&lt;Cd&gt;7300&lt;/Cd&gt;</w:t>
      </w:r>
    </w:p>
    <w:p w14:paraId="0A0EBC1E"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&lt;/TtlPrt_TOFK&gt;</w:t>
      </w:r>
    </w:p>
    <w:p w14:paraId="72537A2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&lt;TtlPrt_Budget&gt;</w:t>
      </w:r>
    </w:p>
    <w:p w14:paraId="078301CB"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t xml:space="preserve">       </w:t>
      </w:r>
      <w:r w:rsidRPr="00264D5D">
        <w:rPr>
          <w:rFonts w:cs="Courier New"/>
          <w:sz w:val="20"/>
          <w:lang w:val="ru-RU"/>
        </w:rPr>
        <w:t>&lt;</w:t>
      </w:r>
      <w:r w:rsidRPr="00264D5D">
        <w:rPr>
          <w:rFonts w:cs="Courier New"/>
          <w:sz w:val="20"/>
        </w:rPr>
        <w:t>Nm</w:t>
      </w:r>
      <w:r w:rsidRPr="00264D5D">
        <w:rPr>
          <w:rFonts w:cs="Courier New"/>
          <w:sz w:val="20"/>
          <w:lang w:val="ru-RU"/>
        </w:rPr>
        <w:t>&gt;Федеральный бюджет&lt;/</w:t>
      </w:r>
      <w:r w:rsidRPr="00264D5D">
        <w:rPr>
          <w:rFonts w:cs="Courier New"/>
          <w:sz w:val="20"/>
        </w:rPr>
        <w:t>Nm</w:t>
      </w:r>
      <w:r w:rsidRPr="00264D5D">
        <w:rPr>
          <w:rFonts w:cs="Courier New"/>
          <w:sz w:val="20"/>
          <w:lang w:val="ru-RU"/>
        </w:rPr>
        <w:t>&gt;</w:t>
      </w:r>
    </w:p>
    <w:p w14:paraId="47E87C8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lang w:val="ru-RU"/>
        </w:rPr>
        <w:tab/>
        <w:t xml:space="preserve">       &lt;</w:t>
      </w:r>
      <w:r w:rsidRPr="00264D5D">
        <w:rPr>
          <w:rFonts w:cs="Courier New"/>
          <w:sz w:val="20"/>
        </w:rPr>
        <w:t>Cd</w:t>
      </w:r>
      <w:r w:rsidRPr="00264D5D">
        <w:rPr>
          <w:rFonts w:cs="Courier New"/>
          <w:sz w:val="20"/>
          <w:lang w:val="ru-RU"/>
        </w:rPr>
        <w:t>&gt;99010001&lt;/</w:t>
      </w:r>
      <w:r w:rsidRPr="00264D5D">
        <w:rPr>
          <w:rFonts w:cs="Courier New"/>
          <w:sz w:val="20"/>
        </w:rPr>
        <w:t>Cd</w:t>
      </w:r>
      <w:r w:rsidRPr="00264D5D">
        <w:rPr>
          <w:rFonts w:cs="Courier New"/>
          <w:sz w:val="20"/>
          <w:lang w:val="ru-RU"/>
        </w:rPr>
        <w:t>&gt;</w:t>
      </w:r>
    </w:p>
    <w:p w14:paraId="3CFDE7DD"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&lt;/TtlPrt_Budget&gt;</w:t>
      </w:r>
    </w:p>
    <w:p w14:paraId="73B4D230"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&lt;TtlPrt_ClientCd&gt;45259200&lt;/TtlPrt_ClientCd&gt;</w:t>
      </w:r>
    </w:p>
    <w:p w14:paraId="7AF0718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lang w:val="ru-RU"/>
        </w:rPr>
        <w:t>&lt;</w:t>
      </w:r>
      <w:r w:rsidRPr="00264D5D">
        <w:rPr>
          <w:rFonts w:cs="Courier New"/>
          <w:sz w:val="20"/>
        </w:rPr>
        <w:t>TtlPrt</w:t>
      </w:r>
      <w:r w:rsidRPr="00264D5D">
        <w:rPr>
          <w:rFonts w:cs="Courier New"/>
          <w:sz w:val="20"/>
          <w:lang w:val="ru-RU"/>
        </w:rPr>
        <w:t>_</w:t>
      </w:r>
      <w:r w:rsidRPr="00264D5D">
        <w:rPr>
          <w:rFonts w:cs="Courier New"/>
          <w:sz w:val="20"/>
        </w:rPr>
        <w:t>ClientNm</w:t>
      </w:r>
      <w:r w:rsidRPr="00264D5D">
        <w:rPr>
          <w:rFonts w:cs="Courier New"/>
          <w:sz w:val="20"/>
          <w:lang w:val="ru-RU"/>
        </w:rPr>
        <w:t>&gt;ДЕПАРТАМЕНТ ФИНАНСОВ ГОРОДА МОСКВЫ&lt;/</w:t>
      </w:r>
      <w:r w:rsidRPr="00264D5D">
        <w:rPr>
          <w:rFonts w:cs="Courier New"/>
          <w:sz w:val="20"/>
        </w:rPr>
        <w:t>TtlPrt</w:t>
      </w:r>
      <w:r w:rsidRPr="00264D5D">
        <w:rPr>
          <w:rFonts w:cs="Courier New"/>
          <w:sz w:val="20"/>
          <w:lang w:val="ru-RU"/>
        </w:rPr>
        <w:t>_</w:t>
      </w:r>
      <w:r w:rsidRPr="00264D5D">
        <w:rPr>
          <w:rFonts w:cs="Courier New"/>
          <w:sz w:val="20"/>
        </w:rPr>
        <w:t>ClientNm</w:t>
      </w:r>
      <w:r w:rsidRPr="00264D5D">
        <w:rPr>
          <w:rFonts w:cs="Courier New"/>
          <w:sz w:val="20"/>
          <w:lang w:val="ru-RU"/>
        </w:rPr>
        <w:t>&gt;</w:t>
      </w:r>
    </w:p>
    <w:p w14:paraId="754005B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rPr>
        <w:t>&lt;TtlPrt_ClientINN&gt;7710152113&lt;/TtlPrt_ClientINN&gt;</w:t>
      </w:r>
    </w:p>
    <w:p w14:paraId="3427DD7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&lt;TtlPrt_ClientKPP&gt;771001001&lt;/TtlPrt_ClientKPP&gt;</w:t>
      </w:r>
    </w:p>
    <w:p w14:paraId="78685A5F"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&lt;TtlPrt_TR_AccNum&gt;03221643000000017301&lt;/TtlPrt_TR_AccNum&gt;</w:t>
      </w:r>
    </w:p>
    <w:p w14:paraId="565FF289"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ab/>
        <w:t>&lt;ReportDate&gt;2021-01-03&lt;/ReportDate&gt;</w:t>
      </w:r>
    </w:p>
    <w:p w14:paraId="39E84DB5"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 xml:space="preserve"> &lt;ReqDocForm&gt;GL_X01_01&lt;/ReqDocForm&gt;</w:t>
      </w:r>
    </w:p>
    <w:p w14:paraId="1FF9EDBA"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lang w:val="ru-RU"/>
        </w:rPr>
        <w:t>&lt;</w:t>
      </w:r>
      <w:r w:rsidRPr="00264D5D">
        <w:rPr>
          <w:rFonts w:cs="Courier New"/>
          <w:sz w:val="20"/>
        </w:rPr>
        <w:t>ReportName</w:t>
      </w:r>
      <w:r w:rsidRPr="00264D5D">
        <w:rPr>
          <w:rFonts w:cs="Courier New"/>
          <w:sz w:val="20"/>
          <w:lang w:val="ru-RU"/>
        </w:rPr>
        <w:t>&gt;Выписка из казначейского счета&lt;/</w:t>
      </w:r>
      <w:r w:rsidRPr="00264D5D">
        <w:rPr>
          <w:rFonts w:cs="Courier New"/>
          <w:sz w:val="20"/>
        </w:rPr>
        <w:t>ReportName</w:t>
      </w:r>
      <w:r w:rsidRPr="00264D5D">
        <w:rPr>
          <w:rFonts w:cs="Courier New"/>
          <w:sz w:val="20"/>
          <w:lang w:val="ru-RU"/>
        </w:rPr>
        <w:t>&gt;</w:t>
      </w:r>
    </w:p>
    <w:p w14:paraId="5221AB4C"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rPr>
        <w:t>&lt;ListApp_Director_SFP&gt;Александров П.Е.&lt;/ListApp_Director_SFP&gt;</w:t>
      </w:r>
    </w:p>
    <w:p w14:paraId="70B55B52"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&lt;ListApp_Director_Post&gt;Руководитель&lt;/ListApp_Director_Post&gt;</w:t>
      </w:r>
    </w:p>
    <w:p w14:paraId="787D5B6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&lt;StmInfrmtn_TF&gt;</w:t>
      </w:r>
    </w:p>
    <w:p w14:paraId="7C27D5E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&lt;GUID&gt;AB23320B-EE3B-1C1D-8E45-87B5551126C1&lt;/GUID&gt;</w:t>
      </w:r>
    </w:p>
    <w:p w14:paraId="1F450EC1"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&lt;/StmInfrmtn_TF&gt;</w:t>
      </w:r>
    </w:p>
    <w:p w14:paraId="3753B8E3" w14:textId="77777777" w:rsidR="00AD1F54" w:rsidRPr="00264D5D" w:rsidRDefault="00941227"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264D5D">
        <w:rPr>
          <w:rFonts w:cs="Courier New"/>
          <w:sz w:val="20"/>
        </w:rPr>
        <w:t>&lt;/self:SKP_REQREP_KS&gt;</w:t>
      </w:r>
    </w:p>
    <w:p w14:paraId="21E8ADD7" w14:textId="44A9E954" w:rsidR="00AD1F54" w:rsidRPr="008D797C" w:rsidRDefault="00941227">
      <w:pPr>
        <w:pStyle w:val="10"/>
        <w:jc w:val="both"/>
        <w:rPr>
          <w:highlight w:val="green"/>
        </w:rPr>
      </w:pPr>
      <w:bookmarkStart w:id="4635" w:name="_Ref465124513"/>
      <w:bookmarkStart w:id="4636" w:name="_Ref465124557"/>
      <w:bookmarkStart w:id="4637" w:name="_Ref465262591"/>
      <w:bookmarkStart w:id="4638" w:name="_Ref516763122"/>
      <w:bookmarkStart w:id="4639" w:name="_Toc219309867"/>
      <w:r w:rsidRPr="008D797C">
        <w:rPr>
          <w:highlight w:val="green"/>
        </w:rPr>
        <w:lastRenderedPageBreak/>
        <w:t>Требования к составу информации при информационном взаимодействии между администраторами доходов бюджета</w:t>
      </w:r>
      <w:r w:rsidR="00555B7E">
        <w:rPr>
          <w:highlight w:val="green"/>
        </w:rPr>
        <w:t xml:space="preserve">, </w:t>
      </w:r>
      <w:bookmarkStart w:id="4640" w:name="_Hlk217324631"/>
      <w:r w:rsidR="00555B7E">
        <w:rPr>
          <w:highlight w:val="green"/>
        </w:rPr>
        <w:t>администрат</w:t>
      </w:r>
      <w:r w:rsidR="00274320">
        <w:rPr>
          <w:highlight w:val="green"/>
        </w:rPr>
        <w:t>орами источников финансирования дефицита бюджета</w:t>
      </w:r>
      <w:bookmarkEnd w:id="4640"/>
      <w:r w:rsidRPr="008D797C">
        <w:rPr>
          <w:highlight w:val="green"/>
        </w:rPr>
        <w:t xml:space="preserve"> и территориальными органами Федерального казначейства</w:t>
      </w:r>
      <w:bookmarkEnd w:id="4639"/>
    </w:p>
    <w:p w14:paraId="7661CE9E" w14:textId="4C11E979" w:rsidR="00AD1F54" w:rsidRPr="00264D5D" w:rsidRDefault="00941227">
      <w:pPr>
        <w:pStyle w:val="ASFKNormal"/>
        <w:jc w:val="both"/>
        <w:rPr>
          <w:sz w:val="24"/>
          <w:szCs w:val="24"/>
        </w:rPr>
      </w:pPr>
      <w:r w:rsidRPr="00264D5D">
        <w:rPr>
          <w:sz w:val="24"/>
        </w:rPr>
        <w:t xml:space="preserve">Для учета операций, осуществляемых </w:t>
      </w:r>
      <w:r w:rsidR="00C80510" w:rsidRPr="008D797C">
        <w:rPr>
          <w:sz w:val="24"/>
          <w:highlight w:val="green"/>
        </w:rPr>
        <w:t>АДБ, АИФДБ</w:t>
      </w:r>
      <w:r w:rsidRPr="00264D5D">
        <w:rPr>
          <w:sz w:val="24"/>
        </w:rPr>
        <w:t xml:space="preserve">, используются следующие </w:t>
      </w:r>
      <w:r w:rsidRPr="00264D5D">
        <w:rPr>
          <w:sz w:val="24"/>
          <w:szCs w:val="24"/>
        </w:rPr>
        <w:t>документы, представленные в Таблице.</w:t>
      </w:r>
    </w:p>
    <w:bookmarkStart w:id="4641" w:name="_Ref52355373"/>
    <w:p w14:paraId="21408879" w14:textId="0A537BD4" w:rsidR="00AD1F54" w:rsidRPr="008D797C" w:rsidRDefault="00941227">
      <w:pPr>
        <w:pStyle w:val="GOSTNameTable"/>
        <w:numPr>
          <w:ilvl w:val="0"/>
          <w:numId w:val="2"/>
        </w:numPr>
        <w:ind w:left="425" w:hanging="357"/>
        <w:rPr>
          <w:highlight w:val="green"/>
        </w:rPr>
      </w:pPr>
      <w:r w:rsidRPr="008D797C">
        <w:rPr>
          <w:highlight w:val="green"/>
        </w:rPr>
        <w:fldChar w:fldCharType="begin"/>
      </w:r>
      <w:r w:rsidRPr="008D797C">
        <w:rPr>
          <w:highlight w:val="green"/>
        </w:rPr>
        <w:instrText xml:space="preserve"> SEQ Таблица \* ARABIC </w:instrText>
      </w:r>
      <w:r w:rsidRPr="008D797C">
        <w:rPr>
          <w:highlight w:val="green"/>
        </w:rPr>
        <w:fldChar w:fldCharType="separate"/>
      </w:r>
      <w:bookmarkStart w:id="4642" w:name="_Ref85053526"/>
      <w:bookmarkStart w:id="4643" w:name="_Toc219309401"/>
      <w:r w:rsidR="008D797C">
        <w:rPr>
          <w:noProof/>
          <w:highlight w:val="green"/>
        </w:rPr>
        <w:t>371</w:t>
      </w:r>
      <w:bookmarkEnd w:id="4642"/>
      <w:r w:rsidRPr="008D797C">
        <w:rPr>
          <w:highlight w:val="green"/>
        </w:rPr>
        <w:fldChar w:fldCharType="end"/>
      </w:r>
      <w:r w:rsidRPr="008D797C">
        <w:rPr>
          <w:rFonts w:eastAsia="Calibri"/>
          <w:szCs w:val="24"/>
          <w:highlight w:val="green"/>
        </w:rPr>
        <w:t xml:space="preserve"> – </w:t>
      </w:r>
      <w:r w:rsidRPr="008D797C">
        <w:rPr>
          <w:highlight w:val="green"/>
        </w:rPr>
        <w:t xml:space="preserve">Документы для обмена в </w:t>
      </w:r>
      <w:r w:rsidR="00E720ED" w:rsidRPr="008D797C">
        <w:rPr>
          <w:szCs w:val="24"/>
          <w:highlight w:val="green"/>
          <w:lang w:val="en-US"/>
        </w:rPr>
        <w:t>xml</w:t>
      </w:r>
      <w:r w:rsidRPr="008D797C">
        <w:rPr>
          <w:szCs w:val="24"/>
          <w:highlight w:val="green"/>
        </w:rPr>
        <w:t>-формате</w:t>
      </w:r>
      <w:bookmarkEnd w:id="4641"/>
      <w:bookmarkEnd w:id="4643"/>
    </w:p>
    <w:tbl>
      <w:tblPr>
        <w:tblStyle w:val="GOSTTable"/>
        <w:tblW w:w="5000" w:type="pct"/>
        <w:tblLayout w:type="fixed"/>
        <w:tblLook w:val="01E0" w:firstRow="1" w:lastRow="1" w:firstColumn="1" w:lastColumn="1" w:noHBand="0" w:noVBand="0"/>
      </w:tblPr>
      <w:tblGrid>
        <w:gridCol w:w="7694"/>
        <w:gridCol w:w="1057"/>
        <w:gridCol w:w="899"/>
      </w:tblGrid>
      <w:tr w:rsidR="008B26A8" w:rsidRPr="00264D5D" w14:paraId="1A096469" w14:textId="77777777" w:rsidTr="007A080A">
        <w:trPr>
          <w:cnfStyle w:val="100000000000" w:firstRow="1" w:lastRow="0" w:firstColumn="0" w:lastColumn="0" w:oddVBand="0" w:evenVBand="0" w:oddHBand="0" w:evenHBand="0" w:firstRowFirstColumn="0" w:firstRowLastColumn="0" w:lastRowFirstColumn="0" w:lastRowLastColumn="0"/>
          <w:tblHeader/>
        </w:trPr>
        <w:tc>
          <w:tcPr>
            <w:tcW w:w="7694" w:type="dxa"/>
          </w:tcPr>
          <w:p w14:paraId="43C05436" w14:textId="77777777" w:rsidR="008B26A8" w:rsidRPr="00264D5D" w:rsidRDefault="008B26A8">
            <w:pPr>
              <w:pStyle w:val="OTRTableHead"/>
              <w:widowControl w:val="0"/>
              <w:rPr>
                <w:sz w:val="22"/>
                <w:szCs w:val="22"/>
              </w:rPr>
            </w:pPr>
            <w:r w:rsidRPr="00264D5D">
              <w:rPr>
                <w:sz w:val="22"/>
                <w:szCs w:val="22"/>
              </w:rPr>
              <w:t>Наименование документа</w:t>
            </w:r>
          </w:p>
        </w:tc>
        <w:tc>
          <w:tcPr>
            <w:tcW w:w="1057" w:type="dxa"/>
          </w:tcPr>
          <w:p w14:paraId="446B75AE" w14:textId="77777777" w:rsidR="008B26A8" w:rsidRPr="00264D5D" w:rsidRDefault="008B26A8">
            <w:pPr>
              <w:pStyle w:val="OTRTableHead"/>
              <w:widowControl w:val="0"/>
              <w:rPr>
                <w:sz w:val="22"/>
                <w:szCs w:val="22"/>
              </w:rPr>
            </w:pPr>
            <w:r w:rsidRPr="00264D5D">
              <w:rPr>
                <w:sz w:val="22"/>
                <w:szCs w:val="22"/>
              </w:rPr>
              <w:t>Номер пункта</w:t>
            </w:r>
          </w:p>
        </w:tc>
        <w:tc>
          <w:tcPr>
            <w:tcW w:w="899" w:type="dxa"/>
          </w:tcPr>
          <w:p w14:paraId="698E7AC9" w14:textId="77777777" w:rsidR="008B26A8" w:rsidRPr="00264D5D" w:rsidRDefault="008B26A8">
            <w:pPr>
              <w:pStyle w:val="OTRTableHead"/>
              <w:widowControl w:val="0"/>
              <w:rPr>
                <w:sz w:val="22"/>
                <w:szCs w:val="22"/>
              </w:rPr>
            </w:pPr>
            <w:r w:rsidRPr="00264D5D">
              <w:rPr>
                <w:sz w:val="22"/>
                <w:szCs w:val="22"/>
              </w:rPr>
              <w:t>Номер тома</w:t>
            </w:r>
          </w:p>
        </w:tc>
      </w:tr>
      <w:tr w:rsidR="008B26A8" w:rsidRPr="00264D5D" w14:paraId="5CCD90E0" w14:textId="77777777" w:rsidTr="007A080A">
        <w:trPr>
          <w:cnfStyle w:val="000000100000" w:firstRow="0" w:lastRow="0" w:firstColumn="0" w:lastColumn="0" w:oddVBand="0" w:evenVBand="0" w:oddHBand="1" w:evenHBand="0" w:firstRowFirstColumn="0" w:firstRowLastColumn="0" w:lastRowFirstColumn="0" w:lastRowLastColumn="0"/>
        </w:trPr>
        <w:tc>
          <w:tcPr>
            <w:tcW w:w="7694" w:type="dxa"/>
          </w:tcPr>
          <w:p w14:paraId="755DDF7E" w14:textId="77777777" w:rsidR="008B26A8" w:rsidRPr="00264D5D" w:rsidRDefault="008B26A8" w:rsidP="00EC3989">
            <w:pPr>
              <w:spacing w:before="60" w:after="60"/>
              <w:rPr>
                <w:sz w:val="22"/>
                <w:szCs w:val="22"/>
              </w:rPr>
            </w:pPr>
            <w:r w:rsidRPr="00264D5D">
              <w:rPr>
                <w:sz w:val="22"/>
                <w:szCs w:val="22"/>
              </w:rPr>
              <w:t>Запрос на отзыв распоряжения (запрос на аннулирование)</w:t>
            </w:r>
          </w:p>
        </w:tc>
        <w:tc>
          <w:tcPr>
            <w:tcW w:w="1057" w:type="dxa"/>
          </w:tcPr>
          <w:p w14:paraId="2D53CC53" w14:textId="14F94F64" w:rsidR="008B26A8" w:rsidRPr="00264D5D" w:rsidRDefault="008B26A8" w:rsidP="00EC3989">
            <w:pPr>
              <w:spacing w:before="60" w:after="60"/>
              <w:rPr>
                <w:sz w:val="22"/>
                <w:szCs w:val="22"/>
              </w:rPr>
            </w:pPr>
            <w:r w:rsidRPr="00264D5D">
              <w:rPr>
                <w:sz w:val="22"/>
                <w:szCs w:val="22"/>
              </w:rPr>
              <w:t xml:space="preserve">П. </w:t>
            </w:r>
            <w:r w:rsidRPr="00264D5D">
              <w:rPr>
                <w:sz w:val="22"/>
                <w:szCs w:val="22"/>
              </w:rPr>
              <w:fldChar w:fldCharType="begin"/>
            </w:r>
            <w:r w:rsidRPr="00264D5D">
              <w:rPr>
                <w:sz w:val="22"/>
                <w:szCs w:val="22"/>
              </w:rPr>
              <w:instrText xml:space="preserve"> REF _Ref2178663 \n \h  \* MERGEFORMAT </w:instrText>
            </w:r>
            <w:r w:rsidRPr="00264D5D">
              <w:rPr>
                <w:sz w:val="22"/>
                <w:szCs w:val="22"/>
              </w:rPr>
            </w:r>
            <w:r w:rsidRPr="00264D5D">
              <w:rPr>
                <w:sz w:val="22"/>
                <w:szCs w:val="22"/>
              </w:rPr>
              <w:fldChar w:fldCharType="separate"/>
            </w:r>
            <w:r w:rsidR="008D797C">
              <w:rPr>
                <w:sz w:val="22"/>
                <w:szCs w:val="22"/>
              </w:rPr>
              <w:t>6.5</w:t>
            </w:r>
            <w:r w:rsidRPr="00264D5D">
              <w:rPr>
                <w:sz w:val="22"/>
                <w:szCs w:val="22"/>
              </w:rPr>
              <w:fldChar w:fldCharType="end"/>
            </w:r>
          </w:p>
        </w:tc>
        <w:tc>
          <w:tcPr>
            <w:tcW w:w="899" w:type="dxa"/>
          </w:tcPr>
          <w:p w14:paraId="02D26732" w14:textId="77777777" w:rsidR="008B26A8" w:rsidRPr="00264D5D" w:rsidRDefault="008B26A8" w:rsidP="00EC3989">
            <w:pPr>
              <w:spacing w:before="60" w:after="60"/>
              <w:rPr>
                <w:sz w:val="22"/>
                <w:szCs w:val="22"/>
              </w:rPr>
            </w:pPr>
            <w:r w:rsidRPr="00264D5D">
              <w:rPr>
                <w:sz w:val="22"/>
                <w:szCs w:val="22"/>
              </w:rPr>
              <w:t>Т. 7</w:t>
            </w:r>
          </w:p>
        </w:tc>
      </w:tr>
      <w:tr w:rsidR="00A06CB7" w:rsidRPr="00264D5D" w14:paraId="740E8294" w14:textId="77777777" w:rsidTr="007A080A">
        <w:trPr>
          <w:cnfStyle w:val="000000010000" w:firstRow="0" w:lastRow="0" w:firstColumn="0" w:lastColumn="0" w:oddVBand="0" w:evenVBand="0" w:oddHBand="0" w:evenHBand="1" w:firstRowFirstColumn="0" w:firstRowLastColumn="0" w:lastRowFirstColumn="0" w:lastRowLastColumn="0"/>
          <w:trHeight w:val="462"/>
        </w:trPr>
        <w:tc>
          <w:tcPr>
            <w:tcW w:w="7694" w:type="dxa"/>
          </w:tcPr>
          <w:p w14:paraId="5379F6F0" w14:textId="79E9D07E" w:rsidR="00A06CB7" w:rsidRPr="008D797C" w:rsidRDefault="00A06CB7" w:rsidP="00EC3989">
            <w:pPr>
              <w:spacing w:before="60" w:after="60"/>
              <w:rPr>
                <w:sz w:val="22"/>
                <w:szCs w:val="22"/>
                <w:highlight w:val="green"/>
              </w:rPr>
            </w:pPr>
            <w:r w:rsidRPr="008D797C">
              <w:rPr>
                <w:sz w:val="22"/>
                <w:szCs w:val="22"/>
                <w:highlight w:val="green"/>
              </w:rPr>
              <w:t>Запрос о получении информации по ЭПС участника</w:t>
            </w:r>
          </w:p>
        </w:tc>
        <w:tc>
          <w:tcPr>
            <w:tcW w:w="1057" w:type="dxa"/>
          </w:tcPr>
          <w:p w14:paraId="09033C98" w14:textId="60BBF7F6" w:rsidR="00A06CB7" w:rsidRPr="008D797C" w:rsidRDefault="00A06CB7" w:rsidP="00EC3989">
            <w:pPr>
              <w:spacing w:before="60" w:after="60"/>
              <w:rPr>
                <w:sz w:val="22"/>
                <w:szCs w:val="22"/>
                <w:highlight w:val="green"/>
              </w:rPr>
            </w:pPr>
            <w:r w:rsidRPr="008D797C">
              <w:rPr>
                <w:sz w:val="22"/>
                <w:szCs w:val="22"/>
                <w:highlight w:val="green"/>
              </w:rPr>
              <w:t>П. 6.13</w:t>
            </w:r>
          </w:p>
        </w:tc>
        <w:tc>
          <w:tcPr>
            <w:tcW w:w="899" w:type="dxa"/>
          </w:tcPr>
          <w:p w14:paraId="5C3839CE" w14:textId="415FD018" w:rsidR="00A06CB7" w:rsidRPr="008D797C" w:rsidRDefault="00A06CB7" w:rsidP="00EC3989">
            <w:pPr>
              <w:spacing w:before="60" w:after="60"/>
              <w:rPr>
                <w:sz w:val="22"/>
                <w:szCs w:val="22"/>
                <w:highlight w:val="green"/>
              </w:rPr>
            </w:pPr>
            <w:r w:rsidRPr="008D797C">
              <w:rPr>
                <w:sz w:val="22"/>
                <w:szCs w:val="22"/>
                <w:highlight w:val="green"/>
              </w:rPr>
              <w:t>Т.8</w:t>
            </w:r>
          </w:p>
        </w:tc>
      </w:tr>
      <w:tr w:rsidR="00A06CB7" w:rsidRPr="00264D5D" w14:paraId="541B0965" w14:textId="77777777" w:rsidTr="007A080A">
        <w:trPr>
          <w:cnfStyle w:val="000000100000" w:firstRow="0" w:lastRow="0" w:firstColumn="0" w:lastColumn="0" w:oddVBand="0" w:evenVBand="0" w:oddHBand="1" w:evenHBand="0" w:firstRowFirstColumn="0" w:firstRowLastColumn="0" w:lastRowFirstColumn="0" w:lastRowLastColumn="0"/>
        </w:trPr>
        <w:tc>
          <w:tcPr>
            <w:tcW w:w="7694" w:type="dxa"/>
          </w:tcPr>
          <w:p w14:paraId="32008DA6" w14:textId="5439318E" w:rsidR="00A06CB7" w:rsidRPr="008D797C" w:rsidRDefault="00A06CB7" w:rsidP="00EC3989">
            <w:pPr>
              <w:spacing w:before="60" w:after="60"/>
              <w:rPr>
                <w:sz w:val="22"/>
                <w:szCs w:val="22"/>
                <w:highlight w:val="green"/>
              </w:rPr>
            </w:pPr>
            <w:r w:rsidRPr="008D797C">
              <w:rPr>
                <w:rFonts w:eastAsia="Calibri"/>
                <w:sz w:val="22"/>
                <w:szCs w:val="22"/>
                <w:highlight w:val="green"/>
              </w:rPr>
              <w:t>Ответ на запрос (уведомление) по ЭПС участника</w:t>
            </w:r>
          </w:p>
        </w:tc>
        <w:tc>
          <w:tcPr>
            <w:tcW w:w="1057" w:type="dxa"/>
          </w:tcPr>
          <w:p w14:paraId="5A46F8FD" w14:textId="56933CEF" w:rsidR="00A06CB7" w:rsidRPr="008D797C" w:rsidRDefault="00A06CB7" w:rsidP="00EC3989">
            <w:pPr>
              <w:spacing w:before="60" w:after="60"/>
              <w:rPr>
                <w:sz w:val="22"/>
                <w:szCs w:val="22"/>
                <w:highlight w:val="green"/>
              </w:rPr>
            </w:pPr>
            <w:r w:rsidRPr="008D797C">
              <w:rPr>
                <w:sz w:val="22"/>
                <w:szCs w:val="22"/>
                <w:highlight w:val="green"/>
              </w:rPr>
              <w:t>П.</w:t>
            </w:r>
            <w:r w:rsidRPr="008D797C">
              <w:rPr>
                <w:sz w:val="22"/>
                <w:szCs w:val="22"/>
                <w:highlight w:val="green"/>
              </w:rPr>
              <w:fldChar w:fldCharType="begin"/>
            </w:r>
            <w:r w:rsidRPr="008D797C">
              <w:rPr>
                <w:sz w:val="22"/>
                <w:szCs w:val="22"/>
                <w:highlight w:val="green"/>
              </w:rPr>
              <w:instrText xml:space="preserve"> REF _Ref115461851 \r \h </w:instrText>
            </w:r>
            <w:r>
              <w:rPr>
                <w:sz w:val="22"/>
                <w:szCs w:val="22"/>
                <w:highlight w:val="green"/>
              </w:rPr>
              <w:instrText xml:space="preserve"> \* MERGEFORMAT </w:instrText>
            </w:r>
            <w:r w:rsidRPr="008D797C">
              <w:rPr>
                <w:sz w:val="22"/>
                <w:szCs w:val="22"/>
                <w:highlight w:val="green"/>
              </w:rPr>
            </w:r>
            <w:r w:rsidRPr="008D797C">
              <w:rPr>
                <w:sz w:val="22"/>
                <w:szCs w:val="22"/>
                <w:highlight w:val="green"/>
              </w:rPr>
              <w:fldChar w:fldCharType="separate"/>
            </w:r>
            <w:r w:rsidR="008D797C">
              <w:rPr>
                <w:sz w:val="22"/>
                <w:szCs w:val="22"/>
                <w:highlight w:val="green"/>
              </w:rPr>
              <w:t>6.21</w:t>
            </w:r>
            <w:r w:rsidRPr="008D797C">
              <w:rPr>
                <w:sz w:val="22"/>
                <w:szCs w:val="22"/>
                <w:highlight w:val="green"/>
              </w:rPr>
              <w:fldChar w:fldCharType="end"/>
            </w:r>
          </w:p>
        </w:tc>
        <w:tc>
          <w:tcPr>
            <w:tcW w:w="899" w:type="dxa"/>
          </w:tcPr>
          <w:p w14:paraId="6FCADA06" w14:textId="5687F2D9" w:rsidR="00A06CB7" w:rsidRPr="008D797C" w:rsidRDefault="00A06CB7" w:rsidP="00EC3989">
            <w:pPr>
              <w:spacing w:before="60" w:after="60"/>
              <w:rPr>
                <w:sz w:val="22"/>
                <w:szCs w:val="22"/>
                <w:highlight w:val="green"/>
              </w:rPr>
            </w:pPr>
            <w:r w:rsidRPr="008D797C">
              <w:rPr>
                <w:sz w:val="22"/>
                <w:szCs w:val="22"/>
                <w:highlight w:val="green"/>
              </w:rPr>
              <w:t>Т.7</w:t>
            </w:r>
          </w:p>
        </w:tc>
      </w:tr>
      <w:tr w:rsidR="008B26A8" w:rsidRPr="00264D5D" w14:paraId="4FD2EE90" w14:textId="77777777" w:rsidTr="007A080A">
        <w:trPr>
          <w:cnfStyle w:val="000000010000" w:firstRow="0" w:lastRow="0" w:firstColumn="0" w:lastColumn="0" w:oddVBand="0" w:evenVBand="0" w:oddHBand="0" w:evenHBand="1" w:firstRowFirstColumn="0" w:firstRowLastColumn="0" w:lastRowFirstColumn="0" w:lastRowLastColumn="0"/>
        </w:trPr>
        <w:tc>
          <w:tcPr>
            <w:tcW w:w="7694" w:type="dxa"/>
          </w:tcPr>
          <w:p w14:paraId="13D52FE9" w14:textId="77777777" w:rsidR="008B26A8" w:rsidRPr="00A06CB7" w:rsidRDefault="008B26A8" w:rsidP="00EC3989">
            <w:pPr>
              <w:spacing w:before="60" w:after="60"/>
              <w:rPr>
                <w:sz w:val="22"/>
                <w:szCs w:val="22"/>
              </w:rPr>
            </w:pPr>
            <w:r w:rsidRPr="00A06CB7">
              <w:rPr>
                <w:sz w:val="22"/>
                <w:szCs w:val="22"/>
              </w:rPr>
              <w:t>Распоряжение о совершении казначейского платежа (возврат)</w:t>
            </w:r>
          </w:p>
        </w:tc>
        <w:tc>
          <w:tcPr>
            <w:tcW w:w="1057" w:type="dxa"/>
          </w:tcPr>
          <w:p w14:paraId="749BBB28" w14:textId="61E535A2" w:rsidR="008B26A8" w:rsidRPr="00264D5D" w:rsidRDefault="008B26A8" w:rsidP="003502DF">
            <w:pPr>
              <w:spacing w:before="60" w:after="60"/>
              <w:rPr>
                <w:sz w:val="22"/>
                <w:szCs w:val="22"/>
              </w:rPr>
            </w:pPr>
            <w:r w:rsidRPr="00264D5D">
              <w:rPr>
                <w:sz w:val="22"/>
                <w:szCs w:val="22"/>
              </w:rPr>
              <w:t xml:space="preserve">П. </w:t>
            </w:r>
            <w:r w:rsidRPr="00264D5D">
              <w:rPr>
                <w:sz w:val="22"/>
                <w:szCs w:val="22"/>
              </w:rPr>
              <w:fldChar w:fldCharType="begin"/>
            </w:r>
            <w:r w:rsidRPr="00264D5D">
              <w:rPr>
                <w:sz w:val="22"/>
                <w:szCs w:val="22"/>
              </w:rPr>
              <w:instrText xml:space="preserve"> REF _Ref51952461 \r \h </w:instrText>
            </w:r>
            <w:r>
              <w:rPr>
                <w:sz w:val="22"/>
                <w:szCs w:val="22"/>
              </w:rPr>
              <w:instrText xml:space="preserve"> \* MERGEFORMAT </w:instrText>
            </w:r>
            <w:r w:rsidRPr="00264D5D">
              <w:rPr>
                <w:sz w:val="22"/>
                <w:szCs w:val="22"/>
              </w:rPr>
            </w:r>
            <w:r w:rsidRPr="00264D5D">
              <w:rPr>
                <w:sz w:val="22"/>
                <w:szCs w:val="22"/>
              </w:rPr>
              <w:fldChar w:fldCharType="separate"/>
            </w:r>
            <w:r w:rsidR="008D797C">
              <w:rPr>
                <w:sz w:val="22"/>
                <w:szCs w:val="22"/>
              </w:rPr>
              <w:t>9.1</w:t>
            </w:r>
            <w:r w:rsidRPr="00264D5D">
              <w:rPr>
                <w:sz w:val="22"/>
                <w:szCs w:val="22"/>
              </w:rPr>
              <w:fldChar w:fldCharType="end"/>
            </w:r>
          </w:p>
        </w:tc>
        <w:tc>
          <w:tcPr>
            <w:tcW w:w="899" w:type="dxa"/>
          </w:tcPr>
          <w:p w14:paraId="1567F29B" w14:textId="77777777" w:rsidR="008B26A8" w:rsidRPr="00264D5D" w:rsidRDefault="008B26A8" w:rsidP="00EC3989">
            <w:pPr>
              <w:spacing w:before="60" w:after="60"/>
              <w:rPr>
                <w:sz w:val="22"/>
                <w:szCs w:val="22"/>
              </w:rPr>
            </w:pPr>
            <w:r w:rsidRPr="00264D5D">
              <w:rPr>
                <w:sz w:val="22"/>
                <w:szCs w:val="22"/>
              </w:rPr>
              <w:t>Т. 7</w:t>
            </w:r>
          </w:p>
        </w:tc>
      </w:tr>
      <w:tr w:rsidR="00C1348C" w:rsidRPr="00264D5D" w14:paraId="75EA0F3F" w14:textId="77777777" w:rsidTr="007A080A">
        <w:trPr>
          <w:cnfStyle w:val="000000100000" w:firstRow="0" w:lastRow="0" w:firstColumn="0" w:lastColumn="0" w:oddVBand="0" w:evenVBand="0" w:oddHBand="1" w:evenHBand="0" w:firstRowFirstColumn="0" w:firstRowLastColumn="0" w:lastRowFirstColumn="0" w:lastRowLastColumn="0"/>
        </w:trPr>
        <w:tc>
          <w:tcPr>
            <w:tcW w:w="7694" w:type="dxa"/>
          </w:tcPr>
          <w:p w14:paraId="293002A4" w14:textId="5A7272F5" w:rsidR="00C1348C" w:rsidRPr="008D797C" w:rsidRDefault="00C1348C" w:rsidP="00C1348C">
            <w:pPr>
              <w:spacing w:before="60" w:after="60"/>
              <w:rPr>
                <w:sz w:val="22"/>
                <w:szCs w:val="22"/>
                <w:highlight w:val="green"/>
              </w:rPr>
            </w:pPr>
            <w:r w:rsidRPr="008D797C">
              <w:rPr>
                <w:sz w:val="22"/>
                <w:szCs w:val="22"/>
                <w:highlight w:val="green"/>
              </w:rPr>
              <w:t>Распоряжение о совершении казначейского платежа (возврат) (многострочный)</w:t>
            </w:r>
          </w:p>
        </w:tc>
        <w:tc>
          <w:tcPr>
            <w:tcW w:w="1057" w:type="dxa"/>
          </w:tcPr>
          <w:p w14:paraId="31E2113D" w14:textId="3147624B" w:rsidR="00C1348C" w:rsidRPr="008D797C" w:rsidRDefault="00C1348C" w:rsidP="00C1348C">
            <w:pPr>
              <w:spacing w:before="60" w:after="60"/>
              <w:rPr>
                <w:sz w:val="22"/>
                <w:szCs w:val="22"/>
                <w:highlight w:val="green"/>
              </w:rPr>
            </w:pPr>
            <w:r w:rsidRPr="008D797C">
              <w:rPr>
                <w:sz w:val="22"/>
                <w:szCs w:val="22"/>
                <w:highlight w:val="green"/>
              </w:rPr>
              <w:t xml:space="preserve">П. </w:t>
            </w:r>
            <w:r w:rsidRPr="008D797C">
              <w:rPr>
                <w:sz w:val="22"/>
                <w:szCs w:val="22"/>
                <w:highlight w:val="green"/>
              </w:rPr>
              <w:fldChar w:fldCharType="begin"/>
            </w:r>
            <w:r w:rsidRPr="008D797C">
              <w:rPr>
                <w:sz w:val="22"/>
                <w:szCs w:val="22"/>
                <w:highlight w:val="green"/>
              </w:rPr>
              <w:instrText xml:space="preserve"> REF _Ref217313700 \r \h </w:instrText>
            </w:r>
            <w:r>
              <w:rPr>
                <w:sz w:val="22"/>
                <w:szCs w:val="22"/>
                <w:highlight w:val="green"/>
              </w:rPr>
              <w:instrText xml:space="preserve"> \* MERGEFORMAT </w:instrText>
            </w:r>
            <w:r w:rsidRPr="008D797C">
              <w:rPr>
                <w:sz w:val="22"/>
                <w:szCs w:val="22"/>
                <w:highlight w:val="green"/>
              </w:rPr>
            </w:r>
            <w:r w:rsidRPr="008D797C">
              <w:rPr>
                <w:sz w:val="22"/>
                <w:szCs w:val="22"/>
                <w:highlight w:val="green"/>
              </w:rPr>
              <w:fldChar w:fldCharType="separate"/>
            </w:r>
            <w:r w:rsidR="008D797C">
              <w:rPr>
                <w:sz w:val="22"/>
                <w:szCs w:val="22"/>
                <w:highlight w:val="green"/>
              </w:rPr>
              <w:t>9.2</w:t>
            </w:r>
            <w:r w:rsidRPr="008D797C">
              <w:rPr>
                <w:sz w:val="22"/>
                <w:szCs w:val="22"/>
                <w:highlight w:val="green"/>
              </w:rPr>
              <w:fldChar w:fldCharType="end"/>
            </w:r>
          </w:p>
        </w:tc>
        <w:tc>
          <w:tcPr>
            <w:tcW w:w="899" w:type="dxa"/>
          </w:tcPr>
          <w:p w14:paraId="48BC2BD3" w14:textId="3A762D78" w:rsidR="00C1348C" w:rsidRPr="008D797C" w:rsidRDefault="00C1348C" w:rsidP="00C1348C">
            <w:pPr>
              <w:spacing w:before="60" w:after="60"/>
              <w:rPr>
                <w:sz w:val="22"/>
                <w:szCs w:val="22"/>
                <w:highlight w:val="green"/>
              </w:rPr>
            </w:pPr>
            <w:r w:rsidRPr="008D797C">
              <w:rPr>
                <w:sz w:val="22"/>
                <w:szCs w:val="22"/>
                <w:highlight w:val="green"/>
              </w:rPr>
              <w:t>Т. 7</w:t>
            </w:r>
          </w:p>
        </w:tc>
      </w:tr>
      <w:tr w:rsidR="00C1348C" w:rsidRPr="00264D5D" w14:paraId="34E818F9" w14:textId="77777777" w:rsidTr="007A080A">
        <w:trPr>
          <w:cnfStyle w:val="000000010000" w:firstRow="0" w:lastRow="0" w:firstColumn="0" w:lastColumn="0" w:oddVBand="0" w:evenVBand="0" w:oddHBand="0" w:evenHBand="1" w:firstRowFirstColumn="0" w:firstRowLastColumn="0" w:lastRowFirstColumn="0" w:lastRowLastColumn="0"/>
        </w:trPr>
        <w:tc>
          <w:tcPr>
            <w:tcW w:w="7694" w:type="dxa"/>
          </w:tcPr>
          <w:p w14:paraId="6A16E460" w14:textId="77777777" w:rsidR="00C1348C" w:rsidRPr="00264D5D" w:rsidRDefault="00C1348C" w:rsidP="00C1348C">
            <w:pPr>
              <w:spacing w:before="60" w:after="60"/>
              <w:rPr>
                <w:sz w:val="22"/>
                <w:szCs w:val="22"/>
              </w:rPr>
            </w:pPr>
            <w:r w:rsidRPr="00264D5D">
              <w:rPr>
                <w:sz w:val="22"/>
                <w:szCs w:val="22"/>
              </w:rPr>
              <w:t>Распоряжение о совершении казначейского платежа (уточнение)</w:t>
            </w:r>
          </w:p>
        </w:tc>
        <w:tc>
          <w:tcPr>
            <w:tcW w:w="1057" w:type="dxa"/>
          </w:tcPr>
          <w:p w14:paraId="0B441D75" w14:textId="1A9293F1" w:rsidR="00C1348C" w:rsidRPr="00264D5D" w:rsidRDefault="00C1348C" w:rsidP="00C1348C">
            <w:pPr>
              <w:spacing w:before="60" w:after="60"/>
              <w:rPr>
                <w:sz w:val="22"/>
                <w:szCs w:val="22"/>
              </w:rPr>
            </w:pPr>
            <w:r w:rsidRPr="00264D5D">
              <w:rPr>
                <w:sz w:val="22"/>
                <w:szCs w:val="22"/>
              </w:rPr>
              <w:t xml:space="preserve">П. </w:t>
            </w:r>
            <w:r w:rsidRPr="00264D5D">
              <w:rPr>
                <w:sz w:val="22"/>
                <w:szCs w:val="22"/>
              </w:rPr>
              <w:fldChar w:fldCharType="begin"/>
            </w:r>
            <w:r w:rsidRPr="00264D5D">
              <w:rPr>
                <w:sz w:val="22"/>
                <w:szCs w:val="22"/>
              </w:rPr>
              <w:instrText xml:space="preserve"> REF _Ref183687831 \r \h  \* MERGEFORMAT </w:instrText>
            </w:r>
            <w:r w:rsidRPr="00264D5D">
              <w:rPr>
                <w:sz w:val="22"/>
                <w:szCs w:val="22"/>
              </w:rPr>
            </w:r>
            <w:r w:rsidRPr="00264D5D">
              <w:rPr>
                <w:sz w:val="22"/>
                <w:szCs w:val="22"/>
              </w:rPr>
              <w:fldChar w:fldCharType="separate"/>
            </w:r>
            <w:r w:rsidR="008D797C">
              <w:rPr>
                <w:sz w:val="22"/>
                <w:szCs w:val="22"/>
              </w:rPr>
              <w:t>9.3</w:t>
            </w:r>
            <w:r w:rsidRPr="00264D5D">
              <w:rPr>
                <w:sz w:val="22"/>
                <w:szCs w:val="22"/>
              </w:rPr>
              <w:fldChar w:fldCharType="end"/>
            </w:r>
          </w:p>
        </w:tc>
        <w:tc>
          <w:tcPr>
            <w:tcW w:w="899" w:type="dxa"/>
          </w:tcPr>
          <w:p w14:paraId="4F2AB82B" w14:textId="77777777" w:rsidR="00C1348C" w:rsidRPr="00264D5D" w:rsidRDefault="00C1348C" w:rsidP="00C1348C">
            <w:pPr>
              <w:spacing w:before="60" w:after="60"/>
              <w:rPr>
                <w:sz w:val="22"/>
                <w:szCs w:val="22"/>
              </w:rPr>
            </w:pPr>
            <w:r w:rsidRPr="00264D5D">
              <w:rPr>
                <w:sz w:val="22"/>
                <w:szCs w:val="22"/>
              </w:rPr>
              <w:t>Т. 7</w:t>
            </w:r>
          </w:p>
        </w:tc>
      </w:tr>
      <w:tr w:rsidR="00C1348C" w:rsidRPr="00264D5D" w14:paraId="51E7F460" w14:textId="77777777" w:rsidTr="007A080A">
        <w:trPr>
          <w:cnfStyle w:val="000000100000" w:firstRow="0" w:lastRow="0" w:firstColumn="0" w:lastColumn="0" w:oddVBand="0" w:evenVBand="0" w:oddHBand="1" w:evenHBand="0" w:firstRowFirstColumn="0" w:firstRowLastColumn="0" w:lastRowFirstColumn="0" w:lastRowLastColumn="0"/>
        </w:trPr>
        <w:tc>
          <w:tcPr>
            <w:tcW w:w="7694" w:type="dxa"/>
          </w:tcPr>
          <w:p w14:paraId="4712C9A5" w14:textId="77777777" w:rsidR="00C1348C" w:rsidRPr="00264D5D" w:rsidRDefault="00C1348C" w:rsidP="00C1348C">
            <w:pPr>
              <w:spacing w:before="60" w:after="60"/>
              <w:rPr>
                <w:sz w:val="22"/>
                <w:szCs w:val="22"/>
              </w:rPr>
            </w:pPr>
            <w:r w:rsidRPr="00264D5D">
              <w:rPr>
                <w:sz w:val="22"/>
                <w:szCs w:val="22"/>
              </w:rPr>
              <w:t>Распоряжение налогового органа (зачет)</w:t>
            </w:r>
          </w:p>
        </w:tc>
        <w:tc>
          <w:tcPr>
            <w:tcW w:w="1057" w:type="dxa"/>
          </w:tcPr>
          <w:p w14:paraId="36CE99D5" w14:textId="04423CFA" w:rsidR="00C1348C" w:rsidRPr="00264D5D" w:rsidRDefault="00C1348C" w:rsidP="00C1348C">
            <w:pPr>
              <w:spacing w:before="60" w:after="60"/>
              <w:rPr>
                <w:sz w:val="22"/>
                <w:szCs w:val="22"/>
              </w:rPr>
            </w:pPr>
            <w:r w:rsidRPr="00264D5D">
              <w:rPr>
                <w:sz w:val="22"/>
                <w:szCs w:val="22"/>
              </w:rPr>
              <w:t xml:space="preserve">П. </w:t>
            </w:r>
            <w:r w:rsidRPr="00264D5D">
              <w:rPr>
                <w:sz w:val="22"/>
                <w:szCs w:val="22"/>
              </w:rPr>
              <w:fldChar w:fldCharType="begin"/>
            </w:r>
            <w:r w:rsidRPr="00264D5D">
              <w:rPr>
                <w:sz w:val="22"/>
                <w:szCs w:val="22"/>
              </w:rPr>
              <w:instrText xml:space="preserve"> REF _Ref183867230 \r \h </w:instrText>
            </w:r>
            <w:r>
              <w:rPr>
                <w:sz w:val="22"/>
                <w:szCs w:val="22"/>
              </w:rPr>
              <w:instrText xml:space="preserve"> \* MERGEFORMAT </w:instrText>
            </w:r>
            <w:r w:rsidRPr="00264D5D">
              <w:rPr>
                <w:sz w:val="22"/>
                <w:szCs w:val="22"/>
              </w:rPr>
            </w:r>
            <w:r w:rsidRPr="00264D5D">
              <w:rPr>
                <w:sz w:val="22"/>
                <w:szCs w:val="22"/>
              </w:rPr>
              <w:fldChar w:fldCharType="separate"/>
            </w:r>
            <w:r w:rsidR="008D797C">
              <w:rPr>
                <w:sz w:val="22"/>
                <w:szCs w:val="22"/>
              </w:rPr>
              <w:t>9.4</w:t>
            </w:r>
            <w:r w:rsidRPr="00264D5D">
              <w:rPr>
                <w:sz w:val="22"/>
                <w:szCs w:val="22"/>
              </w:rPr>
              <w:fldChar w:fldCharType="end"/>
            </w:r>
          </w:p>
        </w:tc>
        <w:tc>
          <w:tcPr>
            <w:tcW w:w="899" w:type="dxa"/>
          </w:tcPr>
          <w:p w14:paraId="2EF04085" w14:textId="77777777" w:rsidR="00C1348C" w:rsidRPr="00264D5D" w:rsidRDefault="00C1348C" w:rsidP="00C1348C">
            <w:pPr>
              <w:spacing w:before="60" w:after="60"/>
              <w:rPr>
                <w:sz w:val="22"/>
                <w:szCs w:val="22"/>
              </w:rPr>
            </w:pPr>
            <w:r w:rsidRPr="00264D5D">
              <w:rPr>
                <w:sz w:val="22"/>
                <w:szCs w:val="22"/>
              </w:rPr>
              <w:t>Т. 7</w:t>
            </w:r>
          </w:p>
        </w:tc>
      </w:tr>
      <w:tr w:rsidR="00C1348C" w:rsidRPr="00264D5D" w14:paraId="5D2CF5F0" w14:textId="77777777" w:rsidTr="007A080A">
        <w:trPr>
          <w:cnfStyle w:val="000000010000" w:firstRow="0" w:lastRow="0" w:firstColumn="0" w:lastColumn="0" w:oddVBand="0" w:evenVBand="0" w:oddHBand="0" w:evenHBand="1" w:firstRowFirstColumn="0" w:firstRowLastColumn="0" w:lastRowFirstColumn="0" w:lastRowLastColumn="0"/>
        </w:trPr>
        <w:tc>
          <w:tcPr>
            <w:tcW w:w="7694" w:type="dxa"/>
          </w:tcPr>
          <w:p w14:paraId="4A96DA58" w14:textId="77777777" w:rsidR="00C1348C" w:rsidRPr="00264D5D" w:rsidRDefault="00C1348C" w:rsidP="00C1348C">
            <w:pPr>
              <w:spacing w:before="60" w:after="60"/>
              <w:rPr>
                <w:sz w:val="22"/>
                <w:szCs w:val="22"/>
              </w:rPr>
            </w:pPr>
            <w:r w:rsidRPr="00264D5D">
              <w:rPr>
                <w:sz w:val="22"/>
                <w:szCs w:val="22"/>
              </w:rPr>
              <w:t>Распоряжение налогового органа (уточнение)</w:t>
            </w:r>
          </w:p>
        </w:tc>
        <w:tc>
          <w:tcPr>
            <w:tcW w:w="1057" w:type="dxa"/>
          </w:tcPr>
          <w:p w14:paraId="18434926" w14:textId="7C29EDAD" w:rsidR="00C1348C" w:rsidRPr="00264D5D" w:rsidRDefault="00C1348C" w:rsidP="00C1348C">
            <w:pPr>
              <w:spacing w:before="60" w:after="60"/>
              <w:rPr>
                <w:sz w:val="22"/>
                <w:szCs w:val="22"/>
              </w:rPr>
            </w:pPr>
            <w:r w:rsidRPr="00264D5D">
              <w:rPr>
                <w:sz w:val="22"/>
                <w:szCs w:val="22"/>
              </w:rPr>
              <w:t xml:space="preserve">П. </w:t>
            </w:r>
            <w:r w:rsidRPr="00264D5D">
              <w:rPr>
                <w:sz w:val="22"/>
                <w:szCs w:val="22"/>
              </w:rPr>
              <w:fldChar w:fldCharType="begin"/>
            </w:r>
            <w:r w:rsidRPr="00264D5D">
              <w:rPr>
                <w:sz w:val="22"/>
                <w:szCs w:val="22"/>
              </w:rPr>
              <w:instrText xml:space="preserve"> REF _Ref183867236 \r \h  \* MERGEFORMAT </w:instrText>
            </w:r>
            <w:r w:rsidRPr="00264D5D">
              <w:rPr>
                <w:sz w:val="22"/>
                <w:szCs w:val="22"/>
              </w:rPr>
            </w:r>
            <w:r w:rsidRPr="00264D5D">
              <w:rPr>
                <w:sz w:val="22"/>
                <w:szCs w:val="22"/>
              </w:rPr>
              <w:fldChar w:fldCharType="separate"/>
            </w:r>
            <w:r w:rsidR="008D797C">
              <w:rPr>
                <w:sz w:val="22"/>
                <w:szCs w:val="22"/>
              </w:rPr>
              <w:t>9.5</w:t>
            </w:r>
            <w:r w:rsidRPr="00264D5D">
              <w:rPr>
                <w:sz w:val="22"/>
                <w:szCs w:val="22"/>
              </w:rPr>
              <w:fldChar w:fldCharType="end"/>
            </w:r>
          </w:p>
        </w:tc>
        <w:tc>
          <w:tcPr>
            <w:tcW w:w="899" w:type="dxa"/>
          </w:tcPr>
          <w:p w14:paraId="6859EED9" w14:textId="77777777" w:rsidR="00C1348C" w:rsidRPr="00264D5D" w:rsidRDefault="00C1348C" w:rsidP="00C1348C">
            <w:pPr>
              <w:spacing w:before="60" w:after="60"/>
              <w:rPr>
                <w:sz w:val="22"/>
                <w:szCs w:val="22"/>
              </w:rPr>
            </w:pPr>
            <w:r w:rsidRPr="00264D5D">
              <w:rPr>
                <w:sz w:val="22"/>
                <w:szCs w:val="22"/>
              </w:rPr>
              <w:t>Т. 7</w:t>
            </w:r>
          </w:p>
        </w:tc>
      </w:tr>
      <w:tr w:rsidR="00C1348C" w:rsidRPr="00264D5D" w14:paraId="45F4AAF4" w14:textId="77777777" w:rsidTr="007A080A">
        <w:trPr>
          <w:cnfStyle w:val="000000100000" w:firstRow="0" w:lastRow="0" w:firstColumn="0" w:lastColumn="0" w:oddVBand="0" w:evenVBand="0" w:oddHBand="1" w:evenHBand="0" w:firstRowFirstColumn="0" w:firstRowLastColumn="0" w:lastRowFirstColumn="0" w:lastRowLastColumn="0"/>
        </w:trPr>
        <w:tc>
          <w:tcPr>
            <w:tcW w:w="7694" w:type="dxa"/>
          </w:tcPr>
          <w:p w14:paraId="20E3E2BD" w14:textId="77777777" w:rsidR="00C1348C" w:rsidRPr="00264D5D" w:rsidRDefault="00C1348C" w:rsidP="00C1348C">
            <w:pPr>
              <w:spacing w:before="60" w:after="60"/>
              <w:rPr>
                <w:sz w:val="22"/>
                <w:szCs w:val="22"/>
              </w:rPr>
            </w:pPr>
            <w:r w:rsidRPr="00264D5D">
              <w:rPr>
                <w:sz w:val="22"/>
                <w:szCs w:val="22"/>
              </w:rPr>
              <w:t>Запрос на выяснение принадлежности платежа (ф. 0531808)</w:t>
            </w:r>
          </w:p>
        </w:tc>
        <w:tc>
          <w:tcPr>
            <w:tcW w:w="1057" w:type="dxa"/>
          </w:tcPr>
          <w:p w14:paraId="617E2B60" w14:textId="77777777" w:rsidR="00C1348C" w:rsidRPr="00264D5D" w:rsidRDefault="00C1348C" w:rsidP="00C1348C">
            <w:pPr>
              <w:spacing w:before="60" w:after="60"/>
              <w:rPr>
                <w:sz w:val="22"/>
                <w:szCs w:val="22"/>
              </w:rPr>
            </w:pPr>
            <w:r w:rsidRPr="00264D5D">
              <w:rPr>
                <w:sz w:val="22"/>
                <w:szCs w:val="22"/>
              </w:rPr>
              <w:t>П. 6.7</w:t>
            </w:r>
          </w:p>
        </w:tc>
        <w:tc>
          <w:tcPr>
            <w:tcW w:w="899" w:type="dxa"/>
          </w:tcPr>
          <w:p w14:paraId="4052DCFD" w14:textId="77777777" w:rsidR="00C1348C" w:rsidRPr="00264D5D" w:rsidRDefault="00C1348C" w:rsidP="00C1348C">
            <w:pPr>
              <w:spacing w:before="60" w:after="60"/>
              <w:rPr>
                <w:sz w:val="22"/>
                <w:szCs w:val="22"/>
              </w:rPr>
            </w:pPr>
            <w:r w:rsidRPr="00264D5D">
              <w:rPr>
                <w:sz w:val="22"/>
                <w:szCs w:val="22"/>
              </w:rPr>
              <w:t>Т. 8</w:t>
            </w:r>
          </w:p>
        </w:tc>
      </w:tr>
      <w:tr w:rsidR="00C1348C" w:rsidRPr="00264D5D" w14:paraId="5F9832D5" w14:textId="77777777" w:rsidTr="007A080A">
        <w:trPr>
          <w:cnfStyle w:val="000000010000" w:firstRow="0" w:lastRow="0" w:firstColumn="0" w:lastColumn="0" w:oddVBand="0" w:evenVBand="0" w:oddHBand="0" w:evenHBand="1" w:firstRowFirstColumn="0" w:firstRowLastColumn="0" w:lastRowFirstColumn="0" w:lastRowLastColumn="0"/>
        </w:trPr>
        <w:tc>
          <w:tcPr>
            <w:tcW w:w="7694" w:type="dxa"/>
          </w:tcPr>
          <w:p w14:paraId="564F32B3" w14:textId="38B12913" w:rsidR="00C1348C" w:rsidRPr="00264D5D" w:rsidRDefault="00C1348C" w:rsidP="00C1348C">
            <w:pPr>
              <w:spacing w:before="60" w:after="60"/>
              <w:rPr>
                <w:sz w:val="22"/>
                <w:szCs w:val="22"/>
              </w:rPr>
            </w:pPr>
            <w:r w:rsidRPr="00264D5D">
              <w:rPr>
                <w:sz w:val="22"/>
                <w:szCs w:val="22"/>
              </w:rPr>
              <w:t>Справка о перечислении поступлений в бюджеты (ф. 0531468</w:t>
            </w:r>
            <w:r w:rsidR="003B71EB" w:rsidRPr="008D797C">
              <w:rPr>
                <w:sz w:val="22"/>
                <w:szCs w:val="22"/>
                <w:highlight w:val="green"/>
              </w:rPr>
              <w:t>/0533005</w:t>
            </w:r>
            <w:r w:rsidRPr="00264D5D">
              <w:rPr>
                <w:sz w:val="22"/>
                <w:szCs w:val="22"/>
              </w:rPr>
              <w:t>)</w:t>
            </w:r>
          </w:p>
        </w:tc>
        <w:tc>
          <w:tcPr>
            <w:tcW w:w="1057" w:type="dxa"/>
          </w:tcPr>
          <w:p w14:paraId="3758D19F" w14:textId="585088F4" w:rsidR="00C1348C" w:rsidRPr="00264D5D" w:rsidRDefault="00C1348C" w:rsidP="00C1348C">
            <w:pPr>
              <w:spacing w:before="60" w:after="60"/>
              <w:rPr>
                <w:sz w:val="22"/>
                <w:szCs w:val="22"/>
              </w:rPr>
            </w:pPr>
            <w:r w:rsidRPr="00264D5D">
              <w:rPr>
                <w:sz w:val="22"/>
                <w:szCs w:val="22"/>
              </w:rPr>
              <w:t xml:space="preserve">П. </w:t>
            </w:r>
            <w:r w:rsidR="003B71EB" w:rsidRPr="008D797C">
              <w:rPr>
                <w:sz w:val="22"/>
                <w:szCs w:val="22"/>
                <w:highlight w:val="green"/>
              </w:rPr>
              <w:t>10.</w:t>
            </w:r>
            <w:r w:rsidR="005473E2">
              <w:rPr>
                <w:sz w:val="22"/>
                <w:szCs w:val="22"/>
                <w:highlight w:val="green"/>
              </w:rPr>
              <w:t>5</w:t>
            </w:r>
          </w:p>
        </w:tc>
        <w:tc>
          <w:tcPr>
            <w:tcW w:w="899" w:type="dxa"/>
          </w:tcPr>
          <w:p w14:paraId="656E9D5F" w14:textId="77777777" w:rsidR="00C1348C" w:rsidRPr="00264D5D" w:rsidRDefault="00C1348C" w:rsidP="00C1348C">
            <w:pPr>
              <w:spacing w:before="60" w:after="60"/>
              <w:rPr>
                <w:sz w:val="22"/>
                <w:szCs w:val="22"/>
              </w:rPr>
            </w:pPr>
            <w:r w:rsidRPr="00264D5D">
              <w:rPr>
                <w:sz w:val="22"/>
                <w:szCs w:val="22"/>
              </w:rPr>
              <w:t>Т. 8</w:t>
            </w:r>
          </w:p>
        </w:tc>
      </w:tr>
      <w:tr w:rsidR="00C1348C" w:rsidRPr="00264D5D" w14:paraId="23C0B8FC" w14:textId="77777777" w:rsidTr="007A080A">
        <w:trPr>
          <w:cnfStyle w:val="000000100000" w:firstRow="0" w:lastRow="0" w:firstColumn="0" w:lastColumn="0" w:oddVBand="0" w:evenVBand="0" w:oddHBand="1" w:evenHBand="0" w:firstRowFirstColumn="0" w:firstRowLastColumn="0" w:lastRowFirstColumn="0" w:lastRowLastColumn="0"/>
        </w:trPr>
        <w:tc>
          <w:tcPr>
            <w:tcW w:w="7694" w:type="dxa"/>
          </w:tcPr>
          <w:p w14:paraId="6CE2EFBD" w14:textId="77777777" w:rsidR="00C1348C" w:rsidRPr="00264D5D" w:rsidRDefault="00C1348C" w:rsidP="00C1348C">
            <w:pPr>
              <w:spacing w:before="60" w:after="60"/>
              <w:rPr>
                <w:sz w:val="22"/>
                <w:szCs w:val="22"/>
              </w:rPr>
            </w:pPr>
            <w:r w:rsidRPr="00264D5D">
              <w:rPr>
                <w:sz w:val="22"/>
                <w:szCs w:val="22"/>
              </w:rPr>
              <w:t>Реестр перечисленных поступлений (ф. 0531465)</w:t>
            </w:r>
          </w:p>
        </w:tc>
        <w:tc>
          <w:tcPr>
            <w:tcW w:w="1057" w:type="dxa"/>
          </w:tcPr>
          <w:p w14:paraId="5914281C" w14:textId="1715377A" w:rsidR="00C1348C" w:rsidRPr="00264D5D" w:rsidRDefault="00C1348C" w:rsidP="00C1348C">
            <w:pPr>
              <w:spacing w:before="60" w:after="60"/>
              <w:rPr>
                <w:sz w:val="22"/>
                <w:szCs w:val="22"/>
              </w:rPr>
            </w:pPr>
            <w:r w:rsidRPr="00264D5D">
              <w:rPr>
                <w:sz w:val="22"/>
                <w:szCs w:val="22"/>
              </w:rPr>
              <w:t xml:space="preserve">П. </w:t>
            </w:r>
            <w:r w:rsidR="003B71EB" w:rsidRPr="008D797C">
              <w:rPr>
                <w:sz w:val="22"/>
                <w:szCs w:val="22"/>
                <w:highlight w:val="green"/>
              </w:rPr>
              <w:t>10.</w:t>
            </w:r>
            <w:r w:rsidR="005473E2">
              <w:rPr>
                <w:sz w:val="22"/>
                <w:szCs w:val="22"/>
                <w:highlight w:val="green"/>
              </w:rPr>
              <w:t>4</w:t>
            </w:r>
          </w:p>
        </w:tc>
        <w:tc>
          <w:tcPr>
            <w:tcW w:w="899" w:type="dxa"/>
          </w:tcPr>
          <w:p w14:paraId="75539D26" w14:textId="77777777" w:rsidR="00C1348C" w:rsidRPr="00264D5D" w:rsidRDefault="00C1348C" w:rsidP="00C1348C">
            <w:pPr>
              <w:spacing w:before="60" w:after="60"/>
              <w:rPr>
                <w:sz w:val="22"/>
                <w:szCs w:val="22"/>
              </w:rPr>
            </w:pPr>
            <w:r w:rsidRPr="00264D5D">
              <w:rPr>
                <w:sz w:val="22"/>
                <w:szCs w:val="22"/>
              </w:rPr>
              <w:t>Т. 8</w:t>
            </w:r>
          </w:p>
        </w:tc>
      </w:tr>
      <w:tr w:rsidR="00C1348C" w:rsidRPr="00264D5D" w14:paraId="3A34125E" w14:textId="77777777" w:rsidTr="007A080A">
        <w:trPr>
          <w:cnfStyle w:val="000000010000" w:firstRow="0" w:lastRow="0" w:firstColumn="0" w:lastColumn="0" w:oddVBand="0" w:evenVBand="0" w:oddHBand="0" w:evenHBand="1" w:firstRowFirstColumn="0" w:firstRowLastColumn="0" w:lastRowFirstColumn="0" w:lastRowLastColumn="0"/>
        </w:trPr>
        <w:tc>
          <w:tcPr>
            <w:tcW w:w="7694" w:type="dxa"/>
          </w:tcPr>
          <w:p w14:paraId="338570E4" w14:textId="77777777" w:rsidR="00C1348C" w:rsidRPr="00264D5D" w:rsidRDefault="00C1348C" w:rsidP="00C1348C">
            <w:pPr>
              <w:spacing w:before="60" w:after="60"/>
              <w:rPr>
                <w:sz w:val="22"/>
                <w:szCs w:val="22"/>
              </w:rPr>
            </w:pPr>
            <w:r w:rsidRPr="00264D5D">
              <w:rPr>
                <w:sz w:val="22"/>
                <w:szCs w:val="22"/>
              </w:rPr>
              <w:t>Казначейская справка</w:t>
            </w:r>
          </w:p>
        </w:tc>
        <w:tc>
          <w:tcPr>
            <w:tcW w:w="1057" w:type="dxa"/>
          </w:tcPr>
          <w:p w14:paraId="2148B066" w14:textId="77777777" w:rsidR="00C1348C" w:rsidRPr="00264D5D" w:rsidRDefault="00C1348C" w:rsidP="00C1348C">
            <w:pPr>
              <w:spacing w:before="60" w:after="60"/>
              <w:rPr>
                <w:sz w:val="22"/>
                <w:szCs w:val="22"/>
              </w:rPr>
            </w:pPr>
            <w:r w:rsidRPr="00264D5D">
              <w:rPr>
                <w:sz w:val="22"/>
                <w:szCs w:val="22"/>
              </w:rPr>
              <w:t>П. 9.3</w:t>
            </w:r>
          </w:p>
        </w:tc>
        <w:tc>
          <w:tcPr>
            <w:tcW w:w="899" w:type="dxa"/>
          </w:tcPr>
          <w:p w14:paraId="7CA3FD29" w14:textId="77777777" w:rsidR="00C1348C" w:rsidRPr="00264D5D" w:rsidRDefault="00C1348C" w:rsidP="00C1348C">
            <w:pPr>
              <w:spacing w:before="60" w:after="60"/>
              <w:rPr>
                <w:sz w:val="22"/>
                <w:szCs w:val="22"/>
              </w:rPr>
            </w:pPr>
            <w:r w:rsidRPr="00264D5D">
              <w:rPr>
                <w:sz w:val="22"/>
                <w:szCs w:val="22"/>
              </w:rPr>
              <w:t>Т. 8</w:t>
            </w:r>
          </w:p>
        </w:tc>
      </w:tr>
      <w:tr w:rsidR="00C1348C" w:rsidRPr="00264D5D" w14:paraId="37F593E2" w14:textId="77777777" w:rsidTr="007A080A">
        <w:trPr>
          <w:cnfStyle w:val="000000100000" w:firstRow="0" w:lastRow="0" w:firstColumn="0" w:lastColumn="0" w:oddVBand="0" w:evenVBand="0" w:oddHBand="1" w:evenHBand="0" w:firstRowFirstColumn="0" w:firstRowLastColumn="0" w:lastRowFirstColumn="0" w:lastRowLastColumn="0"/>
        </w:trPr>
        <w:tc>
          <w:tcPr>
            <w:tcW w:w="7694" w:type="dxa"/>
          </w:tcPr>
          <w:p w14:paraId="7AB17F61" w14:textId="244F361A" w:rsidR="00C1348C" w:rsidRPr="00264D5D" w:rsidRDefault="00C1348C" w:rsidP="00C1348C">
            <w:pPr>
              <w:spacing w:before="60" w:after="60"/>
              <w:rPr>
                <w:sz w:val="22"/>
                <w:szCs w:val="22"/>
              </w:rPr>
            </w:pPr>
            <w:r w:rsidRPr="00264D5D">
              <w:rPr>
                <w:sz w:val="22"/>
                <w:szCs w:val="22"/>
              </w:rPr>
              <w:t>Справка о перечисленных поступлениях в бюджет (ф. 0531467</w:t>
            </w:r>
            <w:r w:rsidR="006B51ED" w:rsidRPr="008E41DE">
              <w:rPr>
                <w:sz w:val="22"/>
                <w:szCs w:val="22"/>
                <w:highlight w:val="green"/>
              </w:rPr>
              <w:t>/0533004</w:t>
            </w:r>
            <w:r w:rsidRPr="00264D5D">
              <w:rPr>
                <w:sz w:val="22"/>
                <w:szCs w:val="22"/>
              </w:rPr>
              <w:t>)</w:t>
            </w:r>
          </w:p>
        </w:tc>
        <w:tc>
          <w:tcPr>
            <w:tcW w:w="1057" w:type="dxa"/>
          </w:tcPr>
          <w:p w14:paraId="0670A746" w14:textId="77777777" w:rsidR="00C1348C" w:rsidRPr="00264D5D" w:rsidRDefault="00C1348C" w:rsidP="00C1348C">
            <w:pPr>
              <w:spacing w:before="60" w:after="60"/>
              <w:rPr>
                <w:sz w:val="22"/>
                <w:szCs w:val="22"/>
              </w:rPr>
            </w:pPr>
            <w:r w:rsidRPr="00264D5D">
              <w:rPr>
                <w:sz w:val="22"/>
                <w:szCs w:val="22"/>
              </w:rPr>
              <w:t>П. 9.4</w:t>
            </w:r>
          </w:p>
        </w:tc>
        <w:tc>
          <w:tcPr>
            <w:tcW w:w="899" w:type="dxa"/>
          </w:tcPr>
          <w:p w14:paraId="2ACDE5CC" w14:textId="77777777" w:rsidR="00C1348C" w:rsidRPr="00264D5D" w:rsidRDefault="00C1348C" w:rsidP="00C1348C">
            <w:pPr>
              <w:spacing w:before="60" w:after="60"/>
              <w:rPr>
                <w:sz w:val="22"/>
                <w:szCs w:val="22"/>
              </w:rPr>
            </w:pPr>
            <w:r w:rsidRPr="00264D5D">
              <w:rPr>
                <w:sz w:val="22"/>
                <w:szCs w:val="22"/>
              </w:rPr>
              <w:t>Т. 8</w:t>
            </w:r>
          </w:p>
        </w:tc>
      </w:tr>
      <w:tr w:rsidR="00C1348C" w:rsidRPr="00264D5D" w14:paraId="5FD96A6F" w14:textId="77777777" w:rsidTr="007A080A">
        <w:trPr>
          <w:cnfStyle w:val="000000010000" w:firstRow="0" w:lastRow="0" w:firstColumn="0" w:lastColumn="0" w:oddVBand="0" w:evenVBand="0" w:oddHBand="0" w:evenHBand="1" w:firstRowFirstColumn="0" w:firstRowLastColumn="0" w:lastRowFirstColumn="0" w:lastRowLastColumn="0"/>
        </w:trPr>
        <w:tc>
          <w:tcPr>
            <w:tcW w:w="7694" w:type="dxa"/>
          </w:tcPr>
          <w:p w14:paraId="63371799" w14:textId="62B22D9B" w:rsidR="00C1348C" w:rsidRPr="00264D5D" w:rsidRDefault="00C1348C" w:rsidP="00C1348C">
            <w:pPr>
              <w:spacing w:before="60" w:after="60"/>
              <w:rPr>
                <w:sz w:val="22"/>
                <w:szCs w:val="22"/>
              </w:rPr>
            </w:pPr>
            <w:r w:rsidRPr="00264D5D">
              <w:rPr>
                <w:sz w:val="22"/>
                <w:szCs w:val="22"/>
              </w:rPr>
              <w:t xml:space="preserve">Реестр передаваемых (принимаемых) платежей, прилагаемый к выписке из лицевого счета администратора </w:t>
            </w:r>
            <w:r w:rsidRPr="008D797C">
              <w:rPr>
                <w:sz w:val="22"/>
                <w:szCs w:val="22"/>
                <w:highlight w:val="green"/>
              </w:rPr>
              <w:t>поступлений</w:t>
            </w:r>
          </w:p>
        </w:tc>
        <w:tc>
          <w:tcPr>
            <w:tcW w:w="1057" w:type="dxa"/>
          </w:tcPr>
          <w:p w14:paraId="539121E5" w14:textId="77777777" w:rsidR="00C1348C" w:rsidRPr="00264D5D" w:rsidRDefault="00C1348C" w:rsidP="00C1348C">
            <w:pPr>
              <w:spacing w:before="60" w:after="60"/>
              <w:rPr>
                <w:sz w:val="22"/>
                <w:szCs w:val="22"/>
              </w:rPr>
            </w:pPr>
            <w:r w:rsidRPr="00264D5D">
              <w:rPr>
                <w:sz w:val="22"/>
                <w:szCs w:val="22"/>
              </w:rPr>
              <w:t>П. 9.5</w:t>
            </w:r>
          </w:p>
        </w:tc>
        <w:tc>
          <w:tcPr>
            <w:tcW w:w="899" w:type="dxa"/>
          </w:tcPr>
          <w:p w14:paraId="01CE3BD1" w14:textId="77777777" w:rsidR="00C1348C" w:rsidRPr="00264D5D" w:rsidRDefault="00C1348C" w:rsidP="00C1348C">
            <w:pPr>
              <w:spacing w:before="60" w:after="60"/>
              <w:rPr>
                <w:sz w:val="22"/>
                <w:szCs w:val="22"/>
              </w:rPr>
            </w:pPr>
            <w:r w:rsidRPr="00264D5D">
              <w:rPr>
                <w:sz w:val="22"/>
                <w:szCs w:val="22"/>
              </w:rPr>
              <w:t>Т. 8</w:t>
            </w:r>
          </w:p>
        </w:tc>
      </w:tr>
      <w:tr w:rsidR="00C1348C" w:rsidRPr="00264D5D" w14:paraId="13F2E026" w14:textId="77777777" w:rsidTr="007A080A">
        <w:trPr>
          <w:cnfStyle w:val="000000100000" w:firstRow="0" w:lastRow="0" w:firstColumn="0" w:lastColumn="0" w:oddVBand="0" w:evenVBand="0" w:oddHBand="1" w:evenHBand="0" w:firstRowFirstColumn="0" w:firstRowLastColumn="0" w:lastRowFirstColumn="0" w:lastRowLastColumn="0"/>
        </w:trPr>
        <w:tc>
          <w:tcPr>
            <w:tcW w:w="7694" w:type="dxa"/>
          </w:tcPr>
          <w:p w14:paraId="32D5164B" w14:textId="77777777" w:rsidR="00C1348C" w:rsidRPr="00264D5D" w:rsidRDefault="00C1348C" w:rsidP="00C1348C">
            <w:pPr>
              <w:spacing w:before="60" w:after="60"/>
              <w:rPr>
                <w:sz w:val="22"/>
                <w:szCs w:val="22"/>
              </w:rPr>
            </w:pPr>
            <w:r w:rsidRPr="00264D5D">
              <w:rPr>
                <w:sz w:val="22"/>
                <w:szCs w:val="22"/>
              </w:rPr>
              <w:t>Информация из документов, подтверждающих операции клиентов Федерального казначейства при расчетах с контрагентами</w:t>
            </w:r>
          </w:p>
        </w:tc>
        <w:tc>
          <w:tcPr>
            <w:tcW w:w="1057" w:type="dxa"/>
          </w:tcPr>
          <w:p w14:paraId="33C5104A" w14:textId="77777777" w:rsidR="00C1348C" w:rsidRPr="00264D5D" w:rsidRDefault="00C1348C" w:rsidP="00C1348C">
            <w:pPr>
              <w:spacing w:before="60" w:after="60"/>
              <w:rPr>
                <w:sz w:val="22"/>
                <w:szCs w:val="22"/>
              </w:rPr>
            </w:pPr>
            <w:r w:rsidRPr="00264D5D">
              <w:rPr>
                <w:sz w:val="22"/>
                <w:szCs w:val="22"/>
              </w:rPr>
              <w:t>П. 10.1</w:t>
            </w:r>
          </w:p>
        </w:tc>
        <w:tc>
          <w:tcPr>
            <w:tcW w:w="899" w:type="dxa"/>
          </w:tcPr>
          <w:p w14:paraId="2A0EC6F1" w14:textId="77777777" w:rsidR="00C1348C" w:rsidRPr="00264D5D" w:rsidRDefault="00C1348C" w:rsidP="00C1348C">
            <w:pPr>
              <w:spacing w:before="60" w:after="60"/>
              <w:rPr>
                <w:sz w:val="22"/>
                <w:szCs w:val="22"/>
              </w:rPr>
            </w:pPr>
            <w:r w:rsidRPr="00264D5D">
              <w:rPr>
                <w:sz w:val="22"/>
                <w:szCs w:val="22"/>
              </w:rPr>
              <w:t>Т. 8</w:t>
            </w:r>
          </w:p>
        </w:tc>
      </w:tr>
      <w:tr w:rsidR="00C1348C" w:rsidRPr="00264D5D" w14:paraId="1271ED83" w14:textId="77777777" w:rsidTr="007A080A">
        <w:trPr>
          <w:cnfStyle w:val="000000010000" w:firstRow="0" w:lastRow="0" w:firstColumn="0" w:lastColumn="0" w:oddVBand="0" w:evenVBand="0" w:oddHBand="0" w:evenHBand="1" w:firstRowFirstColumn="0" w:firstRowLastColumn="0" w:lastRowFirstColumn="0" w:lastRowLastColumn="0"/>
        </w:trPr>
        <w:tc>
          <w:tcPr>
            <w:tcW w:w="7694" w:type="dxa"/>
          </w:tcPr>
          <w:p w14:paraId="678DC80D" w14:textId="688C75FD" w:rsidR="00C1348C" w:rsidRPr="00264D5D" w:rsidRDefault="00C1348C" w:rsidP="00C1348C">
            <w:pPr>
              <w:spacing w:before="60" w:after="60"/>
              <w:rPr>
                <w:sz w:val="22"/>
                <w:szCs w:val="22"/>
              </w:rPr>
            </w:pPr>
            <w:r w:rsidRPr="00264D5D">
              <w:rPr>
                <w:sz w:val="22"/>
                <w:szCs w:val="22"/>
              </w:rPr>
              <w:t xml:space="preserve">Выписка из лицевого счета администратора </w:t>
            </w:r>
            <w:r w:rsidRPr="00FE2487">
              <w:rPr>
                <w:sz w:val="22"/>
                <w:szCs w:val="22"/>
                <w:highlight w:val="green"/>
              </w:rPr>
              <w:t>поступлений</w:t>
            </w:r>
          </w:p>
        </w:tc>
        <w:tc>
          <w:tcPr>
            <w:tcW w:w="1057" w:type="dxa"/>
          </w:tcPr>
          <w:p w14:paraId="4540880B" w14:textId="77777777" w:rsidR="00C1348C" w:rsidRPr="00264D5D" w:rsidRDefault="00C1348C" w:rsidP="00C1348C">
            <w:pPr>
              <w:spacing w:before="60" w:after="60"/>
              <w:rPr>
                <w:sz w:val="22"/>
                <w:szCs w:val="22"/>
              </w:rPr>
            </w:pPr>
            <w:r w:rsidRPr="00264D5D">
              <w:rPr>
                <w:sz w:val="22"/>
                <w:szCs w:val="22"/>
              </w:rPr>
              <w:t>П. 7.1</w:t>
            </w:r>
          </w:p>
        </w:tc>
        <w:tc>
          <w:tcPr>
            <w:tcW w:w="899" w:type="dxa"/>
          </w:tcPr>
          <w:p w14:paraId="57AFE85C" w14:textId="77777777" w:rsidR="00C1348C" w:rsidRPr="00264D5D" w:rsidRDefault="00C1348C" w:rsidP="00C1348C">
            <w:pPr>
              <w:spacing w:before="60" w:after="60"/>
              <w:rPr>
                <w:sz w:val="22"/>
                <w:szCs w:val="22"/>
              </w:rPr>
            </w:pPr>
            <w:r w:rsidRPr="00264D5D">
              <w:rPr>
                <w:sz w:val="22"/>
                <w:szCs w:val="22"/>
              </w:rPr>
              <w:t>Т. 9</w:t>
            </w:r>
          </w:p>
        </w:tc>
      </w:tr>
      <w:tr w:rsidR="00C1348C" w:rsidRPr="00264D5D" w14:paraId="1DB69278" w14:textId="77777777" w:rsidTr="007A080A">
        <w:trPr>
          <w:cnfStyle w:val="000000100000" w:firstRow="0" w:lastRow="0" w:firstColumn="0" w:lastColumn="0" w:oddVBand="0" w:evenVBand="0" w:oddHBand="1" w:evenHBand="0" w:firstRowFirstColumn="0" w:firstRowLastColumn="0" w:lastRowFirstColumn="0" w:lastRowLastColumn="0"/>
        </w:trPr>
        <w:tc>
          <w:tcPr>
            <w:tcW w:w="7694" w:type="dxa"/>
          </w:tcPr>
          <w:p w14:paraId="37B17722" w14:textId="77777777" w:rsidR="00C1348C" w:rsidRPr="00264D5D" w:rsidRDefault="00C1348C" w:rsidP="00C1348C">
            <w:pPr>
              <w:pStyle w:val="GOSTTablenorm"/>
              <w:rPr>
                <w:szCs w:val="22"/>
              </w:rPr>
            </w:pPr>
            <w:r w:rsidRPr="00264D5D">
              <w:rPr>
                <w:szCs w:val="24"/>
              </w:rPr>
              <w:t>Выписка по казначейскому счету для учета таможенных платежей</w:t>
            </w:r>
          </w:p>
        </w:tc>
        <w:tc>
          <w:tcPr>
            <w:tcW w:w="1057" w:type="dxa"/>
          </w:tcPr>
          <w:p w14:paraId="2E342433" w14:textId="5F92AE58" w:rsidR="00C1348C" w:rsidRPr="00264D5D" w:rsidRDefault="00C1348C" w:rsidP="00C1348C">
            <w:pPr>
              <w:pStyle w:val="GOSTTablenorm"/>
              <w:rPr>
                <w:szCs w:val="22"/>
              </w:rPr>
            </w:pPr>
            <w:r w:rsidRPr="00264D5D">
              <w:rPr>
                <w:szCs w:val="22"/>
              </w:rPr>
              <w:t>П</w:t>
            </w:r>
            <w:r w:rsidRPr="00DB42FE">
              <w:rPr>
                <w:szCs w:val="22"/>
              </w:rPr>
              <w:t xml:space="preserve">. </w:t>
            </w:r>
            <w:r w:rsidR="00DB42FE" w:rsidRPr="00DB42FE">
              <w:rPr>
                <w:szCs w:val="22"/>
              </w:rPr>
              <w:t>7.2</w:t>
            </w:r>
          </w:p>
        </w:tc>
        <w:tc>
          <w:tcPr>
            <w:tcW w:w="899" w:type="dxa"/>
          </w:tcPr>
          <w:p w14:paraId="215D91FE" w14:textId="77777777" w:rsidR="00C1348C" w:rsidRPr="00264D5D" w:rsidRDefault="00C1348C" w:rsidP="00C1348C">
            <w:pPr>
              <w:pStyle w:val="GOSTTablenorm"/>
              <w:rPr>
                <w:szCs w:val="22"/>
              </w:rPr>
            </w:pPr>
            <w:r w:rsidRPr="00264D5D">
              <w:rPr>
                <w:szCs w:val="22"/>
              </w:rPr>
              <w:t>Т. 9</w:t>
            </w:r>
          </w:p>
        </w:tc>
      </w:tr>
    </w:tbl>
    <w:p w14:paraId="001DCD3B" w14:textId="77777777" w:rsidR="00AD1F54" w:rsidRPr="00264D5D" w:rsidRDefault="00AD1F54">
      <w:pPr>
        <w:pStyle w:val="22"/>
        <w:numPr>
          <w:ilvl w:val="0"/>
          <w:numId w:val="0"/>
        </w:numPr>
        <w:ind w:left="576"/>
        <w:sectPr w:rsidR="00AD1F54" w:rsidRPr="00264D5D">
          <w:pgSz w:w="11906" w:h="16838"/>
          <w:pgMar w:top="1134" w:right="567" w:bottom="851" w:left="1701" w:header="708" w:footer="708" w:gutter="0"/>
          <w:cols w:space="708"/>
          <w:docGrid w:linePitch="360"/>
        </w:sectPr>
      </w:pPr>
      <w:bookmarkStart w:id="4644" w:name="_Toc2762019"/>
      <w:bookmarkStart w:id="4645" w:name="_Ref2790988"/>
      <w:bookmarkStart w:id="4646" w:name="_Ref2178638"/>
      <w:bookmarkStart w:id="4647" w:name="_Ref2705985"/>
    </w:p>
    <w:p w14:paraId="0BD0E377" w14:textId="77777777" w:rsidR="00AD1F54" w:rsidRPr="00061191" w:rsidRDefault="00941227">
      <w:pPr>
        <w:pStyle w:val="22"/>
        <w:ind w:left="851" w:hanging="851"/>
        <w:rPr>
          <w:highlight w:val="green"/>
          <w:lang w:val="ru-RU"/>
        </w:rPr>
      </w:pPr>
      <w:bookmarkStart w:id="4648" w:name="OLE_LINK90"/>
      <w:bookmarkStart w:id="4649" w:name="OLE_LINK91"/>
      <w:bookmarkStart w:id="4650" w:name="_Ref2178671"/>
      <w:bookmarkStart w:id="4651" w:name="_Ref2706042"/>
      <w:bookmarkStart w:id="4652" w:name="_Ref51952461"/>
      <w:bookmarkStart w:id="4653" w:name="_Toc71207420"/>
      <w:bookmarkStart w:id="4654" w:name="_Toc219309868"/>
      <w:bookmarkEnd w:id="4644"/>
      <w:bookmarkEnd w:id="4645"/>
      <w:bookmarkEnd w:id="4646"/>
      <w:bookmarkEnd w:id="4647"/>
      <w:bookmarkEnd w:id="4648"/>
      <w:bookmarkEnd w:id="4649"/>
      <w:r w:rsidRPr="00061191">
        <w:rPr>
          <w:highlight w:val="green"/>
          <w:lang w:val="ru-RU"/>
        </w:rPr>
        <w:lastRenderedPageBreak/>
        <w:t>Описание документа «Распоряжение о совершении казначейского платежа (возврат)»</w:t>
      </w:r>
      <w:bookmarkEnd w:id="4652"/>
      <w:bookmarkEnd w:id="4653"/>
      <w:bookmarkEnd w:id="4654"/>
      <w:r w:rsidRPr="00061191">
        <w:rPr>
          <w:highlight w:val="green"/>
          <w:lang w:val="ru-RU"/>
        </w:rPr>
        <w:t xml:space="preserve"> </w:t>
      </w:r>
    </w:p>
    <w:p w14:paraId="67B2F896" w14:textId="77777777" w:rsidR="00AD1F54" w:rsidRPr="00061191" w:rsidRDefault="00941227">
      <w:pPr>
        <w:pStyle w:val="31"/>
        <w:rPr>
          <w:highlight w:val="green"/>
        </w:rPr>
      </w:pPr>
      <w:bookmarkStart w:id="4655" w:name="_Toc219309869"/>
      <w:r w:rsidRPr="00061191">
        <w:rPr>
          <w:highlight w:val="green"/>
        </w:rPr>
        <w:t>Назначение и маршрут документа</w:t>
      </w:r>
      <w:bookmarkEnd w:id="4655"/>
    </w:p>
    <w:p w14:paraId="57F780B6" w14:textId="77777777" w:rsidR="00AD1F54" w:rsidRPr="00264D5D" w:rsidRDefault="00941227">
      <w:pPr>
        <w:pStyle w:val="ASFKNormal"/>
        <w:spacing w:before="60" w:after="120"/>
        <w:contextualSpacing w:val="0"/>
        <w:jc w:val="both"/>
        <w:rPr>
          <w:sz w:val="24"/>
        </w:rPr>
      </w:pPr>
      <w:r w:rsidRPr="00264D5D">
        <w:rPr>
          <w:sz w:val="24"/>
        </w:rPr>
        <w:t>Документ «Распоряжение о совершении казначейского платежа (возврат)» (далее – Распоряжение на возврат) предоставляется клиентами в ТОФК по месту обслуживания для возвратов средств плательщикам.</w:t>
      </w:r>
    </w:p>
    <w:p w14:paraId="4D11A760" w14:textId="77777777" w:rsidR="00AD1F54" w:rsidRPr="00264D5D" w:rsidRDefault="00941227">
      <w:pPr>
        <w:pStyle w:val="ASFKNormal"/>
        <w:jc w:val="both"/>
        <w:rPr>
          <w:sz w:val="24"/>
        </w:rPr>
      </w:pPr>
      <w:r w:rsidRPr="00264D5D">
        <w:rPr>
          <w:sz w:val="24"/>
        </w:rPr>
        <w:t xml:space="preserve">Документ «Распоряжение на возврат» также может передаваться в виде вложения в блоке «attachments» </w:t>
      </w:r>
      <w:r w:rsidRPr="00264D5D">
        <w:rPr>
          <w:sz w:val="24"/>
          <w:szCs w:val="24"/>
        </w:rPr>
        <w:t xml:space="preserve">к документу «Выписка из лицевого счета администратора </w:t>
      </w:r>
      <w:r w:rsidR="00061191" w:rsidRPr="00F94C8B">
        <w:rPr>
          <w:sz w:val="24"/>
          <w:szCs w:val="24"/>
          <w:highlight w:val="green"/>
        </w:rPr>
        <w:t>поступлений</w:t>
      </w:r>
      <w:r w:rsidRPr="00264D5D">
        <w:rPr>
          <w:sz w:val="24"/>
          <w:szCs w:val="24"/>
        </w:rPr>
        <w:t>» в форматах, предусмотренных настоящим Альбомом ТФО</w:t>
      </w:r>
      <w:r w:rsidRPr="00264D5D">
        <w:rPr>
          <w:sz w:val="24"/>
        </w:rPr>
        <w:t>.</w:t>
      </w:r>
    </w:p>
    <w:p w14:paraId="394EDEE0" w14:textId="24AE1E4C" w:rsidR="00AD1F54" w:rsidRPr="00061191" w:rsidRDefault="00941227">
      <w:pPr>
        <w:pStyle w:val="GOSTNameTable"/>
        <w:numPr>
          <w:ilvl w:val="0"/>
          <w:numId w:val="2"/>
        </w:numPr>
        <w:ind w:left="425" w:hanging="357"/>
        <w:rPr>
          <w:highlight w:val="green"/>
        </w:rPr>
      </w:pPr>
      <w:r w:rsidRPr="00061191">
        <w:rPr>
          <w:highlight w:val="green"/>
        </w:rPr>
        <w:fldChar w:fldCharType="begin"/>
      </w:r>
      <w:r w:rsidRPr="00061191">
        <w:rPr>
          <w:highlight w:val="green"/>
        </w:rPr>
        <w:instrText>SEQ Таблица \* ARABIC</w:instrText>
      </w:r>
      <w:r w:rsidRPr="00061191">
        <w:rPr>
          <w:highlight w:val="green"/>
        </w:rPr>
        <w:fldChar w:fldCharType="separate"/>
      </w:r>
      <w:bookmarkStart w:id="4656" w:name="_Toc219309402"/>
      <w:r w:rsidR="008D797C">
        <w:rPr>
          <w:noProof/>
          <w:highlight w:val="green"/>
        </w:rPr>
        <w:t>372</w:t>
      </w:r>
      <w:r w:rsidRPr="00061191">
        <w:rPr>
          <w:highlight w:val="green"/>
        </w:rPr>
        <w:fldChar w:fldCharType="end"/>
      </w:r>
      <w:r w:rsidRPr="00061191">
        <w:rPr>
          <w:highlight w:val="green"/>
        </w:rPr>
        <w:t xml:space="preserve"> – Маршрут документа «Распоряжение о совершении казначейского платежа (возврат)»</w:t>
      </w:r>
      <w:bookmarkEnd w:id="4656"/>
    </w:p>
    <w:tbl>
      <w:tblPr>
        <w:tblStyle w:val="GOSTTable"/>
        <w:tblW w:w="5000" w:type="pct"/>
        <w:tblLook w:val="01E0" w:firstRow="1" w:lastRow="1" w:firstColumn="1" w:lastColumn="1" w:noHBand="0" w:noVBand="0"/>
      </w:tblPr>
      <w:tblGrid>
        <w:gridCol w:w="2556"/>
        <w:gridCol w:w="2555"/>
        <w:gridCol w:w="4539"/>
      </w:tblGrid>
      <w:tr w:rsidR="00AD1F54" w:rsidRPr="00264D5D" w14:paraId="1536D690"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324" w:type="pct"/>
          </w:tcPr>
          <w:p w14:paraId="21C8F86A" w14:textId="77777777" w:rsidR="00AD1F54" w:rsidRPr="00264D5D" w:rsidRDefault="00941227">
            <w:pPr>
              <w:pStyle w:val="ASFKTableHead"/>
            </w:pPr>
            <w:r w:rsidRPr="00264D5D">
              <w:t>Отправитель</w:t>
            </w:r>
          </w:p>
        </w:tc>
        <w:tc>
          <w:tcPr>
            <w:tcW w:w="1324" w:type="pct"/>
          </w:tcPr>
          <w:p w14:paraId="35EEC776" w14:textId="77777777" w:rsidR="00AD1F54" w:rsidRPr="00264D5D" w:rsidRDefault="00941227">
            <w:pPr>
              <w:pStyle w:val="ASFKTableHead"/>
            </w:pPr>
            <w:r w:rsidRPr="00264D5D">
              <w:t>Получатель</w:t>
            </w:r>
          </w:p>
        </w:tc>
        <w:tc>
          <w:tcPr>
            <w:tcW w:w="2352" w:type="pct"/>
          </w:tcPr>
          <w:p w14:paraId="2466C240" w14:textId="77777777" w:rsidR="00AD1F54" w:rsidRPr="00264D5D" w:rsidRDefault="00941227">
            <w:pPr>
              <w:pStyle w:val="ASFKTableHead"/>
            </w:pPr>
            <w:r w:rsidRPr="00264D5D">
              <w:t>Примечание</w:t>
            </w:r>
          </w:p>
        </w:tc>
      </w:tr>
      <w:tr w:rsidR="0000169B" w:rsidRPr="00264D5D" w14:paraId="08FCDA3F" w14:textId="77777777" w:rsidTr="00AD1F54">
        <w:trPr>
          <w:cnfStyle w:val="000000100000" w:firstRow="0" w:lastRow="0" w:firstColumn="0" w:lastColumn="0" w:oddVBand="0" w:evenVBand="0" w:oddHBand="1" w:evenHBand="0" w:firstRowFirstColumn="0" w:firstRowLastColumn="0" w:lastRowFirstColumn="0" w:lastRowLastColumn="0"/>
        </w:trPr>
        <w:tc>
          <w:tcPr>
            <w:tcW w:w="1324" w:type="pct"/>
          </w:tcPr>
          <w:p w14:paraId="73D20676" w14:textId="77777777" w:rsidR="0000169B" w:rsidRPr="00264D5D" w:rsidRDefault="0000169B" w:rsidP="0000169B">
            <w:pPr>
              <w:spacing w:before="60" w:after="60"/>
              <w:rPr>
                <w:sz w:val="22"/>
                <w:szCs w:val="22"/>
              </w:rPr>
            </w:pPr>
            <w:r w:rsidRPr="00264D5D">
              <w:rPr>
                <w:sz w:val="22"/>
                <w:szCs w:val="22"/>
              </w:rPr>
              <w:t>АДБ (Стороннее ППО)</w:t>
            </w:r>
          </w:p>
        </w:tc>
        <w:tc>
          <w:tcPr>
            <w:tcW w:w="1324" w:type="pct"/>
          </w:tcPr>
          <w:p w14:paraId="5B4EC6E4" w14:textId="77777777" w:rsidR="0000169B" w:rsidRPr="00264D5D" w:rsidRDefault="0000169B" w:rsidP="0000169B">
            <w:pPr>
              <w:spacing w:before="60" w:after="60"/>
              <w:rPr>
                <w:sz w:val="22"/>
                <w:szCs w:val="22"/>
              </w:rPr>
            </w:pPr>
            <w:r w:rsidRPr="00264D5D">
              <w:rPr>
                <w:sz w:val="22"/>
                <w:szCs w:val="22"/>
              </w:rPr>
              <w:t>ТОФК (ПУД ЭБ)</w:t>
            </w:r>
          </w:p>
        </w:tc>
        <w:tc>
          <w:tcPr>
            <w:tcW w:w="2352" w:type="pct"/>
            <w:vMerge w:val="restart"/>
          </w:tcPr>
          <w:p w14:paraId="7830F390" w14:textId="77777777" w:rsidR="0000169B" w:rsidRPr="00264D5D" w:rsidRDefault="0000169B" w:rsidP="0000169B">
            <w:pPr>
              <w:spacing w:before="60" w:after="60"/>
              <w:rPr>
                <w:sz w:val="22"/>
                <w:szCs w:val="22"/>
              </w:rPr>
            </w:pPr>
            <w:r w:rsidRPr="00264D5D">
              <w:rPr>
                <w:sz w:val="22"/>
                <w:szCs w:val="22"/>
              </w:rPr>
              <w:t>Может передаваться как с помощью ручного импорт в ЛК клиентом, так и с помощью веб-сервиса</w:t>
            </w:r>
          </w:p>
        </w:tc>
      </w:tr>
      <w:tr w:rsidR="0000169B" w:rsidRPr="00264D5D" w14:paraId="5B7FF498" w14:textId="77777777" w:rsidTr="00AD1F54">
        <w:trPr>
          <w:cnfStyle w:val="000000010000" w:firstRow="0" w:lastRow="0" w:firstColumn="0" w:lastColumn="0" w:oddVBand="0" w:evenVBand="0" w:oddHBand="0" w:evenHBand="1" w:firstRowFirstColumn="0" w:firstRowLastColumn="0" w:lastRowFirstColumn="0" w:lastRowLastColumn="0"/>
        </w:trPr>
        <w:tc>
          <w:tcPr>
            <w:tcW w:w="1324" w:type="pct"/>
          </w:tcPr>
          <w:p w14:paraId="674D4AF9" w14:textId="77777777" w:rsidR="0000169B" w:rsidRPr="00264D5D" w:rsidRDefault="0000169B" w:rsidP="0000169B">
            <w:pPr>
              <w:spacing w:before="60" w:after="60"/>
              <w:rPr>
                <w:sz w:val="22"/>
                <w:szCs w:val="22"/>
              </w:rPr>
            </w:pPr>
            <w:r w:rsidRPr="00264D5D">
              <w:rPr>
                <w:sz w:val="22"/>
                <w:szCs w:val="22"/>
              </w:rPr>
              <w:t>МВУ ПУиО (ПФХД),</w:t>
            </w:r>
            <w:r w:rsidRPr="00264D5D">
              <w:rPr>
                <w:sz w:val="22"/>
                <w:szCs w:val="22"/>
                <w:lang w:eastAsia="en-US"/>
              </w:rPr>
              <w:t xml:space="preserve"> Бухгалтерия государственного учреждения (1С)</w:t>
            </w:r>
          </w:p>
        </w:tc>
        <w:tc>
          <w:tcPr>
            <w:tcW w:w="1324" w:type="pct"/>
          </w:tcPr>
          <w:p w14:paraId="1B42131E" w14:textId="77777777" w:rsidR="0000169B" w:rsidRPr="00264D5D" w:rsidRDefault="0000169B" w:rsidP="0000169B">
            <w:pPr>
              <w:spacing w:before="60" w:after="60"/>
              <w:rPr>
                <w:sz w:val="22"/>
                <w:szCs w:val="22"/>
              </w:rPr>
            </w:pPr>
            <w:r w:rsidRPr="00264D5D">
              <w:rPr>
                <w:sz w:val="22"/>
                <w:szCs w:val="22"/>
              </w:rPr>
              <w:t>ТОФК (ПУД ЭБ)</w:t>
            </w:r>
          </w:p>
        </w:tc>
        <w:tc>
          <w:tcPr>
            <w:tcW w:w="2352" w:type="pct"/>
            <w:vMerge/>
          </w:tcPr>
          <w:p w14:paraId="50E42583" w14:textId="77777777" w:rsidR="0000169B" w:rsidRPr="00264D5D" w:rsidRDefault="0000169B" w:rsidP="0000169B">
            <w:pPr>
              <w:spacing w:before="60" w:after="60"/>
              <w:rPr>
                <w:sz w:val="22"/>
                <w:szCs w:val="22"/>
              </w:rPr>
            </w:pPr>
          </w:p>
        </w:tc>
      </w:tr>
      <w:tr w:rsidR="0000169B" w:rsidRPr="00264D5D" w14:paraId="78B91BA4" w14:textId="77777777" w:rsidTr="00AD1F54">
        <w:trPr>
          <w:cnfStyle w:val="000000100000" w:firstRow="0" w:lastRow="0" w:firstColumn="0" w:lastColumn="0" w:oddVBand="0" w:evenVBand="0" w:oddHBand="1" w:evenHBand="0" w:firstRowFirstColumn="0" w:firstRowLastColumn="0" w:lastRowFirstColumn="0" w:lastRowLastColumn="0"/>
        </w:trPr>
        <w:tc>
          <w:tcPr>
            <w:tcW w:w="1324" w:type="pct"/>
          </w:tcPr>
          <w:p w14:paraId="56D75B89" w14:textId="77777777" w:rsidR="0000169B" w:rsidRPr="00264D5D" w:rsidRDefault="0000169B" w:rsidP="0000169B">
            <w:pPr>
              <w:spacing w:before="60" w:after="60"/>
              <w:rPr>
                <w:sz w:val="22"/>
                <w:szCs w:val="22"/>
              </w:rPr>
            </w:pPr>
            <w:r w:rsidRPr="00264D5D">
              <w:rPr>
                <w:sz w:val="22"/>
                <w:szCs w:val="22"/>
              </w:rPr>
              <w:t>ТОФК (ПУД ЭБ)</w:t>
            </w:r>
          </w:p>
        </w:tc>
        <w:tc>
          <w:tcPr>
            <w:tcW w:w="1324" w:type="pct"/>
          </w:tcPr>
          <w:p w14:paraId="1EDF7B53" w14:textId="77777777" w:rsidR="0000169B" w:rsidRPr="00264D5D" w:rsidRDefault="00061191" w:rsidP="0000169B">
            <w:pPr>
              <w:spacing w:before="60" w:after="60"/>
              <w:rPr>
                <w:sz w:val="22"/>
                <w:szCs w:val="22"/>
              </w:rPr>
            </w:pPr>
            <w:r>
              <w:rPr>
                <w:sz w:val="22"/>
                <w:szCs w:val="22"/>
              </w:rPr>
              <w:t>АДБ (</w:t>
            </w:r>
            <w:r w:rsidR="0000169B" w:rsidRPr="00264D5D">
              <w:rPr>
                <w:sz w:val="22"/>
                <w:szCs w:val="22"/>
              </w:rPr>
              <w:t>Стороннее ППО</w:t>
            </w:r>
            <w:r>
              <w:rPr>
                <w:sz w:val="22"/>
                <w:szCs w:val="22"/>
              </w:rPr>
              <w:t>)</w:t>
            </w:r>
          </w:p>
        </w:tc>
        <w:tc>
          <w:tcPr>
            <w:tcW w:w="2352" w:type="pct"/>
            <w:vMerge w:val="restart"/>
          </w:tcPr>
          <w:p w14:paraId="7E8AEFD9" w14:textId="77777777" w:rsidR="00061191" w:rsidRPr="00FD1667" w:rsidRDefault="00061191" w:rsidP="00061191">
            <w:pPr>
              <w:rPr>
                <w:sz w:val="22"/>
                <w:szCs w:val="22"/>
              </w:rPr>
            </w:pPr>
            <w:r w:rsidRPr="00FD1667">
              <w:rPr>
                <w:sz w:val="22"/>
                <w:szCs w:val="22"/>
              </w:rPr>
              <w:t>Ручной экспорт из ЛК клиентом.</w:t>
            </w:r>
          </w:p>
          <w:p w14:paraId="332049B9" w14:textId="77777777" w:rsidR="0000169B" w:rsidRPr="00264D5D" w:rsidRDefault="00061191" w:rsidP="00061191">
            <w:pPr>
              <w:spacing w:before="60" w:after="60"/>
              <w:rPr>
                <w:sz w:val="22"/>
                <w:szCs w:val="22"/>
              </w:rPr>
            </w:pPr>
            <w:r w:rsidRPr="00FD1667">
              <w:rPr>
                <w:sz w:val="22"/>
                <w:szCs w:val="22"/>
                <w:highlight w:val="green"/>
              </w:rPr>
              <w:t>А так же передается в виде вложения в блоке «attachments» к документу «Выписка из лицевого счета администратора поступлений»</w:t>
            </w:r>
          </w:p>
        </w:tc>
      </w:tr>
      <w:tr w:rsidR="0000169B" w:rsidRPr="00264D5D" w14:paraId="6A55D9DB" w14:textId="77777777" w:rsidTr="00AD1F54">
        <w:trPr>
          <w:cnfStyle w:val="000000010000" w:firstRow="0" w:lastRow="0" w:firstColumn="0" w:lastColumn="0" w:oddVBand="0" w:evenVBand="0" w:oddHBand="0" w:evenHBand="1" w:firstRowFirstColumn="0" w:firstRowLastColumn="0" w:lastRowFirstColumn="0" w:lastRowLastColumn="0"/>
        </w:trPr>
        <w:tc>
          <w:tcPr>
            <w:tcW w:w="1324" w:type="pct"/>
          </w:tcPr>
          <w:p w14:paraId="70664FD2" w14:textId="77777777" w:rsidR="0000169B" w:rsidRPr="00264D5D" w:rsidRDefault="0000169B" w:rsidP="0000169B">
            <w:pPr>
              <w:spacing w:before="60" w:after="60"/>
              <w:rPr>
                <w:sz w:val="22"/>
                <w:szCs w:val="22"/>
              </w:rPr>
            </w:pPr>
            <w:r w:rsidRPr="00264D5D">
              <w:rPr>
                <w:sz w:val="22"/>
                <w:szCs w:val="22"/>
              </w:rPr>
              <w:t>ТОФК (ПУД ЭБ)</w:t>
            </w:r>
          </w:p>
        </w:tc>
        <w:tc>
          <w:tcPr>
            <w:tcW w:w="1324" w:type="pct"/>
          </w:tcPr>
          <w:p w14:paraId="20112533" w14:textId="77777777" w:rsidR="0000169B" w:rsidRPr="00264D5D" w:rsidRDefault="0000169B" w:rsidP="0000169B">
            <w:pPr>
              <w:spacing w:before="60" w:after="60"/>
              <w:rPr>
                <w:sz w:val="22"/>
                <w:szCs w:val="22"/>
              </w:rPr>
            </w:pPr>
            <w:r w:rsidRPr="00264D5D">
              <w:rPr>
                <w:sz w:val="22"/>
                <w:szCs w:val="22"/>
              </w:rPr>
              <w:t>МВУ ПУиО (ПФХД),</w:t>
            </w:r>
            <w:r w:rsidRPr="00264D5D">
              <w:rPr>
                <w:sz w:val="22"/>
                <w:szCs w:val="22"/>
                <w:lang w:eastAsia="en-US"/>
              </w:rPr>
              <w:t xml:space="preserve"> Бухгалтерия государственного учреждения (1С)</w:t>
            </w:r>
          </w:p>
        </w:tc>
        <w:tc>
          <w:tcPr>
            <w:tcW w:w="2352" w:type="pct"/>
            <w:vMerge/>
          </w:tcPr>
          <w:p w14:paraId="4CCCDD62" w14:textId="77777777" w:rsidR="0000169B" w:rsidRPr="00264D5D" w:rsidRDefault="0000169B" w:rsidP="0000169B">
            <w:pPr>
              <w:pStyle w:val="GOSTTablenorm"/>
              <w:rPr>
                <w:szCs w:val="22"/>
              </w:rPr>
            </w:pPr>
          </w:p>
        </w:tc>
      </w:tr>
      <w:tr w:rsidR="00061191" w:rsidRPr="00264D5D" w14:paraId="26E3DD7C" w14:textId="77777777" w:rsidTr="00AD1F54">
        <w:trPr>
          <w:cnfStyle w:val="000000100000" w:firstRow="0" w:lastRow="0" w:firstColumn="0" w:lastColumn="0" w:oddVBand="0" w:evenVBand="0" w:oddHBand="1" w:evenHBand="0" w:firstRowFirstColumn="0" w:firstRowLastColumn="0" w:lastRowFirstColumn="0" w:lastRowLastColumn="0"/>
        </w:trPr>
        <w:tc>
          <w:tcPr>
            <w:tcW w:w="1324" w:type="pct"/>
          </w:tcPr>
          <w:p w14:paraId="7A939DEB" w14:textId="77777777" w:rsidR="00061191" w:rsidRPr="00FD1667" w:rsidRDefault="00061191" w:rsidP="00061191">
            <w:pPr>
              <w:rPr>
                <w:sz w:val="22"/>
                <w:szCs w:val="22"/>
              </w:rPr>
            </w:pPr>
            <w:r>
              <w:rPr>
                <w:sz w:val="22"/>
                <w:szCs w:val="22"/>
                <w:highlight w:val="green"/>
              </w:rPr>
              <w:t>ТОФК (ПУД ЭБ)</w:t>
            </w:r>
          </w:p>
        </w:tc>
        <w:tc>
          <w:tcPr>
            <w:tcW w:w="1324" w:type="pct"/>
          </w:tcPr>
          <w:p w14:paraId="0C1E27C7" w14:textId="77777777" w:rsidR="00061191" w:rsidRPr="00FD1667" w:rsidRDefault="00061191" w:rsidP="00061191">
            <w:pPr>
              <w:rPr>
                <w:sz w:val="22"/>
                <w:szCs w:val="22"/>
              </w:rPr>
            </w:pPr>
            <w:r w:rsidRPr="00FD1667">
              <w:rPr>
                <w:sz w:val="22"/>
                <w:szCs w:val="22"/>
                <w:highlight w:val="green"/>
              </w:rPr>
              <w:t>ПИАО ЭБ</w:t>
            </w:r>
          </w:p>
        </w:tc>
        <w:tc>
          <w:tcPr>
            <w:tcW w:w="2352" w:type="pct"/>
          </w:tcPr>
          <w:p w14:paraId="7BE8A3E1" w14:textId="77777777" w:rsidR="00061191" w:rsidRPr="00FD1667" w:rsidRDefault="00061191" w:rsidP="00061191">
            <w:pPr>
              <w:pStyle w:val="GOSTTablenorm"/>
              <w:rPr>
                <w:szCs w:val="22"/>
              </w:rPr>
            </w:pPr>
            <w:r w:rsidRPr="00FD1667">
              <w:rPr>
                <w:szCs w:val="22"/>
                <w:highlight w:val="green"/>
              </w:rPr>
              <w:t>Передается только в виде вложения в блоке «attachments» к документу «Выписка из лицевого счета администратора поступлений»</w:t>
            </w:r>
          </w:p>
        </w:tc>
      </w:tr>
    </w:tbl>
    <w:p w14:paraId="0EB4A382" w14:textId="1F88D92B" w:rsidR="0000169B" w:rsidRDefault="0000169B" w:rsidP="0000169B">
      <w:pPr>
        <w:pStyle w:val="ASFKNormal"/>
        <w:jc w:val="both"/>
        <w:rPr>
          <w:sz w:val="24"/>
          <w:szCs w:val="24"/>
        </w:rPr>
      </w:pPr>
      <w:r w:rsidRPr="00264D5D">
        <w:rPr>
          <w:sz w:val="24"/>
        </w:rPr>
        <w:t xml:space="preserve">Описание и структура документа приведены в альбоме </w:t>
      </w:r>
      <w:r w:rsidRPr="00264D5D">
        <w:t>«</w:t>
      </w:r>
      <w:r w:rsidRPr="00264D5D">
        <w:rPr>
          <w:sz w:val="24"/>
          <w:szCs w:val="24"/>
        </w:rPr>
        <w:t>Требования к форматам обмена распоряжений о совершении казначейского платежа (возврат), используемым при информационном взаимодействие между территориальными органами Федерального казначейства и участниками бюджетного процесса, неучастниками бюджетного процесса, бюджетными учреждениями, автономными учреждениями».</w:t>
      </w:r>
    </w:p>
    <w:p w14:paraId="5A72628E" w14:textId="677E25F0" w:rsidR="00001141" w:rsidRPr="00061191" w:rsidRDefault="00001141" w:rsidP="00001141">
      <w:pPr>
        <w:pStyle w:val="22"/>
        <w:ind w:left="851" w:hanging="851"/>
        <w:rPr>
          <w:highlight w:val="green"/>
          <w:lang w:val="ru-RU"/>
        </w:rPr>
      </w:pPr>
      <w:bookmarkStart w:id="4657" w:name="_Ref217313700"/>
      <w:bookmarkStart w:id="4658" w:name="_Toc219309870"/>
      <w:r w:rsidRPr="00061191">
        <w:rPr>
          <w:highlight w:val="green"/>
          <w:lang w:val="ru-RU"/>
        </w:rPr>
        <w:t>Описание документа «Распоряжение о совершении казначейского платежа (возврат)</w:t>
      </w:r>
      <w:r w:rsidRPr="008D797C">
        <w:rPr>
          <w:highlight w:val="green"/>
          <w:lang w:val="ru-RU"/>
        </w:rPr>
        <w:t xml:space="preserve"> (</w:t>
      </w:r>
      <w:r>
        <w:rPr>
          <w:highlight w:val="green"/>
          <w:lang w:val="ru-RU"/>
        </w:rPr>
        <w:t>многострочный</w:t>
      </w:r>
      <w:r w:rsidRPr="008D797C">
        <w:rPr>
          <w:highlight w:val="green"/>
          <w:lang w:val="ru-RU"/>
        </w:rPr>
        <w:t>)</w:t>
      </w:r>
      <w:r w:rsidRPr="00061191">
        <w:rPr>
          <w:highlight w:val="green"/>
          <w:lang w:val="ru-RU"/>
        </w:rPr>
        <w:t>»</w:t>
      </w:r>
      <w:bookmarkEnd w:id="4657"/>
      <w:bookmarkEnd w:id="4658"/>
      <w:r w:rsidRPr="00061191">
        <w:rPr>
          <w:highlight w:val="green"/>
          <w:lang w:val="ru-RU"/>
        </w:rPr>
        <w:t xml:space="preserve"> </w:t>
      </w:r>
    </w:p>
    <w:p w14:paraId="713BD4D3" w14:textId="77777777" w:rsidR="00001141" w:rsidRPr="00061191" w:rsidRDefault="00001141" w:rsidP="00001141">
      <w:pPr>
        <w:pStyle w:val="31"/>
        <w:rPr>
          <w:highlight w:val="green"/>
        </w:rPr>
      </w:pPr>
      <w:bookmarkStart w:id="4659" w:name="_Toc219309871"/>
      <w:r w:rsidRPr="00061191">
        <w:rPr>
          <w:highlight w:val="green"/>
        </w:rPr>
        <w:t>Назначение и маршрут документа</w:t>
      </w:r>
      <w:bookmarkEnd w:id="4659"/>
    </w:p>
    <w:p w14:paraId="1F608A6E" w14:textId="20190FB2" w:rsidR="00001141" w:rsidRPr="008D797C" w:rsidRDefault="00001141" w:rsidP="00001141">
      <w:pPr>
        <w:pStyle w:val="ASFKNormal"/>
        <w:spacing w:before="60" w:after="120"/>
        <w:contextualSpacing w:val="0"/>
        <w:jc w:val="both"/>
        <w:rPr>
          <w:sz w:val="24"/>
          <w:highlight w:val="green"/>
        </w:rPr>
      </w:pPr>
      <w:r w:rsidRPr="008D797C">
        <w:rPr>
          <w:sz w:val="24"/>
          <w:highlight w:val="green"/>
        </w:rPr>
        <w:t>Документ «Распоряжение о совершении казначейского платежа (возврат) (многострочный)» (далее – Распоряжение на возврат</w:t>
      </w:r>
      <w:r w:rsidR="00330901" w:rsidRPr="008D797C">
        <w:rPr>
          <w:sz w:val="24"/>
          <w:highlight w:val="green"/>
        </w:rPr>
        <w:t xml:space="preserve"> (многострочный)</w:t>
      </w:r>
      <w:r w:rsidRPr="008D797C">
        <w:rPr>
          <w:sz w:val="24"/>
          <w:highlight w:val="green"/>
        </w:rPr>
        <w:t xml:space="preserve">) </w:t>
      </w:r>
      <w:r w:rsidR="00330901" w:rsidRPr="008D797C">
        <w:rPr>
          <w:sz w:val="24"/>
          <w:szCs w:val="24"/>
          <w:highlight w:val="green"/>
        </w:rPr>
        <w:t>предоставляется АИФДБ (ФНС, ФТС) в ТОФК для возврата средств, ранее зачисленных на казначейские счета (единый налоговый счет, единый таможенный счет)</w:t>
      </w:r>
      <w:r w:rsidRPr="008D797C">
        <w:rPr>
          <w:sz w:val="24"/>
          <w:szCs w:val="24"/>
          <w:highlight w:val="green"/>
        </w:rPr>
        <w:t>.</w:t>
      </w:r>
    </w:p>
    <w:p w14:paraId="2BAD2157" w14:textId="51C6F8AE" w:rsidR="00001141" w:rsidRPr="00330901" w:rsidRDefault="00001141" w:rsidP="00001141">
      <w:pPr>
        <w:pStyle w:val="GOSTNameTable"/>
        <w:numPr>
          <w:ilvl w:val="0"/>
          <w:numId w:val="2"/>
        </w:numPr>
        <w:ind w:left="425" w:hanging="357"/>
        <w:rPr>
          <w:highlight w:val="green"/>
        </w:rPr>
      </w:pPr>
      <w:r w:rsidRPr="00330901">
        <w:rPr>
          <w:highlight w:val="green"/>
        </w:rPr>
        <w:lastRenderedPageBreak/>
        <w:fldChar w:fldCharType="begin"/>
      </w:r>
      <w:r w:rsidRPr="00330901">
        <w:rPr>
          <w:highlight w:val="green"/>
        </w:rPr>
        <w:instrText>SEQ Таблица \* ARABIC</w:instrText>
      </w:r>
      <w:r w:rsidRPr="008D797C">
        <w:rPr>
          <w:highlight w:val="green"/>
        </w:rPr>
        <w:fldChar w:fldCharType="separate"/>
      </w:r>
      <w:bookmarkStart w:id="4660" w:name="_Toc219309403"/>
      <w:r w:rsidR="008D797C">
        <w:rPr>
          <w:noProof/>
          <w:highlight w:val="green"/>
        </w:rPr>
        <w:t>373</w:t>
      </w:r>
      <w:r w:rsidRPr="00330901">
        <w:rPr>
          <w:highlight w:val="green"/>
        </w:rPr>
        <w:fldChar w:fldCharType="end"/>
      </w:r>
      <w:r w:rsidRPr="00330901">
        <w:rPr>
          <w:highlight w:val="green"/>
        </w:rPr>
        <w:t xml:space="preserve"> – Маршрут документа «Распоряжение о совершении казначейского платежа (возврат)</w:t>
      </w:r>
      <w:r w:rsidR="00330901" w:rsidRPr="00330901">
        <w:rPr>
          <w:highlight w:val="green"/>
        </w:rPr>
        <w:t xml:space="preserve"> (многострочный)</w:t>
      </w:r>
      <w:r w:rsidRPr="00330901">
        <w:rPr>
          <w:highlight w:val="green"/>
        </w:rPr>
        <w:t>»</w:t>
      </w:r>
      <w:bookmarkEnd w:id="4660"/>
    </w:p>
    <w:tbl>
      <w:tblPr>
        <w:tblStyle w:val="GOSTTable"/>
        <w:tblW w:w="5000" w:type="pct"/>
        <w:tblLook w:val="01E0" w:firstRow="1" w:lastRow="1" w:firstColumn="1" w:lastColumn="1" w:noHBand="0" w:noVBand="0"/>
      </w:tblPr>
      <w:tblGrid>
        <w:gridCol w:w="2556"/>
        <w:gridCol w:w="2555"/>
        <w:gridCol w:w="4539"/>
      </w:tblGrid>
      <w:tr w:rsidR="00001141" w:rsidRPr="00330901" w14:paraId="6C557030" w14:textId="77777777" w:rsidTr="0062709B">
        <w:trPr>
          <w:cnfStyle w:val="100000000000" w:firstRow="1" w:lastRow="0" w:firstColumn="0" w:lastColumn="0" w:oddVBand="0" w:evenVBand="0" w:oddHBand="0" w:evenHBand="0" w:firstRowFirstColumn="0" w:firstRowLastColumn="0" w:lastRowFirstColumn="0" w:lastRowLastColumn="0"/>
          <w:tblHeader/>
        </w:trPr>
        <w:tc>
          <w:tcPr>
            <w:tcW w:w="1324" w:type="pct"/>
          </w:tcPr>
          <w:p w14:paraId="2BE4C9AB" w14:textId="77777777" w:rsidR="00001141" w:rsidRPr="008D797C" w:rsidRDefault="00001141" w:rsidP="0062709B">
            <w:pPr>
              <w:pStyle w:val="ASFKTableHead"/>
              <w:rPr>
                <w:highlight w:val="green"/>
              </w:rPr>
            </w:pPr>
            <w:r w:rsidRPr="008D797C">
              <w:rPr>
                <w:highlight w:val="green"/>
              </w:rPr>
              <w:t>Отправитель</w:t>
            </w:r>
          </w:p>
        </w:tc>
        <w:tc>
          <w:tcPr>
            <w:tcW w:w="1324" w:type="pct"/>
          </w:tcPr>
          <w:p w14:paraId="03196E68" w14:textId="77777777" w:rsidR="00001141" w:rsidRPr="008D797C" w:rsidRDefault="00001141" w:rsidP="0062709B">
            <w:pPr>
              <w:pStyle w:val="ASFKTableHead"/>
              <w:rPr>
                <w:highlight w:val="green"/>
              </w:rPr>
            </w:pPr>
            <w:r w:rsidRPr="008D797C">
              <w:rPr>
                <w:highlight w:val="green"/>
              </w:rPr>
              <w:t>Получатель</w:t>
            </w:r>
          </w:p>
        </w:tc>
        <w:tc>
          <w:tcPr>
            <w:tcW w:w="2352" w:type="pct"/>
          </w:tcPr>
          <w:p w14:paraId="01AD31A0" w14:textId="77777777" w:rsidR="00001141" w:rsidRPr="008D797C" w:rsidRDefault="00001141" w:rsidP="0062709B">
            <w:pPr>
              <w:pStyle w:val="ASFKTableHead"/>
              <w:rPr>
                <w:highlight w:val="green"/>
              </w:rPr>
            </w:pPr>
            <w:r w:rsidRPr="008D797C">
              <w:rPr>
                <w:highlight w:val="green"/>
              </w:rPr>
              <w:t>Примечание</w:t>
            </w:r>
          </w:p>
        </w:tc>
      </w:tr>
      <w:tr w:rsidR="00001141" w:rsidRPr="00330901" w14:paraId="418B754C" w14:textId="77777777" w:rsidTr="0062709B">
        <w:trPr>
          <w:cnfStyle w:val="000000100000" w:firstRow="0" w:lastRow="0" w:firstColumn="0" w:lastColumn="0" w:oddVBand="0" w:evenVBand="0" w:oddHBand="1" w:evenHBand="0" w:firstRowFirstColumn="0" w:firstRowLastColumn="0" w:lastRowFirstColumn="0" w:lastRowLastColumn="0"/>
        </w:trPr>
        <w:tc>
          <w:tcPr>
            <w:tcW w:w="1324" w:type="pct"/>
          </w:tcPr>
          <w:p w14:paraId="24BDC098" w14:textId="496E4721" w:rsidR="00001141" w:rsidRPr="008D797C" w:rsidRDefault="00330901" w:rsidP="0062709B">
            <w:pPr>
              <w:spacing w:before="60" w:after="60"/>
              <w:rPr>
                <w:sz w:val="22"/>
                <w:szCs w:val="22"/>
                <w:highlight w:val="green"/>
              </w:rPr>
            </w:pPr>
            <w:r w:rsidRPr="008D797C">
              <w:rPr>
                <w:color w:val="000000" w:themeColor="text1"/>
                <w:sz w:val="22"/>
                <w:szCs w:val="22"/>
                <w:highlight w:val="green"/>
              </w:rPr>
              <w:t>АИФДБ (ФТС, ФНС) (Стороннее ППО)</w:t>
            </w:r>
          </w:p>
        </w:tc>
        <w:tc>
          <w:tcPr>
            <w:tcW w:w="1324" w:type="pct"/>
          </w:tcPr>
          <w:p w14:paraId="1E924D6E" w14:textId="77777777" w:rsidR="00001141" w:rsidRPr="008D797C" w:rsidRDefault="00001141" w:rsidP="0062709B">
            <w:pPr>
              <w:spacing w:before="60" w:after="60"/>
              <w:rPr>
                <w:sz w:val="22"/>
                <w:szCs w:val="22"/>
                <w:highlight w:val="green"/>
              </w:rPr>
            </w:pPr>
            <w:r w:rsidRPr="008D797C">
              <w:rPr>
                <w:sz w:val="22"/>
                <w:szCs w:val="22"/>
                <w:highlight w:val="green"/>
              </w:rPr>
              <w:t>ТОФК (ПУД ЭБ)</w:t>
            </w:r>
          </w:p>
        </w:tc>
        <w:tc>
          <w:tcPr>
            <w:tcW w:w="2352" w:type="pct"/>
          </w:tcPr>
          <w:p w14:paraId="6DB13001" w14:textId="77777777" w:rsidR="00001141" w:rsidRPr="008D797C" w:rsidRDefault="00001141" w:rsidP="0062709B">
            <w:pPr>
              <w:spacing w:before="60" w:after="60"/>
              <w:rPr>
                <w:sz w:val="22"/>
                <w:szCs w:val="22"/>
                <w:highlight w:val="green"/>
              </w:rPr>
            </w:pPr>
            <w:r w:rsidRPr="008D797C">
              <w:rPr>
                <w:sz w:val="22"/>
                <w:szCs w:val="22"/>
                <w:highlight w:val="green"/>
              </w:rPr>
              <w:t>Может передаваться как с помощью ручного импорт в ЛК клиентом, так и с помощью веб-сервиса</w:t>
            </w:r>
          </w:p>
        </w:tc>
      </w:tr>
    </w:tbl>
    <w:p w14:paraId="25355EB5" w14:textId="77777777" w:rsidR="00001141" w:rsidRPr="00264D5D" w:rsidRDefault="00001141" w:rsidP="00001141">
      <w:pPr>
        <w:pStyle w:val="ASFKNormal"/>
        <w:jc w:val="both"/>
        <w:rPr>
          <w:sz w:val="24"/>
          <w:szCs w:val="24"/>
        </w:rPr>
      </w:pPr>
      <w:r w:rsidRPr="008D797C">
        <w:rPr>
          <w:sz w:val="24"/>
          <w:highlight w:val="green"/>
        </w:rPr>
        <w:t xml:space="preserve">Описание и структура документа приведены в альбоме </w:t>
      </w:r>
      <w:r w:rsidRPr="008D797C">
        <w:rPr>
          <w:highlight w:val="green"/>
        </w:rPr>
        <w:t>«</w:t>
      </w:r>
      <w:r w:rsidRPr="008D797C">
        <w:rPr>
          <w:sz w:val="24"/>
          <w:szCs w:val="24"/>
          <w:highlight w:val="green"/>
        </w:rPr>
        <w:t>Требования к форматам обмена распоряжений о совершении казначейского платежа (возврат), используемым при информационном взаимодействие между территориальными органами Федерального казначейства и участниками бюджетного процесса, неучастниками бюджетного процесса, бюджетными учреждениями, автономными учреждениями».</w:t>
      </w:r>
    </w:p>
    <w:p w14:paraId="5A6E7459" w14:textId="77777777" w:rsidR="00001141" w:rsidRPr="00264D5D" w:rsidRDefault="00001141" w:rsidP="0000169B">
      <w:pPr>
        <w:pStyle w:val="ASFKNormal"/>
        <w:jc w:val="both"/>
        <w:rPr>
          <w:sz w:val="24"/>
          <w:szCs w:val="24"/>
        </w:rPr>
      </w:pPr>
    </w:p>
    <w:p w14:paraId="42F17450" w14:textId="77777777" w:rsidR="00AD1F54" w:rsidRPr="00061191" w:rsidRDefault="00941227">
      <w:pPr>
        <w:pStyle w:val="22"/>
        <w:ind w:left="851" w:hanging="851"/>
        <w:rPr>
          <w:highlight w:val="green"/>
          <w:lang w:val="ru-RU"/>
        </w:rPr>
      </w:pPr>
      <w:bookmarkStart w:id="4661" w:name="_Ref183687831"/>
      <w:bookmarkStart w:id="4662" w:name="_Toc139890946"/>
      <w:bookmarkStart w:id="4663" w:name="_Toc219309872"/>
      <w:r w:rsidRPr="00061191">
        <w:rPr>
          <w:highlight w:val="green"/>
          <w:lang w:val="ru-RU"/>
        </w:rPr>
        <w:t>Описание документа «Распоряжение о совершении казначейского платежа (уточнение)»</w:t>
      </w:r>
      <w:bookmarkEnd w:id="4661"/>
      <w:bookmarkEnd w:id="4663"/>
      <w:r w:rsidRPr="00061191">
        <w:rPr>
          <w:highlight w:val="green"/>
          <w:lang w:val="ru-RU"/>
        </w:rPr>
        <w:t xml:space="preserve"> </w:t>
      </w:r>
      <w:bookmarkEnd w:id="4662"/>
    </w:p>
    <w:p w14:paraId="440802D8" w14:textId="77777777" w:rsidR="00AD1F54" w:rsidRPr="00061191" w:rsidRDefault="00941227">
      <w:pPr>
        <w:pStyle w:val="31"/>
        <w:rPr>
          <w:highlight w:val="green"/>
        </w:rPr>
      </w:pPr>
      <w:bookmarkStart w:id="4664" w:name="_Toc139890947"/>
      <w:bookmarkStart w:id="4665" w:name="_Toc219309873"/>
      <w:r w:rsidRPr="00061191">
        <w:rPr>
          <w:highlight w:val="green"/>
        </w:rPr>
        <w:t>Назначение и маршрут документа</w:t>
      </w:r>
      <w:bookmarkEnd w:id="4664"/>
      <w:bookmarkEnd w:id="4665"/>
    </w:p>
    <w:p w14:paraId="0261F3E3" w14:textId="77777777" w:rsidR="00AD1F54" w:rsidRPr="00264D5D" w:rsidRDefault="00941227">
      <w:pPr>
        <w:pStyle w:val="ASFKNormal"/>
        <w:widowControl w:val="0"/>
        <w:spacing w:before="60" w:after="120"/>
        <w:jc w:val="both"/>
        <w:rPr>
          <w:sz w:val="24"/>
          <w:szCs w:val="24"/>
        </w:rPr>
      </w:pPr>
      <w:r w:rsidRPr="00264D5D">
        <w:rPr>
          <w:rFonts w:eastAsia="Calibri"/>
          <w:sz w:val="24"/>
        </w:rPr>
        <w:t>Документ «Распоряжение о совершении казначейского платежа (уточнение)» предназначен для уточнения поступл</w:t>
      </w:r>
      <w:r w:rsidR="00BF6032" w:rsidRPr="00264D5D">
        <w:rPr>
          <w:rFonts w:eastAsia="Calibri"/>
          <w:sz w:val="24"/>
        </w:rPr>
        <w:t>ений, зачисленных на счета ТОФК.</w:t>
      </w:r>
    </w:p>
    <w:p w14:paraId="02D5EFA9" w14:textId="600015F8" w:rsidR="00AD1F54" w:rsidRPr="00264D5D" w:rsidRDefault="00941227">
      <w:pPr>
        <w:pStyle w:val="ASFKNormal"/>
        <w:widowControl w:val="0"/>
        <w:spacing w:before="60" w:after="120"/>
        <w:jc w:val="both"/>
        <w:rPr>
          <w:sz w:val="24"/>
          <w:szCs w:val="24"/>
        </w:rPr>
      </w:pPr>
      <w:r w:rsidRPr="00264D5D">
        <w:rPr>
          <w:sz w:val="24"/>
          <w:szCs w:val="24"/>
        </w:rPr>
        <w:t xml:space="preserve">Документ «Распоряжение о совершении казначейского платежа (уточнение)» также может передаваться в виде вложения в блоке «attachments» к документу «Выписка из лицевого счета администратора </w:t>
      </w:r>
      <w:r w:rsidR="00CC4530" w:rsidRPr="00FE2487">
        <w:rPr>
          <w:sz w:val="22"/>
          <w:szCs w:val="22"/>
          <w:highlight w:val="green"/>
        </w:rPr>
        <w:t>поступлений</w:t>
      </w:r>
      <w:r w:rsidRPr="00264D5D">
        <w:rPr>
          <w:sz w:val="24"/>
          <w:szCs w:val="24"/>
        </w:rPr>
        <w:t>» в форматах, предусмотренных настоящим Альбомом ТФО.</w:t>
      </w:r>
    </w:p>
    <w:p w14:paraId="6457CF9B" w14:textId="03880B75" w:rsidR="00AD1F54" w:rsidRPr="00061191" w:rsidRDefault="0079039B" w:rsidP="00E7460C">
      <w:pPr>
        <w:pStyle w:val="GOSTNameTable"/>
        <w:numPr>
          <w:ilvl w:val="0"/>
          <w:numId w:val="126"/>
        </w:numPr>
        <w:spacing w:before="240" w:after="120"/>
        <w:rPr>
          <w:highlight w:val="green"/>
          <w:lang w:eastAsia="en-US"/>
        </w:rPr>
      </w:pPr>
      <w:r w:rsidRPr="00061191">
        <w:rPr>
          <w:highlight w:val="green"/>
        </w:rPr>
        <w:fldChar w:fldCharType="begin"/>
      </w:r>
      <w:r w:rsidRPr="00061191">
        <w:rPr>
          <w:highlight w:val="green"/>
        </w:rPr>
        <w:instrText xml:space="preserve"> SEQ Таблица \* ARABIC </w:instrText>
      </w:r>
      <w:r w:rsidRPr="00061191">
        <w:rPr>
          <w:highlight w:val="green"/>
        </w:rPr>
        <w:fldChar w:fldCharType="separate"/>
      </w:r>
      <w:bookmarkStart w:id="4666" w:name="_Toc122436401"/>
      <w:bookmarkStart w:id="4667" w:name="_Toc219309404"/>
      <w:r w:rsidR="008D797C">
        <w:rPr>
          <w:noProof/>
          <w:highlight w:val="green"/>
        </w:rPr>
        <w:t>374</w:t>
      </w:r>
      <w:r w:rsidRPr="00061191">
        <w:rPr>
          <w:noProof/>
          <w:highlight w:val="green"/>
        </w:rPr>
        <w:fldChar w:fldCharType="end"/>
      </w:r>
      <w:r w:rsidR="00941227" w:rsidRPr="00061191">
        <w:rPr>
          <w:rFonts w:eastAsia="Calibri"/>
          <w:szCs w:val="24"/>
          <w:highlight w:val="green"/>
        </w:rPr>
        <w:t xml:space="preserve"> – </w:t>
      </w:r>
      <w:r w:rsidR="00941227" w:rsidRPr="00061191">
        <w:rPr>
          <w:highlight w:val="green"/>
        </w:rPr>
        <w:t>Маршрут документа «Распоряжение о совершении казначейского платежа (уточнение)</w:t>
      </w:r>
      <w:r w:rsidR="00941227" w:rsidRPr="00061191">
        <w:rPr>
          <w:rFonts w:eastAsia="Calibri"/>
          <w:highlight w:val="green"/>
        </w:rPr>
        <w:t>»</w:t>
      </w:r>
      <w:bookmarkEnd w:id="4667"/>
      <w:r w:rsidR="00941227" w:rsidRPr="00061191">
        <w:rPr>
          <w:rFonts w:eastAsia="Calibri"/>
          <w:highlight w:val="green"/>
        </w:rPr>
        <w:t xml:space="preserve"> </w:t>
      </w:r>
      <w:bookmarkEnd w:id="4666"/>
    </w:p>
    <w:tbl>
      <w:tblPr>
        <w:tblStyle w:val="GOSTTable"/>
        <w:tblW w:w="5000" w:type="pct"/>
        <w:tblLayout w:type="fixed"/>
        <w:tblLook w:val="01E0" w:firstRow="1" w:lastRow="1" w:firstColumn="1" w:lastColumn="1" w:noHBand="0" w:noVBand="0"/>
      </w:tblPr>
      <w:tblGrid>
        <w:gridCol w:w="2556"/>
        <w:gridCol w:w="2557"/>
        <w:gridCol w:w="4537"/>
      </w:tblGrid>
      <w:tr w:rsidR="00AD1F54" w:rsidRPr="00264D5D" w14:paraId="63A4DA96" w14:textId="77777777" w:rsidTr="0000169B">
        <w:trPr>
          <w:cnfStyle w:val="100000000000" w:firstRow="1" w:lastRow="0" w:firstColumn="0" w:lastColumn="0" w:oddVBand="0" w:evenVBand="0" w:oddHBand="0" w:evenHBand="0" w:firstRowFirstColumn="0" w:firstRowLastColumn="0" w:lastRowFirstColumn="0" w:lastRowLastColumn="0"/>
          <w:tblHeader/>
        </w:trPr>
        <w:tc>
          <w:tcPr>
            <w:tcW w:w="2556" w:type="dxa"/>
          </w:tcPr>
          <w:p w14:paraId="17C45A67" w14:textId="77777777" w:rsidR="00AD1F54" w:rsidRPr="00264D5D" w:rsidRDefault="00941227">
            <w:pPr>
              <w:pStyle w:val="GOSTTableHead"/>
            </w:pPr>
            <w:r w:rsidRPr="00264D5D">
              <w:t>Отправитель</w:t>
            </w:r>
          </w:p>
        </w:tc>
        <w:tc>
          <w:tcPr>
            <w:tcW w:w="2557" w:type="dxa"/>
          </w:tcPr>
          <w:p w14:paraId="62CCDF3B" w14:textId="77777777" w:rsidR="00AD1F54" w:rsidRPr="00264D5D" w:rsidRDefault="00941227">
            <w:pPr>
              <w:pStyle w:val="GOSTTableHead"/>
            </w:pPr>
            <w:r w:rsidRPr="00264D5D">
              <w:t>Получатель</w:t>
            </w:r>
          </w:p>
        </w:tc>
        <w:tc>
          <w:tcPr>
            <w:tcW w:w="4537" w:type="dxa"/>
          </w:tcPr>
          <w:p w14:paraId="689CD504" w14:textId="77777777" w:rsidR="00AD1F54" w:rsidRPr="00264D5D" w:rsidRDefault="00941227">
            <w:pPr>
              <w:pStyle w:val="GOSTTableHead"/>
            </w:pPr>
            <w:r w:rsidRPr="00264D5D">
              <w:t>Примечание</w:t>
            </w:r>
          </w:p>
        </w:tc>
      </w:tr>
      <w:tr w:rsidR="0000169B" w:rsidRPr="00264D5D" w14:paraId="2EF677ED" w14:textId="77777777" w:rsidTr="0000169B">
        <w:trPr>
          <w:cnfStyle w:val="000000100000" w:firstRow="0" w:lastRow="0" w:firstColumn="0" w:lastColumn="0" w:oddVBand="0" w:evenVBand="0" w:oddHBand="1" w:evenHBand="0" w:firstRowFirstColumn="0" w:firstRowLastColumn="0" w:lastRowFirstColumn="0" w:lastRowLastColumn="0"/>
        </w:trPr>
        <w:tc>
          <w:tcPr>
            <w:tcW w:w="2556" w:type="dxa"/>
            <w:tcBorders>
              <w:top w:val="single" w:sz="4" w:space="0" w:color="auto"/>
              <w:left w:val="single" w:sz="4" w:space="0" w:color="auto"/>
              <w:bottom w:val="single" w:sz="4" w:space="0" w:color="auto"/>
              <w:right w:val="single" w:sz="4" w:space="0" w:color="auto"/>
            </w:tcBorders>
          </w:tcPr>
          <w:p w14:paraId="4662880E" w14:textId="77777777" w:rsidR="0000169B" w:rsidRPr="00264D5D" w:rsidRDefault="0000169B" w:rsidP="0000169B">
            <w:pPr>
              <w:pStyle w:val="GOSTTablenorm"/>
              <w:rPr>
                <w:strike/>
                <w:szCs w:val="22"/>
              </w:rPr>
            </w:pPr>
            <w:r w:rsidRPr="00264D5D">
              <w:rPr>
                <w:szCs w:val="22"/>
              </w:rPr>
              <w:t>АДБ (Стороннее ППО)</w:t>
            </w:r>
          </w:p>
        </w:tc>
        <w:tc>
          <w:tcPr>
            <w:tcW w:w="2557" w:type="dxa"/>
            <w:tcBorders>
              <w:top w:val="single" w:sz="4" w:space="0" w:color="auto"/>
              <w:left w:val="single" w:sz="4" w:space="0" w:color="auto"/>
              <w:bottom w:val="single" w:sz="4" w:space="0" w:color="auto"/>
              <w:right w:val="single" w:sz="4" w:space="0" w:color="auto"/>
            </w:tcBorders>
          </w:tcPr>
          <w:p w14:paraId="4D0A5993" w14:textId="77777777" w:rsidR="0000169B" w:rsidRPr="00264D5D" w:rsidRDefault="0000169B" w:rsidP="0000169B">
            <w:pPr>
              <w:pStyle w:val="GOSTTablenorm"/>
              <w:rPr>
                <w:szCs w:val="22"/>
              </w:rPr>
            </w:pPr>
            <w:r w:rsidRPr="00264D5D">
              <w:rPr>
                <w:szCs w:val="22"/>
              </w:rPr>
              <w:t>ТОФК (ПУД ЭБ)</w:t>
            </w:r>
          </w:p>
        </w:tc>
        <w:tc>
          <w:tcPr>
            <w:tcW w:w="4537" w:type="dxa"/>
            <w:vMerge w:val="restart"/>
            <w:tcBorders>
              <w:top w:val="single" w:sz="4" w:space="0" w:color="auto"/>
              <w:left w:val="single" w:sz="4" w:space="0" w:color="auto"/>
              <w:right w:val="single" w:sz="4" w:space="0" w:color="auto"/>
            </w:tcBorders>
          </w:tcPr>
          <w:p w14:paraId="211B4A19" w14:textId="77777777" w:rsidR="0000169B" w:rsidRPr="00264D5D" w:rsidRDefault="0000169B" w:rsidP="0000169B">
            <w:pPr>
              <w:pStyle w:val="GOSTTablenorm"/>
              <w:rPr>
                <w:szCs w:val="22"/>
              </w:rPr>
            </w:pPr>
            <w:r w:rsidRPr="00264D5D">
              <w:rPr>
                <w:szCs w:val="22"/>
              </w:rPr>
              <w:t>Может передаваться как с помощью ручного импорт в ЛК клиентом, так и с помощью веб-сервиса</w:t>
            </w:r>
          </w:p>
        </w:tc>
      </w:tr>
      <w:tr w:rsidR="0000169B" w:rsidRPr="00264D5D" w14:paraId="0D61F69D" w14:textId="77777777" w:rsidTr="0000169B">
        <w:trPr>
          <w:cnfStyle w:val="000000010000" w:firstRow="0" w:lastRow="0" w:firstColumn="0" w:lastColumn="0" w:oddVBand="0" w:evenVBand="0" w:oddHBand="0" w:evenHBand="1" w:firstRowFirstColumn="0" w:firstRowLastColumn="0" w:lastRowFirstColumn="0" w:lastRowLastColumn="0"/>
        </w:trPr>
        <w:tc>
          <w:tcPr>
            <w:tcW w:w="2556" w:type="dxa"/>
            <w:tcBorders>
              <w:top w:val="single" w:sz="4" w:space="0" w:color="auto"/>
              <w:left w:val="single" w:sz="4" w:space="0" w:color="auto"/>
              <w:bottom w:val="single" w:sz="4" w:space="0" w:color="auto"/>
              <w:right w:val="single" w:sz="4" w:space="0" w:color="auto"/>
            </w:tcBorders>
          </w:tcPr>
          <w:p w14:paraId="40638694" w14:textId="77777777" w:rsidR="0000169B" w:rsidRPr="00264D5D" w:rsidRDefault="0000169B" w:rsidP="0000169B">
            <w:pPr>
              <w:pStyle w:val="GOSTTablenorm"/>
              <w:rPr>
                <w:szCs w:val="22"/>
              </w:rPr>
            </w:pPr>
            <w:r w:rsidRPr="00264D5D">
              <w:rPr>
                <w:szCs w:val="22"/>
              </w:rPr>
              <w:t>МВУ ПУиО (ПФХД),</w:t>
            </w:r>
            <w:r w:rsidRPr="00264D5D">
              <w:rPr>
                <w:szCs w:val="22"/>
                <w:lang w:eastAsia="en-US"/>
              </w:rPr>
              <w:t xml:space="preserve"> Бухгалтерия государственного учреждения (1С)</w:t>
            </w:r>
          </w:p>
        </w:tc>
        <w:tc>
          <w:tcPr>
            <w:tcW w:w="2557" w:type="dxa"/>
            <w:tcBorders>
              <w:top w:val="single" w:sz="4" w:space="0" w:color="auto"/>
              <w:left w:val="single" w:sz="4" w:space="0" w:color="auto"/>
              <w:bottom w:val="single" w:sz="4" w:space="0" w:color="auto"/>
              <w:right w:val="single" w:sz="4" w:space="0" w:color="auto"/>
            </w:tcBorders>
          </w:tcPr>
          <w:p w14:paraId="452EC08B" w14:textId="77777777" w:rsidR="0000169B" w:rsidRPr="00264D5D" w:rsidRDefault="0000169B" w:rsidP="0000169B">
            <w:pPr>
              <w:pStyle w:val="GOSTTablenorm"/>
              <w:rPr>
                <w:szCs w:val="22"/>
              </w:rPr>
            </w:pPr>
            <w:r w:rsidRPr="00264D5D">
              <w:rPr>
                <w:szCs w:val="22"/>
              </w:rPr>
              <w:t>ТОФК (ПУД ЭБ)</w:t>
            </w:r>
          </w:p>
        </w:tc>
        <w:tc>
          <w:tcPr>
            <w:tcW w:w="4537" w:type="dxa"/>
            <w:vMerge/>
            <w:tcBorders>
              <w:left w:val="single" w:sz="4" w:space="0" w:color="auto"/>
              <w:bottom w:val="single" w:sz="4" w:space="0" w:color="auto"/>
              <w:right w:val="single" w:sz="4" w:space="0" w:color="auto"/>
            </w:tcBorders>
          </w:tcPr>
          <w:p w14:paraId="2D9D7A1A" w14:textId="77777777" w:rsidR="0000169B" w:rsidRPr="00264D5D" w:rsidRDefault="0000169B" w:rsidP="0000169B">
            <w:pPr>
              <w:pStyle w:val="GOSTTablenorm"/>
              <w:rPr>
                <w:szCs w:val="22"/>
              </w:rPr>
            </w:pPr>
          </w:p>
        </w:tc>
      </w:tr>
      <w:tr w:rsidR="0000169B" w:rsidRPr="00264D5D" w14:paraId="63B2FF30" w14:textId="77777777" w:rsidTr="0000169B">
        <w:trPr>
          <w:cnfStyle w:val="000000100000" w:firstRow="0" w:lastRow="0" w:firstColumn="0" w:lastColumn="0" w:oddVBand="0" w:evenVBand="0" w:oddHBand="1" w:evenHBand="0" w:firstRowFirstColumn="0" w:firstRowLastColumn="0" w:lastRowFirstColumn="0" w:lastRowLastColumn="0"/>
        </w:trPr>
        <w:tc>
          <w:tcPr>
            <w:tcW w:w="2556" w:type="dxa"/>
            <w:tcBorders>
              <w:top w:val="single" w:sz="4" w:space="0" w:color="auto"/>
              <w:left w:val="single" w:sz="4" w:space="0" w:color="auto"/>
              <w:bottom w:val="single" w:sz="4" w:space="0" w:color="auto"/>
              <w:right w:val="single" w:sz="4" w:space="0" w:color="auto"/>
            </w:tcBorders>
          </w:tcPr>
          <w:p w14:paraId="023E9D3C" w14:textId="77777777" w:rsidR="0000169B" w:rsidRPr="00264D5D" w:rsidRDefault="0000169B" w:rsidP="0000169B">
            <w:pPr>
              <w:pStyle w:val="GOSTTablenorm"/>
              <w:rPr>
                <w:strike/>
                <w:szCs w:val="22"/>
              </w:rPr>
            </w:pPr>
            <w:r w:rsidRPr="00264D5D">
              <w:rPr>
                <w:szCs w:val="22"/>
              </w:rPr>
              <w:t>ТОФК (ПУД ЭБ)</w:t>
            </w:r>
          </w:p>
        </w:tc>
        <w:tc>
          <w:tcPr>
            <w:tcW w:w="2557" w:type="dxa"/>
            <w:tcBorders>
              <w:top w:val="single" w:sz="4" w:space="0" w:color="auto"/>
              <w:left w:val="single" w:sz="4" w:space="0" w:color="auto"/>
              <w:bottom w:val="single" w:sz="4" w:space="0" w:color="auto"/>
              <w:right w:val="single" w:sz="4" w:space="0" w:color="auto"/>
            </w:tcBorders>
          </w:tcPr>
          <w:p w14:paraId="3722C31D" w14:textId="77777777" w:rsidR="0000169B" w:rsidRPr="00264D5D" w:rsidRDefault="0000169B" w:rsidP="0000169B">
            <w:pPr>
              <w:pStyle w:val="GOSTTablenorm"/>
              <w:rPr>
                <w:szCs w:val="22"/>
              </w:rPr>
            </w:pPr>
            <w:r w:rsidRPr="00264D5D">
              <w:rPr>
                <w:szCs w:val="22"/>
              </w:rPr>
              <w:t>АДБ (Стороннее ППО)</w:t>
            </w:r>
          </w:p>
        </w:tc>
        <w:tc>
          <w:tcPr>
            <w:tcW w:w="4537" w:type="dxa"/>
            <w:vMerge w:val="restart"/>
            <w:tcBorders>
              <w:top w:val="single" w:sz="4" w:space="0" w:color="auto"/>
              <w:left w:val="single" w:sz="4" w:space="0" w:color="auto"/>
              <w:right w:val="single" w:sz="4" w:space="0" w:color="auto"/>
            </w:tcBorders>
          </w:tcPr>
          <w:p w14:paraId="4BA411D8" w14:textId="77777777" w:rsidR="00061191" w:rsidRPr="00FD1667" w:rsidRDefault="00061191" w:rsidP="00061191">
            <w:pPr>
              <w:pStyle w:val="GOSTTablenorm"/>
              <w:rPr>
                <w:szCs w:val="22"/>
              </w:rPr>
            </w:pPr>
            <w:r w:rsidRPr="00FD1667">
              <w:rPr>
                <w:szCs w:val="22"/>
              </w:rPr>
              <w:t>Ручной экспорт из ЛК клиентом.</w:t>
            </w:r>
          </w:p>
          <w:p w14:paraId="704D61EF" w14:textId="77777777" w:rsidR="0000169B" w:rsidRPr="00264D5D" w:rsidRDefault="00061191" w:rsidP="00061191">
            <w:pPr>
              <w:pStyle w:val="GOSTTablenorm"/>
              <w:rPr>
                <w:szCs w:val="22"/>
              </w:rPr>
            </w:pPr>
            <w:r w:rsidRPr="00FD1667">
              <w:rPr>
                <w:szCs w:val="22"/>
                <w:highlight w:val="green"/>
              </w:rPr>
              <w:t>А также передается в виде вложения в блоке «attachments» к документу «Выписка из лицевого счета администратора поступлений»</w:t>
            </w:r>
          </w:p>
        </w:tc>
      </w:tr>
      <w:tr w:rsidR="0000169B" w:rsidRPr="00264D5D" w14:paraId="5F6D508D" w14:textId="77777777" w:rsidTr="00061191">
        <w:trPr>
          <w:cnfStyle w:val="000000010000" w:firstRow="0" w:lastRow="0" w:firstColumn="0" w:lastColumn="0" w:oddVBand="0" w:evenVBand="0" w:oddHBand="0" w:evenHBand="1" w:firstRowFirstColumn="0" w:firstRowLastColumn="0" w:lastRowFirstColumn="0" w:lastRowLastColumn="0"/>
        </w:trPr>
        <w:tc>
          <w:tcPr>
            <w:tcW w:w="2556" w:type="dxa"/>
            <w:tcBorders>
              <w:top w:val="single" w:sz="4" w:space="0" w:color="auto"/>
              <w:left w:val="single" w:sz="4" w:space="0" w:color="auto"/>
              <w:bottom w:val="single" w:sz="4" w:space="0" w:color="auto"/>
              <w:right w:val="single" w:sz="4" w:space="0" w:color="auto"/>
            </w:tcBorders>
          </w:tcPr>
          <w:p w14:paraId="64F4CDE5" w14:textId="77777777" w:rsidR="0000169B" w:rsidRPr="00264D5D" w:rsidRDefault="0000169B" w:rsidP="0000169B">
            <w:pPr>
              <w:pStyle w:val="GOSTTablenorm"/>
              <w:rPr>
                <w:szCs w:val="22"/>
              </w:rPr>
            </w:pPr>
            <w:r w:rsidRPr="00264D5D">
              <w:rPr>
                <w:szCs w:val="22"/>
              </w:rPr>
              <w:t>ТОФК (ПУД ЭБ)</w:t>
            </w:r>
          </w:p>
        </w:tc>
        <w:tc>
          <w:tcPr>
            <w:tcW w:w="2557" w:type="dxa"/>
            <w:tcBorders>
              <w:top w:val="single" w:sz="4" w:space="0" w:color="auto"/>
              <w:left w:val="single" w:sz="4" w:space="0" w:color="auto"/>
              <w:bottom w:val="single" w:sz="4" w:space="0" w:color="auto"/>
              <w:right w:val="single" w:sz="4" w:space="0" w:color="auto"/>
            </w:tcBorders>
          </w:tcPr>
          <w:p w14:paraId="1E8BB4E4" w14:textId="77777777" w:rsidR="0000169B" w:rsidRPr="00264D5D" w:rsidRDefault="0000169B" w:rsidP="0000169B">
            <w:pPr>
              <w:pStyle w:val="GOSTTablenorm"/>
              <w:rPr>
                <w:szCs w:val="22"/>
              </w:rPr>
            </w:pPr>
            <w:r w:rsidRPr="00264D5D">
              <w:rPr>
                <w:szCs w:val="22"/>
              </w:rPr>
              <w:t>МВУ ПУиО (ПФХД),</w:t>
            </w:r>
            <w:r w:rsidRPr="00264D5D">
              <w:rPr>
                <w:szCs w:val="22"/>
                <w:lang w:eastAsia="en-US"/>
              </w:rPr>
              <w:t xml:space="preserve"> Бухгалтерия государственного учреждения (1С)</w:t>
            </w:r>
          </w:p>
        </w:tc>
        <w:tc>
          <w:tcPr>
            <w:tcW w:w="4537" w:type="dxa"/>
            <w:vMerge/>
            <w:tcBorders>
              <w:left w:val="single" w:sz="4" w:space="0" w:color="auto"/>
              <w:right w:val="single" w:sz="4" w:space="0" w:color="auto"/>
            </w:tcBorders>
          </w:tcPr>
          <w:p w14:paraId="70A75B7A" w14:textId="77777777" w:rsidR="0000169B" w:rsidRPr="00264D5D" w:rsidRDefault="0000169B" w:rsidP="0000169B">
            <w:pPr>
              <w:pStyle w:val="GOSTTablenorm"/>
              <w:rPr>
                <w:color w:val="FF0000"/>
                <w:szCs w:val="22"/>
              </w:rPr>
            </w:pPr>
          </w:p>
        </w:tc>
      </w:tr>
      <w:tr w:rsidR="00061191" w:rsidRPr="00264D5D" w14:paraId="68BFCFED" w14:textId="77777777" w:rsidTr="0000169B">
        <w:trPr>
          <w:cnfStyle w:val="000000100000" w:firstRow="0" w:lastRow="0" w:firstColumn="0" w:lastColumn="0" w:oddVBand="0" w:evenVBand="0" w:oddHBand="1" w:evenHBand="0" w:firstRowFirstColumn="0" w:firstRowLastColumn="0" w:lastRowFirstColumn="0" w:lastRowLastColumn="0"/>
        </w:trPr>
        <w:tc>
          <w:tcPr>
            <w:tcW w:w="2556" w:type="dxa"/>
            <w:tcBorders>
              <w:top w:val="single" w:sz="4" w:space="0" w:color="auto"/>
              <w:left w:val="single" w:sz="4" w:space="0" w:color="auto"/>
              <w:bottom w:val="single" w:sz="4" w:space="0" w:color="auto"/>
              <w:right w:val="single" w:sz="4" w:space="0" w:color="auto"/>
            </w:tcBorders>
          </w:tcPr>
          <w:p w14:paraId="7FB82D86" w14:textId="77777777" w:rsidR="00061191" w:rsidRPr="00FD1667" w:rsidRDefault="00061191" w:rsidP="00061191">
            <w:pPr>
              <w:pStyle w:val="GOSTTablenorm"/>
              <w:rPr>
                <w:szCs w:val="22"/>
              </w:rPr>
            </w:pPr>
            <w:r>
              <w:rPr>
                <w:szCs w:val="22"/>
                <w:highlight w:val="green"/>
              </w:rPr>
              <w:t>ТОФК (ПУД ЭБ)</w:t>
            </w:r>
          </w:p>
        </w:tc>
        <w:tc>
          <w:tcPr>
            <w:tcW w:w="2557" w:type="dxa"/>
            <w:tcBorders>
              <w:top w:val="single" w:sz="4" w:space="0" w:color="auto"/>
              <w:left w:val="single" w:sz="4" w:space="0" w:color="auto"/>
              <w:bottom w:val="single" w:sz="4" w:space="0" w:color="auto"/>
              <w:right w:val="single" w:sz="4" w:space="0" w:color="auto"/>
            </w:tcBorders>
          </w:tcPr>
          <w:p w14:paraId="57B77AFE" w14:textId="77777777" w:rsidR="00061191" w:rsidRPr="00FD1667" w:rsidRDefault="00061191" w:rsidP="00061191">
            <w:pPr>
              <w:pStyle w:val="GOSTTablenorm"/>
              <w:rPr>
                <w:szCs w:val="22"/>
              </w:rPr>
            </w:pPr>
            <w:r w:rsidRPr="00FD1667">
              <w:rPr>
                <w:szCs w:val="22"/>
                <w:highlight w:val="green"/>
              </w:rPr>
              <w:t>ПИАО ЭБ</w:t>
            </w:r>
          </w:p>
        </w:tc>
        <w:tc>
          <w:tcPr>
            <w:tcW w:w="4537" w:type="dxa"/>
            <w:tcBorders>
              <w:left w:val="single" w:sz="4" w:space="0" w:color="auto"/>
              <w:bottom w:val="single" w:sz="4" w:space="0" w:color="auto"/>
              <w:right w:val="single" w:sz="4" w:space="0" w:color="auto"/>
            </w:tcBorders>
          </w:tcPr>
          <w:p w14:paraId="34F6524B" w14:textId="77777777" w:rsidR="00061191" w:rsidRPr="00FD1667" w:rsidRDefault="00061191" w:rsidP="00061191">
            <w:pPr>
              <w:pStyle w:val="GOSTTablenorm"/>
              <w:rPr>
                <w:color w:val="FF0000"/>
                <w:szCs w:val="22"/>
              </w:rPr>
            </w:pPr>
            <w:r w:rsidRPr="00FD1667">
              <w:rPr>
                <w:szCs w:val="22"/>
                <w:highlight w:val="green"/>
              </w:rPr>
              <w:t>Передается только в виде вложения в блоке «attachments» к документу «Выписка из лицевого счета администратора поступлений»</w:t>
            </w:r>
          </w:p>
        </w:tc>
      </w:tr>
    </w:tbl>
    <w:p w14:paraId="21989848" w14:textId="7E57B2A4" w:rsidR="00AD1F54" w:rsidRPr="00264D5D" w:rsidRDefault="0000169B" w:rsidP="0000169B">
      <w:pPr>
        <w:pStyle w:val="ASFKNormal"/>
        <w:jc w:val="both"/>
      </w:pPr>
      <w:r w:rsidRPr="00264D5D">
        <w:rPr>
          <w:sz w:val="24"/>
        </w:rPr>
        <w:t xml:space="preserve">Описание и структура документа приведены в альбоме </w:t>
      </w:r>
      <w:r w:rsidRPr="00264D5D">
        <w:t>«</w:t>
      </w:r>
      <w:r w:rsidRPr="00264D5D">
        <w:rPr>
          <w:sz w:val="24"/>
          <w:szCs w:val="24"/>
        </w:rPr>
        <w:t xml:space="preserve">Требования к форматам обмена распоряжений о совершении казначейского платежа (уточнение), используемым </w:t>
      </w:r>
      <w:r w:rsidRPr="00264D5D">
        <w:rPr>
          <w:sz w:val="24"/>
          <w:szCs w:val="24"/>
        </w:rPr>
        <w:lastRenderedPageBreak/>
        <w:t>при информационном взаимодействие между территориальными органами Федерального казначейства и участниками бюджетного процесса, неучастниками бюджетного процесса, бюджетными учреждениями, автономными учреждениями».</w:t>
      </w:r>
    </w:p>
    <w:p w14:paraId="7616CC2F" w14:textId="77777777" w:rsidR="00D4174C" w:rsidRPr="00264D5D" w:rsidRDefault="00D4174C" w:rsidP="00D4174C">
      <w:pPr>
        <w:pStyle w:val="22"/>
        <w:numPr>
          <w:ilvl w:val="1"/>
          <w:numId w:val="85"/>
        </w:numPr>
        <w:tabs>
          <w:tab w:val="clear" w:pos="576"/>
        </w:tabs>
        <w:ind w:left="851" w:hanging="851"/>
        <w:rPr>
          <w:lang w:val="ru-RU"/>
        </w:rPr>
      </w:pPr>
      <w:bookmarkStart w:id="4668" w:name="OLE_LINK915"/>
      <w:bookmarkStart w:id="4669" w:name="OLE_LINK918"/>
      <w:bookmarkStart w:id="4670" w:name="OLE_LINK919"/>
      <w:bookmarkStart w:id="4671" w:name="OLE_LINK920"/>
      <w:bookmarkStart w:id="4672" w:name="OLE_LINK991"/>
      <w:bookmarkStart w:id="4673" w:name="OLE_LINK990"/>
      <w:bookmarkStart w:id="4674" w:name="_Ref183867230"/>
      <w:bookmarkStart w:id="4675" w:name="_Toc150758397"/>
      <w:bookmarkStart w:id="4676" w:name="_Toc154485450"/>
      <w:bookmarkStart w:id="4677" w:name="_Toc159752977"/>
      <w:bookmarkStart w:id="4678" w:name="_Toc364697119"/>
      <w:bookmarkStart w:id="4679" w:name="_Toc364869019"/>
      <w:bookmarkStart w:id="4680" w:name="_Toc366759413"/>
      <w:bookmarkStart w:id="4681" w:name="_Toc393974705"/>
      <w:bookmarkStart w:id="4682" w:name="_Toc411507362"/>
      <w:bookmarkStart w:id="4683" w:name="_Toc219309874"/>
      <w:bookmarkEnd w:id="1881"/>
      <w:bookmarkEnd w:id="4635"/>
      <w:bookmarkEnd w:id="4636"/>
      <w:bookmarkEnd w:id="4637"/>
      <w:bookmarkEnd w:id="4638"/>
      <w:bookmarkEnd w:id="4650"/>
      <w:bookmarkEnd w:id="4651"/>
      <w:bookmarkEnd w:id="4668"/>
      <w:bookmarkEnd w:id="4669"/>
      <w:bookmarkEnd w:id="4670"/>
      <w:bookmarkEnd w:id="4671"/>
      <w:bookmarkEnd w:id="4672"/>
      <w:bookmarkEnd w:id="4673"/>
      <w:r w:rsidRPr="00264D5D">
        <w:rPr>
          <w:lang w:val="ru-RU"/>
        </w:rPr>
        <w:t>Описание документа «</w:t>
      </w:r>
      <w:r w:rsidR="003D7242" w:rsidRPr="00264D5D">
        <w:rPr>
          <w:lang w:val="ru-RU"/>
        </w:rPr>
        <w:t>Распоряжение налогового органа (зачет)</w:t>
      </w:r>
      <w:r w:rsidRPr="00264D5D">
        <w:rPr>
          <w:lang w:val="ru-RU"/>
        </w:rPr>
        <w:t>»</w:t>
      </w:r>
      <w:bookmarkEnd w:id="4674"/>
      <w:bookmarkEnd w:id="4683"/>
      <w:r w:rsidRPr="00264D5D">
        <w:rPr>
          <w:lang w:val="ru-RU"/>
        </w:rPr>
        <w:t xml:space="preserve"> </w:t>
      </w:r>
    </w:p>
    <w:p w14:paraId="63A41298" w14:textId="77777777" w:rsidR="00D4174C" w:rsidRPr="00264D5D" w:rsidRDefault="00D4174C" w:rsidP="00D4174C">
      <w:pPr>
        <w:pStyle w:val="31"/>
        <w:numPr>
          <w:ilvl w:val="2"/>
          <w:numId w:val="85"/>
        </w:numPr>
        <w:tabs>
          <w:tab w:val="clear" w:pos="720"/>
        </w:tabs>
      </w:pPr>
      <w:bookmarkStart w:id="4684" w:name="_Toc219309875"/>
      <w:r w:rsidRPr="00264D5D">
        <w:t>Назначение и маршрут документа</w:t>
      </w:r>
      <w:bookmarkEnd w:id="4684"/>
    </w:p>
    <w:p w14:paraId="286A443C" w14:textId="77777777" w:rsidR="003D7242" w:rsidRPr="00264D5D" w:rsidRDefault="003D7242" w:rsidP="003D7242">
      <w:pPr>
        <w:pStyle w:val="GOSTNormal"/>
        <w:ind w:firstLine="709"/>
      </w:pPr>
      <w:r w:rsidRPr="00264D5D">
        <w:t>Документ «Распоряжение налогового органа (зачет)» предназначен для распределения единого налогового платежа.</w:t>
      </w:r>
    </w:p>
    <w:bookmarkStart w:id="4685" w:name="_Ref50235184"/>
    <w:p w14:paraId="0FC884AC" w14:textId="2C187B6F" w:rsidR="003D7242" w:rsidRPr="00264D5D" w:rsidRDefault="003D7242" w:rsidP="00101F62">
      <w:pPr>
        <w:pStyle w:val="GOSTNameTable"/>
        <w:numPr>
          <w:ilvl w:val="0"/>
          <w:numId w:val="151"/>
        </w:numPr>
        <w:suppressAutoHyphens/>
        <w:spacing w:before="240" w:after="120"/>
        <w:rPr>
          <w:rFonts w:eastAsia="Calibri"/>
        </w:rPr>
      </w:pPr>
      <w:r w:rsidRPr="00264D5D">
        <w:rPr>
          <w:rFonts w:eastAsia="Calibri"/>
        </w:rPr>
        <w:fldChar w:fldCharType="begin"/>
      </w:r>
      <w:r w:rsidRPr="00264D5D">
        <w:rPr>
          <w:rFonts w:eastAsia="Calibri"/>
        </w:rPr>
        <w:instrText xml:space="preserve"> SEQ Таблица \* ARABIC </w:instrText>
      </w:r>
      <w:r w:rsidRPr="00264D5D">
        <w:rPr>
          <w:rFonts w:eastAsia="Calibri"/>
        </w:rPr>
        <w:fldChar w:fldCharType="separate"/>
      </w:r>
      <w:bookmarkStart w:id="4686" w:name="_Ref21964660"/>
      <w:bookmarkStart w:id="4687" w:name="_Toc48200187"/>
      <w:bookmarkStart w:id="4688" w:name="_Toc120568151"/>
      <w:bookmarkStart w:id="4689" w:name="_Toc139542289"/>
      <w:bookmarkStart w:id="4690" w:name="_Toc219309405"/>
      <w:r w:rsidR="008D797C">
        <w:rPr>
          <w:rFonts w:eastAsia="Calibri"/>
          <w:noProof/>
        </w:rPr>
        <w:t>375</w:t>
      </w:r>
      <w:bookmarkEnd w:id="4686"/>
      <w:r w:rsidRPr="00264D5D">
        <w:rPr>
          <w:rFonts w:eastAsia="Calibri"/>
        </w:rPr>
        <w:fldChar w:fldCharType="end"/>
      </w:r>
      <w:r w:rsidRPr="00264D5D">
        <w:rPr>
          <w:rFonts w:eastAsia="Calibri"/>
          <w:szCs w:val="24"/>
        </w:rPr>
        <w:t xml:space="preserve"> – </w:t>
      </w:r>
      <w:r w:rsidRPr="00264D5D">
        <w:rPr>
          <w:rFonts w:eastAsia="Calibri"/>
        </w:rPr>
        <w:t>Маршрут документа «</w:t>
      </w:r>
      <w:r w:rsidRPr="00264D5D">
        <w:t>Распоряжение налогового органа (зачет)»</w:t>
      </w:r>
      <w:bookmarkEnd w:id="4685"/>
      <w:bookmarkEnd w:id="4687"/>
      <w:bookmarkEnd w:id="4688"/>
      <w:bookmarkEnd w:id="4690"/>
      <w:r w:rsidRPr="00264D5D">
        <w:t xml:space="preserve"> </w:t>
      </w:r>
      <w:bookmarkEnd w:id="4689"/>
    </w:p>
    <w:tbl>
      <w:tblPr>
        <w:tblStyle w:val="GOSTTable"/>
        <w:tblW w:w="5000" w:type="pct"/>
        <w:tblLook w:val="07E0" w:firstRow="1" w:lastRow="1" w:firstColumn="1" w:lastColumn="1" w:noHBand="1" w:noVBand="1"/>
      </w:tblPr>
      <w:tblGrid>
        <w:gridCol w:w="2293"/>
        <w:gridCol w:w="2391"/>
        <w:gridCol w:w="4966"/>
      </w:tblGrid>
      <w:tr w:rsidR="003D7242" w:rsidRPr="00264D5D" w14:paraId="58AEA674" w14:textId="77777777" w:rsidTr="00DC17E0">
        <w:trPr>
          <w:cnfStyle w:val="100000000000" w:firstRow="1" w:lastRow="0" w:firstColumn="0" w:lastColumn="0" w:oddVBand="0" w:evenVBand="0" w:oddHBand="0" w:evenHBand="0" w:firstRowFirstColumn="0" w:firstRowLastColumn="0" w:lastRowFirstColumn="0" w:lastRowLastColumn="0"/>
          <w:tblHeader/>
        </w:trPr>
        <w:tc>
          <w:tcPr>
            <w:tcW w:w="1188" w:type="pct"/>
          </w:tcPr>
          <w:p w14:paraId="1A9669EB" w14:textId="77777777" w:rsidR="003D7242" w:rsidRPr="00264D5D" w:rsidRDefault="003D7242" w:rsidP="00144ABC">
            <w:pPr>
              <w:pStyle w:val="OTRTableHead"/>
              <w:widowControl w:val="0"/>
              <w:ind w:left="57" w:right="57" w:firstLine="85"/>
              <w:rPr>
                <w:sz w:val="22"/>
                <w:szCs w:val="22"/>
              </w:rPr>
            </w:pPr>
            <w:r w:rsidRPr="00264D5D">
              <w:rPr>
                <w:sz w:val="22"/>
                <w:szCs w:val="22"/>
              </w:rPr>
              <w:t>Отправитель</w:t>
            </w:r>
          </w:p>
        </w:tc>
        <w:tc>
          <w:tcPr>
            <w:tcW w:w="1239" w:type="pct"/>
          </w:tcPr>
          <w:p w14:paraId="176A0F07" w14:textId="77777777" w:rsidR="003D7242" w:rsidRPr="00264D5D" w:rsidRDefault="003D7242" w:rsidP="00144ABC">
            <w:pPr>
              <w:pStyle w:val="OTRTableHead"/>
              <w:widowControl w:val="0"/>
              <w:ind w:left="57" w:right="57" w:firstLine="85"/>
              <w:rPr>
                <w:sz w:val="22"/>
                <w:szCs w:val="22"/>
              </w:rPr>
            </w:pPr>
            <w:r w:rsidRPr="00264D5D">
              <w:rPr>
                <w:sz w:val="22"/>
                <w:szCs w:val="22"/>
              </w:rPr>
              <w:t>Получатель</w:t>
            </w:r>
          </w:p>
        </w:tc>
        <w:tc>
          <w:tcPr>
            <w:tcW w:w="2573" w:type="pct"/>
          </w:tcPr>
          <w:p w14:paraId="5ACF2AED" w14:textId="77777777" w:rsidR="003D7242" w:rsidRPr="00264D5D" w:rsidRDefault="003D7242" w:rsidP="00144ABC">
            <w:pPr>
              <w:pStyle w:val="OTRTableHead"/>
              <w:widowControl w:val="0"/>
              <w:ind w:left="57" w:right="57" w:firstLine="85"/>
              <w:rPr>
                <w:sz w:val="22"/>
                <w:szCs w:val="22"/>
              </w:rPr>
            </w:pPr>
            <w:r w:rsidRPr="00264D5D">
              <w:rPr>
                <w:sz w:val="22"/>
                <w:szCs w:val="22"/>
              </w:rPr>
              <w:t>Примечание</w:t>
            </w:r>
          </w:p>
        </w:tc>
      </w:tr>
      <w:tr w:rsidR="003D7242" w:rsidRPr="00264D5D" w14:paraId="7FE7A2BC" w14:textId="77777777" w:rsidTr="00DC17E0">
        <w:tc>
          <w:tcPr>
            <w:tcW w:w="1188" w:type="pct"/>
          </w:tcPr>
          <w:p w14:paraId="3F34A09C" w14:textId="77777777" w:rsidR="003D7242" w:rsidRPr="00264D5D" w:rsidRDefault="003D7242" w:rsidP="00144ABC">
            <w:pPr>
              <w:pStyle w:val="GOSTTablenorm"/>
            </w:pPr>
            <w:r w:rsidRPr="00264D5D">
              <w:t>МИФНС</w:t>
            </w:r>
          </w:p>
        </w:tc>
        <w:tc>
          <w:tcPr>
            <w:tcW w:w="1239" w:type="pct"/>
          </w:tcPr>
          <w:p w14:paraId="61024CCC" w14:textId="77777777" w:rsidR="003D7242" w:rsidRPr="00264D5D" w:rsidRDefault="003D7242" w:rsidP="00144ABC">
            <w:pPr>
              <w:pStyle w:val="GOSTTablenorm"/>
            </w:pPr>
            <w:r w:rsidRPr="00264D5D">
              <w:t>ТОФК (ПУД ЭБ)</w:t>
            </w:r>
          </w:p>
        </w:tc>
        <w:tc>
          <w:tcPr>
            <w:tcW w:w="2573" w:type="pct"/>
          </w:tcPr>
          <w:p w14:paraId="30491CEE" w14:textId="77777777" w:rsidR="003D7242" w:rsidRPr="00264D5D" w:rsidRDefault="003D7242" w:rsidP="00144ABC">
            <w:pPr>
              <w:pStyle w:val="GOSTTablenorm"/>
            </w:pPr>
          </w:p>
        </w:tc>
      </w:tr>
    </w:tbl>
    <w:p w14:paraId="745B030D" w14:textId="77777777" w:rsidR="003D7242" w:rsidRPr="00264D5D" w:rsidRDefault="003D7242" w:rsidP="003D7242">
      <w:pPr>
        <w:pStyle w:val="31"/>
        <w:keepNext w:val="0"/>
        <w:keepLines w:val="0"/>
        <w:tabs>
          <w:tab w:val="num" w:pos="284"/>
        </w:tabs>
        <w:suppressAutoHyphens/>
        <w:ind w:left="1418" w:hanging="738"/>
      </w:pPr>
      <w:bookmarkStart w:id="4691" w:name="_Toc122436718"/>
      <w:bookmarkStart w:id="4692" w:name="_Toc139542259"/>
      <w:bookmarkStart w:id="4693" w:name="_Toc167898743"/>
      <w:bookmarkStart w:id="4694" w:name="_Toc219309876"/>
      <w:r w:rsidRPr="00264D5D">
        <w:t>Описание комплексного типа «</w:t>
      </w:r>
      <w:r w:rsidRPr="00264D5D">
        <w:rPr>
          <w:rFonts w:eastAsia="Calibri"/>
        </w:rPr>
        <w:t>t</w:t>
      </w:r>
      <w:r w:rsidRPr="00264D5D">
        <w:rPr>
          <w:szCs w:val="22"/>
          <w:lang w:val="en-US"/>
        </w:rPr>
        <w:t>B</w:t>
      </w:r>
      <w:r w:rsidRPr="00264D5D">
        <w:rPr>
          <w:rFonts w:eastAsia="Calibri"/>
          <w:szCs w:val="22"/>
        </w:rPr>
        <w:t>RA_DOC_D_006</w:t>
      </w:r>
      <w:r w:rsidRPr="00264D5D">
        <w:t>»</w:t>
      </w:r>
      <w:bookmarkEnd w:id="4691"/>
      <w:bookmarkEnd w:id="4692"/>
      <w:bookmarkEnd w:id="4693"/>
      <w:bookmarkEnd w:id="4694"/>
    </w:p>
    <w:p w14:paraId="6290F432" w14:textId="7D75CCB5" w:rsidR="003D7242" w:rsidRPr="00264D5D" w:rsidRDefault="003D7242" w:rsidP="00101F62">
      <w:pPr>
        <w:pStyle w:val="GOSTNameTable"/>
        <w:widowControl w:val="0"/>
        <w:numPr>
          <w:ilvl w:val="0"/>
          <w:numId w:val="151"/>
        </w:numPr>
        <w:tabs>
          <w:tab w:val="clear" w:pos="567"/>
          <w:tab w:val="num" w:pos="710"/>
        </w:tabs>
        <w:suppressAutoHyphens/>
        <w:ind w:left="425" w:hanging="357"/>
        <w:rPr>
          <w:rFonts w:eastAsia="Calibri"/>
          <w:szCs w:val="24"/>
        </w:rPr>
      </w:pPr>
      <w:r w:rsidRPr="00264D5D">
        <w:rPr>
          <w:rFonts w:eastAsia="Calibri"/>
        </w:rPr>
        <w:fldChar w:fldCharType="begin"/>
      </w:r>
      <w:r w:rsidRPr="00264D5D">
        <w:rPr>
          <w:rFonts w:eastAsia="Calibri"/>
        </w:rPr>
        <w:instrText xml:space="preserve"> SEQ Таблица \* ARABIC </w:instrText>
      </w:r>
      <w:r w:rsidRPr="00264D5D">
        <w:rPr>
          <w:rFonts w:eastAsia="Calibri"/>
        </w:rPr>
        <w:fldChar w:fldCharType="separate"/>
      </w:r>
      <w:bookmarkStart w:id="4695" w:name="_Ref528843655"/>
      <w:bookmarkStart w:id="4696" w:name="_Toc533771653"/>
      <w:bookmarkStart w:id="4697" w:name="_Toc536477378"/>
      <w:bookmarkStart w:id="4698" w:name="_Toc8230844"/>
      <w:bookmarkStart w:id="4699" w:name="_Toc18509700"/>
      <w:bookmarkStart w:id="4700" w:name="_Toc122436293"/>
      <w:bookmarkStart w:id="4701" w:name="_Toc139542290"/>
      <w:bookmarkStart w:id="4702" w:name="_Toc219309406"/>
      <w:r w:rsidR="008D797C">
        <w:rPr>
          <w:rFonts w:eastAsia="Calibri"/>
          <w:noProof/>
        </w:rPr>
        <w:t>376</w:t>
      </w:r>
      <w:bookmarkEnd w:id="4695"/>
      <w:r w:rsidRPr="00264D5D">
        <w:rPr>
          <w:rFonts w:eastAsia="Calibri"/>
        </w:rPr>
        <w:fldChar w:fldCharType="end"/>
      </w:r>
      <w:r w:rsidRPr="00264D5D">
        <w:rPr>
          <w:rFonts w:eastAsia="Calibri"/>
          <w:szCs w:val="24"/>
        </w:rPr>
        <w:t xml:space="preserve"> –</w:t>
      </w:r>
      <w:r w:rsidRPr="00264D5D">
        <w:rPr>
          <w:rFonts w:eastAsia="Calibri"/>
        </w:rPr>
        <w:t xml:space="preserve"> </w:t>
      </w:r>
      <w:r w:rsidRPr="00264D5D">
        <w:t>Описание</w:t>
      </w:r>
      <w:r w:rsidRPr="00264D5D">
        <w:rPr>
          <w:rFonts w:eastAsia="Calibri"/>
        </w:rPr>
        <w:t xml:space="preserve"> комплексного типа «</w:t>
      </w:r>
      <w:r w:rsidRPr="00264D5D">
        <w:rPr>
          <w:rFonts w:eastAsia="Calibri"/>
          <w:szCs w:val="24"/>
        </w:rPr>
        <w:t>t</w:t>
      </w:r>
      <w:r w:rsidRPr="00264D5D">
        <w:rPr>
          <w:szCs w:val="22"/>
          <w:lang w:val="en-US"/>
        </w:rPr>
        <w:t>B</w:t>
      </w:r>
      <w:r w:rsidRPr="00264D5D">
        <w:rPr>
          <w:rFonts w:eastAsia="Calibri"/>
          <w:szCs w:val="22"/>
        </w:rPr>
        <w:t>RA_DOC_D_006</w:t>
      </w:r>
      <w:r w:rsidRPr="00264D5D">
        <w:rPr>
          <w:rFonts w:eastAsia="Calibri"/>
          <w:szCs w:val="24"/>
        </w:rPr>
        <w:t>»</w:t>
      </w:r>
      <w:bookmarkEnd w:id="4696"/>
      <w:bookmarkEnd w:id="4697"/>
      <w:bookmarkEnd w:id="4698"/>
      <w:bookmarkEnd w:id="4699"/>
      <w:bookmarkEnd w:id="4700"/>
      <w:bookmarkEnd w:id="4701"/>
      <w:bookmarkEnd w:id="4702"/>
    </w:p>
    <w:tbl>
      <w:tblPr>
        <w:tblStyle w:val="GOSTTable"/>
        <w:tblW w:w="5000" w:type="pct"/>
        <w:tblLayout w:type="fixed"/>
        <w:tblLook w:val="07E0" w:firstRow="1" w:lastRow="1" w:firstColumn="1" w:lastColumn="1" w:noHBand="1" w:noVBand="1"/>
      </w:tblPr>
      <w:tblGrid>
        <w:gridCol w:w="1704"/>
        <w:gridCol w:w="1705"/>
        <w:gridCol w:w="570"/>
        <w:gridCol w:w="1136"/>
        <w:gridCol w:w="570"/>
        <w:gridCol w:w="3965"/>
      </w:tblGrid>
      <w:tr w:rsidR="003D7242" w:rsidRPr="00264D5D" w14:paraId="14054D82" w14:textId="77777777" w:rsidTr="007B0FCD">
        <w:trPr>
          <w:cnfStyle w:val="100000000000" w:firstRow="1" w:lastRow="0" w:firstColumn="0" w:lastColumn="0" w:oddVBand="0" w:evenVBand="0" w:oddHBand="0" w:evenHBand="0" w:firstRowFirstColumn="0" w:firstRowLastColumn="0" w:lastRowFirstColumn="0" w:lastRowLastColumn="0"/>
          <w:tblHeader/>
        </w:trPr>
        <w:tc>
          <w:tcPr>
            <w:tcW w:w="1704" w:type="dxa"/>
          </w:tcPr>
          <w:p w14:paraId="6DF50059" w14:textId="77777777" w:rsidR="003D7242" w:rsidRPr="00264D5D" w:rsidRDefault="003D7242" w:rsidP="00144ABC">
            <w:pPr>
              <w:pStyle w:val="GOSTTableHead"/>
              <w:keepNext w:val="0"/>
              <w:rPr>
                <w:b w:val="0"/>
                <w:szCs w:val="22"/>
              </w:rPr>
            </w:pPr>
            <w:r w:rsidRPr="00264D5D">
              <w:rPr>
                <w:szCs w:val="22"/>
              </w:rPr>
              <w:t>Наименование элемента</w:t>
            </w:r>
          </w:p>
        </w:tc>
        <w:tc>
          <w:tcPr>
            <w:tcW w:w="1705" w:type="dxa"/>
          </w:tcPr>
          <w:p w14:paraId="6B1B3C88" w14:textId="77777777" w:rsidR="003D7242" w:rsidRPr="00264D5D" w:rsidRDefault="003D7242" w:rsidP="00144ABC">
            <w:pPr>
              <w:pStyle w:val="GOSTTableHead"/>
              <w:keepNext w:val="0"/>
              <w:rPr>
                <w:b w:val="0"/>
                <w:szCs w:val="22"/>
              </w:rPr>
            </w:pPr>
            <w:r w:rsidRPr="00264D5D">
              <w:rPr>
                <w:szCs w:val="22"/>
              </w:rPr>
              <w:t>Сокращенное наименование (код) элемента</w:t>
            </w:r>
          </w:p>
        </w:tc>
        <w:tc>
          <w:tcPr>
            <w:tcW w:w="570" w:type="dxa"/>
          </w:tcPr>
          <w:p w14:paraId="0EEE2452" w14:textId="77777777" w:rsidR="003D7242" w:rsidRPr="00264D5D" w:rsidRDefault="003D7242" w:rsidP="00144ABC">
            <w:pPr>
              <w:pStyle w:val="GOSTTableHead"/>
              <w:keepNext w:val="0"/>
              <w:rPr>
                <w:b w:val="0"/>
                <w:szCs w:val="22"/>
              </w:rPr>
            </w:pPr>
            <w:r w:rsidRPr="00264D5D">
              <w:rPr>
                <w:szCs w:val="22"/>
              </w:rPr>
              <w:t>Тип</w:t>
            </w:r>
          </w:p>
        </w:tc>
        <w:tc>
          <w:tcPr>
            <w:tcW w:w="1136" w:type="dxa"/>
          </w:tcPr>
          <w:p w14:paraId="60F41B74" w14:textId="77777777" w:rsidR="003D7242" w:rsidRPr="00264D5D" w:rsidRDefault="003D7242" w:rsidP="00144ABC">
            <w:pPr>
              <w:pStyle w:val="GOSTTableHead"/>
              <w:keepNext w:val="0"/>
              <w:rPr>
                <w:b w:val="0"/>
                <w:szCs w:val="22"/>
              </w:rPr>
            </w:pPr>
            <w:r w:rsidRPr="00264D5D">
              <w:rPr>
                <w:szCs w:val="22"/>
              </w:rPr>
              <w:t>Формат элемента</w:t>
            </w:r>
          </w:p>
        </w:tc>
        <w:tc>
          <w:tcPr>
            <w:tcW w:w="570" w:type="dxa"/>
          </w:tcPr>
          <w:p w14:paraId="0FCE1DCA" w14:textId="77777777" w:rsidR="003D7242" w:rsidRPr="00264D5D" w:rsidRDefault="003D7242" w:rsidP="00144ABC">
            <w:pPr>
              <w:pStyle w:val="GOSTTableHead"/>
              <w:keepNext w:val="0"/>
              <w:rPr>
                <w:b w:val="0"/>
                <w:szCs w:val="22"/>
              </w:rPr>
            </w:pPr>
            <w:r w:rsidRPr="00264D5D">
              <w:rPr>
                <w:szCs w:val="22"/>
              </w:rPr>
              <w:t>Обязательность</w:t>
            </w:r>
          </w:p>
        </w:tc>
        <w:tc>
          <w:tcPr>
            <w:tcW w:w="3965" w:type="dxa"/>
          </w:tcPr>
          <w:p w14:paraId="71599064" w14:textId="77777777" w:rsidR="003D7242" w:rsidRPr="00264D5D" w:rsidRDefault="003D7242" w:rsidP="00144ABC">
            <w:pPr>
              <w:pStyle w:val="GOSTTableHead"/>
              <w:keepNext w:val="0"/>
              <w:rPr>
                <w:b w:val="0"/>
                <w:szCs w:val="22"/>
              </w:rPr>
            </w:pPr>
            <w:r w:rsidRPr="00264D5D">
              <w:rPr>
                <w:szCs w:val="22"/>
              </w:rPr>
              <w:t>Дополнительная информация</w:t>
            </w:r>
          </w:p>
        </w:tc>
      </w:tr>
      <w:tr w:rsidR="003D7242" w:rsidRPr="00264D5D" w14:paraId="7CC9348F" w14:textId="77777777" w:rsidTr="007B0FCD">
        <w:tc>
          <w:tcPr>
            <w:tcW w:w="1704" w:type="dxa"/>
          </w:tcPr>
          <w:p w14:paraId="2A7B2D66" w14:textId="77777777" w:rsidR="003D7242" w:rsidRPr="00264D5D" w:rsidRDefault="003D7242" w:rsidP="00144ABC">
            <w:pPr>
              <w:pStyle w:val="GOSTTablenorm"/>
              <w:rPr>
                <w:szCs w:val="22"/>
              </w:rPr>
            </w:pPr>
            <w:r w:rsidRPr="00264D5D">
              <w:t>Версия структуры формуляра</w:t>
            </w:r>
          </w:p>
        </w:tc>
        <w:tc>
          <w:tcPr>
            <w:tcW w:w="1705" w:type="dxa"/>
          </w:tcPr>
          <w:p w14:paraId="52896C3C" w14:textId="77777777" w:rsidR="003D7242" w:rsidRPr="00264D5D" w:rsidRDefault="003D7242" w:rsidP="00144ABC">
            <w:pPr>
              <w:pStyle w:val="GOSTTablenorm"/>
              <w:rPr>
                <w:szCs w:val="22"/>
              </w:rPr>
            </w:pPr>
            <w:r w:rsidRPr="00264D5D">
              <w:t>Version</w:t>
            </w:r>
          </w:p>
        </w:tc>
        <w:tc>
          <w:tcPr>
            <w:tcW w:w="570" w:type="dxa"/>
          </w:tcPr>
          <w:p w14:paraId="7D0A0CE4" w14:textId="77777777" w:rsidR="003D7242" w:rsidRPr="00264D5D" w:rsidRDefault="003D7242" w:rsidP="00144ABC">
            <w:pPr>
              <w:pStyle w:val="GOSTTablenorm"/>
              <w:rPr>
                <w:szCs w:val="22"/>
              </w:rPr>
            </w:pPr>
            <w:r w:rsidRPr="00264D5D">
              <w:rPr>
                <w:lang w:val="en-US"/>
              </w:rPr>
              <w:t>А</w:t>
            </w:r>
          </w:p>
        </w:tc>
        <w:tc>
          <w:tcPr>
            <w:tcW w:w="1136" w:type="dxa"/>
          </w:tcPr>
          <w:p w14:paraId="059D7188" w14:textId="77777777" w:rsidR="003D7242" w:rsidRPr="00264D5D" w:rsidRDefault="003D7242" w:rsidP="00144ABC">
            <w:pPr>
              <w:pStyle w:val="GOSTTablenorm"/>
              <w:rPr>
                <w:szCs w:val="22"/>
              </w:rPr>
            </w:pPr>
            <w:r w:rsidRPr="00264D5D">
              <w:t>-</w:t>
            </w:r>
          </w:p>
        </w:tc>
        <w:tc>
          <w:tcPr>
            <w:tcW w:w="570" w:type="dxa"/>
          </w:tcPr>
          <w:p w14:paraId="041914B3" w14:textId="77777777" w:rsidR="003D7242" w:rsidRPr="00264D5D" w:rsidRDefault="003D7242" w:rsidP="00144ABC">
            <w:pPr>
              <w:pStyle w:val="GOSTTablenorm"/>
              <w:rPr>
                <w:szCs w:val="22"/>
              </w:rPr>
            </w:pPr>
            <w:r w:rsidRPr="00264D5D">
              <w:t>О</w:t>
            </w:r>
          </w:p>
        </w:tc>
        <w:tc>
          <w:tcPr>
            <w:tcW w:w="3965" w:type="dxa"/>
          </w:tcPr>
          <w:p w14:paraId="513BC389" w14:textId="3944705B" w:rsidR="003D7242" w:rsidRPr="00264D5D" w:rsidRDefault="003D7242" w:rsidP="003D7242">
            <w:pPr>
              <w:pStyle w:val="GOSTTablenorm"/>
              <w:rPr>
                <w:szCs w:val="22"/>
              </w:rPr>
            </w:pPr>
            <w:r w:rsidRPr="00264D5D">
              <w:rPr>
                <w:szCs w:val="22"/>
                <w:lang w:eastAsia="en-US"/>
              </w:rPr>
              <w:t xml:space="preserve">Указывается значение версии, соответствующее таблице </w:t>
            </w:r>
            <w:r w:rsidRPr="00264D5D">
              <w:rPr>
                <w:szCs w:val="22"/>
                <w:lang w:eastAsia="en-US"/>
              </w:rPr>
              <w:fldChar w:fldCharType="begin"/>
            </w:r>
            <w:r w:rsidRPr="00264D5D">
              <w:rPr>
                <w:szCs w:val="22"/>
                <w:lang w:eastAsia="en-US"/>
              </w:rPr>
              <w:instrText xml:space="preserve"> REF _Ref19881821 \h  \* MERGEFORMAT </w:instrText>
            </w:r>
            <w:r w:rsidRPr="00264D5D">
              <w:rPr>
                <w:szCs w:val="22"/>
                <w:lang w:eastAsia="en-US"/>
              </w:rPr>
            </w:r>
            <w:r w:rsidRPr="00264D5D">
              <w:rPr>
                <w:szCs w:val="22"/>
                <w:lang w:eastAsia="en-US"/>
              </w:rPr>
              <w:fldChar w:fldCharType="separate"/>
            </w:r>
            <w:r w:rsidR="008D797C" w:rsidRPr="008D797C">
              <w:rPr>
                <w:rFonts w:eastAsia="Calibri"/>
                <w:noProof/>
                <w:szCs w:val="24"/>
              </w:rPr>
              <w:t>2</w:t>
            </w:r>
            <w:r w:rsidRPr="00264D5D">
              <w:rPr>
                <w:szCs w:val="22"/>
                <w:lang w:eastAsia="en-US"/>
              </w:rPr>
              <w:fldChar w:fldCharType="end"/>
            </w:r>
          </w:p>
        </w:tc>
      </w:tr>
      <w:tr w:rsidR="003D7242" w:rsidRPr="00264D5D" w14:paraId="239B7C6F" w14:textId="77777777" w:rsidTr="007B0FCD">
        <w:tc>
          <w:tcPr>
            <w:tcW w:w="1704" w:type="dxa"/>
          </w:tcPr>
          <w:p w14:paraId="4DF25154" w14:textId="77777777" w:rsidR="003D7242" w:rsidRPr="00264D5D" w:rsidRDefault="003D7242" w:rsidP="00144ABC">
            <w:pPr>
              <w:pStyle w:val="GOSTTablenorm"/>
              <w:rPr>
                <w:szCs w:val="22"/>
              </w:rPr>
            </w:pPr>
            <w:r w:rsidRPr="00264D5D">
              <w:rPr>
                <w:szCs w:val="22"/>
              </w:rPr>
              <w:t>ГУИД</w:t>
            </w:r>
          </w:p>
        </w:tc>
        <w:tc>
          <w:tcPr>
            <w:tcW w:w="1705" w:type="dxa"/>
          </w:tcPr>
          <w:p w14:paraId="6426D543" w14:textId="77777777" w:rsidR="003D7242" w:rsidRPr="00264D5D" w:rsidRDefault="003D7242" w:rsidP="00144ABC">
            <w:pPr>
              <w:pStyle w:val="GOSTTablenorm"/>
              <w:rPr>
                <w:szCs w:val="22"/>
              </w:rPr>
            </w:pPr>
            <w:r w:rsidRPr="00264D5D">
              <w:rPr>
                <w:szCs w:val="22"/>
              </w:rPr>
              <w:t>Guid_FK</w:t>
            </w:r>
          </w:p>
        </w:tc>
        <w:tc>
          <w:tcPr>
            <w:tcW w:w="570" w:type="dxa"/>
          </w:tcPr>
          <w:p w14:paraId="40D04BB3" w14:textId="77777777" w:rsidR="003D7242" w:rsidRPr="00264D5D" w:rsidRDefault="003D7242" w:rsidP="00144ABC">
            <w:pPr>
              <w:pStyle w:val="GOSTTablenorm"/>
              <w:rPr>
                <w:szCs w:val="22"/>
              </w:rPr>
            </w:pPr>
            <w:r w:rsidRPr="00264D5D">
              <w:rPr>
                <w:szCs w:val="22"/>
              </w:rPr>
              <w:t>П</w:t>
            </w:r>
          </w:p>
        </w:tc>
        <w:tc>
          <w:tcPr>
            <w:tcW w:w="1136" w:type="dxa"/>
          </w:tcPr>
          <w:p w14:paraId="11F4DC22" w14:textId="77777777" w:rsidR="003D7242" w:rsidRPr="00264D5D" w:rsidRDefault="003D7242" w:rsidP="00144ABC">
            <w:pPr>
              <w:pStyle w:val="GOSTTablenorm"/>
              <w:rPr>
                <w:szCs w:val="22"/>
                <w:lang w:val="en-US"/>
              </w:rPr>
            </w:pPr>
            <w:r w:rsidRPr="00264D5D">
              <w:rPr>
                <w:szCs w:val="22"/>
                <w:lang w:val="en-US"/>
              </w:rPr>
              <w:t>GUID</w:t>
            </w:r>
          </w:p>
        </w:tc>
        <w:tc>
          <w:tcPr>
            <w:tcW w:w="570" w:type="dxa"/>
          </w:tcPr>
          <w:p w14:paraId="79ADD07A" w14:textId="77777777" w:rsidR="003D7242" w:rsidRPr="00264D5D" w:rsidRDefault="003D7242" w:rsidP="00144ABC">
            <w:pPr>
              <w:pStyle w:val="GOSTTablenorm"/>
              <w:rPr>
                <w:szCs w:val="22"/>
              </w:rPr>
            </w:pPr>
            <w:r w:rsidRPr="00264D5D">
              <w:rPr>
                <w:szCs w:val="22"/>
              </w:rPr>
              <w:t>О</w:t>
            </w:r>
          </w:p>
        </w:tc>
        <w:tc>
          <w:tcPr>
            <w:tcW w:w="3965" w:type="dxa"/>
          </w:tcPr>
          <w:p w14:paraId="1C23C724" w14:textId="77777777" w:rsidR="003D7242" w:rsidRPr="00264D5D" w:rsidRDefault="003D7242" w:rsidP="00144ABC">
            <w:pPr>
              <w:pStyle w:val="GOSTTablenorm"/>
              <w:rPr>
                <w:szCs w:val="22"/>
              </w:rPr>
            </w:pPr>
            <w:r w:rsidRPr="00264D5D">
              <w:rPr>
                <w:szCs w:val="22"/>
              </w:rPr>
              <w:t>Указывается ГУИД документа</w:t>
            </w:r>
          </w:p>
        </w:tc>
      </w:tr>
      <w:tr w:rsidR="003D7242" w:rsidRPr="00264D5D" w14:paraId="0502D66B" w14:textId="77777777" w:rsidTr="007B0FCD">
        <w:tc>
          <w:tcPr>
            <w:tcW w:w="1704" w:type="dxa"/>
          </w:tcPr>
          <w:p w14:paraId="1F016553" w14:textId="77777777" w:rsidR="003D7242" w:rsidRPr="00264D5D" w:rsidRDefault="003D7242" w:rsidP="00144ABC">
            <w:pPr>
              <w:pStyle w:val="GOSTTablenorm"/>
              <w:rPr>
                <w:szCs w:val="22"/>
              </w:rPr>
            </w:pPr>
            <w:r w:rsidRPr="00264D5D">
              <w:rPr>
                <w:szCs w:val="22"/>
              </w:rPr>
              <w:t>Номер</w:t>
            </w:r>
          </w:p>
        </w:tc>
        <w:tc>
          <w:tcPr>
            <w:tcW w:w="1705" w:type="dxa"/>
          </w:tcPr>
          <w:p w14:paraId="1398E112" w14:textId="77777777" w:rsidR="003D7242" w:rsidRPr="00264D5D" w:rsidRDefault="003D7242" w:rsidP="00144ABC">
            <w:pPr>
              <w:pStyle w:val="GOSTTablenorm"/>
              <w:rPr>
                <w:szCs w:val="22"/>
              </w:rPr>
            </w:pPr>
            <w:r w:rsidRPr="00264D5D">
              <w:rPr>
                <w:szCs w:val="22"/>
              </w:rPr>
              <w:t>Nom_Doc</w:t>
            </w:r>
          </w:p>
        </w:tc>
        <w:tc>
          <w:tcPr>
            <w:tcW w:w="570" w:type="dxa"/>
          </w:tcPr>
          <w:p w14:paraId="6AFF20B1" w14:textId="77777777" w:rsidR="003D7242" w:rsidRPr="00264D5D" w:rsidRDefault="003D7242" w:rsidP="00144ABC">
            <w:pPr>
              <w:pStyle w:val="GOSTTablenorm"/>
              <w:rPr>
                <w:szCs w:val="22"/>
              </w:rPr>
            </w:pPr>
            <w:r w:rsidRPr="00264D5D">
              <w:rPr>
                <w:szCs w:val="22"/>
              </w:rPr>
              <w:t>П</w:t>
            </w:r>
          </w:p>
        </w:tc>
        <w:tc>
          <w:tcPr>
            <w:tcW w:w="1136" w:type="dxa"/>
          </w:tcPr>
          <w:p w14:paraId="58960622" w14:textId="77777777" w:rsidR="003D7242" w:rsidRPr="00264D5D" w:rsidRDefault="003D7242" w:rsidP="00144ABC">
            <w:pPr>
              <w:pStyle w:val="GOSTTablenorm"/>
              <w:rPr>
                <w:szCs w:val="22"/>
                <w:lang w:val="en-US"/>
              </w:rPr>
            </w:pPr>
            <w:r w:rsidRPr="00264D5D">
              <w:rPr>
                <w:szCs w:val="22"/>
                <w:lang w:val="en-US"/>
              </w:rPr>
              <w:t>T(1-15)</w:t>
            </w:r>
          </w:p>
        </w:tc>
        <w:tc>
          <w:tcPr>
            <w:tcW w:w="570" w:type="dxa"/>
          </w:tcPr>
          <w:p w14:paraId="0E762C7B" w14:textId="77777777" w:rsidR="003D7242" w:rsidRPr="00264D5D" w:rsidRDefault="003D7242" w:rsidP="00144ABC">
            <w:pPr>
              <w:pStyle w:val="GOSTTablenorm"/>
              <w:rPr>
                <w:szCs w:val="22"/>
              </w:rPr>
            </w:pPr>
            <w:r w:rsidRPr="00264D5D">
              <w:rPr>
                <w:szCs w:val="22"/>
              </w:rPr>
              <w:t>О</w:t>
            </w:r>
          </w:p>
        </w:tc>
        <w:tc>
          <w:tcPr>
            <w:tcW w:w="3965" w:type="dxa"/>
          </w:tcPr>
          <w:p w14:paraId="66953443" w14:textId="77777777" w:rsidR="003D7242" w:rsidRPr="00264D5D" w:rsidRDefault="003D7242" w:rsidP="00144ABC">
            <w:pPr>
              <w:pStyle w:val="GOSTTablenorm"/>
              <w:rPr>
                <w:szCs w:val="22"/>
              </w:rPr>
            </w:pPr>
            <w:r w:rsidRPr="00264D5D">
              <w:rPr>
                <w:szCs w:val="22"/>
              </w:rPr>
              <w:t xml:space="preserve">Указывается </w:t>
            </w:r>
            <w:r w:rsidRPr="00264D5D">
              <w:t>номер документа</w:t>
            </w:r>
          </w:p>
        </w:tc>
      </w:tr>
      <w:tr w:rsidR="003D7242" w:rsidRPr="00264D5D" w14:paraId="502BC2F9" w14:textId="77777777" w:rsidTr="007B0FCD">
        <w:tc>
          <w:tcPr>
            <w:tcW w:w="1704" w:type="dxa"/>
          </w:tcPr>
          <w:p w14:paraId="58E885CF" w14:textId="77777777" w:rsidR="003D7242" w:rsidRPr="00264D5D" w:rsidRDefault="003D7242" w:rsidP="00144ABC">
            <w:pPr>
              <w:pStyle w:val="GOSTTablenorm"/>
              <w:rPr>
                <w:szCs w:val="22"/>
              </w:rPr>
            </w:pPr>
            <w:r w:rsidRPr="00264D5D">
              <w:rPr>
                <w:szCs w:val="22"/>
              </w:rPr>
              <w:t>Дата</w:t>
            </w:r>
          </w:p>
        </w:tc>
        <w:tc>
          <w:tcPr>
            <w:tcW w:w="1705" w:type="dxa"/>
          </w:tcPr>
          <w:p w14:paraId="6B624637" w14:textId="77777777" w:rsidR="003D7242" w:rsidRPr="00264D5D" w:rsidRDefault="003D7242" w:rsidP="00144ABC">
            <w:pPr>
              <w:pStyle w:val="GOSTTablenorm"/>
              <w:rPr>
                <w:szCs w:val="22"/>
              </w:rPr>
            </w:pPr>
            <w:r w:rsidRPr="00264D5D">
              <w:rPr>
                <w:szCs w:val="22"/>
              </w:rPr>
              <w:t>Date_Doc</w:t>
            </w:r>
          </w:p>
        </w:tc>
        <w:tc>
          <w:tcPr>
            <w:tcW w:w="570" w:type="dxa"/>
          </w:tcPr>
          <w:p w14:paraId="342C9B06" w14:textId="77777777" w:rsidR="003D7242" w:rsidRPr="00264D5D" w:rsidRDefault="003D7242" w:rsidP="00144ABC">
            <w:pPr>
              <w:pStyle w:val="GOSTTablenorm"/>
              <w:rPr>
                <w:szCs w:val="22"/>
              </w:rPr>
            </w:pPr>
            <w:r w:rsidRPr="00264D5D">
              <w:rPr>
                <w:szCs w:val="22"/>
              </w:rPr>
              <w:t>П</w:t>
            </w:r>
          </w:p>
        </w:tc>
        <w:tc>
          <w:tcPr>
            <w:tcW w:w="1136" w:type="dxa"/>
          </w:tcPr>
          <w:p w14:paraId="2E441683" w14:textId="77777777" w:rsidR="003D7242" w:rsidRPr="00264D5D" w:rsidRDefault="003D7242" w:rsidP="00144ABC">
            <w:pPr>
              <w:pStyle w:val="GOSTTablenorm"/>
              <w:rPr>
                <w:szCs w:val="22"/>
                <w:lang w:val="en-US"/>
              </w:rPr>
            </w:pPr>
            <w:r w:rsidRPr="00264D5D">
              <w:rPr>
                <w:szCs w:val="22"/>
                <w:lang w:val="en-US"/>
              </w:rPr>
              <w:t>Date</w:t>
            </w:r>
          </w:p>
        </w:tc>
        <w:tc>
          <w:tcPr>
            <w:tcW w:w="570" w:type="dxa"/>
          </w:tcPr>
          <w:p w14:paraId="0520778F" w14:textId="77777777" w:rsidR="003D7242" w:rsidRPr="00264D5D" w:rsidRDefault="003D7242" w:rsidP="00144ABC">
            <w:pPr>
              <w:pStyle w:val="GOSTTablenorm"/>
              <w:rPr>
                <w:szCs w:val="22"/>
              </w:rPr>
            </w:pPr>
            <w:r w:rsidRPr="00264D5D">
              <w:rPr>
                <w:szCs w:val="22"/>
              </w:rPr>
              <w:t>О</w:t>
            </w:r>
          </w:p>
        </w:tc>
        <w:tc>
          <w:tcPr>
            <w:tcW w:w="3965" w:type="dxa"/>
          </w:tcPr>
          <w:p w14:paraId="499765DE" w14:textId="77777777" w:rsidR="003D7242" w:rsidRPr="00264D5D" w:rsidRDefault="003D7242" w:rsidP="00144ABC">
            <w:pPr>
              <w:pStyle w:val="GOSTTablenorm"/>
              <w:rPr>
                <w:szCs w:val="22"/>
              </w:rPr>
            </w:pPr>
            <w:r w:rsidRPr="00264D5D">
              <w:rPr>
                <w:szCs w:val="22"/>
              </w:rPr>
              <w:t>Указывается дата документа</w:t>
            </w:r>
          </w:p>
        </w:tc>
      </w:tr>
      <w:tr w:rsidR="003D7242" w:rsidRPr="00264D5D" w14:paraId="422247B4" w14:textId="77777777" w:rsidTr="007B0FCD">
        <w:tc>
          <w:tcPr>
            <w:tcW w:w="1704" w:type="dxa"/>
          </w:tcPr>
          <w:p w14:paraId="39E3B5AE" w14:textId="77777777" w:rsidR="003D7242" w:rsidRPr="00264D5D" w:rsidRDefault="003D7242" w:rsidP="00144ABC">
            <w:pPr>
              <w:pStyle w:val="GOSTTablenorm"/>
              <w:rPr>
                <w:szCs w:val="22"/>
              </w:rPr>
            </w:pPr>
            <w:r w:rsidRPr="00264D5D">
              <w:t>Наименование налогового органа</w:t>
            </w:r>
          </w:p>
        </w:tc>
        <w:tc>
          <w:tcPr>
            <w:tcW w:w="1705" w:type="dxa"/>
          </w:tcPr>
          <w:p w14:paraId="6FBDAB46" w14:textId="77777777" w:rsidR="003D7242" w:rsidRPr="00264D5D" w:rsidRDefault="003D7242" w:rsidP="00144ABC">
            <w:pPr>
              <w:pStyle w:val="GOSTTablenorm"/>
              <w:rPr>
                <w:szCs w:val="22"/>
              </w:rPr>
            </w:pPr>
            <w:r w:rsidRPr="00264D5D">
              <w:rPr>
                <w:szCs w:val="22"/>
              </w:rPr>
              <w:t>FNS_Name</w:t>
            </w:r>
          </w:p>
        </w:tc>
        <w:tc>
          <w:tcPr>
            <w:tcW w:w="570" w:type="dxa"/>
          </w:tcPr>
          <w:p w14:paraId="5A609F2E" w14:textId="77777777" w:rsidR="003D7242" w:rsidRPr="00264D5D" w:rsidRDefault="003D7242" w:rsidP="00144ABC">
            <w:pPr>
              <w:pStyle w:val="GOSTTablenorm"/>
              <w:rPr>
                <w:szCs w:val="22"/>
              </w:rPr>
            </w:pPr>
            <w:r w:rsidRPr="00264D5D">
              <w:rPr>
                <w:szCs w:val="22"/>
              </w:rPr>
              <w:t>П</w:t>
            </w:r>
          </w:p>
        </w:tc>
        <w:tc>
          <w:tcPr>
            <w:tcW w:w="1136" w:type="dxa"/>
          </w:tcPr>
          <w:p w14:paraId="47C78033" w14:textId="77777777" w:rsidR="003D7242" w:rsidRPr="00264D5D" w:rsidRDefault="003D7242" w:rsidP="00144ABC">
            <w:pPr>
              <w:pStyle w:val="GOSTTablenorm"/>
              <w:rPr>
                <w:szCs w:val="22"/>
                <w:lang w:val="en-US"/>
              </w:rPr>
            </w:pPr>
            <w:r w:rsidRPr="00264D5D">
              <w:rPr>
                <w:szCs w:val="22"/>
                <w:lang w:val="en-US"/>
              </w:rPr>
              <w:t>T(1-2</w:t>
            </w:r>
            <w:r w:rsidRPr="00264D5D">
              <w:rPr>
                <w:szCs w:val="22"/>
              </w:rPr>
              <w:t>000</w:t>
            </w:r>
            <w:r w:rsidRPr="00264D5D">
              <w:rPr>
                <w:szCs w:val="22"/>
                <w:lang w:val="en-US"/>
              </w:rPr>
              <w:t>)</w:t>
            </w:r>
          </w:p>
        </w:tc>
        <w:tc>
          <w:tcPr>
            <w:tcW w:w="570" w:type="dxa"/>
          </w:tcPr>
          <w:p w14:paraId="4B8E1239" w14:textId="77777777" w:rsidR="003D7242" w:rsidRPr="00264D5D" w:rsidRDefault="003D7242" w:rsidP="00144ABC">
            <w:pPr>
              <w:pStyle w:val="GOSTTablenorm"/>
              <w:rPr>
                <w:szCs w:val="22"/>
              </w:rPr>
            </w:pPr>
            <w:r w:rsidRPr="00264D5D">
              <w:rPr>
                <w:szCs w:val="22"/>
              </w:rPr>
              <w:t>О</w:t>
            </w:r>
          </w:p>
        </w:tc>
        <w:tc>
          <w:tcPr>
            <w:tcW w:w="3965" w:type="dxa"/>
          </w:tcPr>
          <w:p w14:paraId="245DEB8D" w14:textId="77777777" w:rsidR="003D7242" w:rsidRPr="00264D5D" w:rsidRDefault="003D7242" w:rsidP="00144ABC">
            <w:pPr>
              <w:pStyle w:val="GOSTTablenorm"/>
              <w:rPr>
                <w:szCs w:val="22"/>
              </w:rPr>
            </w:pPr>
            <w:r w:rsidRPr="00264D5D">
              <w:t>Указывается полное или сокращенное наименование налогового органа, направившего распоряжение, в соответствии со Сводным реестром</w:t>
            </w:r>
          </w:p>
        </w:tc>
      </w:tr>
      <w:tr w:rsidR="003D7242" w:rsidRPr="00264D5D" w14:paraId="228C028F" w14:textId="77777777" w:rsidTr="007B0FCD">
        <w:tc>
          <w:tcPr>
            <w:tcW w:w="1704" w:type="dxa"/>
          </w:tcPr>
          <w:p w14:paraId="3825A92C" w14:textId="77777777" w:rsidR="003D7242" w:rsidRPr="00264D5D" w:rsidRDefault="003D7242" w:rsidP="00144ABC">
            <w:pPr>
              <w:pStyle w:val="GOSTTablenorm"/>
            </w:pPr>
            <w:r w:rsidRPr="00264D5D">
              <w:t>Код по Сводному реестру</w:t>
            </w:r>
          </w:p>
        </w:tc>
        <w:tc>
          <w:tcPr>
            <w:tcW w:w="1705" w:type="dxa"/>
          </w:tcPr>
          <w:p w14:paraId="17D7BC3A" w14:textId="77777777" w:rsidR="003D7242" w:rsidRPr="00264D5D" w:rsidRDefault="003D7242" w:rsidP="00144ABC">
            <w:pPr>
              <w:pStyle w:val="GOSTTablenorm"/>
              <w:rPr>
                <w:szCs w:val="22"/>
              </w:rPr>
            </w:pPr>
            <w:r w:rsidRPr="00264D5D">
              <w:rPr>
                <w:szCs w:val="22"/>
              </w:rPr>
              <w:t>UBP_Code</w:t>
            </w:r>
          </w:p>
        </w:tc>
        <w:tc>
          <w:tcPr>
            <w:tcW w:w="570" w:type="dxa"/>
          </w:tcPr>
          <w:p w14:paraId="4A5CBC3C" w14:textId="77777777" w:rsidR="003D7242" w:rsidRPr="00264D5D" w:rsidRDefault="003D7242" w:rsidP="00144ABC">
            <w:pPr>
              <w:pStyle w:val="GOSTTablenorm"/>
              <w:rPr>
                <w:szCs w:val="22"/>
              </w:rPr>
            </w:pPr>
            <w:r w:rsidRPr="00264D5D">
              <w:rPr>
                <w:szCs w:val="22"/>
              </w:rPr>
              <w:t>П</w:t>
            </w:r>
          </w:p>
        </w:tc>
        <w:tc>
          <w:tcPr>
            <w:tcW w:w="1136" w:type="dxa"/>
          </w:tcPr>
          <w:p w14:paraId="62AE285B" w14:textId="77777777" w:rsidR="003D7242" w:rsidRPr="00264D5D" w:rsidRDefault="003D7242" w:rsidP="00144ABC">
            <w:pPr>
              <w:pStyle w:val="GOSTTablenorm"/>
              <w:rPr>
                <w:szCs w:val="22"/>
                <w:lang w:val="en-US"/>
              </w:rPr>
            </w:pPr>
            <w:r w:rsidRPr="00264D5D">
              <w:rPr>
                <w:szCs w:val="22"/>
                <w:lang w:val="en-US"/>
              </w:rPr>
              <w:t>T(</w:t>
            </w:r>
            <w:r w:rsidRPr="00264D5D">
              <w:rPr>
                <w:szCs w:val="22"/>
              </w:rPr>
              <w:t>8</w:t>
            </w:r>
            <w:r w:rsidRPr="00264D5D">
              <w:rPr>
                <w:szCs w:val="22"/>
                <w:lang w:val="en-US"/>
              </w:rPr>
              <w:t>)</w:t>
            </w:r>
          </w:p>
        </w:tc>
        <w:tc>
          <w:tcPr>
            <w:tcW w:w="570" w:type="dxa"/>
          </w:tcPr>
          <w:p w14:paraId="4E4F0DBD" w14:textId="77777777" w:rsidR="003D7242" w:rsidRPr="00264D5D" w:rsidRDefault="003D7242" w:rsidP="00144ABC">
            <w:pPr>
              <w:pStyle w:val="GOSTTablenorm"/>
              <w:rPr>
                <w:szCs w:val="22"/>
              </w:rPr>
            </w:pPr>
            <w:r w:rsidRPr="00264D5D">
              <w:rPr>
                <w:szCs w:val="22"/>
              </w:rPr>
              <w:t>О</w:t>
            </w:r>
          </w:p>
        </w:tc>
        <w:tc>
          <w:tcPr>
            <w:tcW w:w="3965" w:type="dxa"/>
          </w:tcPr>
          <w:p w14:paraId="49CEEDF7" w14:textId="77777777" w:rsidR="003D7242" w:rsidRPr="00264D5D" w:rsidRDefault="003D7242" w:rsidP="00144ABC">
            <w:pPr>
              <w:pStyle w:val="GOSTTablenorm"/>
            </w:pPr>
            <w:r w:rsidRPr="00264D5D">
              <w:t>Указывается код по Сводному реестру налогового органа, направившего документ</w:t>
            </w:r>
          </w:p>
        </w:tc>
      </w:tr>
      <w:tr w:rsidR="003D7242" w:rsidRPr="00264D5D" w14:paraId="7BEF6098" w14:textId="77777777" w:rsidTr="007B0FCD">
        <w:tc>
          <w:tcPr>
            <w:tcW w:w="1704" w:type="dxa"/>
          </w:tcPr>
          <w:p w14:paraId="704AFC04" w14:textId="77777777" w:rsidR="003D7242" w:rsidRPr="00264D5D" w:rsidRDefault="003D7242" w:rsidP="00144ABC">
            <w:pPr>
              <w:pStyle w:val="GOSTTablenorm"/>
            </w:pPr>
            <w:r w:rsidRPr="00264D5D">
              <w:t>Наименование ТОФК</w:t>
            </w:r>
          </w:p>
        </w:tc>
        <w:tc>
          <w:tcPr>
            <w:tcW w:w="1705" w:type="dxa"/>
          </w:tcPr>
          <w:p w14:paraId="07B31E04" w14:textId="77777777" w:rsidR="003D7242" w:rsidRPr="00264D5D" w:rsidRDefault="003D7242" w:rsidP="00144ABC">
            <w:pPr>
              <w:pStyle w:val="GOSTTablenorm"/>
              <w:rPr>
                <w:szCs w:val="22"/>
              </w:rPr>
            </w:pPr>
            <w:r w:rsidRPr="00264D5D">
              <w:rPr>
                <w:szCs w:val="22"/>
              </w:rPr>
              <w:t>TOFK_Name</w:t>
            </w:r>
          </w:p>
        </w:tc>
        <w:tc>
          <w:tcPr>
            <w:tcW w:w="570" w:type="dxa"/>
          </w:tcPr>
          <w:p w14:paraId="7D933CF7" w14:textId="77777777" w:rsidR="003D7242" w:rsidRPr="00264D5D" w:rsidRDefault="003D7242" w:rsidP="00144ABC">
            <w:pPr>
              <w:pStyle w:val="GOSTTablenorm"/>
              <w:rPr>
                <w:szCs w:val="22"/>
              </w:rPr>
            </w:pPr>
            <w:r w:rsidRPr="00264D5D">
              <w:rPr>
                <w:szCs w:val="22"/>
              </w:rPr>
              <w:t>П</w:t>
            </w:r>
          </w:p>
        </w:tc>
        <w:tc>
          <w:tcPr>
            <w:tcW w:w="1136" w:type="dxa"/>
          </w:tcPr>
          <w:p w14:paraId="1496D4CE" w14:textId="77777777" w:rsidR="003D7242" w:rsidRPr="00264D5D" w:rsidRDefault="003D7242" w:rsidP="00144ABC">
            <w:pPr>
              <w:pStyle w:val="GOSTTablenorm"/>
              <w:rPr>
                <w:szCs w:val="22"/>
              </w:rPr>
            </w:pPr>
            <w:r w:rsidRPr="00264D5D">
              <w:rPr>
                <w:szCs w:val="22"/>
                <w:lang w:val="en-US"/>
              </w:rPr>
              <w:t>T(1-2</w:t>
            </w:r>
            <w:r w:rsidRPr="00264D5D">
              <w:rPr>
                <w:szCs w:val="22"/>
              </w:rPr>
              <w:t>000</w:t>
            </w:r>
            <w:r w:rsidRPr="00264D5D">
              <w:rPr>
                <w:szCs w:val="22"/>
                <w:lang w:val="en-US"/>
              </w:rPr>
              <w:t>)</w:t>
            </w:r>
          </w:p>
        </w:tc>
        <w:tc>
          <w:tcPr>
            <w:tcW w:w="570" w:type="dxa"/>
          </w:tcPr>
          <w:p w14:paraId="796EAD16" w14:textId="77777777" w:rsidR="003D7242" w:rsidRPr="00264D5D" w:rsidRDefault="003D7242" w:rsidP="00144ABC">
            <w:pPr>
              <w:pStyle w:val="GOSTTablenorm"/>
              <w:rPr>
                <w:szCs w:val="22"/>
              </w:rPr>
            </w:pPr>
            <w:r w:rsidRPr="00264D5D">
              <w:rPr>
                <w:szCs w:val="22"/>
              </w:rPr>
              <w:t>О</w:t>
            </w:r>
          </w:p>
        </w:tc>
        <w:tc>
          <w:tcPr>
            <w:tcW w:w="3965" w:type="dxa"/>
          </w:tcPr>
          <w:p w14:paraId="25F3256C" w14:textId="77777777" w:rsidR="003D7242" w:rsidRPr="00264D5D" w:rsidRDefault="003D7242" w:rsidP="00144ABC">
            <w:pPr>
              <w:pStyle w:val="GOSTTablenorm"/>
            </w:pPr>
            <w:r w:rsidRPr="00264D5D">
              <w:t>Указывается краткое наименование ТОФК, в адрес которого направляется документ</w:t>
            </w:r>
          </w:p>
        </w:tc>
      </w:tr>
      <w:tr w:rsidR="003D7242" w:rsidRPr="00264D5D" w14:paraId="549AF438" w14:textId="77777777" w:rsidTr="007B0FCD">
        <w:tc>
          <w:tcPr>
            <w:tcW w:w="1704" w:type="dxa"/>
          </w:tcPr>
          <w:p w14:paraId="2959A88C" w14:textId="77777777" w:rsidR="003D7242" w:rsidRPr="00264D5D" w:rsidRDefault="003D7242" w:rsidP="00144ABC">
            <w:pPr>
              <w:pStyle w:val="GOSTTablenorm"/>
            </w:pPr>
            <w:r w:rsidRPr="00264D5D">
              <w:t>ИНН ТОФК</w:t>
            </w:r>
          </w:p>
        </w:tc>
        <w:tc>
          <w:tcPr>
            <w:tcW w:w="1705" w:type="dxa"/>
          </w:tcPr>
          <w:p w14:paraId="6FA3CA1D" w14:textId="77777777" w:rsidR="003D7242" w:rsidRPr="00264D5D" w:rsidRDefault="003D7242" w:rsidP="00144ABC">
            <w:pPr>
              <w:pStyle w:val="GOSTTablenorm"/>
              <w:rPr>
                <w:szCs w:val="22"/>
              </w:rPr>
            </w:pPr>
            <w:r w:rsidRPr="00264D5D">
              <w:rPr>
                <w:szCs w:val="22"/>
                <w:lang w:val="en-US"/>
              </w:rPr>
              <w:t>TOFK</w:t>
            </w:r>
            <w:r w:rsidRPr="00264D5D">
              <w:rPr>
                <w:szCs w:val="22"/>
              </w:rPr>
              <w:t>_INN</w:t>
            </w:r>
          </w:p>
        </w:tc>
        <w:tc>
          <w:tcPr>
            <w:tcW w:w="570" w:type="dxa"/>
          </w:tcPr>
          <w:p w14:paraId="798DB0C5" w14:textId="77777777" w:rsidR="003D7242" w:rsidRPr="00264D5D" w:rsidRDefault="003D7242" w:rsidP="00144ABC">
            <w:pPr>
              <w:pStyle w:val="GOSTTablenorm"/>
              <w:rPr>
                <w:szCs w:val="22"/>
              </w:rPr>
            </w:pPr>
            <w:r w:rsidRPr="00264D5D">
              <w:rPr>
                <w:szCs w:val="22"/>
              </w:rPr>
              <w:t>П</w:t>
            </w:r>
          </w:p>
        </w:tc>
        <w:tc>
          <w:tcPr>
            <w:tcW w:w="1136" w:type="dxa"/>
          </w:tcPr>
          <w:p w14:paraId="4BC367AF" w14:textId="77777777" w:rsidR="003D7242" w:rsidRPr="00264D5D" w:rsidRDefault="003D7242" w:rsidP="00144ABC">
            <w:pPr>
              <w:pStyle w:val="GOSTTablenorm"/>
              <w:rPr>
                <w:szCs w:val="22"/>
              </w:rPr>
            </w:pPr>
            <w:r w:rsidRPr="00264D5D">
              <w:rPr>
                <w:szCs w:val="22"/>
                <w:lang w:val="en-US"/>
              </w:rPr>
              <w:t>T(</w:t>
            </w:r>
            <w:r w:rsidRPr="00264D5D">
              <w:rPr>
                <w:szCs w:val="22"/>
              </w:rPr>
              <w:t>10</w:t>
            </w:r>
            <w:r w:rsidRPr="00264D5D">
              <w:rPr>
                <w:szCs w:val="22"/>
                <w:lang w:val="en-US"/>
              </w:rPr>
              <w:t>)</w:t>
            </w:r>
          </w:p>
        </w:tc>
        <w:tc>
          <w:tcPr>
            <w:tcW w:w="570" w:type="dxa"/>
          </w:tcPr>
          <w:p w14:paraId="226D70A1" w14:textId="77777777" w:rsidR="003D7242" w:rsidRPr="00264D5D" w:rsidRDefault="003D7242" w:rsidP="00144ABC">
            <w:pPr>
              <w:pStyle w:val="GOSTTablenorm"/>
              <w:rPr>
                <w:szCs w:val="22"/>
              </w:rPr>
            </w:pPr>
            <w:r w:rsidRPr="00264D5D">
              <w:rPr>
                <w:szCs w:val="22"/>
              </w:rPr>
              <w:t>О</w:t>
            </w:r>
          </w:p>
        </w:tc>
        <w:tc>
          <w:tcPr>
            <w:tcW w:w="3965" w:type="dxa"/>
          </w:tcPr>
          <w:p w14:paraId="5B8691F9" w14:textId="77777777" w:rsidR="003D7242" w:rsidRPr="00264D5D" w:rsidRDefault="003D7242" w:rsidP="00144ABC">
            <w:pPr>
              <w:pStyle w:val="GOSTTablenorm"/>
            </w:pPr>
            <w:r w:rsidRPr="00264D5D">
              <w:t>Указывается ИНН территориального органа Федерального казначейства</w:t>
            </w:r>
          </w:p>
        </w:tc>
      </w:tr>
      <w:tr w:rsidR="003D7242" w:rsidRPr="00264D5D" w14:paraId="07961142" w14:textId="77777777" w:rsidTr="007B0FCD">
        <w:tc>
          <w:tcPr>
            <w:tcW w:w="1704" w:type="dxa"/>
          </w:tcPr>
          <w:p w14:paraId="5797DE5C" w14:textId="77777777" w:rsidR="003D7242" w:rsidRPr="00264D5D" w:rsidRDefault="003D7242" w:rsidP="00144ABC">
            <w:pPr>
              <w:pStyle w:val="GOSTTablenorm"/>
              <w:rPr>
                <w:szCs w:val="22"/>
              </w:rPr>
            </w:pPr>
            <w:r w:rsidRPr="00264D5D">
              <w:t>КПП ТОФК</w:t>
            </w:r>
          </w:p>
        </w:tc>
        <w:tc>
          <w:tcPr>
            <w:tcW w:w="1705" w:type="dxa"/>
          </w:tcPr>
          <w:p w14:paraId="783A5D57" w14:textId="77777777" w:rsidR="003D7242" w:rsidRPr="00264D5D" w:rsidRDefault="003D7242" w:rsidP="00144ABC">
            <w:pPr>
              <w:pStyle w:val="GOSTTablenorm"/>
              <w:rPr>
                <w:szCs w:val="22"/>
              </w:rPr>
            </w:pPr>
            <w:r w:rsidRPr="00264D5D">
              <w:rPr>
                <w:szCs w:val="22"/>
                <w:lang w:val="en-US"/>
              </w:rPr>
              <w:t>TOFK</w:t>
            </w:r>
            <w:r w:rsidRPr="00264D5D">
              <w:rPr>
                <w:szCs w:val="22"/>
              </w:rPr>
              <w:t>_KPP</w:t>
            </w:r>
          </w:p>
        </w:tc>
        <w:tc>
          <w:tcPr>
            <w:tcW w:w="570" w:type="dxa"/>
          </w:tcPr>
          <w:p w14:paraId="721BBE5A" w14:textId="77777777" w:rsidR="003D7242" w:rsidRPr="00264D5D" w:rsidRDefault="003D7242" w:rsidP="00144ABC">
            <w:pPr>
              <w:pStyle w:val="GOSTTablenorm"/>
              <w:rPr>
                <w:szCs w:val="22"/>
              </w:rPr>
            </w:pPr>
            <w:r w:rsidRPr="00264D5D">
              <w:rPr>
                <w:szCs w:val="22"/>
              </w:rPr>
              <w:t>П</w:t>
            </w:r>
          </w:p>
        </w:tc>
        <w:tc>
          <w:tcPr>
            <w:tcW w:w="1136" w:type="dxa"/>
          </w:tcPr>
          <w:p w14:paraId="2D626454" w14:textId="77777777" w:rsidR="003D7242" w:rsidRPr="00264D5D" w:rsidRDefault="003D7242" w:rsidP="00144ABC">
            <w:pPr>
              <w:pStyle w:val="GOSTTablenorm"/>
              <w:rPr>
                <w:szCs w:val="22"/>
              </w:rPr>
            </w:pPr>
            <w:r w:rsidRPr="00264D5D">
              <w:rPr>
                <w:szCs w:val="22"/>
                <w:lang w:val="en-US"/>
              </w:rPr>
              <w:t>T(9)</w:t>
            </w:r>
          </w:p>
        </w:tc>
        <w:tc>
          <w:tcPr>
            <w:tcW w:w="570" w:type="dxa"/>
          </w:tcPr>
          <w:p w14:paraId="32AFB811" w14:textId="77777777" w:rsidR="003D7242" w:rsidRPr="00264D5D" w:rsidRDefault="003D7242" w:rsidP="00144ABC">
            <w:pPr>
              <w:pStyle w:val="GOSTTablenorm"/>
              <w:rPr>
                <w:szCs w:val="22"/>
              </w:rPr>
            </w:pPr>
            <w:r w:rsidRPr="00264D5D">
              <w:rPr>
                <w:szCs w:val="22"/>
              </w:rPr>
              <w:t>О</w:t>
            </w:r>
          </w:p>
        </w:tc>
        <w:tc>
          <w:tcPr>
            <w:tcW w:w="3965" w:type="dxa"/>
          </w:tcPr>
          <w:p w14:paraId="1A353DF1" w14:textId="77777777" w:rsidR="003D7242" w:rsidRPr="00264D5D" w:rsidRDefault="003D7242" w:rsidP="00144ABC">
            <w:pPr>
              <w:pStyle w:val="GOSTTablenorm"/>
              <w:rPr>
                <w:szCs w:val="22"/>
              </w:rPr>
            </w:pPr>
            <w:r w:rsidRPr="00264D5D">
              <w:t xml:space="preserve">Указывается КПП территориального </w:t>
            </w:r>
            <w:r w:rsidRPr="00264D5D">
              <w:lastRenderedPageBreak/>
              <w:t>органа Федерального казначейства</w:t>
            </w:r>
          </w:p>
        </w:tc>
      </w:tr>
      <w:tr w:rsidR="003D7242" w:rsidRPr="00264D5D" w14:paraId="2D842D79" w14:textId="77777777" w:rsidTr="007B0FCD">
        <w:tc>
          <w:tcPr>
            <w:tcW w:w="1704" w:type="dxa"/>
          </w:tcPr>
          <w:p w14:paraId="2320C820" w14:textId="77777777" w:rsidR="003D7242" w:rsidRPr="00264D5D" w:rsidRDefault="003D7242" w:rsidP="00144ABC">
            <w:pPr>
              <w:pStyle w:val="GOSTTablenorm"/>
              <w:rPr>
                <w:szCs w:val="22"/>
              </w:rPr>
            </w:pPr>
            <w:r w:rsidRPr="00264D5D">
              <w:lastRenderedPageBreak/>
              <w:t>Направление платежа</w:t>
            </w:r>
          </w:p>
        </w:tc>
        <w:tc>
          <w:tcPr>
            <w:tcW w:w="1705" w:type="dxa"/>
          </w:tcPr>
          <w:p w14:paraId="3BAA417A" w14:textId="77777777" w:rsidR="003D7242" w:rsidRPr="00264D5D" w:rsidRDefault="003D7242" w:rsidP="00144ABC">
            <w:pPr>
              <w:pStyle w:val="GOSTTablenorm"/>
              <w:rPr>
                <w:szCs w:val="22"/>
              </w:rPr>
            </w:pPr>
            <w:r w:rsidRPr="00264D5D">
              <w:rPr>
                <w:szCs w:val="22"/>
              </w:rPr>
              <w:t>Dir_Code</w:t>
            </w:r>
          </w:p>
        </w:tc>
        <w:tc>
          <w:tcPr>
            <w:tcW w:w="570" w:type="dxa"/>
          </w:tcPr>
          <w:p w14:paraId="0D9EB499" w14:textId="77777777" w:rsidR="003D7242" w:rsidRPr="00264D5D" w:rsidRDefault="003D7242" w:rsidP="00144ABC">
            <w:pPr>
              <w:pStyle w:val="GOSTTablenorm"/>
              <w:rPr>
                <w:szCs w:val="22"/>
              </w:rPr>
            </w:pPr>
            <w:r w:rsidRPr="00264D5D">
              <w:rPr>
                <w:szCs w:val="22"/>
              </w:rPr>
              <w:t>П</w:t>
            </w:r>
          </w:p>
        </w:tc>
        <w:tc>
          <w:tcPr>
            <w:tcW w:w="1136" w:type="dxa"/>
          </w:tcPr>
          <w:p w14:paraId="1C830BCE" w14:textId="77777777" w:rsidR="003D7242" w:rsidRPr="00264D5D" w:rsidRDefault="003D7242" w:rsidP="00144ABC">
            <w:pPr>
              <w:pStyle w:val="GOSTTablenorm"/>
              <w:rPr>
                <w:szCs w:val="22"/>
              </w:rPr>
            </w:pPr>
            <w:r w:rsidRPr="00264D5D">
              <w:rPr>
                <w:szCs w:val="22"/>
              </w:rPr>
              <w:t>Т(2)</w:t>
            </w:r>
          </w:p>
        </w:tc>
        <w:tc>
          <w:tcPr>
            <w:tcW w:w="570" w:type="dxa"/>
          </w:tcPr>
          <w:p w14:paraId="6A68967B" w14:textId="77777777" w:rsidR="003D7242" w:rsidRPr="00264D5D" w:rsidRDefault="003D7242" w:rsidP="00144ABC">
            <w:pPr>
              <w:pStyle w:val="GOSTTablenorm"/>
              <w:rPr>
                <w:szCs w:val="22"/>
              </w:rPr>
            </w:pPr>
            <w:r w:rsidRPr="00264D5D">
              <w:rPr>
                <w:szCs w:val="22"/>
              </w:rPr>
              <w:t>О</w:t>
            </w:r>
          </w:p>
        </w:tc>
        <w:tc>
          <w:tcPr>
            <w:tcW w:w="3965" w:type="dxa"/>
          </w:tcPr>
          <w:p w14:paraId="4961D2D0" w14:textId="77777777" w:rsidR="003D7242" w:rsidRPr="00264D5D" w:rsidRDefault="003D7242" w:rsidP="00144ABC">
            <w:pPr>
              <w:pStyle w:val="GOSTTablenorm"/>
            </w:pPr>
            <w:r w:rsidRPr="00264D5D">
              <w:t>Указывается направление платежа. Допустимые значения:</w:t>
            </w:r>
          </w:p>
          <w:p w14:paraId="48E13F24" w14:textId="77777777" w:rsidR="003D7242" w:rsidRPr="00264D5D" w:rsidRDefault="003D7242" w:rsidP="00101F62">
            <w:pPr>
              <w:pStyle w:val="GOSTTableListMark1"/>
              <w:numPr>
                <w:ilvl w:val="0"/>
                <w:numId w:val="154"/>
              </w:numPr>
            </w:pPr>
            <w:r w:rsidRPr="00264D5D">
              <w:t>02 – зачисление на КБК ЕНП;</w:t>
            </w:r>
          </w:p>
          <w:p w14:paraId="04403028" w14:textId="77777777" w:rsidR="003D7242" w:rsidRPr="00264D5D" w:rsidRDefault="003D7242" w:rsidP="00101F62">
            <w:pPr>
              <w:pStyle w:val="GOSTTableListMark1"/>
              <w:numPr>
                <w:ilvl w:val="0"/>
                <w:numId w:val="154"/>
              </w:numPr>
              <w:rPr>
                <w:szCs w:val="22"/>
              </w:rPr>
            </w:pPr>
            <w:r w:rsidRPr="00264D5D">
              <w:t>03 – списание с КБК ЕНП</w:t>
            </w:r>
          </w:p>
        </w:tc>
      </w:tr>
      <w:tr w:rsidR="003D7242" w:rsidRPr="00264D5D" w14:paraId="0EF03F16" w14:textId="77777777" w:rsidTr="007B0FCD">
        <w:tc>
          <w:tcPr>
            <w:tcW w:w="1704" w:type="dxa"/>
          </w:tcPr>
          <w:p w14:paraId="42D1449D" w14:textId="77777777" w:rsidR="003D7242" w:rsidRPr="00264D5D" w:rsidRDefault="003D7242" w:rsidP="00144ABC">
            <w:pPr>
              <w:pStyle w:val="GOSTTablenorm"/>
            </w:pPr>
            <w:r w:rsidRPr="00264D5D">
              <w:t>КБК ЕНП</w:t>
            </w:r>
          </w:p>
        </w:tc>
        <w:tc>
          <w:tcPr>
            <w:tcW w:w="1705" w:type="dxa"/>
          </w:tcPr>
          <w:p w14:paraId="714203B7" w14:textId="77777777" w:rsidR="003D7242" w:rsidRPr="00264D5D" w:rsidRDefault="003D7242" w:rsidP="00144ABC">
            <w:pPr>
              <w:pStyle w:val="GOSTTablenorm"/>
            </w:pPr>
            <w:r w:rsidRPr="00264D5D">
              <w:t>KBK_ENP</w:t>
            </w:r>
          </w:p>
        </w:tc>
        <w:tc>
          <w:tcPr>
            <w:tcW w:w="570" w:type="dxa"/>
          </w:tcPr>
          <w:p w14:paraId="0C9564AA" w14:textId="77777777" w:rsidR="003D7242" w:rsidRPr="00264D5D" w:rsidRDefault="003D7242" w:rsidP="00144ABC">
            <w:pPr>
              <w:pStyle w:val="GOSTTablenorm"/>
            </w:pPr>
            <w:r w:rsidRPr="00264D5D">
              <w:t>П</w:t>
            </w:r>
          </w:p>
        </w:tc>
        <w:tc>
          <w:tcPr>
            <w:tcW w:w="1136" w:type="dxa"/>
          </w:tcPr>
          <w:p w14:paraId="5A4397DC" w14:textId="77777777" w:rsidR="003D7242" w:rsidRPr="00264D5D" w:rsidRDefault="003D7242" w:rsidP="00144ABC">
            <w:pPr>
              <w:pStyle w:val="GOSTTablenorm"/>
            </w:pPr>
            <w:r w:rsidRPr="00264D5D">
              <w:t>Т(20)</w:t>
            </w:r>
          </w:p>
        </w:tc>
        <w:tc>
          <w:tcPr>
            <w:tcW w:w="570" w:type="dxa"/>
          </w:tcPr>
          <w:p w14:paraId="6E25C569" w14:textId="77777777" w:rsidR="003D7242" w:rsidRPr="00264D5D" w:rsidRDefault="003D7242" w:rsidP="00144ABC">
            <w:pPr>
              <w:pStyle w:val="GOSTTablenorm"/>
            </w:pPr>
            <w:r w:rsidRPr="00264D5D">
              <w:t>О</w:t>
            </w:r>
          </w:p>
        </w:tc>
        <w:tc>
          <w:tcPr>
            <w:tcW w:w="3965" w:type="dxa"/>
          </w:tcPr>
          <w:p w14:paraId="3A133BF7" w14:textId="77777777" w:rsidR="003D7242" w:rsidRPr="00264D5D" w:rsidRDefault="003D7242" w:rsidP="00144ABC">
            <w:pPr>
              <w:pStyle w:val="GOSTTablenorm"/>
            </w:pPr>
            <w:r w:rsidRPr="00264D5D">
              <w:t>Указывается код бюджетной классификации по учету единого налогового платежа в соответствии с действующей бюджетной классификацией Российской Федерации</w:t>
            </w:r>
          </w:p>
        </w:tc>
      </w:tr>
      <w:tr w:rsidR="003D7242" w:rsidRPr="00264D5D" w14:paraId="4282D8EA" w14:textId="77777777" w:rsidTr="007B0FCD">
        <w:tc>
          <w:tcPr>
            <w:tcW w:w="1704" w:type="dxa"/>
          </w:tcPr>
          <w:p w14:paraId="31B0E5FE" w14:textId="77777777" w:rsidR="003D7242" w:rsidRPr="00264D5D" w:rsidRDefault="003D7242" w:rsidP="00144ABC">
            <w:pPr>
              <w:pStyle w:val="GOSTTablenorm"/>
            </w:pPr>
            <w:r w:rsidRPr="00264D5D">
              <w:t>Информация об операциях по единому налоговому платежу</w:t>
            </w:r>
          </w:p>
        </w:tc>
        <w:tc>
          <w:tcPr>
            <w:tcW w:w="1705" w:type="dxa"/>
          </w:tcPr>
          <w:p w14:paraId="6A74012F" w14:textId="77777777" w:rsidR="003D7242" w:rsidRPr="00264D5D" w:rsidRDefault="003D7242" w:rsidP="00144ABC">
            <w:pPr>
              <w:pStyle w:val="GOSTTablenorm"/>
            </w:pPr>
            <w:r w:rsidRPr="00264D5D">
              <w:t>Inf_Tab</w:t>
            </w:r>
          </w:p>
        </w:tc>
        <w:tc>
          <w:tcPr>
            <w:tcW w:w="570" w:type="dxa"/>
          </w:tcPr>
          <w:p w14:paraId="7F5E65F3" w14:textId="77777777" w:rsidR="003D7242" w:rsidRPr="00264D5D" w:rsidRDefault="003D7242" w:rsidP="00144ABC">
            <w:pPr>
              <w:pStyle w:val="GOSTTablenorm"/>
            </w:pPr>
            <w:r w:rsidRPr="00264D5D">
              <w:t>С</w:t>
            </w:r>
          </w:p>
        </w:tc>
        <w:tc>
          <w:tcPr>
            <w:tcW w:w="1136" w:type="dxa"/>
          </w:tcPr>
          <w:p w14:paraId="637A2179" w14:textId="77777777" w:rsidR="003D7242" w:rsidRPr="00264D5D" w:rsidRDefault="003D7242" w:rsidP="00144ABC">
            <w:pPr>
              <w:pStyle w:val="GOSTTablenorm"/>
            </w:pPr>
            <w:r w:rsidRPr="00264D5D">
              <w:t>tB</w:t>
            </w:r>
            <w:r w:rsidRPr="00264D5D">
              <w:rPr>
                <w:rFonts w:eastAsia="Calibri"/>
              </w:rPr>
              <w:t>RA_DOC_D_006</w:t>
            </w:r>
            <w:r w:rsidRPr="00264D5D">
              <w:t>_Tab</w:t>
            </w:r>
          </w:p>
        </w:tc>
        <w:tc>
          <w:tcPr>
            <w:tcW w:w="570" w:type="dxa"/>
          </w:tcPr>
          <w:p w14:paraId="5F630515" w14:textId="77777777" w:rsidR="003D7242" w:rsidRPr="00264D5D" w:rsidRDefault="003D7242" w:rsidP="00144ABC">
            <w:pPr>
              <w:pStyle w:val="GOSTTablenorm"/>
            </w:pPr>
            <w:r w:rsidRPr="00264D5D">
              <w:t>О</w:t>
            </w:r>
          </w:p>
        </w:tc>
        <w:tc>
          <w:tcPr>
            <w:tcW w:w="3965" w:type="dxa"/>
          </w:tcPr>
          <w:p w14:paraId="74C6E692" w14:textId="77777777" w:rsidR="003D7242" w:rsidRPr="00264D5D" w:rsidRDefault="003D7242" w:rsidP="00144ABC">
            <w:pPr>
              <w:pStyle w:val="GOSTTablenorm"/>
            </w:pPr>
            <w:r w:rsidRPr="00264D5D">
              <w:t>Табличная часть документа.</w:t>
            </w:r>
          </w:p>
          <w:p w14:paraId="0D88571E" w14:textId="792FBB30" w:rsidR="003D7242" w:rsidRPr="00264D5D" w:rsidRDefault="003D7242" w:rsidP="00144ABC">
            <w:pPr>
              <w:pStyle w:val="GOSTTablenorm"/>
            </w:pPr>
            <w:r w:rsidRPr="00264D5D">
              <w:t xml:space="preserve">Состав элемента представлен в таблице </w:t>
            </w:r>
            <w:r w:rsidRPr="00264D5D">
              <w:fldChar w:fldCharType="begin"/>
            </w:r>
            <w:r w:rsidRPr="00264D5D">
              <w:instrText xml:space="preserve"> REF _Ref23861551 \h  \* MERGEFORMAT </w:instrText>
            </w:r>
            <w:r w:rsidRPr="00264D5D">
              <w:fldChar w:fldCharType="separate"/>
            </w:r>
            <w:r w:rsidR="008D797C">
              <w:rPr>
                <w:rFonts w:eastAsia="Calibri"/>
              </w:rPr>
              <w:t>377</w:t>
            </w:r>
            <w:r w:rsidRPr="00264D5D">
              <w:fldChar w:fldCharType="end"/>
            </w:r>
          </w:p>
        </w:tc>
      </w:tr>
      <w:tr w:rsidR="003D7242" w:rsidRPr="00264D5D" w14:paraId="6379AC70" w14:textId="77777777" w:rsidTr="007B0FCD">
        <w:tc>
          <w:tcPr>
            <w:tcW w:w="1704" w:type="dxa"/>
          </w:tcPr>
          <w:p w14:paraId="30C859A2" w14:textId="77777777" w:rsidR="003D7242" w:rsidRPr="00264D5D" w:rsidRDefault="003D7242" w:rsidP="00144ABC">
            <w:pPr>
              <w:pStyle w:val="GOSTTablenorm"/>
            </w:pPr>
            <w:r w:rsidRPr="00264D5D">
              <w:t>Подписи</w:t>
            </w:r>
          </w:p>
        </w:tc>
        <w:tc>
          <w:tcPr>
            <w:tcW w:w="1705" w:type="dxa"/>
          </w:tcPr>
          <w:p w14:paraId="1123606A" w14:textId="77777777" w:rsidR="003D7242" w:rsidRPr="00264D5D" w:rsidRDefault="003D7242" w:rsidP="00144ABC">
            <w:pPr>
              <w:pStyle w:val="GOSTTablenorm"/>
            </w:pPr>
            <w:r w:rsidRPr="00264D5D">
              <w:t>Signatures</w:t>
            </w:r>
          </w:p>
        </w:tc>
        <w:tc>
          <w:tcPr>
            <w:tcW w:w="570" w:type="dxa"/>
          </w:tcPr>
          <w:p w14:paraId="15367DB4" w14:textId="77777777" w:rsidR="003D7242" w:rsidRPr="00264D5D" w:rsidRDefault="003D7242" w:rsidP="00144ABC">
            <w:pPr>
              <w:pStyle w:val="GOSTTablenorm"/>
            </w:pPr>
            <w:r w:rsidRPr="00264D5D">
              <w:t>C</w:t>
            </w:r>
          </w:p>
        </w:tc>
        <w:tc>
          <w:tcPr>
            <w:tcW w:w="1136" w:type="dxa"/>
          </w:tcPr>
          <w:p w14:paraId="668128E5" w14:textId="77777777" w:rsidR="003D7242" w:rsidRPr="00264D5D" w:rsidRDefault="003D7242" w:rsidP="00144ABC">
            <w:pPr>
              <w:pStyle w:val="GOSTTablenorm"/>
            </w:pPr>
            <w:r w:rsidRPr="00264D5D">
              <w:t>tSGNNmDt</w:t>
            </w:r>
            <w:r w:rsidR="00216C30" w:rsidRPr="00264D5D">
              <w:t>1</w:t>
            </w:r>
          </w:p>
        </w:tc>
        <w:tc>
          <w:tcPr>
            <w:tcW w:w="570" w:type="dxa"/>
          </w:tcPr>
          <w:p w14:paraId="040AD67A" w14:textId="77777777" w:rsidR="003D7242" w:rsidRPr="00264D5D" w:rsidRDefault="003D7242" w:rsidP="00144ABC">
            <w:pPr>
              <w:pStyle w:val="GOSTTablenorm"/>
            </w:pPr>
            <w:r w:rsidRPr="00264D5D">
              <w:t>О</w:t>
            </w:r>
          </w:p>
        </w:tc>
        <w:tc>
          <w:tcPr>
            <w:tcW w:w="3965" w:type="dxa"/>
          </w:tcPr>
          <w:p w14:paraId="2ED2AE69" w14:textId="5A053E53" w:rsidR="003D7242" w:rsidRPr="00264D5D" w:rsidRDefault="003D7242" w:rsidP="00144ABC">
            <w:pPr>
              <w:pStyle w:val="GOSTTablenorm"/>
            </w:pPr>
            <w:r w:rsidRPr="00264D5D">
              <w:t xml:space="preserve">Состав элемента представлен в таблице </w:t>
            </w:r>
            <w:r w:rsidRPr="00264D5D">
              <w:fldChar w:fldCharType="begin"/>
            </w:r>
            <w:r w:rsidRPr="00264D5D">
              <w:instrText xml:space="preserve"> REF _Ref528664302 \h  \* MERGEFORMAT </w:instrText>
            </w:r>
            <w:r w:rsidRPr="00264D5D">
              <w:fldChar w:fldCharType="separate"/>
            </w:r>
            <w:r w:rsidR="008D797C">
              <w:t>379</w:t>
            </w:r>
            <w:r w:rsidRPr="00264D5D">
              <w:fldChar w:fldCharType="end"/>
            </w:r>
          </w:p>
        </w:tc>
      </w:tr>
      <w:tr w:rsidR="007B0FCD" w:rsidRPr="00264D5D" w14:paraId="1F469DC4" w14:textId="77777777" w:rsidTr="0000169B">
        <w:tc>
          <w:tcPr>
            <w:tcW w:w="9650" w:type="dxa"/>
            <w:gridSpan w:val="6"/>
          </w:tcPr>
          <w:p w14:paraId="4DD92AAA" w14:textId="77777777" w:rsidR="007B0FCD" w:rsidRPr="00264D5D" w:rsidRDefault="007B0FCD" w:rsidP="00144ABC">
            <w:pPr>
              <w:pStyle w:val="GOSTTablenorm"/>
            </w:pPr>
            <w:r w:rsidRPr="00264D5D">
              <w:rPr>
                <w:b/>
                <w:szCs w:val="22"/>
              </w:rPr>
              <w:t>ЭП</w:t>
            </w:r>
          </w:p>
        </w:tc>
      </w:tr>
      <w:tr w:rsidR="007B0FCD" w:rsidRPr="00264D5D" w14:paraId="27CBEFD5" w14:textId="77777777" w:rsidTr="007B0FCD">
        <w:tc>
          <w:tcPr>
            <w:tcW w:w="1704" w:type="dxa"/>
          </w:tcPr>
          <w:p w14:paraId="731F3228" w14:textId="77777777" w:rsidR="007B0FCD" w:rsidRPr="00264D5D" w:rsidRDefault="007B0FCD" w:rsidP="007B0FCD">
            <w:pPr>
              <w:pStyle w:val="GOSTTablenorm"/>
            </w:pPr>
            <w:r w:rsidRPr="00264D5D">
              <w:t>Электронная подпись</w:t>
            </w:r>
          </w:p>
        </w:tc>
        <w:tc>
          <w:tcPr>
            <w:tcW w:w="1705" w:type="dxa"/>
          </w:tcPr>
          <w:p w14:paraId="0ED40D17" w14:textId="77777777" w:rsidR="007B0FCD" w:rsidRPr="00264D5D" w:rsidRDefault="007B0FCD" w:rsidP="007B0FCD">
            <w:pPr>
              <w:pStyle w:val="GOSTTablenorm"/>
            </w:pPr>
            <w:r w:rsidRPr="00264D5D">
              <w:t>Signature</w:t>
            </w:r>
          </w:p>
        </w:tc>
        <w:tc>
          <w:tcPr>
            <w:tcW w:w="570" w:type="dxa"/>
          </w:tcPr>
          <w:p w14:paraId="7806D5D6" w14:textId="77777777" w:rsidR="007B0FCD" w:rsidRPr="00264D5D" w:rsidRDefault="007B0FCD" w:rsidP="007B0FCD">
            <w:pPr>
              <w:pStyle w:val="GOSTTablenorm"/>
            </w:pPr>
            <w:r w:rsidRPr="00264D5D">
              <w:rPr>
                <w:szCs w:val="22"/>
              </w:rPr>
              <w:t>С</w:t>
            </w:r>
          </w:p>
        </w:tc>
        <w:tc>
          <w:tcPr>
            <w:tcW w:w="1136" w:type="dxa"/>
          </w:tcPr>
          <w:p w14:paraId="39467292" w14:textId="77777777" w:rsidR="007B0FCD" w:rsidRPr="00264D5D" w:rsidRDefault="007B0FCD" w:rsidP="007B0FCD">
            <w:pPr>
              <w:pStyle w:val="GOSTTablenorm"/>
            </w:pPr>
            <w:r w:rsidRPr="00264D5D">
              <w:rPr>
                <w:szCs w:val="22"/>
              </w:rPr>
              <w:t>SignatureType</w:t>
            </w:r>
          </w:p>
        </w:tc>
        <w:tc>
          <w:tcPr>
            <w:tcW w:w="570" w:type="dxa"/>
          </w:tcPr>
          <w:p w14:paraId="5EA62061" w14:textId="77777777" w:rsidR="007B0FCD" w:rsidRPr="00264D5D" w:rsidRDefault="007B0FCD" w:rsidP="007B0FCD">
            <w:pPr>
              <w:pStyle w:val="GOSTTablenorm"/>
            </w:pPr>
            <w:r w:rsidRPr="00264D5D">
              <w:rPr>
                <w:szCs w:val="22"/>
              </w:rPr>
              <w:t>НМ</w:t>
            </w:r>
          </w:p>
        </w:tc>
        <w:tc>
          <w:tcPr>
            <w:tcW w:w="3965" w:type="dxa"/>
          </w:tcPr>
          <w:p w14:paraId="2635252C" w14:textId="77777777" w:rsidR="007B0FCD" w:rsidRPr="00264D5D" w:rsidRDefault="007B0FCD" w:rsidP="007B0FCD">
            <w:pPr>
              <w:pStyle w:val="GOSTTablenorm"/>
            </w:pPr>
            <w:r w:rsidRPr="00264D5D">
              <w:t>Блок подписи в формате XAdes. Указывается как референс согласно формату подписи XAdes.</w:t>
            </w:r>
          </w:p>
          <w:p w14:paraId="5FDFCD18" w14:textId="77777777" w:rsidR="007B0FCD" w:rsidRPr="00264D5D" w:rsidRDefault="007B0FCD" w:rsidP="007B0FCD">
            <w:pPr>
              <w:pStyle w:val="GOSTTablenorm"/>
            </w:pPr>
            <w:r w:rsidRPr="00264D5D">
              <w:t>Заполняется согласно п.3.5.2 Тома 1 настоящего альбома.</w:t>
            </w:r>
          </w:p>
        </w:tc>
      </w:tr>
    </w:tbl>
    <w:p w14:paraId="55BC7740" w14:textId="77777777" w:rsidR="003D7242" w:rsidRPr="00264D5D" w:rsidRDefault="003D7242" w:rsidP="003D7242">
      <w:pPr>
        <w:pStyle w:val="31"/>
        <w:keepNext w:val="0"/>
        <w:keepLines w:val="0"/>
        <w:tabs>
          <w:tab w:val="num" w:pos="284"/>
        </w:tabs>
        <w:suppressAutoHyphens/>
        <w:ind w:left="1418" w:hanging="738"/>
      </w:pPr>
      <w:bookmarkStart w:id="4703" w:name="_Toc122436725"/>
      <w:bookmarkStart w:id="4704" w:name="_Toc139542261"/>
      <w:bookmarkStart w:id="4705" w:name="_Toc167898744"/>
      <w:bookmarkStart w:id="4706" w:name="_Toc219309877"/>
      <w:r w:rsidRPr="00264D5D">
        <w:t>Описание комплексного типа «</w:t>
      </w:r>
      <w:r w:rsidRPr="00264D5D">
        <w:rPr>
          <w:szCs w:val="22"/>
          <w:lang w:val="en-US"/>
        </w:rPr>
        <w:t>tB</w:t>
      </w:r>
      <w:r w:rsidRPr="00264D5D">
        <w:rPr>
          <w:rFonts w:eastAsia="Calibri"/>
          <w:szCs w:val="22"/>
        </w:rPr>
        <w:t>RA_DOC_D_006</w:t>
      </w:r>
      <w:r w:rsidRPr="00264D5D">
        <w:rPr>
          <w:szCs w:val="22"/>
        </w:rPr>
        <w:t>_Tab</w:t>
      </w:r>
      <w:r w:rsidRPr="00264D5D">
        <w:t>»</w:t>
      </w:r>
      <w:bookmarkEnd w:id="4703"/>
      <w:bookmarkEnd w:id="4704"/>
      <w:bookmarkEnd w:id="4705"/>
      <w:bookmarkEnd w:id="4706"/>
    </w:p>
    <w:p w14:paraId="3A37A6EB" w14:textId="77777777" w:rsidR="003D7242" w:rsidRPr="00264D5D" w:rsidRDefault="003D7242" w:rsidP="003D7242">
      <w:pPr>
        <w:pStyle w:val="GOSTNormal"/>
        <w:ind w:firstLine="709"/>
      </w:pPr>
      <w:r w:rsidRPr="00264D5D">
        <w:t>Описание комплексного типа «</w:t>
      </w:r>
      <w:r w:rsidRPr="00264D5D">
        <w:rPr>
          <w:szCs w:val="22"/>
          <w:lang w:val="en-US"/>
        </w:rPr>
        <w:t>tB</w:t>
      </w:r>
      <w:r w:rsidRPr="00264D5D">
        <w:rPr>
          <w:rFonts w:eastAsia="Calibri"/>
          <w:szCs w:val="22"/>
        </w:rPr>
        <w:t>RA_DOC_D_006</w:t>
      </w:r>
      <w:r w:rsidRPr="00264D5D">
        <w:rPr>
          <w:szCs w:val="22"/>
        </w:rPr>
        <w:t>_Tab</w:t>
      </w:r>
      <w:r w:rsidRPr="00264D5D">
        <w:t>» блока «Информация об операциях по единому налоговому платежу».</w:t>
      </w:r>
    </w:p>
    <w:p w14:paraId="040B68F4" w14:textId="34E317FD" w:rsidR="003D7242" w:rsidRPr="00264D5D" w:rsidRDefault="003D7242" w:rsidP="00101F62">
      <w:pPr>
        <w:pStyle w:val="GOSTNameTable"/>
        <w:widowControl w:val="0"/>
        <w:numPr>
          <w:ilvl w:val="0"/>
          <w:numId w:val="151"/>
        </w:numPr>
        <w:tabs>
          <w:tab w:val="clear" w:pos="567"/>
          <w:tab w:val="num" w:pos="710"/>
        </w:tabs>
        <w:suppressAutoHyphens/>
        <w:ind w:left="425" w:hanging="357"/>
        <w:rPr>
          <w:rFonts w:eastAsia="Calibri"/>
        </w:rPr>
      </w:pPr>
      <w:r w:rsidRPr="00264D5D">
        <w:rPr>
          <w:rFonts w:eastAsia="Calibri"/>
        </w:rPr>
        <w:fldChar w:fldCharType="begin"/>
      </w:r>
      <w:r w:rsidRPr="00264D5D">
        <w:rPr>
          <w:rFonts w:eastAsia="Calibri"/>
        </w:rPr>
        <w:instrText xml:space="preserve"> SEQ Таблица \* ARABIC </w:instrText>
      </w:r>
      <w:r w:rsidRPr="00264D5D">
        <w:rPr>
          <w:rFonts w:eastAsia="Calibri"/>
        </w:rPr>
        <w:fldChar w:fldCharType="separate"/>
      </w:r>
      <w:bookmarkStart w:id="4707" w:name="_Ref23861551"/>
      <w:bookmarkStart w:id="4708" w:name="_Toc122436300"/>
      <w:bookmarkStart w:id="4709" w:name="_Toc139542292"/>
      <w:bookmarkStart w:id="4710" w:name="_Toc219309407"/>
      <w:r w:rsidR="008D797C">
        <w:rPr>
          <w:rFonts w:eastAsia="Calibri"/>
          <w:noProof/>
        </w:rPr>
        <w:t>377</w:t>
      </w:r>
      <w:bookmarkEnd w:id="4707"/>
      <w:r w:rsidRPr="00264D5D">
        <w:rPr>
          <w:rFonts w:eastAsia="Calibri"/>
        </w:rPr>
        <w:fldChar w:fldCharType="end"/>
      </w:r>
      <w:r w:rsidRPr="00264D5D">
        <w:rPr>
          <w:rFonts w:eastAsia="Calibri"/>
          <w:szCs w:val="24"/>
        </w:rPr>
        <w:t xml:space="preserve"> –</w:t>
      </w:r>
      <w:r w:rsidRPr="00264D5D">
        <w:rPr>
          <w:rFonts w:eastAsia="Calibri"/>
        </w:rPr>
        <w:t xml:space="preserve"> </w:t>
      </w:r>
      <w:r w:rsidRPr="00264D5D">
        <w:t>Описание</w:t>
      </w:r>
      <w:r w:rsidRPr="00264D5D">
        <w:rPr>
          <w:rFonts w:eastAsia="Calibri"/>
        </w:rPr>
        <w:t xml:space="preserve"> комплексного типа «</w:t>
      </w:r>
      <w:r w:rsidRPr="00264D5D">
        <w:rPr>
          <w:szCs w:val="22"/>
          <w:lang w:val="en-US"/>
        </w:rPr>
        <w:t>tB</w:t>
      </w:r>
      <w:r w:rsidRPr="00264D5D">
        <w:rPr>
          <w:rFonts w:eastAsia="Calibri"/>
          <w:szCs w:val="22"/>
        </w:rPr>
        <w:t>RA_DOC_D_006</w:t>
      </w:r>
      <w:r w:rsidRPr="00264D5D">
        <w:rPr>
          <w:szCs w:val="22"/>
        </w:rPr>
        <w:t>_Tab</w:t>
      </w:r>
      <w:r w:rsidRPr="00264D5D">
        <w:rPr>
          <w:rFonts w:eastAsia="Calibri"/>
        </w:rPr>
        <w:t>»</w:t>
      </w:r>
      <w:bookmarkEnd w:id="4708"/>
      <w:bookmarkEnd w:id="4709"/>
      <w:bookmarkEnd w:id="4710"/>
    </w:p>
    <w:tbl>
      <w:tblPr>
        <w:tblStyle w:val="GOSTTable"/>
        <w:tblW w:w="5000" w:type="pct"/>
        <w:tblLayout w:type="fixed"/>
        <w:tblLook w:val="07E0" w:firstRow="1" w:lastRow="1" w:firstColumn="1" w:lastColumn="1" w:noHBand="1" w:noVBand="1"/>
      </w:tblPr>
      <w:tblGrid>
        <w:gridCol w:w="1704"/>
        <w:gridCol w:w="1704"/>
        <w:gridCol w:w="568"/>
        <w:gridCol w:w="1136"/>
        <w:gridCol w:w="568"/>
        <w:gridCol w:w="3970"/>
      </w:tblGrid>
      <w:tr w:rsidR="003D7242" w:rsidRPr="00264D5D" w14:paraId="05186102" w14:textId="77777777" w:rsidTr="00DC17E0">
        <w:trPr>
          <w:cnfStyle w:val="100000000000" w:firstRow="1" w:lastRow="0" w:firstColumn="0" w:lastColumn="0" w:oddVBand="0" w:evenVBand="0" w:oddHBand="0" w:evenHBand="0" w:firstRowFirstColumn="0" w:firstRowLastColumn="0" w:lastRowFirstColumn="0" w:lastRowLastColumn="0"/>
          <w:tblHeader/>
        </w:trPr>
        <w:tc>
          <w:tcPr>
            <w:tcW w:w="1701" w:type="dxa"/>
          </w:tcPr>
          <w:p w14:paraId="44C61B7A" w14:textId="77777777" w:rsidR="003D7242" w:rsidRPr="00264D5D" w:rsidRDefault="003D7242" w:rsidP="00144ABC">
            <w:pPr>
              <w:spacing w:before="60" w:after="60"/>
              <w:jc w:val="center"/>
              <w:rPr>
                <w:b/>
                <w:bCs/>
                <w:sz w:val="22"/>
                <w:szCs w:val="22"/>
                <w:lang w:val="en-US"/>
              </w:rPr>
            </w:pPr>
            <w:r w:rsidRPr="00264D5D">
              <w:rPr>
                <w:b/>
                <w:bCs/>
                <w:sz w:val="22"/>
                <w:szCs w:val="22"/>
              </w:rPr>
              <w:t>Наименование комплексного типа</w:t>
            </w:r>
          </w:p>
        </w:tc>
        <w:tc>
          <w:tcPr>
            <w:tcW w:w="1701" w:type="dxa"/>
          </w:tcPr>
          <w:p w14:paraId="7F18F20E" w14:textId="77777777" w:rsidR="003D7242" w:rsidRPr="00264D5D" w:rsidRDefault="003D7242" w:rsidP="00144ABC">
            <w:pPr>
              <w:spacing w:before="60" w:after="60"/>
              <w:jc w:val="center"/>
              <w:rPr>
                <w:b/>
                <w:bCs/>
                <w:sz w:val="22"/>
                <w:szCs w:val="22"/>
              </w:rPr>
            </w:pPr>
            <w:r w:rsidRPr="00264D5D">
              <w:rPr>
                <w:b/>
                <w:bCs/>
                <w:sz w:val="22"/>
                <w:szCs w:val="22"/>
              </w:rPr>
              <w:t>Текущий элемент/ атрибут</w:t>
            </w:r>
          </w:p>
        </w:tc>
        <w:tc>
          <w:tcPr>
            <w:tcW w:w="567" w:type="dxa"/>
          </w:tcPr>
          <w:p w14:paraId="7B0B0203" w14:textId="77777777" w:rsidR="003D7242" w:rsidRPr="00264D5D" w:rsidRDefault="003D7242" w:rsidP="00144ABC">
            <w:pPr>
              <w:pStyle w:val="GOSTTableHead"/>
              <w:keepNext w:val="0"/>
              <w:rPr>
                <w:b w:val="0"/>
                <w:szCs w:val="22"/>
              </w:rPr>
            </w:pPr>
            <w:r w:rsidRPr="00264D5D">
              <w:rPr>
                <w:szCs w:val="22"/>
              </w:rPr>
              <w:t>Тип</w:t>
            </w:r>
          </w:p>
        </w:tc>
        <w:tc>
          <w:tcPr>
            <w:tcW w:w="1134" w:type="dxa"/>
          </w:tcPr>
          <w:p w14:paraId="705921E7" w14:textId="77777777" w:rsidR="003D7242" w:rsidRPr="00264D5D" w:rsidRDefault="003D7242" w:rsidP="00144ABC">
            <w:pPr>
              <w:pStyle w:val="GOSTTableHead"/>
              <w:keepNext w:val="0"/>
              <w:rPr>
                <w:b w:val="0"/>
                <w:szCs w:val="22"/>
              </w:rPr>
            </w:pPr>
            <w:r w:rsidRPr="00264D5D">
              <w:rPr>
                <w:szCs w:val="22"/>
              </w:rPr>
              <w:t>Формат элемента</w:t>
            </w:r>
          </w:p>
        </w:tc>
        <w:tc>
          <w:tcPr>
            <w:tcW w:w="567" w:type="dxa"/>
          </w:tcPr>
          <w:p w14:paraId="26767BA7" w14:textId="77777777" w:rsidR="003D7242" w:rsidRPr="00264D5D" w:rsidRDefault="003D7242" w:rsidP="00144ABC">
            <w:pPr>
              <w:pStyle w:val="GOSTTableHead"/>
              <w:keepNext w:val="0"/>
              <w:rPr>
                <w:b w:val="0"/>
                <w:szCs w:val="22"/>
              </w:rPr>
            </w:pPr>
            <w:r w:rsidRPr="00264D5D">
              <w:rPr>
                <w:szCs w:val="22"/>
              </w:rPr>
              <w:t>Обязательность</w:t>
            </w:r>
          </w:p>
        </w:tc>
        <w:tc>
          <w:tcPr>
            <w:tcW w:w="3963" w:type="dxa"/>
          </w:tcPr>
          <w:p w14:paraId="2A727C54" w14:textId="77777777" w:rsidR="003D7242" w:rsidRPr="00264D5D" w:rsidRDefault="003D7242" w:rsidP="00144ABC">
            <w:pPr>
              <w:pStyle w:val="GOSTTableHead"/>
              <w:keepNext w:val="0"/>
              <w:rPr>
                <w:b w:val="0"/>
                <w:szCs w:val="22"/>
              </w:rPr>
            </w:pPr>
            <w:r w:rsidRPr="00264D5D">
              <w:rPr>
                <w:szCs w:val="22"/>
              </w:rPr>
              <w:t>Дополнительная информация</w:t>
            </w:r>
          </w:p>
        </w:tc>
      </w:tr>
      <w:tr w:rsidR="003D7242" w:rsidRPr="00264D5D" w14:paraId="0E7BC8E3" w14:textId="77777777" w:rsidTr="00144ABC">
        <w:trPr>
          <w:trHeight w:val="305"/>
        </w:trPr>
        <w:tc>
          <w:tcPr>
            <w:tcW w:w="1701" w:type="dxa"/>
          </w:tcPr>
          <w:p w14:paraId="134E4FF0" w14:textId="77777777" w:rsidR="003D7242" w:rsidRPr="00264D5D" w:rsidRDefault="003D7242" w:rsidP="00144ABC">
            <w:pPr>
              <w:pStyle w:val="GOSTTableHead"/>
              <w:keepNext w:val="0"/>
              <w:ind w:left="57" w:right="57"/>
              <w:jc w:val="both"/>
              <w:rPr>
                <w:b w:val="0"/>
                <w:bCs w:val="0"/>
                <w:szCs w:val="22"/>
                <w:lang w:val="en-US"/>
              </w:rPr>
            </w:pPr>
            <w:r w:rsidRPr="00264D5D">
              <w:rPr>
                <w:b w:val="0"/>
                <w:szCs w:val="22"/>
                <w:lang w:val="en-US"/>
              </w:rPr>
              <w:t>tB</w:t>
            </w:r>
            <w:r w:rsidRPr="00264D5D">
              <w:rPr>
                <w:rFonts w:eastAsia="Calibri"/>
                <w:b w:val="0"/>
                <w:szCs w:val="22"/>
              </w:rPr>
              <w:t>RA_DOC_D_006</w:t>
            </w:r>
            <w:r w:rsidRPr="00264D5D">
              <w:rPr>
                <w:b w:val="0"/>
                <w:szCs w:val="22"/>
                <w:lang w:val="en-US"/>
              </w:rPr>
              <w:t>_Tab</w:t>
            </w:r>
          </w:p>
        </w:tc>
        <w:tc>
          <w:tcPr>
            <w:tcW w:w="1701" w:type="dxa"/>
          </w:tcPr>
          <w:p w14:paraId="3E5D653B" w14:textId="77777777" w:rsidR="003D7242" w:rsidRPr="00264D5D" w:rsidRDefault="003D7242" w:rsidP="00144ABC">
            <w:pPr>
              <w:pStyle w:val="GOSTTableHead"/>
              <w:keepNext w:val="0"/>
              <w:ind w:left="57" w:right="57"/>
              <w:jc w:val="both"/>
              <w:rPr>
                <w:b w:val="0"/>
                <w:bCs w:val="0"/>
                <w:szCs w:val="22"/>
              </w:rPr>
            </w:pPr>
            <w:r w:rsidRPr="00264D5D">
              <w:rPr>
                <w:b w:val="0"/>
                <w:szCs w:val="22"/>
                <w:lang w:val="en-US"/>
              </w:rPr>
              <w:t>Inf</w:t>
            </w:r>
            <w:r w:rsidRPr="00264D5D">
              <w:rPr>
                <w:b w:val="0"/>
                <w:szCs w:val="22"/>
              </w:rPr>
              <w:t>_Tab</w:t>
            </w:r>
            <w:r w:rsidRPr="00264D5D">
              <w:rPr>
                <w:b w:val="0"/>
                <w:bCs w:val="0"/>
                <w:szCs w:val="22"/>
              </w:rPr>
              <w:t>_ITEM</w:t>
            </w:r>
          </w:p>
        </w:tc>
        <w:tc>
          <w:tcPr>
            <w:tcW w:w="567" w:type="dxa"/>
          </w:tcPr>
          <w:p w14:paraId="2001675F" w14:textId="77777777" w:rsidR="003D7242" w:rsidRPr="00264D5D" w:rsidRDefault="003D7242" w:rsidP="00144ABC">
            <w:pPr>
              <w:pStyle w:val="GOSTTableHead"/>
              <w:keepNext w:val="0"/>
              <w:ind w:left="57" w:right="57"/>
              <w:rPr>
                <w:b w:val="0"/>
                <w:bCs w:val="0"/>
                <w:szCs w:val="22"/>
              </w:rPr>
            </w:pPr>
            <w:r w:rsidRPr="00264D5D">
              <w:rPr>
                <w:b w:val="0"/>
                <w:bCs w:val="0"/>
                <w:szCs w:val="22"/>
              </w:rPr>
              <w:t>С</w:t>
            </w:r>
          </w:p>
        </w:tc>
        <w:tc>
          <w:tcPr>
            <w:tcW w:w="1134" w:type="dxa"/>
          </w:tcPr>
          <w:p w14:paraId="70E7604E" w14:textId="77777777" w:rsidR="003D7242" w:rsidRPr="00264D5D" w:rsidRDefault="003D7242" w:rsidP="00144ABC">
            <w:pPr>
              <w:pStyle w:val="GOSTTableHead"/>
              <w:keepNext w:val="0"/>
              <w:ind w:left="57" w:right="57"/>
              <w:jc w:val="both"/>
              <w:rPr>
                <w:b w:val="0"/>
                <w:bCs w:val="0"/>
                <w:szCs w:val="22"/>
                <w:lang w:val="en-US"/>
              </w:rPr>
            </w:pPr>
            <w:r w:rsidRPr="00264D5D">
              <w:rPr>
                <w:b w:val="0"/>
                <w:szCs w:val="22"/>
                <w:lang w:val="en-US"/>
              </w:rPr>
              <w:t>tB</w:t>
            </w:r>
            <w:r w:rsidRPr="00264D5D">
              <w:rPr>
                <w:rFonts w:eastAsia="Calibri"/>
                <w:b w:val="0"/>
                <w:szCs w:val="22"/>
                <w:lang w:val="en-US"/>
              </w:rPr>
              <w:t>RA_DOC_D_006</w:t>
            </w:r>
            <w:r w:rsidRPr="00264D5D">
              <w:rPr>
                <w:b w:val="0"/>
                <w:szCs w:val="22"/>
                <w:lang w:val="en-US"/>
              </w:rPr>
              <w:t>_Tab_ITEM</w:t>
            </w:r>
          </w:p>
        </w:tc>
        <w:tc>
          <w:tcPr>
            <w:tcW w:w="567" w:type="dxa"/>
          </w:tcPr>
          <w:p w14:paraId="77668466" w14:textId="77777777" w:rsidR="003D7242" w:rsidRPr="00264D5D" w:rsidRDefault="003D7242" w:rsidP="00144ABC">
            <w:pPr>
              <w:pStyle w:val="GOSTTableHead"/>
              <w:keepNext w:val="0"/>
              <w:ind w:left="57" w:right="57"/>
              <w:rPr>
                <w:b w:val="0"/>
                <w:bCs w:val="0"/>
                <w:szCs w:val="22"/>
              </w:rPr>
            </w:pPr>
            <w:r w:rsidRPr="00264D5D">
              <w:rPr>
                <w:b w:val="0"/>
                <w:bCs w:val="0"/>
                <w:szCs w:val="22"/>
              </w:rPr>
              <w:t>ОМ</w:t>
            </w:r>
          </w:p>
        </w:tc>
        <w:tc>
          <w:tcPr>
            <w:tcW w:w="3963" w:type="dxa"/>
          </w:tcPr>
          <w:p w14:paraId="32F224D5" w14:textId="05B3EA55" w:rsidR="003D7242" w:rsidRPr="00264D5D" w:rsidRDefault="003D7242" w:rsidP="00144ABC">
            <w:pPr>
              <w:pStyle w:val="GOSTTableHead"/>
              <w:keepNext w:val="0"/>
              <w:ind w:left="57" w:right="57"/>
              <w:jc w:val="both"/>
              <w:rPr>
                <w:b w:val="0"/>
                <w:bCs w:val="0"/>
                <w:szCs w:val="22"/>
              </w:rPr>
            </w:pPr>
            <w:r w:rsidRPr="00264D5D">
              <w:rPr>
                <w:b w:val="0"/>
                <w:bCs w:val="0"/>
                <w:szCs w:val="22"/>
              </w:rPr>
              <w:t xml:space="preserve">Состав элемента представлен в таблице </w:t>
            </w:r>
            <w:r w:rsidRPr="00264D5D">
              <w:rPr>
                <w:b w:val="0"/>
                <w:bCs w:val="0"/>
                <w:szCs w:val="22"/>
              </w:rPr>
              <w:fldChar w:fldCharType="begin"/>
            </w:r>
            <w:r w:rsidRPr="00264D5D">
              <w:rPr>
                <w:b w:val="0"/>
                <w:bCs w:val="0"/>
                <w:szCs w:val="22"/>
              </w:rPr>
              <w:instrText xml:space="preserve"> REF _Ref23861581 \h  \* MERGEFORMAT </w:instrText>
            </w:r>
            <w:r w:rsidRPr="00264D5D">
              <w:rPr>
                <w:b w:val="0"/>
                <w:bCs w:val="0"/>
                <w:szCs w:val="22"/>
              </w:rPr>
            </w:r>
            <w:r w:rsidRPr="00264D5D">
              <w:rPr>
                <w:b w:val="0"/>
                <w:bCs w:val="0"/>
                <w:szCs w:val="22"/>
              </w:rPr>
              <w:fldChar w:fldCharType="separate"/>
            </w:r>
            <w:r w:rsidR="008D797C" w:rsidRPr="008D797C">
              <w:rPr>
                <w:rFonts w:eastAsia="Calibri"/>
                <w:b w:val="0"/>
                <w:bCs w:val="0"/>
                <w:noProof/>
                <w:szCs w:val="24"/>
              </w:rPr>
              <w:t>378</w:t>
            </w:r>
            <w:r w:rsidRPr="00264D5D">
              <w:rPr>
                <w:b w:val="0"/>
                <w:bCs w:val="0"/>
                <w:szCs w:val="22"/>
              </w:rPr>
              <w:fldChar w:fldCharType="end"/>
            </w:r>
          </w:p>
        </w:tc>
      </w:tr>
    </w:tbl>
    <w:p w14:paraId="3DD66736" w14:textId="77777777" w:rsidR="003D7242" w:rsidRPr="00264D5D" w:rsidRDefault="003D7242" w:rsidP="003D7242">
      <w:pPr>
        <w:pStyle w:val="31"/>
        <w:tabs>
          <w:tab w:val="num" w:pos="284"/>
        </w:tabs>
        <w:suppressAutoHyphens/>
        <w:ind w:left="1418" w:hanging="738"/>
      </w:pPr>
      <w:bookmarkStart w:id="4711" w:name="_Toc24379384"/>
      <w:r w:rsidRPr="00264D5D">
        <w:t xml:space="preserve"> </w:t>
      </w:r>
      <w:bookmarkStart w:id="4712" w:name="_Toc122436726"/>
      <w:bookmarkStart w:id="4713" w:name="_Toc139542262"/>
      <w:bookmarkStart w:id="4714" w:name="_Toc167898745"/>
      <w:bookmarkStart w:id="4715" w:name="_Toc219309878"/>
      <w:r w:rsidRPr="00264D5D">
        <w:t>Описание комплексного типа «</w:t>
      </w:r>
      <w:r w:rsidRPr="00264D5D">
        <w:rPr>
          <w:szCs w:val="22"/>
        </w:rPr>
        <w:t>t</w:t>
      </w:r>
      <w:r w:rsidRPr="00264D5D">
        <w:rPr>
          <w:szCs w:val="22"/>
          <w:lang w:val="en-US"/>
        </w:rPr>
        <w:t>B</w:t>
      </w:r>
      <w:r w:rsidRPr="00264D5D">
        <w:rPr>
          <w:rFonts w:eastAsia="Calibri"/>
          <w:szCs w:val="22"/>
        </w:rPr>
        <w:t>RA_DOC_D_006</w:t>
      </w:r>
      <w:r w:rsidRPr="00264D5D">
        <w:rPr>
          <w:szCs w:val="22"/>
        </w:rPr>
        <w:t>_Tab_ITEM</w:t>
      </w:r>
      <w:r w:rsidRPr="00264D5D">
        <w:t>»</w:t>
      </w:r>
      <w:bookmarkEnd w:id="4711"/>
      <w:bookmarkEnd w:id="4712"/>
      <w:bookmarkEnd w:id="4713"/>
      <w:bookmarkEnd w:id="4714"/>
      <w:bookmarkEnd w:id="4715"/>
    </w:p>
    <w:p w14:paraId="654245AD" w14:textId="77777777" w:rsidR="003D7242" w:rsidRPr="00264D5D" w:rsidRDefault="003D7242" w:rsidP="003D7242">
      <w:pPr>
        <w:pStyle w:val="GOSTNormal"/>
        <w:ind w:firstLine="709"/>
      </w:pPr>
      <w:r w:rsidRPr="00264D5D">
        <w:t>Описание комплексного типа «</w:t>
      </w:r>
      <w:r w:rsidRPr="00264D5D">
        <w:rPr>
          <w:szCs w:val="22"/>
          <w:lang w:val="en-US"/>
        </w:rPr>
        <w:t>tB</w:t>
      </w:r>
      <w:r w:rsidRPr="00264D5D">
        <w:rPr>
          <w:rFonts w:eastAsia="Calibri"/>
          <w:szCs w:val="22"/>
          <w:lang w:val="en-US"/>
        </w:rPr>
        <w:t>RA</w:t>
      </w:r>
      <w:r w:rsidRPr="00264D5D">
        <w:rPr>
          <w:rFonts w:eastAsia="Calibri"/>
          <w:szCs w:val="22"/>
        </w:rPr>
        <w:t>_</w:t>
      </w:r>
      <w:r w:rsidRPr="00264D5D">
        <w:rPr>
          <w:rFonts w:eastAsia="Calibri"/>
          <w:szCs w:val="22"/>
          <w:lang w:val="en-US"/>
        </w:rPr>
        <w:t>DOC</w:t>
      </w:r>
      <w:r w:rsidRPr="00264D5D">
        <w:rPr>
          <w:rFonts w:eastAsia="Calibri"/>
          <w:szCs w:val="22"/>
        </w:rPr>
        <w:t>_</w:t>
      </w:r>
      <w:r w:rsidRPr="00264D5D">
        <w:rPr>
          <w:rFonts w:eastAsia="Calibri"/>
          <w:szCs w:val="22"/>
          <w:lang w:val="en-US"/>
        </w:rPr>
        <w:t>D</w:t>
      </w:r>
      <w:r w:rsidRPr="00264D5D">
        <w:rPr>
          <w:rFonts w:eastAsia="Calibri"/>
          <w:szCs w:val="22"/>
        </w:rPr>
        <w:t>_006</w:t>
      </w:r>
      <w:r w:rsidRPr="00264D5D">
        <w:rPr>
          <w:szCs w:val="22"/>
        </w:rPr>
        <w:t>_</w:t>
      </w:r>
      <w:r w:rsidRPr="00264D5D">
        <w:rPr>
          <w:szCs w:val="22"/>
          <w:lang w:val="en-US"/>
        </w:rPr>
        <w:t>Tab</w:t>
      </w:r>
      <w:r w:rsidRPr="00264D5D">
        <w:rPr>
          <w:szCs w:val="22"/>
        </w:rPr>
        <w:t>_</w:t>
      </w:r>
      <w:r w:rsidRPr="00264D5D">
        <w:rPr>
          <w:szCs w:val="22"/>
          <w:lang w:val="en-US"/>
        </w:rPr>
        <w:t>ITEM</w:t>
      </w:r>
      <w:r w:rsidRPr="00264D5D">
        <w:t>» блока «</w:t>
      </w:r>
      <w:r w:rsidRPr="00264D5D">
        <w:rPr>
          <w:sz w:val="22"/>
          <w:szCs w:val="22"/>
        </w:rPr>
        <w:t>Строки документа</w:t>
      </w:r>
      <w:r w:rsidRPr="00264D5D">
        <w:t>».</w:t>
      </w:r>
    </w:p>
    <w:p w14:paraId="3A77ED7E" w14:textId="46ACA603" w:rsidR="003D7242" w:rsidRPr="00264D5D" w:rsidRDefault="003D7242" w:rsidP="00101F62">
      <w:pPr>
        <w:pStyle w:val="GOSTNameTable"/>
        <w:numPr>
          <w:ilvl w:val="0"/>
          <w:numId w:val="151"/>
        </w:numPr>
        <w:suppressAutoHyphens/>
        <w:spacing w:before="240" w:after="120"/>
        <w:rPr>
          <w:rFonts w:eastAsia="Calibri"/>
        </w:rPr>
      </w:pPr>
      <w:r w:rsidRPr="00264D5D">
        <w:rPr>
          <w:rFonts w:eastAsia="Calibri"/>
        </w:rPr>
        <w:lastRenderedPageBreak/>
        <w:fldChar w:fldCharType="begin"/>
      </w:r>
      <w:r w:rsidRPr="00264D5D">
        <w:rPr>
          <w:rFonts w:eastAsia="Calibri"/>
        </w:rPr>
        <w:instrText xml:space="preserve"> </w:instrText>
      </w:r>
      <w:r w:rsidRPr="00264D5D">
        <w:rPr>
          <w:rFonts w:eastAsia="Calibri"/>
          <w:lang w:val="en-US"/>
        </w:rPr>
        <w:instrText>SEQ</w:instrText>
      </w:r>
      <w:r w:rsidRPr="00264D5D">
        <w:rPr>
          <w:rFonts w:eastAsia="Calibri"/>
        </w:rPr>
        <w:instrText xml:space="preserve"> Таблица \* </w:instrText>
      </w:r>
      <w:r w:rsidRPr="00264D5D">
        <w:rPr>
          <w:rFonts w:eastAsia="Calibri"/>
          <w:lang w:val="en-US"/>
        </w:rPr>
        <w:instrText>ARABIC</w:instrText>
      </w:r>
      <w:r w:rsidRPr="00264D5D">
        <w:rPr>
          <w:rFonts w:eastAsia="Calibri"/>
        </w:rPr>
        <w:instrText xml:space="preserve"> </w:instrText>
      </w:r>
      <w:r w:rsidRPr="00264D5D">
        <w:rPr>
          <w:rFonts w:eastAsia="Calibri"/>
        </w:rPr>
        <w:fldChar w:fldCharType="separate"/>
      </w:r>
      <w:bookmarkStart w:id="4716" w:name="_Ref23861581"/>
      <w:bookmarkStart w:id="4717" w:name="_Toc122436301"/>
      <w:bookmarkStart w:id="4718" w:name="_Toc139542293"/>
      <w:bookmarkStart w:id="4719" w:name="_Toc219309408"/>
      <w:r w:rsidR="008D797C">
        <w:rPr>
          <w:rFonts w:eastAsia="Calibri"/>
          <w:noProof/>
          <w:lang w:val="en-US"/>
        </w:rPr>
        <w:t>378</w:t>
      </w:r>
      <w:bookmarkEnd w:id="4716"/>
      <w:r w:rsidRPr="00264D5D">
        <w:rPr>
          <w:rFonts w:eastAsia="Calibri"/>
        </w:rPr>
        <w:fldChar w:fldCharType="end"/>
      </w:r>
      <w:r w:rsidRPr="00264D5D">
        <w:rPr>
          <w:rFonts w:eastAsia="Calibri"/>
        </w:rPr>
        <w:t xml:space="preserve"> – </w:t>
      </w:r>
      <w:r w:rsidRPr="00264D5D">
        <w:t>Описание</w:t>
      </w:r>
      <w:r w:rsidRPr="00264D5D">
        <w:rPr>
          <w:rFonts w:eastAsia="Calibri"/>
        </w:rPr>
        <w:t xml:space="preserve"> комплексного типа «</w:t>
      </w:r>
      <w:bookmarkEnd w:id="4717"/>
      <w:r w:rsidRPr="00264D5D">
        <w:rPr>
          <w:szCs w:val="22"/>
          <w:lang w:val="en-US"/>
        </w:rPr>
        <w:t>tB</w:t>
      </w:r>
      <w:r w:rsidRPr="00264D5D">
        <w:rPr>
          <w:rFonts w:eastAsia="Calibri"/>
          <w:szCs w:val="22"/>
        </w:rPr>
        <w:t>RA_DOC_D_006</w:t>
      </w:r>
      <w:r w:rsidRPr="00264D5D">
        <w:rPr>
          <w:szCs w:val="22"/>
        </w:rPr>
        <w:t>_</w:t>
      </w:r>
      <w:r w:rsidRPr="00264D5D">
        <w:rPr>
          <w:szCs w:val="22"/>
          <w:lang w:val="en-US"/>
        </w:rPr>
        <w:t>Tab</w:t>
      </w:r>
      <w:r w:rsidRPr="00264D5D">
        <w:rPr>
          <w:szCs w:val="22"/>
        </w:rPr>
        <w:t>_</w:t>
      </w:r>
      <w:r w:rsidRPr="00264D5D">
        <w:rPr>
          <w:szCs w:val="22"/>
          <w:lang w:val="en-US"/>
        </w:rPr>
        <w:t>ITEM</w:t>
      </w:r>
      <w:bookmarkEnd w:id="4718"/>
      <w:bookmarkEnd w:id="4719"/>
    </w:p>
    <w:tbl>
      <w:tblPr>
        <w:tblStyle w:val="GOSTTable"/>
        <w:tblW w:w="5002" w:type="pct"/>
        <w:tblLayout w:type="fixed"/>
        <w:tblLook w:val="07E0" w:firstRow="1" w:lastRow="1" w:firstColumn="1" w:lastColumn="1" w:noHBand="1" w:noVBand="1"/>
      </w:tblPr>
      <w:tblGrid>
        <w:gridCol w:w="1707"/>
        <w:gridCol w:w="1703"/>
        <w:gridCol w:w="570"/>
        <w:gridCol w:w="1136"/>
        <w:gridCol w:w="570"/>
        <w:gridCol w:w="3968"/>
      </w:tblGrid>
      <w:tr w:rsidR="003D7242" w:rsidRPr="00264D5D" w14:paraId="7F77CF68" w14:textId="77777777" w:rsidTr="00B72814">
        <w:trPr>
          <w:cnfStyle w:val="100000000000" w:firstRow="1" w:lastRow="0" w:firstColumn="0" w:lastColumn="0" w:oddVBand="0" w:evenVBand="0" w:oddHBand="0" w:evenHBand="0" w:firstRowFirstColumn="0" w:firstRowLastColumn="0" w:lastRowFirstColumn="0" w:lastRowLastColumn="0"/>
          <w:tblHeader/>
        </w:trPr>
        <w:tc>
          <w:tcPr>
            <w:tcW w:w="1707" w:type="dxa"/>
          </w:tcPr>
          <w:p w14:paraId="25DEC6FA" w14:textId="77777777" w:rsidR="003D7242" w:rsidRPr="00264D5D" w:rsidRDefault="003D7242" w:rsidP="00144ABC">
            <w:pPr>
              <w:pStyle w:val="GOSTTableHead"/>
              <w:keepNext w:val="0"/>
              <w:rPr>
                <w:b w:val="0"/>
                <w:szCs w:val="22"/>
              </w:rPr>
            </w:pPr>
            <w:r w:rsidRPr="00264D5D">
              <w:rPr>
                <w:szCs w:val="22"/>
              </w:rPr>
              <w:t>Наименование элемента</w:t>
            </w:r>
          </w:p>
        </w:tc>
        <w:tc>
          <w:tcPr>
            <w:tcW w:w="1703" w:type="dxa"/>
          </w:tcPr>
          <w:p w14:paraId="6E84343E" w14:textId="77777777" w:rsidR="003D7242" w:rsidRPr="00264D5D" w:rsidRDefault="003D7242" w:rsidP="00144ABC">
            <w:pPr>
              <w:pStyle w:val="GOSTTableHead"/>
              <w:keepNext w:val="0"/>
              <w:rPr>
                <w:b w:val="0"/>
                <w:szCs w:val="22"/>
              </w:rPr>
            </w:pPr>
            <w:r w:rsidRPr="00264D5D">
              <w:rPr>
                <w:szCs w:val="22"/>
              </w:rPr>
              <w:t>Сокращенное наименование (код) элемента</w:t>
            </w:r>
          </w:p>
        </w:tc>
        <w:tc>
          <w:tcPr>
            <w:tcW w:w="570" w:type="dxa"/>
          </w:tcPr>
          <w:p w14:paraId="60D51D0A" w14:textId="77777777" w:rsidR="003D7242" w:rsidRPr="00264D5D" w:rsidRDefault="003D7242" w:rsidP="00144ABC">
            <w:pPr>
              <w:pStyle w:val="GOSTTableHead"/>
              <w:keepNext w:val="0"/>
              <w:rPr>
                <w:b w:val="0"/>
                <w:szCs w:val="22"/>
              </w:rPr>
            </w:pPr>
            <w:r w:rsidRPr="00264D5D">
              <w:rPr>
                <w:szCs w:val="22"/>
              </w:rPr>
              <w:t>Тип</w:t>
            </w:r>
          </w:p>
        </w:tc>
        <w:tc>
          <w:tcPr>
            <w:tcW w:w="1136" w:type="dxa"/>
          </w:tcPr>
          <w:p w14:paraId="6AC805D6" w14:textId="77777777" w:rsidR="003D7242" w:rsidRPr="00264D5D" w:rsidRDefault="003D7242" w:rsidP="00144ABC">
            <w:pPr>
              <w:pStyle w:val="GOSTTableHead"/>
              <w:keepNext w:val="0"/>
              <w:rPr>
                <w:b w:val="0"/>
                <w:szCs w:val="22"/>
              </w:rPr>
            </w:pPr>
            <w:r w:rsidRPr="00264D5D">
              <w:rPr>
                <w:szCs w:val="22"/>
              </w:rPr>
              <w:t>Формат элемента</w:t>
            </w:r>
          </w:p>
        </w:tc>
        <w:tc>
          <w:tcPr>
            <w:tcW w:w="570" w:type="dxa"/>
          </w:tcPr>
          <w:p w14:paraId="1694D097" w14:textId="77777777" w:rsidR="003D7242" w:rsidRPr="00264D5D" w:rsidRDefault="003D7242" w:rsidP="00144ABC">
            <w:pPr>
              <w:pStyle w:val="GOSTTableHead"/>
              <w:keepNext w:val="0"/>
              <w:rPr>
                <w:b w:val="0"/>
                <w:szCs w:val="22"/>
              </w:rPr>
            </w:pPr>
            <w:r w:rsidRPr="00264D5D">
              <w:rPr>
                <w:szCs w:val="22"/>
              </w:rPr>
              <w:t>Обязательность</w:t>
            </w:r>
          </w:p>
        </w:tc>
        <w:tc>
          <w:tcPr>
            <w:tcW w:w="3968" w:type="dxa"/>
          </w:tcPr>
          <w:p w14:paraId="6612EF6B" w14:textId="77777777" w:rsidR="003D7242" w:rsidRPr="00264D5D" w:rsidRDefault="003D7242" w:rsidP="00144ABC">
            <w:pPr>
              <w:pStyle w:val="GOSTTableHead"/>
              <w:keepNext w:val="0"/>
              <w:rPr>
                <w:b w:val="0"/>
                <w:szCs w:val="22"/>
              </w:rPr>
            </w:pPr>
            <w:r w:rsidRPr="00264D5D">
              <w:rPr>
                <w:szCs w:val="22"/>
              </w:rPr>
              <w:t>Дополнительная информация</w:t>
            </w:r>
          </w:p>
        </w:tc>
      </w:tr>
      <w:tr w:rsidR="00B72814" w:rsidRPr="00264D5D" w14:paraId="1B3C32DE" w14:textId="77777777" w:rsidTr="00B72814">
        <w:tc>
          <w:tcPr>
            <w:tcW w:w="1707" w:type="dxa"/>
          </w:tcPr>
          <w:p w14:paraId="325CCC6E" w14:textId="77777777" w:rsidR="00B72814" w:rsidRPr="00264D5D" w:rsidRDefault="00B72814" w:rsidP="00B72814">
            <w:pPr>
              <w:pStyle w:val="GOSTTablenorm"/>
            </w:pPr>
            <w:r w:rsidRPr="00264D5D">
              <w:t>Номер записи</w:t>
            </w:r>
          </w:p>
        </w:tc>
        <w:tc>
          <w:tcPr>
            <w:tcW w:w="1703" w:type="dxa"/>
          </w:tcPr>
          <w:p w14:paraId="2D1B7759" w14:textId="77777777" w:rsidR="00B72814" w:rsidRPr="00264D5D" w:rsidRDefault="00B72814" w:rsidP="00B72814">
            <w:pPr>
              <w:pStyle w:val="GOSTTablenorm"/>
              <w:rPr>
                <w:szCs w:val="22"/>
              </w:rPr>
            </w:pPr>
            <w:r w:rsidRPr="00264D5D">
              <w:rPr>
                <w:szCs w:val="22"/>
              </w:rPr>
              <w:t>Line_Nom</w:t>
            </w:r>
          </w:p>
        </w:tc>
        <w:tc>
          <w:tcPr>
            <w:tcW w:w="570" w:type="dxa"/>
          </w:tcPr>
          <w:p w14:paraId="11BE4D94" w14:textId="77777777" w:rsidR="00B72814" w:rsidRPr="00264D5D" w:rsidRDefault="00B72814" w:rsidP="00B72814">
            <w:pPr>
              <w:pStyle w:val="GOSTTablenorm"/>
              <w:jc w:val="center"/>
              <w:rPr>
                <w:szCs w:val="22"/>
              </w:rPr>
            </w:pPr>
            <w:r w:rsidRPr="00264D5D">
              <w:rPr>
                <w:szCs w:val="22"/>
              </w:rPr>
              <w:t>П</w:t>
            </w:r>
          </w:p>
        </w:tc>
        <w:tc>
          <w:tcPr>
            <w:tcW w:w="1136" w:type="dxa"/>
          </w:tcPr>
          <w:p w14:paraId="4CB2DBBD" w14:textId="77777777" w:rsidR="00B72814" w:rsidRPr="00264D5D" w:rsidRDefault="00B72814" w:rsidP="00B72814">
            <w:pPr>
              <w:pStyle w:val="GOSTTablenorm"/>
              <w:rPr>
                <w:szCs w:val="22"/>
              </w:rPr>
            </w:pPr>
            <w:r w:rsidRPr="00264D5D">
              <w:rPr>
                <w:szCs w:val="22"/>
              </w:rPr>
              <w:t>Т(1-6)</w:t>
            </w:r>
          </w:p>
        </w:tc>
        <w:tc>
          <w:tcPr>
            <w:tcW w:w="570" w:type="dxa"/>
          </w:tcPr>
          <w:p w14:paraId="04A4CB9D" w14:textId="77777777" w:rsidR="00B72814" w:rsidRPr="00264D5D" w:rsidRDefault="00B72814" w:rsidP="00B72814">
            <w:pPr>
              <w:pStyle w:val="GOSTTablenorm"/>
              <w:jc w:val="center"/>
              <w:rPr>
                <w:szCs w:val="22"/>
              </w:rPr>
            </w:pPr>
            <w:r w:rsidRPr="00264D5D">
              <w:rPr>
                <w:szCs w:val="22"/>
              </w:rPr>
              <w:t>О</w:t>
            </w:r>
          </w:p>
        </w:tc>
        <w:tc>
          <w:tcPr>
            <w:tcW w:w="3968" w:type="dxa"/>
          </w:tcPr>
          <w:p w14:paraId="4123F35E" w14:textId="77777777" w:rsidR="00B72814" w:rsidRPr="00264D5D" w:rsidRDefault="00B72814" w:rsidP="00B72814">
            <w:pPr>
              <w:pStyle w:val="GOSTTablenorm"/>
              <w:rPr>
                <w:szCs w:val="22"/>
              </w:rPr>
            </w:pPr>
            <w:r w:rsidRPr="00264D5D">
              <w:t>Указывается порядковый номер записи. Сквозная нумерация для всех КБК</w:t>
            </w:r>
          </w:p>
        </w:tc>
      </w:tr>
      <w:tr w:rsidR="00B72814" w:rsidRPr="00264D5D" w14:paraId="35213B48" w14:textId="77777777" w:rsidTr="00B72814">
        <w:tc>
          <w:tcPr>
            <w:tcW w:w="1707" w:type="dxa"/>
          </w:tcPr>
          <w:p w14:paraId="6F7840B1" w14:textId="77777777" w:rsidR="00B72814" w:rsidRPr="00264D5D" w:rsidRDefault="00B72814" w:rsidP="00B72814">
            <w:pPr>
              <w:pStyle w:val="GOSTTablenorm"/>
              <w:rPr>
                <w:szCs w:val="22"/>
              </w:rPr>
            </w:pPr>
            <w:r w:rsidRPr="00264D5D">
              <w:t>КБК (уточненный)</w:t>
            </w:r>
          </w:p>
        </w:tc>
        <w:tc>
          <w:tcPr>
            <w:tcW w:w="1703" w:type="dxa"/>
          </w:tcPr>
          <w:p w14:paraId="7356C287" w14:textId="77777777" w:rsidR="00B72814" w:rsidRPr="00264D5D" w:rsidRDefault="00B72814" w:rsidP="00B72814">
            <w:pPr>
              <w:pStyle w:val="GOSTTablenorm"/>
              <w:rPr>
                <w:szCs w:val="22"/>
              </w:rPr>
            </w:pPr>
            <w:r w:rsidRPr="00264D5D">
              <w:rPr>
                <w:szCs w:val="22"/>
              </w:rPr>
              <w:t>KBK</w:t>
            </w:r>
          </w:p>
        </w:tc>
        <w:tc>
          <w:tcPr>
            <w:tcW w:w="570" w:type="dxa"/>
          </w:tcPr>
          <w:p w14:paraId="6271BB8A" w14:textId="77777777" w:rsidR="00B72814" w:rsidRPr="00264D5D" w:rsidRDefault="00B72814" w:rsidP="00B72814">
            <w:pPr>
              <w:pStyle w:val="GOSTTablenorm"/>
              <w:jc w:val="center"/>
              <w:rPr>
                <w:szCs w:val="22"/>
              </w:rPr>
            </w:pPr>
            <w:r w:rsidRPr="00264D5D">
              <w:rPr>
                <w:szCs w:val="22"/>
              </w:rPr>
              <w:t>П</w:t>
            </w:r>
          </w:p>
        </w:tc>
        <w:tc>
          <w:tcPr>
            <w:tcW w:w="1136" w:type="dxa"/>
          </w:tcPr>
          <w:p w14:paraId="403478C5" w14:textId="77777777" w:rsidR="00B72814" w:rsidRPr="00264D5D" w:rsidRDefault="00B72814" w:rsidP="00B72814">
            <w:pPr>
              <w:pStyle w:val="GOSTTablenorm"/>
              <w:rPr>
                <w:szCs w:val="22"/>
              </w:rPr>
            </w:pPr>
            <w:r w:rsidRPr="00264D5D">
              <w:rPr>
                <w:szCs w:val="22"/>
              </w:rPr>
              <w:t>Т(20)</w:t>
            </w:r>
          </w:p>
        </w:tc>
        <w:tc>
          <w:tcPr>
            <w:tcW w:w="570" w:type="dxa"/>
          </w:tcPr>
          <w:p w14:paraId="3809FD07" w14:textId="77777777" w:rsidR="00B72814" w:rsidRPr="00264D5D" w:rsidRDefault="00B72814" w:rsidP="00B72814">
            <w:pPr>
              <w:pStyle w:val="GOSTTablenorm"/>
              <w:jc w:val="center"/>
              <w:rPr>
                <w:szCs w:val="22"/>
              </w:rPr>
            </w:pPr>
            <w:r w:rsidRPr="00264D5D">
              <w:rPr>
                <w:szCs w:val="22"/>
              </w:rPr>
              <w:t>О</w:t>
            </w:r>
          </w:p>
        </w:tc>
        <w:tc>
          <w:tcPr>
            <w:tcW w:w="3968" w:type="dxa"/>
          </w:tcPr>
          <w:p w14:paraId="723CB8C0" w14:textId="77777777" w:rsidR="00B72814" w:rsidRPr="00264D5D" w:rsidRDefault="00B72814" w:rsidP="00B72814">
            <w:pPr>
              <w:pStyle w:val="GOSTTablenorm"/>
            </w:pPr>
            <w:r w:rsidRPr="00264D5D">
              <w:t>Указывается КБК по учету налоговых поступлений в соответствии с действующими Указаниями по БК.</w:t>
            </w:r>
          </w:p>
          <w:p w14:paraId="1E889B55" w14:textId="77777777" w:rsidR="00B72814" w:rsidRPr="00264D5D" w:rsidRDefault="00B72814" w:rsidP="00B72814">
            <w:pPr>
              <w:pStyle w:val="GOSTTablenorm"/>
            </w:pPr>
            <w:r w:rsidRPr="00264D5D">
              <w:t>Если направление платежа равно «02», то указывается КБК, с которого осуществляется списание.</w:t>
            </w:r>
          </w:p>
          <w:p w14:paraId="79BBCFD6" w14:textId="77777777" w:rsidR="00B72814" w:rsidRPr="00264D5D" w:rsidRDefault="00B72814" w:rsidP="00B72814">
            <w:pPr>
              <w:pStyle w:val="GOSTTablenorm"/>
            </w:pPr>
            <w:r w:rsidRPr="00264D5D">
              <w:t>Если направление платежа = «03», то указывается КБК, на который осуществляется зачисление</w:t>
            </w:r>
          </w:p>
        </w:tc>
      </w:tr>
      <w:tr w:rsidR="00B72814" w:rsidRPr="00264D5D" w14:paraId="7F94DE8B" w14:textId="77777777" w:rsidTr="00B72814">
        <w:tc>
          <w:tcPr>
            <w:tcW w:w="1707" w:type="dxa"/>
          </w:tcPr>
          <w:p w14:paraId="56EBFA6B" w14:textId="77777777" w:rsidR="00B72814" w:rsidRPr="00264D5D" w:rsidRDefault="00B72814" w:rsidP="00B72814">
            <w:pPr>
              <w:pStyle w:val="GOSTTablenorm"/>
            </w:pPr>
            <w:r w:rsidRPr="00264D5D">
              <w:rPr>
                <w:szCs w:val="22"/>
              </w:rPr>
              <w:t>ОКТМО</w:t>
            </w:r>
          </w:p>
        </w:tc>
        <w:tc>
          <w:tcPr>
            <w:tcW w:w="1703" w:type="dxa"/>
          </w:tcPr>
          <w:p w14:paraId="35F2BCBA" w14:textId="77777777" w:rsidR="00B72814" w:rsidRPr="00264D5D" w:rsidRDefault="00B72814" w:rsidP="00B72814">
            <w:pPr>
              <w:pStyle w:val="GOSTTablenorm"/>
              <w:rPr>
                <w:szCs w:val="22"/>
              </w:rPr>
            </w:pPr>
            <w:r w:rsidRPr="00264D5D">
              <w:rPr>
                <w:szCs w:val="22"/>
              </w:rPr>
              <w:t>OKTMO</w:t>
            </w:r>
          </w:p>
        </w:tc>
        <w:tc>
          <w:tcPr>
            <w:tcW w:w="570" w:type="dxa"/>
          </w:tcPr>
          <w:p w14:paraId="3C3F0DF4" w14:textId="77777777" w:rsidR="00B72814" w:rsidRPr="00264D5D" w:rsidRDefault="00B72814" w:rsidP="00B72814">
            <w:pPr>
              <w:pStyle w:val="GOSTTablenorm"/>
              <w:jc w:val="center"/>
              <w:rPr>
                <w:szCs w:val="22"/>
              </w:rPr>
            </w:pPr>
            <w:r w:rsidRPr="00264D5D">
              <w:rPr>
                <w:szCs w:val="22"/>
              </w:rPr>
              <w:t>П</w:t>
            </w:r>
          </w:p>
        </w:tc>
        <w:tc>
          <w:tcPr>
            <w:tcW w:w="1136" w:type="dxa"/>
          </w:tcPr>
          <w:p w14:paraId="5A071012" w14:textId="77777777" w:rsidR="00B72814" w:rsidRPr="00264D5D" w:rsidRDefault="00B72814" w:rsidP="00B72814">
            <w:pPr>
              <w:pStyle w:val="GOSTTablenorm"/>
              <w:rPr>
                <w:szCs w:val="22"/>
              </w:rPr>
            </w:pPr>
            <w:r w:rsidRPr="00264D5D">
              <w:rPr>
                <w:szCs w:val="22"/>
                <w:lang w:val="en-US"/>
              </w:rPr>
              <w:t>T</w:t>
            </w:r>
            <w:r w:rsidRPr="00264D5D">
              <w:rPr>
                <w:szCs w:val="22"/>
              </w:rPr>
              <w:t>(8)</w:t>
            </w:r>
          </w:p>
        </w:tc>
        <w:tc>
          <w:tcPr>
            <w:tcW w:w="570" w:type="dxa"/>
          </w:tcPr>
          <w:p w14:paraId="5C0078D9" w14:textId="77777777" w:rsidR="00B72814" w:rsidRPr="00264D5D" w:rsidRDefault="00B72814" w:rsidP="00B72814">
            <w:pPr>
              <w:pStyle w:val="GOSTTablenorm"/>
              <w:jc w:val="center"/>
              <w:rPr>
                <w:szCs w:val="22"/>
              </w:rPr>
            </w:pPr>
            <w:r w:rsidRPr="00264D5D">
              <w:rPr>
                <w:szCs w:val="22"/>
              </w:rPr>
              <w:t>О</w:t>
            </w:r>
          </w:p>
        </w:tc>
        <w:tc>
          <w:tcPr>
            <w:tcW w:w="3968" w:type="dxa"/>
          </w:tcPr>
          <w:p w14:paraId="192915C5" w14:textId="77777777" w:rsidR="00B72814" w:rsidRPr="00264D5D" w:rsidRDefault="00B72814" w:rsidP="00B72814">
            <w:pPr>
              <w:pStyle w:val="GOSTTablenorm"/>
            </w:pPr>
            <w:r w:rsidRPr="00264D5D">
              <w:t>Указывается код по ОКТМО по которому осуществляется учет налогового платежа.</w:t>
            </w:r>
          </w:p>
          <w:p w14:paraId="5834E07C" w14:textId="77777777" w:rsidR="00B72814" w:rsidRPr="00264D5D" w:rsidRDefault="00B72814" w:rsidP="00B72814">
            <w:pPr>
              <w:pStyle w:val="GOSTTablenorm"/>
            </w:pPr>
            <w:r w:rsidRPr="00264D5D">
              <w:t>Первые два символа кода должны быть одинаковые для всех строк, т.е. для каждого региона формируется отдельный файл</w:t>
            </w:r>
          </w:p>
        </w:tc>
      </w:tr>
      <w:tr w:rsidR="00B72814" w:rsidRPr="00264D5D" w14:paraId="07F60CC2" w14:textId="77777777" w:rsidTr="00B72814">
        <w:tc>
          <w:tcPr>
            <w:tcW w:w="1707" w:type="dxa"/>
          </w:tcPr>
          <w:p w14:paraId="0D2A711C" w14:textId="77777777" w:rsidR="00B72814" w:rsidRPr="00264D5D" w:rsidRDefault="00B72814" w:rsidP="00B72814">
            <w:pPr>
              <w:pStyle w:val="GOSTTablenorm"/>
            </w:pPr>
            <w:r w:rsidRPr="00264D5D">
              <w:t>Сумма по строке</w:t>
            </w:r>
          </w:p>
        </w:tc>
        <w:tc>
          <w:tcPr>
            <w:tcW w:w="1703" w:type="dxa"/>
          </w:tcPr>
          <w:p w14:paraId="30420754" w14:textId="77777777" w:rsidR="00B72814" w:rsidRPr="00264D5D" w:rsidRDefault="00B72814" w:rsidP="00B72814">
            <w:pPr>
              <w:pStyle w:val="GOSTTablenorm"/>
              <w:rPr>
                <w:szCs w:val="22"/>
              </w:rPr>
            </w:pPr>
            <w:r w:rsidRPr="00264D5D">
              <w:rPr>
                <w:szCs w:val="22"/>
              </w:rPr>
              <w:t>Sum</w:t>
            </w:r>
          </w:p>
        </w:tc>
        <w:tc>
          <w:tcPr>
            <w:tcW w:w="570" w:type="dxa"/>
          </w:tcPr>
          <w:p w14:paraId="701FF848" w14:textId="77777777" w:rsidR="00B72814" w:rsidRPr="00264D5D" w:rsidRDefault="00B72814" w:rsidP="00B72814">
            <w:pPr>
              <w:pStyle w:val="GOSTTablenorm"/>
              <w:jc w:val="center"/>
              <w:rPr>
                <w:szCs w:val="22"/>
              </w:rPr>
            </w:pPr>
            <w:r w:rsidRPr="00264D5D">
              <w:rPr>
                <w:szCs w:val="22"/>
              </w:rPr>
              <w:t>П</w:t>
            </w:r>
          </w:p>
        </w:tc>
        <w:tc>
          <w:tcPr>
            <w:tcW w:w="1136" w:type="dxa"/>
          </w:tcPr>
          <w:p w14:paraId="1584C909" w14:textId="77777777" w:rsidR="00B72814" w:rsidRPr="00264D5D" w:rsidRDefault="00B72814" w:rsidP="00B72814">
            <w:pPr>
              <w:pStyle w:val="GOSTTablenorm"/>
              <w:rPr>
                <w:szCs w:val="22"/>
                <w:lang w:val="en-US"/>
              </w:rPr>
            </w:pPr>
            <w:r w:rsidRPr="00264D5D">
              <w:rPr>
                <w:szCs w:val="22"/>
                <w:lang w:val="en-US"/>
              </w:rPr>
              <w:t>N(20</w:t>
            </w:r>
            <w:r w:rsidRPr="00264D5D">
              <w:rPr>
                <w:szCs w:val="22"/>
              </w:rPr>
              <w:t>.2</w:t>
            </w:r>
            <w:r w:rsidRPr="00264D5D">
              <w:rPr>
                <w:szCs w:val="22"/>
                <w:lang w:val="en-US"/>
              </w:rPr>
              <w:t>)</w:t>
            </w:r>
          </w:p>
        </w:tc>
        <w:tc>
          <w:tcPr>
            <w:tcW w:w="570" w:type="dxa"/>
          </w:tcPr>
          <w:p w14:paraId="222120E2" w14:textId="77777777" w:rsidR="00B72814" w:rsidRPr="00264D5D" w:rsidRDefault="00B72814" w:rsidP="00B72814">
            <w:pPr>
              <w:pStyle w:val="GOSTTablenorm"/>
              <w:jc w:val="center"/>
              <w:rPr>
                <w:szCs w:val="22"/>
              </w:rPr>
            </w:pPr>
            <w:r w:rsidRPr="00264D5D">
              <w:rPr>
                <w:szCs w:val="22"/>
              </w:rPr>
              <w:t>О</w:t>
            </w:r>
          </w:p>
        </w:tc>
        <w:tc>
          <w:tcPr>
            <w:tcW w:w="3968" w:type="dxa"/>
          </w:tcPr>
          <w:p w14:paraId="6BF743EF" w14:textId="77777777" w:rsidR="00B72814" w:rsidRPr="00264D5D" w:rsidRDefault="00B72814" w:rsidP="00B72814">
            <w:pPr>
              <w:pStyle w:val="GOSTTablenorm"/>
              <w:rPr>
                <w:szCs w:val="22"/>
              </w:rPr>
            </w:pPr>
            <w:r w:rsidRPr="00264D5D">
              <w:rPr>
                <w:szCs w:val="22"/>
              </w:rPr>
              <w:t xml:space="preserve">Указывается сумма </w:t>
            </w:r>
            <w:r w:rsidRPr="00264D5D">
              <w:t>операции по единому налоговому платежу</w:t>
            </w:r>
          </w:p>
        </w:tc>
      </w:tr>
    </w:tbl>
    <w:p w14:paraId="0554155E" w14:textId="77777777" w:rsidR="003D7242" w:rsidRPr="00264D5D" w:rsidRDefault="003D7242" w:rsidP="003D7242">
      <w:pPr>
        <w:pStyle w:val="31"/>
        <w:keepNext w:val="0"/>
        <w:keepLines w:val="0"/>
        <w:tabs>
          <w:tab w:val="num" w:pos="284"/>
        </w:tabs>
        <w:suppressAutoHyphens/>
        <w:ind w:left="1418" w:hanging="738"/>
      </w:pPr>
      <w:bookmarkStart w:id="4720" w:name="_Toc122436675"/>
      <w:bookmarkStart w:id="4721" w:name="_Toc139542263"/>
      <w:bookmarkStart w:id="4722" w:name="_Toc167898746"/>
      <w:bookmarkStart w:id="4723" w:name="_Toc219309879"/>
      <w:r w:rsidRPr="00264D5D">
        <w:t>Описание комплексного типа «tSGNNmDt</w:t>
      </w:r>
      <w:r w:rsidR="00216C30" w:rsidRPr="00264D5D">
        <w:t>1</w:t>
      </w:r>
      <w:r w:rsidRPr="00264D5D">
        <w:t>»</w:t>
      </w:r>
      <w:bookmarkEnd w:id="4720"/>
      <w:bookmarkEnd w:id="4721"/>
      <w:bookmarkEnd w:id="4722"/>
      <w:bookmarkEnd w:id="4723"/>
    </w:p>
    <w:p w14:paraId="05C4750B" w14:textId="77777777" w:rsidR="003D7242" w:rsidRPr="00264D5D" w:rsidRDefault="003D7242" w:rsidP="003D7242">
      <w:pPr>
        <w:pStyle w:val="GOSTNormal"/>
        <w:ind w:firstLine="709"/>
      </w:pPr>
      <w:r w:rsidRPr="00264D5D">
        <w:t>Описание комплексного типа «tSGNNmDt</w:t>
      </w:r>
      <w:r w:rsidR="00216C30" w:rsidRPr="00264D5D">
        <w:t>1</w:t>
      </w:r>
      <w:r w:rsidRPr="00264D5D">
        <w:t>» блока «Подписи».</w:t>
      </w:r>
    </w:p>
    <w:p w14:paraId="5CCADBD2" w14:textId="1A4AD78F" w:rsidR="003D7242" w:rsidRPr="00264D5D" w:rsidRDefault="003D7242" w:rsidP="00101F62">
      <w:pPr>
        <w:pStyle w:val="GOSTNameTable"/>
        <w:widowControl w:val="0"/>
        <w:numPr>
          <w:ilvl w:val="0"/>
          <w:numId w:val="151"/>
        </w:numPr>
        <w:tabs>
          <w:tab w:val="clear" w:pos="567"/>
          <w:tab w:val="num" w:pos="710"/>
        </w:tabs>
        <w:suppressAutoHyphens/>
        <w:ind w:left="425" w:hanging="357"/>
      </w:pPr>
      <w:r w:rsidRPr="00264D5D">
        <w:fldChar w:fldCharType="begin"/>
      </w:r>
      <w:r w:rsidRPr="00264D5D">
        <w:instrText>SEQ Таблица \* ARABIC</w:instrText>
      </w:r>
      <w:r w:rsidRPr="00264D5D">
        <w:fldChar w:fldCharType="separate"/>
      </w:r>
      <w:bookmarkStart w:id="4724" w:name="_Ref528664302"/>
      <w:bookmarkStart w:id="4725" w:name="_Toc18509607"/>
      <w:bookmarkStart w:id="4726" w:name="_Toc122436258"/>
      <w:bookmarkStart w:id="4727" w:name="_Toc139542294"/>
      <w:bookmarkStart w:id="4728" w:name="_Toc219309409"/>
      <w:r w:rsidR="008D797C">
        <w:rPr>
          <w:noProof/>
        </w:rPr>
        <w:t>379</w:t>
      </w:r>
      <w:bookmarkEnd w:id="4724"/>
      <w:r w:rsidRPr="00264D5D">
        <w:fldChar w:fldCharType="end"/>
      </w:r>
      <w:r w:rsidRPr="00264D5D">
        <w:rPr>
          <w:rFonts w:eastAsia="Calibri"/>
          <w:szCs w:val="24"/>
        </w:rPr>
        <w:t xml:space="preserve"> –</w:t>
      </w:r>
      <w:r w:rsidRPr="00264D5D">
        <w:t xml:space="preserve"> Описание комплексного типа «</w:t>
      </w:r>
      <w:r w:rsidRPr="00264D5D">
        <w:rPr>
          <w:color w:val="000000"/>
          <w:szCs w:val="22"/>
        </w:rPr>
        <w:t>tSGNNm</w:t>
      </w:r>
      <w:r w:rsidRPr="00264D5D">
        <w:rPr>
          <w:color w:val="000000"/>
          <w:szCs w:val="22"/>
          <w:lang w:val="en-US"/>
        </w:rPr>
        <w:t>Dt</w:t>
      </w:r>
      <w:r w:rsidR="00216C30" w:rsidRPr="00264D5D">
        <w:rPr>
          <w:color w:val="000000"/>
          <w:szCs w:val="22"/>
        </w:rPr>
        <w:t>1</w:t>
      </w:r>
      <w:r w:rsidRPr="00264D5D">
        <w:t>»</w:t>
      </w:r>
      <w:bookmarkEnd w:id="4725"/>
      <w:bookmarkEnd w:id="4726"/>
      <w:bookmarkEnd w:id="4727"/>
      <w:bookmarkEnd w:id="4728"/>
    </w:p>
    <w:tbl>
      <w:tblPr>
        <w:tblStyle w:val="GOSTTable"/>
        <w:tblW w:w="5000" w:type="pct"/>
        <w:tblLayout w:type="fixed"/>
        <w:tblLook w:val="07E0" w:firstRow="1" w:lastRow="1" w:firstColumn="1" w:lastColumn="1" w:noHBand="1" w:noVBand="1"/>
      </w:tblPr>
      <w:tblGrid>
        <w:gridCol w:w="1706"/>
        <w:gridCol w:w="1703"/>
        <w:gridCol w:w="570"/>
        <w:gridCol w:w="1136"/>
        <w:gridCol w:w="570"/>
        <w:gridCol w:w="3965"/>
      </w:tblGrid>
      <w:tr w:rsidR="003D7242" w:rsidRPr="00264D5D" w14:paraId="7B3A7050" w14:textId="77777777" w:rsidTr="00DC17E0">
        <w:trPr>
          <w:cnfStyle w:val="100000000000" w:firstRow="1" w:lastRow="0" w:firstColumn="0" w:lastColumn="0" w:oddVBand="0" w:evenVBand="0" w:oddHBand="0" w:evenHBand="0" w:firstRowFirstColumn="0" w:firstRowLastColumn="0" w:lastRowFirstColumn="0" w:lastRowLastColumn="0"/>
          <w:tblHeader/>
        </w:trPr>
        <w:tc>
          <w:tcPr>
            <w:tcW w:w="1652" w:type="dxa"/>
          </w:tcPr>
          <w:p w14:paraId="6D5FE34C" w14:textId="77777777" w:rsidR="003D7242" w:rsidRPr="00264D5D" w:rsidRDefault="003D7242" w:rsidP="00144ABC">
            <w:pPr>
              <w:pStyle w:val="GOSTTableHead"/>
              <w:keepNext w:val="0"/>
              <w:rPr>
                <w:b w:val="0"/>
              </w:rPr>
            </w:pPr>
            <w:r w:rsidRPr="00264D5D">
              <w:t>Наименование элемента</w:t>
            </w:r>
          </w:p>
        </w:tc>
        <w:tc>
          <w:tcPr>
            <w:tcW w:w="1649" w:type="dxa"/>
          </w:tcPr>
          <w:p w14:paraId="129FDCEA" w14:textId="77777777" w:rsidR="003D7242" w:rsidRPr="00264D5D" w:rsidRDefault="003D7242" w:rsidP="00144ABC">
            <w:pPr>
              <w:pStyle w:val="GOSTTableHead"/>
              <w:keepNext w:val="0"/>
              <w:rPr>
                <w:b w:val="0"/>
              </w:rPr>
            </w:pPr>
            <w:r w:rsidRPr="00264D5D">
              <w:t>Сокращенное наименование (код) элемента</w:t>
            </w:r>
          </w:p>
        </w:tc>
        <w:tc>
          <w:tcPr>
            <w:tcW w:w="552" w:type="dxa"/>
          </w:tcPr>
          <w:p w14:paraId="19EAABB1" w14:textId="77777777" w:rsidR="003D7242" w:rsidRPr="00264D5D" w:rsidRDefault="003D7242" w:rsidP="00144ABC">
            <w:pPr>
              <w:pStyle w:val="GOSTTableHead"/>
              <w:keepNext w:val="0"/>
              <w:rPr>
                <w:b w:val="0"/>
              </w:rPr>
            </w:pPr>
            <w:r w:rsidRPr="00264D5D">
              <w:t>Тип</w:t>
            </w:r>
          </w:p>
        </w:tc>
        <w:tc>
          <w:tcPr>
            <w:tcW w:w="1100" w:type="dxa"/>
          </w:tcPr>
          <w:p w14:paraId="5AC95EFF" w14:textId="77777777" w:rsidR="003D7242" w:rsidRPr="00264D5D" w:rsidRDefault="003D7242" w:rsidP="00144ABC">
            <w:pPr>
              <w:pStyle w:val="GOSTTableHead"/>
              <w:keepNext w:val="0"/>
              <w:rPr>
                <w:b w:val="0"/>
              </w:rPr>
            </w:pPr>
            <w:r w:rsidRPr="00264D5D">
              <w:t>Формат элемента</w:t>
            </w:r>
          </w:p>
        </w:tc>
        <w:tc>
          <w:tcPr>
            <w:tcW w:w="552" w:type="dxa"/>
          </w:tcPr>
          <w:p w14:paraId="7A4E313A" w14:textId="77777777" w:rsidR="003D7242" w:rsidRPr="00264D5D" w:rsidRDefault="003D7242" w:rsidP="00144ABC">
            <w:pPr>
              <w:pStyle w:val="GOSTTableHead"/>
              <w:keepNext w:val="0"/>
              <w:rPr>
                <w:b w:val="0"/>
              </w:rPr>
            </w:pPr>
            <w:r w:rsidRPr="00264D5D">
              <w:t>Обязательность</w:t>
            </w:r>
          </w:p>
        </w:tc>
        <w:tc>
          <w:tcPr>
            <w:tcW w:w="3840" w:type="dxa"/>
          </w:tcPr>
          <w:p w14:paraId="24C3810C" w14:textId="77777777" w:rsidR="003D7242" w:rsidRPr="00264D5D" w:rsidRDefault="003D7242" w:rsidP="00144ABC">
            <w:pPr>
              <w:pStyle w:val="GOSTTableHead"/>
              <w:keepNext w:val="0"/>
              <w:rPr>
                <w:b w:val="0"/>
              </w:rPr>
            </w:pPr>
            <w:r w:rsidRPr="00264D5D">
              <w:rPr>
                <w:bCs w:val="0"/>
                <w:szCs w:val="22"/>
              </w:rPr>
              <w:t>Дополнительная информация</w:t>
            </w:r>
          </w:p>
        </w:tc>
      </w:tr>
      <w:tr w:rsidR="003D7242" w:rsidRPr="00264D5D" w14:paraId="7617FAC7" w14:textId="77777777" w:rsidTr="00144ABC">
        <w:tc>
          <w:tcPr>
            <w:tcW w:w="1652" w:type="dxa"/>
          </w:tcPr>
          <w:p w14:paraId="0BF3ADCB" w14:textId="77777777" w:rsidR="003D7242" w:rsidRPr="00264D5D" w:rsidRDefault="003D7242" w:rsidP="00144ABC">
            <w:pPr>
              <w:pStyle w:val="GOSTTablenorm"/>
              <w:rPr>
                <w:b/>
                <w:color w:val="000000"/>
                <w:szCs w:val="22"/>
              </w:rPr>
            </w:pPr>
            <w:r w:rsidRPr="00264D5D">
              <w:rPr>
                <w:color w:val="000000"/>
                <w:szCs w:val="22"/>
              </w:rPr>
              <w:t xml:space="preserve">ФИО </w:t>
            </w:r>
            <w:r w:rsidRPr="00264D5D">
              <w:t>руководителя (заместителя руководителя)</w:t>
            </w:r>
          </w:p>
        </w:tc>
        <w:tc>
          <w:tcPr>
            <w:tcW w:w="1649" w:type="dxa"/>
          </w:tcPr>
          <w:p w14:paraId="1E5EFA9F" w14:textId="77777777" w:rsidR="003D7242" w:rsidRPr="00264D5D" w:rsidRDefault="003D7242" w:rsidP="00144ABC">
            <w:pPr>
              <w:pStyle w:val="GOSTTablenorm"/>
              <w:rPr>
                <w:color w:val="000000"/>
                <w:szCs w:val="22"/>
              </w:rPr>
            </w:pPr>
            <w:r w:rsidRPr="00264D5D">
              <w:rPr>
                <w:color w:val="000000"/>
                <w:szCs w:val="22"/>
              </w:rPr>
              <w:t>FIO</w:t>
            </w:r>
          </w:p>
        </w:tc>
        <w:tc>
          <w:tcPr>
            <w:tcW w:w="552" w:type="dxa"/>
          </w:tcPr>
          <w:p w14:paraId="3CC1703E" w14:textId="77777777" w:rsidR="003D7242" w:rsidRPr="00264D5D" w:rsidRDefault="003D7242" w:rsidP="00144ABC">
            <w:pPr>
              <w:pStyle w:val="GOSTTablenorm"/>
              <w:jc w:val="center"/>
              <w:rPr>
                <w:szCs w:val="22"/>
              </w:rPr>
            </w:pPr>
            <w:r w:rsidRPr="00264D5D">
              <w:rPr>
                <w:szCs w:val="22"/>
              </w:rPr>
              <w:t>П</w:t>
            </w:r>
          </w:p>
        </w:tc>
        <w:tc>
          <w:tcPr>
            <w:tcW w:w="1100" w:type="dxa"/>
          </w:tcPr>
          <w:p w14:paraId="63FBC321" w14:textId="77777777" w:rsidR="003D7242" w:rsidRPr="00264D5D" w:rsidRDefault="003D7242" w:rsidP="00144ABC">
            <w:pPr>
              <w:pStyle w:val="GOSTTablenorm"/>
              <w:rPr>
                <w:color w:val="000000"/>
                <w:szCs w:val="22"/>
                <w:lang w:val="en-US"/>
              </w:rPr>
            </w:pPr>
            <w:r w:rsidRPr="00264D5D">
              <w:rPr>
                <w:color w:val="000000"/>
                <w:szCs w:val="22"/>
                <w:lang w:val="en-US"/>
              </w:rPr>
              <w:t>Т(1-</w:t>
            </w:r>
            <w:r w:rsidRPr="00264D5D">
              <w:rPr>
                <w:color w:val="000000"/>
                <w:szCs w:val="22"/>
              </w:rPr>
              <w:t>50</w:t>
            </w:r>
            <w:r w:rsidRPr="00264D5D">
              <w:rPr>
                <w:color w:val="000000"/>
                <w:szCs w:val="22"/>
                <w:lang w:val="en-US"/>
              </w:rPr>
              <w:t>)</w:t>
            </w:r>
          </w:p>
        </w:tc>
        <w:tc>
          <w:tcPr>
            <w:tcW w:w="552" w:type="dxa"/>
          </w:tcPr>
          <w:p w14:paraId="4C79A334" w14:textId="77777777" w:rsidR="003D7242" w:rsidRPr="00264D5D" w:rsidRDefault="003D7242" w:rsidP="00144ABC">
            <w:pPr>
              <w:pStyle w:val="GOSTTablenorm"/>
              <w:jc w:val="center"/>
              <w:rPr>
                <w:szCs w:val="22"/>
              </w:rPr>
            </w:pPr>
            <w:r w:rsidRPr="00264D5D">
              <w:rPr>
                <w:szCs w:val="22"/>
              </w:rPr>
              <w:t>Н</w:t>
            </w:r>
          </w:p>
        </w:tc>
        <w:tc>
          <w:tcPr>
            <w:tcW w:w="3840" w:type="dxa"/>
          </w:tcPr>
          <w:p w14:paraId="7176D00A" w14:textId="77777777" w:rsidR="003D7242" w:rsidRPr="00264D5D" w:rsidRDefault="003D7242" w:rsidP="00144ABC">
            <w:pPr>
              <w:pStyle w:val="GOSTTablenorm"/>
              <w:rPr>
                <w:szCs w:val="22"/>
              </w:rPr>
            </w:pPr>
            <w:r w:rsidRPr="00264D5D">
              <w:rPr>
                <w:szCs w:val="22"/>
              </w:rPr>
              <w:t xml:space="preserve">Указывается </w:t>
            </w:r>
            <w:r w:rsidRPr="00264D5D">
              <w:t>расшифровка подписи руководителя (заместителя руководителя)</w:t>
            </w:r>
          </w:p>
        </w:tc>
      </w:tr>
      <w:tr w:rsidR="003D7242" w:rsidRPr="00264D5D" w14:paraId="022777CA" w14:textId="77777777" w:rsidTr="00144ABC">
        <w:tc>
          <w:tcPr>
            <w:tcW w:w="1652" w:type="dxa"/>
          </w:tcPr>
          <w:p w14:paraId="10FC9AE8" w14:textId="77777777" w:rsidR="003D7242" w:rsidRPr="00264D5D" w:rsidRDefault="003D7242" w:rsidP="00144ABC">
            <w:pPr>
              <w:pStyle w:val="GOSTTablenorm"/>
              <w:rPr>
                <w:color w:val="000000"/>
                <w:szCs w:val="22"/>
              </w:rPr>
            </w:pPr>
            <w:r w:rsidRPr="00264D5D">
              <w:t>Дата подписи руководителя (заместителя руководителя)</w:t>
            </w:r>
          </w:p>
        </w:tc>
        <w:tc>
          <w:tcPr>
            <w:tcW w:w="1649" w:type="dxa"/>
          </w:tcPr>
          <w:p w14:paraId="45CF7E70" w14:textId="77777777" w:rsidR="003D7242" w:rsidRPr="00264D5D" w:rsidRDefault="003D7242" w:rsidP="00144ABC">
            <w:pPr>
              <w:pStyle w:val="GOSTTablenorm"/>
              <w:rPr>
                <w:color w:val="000000"/>
                <w:szCs w:val="22"/>
              </w:rPr>
            </w:pPr>
            <w:r w:rsidRPr="00264D5D">
              <w:rPr>
                <w:color w:val="000000"/>
                <w:szCs w:val="22"/>
              </w:rPr>
              <w:t>DtSgn</w:t>
            </w:r>
          </w:p>
        </w:tc>
        <w:tc>
          <w:tcPr>
            <w:tcW w:w="552" w:type="dxa"/>
          </w:tcPr>
          <w:p w14:paraId="44326574" w14:textId="77777777" w:rsidR="003D7242" w:rsidRPr="00264D5D" w:rsidRDefault="003D7242" w:rsidP="00144ABC">
            <w:pPr>
              <w:pStyle w:val="GOSTTablenorm"/>
              <w:jc w:val="center"/>
              <w:rPr>
                <w:szCs w:val="22"/>
              </w:rPr>
            </w:pPr>
            <w:r w:rsidRPr="00264D5D">
              <w:rPr>
                <w:szCs w:val="22"/>
              </w:rPr>
              <w:t>П</w:t>
            </w:r>
          </w:p>
        </w:tc>
        <w:tc>
          <w:tcPr>
            <w:tcW w:w="1100" w:type="dxa"/>
          </w:tcPr>
          <w:p w14:paraId="5C6AFA04" w14:textId="77777777" w:rsidR="003D7242" w:rsidRPr="00264D5D" w:rsidRDefault="003D7242" w:rsidP="00144ABC">
            <w:pPr>
              <w:pStyle w:val="GOSTTablenorm"/>
              <w:rPr>
                <w:color w:val="000000"/>
                <w:szCs w:val="22"/>
                <w:lang w:val="en-US"/>
              </w:rPr>
            </w:pPr>
            <w:r w:rsidRPr="00264D5D">
              <w:rPr>
                <w:color w:val="000000"/>
                <w:szCs w:val="22"/>
                <w:lang w:val="en-US"/>
              </w:rPr>
              <w:t>Date</w:t>
            </w:r>
          </w:p>
        </w:tc>
        <w:tc>
          <w:tcPr>
            <w:tcW w:w="552" w:type="dxa"/>
          </w:tcPr>
          <w:p w14:paraId="0F06545B" w14:textId="77777777" w:rsidR="003D7242" w:rsidRPr="00264D5D" w:rsidRDefault="003D7242" w:rsidP="00144ABC">
            <w:pPr>
              <w:pStyle w:val="GOSTTablenorm"/>
              <w:jc w:val="center"/>
              <w:rPr>
                <w:szCs w:val="22"/>
              </w:rPr>
            </w:pPr>
            <w:r w:rsidRPr="00264D5D">
              <w:rPr>
                <w:szCs w:val="22"/>
              </w:rPr>
              <w:t>Н</w:t>
            </w:r>
          </w:p>
        </w:tc>
        <w:tc>
          <w:tcPr>
            <w:tcW w:w="3840" w:type="dxa"/>
          </w:tcPr>
          <w:p w14:paraId="00DEE5ED" w14:textId="77777777" w:rsidR="003D7242" w:rsidRPr="00264D5D" w:rsidRDefault="003D7242" w:rsidP="00144ABC">
            <w:pPr>
              <w:pStyle w:val="GOSTTablenorm"/>
              <w:rPr>
                <w:szCs w:val="22"/>
              </w:rPr>
            </w:pPr>
            <w:r w:rsidRPr="00264D5D">
              <w:rPr>
                <w:szCs w:val="22"/>
              </w:rPr>
              <w:t>Указывается</w:t>
            </w:r>
            <w:r w:rsidRPr="00264D5D">
              <w:rPr>
                <w:color w:val="000000"/>
                <w:szCs w:val="22"/>
              </w:rPr>
              <w:t xml:space="preserve"> </w:t>
            </w:r>
            <w:r w:rsidRPr="00264D5D">
              <w:t>дата подписи руководителя (заместителя руководителя)</w:t>
            </w:r>
          </w:p>
        </w:tc>
      </w:tr>
    </w:tbl>
    <w:p w14:paraId="3F2B26D3" w14:textId="77777777" w:rsidR="003D7242" w:rsidRPr="00264D5D" w:rsidRDefault="003D7242" w:rsidP="003D7242">
      <w:pPr>
        <w:pStyle w:val="31"/>
        <w:tabs>
          <w:tab w:val="num" w:pos="284"/>
        </w:tabs>
        <w:suppressAutoHyphens/>
        <w:ind w:left="1418" w:hanging="738"/>
      </w:pPr>
      <w:bookmarkStart w:id="4729" w:name="_Toc122436677"/>
      <w:bookmarkStart w:id="4730" w:name="_Toc139542264"/>
      <w:bookmarkStart w:id="4731" w:name="_Toc167898747"/>
      <w:bookmarkStart w:id="4732" w:name="_Toc219309880"/>
      <w:r w:rsidRPr="00264D5D">
        <w:lastRenderedPageBreak/>
        <w:t xml:space="preserve">Пример </w:t>
      </w:r>
      <w:r w:rsidRPr="00264D5D">
        <w:rPr>
          <w:lang w:val="en-US"/>
        </w:rPr>
        <w:t>XML</w:t>
      </w:r>
      <w:bookmarkEnd w:id="4729"/>
      <w:bookmarkEnd w:id="4730"/>
      <w:bookmarkEnd w:id="4731"/>
      <w:bookmarkEnd w:id="4732"/>
    </w:p>
    <w:p w14:paraId="757D3298"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&lt;?xml version="1.0" encoding="UTF-8"?&gt;</w:t>
      </w:r>
    </w:p>
    <w:p w14:paraId="5F0ADCD0"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&lt;soapenv:Envelope xmlns:soapenv="http://schemas.xmlsoap.org/soap/envelope/" xmlns:wsu="http://docs.oasis-open.org/wss/2004/01/oasis-200401-wss-wssecurity-utility-1.0.xsd" xmlns:wsse="http://docs.oasis-open.org/wss/2004/01/oasis-200401-wss-wssecurity-secext-1.0.xsd"&gt;</w:t>
      </w:r>
    </w:p>
    <w:p w14:paraId="3EC61179"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&lt;soapenv:Header xmlns:env="http://schemas.xmlsoap.org/soap/envelope/"&gt;&lt;wsse:Security wsu:Id="Id-sec-f9cb3040b7ca31cd7876d625c632e1aed304"&gt;</w:t>
      </w:r>
    </w:p>
    <w:p w14:paraId="4F9916BD"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 xmlns="http://www.w3.org/2000/09/xmldsig#" Id="Id-sig-b9199ca934cfa91bcff69e807d7b0dbd26f6"&gt;</w:t>
      </w:r>
    </w:p>
    <w:p w14:paraId="3F0A2AF3"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041E8166"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&lt;CanonicalizationMethod Algorithm="http://www.w3.org/2001/10/xml-exc-c14n#"/&gt;</w:t>
      </w:r>
    </w:p>
    <w:p w14:paraId="2156E6B8"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&lt;SignatureMethod Algorithm="http://www.w3.org/2001/04/xmldsig-more#gostr34102001-gostr3411"/&gt;</w:t>
      </w:r>
    </w:p>
    <w:p w14:paraId="1DDDF152"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URI="#Id-wssecdata-29cef34e3106063e64fead91c94aeda97ff4" Id="Id-dataref-ea575c0bb2c994b98298d2c77dcd5a7dbaa1"&gt;</w:t>
      </w:r>
    </w:p>
    <w:p w14:paraId="667F8D69"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4660DEF1"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0D55AFAD"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2B413772"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7FF8E1B5"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&lt;DigestValue&gt;4bqC9/3OSJqEHDz00XLzUf29YFcetigx2jr08qUp7fQ=&lt;/DigestValue&gt;</w:t>
      </w:r>
    </w:p>
    <w:p w14:paraId="09F7E008"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055A4F61"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Type="http://www.w3.org/TR/2002/REC-xmldsig-core-20020212/xmldsig-core-schema.xsd#X509Data" URI="#Id-keyinfo-11712390bc17243d110193ac033f54873ad8" Id="Id-keyinforef-ac3c6eb29c9af1964819db52ec661b26c339"&gt;</w:t>
      </w:r>
    </w:p>
    <w:p w14:paraId="74A3DFC0"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4DCBCCB3"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1E78C3EC"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1A0106DC"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3470DC65"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&lt;DigestValue&gt;+0q515JTexjW0go5SdPl7+ydqXUKST91N44lIbXt8Yo=&lt;/DigestValue&gt;</w:t>
      </w:r>
    </w:p>
    <w:p w14:paraId="68C3EA8D"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3F0A1796"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URI="#Id-sp-4179cfd1e4ba9c0aaed70450fc3c741c9c08" Id="Id-ref-cb8cc265f168034494eca1c25ec74bf9433c"&gt;</w:t>
      </w:r>
    </w:p>
    <w:p w14:paraId="0137B2B5"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50CF7BBB"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42CA94B1"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70B734D9"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3F734DE9"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&lt;DigestValue&gt;f10/P/MZ5W1AwvdMPGkqpWfYGkK10xUw6SycuQIgFIc=&lt;/DigestValue&gt;</w:t>
      </w:r>
    </w:p>
    <w:p w14:paraId="4580BED5"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7725CD63"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00455145"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&lt;SignatureValue&gt;Xg8mlCU46QdjuUgHR/GFI13DKE7tfRDOphsVyNpFnxC/Sa2XnEuGBKeW7azroY19</w:t>
      </w:r>
    </w:p>
    <w:p w14:paraId="7E4B72BE"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3u7EHXe4dKfnrJ7k7Eq5+A==&lt;/SignatureValue&gt;</w:t>
      </w:r>
    </w:p>
    <w:p w14:paraId="2F7DE973"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0C719D66"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7DB00381"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 xmlns="http://uri.etsi.org/01903/v1.4.1#" Target="Id-sig-b9199ca934cfa91bcff69e807d7b0dbd26f6"&gt;</w:t>
      </w:r>
    </w:p>
    <w:p w14:paraId="64836791"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 Id="Id-sp-4179cfd1e4ba9c0aaed70450fc3c741c9c08"&gt;</w:t>
      </w:r>
    </w:p>
    <w:p w14:paraId="202921AF"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&lt;SignedSignatureProperties Id="Id-ssp-408cecc6a155b8a0f2850e81d5f57496bb2b"/&gt;</w:t>
      </w:r>
    </w:p>
    <w:p w14:paraId="64FE01A7"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&lt;/SignedProperties&gt;</w:t>
      </w:r>
    </w:p>
    <w:p w14:paraId="7F923DA7"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&lt;/QualifyingProperties&gt;</w:t>
      </w:r>
    </w:p>
    <w:p w14:paraId="285435A4"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419AA5BA"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64D49F8B"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CVNlcnZlciBDQTEgMB4GCSqGSIb3DQEJARYRdWNfZmtAcm9za2F6bmEucnUxHDAa</w:t>
      </w:r>
    </w:p>
    <w:p w14:paraId="4BF98291"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BgNVBAgMEzc3INCzLiDQnNC+0YHQutCy0LAxGjAYBggqhQMDgQMBARIMMDA3NzEw</w:t>
      </w:r>
    </w:p>
    <w:p w14:paraId="3E12E42B"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NTY4NzYwMRgwFgYFKoUDZAESDTEwNDc3OTcwMTk4MzAxLDAqBgNVBAkMI9GD0LvQ</w:t>
      </w:r>
    </w:p>
    <w:p w14:paraId="75C82A3F"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uNGG0LAg0JjQu9GM0LjQvdC60LAsINC00L7QvCA3MRUwEwYDVQQHDAzQnNC+0YHQ</w:t>
      </w:r>
    </w:p>
    <w:p w14:paraId="1B09B0EB"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utCy0LAxCzAJBgNVBAYTAlJVMTgwNgYDVQQKDC/QpNC10LTQtdGA0LDQu9GM0L3Q</w:t>
      </w:r>
    </w:p>
    <w:p w14:paraId="5DD4EEED"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vtC1INC60LDQt9C90LDRh9C10LnRgdGC0LLQvjE/MD0GA1UEAww20KPQpiDQpNC1</w:t>
      </w:r>
    </w:p>
    <w:p w14:paraId="4CDEE5D8"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0LTQtdGA0LDQu9GM0L3QvtCz0L4g0LrQsNC30L3QsNGH0LXQudGB0YLQstCwMB4X</w:t>
      </w:r>
    </w:p>
    <w:p w14:paraId="1E2470F4"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DTE2MDQwNzA4MTExMFoXDTE3MDcwNzA4MTExMFowggITMRYwFAYFKoUDZAMSCzEy</w:t>
      </w:r>
    </w:p>
    <w:p w14:paraId="770E002D"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MzQ1Njc4OTAxMRgwFgYFKoUDZAESDTAxMjM0NTY3ODkxMjMxGjAYBggqhQMDgQMB</w:t>
      </w:r>
    </w:p>
    <w:p w14:paraId="6F29BFBF"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ARIMMDAxMjM0NTY3ODkwMSYwJAYJKoZIhvcNAQkBFhduLm5hZ292aXRzeW5AaW5m</w:t>
      </w:r>
    </w:p>
    <w:p w14:paraId="2FADF6E7"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b3NlYy5ydTELMAkGA1UEBhMCUlUxHDAaBgNVBAgMEzc3INCzLiDQnNC+0YHQutCy</w:t>
      </w:r>
    </w:p>
    <w:p w14:paraId="3FE5C0C7"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0LAxFTATBgNVBAcMDNCc0L7RgdC60LLQsDE4MDYGA1UECgwv0KTQtdC00LXRgNCw</w:t>
      </w:r>
    </w:p>
    <w:p w14:paraId="6C21695B"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0LvRjNC90L7QtSDQutCw0LfQvdCw0YfQtdC50YHRgtCy0L4xNDAyBgNVBAsMK9GC</w:t>
      </w:r>
    </w:p>
    <w:p w14:paraId="58D3CACF"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0LXRgdGC0L7QstC+0LUg0L/QvtC00YDQsNC30LTQtdC70LXQvdC40LUxHDAaBgNV</w:t>
      </w:r>
    </w:p>
    <w:p w14:paraId="50183FB0"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BCoME2PQtdGA0YLQuNGE0LjQutCw0YIxGTAXBgNVBAQMENCi0LXRgdGC0L7QstGL</w:t>
      </w:r>
    </w:p>
    <w:p w14:paraId="4D5030A2"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0LkxPTA7BgNVBAwMNNCi0LXRgdGC0L7QstGL0Lkg0YHQtdGA0YLQuNGE0LjQutCw</w:t>
      </w:r>
    </w:p>
    <w:p w14:paraId="18668DB2"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0YIg0L/QvtC00L/QuNGB0LgxQTA/BgkqhkiG9w0BCQIMMklOTlw9MDEyMzQ1Njc4</w:t>
      </w:r>
    </w:p>
    <w:p w14:paraId="3156AD26"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OS9LUFBcPTEyMzQ1Njc4OS9PR1JOXD0wMTIzNDU2Nzg5MTIzMS4wLAYDVQQDDCXQ</w:t>
      </w:r>
    </w:p>
    <w:p w14:paraId="653D4938"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otC10YHRgtC+0LLRi9C5INGB0LXRgNGC0LjRhNC40LrQsNGCMGMwHAYGKoUDAgIT</w:t>
      </w:r>
    </w:p>
    <w:p w14:paraId="7B2ECEF1"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MBIGByqFAwICJAAGByqFAwICHgEDQwAEQM/mE38gcSmh2U183WL3aPaP3tJu0vTq</w:t>
      </w:r>
    </w:p>
    <w:p w14:paraId="4DC5FF71"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CndMDcb72IGcv8nO7QkaqnFwXrkt6zScdQlQgUX78ct0+jNJa7ZIdLGjggRJMIIE</w:t>
      </w:r>
    </w:p>
    <w:p w14:paraId="3FE570AF"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RTAMBgNVHRMBAf8EAjAAMB0GA1UdIAQWMBQwCAYGKoUDZHEBMAgGBiqFA2RxAjBN</w:t>
      </w:r>
    </w:p>
    <w:p w14:paraId="6020D339"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BgUqhQNkbwREDELQmtGA0LjQv9GC0L7Qn9GA0L4gQ1NQICjQstC10YDRgdC40Y8g</w:t>
      </w:r>
    </w:p>
    <w:p w14:paraId="66540FE4"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My42KSAo0LjRgdC/0L7Qu9C90LXQvdC40LUgMikwggFhBgUqhQNkcASCAVYwggFS</w:t>
      </w:r>
    </w:p>
    <w:p w14:paraId="41F28408"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DEQi0JrRgNC40L/RgtC+0J/RgNC+IENTUCIgKNCy0LXRgNGB0LjRjyAzLjYpICjQ</w:t>
      </w:r>
    </w:p>
    <w:p w14:paraId="0FBFF775"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uNGB0L/QvtC70L3QtdC90LjQtSAyKQxoItCf0YDQvtCz0YDQsNC80LzQvdC+LdCw</w:t>
      </w:r>
    </w:p>
    <w:p w14:paraId="52850118"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0L/Qv9Cw0YDQsNGC0L3Ri9C5INC60L7QvNC/0LvQtdC60YEgItCu0L3QuNGB0LXR</w:t>
      </w:r>
    </w:p>
    <w:p w14:paraId="5387DB65"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gNGCLdCT0J7QodCiIi4g0JLQtdGA0YHQuNGPIDIuMSIMT9Ch0LXRgNGC0LjRhNC4</w:t>
      </w:r>
    </w:p>
    <w:p w14:paraId="1DF89E31"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0LrQsNGCINGB0L7QvtGC0LLQtdGC0YHRgtCy0LjRjyDihJYg0KHQpC8xMjQtMjcz</w:t>
      </w:r>
    </w:p>
    <w:p w14:paraId="65D971E0"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OCDQvtGCIDAxLjA3LjIwMTUMT9Ch0LXRgNGC0LjRhNC40LrQsNGCINGB0L7QvtGC</w:t>
      </w:r>
    </w:p>
    <w:p w14:paraId="61F2816E"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0LLQtdGC0YHRgtCy0LjRjyDihJYg0KHQpC8xMjgtMjE3NSDQvtGCIDIwLjA2LjIw</w:t>
      </w:r>
    </w:p>
    <w:p w14:paraId="2F5C37BF"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MTMwDgYDVR0PAQH/BAQDAgTwMBMGA1UdJQQMMAoGCCsGAQUFBwMDMCsGA1UdEAQk</w:t>
      </w:r>
    </w:p>
    <w:p w14:paraId="7FD36B9B"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MCKADzIwMTYwNDA3MDgwNDI4WoEPMjAxNzA3MDcwODA0MjhaMIIBjwYDVR0jBIIB</w:t>
      </w:r>
    </w:p>
    <w:p w14:paraId="6CD4159D"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hjCCAYKAFJ5xDg/atAEoXz/iy49lFZcCR4yroYIBZaSCAWEwggFdMRgwFgYJKoZI</w:t>
      </w:r>
    </w:p>
    <w:p w14:paraId="1F4E0F10"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hvcNAQkCEwlTZXJ2ZXIgQ0ExIDAeBgkqhkiG9w0BCQEWEXVjX2ZrQHJvc2them5h</w:t>
      </w:r>
    </w:p>
    <w:p w14:paraId="10A4A95D"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LnJ1MRwwGgYDVQQIDBM3NyDQsy4g0JzQvtGB0LrQstCwMRowGAYIKoUDA4EDAQES</w:t>
      </w:r>
    </w:p>
    <w:p w14:paraId="18021261"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DDAwNzcxMDU2ODc2MDEYMBYGBSqFA2QBEg0xMDQ3Nzk3MDE5ODMwMSwwKgYDVQQJ</w:t>
      </w:r>
    </w:p>
    <w:p w14:paraId="2287D28E"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DCPRg9C70LjRhtCwINCY0LvRjNC40L3QutCwLCDQtNC+0LwgNzEVMBMGA1UEBwwM</w:t>
      </w:r>
    </w:p>
    <w:p w14:paraId="4FA557B8"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0JzQvtGB0LrQstCwMQswCQYDVQQGEwJSVTE4MDYGA1UECgwv0KTQtdC00LXRgNCw</w:t>
      </w:r>
    </w:p>
    <w:p w14:paraId="15230849"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0LvRjNC90L7QtSDQutCw0LfQvdCw0YfQtdC50YHRgtCy0L4xPzA9BgNVBAMMNtCj</w:t>
      </w:r>
    </w:p>
    <w:p w14:paraId="7C019535"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0KYg0KTQtdC00LXRgNCw0LvRjNC90L7Qs9C+INC60LDQt9C90LDRh9C10LnRgdGC</w:t>
      </w:r>
    </w:p>
    <w:p w14:paraId="63C61766"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0LLQsIIBATBeBgNVHR8EVzBVMCmgJ6AlhiNodHRwOi8vY3JsLnJvc2them5hLnJ1</w:t>
      </w:r>
    </w:p>
    <w:p w14:paraId="417C9BB7"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L2NybC9mazAxLmNybDAooCagJIYiaHR0cDovL2NybC5mc2ZrLmxvY2FsL2NybC9m</w:t>
      </w:r>
    </w:p>
    <w:p w14:paraId="646E9864"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azAxLmNybDAdBgNVHQ4EFgQUt0m7wwTPyJQ+5TDMkq5Z0WnD5vQwCAYGKoUDAgID</w:t>
      </w:r>
    </w:p>
    <w:p w14:paraId="01D9172A"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A0EAReUQeQpqERyFF5XRWG8RnguKCWvPIQOt26PZmVTccxOXVHwZyI0rqdcQ2i4L</w:t>
      </w:r>
    </w:p>
    <w:p w14:paraId="005A49C7"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p87xs4bqOAO1BwhmKL/TsoC4pA==&lt;/wsse:BinarySecurityToken&gt;&lt;/wsse:Security&gt;&lt;/soapenv:Header&gt;</w:t>
      </w:r>
    </w:p>
    <w:p w14:paraId="22CD0E85"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&lt;soapenv:Body xmlns:env="http://schemas.xmlsoap.org/soap/envelope/" wsu:Id="Id-wssecdata-29cef34e3106063e64fead91c94aeda97ff4"&gt;</w:t>
      </w:r>
    </w:p>
    <w:p w14:paraId="2FB2C9C5"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&lt;transferDocumentRequest xmlns:typ="http://www.roskazna.ru/eb/services/transferDocumentService/types" xmlns="http://www.roskazna.ru/eb/services/transferDocumentService/types" versionId="1.0"&gt;</w:t>
      </w:r>
    </w:p>
    <w:p w14:paraId="78F362C1"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&lt;typ:header&gt;</w:t>
      </w:r>
    </w:p>
    <w:p w14:paraId="2C207E4D"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&lt;typ:packageId&gt;e8bf66bf-9cf1-47f1-a48b-394d18467fe3&lt;/typ:packageId&gt;</w:t>
      </w:r>
    </w:p>
    <w:p w14:paraId="759A10EF"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&lt;typ:senderSystemId&gt;FNS&lt;/typ:senderSystemId&gt;</w:t>
      </w:r>
    </w:p>
    <w:p w14:paraId="32888D2C"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&lt;typ:targetSystemId&gt;RMS&lt;/typ:targetSystemId&gt;</w:t>
      </w:r>
    </w:p>
    <w:p w14:paraId="3B9C9DA3"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&lt;typ:documentType&gt;BRA_DOC_D_006&lt;/typ:documentType&gt;</w:t>
      </w:r>
    </w:p>
    <w:p w14:paraId="02584917"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&lt;typ:documentGuid&gt;a2c229b1-734d-4e55-a382-</w:t>
      </w:r>
      <w:r w:rsidRPr="00264D5D">
        <w:rPr>
          <w:rFonts w:cs="Courier New"/>
          <w:sz w:val="20"/>
        </w:rPr>
        <w:lastRenderedPageBreak/>
        <w:t>a46db4ac956a&lt;/typ:documentGuid&gt;</w:t>
      </w:r>
    </w:p>
    <w:p w14:paraId="0FF8A6CA"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&lt;typ:creationDateTime&gt;2024-06-25T16:46:07.689+04:00&lt;/typ:creationDateTime&gt;</w:t>
      </w:r>
    </w:p>
    <w:p w14:paraId="51234609"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&lt;typ:params&gt;</w:t>
      </w:r>
    </w:p>
    <w:p w14:paraId="5142B005"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 name="tofkCode" value="4600"/&gt;</w:t>
      </w:r>
    </w:p>
    <w:p w14:paraId="0667871D"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 name="versionId" value="1.0"/&gt;</w:t>
      </w:r>
    </w:p>
    <w:p w14:paraId="4CB7081A"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&lt;/typ:params&gt;</w:t>
      </w:r>
    </w:p>
    <w:p w14:paraId="24BE9980"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&lt;/typ:header&gt;</w:t>
      </w:r>
    </w:p>
    <w:p w14:paraId="3F1384FD"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&lt;typ:document&gt;</w:t>
      </w:r>
    </w:p>
    <w:p w14:paraId="6AE1AE4E"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&lt;n1:BRA_DOC_D_006 xmlns:xsi="http://www.w3.org/2001/XMLSchema-instance" xmlns:n1="http://www.roskazna.ru/eb/domain/BRA_DOC_D_006/formular" Version="1.0" xsi:schemaLocation="http://www.roskazna.ru/eb/domain/BRA_DOC_D_006/formular formulars.xsd"&gt;</w:t>
      </w:r>
    </w:p>
    <w:p w14:paraId="6EE8E2B7"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&lt;Guid_FK&gt;a2c229b1-734d-4e55-a382-a46db4ac956a&lt;/Guid_FK&gt;</w:t>
      </w:r>
    </w:p>
    <w:p w14:paraId="774E7466"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&lt;Nom_Doc&gt;15700&lt;/Nom_Doc&gt;</w:t>
      </w:r>
    </w:p>
    <w:p w14:paraId="17D458E1"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&lt;Date_Doc&gt;2024-06-25&lt;/Date_Doc&gt;</w:t>
      </w:r>
    </w:p>
    <w:p w14:paraId="486271E6"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 xml:space="preserve">     </w:t>
      </w:r>
      <w:r w:rsidRPr="00264D5D">
        <w:rPr>
          <w:rFonts w:cs="Courier New"/>
          <w:sz w:val="20"/>
          <w:lang w:val="ru-RU"/>
        </w:rPr>
        <w:t>&lt;</w:t>
      </w:r>
      <w:r w:rsidRPr="00264D5D">
        <w:rPr>
          <w:rFonts w:cs="Courier New"/>
          <w:sz w:val="20"/>
        </w:rPr>
        <w:t>FNS</w:t>
      </w:r>
      <w:r w:rsidRPr="00264D5D">
        <w:rPr>
          <w:rFonts w:cs="Courier New"/>
          <w:sz w:val="20"/>
          <w:lang w:val="ru-RU"/>
        </w:rPr>
        <w:t>_</w:t>
      </w:r>
      <w:r w:rsidRPr="00264D5D">
        <w:rPr>
          <w:rFonts w:cs="Courier New"/>
          <w:sz w:val="20"/>
        </w:rPr>
        <w:t>Name</w:t>
      </w:r>
      <w:r w:rsidRPr="00264D5D">
        <w:rPr>
          <w:rFonts w:cs="Courier New"/>
          <w:sz w:val="20"/>
          <w:lang w:val="ru-RU"/>
        </w:rPr>
        <w:t>&gt;МЕЖРЕГИОНАЛЬНАЯ ИНСПЕКЦИЯ ФЕДЕРАЛЬНОЙ НАЛОГОВОЙ СЛУЖБЫ ПО УПРАВЛЕНИЮ ДОЛГОМ&lt;/</w:t>
      </w:r>
      <w:r w:rsidRPr="00264D5D">
        <w:rPr>
          <w:rFonts w:cs="Courier New"/>
          <w:sz w:val="20"/>
        </w:rPr>
        <w:t>FNS</w:t>
      </w:r>
      <w:r w:rsidRPr="00264D5D">
        <w:rPr>
          <w:rFonts w:cs="Courier New"/>
          <w:sz w:val="20"/>
          <w:lang w:val="ru-RU"/>
        </w:rPr>
        <w:t>_</w:t>
      </w:r>
      <w:r w:rsidRPr="00264D5D">
        <w:rPr>
          <w:rFonts w:cs="Courier New"/>
          <w:sz w:val="20"/>
        </w:rPr>
        <w:t>Name</w:t>
      </w:r>
      <w:r w:rsidRPr="00264D5D">
        <w:rPr>
          <w:rFonts w:cs="Courier New"/>
          <w:sz w:val="20"/>
          <w:lang w:val="ru-RU"/>
        </w:rPr>
        <w:t>&gt;</w:t>
      </w:r>
    </w:p>
    <w:p w14:paraId="03B86D4F"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rPr>
        <w:t>&lt;UBP_Code&gt;001F9315&lt;/UBP_Code&gt;</w:t>
      </w:r>
    </w:p>
    <w:p w14:paraId="554620A0"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lang w:val="ru-RU"/>
        </w:rPr>
        <w:t>&lt;</w:t>
      </w:r>
      <w:r w:rsidRPr="00264D5D">
        <w:rPr>
          <w:rFonts w:cs="Courier New"/>
          <w:sz w:val="20"/>
        </w:rPr>
        <w:t>TOFK</w:t>
      </w:r>
      <w:r w:rsidRPr="00264D5D">
        <w:rPr>
          <w:rFonts w:cs="Courier New"/>
          <w:sz w:val="20"/>
          <w:lang w:val="ru-RU"/>
        </w:rPr>
        <w:t>_</w:t>
      </w:r>
      <w:r w:rsidRPr="00264D5D">
        <w:rPr>
          <w:rFonts w:cs="Courier New"/>
          <w:sz w:val="20"/>
        </w:rPr>
        <w:t>Name</w:t>
      </w:r>
      <w:r w:rsidRPr="00264D5D">
        <w:rPr>
          <w:rFonts w:cs="Courier New"/>
          <w:sz w:val="20"/>
          <w:lang w:val="ru-RU"/>
        </w:rPr>
        <w:t>&gt;УФК ПО ТУЛЬСКОЙ ОБЛАСТИ (ФНС)&lt;/</w:t>
      </w:r>
      <w:r w:rsidRPr="00264D5D">
        <w:rPr>
          <w:rFonts w:cs="Courier New"/>
          <w:sz w:val="20"/>
        </w:rPr>
        <w:t>TOFK</w:t>
      </w:r>
      <w:r w:rsidRPr="00264D5D">
        <w:rPr>
          <w:rFonts w:cs="Courier New"/>
          <w:sz w:val="20"/>
          <w:lang w:val="ru-RU"/>
        </w:rPr>
        <w:t>_</w:t>
      </w:r>
      <w:r w:rsidRPr="00264D5D">
        <w:rPr>
          <w:rFonts w:cs="Courier New"/>
          <w:sz w:val="20"/>
        </w:rPr>
        <w:t>Name</w:t>
      </w:r>
      <w:r w:rsidRPr="00264D5D">
        <w:rPr>
          <w:rFonts w:cs="Courier New"/>
          <w:sz w:val="20"/>
          <w:lang w:val="ru-RU"/>
        </w:rPr>
        <w:t>&gt;</w:t>
      </w:r>
    </w:p>
    <w:p w14:paraId="7E5E8B6A"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rPr>
        <w:t>&lt;TOFK_INN&gt;7106021300&lt;/TOFK_INN&gt;</w:t>
      </w:r>
    </w:p>
    <w:p w14:paraId="0C1753ED"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&lt;TOFK_KPP&gt;710601001&lt;/TOFK_KPP&gt;</w:t>
      </w:r>
    </w:p>
    <w:p w14:paraId="75FB6CA8"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&lt;Dir_Code&gt;03&lt;/Dir_Code&gt;</w:t>
      </w:r>
    </w:p>
    <w:p w14:paraId="498466C3"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&lt;KBK_ENP&gt;18201061201010000610&lt;/KBK_ENP&gt;</w:t>
      </w:r>
    </w:p>
    <w:p w14:paraId="776718E2"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&lt;Inf_Tab&gt;</w:t>
      </w:r>
    </w:p>
    <w:p w14:paraId="49329255"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&lt;Inf_Tab_ITEM&gt;</w:t>
      </w:r>
    </w:p>
    <w:p w14:paraId="3424A703"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&lt;Line_Nom&gt;1&lt;/Line_Nom&gt;</w:t>
      </w:r>
    </w:p>
    <w:p w14:paraId="7D27F9A6"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&lt;KBK&gt;18210202010061000160&lt;/KBK&gt;</w:t>
      </w:r>
    </w:p>
    <w:p w14:paraId="01A1542A"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&lt;OKTMO&gt;63643000&lt;/OKTMO&gt;</w:t>
      </w:r>
    </w:p>
    <w:p w14:paraId="2526704E"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&lt;Sum&gt;11000.00&lt;/Sum&gt;</w:t>
      </w:r>
    </w:p>
    <w:p w14:paraId="4EAF17C9"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&lt;/Inf_Tab_ITEM&gt;</w:t>
      </w:r>
    </w:p>
    <w:p w14:paraId="2E3048E2"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 xml:space="preserve">           &lt;Inf_Tab_ITEM&gt;</w:t>
      </w:r>
    </w:p>
    <w:p w14:paraId="0D68D395"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&lt;Line_Nom&gt;2&lt;/Line_Nom&gt;</w:t>
      </w:r>
    </w:p>
    <w:p w14:paraId="0989A791"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&lt;KBK&gt;18210301000010000110&lt;/KBK&gt;</w:t>
      </w:r>
    </w:p>
    <w:p w14:paraId="00EE0E24"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&lt;OKTMO&gt;63000000&lt;/OKTMO&gt;</w:t>
      </w:r>
    </w:p>
    <w:p w14:paraId="47A131DA"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&lt;Sum&gt;22000.00&lt;/Sum&gt;</w:t>
      </w:r>
    </w:p>
    <w:p w14:paraId="0E024992"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&lt;/Inf_Tab_ITEM&gt;</w:t>
      </w:r>
    </w:p>
    <w:p w14:paraId="08CD2F06"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&lt;/Inf_Tab&gt;</w:t>
      </w:r>
    </w:p>
    <w:p w14:paraId="4291A982"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&lt;Signatures&gt;</w:t>
      </w:r>
    </w:p>
    <w:p w14:paraId="6920C022"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&lt;FIO&gt;Петрова Н.А&lt;/FIO&gt;</w:t>
      </w:r>
    </w:p>
    <w:p w14:paraId="2877C560"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&lt;DtSgn&gt;2024-06-25&lt;/DtSgn&gt;</w:t>
      </w:r>
    </w:p>
    <w:p w14:paraId="15DBB25E"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&lt;/Signatures&gt;</w:t>
      </w:r>
    </w:p>
    <w:p w14:paraId="2856865C"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 xmlns="http://www.w3.org/2000/09/xmldsig#" Id="Id-sig-d373256b5942f08343bc8d034aadd7158f61"&gt;</w:t>
      </w:r>
    </w:p>
    <w:p w14:paraId="1A6D3278"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6A35DE2A"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&lt;CanonicalizationMethod Algorithm="http://www.w3.org/2001/10/xml-exc-c14n#"/&gt;</w:t>
      </w:r>
    </w:p>
    <w:p w14:paraId="2F98D06B"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&lt;SignatureMethod Algorithm="http://www.w3.org/2001/04/xmldsig-more#gostr34102001-gostr3411"/&gt;</w:t>
      </w:r>
    </w:p>
    <w:p w14:paraId="14806693"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URI="Id-xadesdata-eaf97d94646411e9b78d005056834f23" Id="Id-dataref-dfd24e85a456a1a342553e99c27fd5695cff"&gt;</w:t>
      </w:r>
    </w:p>
    <w:p w14:paraId="1CEBD6BE"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1E99F97D"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Algorithm="http://www.w3.org/2000/09/xmldsig#enveloped-signature"/&gt;</w:t>
      </w:r>
    </w:p>
    <w:p w14:paraId="1404E84F"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1B50E582"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098178A8"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&lt;DigestValue&gt;tuuoIThRLrpmXrL14i8lPFRl0pwMCiUsBbH5BypOA0I=&lt;/DigestValue&gt;</w:t>
      </w:r>
    </w:p>
    <w:p w14:paraId="46FE82FF"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2CF452CB"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&lt;Reference Type="http://www.w3.org/TR/2002/REC-xmldsig-core-20020212/xmldsig-core-schema.xsd#X509Data" URI="#Id-keyinfo-3dfe71fe8d5a7f7591dd337029c400ccf286" Id="Id-keyinforef-</w:t>
      </w:r>
      <w:r w:rsidRPr="00264D5D">
        <w:rPr>
          <w:rFonts w:cs="Courier New"/>
          <w:sz w:val="20"/>
        </w:rPr>
        <w:lastRenderedPageBreak/>
        <w:t>9674835ee89ca1067673b6fbb04db381a2a6"&gt;</w:t>
      </w:r>
    </w:p>
    <w:p w14:paraId="34190DA3"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402D0287"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19C6C67E"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79B99441"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5F798290"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&lt;DigestValue&gt;fIKSx5SIme2CRgDvDzflubM+Qqh4IkAWCXPpzXWD/AQ=&lt;/DigestValue&gt;</w:t>
      </w:r>
    </w:p>
    <w:p w14:paraId="5392BF61"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3FC4C9C0"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&lt;Reference URI="#Id-sp-c353e147090ff61f2f90dcd64635bcf70055" Id="Id-ref-dbee882997a09b88ec14dafcd7da585e2467"&gt;</w:t>
      </w:r>
    </w:p>
    <w:p w14:paraId="7B7C9899"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75F71B37"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23DC1414"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4CFB09EC"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55B88796"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&lt;DigestValue&gt;ffi2NrwgQYkFPoTAefkLKH2wMBSNjwN3zzDBV+mhwQg=&lt;/DigestValue&gt;</w:t>
      </w:r>
    </w:p>
    <w:p w14:paraId="23367211"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7AC2B137"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1A159048"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&lt;SignatureValue&gt;zolZ5HI+TT6shtnB1YnAZeMq9mcqWLWAZlSR+MuKJXXN2NRZS/zapvyY4rW+I5gM</w:t>
      </w:r>
    </w:p>
    <w:p w14:paraId="484CD307"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py5+uThVv9x8n5TApPOJCg==&lt;/SignatureValue&gt;</w:t>
      </w:r>
    </w:p>
    <w:p w14:paraId="46488836"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&lt;KeyInfo Id="Id-keyinfo-3dfe71fe8d5a7f7591dd337029c400ccf286"&gt;</w:t>
      </w:r>
    </w:p>
    <w:p w14:paraId="679E6332"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&lt;X509Data&gt;</w:t>
      </w:r>
    </w:p>
    <w:p w14:paraId="42505E5D"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&lt;X509Certificate&gt;MIIHbzCCBx6gAwIBAgIUCw+9bFynffs/n08sYLaljBr5oXAwCAYGKoUDAgIDMIIB</w:t>
      </w:r>
    </w:p>
    <w:p w14:paraId="2040F087"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OTEgMB4GCSqGSIb3DQEJARYRdWNfZmtAcm9za2F6bmEucnUxGTAXBgNVBAgMENCz</w:t>
      </w:r>
    </w:p>
    <w:p w14:paraId="76581D3E"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LiDQnNC+0YHQutCy0LAxGjAYBggqhQMDgQMBARIMMDA3NzEwNTY4NzYwMRgwFgYF</w:t>
      </w:r>
    </w:p>
    <w:p w14:paraId="2D66C830"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KoUDZAESDTEwNDc3OTcwMTk4MzAxLDAqBgNVBAkMI9GD0LvQuNGG0LAg0JjQu9GM</w:t>
      </w:r>
    </w:p>
    <w:p w14:paraId="5B1AAC3B"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0LjQvdC60LAsINC00L7QvCA3MRUwEwYDVQQHDAzQnNC+0YHQutCy0LAxCzAJBgNV</w:t>
      </w:r>
    </w:p>
    <w:p w14:paraId="294E48A0"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BAYTAlJVMTgwNgYDVQQKDC/QpNC10LTQtdGA0LDQu9GM0L3QvtC1INC60LDQt9C9</w:t>
      </w:r>
    </w:p>
    <w:p w14:paraId="3B44D8E6"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0LDRh9C10LnRgdGC0LLQvjE4MDYGA1UEAwwv0KTQtdC00LXRgNCw0LvRjNC90L7Q</w:t>
      </w:r>
    </w:p>
    <w:p w14:paraId="5B41C0ED"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tSDQutCw0LfQvdCw0YfQtdC50YHRgtCy0L4wHhcNMTgwNDA1MTMzNDQ3WhcNMTkw</w:t>
      </w:r>
    </w:p>
    <w:p w14:paraId="049327FB"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NzA1MTMzNDQ3WjCCAS0xGjAYBggqhQMDgQMBARIMMDA3NzEwNTY4NzYwMRgwFgYF</w:t>
      </w:r>
    </w:p>
    <w:p w14:paraId="1C718088"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KoUDZAESDTEwNDc3OTcwMTk4MzAxIzAhBgNVBAkMGtGD0LsuINCY0LvRjNC40L3Q</w:t>
      </w:r>
    </w:p>
    <w:p w14:paraId="495CABA9"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utCwLCDQtC43MR4wHAYJKoZIhvcNAQkBFg83NzdAcm9za2F6bmEucnUxCzAJBgNV</w:t>
      </w:r>
    </w:p>
    <w:p w14:paraId="03324C76"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BAYTAlJVMRgwFgYDVQQIDA/Qsy7QnNC+0YHQutCy0LAxFTATBgNVBAcMDNCc0L7R</w:t>
      </w:r>
    </w:p>
    <w:p w14:paraId="3BAC0B15"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gdC60LLQsDE4MDYGA1UECgwv0KTQtdC00LXRgNCw0LvRjNC90L7QtSDQutCw0LfQ</w:t>
      </w:r>
    </w:p>
    <w:p w14:paraId="5231F1A8"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vdCw0YfQtdC50YHRgtCy0L4xODA2BgNVBAMML9Ck0LXQtNC10YDQsNC70YzQvdC+</w:t>
      </w:r>
    </w:p>
    <w:p w14:paraId="6110A062"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0LUg0LrQsNC30L3QsNGH0LXQudGB0YLQstC+MGMwHAYGKoUDAgITMBIGByqFAwIC</w:t>
      </w:r>
    </w:p>
    <w:p w14:paraId="55E5AE16"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IwEGByqFAwICHgEDQwAEQDmzpZ5HcFrSdwi3/h6QJ/jU0i6sTgtJqrYL/Tr+gxBg</w:t>
      </w:r>
    </w:p>
    <w:p w14:paraId="67545DB4"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Ud3B/sLCyhk3sR3aCrZ0K4YlsFHVmbBhDYe62UsOcnOjggQCMIID/jAMBgNVHRMB</w:t>
      </w:r>
    </w:p>
    <w:p w14:paraId="2A9BA8D2"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Af8EAjAAMB0GA1UdIAQWMBQwCAYGKoUDZHEBMAgGBiqFA2RxAjA2BgUqhQNkbwQt</w:t>
      </w:r>
    </w:p>
    <w:p w14:paraId="30A83F61"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DCsi0JrRgNC40L/RgtC+0J/RgNC+IENTUCIgKNCy0LXRgNGB0LjRjyA0LjApMIIB</w:t>
      </w:r>
    </w:p>
    <w:p w14:paraId="419443D4"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MQYFKoUDZHAEggEmMIIBIgxEItCa0YDQuNC/0YLQvtCf0YDQviBDU1AiICjQstC1</w:t>
      </w:r>
    </w:p>
    <w:p w14:paraId="6FFB02D1"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0YDRgdC40Y8gMy42KSAo0LjRgdC/0L7Qu9C90LXQvdC40LUgMikMaCLQn9GA0L7Q</w:t>
      </w:r>
    </w:p>
    <w:p w14:paraId="0BA7EDDC"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s9GA0LDQvNC80L3Qvi3QsNC/0L/QsNGA0LDRgtC90YvQuSDQutC+0LzQv9C70LXQ</w:t>
      </w:r>
    </w:p>
    <w:p w14:paraId="445CD3FC"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utGBICLQrtC90LjRgdC10YDRgi3Qk9Ce0KHQoiIuINCS0LXRgNGB0LjRjyAyLjEi</w:t>
      </w:r>
    </w:p>
    <w:p w14:paraId="383D33D4"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DB/ihJYgMTQ5LzcvNi01Njkg0L7RgiAyMS4xMi4yMDE3DE/QodC10YDRgtC40YTQ</w:t>
      </w:r>
    </w:p>
    <w:p w14:paraId="1EFA1838"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uNC60LDRgiDRgdC+0L7RgtCy0LXRgtGB0YLQstC40Y8g4oSWINCh0KQvMTI4LTI4</w:t>
      </w:r>
    </w:p>
    <w:p w14:paraId="7B7FEBC4"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Nzgg0L7RgiAyMC4wNi4yMDE2MA4GA1UdDwEB/wQEAwID+DAdBgNVHSUEFjAUBggr</w:t>
      </w:r>
    </w:p>
    <w:p w14:paraId="7584ACB8"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BgEFBQcDAgYIKwYBBQUHAwMwKwYDVR0QBCQwIoAPMjAxODA0MDUxMzM0NDVagQ8y</w:t>
      </w:r>
    </w:p>
    <w:p w14:paraId="7DE30C0C"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MDE5MDcwNTEzMzQ0NVowggGFBgNVHSMEggF8MIIBeIAUFlWRplFYxIksa1Fb0oUZ</w:t>
      </w:r>
    </w:p>
    <w:p w14:paraId="0A521648"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CgFESCKhggFSpIIBTjCCAUoxHjAcBgkqhkiG9w0BCQEWD2RpdEBtaW5zdnlhei5y</w:t>
      </w:r>
    </w:p>
    <w:p w14:paraId="0A2D8D9E"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dTELMAkGA1UEBhMCUlUxHDAaBgNVBAgMEzc3INCzLiDQnNC+0YHQutCy0LAxFTAT</w:t>
      </w:r>
    </w:p>
    <w:p w14:paraId="109EA87D"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BgNVBAcMDNCc0L7RgdC60LLQsDE/MD0GA1UECQw2MTI1Mzc1INCzLiDQnNC+0YHQ</w:t>
      </w:r>
    </w:p>
    <w:p w14:paraId="31B27ED4"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utCy0LAsINGD0LsuINCi0LLQtdGA0YHQutCw0Y8sINC0LiA3MSwwKgYDVQQKDCPQ</w:t>
      </w:r>
    </w:p>
    <w:p w14:paraId="27B8666E"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nNC40L3QutC+0LzRgdCy0Y/Qt9GMINCg0L7RgdGB0LjQuDEYMBYGBSqFA2QBEg0x</w:t>
      </w:r>
    </w:p>
    <w:p w14:paraId="683E5483"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MDQ3NzAyMDI2NzAxMRowGAYIKoUDA4EDAQESDDAwNzcxMDQ3NDM3NTFBMD8GA1UE</w:t>
      </w:r>
    </w:p>
    <w:p w14:paraId="3A3D1B87"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Aww40JPQvtC70L7QstC90L7QuSDRg9C00L7RgdGC0L7QstC10YDRj9GO0YnQuNC5</w:t>
      </w:r>
    </w:p>
    <w:p w14:paraId="5555E022"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INGG0LXQvdGC0YCCCjas1FUAAAAAAS8wXgYDVR0fBFcwVTApoCegJYYjaHR0cDov</w:t>
      </w:r>
    </w:p>
    <w:p w14:paraId="5A846D3D"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L2NybC5yb3NrYXpuYS5ydS9jcmwvdWNmay5jcmwwKKAmoCSGImh0dHA6Ly9jcmwu</w:t>
      </w:r>
    </w:p>
    <w:p w14:paraId="255FA4CA"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ZnNmay5sb2NhbC9jcmwvdWNmay5jcmwwHQYDVR0OBBYEFLkvJG7Rfzg6F53wdndv</w:t>
      </w:r>
    </w:p>
    <w:p w14:paraId="614194E0"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NLDQ/i3nMAgGBiqFAwICAwNBAH1LMUVqEV/HRyesHDkB5eBUk6qDOJwnOBHil2Y1</w:t>
      </w:r>
    </w:p>
    <w:p w14:paraId="2BF937C2"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qNiUhWK7AqT93ErNsumpe8dDCswJmvps2nbQA7xwIJjzJjk=&lt;/X509Certificate&gt;</w:t>
      </w:r>
    </w:p>
    <w:p w14:paraId="12DCD3EA"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&lt;/X509Data&gt;</w:t>
      </w:r>
    </w:p>
    <w:p w14:paraId="3CBA6198"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&lt;/KeyInfo&gt;</w:t>
      </w:r>
    </w:p>
    <w:p w14:paraId="553ED6CA"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66C2E3AA"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 xmlns="http://uri.etsi.org/01903/v1.4.1#" Target="Id-sig-d373256b5942f08343bc8d034aadd7158f61"&gt;</w:t>
      </w:r>
    </w:p>
    <w:p w14:paraId="5DA4DA41"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 Id="Id-sp-c353e147090ff61f2f90dcd64635bcf70055"&gt;</w:t>
      </w:r>
    </w:p>
    <w:p w14:paraId="1855E63A"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&lt;SignedSignatureProperties Id="Id-ssp-7fd861712d758e7e3004067202146d020fd2"/&gt;</w:t>
      </w:r>
    </w:p>
    <w:p w14:paraId="326E0727"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&lt;/SignedProperties&gt;</w:t>
      </w:r>
    </w:p>
    <w:p w14:paraId="421532F8"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&lt;/QualifyingProperties&gt;</w:t>
      </w:r>
    </w:p>
    <w:p w14:paraId="425118BA"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3C2E8019"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&lt;/Signature&gt;</w:t>
      </w:r>
    </w:p>
    <w:p w14:paraId="5EF50178"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&lt;/n1:BRA_DOC_D_006&gt;</w:t>
      </w:r>
    </w:p>
    <w:p w14:paraId="78462FE2" w14:textId="77777777" w:rsidR="003D7242" w:rsidRPr="00264D5D" w:rsidRDefault="003D7242" w:rsidP="00144AB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&lt;/typ:document&gt;</w:t>
      </w:r>
    </w:p>
    <w:p w14:paraId="37A7E265" w14:textId="77777777" w:rsidR="0014287C" w:rsidRPr="00264D5D" w:rsidRDefault="003D7242" w:rsidP="0014287C">
      <w:pPr>
        <w:pStyle w:val="EBScript"/>
        <w:widowControl w:val="0"/>
        <w:pBdr>
          <w:top w:val="single" w:sz="4" w:space="0" w:color="000000"/>
          <w:left w:val="single" w:sz="4" w:space="0" w:color="000000"/>
          <w:right w:val="single" w:sz="4" w:space="0" w:color="000000"/>
        </w:pBdr>
        <w:spacing w:before="60"/>
        <w:ind w:left="0" w:right="0"/>
        <w:rPr>
          <w:rFonts w:cs="Courier New"/>
          <w:sz w:val="20"/>
        </w:rPr>
      </w:pPr>
      <w:r w:rsidRPr="00264D5D">
        <w:rPr>
          <w:rFonts w:cs="Courier New"/>
          <w:sz w:val="20"/>
        </w:rPr>
        <w:t>&lt;/transferDocumentRequest</w:t>
      </w:r>
      <w:r w:rsidR="0014287C" w:rsidRPr="00264D5D">
        <w:rPr>
          <w:rFonts w:cs="Courier New"/>
          <w:sz w:val="20"/>
        </w:rPr>
        <w:t>&gt;</w:t>
      </w:r>
    </w:p>
    <w:p w14:paraId="3EA508BE" w14:textId="77777777" w:rsidR="0014287C" w:rsidRPr="00264D5D" w:rsidRDefault="0014287C" w:rsidP="0014287C">
      <w:pPr>
        <w:pStyle w:val="EBScript"/>
        <w:widowControl w:val="0"/>
        <w:pBdr>
          <w:top w:val="single" w:sz="4" w:space="0" w:color="000000"/>
          <w:left w:val="single" w:sz="4" w:space="0" w:color="000000"/>
          <w:right w:val="single" w:sz="4" w:space="0" w:color="000000"/>
        </w:pBdr>
        <w:spacing w:before="60"/>
        <w:ind w:left="0" w:right="0"/>
        <w:rPr>
          <w:rFonts w:cs="Courier New"/>
          <w:sz w:val="20"/>
        </w:rPr>
      </w:pPr>
      <w:r w:rsidRPr="00264D5D">
        <w:rPr>
          <w:rFonts w:cs="Courier New"/>
          <w:sz w:val="20"/>
        </w:rPr>
        <w:t>&lt;/soapenv:Body&gt;</w:t>
      </w:r>
    </w:p>
    <w:p w14:paraId="5C4D48DF" w14:textId="77777777" w:rsidR="00AD1F54" w:rsidRPr="00264D5D" w:rsidRDefault="0014287C" w:rsidP="0014287C">
      <w:pPr>
        <w:pStyle w:val="EBScript"/>
        <w:widowControl w:val="0"/>
        <w:pBdr>
          <w:top w:val="single" w:sz="4" w:space="0" w:color="000000"/>
          <w:left w:val="single" w:sz="4" w:space="0" w:color="000000"/>
          <w:right w:val="single" w:sz="4" w:space="0" w:color="000000"/>
        </w:pBdr>
        <w:spacing w:before="60"/>
        <w:ind w:left="0" w:right="0"/>
        <w:rPr>
          <w:rFonts w:cs="Courier New"/>
          <w:szCs w:val="22"/>
        </w:rPr>
      </w:pPr>
      <w:r w:rsidRPr="00264D5D">
        <w:rPr>
          <w:rFonts w:cs="Courier New"/>
          <w:sz w:val="20"/>
        </w:rPr>
        <w:t>&lt;/soapenv:Envelope&gt;</w:t>
      </w:r>
    </w:p>
    <w:p w14:paraId="1BF189C7" w14:textId="77777777" w:rsidR="00D4174C" w:rsidRPr="00264D5D" w:rsidRDefault="00D4174C" w:rsidP="00D4174C">
      <w:pPr>
        <w:pStyle w:val="22"/>
        <w:numPr>
          <w:ilvl w:val="1"/>
          <w:numId w:val="85"/>
        </w:numPr>
        <w:tabs>
          <w:tab w:val="clear" w:pos="576"/>
        </w:tabs>
        <w:ind w:left="851" w:hanging="851"/>
        <w:rPr>
          <w:lang w:val="ru-RU"/>
        </w:rPr>
      </w:pPr>
      <w:bookmarkStart w:id="4733" w:name="_Ref183867236"/>
      <w:bookmarkStart w:id="4734" w:name="_Toc219309881"/>
      <w:r w:rsidRPr="00264D5D">
        <w:rPr>
          <w:lang w:val="ru-RU"/>
        </w:rPr>
        <w:t>Описание документа «</w:t>
      </w:r>
      <w:r w:rsidR="001B531E" w:rsidRPr="00264D5D">
        <w:rPr>
          <w:lang w:val="ru-RU"/>
        </w:rPr>
        <w:t>Распоряжение налогового органа</w:t>
      </w:r>
      <w:r w:rsidRPr="00264D5D">
        <w:rPr>
          <w:lang w:val="ru-RU"/>
        </w:rPr>
        <w:t xml:space="preserve"> (уточнение)»</w:t>
      </w:r>
      <w:bookmarkEnd w:id="4733"/>
      <w:bookmarkEnd w:id="4734"/>
      <w:r w:rsidRPr="00264D5D">
        <w:rPr>
          <w:lang w:val="ru-RU"/>
        </w:rPr>
        <w:t xml:space="preserve"> </w:t>
      </w:r>
    </w:p>
    <w:p w14:paraId="1C3F46F3" w14:textId="77777777" w:rsidR="00D4174C" w:rsidRPr="00264D5D" w:rsidRDefault="00D4174C" w:rsidP="00D4174C">
      <w:pPr>
        <w:pStyle w:val="31"/>
        <w:numPr>
          <w:ilvl w:val="2"/>
          <w:numId w:val="85"/>
        </w:numPr>
        <w:tabs>
          <w:tab w:val="clear" w:pos="720"/>
        </w:tabs>
      </w:pPr>
      <w:bookmarkStart w:id="4735" w:name="_Toc219309882"/>
      <w:r w:rsidRPr="00264D5D">
        <w:t>Назначение и маршрут документа</w:t>
      </w:r>
      <w:bookmarkEnd w:id="4735"/>
    </w:p>
    <w:p w14:paraId="42919FD6" w14:textId="77777777" w:rsidR="003D7242" w:rsidRPr="00264D5D" w:rsidRDefault="003D7242" w:rsidP="003D7242">
      <w:pPr>
        <w:pStyle w:val="GOSTNormal"/>
        <w:ind w:firstLine="709"/>
      </w:pPr>
      <w:r w:rsidRPr="00264D5D">
        <w:t>Документ «Распоряжение налогового органа (уточнение)» предназначен для уточнения полей в расчетных документах и поручениях о перечислении на счет, учтенных на лицевом счете МИФНС или на невыясненных поступлениях, зачисляемых в федеральный бюджет.</w:t>
      </w:r>
    </w:p>
    <w:p w14:paraId="67AD9A20" w14:textId="09AD9EC9" w:rsidR="003D7242" w:rsidRPr="00264D5D" w:rsidRDefault="003D7242" w:rsidP="00101F62">
      <w:pPr>
        <w:pStyle w:val="GOSTNameTable"/>
        <w:numPr>
          <w:ilvl w:val="0"/>
          <w:numId w:val="151"/>
        </w:numPr>
        <w:suppressAutoHyphens/>
        <w:spacing w:before="240" w:after="120"/>
        <w:rPr>
          <w:rFonts w:eastAsia="Calibri"/>
        </w:rPr>
      </w:pPr>
      <w:r w:rsidRPr="00264D5D">
        <w:rPr>
          <w:rFonts w:eastAsia="Calibri"/>
        </w:rPr>
        <w:fldChar w:fldCharType="begin"/>
      </w:r>
      <w:r w:rsidRPr="00264D5D">
        <w:rPr>
          <w:rFonts w:eastAsia="Calibri"/>
        </w:rPr>
        <w:instrText xml:space="preserve"> SEQ Таблица \* ARABIC </w:instrText>
      </w:r>
      <w:r w:rsidRPr="00264D5D">
        <w:rPr>
          <w:rFonts w:eastAsia="Calibri"/>
        </w:rPr>
        <w:fldChar w:fldCharType="separate"/>
      </w:r>
      <w:bookmarkStart w:id="4736" w:name="_Toc219309410"/>
      <w:r w:rsidR="008D797C">
        <w:rPr>
          <w:rFonts w:eastAsia="Calibri"/>
          <w:noProof/>
        </w:rPr>
        <w:t>380</w:t>
      </w:r>
      <w:r w:rsidRPr="00264D5D">
        <w:rPr>
          <w:rFonts w:eastAsia="Calibri"/>
        </w:rPr>
        <w:fldChar w:fldCharType="end"/>
      </w:r>
      <w:r w:rsidRPr="00264D5D">
        <w:rPr>
          <w:rFonts w:eastAsia="Calibri"/>
          <w:szCs w:val="24"/>
        </w:rPr>
        <w:t xml:space="preserve"> – </w:t>
      </w:r>
      <w:r w:rsidRPr="00264D5D">
        <w:rPr>
          <w:rFonts w:eastAsia="Calibri"/>
        </w:rPr>
        <w:t>Маршрут документа «</w:t>
      </w:r>
      <w:r w:rsidRPr="00264D5D">
        <w:t>Распоряжение налогового органа (уточнение)»</w:t>
      </w:r>
      <w:bookmarkEnd w:id="4736"/>
      <w:r w:rsidRPr="00264D5D">
        <w:t xml:space="preserve"> </w:t>
      </w:r>
    </w:p>
    <w:tbl>
      <w:tblPr>
        <w:tblStyle w:val="GOSTTable"/>
        <w:tblW w:w="5000" w:type="pct"/>
        <w:tblLook w:val="07E0" w:firstRow="1" w:lastRow="1" w:firstColumn="1" w:lastColumn="1" w:noHBand="1" w:noVBand="1"/>
      </w:tblPr>
      <w:tblGrid>
        <w:gridCol w:w="2293"/>
        <w:gridCol w:w="2248"/>
        <w:gridCol w:w="5109"/>
      </w:tblGrid>
      <w:tr w:rsidR="003D7242" w:rsidRPr="00264D5D" w14:paraId="29F81D9C" w14:textId="77777777" w:rsidTr="00DC17E0">
        <w:trPr>
          <w:cnfStyle w:val="100000000000" w:firstRow="1" w:lastRow="0" w:firstColumn="0" w:lastColumn="0" w:oddVBand="0" w:evenVBand="0" w:oddHBand="0" w:evenHBand="0" w:firstRowFirstColumn="0" w:firstRowLastColumn="0" w:lastRowFirstColumn="0" w:lastRowLastColumn="0"/>
          <w:tblHeader/>
        </w:trPr>
        <w:tc>
          <w:tcPr>
            <w:tcW w:w="1188" w:type="pct"/>
          </w:tcPr>
          <w:p w14:paraId="09FE9F1C" w14:textId="77777777" w:rsidR="003D7242" w:rsidRPr="00264D5D" w:rsidRDefault="003D7242" w:rsidP="00144ABC">
            <w:pPr>
              <w:pStyle w:val="OTRTableHead"/>
              <w:widowControl w:val="0"/>
              <w:ind w:left="57" w:right="57" w:hanging="57"/>
              <w:rPr>
                <w:sz w:val="22"/>
                <w:szCs w:val="22"/>
              </w:rPr>
            </w:pPr>
            <w:r w:rsidRPr="00264D5D">
              <w:rPr>
                <w:sz w:val="22"/>
                <w:szCs w:val="22"/>
              </w:rPr>
              <w:t>Отправитель</w:t>
            </w:r>
          </w:p>
        </w:tc>
        <w:tc>
          <w:tcPr>
            <w:tcW w:w="1165" w:type="pct"/>
          </w:tcPr>
          <w:p w14:paraId="082AB4B7" w14:textId="77777777" w:rsidR="003D7242" w:rsidRPr="00264D5D" w:rsidRDefault="003D7242" w:rsidP="00144ABC">
            <w:pPr>
              <w:pStyle w:val="OTRTableHead"/>
              <w:widowControl w:val="0"/>
              <w:ind w:left="57" w:right="57" w:hanging="57"/>
              <w:rPr>
                <w:sz w:val="22"/>
                <w:szCs w:val="22"/>
              </w:rPr>
            </w:pPr>
            <w:r w:rsidRPr="00264D5D">
              <w:rPr>
                <w:sz w:val="22"/>
                <w:szCs w:val="22"/>
              </w:rPr>
              <w:t>Получатель</w:t>
            </w:r>
          </w:p>
        </w:tc>
        <w:tc>
          <w:tcPr>
            <w:tcW w:w="2647" w:type="pct"/>
          </w:tcPr>
          <w:p w14:paraId="69638527" w14:textId="77777777" w:rsidR="003D7242" w:rsidRPr="00264D5D" w:rsidRDefault="003D7242" w:rsidP="00144ABC">
            <w:pPr>
              <w:pStyle w:val="OTRTableHead"/>
              <w:widowControl w:val="0"/>
              <w:ind w:left="57" w:right="57" w:hanging="57"/>
              <w:rPr>
                <w:sz w:val="22"/>
                <w:szCs w:val="22"/>
              </w:rPr>
            </w:pPr>
            <w:r w:rsidRPr="00264D5D">
              <w:rPr>
                <w:sz w:val="22"/>
                <w:szCs w:val="22"/>
              </w:rPr>
              <w:t>Примечание</w:t>
            </w:r>
          </w:p>
        </w:tc>
      </w:tr>
      <w:tr w:rsidR="003D7242" w:rsidRPr="00264D5D" w14:paraId="6F4F3952" w14:textId="77777777" w:rsidTr="00DC17E0">
        <w:tc>
          <w:tcPr>
            <w:tcW w:w="1188" w:type="pct"/>
          </w:tcPr>
          <w:p w14:paraId="2E94A77D" w14:textId="77777777" w:rsidR="003D7242" w:rsidRPr="00264D5D" w:rsidRDefault="003D7242" w:rsidP="00144ABC">
            <w:pPr>
              <w:pStyle w:val="GOSTTablenorm"/>
            </w:pPr>
            <w:r w:rsidRPr="00264D5D">
              <w:t>МИФНС</w:t>
            </w:r>
          </w:p>
        </w:tc>
        <w:tc>
          <w:tcPr>
            <w:tcW w:w="1165" w:type="pct"/>
          </w:tcPr>
          <w:p w14:paraId="17EA3AA2" w14:textId="77777777" w:rsidR="003D7242" w:rsidRPr="00264D5D" w:rsidRDefault="003D7242" w:rsidP="00144ABC">
            <w:pPr>
              <w:pStyle w:val="GOSTTablenorm"/>
            </w:pPr>
            <w:r w:rsidRPr="00264D5D">
              <w:t>ТОФК (ПУД ЭБ)</w:t>
            </w:r>
          </w:p>
        </w:tc>
        <w:tc>
          <w:tcPr>
            <w:tcW w:w="2647" w:type="pct"/>
          </w:tcPr>
          <w:p w14:paraId="0FD812A0" w14:textId="77777777" w:rsidR="003D7242" w:rsidRPr="00264D5D" w:rsidRDefault="003D7242" w:rsidP="00144ABC">
            <w:pPr>
              <w:pStyle w:val="GOSTTablenorm"/>
            </w:pPr>
          </w:p>
        </w:tc>
      </w:tr>
    </w:tbl>
    <w:p w14:paraId="4D56FDA4" w14:textId="77777777" w:rsidR="003D7242" w:rsidRPr="00264D5D" w:rsidRDefault="003D7242" w:rsidP="003D7242">
      <w:pPr>
        <w:pStyle w:val="31"/>
        <w:tabs>
          <w:tab w:val="num" w:pos="284"/>
        </w:tabs>
        <w:suppressAutoHyphens/>
        <w:ind w:left="1418" w:hanging="738"/>
      </w:pPr>
      <w:bookmarkStart w:id="4737" w:name="_Toc167898750"/>
      <w:bookmarkStart w:id="4738" w:name="_Toc219309883"/>
      <w:r w:rsidRPr="00264D5D">
        <w:t>Описание комплексного типа «</w:t>
      </w:r>
      <w:r w:rsidRPr="00264D5D">
        <w:rPr>
          <w:rFonts w:eastAsia="Calibri"/>
        </w:rPr>
        <w:t>t</w:t>
      </w:r>
      <w:r w:rsidRPr="00264D5D">
        <w:t>B</w:t>
      </w:r>
      <w:r w:rsidRPr="00264D5D">
        <w:rPr>
          <w:rFonts w:eastAsia="Calibri"/>
        </w:rPr>
        <w:t>RA</w:t>
      </w:r>
      <w:r w:rsidRPr="00264D5D">
        <w:rPr>
          <w:rFonts w:eastAsia="Calibri"/>
          <w:szCs w:val="22"/>
        </w:rPr>
        <w:t>_DOC_D_005</w:t>
      </w:r>
      <w:r w:rsidRPr="00264D5D">
        <w:t>»</w:t>
      </w:r>
      <w:bookmarkEnd w:id="4737"/>
      <w:bookmarkEnd w:id="4738"/>
    </w:p>
    <w:p w14:paraId="1D4D6A5A" w14:textId="204B7434" w:rsidR="003D7242" w:rsidRPr="00264D5D" w:rsidRDefault="003D7242" w:rsidP="00101F62">
      <w:pPr>
        <w:pStyle w:val="GOSTNameTable"/>
        <w:numPr>
          <w:ilvl w:val="0"/>
          <w:numId w:val="151"/>
        </w:numPr>
        <w:suppressAutoHyphens/>
        <w:spacing w:before="240" w:after="120"/>
        <w:rPr>
          <w:rFonts w:eastAsia="Calibri"/>
          <w:szCs w:val="24"/>
        </w:rPr>
      </w:pPr>
      <w:r w:rsidRPr="00264D5D">
        <w:rPr>
          <w:rFonts w:eastAsia="Calibri"/>
        </w:rPr>
        <w:fldChar w:fldCharType="begin"/>
      </w:r>
      <w:r w:rsidRPr="00264D5D">
        <w:rPr>
          <w:rFonts w:eastAsia="Calibri"/>
        </w:rPr>
        <w:instrText xml:space="preserve"> SEQ Таблица \* ARABIC </w:instrText>
      </w:r>
      <w:r w:rsidRPr="00264D5D">
        <w:rPr>
          <w:rFonts w:eastAsia="Calibri"/>
        </w:rPr>
        <w:fldChar w:fldCharType="separate"/>
      </w:r>
      <w:bookmarkStart w:id="4739" w:name="_Toc219309411"/>
      <w:r w:rsidR="008D797C">
        <w:rPr>
          <w:rFonts w:eastAsia="Calibri"/>
          <w:noProof/>
        </w:rPr>
        <w:t>381</w:t>
      </w:r>
      <w:r w:rsidRPr="00264D5D">
        <w:rPr>
          <w:rFonts w:eastAsia="Calibri"/>
        </w:rPr>
        <w:fldChar w:fldCharType="end"/>
      </w:r>
      <w:r w:rsidRPr="00264D5D">
        <w:rPr>
          <w:rFonts w:eastAsia="Calibri"/>
          <w:szCs w:val="24"/>
        </w:rPr>
        <w:t xml:space="preserve"> –</w:t>
      </w:r>
      <w:r w:rsidRPr="00264D5D">
        <w:rPr>
          <w:rFonts w:eastAsia="Calibri"/>
        </w:rPr>
        <w:t xml:space="preserve"> </w:t>
      </w:r>
      <w:r w:rsidRPr="00264D5D">
        <w:t>Описание</w:t>
      </w:r>
      <w:r w:rsidRPr="00264D5D">
        <w:rPr>
          <w:rFonts w:eastAsia="Calibri"/>
        </w:rPr>
        <w:t xml:space="preserve"> комплексного типа «</w:t>
      </w:r>
      <w:r w:rsidRPr="00264D5D">
        <w:rPr>
          <w:rFonts w:eastAsia="Calibri"/>
          <w:szCs w:val="24"/>
        </w:rPr>
        <w:t>t</w:t>
      </w:r>
      <w:r w:rsidRPr="00264D5D">
        <w:rPr>
          <w:szCs w:val="22"/>
          <w:lang w:val="en-US"/>
        </w:rPr>
        <w:t>B</w:t>
      </w:r>
      <w:r w:rsidRPr="00264D5D">
        <w:rPr>
          <w:rFonts w:eastAsia="Calibri"/>
          <w:szCs w:val="22"/>
        </w:rPr>
        <w:t>RA_</w:t>
      </w:r>
      <w:r w:rsidRPr="00264D5D">
        <w:rPr>
          <w:rFonts w:eastAsia="Calibri"/>
        </w:rPr>
        <w:t>DOC</w:t>
      </w:r>
      <w:r w:rsidRPr="00264D5D">
        <w:rPr>
          <w:rFonts w:eastAsia="Calibri"/>
          <w:szCs w:val="22"/>
        </w:rPr>
        <w:t>_D_005</w:t>
      </w:r>
      <w:r w:rsidRPr="00264D5D">
        <w:rPr>
          <w:rFonts w:eastAsia="Calibri"/>
          <w:szCs w:val="24"/>
        </w:rPr>
        <w:t>»</w:t>
      </w:r>
      <w:bookmarkEnd w:id="4739"/>
    </w:p>
    <w:tbl>
      <w:tblPr>
        <w:tblStyle w:val="GOSTTable"/>
        <w:tblW w:w="5000" w:type="pct"/>
        <w:tblLayout w:type="fixed"/>
        <w:tblLook w:val="07E0" w:firstRow="1" w:lastRow="1" w:firstColumn="1" w:lastColumn="1" w:noHBand="1" w:noVBand="1"/>
      </w:tblPr>
      <w:tblGrid>
        <w:gridCol w:w="1704"/>
        <w:gridCol w:w="1705"/>
        <w:gridCol w:w="570"/>
        <w:gridCol w:w="1136"/>
        <w:gridCol w:w="570"/>
        <w:gridCol w:w="3965"/>
      </w:tblGrid>
      <w:tr w:rsidR="003D7242" w:rsidRPr="00264D5D" w14:paraId="6403609E" w14:textId="77777777" w:rsidTr="007B0FCD">
        <w:trPr>
          <w:cnfStyle w:val="100000000000" w:firstRow="1" w:lastRow="0" w:firstColumn="0" w:lastColumn="0" w:oddVBand="0" w:evenVBand="0" w:oddHBand="0" w:evenHBand="0" w:firstRowFirstColumn="0" w:firstRowLastColumn="0" w:lastRowFirstColumn="0" w:lastRowLastColumn="0"/>
          <w:tblHeader/>
        </w:trPr>
        <w:tc>
          <w:tcPr>
            <w:tcW w:w="1704" w:type="dxa"/>
          </w:tcPr>
          <w:p w14:paraId="3DF5B625" w14:textId="77777777" w:rsidR="003D7242" w:rsidRPr="00264D5D" w:rsidRDefault="003D7242" w:rsidP="00144ABC">
            <w:pPr>
              <w:pStyle w:val="GOSTTableHead"/>
              <w:keepNext w:val="0"/>
              <w:rPr>
                <w:b w:val="0"/>
                <w:szCs w:val="22"/>
              </w:rPr>
            </w:pPr>
            <w:r w:rsidRPr="00264D5D">
              <w:rPr>
                <w:szCs w:val="22"/>
              </w:rPr>
              <w:t>Наименование элемента</w:t>
            </w:r>
          </w:p>
        </w:tc>
        <w:tc>
          <w:tcPr>
            <w:tcW w:w="1705" w:type="dxa"/>
          </w:tcPr>
          <w:p w14:paraId="16596CCE" w14:textId="77777777" w:rsidR="003D7242" w:rsidRPr="00264D5D" w:rsidRDefault="003D7242" w:rsidP="00144ABC">
            <w:pPr>
              <w:pStyle w:val="GOSTTableHead"/>
              <w:keepNext w:val="0"/>
              <w:rPr>
                <w:b w:val="0"/>
                <w:szCs w:val="22"/>
              </w:rPr>
            </w:pPr>
            <w:r w:rsidRPr="00264D5D">
              <w:rPr>
                <w:szCs w:val="22"/>
              </w:rPr>
              <w:t>Сокращенное наименование (код) элемента</w:t>
            </w:r>
          </w:p>
        </w:tc>
        <w:tc>
          <w:tcPr>
            <w:tcW w:w="570" w:type="dxa"/>
          </w:tcPr>
          <w:p w14:paraId="7FAFD99F" w14:textId="77777777" w:rsidR="003D7242" w:rsidRPr="00264D5D" w:rsidRDefault="003D7242" w:rsidP="00144ABC">
            <w:pPr>
              <w:pStyle w:val="GOSTTableHead"/>
              <w:keepNext w:val="0"/>
              <w:rPr>
                <w:b w:val="0"/>
                <w:szCs w:val="22"/>
              </w:rPr>
            </w:pPr>
            <w:r w:rsidRPr="00264D5D">
              <w:rPr>
                <w:szCs w:val="22"/>
              </w:rPr>
              <w:t>Тип</w:t>
            </w:r>
          </w:p>
        </w:tc>
        <w:tc>
          <w:tcPr>
            <w:tcW w:w="1136" w:type="dxa"/>
          </w:tcPr>
          <w:p w14:paraId="183CB135" w14:textId="77777777" w:rsidR="003D7242" w:rsidRPr="00264D5D" w:rsidRDefault="003D7242" w:rsidP="00144ABC">
            <w:pPr>
              <w:pStyle w:val="GOSTTableHead"/>
              <w:keepNext w:val="0"/>
              <w:rPr>
                <w:b w:val="0"/>
                <w:szCs w:val="22"/>
              </w:rPr>
            </w:pPr>
            <w:r w:rsidRPr="00264D5D">
              <w:rPr>
                <w:szCs w:val="22"/>
              </w:rPr>
              <w:t>Формат элемента</w:t>
            </w:r>
          </w:p>
        </w:tc>
        <w:tc>
          <w:tcPr>
            <w:tcW w:w="570" w:type="dxa"/>
          </w:tcPr>
          <w:p w14:paraId="6B670F40" w14:textId="77777777" w:rsidR="003D7242" w:rsidRPr="00264D5D" w:rsidRDefault="003D7242" w:rsidP="00144ABC">
            <w:pPr>
              <w:pStyle w:val="GOSTTableHead"/>
              <w:keepNext w:val="0"/>
              <w:rPr>
                <w:b w:val="0"/>
                <w:szCs w:val="22"/>
              </w:rPr>
            </w:pPr>
            <w:r w:rsidRPr="00264D5D">
              <w:rPr>
                <w:szCs w:val="22"/>
              </w:rPr>
              <w:t>Обязательность</w:t>
            </w:r>
          </w:p>
        </w:tc>
        <w:tc>
          <w:tcPr>
            <w:tcW w:w="3965" w:type="dxa"/>
          </w:tcPr>
          <w:p w14:paraId="6BC0F1A6" w14:textId="77777777" w:rsidR="003D7242" w:rsidRPr="00264D5D" w:rsidRDefault="003D7242" w:rsidP="00144ABC">
            <w:pPr>
              <w:pStyle w:val="GOSTTableHead"/>
              <w:keepNext w:val="0"/>
              <w:rPr>
                <w:b w:val="0"/>
                <w:szCs w:val="22"/>
              </w:rPr>
            </w:pPr>
            <w:r w:rsidRPr="00264D5D">
              <w:rPr>
                <w:szCs w:val="22"/>
              </w:rPr>
              <w:t>Дополнительная информация</w:t>
            </w:r>
          </w:p>
        </w:tc>
      </w:tr>
      <w:tr w:rsidR="003D7242" w:rsidRPr="00264D5D" w14:paraId="49D18730" w14:textId="77777777" w:rsidTr="007B0FCD">
        <w:tc>
          <w:tcPr>
            <w:tcW w:w="1704" w:type="dxa"/>
          </w:tcPr>
          <w:p w14:paraId="709E7C37" w14:textId="77777777" w:rsidR="003D7242" w:rsidRPr="00264D5D" w:rsidRDefault="003D7242" w:rsidP="00144ABC">
            <w:pPr>
              <w:pStyle w:val="GOSTTablenorm"/>
              <w:rPr>
                <w:szCs w:val="22"/>
              </w:rPr>
            </w:pPr>
            <w:r w:rsidRPr="00264D5D">
              <w:t>Версия структуры формуляра</w:t>
            </w:r>
          </w:p>
        </w:tc>
        <w:tc>
          <w:tcPr>
            <w:tcW w:w="1705" w:type="dxa"/>
          </w:tcPr>
          <w:p w14:paraId="0B103CA0" w14:textId="77777777" w:rsidR="003D7242" w:rsidRPr="00264D5D" w:rsidRDefault="003D7242" w:rsidP="00144ABC">
            <w:pPr>
              <w:pStyle w:val="GOSTTablenorm"/>
              <w:rPr>
                <w:szCs w:val="22"/>
              </w:rPr>
            </w:pPr>
            <w:r w:rsidRPr="00264D5D">
              <w:t>Version</w:t>
            </w:r>
          </w:p>
        </w:tc>
        <w:tc>
          <w:tcPr>
            <w:tcW w:w="570" w:type="dxa"/>
          </w:tcPr>
          <w:p w14:paraId="08F2764F" w14:textId="77777777" w:rsidR="003D7242" w:rsidRPr="00264D5D" w:rsidRDefault="003D7242" w:rsidP="00144ABC">
            <w:pPr>
              <w:pStyle w:val="GOSTTablenorm"/>
              <w:jc w:val="center"/>
              <w:rPr>
                <w:szCs w:val="22"/>
              </w:rPr>
            </w:pPr>
            <w:r w:rsidRPr="00264D5D">
              <w:rPr>
                <w:lang w:val="en-US"/>
              </w:rPr>
              <w:t>А</w:t>
            </w:r>
          </w:p>
        </w:tc>
        <w:tc>
          <w:tcPr>
            <w:tcW w:w="1136" w:type="dxa"/>
          </w:tcPr>
          <w:p w14:paraId="58B1604E" w14:textId="77777777" w:rsidR="003D7242" w:rsidRPr="00264D5D" w:rsidRDefault="003D7242" w:rsidP="00144ABC">
            <w:pPr>
              <w:pStyle w:val="GOSTTablenorm"/>
              <w:rPr>
                <w:szCs w:val="22"/>
              </w:rPr>
            </w:pPr>
            <w:r w:rsidRPr="00264D5D">
              <w:t>-</w:t>
            </w:r>
          </w:p>
        </w:tc>
        <w:tc>
          <w:tcPr>
            <w:tcW w:w="570" w:type="dxa"/>
          </w:tcPr>
          <w:p w14:paraId="27C8859A" w14:textId="77777777" w:rsidR="003D7242" w:rsidRPr="00264D5D" w:rsidRDefault="003D7242" w:rsidP="00144ABC">
            <w:pPr>
              <w:pStyle w:val="GOSTTablenorm"/>
              <w:jc w:val="center"/>
              <w:rPr>
                <w:szCs w:val="22"/>
              </w:rPr>
            </w:pPr>
            <w:r w:rsidRPr="00264D5D">
              <w:t>О</w:t>
            </w:r>
          </w:p>
        </w:tc>
        <w:tc>
          <w:tcPr>
            <w:tcW w:w="3965" w:type="dxa"/>
          </w:tcPr>
          <w:p w14:paraId="52BA22AF" w14:textId="62336209" w:rsidR="003D7242" w:rsidRPr="00264D5D" w:rsidRDefault="003D7242" w:rsidP="00DC17E0">
            <w:pPr>
              <w:pStyle w:val="GOSTTablenorm"/>
              <w:rPr>
                <w:szCs w:val="22"/>
              </w:rPr>
            </w:pPr>
            <w:r w:rsidRPr="00264D5D">
              <w:rPr>
                <w:szCs w:val="22"/>
                <w:lang w:eastAsia="en-US"/>
              </w:rPr>
              <w:t>Указывается значение версии, соответствующее таблице</w:t>
            </w:r>
            <w:r w:rsidR="00DC17E0" w:rsidRPr="00264D5D">
              <w:rPr>
                <w:szCs w:val="22"/>
                <w:lang w:eastAsia="en-US"/>
              </w:rPr>
              <w:t xml:space="preserve"> </w:t>
            </w:r>
            <w:r w:rsidR="00DC17E0" w:rsidRPr="00264D5D">
              <w:rPr>
                <w:szCs w:val="22"/>
                <w:lang w:eastAsia="en-US"/>
              </w:rPr>
              <w:fldChar w:fldCharType="begin"/>
            </w:r>
            <w:r w:rsidR="00DC17E0" w:rsidRPr="00264D5D">
              <w:rPr>
                <w:szCs w:val="22"/>
                <w:lang w:eastAsia="en-US"/>
              </w:rPr>
              <w:instrText xml:space="preserve"> REF _Ref19881821 \h  \* MERGEFORMAT </w:instrText>
            </w:r>
            <w:r w:rsidR="00DC17E0" w:rsidRPr="00264D5D">
              <w:rPr>
                <w:szCs w:val="22"/>
                <w:lang w:eastAsia="en-US"/>
              </w:rPr>
            </w:r>
            <w:r w:rsidR="00DC17E0" w:rsidRPr="00264D5D">
              <w:rPr>
                <w:szCs w:val="22"/>
                <w:lang w:eastAsia="en-US"/>
              </w:rPr>
              <w:fldChar w:fldCharType="separate"/>
            </w:r>
            <w:r w:rsidR="008D797C" w:rsidRPr="008D797C">
              <w:rPr>
                <w:rFonts w:eastAsia="Calibri"/>
                <w:noProof/>
                <w:szCs w:val="24"/>
              </w:rPr>
              <w:t>2</w:t>
            </w:r>
            <w:r w:rsidR="00DC17E0" w:rsidRPr="00264D5D">
              <w:rPr>
                <w:szCs w:val="22"/>
                <w:lang w:eastAsia="en-US"/>
              </w:rPr>
              <w:fldChar w:fldCharType="end"/>
            </w:r>
          </w:p>
        </w:tc>
      </w:tr>
      <w:tr w:rsidR="003D7242" w:rsidRPr="00264D5D" w14:paraId="0338A48B" w14:textId="77777777" w:rsidTr="007B0FCD">
        <w:tc>
          <w:tcPr>
            <w:tcW w:w="1704" w:type="dxa"/>
          </w:tcPr>
          <w:p w14:paraId="063C20B2" w14:textId="77777777" w:rsidR="003D7242" w:rsidRPr="00264D5D" w:rsidRDefault="003D7242" w:rsidP="00144ABC">
            <w:pPr>
              <w:pStyle w:val="GOSTTablenorm"/>
              <w:rPr>
                <w:szCs w:val="22"/>
              </w:rPr>
            </w:pPr>
            <w:r w:rsidRPr="00264D5D">
              <w:rPr>
                <w:szCs w:val="22"/>
              </w:rPr>
              <w:t>ГУИД</w:t>
            </w:r>
          </w:p>
        </w:tc>
        <w:tc>
          <w:tcPr>
            <w:tcW w:w="1705" w:type="dxa"/>
          </w:tcPr>
          <w:p w14:paraId="4BBF017D" w14:textId="77777777" w:rsidR="003D7242" w:rsidRPr="00264D5D" w:rsidRDefault="003D7242" w:rsidP="00144ABC">
            <w:pPr>
              <w:pStyle w:val="GOSTTablenorm"/>
              <w:rPr>
                <w:szCs w:val="22"/>
              </w:rPr>
            </w:pPr>
            <w:r w:rsidRPr="00264D5D">
              <w:rPr>
                <w:szCs w:val="22"/>
              </w:rPr>
              <w:t>Guid_FK</w:t>
            </w:r>
          </w:p>
        </w:tc>
        <w:tc>
          <w:tcPr>
            <w:tcW w:w="570" w:type="dxa"/>
          </w:tcPr>
          <w:p w14:paraId="79A8F46B" w14:textId="77777777" w:rsidR="003D7242" w:rsidRPr="00264D5D" w:rsidRDefault="003D7242" w:rsidP="00144ABC">
            <w:pPr>
              <w:pStyle w:val="GOSTTablenorm"/>
              <w:jc w:val="center"/>
              <w:rPr>
                <w:szCs w:val="22"/>
              </w:rPr>
            </w:pPr>
            <w:r w:rsidRPr="00264D5D">
              <w:rPr>
                <w:szCs w:val="22"/>
              </w:rPr>
              <w:t>П</w:t>
            </w:r>
          </w:p>
        </w:tc>
        <w:tc>
          <w:tcPr>
            <w:tcW w:w="1136" w:type="dxa"/>
          </w:tcPr>
          <w:p w14:paraId="61B5AF2B" w14:textId="77777777" w:rsidR="003D7242" w:rsidRPr="00264D5D" w:rsidRDefault="003D7242" w:rsidP="00144ABC">
            <w:pPr>
              <w:pStyle w:val="GOSTTablenorm"/>
              <w:rPr>
                <w:szCs w:val="22"/>
                <w:lang w:val="en-US"/>
              </w:rPr>
            </w:pPr>
            <w:r w:rsidRPr="00264D5D">
              <w:rPr>
                <w:szCs w:val="22"/>
                <w:lang w:val="en-US"/>
              </w:rPr>
              <w:t>GUID</w:t>
            </w:r>
          </w:p>
        </w:tc>
        <w:tc>
          <w:tcPr>
            <w:tcW w:w="570" w:type="dxa"/>
          </w:tcPr>
          <w:p w14:paraId="120E0008" w14:textId="77777777" w:rsidR="003D7242" w:rsidRPr="00264D5D" w:rsidRDefault="003D7242" w:rsidP="00144ABC">
            <w:pPr>
              <w:pStyle w:val="GOSTTablenorm"/>
              <w:jc w:val="center"/>
              <w:rPr>
                <w:szCs w:val="22"/>
              </w:rPr>
            </w:pPr>
            <w:r w:rsidRPr="00264D5D">
              <w:rPr>
                <w:szCs w:val="22"/>
              </w:rPr>
              <w:t>О</w:t>
            </w:r>
          </w:p>
        </w:tc>
        <w:tc>
          <w:tcPr>
            <w:tcW w:w="3965" w:type="dxa"/>
          </w:tcPr>
          <w:p w14:paraId="3E23EC9A" w14:textId="77777777" w:rsidR="003D7242" w:rsidRPr="00264D5D" w:rsidRDefault="003D7242" w:rsidP="00144ABC">
            <w:pPr>
              <w:pStyle w:val="GOSTTablenorm"/>
              <w:rPr>
                <w:szCs w:val="22"/>
              </w:rPr>
            </w:pPr>
            <w:r w:rsidRPr="00264D5D">
              <w:rPr>
                <w:szCs w:val="22"/>
              </w:rPr>
              <w:t>Указывается ГУИД документа</w:t>
            </w:r>
          </w:p>
        </w:tc>
      </w:tr>
      <w:tr w:rsidR="003D7242" w:rsidRPr="00264D5D" w14:paraId="4B0B8A43" w14:textId="77777777" w:rsidTr="007B0FCD">
        <w:tc>
          <w:tcPr>
            <w:tcW w:w="1704" w:type="dxa"/>
          </w:tcPr>
          <w:p w14:paraId="2F0D1EBF" w14:textId="77777777" w:rsidR="003D7242" w:rsidRPr="00264D5D" w:rsidRDefault="003D7242" w:rsidP="00144ABC">
            <w:pPr>
              <w:pStyle w:val="GOSTTablenorm"/>
              <w:rPr>
                <w:szCs w:val="22"/>
              </w:rPr>
            </w:pPr>
            <w:r w:rsidRPr="00264D5D">
              <w:t xml:space="preserve">ГУИД запроса </w:t>
            </w:r>
            <w:r w:rsidRPr="00264D5D">
              <w:lastRenderedPageBreak/>
              <w:t>на выяснение принадлежности платежа</w:t>
            </w:r>
          </w:p>
        </w:tc>
        <w:tc>
          <w:tcPr>
            <w:tcW w:w="1705" w:type="dxa"/>
          </w:tcPr>
          <w:p w14:paraId="25614C59" w14:textId="77777777" w:rsidR="003D7242" w:rsidRPr="00264D5D" w:rsidRDefault="003D7242" w:rsidP="00144ABC">
            <w:pPr>
              <w:pStyle w:val="GOSTTablenorm"/>
              <w:rPr>
                <w:szCs w:val="22"/>
              </w:rPr>
            </w:pPr>
            <w:r w:rsidRPr="00264D5D">
              <w:rPr>
                <w:szCs w:val="22"/>
              </w:rPr>
              <w:lastRenderedPageBreak/>
              <w:t>Guid_</w:t>
            </w:r>
            <w:r w:rsidRPr="00264D5D">
              <w:rPr>
                <w:szCs w:val="22"/>
                <w:lang w:val="en-US"/>
              </w:rPr>
              <w:t>Z</w:t>
            </w:r>
            <w:r w:rsidRPr="00264D5D">
              <w:rPr>
                <w:szCs w:val="22"/>
              </w:rPr>
              <w:t>F</w:t>
            </w:r>
          </w:p>
        </w:tc>
        <w:tc>
          <w:tcPr>
            <w:tcW w:w="570" w:type="dxa"/>
          </w:tcPr>
          <w:p w14:paraId="20BABD56" w14:textId="77777777" w:rsidR="003D7242" w:rsidRPr="00264D5D" w:rsidRDefault="003D7242" w:rsidP="00144ABC">
            <w:pPr>
              <w:pStyle w:val="GOSTTablenorm"/>
              <w:jc w:val="center"/>
              <w:rPr>
                <w:szCs w:val="22"/>
              </w:rPr>
            </w:pPr>
            <w:r w:rsidRPr="00264D5D">
              <w:rPr>
                <w:szCs w:val="22"/>
              </w:rPr>
              <w:t>П</w:t>
            </w:r>
          </w:p>
        </w:tc>
        <w:tc>
          <w:tcPr>
            <w:tcW w:w="1136" w:type="dxa"/>
          </w:tcPr>
          <w:p w14:paraId="36FE5F43" w14:textId="77777777" w:rsidR="003D7242" w:rsidRPr="00264D5D" w:rsidRDefault="003D7242" w:rsidP="00144ABC">
            <w:pPr>
              <w:pStyle w:val="GOSTTablenorm"/>
              <w:rPr>
                <w:szCs w:val="22"/>
                <w:lang w:val="en-US"/>
              </w:rPr>
            </w:pPr>
            <w:r w:rsidRPr="00264D5D">
              <w:rPr>
                <w:szCs w:val="22"/>
                <w:lang w:val="en-US"/>
              </w:rPr>
              <w:t>GUID</w:t>
            </w:r>
          </w:p>
        </w:tc>
        <w:tc>
          <w:tcPr>
            <w:tcW w:w="570" w:type="dxa"/>
          </w:tcPr>
          <w:p w14:paraId="57997111" w14:textId="77777777" w:rsidR="003D7242" w:rsidRPr="00264D5D" w:rsidRDefault="003D7242" w:rsidP="00144ABC">
            <w:pPr>
              <w:pStyle w:val="GOSTTablenorm"/>
              <w:jc w:val="center"/>
              <w:rPr>
                <w:szCs w:val="22"/>
              </w:rPr>
            </w:pPr>
            <w:r w:rsidRPr="00264D5D">
              <w:rPr>
                <w:szCs w:val="22"/>
              </w:rPr>
              <w:t>Н</w:t>
            </w:r>
          </w:p>
        </w:tc>
        <w:tc>
          <w:tcPr>
            <w:tcW w:w="3965" w:type="dxa"/>
          </w:tcPr>
          <w:p w14:paraId="34939050" w14:textId="77777777" w:rsidR="003D7242" w:rsidRPr="00264D5D" w:rsidRDefault="003D7242" w:rsidP="00144ABC">
            <w:pPr>
              <w:pStyle w:val="GOSTTablenorm"/>
              <w:rPr>
                <w:szCs w:val="22"/>
              </w:rPr>
            </w:pPr>
            <w:r w:rsidRPr="00264D5D">
              <w:rPr>
                <w:szCs w:val="22"/>
              </w:rPr>
              <w:t xml:space="preserve">Указывается ГУИД запроса на </w:t>
            </w:r>
            <w:r w:rsidRPr="00264D5D">
              <w:rPr>
                <w:szCs w:val="22"/>
              </w:rPr>
              <w:lastRenderedPageBreak/>
              <w:t>выяснение принадлежности платежа, присвоенный ТОФК.</w:t>
            </w:r>
          </w:p>
          <w:p w14:paraId="1C141F90" w14:textId="77777777" w:rsidR="003D7242" w:rsidRPr="00264D5D" w:rsidRDefault="003D7242" w:rsidP="00144ABC">
            <w:pPr>
              <w:pStyle w:val="GOSTTablenorm"/>
              <w:rPr>
                <w:szCs w:val="22"/>
              </w:rPr>
            </w:pPr>
            <w:r w:rsidRPr="00264D5D">
              <w:rPr>
                <w:szCs w:val="22"/>
              </w:rPr>
              <w:t>Обязательно для заполнения при уточнении АДБ/АИФДБ невыясненных поступлений, зачисляемых в федеральный бюджет</w:t>
            </w:r>
          </w:p>
        </w:tc>
      </w:tr>
      <w:tr w:rsidR="003D7242" w:rsidRPr="00264D5D" w14:paraId="43492BAA" w14:textId="77777777" w:rsidTr="007B0FCD">
        <w:tc>
          <w:tcPr>
            <w:tcW w:w="1704" w:type="dxa"/>
          </w:tcPr>
          <w:p w14:paraId="14C419F7" w14:textId="77777777" w:rsidR="003D7242" w:rsidRPr="00264D5D" w:rsidRDefault="003D7242" w:rsidP="00144ABC">
            <w:pPr>
              <w:pStyle w:val="GOSTTablenorm"/>
              <w:rPr>
                <w:szCs w:val="22"/>
              </w:rPr>
            </w:pPr>
            <w:r w:rsidRPr="00264D5D">
              <w:rPr>
                <w:szCs w:val="22"/>
              </w:rPr>
              <w:lastRenderedPageBreak/>
              <w:t>Номер</w:t>
            </w:r>
          </w:p>
        </w:tc>
        <w:tc>
          <w:tcPr>
            <w:tcW w:w="1705" w:type="dxa"/>
          </w:tcPr>
          <w:p w14:paraId="4224C23E" w14:textId="77777777" w:rsidR="003D7242" w:rsidRPr="00264D5D" w:rsidRDefault="003D7242" w:rsidP="00144ABC">
            <w:pPr>
              <w:pStyle w:val="GOSTTablenorm"/>
              <w:rPr>
                <w:szCs w:val="22"/>
              </w:rPr>
            </w:pPr>
            <w:r w:rsidRPr="00264D5D">
              <w:rPr>
                <w:szCs w:val="22"/>
              </w:rPr>
              <w:t>Nom_Doc</w:t>
            </w:r>
          </w:p>
        </w:tc>
        <w:tc>
          <w:tcPr>
            <w:tcW w:w="570" w:type="dxa"/>
          </w:tcPr>
          <w:p w14:paraId="173C9021" w14:textId="77777777" w:rsidR="003D7242" w:rsidRPr="00264D5D" w:rsidRDefault="003D7242" w:rsidP="00144ABC">
            <w:pPr>
              <w:pStyle w:val="GOSTTablenorm"/>
              <w:jc w:val="center"/>
              <w:rPr>
                <w:szCs w:val="22"/>
              </w:rPr>
            </w:pPr>
            <w:r w:rsidRPr="00264D5D">
              <w:rPr>
                <w:szCs w:val="22"/>
              </w:rPr>
              <w:t>П</w:t>
            </w:r>
          </w:p>
        </w:tc>
        <w:tc>
          <w:tcPr>
            <w:tcW w:w="1136" w:type="dxa"/>
          </w:tcPr>
          <w:p w14:paraId="09720008" w14:textId="77777777" w:rsidR="003D7242" w:rsidRPr="00264D5D" w:rsidRDefault="003D7242" w:rsidP="00144ABC">
            <w:pPr>
              <w:pStyle w:val="GOSTTablenorm"/>
              <w:rPr>
                <w:szCs w:val="22"/>
                <w:lang w:val="en-US"/>
              </w:rPr>
            </w:pPr>
            <w:r w:rsidRPr="00264D5D">
              <w:rPr>
                <w:szCs w:val="22"/>
                <w:lang w:val="en-US"/>
              </w:rPr>
              <w:t>T(1-15)</w:t>
            </w:r>
          </w:p>
        </w:tc>
        <w:tc>
          <w:tcPr>
            <w:tcW w:w="570" w:type="dxa"/>
          </w:tcPr>
          <w:p w14:paraId="7577F5AA" w14:textId="77777777" w:rsidR="003D7242" w:rsidRPr="00264D5D" w:rsidRDefault="003D7242" w:rsidP="00144ABC">
            <w:pPr>
              <w:pStyle w:val="GOSTTablenorm"/>
              <w:jc w:val="center"/>
              <w:rPr>
                <w:szCs w:val="22"/>
              </w:rPr>
            </w:pPr>
            <w:r w:rsidRPr="00264D5D">
              <w:rPr>
                <w:szCs w:val="22"/>
              </w:rPr>
              <w:t>О</w:t>
            </w:r>
          </w:p>
        </w:tc>
        <w:tc>
          <w:tcPr>
            <w:tcW w:w="3965" w:type="dxa"/>
          </w:tcPr>
          <w:p w14:paraId="161874E5" w14:textId="77777777" w:rsidR="003D7242" w:rsidRPr="00264D5D" w:rsidRDefault="003D7242" w:rsidP="00144ABC">
            <w:pPr>
              <w:pStyle w:val="GOSTTablenorm"/>
              <w:rPr>
                <w:szCs w:val="22"/>
              </w:rPr>
            </w:pPr>
            <w:r w:rsidRPr="00264D5D">
              <w:rPr>
                <w:szCs w:val="22"/>
              </w:rPr>
              <w:t xml:space="preserve">Указывается </w:t>
            </w:r>
            <w:r w:rsidRPr="00264D5D">
              <w:t>номер документа. Уникален в пределах даты, за которую сформирован документ</w:t>
            </w:r>
          </w:p>
        </w:tc>
      </w:tr>
      <w:tr w:rsidR="003D7242" w:rsidRPr="00264D5D" w14:paraId="65760D19" w14:textId="77777777" w:rsidTr="007B0FCD">
        <w:tc>
          <w:tcPr>
            <w:tcW w:w="1704" w:type="dxa"/>
          </w:tcPr>
          <w:p w14:paraId="691CF49E" w14:textId="77777777" w:rsidR="003D7242" w:rsidRPr="00264D5D" w:rsidRDefault="003D7242" w:rsidP="00144ABC">
            <w:pPr>
              <w:pStyle w:val="GOSTTablenorm"/>
              <w:rPr>
                <w:szCs w:val="22"/>
              </w:rPr>
            </w:pPr>
            <w:r w:rsidRPr="00264D5D">
              <w:rPr>
                <w:szCs w:val="22"/>
              </w:rPr>
              <w:t>Дата</w:t>
            </w:r>
          </w:p>
        </w:tc>
        <w:tc>
          <w:tcPr>
            <w:tcW w:w="1705" w:type="dxa"/>
          </w:tcPr>
          <w:p w14:paraId="16E145C4" w14:textId="77777777" w:rsidR="003D7242" w:rsidRPr="00264D5D" w:rsidRDefault="003D7242" w:rsidP="00144ABC">
            <w:pPr>
              <w:pStyle w:val="GOSTTablenorm"/>
              <w:rPr>
                <w:szCs w:val="22"/>
              </w:rPr>
            </w:pPr>
            <w:r w:rsidRPr="00264D5D">
              <w:rPr>
                <w:szCs w:val="22"/>
              </w:rPr>
              <w:t>Date_Doc</w:t>
            </w:r>
          </w:p>
        </w:tc>
        <w:tc>
          <w:tcPr>
            <w:tcW w:w="570" w:type="dxa"/>
          </w:tcPr>
          <w:p w14:paraId="5B3E270D" w14:textId="77777777" w:rsidR="003D7242" w:rsidRPr="00264D5D" w:rsidRDefault="003D7242" w:rsidP="00144ABC">
            <w:pPr>
              <w:pStyle w:val="GOSTTablenorm"/>
              <w:jc w:val="center"/>
              <w:rPr>
                <w:szCs w:val="22"/>
              </w:rPr>
            </w:pPr>
            <w:r w:rsidRPr="00264D5D">
              <w:rPr>
                <w:szCs w:val="22"/>
              </w:rPr>
              <w:t>П</w:t>
            </w:r>
          </w:p>
        </w:tc>
        <w:tc>
          <w:tcPr>
            <w:tcW w:w="1136" w:type="dxa"/>
          </w:tcPr>
          <w:p w14:paraId="7A6CF60F" w14:textId="77777777" w:rsidR="003D7242" w:rsidRPr="00264D5D" w:rsidRDefault="003D7242" w:rsidP="00144ABC">
            <w:pPr>
              <w:pStyle w:val="GOSTTablenorm"/>
              <w:rPr>
                <w:szCs w:val="22"/>
              </w:rPr>
            </w:pPr>
            <w:r w:rsidRPr="00264D5D">
              <w:rPr>
                <w:szCs w:val="22"/>
                <w:lang w:val="en-US"/>
              </w:rPr>
              <w:t>Date</w:t>
            </w:r>
          </w:p>
        </w:tc>
        <w:tc>
          <w:tcPr>
            <w:tcW w:w="570" w:type="dxa"/>
          </w:tcPr>
          <w:p w14:paraId="4128A392" w14:textId="77777777" w:rsidR="003D7242" w:rsidRPr="00264D5D" w:rsidRDefault="003D7242" w:rsidP="00144ABC">
            <w:pPr>
              <w:pStyle w:val="GOSTTablenorm"/>
              <w:jc w:val="center"/>
              <w:rPr>
                <w:szCs w:val="22"/>
              </w:rPr>
            </w:pPr>
            <w:r w:rsidRPr="00264D5D">
              <w:rPr>
                <w:szCs w:val="22"/>
              </w:rPr>
              <w:t>О</w:t>
            </w:r>
          </w:p>
        </w:tc>
        <w:tc>
          <w:tcPr>
            <w:tcW w:w="3965" w:type="dxa"/>
          </w:tcPr>
          <w:p w14:paraId="4F17F746" w14:textId="77777777" w:rsidR="003D7242" w:rsidRPr="00264D5D" w:rsidRDefault="003D7242" w:rsidP="00144ABC">
            <w:pPr>
              <w:pStyle w:val="GOSTTablenorm"/>
              <w:rPr>
                <w:szCs w:val="22"/>
              </w:rPr>
            </w:pPr>
            <w:r w:rsidRPr="00264D5D">
              <w:rPr>
                <w:szCs w:val="22"/>
              </w:rPr>
              <w:t>Указывается дата документа</w:t>
            </w:r>
          </w:p>
        </w:tc>
      </w:tr>
      <w:tr w:rsidR="003D7242" w:rsidRPr="00264D5D" w14:paraId="021C169F" w14:textId="77777777" w:rsidTr="007B0FCD">
        <w:tc>
          <w:tcPr>
            <w:tcW w:w="1704" w:type="dxa"/>
          </w:tcPr>
          <w:p w14:paraId="7CE15BA9" w14:textId="77777777" w:rsidR="003D7242" w:rsidRPr="00264D5D" w:rsidRDefault="003D7242" w:rsidP="00144ABC">
            <w:pPr>
              <w:pStyle w:val="GOSTTablenorm"/>
              <w:rPr>
                <w:szCs w:val="22"/>
              </w:rPr>
            </w:pPr>
            <w:r w:rsidRPr="00264D5D">
              <w:t>Наименование налогового органа</w:t>
            </w:r>
          </w:p>
        </w:tc>
        <w:tc>
          <w:tcPr>
            <w:tcW w:w="1705" w:type="dxa"/>
          </w:tcPr>
          <w:p w14:paraId="6C864B97" w14:textId="77777777" w:rsidR="003D7242" w:rsidRPr="00264D5D" w:rsidRDefault="003D7242" w:rsidP="00144ABC">
            <w:pPr>
              <w:pStyle w:val="GOSTTablenorm"/>
              <w:rPr>
                <w:szCs w:val="22"/>
              </w:rPr>
            </w:pPr>
            <w:r w:rsidRPr="00264D5D">
              <w:rPr>
                <w:szCs w:val="22"/>
              </w:rPr>
              <w:t>FNS_Name</w:t>
            </w:r>
          </w:p>
        </w:tc>
        <w:tc>
          <w:tcPr>
            <w:tcW w:w="570" w:type="dxa"/>
          </w:tcPr>
          <w:p w14:paraId="770EE0F4" w14:textId="77777777" w:rsidR="003D7242" w:rsidRPr="00264D5D" w:rsidRDefault="003D7242" w:rsidP="00144ABC">
            <w:pPr>
              <w:pStyle w:val="GOSTTablenorm"/>
              <w:jc w:val="center"/>
              <w:rPr>
                <w:szCs w:val="22"/>
              </w:rPr>
            </w:pPr>
            <w:r w:rsidRPr="00264D5D">
              <w:rPr>
                <w:szCs w:val="22"/>
              </w:rPr>
              <w:t>П</w:t>
            </w:r>
          </w:p>
        </w:tc>
        <w:tc>
          <w:tcPr>
            <w:tcW w:w="1136" w:type="dxa"/>
          </w:tcPr>
          <w:p w14:paraId="10D8EFA6" w14:textId="77777777" w:rsidR="003D7242" w:rsidRPr="00264D5D" w:rsidRDefault="003D7242" w:rsidP="00144ABC">
            <w:pPr>
              <w:pStyle w:val="GOSTTablenorm"/>
              <w:rPr>
                <w:szCs w:val="22"/>
              </w:rPr>
            </w:pPr>
            <w:r w:rsidRPr="00264D5D">
              <w:rPr>
                <w:szCs w:val="22"/>
                <w:lang w:val="en-US"/>
              </w:rPr>
              <w:t>T</w:t>
            </w:r>
            <w:r w:rsidRPr="00264D5D">
              <w:rPr>
                <w:szCs w:val="22"/>
              </w:rPr>
              <w:t>(1-2000)</w:t>
            </w:r>
          </w:p>
        </w:tc>
        <w:tc>
          <w:tcPr>
            <w:tcW w:w="570" w:type="dxa"/>
          </w:tcPr>
          <w:p w14:paraId="6D6E6248" w14:textId="77777777" w:rsidR="003D7242" w:rsidRPr="00264D5D" w:rsidRDefault="003D7242" w:rsidP="00144ABC">
            <w:pPr>
              <w:pStyle w:val="GOSTTablenorm"/>
              <w:jc w:val="center"/>
              <w:rPr>
                <w:szCs w:val="22"/>
              </w:rPr>
            </w:pPr>
            <w:r w:rsidRPr="00264D5D">
              <w:rPr>
                <w:szCs w:val="22"/>
              </w:rPr>
              <w:t>О</w:t>
            </w:r>
          </w:p>
        </w:tc>
        <w:tc>
          <w:tcPr>
            <w:tcW w:w="3965" w:type="dxa"/>
          </w:tcPr>
          <w:p w14:paraId="3EBD6017" w14:textId="77777777" w:rsidR="003D7242" w:rsidRPr="00264D5D" w:rsidRDefault="003D7242" w:rsidP="00144ABC">
            <w:pPr>
              <w:pStyle w:val="GOSTTablenorm"/>
              <w:rPr>
                <w:szCs w:val="22"/>
              </w:rPr>
            </w:pPr>
            <w:r w:rsidRPr="00264D5D">
              <w:t>Указывается полное или сокращенное наименование налогового органа, направившего распоряжение, в соответствии со Сводным реестром</w:t>
            </w:r>
          </w:p>
        </w:tc>
      </w:tr>
      <w:tr w:rsidR="003D7242" w:rsidRPr="00264D5D" w14:paraId="692205E0" w14:textId="77777777" w:rsidTr="007B0FCD">
        <w:tc>
          <w:tcPr>
            <w:tcW w:w="1704" w:type="dxa"/>
          </w:tcPr>
          <w:p w14:paraId="0A9C7116" w14:textId="77777777" w:rsidR="003D7242" w:rsidRPr="00264D5D" w:rsidRDefault="003D7242" w:rsidP="00144ABC">
            <w:pPr>
              <w:pStyle w:val="GOSTTablenorm"/>
            </w:pPr>
            <w:r w:rsidRPr="00264D5D">
              <w:t>Код по Сводному реестру</w:t>
            </w:r>
          </w:p>
        </w:tc>
        <w:tc>
          <w:tcPr>
            <w:tcW w:w="1705" w:type="dxa"/>
          </w:tcPr>
          <w:p w14:paraId="2EAB09A0" w14:textId="77777777" w:rsidR="003D7242" w:rsidRPr="00264D5D" w:rsidRDefault="003D7242" w:rsidP="00144ABC">
            <w:pPr>
              <w:pStyle w:val="GOSTTablenorm"/>
              <w:rPr>
                <w:szCs w:val="22"/>
              </w:rPr>
            </w:pPr>
            <w:r w:rsidRPr="00264D5D">
              <w:rPr>
                <w:szCs w:val="22"/>
              </w:rPr>
              <w:t>UBP_Code</w:t>
            </w:r>
          </w:p>
        </w:tc>
        <w:tc>
          <w:tcPr>
            <w:tcW w:w="570" w:type="dxa"/>
          </w:tcPr>
          <w:p w14:paraId="729D052C" w14:textId="77777777" w:rsidR="003D7242" w:rsidRPr="00264D5D" w:rsidRDefault="003D7242" w:rsidP="00144ABC">
            <w:pPr>
              <w:pStyle w:val="GOSTTablenorm"/>
              <w:jc w:val="center"/>
              <w:rPr>
                <w:szCs w:val="22"/>
              </w:rPr>
            </w:pPr>
            <w:r w:rsidRPr="00264D5D">
              <w:rPr>
                <w:szCs w:val="22"/>
              </w:rPr>
              <w:t>П</w:t>
            </w:r>
          </w:p>
        </w:tc>
        <w:tc>
          <w:tcPr>
            <w:tcW w:w="1136" w:type="dxa"/>
          </w:tcPr>
          <w:p w14:paraId="0CDC5393" w14:textId="77777777" w:rsidR="003D7242" w:rsidRPr="00264D5D" w:rsidRDefault="003D7242" w:rsidP="00144ABC">
            <w:pPr>
              <w:pStyle w:val="GOSTTablenorm"/>
              <w:rPr>
                <w:szCs w:val="22"/>
                <w:lang w:val="en-US"/>
              </w:rPr>
            </w:pPr>
            <w:r w:rsidRPr="00264D5D">
              <w:rPr>
                <w:szCs w:val="22"/>
                <w:lang w:val="en-US"/>
              </w:rPr>
              <w:t>T(</w:t>
            </w:r>
            <w:r w:rsidRPr="00264D5D">
              <w:rPr>
                <w:szCs w:val="22"/>
              </w:rPr>
              <w:t>8</w:t>
            </w:r>
            <w:r w:rsidRPr="00264D5D">
              <w:rPr>
                <w:szCs w:val="22"/>
                <w:lang w:val="en-US"/>
              </w:rPr>
              <w:t>)</w:t>
            </w:r>
          </w:p>
        </w:tc>
        <w:tc>
          <w:tcPr>
            <w:tcW w:w="570" w:type="dxa"/>
          </w:tcPr>
          <w:p w14:paraId="7B7EDD87" w14:textId="77777777" w:rsidR="003D7242" w:rsidRPr="00264D5D" w:rsidRDefault="003D7242" w:rsidP="00144ABC">
            <w:pPr>
              <w:pStyle w:val="GOSTTablenorm"/>
              <w:jc w:val="center"/>
              <w:rPr>
                <w:szCs w:val="22"/>
              </w:rPr>
            </w:pPr>
            <w:r w:rsidRPr="00264D5D">
              <w:rPr>
                <w:szCs w:val="22"/>
              </w:rPr>
              <w:t>О</w:t>
            </w:r>
          </w:p>
        </w:tc>
        <w:tc>
          <w:tcPr>
            <w:tcW w:w="3965" w:type="dxa"/>
          </w:tcPr>
          <w:p w14:paraId="4D058DE9" w14:textId="77777777" w:rsidR="003D7242" w:rsidRPr="00264D5D" w:rsidRDefault="003D7242" w:rsidP="00144ABC">
            <w:pPr>
              <w:pStyle w:val="GOSTTablenorm"/>
            </w:pPr>
            <w:r w:rsidRPr="00264D5D">
              <w:t>Указывается код по Сводному реестру налогового органа, направившего документ</w:t>
            </w:r>
          </w:p>
        </w:tc>
      </w:tr>
      <w:tr w:rsidR="003D7242" w:rsidRPr="00264D5D" w14:paraId="67CEE3F7" w14:textId="77777777" w:rsidTr="007B0FCD">
        <w:tc>
          <w:tcPr>
            <w:tcW w:w="1704" w:type="dxa"/>
          </w:tcPr>
          <w:p w14:paraId="5948413C" w14:textId="77777777" w:rsidR="003D7242" w:rsidRPr="00264D5D" w:rsidRDefault="003D7242" w:rsidP="00144ABC">
            <w:pPr>
              <w:pStyle w:val="GOSTTablenorm"/>
            </w:pPr>
            <w:r w:rsidRPr="00264D5D">
              <w:t>Наименование ТОФК</w:t>
            </w:r>
          </w:p>
        </w:tc>
        <w:tc>
          <w:tcPr>
            <w:tcW w:w="1705" w:type="dxa"/>
          </w:tcPr>
          <w:p w14:paraId="43FB72FD" w14:textId="77777777" w:rsidR="003D7242" w:rsidRPr="00264D5D" w:rsidRDefault="003D7242" w:rsidP="00144ABC">
            <w:pPr>
              <w:pStyle w:val="GOSTTablenorm"/>
              <w:rPr>
                <w:szCs w:val="22"/>
              </w:rPr>
            </w:pPr>
            <w:r w:rsidRPr="00264D5D">
              <w:rPr>
                <w:szCs w:val="22"/>
              </w:rPr>
              <w:t>TOFK_Name</w:t>
            </w:r>
          </w:p>
        </w:tc>
        <w:tc>
          <w:tcPr>
            <w:tcW w:w="570" w:type="dxa"/>
          </w:tcPr>
          <w:p w14:paraId="207725BC" w14:textId="77777777" w:rsidR="003D7242" w:rsidRPr="00264D5D" w:rsidRDefault="003D7242" w:rsidP="00144ABC">
            <w:pPr>
              <w:pStyle w:val="GOSTTablenorm"/>
              <w:jc w:val="center"/>
              <w:rPr>
                <w:szCs w:val="22"/>
              </w:rPr>
            </w:pPr>
            <w:r w:rsidRPr="00264D5D">
              <w:rPr>
                <w:szCs w:val="22"/>
              </w:rPr>
              <w:t>П</w:t>
            </w:r>
          </w:p>
        </w:tc>
        <w:tc>
          <w:tcPr>
            <w:tcW w:w="1136" w:type="dxa"/>
          </w:tcPr>
          <w:p w14:paraId="15EF5E43" w14:textId="77777777" w:rsidR="003D7242" w:rsidRPr="00264D5D" w:rsidRDefault="003D7242" w:rsidP="00144ABC">
            <w:pPr>
              <w:pStyle w:val="GOSTTablenorm"/>
              <w:rPr>
                <w:szCs w:val="22"/>
              </w:rPr>
            </w:pPr>
            <w:r w:rsidRPr="00264D5D">
              <w:rPr>
                <w:szCs w:val="22"/>
                <w:lang w:val="en-US"/>
              </w:rPr>
              <w:t>T(1-2</w:t>
            </w:r>
            <w:r w:rsidRPr="00264D5D">
              <w:rPr>
                <w:szCs w:val="22"/>
              </w:rPr>
              <w:t>000</w:t>
            </w:r>
            <w:r w:rsidRPr="00264D5D">
              <w:rPr>
                <w:szCs w:val="22"/>
                <w:lang w:val="en-US"/>
              </w:rPr>
              <w:t>)</w:t>
            </w:r>
          </w:p>
        </w:tc>
        <w:tc>
          <w:tcPr>
            <w:tcW w:w="570" w:type="dxa"/>
          </w:tcPr>
          <w:p w14:paraId="1AFFF653" w14:textId="77777777" w:rsidR="003D7242" w:rsidRPr="00264D5D" w:rsidRDefault="003D7242" w:rsidP="00144ABC">
            <w:pPr>
              <w:pStyle w:val="GOSTTablenorm"/>
              <w:jc w:val="center"/>
              <w:rPr>
                <w:szCs w:val="22"/>
              </w:rPr>
            </w:pPr>
            <w:r w:rsidRPr="00264D5D">
              <w:rPr>
                <w:szCs w:val="22"/>
              </w:rPr>
              <w:t>О</w:t>
            </w:r>
          </w:p>
        </w:tc>
        <w:tc>
          <w:tcPr>
            <w:tcW w:w="3965" w:type="dxa"/>
          </w:tcPr>
          <w:p w14:paraId="68999AA7" w14:textId="77777777" w:rsidR="003D7242" w:rsidRPr="00264D5D" w:rsidRDefault="003D7242" w:rsidP="00144ABC">
            <w:pPr>
              <w:pStyle w:val="GOSTTablenorm"/>
            </w:pPr>
            <w:r w:rsidRPr="00264D5D">
              <w:t>Указывается полное или сокращенное наименование ТОФК, в адрес которого направляется документ</w:t>
            </w:r>
          </w:p>
        </w:tc>
      </w:tr>
      <w:tr w:rsidR="003D7242" w:rsidRPr="00264D5D" w14:paraId="186E435C" w14:textId="77777777" w:rsidTr="007B0FCD">
        <w:tc>
          <w:tcPr>
            <w:tcW w:w="1704" w:type="dxa"/>
          </w:tcPr>
          <w:p w14:paraId="070C58C5" w14:textId="77777777" w:rsidR="003D7242" w:rsidRPr="00264D5D" w:rsidRDefault="003D7242" w:rsidP="00144ABC">
            <w:pPr>
              <w:pStyle w:val="GOSTTablenorm"/>
            </w:pPr>
            <w:r w:rsidRPr="00264D5D">
              <w:t>ИНН ТОФК</w:t>
            </w:r>
          </w:p>
        </w:tc>
        <w:tc>
          <w:tcPr>
            <w:tcW w:w="1705" w:type="dxa"/>
          </w:tcPr>
          <w:p w14:paraId="7FB62F77" w14:textId="77777777" w:rsidR="003D7242" w:rsidRPr="00264D5D" w:rsidRDefault="003D7242" w:rsidP="00144ABC">
            <w:pPr>
              <w:pStyle w:val="GOSTTablenorm"/>
              <w:rPr>
                <w:szCs w:val="22"/>
              </w:rPr>
            </w:pPr>
            <w:r w:rsidRPr="00264D5D">
              <w:rPr>
                <w:szCs w:val="22"/>
                <w:lang w:val="en-US"/>
              </w:rPr>
              <w:t>TOFK</w:t>
            </w:r>
            <w:r w:rsidRPr="00264D5D">
              <w:rPr>
                <w:szCs w:val="22"/>
              </w:rPr>
              <w:t>_INN</w:t>
            </w:r>
          </w:p>
        </w:tc>
        <w:tc>
          <w:tcPr>
            <w:tcW w:w="570" w:type="dxa"/>
          </w:tcPr>
          <w:p w14:paraId="0B47E763" w14:textId="77777777" w:rsidR="003D7242" w:rsidRPr="00264D5D" w:rsidRDefault="003D7242" w:rsidP="00144ABC">
            <w:pPr>
              <w:pStyle w:val="GOSTTablenorm"/>
              <w:jc w:val="center"/>
              <w:rPr>
                <w:szCs w:val="22"/>
              </w:rPr>
            </w:pPr>
            <w:r w:rsidRPr="00264D5D">
              <w:rPr>
                <w:szCs w:val="22"/>
              </w:rPr>
              <w:t>П</w:t>
            </w:r>
          </w:p>
        </w:tc>
        <w:tc>
          <w:tcPr>
            <w:tcW w:w="1136" w:type="dxa"/>
          </w:tcPr>
          <w:p w14:paraId="60847DE1" w14:textId="77777777" w:rsidR="003D7242" w:rsidRPr="00264D5D" w:rsidRDefault="003D7242" w:rsidP="00144ABC">
            <w:pPr>
              <w:pStyle w:val="GOSTTablenorm"/>
              <w:rPr>
                <w:szCs w:val="22"/>
              </w:rPr>
            </w:pPr>
            <w:r w:rsidRPr="00264D5D">
              <w:rPr>
                <w:szCs w:val="22"/>
                <w:lang w:val="en-US"/>
              </w:rPr>
              <w:t>T(</w:t>
            </w:r>
            <w:r w:rsidRPr="00264D5D">
              <w:rPr>
                <w:szCs w:val="22"/>
              </w:rPr>
              <w:t>10</w:t>
            </w:r>
            <w:r w:rsidRPr="00264D5D">
              <w:rPr>
                <w:szCs w:val="22"/>
                <w:lang w:val="en-US"/>
              </w:rPr>
              <w:t>)</w:t>
            </w:r>
          </w:p>
        </w:tc>
        <w:tc>
          <w:tcPr>
            <w:tcW w:w="570" w:type="dxa"/>
          </w:tcPr>
          <w:p w14:paraId="55DE146D" w14:textId="77777777" w:rsidR="003D7242" w:rsidRPr="00264D5D" w:rsidRDefault="003D7242" w:rsidP="00144ABC">
            <w:pPr>
              <w:pStyle w:val="GOSTTablenorm"/>
              <w:jc w:val="center"/>
              <w:rPr>
                <w:szCs w:val="22"/>
              </w:rPr>
            </w:pPr>
            <w:r w:rsidRPr="00264D5D">
              <w:rPr>
                <w:szCs w:val="22"/>
              </w:rPr>
              <w:t>О</w:t>
            </w:r>
          </w:p>
        </w:tc>
        <w:tc>
          <w:tcPr>
            <w:tcW w:w="3965" w:type="dxa"/>
          </w:tcPr>
          <w:p w14:paraId="43C284D2" w14:textId="77777777" w:rsidR="003D7242" w:rsidRPr="00264D5D" w:rsidRDefault="003D7242" w:rsidP="00144ABC">
            <w:pPr>
              <w:pStyle w:val="GOSTTablenorm"/>
            </w:pPr>
            <w:r w:rsidRPr="00264D5D">
              <w:t>Указывается ИНН территориального органа Федерального казначейства</w:t>
            </w:r>
          </w:p>
        </w:tc>
      </w:tr>
      <w:tr w:rsidR="003D7242" w:rsidRPr="00264D5D" w14:paraId="66286F29" w14:textId="77777777" w:rsidTr="007B0FCD">
        <w:tc>
          <w:tcPr>
            <w:tcW w:w="1704" w:type="dxa"/>
          </w:tcPr>
          <w:p w14:paraId="591AD672" w14:textId="77777777" w:rsidR="003D7242" w:rsidRPr="00264D5D" w:rsidRDefault="003D7242" w:rsidP="00144ABC">
            <w:pPr>
              <w:pStyle w:val="GOSTTablenorm"/>
              <w:rPr>
                <w:szCs w:val="22"/>
              </w:rPr>
            </w:pPr>
            <w:r w:rsidRPr="00264D5D">
              <w:t>КПП ТОФК</w:t>
            </w:r>
          </w:p>
        </w:tc>
        <w:tc>
          <w:tcPr>
            <w:tcW w:w="1705" w:type="dxa"/>
          </w:tcPr>
          <w:p w14:paraId="75A1ABD4" w14:textId="77777777" w:rsidR="003D7242" w:rsidRPr="00264D5D" w:rsidRDefault="003D7242" w:rsidP="00144ABC">
            <w:pPr>
              <w:pStyle w:val="GOSTTablenorm"/>
              <w:rPr>
                <w:szCs w:val="22"/>
              </w:rPr>
            </w:pPr>
            <w:r w:rsidRPr="00264D5D">
              <w:rPr>
                <w:szCs w:val="22"/>
                <w:lang w:val="en-US"/>
              </w:rPr>
              <w:t>TOFK</w:t>
            </w:r>
            <w:r w:rsidRPr="00264D5D">
              <w:rPr>
                <w:szCs w:val="22"/>
              </w:rPr>
              <w:t>_KPP</w:t>
            </w:r>
          </w:p>
        </w:tc>
        <w:tc>
          <w:tcPr>
            <w:tcW w:w="570" w:type="dxa"/>
          </w:tcPr>
          <w:p w14:paraId="5649CABE" w14:textId="77777777" w:rsidR="003D7242" w:rsidRPr="00264D5D" w:rsidRDefault="003D7242" w:rsidP="00144ABC">
            <w:pPr>
              <w:pStyle w:val="GOSTTablenorm"/>
              <w:jc w:val="center"/>
              <w:rPr>
                <w:szCs w:val="22"/>
              </w:rPr>
            </w:pPr>
            <w:r w:rsidRPr="00264D5D">
              <w:rPr>
                <w:szCs w:val="22"/>
              </w:rPr>
              <w:t>П</w:t>
            </w:r>
          </w:p>
        </w:tc>
        <w:tc>
          <w:tcPr>
            <w:tcW w:w="1136" w:type="dxa"/>
          </w:tcPr>
          <w:p w14:paraId="67F3B60F" w14:textId="77777777" w:rsidR="003D7242" w:rsidRPr="00264D5D" w:rsidRDefault="003D7242" w:rsidP="00144ABC">
            <w:pPr>
              <w:pStyle w:val="GOSTTablenorm"/>
              <w:rPr>
                <w:szCs w:val="22"/>
              </w:rPr>
            </w:pPr>
            <w:r w:rsidRPr="00264D5D">
              <w:rPr>
                <w:szCs w:val="22"/>
                <w:lang w:val="en-US"/>
              </w:rPr>
              <w:t>T(9)</w:t>
            </w:r>
          </w:p>
        </w:tc>
        <w:tc>
          <w:tcPr>
            <w:tcW w:w="570" w:type="dxa"/>
          </w:tcPr>
          <w:p w14:paraId="0B9C51E4" w14:textId="77777777" w:rsidR="003D7242" w:rsidRPr="00264D5D" w:rsidRDefault="003D7242" w:rsidP="00144ABC">
            <w:pPr>
              <w:pStyle w:val="GOSTTablenorm"/>
              <w:jc w:val="center"/>
              <w:rPr>
                <w:szCs w:val="22"/>
              </w:rPr>
            </w:pPr>
            <w:r w:rsidRPr="00264D5D">
              <w:rPr>
                <w:szCs w:val="22"/>
              </w:rPr>
              <w:t>О</w:t>
            </w:r>
          </w:p>
        </w:tc>
        <w:tc>
          <w:tcPr>
            <w:tcW w:w="3965" w:type="dxa"/>
          </w:tcPr>
          <w:p w14:paraId="06FE55A6" w14:textId="77777777" w:rsidR="003D7242" w:rsidRPr="00264D5D" w:rsidRDefault="003D7242" w:rsidP="00144ABC">
            <w:pPr>
              <w:pStyle w:val="GOSTTablenorm"/>
              <w:rPr>
                <w:szCs w:val="22"/>
              </w:rPr>
            </w:pPr>
            <w:r w:rsidRPr="00264D5D">
              <w:t>Указывается КПП территориального органа Федерального казначейства</w:t>
            </w:r>
          </w:p>
        </w:tc>
      </w:tr>
      <w:tr w:rsidR="003D7242" w:rsidRPr="00264D5D" w14:paraId="25B3D095" w14:textId="77777777" w:rsidTr="007B0FCD">
        <w:tc>
          <w:tcPr>
            <w:tcW w:w="1704" w:type="dxa"/>
          </w:tcPr>
          <w:p w14:paraId="383D5807" w14:textId="77777777" w:rsidR="003D7242" w:rsidRPr="00264D5D" w:rsidRDefault="003D7242" w:rsidP="00144ABC">
            <w:pPr>
              <w:pStyle w:val="GOSTTablenorm"/>
              <w:rPr>
                <w:szCs w:val="22"/>
              </w:rPr>
            </w:pPr>
            <w:r w:rsidRPr="00264D5D">
              <w:t>Номер Запроса на выяснение принадлежности платежа</w:t>
            </w:r>
          </w:p>
        </w:tc>
        <w:tc>
          <w:tcPr>
            <w:tcW w:w="1705" w:type="dxa"/>
          </w:tcPr>
          <w:p w14:paraId="2466E01B" w14:textId="77777777" w:rsidR="003D7242" w:rsidRPr="00264D5D" w:rsidRDefault="003D7242" w:rsidP="00144ABC">
            <w:pPr>
              <w:pStyle w:val="GOSTTablenorm"/>
              <w:rPr>
                <w:szCs w:val="22"/>
              </w:rPr>
            </w:pPr>
            <w:r w:rsidRPr="00264D5D">
              <w:rPr>
                <w:szCs w:val="22"/>
              </w:rPr>
              <w:t>Nom_ZF</w:t>
            </w:r>
          </w:p>
        </w:tc>
        <w:tc>
          <w:tcPr>
            <w:tcW w:w="570" w:type="dxa"/>
          </w:tcPr>
          <w:p w14:paraId="19B0444D" w14:textId="77777777" w:rsidR="003D7242" w:rsidRPr="00264D5D" w:rsidRDefault="003D7242" w:rsidP="00144ABC">
            <w:pPr>
              <w:pStyle w:val="GOSTTablenorm"/>
              <w:jc w:val="center"/>
              <w:rPr>
                <w:szCs w:val="22"/>
              </w:rPr>
            </w:pPr>
            <w:r w:rsidRPr="00264D5D">
              <w:rPr>
                <w:szCs w:val="22"/>
              </w:rPr>
              <w:t>П</w:t>
            </w:r>
          </w:p>
        </w:tc>
        <w:tc>
          <w:tcPr>
            <w:tcW w:w="1136" w:type="dxa"/>
          </w:tcPr>
          <w:p w14:paraId="1A39054F" w14:textId="77777777" w:rsidR="003D7242" w:rsidRPr="00264D5D" w:rsidRDefault="003D7242" w:rsidP="00144ABC">
            <w:pPr>
              <w:pStyle w:val="GOSTTablenorm"/>
              <w:rPr>
                <w:szCs w:val="22"/>
              </w:rPr>
            </w:pPr>
            <w:r w:rsidRPr="00264D5D">
              <w:rPr>
                <w:szCs w:val="22"/>
                <w:lang w:val="en-US"/>
              </w:rPr>
              <w:t>T(1-15)</w:t>
            </w:r>
          </w:p>
        </w:tc>
        <w:tc>
          <w:tcPr>
            <w:tcW w:w="570" w:type="dxa"/>
          </w:tcPr>
          <w:p w14:paraId="188D582E" w14:textId="77777777" w:rsidR="003D7242" w:rsidRPr="00264D5D" w:rsidRDefault="003D7242" w:rsidP="00144ABC">
            <w:pPr>
              <w:pStyle w:val="GOSTTablenorm"/>
              <w:jc w:val="center"/>
              <w:rPr>
                <w:szCs w:val="22"/>
              </w:rPr>
            </w:pPr>
            <w:r w:rsidRPr="00264D5D">
              <w:rPr>
                <w:szCs w:val="22"/>
              </w:rPr>
              <w:t>Н</w:t>
            </w:r>
          </w:p>
        </w:tc>
        <w:tc>
          <w:tcPr>
            <w:tcW w:w="3965" w:type="dxa"/>
          </w:tcPr>
          <w:p w14:paraId="017CA432" w14:textId="77777777" w:rsidR="003D7242" w:rsidRPr="00264D5D" w:rsidRDefault="003D7242" w:rsidP="00144ABC">
            <w:pPr>
              <w:pStyle w:val="GOSTTablenorm"/>
              <w:rPr>
                <w:szCs w:val="22"/>
              </w:rPr>
            </w:pPr>
            <w:r w:rsidRPr="00264D5D">
              <w:t>Указывается номер Запроса на выяснение принадлежности платежа в случае, если документ составлен на основании данного запроса.</w:t>
            </w:r>
          </w:p>
        </w:tc>
      </w:tr>
      <w:tr w:rsidR="003D7242" w:rsidRPr="00264D5D" w14:paraId="206CD3C2" w14:textId="77777777" w:rsidTr="007B0FCD">
        <w:tc>
          <w:tcPr>
            <w:tcW w:w="1704" w:type="dxa"/>
          </w:tcPr>
          <w:p w14:paraId="7E55A35E" w14:textId="77777777" w:rsidR="003D7242" w:rsidRPr="00264D5D" w:rsidRDefault="003D7242" w:rsidP="00144ABC">
            <w:pPr>
              <w:pStyle w:val="GOSTTablenorm"/>
              <w:rPr>
                <w:szCs w:val="22"/>
              </w:rPr>
            </w:pPr>
            <w:r w:rsidRPr="00264D5D">
              <w:t>Дата Запроса на выяснение принадлежности платежа</w:t>
            </w:r>
          </w:p>
        </w:tc>
        <w:tc>
          <w:tcPr>
            <w:tcW w:w="1705" w:type="dxa"/>
          </w:tcPr>
          <w:p w14:paraId="36693E2E" w14:textId="77777777" w:rsidR="003D7242" w:rsidRPr="00264D5D" w:rsidRDefault="003D7242" w:rsidP="00144ABC">
            <w:pPr>
              <w:pStyle w:val="GOSTTablenorm"/>
              <w:rPr>
                <w:szCs w:val="22"/>
                <w:lang w:val="en-US"/>
              </w:rPr>
            </w:pPr>
            <w:r w:rsidRPr="00264D5D">
              <w:rPr>
                <w:szCs w:val="22"/>
              </w:rPr>
              <w:t>Date_ZF</w:t>
            </w:r>
          </w:p>
        </w:tc>
        <w:tc>
          <w:tcPr>
            <w:tcW w:w="570" w:type="dxa"/>
          </w:tcPr>
          <w:p w14:paraId="7E8331AA" w14:textId="77777777" w:rsidR="003D7242" w:rsidRPr="00264D5D" w:rsidRDefault="003D7242" w:rsidP="00144ABC">
            <w:pPr>
              <w:pStyle w:val="GOSTTablenorm"/>
              <w:jc w:val="center"/>
              <w:rPr>
                <w:szCs w:val="22"/>
              </w:rPr>
            </w:pPr>
            <w:r w:rsidRPr="00264D5D">
              <w:rPr>
                <w:szCs w:val="22"/>
              </w:rPr>
              <w:t>П</w:t>
            </w:r>
          </w:p>
        </w:tc>
        <w:tc>
          <w:tcPr>
            <w:tcW w:w="1136" w:type="dxa"/>
          </w:tcPr>
          <w:p w14:paraId="0A15477D" w14:textId="77777777" w:rsidR="003D7242" w:rsidRPr="00264D5D" w:rsidRDefault="003D7242" w:rsidP="00144ABC">
            <w:pPr>
              <w:pStyle w:val="GOSTTablenorm"/>
              <w:rPr>
                <w:szCs w:val="22"/>
              </w:rPr>
            </w:pPr>
            <w:r w:rsidRPr="00264D5D">
              <w:rPr>
                <w:szCs w:val="22"/>
                <w:lang w:val="en-US"/>
              </w:rPr>
              <w:t>Date</w:t>
            </w:r>
          </w:p>
        </w:tc>
        <w:tc>
          <w:tcPr>
            <w:tcW w:w="570" w:type="dxa"/>
          </w:tcPr>
          <w:p w14:paraId="6D643C48" w14:textId="77777777" w:rsidR="003D7242" w:rsidRPr="00264D5D" w:rsidRDefault="003D7242" w:rsidP="00144ABC">
            <w:pPr>
              <w:pStyle w:val="GOSTTablenorm"/>
              <w:jc w:val="center"/>
              <w:rPr>
                <w:szCs w:val="22"/>
              </w:rPr>
            </w:pPr>
            <w:r w:rsidRPr="00264D5D">
              <w:rPr>
                <w:szCs w:val="22"/>
              </w:rPr>
              <w:t>Н</w:t>
            </w:r>
          </w:p>
        </w:tc>
        <w:tc>
          <w:tcPr>
            <w:tcW w:w="3965" w:type="dxa"/>
          </w:tcPr>
          <w:p w14:paraId="39698700" w14:textId="77777777" w:rsidR="003D7242" w:rsidRPr="00264D5D" w:rsidRDefault="003D7242" w:rsidP="00144ABC">
            <w:pPr>
              <w:pStyle w:val="GOSTTablenorm"/>
              <w:rPr>
                <w:szCs w:val="22"/>
              </w:rPr>
            </w:pPr>
            <w:r w:rsidRPr="00264D5D">
              <w:t>Указывается дата Запроса на выяснение принадлежности платежа в случае, если документ составлен на основании данного запроса.</w:t>
            </w:r>
          </w:p>
        </w:tc>
      </w:tr>
      <w:tr w:rsidR="003D7242" w:rsidRPr="00264D5D" w14:paraId="189E7C20" w14:textId="77777777" w:rsidTr="007B0FCD">
        <w:tc>
          <w:tcPr>
            <w:tcW w:w="1704" w:type="dxa"/>
          </w:tcPr>
          <w:p w14:paraId="0A047B44" w14:textId="77777777" w:rsidR="003D7242" w:rsidRPr="00264D5D" w:rsidRDefault="003D7242" w:rsidP="00144ABC">
            <w:pPr>
              <w:pStyle w:val="GOSTTablenorm"/>
              <w:rPr>
                <w:szCs w:val="22"/>
              </w:rPr>
            </w:pPr>
            <w:r w:rsidRPr="00264D5D">
              <w:t>Информация об операциях по неналоговому платежу</w:t>
            </w:r>
          </w:p>
        </w:tc>
        <w:tc>
          <w:tcPr>
            <w:tcW w:w="1705" w:type="dxa"/>
          </w:tcPr>
          <w:p w14:paraId="68F9A59C" w14:textId="77777777" w:rsidR="003D7242" w:rsidRPr="00264D5D" w:rsidRDefault="003D7242" w:rsidP="00144ABC">
            <w:pPr>
              <w:pStyle w:val="GOSTTablenorm"/>
              <w:rPr>
                <w:szCs w:val="22"/>
              </w:rPr>
            </w:pPr>
            <w:r w:rsidRPr="00264D5D">
              <w:rPr>
                <w:szCs w:val="22"/>
              </w:rPr>
              <w:t>Inf_</w:t>
            </w:r>
            <w:r w:rsidRPr="00264D5D">
              <w:rPr>
                <w:szCs w:val="22"/>
                <w:lang w:val="en-US"/>
              </w:rPr>
              <w:t>U_</w:t>
            </w:r>
            <w:r w:rsidRPr="00264D5D">
              <w:rPr>
                <w:szCs w:val="22"/>
              </w:rPr>
              <w:t>Tab</w:t>
            </w:r>
          </w:p>
        </w:tc>
        <w:tc>
          <w:tcPr>
            <w:tcW w:w="570" w:type="dxa"/>
          </w:tcPr>
          <w:p w14:paraId="4C533D91" w14:textId="77777777" w:rsidR="003D7242" w:rsidRPr="00264D5D" w:rsidRDefault="003D7242" w:rsidP="00144ABC">
            <w:pPr>
              <w:pStyle w:val="GOSTTablenorm"/>
              <w:jc w:val="center"/>
              <w:rPr>
                <w:szCs w:val="22"/>
              </w:rPr>
            </w:pPr>
            <w:r w:rsidRPr="00264D5D">
              <w:rPr>
                <w:szCs w:val="22"/>
              </w:rPr>
              <w:t>С</w:t>
            </w:r>
          </w:p>
        </w:tc>
        <w:tc>
          <w:tcPr>
            <w:tcW w:w="1136" w:type="dxa"/>
          </w:tcPr>
          <w:p w14:paraId="306DD318" w14:textId="77777777" w:rsidR="003D7242" w:rsidRPr="00264D5D" w:rsidRDefault="003D7242" w:rsidP="00144ABC">
            <w:pPr>
              <w:pStyle w:val="GOSTTablenorm"/>
              <w:rPr>
                <w:szCs w:val="22"/>
              </w:rPr>
            </w:pPr>
            <w:r w:rsidRPr="00264D5D">
              <w:rPr>
                <w:szCs w:val="22"/>
                <w:lang w:val="en-US"/>
              </w:rPr>
              <w:t>tB</w:t>
            </w:r>
            <w:r w:rsidRPr="00264D5D">
              <w:rPr>
                <w:rFonts w:eastAsia="Calibri"/>
                <w:szCs w:val="22"/>
              </w:rPr>
              <w:t>RA_DOC_D_005</w:t>
            </w:r>
            <w:r w:rsidRPr="00264D5D">
              <w:rPr>
                <w:szCs w:val="22"/>
                <w:lang w:val="en-US"/>
              </w:rPr>
              <w:t>_Tab</w:t>
            </w:r>
          </w:p>
        </w:tc>
        <w:tc>
          <w:tcPr>
            <w:tcW w:w="570" w:type="dxa"/>
          </w:tcPr>
          <w:p w14:paraId="00481D62" w14:textId="77777777" w:rsidR="003D7242" w:rsidRPr="00264D5D" w:rsidRDefault="003D7242" w:rsidP="00144ABC">
            <w:pPr>
              <w:pStyle w:val="GOSTTablenorm"/>
              <w:jc w:val="center"/>
              <w:rPr>
                <w:szCs w:val="22"/>
              </w:rPr>
            </w:pPr>
            <w:r w:rsidRPr="00264D5D">
              <w:rPr>
                <w:szCs w:val="22"/>
              </w:rPr>
              <w:t>О</w:t>
            </w:r>
          </w:p>
        </w:tc>
        <w:tc>
          <w:tcPr>
            <w:tcW w:w="3965" w:type="dxa"/>
          </w:tcPr>
          <w:p w14:paraId="699BEE06" w14:textId="77777777" w:rsidR="003D7242" w:rsidRPr="00264D5D" w:rsidRDefault="003D7242" w:rsidP="00144ABC">
            <w:pPr>
              <w:pStyle w:val="GOSTTablenorm"/>
              <w:rPr>
                <w:szCs w:val="22"/>
              </w:rPr>
            </w:pPr>
            <w:r w:rsidRPr="00264D5D">
              <w:rPr>
                <w:szCs w:val="22"/>
              </w:rPr>
              <w:t>Табличная часть документа.</w:t>
            </w:r>
          </w:p>
          <w:p w14:paraId="1E074994" w14:textId="2CA3B7E5" w:rsidR="003D7242" w:rsidRPr="00264D5D" w:rsidRDefault="003D7242" w:rsidP="00144ABC">
            <w:pPr>
              <w:pStyle w:val="GOSTTablenorm"/>
              <w:rPr>
                <w:szCs w:val="22"/>
              </w:rPr>
            </w:pPr>
            <w:r w:rsidRPr="00264D5D">
              <w:rPr>
                <w:szCs w:val="22"/>
              </w:rPr>
              <w:t xml:space="preserve">Состав элемента представлен в таблице </w:t>
            </w:r>
            <w:r w:rsidRPr="00264D5D">
              <w:rPr>
                <w:szCs w:val="22"/>
              </w:rPr>
              <w:fldChar w:fldCharType="begin"/>
            </w:r>
            <w:r w:rsidRPr="00264D5D">
              <w:rPr>
                <w:szCs w:val="22"/>
              </w:rPr>
              <w:instrText xml:space="preserve"> REF _Ref163559691 \h </w:instrText>
            </w:r>
            <w:r w:rsidR="00216C30" w:rsidRPr="00264D5D">
              <w:rPr>
                <w:szCs w:val="22"/>
              </w:rPr>
              <w:instrText xml:space="preserve"> \* MERGEFORMAT </w:instrText>
            </w:r>
            <w:r w:rsidRPr="00264D5D">
              <w:rPr>
                <w:szCs w:val="22"/>
              </w:rPr>
            </w:r>
            <w:r w:rsidRPr="00264D5D">
              <w:rPr>
                <w:szCs w:val="22"/>
              </w:rPr>
              <w:fldChar w:fldCharType="separate"/>
            </w:r>
            <w:r w:rsidR="008D797C">
              <w:rPr>
                <w:rFonts w:eastAsia="Calibri"/>
                <w:noProof/>
              </w:rPr>
              <w:t>382</w:t>
            </w:r>
            <w:r w:rsidRPr="00264D5D">
              <w:rPr>
                <w:szCs w:val="22"/>
              </w:rPr>
              <w:fldChar w:fldCharType="end"/>
            </w:r>
          </w:p>
        </w:tc>
      </w:tr>
      <w:tr w:rsidR="003D7242" w:rsidRPr="00264D5D" w14:paraId="6D14BC40" w14:textId="77777777" w:rsidTr="007B0FCD">
        <w:tc>
          <w:tcPr>
            <w:tcW w:w="1704" w:type="dxa"/>
          </w:tcPr>
          <w:p w14:paraId="130C846F" w14:textId="77777777" w:rsidR="003D7242" w:rsidRPr="00264D5D" w:rsidRDefault="003D7242" w:rsidP="00144ABC">
            <w:pPr>
              <w:pStyle w:val="GOSTTablenorm"/>
              <w:rPr>
                <w:szCs w:val="22"/>
              </w:rPr>
            </w:pPr>
            <w:r w:rsidRPr="00264D5D">
              <w:t>Подписи</w:t>
            </w:r>
          </w:p>
        </w:tc>
        <w:tc>
          <w:tcPr>
            <w:tcW w:w="1705" w:type="dxa"/>
          </w:tcPr>
          <w:p w14:paraId="624161A0" w14:textId="77777777" w:rsidR="003D7242" w:rsidRPr="00264D5D" w:rsidRDefault="003D7242" w:rsidP="00144ABC">
            <w:pPr>
              <w:pStyle w:val="GOSTTablenorm"/>
              <w:rPr>
                <w:szCs w:val="22"/>
              </w:rPr>
            </w:pPr>
            <w:r w:rsidRPr="00264D5D">
              <w:t>Signatures</w:t>
            </w:r>
          </w:p>
        </w:tc>
        <w:tc>
          <w:tcPr>
            <w:tcW w:w="570" w:type="dxa"/>
          </w:tcPr>
          <w:p w14:paraId="014B2606" w14:textId="77777777" w:rsidR="003D7242" w:rsidRPr="00264D5D" w:rsidRDefault="003D7242" w:rsidP="00144ABC">
            <w:pPr>
              <w:pStyle w:val="GOSTTablenorm"/>
              <w:jc w:val="center"/>
              <w:rPr>
                <w:szCs w:val="22"/>
              </w:rPr>
            </w:pPr>
            <w:r w:rsidRPr="00264D5D">
              <w:rPr>
                <w:szCs w:val="22"/>
                <w:lang w:val="en-US"/>
              </w:rPr>
              <w:t>C</w:t>
            </w:r>
          </w:p>
        </w:tc>
        <w:tc>
          <w:tcPr>
            <w:tcW w:w="1136" w:type="dxa"/>
          </w:tcPr>
          <w:p w14:paraId="3AFE6110" w14:textId="77777777" w:rsidR="003D7242" w:rsidRPr="00264D5D" w:rsidRDefault="003D7242" w:rsidP="00144ABC">
            <w:pPr>
              <w:pStyle w:val="GOSTTablenorm"/>
              <w:rPr>
                <w:szCs w:val="22"/>
              </w:rPr>
            </w:pPr>
            <w:r w:rsidRPr="00264D5D">
              <w:rPr>
                <w:szCs w:val="22"/>
              </w:rPr>
              <w:t>tSGNNmDt</w:t>
            </w:r>
            <w:r w:rsidR="00216C30" w:rsidRPr="00264D5D">
              <w:rPr>
                <w:szCs w:val="22"/>
              </w:rPr>
              <w:t>1</w:t>
            </w:r>
          </w:p>
        </w:tc>
        <w:tc>
          <w:tcPr>
            <w:tcW w:w="570" w:type="dxa"/>
          </w:tcPr>
          <w:p w14:paraId="4BDE7516" w14:textId="77777777" w:rsidR="003D7242" w:rsidRPr="00264D5D" w:rsidRDefault="003D7242" w:rsidP="00144ABC">
            <w:pPr>
              <w:pStyle w:val="GOSTTablenorm"/>
              <w:jc w:val="center"/>
              <w:rPr>
                <w:szCs w:val="22"/>
              </w:rPr>
            </w:pPr>
            <w:r w:rsidRPr="00264D5D">
              <w:rPr>
                <w:szCs w:val="22"/>
              </w:rPr>
              <w:t>О</w:t>
            </w:r>
          </w:p>
        </w:tc>
        <w:tc>
          <w:tcPr>
            <w:tcW w:w="3965" w:type="dxa"/>
          </w:tcPr>
          <w:p w14:paraId="303E9CDE" w14:textId="371F71C7" w:rsidR="003D7242" w:rsidRPr="00264D5D" w:rsidRDefault="003D7242" w:rsidP="00144ABC">
            <w:pPr>
              <w:pStyle w:val="GOSTTablenorm"/>
              <w:rPr>
                <w:szCs w:val="22"/>
              </w:rPr>
            </w:pPr>
            <w:r w:rsidRPr="00264D5D">
              <w:rPr>
                <w:szCs w:val="22"/>
              </w:rPr>
              <w:t xml:space="preserve">Состав элемента представлен в таблице </w:t>
            </w:r>
            <w:r w:rsidRPr="00264D5D">
              <w:rPr>
                <w:szCs w:val="22"/>
              </w:rPr>
              <w:fldChar w:fldCharType="begin"/>
            </w:r>
            <w:r w:rsidRPr="00264D5D">
              <w:rPr>
                <w:szCs w:val="22"/>
              </w:rPr>
              <w:instrText xml:space="preserve"> REF _Ref163559697 \h  \* MERGEFORMAT </w:instrText>
            </w:r>
            <w:r w:rsidRPr="00264D5D">
              <w:rPr>
                <w:szCs w:val="22"/>
              </w:rPr>
            </w:r>
            <w:r w:rsidRPr="00264D5D">
              <w:rPr>
                <w:szCs w:val="22"/>
              </w:rPr>
              <w:fldChar w:fldCharType="separate"/>
            </w:r>
            <w:r w:rsidR="008D797C">
              <w:rPr>
                <w:noProof/>
              </w:rPr>
              <w:t>384</w:t>
            </w:r>
            <w:r w:rsidRPr="00264D5D">
              <w:rPr>
                <w:szCs w:val="22"/>
              </w:rPr>
              <w:fldChar w:fldCharType="end"/>
            </w:r>
          </w:p>
        </w:tc>
      </w:tr>
      <w:tr w:rsidR="007B0FCD" w:rsidRPr="00264D5D" w14:paraId="00A63ACC" w14:textId="77777777" w:rsidTr="0000169B">
        <w:tc>
          <w:tcPr>
            <w:tcW w:w="9650" w:type="dxa"/>
            <w:gridSpan w:val="6"/>
          </w:tcPr>
          <w:p w14:paraId="4F86C7A7" w14:textId="77777777" w:rsidR="007B0FCD" w:rsidRPr="00264D5D" w:rsidRDefault="007B0FCD" w:rsidP="00144ABC">
            <w:pPr>
              <w:pStyle w:val="GOSTTablenorm"/>
              <w:rPr>
                <w:szCs w:val="22"/>
              </w:rPr>
            </w:pPr>
            <w:r w:rsidRPr="00264D5D">
              <w:rPr>
                <w:b/>
                <w:szCs w:val="22"/>
              </w:rPr>
              <w:t>ЭП</w:t>
            </w:r>
          </w:p>
        </w:tc>
      </w:tr>
      <w:tr w:rsidR="007B0FCD" w:rsidRPr="00264D5D" w14:paraId="5A57ED59" w14:textId="77777777" w:rsidTr="007B0FCD">
        <w:tc>
          <w:tcPr>
            <w:tcW w:w="1704" w:type="dxa"/>
          </w:tcPr>
          <w:p w14:paraId="042A5185" w14:textId="77777777" w:rsidR="007B0FCD" w:rsidRPr="00264D5D" w:rsidRDefault="007B0FCD" w:rsidP="007B0FCD">
            <w:pPr>
              <w:pStyle w:val="GOSTTablenorm"/>
            </w:pPr>
            <w:r w:rsidRPr="00264D5D">
              <w:lastRenderedPageBreak/>
              <w:t>Электронная подпись</w:t>
            </w:r>
          </w:p>
        </w:tc>
        <w:tc>
          <w:tcPr>
            <w:tcW w:w="1705" w:type="dxa"/>
          </w:tcPr>
          <w:p w14:paraId="668611A3" w14:textId="77777777" w:rsidR="007B0FCD" w:rsidRPr="00264D5D" w:rsidRDefault="007B0FCD" w:rsidP="007B0FCD">
            <w:pPr>
              <w:pStyle w:val="GOSTTablenorm"/>
            </w:pPr>
            <w:r w:rsidRPr="00264D5D">
              <w:t>Signature</w:t>
            </w:r>
          </w:p>
        </w:tc>
        <w:tc>
          <w:tcPr>
            <w:tcW w:w="570" w:type="dxa"/>
          </w:tcPr>
          <w:p w14:paraId="405F9A00" w14:textId="77777777" w:rsidR="007B0FCD" w:rsidRPr="00264D5D" w:rsidRDefault="007B0FCD" w:rsidP="007B0FCD">
            <w:pPr>
              <w:pStyle w:val="GOSTTablenorm"/>
              <w:jc w:val="center"/>
              <w:rPr>
                <w:szCs w:val="22"/>
                <w:lang w:val="en-US"/>
              </w:rPr>
            </w:pPr>
            <w:r w:rsidRPr="00264D5D">
              <w:rPr>
                <w:szCs w:val="22"/>
              </w:rPr>
              <w:t>С</w:t>
            </w:r>
          </w:p>
        </w:tc>
        <w:tc>
          <w:tcPr>
            <w:tcW w:w="1136" w:type="dxa"/>
          </w:tcPr>
          <w:p w14:paraId="2EA3CF49" w14:textId="77777777" w:rsidR="007B0FCD" w:rsidRPr="00264D5D" w:rsidRDefault="007B0FCD" w:rsidP="007B0FCD">
            <w:pPr>
              <w:pStyle w:val="GOSTTablenorm"/>
              <w:rPr>
                <w:szCs w:val="22"/>
              </w:rPr>
            </w:pPr>
            <w:r w:rsidRPr="00264D5D">
              <w:rPr>
                <w:szCs w:val="22"/>
              </w:rPr>
              <w:t>SignatureType</w:t>
            </w:r>
          </w:p>
        </w:tc>
        <w:tc>
          <w:tcPr>
            <w:tcW w:w="570" w:type="dxa"/>
          </w:tcPr>
          <w:p w14:paraId="5D5402D4" w14:textId="77777777" w:rsidR="007B0FCD" w:rsidRPr="00264D5D" w:rsidRDefault="007B0FCD" w:rsidP="007B0FCD">
            <w:pPr>
              <w:pStyle w:val="GOSTTablenorm"/>
              <w:jc w:val="center"/>
              <w:rPr>
                <w:szCs w:val="22"/>
              </w:rPr>
            </w:pPr>
            <w:r w:rsidRPr="00264D5D">
              <w:rPr>
                <w:szCs w:val="22"/>
              </w:rPr>
              <w:t>НМ</w:t>
            </w:r>
          </w:p>
        </w:tc>
        <w:tc>
          <w:tcPr>
            <w:tcW w:w="3965" w:type="dxa"/>
          </w:tcPr>
          <w:p w14:paraId="7AFD5AA6" w14:textId="77777777" w:rsidR="007B0FCD" w:rsidRPr="00264D5D" w:rsidRDefault="007B0FCD" w:rsidP="007B0FCD">
            <w:pPr>
              <w:pStyle w:val="GOSTTablenorm"/>
            </w:pPr>
            <w:r w:rsidRPr="00264D5D">
              <w:t>Блок подписи в формате XAdes. Указывается как референс согласно формату подписи XAdes.</w:t>
            </w:r>
          </w:p>
          <w:p w14:paraId="648B9820" w14:textId="77777777" w:rsidR="007B0FCD" w:rsidRPr="00264D5D" w:rsidRDefault="007B0FCD" w:rsidP="007B0FCD">
            <w:pPr>
              <w:pStyle w:val="GOSTTablenorm"/>
              <w:rPr>
                <w:szCs w:val="22"/>
              </w:rPr>
            </w:pPr>
            <w:r w:rsidRPr="00264D5D">
              <w:t>Заполняется согласно п.3.5.2 Тома 1 настоящего альбома.</w:t>
            </w:r>
          </w:p>
        </w:tc>
      </w:tr>
    </w:tbl>
    <w:p w14:paraId="7A39547B" w14:textId="77777777" w:rsidR="003D7242" w:rsidRPr="00264D5D" w:rsidRDefault="003D7242" w:rsidP="003D7242">
      <w:pPr>
        <w:pStyle w:val="31"/>
        <w:tabs>
          <w:tab w:val="num" w:pos="284"/>
        </w:tabs>
        <w:suppressAutoHyphens/>
        <w:ind w:left="1418" w:hanging="738"/>
      </w:pPr>
      <w:bookmarkStart w:id="4740" w:name="_Toc167898751"/>
      <w:bookmarkStart w:id="4741" w:name="_Toc219309884"/>
      <w:r w:rsidRPr="00264D5D">
        <w:t>Описание комплексного типа «</w:t>
      </w:r>
      <w:r w:rsidRPr="00264D5D">
        <w:rPr>
          <w:szCs w:val="22"/>
          <w:lang w:val="en-US"/>
        </w:rPr>
        <w:t>tB</w:t>
      </w:r>
      <w:r w:rsidRPr="00264D5D">
        <w:rPr>
          <w:rFonts w:eastAsia="Calibri"/>
          <w:szCs w:val="22"/>
        </w:rPr>
        <w:t>RA_</w:t>
      </w:r>
      <w:r w:rsidRPr="00264D5D">
        <w:rPr>
          <w:rFonts w:eastAsia="Calibri"/>
        </w:rPr>
        <w:t>DOC</w:t>
      </w:r>
      <w:r w:rsidRPr="00264D5D">
        <w:rPr>
          <w:rFonts w:eastAsia="Calibri"/>
          <w:szCs w:val="22"/>
        </w:rPr>
        <w:t>_D_005</w:t>
      </w:r>
      <w:r w:rsidRPr="00264D5D">
        <w:rPr>
          <w:szCs w:val="22"/>
        </w:rPr>
        <w:t>_Tab</w:t>
      </w:r>
      <w:r w:rsidRPr="00264D5D">
        <w:t>»</w:t>
      </w:r>
      <w:bookmarkEnd w:id="4740"/>
      <w:bookmarkEnd w:id="4741"/>
    </w:p>
    <w:p w14:paraId="046AFB22" w14:textId="77777777" w:rsidR="003D7242" w:rsidRPr="00264D5D" w:rsidRDefault="003D7242" w:rsidP="003D7242">
      <w:pPr>
        <w:pStyle w:val="GOSTNormal"/>
      </w:pPr>
      <w:r w:rsidRPr="00264D5D">
        <w:t>Описание комплексного типа «</w:t>
      </w:r>
      <w:r w:rsidRPr="00264D5D">
        <w:rPr>
          <w:szCs w:val="22"/>
          <w:lang w:val="en-US"/>
        </w:rPr>
        <w:t>tB</w:t>
      </w:r>
      <w:r w:rsidRPr="00264D5D">
        <w:rPr>
          <w:rFonts w:eastAsia="Calibri"/>
          <w:szCs w:val="22"/>
        </w:rPr>
        <w:t>RA_DOC_D_005</w:t>
      </w:r>
      <w:r w:rsidRPr="00264D5D">
        <w:rPr>
          <w:szCs w:val="22"/>
        </w:rPr>
        <w:t>_Tab</w:t>
      </w:r>
      <w:r w:rsidRPr="00264D5D">
        <w:t>» блока «Информация об операциях по неналоговому платежу».</w:t>
      </w:r>
    </w:p>
    <w:p w14:paraId="1730F1FD" w14:textId="6C6C90F3" w:rsidR="003D7242" w:rsidRPr="00264D5D" w:rsidRDefault="003D7242" w:rsidP="00101F62">
      <w:pPr>
        <w:pStyle w:val="GOSTNameTable"/>
        <w:numPr>
          <w:ilvl w:val="0"/>
          <w:numId w:val="151"/>
        </w:numPr>
        <w:suppressAutoHyphens/>
        <w:spacing w:before="240" w:after="120"/>
        <w:rPr>
          <w:rFonts w:eastAsia="Calibri"/>
        </w:rPr>
      </w:pPr>
      <w:r w:rsidRPr="00264D5D">
        <w:rPr>
          <w:rFonts w:eastAsia="Calibri"/>
        </w:rPr>
        <w:fldChar w:fldCharType="begin"/>
      </w:r>
      <w:r w:rsidRPr="00264D5D">
        <w:rPr>
          <w:rFonts w:eastAsia="Calibri"/>
        </w:rPr>
        <w:instrText xml:space="preserve"> SEQ Таблица \* ARABIC </w:instrText>
      </w:r>
      <w:r w:rsidRPr="00264D5D">
        <w:rPr>
          <w:rFonts w:eastAsia="Calibri"/>
        </w:rPr>
        <w:fldChar w:fldCharType="separate"/>
      </w:r>
      <w:bookmarkStart w:id="4742" w:name="_Ref163559691"/>
      <w:bookmarkStart w:id="4743" w:name="_Toc219309412"/>
      <w:r w:rsidR="008D797C">
        <w:rPr>
          <w:rFonts w:eastAsia="Calibri"/>
          <w:noProof/>
        </w:rPr>
        <w:t>382</w:t>
      </w:r>
      <w:bookmarkEnd w:id="4742"/>
      <w:r w:rsidRPr="00264D5D">
        <w:rPr>
          <w:rFonts w:eastAsia="Calibri"/>
        </w:rPr>
        <w:fldChar w:fldCharType="end"/>
      </w:r>
      <w:r w:rsidRPr="00264D5D">
        <w:rPr>
          <w:rFonts w:eastAsia="Calibri"/>
          <w:szCs w:val="24"/>
        </w:rPr>
        <w:t xml:space="preserve"> –</w:t>
      </w:r>
      <w:r w:rsidRPr="00264D5D">
        <w:rPr>
          <w:rFonts w:eastAsia="Calibri"/>
        </w:rPr>
        <w:t xml:space="preserve"> </w:t>
      </w:r>
      <w:r w:rsidRPr="00264D5D">
        <w:t>Описание</w:t>
      </w:r>
      <w:r w:rsidRPr="00264D5D">
        <w:rPr>
          <w:rFonts w:eastAsia="Calibri"/>
        </w:rPr>
        <w:t xml:space="preserve"> комплексного типа «</w:t>
      </w:r>
      <w:r w:rsidRPr="00264D5D">
        <w:rPr>
          <w:szCs w:val="22"/>
          <w:lang w:val="en-US"/>
        </w:rPr>
        <w:t>tB</w:t>
      </w:r>
      <w:r w:rsidRPr="00264D5D">
        <w:rPr>
          <w:rFonts w:eastAsia="Calibri"/>
          <w:szCs w:val="22"/>
        </w:rPr>
        <w:t>RA_DOC_D_005</w:t>
      </w:r>
      <w:r w:rsidRPr="00264D5D">
        <w:rPr>
          <w:szCs w:val="22"/>
        </w:rPr>
        <w:t>_Tab</w:t>
      </w:r>
      <w:r w:rsidRPr="00264D5D">
        <w:rPr>
          <w:rFonts w:eastAsia="Calibri"/>
        </w:rPr>
        <w:t>»</w:t>
      </w:r>
      <w:bookmarkEnd w:id="4743"/>
    </w:p>
    <w:tbl>
      <w:tblPr>
        <w:tblStyle w:val="GOSTTable"/>
        <w:tblW w:w="5000" w:type="pct"/>
        <w:tblLayout w:type="fixed"/>
        <w:tblLook w:val="07E0" w:firstRow="1" w:lastRow="1" w:firstColumn="1" w:lastColumn="1" w:noHBand="1" w:noVBand="1"/>
      </w:tblPr>
      <w:tblGrid>
        <w:gridCol w:w="1704"/>
        <w:gridCol w:w="1704"/>
        <w:gridCol w:w="568"/>
        <w:gridCol w:w="1136"/>
        <w:gridCol w:w="568"/>
        <w:gridCol w:w="3970"/>
      </w:tblGrid>
      <w:tr w:rsidR="003D7242" w:rsidRPr="00264D5D" w14:paraId="232277DF" w14:textId="77777777" w:rsidTr="00DC17E0">
        <w:trPr>
          <w:cnfStyle w:val="100000000000" w:firstRow="1" w:lastRow="0" w:firstColumn="0" w:lastColumn="0" w:oddVBand="0" w:evenVBand="0" w:oddHBand="0" w:evenHBand="0" w:firstRowFirstColumn="0" w:firstRowLastColumn="0" w:lastRowFirstColumn="0" w:lastRowLastColumn="0"/>
          <w:tblHeader/>
        </w:trPr>
        <w:tc>
          <w:tcPr>
            <w:tcW w:w="1701" w:type="dxa"/>
          </w:tcPr>
          <w:p w14:paraId="4BC037F3" w14:textId="77777777" w:rsidR="003D7242" w:rsidRPr="00264D5D" w:rsidRDefault="003D7242" w:rsidP="00144ABC">
            <w:pPr>
              <w:pStyle w:val="GOSTTableHead"/>
              <w:rPr>
                <w:lang w:val="en-US"/>
              </w:rPr>
            </w:pPr>
            <w:r w:rsidRPr="00264D5D">
              <w:t>Наименование комплексного типа</w:t>
            </w:r>
          </w:p>
        </w:tc>
        <w:tc>
          <w:tcPr>
            <w:tcW w:w="1701" w:type="dxa"/>
          </w:tcPr>
          <w:p w14:paraId="282F323B" w14:textId="77777777" w:rsidR="003D7242" w:rsidRPr="00264D5D" w:rsidRDefault="003D7242" w:rsidP="00144ABC">
            <w:pPr>
              <w:pStyle w:val="GOSTTableHead"/>
            </w:pPr>
            <w:r w:rsidRPr="00264D5D">
              <w:t>Текущий элемент/ атрибут</w:t>
            </w:r>
          </w:p>
        </w:tc>
        <w:tc>
          <w:tcPr>
            <w:tcW w:w="567" w:type="dxa"/>
          </w:tcPr>
          <w:p w14:paraId="35A6C9D1" w14:textId="77777777" w:rsidR="003D7242" w:rsidRPr="00264D5D" w:rsidRDefault="003D7242" w:rsidP="00144ABC">
            <w:pPr>
              <w:pStyle w:val="GOSTTableHead"/>
            </w:pPr>
            <w:r w:rsidRPr="00264D5D">
              <w:t>Тип</w:t>
            </w:r>
          </w:p>
        </w:tc>
        <w:tc>
          <w:tcPr>
            <w:tcW w:w="1134" w:type="dxa"/>
          </w:tcPr>
          <w:p w14:paraId="5A991C3C" w14:textId="77777777" w:rsidR="003D7242" w:rsidRPr="00264D5D" w:rsidRDefault="003D7242" w:rsidP="00144ABC">
            <w:pPr>
              <w:pStyle w:val="GOSTTableHead"/>
            </w:pPr>
            <w:r w:rsidRPr="00264D5D">
              <w:t>Формат элемента</w:t>
            </w:r>
          </w:p>
        </w:tc>
        <w:tc>
          <w:tcPr>
            <w:tcW w:w="567" w:type="dxa"/>
          </w:tcPr>
          <w:p w14:paraId="3EDD0450" w14:textId="77777777" w:rsidR="003D7242" w:rsidRPr="00264D5D" w:rsidRDefault="003D7242" w:rsidP="00144ABC">
            <w:pPr>
              <w:pStyle w:val="GOSTTableHead"/>
            </w:pPr>
            <w:r w:rsidRPr="00264D5D">
              <w:t>Обязательность</w:t>
            </w:r>
          </w:p>
        </w:tc>
        <w:tc>
          <w:tcPr>
            <w:tcW w:w="3963" w:type="dxa"/>
          </w:tcPr>
          <w:p w14:paraId="3FFB34B9" w14:textId="77777777" w:rsidR="003D7242" w:rsidRPr="00264D5D" w:rsidRDefault="003D7242" w:rsidP="00144ABC">
            <w:pPr>
              <w:pStyle w:val="GOSTTableHead"/>
            </w:pPr>
            <w:r w:rsidRPr="00264D5D">
              <w:t>Дополнительная информация</w:t>
            </w:r>
          </w:p>
        </w:tc>
      </w:tr>
      <w:tr w:rsidR="003D7242" w:rsidRPr="00264D5D" w14:paraId="0A2FF36B" w14:textId="77777777" w:rsidTr="00144ABC">
        <w:trPr>
          <w:trHeight w:val="305"/>
        </w:trPr>
        <w:tc>
          <w:tcPr>
            <w:tcW w:w="1701" w:type="dxa"/>
          </w:tcPr>
          <w:p w14:paraId="7C5D779B" w14:textId="77777777" w:rsidR="003D7242" w:rsidRPr="00264D5D" w:rsidRDefault="003D7242" w:rsidP="00144ABC">
            <w:pPr>
              <w:pStyle w:val="GOSTTablenorm"/>
              <w:rPr>
                <w:lang w:val="en-US"/>
              </w:rPr>
            </w:pPr>
            <w:r w:rsidRPr="00264D5D">
              <w:rPr>
                <w:lang w:val="en-US"/>
              </w:rPr>
              <w:t>tB</w:t>
            </w:r>
            <w:r w:rsidRPr="00264D5D">
              <w:rPr>
                <w:rFonts w:eastAsia="Calibri"/>
              </w:rPr>
              <w:t>RA_DOC_D_005</w:t>
            </w:r>
            <w:r w:rsidRPr="00264D5D">
              <w:rPr>
                <w:lang w:val="en-US"/>
              </w:rPr>
              <w:t>_Tab</w:t>
            </w:r>
          </w:p>
        </w:tc>
        <w:tc>
          <w:tcPr>
            <w:tcW w:w="1701" w:type="dxa"/>
          </w:tcPr>
          <w:p w14:paraId="28C26E18" w14:textId="77777777" w:rsidR="003D7242" w:rsidRPr="00264D5D" w:rsidRDefault="003D7242" w:rsidP="00144ABC">
            <w:pPr>
              <w:pStyle w:val="GOSTTablenorm"/>
            </w:pPr>
            <w:r w:rsidRPr="00264D5D">
              <w:rPr>
                <w:szCs w:val="22"/>
              </w:rPr>
              <w:t>Inf_</w:t>
            </w:r>
            <w:r w:rsidRPr="00264D5D">
              <w:rPr>
                <w:szCs w:val="22"/>
                <w:lang w:val="en-US"/>
              </w:rPr>
              <w:t>U_</w:t>
            </w:r>
            <w:r w:rsidRPr="00264D5D">
              <w:rPr>
                <w:szCs w:val="22"/>
              </w:rPr>
              <w:t>Tab</w:t>
            </w:r>
            <w:r w:rsidRPr="00264D5D">
              <w:t>_ITEM</w:t>
            </w:r>
          </w:p>
        </w:tc>
        <w:tc>
          <w:tcPr>
            <w:tcW w:w="567" w:type="dxa"/>
          </w:tcPr>
          <w:p w14:paraId="46066111" w14:textId="77777777" w:rsidR="003D7242" w:rsidRPr="00264D5D" w:rsidRDefault="003D7242" w:rsidP="00144ABC">
            <w:pPr>
              <w:pStyle w:val="GOSTTablenorm"/>
            </w:pPr>
            <w:r w:rsidRPr="00264D5D">
              <w:t>С</w:t>
            </w:r>
          </w:p>
        </w:tc>
        <w:tc>
          <w:tcPr>
            <w:tcW w:w="1134" w:type="dxa"/>
          </w:tcPr>
          <w:p w14:paraId="7DC6948D" w14:textId="77777777" w:rsidR="003D7242" w:rsidRPr="00264D5D" w:rsidRDefault="003D7242" w:rsidP="00144ABC">
            <w:pPr>
              <w:pStyle w:val="GOSTTablenorm"/>
              <w:rPr>
                <w:lang w:val="en-US"/>
              </w:rPr>
            </w:pPr>
            <w:r w:rsidRPr="00264D5D">
              <w:rPr>
                <w:lang w:val="en-US"/>
              </w:rPr>
              <w:t>tB</w:t>
            </w:r>
            <w:r w:rsidRPr="00264D5D">
              <w:rPr>
                <w:rFonts w:eastAsia="Calibri"/>
                <w:lang w:val="en-US"/>
              </w:rPr>
              <w:t>RA_DOC_D_005</w:t>
            </w:r>
            <w:r w:rsidRPr="00264D5D">
              <w:rPr>
                <w:lang w:val="en-US"/>
              </w:rPr>
              <w:t>_Tab_ITEM</w:t>
            </w:r>
          </w:p>
        </w:tc>
        <w:tc>
          <w:tcPr>
            <w:tcW w:w="567" w:type="dxa"/>
          </w:tcPr>
          <w:p w14:paraId="463DDB16" w14:textId="77777777" w:rsidR="003D7242" w:rsidRPr="00264D5D" w:rsidRDefault="003D7242" w:rsidP="00144ABC">
            <w:pPr>
              <w:pStyle w:val="GOSTTablenorm"/>
            </w:pPr>
            <w:r w:rsidRPr="00264D5D">
              <w:t>ОМ</w:t>
            </w:r>
          </w:p>
        </w:tc>
        <w:tc>
          <w:tcPr>
            <w:tcW w:w="3963" w:type="dxa"/>
          </w:tcPr>
          <w:p w14:paraId="4E0AAA31" w14:textId="14B6FD22" w:rsidR="003D7242" w:rsidRPr="00264D5D" w:rsidRDefault="003D7242" w:rsidP="00144ABC">
            <w:pPr>
              <w:pStyle w:val="GOSTTablenorm"/>
            </w:pPr>
            <w:r w:rsidRPr="00264D5D">
              <w:t xml:space="preserve">Состав элемента представлен в таблице </w:t>
            </w:r>
            <w:r w:rsidRPr="00264D5D">
              <w:fldChar w:fldCharType="begin"/>
            </w:r>
            <w:r w:rsidRPr="00264D5D">
              <w:instrText xml:space="preserve"> REF _Ref163559720 \h  \* MERGEFORMAT </w:instrText>
            </w:r>
            <w:r w:rsidRPr="00264D5D">
              <w:fldChar w:fldCharType="separate"/>
            </w:r>
            <w:r w:rsidR="008D797C" w:rsidRPr="008D797C">
              <w:rPr>
                <w:rFonts w:eastAsia="Calibri"/>
                <w:noProof/>
              </w:rPr>
              <w:t>383</w:t>
            </w:r>
            <w:r w:rsidRPr="00264D5D">
              <w:fldChar w:fldCharType="end"/>
            </w:r>
          </w:p>
        </w:tc>
      </w:tr>
    </w:tbl>
    <w:p w14:paraId="6C9A0CA3" w14:textId="77777777" w:rsidR="003D7242" w:rsidRPr="00264D5D" w:rsidRDefault="003D7242" w:rsidP="003D7242">
      <w:pPr>
        <w:pStyle w:val="31"/>
        <w:tabs>
          <w:tab w:val="num" w:pos="284"/>
        </w:tabs>
        <w:suppressAutoHyphens/>
        <w:ind w:left="1418" w:hanging="738"/>
      </w:pPr>
      <w:r w:rsidRPr="00264D5D">
        <w:t xml:space="preserve"> </w:t>
      </w:r>
      <w:bookmarkStart w:id="4744" w:name="_Toc167898752"/>
      <w:bookmarkStart w:id="4745" w:name="_Toc219309885"/>
      <w:r w:rsidRPr="00264D5D">
        <w:t>Описание комплексного типа «</w:t>
      </w:r>
      <w:r w:rsidRPr="00264D5D">
        <w:rPr>
          <w:szCs w:val="22"/>
        </w:rPr>
        <w:t>t</w:t>
      </w:r>
      <w:r w:rsidRPr="00264D5D">
        <w:rPr>
          <w:szCs w:val="22"/>
          <w:lang w:val="en-US"/>
        </w:rPr>
        <w:t>B</w:t>
      </w:r>
      <w:r w:rsidRPr="00264D5D">
        <w:rPr>
          <w:rFonts w:eastAsia="Calibri"/>
          <w:szCs w:val="22"/>
        </w:rPr>
        <w:t>RA_DOC_D_005</w:t>
      </w:r>
      <w:r w:rsidRPr="00264D5D">
        <w:rPr>
          <w:szCs w:val="22"/>
        </w:rPr>
        <w:t>_Tab_ITEM</w:t>
      </w:r>
      <w:r w:rsidRPr="00264D5D">
        <w:t>»</w:t>
      </w:r>
      <w:bookmarkEnd w:id="4744"/>
      <w:bookmarkEnd w:id="4745"/>
    </w:p>
    <w:p w14:paraId="6CE3AEF7" w14:textId="77777777" w:rsidR="003D7242" w:rsidRPr="00264D5D" w:rsidRDefault="003D7242" w:rsidP="003D7242">
      <w:r w:rsidRPr="00264D5D">
        <w:rPr>
          <w:rStyle w:val="GOSTNormal0"/>
        </w:rPr>
        <w:t>Описание комплексного типа «</w:t>
      </w:r>
      <w:r w:rsidRPr="00264D5D">
        <w:rPr>
          <w:lang w:val="en-US"/>
        </w:rPr>
        <w:t>tB</w:t>
      </w:r>
      <w:r w:rsidRPr="00264D5D">
        <w:rPr>
          <w:rFonts w:eastAsia="Calibri"/>
          <w:lang w:val="en-US"/>
        </w:rPr>
        <w:t>RA</w:t>
      </w:r>
      <w:r w:rsidRPr="00264D5D">
        <w:rPr>
          <w:rFonts w:eastAsia="Calibri"/>
        </w:rPr>
        <w:t>_</w:t>
      </w:r>
      <w:r w:rsidRPr="00264D5D">
        <w:rPr>
          <w:rFonts w:eastAsia="Calibri"/>
          <w:lang w:val="en-US"/>
        </w:rPr>
        <w:t>DOC</w:t>
      </w:r>
      <w:r w:rsidRPr="00264D5D">
        <w:rPr>
          <w:rFonts w:eastAsia="Calibri"/>
        </w:rPr>
        <w:t>_</w:t>
      </w:r>
      <w:r w:rsidRPr="00264D5D">
        <w:rPr>
          <w:rFonts w:eastAsia="Calibri"/>
          <w:lang w:val="en-US"/>
        </w:rPr>
        <w:t>D</w:t>
      </w:r>
      <w:r w:rsidRPr="00264D5D">
        <w:rPr>
          <w:rFonts w:eastAsia="Calibri"/>
        </w:rPr>
        <w:t>_005</w:t>
      </w:r>
      <w:r w:rsidRPr="00264D5D">
        <w:t>_</w:t>
      </w:r>
      <w:r w:rsidRPr="00264D5D">
        <w:rPr>
          <w:lang w:val="en-US"/>
        </w:rPr>
        <w:t>Tab</w:t>
      </w:r>
      <w:r w:rsidRPr="00264D5D">
        <w:t>_</w:t>
      </w:r>
      <w:r w:rsidRPr="00264D5D">
        <w:rPr>
          <w:lang w:val="en-US"/>
        </w:rPr>
        <w:t>ITEM</w:t>
      </w:r>
      <w:r w:rsidRPr="00264D5D">
        <w:rPr>
          <w:rStyle w:val="GOSTNormal0"/>
        </w:rPr>
        <w:t>» блока «Строки документа</w:t>
      </w:r>
      <w:r w:rsidRPr="00264D5D">
        <w:t>».</w:t>
      </w:r>
    </w:p>
    <w:p w14:paraId="75BC2D58" w14:textId="7B5E3590" w:rsidR="003D7242" w:rsidRPr="00264D5D" w:rsidRDefault="003D7242" w:rsidP="00101F62">
      <w:pPr>
        <w:pStyle w:val="GOSTNameTable"/>
        <w:numPr>
          <w:ilvl w:val="0"/>
          <w:numId w:val="151"/>
        </w:numPr>
        <w:suppressAutoHyphens/>
        <w:spacing w:before="240" w:after="120"/>
        <w:rPr>
          <w:rFonts w:eastAsia="Calibri"/>
        </w:rPr>
      </w:pPr>
      <w:r w:rsidRPr="00264D5D">
        <w:rPr>
          <w:rFonts w:eastAsia="Calibri"/>
        </w:rPr>
        <w:fldChar w:fldCharType="begin"/>
      </w:r>
      <w:r w:rsidRPr="00264D5D">
        <w:rPr>
          <w:rFonts w:eastAsia="Calibri"/>
        </w:rPr>
        <w:instrText xml:space="preserve"> </w:instrText>
      </w:r>
      <w:r w:rsidRPr="00264D5D">
        <w:rPr>
          <w:rFonts w:eastAsia="Calibri"/>
          <w:lang w:val="en-US"/>
        </w:rPr>
        <w:instrText>SEQ</w:instrText>
      </w:r>
      <w:r w:rsidRPr="00264D5D">
        <w:rPr>
          <w:rFonts w:eastAsia="Calibri"/>
        </w:rPr>
        <w:instrText xml:space="preserve"> Таблица \* </w:instrText>
      </w:r>
      <w:r w:rsidRPr="00264D5D">
        <w:rPr>
          <w:rFonts w:eastAsia="Calibri"/>
          <w:lang w:val="en-US"/>
        </w:rPr>
        <w:instrText>ARABIC</w:instrText>
      </w:r>
      <w:r w:rsidRPr="00264D5D">
        <w:rPr>
          <w:rFonts w:eastAsia="Calibri"/>
        </w:rPr>
        <w:instrText xml:space="preserve"> </w:instrText>
      </w:r>
      <w:r w:rsidRPr="00264D5D">
        <w:rPr>
          <w:rFonts w:eastAsia="Calibri"/>
        </w:rPr>
        <w:fldChar w:fldCharType="separate"/>
      </w:r>
      <w:bookmarkStart w:id="4746" w:name="_Ref163559720"/>
      <w:bookmarkStart w:id="4747" w:name="_Toc219309413"/>
      <w:r w:rsidR="008D797C">
        <w:rPr>
          <w:rFonts w:eastAsia="Calibri"/>
          <w:noProof/>
          <w:lang w:val="en-US"/>
        </w:rPr>
        <w:t>383</w:t>
      </w:r>
      <w:bookmarkEnd w:id="4746"/>
      <w:r w:rsidRPr="00264D5D">
        <w:rPr>
          <w:rFonts w:eastAsia="Calibri"/>
        </w:rPr>
        <w:fldChar w:fldCharType="end"/>
      </w:r>
      <w:r w:rsidRPr="00264D5D">
        <w:rPr>
          <w:rFonts w:eastAsia="Calibri"/>
        </w:rPr>
        <w:t xml:space="preserve"> – </w:t>
      </w:r>
      <w:r w:rsidRPr="00264D5D">
        <w:t>Описание</w:t>
      </w:r>
      <w:r w:rsidRPr="00264D5D">
        <w:rPr>
          <w:rFonts w:eastAsia="Calibri"/>
        </w:rPr>
        <w:t xml:space="preserve"> комплексного типа «</w:t>
      </w:r>
      <w:r w:rsidRPr="00264D5D">
        <w:rPr>
          <w:szCs w:val="22"/>
          <w:lang w:val="en-US"/>
        </w:rPr>
        <w:t>tB</w:t>
      </w:r>
      <w:r w:rsidRPr="00264D5D">
        <w:rPr>
          <w:rFonts w:eastAsia="Calibri"/>
          <w:szCs w:val="22"/>
        </w:rPr>
        <w:t>RA_DOC_D_005</w:t>
      </w:r>
      <w:r w:rsidRPr="00264D5D">
        <w:rPr>
          <w:szCs w:val="22"/>
        </w:rPr>
        <w:t>_</w:t>
      </w:r>
      <w:r w:rsidRPr="00264D5D">
        <w:rPr>
          <w:szCs w:val="22"/>
          <w:lang w:val="en-US"/>
        </w:rPr>
        <w:t>Tab</w:t>
      </w:r>
      <w:r w:rsidRPr="00264D5D">
        <w:rPr>
          <w:szCs w:val="22"/>
        </w:rPr>
        <w:t>_</w:t>
      </w:r>
      <w:r w:rsidRPr="00264D5D">
        <w:t>ITEM</w:t>
      </w:r>
      <w:r w:rsidR="005B3CD2" w:rsidRPr="00264D5D">
        <w:t>»</w:t>
      </w:r>
      <w:bookmarkEnd w:id="4747"/>
    </w:p>
    <w:tbl>
      <w:tblPr>
        <w:tblStyle w:val="GOSTTable"/>
        <w:tblW w:w="5002" w:type="pct"/>
        <w:tblLayout w:type="fixed"/>
        <w:tblLook w:val="07E0" w:firstRow="1" w:lastRow="1" w:firstColumn="1" w:lastColumn="1" w:noHBand="1" w:noVBand="1"/>
      </w:tblPr>
      <w:tblGrid>
        <w:gridCol w:w="1707"/>
        <w:gridCol w:w="1703"/>
        <w:gridCol w:w="570"/>
        <w:gridCol w:w="1136"/>
        <w:gridCol w:w="570"/>
        <w:gridCol w:w="3968"/>
      </w:tblGrid>
      <w:tr w:rsidR="003D7242" w:rsidRPr="00264D5D" w14:paraId="57F336FD" w14:textId="77777777" w:rsidTr="00B72814">
        <w:trPr>
          <w:cnfStyle w:val="100000000000" w:firstRow="1" w:lastRow="0" w:firstColumn="0" w:lastColumn="0" w:oddVBand="0" w:evenVBand="0" w:oddHBand="0" w:evenHBand="0" w:firstRowFirstColumn="0" w:firstRowLastColumn="0" w:lastRowFirstColumn="0" w:lastRowLastColumn="0"/>
          <w:tblHeader/>
        </w:trPr>
        <w:tc>
          <w:tcPr>
            <w:tcW w:w="1707" w:type="dxa"/>
          </w:tcPr>
          <w:p w14:paraId="4F246D4C" w14:textId="77777777" w:rsidR="003D7242" w:rsidRPr="00264D5D" w:rsidRDefault="003D7242" w:rsidP="00144ABC">
            <w:pPr>
              <w:pStyle w:val="GOSTTableHead"/>
              <w:keepNext w:val="0"/>
              <w:rPr>
                <w:b w:val="0"/>
                <w:szCs w:val="22"/>
              </w:rPr>
            </w:pPr>
            <w:r w:rsidRPr="00264D5D">
              <w:rPr>
                <w:szCs w:val="22"/>
              </w:rPr>
              <w:t>Наименование элемента</w:t>
            </w:r>
          </w:p>
        </w:tc>
        <w:tc>
          <w:tcPr>
            <w:tcW w:w="1703" w:type="dxa"/>
          </w:tcPr>
          <w:p w14:paraId="4381DED7" w14:textId="77777777" w:rsidR="003D7242" w:rsidRPr="00264D5D" w:rsidRDefault="003D7242" w:rsidP="00144ABC">
            <w:pPr>
              <w:pStyle w:val="GOSTTableHead"/>
              <w:keepNext w:val="0"/>
              <w:rPr>
                <w:b w:val="0"/>
                <w:szCs w:val="22"/>
              </w:rPr>
            </w:pPr>
            <w:r w:rsidRPr="00264D5D">
              <w:rPr>
                <w:szCs w:val="22"/>
              </w:rPr>
              <w:t>Сокращенное наименование (код) элемента</w:t>
            </w:r>
          </w:p>
        </w:tc>
        <w:tc>
          <w:tcPr>
            <w:tcW w:w="570" w:type="dxa"/>
          </w:tcPr>
          <w:p w14:paraId="684EBCF6" w14:textId="77777777" w:rsidR="003D7242" w:rsidRPr="00264D5D" w:rsidRDefault="003D7242" w:rsidP="00144ABC">
            <w:pPr>
              <w:pStyle w:val="GOSTTableHead"/>
              <w:keepNext w:val="0"/>
              <w:rPr>
                <w:b w:val="0"/>
                <w:szCs w:val="22"/>
              </w:rPr>
            </w:pPr>
            <w:r w:rsidRPr="00264D5D">
              <w:rPr>
                <w:szCs w:val="22"/>
              </w:rPr>
              <w:t>Тип</w:t>
            </w:r>
          </w:p>
        </w:tc>
        <w:tc>
          <w:tcPr>
            <w:tcW w:w="1136" w:type="dxa"/>
          </w:tcPr>
          <w:p w14:paraId="2FB427EC" w14:textId="77777777" w:rsidR="003D7242" w:rsidRPr="00264D5D" w:rsidRDefault="003D7242" w:rsidP="00144ABC">
            <w:pPr>
              <w:pStyle w:val="GOSTTableHead"/>
              <w:keepNext w:val="0"/>
              <w:rPr>
                <w:b w:val="0"/>
                <w:szCs w:val="22"/>
              </w:rPr>
            </w:pPr>
            <w:r w:rsidRPr="00264D5D">
              <w:rPr>
                <w:szCs w:val="22"/>
              </w:rPr>
              <w:t>Формат элемента</w:t>
            </w:r>
          </w:p>
        </w:tc>
        <w:tc>
          <w:tcPr>
            <w:tcW w:w="570" w:type="dxa"/>
          </w:tcPr>
          <w:p w14:paraId="2D6C5A8F" w14:textId="77777777" w:rsidR="003D7242" w:rsidRPr="00264D5D" w:rsidRDefault="003D7242" w:rsidP="00144ABC">
            <w:pPr>
              <w:pStyle w:val="GOSTTableHead"/>
              <w:keepNext w:val="0"/>
              <w:rPr>
                <w:b w:val="0"/>
                <w:szCs w:val="22"/>
              </w:rPr>
            </w:pPr>
            <w:r w:rsidRPr="00264D5D">
              <w:rPr>
                <w:szCs w:val="22"/>
              </w:rPr>
              <w:t>Обязательность</w:t>
            </w:r>
          </w:p>
        </w:tc>
        <w:tc>
          <w:tcPr>
            <w:tcW w:w="3968" w:type="dxa"/>
          </w:tcPr>
          <w:p w14:paraId="30DAE0EA" w14:textId="77777777" w:rsidR="003D7242" w:rsidRPr="00264D5D" w:rsidRDefault="003D7242" w:rsidP="00144ABC">
            <w:pPr>
              <w:pStyle w:val="GOSTTableHead"/>
              <w:keepNext w:val="0"/>
              <w:rPr>
                <w:b w:val="0"/>
                <w:szCs w:val="22"/>
              </w:rPr>
            </w:pPr>
            <w:r w:rsidRPr="00264D5D">
              <w:rPr>
                <w:szCs w:val="22"/>
              </w:rPr>
              <w:t>Дополнительная информация</w:t>
            </w:r>
          </w:p>
        </w:tc>
      </w:tr>
      <w:tr w:rsidR="003D7242" w:rsidRPr="00264D5D" w14:paraId="201EC5B7" w14:textId="77777777" w:rsidTr="00B72814">
        <w:tc>
          <w:tcPr>
            <w:tcW w:w="1707" w:type="dxa"/>
          </w:tcPr>
          <w:p w14:paraId="28917AC7" w14:textId="77777777" w:rsidR="003D7242" w:rsidRPr="00264D5D" w:rsidRDefault="003D7242" w:rsidP="00144ABC">
            <w:pPr>
              <w:pStyle w:val="GOSTTablenorm"/>
            </w:pPr>
            <w:r w:rsidRPr="00264D5D">
              <w:t>Уникальный присваиваемый номер операции</w:t>
            </w:r>
          </w:p>
        </w:tc>
        <w:tc>
          <w:tcPr>
            <w:tcW w:w="1703" w:type="dxa"/>
          </w:tcPr>
          <w:p w14:paraId="701FE939" w14:textId="77777777" w:rsidR="003D7242" w:rsidRPr="00264D5D" w:rsidRDefault="003D7242" w:rsidP="00144ABC">
            <w:pPr>
              <w:pStyle w:val="GOSTTablenorm"/>
              <w:rPr>
                <w:szCs w:val="22"/>
              </w:rPr>
            </w:pPr>
            <w:r w:rsidRPr="00264D5D">
              <w:rPr>
                <w:szCs w:val="22"/>
              </w:rPr>
              <w:t>Nom_Oper</w:t>
            </w:r>
          </w:p>
        </w:tc>
        <w:tc>
          <w:tcPr>
            <w:tcW w:w="570" w:type="dxa"/>
          </w:tcPr>
          <w:p w14:paraId="1343341C" w14:textId="77777777" w:rsidR="003D7242" w:rsidRPr="00264D5D" w:rsidRDefault="003D7242" w:rsidP="00144ABC">
            <w:pPr>
              <w:pStyle w:val="GOSTTablenorm"/>
              <w:jc w:val="center"/>
              <w:rPr>
                <w:szCs w:val="22"/>
              </w:rPr>
            </w:pPr>
            <w:r w:rsidRPr="00264D5D">
              <w:rPr>
                <w:szCs w:val="22"/>
              </w:rPr>
              <w:t>П</w:t>
            </w:r>
          </w:p>
        </w:tc>
        <w:tc>
          <w:tcPr>
            <w:tcW w:w="1136" w:type="dxa"/>
          </w:tcPr>
          <w:p w14:paraId="1432C827" w14:textId="77777777" w:rsidR="003D7242" w:rsidRPr="00264D5D" w:rsidRDefault="003D7242" w:rsidP="00144ABC">
            <w:pPr>
              <w:pStyle w:val="GOSTTablenorm"/>
              <w:rPr>
                <w:szCs w:val="22"/>
              </w:rPr>
            </w:pPr>
            <w:r w:rsidRPr="00264D5D">
              <w:rPr>
                <w:szCs w:val="22"/>
              </w:rPr>
              <w:t>Т(1-32)</w:t>
            </w:r>
          </w:p>
        </w:tc>
        <w:tc>
          <w:tcPr>
            <w:tcW w:w="570" w:type="dxa"/>
          </w:tcPr>
          <w:p w14:paraId="7B35398F" w14:textId="77777777" w:rsidR="003D7242" w:rsidRPr="00264D5D" w:rsidRDefault="003D7242" w:rsidP="00144ABC">
            <w:pPr>
              <w:pStyle w:val="GOSTTablenorm"/>
              <w:jc w:val="center"/>
              <w:rPr>
                <w:szCs w:val="22"/>
              </w:rPr>
            </w:pPr>
            <w:r w:rsidRPr="00264D5D">
              <w:rPr>
                <w:szCs w:val="22"/>
              </w:rPr>
              <w:t>Н</w:t>
            </w:r>
          </w:p>
        </w:tc>
        <w:tc>
          <w:tcPr>
            <w:tcW w:w="3968" w:type="dxa"/>
          </w:tcPr>
          <w:p w14:paraId="43EE2866" w14:textId="77777777" w:rsidR="003D7242" w:rsidRPr="00264D5D" w:rsidRDefault="003D7242" w:rsidP="00144ABC">
            <w:pPr>
              <w:pStyle w:val="GOSTTablenorm"/>
            </w:pPr>
            <w:r w:rsidRPr="00264D5D">
              <w:t>Указывается уникальный присваиваемый номер операции из платежного документа плательщика.</w:t>
            </w:r>
          </w:p>
          <w:p w14:paraId="229097DD" w14:textId="77777777" w:rsidR="003D7242" w:rsidRPr="00264D5D" w:rsidRDefault="003D7242" w:rsidP="00144ABC">
            <w:pPr>
              <w:pStyle w:val="GOSTTablenorm"/>
            </w:pPr>
            <w:r w:rsidRPr="00264D5D">
              <w:t xml:space="preserve">Обязательно к заполнению, если не указан реквизит документа-основания Guid_PP </w:t>
            </w:r>
          </w:p>
        </w:tc>
      </w:tr>
      <w:tr w:rsidR="003D7242" w:rsidRPr="00264D5D" w14:paraId="33A875CC" w14:textId="77777777" w:rsidTr="00B72814">
        <w:tc>
          <w:tcPr>
            <w:tcW w:w="1707" w:type="dxa"/>
          </w:tcPr>
          <w:p w14:paraId="5793BB72" w14:textId="77777777" w:rsidR="003D7242" w:rsidRPr="00264D5D" w:rsidRDefault="003D7242" w:rsidP="00144ABC">
            <w:pPr>
              <w:pStyle w:val="GOSTTablenorm"/>
            </w:pPr>
            <w:r w:rsidRPr="00264D5D">
              <w:t>Номер записи</w:t>
            </w:r>
          </w:p>
        </w:tc>
        <w:tc>
          <w:tcPr>
            <w:tcW w:w="1703" w:type="dxa"/>
          </w:tcPr>
          <w:p w14:paraId="598AE692" w14:textId="77777777" w:rsidR="003D7242" w:rsidRPr="00264D5D" w:rsidRDefault="003D7242" w:rsidP="00144ABC">
            <w:pPr>
              <w:pStyle w:val="GOSTTablenorm"/>
              <w:rPr>
                <w:szCs w:val="22"/>
              </w:rPr>
            </w:pPr>
            <w:r w:rsidRPr="00264D5D">
              <w:rPr>
                <w:szCs w:val="22"/>
              </w:rPr>
              <w:t>Line_Nom</w:t>
            </w:r>
          </w:p>
        </w:tc>
        <w:tc>
          <w:tcPr>
            <w:tcW w:w="570" w:type="dxa"/>
          </w:tcPr>
          <w:p w14:paraId="40BC46EE" w14:textId="77777777" w:rsidR="003D7242" w:rsidRPr="00264D5D" w:rsidRDefault="003D7242" w:rsidP="00144ABC">
            <w:pPr>
              <w:pStyle w:val="GOSTTablenorm"/>
              <w:jc w:val="center"/>
              <w:rPr>
                <w:szCs w:val="22"/>
              </w:rPr>
            </w:pPr>
            <w:r w:rsidRPr="00264D5D">
              <w:rPr>
                <w:szCs w:val="22"/>
              </w:rPr>
              <w:t>П</w:t>
            </w:r>
          </w:p>
        </w:tc>
        <w:tc>
          <w:tcPr>
            <w:tcW w:w="1136" w:type="dxa"/>
          </w:tcPr>
          <w:p w14:paraId="11F9F4C7" w14:textId="77777777" w:rsidR="003D7242" w:rsidRPr="00264D5D" w:rsidRDefault="003D7242" w:rsidP="00144ABC">
            <w:pPr>
              <w:pStyle w:val="GOSTTablenorm"/>
              <w:rPr>
                <w:szCs w:val="22"/>
              </w:rPr>
            </w:pPr>
            <w:r w:rsidRPr="00264D5D">
              <w:rPr>
                <w:szCs w:val="22"/>
              </w:rPr>
              <w:t>Т(1-6)</w:t>
            </w:r>
          </w:p>
        </w:tc>
        <w:tc>
          <w:tcPr>
            <w:tcW w:w="570" w:type="dxa"/>
          </w:tcPr>
          <w:p w14:paraId="3D302161" w14:textId="77777777" w:rsidR="003D7242" w:rsidRPr="00264D5D" w:rsidRDefault="003D7242" w:rsidP="00144ABC">
            <w:pPr>
              <w:pStyle w:val="GOSTTablenorm"/>
              <w:jc w:val="center"/>
              <w:rPr>
                <w:szCs w:val="22"/>
              </w:rPr>
            </w:pPr>
            <w:r w:rsidRPr="00264D5D">
              <w:rPr>
                <w:szCs w:val="22"/>
              </w:rPr>
              <w:t>О</w:t>
            </w:r>
          </w:p>
        </w:tc>
        <w:tc>
          <w:tcPr>
            <w:tcW w:w="3968" w:type="dxa"/>
          </w:tcPr>
          <w:p w14:paraId="7A7D4AB8" w14:textId="77777777" w:rsidR="003D7242" w:rsidRPr="00264D5D" w:rsidRDefault="003D7242" w:rsidP="00144ABC">
            <w:pPr>
              <w:pStyle w:val="GOSTTablenorm"/>
              <w:rPr>
                <w:szCs w:val="22"/>
              </w:rPr>
            </w:pPr>
            <w:r w:rsidRPr="00264D5D">
              <w:t xml:space="preserve">Указывается порядковый номер записи </w:t>
            </w:r>
          </w:p>
        </w:tc>
      </w:tr>
      <w:tr w:rsidR="003D7242" w:rsidRPr="00264D5D" w14:paraId="68557E3C" w14:textId="77777777" w:rsidTr="00B72814">
        <w:tc>
          <w:tcPr>
            <w:tcW w:w="1707" w:type="dxa"/>
          </w:tcPr>
          <w:p w14:paraId="60BBDDD0" w14:textId="77777777" w:rsidR="003D7242" w:rsidRPr="00264D5D" w:rsidRDefault="003D7242" w:rsidP="00144ABC">
            <w:pPr>
              <w:pStyle w:val="GOSTTablenorm"/>
            </w:pPr>
            <w:r w:rsidRPr="00264D5D">
              <w:t>ГУИД платежного документа</w:t>
            </w:r>
          </w:p>
        </w:tc>
        <w:tc>
          <w:tcPr>
            <w:tcW w:w="1703" w:type="dxa"/>
          </w:tcPr>
          <w:p w14:paraId="22395213" w14:textId="77777777" w:rsidR="003D7242" w:rsidRPr="00264D5D" w:rsidRDefault="003D7242" w:rsidP="00144ABC">
            <w:pPr>
              <w:pStyle w:val="GOSTTablenorm"/>
              <w:rPr>
                <w:szCs w:val="22"/>
              </w:rPr>
            </w:pPr>
            <w:r w:rsidRPr="00264D5D">
              <w:t>Guid_PP</w:t>
            </w:r>
          </w:p>
        </w:tc>
        <w:tc>
          <w:tcPr>
            <w:tcW w:w="570" w:type="dxa"/>
          </w:tcPr>
          <w:p w14:paraId="0C0E70C2" w14:textId="77777777" w:rsidR="003D7242" w:rsidRPr="00264D5D" w:rsidRDefault="003D7242" w:rsidP="00144ABC">
            <w:pPr>
              <w:pStyle w:val="GOSTTablenorm"/>
              <w:jc w:val="center"/>
              <w:rPr>
                <w:szCs w:val="22"/>
              </w:rPr>
            </w:pPr>
            <w:r w:rsidRPr="00264D5D">
              <w:rPr>
                <w:szCs w:val="22"/>
              </w:rPr>
              <w:t>П</w:t>
            </w:r>
          </w:p>
        </w:tc>
        <w:tc>
          <w:tcPr>
            <w:tcW w:w="1136" w:type="dxa"/>
          </w:tcPr>
          <w:p w14:paraId="21086B64" w14:textId="77777777" w:rsidR="003D7242" w:rsidRPr="00264D5D" w:rsidRDefault="003D7242" w:rsidP="00144ABC">
            <w:pPr>
              <w:pStyle w:val="GOSTTablenorm"/>
              <w:rPr>
                <w:szCs w:val="22"/>
              </w:rPr>
            </w:pPr>
            <w:r w:rsidRPr="00264D5D">
              <w:rPr>
                <w:szCs w:val="22"/>
                <w:lang w:val="en-US"/>
              </w:rPr>
              <w:t>GUID</w:t>
            </w:r>
          </w:p>
        </w:tc>
        <w:tc>
          <w:tcPr>
            <w:tcW w:w="570" w:type="dxa"/>
          </w:tcPr>
          <w:p w14:paraId="5B0C958C" w14:textId="77777777" w:rsidR="003D7242" w:rsidRPr="00264D5D" w:rsidRDefault="003D7242" w:rsidP="00144ABC">
            <w:pPr>
              <w:pStyle w:val="GOSTTablenorm"/>
              <w:jc w:val="center"/>
              <w:rPr>
                <w:szCs w:val="22"/>
              </w:rPr>
            </w:pPr>
            <w:r w:rsidRPr="00264D5D">
              <w:rPr>
                <w:szCs w:val="22"/>
              </w:rPr>
              <w:t>Н</w:t>
            </w:r>
          </w:p>
        </w:tc>
        <w:tc>
          <w:tcPr>
            <w:tcW w:w="3968" w:type="dxa"/>
          </w:tcPr>
          <w:p w14:paraId="0CD1FADF" w14:textId="77777777" w:rsidR="003D7242" w:rsidRPr="00264D5D" w:rsidRDefault="003D7242" w:rsidP="00144ABC">
            <w:pPr>
              <w:pStyle w:val="GOSTTablenorm"/>
            </w:pPr>
            <w:r w:rsidRPr="00264D5D">
              <w:t>Указывается ГУИД расчетного документа или поручения о перечислении на счет, присвоенный ТОФК.</w:t>
            </w:r>
          </w:p>
          <w:p w14:paraId="6E91FCC6" w14:textId="77777777" w:rsidR="003D7242" w:rsidRPr="00264D5D" w:rsidRDefault="003D7242" w:rsidP="00144ABC">
            <w:pPr>
              <w:pStyle w:val="GOSTTablenorm"/>
            </w:pPr>
            <w:r w:rsidRPr="00264D5D">
              <w:t xml:space="preserve">Обязательно к заполнению, если не </w:t>
            </w:r>
            <w:r w:rsidRPr="00264D5D">
              <w:lastRenderedPageBreak/>
              <w:t>указан реквизит «Уникальный присваиваемый номер операции» (</w:t>
            </w:r>
            <w:r w:rsidRPr="00264D5D">
              <w:rPr>
                <w:szCs w:val="22"/>
              </w:rPr>
              <w:t>Nom_Oper</w:t>
            </w:r>
            <w:r w:rsidRPr="00264D5D">
              <w:t>).</w:t>
            </w:r>
          </w:p>
          <w:p w14:paraId="719B27DF" w14:textId="77777777" w:rsidR="003D7242" w:rsidRPr="00264D5D" w:rsidRDefault="003D7242" w:rsidP="00144ABC">
            <w:pPr>
              <w:pStyle w:val="GOSTTablenorm"/>
            </w:pPr>
            <w:r w:rsidRPr="00264D5D">
              <w:t>Не заполняется, если указан реквизит «Уникальный присваиваемый номер операции» (</w:t>
            </w:r>
            <w:r w:rsidRPr="00264D5D">
              <w:rPr>
                <w:szCs w:val="22"/>
              </w:rPr>
              <w:t>Nom_Oper</w:t>
            </w:r>
            <w:r w:rsidRPr="00264D5D">
              <w:t>)</w:t>
            </w:r>
          </w:p>
        </w:tc>
      </w:tr>
      <w:tr w:rsidR="003D7242" w:rsidRPr="00264D5D" w14:paraId="7F1E8AED" w14:textId="77777777" w:rsidTr="00B72814">
        <w:tc>
          <w:tcPr>
            <w:tcW w:w="1707" w:type="dxa"/>
          </w:tcPr>
          <w:p w14:paraId="32D8B71D" w14:textId="77777777" w:rsidR="003D7242" w:rsidRPr="00264D5D" w:rsidRDefault="003D7242" w:rsidP="00144ABC">
            <w:pPr>
              <w:pStyle w:val="GOSTTablenorm"/>
            </w:pPr>
            <w:r w:rsidRPr="00264D5D">
              <w:lastRenderedPageBreak/>
              <w:t>Номер уточняемого расчетного документа или поручения о перечислении на счет</w:t>
            </w:r>
          </w:p>
        </w:tc>
        <w:tc>
          <w:tcPr>
            <w:tcW w:w="1703" w:type="dxa"/>
          </w:tcPr>
          <w:p w14:paraId="3EF59BEB" w14:textId="77777777" w:rsidR="003D7242" w:rsidRPr="00264D5D" w:rsidRDefault="003D7242" w:rsidP="00144ABC">
            <w:pPr>
              <w:pStyle w:val="GOSTTablenorm"/>
              <w:rPr>
                <w:szCs w:val="22"/>
              </w:rPr>
            </w:pPr>
            <w:r w:rsidRPr="00264D5D">
              <w:t>Nom_PP</w:t>
            </w:r>
          </w:p>
        </w:tc>
        <w:tc>
          <w:tcPr>
            <w:tcW w:w="570" w:type="dxa"/>
          </w:tcPr>
          <w:p w14:paraId="6F6B4BAD" w14:textId="77777777" w:rsidR="003D7242" w:rsidRPr="00264D5D" w:rsidRDefault="003D7242" w:rsidP="00144ABC">
            <w:pPr>
              <w:pStyle w:val="GOSTTablenorm"/>
              <w:jc w:val="center"/>
              <w:rPr>
                <w:szCs w:val="22"/>
              </w:rPr>
            </w:pPr>
            <w:r w:rsidRPr="00264D5D">
              <w:rPr>
                <w:szCs w:val="22"/>
              </w:rPr>
              <w:t>П</w:t>
            </w:r>
          </w:p>
        </w:tc>
        <w:tc>
          <w:tcPr>
            <w:tcW w:w="1136" w:type="dxa"/>
          </w:tcPr>
          <w:p w14:paraId="02432CBA" w14:textId="77777777" w:rsidR="003D7242" w:rsidRPr="00264D5D" w:rsidRDefault="003D7242" w:rsidP="00144ABC">
            <w:pPr>
              <w:pStyle w:val="GOSTTablenorm"/>
              <w:rPr>
                <w:szCs w:val="22"/>
              </w:rPr>
            </w:pPr>
            <w:r w:rsidRPr="00264D5D">
              <w:rPr>
                <w:szCs w:val="22"/>
                <w:lang w:val="en-US"/>
              </w:rPr>
              <w:t>T(1-20)</w:t>
            </w:r>
          </w:p>
        </w:tc>
        <w:tc>
          <w:tcPr>
            <w:tcW w:w="570" w:type="dxa"/>
          </w:tcPr>
          <w:p w14:paraId="66179F3B" w14:textId="77777777" w:rsidR="003D7242" w:rsidRPr="00264D5D" w:rsidRDefault="003D7242" w:rsidP="00144ABC">
            <w:pPr>
              <w:pStyle w:val="GOSTTablenorm"/>
              <w:jc w:val="center"/>
              <w:rPr>
                <w:szCs w:val="22"/>
              </w:rPr>
            </w:pPr>
            <w:r w:rsidRPr="00264D5D">
              <w:rPr>
                <w:szCs w:val="22"/>
              </w:rPr>
              <w:t>О</w:t>
            </w:r>
          </w:p>
        </w:tc>
        <w:tc>
          <w:tcPr>
            <w:tcW w:w="3968" w:type="dxa"/>
          </w:tcPr>
          <w:p w14:paraId="3344751A" w14:textId="77777777" w:rsidR="003D7242" w:rsidRPr="00264D5D" w:rsidRDefault="003D7242" w:rsidP="00144ABC">
            <w:pPr>
              <w:pStyle w:val="GOSTTablenorm"/>
            </w:pPr>
            <w:r w:rsidRPr="00264D5D">
              <w:t>Номер расчетного документа (поле 3) или номер поручения о перечислении на счет (поле 1.10), на основании которого зачислены денежные средства.</w:t>
            </w:r>
          </w:p>
          <w:p w14:paraId="644D28AE" w14:textId="77777777" w:rsidR="003D7242" w:rsidRPr="00264D5D" w:rsidRDefault="003D7242" w:rsidP="00B14B81">
            <w:pPr>
              <w:pStyle w:val="GOSTTablenorm"/>
            </w:pPr>
            <w:r w:rsidRPr="00264D5D">
              <w:t>В случае уточнения платежа физического лица, включенного в платежное поручение на общую сумму с реестром, указываются номер платежного поручения на общую сумму с реестром и номер строки в реестре, раз</w:t>
            </w:r>
            <w:r w:rsidR="00B14B81" w:rsidRPr="00264D5D">
              <w:t>деленные между собой знаком «/»</w:t>
            </w:r>
          </w:p>
        </w:tc>
      </w:tr>
      <w:tr w:rsidR="003D7242" w:rsidRPr="00264D5D" w14:paraId="6C9E77FF" w14:textId="77777777" w:rsidTr="00B72814">
        <w:tc>
          <w:tcPr>
            <w:tcW w:w="1707" w:type="dxa"/>
          </w:tcPr>
          <w:p w14:paraId="51C49FA1" w14:textId="77777777" w:rsidR="003D7242" w:rsidRPr="00264D5D" w:rsidRDefault="003D7242" w:rsidP="00144ABC">
            <w:pPr>
              <w:pStyle w:val="GOSTTablenorm"/>
            </w:pPr>
            <w:r w:rsidRPr="00264D5D">
              <w:t>Дата уточняемого расчетного документа или поручения о перечислении на счет</w:t>
            </w:r>
          </w:p>
        </w:tc>
        <w:tc>
          <w:tcPr>
            <w:tcW w:w="1703" w:type="dxa"/>
          </w:tcPr>
          <w:p w14:paraId="7F2CD54D" w14:textId="77777777" w:rsidR="003D7242" w:rsidRPr="00264D5D" w:rsidRDefault="003D7242" w:rsidP="00144ABC">
            <w:pPr>
              <w:pStyle w:val="GOSTTablenorm"/>
              <w:rPr>
                <w:szCs w:val="22"/>
              </w:rPr>
            </w:pPr>
            <w:r w:rsidRPr="00264D5D">
              <w:t>Date_PP</w:t>
            </w:r>
          </w:p>
        </w:tc>
        <w:tc>
          <w:tcPr>
            <w:tcW w:w="570" w:type="dxa"/>
          </w:tcPr>
          <w:p w14:paraId="75FFE7CD" w14:textId="77777777" w:rsidR="003D7242" w:rsidRPr="00264D5D" w:rsidRDefault="003D7242" w:rsidP="00144ABC">
            <w:pPr>
              <w:pStyle w:val="GOSTTablenorm"/>
              <w:jc w:val="center"/>
              <w:rPr>
                <w:szCs w:val="22"/>
              </w:rPr>
            </w:pPr>
            <w:r w:rsidRPr="00264D5D">
              <w:rPr>
                <w:szCs w:val="22"/>
              </w:rPr>
              <w:t>П</w:t>
            </w:r>
          </w:p>
        </w:tc>
        <w:tc>
          <w:tcPr>
            <w:tcW w:w="1136" w:type="dxa"/>
          </w:tcPr>
          <w:p w14:paraId="756C94FC" w14:textId="77777777" w:rsidR="003D7242" w:rsidRPr="00264D5D" w:rsidRDefault="003D7242" w:rsidP="00144ABC">
            <w:pPr>
              <w:pStyle w:val="GOSTTablenorm"/>
              <w:rPr>
                <w:szCs w:val="22"/>
              </w:rPr>
            </w:pPr>
            <w:r w:rsidRPr="00264D5D">
              <w:rPr>
                <w:szCs w:val="22"/>
                <w:lang w:val="en-US"/>
              </w:rPr>
              <w:t>Date</w:t>
            </w:r>
          </w:p>
        </w:tc>
        <w:tc>
          <w:tcPr>
            <w:tcW w:w="570" w:type="dxa"/>
          </w:tcPr>
          <w:p w14:paraId="619C8EF1" w14:textId="77777777" w:rsidR="003D7242" w:rsidRPr="00264D5D" w:rsidRDefault="003D7242" w:rsidP="00144ABC">
            <w:pPr>
              <w:pStyle w:val="GOSTTablenorm"/>
              <w:jc w:val="center"/>
              <w:rPr>
                <w:szCs w:val="22"/>
              </w:rPr>
            </w:pPr>
            <w:r w:rsidRPr="00264D5D">
              <w:rPr>
                <w:szCs w:val="22"/>
              </w:rPr>
              <w:t>О</w:t>
            </w:r>
          </w:p>
        </w:tc>
        <w:tc>
          <w:tcPr>
            <w:tcW w:w="3968" w:type="dxa"/>
          </w:tcPr>
          <w:p w14:paraId="4E249615" w14:textId="77777777" w:rsidR="003D7242" w:rsidRPr="00264D5D" w:rsidRDefault="003D7242" w:rsidP="00B14B81">
            <w:pPr>
              <w:pStyle w:val="GOSTTablenorm"/>
            </w:pPr>
            <w:r w:rsidRPr="00264D5D">
              <w:t>Дата расчетного документа (поле 4) или поручения о перечислении на счет (поле 1.15), на основании котор</w:t>
            </w:r>
            <w:r w:rsidR="00B14B81" w:rsidRPr="00264D5D">
              <w:t>ого зачислены денежные средства</w:t>
            </w:r>
          </w:p>
        </w:tc>
      </w:tr>
      <w:tr w:rsidR="003D7242" w:rsidRPr="00264D5D" w14:paraId="009673D9" w14:textId="77777777" w:rsidTr="00B72814">
        <w:tc>
          <w:tcPr>
            <w:tcW w:w="1707" w:type="dxa"/>
          </w:tcPr>
          <w:p w14:paraId="166E5FB6" w14:textId="77777777" w:rsidR="003D7242" w:rsidRPr="00264D5D" w:rsidRDefault="003D7242" w:rsidP="00144ABC">
            <w:pPr>
              <w:pStyle w:val="GOSTTablenorm"/>
            </w:pPr>
            <w:r w:rsidRPr="00264D5D">
              <w:t>КБК</w:t>
            </w:r>
          </w:p>
        </w:tc>
        <w:tc>
          <w:tcPr>
            <w:tcW w:w="1703" w:type="dxa"/>
          </w:tcPr>
          <w:p w14:paraId="235A7627" w14:textId="77777777" w:rsidR="003D7242" w:rsidRPr="00264D5D" w:rsidRDefault="003D7242" w:rsidP="00144ABC">
            <w:pPr>
              <w:pStyle w:val="GOSTTablenorm"/>
            </w:pPr>
            <w:r w:rsidRPr="00264D5D">
              <w:rPr>
                <w:szCs w:val="22"/>
              </w:rPr>
              <w:t>KBK</w:t>
            </w:r>
          </w:p>
        </w:tc>
        <w:tc>
          <w:tcPr>
            <w:tcW w:w="570" w:type="dxa"/>
          </w:tcPr>
          <w:p w14:paraId="60737003" w14:textId="77777777" w:rsidR="003D7242" w:rsidRPr="00264D5D" w:rsidRDefault="003D7242" w:rsidP="00144ABC">
            <w:pPr>
              <w:pStyle w:val="GOSTTablenorm"/>
              <w:jc w:val="center"/>
              <w:rPr>
                <w:szCs w:val="22"/>
              </w:rPr>
            </w:pPr>
            <w:r w:rsidRPr="00264D5D">
              <w:rPr>
                <w:szCs w:val="22"/>
              </w:rPr>
              <w:t>П</w:t>
            </w:r>
          </w:p>
        </w:tc>
        <w:tc>
          <w:tcPr>
            <w:tcW w:w="1136" w:type="dxa"/>
          </w:tcPr>
          <w:p w14:paraId="479D059F" w14:textId="77777777" w:rsidR="003D7242" w:rsidRPr="00264D5D" w:rsidRDefault="003D7242" w:rsidP="00144ABC">
            <w:pPr>
              <w:pStyle w:val="GOSTTablenorm"/>
              <w:rPr>
                <w:szCs w:val="22"/>
              </w:rPr>
            </w:pPr>
            <w:r w:rsidRPr="00264D5D">
              <w:rPr>
                <w:szCs w:val="22"/>
              </w:rPr>
              <w:t>Т(20)</w:t>
            </w:r>
          </w:p>
        </w:tc>
        <w:tc>
          <w:tcPr>
            <w:tcW w:w="570" w:type="dxa"/>
          </w:tcPr>
          <w:p w14:paraId="6DED7921" w14:textId="77777777" w:rsidR="003D7242" w:rsidRPr="00264D5D" w:rsidRDefault="003D7242" w:rsidP="00144ABC">
            <w:pPr>
              <w:pStyle w:val="GOSTTablenorm"/>
              <w:jc w:val="center"/>
              <w:rPr>
                <w:szCs w:val="22"/>
              </w:rPr>
            </w:pPr>
            <w:r w:rsidRPr="00264D5D">
              <w:rPr>
                <w:szCs w:val="22"/>
              </w:rPr>
              <w:t>О</w:t>
            </w:r>
          </w:p>
        </w:tc>
        <w:tc>
          <w:tcPr>
            <w:tcW w:w="3968" w:type="dxa"/>
          </w:tcPr>
          <w:p w14:paraId="4A4CD50F" w14:textId="77777777" w:rsidR="003D7242" w:rsidRPr="00264D5D" w:rsidRDefault="003D7242" w:rsidP="00144ABC">
            <w:pPr>
              <w:pStyle w:val="GOSTTablenorm"/>
            </w:pPr>
            <w:r w:rsidRPr="00264D5D">
              <w:t xml:space="preserve">Указывается </w:t>
            </w:r>
            <w:r w:rsidR="00B72814" w:rsidRPr="00264D5D">
              <w:t xml:space="preserve">уточняемый </w:t>
            </w:r>
            <w:r w:rsidRPr="00264D5D">
              <w:t>код бюджетной классификации в соответствии с действующими Указаниями по БК</w:t>
            </w:r>
          </w:p>
        </w:tc>
      </w:tr>
      <w:tr w:rsidR="003D7242" w:rsidRPr="00264D5D" w14:paraId="1730A74C" w14:textId="77777777" w:rsidTr="00B72814">
        <w:tc>
          <w:tcPr>
            <w:tcW w:w="1707" w:type="dxa"/>
          </w:tcPr>
          <w:p w14:paraId="26E705AE" w14:textId="77777777" w:rsidR="003D7242" w:rsidRPr="00264D5D" w:rsidRDefault="003D7242" w:rsidP="00144ABC">
            <w:pPr>
              <w:pStyle w:val="GOSTTablenorm"/>
            </w:pPr>
            <w:r w:rsidRPr="00264D5D">
              <w:t>ОКТМО</w:t>
            </w:r>
          </w:p>
        </w:tc>
        <w:tc>
          <w:tcPr>
            <w:tcW w:w="1703" w:type="dxa"/>
          </w:tcPr>
          <w:p w14:paraId="07D1A062" w14:textId="77777777" w:rsidR="003D7242" w:rsidRPr="00264D5D" w:rsidRDefault="003D7242" w:rsidP="00144ABC">
            <w:pPr>
              <w:pStyle w:val="GOSTTablenorm"/>
            </w:pPr>
            <w:r w:rsidRPr="00264D5D">
              <w:rPr>
                <w:szCs w:val="22"/>
              </w:rPr>
              <w:t>OKTMO</w:t>
            </w:r>
          </w:p>
        </w:tc>
        <w:tc>
          <w:tcPr>
            <w:tcW w:w="570" w:type="dxa"/>
          </w:tcPr>
          <w:p w14:paraId="1002891D" w14:textId="77777777" w:rsidR="003D7242" w:rsidRPr="00264D5D" w:rsidRDefault="003D7242" w:rsidP="00144ABC">
            <w:pPr>
              <w:pStyle w:val="GOSTTablenorm"/>
              <w:jc w:val="center"/>
              <w:rPr>
                <w:szCs w:val="22"/>
              </w:rPr>
            </w:pPr>
            <w:r w:rsidRPr="00264D5D">
              <w:rPr>
                <w:szCs w:val="22"/>
              </w:rPr>
              <w:t>П</w:t>
            </w:r>
          </w:p>
        </w:tc>
        <w:tc>
          <w:tcPr>
            <w:tcW w:w="1136" w:type="dxa"/>
          </w:tcPr>
          <w:p w14:paraId="4C52CD87" w14:textId="77777777" w:rsidR="003D7242" w:rsidRPr="00264D5D" w:rsidRDefault="003D7242" w:rsidP="00144ABC">
            <w:pPr>
              <w:pStyle w:val="GOSTTablenorm"/>
              <w:rPr>
                <w:szCs w:val="22"/>
              </w:rPr>
            </w:pPr>
            <w:r w:rsidRPr="00264D5D">
              <w:rPr>
                <w:szCs w:val="22"/>
                <w:lang w:val="en-US"/>
              </w:rPr>
              <w:t>T</w:t>
            </w:r>
            <w:r w:rsidRPr="00264D5D">
              <w:rPr>
                <w:szCs w:val="22"/>
              </w:rPr>
              <w:t>(8)</w:t>
            </w:r>
          </w:p>
        </w:tc>
        <w:tc>
          <w:tcPr>
            <w:tcW w:w="570" w:type="dxa"/>
          </w:tcPr>
          <w:p w14:paraId="1FA387C7" w14:textId="77777777" w:rsidR="003D7242" w:rsidRPr="00264D5D" w:rsidRDefault="003D7242" w:rsidP="00144ABC">
            <w:pPr>
              <w:pStyle w:val="GOSTTablenorm"/>
              <w:jc w:val="center"/>
              <w:rPr>
                <w:szCs w:val="22"/>
              </w:rPr>
            </w:pPr>
            <w:r w:rsidRPr="00264D5D">
              <w:rPr>
                <w:szCs w:val="22"/>
              </w:rPr>
              <w:t>О</w:t>
            </w:r>
          </w:p>
        </w:tc>
        <w:tc>
          <w:tcPr>
            <w:tcW w:w="3968" w:type="dxa"/>
          </w:tcPr>
          <w:p w14:paraId="5F9CA346" w14:textId="77777777" w:rsidR="003D7242" w:rsidRPr="00264D5D" w:rsidRDefault="003D7242" w:rsidP="00144ABC">
            <w:pPr>
              <w:pStyle w:val="GOSTTablenorm"/>
            </w:pPr>
            <w:r w:rsidRPr="00264D5D">
              <w:t xml:space="preserve">Указывается </w:t>
            </w:r>
            <w:r w:rsidR="00B72814" w:rsidRPr="00264D5D">
              <w:t xml:space="preserve">уточняемый </w:t>
            </w:r>
            <w:r w:rsidRPr="00264D5D">
              <w:t>код в соответствии с ОКТМО</w:t>
            </w:r>
          </w:p>
        </w:tc>
      </w:tr>
      <w:tr w:rsidR="003D7242" w:rsidRPr="00264D5D" w14:paraId="5AC6C062" w14:textId="77777777" w:rsidTr="00B72814">
        <w:tc>
          <w:tcPr>
            <w:tcW w:w="1707" w:type="dxa"/>
          </w:tcPr>
          <w:p w14:paraId="408ED38B" w14:textId="77777777" w:rsidR="003D7242" w:rsidRPr="00264D5D" w:rsidRDefault="003D7242" w:rsidP="00144ABC">
            <w:pPr>
              <w:pStyle w:val="GOSTTablenorm"/>
            </w:pPr>
            <w:r w:rsidRPr="00264D5D">
              <w:t>Сумма</w:t>
            </w:r>
          </w:p>
        </w:tc>
        <w:tc>
          <w:tcPr>
            <w:tcW w:w="1703" w:type="dxa"/>
          </w:tcPr>
          <w:p w14:paraId="42565988" w14:textId="77777777" w:rsidR="003D7242" w:rsidRPr="00264D5D" w:rsidRDefault="003D7242" w:rsidP="00144ABC">
            <w:pPr>
              <w:pStyle w:val="GOSTTablenorm"/>
            </w:pPr>
            <w:r w:rsidRPr="00264D5D">
              <w:rPr>
                <w:szCs w:val="22"/>
              </w:rPr>
              <w:t>Sum</w:t>
            </w:r>
          </w:p>
        </w:tc>
        <w:tc>
          <w:tcPr>
            <w:tcW w:w="570" w:type="dxa"/>
          </w:tcPr>
          <w:p w14:paraId="05B58EAD" w14:textId="77777777" w:rsidR="003D7242" w:rsidRPr="00264D5D" w:rsidRDefault="003D7242" w:rsidP="00144ABC">
            <w:pPr>
              <w:pStyle w:val="GOSTTablenorm"/>
              <w:jc w:val="center"/>
              <w:rPr>
                <w:szCs w:val="22"/>
              </w:rPr>
            </w:pPr>
            <w:r w:rsidRPr="00264D5D">
              <w:rPr>
                <w:szCs w:val="22"/>
              </w:rPr>
              <w:t>П</w:t>
            </w:r>
          </w:p>
        </w:tc>
        <w:tc>
          <w:tcPr>
            <w:tcW w:w="1136" w:type="dxa"/>
          </w:tcPr>
          <w:p w14:paraId="212F3547" w14:textId="77777777" w:rsidR="003D7242" w:rsidRPr="00264D5D" w:rsidRDefault="003D7242" w:rsidP="00144ABC">
            <w:pPr>
              <w:pStyle w:val="GOSTTablenorm"/>
              <w:rPr>
                <w:szCs w:val="22"/>
              </w:rPr>
            </w:pPr>
            <w:r w:rsidRPr="00264D5D">
              <w:rPr>
                <w:szCs w:val="22"/>
                <w:lang w:val="en-US"/>
              </w:rPr>
              <w:t>N(20</w:t>
            </w:r>
            <w:r w:rsidRPr="00264D5D">
              <w:rPr>
                <w:szCs w:val="22"/>
              </w:rPr>
              <w:t>.2</w:t>
            </w:r>
            <w:r w:rsidRPr="00264D5D">
              <w:rPr>
                <w:szCs w:val="22"/>
                <w:lang w:val="en-US"/>
              </w:rPr>
              <w:t>)</w:t>
            </w:r>
          </w:p>
        </w:tc>
        <w:tc>
          <w:tcPr>
            <w:tcW w:w="570" w:type="dxa"/>
          </w:tcPr>
          <w:p w14:paraId="2B1BA1A3" w14:textId="77777777" w:rsidR="003D7242" w:rsidRPr="00264D5D" w:rsidRDefault="003D7242" w:rsidP="00144ABC">
            <w:pPr>
              <w:pStyle w:val="GOSTTablenorm"/>
              <w:jc w:val="center"/>
              <w:rPr>
                <w:szCs w:val="22"/>
              </w:rPr>
            </w:pPr>
            <w:r w:rsidRPr="00264D5D">
              <w:rPr>
                <w:szCs w:val="22"/>
              </w:rPr>
              <w:t>О</w:t>
            </w:r>
          </w:p>
        </w:tc>
        <w:tc>
          <w:tcPr>
            <w:tcW w:w="3968" w:type="dxa"/>
          </w:tcPr>
          <w:p w14:paraId="5E14B092" w14:textId="77777777" w:rsidR="003D7242" w:rsidRPr="00264D5D" w:rsidRDefault="003D7242" w:rsidP="00144ABC">
            <w:pPr>
              <w:pStyle w:val="GOSTTablenorm"/>
            </w:pPr>
            <w:r w:rsidRPr="00264D5D">
              <w:t>Указывается сумма документа, на основании которого зачислены денежные средства</w:t>
            </w:r>
          </w:p>
        </w:tc>
      </w:tr>
      <w:tr w:rsidR="003D7242" w:rsidRPr="00264D5D" w14:paraId="0ACF1DCD" w14:textId="77777777" w:rsidTr="00B72814">
        <w:tc>
          <w:tcPr>
            <w:tcW w:w="1707" w:type="dxa"/>
          </w:tcPr>
          <w:p w14:paraId="15CF464C" w14:textId="77777777" w:rsidR="003D7242" w:rsidRPr="00264D5D" w:rsidRDefault="003D7242" w:rsidP="00144ABC">
            <w:pPr>
              <w:pStyle w:val="GOSTTablenorm"/>
              <w:rPr>
                <w:szCs w:val="22"/>
              </w:rPr>
            </w:pPr>
            <w:r w:rsidRPr="00264D5D">
              <w:t>КБК (уточненный)</w:t>
            </w:r>
          </w:p>
        </w:tc>
        <w:tc>
          <w:tcPr>
            <w:tcW w:w="1703" w:type="dxa"/>
          </w:tcPr>
          <w:p w14:paraId="4BC88B27" w14:textId="77777777" w:rsidR="003D7242" w:rsidRPr="00264D5D" w:rsidRDefault="003D7242" w:rsidP="00144ABC">
            <w:pPr>
              <w:pStyle w:val="GOSTTablenorm"/>
              <w:rPr>
                <w:szCs w:val="22"/>
              </w:rPr>
            </w:pPr>
            <w:r w:rsidRPr="00264D5D">
              <w:rPr>
                <w:szCs w:val="22"/>
              </w:rPr>
              <w:t>KBK_In</w:t>
            </w:r>
          </w:p>
        </w:tc>
        <w:tc>
          <w:tcPr>
            <w:tcW w:w="570" w:type="dxa"/>
          </w:tcPr>
          <w:p w14:paraId="678F4430" w14:textId="77777777" w:rsidR="003D7242" w:rsidRPr="00264D5D" w:rsidRDefault="003D7242" w:rsidP="00144ABC">
            <w:pPr>
              <w:pStyle w:val="GOSTTablenorm"/>
              <w:jc w:val="center"/>
              <w:rPr>
                <w:szCs w:val="22"/>
              </w:rPr>
            </w:pPr>
            <w:r w:rsidRPr="00264D5D">
              <w:rPr>
                <w:szCs w:val="22"/>
              </w:rPr>
              <w:t>П</w:t>
            </w:r>
          </w:p>
        </w:tc>
        <w:tc>
          <w:tcPr>
            <w:tcW w:w="1136" w:type="dxa"/>
          </w:tcPr>
          <w:p w14:paraId="7E37CA4A" w14:textId="77777777" w:rsidR="003D7242" w:rsidRPr="00264D5D" w:rsidRDefault="003D7242" w:rsidP="00144ABC">
            <w:pPr>
              <w:pStyle w:val="GOSTTablenorm"/>
              <w:rPr>
                <w:szCs w:val="22"/>
              </w:rPr>
            </w:pPr>
            <w:r w:rsidRPr="00264D5D">
              <w:rPr>
                <w:szCs w:val="22"/>
              </w:rPr>
              <w:t>Т(20)</w:t>
            </w:r>
          </w:p>
        </w:tc>
        <w:tc>
          <w:tcPr>
            <w:tcW w:w="570" w:type="dxa"/>
          </w:tcPr>
          <w:p w14:paraId="3D586574" w14:textId="77777777" w:rsidR="003D7242" w:rsidRPr="00264D5D" w:rsidRDefault="003D7242" w:rsidP="00144ABC">
            <w:pPr>
              <w:pStyle w:val="GOSTTablenorm"/>
              <w:jc w:val="center"/>
              <w:rPr>
                <w:szCs w:val="22"/>
              </w:rPr>
            </w:pPr>
            <w:r w:rsidRPr="00264D5D">
              <w:rPr>
                <w:szCs w:val="22"/>
              </w:rPr>
              <w:t>О</w:t>
            </w:r>
          </w:p>
        </w:tc>
        <w:tc>
          <w:tcPr>
            <w:tcW w:w="3968" w:type="dxa"/>
          </w:tcPr>
          <w:p w14:paraId="0338F4A0" w14:textId="77777777" w:rsidR="005B3CD2" w:rsidRPr="00264D5D" w:rsidRDefault="003D7242" w:rsidP="00144ABC">
            <w:pPr>
              <w:pStyle w:val="GOSTTablenorm"/>
            </w:pPr>
            <w:r w:rsidRPr="00264D5D">
              <w:t xml:space="preserve">Указывается код бюджетной классификации в соответствии с действующими Указаниями по БК. </w:t>
            </w:r>
          </w:p>
          <w:p w14:paraId="3B0D5DAA" w14:textId="77777777" w:rsidR="003D7242" w:rsidRPr="00264D5D" w:rsidRDefault="003D7242" w:rsidP="00144ABC">
            <w:pPr>
              <w:pStyle w:val="GOSTTablenorm"/>
            </w:pPr>
            <w:r w:rsidRPr="00264D5D">
              <w:t>Если КБК относится к не администрируемому налоговыми органами виду дохода, указывается КБК «Невыясненные поступления, зачисляемые в федеральный бюджет»</w:t>
            </w:r>
          </w:p>
        </w:tc>
      </w:tr>
      <w:tr w:rsidR="003D7242" w:rsidRPr="00264D5D" w14:paraId="426A4B59" w14:textId="77777777" w:rsidTr="00B72814">
        <w:tc>
          <w:tcPr>
            <w:tcW w:w="1707" w:type="dxa"/>
          </w:tcPr>
          <w:p w14:paraId="46B70030" w14:textId="77777777" w:rsidR="003D7242" w:rsidRPr="00264D5D" w:rsidRDefault="003D7242" w:rsidP="00144ABC">
            <w:pPr>
              <w:pStyle w:val="GOSTTablenorm"/>
            </w:pPr>
            <w:r w:rsidRPr="00264D5D">
              <w:rPr>
                <w:szCs w:val="22"/>
              </w:rPr>
              <w:t xml:space="preserve">ОКТМО </w:t>
            </w:r>
            <w:r w:rsidRPr="00264D5D">
              <w:lastRenderedPageBreak/>
              <w:t>(уточненное)</w:t>
            </w:r>
          </w:p>
        </w:tc>
        <w:tc>
          <w:tcPr>
            <w:tcW w:w="1703" w:type="dxa"/>
          </w:tcPr>
          <w:p w14:paraId="758F0C8C" w14:textId="77777777" w:rsidR="003D7242" w:rsidRPr="00264D5D" w:rsidRDefault="003D7242" w:rsidP="00144ABC">
            <w:pPr>
              <w:pStyle w:val="GOSTTablenorm"/>
              <w:rPr>
                <w:szCs w:val="22"/>
              </w:rPr>
            </w:pPr>
            <w:r w:rsidRPr="00264D5D">
              <w:rPr>
                <w:szCs w:val="22"/>
              </w:rPr>
              <w:lastRenderedPageBreak/>
              <w:t>OKTMO_In</w:t>
            </w:r>
          </w:p>
        </w:tc>
        <w:tc>
          <w:tcPr>
            <w:tcW w:w="570" w:type="dxa"/>
          </w:tcPr>
          <w:p w14:paraId="0BE15245" w14:textId="77777777" w:rsidR="003D7242" w:rsidRPr="00264D5D" w:rsidRDefault="003D7242" w:rsidP="00144ABC">
            <w:pPr>
              <w:pStyle w:val="GOSTTablenorm"/>
              <w:jc w:val="center"/>
              <w:rPr>
                <w:szCs w:val="22"/>
              </w:rPr>
            </w:pPr>
            <w:r w:rsidRPr="00264D5D">
              <w:rPr>
                <w:szCs w:val="22"/>
              </w:rPr>
              <w:t>П</w:t>
            </w:r>
          </w:p>
        </w:tc>
        <w:tc>
          <w:tcPr>
            <w:tcW w:w="1136" w:type="dxa"/>
          </w:tcPr>
          <w:p w14:paraId="5E1DDAD6" w14:textId="77777777" w:rsidR="003D7242" w:rsidRPr="00264D5D" w:rsidRDefault="003D7242" w:rsidP="00144ABC">
            <w:pPr>
              <w:pStyle w:val="GOSTTablenorm"/>
              <w:rPr>
                <w:szCs w:val="22"/>
              </w:rPr>
            </w:pPr>
            <w:r w:rsidRPr="00264D5D">
              <w:rPr>
                <w:szCs w:val="22"/>
                <w:lang w:val="en-US"/>
              </w:rPr>
              <w:t>T</w:t>
            </w:r>
            <w:r w:rsidRPr="00264D5D">
              <w:rPr>
                <w:szCs w:val="22"/>
              </w:rPr>
              <w:t>(8)</w:t>
            </w:r>
          </w:p>
        </w:tc>
        <w:tc>
          <w:tcPr>
            <w:tcW w:w="570" w:type="dxa"/>
          </w:tcPr>
          <w:p w14:paraId="3A611F4E" w14:textId="77777777" w:rsidR="003D7242" w:rsidRPr="00264D5D" w:rsidRDefault="003D7242" w:rsidP="00144ABC">
            <w:pPr>
              <w:pStyle w:val="GOSTTablenorm"/>
              <w:jc w:val="center"/>
              <w:rPr>
                <w:szCs w:val="22"/>
              </w:rPr>
            </w:pPr>
            <w:r w:rsidRPr="00264D5D">
              <w:rPr>
                <w:szCs w:val="22"/>
              </w:rPr>
              <w:t>О</w:t>
            </w:r>
          </w:p>
        </w:tc>
        <w:tc>
          <w:tcPr>
            <w:tcW w:w="3968" w:type="dxa"/>
          </w:tcPr>
          <w:p w14:paraId="3AFACBD4" w14:textId="77777777" w:rsidR="003D7242" w:rsidRPr="00264D5D" w:rsidRDefault="003D7242" w:rsidP="00144ABC">
            <w:pPr>
              <w:pStyle w:val="GOSTTablenorm"/>
            </w:pPr>
            <w:r w:rsidRPr="00264D5D">
              <w:t>Указывается код по ОКТМО</w:t>
            </w:r>
          </w:p>
        </w:tc>
      </w:tr>
      <w:tr w:rsidR="003D7242" w:rsidRPr="00264D5D" w14:paraId="288A8B5B" w14:textId="77777777" w:rsidTr="00B72814">
        <w:tc>
          <w:tcPr>
            <w:tcW w:w="1707" w:type="dxa"/>
          </w:tcPr>
          <w:p w14:paraId="02D96C2E" w14:textId="77777777" w:rsidR="003D7242" w:rsidRPr="00264D5D" w:rsidRDefault="003D7242" w:rsidP="00144ABC">
            <w:pPr>
              <w:pStyle w:val="GOSTTablenorm"/>
            </w:pPr>
            <w:r w:rsidRPr="00264D5D">
              <w:lastRenderedPageBreak/>
              <w:t>Сумма (уточненная)</w:t>
            </w:r>
          </w:p>
        </w:tc>
        <w:tc>
          <w:tcPr>
            <w:tcW w:w="1703" w:type="dxa"/>
          </w:tcPr>
          <w:p w14:paraId="6A17C1D4" w14:textId="77777777" w:rsidR="003D7242" w:rsidRPr="00264D5D" w:rsidRDefault="003D7242" w:rsidP="00144ABC">
            <w:pPr>
              <w:pStyle w:val="GOSTTablenorm"/>
              <w:rPr>
                <w:szCs w:val="22"/>
              </w:rPr>
            </w:pPr>
            <w:r w:rsidRPr="00264D5D">
              <w:rPr>
                <w:szCs w:val="22"/>
              </w:rPr>
              <w:t>Sum_In</w:t>
            </w:r>
          </w:p>
        </w:tc>
        <w:tc>
          <w:tcPr>
            <w:tcW w:w="570" w:type="dxa"/>
          </w:tcPr>
          <w:p w14:paraId="2C73C6CC" w14:textId="77777777" w:rsidR="003D7242" w:rsidRPr="00264D5D" w:rsidRDefault="003D7242" w:rsidP="00144ABC">
            <w:pPr>
              <w:pStyle w:val="GOSTTablenorm"/>
              <w:jc w:val="center"/>
              <w:rPr>
                <w:szCs w:val="22"/>
              </w:rPr>
            </w:pPr>
            <w:r w:rsidRPr="00264D5D">
              <w:rPr>
                <w:szCs w:val="22"/>
              </w:rPr>
              <w:t>П</w:t>
            </w:r>
          </w:p>
        </w:tc>
        <w:tc>
          <w:tcPr>
            <w:tcW w:w="1136" w:type="dxa"/>
          </w:tcPr>
          <w:p w14:paraId="709E5659" w14:textId="77777777" w:rsidR="003D7242" w:rsidRPr="00264D5D" w:rsidRDefault="003D7242" w:rsidP="00144ABC">
            <w:pPr>
              <w:pStyle w:val="GOSTTablenorm"/>
              <w:rPr>
                <w:szCs w:val="22"/>
                <w:lang w:val="en-US"/>
              </w:rPr>
            </w:pPr>
            <w:r w:rsidRPr="00264D5D">
              <w:rPr>
                <w:szCs w:val="22"/>
                <w:lang w:val="en-US"/>
              </w:rPr>
              <w:t>N(20</w:t>
            </w:r>
            <w:r w:rsidRPr="00264D5D">
              <w:rPr>
                <w:szCs w:val="22"/>
              </w:rPr>
              <w:t>.2</w:t>
            </w:r>
            <w:r w:rsidRPr="00264D5D">
              <w:rPr>
                <w:szCs w:val="22"/>
                <w:lang w:val="en-US"/>
              </w:rPr>
              <w:t>)</w:t>
            </w:r>
          </w:p>
        </w:tc>
        <w:tc>
          <w:tcPr>
            <w:tcW w:w="570" w:type="dxa"/>
          </w:tcPr>
          <w:p w14:paraId="05639729" w14:textId="77777777" w:rsidR="003D7242" w:rsidRPr="00264D5D" w:rsidRDefault="003D7242" w:rsidP="00144ABC">
            <w:pPr>
              <w:pStyle w:val="GOSTTablenorm"/>
              <w:jc w:val="center"/>
              <w:rPr>
                <w:szCs w:val="22"/>
              </w:rPr>
            </w:pPr>
            <w:r w:rsidRPr="00264D5D">
              <w:rPr>
                <w:szCs w:val="22"/>
              </w:rPr>
              <w:t>О</w:t>
            </w:r>
          </w:p>
        </w:tc>
        <w:tc>
          <w:tcPr>
            <w:tcW w:w="3968" w:type="dxa"/>
          </w:tcPr>
          <w:p w14:paraId="58AAB910" w14:textId="77777777" w:rsidR="003D7242" w:rsidRPr="00264D5D" w:rsidRDefault="003D7242" w:rsidP="00144ABC">
            <w:pPr>
              <w:pStyle w:val="GOSTTablenorm"/>
              <w:rPr>
                <w:szCs w:val="22"/>
              </w:rPr>
            </w:pPr>
            <w:r w:rsidRPr="00264D5D">
              <w:t>Указывается сумма уточнения платежа</w:t>
            </w:r>
          </w:p>
        </w:tc>
      </w:tr>
    </w:tbl>
    <w:p w14:paraId="6610F527" w14:textId="77777777" w:rsidR="003D7242" w:rsidRPr="00264D5D" w:rsidRDefault="003D7242" w:rsidP="003D7242">
      <w:pPr>
        <w:pStyle w:val="31"/>
        <w:tabs>
          <w:tab w:val="num" w:pos="284"/>
        </w:tabs>
        <w:suppressAutoHyphens/>
        <w:ind w:left="1418" w:hanging="738"/>
      </w:pPr>
      <w:bookmarkStart w:id="4748" w:name="_Toc167898753"/>
      <w:bookmarkStart w:id="4749" w:name="_Toc219309886"/>
      <w:r w:rsidRPr="00264D5D">
        <w:t>Описание комплексного типа «tSGNNmDt</w:t>
      </w:r>
      <w:r w:rsidR="00216C30" w:rsidRPr="00264D5D">
        <w:t>1</w:t>
      </w:r>
      <w:r w:rsidRPr="00264D5D">
        <w:t>»</w:t>
      </w:r>
      <w:bookmarkEnd w:id="4748"/>
      <w:bookmarkEnd w:id="4749"/>
    </w:p>
    <w:p w14:paraId="3399C3DE" w14:textId="77777777" w:rsidR="003D7242" w:rsidRPr="00264D5D" w:rsidRDefault="003D7242" w:rsidP="003D7242">
      <w:pPr>
        <w:pStyle w:val="GOSTNormal"/>
      </w:pPr>
      <w:r w:rsidRPr="00264D5D">
        <w:t>Описание комплексного типа «tSGNNmDt</w:t>
      </w:r>
      <w:r w:rsidR="00216C30" w:rsidRPr="00264D5D">
        <w:t>1</w:t>
      </w:r>
      <w:r w:rsidRPr="00264D5D">
        <w:t>» блока «Подписи».</w:t>
      </w:r>
    </w:p>
    <w:p w14:paraId="2CFBE84D" w14:textId="7366831A" w:rsidR="003D7242" w:rsidRPr="00264D5D" w:rsidRDefault="003D7242" w:rsidP="00101F62">
      <w:pPr>
        <w:pStyle w:val="GOSTNameTable"/>
        <w:numPr>
          <w:ilvl w:val="0"/>
          <w:numId w:val="151"/>
        </w:numPr>
        <w:suppressAutoHyphens/>
        <w:spacing w:before="240" w:after="120"/>
      </w:pPr>
      <w:r w:rsidRPr="00264D5D">
        <w:fldChar w:fldCharType="begin"/>
      </w:r>
      <w:r w:rsidRPr="00264D5D">
        <w:instrText>SEQ Таблица \* ARABIC</w:instrText>
      </w:r>
      <w:r w:rsidRPr="00264D5D">
        <w:fldChar w:fldCharType="separate"/>
      </w:r>
      <w:bookmarkStart w:id="4750" w:name="_Ref163559697"/>
      <w:bookmarkStart w:id="4751" w:name="_Toc219309414"/>
      <w:r w:rsidR="008D797C">
        <w:rPr>
          <w:noProof/>
        </w:rPr>
        <w:t>384</w:t>
      </w:r>
      <w:bookmarkEnd w:id="4750"/>
      <w:r w:rsidRPr="00264D5D">
        <w:fldChar w:fldCharType="end"/>
      </w:r>
      <w:r w:rsidRPr="00264D5D">
        <w:rPr>
          <w:rFonts w:eastAsia="Calibri"/>
          <w:szCs w:val="24"/>
        </w:rPr>
        <w:t xml:space="preserve"> –</w:t>
      </w:r>
      <w:r w:rsidRPr="00264D5D">
        <w:t xml:space="preserve"> Описание комплексного типа «tSGNNmDt</w:t>
      </w:r>
      <w:r w:rsidR="00216C30" w:rsidRPr="00264D5D">
        <w:t>1</w:t>
      </w:r>
      <w:r w:rsidRPr="00264D5D">
        <w:t>»</w:t>
      </w:r>
      <w:bookmarkEnd w:id="4751"/>
    </w:p>
    <w:tbl>
      <w:tblPr>
        <w:tblStyle w:val="GOSTTable"/>
        <w:tblW w:w="5000" w:type="pct"/>
        <w:tblLayout w:type="fixed"/>
        <w:tblLook w:val="07E0" w:firstRow="1" w:lastRow="1" w:firstColumn="1" w:lastColumn="1" w:noHBand="1" w:noVBand="1"/>
      </w:tblPr>
      <w:tblGrid>
        <w:gridCol w:w="1706"/>
        <w:gridCol w:w="1703"/>
        <w:gridCol w:w="570"/>
        <w:gridCol w:w="1136"/>
        <w:gridCol w:w="570"/>
        <w:gridCol w:w="3965"/>
      </w:tblGrid>
      <w:tr w:rsidR="003D7242" w:rsidRPr="00264D5D" w14:paraId="625C6B15" w14:textId="77777777" w:rsidTr="00DC17E0">
        <w:trPr>
          <w:cnfStyle w:val="100000000000" w:firstRow="1" w:lastRow="0" w:firstColumn="0" w:lastColumn="0" w:oddVBand="0" w:evenVBand="0" w:oddHBand="0" w:evenHBand="0" w:firstRowFirstColumn="0" w:firstRowLastColumn="0" w:lastRowFirstColumn="0" w:lastRowLastColumn="0"/>
          <w:tblHeader/>
        </w:trPr>
        <w:tc>
          <w:tcPr>
            <w:tcW w:w="1652" w:type="dxa"/>
          </w:tcPr>
          <w:p w14:paraId="570BA4D8" w14:textId="77777777" w:rsidR="003D7242" w:rsidRPr="00264D5D" w:rsidRDefault="003D7242" w:rsidP="00144ABC">
            <w:pPr>
              <w:pStyle w:val="GOSTTableHead"/>
              <w:keepNext w:val="0"/>
              <w:rPr>
                <w:b w:val="0"/>
              </w:rPr>
            </w:pPr>
            <w:r w:rsidRPr="00264D5D">
              <w:t>Наименование элемента</w:t>
            </w:r>
          </w:p>
        </w:tc>
        <w:tc>
          <w:tcPr>
            <w:tcW w:w="1649" w:type="dxa"/>
          </w:tcPr>
          <w:p w14:paraId="74BFC842" w14:textId="77777777" w:rsidR="003D7242" w:rsidRPr="00264D5D" w:rsidRDefault="003D7242" w:rsidP="00144ABC">
            <w:pPr>
              <w:pStyle w:val="GOSTTableHead"/>
              <w:keepNext w:val="0"/>
              <w:rPr>
                <w:b w:val="0"/>
              </w:rPr>
            </w:pPr>
            <w:r w:rsidRPr="00264D5D">
              <w:t>Сокращенное наименование (код) элемента</w:t>
            </w:r>
          </w:p>
        </w:tc>
        <w:tc>
          <w:tcPr>
            <w:tcW w:w="552" w:type="dxa"/>
          </w:tcPr>
          <w:p w14:paraId="7C728B5A" w14:textId="77777777" w:rsidR="003D7242" w:rsidRPr="00264D5D" w:rsidRDefault="003D7242" w:rsidP="00144ABC">
            <w:pPr>
              <w:pStyle w:val="GOSTTableHead"/>
              <w:keepNext w:val="0"/>
              <w:rPr>
                <w:b w:val="0"/>
              </w:rPr>
            </w:pPr>
            <w:r w:rsidRPr="00264D5D">
              <w:t>Тип</w:t>
            </w:r>
          </w:p>
        </w:tc>
        <w:tc>
          <w:tcPr>
            <w:tcW w:w="1100" w:type="dxa"/>
          </w:tcPr>
          <w:p w14:paraId="5158F3CE" w14:textId="77777777" w:rsidR="003D7242" w:rsidRPr="00264D5D" w:rsidRDefault="003D7242" w:rsidP="00144ABC">
            <w:pPr>
              <w:pStyle w:val="GOSTTableHead"/>
              <w:keepNext w:val="0"/>
              <w:rPr>
                <w:b w:val="0"/>
              </w:rPr>
            </w:pPr>
            <w:r w:rsidRPr="00264D5D">
              <w:t>Формат элемента</w:t>
            </w:r>
          </w:p>
        </w:tc>
        <w:tc>
          <w:tcPr>
            <w:tcW w:w="552" w:type="dxa"/>
          </w:tcPr>
          <w:p w14:paraId="5C8E0644" w14:textId="77777777" w:rsidR="003D7242" w:rsidRPr="00264D5D" w:rsidRDefault="003D7242" w:rsidP="00144ABC">
            <w:pPr>
              <w:pStyle w:val="GOSTTableHead"/>
              <w:keepNext w:val="0"/>
              <w:rPr>
                <w:b w:val="0"/>
              </w:rPr>
            </w:pPr>
            <w:r w:rsidRPr="00264D5D">
              <w:t>Обязательность</w:t>
            </w:r>
          </w:p>
        </w:tc>
        <w:tc>
          <w:tcPr>
            <w:tcW w:w="3840" w:type="dxa"/>
          </w:tcPr>
          <w:p w14:paraId="4F935623" w14:textId="77777777" w:rsidR="003D7242" w:rsidRPr="00264D5D" w:rsidRDefault="003D7242" w:rsidP="00144ABC">
            <w:pPr>
              <w:pStyle w:val="GOSTTableHead"/>
              <w:keepNext w:val="0"/>
              <w:rPr>
                <w:b w:val="0"/>
              </w:rPr>
            </w:pPr>
            <w:r w:rsidRPr="00264D5D">
              <w:rPr>
                <w:bCs w:val="0"/>
                <w:szCs w:val="22"/>
              </w:rPr>
              <w:t>Дополнительная информация</w:t>
            </w:r>
          </w:p>
        </w:tc>
      </w:tr>
      <w:tr w:rsidR="003D7242" w:rsidRPr="00264D5D" w14:paraId="344697E0" w14:textId="77777777" w:rsidTr="00144ABC">
        <w:tc>
          <w:tcPr>
            <w:tcW w:w="1652" w:type="dxa"/>
          </w:tcPr>
          <w:p w14:paraId="0E84F3D3" w14:textId="77777777" w:rsidR="003D7242" w:rsidRPr="00264D5D" w:rsidRDefault="003D7242" w:rsidP="00144ABC">
            <w:pPr>
              <w:pStyle w:val="GOSTTablenorm"/>
              <w:rPr>
                <w:b/>
                <w:color w:val="000000"/>
                <w:szCs w:val="22"/>
              </w:rPr>
            </w:pPr>
            <w:r w:rsidRPr="00264D5D">
              <w:rPr>
                <w:color w:val="000000"/>
                <w:szCs w:val="22"/>
              </w:rPr>
              <w:t xml:space="preserve">ФИО </w:t>
            </w:r>
            <w:r w:rsidRPr="00264D5D">
              <w:t>руководителя (заместителя руководителя)</w:t>
            </w:r>
          </w:p>
        </w:tc>
        <w:tc>
          <w:tcPr>
            <w:tcW w:w="1649" w:type="dxa"/>
          </w:tcPr>
          <w:p w14:paraId="1D8AAE69" w14:textId="77777777" w:rsidR="003D7242" w:rsidRPr="00264D5D" w:rsidRDefault="003D7242" w:rsidP="00144ABC">
            <w:pPr>
              <w:pStyle w:val="GOSTTablenorm"/>
              <w:rPr>
                <w:color w:val="000000"/>
                <w:szCs w:val="22"/>
              </w:rPr>
            </w:pPr>
            <w:r w:rsidRPr="00264D5D">
              <w:rPr>
                <w:color w:val="000000"/>
                <w:szCs w:val="22"/>
              </w:rPr>
              <w:t>FIO</w:t>
            </w:r>
          </w:p>
        </w:tc>
        <w:tc>
          <w:tcPr>
            <w:tcW w:w="552" w:type="dxa"/>
          </w:tcPr>
          <w:p w14:paraId="6C51B3EE" w14:textId="77777777" w:rsidR="003D7242" w:rsidRPr="00264D5D" w:rsidRDefault="003D7242" w:rsidP="00144ABC">
            <w:pPr>
              <w:pStyle w:val="GOSTTablenorm"/>
              <w:jc w:val="center"/>
              <w:rPr>
                <w:szCs w:val="22"/>
              </w:rPr>
            </w:pPr>
            <w:r w:rsidRPr="00264D5D">
              <w:rPr>
                <w:szCs w:val="22"/>
              </w:rPr>
              <w:t>П</w:t>
            </w:r>
          </w:p>
        </w:tc>
        <w:tc>
          <w:tcPr>
            <w:tcW w:w="1100" w:type="dxa"/>
          </w:tcPr>
          <w:p w14:paraId="15709DBC" w14:textId="77777777" w:rsidR="003D7242" w:rsidRPr="00264D5D" w:rsidRDefault="003D7242" w:rsidP="00144ABC">
            <w:pPr>
              <w:pStyle w:val="GOSTTablenorm"/>
              <w:rPr>
                <w:color w:val="000000"/>
                <w:szCs w:val="22"/>
                <w:lang w:val="en-US"/>
              </w:rPr>
            </w:pPr>
            <w:r w:rsidRPr="00264D5D">
              <w:rPr>
                <w:color w:val="000000"/>
                <w:szCs w:val="22"/>
                <w:lang w:val="en-US"/>
              </w:rPr>
              <w:t>Т(1-</w:t>
            </w:r>
            <w:r w:rsidRPr="00264D5D">
              <w:rPr>
                <w:color w:val="000000"/>
                <w:szCs w:val="22"/>
              </w:rPr>
              <w:t>50</w:t>
            </w:r>
            <w:r w:rsidRPr="00264D5D">
              <w:rPr>
                <w:color w:val="000000"/>
                <w:szCs w:val="22"/>
                <w:lang w:val="en-US"/>
              </w:rPr>
              <w:t>)</w:t>
            </w:r>
          </w:p>
        </w:tc>
        <w:tc>
          <w:tcPr>
            <w:tcW w:w="552" w:type="dxa"/>
          </w:tcPr>
          <w:p w14:paraId="1C5FFAE8" w14:textId="77777777" w:rsidR="003D7242" w:rsidRPr="00264D5D" w:rsidRDefault="003D7242" w:rsidP="00144ABC">
            <w:pPr>
              <w:pStyle w:val="GOSTTablenorm"/>
              <w:jc w:val="center"/>
              <w:rPr>
                <w:szCs w:val="22"/>
              </w:rPr>
            </w:pPr>
            <w:r w:rsidRPr="00264D5D">
              <w:rPr>
                <w:szCs w:val="22"/>
              </w:rPr>
              <w:t>Н</w:t>
            </w:r>
          </w:p>
        </w:tc>
        <w:tc>
          <w:tcPr>
            <w:tcW w:w="3840" w:type="dxa"/>
          </w:tcPr>
          <w:p w14:paraId="2929664E" w14:textId="77777777" w:rsidR="003D7242" w:rsidRPr="00264D5D" w:rsidRDefault="003D7242" w:rsidP="00144ABC">
            <w:pPr>
              <w:pStyle w:val="GOSTTablenorm"/>
              <w:rPr>
                <w:szCs w:val="22"/>
              </w:rPr>
            </w:pPr>
            <w:r w:rsidRPr="00264D5D">
              <w:rPr>
                <w:szCs w:val="22"/>
              </w:rPr>
              <w:t xml:space="preserve">Указывается </w:t>
            </w:r>
            <w:r w:rsidRPr="00264D5D">
              <w:t>расшифровка подписи руководителя (заместителя руководителя)</w:t>
            </w:r>
          </w:p>
        </w:tc>
      </w:tr>
      <w:tr w:rsidR="003D7242" w:rsidRPr="00264D5D" w14:paraId="7A3B222A" w14:textId="77777777" w:rsidTr="00144ABC">
        <w:tc>
          <w:tcPr>
            <w:tcW w:w="1652" w:type="dxa"/>
          </w:tcPr>
          <w:p w14:paraId="133D488A" w14:textId="77777777" w:rsidR="003D7242" w:rsidRPr="00264D5D" w:rsidRDefault="003D7242" w:rsidP="00144ABC">
            <w:pPr>
              <w:pStyle w:val="GOSTTablenorm"/>
              <w:rPr>
                <w:color w:val="000000"/>
                <w:szCs w:val="22"/>
              </w:rPr>
            </w:pPr>
            <w:r w:rsidRPr="00264D5D">
              <w:t>Дата подписи руководителя (заместителя руководителя)</w:t>
            </w:r>
          </w:p>
        </w:tc>
        <w:tc>
          <w:tcPr>
            <w:tcW w:w="1649" w:type="dxa"/>
          </w:tcPr>
          <w:p w14:paraId="311499A5" w14:textId="77777777" w:rsidR="003D7242" w:rsidRPr="00264D5D" w:rsidRDefault="003D7242" w:rsidP="00144ABC">
            <w:pPr>
              <w:pStyle w:val="GOSTTablenorm"/>
              <w:rPr>
                <w:color w:val="000000"/>
                <w:szCs w:val="22"/>
              </w:rPr>
            </w:pPr>
            <w:r w:rsidRPr="00264D5D">
              <w:rPr>
                <w:color w:val="000000"/>
                <w:szCs w:val="22"/>
              </w:rPr>
              <w:t>DtSgn</w:t>
            </w:r>
          </w:p>
        </w:tc>
        <w:tc>
          <w:tcPr>
            <w:tcW w:w="552" w:type="dxa"/>
          </w:tcPr>
          <w:p w14:paraId="7E571BAA" w14:textId="77777777" w:rsidR="003D7242" w:rsidRPr="00264D5D" w:rsidRDefault="003D7242" w:rsidP="00144ABC">
            <w:pPr>
              <w:pStyle w:val="GOSTTablenorm"/>
              <w:jc w:val="center"/>
              <w:rPr>
                <w:szCs w:val="22"/>
              </w:rPr>
            </w:pPr>
            <w:r w:rsidRPr="00264D5D">
              <w:rPr>
                <w:szCs w:val="22"/>
              </w:rPr>
              <w:t>П</w:t>
            </w:r>
          </w:p>
        </w:tc>
        <w:tc>
          <w:tcPr>
            <w:tcW w:w="1100" w:type="dxa"/>
          </w:tcPr>
          <w:p w14:paraId="6ECD48F5" w14:textId="77777777" w:rsidR="003D7242" w:rsidRPr="00264D5D" w:rsidRDefault="003D7242" w:rsidP="00144ABC">
            <w:pPr>
              <w:pStyle w:val="GOSTTablenorm"/>
              <w:rPr>
                <w:color w:val="000000"/>
                <w:szCs w:val="22"/>
                <w:lang w:val="en-US"/>
              </w:rPr>
            </w:pPr>
            <w:r w:rsidRPr="00264D5D">
              <w:rPr>
                <w:color w:val="000000"/>
                <w:szCs w:val="22"/>
                <w:lang w:val="en-US"/>
              </w:rPr>
              <w:t>Date</w:t>
            </w:r>
          </w:p>
        </w:tc>
        <w:tc>
          <w:tcPr>
            <w:tcW w:w="552" w:type="dxa"/>
          </w:tcPr>
          <w:p w14:paraId="5474D71D" w14:textId="77777777" w:rsidR="003D7242" w:rsidRPr="00264D5D" w:rsidRDefault="003D7242" w:rsidP="00144ABC">
            <w:pPr>
              <w:pStyle w:val="GOSTTablenorm"/>
              <w:jc w:val="center"/>
              <w:rPr>
                <w:szCs w:val="22"/>
              </w:rPr>
            </w:pPr>
            <w:r w:rsidRPr="00264D5D">
              <w:rPr>
                <w:szCs w:val="22"/>
              </w:rPr>
              <w:t>Н</w:t>
            </w:r>
          </w:p>
        </w:tc>
        <w:tc>
          <w:tcPr>
            <w:tcW w:w="3840" w:type="dxa"/>
          </w:tcPr>
          <w:p w14:paraId="216D53F8" w14:textId="77777777" w:rsidR="003D7242" w:rsidRPr="00264D5D" w:rsidRDefault="003D7242" w:rsidP="00144ABC">
            <w:pPr>
              <w:pStyle w:val="GOSTTablenorm"/>
              <w:rPr>
                <w:szCs w:val="22"/>
              </w:rPr>
            </w:pPr>
            <w:r w:rsidRPr="00264D5D">
              <w:rPr>
                <w:szCs w:val="22"/>
              </w:rPr>
              <w:t>Указывается</w:t>
            </w:r>
            <w:r w:rsidRPr="00264D5D">
              <w:rPr>
                <w:color w:val="000000"/>
                <w:szCs w:val="22"/>
              </w:rPr>
              <w:t xml:space="preserve"> </w:t>
            </w:r>
            <w:r w:rsidRPr="00264D5D">
              <w:t>дата подписи руководителя (заместителя руководителя)</w:t>
            </w:r>
          </w:p>
        </w:tc>
      </w:tr>
    </w:tbl>
    <w:p w14:paraId="499A93A0" w14:textId="77777777" w:rsidR="003D7242" w:rsidRPr="00264D5D" w:rsidRDefault="003D7242" w:rsidP="003D7242">
      <w:pPr>
        <w:pStyle w:val="31"/>
        <w:tabs>
          <w:tab w:val="num" w:pos="284"/>
        </w:tabs>
        <w:suppressAutoHyphens/>
        <w:ind w:left="1418" w:hanging="738"/>
      </w:pPr>
      <w:bookmarkStart w:id="4752" w:name="_Toc167898754"/>
      <w:bookmarkStart w:id="4753" w:name="_Toc219309887"/>
      <w:r w:rsidRPr="00264D5D">
        <w:t xml:space="preserve">Пример </w:t>
      </w:r>
      <w:r w:rsidRPr="00264D5D">
        <w:rPr>
          <w:lang w:val="en-US"/>
        </w:rPr>
        <w:t>XML</w:t>
      </w:r>
      <w:bookmarkEnd w:id="4752"/>
      <w:bookmarkEnd w:id="4753"/>
    </w:p>
    <w:p w14:paraId="4A1E5065"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&lt;?xml version="1.0" encoding="UTF-8"?&gt;</w:t>
      </w:r>
    </w:p>
    <w:p w14:paraId="07FF026B"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&lt;soapenv:Envelope xmlns:soapenv="http://schemas.xmlsoap.org/soap/envelope/" xmlns:wsu="http://docs.oasis-open.org/wss/2004/01/oasis-200401-wss-wssecurity-utility-1.0.xsd" xmlns:wsse="http://docs.oasis-open.org/wss/2004/01/oasis-200401-wss-wssecurity-secext-1.0.xsd"&gt;</w:t>
      </w:r>
    </w:p>
    <w:p w14:paraId="5D0C8089"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&lt;soapenv:Header xmlns:env="http://schemas.xmlsoap.org/soap/envelope/"&gt;&lt;wsse:Security wsu:Id="Id-sec-f9cb3040b7ca31cd7876d625c632e1aed304"&gt;</w:t>
      </w:r>
    </w:p>
    <w:p w14:paraId="43ABF46A"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 xmlns="http://www.w3.org/2000/09/xmldsig#" Id="Id-sig-b9199ca934cfa91bcff69e807d7b0dbd26f6"&gt;</w:t>
      </w:r>
    </w:p>
    <w:p w14:paraId="36CC6EE2"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5BC6AEEA"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&lt;CanonicalizationMethod Algorithm="http://www.w3.org/2001/10/xml-exc-c14n#"/&gt;</w:t>
      </w:r>
    </w:p>
    <w:p w14:paraId="7031268A"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&lt;SignatureMethod Algorithm="http://www.w3.org/2001/04/xmldsig-more#gostr34102001-gostr3411"/&gt;</w:t>
      </w:r>
    </w:p>
    <w:p w14:paraId="28A06CAD"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URI="#Id-wssecdata-29cef34e3106063e64fead91c94aeda97ff4" Id="Id-dataref-ea575c0bb2c994b98298d2c77dcd5a7dbaa1"&gt;</w:t>
      </w:r>
    </w:p>
    <w:p w14:paraId="2D75FC18"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2254F6FE"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309432AF"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40693732"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1F7747EA"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&lt;DigestValue&gt;4bqC9/3OSJqEHDz00XLzUf29YFcetigx2jr08qUp7fQ=&lt;/DigestValue&gt;</w:t>
      </w:r>
    </w:p>
    <w:p w14:paraId="3E0EB22D"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54D63DD7"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Type="http://www.w3.org/TR/2002/REC-xmldsig-core-20020212/xmldsig-core-schema.xsd#X509Data" URI="#Id-keyinfo-11712390bc17243d110193ac033f54873ad8" Id="Id-keyinforef-ac3c6eb29c9af1964819db52ec661b26c339"&gt;</w:t>
      </w:r>
    </w:p>
    <w:p w14:paraId="3A0F449C"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&lt;Transforms&gt;</w:t>
      </w:r>
    </w:p>
    <w:p w14:paraId="76C7F6E6"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7057DAC6"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7570DCA1"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05CD12B0"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&lt;DigestValue&gt;+0q515JTexjW0go5SdPl7+ydqXUKST91N44lIbXt8Yo=&lt;/DigestValue&gt;</w:t>
      </w:r>
    </w:p>
    <w:p w14:paraId="2752A9B4"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294527F9"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URI="#Id-sp-4179cfd1e4ba9c0aaed70450fc3c741c9c08" Id="Id-ref-cb8cc265f168034494eca1c25ec74bf9433c"&gt;</w:t>
      </w:r>
    </w:p>
    <w:p w14:paraId="5D1B3D2B"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79067FEC"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096670C1"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3A0064DF"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3C2A80CD"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&lt;DigestValue&gt;f10/P/MZ5W1AwvdMPGkqpWfYGkK10xUw6SycuQIgFIc=&lt;/DigestValue&gt;</w:t>
      </w:r>
    </w:p>
    <w:p w14:paraId="459BFE61"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0C7ABB23"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5B69F6C5"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&lt;SignatureValue&gt;Xg8mlCU46QdjuUgHR/GFI13DKE7tfRDOphsVyNpFnxC/Sa2XnEuGBKeW7azroY19</w:t>
      </w:r>
    </w:p>
    <w:p w14:paraId="0B2CC13B"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3u7EHXe4dKfnrJ7k7Eq5+A==&lt;/SignatureValue&gt;</w:t>
      </w:r>
    </w:p>
    <w:p w14:paraId="4EFDA9DB"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746A23F3"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26F228F9"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 xmlns="http://uri.etsi.org/01903/v1.4.1#" Target="Id-sig-b9199ca934cfa91bcff69e807d7b0dbd26f6"&gt;</w:t>
      </w:r>
    </w:p>
    <w:p w14:paraId="331AB080"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 Id="Id-sp-4179cfd1e4ba9c0aaed70450fc3c741c9c08"&gt;</w:t>
      </w:r>
    </w:p>
    <w:p w14:paraId="21F1E263"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&lt;SignedSignatureProperties Id="Id-ssp-408cecc6a155b8a0f2850e81d5f57496bb2b"/&gt;</w:t>
      </w:r>
    </w:p>
    <w:p w14:paraId="5786B92B"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&lt;/SignedProperties&gt;</w:t>
      </w:r>
    </w:p>
    <w:p w14:paraId="667A9237"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&lt;/QualifyingProperties&gt;</w:t>
      </w:r>
    </w:p>
    <w:p w14:paraId="074841E5"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7A148F9B"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01D62DF7"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CVNlcnZlciBDQTEgMB4GCSqGSIb3DQEJARYRdWNfZmtAcm9za2F6bmEucnUxHDAa</w:t>
      </w:r>
    </w:p>
    <w:p w14:paraId="10AE0B90"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BgNVBAgMEzc3INCzLiDQnNC+0YHQutCy0LAxGjAYBggqhQMDgQMBARIMMDA3NzEw</w:t>
      </w:r>
    </w:p>
    <w:p w14:paraId="7FFE5AF1"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NTY4NzYwMRgwFgYFKoUDZAESDTEwNDc3OTcwMTk4MzAxLDAqBgNVBAkMI9GD0LvQ</w:t>
      </w:r>
    </w:p>
    <w:p w14:paraId="5BF3D945"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uNGG0LAg0JjQu9GM0LjQvdC60LAsINC00L7QvCA3MRUwEwYDVQQHDAzQnNC+0YHQ</w:t>
      </w:r>
    </w:p>
    <w:p w14:paraId="34E30083"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utCy0LAxCzAJBgNVBAYTAlJVMTgwNgYDVQQKDC/QpNC10LTQtdGA0LDQu9GM0L3Q</w:t>
      </w:r>
    </w:p>
    <w:p w14:paraId="03977045"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vtC1INC60LDQt9C90LDRh9C10LnRgdGC0LLQvjE/MD0GA1UEAww20KPQpiDQpNC1</w:t>
      </w:r>
    </w:p>
    <w:p w14:paraId="63BAAFE7"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0LTQtdGA0LDQu9GM0L3QvtCz0L4g0LrQsNC30L3QsNGH0LXQudGB0YLQstCwMB4X</w:t>
      </w:r>
    </w:p>
    <w:p w14:paraId="0BFB0A89"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DTE2MDQwNzA4MTExMFoXDTE3MDcwNzA4MTExMFowggITMRYwFAYFKoUDZAMSCzEy</w:t>
      </w:r>
    </w:p>
    <w:p w14:paraId="38CFE68A"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MzQ1Njc4OTAxMRgwFgYFKoUDZAESDTAxMjM0NTY3ODkxMjMxGjAYBggqhQMDgQMB</w:t>
      </w:r>
    </w:p>
    <w:p w14:paraId="1ACBFB86"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ARIMMDAxMjM0NTY3ODkwMSYwJAYJKoZIhvcNAQkBFhduLm5hZ292aXRzeW5AaW5m</w:t>
      </w:r>
    </w:p>
    <w:p w14:paraId="1E7D10C9"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b3NlYy5ydTELMAkGA1UEBhMCUlUxHDAaBgNVBAgMEzc3INCzLiDQnNC+0YHQutCy</w:t>
      </w:r>
    </w:p>
    <w:p w14:paraId="3EF99EF9"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0LAxFTATBgNVBAcMDNCc0L7RgdC60LLQsDE4MDYGA1UECgwv0KTQtdC00LXRgNCw</w:t>
      </w:r>
    </w:p>
    <w:p w14:paraId="095499E4"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0LvRjNC90L7QtSDQutCw0LfQvdCw0YfQtdC50YHRgtCy0L4xNDAyBgNVBAsMK9GC</w:t>
      </w:r>
    </w:p>
    <w:p w14:paraId="0DA074BB"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0LXRgdGC0L7QstC+0LUg0L/QvtC00YDQsNC30LTQtdC70LXQvdC40LUxHDAaBgNV</w:t>
      </w:r>
    </w:p>
    <w:p w14:paraId="5FAAE68D"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BCoME2PQtdGA0YLQuNGE0LjQutCw0YIxGTAXBgNVBAQMENCi0LXRgdGC0L7QstGL</w:t>
      </w:r>
    </w:p>
    <w:p w14:paraId="3A5B870A"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0LkxPTA7BgNVBAwMNNCi0LXRgdGC0L7QstGL0Lkg0YHQtdGA0YLQuNGE0LjQutCw</w:t>
      </w:r>
    </w:p>
    <w:p w14:paraId="64585FF9"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0YIg0L/QvtC00L/QuNGB0LgxQTA/BgkqhkiG9w0BCQIMMklOTlw9MDEyMzQ1Njc4</w:t>
      </w:r>
    </w:p>
    <w:p w14:paraId="2D66CF64"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OS9LUFBcPTEyMzQ1Njc4OS9PR1JOXD0wMTIzNDU2Nzg5MTIzMS4wLAYDVQQDDCXQ</w:t>
      </w:r>
    </w:p>
    <w:p w14:paraId="5C2EF370"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otC10YHRgtC+0LLRi9C5INGB0LXRgNGC0LjRhNC40LrQsNGCMGMwHAYGKoUDAgIT</w:t>
      </w:r>
    </w:p>
    <w:p w14:paraId="103DEDCD"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MBIGByqFAwICJAAGByqFAwICHgEDQwAEQM/mE38gcSmh2U183WL3aPaP3tJu0vTq</w:t>
      </w:r>
    </w:p>
    <w:p w14:paraId="32D88A58"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CndMDcb72IGcv8nO7QkaqnFwXrkt6zScdQlQgUX78ct0+jNJa7ZIdLGjggRJMIIE</w:t>
      </w:r>
    </w:p>
    <w:p w14:paraId="384026A3"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RTAMBgNVHRMBAf8EAjAAMB0GA1UdIAQWMBQwCAYGKoUDZHEBMAgGBiqFA2RxAjBN</w:t>
      </w:r>
    </w:p>
    <w:p w14:paraId="10171ECC"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BgUqhQNkbwREDELQmtGA0LjQv9GC0L7Qn9GA0L4gQ1NQICjQstC10YDRgdC40Y8g</w:t>
      </w:r>
    </w:p>
    <w:p w14:paraId="62053AF2"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My42KSAo0LjRgdC/0L7Qu9C90LXQvdC40LUgMikwggFhBgUqhQNkcASCAVYwggFS</w:t>
      </w:r>
    </w:p>
    <w:p w14:paraId="7DB330A6"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DEQi0JrRgNC40L/RgtC+0J/RgNC+IENTUCIgKNCy0LXRgNGB0LjRjyAzLjYpICjQ</w:t>
      </w:r>
    </w:p>
    <w:p w14:paraId="5E5E4F3B"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uNGB0L/QvtC70L3QtdC90LjQtSAyKQxoItCf0YDQvtCz0YDQsNC80LzQvdC+LdCw</w:t>
      </w:r>
    </w:p>
    <w:p w14:paraId="63127F3F"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0L/Qv9Cw0YDQsNGC0L3Ri9C5INC60L7QvNC/0LvQtdC60YEgItCu0L3QuNGB0LXR</w:t>
      </w:r>
    </w:p>
    <w:p w14:paraId="57A8748B"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gNGCLdCT0J7QodCiIi4g0JLQtdGA0YHQuNGPIDIuMSIMT9Ch0LXRgNGC0LjRhNC4</w:t>
      </w:r>
    </w:p>
    <w:p w14:paraId="748BDE78"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0LrQsNGCINGB0L7QvtGC0LLQtdGC0YHRgtCy0LjRjyDihJYg0KHQpC8xMjQtMjcz</w:t>
      </w:r>
    </w:p>
    <w:p w14:paraId="34E2A9F7"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OCDQvtGCIDAxLjA3LjIwMTUMT9Ch0LXRgNGC0LjRhNC40LrQsNGCINGB0L7QvtGC</w:t>
      </w:r>
    </w:p>
    <w:p w14:paraId="769F32AF"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0LLQtdGC0YHRgtCy0LjRjyDihJYg0KHQpC8xMjgtMjE3NSDQvtGCIDIwLjA2LjIw</w:t>
      </w:r>
    </w:p>
    <w:p w14:paraId="54684821"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MTMwDgYDVR0PAQH/BAQDAgTwMBMGA1UdJQQMMAoGCCsGAQUFBwMDMCsGA1UdEAQk</w:t>
      </w:r>
    </w:p>
    <w:p w14:paraId="3FA3EAD6"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MCKADzIwMTYwNDA3MDgwNDI4WoEPMjAxNzA3MDcwODA0MjhaMIIBjwYDVR0jBIIB</w:t>
      </w:r>
    </w:p>
    <w:p w14:paraId="0E74ED36"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hjCCAYKAFJ5xDg/atAEoXz/iy49lFZcCR4yroYIBZaSCAWEwggFdMRgwFgYJKoZI</w:t>
      </w:r>
    </w:p>
    <w:p w14:paraId="36BCDF73"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hvcNAQkCEwlTZXJ2ZXIgQ0ExIDAeBgkqhkiG9w0BCQEWEXVjX2ZrQHJvc2them5h</w:t>
      </w:r>
    </w:p>
    <w:p w14:paraId="06D5066A"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LnJ1MRwwGgYDVQQIDBM3NyDQsy4g0JzQvtGB0LrQstCwMRowGAYIKoUDA4EDAQES</w:t>
      </w:r>
    </w:p>
    <w:p w14:paraId="3563B67F"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DDAwNzcxMDU2ODc2MDEYMBYGBSqFA2QBEg0xMDQ3Nzk3MDE5ODMwMSwwKgYDVQQJ</w:t>
      </w:r>
    </w:p>
    <w:p w14:paraId="4D5D037F"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DCPRg9C70LjRhtCwINCY0LvRjNC40L3QutCwLCDQtNC+0LwgNzEVMBMGA1UEBwwM</w:t>
      </w:r>
    </w:p>
    <w:p w14:paraId="045C056B"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0JzQvtGB0LrQstCwMQswCQYDVQQGEwJSVTE4MDYGA1UECgwv0KTQtdC00LXRgNCw</w:t>
      </w:r>
    </w:p>
    <w:p w14:paraId="59488B06"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0LvRjNC90L7QtSDQutCw0LfQvdCw0YfQtdC50YHRgtCy0L4xPzA9BgNVBAMMNtCj</w:t>
      </w:r>
    </w:p>
    <w:p w14:paraId="4F0A4503"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0KYg0KTQtdC00LXRgNCw0LvRjNC90L7Qs9C+INC60LDQt9C90LDRh9C10LnRgdGC</w:t>
      </w:r>
    </w:p>
    <w:p w14:paraId="58066A24"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0LLQsIIBATBeBgNVHR8EVzBVMCmgJ6AlhiNodHRwOi8vY3JsLnJvc2them5hLnJ1</w:t>
      </w:r>
    </w:p>
    <w:p w14:paraId="0922D00E"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L2NybC9mazAxLmNybDAooCagJIYiaHR0cDovL2NybC5mc2ZrLmxvY2FsL2NybC9m</w:t>
      </w:r>
    </w:p>
    <w:p w14:paraId="17946EEC"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azAxLmNybDAdBgNVHQ4EFgQUt0m7wwTPyJQ+5TDMkq5Z0WnD5vQwCAYGKoUDAgID</w:t>
      </w:r>
    </w:p>
    <w:p w14:paraId="3470124D"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A0EAReUQeQpqERyFF5XRWG8RnguKCWvPIQOt26PZmVTccxOXVHwZyI0rqdcQ2i4L</w:t>
      </w:r>
    </w:p>
    <w:p w14:paraId="4A7AE126"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p87xs4bqOAO1BwhmKL/TsoC4pA==&lt;/wsse:BinarySecurityToken&gt;&lt;/wsse:Security&gt;&lt;/soapenv:Header&gt;</w:t>
      </w:r>
    </w:p>
    <w:p w14:paraId="671C4C17"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&lt;soapenv:Body xmlns:env="http://schemas.xmlsoap.org/soap/envelope/" wsu:Id="Id-wssecdata-29cef34e3106063e64fead91c94aeda97ff4"&gt;</w:t>
      </w:r>
    </w:p>
    <w:p w14:paraId="439FEDAA"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&lt;transferDocumentRequest xmlns:typ="http://www.roskazna.ru/eb/services/transferDocumentService/types" xmlns="http://www.roskazna.ru/eb/services/transferDocumentService/types" versionId="1.0"&gt;</w:t>
      </w:r>
    </w:p>
    <w:p w14:paraId="696D6E65"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&lt;typ:header&gt;</w:t>
      </w:r>
    </w:p>
    <w:p w14:paraId="2630F827"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&lt;typ:packageId&gt;e8bf66bf-9cf1-47f1-a48b-394d18467fe3&lt;/typ:packageId&gt;</w:t>
      </w:r>
    </w:p>
    <w:p w14:paraId="3FACB361"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&lt;typ:senderSystemId&gt;FNS&lt;/typ:senderSystemId&gt;</w:t>
      </w:r>
    </w:p>
    <w:p w14:paraId="5F6A6774"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&lt;typ:targetSystemId&gt;RMS&lt;/typ:targetSystemId&gt;</w:t>
      </w:r>
    </w:p>
    <w:p w14:paraId="100FB778"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&lt;typ:documentType&gt;BRA_DOC_D_005&lt;/typ:documentType&gt;</w:t>
      </w:r>
    </w:p>
    <w:p w14:paraId="45FE2067"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&lt;typ:documentGuid&gt;a2c229b1-734d-4e55-a382-a46db4ac956a&lt;/typ:documentGuid&gt;</w:t>
      </w:r>
    </w:p>
    <w:p w14:paraId="412DF6E5"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&lt;typ:creationDateTime&gt;2024-06-25T16:46:07.689+04:00&lt;/typ:creationDateTime&gt;</w:t>
      </w:r>
    </w:p>
    <w:p w14:paraId="1B65831D"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&lt;typ:params&gt;</w:t>
      </w:r>
    </w:p>
    <w:p w14:paraId="2063B3CC"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 name="tofkCode" value="4600"/&gt;</w:t>
      </w:r>
    </w:p>
    <w:p w14:paraId="2BF55ECB"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 name="versionId" value="1.0"/&gt;</w:t>
      </w:r>
    </w:p>
    <w:p w14:paraId="7F4268BC"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&lt;/typ:params&gt;</w:t>
      </w:r>
    </w:p>
    <w:p w14:paraId="31B8F014"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&lt;/typ:header&gt;</w:t>
      </w:r>
    </w:p>
    <w:p w14:paraId="1EDF0BCE"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&lt;typ:document&gt;</w:t>
      </w:r>
    </w:p>
    <w:p w14:paraId="6DD49DD2"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&lt;n1:BRA_DOC_D_005 xmlns:xsi="http://www.w3.org/2001/XMLSchema-instance" xmlns:n1="http://www.roskazna.ru/eb/domain/BRA_DOC_D_005/formular" Version="1.0" xsi:schemaLocation="http://www.roskazna.ru/eb/domain/BRA_DOC_D_005/formular formulars.xsd"&gt;</w:t>
      </w:r>
    </w:p>
    <w:p w14:paraId="10B78624"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&lt;Guid_FK&gt;a2c229b1-734d-4e55-a382-a46db4ac956a&lt;/Guid_FK&gt;</w:t>
      </w:r>
    </w:p>
    <w:p w14:paraId="6BA1C880"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&lt;Nom_Doc&gt;15700&lt;/Nom_Doc&gt;</w:t>
      </w:r>
    </w:p>
    <w:p w14:paraId="3895C3E5"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&lt;Date_Doc&gt;2024-06-25&lt;/Date_Doc&gt;</w:t>
      </w:r>
    </w:p>
    <w:p w14:paraId="64890985"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 xml:space="preserve">     </w:t>
      </w:r>
      <w:r w:rsidRPr="00264D5D">
        <w:rPr>
          <w:rFonts w:cs="Courier New"/>
          <w:sz w:val="20"/>
          <w:lang w:val="ru-RU"/>
        </w:rPr>
        <w:t>&lt;</w:t>
      </w:r>
      <w:r w:rsidRPr="00264D5D">
        <w:rPr>
          <w:rFonts w:cs="Courier New"/>
          <w:sz w:val="20"/>
        </w:rPr>
        <w:t>FNS</w:t>
      </w:r>
      <w:r w:rsidRPr="00264D5D">
        <w:rPr>
          <w:rFonts w:cs="Courier New"/>
          <w:sz w:val="20"/>
          <w:lang w:val="ru-RU"/>
        </w:rPr>
        <w:t>_</w:t>
      </w:r>
      <w:r w:rsidRPr="00264D5D">
        <w:rPr>
          <w:rFonts w:cs="Courier New"/>
          <w:sz w:val="20"/>
        </w:rPr>
        <w:t>Name</w:t>
      </w:r>
      <w:r w:rsidRPr="00264D5D">
        <w:rPr>
          <w:rFonts w:cs="Courier New"/>
          <w:sz w:val="20"/>
          <w:lang w:val="ru-RU"/>
        </w:rPr>
        <w:t>&gt;МЕЖРЕГИОНАЛЬНАЯ ИНСПЕКЦИЯ ФЕДЕРАЛЬНОЙ НАЛОГОВОЙ СЛУЖБЫ ПО УПРАВЛЕНИЮ ДОЛГОМ&lt;/</w:t>
      </w:r>
      <w:r w:rsidRPr="00264D5D">
        <w:rPr>
          <w:rFonts w:cs="Courier New"/>
          <w:sz w:val="20"/>
        </w:rPr>
        <w:t>FNS</w:t>
      </w:r>
      <w:r w:rsidRPr="00264D5D">
        <w:rPr>
          <w:rFonts w:cs="Courier New"/>
          <w:sz w:val="20"/>
          <w:lang w:val="ru-RU"/>
        </w:rPr>
        <w:t>_</w:t>
      </w:r>
      <w:r w:rsidRPr="00264D5D">
        <w:rPr>
          <w:rFonts w:cs="Courier New"/>
          <w:sz w:val="20"/>
        </w:rPr>
        <w:t>Name</w:t>
      </w:r>
      <w:r w:rsidRPr="00264D5D">
        <w:rPr>
          <w:rFonts w:cs="Courier New"/>
          <w:sz w:val="20"/>
          <w:lang w:val="ru-RU"/>
        </w:rPr>
        <w:t>&gt;</w:t>
      </w:r>
    </w:p>
    <w:p w14:paraId="783F31A4"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rPr>
        <w:t>&lt;UBP_Code&gt;001F9315&lt;/UBP_Code&gt;</w:t>
      </w:r>
    </w:p>
    <w:p w14:paraId="2B606A39"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64D5D">
        <w:rPr>
          <w:rFonts w:cs="Courier New"/>
          <w:sz w:val="20"/>
        </w:rPr>
        <w:tab/>
      </w:r>
      <w:r w:rsidRPr="00264D5D">
        <w:rPr>
          <w:rFonts w:cs="Courier New"/>
          <w:sz w:val="20"/>
          <w:lang w:val="ru-RU"/>
        </w:rPr>
        <w:t>&lt;</w:t>
      </w:r>
      <w:r w:rsidRPr="00264D5D">
        <w:rPr>
          <w:rFonts w:cs="Courier New"/>
          <w:sz w:val="20"/>
        </w:rPr>
        <w:t>TOFK</w:t>
      </w:r>
      <w:r w:rsidRPr="00264D5D">
        <w:rPr>
          <w:rFonts w:cs="Courier New"/>
          <w:sz w:val="20"/>
          <w:lang w:val="ru-RU"/>
        </w:rPr>
        <w:t>_</w:t>
      </w:r>
      <w:r w:rsidRPr="00264D5D">
        <w:rPr>
          <w:rFonts w:cs="Courier New"/>
          <w:sz w:val="20"/>
        </w:rPr>
        <w:t>Name</w:t>
      </w:r>
      <w:r w:rsidRPr="00264D5D">
        <w:rPr>
          <w:rFonts w:cs="Courier New"/>
          <w:sz w:val="20"/>
          <w:lang w:val="ru-RU"/>
        </w:rPr>
        <w:t>&gt;УФК ПО ТУЛЬСКОЙ ОБЛАСТИ (ФНС)&lt;/</w:t>
      </w:r>
      <w:r w:rsidRPr="00264D5D">
        <w:rPr>
          <w:rFonts w:cs="Courier New"/>
          <w:sz w:val="20"/>
        </w:rPr>
        <w:t>TOFK</w:t>
      </w:r>
      <w:r w:rsidRPr="00264D5D">
        <w:rPr>
          <w:rFonts w:cs="Courier New"/>
          <w:sz w:val="20"/>
          <w:lang w:val="ru-RU"/>
        </w:rPr>
        <w:t>_</w:t>
      </w:r>
      <w:r w:rsidRPr="00264D5D">
        <w:rPr>
          <w:rFonts w:cs="Courier New"/>
          <w:sz w:val="20"/>
        </w:rPr>
        <w:t>Name</w:t>
      </w:r>
      <w:r w:rsidRPr="00264D5D">
        <w:rPr>
          <w:rFonts w:cs="Courier New"/>
          <w:sz w:val="20"/>
          <w:lang w:val="ru-RU"/>
        </w:rPr>
        <w:t>&gt;</w:t>
      </w:r>
    </w:p>
    <w:p w14:paraId="2CD7DA1C"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lang w:val="ru-RU"/>
        </w:rPr>
        <w:tab/>
      </w:r>
      <w:r w:rsidRPr="00264D5D">
        <w:rPr>
          <w:rFonts w:cs="Courier New"/>
          <w:sz w:val="20"/>
        </w:rPr>
        <w:t>&lt;TOFK_INN&gt;7106021300&lt;/TOFK_INN&gt;</w:t>
      </w:r>
    </w:p>
    <w:p w14:paraId="6FD72FFF"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&lt;TOFK_KPP&gt;710601001&lt;/TOFK_KPP&gt;</w:t>
      </w:r>
    </w:p>
    <w:p w14:paraId="2D5942F2"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&lt;Inf_U_Tab&gt;</w:t>
      </w:r>
    </w:p>
    <w:p w14:paraId="546A1AC0"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&lt;Inf_U_Tab_ITEM&gt;</w:t>
      </w:r>
    </w:p>
    <w:p w14:paraId="0591139E"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 xml:space="preserve">                 &lt;Nom_Oper&gt;12101155258885587752121214568223&lt;/Nom_Oper&gt;</w:t>
      </w:r>
    </w:p>
    <w:p w14:paraId="29AA3C0A"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ab/>
      </w:r>
      <w:r w:rsidRPr="00264D5D">
        <w:rPr>
          <w:rFonts w:cs="Courier New"/>
          <w:sz w:val="20"/>
        </w:rPr>
        <w:tab/>
      </w:r>
      <w:r w:rsidRPr="00264D5D">
        <w:rPr>
          <w:rFonts w:cs="Courier New"/>
          <w:sz w:val="20"/>
        </w:rPr>
        <w:tab/>
        <w:t>&lt;Line_Nom&gt;1&lt;/Line_Nom&gt;</w:t>
      </w:r>
    </w:p>
    <w:p w14:paraId="02CE027C"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&lt;Nom_PP&gt;20&lt;/Nom_PP&gt;</w:t>
      </w:r>
    </w:p>
    <w:p w14:paraId="34420106"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 xml:space="preserve">                &lt;Date_PP&gt;2024-06-25&lt;/Date_PP&gt;</w:t>
      </w:r>
    </w:p>
    <w:p w14:paraId="632E22F0"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&lt;KBK&gt;18210202010061000160&lt;/KBK&gt;</w:t>
      </w:r>
    </w:p>
    <w:p w14:paraId="7BFF4745"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&lt;OKTMO&gt;63643000&lt;/OKTMO&gt;</w:t>
      </w:r>
    </w:p>
    <w:p w14:paraId="0B5E2C76"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&lt;Sum&gt;11000.00&lt;/Sum&gt;</w:t>
      </w:r>
    </w:p>
    <w:p w14:paraId="36DC713A"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&lt;KBK_In&gt;182</w:t>
      </w:r>
      <w:r w:rsidR="00F826B5" w:rsidRPr="00264D5D">
        <w:rPr>
          <w:rFonts w:cs="Courier New"/>
          <w:sz w:val="20"/>
        </w:rPr>
        <w:t>10301000010000110</w:t>
      </w:r>
      <w:r w:rsidRPr="00264D5D">
        <w:rPr>
          <w:rFonts w:cs="Courier New"/>
          <w:sz w:val="20"/>
        </w:rPr>
        <w:t>&lt;/KBK_In&gt;</w:t>
      </w:r>
    </w:p>
    <w:p w14:paraId="41F0870D"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&lt;OKTMO_In&gt;63643000&lt;/OKTMO_In&gt;</w:t>
      </w:r>
    </w:p>
    <w:p w14:paraId="4379D46A"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&lt;Sum_In&gt;11000.00&lt;/Sum_In&gt;</w:t>
      </w:r>
    </w:p>
    <w:p w14:paraId="33D6C66B"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&lt;/Inf_U_Tab_ITEM&gt;</w:t>
      </w:r>
    </w:p>
    <w:p w14:paraId="5186BD87" w14:textId="77777777" w:rsidR="00F826B5" w:rsidRPr="00264D5D" w:rsidRDefault="00F826B5"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&lt;/Inf_U_Tab&gt;</w:t>
      </w:r>
    </w:p>
    <w:p w14:paraId="3921C8E6"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&lt;Signatures&gt;</w:t>
      </w:r>
    </w:p>
    <w:p w14:paraId="6024E5C3"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&lt;FIO&gt;Петрова Н.А&lt;/FIO&gt;</w:t>
      </w:r>
    </w:p>
    <w:p w14:paraId="028F4B40"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&lt;DtSgn&gt;2024-06-25&lt;/DtSgn&gt;</w:t>
      </w:r>
    </w:p>
    <w:p w14:paraId="4E468ED2"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&lt;/Signatures&gt;</w:t>
      </w:r>
    </w:p>
    <w:p w14:paraId="03E1ED74"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 xmlns="http://www.w3.org/2000/09/xmldsig#" Id="Id-sig-d373256b5942f08343bc8d034aadd7158f61"&gt;</w:t>
      </w:r>
    </w:p>
    <w:p w14:paraId="0D5F397C"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192D0252"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&lt;CanonicalizationMethod Algorithm="http://www.w3.org/2001/10/xml-exc-c14n#"/&gt;</w:t>
      </w:r>
    </w:p>
    <w:p w14:paraId="6EBEC712"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&lt;SignatureMethod Algorithm="http://www.w3.org/2001/04/xmldsig-more#gostr34102001-gostr3411"/&gt;</w:t>
      </w:r>
    </w:p>
    <w:p w14:paraId="27E80217"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URI="Id-xadesdata-eaf97d94646411e9b78d005056834f23" Id="Id-dataref-dfd24e85a456a1a342553e99c27fd5695cff"&gt;</w:t>
      </w:r>
    </w:p>
    <w:p w14:paraId="0AA4EC46"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7408EA94"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Algorithm="http://www.w3.org/2000/09/xmldsig#enveloped-signature"/&gt;</w:t>
      </w:r>
    </w:p>
    <w:p w14:paraId="151C35F7"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764F047E"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506C45B7"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&lt;DigestValue&gt;tuuoIThRLrpmXrL14i8lPFRl0pwMCiUsBbH5BypOA0I=&lt;/DigestValue&gt;</w:t>
      </w:r>
    </w:p>
    <w:p w14:paraId="64BB65B4"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04399DA2"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&lt;Reference Type="http://www.w3.org/TR/2002/REC-xmldsig-core-20020212/xmldsig-core-schema.xsd#X509Data" URI="#Id-keyinfo-3dfe71fe8d5a7f7591dd337029c400ccf286" Id="Id-keyinforef-9674835ee89ca1067673b6fbb04db381a2a6"&gt;</w:t>
      </w:r>
    </w:p>
    <w:p w14:paraId="31611144"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73E02721"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794A1D7D"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2B5A3208"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3E3E2CDB"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&lt;DigestValue&gt;fIKSx5SIme2CRgDvDzflubM+Qqh4IkAWCXPpzXWD/AQ=&lt;/DigestValue&gt;</w:t>
      </w:r>
    </w:p>
    <w:p w14:paraId="724BA020"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5A4AF245"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&lt;Reference URI="#Id-sp-c353e147090ff61f2f90dcd64635bcf70055" Id="Id-ref-dbee882997a09b88ec14dafcd7da585e2467"&gt;</w:t>
      </w:r>
    </w:p>
    <w:p w14:paraId="083D2AA5"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2D99ACCC"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7B86D211"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7E35CCB5"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Algorithm="http://www.w3.org/2001/04/xmldsig-more#gostr3411"/&gt;</w:t>
      </w:r>
    </w:p>
    <w:p w14:paraId="70FB49BE"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&lt;DigestValue&gt;ffi2NrwgQYkFPoTAefkLKH2wMBSNjwN3zzDBV+mhwQg=&lt;/DigestValue&gt;</w:t>
      </w:r>
    </w:p>
    <w:p w14:paraId="7348DFF4"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4DC47D10"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05FEBE89"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&lt;SignatureValue&gt;zolZ5HI+TT6shtnB1YnAZeMq9mcqWLWAZlSR+MuKJXXN2NRZS/zapvyY4rW+I5gM</w:t>
      </w:r>
    </w:p>
    <w:p w14:paraId="18E03A94"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py5+uThVv9x8n5TApPOJCg==&lt;/SignatureValue&gt;</w:t>
      </w:r>
    </w:p>
    <w:p w14:paraId="6D340B11"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&lt;KeyInfo Id="Id-keyinfo-3dfe71fe8d5a7f7591dd337029c400ccf286"&gt;</w:t>
      </w:r>
    </w:p>
    <w:p w14:paraId="00997A13"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&lt;X509Data&gt;</w:t>
      </w:r>
    </w:p>
    <w:p w14:paraId="1AECD7C9"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&lt;X509Certificate&gt;MIIHbzCCBx6gAwIBAgIUCw+9bFynffs/n08sYLaljBr5oXAwCAYGKoUDAgIDMIIB</w:t>
      </w:r>
    </w:p>
    <w:p w14:paraId="0B1F0C4C"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OTEgMB4GCSqGSIb3DQEJARYRdWNfZmtAcm9za2F6bmEucnUxGTAXBgNVBAgMENCz</w:t>
      </w:r>
    </w:p>
    <w:p w14:paraId="41276928"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LiDQnNC+0YHQutCy0LAxGjAYBggqhQMDgQMBARIMMDA3NzEwNTY4NzYwMRgwFgYF</w:t>
      </w:r>
    </w:p>
    <w:p w14:paraId="1FFA05CD"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KoUDZAESDTEwNDc3OTcwMTk4MzAxLDAqBgNVBAkMI9GD0LvQuNGG0LAg0JjQu9GM</w:t>
      </w:r>
    </w:p>
    <w:p w14:paraId="55BD5899"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0LjQvdC60LAsINC00L7QvCA3MRUwEwYDVQQHDAzQnNC+0YHQutCy0LAxCzAJBgNV</w:t>
      </w:r>
    </w:p>
    <w:p w14:paraId="5BFCB83A"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BAYTAlJVMTgwNgYDVQQKDC/QpNC10LTQtdGA0LDQu9GM0L3QvtC1INC60LDQt9C9</w:t>
      </w:r>
    </w:p>
    <w:p w14:paraId="09347053"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0LDRh9C10LnRgdGC0LLQvjE4MDYGA1UEAwwv0KTQtdC00LXRgNCw0LvRjNC90L7Q</w:t>
      </w:r>
    </w:p>
    <w:p w14:paraId="3BC5DF2B"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tSDQutCw0LfQvdCw0YfQtdC50YHRgtCy0L4wHhcNMTgwNDA1MTMzNDQ3WhcNMTkw</w:t>
      </w:r>
    </w:p>
    <w:p w14:paraId="310F453F"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NzA1MTMzNDQ3WjCCAS0xGjAYBggqhQMDgQMBARIMMDA3NzEwNTY4NzYwMRgwFgYF</w:t>
      </w:r>
    </w:p>
    <w:p w14:paraId="31E04673"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KoUDZAESDTEwNDc3OTcwMTk4MzAxIzAhBgNVBAkMGtGD0LsuINCY0LvRjNC40L3Q</w:t>
      </w:r>
    </w:p>
    <w:p w14:paraId="03FB64FA"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utCwLCDQtC43MR4wHAYJKoZIhvcNAQkBFg83NzdAcm9za2F6bmEucnUxCzAJBgNV</w:t>
      </w:r>
    </w:p>
    <w:p w14:paraId="5E5D6AF7"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BAYTAlJVMRgwFgYDVQQIDA/Qsy7QnNC+0YHQutCy0LAxFTATBgNVBAcMDNCc0L7R</w:t>
      </w:r>
    </w:p>
    <w:p w14:paraId="40DD5CA6"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gdC60LLQsDE4MDYGA1UECgwv0KTQtdC00LXRgNCw0LvRjNC90L7QtSDQutCw0LfQ</w:t>
      </w:r>
    </w:p>
    <w:p w14:paraId="07381AC2"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vdCw0YfQtdC50YHRgtCy0L4xODA2BgNVBAMML9Ck0LXQtNC10YDQsNC70YzQvdC+</w:t>
      </w:r>
    </w:p>
    <w:p w14:paraId="0E673EC6"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0LUg0LrQsNC30L3QsNGH0LXQudGB0YLQstC+MGMwHAYGKoUDAgITMBIGByqFAwIC</w:t>
      </w:r>
    </w:p>
    <w:p w14:paraId="29DFF18C"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IwEGByqFAwICHgEDQwAEQDmzpZ5HcFrSdwi3/h6QJ/jU0i6sTgtJqrYL/Tr+gxBg</w:t>
      </w:r>
    </w:p>
    <w:p w14:paraId="0F424381"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Ud3B/sLCyhk3sR3aCrZ0K4YlsFHVmbBhDYe62UsOcnOjggQCMIID/jAMBgNVHRMB</w:t>
      </w:r>
    </w:p>
    <w:p w14:paraId="7C2475D0"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Af8EAjAAMB0GA1UdIAQWMBQwCAYGKoUDZHEBMAgGBiqFA2RxAjA2BgUqhQNkbwQt</w:t>
      </w:r>
    </w:p>
    <w:p w14:paraId="1DC8B77B"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DCsi0JrRgNC40L/RgtC+0J/RgNC+IENTUCIgKNCy0LXRgNGB0LjRjyA0LjApMIIB</w:t>
      </w:r>
    </w:p>
    <w:p w14:paraId="3833BA88"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MQYFKoUDZHAEggEmMIIBIgxEItCa0YDQuNC/0YLQvtCf0YDQviBDU1AiICjQstC1</w:t>
      </w:r>
    </w:p>
    <w:p w14:paraId="3387CCDF"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0YDRgdC40Y8gMy42KSAo0LjRgdC/0L7Qu9C90LXQvdC40LUgMikMaCLQn9GA0L7Q</w:t>
      </w:r>
    </w:p>
    <w:p w14:paraId="7BCB5C34"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s9GA0LDQvNC80L3Qvi3QsNC/0L/QsNGA0LDRgtC90YvQuSDQutC+0LzQv9C70LXQ</w:t>
      </w:r>
    </w:p>
    <w:p w14:paraId="439D24E3"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utGBICLQrtC90LjRgdC10YDRgi3Qk9Ce0KHQoiIuINCS0LXRgNGB0LjRjyAyLjEi</w:t>
      </w:r>
    </w:p>
    <w:p w14:paraId="7E9CE4D0"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DB/ihJYgMTQ5LzcvNi01Njkg0L7RgiAyMS4xMi4yMDE3DE/QodC10YDRgtC40YTQ</w:t>
      </w:r>
    </w:p>
    <w:p w14:paraId="64030349"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uNC60LDRgiDRgdC+0L7RgtCy0LXRgtGB0YLQstC40Y8g4oSWINCh0KQvMTI4LTI4</w:t>
      </w:r>
    </w:p>
    <w:p w14:paraId="62A1EDF2"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Nzgg0L7RgiAyMC4wNi4yMDE2MA4GA1UdDwEB/wQEAwID+DAdBgNVHSUEFjAUBggr</w:t>
      </w:r>
    </w:p>
    <w:p w14:paraId="7932425D"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BgEFBQcDAgYIKwYBBQUHAwMwKwYDVR0QBCQwIoAPMjAxODA0MDUxMzM0NDVagQ8y</w:t>
      </w:r>
    </w:p>
    <w:p w14:paraId="1828E7BE"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MDE5MDcwNTEzMzQ0NVowggGFBgNVHSMEggF8MIIBeIAUFlWRplFYxIksa1Fb0oUZ</w:t>
      </w:r>
    </w:p>
    <w:p w14:paraId="744F2489"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CgFESCKhggFSpIIBTjCCAUoxHjAcBgkqhkiG9w0BCQEWD2RpdEBtaW5zdnlhei5y</w:t>
      </w:r>
    </w:p>
    <w:p w14:paraId="1B3984AC"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dTELMAkGA1UEBhMCUlUxHDAaBgNVBAgMEzc3INCzLiDQnNC+0YHQutCy0LAxFTAT</w:t>
      </w:r>
    </w:p>
    <w:p w14:paraId="08A3795A"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BgNVBAcMDNCc0L7RgdC60LLQsDE/MD0GA1UECQw2MTI1Mzc1INCzLiDQnNC+0YHQ</w:t>
      </w:r>
    </w:p>
    <w:p w14:paraId="02733463"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utCy0LAsINGD0LsuINCi0LLQtdGA0YHQutCw0Y8sINC0LiA3MSwwKgYDVQQKDCPQ</w:t>
      </w:r>
    </w:p>
    <w:p w14:paraId="18AD6068"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nNC40L3QutC+0LzRgdCy0Y/Qt9GMINCg0L7RgdGB0LjQuDEYMBYGBSqFA2QBEg0x</w:t>
      </w:r>
    </w:p>
    <w:p w14:paraId="4E58303A"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MDQ3NzAyMDI2NzAxMRowGAYIKoUDA4EDAQESDDAwNzcxMDQ3NDM3NTFBMD8GA1UE</w:t>
      </w:r>
    </w:p>
    <w:p w14:paraId="283F05A0"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Aww40JPQvtC70L7QstC90L7QuSDRg9C00L7RgdGC0L7QstC10YDRj9GO0YnQuNC5</w:t>
      </w:r>
    </w:p>
    <w:p w14:paraId="14C79BD3"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INGG0LXQvdGC0YCCCjas1FUAAAAAAS8wXgYDVR0fBFcwVTApoCegJYYjaHR0cDov</w:t>
      </w:r>
    </w:p>
    <w:p w14:paraId="48B1B92E"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L2NybC5yb3NrYXpuYS5ydS9jcmwvdWNmay5jcmwwKKAmoCSGImh0dHA6Ly9jcmwu</w:t>
      </w:r>
    </w:p>
    <w:p w14:paraId="6519F725"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ZnNmay5sb2NhbC9jcmwvdWNmay5jcmwwHQYDVR0OBBYEFLkvJG7Rfzg6F53wdndv</w:t>
      </w:r>
    </w:p>
    <w:p w14:paraId="302B33B0"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NLDQ/i3nMAgGBiqFAwICAwNBAH1LMUVqEV/HRyesHDkB5eBUk6qDOJwnOBHil2Y1</w:t>
      </w:r>
    </w:p>
    <w:p w14:paraId="046ABA56"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qNiUhWK7AqT93ErNsumpe8dDCswJmvps2nbQA7xwIJjzJjk=&lt;/X509Certificate&gt;</w:t>
      </w:r>
    </w:p>
    <w:p w14:paraId="0D7B2F17"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&lt;/X509Data&gt;</w:t>
      </w:r>
    </w:p>
    <w:p w14:paraId="49CA4186"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&lt;/KeyInfo&gt;</w:t>
      </w:r>
    </w:p>
    <w:p w14:paraId="6F40860C"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1963686F"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 xmlns="http://uri.etsi.org/01903/v1.4.1#" Target="Id-sig-d373256b5942f08343bc8d034aadd7158f61"&gt;</w:t>
      </w:r>
    </w:p>
    <w:p w14:paraId="15AA175C"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 Id="Id-sp-c353e147090ff61f2f90dcd64635bcf70055"&gt;</w:t>
      </w:r>
    </w:p>
    <w:p w14:paraId="394EDE44"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&lt;SignedSignatureProperties Id="Id-ssp-7fd861712d758e7e3004067202146d020fd2"/&gt;</w:t>
      </w:r>
    </w:p>
    <w:p w14:paraId="21B1B93C"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&lt;/SignedProperties&gt;</w:t>
      </w:r>
    </w:p>
    <w:p w14:paraId="3A1C072B"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&lt;/QualifyingProperties&gt;</w:t>
      </w:r>
    </w:p>
    <w:p w14:paraId="604BC453"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55B79DD6" w14:textId="77777777" w:rsidR="007B0FCD" w:rsidRPr="00264D5D" w:rsidRDefault="007B0FCD" w:rsidP="007B0FCD">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&lt;/Signature&gt;</w:t>
      </w:r>
    </w:p>
    <w:p w14:paraId="002EF3FC"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&lt;/n1:BRA_DOC_D_005&gt;</w:t>
      </w:r>
    </w:p>
    <w:p w14:paraId="2452CAD6" w14:textId="77777777" w:rsidR="003D7242"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&lt;/typ:document&gt;</w:t>
      </w:r>
    </w:p>
    <w:p w14:paraId="173C47BE" w14:textId="77777777" w:rsidR="0014287C" w:rsidRPr="00264D5D" w:rsidRDefault="003D7242"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&lt;/transferDocumentRequest</w:t>
      </w:r>
      <w:r w:rsidR="0014287C" w:rsidRPr="00264D5D">
        <w:rPr>
          <w:rFonts w:cs="Courier New"/>
          <w:sz w:val="20"/>
        </w:rPr>
        <w:t>&gt;</w:t>
      </w:r>
    </w:p>
    <w:p w14:paraId="7E98F745" w14:textId="77777777" w:rsidR="0014287C" w:rsidRPr="00264D5D" w:rsidRDefault="0014287C"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&lt;/soapenv:Body&gt;</w:t>
      </w:r>
    </w:p>
    <w:p w14:paraId="4D531B8F" w14:textId="77777777" w:rsidR="00D4174C" w:rsidRPr="00264D5D" w:rsidRDefault="0014287C"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264D5D">
        <w:rPr>
          <w:rFonts w:cs="Courier New"/>
          <w:sz w:val="20"/>
        </w:rPr>
        <w:t>&lt;/soapenv:Envelope&gt;</w:t>
      </w:r>
    </w:p>
    <w:p w14:paraId="085522C8" w14:textId="77777777" w:rsidR="00AD1F54" w:rsidRPr="00264D5D" w:rsidRDefault="00941227">
      <w:pPr>
        <w:pStyle w:val="10"/>
        <w:jc w:val="both"/>
      </w:pPr>
      <w:bookmarkStart w:id="4754" w:name="_Toc219309888"/>
      <w:r w:rsidRPr="00264D5D">
        <w:lastRenderedPageBreak/>
        <w:t xml:space="preserve">Требования </w:t>
      </w:r>
      <w:r w:rsidR="00A744F0" w:rsidRPr="00264D5D">
        <w:t>к составу</w:t>
      </w:r>
      <w:r w:rsidRPr="00264D5D">
        <w:t xml:space="preserve"> </w:t>
      </w:r>
      <w:r w:rsidR="00A744F0" w:rsidRPr="00264D5D">
        <w:t>информации</w:t>
      </w:r>
      <w:r w:rsidRPr="00264D5D">
        <w:t xml:space="preserve"> </w:t>
      </w:r>
      <w:r w:rsidR="00A744F0" w:rsidRPr="00264D5D">
        <w:t>при</w:t>
      </w:r>
      <w:r w:rsidRPr="00264D5D">
        <w:t xml:space="preserve"> </w:t>
      </w:r>
      <w:r w:rsidR="00A744F0" w:rsidRPr="00264D5D">
        <w:t>информационном взаимодействии</w:t>
      </w:r>
      <w:r w:rsidRPr="00264D5D">
        <w:t xml:space="preserve"> </w:t>
      </w:r>
      <w:r w:rsidR="00A744F0" w:rsidRPr="00264D5D">
        <w:t>между территориальными органами Федерального казначейства</w:t>
      </w:r>
      <w:r w:rsidRPr="00264D5D">
        <w:t xml:space="preserve"> </w:t>
      </w:r>
      <w:r w:rsidR="00A744F0" w:rsidRPr="00264D5D">
        <w:t>и</w:t>
      </w:r>
      <w:r w:rsidRPr="00264D5D">
        <w:t xml:space="preserve"> </w:t>
      </w:r>
      <w:r w:rsidR="00A744F0" w:rsidRPr="00264D5D">
        <w:t>клиентами</w:t>
      </w:r>
      <w:r w:rsidRPr="00264D5D">
        <w:t xml:space="preserve"> </w:t>
      </w:r>
      <w:r w:rsidR="00A744F0" w:rsidRPr="00264D5D">
        <w:t>для</w:t>
      </w:r>
      <w:r w:rsidRPr="00264D5D">
        <w:t xml:space="preserve"> </w:t>
      </w:r>
      <w:r w:rsidR="00A744F0" w:rsidRPr="00264D5D">
        <w:t>осуществления операций</w:t>
      </w:r>
      <w:r w:rsidRPr="00264D5D">
        <w:t xml:space="preserve"> </w:t>
      </w:r>
      <w:r w:rsidR="00A744F0" w:rsidRPr="00264D5D">
        <w:t>в иностранной валюте</w:t>
      </w:r>
      <w:bookmarkEnd w:id="4754"/>
    </w:p>
    <w:p w14:paraId="4524005D" w14:textId="77777777" w:rsidR="00AD1F54" w:rsidRPr="00264D5D" w:rsidRDefault="00941227">
      <w:pPr>
        <w:pStyle w:val="ASFKNormal"/>
        <w:jc w:val="both"/>
        <w:rPr>
          <w:sz w:val="24"/>
          <w:szCs w:val="24"/>
        </w:rPr>
      </w:pPr>
      <w:r w:rsidRPr="00264D5D">
        <w:rPr>
          <w:sz w:val="24"/>
        </w:rPr>
        <w:t xml:space="preserve">Для осуществления операций в иностранной валюте используются следующие </w:t>
      </w:r>
      <w:r w:rsidRPr="00264D5D">
        <w:rPr>
          <w:sz w:val="24"/>
          <w:szCs w:val="24"/>
        </w:rPr>
        <w:t>доку</w:t>
      </w:r>
      <w:r w:rsidR="00A5124A" w:rsidRPr="00264D5D">
        <w:rPr>
          <w:sz w:val="24"/>
          <w:szCs w:val="24"/>
        </w:rPr>
        <w:t>менты, представленные в Таблице</w:t>
      </w:r>
      <w:r w:rsidR="00A744F0" w:rsidRPr="00264D5D">
        <w:rPr>
          <w:sz w:val="24"/>
          <w:szCs w:val="24"/>
        </w:rPr>
        <w:t>.</w:t>
      </w:r>
    </w:p>
    <w:p w14:paraId="112EC1FC" w14:textId="1E828E00" w:rsidR="00AD1F54" w:rsidRPr="00264D5D" w:rsidRDefault="001E5517">
      <w:pPr>
        <w:pStyle w:val="GOSTNameTable"/>
        <w:numPr>
          <w:ilvl w:val="0"/>
          <w:numId w:val="2"/>
        </w:numPr>
        <w:ind w:left="425" w:hanging="357"/>
      </w:pPr>
      <w:r w:rsidRPr="00264D5D">
        <w:rPr>
          <w:noProof/>
        </w:rPr>
        <w:fldChar w:fldCharType="begin"/>
      </w:r>
      <w:r w:rsidRPr="00264D5D">
        <w:rPr>
          <w:noProof/>
        </w:rPr>
        <w:instrText xml:space="preserve"> SEQ Таблица \* ARABIC </w:instrText>
      </w:r>
      <w:r w:rsidRPr="00264D5D">
        <w:rPr>
          <w:noProof/>
        </w:rPr>
        <w:fldChar w:fldCharType="separate"/>
      </w:r>
      <w:bookmarkStart w:id="4755" w:name="_Ref153206455"/>
      <w:bookmarkStart w:id="4756" w:name="_Toc219309415"/>
      <w:r w:rsidR="008D797C">
        <w:rPr>
          <w:noProof/>
        </w:rPr>
        <w:t>385</w:t>
      </w:r>
      <w:bookmarkEnd w:id="4755"/>
      <w:r w:rsidRPr="00264D5D">
        <w:rPr>
          <w:noProof/>
        </w:rPr>
        <w:fldChar w:fldCharType="end"/>
      </w:r>
      <w:r w:rsidR="00941227" w:rsidRPr="00264D5D">
        <w:rPr>
          <w:rFonts w:eastAsia="Calibri"/>
          <w:szCs w:val="24"/>
        </w:rPr>
        <w:t xml:space="preserve"> – </w:t>
      </w:r>
      <w:r w:rsidR="00941227" w:rsidRPr="00264D5D">
        <w:t xml:space="preserve">Документы для обмена в </w:t>
      </w:r>
      <w:r w:rsidR="00A5124A" w:rsidRPr="00264D5D">
        <w:rPr>
          <w:szCs w:val="24"/>
          <w:lang w:val="en-US"/>
        </w:rPr>
        <w:t>xml</w:t>
      </w:r>
      <w:r w:rsidR="00941227" w:rsidRPr="00264D5D">
        <w:rPr>
          <w:szCs w:val="24"/>
        </w:rPr>
        <w:t>-формате</w:t>
      </w:r>
      <w:bookmarkEnd w:id="4756"/>
    </w:p>
    <w:tbl>
      <w:tblPr>
        <w:tblStyle w:val="GOSTTable"/>
        <w:tblW w:w="5000" w:type="pct"/>
        <w:tblLayout w:type="fixed"/>
        <w:tblLook w:val="01E0" w:firstRow="1" w:lastRow="1" w:firstColumn="1" w:lastColumn="1" w:noHBand="0" w:noVBand="0"/>
      </w:tblPr>
      <w:tblGrid>
        <w:gridCol w:w="7694"/>
        <w:gridCol w:w="1057"/>
        <w:gridCol w:w="899"/>
      </w:tblGrid>
      <w:tr w:rsidR="008B26A8" w:rsidRPr="00264D5D" w14:paraId="5A907AD5" w14:textId="77777777" w:rsidTr="008B26A8">
        <w:trPr>
          <w:cnfStyle w:val="100000000000" w:firstRow="1" w:lastRow="0" w:firstColumn="0" w:lastColumn="0" w:oddVBand="0" w:evenVBand="0" w:oddHBand="0" w:evenHBand="0" w:firstRowFirstColumn="0" w:firstRowLastColumn="0" w:lastRowFirstColumn="0" w:lastRowLastColumn="0"/>
          <w:tblHeader/>
        </w:trPr>
        <w:tc>
          <w:tcPr>
            <w:tcW w:w="7237" w:type="dxa"/>
          </w:tcPr>
          <w:p w14:paraId="49D49DFD" w14:textId="77777777" w:rsidR="008B26A8" w:rsidRPr="00264D5D" w:rsidRDefault="008B26A8">
            <w:pPr>
              <w:pStyle w:val="OTRTableHead"/>
              <w:widowControl w:val="0"/>
              <w:rPr>
                <w:sz w:val="22"/>
                <w:szCs w:val="22"/>
              </w:rPr>
            </w:pPr>
            <w:r w:rsidRPr="00264D5D">
              <w:rPr>
                <w:sz w:val="22"/>
                <w:szCs w:val="22"/>
              </w:rPr>
              <w:t>Наименование документа</w:t>
            </w:r>
          </w:p>
        </w:tc>
        <w:tc>
          <w:tcPr>
            <w:tcW w:w="994" w:type="dxa"/>
          </w:tcPr>
          <w:p w14:paraId="7CBDCAA6" w14:textId="77777777" w:rsidR="008B26A8" w:rsidRPr="00264D5D" w:rsidRDefault="008B26A8">
            <w:pPr>
              <w:pStyle w:val="OTRTableHead"/>
              <w:widowControl w:val="0"/>
              <w:rPr>
                <w:sz w:val="22"/>
                <w:szCs w:val="22"/>
              </w:rPr>
            </w:pPr>
            <w:r w:rsidRPr="00264D5D">
              <w:rPr>
                <w:sz w:val="22"/>
                <w:szCs w:val="22"/>
              </w:rPr>
              <w:t>Номер пункта</w:t>
            </w:r>
          </w:p>
        </w:tc>
        <w:tc>
          <w:tcPr>
            <w:tcW w:w="846" w:type="dxa"/>
          </w:tcPr>
          <w:p w14:paraId="1814370C" w14:textId="77777777" w:rsidR="008B26A8" w:rsidRPr="00264D5D" w:rsidRDefault="008B26A8">
            <w:pPr>
              <w:pStyle w:val="OTRTableHead"/>
              <w:widowControl w:val="0"/>
              <w:rPr>
                <w:sz w:val="22"/>
                <w:szCs w:val="22"/>
              </w:rPr>
            </w:pPr>
            <w:r w:rsidRPr="00264D5D">
              <w:rPr>
                <w:sz w:val="22"/>
                <w:szCs w:val="22"/>
              </w:rPr>
              <w:t>Номер тома</w:t>
            </w:r>
          </w:p>
        </w:tc>
      </w:tr>
      <w:tr w:rsidR="008B26A8" w:rsidRPr="00264D5D" w14:paraId="0777915C" w14:textId="77777777" w:rsidTr="008B26A8">
        <w:trPr>
          <w:cnfStyle w:val="000000100000" w:firstRow="0" w:lastRow="0" w:firstColumn="0" w:lastColumn="0" w:oddVBand="0" w:evenVBand="0" w:oddHBand="1" w:evenHBand="0" w:firstRowFirstColumn="0" w:firstRowLastColumn="0" w:lastRowFirstColumn="0" w:lastRowLastColumn="0"/>
        </w:trPr>
        <w:tc>
          <w:tcPr>
            <w:tcW w:w="7237" w:type="dxa"/>
          </w:tcPr>
          <w:p w14:paraId="73C53569" w14:textId="77777777" w:rsidR="008B26A8" w:rsidRPr="00264D5D" w:rsidRDefault="008B26A8">
            <w:pPr>
              <w:spacing w:before="60" w:after="60"/>
              <w:rPr>
                <w:sz w:val="22"/>
                <w:szCs w:val="22"/>
              </w:rPr>
            </w:pPr>
            <w:r w:rsidRPr="00264D5D">
              <w:rPr>
                <w:sz w:val="22"/>
                <w:szCs w:val="22"/>
              </w:rPr>
              <w:t>Заявление на проведение операций с иностранной валютой</w:t>
            </w:r>
          </w:p>
        </w:tc>
        <w:tc>
          <w:tcPr>
            <w:tcW w:w="994" w:type="dxa"/>
          </w:tcPr>
          <w:p w14:paraId="6F9EFCE5" w14:textId="1B5AB6D9" w:rsidR="008B26A8" w:rsidRPr="00264D5D" w:rsidRDefault="008B26A8">
            <w:pPr>
              <w:spacing w:before="60" w:after="60"/>
              <w:rPr>
                <w:sz w:val="22"/>
                <w:szCs w:val="22"/>
              </w:rPr>
            </w:pPr>
            <w:r w:rsidRPr="00264D5D">
              <w:rPr>
                <w:sz w:val="22"/>
                <w:szCs w:val="22"/>
              </w:rPr>
              <w:t xml:space="preserve">П. </w:t>
            </w:r>
            <w:r w:rsidRPr="00264D5D">
              <w:rPr>
                <w:sz w:val="22"/>
                <w:szCs w:val="22"/>
              </w:rPr>
              <w:fldChar w:fldCharType="begin"/>
            </w:r>
            <w:r w:rsidRPr="00264D5D">
              <w:rPr>
                <w:sz w:val="22"/>
                <w:szCs w:val="22"/>
              </w:rPr>
              <w:instrText xml:space="preserve"> REF _Ref153206456 \r \h  \* MERGEFORMAT </w:instrText>
            </w:r>
            <w:r w:rsidRPr="00264D5D">
              <w:rPr>
                <w:sz w:val="22"/>
                <w:szCs w:val="22"/>
              </w:rPr>
            </w:r>
            <w:r w:rsidRPr="00264D5D">
              <w:rPr>
                <w:sz w:val="22"/>
                <w:szCs w:val="22"/>
              </w:rPr>
              <w:fldChar w:fldCharType="separate"/>
            </w:r>
            <w:r w:rsidR="008D797C">
              <w:rPr>
                <w:sz w:val="22"/>
                <w:szCs w:val="22"/>
              </w:rPr>
              <w:t>10.1</w:t>
            </w:r>
            <w:r w:rsidRPr="00264D5D">
              <w:rPr>
                <w:sz w:val="22"/>
                <w:szCs w:val="22"/>
              </w:rPr>
              <w:fldChar w:fldCharType="end"/>
            </w:r>
          </w:p>
        </w:tc>
        <w:tc>
          <w:tcPr>
            <w:tcW w:w="846" w:type="dxa"/>
          </w:tcPr>
          <w:p w14:paraId="4158D1DB" w14:textId="77777777" w:rsidR="008B26A8" w:rsidRPr="00264D5D" w:rsidRDefault="008B26A8">
            <w:pPr>
              <w:spacing w:before="60" w:after="60"/>
              <w:rPr>
                <w:sz w:val="22"/>
                <w:szCs w:val="22"/>
              </w:rPr>
            </w:pPr>
            <w:r w:rsidRPr="00264D5D">
              <w:rPr>
                <w:sz w:val="22"/>
                <w:szCs w:val="22"/>
              </w:rPr>
              <w:t>Т. 7</w:t>
            </w:r>
          </w:p>
        </w:tc>
      </w:tr>
      <w:tr w:rsidR="008B26A8" w:rsidRPr="00264D5D" w14:paraId="37F9AF49" w14:textId="77777777" w:rsidTr="008B26A8">
        <w:trPr>
          <w:cnfStyle w:val="000000010000" w:firstRow="0" w:lastRow="0" w:firstColumn="0" w:lastColumn="0" w:oddVBand="0" w:evenVBand="0" w:oddHBand="0" w:evenHBand="1" w:firstRowFirstColumn="0" w:firstRowLastColumn="0" w:lastRowFirstColumn="0" w:lastRowLastColumn="0"/>
        </w:trPr>
        <w:tc>
          <w:tcPr>
            <w:tcW w:w="7237" w:type="dxa"/>
          </w:tcPr>
          <w:p w14:paraId="11101EE3" w14:textId="77777777" w:rsidR="008B26A8" w:rsidRPr="00264D5D" w:rsidRDefault="008B26A8">
            <w:pPr>
              <w:spacing w:before="60" w:after="60"/>
              <w:rPr>
                <w:sz w:val="22"/>
                <w:szCs w:val="22"/>
              </w:rPr>
            </w:pPr>
            <w:r w:rsidRPr="00264D5D">
              <w:rPr>
                <w:sz w:val="22"/>
                <w:szCs w:val="22"/>
              </w:rPr>
              <w:t>Извещение о поступлении в иностранной валюте</w:t>
            </w:r>
          </w:p>
        </w:tc>
        <w:tc>
          <w:tcPr>
            <w:tcW w:w="994" w:type="dxa"/>
          </w:tcPr>
          <w:p w14:paraId="327DA13D" w14:textId="77777777" w:rsidR="008B26A8" w:rsidRPr="00264D5D" w:rsidRDefault="008B26A8">
            <w:pPr>
              <w:spacing w:before="60" w:after="60"/>
              <w:rPr>
                <w:sz w:val="22"/>
                <w:szCs w:val="22"/>
              </w:rPr>
            </w:pPr>
            <w:r w:rsidRPr="00264D5D">
              <w:rPr>
                <w:sz w:val="22"/>
                <w:szCs w:val="22"/>
              </w:rPr>
              <w:t>П. 13.1</w:t>
            </w:r>
          </w:p>
        </w:tc>
        <w:tc>
          <w:tcPr>
            <w:tcW w:w="846" w:type="dxa"/>
          </w:tcPr>
          <w:p w14:paraId="189F7289" w14:textId="77777777" w:rsidR="008B26A8" w:rsidRPr="00264D5D" w:rsidRDefault="008B26A8">
            <w:pPr>
              <w:spacing w:before="60" w:after="60"/>
              <w:rPr>
                <w:sz w:val="22"/>
                <w:szCs w:val="22"/>
              </w:rPr>
            </w:pPr>
            <w:r w:rsidRPr="00264D5D">
              <w:rPr>
                <w:sz w:val="22"/>
                <w:szCs w:val="22"/>
              </w:rPr>
              <w:t>Т. 8</w:t>
            </w:r>
          </w:p>
        </w:tc>
      </w:tr>
      <w:tr w:rsidR="008B26A8" w:rsidRPr="00264D5D" w14:paraId="6C31570A" w14:textId="77777777" w:rsidTr="008B26A8">
        <w:trPr>
          <w:cnfStyle w:val="000000100000" w:firstRow="0" w:lastRow="0" w:firstColumn="0" w:lastColumn="0" w:oddVBand="0" w:evenVBand="0" w:oddHBand="1" w:evenHBand="0" w:firstRowFirstColumn="0" w:firstRowLastColumn="0" w:lastRowFirstColumn="0" w:lastRowLastColumn="0"/>
        </w:trPr>
        <w:tc>
          <w:tcPr>
            <w:tcW w:w="7237" w:type="dxa"/>
          </w:tcPr>
          <w:p w14:paraId="00C6623C" w14:textId="77777777" w:rsidR="008B26A8" w:rsidRPr="00264D5D" w:rsidRDefault="008B26A8">
            <w:pPr>
              <w:spacing w:before="60" w:after="60"/>
              <w:rPr>
                <w:sz w:val="22"/>
                <w:szCs w:val="22"/>
              </w:rPr>
            </w:pPr>
            <w:bookmarkStart w:id="4757" w:name="OLE_LINK266"/>
            <w:bookmarkStart w:id="4758" w:name="OLE_LINK267"/>
            <w:r w:rsidRPr="00264D5D">
              <w:rPr>
                <w:sz w:val="22"/>
                <w:szCs w:val="22"/>
              </w:rPr>
              <w:t>Бухгалтерская справка (ф. 0504833)</w:t>
            </w:r>
            <w:bookmarkEnd w:id="4757"/>
            <w:bookmarkEnd w:id="4758"/>
          </w:p>
        </w:tc>
        <w:tc>
          <w:tcPr>
            <w:tcW w:w="994" w:type="dxa"/>
          </w:tcPr>
          <w:p w14:paraId="55B33BB0" w14:textId="77777777" w:rsidR="008B26A8" w:rsidRPr="00264D5D" w:rsidRDefault="008B26A8">
            <w:pPr>
              <w:spacing w:before="60" w:after="60"/>
              <w:rPr>
                <w:sz w:val="22"/>
                <w:szCs w:val="22"/>
              </w:rPr>
            </w:pPr>
            <w:r w:rsidRPr="00264D5D">
              <w:rPr>
                <w:sz w:val="22"/>
                <w:szCs w:val="22"/>
              </w:rPr>
              <w:t>П. 13.2</w:t>
            </w:r>
          </w:p>
        </w:tc>
        <w:tc>
          <w:tcPr>
            <w:tcW w:w="846" w:type="dxa"/>
          </w:tcPr>
          <w:p w14:paraId="5805A900" w14:textId="77777777" w:rsidR="008B26A8" w:rsidRPr="00264D5D" w:rsidRDefault="008B26A8">
            <w:pPr>
              <w:spacing w:before="60" w:after="60"/>
              <w:rPr>
                <w:sz w:val="22"/>
                <w:szCs w:val="22"/>
              </w:rPr>
            </w:pPr>
            <w:r w:rsidRPr="00264D5D">
              <w:rPr>
                <w:sz w:val="22"/>
                <w:szCs w:val="22"/>
              </w:rPr>
              <w:t>Т. 8</w:t>
            </w:r>
          </w:p>
        </w:tc>
      </w:tr>
    </w:tbl>
    <w:p w14:paraId="3BE50601" w14:textId="77777777" w:rsidR="00AD1F54" w:rsidRPr="00264D5D" w:rsidRDefault="00AD1F54"/>
    <w:p w14:paraId="5C243971" w14:textId="77777777" w:rsidR="00AD1F54" w:rsidRPr="00264D5D" w:rsidRDefault="00AD1F54">
      <w:pPr>
        <w:rPr>
          <w:lang w:val="en-US"/>
        </w:rPr>
        <w:sectPr w:rsidR="00AD1F54" w:rsidRPr="00264D5D">
          <w:pgSz w:w="11906" w:h="16838"/>
          <w:pgMar w:top="1134" w:right="567" w:bottom="851" w:left="1701" w:header="708" w:footer="708" w:gutter="0"/>
          <w:cols w:space="708"/>
          <w:docGrid w:linePitch="360"/>
        </w:sectPr>
      </w:pPr>
    </w:p>
    <w:p w14:paraId="74BC7F29" w14:textId="77777777" w:rsidR="00AD1F54" w:rsidRPr="008B26A8" w:rsidRDefault="00941227">
      <w:pPr>
        <w:pStyle w:val="22"/>
        <w:jc w:val="left"/>
        <w:rPr>
          <w:highlight w:val="green"/>
          <w:lang w:val="ru-RU"/>
        </w:rPr>
      </w:pPr>
      <w:bookmarkStart w:id="4759" w:name="_Toc143690583"/>
      <w:bookmarkStart w:id="4760" w:name="_Ref153206456"/>
      <w:bookmarkStart w:id="4761" w:name="_Toc219309889"/>
      <w:r w:rsidRPr="008B26A8">
        <w:rPr>
          <w:highlight w:val="green"/>
          <w:lang w:val="ru-RU"/>
        </w:rPr>
        <w:lastRenderedPageBreak/>
        <w:t>Описание документа «Заявление на проведение операций с иностранной валютой»</w:t>
      </w:r>
      <w:bookmarkEnd w:id="4759"/>
      <w:bookmarkEnd w:id="4760"/>
      <w:bookmarkEnd w:id="4761"/>
      <w:r w:rsidRPr="008B26A8">
        <w:rPr>
          <w:highlight w:val="green"/>
          <w:lang w:val="ru-RU"/>
        </w:rPr>
        <w:t xml:space="preserve"> </w:t>
      </w:r>
    </w:p>
    <w:p w14:paraId="7E67434C" w14:textId="77777777" w:rsidR="00AD1F54" w:rsidRPr="00A21614" w:rsidRDefault="00941227">
      <w:pPr>
        <w:pStyle w:val="31"/>
        <w:rPr>
          <w:highlight w:val="green"/>
        </w:rPr>
      </w:pPr>
      <w:bookmarkStart w:id="4762" w:name="_Toc143690584"/>
      <w:bookmarkStart w:id="4763" w:name="_Toc219309890"/>
      <w:r w:rsidRPr="00A21614">
        <w:rPr>
          <w:highlight w:val="green"/>
        </w:rPr>
        <w:t>Назначение и маршрут документа</w:t>
      </w:r>
      <w:bookmarkEnd w:id="4762"/>
      <w:bookmarkEnd w:id="4763"/>
    </w:p>
    <w:p w14:paraId="5A8DC11B" w14:textId="77777777" w:rsidR="00AD1F54" w:rsidRPr="00264D5D" w:rsidRDefault="00941227">
      <w:pPr>
        <w:pStyle w:val="GOSTNormal"/>
      </w:pPr>
      <w:r w:rsidRPr="00264D5D">
        <w:t xml:space="preserve">Документ «Заявление на проведение операций с иностранной валютой» предназначен для совершения операций по счетам в иностранной валюте. </w:t>
      </w:r>
    </w:p>
    <w:p w14:paraId="0B360473" w14:textId="58222122" w:rsidR="00AD1F54" w:rsidRPr="008B26A8" w:rsidRDefault="00941227">
      <w:pPr>
        <w:pStyle w:val="GOSTNameTable"/>
        <w:numPr>
          <w:ilvl w:val="0"/>
          <w:numId w:val="2"/>
        </w:numPr>
        <w:spacing w:before="240" w:after="120"/>
        <w:rPr>
          <w:highlight w:val="green"/>
        </w:rPr>
      </w:pPr>
      <w:r w:rsidRPr="008B26A8">
        <w:rPr>
          <w:highlight w:val="green"/>
        </w:rPr>
        <w:fldChar w:fldCharType="begin"/>
      </w:r>
      <w:r w:rsidRPr="008B26A8">
        <w:rPr>
          <w:highlight w:val="green"/>
        </w:rPr>
        <w:instrText>SEQ Таблица \* ARABIC</w:instrText>
      </w:r>
      <w:r w:rsidRPr="008B26A8">
        <w:rPr>
          <w:highlight w:val="green"/>
        </w:rPr>
        <w:fldChar w:fldCharType="separate"/>
      </w:r>
      <w:bookmarkStart w:id="4764" w:name="_Toc18509476"/>
      <w:bookmarkStart w:id="4765" w:name="_Toc219309416"/>
      <w:r w:rsidR="008D797C">
        <w:rPr>
          <w:noProof/>
          <w:highlight w:val="green"/>
        </w:rPr>
        <w:t>386</w:t>
      </w:r>
      <w:r w:rsidRPr="008B26A8">
        <w:rPr>
          <w:highlight w:val="green"/>
        </w:rPr>
        <w:fldChar w:fldCharType="end"/>
      </w:r>
      <w:r w:rsidRPr="008B26A8">
        <w:rPr>
          <w:highlight w:val="green"/>
        </w:rPr>
        <w:t xml:space="preserve"> – Маршрут документа «Заявление на проведение операций с иностранной валютой»</w:t>
      </w:r>
      <w:bookmarkEnd w:id="4764"/>
      <w:bookmarkEnd w:id="4765"/>
    </w:p>
    <w:tbl>
      <w:tblPr>
        <w:tblStyle w:val="GOSTTable"/>
        <w:tblW w:w="5000" w:type="pct"/>
        <w:tblLook w:val="07E0" w:firstRow="1" w:lastRow="1" w:firstColumn="1" w:lastColumn="1" w:noHBand="1" w:noVBand="1"/>
      </w:tblPr>
      <w:tblGrid>
        <w:gridCol w:w="2474"/>
        <w:gridCol w:w="2210"/>
        <w:gridCol w:w="4966"/>
      </w:tblGrid>
      <w:tr w:rsidR="00AD1F54" w:rsidRPr="00264D5D" w14:paraId="59517313" w14:textId="77777777" w:rsidTr="00A5124A">
        <w:trPr>
          <w:cnfStyle w:val="100000000000" w:firstRow="1" w:lastRow="0" w:firstColumn="0" w:lastColumn="0" w:oddVBand="0" w:evenVBand="0" w:oddHBand="0" w:evenHBand="0" w:firstRowFirstColumn="0" w:firstRowLastColumn="0" w:lastRowFirstColumn="0" w:lastRowLastColumn="0"/>
        </w:trPr>
        <w:tc>
          <w:tcPr>
            <w:tcW w:w="1282" w:type="pct"/>
          </w:tcPr>
          <w:p w14:paraId="325568E0" w14:textId="77777777" w:rsidR="00AD1F54" w:rsidRPr="00264D5D" w:rsidRDefault="00941227">
            <w:pPr>
              <w:pStyle w:val="GOSTTableHead"/>
              <w:rPr>
                <w:szCs w:val="22"/>
              </w:rPr>
            </w:pPr>
            <w:r w:rsidRPr="00264D5D">
              <w:rPr>
                <w:szCs w:val="22"/>
              </w:rPr>
              <w:t>Отправитель</w:t>
            </w:r>
          </w:p>
        </w:tc>
        <w:tc>
          <w:tcPr>
            <w:tcW w:w="1145" w:type="pct"/>
          </w:tcPr>
          <w:p w14:paraId="11A51C97" w14:textId="77777777" w:rsidR="00AD1F54" w:rsidRPr="00264D5D" w:rsidRDefault="00941227">
            <w:pPr>
              <w:pStyle w:val="GOSTTableHead"/>
              <w:rPr>
                <w:szCs w:val="22"/>
              </w:rPr>
            </w:pPr>
            <w:r w:rsidRPr="00264D5D">
              <w:rPr>
                <w:szCs w:val="22"/>
              </w:rPr>
              <w:t>Получатель</w:t>
            </w:r>
          </w:p>
        </w:tc>
        <w:tc>
          <w:tcPr>
            <w:tcW w:w="2573" w:type="pct"/>
          </w:tcPr>
          <w:p w14:paraId="06467DB6" w14:textId="77777777" w:rsidR="00AD1F54" w:rsidRPr="00264D5D" w:rsidRDefault="00941227">
            <w:pPr>
              <w:pStyle w:val="GOSTTableHead"/>
              <w:rPr>
                <w:szCs w:val="22"/>
              </w:rPr>
            </w:pPr>
            <w:r w:rsidRPr="00264D5D">
              <w:rPr>
                <w:szCs w:val="22"/>
              </w:rPr>
              <w:t>Примечание</w:t>
            </w:r>
          </w:p>
        </w:tc>
      </w:tr>
      <w:tr w:rsidR="00AD1F54" w:rsidRPr="00264D5D" w14:paraId="5BAA09F8" w14:textId="77777777" w:rsidTr="00A5124A">
        <w:trPr>
          <w:trHeight w:val="310"/>
        </w:trPr>
        <w:tc>
          <w:tcPr>
            <w:tcW w:w="1282" w:type="pct"/>
          </w:tcPr>
          <w:p w14:paraId="24B89671" w14:textId="77777777" w:rsidR="00AD1F54" w:rsidRPr="00264D5D" w:rsidRDefault="00941227">
            <w:pPr>
              <w:pStyle w:val="GOSTTablenorm"/>
              <w:rPr>
                <w:szCs w:val="22"/>
              </w:rPr>
            </w:pPr>
            <w:r w:rsidRPr="00264D5D">
              <w:rPr>
                <w:szCs w:val="22"/>
              </w:rPr>
              <w:t>ПБС, АИФДБ, ИПБС</w:t>
            </w:r>
          </w:p>
        </w:tc>
        <w:tc>
          <w:tcPr>
            <w:tcW w:w="1145" w:type="pct"/>
          </w:tcPr>
          <w:p w14:paraId="58702E2A" w14:textId="77777777" w:rsidR="00AD1F54" w:rsidRPr="00264D5D" w:rsidRDefault="00941227">
            <w:pPr>
              <w:pStyle w:val="GOSTTablenorm"/>
              <w:rPr>
                <w:szCs w:val="22"/>
              </w:rPr>
            </w:pPr>
            <w:r w:rsidRPr="00264D5D">
              <w:rPr>
                <w:szCs w:val="22"/>
              </w:rPr>
              <w:t>ТОФК (ПУР ЭБ)</w:t>
            </w:r>
          </w:p>
        </w:tc>
        <w:tc>
          <w:tcPr>
            <w:tcW w:w="2573" w:type="pct"/>
          </w:tcPr>
          <w:p w14:paraId="62A7D52D" w14:textId="77777777" w:rsidR="00AD1F54" w:rsidRPr="00264D5D" w:rsidRDefault="00AD1F54">
            <w:pPr>
              <w:pStyle w:val="GOSTTablenorm"/>
              <w:rPr>
                <w:szCs w:val="22"/>
              </w:rPr>
            </w:pPr>
          </w:p>
        </w:tc>
      </w:tr>
      <w:tr w:rsidR="00AD1F54" w:rsidRPr="00264D5D" w14:paraId="68A216C1" w14:textId="77777777" w:rsidTr="00A5124A">
        <w:trPr>
          <w:trHeight w:val="310"/>
        </w:trPr>
        <w:tc>
          <w:tcPr>
            <w:tcW w:w="1282" w:type="pct"/>
          </w:tcPr>
          <w:p w14:paraId="254D5B24" w14:textId="77777777" w:rsidR="00AD1F54" w:rsidRPr="00264D5D" w:rsidRDefault="00941227">
            <w:pPr>
              <w:pStyle w:val="GOSTTablenorm"/>
              <w:rPr>
                <w:szCs w:val="22"/>
              </w:rPr>
            </w:pPr>
            <w:r w:rsidRPr="00264D5D">
              <w:rPr>
                <w:szCs w:val="22"/>
              </w:rPr>
              <w:t>ТОФК (ПУР ЭБ)</w:t>
            </w:r>
          </w:p>
        </w:tc>
        <w:tc>
          <w:tcPr>
            <w:tcW w:w="1145" w:type="pct"/>
          </w:tcPr>
          <w:p w14:paraId="23AE4B12" w14:textId="77777777" w:rsidR="00AD1F54" w:rsidRPr="00264D5D" w:rsidRDefault="00A21614">
            <w:pPr>
              <w:pStyle w:val="GOSTTablenorm"/>
              <w:rPr>
                <w:szCs w:val="22"/>
              </w:rPr>
            </w:pPr>
            <w:r w:rsidRPr="00D72FE2">
              <w:rPr>
                <w:highlight w:val="green"/>
                <w:lang w:eastAsia="en-US"/>
              </w:rPr>
              <w:t>ПБС</w:t>
            </w:r>
            <w:r>
              <w:rPr>
                <w:lang w:eastAsia="en-US"/>
              </w:rPr>
              <w:t>,</w:t>
            </w:r>
            <w:r w:rsidRPr="00264D5D">
              <w:rPr>
                <w:szCs w:val="22"/>
              </w:rPr>
              <w:t xml:space="preserve"> </w:t>
            </w:r>
            <w:r w:rsidR="00941227" w:rsidRPr="00264D5D">
              <w:rPr>
                <w:szCs w:val="22"/>
              </w:rPr>
              <w:t>ИПБС</w:t>
            </w:r>
          </w:p>
        </w:tc>
        <w:tc>
          <w:tcPr>
            <w:tcW w:w="2573" w:type="pct"/>
            <w:vMerge w:val="restart"/>
          </w:tcPr>
          <w:p w14:paraId="7082C6F4" w14:textId="77777777" w:rsidR="0036527B" w:rsidRDefault="0036527B" w:rsidP="0036527B">
            <w:pPr>
              <w:pStyle w:val="GOSTTablenorm"/>
              <w:rPr>
                <w:szCs w:val="22"/>
                <w:highlight w:val="green"/>
              </w:rPr>
            </w:pPr>
            <w:r w:rsidRPr="002B3EF4">
              <w:rPr>
                <w:szCs w:val="22"/>
                <w:highlight w:val="green"/>
              </w:rPr>
              <w:t>Передается в виде вложения в блоке «attachments» к документ</w:t>
            </w:r>
            <w:r>
              <w:rPr>
                <w:szCs w:val="22"/>
                <w:highlight w:val="green"/>
              </w:rPr>
              <w:t>ам:</w:t>
            </w:r>
          </w:p>
          <w:p w14:paraId="6417818A" w14:textId="77777777" w:rsidR="0036527B" w:rsidRDefault="0036527B" w:rsidP="0036527B">
            <w:pPr>
              <w:pStyle w:val="GOSTTablenorm"/>
              <w:numPr>
                <w:ilvl w:val="0"/>
                <w:numId w:val="149"/>
              </w:numPr>
              <w:spacing w:before="0" w:after="0"/>
              <w:ind w:left="284" w:hanging="227"/>
              <w:rPr>
                <w:szCs w:val="22"/>
                <w:highlight w:val="green"/>
              </w:rPr>
            </w:pPr>
            <w:r w:rsidRPr="002B3EF4">
              <w:rPr>
                <w:szCs w:val="22"/>
                <w:highlight w:val="green"/>
              </w:rPr>
              <w:t>«Выписка из лицевого счета для учета операций со средствами, поступающими во временное распоряжение получателя бюджетных средств» (ф. 0531762)</w:t>
            </w:r>
            <w:r>
              <w:rPr>
                <w:szCs w:val="22"/>
                <w:highlight w:val="green"/>
              </w:rPr>
              <w:t>,</w:t>
            </w:r>
          </w:p>
          <w:p w14:paraId="74D1718F" w14:textId="77777777" w:rsidR="0036527B" w:rsidRPr="00456E85" w:rsidRDefault="0036527B" w:rsidP="0036527B">
            <w:pPr>
              <w:pStyle w:val="GOSTTablenorm"/>
              <w:numPr>
                <w:ilvl w:val="0"/>
                <w:numId w:val="149"/>
              </w:numPr>
              <w:spacing w:before="0" w:after="0"/>
              <w:ind w:left="284" w:hanging="227"/>
              <w:rPr>
                <w:szCs w:val="22"/>
                <w:highlight w:val="green"/>
              </w:rPr>
            </w:pPr>
            <w:r w:rsidRPr="00456E85">
              <w:rPr>
                <w:szCs w:val="22"/>
                <w:highlight w:val="green"/>
              </w:rPr>
              <w:t xml:space="preserve">«Выписка из лицевого счета получателя бюджетных средств», </w:t>
            </w:r>
          </w:p>
          <w:p w14:paraId="21FE6068" w14:textId="77777777" w:rsidR="0036527B" w:rsidRDefault="0036527B" w:rsidP="0036527B">
            <w:pPr>
              <w:pStyle w:val="GOSTTablenorm"/>
              <w:numPr>
                <w:ilvl w:val="0"/>
                <w:numId w:val="149"/>
              </w:numPr>
              <w:spacing w:before="0" w:after="0"/>
              <w:ind w:left="284" w:hanging="227"/>
              <w:rPr>
                <w:szCs w:val="22"/>
                <w:highlight w:val="green"/>
              </w:rPr>
            </w:pPr>
            <w:r w:rsidRPr="00456E85">
              <w:rPr>
                <w:szCs w:val="22"/>
                <w:highlight w:val="green"/>
              </w:rPr>
              <w:t>«Выписка из лицевого счета иного получателя бюджетных средств»</w:t>
            </w:r>
            <w:r>
              <w:rPr>
                <w:szCs w:val="22"/>
                <w:highlight w:val="green"/>
              </w:rPr>
              <w:t>,</w:t>
            </w:r>
          </w:p>
          <w:p w14:paraId="36C52729" w14:textId="77777777" w:rsidR="0036527B" w:rsidRPr="00456E85" w:rsidRDefault="0036527B" w:rsidP="0036527B">
            <w:pPr>
              <w:pStyle w:val="GOSTTablenorm"/>
              <w:numPr>
                <w:ilvl w:val="0"/>
                <w:numId w:val="149"/>
              </w:numPr>
              <w:spacing w:before="0" w:after="0"/>
              <w:ind w:left="284" w:hanging="227"/>
              <w:rPr>
                <w:szCs w:val="22"/>
                <w:highlight w:val="green"/>
              </w:rPr>
            </w:pPr>
            <w:r w:rsidRPr="00C16D20">
              <w:rPr>
                <w:szCs w:val="22"/>
                <w:highlight w:val="green"/>
              </w:rPr>
              <w:t>«Выписка из лицевого счета администратора источников финансирования дефицита бюджета»</w:t>
            </w:r>
            <w:r w:rsidRPr="00456E85">
              <w:rPr>
                <w:szCs w:val="22"/>
                <w:highlight w:val="green"/>
              </w:rPr>
              <w:t xml:space="preserve"> </w:t>
            </w:r>
          </w:p>
          <w:p w14:paraId="447C1E45" w14:textId="77777777" w:rsidR="00AD1F54" w:rsidRPr="00264D5D" w:rsidRDefault="0036527B" w:rsidP="0036527B">
            <w:pPr>
              <w:pStyle w:val="GOSTTablenorm"/>
              <w:rPr>
                <w:szCs w:val="22"/>
              </w:rPr>
            </w:pPr>
            <w:r w:rsidRPr="00456E85">
              <w:rPr>
                <w:szCs w:val="22"/>
                <w:highlight w:val="green"/>
              </w:rPr>
              <w:t>в форматах, предусмотренных настоящим Альбомом ТФО</w:t>
            </w:r>
          </w:p>
        </w:tc>
      </w:tr>
      <w:tr w:rsidR="0036527B" w:rsidRPr="00264D5D" w14:paraId="479EAB5E" w14:textId="77777777" w:rsidTr="00A64441">
        <w:trPr>
          <w:trHeight w:val="1139"/>
        </w:trPr>
        <w:tc>
          <w:tcPr>
            <w:tcW w:w="1282" w:type="pct"/>
          </w:tcPr>
          <w:p w14:paraId="2D4FD437" w14:textId="77777777" w:rsidR="0036527B" w:rsidRPr="00264D5D" w:rsidRDefault="0036527B">
            <w:pPr>
              <w:pStyle w:val="GOSTTablenorm"/>
              <w:rPr>
                <w:szCs w:val="22"/>
              </w:rPr>
            </w:pPr>
            <w:r w:rsidRPr="00264D5D">
              <w:rPr>
                <w:szCs w:val="22"/>
              </w:rPr>
              <w:t>ТОФК (ПУР ЭБ)</w:t>
            </w:r>
          </w:p>
        </w:tc>
        <w:tc>
          <w:tcPr>
            <w:tcW w:w="1145" w:type="pct"/>
          </w:tcPr>
          <w:p w14:paraId="6A8CFD3F" w14:textId="77777777" w:rsidR="0036527B" w:rsidRPr="00264D5D" w:rsidRDefault="0036527B">
            <w:pPr>
              <w:pStyle w:val="GOSTTablenorm"/>
              <w:rPr>
                <w:szCs w:val="22"/>
              </w:rPr>
            </w:pPr>
            <w:r w:rsidRPr="008B26A8">
              <w:t>ПБС, ИПБС, АИФДБ (ПФХД)</w:t>
            </w:r>
          </w:p>
        </w:tc>
        <w:tc>
          <w:tcPr>
            <w:tcW w:w="2573" w:type="pct"/>
            <w:vMerge/>
          </w:tcPr>
          <w:p w14:paraId="3DDC4DBA" w14:textId="77777777" w:rsidR="0036527B" w:rsidRPr="00264D5D" w:rsidRDefault="0036527B">
            <w:pPr>
              <w:pStyle w:val="GOSTTablenorm"/>
              <w:rPr>
                <w:szCs w:val="22"/>
              </w:rPr>
            </w:pPr>
          </w:p>
        </w:tc>
      </w:tr>
      <w:tr w:rsidR="00AD1F54" w:rsidRPr="00264D5D" w14:paraId="5D3D20BC" w14:textId="77777777" w:rsidTr="00A5124A">
        <w:trPr>
          <w:trHeight w:val="310"/>
        </w:trPr>
        <w:tc>
          <w:tcPr>
            <w:tcW w:w="1282" w:type="pct"/>
          </w:tcPr>
          <w:p w14:paraId="2D2103F9" w14:textId="77777777" w:rsidR="00AD1F54" w:rsidRPr="00264D5D" w:rsidRDefault="00941227">
            <w:pPr>
              <w:pStyle w:val="GOSTTablenorm"/>
              <w:rPr>
                <w:szCs w:val="22"/>
              </w:rPr>
            </w:pPr>
            <w:r w:rsidRPr="00264D5D">
              <w:rPr>
                <w:szCs w:val="22"/>
              </w:rPr>
              <w:t>ПБС (ПФХД)</w:t>
            </w:r>
          </w:p>
        </w:tc>
        <w:tc>
          <w:tcPr>
            <w:tcW w:w="1145" w:type="pct"/>
          </w:tcPr>
          <w:p w14:paraId="66A24497" w14:textId="77777777" w:rsidR="00AD1F54" w:rsidRPr="00264D5D" w:rsidRDefault="00941227">
            <w:pPr>
              <w:pStyle w:val="GOSTTablenorm"/>
              <w:rPr>
                <w:szCs w:val="22"/>
              </w:rPr>
            </w:pPr>
            <w:r w:rsidRPr="00264D5D">
              <w:rPr>
                <w:szCs w:val="22"/>
              </w:rPr>
              <w:t>ТОФК (ПУР ЭБ)</w:t>
            </w:r>
          </w:p>
        </w:tc>
        <w:tc>
          <w:tcPr>
            <w:tcW w:w="2573" w:type="pct"/>
          </w:tcPr>
          <w:p w14:paraId="7A2E4C96" w14:textId="77777777" w:rsidR="00AD1F54" w:rsidRPr="00264D5D" w:rsidRDefault="00AD1F54">
            <w:pPr>
              <w:pStyle w:val="GOSTTablenorm"/>
              <w:rPr>
                <w:szCs w:val="22"/>
              </w:rPr>
            </w:pPr>
          </w:p>
        </w:tc>
      </w:tr>
      <w:tr w:rsidR="00A21614" w:rsidRPr="00264D5D" w14:paraId="2E127FAB" w14:textId="77777777" w:rsidTr="00A5124A">
        <w:trPr>
          <w:trHeight w:val="310"/>
        </w:trPr>
        <w:tc>
          <w:tcPr>
            <w:tcW w:w="1282" w:type="pct"/>
          </w:tcPr>
          <w:p w14:paraId="0D1DAB16" w14:textId="77777777" w:rsidR="00A21614" w:rsidRPr="00A87E1B" w:rsidRDefault="00A21614" w:rsidP="00D86A54">
            <w:pPr>
              <w:pStyle w:val="GOSTTablenorm"/>
              <w:rPr>
                <w:highlight w:val="green"/>
              </w:rPr>
            </w:pPr>
            <w:r w:rsidRPr="008B26A8">
              <w:rPr>
                <w:szCs w:val="22"/>
                <w:highlight w:val="green"/>
              </w:rPr>
              <w:t>АДБ</w:t>
            </w:r>
          </w:p>
        </w:tc>
        <w:tc>
          <w:tcPr>
            <w:tcW w:w="1145" w:type="pct"/>
          </w:tcPr>
          <w:p w14:paraId="463915DA" w14:textId="77777777" w:rsidR="00A21614" w:rsidRPr="00A87E1B" w:rsidRDefault="00A21614" w:rsidP="00A21614">
            <w:pPr>
              <w:pStyle w:val="GOSTTablenorm"/>
              <w:rPr>
                <w:highlight w:val="green"/>
                <w:lang w:eastAsia="en-US"/>
              </w:rPr>
            </w:pPr>
            <w:r>
              <w:rPr>
                <w:szCs w:val="22"/>
                <w:highlight w:val="green"/>
                <w:lang w:eastAsia="en-US"/>
              </w:rPr>
              <w:t>ТОФК (ПУД ЭБ)</w:t>
            </w:r>
          </w:p>
        </w:tc>
        <w:tc>
          <w:tcPr>
            <w:tcW w:w="2573" w:type="pct"/>
          </w:tcPr>
          <w:p w14:paraId="17082224" w14:textId="77777777" w:rsidR="00A21614" w:rsidRPr="002B3EF4" w:rsidRDefault="00A21614" w:rsidP="00A21614">
            <w:pPr>
              <w:pStyle w:val="GOSTTablenorm"/>
              <w:rPr>
                <w:szCs w:val="22"/>
                <w:highlight w:val="green"/>
              </w:rPr>
            </w:pPr>
          </w:p>
        </w:tc>
      </w:tr>
      <w:tr w:rsidR="00A21614" w:rsidRPr="00264D5D" w14:paraId="1A2E3034" w14:textId="77777777" w:rsidTr="00A5124A">
        <w:trPr>
          <w:trHeight w:val="310"/>
        </w:trPr>
        <w:tc>
          <w:tcPr>
            <w:tcW w:w="1282" w:type="pct"/>
          </w:tcPr>
          <w:p w14:paraId="16B88CA1" w14:textId="77777777" w:rsidR="00A21614" w:rsidRPr="00BA6892" w:rsidRDefault="00A21614" w:rsidP="00A21614">
            <w:pPr>
              <w:pStyle w:val="GOSTTablenorm"/>
              <w:rPr>
                <w:highlight w:val="green"/>
              </w:rPr>
            </w:pPr>
            <w:r>
              <w:rPr>
                <w:szCs w:val="22"/>
                <w:highlight w:val="green"/>
                <w:lang w:eastAsia="en-US"/>
              </w:rPr>
              <w:t>ТОФК (ПУД ЭБ)</w:t>
            </w:r>
          </w:p>
        </w:tc>
        <w:tc>
          <w:tcPr>
            <w:tcW w:w="1145" w:type="pct"/>
          </w:tcPr>
          <w:p w14:paraId="40F7B73B" w14:textId="77777777" w:rsidR="00A21614" w:rsidRPr="00BA6892" w:rsidRDefault="00D86A54" w:rsidP="00A21614">
            <w:pPr>
              <w:pStyle w:val="GOSTTablenorm"/>
              <w:rPr>
                <w:highlight w:val="green"/>
                <w:lang w:eastAsia="en-US"/>
              </w:rPr>
            </w:pPr>
            <w:r>
              <w:rPr>
                <w:szCs w:val="22"/>
                <w:highlight w:val="green"/>
              </w:rPr>
              <w:t>АДБ</w:t>
            </w:r>
          </w:p>
        </w:tc>
        <w:tc>
          <w:tcPr>
            <w:tcW w:w="2573" w:type="pct"/>
          </w:tcPr>
          <w:p w14:paraId="7A3D3BDB" w14:textId="77777777" w:rsidR="00A21614" w:rsidRPr="00BA6892" w:rsidRDefault="00A21614" w:rsidP="00A21614">
            <w:pPr>
              <w:pStyle w:val="GOSTTablenorm"/>
              <w:rPr>
                <w:szCs w:val="22"/>
                <w:highlight w:val="green"/>
              </w:rPr>
            </w:pPr>
            <w:r w:rsidRPr="00A14669">
              <w:rPr>
                <w:szCs w:val="22"/>
                <w:highlight w:val="green"/>
              </w:rPr>
              <w:t xml:space="preserve">Передается только в виде вложения в блоке «attachments» к документу «Выписка из лицевого счета администратора </w:t>
            </w:r>
            <w:r>
              <w:rPr>
                <w:szCs w:val="22"/>
                <w:highlight w:val="green"/>
              </w:rPr>
              <w:t xml:space="preserve">поступлений» </w:t>
            </w:r>
            <w:r w:rsidRPr="00A14669">
              <w:rPr>
                <w:szCs w:val="22"/>
                <w:highlight w:val="green"/>
              </w:rPr>
              <w:t>в форматах, предусмотренных настоящим Альбомом ТФО</w:t>
            </w:r>
          </w:p>
        </w:tc>
      </w:tr>
      <w:tr w:rsidR="00A21614" w:rsidRPr="00264D5D" w14:paraId="2BCA1693" w14:textId="77777777" w:rsidTr="00A5124A">
        <w:trPr>
          <w:trHeight w:val="310"/>
        </w:trPr>
        <w:tc>
          <w:tcPr>
            <w:tcW w:w="1282" w:type="pct"/>
          </w:tcPr>
          <w:p w14:paraId="78FC073D" w14:textId="77777777" w:rsidR="00A21614" w:rsidRPr="00A14669" w:rsidRDefault="00A21614" w:rsidP="00A21614">
            <w:pPr>
              <w:pStyle w:val="GOSTTablenorm"/>
              <w:rPr>
                <w:szCs w:val="22"/>
                <w:highlight w:val="green"/>
                <w:lang w:eastAsia="en-US"/>
              </w:rPr>
            </w:pPr>
            <w:r>
              <w:rPr>
                <w:szCs w:val="22"/>
                <w:highlight w:val="green"/>
              </w:rPr>
              <w:t>ТОФК (ПУД ЭБ)</w:t>
            </w:r>
          </w:p>
        </w:tc>
        <w:tc>
          <w:tcPr>
            <w:tcW w:w="1145" w:type="pct"/>
          </w:tcPr>
          <w:p w14:paraId="77AEB2E2" w14:textId="77777777" w:rsidR="00A21614" w:rsidRPr="00A14669" w:rsidRDefault="00A21614" w:rsidP="00A21614">
            <w:pPr>
              <w:pStyle w:val="GOSTTablenorm"/>
              <w:rPr>
                <w:szCs w:val="22"/>
                <w:highlight w:val="green"/>
                <w:lang w:eastAsia="en-US"/>
              </w:rPr>
            </w:pPr>
            <w:r w:rsidRPr="00E843EA">
              <w:rPr>
                <w:szCs w:val="22"/>
                <w:highlight w:val="green"/>
              </w:rPr>
              <w:t>ПИАО ЭБ</w:t>
            </w:r>
          </w:p>
        </w:tc>
        <w:tc>
          <w:tcPr>
            <w:tcW w:w="2573" w:type="pct"/>
          </w:tcPr>
          <w:p w14:paraId="04116E88" w14:textId="77777777" w:rsidR="00A21614" w:rsidRPr="00A14669" w:rsidRDefault="00A21614" w:rsidP="00A21614">
            <w:pPr>
              <w:pStyle w:val="GOSTTablenorm"/>
              <w:rPr>
                <w:szCs w:val="22"/>
                <w:highlight w:val="green"/>
              </w:rPr>
            </w:pPr>
            <w:r w:rsidRPr="006F4778">
              <w:rPr>
                <w:szCs w:val="22"/>
                <w:highlight w:val="green"/>
              </w:rPr>
              <w:t>Передается только в виде вложения в б</w:t>
            </w:r>
            <w:r>
              <w:rPr>
                <w:szCs w:val="22"/>
                <w:highlight w:val="green"/>
              </w:rPr>
              <w:t xml:space="preserve">локе «attachments» к документу </w:t>
            </w:r>
            <w:r w:rsidRPr="006F4778">
              <w:rPr>
                <w:szCs w:val="22"/>
                <w:highlight w:val="green"/>
              </w:rPr>
              <w:t xml:space="preserve">«Выписка из лицевого счета администратора </w:t>
            </w:r>
            <w:r>
              <w:rPr>
                <w:szCs w:val="22"/>
                <w:highlight w:val="green"/>
              </w:rPr>
              <w:t>поступлений</w:t>
            </w:r>
            <w:r w:rsidRPr="006F4778">
              <w:rPr>
                <w:szCs w:val="22"/>
                <w:highlight w:val="green"/>
              </w:rPr>
              <w:t>»</w:t>
            </w:r>
            <w:r w:rsidRPr="00A14669">
              <w:rPr>
                <w:szCs w:val="22"/>
                <w:highlight w:val="green"/>
              </w:rPr>
              <w:t xml:space="preserve"> в форматах, предусмотренных настоящим Альбомом ТФО</w:t>
            </w:r>
          </w:p>
        </w:tc>
      </w:tr>
    </w:tbl>
    <w:p w14:paraId="02D0BD9A" w14:textId="77777777" w:rsidR="00AD1F54" w:rsidRPr="00264D5D" w:rsidRDefault="00AD1F54" w:rsidP="008D797C">
      <w:pPr>
        <w:pStyle w:val="af5"/>
        <w:keepNext/>
        <w:keepLines/>
        <w:spacing w:before="240" w:after="240"/>
        <w:ind w:left="1418"/>
        <w:contextualSpacing/>
        <w:jc w:val="both"/>
        <w:outlineLvl w:val="2"/>
        <w:rPr>
          <w:rFonts w:cs="Arial"/>
          <w:b/>
          <w:iCs/>
          <w:vanish/>
          <w:sz w:val="28"/>
          <w:szCs w:val="28"/>
        </w:rPr>
      </w:pPr>
      <w:bookmarkStart w:id="4766" w:name="_Toc153556672"/>
      <w:bookmarkStart w:id="4767" w:name="_Toc153749551"/>
      <w:bookmarkStart w:id="4768" w:name="_Toc153750461"/>
      <w:bookmarkStart w:id="4769" w:name="_Toc153751784"/>
      <w:bookmarkStart w:id="4770" w:name="_Toc153822686"/>
      <w:bookmarkStart w:id="4771" w:name="_Toc153823596"/>
      <w:bookmarkStart w:id="4772" w:name="_Toc153824919"/>
      <w:bookmarkStart w:id="4773" w:name="_Toc153825213"/>
      <w:bookmarkStart w:id="4774" w:name="_Toc154603342"/>
      <w:bookmarkStart w:id="4775" w:name="_Toc154606473"/>
      <w:bookmarkStart w:id="4776" w:name="_Toc154608310"/>
      <w:bookmarkStart w:id="4777" w:name="_Toc154608834"/>
      <w:bookmarkStart w:id="4778" w:name="_Toc154609794"/>
      <w:bookmarkStart w:id="4779" w:name="_Toc154669047"/>
      <w:bookmarkStart w:id="4780" w:name="_Toc154675739"/>
      <w:bookmarkStart w:id="4781" w:name="_Toc154676699"/>
      <w:bookmarkStart w:id="4782" w:name="_Toc154678095"/>
      <w:bookmarkStart w:id="4783" w:name="_Toc183635002"/>
      <w:bookmarkStart w:id="4784" w:name="_Toc183635873"/>
      <w:bookmarkStart w:id="4785" w:name="_Toc183637140"/>
      <w:bookmarkStart w:id="4786" w:name="_Toc183638011"/>
      <w:bookmarkStart w:id="4787" w:name="_Toc183688811"/>
      <w:bookmarkStart w:id="4788" w:name="_Toc183710403"/>
      <w:bookmarkStart w:id="4789" w:name="_Toc183711276"/>
      <w:bookmarkStart w:id="4790" w:name="_Toc183868273"/>
      <w:bookmarkStart w:id="4791" w:name="_Toc183869160"/>
      <w:bookmarkStart w:id="4792" w:name="_Toc183871007"/>
      <w:bookmarkStart w:id="4793" w:name="_Toc183871904"/>
      <w:bookmarkStart w:id="4794" w:name="_Toc184233541"/>
      <w:bookmarkStart w:id="4795" w:name="_Toc184293911"/>
      <w:bookmarkStart w:id="4796" w:name="_Toc184294835"/>
      <w:bookmarkStart w:id="4797" w:name="_Toc184296134"/>
      <w:bookmarkStart w:id="4798" w:name="_Toc184297062"/>
      <w:bookmarkStart w:id="4799" w:name="_Toc184299071"/>
      <w:bookmarkStart w:id="4800" w:name="_Toc184299999"/>
      <w:bookmarkStart w:id="4801" w:name="_Toc184641984"/>
      <w:bookmarkStart w:id="4802" w:name="_Toc184642914"/>
      <w:bookmarkStart w:id="4803" w:name="_Toc184764797"/>
      <w:bookmarkStart w:id="4804" w:name="_Toc184765727"/>
      <w:bookmarkStart w:id="4805" w:name="_Toc184766657"/>
      <w:bookmarkStart w:id="4806" w:name="_Toc184768010"/>
      <w:bookmarkStart w:id="4807" w:name="_Toc185183911"/>
      <w:bookmarkStart w:id="4808" w:name="_Toc185883172"/>
      <w:bookmarkStart w:id="4809" w:name="_Toc185883641"/>
      <w:bookmarkStart w:id="4810" w:name="_Toc185884110"/>
      <w:bookmarkStart w:id="4811" w:name="_Toc215570087"/>
      <w:bookmarkStart w:id="4812" w:name="_Toc216182371"/>
      <w:bookmarkStart w:id="4813" w:name="_Toc216183233"/>
      <w:bookmarkStart w:id="4814" w:name="_Toc216184097"/>
      <w:bookmarkStart w:id="4815" w:name="_Toc216184961"/>
      <w:bookmarkStart w:id="4816" w:name="_Toc216203461"/>
      <w:bookmarkStart w:id="4817" w:name="_Toc216204340"/>
      <w:bookmarkStart w:id="4818" w:name="_Toc216431069"/>
      <w:bookmarkStart w:id="4819" w:name="_Toc216443910"/>
      <w:bookmarkStart w:id="4820" w:name="_Toc216622809"/>
      <w:bookmarkStart w:id="4821" w:name="_Toc216623708"/>
      <w:bookmarkStart w:id="4822" w:name="_Toc216624607"/>
      <w:bookmarkStart w:id="4823" w:name="_Toc216625913"/>
      <w:bookmarkStart w:id="4824" w:name="_Toc216627817"/>
      <w:bookmarkStart w:id="4825" w:name="_Toc216628301"/>
      <w:bookmarkStart w:id="4826" w:name="_Toc216629186"/>
      <w:bookmarkStart w:id="4827" w:name="_Toc216792455"/>
      <w:bookmarkStart w:id="4828" w:name="_Toc508712765"/>
      <w:bookmarkStart w:id="4829" w:name="_Ref524521659"/>
      <w:bookmarkStart w:id="4830" w:name="_Toc18509187"/>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p>
    <w:p w14:paraId="1D067944" w14:textId="77777777" w:rsidR="00AD1F54" w:rsidRPr="009D7B24" w:rsidRDefault="00941227">
      <w:pPr>
        <w:pStyle w:val="31"/>
        <w:rPr>
          <w:highlight w:val="green"/>
        </w:rPr>
      </w:pPr>
      <w:bookmarkStart w:id="4831" w:name="_Toc143690585"/>
      <w:bookmarkStart w:id="4832" w:name="_Toc219309891"/>
      <w:r w:rsidRPr="009D7B24">
        <w:rPr>
          <w:highlight w:val="green"/>
        </w:rPr>
        <w:t xml:space="preserve">Описание </w:t>
      </w:r>
      <w:bookmarkEnd w:id="4828"/>
      <w:bookmarkEnd w:id="4829"/>
      <w:bookmarkEnd w:id="4830"/>
      <w:r w:rsidRPr="009D7B24">
        <w:rPr>
          <w:highlight w:val="green"/>
        </w:rPr>
        <w:t>комплексного типа «MSC_AppForeignCurr»</w:t>
      </w:r>
      <w:bookmarkEnd w:id="4831"/>
      <w:bookmarkEnd w:id="4832"/>
    </w:p>
    <w:bookmarkStart w:id="4833" w:name="_Ref506220930"/>
    <w:p w14:paraId="1C66E1A7" w14:textId="769114D8" w:rsidR="00AD1F54" w:rsidRPr="009D7B24" w:rsidRDefault="00941227">
      <w:pPr>
        <w:pStyle w:val="GOSTNameTable"/>
        <w:numPr>
          <w:ilvl w:val="0"/>
          <w:numId w:val="2"/>
        </w:numPr>
        <w:spacing w:before="240" w:after="120"/>
        <w:rPr>
          <w:highlight w:val="green"/>
        </w:rPr>
      </w:pPr>
      <w:r w:rsidRPr="009D7B24">
        <w:rPr>
          <w:highlight w:val="green"/>
        </w:rPr>
        <w:fldChar w:fldCharType="begin"/>
      </w:r>
      <w:r w:rsidRPr="009D7B24">
        <w:rPr>
          <w:highlight w:val="green"/>
        </w:rPr>
        <w:instrText xml:space="preserve"> SEQ Таблица \* ARABIC </w:instrText>
      </w:r>
      <w:r w:rsidRPr="009D7B24">
        <w:rPr>
          <w:highlight w:val="green"/>
        </w:rPr>
        <w:fldChar w:fldCharType="separate"/>
      </w:r>
      <w:bookmarkStart w:id="4834" w:name="_Ref506220937"/>
      <w:bookmarkStart w:id="4835" w:name="_Toc18509477"/>
      <w:bookmarkStart w:id="4836" w:name="_Toc219309417"/>
      <w:r w:rsidR="008D797C">
        <w:rPr>
          <w:noProof/>
          <w:highlight w:val="green"/>
        </w:rPr>
        <w:t>387</w:t>
      </w:r>
      <w:bookmarkEnd w:id="4834"/>
      <w:r w:rsidRPr="009D7B24">
        <w:rPr>
          <w:highlight w:val="green"/>
        </w:rPr>
        <w:fldChar w:fldCharType="end"/>
      </w:r>
      <w:r w:rsidRPr="009D7B24">
        <w:rPr>
          <w:highlight w:val="green"/>
        </w:rPr>
        <w:t xml:space="preserve"> – Описание комплексного типа «MSC_AppForeignCurr»</w:t>
      </w:r>
      <w:bookmarkEnd w:id="4833"/>
      <w:bookmarkEnd w:id="4835"/>
      <w:bookmarkEnd w:id="4836"/>
    </w:p>
    <w:tbl>
      <w:tblPr>
        <w:tblStyle w:val="GOSTTable"/>
        <w:tblW w:w="5000" w:type="pct"/>
        <w:tblLayout w:type="fixed"/>
        <w:tblLook w:val="07E0" w:firstRow="1" w:lastRow="1" w:firstColumn="1" w:lastColumn="1" w:noHBand="1" w:noVBand="1"/>
      </w:tblPr>
      <w:tblGrid>
        <w:gridCol w:w="1707"/>
        <w:gridCol w:w="1853"/>
        <w:gridCol w:w="714"/>
        <w:gridCol w:w="1121"/>
        <w:gridCol w:w="565"/>
        <w:gridCol w:w="3690"/>
      </w:tblGrid>
      <w:tr w:rsidR="00AD1F54" w:rsidRPr="00264D5D" w14:paraId="1C32F3E9" w14:textId="77777777" w:rsidTr="00AD1F54">
        <w:trPr>
          <w:cnfStyle w:val="100000000000" w:firstRow="1" w:lastRow="0" w:firstColumn="0" w:lastColumn="0" w:oddVBand="0" w:evenVBand="0" w:oddHBand="0" w:evenHBand="0" w:firstRowFirstColumn="0" w:firstRowLastColumn="0" w:lastRowFirstColumn="0" w:lastRowLastColumn="0"/>
          <w:trHeight w:val="283"/>
          <w:tblHeader/>
        </w:trPr>
        <w:tc>
          <w:tcPr>
            <w:tcW w:w="884" w:type="pct"/>
          </w:tcPr>
          <w:p w14:paraId="31EB73C6" w14:textId="77777777" w:rsidR="00AD1F54" w:rsidRPr="00264D5D" w:rsidRDefault="00941227">
            <w:pPr>
              <w:pStyle w:val="GOSTTableHead"/>
              <w:ind w:left="57" w:right="57"/>
              <w:rPr>
                <w:szCs w:val="22"/>
              </w:rPr>
            </w:pPr>
            <w:r w:rsidRPr="00264D5D">
              <w:rPr>
                <w:szCs w:val="22"/>
              </w:rPr>
              <w:t>Наименование элемента</w:t>
            </w:r>
          </w:p>
        </w:tc>
        <w:tc>
          <w:tcPr>
            <w:tcW w:w="960" w:type="pct"/>
          </w:tcPr>
          <w:p w14:paraId="30C53DEF" w14:textId="77777777" w:rsidR="00AD1F54" w:rsidRPr="00264D5D" w:rsidRDefault="00941227">
            <w:pPr>
              <w:pStyle w:val="GOSTTableHead"/>
              <w:ind w:left="57" w:right="57"/>
              <w:rPr>
                <w:szCs w:val="22"/>
              </w:rPr>
            </w:pPr>
            <w:r w:rsidRPr="00264D5D">
              <w:rPr>
                <w:szCs w:val="22"/>
              </w:rPr>
              <w:t>Сокращенное наименование (код) элемента</w:t>
            </w:r>
          </w:p>
        </w:tc>
        <w:tc>
          <w:tcPr>
            <w:tcW w:w="370" w:type="pct"/>
          </w:tcPr>
          <w:p w14:paraId="19E5CCD9" w14:textId="77777777" w:rsidR="00AD1F54" w:rsidRPr="00264D5D" w:rsidRDefault="00941227">
            <w:pPr>
              <w:pStyle w:val="GOSTTableHead"/>
              <w:ind w:left="57" w:right="57"/>
              <w:rPr>
                <w:szCs w:val="22"/>
              </w:rPr>
            </w:pPr>
            <w:r w:rsidRPr="00264D5D">
              <w:rPr>
                <w:szCs w:val="22"/>
              </w:rPr>
              <w:t>Тип</w:t>
            </w:r>
          </w:p>
        </w:tc>
        <w:tc>
          <w:tcPr>
            <w:tcW w:w="581" w:type="pct"/>
          </w:tcPr>
          <w:p w14:paraId="1FF05E33" w14:textId="77777777" w:rsidR="00AD1F54" w:rsidRPr="00264D5D" w:rsidRDefault="00941227">
            <w:pPr>
              <w:pStyle w:val="GOSTTableHead"/>
              <w:ind w:left="57" w:right="57"/>
              <w:rPr>
                <w:szCs w:val="22"/>
              </w:rPr>
            </w:pPr>
            <w:r w:rsidRPr="00264D5D">
              <w:rPr>
                <w:szCs w:val="22"/>
              </w:rPr>
              <w:t>Формат элемента</w:t>
            </w:r>
          </w:p>
        </w:tc>
        <w:tc>
          <w:tcPr>
            <w:tcW w:w="293" w:type="pct"/>
          </w:tcPr>
          <w:p w14:paraId="635A9B4C" w14:textId="77777777" w:rsidR="00AD1F54" w:rsidRPr="00264D5D" w:rsidRDefault="00941227">
            <w:pPr>
              <w:pStyle w:val="GOSTTableHead"/>
              <w:ind w:left="57" w:right="57"/>
              <w:rPr>
                <w:szCs w:val="22"/>
              </w:rPr>
            </w:pPr>
            <w:r w:rsidRPr="00264D5D">
              <w:rPr>
                <w:szCs w:val="22"/>
              </w:rPr>
              <w:t>Обязательность</w:t>
            </w:r>
          </w:p>
        </w:tc>
        <w:tc>
          <w:tcPr>
            <w:tcW w:w="1912" w:type="pct"/>
          </w:tcPr>
          <w:p w14:paraId="2604AB78" w14:textId="77777777" w:rsidR="00AD1F54" w:rsidRPr="00264D5D" w:rsidRDefault="00941227">
            <w:pPr>
              <w:pStyle w:val="GOSTTableHead"/>
              <w:ind w:left="57" w:right="57"/>
              <w:rPr>
                <w:szCs w:val="22"/>
              </w:rPr>
            </w:pPr>
            <w:r w:rsidRPr="00264D5D">
              <w:rPr>
                <w:szCs w:val="22"/>
              </w:rPr>
              <w:t>Дополнительная информация</w:t>
            </w:r>
          </w:p>
        </w:tc>
      </w:tr>
      <w:tr w:rsidR="00AD1F54" w:rsidRPr="00264D5D" w14:paraId="549EC10C" w14:textId="77777777" w:rsidTr="00AD1F54">
        <w:trPr>
          <w:trHeight w:val="283"/>
        </w:trPr>
        <w:tc>
          <w:tcPr>
            <w:tcW w:w="884" w:type="pct"/>
          </w:tcPr>
          <w:p w14:paraId="69C3F8E6" w14:textId="77777777" w:rsidR="00AD1F54" w:rsidRPr="00264D5D" w:rsidRDefault="00941227">
            <w:pPr>
              <w:pStyle w:val="GOSTTablenorm"/>
              <w:rPr>
                <w:szCs w:val="22"/>
              </w:rPr>
            </w:pPr>
            <w:r w:rsidRPr="00264D5D">
              <w:rPr>
                <w:szCs w:val="22"/>
              </w:rPr>
              <w:t>Тип документа</w:t>
            </w:r>
          </w:p>
        </w:tc>
        <w:tc>
          <w:tcPr>
            <w:tcW w:w="960" w:type="pct"/>
          </w:tcPr>
          <w:p w14:paraId="1E3085CB" w14:textId="77777777" w:rsidR="00AD1F54" w:rsidRPr="00264D5D" w:rsidRDefault="00941227">
            <w:pPr>
              <w:pStyle w:val="GOSTTablenorm"/>
              <w:rPr>
                <w:szCs w:val="22"/>
              </w:rPr>
            </w:pPr>
            <w:r w:rsidRPr="00264D5D">
              <w:rPr>
                <w:szCs w:val="22"/>
                <w:lang w:val="en-US"/>
              </w:rPr>
              <w:t>metaType</w:t>
            </w:r>
          </w:p>
        </w:tc>
        <w:tc>
          <w:tcPr>
            <w:tcW w:w="370" w:type="pct"/>
          </w:tcPr>
          <w:p w14:paraId="46898859" w14:textId="77777777" w:rsidR="00AD1F54" w:rsidRPr="00264D5D" w:rsidRDefault="00941227">
            <w:pPr>
              <w:pStyle w:val="GOSTTablenorm"/>
              <w:rPr>
                <w:szCs w:val="22"/>
              </w:rPr>
            </w:pPr>
            <w:r w:rsidRPr="00264D5D">
              <w:rPr>
                <w:szCs w:val="22"/>
              </w:rPr>
              <w:t>А</w:t>
            </w:r>
          </w:p>
        </w:tc>
        <w:tc>
          <w:tcPr>
            <w:tcW w:w="581" w:type="pct"/>
          </w:tcPr>
          <w:p w14:paraId="2540A2BD" w14:textId="77777777" w:rsidR="00AD1F54" w:rsidRPr="00264D5D" w:rsidRDefault="00941227">
            <w:pPr>
              <w:pStyle w:val="GOSTTablenorm"/>
              <w:rPr>
                <w:szCs w:val="22"/>
              </w:rPr>
            </w:pPr>
            <w:r w:rsidRPr="00264D5D">
              <w:rPr>
                <w:szCs w:val="22"/>
                <w:lang w:val="en-US"/>
              </w:rPr>
              <w:t>-</w:t>
            </w:r>
          </w:p>
        </w:tc>
        <w:tc>
          <w:tcPr>
            <w:tcW w:w="293" w:type="pct"/>
          </w:tcPr>
          <w:p w14:paraId="3BAFEF6C" w14:textId="77777777" w:rsidR="00AD1F54" w:rsidRPr="00264D5D" w:rsidRDefault="00941227">
            <w:pPr>
              <w:pStyle w:val="GOSTTablenorm"/>
              <w:rPr>
                <w:szCs w:val="22"/>
              </w:rPr>
            </w:pPr>
            <w:r w:rsidRPr="00264D5D">
              <w:rPr>
                <w:szCs w:val="22"/>
              </w:rPr>
              <w:t>Н</w:t>
            </w:r>
          </w:p>
        </w:tc>
        <w:tc>
          <w:tcPr>
            <w:tcW w:w="1912" w:type="pct"/>
          </w:tcPr>
          <w:p w14:paraId="6780D601" w14:textId="77777777" w:rsidR="00AD1F54" w:rsidRPr="00264D5D" w:rsidRDefault="00941227">
            <w:pPr>
              <w:pStyle w:val="GOSTTablenorm"/>
              <w:rPr>
                <w:szCs w:val="22"/>
              </w:rPr>
            </w:pPr>
            <w:r w:rsidRPr="00264D5D">
              <w:rPr>
                <w:szCs w:val="22"/>
              </w:rPr>
              <w:t>Служебный атрибут, обозначающий тип используемого документа. Указывается значение «</w:t>
            </w:r>
            <w:r w:rsidRPr="00264D5D">
              <w:rPr>
                <w:szCs w:val="22"/>
                <w:lang w:val="en-US"/>
              </w:rPr>
              <w:t>formular</w:t>
            </w:r>
            <w:r w:rsidRPr="00264D5D">
              <w:rPr>
                <w:szCs w:val="22"/>
              </w:rPr>
              <w:t>»</w:t>
            </w:r>
          </w:p>
        </w:tc>
      </w:tr>
      <w:tr w:rsidR="00AD1F54" w:rsidRPr="00264D5D" w14:paraId="59FB7EC0" w14:textId="77777777" w:rsidTr="00AD1F54">
        <w:trPr>
          <w:trHeight w:val="283"/>
        </w:trPr>
        <w:tc>
          <w:tcPr>
            <w:tcW w:w="884" w:type="pct"/>
          </w:tcPr>
          <w:p w14:paraId="6960DDA5" w14:textId="77777777" w:rsidR="00AD1F54" w:rsidRPr="00264D5D" w:rsidRDefault="00941227">
            <w:pPr>
              <w:pStyle w:val="GOSTTablenorm"/>
              <w:rPr>
                <w:szCs w:val="22"/>
              </w:rPr>
            </w:pPr>
            <w:r w:rsidRPr="00264D5D">
              <w:rPr>
                <w:szCs w:val="22"/>
                <w:lang w:eastAsia="en-US"/>
              </w:rPr>
              <w:t>Версия структуры формуляра</w:t>
            </w:r>
          </w:p>
        </w:tc>
        <w:tc>
          <w:tcPr>
            <w:tcW w:w="960" w:type="pct"/>
          </w:tcPr>
          <w:p w14:paraId="4423FF8C" w14:textId="77777777" w:rsidR="00AD1F54" w:rsidRPr="00264D5D" w:rsidRDefault="00941227">
            <w:pPr>
              <w:pStyle w:val="GOSTTablenorm"/>
              <w:rPr>
                <w:szCs w:val="22"/>
              </w:rPr>
            </w:pPr>
            <w:r w:rsidRPr="00264D5D">
              <w:rPr>
                <w:szCs w:val="22"/>
                <w:lang w:eastAsia="en-US"/>
              </w:rPr>
              <w:t>versionID</w:t>
            </w:r>
          </w:p>
        </w:tc>
        <w:tc>
          <w:tcPr>
            <w:tcW w:w="370" w:type="pct"/>
          </w:tcPr>
          <w:p w14:paraId="340F7A52" w14:textId="77777777" w:rsidR="00AD1F54" w:rsidRPr="00264D5D" w:rsidRDefault="00941227">
            <w:pPr>
              <w:pStyle w:val="GOSTTablenorm"/>
              <w:rPr>
                <w:szCs w:val="22"/>
              </w:rPr>
            </w:pPr>
            <w:r w:rsidRPr="00264D5D">
              <w:rPr>
                <w:szCs w:val="22"/>
                <w:lang w:eastAsia="en-US"/>
              </w:rPr>
              <w:t>А</w:t>
            </w:r>
          </w:p>
        </w:tc>
        <w:tc>
          <w:tcPr>
            <w:tcW w:w="581" w:type="pct"/>
          </w:tcPr>
          <w:p w14:paraId="50D47B2C" w14:textId="77777777" w:rsidR="00AD1F54" w:rsidRPr="00264D5D" w:rsidRDefault="00941227">
            <w:pPr>
              <w:pStyle w:val="GOSTTablenorm"/>
              <w:rPr>
                <w:szCs w:val="22"/>
                <w:lang w:val="en-US"/>
              </w:rPr>
            </w:pPr>
            <w:r w:rsidRPr="00264D5D">
              <w:rPr>
                <w:szCs w:val="22"/>
                <w:lang w:eastAsia="en-US"/>
              </w:rPr>
              <w:t>-</w:t>
            </w:r>
          </w:p>
        </w:tc>
        <w:tc>
          <w:tcPr>
            <w:tcW w:w="293" w:type="pct"/>
          </w:tcPr>
          <w:p w14:paraId="02862998" w14:textId="77777777" w:rsidR="00AD1F54" w:rsidRPr="00264D5D" w:rsidRDefault="00941227">
            <w:pPr>
              <w:pStyle w:val="GOSTTablenorm"/>
              <w:rPr>
                <w:szCs w:val="22"/>
              </w:rPr>
            </w:pPr>
            <w:r w:rsidRPr="00264D5D">
              <w:rPr>
                <w:szCs w:val="22"/>
                <w:lang w:eastAsia="en-US"/>
              </w:rPr>
              <w:t>О</w:t>
            </w:r>
          </w:p>
        </w:tc>
        <w:tc>
          <w:tcPr>
            <w:tcW w:w="1912" w:type="pct"/>
          </w:tcPr>
          <w:p w14:paraId="6FF66131" w14:textId="0962D85B" w:rsidR="00AD1F54" w:rsidRPr="00264D5D" w:rsidRDefault="00941227">
            <w:pPr>
              <w:pStyle w:val="GOSTTablenorm"/>
              <w:rPr>
                <w:szCs w:val="22"/>
              </w:rPr>
            </w:pPr>
            <w:r w:rsidRPr="00264D5D">
              <w:rPr>
                <w:szCs w:val="22"/>
                <w:lang w:eastAsia="en-US"/>
              </w:rPr>
              <w:t xml:space="preserve">Указывается значение версии, соответствующее таблице </w:t>
            </w:r>
            <w:r w:rsidRPr="00264D5D">
              <w:rPr>
                <w:szCs w:val="22"/>
              </w:rPr>
              <w:fldChar w:fldCharType="begin"/>
            </w:r>
            <w:r w:rsidRPr="00264D5D">
              <w:rPr>
                <w:szCs w:val="22"/>
                <w:lang w:eastAsia="en-US"/>
              </w:rPr>
              <w:instrText xml:space="preserve"> REF _Ref19881821 \h </w:instrText>
            </w:r>
            <w:r w:rsidRPr="00264D5D">
              <w:rPr>
                <w:szCs w:val="22"/>
              </w:rPr>
              <w:instrText xml:space="preserve"> \* MERGEFORMAT </w:instrText>
            </w:r>
            <w:r w:rsidRPr="00264D5D">
              <w:rPr>
                <w:szCs w:val="22"/>
              </w:rPr>
            </w:r>
            <w:r w:rsidRPr="00264D5D">
              <w:rPr>
                <w:szCs w:val="22"/>
              </w:rPr>
              <w:fldChar w:fldCharType="separate"/>
            </w:r>
            <w:r w:rsidR="008D797C" w:rsidRPr="008D797C">
              <w:rPr>
                <w:rFonts w:eastAsia="Calibri"/>
                <w:szCs w:val="22"/>
              </w:rPr>
              <w:t>2</w:t>
            </w:r>
            <w:r w:rsidRPr="00264D5D">
              <w:rPr>
                <w:szCs w:val="22"/>
              </w:rPr>
              <w:fldChar w:fldCharType="end"/>
            </w:r>
          </w:p>
        </w:tc>
      </w:tr>
      <w:tr w:rsidR="00AD1F54" w:rsidRPr="00264D5D" w14:paraId="490E7BA7" w14:textId="77777777" w:rsidTr="00AD1F54">
        <w:trPr>
          <w:trHeight w:val="283"/>
        </w:trPr>
        <w:tc>
          <w:tcPr>
            <w:tcW w:w="884" w:type="pct"/>
          </w:tcPr>
          <w:p w14:paraId="203A7686" w14:textId="77777777" w:rsidR="00AD1F54" w:rsidRPr="00264D5D" w:rsidRDefault="00941227">
            <w:pPr>
              <w:pStyle w:val="GOSTTablenorm"/>
              <w:rPr>
                <w:szCs w:val="22"/>
              </w:rPr>
            </w:pPr>
            <w:r w:rsidRPr="00264D5D">
              <w:rPr>
                <w:szCs w:val="22"/>
              </w:rPr>
              <w:t>Дата заявления</w:t>
            </w:r>
          </w:p>
          <w:p w14:paraId="7DE1C64C" w14:textId="77777777" w:rsidR="00AD1F54" w:rsidRPr="00264D5D" w:rsidRDefault="00AD1F54">
            <w:pPr>
              <w:pStyle w:val="GOSTTablenorm"/>
              <w:rPr>
                <w:szCs w:val="22"/>
              </w:rPr>
            </w:pPr>
          </w:p>
        </w:tc>
        <w:tc>
          <w:tcPr>
            <w:tcW w:w="960" w:type="pct"/>
          </w:tcPr>
          <w:p w14:paraId="598146B9" w14:textId="77777777" w:rsidR="00AD1F54" w:rsidRPr="00264D5D" w:rsidRDefault="00941227">
            <w:pPr>
              <w:pStyle w:val="GOSTTablenorm"/>
              <w:rPr>
                <w:szCs w:val="22"/>
              </w:rPr>
            </w:pPr>
            <w:r w:rsidRPr="00264D5D">
              <w:rPr>
                <w:szCs w:val="22"/>
              </w:rPr>
              <w:t>ZR_DeclarationDate</w:t>
            </w:r>
          </w:p>
        </w:tc>
        <w:tc>
          <w:tcPr>
            <w:tcW w:w="370" w:type="pct"/>
          </w:tcPr>
          <w:p w14:paraId="4F82FD73" w14:textId="77777777" w:rsidR="00AD1F54" w:rsidRPr="00264D5D" w:rsidRDefault="00941227">
            <w:pPr>
              <w:pStyle w:val="GOSTTablenorm"/>
              <w:rPr>
                <w:szCs w:val="22"/>
              </w:rPr>
            </w:pPr>
            <w:r w:rsidRPr="00264D5D">
              <w:rPr>
                <w:szCs w:val="22"/>
              </w:rPr>
              <w:t>П</w:t>
            </w:r>
          </w:p>
        </w:tc>
        <w:tc>
          <w:tcPr>
            <w:tcW w:w="581" w:type="pct"/>
          </w:tcPr>
          <w:p w14:paraId="6F42013C" w14:textId="77777777" w:rsidR="00AD1F54" w:rsidRPr="00264D5D" w:rsidRDefault="00941227">
            <w:pPr>
              <w:pStyle w:val="GOSTTablenorm"/>
              <w:rPr>
                <w:szCs w:val="22"/>
                <w:lang w:val="en-US"/>
              </w:rPr>
            </w:pPr>
            <w:r w:rsidRPr="00264D5D">
              <w:rPr>
                <w:szCs w:val="22"/>
                <w:lang w:val="en-US"/>
              </w:rPr>
              <w:t>Date</w:t>
            </w:r>
          </w:p>
        </w:tc>
        <w:tc>
          <w:tcPr>
            <w:tcW w:w="293" w:type="pct"/>
          </w:tcPr>
          <w:p w14:paraId="5236608B" w14:textId="77777777" w:rsidR="00AD1F54" w:rsidRPr="00264D5D" w:rsidRDefault="00941227">
            <w:pPr>
              <w:pStyle w:val="GOSTTablenorm"/>
              <w:rPr>
                <w:szCs w:val="22"/>
              </w:rPr>
            </w:pPr>
            <w:r w:rsidRPr="00264D5D">
              <w:rPr>
                <w:szCs w:val="22"/>
              </w:rPr>
              <w:t>О</w:t>
            </w:r>
          </w:p>
        </w:tc>
        <w:tc>
          <w:tcPr>
            <w:tcW w:w="1912" w:type="pct"/>
          </w:tcPr>
          <w:p w14:paraId="0B22972E" w14:textId="77777777" w:rsidR="00AD1F54" w:rsidRPr="00264D5D" w:rsidRDefault="00A5124A">
            <w:pPr>
              <w:pStyle w:val="GOSTTablenorm"/>
              <w:rPr>
                <w:szCs w:val="22"/>
              </w:rPr>
            </w:pPr>
            <w:r w:rsidRPr="00264D5D">
              <w:rPr>
                <w:szCs w:val="22"/>
              </w:rPr>
              <w:t>Указывается дата заявления</w:t>
            </w:r>
          </w:p>
        </w:tc>
      </w:tr>
      <w:tr w:rsidR="00AD1F54" w:rsidRPr="00264D5D" w14:paraId="365D383F" w14:textId="77777777" w:rsidTr="00AD1F54">
        <w:trPr>
          <w:trHeight w:val="283"/>
        </w:trPr>
        <w:tc>
          <w:tcPr>
            <w:tcW w:w="884" w:type="pct"/>
          </w:tcPr>
          <w:p w14:paraId="4BAA9B7F" w14:textId="77777777" w:rsidR="00AD1F54" w:rsidRPr="00264D5D" w:rsidRDefault="00941227">
            <w:pPr>
              <w:pStyle w:val="GOSTTablenorm"/>
              <w:rPr>
                <w:szCs w:val="22"/>
              </w:rPr>
            </w:pPr>
            <w:r w:rsidRPr="00264D5D">
              <w:rPr>
                <w:szCs w:val="22"/>
              </w:rPr>
              <w:t>Номер заявления</w:t>
            </w:r>
          </w:p>
          <w:p w14:paraId="6B1C2B34" w14:textId="77777777" w:rsidR="00AD1F54" w:rsidRPr="00264D5D" w:rsidRDefault="00AD1F54">
            <w:pPr>
              <w:pStyle w:val="GOSTTablenorm"/>
              <w:rPr>
                <w:szCs w:val="22"/>
              </w:rPr>
            </w:pPr>
          </w:p>
        </w:tc>
        <w:tc>
          <w:tcPr>
            <w:tcW w:w="960" w:type="pct"/>
          </w:tcPr>
          <w:p w14:paraId="32B26274" w14:textId="77777777" w:rsidR="00AD1F54" w:rsidRPr="00264D5D" w:rsidRDefault="00941227">
            <w:pPr>
              <w:pStyle w:val="GOSTTablenorm"/>
              <w:rPr>
                <w:szCs w:val="22"/>
              </w:rPr>
            </w:pPr>
            <w:r w:rsidRPr="00264D5D">
              <w:rPr>
                <w:szCs w:val="22"/>
              </w:rPr>
              <w:t>ZR_DeclarationNo</w:t>
            </w:r>
          </w:p>
        </w:tc>
        <w:tc>
          <w:tcPr>
            <w:tcW w:w="370" w:type="pct"/>
          </w:tcPr>
          <w:p w14:paraId="0077B9A9" w14:textId="77777777" w:rsidR="00AD1F54" w:rsidRPr="00264D5D" w:rsidRDefault="00941227">
            <w:pPr>
              <w:pStyle w:val="GOSTTablenorm"/>
              <w:rPr>
                <w:szCs w:val="22"/>
              </w:rPr>
            </w:pPr>
            <w:r w:rsidRPr="00264D5D">
              <w:rPr>
                <w:szCs w:val="22"/>
              </w:rPr>
              <w:t>П</w:t>
            </w:r>
          </w:p>
        </w:tc>
        <w:tc>
          <w:tcPr>
            <w:tcW w:w="581" w:type="pct"/>
          </w:tcPr>
          <w:p w14:paraId="0C1A40BE" w14:textId="77777777" w:rsidR="00AD1F54" w:rsidRPr="00264D5D" w:rsidRDefault="00941227">
            <w:pPr>
              <w:pStyle w:val="GOSTTablenorm"/>
              <w:rPr>
                <w:szCs w:val="22"/>
              </w:rPr>
            </w:pPr>
            <w:r w:rsidRPr="00264D5D">
              <w:rPr>
                <w:szCs w:val="22"/>
              </w:rPr>
              <w:t>Т(1-9)</w:t>
            </w:r>
          </w:p>
        </w:tc>
        <w:tc>
          <w:tcPr>
            <w:tcW w:w="293" w:type="pct"/>
          </w:tcPr>
          <w:p w14:paraId="66328347" w14:textId="77777777" w:rsidR="00AD1F54" w:rsidRPr="00264D5D" w:rsidRDefault="00941227">
            <w:pPr>
              <w:pStyle w:val="GOSTTablenorm"/>
              <w:rPr>
                <w:szCs w:val="22"/>
              </w:rPr>
            </w:pPr>
            <w:r w:rsidRPr="00264D5D">
              <w:rPr>
                <w:szCs w:val="22"/>
              </w:rPr>
              <w:t>О</w:t>
            </w:r>
          </w:p>
        </w:tc>
        <w:tc>
          <w:tcPr>
            <w:tcW w:w="1912" w:type="pct"/>
          </w:tcPr>
          <w:p w14:paraId="3AE3205C" w14:textId="77777777" w:rsidR="00AD1F54" w:rsidRPr="00264D5D" w:rsidRDefault="00941227">
            <w:pPr>
              <w:pStyle w:val="GOSTTablenorm"/>
              <w:rPr>
                <w:i/>
                <w:szCs w:val="22"/>
              </w:rPr>
            </w:pPr>
            <w:r w:rsidRPr="00264D5D">
              <w:rPr>
                <w:rStyle w:val="GOSTSymItalic"/>
                <w:i w:val="0"/>
                <w:szCs w:val="22"/>
              </w:rPr>
              <w:t>Указывается уникальный номер заявления</w:t>
            </w:r>
          </w:p>
        </w:tc>
      </w:tr>
      <w:tr w:rsidR="00AD1F54" w:rsidRPr="00264D5D" w14:paraId="59D81334" w14:textId="77777777" w:rsidTr="00AD1F54">
        <w:trPr>
          <w:trHeight w:val="283"/>
        </w:trPr>
        <w:tc>
          <w:tcPr>
            <w:tcW w:w="884" w:type="pct"/>
          </w:tcPr>
          <w:p w14:paraId="3143A606" w14:textId="77777777" w:rsidR="00AD1F54" w:rsidRPr="00264D5D" w:rsidRDefault="00941227">
            <w:pPr>
              <w:pStyle w:val="GOSTTablenorm"/>
              <w:rPr>
                <w:szCs w:val="22"/>
              </w:rPr>
            </w:pPr>
            <w:r w:rsidRPr="00264D5D">
              <w:rPr>
                <w:szCs w:val="22"/>
              </w:rPr>
              <w:t>Клиент</w:t>
            </w:r>
          </w:p>
        </w:tc>
        <w:tc>
          <w:tcPr>
            <w:tcW w:w="960" w:type="pct"/>
          </w:tcPr>
          <w:p w14:paraId="0B45058E" w14:textId="77777777" w:rsidR="00AD1F54" w:rsidRPr="00264D5D" w:rsidRDefault="00941227">
            <w:pPr>
              <w:pStyle w:val="GOSTTablenorm"/>
              <w:rPr>
                <w:szCs w:val="22"/>
              </w:rPr>
            </w:pPr>
            <w:r w:rsidRPr="00264D5D">
              <w:rPr>
                <w:szCs w:val="22"/>
              </w:rPr>
              <w:t>Customer_Description</w:t>
            </w:r>
          </w:p>
        </w:tc>
        <w:tc>
          <w:tcPr>
            <w:tcW w:w="370" w:type="pct"/>
          </w:tcPr>
          <w:p w14:paraId="71F2D619" w14:textId="77777777" w:rsidR="00AD1F54" w:rsidRPr="00264D5D" w:rsidRDefault="00941227">
            <w:pPr>
              <w:pStyle w:val="GOSTTablenorm"/>
              <w:rPr>
                <w:szCs w:val="22"/>
              </w:rPr>
            </w:pPr>
            <w:r w:rsidRPr="00264D5D">
              <w:rPr>
                <w:szCs w:val="22"/>
              </w:rPr>
              <w:t>П</w:t>
            </w:r>
          </w:p>
        </w:tc>
        <w:tc>
          <w:tcPr>
            <w:tcW w:w="581" w:type="pct"/>
          </w:tcPr>
          <w:p w14:paraId="0C0C8228" w14:textId="77777777" w:rsidR="00AD1F54" w:rsidRPr="00264D5D" w:rsidRDefault="00941227">
            <w:pPr>
              <w:pStyle w:val="GOSTTablenorm"/>
              <w:rPr>
                <w:szCs w:val="22"/>
              </w:rPr>
            </w:pPr>
            <w:r w:rsidRPr="00264D5D">
              <w:rPr>
                <w:szCs w:val="22"/>
              </w:rPr>
              <w:t>Т(1-160)</w:t>
            </w:r>
          </w:p>
        </w:tc>
        <w:tc>
          <w:tcPr>
            <w:tcW w:w="293" w:type="pct"/>
          </w:tcPr>
          <w:p w14:paraId="56EA02C9" w14:textId="77777777" w:rsidR="00AD1F54" w:rsidRPr="00264D5D" w:rsidRDefault="00941227">
            <w:pPr>
              <w:pStyle w:val="GOSTTablenorm"/>
              <w:rPr>
                <w:szCs w:val="22"/>
              </w:rPr>
            </w:pPr>
            <w:r w:rsidRPr="00264D5D">
              <w:rPr>
                <w:szCs w:val="22"/>
              </w:rPr>
              <w:t>О</w:t>
            </w:r>
          </w:p>
        </w:tc>
        <w:tc>
          <w:tcPr>
            <w:tcW w:w="1912" w:type="pct"/>
          </w:tcPr>
          <w:p w14:paraId="6A79B315" w14:textId="77777777" w:rsidR="00AD1F54" w:rsidRPr="00264D5D" w:rsidRDefault="00941227">
            <w:pPr>
              <w:pStyle w:val="GOSTTablenorm"/>
              <w:rPr>
                <w:rStyle w:val="GOSTSymItalic"/>
                <w:i w:val="0"/>
                <w:szCs w:val="22"/>
              </w:rPr>
            </w:pPr>
            <w:r w:rsidRPr="00264D5D">
              <w:rPr>
                <w:rStyle w:val="GOSTSymItalic"/>
                <w:i w:val="0"/>
                <w:szCs w:val="22"/>
              </w:rPr>
              <w:t xml:space="preserve">Указывается </w:t>
            </w:r>
            <w:r w:rsidR="00A5124A" w:rsidRPr="00264D5D">
              <w:rPr>
                <w:szCs w:val="22"/>
              </w:rPr>
              <w:t>наименование клиента и ИНН</w:t>
            </w:r>
          </w:p>
        </w:tc>
      </w:tr>
      <w:tr w:rsidR="00AD1F54" w:rsidRPr="00264D5D" w14:paraId="32830A7A" w14:textId="77777777" w:rsidTr="00AD1F54">
        <w:trPr>
          <w:trHeight w:val="283"/>
        </w:trPr>
        <w:tc>
          <w:tcPr>
            <w:tcW w:w="884" w:type="pct"/>
          </w:tcPr>
          <w:p w14:paraId="5165A548" w14:textId="77777777" w:rsidR="00AD1F54" w:rsidRPr="00264D5D" w:rsidRDefault="00941227">
            <w:pPr>
              <w:pStyle w:val="GOSTTablenorm"/>
              <w:rPr>
                <w:szCs w:val="22"/>
              </w:rPr>
            </w:pPr>
            <w:r w:rsidRPr="00264D5D">
              <w:rPr>
                <w:szCs w:val="22"/>
              </w:rPr>
              <w:t>Адрес клиента</w:t>
            </w:r>
          </w:p>
        </w:tc>
        <w:tc>
          <w:tcPr>
            <w:tcW w:w="960" w:type="pct"/>
          </w:tcPr>
          <w:p w14:paraId="43828A81" w14:textId="77777777" w:rsidR="00AD1F54" w:rsidRPr="00264D5D" w:rsidRDefault="00941227">
            <w:pPr>
              <w:pStyle w:val="GOSTTablenorm"/>
              <w:rPr>
                <w:szCs w:val="22"/>
              </w:rPr>
            </w:pPr>
            <w:r w:rsidRPr="00264D5D">
              <w:rPr>
                <w:szCs w:val="22"/>
              </w:rPr>
              <w:t>Customer_Address</w:t>
            </w:r>
          </w:p>
        </w:tc>
        <w:tc>
          <w:tcPr>
            <w:tcW w:w="370" w:type="pct"/>
          </w:tcPr>
          <w:p w14:paraId="02085E6B" w14:textId="77777777" w:rsidR="00AD1F54" w:rsidRPr="00264D5D" w:rsidRDefault="00941227">
            <w:pPr>
              <w:pStyle w:val="GOSTTablenorm"/>
              <w:rPr>
                <w:szCs w:val="22"/>
              </w:rPr>
            </w:pPr>
            <w:r w:rsidRPr="00264D5D">
              <w:rPr>
                <w:szCs w:val="22"/>
              </w:rPr>
              <w:t>П</w:t>
            </w:r>
          </w:p>
        </w:tc>
        <w:tc>
          <w:tcPr>
            <w:tcW w:w="581" w:type="pct"/>
          </w:tcPr>
          <w:p w14:paraId="161AE366" w14:textId="77777777" w:rsidR="00AD1F54" w:rsidRPr="00264D5D" w:rsidRDefault="00941227">
            <w:pPr>
              <w:pStyle w:val="GOSTTablenorm"/>
              <w:rPr>
                <w:szCs w:val="22"/>
              </w:rPr>
            </w:pPr>
            <w:r w:rsidRPr="00264D5D">
              <w:rPr>
                <w:szCs w:val="22"/>
              </w:rPr>
              <w:t>Т(1-140)</w:t>
            </w:r>
          </w:p>
        </w:tc>
        <w:tc>
          <w:tcPr>
            <w:tcW w:w="293" w:type="pct"/>
          </w:tcPr>
          <w:p w14:paraId="20928033" w14:textId="77777777" w:rsidR="00AD1F54" w:rsidRPr="00264D5D" w:rsidRDefault="00941227">
            <w:pPr>
              <w:pStyle w:val="GOSTTablenorm"/>
              <w:rPr>
                <w:szCs w:val="22"/>
              </w:rPr>
            </w:pPr>
            <w:r w:rsidRPr="00264D5D">
              <w:rPr>
                <w:szCs w:val="22"/>
              </w:rPr>
              <w:t>О</w:t>
            </w:r>
          </w:p>
        </w:tc>
        <w:tc>
          <w:tcPr>
            <w:tcW w:w="1912" w:type="pct"/>
          </w:tcPr>
          <w:p w14:paraId="2F4CDB3A" w14:textId="77777777" w:rsidR="00AD1F54" w:rsidRPr="00264D5D" w:rsidRDefault="00A5124A">
            <w:pPr>
              <w:pStyle w:val="GOSTTablenorm"/>
              <w:rPr>
                <w:rStyle w:val="GOSTSymItalic"/>
                <w:i w:val="0"/>
                <w:szCs w:val="22"/>
              </w:rPr>
            </w:pPr>
            <w:r w:rsidRPr="00264D5D">
              <w:rPr>
                <w:rStyle w:val="GOSTSymItalic"/>
                <w:i w:val="0"/>
                <w:szCs w:val="22"/>
              </w:rPr>
              <w:t>Указывается адрес клиента</w:t>
            </w:r>
          </w:p>
        </w:tc>
      </w:tr>
      <w:tr w:rsidR="00D86A54" w:rsidRPr="00264D5D" w14:paraId="7BDF4C36" w14:textId="77777777" w:rsidTr="00AD1F54">
        <w:trPr>
          <w:trHeight w:val="283"/>
        </w:trPr>
        <w:tc>
          <w:tcPr>
            <w:tcW w:w="884" w:type="pct"/>
          </w:tcPr>
          <w:p w14:paraId="6835ABF5" w14:textId="77777777" w:rsidR="00D86A54" w:rsidRPr="00264D5D" w:rsidRDefault="00D86A54" w:rsidP="00D86A54">
            <w:pPr>
              <w:pStyle w:val="GOSTTablenorm"/>
              <w:rPr>
                <w:szCs w:val="22"/>
              </w:rPr>
            </w:pPr>
            <w:r w:rsidRPr="00264D5D">
              <w:rPr>
                <w:szCs w:val="22"/>
              </w:rPr>
              <w:t>Код бюджетополучателя-плательщика</w:t>
            </w:r>
          </w:p>
        </w:tc>
        <w:tc>
          <w:tcPr>
            <w:tcW w:w="960" w:type="pct"/>
          </w:tcPr>
          <w:p w14:paraId="6E12B456" w14:textId="77777777" w:rsidR="00D86A54" w:rsidRPr="00264D5D" w:rsidRDefault="00D86A54" w:rsidP="00D86A54">
            <w:pPr>
              <w:pStyle w:val="GOSTTablenorm"/>
              <w:rPr>
                <w:szCs w:val="22"/>
              </w:rPr>
            </w:pPr>
            <w:r w:rsidRPr="00264D5D">
              <w:rPr>
                <w:szCs w:val="22"/>
              </w:rPr>
              <w:t>ZR_KodPayer</w:t>
            </w:r>
          </w:p>
        </w:tc>
        <w:tc>
          <w:tcPr>
            <w:tcW w:w="370" w:type="pct"/>
          </w:tcPr>
          <w:p w14:paraId="5E9D3B61" w14:textId="77777777" w:rsidR="00D86A54" w:rsidRPr="00264D5D" w:rsidRDefault="00D86A54" w:rsidP="00D86A54">
            <w:pPr>
              <w:pStyle w:val="GOSTTablenorm"/>
              <w:rPr>
                <w:szCs w:val="22"/>
              </w:rPr>
            </w:pPr>
            <w:r w:rsidRPr="00264D5D">
              <w:rPr>
                <w:szCs w:val="22"/>
              </w:rPr>
              <w:t>П</w:t>
            </w:r>
          </w:p>
        </w:tc>
        <w:tc>
          <w:tcPr>
            <w:tcW w:w="581" w:type="pct"/>
          </w:tcPr>
          <w:p w14:paraId="50FBE70E" w14:textId="77777777" w:rsidR="00D86A54" w:rsidRPr="00264D5D" w:rsidRDefault="00D86A54" w:rsidP="00D86A54">
            <w:pPr>
              <w:pStyle w:val="GOSTTablenorm"/>
              <w:rPr>
                <w:szCs w:val="22"/>
              </w:rPr>
            </w:pPr>
            <w:r w:rsidRPr="00264D5D">
              <w:rPr>
                <w:szCs w:val="22"/>
              </w:rPr>
              <w:t>Т(8)</w:t>
            </w:r>
          </w:p>
        </w:tc>
        <w:tc>
          <w:tcPr>
            <w:tcW w:w="293" w:type="pct"/>
          </w:tcPr>
          <w:p w14:paraId="6ADBF6B9" w14:textId="77777777" w:rsidR="00D86A54" w:rsidRPr="003D78D1" w:rsidRDefault="00D86A54" w:rsidP="00D86A54">
            <w:pPr>
              <w:pStyle w:val="GOSTTablenorm"/>
            </w:pPr>
            <w:r w:rsidRPr="00D86A54">
              <w:t>О</w:t>
            </w:r>
          </w:p>
        </w:tc>
        <w:tc>
          <w:tcPr>
            <w:tcW w:w="1912" w:type="pct"/>
          </w:tcPr>
          <w:p w14:paraId="592BAED7" w14:textId="4B103198" w:rsidR="00D86A54" w:rsidRPr="003D78D1" w:rsidRDefault="00D86A54" w:rsidP="00D86A54">
            <w:pPr>
              <w:pStyle w:val="GOSTTablenorm"/>
              <w:rPr>
                <w:rStyle w:val="GOSTSymItalic"/>
                <w:sz w:val="24"/>
                <w:szCs w:val="22"/>
              </w:rPr>
            </w:pPr>
            <w:r w:rsidRPr="003D78D1">
              <w:t>Указывается код ПБС (ГРБС/РБС/ИПБС</w:t>
            </w:r>
            <w:r w:rsidRPr="008B26A8">
              <w:rPr>
                <w:highlight w:val="green"/>
              </w:rPr>
              <w:t>/АДБ/</w:t>
            </w:r>
            <w:r w:rsidRPr="003D78D1">
              <w:t>АИФДБ). Заполняется в соответствии со Сводным реестро</w:t>
            </w:r>
            <w:r w:rsidRPr="00D86A54">
              <w:t>м</w:t>
            </w:r>
          </w:p>
        </w:tc>
      </w:tr>
      <w:tr w:rsidR="00D86A54" w:rsidRPr="00264D5D" w14:paraId="7313FE1E" w14:textId="77777777" w:rsidTr="00AD1F54">
        <w:trPr>
          <w:trHeight w:val="283"/>
        </w:trPr>
        <w:tc>
          <w:tcPr>
            <w:tcW w:w="884" w:type="pct"/>
          </w:tcPr>
          <w:p w14:paraId="407BB937" w14:textId="77777777" w:rsidR="00D86A54" w:rsidRPr="00264D5D" w:rsidRDefault="00D86A54" w:rsidP="00D86A54">
            <w:pPr>
              <w:pStyle w:val="GOSTTablenorm"/>
              <w:rPr>
                <w:szCs w:val="22"/>
              </w:rPr>
            </w:pPr>
            <w:r w:rsidRPr="00264D5D">
              <w:rPr>
                <w:szCs w:val="22"/>
              </w:rPr>
              <w:t>Код бюджета</w:t>
            </w:r>
          </w:p>
        </w:tc>
        <w:tc>
          <w:tcPr>
            <w:tcW w:w="960" w:type="pct"/>
          </w:tcPr>
          <w:p w14:paraId="657D47B9" w14:textId="77777777" w:rsidR="00D86A54" w:rsidRPr="00264D5D" w:rsidRDefault="00D86A54" w:rsidP="00D86A54">
            <w:pPr>
              <w:pStyle w:val="GOSTTablenorm"/>
              <w:rPr>
                <w:szCs w:val="22"/>
                <w:lang w:val="en-US"/>
              </w:rPr>
            </w:pPr>
            <w:r w:rsidRPr="00264D5D">
              <w:rPr>
                <w:szCs w:val="22"/>
                <w:lang w:val="en-US"/>
              </w:rPr>
              <w:t>ZR_CdBdgt</w:t>
            </w:r>
          </w:p>
        </w:tc>
        <w:tc>
          <w:tcPr>
            <w:tcW w:w="370" w:type="pct"/>
          </w:tcPr>
          <w:p w14:paraId="12356EC2" w14:textId="77777777" w:rsidR="00D86A54" w:rsidRPr="00264D5D" w:rsidRDefault="00D86A54" w:rsidP="00D86A54">
            <w:pPr>
              <w:pStyle w:val="GOSTTablenorm"/>
              <w:rPr>
                <w:szCs w:val="22"/>
              </w:rPr>
            </w:pPr>
            <w:r w:rsidRPr="00264D5D">
              <w:rPr>
                <w:szCs w:val="22"/>
              </w:rPr>
              <w:t>П</w:t>
            </w:r>
          </w:p>
        </w:tc>
        <w:tc>
          <w:tcPr>
            <w:tcW w:w="581" w:type="pct"/>
          </w:tcPr>
          <w:p w14:paraId="26E6C732" w14:textId="77777777" w:rsidR="00D86A54" w:rsidRPr="00264D5D" w:rsidRDefault="00D86A54" w:rsidP="00D86A54">
            <w:pPr>
              <w:pStyle w:val="GOSTTablenorm"/>
              <w:rPr>
                <w:szCs w:val="22"/>
              </w:rPr>
            </w:pPr>
            <w:r w:rsidRPr="00264D5D">
              <w:rPr>
                <w:szCs w:val="22"/>
              </w:rPr>
              <w:t>Т(8)</w:t>
            </w:r>
          </w:p>
        </w:tc>
        <w:tc>
          <w:tcPr>
            <w:tcW w:w="293" w:type="pct"/>
          </w:tcPr>
          <w:p w14:paraId="7E747DE9" w14:textId="77777777" w:rsidR="00D86A54" w:rsidRPr="00D86A54" w:rsidRDefault="00D86A54" w:rsidP="00D86A54">
            <w:pPr>
              <w:pStyle w:val="GOSTTablenorm"/>
            </w:pPr>
            <w:r w:rsidRPr="00D86A54">
              <w:t>О</w:t>
            </w:r>
          </w:p>
        </w:tc>
        <w:tc>
          <w:tcPr>
            <w:tcW w:w="1912" w:type="pct"/>
          </w:tcPr>
          <w:p w14:paraId="245885DC" w14:textId="31DE7D3D" w:rsidR="00D86A54" w:rsidRPr="00D86A54" w:rsidRDefault="00D86A54" w:rsidP="00D86A54">
            <w:pPr>
              <w:pStyle w:val="GOSTTablenorm"/>
            </w:pPr>
            <w:r w:rsidRPr="00D86A54">
              <w:t>Указывается код бюджета</w:t>
            </w:r>
          </w:p>
        </w:tc>
      </w:tr>
      <w:tr w:rsidR="00AD1F54" w:rsidRPr="00264D5D" w14:paraId="4C02C9DC" w14:textId="77777777" w:rsidTr="00AD1F54">
        <w:trPr>
          <w:trHeight w:val="283"/>
        </w:trPr>
        <w:tc>
          <w:tcPr>
            <w:tcW w:w="884" w:type="pct"/>
          </w:tcPr>
          <w:p w14:paraId="6108C3C0" w14:textId="77777777" w:rsidR="00AD1F54" w:rsidRPr="00264D5D" w:rsidRDefault="00941227">
            <w:pPr>
              <w:pStyle w:val="GOSTTablenorm"/>
              <w:rPr>
                <w:szCs w:val="22"/>
              </w:rPr>
            </w:pPr>
            <w:r w:rsidRPr="00264D5D">
              <w:rPr>
                <w:szCs w:val="22"/>
              </w:rPr>
              <w:t>Лицевой счет бюджетополучателя-плательщика</w:t>
            </w:r>
          </w:p>
        </w:tc>
        <w:tc>
          <w:tcPr>
            <w:tcW w:w="960" w:type="pct"/>
          </w:tcPr>
          <w:p w14:paraId="284A8A86" w14:textId="77777777" w:rsidR="00AD1F54" w:rsidRPr="00264D5D" w:rsidRDefault="00941227">
            <w:pPr>
              <w:pStyle w:val="GOSTTablenorm"/>
              <w:rPr>
                <w:szCs w:val="22"/>
                <w:lang w:val="en-US"/>
              </w:rPr>
            </w:pPr>
            <w:r w:rsidRPr="00264D5D">
              <w:rPr>
                <w:szCs w:val="22"/>
              </w:rPr>
              <w:t>ZR_PersonalAccount</w:t>
            </w:r>
          </w:p>
        </w:tc>
        <w:tc>
          <w:tcPr>
            <w:tcW w:w="370" w:type="pct"/>
          </w:tcPr>
          <w:p w14:paraId="4EB0EE20" w14:textId="77777777" w:rsidR="00AD1F54" w:rsidRPr="00264D5D" w:rsidRDefault="00941227">
            <w:pPr>
              <w:pStyle w:val="GOSTTablenorm"/>
              <w:rPr>
                <w:szCs w:val="22"/>
              </w:rPr>
            </w:pPr>
            <w:r w:rsidRPr="00264D5D">
              <w:rPr>
                <w:szCs w:val="22"/>
              </w:rPr>
              <w:t>П</w:t>
            </w:r>
          </w:p>
        </w:tc>
        <w:tc>
          <w:tcPr>
            <w:tcW w:w="581" w:type="pct"/>
          </w:tcPr>
          <w:p w14:paraId="74AC2B59" w14:textId="77777777" w:rsidR="00AD1F54" w:rsidRPr="00264D5D" w:rsidRDefault="00941227">
            <w:pPr>
              <w:pStyle w:val="GOSTTablenorm"/>
              <w:rPr>
                <w:szCs w:val="22"/>
              </w:rPr>
            </w:pPr>
            <w:r w:rsidRPr="00264D5D">
              <w:rPr>
                <w:szCs w:val="22"/>
              </w:rPr>
              <w:t>Т(11)</w:t>
            </w:r>
          </w:p>
        </w:tc>
        <w:tc>
          <w:tcPr>
            <w:tcW w:w="293" w:type="pct"/>
          </w:tcPr>
          <w:p w14:paraId="0C07DA7D" w14:textId="77777777" w:rsidR="00AD1F54" w:rsidRPr="00264D5D" w:rsidRDefault="00941227">
            <w:pPr>
              <w:pStyle w:val="GOSTTablenorm"/>
              <w:rPr>
                <w:szCs w:val="22"/>
              </w:rPr>
            </w:pPr>
            <w:r w:rsidRPr="00264D5D">
              <w:rPr>
                <w:szCs w:val="22"/>
              </w:rPr>
              <w:t>Н</w:t>
            </w:r>
          </w:p>
        </w:tc>
        <w:tc>
          <w:tcPr>
            <w:tcW w:w="1912" w:type="pct"/>
          </w:tcPr>
          <w:p w14:paraId="2455A948" w14:textId="77777777" w:rsidR="00AD1F54" w:rsidRPr="00264D5D" w:rsidRDefault="00941227">
            <w:pPr>
              <w:pStyle w:val="GOSTTablenorm"/>
              <w:rPr>
                <w:szCs w:val="22"/>
              </w:rPr>
            </w:pPr>
            <w:r w:rsidRPr="00264D5D">
              <w:rPr>
                <w:szCs w:val="22"/>
              </w:rPr>
              <w:t>Указывается лицевой счет бюджетополучателя-плательщика. При значении поля «Тип операции» = 3 значение лицевого счета не указывается.</w:t>
            </w:r>
          </w:p>
          <w:p w14:paraId="054BE7A8" w14:textId="77777777" w:rsidR="00AD1F54" w:rsidRPr="00264D5D" w:rsidRDefault="00941227">
            <w:pPr>
              <w:pStyle w:val="GOSTTablenorm"/>
              <w:rPr>
                <w:rStyle w:val="GOSTSymItalic"/>
                <w:i w:val="0"/>
                <w:szCs w:val="22"/>
              </w:rPr>
            </w:pPr>
            <w:r w:rsidRPr="00264D5D">
              <w:rPr>
                <w:szCs w:val="22"/>
              </w:rPr>
              <w:t>При выполнении операции покупки-продажи иностранной валюты указывается номер лицевого счета, по которому выполняется операция выбытия при</w:t>
            </w:r>
            <w:r w:rsidR="00A5124A" w:rsidRPr="00264D5D">
              <w:rPr>
                <w:szCs w:val="22"/>
              </w:rPr>
              <w:t xml:space="preserve"> продаже соответствующей валюты</w:t>
            </w:r>
          </w:p>
        </w:tc>
      </w:tr>
      <w:tr w:rsidR="00AD1F54" w:rsidRPr="00264D5D" w14:paraId="0AFA605F" w14:textId="77777777" w:rsidTr="00AD1F54">
        <w:trPr>
          <w:trHeight w:val="283"/>
        </w:trPr>
        <w:tc>
          <w:tcPr>
            <w:tcW w:w="884" w:type="pct"/>
          </w:tcPr>
          <w:p w14:paraId="2206CEBF" w14:textId="77777777" w:rsidR="00AD1F54" w:rsidRPr="00264D5D" w:rsidRDefault="00941227">
            <w:pPr>
              <w:pStyle w:val="GOSTTablenorm"/>
              <w:rPr>
                <w:szCs w:val="22"/>
              </w:rPr>
            </w:pPr>
            <w:r w:rsidRPr="00264D5D">
              <w:rPr>
                <w:szCs w:val="22"/>
              </w:rPr>
              <w:t>Тип операции</w:t>
            </w:r>
          </w:p>
        </w:tc>
        <w:tc>
          <w:tcPr>
            <w:tcW w:w="960" w:type="pct"/>
          </w:tcPr>
          <w:p w14:paraId="7A363659" w14:textId="77777777" w:rsidR="00AD1F54" w:rsidRPr="00264D5D" w:rsidRDefault="00941227">
            <w:pPr>
              <w:pStyle w:val="GOSTTablenorm"/>
              <w:rPr>
                <w:szCs w:val="22"/>
              </w:rPr>
            </w:pPr>
            <w:r w:rsidRPr="00264D5D">
              <w:rPr>
                <w:szCs w:val="22"/>
              </w:rPr>
              <w:t>ZR_OperationType</w:t>
            </w:r>
          </w:p>
        </w:tc>
        <w:tc>
          <w:tcPr>
            <w:tcW w:w="370" w:type="pct"/>
          </w:tcPr>
          <w:p w14:paraId="0CCFE0AF" w14:textId="77777777" w:rsidR="00AD1F54" w:rsidRPr="00264D5D" w:rsidRDefault="00941227">
            <w:pPr>
              <w:pStyle w:val="GOSTTablenorm"/>
              <w:rPr>
                <w:szCs w:val="22"/>
              </w:rPr>
            </w:pPr>
            <w:r w:rsidRPr="00264D5D">
              <w:rPr>
                <w:szCs w:val="22"/>
              </w:rPr>
              <w:t>С</w:t>
            </w:r>
          </w:p>
        </w:tc>
        <w:tc>
          <w:tcPr>
            <w:tcW w:w="581" w:type="pct"/>
          </w:tcPr>
          <w:p w14:paraId="1DEB3FDD" w14:textId="77777777" w:rsidR="00AD1F54" w:rsidRPr="00264D5D" w:rsidRDefault="00941227">
            <w:pPr>
              <w:pStyle w:val="GOSTTablenorm"/>
              <w:rPr>
                <w:szCs w:val="22"/>
              </w:rPr>
            </w:pPr>
            <w:r w:rsidRPr="00264D5D">
              <w:rPr>
                <w:szCs w:val="22"/>
              </w:rPr>
              <w:t>tMSC_OperTypeComplex</w:t>
            </w:r>
          </w:p>
        </w:tc>
        <w:tc>
          <w:tcPr>
            <w:tcW w:w="293" w:type="pct"/>
          </w:tcPr>
          <w:p w14:paraId="64FDD427" w14:textId="77777777" w:rsidR="00AD1F54" w:rsidRPr="00264D5D" w:rsidRDefault="00941227">
            <w:pPr>
              <w:pStyle w:val="GOSTTablenorm"/>
              <w:rPr>
                <w:szCs w:val="22"/>
              </w:rPr>
            </w:pPr>
            <w:r w:rsidRPr="00264D5D">
              <w:rPr>
                <w:szCs w:val="22"/>
              </w:rPr>
              <w:t>Н</w:t>
            </w:r>
          </w:p>
        </w:tc>
        <w:tc>
          <w:tcPr>
            <w:tcW w:w="1912" w:type="pct"/>
          </w:tcPr>
          <w:p w14:paraId="78C0D852" w14:textId="77777777" w:rsidR="00A5124A" w:rsidRPr="00264D5D" w:rsidRDefault="00941227">
            <w:pPr>
              <w:pStyle w:val="GOSTTablenorm"/>
              <w:rPr>
                <w:szCs w:val="22"/>
              </w:rPr>
            </w:pPr>
            <w:r w:rsidRPr="00264D5D">
              <w:rPr>
                <w:szCs w:val="22"/>
              </w:rPr>
              <w:t xml:space="preserve">Указывается тип операции. </w:t>
            </w:r>
          </w:p>
          <w:p w14:paraId="1937C12B" w14:textId="34771DE4" w:rsidR="00AD1F54" w:rsidRPr="00264D5D" w:rsidRDefault="00941227">
            <w:pPr>
              <w:pStyle w:val="GOSTTablenorm"/>
              <w:rPr>
                <w:rStyle w:val="GOSTSymItalic"/>
                <w:i w:val="0"/>
                <w:szCs w:val="22"/>
              </w:rPr>
            </w:pPr>
            <w:r w:rsidRPr="00264D5D">
              <w:rPr>
                <w:szCs w:val="22"/>
              </w:rPr>
              <w:t xml:space="preserve">Состав элемента представлен в таблице </w:t>
            </w:r>
            <w:r w:rsidRPr="00264D5D">
              <w:rPr>
                <w:szCs w:val="22"/>
                <w:lang w:val="en-US"/>
              </w:rPr>
              <w:fldChar w:fldCharType="begin"/>
            </w:r>
            <w:r w:rsidRPr="00264D5D">
              <w:rPr>
                <w:szCs w:val="22"/>
              </w:rPr>
              <w:instrText xml:space="preserve"> </w:instrText>
            </w:r>
            <w:r w:rsidRPr="00264D5D">
              <w:rPr>
                <w:szCs w:val="22"/>
                <w:lang w:val="en-US"/>
              </w:rPr>
              <w:instrText>REF</w:instrText>
            </w:r>
            <w:r w:rsidRPr="00264D5D">
              <w:rPr>
                <w:szCs w:val="22"/>
              </w:rPr>
              <w:instrText xml:space="preserve"> _</w:instrText>
            </w:r>
            <w:r w:rsidRPr="00264D5D">
              <w:rPr>
                <w:szCs w:val="22"/>
                <w:lang w:val="en-US"/>
              </w:rPr>
              <w:instrText>Ref</w:instrText>
            </w:r>
            <w:r w:rsidRPr="00264D5D">
              <w:rPr>
                <w:szCs w:val="22"/>
              </w:rPr>
              <w:instrText>503545967 \</w:instrText>
            </w:r>
            <w:r w:rsidRPr="00264D5D">
              <w:rPr>
                <w:szCs w:val="22"/>
                <w:lang w:val="en-US"/>
              </w:rPr>
              <w:instrText>h</w:instrText>
            </w:r>
            <w:r w:rsidRPr="00264D5D">
              <w:rPr>
                <w:szCs w:val="22"/>
              </w:rPr>
              <w:instrText xml:space="preserve">  \* </w:instrText>
            </w:r>
            <w:r w:rsidRPr="00264D5D">
              <w:rPr>
                <w:szCs w:val="22"/>
                <w:lang w:val="en-US"/>
              </w:rPr>
              <w:instrText>MERGEFORMAT</w:instrText>
            </w:r>
            <w:r w:rsidRPr="00264D5D">
              <w:rPr>
                <w:szCs w:val="22"/>
              </w:rPr>
              <w:instrText xml:space="preserve"> </w:instrText>
            </w:r>
            <w:r w:rsidRPr="00264D5D">
              <w:rPr>
                <w:szCs w:val="22"/>
                <w:lang w:val="en-US"/>
              </w:rPr>
            </w:r>
            <w:r w:rsidRPr="00264D5D">
              <w:rPr>
                <w:szCs w:val="22"/>
                <w:lang w:val="en-US"/>
              </w:rPr>
              <w:fldChar w:fldCharType="separate"/>
            </w:r>
            <w:r w:rsidR="008D797C" w:rsidRPr="008D797C">
              <w:rPr>
                <w:rFonts w:eastAsia="Calibri"/>
                <w:szCs w:val="22"/>
              </w:rPr>
              <w:t>389</w:t>
            </w:r>
            <w:r w:rsidRPr="00264D5D">
              <w:rPr>
                <w:szCs w:val="22"/>
                <w:lang w:val="en-US"/>
              </w:rPr>
              <w:fldChar w:fldCharType="end"/>
            </w:r>
          </w:p>
        </w:tc>
      </w:tr>
      <w:tr w:rsidR="009D7B24" w:rsidRPr="00264D5D" w14:paraId="2CFAB99A" w14:textId="77777777" w:rsidTr="00AD1F54">
        <w:trPr>
          <w:trHeight w:val="283"/>
        </w:trPr>
        <w:tc>
          <w:tcPr>
            <w:tcW w:w="884" w:type="pct"/>
          </w:tcPr>
          <w:p w14:paraId="424FD682" w14:textId="77777777" w:rsidR="009D7B24" w:rsidRPr="00264D5D" w:rsidRDefault="009D7B24" w:rsidP="009D7B24">
            <w:pPr>
              <w:pStyle w:val="GOSTTablenorm"/>
              <w:rPr>
                <w:szCs w:val="22"/>
              </w:rPr>
            </w:pPr>
            <w:r w:rsidRPr="00264D5D">
              <w:rPr>
                <w:szCs w:val="22"/>
              </w:rPr>
              <w:t>Уровень конфиденциальности</w:t>
            </w:r>
          </w:p>
        </w:tc>
        <w:tc>
          <w:tcPr>
            <w:tcW w:w="960" w:type="pct"/>
          </w:tcPr>
          <w:p w14:paraId="0BE50356" w14:textId="77777777" w:rsidR="009D7B24" w:rsidRPr="00264D5D" w:rsidRDefault="009D7B24" w:rsidP="009D7B24">
            <w:pPr>
              <w:pStyle w:val="GOSTTablenorm"/>
              <w:rPr>
                <w:szCs w:val="22"/>
              </w:rPr>
            </w:pPr>
            <w:r w:rsidRPr="00264D5D">
              <w:rPr>
                <w:szCs w:val="22"/>
              </w:rPr>
              <w:t>ZR_SecurityLevel</w:t>
            </w:r>
          </w:p>
        </w:tc>
        <w:tc>
          <w:tcPr>
            <w:tcW w:w="370" w:type="pct"/>
          </w:tcPr>
          <w:p w14:paraId="6BBDA001" w14:textId="77777777" w:rsidR="009D7B24" w:rsidRPr="00264D5D" w:rsidRDefault="009D7B24" w:rsidP="009D7B24">
            <w:pPr>
              <w:pStyle w:val="GOSTTablenorm"/>
              <w:rPr>
                <w:szCs w:val="22"/>
              </w:rPr>
            </w:pPr>
            <w:r w:rsidRPr="00264D5D">
              <w:rPr>
                <w:szCs w:val="22"/>
              </w:rPr>
              <w:t>П</w:t>
            </w:r>
          </w:p>
        </w:tc>
        <w:tc>
          <w:tcPr>
            <w:tcW w:w="581" w:type="pct"/>
          </w:tcPr>
          <w:p w14:paraId="64B0352E" w14:textId="77777777" w:rsidR="009D7B24" w:rsidRPr="00264D5D" w:rsidRDefault="009D7B24" w:rsidP="009D7B24">
            <w:pPr>
              <w:pStyle w:val="GOSTTablenorm"/>
              <w:rPr>
                <w:szCs w:val="22"/>
              </w:rPr>
            </w:pPr>
            <w:r w:rsidRPr="00264D5D">
              <w:rPr>
                <w:szCs w:val="22"/>
              </w:rPr>
              <w:t>Т(1)</w:t>
            </w:r>
          </w:p>
        </w:tc>
        <w:tc>
          <w:tcPr>
            <w:tcW w:w="293" w:type="pct"/>
          </w:tcPr>
          <w:p w14:paraId="56F5186D" w14:textId="3F774E59" w:rsidR="009D7B24" w:rsidRPr="001A12B6" w:rsidRDefault="009D7B24" w:rsidP="009D7B24">
            <w:pPr>
              <w:pStyle w:val="GOSTTablenorm"/>
            </w:pPr>
            <w:r w:rsidRPr="00F94C8B">
              <w:rPr>
                <w:highlight w:val="green"/>
              </w:rPr>
              <w:t>Н</w:t>
            </w:r>
          </w:p>
        </w:tc>
        <w:tc>
          <w:tcPr>
            <w:tcW w:w="1912" w:type="pct"/>
          </w:tcPr>
          <w:p w14:paraId="13B6EAF6" w14:textId="77777777" w:rsidR="009D7B24" w:rsidRPr="00433961" w:rsidRDefault="009D7B24" w:rsidP="009D7B24">
            <w:pPr>
              <w:pStyle w:val="GOSTTablenorm"/>
            </w:pPr>
            <w:r w:rsidRPr="00433961">
              <w:t>Указывается уровень конфиденциальности.</w:t>
            </w:r>
          </w:p>
          <w:p w14:paraId="6B609F47" w14:textId="77777777" w:rsidR="009D7B24" w:rsidRPr="00433961" w:rsidRDefault="009D7B24" w:rsidP="009D7B24">
            <w:pPr>
              <w:pStyle w:val="GOSTTablenorm"/>
            </w:pPr>
            <w:r w:rsidRPr="00433961">
              <w:t>Возможные значения:</w:t>
            </w:r>
          </w:p>
          <w:p w14:paraId="74CB64AB" w14:textId="77777777" w:rsidR="009D7B24" w:rsidRPr="00433961" w:rsidRDefault="009D7B24" w:rsidP="009D7B24">
            <w:pPr>
              <w:pStyle w:val="GOSTTableListMark1"/>
              <w:numPr>
                <w:ilvl w:val="0"/>
                <w:numId w:val="154"/>
              </w:numPr>
            </w:pPr>
            <w:r w:rsidRPr="00433961">
              <w:lastRenderedPageBreak/>
              <w:t>0 – Несекретно;</w:t>
            </w:r>
          </w:p>
          <w:p w14:paraId="39E1FA52" w14:textId="77777777" w:rsidR="009D7B24" w:rsidRPr="00433961" w:rsidRDefault="009D7B24" w:rsidP="009D7B24">
            <w:pPr>
              <w:pStyle w:val="GOSTTableListMark1"/>
              <w:numPr>
                <w:ilvl w:val="0"/>
                <w:numId w:val="154"/>
              </w:numPr>
            </w:pPr>
            <w:r w:rsidRPr="00433961">
              <w:t>1 – Для служебного пользования;</w:t>
            </w:r>
          </w:p>
          <w:p w14:paraId="2D4CDB8E" w14:textId="77777777" w:rsidR="009D7B24" w:rsidRPr="00433961" w:rsidRDefault="009D7B24" w:rsidP="009D7B24">
            <w:pPr>
              <w:pStyle w:val="GOSTTableListMark1"/>
              <w:numPr>
                <w:ilvl w:val="0"/>
                <w:numId w:val="154"/>
              </w:numPr>
            </w:pPr>
            <w:r w:rsidRPr="00433961">
              <w:t>2 – Секретно;</w:t>
            </w:r>
          </w:p>
          <w:p w14:paraId="788FA02A" w14:textId="77777777" w:rsidR="009D7B24" w:rsidRPr="00F94C8B" w:rsidRDefault="009D7B24" w:rsidP="009D7B24">
            <w:pPr>
              <w:pStyle w:val="GOSTTableListMark1"/>
              <w:numPr>
                <w:ilvl w:val="0"/>
                <w:numId w:val="154"/>
              </w:numPr>
              <w:rPr>
                <w:i/>
                <w:szCs w:val="22"/>
              </w:rPr>
            </w:pPr>
            <w:r w:rsidRPr="00433961">
              <w:t>3 – Совершенно секретно</w:t>
            </w:r>
            <w:r>
              <w:t>.</w:t>
            </w:r>
          </w:p>
          <w:p w14:paraId="39005355" w14:textId="77777777" w:rsidR="009D7B24" w:rsidRDefault="009D7B24" w:rsidP="009D7B24">
            <w:pPr>
              <w:pStyle w:val="GOSTTableListMark1"/>
              <w:ind w:left="57" w:firstLine="0"/>
            </w:pPr>
            <w:r w:rsidRPr="00952FF5">
              <w:rPr>
                <w:highlight w:val="green"/>
              </w:rPr>
              <w:t>Не заполняется для взаимодействия с ПУД ЭБ</w:t>
            </w:r>
            <w:r>
              <w:t xml:space="preserve">. </w:t>
            </w:r>
          </w:p>
          <w:p w14:paraId="5C89C941" w14:textId="77777777" w:rsidR="009D7B24" w:rsidRPr="00433961" w:rsidRDefault="009D7B24" w:rsidP="009D7B24">
            <w:pPr>
              <w:pStyle w:val="GOSTTableListMark1"/>
              <w:ind w:left="57" w:firstLine="0"/>
              <w:rPr>
                <w:rStyle w:val="GOSTSymItalic"/>
                <w:szCs w:val="22"/>
              </w:rPr>
            </w:pPr>
            <w:r w:rsidRPr="00952FF5">
              <w:rPr>
                <w:highlight w:val="green"/>
              </w:rPr>
              <w:t>Для остальных маршрутов обязательно к заполнению</w:t>
            </w:r>
          </w:p>
        </w:tc>
      </w:tr>
      <w:tr w:rsidR="00AD1F54" w:rsidRPr="00264D5D" w14:paraId="3BA5EF6C" w14:textId="77777777" w:rsidTr="00AD1F54">
        <w:trPr>
          <w:trHeight w:val="283"/>
        </w:trPr>
        <w:tc>
          <w:tcPr>
            <w:tcW w:w="5000" w:type="pct"/>
            <w:gridSpan w:val="6"/>
          </w:tcPr>
          <w:p w14:paraId="29AF0D82" w14:textId="77777777" w:rsidR="00AD1F54" w:rsidRPr="00264D5D" w:rsidRDefault="00941227">
            <w:pPr>
              <w:pStyle w:val="GOSTTablenorm"/>
              <w:rPr>
                <w:b/>
                <w:bCs/>
                <w:iCs/>
                <w:szCs w:val="22"/>
              </w:rPr>
            </w:pPr>
            <w:r w:rsidRPr="00264D5D">
              <w:rPr>
                <w:b/>
                <w:bCs/>
                <w:iCs/>
                <w:szCs w:val="22"/>
              </w:rPr>
              <w:lastRenderedPageBreak/>
              <w:t>Перевод</w:t>
            </w:r>
          </w:p>
        </w:tc>
      </w:tr>
      <w:tr w:rsidR="00AD1F54" w:rsidRPr="00264D5D" w14:paraId="102AECBD" w14:textId="77777777" w:rsidTr="00AD1F54">
        <w:trPr>
          <w:trHeight w:val="283"/>
        </w:trPr>
        <w:tc>
          <w:tcPr>
            <w:tcW w:w="884" w:type="pct"/>
          </w:tcPr>
          <w:p w14:paraId="67DEC8BD" w14:textId="77777777" w:rsidR="00AD1F54" w:rsidRPr="00264D5D" w:rsidRDefault="00941227">
            <w:pPr>
              <w:pStyle w:val="GOSTTablenorm"/>
              <w:rPr>
                <w:szCs w:val="22"/>
              </w:rPr>
            </w:pPr>
            <w:r w:rsidRPr="00264D5D">
              <w:rPr>
                <w:szCs w:val="22"/>
              </w:rPr>
              <w:t xml:space="preserve">Дата валютирования </w:t>
            </w:r>
          </w:p>
        </w:tc>
        <w:tc>
          <w:tcPr>
            <w:tcW w:w="960" w:type="pct"/>
          </w:tcPr>
          <w:p w14:paraId="68C7F7F0" w14:textId="77777777" w:rsidR="00AD1F54" w:rsidRPr="00264D5D" w:rsidRDefault="00941227">
            <w:pPr>
              <w:pStyle w:val="GOSTTablenorm"/>
              <w:rPr>
                <w:szCs w:val="22"/>
                <w:lang w:val="en-US"/>
              </w:rPr>
            </w:pPr>
            <w:r w:rsidRPr="00264D5D">
              <w:rPr>
                <w:szCs w:val="22"/>
              </w:rPr>
              <w:t>ZR_ValueDate_Rem</w:t>
            </w:r>
          </w:p>
        </w:tc>
        <w:tc>
          <w:tcPr>
            <w:tcW w:w="370" w:type="pct"/>
          </w:tcPr>
          <w:p w14:paraId="5A7FA700" w14:textId="77777777" w:rsidR="00AD1F54" w:rsidRPr="00264D5D" w:rsidRDefault="00941227">
            <w:pPr>
              <w:pStyle w:val="GOSTTablenorm"/>
              <w:rPr>
                <w:szCs w:val="22"/>
              </w:rPr>
            </w:pPr>
            <w:r w:rsidRPr="00264D5D">
              <w:rPr>
                <w:szCs w:val="22"/>
              </w:rPr>
              <w:t>П</w:t>
            </w:r>
          </w:p>
        </w:tc>
        <w:tc>
          <w:tcPr>
            <w:tcW w:w="581" w:type="pct"/>
          </w:tcPr>
          <w:p w14:paraId="6E368BA8" w14:textId="77777777" w:rsidR="00AD1F54" w:rsidRPr="00264D5D" w:rsidRDefault="00941227">
            <w:pPr>
              <w:pStyle w:val="GOSTTablenorm"/>
              <w:rPr>
                <w:szCs w:val="22"/>
              </w:rPr>
            </w:pPr>
            <w:r w:rsidRPr="00264D5D">
              <w:rPr>
                <w:szCs w:val="22"/>
                <w:lang w:val="en-US"/>
              </w:rPr>
              <w:t>Date</w:t>
            </w:r>
          </w:p>
        </w:tc>
        <w:tc>
          <w:tcPr>
            <w:tcW w:w="293" w:type="pct"/>
          </w:tcPr>
          <w:p w14:paraId="3D989202" w14:textId="77777777" w:rsidR="00AD1F54" w:rsidRPr="00264D5D" w:rsidRDefault="00941227">
            <w:pPr>
              <w:pStyle w:val="GOSTTablenorm"/>
              <w:rPr>
                <w:szCs w:val="22"/>
              </w:rPr>
            </w:pPr>
            <w:r w:rsidRPr="00264D5D">
              <w:rPr>
                <w:szCs w:val="22"/>
              </w:rPr>
              <w:t>Н</w:t>
            </w:r>
          </w:p>
        </w:tc>
        <w:tc>
          <w:tcPr>
            <w:tcW w:w="1912" w:type="pct"/>
          </w:tcPr>
          <w:p w14:paraId="212638CF" w14:textId="77777777" w:rsidR="00AD1F54" w:rsidRPr="00264D5D" w:rsidRDefault="00941227">
            <w:pPr>
              <w:pStyle w:val="GOSTTablenorm"/>
              <w:rPr>
                <w:szCs w:val="22"/>
              </w:rPr>
            </w:pPr>
            <w:r w:rsidRPr="00264D5D">
              <w:rPr>
                <w:szCs w:val="22"/>
              </w:rPr>
              <w:t xml:space="preserve">Указывается дата валютирования. </w:t>
            </w:r>
          </w:p>
          <w:p w14:paraId="525E2E1F" w14:textId="77777777" w:rsidR="00AD1F54" w:rsidRPr="00264D5D" w:rsidRDefault="00941227">
            <w:pPr>
              <w:pStyle w:val="GOSTTablenorm"/>
              <w:rPr>
                <w:szCs w:val="22"/>
              </w:rPr>
            </w:pPr>
            <w:r w:rsidRPr="00264D5D">
              <w:rPr>
                <w:szCs w:val="22"/>
              </w:rPr>
              <w:t>Обязательно для заполнения, если банковский счет клиента-перевододателя открыт в Операционном управлении Банка России.</w:t>
            </w:r>
          </w:p>
          <w:p w14:paraId="021C3BB3" w14:textId="77777777" w:rsidR="00AD1F54" w:rsidRPr="00264D5D" w:rsidRDefault="00941227">
            <w:pPr>
              <w:pStyle w:val="GOSTTablenorm"/>
              <w:rPr>
                <w:szCs w:val="22"/>
              </w:rPr>
            </w:pPr>
            <w:r w:rsidRPr="00264D5D">
              <w:rPr>
                <w:szCs w:val="22"/>
              </w:rPr>
              <w:t>Не заполняется, если банковский счет клиента-перевододателя открыт в Сбербанке России</w:t>
            </w:r>
            <w:r w:rsidR="00A5124A" w:rsidRPr="00264D5D">
              <w:rPr>
                <w:szCs w:val="22"/>
              </w:rPr>
              <w:t xml:space="preserve"> или иной кредитной организации</w:t>
            </w:r>
          </w:p>
        </w:tc>
      </w:tr>
      <w:tr w:rsidR="00AD1F54" w:rsidRPr="00264D5D" w14:paraId="5D315443" w14:textId="77777777" w:rsidTr="00AD1F54">
        <w:trPr>
          <w:trHeight w:val="283"/>
        </w:trPr>
        <w:tc>
          <w:tcPr>
            <w:tcW w:w="884" w:type="pct"/>
          </w:tcPr>
          <w:p w14:paraId="59C8D6AB" w14:textId="77777777" w:rsidR="00AD1F54" w:rsidRPr="00264D5D" w:rsidRDefault="00941227">
            <w:pPr>
              <w:pStyle w:val="GOSTTablenorm"/>
              <w:rPr>
                <w:szCs w:val="22"/>
              </w:rPr>
            </w:pPr>
            <w:r w:rsidRPr="00264D5D">
              <w:rPr>
                <w:szCs w:val="22"/>
              </w:rPr>
              <w:t>Код валюты перевода</w:t>
            </w:r>
          </w:p>
        </w:tc>
        <w:tc>
          <w:tcPr>
            <w:tcW w:w="960" w:type="pct"/>
          </w:tcPr>
          <w:p w14:paraId="08E03DF5" w14:textId="77777777" w:rsidR="00AD1F54" w:rsidRPr="00264D5D" w:rsidRDefault="00941227">
            <w:pPr>
              <w:pStyle w:val="GOSTTablenorm"/>
              <w:rPr>
                <w:szCs w:val="22"/>
              </w:rPr>
            </w:pPr>
            <w:r w:rsidRPr="00264D5D">
              <w:rPr>
                <w:szCs w:val="22"/>
              </w:rPr>
              <w:t>ZR_CodeRemOKV</w:t>
            </w:r>
          </w:p>
        </w:tc>
        <w:tc>
          <w:tcPr>
            <w:tcW w:w="370" w:type="pct"/>
          </w:tcPr>
          <w:p w14:paraId="1DB59FB2" w14:textId="77777777" w:rsidR="00AD1F54" w:rsidRPr="00264D5D" w:rsidRDefault="00941227">
            <w:pPr>
              <w:pStyle w:val="GOSTTablenorm"/>
              <w:rPr>
                <w:szCs w:val="22"/>
              </w:rPr>
            </w:pPr>
            <w:r w:rsidRPr="00264D5D">
              <w:rPr>
                <w:szCs w:val="22"/>
              </w:rPr>
              <w:t>П</w:t>
            </w:r>
          </w:p>
        </w:tc>
        <w:tc>
          <w:tcPr>
            <w:tcW w:w="581" w:type="pct"/>
          </w:tcPr>
          <w:p w14:paraId="5BBC3246" w14:textId="77777777" w:rsidR="00AD1F54" w:rsidRPr="00264D5D" w:rsidRDefault="00941227">
            <w:pPr>
              <w:pStyle w:val="GOSTTablenorm"/>
              <w:rPr>
                <w:szCs w:val="22"/>
              </w:rPr>
            </w:pPr>
            <w:r w:rsidRPr="00264D5D">
              <w:rPr>
                <w:szCs w:val="22"/>
              </w:rPr>
              <w:t>Т(3)</w:t>
            </w:r>
          </w:p>
        </w:tc>
        <w:tc>
          <w:tcPr>
            <w:tcW w:w="293" w:type="pct"/>
          </w:tcPr>
          <w:p w14:paraId="5DE193A0" w14:textId="77777777" w:rsidR="00AD1F54" w:rsidRPr="00264D5D" w:rsidRDefault="00941227">
            <w:pPr>
              <w:pStyle w:val="GOSTTablenorm"/>
              <w:rPr>
                <w:szCs w:val="22"/>
              </w:rPr>
            </w:pPr>
            <w:r w:rsidRPr="00264D5D">
              <w:rPr>
                <w:szCs w:val="22"/>
              </w:rPr>
              <w:t>О</w:t>
            </w:r>
          </w:p>
        </w:tc>
        <w:tc>
          <w:tcPr>
            <w:tcW w:w="1912" w:type="pct"/>
          </w:tcPr>
          <w:p w14:paraId="31E9460E" w14:textId="77777777" w:rsidR="00AD1F54" w:rsidRPr="00264D5D" w:rsidRDefault="00941227">
            <w:pPr>
              <w:pStyle w:val="GOSTTablenorm"/>
              <w:rPr>
                <w:szCs w:val="22"/>
              </w:rPr>
            </w:pPr>
            <w:r w:rsidRPr="00264D5D">
              <w:rPr>
                <w:szCs w:val="22"/>
              </w:rPr>
              <w:t>Указывается код валюты перевода в соответствии со справочником «Общеросс</w:t>
            </w:r>
            <w:r w:rsidR="00A5124A" w:rsidRPr="00264D5D">
              <w:rPr>
                <w:szCs w:val="22"/>
              </w:rPr>
              <w:t>ийский классификатор валют ОКВ»</w:t>
            </w:r>
          </w:p>
        </w:tc>
      </w:tr>
      <w:tr w:rsidR="00AD1F54" w:rsidRPr="00264D5D" w14:paraId="72386788" w14:textId="77777777" w:rsidTr="00AD1F54">
        <w:trPr>
          <w:trHeight w:val="283"/>
        </w:trPr>
        <w:tc>
          <w:tcPr>
            <w:tcW w:w="884" w:type="pct"/>
          </w:tcPr>
          <w:p w14:paraId="487A6BA0" w14:textId="77777777" w:rsidR="00AD1F54" w:rsidRPr="00264D5D" w:rsidRDefault="00941227">
            <w:pPr>
              <w:pStyle w:val="GOSTTablenorm"/>
              <w:rPr>
                <w:szCs w:val="22"/>
              </w:rPr>
            </w:pPr>
            <w:r w:rsidRPr="00264D5D">
              <w:rPr>
                <w:szCs w:val="22"/>
              </w:rPr>
              <w:t xml:space="preserve">Сумма </w:t>
            </w:r>
          </w:p>
        </w:tc>
        <w:tc>
          <w:tcPr>
            <w:tcW w:w="960" w:type="pct"/>
          </w:tcPr>
          <w:p w14:paraId="1B7FB870" w14:textId="77777777" w:rsidR="00AD1F54" w:rsidRPr="00264D5D" w:rsidRDefault="00941227">
            <w:pPr>
              <w:pStyle w:val="GOSTTablenorm"/>
              <w:rPr>
                <w:szCs w:val="22"/>
              </w:rPr>
            </w:pPr>
            <w:r w:rsidRPr="00264D5D">
              <w:rPr>
                <w:szCs w:val="22"/>
              </w:rPr>
              <w:t>ZR_SumRem</w:t>
            </w:r>
          </w:p>
        </w:tc>
        <w:tc>
          <w:tcPr>
            <w:tcW w:w="370" w:type="pct"/>
          </w:tcPr>
          <w:p w14:paraId="0DD355F7" w14:textId="77777777" w:rsidR="00AD1F54" w:rsidRPr="00264D5D" w:rsidRDefault="00941227">
            <w:pPr>
              <w:pStyle w:val="GOSTTablenorm"/>
              <w:rPr>
                <w:szCs w:val="22"/>
              </w:rPr>
            </w:pPr>
            <w:r w:rsidRPr="00264D5D">
              <w:rPr>
                <w:szCs w:val="22"/>
              </w:rPr>
              <w:t>П</w:t>
            </w:r>
          </w:p>
        </w:tc>
        <w:tc>
          <w:tcPr>
            <w:tcW w:w="581" w:type="pct"/>
          </w:tcPr>
          <w:p w14:paraId="7F959DD3" w14:textId="77777777" w:rsidR="00AD1F54" w:rsidRPr="00264D5D" w:rsidRDefault="00941227">
            <w:pPr>
              <w:pStyle w:val="GOSTTablenorm"/>
              <w:rPr>
                <w:szCs w:val="22"/>
              </w:rPr>
            </w:pPr>
            <w:r w:rsidRPr="00264D5D">
              <w:rPr>
                <w:szCs w:val="22"/>
                <w:lang w:val="en-US"/>
              </w:rPr>
              <w:t>N(20.2)</w:t>
            </w:r>
          </w:p>
        </w:tc>
        <w:tc>
          <w:tcPr>
            <w:tcW w:w="293" w:type="pct"/>
          </w:tcPr>
          <w:p w14:paraId="29D4913A" w14:textId="77777777" w:rsidR="00AD1F54" w:rsidRPr="00264D5D" w:rsidRDefault="00941227">
            <w:pPr>
              <w:pStyle w:val="GOSTTablenorm"/>
              <w:rPr>
                <w:szCs w:val="22"/>
              </w:rPr>
            </w:pPr>
            <w:r w:rsidRPr="00264D5D">
              <w:rPr>
                <w:szCs w:val="22"/>
              </w:rPr>
              <w:t>Н</w:t>
            </w:r>
          </w:p>
        </w:tc>
        <w:tc>
          <w:tcPr>
            <w:tcW w:w="1912" w:type="pct"/>
          </w:tcPr>
          <w:p w14:paraId="5AD4355C" w14:textId="77777777" w:rsidR="00D86A54" w:rsidRPr="00C860E8" w:rsidRDefault="00D86A54" w:rsidP="00D86A54">
            <w:pPr>
              <w:pStyle w:val="GOSTTablenorm"/>
            </w:pPr>
            <w:r w:rsidRPr="003D78D1">
              <w:t>Указывается сумма перевода</w:t>
            </w:r>
            <w:r>
              <w:t>.</w:t>
            </w:r>
          </w:p>
          <w:p w14:paraId="1A0FFBB7" w14:textId="77777777" w:rsidR="00AD1F54" w:rsidRPr="00264D5D" w:rsidRDefault="00D86A54" w:rsidP="00D86A54">
            <w:pPr>
              <w:pStyle w:val="GOSTTablenorm"/>
              <w:rPr>
                <w:szCs w:val="22"/>
              </w:rPr>
            </w:pPr>
            <w:r w:rsidRPr="00C860E8">
              <w:rPr>
                <w:highlight w:val="green"/>
              </w:rPr>
              <w:t>Обязательно к заполнению для взаимодействия с ПУД ЭБ</w:t>
            </w:r>
          </w:p>
        </w:tc>
      </w:tr>
      <w:tr w:rsidR="00AD1F54" w:rsidRPr="00264D5D" w14:paraId="13EF2E77" w14:textId="77777777" w:rsidTr="00AD1F54">
        <w:trPr>
          <w:trHeight w:val="283"/>
        </w:trPr>
        <w:tc>
          <w:tcPr>
            <w:tcW w:w="884" w:type="pct"/>
          </w:tcPr>
          <w:p w14:paraId="78E8B441" w14:textId="77777777" w:rsidR="00AD1F54" w:rsidRPr="00264D5D" w:rsidRDefault="00941227">
            <w:pPr>
              <w:pStyle w:val="GOSTTablenorm"/>
              <w:rPr>
                <w:szCs w:val="22"/>
              </w:rPr>
            </w:pPr>
            <w:r w:rsidRPr="00264D5D">
              <w:rPr>
                <w:szCs w:val="22"/>
              </w:rPr>
              <w:t>Номер счета клиента-перевододателя</w:t>
            </w:r>
          </w:p>
        </w:tc>
        <w:tc>
          <w:tcPr>
            <w:tcW w:w="960" w:type="pct"/>
          </w:tcPr>
          <w:p w14:paraId="12581887" w14:textId="77777777" w:rsidR="00AD1F54" w:rsidRPr="00264D5D" w:rsidRDefault="00941227">
            <w:pPr>
              <w:pStyle w:val="GOSTTablenorm"/>
              <w:rPr>
                <w:szCs w:val="22"/>
              </w:rPr>
            </w:pPr>
            <w:r w:rsidRPr="00264D5D">
              <w:rPr>
                <w:szCs w:val="22"/>
              </w:rPr>
              <w:t>ZR_AccNumberRem</w:t>
            </w:r>
          </w:p>
        </w:tc>
        <w:tc>
          <w:tcPr>
            <w:tcW w:w="370" w:type="pct"/>
          </w:tcPr>
          <w:p w14:paraId="58B1B0B5" w14:textId="77777777" w:rsidR="00AD1F54" w:rsidRPr="00264D5D" w:rsidRDefault="00941227">
            <w:pPr>
              <w:pStyle w:val="GOSTTablenorm"/>
              <w:rPr>
                <w:szCs w:val="22"/>
              </w:rPr>
            </w:pPr>
            <w:r w:rsidRPr="00264D5D">
              <w:rPr>
                <w:szCs w:val="22"/>
              </w:rPr>
              <w:t>П</w:t>
            </w:r>
          </w:p>
        </w:tc>
        <w:tc>
          <w:tcPr>
            <w:tcW w:w="581" w:type="pct"/>
          </w:tcPr>
          <w:p w14:paraId="33D4FC67" w14:textId="77777777" w:rsidR="00AD1F54" w:rsidRPr="00264D5D" w:rsidRDefault="00941227">
            <w:pPr>
              <w:pStyle w:val="GOSTTablenorm"/>
              <w:rPr>
                <w:szCs w:val="22"/>
              </w:rPr>
            </w:pPr>
            <w:r w:rsidRPr="00264D5D">
              <w:rPr>
                <w:szCs w:val="22"/>
              </w:rPr>
              <w:t>Т(1-</w:t>
            </w:r>
            <w:r w:rsidRPr="00264D5D">
              <w:rPr>
                <w:szCs w:val="22"/>
                <w:lang w:val="en-US"/>
              </w:rPr>
              <w:t>3</w:t>
            </w:r>
            <w:r w:rsidRPr="00264D5D">
              <w:rPr>
                <w:szCs w:val="22"/>
              </w:rPr>
              <w:t>4)</w:t>
            </w:r>
          </w:p>
        </w:tc>
        <w:tc>
          <w:tcPr>
            <w:tcW w:w="293" w:type="pct"/>
          </w:tcPr>
          <w:p w14:paraId="0CE3BD6F" w14:textId="77777777" w:rsidR="00AD1F54" w:rsidRPr="00264D5D" w:rsidRDefault="00941227">
            <w:pPr>
              <w:pStyle w:val="GOSTTablenorm"/>
              <w:rPr>
                <w:szCs w:val="22"/>
              </w:rPr>
            </w:pPr>
            <w:r w:rsidRPr="00264D5D">
              <w:rPr>
                <w:szCs w:val="22"/>
              </w:rPr>
              <w:t>Н</w:t>
            </w:r>
          </w:p>
        </w:tc>
        <w:tc>
          <w:tcPr>
            <w:tcW w:w="1912" w:type="pct"/>
          </w:tcPr>
          <w:p w14:paraId="17E6FFC7" w14:textId="77777777" w:rsidR="00AD1F54" w:rsidRPr="00264D5D" w:rsidRDefault="00941227">
            <w:pPr>
              <w:pStyle w:val="GOSTTablenorm"/>
              <w:rPr>
                <w:szCs w:val="22"/>
              </w:rPr>
            </w:pPr>
            <w:r w:rsidRPr="00264D5D">
              <w:rPr>
                <w:szCs w:val="22"/>
              </w:rPr>
              <w:t>Указывается ном</w:t>
            </w:r>
            <w:r w:rsidR="00A5124A" w:rsidRPr="00264D5D">
              <w:rPr>
                <w:szCs w:val="22"/>
              </w:rPr>
              <w:t>ер счета клиента-перевододателя</w:t>
            </w:r>
          </w:p>
        </w:tc>
      </w:tr>
      <w:tr w:rsidR="00AD1F54" w:rsidRPr="00264D5D" w14:paraId="4091E900" w14:textId="77777777" w:rsidTr="00AD1F54">
        <w:trPr>
          <w:trHeight w:val="283"/>
        </w:trPr>
        <w:tc>
          <w:tcPr>
            <w:tcW w:w="884" w:type="pct"/>
          </w:tcPr>
          <w:p w14:paraId="59D65569" w14:textId="77777777" w:rsidR="00AD1F54" w:rsidRPr="00264D5D" w:rsidRDefault="00941227">
            <w:pPr>
              <w:pStyle w:val="GOSTTablenorm"/>
              <w:rPr>
                <w:szCs w:val="22"/>
              </w:rPr>
            </w:pPr>
            <w:r w:rsidRPr="00264D5D">
              <w:rPr>
                <w:szCs w:val="22"/>
              </w:rPr>
              <w:t>Номер счета бенефициара</w:t>
            </w:r>
          </w:p>
          <w:p w14:paraId="0E97703E" w14:textId="77777777" w:rsidR="00AD1F54" w:rsidRPr="00264D5D" w:rsidRDefault="00AD1F54">
            <w:pPr>
              <w:pStyle w:val="GOSTTablenorm"/>
              <w:rPr>
                <w:szCs w:val="22"/>
              </w:rPr>
            </w:pPr>
          </w:p>
        </w:tc>
        <w:tc>
          <w:tcPr>
            <w:tcW w:w="960" w:type="pct"/>
          </w:tcPr>
          <w:p w14:paraId="62B9BEDB" w14:textId="77777777" w:rsidR="00AD1F54" w:rsidRPr="00264D5D" w:rsidRDefault="00941227">
            <w:pPr>
              <w:pStyle w:val="GOSTTablenorm"/>
              <w:rPr>
                <w:szCs w:val="22"/>
              </w:rPr>
            </w:pPr>
            <w:r w:rsidRPr="00264D5D">
              <w:rPr>
                <w:szCs w:val="22"/>
              </w:rPr>
              <w:t>Beneficiary_AccNumber</w:t>
            </w:r>
          </w:p>
        </w:tc>
        <w:tc>
          <w:tcPr>
            <w:tcW w:w="370" w:type="pct"/>
          </w:tcPr>
          <w:p w14:paraId="0ADBCA94" w14:textId="77777777" w:rsidR="00AD1F54" w:rsidRPr="00264D5D" w:rsidRDefault="00941227">
            <w:pPr>
              <w:pStyle w:val="GOSTTablenorm"/>
              <w:rPr>
                <w:szCs w:val="22"/>
              </w:rPr>
            </w:pPr>
            <w:r w:rsidRPr="00264D5D">
              <w:rPr>
                <w:szCs w:val="22"/>
              </w:rPr>
              <w:t>П</w:t>
            </w:r>
          </w:p>
        </w:tc>
        <w:tc>
          <w:tcPr>
            <w:tcW w:w="581" w:type="pct"/>
          </w:tcPr>
          <w:p w14:paraId="2CF73C46" w14:textId="77777777" w:rsidR="00AD1F54" w:rsidRPr="00264D5D" w:rsidRDefault="00941227">
            <w:pPr>
              <w:pStyle w:val="GOSTTablenorm"/>
              <w:rPr>
                <w:szCs w:val="22"/>
              </w:rPr>
            </w:pPr>
            <w:r w:rsidRPr="00264D5D">
              <w:rPr>
                <w:szCs w:val="22"/>
              </w:rPr>
              <w:t>Т(1-34)</w:t>
            </w:r>
          </w:p>
        </w:tc>
        <w:tc>
          <w:tcPr>
            <w:tcW w:w="293" w:type="pct"/>
          </w:tcPr>
          <w:p w14:paraId="23D01F3A" w14:textId="77777777" w:rsidR="00AD1F54" w:rsidRPr="00264D5D" w:rsidRDefault="00941227">
            <w:pPr>
              <w:pStyle w:val="GOSTTablenorm"/>
              <w:rPr>
                <w:szCs w:val="22"/>
              </w:rPr>
            </w:pPr>
            <w:r w:rsidRPr="00264D5D">
              <w:rPr>
                <w:szCs w:val="22"/>
              </w:rPr>
              <w:t>Н</w:t>
            </w:r>
          </w:p>
        </w:tc>
        <w:tc>
          <w:tcPr>
            <w:tcW w:w="1912" w:type="pct"/>
          </w:tcPr>
          <w:p w14:paraId="024AA6BA" w14:textId="77777777" w:rsidR="00AD1F54" w:rsidRPr="00264D5D" w:rsidRDefault="00941227">
            <w:pPr>
              <w:pStyle w:val="GOSTTablenorm"/>
              <w:rPr>
                <w:szCs w:val="22"/>
              </w:rPr>
            </w:pPr>
            <w:r w:rsidRPr="00264D5D">
              <w:rPr>
                <w:szCs w:val="22"/>
              </w:rPr>
              <w:t>Указывается номер счета бенефициара. Может не заполняться в случае, если банковский счет клиента-перевододателя открыт в Сбербанке России или иной кредитной организации и получателем перевода является банк Израиля.</w:t>
            </w:r>
          </w:p>
          <w:p w14:paraId="04EAD8F5" w14:textId="77777777" w:rsidR="00AD1F54" w:rsidRPr="00264D5D" w:rsidRDefault="00941227">
            <w:pPr>
              <w:pStyle w:val="GOSTTablenorm"/>
              <w:rPr>
                <w:szCs w:val="22"/>
              </w:rPr>
            </w:pPr>
            <w:r w:rsidRPr="00264D5D">
              <w:rPr>
                <w:szCs w:val="22"/>
              </w:rPr>
              <w:t>В остальных слу</w:t>
            </w:r>
            <w:r w:rsidR="00A5124A" w:rsidRPr="00264D5D">
              <w:rPr>
                <w:szCs w:val="22"/>
              </w:rPr>
              <w:t>чаях обязательно для заполнения</w:t>
            </w:r>
          </w:p>
        </w:tc>
      </w:tr>
      <w:tr w:rsidR="00AD1F54" w:rsidRPr="00264D5D" w14:paraId="26448689" w14:textId="77777777" w:rsidTr="00AD1F54">
        <w:trPr>
          <w:trHeight w:val="283"/>
        </w:trPr>
        <w:tc>
          <w:tcPr>
            <w:tcW w:w="884" w:type="pct"/>
          </w:tcPr>
          <w:p w14:paraId="38A48619" w14:textId="77777777" w:rsidR="00AD1F54" w:rsidRPr="00264D5D" w:rsidRDefault="00941227">
            <w:pPr>
              <w:pStyle w:val="GOSTTablenorm"/>
              <w:rPr>
                <w:szCs w:val="22"/>
              </w:rPr>
            </w:pPr>
            <w:r w:rsidRPr="00264D5D">
              <w:rPr>
                <w:szCs w:val="22"/>
              </w:rPr>
              <w:t>Наименование бенефициара</w:t>
            </w:r>
          </w:p>
          <w:p w14:paraId="1AB94739" w14:textId="77777777" w:rsidR="00AD1F54" w:rsidRPr="00264D5D" w:rsidRDefault="00AD1F54">
            <w:pPr>
              <w:pStyle w:val="GOSTTablenorm"/>
              <w:rPr>
                <w:szCs w:val="22"/>
              </w:rPr>
            </w:pPr>
          </w:p>
        </w:tc>
        <w:tc>
          <w:tcPr>
            <w:tcW w:w="960" w:type="pct"/>
          </w:tcPr>
          <w:p w14:paraId="50EE1CE3" w14:textId="77777777" w:rsidR="00AD1F54" w:rsidRPr="00264D5D" w:rsidRDefault="00941227">
            <w:pPr>
              <w:pStyle w:val="GOSTTablenorm"/>
              <w:rPr>
                <w:szCs w:val="22"/>
              </w:rPr>
            </w:pPr>
            <w:r w:rsidRPr="00264D5D">
              <w:rPr>
                <w:szCs w:val="22"/>
              </w:rPr>
              <w:t>Beneficiary_Description</w:t>
            </w:r>
          </w:p>
        </w:tc>
        <w:tc>
          <w:tcPr>
            <w:tcW w:w="370" w:type="pct"/>
          </w:tcPr>
          <w:p w14:paraId="59D71FBB" w14:textId="77777777" w:rsidR="00AD1F54" w:rsidRPr="00264D5D" w:rsidRDefault="00941227">
            <w:pPr>
              <w:pStyle w:val="GOSTTablenorm"/>
              <w:rPr>
                <w:szCs w:val="22"/>
              </w:rPr>
            </w:pPr>
            <w:r w:rsidRPr="00264D5D">
              <w:rPr>
                <w:szCs w:val="22"/>
              </w:rPr>
              <w:t>П</w:t>
            </w:r>
          </w:p>
        </w:tc>
        <w:tc>
          <w:tcPr>
            <w:tcW w:w="581" w:type="pct"/>
          </w:tcPr>
          <w:p w14:paraId="2CE93F06" w14:textId="77777777" w:rsidR="00AD1F54" w:rsidRPr="00264D5D" w:rsidRDefault="00941227">
            <w:pPr>
              <w:pStyle w:val="GOSTTablenorm"/>
              <w:rPr>
                <w:szCs w:val="22"/>
              </w:rPr>
            </w:pPr>
            <w:r w:rsidRPr="00264D5D">
              <w:rPr>
                <w:szCs w:val="22"/>
              </w:rPr>
              <w:t>Т(1-140)</w:t>
            </w:r>
          </w:p>
        </w:tc>
        <w:tc>
          <w:tcPr>
            <w:tcW w:w="293" w:type="pct"/>
          </w:tcPr>
          <w:p w14:paraId="0B2386D9" w14:textId="77777777" w:rsidR="00AD1F54" w:rsidRPr="00264D5D" w:rsidRDefault="00941227">
            <w:pPr>
              <w:pStyle w:val="GOSTTablenorm"/>
              <w:rPr>
                <w:szCs w:val="22"/>
              </w:rPr>
            </w:pPr>
            <w:r w:rsidRPr="00264D5D">
              <w:rPr>
                <w:szCs w:val="22"/>
              </w:rPr>
              <w:t>О</w:t>
            </w:r>
          </w:p>
        </w:tc>
        <w:tc>
          <w:tcPr>
            <w:tcW w:w="1912" w:type="pct"/>
          </w:tcPr>
          <w:p w14:paraId="6CF8F91D" w14:textId="77777777" w:rsidR="00AD1F54" w:rsidRPr="00264D5D" w:rsidRDefault="00941227">
            <w:pPr>
              <w:pStyle w:val="GOSTTablenorm"/>
              <w:rPr>
                <w:szCs w:val="22"/>
              </w:rPr>
            </w:pPr>
            <w:bookmarkStart w:id="4837" w:name="OLE_LINK68"/>
            <w:r w:rsidRPr="00264D5D">
              <w:rPr>
                <w:szCs w:val="22"/>
              </w:rPr>
              <w:t xml:space="preserve">Указывается наименование бенефициара. </w:t>
            </w:r>
            <w:bookmarkEnd w:id="4837"/>
          </w:p>
          <w:p w14:paraId="2679B5EA" w14:textId="77777777" w:rsidR="00AD1F54" w:rsidRPr="00264D5D" w:rsidRDefault="00941227">
            <w:pPr>
              <w:pStyle w:val="GOSTTablenorm"/>
              <w:rPr>
                <w:szCs w:val="22"/>
              </w:rPr>
            </w:pPr>
            <w:r w:rsidRPr="00264D5D">
              <w:rPr>
                <w:szCs w:val="22"/>
              </w:rPr>
              <w:t xml:space="preserve">Значения в поле «Наименование </w:t>
            </w:r>
            <w:r w:rsidRPr="00264D5D">
              <w:rPr>
                <w:szCs w:val="22"/>
              </w:rPr>
              <w:lastRenderedPageBreak/>
              <w:t>бенефициара» и в поле «Адрес бенефициара» не должны превыша</w:t>
            </w:r>
            <w:r w:rsidR="00A5124A" w:rsidRPr="00264D5D">
              <w:rPr>
                <w:szCs w:val="22"/>
              </w:rPr>
              <w:t>ть суммарную длину 140 символов</w:t>
            </w:r>
          </w:p>
        </w:tc>
      </w:tr>
      <w:tr w:rsidR="00AD1F54" w:rsidRPr="00264D5D" w14:paraId="7834109E" w14:textId="77777777" w:rsidTr="00AD1F54">
        <w:trPr>
          <w:trHeight w:val="283"/>
        </w:trPr>
        <w:tc>
          <w:tcPr>
            <w:tcW w:w="884" w:type="pct"/>
          </w:tcPr>
          <w:p w14:paraId="2DE9F5E9" w14:textId="77777777" w:rsidR="00AD1F54" w:rsidRPr="00264D5D" w:rsidRDefault="00941227">
            <w:pPr>
              <w:pStyle w:val="GOSTTablenorm"/>
              <w:rPr>
                <w:szCs w:val="22"/>
              </w:rPr>
            </w:pPr>
            <w:r w:rsidRPr="00264D5D">
              <w:rPr>
                <w:szCs w:val="22"/>
              </w:rPr>
              <w:lastRenderedPageBreak/>
              <w:t>Адрес бенефициара</w:t>
            </w:r>
          </w:p>
        </w:tc>
        <w:tc>
          <w:tcPr>
            <w:tcW w:w="960" w:type="pct"/>
          </w:tcPr>
          <w:p w14:paraId="038BB1B5" w14:textId="77777777" w:rsidR="00AD1F54" w:rsidRPr="00264D5D" w:rsidRDefault="00941227">
            <w:pPr>
              <w:pStyle w:val="GOSTTablenorm"/>
              <w:rPr>
                <w:szCs w:val="22"/>
              </w:rPr>
            </w:pPr>
            <w:r w:rsidRPr="00264D5D">
              <w:rPr>
                <w:szCs w:val="22"/>
              </w:rPr>
              <w:t>Beneficiary_Address</w:t>
            </w:r>
          </w:p>
        </w:tc>
        <w:tc>
          <w:tcPr>
            <w:tcW w:w="370" w:type="pct"/>
          </w:tcPr>
          <w:p w14:paraId="212D19DD" w14:textId="77777777" w:rsidR="00AD1F54" w:rsidRPr="00264D5D" w:rsidRDefault="00941227">
            <w:pPr>
              <w:pStyle w:val="GOSTTablenorm"/>
              <w:rPr>
                <w:szCs w:val="22"/>
              </w:rPr>
            </w:pPr>
            <w:r w:rsidRPr="00264D5D">
              <w:rPr>
                <w:szCs w:val="22"/>
              </w:rPr>
              <w:t>П</w:t>
            </w:r>
          </w:p>
        </w:tc>
        <w:tc>
          <w:tcPr>
            <w:tcW w:w="581" w:type="pct"/>
          </w:tcPr>
          <w:p w14:paraId="5A45F419" w14:textId="77777777" w:rsidR="00AD1F54" w:rsidRPr="00264D5D" w:rsidRDefault="00941227">
            <w:pPr>
              <w:pStyle w:val="GOSTTablenorm"/>
              <w:rPr>
                <w:szCs w:val="22"/>
              </w:rPr>
            </w:pPr>
            <w:r w:rsidRPr="00264D5D">
              <w:rPr>
                <w:szCs w:val="22"/>
              </w:rPr>
              <w:t>Т(1-140)</w:t>
            </w:r>
          </w:p>
        </w:tc>
        <w:tc>
          <w:tcPr>
            <w:tcW w:w="293" w:type="pct"/>
          </w:tcPr>
          <w:p w14:paraId="48B2417E" w14:textId="77777777" w:rsidR="00AD1F54" w:rsidRPr="00264D5D" w:rsidRDefault="00941227">
            <w:pPr>
              <w:pStyle w:val="GOSTTablenorm"/>
              <w:rPr>
                <w:szCs w:val="22"/>
              </w:rPr>
            </w:pPr>
            <w:r w:rsidRPr="00264D5D">
              <w:rPr>
                <w:szCs w:val="22"/>
              </w:rPr>
              <w:t>Н</w:t>
            </w:r>
          </w:p>
        </w:tc>
        <w:tc>
          <w:tcPr>
            <w:tcW w:w="1912" w:type="pct"/>
          </w:tcPr>
          <w:p w14:paraId="79875384" w14:textId="77777777" w:rsidR="00AD1F54" w:rsidRPr="00264D5D" w:rsidRDefault="00941227">
            <w:pPr>
              <w:pStyle w:val="GOSTTablenorm"/>
              <w:rPr>
                <w:szCs w:val="22"/>
              </w:rPr>
            </w:pPr>
            <w:r w:rsidRPr="00264D5D">
              <w:rPr>
                <w:szCs w:val="22"/>
              </w:rPr>
              <w:t xml:space="preserve">Указывается адрес бенефициара. </w:t>
            </w:r>
          </w:p>
          <w:p w14:paraId="579BD980" w14:textId="77777777" w:rsidR="00AD1F54" w:rsidRPr="00264D5D" w:rsidRDefault="00941227">
            <w:pPr>
              <w:pStyle w:val="GOSTTablenorm"/>
              <w:rPr>
                <w:szCs w:val="22"/>
              </w:rPr>
            </w:pPr>
            <w:r w:rsidRPr="00264D5D">
              <w:rPr>
                <w:szCs w:val="22"/>
              </w:rPr>
              <w:t>Обязательно для заполнения, если банковский счет клиента-перевододателя</w:t>
            </w:r>
            <w:r w:rsidRPr="00264D5D">
              <w:rPr>
                <w:b/>
                <w:szCs w:val="22"/>
              </w:rPr>
              <w:t xml:space="preserve"> </w:t>
            </w:r>
            <w:r w:rsidRPr="00264D5D">
              <w:rPr>
                <w:szCs w:val="22"/>
              </w:rPr>
              <w:t>открыт в Сбербанке России или иной кредитной организации.</w:t>
            </w:r>
          </w:p>
          <w:p w14:paraId="10F3E8BB" w14:textId="77777777" w:rsidR="00AD1F54" w:rsidRPr="00264D5D" w:rsidRDefault="00941227" w:rsidP="00A5124A">
            <w:pPr>
              <w:pStyle w:val="GOSTTablenorm"/>
              <w:rPr>
                <w:szCs w:val="22"/>
              </w:rPr>
            </w:pPr>
            <w:r w:rsidRPr="00264D5D">
              <w:rPr>
                <w:szCs w:val="22"/>
              </w:rPr>
              <w:t>Значения в поле «Наименование бенефициара» и в поле «Адрес бенефициара» не должны превыша</w:t>
            </w:r>
            <w:r w:rsidR="00A5124A" w:rsidRPr="00264D5D">
              <w:rPr>
                <w:szCs w:val="22"/>
              </w:rPr>
              <w:t>ть суммарную длину 140 символов</w:t>
            </w:r>
          </w:p>
        </w:tc>
      </w:tr>
      <w:tr w:rsidR="00AD1F54" w:rsidRPr="00264D5D" w14:paraId="27E12532" w14:textId="77777777" w:rsidTr="00AD1F54">
        <w:trPr>
          <w:trHeight w:val="283"/>
        </w:trPr>
        <w:tc>
          <w:tcPr>
            <w:tcW w:w="5000" w:type="pct"/>
            <w:gridSpan w:val="6"/>
          </w:tcPr>
          <w:p w14:paraId="006E7091" w14:textId="77777777" w:rsidR="00AD1F54" w:rsidRPr="00264D5D" w:rsidRDefault="00941227">
            <w:pPr>
              <w:pStyle w:val="GOSTTablenorm"/>
              <w:rPr>
                <w:b/>
                <w:bCs/>
                <w:iCs/>
                <w:szCs w:val="22"/>
              </w:rPr>
            </w:pPr>
            <w:r w:rsidRPr="00264D5D">
              <w:rPr>
                <w:b/>
                <w:bCs/>
                <w:iCs/>
                <w:szCs w:val="22"/>
              </w:rPr>
              <w:t>Банк-бенефициар</w:t>
            </w:r>
          </w:p>
        </w:tc>
      </w:tr>
      <w:tr w:rsidR="00AD1F54" w:rsidRPr="00264D5D" w14:paraId="58C9E5C9" w14:textId="77777777" w:rsidTr="00AD1F54">
        <w:trPr>
          <w:trHeight w:val="283"/>
        </w:trPr>
        <w:tc>
          <w:tcPr>
            <w:tcW w:w="884" w:type="pct"/>
          </w:tcPr>
          <w:p w14:paraId="035CC3B0" w14:textId="77777777" w:rsidR="00AD1F54" w:rsidRPr="00264D5D" w:rsidRDefault="00941227">
            <w:pPr>
              <w:pStyle w:val="GOSTTablenorm"/>
              <w:rPr>
                <w:szCs w:val="22"/>
              </w:rPr>
            </w:pPr>
            <w:bookmarkStart w:id="4838" w:name="OLE_LINK70"/>
            <w:bookmarkStart w:id="4839" w:name="OLE_LINK71"/>
            <w:r w:rsidRPr="00264D5D">
              <w:rPr>
                <w:szCs w:val="22"/>
              </w:rPr>
              <w:t>Номер корсчета банка-бенефициара</w:t>
            </w:r>
            <w:bookmarkEnd w:id="4838"/>
            <w:bookmarkEnd w:id="4839"/>
          </w:p>
          <w:p w14:paraId="18CBF1B9" w14:textId="77777777" w:rsidR="00AD1F54" w:rsidRPr="00264D5D" w:rsidRDefault="00AD1F54">
            <w:pPr>
              <w:pStyle w:val="GOSTTablenorm"/>
              <w:rPr>
                <w:szCs w:val="22"/>
              </w:rPr>
            </w:pPr>
          </w:p>
        </w:tc>
        <w:tc>
          <w:tcPr>
            <w:tcW w:w="960" w:type="pct"/>
          </w:tcPr>
          <w:p w14:paraId="6304F992" w14:textId="77777777" w:rsidR="00AD1F54" w:rsidRPr="00264D5D" w:rsidRDefault="00941227">
            <w:pPr>
              <w:pStyle w:val="GOSTTablenorm"/>
              <w:rPr>
                <w:szCs w:val="22"/>
              </w:rPr>
            </w:pPr>
            <w:r w:rsidRPr="00264D5D">
              <w:rPr>
                <w:szCs w:val="22"/>
              </w:rPr>
              <w:t>BeneficiaryBank_AccNumber</w:t>
            </w:r>
          </w:p>
        </w:tc>
        <w:tc>
          <w:tcPr>
            <w:tcW w:w="370" w:type="pct"/>
          </w:tcPr>
          <w:p w14:paraId="50E73070" w14:textId="77777777" w:rsidR="00AD1F54" w:rsidRPr="00264D5D" w:rsidRDefault="00941227">
            <w:pPr>
              <w:pStyle w:val="GOSTTablenorm"/>
              <w:rPr>
                <w:szCs w:val="22"/>
              </w:rPr>
            </w:pPr>
            <w:r w:rsidRPr="00264D5D">
              <w:rPr>
                <w:szCs w:val="22"/>
              </w:rPr>
              <w:t>П</w:t>
            </w:r>
          </w:p>
        </w:tc>
        <w:tc>
          <w:tcPr>
            <w:tcW w:w="581" w:type="pct"/>
          </w:tcPr>
          <w:p w14:paraId="503A2B7A" w14:textId="77777777" w:rsidR="00AD1F54" w:rsidRPr="00264D5D" w:rsidRDefault="00941227">
            <w:pPr>
              <w:pStyle w:val="GOSTTablenorm"/>
              <w:rPr>
                <w:szCs w:val="22"/>
              </w:rPr>
            </w:pPr>
            <w:r w:rsidRPr="00264D5D">
              <w:rPr>
                <w:szCs w:val="22"/>
              </w:rPr>
              <w:t>Т(1-34)</w:t>
            </w:r>
          </w:p>
        </w:tc>
        <w:tc>
          <w:tcPr>
            <w:tcW w:w="293" w:type="pct"/>
          </w:tcPr>
          <w:p w14:paraId="62A2CBA6" w14:textId="77777777" w:rsidR="00AD1F54" w:rsidRPr="00264D5D" w:rsidRDefault="00941227">
            <w:pPr>
              <w:pStyle w:val="GOSTTablenorm"/>
              <w:rPr>
                <w:szCs w:val="22"/>
              </w:rPr>
            </w:pPr>
            <w:r w:rsidRPr="00264D5D">
              <w:rPr>
                <w:szCs w:val="22"/>
              </w:rPr>
              <w:t>Н</w:t>
            </w:r>
          </w:p>
        </w:tc>
        <w:tc>
          <w:tcPr>
            <w:tcW w:w="1912" w:type="pct"/>
          </w:tcPr>
          <w:p w14:paraId="1A6B8177" w14:textId="77777777" w:rsidR="00AD1F54" w:rsidRPr="00264D5D" w:rsidRDefault="00941227">
            <w:pPr>
              <w:pStyle w:val="GOSTTablenorm"/>
              <w:rPr>
                <w:szCs w:val="22"/>
              </w:rPr>
            </w:pPr>
            <w:bookmarkStart w:id="4840" w:name="OLE_LINK72"/>
            <w:bookmarkStart w:id="4841" w:name="OLE_LINK73"/>
            <w:bookmarkStart w:id="4842" w:name="OLE_LINK74"/>
            <w:r w:rsidRPr="00264D5D">
              <w:rPr>
                <w:szCs w:val="22"/>
              </w:rPr>
              <w:t>Указывается</w:t>
            </w:r>
            <w:bookmarkEnd w:id="4840"/>
            <w:bookmarkEnd w:id="4841"/>
            <w:bookmarkEnd w:id="4842"/>
            <w:r w:rsidRPr="00264D5D">
              <w:rPr>
                <w:szCs w:val="22"/>
              </w:rPr>
              <w:t xml:space="preserve"> н</w:t>
            </w:r>
            <w:r w:rsidR="00A5124A" w:rsidRPr="00264D5D">
              <w:rPr>
                <w:szCs w:val="22"/>
              </w:rPr>
              <w:t>омер корсчета банка-бенефициара</w:t>
            </w:r>
          </w:p>
          <w:p w14:paraId="295263C3" w14:textId="77777777" w:rsidR="00AD1F54" w:rsidRPr="00264D5D" w:rsidRDefault="00AD1F54">
            <w:pPr>
              <w:pStyle w:val="GOSTTablenorm"/>
              <w:rPr>
                <w:szCs w:val="22"/>
              </w:rPr>
            </w:pPr>
          </w:p>
        </w:tc>
      </w:tr>
      <w:tr w:rsidR="00AD1F54" w:rsidRPr="00264D5D" w14:paraId="1D928911" w14:textId="77777777" w:rsidTr="00AD1F54">
        <w:trPr>
          <w:trHeight w:val="283"/>
        </w:trPr>
        <w:tc>
          <w:tcPr>
            <w:tcW w:w="884" w:type="pct"/>
          </w:tcPr>
          <w:p w14:paraId="548147D4" w14:textId="77777777" w:rsidR="00AD1F54" w:rsidRPr="00264D5D" w:rsidRDefault="00941227" w:rsidP="00A5124A">
            <w:pPr>
              <w:pStyle w:val="GOSTTablenorm"/>
              <w:rPr>
                <w:szCs w:val="22"/>
              </w:rPr>
            </w:pPr>
            <w:bookmarkStart w:id="4843" w:name="OLE_LINK75"/>
            <w:bookmarkStart w:id="4844" w:name="OLE_LINK76"/>
            <w:bookmarkStart w:id="4845" w:name="OLE_LINK77"/>
            <w:r w:rsidRPr="00264D5D">
              <w:rPr>
                <w:szCs w:val="22"/>
                <w:lang w:val="en-US"/>
              </w:rPr>
              <w:t>SWIFT</w:t>
            </w:r>
            <w:r w:rsidRPr="00264D5D">
              <w:rPr>
                <w:szCs w:val="22"/>
              </w:rPr>
              <w:t xml:space="preserve"> код банка-бенефициара</w:t>
            </w:r>
            <w:bookmarkEnd w:id="4843"/>
            <w:bookmarkEnd w:id="4844"/>
            <w:bookmarkEnd w:id="4845"/>
          </w:p>
        </w:tc>
        <w:tc>
          <w:tcPr>
            <w:tcW w:w="960" w:type="pct"/>
          </w:tcPr>
          <w:p w14:paraId="7EAD7ADC" w14:textId="77777777" w:rsidR="00AD1F54" w:rsidRPr="00264D5D" w:rsidRDefault="00941227">
            <w:pPr>
              <w:pStyle w:val="GOSTTablenorm"/>
              <w:rPr>
                <w:szCs w:val="22"/>
              </w:rPr>
            </w:pPr>
            <w:r w:rsidRPr="00264D5D">
              <w:rPr>
                <w:szCs w:val="22"/>
              </w:rPr>
              <w:t>BeneficiaryBank_SwiftCode</w:t>
            </w:r>
          </w:p>
        </w:tc>
        <w:tc>
          <w:tcPr>
            <w:tcW w:w="370" w:type="pct"/>
          </w:tcPr>
          <w:p w14:paraId="604F4ADF" w14:textId="77777777" w:rsidR="00AD1F54" w:rsidRPr="00264D5D" w:rsidRDefault="00941227">
            <w:pPr>
              <w:pStyle w:val="GOSTTablenorm"/>
              <w:rPr>
                <w:szCs w:val="22"/>
              </w:rPr>
            </w:pPr>
            <w:r w:rsidRPr="00264D5D">
              <w:rPr>
                <w:szCs w:val="22"/>
              </w:rPr>
              <w:t>П</w:t>
            </w:r>
          </w:p>
        </w:tc>
        <w:tc>
          <w:tcPr>
            <w:tcW w:w="581" w:type="pct"/>
          </w:tcPr>
          <w:p w14:paraId="5CF83E14" w14:textId="77777777" w:rsidR="00AD1F54" w:rsidRPr="00264D5D" w:rsidRDefault="00941227">
            <w:pPr>
              <w:pStyle w:val="GOSTTablenorm"/>
              <w:rPr>
                <w:szCs w:val="22"/>
              </w:rPr>
            </w:pPr>
            <w:r w:rsidRPr="00264D5D">
              <w:rPr>
                <w:szCs w:val="22"/>
              </w:rPr>
              <w:t>Т(1-11)</w:t>
            </w:r>
          </w:p>
        </w:tc>
        <w:tc>
          <w:tcPr>
            <w:tcW w:w="293" w:type="pct"/>
          </w:tcPr>
          <w:p w14:paraId="3A7262C7" w14:textId="77777777" w:rsidR="00AD1F54" w:rsidRPr="00264D5D" w:rsidRDefault="00941227">
            <w:pPr>
              <w:pStyle w:val="GOSTTablenorm"/>
              <w:rPr>
                <w:szCs w:val="22"/>
              </w:rPr>
            </w:pPr>
            <w:r w:rsidRPr="00264D5D">
              <w:rPr>
                <w:szCs w:val="22"/>
              </w:rPr>
              <w:t>Н</w:t>
            </w:r>
          </w:p>
        </w:tc>
        <w:tc>
          <w:tcPr>
            <w:tcW w:w="1912" w:type="pct"/>
          </w:tcPr>
          <w:p w14:paraId="51443A25" w14:textId="77777777" w:rsidR="00AD1F54" w:rsidRPr="00264D5D" w:rsidRDefault="00941227">
            <w:pPr>
              <w:pStyle w:val="GOSTTablenorm"/>
              <w:rPr>
                <w:szCs w:val="22"/>
              </w:rPr>
            </w:pPr>
            <w:r w:rsidRPr="00264D5D">
              <w:rPr>
                <w:szCs w:val="22"/>
              </w:rPr>
              <w:t xml:space="preserve">Указывается </w:t>
            </w:r>
            <w:r w:rsidRPr="00264D5D">
              <w:rPr>
                <w:szCs w:val="22"/>
                <w:lang w:val="en-US"/>
              </w:rPr>
              <w:t>SWIFT</w:t>
            </w:r>
            <w:r w:rsidR="00A5124A" w:rsidRPr="00264D5D">
              <w:rPr>
                <w:szCs w:val="22"/>
              </w:rPr>
              <w:t xml:space="preserve"> код банка-бенефициара</w:t>
            </w:r>
          </w:p>
          <w:p w14:paraId="41776CB7" w14:textId="77777777" w:rsidR="00AD1F54" w:rsidRPr="00264D5D" w:rsidRDefault="00AD1F54">
            <w:pPr>
              <w:pStyle w:val="GOSTTablenorm"/>
              <w:rPr>
                <w:szCs w:val="22"/>
              </w:rPr>
            </w:pPr>
          </w:p>
        </w:tc>
      </w:tr>
      <w:tr w:rsidR="00AD1F54" w:rsidRPr="00264D5D" w14:paraId="724EB3F2" w14:textId="77777777" w:rsidTr="00AD1F54">
        <w:trPr>
          <w:trHeight w:val="283"/>
        </w:trPr>
        <w:tc>
          <w:tcPr>
            <w:tcW w:w="884" w:type="pct"/>
          </w:tcPr>
          <w:p w14:paraId="19A109D3" w14:textId="77777777" w:rsidR="00AD1F54" w:rsidRPr="00264D5D" w:rsidRDefault="00941227">
            <w:pPr>
              <w:pStyle w:val="GOSTTablenorm"/>
              <w:rPr>
                <w:szCs w:val="22"/>
              </w:rPr>
            </w:pPr>
            <w:r w:rsidRPr="00264D5D">
              <w:rPr>
                <w:szCs w:val="22"/>
              </w:rPr>
              <w:t>Наименование банка-бенефициара</w:t>
            </w:r>
          </w:p>
        </w:tc>
        <w:tc>
          <w:tcPr>
            <w:tcW w:w="960" w:type="pct"/>
          </w:tcPr>
          <w:p w14:paraId="5202A36A" w14:textId="77777777" w:rsidR="00AD1F54" w:rsidRPr="00264D5D" w:rsidRDefault="00941227">
            <w:pPr>
              <w:pStyle w:val="GOSTTablenorm"/>
              <w:rPr>
                <w:szCs w:val="22"/>
              </w:rPr>
            </w:pPr>
            <w:r w:rsidRPr="00264D5D">
              <w:rPr>
                <w:szCs w:val="22"/>
              </w:rPr>
              <w:t>BeneficiaryBank_Description</w:t>
            </w:r>
          </w:p>
        </w:tc>
        <w:tc>
          <w:tcPr>
            <w:tcW w:w="370" w:type="pct"/>
          </w:tcPr>
          <w:p w14:paraId="4A440973" w14:textId="77777777" w:rsidR="00AD1F54" w:rsidRPr="00264D5D" w:rsidRDefault="00941227">
            <w:pPr>
              <w:pStyle w:val="GOSTTablenorm"/>
              <w:rPr>
                <w:szCs w:val="22"/>
              </w:rPr>
            </w:pPr>
            <w:r w:rsidRPr="00264D5D">
              <w:rPr>
                <w:szCs w:val="22"/>
              </w:rPr>
              <w:t>П</w:t>
            </w:r>
          </w:p>
        </w:tc>
        <w:tc>
          <w:tcPr>
            <w:tcW w:w="581" w:type="pct"/>
          </w:tcPr>
          <w:p w14:paraId="2F2B68DB" w14:textId="77777777" w:rsidR="00AD1F54" w:rsidRPr="00264D5D" w:rsidRDefault="00941227">
            <w:pPr>
              <w:pStyle w:val="GOSTTablenorm"/>
              <w:rPr>
                <w:szCs w:val="22"/>
              </w:rPr>
            </w:pPr>
            <w:r w:rsidRPr="00264D5D">
              <w:rPr>
                <w:szCs w:val="22"/>
              </w:rPr>
              <w:t>Т(1-140)</w:t>
            </w:r>
          </w:p>
        </w:tc>
        <w:tc>
          <w:tcPr>
            <w:tcW w:w="293" w:type="pct"/>
          </w:tcPr>
          <w:p w14:paraId="2F625880" w14:textId="77777777" w:rsidR="00AD1F54" w:rsidRPr="00264D5D" w:rsidRDefault="00941227">
            <w:pPr>
              <w:pStyle w:val="GOSTTablenorm"/>
              <w:rPr>
                <w:szCs w:val="22"/>
              </w:rPr>
            </w:pPr>
            <w:r w:rsidRPr="00264D5D">
              <w:rPr>
                <w:szCs w:val="22"/>
              </w:rPr>
              <w:t>Н</w:t>
            </w:r>
          </w:p>
        </w:tc>
        <w:tc>
          <w:tcPr>
            <w:tcW w:w="1912" w:type="pct"/>
          </w:tcPr>
          <w:p w14:paraId="6AE9F027" w14:textId="77777777" w:rsidR="00A5124A" w:rsidRPr="00264D5D" w:rsidRDefault="00941227">
            <w:pPr>
              <w:pStyle w:val="GOSTTablenorm"/>
              <w:rPr>
                <w:szCs w:val="22"/>
              </w:rPr>
            </w:pPr>
            <w:bookmarkStart w:id="4846" w:name="OLE_LINK78"/>
            <w:r w:rsidRPr="00264D5D">
              <w:rPr>
                <w:szCs w:val="22"/>
              </w:rPr>
              <w:t xml:space="preserve">Указывается наименование банка-бенефициара. </w:t>
            </w:r>
          </w:p>
          <w:p w14:paraId="2BAEF737" w14:textId="77777777" w:rsidR="00AD1F54" w:rsidRPr="00264D5D" w:rsidRDefault="00941227">
            <w:pPr>
              <w:pStyle w:val="GOSTTablenorm"/>
              <w:rPr>
                <w:szCs w:val="22"/>
              </w:rPr>
            </w:pPr>
            <w:r w:rsidRPr="00264D5D">
              <w:rPr>
                <w:szCs w:val="22"/>
              </w:rPr>
              <w:t>Значения в поле «Наименование»</w:t>
            </w:r>
            <w:r w:rsidRPr="00264D5D">
              <w:rPr>
                <w:b/>
                <w:szCs w:val="22"/>
              </w:rPr>
              <w:t xml:space="preserve">, </w:t>
            </w:r>
            <w:r w:rsidRPr="00264D5D">
              <w:rPr>
                <w:szCs w:val="22"/>
              </w:rPr>
              <w:t>в поле «БИК» и в поле «Адрес» не должны превышать суммарную длину 140 символов</w:t>
            </w:r>
            <w:bookmarkEnd w:id="4846"/>
          </w:p>
        </w:tc>
      </w:tr>
      <w:tr w:rsidR="00AD1F54" w:rsidRPr="00264D5D" w14:paraId="21511290" w14:textId="77777777" w:rsidTr="00AD1F54">
        <w:trPr>
          <w:trHeight w:val="283"/>
        </w:trPr>
        <w:tc>
          <w:tcPr>
            <w:tcW w:w="884" w:type="pct"/>
          </w:tcPr>
          <w:p w14:paraId="505A493E" w14:textId="77777777" w:rsidR="00AD1F54" w:rsidRPr="00264D5D" w:rsidRDefault="00941227">
            <w:pPr>
              <w:pStyle w:val="GOSTTablenorm"/>
              <w:rPr>
                <w:szCs w:val="22"/>
              </w:rPr>
            </w:pPr>
            <w:r w:rsidRPr="00264D5D">
              <w:rPr>
                <w:szCs w:val="22"/>
              </w:rPr>
              <w:t>БИК банка-бенефициара</w:t>
            </w:r>
          </w:p>
          <w:p w14:paraId="32B8B2F4" w14:textId="77777777" w:rsidR="00AD1F54" w:rsidRPr="00264D5D" w:rsidRDefault="00AD1F54">
            <w:pPr>
              <w:pStyle w:val="GOSTTablenorm"/>
              <w:rPr>
                <w:szCs w:val="22"/>
              </w:rPr>
            </w:pPr>
          </w:p>
        </w:tc>
        <w:tc>
          <w:tcPr>
            <w:tcW w:w="960" w:type="pct"/>
          </w:tcPr>
          <w:p w14:paraId="72B615E7" w14:textId="77777777" w:rsidR="00AD1F54" w:rsidRPr="00264D5D" w:rsidRDefault="00941227">
            <w:pPr>
              <w:pStyle w:val="GOSTTablenorm"/>
              <w:rPr>
                <w:szCs w:val="22"/>
              </w:rPr>
            </w:pPr>
            <w:r w:rsidRPr="00264D5D">
              <w:rPr>
                <w:szCs w:val="22"/>
              </w:rPr>
              <w:t>BeneficiaryBank_BIC</w:t>
            </w:r>
          </w:p>
        </w:tc>
        <w:tc>
          <w:tcPr>
            <w:tcW w:w="370" w:type="pct"/>
          </w:tcPr>
          <w:p w14:paraId="4E7321E6" w14:textId="77777777" w:rsidR="00AD1F54" w:rsidRPr="00264D5D" w:rsidRDefault="00941227">
            <w:pPr>
              <w:pStyle w:val="GOSTTablenorm"/>
              <w:rPr>
                <w:szCs w:val="22"/>
              </w:rPr>
            </w:pPr>
            <w:r w:rsidRPr="00264D5D">
              <w:rPr>
                <w:szCs w:val="22"/>
              </w:rPr>
              <w:t>П</w:t>
            </w:r>
          </w:p>
        </w:tc>
        <w:tc>
          <w:tcPr>
            <w:tcW w:w="581" w:type="pct"/>
          </w:tcPr>
          <w:p w14:paraId="31E84C72" w14:textId="77777777" w:rsidR="00AD1F54" w:rsidRPr="00264D5D" w:rsidRDefault="00941227">
            <w:pPr>
              <w:pStyle w:val="GOSTTablenorm"/>
              <w:rPr>
                <w:szCs w:val="22"/>
              </w:rPr>
            </w:pPr>
            <w:r w:rsidRPr="00264D5D">
              <w:rPr>
                <w:szCs w:val="22"/>
              </w:rPr>
              <w:t>Т(9)</w:t>
            </w:r>
          </w:p>
        </w:tc>
        <w:tc>
          <w:tcPr>
            <w:tcW w:w="293" w:type="pct"/>
          </w:tcPr>
          <w:p w14:paraId="37C98DBA" w14:textId="77777777" w:rsidR="00AD1F54" w:rsidRPr="00264D5D" w:rsidRDefault="00941227">
            <w:pPr>
              <w:pStyle w:val="GOSTTablenorm"/>
              <w:rPr>
                <w:szCs w:val="22"/>
              </w:rPr>
            </w:pPr>
            <w:r w:rsidRPr="00264D5D">
              <w:rPr>
                <w:szCs w:val="22"/>
              </w:rPr>
              <w:t>Н</w:t>
            </w:r>
          </w:p>
        </w:tc>
        <w:tc>
          <w:tcPr>
            <w:tcW w:w="1912" w:type="pct"/>
          </w:tcPr>
          <w:p w14:paraId="4A4EEA04" w14:textId="77777777" w:rsidR="00A5124A" w:rsidRPr="00264D5D" w:rsidRDefault="00941227" w:rsidP="00A5124A">
            <w:pPr>
              <w:pStyle w:val="GOSTTablenorm"/>
              <w:rPr>
                <w:szCs w:val="22"/>
              </w:rPr>
            </w:pPr>
            <w:r w:rsidRPr="00264D5D">
              <w:rPr>
                <w:szCs w:val="22"/>
              </w:rPr>
              <w:t xml:space="preserve">Указывается БИК банка-бенефициара. </w:t>
            </w:r>
          </w:p>
          <w:p w14:paraId="5074864D" w14:textId="77777777" w:rsidR="00AD1F54" w:rsidRPr="00264D5D" w:rsidRDefault="00941227" w:rsidP="00A5124A">
            <w:pPr>
              <w:pStyle w:val="GOSTTablenorm"/>
              <w:rPr>
                <w:szCs w:val="22"/>
              </w:rPr>
            </w:pPr>
            <w:r w:rsidRPr="00264D5D">
              <w:rPr>
                <w:szCs w:val="22"/>
              </w:rPr>
              <w:t>Значения в поле «Наименование»</w:t>
            </w:r>
            <w:r w:rsidRPr="00264D5D">
              <w:rPr>
                <w:b/>
                <w:szCs w:val="22"/>
              </w:rPr>
              <w:t xml:space="preserve">, </w:t>
            </w:r>
            <w:r w:rsidRPr="00264D5D">
              <w:rPr>
                <w:szCs w:val="22"/>
              </w:rPr>
              <w:t>в поле «БИК» и в поле «Адрес» не должны превыша</w:t>
            </w:r>
            <w:r w:rsidR="00A5124A" w:rsidRPr="00264D5D">
              <w:rPr>
                <w:szCs w:val="22"/>
              </w:rPr>
              <w:t>ть суммарную длину 140 символов</w:t>
            </w:r>
          </w:p>
        </w:tc>
      </w:tr>
      <w:tr w:rsidR="00AD1F54" w:rsidRPr="00264D5D" w14:paraId="61EE3B72" w14:textId="77777777" w:rsidTr="00AD1F54">
        <w:trPr>
          <w:trHeight w:val="283"/>
        </w:trPr>
        <w:tc>
          <w:tcPr>
            <w:tcW w:w="884" w:type="pct"/>
          </w:tcPr>
          <w:p w14:paraId="3E41E8F1" w14:textId="77777777" w:rsidR="00AD1F54" w:rsidRPr="00264D5D" w:rsidRDefault="00941227">
            <w:pPr>
              <w:pStyle w:val="GOSTTablenorm"/>
              <w:rPr>
                <w:szCs w:val="22"/>
              </w:rPr>
            </w:pPr>
            <w:r w:rsidRPr="00264D5D">
              <w:rPr>
                <w:szCs w:val="22"/>
              </w:rPr>
              <w:t>Адрес банка-бенефициара</w:t>
            </w:r>
          </w:p>
          <w:p w14:paraId="01923C19" w14:textId="77777777" w:rsidR="00AD1F54" w:rsidRPr="00264D5D" w:rsidRDefault="00AD1F54">
            <w:pPr>
              <w:pStyle w:val="GOSTTablenorm"/>
              <w:rPr>
                <w:szCs w:val="22"/>
              </w:rPr>
            </w:pPr>
          </w:p>
        </w:tc>
        <w:tc>
          <w:tcPr>
            <w:tcW w:w="960" w:type="pct"/>
          </w:tcPr>
          <w:p w14:paraId="621836B0" w14:textId="77777777" w:rsidR="00AD1F54" w:rsidRPr="00264D5D" w:rsidRDefault="00941227">
            <w:pPr>
              <w:pStyle w:val="GOSTTablenorm"/>
              <w:rPr>
                <w:szCs w:val="22"/>
              </w:rPr>
            </w:pPr>
            <w:r w:rsidRPr="00264D5D">
              <w:rPr>
                <w:szCs w:val="22"/>
              </w:rPr>
              <w:t>BeneficiaryBank_Address</w:t>
            </w:r>
          </w:p>
        </w:tc>
        <w:tc>
          <w:tcPr>
            <w:tcW w:w="370" w:type="pct"/>
          </w:tcPr>
          <w:p w14:paraId="55F6F333" w14:textId="77777777" w:rsidR="00AD1F54" w:rsidRPr="00264D5D" w:rsidRDefault="00941227">
            <w:pPr>
              <w:pStyle w:val="GOSTTablenorm"/>
              <w:rPr>
                <w:szCs w:val="22"/>
              </w:rPr>
            </w:pPr>
            <w:r w:rsidRPr="00264D5D">
              <w:rPr>
                <w:szCs w:val="22"/>
              </w:rPr>
              <w:t>П</w:t>
            </w:r>
          </w:p>
        </w:tc>
        <w:tc>
          <w:tcPr>
            <w:tcW w:w="581" w:type="pct"/>
          </w:tcPr>
          <w:p w14:paraId="7DDCDB18" w14:textId="77777777" w:rsidR="00AD1F54" w:rsidRPr="00264D5D" w:rsidRDefault="00941227">
            <w:pPr>
              <w:pStyle w:val="GOSTTablenorm"/>
              <w:rPr>
                <w:szCs w:val="22"/>
              </w:rPr>
            </w:pPr>
            <w:r w:rsidRPr="00264D5D">
              <w:rPr>
                <w:szCs w:val="22"/>
              </w:rPr>
              <w:t>Т(1-140)</w:t>
            </w:r>
          </w:p>
        </w:tc>
        <w:tc>
          <w:tcPr>
            <w:tcW w:w="293" w:type="pct"/>
          </w:tcPr>
          <w:p w14:paraId="1CCE1351" w14:textId="77777777" w:rsidR="00AD1F54" w:rsidRPr="00264D5D" w:rsidRDefault="00941227">
            <w:pPr>
              <w:pStyle w:val="GOSTTablenorm"/>
              <w:rPr>
                <w:szCs w:val="22"/>
              </w:rPr>
            </w:pPr>
            <w:r w:rsidRPr="00264D5D">
              <w:rPr>
                <w:szCs w:val="22"/>
              </w:rPr>
              <w:t>Н</w:t>
            </w:r>
          </w:p>
        </w:tc>
        <w:tc>
          <w:tcPr>
            <w:tcW w:w="1912" w:type="pct"/>
          </w:tcPr>
          <w:p w14:paraId="28C7DDF9" w14:textId="77777777" w:rsidR="00A5124A" w:rsidRPr="00264D5D" w:rsidRDefault="00941227">
            <w:pPr>
              <w:pStyle w:val="GOSTTablenorm"/>
              <w:rPr>
                <w:szCs w:val="22"/>
              </w:rPr>
            </w:pPr>
            <w:bookmarkStart w:id="4847" w:name="OLE_LINK102"/>
            <w:r w:rsidRPr="00264D5D">
              <w:rPr>
                <w:szCs w:val="22"/>
              </w:rPr>
              <w:t xml:space="preserve">Указывается адрес банка-бенефициара. </w:t>
            </w:r>
          </w:p>
          <w:p w14:paraId="169B613E" w14:textId="77777777" w:rsidR="00AD1F54" w:rsidRPr="00264D5D" w:rsidRDefault="00941227">
            <w:pPr>
              <w:pStyle w:val="GOSTTablenorm"/>
              <w:rPr>
                <w:szCs w:val="22"/>
              </w:rPr>
            </w:pPr>
            <w:r w:rsidRPr="00264D5D">
              <w:rPr>
                <w:szCs w:val="22"/>
              </w:rPr>
              <w:t>Значения в поле «Наименование»</w:t>
            </w:r>
            <w:r w:rsidRPr="00264D5D">
              <w:rPr>
                <w:b/>
                <w:szCs w:val="22"/>
              </w:rPr>
              <w:t xml:space="preserve">, </w:t>
            </w:r>
            <w:r w:rsidRPr="00264D5D">
              <w:rPr>
                <w:szCs w:val="22"/>
              </w:rPr>
              <w:t>в поле «БИК» и в поле «Адрес» не должны превышать суммарную длину 140 символов</w:t>
            </w:r>
            <w:bookmarkEnd w:id="4847"/>
            <w:r w:rsidRPr="00264D5D">
              <w:rPr>
                <w:szCs w:val="22"/>
              </w:rPr>
              <w:t>.</w:t>
            </w:r>
          </w:p>
        </w:tc>
      </w:tr>
      <w:tr w:rsidR="00AD1F54" w:rsidRPr="00264D5D" w14:paraId="36165B38" w14:textId="77777777" w:rsidTr="00AD1F54">
        <w:trPr>
          <w:trHeight w:val="283"/>
        </w:trPr>
        <w:tc>
          <w:tcPr>
            <w:tcW w:w="5000" w:type="pct"/>
            <w:gridSpan w:val="6"/>
          </w:tcPr>
          <w:p w14:paraId="0B6B7FE6" w14:textId="77777777" w:rsidR="00AD1F54" w:rsidRPr="00264D5D" w:rsidRDefault="00941227">
            <w:pPr>
              <w:pStyle w:val="GOSTTablenorm"/>
              <w:rPr>
                <w:b/>
                <w:bCs/>
                <w:iCs/>
                <w:szCs w:val="22"/>
              </w:rPr>
            </w:pPr>
            <w:r w:rsidRPr="00264D5D">
              <w:rPr>
                <w:b/>
                <w:bCs/>
                <w:iCs/>
                <w:szCs w:val="22"/>
              </w:rPr>
              <w:t>Банк-корреспондент</w:t>
            </w:r>
          </w:p>
        </w:tc>
      </w:tr>
      <w:tr w:rsidR="00AD1F54" w:rsidRPr="00264D5D" w14:paraId="129FEE88" w14:textId="77777777" w:rsidTr="00AD1F54">
        <w:trPr>
          <w:trHeight w:val="283"/>
        </w:trPr>
        <w:tc>
          <w:tcPr>
            <w:tcW w:w="884" w:type="pct"/>
          </w:tcPr>
          <w:p w14:paraId="12B643D2" w14:textId="77777777" w:rsidR="00AD1F54" w:rsidRPr="00264D5D" w:rsidRDefault="00941227">
            <w:pPr>
              <w:pStyle w:val="GOSTTablenorm"/>
              <w:rPr>
                <w:szCs w:val="22"/>
              </w:rPr>
            </w:pPr>
            <w:bookmarkStart w:id="4848" w:name="_Hlk503513001"/>
            <w:r w:rsidRPr="00264D5D">
              <w:rPr>
                <w:szCs w:val="22"/>
              </w:rPr>
              <w:lastRenderedPageBreak/>
              <w:t>Номер корсчета банка-корреспондента</w:t>
            </w:r>
          </w:p>
        </w:tc>
        <w:tc>
          <w:tcPr>
            <w:tcW w:w="960" w:type="pct"/>
          </w:tcPr>
          <w:p w14:paraId="755485E9" w14:textId="77777777" w:rsidR="00AD1F54" w:rsidRPr="00264D5D" w:rsidRDefault="00941227">
            <w:pPr>
              <w:pStyle w:val="GOSTTablenorm"/>
              <w:rPr>
                <w:szCs w:val="22"/>
              </w:rPr>
            </w:pPr>
            <w:r w:rsidRPr="00264D5D">
              <w:rPr>
                <w:szCs w:val="22"/>
              </w:rPr>
              <w:t>CorrBank_AccNumber</w:t>
            </w:r>
          </w:p>
        </w:tc>
        <w:tc>
          <w:tcPr>
            <w:tcW w:w="370" w:type="pct"/>
          </w:tcPr>
          <w:p w14:paraId="46A22571" w14:textId="77777777" w:rsidR="00AD1F54" w:rsidRPr="00264D5D" w:rsidRDefault="00941227">
            <w:pPr>
              <w:pStyle w:val="GOSTTablenorm"/>
              <w:rPr>
                <w:szCs w:val="22"/>
              </w:rPr>
            </w:pPr>
            <w:r w:rsidRPr="00264D5D">
              <w:rPr>
                <w:szCs w:val="22"/>
              </w:rPr>
              <w:t>П</w:t>
            </w:r>
          </w:p>
        </w:tc>
        <w:tc>
          <w:tcPr>
            <w:tcW w:w="581" w:type="pct"/>
          </w:tcPr>
          <w:p w14:paraId="55834C2C" w14:textId="77777777" w:rsidR="00AD1F54" w:rsidRPr="00264D5D" w:rsidRDefault="00941227">
            <w:pPr>
              <w:pStyle w:val="GOSTTablenorm"/>
              <w:rPr>
                <w:szCs w:val="22"/>
              </w:rPr>
            </w:pPr>
            <w:r w:rsidRPr="00264D5D">
              <w:rPr>
                <w:szCs w:val="22"/>
              </w:rPr>
              <w:t>Т(1-3</w:t>
            </w:r>
            <w:r w:rsidRPr="00264D5D">
              <w:rPr>
                <w:szCs w:val="22"/>
                <w:lang w:val="en-US"/>
              </w:rPr>
              <w:t>4</w:t>
            </w:r>
            <w:r w:rsidRPr="00264D5D">
              <w:rPr>
                <w:szCs w:val="22"/>
              </w:rPr>
              <w:t>)</w:t>
            </w:r>
          </w:p>
        </w:tc>
        <w:tc>
          <w:tcPr>
            <w:tcW w:w="293" w:type="pct"/>
          </w:tcPr>
          <w:p w14:paraId="290E11F2" w14:textId="77777777" w:rsidR="00AD1F54" w:rsidRPr="00264D5D" w:rsidRDefault="00941227">
            <w:pPr>
              <w:pStyle w:val="GOSTTablenorm"/>
              <w:rPr>
                <w:szCs w:val="22"/>
              </w:rPr>
            </w:pPr>
            <w:r w:rsidRPr="00264D5D">
              <w:rPr>
                <w:szCs w:val="22"/>
              </w:rPr>
              <w:t>Н</w:t>
            </w:r>
          </w:p>
        </w:tc>
        <w:tc>
          <w:tcPr>
            <w:tcW w:w="1912" w:type="pct"/>
          </w:tcPr>
          <w:p w14:paraId="1BD34237" w14:textId="77777777" w:rsidR="00AD1F54" w:rsidRPr="00264D5D" w:rsidRDefault="00941227">
            <w:pPr>
              <w:pStyle w:val="GOSTTablenorm"/>
              <w:rPr>
                <w:szCs w:val="22"/>
              </w:rPr>
            </w:pPr>
            <w:bookmarkStart w:id="4849" w:name="OLE_LINK95"/>
            <w:bookmarkStart w:id="4850" w:name="OLE_LINK96"/>
            <w:r w:rsidRPr="00264D5D">
              <w:rPr>
                <w:szCs w:val="22"/>
              </w:rPr>
              <w:t>Указывается</w:t>
            </w:r>
            <w:bookmarkEnd w:id="4849"/>
            <w:bookmarkEnd w:id="4850"/>
            <w:r w:rsidRPr="00264D5D">
              <w:rPr>
                <w:szCs w:val="22"/>
              </w:rPr>
              <w:t xml:space="preserve"> номе</w:t>
            </w:r>
            <w:r w:rsidR="00A5124A" w:rsidRPr="00264D5D">
              <w:rPr>
                <w:szCs w:val="22"/>
              </w:rPr>
              <w:t>р корсчета банка-корреспондента</w:t>
            </w:r>
          </w:p>
        </w:tc>
      </w:tr>
      <w:tr w:rsidR="00AD1F54" w:rsidRPr="00264D5D" w14:paraId="37BA4ADA" w14:textId="77777777" w:rsidTr="00AD1F54">
        <w:trPr>
          <w:trHeight w:val="283"/>
        </w:trPr>
        <w:tc>
          <w:tcPr>
            <w:tcW w:w="884" w:type="pct"/>
          </w:tcPr>
          <w:p w14:paraId="1C8E93E0" w14:textId="77777777" w:rsidR="00AD1F54" w:rsidRPr="00264D5D" w:rsidRDefault="00941227">
            <w:pPr>
              <w:pStyle w:val="GOSTTablenorm"/>
              <w:rPr>
                <w:szCs w:val="22"/>
                <w:lang w:val="en-US"/>
              </w:rPr>
            </w:pPr>
            <w:bookmarkStart w:id="4851" w:name="OLE_LINK97"/>
            <w:bookmarkStart w:id="4852" w:name="OLE_LINK98"/>
            <w:bookmarkStart w:id="4853" w:name="OLE_LINK99"/>
            <w:r w:rsidRPr="00264D5D">
              <w:rPr>
                <w:szCs w:val="22"/>
                <w:lang w:val="en-US"/>
              </w:rPr>
              <w:t>SWIFT</w:t>
            </w:r>
            <w:r w:rsidRPr="00264D5D">
              <w:rPr>
                <w:szCs w:val="22"/>
              </w:rPr>
              <w:t xml:space="preserve"> код</w:t>
            </w:r>
            <w:r w:rsidRPr="00264D5D">
              <w:rPr>
                <w:szCs w:val="22"/>
                <w:lang w:val="en-US"/>
              </w:rPr>
              <w:t xml:space="preserve"> </w:t>
            </w:r>
            <w:r w:rsidRPr="00264D5D">
              <w:rPr>
                <w:szCs w:val="22"/>
              </w:rPr>
              <w:t>банка-корреспондента</w:t>
            </w:r>
            <w:bookmarkEnd w:id="4851"/>
            <w:bookmarkEnd w:id="4852"/>
            <w:bookmarkEnd w:id="4853"/>
          </w:p>
        </w:tc>
        <w:tc>
          <w:tcPr>
            <w:tcW w:w="960" w:type="pct"/>
          </w:tcPr>
          <w:p w14:paraId="24CBC242" w14:textId="77777777" w:rsidR="00AD1F54" w:rsidRPr="00264D5D" w:rsidRDefault="00941227">
            <w:pPr>
              <w:pStyle w:val="GOSTTablenorm"/>
              <w:rPr>
                <w:szCs w:val="22"/>
              </w:rPr>
            </w:pPr>
            <w:r w:rsidRPr="00264D5D">
              <w:rPr>
                <w:szCs w:val="22"/>
              </w:rPr>
              <w:t>CorrBank_SwiftCode</w:t>
            </w:r>
          </w:p>
        </w:tc>
        <w:tc>
          <w:tcPr>
            <w:tcW w:w="370" w:type="pct"/>
          </w:tcPr>
          <w:p w14:paraId="37E81533" w14:textId="77777777" w:rsidR="00AD1F54" w:rsidRPr="00264D5D" w:rsidRDefault="00941227">
            <w:pPr>
              <w:pStyle w:val="GOSTTablenorm"/>
              <w:rPr>
                <w:szCs w:val="22"/>
              </w:rPr>
            </w:pPr>
            <w:r w:rsidRPr="00264D5D">
              <w:rPr>
                <w:szCs w:val="22"/>
              </w:rPr>
              <w:t>П</w:t>
            </w:r>
          </w:p>
        </w:tc>
        <w:tc>
          <w:tcPr>
            <w:tcW w:w="581" w:type="pct"/>
          </w:tcPr>
          <w:p w14:paraId="5D821A58" w14:textId="77777777" w:rsidR="00AD1F54" w:rsidRPr="00264D5D" w:rsidRDefault="00941227">
            <w:pPr>
              <w:pStyle w:val="GOSTTablenorm"/>
              <w:rPr>
                <w:szCs w:val="22"/>
              </w:rPr>
            </w:pPr>
            <w:r w:rsidRPr="00264D5D">
              <w:rPr>
                <w:szCs w:val="22"/>
              </w:rPr>
              <w:t>Т(</w:t>
            </w:r>
            <w:r w:rsidRPr="00264D5D">
              <w:rPr>
                <w:szCs w:val="22"/>
                <w:lang w:val="en-US"/>
              </w:rPr>
              <w:t>1-</w:t>
            </w:r>
            <w:r w:rsidRPr="00264D5D">
              <w:rPr>
                <w:szCs w:val="22"/>
              </w:rPr>
              <w:t>11)</w:t>
            </w:r>
          </w:p>
        </w:tc>
        <w:tc>
          <w:tcPr>
            <w:tcW w:w="293" w:type="pct"/>
          </w:tcPr>
          <w:p w14:paraId="6339937C" w14:textId="77777777" w:rsidR="00AD1F54" w:rsidRPr="00264D5D" w:rsidRDefault="00941227">
            <w:pPr>
              <w:pStyle w:val="GOSTTablenorm"/>
              <w:rPr>
                <w:szCs w:val="22"/>
              </w:rPr>
            </w:pPr>
            <w:r w:rsidRPr="00264D5D">
              <w:rPr>
                <w:szCs w:val="22"/>
              </w:rPr>
              <w:t>Н</w:t>
            </w:r>
          </w:p>
        </w:tc>
        <w:tc>
          <w:tcPr>
            <w:tcW w:w="1912" w:type="pct"/>
          </w:tcPr>
          <w:p w14:paraId="32DBDD01" w14:textId="77777777" w:rsidR="00AD1F54" w:rsidRPr="00264D5D" w:rsidRDefault="00941227">
            <w:pPr>
              <w:pStyle w:val="GOSTTablenorm"/>
              <w:rPr>
                <w:szCs w:val="22"/>
              </w:rPr>
            </w:pPr>
            <w:r w:rsidRPr="00264D5D">
              <w:rPr>
                <w:szCs w:val="22"/>
              </w:rPr>
              <w:t xml:space="preserve">Указывается </w:t>
            </w:r>
            <w:r w:rsidRPr="00264D5D">
              <w:rPr>
                <w:szCs w:val="22"/>
                <w:lang w:val="en-US"/>
              </w:rPr>
              <w:t>SWIFT</w:t>
            </w:r>
            <w:r w:rsidR="00A5124A" w:rsidRPr="00264D5D">
              <w:rPr>
                <w:szCs w:val="22"/>
              </w:rPr>
              <w:t xml:space="preserve"> код банка-корреспондента</w:t>
            </w:r>
          </w:p>
        </w:tc>
      </w:tr>
      <w:tr w:rsidR="00AD1F54" w:rsidRPr="00264D5D" w14:paraId="75272535" w14:textId="77777777" w:rsidTr="00AD1F54">
        <w:trPr>
          <w:trHeight w:val="283"/>
        </w:trPr>
        <w:tc>
          <w:tcPr>
            <w:tcW w:w="884" w:type="pct"/>
          </w:tcPr>
          <w:p w14:paraId="00D65EB9" w14:textId="77777777" w:rsidR="00AD1F54" w:rsidRPr="00264D5D" w:rsidRDefault="00941227">
            <w:pPr>
              <w:pStyle w:val="GOSTTablenorm"/>
              <w:rPr>
                <w:szCs w:val="22"/>
                <w:lang w:val="en-US"/>
              </w:rPr>
            </w:pPr>
            <w:r w:rsidRPr="00264D5D">
              <w:rPr>
                <w:szCs w:val="22"/>
              </w:rPr>
              <w:t>Наименование</w:t>
            </w:r>
            <w:r w:rsidRPr="00264D5D">
              <w:rPr>
                <w:szCs w:val="22"/>
                <w:lang w:val="en-US"/>
              </w:rPr>
              <w:t xml:space="preserve"> </w:t>
            </w:r>
            <w:r w:rsidRPr="00264D5D">
              <w:rPr>
                <w:szCs w:val="22"/>
              </w:rPr>
              <w:t>банка-корреспондента</w:t>
            </w:r>
          </w:p>
        </w:tc>
        <w:tc>
          <w:tcPr>
            <w:tcW w:w="960" w:type="pct"/>
          </w:tcPr>
          <w:p w14:paraId="3AFC844C" w14:textId="77777777" w:rsidR="00AD1F54" w:rsidRPr="00264D5D" w:rsidRDefault="00941227">
            <w:pPr>
              <w:pStyle w:val="GOSTTablenorm"/>
              <w:rPr>
                <w:szCs w:val="22"/>
              </w:rPr>
            </w:pPr>
            <w:r w:rsidRPr="00264D5D">
              <w:rPr>
                <w:szCs w:val="22"/>
              </w:rPr>
              <w:t>CorrBank_Description</w:t>
            </w:r>
          </w:p>
        </w:tc>
        <w:tc>
          <w:tcPr>
            <w:tcW w:w="370" w:type="pct"/>
          </w:tcPr>
          <w:p w14:paraId="046C2E15" w14:textId="77777777" w:rsidR="00AD1F54" w:rsidRPr="00264D5D" w:rsidRDefault="00941227">
            <w:pPr>
              <w:pStyle w:val="GOSTTablenorm"/>
              <w:rPr>
                <w:szCs w:val="22"/>
              </w:rPr>
            </w:pPr>
            <w:r w:rsidRPr="00264D5D">
              <w:rPr>
                <w:szCs w:val="22"/>
              </w:rPr>
              <w:t>П</w:t>
            </w:r>
          </w:p>
        </w:tc>
        <w:tc>
          <w:tcPr>
            <w:tcW w:w="581" w:type="pct"/>
          </w:tcPr>
          <w:p w14:paraId="45308BBC" w14:textId="77777777" w:rsidR="00AD1F54" w:rsidRPr="00264D5D" w:rsidRDefault="00941227">
            <w:pPr>
              <w:pStyle w:val="GOSTTablenorm"/>
              <w:rPr>
                <w:szCs w:val="22"/>
              </w:rPr>
            </w:pPr>
            <w:r w:rsidRPr="00264D5D">
              <w:rPr>
                <w:szCs w:val="22"/>
              </w:rPr>
              <w:t>Т(1-140)</w:t>
            </w:r>
          </w:p>
        </w:tc>
        <w:tc>
          <w:tcPr>
            <w:tcW w:w="293" w:type="pct"/>
          </w:tcPr>
          <w:p w14:paraId="726D764C" w14:textId="77777777" w:rsidR="00AD1F54" w:rsidRPr="00264D5D" w:rsidRDefault="00941227">
            <w:pPr>
              <w:pStyle w:val="GOSTTablenorm"/>
              <w:rPr>
                <w:szCs w:val="22"/>
              </w:rPr>
            </w:pPr>
            <w:r w:rsidRPr="00264D5D">
              <w:rPr>
                <w:szCs w:val="22"/>
              </w:rPr>
              <w:t>Н</w:t>
            </w:r>
          </w:p>
        </w:tc>
        <w:tc>
          <w:tcPr>
            <w:tcW w:w="1912" w:type="pct"/>
          </w:tcPr>
          <w:p w14:paraId="6C603AFE" w14:textId="77777777" w:rsidR="00A5124A" w:rsidRPr="00264D5D" w:rsidRDefault="00941227">
            <w:pPr>
              <w:pStyle w:val="GOSTTablenorm"/>
              <w:rPr>
                <w:szCs w:val="22"/>
              </w:rPr>
            </w:pPr>
            <w:r w:rsidRPr="00264D5D">
              <w:rPr>
                <w:szCs w:val="22"/>
              </w:rPr>
              <w:t xml:space="preserve">Указывается наименование банка-корреспондента. </w:t>
            </w:r>
          </w:p>
          <w:p w14:paraId="42C40601" w14:textId="77777777" w:rsidR="00AD1F54" w:rsidRPr="00264D5D" w:rsidRDefault="00941227">
            <w:pPr>
              <w:pStyle w:val="GOSTTablenorm"/>
              <w:rPr>
                <w:szCs w:val="22"/>
              </w:rPr>
            </w:pPr>
            <w:r w:rsidRPr="00264D5D">
              <w:rPr>
                <w:szCs w:val="22"/>
              </w:rPr>
              <w:t>Значения в поле «Наименование банка-корреспондента»</w:t>
            </w:r>
            <w:r w:rsidRPr="00264D5D">
              <w:rPr>
                <w:b/>
                <w:szCs w:val="22"/>
              </w:rPr>
              <w:t xml:space="preserve">, </w:t>
            </w:r>
            <w:r w:rsidRPr="00264D5D">
              <w:rPr>
                <w:szCs w:val="22"/>
              </w:rPr>
              <w:t>в поле «БИК банка-корреспондента» и в поле «Адрес банка-корреспондента»</w:t>
            </w:r>
            <w:r w:rsidRPr="00264D5D">
              <w:rPr>
                <w:b/>
                <w:szCs w:val="22"/>
              </w:rPr>
              <w:t xml:space="preserve"> </w:t>
            </w:r>
            <w:r w:rsidRPr="00264D5D">
              <w:rPr>
                <w:szCs w:val="22"/>
              </w:rPr>
              <w:t>не должны превыша</w:t>
            </w:r>
            <w:r w:rsidR="00A5124A" w:rsidRPr="00264D5D">
              <w:rPr>
                <w:szCs w:val="22"/>
              </w:rPr>
              <w:t>ть суммарную длину 140 символов</w:t>
            </w:r>
          </w:p>
        </w:tc>
      </w:tr>
      <w:tr w:rsidR="00AD1F54" w:rsidRPr="00264D5D" w14:paraId="59C2BE9A" w14:textId="77777777" w:rsidTr="00AD1F54">
        <w:trPr>
          <w:trHeight w:val="283"/>
        </w:trPr>
        <w:tc>
          <w:tcPr>
            <w:tcW w:w="884" w:type="pct"/>
          </w:tcPr>
          <w:p w14:paraId="79CB6214" w14:textId="77777777" w:rsidR="00AD1F54" w:rsidRPr="00264D5D" w:rsidRDefault="00941227">
            <w:pPr>
              <w:pStyle w:val="GOSTTablenorm"/>
              <w:rPr>
                <w:szCs w:val="22"/>
              </w:rPr>
            </w:pPr>
            <w:r w:rsidRPr="00264D5D">
              <w:rPr>
                <w:szCs w:val="22"/>
              </w:rPr>
              <w:t>БИК банка-корреспондента</w:t>
            </w:r>
          </w:p>
        </w:tc>
        <w:tc>
          <w:tcPr>
            <w:tcW w:w="960" w:type="pct"/>
          </w:tcPr>
          <w:p w14:paraId="0A7E94FA" w14:textId="77777777" w:rsidR="00AD1F54" w:rsidRPr="00264D5D" w:rsidRDefault="00941227">
            <w:pPr>
              <w:pStyle w:val="GOSTTablenorm"/>
              <w:rPr>
                <w:szCs w:val="22"/>
              </w:rPr>
            </w:pPr>
            <w:r w:rsidRPr="00264D5D">
              <w:rPr>
                <w:szCs w:val="22"/>
              </w:rPr>
              <w:t>CorrBank_BIC</w:t>
            </w:r>
          </w:p>
        </w:tc>
        <w:tc>
          <w:tcPr>
            <w:tcW w:w="370" w:type="pct"/>
          </w:tcPr>
          <w:p w14:paraId="3525EA1A" w14:textId="77777777" w:rsidR="00AD1F54" w:rsidRPr="00264D5D" w:rsidRDefault="00941227">
            <w:pPr>
              <w:pStyle w:val="GOSTTablenorm"/>
              <w:rPr>
                <w:szCs w:val="22"/>
              </w:rPr>
            </w:pPr>
            <w:r w:rsidRPr="00264D5D">
              <w:rPr>
                <w:szCs w:val="22"/>
              </w:rPr>
              <w:t>П</w:t>
            </w:r>
          </w:p>
        </w:tc>
        <w:tc>
          <w:tcPr>
            <w:tcW w:w="581" w:type="pct"/>
          </w:tcPr>
          <w:p w14:paraId="0A92B287" w14:textId="77777777" w:rsidR="00AD1F54" w:rsidRPr="00264D5D" w:rsidRDefault="00941227">
            <w:pPr>
              <w:pStyle w:val="GOSTTablenorm"/>
              <w:rPr>
                <w:szCs w:val="22"/>
              </w:rPr>
            </w:pPr>
            <w:r w:rsidRPr="00264D5D">
              <w:rPr>
                <w:szCs w:val="22"/>
              </w:rPr>
              <w:t>Т(9)</w:t>
            </w:r>
          </w:p>
        </w:tc>
        <w:tc>
          <w:tcPr>
            <w:tcW w:w="293" w:type="pct"/>
          </w:tcPr>
          <w:p w14:paraId="38D798AB" w14:textId="77777777" w:rsidR="00AD1F54" w:rsidRPr="00264D5D" w:rsidRDefault="00941227">
            <w:pPr>
              <w:pStyle w:val="GOSTTablenorm"/>
              <w:rPr>
                <w:szCs w:val="22"/>
              </w:rPr>
            </w:pPr>
            <w:r w:rsidRPr="00264D5D">
              <w:rPr>
                <w:szCs w:val="22"/>
              </w:rPr>
              <w:t>Н</w:t>
            </w:r>
          </w:p>
        </w:tc>
        <w:tc>
          <w:tcPr>
            <w:tcW w:w="1912" w:type="pct"/>
          </w:tcPr>
          <w:p w14:paraId="4208B7BB" w14:textId="77777777" w:rsidR="00AD1F54" w:rsidRPr="00264D5D" w:rsidRDefault="00941227">
            <w:pPr>
              <w:pStyle w:val="GOSTTablenorm"/>
              <w:rPr>
                <w:szCs w:val="22"/>
              </w:rPr>
            </w:pPr>
            <w:r w:rsidRPr="00264D5D">
              <w:rPr>
                <w:szCs w:val="22"/>
              </w:rPr>
              <w:t>Указывается БИК банка- корреспондента.</w:t>
            </w:r>
          </w:p>
          <w:p w14:paraId="637D5214" w14:textId="77777777" w:rsidR="00AD1F54" w:rsidRPr="00264D5D" w:rsidRDefault="00941227">
            <w:pPr>
              <w:pStyle w:val="GOSTTablenorm"/>
              <w:rPr>
                <w:szCs w:val="22"/>
              </w:rPr>
            </w:pPr>
            <w:r w:rsidRPr="00264D5D">
              <w:rPr>
                <w:szCs w:val="22"/>
              </w:rPr>
              <w:t>Значения в поле «Наименование банка-корреспондента»</w:t>
            </w:r>
            <w:r w:rsidRPr="00264D5D">
              <w:rPr>
                <w:b/>
                <w:szCs w:val="22"/>
              </w:rPr>
              <w:t xml:space="preserve">, </w:t>
            </w:r>
            <w:r w:rsidRPr="00264D5D">
              <w:rPr>
                <w:szCs w:val="22"/>
              </w:rPr>
              <w:t>в поле «БИК банка-корреспондента» и в поле «Адрес банка-корреспондента»</w:t>
            </w:r>
            <w:r w:rsidRPr="00264D5D">
              <w:rPr>
                <w:b/>
                <w:szCs w:val="22"/>
              </w:rPr>
              <w:t xml:space="preserve"> </w:t>
            </w:r>
            <w:r w:rsidRPr="00264D5D">
              <w:rPr>
                <w:szCs w:val="22"/>
              </w:rPr>
              <w:t xml:space="preserve">не должны превышать суммарную </w:t>
            </w:r>
            <w:r w:rsidR="00A5124A" w:rsidRPr="00264D5D">
              <w:rPr>
                <w:szCs w:val="22"/>
              </w:rPr>
              <w:t>длину 140 символов</w:t>
            </w:r>
          </w:p>
        </w:tc>
      </w:tr>
      <w:tr w:rsidR="00AD1F54" w:rsidRPr="00264D5D" w14:paraId="01A29036" w14:textId="77777777" w:rsidTr="00AD1F54">
        <w:trPr>
          <w:trHeight w:val="283"/>
        </w:trPr>
        <w:tc>
          <w:tcPr>
            <w:tcW w:w="884" w:type="pct"/>
          </w:tcPr>
          <w:p w14:paraId="1F170505" w14:textId="77777777" w:rsidR="00AD1F54" w:rsidRPr="00264D5D" w:rsidRDefault="00941227">
            <w:pPr>
              <w:pStyle w:val="GOSTTablenorm"/>
              <w:rPr>
                <w:szCs w:val="22"/>
              </w:rPr>
            </w:pPr>
            <w:r w:rsidRPr="00264D5D">
              <w:rPr>
                <w:szCs w:val="22"/>
              </w:rPr>
              <w:t>Адрес банка-корреспондента</w:t>
            </w:r>
          </w:p>
        </w:tc>
        <w:tc>
          <w:tcPr>
            <w:tcW w:w="960" w:type="pct"/>
          </w:tcPr>
          <w:p w14:paraId="512859F2" w14:textId="77777777" w:rsidR="00AD1F54" w:rsidRPr="00264D5D" w:rsidRDefault="00941227">
            <w:pPr>
              <w:pStyle w:val="GOSTTablenorm"/>
              <w:rPr>
                <w:szCs w:val="22"/>
              </w:rPr>
            </w:pPr>
            <w:r w:rsidRPr="00264D5D">
              <w:rPr>
                <w:szCs w:val="22"/>
              </w:rPr>
              <w:t>CorrBank_Address</w:t>
            </w:r>
          </w:p>
        </w:tc>
        <w:tc>
          <w:tcPr>
            <w:tcW w:w="370" w:type="pct"/>
          </w:tcPr>
          <w:p w14:paraId="140F7D8C" w14:textId="77777777" w:rsidR="00AD1F54" w:rsidRPr="00264D5D" w:rsidRDefault="00941227">
            <w:pPr>
              <w:pStyle w:val="GOSTTablenorm"/>
              <w:rPr>
                <w:szCs w:val="22"/>
              </w:rPr>
            </w:pPr>
            <w:r w:rsidRPr="00264D5D">
              <w:rPr>
                <w:szCs w:val="22"/>
              </w:rPr>
              <w:t>П</w:t>
            </w:r>
          </w:p>
        </w:tc>
        <w:tc>
          <w:tcPr>
            <w:tcW w:w="581" w:type="pct"/>
          </w:tcPr>
          <w:p w14:paraId="3150152A" w14:textId="77777777" w:rsidR="00AD1F54" w:rsidRPr="00264D5D" w:rsidRDefault="00941227">
            <w:pPr>
              <w:pStyle w:val="GOSTTablenorm"/>
              <w:rPr>
                <w:szCs w:val="22"/>
              </w:rPr>
            </w:pPr>
            <w:r w:rsidRPr="00264D5D">
              <w:rPr>
                <w:szCs w:val="22"/>
              </w:rPr>
              <w:t>Т(1-140)</w:t>
            </w:r>
          </w:p>
        </w:tc>
        <w:tc>
          <w:tcPr>
            <w:tcW w:w="293" w:type="pct"/>
          </w:tcPr>
          <w:p w14:paraId="6848B3AA" w14:textId="77777777" w:rsidR="00AD1F54" w:rsidRPr="00264D5D" w:rsidRDefault="00941227">
            <w:pPr>
              <w:pStyle w:val="GOSTTablenorm"/>
              <w:rPr>
                <w:szCs w:val="22"/>
              </w:rPr>
            </w:pPr>
            <w:r w:rsidRPr="00264D5D">
              <w:rPr>
                <w:szCs w:val="22"/>
              </w:rPr>
              <w:t>Н</w:t>
            </w:r>
          </w:p>
        </w:tc>
        <w:tc>
          <w:tcPr>
            <w:tcW w:w="1912" w:type="pct"/>
          </w:tcPr>
          <w:p w14:paraId="48215E91" w14:textId="77777777" w:rsidR="00AD1F54" w:rsidRPr="00264D5D" w:rsidRDefault="00941227">
            <w:pPr>
              <w:pStyle w:val="GOSTTablenorm"/>
              <w:rPr>
                <w:szCs w:val="22"/>
              </w:rPr>
            </w:pPr>
            <w:r w:rsidRPr="00264D5D">
              <w:rPr>
                <w:szCs w:val="22"/>
              </w:rPr>
              <w:t xml:space="preserve">Указывается адрес банка-корреспондента. </w:t>
            </w:r>
          </w:p>
          <w:p w14:paraId="4335CA66" w14:textId="77777777" w:rsidR="00AD1F54" w:rsidRPr="00264D5D" w:rsidRDefault="00941227">
            <w:pPr>
              <w:pStyle w:val="GOSTTablenorm"/>
              <w:rPr>
                <w:szCs w:val="22"/>
              </w:rPr>
            </w:pPr>
            <w:r w:rsidRPr="00264D5D">
              <w:rPr>
                <w:szCs w:val="22"/>
              </w:rPr>
              <w:t>Значения в поле «Наименование банка-корреспондента»</w:t>
            </w:r>
            <w:r w:rsidRPr="00264D5D">
              <w:rPr>
                <w:b/>
                <w:szCs w:val="22"/>
              </w:rPr>
              <w:t xml:space="preserve">, </w:t>
            </w:r>
            <w:r w:rsidRPr="00264D5D">
              <w:rPr>
                <w:szCs w:val="22"/>
              </w:rPr>
              <w:t>в поле «БИК банка-корреспондента» и в поле «Адрес банка-корреспондента»</w:t>
            </w:r>
            <w:r w:rsidRPr="00264D5D">
              <w:rPr>
                <w:b/>
                <w:szCs w:val="22"/>
              </w:rPr>
              <w:t xml:space="preserve"> </w:t>
            </w:r>
            <w:r w:rsidRPr="00264D5D">
              <w:rPr>
                <w:szCs w:val="22"/>
              </w:rPr>
              <w:t>не должны превыша</w:t>
            </w:r>
            <w:r w:rsidR="00A5124A" w:rsidRPr="00264D5D">
              <w:rPr>
                <w:szCs w:val="22"/>
              </w:rPr>
              <w:t>ть суммарную длину 140 символов</w:t>
            </w:r>
          </w:p>
        </w:tc>
      </w:tr>
      <w:tr w:rsidR="00AD1F54" w:rsidRPr="00264D5D" w14:paraId="45EF6B2A" w14:textId="77777777" w:rsidTr="00AD1F54">
        <w:trPr>
          <w:trHeight w:val="283"/>
        </w:trPr>
        <w:tc>
          <w:tcPr>
            <w:tcW w:w="5000" w:type="pct"/>
            <w:gridSpan w:val="6"/>
          </w:tcPr>
          <w:p w14:paraId="54832356" w14:textId="77777777" w:rsidR="00AD1F54" w:rsidRPr="00264D5D" w:rsidRDefault="00941227">
            <w:pPr>
              <w:pStyle w:val="GOSTTablenorm"/>
              <w:rPr>
                <w:b/>
                <w:bCs/>
                <w:iCs/>
                <w:szCs w:val="22"/>
              </w:rPr>
            </w:pPr>
            <w:r w:rsidRPr="00264D5D">
              <w:rPr>
                <w:b/>
                <w:bCs/>
                <w:iCs/>
                <w:szCs w:val="22"/>
              </w:rPr>
              <w:t>Банк-посредник 1</w:t>
            </w:r>
          </w:p>
        </w:tc>
      </w:tr>
      <w:tr w:rsidR="00AD1F54" w:rsidRPr="00264D5D" w14:paraId="0E04A3FD" w14:textId="77777777" w:rsidTr="00AD1F54">
        <w:trPr>
          <w:trHeight w:val="283"/>
        </w:trPr>
        <w:tc>
          <w:tcPr>
            <w:tcW w:w="884" w:type="pct"/>
          </w:tcPr>
          <w:p w14:paraId="0CEF1628" w14:textId="77777777" w:rsidR="00AD1F54" w:rsidRPr="00264D5D" w:rsidRDefault="00941227">
            <w:pPr>
              <w:pStyle w:val="GOSTTablenorm"/>
              <w:rPr>
                <w:szCs w:val="22"/>
              </w:rPr>
            </w:pPr>
            <w:bookmarkStart w:id="4854" w:name="_Hlk503513059"/>
            <w:bookmarkEnd w:id="4848"/>
            <w:r w:rsidRPr="00264D5D">
              <w:rPr>
                <w:szCs w:val="22"/>
              </w:rPr>
              <w:t>Номер корсчета банка-посредника 1</w:t>
            </w:r>
          </w:p>
        </w:tc>
        <w:tc>
          <w:tcPr>
            <w:tcW w:w="960" w:type="pct"/>
          </w:tcPr>
          <w:p w14:paraId="4B31C596" w14:textId="77777777" w:rsidR="00AD1F54" w:rsidRPr="00264D5D" w:rsidRDefault="00941227">
            <w:pPr>
              <w:pStyle w:val="GOSTTablenorm"/>
              <w:rPr>
                <w:szCs w:val="22"/>
              </w:rPr>
            </w:pPr>
            <w:r w:rsidRPr="00264D5D">
              <w:rPr>
                <w:szCs w:val="22"/>
              </w:rPr>
              <w:t>IntermBank1_AccNumber</w:t>
            </w:r>
          </w:p>
        </w:tc>
        <w:tc>
          <w:tcPr>
            <w:tcW w:w="370" w:type="pct"/>
          </w:tcPr>
          <w:p w14:paraId="4F75E927" w14:textId="77777777" w:rsidR="00AD1F54" w:rsidRPr="00264D5D" w:rsidRDefault="00941227">
            <w:pPr>
              <w:pStyle w:val="GOSTTablenorm"/>
              <w:rPr>
                <w:szCs w:val="22"/>
              </w:rPr>
            </w:pPr>
            <w:r w:rsidRPr="00264D5D">
              <w:rPr>
                <w:szCs w:val="22"/>
              </w:rPr>
              <w:t>П</w:t>
            </w:r>
          </w:p>
        </w:tc>
        <w:tc>
          <w:tcPr>
            <w:tcW w:w="581" w:type="pct"/>
          </w:tcPr>
          <w:p w14:paraId="797E58F4" w14:textId="77777777" w:rsidR="00AD1F54" w:rsidRPr="00264D5D" w:rsidRDefault="00941227">
            <w:pPr>
              <w:pStyle w:val="GOSTTablenorm"/>
              <w:rPr>
                <w:szCs w:val="22"/>
              </w:rPr>
            </w:pPr>
            <w:r w:rsidRPr="00264D5D">
              <w:rPr>
                <w:szCs w:val="22"/>
              </w:rPr>
              <w:t>Т(1-34)</w:t>
            </w:r>
          </w:p>
        </w:tc>
        <w:tc>
          <w:tcPr>
            <w:tcW w:w="293" w:type="pct"/>
          </w:tcPr>
          <w:p w14:paraId="7F277608" w14:textId="77777777" w:rsidR="00AD1F54" w:rsidRPr="00264D5D" w:rsidRDefault="00941227">
            <w:pPr>
              <w:pStyle w:val="GOSTTablenorm"/>
              <w:rPr>
                <w:szCs w:val="22"/>
              </w:rPr>
            </w:pPr>
            <w:r w:rsidRPr="00264D5D">
              <w:rPr>
                <w:szCs w:val="22"/>
              </w:rPr>
              <w:t>Н</w:t>
            </w:r>
          </w:p>
        </w:tc>
        <w:tc>
          <w:tcPr>
            <w:tcW w:w="1912" w:type="pct"/>
          </w:tcPr>
          <w:p w14:paraId="27E8189A" w14:textId="77777777" w:rsidR="00AD1F54" w:rsidRPr="00264D5D" w:rsidRDefault="00941227">
            <w:pPr>
              <w:pStyle w:val="GOSTTablenorm"/>
              <w:rPr>
                <w:szCs w:val="22"/>
              </w:rPr>
            </w:pPr>
            <w:r w:rsidRPr="00264D5D">
              <w:rPr>
                <w:szCs w:val="22"/>
              </w:rPr>
              <w:t>Указывается номер корсчет</w:t>
            </w:r>
            <w:r w:rsidR="00A5124A" w:rsidRPr="00264D5D">
              <w:rPr>
                <w:szCs w:val="22"/>
              </w:rPr>
              <w:t>а банка-посредника 1</w:t>
            </w:r>
          </w:p>
        </w:tc>
      </w:tr>
      <w:tr w:rsidR="00AD1F54" w:rsidRPr="00264D5D" w14:paraId="69C901A1" w14:textId="77777777" w:rsidTr="00AD1F54">
        <w:trPr>
          <w:trHeight w:val="283"/>
        </w:trPr>
        <w:tc>
          <w:tcPr>
            <w:tcW w:w="884" w:type="pct"/>
          </w:tcPr>
          <w:p w14:paraId="6313E4CB" w14:textId="77777777" w:rsidR="00AD1F54" w:rsidRPr="00264D5D" w:rsidRDefault="00941227">
            <w:pPr>
              <w:pStyle w:val="GOSTTablenorm"/>
              <w:rPr>
                <w:szCs w:val="22"/>
                <w:lang w:val="en-US"/>
              </w:rPr>
            </w:pPr>
            <w:r w:rsidRPr="00264D5D">
              <w:rPr>
                <w:szCs w:val="22"/>
                <w:lang w:val="en-US"/>
              </w:rPr>
              <w:t>SWIFT</w:t>
            </w:r>
            <w:r w:rsidRPr="00264D5D">
              <w:rPr>
                <w:szCs w:val="22"/>
              </w:rPr>
              <w:t xml:space="preserve"> код</w:t>
            </w:r>
            <w:r w:rsidRPr="00264D5D">
              <w:rPr>
                <w:szCs w:val="22"/>
                <w:lang w:val="en-US"/>
              </w:rPr>
              <w:t xml:space="preserve"> </w:t>
            </w:r>
            <w:r w:rsidRPr="00264D5D">
              <w:rPr>
                <w:szCs w:val="22"/>
              </w:rPr>
              <w:t>банка-посредника 1</w:t>
            </w:r>
          </w:p>
        </w:tc>
        <w:tc>
          <w:tcPr>
            <w:tcW w:w="960" w:type="pct"/>
          </w:tcPr>
          <w:p w14:paraId="0D3D2F51" w14:textId="77777777" w:rsidR="00AD1F54" w:rsidRPr="00264D5D" w:rsidRDefault="00941227">
            <w:pPr>
              <w:pStyle w:val="GOSTTablenorm"/>
              <w:rPr>
                <w:szCs w:val="22"/>
              </w:rPr>
            </w:pPr>
            <w:r w:rsidRPr="00264D5D">
              <w:rPr>
                <w:szCs w:val="22"/>
              </w:rPr>
              <w:t>IntermBank1_SwiftCode</w:t>
            </w:r>
          </w:p>
        </w:tc>
        <w:tc>
          <w:tcPr>
            <w:tcW w:w="370" w:type="pct"/>
          </w:tcPr>
          <w:p w14:paraId="7F4CFBA8" w14:textId="77777777" w:rsidR="00AD1F54" w:rsidRPr="00264D5D" w:rsidRDefault="00941227">
            <w:pPr>
              <w:pStyle w:val="GOSTTablenorm"/>
              <w:rPr>
                <w:szCs w:val="22"/>
              </w:rPr>
            </w:pPr>
            <w:r w:rsidRPr="00264D5D">
              <w:rPr>
                <w:szCs w:val="22"/>
              </w:rPr>
              <w:t>П</w:t>
            </w:r>
          </w:p>
        </w:tc>
        <w:tc>
          <w:tcPr>
            <w:tcW w:w="581" w:type="pct"/>
          </w:tcPr>
          <w:p w14:paraId="475F55F1" w14:textId="77777777" w:rsidR="00AD1F54" w:rsidRPr="00264D5D" w:rsidRDefault="00941227">
            <w:pPr>
              <w:pStyle w:val="GOSTTablenorm"/>
              <w:rPr>
                <w:szCs w:val="22"/>
              </w:rPr>
            </w:pPr>
            <w:r w:rsidRPr="00264D5D">
              <w:rPr>
                <w:szCs w:val="22"/>
              </w:rPr>
              <w:t>Т(1-11)</w:t>
            </w:r>
          </w:p>
        </w:tc>
        <w:tc>
          <w:tcPr>
            <w:tcW w:w="293" w:type="pct"/>
          </w:tcPr>
          <w:p w14:paraId="2F70C669" w14:textId="77777777" w:rsidR="00AD1F54" w:rsidRPr="00264D5D" w:rsidRDefault="00941227">
            <w:pPr>
              <w:pStyle w:val="GOSTTablenorm"/>
              <w:rPr>
                <w:szCs w:val="22"/>
              </w:rPr>
            </w:pPr>
            <w:r w:rsidRPr="00264D5D">
              <w:rPr>
                <w:szCs w:val="22"/>
                <w:lang w:val="en-US"/>
              </w:rPr>
              <w:t>Н</w:t>
            </w:r>
          </w:p>
        </w:tc>
        <w:tc>
          <w:tcPr>
            <w:tcW w:w="1912" w:type="pct"/>
          </w:tcPr>
          <w:p w14:paraId="1478650B" w14:textId="77777777" w:rsidR="00AD1F54" w:rsidRPr="00264D5D" w:rsidRDefault="00941227">
            <w:pPr>
              <w:pStyle w:val="GOSTTablenorm"/>
              <w:rPr>
                <w:szCs w:val="22"/>
              </w:rPr>
            </w:pPr>
            <w:r w:rsidRPr="00264D5D">
              <w:rPr>
                <w:szCs w:val="22"/>
              </w:rPr>
              <w:t xml:space="preserve">Указывается </w:t>
            </w:r>
            <w:r w:rsidRPr="00264D5D">
              <w:rPr>
                <w:szCs w:val="22"/>
                <w:lang w:val="en-US"/>
              </w:rPr>
              <w:t>SWIFT</w:t>
            </w:r>
            <w:r w:rsidR="00A5124A" w:rsidRPr="00264D5D">
              <w:rPr>
                <w:szCs w:val="22"/>
              </w:rPr>
              <w:t xml:space="preserve"> код банка-посредника 1</w:t>
            </w:r>
          </w:p>
        </w:tc>
      </w:tr>
      <w:tr w:rsidR="00AD1F54" w:rsidRPr="00264D5D" w14:paraId="268F8688" w14:textId="77777777" w:rsidTr="00AD1F54">
        <w:trPr>
          <w:trHeight w:val="283"/>
        </w:trPr>
        <w:tc>
          <w:tcPr>
            <w:tcW w:w="884" w:type="pct"/>
          </w:tcPr>
          <w:p w14:paraId="5F5064E3" w14:textId="77777777" w:rsidR="00AD1F54" w:rsidRPr="00264D5D" w:rsidRDefault="00941227">
            <w:pPr>
              <w:pStyle w:val="GOSTTablenorm"/>
              <w:rPr>
                <w:szCs w:val="22"/>
                <w:lang w:val="en-US"/>
              </w:rPr>
            </w:pPr>
            <w:r w:rsidRPr="00264D5D">
              <w:rPr>
                <w:szCs w:val="22"/>
              </w:rPr>
              <w:t>Наименование</w:t>
            </w:r>
            <w:r w:rsidRPr="00264D5D">
              <w:rPr>
                <w:szCs w:val="22"/>
                <w:lang w:val="en-US"/>
              </w:rPr>
              <w:t xml:space="preserve"> </w:t>
            </w:r>
            <w:r w:rsidRPr="00264D5D">
              <w:rPr>
                <w:szCs w:val="22"/>
              </w:rPr>
              <w:t>банка-посредника 1</w:t>
            </w:r>
          </w:p>
        </w:tc>
        <w:tc>
          <w:tcPr>
            <w:tcW w:w="960" w:type="pct"/>
          </w:tcPr>
          <w:p w14:paraId="2A3B4BC8" w14:textId="77777777" w:rsidR="00AD1F54" w:rsidRPr="00264D5D" w:rsidRDefault="00941227">
            <w:pPr>
              <w:pStyle w:val="GOSTTablenorm"/>
              <w:rPr>
                <w:szCs w:val="22"/>
              </w:rPr>
            </w:pPr>
            <w:r w:rsidRPr="00264D5D">
              <w:rPr>
                <w:szCs w:val="22"/>
              </w:rPr>
              <w:t>IntermBank1_Description</w:t>
            </w:r>
          </w:p>
        </w:tc>
        <w:tc>
          <w:tcPr>
            <w:tcW w:w="370" w:type="pct"/>
          </w:tcPr>
          <w:p w14:paraId="3FD7000A" w14:textId="77777777" w:rsidR="00AD1F54" w:rsidRPr="00264D5D" w:rsidRDefault="00941227">
            <w:pPr>
              <w:pStyle w:val="GOSTTablenorm"/>
              <w:rPr>
                <w:szCs w:val="22"/>
              </w:rPr>
            </w:pPr>
            <w:r w:rsidRPr="00264D5D">
              <w:rPr>
                <w:szCs w:val="22"/>
              </w:rPr>
              <w:t>П</w:t>
            </w:r>
          </w:p>
        </w:tc>
        <w:tc>
          <w:tcPr>
            <w:tcW w:w="581" w:type="pct"/>
          </w:tcPr>
          <w:p w14:paraId="362944F1" w14:textId="77777777" w:rsidR="00AD1F54" w:rsidRPr="00264D5D" w:rsidRDefault="00941227">
            <w:pPr>
              <w:pStyle w:val="GOSTTablenorm"/>
              <w:rPr>
                <w:szCs w:val="22"/>
              </w:rPr>
            </w:pPr>
            <w:r w:rsidRPr="00264D5D">
              <w:rPr>
                <w:szCs w:val="22"/>
              </w:rPr>
              <w:t>Т(1-140)</w:t>
            </w:r>
          </w:p>
        </w:tc>
        <w:tc>
          <w:tcPr>
            <w:tcW w:w="293" w:type="pct"/>
          </w:tcPr>
          <w:p w14:paraId="6846AC10" w14:textId="77777777" w:rsidR="00AD1F54" w:rsidRPr="00264D5D" w:rsidRDefault="00941227">
            <w:pPr>
              <w:pStyle w:val="GOSTTablenorm"/>
              <w:rPr>
                <w:szCs w:val="22"/>
              </w:rPr>
            </w:pPr>
            <w:r w:rsidRPr="00264D5D">
              <w:rPr>
                <w:szCs w:val="22"/>
                <w:lang w:val="en-US"/>
              </w:rPr>
              <w:t>Н</w:t>
            </w:r>
          </w:p>
        </w:tc>
        <w:tc>
          <w:tcPr>
            <w:tcW w:w="1912" w:type="pct"/>
          </w:tcPr>
          <w:p w14:paraId="7A43CBD5" w14:textId="77777777" w:rsidR="00AD1F54" w:rsidRPr="00264D5D" w:rsidRDefault="00941227">
            <w:pPr>
              <w:pStyle w:val="GOSTTablenorm"/>
              <w:rPr>
                <w:szCs w:val="22"/>
              </w:rPr>
            </w:pPr>
            <w:r w:rsidRPr="00264D5D">
              <w:rPr>
                <w:szCs w:val="22"/>
              </w:rPr>
              <w:t xml:space="preserve">Указывается наименование банка-посредника 1. </w:t>
            </w:r>
          </w:p>
          <w:p w14:paraId="15EFAB69" w14:textId="77777777" w:rsidR="00AD1F54" w:rsidRPr="00264D5D" w:rsidRDefault="00941227">
            <w:pPr>
              <w:pStyle w:val="GOSTTablenorm"/>
              <w:rPr>
                <w:szCs w:val="22"/>
              </w:rPr>
            </w:pPr>
            <w:r w:rsidRPr="00264D5D">
              <w:rPr>
                <w:szCs w:val="22"/>
              </w:rPr>
              <w:t>Значения в поле «Наименование банка-посредника 1»</w:t>
            </w:r>
            <w:r w:rsidRPr="00264D5D">
              <w:rPr>
                <w:b/>
                <w:szCs w:val="22"/>
              </w:rPr>
              <w:t xml:space="preserve">, </w:t>
            </w:r>
            <w:r w:rsidRPr="00264D5D">
              <w:rPr>
                <w:szCs w:val="22"/>
              </w:rPr>
              <w:t xml:space="preserve">в поле «БИК </w:t>
            </w:r>
            <w:r w:rsidRPr="00264D5D">
              <w:rPr>
                <w:szCs w:val="22"/>
              </w:rPr>
              <w:lastRenderedPageBreak/>
              <w:t>банка-посредника 1» и в поле «Адрес банка-посредника 1»</w:t>
            </w:r>
            <w:r w:rsidRPr="00264D5D">
              <w:rPr>
                <w:b/>
                <w:szCs w:val="22"/>
              </w:rPr>
              <w:t xml:space="preserve"> </w:t>
            </w:r>
            <w:r w:rsidRPr="00264D5D">
              <w:rPr>
                <w:szCs w:val="22"/>
              </w:rPr>
              <w:t>не должны превыша</w:t>
            </w:r>
            <w:r w:rsidR="00A5124A" w:rsidRPr="00264D5D">
              <w:rPr>
                <w:szCs w:val="22"/>
              </w:rPr>
              <w:t>ть суммарную длину 140 символов</w:t>
            </w:r>
          </w:p>
        </w:tc>
      </w:tr>
      <w:tr w:rsidR="00AD1F54" w:rsidRPr="00264D5D" w14:paraId="2625EF3D" w14:textId="77777777" w:rsidTr="00AD1F54">
        <w:trPr>
          <w:trHeight w:val="283"/>
        </w:trPr>
        <w:tc>
          <w:tcPr>
            <w:tcW w:w="884" w:type="pct"/>
          </w:tcPr>
          <w:p w14:paraId="6B28C966" w14:textId="77777777" w:rsidR="00AD1F54" w:rsidRPr="00264D5D" w:rsidRDefault="00941227">
            <w:pPr>
              <w:pStyle w:val="GOSTTablenorm"/>
              <w:rPr>
                <w:szCs w:val="22"/>
              </w:rPr>
            </w:pPr>
            <w:r w:rsidRPr="00264D5D">
              <w:rPr>
                <w:szCs w:val="22"/>
              </w:rPr>
              <w:lastRenderedPageBreak/>
              <w:t>БИК банка-посредника 1</w:t>
            </w:r>
          </w:p>
        </w:tc>
        <w:tc>
          <w:tcPr>
            <w:tcW w:w="960" w:type="pct"/>
          </w:tcPr>
          <w:p w14:paraId="16C33E86" w14:textId="77777777" w:rsidR="00AD1F54" w:rsidRPr="00264D5D" w:rsidRDefault="00941227">
            <w:pPr>
              <w:pStyle w:val="GOSTTablenorm"/>
              <w:rPr>
                <w:szCs w:val="22"/>
              </w:rPr>
            </w:pPr>
            <w:r w:rsidRPr="00264D5D">
              <w:rPr>
                <w:szCs w:val="22"/>
              </w:rPr>
              <w:t>IntermBank1_BIC</w:t>
            </w:r>
          </w:p>
        </w:tc>
        <w:tc>
          <w:tcPr>
            <w:tcW w:w="370" w:type="pct"/>
          </w:tcPr>
          <w:p w14:paraId="5B4266E1" w14:textId="77777777" w:rsidR="00AD1F54" w:rsidRPr="00264D5D" w:rsidRDefault="00941227">
            <w:pPr>
              <w:pStyle w:val="GOSTTablenorm"/>
              <w:rPr>
                <w:szCs w:val="22"/>
              </w:rPr>
            </w:pPr>
            <w:r w:rsidRPr="00264D5D">
              <w:rPr>
                <w:szCs w:val="22"/>
              </w:rPr>
              <w:t>П</w:t>
            </w:r>
          </w:p>
        </w:tc>
        <w:tc>
          <w:tcPr>
            <w:tcW w:w="581" w:type="pct"/>
          </w:tcPr>
          <w:p w14:paraId="1D71BB87" w14:textId="77777777" w:rsidR="00AD1F54" w:rsidRPr="00264D5D" w:rsidRDefault="00941227">
            <w:pPr>
              <w:pStyle w:val="GOSTTablenorm"/>
              <w:rPr>
                <w:szCs w:val="22"/>
              </w:rPr>
            </w:pPr>
            <w:r w:rsidRPr="00264D5D">
              <w:rPr>
                <w:szCs w:val="22"/>
              </w:rPr>
              <w:t>Т(9)</w:t>
            </w:r>
          </w:p>
        </w:tc>
        <w:tc>
          <w:tcPr>
            <w:tcW w:w="293" w:type="pct"/>
          </w:tcPr>
          <w:p w14:paraId="2F33F233" w14:textId="77777777" w:rsidR="00AD1F54" w:rsidRPr="00264D5D" w:rsidRDefault="00941227">
            <w:pPr>
              <w:pStyle w:val="GOSTTablenorm"/>
              <w:rPr>
                <w:szCs w:val="22"/>
              </w:rPr>
            </w:pPr>
            <w:r w:rsidRPr="00264D5D">
              <w:rPr>
                <w:szCs w:val="22"/>
              </w:rPr>
              <w:t>Н</w:t>
            </w:r>
          </w:p>
        </w:tc>
        <w:tc>
          <w:tcPr>
            <w:tcW w:w="1912" w:type="pct"/>
          </w:tcPr>
          <w:p w14:paraId="76DF654B" w14:textId="77777777" w:rsidR="00AD1F54" w:rsidRPr="00264D5D" w:rsidRDefault="00941227">
            <w:pPr>
              <w:pStyle w:val="GOSTTablenorm"/>
              <w:rPr>
                <w:szCs w:val="22"/>
              </w:rPr>
            </w:pPr>
            <w:r w:rsidRPr="00264D5D">
              <w:rPr>
                <w:szCs w:val="22"/>
              </w:rPr>
              <w:t>Указывается БИК банка- посредника 1.</w:t>
            </w:r>
          </w:p>
          <w:p w14:paraId="733DD51F" w14:textId="77777777" w:rsidR="00AD1F54" w:rsidRPr="00264D5D" w:rsidRDefault="00941227">
            <w:pPr>
              <w:pStyle w:val="GOSTTablenorm"/>
              <w:rPr>
                <w:szCs w:val="22"/>
              </w:rPr>
            </w:pPr>
            <w:r w:rsidRPr="00264D5D">
              <w:rPr>
                <w:szCs w:val="22"/>
              </w:rPr>
              <w:t>Значения в поле «Наименование банка-посредника 1»</w:t>
            </w:r>
            <w:r w:rsidRPr="00264D5D">
              <w:rPr>
                <w:b/>
                <w:szCs w:val="22"/>
              </w:rPr>
              <w:t xml:space="preserve">, </w:t>
            </w:r>
            <w:r w:rsidRPr="00264D5D">
              <w:rPr>
                <w:szCs w:val="22"/>
              </w:rPr>
              <w:t>в поле «БИК банка-посредника 1» и в поле «Адрес банка-посредника 1»</w:t>
            </w:r>
            <w:r w:rsidRPr="00264D5D">
              <w:rPr>
                <w:b/>
                <w:szCs w:val="22"/>
              </w:rPr>
              <w:t xml:space="preserve"> </w:t>
            </w:r>
            <w:r w:rsidRPr="00264D5D">
              <w:rPr>
                <w:szCs w:val="22"/>
              </w:rPr>
              <w:t>не должны превыша</w:t>
            </w:r>
            <w:r w:rsidR="00A5124A" w:rsidRPr="00264D5D">
              <w:rPr>
                <w:szCs w:val="22"/>
              </w:rPr>
              <w:t>ть суммарную длину 140 символов</w:t>
            </w:r>
          </w:p>
        </w:tc>
      </w:tr>
      <w:tr w:rsidR="00AD1F54" w:rsidRPr="00264D5D" w14:paraId="7AFA7C3A" w14:textId="77777777" w:rsidTr="00AD1F54">
        <w:trPr>
          <w:trHeight w:val="283"/>
        </w:trPr>
        <w:tc>
          <w:tcPr>
            <w:tcW w:w="884" w:type="pct"/>
          </w:tcPr>
          <w:p w14:paraId="1857BD12" w14:textId="77777777" w:rsidR="00AD1F54" w:rsidRPr="00264D5D" w:rsidRDefault="00941227">
            <w:pPr>
              <w:pStyle w:val="GOSTTablenorm"/>
              <w:rPr>
                <w:szCs w:val="22"/>
              </w:rPr>
            </w:pPr>
            <w:r w:rsidRPr="00264D5D">
              <w:rPr>
                <w:szCs w:val="22"/>
              </w:rPr>
              <w:t>Адрес банка-посредника 1</w:t>
            </w:r>
          </w:p>
        </w:tc>
        <w:tc>
          <w:tcPr>
            <w:tcW w:w="960" w:type="pct"/>
          </w:tcPr>
          <w:p w14:paraId="78FD2112" w14:textId="77777777" w:rsidR="00AD1F54" w:rsidRPr="00264D5D" w:rsidRDefault="00941227">
            <w:pPr>
              <w:pStyle w:val="GOSTTablenorm"/>
              <w:rPr>
                <w:szCs w:val="22"/>
              </w:rPr>
            </w:pPr>
            <w:r w:rsidRPr="00264D5D">
              <w:rPr>
                <w:szCs w:val="22"/>
              </w:rPr>
              <w:t>IntermBank1_Address</w:t>
            </w:r>
          </w:p>
        </w:tc>
        <w:tc>
          <w:tcPr>
            <w:tcW w:w="370" w:type="pct"/>
          </w:tcPr>
          <w:p w14:paraId="21EA9EF6" w14:textId="77777777" w:rsidR="00AD1F54" w:rsidRPr="00264D5D" w:rsidRDefault="00941227">
            <w:pPr>
              <w:pStyle w:val="GOSTTablenorm"/>
              <w:rPr>
                <w:szCs w:val="22"/>
              </w:rPr>
            </w:pPr>
            <w:r w:rsidRPr="00264D5D">
              <w:rPr>
                <w:szCs w:val="22"/>
              </w:rPr>
              <w:t>П</w:t>
            </w:r>
          </w:p>
        </w:tc>
        <w:tc>
          <w:tcPr>
            <w:tcW w:w="581" w:type="pct"/>
          </w:tcPr>
          <w:p w14:paraId="40E0FABD" w14:textId="77777777" w:rsidR="00AD1F54" w:rsidRPr="00264D5D" w:rsidRDefault="00941227">
            <w:pPr>
              <w:pStyle w:val="GOSTTablenorm"/>
              <w:rPr>
                <w:szCs w:val="22"/>
              </w:rPr>
            </w:pPr>
            <w:r w:rsidRPr="00264D5D">
              <w:rPr>
                <w:szCs w:val="22"/>
              </w:rPr>
              <w:t>Т(1-140)</w:t>
            </w:r>
          </w:p>
        </w:tc>
        <w:tc>
          <w:tcPr>
            <w:tcW w:w="293" w:type="pct"/>
          </w:tcPr>
          <w:p w14:paraId="1200076B" w14:textId="77777777" w:rsidR="00AD1F54" w:rsidRPr="00264D5D" w:rsidRDefault="00941227">
            <w:pPr>
              <w:pStyle w:val="GOSTTablenorm"/>
              <w:rPr>
                <w:szCs w:val="22"/>
              </w:rPr>
            </w:pPr>
            <w:r w:rsidRPr="00264D5D">
              <w:rPr>
                <w:szCs w:val="22"/>
              </w:rPr>
              <w:t>Н</w:t>
            </w:r>
          </w:p>
        </w:tc>
        <w:tc>
          <w:tcPr>
            <w:tcW w:w="1912" w:type="pct"/>
          </w:tcPr>
          <w:p w14:paraId="262956C9" w14:textId="77777777" w:rsidR="00AD1F54" w:rsidRPr="00264D5D" w:rsidRDefault="00941227">
            <w:pPr>
              <w:pStyle w:val="GOSTTablenorm"/>
              <w:rPr>
                <w:szCs w:val="22"/>
              </w:rPr>
            </w:pPr>
            <w:r w:rsidRPr="00264D5D">
              <w:rPr>
                <w:szCs w:val="22"/>
              </w:rPr>
              <w:t xml:space="preserve">Указывается адрес банка-посредника 1. </w:t>
            </w:r>
          </w:p>
          <w:p w14:paraId="1AF3185E" w14:textId="77777777" w:rsidR="00AD1F54" w:rsidRPr="00264D5D" w:rsidRDefault="00941227">
            <w:pPr>
              <w:pStyle w:val="GOSTTablenorm"/>
              <w:rPr>
                <w:szCs w:val="22"/>
              </w:rPr>
            </w:pPr>
            <w:r w:rsidRPr="00264D5D">
              <w:rPr>
                <w:szCs w:val="22"/>
              </w:rPr>
              <w:t>Значения в поле «Наименование банка-посредника 1»</w:t>
            </w:r>
            <w:r w:rsidRPr="00264D5D">
              <w:rPr>
                <w:b/>
                <w:szCs w:val="22"/>
              </w:rPr>
              <w:t xml:space="preserve">, </w:t>
            </w:r>
            <w:r w:rsidRPr="00264D5D">
              <w:rPr>
                <w:szCs w:val="22"/>
              </w:rPr>
              <w:t>в поле «БИК банка-посредника 1» и в поле «Адрес банка-посредника 1»</w:t>
            </w:r>
            <w:r w:rsidRPr="00264D5D">
              <w:rPr>
                <w:b/>
                <w:szCs w:val="22"/>
              </w:rPr>
              <w:t xml:space="preserve"> </w:t>
            </w:r>
            <w:r w:rsidRPr="00264D5D">
              <w:rPr>
                <w:szCs w:val="22"/>
              </w:rPr>
              <w:t>не должны превыша</w:t>
            </w:r>
            <w:r w:rsidR="00A5124A" w:rsidRPr="00264D5D">
              <w:rPr>
                <w:szCs w:val="22"/>
              </w:rPr>
              <w:t>ть суммарную длину 140 символов</w:t>
            </w:r>
          </w:p>
        </w:tc>
      </w:tr>
      <w:tr w:rsidR="00AD1F54" w:rsidRPr="00264D5D" w14:paraId="28C9AB86" w14:textId="77777777" w:rsidTr="00AD1F54">
        <w:trPr>
          <w:trHeight w:val="283"/>
        </w:trPr>
        <w:tc>
          <w:tcPr>
            <w:tcW w:w="5000" w:type="pct"/>
            <w:gridSpan w:val="6"/>
          </w:tcPr>
          <w:p w14:paraId="767CB21B" w14:textId="77777777" w:rsidR="00AD1F54" w:rsidRPr="00264D5D" w:rsidRDefault="00941227">
            <w:pPr>
              <w:pStyle w:val="GOSTTablenorm"/>
              <w:rPr>
                <w:b/>
                <w:bCs/>
                <w:iCs/>
                <w:szCs w:val="22"/>
              </w:rPr>
            </w:pPr>
            <w:r w:rsidRPr="00264D5D">
              <w:rPr>
                <w:b/>
                <w:bCs/>
                <w:iCs/>
                <w:szCs w:val="22"/>
              </w:rPr>
              <w:t>Банк-посредник 2</w:t>
            </w:r>
            <w:bookmarkEnd w:id="4854"/>
          </w:p>
        </w:tc>
      </w:tr>
      <w:tr w:rsidR="00AD1F54" w:rsidRPr="00264D5D" w14:paraId="5E625CB7" w14:textId="77777777" w:rsidTr="00AD1F54">
        <w:trPr>
          <w:trHeight w:val="283"/>
        </w:trPr>
        <w:tc>
          <w:tcPr>
            <w:tcW w:w="884" w:type="pct"/>
          </w:tcPr>
          <w:p w14:paraId="5BC5F4F1" w14:textId="77777777" w:rsidR="00AD1F54" w:rsidRPr="00264D5D" w:rsidRDefault="00941227">
            <w:pPr>
              <w:pStyle w:val="GOSTTablenorm"/>
              <w:rPr>
                <w:szCs w:val="22"/>
              </w:rPr>
            </w:pPr>
            <w:r w:rsidRPr="00264D5D">
              <w:rPr>
                <w:szCs w:val="22"/>
              </w:rPr>
              <w:t>Номер корсчета банка-посредника 2</w:t>
            </w:r>
          </w:p>
        </w:tc>
        <w:tc>
          <w:tcPr>
            <w:tcW w:w="960" w:type="pct"/>
          </w:tcPr>
          <w:p w14:paraId="5452A368" w14:textId="77777777" w:rsidR="00AD1F54" w:rsidRPr="00264D5D" w:rsidRDefault="00941227">
            <w:pPr>
              <w:pStyle w:val="GOSTTablenorm"/>
              <w:rPr>
                <w:szCs w:val="22"/>
              </w:rPr>
            </w:pPr>
            <w:r w:rsidRPr="00264D5D">
              <w:rPr>
                <w:szCs w:val="22"/>
              </w:rPr>
              <w:t>IntermBank2_AccNumber</w:t>
            </w:r>
          </w:p>
        </w:tc>
        <w:tc>
          <w:tcPr>
            <w:tcW w:w="370" w:type="pct"/>
          </w:tcPr>
          <w:p w14:paraId="0153AF2B" w14:textId="77777777" w:rsidR="00AD1F54" w:rsidRPr="00264D5D" w:rsidRDefault="00941227">
            <w:pPr>
              <w:pStyle w:val="GOSTTablenorm"/>
              <w:rPr>
                <w:szCs w:val="22"/>
              </w:rPr>
            </w:pPr>
            <w:r w:rsidRPr="00264D5D">
              <w:rPr>
                <w:szCs w:val="22"/>
              </w:rPr>
              <w:t>П</w:t>
            </w:r>
          </w:p>
        </w:tc>
        <w:tc>
          <w:tcPr>
            <w:tcW w:w="581" w:type="pct"/>
          </w:tcPr>
          <w:p w14:paraId="0273A4B2" w14:textId="77777777" w:rsidR="00AD1F54" w:rsidRPr="00264D5D" w:rsidRDefault="00941227">
            <w:pPr>
              <w:pStyle w:val="GOSTTablenorm"/>
              <w:rPr>
                <w:szCs w:val="22"/>
              </w:rPr>
            </w:pPr>
            <w:r w:rsidRPr="00264D5D">
              <w:rPr>
                <w:szCs w:val="22"/>
              </w:rPr>
              <w:t>Т(1-34)</w:t>
            </w:r>
          </w:p>
        </w:tc>
        <w:tc>
          <w:tcPr>
            <w:tcW w:w="293" w:type="pct"/>
          </w:tcPr>
          <w:p w14:paraId="2981EA41" w14:textId="77777777" w:rsidR="00AD1F54" w:rsidRPr="00264D5D" w:rsidRDefault="00941227">
            <w:pPr>
              <w:pStyle w:val="GOSTTablenorm"/>
              <w:rPr>
                <w:szCs w:val="22"/>
              </w:rPr>
            </w:pPr>
            <w:r w:rsidRPr="00264D5D">
              <w:rPr>
                <w:szCs w:val="22"/>
              </w:rPr>
              <w:t>Н</w:t>
            </w:r>
          </w:p>
        </w:tc>
        <w:tc>
          <w:tcPr>
            <w:tcW w:w="1912" w:type="pct"/>
          </w:tcPr>
          <w:p w14:paraId="78047751" w14:textId="77777777" w:rsidR="00AD1F54" w:rsidRPr="00264D5D" w:rsidRDefault="00941227">
            <w:pPr>
              <w:pStyle w:val="GOSTTablenorm"/>
              <w:rPr>
                <w:szCs w:val="22"/>
              </w:rPr>
            </w:pPr>
            <w:r w:rsidRPr="00264D5D">
              <w:rPr>
                <w:szCs w:val="22"/>
              </w:rPr>
              <w:t>Указывается ном</w:t>
            </w:r>
            <w:r w:rsidR="00A5124A" w:rsidRPr="00264D5D">
              <w:rPr>
                <w:szCs w:val="22"/>
              </w:rPr>
              <w:t>ер корсчета банка- посредника 2</w:t>
            </w:r>
          </w:p>
        </w:tc>
      </w:tr>
      <w:tr w:rsidR="00AD1F54" w:rsidRPr="00264D5D" w14:paraId="1D71F4E4" w14:textId="77777777" w:rsidTr="00AD1F54">
        <w:trPr>
          <w:trHeight w:val="283"/>
        </w:trPr>
        <w:tc>
          <w:tcPr>
            <w:tcW w:w="884" w:type="pct"/>
          </w:tcPr>
          <w:p w14:paraId="7E8BCB7E" w14:textId="77777777" w:rsidR="00AD1F54" w:rsidRPr="00264D5D" w:rsidRDefault="00941227">
            <w:pPr>
              <w:pStyle w:val="GOSTTablenorm"/>
              <w:rPr>
                <w:szCs w:val="22"/>
                <w:lang w:val="en-US"/>
              </w:rPr>
            </w:pPr>
            <w:r w:rsidRPr="00264D5D">
              <w:rPr>
                <w:szCs w:val="22"/>
                <w:lang w:val="en-US"/>
              </w:rPr>
              <w:t>SWIFT</w:t>
            </w:r>
            <w:r w:rsidRPr="00264D5D">
              <w:rPr>
                <w:szCs w:val="22"/>
              </w:rPr>
              <w:t xml:space="preserve"> код</w:t>
            </w:r>
            <w:r w:rsidRPr="00264D5D">
              <w:rPr>
                <w:szCs w:val="22"/>
                <w:lang w:val="en-US"/>
              </w:rPr>
              <w:t xml:space="preserve"> </w:t>
            </w:r>
            <w:r w:rsidRPr="00264D5D">
              <w:rPr>
                <w:szCs w:val="22"/>
              </w:rPr>
              <w:t>банка-посредника 2</w:t>
            </w:r>
          </w:p>
        </w:tc>
        <w:tc>
          <w:tcPr>
            <w:tcW w:w="960" w:type="pct"/>
          </w:tcPr>
          <w:p w14:paraId="540A9A02" w14:textId="77777777" w:rsidR="00AD1F54" w:rsidRPr="00264D5D" w:rsidRDefault="00941227">
            <w:pPr>
              <w:pStyle w:val="GOSTTablenorm"/>
              <w:rPr>
                <w:szCs w:val="22"/>
              </w:rPr>
            </w:pPr>
            <w:r w:rsidRPr="00264D5D">
              <w:rPr>
                <w:szCs w:val="22"/>
              </w:rPr>
              <w:t>IntermBank2_SwiftCode</w:t>
            </w:r>
          </w:p>
        </w:tc>
        <w:tc>
          <w:tcPr>
            <w:tcW w:w="370" w:type="pct"/>
          </w:tcPr>
          <w:p w14:paraId="35C314AC" w14:textId="77777777" w:rsidR="00AD1F54" w:rsidRPr="00264D5D" w:rsidRDefault="00941227">
            <w:pPr>
              <w:pStyle w:val="GOSTTablenorm"/>
              <w:rPr>
                <w:szCs w:val="22"/>
              </w:rPr>
            </w:pPr>
            <w:r w:rsidRPr="00264D5D">
              <w:rPr>
                <w:szCs w:val="22"/>
              </w:rPr>
              <w:t>П</w:t>
            </w:r>
          </w:p>
        </w:tc>
        <w:tc>
          <w:tcPr>
            <w:tcW w:w="581" w:type="pct"/>
          </w:tcPr>
          <w:p w14:paraId="17FCCB13" w14:textId="77777777" w:rsidR="00AD1F54" w:rsidRPr="00264D5D" w:rsidRDefault="00941227">
            <w:pPr>
              <w:pStyle w:val="GOSTTablenorm"/>
              <w:rPr>
                <w:szCs w:val="22"/>
              </w:rPr>
            </w:pPr>
            <w:r w:rsidRPr="00264D5D">
              <w:rPr>
                <w:szCs w:val="22"/>
              </w:rPr>
              <w:t>Т(1-11)</w:t>
            </w:r>
          </w:p>
        </w:tc>
        <w:tc>
          <w:tcPr>
            <w:tcW w:w="293" w:type="pct"/>
          </w:tcPr>
          <w:p w14:paraId="58076168" w14:textId="77777777" w:rsidR="00AD1F54" w:rsidRPr="00264D5D" w:rsidRDefault="00941227">
            <w:pPr>
              <w:pStyle w:val="GOSTTablenorm"/>
              <w:rPr>
                <w:szCs w:val="22"/>
              </w:rPr>
            </w:pPr>
            <w:r w:rsidRPr="00264D5D">
              <w:rPr>
                <w:szCs w:val="22"/>
              </w:rPr>
              <w:t>Н</w:t>
            </w:r>
          </w:p>
        </w:tc>
        <w:tc>
          <w:tcPr>
            <w:tcW w:w="1912" w:type="pct"/>
          </w:tcPr>
          <w:p w14:paraId="2E30B3E4" w14:textId="77777777" w:rsidR="00AD1F54" w:rsidRPr="00264D5D" w:rsidRDefault="00941227">
            <w:pPr>
              <w:pStyle w:val="GOSTTablenorm"/>
              <w:rPr>
                <w:szCs w:val="22"/>
              </w:rPr>
            </w:pPr>
            <w:r w:rsidRPr="00264D5D">
              <w:rPr>
                <w:szCs w:val="22"/>
              </w:rPr>
              <w:t xml:space="preserve">Указывается </w:t>
            </w:r>
            <w:r w:rsidRPr="00264D5D">
              <w:rPr>
                <w:szCs w:val="22"/>
                <w:lang w:val="en-US"/>
              </w:rPr>
              <w:t>SWIFT</w:t>
            </w:r>
            <w:r w:rsidR="00A5124A" w:rsidRPr="00264D5D">
              <w:rPr>
                <w:szCs w:val="22"/>
              </w:rPr>
              <w:t xml:space="preserve"> код банка- посредника 2</w:t>
            </w:r>
          </w:p>
        </w:tc>
      </w:tr>
      <w:tr w:rsidR="00AD1F54" w:rsidRPr="00264D5D" w14:paraId="03764CA5" w14:textId="77777777" w:rsidTr="00AD1F54">
        <w:trPr>
          <w:trHeight w:val="283"/>
        </w:trPr>
        <w:tc>
          <w:tcPr>
            <w:tcW w:w="884" w:type="pct"/>
          </w:tcPr>
          <w:p w14:paraId="37CC981C" w14:textId="77777777" w:rsidR="00AD1F54" w:rsidRPr="00264D5D" w:rsidRDefault="00941227">
            <w:pPr>
              <w:pStyle w:val="GOSTTablenorm"/>
              <w:rPr>
                <w:szCs w:val="22"/>
                <w:lang w:val="en-US"/>
              </w:rPr>
            </w:pPr>
            <w:r w:rsidRPr="00264D5D">
              <w:rPr>
                <w:szCs w:val="22"/>
              </w:rPr>
              <w:t>Наименование</w:t>
            </w:r>
            <w:r w:rsidRPr="00264D5D">
              <w:rPr>
                <w:szCs w:val="22"/>
                <w:lang w:val="en-US"/>
              </w:rPr>
              <w:t xml:space="preserve"> </w:t>
            </w:r>
            <w:r w:rsidRPr="00264D5D">
              <w:rPr>
                <w:szCs w:val="22"/>
              </w:rPr>
              <w:t>банка-посредника 2</w:t>
            </w:r>
          </w:p>
        </w:tc>
        <w:tc>
          <w:tcPr>
            <w:tcW w:w="960" w:type="pct"/>
          </w:tcPr>
          <w:p w14:paraId="3EF43660" w14:textId="77777777" w:rsidR="00AD1F54" w:rsidRPr="00264D5D" w:rsidRDefault="00941227">
            <w:pPr>
              <w:pStyle w:val="GOSTTablenorm"/>
              <w:rPr>
                <w:szCs w:val="22"/>
              </w:rPr>
            </w:pPr>
            <w:r w:rsidRPr="00264D5D">
              <w:rPr>
                <w:szCs w:val="22"/>
              </w:rPr>
              <w:t>IntermBank2_Description</w:t>
            </w:r>
          </w:p>
        </w:tc>
        <w:tc>
          <w:tcPr>
            <w:tcW w:w="370" w:type="pct"/>
          </w:tcPr>
          <w:p w14:paraId="39D6D04D" w14:textId="77777777" w:rsidR="00AD1F54" w:rsidRPr="00264D5D" w:rsidRDefault="00941227">
            <w:pPr>
              <w:pStyle w:val="GOSTTablenorm"/>
              <w:rPr>
                <w:szCs w:val="22"/>
              </w:rPr>
            </w:pPr>
            <w:r w:rsidRPr="00264D5D">
              <w:rPr>
                <w:szCs w:val="22"/>
              </w:rPr>
              <w:t>П</w:t>
            </w:r>
          </w:p>
        </w:tc>
        <w:tc>
          <w:tcPr>
            <w:tcW w:w="581" w:type="pct"/>
          </w:tcPr>
          <w:p w14:paraId="0101E222" w14:textId="77777777" w:rsidR="00AD1F54" w:rsidRPr="00264D5D" w:rsidRDefault="00941227">
            <w:pPr>
              <w:pStyle w:val="GOSTTablenorm"/>
              <w:rPr>
                <w:szCs w:val="22"/>
              </w:rPr>
            </w:pPr>
            <w:r w:rsidRPr="00264D5D">
              <w:rPr>
                <w:szCs w:val="22"/>
              </w:rPr>
              <w:t>Т(1-140)</w:t>
            </w:r>
          </w:p>
        </w:tc>
        <w:tc>
          <w:tcPr>
            <w:tcW w:w="293" w:type="pct"/>
          </w:tcPr>
          <w:p w14:paraId="404CE2C1" w14:textId="77777777" w:rsidR="00AD1F54" w:rsidRPr="00264D5D" w:rsidRDefault="00941227">
            <w:pPr>
              <w:pStyle w:val="GOSTTablenorm"/>
              <w:rPr>
                <w:szCs w:val="22"/>
              </w:rPr>
            </w:pPr>
            <w:r w:rsidRPr="00264D5D">
              <w:rPr>
                <w:szCs w:val="22"/>
              </w:rPr>
              <w:t>Н</w:t>
            </w:r>
          </w:p>
        </w:tc>
        <w:tc>
          <w:tcPr>
            <w:tcW w:w="1912" w:type="pct"/>
          </w:tcPr>
          <w:p w14:paraId="60A3ECFD" w14:textId="77777777" w:rsidR="00AD1F54" w:rsidRPr="00264D5D" w:rsidRDefault="00941227">
            <w:pPr>
              <w:pStyle w:val="GOSTTablenorm"/>
              <w:rPr>
                <w:szCs w:val="22"/>
              </w:rPr>
            </w:pPr>
            <w:r w:rsidRPr="00264D5D">
              <w:rPr>
                <w:szCs w:val="22"/>
              </w:rPr>
              <w:t xml:space="preserve">Указывается наименование банка-посредника 2. </w:t>
            </w:r>
          </w:p>
          <w:p w14:paraId="0BC79A47" w14:textId="77777777" w:rsidR="00AD1F54" w:rsidRPr="00264D5D" w:rsidRDefault="00941227">
            <w:pPr>
              <w:pStyle w:val="GOSTTablenorm"/>
              <w:rPr>
                <w:szCs w:val="22"/>
              </w:rPr>
            </w:pPr>
            <w:r w:rsidRPr="00264D5D">
              <w:rPr>
                <w:szCs w:val="22"/>
              </w:rPr>
              <w:t>Значения в поле «Наименование банка-посредника 2»</w:t>
            </w:r>
            <w:r w:rsidRPr="00264D5D">
              <w:rPr>
                <w:b/>
                <w:szCs w:val="22"/>
              </w:rPr>
              <w:t xml:space="preserve">, </w:t>
            </w:r>
            <w:r w:rsidRPr="00264D5D">
              <w:rPr>
                <w:szCs w:val="22"/>
              </w:rPr>
              <w:t>в поле «БИК банка-посредника 2» и в поле «Адрес банка-посредника 2»</w:t>
            </w:r>
            <w:r w:rsidRPr="00264D5D">
              <w:rPr>
                <w:b/>
                <w:szCs w:val="22"/>
              </w:rPr>
              <w:t xml:space="preserve"> </w:t>
            </w:r>
            <w:r w:rsidRPr="00264D5D">
              <w:rPr>
                <w:szCs w:val="22"/>
              </w:rPr>
              <w:t>не должны превыша</w:t>
            </w:r>
            <w:r w:rsidR="00A5124A" w:rsidRPr="00264D5D">
              <w:rPr>
                <w:szCs w:val="22"/>
              </w:rPr>
              <w:t>ть суммарную длину 140 символов</w:t>
            </w:r>
          </w:p>
        </w:tc>
      </w:tr>
      <w:tr w:rsidR="00AD1F54" w:rsidRPr="00264D5D" w14:paraId="04A5656E" w14:textId="77777777" w:rsidTr="00AD1F54">
        <w:trPr>
          <w:trHeight w:val="283"/>
        </w:trPr>
        <w:tc>
          <w:tcPr>
            <w:tcW w:w="884" w:type="pct"/>
          </w:tcPr>
          <w:p w14:paraId="6C6707EB" w14:textId="77777777" w:rsidR="00AD1F54" w:rsidRPr="00264D5D" w:rsidRDefault="00941227">
            <w:pPr>
              <w:pStyle w:val="GOSTTablenorm"/>
              <w:rPr>
                <w:szCs w:val="22"/>
              </w:rPr>
            </w:pPr>
            <w:r w:rsidRPr="00264D5D">
              <w:rPr>
                <w:szCs w:val="22"/>
              </w:rPr>
              <w:t>БИК банка-посредника 2</w:t>
            </w:r>
          </w:p>
        </w:tc>
        <w:tc>
          <w:tcPr>
            <w:tcW w:w="960" w:type="pct"/>
          </w:tcPr>
          <w:p w14:paraId="47A7A221" w14:textId="77777777" w:rsidR="00AD1F54" w:rsidRPr="00264D5D" w:rsidRDefault="00941227">
            <w:pPr>
              <w:pStyle w:val="GOSTTablenorm"/>
              <w:rPr>
                <w:szCs w:val="22"/>
              </w:rPr>
            </w:pPr>
            <w:r w:rsidRPr="00264D5D">
              <w:rPr>
                <w:szCs w:val="22"/>
              </w:rPr>
              <w:t>IntermBank2_BIC</w:t>
            </w:r>
          </w:p>
        </w:tc>
        <w:tc>
          <w:tcPr>
            <w:tcW w:w="370" w:type="pct"/>
          </w:tcPr>
          <w:p w14:paraId="0503AB3A" w14:textId="77777777" w:rsidR="00AD1F54" w:rsidRPr="00264D5D" w:rsidRDefault="00941227">
            <w:pPr>
              <w:pStyle w:val="GOSTTablenorm"/>
              <w:rPr>
                <w:szCs w:val="22"/>
              </w:rPr>
            </w:pPr>
            <w:r w:rsidRPr="00264D5D">
              <w:rPr>
                <w:szCs w:val="22"/>
              </w:rPr>
              <w:t>П</w:t>
            </w:r>
          </w:p>
        </w:tc>
        <w:tc>
          <w:tcPr>
            <w:tcW w:w="581" w:type="pct"/>
          </w:tcPr>
          <w:p w14:paraId="78CC7E5F" w14:textId="77777777" w:rsidR="00AD1F54" w:rsidRPr="00264D5D" w:rsidRDefault="00941227">
            <w:pPr>
              <w:pStyle w:val="GOSTTablenorm"/>
              <w:rPr>
                <w:szCs w:val="22"/>
              </w:rPr>
            </w:pPr>
            <w:r w:rsidRPr="00264D5D">
              <w:rPr>
                <w:szCs w:val="22"/>
              </w:rPr>
              <w:t>Т(9)</w:t>
            </w:r>
          </w:p>
        </w:tc>
        <w:tc>
          <w:tcPr>
            <w:tcW w:w="293" w:type="pct"/>
          </w:tcPr>
          <w:p w14:paraId="58190C74" w14:textId="77777777" w:rsidR="00AD1F54" w:rsidRPr="00264D5D" w:rsidRDefault="00941227">
            <w:pPr>
              <w:pStyle w:val="GOSTTablenorm"/>
              <w:rPr>
                <w:szCs w:val="22"/>
              </w:rPr>
            </w:pPr>
            <w:r w:rsidRPr="00264D5D">
              <w:rPr>
                <w:szCs w:val="22"/>
              </w:rPr>
              <w:t>Н</w:t>
            </w:r>
          </w:p>
        </w:tc>
        <w:tc>
          <w:tcPr>
            <w:tcW w:w="1912" w:type="pct"/>
          </w:tcPr>
          <w:p w14:paraId="53FFA76A" w14:textId="77777777" w:rsidR="00AD1F54" w:rsidRPr="00264D5D" w:rsidRDefault="00941227">
            <w:pPr>
              <w:pStyle w:val="GOSTTablenorm"/>
              <w:rPr>
                <w:szCs w:val="22"/>
              </w:rPr>
            </w:pPr>
            <w:r w:rsidRPr="00264D5D">
              <w:rPr>
                <w:szCs w:val="22"/>
              </w:rPr>
              <w:t>Указывается БИК банка- посредника 2.</w:t>
            </w:r>
          </w:p>
          <w:p w14:paraId="11C66F38" w14:textId="77777777" w:rsidR="00AD1F54" w:rsidRPr="00264D5D" w:rsidRDefault="00941227">
            <w:pPr>
              <w:pStyle w:val="GOSTTablenorm"/>
              <w:rPr>
                <w:szCs w:val="22"/>
              </w:rPr>
            </w:pPr>
            <w:r w:rsidRPr="00264D5D">
              <w:rPr>
                <w:szCs w:val="22"/>
              </w:rPr>
              <w:t>Значения в поле «Наименование банка-посредника 2»</w:t>
            </w:r>
            <w:r w:rsidRPr="00264D5D">
              <w:rPr>
                <w:b/>
                <w:szCs w:val="22"/>
              </w:rPr>
              <w:t xml:space="preserve">, </w:t>
            </w:r>
            <w:r w:rsidRPr="00264D5D">
              <w:rPr>
                <w:szCs w:val="22"/>
              </w:rPr>
              <w:t>в поле «БИК банка-посредника 2» и в поле «Адрес банка-посредника 2»</w:t>
            </w:r>
            <w:r w:rsidRPr="00264D5D">
              <w:rPr>
                <w:b/>
                <w:szCs w:val="22"/>
              </w:rPr>
              <w:t xml:space="preserve"> </w:t>
            </w:r>
            <w:r w:rsidRPr="00264D5D">
              <w:rPr>
                <w:szCs w:val="22"/>
              </w:rPr>
              <w:t>не должны превыша</w:t>
            </w:r>
            <w:r w:rsidR="00A5124A" w:rsidRPr="00264D5D">
              <w:rPr>
                <w:szCs w:val="22"/>
              </w:rPr>
              <w:t xml:space="preserve">ть суммарную длину 140 </w:t>
            </w:r>
            <w:r w:rsidR="00A5124A" w:rsidRPr="00264D5D">
              <w:rPr>
                <w:szCs w:val="22"/>
              </w:rPr>
              <w:lastRenderedPageBreak/>
              <w:t>символов</w:t>
            </w:r>
          </w:p>
        </w:tc>
      </w:tr>
      <w:tr w:rsidR="00AD1F54" w:rsidRPr="00264D5D" w14:paraId="2315810E" w14:textId="77777777" w:rsidTr="00AD1F54">
        <w:trPr>
          <w:trHeight w:val="283"/>
        </w:trPr>
        <w:tc>
          <w:tcPr>
            <w:tcW w:w="884" w:type="pct"/>
          </w:tcPr>
          <w:p w14:paraId="5830D545" w14:textId="77777777" w:rsidR="00AD1F54" w:rsidRPr="00264D5D" w:rsidRDefault="00941227">
            <w:pPr>
              <w:pStyle w:val="GOSTTablenorm"/>
              <w:rPr>
                <w:szCs w:val="22"/>
              </w:rPr>
            </w:pPr>
            <w:r w:rsidRPr="00264D5D">
              <w:rPr>
                <w:szCs w:val="22"/>
              </w:rPr>
              <w:lastRenderedPageBreak/>
              <w:t>Адрес банка-посредника 2</w:t>
            </w:r>
          </w:p>
        </w:tc>
        <w:tc>
          <w:tcPr>
            <w:tcW w:w="960" w:type="pct"/>
          </w:tcPr>
          <w:p w14:paraId="6472ADA1" w14:textId="77777777" w:rsidR="00AD1F54" w:rsidRPr="00264D5D" w:rsidRDefault="00941227">
            <w:pPr>
              <w:pStyle w:val="GOSTTablenorm"/>
              <w:rPr>
                <w:szCs w:val="22"/>
              </w:rPr>
            </w:pPr>
            <w:r w:rsidRPr="00264D5D">
              <w:rPr>
                <w:szCs w:val="22"/>
              </w:rPr>
              <w:t>IntermBank2_Address</w:t>
            </w:r>
          </w:p>
        </w:tc>
        <w:tc>
          <w:tcPr>
            <w:tcW w:w="370" w:type="pct"/>
          </w:tcPr>
          <w:p w14:paraId="1E7BD31B" w14:textId="77777777" w:rsidR="00AD1F54" w:rsidRPr="00264D5D" w:rsidRDefault="00941227">
            <w:pPr>
              <w:pStyle w:val="GOSTTablenorm"/>
              <w:rPr>
                <w:szCs w:val="22"/>
              </w:rPr>
            </w:pPr>
            <w:r w:rsidRPr="00264D5D">
              <w:rPr>
                <w:szCs w:val="22"/>
              </w:rPr>
              <w:t>П</w:t>
            </w:r>
          </w:p>
        </w:tc>
        <w:tc>
          <w:tcPr>
            <w:tcW w:w="581" w:type="pct"/>
          </w:tcPr>
          <w:p w14:paraId="0F5E6F94" w14:textId="77777777" w:rsidR="00AD1F54" w:rsidRPr="00264D5D" w:rsidRDefault="00941227">
            <w:pPr>
              <w:pStyle w:val="GOSTTablenorm"/>
              <w:rPr>
                <w:szCs w:val="22"/>
              </w:rPr>
            </w:pPr>
            <w:r w:rsidRPr="00264D5D">
              <w:rPr>
                <w:szCs w:val="22"/>
              </w:rPr>
              <w:t>Т(1-140)</w:t>
            </w:r>
          </w:p>
        </w:tc>
        <w:tc>
          <w:tcPr>
            <w:tcW w:w="293" w:type="pct"/>
          </w:tcPr>
          <w:p w14:paraId="34EB4028" w14:textId="77777777" w:rsidR="00AD1F54" w:rsidRPr="00264D5D" w:rsidRDefault="00941227">
            <w:pPr>
              <w:pStyle w:val="GOSTTablenorm"/>
              <w:rPr>
                <w:szCs w:val="22"/>
              </w:rPr>
            </w:pPr>
            <w:r w:rsidRPr="00264D5D">
              <w:rPr>
                <w:szCs w:val="22"/>
              </w:rPr>
              <w:t>Н</w:t>
            </w:r>
          </w:p>
        </w:tc>
        <w:tc>
          <w:tcPr>
            <w:tcW w:w="1912" w:type="pct"/>
          </w:tcPr>
          <w:p w14:paraId="40090BA2" w14:textId="77777777" w:rsidR="00AD1F54" w:rsidRPr="00264D5D" w:rsidRDefault="00941227">
            <w:pPr>
              <w:pStyle w:val="GOSTTablenorm"/>
              <w:rPr>
                <w:szCs w:val="22"/>
              </w:rPr>
            </w:pPr>
            <w:r w:rsidRPr="00264D5D">
              <w:rPr>
                <w:szCs w:val="22"/>
              </w:rPr>
              <w:t xml:space="preserve">Указывается адрес банка-посредника 2. </w:t>
            </w:r>
          </w:p>
          <w:p w14:paraId="36101C2B" w14:textId="77777777" w:rsidR="00AD1F54" w:rsidRPr="00264D5D" w:rsidRDefault="00941227">
            <w:pPr>
              <w:pStyle w:val="GOSTTablenorm"/>
              <w:rPr>
                <w:szCs w:val="22"/>
              </w:rPr>
            </w:pPr>
            <w:r w:rsidRPr="00264D5D">
              <w:rPr>
                <w:szCs w:val="22"/>
              </w:rPr>
              <w:t>Значения в поле «Наименование банка-посредника 2»</w:t>
            </w:r>
            <w:r w:rsidRPr="00264D5D">
              <w:rPr>
                <w:b/>
                <w:szCs w:val="22"/>
              </w:rPr>
              <w:t xml:space="preserve">, </w:t>
            </w:r>
            <w:r w:rsidRPr="00264D5D">
              <w:rPr>
                <w:szCs w:val="22"/>
              </w:rPr>
              <w:t>в поле «БИК банка-посредника 2» и в поле «Адрес банка-посредника 2»</w:t>
            </w:r>
            <w:r w:rsidRPr="00264D5D">
              <w:rPr>
                <w:b/>
                <w:szCs w:val="22"/>
              </w:rPr>
              <w:t xml:space="preserve"> </w:t>
            </w:r>
            <w:r w:rsidRPr="00264D5D">
              <w:rPr>
                <w:szCs w:val="22"/>
              </w:rPr>
              <w:t>не должны превыша</w:t>
            </w:r>
            <w:r w:rsidR="00A5124A" w:rsidRPr="00264D5D">
              <w:rPr>
                <w:szCs w:val="22"/>
              </w:rPr>
              <w:t>ть суммарную длину 140 символов</w:t>
            </w:r>
          </w:p>
        </w:tc>
      </w:tr>
      <w:tr w:rsidR="00AD1F54" w:rsidRPr="00264D5D" w14:paraId="4D206887" w14:textId="77777777" w:rsidTr="00AD1F54">
        <w:trPr>
          <w:trHeight w:val="283"/>
        </w:trPr>
        <w:tc>
          <w:tcPr>
            <w:tcW w:w="5000" w:type="pct"/>
            <w:gridSpan w:val="6"/>
          </w:tcPr>
          <w:p w14:paraId="0B04AAFD" w14:textId="77777777" w:rsidR="00AD1F54" w:rsidRPr="00264D5D" w:rsidRDefault="00941227">
            <w:pPr>
              <w:pStyle w:val="GOSTTablenorm"/>
              <w:rPr>
                <w:b/>
                <w:bCs/>
                <w:iCs/>
                <w:szCs w:val="22"/>
              </w:rPr>
            </w:pPr>
            <w:r w:rsidRPr="00264D5D">
              <w:rPr>
                <w:b/>
                <w:bCs/>
                <w:iCs/>
                <w:szCs w:val="22"/>
              </w:rPr>
              <w:t>Банк-посредник 3</w:t>
            </w:r>
          </w:p>
        </w:tc>
      </w:tr>
      <w:tr w:rsidR="00AD1F54" w:rsidRPr="00264D5D" w14:paraId="753387C1" w14:textId="77777777" w:rsidTr="00AD1F54">
        <w:trPr>
          <w:trHeight w:val="283"/>
        </w:trPr>
        <w:tc>
          <w:tcPr>
            <w:tcW w:w="884" w:type="pct"/>
          </w:tcPr>
          <w:p w14:paraId="6F56DADB" w14:textId="77777777" w:rsidR="00AD1F54" w:rsidRPr="00264D5D" w:rsidRDefault="00941227">
            <w:pPr>
              <w:pStyle w:val="GOSTTablenorm"/>
              <w:rPr>
                <w:szCs w:val="22"/>
              </w:rPr>
            </w:pPr>
            <w:r w:rsidRPr="00264D5D">
              <w:rPr>
                <w:szCs w:val="22"/>
              </w:rPr>
              <w:t>Номер корсчета банка-посредника 3</w:t>
            </w:r>
          </w:p>
        </w:tc>
        <w:tc>
          <w:tcPr>
            <w:tcW w:w="960" w:type="pct"/>
          </w:tcPr>
          <w:p w14:paraId="7216FF43" w14:textId="77777777" w:rsidR="00AD1F54" w:rsidRPr="00264D5D" w:rsidRDefault="00941227">
            <w:pPr>
              <w:pStyle w:val="GOSTTablenorm"/>
              <w:rPr>
                <w:szCs w:val="22"/>
              </w:rPr>
            </w:pPr>
            <w:r w:rsidRPr="00264D5D">
              <w:rPr>
                <w:szCs w:val="22"/>
              </w:rPr>
              <w:t>IntermBank3_AccNumber</w:t>
            </w:r>
          </w:p>
        </w:tc>
        <w:tc>
          <w:tcPr>
            <w:tcW w:w="370" w:type="pct"/>
          </w:tcPr>
          <w:p w14:paraId="774BA958" w14:textId="77777777" w:rsidR="00AD1F54" w:rsidRPr="00264D5D" w:rsidRDefault="00941227">
            <w:pPr>
              <w:pStyle w:val="GOSTTablenorm"/>
              <w:rPr>
                <w:szCs w:val="22"/>
              </w:rPr>
            </w:pPr>
            <w:r w:rsidRPr="00264D5D">
              <w:rPr>
                <w:szCs w:val="22"/>
              </w:rPr>
              <w:t>П</w:t>
            </w:r>
          </w:p>
        </w:tc>
        <w:tc>
          <w:tcPr>
            <w:tcW w:w="581" w:type="pct"/>
          </w:tcPr>
          <w:p w14:paraId="2CAC867D" w14:textId="77777777" w:rsidR="00AD1F54" w:rsidRPr="00264D5D" w:rsidRDefault="00941227">
            <w:pPr>
              <w:pStyle w:val="GOSTTablenorm"/>
              <w:rPr>
                <w:szCs w:val="22"/>
              </w:rPr>
            </w:pPr>
            <w:r w:rsidRPr="00264D5D">
              <w:rPr>
                <w:szCs w:val="22"/>
              </w:rPr>
              <w:t>Т(1-34)</w:t>
            </w:r>
          </w:p>
        </w:tc>
        <w:tc>
          <w:tcPr>
            <w:tcW w:w="293" w:type="pct"/>
          </w:tcPr>
          <w:p w14:paraId="71B02414" w14:textId="77777777" w:rsidR="00AD1F54" w:rsidRPr="00264D5D" w:rsidRDefault="00941227">
            <w:pPr>
              <w:pStyle w:val="GOSTTablenorm"/>
              <w:rPr>
                <w:szCs w:val="22"/>
              </w:rPr>
            </w:pPr>
            <w:r w:rsidRPr="00264D5D">
              <w:rPr>
                <w:szCs w:val="22"/>
              </w:rPr>
              <w:t>Н</w:t>
            </w:r>
          </w:p>
        </w:tc>
        <w:tc>
          <w:tcPr>
            <w:tcW w:w="1912" w:type="pct"/>
          </w:tcPr>
          <w:p w14:paraId="0D64F5BA" w14:textId="77777777" w:rsidR="00AD1F54" w:rsidRPr="00264D5D" w:rsidRDefault="00941227">
            <w:pPr>
              <w:pStyle w:val="GOSTTablenorm"/>
              <w:rPr>
                <w:szCs w:val="22"/>
              </w:rPr>
            </w:pPr>
            <w:r w:rsidRPr="00264D5D">
              <w:rPr>
                <w:szCs w:val="22"/>
              </w:rPr>
              <w:t>Указывается ном</w:t>
            </w:r>
            <w:r w:rsidR="00A5124A" w:rsidRPr="00264D5D">
              <w:rPr>
                <w:szCs w:val="22"/>
              </w:rPr>
              <w:t>ер корсчета банка- посредника 3</w:t>
            </w:r>
          </w:p>
        </w:tc>
      </w:tr>
      <w:tr w:rsidR="00AD1F54" w:rsidRPr="00264D5D" w14:paraId="55356538" w14:textId="77777777" w:rsidTr="00AD1F54">
        <w:trPr>
          <w:trHeight w:val="283"/>
        </w:trPr>
        <w:tc>
          <w:tcPr>
            <w:tcW w:w="884" w:type="pct"/>
          </w:tcPr>
          <w:p w14:paraId="54EBF73D" w14:textId="77777777" w:rsidR="00AD1F54" w:rsidRPr="00264D5D" w:rsidRDefault="00941227">
            <w:pPr>
              <w:pStyle w:val="GOSTTablenorm"/>
              <w:rPr>
                <w:szCs w:val="22"/>
                <w:lang w:val="en-US"/>
              </w:rPr>
            </w:pPr>
            <w:r w:rsidRPr="00264D5D">
              <w:rPr>
                <w:szCs w:val="22"/>
                <w:lang w:val="en-US"/>
              </w:rPr>
              <w:t>SWIFT</w:t>
            </w:r>
            <w:r w:rsidRPr="00264D5D">
              <w:rPr>
                <w:szCs w:val="22"/>
              </w:rPr>
              <w:t xml:space="preserve"> код</w:t>
            </w:r>
            <w:r w:rsidRPr="00264D5D">
              <w:rPr>
                <w:szCs w:val="22"/>
                <w:lang w:val="en-US"/>
              </w:rPr>
              <w:t xml:space="preserve"> </w:t>
            </w:r>
            <w:r w:rsidRPr="00264D5D">
              <w:rPr>
                <w:szCs w:val="22"/>
              </w:rPr>
              <w:t>банка-посредника 3</w:t>
            </w:r>
          </w:p>
        </w:tc>
        <w:tc>
          <w:tcPr>
            <w:tcW w:w="960" w:type="pct"/>
          </w:tcPr>
          <w:p w14:paraId="7B78D060" w14:textId="77777777" w:rsidR="00AD1F54" w:rsidRPr="00264D5D" w:rsidRDefault="00941227">
            <w:pPr>
              <w:pStyle w:val="GOSTTablenorm"/>
              <w:rPr>
                <w:szCs w:val="22"/>
              </w:rPr>
            </w:pPr>
            <w:r w:rsidRPr="00264D5D">
              <w:rPr>
                <w:szCs w:val="22"/>
              </w:rPr>
              <w:t>IntermBank3_SwiftCode</w:t>
            </w:r>
          </w:p>
        </w:tc>
        <w:tc>
          <w:tcPr>
            <w:tcW w:w="370" w:type="pct"/>
          </w:tcPr>
          <w:p w14:paraId="64DEDE52" w14:textId="77777777" w:rsidR="00AD1F54" w:rsidRPr="00264D5D" w:rsidRDefault="00941227">
            <w:pPr>
              <w:pStyle w:val="GOSTTablenorm"/>
              <w:rPr>
                <w:szCs w:val="22"/>
              </w:rPr>
            </w:pPr>
            <w:r w:rsidRPr="00264D5D">
              <w:rPr>
                <w:szCs w:val="22"/>
              </w:rPr>
              <w:t>П</w:t>
            </w:r>
          </w:p>
        </w:tc>
        <w:tc>
          <w:tcPr>
            <w:tcW w:w="581" w:type="pct"/>
          </w:tcPr>
          <w:p w14:paraId="5503DBE9" w14:textId="77777777" w:rsidR="00AD1F54" w:rsidRPr="00264D5D" w:rsidRDefault="00941227">
            <w:pPr>
              <w:pStyle w:val="GOSTTablenorm"/>
              <w:rPr>
                <w:szCs w:val="22"/>
              </w:rPr>
            </w:pPr>
            <w:r w:rsidRPr="00264D5D">
              <w:rPr>
                <w:szCs w:val="22"/>
              </w:rPr>
              <w:t>Т(1-11)</w:t>
            </w:r>
          </w:p>
        </w:tc>
        <w:tc>
          <w:tcPr>
            <w:tcW w:w="293" w:type="pct"/>
          </w:tcPr>
          <w:p w14:paraId="1018579C" w14:textId="77777777" w:rsidR="00AD1F54" w:rsidRPr="00264D5D" w:rsidRDefault="00941227">
            <w:pPr>
              <w:pStyle w:val="GOSTTablenorm"/>
              <w:rPr>
                <w:szCs w:val="22"/>
              </w:rPr>
            </w:pPr>
            <w:r w:rsidRPr="00264D5D">
              <w:rPr>
                <w:szCs w:val="22"/>
              </w:rPr>
              <w:t>Н</w:t>
            </w:r>
          </w:p>
        </w:tc>
        <w:tc>
          <w:tcPr>
            <w:tcW w:w="1912" w:type="pct"/>
          </w:tcPr>
          <w:p w14:paraId="10E5A69C" w14:textId="77777777" w:rsidR="00AD1F54" w:rsidRPr="00264D5D" w:rsidRDefault="00941227">
            <w:pPr>
              <w:pStyle w:val="GOSTTablenorm"/>
              <w:rPr>
                <w:szCs w:val="22"/>
              </w:rPr>
            </w:pPr>
            <w:r w:rsidRPr="00264D5D">
              <w:rPr>
                <w:szCs w:val="22"/>
              </w:rPr>
              <w:t xml:space="preserve">Указывается </w:t>
            </w:r>
            <w:r w:rsidRPr="00264D5D">
              <w:rPr>
                <w:szCs w:val="22"/>
                <w:lang w:val="en-US"/>
              </w:rPr>
              <w:t>SWIFT</w:t>
            </w:r>
            <w:r w:rsidR="00A5124A" w:rsidRPr="00264D5D">
              <w:rPr>
                <w:szCs w:val="22"/>
              </w:rPr>
              <w:t xml:space="preserve"> код банка- посредника 3</w:t>
            </w:r>
          </w:p>
        </w:tc>
      </w:tr>
      <w:tr w:rsidR="00AD1F54" w:rsidRPr="00264D5D" w14:paraId="4050E1D9" w14:textId="77777777" w:rsidTr="00AD1F54">
        <w:trPr>
          <w:trHeight w:val="283"/>
        </w:trPr>
        <w:tc>
          <w:tcPr>
            <w:tcW w:w="884" w:type="pct"/>
          </w:tcPr>
          <w:p w14:paraId="7C78F82C" w14:textId="77777777" w:rsidR="00AD1F54" w:rsidRPr="00264D5D" w:rsidRDefault="00941227">
            <w:pPr>
              <w:pStyle w:val="GOSTTablenorm"/>
              <w:rPr>
                <w:szCs w:val="22"/>
                <w:lang w:val="en-US"/>
              </w:rPr>
            </w:pPr>
            <w:r w:rsidRPr="00264D5D">
              <w:rPr>
                <w:szCs w:val="22"/>
              </w:rPr>
              <w:t>Наименование</w:t>
            </w:r>
            <w:r w:rsidRPr="00264D5D">
              <w:rPr>
                <w:szCs w:val="22"/>
                <w:lang w:val="en-US"/>
              </w:rPr>
              <w:t xml:space="preserve"> </w:t>
            </w:r>
            <w:r w:rsidRPr="00264D5D">
              <w:rPr>
                <w:szCs w:val="22"/>
              </w:rPr>
              <w:t>банка-посредника 3</w:t>
            </w:r>
          </w:p>
        </w:tc>
        <w:tc>
          <w:tcPr>
            <w:tcW w:w="960" w:type="pct"/>
          </w:tcPr>
          <w:p w14:paraId="47D5A03A" w14:textId="77777777" w:rsidR="00AD1F54" w:rsidRPr="00264D5D" w:rsidRDefault="00941227">
            <w:pPr>
              <w:pStyle w:val="GOSTTablenorm"/>
              <w:rPr>
                <w:szCs w:val="22"/>
              </w:rPr>
            </w:pPr>
            <w:r w:rsidRPr="00264D5D">
              <w:rPr>
                <w:szCs w:val="22"/>
              </w:rPr>
              <w:t>IntermBank3_Description</w:t>
            </w:r>
          </w:p>
        </w:tc>
        <w:tc>
          <w:tcPr>
            <w:tcW w:w="370" w:type="pct"/>
          </w:tcPr>
          <w:p w14:paraId="6970AECE" w14:textId="77777777" w:rsidR="00AD1F54" w:rsidRPr="00264D5D" w:rsidRDefault="00941227">
            <w:pPr>
              <w:pStyle w:val="GOSTTablenorm"/>
              <w:rPr>
                <w:szCs w:val="22"/>
              </w:rPr>
            </w:pPr>
            <w:r w:rsidRPr="00264D5D">
              <w:rPr>
                <w:szCs w:val="22"/>
              </w:rPr>
              <w:t>П</w:t>
            </w:r>
          </w:p>
        </w:tc>
        <w:tc>
          <w:tcPr>
            <w:tcW w:w="581" w:type="pct"/>
          </w:tcPr>
          <w:p w14:paraId="22EEF798" w14:textId="77777777" w:rsidR="00AD1F54" w:rsidRPr="00264D5D" w:rsidRDefault="00941227">
            <w:pPr>
              <w:pStyle w:val="GOSTTablenorm"/>
              <w:rPr>
                <w:szCs w:val="22"/>
              </w:rPr>
            </w:pPr>
            <w:r w:rsidRPr="00264D5D">
              <w:rPr>
                <w:szCs w:val="22"/>
              </w:rPr>
              <w:t>Т(1-140)</w:t>
            </w:r>
          </w:p>
        </w:tc>
        <w:tc>
          <w:tcPr>
            <w:tcW w:w="293" w:type="pct"/>
          </w:tcPr>
          <w:p w14:paraId="449D4521" w14:textId="77777777" w:rsidR="00AD1F54" w:rsidRPr="00264D5D" w:rsidRDefault="00941227">
            <w:pPr>
              <w:pStyle w:val="GOSTTablenorm"/>
              <w:rPr>
                <w:szCs w:val="22"/>
              </w:rPr>
            </w:pPr>
            <w:r w:rsidRPr="00264D5D">
              <w:rPr>
                <w:szCs w:val="22"/>
              </w:rPr>
              <w:t>Н</w:t>
            </w:r>
          </w:p>
        </w:tc>
        <w:tc>
          <w:tcPr>
            <w:tcW w:w="1912" w:type="pct"/>
          </w:tcPr>
          <w:p w14:paraId="6071E4B1" w14:textId="77777777" w:rsidR="00AD1F54" w:rsidRPr="00264D5D" w:rsidRDefault="00941227">
            <w:pPr>
              <w:pStyle w:val="GOSTTablenorm"/>
              <w:rPr>
                <w:szCs w:val="22"/>
              </w:rPr>
            </w:pPr>
            <w:r w:rsidRPr="00264D5D">
              <w:rPr>
                <w:szCs w:val="22"/>
              </w:rPr>
              <w:t xml:space="preserve">Указывается наименование банка-посредника 3. </w:t>
            </w:r>
          </w:p>
          <w:p w14:paraId="0C5F551D" w14:textId="77777777" w:rsidR="00AD1F54" w:rsidRPr="00264D5D" w:rsidRDefault="00941227">
            <w:pPr>
              <w:pStyle w:val="GOSTTablenorm"/>
              <w:rPr>
                <w:szCs w:val="22"/>
              </w:rPr>
            </w:pPr>
            <w:r w:rsidRPr="00264D5D">
              <w:rPr>
                <w:szCs w:val="22"/>
              </w:rPr>
              <w:t>Значения в поле «Наименование банка-посредника 3»</w:t>
            </w:r>
            <w:r w:rsidRPr="00264D5D">
              <w:rPr>
                <w:b/>
                <w:szCs w:val="22"/>
              </w:rPr>
              <w:t xml:space="preserve">, </w:t>
            </w:r>
            <w:r w:rsidRPr="00264D5D">
              <w:rPr>
                <w:szCs w:val="22"/>
              </w:rPr>
              <w:t>в поле «БИК банка-посредника 3» и в поле «Адрес банка-посредника 3»</w:t>
            </w:r>
            <w:r w:rsidRPr="00264D5D">
              <w:rPr>
                <w:b/>
                <w:szCs w:val="22"/>
              </w:rPr>
              <w:t xml:space="preserve"> </w:t>
            </w:r>
            <w:r w:rsidRPr="00264D5D">
              <w:rPr>
                <w:szCs w:val="22"/>
              </w:rPr>
              <w:t>не должны превыша</w:t>
            </w:r>
            <w:r w:rsidR="00A5124A" w:rsidRPr="00264D5D">
              <w:rPr>
                <w:szCs w:val="22"/>
              </w:rPr>
              <w:t>ть суммарную длину 140 символов</w:t>
            </w:r>
          </w:p>
        </w:tc>
      </w:tr>
      <w:tr w:rsidR="00AD1F54" w:rsidRPr="00264D5D" w14:paraId="3DE39B6F" w14:textId="77777777" w:rsidTr="00AD1F54">
        <w:trPr>
          <w:trHeight w:val="283"/>
        </w:trPr>
        <w:tc>
          <w:tcPr>
            <w:tcW w:w="884" w:type="pct"/>
          </w:tcPr>
          <w:p w14:paraId="79F51107" w14:textId="77777777" w:rsidR="00AD1F54" w:rsidRPr="00264D5D" w:rsidRDefault="00941227">
            <w:pPr>
              <w:pStyle w:val="GOSTTablenorm"/>
              <w:rPr>
                <w:szCs w:val="22"/>
              </w:rPr>
            </w:pPr>
            <w:r w:rsidRPr="00264D5D">
              <w:rPr>
                <w:szCs w:val="22"/>
              </w:rPr>
              <w:t>БИК банка-посредника 3</w:t>
            </w:r>
          </w:p>
        </w:tc>
        <w:tc>
          <w:tcPr>
            <w:tcW w:w="960" w:type="pct"/>
          </w:tcPr>
          <w:p w14:paraId="499B3985" w14:textId="77777777" w:rsidR="00AD1F54" w:rsidRPr="00264D5D" w:rsidRDefault="00941227">
            <w:pPr>
              <w:pStyle w:val="GOSTTablenorm"/>
              <w:rPr>
                <w:szCs w:val="22"/>
              </w:rPr>
            </w:pPr>
            <w:r w:rsidRPr="00264D5D">
              <w:rPr>
                <w:szCs w:val="22"/>
              </w:rPr>
              <w:t>IntermBank3_BIC</w:t>
            </w:r>
          </w:p>
        </w:tc>
        <w:tc>
          <w:tcPr>
            <w:tcW w:w="370" w:type="pct"/>
          </w:tcPr>
          <w:p w14:paraId="62FA8672" w14:textId="77777777" w:rsidR="00AD1F54" w:rsidRPr="00264D5D" w:rsidRDefault="00941227">
            <w:pPr>
              <w:pStyle w:val="GOSTTablenorm"/>
              <w:rPr>
                <w:szCs w:val="22"/>
              </w:rPr>
            </w:pPr>
            <w:r w:rsidRPr="00264D5D">
              <w:rPr>
                <w:szCs w:val="22"/>
              </w:rPr>
              <w:t>П</w:t>
            </w:r>
          </w:p>
        </w:tc>
        <w:tc>
          <w:tcPr>
            <w:tcW w:w="581" w:type="pct"/>
          </w:tcPr>
          <w:p w14:paraId="4004A92B" w14:textId="77777777" w:rsidR="00AD1F54" w:rsidRPr="00264D5D" w:rsidRDefault="00941227">
            <w:pPr>
              <w:pStyle w:val="GOSTTablenorm"/>
              <w:rPr>
                <w:szCs w:val="22"/>
              </w:rPr>
            </w:pPr>
            <w:r w:rsidRPr="00264D5D">
              <w:rPr>
                <w:szCs w:val="22"/>
              </w:rPr>
              <w:t>Т(9)</w:t>
            </w:r>
          </w:p>
        </w:tc>
        <w:tc>
          <w:tcPr>
            <w:tcW w:w="293" w:type="pct"/>
          </w:tcPr>
          <w:p w14:paraId="0DDAA3BA" w14:textId="77777777" w:rsidR="00AD1F54" w:rsidRPr="00264D5D" w:rsidRDefault="00941227">
            <w:pPr>
              <w:pStyle w:val="GOSTTablenorm"/>
              <w:rPr>
                <w:szCs w:val="22"/>
              </w:rPr>
            </w:pPr>
            <w:r w:rsidRPr="00264D5D">
              <w:rPr>
                <w:szCs w:val="22"/>
              </w:rPr>
              <w:t>Н</w:t>
            </w:r>
          </w:p>
        </w:tc>
        <w:tc>
          <w:tcPr>
            <w:tcW w:w="1912" w:type="pct"/>
          </w:tcPr>
          <w:p w14:paraId="17C7C687" w14:textId="77777777" w:rsidR="00AD1F54" w:rsidRPr="00264D5D" w:rsidRDefault="00941227">
            <w:pPr>
              <w:pStyle w:val="GOSTTablenorm"/>
              <w:rPr>
                <w:szCs w:val="22"/>
              </w:rPr>
            </w:pPr>
            <w:r w:rsidRPr="00264D5D">
              <w:rPr>
                <w:szCs w:val="22"/>
              </w:rPr>
              <w:t>Указывается БИК банка- посредника 3.</w:t>
            </w:r>
          </w:p>
          <w:p w14:paraId="6617E61C" w14:textId="77777777" w:rsidR="00AD1F54" w:rsidRPr="00264D5D" w:rsidRDefault="00941227">
            <w:pPr>
              <w:pStyle w:val="GOSTTablenorm"/>
              <w:rPr>
                <w:szCs w:val="22"/>
              </w:rPr>
            </w:pPr>
            <w:r w:rsidRPr="00264D5D">
              <w:rPr>
                <w:szCs w:val="22"/>
              </w:rPr>
              <w:t>Значения в поле «Наименование банка-посредника 3»</w:t>
            </w:r>
            <w:r w:rsidRPr="00264D5D">
              <w:rPr>
                <w:b/>
                <w:szCs w:val="22"/>
              </w:rPr>
              <w:t xml:space="preserve">, </w:t>
            </w:r>
            <w:r w:rsidRPr="00264D5D">
              <w:rPr>
                <w:szCs w:val="22"/>
              </w:rPr>
              <w:t>в поле «БИК банка-посредника 3» и в поле «Адрес банка-посредника 3»</w:t>
            </w:r>
            <w:r w:rsidRPr="00264D5D">
              <w:rPr>
                <w:b/>
                <w:szCs w:val="22"/>
              </w:rPr>
              <w:t xml:space="preserve"> </w:t>
            </w:r>
            <w:r w:rsidRPr="00264D5D">
              <w:rPr>
                <w:szCs w:val="22"/>
              </w:rPr>
              <w:t>не должны превыша</w:t>
            </w:r>
            <w:r w:rsidR="00A5124A" w:rsidRPr="00264D5D">
              <w:rPr>
                <w:szCs w:val="22"/>
              </w:rPr>
              <w:t>ть суммарную длину 140 символов</w:t>
            </w:r>
          </w:p>
        </w:tc>
      </w:tr>
      <w:tr w:rsidR="00AD1F54" w:rsidRPr="00264D5D" w14:paraId="1B113679" w14:textId="77777777" w:rsidTr="00AD1F54">
        <w:trPr>
          <w:trHeight w:val="283"/>
        </w:trPr>
        <w:tc>
          <w:tcPr>
            <w:tcW w:w="884" w:type="pct"/>
          </w:tcPr>
          <w:p w14:paraId="5FCED44E" w14:textId="77777777" w:rsidR="00AD1F54" w:rsidRPr="00264D5D" w:rsidRDefault="00941227">
            <w:pPr>
              <w:pStyle w:val="GOSTTablenorm"/>
              <w:rPr>
                <w:szCs w:val="22"/>
              </w:rPr>
            </w:pPr>
            <w:r w:rsidRPr="00264D5D">
              <w:rPr>
                <w:szCs w:val="22"/>
              </w:rPr>
              <w:t>Адрес банка-посредника 3</w:t>
            </w:r>
          </w:p>
        </w:tc>
        <w:tc>
          <w:tcPr>
            <w:tcW w:w="960" w:type="pct"/>
          </w:tcPr>
          <w:p w14:paraId="1CB38C28" w14:textId="77777777" w:rsidR="00AD1F54" w:rsidRPr="00264D5D" w:rsidRDefault="00941227">
            <w:pPr>
              <w:pStyle w:val="GOSTTablenorm"/>
              <w:rPr>
                <w:szCs w:val="22"/>
              </w:rPr>
            </w:pPr>
            <w:r w:rsidRPr="00264D5D">
              <w:rPr>
                <w:szCs w:val="22"/>
              </w:rPr>
              <w:t>IntermBank3_Address</w:t>
            </w:r>
          </w:p>
        </w:tc>
        <w:tc>
          <w:tcPr>
            <w:tcW w:w="370" w:type="pct"/>
          </w:tcPr>
          <w:p w14:paraId="2F148983" w14:textId="77777777" w:rsidR="00AD1F54" w:rsidRPr="00264D5D" w:rsidRDefault="00941227">
            <w:pPr>
              <w:pStyle w:val="GOSTTablenorm"/>
              <w:rPr>
                <w:szCs w:val="22"/>
              </w:rPr>
            </w:pPr>
            <w:r w:rsidRPr="00264D5D">
              <w:rPr>
                <w:szCs w:val="22"/>
              </w:rPr>
              <w:t>П</w:t>
            </w:r>
          </w:p>
        </w:tc>
        <w:tc>
          <w:tcPr>
            <w:tcW w:w="581" w:type="pct"/>
          </w:tcPr>
          <w:p w14:paraId="41EC3C28" w14:textId="77777777" w:rsidR="00AD1F54" w:rsidRPr="00264D5D" w:rsidRDefault="00941227">
            <w:pPr>
              <w:pStyle w:val="GOSTTablenorm"/>
              <w:rPr>
                <w:szCs w:val="22"/>
              </w:rPr>
            </w:pPr>
            <w:r w:rsidRPr="00264D5D">
              <w:rPr>
                <w:szCs w:val="22"/>
              </w:rPr>
              <w:t>Т(1-140)</w:t>
            </w:r>
          </w:p>
        </w:tc>
        <w:tc>
          <w:tcPr>
            <w:tcW w:w="293" w:type="pct"/>
          </w:tcPr>
          <w:p w14:paraId="1ECCB502" w14:textId="77777777" w:rsidR="00AD1F54" w:rsidRPr="00264D5D" w:rsidRDefault="00941227">
            <w:pPr>
              <w:pStyle w:val="GOSTTablenorm"/>
              <w:rPr>
                <w:szCs w:val="22"/>
              </w:rPr>
            </w:pPr>
            <w:r w:rsidRPr="00264D5D">
              <w:rPr>
                <w:szCs w:val="22"/>
              </w:rPr>
              <w:t>Н</w:t>
            </w:r>
          </w:p>
        </w:tc>
        <w:tc>
          <w:tcPr>
            <w:tcW w:w="1912" w:type="pct"/>
          </w:tcPr>
          <w:p w14:paraId="2E48C57A" w14:textId="77777777" w:rsidR="00AD1F54" w:rsidRPr="00264D5D" w:rsidRDefault="00941227">
            <w:pPr>
              <w:pStyle w:val="GOSTTablenorm"/>
              <w:rPr>
                <w:szCs w:val="22"/>
              </w:rPr>
            </w:pPr>
            <w:r w:rsidRPr="00264D5D">
              <w:rPr>
                <w:szCs w:val="22"/>
              </w:rPr>
              <w:t xml:space="preserve">Указывается адрес банка-посредника 3. </w:t>
            </w:r>
          </w:p>
          <w:p w14:paraId="38CC9231" w14:textId="77777777" w:rsidR="00AD1F54" w:rsidRPr="00264D5D" w:rsidRDefault="00941227">
            <w:pPr>
              <w:pStyle w:val="GOSTTablenorm"/>
              <w:rPr>
                <w:szCs w:val="22"/>
              </w:rPr>
            </w:pPr>
            <w:r w:rsidRPr="00264D5D">
              <w:rPr>
                <w:szCs w:val="22"/>
              </w:rPr>
              <w:t>Значения в поле «Наименование банка-посредника 3»</w:t>
            </w:r>
            <w:r w:rsidRPr="00264D5D">
              <w:rPr>
                <w:b/>
                <w:szCs w:val="22"/>
              </w:rPr>
              <w:t xml:space="preserve">, </w:t>
            </w:r>
            <w:r w:rsidRPr="00264D5D">
              <w:rPr>
                <w:szCs w:val="22"/>
              </w:rPr>
              <w:t>в поле «БИК банка-посредника 3» и в поле «Адрес банка-посредника 3»</w:t>
            </w:r>
            <w:r w:rsidRPr="00264D5D">
              <w:rPr>
                <w:b/>
                <w:szCs w:val="22"/>
              </w:rPr>
              <w:t xml:space="preserve"> </w:t>
            </w:r>
            <w:r w:rsidRPr="00264D5D">
              <w:rPr>
                <w:szCs w:val="22"/>
              </w:rPr>
              <w:t>не должны превыша</w:t>
            </w:r>
            <w:r w:rsidR="00A5124A" w:rsidRPr="00264D5D">
              <w:rPr>
                <w:szCs w:val="22"/>
              </w:rPr>
              <w:t>ть суммарную длину 140 символов</w:t>
            </w:r>
          </w:p>
        </w:tc>
      </w:tr>
      <w:tr w:rsidR="00AD1F54" w:rsidRPr="00264D5D" w14:paraId="49C5EA2F" w14:textId="77777777" w:rsidTr="00AD1F54">
        <w:trPr>
          <w:trHeight w:val="283"/>
        </w:trPr>
        <w:tc>
          <w:tcPr>
            <w:tcW w:w="5000" w:type="pct"/>
            <w:gridSpan w:val="6"/>
          </w:tcPr>
          <w:p w14:paraId="7E637D2C" w14:textId="77777777" w:rsidR="00AD1F54" w:rsidRPr="00264D5D" w:rsidRDefault="00941227">
            <w:pPr>
              <w:pStyle w:val="GOSTTablenorm"/>
              <w:rPr>
                <w:szCs w:val="22"/>
              </w:rPr>
            </w:pPr>
            <w:r w:rsidRPr="00264D5D">
              <w:rPr>
                <w:b/>
                <w:bCs/>
                <w:iCs/>
                <w:szCs w:val="22"/>
              </w:rPr>
              <w:t>Платеж</w:t>
            </w:r>
          </w:p>
        </w:tc>
      </w:tr>
      <w:tr w:rsidR="00AD1F54" w:rsidRPr="00264D5D" w14:paraId="45BFB6F3" w14:textId="77777777" w:rsidTr="00AD1F54">
        <w:trPr>
          <w:trHeight w:val="283"/>
        </w:trPr>
        <w:tc>
          <w:tcPr>
            <w:tcW w:w="884" w:type="pct"/>
          </w:tcPr>
          <w:p w14:paraId="48B5E7D0" w14:textId="77777777" w:rsidR="00AD1F54" w:rsidRPr="00264D5D" w:rsidRDefault="00941227">
            <w:pPr>
              <w:pStyle w:val="GOSTTablenorm"/>
              <w:rPr>
                <w:szCs w:val="22"/>
              </w:rPr>
            </w:pPr>
            <w:r w:rsidRPr="00264D5D">
              <w:rPr>
                <w:szCs w:val="22"/>
              </w:rPr>
              <w:lastRenderedPageBreak/>
              <w:t>Назначение платежа</w:t>
            </w:r>
          </w:p>
        </w:tc>
        <w:tc>
          <w:tcPr>
            <w:tcW w:w="960" w:type="pct"/>
          </w:tcPr>
          <w:p w14:paraId="058AEF22" w14:textId="77777777" w:rsidR="00AD1F54" w:rsidRPr="00264D5D" w:rsidRDefault="00941227">
            <w:pPr>
              <w:pStyle w:val="GOSTTablenorm"/>
              <w:rPr>
                <w:szCs w:val="22"/>
              </w:rPr>
            </w:pPr>
            <w:r w:rsidRPr="00264D5D">
              <w:rPr>
                <w:szCs w:val="22"/>
              </w:rPr>
              <w:t>ZR_RemInfo</w:t>
            </w:r>
          </w:p>
        </w:tc>
        <w:tc>
          <w:tcPr>
            <w:tcW w:w="370" w:type="pct"/>
          </w:tcPr>
          <w:p w14:paraId="3E04934A" w14:textId="77777777" w:rsidR="00AD1F54" w:rsidRPr="00264D5D" w:rsidRDefault="00941227">
            <w:pPr>
              <w:pStyle w:val="GOSTTablenorm"/>
              <w:rPr>
                <w:szCs w:val="22"/>
              </w:rPr>
            </w:pPr>
            <w:r w:rsidRPr="00264D5D">
              <w:rPr>
                <w:szCs w:val="22"/>
              </w:rPr>
              <w:t>П</w:t>
            </w:r>
          </w:p>
        </w:tc>
        <w:tc>
          <w:tcPr>
            <w:tcW w:w="581" w:type="pct"/>
          </w:tcPr>
          <w:p w14:paraId="5093509A" w14:textId="77777777" w:rsidR="00AD1F54" w:rsidRPr="00264D5D" w:rsidRDefault="00941227">
            <w:pPr>
              <w:pStyle w:val="GOSTTablenorm"/>
              <w:rPr>
                <w:szCs w:val="22"/>
              </w:rPr>
            </w:pPr>
            <w:r w:rsidRPr="00264D5D">
              <w:rPr>
                <w:szCs w:val="22"/>
              </w:rPr>
              <w:t>Т(1-140)</w:t>
            </w:r>
          </w:p>
        </w:tc>
        <w:tc>
          <w:tcPr>
            <w:tcW w:w="293" w:type="pct"/>
          </w:tcPr>
          <w:p w14:paraId="3E88122A" w14:textId="77777777" w:rsidR="00AD1F54" w:rsidRPr="00264D5D" w:rsidRDefault="00941227">
            <w:pPr>
              <w:pStyle w:val="GOSTTablenorm"/>
              <w:rPr>
                <w:szCs w:val="22"/>
              </w:rPr>
            </w:pPr>
            <w:r w:rsidRPr="00264D5D">
              <w:rPr>
                <w:szCs w:val="22"/>
              </w:rPr>
              <w:t>Н</w:t>
            </w:r>
          </w:p>
        </w:tc>
        <w:tc>
          <w:tcPr>
            <w:tcW w:w="1912" w:type="pct"/>
          </w:tcPr>
          <w:p w14:paraId="052DB685" w14:textId="77777777" w:rsidR="00AD1F54" w:rsidRPr="00264D5D" w:rsidRDefault="00A5124A">
            <w:pPr>
              <w:pStyle w:val="GOSTTablenorm"/>
              <w:rPr>
                <w:szCs w:val="22"/>
              </w:rPr>
            </w:pPr>
            <w:r w:rsidRPr="00264D5D">
              <w:rPr>
                <w:szCs w:val="22"/>
              </w:rPr>
              <w:t>Указывается назначение платежа</w:t>
            </w:r>
          </w:p>
        </w:tc>
      </w:tr>
      <w:tr w:rsidR="00AD1F54" w:rsidRPr="00264D5D" w14:paraId="0E20D923" w14:textId="77777777" w:rsidTr="00AD1F54">
        <w:trPr>
          <w:trHeight w:val="283"/>
        </w:trPr>
        <w:tc>
          <w:tcPr>
            <w:tcW w:w="884" w:type="pct"/>
          </w:tcPr>
          <w:p w14:paraId="66DA6FAD" w14:textId="77777777" w:rsidR="00AD1F54" w:rsidRPr="00264D5D" w:rsidRDefault="00941227">
            <w:pPr>
              <w:pStyle w:val="GOSTTablenorm"/>
              <w:rPr>
                <w:szCs w:val="22"/>
              </w:rPr>
            </w:pPr>
            <w:r w:rsidRPr="00264D5D">
              <w:rPr>
                <w:szCs w:val="22"/>
              </w:rPr>
              <w:t>Основание платежа</w:t>
            </w:r>
          </w:p>
        </w:tc>
        <w:tc>
          <w:tcPr>
            <w:tcW w:w="960" w:type="pct"/>
          </w:tcPr>
          <w:p w14:paraId="64FB3329" w14:textId="77777777" w:rsidR="00AD1F54" w:rsidRPr="00264D5D" w:rsidRDefault="00941227">
            <w:pPr>
              <w:pStyle w:val="GOSTTablenorm"/>
              <w:rPr>
                <w:szCs w:val="22"/>
                <w:lang w:val="en-US"/>
              </w:rPr>
            </w:pPr>
            <w:r w:rsidRPr="00264D5D">
              <w:rPr>
                <w:szCs w:val="22"/>
                <w:lang w:val="en-US"/>
              </w:rPr>
              <w:t>ZR_BasisPay</w:t>
            </w:r>
          </w:p>
        </w:tc>
        <w:tc>
          <w:tcPr>
            <w:tcW w:w="370" w:type="pct"/>
          </w:tcPr>
          <w:p w14:paraId="13E69AA4" w14:textId="77777777" w:rsidR="00AD1F54" w:rsidRPr="00264D5D" w:rsidRDefault="00941227">
            <w:pPr>
              <w:pStyle w:val="GOSTTablenorm"/>
              <w:rPr>
                <w:szCs w:val="22"/>
              </w:rPr>
            </w:pPr>
            <w:r w:rsidRPr="00264D5D">
              <w:rPr>
                <w:szCs w:val="22"/>
              </w:rPr>
              <w:t>П</w:t>
            </w:r>
          </w:p>
        </w:tc>
        <w:tc>
          <w:tcPr>
            <w:tcW w:w="581" w:type="pct"/>
          </w:tcPr>
          <w:p w14:paraId="10C74AE4" w14:textId="77777777" w:rsidR="00AD1F54" w:rsidRPr="00264D5D" w:rsidRDefault="00941227">
            <w:pPr>
              <w:pStyle w:val="GOSTTablenorm"/>
              <w:rPr>
                <w:szCs w:val="22"/>
              </w:rPr>
            </w:pPr>
            <w:r w:rsidRPr="00264D5D">
              <w:rPr>
                <w:szCs w:val="22"/>
              </w:rPr>
              <w:t>Т(1-140)</w:t>
            </w:r>
          </w:p>
        </w:tc>
        <w:tc>
          <w:tcPr>
            <w:tcW w:w="293" w:type="pct"/>
          </w:tcPr>
          <w:p w14:paraId="4890C0FA" w14:textId="77777777" w:rsidR="00AD1F54" w:rsidRPr="00264D5D" w:rsidRDefault="00941227">
            <w:pPr>
              <w:pStyle w:val="GOSTTablenorm"/>
              <w:rPr>
                <w:szCs w:val="22"/>
              </w:rPr>
            </w:pPr>
            <w:r w:rsidRPr="00264D5D">
              <w:rPr>
                <w:szCs w:val="22"/>
              </w:rPr>
              <w:t>Н</w:t>
            </w:r>
          </w:p>
        </w:tc>
        <w:tc>
          <w:tcPr>
            <w:tcW w:w="1912" w:type="pct"/>
          </w:tcPr>
          <w:p w14:paraId="744820D7" w14:textId="77777777" w:rsidR="00AD1F54" w:rsidRPr="00264D5D" w:rsidRDefault="00A5124A">
            <w:pPr>
              <w:pStyle w:val="GOSTTablenorm"/>
              <w:rPr>
                <w:szCs w:val="22"/>
              </w:rPr>
            </w:pPr>
            <w:r w:rsidRPr="00264D5D">
              <w:rPr>
                <w:szCs w:val="22"/>
              </w:rPr>
              <w:t>Указывается основание платежа</w:t>
            </w:r>
          </w:p>
        </w:tc>
      </w:tr>
      <w:tr w:rsidR="00AD1F54" w:rsidRPr="00264D5D" w14:paraId="6DC9AFCD" w14:textId="77777777" w:rsidTr="00AD1F54">
        <w:trPr>
          <w:trHeight w:val="283"/>
        </w:trPr>
        <w:tc>
          <w:tcPr>
            <w:tcW w:w="884" w:type="pct"/>
          </w:tcPr>
          <w:p w14:paraId="1D36BF1A" w14:textId="77777777" w:rsidR="00AD1F54" w:rsidRPr="00264D5D" w:rsidRDefault="00941227">
            <w:pPr>
              <w:pStyle w:val="GOSTTablenorm"/>
              <w:rPr>
                <w:szCs w:val="22"/>
              </w:rPr>
            </w:pPr>
            <w:r w:rsidRPr="00264D5D">
              <w:rPr>
                <w:szCs w:val="22"/>
              </w:rPr>
              <w:t>Комиссия и расходы</w:t>
            </w:r>
          </w:p>
        </w:tc>
        <w:tc>
          <w:tcPr>
            <w:tcW w:w="960" w:type="pct"/>
          </w:tcPr>
          <w:p w14:paraId="584E0270" w14:textId="77777777" w:rsidR="00AD1F54" w:rsidRPr="00264D5D" w:rsidRDefault="00941227">
            <w:pPr>
              <w:pStyle w:val="GOSTTablenorm"/>
              <w:rPr>
                <w:szCs w:val="22"/>
              </w:rPr>
            </w:pPr>
            <w:r w:rsidRPr="00264D5D">
              <w:rPr>
                <w:szCs w:val="22"/>
              </w:rPr>
              <w:t>ZR_ChargeDetails</w:t>
            </w:r>
          </w:p>
        </w:tc>
        <w:tc>
          <w:tcPr>
            <w:tcW w:w="370" w:type="pct"/>
          </w:tcPr>
          <w:p w14:paraId="43C07328" w14:textId="77777777" w:rsidR="00AD1F54" w:rsidRPr="00264D5D" w:rsidRDefault="00941227">
            <w:pPr>
              <w:pStyle w:val="GOSTTablenorm"/>
              <w:rPr>
                <w:szCs w:val="22"/>
              </w:rPr>
            </w:pPr>
            <w:r w:rsidRPr="00264D5D">
              <w:rPr>
                <w:szCs w:val="22"/>
              </w:rPr>
              <w:t>С</w:t>
            </w:r>
          </w:p>
        </w:tc>
        <w:tc>
          <w:tcPr>
            <w:tcW w:w="581" w:type="pct"/>
          </w:tcPr>
          <w:p w14:paraId="490E91A8" w14:textId="77777777" w:rsidR="00AD1F54" w:rsidRPr="00264D5D" w:rsidRDefault="00941227">
            <w:pPr>
              <w:pStyle w:val="GOSTTablenorm"/>
              <w:rPr>
                <w:szCs w:val="22"/>
              </w:rPr>
            </w:pPr>
            <w:r w:rsidRPr="00264D5D">
              <w:rPr>
                <w:szCs w:val="22"/>
              </w:rPr>
              <w:t>tMSC_ChargeDetailsComplex</w:t>
            </w:r>
          </w:p>
        </w:tc>
        <w:tc>
          <w:tcPr>
            <w:tcW w:w="293" w:type="pct"/>
          </w:tcPr>
          <w:p w14:paraId="4EF6C8D9" w14:textId="77777777" w:rsidR="00AD1F54" w:rsidRPr="00264D5D" w:rsidRDefault="00941227">
            <w:pPr>
              <w:pStyle w:val="GOSTTablenorm"/>
              <w:rPr>
                <w:szCs w:val="22"/>
              </w:rPr>
            </w:pPr>
            <w:r w:rsidRPr="00264D5D">
              <w:rPr>
                <w:szCs w:val="22"/>
              </w:rPr>
              <w:t>Н</w:t>
            </w:r>
          </w:p>
        </w:tc>
        <w:tc>
          <w:tcPr>
            <w:tcW w:w="1912" w:type="pct"/>
          </w:tcPr>
          <w:p w14:paraId="6C841F78" w14:textId="77777777" w:rsidR="00AD1F54" w:rsidRPr="00264D5D" w:rsidRDefault="00941227">
            <w:pPr>
              <w:pStyle w:val="GOSTTablenorm"/>
              <w:rPr>
                <w:szCs w:val="22"/>
              </w:rPr>
            </w:pPr>
            <w:r w:rsidRPr="00264D5D">
              <w:rPr>
                <w:szCs w:val="22"/>
              </w:rPr>
              <w:t xml:space="preserve">Комиссия и расходы. </w:t>
            </w:r>
          </w:p>
          <w:p w14:paraId="23B83B5A" w14:textId="1649E89F" w:rsidR="00AD1F54" w:rsidRPr="00264D5D" w:rsidRDefault="00941227">
            <w:pPr>
              <w:pStyle w:val="GOSTTablenorm"/>
              <w:rPr>
                <w:szCs w:val="22"/>
              </w:rPr>
            </w:pPr>
            <w:r w:rsidRPr="00264D5D">
              <w:rPr>
                <w:szCs w:val="22"/>
              </w:rPr>
              <w:t xml:space="preserve">Состав элемента представлен в таблице </w:t>
            </w:r>
            <w:r w:rsidRPr="00264D5D">
              <w:rPr>
                <w:szCs w:val="22"/>
              </w:rPr>
              <w:fldChar w:fldCharType="begin"/>
            </w:r>
            <w:r w:rsidRPr="00264D5D">
              <w:rPr>
                <w:szCs w:val="22"/>
              </w:rPr>
              <w:instrText xml:space="preserve"> REF _Ref503545978 \h  \* MERGEFORMAT </w:instrText>
            </w:r>
            <w:r w:rsidRPr="00264D5D">
              <w:rPr>
                <w:szCs w:val="22"/>
              </w:rPr>
            </w:r>
            <w:r w:rsidRPr="00264D5D">
              <w:rPr>
                <w:szCs w:val="22"/>
              </w:rPr>
              <w:fldChar w:fldCharType="separate"/>
            </w:r>
            <w:r w:rsidR="008D797C" w:rsidRPr="008D797C">
              <w:rPr>
                <w:szCs w:val="22"/>
              </w:rPr>
              <w:t>390</w:t>
            </w:r>
            <w:r w:rsidRPr="00264D5D">
              <w:rPr>
                <w:szCs w:val="22"/>
              </w:rPr>
              <w:fldChar w:fldCharType="end"/>
            </w:r>
          </w:p>
        </w:tc>
      </w:tr>
      <w:tr w:rsidR="00AD1F54" w:rsidRPr="00264D5D" w14:paraId="53D19C50" w14:textId="77777777" w:rsidTr="00AD1F54">
        <w:trPr>
          <w:trHeight w:val="283"/>
        </w:trPr>
        <w:tc>
          <w:tcPr>
            <w:tcW w:w="884" w:type="pct"/>
          </w:tcPr>
          <w:p w14:paraId="6D6A4FF2" w14:textId="77777777" w:rsidR="00AD1F54" w:rsidRPr="00264D5D" w:rsidRDefault="00941227">
            <w:pPr>
              <w:pStyle w:val="GOSTTablenorm"/>
              <w:rPr>
                <w:szCs w:val="22"/>
              </w:rPr>
            </w:pPr>
            <w:r w:rsidRPr="00264D5D">
              <w:rPr>
                <w:szCs w:val="22"/>
              </w:rPr>
              <w:t>Информация отправителя получателю</w:t>
            </w:r>
          </w:p>
        </w:tc>
        <w:tc>
          <w:tcPr>
            <w:tcW w:w="960" w:type="pct"/>
          </w:tcPr>
          <w:p w14:paraId="2289D626" w14:textId="77777777" w:rsidR="00AD1F54" w:rsidRPr="00264D5D" w:rsidRDefault="00941227">
            <w:pPr>
              <w:pStyle w:val="GOSTTablenorm"/>
              <w:rPr>
                <w:szCs w:val="22"/>
                <w:lang w:val="en-US"/>
              </w:rPr>
            </w:pPr>
            <w:r w:rsidRPr="00264D5D">
              <w:rPr>
                <w:szCs w:val="22"/>
              </w:rPr>
              <w:t>SenderToReceiverInfo</w:t>
            </w:r>
          </w:p>
        </w:tc>
        <w:tc>
          <w:tcPr>
            <w:tcW w:w="370" w:type="pct"/>
          </w:tcPr>
          <w:p w14:paraId="1CE9448D" w14:textId="77777777" w:rsidR="00AD1F54" w:rsidRPr="00264D5D" w:rsidRDefault="00941227">
            <w:pPr>
              <w:pStyle w:val="GOSTTablenorm"/>
              <w:rPr>
                <w:szCs w:val="22"/>
              </w:rPr>
            </w:pPr>
            <w:r w:rsidRPr="00264D5D">
              <w:rPr>
                <w:szCs w:val="22"/>
              </w:rPr>
              <w:t>П</w:t>
            </w:r>
          </w:p>
        </w:tc>
        <w:tc>
          <w:tcPr>
            <w:tcW w:w="581" w:type="pct"/>
          </w:tcPr>
          <w:p w14:paraId="3BF79968" w14:textId="77777777" w:rsidR="00AD1F54" w:rsidRPr="00264D5D" w:rsidRDefault="00941227">
            <w:pPr>
              <w:pStyle w:val="GOSTTablenorm"/>
              <w:rPr>
                <w:szCs w:val="22"/>
              </w:rPr>
            </w:pPr>
            <w:r w:rsidRPr="00264D5D">
              <w:rPr>
                <w:szCs w:val="22"/>
              </w:rPr>
              <w:t>Т(1-210)</w:t>
            </w:r>
          </w:p>
        </w:tc>
        <w:tc>
          <w:tcPr>
            <w:tcW w:w="293" w:type="pct"/>
          </w:tcPr>
          <w:p w14:paraId="24C50FDD" w14:textId="77777777" w:rsidR="00AD1F54" w:rsidRPr="00264D5D" w:rsidRDefault="00941227">
            <w:pPr>
              <w:pStyle w:val="GOSTTablenorm"/>
              <w:rPr>
                <w:szCs w:val="22"/>
              </w:rPr>
            </w:pPr>
            <w:r w:rsidRPr="00264D5D">
              <w:rPr>
                <w:szCs w:val="22"/>
              </w:rPr>
              <w:t>Н</w:t>
            </w:r>
          </w:p>
        </w:tc>
        <w:tc>
          <w:tcPr>
            <w:tcW w:w="1912" w:type="pct"/>
          </w:tcPr>
          <w:p w14:paraId="36FE4609" w14:textId="77777777" w:rsidR="00AD1F54" w:rsidRPr="00264D5D" w:rsidRDefault="00941227">
            <w:pPr>
              <w:pStyle w:val="GOSTTablenorm"/>
              <w:rPr>
                <w:szCs w:val="22"/>
              </w:rPr>
            </w:pPr>
            <w:r w:rsidRPr="00264D5D">
              <w:rPr>
                <w:szCs w:val="22"/>
              </w:rPr>
              <w:t>Указывается ин</w:t>
            </w:r>
            <w:r w:rsidR="00A5124A" w:rsidRPr="00264D5D">
              <w:rPr>
                <w:szCs w:val="22"/>
              </w:rPr>
              <w:t>формация отправителя получателю</w:t>
            </w:r>
          </w:p>
        </w:tc>
      </w:tr>
      <w:tr w:rsidR="00AD1F54" w:rsidRPr="00264D5D" w14:paraId="545623EB" w14:textId="77777777" w:rsidTr="00AD1F54">
        <w:trPr>
          <w:trHeight w:val="283"/>
        </w:trPr>
        <w:tc>
          <w:tcPr>
            <w:tcW w:w="884" w:type="pct"/>
          </w:tcPr>
          <w:p w14:paraId="2B66891F" w14:textId="77777777" w:rsidR="00AD1F54" w:rsidRPr="00264D5D" w:rsidRDefault="00941227">
            <w:pPr>
              <w:pStyle w:val="GOSTTablenorm"/>
              <w:rPr>
                <w:szCs w:val="22"/>
              </w:rPr>
            </w:pPr>
            <w:r w:rsidRPr="00264D5D">
              <w:rPr>
                <w:szCs w:val="22"/>
              </w:rPr>
              <w:t>Дополнительную комиссию списать с нашего счета</w:t>
            </w:r>
          </w:p>
        </w:tc>
        <w:tc>
          <w:tcPr>
            <w:tcW w:w="960" w:type="pct"/>
          </w:tcPr>
          <w:p w14:paraId="17A73EDC" w14:textId="77777777" w:rsidR="00AD1F54" w:rsidRPr="00264D5D" w:rsidRDefault="00941227">
            <w:pPr>
              <w:pStyle w:val="GOSTTablenorm"/>
              <w:rPr>
                <w:szCs w:val="22"/>
                <w:lang w:val="en-US"/>
              </w:rPr>
            </w:pPr>
            <w:r w:rsidRPr="00264D5D">
              <w:rPr>
                <w:szCs w:val="22"/>
                <w:lang w:val="en-US"/>
              </w:rPr>
              <w:t>ZR_AddCommision</w:t>
            </w:r>
          </w:p>
        </w:tc>
        <w:tc>
          <w:tcPr>
            <w:tcW w:w="370" w:type="pct"/>
          </w:tcPr>
          <w:p w14:paraId="0623342C" w14:textId="77777777" w:rsidR="00AD1F54" w:rsidRPr="00264D5D" w:rsidRDefault="00941227">
            <w:pPr>
              <w:pStyle w:val="GOSTTablenorm"/>
              <w:rPr>
                <w:szCs w:val="22"/>
              </w:rPr>
            </w:pPr>
            <w:r w:rsidRPr="00264D5D">
              <w:rPr>
                <w:szCs w:val="22"/>
              </w:rPr>
              <w:t>П</w:t>
            </w:r>
          </w:p>
        </w:tc>
        <w:tc>
          <w:tcPr>
            <w:tcW w:w="581" w:type="pct"/>
          </w:tcPr>
          <w:p w14:paraId="0F9542F2" w14:textId="77777777" w:rsidR="00AD1F54" w:rsidRPr="00264D5D" w:rsidRDefault="00941227">
            <w:pPr>
              <w:pStyle w:val="GOSTTablenorm"/>
              <w:rPr>
                <w:szCs w:val="22"/>
              </w:rPr>
            </w:pPr>
            <w:r w:rsidRPr="00264D5D">
              <w:rPr>
                <w:szCs w:val="22"/>
              </w:rPr>
              <w:t>BOOLEAN</w:t>
            </w:r>
          </w:p>
        </w:tc>
        <w:tc>
          <w:tcPr>
            <w:tcW w:w="293" w:type="pct"/>
          </w:tcPr>
          <w:p w14:paraId="6C35F1E9" w14:textId="77777777" w:rsidR="00AD1F54" w:rsidRPr="00264D5D" w:rsidRDefault="00941227">
            <w:pPr>
              <w:pStyle w:val="GOSTTablenorm"/>
              <w:rPr>
                <w:szCs w:val="22"/>
              </w:rPr>
            </w:pPr>
            <w:r w:rsidRPr="00264D5D">
              <w:rPr>
                <w:szCs w:val="22"/>
              </w:rPr>
              <w:t>Н</w:t>
            </w:r>
          </w:p>
        </w:tc>
        <w:tc>
          <w:tcPr>
            <w:tcW w:w="1912" w:type="pct"/>
          </w:tcPr>
          <w:p w14:paraId="6C8E7A18" w14:textId="77777777" w:rsidR="00A5124A" w:rsidRPr="00264D5D" w:rsidRDefault="00941227">
            <w:pPr>
              <w:pStyle w:val="GOSTTablenorm"/>
              <w:rPr>
                <w:szCs w:val="22"/>
              </w:rPr>
            </w:pPr>
            <w:r w:rsidRPr="00264D5D">
              <w:rPr>
                <w:szCs w:val="22"/>
              </w:rPr>
              <w:t xml:space="preserve">Заполняется значением «1» в случае, если дополнительная комиссия списывается с нашего счета. </w:t>
            </w:r>
          </w:p>
          <w:p w14:paraId="30EECDB3" w14:textId="77777777" w:rsidR="00AD1F54" w:rsidRPr="00264D5D" w:rsidRDefault="00941227">
            <w:pPr>
              <w:pStyle w:val="GOSTTablenorm"/>
              <w:rPr>
                <w:szCs w:val="22"/>
              </w:rPr>
            </w:pPr>
            <w:r w:rsidRPr="00264D5D">
              <w:rPr>
                <w:szCs w:val="22"/>
              </w:rPr>
              <w:t>Ин</w:t>
            </w:r>
            <w:r w:rsidR="00A5124A" w:rsidRPr="00264D5D">
              <w:rPr>
                <w:szCs w:val="22"/>
              </w:rPr>
              <w:t>аче – заполняется значением «0»</w:t>
            </w:r>
          </w:p>
        </w:tc>
      </w:tr>
      <w:tr w:rsidR="00D86A54" w:rsidRPr="00264D5D" w14:paraId="0AE86D06" w14:textId="77777777" w:rsidTr="00D86A54">
        <w:trPr>
          <w:trHeight w:val="283"/>
        </w:trPr>
        <w:tc>
          <w:tcPr>
            <w:tcW w:w="5000" w:type="pct"/>
            <w:gridSpan w:val="6"/>
          </w:tcPr>
          <w:p w14:paraId="07ACCAB0" w14:textId="77777777" w:rsidR="00D86A54" w:rsidRPr="00D86A54" w:rsidRDefault="00D86A54">
            <w:pPr>
              <w:pStyle w:val="GOSTTablenorm"/>
              <w:rPr>
                <w:b/>
                <w:szCs w:val="22"/>
              </w:rPr>
            </w:pPr>
            <w:r w:rsidRPr="00D86A54">
              <w:rPr>
                <w:b/>
                <w:szCs w:val="22"/>
                <w:highlight w:val="green"/>
              </w:rPr>
              <w:t>Системная информация</w:t>
            </w:r>
          </w:p>
        </w:tc>
      </w:tr>
      <w:tr w:rsidR="00AD1F54" w:rsidRPr="00264D5D" w14:paraId="41AB277A" w14:textId="77777777" w:rsidTr="00AD1F54">
        <w:trPr>
          <w:trHeight w:val="283"/>
        </w:trPr>
        <w:tc>
          <w:tcPr>
            <w:tcW w:w="884" w:type="pct"/>
          </w:tcPr>
          <w:p w14:paraId="11AB43AB" w14:textId="77777777" w:rsidR="00AD1F54" w:rsidRPr="00264D5D" w:rsidRDefault="00941227">
            <w:pPr>
              <w:pStyle w:val="GOSTTablenorm"/>
              <w:rPr>
                <w:szCs w:val="22"/>
              </w:rPr>
            </w:pPr>
            <w:r w:rsidRPr="00264D5D">
              <w:rPr>
                <w:szCs w:val="22"/>
              </w:rPr>
              <w:t>Системная информация</w:t>
            </w:r>
          </w:p>
        </w:tc>
        <w:tc>
          <w:tcPr>
            <w:tcW w:w="960" w:type="pct"/>
          </w:tcPr>
          <w:p w14:paraId="724FAB58" w14:textId="77777777" w:rsidR="00AD1F54" w:rsidRPr="00264D5D" w:rsidRDefault="00941227">
            <w:pPr>
              <w:pStyle w:val="GOSTTablenorm"/>
              <w:rPr>
                <w:szCs w:val="22"/>
              </w:rPr>
            </w:pPr>
            <w:r w:rsidRPr="00264D5D">
              <w:rPr>
                <w:szCs w:val="22"/>
              </w:rPr>
              <w:t>ZR_MSC_Infrmtn</w:t>
            </w:r>
          </w:p>
        </w:tc>
        <w:tc>
          <w:tcPr>
            <w:tcW w:w="370" w:type="pct"/>
          </w:tcPr>
          <w:p w14:paraId="756D3FF5" w14:textId="77777777" w:rsidR="00AD1F54" w:rsidRPr="00264D5D" w:rsidRDefault="00941227">
            <w:pPr>
              <w:pStyle w:val="GOSTTablenorm"/>
              <w:rPr>
                <w:szCs w:val="22"/>
              </w:rPr>
            </w:pPr>
            <w:r w:rsidRPr="00264D5D">
              <w:rPr>
                <w:szCs w:val="22"/>
              </w:rPr>
              <w:t>С</w:t>
            </w:r>
          </w:p>
        </w:tc>
        <w:tc>
          <w:tcPr>
            <w:tcW w:w="581" w:type="pct"/>
          </w:tcPr>
          <w:p w14:paraId="7B3B96E8" w14:textId="77777777" w:rsidR="00AD1F54" w:rsidRPr="00264D5D" w:rsidRDefault="00941227">
            <w:pPr>
              <w:pStyle w:val="GOSTTablenorm"/>
              <w:rPr>
                <w:szCs w:val="22"/>
              </w:rPr>
            </w:pPr>
            <w:r w:rsidRPr="00264D5D">
              <w:rPr>
                <w:szCs w:val="22"/>
              </w:rPr>
              <w:t>tTF</w:t>
            </w:r>
          </w:p>
        </w:tc>
        <w:tc>
          <w:tcPr>
            <w:tcW w:w="293" w:type="pct"/>
          </w:tcPr>
          <w:p w14:paraId="38193AB1" w14:textId="77777777" w:rsidR="00AD1F54" w:rsidRPr="00264D5D" w:rsidRDefault="00941227">
            <w:pPr>
              <w:pStyle w:val="GOSTTablenorm"/>
              <w:rPr>
                <w:szCs w:val="22"/>
              </w:rPr>
            </w:pPr>
            <w:r w:rsidRPr="00264D5D">
              <w:rPr>
                <w:szCs w:val="22"/>
              </w:rPr>
              <w:t>О</w:t>
            </w:r>
          </w:p>
        </w:tc>
        <w:tc>
          <w:tcPr>
            <w:tcW w:w="1912" w:type="pct"/>
          </w:tcPr>
          <w:p w14:paraId="3AED6E3F" w14:textId="3DEB08EB" w:rsidR="00AD1F54" w:rsidRPr="00264D5D" w:rsidRDefault="00941227">
            <w:pPr>
              <w:pStyle w:val="GOSTTablenorm"/>
              <w:rPr>
                <w:szCs w:val="22"/>
              </w:rPr>
            </w:pPr>
            <w:r w:rsidRPr="00264D5D">
              <w:rPr>
                <w:szCs w:val="22"/>
              </w:rPr>
              <w:t xml:space="preserve">Состав элемента представлен в таблице </w:t>
            </w:r>
            <w:r w:rsidRPr="00264D5D">
              <w:rPr>
                <w:szCs w:val="22"/>
              </w:rPr>
              <w:fldChar w:fldCharType="begin"/>
            </w:r>
            <w:r w:rsidRPr="00264D5D">
              <w:rPr>
                <w:szCs w:val="22"/>
              </w:rPr>
              <w:instrText xml:space="preserve"> REF _Ref503372519 \h  \* MERGEFORMAT </w:instrText>
            </w:r>
            <w:r w:rsidRPr="00264D5D">
              <w:rPr>
                <w:szCs w:val="22"/>
              </w:rPr>
            </w:r>
            <w:r w:rsidRPr="00264D5D">
              <w:rPr>
                <w:szCs w:val="22"/>
              </w:rPr>
              <w:fldChar w:fldCharType="separate"/>
            </w:r>
            <w:r w:rsidR="008D797C" w:rsidRPr="008D797C">
              <w:rPr>
                <w:szCs w:val="22"/>
              </w:rPr>
              <w:t>388</w:t>
            </w:r>
            <w:r w:rsidRPr="00264D5D">
              <w:rPr>
                <w:szCs w:val="22"/>
              </w:rPr>
              <w:fldChar w:fldCharType="end"/>
            </w:r>
          </w:p>
        </w:tc>
      </w:tr>
      <w:tr w:rsidR="00D86A54" w:rsidRPr="00264D5D" w14:paraId="16284BC3" w14:textId="77777777" w:rsidTr="00D86A54">
        <w:trPr>
          <w:trHeight w:val="283"/>
        </w:trPr>
        <w:tc>
          <w:tcPr>
            <w:tcW w:w="5000" w:type="pct"/>
            <w:gridSpan w:val="6"/>
          </w:tcPr>
          <w:p w14:paraId="5E163CD3" w14:textId="77777777" w:rsidR="00D86A54" w:rsidRPr="00D86A54" w:rsidRDefault="00D86A54">
            <w:pPr>
              <w:pStyle w:val="GOSTTablenorm"/>
              <w:rPr>
                <w:b/>
                <w:szCs w:val="22"/>
              </w:rPr>
            </w:pPr>
            <w:r w:rsidRPr="00D86A54">
              <w:rPr>
                <w:b/>
                <w:szCs w:val="22"/>
                <w:highlight w:val="green"/>
              </w:rPr>
              <w:t>Расшифровка заявления на проведение операций с иностранной валютой по бюджетной классификации расходов</w:t>
            </w:r>
          </w:p>
        </w:tc>
      </w:tr>
      <w:tr w:rsidR="00AD1F54" w:rsidRPr="00264D5D" w14:paraId="7651336E" w14:textId="77777777" w:rsidTr="00AD1F54">
        <w:trPr>
          <w:trHeight w:val="283"/>
        </w:trPr>
        <w:tc>
          <w:tcPr>
            <w:tcW w:w="884" w:type="pct"/>
          </w:tcPr>
          <w:p w14:paraId="22EF3AE7" w14:textId="77777777" w:rsidR="00AD1F54" w:rsidRPr="00264D5D" w:rsidRDefault="00941227">
            <w:pPr>
              <w:pStyle w:val="GOSTTablenorm"/>
              <w:rPr>
                <w:szCs w:val="22"/>
              </w:rPr>
            </w:pPr>
            <w:r w:rsidRPr="00264D5D">
              <w:rPr>
                <w:szCs w:val="22"/>
              </w:rPr>
              <w:t>Расшифровка заявления на проведение операций с иностранной валютой по бюджетной классификации расходов</w:t>
            </w:r>
          </w:p>
        </w:tc>
        <w:tc>
          <w:tcPr>
            <w:tcW w:w="960" w:type="pct"/>
          </w:tcPr>
          <w:p w14:paraId="4EB37933" w14:textId="77777777" w:rsidR="00AD1F54" w:rsidRPr="00264D5D" w:rsidRDefault="00941227">
            <w:pPr>
              <w:pStyle w:val="GOSTTablenorm"/>
              <w:rPr>
                <w:szCs w:val="22"/>
              </w:rPr>
            </w:pPr>
            <w:r w:rsidRPr="00264D5D">
              <w:rPr>
                <w:szCs w:val="22"/>
              </w:rPr>
              <w:t>COWFCE</w:t>
            </w:r>
          </w:p>
        </w:tc>
        <w:tc>
          <w:tcPr>
            <w:tcW w:w="370" w:type="pct"/>
          </w:tcPr>
          <w:p w14:paraId="563D65BA" w14:textId="77777777" w:rsidR="00AD1F54" w:rsidRPr="00264D5D" w:rsidRDefault="00941227">
            <w:pPr>
              <w:pStyle w:val="GOSTTablenorm"/>
              <w:rPr>
                <w:szCs w:val="22"/>
              </w:rPr>
            </w:pPr>
            <w:r w:rsidRPr="00264D5D">
              <w:rPr>
                <w:szCs w:val="22"/>
              </w:rPr>
              <w:t>С</w:t>
            </w:r>
          </w:p>
        </w:tc>
        <w:tc>
          <w:tcPr>
            <w:tcW w:w="581" w:type="pct"/>
          </w:tcPr>
          <w:p w14:paraId="0C74865C" w14:textId="77777777" w:rsidR="00AD1F54" w:rsidRPr="00264D5D" w:rsidRDefault="00941227">
            <w:pPr>
              <w:pStyle w:val="GOSTTablenorm"/>
              <w:rPr>
                <w:szCs w:val="22"/>
              </w:rPr>
            </w:pPr>
            <w:r w:rsidRPr="00264D5D">
              <w:rPr>
                <w:szCs w:val="22"/>
              </w:rPr>
              <w:t>tCOWFCE</w:t>
            </w:r>
          </w:p>
        </w:tc>
        <w:tc>
          <w:tcPr>
            <w:tcW w:w="293" w:type="pct"/>
          </w:tcPr>
          <w:p w14:paraId="6D533F93" w14:textId="77777777" w:rsidR="00AD1F54" w:rsidRPr="00264D5D" w:rsidRDefault="00941227">
            <w:pPr>
              <w:pStyle w:val="GOSTTablenorm"/>
              <w:rPr>
                <w:szCs w:val="22"/>
                <w:lang w:val="en-US"/>
              </w:rPr>
            </w:pPr>
            <w:r w:rsidRPr="00264D5D">
              <w:rPr>
                <w:szCs w:val="22"/>
                <w:lang w:val="en-US"/>
              </w:rPr>
              <w:t>Н</w:t>
            </w:r>
          </w:p>
        </w:tc>
        <w:tc>
          <w:tcPr>
            <w:tcW w:w="1912" w:type="pct"/>
          </w:tcPr>
          <w:p w14:paraId="2DBAE789" w14:textId="7A73B626" w:rsidR="00AD1F54" w:rsidRPr="00264D5D" w:rsidRDefault="00941227">
            <w:pPr>
              <w:pStyle w:val="GOSTTablenorm"/>
              <w:rPr>
                <w:szCs w:val="22"/>
              </w:rPr>
            </w:pPr>
            <w:r w:rsidRPr="00264D5D">
              <w:rPr>
                <w:szCs w:val="22"/>
              </w:rPr>
              <w:t xml:space="preserve">Состав элемента представлен в таблице </w:t>
            </w:r>
            <w:r w:rsidRPr="00264D5D">
              <w:rPr>
                <w:szCs w:val="22"/>
              </w:rPr>
              <w:fldChar w:fldCharType="begin"/>
            </w:r>
            <w:r w:rsidRPr="00264D5D">
              <w:rPr>
                <w:szCs w:val="22"/>
              </w:rPr>
              <w:instrText xml:space="preserve"> REF _Ref503546021 \h  \* MERGEFORMAT </w:instrText>
            </w:r>
            <w:r w:rsidRPr="00264D5D">
              <w:rPr>
                <w:szCs w:val="22"/>
              </w:rPr>
            </w:r>
            <w:r w:rsidRPr="00264D5D">
              <w:rPr>
                <w:szCs w:val="22"/>
              </w:rPr>
              <w:fldChar w:fldCharType="separate"/>
            </w:r>
            <w:r w:rsidR="008D797C" w:rsidRPr="008D797C">
              <w:rPr>
                <w:szCs w:val="22"/>
              </w:rPr>
              <w:t>391</w:t>
            </w:r>
            <w:r w:rsidRPr="00264D5D">
              <w:rPr>
                <w:szCs w:val="22"/>
              </w:rPr>
              <w:fldChar w:fldCharType="end"/>
            </w:r>
          </w:p>
        </w:tc>
      </w:tr>
      <w:tr w:rsidR="00D86A54" w:rsidRPr="00264D5D" w14:paraId="3931E43F" w14:textId="77777777" w:rsidTr="00D86A54">
        <w:trPr>
          <w:trHeight w:val="283"/>
        </w:trPr>
        <w:tc>
          <w:tcPr>
            <w:tcW w:w="5000" w:type="pct"/>
            <w:gridSpan w:val="6"/>
          </w:tcPr>
          <w:p w14:paraId="242EF9CD" w14:textId="77777777" w:rsidR="00D86A54" w:rsidRPr="00D86A54" w:rsidRDefault="00D86A54">
            <w:pPr>
              <w:pStyle w:val="GOSTTablenorm"/>
              <w:rPr>
                <w:b/>
                <w:szCs w:val="22"/>
              </w:rPr>
            </w:pPr>
            <w:r w:rsidRPr="00D86A54">
              <w:rPr>
                <w:b/>
                <w:szCs w:val="22"/>
                <w:highlight w:val="green"/>
              </w:rPr>
              <w:t>Расшифровка заявления на проведение операций с иностранной валютой по бюджетной классификации источников</w:t>
            </w:r>
          </w:p>
        </w:tc>
      </w:tr>
      <w:tr w:rsidR="00AD1F54" w:rsidRPr="00264D5D" w14:paraId="3AA45708" w14:textId="77777777" w:rsidTr="00AD1F54">
        <w:trPr>
          <w:trHeight w:val="283"/>
        </w:trPr>
        <w:tc>
          <w:tcPr>
            <w:tcW w:w="884" w:type="pct"/>
          </w:tcPr>
          <w:p w14:paraId="4A0E1642" w14:textId="77777777" w:rsidR="00AD1F54" w:rsidRPr="00264D5D" w:rsidRDefault="00941227">
            <w:pPr>
              <w:pStyle w:val="GOSTTablenorm"/>
              <w:rPr>
                <w:szCs w:val="22"/>
              </w:rPr>
            </w:pPr>
            <w:r w:rsidRPr="00264D5D">
              <w:rPr>
                <w:szCs w:val="22"/>
              </w:rPr>
              <w:t>Расшифровка заявления на проведение операций с иностранной валютой по бюджетной классификации источников</w:t>
            </w:r>
          </w:p>
        </w:tc>
        <w:tc>
          <w:tcPr>
            <w:tcW w:w="960" w:type="pct"/>
          </w:tcPr>
          <w:p w14:paraId="1978C5DC" w14:textId="77777777" w:rsidR="00AD1F54" w:rsidRPr="00264D5D" w:rsidRDefault="00941227">
            <w:pPr>
              <w:pStyle w:val="GOSTTablenorm"/>
              <w:rPr>
                <w:szCs w:val="22"/>
              </w:rPr>
            </w:pPr>
            <w:r w:rsidRPr="00264D5D">
              <w:rPr>
                <w:szCs w:val="22"/>
              </w:rPr>
              <w:t>COWFCS</w:t>
            </w:r>
          </w:p>
        </w:tc>
        <w:tc>
          <w:tcPr>
            <w:tcW w:w="370" w:type="pct"/>
          </w:tcPr>
          <w:p w14:paraId="494B4145" w14:textId="77777777" w:rsidR="00AD1F54" w:rsidRPr="00264D5D" w:rsidRDefault="00941227">
            <w:pPr>
              <w:pStyle w:val="GOSTTablenorm"/>
              <w:rPr>
                <w:szCs w:val="22"/>
              </w:rPr>
            </w:pPr>
            <w:r w:rsidRPr="00264D5D">
              <w:rPr>
                <w:szCs w:val="22"/>
                <w:lang w:val="en-US"/>
              </w:rPr>
              <w:t>C</w:t>
            </w:r>
          </w:p>
        </w:tc>
        <w:tc>
          <w:tcPr>
            <w:tcW w:w="581" w:type="pct"/>
          </w:tcPr>
          <w:p w14:paraId="6713BE51" w14:textId="77777777" w:rsidR="00AD1F54" w:rsidRPr="00264D5D" w:rsidRDefault="00941227">
            <w:pPr>
              <w:pStyle w:val="GOSTTablenorm"/>
              <w:rPr>
                <w:szCs w:val="22"/>
              </w:rPr>
            </w:pPr>
            <w:r w:rsidRPr="00264D5D">
              <w:rPr>
                <w:szCs w:val="22"/>
              </w:rPr>
              <w:t>tCOWFCS</w:t>
            </w:r>
          </w:p>
        </w:tc>
        <w:tc>
          <w:tcPr>
            <w:tcW w:w="293" w:type="pct"/>
          </w:tcPr>
          <w:p w14:paraId="7B7929D9" w14:textId="77777777" w:rsidR="00AD1F54" w:rsidRPr="00264D5D" w:rsidRDefault="00941227">
            <w:pPr>
              <w:pStyle w:val="GOSTTablenorm"/>
              <w:rPr>
                <w:szCs w:val="22"/>
                <w:lang w:val="en-US"/>
              </w:rPr>
            </w:pPr>
            <w:r w:rsidRPr="00264D5D">
              <w:rPr>
                <w:szCs w:val="22"/>
                <w:lang w:val="en-US"/>
              </w:rPr>
              <w:t>Н</w:t>
            </w:r>
          </w:p>
        </w:tc>
        <w:tc>
          <w:tcPr>
            <w:tcW w:w="1912" w:type="pct"/>
          </w:tcPr>
          <w:p w14:paraId="724776C5" w14:textId="277A2042" w:rsidR="00AD1F54" w:rsidRPr="00264D5D" w:rsidRDefault="00941227">
            <w:pPr>
              <w:pStyle w:val="GOSTTablenorm"/>
              <w:rPr>
                <w:szCs w:val="22"/>
              </w:rPr>
            </w:pPr>
            <w:r w:rsidRPr="00264D5D">
              <w:rPr>
                <w:szCs w:val="22"/>
              </w:rPr>
              <w:t xml:space="preserve">Состав элемента представлен в таблице </w:t>
            </w:r>
            <w:r w:rsidRPr="00264D5D">
              <w:rPr>
                <w:szCs w:val="22"/>
              </w:rPr>
              <w:fldChar w:fldCharType="begin"/>
            </w:r>
            <w:r w:rsidRPr="00264D5D">
              <w:rPr>
                <w:szCs w:val="22"/>
              </w:rPr>
              <w:instrText xml:space="preserve"> REF _Ref503546027 \h  \* MERGEFORMAT </w:instrText>
            </w:r>
            <w:r w:rsidRPr="00264D5D">
              <w:rPr>
                <w:szCs w:val="22"/>
              </w:rPr>
            </w:r>
            <w:r w:rsidRPr="00264D5D">
              <w:rPr>
                <w:szCs w:val="22"/>
              </w:rPr>
              <w:fldChar w:fldCharType="separate"/>
            </w:r>
            <w:r w:rsidR="008D797C" w:rsidRPr="008D797C">
              <w:rPr>
                <w:szCs w:val="22"/>
              </w:rPr>
              <w:t>393</w:t>
            </w:r>
            <w:r w:rsidRPr="00264D5D">
              <w:rPr>
                <w:szCs w:val="22"/>
              </w:rPr>
              <w:fldChar w:fldCharType="end"/>
            </w:r>
          </w:p>
        </w:tc>
      </w:tr>
      <w:tr w:rsidR="00D86A54" w:rsidRPr="00264D5D" w14:paraId="4CCAE202" w14:textId="77777777" w:rsidTr="00D86A54">
        <w:trPr>
          <w:trHeight w:val="283"/>
        </w:trPr>
        <w:tc>
          <w:tcPr>
            <w:tcW w:w="5000" w:type="pct"/>
            <w:gridSpan w:val="6"/>
          </w:tcPr>
          <w:p w14:paraId="4DABA44C" w14:textId="77777777" w:rsidR="00D86A54" w:rsidRPr="00D86A54" w:rsidRDefault="00D86A54">
            <w:pPr>
              <w:pStyle w:val="GOSTTablenorm"/>
              <w:rPr>
                <w:b/>
                <w:szCs w:val="22"/>
              </w:rPr>
            </w:pPr>
            <w:r w:rsidRPr="00D86A54">
              <w:rPr>
                <w:b/>
                <w:szCs w:val="22"/>
                <w:highlight w:val="green"/>
              </w:rPr>
              <w:t xml:space="preserve">Расшифровка заявления на проведение операций с иностранной валютой по бюджетной </w:t>
            </w:r>
            <w:r w:rsidRPr="00D86A54">
              <w:rPr>
                <w:b/>
                <w:szCs w:val="22"/>
                <w:highlight w:val="green"/>
              </w:rPr>
              <w:lastRenderedPageBreak/>
              <w:t>классификации доходов</w:t>
            </w:r>
          </w:p>
        </w:tc>
      </w:tr>
      <w:tr w:rsidR="00AD1F54" w:rsidRPr="00264D5D" w14:paraId="2E3E20FF" w14:textId="77777777" w:rsidTr="00AD1F54">
        <w:trPr>
          <w:trHeight w:val="283"/>
        </w:trPr>
        <w:tc>
          <w:tcPr>
            <w:tcW w:w="884" w:type="pct"/>
          </w:tcPr>
          <w:p w14:paraId="1E4D3DDF" w14:textId="77777777" w:rsidR="00AD1F54" w:rsidRPr="00264D5D" w:rsidRDefault="00941227">
            <w:pPr>
              <w:pStyle w:val="GOSTTablenorm"/>
              <w:rPr>
                <w:szCs w:val="22"/>
              </w:rPr>
            </w:pPr>
            <w:r w:rsidRPr="00264D5D">
              <w:rPr>
                <w:szCs w:val="22"/>
              </w:rPr>
              <w:lastRenderedPageBreak/>
              <w:t>Расшифровка заявления на проведение операций с иностранной валютой по бюджетной классификации доходов</w:t>
            </w:r>
          </w:p>
        </w:tc>
        <w:tc>
          <w:tcPr>
            <w:tcW w:w="960" w:type="pct"/>
          </w:tcPr>
          <w:p w14:paraId="144B5102" w14:textId="77777777" w:rsidR="00AD1F54" w:rsidRPr="00264D5D" w:rsidRDefault="00941227">
            <w:pPr>
              <w:pStyle w:val="GOSTTablenorm"/>
              <w:rPr>
                <w:szCs w:val="22"/>
              </w:rPr>
            </w:pPr>
            <w:r w:rsidRPr="00264D5D">
              <w:rPr>
                <w:szCs w:val="22"/>
              </w:rPr>
              <w:t>COWFCR</w:t>
            </w:r>
          </w:p>
        </w:tc>
        <w:tc>
          <w:tcPr>
            <w:tcW w:w="370" w:type="pct"/>
          </w:tcPr>
          <w:p w14:paraId="286F67A9" w14:textId="77777777" w:rsidR="00AD1F54" w:rsidRPr="00264D5D" w:rsidRDefault="00941227">
            <w:pPr>
              <w:pStyle w:val="GOSTTablenorm"/>
              <w:rPr>
                <w:szCs w:val="22"/>
                <w:lang w:val="en-US"/>
              </w:rPr>
            </w:pPr>
            <w:r w:rsidRPr="00264D5D">
              <w:rPr>
                <w:szCs w:val="22"/>
                <w:lang w:val="en-US"/>
              </w:rPr>
              <w:t>C</w:t>
            </w:r>
          </w:p>
        </w:tc>
        <w:tc>
          <w:tcPr>
            <w:tcW w:w="581" w:type="pct"/>
          </w:tcPr>
          <w:p w14:paraId="54E87F22" w14:textId="77777777" w:rsidR="00AD1F54" w:rsidRPr="00264D5D" w:rsidRDefault="00941227">
            <w:pPr>
              <w:pStyle w:val="GOSTTablenorm"/>
              <w:rPr>
                <w:szCs w:val="22"/>
              </w:rPr>
            </w:pPr>
            <w:r w:rsidRPr="00264D5D">
              <w:rPr>
                <w:szCs w:val="22"/>
              </w:rPr>
              <w:t>tCOWFCR</w:t>
            </w:r>
          </w:p>
        </w:tc>
        <w:tc>
          <w:tcPr>
            <w:tcW w:w="293" w:type="pct"/>
          </w:tcPr>
          <w:p w14:paraId="766212CA" w14:textId="77777777" w:rsidR="00AD1F54" w:rsidRPr="00264D5D" w:rsidRDefault="00941227">
            <w:pPr>
              <w:pStyle w:val="GOSTTablenorm"/>
              <w:rPr>
                <w:szCs w:val="22"/>
                <w:lang w:val="en-US"/>
              </w:rPr>
            </w:pPr>
            <w:r w:rsidRPr="00264D5D">
              <w:rPr>
                <w:szCs w:val="22"/>
                <w:lang w:val="en-US"/>
              </w:rPr>
              <w:t>Н</w:t>
            </w:r>
          </w:p>
        </w:tc>
        <w:tc>
          <w:tcPr>
            <w:tcW w:w="1912" w:type="pct"/>
          </w:tcPr>
          <w:p w14:paraId="2B77CE9D" w14:textId="703A0BB9" w:rsidR="00AD1F54" w:rsidRPr="00264D5D" w:rsidRDefault="00941227">
            <w:pPr>
              <w:pStyle w:val="GOSTTablenorm"/>
              <w:rPr>
                <w:szCs w:val="22"/>
              </w:rPr>
            </w:pPr>
            <w:r w:rsidRPr="00264D5D">
              <w:rPr>
                <w:szCs w:val="22"/>
              </w:rPr>
              <w:t xml:space="preserve">Состав элемента представлен в таблице </w:t>
            </w:r>
            <w:r w:rsidRPr="00264D5D">
              <w:rPr>
                <w:szCs w:val="22"/>
              </w:rPr>
              <w:fldChar w:fldCharType="begin"/>
            </w:r>
            <w:r w:rsidRPr="00264D5D">
              <w:rPr>
                <w:szCs w:val="22"/>
              </w:rPr>
              <w:instrText xml:space="preserve"> REF _Ref503546035 \h  \* MERGEFORMAT </w:instrText>
            </w:r>
            <w:r w:rsidRPr="00264D5D">
              <w:rPr>
                <w:szCs w:val="22"/>
              </w:rPr>
            </w:r>
            <w:r w:rsidRPr="00264D5D">
              <w:rPr>
                <w:szCs w:val="22"/>
              </w:rPr>
              <w:fldChar w:fldCharType="separate"/>
            </w:r>
            <w:r w:rsidR="008D797C" w:rsidRPr="008D797C">
              <w:rPr>
                <w:rFonts w:eastAsia="Calibri"/>
                <w:szCs w:val="22"/>
              </w:rPr>
              <w:t>395</w:t>
            </w:r>
            <w:r w:rsidRPr="00264D5D">
              <w:rPr>
                <w:szCs w:val="22"/>
              </w:rPr>
              <w:fldChar w:fldCharType="end"/>
            </w:r>
          </w:p>
        </w:tc>
      </w:tr>
      <w:tr w:rsidR="00D86A54" w:rsidRPr="00264D5D" w14:paraId="1C003AAD" w14:textId="77777777" w:rsidTr="00D86A54">
        <w:trPr>
          <w:trHeight w:val="283"/>
        </w:trPr>
        <w:tc>
          <w:tcPr>
            <w:tcW w:w="5000" w:type="pct"/>
            <w:gridSpan w:val="6"/>
          </w:tcPr>
          <w:p w14:paraId="2084A6D0" w14:textId="77777777" w:rsidR="00D86A54" w:rsidRPr="00D86A54" w:rsidRDefault="00D86A54">
            <w:pPr>
              <w:pStyle w:val="GOSTTablenorm"/>
              <w:rPr>
                <w:b/>
                <w:szCs w:val="22"/>
              </w:rPr>
            </w:pPr>
            <w:r w:rsidRPr="00D86A54">
              <w:rPr>
                <w:b/>
                <w:highlight w:val="green"/>
              </w:rPr>
              <w:t>Расшифровка заявления на проведение операций с иностранной валютой по средствам, поступающим во временное распоряжение казенных учреждений</w:t>
            </w:r>
          </w:p>
        </w:tc>
      </w:tr>
      <w:tr w:rsidR="003B5630" w:rsidRPr="00264D5D" w14:paraId="1E454F20" w14:textId="77777777" w:rsidTr="00AD1F54">
        <w:trPr>
          <w:trHeight w:val="283"/>
        </w:trPr>
        <w:tc>
          <w:tcPr>
            <w:tcW w:w="884" w:type="pct"/>
          </w:tcPr>
          <w:p w14:paraId="4FD7D2C4" w14:textId="77777777" w:rsidR="003B5630" w:rsidRPr="00264D5D" w:rsidRDefault="003B5630" w:rsidP="003B5630">
            <w:pPr>
              <w:pStyle w:val="GOSTTablenorm"/>
            </w:pPr>
            <w:r w:rsidRPr="00264D5D">
              <w:t>Расшифровка заявления на проведение операций с иностранной валютой по средствам, поступающим во временное распоряжение казенных учреждений</w:t>
            </w:r>
          </w:p>
        </w:tc>
        <w:tc>
          <w:tcPr>
            <w:tcW w:w="960" w:type="pct"/>
          </w:tcPr>
          <w:p w14:paraId="25BD93D4" w14:textId="77777777" w:rsidR="003B5630" w:rsidRPr="00264D5D" w:rsidRDefault="003B5630" w:rsidP="003B5630">
            <w:pPr>
              <w:pStyle w:val="GOSTTablenorm"/>
            </w:pPr>
            <w:r w:rsidRPr="00264D5D">
              <w:t>COW</w:t>
            </w:r>
            <w:r w:rsidRPr="00264D5D">
              <w:rPr>
                <w:lang w:val="en-US"/>
              </w:rPr>
              <w:t>SVR</w:t>
            </w:r>
          </w:p>
        </w:tc>
        <w:tc>
          <w:tcPr>
            <w:tcW w:w="370" w:type="pct"/>
          </w:tcPr>
          <w:p w14:paraId="74DCF1B2" w14:textId="77777777" w:rsidR="003B5630" w:rsidRPr="00264D5D" w:rsidRDefault="003B5630" w:rsidP="003B5630">
            <w:pPr>
              <w:pStyle w:val="GOSTTablenorm"/>
              <w:rPr>
                <w:lang w:val="en-US"/>
              </w:rPr>
            </w:pPr>
            <w:r w:rsidRPr="00264D5D">
              <w:rPr>
                <w:lang w:val="en-US"/>
              </w:rPr>
              <w:t>C</w:t>
            </w:r>
          </w:p>
        </w:tc>
        <w:tc>
          <w:tcPr>
            <w:tcW w:w="581" w:type="pct"/>
          </w:tcPr>
          <w:p w14:paraId="5B313705" w14:textId="77777777" w:rsidR="003B5630" w:rsidRPr="00264D5D" w:rsidRDefault="003B5630" w:rsidP="003B5630">
            <w:pPr>
              <w:pStyle w:val="GOSTTablenorm"/>
            </w:pPr>
            <w:r w:rsidRPr="00264D5D">
              <w:t>tCOW</w:t>
            </w:r>
            <w:r w:rsidRPr="00264D5D">
              <w:rPr>
                <w:lang w:val="en-US"/>
              </w:rPr>
              <w:t>SVR</w:t>
            </w:r>
          </w:p>
        </w:tc>
        <w:tc>
          <w:tcPr>
            <w:tcW w:w="293" w:type="pct"/>
          </w:tcPr>
          <w:p w14:paraId="0A189050" w14:textId="77777777" w:rsidR="003B5630" w:rsidRPr="00264D5D" w:rsidRDefault="003B5630" w:rsidP="003B5630">
            <w:pPr>
              <w:pStyle w:val="GOSTTablenorm"/>
              <w:rPr>
                <w:lang w:val="en-US"/>
              </w:rPr>
            </w:pPr>
            <w:r w:rsidRPr="00264D5D">
              <w:rPr>
                <w:lang w:val="en-US"/>
              </w:rPr>
              <w:t>Н</w:t>
            </w:r>
          </w:p>
        </w:tc>
        <w:tc>
          <w:tcPr>
            <w:tcW w:w="1912" w:type="pct"/>
          </w:tcPr>
          <w:p w14:paraId="6B650A34" w14:textId="3A2A340D" w:rsidR="003B5630" w:rsidRPr="00264D5D" w:rsidRDefault="003B5630" w:rsidP="003B5630">
            <w:pPr>
              <w:pStyle w:val="GOSTTablenorm"/>
            </w:pPr>
            <w:r w:rsidRPr="00264D5D">
              <w:t xml:space="preserve">Состав элемента представлен в таблице </w:t>
            </w:r>
            <w:r w:rsidRPr="00264D5D">
              <w:fldChar w:fldCharType="begin"/>
            </w:r>
            <w:r w:rsidRPr="00264D5D">
              <w:instrText xml:space="preserve"> REF _Ref176944403 \h  \* MERGEFORMAT </w:instrText>
            </w:r>
            <w:r w:rsidRPr="00264D5D">
              <w:fldChar w:fldCharType="separate"/>
            </w:r>
            <w:r w:rsidR="008D797C">
              <w:rPr>
                <w:rFonts w:eastAsia="Calibri"/>
                <w:noProof/>
              </w:rPr>
              <w:t>397</w:t>
            </w:r>
            <w:r w:rsidRPr="00264D5D">
              <w:fldChar w:fldCharType="end"/>
            </w:r>
          </w:p>
        </w:tc>
      </w:tr>
      <w:tr w:rsidR="00D86A54" w:rsidRPr="00264D5D" w14:paraId="6AC75852" w14:textId="77777777" w:rsidTr="00D86A54">
        <w:trPr>
          <w:trHeight w:val="283"/>
        </w:trPr>
        <w:tc>
          <w:tcPr>
            <w:tcW w:w="5000" w:type="pct"/>
            <w:gridSpan w:val="6"/>
          </w:tcPr>
          <w:p w14:paraId="63F93732" w14:textId="77777777" w:rsidR="00D86A54" w:rsidRPr="00264D5D" w:rsidRDefault="00D86A54" w:rsidP="003B5630">
            <w:pPr>
              <w:pStyle w:val="GOSTTablenorm"/>
            </w:pPr>
            <w:r w:rsidRPr="000D72B3">
              <w:rPr>
                <w:b/>
                <w:highlight w:val="green"/>
              </w:rPr>
              <w:t>Подписи</w:t>
            </w:r>
          </w:p>
        </w:tc>
      </w:tr>
      <w:tr w:rsidR="00D86A54" w:rsidRPr="00264D5D" w14:paraId="68C75B4D" w14:textId="77777777" w:rsidTr="00AD1F54">
        <w:trPr>
          <w:trHeight w:val="283"/>
        </w:trPr>
        <w:tc>
          <w:tcPr>
            <w:tcW w:w="884" w:type="pct"/>
          </w:tcPr>
          <w:p w14:paraId="7C9435DA" w14:textId="77777777" w:rsidR="00D86A54" w:rsidRPr="000D72B3" w:rsidRDefault="00D86A54" w:rsidP="00D86A54">
            <w:pPr>
              <w:pStyle w:val="GOSTTablenorm"/>
              <w:rPr>
                <w:highlight w:val="green"/>
              </w:rPr>
            </w:pPr>
            <w:r w:rsidRPr="000D72B3">
              <w:rPr>
                <w:highlight w:val="green"/>
              </w:rPr>
              <w:t>Должность руководителя</w:t>
            </w:r>
          </w:p>
        </w:tc>
        <w:tc>
          <w:tcPr>
            <w:tcW w:w="960" w:type="pct"/>
          </w:tcPr>
          <w:p w14:paraId="5CE2D3F8" w14:textId="77777777" w:rsidR="00D86A54" w:rsidRPr="000D72B3" w:rsidRDefault="00D86A54" w:rsidP="00D86A54">
            <w:pPr>
              <w:pStyle w:val="GOSTTablenorm"/>
              <w:rPr>
                <w:highlight w:val="green"/>
              </w:rPr>
            </w:pPr>
            <w:r w:rsidRPr="000D72B3">
              <w:rPr>
                <w:szCs w:val="22"/>
                <w:highlight w:val="green"/>
              </w:rPr>
              <w:t>Sgnng_PstHd</w:t>
            </w:r>
          </w:p>
        </w:tc>
        <w:tc>
          <w:tcPr>
            <w:tcW w:w="370" w:type="pct"/>
          </w:tcPr>
          <w:p w14:paraId="04EAC0F7" w14:textId="77777777" w:rsidR="00D86A54" w:rsidRPr="000D72B3" w:rsidRDefault="00D86A54" w:rsidP="00D86A54">
            <w:pPr>
              <w:pStyle w:val="GOSTTablenorm"/>
              <w:rPr>
                <w:highlight w:val="green"/>
              </w:rPr>
            </w:pPr>
            <w:r w:rsidRPr="000D72B3">
              <w:rPr>
                <w:szCs w:val="22"/>
                <w:highlight w:val="green"/>
              </w:rPr>
              <w:t>П</w:t>
            </w:r>
          </w:p>
        </w:tc>
        <w:tc>
          <w:tcPr>
            <w:tcW w:w="581" w:type="pct"/>
          </w:tcPr>
          <w:p w14:paraId="3CF97E7A" w14:textId="77777777" w:rsidR="00D86A54" w:rsidRPr="000D72B3" w:rsidRDefault="00D86A54" w:rsidP="00D86A54">
            <w:pPr>
              <w:pStyle w:val="GOSTTablenorm"/>
              <w:rPr>
                <w:highlight w:val="green"/>
              </w:rPr>
            </w:pPr>
            <w:r w:rsidRPr="000D72B3">
              <w:rPr>
                <w:szCs w:val="22"/>
                <w:highlight w:val="green"/>
              </w:rPr>
              <w:t>Т(1-100)</w:t>
            </w:r>
          </w:p>
        </w:tc>
        <w:tc>
          <w:tcPr>
            <w:tcW w:w="293" w:type="pct"/>
          </w:tcPr>
          <w:p w14:paraId="4A75D161" w14:textId="77777777" w:rsidR="00D86A54" w:rsidRPr="000D72B3" w:rsidRDefault="00D86A54" w:rsidP="00D86A54">
            <w:pPr>
              <w:pStyle w:val="GOSTTablenorm"/>
              <w:rPr>
                <w:highlight w:val="green"/>
              </w:rPr>
            </w:pPr>
            <w:r w:rsidRPr="000D72B3">
              <w:rPr>
                <w:highlight w:val="green"/>
              </w:rPr>
              <w:t>Н</w:t>
            </w:r>
          </w:p>
        </w:tc>
        <w:tc>
          <w:tcPr>
            <w:tcW w:w="1912" w:type="pct"/>
          </w:tcPr>
          <w:p w14:paraId="24EE65E2" w14:textId="77777777" w:rsidR="00D86A54" w:rsidRPr="000D72B3" w:rsidRDefault="00D86A54" w:rsidP="00D86A54">
            <w:pPr>
              <w:pStyle w:val="GOSTTablenorm"/>
              <w:rPr>
                <w:highlight w:val="green"/>
              </w:rPr>
            </w:pPr>
            <w:r w:rsidRPr="000D72B3">
              <w:rPr>
                <w:highlight w:val="green"/>
              </w:rPr>
              <w:t>Указывается должность руководителя</w:t>
            </w:r>
          </w:p>
        </w:tc>
      </w:tr>
      <w:tr w:rsidR="00D86A54" w:rsidRPr="00264D5D" w14:paraId="36A1D894" w14:textId="77777777" w:rsidTr="00AD1F54">
        <w:trPr>
          <w:trHeight w:val="283"/>
        </w:trPr>
        <w:tc>
          <w:tcPr>
            <w:tcW w:w="884" w:type="pct"/>
          </w:tcPr>
          <w:p w14:paraId="43068EC3" w14:textId="77777777" w:rsidR="00D86A54" w:rsidRPr="000D72B3" w:rsidRDefault="00D86A54" w:rsidP="00D86A54">
            <w:pPr>
              <w:pStyle w:val="GOSTTablenorm"/>
              <w:rPr>
                <w:highlight w:val="green"/>
              </w:rPr>
            </w:pPr>
            <w:r w:rsidRPr="000D72B3">
              <w:rPr>
                <w:highlight w:val="green"/>
              </w:rPr>
              <w:t>ФИО руководителя</w:t>
            </w:r>
          </w:p>
        </w:tc>
        <w:tc>
          <w:tcPr>
            <w:tcW w:w="960" w:type="pct"/>
          </w:tcPr>
          <w:p w14:paraId="6D9F96FE" w14:textId="77777777" w:rsidR="00D86A54" w:rsidRPr="000D72B3" w:rsidRDefault="00D86A54" w:rsidP="00D86A54">
            <w:pPr>
              <w:pStyle w:val="GOSTTablenorm"/>
              <w:rPr>
                <w:highlight w:val="green"/>
              </w:rPr>
            </w:pPr>
            <w:r w:rsidRPr="000D72B3">
              <w:rPr>
                <w:szCs w:val="22"/>
                <w:highlight w:val="green"/>
              </w:rPr>
              <w:t>Sgnng_NmHd</w:t>
            </w:r>
          </w:p>
        </w:tc>
        <w:tc>
          <w:tcPr>
            <w:tcW w:w="370" w:type="pct"/>
          </w:tcPr>
          <w:p w14:paraId="1E708B68" w14:textId="77777777" w:rsidR="00D86A54" w:rsidRPr="000D72B3" w:rsidRDefault="00D86A54" w:rsidP="00D86A54">
            <w:pPr>
              <w:pStyle w:val="GOSTTablenorm"/>
              <w:rPr>
                <w:highlight w:val="green"/>
                <w:lang w:val="en-US"/>
              </w:rPr>
            </w:pPr>
            <w:r w:rsidRPr="000D72B3">
              <w:rPr>
                <w:szCs w:val="22"/>
                <w:highlight w:val="green"/>
              </w:rPr>
              <w:t>П</w:t>
            </w:r>
          </w:p>
        </w:tc>
        <w:tc>
          <w:tcPr>
            <w:tcW w:w="581" w:type="pct"/>
          </w:tcPr>
          <w:p w14:paraId="5EA0D571" w14:textId="77777777" w:rsidR="00D86A54" w:rsidRPr="000D72B3" w:rsidRDefault="00D86A54" w:rsidP="00D86A54">
            <w:pPr>
              <w:pStyle w:val="GOSTTablenorm"/>
              <w:rPr>
                <w:highlight w:val="green"/>
              </w:rPr>
            </w:pPr>
            <w:r w:rsidRPr="000D72B3">
              <w:rPr>
                <w:szCs w:val="22"/>
                <w:highlight w:val="green"/>
              </w:rPr>
              <w:t>Т(1-100)</w:t>
            </w:r>
          </w:p>
        </w:tc>
        <w:tc>
          <w:tcPr>
            <w:tcW w:w="293" w:type="pct"/>
          </w:tcPr>
          <w:p w14:paraId="5B2946E3" w14:textId="77777777" w:rsidR="00D86A54" w:rsidRPr="000D72B3" w:rsidRDefault="00D86A54" w:rsidP="00D86A54">
            <w:pPr>
              <w:pStyle w:val="GOSTTablenorm"/>
              <w:rPr>
                <w:highlight w:val="green"/>
                <w:lang w:val="en-US"/>
              </w:rPr>
            </w:pPr>
            <w:r w:rsidRPr="000D72B3">
              <w:rPr>
                <w:highlight w:val="green"/>
              </w:rPr>
              <w:t>Н</w:t>
            </w:r>
          </w:p>
        </w:tc>
        <w:tc>
          <w:tcPr>
            <w:tcW w:w="1912" w:type="pct"/>
          </w:tcPr>
          <w:p w14:paraId="59914F73" w14:textId="77777777" w:rsidR="00D86A54" w:rsidRPr="000D72B3" w:rsidRDefault="00D86A54" w:rsidP="00D86A54">
            <w:pPr>
              <w:pStyle w:val="GOSTTablenorm"/>
              <w:rPr>
                <w:highlight w:val="green"/>
              </w:rPr>
            </w:pPr>
            <w:r w:rsidRPr="000D72B3">
              <w:rPr>
                <w:highlight w:val="green"/>
              </w:rPr>
              <w:t>Указывается ФИО руководителя</w:t>
            </w:r>
          </w:p>
        </w:tc>
      </w:tr>
      <w:tr w:rsidR="00D86A54" w:rsidRPr="00264D5D" w14:paraId="606AF3B9" w14:textId="77777777" w:rsidTr="00AD1F54">
        <w:trPr>
          <w:trHeight w:val="283"/>
        </w:trPr>
        <w:tc>
          <w:tcPr>
            <w:tcW w:w="884" w:type="pct"/>
          </w:tcPr>
          <w:p w14:paraId="79FE6B85" w14:textId="77777777" w:rsidR="00D86A54" w:rsidRPr="000D72B3" w:rsidRDefault="00D86A54" w:rsidP="00D86A54">
            <w:pPr>
              <w:pStyle w:val="GOSTTablenorm"/>
              <w:rPr>
                <w:highlight w:val="green"/>
              </w:rPr>
            </w:pPr>
            <w:r w:rsidRPr="000D72B3">
              <w:rPr>
                <w:highlight w:val="green"/>
              </w:rPr>
              <w:t>Должность главного бухгалтера</w:t>
            </w:r>
          </w:p>
        </w:tc>
        <w:tc>
          <w:tcPr>
            <w:tcW w:w="960" w:type="pct"/>
          </w:tcPr>
          <w:p w14:paraId="306FD1A4" w14:textId="77777777" w:rsidR="00D86A54" w:rsidRPr="000D72B3" w:rsidRDefault="00D86A54" w:rsidP="00D86A54">
            <w:pPr>
              <w:pStyle w:val="GOSTTablenorm"/>
              <w:rPr>
                <w:highlight w:val="green"/>
              </w:rPr>
            </w:pPr>
            <w:r w:rsidRPr="000D72B3">
              <w:rPr>
                <w:szCs w:val="22"/>
                <w:highlight w:val="green"/>
              </w:rPr>
              <w:t>Sgnng_PstAccntnt</w:t>
            </w:r>
          </w:p>
        </w:tc>
        <w:tc>
          <w:tcPr>
            <w:tcW w:w="370" w:type="pct"/>
          </w:tcPr>
          <w:p w14:paraId="4CCA5206" w14:textId="77777777" w:rsidR="00D86A54" w:rsidRPr="000D72B3" w:rsidRDefault="00D86A54" w:rsidP="00D86A54">
            <w:pPr>
              <w:pStyle w:val="GOSTTablenorm"/>
              <w:rPr>
                <w:highlight w:val="green"/>
                <w:lang w:val="en-US"/>
              </w:rPr>
            </w:pPr>
            <w:r w:rsidRPr="000D72B3">
              <w:rPr>
                <w:szCs w:val="22"/>
                <w:highlight w:val="green"/>
              </w:rPr>
              <w:t>П</w:t>
            </w:r>
          </w:p>
        </w:tc>
        <w:tc>
          <w:tcPr>
            <w:tcW w:w="581" w:type="pct"/>
          </w:tcPr>
          <w:p w14:paraId="08B99B08" w14:textId="77777777" w:rsidR="00D86A54" w:rsidRPr="000D72B3" w:rsidRDefault="00D86A54" w:rsidP="00D86A54">
            <w:pPr>
              <w:pStyle w:val="GOSTTablenorm"/>
              <w:rPr>
                <w:highlight w:val="green"/>
              </w:rPr>
            </w:pPr>
            <w:r w:rsidRPr="000D72B3">
              <w:rPr>
                <w:szCs w:val="22"/>
                <w:highlight w:val="green"/>
              </w:rPr>
              <w:t>Т(1-100)</w:t>
            </w:r>
          </w:p>
        </w:tc>
        <w:tc>
          <w:tcPr>
            <w:tcW w:w="293" w:type="pct"/>
          </w:tcPr>
          <w:p w14:paraId="537D3621" w14:textId="77777777" w:rsidR="00D86A54" w:rsidRPr="000D72B3" w:rsidRDefault="00D86A54" w:rsidP="00D86A54">
            <w:pPr>
              <w:pStyle w:val="GOSTTablenorm"/>
              <w:rPr>
                <w:highlight w:val="green"/>
                <w:lang w:val="en-US"/>
              </w:rPr>
            </w:pPr>
            <w:r w:rsidRPr="000D72B3">
              <w:rPr>
                <w:highlight w:val="green"/>
              </w:rPr>
              <w:t>Н</w:t>
            </w:r>
          </w:p>
        </w:tc>
        <w:tc>
          <w:tcPr>
            <w:tcW w:w="1912" w:type="pct"/>
          </w:tcPr>
          <w:p w14:paraId="059280FC" w14:textId="77777777" w:rsidR="00D86A54" w:rsidRPr="000D72B3" w:rsidRDefault="00D86A54" w:rsidP="00D86A54">
            <w:pPr>
              <w:pStyle w:val="GOSTTablenorm"/>
              <w:rPr>
                <w:highlight w:val="green"/>
              </w:rPr>
            </w:pPr>
            <w:r w:rsidRPr="000D72B3">
              <w:rPr>
                <w:highlight w:val="green"/>
              </w:rPr>
              <w:t>Указывается должность главного бухгалтера</w:t>
            </w:r>
          </w:p>
        </w:tc>
      </w:tr>
      <w:tr w:rsidR="00D86A54" w:rsidRPr="00264D5D" w14:paraId="4F1010BC" w14:textId="77777777" w:rsidTr="00AD1F54">
        <w:trPr>
          <w:trHeight w:val="283"/>
        </w:trPr>
        <w:tc>
          <w:tcPr>
            <w:tcW w:w="884" w:type="pct"/>
          </w:tcPr>
          <w:p w14:paraId="0214F88C" w14:textId="77777777" w:rsidR="00D86A54" w:rsidRPr="000D72B3" w:rsidRDefault="00D86A54" w:rsidP="00D86A54">
            <w:pPr>
              <w:pStyle w:val="GOSTTablenorm"/>
              <w:rPr>
                <w:highlight w:val="green"/>
              </w:rPr>
            </w:pPr>
            <w:r w:rsidRPr="000D72B3">
              <w:rPr>
                <w:highlight w:val="green"/>
              </w:rPr>
              <w:t>ФИО главного бухгалтера</w:t>
            </w:r>
          </w:p>
        </w:tc>
        <w:tc>
          <w:tcPr>
            <w:tcW w:w="960" w:type="pct"/>
          </w:tcPr>
          <w:p w14:paraId="798FBB64" w14:textId="77777777" w:rsidR="00D86A54" w:rsidRPr="000D72B3" w:rsidRDefault="00D86A54" w:rsidP="00D86A54">
            <w:pPr>
              <w:pStyle w:val="GOSTTablenorm"/>
              <w:rPr>
                <w:highlight w:val="green"/>
              </w:rPr>
            </w:pPr>
            <w:r w:rsidRPr="000D72B3">
              <w:rPr>
                <w:szCs w:val="22"/>
                <w:highlight w:val="green"/>
              </w:rPr>
              <w:t>Sgnng_FIOAccntnt</w:t>
            </w:r>
          </w:p>
        </w:tc>
        <w:tc>
          <w:tcPr>
            <w:tcW w:w="370" w:type="pct"/>
          </w:tcPr>
          <w:p w14:paraId="1A14F5CD" w14:textId="77777777" w:rsidR="00D86A54" w:rsidRPr="000D72B3" w:rsidRDefault="00D86A54" w:rsidP="00D86A54">
            <w:pPr>
              <w:pStyle w:val="GOSTTablenorm"/>
              <w:rPr>
                <w:highlight w:val="green"/>
                <w:lang w:val="en-US"/>
              </w:rPr>
            </w:pPr>
            <w:r w:rsidRPr="000D72B3">
              <w:rPr>
                <w:szCs w:val="22"/>
                <w:highlight w:val="green"/>
              </w:rPr>
              <w:t>П</w:t>
            </w:r>
          </w:p>
        </w:tc>
        <w:tc>
          <w:tcPr>
            <w:tcW w:w="581" w:type="pct"/>
          </w:tcPr>
          <w:p w14:paraId="31267771" w14:textId="77777777" w:rsidR="00D86A54" w:rsidRPr="000D72B3" w:rsidRDefault="00D86A54" w:rsidP="00D86A54">
            <w:pPr>
              <w:pStyle w:val="GOSTTablenorm"/>
              <w:rPr>
                <w:highlight w:val="green"/>
              </w:rPr>
            </w:pPr>
            <w:r w:rsidRPr="000D72B3">
              <w:rPr>
                <w:szCs w:val="22"/>
                <w:highlight w:val="green"/>
              </w:rPr>
              <w:t>Т(1-100)</w:t>
            </w:r>
          </w:p>
        </w:tc>
        <w:tc>
          <w:tcPr>
            <w:tcW w:w="293" w:type="pct"/>
          </w:tcPr>
          <w:p w14:paraId="2BC0E5D8" w14:textId="77777777" w:rsidR="00D86A54" w:rsidRPr="000D72B3" w:rsidRDefault="00D86A54" w:rsidP="00D86A54">
            <w:pPr>
              <w:pStyle w:val="GOSTTablenorm"/>
              <w:rPr>
                <w:highlight w:val="green"/>
                <w:lang w:val="en-US"/>
              </w:rPr>
            </w:pPr>
            <w:r w:rsidRPr="000D72B3">
              <w:rPr>
                <w:highlight w:val="green"/>
              </w:rPr>
              <w:t>Н</w:t>
            </w:r>
          </w:p>
        </w:tc>
        <w:tc>
          <w:tcPr>
            <w:tcW w:w="1912" w:type="pct"/>
          </w:tcPr>
          <w:p w14:paraId="223E675D" w14:textId="77777777" w:rsidR="00D86A54" w:rsidRPr="000D72B3" w:rsidRDefault="00D86A54" w:rsidP="00D86A54">
            <w:pPr>
              <w:pStyle w:val="GOSTTablenorm"/>
              <w:rPr>
                <w:highlight w:val="green"/>
              </w:rPr>
            </w:pPr>
            <w:r w:rsidRPr="000D72B3">
              <w:rPr>
                <w:highlight w:val="green"/>
              </w:rPr>
              <w:t>Указывается ФИО главного бухгалтера</w:t>
            </w:r>
          </w:p>
        </w:tc>
      </w:tr>
      <w:tr w:rsidR="00D86A54" w:rsidRPr="00264D5D" w14:paraId="5779A091" w14:textId="77777777" w:rsidTr="00AD1F54">
        <w:trPr>
          <w:trHeight w:val="283"/>
        </w:trPr>
        <w:tc>
          <w:tcPr>
            <w:tcW w:w="884" w:type="pct"/>
          </w:tcPr>
          <w:p w14:paraId="365ECDBF" w14:textId="77777777" w:rsidR="00D86A54" w:rsidRPr="000D72B3" w:rsidRDefault="00D86A54" w:rsidP="00D86A54">
            <w:pPr>
              <w:pStyle w:val="GOSTTablenorm"/>
              <w:rPr>
                <w:highlight w:val="green"/>
              </w:rPr>
            </w:pPr>
            <w:r w:rsidRPr="000D72B3">
              <w:rPr>
                <w:highlight w:val="green"/>
              </w:rPr>
              <w:t>Дата подписания</w:t>
            </w:r>
          </w:p>
        </w:tc>
        <w:tc>
          <w:tcPr>
            <w:tcW w:w="960" w:type="pct"/>
          </w:tcPr>
          <w:p w14:paraId="6E07DCDE" w14:textId="77777777" w:rsidR="00D86A54" w:rsidRPr="000D72B3" w:rsidRDefault="00D86A54" w:rsidP="00D86A54">
            <w:pPr>
              <w:pStyle w:val="GOSTTablenorm"/>
              <w:rPr>
                <w:highlight w:val="green"/>
              </w:rPr>
            </w:pPr>
            <w:r w:rsidRPr="000D72B3">
              <w:rPr>
                <w:szCs w:val="22"/>
                <w:highlight w:val="green"/>
              </w:rPr>
              <w:t>Sgnng_DtSgnng</w:t>
            </w:r>
          </w:p>
        </w:tc>
        <w:tc>
          <w:tcPr>
            <w:tcW w:w="370" w:type="pct"/>
          </w:tcPr>
          <w:p w14:paraId="3EB1319A" w14:textId="77777777" w:rsidR="00D86A54" w:rsidRPr="000D72B3" w:rsidRDefault="00D86A54" w:rsidP="00D86A54">
            <w:pPr>
              <w:pStyle w:val="GOSTTablenorm"/>
              <w:rPr>
                <w:highlight w:val="green"/>
                <w:lang w:val="en-US"/>
              </w:rPr>
            </w:pPr>
            <w:r w:rsidRPr="000D72B3">
              <w:rPr>
                <w:szCs w:val="22"/>
                <w:highlight w:val="green"/>
              </w:rPr>
              <w:t>П</w:t>
            </w:r>
          </w:p>
        </w:tc>
        <w:tc>
          <w:tcPr>
            <w:tcW w:w="581" w:type="pct"/>
          </w:tcPr>
          <w:p w14:paraId="2EC8ABA6" w14:textId="77777777" w:rsidR="00D86A54" w:rsidRPr="000D72B3" w:rsidRDefault="00D86A54" w:rsidP="00D86A54">
            <w:pPr>
              <w:pStyle w:val="GOSTTablenorm"/>
              <w:rPr>
                <w:highlight w:val="green"/>
              </w:rPr>
            </w:pPr>
            <w:r w:rsidRPr="000D72B3">
              <w:rPr>
                <w:szCs w:val="22"/>
                <w:highlight w:val="green"/>
              </w:rPr>
              <w:t>Date</w:t>
            </w:r>
          </w:p>
        </w:tc>
        <w:tc>
          <w:tcPr>
            <w:tcW w:w="293" w:type="pct"/>
          </w:tcPr>
          <w:p w14:paraId="636DDCD0" w14:textId="77777777" w:rsidR="00D86A54" w:rsidRPr="000D72B3" w:rsidRDefault="00D86A54" w:rsidP="00D86A54">
            <w:pPr>
              <w:pStyle w:val="GOSTTablenorm"/>
              <w:rPr>
                <w:highlight w:val="green"/>
                <w:lang w:val="en-US"/>
              </w:rPr>
            </w:pPr>
            <w:r w:rsidRPr="000D72B3">
              <w:rPr>
                <w:highlight w:val="green"/>
              </w:rPr>
              <w:t>Н</w:t>
            </w:r>
          </w:p>
        </w:tc>
        <w:tc>
          <w:tcPr>
            <w:tcW w:w="1912" w:type="pct"/>
          </w:tcPr>
          <w:p w14:paraId="08BD0BC8" w14:textId="77777777" w:rsidR="00D86A54" w:rsidRPr="000D72B3" w:rsidRDefault="00D86A54" w:rsidP="00D86A54">
            <w:pPr>
              <w:pStyle w:val="GOSTTablenorm"/>
              <w:rPr>
                <w:highlight w:val="green"/>
              </w:rPr>
            </w:pPr>
            <w:r w:rsidRPr="000D72B3">
              <w:rPr>
                <w:highlight w:val="green"/>
              </w:rPr>
              <w:t>Указывается дата подписания</w:t>
            </w:r>
          </w:p>
        </w:tc>
      </w:tr>
      <w:tr w:rsidR="00D86A54" w:rsidRPr="00264D5D" w14:paraId="7349B1FC" w14:textId="77777777" w:rsidTr="00D86A54">
        <w:trPr>
          <w:trHeight w:val="283"/>
        </w:trPr>
        <w:tc>
          <w:tcPr>
            <w:tcW w:w="5000" w:type="pct"/>
            <w:gridSpan w:val="6"/>
          </w:tcPr>
          <w:p w14:paraId="7011BB41" w14:textId="77777777" w:rsidR="00D86A54" w:rsidRPr="00264D5D" w:rsidRDefault="00D86A54" w:rsidP="00D86A54">
            <w:pPr>
              <w:pStyle w:val="GOSTTablenorm"/>
            </w:pPr>
            <w:r w:rsidRPr="000D72B3">
              <w:rPr>
                <w:b/>
                <w:highlight w:val="green"/>
              </w:rPr>
              <w:t>Электронная подпись</w:t>
            </w:r>
          </w:p>
        </w:tc>
      </w:tr>
      <w:tr w:rsidR="00D86A54" w:rsidRPr="00264D5D" w14:paraId="57FF9658" w14:textId="77777777" w:rsidTr="00AD1F54">
        <w:trPr>
          <w:trHeight w:val="283"/>
        </w:trPr>
        <w:tc>
          <w:tcPr>
            <w:tcW w:w="884" w:type="pct"/>
          </w:tcPr>
          <w:p w14:paraId="6D3DF6AC" w14:textId="77777777" w:rsidR="00D86A54" w:rsidRPr="000D72B3" w:rsidRDefault="00D86A54" w:rsidP="00D86A54">
            <w:pPr>
              <w:pStyle w:val="GOSTTablenorm"/>
              <w:rPr>
                <w:highlight w:val="green"/>
              </w:rPr>
            </w:pPr>
            <w:r w:rsidRPr="000D72B3">
              <w:rPr>
                <w:highlight w:val="green"/>
              </w:rPr>
              <w:t>Электронная подпись</w:t>
            </w:r>
          </w:p>
        </w:tc>
        <w:tc>
          <w:tcPr>
            <w:tcW w:w="960" w:type="pct"/>
          </w:tcPr>
          <w:p w14:paraId="7D2D1480" w14:textId="77777777" w:rsidR="00D86A54" w:rsidRPr="000D72B3" w:rsidRDefault="00D86A54" w:rsidP="00D86A54">
            <w:pPr>
              <w:pStyle w:val="GOSTTablenorm"/>
              <w:rPr>
                <w:highlight w:val="green"/>
              </w:rPr>
            </w:pPr>
            <w:r w:rsidRPr="000D72B3">
              <w:rPr>
                <w:highlight w:val="green"/>
              </w:rPr>
              <w:t>Signature</w:t>
            </w:r>
          </w:p>
        </w:tc>
        <w:tc>
          <w:tcPr>
            <w:tcW w:w="370" w:type="pct"/>
          </w:tcPr>
          <w:p w14:paraId="4578619E" w14:textId="77777777" w:rsidR="00D86A54" w:rsidRPr="000D72B3" w:rsidRDefault="00D86A54" w:rsidP="00D86A54">
            <w:pPr>
              <w:pStyle w:val="GOSTTablenorm"/>
              <w:rPr>
                <w:highlight w:val="green"/>
                <w:lang w:val="en-US"/>
              </w:rPr>
            </w:pPr>
            <w:r w:rsidRPr="000D72B3">
              <w:rPr>
                <w:highlight w:val="green"/>
              </w:rPr>
              <w:t>С</w:t>
            </w:r>
          </w:p>
        </w:tc>
        <w:tc>
          <w:tcPr>
            <w:tcW w:w="581" w:type="pct"/>
          </w:tcPr>
          <w:p w14:paraId="3645D2A0" w14:textId="77777777" w:rsidR="00D86A54" w:rsidRPr="000D72B3" w:rsidRDefault="00D86A54" w:rsidP="00D86A54">
            <w:pPr>
              <w:pStyle w:val="GOSTTablenorm"/>
              <w:rPr>
                <w:highlight w:val="green"/>
              </w:rPr>
            </w:pPr>
            <w:r w:rsidRPr="000D72B3">
              <w:rPr>
                <w:highlight w:val="green"/>
              </w:rPr>
              <w:t>SignatureType</w:t>
            </w:r>
          </w:p>
        </w:tc>
        <w:tc>
          <w:tcPr>
            <w:tcW w:w="293" w:type="pct"/>
          </w:tcPr>
          <w:p w14:paraId="2FAE1101" w14:textId="77777777" w:rsidR="00D86A54" w:rsidRPr="000D72B3" w:rsidRDefault="00D86A54" w:rsidP="00D86A54">
            <w:pPr>
              <w:pStyle w:val="GOSTTablenorm"/>
              <w:rPr>
                <w:highlight w:val="green"/>
                <w:lang w:val="en-US"/>
              </w:rPr>
            </w:pPr>
            <w:r w:rsidRPr="000D72B3">
              <w:rPr>
                <w:highlight w:val="green"/>
              </w:rPr>
              <w:t>НМ</w:t>
            </w:r>
          </w:p>
        </w:tc>
        <w:tc>
          <w:tcPr>
            <w:tcW w:w="1912" w:type="pct"/>
          </w:tcPr>
          <w:p w14:paraId="43CF14C7" w14:textId="77777777" w:rsidR="00D86A54" w:rsidRPr="000D72B3" w:rsidRDefault="00D86A54" w:rsidP="00D86A54">
            <w:pPr>
              <w:pStyle w:val="GOSTTablenorm"/>
              <w:rPr>
                <w:highlight w:val="green"/>
              </w:rPr>
            </w:pPr>
            <w:r w:rsidRPr="000D72B3">
              <w:rPr>
                <w:highlight w:val="green"/>
              </w:rPr>
              <w:t>Блок подписи в формате XAdes. Указывается как референс согласно формату подписи XAdes.</w:t>
            </w:r>
          </w:p>
          <w:p w14:paraId="7A5CDFB8" w14:textId="77777777" w:rsidR="00D86A54" w:rsidRPr="000D72B3" w:rsidRDefault="00D86A54" w:rsidP="00D86A54">
            <w:pPr>
              <w:pStyle w:val="GOSTTablenorm"/>
              <w:rPr>
                <w:highlight w:val="green"/>
              </w:rPr>
            </w:pPr>
            <w:r w:rsidRPr="000D72B3">
              <w:rPr>
                <w:highlight w:val="green"/>
              </w:rPr>
              <w:t>Заполняется</w:t>
            </w:r>
            <w:r w:rsidRPr="000D72B3">
              <w:rPr>
                <w:szCs w:val="22"/>
                <w:highlight w:val="green"/>
              </w:rPr>
              <w:t xml:space="preserve"> согласно п.3.5.3 Тома 1 </w:t>
            </w:r>
            <w:r w:rsidRPr="000D72B3">
              <w:rPr>
                <w:szCs w:val="22"/>
                <w:highlight w:val="green"/>
              </w:rPr>
              <w:lastRenderedPageBreak/>
              <w:t>настоящего альбома</w:t>
            </w:r>
          </w:p>
        </w:tc>
      </w:tr>
    </w:tbl>
    <w:p w14:paraId="03379B98" w14:textId="77777777" w:rsidR="00AD1F54" w:rsidRPr="00352A6F" w:rsidRDefault="00941227">
      <w:pPr>
        <w:pStyle w:val="31"/>
        <w:rPr>
          <w:highlight w:val="green"/>
        </w:rPr>
      </w:pPr>
      <w:bookmarkStart w:id="4855" w:name="_Toc508712687"/>
      <w:bookmarkStart w:id="4856" w:name="_Toc18509188"/>
      <w:bookmarkStart w:id="4857" w:name="_Toc143690586"/>
      <w:bookmarkStart w:id="4858" w:name="_Toc508712766"/>
      <w:bookmarkStart w:id="4859" w:name="OLE_LINK311"/>
      <w:bookmarkStart w:id="4860" w:name="OLE_LINK312"/>
      <w:bookmarkStart w:id="4861" w:name="_Toc219309892"/>
      <w:r w:rsidRPr="00352A6F">
        <w:rPr>
          <w:highlight w:val="green"/>
        </w:rPr>
        <w:lastRenderedPageBreak/>
        <w:t>Описание комплексного типа «tTF»</w:t>
      </w:r>
      <w:bookmarkEnd w:id="4855"/>
      <w:bookmarkEnd w:id="4856"/>
      <w:bookmarkEnd w:id="4857"/>
      <w:bookmarkEnd w:id="4861"/>
    </w:p>
    <w:p w14:paraId="0758BFBC" w14:textId="77777777" w:rsidR="00AD1F54" w:rsidRPr="00264D5D" w:rsidRDefault="00941227">
      <w:pPr>
        <w:pStyle w:val="GOSTNormal"/>
      </w:pPr>
      <w:r w:rsidRPr="00264D5D">
        <w:t xml:space="preserve">Описание комплексного типа </w:t>
      </w:r>
      <w:r w:rsidRPr="00264D5D">
        <w:rPr>
          <w:rFonts w:eastAsia="Calibri"/>
        </w:rPr>
        <w:t>«</w:t>
      </w:r>
      <w:r w:rsidRPr="00264D5D">
        <w:t>tTF» блока «Системная информация».</w:t>
      </w:r>
    </w:p>
    <w:p w14:paraId="72C03489" w14:textId="14032AEC" w:rsidR="00AD1F54" w:rsidRPr="00352A6F" w:rsidRDefault="00941227">
      <w:pPr>
        <w:pStyle w:val="GOSTNameTable"/>
        <w:numPr>
          <w:ilvl w:val="0"/>
          <w:numId w:val="2"/>
        </w:numPr>
        <w:spacing w:before="240" w:after="120"/>
        <w:rPr>
          <w:rFonts w:eastAsia="Calibri"/>
          <w:highlight w:val="green"/>
        </w:rPr>
      </w:pPr>
      <w:r w:rsidRPr="00352A6F">
        <w:rPr>
          <w:rFonts w:eastAsia="Calibri"/>
          <w:highlight w:val="green"/>
        </w:rPr>
        <w:fldChar w:fldCharType="begin"/>
      </w:r>
      <w:r w:rsidRPr="00352A6F">
        <w:rPr>
          <w:rFonts w:eastAsia="Calibri"/>
          <w:highlight w:val="green"/>
        </w:rPr>
        <w:instrText xml:space="preserve"> SEQ Таблица \* ARABIC </w:instrText>
      </w:r>
      <w:r w:rsidRPr="00352A6F">
        <w:rPr>
          <w:rFonts w:eastAsia="Calibri"/>
          <w:highlight w:val="green"/>
        </w:rPr>
        <w:fldChar w:fldCharType="separate"/>
      </w:r>
      <w:bookmarkStart w:id="4862" w:name="_Ref503372519"/>
      <w:bookmarkStart w:id="4863" w:name="_Toc18509478"/>
      <w:bookmarkStart w:id="4864" w:name="_Toc219309418"/>
      <w:r w:rsidR="008D797C">
        <w:rPr>
          <w:rFonts w:eastAsia="Calibri"/>
          <w:noProof/>
          <w:highlight w:val="green"/>
        </w:rPr>
        <w:t>388</w:t>
      </w:r>
      <w:bookmarkEnd w:id="4862"/>
      <w:r w:rsidRPr="00352A6F">
        <w:rPr>
          <w:rFonts w:eastAsia="Calibri"/>
          <w:highlight w:val="green"/>
        </w:rPr>
        <w:fldChar w:fldCharType="end"/>
      </w:r>
      <w:r w:rsidRPr="00352A6F">
        <w:rPr>
          <w:highlight w:val="green"/>
        </w:rPr>
        <w:t xml:space="preserve"> – </w:t>
      </w:r>
      <w:r w:rsidRPr="00352A6F">
        <w:rPr>
          <w:rFonts w:eastAsia="Calibri"/>
          <w:highlight w:val="green"/>
        </w:rPr>
        <w:t>Описание комплексного типа «</w:t>
      </w:r>
      <w:r w:rsidRPr="00352A6F">
        <w:rPr>
          <w:highlight w:val="green"/>
        </w:rPr>
        <w:t>tTF</w:t>
      </w:r>
      <w:r w:rsidRPr="00352A6F">
        <w:rPr>
          <w:rFonts w:eastAsia="Calibri"/>
          <w:highlight w:val="green"/>
        </w:rPr>
        <w:t>»</w:t>
      </w:r>
      <w:bookmarkEnd w:id="4863"/>
      <w:bookmarkEnd w:id="4864"/>
    </w:p>
    <w:tbl>
      <w:tblPr>
        <w:tblStyle w:val="GOSTTable"/>
        <w:tblW w:w="5000" w:type="pct"/>
        <w:tblLayout w:type="fixed"/>
        <w:tblLook w:val="07E0" w:firstRow="1" w:lastRow="1" w:firstColumn="1" w:lastColumn="1" w:noHBand="1" w:noVBand="1"/>
      </w:tblPr>
      <w:tblGrid>
        <w:gridCol w:w="1849"/>
        <w:gridCol w:w="1701"/>
        <w:gridCol w:w="709"/>
        <w:gridCol w:w="1134"/>
        <w:gridCol w:w="567"/>
        <w:gridCol w:w="3690"/>
      </w:tblGrid>
      <w:tr w:rsidR="00AD1F54" w:rsidRPr="00264D5D" w14:paraId="136E2B7A"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849" w:type="dxa"/>
          </w:tcPr>
          <w:p w14:paraId="52AC672B" w14:textId="77777777" w:rsidR="00AD1F54" w:rsidRPr="00264D5D" w:rsidRDefault="00941227">
            <w:pPr>
              <w:pStyle w:val="GOSTTableHead"/>
              <w:ind w:left="57" w:right="57"/>
            </w:pPr>
            <w:r w:rsidRPr="00264D5D">
              <w:t>Наименование элемента</w:t>
            </w:r>
          </w:p>
        </w:tc>
        <w:tc>
          <w:tcPr>
            <w:tcW w:w="1701" w:type="dxa"/>
          </w:tcPr>
          <w:p w14:paraId="3AFEAD78" w14:textId="77777777" w:rsidR="00AD1F54" w:rsidRPr="00264D5D" w:rsidRDefault="00941227">
            <w:pPr>
              <w:pStyle w:val="GOSTTableHead"/>
              <w:ind w:left="57" w:right="57"/>
            </w:pPr>
            <w:r w:rsidRPr="00264D5D">
              <w:t>Сокращенное наименование (код) элемента</w:t>
            </w:r>
          </w:p>
        </w:tc>
        <w:tc>
          <w:tcPr>
            <w:tcW w:w="709" w:type="dxa"/>
          </w:tcPr>
          <w:p w14:paraId="5751AE0F" w14:textId="77777777" w:rsidR="00AD1F54" w:rsidRPr="00264D5D" w:rsidRDefault="00941227">
            <w:pPr>
              <w:pStyle w:val="GOSTTableHead"/>
              <w:ind w:left="57" w:right="57"/>
            </w:pPr>
            <w:r w:rsidRPr="00264D5D">
              <w:t>Тип</w:t>
            </w:r>
          </w:p>
        </w:tc>
        <w:tc>
          <w:tcPr>
            <w:tcW w:w="1134" w:type="dxa"/>
          </w:tcPr>
          <w:p w14:paraId="738F4AA4" w14:textId="77777777" w:rsidR="00AD1F54" w:rsidRPr="00264D5D" w:rsidRDefault="00941227">
            <w:pPr>
              <w:pStyle w:val="GOSTTableHead"/>
              <w:ind w:left="57" w:right="57"/>
            </w:pPr>
            <w:r w:rsidRPr="00264D5D">
              <w:t>Формат элемента</w:t>
            </w:r>
          </w:p>
        </w:tc>
        <w:tc>
          <w:tcPr>
            <w:tcW w:w="567" w:type="dxa"/>
          </w:tcPr>
          <w:p w14:paraId="5B2F6392" w14:textId="77777777" w:rsidR="00AD1F54" w:rsidRPr="00264D5D" w:rsidRDefault="00941227">
            <w:pPr>
              <w:pStyle w:val="GOSTTableHead"/>
              <w:ind w:left="57" w:right="57"/>
            </w:pPr>
            <w:r w:rsidRPr="00264D5D">
              <w:t>Обязательность</w:t>
            </w:r>
          </w:p>
        </w:tc>
        <w:tc>
          <w:tcPr>
            <w:tcW w:w="3690" w:type="dxa"/>
          </w:tcPr>
          <w:p w14:paraId="440BCAC1" w14:textId="77777777" w:rsidR="00AD1F54" w:rsidRPr="00264D5D" w:rsidRDefault="00941227">
            <w:pPr>
              <w:pStyle w:val="GOSTTableHead"/>
              <w:ind w:left="57" w:right="57"/>
            </w:pPr>
            <w:r w:rsidRPr="00264D5D">
              <w:t>Дополнительная информация</w:t>
            </w:r>
          </w:p>
        </w:tc>
      </w:tr>
      <w:tr w:rsidR="00AD1F54" w:rsidRPr="00264D5D" w14:paraId="462E7FCF" w14:textId="77777777" w:rsidTr="00AD1F54">
        <w:tc>
          <w:tcPr>
            <w:tcW w:w="1849" w:type="dxa"/>
          </w:tcPr>
          <w:p w14:paraId="0486A73D" w14:textId="77777777" w:rsidR="00AD1F54" w:rsidRPr="00264D5D" w:rsidRDefault="00941227">
            <w:pPr>
              <w:pStyle w:val="GOSTTablenorm"/>
            </w:pPr>
            <w:r w:rsidRPr="00264D5D">
              <w:t>Глобальный уникальный идентификатор</w:t>
            </w:r>
          </w:p>
        </w:tc>
        <w:tc>
          <w:tcPr>
            <w:tcW w:w="1701" w:type="dxa"/>
          </w:tcPr>
          <w:p w14:paraId="3CCA8050" w14:textId="77777777" w:rsidR="00AD1F54" w:rsidRPr="00264D5D" w:rsidRDefault="00941227">
            <w:pPr>
              <w:pStyle w:val="GOSTTablenorm"/>
            </w:pPr>
            <w:r w:rsidRPr="00264D5D">
              <w:t xml:space="preserve"> GUID</w:t>
            </w:r>
          </w:p>
        </w:tc>
        <w:tc>
          <w:tcPr>
            <w:tcW w:w="709" w:type="dxa"/>
          </w:tcPr>
          <w:p w14:paraId="3FA95CE5" w14:textId="77777777" w:rsidR="00AD1F54" w:rsidRPr="00264D5D" w:rsidRDefault="00941227">
            <w:pPr>
              <w:pStyle w:val="GOSTTablenorm"/>
            </w:pPr>
            <w:r w:rsidRPr="00264D5D">
              <w:t>П</w:t>
            </w:r>
          </w:p>
        </w:tc>
        <w:tc>
          <w:tcPr>
            <w:tcW w:w="1134" w:type="dxa"/>
          </w:tcPr>
          <w:p w14:paraId="5F5DA33E" w14:textId="77777777" w:rsidR="00AD1F54" w:rsidRPr="00264D5D" w:rsidRDefault="00941227">
            <w:pPr>
              <w:pStyle w:val="GOSTTablenorm"/>
              <w:rPr>
                <w:lang w:val="en-US"/>
              </w:rPr>
            </w:pPr>
            <w:r w:rsidRPr="00264D5D">
              <w:t>GUID</w:t>
            </w:r>
          </w:p>
        </w:tc>
        <w:tc>
          <w:tcPr>
            <w:tcW w:w="567" w:type="dxa"/>
          </w:tcPr>
          <w:p w14:paraId="264C6A80" w14:textId="77777777" w:rsidR="00AD1F54" w:rsidRPr="00264D5D" w:rsidRDefault="00941227">
            <w:pPr>
              <w:pStyle w:val="GOSTTablenorm"/>
              <w:rPr>
                <w:lang w:val="en-US"/>
              </w:rPr>
            </w:pPr>
            <w:r w:rsidRPr="00264D5D">
              <w:t>О</w:t>
            </w:r>
          </w:p>
        </w:tc>
        <w:tc>
          <w:tcPr>
            <w:tcW w:w="3690" w:type="dxa"/>
          </w:tcPr>
          <w:p w14:paraId="5C9E7655" w14:textId="77777777" w:rsidR="00AD1F54" w:rsidRPr="00264D5D" w:rsidRDefault="00352A6F" w:rsidP="00352A6F">
            <w:pPr>
              <w:pStyle w:val="GOSTTablenorm"/>
            </w:pPr>
            <w:r w:rsidRPr="00352A6F">
              <w:rPr>
                <w:szCs w:val="22"/>
                <w:highlight w:val="green"/>
              </w:rPr>
              <w:t>Указывается глобальный уникальный идентификатор документа</w:t>
            </w:r>
          </w:p>
        </w:tc>
      </w:tr>
    </w:tbl>
    <w:p w14:paraId="00E9F561" w14:textId="77777777" w:rsidR="00AD1F54" w:rsidRPr="00264D5D" w:rsidRDefault="00941227">
      <w:pPr>
        <w:pStyle w:val="31"/>
      </w:pPr>
      <w:bookmarkStart w:id="4865" w:name="_Toc18509189"/>
      <w:bookmarkStart w:id="4866" w:name="_Toc143690587"/>
      <w:bookmarkStart w:id="4867" w:name="_Toc219309893"/>
      <w:r w:rsidRPr="00264D5D">
        <w:t>Описание комплексного типа «tMSC_OperTypeComplex»</w:t>
      </w:r>
      <w:bookmarkEnd w:id="4858"/>
      <w:bookmarkEnd w:id="4865"/>
      <w:bookmarkEnd w:id="4866"/>
      <w:bookmarkEnd w:id="4867"/>
    </w:p>
    <w:p w14:paraId="2A77412A" w14:textId="77777777" w:rsidR="00AD1F54" w:rsidRPr="00264D5D" w:rsidRDefault="00941227">
      <w:pPr>
        <w:pStyle w:val="GOSTNormal"/>
      </w:pPr>
      <w:r w:rsidRPr="00264D5D">
        <w:t xml:space="preserve">Описание комплексного типа </w:t>
      </w:r>
      <w:r w:rsidRPr="00264D5D">
        <w:rPr>
          <w:rFonts w:eastAsia="Calibri"/>
        </w:rPr>
        <w:t>«</w:t>
      </w:r>
      <w:r w:rsidRPr="00264D5D">
        <w:t>tMSC_OperTypeComplex» блока «Тип операции».</w:t>
      </w:r>
    </w:p>
    <w:p w14:paraId="3C0BA134" w14:textId="1DDC1564" w:rsidR="00AD1F54" w:rsidRPr="00264D5D" w:rsidRDefault="00941227">
      <w:pPr>
        <w:pStyle w:val="GOSTNameTable"/>
        <w:numPr>
          <w:ilvl w:val="0"/>
          <w:numId w:val="2"/>
        </w:numPr>
        <w:spacing w:before="240" w:after="120"/>
        <w:rPr>
          <w:rFonts w:eastAsia="Calibri"/>
        </w:rPr>
      </w:pPr>
      <w:r w:rsidRPr="00264D5D">
        <w:rPr>
          <w:rFonts w:eastAsia="Calibri"/>
        </w:rPr>
        <w:fldChar w:fldCharType="begin"/>
      </w:r>
      <w:r w:rsidRPr="00264D5D">
        <w:rPr>
          <w:rFonts w:eastAsia="Calibri"/>
        </w:rPr>
        <w:instrText xml:space="preserve"> SEQ Таблица \* ARABIC </w:instrText>
      </w:r>
      <w:r w:rsidRPr="00264D5D">
        <w:rPr>
          <w:rFonts w:eastAsia="Calibri"/>
        </w:rPr>
        <w:fldChar w:fldCharType="separate"/>
      </w:r>
      <w:bookmarkStart w:id="4868" w:name="_Ref503545967"/>
      <w:bookmarkStart w:id="4869" w:name="_Toc18509479"/>
      <w:bookmarkStart w:id="4870" w:name="_Toc219309419"/>
      <w:r w:rsidR="008D797C">
        <w:rPr>
          <w:rFonts w:eastAsia="Calibri"/>
          <w:noProof/>
        </w:rPr>
        <w:t>389</w:t>
      </w:r>
      <w:bookmarkEnd w:id="4868"/>
      <w:r w:rsidRPr="00264D5D">
        <w:rPr>
          <w:rFonts w:eastAsia="Calibri"/>
        </w:rPr>
        <w:fldChar w:fldCharType="end"/>
      </w:r>
      <w:r w:rsidRPr="00264D5D">
        <w:t xml:space="preserve"> – </w:t>
      </w:r>
      <w:r w:rsidRPr="00264D5D">
        <w:rPr>
          <w:rFonts w:eastAsia="Calibri"/>
        </w:rPr>
        <w:t>Описание комплексного типа «</w:t>
      </w:r>
      <w:r w:rsidRPr="00264D5D">
        <w:t>tMSC_OperTypeComplex</w:t>
      </w:r>
      <w:r w:rsidRPr="00264D5D">
        <w:rPr>
          <w:rFonts w:eastAsia="Calibri"/>
        </w:rPr>
        <w:t>»</w:t>
      </w:r>
      <w:bookmarkEnd w:id="4859"/>
      <w:bookmarkEnd w:id="4860"/>
      <w:bookmarkEnd w:id="4869"/>
      <w:bookmarkEnd w:id="4870"/>
    </w:p>
    <w:tbl>
      <w:tblPr>
        <w:tblStyle w:val="GOSTTable"/>
        <w:tblW w:w="5000" w:type="pct"/>
        <w:tblLayout w:type="fixed"/>
        <w:tblLook w:val="07E0" w:firstRow="1" w:lastRow="1" w:firstColumn="1" w:lastColumn="1" w:noHBand="1" w:noVBand="1"/>
      </w:tblPr>
      <w:tblGrid>
        <w:gridCol w:w="1720"/>
        <w:gridCol w:w="1693"/>
        <w:gridCol w:w="565"/>
        <w:gridCol w:w="1415"/>
        <w:gridCol w:w="567"/>
        <w:gridCol w:w="3690"/>
      </w:tblGrid>
      <w:tr w:rsidR="00AD1F54" w:rsidRPr="00264D5D" w14:paraId="2E8FA087"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20" w:type="dxa"/>
          </w:tcPr>
          <w:p w14:paraId="25342F08" w14:textId="77777777" w:rsidR="00AD1F54" w:rsidRPr="00264D5D" w:rsidRDefault="00941227">
            <w:pPr>
              <w:pStyle w:val="GOSTTableHead"/>
            </w:pPr>
            <w:r w:rsidRPr="00264D5D">
              <w:t>Наименование элемента</w:t>
            </w:r>
          </w:p>
        </w:tc>
        <w:tc>
          <w:tcPr>
            <w:tcW w:w="1693" w:type="dxa"/>
          </w:tcPr>
          <w:p w14:paraId="5DFD0DB0" w14:textId="77777777" w:rsidR="00AD1F54" w:rsidRPr="00264D5D" w:rsidRDefault="00941227">
            <w:pPr>
              <w:pStyle w:val="GOSTTableHead"/>
            </w:pPr>
            <w:r w:rsidRPr="00264D5D">
              <w:t>Сокращенное наименование (код) элемента</w:t>
            </w:r>
          </w:p>
        </w:tc>
        <w:tc>
          <w:tcPr>
            <w:tcW w:w="565" w:type="dxa"/>
          </w:tcPr>
          <w:p w14:paraId="5002F33A" w14:textId="77777777" w:rsidR="00AD1F54" w:rsidRPr="00264D5D" w:rsidRDefault="00941227">
            <w:pPr>
              <w:pStyle w:val="GOSTTableHead"/>
            </w:pPr>
            <w:r w:rsidRPr="00264D5D">
              <w:t>Тип</w:t>
            </w:r>
          </w:p>
        </w:tc>
        <w:tc>
          <w:tcPr>
            <w:tcW w:w="1415" w:type="dxa"/>
          </w:tcPr>
          <w:p w14:paraId="1C39CD31" w14:textId="77777777" w:rsidR="00AD1F54" w:rsidRPr="00264D5D" w:rsidRDefault="00941227">
            <w:pPr>
              <w:pStyle w:val="GOSTTableHead"/>
            </w:pPr>
            <w:r w:rsidRPr="00264D5D">
              <w:t>Формат элемента</w:t>
            </w:r>
          </w:p>
        </w:tc>
        <w:tc>
          <w:tcPr>
            <w:tcW w:w="567" w:type="dxa"/>
          </w:tcPr>
          <w:p w14:paraId="70819176" w14:textId="77777777" w:rsidR="00AD1F54" w:rsidRPr="00264D5D" w:rsidRDefault="00941227">
            <w:pPr>
              <w:pStyle w:val="GOSTTableHead"/>
            </w:pPr>
            <w:r w:rsidRPr="00264D5D">
              <w:t>Обязательность</w:t>
            </w:r>
          </w:p>
        </w:tc>
        <w:tc>
          <w:tcPr>
            <w:tcW w:w="3690" w:type="dxa"/>
          </w:tcPr>
          <w:p w14:paraId="35B652B4" w14:textId="77777777" w:rsidR="00AD1F54" w:rsidRPr="00264D5D" w:rsidRDefault="00941227">
            <w:pPr>
              <w:pStyle w:val="GOSTTableHead"/>
              <w:rPr>
                <w:szCs w:val="22"/>
              </w:rPr>
            </w:pPr>
            <w:r w:rsidRPr="00264D5D">
              <w:rPr>
                <w:szCs w:val="22"/>
              </w:rPr>
              <w:t>Дополнительная информация</w:t>
            </w:r>
          </w:p>
        </w:tc>
      </w:tr>
      <w:tr w:rsidR="00AD1F54" w:rsidRPr="00264D5D" w14:paraId="2275A1BB" w14:textId="77777777" w:rsidTr="00AD1F54">
        <w:tc>
          <w:tcPr>
            <w:tcW w:w="1720" w:type="dxa"/>
          </w:tcPr>
          <w:p w14:paraId="570E2C6A" w14:textId="77777777" w:rsidR="00AD1F54" w:rsidRPr="00264D5D" w:rsidRDefault="00941227">
            <w:pPr>
              <w:pStyle w:val="GOSTTablenorm"/>
              <w:rPr>
                <w:lang w:val="en-US"/>
              </w:rPr>
            </w:pPr>
            <w:r w:rsidRPr="00264D5D">
              <w:t>Код</w:t>
            </w:r>
          </w:p>
        </w:tc>
        <w:tc>
          <w:tcPr>
            <w:tcW w:w="1693" w:type="dxa"/>
          </w:tcPr>
          <w:p w14:paraId="55CAC263" w14:textId="77777777" w:rsidR="00AD1F54" w:rsidRPr="00264D5D" w:rsidRDefault="00941227">
            <w:pPr>
              <w:pStyle w:val="GOSTTablenorm"/>
              <w:rPr>
                <w:lang w:val="en-US"/>
              </w:rPr>
            </w:pPr>
            <w:r w:rsidRPr="00264D5D">
              <w:rPr>
                <w:lang w:val="en-US"/>
              </w:rPr>
              <w:t>code</w:t>
            </w:r>
          </w:p>
        </w:tc>
        <w:tc>
          <w:tcPr>
            <w:tcW w:w="565" w:type="dxa"/>
          </w:tcPr>
          <w:p w14:paraId="5E902EAC" w14:textId="77777777" w:rsidR="00AD1F54" w:rsidRPr="00264D5D" w:rsidRDefault="00941227">
            <w:pPr>
              <w:pStyle w:val="GOSTTablenorm"/>
            </w:pPr>
            <w:r w:rsidRPr="00264D5D">
              <w:t>А</w:t>
            </w:r>
          </w:p>
        </w:tc>
        <w:tc>
          <w:tcPr>
            <w:tcW w:w="1415" w:type="dxa"/>
          </w:tcPr>
          <w:p w14:paraId="5C5B6D1A" w14:textId="77777777" w:rsidR="00AD1F54" w:rsidRPr="00264D5D" w:rsidRDefault="00941227">
            <w:pPr>
              <w:pStyle w:val="GOSTTablenorm"/>
            </w:pPr>
            <w:r w:rsidRPr="00264D5D">
              <w:t>-</w:t>
            </w:r>
          </w:p>
        </w:tc>
        <w:tc>
          <w:tcPr>
            <w:tcW w:w="567" w:type="dxa"/>
          </w:tcPr>
          <w:p w14:paraId="3A755883" w14:textId="77777777" w:rsidR="00AD1F54" w:rsidRPr="00264D5D" w:rsidRDefault="00941227">
            <w:pPr>
              <w:pStyle w:val="GOSTTablenorm"/>
            </w:pPr>
            <w:r w:rsidRPr="00264D5D">
              <w:t>О</w:t>
            </w:r>
          </w:p>
        </w:tc>
        <w:tc>
          <w:tcPr>
            <w:tcW w:w="3690" w:type="dxa"/>
          </w:tcPr>
          <w:p w14:paraId="42D159CE" w14:textId="77777777" w:rsidR="00AD1F54" w:rsidRPr="00264D5D" w:rsidRDefault="00941227">
            <w:pPr>
              <w:pStyle w:val="GOSTTablenorm"/>
            </w:pPr>
            <w:r w:rsidRPr="00264D5D">
              <w:t xml:space="preserve">Указывается код. </w:t>
            </w:r>
          </w:p>
          <w:p w14:paraId="746F00DC" w14:textId="77777777" w:rsidR="00AD1F54" w:rsidRPr="00264D5D" w:rsidRDefault="00941227">
            <w:pPr>
              <w:pStyle w:val="GOSTTablenorm"/>
            </w:pPr>
            <w:r w:rsidRPr="00264D5D">
              <w:t>Может принимать значения:</w:t>
            </w:r>
          </w:p>
          <w:p w14:paraId="6180EDA2" w14:textId="77777777" w:rsidR="00AD1F54" w:rsidRPr="00264D5D" w:rsidRDefault="00941227" w:rsidP="00E7460C">
            <w:pPr>
              <w:pStyle w:val="GOSTTablenorm"/>
              <w:numPr>
                <w:ilvl w:val="0"/>
                <w:numId w:val="124"/>
              </w:numPr>
              <w:ind w:left="284" w:hanging="227"/>
            </w:pPr>
            <w:r w:rsidRPr="00264D5D">
              <w:t>1 – Перевод средств на счета в зарубежных банках;</w:t>
            </w:r>
          </w:p>
          <w:p w14:paraId="2A29477B" w14:textId="77777777" w:rsidR="00AD1F54" w:rsidRPr="00264D5D" w:rsidRDefault="00941227" w:rsidP="00E7460C">
            <w:pPr>
              <w:pStyle w:val="GOSTTablenorm"/>
              <w:numPr>
                <w:ilvl w:val="0"/>
                <w:numId w:val="124"/>
              </w:numPr>
              <w:ind w:left="284" w:hanging="227"/>
            </w:pPr>
            <w:r w:rsidRPr="00264D5D">
              <w:t>2 – Перевод средств на счета Российских банков (Внешторгбанк);</w:t>
            </w:r>
          </w:p>
          <w:p w14:paraId="0CA7F52E" w14:textId="77777777" w:rsidR="00AD1F54" w:rsidRPr="00264D5D" w:rsidRDefault="00941227" w:rsidP="00E7460C">
            <w:pPr>
              <w:pStyle w:val="GOSTTablenorm"/>
              <w:numPr>
                <w:ilvl w:val="0"/>
                <w:numId w:val="124"/>
              </w:numPr>
              <w:ind w:left="284" w:hanging="227"/>
            </w:pPr>
            <w:r w:rsidRPr="00264D5D">
              <w:t>3 – Перечисление средс</w:t>
            </w:r>
            <w:r w:rsidR="00A5124A" w:rsidRPr="00264D5D">
              <w:t>тв в доход федерального бюджета</w:t>
            </w:r>
          </w:p>
        </w:tc>
      </w:tr>
      <w:tr w:rsidR="00AD1F54" w:rsidRPr="00264D5D" w14:paraId="765568AA" w14:textId="77777777" w:rsidTr="00AD1F54">
        <w:tc>
          <w:tcPr>
            <w:tcW w:w="1720" w:type="dxa"/>
          </w:tcPr>
          <w:p w14:paraId="15CA495E" w14:textId="77777777" w:rsidR="00AD1F54" w:rsidRPr="00264D5D" w:rsidRDefault="00941227">
            <w:pPr>
              <w:pStyle w:val="GOSTTablenorm"/>
              <w:rPr>
                <w:lang w:val="en-US"/>
              </w:rPr>
            </w:pPr>
            <w:r w:rsidRPr="00264D5D">
              <w:t>Тип операции</w:t>
            </w:r>
          </w:p>
        </w:tc>
        <w:tc>
          <w:tcPr>
            <w:tcW w:w="1693" w:type="dxa"/>
          </w:tcPr>
          <w:p w14:paraId="0C6D6B1A" w14:textId="77777777" w:rsidR="00AD1F54" w:rsidRPr="00264D5D" w:rsidRDefault="00941227">
            <w:pPr>
              <w:pStyle w:val="GOSTTablenorm"/>
              <w:rPr>
                <w:lang w:val="en-US"/>
              </w:rPr>
            </w:pPr>
            <w:r w:rsidRPr="00264D5D">
              <w:rPr>
                <w:lang w:val="en-US"/>
              </w:rPr>
              <w:t>value</w:t>
            </w:r>
          </w:p>
        </w:tc>
        <w:tc>
          <w:tcPr>
            <w:tcW w:w="565" w:type="dxa"/>
          </w:tcPr>
          <w:p w14:paraId="5CB270A7" w14:textId="77777777" w:rsidR="00AD1F54" w:rsidRPr="00264D5D" w:rsidRDefault="00941227">
            <w:pPr>
              <w:pStyle w:val="GOSTTablenorm"/>
            </w:pPr>
            <w:r w:rsidRPr="00264D5D">
              <w:t>А</w:t>
            </w:r>
          </w:p>
        </w:tc>
        <w:tc>
          <w:tcPr>
            <w:tcW w:w="1415" w:type="dxa"/>
          </w:tcPr>
          <w:p w14:paraId="449896F3" w14:textId="77777777" w:rsidR="00AD1F54" w:rsidRPr="00264D5D" w:rsidRDefault="00941227">
            <w:pPr>
              <w:pStyle w:val="GOSTTablenorm"/>
            </w:pPr>
            <w:r w:rsidRPr="00264D5D">
              <w:t>-</w:t>
            </w:r>
          </w:p>
        </w:tc>
        <w:tc>
          <w:tcPr>
            <w:tcW w:w="567" w:type="dxa"/>
          </w:tcPr>
          <w:p w14:paraId="2CE3D1C7" w14:textId="77777777" w:rsidR="00AD1F54" w:rsidRPr="00264D5D" w:rsidRDefault="00941227">
            <w:pPr>
              <w:pStyle w:val="GOSTTablenorm"/>
              <w:rPr>
                <w:lang w:val="en-US"/>
              </w:rPr>
            </w:pPr>
            <w:r w:rsidRPr="00264D5D">
              <w:t>Н</w:t>
            </w:r>
          </w:p>
        </w:tc>
        <w:tc>
          <w:tcPr>
            <w:tcW w:w="3690" w:type="dxa"/>
          </w:tcPr>
          <w:p w14:paraId="3AF38F8B" w14:textId="77777777" w:rsidR="00AD1F54" w:rsidRPr="00264D5D" w:rsidRDefault="00941227" w:rsidP="00A5124A">
            <w:pPr>
              <w:pStyle w:val="GOSTTablenorm"/>
            </w:pPr>
            <w:r w:rsidRPr="00264D5D">
              <w:t xml:space="preserve">Указывается тип операции. </w:t>
            </w:r>
          </w:p>
          <w:p w14:paraId="2CD68F94" w14:textId="77777777" w:rsidR="00AD1F54" w:rsidRPr="00264D5D" w:rsidRDefault="00941227" w:rsidP="00A5124A">
            <w:pPr>
              <w:pStyle w:val="GOSTTablenorm"/>
            </w:pPr>
            <w:r w:rsidRPr="00264D5D">
              <w:t>Может принимать значения:</w:t>
            </w:r>
          </w:p>
          <w:p w14:paraId="3E4EF091" w14:textId="77777777" w:rsidR="00AD1F54" w:rsidRPr="00264D5D" w:rsidRDefault="00941227" w:rsidP="00E7460C">
            <w:pPr>
              <w:pStyle w:val="GOSTTablenorm"/>
              <w:numPr>
                <w:ilvl w:val="0"/>
                <w:numId w:val="124"/>
              </w:numPr>
              <w:ind w:left="284" w:hanging="227"/>
            </w:pPr>
            <w:r w:rsidRPr="00264D5D">
              <w:t>Перевод средств на счета в зарубежных банках;</w:t>
            </w:r>
          </w:p>
          <w:p w14:paraId="756FAF4F" w14:textId="77777777" w:rsidR="00AD1F54" w:rsidRPr="00264D5D" w:rsidRDefault="00941227" w:rsidP="00E7460C">
            <w:pPr>
              <w:pStyle w:val="GOSTTablenorm"/>
              <w:numPr>
                <w:ilvl w:val="0"/>
                <w:numId w:val="124"/>
              </w:numPr>
              <w:ind w:left="284" w:hanging="227"/>
            </w:pPr>
            <w:r w:rsidRPr="00264D5D">
              <w:t>Перевод средств на счета Российских банков (Внешторгбанк);</w:t>
            </w:r>
          </w:p>
          <w:p w14:paraId="58A55239" w14:textId="77777777" w:rsidR="00AD1F54" w:rsidRPr="00264D5D" w:rsidRDefault="00941227" w:rsidP="00E7460C">
            <w:pPr>
              <w:pStyle w:val="GOSTTablenorm"/>
              <w:numPr>
                <w:ilvl w:val="0"/>
                <w:numId w:val="124"/>
              </w:numPr>
              <w:ind w:left="284" w:hanging="227"/>
            </w:pPr>
            <w:r w:rsidRPr="00264D5D">
              <w:t xml:space="preserve">Перечисление средств в доход </w:t>
            </w:r>
            <w:r w:rsidRPr="00264D5D">
              <w:lastRenderedPageBreak/>
              <w:t>федерального бюджета.</w:t>
            </w:r>
          </w:p>
          <w:p w14:paraId="59503D88" w14:textId="77777777" w:rsidR="00AD1F54" w:rsidRPr="00264D5D" w:rsidRDefault="00941227" w:rsidP="00A5124A">
            <w:pPr>
              <w:pStyle w:val="GOSTTablenorm"/>
              <w:rPr>
                <w:szCs w:val="22"/>
              </w:rPr>
            </w:pPr>
            <w:r w:rsidRPr="00264D5D">
              <w:t>Не указывается для операций пок</w:t>
            </w:r>
            <w:r w:rsidR="00A5124A" w:rsidRPr="00264D5D">
              <w:t>упки-продажи иностранной валюты</w:t>
            </w:r>
          </w:p>
        </w:tc>
      </w:tr>
    </w:tbl>
    <w:p w14:paraId="459D2EEE" w14:textId="77777777" w:rsidR="00AD1F54" w:rsidRPr="00264D5D" w:rsidRDefault="00941227">
      <w:pPr>
        <w:pStyle w:val="31"/>
      </w:pPr>
      <w:bookmarkStart w:id="4871" w:name="_Toc508712768"/>
      <w:bookmarkStart w:id="4872" w:name="_Toc18509191"/>
      <w:bookmarkStart w:id="4873" w:name="_Toc143690588"/>
      <w:bookmarkStart w:id="4874" w:name="OLE_LINK334"/>
      <w:bookmarkStart w:id="4875" w:name="OLE_LINK335"/>
      <w:bookmarkStart w:id="4876" w:name="_Toc219309894"/>
      <w:r w:rsidRPr="00264D5D">
        <w:lastRenderedPageBreak/>
        <w:t>Описание комплексного типа «tMSC_ChargeDetailsComplex»</w:t>
      </w:r>
      <w:bookmarkEnd w:id="4871"/>
      <w:bookmarkEnd w:id="4872"/>
      <w:bookmarkEnd w:id="4873"/>
      <w:bookmarkEnd w:id="4876"/>
    </w:p>
    <w:p w14:paraId="3A1E2CF7" w14:textId="77777777" w:rsidR="00AD1F54" w:rsidRPr="00264D5D" w:rsidRDefault="00941227">
      <w:pPr>
        <w:pStyle w:val="GOSTNormal"/>
      </w:pPr>
      <w:r w:rsidRPr="00264D5D">
        <w:t xml:space="preserve">Описание комплексного типа </w:t>
      </w:r>
      <w:r w:rsidRPr="00264D5D">
        <w:rPr>
          <w:rFonts w:eastAsia="Calibri"/>
        </w:rPr>
        <w:t>«</w:t>
      </w:r>
      <w:r w:rsidRPr="00264D5D">
        <w:t>tMSC_ChargeDetailsComplex» блока «Комиссия и расходы».</w:t>
      </w:r>
    </w:p>
    <w:p w14:paraId="32AFC4AA" w14:textId="122B062C" w:rsidR="00AD1F54" w:rsidRPr="00264D5D" w:rsidRDefault="00941227">
      <w:pPr>
        <w:pStyle w:val="GOSTNameTable"/>
        <w:numPr>
          <w:ilvl w:val="0"/>
          <w:numId w:val="2"/>
        </w:numPr>
        <w:spacing w:before="240" w:after="120"/>
        <w:rPr>
          <w:rFonts w:eastAsia="Calibri"/>
        </w:rPr>
      </w:pPr>
      <w:r w:rsidRPr="00264D5D">
        <w:rPr>
          <w:rFonts w:eastAsia="Calibri"/>
        </w:rPr>
        <w:fldChar w:fldCharType="begin"/>
      </w:r>
      <w:r w:rsidRPr="00264D5D">
        <w:rPr>
          <w:rFonts w:eastAsia="Calibri"/>
        </w:rPr>
        <w:instrText xml:space="preserve"> SEQ Таблица \* ARABIC </w:instrText>
      </w:r>
      <w:r w:rsidRPr="00264D5D">
        <w:rPr>
          <w:rFonts w:eastAsia="Calibri"/>
        </w:rPr>
        <w:fldChar w:fldCharType="separate"/>
      </w:r>
      <w:bookmarkStart w:id="4877" w:name="_Ref503545978"/>
      <w:bookmarkStart w:id="4878" w:name="_Toc18509481"/>
      <w:bookmarkStart w:id="4879" w:name="_Toc219309420"/>
      <w:r w:rsidR="008D797C">
        <w:rPr>
          <w:rFonts w:eastAsia="Calibri"/>
          <w:noProof/>
        </w:rPr>
        <w:t>390</w:t>
      </w:r>
      <w:bookmarkEnd w:id="4877"/>
      <w:r w:rsidRPr="00264D5D">
        <w:rPr>
          <w:rFonts w:eastAsia="Calibri"/>
        </w:rPr>
        <w:fldChar w:fldCharType="end"/>
      </w:r>
      <w:r w:rsidRPr="00264D5D">
        <w:t xml:space="preserve"> – </w:t>
      </w:r>
      <w:r w:rsidRPr="00264D5D">
        <w:rPr>
          <w:rFonts w:eastAsia="Calibri"/>
        </w:rPr>
        <w:t>Описание комплексного типа «</w:t>
      </w:r>
      <w:r w:rsidRPr="00264D5D">
        <w:t>tMSC_ChargeDetailsComplex</w:t>
      </w:r>
      <w:r w:rsidRPr="00264D5D">
        <w:rPr>
          <w:rFonts w:eastAsia="Calibri"/>
        </w:rPr>
        <w:t>»</w:t>
      </w:r>
      <w:bookmarkEnd w:id="4874"/>
      <w:bookmarkEnd w:id="4875"/>
      <w:bookmarkEnd w:id="4878"/>
      <w:bookmarkEnd w:id="4879"/>
    </w:p>
    <w:tbl>
      <w:tblPr>
        <w:tblStyle w:val="GOSTTable"/>
        <w:tblW w:w="9639" w:type="dxa"/>
        <w:tblLayout w:type="fixed"/>
        <w:tblLook w:val="07E0" w:firstRow="1" w:lastRow="1" w:firstColumn="1" w:lastColumn="1" w:noHBand="1" w:noVBand="1"/>
      </w:tblPr>
      <w:tblGrid>
        <w:gridCol w:w="1701"/>
        <w:gridCol w:w="1729"/>
        <w:gridCol w:w="567"/>
        <w:gridCol w:w="1134"/>
        <w:gridCol w:w="567"/>
        <w:gridCol w:w="3941"/>
      </w:tblGrid>
      <w:tr w:rsidR="00AD1F54" w:rsidRPr="00264D5D" w14:paraId="26B7EF1E"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1C188BCC" w14:textId="77777777" w:rsidR="00AD1F54" w:rsidRPr="00264D5D" w:rsidRDefault="00941227">
            <w:pPr>
              <w:pStyle w:val="GOSTTableHead"/>
            </w:pPr>
            <w:r w:rsidRPr="00264D5D">
              <w:t>Наименование элемента</w:t>
            </w:r>
          </w:p>
        </w:tc>
        <w:tc>
          <w:tcPr>
            <w:tcW w:w="1729" w:type="dxa"/>
          </w:tcPr>
          <w:p w14:paraId="74B7C302" w14:textId="77777777" w:rsidR="00AD1F54" w:rsidRPr="00264D5D" w:rsidRDefault="00941227">
            <w:pPr>
              <w:pStyle w:val="GOSTTableHead"/>
            </w:pPr>
            <w:r w:rsidRPr="00264D5D">
              <w:t>Сокращенное наименование (код) элемента</w:t>
            </w:r>
          </w:p>
        </w:tc>
        <w:tc>
          <w:tcPr>
            <w:tcW w:w="567" w:type="dxa"/>
          </w:tcPr>
          <w:p w14:paraId="48C122E1" w14:textId="77777777" w:rsidR="00AD1F54" w:rsidRPr="00264D5D" w:rsidRDefault="00941227">
            <w:pPr>
              <w:pStyle w:val="GOSTTableHead"/>
            </w:pPr>
            <w:r w:rsidRPr="00264D5D">
              <w:t>Тип</w:t>
            </w:r>
          </w:p>
        </w:tc>
        <w:tc>
          <w:tcPr>
            <w:tcW w:w="1134" w:type="dxa"/>
          </w:tcPr>
          <w:p w14:paraId="3463F505" w14:textId="77777777" w:rsidR="00AD1F54" w:rsidRPr="00264D5D" w:rsidRDefault="00941227">
            <w:pPr>
              <w:pStyle w:val="GOSTTableHead"/>
            </w:pPr>
            <w:r w:rsidRPr="00264D5D">
              <w:t>Формат элемента</w:t>
            </w:r>
          </w:p>
        </w:tc>
        <w:tc>
          <w:tcPr>
            <w:tcW w:w="567" w:type="dxa"/>
          </w:tcPr>
          <w:p w14:paraId="79BB8E24" w14:textId="77777777" w:rsidR="00AD1F54" w:rsidRPr="00264D5D" w:rsidRDefault="00941227">
            <w:pPr>
              <w:pStyle w:val="GOSTTableHead"/>
            </w:pPr>
            <w:r w:rsidRPr="00264D5D">
              <w:t>Обязательность</w:t>
            </w:r>
          </w:p>
        </w:tc>
        <w:tc>
          <w:tcPr>
            <w:tcW w:w="3941" w:type="dxa"/>
          </w:tcPr>
          <w:p w14:paraId="2B48E64D" w14:textId="77777777" w:rsidR="00AD1F54" w:rsidRPr="00264D5D" w:rsidRDefault="00941227">
            <w:pPr>
              <w:pStyle w:val="GOSTTableHead"/>
              <w:rPr>
                <w:szCs w:val="22"/>
              </w:rPr>
            </w:pPr>
            <w:r w:rsidRPr="00264D5D">
              <w:rPr>
                <w:szCs w:val="22"/>
              </w:rPr>
              <w:t>Дополнительная информация</w:t>
            </w:r>
          </w:p>
        </w:tc>
      </w:tr>
      <w:tr w:rsidR="00AD1F54" w:rsidRPr="00264D5D" w14:paraId="4590C914" w14:textId="77777777" w:rsidTr="00AD1F54">
        <w:tc>
          <w:tcPr>
            <w:tcW w:w="1701" w:type="dxa"/>
          </w:tcPr>
          <w:p w14:paraId="795D0EE3" w14:textId="77777777" w:rsidR="00AD1F54" w:rsidRPr="00264D5D" w:rsidRDefault="00941227">
            <w:pPr>
              <w:pStyle w:val="GOSTTablenorm"/>
              <w:rPr>
                <w:lang w:val="en-US"/>
              </w:rPr>
            </w:pPr>
            <w:r w:rsidRPr="00264D5D">
              <w:t>Код</w:t>
            </w:r>
          </w:p>
        </w:tc>
        <w:tc>
          <w:tcPr>
            <w:tcW w:w="1729" w:type="dxa"/>
          </w:tcPr>
          <w:p w14:paraId="02111520" w14:textId="77777777" w:rsidR="00AD1F54" w:rsidRPr="00264D5D" w:rsidRDefault="00941227">
            <w:pPr>
              <w:pStyle w:val="GOSTTablenorm"/>
              <w:rPr>
                <w:lang w:val="en-US"/>
              </w:rPr>
            </w:pPr>
            <w:r w:rsidRPr="00264D5D">
              <w:rPr>
                <w:lang w:val="en-US"/>
              </w:rPr>
              <w:t>code</w:t>
            </w:r>
          </w:p>
        </w:tc>
        <w:tc>
          <w:tcPr>
            <w:tcW w:w="567" w:type="dxa"/>
          </w:tcPr>
          <w:p w14:paraId="64642D70" w14:textId="77777777" w:rsidR="00AD1F54" w:rsidRPr="00264D5D" w:rsidRDefault="00941227">
            <w:pPr>
              <w:pStyle w:val="GOSTTablenorm"/>
            </w:pPr>
            <w:r w:rsidRPr="00264D5D">
              <w:t>А</w:t>
            </w:r>
          </w:p>
        </w:tc>
        <w:tc>
          <w:tcPr>
            <w:tcW w:w="1134" w:type="dxa"/>
          </w:tcPr>
          <w:p w14:paraId="72300019" w14:textId="77777777" w:rsidR="00AD1F54" w:rsidRPr="00264D5D" w:rsidRDefault="00941227">
            <w:pPr>
              <w:pStyle w:val="GOSTTablenorm"/>
            </w:pPr>
            <w:r w:rsidRPr="00264D5D">
              <w:t>-</w:t>
            </w:r>
          </w:p>
        </w:tc>
        <w:tc>
          <w:tcPr>
            <w:tcW w:w="567" w:type="dxa"/>
          </w:tcPr>
          <w:p w14:paraId="3680AAD4" w14:textId="77777777" w:rsidR="00AD1F54" w:rsidRPr="00264D5D" w:rsidRDefault="00941227">
            <w:pPr>
              <w:pStyle w:val="GOSTTablenorm"/>
            </w:pPr>
            <w:r w:rsidRPr="00264D5D">
              <w:t>О</w:t>
            </w:r>
          </w:p>
        </w:tc>
        <w:tc>
          <w:tcPr>
            <w:tcW w:w="3941" w:type="dxa"/>
          </w:tcPr>
          <w:p w14:paraId="012668A7" w14:textId="77777777" w:rsidR="00AD1F54" w:rsidRPr="00264D5D" w:rsidRDefault="00941227">
            <w:pPr>
              <w:pStyle w:val="GOSTTablenorm"/>
            </w:pPr>
            <w:r w:rsidRPr="00264D5D">
              <w:t>Указывается код. Может принимать значения:</w:t>
            </w:r>
          </w:p>
          <w:p w14:paraId="398975C8" w14:textId="77777777" w:rsidR="00AD1F54" w:rsidRPr="00264D5D" w:rsidRDefault="00941227" w:rsidP="00E7460C">
            <w:pPr>
              <w:pStyle w:val="GOSTTablenorm"/>
              <w:numPr>
                <w:ilvl w:val="0"/>
                <w:numId w:val="124"/>
              </w:numPr>
              <w:ind w:left="284" w:hanging="227"/>
            </w:pPr>
            <w:r w:rsidRPr="00264D5D">
              <w:t>OUR – За счет Перевододателя;</w:t>
            </w:r>
          </w:p>
          <w:p w14:paraId="69784C73" w14:textId="77777777" w:rsidR="00AD1F54" w:rsidRPr="00264D5D" w:rsidRDefault="00941227" w:rsidP="00E7460C">
            <w:pPr>
              <w:pStyle w:val="GOSTTablenorm"/>
              <w:numPr>
                <w:ilvl w:val="0"/>
                <w:numId w:val="124"/>
              </w:numPr>
              <w:ind w:left="284" w:hanging="227"/>
            </w:pPr>
            <w:r w:rsidRPr="00264D5D">
              <w:t xml:space="preserve"> BEN – За счет Бенефициара;</w:t>
            </w:r>
          </w:p>
          <w:p w14:paraId="4719D86E" w14:textId="77777777" w:rsidR="00AD1F54" w:rsidRPr="00264D5D" w:rsidRDefault="00941227" w:rsidP="00E7460C">
            <w:pPr>
              <w:pStyle w:val="GOSTTablenorm"/>
              <w:numPr>
                <w:ilvl w:val="0"/>
                <w:numId w:val="124"/>
              </w:numPr>
              <w:ind w:left="284" w:hanging="227"/>
            </w:pPr>
            <w:r w:rsidRPr="00264D5D">
              <w:t xml:space="preserve"> SHA – Комиссии и расходы, взимаемые Банком Перевододателя за счет Перевододателя. Дальнейшие </w:t>
            </w:r>
            <w:r w:rsidR="00A77DDB" w:rsidRPr="00264D5D">
              <w:t>– за счет Бенефициара</w:t>
            </w:r>
          </w:p>
        </w:tc>
      </w:tr>
      <w:tr w:rsidR="00AD1F54" w:rsidRPr="00264D5D" w14:paraId="2D8D0235" w14:textId="77777777" w:rsidTr="00AD1F54">
        <w:tc>
          <w:tcPr>
            <w:tcW w:w="1701" w:type="dxa"/>
          </w:tcPr>
          <w:p w14:paraId="5E7EEB4A" w14:textId="77777777" w:rsidR="00AD1F54" w:rsidRPr="00264D5D" w:rsidRDefault="00941227">
            <w:pPr>
              <w:pStyle w:val="GOSTTablenorm"/>
              <w:rPr>
                <w:szCs w:val="22"/>
                <w:lang w:val="en-US"/>
              </w:rPr>
            </w:pPr>
            <w:r w:rsidRPr="00264D5D">
              <w:t>Комиссия и расходы</w:t>
            </w:r>
          </w:p>
        </w:tc>
        <w:tc>
          <w:tcPr>
            <w:tcW w:w="1729" w:type="dxa"/>
          </w:tcPr>
          <w:p w14:paraId="46156CB8" w14:textId="77777777" w:rsidR="00AD1F54" w:rsidRPr="00264D5D" w:rsidRDefault="00941227">
            <w:pPr>
              <w:pStyle w:val="GOSTTablenorm"/>
              <w:rPr>
                <w:lang w:val="en-US"/>
              </w:rPr>
            </w:pPr>
            <w:r w:rsidRPr="00264D5D">
              <w:rPr>
                <w:lang w:val="en-US"/>
              </w:rPr>
              <w:t>value</w:t>
            </w:r>
          </w:p>
        </w:tc>
        <w:tc>
          <w:tcPr>
            <w:tcW w:w="567" w:type="dxa"/>
          </w:tcPr>
          <w:p w14:paraId="3EF8ABD5" w14:textId="77777777" w:rsidR="00AD1F54" w:rsidRPr="00264D5D" w:rsidRDefault="00941227">
            <w:pPr>
              <w:pStyle w:val="GOSTTablenorm"/>
            </w:pPr>
            <w:r w:rsidRPr="00264D5D">
              <w:t>А</w:t>
            </w:r>
          </w:p>
        </w:tc>
        <w:tc>
          <w:tcPr>
            <w:tcW w:w="1134" w:type="dxa"/>
          </w:tcPr>
          <w:p w14:paraId="64E4CDD0" w14:textId="77777777" w:rsidR="00AD1F54" w:rsidRPr="00264D5D" w:rsidRDefault="00941227">
            <w:pPr>
              <w:pStyle w:val="GOSTTablenorm"/>
            </w:pPr>
            <w:r w:rsidRPr="00264D5D">
              <w:t>-</w:t>
            </w:r>
          </w:p>
        </w:tc>
        <w:tc>
          <w:tcPr>
            <w:tcW w:w="567" w:type="dxa"/>
          </w:tcPr>
          <w:p w14:paraId="38B890AF" w14:textId="77777777" w:rsidR="00AD1F54" w:rsidRPr="00264D5D" w:rsidRDefault="00941227">
            <w:pPr>
              <w:pStyle w:val="GOSTTablenorm"/>
            </w:pPr>
            <w:r w:rsidRPr="00264D5D">
              <w:t>Н</w:t>
            </w:r>
          </w:p>
        </w:tc>
        <w:tc>
          <w:tcPr>
            <w:tcW w:w="3941" w:type="dxa"/>
          </w:tcPr>
          <w:p w14:paraId="1B936789" w14:textId="77777777" w:rsidR="00AD1F54" w:rsidRPr="00264D5D" w:rsidRDefault="00941227">
            <w:pPr>
              <w:pStyle w:val="GOSTTablenorm"/>
            </w:pPr>
            <w:r w:rsidRPr="00264D5D">
              <w:t xml:space="preserve">Указываются комиссии и расходы. </w:t>
            </w:r>
          </w:p>
          <w:p w14:paraId="00F7C412" w14:textId="77777777" w:rsidR="00AD1F54" w:rsidRPr="00264D5D" w:rsidRDefault="00941227">
            <w:pPr>
              <w:pStyle w:val="GOSTTablenorm"/>
            </w:pPr>
            <w:r w:rsidRPr="00264D5D">
              <w:t>Может принимать значения:</w:t>
            </w:r>
          </w:p>
          <w:p w14:paraId="3C299D16" w14:textId="77777777" w:rsidR="00AD1F54" w:rsidRPr="00264D5D" w:rsidRDefault="00941227" w:rsidP="00E7460C">
            <w:pPr>
              <w:pStyle w:val="GOSTTablenorm"/>
              <w:numPr>
                <w:ilvl w:val="0"/>
                <w:numId w:val="124"/>
              </w:numPr>
              <w:ind w:left="284" w:hanging="227"/>
            </w:pPr>
            <w:r w:rsidRPr="00264D5D">
              <w:t>За счет Перевододателя;</w:t>
            </w:r>
          </w:p>
          <w:p w14:paraId="237C37D3" w14:textId="77777777" w:rsidR="00AD1F54" w:rsidRPr="00264D5D" w:rsidRDefault="00941227" w:rsidP="00E7460C">
            <w:pPr>
              <w:pStyle w:val="GOSTTablenorm"/>
              <w:numPr>
                <w:ilvl w:val="0"/>
                <w:numId w:val="124"/>
              </w:numPr>
              <w:ind w:left="284" w:hanging="227"/>
            </w:pPr>
            <w:r w:rsidRPr="00264D5D">
              <w:t>За счет Бенефициара;</w:t>
            </w:r>
          </w:p>
          <w:p w14:paraId="6F766EFE" w14:textId="77777777" w:rsidR="00AD1F54" w:rsidRPr="00264D5D" w:rsidRDefault="00941227" w:rsidP="00E7460C">
            <w:pPr>
              <w:pStyle w:val="GOSTTablenorm"/>
              <w:numPr>
                <w:ilvl w:val="0"/>
                <w:numId w:val="124"/>
              </w:numPr>
              <w:ind w:left="284" w:hanging="227"/>
              <w:rPr>
                <w:szCs w:val="22"/>
              </w:rPr>
            </w:pPr>
            <w:r w:rsidRPr="00264D5D">
              <w:t>Комиссии и расходы, взимаемые Банком Перевододателя за счет Перевододателя. Д</w:t>
            </w:r>
            <w:r w:rsidR="00A77DDB" w:rsidRPr="00264D5D">
              <w:t>альнейшие – за счет Бенефициара</w:t>
            </w:r>
          </w:p>
        </w:tc>
      </w:tr>
    </w:tbl>
    <w:p w14:paraId="159A6F84" w14:textId="77777777" w:rsidR="00AD1F54" w:rsidRPr="00264D5D" w:rsidRDefault="00941227">
      <w:pPr>
        <w:pStyle w:val="31"/>
      </w:pPr>
      <w:bookmarkStart w:id="4880" w:name="_Toc508712769"/>
      <w:bookmarkStart w:id="4881" w:name="_Toc18509192"/>
      <w:bookmarkStart w:id="4882" w:name="_Toc143690589"/>
      <w:bookmarkStart w:id="4883" w:name="_Toc219309895"/>
      <w:r w:rsidRPr="00264D5D">
        <w:t>Описание комплексного типа «tCOWFCE»</w:t>
      </w:r>
      <w:bookmarkEnd w:id="4880"/>
      <w:bookmarkEnd w:id="4881"/>
      <w:bookmarkEnd w:id="4882"/>
      <w:bookmarkEnd w:id="4883"/>
    </w:p>
    <w:p w14:paraId="60B4E0A3" w14:textId="77777777" w:rsidR="00AD1F54" w:rsidRPr="00264D5D" w:rsidRDefault="00941227">
      <w:pPr>
        <w:pStyle w:val="GOSTNormal"/>
      </w:pPr>
      <w:r w:rsidRPr="00264D5D">
        <w:t xml:space="preserve">Описание комплексного типа </w:t>
      </w:r>
      <w:r w:rsidRPr="00264D5D">
        <w:rPr>
          <w:rFonts w:eastAsia="Calibri"/>
        </w:rPr>
        <w:t>«</w:t>
      </w:r>
      <w:r w:rsidRPr="00264D5D">
        <w:t>tCOWFCE» блока «Расшифровка заявления на проведение операций с иностранной валютой по бюджетной классификации расходов».</w:t>
      </w:r>
    </w:p>
    <w:p w14:paraId="161AA436" w14:textId="2C5C64D3" w:rsidR="00AD1F54" w:rsidRPr="00264D5D" w:rsidRDefault="00941227">
      <w:pPr>
        <w:pStyle w:val="GOSTNameTable"/>
        <w:numPr>
          <w:ilvl w:val="0"/>
          <w:numId w:val="2"/>
        </w:numPr>
        <w:spacing w:before="240" w:after="120"/>
        <w:rPr>
          <w:rFonts w:eastAsia="Calibri"/>
        </w:rPr>
      </w:pPr>
      <w:r w:rsidRPr="00264D5D">
        <w:rPr>
          <w:rFonts w:eastAsia="Calibri"/>
        </w:rPr>
        <w:lastRenderedPageBreak/>
        <w:fldChar w:fldCharType="begin"/>
      </w:r>
      <w:r w:rsidRPr="00264D5D">
        <w:rPr>
          <w:rFonts w:eastAsia="Calibri"/>
        </w:rPr>
        <w:instrText xml:space="preserve"> SEQ Таблица \* ARABIC </w:instrText>
      </w:r>
      <w:r w:rsidRPr="00264D5D">
        <w:rPr>
          <w:rFonts w:eastAsia="Calibri"/>
        </w:rPr>
        <w:fldChar w:fldCharType="separate"/>
      </w:r>
      <w:bookmarkStart w:id="4884" w:name="_Ref503546021"/>
      <w:bookmarkStart w:id="4885" w:name="_Toc18509482"/>
      <w:bookmarkStart w:id="4886" w:name="_Toc219309421"/>
      <w:r w:rsidR="008D797C">
        <w:rPr>
          <w:rFonts w:eastAsia="Calibri"/>
          <w:noProof/>
        </w:rPr>
        <w:t>391</w:t>
      </w:r>
      <w:bookmarkEnd w:id="4884"/>
      <w:r w:rsidRPr="00264D5D">
        <w:rPr>
          <w:rFonts w:eastAsia="Calibri"/>
        </w:rPr>
        <w:fldChar w:fldCharType="end"/>
      </w:r>
      <w:r w:rsidRPr="00264D5D">
        <w:t xml:space="preserve"> – </w:t>
      </w:r>
      <w:r w:rsidRPr="00264D5D">
        <w:rPr>
          <w:rFonts w:eastAsia="Calibri"/>
        </w:rPr>
        <w:t>Описание комплексного типа «</w:t>
      </w:r>
      <w:r w:rsidRPr="00264D5D">
        <w:t>tCOWFCE</w:t>
      </w:r>
      <w:r w:rsidRPr="00264D5D">
        <w:rPr>
          <w:rFonts w:eastAsia="Calibri"/>
        </w:rPr>
        <w:t>»</w:t>
      </w:r>
      <w:bookmarkEnd w:id="4885"/>
      <w:bookmarkEnd w:id="4886"/>
    </w:p>
    <w:tbl>
      <w:tblPr>
        <w:tblStyle w:val="GOSTTable"/>
        <w:tblW w:w="9639" w:type="dxa"/>
        <w:tblLayout w:type="fixed"/>
        <w:tblLook w:val="07E0" w:firstRow="1" w:lastRow="1" w:firstColumn="1" w:lastColumn="1" w:noHBand="1" w:noVBand="1"/>
      </w:tblPr>
      <w:tblGrid>
        <w:gridCol w:w="1701"/>
        <w:gridCol w:w="1701"/>
        <w:gridCol w:w="567"/>
        <w:gridCol w:w="1134"/>
        <w:gridCol w:w="567"/>
        <w:gridCol w:w="3969"/>
      </w:tblGrid>
      <w:tr w:rsidR="00AD1F54" w:rsidRPr="00264D5D" w14:paraId="729FF25D"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171A5AAD" w14:textId="77777777" w:rsidR="00AD1F54" w:rsidRPr="00264D5D" w:rsidRDefault="00941227">
            <w:pPr>
              <w:pStyle w:val="GOSTTableHead"/>
            </w:pPr>
            <w:r w:rsidRPr="00264D5D">
              <w:t>Наименование элемента</w:t>
            </w:r>
          </w:p>
        </w:tc>
        <w:tc>
          <w:tcPr>
            <w:tcW w:w="1701" w:type="dxa"/>
          </w:tcPr>
          <w:p w14:paraId="69155505" w14:textId="77777777" w:rsidR="00AD1F54" w:rsidRPr="00264D5D" w:rsidRDefault="00941227">
            <w:pPr>
              <w:pStyle w:val="GOSTTableHead"/>
            </w:pPr>
            <w:r w:rsidRPr="00264D5D">
              <w:t>Сокращенное наименование (код) элемента</w:t>
            </w:r>
          </w:p>
        </w:tc>
        <w:tc>
          <w:tcPr>
            <w:tcW w:w="567" w:type="dxa"/>
          </w:tcPr>
          <w:p w14:paraId="726B872A" w14:textId="77777777" w:rsidR="00AD1F54" w:rsidRPr="00264D5D" w:rsidRDefault="00941227">
            <w:pPr>
              <w:pStyle w:val="GOSTTableHead"/>
            </w:pPr>
            <w:r w:rsidRPr="00264D5D">
              <w:t>Тип</w:t>
            </w:r>
          </w:p>
        </w:tc>
        <w:tc>
          <w:tcPr>
            <w:tcW w:w="1134" w:type="dxa"/>
          </w:tcPr>
          <w:p w14:paraId="222D5B1C" w14:textId="77777777" w:rsidR="00AD1F54" w:rsidRPr="00264D5D" w:rsidRDefault="00941227">
            <w:pPr>
              <w:pStyle w:val="GOSTTableHead"/>
            </w:pPr>
            <w:r w:rsidRPr="00264D5D">
              <w:t>Формат элемента</w:t>
            </w:r>
          </w:p>
        </w:tc>
        <w:tc>
          <w:tcPr>
            <w:tcW w:w="567" w:type="dxa"/>
          </w:tcPr>
          <w:p w14:paraId="410CF699" w14:textId="77777777" w:rsidR="00AD1F54" w:rsidRPr="00264D5D" w:rsidRDefault="00941227">
            <w:pPr>
              <w:pStyle w:val="GOSTTableHead"/>
            </w:pPr>
            <w:r w:rsidRPr="00264D5D">
              <w:t>Обязательность</w:t>
            </w:r>
          </w:p>
        </w:tc>
        <w:tc>
          <w:tcPr>
            <w:tcW w:w="3969" w:type="dxa"/>
          </w:tcPr>
          <w:p w14:paraId="295D129E" w14:textId="77777777" w:rsidR="00AD1F54" w:rsidRPr="00264D5D" w:rsidRDefault="00941227">
            <w:pPr>
              <w:pStyle w:val="GOSTTableHead"/>
              <w:rPr>
                <w:szCs w:val="22"/>
              </w:rPr>
            </w:pPr>
            <w:r w:rsidRPr="00264D5D">
              <w:rPr>
                <w:szCs w:val="22"/>
              </w:rPr>
              <w:t>Дополнительная информация</w:t>
            </w:r>
          </w:p>
        </w:tc>
      </w:tr>
      <w:tr w:rsidR="00AD1F54" w:rsidRPr="00264D5D" w14:paraId="54167B46" w14:textId="77777777" w:rsidTr="00AD1F54">
        <w:tc>
          <w:tcPr>
            <w:tcW w:w="1701" w:type="dxa"/>
          </w:tcPr>
          <w:p w14:paraId="7D21D81C" w14:textId="77777777" w:rsidR="00AD1F54" w:rsidRPr="00264D5D" w:rsidRDefault="00941227">
            <w:pPr>
              <w:pStyle w:val="GOSTTablenorm"/>
              <w:rPr>
                <w:szCs w:val="22"/>
              </w:rPr>
            </w:pPr>
            <w:r w:rsidRPr="00264D5D">
              <w:t>Расшифровка заявления на проведение операций с иностранной валютой по бюджетной классификации расходов (строки)</w:t>
            </w:r>
          </w:p>
        </w:tc>
        <w:tc>
          <w:tcPr>
            <w:tcW w:w="1701" w:type="dxa"/>
          </w:tcPr>
          <w:p w14:paraId="166CB3F8" w14:textId="77777777" w:rsidR="00AD1F54" w:rsidRPr="00264D5D" w:rsidRDefault="00941227">
            <w:pPr>
              <w:pStyle w:val="GOSTTablenorm"/>
              <w:rPr>
                <w:lang w:val="en-US"/>
              </w:rPr>
            </w:pPr>
            <w:r w:rsidRPr="00264D5D">
              <w:rPr>
                <w:lang w:val="en-US"/>
              </w:rPr>
              <w:t>COWFCE_ITEM</w:t>
            </w:r>
          </w:p>
        </w:tc>
        <w:tc>
          <w:tcPr>
            <w:tcW w:w="567" w:type="dxa"/>
          </w:tcPr>
          <w:p w14:paraId="6340E611" w14:textId="77777777" w:rsidR="00AD1F54" w:rsidRPr="00264D5D" w:rsidRDefault="00941227">
            <w:pPr>
              <w:pStyle w:val="GOSTTablenorm"/>
            </w:pPr>
            <w:r w:rsidRPr="00264D5D">
              <w:t>С</w:t>
            </w:r>
          </w:p>
        </w:tc>
        <w:tc>
          <w:tcPr>
            <w:tcW w:w="1134" w:type="dxa"/>
          </w:tcPr>
          <w:p w14:paraId="4BC70420" w14:textId="77777777" w:rsidR="00AD1F54" w:rsidRPr="00264D5D" w:rsidRDefault="00941227">
            <w:pPr>
              <w:pStyle w:val="GOSTTablenorm"/>
            </w:pPr>
            <w:r w:rsidRPr="00264D5D">
              <w:t>tCOWFCE_ITEM</w:t>
            </w:r>
          </w:p>
        </w:tc>
        <w:tc>
          <w:tcPr>
            <w:tcW w:w="567" w:type="dxa"/>
          </w:tcPr>
          <w:p w14:paraId="2CF61352" w14:textId="77777777" w:rsidR="00AD1F54" w:rsidRPr="00264D5D" w:rsidRDefault="00941227">
            <w:pPr>
              <w:pStyle w:val="GOSTTablenorm"/>
            </w:pPr>
            <w:r w:rsidRPr="00264D5D">
              <w:t>ОМ</w:t>
            </w:r>
          </w:p>
        </w:tc>
        <w:tc>
          <w:tcPr>
            <w:tcW w:w="3969" w:type="dxa"/>
          </w:tcPr>
          <w:p w14:paraId="77500681" w14:textId="32B5AA8A" w:rsidR="00AD1F54" w:rsidRPr="00264D5D" w:rsidRDefault="00941227">
            <w:pPr>
              <w:pStyle w:val="GOSTTablenorm"/>
            </w:pPr>
            <w:r w:rsidRPr="00264D5D">
              <w:t xml:space="preserve">Состав элемента представлен в таблице </w:t>
            </w:r>
            <w:r w:rsidRPr="00264D5D">
              <w:fldChar w:fldCharType="begin"/>
            </w:r>
            <w:r w:rsidRPr="00264D5D">
              <w:instrText xml:space="preserve"> REF _Ref503546050 \h  \* MERGEFORMAT </w:instrText>
            </w:r>
            <w:r w:rsidRPr="00264D5D">
              <w:fldChar w:fldCharType="separate"/>
            </w:r>
            <w:r w:rsidR="008D797C" w:rsidRPr="008D797C">
              <w:t>392</w:t>
            </w:r>
            <w:r w:rsidRPr="00264D5D">
              <w:fldChar w:fldCharType="end"/>
            </w:r>
          </w:p>
        </w:tc>
      </w:tr>
    </w:tbl>
    <w:p w14:paraId="7D84025E" w14:textId="77777777" w:rsidR="00AD1F54" w:rsidRPr="00264D5D" w:rsidRDefault="00941227">
      <w:pPr>
        <w:pStyle w:val="31"/>
      </w:pPr>
      <w:bookmarkStart w:id="4887" w:name="_Toc508712770"/>
      <w:bookmarkStart w:id="4888" w:name="_Toc18509193"/>
      <w:bookmarkStart w:id="4889" w:name="_Toc143690590"/>
      <w:bookmarkStart w:id="4890" w:name="OLE_LINK357"/>
      <w:bookmarkStart w:id="4891" w:name="OLE_LINK358"/>
      <w:bookmarkStart w:id="4892" w:name="_Toc219309896"/>
      <w:r w:rsidRPr="00264D5D">
        <w:t>Описание комплексного типа «tCOWFCE_ITEM»</w:t>
      </w:r>
      <w:bookmarkEnd w:id="4887"/>
      <w:bookmarkEnd w:id="4888"/>
      <w:bookmarkEnd w:id="4889"/>
      <w:bookmarkEnd w:id="4892"/>
    </w:p>
    <w:p w14:paraId="4C5BDD76" w14:textId="77777777" w:rsidR="00AD1F54" w:rsidRPr="00264D5D" w:rsidRDefault="00941227">
      <w:pPr>
        <w:pStyle w:val="GOSTNormal"/>
      </w:pPr>
      <w:r w:rsidRPr="00264D5D">
        <w:t xml:space="preserve">Описание комплексного типа </w:t>
      </w:r>
      <w:r w:rsidRPr="00264D5D">
        <w:rPr>
          <w:rFonts w:eastAsia="Calibri"/>
        </w:rPr>
        <w:t>«</w:t>
      </w:r>
      <w:r w:rsidRPr="00264D5D">
        <w:t>tCOWFCE_ITEM» блока «Расшифровка заявления на проведение операций с иностранной валютой по бюджетной классификации расходов (строки)».</w:t>
      </w:r>
    </w:p>
    <w:p w14:paraId="7B4BE7E2" w14:textId="758FFBB1" w:rsidR="00AD1F54" w:rsidRPr="00264D5D" w:rsidRDefault="00941227">
      <w:pPr>
        <w:pStyle w:val="GOSTNameTable"/>
        <w:numPr>
          <w:ilvl w:val="0"/>
          <w:numId w:val="2"/>
        </w:numPr>
        <w:spacing w:before="240" w:after="120"/>
        <w:rPr>
          <w:rFonts w:eastAsia="Calibri"/>
        </w:rPr>
      </w:pPr>
      <w:r w:rsidRPr="00264D5D">
        <w:rPr>
          <w:rFonts w:eastAsia="Calibri"/>
        </w:rPr>
        <w:fldChar w:fldCharType="begin"/>
      </w:r>
      <w:r w:rsidRPr="00264D5D">
        <w:rPr>
          <w:rFonts w:eastAsia="Calibri"/>
        </w:rPr>
        <w:instrText xml:space="preserve"> SEQ Таблица \* ARABIC </w:instrText>
      </w:r>
      <w:r w:rsidRPr="00264D5D">
        <w:rPr>
          <w:rFonts w:eastAsia="Calibri"/>
        </w:rPr>
        <w:fldChar w:fldCharType="separate"/>
      </w:r>
      <w:bookmarkStart w:id="4893" w:name="_Ref503546050"/>
      <w:bookmarkStart w:id="4894" w:name="_Toc18509483"/>
      <w:bookmarkStart w:id="4895" w:name="_Toc219309422"/>
      <w:r w:rsidR="008D797C">
        <w:rPr>
          <w:rFonts w:eastAsia="Calibri"/>
          <w:noProof/>
        </w:rPr>
        <w:t>392</w:t>
      </w:r>
      <w:bookmarkEnd w:id="4893"/>
      <w:r w:rsidRPr="00264D5D">
        <w:rPr>
          <w:rFonts w:eastAsia="Calibri"/>
        </w:rPr>
        <w:fldChar w:fldCharType="end"/>
      </w:r>
      <w:r w:rsidRPr="00264D5D">
        <w:t xml:space="preserve"> – </w:t>
      </w:r>
      <w:r w:rsidRPr="00264D5D">
        <w:rPr>
          <w:rFonts w:eastAsia="Calibri"/>
        </w:rPr>
        <w:t>Описание комплексного типа «</w:t>
      </w:r>
      <w:r w:rsidRPr="00264D5D">
        <w:t>tCOWFCE_ITEM</w:t>
      </w:r>
      <w:r w:rsidRPr="00264D5D">
        <w:rPr>
          <w:rFonts w:eastAsia="Calibri"/>
        </w:rPr>
        <w:t>»</w:t>
      </w:r>
      <w:bookmarkEnd w:id="4890"/>
      <w:bookmarkEnd w:id="4891"/>
      <w:bookmarkEnd w:id="4894"/>
      <w:bookmarkEnd w:id="4895"/>
    </w:p>
    <w:tbl>
      <w:tblPr>
        <w:tblStyle w:val="GOSTTable"/>
        <w:tblW w:w="9718" w:type="dxa"/>
        <w:tblLayout w:type="fixed"/>
        <w:tblLook w:val="07E0" w:firstRow="1" w:lastRow="1" w:firstColumn="1" w:lastColumn="1" w:noHBand="1" w:noVBand="1"/>
      </w:tblPr>
      <w:tblGrid>
        <w:gridCol w:w="1729"/>
        <w:gridCol w:w="1701"/>
        <w:gridCol w:w="567"/>
        <w:gridCol w:w="1134"/>
        <w:gridCol w:w="567"/>
        <w:gridCol w:w="4020"/>
      </w:tblGrid>
      <w:tr w:rsidR="00AD1F54" w:rsidRPr="00264D5D" w14:paraId="0F4BB362"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29" w:type="dxa"/>
          </w:tcPr>
          <w:p w14:paraId="2A0BB826" w14:textId="77777777" w:rsidR="00AD1F54" w:rsidRPr="00264D5D" w:rsidRDefault="00941227">
            <w:pPr>
              <w:pStyle w:val="GOSTTableHead"/>
            </w:pPr>
            <w:r w:rsidRPr="00264D5D">
              <w:t>Наименование элемента</w:t>
            </w:r>
          </w:p>
        </w:tc>
        <w:tc>
          <w:tcPr>
            <w:tcW w:w="1701" w:type="dxa"/>
          </w:tcPr>
          <w:p w14:paraId="1EA444C7" w14:textId="77777777" w:rsidR="00AD1F54" w:rsidRPr="00264D5D" w:rsidRDefault="00941227">
            <w:pPr>
              <w:pStyle w:val="GOSTTableHead"/>
            </w:pPr>
            <w:r w:rsidRPr="00264D5D">
              <w:t>Сокращенное наименование (код) элемента</w:t>
            </w:r>
          </w:p>
        </w:tc>
        <w:tc>
          <w:tcPr>
            <w:tcW w:w="567" w:type="dxa"/>
          </w:tcPr>
          <w:p w14:paraId="1EEF37E6" w14:textId="77777777" w:rsidR="00AD1F54" w:rsidRPr="00264D5D" w:rsidRDefault="00941227">
            <w:pPr>
              <w:pStyle w:val="GOSTTableHead"/>
            </w:pPr>
            <w:r w:rsidRPr="00264D5D">
              <w:t>Тип</w:t>
            </w:r>
          </w:p>
        </w:tc>
        <w:tc>
          <w:tcPr>
            <w:tcW w:w="1134" w:type="dxa"/>
          </w:tcPr>
          <w:p w14:paraId="5A402F78" w14:textId="77777777" w:rsidR="00AD1F54" w:rsidRPr="00264D5D" w:rsidRDefault="00941227">
            <w:pPr>
              <w:pStyle w:val="GOSTTableHead"/>
            </w:pPr>
            <w:r w:rsidRPr="00264D5D">
              <w:t>Формат элемента</w:t>
            </w:r>
          </w:p>
        </w:tc>
        <w:tc>
          <w:tcPr>
            <w:tcW w:w="567" w:type="dxa"/>
          </w:tcPr>
          <w:p w14:paraId="6B6A0248" w14:textId="77777777" w:rsidR="00AD1F54" w:rsidRPr="00264D5D" w:rsidRDefault="00941227">
            <w:pPr>
              <w:pStyle w:val="GOSTTableHead"/>
            </w:pPr>
            <w:r w:rsidRPr="00264D5D">
              <w:t>Обязательность</w:t>
            </w:r>
          </w:p>
        </w:tc>
        <w:tc>
          <w:tcPr>
            <w:tcW w:w="4020" w:type="dxa"/>
          </w:tcPr>
          <w:p w14:paraId="5CE66F61" w14:textId="77777777" w:rsidR="00AD1F54" w:rsidRPr="00264D5D" w:rsidRDefault="00941227">
            <w:pPr>
              <w:pStyle w:val="GOSTTableHead"/>
              <w:rPr>
                <w:szCs w:val="22"/>
              </w:rPr>
            </w:pPr>
            <w:r w:rsidRPr="00264D5D">
              <w:rPr>
                <w:szCs w:val="22"/>
              </w:rPr>
              <w:t>Дополнительная информация</w:t>
            </w:r>
          </w:p>
        </w:tc>
      </w:tr>
      <w:tr w:rsidR="00AD1F54" w:rsidRPr="00264D5D" w14:paraId="2821F7D1" w14:textId="77777777" w:rsidTr="00AD1F54">
        <w:tc>
          <w:tcPr>
            <w:tcW w:w="1729" w:type="dxa"/>
          </w:tcPr>
          <w:p w14:paraId="662D7397" w14:textId="77777777" w:rsidR="00AD1F54" w:rsidRPr="00264D5D" w:rsidRDefault="00941227">
            <w:pPr>
              <w:pStyle w:val="GOSTTablenorm"/>
              <w:rPr>
                <w:szCs w:val="22"/>
              </w:rPr>
            </w:pPr>
            <w:r w:rsidRPr="00264D5D">
              <w:t>Код главы</w:t>
            </w:r>
          </w:p>
        </w:tc>
        <w:tc>
          <w:tcPr>
            <w:tcW w:w="1701" w:type="dxa"/>
          </w:tcPr>
          <w:p w14:paraId="78B86283" w14:textId="77777777" w:rsidR="00AD1F54" w:rsidRPr="00264D5D" w:rsidRDefault="00941227">
            <w:pPr>
              <w:pStyle w:val="GOSTTablenorm"/>
              <w:rPr>
                <w:lang w:val="en-US"/>
              </w:rPr>
            </w:pPr>
            <w:r w:rsidRPr="00264D5D">
              <w:rPr>
                <w:lang w:val="en-US"/>
              </w:rPr>
              <w:t>CodePPP</w:t>
            </w:r>
          </w:p>
        </w:tc>
        <w:tc>
          <w:tcPr>
            <w:tcW w:w="567" w:type="dxa"/>
          </w:tcPr>
          <w:p w14:paraId="54A822B1" w14:textId="77777777" w:rsidR="00AD1F54" w:rsidRPr="00264D5D" w:rsidRDefault="00941227">
            <w:pPr>
              <w:pStyle w:val="GOSTTablenorm"/>
            </w:pPr>
            <w:r w:rsidRPr="00264D5D">
              <w:t>П</w:t>
            </w:r>
          </w:p>
        </w:tc>
        <w:tc>
          <w:tcPr>
            <w:tcW w:w="1134" w:type="dxa"/>
          </w:tcPr>
          <w:p w14:paraId="5147B7BE" w14:textId="77777777" w:rsidR="00AD1F54" w:rsidRPr="00264D5D" w:rsidRDefault="00941227">
            <w:pPr>
              <w:pStyle w:val="GOSTTablenorm"/>
            </w:pPr>
            <w:r w:rsidRPr="00264D5D">
              <w:t>Т(3)</w:t>
            </w:r>
          </w:p>
        </w:tc>
        <w:tc>
          <w:tcPr>
            <w:tcW w:w="567" w:type="dxa"/>
          </w:tcPr>
          <w:p w14:paraId="4760CCE3" w14:textId="77777777" w:rsidR="00AD1F54" w:rsidRPr="00264D5D" w:rsidRDefault="00941227">
            <w:pPr>
              <w:pStyle w:val="GOSTTablenorm"/>
            </w:pPr>
            <w:r w:rsidRPr="00264D5D">
              <w:t>О</w:t>
            </w:r>
          </w:p>
        </w:tc>
        <w:tc>
          <w:tcPr>
            <w:tcW w:w="4020" w:type="dxa"/>
          </w:tcPr>
          <w:p w14:paraId="67A10AA3" w14:textId="77777777" w:rsidR="00AD1F54" w:rsidRPr="00264D5D" w:rsidRDefault="00941227">
            <w:pPr>
              <w:pStyle w:val="GOSTTablenorm"/>
            </w:pPr>
            <w:r w:rsidRPr="00264D5D">
              <w:t>Указывается код главы</w:t>
            </w:r>
          </w:p>
        </w:tc>
      </w:tr>
      <w:tr w:rsidR="00AD1F54" w:rsidRPr="00264D5D" w14:paraId="23B3AF68" w14:textId="77777777" w:rsidTr="00AD1F54">
        <w:tc>
          <w:tcPr>
            <w:tcW w:w="1729" w:type="dxa"/>
          </w:tcPr>
          <w:p w14:paraId="3A2CD648" w14:textId="77777777" w:rsidR="00AD1F54" w:rsidRPr="00264D5D" w:rsidRDefault="00941227">
            <w:pPr>
              <w:pStyle w:val="GOSTTablenorm"/>
              <w:rPr>
                <w:szCs w:val="22"/>
              </w:rPr>
            </w:pPr>
            <w:r w:rsidRPr="00264D5D">
              <w:t>Код ФКР</w:t>
            </w:r>
          </w:p>
        </w:tc>
        <w:tc>
          <w:tcPr>
            <w:tcW w:w="1701" w:type="dxa"/>
          </w:tcPr>
          <w:p w14:paraId="65255B53" w14:textId="77777777" w:rsidR="00AD1F54" w:rsidRPr="00264D5D" w:rsidRDefault="00941227">
            <w:pPr>
              <w:pStyle w:val="GOSTTablenorm"/>
              <w:rPr>
                <w:lang w:val="en-US"/>
              </w:rPr>
            </w:pPr>
            <w:r w:rsidRPr="00264D5D">
              <w:rPr>
                <w:lang w:val="en-US"/>
              </w:rPr>
              <w:t>CodeFKR</w:t>
            </w:r>
          </w:p>
        </w:tc>
        <w:tc>
          <w:tcPr>
            <w:tcW w:w="567" w:type="dxa"/>
          </w:tcPr>
          <w:p w14:paraId="652D70D1" w14:textId="77777777" w:rsidR="00AD1F54" w:rsidRPr="00264D5D" w:rsidRDefault="00941227">
            <w:pPr>
              <w:pStyle w:val="GOSTTablenorm"/>
            </w:pPr>
            <w:r w:rsidRPr="00264D5D">
              <w:t>П</w:t>
            </w:r>
          </w:p>
        </w:tc>
        <w:tc>
          <w:tcPr>
            <w:tcW w:w="1134" w:type="dxa"/>
          </w:tcPr>
          <w:p w14:paraId="1B4DF0D2" w14:textId="77777777" w:rsidR="00AD1F54" w:rsidRPr="00264D5D" w:rsidRDefault="00941227">
            <w:pPr>
              <w:pStyle w:val="GOSTTablenorm"/>
            </w:pPr>
            <w:r w:rsidRPr="00264D5D">
              <w:t>Т(4)</w:t>
            </w:r>
          </w:p>
        </w:tc>
        <w:tc>
          <w:tcPr>
            <w:tcW w:w="567" w:type="dxa"/>
          </w:tcPr>
          <w:p w14:paraId="181C7B8A" w14:textId="77777777" w:rsidR="00AD1F54" w:rsidRPr="00264D5D" w:rsidRDefault="00941227">
            <w:pPr>
              <w:pStyle w:val="GOSTTablenorm"/>
            </w:pPr>
            <w:r w:rsidRPr="00264D5D">
              <w:t>О</w:t>
            </w:r>
          </w:p>
        </w:tc>
        <w:tc>
          <w:tcPr>
            <w:tcW w:w="4020" w:type="dxa"/>
          </w:tcPr>
          <w:p w14:paraId="17BC090B" w14:textId="77777777" w:rsidR="00AD1F54" w:rsidRPr="00264D5D" w:rsidRDefault="00941227">
            <w:pPr>
              <w:pStyle w:val="GOSTTablenorm"/>
            </w:pPr>
            <w:r w:rsidRPr="00264D5D">
              <w:t>Указывается код по фед</w:t>
            </w:r>
            <w:r w:rsidR="00A77DDB" w:rsidRPr="00264D5D">
              <w:t>еральной классификации расходов</w:t>
            </w:r>
          </w:p>
        </w:tc>
      </w:tr>
      <w:tr w:rsidR="00AD1F54" w:rsidRPr="00264D5D" w14:paraId="1D82CD5C" w14:textId="77777777" w:rsidTr="00AD1F54">
        <w:tc>
          <w:tcPr>
            <w:tcW w:w="1729" w:type="dxa"/>
          </w:tcPr>
          <w:p w14:paraId="3F5CFC67" w14:textId="77777777" w:rsidR="00AD1F54" w:rsidRPr="00264D5D" w:rsidRDefault="00941227">
            <w:pPr>
              <w:pStyle w:val="GOSTTablenorm"/>
              <w:rPr>
                <w:szCs w:val="22"/>
              </w:rPr>
            </w:pPr>
            <w:r w:rsidRPr="00264D5D">
              <w:t>Код ЦСР</w:t>
            </w:r>
          </w:p>
        </w:tc>
        <w:tc>
          <w:tcPr>
            <w:tcW w:w="1701" w:type="dxa"/>
          </w:tcPr>
          <w:p w14:paraId="6D4BCA2A" w14:textId="77777777" w:rsidR="00AD1F54" w:rsidRPr="00264D5D" w:rsidRDefault="00941227">
            <w:pPr>
              <w:pStyle w:val="GOSTTablenorm"/>
              <w:rPr>
                <w:lang w:val="en-US"/>
              </w:rPr>
            </w:pPr>
            <w:r w:rsidRPr="00264D5D">
              <w:rPr>
                <w:lang w:val="en-US"/>
              </w:rPr>
              <w:t>CodeCSR</w:t>
            </w:r>
          </w:p>
        </w:tc>
        <w:tc>
          <w:tcPr>
            <w:tcW w:w="567" w:type="dxa"/>
          </w:tcPr>
          <w:p w14:paraId="0F97A9CB" w14:textId="77777777" w:rsidR="00AD1F54" w:rsidRPr="00264D5D" w:rsidRDefault="00941227">
            <w:pPr>
              <w:pStyle w:val="GOSTTablenorm"/>
            </w:pPr>
            <w:r w:rsidRPr="00264D5D">
              <w:t>П</w:t>
            </w:r>
          </w:p>
        </w:tc>
        <w:tc>
          <w:tcPr>
            <w:tcW w:w="1134" w:type="dxa"/>
          </w:tcPr>
          <w:p w14:paraId="48598007" w14:textId="77777777" w:rsidR="00AD1F54" w:rsidRPr="00264D5D" w:rsidRDefault="00941227">
            <w:pPr>
              <w:pStyle w:val="GOSTTablenorm"/>
            </w:pPr>
            <w:r w:rsidRPr="00264D5D">
              <w:t>Т(10)</w:t>
            </w:r>
          </w:p>
        </w:tc>
        <w:tc>
          <w:tcPr>
            <w:tcW w:w="567" w:type="dxa"/>
          </w:tcPr>
          <w:p w14:paraId="2C91579F" w14:textId="77777777" w:rsidR="00AD1F54" w:rsidRPr="00264D5D" w:rsidRDefault="00941227">
            <w:pPr>
              <w:pStyle w:val="GOSTTablenorm"/>
            </w:pPr>
            <w:r w:rsidRPr="00264D5D">
              <w:t>О</w:t>
            </w:r>
          </w:p>
        </w:tc>
        <w:tc>
          <w:tcPr>
            <w:tcW w:w="4020" w:type="dxa"/>
          </w:tcPr>
          <w:p w14:paraId="5EDB48C0" w14:textId="77777777" w:rsidR="00AD1F54" w:rsidRPr="00264D5D" w:rsidRDefault="00941227">
            <w:pPr>
              <w:pStyle w:val="GOSTTablenorm"/>
            </w:pPr>
            <w:r w:rsidRPr="00264D5D">
              <w:t>Указывае</w:t>
            </w:r>
            <w:r w:rsidR="00A77DDB" w:rsidRPr="00264D5D">
              <w:t>тся код целевой статьи расходов</w:t>
            </w:r>
          </w:p>
        </w:tc>
      </w:tr>
      <w:tr w:rsidR="00AD1F54" w:rsidRPr="00264D5D" w14:paraId="2F7928E0" w14:textId="77777777" w:rsidTr="00AD1F54">
        <w:tc>
          <w:tcPr>
            <w:tcW w:w="1729" w:type="dxa"/>
          </w:tcPr>
          <w:p w14:paraId="3E0D1392" w14:textId="77777777" w:rsidR="00AD1F54" w:rsidRPr="00264D5D" w:rsidRDefault="00941227">
            <w:pPr>
              <w:pStyle w:val="GOSTTablenorm"/>
              <w:rPr>
                <w:szCs w:val="22"/>
              </w:rPr>
            </w:pPr>
            <w:r w:rsidRPr="00264D5D">
              <w:t>Код КВР</w:t>
            </w:r>
          </w:p>
        </w:tc>
        <w:tc>
          <w:tcPr>
            <w:tcW w:w="1701" w:type="dxa"/>
          </w:tcPr>
          <w:p w14:paraId="16B49704" w14:textId="77777777" w:rsidR="00AD1F54" w:rsidRPr="00264D5D" w:rsidRDefault="00941227">
            <w:pPr>
              <w:pStyle w:val="GOSTTablenorm"/>
              <w:rPr>
                <w:lang w:val="en-US"/>
              </w:rPr>
            </w:pPr>
            <w:r w:rsidRPr="00264D5D">
              <w:rPr>
                <w:lang w:val="en-US"/>
              </w:rPr>
              <w:t>CodeKVR</w:t>
            </w:r>
          </w:p>
        </w:tc>
        <w:tc>
          <w:tcPr>
            <w:tcW w:w="567" w:type="dxa"/>
          </w:tcPr>
          <w:p w14:paraId="2912392A" w14:textId="77777777" w:rsidR="00AD1F54" w:rsidRPr="00264D5D" w:rsidRDefault="00941227">
            <w:pPr>
              <w:pStyle w:val="GOSTTablenorm"/>
            </w:pPr>
            <w:r w:rsidRPr="00264D5D">
              <w:t>П</w:t>
            </w:r>
          </w:p>
        </w:tc>
        <w:tc>
          <w:tcPr>
            <w:tcW w:w="1134" w:type="dxa"/>
          </w:tcPr>
          <w:p w14:paraId="3B27C963" w14:textId="77777777" w:rsidR="00AD1F54" w:rsidRPr="00264D5D" w:rsidRDefault="00941227">
            <w:pPr>
              <w:pStyle w:val="GOSTTablenorm"/>
            </w:pPr>
            <w:r w:rsidRPr="00264D5D">
              <w:t>Т(3)</w:t>
            </w:r>
          </w:p>
        </w:tc>
        <w:tc>
          <w:tcPr>
            <w:tcW w:w="567" w:type="dxa"/>
          </w:tcPr>
          <w:p w14:paraId="0065BF99" w14:textId="77777777" w:rsidR="00AD1F54" w:rsidRPr="00264D5D" w:rsidRDefault="00941227">
            <w:pPr>
              <w:pStyle w:val="GOSTTablenorm"/>
            </w:pPr>
            <w:r w:rsidRPr="00264D5D">
              <w:t>О</w:t>
            </w:r>
          </w:p>
        </w:tc>
        <w:tc>
          <w:tcPr>
            <w:tcW w:w="4020" w:type="dxa"/>
          </w:tcPr>
          <w:p w14:paraId="5A7401E2" w14:textId="77777777" w:rsidR="00AD1F54" w:rsidRPr="00264D5D" w:rsidRDefault="00A77DDB">
            <w:pPr>
              <w:pStyle w:val="GOSTTablenorm"/>
            </w:pPr>
            <w:r w:rsidRPr="00264D5D">
              <w:t>Указывается код вида расходов</w:t>
            </w:r>
          </w:p>
        </w:tc>
      </w:tr>
      <w:tr w:rsidR="00AD1F54" w:rsidRPr="00264D5D" w14:paraId="0247AFC9" w14:textId="77777777" w:rsidTr="00AD1F54">
        <w:tc>
          <w:tcPr>
            <w:tcW w:w="1729" w:type="dxa"/>
          </w:tcPr>
          <w:p w14:paraId="5621DF35" w14:textId="77777777" w:rsidR="00AD1F54" w:rsidRPr="00264D5D" w:rsidRDefault="00941227">
            <w:pPr>
              <w:pStyle w:val="GOSTTablenorm"/>
              <w:rPr>
                <w:szCs w:val="22"/>
              </w:rPr>
            </w:pPr>
            <w:r w:rsidRPr="00264D5D">
              <w:t>Сумма в валюте по классификации</w:t>
            </w:r>
          </w:p>
        </w:tc>
        <w:tc>
          <w:tcPr>
            <w:tcW w:w="1701" w:type="dxa"/>
          </w:tcPr>
          <w:p w14:paraId="6C7CD92E" w14:textId="77777777" w:rsidR="00AD1F54" w:rsidRPr="00264D5D" w:rsidRDefault="00941227">
            <w:pPr>
              <w:pStyle w:val="GOSTTablenorm"/>
              <w:rPr>
                <w:lang w:val="en-US"/>
              </w:rPr>
            </w:pPr>
            <w:r w:rsidRPr="00264D5D">
              <w:rPr>
                <w:lang w:val="en-US"/>
              </w:rPr>
              <w:t>AmCurrClass</w:t>
            </w:r>
          </w:p>
        </w:tc>
        <w:tc>
          <w:tcPr>
            <w:tcW w:w="567" w:type="dxa"/>
          </w:tcPr>
          <w:p w14:paraId="0CA4AD41" w14:textId="77777777" w:rsidR="00AD1F54" w:rsidRPr="00264D5D" w:rsidRDefault="00941227">
            <w:pPr>
              <w:pStyle w:val="GOSTTablenorm"/>
            </w:pPr>
            <w:r w:rsidRPr="00264D5D">
              <w:t>П</w:t>
            </w:r>
          </w:p>
        </w:tc>
        <w:tc>
          <w:tcPr>
            <w:tcW w:w="1134" w:type="dxa"/>
          </w:tcPr>
          <w:p w14:paraId="24974DB0" w14:textId="77777777" w:rsidR="00AD1F54" w:rsidRPr="00264D5D" w:rsidRDefault="00941227">
            <w:pPr>
              <w:pStyle w:val="GOSTTablenorm"/>
              <w:rPr>
                <w:lang w:val="en-US"/>
              </w:rPr>
            </w:pPr>
            <w:r w:rsidRPr="00264D5D">
              <w:rPr>
                <w:lang w:val="en-US"/>
              </w:rPr>
              <w:t>N(20.2)</w:t>
            </w:r>
          </w:p>
        </w:tc>
        <w:tc>
          <w:tcPr>
            <w:tcW w:w="567" w:type="dxa"/>
          </w:tcPr>
          <w:p w14:paraId="5B8C1FD1" w14:textId="77777777" w:rsidR="00AD1F54" w:rsidRPr="00264D5D" w:rsidRDefault="00941227">
            <w:pPr>
              <w:pStyle w:val="GOSTTablenorm"/>
            </w:pPr>
            <w:r w:rsidRPr="00264D5D">
              <w:t>О</w:t>
            </w:r>
          </w:p>
        </w:tc>
        <w:tc>
          <w:tcPr>
            <w:tcW w:w="4020" w:type="dxa"/>
          </w:tcPr>
          <w:p w14:paraId="29AD8EB0" w14:textId="77777777" w:rsidR="00AD1F54" w:rsidRPr="00264D5D" w:rsidRDefault="00941227">
            <w:pPr>
              <w:pStyle w:val="GOSTTablenorm"/>
            </w:pPr>
            <w:r w:rsidRPr="00264D5D">
              <w:t>Указывается сумма документа в валюте по б</w:t>
            </w:r>
            <w:r w:rsidR="00A77DDB" w:rsidRPr="00264D5D">
              <w:t>юджетной классификации расходов</w:t>
            </w:r>
          </w:p>
        </w:tc>
      </w:tr>
    </w:tbl>
    <w:p w14:paraId="132F6E31" w14:textId="77777777" w:rsidR="00AD1F54" w:rsidRPr="00264D5D" w:rsidRDefault="00941227">
      <w:pPr>
        <w:pStyle w:val="31"/>
      </w:pPr>
      <w:bookmarkStart w:id="4896" w:name="_Toc508712771"/>
      <w:bookmarkStart w:id="4897" w:name="_Toc18509194"/>
      <w:bookmarkStart w:id="4898" w:name="_Toc143690591"/>
      <w:bookmarkStart w:id="4899" w:name="OLE_LINK366"/>
      <w:bookmarkStart w:id="4900" w:name="OLE_LINK367"/>
      <w:bookmarkStart w:id="4901" w:name="_Toc219309897"/>
      <w:r w:rsidRPr="00264D5D">
        <w:t>Описание комплексного типа «tCOWFCS»</w:t>
      </w:r>
      <w:bookmarkEnd w:id="4896"/>
      <w:bookmarkEnd w:id="4897"/>
      <w:bookmarkEnd w:id="4898"/>
      <w:bookmarkEnd w:id="4901"/>
    </w:p>
    <w:p w14:paraId="1DA2FBD0" w14:textId="77777777" w:rsidR="00AD1F54" w:rsidRPr="00264D5D" w:rsidRDefault="00941227">
      <w:pPr>
        <w:pStyle w:val="GOSTNormal"/>
      </w:pPr>
      <w:r w:rsidRPr="00264D5D">
        <w:t xml:space="preserve">Описание комплексного типа </w:t>
      </w:r>
      <w:r w:rsidRPr="00264D5D">
        <w:rPr>
          <w:rFonts w:eastAsia="Calibri"/>
        </w:rPr>
        <w:t>«</w:t>
      </w:r>
      <w:r w:rsidRPr="00264D5D">
        <w:t>tCOWFCS» блока «Расшифровка заявления на проведение операций с иностранной валютой по бюджетной классификации источников».</w:t>
      </w:r>
    </w:p>
    <w:p w14:paraId="10A312E9" w14:textId="70DEA312" w:rsidR="00AD1F54" w:rsidRPr="00264D5D" w:rsidRDefault="00941227">
      <w:pPr>
        <w:pStyle w:val="GOSTNameTable"/>
        <w:numPr>
          <w:ilvl w:val="0"/>
          <w:numId w:val="2"/>
        </w:numPr>
        <w:spacing w:before="240" w:after="120"/>
        <w:rPr>
          <w:rFonts w:eastAsia="Calibri"/>
        </w:rPr>
      </w:pPr>
      <w:r w:rsidRPr="00264D5D">
        <w:rPr>
          <w:rFonts w:eastAsia="Calibri"/>
        </w:rPr>
        <w:lastRenderedPageBreak/>
        <w:fldChar w:fldCharType="begin"/>
      </w:r>
      <w:r w:rsidRPr="00264D5D">
        <w:rPr>
          <w:rFonts w:eastAsia="Calibri"/>
        </w:rPr>
        <w:instrText xml:space="preserve"> SEQ Таблица \* ARABIC </w:instrText>
      </w:r>
      <w:r w:rsidRPr="00264D5D">
        <w:rPr>
          <w:rFonts w:eastAsia="Calibri"/>
        </w:rPr>
        <w:fldChar w:fldCharType="separate"/>
      </w:r>
      <w:bookmarkStart w:id="4902" w:name="_Ref503546027"/>
      <w:bookmarkStart w:id="4903" w:name="_Toc18509484"/>
      <w:bookmarkStart w:id="4904" w:name="_Toc219309423"/>
      <w:r w:rsidR="008D797C">
        <w:rPr>
          <w:rFonts w:eastAsia="Calibri"/>
          <w:noProof/>
        </w:rPr>
        <w:t>393</w:t>
      </w:r>
      <w:bookmarkEnd w:id="4902"/>
      <w:r w:rsidRPr="00264D5D">
        <w:rPr>
          <w:rFonts w:eastAsia="Calibri"/>
        </w:rPr>
        <w:fldChar w:fldCharType="end"/>
      </w:r>
      <w:r w:rsidRPr="00264D5D">
        <w:t xml:space="preserve"> – </w:t>
      </w:r>
      <w:r w:rsidRPr="00264D5D">
        <w:rPr>
          <w:rFonts w:eastAsia="Calibri"/>
        </w:rPr>
        <w:t>Описание комплексного типа «</w:t>
      </w:r>
      <w:r w:rsidRPr="00264D5D">
        <w:t>tCOWFCS</w:t>
      </w:r>
      <w:r w:rsidRPr="00264D5D">
        <w:rPr>
          <w:rFonts w:eastAsia="Calibri"/>
        </w:rPr>
        <w:t>»</w:t>
      </w:r>
      <w:bookmarkEnd w:id="4899"/>
      <w:bookmarkEnd w:id="4900"/>
      <w:bookmarkEnd w:id="4903"/>
      <w:bookmarkEnd w:id="4904"/>
    </w:p>
    <w:tbl>
      <w:tblPr>
        <w:tblStyle w:val="GOSTTable"/>
        <w:tblW w:w="9639" w:type="dxa"/>
        <w:tblLayout w:type="fixed"/>
        <w:tblLook w:val="07E0" w:firstRow="1" w:lastRow="1" w:firstColumn="1" w:lastColumn="1" w:noHBand="1" w:noVBand="1"/>
      </w:tblPr>
      <w:tblGrid>
        <w:gridCol w:w="1701"/>
        <w:gridCol w:w="1729"/>
        <w:gridCol w:w="567"/>
        <w:gridCol w:w="1134"/>
        <w:gridCol w:w="567"/>
        <w:gridCol w:w="3941"/>
      </w:tblGrid>
      <w:tr w:rsidR="00AD1F54" w:rsidRPr="00264D5D" w14:paraId="28330C53"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5B193EE6" w14:textId="77777777" w:rsidR="00AD1F54" w:rsidRPr="00264D5D" w:rsidRDefault="00941227">
            <w:pPr>
              <w:pStyle w:val="GOSTTableHead"/>
            </w:pPr>
            <w:r w:rsidRPr="00264D5D">
              <w:t>Наименование элемента</w:t>
            </w:r>
          </w:p>
        </w:tc>
        <w:tc>
          <w:tcPr>
            <w:tcW w:w="1729" w:type="dxa"/>
          </w:tcPr>
          <w:p w14:paraId="728ED79E" w14:textId="77777777" w:rsidR="00AD1F54" w:rsidRPr="00264D5D" w:rsidRDefault="00941227">
            <w:pPr>
              <w:pStyle w:val="GOSTTableHead"/>
            </w:pPr>
            <w:r w:rsidRPr="00264D5D">
              <w:t>Сокращенное наименование (код) элемента</w:t>
            </w:r>
          </w:p>
        </w:tc>
        <w:tc>
          <w:tcPr>
            <w:tcW w:w="567" w:type="dxa"/>
          </w:tcPr>
          <w:p w14:paraId="6CF2AEF9" w14:textId="77777777" w:rsidR="00AD1F54" w:rsidRPr="00264D5D" w:rsidRDefault="00941227">
            <w:pPr>
              <w:pStyle w:val="GOSTTableHead"/>
            </w:pPr>
            <w:r w:rsidRPr="00264D5D">
              <w:t>Тип</w:t>
            </w:r>
          </w:p>
        </w:tc>
        <w:tc>
          <w:tcPr>
            <w:tcW w:w="1134" w:type="dxa"/>
          </w:tcPr>
          <w:p w14:paraId="352F79EC" w14:textId="77777777" w:rsidR="00AD1F54" w:rsidRPr="00264D5D" w:rsidRDefault="00941227">
            <w:pPr>
              <w:pStyle w:val="GOSTTableHead"/>
            </w:pPr>
            <w:r w:rsidRPr="00264D5D">
              <w:t>Формат элемента</w:t>
            </w:r>
          </w:p>
        </w:tc>
        <w:tc>
          <w:tcPr>
            <w:tcW w:w="567" w:type="dxa"/>
          </w:tcPr>
          <w:p w14:paraId="79652920" w14:textId="77777777" w:rsidR="00AD1F54" w:rsidRPr="00264D5D" w:rsidRDefault="00941227">
            <w:pPr>
              <w:pStyle w:val="GOSTTableHead"/>
            </w:pPr>
            <w:r w:rsidRPr="00264D5D">
              <w:t>Обязательность</w:t>
            </w:r>
          </w:p>
        </w:tc>
        <w:tc>
          <w:tcPr>
            <w:tcW w:w="3941" w:type="dxa"/>
          </w:tcPr>
          <w:p w14:paraId="38E79B06" w14:textId="77777777" w:rsidR="00AD1F54" w:rsidRPr="00264D5D" w:rsidRDefault="00941227">
            <w:pPr>
              <w:pStyle w:val="GOSTTableHead"/>
              <w:rPr>
                <w:szCs w:val="22"/>
              </w:rPr>
            </w:pPr>
            <w:r w:rsidRPr="00264D5D">
              <w:rPr>
                <w:szCs w:val="22"/>
              </w:rPr>
              <w:t>Дополнительная информация</w:t>
            </w:r>
          </w:p>
        </w:tc>
      </w:tr>
      <w:tr w:rsidR="00AD1F54" w:rsidRPr="00264D5D" w14:paraId="290EA296" w14:textId="77777777" w:rsidTr="00AD1F54">
        <w:tc>
          <w:tcPr>
            <w:tcW w:w="1701" w:type="dxa"/>
          </w:tcPr>
          <w:p w14:paraId="496C8925" w14:textId="77777777" w:rsidR="00AD1F54" w:rsidRPr="00264D5D" w:rsidRDefault="00941227">
            <w:pPr>
              <w:pStyle w:val="GOSTTablenorm"/>
              <w:rPr>
                <w:szCs w:val="22"/>
              </w:rPr>
            </w:pPr>
            <w:r w:rsidRPr="00264D5D">
              <w:t>Расшифровка заявления на проведение операций с иностранной валютой по бюджетной классификации источников (строки)</w:t>
            </w:r>
          </w:p>
        </w:tc>
        <w:tc>
          <w:tcPr>
            <w:tcW w:w="1729" w:type="dxa"/>
          </w:tcPr>
          <w:p w14:paraId="63D624BC" w14:textId="77777777" w:rsidR="00AD1F54" w:rsidRPr="00264D5D" w:rsidRDefault="00941227">
            <w:pPr>
              <w:pStyle w:val="GOSTTablenorm"/>
              <w:rPr>
                <w:lang w:val="en-US"/>
              </w:rPr>
            </w:pPr>
            <w:r w:rsidRPr="00264D5D">
              <w:rPr>
                <w:lang w:val="en-US"/>
              </w:rPr>
              <w:t>COWFCS_ITEM</w:t>
            </w:r>
          </w:p>
        </w:tc>
        <w:tc>
          <w:tcPr>
            <w:tcW w:w="567" w:type="dxa"/>
          </w:tcPr>
          <w:p w14:paraId="294C2766" w14:textId="77777777" w:rsidR="00AD1F54" w:rsidRPr="00264D5D" w:rsidRDefault="00941227">
            <w:pPr>
              <w:pStyle w:val="GOSTTablenorm"/>
            </w:pPr>
            <w:r w:rsidRPr="00264D5D">
              <w:t>С</w:t>
            </w:r>
          </w:p>
        </w:tc>
        <w:tc>
          <w:tcPr>
            <w:tcW w:w="1134" w:type="dxa"/>
          </w:tcPr>
          <w:p w14:paraId="69904B7E" w14:textId="77777777" w:rsidR="00AD1F54" w:rsidRPr="00264D5D" w:rsidRDefault="00941227">
            <w:pPr>
              <w:pStyle w:val="GOSTTablenorm"/>
            </w:pPr>
            <w:r w:rsidRPr="00264D5D">
              <w:rPr>
                <w:lang w:val="en-US"/>
              </w:rPr>
              <w:t>t</w:t>
            </w:r>
            <w:r w:rsidRPr="00264D5D">
              <w:t>COWFCS_ITEM</w:t>
            </w:r>
          </w:p>
        </w:tc>
        <w:tc>
          <w:tcPr>
            <w:tcW w:w="567" w:type="dxa"/>
          </w:tcPr>
          <w:p w14:paraId="5FAD2000" w14:textId="77777777" w:rsidR="00AD1F54" w:rsidRPr="00264D5D" w:rsidRDefault="00941227">
            <w:pPr>
              <w:pStyle w:val="GOSTTablenorm"/>
            </w:pPr>
            <w:r w:rsidRPr="00264D5D">
              <w:t>ОМ</w:t>
            </w:r>
          </w:p>
        </w:tc>
        <w:tc>
          <w:tcPr>
            <w:tcW w:w="3941" w:type="dxa"/>
          </w:tcPr>
          <w:p w14:paraId="0FB18A2D" w14:textId="37DCC661" w:rsidR="00AD1F54" w:rsidRPr="00264D5D" w:rsidRDefault="00941227">
            <w:pPr>
              <w:pStyle w:val="GOSTTablenorm"/>
            </w:pPr>
            <w:r w:rsidRPr="00264D5D">
              <w:t xml:space="preserve">Состав элемента представлен в таблице </w:t>
            </w:r>
            <w:r w:rsidRPr="00264D5D">
              <w:fldChar w:fldCharType="begin"/>
            </w:r>
            <w:r w:rsidRPr="00264D5D">
              <w:instrText xml:space="preserve"> REF _Ref503546061 \h  \* MERGEFORMAT </w:instrText>
            </w:r>
            <w:r w:rsidRPr="00264D5D">
              <w:fldChar w:fldCharType="separate"/>
            </w:r>
            <w:r w:rsidR="008D797C" w:rsidRPr="008D797C">
              <w:t>394</w:t>
            </w:r>
            <w:r w:rsidRPr="00264D5D">
              <w:fldChar w:fldCharType="end"/>
            </w:r>
          </w:p>
        </w:tc>
      </w:tr>
    </w:tbl>
    <w:p w14:paraId="31801DD9" w14:textId="77777777" w:rsidR="00AD1F54" w:rsidRPr="00264D5D" w:rsidRDefault="00941227">
      <w:pPr>
        <w:pStyle w:val="31"/>
      </w:pPr>
      <w:bookmarkStart w:id="4905" w:name="_Toc508712772"/>
      <w:bookmarkStart w:id="4906" w:name="_Toc18509195"/>
      <w:bookmarkStart w:id="4907" w:name="_Toc143690592"/>
      <w:bookmarkStart w:id="4908" w:name="OLE_LINK384"/>
      <w:bookmarkStart w:id="4909" w:name="_Toc219309898"/>
      <w:r w:rsidRPr="00264D5D">
        <w:t>Описание комплексного типа «tCOWFCS_ITEM»</w:t>
      </w:r>
      <w:bookmarkEnd w:id="4905"/>
      <w:bookmarkEnd w:id="4906"/>
      <w:bookmarkEnd w:id="4907"/>
      <w:bookmarkEnd w:id="4909"/>
    </w:p>
    <w:p w14:paraId="1B05E101" w14:textId="77777777" w:rsidR="00AD1F54" w:rsidRPr="00264D5D" w:rsidRDefault="00941227">
      <w:pPr>
        <w:pStyle w:val="GOSTNormal"/>
      </w:pPr>
      <w:r w:rsidRPr="00264D5D">
        <w:t xml:space="preserve">Описание комплексного типа </w:t>
      </w:r>
      <w:r w:rsidRPr="00264D5D">
        <w:rPr>
          <w:rFonts w:eastAsia="Calibri"/>
        </w:rPr>
        <w:t>«</w:t>
      </w:r>
      <w:r w:rsidRPr="00264D5D">
        <w:t>tCOWFCS_ITEM» блока «Расшифровка заявления на проведение операций с иностранной валютой по бюджетной классификации источников (строки)».</w:t>
      </w:r>
    </w:p>
    <w:p w14:paraId="4B95AEAA" w14:textId="44FE6CEB" w:rsidR="00AD1F54" w:rsidRPr="00264D5D" w:rsidRDefault="00941227">
      <w:pPr>
        <w:pStyle w:val="GOSTNameTable"/>
        <w:numPr>
          <w:ilvl w:val="0"/>
          <w:numId w:val="2"/>
        </w:numPr>
        <w:spacing w:before="240" w:after="120"/>
      </w:pPr>
      <w:r w:rsidRPr="00264D5D">
        <w:rPr>
          <w:rFonts w:eastAsia="Calibri"/>
        </w:rPr>
        <w:fldChar w:fldCharType="begin"/>
      </w:r>
      <w:r w:rsidRPr="00264D5D">
        <w:rPr>
          <w:rFonts w:eastAsia="Calibri"/>
        </w:rPr>
        <w:instrText xml:space="preserve"> SEQ Таблица \* ARABIC </w:instrText>
      </w:r>
      <w:r w:rsidRPr="00264D5D">
        <w:rPr>
          <w:rFonts w:eastAsia="Calibri"/>
        </w:rPr>
        <w:fldChar w:fldCharType="separate"/>
      </w:r>
      <w:bookmarkStart w:id="4910" w:name="_Ref503546061"/>
      <w:bookmarkStart w:id="4911" w:name="_Toc18509485"/>
      <w:bookmarkStart w:id="4912" w:name="_Toc219309424"/>
      <w:r w:rsidR="008D797C">
        <w:rPr>
          <w:rFonts w:eastAsia="Calibri"/>
          <w:noProof/>
        </w:rPr>
        <w:t>394</w:t>
      </w:r>
      <w:bookmarkEnd w:id="4910"/>
      <w:r w:rsidRPr="00264D5D">
        <w:rPr>
          <w:rFonts w:eastAsia="Calibri"/>
        </w:rPr>
        <w:fldChar w:fldCharType="end"/>
      </w:r>
      <w:r w:rsidRPr="00264D5D">
        <w:t xml:space="preserve"> – </w:t>
      </w:r>
      <w:r w:rsidRPr="00264D5D">
        <w:rPr>
          <w:rFonts w:eastAsia="Calibri"/>
        </w:rPr>
        <w:t>Описание комплексного типа «</w:t>
      </w:r>
      <w:r w:rsidRPr="00264D5D">
        <w:t>tCOWFCS_ITEM</w:t>
      </w:r>
      <w:r w:rsidRPr="00264D5D">
        <w:rPr>
          <w:rFonts w:eastAsia="Calibri"/>
        </w:rPr>
        <w:t>»</w:t>
      </w:r>
      <w:bookmarkEnd w:id="4908"/>
      <w:bookmarkEnd w:id="4911"/>
      <w:bookmarkEnd w:id="4912"/>
    </w:p>
    <w:tbl>
      <w:tblPr>
        <w:tblStyle w:val="GOSTTable"/>
        <w:tblW w:w="9639" w:type="dxa"/>
        <w:tblLayout w:type="fixed"/>
        <w:tblLook w:val="07E0" w:firstRow="1" w:lastRow="1" w:firstColumn="1" w:lastColumn="1" w:noHBand="1" w:noVBand="1"/>
      </w:tblPr>
      <w:tblGrid>
        <w:gridCol w:w="1701"/>
        <w:gridCol w:w="1701"/>
        <w:gridCol w:w="567"/>
        <w:gridCol w:w="1134"/>
        <w:gridCol w:w="567"/>
        <w:gridCol w:w="3969"/>
      </w:tblGrid>
      <w:tr w:rsidR="00AD1F54" w:rsidRPr="00264D5D" w14:paraId="4EBAB397"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485A9EA7" w14:textId="77777777" w:rsidR="00AD1F54" w:rsidRPr="00264D5D" w:rsidRDefault="00941227">
            <w:pPr>
              <w:pStyle w:val="GOSTTableHead"/>
            </w:pPr>
            <w:r w:rsidRPr="00264D5D">
              <w:t>Наименование элемента</w:t>
            </w:r>
          </w:p>
        </w:tc>
        <w:tc>
          <w:tcPr>
            <w:tcW w:w="1701" w:type="dxa"/>
          </w:tcPr>
          <w:p w14:paraId="57853FEA" w14:textId="77777777" w:rsidR="00AD1F54" w:rsidRPr="00264D5D" w:rsidRDefault="00941227">
            <w:pPr>
              <w:pStyle w:val="GOSTTableHead"/>
            </w:pPr>
            <w:r w:rsidRPr="00264D5D">
              <w:t>Сокращенное наименование (код) элемента</w:t>
            </w:r>
          </w:p>
        </w:tc>
        <w:tc>
          <w:tcPr>
            <w:tcW w:w="567" w:type="dxa"/>
          </w:tcPr>
          <w:p w14:paraId="2DF1C648" w14:textId="77777777" w:rsidR="00AD1F54" w:rsidRPr="00264D5D" w:rsidRDefault="00941227">
            <w:pPr>
              <w:pStyle w:val="GOSTTableHead"/>
            </w:pPr>
            <w:r w:rsidRPr="00264D5D">
              <w:t>Тип</w:t>
            </w:r>
          </w:p>
        </w:tc>
        <w:tc>
          <w:tcPr>
            <w:tcW w:w="1134" w:type="dxa"/>
          </w:tcPr>
          <w:p w14:paraId="2F507C91" w14:textId="77777777" w:rsidR="00AD1F54" w:rsidRPr="00264D5D" w:rsidRDefault="00941227">
            <w:pPr>
              <w:pStyle w:val="GOSTTableHead"/>
            </w:pPr>
            <w:r w:rsidRPr="00264D5D">
              <w:t>Формат элемента</w:t>
            </w:r>
          </w:p>
        </w:tc>
        <w:tc>
          <w:tcPr>
            <w:tcW w:w="567" w:type="dxa"/>
          </w:tcPr>
          <w:p w14:paraId="3DC79A4C" w14:textId="77777777" w:rsidR="00AD1F54" w:rsidRPr="00264D5D" w:rsidRDefault="00941227">
            <w:pPr>
              <w:pStyle w:val="GOSTTableHead"/>
            </w:pPr>
            <w:r w:rsidRPr="00264D5D">
              <w:t>Обязательность</w:t>
            </w:r>
          </w:p>
        </w:tc>
        <w:tc>
          <w:tcPr>
            <w:tcW w:w="3969" w:type="dxa"/>
          </w:tcPr>
          <w:p w14:paraId="2D77245C" w14:textId="77777777" w:rsidR="00AD1F54" w:rsidRPr="00264D5D" w:rsidRDefault="00941227">
            <w:pPr>
              <w:pStyle w:val="GOSTTableHead"/>
              <w:rPr>
                <w:szCs w:val="22"/>
              </w:rPr>
            </w:pPr>
            <w:r w:rsidRPr="00264D5D">
              <w:rPr>
                <w:szCs w:val="22"/>
              </w:rPr>
              <w:t>Дополнительная информация</w:t>
            </w:r>
          </w:p>
        </w:tc>
      </w:tr>
      <w:tr w:rsidR="00AD1F54" w:rsidRPr="00264D5D" w14:paraId="6F9B19DF" w14:textId="77777777" w:rsidTr="00AD1F54">
        <w:tc>
          <w:tcPr>
            <w:tcW w:w="1701" w:type="dxa"/>
          </w:tcPr>
          <w:p w14:paraId="6B887D59" w14:textId="77777777" w:rsidR="00AD1F54" w:rsidRPr="00264D5D" w:rsidRDefault="00941227">
            <w:pPr>
              <w:pStyle w:val="GOSTTablenorm"/>
              <w:rPr>
                <w:szCs w:val="22"/>
              </w:rPr>
            </w:pPr>
            <w:r w:rsidRPr="00264D5D">
              <w:t>Код администратора</w:t>
            </w:r>
          </w:p>
        </w:tc>
        <w:tc>
          <w:tcPr>
            <w:tcW w:w="1701" w:type="dxa"/>
          </w:tcPr>
          <w:p w14:paraId="6E3DA2D6" w14:textId="77777777" w:rsidR="00AD1F54" w:rsidRPr="00264D5D" w:rsidRDefault="00941227">
            <w:pPr>
              <w:pStyle w:val="GOSTTablenorm"/>
              <w:rPr>
                <w:lang w:val="en-US"/>
              </w:rPr>
            </w:pPr>
            <w:r w:rsidRPr="00264D5D">
              <w:rPr>
                <w:lang w:val="en-US"/>
              </w:rPr>
              <w:t>CodeAdmin</w:t>
            </w:r>
          </w:p>
        </w:tc>
        <w:tc>
          <w:tcPr>
            <w:tcW w:w="567" w:type="dxa"/>
          </w:tcPr>
          <w:p w14:paraId="4D9CCDF9" w14:textId="77777777" w:rsidR="00AD1F54" w:rsidRPr="00264D5D" w:rsidRDefault="00941227">
            <w:pPr>
              <w:pStyle w:val="GOSTTablenorm"/>
            </w:pPr>
            <w:r w:rsidRPr="00264D5D">
              <w:t>П</w:t>
            </w:r>
          </w:p>
        </w:tc>
        <w:tc>
          <w:tcPr>
            <w:tcW w:w="1134" w:type="dxa"/>
          </w:tcPr>
          <w:p w14:paraId="1396A865" w14:textId="77777777" w:rsidR="00AD1F54" w:rsidRPr="00264D5D" w:rsidRDefault="00941227">
            <w:pPr>
              <w:pStyle w:val="GOSTTablenorm"/>
            </w:pPr>
            <w:r w:rsidRPr="00264D5D">
              <w:t>Т(3)</w:t>
            </w:r>
          </w:p>
        </w:tc>
        <w:tc>
          <w:tcPr>
            <w:tcW w:w="567" w:type="dxa"/>
          </w:tcPr>
          <w:p w14:paraId="15C6E37D" w14:textId="77777777" w:rsidR="00AD1F54" w:rsidRPr="00264D5D" w:rsidRDefault="00941227">
            <w:pPr>
              <w:pStyle w:val="GOSTTablenorm"/>
            </w:pPr>
            <w:r w:rsidRPr="00264D5D">
              <w:t>О</w:t>
            </w:r>
          </w:p>
        </w:tc>
        <w:tc>
          <w:tcPr>
            <w:tcW w:w="3969" w:type="dxa"/>
          </w:tcPr>
          <w:p w14:paraId="0A12001D" w14:textId="77777777" w:rsidR="00AD1F54" w:rsidRPr="00264D5D" w:rsidRDefault="00941227">
            <w:pPr>
              <w:pStyle w:val="GOSTTablenorm"/>
            </w:pPr>
            <w:r w:rsidRPr="00264D5D">
              <w:t>Указывается код администратора</w:t>
            </w:r>
          </w:p>
        </w:tc>
      </w:tr>
      <w:tr w:rsidR="00AD1F54" w:rsidRPr="00264D5D" w14:paraId="5D975055" w14:textId="77777777" w:rsidTr="00AD1F54">
        <w:tc>
          <w:tcPr>
            <w:tcW w:w="1701" w:type="dxa"/>
          </w:tcPr>
          <w:p w14:paraId="2C3C68D7" w14:textId="77777777" w:rsidR="00AD1F54" w:rsidRPr="00264D5D" w:rsidRDefault="00941227">
            <w:pPr>
              <w:pStyle w:val="GOSTTablenorm"/>
              <w:rPr>
                <w:szCs w:val="22"/>
              </w:rPr>
            </w:pPr>
            <w:r w:rsidRPr="00264D5D">
              <w:t>Код внешних источников финансирования</w:t>
            </w:r>
          </w:p>
        </w:tc>
        <w:tc>
          <w:tcPr>
            <w:tcW w:w="1701" w:type="dxa"/>
          </w:tcPr>
          <w:p w14:paraId="248EB814" w14:textId="77777777" w:rsidR="00AD1F54" w:rsidRPr="00264D5D" w:rsidRDefault="00941227">
            <w:pPr>
              <w:pStyle w:val="GOSTTablenorm"/>
              <w:rPr>
                <w:lang w:val="en-US"/>
              </w:rPr>
            </w:pPr>
            <w:r w:rsidRPr="00264D5D">
              <w:rPr>
                <w:lang w:val="en-US"/>
              </w:rPr>
              <w:t>KIVNF</w:t>
            </w:r>
          </w:p>
        </w:tc>
        <w:tc>
          <w:tcPr>
            <w:tcW w:w="567" w:type="dxa"/>
          </w:tcPr>
          <w:p w14:paraId="1238A50B" w14:textId="77777777" w:rsidR="00AD1F54" w:rsidRPr="00264D5D" w:rsidRDefault="00941227">
            <w:pPr>
              <w:pStyle w:val="GOSTTablenorm"/>
            </w:pPr>
            <w:r w:rsidRPr="00264D5D">
              <w:t>П</w:t>
            </w:r>
          </w:p>
        </w:tc>
        <w:tc>
          <w:tcPr>
            <w:tcW w:w="1134" w:type="dxa"/>
          </w:tcPr>
          <w:p w14:paraId="22205F4E" w14:textId="77777777" w:rsidR="00AD1F54" w:rsidRPr="00264D5D" w:rsidRDefault="00941227">
            <w:pPr>
              <w:pStyle w:val="GOSTTablenorm"/>
            </w:pPr>
            <w:r w:rsidRPr="00264D5D">
              <w:t>Т(</w:t>
            </w:r>
            <w:r w:rsidRPr="00264D5D">
              <w:rPr>
                <w:lang w:val="en-US"/>
              </w:rPr>
              <w:t>17</w:t>
            </w:r>
            <w:r w:rsidRPr="00264D5D">
              <w:t>)</w:t>
            </w:r>
          </w:p>
        </w:tc>
        <w:tc>
          <w:tcPr>
            <w:tcW w:w="567" w:type="dxa"/>
          </w:tcPr>
          <w:p w14:paraId="4EF4F1AD" w14:textId="77777777" w:rsidR="00AD1F54" w:rsidRPr="00264D5D" w:rsidRDefault="00941227">
            <w:pPr>
              <w:pStyle w:val="GOSTTablenorm"/>
            </w:pPr>
            <w:r w:rsidRPr="00264D5D">
              <w:t>О</w:t>
            </w:r>
          </w:p>
        </w:tc>
        <w:tc>
          <w:tcPr>
            <w:tcW w:w="3969" w:type="dxa"/>
          </w:tcPr>
          <w:p w14:paraId="25E8587C" w14:textId="77777777" w:rsidR="00AD1F54" w:rsidRPr="00264D5D" w:rsidRDefault="00941227">
            <w:pPr>
              <w:pStyle w:val="GOSTTablenorm"/>
            </w:pPr>
            <w:r w:rsidRPr="00264D5D">
              <w:t>Указывается код внешних источников финансирования</w:t>
            </w:r>
          </w:p>
        </w:tc>
      </w:tr>
      <w:tr w:rsidR="00AD1F54" w:rsidRPr="00264D5D" w14:paraId="4E9FD178" w14:textId="77777777" w:rsidTr="00AD1F54">
        <w:tc>
          <w:tcPr>
            <w:tcW w:w="1701" w:type="dxa"/>
          </w:tcPr>
          <w:p w14:paraId="10F1AB11" w14:textId="77777777" w:rsidR="00AD1F54" w:rsidRPr="00264D5D" w:rsidRDefault="00941227">
            <w:pPr>
              <w:pStyle w:val="GOSTTablenorm"/>
              <w:rPr>
                <w:szCs w:val="22"/>
              </w:rPr>
            </w:pPr>
            <w:r w:rsidRPr="00264D5D">
              <w:t>Сумма в валюте по классификации</w:t>
            </w:r>
          </w:p>
        </w:tc>
        <w:tc>
          <w:tcPr>
            <w:tcW w:w="1701" w:type="dxa"/>
          </w:tcPr>
          <w:p w14:paraId="223C6B04" w14:textId="77777777" w:rsidR="00AD1F54" w:rsidRPr="00264D5D" w:rsidRDefault="00941227">
            <w:pPr>
              <w:pStyle w:val="GOSTTablenorm"/>
              <w:rPr>
                <w:lang w:val="en-US"/>
              </w:rPr>
            </w:pPr>
            <w:r w:rsidRPr="00264D5D">
              <w:rPr>
                <w:lang w:val="en-US"/>
              </w:rPr>
              <w:t>AmCurrClass</w:t>
            </w:r>
          </w:p>
        </w:tc>
        <w:tc>
          <w:tcPr>
            <w:tcW w:w="567" w:type="dxa"/>
          </w:tcPr>
          <w:p w14:paraId="02E24901" w14:textId="77777777" w:rsidR="00AD1F54" w:rsidRPr="00264D5D" w:rsidRDefault="00941227">
            <w:pPr>
              <w:pStyle w:val="GOSTTablenorm"/>
            </w:pPr>
            <w:r w:rsidRPr="00264D5D">
              <w:t>П</w:t>
            </w:r>
          </w:p>
        </w:tc>
        <w:tc>
          <w:tcPr>
            <w:tcW w:w="1134" w:type="dxa"/>
          </w:tcPr>
          <w:p w14:paraId="3E1768F4" w14:textId="77777777" w:rsidR="00AD1F54" w:rsidRPr="00264D5D" w:rsidRDefault="00941227">
            <w:pPr>
              <w:pStyle w:val="GOSTTablenorm"/>
            </w:pPr>
            <w:r w:rsidRPr="00264D5D">
              <w:rPr>
                <w:lang w:val="en-US"/>
              </w:rPr>
              <w:t>N(20.2)</w:t>
            </w:r>
          </w:p>
        </w:tc>
        <w:tc>
          <w:tcPr>
            <w:tcW w:w="567" w:type="dxa"/>
          </w:tcPr>
          <w:p w14:paraId="23223E53" w14:textId="77777777" w:rsidR="00AD1F54" w:rsidRPr="00264D5D" w:rsidRDefault="00941227">
            <w:pPr>
              <w:pStyle w:val="GOSTTablenorm"/>
            </w:pPr>
            <w:r w:rsidRPr="00264D5D">
              <w:t>О</w:t>
            </w:r>
          </w:p>
        </w:tc>
        <w:tc>
          <w:tcPr>
            <w:tcW w:w="3969" w:type="dxa"/>
          </w:tcPr>
          <w:p w14:paraId="73BDACEC" w14:textId="77777777" w:rsidR="00AD1F54" w:rsidRPr="00264D5D" w:rsidRDefault="00941227">
            <w:pPr>
              <w:pStyle w:val="GOSTTablenorm"/>
            </w:pPr>
            <w:r w:rsidRPr="00264D5D">
              <w:t>Указывается сумма в валюте по классификации</w:t>
            </w:r>
          </w:p>
        </w:tc>
      </w:tr>
    </w:tbl>
    <w:p w14:paraId="6433CC9F" w14:textId="77777777" w:rsidR="00AD1F54" w:rsidRPr="00264D5D" w:rsidRDefault="00941227">
      <w:pPr>
        <w:pStyle w:val="31"/>
      </w:pPr>
      <w:bookmarkStart w:id="4913" w:name="_Toc508712773"/>
      <w:bookmarkStart w:id="4914" w:name="_Toc18509196"/>
      <w:bookmarkStart w:id="4915" w:name="_Toc143690593"/>
      <w:bookmarkStart w:id="4916" w:name="OLE_LINK395"/>
      <w:bookmarkStart w:id="4917" w:name="_Toc219309899"/>
      <w:r w:rsidRPr="00264D5D">
        <w:t>Описание комплексного типа «tCOWFCR»</w:t>
      </w:r>
      <w:bookmarkEnd w:id="4913"/>
      <w:bookmarkEnd w:id="4914"/>
      <w:bookmarkEnd w:id="4915"/>
      <w:bookmarkEnd w:id="4917"/>
    </w:p>
    <w:p w14:paraId="323DDC69" w14:textId="77777777" w:rsidR="00AD1F54" w:rsidRPr="00264D5D" w:rsidRDefault="00941227">
      <w:pPr>
        <w:pStyle w:val="GOSTNormal"/>
      </w:pPr>
      <w:r w:rsidRPr="00264D5D">
        <w:t xml:space="preserve">Описание комплексного типа </w:t>
      </w:r>
      <w:r w:rsidRPr="00264D5D">
        <w:rPr>
          <w:rFonts w:eastAsia="Calibri"/>
        </w:rPr>
        <w:t>«</w:t>
      </w:r>
      <w:r w:rsidRPr="00264D5D">
        <w:t>tCOWFCR» блока «Расшифровка заявления на проведение операций с иностранной валютой по бюджетной классификации доходов».</w:t>
      </w:r>
    </w:p>
    <w:p w14:paraId="0A3D6A29" w14:textId="7C9E0087" w:rsidR="00AD1F54" w:rsidRPr="00264D5D" w:rsidRDefault="00941227">
      <w:pPr>
        <w:pStyle w:val="GOSTNameTable"/>
        <w:numPr>
          <w:ilvl w:val="0"/>
          <w:numId w:val="2"/>
        </w:numPr>
        <w:spacing w:before="240" w:after="120"/>
        <w:rPr>
          <w:rFonts w:eastAsia="Calibri"/>
        </w:rPr>
      </w:pPr>
      <w:r w:rsidRPr="00264D5D">
        <w:rPr>
          <w:rFonts w:eastAsia="Calibri"/>
        </w:rPr>
        <w:lastRenderedPageBreak/>
        <w:fldChar w:fldCharType="begin"/>
      </w:r>
      <w:r w:rsidRPr="00264D5D">
        <w:rPr>
          <w:rFonts w:eastAsia="Calibri"/>
        </w:rPr>
        <w:instrText xml:space="preserve"> SEQ Таблица \* ARABIC </w:instrText>
      </w:r>
      <w:r w:rsidRPr="00264D5D">
        <w:rPr>
          <w:rFonts w:eastAsia="Calibri"/>
        </w:rPr>
        <w:fldChar w:fldCharType="separate"/>
      </w:r>
      <w:bookmarkStart w:id="4918" w:name="_Ref503546035"/>
      <w:bookmarkStart w:id="4919" w:name="_Toc18509486"/>
      <w:bookmarkStart w:id="4920" w:name="_Toc219309425"/>
      <w:r w:rsidR="008D797C">
        <w:rPr>
          <w:rFonts w:eastAsia="Calibri"/>
          <w:noProof/>
        </w:rPr>
        <w:t>395</w:t>
      </w:r>
      <w:bookmarkEnd w:id="4918"/>
      <w:r w:rsidRPr="00264D5D">
        <w:rPr>
          <w:rFonts w:eastAsia="Calibri"/>
        </w:rPr>
        <w:fldChar w:fldCharType="end"/>
      </w:r>
      <w:r w:rsidRPr="00264D5D">
        <w:t xml:space="preserve"> – </w:t>
      </w:r>
      <w:r w:rsidRPr="00264D5D">
        <w:rPr>
          <w:rFonts w:eastAsia="Calibri"/>
        </w:rPr>
        <w:t>Описание комплексного типа «</w:t>
      </w:r>
      <w:r w:rsidRPr="00264D5D">
        <w:t>tCOWFCR</w:t>
      </w:r>
      <w:r w:rsidRPr="00264D5D">
        <w:rPr>
          <w:rFonts w:eastAsia="Calibri"/>
        </w:rPr>
        <w:t>»</w:t>
      </w:r>
      <w:bookmarkEnd w:id="4916"/>
      <w:bookmarkEnd w:id="4919"/>
      <w:bookmarkEnd w:id="4920"/>
    </w:p>
    <w:tbl>
      <w:tblPr>
        <w:tblStyle w:val="GOSTTable"/>
        <w:tblW w:w="9639" w:type="dxa"/>
        <w:tblLayout w:type="fixed"/>
        <w:tblLook w:val="07E0" w:firstRow="1" w:lastRow="1" w:firstColumn="1" w:lastColumn="1" w:noHBand="1" w:noVBand="1"/>
      </w:tblPr>
      <w:tblGrid>
        <w:gridCol w:w="1729"/>
        <w:gridCol w:w="1701"/>
        <w:gridCol w:w="567"/>
        <w:gridCol w:w="1134"/>
        <w:gridCol w:w="567"/>
        <w:gridCol w:w="3941"/>
      </w:tblGrid>
      <w:tr w:rsidR="00AD1F54" w:rsidRPr="00264D5D" w14:paraId="2BCD78AF"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29" w:type="dxa"/>
          </w:tcPr>
          <w:p w14:paraId="711E5B57" w14:textId="77777777" w:rsidR="00AD1F54" w:rsidRPr="00264D5D" w:rsidRDefault="00941227">
            <w:pPr>
              <w:pStyle w:val="GOSTTableHead"/>
            </w:pPr>
            <w:r w:rsidRPr="00264D5D">
              <w:t>Наименование элемента</w:t>
            </w:r>
          </w:p>
        </w:tc>
        <w:tc>
          <w:tcPr>
            <w:tcW w:w="1701" w:type="dxa"/>
          </w:tcPr>
          <w:p w14:paraId="34A31E81" w14:textId="77777777" w:rsidR="00AD1F54" w:rsidRPr="00264D5D" w:rsidRDefault="00941227">
            <w:pPr>
              <w:pStyle w:val="GOSTTableHead"/>
            </w:pPr>
            <w:r w:rsidRPr="00264D5D">
              <w:t>Сокращенное наименование (код) элемента</w:t>
            </w:r>
          </w:p>
        </w:tc>
        <w:tc>
          <w:tcPr>
            <w:tcW w:w="567" w:type="dxa"/>
          </w:tcPr>
          <w:p w14:paraId="70D6051D" w14:textId="77777777" w:rsidR="00AD1F54" w:rsidRPr="00264D5D" w:rsidRDefault="00941227">
            <w:pPr>
              <w:pStyle w:val="GOSTTableHead"/>
            </w:pPr>
            <w:r w:rsidRPr="00264D5D">
              <w:t>Тип</w:t>
            </w:r>
          </w:p>
        </w:tc>
        <w:tc>
          <w:tcPr>
            <w:tcW w:w="1134" w:type="dxa"/>
          </w:tcPr>
          <w:p w14:paraId="5D8F29F6" w14:textId="77777777" w:rsidR="00AD1F54" w:rsidRPr="00264D5D" w:rsidRDefault="00941227">
            <w:pPr>
              <w:pStyle w:val="GOSTTableHead"/>
            </w:pPr>
            <w:r w:rsidRPr="00264D5D">
              <w:t>Формат элемента</w:t>
            </w:r>
          </w:p>
        </w:tc>
        <w:tc>
          <w:tcPr>
            <w:tcW w:w="567" w:type="dxa"/>
          </w:tcPr>
          <w:p w14:paraId="5849A918" w14:textId="77777777" w:rsidR="00AD1F54" w:rsidRPr="00264D5D" w:rsidRDefault="00941227">
            <w:pPr>
              <w:pStyle w:val="GOSTTableHead"/>
            </w:pPr>
            <w:r w:rsidRPr="00264D5D">
              <w:t>Обязательность</w:t>
            </w:r>
          </w:p>
        </w:tc>
        <w:tc>
          <w:tcPr>
            <w:tcW w:w="3941" w:type="dxa"/>
          </w:tcPr>
          <w:p w14:paraId="1CE8D8AF" w14:textId="77777777" w:rsidR="00AD1F54" w:rsidRPr="00264D5D" w:rsidRDefault="00941227">
            <w:pPr>
              <w:pStyle w:val="GOSTTableHead"/>
            </w:pPr>
            <w:r w:rsidRPr="00264D5D">
              <w:t>Дополнительная информация</w:t>
            </w:r>
          </w:p>
        </w:tc>
      </w:tr>
      <w:tr w:rsidR="00AD1F54" w:rsidRPr="00264D5D" w14:paraId="2FC9DE38" w14:textId="77777777" w:rsidTr="00AD1F54">
        <w:tc>
          <w:tcPr>
            <w:tcW w:w="1729" w:type="dxa"/>
          </w:tcPr>
          <w:p w14:paraId="049B9384" w14:textId="77777777" w:rsidR="00AD1F54" w:rsidRPr="00264D5D" w:rsidRDefault="00941227">
            <w:pPr>
              <w:pStyle w:val="GOSTTablenorm"/>
            </w:pPr>
            <w:r w:rsidRPr="00264D5D">
              <w:t>Расшифровка заявления на проведение операций с иностранной валютой по бюджетной классификации доходов (строки)</w:t>
            </w:r>
          </w:p>
        </w:tc>
        <w:tc>
          <w:tcPr>
            <w:tcW w:w="1701" w:type="dxa"/>
          </w:tcPr>
          <w:p w14:paraId="5F76DC6F" w14:textId="77777777" w:rsidR="00AD1F54" w:rsidRPr="00264D5D" w:rsidRDefault="00941227">
            <w:pPr>
              <w:pStyle w:val="GOSTTablenorm"/>
            </w:pPr>
            <w:r w:rsidRPr="00264D5D">
              <w:t>COWFCR_ITEM</w:t>
            </w:r>
          </w:p>
        </w:tc>
        <w:tc>
          <w:tcPr>
            <w:tcW w:w="567" w:type="dxa"/>
          </w:tcPr>
          <w:p w14:paraId="6DF371FA" w14:textId="77777777" w:rsidR="00AD1F54" w:rsidRPr="00264D5D" w:rsidRDefault="00941227">
            <w:pPr>
              <w:pStyle w:val="GOSTTablenorm"/>
            </w:pPr>
            <w:r w:rsidRPr="00264D5D">
              <w:t>С</w:t>
            </w:r>
          </w:p>
        </w:tc>
        <w:tc>
          <w:tcPr>
            <w:tcW w:w="1134" w:type="dxa"/>
          </w:tcPr>
          <w:p w14:paraId="2F6873FD" w14:textId="77777777" w:rsidR="00AD1F54" w:rsidRPr="00264D5D" w:rsidRDefault="00941227">
            <w:pPr>
              <w:pStyle w:val="GOSTTablenorm"/>
            </w:pPr>
            <w:r w:rsidRPr="00264D5D">
              <w:t>tCOWFCR_ITEM</w:t>
            </w:r>
          </w:p>
        </w:tc>
        <w:tc>
          <w:tcPr>
            <w:tcW w:w="567" w:type="dxa"/>
          </w:tcPr>
          <w:p w14:paraId="5536879A" w14:textId="77777777" w:rsidR="00AD1F54" w:rsidRPr="00264D5D" w:rsidRDefault="00941227">
            <w:pPr>
              <w:pStyle w:val="GOSTTablenorm"/>
            </w:pPr>
            <w:r w:rsidRPr="00264D5D">
              <w:t>ОМ</w:t>
            </w:r>
          </w:p>
        </w:tc>
        <w:tc>
          <w:tcPr>
            <w:tcW w:w="3941" w:type="dxa"/>
          </w:tcPr>
          <w:p w14:paraId="27FCFEDB" w14:textId="0F3E41A2" w:rsidR="00AD1F54" w:rsidRPr="00264D5D" w:rsidRDefault="00941227">
            <w:pPr>
              <w:pStyle w:val="GOSTTablenorm"/>
            </w:pPr>
            <w:r w:rsidRPr="00264D5D">
              <w:t xml:space="preserve">Состав элемента представлен в таблице </w:t>
            </w:r>
            <w:r w:rsidRPr="00264D5D">
              <w:fldChar w:fldCharType="begin"/>
            </w:r>
            <w:r w:rsidRPr="00264D5D">
              <w:instrText xml:space="preserve"> REF _Ref503546073 \h  \* MERGEFORMAT </w:instrText>
            </w:r>
            <w:r w:rsidRPr="00264D5D">
              <w:fldChar w:fldCharType="separate"/>
            </w:r>
            <w:r w:rsidR="008D797C" w:rsidRPr="008D797C">
              <w:rPr>
                <w:rFonts w:eastAsia="Calibri"/>
              </w:rPr>
              <w:t>396</w:t>
            </w:r>
            <w:r w:rsidRPr="00264D5D">
              <w:fldChar w:fldCharType="end"/>
            </w:r>
          </w:p>
        </w:tc>
      </w:tr>
    </w:tbl>
    <w:p w14:paraId="6E5EC8D5" w14:textId="77777777" w:rsidR="00AD1F54" w:rsidRPr="00A64441" w:rsidRDefault="00941227">
      <w:pPr>
        <w:pStyle w:val="31"/>
        <w:rPr>
          <w:highlight w:val="green"/>
        </w:rPr>
      </w:pPr>
      <w:bookmarkStart w:id="4921" w:name="_Toc508712774"/>
      <w:bookmarkStart w:id="4922" w:name="_Toc18509197"/>
      <w:bookmarkStart w:id="4923" w:name="_Toc143690594"/>
      <w:bookmarkStart w:id="4924" w:name="OLE_LINK406"/>
      <w:bookmarkStart w:id="4925" w:name="OLE_LINK407"/>
      <w:bookmarkStart w:id="4926" w:name="_Toc219309900"/>
      <w:r w:rsidRPr="00A64441">
        <w:rPr>
          <w:highlight w:val="green"/>
        </w:rPr>
        <w:t>Описание комплексного типа «tCOWFCR_ITEM»</w:t>
      </w:r>
      <w:bookmarkEnd w:id="4921"/>
      <w:bookmarkEnd w:id="4922"/>
      <w:bookmarkEnd w:id="4923"/>
      <w:bookmarkEnd w:id="4924"/>
      <w:bookmarkEnd w:id="4925"/>
      <w:bookmarkEnd w:id="4926"/>
    </w:p>
    <w:p w14:paraId="454B7FF3" w14:textId="77777777" w:rsidR="00AD1F54" w:rsidRPr="00264D5D" w:rsidRDefault="00941227">
      <w:pPr>
        <w:pStyle w:val="GOSTNormal"/>
      </w:pPr>
      <w:r w:rsidRPr="00264D5D">
        <w:t xml:space="preserve">Описание комплексного типа </w:t>
      </w:r>
      <w:r w:rsidRPr="00264D5D">
        <w:rPr>
          <w:rFonts w:eastAsia="Calibri"/>
        </w:rPr>
        <w:t>«</w:t>
      </w:r>
      <w:r w:rsidRPr="00264D5D">
        <w:t>tCOWFCR_ITEM» блока «Расшифровка заявления на проведение операций с иностранной валютой по бюджетной классификации доходов (строки)».</w:t>
      </w:r>
    </w:p>
    <w:p w14:paraId="7C786EC1" w14:textId="04FEFE6B" w:rsidR="00AD1F54" w:rsidRPr="00A64441" w:rsidRDefault="00941227">
      <w:pPr>
        <w:pStyle w:val="GOSTNameTable"/>
        <w:numPr>
          <w:ilvl w:val="0"/>
          <w:numId w:val="2"/>
        </w:numPr>
        <w:spacing w:before="240" w:after="120"/>
        <w:rPr>
          <w:rFonts w:eastAsia="Calibri"/>
          <w:highlight w:val="green"/>
        </w:rPr>
      </w:pPr>
      <w:r w:rsidRPr="00A64441">
        <w:rPr>
          <w:rFonts w:eastAsia="Calibri"/>
          <w:highlight w:val="green"/>
        </w:rPr>
        <w:fldChar w:fldCharType="begin"/>
      </w:r>
      <w:r w:rsidRPr="00A64441">
        <w:rPr>
          <w:rFonts w:eastAsia="Calibri"/>
          <w:highlight w:val="green"/>
        </w:rPr>
        <w:instrText xml:space="preserve"> SEQ Таблица \* ARABIC </w:instrText>
      </w:r>
      <w:r w:rsidRPr="00A64441">
        <w:rPr>
          <w:rFonts w:eastAsia="Calibri"/>
          <w:highlight w:val="green"/>
        </w:rPr>
        <w:fldChar w:fldCharType="separate"/>
      </w:r>
      <w:bookmarkStart w:id="4927" w:name="_Ref503546073"/>
      <w:bookmarkStart w:id="4928" w:name="_Toc18509487"/>
      <w:bookmarkStart w:id="4929" w:name="_Toc219309426"/>
      <w:r w:rsidR="008D797C">
        <w:rPr>
          <w:rFonts w:eastAsia="Calibri"/>
          <w:noProof/>
          <w:highlight w:val="green"/>
        </w:rPr>
        <w:t>396</w:t>
      </w:r>
      <w:bookmarkEnd w:id="4927"/>
      <w:r w:rsidRPr="00A64441">
        <w:rPr>
          <w:rFonts w:eastAsia="Calibri"/>
          <w:highlight w:val="green"/>
        </w:rPr>
        <w:fldChar w:fldCharType="end"/>
      </w:r>
      <w:r w:rsidRPr="00A64441">
        <w:rPr>
          <w:highlight w:val="green"/>
        </w:rPr>
        <w:t xml:space="preserve"> – </w:t>
      </w:r>
      <w:r w:rsidRPr="00A64441">
        <w:rPr>
          <w:rFonts w:eastAsia="Calibri"/>
          <w:highlight w:val="green"/>
        </w:rPr>
        <w:t>Описание комплексного типа «</w:t>
      </w:r>
      <w:r w:rsidRPr="00A64441">
        <w:rPr>
          <w:highlight w:val="green"/>
        </w:rPr>
        <w:t>tCOWFCR_ITEM</w:t>
      </w:r>
      <w:r w:rsidRPr="00A64441">
        <w:rPr>
          <w:rFonts w:eastAsia="Calibri"/>
          <w:highlight w:val="green"/>
        </w:rPr>
        <w:t>»</w:t>
      </w:r>
      <w:bookmarkEnd w:id="4928"/>
      <w:bookmarkEnd w:id="4929"/>
    </w:p>
    <w:tbl>
      <w:tblPr>
        <w:tblStyle w:val="GOSTTable"/>
        <w:tblW w:w="9639" w:type="dxa"/>
        <w:tblLayout w:type="fixed"/>
        <w:tblLook w:val="07E0" w:firstRow="1" w:lastRow="1" w:firstColumn="1" w:lastColumn="1" w:noHBand="1" w:noVBand="1"/>
      </w:tblPr>
      <w:tblGrid>
        <w:gridCol w:w="1701"/>
        <w:gridCol w:w="1701"/>
        <w:gridCol w:w="567"/>
        <w:gridCol w:w="1134"/>
        <w:gridCol w:w="567"/>
        <w:gridCol w:w="3969"/>
      </w:tblGrid>
      <w:tr w:rsidR="00AD1F54" w:rsidRPr="00264D5D" w14:paraId="7CE1CB05" w14:textId="77777777" w:rsidTr="00AD1F54">
        <w:trPr>
          <w:cnfStyle w:val="100000000000" w:firstRow="1" w:lastRow="0" w:firstColumn="0" w:lastColumn="0" w:oddVBand="0" w:evenVBand="0" w:oddHBand="0" w:evenHBand="0" w:firstRowFirstColumn="0" w:firstRowLastColumn="0" w:lastRowFirstColumn="0" w:lastRowLastColumn="0"/>
          <w:tblHeader/>
        </w:trPr>
        <w:tc>
          <w:tcPr>
            <w:tcW w:w="1701" w:type="dxa"/>
          </w:tcPr>
          <w:p w14:paraId="333DEE61" w14:textId="77777777" w:rsidR="00AD1F54" w:rsidRPr="00264D5D" w:rsidRDefault="00941227">
            <w:pPr>
              <w:pStyle w:val="GOSTTableHead"/>
            </w:pPr>
            <w:r w:rsidRPr="00264D5D">
              <w:t>Наименование элемента</w:t>
            </w:r>
          </w:p>
        </w:tc>
        <w:tc>
          <w:tcPr>
            <w:tcW w:w="1701" w:type="dxa"/>
          </w:tcPr>
          <w:p w14:paraId="69EEDA46" w14:textId="77777777" w:rsidR="00AD1F54" w:rsidRPr="00264D5D" w:rsidRDefault="00941227">
            <w:pPr>
              <w:pStyle w:val="GOSTTableHead"/>
            </w:pPr>
            <w:r w:rsidRPr="00264D5D">
              <w:t>Сокращенное наименование (код) элемента</w:t>
            </w:r>
          </w:p>
        </w:tc>
        <w:tc>
          <w:tcPr>
            <w:tcW w:w="567" w:type="dxa"/>
          </w:tcPr>
          <w:p w14:paraId="0B38A3DF" w14:textId="77777777" w:rsidR="00AD1F54" w:rsidRPr="00264D5D" w:rsidRDefault="00941227">
            <w:pPr>
              <w:pStyle w:val="GOSTTableHead"/>
            </w:pPr>
            <w:r w:rsidRPr="00264D5D">
              <w:t>Тип</w:t>
            </w:r>
          </w:p>
        </w:tc>
        <w:tc>
          <w:tcPr>
            <w:tcW w:w="1134" w:type="dxa"/>
          </w:tcPr>
          <w:p w14:paraId="16F35FD5" w14:textId="77777777" w:rsidR="00AD1F54" w:rsidRPr="00264D5D" w:rsidRDefault="00941227">
            <w:pPr>
              <w:pStyle w:val="GOSTTableHead"/>
            </w:pPr>
            <w:r w:rsidRPr="00264D5D">
              <w:t>Формат элемента</w:t>
            </w:r>
          </w:p>
        </w:tc>
        <w:tc>
          <w:tcPr>
            <w:tcW w:w="567" w:type="dxa"/>
          </w:tcPr>
          <w:p w14:paraId="11B01C3D" w14:textId="77777777" w:rsidR="00AD1F54" w:rsidRPr="00264D5D" w:rsidRDefault="00941227">
            <w:pPr>
              <w:pStyle w:val="GOSTTableHead"/>
            </w:pPr>
            <w:r w:rsidRPr="00264D5D">
              <w:t>Обязательность</w:t>
            </w:r>
          </w:p>
        </w:tc>
        <w:tc>
          <w:tcPr>
            <w:tcW w:w="3969" w:type="dxa"/>
          </w:tcPr>
          <w:p w14:paraId="2C3809EE" w14:textId="77777777" w:rsidR="00AD1F54" w:rsidRPr="00264D5D" w:rsidRDefault="00941227">
            <w:pPr>
              <w:pStyle w:val="GOSTTableHead"/>
            </w:pPr>
            <w:r w:rsidRPr="00264D5D">
              <w:t>Дополнительная информация</w:t>
            </w:r>
          </w:p>
        </w:tc>
      </w:tr>
      <w:tr w:rsidR="00A64441" w:rsidRPr="00264D5D" w14:paraId="4E86F719" w14:textId="77777777" w:rsidTr="00AD1F54">
        <w:tc>
          <w:tcPr>
            <w:tcW w:w="1701" w:type="dxa"/>
          </w:tcPr>
          <w:p w14:paraId="7D367DAB" w14:textId="77777777" w:rsidR="00A64441" w:rsidRPr="00264D5D" w:rsidRDefault="00A64441" w:rsidP="00A64441">
            <w:pPr>
              <w:pStyle w:val="GOSTTablenorm"/>
              <w:rPr>
                <w:szCs w:val="22"/>
              </w:rPr>
            </w:pPr>
            <w:r w:rsidRPr="00264D5D">
              <w:t>Код администратора</w:t>
            </w:r>
          </w:p>
        </w:tc>
        <w:tc>
          <w:tcPr>
            <w:tcW w:w="1701" w:type="dxa"/>
          </w:tcPr>
          <w:p w14:paraId="2E7FF6E4" w14:textId="77777777" w:rsidR="00A64441" w:rsidRPr="00264D5D" w:rsidRDefault="00A64441" w:rsidP="00A64441">
            <w:pPr>
              <w:pStyle w:val="GOSTTablenorm"/>
              <w:rPr>
                <w:lang w:val="en-US"/>
              </w:rPr>
            </w:pPr>
            <w:r w:rsidRPr="00264D5D">
              <w:rPr>
                <w:lang w:val="en-US"/>
              </w:rPr>
              <w:t>CodeAdmin</w:t>
            </w:r>
          </w:p>
        </w:tc>
        <w:tc>
          <w:tcPr>
            <w:tcW w:w="567" w:type="dxa"/>
          </w:tcPr>
          <w:p w14:paraId="7E2F66B6" w14:textId="77777777" w:rsidR="00A64441" w:rsidRPr="00264D5D" w:rsidRDefault="00A64441" w:rsidP="00A64441">
            <w:pPr>
              <w:pStyle w:val="GOSTTablenorm"/>
            </w:pPr>
            <w:r w:rsidRPr="00264D5D">
              <w:t>П</w:t>
            </w:r>
          </w:p>
        </w:tc>
        <w:tc>
          <w:tcPr>
            <w:tcW w:w="1134" w:type="dxa"/>
          </w:tcPr>
          <w:p w14:paraId="7B8444CE" w14:textId="77777777" w:rsidR="00A64441" w:rsidRPr="00264D5D" w:rsidRDefault="00A64441" w:rsidP="00A64441">
            <w:pPr>
              <w:pStyle w:val="GOSTTablenorm"/>
            </w:pPr>
            <w:r w:rsidRPr="00264D5D">
              <w:t>Т(3)</w:t>
            </w:r>
          </w:p>
        </w:tc>
        <w:tc>
          <w:tcPr>
            <w:tcW w:w="567" w:type="dxa"/>
          </w:tcPr>
          <w:p w14:paraId="1C509A3C" w14:textId="77777777" w:rsidR="00A64441" w:rsidRPr="00264D5D" w:rsidRDefault="00A64441" w:rsidP="00A64441">
            <w:pPr>
              <w:pStyle w:val="GOSTTablenorm"/>
            </w:pPr>
            <w:r w:rsidRPr="00264D5D">
              <w:t>О</w:t>
            </w:r>
          </w:p>
        </w:tc>
        <w:tc>
          <w:tcPr>
            <w:tcW w:w="3969" w:type="dxa"/>
          </w:tcPr>
          <w:p w14:paraId="5B39ABF7" w14:textId="77777777" w:rsidR="00A64441" w:rsidRPr="001A12B6" w:rsidRDefault="00A64441" w:rsidP="00A64441">
            <w:pPr>
              <w:pStyle w:val="GOSTTablenorm"/>
            </w:pPr>
            <w:r w:rsidRPr="001A12B6">
              <w:t>Указывается код администратора</w:t>
            </w:r>
            <w:r>
              <w:t xml:space="preserve"> </w:t>
            </w:r>
            <w:r w:rsidRPr="00E77259">
              <w:rPr>
                <w:highlight w:val="green"/>
              </w:rPr>
              <w:t>(код главы)</w:t>
            </w:r>
          </w:p>
        </w:tc>
      </w:tr>
      <w:tr w:rsidR="00A64441" w:rsidRPr="00264D5D" w14:paraId="39C7F433" w14:textId="77777777" w:rsidTr="00AD1F54">
        <w:tc>
          <w:tcPr>
            <w:tcW w:w="1701" w:type="dxa"/>
          </w:tcPr>
          <w:p w14:paraId="2AC26827" w14:textId="77777777" w:rsidR="00A64441" w:rsidRPr="00264D5D" w:rsidRDefault="00A64441" w:rsidP="00A64441">
            <w:pPr>
              <w:pStyle w:val="GOSTTablenorm"/>
              <w:rPr>
                <w:szCs w:val="22"/>
              </w:rPr>
            </w:pPr>
            <w:r w:rsidRPr="00264D5D">
              <w:t>Код дохода</w:t>
            </w:r>
          </w:p>
        </w:tc>
        <w:tc>
          <w:tcPr>
            <w:tcW w:w="1701" w:type="dxa"/>
          </w:tcPr>
          <w:p w14:paraId="7F22737C" w14:textId="77777777" w:rsidR="00A64441" w:rsidRPr="00264D5D" w:rsidRDefault="00A64441" w:rsidP="00A64441">
            <w:pPr>
              <w:pStyle w:val="GOSTTablenorm"/>
              <w:rPr>
                <w:lang w:val="en-US"/>
              </w:rPr>
            </w:pPr>
            <w:r w:rsidRPr="00264D5D">
              <w:rPr>
                <w:lang w:val="en-US"/>
              </w:rPr>
              <w:t>KodIncome</w:t>
            </w:r>
          </w:p>
        </w:tc>
        <w:tc>
          <w:tcPr>
            <w:tcW w:w="567" w:type="dxa"/>
          </w:tcPr>
          <w:p w14:paraId="67B55BA6" w14:textId="77777777" w:rsidR="00A64441" w:rsidRPr="00264D5D" w:rsidRDefault="00A64441" w:rsidP="00A64441">
            <w:pPr>
              <w:pStyle w:val="GOSTTablenorm"/>
            </w:pPr>
            <w:r w:rsidRPr="00264D5D">
              <w:t>П</w:t>
            </w:r>
          </w:p>
        </w:tc>
        <w:tc>
          <w:tcPr>
            <w:tcW w:w="1134" w:type="dxa"/>
          </w:tcPr>
          <w:p w14:paraId="3389D608" w14:textId="77777777" w:rsidR="00A64441" w:rsidRPr="00264D5D" w:rsidRDefault="00A64441" w:rsidP="00A64441">
            <w:pPr>
              <w:pStyle w:val="GOSTTablenorm"/>
            </w:pPr>
            <w:r w:rsidRPr="00264D5D">
              <w:t>Т(</w:t>
            </w:r>
            <w:r w:rsidRPr="00264D5D">
              <w:rPr>
                <w:lang w:val="en-US"/>
              </w:rPr>
              <w:t>17</w:t>
            </w:r>
            <w:r w:rsidRPr="00264D5D">
              <w:t>)</w:t>
            </w:r>
          </w:p>
        </w:tc>
        <w:tc>
          <w:tcPr>
            <w:tcW w:w="567" w:type="dxa"/>
          </w:tcPr>
          <w:p w14:paraId="49E4CBDE" w14:textId="77777777" w:rsidR="00A64441" w:rsidRPr="00264D5D" w:rsidRDefault="00A64441" w:rsidP="00A64441">
            <w:pPr>
              <w:pStyle w:val="GOSTTablenorm"/>
            </w:pPr>
            <w:r w:rsidRPr="00264D5D">
              <w:t>О</w:t>
            </w:r>
          </w:p>
        </w:tc>
        <w:tc>
          <w:tcPr>
            <w:tcW w:w="3969" w:type="dxa"/>
          </w:tcPr>
          <w:p w14:paraId="696DF11E" w14:textId="77777777" w:rsidR="00A64441" w:rsidRPr="001A12B6" w:rsidRDefault="00A64441" w:rsidP="00A64441">
            <w:pPr>
              <w:pStyle w:val="GOSTTablenorm"/>
            </w:pPr>
            <w:r w:rsidRPr="001A12B6">
              <w:t>Указывается код дохода</w:t>
            </w:r>
            <w:r>
              <w:t xml:space="preserve"> </w:t>
            </w:r>
            <w:r w:rsidRPr="00E77259">
              <w:rPr>
                <w:highlight w:val="green"/>
              </w:rPr>
              <w:t>(без</w:t>
            </w:r>
            <w:r>
              <w:rPr>
                <w:highlight w:val="green"/>
              </w:rPr>
              <w:t xml:space="preserve"> кода</w:t>
            </w:r>
            <w:r w:rsidRPr="00E77259">
              <w:rPr>
                <w:highlight w:val="green"/>
              </w:rPr>
              <w:t xml:space="preserve"> главы)</w:t>
            </w:r>
          </w:p>
        </w:tc>
      </w:tr>
      <w:tr w:rsidR="00AD1F54" w:rsidRPr="00264D5D" w14:paraId="018CB713" w14:textId="77777777" w:rsidTr="00AD1F54">
        <w:tc>
          <w:tcPr>
            <w:tcW w:w="1701" w:type="dxa"/>
          </w:tcPr>
          <w:p w14:paraId="46F01C5F" w14:textId="77777777" w:rsidR="00AD1F54" w:rsidRPr="00264D5D" w:rsidRDefault="00941227">
            <w:pPr>
              <w:pStyle w:val="GOSTTablenorm"/>
              <w:rPr>
                <w:szCs w:val="22"/>
              </w:rPr>
            </w:pPr>
            <w:r w:rsidRPr="00264D5D">
              <w:t>Сумма в валюте по классификации</w:t>
            </w:r>
          </w:p>
        </w:tc>
        <w:tc>
          <w:tcPr>
            <w:tcW w:w="1701" w:type="dxa"/>
          </w:tcPr>
          <w:p w14:paraId="047D4C2C" w14:textId="77777777" w:rsidR="00AD1F54" w:rsidRPr="00264D5D" w:rsidRDefault="00941227">
            <w:pPr>
              <w:pStyle w:val="GOSTTablenorm"/>
              <w:rPr>
                <w:lang w:val="en-US"/>
              </w:rPr>
            </w:pPr>
            <w:r w:rsidRPr="00264D5D">
              <w:rPr>
                <w:lang w:val="en-US"/>
              </w:rPr>
              <w:t>AmCurrClass</w:t>
            </w:r>
          </w:p>
        </w:tc>
        <w:tc>
          <w:tcPr>
            <w:tcW w:w="567" w:type="dxa"/>
          </w:tcPr>
          <w:p w14:paraId="55DFD76D" w14:textId="77777777" w:rsidR="00AD1F54" w:rsidRPr="00264D5D" w:rsidRDefault="00941227">
            <w:pPr>
              <w:pStyle w:val="GOSTTablenorm"/>
            </w:pPr>
            <w:r w:rsidRPr="00264D5D">
              <w:t>П</w:t>
            </w:r>
          </w:p>
        </w:tc>
        <w:tc>
          <w:tcPr>
            <w:tcW w:w="1134" w:type="dxa"/>
          </w:tcPr>
          <w:p w14:paraId="07584738" w14:textId="77777777" w:rsidR="00AD1F54" w:rsidRPr="00264D5D" w:rsidRDefault="00941227">
            <w:pPr>
              <w:pStyle w:val="GOSTTablenorm"/>
            </w:pPr>
            <w:r w:rsidRPr="00264D5D">
              <w:rPr>
                <w:lang w:val="en-US"/>
              </w:rPr>
              <w:t>N(20.2)</w:t>
            </w:r>
          </w:p>
        </w:tc>
        <w:tc>
          <w:tcPr>
            <w:tcW w:w="567" w:type="dxa"/>
          </w:tcPr>
          <w:p w14:paraId="60B0E1EB" w14:textId="77777777" w:rsidR="00AD1F54" w:rsidRPr="00264D5D" w:rsidRDefault="00941227">
            <w:pPr>
              <w:pStyle w:val="GOSTTablenorm"/>
            </w:pPr>
            <w:r w:rsidRPr="00264D5D">
              <w:t>О</w:t>
            </w:r>
          </w:p>
        </w:tc>
        <w:tc>
          <w:tcPr>
            <w:tcW w:w="3969" w:type="dxa"/>
          </w:tcPr>
          <w:p w14:paraId="7CD7E582" w14:textId="77777777" w:rsidR="00AD1F54" w:rsidRPr="00264D5D" w:rsidRDefault="00941227">
            <w:pPr>
              <w:pStyle w:val="GOSTTablenorm"/>
            </w:pPr>
            <w:r w:rsidRPr="00264D5D">
              <w:t xml:space="preserve">Указывается </w:t>
            </w:r>
            <w:r w:rsidR="00A77DDB" w:rsidRPr="00264D5D">
              <w:t>сумма в валюте по классификации</w:t>
            </w:r>
          </w:p>
        </w:tc>
      </w:tr>
    </w:tbl>
    <w:p w14:paraId="0E57F759" w14:textId="77777777" w:rsidR="00B95E73" w:rsidRPr="00264D5D" w:rsidRDefault="00B95E73" w:rsidP="00B95E73">
      <w:pPr>
        <w:pStyle w:val="31"/>
        <w:suppressAutoHyphens/>
      </w:pPr>
      <w:bookmarkStart w:id="4930" w:name="_Toc181969733"/>
      <w:bookmarkStart w:id="4931" w:name="_Toc508712775"/>
      <w:bookmarkStart w:id="4932" w:name="_Ref524516925"/>
      <w:bookmarkStart w:id="4933" w:name="_Toc18509198"/>
      <w:bookmarkStart w:id="4934" w:name="_Toc143690595"/>
      <w:bookmarkStart w:id="4935" w:name="_Toc219309901"/>
      <w:r w:rsidRPr="00264D5D">
        <w:t>Описание комплексного типа «tCOW</w:t>
      </w:r>
      <w:r w:rsidRPr="00264D5D">
        <w:rPr>
          <w:lang w:val="en-US"/>
        </w:rPr>
        <w:t>SVR</w:t>
      </w:r>
      <w:r w:rsidRPr="00264D5D">
        <w:t>»</w:t>
      </w:r>
      <w:bookmarkEnd w:id="4930"/>
      <w:bookmarkEnd w:id="4935"/>
    </w:p>
    <w:p w14:paraId="5FB8C196" w14:textId="77777777" w:rsidR="00B95E73" w:rsidRPr="00264D5D" w:rsidRDefault="00B95E73" w:rsidP="00B95E73">
      <w:pPr>
        <w:pStyle w:val="GOSTNormal"/>
      </w:pPr>
      <w:r w:rsidRPr="00264D5D">
        <w:t xml:space="preserve">Описание комплексного типа </w:t>
      </w:r>
      <w:r w:rsidRPr="00264D5D">
        <w:rPr>
          <w:rFonts w:eastAsia="Calibri"/>
        </w:rPr>
        <w:t>«</w:t>
      </w:r>
      <w:r w:rsidRPr="00264D5D">
        <w:t>tCOW</w:t>
      </w:r>
      <w:r w:rsidRPr="00264D5D">
        <w:rPr>
          <w:lang w:val="en-US"/>
        </w:rPr>
        <w:t>SVR</w:t>
      </w:r>
      <w:r w:rsidRPr="00264D5D">
        <w:t>» блока «Расшифровка заявления на проведение операций с иностранной валютой по средствам, поступающим во временное распоряжение казенных учреждений».</w:t>
      </w:r>
    </w:p>
    <w:p w14:paraId="4DE77BEF" w14:textId="30F6BF44" w:rsidR="00B95E73" w:rsidRPr="00264D5D" w:rsidRDefault="00B95E73" w:rsidP="00101F62">
      <w:pPr>
        <w:pStyle w:val="GOSTNameTable"/>
        <w:numPr>
          <w:ilvl w:val="0"/>
          <w:numId w:val="158"/>
        </w:numPr>
        <w:spacing w:before="240" w:after="120"/>
        <w:rPr>
          <w:rFonts w:eastAsia="Calibri"/>
        </w:rPr>
      </w:pPr>
      <w:r w:rsidRPr="00264D5D">
        <w:rPr>
          <w:rFonts w:eastAsia="Calibri"/>
        </w:rPr>
        <w:lastRenderedPageBreak/>
        <w:fldChar w:fldCharType="begin"/>
      </w:r>
      <w:r w:rsidRPr="00264D5D">
        <w:rPr>
          <w:rFonts w:eastAsia="Calibri"/>
        </w:rPr>
        <w:instrText xml:space="preserve"> SEQ Таблица \* ARABIC </w:instrText>
      </w:r>
      <w:r w:rsidRPr="00264D5D">
        <w:rPr>
          <w:rFonts w:eastAsia="Calibri"/>
        </w:rPr>
        <w:fldChar w:fldCharType="separate"/>
      </w:r>
      <w:bookmarkStart w:id="4936" w:name="_Ref176944403"/>
      <w:bookmarkStart w:id="4937" w:name="_Toc219309427"/>
      <w:r w:rsidR="008D797C">
        <w:rPr>
          <w:rFonts w:eastAsia="Calibri"/>
          <w:noProof/>
        </w:rPr>
        <w:t>397</w:t>
      </w:r>
      <w:bookmarkEnd w:id="4936"/>
      <w:r w:rsidRPr="00264D5D">
        <w:rPr>
          <w:rFonts w:eastAsia="Calibri"/>
        </w:rPr>
        <w:fldChar w:fldCharType="end"/>
      </w:r>
      <w:r w:rsidRPr="00264D5D">
        <w:t xml:space="preserve"> – </w:t>
      </w:r>
      <w:r w:rsidRPr="00264D5D">
        <w:rPr>
          <w:rFonts w:eastAsia="Calibri"/>
        </w:rPr>
        <w:t>Описание комплексного типа «</w:t>
      </w:r>
      <w:r w:rsidRPr="00264D5D">
        <w:t>tCOW</w:t>
      </w:r>
      <w:r w:rsidRPr="00264D5D">
        <w:rPr>
          <w:lang w:val="en-US"/>
        </w:rPr>
        <w:t>SVR</w:t>
      </w:r>
      <w:r w:rsidRPr="00264D5D">
        <w:rPr>
          <w:rFonts w:eastAsia="Calibri"/>
        </w:rPr>
        <w:t>»</w:t>
      </w:r>
      <w:bookmarkEnd w:id="4937"/>
    </w:p>
    <w:tbl>
      <w:tblPr>
        <w:tblStyle w:val="GOSTTable"/>
        <w:tblW w:w="9639" w:type="dxa"/>
        <w:tblLayout w:type="fixed"/>
        <w:tblLook w:val="07E0" w:firstRow="1" w:lastRow="1" w:firstColumn="1" w:lastColumn="1" w:noHBand="1" w:noVBand="1"/>
      </w:tblPr>
      <w:tblGrid>
        <w:gridCol w:w="1729"/>
        <w:gridCol w:w="1701"/>
        <w:gridCol w:w="567"/>
        <w:gridCol w:w="1134"/>
        <w:gridCol w:w="567"/>
        <w:gridCol w:w="3941"/>
      </w:tblGrid>
      <w:tr w:rsidR="00B95E73" w:rsidRPr="00264D5D" w14:paraId="6C1A2913" w14:textId="77777777" w:rsidTr="00B95E73">
        <w:trPr>
          <w:cnfStyle w:val="100000000000" w:firstRow="1" w:lastRow="0" w:firstColumn="0" w:lastColumn="0" w:oddVBand="0" w:evenVBand="0" w:oddHBand="0" w:evenHBand="0" w:firstRowFirstColumn="0" w:firstRowLastColumn="0" w:lastRowFirstColumn="0" w:lastRowLastColumn="0"/>
        </w:trPr>
        <w:tc>
          <w:tcPr>
            <w:tcW w:w="1729" w:type="dxa"/>
          </w:tcPr>
          <w:p w14:paraId="448A594A" w14:textId="77777777" w:rsidR="00B95E73" w:rsidRPr="00264D5D" w:rsidRDefault="00B95E73" w:rsidP="00B95E73">
            <w:pPr>
              <w:pStyle w:val="GOSTTableHead"/>
            </w:pPr>
            <w:r w:rsidRPr="00264D5D">
              <w:t>Наименование элемента</w:t>
            </w:r>
          </w:p>
        </w:tc>
        <w:tc>
          <w:tcPr>
            <w:tcW w:w="1701" w:type="dxa"/>
          </w:tcPr>
          <w:p w14:paraId="0A904114" w14:textId="77777777" w:rsidR="00B95E73" w:rsidRPr="00264D5D" w:rsidRDefault="00B95E73" w:rsidP="00B95E73">
            <w:pPr>
              <w:pStyle w:val="GOSTTableHead"/>
            </w:pPr>
            <w:r w:rsidRPr="00264D5D">
              <w:t>Сокращенное наименование (код) элемента</w:t>
            </w:r>
          </w:p>
        </w:tc>
        <w:tc>
          <w:tcPr>
            <w:tcW w:w="567" w:type="dxa"/>
          </w:tcPr>
          <w:p w14:paraId="5B1D63E5" w14:textId="77777777" w:rsidR="00B95E73" w:rsidRPr="00264D5D" w:rsidRDefault="00B95E73" w:rsidP="00B95E73">
            <w:pPr>
              <w:pStyle w:val="GOSTTableHead"/>
            </w:pPr>
            <w:r w:rsidRPr="00264D5D">
              <w:t>Тип</w:t>
            </w:r>
          </w:p>
        </w:tc>
        <w:tc>
          <w:tcPr>
            <w:tcW w:w="1134" w:type="dxa"/>
          </w:tcPr>
          <w:p w14:paraId="118E3AE9" w14:textId="77777777" w:rsidR="00B95E73" w:rsidRPr="00264D5D" w:rsidRDefault="00B95E73" w:rsidP="00B95E73">
            <w:pPr>
              <w:pStyle w:val="GOSTTableHead"/>
            </w:pPr>
            <w:r w:rsidRPr="00264D5D">
              <w:t>Формат элемента</w:t>
            </w:r>
          </w:p>
        </w:tc>
        <w:tc>
          <w:tcPr>
            <w:tcW w:w="567" w:type="dxa"/>
          </w:tcPr>
          <w:p w14:paraId="1876B3A5" w14:textId="77777777" w:rsidR="00B95E73" w:rsidRPr="00264D5D" w:rsidRDefault="00B95E73" w:rsidP="00B95E73">
            <w:pPr>
              <w:pStyle w:val="GOSTTableHead"/>
            </w:pPr>
            <w:r w:rsidRPr="00264D5D">
              <w:t>Обязательность</w:t>
            </w:r>
          </w:p>
        </w:tc>
        <w:tc>
          <w:tcPr>
            <w:tcW w:w="3941" w:type="dxa"/>
          </w:tcPr>
          <w:p w14:paraId="1CD680DC" w14:textId="77777777" w:rsidR="00B95E73" w:rsidRPr="00264D5D" w:rsidRDefault="00B95E73" w:rsidP="00B95E73">
            <w:pPr>
              <w:pStyle w:val="GOSTTableHead"/>
            </w:pPr>
            <w:r w:rsidRPr="00264D5D">
              <w:t>Дополнительная информация</w:t>
            </w:r>
          </w:p>
        </w:tc>
      </w:tr>
      <w:tr w:rsidR="00B95E73" w:rsidRPr="00264D5D" w14:paraId="05FA8911" w14:textId="77777777" w:rsidTr="00B95E73">
        <w:tc>
          <w:tcPr>
            <w:tcW w:w="1729" w:type="dxa"/>
          </w:tcPr>
          <w:p w14:paraId="42A69DBC" w14:textId="77777777" w:rsidR="00B95E73" w:rsidRPr="00264D5D" w:rsidRDefault="00B95E73" w:rsidP="00B95E73">
            <w:pPr>
              <w:pStyle w:val="GOSTTablenorm"/>
            </w:pPr>
            <w:r w:rsidRPr="00264D5D">
              <w:t>Расшифровка заявления на проведение операций с иностранной валютой по средствам, поступающим во временное распоряжение казенных учреждений (строки)</w:t>
            </w:r>
          </w:p>
        </w:tc>
        <w:tc>
          <w:tcPr>
            <w:tcW w:w="1701" w:type="dxa"/>
          </w:tcPr>
          <w:p w14:paraId="0CFE1B6D" w14:textId="77777777" w:rsidR="00B95E73" w:rsidRPr="00264D5D" w:rsidRDefault="00B95E73" w:rsidP="00B95E73">
            <w:pPr>
              <w:pStyle w:val="GOSTTablenorm"/>
            </w:pPr>
            <w:r w:rsidRPr="00264D5D">
              <w:t>COW</w:t>
            </w:r>
            <w:r w:rsidRPr="00264D5D">
              <w:rPr>
                <w:lang w:val="en-US"/>
              </w:rPr>
              <w:t>SVR</w:t>
            </w:r>
            <w:r w:rsidRPr="00264D5D">
              <w:t>_ITEM</w:t>
            </w:r>
          </w:p>
        </w:tc>
        <w:tc>
          <w:tcPr>
            <w:tcW w:w="567" w:type="dxa"/>
          </w:tcPr>
          <w:p w14:paraId="0B6EEE2E" w14:textId="77777777" w:rsidR="00B95E73" w:rsidRPr="00264D5D" w:rsidRDefault="00B95E73" w:rsidP="00B95E73">
            <w:pPr>
              <w:pStyle w:val="GOSTTablenorm"/>
            </w:pPr>
            <w:r w:rsidRPr="00264D5D">
              <w:t>С</w:t>
            </w:r>
          </w:p>
        </w:tc>
        <w:tc>
          <w:tcPr>
            <w:tcW w:w="1134" w:type="dxa"/>
          </w:tcPr>
          <w:p w14:paraId="39B41C6C" w14:textId="77777777" w:rsidR="00B95E73" w:rsidRPr="00264D5D" w:rsidRDefault="00B95E73" w:rsidP="00B95E73">
            <w:pPr>
              <w:pStyle w:val="GOSTTablenorm"/>
            </w:pPr>
            <w:r w:rsidRPr="00264D5D">
              <w:t>tCOW</w:t>
            </w:r>
            <w:r w:rsidRPr="00264D5D">
              <w:rPr>
                <w:lang w:val="en-US"/>
              </w:rPr>
              <w:t>SVR</w:t>
            </w:r>
            <w:r w:rsidRPr="00264D5D">
              <w:t>_ITEM</w:t>
            </w:r>
          </w:p>
        </w:tc>
        <w:tc>
          <w:tcPr>
            <w:tcW w:w="567" w:type="dxa"/>
          </w:tcPr>
          <w:p w14:paraId="4DB34089" w14:textId="77777777" w:rsidR="00B95E73" w:rsidRPr="00264D5D" w:rsidRDefault="00B95E73" w:rsidP="00B95E73">
            <w:pPr>
              <w:pStyle w:val="GOSTTablenorm"/>
            </w:pPr>
            <w:r w:rsidRPr="00264D5D">
              <w:t>ОМ</w:t>
            </w:r>
          </w:p>
        </w:tc>
        <w:tc>
          <w:tcPr>
            <w:tcW w:w="3941" w:type="dxa"/>
          </w:tcPr>
          <w:p w14:paraId="70BFB7C9" w14:textId="33F96735" w:rsidR="00B95E73" w:rsidRPr="00264D5D" w:rsidRDefault="00B95E73" w:rsidP="00B95E73">
            <w:pPr>
              <w:pStyle w:val="GOSTTablenorm"/>
            </w:pPr>
            <w:r w:rsidRPr="00264D5D">
              <w:t xml:space="preserve">Состав элемента представлен в таблице </w:t>
            </w:r>
            <w:r w:rsidRPr="00264D5D">
              <w:fldChar w:fldCharType="begin"/>
            </w:r>
            <w:r w:rsidRPr="00264D5D">
              <w:instrText xml:space="preserve"> REF _Ref176944402 \h </w:instrText>
            </w:r>
            <w:r w:rsidR="00264D5D">
              <w:instrText xml:space="preserve"> \* MERGEFORMAT </w:instrText>
            </w:r>
            <w:r w:rsidRPr="00264D5D">
              <w:fldChar w:fldCharType="separate"/>
            </w:r>
            <w:r w:rsidR="008D797C">
              <w:rPr>
                <w:rFonts w:eastAsia="Calibri"/>
                <w:noProof/>
              </w:rPr>
              <w:t>398</w:t>
            </w:r>
            <w:r w:rsidRPr="00264D5D">
              <w:fldChar w:fldCharType="end"/>
            </w:r>
          </w:p>
        </w:tc>
      </w:tr>
    </w:tbl>
    <w:p w14:paraId="77690C24" w14:textId="77777777" w:rsidR="00B95E73" w:rsidRPr="00264D5D" w:rsidRDefault="00B95E73" w:rsidP="00B95E73">
      <w:pPr>
        <w:pStyle w:val="31"/>
        <w:suppressAutoHyphens/>
      </w:pPr>
      <w:bookmarkStart w:id="4938" w:name="_Toc181969734"/>
      <w:bookmarkStart w:id="4939" w:name="_Toc219309902"/>
      <w:r w:rsidRPr="00264D5D">
        <w:t>Описание комплексного типа «tCOW</w:t>
      </w:r>
      <w:r w:rsidRPr="00264D5D">
        <w:rPr>
          <w:lang w:val="en-US"/>
        </w:rPr>
        <w:t>SVR</w:t>
      </w:r>
      <w:r w:rsidRPr="00264D5D">
        <w:t>_ITEM»</w:t>
      </w:r>
      <w:bookmarkEnd w:id="4938"/>
      <w:bookmarkEnd w:id="4939"/>
    </w:p>
    <w:p w14:paraId="1403BF69" w14:textId="77777777" w:rsidR="00B95E73" w:rsidRPr="00264D5D" w:rsidRDefault="00B95E73" w:rsidP="00B95E73">
      <w:pPr>
        <w:pStyle w:val="GOSTNormal"/>
      </w:pPr>
      <w:r w:rsidRPr="00264D5D">
        <w:t xml:space="preserve">Описание комплексного типа </w:t>
      </w:r>
      <w:r w:rsidRPr="00264D5D">
        <w:rPr>
          <w:rFonts w:eastAsia="Calibri"/>
        </w:rPr>
        <w:t>«</w:t>
      </w:r>
      <w:r w:rsidRPr="00264D5D">
        <w:t>tCOW</w:t>
      </w:r>
      <w:r w:rsidRPr="00264D5D">
        <w:rPr>
          <w:lang w:val="en-US"/>
        </w:rPr>
        <w:t>SVR</w:t>
      </w:r>
      <w:r w:rsidRPr="00264D5D">
        <w:t>_ITEM» блока «Расшифровка заявления на проведение операций с иностранной валютой по средствам, поступающим во временное распоряжение казенных учреждений (строки)».</w:t>
      </w:r>
    </w:p>
    <w:p w14:paraId="6ED2DC35" w14:textId="039EFD64" w:rsidR="00B95E73" w:rsidRPr="00264D5D" w:rsidRDefault="00B95E73" w:rsidP="00101F62">
      <w:pPr>
        <w:pStyle w:val="GOSTNameTable"/>
        <w:numPr>
          <w:ilvl w:val="0"/>
          <w:numId w:val="158"/>
        </w:numPr>
        <w:spacing w:before="240" w:after="120"/>
        <w:rPr>
          <w:rFonts w:eastAsia="Calibri"/>
        </w:rPr>
      </w:pPr>
      <w:r w:rsidRPr="00264D5D">
        <w:rPr>
          <w:rFonts w:eastAsia="Calibri"/>
        </w:rPr>
        <w:fldChar w:fldCharType="begin"/>
      </w:r>
      <w:r w:rsidRPr="00264D5D">
        <w:rPr>
          <w:rFonts w:eastAsia="Calibri"/>
        </w:rPr>
        <w:instrText xml:space="preserve"> SEQ Таблица \* ARABIC </w:instrText>
      </w:r>
      <w:r w:rsidRPr="00264D5D">
        <w:rPr>
          <w:rFonts w:eastAsia="Calibri"/>
        </w:rPr>
        <w:fldChar w:fldCharType="separate"/>
      </w:r>
      <w:bookmarkStart w:id="4940" w:name="_Ref176944402"/>
      <w:bookmarkStart w:id="4941" w:name="_Toc219309428"/>
      <w:r w:rsidR="008D797C">
        <w:rPr>
          <w:rFonts w:eastAsia="Calibri"/>
          <w:noProof/>
        </w:rPr>
        <w:t>398</w:t>
      </w:r>
      <w:bookmarkEnd w:id="4940"/>
      <w:r w:rsidRPr="00264D5D">
        <w:rPr>
          <w:rFonts w:eastAsia="Calibri"/>
        </w:rPr>
        <w:fldChar w:fldCharType="end"/>
      </w:r>
      <w:r w:rsidRPr="00264D5D">
        <w:t xml:space="preserve"> – </w:t>
      </w:r>
      <w:r w:rsidRPr="00264D5D">
        <w:rPr>
          <w:rFonts w:eastAsia="Calibri"/>
        </w:rPr>
        <w:t>Описание комплексного типа «</w:t>
      </w:r>
      <w:r w:rsidRPr="00264D5D">
        <w:t>tCOW</w:t>
      </w:r>
      <w:r w:rsidRPr="00264D5D">
        <w:rPr>
          <w:lang w:val="en-US"/>
        </w:rPr>
        <w:t>SVR</w:t>
      </w:r>
      <w:r w:rsidRPr="00264D5D">
        <w:t>_ITEM</w:t>
      </w:r>
      <w:r w:rsidRPr="00264D5D">
        <w:rPr>
          <w:rFonts w:eastAsia="Calibri"/>
        </w:rPr>
        <w:t>»</w:t>
      </w:r>
      <w:bookmarkEnd w:id="4941"/>
    </w:p>
    <w:tbl>
      <w:tblPr>
        <w:tblStyle w:val="GOSTTable"/>
        <w:tblW w:w="9639" w:type="dxa"/>
        <w:tblLayout w:type="fixed"/>
        <w:tblLook w:val="07E0" w:firstRow="1" w:lastRow="1" w:firstColumn="1" w:lastColumn="1" w:noHBand="1" w:noVBand="1"/>
      </w:tblPr>
      <w:tblGrid>
        <w:gridCol w:w="1701"/>
        <w:gridCol w:w="1701"/>
        <w:gridCol w:w="567"/>
        <w:gridCol w:w="1134"/>
        <w:gridCol w:w="567"/>
        <w:gridCol w:w="3969"/>
      </w:tblGrid>
      <w:tr w:rsidR="00B95E73" w:rsidRPr="00264D5D" w14:paraId="5F5D816B" w14:textId="77777777" w:rsidTr="00B95E73">
        <w:trPr>
          <w:cnfStyle w:val="100000000000" w:firstRow="1" w:lastRow="0" w:firstColumn="0" w:lastColumn="0" w:oddVBand="0" w:evenVBand="0" w:oddHBand="0" w:evenHBand="0" w:firstRowFirstColumn="0" w:firstRowLastColumn="0" w:lastRowFirstColumn="0" w:lastRowLastColumn="0"/>
        </w:trPr>
        <w:tc>
          <w:tcPr>
            <w:tcW w:w="1701" w:type="dxa"/>
          </w:tcPr>
          <w:p w14:paraId="2A56DEE2" w14:textId="77777777" w:rsidR="00B95E73" w:rsidRPr="00264D5D" w:rsidRDefault="00B95E73" w:rsidP="00B95E73">
            <w:pPr>
              <w:pStyle w:val="GOSTTableHead"/>
            </w:pPr>
            <w:r w:rsidRPr="00264D5D">
              <w:t>Наименование элемента</w:t>
            </w:r>
          </w:p>
        </w:tc>
        <w:tc>
          <w:tcPr>
            <w:tcW w:w="1701" w:type="dxa"/>
          </w:tcPr>
          <w:p w14:paraId="61B140DE" w14:textId="77777777" w:rsidR="00B95E73" w:rsidRPr="00264D5D" w:rsidRDefault="00B95E73" w:rsidP="00B95E73">
            <w:pPr>
              <w:pStyle w:val="GOSTTableHead"/>
            </w:pPr>
            <w:r w:rsidRPr="00264D5D">
              <w:t>Сокращенное наименование (код) элемента</w:t>
            </w:r>
          </w:p>
        </w:tc>
        <w:tc>
          <w:tcPr>
            <w:tcW w:w="567" w:type="dxa"/>
          </w:tcPr>
          <w:p w14:paraId="68126A66" w14:textId="77777777" w:rsidR="00B95E73" w:rsidRPr="00264D5D" w:rsidRDefault="00B95E73" w:rsidP="00B95E73">
            <w:pPr>
              <w:pStyle w:val="GOSTTableHead"/>
            </w:pPr>
            <w:r w:rsidRPr="00264D5D">
              <w:t>Тип</w:t>
            </w:r>
          </w:p>
        </w:tc>
        <w:tc>
          <w:tcPr>
            <w:tcW w:w="1134" w:type="dxa"/>
          </w:tcPr>
          <w:p w14:paraId="2588BE85" w14:textId="77777777" w:rsidR="00B95E73" w:rsidRPr="00264D5D" w:rsidRDefault="00B95E73" w:rsidP="00B95E73">
            <w:pPr>
              <w:pStyle w:val="GOSTTableHead"/>
            </w:pPr>
            <w:r w:rsidRPr="00264D5D">
              <w:t>Формат элемента</w:t>
            </w:r>
          </w:p>
        </w:tc>
        <w:tc>
          <w:tcPr>
            <w:tcW w:w="567" w:type="dxa"/>
          </w:tcPr>
          <w:p w14:paraId="0A01CAA3" w14:textId="77777777" w:rsidR="00B95E73" w:rsidRPr="00264D5D" w:rsidRDefault="00B95E73" w:rsidP="00B95E73">
            <w:pPr>
              <w:pStyle w:val="GOSTTableHead"/>
            </w:pPr>
            <w:r w:rsidRPr="00264D5D">
              <w:t>Обязательность</w:t>
            </w:r>
          </w:p>
        </w:tc>
        <w:tc>
          <w:tcPr>
            <w:tcW w:w="3969" w:type="dxa"/>
          </w:tcPr>
          <w:p w14:paraId="01C78C49" w14:textId="77777777" w:rsidR="00B95E73" w:rsidRPr="00264D5D" w:rsidRDefault="00B95E73" w:rsidP="00B95E73">
            <w:pPr>
              <w:pStyle w:val="GOSTTableHead"/>
            </w:pPr>
            <w:r w:rsidRPr="00264D5D">
              <w:t>Дополнительная информация</w:t>
            </w:r>
          </w:p>
        </w:tc>
      </w:tr>
      <w:tr w:rsidR="00B95E73" w:rsidRPr="00264D5D" w14:paraId="30ADDA08" w14:textId="77777777" w:rsidTr="00B95E73">
        <w:tc>
          <w:tcPr>
            <w:tcW w:w="1701" w:type="dxa"/>
          </w:tcPr>
          <w:p w14:paraId="213AC8DB" w14:textId="77777777" w:rsidR="00B95E73" w:rsidRPr="00264D5D" w:rsidRDefault="00B95E73" w:rsidP="00B95E73">
            <w:pPr>
              <w:pStyle w:val="GOSTTablenorm"/>
              <w:rPr>
                <w:szCs w:val="22"/>
              </w:rPr>
            </w:pPr>
            <w:r w:rsidRPr="00264D5D">
              <w:t>Код цели (аналитический код) плательщика</w:t>
            </w:r>
          </w:p>
        </w:tc>
        <w:tc>
          <w:tcPr>
            <w:tcW w:w="1701" w:type="dxa"/>
          </w:tcPr>
          <w:p w14:paraId="67384203" w14:textId="77777777" w:rsidR="00B95E73" w:rsidRPr="00264D5D" w:rsidRDefault="00B95E73" w:rsidP="00B95E73">
            <w:pPr>
              <w:pStyle w:val="GOSTTablenorm"/>
              <w:rPr>
                <w:lang w:val="en-US"/>
              </w:rPr>
            </w:pPr>
            <w:r w:rsidRPr="00264D5D">
              <w:t>Payer_AnalyticCode</w:t>
            </w:r>
          </w:p>
        </w:tc>
        <w:tc>
          <w:tcPr>
            <w:tcW w:w="567" w:type="dxa"/>
          </w:tcPr>
          <w:p w14:paraId="74495FBA" w14:textId="77777777" w:rsidR="00B95E73" w:rsidRPr="00264D5D" w:rsidRDefault="00B95E73" w:rsidP="00B95E73">
            <w:pPr>
              <w:pStyle w:val="GOSTTablenorm"/>
            </w:pPr>
            <w:r w:rsidRPr="00264D5D">
              <w:t>П</w:t>
            </w:r>
          </w:p>
        </w:tc>
        <w:tc>
          <w:tcPr>
            <w:tcW w:w="1134" w:type="dxa"/>
          </w:tcPr>
          <w:p w14:paraId="3DEA5F54" w14:textId="77777777" w:rsidR="00B95E73" w:rsidRPr="00264D5D" w:rsidRDefault="00B95E73" w:rsidP="00B95E73">
            <w:pPr>
              <w:pStyle w:val="GOSTTablenorm"/>
            </w:pPr>
            <w:r w:rsidRPr="00264D5D">
              <w:t>Т(1-25)</w:t>
            </w:r>
          </w:p>
        </w:tc>
        <w:tc>
          <w:tcPr>
            <w:tcW w:w="567" w:type="dxa"/>
          </w:tcPr>
          <w:p w14:paraId="6357DDA0" w14:textId="77777777" w:rsidR="00B95E73" w:rsidRPr="00264D5D" w:rsidRDefault="00B95E73" w:rsidP="00B95E73">
            <w:pPr>
              <w:pStyle w:val="GOSTTablenorm"/>
            </w:pPr>
            <w:r w:rsidRPr="00264D5D">
              <w:t>Н</w:t>
            </w:r>
          </w:p>
        </w:tc>
        <w:tc>
          <w:tcPr>
            <w:tcW w:w="3969" w:type="dxa"/>
          </w:tcPr>
          <w:p w14:paraId="3CDE213C" w14:textId="77777777" w:rsidR="00B95E73" w:rsidRPr="00264D5D" w:rsidRDefault="00B95E73" w:rsidP="00B95E73">
            <w:pPr>
              <w:pStyle w:val="GOSTTablenorm"/>
            </w:pPr>
            <w:r w:rsidRPr="00264D5D">
              <w:t>Указывается код цели (аналитический код) плательщика</w:t>
            </w:r>
          </w:p>
        </w:tc>
      </w:tr>
      <w:tr w:rsidR="00B95E73" w:rsidRPr="00264D5D" w14:paraId="73FFF821" w14:textId="77777777" w:rsidTr="00B95E73">
        <w:tc>
          <w:tcPr>
            <w:tcW w:w="1701" w:type="dxa"/>
          </w:tcPr>
          <w:p w14:paraId="18923994" w14:textId="77777777" w:rsidR="00B95E73" w:rsidRPr="00264D5D" w:rsidRDefault="00B95E73" w:rsidP="00B95E73">
            <w:pPr>
              <w:pStyle w:val="GOSTTablenorm"/>
              <w:rPr>
                <w:szCs w:val="22"/>
              </w:rPr>
            </w:pPr>
            <w:r w:rsidRPr="00264D5D">
              <w:t>Сумма в валюте по классификации</w:t>
            </w:r>
          </w:p>
        </w:tc>
        <w:tc>
          <w:tcPr>
            <w:tcW w:w="1701" w:type="dxa"/>
          </w:tcPr>
          <w:p w14:paraId="3CB79FFC" w14:textId="77777777" w:rsidR="00B95E73" w:rsidRPr="00264D5D" w:rsidRDefault="00B95E73" w:rsidP="00B95E73">
            <w:pPr>
              <w:pStyle w:val="GOSTTablenorm"/>
              <w:rPr>
                <w:lang w:val="en-US"/>
              </w:rPr>
            </w:pPr>
            <w:r w:rsidRPr="00264D5D">
              <w:rPr>
                <w:lang w:val="en-US"/>
              </w:rPr>
              <w:t>AmCurrClass</w:t>
            </w:r>
          </w:p>
        </w:tc>
        <w:tc>
          <w:tcPr>
            <w:tcW w:w="567" w:type="dxa"/>
          </w:tcPr>
          <w:p w14:paraId="6B814961" w14:textId="77777777" w:rsidR="00B95E73" w:rsidRPr="00264D5D" w:rsidRDefault="00B95E73" w:rsidP="00B95E73">
            <w:pPr>
              <w:pStyle w:val="GOSTTablenorm"/>
            </w:pPr>
            <w:r w:rsidRPr="00264D5D">
              <w:t>П</w:t>
            </w:r>
          </w:p>
        </w:tc>
        <w:tc>
          <w:tcPr>
            <w:tcW w:w="1134" w:type="dxa"/>
          </w:tcPr>
          <w:p w14:paraId="59E90F57" w14:textId="77777777" w:rsidR="00B95E73" w:rsidRPr="00264D5D" w:rsidRDefault="00B95E73" w:rsidP="00B95E73">
            <w:pPr>
              <w:pStyle w:val="GOSTTablenorm"/>
            </w:pPr>
            <w:r w:rsidRPr="00264D5D">
              <w:rPr>
                <w:lang w:val="en-US"/>
              </w:rPr>
              <w:t>N(20.2)</w:t>
            </w:r>
          </w:p>
        </w:tc>
        <w:tc>
          <w:tcPr>
            <w:tcW w:w="567" w:type="dxa"/>
          </w:tcPr>
          <w:p w14:paraId="5CFE553F" w14:textId="77777777" w:rsidR="00B95E73" w:rsidRPr="00264D5D" w:rsidRDefault="00B95E73" w:rsidP="00B95E73">
            <w:pPr>
              <w:pStyle w:val="GOSTTablenorm"/>
            </w:pPr>
            <w:r w:rsidRPr="00264D5D">
              <w:t>О</w:t>
            </w:r>
          </w:p>
        </w:tc>
        <w:tc>
          <w:tcPr>
            <w:tcW w:w="3969" w:type="dxa"/>
          </w:tcPr>
          <w:p w14:paraId="24192728" w14:textId="77777777" w:rsidR="00B95E73" w:rsidRPr="00264D5D" w:rsidRDefault="00B95E73" w:rsidP="00B95E73">
            <w:pPr>
              <w:pStyle w:val="GOSTTablenorm"/>
            </w:pPr>
            <w:r w:rsidRPr="00264D5D">
              <w:t>Указывается сумма в валюте по классификации</w:t>
            </w:r>
          </w:p>
        </w:tc>
      </w:tr>
    </w:tbl>
    <w:p w14:paraId="3DDEF895" w14:textId="77777777" w:rsidR="00AD1F54" w:rsidRPr="00D86A54" w:rsidRDefault="00941227">
      <w:pPr>
        <w:pStyle w:val="31"/>
        <w:rPr>
          <w:highlight w:val="green"/>
        </w:rPr>
      </w:pPr>
      <w:bookmarkStart w:id="4942" w:name="_Toc219309903"/>
      <w:r w:rsidRPr="00D86A54">
        <w:rPr>
          <w:highlight w:val="green"/>
        </w:rPr>
        <w:t>Пример XML</w:t>
      </w:r>
      <w:bookmarkEnd w:id="4931"/>
      <w:bookmarkEnd w:id="4932"/>
      <w:bookmarkEnd w:id="4933"/>
      <w:bookmarkEnd w:id="4934"/>
      <w:bookmarkEnd w:id="4942"/>
    </w:p>
    <w:p w14:paraId="2DF349DE"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&lt;?xml version="1.0" encoding="UTF-8"?&gt;</w:t>
      </w:r>
    </w:p>
    <w:p w14:paraId="6965860A"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&lt;soapenv:Envelope xmlns:soapenv="http://schemas.xmlsoap.org/soap/envelope/" xmlns:wsu="http://docs.oasis-open.org/wss/2004/01/oasis-200401-wss-wssecurity-utility-1.0.xsd" xmlns:wsse="http://docs.oasis-open.org/wss/2004/01/oasis-200401-wss-wssecurity-secext-1.0.xsd"&gt;</w:t>
      </w:r>
    </w:p>
    <w:p w14:paraId="76D416E7"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&lt;env:Header xmlns:env="http://schemas.xmlsoap.org/soap/envelope/"&gt;&lt;wsse:Security wsu:Id="Id-sec-f9cb3040b7ca31cd7876d625c632e1aed304"&gt;</w:t>
      </w:r>
    </w:p>
    <w:p w14:paraId="417FA3FD"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 xmlns="http://www.w3.org/2000/09/xmldsig#" Id="Id-sig-b9199ca934cfa91bcff69e807d7b0dbd26f6"&gt;</w:t>
      </w:r>
    </w:p>
    <w:p w14:paraId="58C2F55A"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&lt;SignedInfo&gt;</w:t>
      </w:r>
    </w:p>
    <w:p w14:paraId="4A4B72BC"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&lt;CanonicalizationMethod Algorithm="http://www.w3.org/2001/10/xml-exc-c14n#"/&gt;</w:t>
      </w:r>
    </w:p>
    <w:p w14:paraId="4B7D657F"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&lt;SignatureMethod Algorithm="urn:ietf:params:xml:ns:cpxmlsec:algorithms:gostr34102012-gostr34112012-256"/&gt;</w:t>
      </w:r>
    </w:p>
    <w:p w14:paraId="24AB92C1"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URI="#Id-wssecdata-29cef34e3106063e64fead91c94aeda97ff4" Id="Id-dataref-ea575c0bb2c994b98298d2c77dcd5a7dbaa1"&gt;</w:t>
      </w:r>
    </w:p>
    <w:p w14:paraId="6529B2E1"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0BC0477F"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6A8379DF"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50E75CB1"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Algorithm="urn:ietf:params:xml:ns:cpxmlsec:algorithms:gostr34112012-256"/&gt;</w:t>
      </w:r>
    </w:p>
    <w:p w14:paraId="56DBD5BB"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&lt;DigestValue&gt;4bqC9/3OSJqEHDz00XLzUf29YFcetigx2jr08qUp7fQ=&lt;/DigestValue&gt;</w:t>
      </w:r>
    </w:p>
    <w:p w14:paraId="4AA34232"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742F5B24"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Type="http://www.w3.org/TR/2002/REC-xmldsig-core-20020212/xmldsig-core-schema.xsd#X509Data" URI="#Id-keyinfo-11712390bc17243d110193ac033f54873ad8" Id="Id-keyinforef-ac3c6eb29c9af1964819db52ec661b26c339"&gt;</w:t>
      </w:r>
    </w:p>
    <w:p w14:paraId="57C87242"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3FD42352"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485BD65B"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063B4B89"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Algorithm="urn:ietf:params:xml:ns:cpxmlsec:algorithms:gostr34112012-256"/&gt;</w:t>
      </w:r>
    </w:p>
    <w:p w14:paraId="2BCD7E85"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&lt;DigestValue&gt;+0q515JTexjW0go5SdPl7+ydqXUKST91N44lIbXt8Yo=&lt;/DigestValue&gt;</w:t>
      </w:r>
    </w:p>
    <w:p w14:paraId="057B6D31"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6B189F1B"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 URI="#Id-sp-4179cfd1e4ba9c0aaed70450fc3c741c9c08" Id="Id-ref-cb8cc265f168034494eca1c25ec74bf9433c"&gt;</w:t>
      </w:r>
    </w:p>
    <w:p w14:paraId="2A9CB264"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5874693D"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 Algorithm="http://www.w3.org/2001/10/xml-exc-c14n#"/&gt;</w:t>
      </w:r>
    </w:p>
    <w:p w14:paraId="04F62ADF"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&lt;/Transforms&gt;</w:t>
      </w:r>
    </w:p>
    <w:p w14:paraId="72D75B17"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&lt;DigestMethod Algorithm="urn:ietf:params:xml:ns:cpxmlsec:algorithms:gostr34112012-256"/&gt;</w:t>
      </w:r>
    </w:p>
    <w:p w14:paraId="4ACE7665"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&lt;DigestValue&gt;f10/P/MZ5W1AwvdMPGkqpWfYGkK10xUw6SycuQIgFIc=&lt;/DigestValue&gt;</w:t>
      </w:r>
    </w:p>
    <w:p w14:paraId="6DA0D00A"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&lt;/Reference&gt;</w:t>
      </w:r>
    </w:p>
    <w:p w14:paraId="4D59F72F"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&lt;/SignedInfo&gt;</w:t>
      </w:r>
    </w:p>
    <w:p w14:paraId="0F6CA11E"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&lt;SignatureValue&gt;Xg8mlCU46QdjuUgHR/GFI13DKE7tfRDOphsVyNpFnxC/Sa2XnEuGBKeW7azroY19</w:t>
      </w:r>
    </w:p>
    <w:p w14:paraId="556DA39C"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3u7EHXe4dKfnrJ7k7Eq5+A==&lt;/SignatureValue&gt;</w:t>
      </w:r>
    </w:p>
    <w:p w14:paraId="6A2A7BD9"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7ADE2E69"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38A778A4"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 xmlns="http://uri.etsi.org/01903/v1.4.1#" Target="Id-sig-b9199ca934cfa91bcff69e807d7b0dbd26f6"&gt;</w:t>
      </w:r>
    </w:p>
    <w:p w14:paraId="0BCC0738"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 Id="Id-sp-4179cfd1e4ba9c0aaed70450fc3c741c9c08"&gt;</w:t>
      </w:r>
    </w:p>
    <w:p w14:paraId="2D3DA871"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&lt;SignedSignatureProperties Id="Id-ssp-408cecc6a155b8a0f2850e81d5f57496bb2b"/&gt;</w:t>
      </w:r>
    </w:p>
    <w:p w14:paraId="3173BA43"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&lt;/SignedProperties&gt;</w:t>
      </w:r>
    </w:p>
    <w:p w14:paraId="3FBD738F"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&lt;/QualifyingProperties&gt;</w:t>
      </w:r>
    </w:p>
    <w:p w14:paraId="6206F8E8"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&lt;/Object&gt;</w:t>
      </w:r>
    </w:p>
    <w:p w14:paraId="4087D2D1"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35AF8367"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CVNlcnZlciBDQTEgMB4GCSqGSIb3DQEJARYRdWNfZmtAcm9za2F6bmEucnUxHDAa</w:t>
      </w:r>
    </w:p>
    <w:p w14:paraId="2950DA57"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BgNVBAgMEzc3INCzLiDQnNC+0YHQutCy0LAxGjAYBggqhQMDgQMBARIMMDA3NzEw</w:t>
      </w:r>
    </w:p>
    <w:p w14:paraId="1DD4FFDE"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NTY4NzYwMRgwFgYFKoUDZAESDTEwNDc3OTcwMTk4MzAxLDAqBgNVBAkMI9GD0LvQ</w:t>
      </w:r>
    </w:p>
    <w:p w14:paraId="0F68AD56"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uNGG0LAg0JjQu9GM0LjQvdC60LAsINC00L7QvCA3MRUwEwYDVQQHDAzQnNC+0YHQ</w:t>
      </w:r>
    </w:p>
    <w:p w14:paraId="3DCE6CDF"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utCy0LAxCzAJBgNVBAYTAlJVMTgwNgYDVQQKDC/QpNC10LTQtdGA0LDQu9GM0L3Q</w:t>
      </w:r>
    </w:p>
    <w:p w14:paraId="33337C6E"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vtC1INC60LDQt9C90LDRh9C10LnRgdGC0LLQvjE/MD0GA1UEAww20KPQpiDQpNC1</w:t>
      </w:r>
    </w:p>
    <w:p w14:paraId="5939647F"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0LTQtdGA0LDQu9GM0L3QvtCz0L4g0LrQsNC30L3QsNGH0LXQudGB0YLQstCwMB4X</w:t>
      </w:r>
    </w:p>
    <w:p w14:paraId="09D1427E"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DTE2MDQwNzA4MTExMFoXDTE3MDcwNzA4MTExMFowggITMRYwFAYFKoUDZAMSCzEy</w:t>
      </w:r>
    </w:p>
    <w:p w14:paraId="3BF093E5"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MzQ1Njc4OTAxMRgwFgYFKoUDZAESDTAxMjM0NTY3ODkxMjMxGjAYBggqhQMDgQMB</w:t>
      </w:r>
    </w:p>
    <w:p w14:paraId="176693E8"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lastRenderedPageBreak/>
        <w:t>ARIMMDAxMjM0NTY3ODkwMSYwJAYJKoZIhvcNAQkBFhduLm5hZ292aXRzeW5AaW5m</w:t>
      </w:r>
    </w:p>
    <w:p w14:paraId="5544EB58"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b3NlYy5ydTELMAkGA1UEBhMCUlUxHDAaBgNVBAgMEzc3INCzLiDQnNC+0YHQutCy</w:t>
      </w:r>
    </w:p>
    <w:p w14:paraId="5005746C"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0LAxFTATBgNVBAcMDNCc0L7RgdC60LLQsDE4MDYGA1UECgwv0KTQtdC00LXRgNCw</w:t>
      </w:r>
    </w:p>
    <w:p w14:paraId="7C502AD2"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0LvRjNC90L7QtSDQutCw0LfQvdCw0YfQtdC50YHRgtCy0L4xNDAyBgNVBAsMK9GC</w:t>
      </w:r>
    </w:p>
    <w:p w14:paraId="2A87C775"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0LXRgdGC0L7QstC+0LUg0L/QvtC00YDQsNC30LTQtdC70LXQvdC40LUxHDAaBgNV</w:t>
      </w:r>
    </w:p>
    <w:p w14:paraId="35FB8F13"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BCoME2PQtdGA0YLQuNGE0LjQutCw0YIxGTAXBgNVBAQMENCi0LXRgdGC0L7QstGL</w:t>
      </w:r>
    </w:p>
    <w:p w14:paraId="0EAC8EE4"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0LkxPTA7BgNVBAwMNNCi0LXRgdGC0L7QstGL0Lkg0YHQtdGA0YLQuNGE0LjQutCw</w:t>
      </w:r>
    </w:p>
    <w:p w14:paraId="0CF28325"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0YIg0L/QvtC00L/QuNGB0LgxQTA/BgkqhkiG9w0BCQIMMklOTlw9MDEyMzQ1Njc4</w:t>
      </w:r>
    </w:p>
    <w:p w14:paraId="4E9DCC67"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OS9LUFBcPTEyMzQ1Njc4OS9PR1JOXD0wMTIzNDU2Nzg5MTIzMS4wLAYDVQQDDCXQ</w:t>
      </w:r>
    </w:p>
    <w:p w14:paraId="16B75A78"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otC10YHRgtC+0LLRi9C5INGB0LXRgNGC0LjRhNC40LrQsNGCMGMwHAYGKoUDAgIT</w:t>
      </w:r>
    </w:p>
    <w:p w14:paraId="13167946"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MBIGByqFAwICJAAGByqFAwICHgEDQwAEQM/mE38gcSmh2U183WL3aPaP3tJu0vTq</w:t>
      </w:r>
    </w:p>
    <w:p w14:paraId="60373770"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CndMDcb72IGcv8nO7QkaqnFwXrkt6zScdQlQgUX78ct0+jNJa7ZIdLGjggRJMIIE</w:t>
      </w:r>
    </w:p>
    <w:p w14:paraId="4156A8B1"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RTAMBgNVHRMBAf8EAjAAMB0GA1UdIAQWMBQwCAYGKoUDZHEBMAgGBiqFA2RxAjBN</w:t>
      </w:r>
    </w:p>
    <w:p w14:paraId="34926272"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BgUqhQNkbwREDELQmtGA0LjQv9GC0L7Qn9GA0L4gQ1NQICjQstC10YDRgdC40Y8g</w:t>
      </w:r>
    </w:p>
    <w:p w14:paraId="6ED78894"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My42KSAo0LjRgdC/0L7Qu9C90LXQvdC40LUgMikwggFhBgUqhQNkcASCAVYwggFS</w:t>
      </w:r>
    </w:p>
    <w:p w14:paraId="5D9F7573"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DEQi0JrRgNC40L/RgtC+0J/RgNC+IENTUCIgKNCy0LXRgNGB0LjRjyAzLjYpICjQ</w:t>
      </w:r>
    </w:p>
    <w:p w14:paraId="496994F8"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uNGB0L/QvtC70L3QtdC90LjQtSAyKQxoItCf0YDQvtCz0YDQsNC80LzQvdC+LdCw</w:t>
      </w:r>
    </w:p>
    <w:p w14:paraId="7284BFEA"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0L/Qv9Cw0YDQsNGC0L3Ri9C5INC60L7QvNC/0LvQtdC60YEgItCu0L3QuNGB0LXR</w:t>
      </w:r>
    </w:p>
    <w:p w14:paraId="69C35B55"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gNGCLdCT0J7QodCiIi4g0JLQtdGA0YHQuNGPIDIuMSIMT9Ch0LXRgNGC0LjRhNC4</w:t>
      </w:r>
    </w:p>
    <w:p w14:paraId="0693B84E"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0LrQsNGCINGB0L7QvtGC0LLQtdGC0YHRgtCy0LjRjyDihJYg0KHQpC8xMjQtMjcz</w:t>
      </w:r>
    </w:p>
    <w:p w14:paraId="6C123571"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OCDQvtGCIDAxLjA3LjIwMTUMT9Ch0LXRgNGC0LjRhNC40LrQsNGCINGB0L7QvtGC</w:t>
      </w:r>
    </w:p>
    <w:p w14:paraId="1199173B"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0LLQtdGC0YHRgtCy0LjRjyDihJYg0KHQpC8xMjgtMjE3NSDQvtGCIDIwLjA2LjIw</w:t>
      </w:r>
    </w:p>
    <w:p w14:paraId="391CEA8E"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MTMwDgYDVR0PAQH/BAQDAgTwMBMGA1UdJQQMMAoGCCsGAQUFBwMDMCsGA1UdEAQk</w:t>
      </w:r>
    </w:p>
    <w:p w14:paraId="255F254D"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MCKADzIwMTYwNDA3MDgwNDI4WoEPMjAxNzA3MDcwODA0MjhaMIIBjwYDVR0jBIIB</w:t>
      </w:r>
    </w:p>
    <w:p w14:paraId="4E26BB09"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hjCCAYKAFJ5xDg/atAEoXz/iy49lFZcCR4yroYIBZaSCAWEwggFdMRgwFgYJKoZI</w:t>
      </w:r>
    </w:p>
    <w:p w14:paraId="3EE22DB9"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hvcNAQkCEwlTZXJ2ZXIgQ0ExIDAeBgkqhkiG9w0BCQEWEXVjX2ZrQHJvc2them5h</w:t>
      </w:r>
    </w:p>
    <w:p w14:paraId="0600E9CD"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LnJ1MRwwGgYDVQQIDBM3NyDQsy4g0JzQvtGB0LrQstCwMRowGAYIKoUDA4EDAQES</w:t>
      </w:r>
    </w:p>
    <w:p w14:paraId="6C161DE9"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DDAwNzcxMDU2ODc2MDEYMBYGBSqFA2QBEg0xMDQ3Nzk3MDE5ODMwMSwwKgYDVQQJ</w:t>
      </w:r>
    </w:p>
    <w:p w14:paraId="27865594"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DCPRg9C70LjRhtCwINCY0LvRjNC40L3QutCwLCDQtNC+0LwgNzEVMBMGA1UEBwwM</w:t>
      </w:r>
    </w:p>
    <w:p w14:paraId="678DD1D3"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0JzQvtGB0LrQstCwMQswCQYDVQQGEwJSVTE4MDYGA1UECgwv0KTQtdC00LXRgNCw</w:t>
      </w:r>
    </w:p>
    <w:p w14:paraId="46B77B4C"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0LvRjNC90L7QtSDQutCw0LfQvdCw0YfQtdC50YHRgtCy0L4xPzA9BgNVBAMMNtCj</w:t>
      </w:r>
    </w:p>
    <w:p w14:paraId="0801DED1"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0KYg0KTQtdC00LXRgNCw0LvRjNC90L7Qs9C+INC60LDQt9C90LDRh9C10LnRgdGC</w:t>
      </w:r>
    </w:p>
    <w:p w14:paraId="4ACDA0FC"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0LLQsIIBATBeBgNVHR8EVzBVMCmgJ6AlhiNodHRwOi8vY3JsLnJvc2them5hLnJ1</w:t>
      </w:r>
    </w:p>
    <w:p w14:paraId="4DA5D211"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L2NybC9mazAxLmNybDAooCagJIYiaHR0cDovL2NybC5mc2ZrLmxvY2FsL2NybC9m</w:t>
      </w:r>
    </w:p>
    <w:p w14:paraId="6D78ACF1"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azAxLmNybDAdBgNVHQ4EFgQUt0m7wwTPyJQ+5TDMkq5Z0WnD5vQwCAYGKoUDAgID</w:t>
      </w:r>
    </w:p>
    <w:p w14:paraId="498F806D"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A0EAReUQeQpqERyFF5XRWG8RnguKCWvPIQOt26PZmVTccxOXVHwZyI0rqdcQ2i4L</w:t>
      </w:r>
    </w:p>
    <w:p w14:paraId="213EBE93"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p87xs4bqOAO1BwhmKL/TsoC4pA==&lt;/wsse:BinarySecurityToken&gt;&lt;/wsse:Security&gt;&lt;/env:Header&gt;</w:t>
      </w:r>
    </w:p>
    <w:p w14:paraId="7F21D33B"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&lt;env:Body xmlns:env="http://schemas.xmlsoap.org/soap/envelope/" wsu:Id="Id-wssecdata-29cef34e3106063e64fead91c94aeda97ff4"&gt;</w:t>
      </w:r>
    </w:p>
    <w:p w14:paraId="4FB189BA"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&lt;transferDocumentRequest xmlns:typ="http://www.roskazna.ru/eb/services/transferDocumentService/types" xmlns="http://www.roskazna.ru/eb/services/transferDocumentService/types" versionId="1.0"&gt;</w:t>
      </w:r>
    </w:p>
    <w:p w14:paraId="68FD71D2"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&lt;typ:header&gt;</w:t>
      </w:r>
    </w:p>
    <w:p w14:paraId="5E04698B"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&lt;typ:packageId&gt;e8bf66bf-9cf1-44f1-a48b-394d18467fe3&lt;/typ:packageId&gt;</w:t>
      </w:r>
    </w:p>
    <w:p w14:paraId="6A51D4AE"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&lt;typ:senderSystemId&gt;EXP&lt;/typ:senderSystemId&gt;</w:t>
      </w:r>
    </w:p>
    <w:p w14:paraId="60591996"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&lt;typ:targetSystemId&gt;FAMABS&lt;/typ:targetSystemId&gt;</w:t>
      </w:r>
    </w:p>
    <w:p w14:paraId="55376B6E"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&lt;typ:documentType&gt;MSC_AppForeignCurr&lt;/typ:documentType&gt;</w:t>
      </w:r>
    </w:p>
    <w:p w14:paraId="4A212FEE"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&lt;typ:documentGuid&gt;6a4b54c6-d794-4871-bfbf-7c8b708c19d0&lt;/typ:documentGuid&gt;</w:t>
      </w:r>
    </w:p>
    <w:p w14:paraId="7638968C"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&lt;typ:creationDateTime&gt;2023-12-16T16:46:07.689+04:00&lt;/typ:creationDateTime&gt;</w:t>
      </w:r>
    </w:p>
    <w:p w14:paraId="73F477EF"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&lt;typ:params&gt;</w:t>
      </w:r>
    </w:p>
    <w:p w14:paraId="04AA0E6E"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r>
      <w:r w:rsidRPr="00264D5D">
        <w:rPr>
          <w:rFonts w:cs="Courier New"/>
          <w:sz w:val="20"/>
        </w:rPr>
        <w:tab/>
        <w:t>&lt;typ:param name="versionId" value="1.0"/&gt;</w:t>
      </w:r>
    </w:p>
    <w:p w14:paraId="0AF83628"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&lt;/typ:params&gt;</w:t>
      </w:r>
    </w:p>
    <w:p w14:paraId="6F4245BD"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&lt;/typ:header&gt;</w:t>
      </w:r>
    </w:p>
    <w:p w14:paraId="5C7A601D"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&lt;typ:document&gt;</w:t>
      </w:r>
    </w:p>
    <w:p w14:paraId="5DC62D7F"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 xml:space="preserve">&lt;self:MSC_AppForeignCurr xmlns:xsi="http://www.w3.org/2001/XMLSchema-instance" </w:t>
      </w:r>
      <w:r w:rsidRPr="00264D5D">
        <w:rPr>
          <w:rFonts w:cs="Courier New"/>
          <w:sz w:val="20"/>
        </w:rPr>
        <w:lastRenderedPageBreak/>
        <w:t>xmlns:self="http://www.roskazna.ru/eb/domain/MSC_AppForeignCurr/formular" metaType="formular" versionID="1.0" xsi:schemaLocation="http://www.roskazna.ru/eb/domain/MSC_AppForeignCurr/formular formulars.xsd"&gt;</w:t>
      </w:r>
    </w:p>
    <w:p w14:paraId="16CC4FBC"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&lt;ZR_DeclarationDate&gt;2023-12-16&lt;/ZR_DeclarationDate&gt;</w:t>
      </w:r>
    </w:p>
    <w:p w14:paraId="371B96AB"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&lt;ZR_DeclarationNo&gt;11&lt;/ZR_DeclarationNo&gt;</w:t>
      </w:r>
    </w:p>
    <w:p w14:paraId="387000E1"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&lt;Customer_Description&gt;INN 7709878888, MEZREGIONALNOE OPERACIONNOE UFK&lt;/Customer_Description&gt;</w:t>
      </w:r>
    </w:p>
    <w:p w14:paraId="3BDE7AA6"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&lt;Customer_Address&gt;RUSSIA, 109240, MOSCOW, V. RADISCHCEVSKAYA, D. 11, STR. 1&lt;/Customer_Address&gt;</w:t>
      </w:r>
    </w:p>
    <w:p w14:paraId="61141402"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&lt;ZR_KodPayer&gt;001А6310&lt;/ZR_KodPayer&gt;</w:t>
      </w:r>
    </w:p>
    <w:p w14:paraId="5A508B88"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&lt;ZR_CdBdgt&gt;99010001&lt;/ZR_CdBdgt&gt;</w:t>
      </w:r>
    </w:p>
    <w:p w14:paraId="5F05D571"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&lt;ZR_OperationType code="2" value="Перевод средств на счета Российских банков (Внешторгбанк)"/&gt;</w:t>
      </w:r>
    </w:p>
    <w:p w14:paraId="7DDA459C"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&lt;ZR_SecurityLevel&gt;0&lt;/ZR_SecurityLevel&gt;</w:t>
      </w:r>
    </w:p>
    <w:p w14:paraId="39AD71A6"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&lt;ZR_ValueDate_Rem&gt;2023-12-01&lt;/ZR_ValueDate_Rem&gt;</w:t>
      </w:r>
    </w:p>
    <w:p w14:paraId="4DEDD06F"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&lt;ZR_CodeRemOKV&gt;840&lt;/ZR_CodeRemOKV&gt;</w:t>
      </w:r>
    </w:p>
    <w:p w14:paraId="37621814"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&lt;ZR_SumRem&gt;200000.00&lt;/ZR_SumRem&gt;</w:t>
      </w:r>
    </w:p>
    <w:p w14:paraId="4942845E"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&lt;ZR_AccNumberRem&gt;40105840300000002901&lt;/ZR_AccNumberRem&gt;</w:t>
      </w:r>
    </w:p>
    <w:p w14:paraId="17DCE078"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&lt;Beneficiary_AccNumber&gt;2000192003476&lt;/Beneficiary_AccNumber&gt;</w:t>
      </w:r>
    </w:p>
    <w:p w14:paraId="0F9C18AA"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&lt;Beneficiary_Description&gt;INTERNATIONAL BANK FOR RECONSTRUCTION AND DEVELOPMENT&lt;/Beneficiary_Description&gt;</w:t>
      </w:r>
    </w:p>
    <w:p w14:paraId="726AE6A8"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&lt;Beneficiary_Address&gt;1818 H Street N.W.Washington, D.C., 20433 USA&lt;/Beneficiary_Address&gt;</w:t>
      </w:r>
    </w:p>
    <w:p w14:paraId="0A1F9E04"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&lt;BeneficiaryBank_SwiftCode&gt;PNBPUS3NNYC&lt;/BeneficiaryBank_SwiftCode&gt;</w:t>
      </w:r>
    </w:p>
    <w:p w14:paraId="79FDB0FA"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&lt;BeneficiaryBank_Description&gt;WELLS FARGO BANK, N.A. (NEW YORK INTERNATIONAL BRANCH)&lt;/BeneficiaryBank_Description&gt;</w:t>
      </w:r>
    </w:p>
    <w:p w14:paraId="147B6980"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&lt;BeneficiaryBank_Address&gt;NEW YORK, NY 375 Park Avenue NY 4080 10152 UNITED STATES OF AMERICA&lt;/BeneficiaryBank_Address&gt;</w:t>
      </w:r>
    </w:p>
    <w:p w14:paraId="5D8AFE95"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&lt;ZR_ChargeDetails code="OUR" value="За счет Перевододателя"/&gt;</w:t>
      </w:r>
    </w:p>
    <w:p w14:paraId="385584FA"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&lt;ZR_AddCommision&gt;1&lt;/ZR_AddCommision&gt;</w:t>
      </w:r>
    </w:p>
    <w:p w14:paraId="43DB4569"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&lt;ZR_MSC_Infrmtn&gt;</w:t>
      </w:r>
    </w:p>
    <w:p w14:paraId="4E0297C6"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&lt;GUID&gt;6a4b54c6-d794-4871-bfbf-7c8b708c19d0&lt;/GUID&gt;</w:t>
      </w:r>
    </w:p>
    <w:p w14:paraId="54855D79"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&lt;/ZR_MSC_Infrmtn&gt;</w:t>
      </w:r>
    </w:p>
    <w:p w14:paraId="1B5FBCEE"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&lt;COWFCE&gt;</w:t>
      </w:r>
    </w:p>
    <w:p w14:paraId="42DFC55C"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&lt;COWFCE_ITEM&gt;</w:t>
      </w:r>
    </w:p>
    <w:p w14:paraId="1DA33E87"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&lt;CodePPP&gt;092&lt;/CodePPP&gt;</w:t>
      </w:r>
    </w:p>
    <w:p w14:paraId="1AA28E4C"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&lt;CodeFKR&gt;1302&lt;/CodeFKR&gt;</w:t>
      </w:r>
    </w:p>
    <w:p w14:paraId="6939B77F"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&lt;CodeCSR&gt;3950292788&lt;/CodeCSR&gt;</w:t>
      </w:r>
    </w:p>
    <w:p w14:paraId="664184B0"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&lt;CodeKVR&gt;710&lt;/CodeKVR&gt;</w:t>
      </w:r>
    </w:p>
    <w:p w14:paraId="7A8C2FF2"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r>
      <w:r w:rsidRPr="00264D5D">
        <w:rPr>
          <w:rFonts w:cs="Courier New"/>
          <w:sz w:val="20"/>
        </w:rPr>
        <w:tab/>
        <w:t>&lt;AmCurrClass&gt;106505.94&lt;/AmCurrClass&gt;</w:t>
      </w:r>
    </w:p>
    <w:p w14:paraId="6F185936"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r>
      <w:r w:rsidRPr="00264D5D">
        <w:rPr>
          <w:rFonts w:cs="Courier New"/>
          <w:sz w:val="20"/>
        </w:rPr>
        <w:tab/>
        <w:t>&lt;/COWFCE_ITEM&gt;</w:t>
      </w:r>
    </w:p>
    <w:p w14:paraId="14236807" w14:textId="77777777" w:rsidR="00AD1F54"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ab/>
        <w:t>&lt;/COWFCE&gt;</w:t>
      </w:r>
    </w:p>
    <w:p w14:paraId="2D5A8E50"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&lt;Sgnng_PstHd&gt;Руководитель&lt;/Sgnng_PstHd&gt;</w:t>
      </w:r>
    </w:p>
    <w:p w14:paraId="06126EA1"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ab/>
        <w:t>&lt;Sgnng_NmHd&gt;Иванов И.И.&lt;/Sgnng_NmHd&gt;</w:t>
      </w:r>
    </w:p>
    <w:p w14:paraId="0C2AC89E"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ab/>
        <w:t>&lt;Sgnng_PstAccntnt&gt;Бухгалтер&lt;/Sgnng_PstAccntnt&gt;</w:t>
      </w:r>
    </w:p>
    <w:p w14:paraId="605F1CBB"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ab/>
        <w:t>&lt;Sgnng_FIOAccntnt&gt;Савельев В.В.&lt;/Sgnng_FIOAccntnt&gt;</w:t>
      </w:r>
    </w:p>
    <w:p w14:paraId="3BDE08C7"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ab/>
        <w:t>&lt;Sgnng_DtSgnng&gt;2025-12-16&lt;/Sgnng_DtSgnng&gt;</w:t>
      </w:r>
    </w:p>
    <w:p w14:paraId="500381C6"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&lt;Signature xmlns="http://www.w3.org/2000/09/xmldsig#" Id="Id-sig-d373256b5942f08343bc8d034aadd7158f61"&gt;</w:t>
      </w:r>
    </w:p>
    <w:p w14:paraId="31966DB6"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&lt;SignedInfo&gt;</w:t>
      </w:r>
    </w:p>
    <w:p w14:paraId="72FB9E5B"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ab/>
        <w:t>&lt;CanonicalizationMethod Algorithm="http://www.w3.org/2001/10/xml-exc-c14n#"/&gt;</w:t>
      </w:r>
    </w:p>
    <w:p w14:paraId="39F6EE96"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ab/>
        <w:t>&lt;SignatureMethod Algorithm="http://www.w3.org/2001/04/xmldsig-more#gostr34102001-gostr3411"/&gt;</w:t>
      </w:r>
    </w:p>
    <w:p w14:paraId="512BCF20"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&lt;Reference URI="Id-xadesdata-eaf97d94646411e9b78d005056834f23" Id="Id-dataref-dfd24e85a456a1a342553e99c27fd5695cff"&gt;</w:t>
      </w:r>
    </w:p>
    <w:p w14:paraId="18B5E847"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&lt;Transforms&gt;</w:t>
      </w:r>
    </w:p>
    <w:p w14:paraId="159CA39E"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&lt;Transform Algorithm="http://www.w3.org/2000/09/xmldsig#enveloped-signature"/&gt;</w:t>
      </w:r>
    </w:p>
    <w:p w14:paraId="353DA43D"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&lt;/Transforms&gt;</w:t>
      </w:r>
    </w:p>
    <w:p w14:paraId="18D288B6"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lastRenderedPageBreak/>
        <w:t>&lt;DigestMethod Algorithm="http://www.w3.org/2001/04/xmldsig-more#gostr3411"/&gt;</w:t>
      </w:r>
    </w:p>
    <w:p w14:paraId="5FD36BB5"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ab/>
        <w:t>&lt;DigestValue&gt;tuuoIThRLrpmXrL14i8lPFRl0pwMCiUsBbH5BypOA0I=&lt;/DigestValue&gt;</w:t>
      </w:r>
    </w:p>
    <w:p w14:paraId="4CD7E46E"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&lt;/Reference&gt;</w:t>
      </w:r>
    </w:p>
    <w:p w14:paraId="11633C76"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ab/>
        <w:t>&lt;Reference Type="http://www.w3.org/TR/2002/REC-xmldsig-core-20020212/xmldsig-core-schema.xsd#X509Data" URI="#Id-keyinfo-3dfe71fe8d5a7f7591dd337029c400ccf286" Id="Id-keyinforef-9674835ee89ca1067673b6fbb04db381a2a6"&gt;</w:t>
      </w:r>
    </w:p>
    <w:p w14:paraId="27132EF2"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&lt;Transforms&gt;</w:t>
      </w:r>
    </w:p>
    <w:p w14:paraId="25FCB69C"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&lt;Transform Algorithm="http://www.w3.org/2001/10/xml-exc-c14n#"/&gt;</w:t>
      </w:r>
    </w:p>
    <w:p w14:paraId="6AF63717"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&lt;/Transforms&gt;</w:t>
      </w:r>
    </w:p>
    <w:p w14:paraId="02AC64F2"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&lt;DigestMethod Algorithm="http://www.w3.org/2001/04/xmldsig-more#gostr3411"/&gt;</w:t>
      </w:r>
    </w:p>
    <w:p w14:paraId="2AA9477F"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&lt;DigestValue&gt;fIKSx5SIme2CRgDvDzflubM+Qqh4IkAWCXPpzXWD/AQ=&lt;/DigestValue&gt;</w:t>
      </w:r>
    </w:p>
    <w:p w14:paraId="3B2893BA"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&lt;/Reference&gt;</w:t>
      </w:r>
    </w:p>
    <w:p w14:paraId="1EB82715"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ab/>
        <w:t>&lt;Reference URI="#Id-sp-c353e147090ff61f2f90dcd64635bcf70055" Id="Id-ref-dbee882997a09b88ec14dafcd7da585e2467"&gt;</w:t>
      </w:r>
    </w:p>
    <w:p w14:paraId="19C0024F"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&lt;Transforms&gt;</w:t>
      </w:r>
    </w:p>
    <w:p w14:paraId="76255495"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&lt;Transform Algorithm="http://www.w3.org/2001/10/xml-exc-c14n#"/&gt;</w:t>
      </w:r>
    </w:p>
    <w:p w14:paraId="112AC7B3"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&lt;/Transforms&gt;</w:t>
      </w:r>
    </w:p>
    <w:p w14:paraId="313BE356"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&lt;DigestMethod Algorithm="http://www.w3.org/2001/04/xmldsig-more#gostr3411"/&gt;</w:t>
      </w:r>
    </w:p>
    <w:p w14:paraId="618D34C1"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ab/>
        <w:t>&lt;DigestValue&gt;ffi2NrwgQYkFPoTAefkLKH2wMBSNjwN3zzDBV+mhwQg=&lt;/DigestValue&gt;</w:t>
      </w:r>
    </w:p>
    <w:p w14:paraId="012DBA24"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&lt;/Reference&gt;</w:t>
      </w:r>
    </w:p>
    <w:p w14:paraId="524AAB61"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&lt;/SignedInfo&gt;</w:t>
      </w:r>
    </w:p>
    <w:p w14:paraId="159D79D7"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ab/>
        <w:t>&lt;SignatureValue&gt;zolZ5HI+TT6shtnB1YnAZeMq9mcqWLWAZlSR+MuKJXXN2NRZS/zapvyY4rW+I5gM</w:t>
      </w:r>
    </w:p>
    <w:p w14:paraId="5557E4A0"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py5+uThVv9x8n5TApPOJCg==&lt;/SignatureValue&gt;</w:t>
      </w:r>
    </w:p>
    <w:p w14:paraId="27EABED2"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&lt;KeyInfo Id="Id-keyinfo-3dfe71fe8d5a7f7591dd337029c400ccf286"&gt;</w:t>
      </w:r>
    </w:p>
    <w:p w14:paraId="73A738F5"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&lt;X509Data&gt;</w:t>
      </w:r>
    </w:p>
    <w:p w14:paraId="7140F175"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ab/>
        <w:t>&lt;X509Certificate&gt;MIIHbzCCBx6gAwIBAgIUCw+9bFynffs/n08sYLaljBr5oXAwCAYGKoUDAgIDMIIB</w:t>
      </w:r>
    </w:p>
    <w:p w14:paraId="637C096B"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OTEgMB4GCSqGSIb3DQEJARYRdWNfZmtAcm9za2F6bmEucnUxGTAXBgNVBAgMENCz</w:t>
      </w:r>
    </w:p>
    <w:p w14:paraId="288227B6"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LiDQnNC+0YHQutCy0LAxGjAYBggqhQMDgQMBARIMMDA3NzEwNTY4NzYwMRgwFgYF</w:t>
      </w:r>
    </w:p>
    <w:p w14:paraId="243A42CB"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KoUDZAESDTEwNDc3OTcwMTk4MzAxLDAqBgNVBAkMI9GD0LvQuNGG0LAg0JjQu9GM</w:t>
      </w:r>
    </w:p>
    <w:p w14:paraId="6A2118C5"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0LjQvdC60LAsINC00L7QvCA3MRUwEwYDVQQHDAzQnNC+0YHQutCy0LAxCzAJBgNV</w:t>
      </w:r>
    </w:p>
    <w:p w14:paraId="12C03228"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BAYTAlJVMTgwNgYDVQQKDC/QpNC10LTQtdGA0LDQu9GM0L3QvtC1INC60LDQt9C9</w:t>
      </w:r>
    </w:p>
    <w:p w14:paraId="7250F448"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0LDRh9C10LnRgdGC0LLQvjE4MDYGA1UEAwwv0KTQtdC00LXRgNCw0LvRjNC90L7Q</w:t>
      </w:r>
    </w:p>
    <w:p w14:paraId="26B86080"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tSDQutCw0LfQvdCw0YfQtdC50YHRgtCy0L4wHhcNMTgwNDA1MTMzNDQ3WhcNMTkw</w:t>
      </w:r>
    </w:p>
    <w:p w14:paraId="0A5AC92C"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NzA1MTMzNDQ3WjCCAS0xGjAYBggqhQMDgQMBARIMMDA3NzEwNTY4NzYwMRgwFgYF</w:t>
      </w:r>
    </w:p>
    <w:p w14:paraId="57E45913"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KoUDZAESDTEwNDc3OTcwMTk4MzAxIzAhBgNVBAkMGtGD0LsuINCY0LvRjNC40L3Q</w:t>
      </w:r>
    </w:p>
    <w:p w14:paraId="6E3A21AA"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utCwLCDQtC43MR4wHAYJKoZIhvcNAQkBFg83NzdAcm9za2F6bmEucnUxCzAJBgNV</w:t>
      </w:r>
    </w:p>
    <w:p w14:paraId="472A68F3"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BAYTAlJVMRgwFgYDVQQIDA/Qsy7QnNC+0YHQutCy0LAxFTATBgNVBAcMDNCc0L7R</w:t>
      </w:r>
    </w:p>
    <w:p w14:paraId="41090539"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gdC60LLQsDE4MDYGA1UECgwv0KTQtdC00LXRgNCw0LvRjNC90L7QtSDQutCw0LfQ</w:t>
      </w:r>
    </w:p>
    <w:p w14:paraId="121A3879"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vdCw0YfQtdC50YHRgtCy0L4xODA2BgNVBAMML9Ck0LXQtNC10YDQsNC70YzQvdC+</w:t>
      </w:r>
    </w:p>
    <w:p w14:paraId="12F5287E"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0LUg0LrQsNC30L3QsNGH0LXQudGB0YLQstC+MGMwHAYGKoUDAgITMBIGByqFAwIC</w:t>
      </w:r>
    </w:p>
    <w:p w14:paraId="621F1588"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IwEGByqFAwICHgEDQwAEQDmzpZ5HcFrSdwi3/h6QJ/jU0i6sTgtJqrYL/Tr+gxBg</w:t>
      </w:r>
    </w:p>
    <w:p w14:paraId="5D89DF3E"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Ud3B/sLCyhk3sR3aCrZ0K4YlsFHVmbBhDYe62UsOcnOjggQCMIID/jAMBgNVHRMB</w:t>
      </w:r>
    </w:p>
    <w:p w14:paraId="0D462964"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Af8EAjAAMB0GA1UdIAQWMBQwCAYGKoUDZHEBMAgGBiqFA2RxAjA2BgUqhQNkbwQt</w:t>
      </w:r>
    </w:p>
    <w:p w14:paraId="57AE88F7"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DCsi0JrRgNC40L/RgtC+0J/RgNC+IENTUCIgKNCy0LXRgNGB0LjRjyA0LjApMIIB</w:t>
      </w:r>
    </w:p>
    <w:p w14:paraId="5DC948F1"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MQYFKoUDZHAEggEmMIIBIgxEItCa0YDQuNC/0YLQvtCf0YDQviBDU1AiICjQstC1</w:t>
      </w:r>
    </w:p>
    <w:p w14:paraId="0E001DE5"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0YDRgdC40Y8gMy42KSAo0LjRgdC/0L7Qu9C90LXQvdC40LUgMikMaCLQn9GA0L7Q</w:t>
      </w:r>
    </w:p>
    <w:p w14:paraId="35879396"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s9GA0LDQvNC80L3Qvi3QsNC/0L/QsNGA0LDRgtC90YvQuSDQutC+0LzQv9C70LXQ</w:t>
      </w:r>
    </w:p>
    <w:p w14:paraId="2D35C094"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utGBICLQrtC90LjRgdC10YDRgi3Qk9Ce0KHQoiIuINCS0LXRgNGB0LjRjyAyLjEi</w:t>
      </w:r>
    </w:p>
    <w:p w14:paraId="0229B481"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DB/ihJYgMTQ5LzcvNi01Njkg0L7RgiAyMS4xMi4yMDE3DE/QodC10YDRgtC40YTQ</w:t>
      </w:r>
    </w:p>
    <w:p w14:paraId="14FE57F6"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uNC60LDRgiDRgdC+0L7RgtCy0LXRgtGB0YLQstC40Y8g4oSWINCh0KQvMTI4LTI4</w:t>
      </w:r>
    </w:p>
    <w:p w14:paraId="7C813A74"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Nzgg0L7RgiAyMC4wNi4yMDE2MA4GA1UdDwEB/wQEAwID+DAdBgNVHSUEFjAUBggr</w:t>
      </w:r>
    </w:p>
    <w:p w14:paraId="04AC6CEE"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BgEFBQcDAgYIKwYBBQUHAwMwKwYDVR0QBCQwIoAPMjAxODA0MDUxMzM0NDVagQ8y</w:t>
      </w:r>
    </w:p>
    <w:p w14:paraId="65DB9271"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MDE5MDcwNTEzMzQ0NVowggGFBgNVHSMEggF8MIIBeIAUFlWRplFYxIksa1Fb0oUZ</w:t>
      </w:r>
    </w:p>
    <w:p w14:paraId="338DEACB"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CgFESCKhggFSpIIBTjCCAUoxHjAcBgkqhkiG9w0BCQEWD2RpdEBtaW5zdnlhei5y</w:t>
      </w:r>
    </w:p>
    <w:p w14:paraId="66753D3E"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dTELMAkGA1UEBhMCUlUxHDAaBgNVBAgMEzc3INCzLiDQnNC+0YHQutCy0LAxFTAT</w:t>
      </w:r>
    </w:p>
    <w:p w14:paraId="3ABB6903"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BgNVBAcMDNCc0L7RgdC60LLQsDE/MD0GA1UECQw2MTI1Mzc1INCzLiDQnNC+0YHQ</w:t>
      </w:r>
    </w:p>
    <w:p w14:paraId="42B86ABC"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utCy0LAsINGD0LsuINCi0LLQtdGA0YHQutCw0Y8sINC0LiA3MSwwKgYDVQQKDCPQ</w:t>
      </w:r>
    </w:p>
    <w:p w14:paraId="37E3958D"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lastRenderedPageBreak/>
        <w:t>nNC40L3QutC+0LzRgdCy0Y/Qt9GMINCg0L7RgdGB0LjQuDEYMBYGBSqFA2QBEg0x</w:t>
      </w:r>
    </w:p>
    <w:p w14:paraId="30ED013D"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MDQ3NzAyMDI2NzAxMRowGAYIKoUDA4EDAQESDDAwNzcxMDQ3NDM3NTFBMD8GA1UE</w:t>
      </w:r>
    </w:p>
    <w:p w14:paraId="0F5551C9"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Aww40JPQvtC70L7QstC90L7QuSDRg9C00L7RgdGC0L7QstC10YDRj9GO0YnQuNC5</w:t>
      </w:r>
    </w:p>
    <w:p w14:paraId="572F5094"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INGG0LXQvdGC0YCCCjas1FUAAAAAAS8wXgYDVR0fBFcwVTApoCegJYYjaHR0cDov</w:t>
      </w:r>
    </w:p>
    <w:p w14:paraId="4D331F52"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L2NybC5yb3NrYXpuYS5ydS9jcmwvdWNmay5jcmwwKKAmoCSGImh0dHA6Ly9jcmwu</w:t>
      </w:r>
    </w:p>
    <w:p w14:paraId="3D4579A9"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ZnNmay5sb2NhbC9jcmwvdWNmay5jcmwwHQYDVR0OBBYEFLkvJG7Rfzg6F53wdndv</w:t>
      </w:r>
    </w:p>
    <w:p w14:paraId="2D591F50"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NLDQ/i3nMAgGBiqFAwICAwNBAH1LMUVqEV/HRyesHDkB5eBUk6qDOJwnOBHil2Y1</w:t>
      </w:r>
    </w:p>
    <w:p w14:paraId="4F130E83"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qNiUhWK7AqT93ErNsumpe8dDCswJmvps2nbQA7xwIJjzJjk=&lt;/X509Certificate&gt;</w:t>
      </w:r>
    </w:p>
    <w:p w14:paraId="29209840"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&lt;/X509Data&gt;</w:t>
      </w:r>
    </w:p>
    <w:p w14:paraId="627D8EDD"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&lt;/KeyInfo&gt;</w:t>
      </w:r>
    </w:p>
    <w:p w14:paraId="05DE964C"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&lt;Object&gt;</w:t>
      </w:r>
    </w:p>
    <w:p w14:paraId="47388533"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&lt;QualifyingProperties xmlns="http://uri.etsi.org/01903/v1.4.1#" Target="Id-sig-d373256b5942f08343bc8d034aadd7158f61"&gt;</w:t>
      </w:r>
    </w:p>
    <w:p w14:paraId="5E5ADA14"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&lt;SignedProperties Id="Id-sp-c353e147090ff61f2f90dcd64635bcf70055"&gt;</w:t>
      </w:r>
    </w:p>
    <w:p w14:paraId="5E6D2853"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&lt;SignedSignatureProperties Id="Id-ssp-7fd861712d758e7e3004067202146d020fd2"/&gt;</w:t>
      </w:r>
    </w:p>
    <w:p w14:paraId="1CB0EA0C"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&lt;/SignedProperties&gt;</w:t>
      </w:r>
    </w:p>
    <w:p w14:paraId="4A0F856E"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&lt;/QualifyingProperties&gt;</w:t>
      </w:r>
    </w:p>
    <w:p w14:paraId="507EBA35" w14:textId="77777777" w:rsidR="00D86A54" w:rsidRPr="00D86A54"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D86A54">
        <w:rPr>
          <w:rFonts w:cs="Courier New"/>
          <w:sz w:val="20"/>
          <w:highlight w:val="green"/>
        </w:rPr>
        <w:t>&lt;/Object&gt;</w:t>
      </w:r>
    </w:p>
    <w:p w14:paraId="28BA56A7" w14:textId="77777777" w:rsidR="00D86A54" w:rsidRPr="00264D5D" w:rsidRDefault="00D86A54" w:rsidP="00D86A5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86A54">
        <w:rPr>
          <w:rFonts w:cs="Courier New"/>
          <w:sz w:val="20"/>
          <w:highlight w:val="green"/>
        </w:rPr>
        <w:t>&lt;/Signature&gt;</w:t>
      </w:r>
    </w:p>
    <w:p w14:paraId="0F9AFE84"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&lt;/self:MSC_AppForeignCurr&gt;</w:t>
      </w:r>
    </w:p>
    <w:p w14:paraId="4822CA1F"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&lt;/typ:document&gt;</w:t>
      </w:r>
      <w:r w:rsidRPr="00264D5D">
        <w:rPr>
          <w:rFonts w:cs="Courier New"/>
          <w:sz w:val="20"/>
        </w:rPr>
        <w:tab/>
      </w:r>
    </w:p>
    <w:p w14:paraId="79B0DBA1"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&lt;/transferDocumentRequest&gt;</w:t>
      </w:r>
    </w:p>
    <w:p w14:paraId="10E69D90"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64D5D">
        <w:rPr>
          <w:rFonts w:cs="Courier New"/>
          <w:sz w:val="20"/>
        </w:rPr>
        <w:t>&lt;/env:Body&gt;</w:t>
      </w:r>
    </w:p>
    <w:p w14:paraId="7A374A57" w14:textId="77777777" w:rsidR="00AD1F54" w:rsidRPr="00264D5D" w:rsidRDefault="00941227" w:rsidP="0014287C">
      <w:pPr>
        <w:pStyle w:val="EBScript"/>
        <w:widowControl w:val="0"/>
        <w:pBdr>
          <w:top w:val="single" w:sz="4" w:space="0" w:color="000000"/>
          <w:left w:val="single" w:sz="4" w:space="0" w:color="000000"/>
          <w:right w:val="single" w:sz="4" w:space="0" w:color="000000"/>
        </w:pBdr>
        <w:spacing w:before="0" w:after="0"/>
        <w:ind w:left="0" w:right="0"/>
      </w:pPr>
      <w:r w:rsidRPr="00264D5D">
        <w:rPr>
          <w:rFonts w:cs="Courier New"/>
          <w:sz w:val="20"/>
        </w:rPr>
        <w:t>&lt;/soapenv:Envelope&gt;</w:t>
      </w:r>
    </w:p>
    <w:p w14:paraId="362BF22D" w14:textId="77777777" w:rsidR="00AD1F54" w:rsidRPr="00264D5D" w:rsidRDefault="00941227">
      <w:pPr>
        <w:pStyle w:val="OTRreg"/>
        <w:rPr>
          <w:b/>
          <w:caps w:val="0"/>
        </w:rPr>
      </w:pPr>
      <w:bookmarkStart w:id="4943" w:name="_Toc219309904"/>
      <w:r w:rsidRPr="00264D5D">
        <w:rPr>
          <w:b/>
        </w:rPr>
        <w:lastRenderedPageBreak/>
        <w:t>СОГЛАСОВАНО</w:t>
      </w:r>
      <w:bookmarkEnd w:id="4943"/>
    </w:p>
    <w:tbl>
      <w:tblPr>
        <w:tblStyle w:val="GOSTTable"/>
        <w:tblW w:w="5000" w:type="pct"/>
        <w:tblLook w:val="01E0" w:firstRow="1" w:lastRow="1" w:firstColumn="1" w:lastColumn="1" w:noHBand="0" w:noVBand="0"/>
      </w:tblPr>
      <w:tblGrid>
        <w:gridCol w:w="2043"/>
        <w:gridCol w:w="2164"/>
        <w:gridCol w:w="1606"/>
        <w:gridCol w:w="1606"/>
        <w:gridCol w:w="2231"/>
      </w:tblGrid>
      <w:tr w:rsidR="00AD1F54" w:rsidRPr="00264D5D" w14:paraId="7A240C97" w14:textId="77777777" w:rsidTr="00A77DDB">
        <w:trPr>
          <w:cnfStyle w:val="100000000000" w:firstRow="1" w:lastRow="0" w:firstColumn="0" w:lastColumn="0" w:oddVBand="0" w:evenVBand="0" w:oddHBand="0" w:evenHBand="0" w:firstRowFirstColumn="0" w:firstRowLastColumn="0" w:lastRowFirstColumn="0" w:lastRowLastColumn="0"/>
          <w:trHeight w:val="891"/>
        </w:trPr>
        <w:tc>
          <w:tcPr>
            <w:tcW w:w="1059" w:type="pct"/>
          </w:tcPr>
          <w:p w14:paraId="4EF68AE1" w14:textId="77777777" w:rsidR="00AD1F54" w:rsidRPr="00264D5D" w:rsidRDefault="00941227" w:rsidP="00A77DDB">
            <w:pPr>
              <w:keepNext/>
              <w:widowControl w:val="0"/>
              <w:spacing w:before="60" w:after="60"/>
              <w:ind w:left="57" w:right="57"/>
              <w:jc w:val="center"/>
              <w:rPr>
                <w:b/>
                <w:sz w:val="22"/>
                <w:szCs w:val="22"/>
              </w:rPr>
            </w:pPr>
            <w:r w:rsidRPr="00264D5D">
              <w:rPr>
                <w:b/>
                <w:sz w:val="22"/>
                <w:szCs w:val="22"/>
              </w:rPr>
              <w:t>Наименование организации, предприятия</w:t>
            </w:r>
          </w:p>
        </w:tc>
        <w:tc>
          <w:tcPr>
            <w:tcW w:w="1121" w:type="pct"/>
          </w:tcPr>
          <w:p w14:paraId="633AAE1B" w14:textId="77777777" w:rsidR="00AD1F54" w:rsidRPr="00264D5D" w:rsidRDefault="00941227" w:rsidP="00A77DDB">
            <w:pPr>
              <w:keepNext/>
              <w:widowControl w:val="0"/>
              <w:spacing w:before="60" w:after="60"/>
              <w:ind w:left="57" w:right="57"/>
              <w:jc w:val="center"/>
              <w:rPr>
                <w:b/>
                <w:sz w:val="22"/>
                <w:szCs w:val="22"/>
              </w:rPr>
            </w:pPr>
            <w:r w:rsidRPr="00264D5D">
              <w:rPr>
                <w:b/>
                <w:sz w:val="22"/>
                <w:szCs w:val="22"/>
              </w:rPr>
              <w:t>Фамилия, имя, отчество</w:t>
            </w:r>
          </w:p>
        </w:tc>
        <w:tc>
          <w:tcPr>
            <w:tcW w:w="832" w:type="pct"/>
          </w:tcPr>
          <w:p w14:paraId="5D362FE0" w14:textId="77777777" w:rsidR="00AD1F54" w:rsidRPr="00264D5D" w:rsidRDefault="00941227" w:rsidP="00A77DDB">
            <w:pPr>
              <w:keepNext/>
              <w:widowControl w:val="0"/>
              <w:spacing w:before="60" w:after="60"/>
              <w:ind w:left="57" w:right="57"/>
              <w:jc w:val="center"/>
              <w:rPr>
                <w:b/>
                <w:sz w:val="22"/>
                <w:szCs w:val="22"/>
              </w:rPr>
            </w:pPr>
            <w:r w:rsidRPr="00264D5D">
              <w:rPr>
                <w:b/>
                <w:sz w:val="22"/>
                <w:szCs w:val="22"/>
              </w:rPr>
              <w:t>Подпись</w:t>
            </w:r>
          </w:p>
        </w:tc>
        <w:tc>
          <w:tcPr>
            <w:tcW w:w="832" w:type="pct"/>
          </w:tcPr>
          <w:p w14:paraId="02D79E10" w14:textId="77777777" w:rsidR="00AD1F54" w:rsidRPr="00264D5D" w:rsidRDefault="00941227" w:rsidP="00A77DDB">
            <w:pPr>
              <w:keepNext/>
              <w:widowControl w:val="0"/>
              <w:spacing w:before="60" w:after="60"/>
              <w:ind w:left="57" w:right="57"/>
              <w:jc w:val="center"/>
              <w:rPr>
                <w:b/>
                <w:sz w:val="22"/>
                <w:szCs w:val="22"/>
              </w:rPr>
            </w:pPr>
            <w:r w:rsidRPr="00264D5D">
              <w:rPr>
                <w:b/>
                <w:sz w:val="22"/>
                <w:szCs w:val="22"/>
              </w:rPr>
              <w:t>Дата согласования</w:t>
            </w:r>
          </w:p>
        </w:tc>
        <w:tc>
          <w:tcPr>
            <w:tcW w:w="1156" w:type="pct"/>
          </w:tcPr>
          <w:p w14:paraId="24D77EB1" w14:textId="77777777" w:rsidR="00AD1F54" w:rsidRPr="00264D5D" w:rsidRDefault="00941227" w:rsidP="00A77DDB">
            <w:pPr>
              <w:keepNext/>
              <w:widowControl w:val="0"/>
              <w:spacing w:before="60" w:after="60"/>
              <w:ind w:left="57" w:right="57"/>
              <w:jc w:val="center"/>
              <w:rPr>
                <w:b/>
                <w:sz w:val="22"/>
                <w:szCs w:val="22"/>
              </w:rPr>
            </w:pPr>
            <w:r w:rsidRPr="00264D5D">
              <w:rPr>
                <w:b/>
                <w:sz w:val="22"/>
                <w:szCs w:val="22"/>
              </w:rPr>
              <w:t>Примечание</w:t>
            </w:r>
          </w:p>
        </w:tc>
      </w:tr>
      <w:tr w:rsidR="00AD1F54" w:rsidRPr="00264D5D" w14:paraId="590D293D" w14:textId="77777777" w:rsidTr="00A77DDB">
        <w:trPr>
          <w:cnfStyle w:val="000000100000" w:firstRow="0" w:lastRow="0" w:firstColumn="0" w:lastColumn="0" w:oddVBand="0" w:evenVBand="0" w:oddHBand="1" w:evenHBand="0" w:firstRowFirstColumn="0" w:firstRowLastColumn="0" w:lastRowFirstColumn="0" w:lastRowLastColumn="0"/>
          <w:trHeight w:val="308"/>
        </w:trPr>
        <w:tc>
          <w:tcPr>
            <w:tcW w:w="1059" w:type="pct"/>
          </w:tcPr>
          <w:p w14:paraId="5403E7DA" w14:textId="77777777" w:rsidR="00AD1F54" w:rsidRPr="00264D5D" w:rsidRDefault="00941227" w:rsidP="00A77DDB">
            <w:pPr>
              <w:spacing w:before="60" w:after="60"/>
              <w:jc w:val="left"/>
              <w:rPr>
                <w:sz w:val="22"/>
                <w:szCs w:val="22"/>
              </w:rPr>
            </w:pPr>
            <w:r w:rsidRPr="00264D5D">
              <w:rPr>
                <w:sz w:val="22"/>
                <w:szCs w:val="22"/>
              </w:rPr>
              <w:t>УРИС, ФК</w:t>
            </w:r>
          </w:p>
        </w:tc>
        <w:tc>
          <w:tcPr>
            <w:tcW w:w="1121" w:type="pct"/>
          </w:tcPr>
          <w:p w14:paraId="34E27EB9" w14:textId="77777777" w:rsidR="00AD1F54" w:rsidRPr="00264D5D" w:rsidRDefault="00941227" w:rsidP="00A77DDB">
            <w:pPr>
              <w:spacing w:before="60" w:after="60"/>
              <w:jc w:val="left"/>
              <w:rPr>
                <w:sz w:val="22"/>
                <w:szCs w:val="22"/>
              </w:rPr>
            </w:pPr>
            <w:r w:rsidRPr="00264D5D">
              <w:rPr>
                <w:sz w:val="22"/>
                <w:szCs w:val="22"/>
              </w:rPr>
              <w:t>Мороков К.В.</w:t>
            </w:r>
          </w:p>
        </w:tc>
        <w:tc>
          <w:tcPr>
            <w:tcW w:w="832" w:type="pct"/>
          </w:tcPr>
          <w:p w14:paraId="70244197" w14:textId="77777777" w:rsidR="00AD1F54" w:rsidRPr="00264D5D" w:rsidRDefault="00AD1F54" w:rsidP="00A77DDB">
            <w:pPr>
              <w:spacing w:before="60" w:after="60"/>
              <w:rPr>
                <w:sz w:val="22"/>
                <w:szCs w:val="22"/>
              </w:rPr>
            </w:pPr>
          </w:p>
        </w:tc>
        <w:tc>
          <w:tcPr>
            <w:tcW w:w="832" w:type="pct"/>
          </w:tcPr>
          <w:p w14:paraId="39F53B83" w14:textId="77777777" w:rsidR="00AD1F54" w:rsidRPr="00264D5D" w:rsidRDefault="00AD1F54" w:rsidP="00A77DDB">
            <w:pPr>
              <w:spacing w:before="60" w:after="60"/>
              <w:rPr>
                <w:sz w:val="22"/>
                <w:szCs w:val="22"/>
              </w:rPr>
            </w:pPr>
          </w:p>
        </w:tc>
        <w:tc>
          <w:tcPr>
            <w:tcW w:w="1156" w:type="pct"/>
          </w:tcPr>
          <w:p w14:paraId="0FF8DB99" w14:textId="77777777" w:rsidR="00AD1F54" w:rsidRPr="00264D5D" w:rsidRDefault="00AD1F54" w:rsidP="00A77DDB">
            <w:pPr>
              <w:spacing w:before="60" w:after="60"/>
              <w:rPr>
                <w:sz w:val="22"/>
                <w:szCs w:val="22"/>
              </w:rPr>
            </w:pPr>
          </w:p>
        </w:tc>
      </w:tr>
      <w:tr w:rsidR="00AD1F54" w:rsidRPr="00264D5D" w14:paraId="2EDA058C" w14:textId="77777777" w:rsidTr="00A77DDB">
        <w:trPr>
          <w:cnfStyle w:val="000000010000" w:firstRow="0" w:lastRow="0" w:firstColumn="0" w:lastColumn="0" w:oddVBand="0" w:evenVBand="0" w:oddHBand="0" w:evenHBand="1" w:firstRowFirstColumn="0" w:firstRowLastColumn="0" w:lastRowFirstColumn="0" w:lastRowLastColumn="0"/>
          <w:trHeight w:val="308"/>
        </w:trPr>
        <w:tc>
          <w:tcPr>
            <w:tcW w:w="1059" w:type="pct"/>
          </w:tcPr>
          <w:p w14:paraId="68F3ECE3" w14:textId="77777777" w:rsidR="00AD1F54" w:rsidRPr="00264D5D" w:rsidRDefault="00941227" w:rsidP="00A77DDB">
            <w:pPr>
              <w:spacing w:before="60" w:after="60"/>
              <w:jc w:val="left"/>
              <w:rPr>
                <w:sz w:val="22"/>
                <w:szCs w:val="22"/>
              </w:rPr>
            </w:pPr>
            <w:r w:rsidRPr="00264D5D">
              <w:rPr>
                <w:sz w:val="22"/>
                <w:szCs w:val="22"/>
              </w:rPr>
              <w:t>УРИС, ФК</w:t>
            </w:r>
          </w:p>
        </w:tc>
        <w:tc>
          <w:tcPr>
            <w:tcW w:w="1121" w:type="pct"/>
          </w:tcPr>
          <w:p w14:paraId="70D3B799" w14:textId="77777777" w:rsidR="00AD1F54" w:rsidRPr="00264D5D" w:rsidRDefault="00A77DDB" w:rsidP="00A77DDB">
            <w:pPr>
              <w:spacing w:before="60" w:after="60"/>
              <w:jc w:val="left"/>
              <w:rPr>
                <w:sz w:val="22"/>
                <w:szCs w:val="22"/>
              </w:rPr>
            </w:pPr>
            <w:r w:rsidRPr="00264D5D">
              <w:rPr>
                <w:sz w:val="22"/>
                <w:szCs w:val="22"/>
              </w:rPr>
              <w:t>Делюкина Н.С.</w:t>
            </w:r>
          </w:p>
        </w:tc>
        <w:tc>
          <w:tcPr>
            <w:tcW w:w="832" w:type="pct"/>
          </w:tcPr>
          <w:p w14:paraId="05376172" w14:textId="77777777" w:rsidR="00AD1F54" w:rsidRPr="00264D5D" w:rsidRDefault="00AD1F54" w:rsidP="00A77DDB">
            <w:pPr>
              <w:spacing w:before="60" w:after="60"/>
              <w:rPr>
                <w:sz w:val="22"/>
                <w:szCs w:val="22"/>
              </w:rPr>
            </w:pPr>
          </w:p>
        </w:tc>
        <w:tc>
          <w:tcPr>
            <w:tcW w:w="832" w:type="pct"/>
          </w:tcPr>
          <w:p w14:paraId="38A20571" w14:textId="77777777" w:rsidR="00AD1F54" w:rsidRPr="00264D5D" w:rsidRDefault="00AD1F54" w:rsidP="00A77DDB">
            <w:pPr>
              <w:spacing w:before="60" w:after="60"/>
              <w:rPr>
                <w:sz w:val="22"/>
                <w:szCs w:val="22"/>
              </w:rPr>
            </w:pPr>
          </w:p>
        </w:tc>
        <w:tc>
          <w:tcPr>
            <w:tcW w:w="1156" w:type="pct"/>
          </w:tcPr>
          <w:p w14:paraId="3AB78E47" w14:textId="77777777" w:rsidR="00AD1F54" w:rsidRPr="00264D5D" w:rsidRDefault="00AD1F54" w:rsidP="00A77DDB">
            <w:pPr>
              <w:spacing w:before="60" w:after="60"/>
              <w:rPr>
                <w:sz w:val="22"/>
                <w:szCs w:val="22"/>
              </w:rPr>
            </w:pPr>
          </w:p>
        </w:tc>
      </w:tr>
      <w:tr w:rsidR="00A77DDB" w:rsidRPr="00264D5D" w14:paraId="48950FFE" w14:textId="77777777" w:rsidTr="00A77DDB">
        <w:trPr>
          <w:cnfStyle w:val="000000100000" w:firstRow="0" w:lastRow="0" w:firstColumn="0" w:lastColumn="0" w:oddVBand="0" w:evenVBand="0" w:oddHBand="1" w:evenHBand="0" w:firstRowFirstColumn="0" w:firstRowLastColumn="0" w:lastRowFirstColumn="0" w:lastRowLastColumn="0"/>
          <w:trHeight w:val="308"/>
        </w:trPr>
        <w:tc>
          <w:tcPr>
            <w:tcW w:w="1059" w:type="pct"/>
          </w:tcPr>
          <w:p w14:paraId="7D1397D5" w14:textId="77777777" w:rsidR="00A77DDB" w:rsidRPr="00264D5D" w:rsidRDefault="00A77DDB" w:rsidP="00A77DDB">
            <w:pPr>
              <w:spacing w:before="60" w:after="60"/>
              <w:jc w:val="left"/>
              <w:rPr>
                <w:sz w:val="22"/>
                <w:szCs w:val="22"/>
              </w:rPr>
            </w:pPr>
            <w:r w:rsidRPr="00264D5D">
              <w:rPr>
                <w:sz w:val="22"/>
                <w:szCs w:val="22"/>
              </w:rPr>
              <w:t>УРИС, ФК</w:t>
            </w:r>
          </w:p>
        </w:tc>
        <w:tc>
          <w:tcPr>
            <w:tcW w:w="1121" w:type="pct"/>
          </w:tcPr>
          <w:p w14:paraId="73B4CD9F" w14:textId="77777777" w:rsidR="00A77DDB" w:rsidRPr="00264D5D" w:rsidRDefault="00A77DDB" w:rsidP="00A77DDB">
            <w:pPr>
              <w:spacing w:before="60" w:after="60"/>
              <w:jc w:val="left"/>
              <w:rPr>
                <w:sz w:val="22"/>
                <w:szCs w:val="22"/>
              </w:rPr>
            </w:pPr>
            <w:r w:rsidRPr="00264D5D">
              <w:rPr>
                <w:sz w:val="22"/>
                <w:szCs w:val="22"/>
              </w:rPr>
              <w:t>Новосельцева Ю.В.</w:t>
            </w:r>
          </w:p>
        </w:tc>
        <w:tc>
          <w:tcPr>
            <w:tcW w:w="832" w:type="pct"/>
          </w:tcPr>
          <w:p w14:paraId="7A4147B7" w14:textId="77777777" w:rsidR="00A77DDB" w:rsidRPr="00264D5D" w:rsidRDefault="00A77DDB" w:rsidP="00A77DDB">
            <w:pPr>
              <w:spacing w:before="60" w:after="60"/>
              <w:rPr>
                <w:sz w:val="22"/>
                <w:szCs w:val="22"/>
              </w:rPr>
            </w:pPr>
          </w:p>
        </w:tc>
        <w:tc>
          <w:tcPr>
            <w:tcW w:w="832" w:type="pct"/>
          </w:tcPr>
          <w:p w14:paraId="35693A88" w14:textId="77777777" w:rsidR="00A77DDB" w:rsidRPr="00264D5D" w:rsidRDefault="00A77DDB" w:rsidP="00A77DDB">
            <w:pPr>
              <w:spacing w:before="60" w:after="60"/>
              <w:rPr>
                <w:sz w:val="22"/>
                <w:szCs w:val="22"/>
              </w:rPr>
            </w:pPr>
          </w:p>
        </w:tc>
        <w:tc>
          <w:tcPr>
            <w:tcW w:w="1156" w:type="pct"/>
          </w:tcPr>
          <w:p w14:paraId="20F74169" w14:textId="77777777" w:rsidR="00A77DDB" w:rsidRPr="00264D5D" w:rsidRDefault="00A77DDB" w:rsidP="00A77DDB">
            <w:pPr>
              <w:spacing w:before="60" w:after="60"/>
              <w:rPr>
                <w:sz w:val="22"/>
                <w:szCs w:val="22"/>
              </w:rPr>
            </w:pPr>
          </w:p>
        </w:tc>
      </w:tr>
      <w:tr w:rsidR="00A77DDB" w:rsidRPr="00264D5D" w14:paraId="41E33AB9" w14:textId="77777777" w:rsidTr="00A77DDB">
        <w:trPr>
          <w:cnfStyle w:val="000000010000" w:firstRow="0" w:lastRow="0" w:firstColumn="0" w:lastColumn="0" w:oddVBand="0" w:evenVBand="0" w:oddHBand="0" w:evenHBand="1" w:firstRowFirstColumn="0" w:firstRowLastColumn="0" w:lastRowFirstColumn="0" w:lastRowLastColumn="0"/>
          <w:trHeight w:val="308"/>
        </w:trPr>
        <w:tc>
          <w:tcPr>
            <w:tcW w:w="1059" w:type="pct"/>
          </w:tcPr>
          <w:p w14:paraId="19935B9E" w14:textId="77777777" w:rsidR="00A77DDB" w:rsidRPr="00264D5D" w:rsidRDefault="00A77DDB" w:rsidP="00A77DDB">
            <w:pPr>
              <w:spacing w:before="60" w:after="60"/>
              <w:jc w:val="left"/>
              <w:rPr>
                <w:sz w:val="22"/>
                <w:szCs w:val="22"/>
              </w:rPr>
            </w:pPr>
            <w:r w:rsidRPr="00264D5D">
              <w:rPr>
                <w:sz w:val="22"/>
                <w:szCs w:val="22"/>
              </w:rPr>
              <w:t>УРИС, ФК</w:t>
            </w:r>
          </w:p>
        </w:tc>
        <w:tc>
          <w:tcPr>
            <w:tcW w:w="1121" w:type="pct"/>
          </w:tcPr>
          <w:p w14:paraId="452E75CB" w14:textId="77777777" w:rsidR="00A77DDB" w:rsidRPr="00264D5D" w:rsidRDefault="00A77DDB" w:rsidP="00A77DDB">
            <w:pPr>
              <w:spacing w:before="60" w:after="60"/>
              <w:rPr>
                <w:sz w:val="22"/>
                <w:szCs w:val="22"/>
              </w:rPr>
            </w:pPr>
            <w:r w:rsidRPr="00264D5D">
              <w:rPr>
                <w:sz w:val="22"/>
                <w:szCs w:val="22"/>
              </w:rPr>
              <w:t>Савельев М.А.</w:t>
            </w:r>
          </w:p>
        </w:tc>
        <w:tc>
          <w:tcPr>
            <w:tcW w:w="832" w:type="pct"/>
          </w:tcPr>
          <w:p w14:paraId="2269CBD5" w14:textId="77777777" w:rsidR="00A77DDB" w:rsidRPr="00264D5D" w:rsidRDefault="00A77DDB" w:rsidP="00A77DDB">
            <w:pPr>
              <w:spacing w:before="60" w:after="60"/>
              <w:rPr>
                <w:sz w:val="22"/>
                <w:szCs w:val="22"/>
              </w:rPr>
            </w:pPr>
          </w:p>
        </w:tc>
        <w:tc>
          <w:tcPr>
            <w:tcW w:w="832" w:type="pct"/>
          </w:tcPr>
          <w:p w14:paraId="4FBD711C" w14:textId="77777777" w:rsidR="00A77DDB" w:rsidRPr="00264D5D" w:rsidRDefault="00A77DDB" w:rsidP="00A77DDB">
            <w:pPr>
              <w:spacing w:before="60" w:after="60"/>
              <w:rPr>
                <w:sz w:val="22"/>
                <w:szCs w:val="22"/>
              </w:rPr>
            </w:pPr>
          </w:p>
        </w:tc>
        <w:tc>
          <w:tcPr>
            <w:tcW w:w="1156" w:type="pct"/>
          </w:tcPr>
          <w:p w14:paraId="31A92AFF" w14:textId="77777777" w:rsidR="00A77DDB" w:rsidRPr="00264D5D" w:rsidRDefault="00A77DDB" w:rsidP="00A77DDB">
            <w:pPr>
              <w:spacing w:before="60" w:after="60"/>
              <w:rPr>
                <w:sz w:val="22"/>
                <w:szCs w:val="22"/>
              </w:rPr>
            </w:pPr>
          </w:p>
        </w:tc>
      </w:tr>
      <w:tr w:rsidR="00A77DDB" w:rsidRPr="00264D5D" w14:paraId="76B94532" w14:textId="77777777" w:rsidTr="00A77DDB">
        <w:trPr>
          <w:cnfStyle w:val="000000100000" w:firstRow="0" w:lastRow="0" w:firstColumn="0" w:lastColumn="0" w:oddVBand="0" w:evenVBand="0" w:oddHBand="1" w:evenHBand="0" w:firstRowFirstColumn="0" w:firstRowLastColumn="0" w:lastRowFirstColumn="0" w:lastRowLastColumn="0"/>
          <w:trHeight w:val="308"/>
        </w:trPr>
        <w:tc>
          <w:tcPr>
            <w:tcW w:w="1059" w:type="pct"/>
          </w:tcPr>
          <w:p w14:paraId="4550ACFD" w14:textId="77777777" w:rsidR="00A77DDB" w:rsidRPr="00264D5D" w:rsidRDefault="00A77DDB" w:rsidP="00A77DDB">
            <w:pPr>
              <w:spacing w:before="60" w:after="60"/>
              <w:jc w:val="left"/>
              <w:rPr>
                <w:sz w:val="22"/>
                <w:szCs w:val="22"/>
              </w:rPr>
            </w:pPr>
          </w:p>
        </w:tc>
        <w:tc>
          <w:tcPr>
            <w:tcW w:w="1121" w:type="pct"/>
          </w:tcPr>
          <w:p w14:paraId="43094153" w14:textId="77777777" w:rsidR="00A77DDB" w:rsidRPr="00264D5D" w:rsidRDefault="00A77DDB" w:rsidP="00A77DDB">
            <w:pPr>
              <w:spacing w:before="60" w:after="60"/>
              <w:jc w:val="left"/>
              <w:rPr>
                <w:sz w:val="22"/>
                <w:szCs w:val="22"/>
              </w:rPr>
            </w:pPr>
          </w:p>
        </w:tc>
        <w:tc>
          <w:tcPr>
            <w:tcW w:w="832" w:type="pct"/>
          </w:tcPr>
          <w:p w14:paraId="551BD7B4" w14:textId="77777777" w:rsidR="00A77DDB" w:rsidRPr="00264D5D" w:rsidRDefault="00A77DDB" w:rsidP="00A77DDB">
            <w:pPr>
              <w:spacing w:before="60" w:after="60"/>
              <w:rPr>
                <w:sz w:val="22"/>
                <w:szCs w:val="22"/>
              </w:rPr>
            </w:pPr>
          </w:p>
        </w:tc>
        <w:tc>
          <w:tcPr>
            <w:tcW w:w="832" w:type="pct"/>
          </w:tcPr>
          <w:p w14:paraId="282F0A54" w14:textId="77777777" w:rsidR="00A77DDB" w:rsidRPr="00264D5D" w:rsidRDefault="00A77DDB" w:rsidP="00A77DDB">
            <w:pPr>
              <w:spacing w:before="60" w:after="60"/>
              <w:rPr>
                <w:sz w:val="22"/>
                <w:szCs w:val="22"/>
              </w:rPr>
            </w:pPr>
          </w:p>
        </w:tc>
        <w:tc>
          <w:tcPr>
            <w:tcW w:w="1156" w:type="pct"/>
          </w:tcPr>
          <w:p w14:paraId="2FAC0E9C" w14:textId="77777777" w:rsidR="00A77DDB" w:rsidRPr="00264D5D" w:rsidRDefault="00A77DDB" w:rsidP="00A77DDB">
            <w:pPr>
              <w:spacing w:before="60" w:after="60"/>
              <w:rPr>
                <w:sz w:val="22"/>
                <w:szCs w:val="22"/>
              </w:rPr>
            </w:pPr>
          </w:p>
        </w:tc>
      </w:tr>
      <w:tr w:rsidR="00AD1F54" w:rsidRPr="00264D5D" w14:paraId="575888BC" w14:textId="77777777" w:rsidTr="00A77DDB">
        <w:trPr>
          <w:cnfStyle w:val="000000010000" w:firstRow="0" w:lastRow="0" w:firstColumn="0" w:lastColumn="0" w:oddVBand="0" w:evenVBand="0" w:oddHBand="0" w:evenHBand="1" w:firstRowFirstColumn="0" w:firstRowLastColumn="0" w:lastRowFirstColumn="0" w:lastRowLastColumn="0"/>
          <w:trHeight w:val="308"/>
        </w:trPr>
        <w:tc>
          <w:tcPr>
            <w:tcW w:w="1059" w:type="pct"/>
          </w:tcPr>
          <w:p w14:paraId="3CA076CA" w14:textId="77777777" w:rsidR="00AD1F54" w:rsidRPr="00264D5D" w:rsidRDefault="00AD1F54" w:rsidP="00A77DDB">
            <w:pPr>
              <w:spacing w:before="60" w:after="60"/>
              <w:jc w:val="left"/>
              <w:rPr>
                <w:sz w:val="22"/>
                <w:szCs w:val="22"/>
              </w:rPr>
            </w:pPr>
          </w:p>
        </w:tc>
        <w:tc>
          <w:tcPr>
            <w:tcW w:w="1121" w:type="pct"/>
          </w:tcPr>
          <w:p w14:paraId="72FA0550" w14:textId="77777777" w:rsidR="00AD1F54" w:rsidRPr="00264D5D" w:rsidRDefault="00AD1F54" w:rsidP="00A77DDB">
            <w:pPr>
              <w:spacing w:before="60" w:after="60"/>
              <w:jc w:val="left"/>
              <w:rPr>
                <w:sz w:val="22"/>
                <w:szCs w:val="22"/>
              </w:rPr>
            </w:pPr>
          </w:p>
        </w:tc>
        <w:tc>
          <w:tcPr>
            <w:tcW w:w="832" w:type="pct"/>
          </w:tcPr>
          <w:p w14:paraId="7CAAB769" w14:textId="77777777" w:rsidR="00AD1F54" w:rsidRPr="00264D5D" w:rsidRDefault="00AD1F54" w:rsidP="00A77DDB">
            <w:pPr>
              <w:spacing w:before="60" w:after="60"/>
              <w:rPr>
                <w:sz w:val="22"/>
                <w:szCs w:val="22"/>
              </w:rPr>
            </w:pPr>
          </w:p>
        </w:tc>
        <w:tc>
          <w:tcPr>
            <w:tcW w:w="832" w:type="pct"/>
          </w:tcPr>
          <w:p w14:paraId="3C4B1FF8" w14:textId="77777777" w:rsidR="00AD1F54" w:rsidRPr="00264D5D" w:rsidRDefault="00AD1F54" w:rsidP="00A77DDB">
            <w:pPr>
              <w:spacing w:before="60" w:after="60"/>
              <w:rPr>
                <w:sz w:val="22"/>
                <w:szCs w:val="22"/>
              </w:rPr>
            </w:pPr>
          </w:p>
        </w:tc>
        <w:tc>
          <w:tcPr>
            <w:tcW w:w="1156" w:type="pct"/>
          </w:tcPr>
          <w:p w14:paraId="29164B6E" w14:textId="77777777" w:rsidR="00AD1F54" w:rsidRPr="00264D5D" w:rsidRDefault="00AD1F54" w:rsidP="00A77DDB">
            <w:pPr>
              <w:spacing w:before="60" w:after="60"/>
              <w:rPr>
                <w:sz w:val="22"/>
                <w:szCs w:val="22"/>
              </w:rPr>
            </w:pPr>
          </w:p>
        </w:tc>
      </w:tr>
      <w:tr w:rsidR="00AD1F54" w:rsidRPr="00264D5D" w14:paraId="5D1D9128" w14:textId="77777777" w:rsidTr="00A77DDB">
        <w:trPr>
          <w:cnfStyle w:val="000000100000" w:firstRow="0" w:lastRow="0" w:firstColumn="0" w:lastColumn="0" w:oddVBand="0" w:evenVBand="0" w:oddHBand="1" w:evenHBand="0" w:firstRowFirstColumn="0" w:firstRowLastColumn="0" w:lastRowFirstColumn="0" w:lastRowLastColumn="0"/>
          <w:trHeight w:val="308"/>
        </w:trPr>
        <w:tc>
          <w:tcPr>
            <w:tcW w:w="1059" w:type="pct"/>
          </w:tcPr>
          <w:p w14:paraId="7A8282F6" w14:textId="77777777" w:rsidR="00AD1F54" w:rsidRPr="00264D5D" w:rsidRDefault="00AD1F54" w:rsidP="00A77DDB">
            <w:pPr>
              <w:spacing w:before="60" w:after="60"/>
              <w:rPr>
                <w:sz w:val="22"/>
                <w:szCs w:val="22"/>
              </w:rPr>
            </w:pPr>
          </w:p>
        </w:tc>
        <w:tc>
          <w:tcPr>
            <w:tcW w:w="1121" w:type="pct"/>
          </w:tcPr>
          <w:p w14:paraId="7BE7226E" w14:textId="77777777" w:rsidR="00AD1F54" w:rsidRPr="00264D5D" w:rsidRDefault="00AD1F54" w:rsidP="00A77DDB">
            <w:pPr>
              <w:spacing w:before="60" w:after="60"/>
              <w:rPr>
                <w:sz w:val="22"/>
                <w:szCs w:val="22"/>
              </w:rPr>
            </w:pPr>
          </w:p>
        </w:tc>
        <w:tc>
          <w:tcPr>
            <w:tcW w:w="832" w:type="pct"/>
          </w:tcPr>
          <w:p w14:paraId="6D20DAF5" w14:textId="77777777" w:rsidR="00AD1F54" w:rsidRPr="00264D5D" w:rsidRDefault="00AD1F54" w:rsidP="00A77DDB">
            <w:pPr>
              <w:spacing w:before="60" w:after="60"/>
              <w:rPr>
                <w:sz w:val="22"/>
                <w:szCs w:val="22"/>
              </w:rPr>
            </w:pPr>
          </w:p>
        </w:tc>
        <w:tc>
          <w:tcPr>
            <w:tcW w:w="832" w:type="pct"/>
          </w:tcPr>
          <w:p w14:paraId="207CD2BB" w14:textId="77777777" w:rsidR="00AD1F54" w:rsidRPr="00264D5D" w:rsidRDefault="00AD1F54" w:rsidP="00A77DDB">
            <w:pPr>
              <w:spacing w:before="60" w:after="60"/>
              <w:rPr>
                <w:sz w:val="22"/>
                <w:szCs w:val="22"/>
              </w:rPr>
            </w:pPr>
          </w:p>
        </w:tc>
        <w:tc>
          <w:tcPr>
            <w:tcW w:w="1156" w:type="pct"/>
          </w:tcPr>
          <w:p w14:paraId="6FAD0ECC" w14:textId="77777777" w:rsidR="00AD1F54" w:rsidRPr="00264D5D" w:rsidRDefault="00AD1F54" w:rsidP="00A77DDB">
            <w:pPr>
              <w:spacing w:before="60" w:after="60"/>
              <w:rPr>
                <w:sz w:val="22"/>
                <w:szCs w:val="22"/>
              </w:rPr>
            </w:pPr>
          </w:p>
        </w:tc>
      </w:tr>
      <w:tr w:rsidR="00AD1F54" w:rsidRPr="00264D5D" w14:paraId="0ECA0E26" w14:textId="77777777" w:rsidTr="00A77DDB">
        <w:trPr>
          <w:cnfStyle w:val="000000010000" w:firstRow="0" w:lastRow="0" w:firstColumn="0" w:lastColumn="0" w:oddVBand="0" w:evenVBand="0" w:oddHBand="0" w:evenHBand="1" w:firstRowFirstColumn="0" w:firstRowLastColumn="0" w:lastRowFirstColumn="0" w:lastRowLastColumn="0"/>
          <w:trHeight w:val="308"/>
        </w:trPr>
        <w:tc>
          <w:tcPr>
            <w:tcW w:w="1059" w:type="pct"/>
          </w:tcPr>
          <w:p w14:paraId="52569ED8" w14:textId="77777777" w:rsidR="00AD1F54" w:rsidRPr="00264D5D" w:rsidRDefault="00AD1F54" w:rsidP="00A77DDB">
            <w:pPr>
              <w:spacing w:before="60" w:after="60"/>
              <w:rPr>
                <w:sz w:val="22"/>
                <w:szCs w:val="22"/>
              </w:rPr>
            </w:pPr>
          </w:p>
        </w:tc>
        <w:tc>
          <w:tcPr>
            <w:tcW w:w="1121" w:type="pct"/>
          </w:tcPr>
          <w:p w14:paraId="6018B336" w14:textId="77777777" w:rsidR="00AD1F54" w:rsidRPr="00264D5D" w:rsidRDefault="00AD1F54" w:rsidP="00A77DDB">
            <w:pPr>
              <w:spacing w:before="60" w:after="60"/>
              <w:rPr>
                <w:sz w:val="22"/>
                <w:szCs w:val="22"/>
              </w:rPr>
            </w:pPr>
          </w:p>
        </w:tc>
        <w:tc>
          <w:tcPr>
            <w:tcW w:w="832" w:type="pct"/>
          </w:tcPr>
          <w:p w14:paraId="2EA00A4A" w14:textId="77777777" w:rsidR="00AD1F54" w:rsidRPr="00264D5D" w:rsidRDefault="00AD1F54" w:rsidP="00A77DDB">
            <w:pPr>
              <w:spacing w:before="60" w:after="60"/>
              <w:rPr>
                <w:sz w:val="22"/>
                <w:szCs w:val="22"/>
              </w:rPr>
            </w:pPr>
          </w:p>
        </w:tc>
        <w:tc>
          <w:tcPr>
            <w:tcW w:w="832" w:type="pct"/>
          </w:tcPr>
          <w:p w14:paraId="4CB79365" w14:textId="77777777" w:rsidR="00AD1F54" w:rsidRPr="00264D5D" w:rsidRDefault="00AD1F54" w:rsidP="00A77DDB">
            <w:pPr>
              <w:spacing w:before="60" w:after="60"/>
              <w:rPr>
                <w:sz w:val="22"/>
                <w:szCs w:val="22"/>
              </w:rPr>
            </w:pPr>
          </w:p>
        </w:tc>
        <w:tc>
          <w:tcPr>
            <w:tcW w:w="1156" w:type="pct"/>
          </w:tcPr>
          <w:p w14:paraId="399E73B7" w14:textId="77777777" w:rsidR="00AD1F54" w:rsidRPr="00264D5D" w:rsidRDefault="00AD1F54" w:rsidP="00A77DDB">
            <w:pPr>
              <w:spacing w:before="60" w:after="60"/>
              <w:rPr>
                <w:sz w:val="22"/>
                <w:szCs w:val="22"/>
              </w:rPr>
            </w:pPr>
          </w:p>
        </w:tc>
      </w:tr>
      <w:tr w:rsidR="00AD1F54" w:rsidRPr="00264D5D" w14:paraId="55E4F6B1" w14:textId="77777777" w:rsidTr="00A77DDB">
        <w:trPr>
          <w:cnfStyle w:val="000000100000" w:firstRow="0" w:lastRow="0" w:firstColumn="0" w:lastColumn="0" w:oddVBand="0" w:evenVBand="0" w:oddHBand="1" w:evenHBand="0" w:firstRowFirstColumn="0" w:firstRowLastColumn="0" w:lastRowFirstColumn="0" w:lastRowLastColumn="0"/>
          <w:trHeight w:val="308"/>
        </w:trPr>
        <w:tc>
          <w:tcPr>
            <w:tcW w:w="1059" w:type="pct"/>
          </w:tcPr>
          <w:p w14:paraId="788D7309" w14:textId="77777777" w:rsidR="00AD1F54" w:rsidRPr="00264D5D" w:rsidRDefault="00AD1F54" w:rsidP="00A77DDB">
            <w:pPr>
              <w:spacing w:before="60" w:after="60"/>
              <w:rPr>
                <w:sz w:val="22"/>
                <w:szCs w:val="22"/>
              </w:rPr>
            </w:pPr>
          </w:p>
        </w:tc>
        <w:tc>
          <w:tcPr>
            <w:tcW w:w="1121" w:type="pct"/>
          </w:tcPr>
          <w:p w14:paraId="6583190D" w14:textId="77777777" w:rsidR="00AD1F54" w:rsidRPr="00264D5D" w:rsidRDefault="00AD1F54" w:rsidP="00A77DDB">
            <w:pPr>
              <w:spacing w:before="60" w:after="60"/>
              <w:rPr>
                <w:sz w:val="22"/>
                <w:szCs w:val="22"/>
              </w:rPr>
            </w:pPr>
          </w:p>
        </w:tc>
        <w:tc>
          <w:tcPr>
            <w:tcW w:w="832" w:type="pct"/>
          </w:tcPr>
          <w:p w14:paraId="7165006E" w14:textId="77777777" w:rsidR="00AD1F54" w:rsidRPr="00264D5D" w:rsidRDefault="00AD1F54" w:rsidP="00A77DDB">
            <w:pPr>
              <w:spacing w:before="60" w:after="60"/>
              <w:rPr>
                <w:sz w:val="22"/>
                <w:szCs w:val="22"/>
              </w:rPr>
            </w:pPr>
          </w:p>
        </w:tc>
        <w:tc>
          <w:tcPr>
            <w:tcW w:w="832" w:type="pct"/>
          </w:tcPr>
          <w:p w14:paraId="4ACE6DB4" w14:textId="77777777" w:rsidR="00AD1F54" w:rsidRPr="00264D5D" w:rsidRDefault="00AD1F54" w:rsidP="00A77DDB">
            <w:pPr>
              <w:spacing w:before="60" w:after="60"/>
              <w:rPr>
                <w:sz w:val="22"/>
                <w:szCs w:val="22"/>
              </w:rPr>
            </w:pPr>
          </w:p>
        </w:tc>
        <w:tc>
          <w:tcPr>
            <w:tcW w:w="1156" w:type="pct"/>
          </w:tcPr>
          <w:p w14:paraId="6C536209" w14:textId="77777777" w:rsidR="00AD1F54" w:rsidRPr="00264D5D" w:rsidRDefault="00AD1F54" w:rsidP="00A77DDB">
            <w:pPr>
              <w:spacing w:before="60" w:after="60"/>
              <w:rPr>
                <w:sz w:val="22"/>
                <w:szCs w:val="22"/>
              </w:rPr>
            </w:pPr>
          </w:p>
        </w:tc>
      </w:tr>
      <w:tr w:rsidR="00AD1F54" w:rsidRPr="00264D5D" w14:paraId="3C26EB84" w14:textId="77777777" w:rsidTr="00A77DDB">
        <w:trPr>
          <w:cnfStyle w:val="000000010000" w:firstRow="0" w:lastRow="0" w:firstColumn="0" w:lastColumn="0" w:oddVBand="0" w:evenVBand="0" w:oddHBand="0" w:evenHBand="1" w:firstRowFirstColumn="0" w:firstRowLastColumn="0" w:lastRowFirstColumn="0" w:lastRowLastColumn="0"/>
          <w:trHeight w:val="308"/>
        </w:trPr>
        <w:tc>
          <w:tcPr>
            <w:tcW w:w="1059" w:type="pct"/>
          </w:tcPr>
          <w:p w14:paraId="4BD8D538" w14:textId="77777777" w:rsidR="00AD1F54" w:rsidRPr="00264D5D" w:rsidRDefault="00AD1F54" w:rsidP="00A77DDB">
            <w:pPr>
              <w:spacing w:before="60" w:after="60"/>
              <w:rPr>
                <w:sz w:val="22"/>
                <w:szCs w:val="22"/>
              </w:rPr>
            </w:pPr>
          </w:p>
        </w:tc>
        <w:tc>
          <w:tcPr>
            <w:tcW w:w="1121" w:type="pct"/>
          </w:tcPr>
          <w:p w14:paraId="587894EB" w14:textId="77777777" w:rsidR="00AD1F54" w:rsidRPr="00264D5D" w:rsidRDefault="00AD1F54" w:rsidP="00A77DDB">
            <w:pPr>
              <w:spacing w:before="60" w:after="60"/>
              <w:rPr>
                <w:sz w:val="22"/>
                <w:szCs w:val="22"/>
              </w:rPr>
            </w:pPr>
          </w:p>
        </w:tc>
        <w:tc>
          <w:tcPr>
            <w:tcW w:w="832" w:type="pct"/>
          </w:tcPr>
          <w:p w14:paraId="24F5D177" w14:textId="77777777" w:rsidR="00AD1F54" w:rsidRPr="00264D5D" w:rsidRDefault="00AD1F54" w:rsidP="00A77DDB">
            <w:pPr>
              <w:spacing w:before="60" w:after="60"/>
              <w:rPr>
                <w:sz w:val="22"/>
                <w:szCs w:val="22"/>
              </w:rPr>
            </w:pPr>
          </w:p>
        </w:tc>
        <w:tc>
          <w:tcPr>
            <w:tcW w:w="832" w:type="pct"/>
          </w:tcPr>
          <w:p w14:paraId="057190C2" w14:textId="77777777" w:rsidR="00AD1F54" w:rsidRPr="00264D5D" w:rsidRDefault="00AD1F54" w:rsidP="00A77DDB">
            <w:pPr>
              <w:spacing w:before="60" w:after="60"/>
              <w:rPr>
                <w:sz w:val="22"/>
                <w:szCs w:val="22"/>
              </w:rPr>
            </w:pPr>
          </w:p>
        </w:tc>
        <w:tc>
          <w:tcPr>
            <w:tcW w:w="1156" w:type="pct"/>
          </w:tcPr>
          <w:p w14:paraId="70CB23BD" w14:textId="77777777" w:rsidR="00AD1F54" w:rsidRPr="00264D5D" w:rsidRDefault="00AD1F54" w:rsidP="00A77DDB">
            <w:pPr>
              <w:spacing w:before="60" w:after="60"/>
              <w:rPr>
                <w:sz w:val="22"/>
                <w:szCs w:val="22"/>
              </w:rPr>
            </w:pPr>
          </w:p>
        </w:tc>
      </w:tr>
      <w:tr w:rsidR="00AD1F54" w:rsidRPr="00264D5D" w14:paraId="58701616" w14:textId="77777777" w:rsidTr="00A77DDB">
        <w:trPr>
          <w:cnfStyle w:val="000000100000" w:firstRow="0" w:lastRow="0" w:firstColumn="0" w:lastColumn="0" w:oddVBand="0" w:evenVBand="0" w:oddHBand="1" w:evenHBand="0" w:firstRowFirstColumn="0" w:firstRowLastColumn="0" w:lastRowFirstColumn="0" w:lastRowLastColumn="0"/>
          <w:trHeight w:val="308"/>
        </w:trPr>
        <w:tc>
          <w:tcPr>
            <w:tcW w:w="1059" w:type="pct"/>
          </w:tcPr>
          <w:p w14:paraId="3C26097C" w14:textId="77777777" w:rsidR="00AD1F54" w:rsidRPr="00264D5D" w:rsidRDefault="00AD1F54" w:rsidP="00A77DDB">
            <w:pPr>
              <w:spacing w:before="60" w:after="60"/>
              <w:rPr>
                <w:sz w:val="22"/>
                <w:szCs w:val="22"/>
              </w:rPr>
            </w:pPr>
          </w:p>
        </w:tc>
        <w:tc>
          <w:tcPr>
            <w:tcW w:w="1121" w:type="pct"/>
          </w:tcPr>
          <w:p w14:paraId="1A46AE6B" w14:textId="77777777" w:rsidR="00AD1F54" w:rsidRPr="00264D5D" w:rsidRDefault="00AD1F54" w:rsidP="00A77DDB">
            <w:pPr>
              <w:spacing w:before="60" w:after="60"/>
              <w:rPr>
                <w:sz w:val="22"/>
                <w:szCs w:val="22"/>
              </w:rPr>
            </w:pPr>
          </w:p>
        </w:tc>
        <w:tc>
          <w:tcPr>
            <w:tcW w:w="832" w:type="pct"/>
          </w:tcPr>
          <w:p w14:paraId="249E0694" w14:textId="77777777" w:rsidR="00AD1F54" w:rsidRPr="00264D5D" w:rsidRDefault="00AD1F54" w:rsidP="00A77DDB">
            <w:pPr>
              <w:spacing w:before="60" w:after="60"/>
              <w:rPr>
                <w:sz w:val="22"/>
                <w:szCs w:val="22"/>
              </w:rPr>
            </w:pPr>
          </w:p>
        </w:tc>
        <w:tc>
          <w:tcPr>
            <w:tcW w:w="832" w:type="pct"/>
          </w:tcPr>
          <w:p w14:paraId="5D6F2F16" w14:textId="77777777" w:rsidR="00AD1F54" w:rsidRPr="00264D5D" w:rsidRDefault="00AD1F54" w:rsidP="00A77DDB">
            <w:pPr>
              <w:spacing w:before="60" w:after="60"/>
              <w:rPr>
                <w:sz w:val="22"/>
                <w:szCs w:val="22"/>
              </w:rPr>
            </w:pPr>
          </w:p>
        </w:tc>
        <w:tc>
          <w:tcPr>
            <w:tcW w:w="1156" w:type="pct"/>
          </w:tcPr>
          <w:p w14:paraId="0D6E383C" w14:textId="77777777" w:rsidR="00AD1F54" w:rsidRPr="00264D5D" w:rsidRDefault="00AD1F54" w:rsidP="00A77DDB">
            <w:pPr>
              <w:spacing w:before="60" w:after="60"/>
              <w:rPr>
                <w:sz w:val="22"/>
                <w:szCs w:val="22"/>
              </w:rPr>
            </w:pPr>
          </w:p>
        </w:tc>
      </w:tr>
      <w:tr w:rsidR="00AD1F54" w:rsidRPr="00264D5D" w14:paraId="14CD9463" w14:textId="77777777" w:rsidTr="00A77DDB">
        <w:trPr>
          <w:cnfStyle w:val="000000010000" w:firstRow="0" w:lastRow="0" w:firstColumn="0" w:lastColumn="0" w:oddVBand="0" w:evenVBand="0" w:oddHBand="0" w:evenHBand="1" w:firstRowFirstColumn="0" w:firstRowLastColumn="0" w:lastRowFirstColumn="0" w:lastRowLastColumn="0"/>
          <w:trHeight w:val="308"/>
        </w:trPr>
        <w:tc>
          <w:tcPr>
            <w:tcW w:w="1059" w:type="pct"/>
          </w:tcPr>
          <w:p w14:paraId="5F0C1DFC" w14:textId="77777777" w:rsidR="00AD1F54" w:rsidRPr="00264D5D" w:rsidRDefault="00AD1F54" w:rsidP="00A77DDB">
            <w:pPr>
              <w:spacing w:before="60" w:after="60"/>
              <w:rPr>
                <w:sz w:val="22"/>
                <w:szCs w:val="22"/>
              </w:rPr>
            </w:pPr>
          </w:p>
        </w:tc>
        <w:tc>
          <w:tcPr>
            <w:tcW w:w="1121" w:type="pct"/>
          </w:tcPr>
          <w:p w14:paraId="6EE73E23" w14:textId="77777777" w:rsidR="00AD1F54" w:rsidRPr="00264D5D" w:rsidRDefault="00AD1F54" w:rsidP="00A77DDB">
            <w:pPr>
              <w:spacing w:before="60" w:after="60"/>
              <w:rPr>
                <w:sz w:val="22"/>
                <w:szCs w:val="22"/>
              </w:rPr>
            </w:pPr>
          </w:p>
        </w:tc>
        <w:tc>
          <w:tcPr>
            <w:tcW w:w="832" w:type="pct"/>
          </w:tcPr>
          <w:p w14:paraId="3847ACA4" w14:textId="77777777" w:rsidR="00AD1F54" w:rsidRPr="00264D5D" w:rsidRDefault="00AD1F54" w:rsidP="00A77DDB">
            <w:pPr>
              <w:spacing w:before="60" w:after="60"/>
              <w:rPr>
                <w:sz w:val="22"/>
                <w:szCs w:val="22"/>
              </w:rPr>
            </w:pPr>
          </w:p>
        </w:tc>
        <w:tc>
          <w:tcPr>
            <w:tcW w:w="832" w:type="pct"/>
          </w:tcPr>
          <w:p w14:paraId="30B6E705" w14:textId="77777777" w:rsidR="00AD1F54" w:rsidRPr="00264D5D" w:rsidRDefault="00AD1F54" w:rsidP="00A77DDB">
            <w:pPr>
              <w:spacing w:before="60" w:after="60"/>
              <w:rPr>
                <w:sz w:val="22"/>
                <w:szCs w:val="22"/>
              </w:rPr>
            </w:pPr>
          </w:p>
        </w:tc>
        <w:tc>
          <w:tcPr>
            <w:tcW w:w="1156" w:type="pct"/>
          </w:tcPr>
          <w:p w14:paraId="73C983AE" w14:textId="77777777" w:rsidR="00AD1F54" w:rsidRPr="00264D5D" w:rsidRDefault="00AD1F54" w:rsidP="00A77DDB">
            <w:pPr>
              <w:spacing w:before="60" w:after="60"/>
              <w:rPr>
                <w:sz w:val="22"/>
                <w:szCs w:val="22"/>
              </w:rPr>
            </w:pPr>
          </w:p>
        </w:tc>
      </w:tr>
      <w:tr w:rsidR="00AD1F54" w:rsidRPr="00264D5D" w14:paraId="3E0821D6" w14:textId="77777777" w:rsidTr="00A77DDB">
        <w:trPr>
          <w:cnfStyle w:val="000000100000" w:firstRow="0" w:lastRow="0" w:firstColumn="0" w:lastColumn="0" w:oddVBand="0" w:evenVBand="0" w:oddHBand="1" w:evenHBand="0" w:firstRowFirstColumn="0" w:firstRowLastColumn="0" w:lastRowFirstColumn="0" w:lastRowLastColumn="0"/>
          <w:trHeight w:val="308"/>
        </w:trPr>
        <w:tc>
          <w:tcPr>
            <w:tcW w:w="1059" w:type="pct"/>
          </w:tcPr>
          <w:p w14:paraId="2DC25C47" w14:textId="77777777" w:rsidR="00AD1F54" w:rsidRPr="00264D5D" w:rsidRDefault="00AD1F54" w:rsidP="00A77DDB">
            <w:pPr>
              <w:spacing w:before="60" w:after="60"/>
              <w:rPr>
                <w:sz w:val="22"/>
                <w:szCs w:val="22"/>
              </w:rPr>
            </w:pPr>
          </w:p>
        </w:tc>
        <w:tc>
          <w:tcPr>
            <w:tcW w:w="1121" w:type="pct"/>
          </w:tcPr>
          <w:p w14:paraId="145AE01E" w14:textId="77777777" w:rsidR="00AD1F54" w:rsidRPr="00264D5D" w:rsidRDefault="00AD1F54" w:rsidP="00A77DDB">
            <w:pPr>
              <w:spacing w:before="60" w:after="60"/>
              <w:rPr>
                <w:sz w:val="22"/>
                <w:szCs w:val="22"/>
              </w:rPr>
            </w:pPr>
          </w:p>
        </w:tc>
        <w:tc>
          <w:tcPr>
            <w:tcW w:w="832" w:type="pct"/>
          </w:tcPr>
          <w:p w14:paraId="7D54ADF2" w14:textId="77777777" w:rsidR="00AD1F54" w:rsidRPr="00264D5D" w:rsidRDefault="00AD1F54" w:rsidP="00A77DDB">
            <w:pPr>
              <w:spacing w:before="60" w:after="60"/>
              <w:rPr>
                <w:sz w:val="22"/>
                <w:szCs w:val="22"/>
              </w:rPr>
            </w:pPr>
          </w:p>
        </w:tc>
        <w:tc>
          <w:tcPr>
            <w:tcW w:w="832" w:type="pct"/>
          </w:tcPr>
          <w:p w14:paraId="34A20EF5" w14:textId="77777777" w:rsidR="00AD1F54" w:rsidRPr="00264D5D" w:rsidRDefault="00AD1F54" w:rsidP="00A77DDB">
            <w:pPr>
              <w:spacing w:before="60" w:after="60"/>
              <w:rPr>
                <w:sz w:val="22"/>
                <w:szCs w:val="22"/>
              </w:rPr>
            </w:pPr>
          </w:p>
        </w:tc>
        <w:tc>
          <w:tcPr>
            <w:tcW w:w="1156" w:type="pct"/>
          </w:tcPr>
          <w:p w14:paraId="4824922A" w14:textId="77777777" w:rsidR="00AD1F54" w:rsidRPr="00264D5D" w:rsidRDefault="00AD1F54" w:rsidP="00A77DDB">
            <w:pPr>
              <w:spacing w:before="60" w:after="60"/>
              <w:rPr>
                <w:sz w:val="22"/>
                <w:szCs w:val="22"/>
              </w:rPr>
            </w:pPr>
          </w:p>
        </w:tc>
      </w:tr>
      <w:tr w:rsidR="00AD1F54" w:rsidRPr="00264D5D" w14:paraId="19CE803E" w14:textId="77777777" w:rsidTr="00A77DDB">
        <w:trPr>
          <w:cnfStyle w:val="000000010000" w:firstRow="0" w:lastRow="0" w:firstColumn="0" w:lastColumn="0" w:oddVBand="0" w:evenVBand="0" w:oddHBand="0" w:evenHBand="1" w:firstRowFirstColumn="0" w:firstRowLastColumn="0" w:lastRowFirstColumn="0" w:lastRowLastColumn="0"/>
          <w:trHeight w:val="308"/>
        </w:trPr>
        <w:tc>
          <w:tcPr>
            <w:tcW w:w="1059" w:type="pct"/>
          </w:tcPr>
          <w:p w14:paraId="5906DAA5" w14:textId="77777777" w:rsidR="00AD1F54" w:rsidRPr="00264D5D" w:rsidRDefault="00AD1F54" w:rsidP="00A77DDB">
            <w:pPr>
              <w:spacing w:before="60" w:after="60"/>
              <w:rPr>
                <w:sz w:val="22"/>
                <w:szCs w:val="22"/>
              </w:rPr>
            </w:pPr>
          </w:p>
        </w:tc>
        <w:tc>
          <w:tcPr>
            <w:tcW w:w="1121" w:type="pct"/>
          </w:tcPr>
          <w:p w14:paraId="76FEC5DA" w14:textId="77777777" w:rsidR="00AD1F54" w:rsidRPr="00264D5D" w:rsidRDefault="00AD1F54" w:rsidP="00A77DDB">
            <w:pPr>
              <w:spacing w:before="60" w:after="60"/>
              <w:rPr>
                <w:sz w:val="22"/>
                <w:szCs w:val="22"/>
              </w:rPr>
            </w:pPr>
          </w:p>
        </w:tc>
        <w:tc>
          <w:tcPr>
            <w:tcW w:w="832" w:type="pct"/>
          </w:tcPr>
          <w:p w14:paraId="26F93B33" w14:textId="77777777" w:rsidR="00AD1F54" w:rsidRPr="00264D5D" w:rsidRDefault="00AD1F54" w:rsidP="00A77DDB">
            <w:pPr>
              <w:spacing w:before="60" w:after="60"/>
              <w:rPr>
                <w:sz w:val="22"/>
                <w:szCs w:val="22"/>
              </w:rPr>
            </w:pPr>
          </w:p>
        </w:tc>
        <w:tc>
          <w:tcPr>
            <w:tcW w:w="832" w:type="pct"/>
          </w:tcPr>
          <w:p w14:paraId="4260E8DF" w14:textId="77777777" w:rsidR="00AD1F54" w:rsidRPr="00264D5D" w:rsidRDefault="00AD1F54" w:rsidP="00A77DDB">
            <w:pPr>
              <w:spacing w:before="60" w:after="60"/>
              <w:rPr>
                <w:sz w:val="22"/>
                <w:szCs w:val="22"/>
              </w:rPr>
            </w:pPr>
          </w:p>
        </w:tc>
        <w:tc>
          <w:tcPr>
            <w:tcW w:w="1156" w:type="pct"/>
          </w:tcPr>
          <w:p w14:paraId="1AD28895" w14:textId="77777777" w:rsidR="00AD1F54" w:rsidRPr="00264D5D" w:rsidRDefault="00AD1F54" w:rsidP="00A77DDB">
            <w:pPr>
              <w:spacing w:before="60" w:after="60"/>
              <w:rPr>
                <w:sz w:val="22"/>
                <w:szCs w:val="22"/>
              </w:rPr>
            </w:pPr>
          </w:p>
        </w:tc>
      </w:tr>
      <w:tr w:rsidR="00AD1F54" w:rsidRPr="00264D5D" w14:paraId="03BC5475" w14:textId="77777777" w:rsidTr="00A77DDB">
        <w:trPr>
          <w:cnfStyle w:val="000000100000" w:firstRow="0" w:lastRow="0" w:firstColumn="0" w:lastColumn="0" w:oddVBand="0" w:evenVBand="0" w:oddHBand="1" w:evenHBand="0" w:firstRowFirstColumn="0" w:firstRowLastColumn="0" w:lastRowFirstColumn="0" w:lastRowLastColumn="0"/>
          <w:trHeight w:val="308"/>
        </w:trPr>
        <w:tc>
          <w:tcPr>
            <w:tcW w:w="1059" w:type="pct"/>
          </w:tcPr>
          <w:p w14:paraId="221A8246" w14:textId="77777777" w:rsidR="00AD1F54" w:rsidRPr="00264D5D" w:rsidRDefault="00AD1F54" w:rsidP="00A77DDB">
            <w:pPr>
              <w:spacing w:before="60" w:after="60"/>
              <w:rPr>
                <w:sz w:val="22"/>
                <w:szCs w:val="22"/>
              </w:rPr>
            </w:pPr>
          </w:p>
        </w:tc>
        <w:tc>
          <w:tcPr>
            <w:tcW w:w="1121" w:type="pct"/>
          </w:tcPr>
          <w:p w14:paraId="6E04704C" w14:textId="77777777" w:rsidR="00AD1F54" w:rsidRPr="00264D5D" w:rsidRDefault="00AD1F54" w:rsidP="00A77DDB">
            <w:pPr>
              <w:spacing w:before="60" w:after="60"/>
              <w:rPr>
                <w:sz w:val="22"/>
                <w:szCs w:val="22"/>
              </w:rPr>
            </w:pPr>
          </w:p>
        </w:tc>
        <w:tc>
          <w:tcPr>
            <w:tcW w:w="832" w:type="pct"/>
          </w:tcPr>
          <w:p w14:paraId="3B550EA4" w14:textId="77777777" w:rsidR="00AD1F54" w:rsidRPr="00264D5D" w:rsidRDefault="00AD1F54" w:rsidP="00A77DDB">
            <w:pPr>
              <w:spacing w:before="60" w:after="60"/>
              <w:rPr>
                <w:sz w:val="22"/>
                <w:szCs w:val="22"/>
              </w:rPr>
            </w:pPr>
          </w:p>
        </w:tc>
        <w:tc>
          <w:tcPr>
            <w:tcW w:w="832" w:type="pct"/>
          </w:tcPr>
          <w:p w14:paraId="491F8D4F" w14:textId="77777777" w:rsidR="00AD1F54" w:rsidRPr="00264D5D" w:rsidRDefault="00AD1F54" w:rsidP="00A77DDB">
            <w:pPr>
              <w:spacing w:before="60" w:after="60"/>
              <w:rPr>
                <w:sz w:val="22"/>
                <w:szCs w:val="22"/>
              </w:rPr>
            </w:pPr>
          </w:p>
        </w:tc>
        <w:tc>
          <w:tcPr>
            <w:tcW w:w="1156" w:type="pct"/>
          </w:tcPr>
          <w:p w14:paraId="5A7CE078" w14:textId="77777777" w:rsidR="00AD1F54" w:rsidRPr="00264D5D" w:rsidRDefault="00AD1F54" w:rsidP="00A77DDB">
            <w:pPr>
              <w:spacing w:before="60" w:after="60"/>
              <w:rPr>
                <w:sz w:val="22"/>
                <w:szCs w:val="22"/>
              </w:rPr>
            </w:pPr>
          </w:p>
        </w:tc>
      </w:tr>
      <w:tr w:rsidR="00AD1F54" w:rsidRPr="00264D5D" w14:paraId="3A24804F" w14:textId="77777777" w:rsidTr="00A77DDB">
        <w:trPr>
          <w:cnfStyle w:val="000000010000" w:firstRow="0" w:lastRow="0" w:firstColumn="0" w:lastColumn="0" w:oddVBand="0" w:evenVBand="0" w:oddHBand="0" w:evenHBand="1" w:firstRowFirstColumn="0" w:firstRowLastColumn="0" w:lastRowFirstColumn="0" w:lastRowLastColumn="0"/>
          <w:trHeight w:val="308"/>
        </w:trPr>
        <w:tc>
          <w:tcPr>
            <w:tcW w:w="1059" w:type="pct"/>
          </w:tcPr>
          <w:p w14:paraId="6B00BF74" w14:textId="77777777" w:rsidR="00AD1F54" w:rsidRPr="00264D5D" w:rsidRDefault="00AD1F54" w:rsidP="00A77DDB">
            <w:pPr>
              <w:spacing w:before="60" w:after="60"/>
              <w:rPr>
                <w:sz w:val="22"/>
                <w:szCs w:val="22"/>
              </w:rPr>
            </w:pPr>
          </w:p>
        </w:tc>
        <w:tc>
          <w:tcPr>
            <w:tcW w:w="1121" w:type="pct"/>
          </w:tcPr>
          <w:p w14:paraId="16BDB2C3" w14:textId="77777777" w:rsidR="00AD1F54" w:rsidRPr="00264D5D" w:rsidRDefault="00AD1F54" w:rsidP="00A77DDB">
            <w:pPr>
              <w:spacing w:before="60" w:after="60"/>
              <w:rPr>
                <w:sz w:val="22"/>
                <w:szCs w:val="22"/>
              </w:rPr>
            </w:pPr>
          </w:p>
        </w:tc>
        <w:tc>
          <w:tcPr>
            <w:tcW w:w="832" w:type="pct"/>
          </w:tcPr>
          <w:p w14:paraId="067FB2CB" w14:textId="77777777" w:rsidR="00AD1F54" w:rsidRPr="00264D5D" w:rsidRDefault="00AD1F54" w:rsidP="00A77DDB">
            <w:pPr>
              <w:spacing w:before="60" w:after="60"/>
              <w:rPr>
                <w:sz w:val="22"/>
                <w:szCs w:val="22"/>
              </w:rPr>
            </w:pPr>
          </w:p>
        </w:tc>
        <w:tc>
          <w:tcPr>
            <w:tcW w:w="832" w:type="pct"/>
          </w:tcPr>
          <w:p w14:paraId="6BFAC1F4" w14:textId="77777777" w:rsidR="00AD1F54" w:rsidRPr="00264D5D" w:rsidRDefault="00AD1F54" w:rsidP="00A77DDB">
            <w:pPr>
              <w:spacing w:before="60" w:after="60"/>
              <w:rPr>
                <w:sz w:val="22"/>
                <w:szCs w:val="22"/>
              </w:rPr>
            </w:pPr>
          </w:p>
        </w:tc>
        <w:tc>
          <w:tcPr>
            <w:tcW w:w="1156" w:type="pct"/>
          </w:tcPr>
          <w:p w14:paraId="0DEF8DED" w14:textId="77777777" w:rsidR="00AD1F54" w:rsidRPr="00264D5D" w:rsidRDefault="00AD1F54" w:rsidP="00A77DDB">
            <w:pPr>
              <w:spacing w:before="60" w:after="60"/>
              <w:rPr>
                <w:sz w:val="22"/>
                <w:szCs w:val="22"/>
              </w:rPr>
            </w:pPr>
          </w:p>
        </w:tc>
      </w:tr>
      <w:tr w:rsidR="00AD1F54" w:rsidRPr="00264D5D" w14:paraId="0C3E170A" w14:textId="77777777" w:rsidTr="00A77DDB">
        <w:trPr>
          <w:cnfStyle w:val="000000100000" w:firstRow="0" w:lastRow="0" w:firstColumn="0" w:lastColumn="0" w:oddVBand="0" w:evenVBand="0" w:oddHBand="1" w:evenHBand="0" w:firstRowFirstColumn="0" w:firstRowLastColumn="0" w:lastRowFirstColumn="0" w:lastRowLastColumn="0"/>
          <w:trHeight w:val="308"/>
        </w:trPr>
        <w:tc>
          <w:tcPr>
            <w:tcW w:w="1059" w:type="pct"/>
          </w:tcPr>
          <w:p w14:paraId="255B2DEB" w14:textId="77777777" w:rsidR="00AD1F54" w:rsidRPr="00264D5D" w:rsidRDefault="00AD1F54" w:rsidP="00A77DDB">
            <w:pPr>
              <w:spacing w:before="60" w:after="60"/>
              <w:rPr>
                <w:sz w:val="22"/>
                <w:szCs w:val="22"/>
              </w:rPr>
            </w:pPr>
          </w:p>
        </w:tc>
        <w:tc>
          <w:tcPr>
            <w:tcW w:w="1121" w:type="pct"/>
          </w:tcPr>
          <w:p w14:paraId="35FD5455" w14:textId="77777777" w:rsidR="00AD1F54" w:rsidRPr="00264D5D" w:rsidRDefault="00AD1F54" w:rsidP="00A77DDB">
            <w:pPr>
              <w:spacing w:before="60" w:after="60"/>
              <w:rPr>
                <w:sz w:val="22"/>
                <w:szCs w:val="22"/>
              </w:rPr>
            </w:pPr>
          </w:p>
        </w:tc>
        <w:tc>
          <w:tcPr>
            <w:tcW w:w="832" w:type="pct"/>
          </w:tcPr>
          <w:p w14:paraId="5299110D" w14:textId="77777777" w:rsidR="00AD1F54" w:rsidRPr="00264D5D" w:rsidRDefault="00AD1F54" w:rsidP="00A77DDB">
            <w:pPr>
              <w:spacing w:before="60" w:after="60"/>
              <w:rPr>
                <w:sz w:val="22"/>
                <w:szCs w:val="22"/>
              </w:rPr>
            </w:pPr>
          </w:p>
        </w:tc>
        <w:tc>
          <w:tcPr>
            <w:tcW w:w="832" w:type="pct"/>
          </w:tcPr>
          <w:p w14:paraId="55300733" w14:textId="77777777" w:rsidR="00AD1F54" w:rsidRPr="00264D5D" w:rsidRDefault="00AD1F54" w:rsidP="00A77DDB">
            <w:pPr>
              <w:spacing w:before="60" w:after="60"/>
              <w:rPr>
                <w:sz w:val="22"/>
                <w:szCs w:val="22"/>
              </w:rPr>
            </w:pPr>
          </w:p>
        </w:tc>
        <w:tc>
          <w:tcPr>
            <w:tcW w:w="1156" w:type="pct"/>
          </w:tcPr>
          <w:p w14:paraId="2E910373" w14:textId="77777777" w:rsidR="00AD1F54" w:rsidRPr="00264D5D" w:rsidRDefault="00AD1F54" w:rsidP="00A77DDB">
            <w:pPr>
              <w:spacing w:before="60" w:after="60"/>
              <w:rPr>
                <w:sz w:val="22"/>
                <w:szCs w:val="22"/>
              </w:rPr>
            </w:pPr>
          </w:p>
        </w:tc>
      </w:tr>
      <w:tr w:rsidR="00AD1F54" w:rsidRPr="00264D5D" w14:paraId="00E39732" w14:textId="77777777" w:rsidTr="00A77DDB">
        <w:trPr>
          <w:cnfStyle w:val="000000010000" w:firstRow="0" w:lastRow="0" w:firstColumn="0" w:lastColumn="0" w:oddVBand="0" w:evenVBand="0" w:oddHBand="0" w:evenHBand="1" w:firstRowFirstColumn="0" w:firstRowLastColumn="0" w:lastRowFirstColumn="0" w:lastRowLastColumn="0"/>
          <w:trHeight w:val="308"/>
        </w:trPr>
        <w:tc>
          <w:tcPr>
            <w:tcW w:w="1059" w:type="pct"/>
          </w:tcPr>
          <w:p w14:paraId="4506A051" w14:textId="77777777" w:rsidR="00AD1F54" w:rsidRPr="00264D5D" w:rsidRDefault="00AD1F54" w:rsidP="00A77DDB">
            <w:pPr>
              <w:spacing w:before="60" w:after="60"/>
              <w:rPr>
                <w:sz w:val="22"/>
                <w:szCs w:val="22"/>
              </w:rPr>
            </w:pPr>
          </w:p>
        </w:tc>
        <w:tc>
          <w:tcPr>
            <w:tcW w:w="1121" w:type="pct"/>
          </w:tcPr>
          <w:p w14:paraId="2A411A6B" w14:textId="77777777" w:rsidR="00AD1F54" w:rsidRPr="00264D5D" w:rsidRDefault="00AD1F54" w:rsidP="00A77DDB">
            <w:pPr>
              <w:spacing w:before="60" w:after="60"/>
              <w:rPr>
                <w:sz w:val="22"/>
                <w:szCs w:val="22"/>
              </w:rPr>
            </w:pPr>
          </w:p>
        </w:tc>
        <w:tc>
          <w:tcPr>
            <w:tcW w:w="832" w:type="pct"/>
          </w:tcPr>
          <w:p w14:paraId="1E9F504B" w14:textId="77777777" w:rsidR="00AD1F54" w:rsidRPr="00264D5D" w:rsidRDefault="00AD1F54" w:rsidP="00A77DDB">
            <w:pPr>
              <w:spacing w:before="60" w:after="60"/>
              <w:rPr>
                <w:sz w:val="22"/>
                <w:szCs w:val="22"/>
              </w:rPr>
            </w:pPr>
          </w:p>
        </w:tc>
        <w:tc>
          <w:tcPr>
            <w:tcW w:w="832" w:type="pct"/>
          </w:tcPr>
          <w:p w14:paraId="60D8036B" w14:textId="77777777" w:rsidR="00AD1F54" w:rsidRPr="00264D5D" w:rsidRDefault="00AD1F54" w:rsidP="00A77DDB">
            <w:pPr>
              <w:spacing w:before="60" w:after="60"/>
              <w:rPr>
                <w:sz w:val="22"/>
                <w:szCs w:val="22"/>
              </w:rPr>
            </w:pPr>
          </w:p>
        </w:tc>
        <w:tc>
          <w:tcPr>
            <w:tcW w:w="1156" w:type="pct"/>
          </w:tcPr>
          <w:p w14:paraId="5A080639" w14:textId="77777777" w:rsidR="00AD1F54" w:rsidRPr="00264D5D" w:rsidRDefault="00AD1F54" w:rsidP="00A77DDB">
            <w:pPr>
              <w:spacing w:before="60" w:after="60"/>
              <w:rPr>
                <w:sz w:val="22"/>
                <w:szCs w:val="22"/>
              </w:rPr>
            </w:pPr>
          </w:p>
        </w:tc>
      </w:tr>
      <w:tr w:rsidR="00AD1F54" w:rsidRPr="00264D5D" w14:paraId="237C9085" w14:textId="77777777" w:rsidTr="00A77DDB">
        <w:trPr>
          <w:cnfStyle w:val="000000100000" w:firstRow="0" w:lastRow="0" w:firstColumn="0" w:lastColumn="0" w:oddVBand="0" w:evenVBand="0" w:oddHBand="1" w:evenHBand="0" w:firstRowFirstColumn="0" w:firstRowLastColumn="0" w:lastRowFirstColumn="0" w:lastRowLastColumn="0"/>
          <w:trHeight w:val="308"/>
        </w:trPr>
        <w:tc>
          <w:tcPr>
            <w:tcW w:w="1059" w:type="pct"/>
          </w:tcPr>
          <w:p w14:paraId="362C0E84" w14:textId="77777777" w:rsidR="00AD1F54" w:rsidRPr="00264D5D" w:rsidRDefault="00AD1F54" w:rsidP="00A77DDB">
            <w:pPr>
              <w:spacing w:before="60" w:after="60"/>
              <w:rPr>
                <w:sz w:val="22"/>
                <w:szCs w:val="22"/>
              </w:rPr>
            </w:pPr>
          </w:p>
        </w:tc>
        <w:tc>
          <w:tcPr>
            <w:tcW w:w="1121" w:type="pct"/>
          </w:tcPr>
          <w:p w14:paraId="53359E04" w14:textId="77777777" w:rsidR="00AD1F54" w:rsidRPr="00264D5D" w:rsidRDefault="00AD1F54" w:rsidP="00A77DDB">
            <w:pPr>
              <w:spacing w:before="60" w:after="60"/>
              <w:rPr>
                <w:sz w:val="22"/>
                <w:szCs w:val="22"/>
              </w:rPr>
            </w:pPr>
          </w:p>
        </w:tc>
        <w:tc>
          <w:tcPr>
            <w:tcW w:w="832" w:type="pct"/>
          </w:tcPr>
          <w:p w14:paraId="4AFBF05F" w14:textId="77777777" w:rsidR="00AD1F54" w:rsidRPr="00264D5D" w:rsidRDefault="00AD1F54" w:rsidP="00A77DDB">
            <w:pPr>
              <w:spacing w:before="60" w:after="60"/>
              <w:rPr>
                <w:sz w:val="22"/>
                <w:szCs w:val="22"/>
              </w:rPr>
            </w:pPr>
          </w:p>
        </w:tc>
        <w:tc>
          <w:tcPr>
            <w:tcW w:w="832" w:type="pct"/>
          </w:tcPr>
          <w:p w14:paraId="3E413C16" w14:textId="77777777" w:rsidR="00AD1F54" w:rsidRPr="00264D5D" w:rsidRDefault="00AD1F54" w:rsidP="00A77DDB">
            <w:pPr>
              <w:spacing w:before="60" w:after="60"/>
              <w:rPr>
                <w:sz w:val="22"/>
                <w:szCs w:val="22"/>
              </w:rPr>
            </w:pPr>
          </w:p>
        </w:tc>
        <w:tc>
          <w:tcPr>
            <w:tcW w:w="1156" w:type="pct"/>
          </w:tcPr>
          <w:p w14:paraId="67AAEE15" w14:textId="77777777" w:rsidR="00AD1F54" w:rsidRPr="00264D5D" w:rsidRDefault="00AD1F54" w:rsidP="00A77DDB">
            <w:pPr>
              <w:spacing w:before="60" w:after="60"/>
              <w:rPr>
                <w:sz w:val="22"/>
                <w:szCs w:val="22"/>
              </w:rPr>
            </w:pPr>
          </w:p>
        </w:tc>
      </w:tr>
    </w:tbl>
    <w:p w14:paraId="7CC0FF93" w14:textId="77777777" w:rsidR="00AD1F54" w:rsidRPr="00264D5D" w:rsidRDefault="00AD1F54">
      <w:pPr>
        <w:pStyle w:val="GOSTNormal"/>
      </w:pPr>
    </w:p>
    <w:p w14:paraId="1319B2A0" w14:textId="77777777" w:rsidR="00AD1F54" w:rsidRPr="00264D5D" w:rsidRDefault="00941227">
      <w:pPr>
        <w:pStyle w:val="OTRreg"/>
        <w:rPr>
          <w:b/>
        </w:rPr>
      </w:pPr>
      <w:bookmarkStart w:id="4944" w:name="_Toc219309905"/>
      <w:r w:rsidRPr="00264D5D">
        <w:rPr>
          <w:b/>
        </w:rPr>
        <w:lastRenderedPageBreak/>
        <w:t>ЛИСТ РЕГИСТРАЦИИ ИЗМЕНЕНИЙ</w:t>
      </w:r>
      <w:bookmarkEnd w:id="4675"/>
      <w:bookmarkEnd w:id="4676"/>
      <w:bookmarkEnd w:id="4677"/>
      <w:bookmarkEnd w:id="4678"/>
      <w:bookmarkEnd w:id="4679"/>
      <w:bookmarkEnd w:id="4680"/>
      <w:bookmarkEnd w:id="4681"/>
      <w:bookmarkEnd w:id="4682"/>
      <w:bookmarkEnd w:id="4944"/>
    </w:p>
    <w:tbl>
      <w:tblPr>
        <w:tblStyle w:val="GOSTTable"/>
        <w:tblW w:w="5000" w:type="pct"/>
        <w:tblLayout w:type="fixed"/>
        <w:tblLook w:val="01E0" w:firstRow="1" w:lastRow="1" w:firstColumn="1" w:lastColumn="1" w:noHBand="0" w:noVBand="0"/>
      </w:tblPr>
      <w:tblGrid>
        <w:gridCol w:w="847"/>
        <w:gridCol w:w="1280"/>
        <w:gridCol w:w="1704"/>
        <w:gridCol w:w="5819"/>
      </w:tblGrid>
      <w:tr w:rsidR="00AD1F54" w:rsidRPr="00264D5D" w14:paraId="05C2603B" w14:textId="77777777" w:rsidTr="00AD1F54">
        <w:trPr>
          <w:cnfStyle w:val="100000000000" w:firstRow="1" w:lastRow="0" w:firstColumn="0" w:lastColumn="0" w:oddVBand="0" w:evenVBand="0" w:oddHBand="0" w:evenHBand="0" w:firstRowFirstColumn="0" w:firstRowLastColumn="0" w:lastRowFirstColumn="0" w:lastRowLastColumn="0"/>
          <w:trHeight w:val="544"/>
          <w:tblHeader/>
        </w:trPr>
        <w:tc>
          <w:tcPr>
            <w:tcW w:w="439" w:type="pct"/>
          </w:tcPr>
          <w:p w14:paraId="5BE6604B" w14:textId="77777777" w:rsidR="00AD1F54" w:rsidRPr="00264D5D" w:rsidRDefault="00941227" w:rsidP="00A77DDB">
            <w:pPr>
              <w:pStyle w:val="OTRTableHead"/>
              <w:widowControl w:val="0"/>
              <w:ind w:left="57" w:right="57"/>
              <w:rPr>
                <w:sz w:val="22"/>
                <w:szCs w:val="22"/>
              </w:rPr>
            </w:pPr>
            <w:r w:rsidRPr="00264D5D">
              <w:rPr>
                <w:sz w:val="22"/>
                <w:szCs w:val="22"/>
              </w:rPr>
              <w:t>№</w:t>
            </w:r>
            <w:r w:rsidRPr="00264D5D">
              <w:rPr>
                <w:sz w:val="22"/>
                <w:szCs w:val="22"/>
              </w:rPr>
              <w:br w:type="textWrapping" w:clear="all"/>
              <w:t>версии док-та</w:t>
            </w:r>
          </w:p>
        </w:tc>
        <w:tc>
          <w:tcPr>
            <w:tcW w:w="663" w:type="pct"/>
          </w:tcPr>
          <w:p w14:paraId="3008F19E" w14:textId="77777777" w:rsidR="00AD1F54" w:rsidRPr="00264D5D" w:rsidRDefault="00941227" w:rsidP="00A77DDB">
            <w:pPr>
              <w:pStyle w:val="OTRTableHead"/>
              <w:widowControl w:val="0"/>
              <w:ind w:left="57" w:right="57"/>
              <w:rPr>
                <w:sz w:val="22"/>
                <w:szCs w:val="22"/>
              </w:rPr>
            </w:pPr>
            <w:r w:rsidRPr="00264D5D">
              <w:rPr>
                <w:sz w:val="22"/>
                <w:szCs w:val="22"/>
              </w:rPr>
              <w:t>Дата</w:t>
            </w:r>
            <w:r w:rsidRPr="00264D5D">
              <w:rPr>
                <w:sz w:val="22"/>
                <w:szCs w:val="22"/>
              </w:rPr>
              <w:br w:type="textWrapping" w:clear="all"/>
              <w:t>изменения</w:t>
            </w:r>
          </w:p>
        </w:tc>
        <w:tc>
          <w:tcPr>
            <w:tcW w:w="883" w:type="pct"/>
          </w:tcPr>
          <w:p w14:paraId="622A021A" w14:textId="77777777" w:rsidR="00AD1F54" w:rsidRPr="00264D5D" w:rsidRDefault="00941227" w:rsidP="00A77DDB">
            <w:pPr>
              <w:pStyle w:val="OTRTableHead"/>
              <w:widowControl w:val="0"/>
              <w:ind w:left="57" w:right="57"/>
              <w:rPr>
                <w:sz w:val="22"/>
                <w:szCs w:val="22"/>
              </w:rPr>
            </w:pPr>
            <w:r w:rsidRPr="00264D5D">
              <w:rPr>
                <w:sz w:val="22"/>
                <w:szCs w:val="22"/>
              </w:rPr>
              <w:t>Автор</w:t>
            </w:r>
            <w:r w:rsidRPr="00264D5D">
              <w:rPr>
                <w:sz w:val="22"/>
                <w:szCs w:val="22"/>
              </w:rPr>
              <w:br w:type="textWrapping" w:clear="all"/>
              <w:t>изменений</w:t>
            </w:r>
          </w:p>
        </w:tc>
        <w:tc>
          <w:tcPr>
            <w:tcW w:w="3015" w:type="pct"/>
          </w:tcPr>
          <w:p w14:paraId="009F9922" w14:textId="77777777" w:rsidR="00AD1F54" w:rsidRPr="00264D5D" w:rsidRDefault="00941227" w:rsidP="00A77DDB">
            <w:pPr>
              <w:pStyle w:val="OTRTableHead"/>
              <w:widowControl w:val="0"/>
              <w:ind w:left="57" w:right="57"/>
              <w:rPr>
                <w:sz w:val="22"/>
                <w:szCs w:val="22"/>
              </w:rPr>
            </w:pPr>
            <w:r w:rsidRPr="00264D5D">
              <w:rPr>
                <w:sz w:val="22"/>
                <w:szCs w:val="22"/>
              </w:rPr>
              <w:t>Изменения</w:t>
            </w:r>
          </w:p>
        </w:tc>
      </w:tr>
      <w:tr w:rsidR="00AA3181" w:rsidRPr="00264D5D" w14:paraId="2B43A2DE" w14:textId="77777777" w:rsidTr="00AD1F54">
        <w:trPr>
          <w:cnfStyle w:val="000000100000" w:firstRow="0" w:lastRow="0" w:firstColumn="0" w:lastColumn="0" w:oddVBand="0" w:evenVBand="0" w:oddHBand="1" w:evenHBand="0" w:firstRowFirstColumn="0" w:firstRowLastColumn="0" w:lastRowFirstColumn="0" w:lastRowLastColumn="0"/>
          <w:trHeight w:val="110"/>
        </w:trPr>
        <w:tc>
          <w:tcPr>
            <w:tcW w:w="439" w:type="pct"/>
          </w:tcPr>
          <w:p w14:paraId="0CF277BA" w14:textId="77777777" w:rsidR="00AA3181" w:rsidRPr="00720ABF" w:rsidRDefault="00AA3181" w:rsidP="00AA3181">
            <w:pPr>
              <w:pStyle w:val="OTRNameTable11"/>
            </w:pPr>
            <w:r w:rsidRPr="00720ABF">
              <w:t>1.0</w:t>
            </w:r>
            <w:r>
              <w:t>-35.0</w:t>
            </w:r>
          </w:p>
        </w:tc>
        <w:tc>
          <w:tcPr>
            <w:tcW w:w="663" w:type="pct"/>
          </w:tcPr>
          <w:p w14:paraId="4CE7D3B3" w14:textId="77777777" w:rsidR="00AA3181" w:rsidRPr="00720ABF" w:rsidRDefault="00AA3181" w:rsidP="00AA3181">
            <w:pPr>
              <w:pStyle w:val="OTRNameTable11"/>
            </w:pPr>
            <w:r>
              <w:t>02.12.2025</w:t>
            </w:r>
          </w:p>
        </w:tc>
        <w:tc>
          <w:tcPr>
            <w:tcW w:w="883" w:type="pct"/>
          </w:tcPr>
          <w:p w14:paraId="74B14C47" w14:textId="77777777" w:rsidR="00AA3181" w:rsidRPr="00720ABF" w:rsidRDefault="00AA3181" w:rsidP="00AA3181">
            <w:pPr>
              <w:pStyle w:val="OTRNameTable11"/>
            </w:pPr>
            <w:r>
              <w:t>Коршунова Н.А.</w:t>
            </w:r>
          </w:p>
        </w:tc>
        <w:tc>
          <w:tcPr>
            <w:tcW w:w="3015" w:type="pct"/>
          </w:tcPr>
          <w:p w14:paraId="50C8326F" w14:textId="77777777" w:rsidR="00AA3181" w:rsidRPr="00720ABF" w:rsidRDefault="00AA3181" w:rsidP="00AA3181">
            <w:pPr>
              <w:pStyle w:val="OTRNameTable11"/>
            </w:pPr>
            <w:r w:rsidRPr="00DE2FEA">
              <w:t>ЛРИ версий 1.00-35.00 указан в Альбоме версии 36.0</w:t>
            </w:r>
          </w:p>
        </w:tc>
      </w:tr>
      <w:tr w:rsidR="00633FEA" w:rsidRPr="00264D5D" w14:paraId="45F23FE7" w14:textId="77777777" w:rsidTr="00AD1F54">
        <w:trPr>
          <w:cnfStyle w:val="000000010000" w:firstRow="0" w:lastRow="0" w:firstColumn="0" w:lastColumn="0" w:oddVBand="0" w:evenVBand="0" w:oddHBand="0" w:evenHBand="1" w:firstRowFirstColumn="0" w:firstRowLastColumn="0" w:lastRowFirstColumn="0" w:lastRowLastColumn="0"/>
          <w:trHeight w:val="110"/>
        </w:trPr>
        <w:tc>
          <w:tcPr>
            <w:tcW w:w="439" w:type="pct"/>
            <w:vMerge w:val="restart"/>
          </w:tcPr>
          <w:p w14:paraId="5CCBF09E" w14:textId="77777777" w:rsidR="00633FEA" w:rsidRPr="00264D5D" w:rsidRDefault="00633FEA" w:rsidP="00A77DDB">
            <w:pPr>
              <w:spacing w:before="60" w:after="60"/>
              <w:rPr>
                <w:sz w:val="22"/>
                <w:szCs w:val="22"/>
              </w:rPr>
            </w:pPr>
            <w:r w:rsidRPr="00264D5D">
              <w:rPr>
                <w:sz w:val="22"/>
                <w:szCs w:val="22"/>
              </w:rPr>
              <w:t>36.00</w:t>
            </w:r>
          </w:p>
        </w:tc>
        <w:tc>
          <w:tcPr>
            <w:tcW w:w="663" w:type="pct"/>
          </w:tcPr>
          <w:p w14:paraId="16DAD2AA" w14:textId="77777777" w:rsidR="00633FEA" w:rsidRPr="00264D5D" w:rsidRDefault="00633FEA" w:rsidP="00A77DDB">
            <w:pPr>
              <w:spacing w:before="60" w:after="60"/>
              <w:rPr>
                <w:sz w:val="22"/>
                <w:szCs w:val="22"/>
              </w:rPr>
            </w:pPr>
            <w:r w:rsidRPr="00264D5D">
              <w:rPr>
                <w:sz w:val="22"/>
                <w:szCs w:val="22"/>
              </w:rPr>
              <w:t>27.11.2024</w:t>
            </w:r>
          </w:p>
        </w:tc>
        <w:tc>
          <w:tcPr>
            <w:tcW w:w="883" w:type="pct"/>
          </w:tcPr>
          <w:p w14:paraId="63D0817F" w14:textId="77777777" w:rsidR="00633FEA" w:rsidRPr="00264D5D" w:rsidRDefault="00633FEA" w:rsidP="00A77DDB">
            <w:pPr>
              <w:spacing w:before="60" w:after="60"/>
              <w:rPr>
                <w:sz w:val="22"/>
                <w:szCs w:val="22"/>
              </w:rPr>
            </w:pPr>
            <w:r w:rsidRPr="00264D5D">
              <w:rPr>
                <w:sz w:val="22"/>
                <w:szCs w:val="22"/>
              </w:rPr>
              <w:t>Коршунова Н.А.</w:t>
            </w:r>
          </w:p>
        </w:tc>
        <w:tc>
          <w:tcPr>
            <w:tcW w:w="3015" w:type="pct"/>
          </w:tcPr>
          <w:p w14:paraId="5104D8C0" w14:textId="77777777" w:rsidR="00633FEA" w:rsidRPr="00264D5D" w:rsidRDefault="00633FEA" w:rsidP="00D55099">
            <w:pPr>
              <w:widowControl w:val="0"/>
              <w:spacing w:before="60" w:after="60"/>
              <w:rPr>
                <w:sz w:val="22"/>
                <w:szCs w:val="22"/>
              </w:rPr>
            </w:pPr>
            <w:r w:rsidRPr="00264D5D">
              <w:rPr>
                <w:sz w:val="22"/>
                <w:szCs w:val="22"/>
              </w:rPr>
              <w:t>Удалены документы:</w:t>
            </w:r>
          </w:p>
          <w:p w14:paraId="41FC2201" w14:textId="77777777" w:rsidR="00633FEA" w:rsidRPr="00264D5D" w:rsidRDefault="00633FEA" w:rsidP="00D55099">
            <w:pPr>
              <w:widowControl w:val="0"/>
              <w:spacing w:before="60" w:after="60"/>
              <w:rPr>
                <w:sz w:val="22"/>
                <w:szCs w:val="22"/>
              </w:rPr>
            </w:pPr>
            <w:r w:rsidRPr="00264D5D">
              <w:rPr>
                <w:sz w:val="22"/>
                <w:szCs w:val="22"/>
              </w:rPr>
              <w:t>«Уведомление о зачете излишне уплаченных (взысканных) сумм налогов и сборов, других поступлений, пеней, штрафов по ним, а также подлежащих возмещению сумм налогов, осуществляемом администраторами доходов бюджета, подведомственными одному главному администратору доходов бюджета, находящимися на территориях различных субъектов Российской Федерации» (ф. 0531451);</w:t>
            </w:r>
          </w:p>
          <w:p w14:paraId="00B15B8E" w14:textId="77777777" w:rsidR="00633FEA" w:rsidRPr="00264D5D" w:rsidRDefault="00633FEA" w:rsidP="00D55099">
            <w:pPr>
              <w:widowControl w:val="0"/>
              <w:spacing w:before="60" w:after="60"/>
              <w:rPr>
                <w:sz w:val="22"/>
                <w:szCs w:val="22"/>
              </w:rPr>
            </w:pPr>
            <w:r w:rsidRPr="00264D5D">
              <w:rPr>
                <w:sz w:val="22"/>
                <w:szCs w:val="22"/>
              </w:rPr>
              <w:t>«Уведомление об уточнении вида и принадлежности платежа, решениях о зачете излишне уплаченных (взысканных) сумм налогов и сборов, пеней, штрафов, а также подлежащих возмещению сумм налогов и сборов»;</w:t>
            </w:r>
          </w:p>
          <w:p w14:paraId="2F120C3C" w14:textId="77777777" w:rsidR="00633FEA" w:rsidRPr="00264D5D" w:rsidRDefault="00633FEA" w:rsidP="00D55099">
            <w:pPr>
              <w:widowControl w:val="0"/>
              <w:spacing w:before="60" w:after="60"/>
              <w:rPr>
                <w:sz w:val="22"/>
                <w:szCs w:val="22"/>
              </w:rPr>
            </w:pPr>
            <w:r w:rsidRPr="00264D5D">
              <w:rPr>
                <w:sz w:val="22"/>
                <w:szCs w:val="22"/>
              </w:rPr>
              <w:t>«Уведомление об обоснованности или о необоснованности приостановления операции по лицевому счету» (ф. 0531366);</w:t>
            </w:r>
          </w:p>
          <w:p w14:paraId="626C35BC" w14:textId="77777777" w:rsidR="00633FEA" w:rsidRPr="00264D5D" w:rsidRDefault="00633FEA" w:rsidP="00D55099">
            <w:pPr>
              <w:widowControl w:val="0"/>
              <w:spacing w:before="60" w:after="60"/>
              <w:rPr>
                <w:sz w:val="22"/>
                <w:szCs w:val="22"/>
              </w:rPr>
            </w:pPr>
            <w:r w:rsidRPr="00264D5D">
              <w:rPr>
                <w:sz w:val="22"/>
                <w:szCs w:val="22"/>
              </w:rPr>
              <w:t>«Расходная декларация»;</w:t>
            </w:r>
          </w:p>
          <w:p w14:paraId="6C564DC4" w14:textId="77777777" w:rsidR="00633FEA" w:rsidRPr="00264D5D" w:rsidRDefault="00633FEA" w:rsidP="00D55099">
            <w:pPr>
              <w:widowControl w:val="0"/>
              <w:spacing w:before="60" w:after="60"/>
              <w:rPr>
                <w:sz w:val="22"/>
                <w:szCs w:val="22"/>
              </w:rPr>
            </w:pPr>
            <w:r w:rsidRPr="00264D5D">
              <w:rPr>
                <w:sz w:val="22"/>
                <w:szCs w:val="22"/>
              </w:rPr>
              <w:t>«Информация о подтверждении (отказе) открытия лицевого счета» (ф. 0531362)</w:t>
            </w:r>
          </w:p>
        </w:tc>
      </w:tr>
      <w:tr w:rsidR="00633FEA" w:rsidRPr="00264D5D" w14:paraId="0571584E" w14:textId="77777777" w:rsidTr="00AD1F54">
        <w:trPr>
          <w:cnfStyle w:val="000000100000" w:firstRow="0" w:lastRow="0" w:firstColumn="0" w:lastColumn="0" w:oddVBand="0" w:evenVBand="0" w:oddHBand="1" w:evenHBand="0" w:firstRowFirstColumn="0" w:firstRowLastColumn="0" w:lastRowFirstColumn="0" w:lastRowLastColumn="0"/>
          <w:trHeight w:val="110"/>
        </w:trPr>
        <w:tc>
          <w:tcPr>
            <w:tcW w:w="439" w:type="pct"/>
            <w:vMerge/>
          </w:tcPr>
          <w:p w14:paraId="798A69BD" w14:textId="77777777" w:rsidR="00633FEA" w:rsidRPr="00264D5D" w:rsidRDefault="00633FEA" w:rsidP="009169AF">
            <w:pPr>
              <w:spacing w:before="60" w:after="60"/>
              <w:rPr>
                <w:sz w:val="22"/>
                <w:szCs w:val="22"/>
              </w:rPr>
            </w:pPr>
          </w:p>
        </w:tc>
        <w:tc>
          <w:tcPr>
            <w:tcW w:w="663" w:type="pct"/>
          </w:tcPr>
          <w:p w14:paraId="4E077C48" w14:textId="77777777" w:rsidR="00633FEA" w:rsidRPr="00264D5D" w:rsidRDefault="00633FEA" w:rsidP="009169AF">
            <w:pPr>
              <w:spacing w:before="60" w:after="60"/>
              <w:rPr>
                <w:sz w:val="22"/>
                <w:szCs w:val="22"/>
              </w:rPr>
            </w:pPr>
            <w:r w:rsidRPr="00264D5D">
              <w:rPr>
                <w:sz w:val="22"/>
                <w:szCs w:val="22"/>
              </w:rPr>
              <w:t>10.01.2024</w:t>
            </w:r>
          </w:p>
        </w:tc>
        <w:tc>
          <w:tcPr>
            <w:tcW w:w="883" w:type="pct"/>
          </w:tcPr>
          <w:p w14:paraId="1037C37B" w14:textId="77777777" w:rsidR="00633FEA" w:rsidRPr="00264D5D" w:rsidRDefault="00633FEA" w:rsidP="009169AF">
            <w:pPr>
              <w:spacing w:before="60" w:after="60"/>
              <w:rPr>
                <w:sz w:val="22"/>
                <w:szCs w:val="22"/>
              </w:rPr>
            </w:pPr>
            <w:r w:rsidRPr="00264D5D">
              <w:rPr>
                <w:sz w:val="22"/>
                <w:szCs w:val="22"/>
              </w:rPr>
              <w:t>Касьян Д.Ю.</w:t>
            </w:r>
          </w:p>
        </w:tc>
        <w:tc>
          <w:tcPr>
            <w:tcW w:w="3015" w:type="pct"/>
          </w:tcPr>
          <w:p w14:paraId="4652F9AF" w14:textId="77777777" w:rsidR="00633FEA" w:rsidRPr="00264D5D" w:rsidRDefault="00633FEA" w:rsidP="009169AF">
            <w:pPr>
              <w:widowControl w:val="0"/>
              <w:spacing w:before="60" w:after="60"/>
              <w:rPr>
                <w:sz w:val="22"/>
                <w:szCs w:val="22"/>
              </w:rPr>
            </w:pPr>
            <w:r w:rsidRPr="00264D5D">
              <w:rPr>
                <w:sz w:val="22"/>
                <w:szCs w:val="22"/>
              </w:rPr>
              <w:t>Дополнение 1 к Альбому 35.00</w:t>
            </w:r>
          </w:p>
          <w:p w14:paraId="78418AA8" w14:textId="77777777" w:rsidR="00633FEA" w:rsidRPr="00264D5D" w:rsidRDefault="00633FEA" w:rsidP="009169AF">
            <w:pPr>
              <w:widowControl w:val="0"/>
              <w:spacing w:before="60" w:after="60"/>
              <w:rPr>
                <w:sz w:val="22"/>
                <w:szCs w:val="22"/>
              </w:rPr>
            </w:pPr>
            <w:r w:rsidRPr="00264D5D">
              <w:rPr>
                <w:sz w:val="22"/>
                <w:szCs w:val="22"/>
              </w:rPr>
              <w:t>Для документа «Ответ на запрос (уведомление) по ЭПС участника» для поля «Текст ответа» увеличена размерность до 10000 знаков</w:t>
            </w:r>
          </w:p>
        </w:tc>
      </w:tr>
      <w:tr w:rsidR="00633FEA" w:rsidRPr="00264D5D" w14:paraId="6B3F57DE" w14:textId="77777777" w:rsidTr="00AD1F54">
        <w:trPr>
          <w:cnfStyle w:val="000000010000" w:firstRow="0" w:lastRow="0" w:firstColumn="0" w:lastColumn="0" w:oddVBand="0" w:evenVBand="0" w:oddHBand="0" w:evenHBand="1" w:firstRowFirstColumn="0" w:firstRowLastColumn="0" w:lastRowFirstColumn="0" w:lastRowLastColumn="0"/>
          <w:trHeight w:val="110"/>
        </w:trPr>
        <w:tc>
          <w:tcPr>
            <w:tcW w:w="439" w:type="pct"/>
            <w:vMerge/>
          </w:tcPr>
          <w:p w14:paraId="685552D1" w14:textId="77777777" w:rsidR="00633FEA" w:rsidRPr="00264D5D" w:rsidRDefault="00633FEA" w:rsidP="009169AF">
            <w:pPr>
              <w:spacing w:before="60" w:after="60"/>
              <w:rPr>
                <w:sz w:val="22"/>
                <w:szCs w:val="22"/>
              </w:rPr>
            </w:pPr>
          </w:p>
        </w:tc>
        <w:tc>
          <w:tcPr>
            <w:tcW w:w="663" w:type="pct"/>
          </w:tcPr>
          <w:p w14:paraId="2C571BC1" w14:textId="77777777" w:rsidR="00633FEA" w:rsidRPr="00264D5D" w:rsidRDefault="00633FEA" w:rsidP="009169AF">
            <w:pPr>
              <w:spacing w:before="60" w:after="60"/>
              <w:rPr>
                <w:sz w:val="22"/>
                <w:szCs w:val="22"/>
              </w:rPr>
            </w:pPr>
            <w:r w:rsidRPr="00264D5D">
              <w:rPr>
                <w:sz w:val="22"/>
                <w:szCs w:val="22"/>
              </w:rPr>
              <w:t>31.01.2024</w:t>
            </w:r>
          </w:p>
        </w:tc>
        <w:tc>
          <w:tcPr>
            <w:tcW w:w="883" w:type="pct"/>
          </w:tcPr>
          <w:p w14:paraId="24D0904F" w14:textId="77777777" w:rsidR="00633FEA" w:rsidRPr="00264D5D" w:rsidRDefault="00633FEA" w:rsidP="009169AF">
            <w:pPr>
              <w:spacing w:before="60" w:after="60"/>
              <w:rPr>
                <w:sz w:val="22"/>
                <w:szCs w:val="22"/>
              </w:rPr>
            </w:pPr>
            <w:r w:rsidRPr="00264D5D">
              <w:rPr>
                <w:sz w:val="22"/>
                <w:szCs w:val="22"/>
              </w:rPr>
              <w:t>Касьян Д.Ю.</w:t>
            </w:r>
          </w:p>
        </w:tc>
        <w:tc>
          <w:tcPr>
            <w:tcW w:w="3015" w:type="pct"/>
          </w:tcPr>
          <w:p w14:paraId="703CEE54" w14:textId="77777777" w:rsidR="00633FEA" w:rsidRPr="00264D5D" w:rsidRDefault="00633FEA" w:rsidP="008460BC">
            <w:pPr>
              <w:widowControl w:val="0"/>
              <w:spacing w:before="60" w:after="60"/>
              <w:rPr>
                <w:sz w:val="22"/>
                <w:szCs w:val="22"/>
              </w:rPr>
            </w:pPr>
            <w:r w:rsidRPr="00264D5D">
              <w:rPr>
                <w:sz w:val="22"/>
                <w:szCs w:val="22"/>
              </w:rPr>
              <w:t>Дополнение 1 к Альбому 35.00</w:t>
            </w:r>
          </w:p>
          <w:p w14:paraId="6C8FFF3A" w14:textId="77777777" w:rsidR="00633FEA" w:rsidRPr="00264D5D" w:rsidRDefault="00633FEA" w:rsidP="009169AF">
            <w:pPr>
              <w:widowControl w:val="0"/>
              <w:spacing w:before="60" w:after="60"/>
              <w:rPr>
                <w:sz w:val="22"/>
                <w:szCs w:val="22"/>
              </w:rPr>
            </w:pPr>
            <w:r w:rsidRPr="00264D5D">
              <w:rPr>
                <w:sz w:val="22"/>
                <w:szCs w:val="22"/>
              </w:rPr>
              <w:t>Для документов «Расшифровка сумм неиспользованных средств (ф.0531251), Заявка о внесении наличных денежных средств», «Заявка на получение наличных денег (ф. 0531802), Заявка для обеспечения наличными денежными средствами электронном виде» внесены изменения в дополнительную информацию полей «Код валюты по ОКВ», «Информация о номиналах»</w:t>
            </w:r>
          </w:p>
        </w:tc>
      </w:tr>
      <w:tr w:rsidR="00633FEA" w:rsidRPr="00264D5D" w14:paraId="101094FA" w14:textId="77777777" w:rsidTr="00AD1F54">
        <w:trPr>
          <w:cnfStyle w:val="000000100000" w:firstRow="0" w:lastRow="0" w:firstColumn="0" w:lastColumn="0" w:oddVBand="0" w:evenVBand="0" w:oddHBand="1" w:evenHBand="0" w:firstRowFirstColumn="0" w:firstRowLastColumn="0" w:lastRowFirstColumn="0" w:lastRowLastColumn="0"/>
          <w:trHeight w:val="110"/>
        </w:trPr>
        <w:tc>
          <w:tcPr>
            <w:tcW w:w="439" w:type="pct"/>
            <w:vMerge/>
          </w:tcPr>
          <w:p w14:paraId="781ACCF7" w14:textId="77777777" w:rsidR="00633FEA" w:rsidRPr="00264D5D" w:rsidRDefault="00633FEA" w:rsidP="00AF2FB4">
            <w:pPr>
              <w:spacing w:before="60" w:after="60"/>
              <w:rPr>
                <w:sz w:val="22"/>
                <w:szCs w:val="22"/>
              </w:rPr>
            </w:pPr>
          </w:p>
        </w:tc>
        <w:tc>
          <w:tcPr>
            <w:tcW w:w="663" w:type="pct"/>
          </w:tcPr>
          <w:p w14:paraId="37362088" w14:textId="77777777" w:rsidR="00633FEA" w:rsidRPr="00264D5D" w:rsidRDefault="00633FEA" w:rsidP="00AF2FB4">
            <w:pPr>
              <w:pStyle w:val="GOSTTablenorm"/>
            </w:pPr>
            <w:r w:rsidRPr="00264D5D">
              <w:t>01.02.2024</w:t>
            </w:r>
          </w:p>
        </w:tc>
        <w:tc>
          <w:tcPr>
            <w:tcW w:w="883" w:type="pct"/>
          </w:tcPr>
          <w:p w14:paraId="328AE48A" w14:textId="77777777" w:rsidR="00633FEA" w:rsidRPr="00264D5D" w:rsidRDefault="00633FEA" w:rsidP="00AF2FB4">
            <w:pPr>
              <w:pStyle w:val="GOSTTablenorm"/>
            </w:pPr>
            <w:r w:rsidRPr="00264D5D">
              <w:t>Касьян Д.Ю.</w:t>
            </w:r>
          </w:p>
        </w:tc>
        <w:tc>
          <w:tcPr>
            <w:tcW w:w="3015" w:type="pct"/>
          </w:tcPr>
          <w:p w14:paraId="156E4186" w14:textId="77777777" w:rsidR="00633FEA" w:rsidRPr="00264D5D" w:rsidRDefault="00633FEA" w:rsidP="00AF2FB4">
            <w:pPr>
              <w:widowControl w:val="0"/>
              <w:spacing w:before="60" w:after="60"/>
              <w:rPr>
                <w:sz w:val="22"/>
                <w:szCs w:val="22"/>
              </w:rPr>
            </w:pPr>
            <w:r w:rsidRPr="00264D5D">
              <w:rPr>
                <w:sz w:val="22"/>
                <w:szCs w:val="22"/>
              </w:rPr>
              <w:t>Дополнение 4 к Альбому 35.00</w:t>
            </w:r>
          </w:p>
          <w:p w14:paraId="41D47EC8" w14:textId="77777777" w:rsidR="00633FEA" w:rsidRPr="00264D5D" w:rsidRDefault="00633FEA" w:rsidP="00AF2FB4">
            <w:pPr>
              <w:pStyle w:val="GOSTTablenorm"/>
            </w:pPr>
            <w:r w:rsidRPr="00264D5D">
              <w:rPr>
                <w:szCs w:val="22"/>
              </w:rPr>
              <w:t xml:space="preserve">Для документа «Заявка на получение наличных денег (ф. 0531802), Заявка для обеспечения наличными денежными средствами в электронном виде» Добавлен маршрут ТОФК (Компонент КС ПУР ЭБ) </w:t>
            </w:r>
            <w:r w:rsidRPr="00264D5D">
              <w:t>–</w:t>
            </w:r>
            <w:r w:rsidRPr="00264D5D">
              <w:rPr>
                <w:szCs w:val="22"/>
              </w:rPr>
              <w:t xml:space="preserve"> ТОФК (ППО АСФК). Скорректирована дополнительная информация поля «Код цели» (TrgtCd). </w:t>
            </w:r>
          </w:p>
        </w:tc>
      </w:tr>
      <w:tr w:rsidR="00633FEA" w:rsidRPr="00264D5D" w14:paraId="0E84D577" w14:textId="77777777" w:rsidTr="00AD1F54">
        <w:trPr>
          <w:cnfStyle w:val="000000010000" w:firstRow="0" w:lastRow="0" w:firstColumn="0" w:lastColumn="0" w:oddVBand="0" w:evenVBand="0" w:oddHBand="0" w:evenHBand="1" w:firstRowFirstColumn="0" w:firstRowLastColumn="0" w:lastRowFirstColumn="0" w:lastRowLastColumn="0"/>
          <w:trHeight w:val="110"/>
        </w:trPr>
        <w:tc>
          <w:tcPr>
            <w:tcW w:w="439" w:type="pct"/>
            <w:vMerge/>
          </w:tcPr>
          <w:p w14:paraId="672FF7E3" w14:textId="77777777" w:rsidR="00633FEA" w:rsidRPr="00264D5D" w:rsidRDefault="00633FEA" w:rsidP="00AF2FB4">
            <w:pPr>
              <w:spacing w:before="60" w:after="60"/>
              <w:rPr>
                <w:sz w:val="22"/>
                <w:szCs w:val="22"/>
              </w:rPr>
            </w:pPr>
          </w:p>
        </w:tc>
        <w:tc>
          <w:tcPr>
            <w:tcW w:w="663" w:type="pct"/>
          </w:tcPr>
          <w:p w14:paraId="36459ABA" w14:textId="77777777" w:rsidR="00633FEA" w:rsidRPr="00264D5D" w:rsidRDefault="00633FEA" w:rsidP="00AF2FB4">
            <w:pPr>
              <w:spacing w:before="60" w:after="60"/>
              <w:rPr>
                <w:sz w:val="22"/>
                <w:szCs w:val="22"/>
              </w:rPr>
            </w:pPr>
            <w:r w:rsidRPr="00264D5D">
              <w:rPr>
                <w:sz w:val="22"/>
                <w:szCs w:val="22"/>
              </w:rPr>
              <w:t>08.02.2024</w:t>
            </w:r>
          </w:p>
        </w:tc>
        <w:tc>
          <w:tcPr>
            <w:tcW w:w="883" w:type="pct"/>
          </w:tcPr>
          <w:p w14:paraId="274DB48D" w14:textId="77777777" w:rsidR="00633FEA" w:rsidRPr="00264D5D" w:rsidRDefault="00633FEA" w:rsidP="00AF2FB4">
            <w:pPr>
              <w:spacing w:before="60" w:after="60"/>
              <w:rPr>
                <w:sz w:val="22"/>
                <w:szCs w:val="22"/>
              </w:rPr>
            </w:pPr>
            <w:r w:rsidRPr="00264D5D">
              <w:rPr>
                <w:sz w:val="22"/>
                <w:szCs w:val="22"/>
              </w:rPr>
              <w:t>Коршунова Н.А.</w:t>
            </w:r>
          </w:p>
        </w:tc>
        <w:tc>
          <w:tcPr>
            <w:tcW w:w="3015" w:type="pct"/>
          </w:tcPr>
          <w:p w14:paraId="6B145D09" w14:textId="77777777" w:rsidR="00633FEA" w:rsidRPr="00264D5D" w:rsidRDefault="00633FEA" w:rsidP="00AF2FB4">
            <w:pPr>
              <w:widowControl w:val="0"/>
              <w:spacing w:before="60" w:after="60"/>
              <w:rPr>
                <w:sz w:val="22"/>
                <w:szCs w:val="22"/>
              </w:rPr>
            </w:pPr>
            <w:r w:rsidRPr="00264D5D">
              <w:rPr>
                <w:sz w:val="22"/>
                <w:szCs w:val="22"/>
              </w:rPr>
              <w:t>Дополнение 1 к Альбому 35.00</w:t>
            </w:r>
          </w:p>
          <w:p w14:paraId="07421DFB" w14:textId="77777777" w:rsidR="00633FEA" w:rsidRPr="00264D5D" w:rsidRDefault="00633FEA" w:rsidP="00AF2FB4">
            <w:pPr>
              <w:widowControl w:val="0"/>
              <w:spacing w:before="60" w:after="60"/>
              <w:rPr>
                <w:sz w:val="22"/>
                <w:szCs w:val="22"/>
              </w:rPr>
            </w:pPr>
            <w:r w:rsidRPr="00264D5D">
              <w:rPr>
                <w:sz w:val="22"/>
                <w:szCs w:val="22"/>
              </w:rPr>
              <w:lastRenderedPageBreak/>
              <w:t xml:space="preserve">Для документа «Заявка на кассовый расход» (ф. 0531801) добавлен маршрут ЕИС </w:t>
            </w:r>
            <w:r w:rsidRPr="00264D5D">
              <w:rPr>
                <w:szCs w:val="22"/>
              </w:rPr>
              <w:t xml:space="preserve">– </w:t>
            </w:r>
            <w:r w:rsidRPr="00264D5D">
              <w:rPr>
                <w:sz w:val="22"/>
                <w:szCs w:val="22"/>
              </w:rPr>
              <w:t>ЕБП, а также новое поле «Код поступлений» в блок «КБК плательщика»</w:t>
            </w:r>
          </w:p>
        </w:tc>
      </w:tr>
      <w:tr w:rsidR="00633FEA" w:rsidRPr="00264D5D" w14:paraId="341DF777" w14:textId="77777777" w:rsidTr="00AD1F54">
        <w:trPr>
          <w:cnfStyle w:val="000000100000" w:firstRow="0" w:lastRow="0" w:firstColumn="0" w:lastColumn="0" w:oddVBand="0" w:evenVBand="0" w:oddHBand="1" w:evenHBand="0" w:firstRowFirstColumn="0" w:firstRowLastColumn="0" w:lastRowFirstColumn="0" w:lastRowLastColumn="0"/>
          <w:trHeight w:val="110"/>
        </w:trPr>
        <w:tc>
          <w:tcPr>
            <w:tcW w:w="439" w:type="pct"/>
            <w:vMerge/>
          </w:tcPr>
          <w:p w14:paraId="18FE0150" w14:textId="77777777" w:rsidR="00633FEA" w:rsidRPr="00264D5D" w:rsidRDefault="00633FEA" w:rsidP="00AF2FB4">
            <w:pPr>
              <w:spacing w:before="60" w:after="60"/>
              <w:rPr>
                <w:sz w:val="22"/>
                <w:szCs w:val="22"/>
              </w:rPr>
            </w:pPr>
          </w:p>
        </w:tc>
        <w:tc>
          <w:tcPr>
            <w:tcW w:w="663" w:type="pct"/>
          </w:tcPr>
          <w:p w14:paraId="63850DB0" w14:textId="77777777" w:rsidR="00633FEA" w:rsidRPr="00264D5D" w:rsidRDefault="00633FEA" w:rsidP="00AF2FB4">
            <w:pPr>
              <w:pStyle w:val="GOSTTablenorm"/>
            </w:pPr>
            <w:r w:rsidRPr="00264D5D">
              <w:t>02.04.2023</w:t>
            </w:r>
          </w:p>
        </w:tc>
        <w:tc>
          <w:tcPr>
            <w:tcW w:w="883" w:type="pct"/>
          </w:tcPr>
          <w:p w14:paraId="026AF88D" w14:textId="77777777" w:rsidR="00633FEA" w:rsidRPr="00264D5D" w:rsidRDefault="00633FEA" w:rsidP="00AF2FB4">
            <w:pPr>
              <w:pStyle w:val="GOSTTablenorm"/>
            </w:pPr>
            <w:r w:rsidRPr="00264D5D">
              <w:t>Касьян Д.Ю.</w:t>
            </w:r>
          </w:p>
        </w:tc>
        <w:tc>
          <w:tcPr>
            <w:tcW w:w="3015" w:type="pct"/>
          </w:tcPr>
          <w:p w14:paraId="5CCDE401" w14:textId="77777777" w:rsidR="00633FEA" w:rsidRPr="00264D5D" w:rsidRDefault="00633FEA" w:rsidP="00AF2FB4">
            <w:pPr>
              <w:widowControl w:val="0"/>
              <w:spacing w:before="60" w:after="60"/>
              <w:rPr>
                <w:sz w:val="22"/>
                <w:szCs w:val="22"/>
              </w:rPr>
            </w:pPr>
            <w:r w:rsidRPr="00264D5D">
              <w:rPr>
                <w:sz w:val="22"/>
                <w:szCs w:val="22"/>
              </w:rPr>
              <w:t>Дополнение 2 к Альбому 35.00</w:t>
            </w:r>
          </w:p>
          <w:p w14:paraId="61B0EFB4" w14:textId="77777777" w:rsidR="00633FEA" w:rsidRPr="00264D5D" w:rsidRDefault="00633FEA" w:rsidP="00AF2FB4">
            <w:pPr>
              <w:widowControl w:val="0"/>
              <w:spacing w:before="60" w:after="60"/>
              <w:rPr>
                <w:sz w:val="22"/>
                <w:szCs w:val="22"/>
              </w:rPr>
            </w:pPr>
            <w:r w:rsidRPr="00264D5D">
              <w:rPr>
                <w:sz w:val="22"/>
                <w:szCs w:val="22"/>
              </w:rPr>
              <w:t>Добавлены новые документы:</w:t>
            </w:r>
          </w:p>
          <w:p w14:paraId="5BE8A81A" w14:textId="77777777" w:rsidR="00633FEA" w:rsidRPr="00264D5D" w:rsidRDefault="00633FEA" w:rsidP="00AF2FB4">
            <w:pPr>
              <w:pStyle w:val="af5"/>
              <w:widowControl w:val="0"/>
              <w:numPr>
                <w:ilvl w:val="0"/>
                <w:numId w:val="98"/>
              </w:numPr>
              <w:spacing w:before="60" w:after="60"/>
              <w:ind w:left="284" w:hanging="227"/>
              <w:jc w:val="both"/>
              <w:rPr>
                <w:sz w:val="22"/>
                <w:szCs w:val="22"/>
              </w:rPr>
            </w:pPr>
            <w:r w:rsidRPr="00264D5D">
              <w:rPr>
                <w:sz w:val="22"/>
                <w:szCs w:val="22"/>
              </w:rPr>
              <w:t>«Распоряжение налогового органа (зачет)»;</w:t>
            </w:r>
          </w:p>
          <w:p w14:paraId="0785D3E0" w14:textId="77777777" w:rsidR="00633FEA" w:rsidRPr="00264D5D" w:rsidRDefault="00633FEA" w:rsidP="00AF2FB4">
            <w:pPr>
              <w:pStyle w:val="af5"/>
              <w:widowControl w:val="0"/>
              <w:numPr>
                <w:ilvl w:val="0"/>
                <w:numId w:val="98"/>
              </w:numPr>
              <w:spacing w:before="60" w:after="60"/>
              <w:ind w:left="284" w:hanging="227"/>
              <w:jc w:val="both"/>
              <w:rPr>
                <w:sz w:val="22"/>
                <w:szCs w:val="22"/>
              </w:rPr>
            </w:pPr>
            <w:r w:rsidRPr="00264D5D">
              <w:rPr>
                <w:sz w:val="22"/>
                <w:szCs w:val="22"/>
              </w:rPr>
              <w:t>«Распоряжение налогового органа (уточнение)»</w:t>
            </w:r>
          </w:p>
        </w:tc>
      </w:tr>
      <w:tr w:rsidR="00633FEA" w:rsidRPr="00264D5D" w14:paraId="2AB6BBD0" w14:textId="77777777" w:rsidTr="00AD1F54">
        <w:trPr>
          <w:cnfStyle w:val="000000010000" w:firstRow="0" w:lastRow="0" w:firstColumn="0" w:lastColumn="0" w:oddVBand="0" w:evenVBand="0" w:oddHBand="0" w:evenHBand="1" w:firstRowFirstColumn="0" w:firstRowLastColumn="0" w:lastRowFirstColumn="0" w:lastRowLastColumn="0"/>
          <w:trHeight w:val="110"/>
        </w:trPr>
        <w:tc>
          <w:tcPr>
            <w:tcW w:w="439" w:type="pct"/>
            <w:vMerge/>
          </w:tcPr>
          <w:p w14:paraId="7CAB67D1" w14:textId="77777777" w:rsidR="00633FEA" w:rsidRPr="00264D5D" w:rsidRDefault="00633FEA" w:rsidP="00AF2FB4">
            <w:pPr>
              <w:spacing w:before="60" w:after="60"/>
              <w:rPr>
                <w:sz w:val="22"/>
                <w:szCs w:val="22"/>
              </w:rPr>
            </w:pPr>
          </w:p>
        </w:tc>
        <w:tc>
          <w:tcPr>
            <w:tcW w:w="663" w:type="pct"/>
          </w:tcPr>
          <w:p w14:paraId="56BACA17" w14:textId="77777777" w:rsidR="00633FEA" w:rsidRPr="00264D5D" w:rsidRDefault="00633FEA" w:rsidP="00AF2FB4">
            <w:pPr>
              <w:spacing w:before="60" w:after="60"/>
              <w:rPr>
                <w:sz w:val="22"/>
                <w:szCs w:val="22"/>
              </w:rPr>
            </w:pPr>
            <w:r w:rsidRPr="00264D5D">
              <w:rPr>
                <w:sz w:val="22"/>
                <w:szCs w:val="22"/>
              </w:rPr>
              <w:t>08.04.2024</w:t>
            </w:r>
          </w:p>
        </w:tc>
        <w:tc>
          <w:tcPr>
            <w:tcW w:w="883" w:type="pct"/>
          </w:tcPr>
          <w:p w14:paraId="56E7B649" w14:textId="77777777" w:rsidR="00633FEA" w:rsidRPr="00264D5D" w:rsidRDefault="00633FEA" w:rsidP="00AF2FB4">
            <w:pPr>
              <w:spacing w:before="60" w:after="60"/>
              <w:rPr>
                <w:sz w:val="22"/>
                <w:szCs w:val="22"/>
              </w:rPr>
            </w:pPr>
            <w:r w:rsidRPr="00264D5D">
              <w:rPr>
                <w:sz w:val="22"/>
                <w:szCs w:val="22"/>
              </w:rPr>
              <w:t>Гилязова Е.В.</w:t>
            </w:r>
          </w:p>
        </w:tc>
        <w:tc>
          <w:tcPr>
            <w:tcW w:w="3015" w:type="pct"/>
          </w:tcPr>
          <w:p w14:paraId="1248F7DF" w14:textId="77777777" w:rsidR="00633FEA" w:rsidRPr="00264D5D" w:rsidRDefault="00633FEA" w:rsidP="00AF2FB4">
            <w:pPr>
              <w:widowControl w:val="0"/>
              <w:spacing w:before="60" w:after="60"/>
              <w:rPr>
                <w:sz w:val="22"/>
                <w:szCs w:val="22"/>
              </w:rPr>
            </w:pPr>
            <w:r w:rsidRPr="00264D5D">
              <w:rPr>
                <w:sz w:val="22"/>
                <w:szCs w:val="22"/>
              </w:rPr>
              <w:t>Дополнение 2 к Альбому 35.00</w:t>
            </w:r>
          </w:p>
          <w:p w14:paraId="1459E854" w14:textId="77777777" w:rsidR="00633FEA" w:rsidRPr="00264D5D" w:rsidRDefault="00633FEA" w:rsidP="00AF2FB4">
            <w:pPr>
              <w:pStyle w:val="GOSTTablenorm"/>
              <w:rPr>
                <w:szCs w:val="22"/>
              </w:rPr>
            </w:pPr>
            <w:r w:rsidRPr="00264D5D">
              <w:rPr>
                <w:szCs w:val="22"/>
              </w:rPr>
              <w:t>В документ «Распоряжение о перечислении денежных средств на банковские карты «Мир» физических лиц»:</w:t>
            </w:r>
          </w:p>
          <w:p w14:paraId="58328879" w14:textId="77777777" w:rsidR="00633FEA" w:rsidRPr="00264D5D" w:rsidRDefault="00633FEA" w:rsidP="00101F62">
            <w:pPr>
              <w:pStyle w:val="GOSTTableListMark2"/>
              <w:numPr>
                <w:ilvl w:val="0"/>
                <w:numId w:val="155"/>
              </w:numPr>
              <w:ind w:left="284" w:hanging="227"/>
              <w:jc w:val="both"/>
              <w:rPr>
                <w:szCs w:val="22"/>
              </w:rPr>
            </w:pPr>
            <w:r w:rsidRPr="00264D5D">
              <w:rPr>
                <w:szCs w:val="22"/>
              </w:rPr>
              <w:t>добавлен маршрут АИФДБ (ФТС, ФНС) – ТОФК (ПУД ЭБ);</w:t>
            </w:r>
          </w:p>
          <w:p w14:paraId="25AA7F5F" w14:textId="77777777" w:rsidR="00633FEA" w:rsidRPr="00264D5D" w:rsidRDefault="00633FEA" w:rsidP="00101F62">
            <w:pPr>
              <w:pStyle w:val="GOSTTableListMark2"/>
              <w:numPr>
                <w:ilvl w:val="0"/>
                <w:numId w:val="155"/>
              </w:numPr>
              <w:ind w:left="284" w:hanging="227"/>
              <w:jc w:val="both"/>
              <w:rPr>
                <w:szCs w:val="22"/>
              </w:rPr>
            </w:pPr>
            <w:r w:rsidRPr="00264D5D">
              <w:rPr>
                <w:szCs w:val="22"/>
              </w:rPr>
              <w:t>для полей «Учетный номер БО», «Учетный номер ДО», «Суммы выплат КБК», «Наименование ГРБС», «Глава по БК» скорректировано примечание в части АИФДБ;</w:t>
            </w:r>
          </w:p>
          <w:p w14:paraId="18E52B31" w14:textId="77777777" w:rsidR="00633FEA" w:rsidRPr="00264D5D" w:rsidRDefault="00633FEA" w:rsidP="00101F62">
            <w:pPr>
              <w:pStyle w:val="GOSTTableListMark2"/>
              <w:numPr>
                <w:ilvl w:val="0"/>
                <w:numId w:val="155"/>
              </w:numPr>
              <w:ind w:left="284" w:hanging="227"/>
              <w:rPr>
                <w:szCs w:val="22"/>
              </w:rPr>
            </w:pPr>
            <w:r w:rsidRPr="00264D5D">
              <w:rPr>
                <w:szCs w:val="22"/>
              </w:rPr>
              <w:t>для блока ЭП добавлен маршрут АИФДБ (ФТС, ФНС) – ТОФК (ПУД ЭБ)</w:t>
            </w:r>
          </w:p>
        </w:tc>
      </w:tr>
      <w:tr w:rsidR="00633FEA" w:rsidRPr="00264D5D" w14:paraId="2A6AD11B" w14:textId="77777777" w:rsidTr="00AD1F54">
        <w:trPr>
          <w:cnfStyle w:val="000000100000" w:firstRow="0" w:lastRow="0" w:firstColumn="0" w:lastColumn="0" w:oddVBand="0" w:evenVBand="0" w:oddHBand="1" w:evenHBand="0" w:firstRowFirstColumn="0" w:firstRowLastColumn="0" w:lastRowFirstColumn="0" w:lastRowLastColumn="0"/>
          <w:trHeight w:val="110"/>
        </w:trPr>
        <w:tc>
          <w:tcPr>
            <w:tcW w:w="439" w:type="pct"/>
            <w:vMerge/>
          </w:tcPr>
          <w:p w14:paraId="3F4FD934" w14:textId="77777777" w:rsidR="00633FEA" w:rsidRPr="00264D5D" w:rsidRDefault="00633FEA" w:rsidP="00AF2FB4">
            <w:pPr>
              <w:spacing w:before="60" w:after="60"/>
              <w:rPr>
                <w:sz w:val="22"/>
                <w:szCs w:val="22"/>
              </w:rPr>
            </w:pPr>
          </w:p>
        </w:tc>
        <w:tc>
          <w:tcPr>
            <w:tcW w:w="663" w:type="pct"/>
          </w:tcPr>
          <w:p w14:paraId="754C7408" w14:textId="77777777" w:rsidR="00633FEA" w:rsidRPr="00264D5D" w:rsidRDefault="00633FEA" w:rsidP="00AF2FB4">
            <w:pPr>
              <w:pStyle w:val="GOSTTablenorm"/>
            </w:pPr>
            <w:r w:rsidRPr="00264D5D">
              <w:t>20.05.2024</w:t>
            </w:r>
          </w:p>
        </w:tc>
        <w:tc>
          <w:tcPr>
            <w:tcW w:w="883" w:type="pct"/>
          </w:tcPr>
          <w:p w14:paraId="110C5670" w14:textId="77777777" w:rsidR="00633FEA" w:rsidRPr="00264D5D" w:rsidRDefault="00633FEA" w:rsidP="00AF2FB4">
            <w:pPr>
              <w:pStyle w:val="GOSTTablenorm"/>
            </w:pPr>
            <w:r w:rsidRPr="00264D5D">
              <w:t>Касьян Д.Ю.</w:t>
            </w:r>
          </w:p>
        </w:tc>
        <w:tc>
          <w:tcPr>
            <w:tcW w:w="3015" w:type="pct"/>
          </w:tcPr>
          <w:p w14:paraId="215CC029" w14:textId="77777777" w:rsidR="00633FEA" w:rsidRPr="00264D5D" w:rsidRDefault="00633FEA" w:rsidP="00AF2FB4">
            <w:pPr>
              <w:widowControl w:val="0"/>
              <w:spacing w:before="60" w:after="60"/>
              <w:rPr>
                <w:sz w:val="22"/>
                <w:szCs w:val="22"/>
              </w:rPr>
            </w:pPr>
            <w:r w:rsidRPr="00264D5D">
              <w:rPr>
                <w:sz w:val="22"/>
                <w:szCs w:val="22"/>
              </w:rPr>
              <w:t>Дополнение 4 к Альбому 35.00</w:t>
            </w:r>
          </w:p>
          <w:p w14:paraId="7E44A495" w14:textId="77777777" w:rsidR="00633FEA" w:rsidRPr="00264D5D" w:rsidRDefault="00633FEA" w:rsidP="00AF2FB4">
            <w:pPr>
              <w:pStyle w:val="GOSTTablenorm"/>
              <w:rPr>
                <w:szCs w:val="22"/>
              </w:rPr>
            </w:pPr>
            <w:r w:rsidRPr="00264D5D">
              <w:rPr>
                <w:szCs w:val="22"/>
              </w:rPr>
              <w:t>Скорректировано наименование документа «Заявка на получение наличных денег (ф. 0531802), Заявка для обеспечения наличными денежными средствами в электронном виде». Для документа «Запрос на отзыв распоряжения (запрос на аннулирование)» скорректировано наименование документа «Заявка на получение наличных денег (ф. 0531802), Заявка для обеспечения наличными денежными средствами в электронном виде» в списке отзываемых документов</w:t>
            </w:r>
          </w:p>
        </w:tc>
      </w:tr>
      <w:tr w:rsidR="00633FEA" w:rsidRPr="00264D5D" w14:paraId="247142B2" w14:textId="77777777" w:rsidTr="00AD1F54">
        <w:trPr>
          <w:cnfStyle w:val="000000010000" w:firstRow="0" w:lastRow="0" w:firstColumn="0" w:lastColumn="0" w:oddVBand="0" w:evenVBand="0" w:oddHBand="0" w:evenHBand="1" w:firstRowFirstColumn="0" w:firstRowLastColumn="0" w:lastRowFirstColumn="0" w:lastRowLastColumn="0"/>
          <w:trHeight w:val="110"/>
        </w:trPr>
        <w:tc>
          <w:tcPr>
            <w:tcW w:w="439" w:type="pct"/>
            <w:vMerge/>
          </w:tcPr>
          <w:p w14:paraId="5EE4BEB7" w14:textId="77777777" w:rsidR="00633FEA" w:rsidRPr="00264D5D" w:rsidRDefault="00633FEA" w:rsidP="00AF2FB4">
            <w:pPr>
              <w:spacing w:before="60" w:after="60"/>
              <w:rPr>
                <w:sz w:val="22"/>
                <w:szCs w:val="22"/>
              </w:rPr>
            </w:pPr>
          </w:p>
        </w:tc>
        <w:tc>
          <w:tcPr>
            <w:tcW w:w="663" w:type="pct"/>
          </w:tcPr>
          <w:p w14:paraId="08755E62" w14:textId="77777777" w:rsidR="00633FEA" w:rsidRPr="00264D5D" w:rsidRDefault="00633FEA" w:rsidP="00AF2FB4">
            <w:pPr>
              <w:pStyle w:val="GOSTTablenorm"/>
            </w:pPr>
            <w:r w:rsidRPr="00264D5D">
              <w:t>21.05.2024</w:t>
            </w:r>
          </w:p>
        </w:tc>
        <w:tc>
          <w:tcPr>
            <w:tcW w:w="883" w:type="pct"/>
          </w:tcPr>
          <w:p w14:paraId="19B2784C" w14:textId="77777777" w:rsidR="00633FEA" w:rsidRPr="00264D5D" w:rsidRDefault="00633FEA" w:rsidP="00AF2FB4">
            <w:pPr>
              <w:pStyle w:val="GOSTTablenorm"/>
            </w:pPr>
            <w:r w:rsidRPr="00264D5D">
              <w:t>Коршунова Н.А.</w:t>
            </w:r>
          </w:p>
        </w:tc>
        <w:tc>
          <w:tcPr>
            <w:tcW w:w="3015" w:type="pct"/>
          </w:tcPr>
          <w:p w14:paraId="6EBDB2E7" w14:textId="77777777" w:rsidR="00633FEA" w:rsidRPr="00264D5D" w:rsidRDefault="00633FEA" w:rsidP="00AF2FB4">
            <w:pPr>
              <w:widowControl w:val="0"/>
              <w:spacing w:before="60" w:after="60"/>
              <w:rPr>
                <w:sz w:val="22"/>
                <w:szCs w:val="22"/>
              </w:rPr>
            </w:pPr>
            <w:r w:rsidRPr="00264D5D">
              <w:rPr>
                <w:sz w:val="22"/>
                <w:szCs w:val="22"/>
              </w:rPr>
              <w:t>Дополнение 4 к Альбому 35.00</w:t>
            </w:r>
          </w:p>
          <w:p w14:paraId="7E854A11" w14:textId="77777777" w:rsidR="00633FEA" w:rsidRPr="00264D5D" w:rsidRDefault="00633FEA" w:rsidP="00AF2FB4">
            <w:pPr>
              <w:pStyle w:val="GOSTTablenorm"/>
            </w:pPr>
            <w:r w:rsidRPr="00264D5D">
              <w:t>Для документа «Заявка на получение наличных денег (ф. 0531802), Заявка для обеспечения наличными денежными средствами в электронном виде»:</w:t>
            </w:r>
          </w:p>
          <w:p w14:paraId="5A775BA5" w14:textId="77777777" w:rsidR="00633FEA" w:rsidRPr="00264D5D" w:rsidRDefault="00633FEA" w:rsidP="00101F62">
            <w:pPr>
              <w:pStyle w:val="GOSTTablenorm"/>
              <w:numPr>
                <w:ilvl w:val="0"/>
                <w:numId w:val="157"/>
              </w:numPr>
              <w:spacing w:before="0" w:after="0"/>
              <w:ind w:left="284" w:hanging="227"/>
            </w:pPr>
            <w:r w:rsidRPr="00264D5D">
              <w:t xml:space="preserve">добавлен маршрут НУБП (ПСБ и Росавтодор) – ТОФК, </w:t>
            </w:r>
          </w:p>
          <w:p w14:paraId="3003B151" w14:textId="77777777" w:rsidR="00633FEA" w:rsidRPr="00264D5D" w:rsidRDefault="00633FEA" w:rsidP="00101F62">
            <w:pPr>
              <w:pStyle w:val="GOSTTablenorm"/>
              <w:numPr>
                <w:ilvl w:val="0"/>
                <w:numId w:val="157"/>
              </w:numPr>
              <w:spacing w:before="0" w:after="0"/>
              <w:ind w:left="284" w:hanging="227"/>
            </w:pPr>
            <w:r w:rsidRPr="00264D5D">
              <w:t>уточнено заполнение полей «Код платежного документа», «Тип платежного документа», «Наименование бюджета», «Финансовый орган», «ГРБС», «Наименование клиента», «ТОФК обслуживания счета», «Номер бюджетного обязательства», «Учетный номер ДО», «Уровень конфиденциальности», «Паспорт», «Итоговая сумма», «Отметка ТОФК», «Реквизиты чека», «Источник средств», «Код по БК», «Код цели», «Тип КБК», «Глобальный уникальный идентификатор»,</w:t>
            </w:r>
          </w:p>
          <w:p w14:paraId="18B64B3E" w14:textId="77777777" w:rsidR="00633FEA" w:rsidRPr="00264D5D" w:rsidRDefault="00633FEA" w:rsidP="00101F62">
            <w:pPr>
              <w:pStyle w:val="GOSTTablenorm"/>
              <w:numPr>
                <w:ilvl w:val="0"/>
                <w:numId w:val="157"/>
              </w:numPr>
              <w:spacing w:before="0" w:after="0"/>
              <w:ind w:left="284" w:hanging="227"/>
            </w:pPr>
            <w:r w:rsidRPr="00264D5D">
              <w:t>изменена обязательность поля «ТОФК обслуживания счета», «Итоговая сумма», «Источник средств»</w:t>
            </w:r>
          </w:p>
        </w:tc>
      </w:tr>
      <w:tr w:rsidR="00633FEA" w:rsidRPr="00264D5D" w14:paraId="554E5A0F" w14:textId="77777777" w:rsidTr="00AD1F54">
        <w:trPr>
          <w:cnfStyle w:val="000000100000" w:firstRow="0" w:lastRow="0" w:firstColumn="0" w:lastColumn="0" w:oddVBand="0" w:evenVBand="0" w:oddHBand="1" w:evenHBand="0" w:firstRowFirstColumn="0" w:firstRowLastColumn="0" w:lastRowFirstColumn="0" w:lastRowLastColumn="0"/>
          <w:trHeight w:val="110"/>
        </w:trPr>
        <w:tc>
          <w:tcPr>
            <w:tcW w:w="439" w:type="pct"/>
            <w:vMerge/>
          </w:tcPr>
          <w:p w14:paraId="281870D8" w14:textId="77777777" w:rsidR="00633FEA" w:rsidRPr="00264D5D" w:rsidRDefault="00633FEA" w:rsidP="00AF2FB4">
            <w:pPr>
              <w:spacing w:before="60" w:after="60"/>
              <w:rPr>
                <w:sz w:val="22"/>
                <w:szCs w:val="22"/>
              </w:rPr>
            </w:pPr>
          </w:p>
        </w:tc>
        <w:tc>
          <w:tcPr>
            <w:tcW w:w="663" w:type="pct"/>
          </w:tcPr>
          <w:p w14:paraId="4CADE190" w14:textId="77777777" w:rsidR="00633FEA" w:rsidRPr="00264D5D" w:rsidRDefault="00633FEA" w:rsidP="00AF2FB4">
            <w:pPr>
              <w:pStyle w:val="GOSTTablenorm"/>
            </w:pPr>
            <w:r w:rsidRPr="00264D5D">
              <w:t>23.05.2024</w:t>
            </w:r>
          </w:p>
        </w:tc>
        <w:tc>
          <w:tcPr>
            <w:tcW w:w="883" w:type="pct"/>
          </w:tcPr>
          <w:p w14:paraId="45B33C03" w14:textId="77777777" w:rsidR="00633FEA" w:rsidRPr="00264D5D" w:rsidRDefault="00633FEA" w:rsidP="00AF2FB4">
            <w:pPr>
              <w:pStyle w:val="GOSTTablenorm"/>
            </w:pPr>
            <w:r w:rsidRPr="00264D5D">
              <w:t>Коршунова Н.А.</w:t>
            </w:r>
          </w:p>
        </w:tc>
        <w:tc>
          <w:tcPr>
            <w:tcW w:w="3015" w:type="pct"/>
          </w:tcPr>
          <w:p w14:paraId="08120BBF" w14:textId="77777777" w:rsidR="00633FEA" w:rsidRPr="00264D5D" w:rsidRDefault="00633FEA" w:rsidP="00AF2FB4">
            <w:pPr>
              <w:widowControl w:val="0"/>
              <w:spacing w:before="60" w:after="60"/>
              <w:rPr>
                <w:sz w:val="22"/>
                <w:szCs w:val="22"/>
              </w:rPr>
            </w:pPr>
            <w:r w:rsidRPr="00264D5D">
              <w:rPr>
                <w:sz w:val="22"/>
                <w:szCs w:val="22"/>
              </w:rPr>
              <w:t>Дополнение 4 к Альбому 35.00</w:t>
            </w:r>
          </w:p>
          <w:p w14:paraId="37594AE5" w14:textId="77777777" w:rsidR="00633FEA" w:rsidRPr="00264D5D" w:rsidRDefault="00633FEA" w:rsidP="00AF2FB4">
            <w:pPr>
              <w:pStyle w:val="GOSTTablenorm"/>
            </w:pPr>
            <w:r w:rsidRPr="00264D5D">
              <w:t>Для документа «Заявка на получение наличных денег (ф. 0531802), Заявка для обеспечения наличными денежными средствами в электронном виде»:</w:t>
            </w:r>
          </w:p>
          <w:p w14:paraId="779B08FB" w14:textId="77777777" w:rsidR="00633FEA" w:rsidRPr="00264D5D" w:rsidRDefault="00633FEA" w:rsidP="00101F62">
            <w:pPr>
              <w:pStyle w:val="GOSTTablenorm"/>
              <w:numPr>
                <w:ilvl w:val="0"/>
                <w:numId w:val="157"/>
              </w:numPr>
              <w:spacing w:before="0" w:after="0"/>
              <w:ind w:left="284" w:hanging="227"/>
            </w:pPr>
            <w:r w:rsidRPr="00264D5D">
              <w:t>уточнено заполнение поля ГУИД;</w:t>
            </w:r>
          </w:p>
          <w:p w14:paraId="11B48491" w14:textId="77777777" w:rsidR="00633FEA" w:rsidRPr="00264D5D" w:rsidRDefault="00633FEA" w:rsidP="00101F62">
            <w:pPr>
              <w:pStyle w:val="GOSTTablenorm"/>
              <w:numPr>
                <w:ilvl w:val="0"/>
                <w:numId w:val="157"/>
              </w:numPr>
              <w:spacing w:before="0" w:after="0"/>
              <w:ind w:left="284" w:hanging="227"/>
            </w:pPr>
            <w:r w:rsidRPr="00264D5D">
              <w:t>изменена размерность поля «Код по БК»</w:t>
            </w:r>
          </w:p>
        </w:tc>
      </w:tr>
      <w:tr w:rsidR="00633FEA" w:rsidRPr="00264D5D" w14:paraId="55BC3D60" w14:textId="77777777" w:rsidTr="00AD1F54">
        <w:trPr>
          <w:cnfStyle w:val="000000010000" w:firstRow="0" w:lastRow="0" w:firstColumn="0" w:lastColumn="0" w:oddVBand="0" w:evenVBand="0" w:oddHBand="0" w:evenHBand="1" w:firstRowFirstColumn="0" w:firstRowLastColumn="0" w:lastRowFirstColumn="0" w:lastRowLastColumn="0"/>
          <w:trHeight w:val="110"/>
        </w:trPr>
        <w:tc>
          <w:tcPr>
            <w:tcW w:w="439" w:type="pct"/>
            <w:vMerge/>
          </w:tcPr>
          <w:p w14:paraId="39E1D1CF" w14:textId="77777777" w:rsidR="00633FEA" w:rsidRPr="00264D5D" w:rsidRDefault="00633FEA" w:rsidP="00AF2FB4">
            <w:pPr>
              <w:spacing w:before="60" w:after="60"/>
              <w:rPr>
                <w:sz w:val="22"/>
                <w:szCs w:val="22"/>
              </w:rPr>
            </w:pPr>
          </w:p>
        </w:tc>
        <w:tc>
          <w:tcPr>
            <w:tcW w:w="663" w:type="pct"/>
          </w:tcPr>
          <w:p w14:paraId="273ABC4E" w14:textId="77777777" w:rsidR="00633FEA" w:rsidRPr="00264D5D" w:rsidRDefault="00633FEA" w:rsidP="00AF2FB4">
            <w:pPr>
              <w:pStyle w:val="GOSTTablenorm"/>
            </w:pPr>
            <w:r w:rsidRPr="00264D5D">
              <w:t>24.05.2024</w:t>
            </w:r>
          </w:p>
        </w:tc>
        <w:tc>
          <w:tcPr>
            <w:tcW w:w="883" w:type="pct"/>
          </w:tcPr>
          <w:p w14:paraId="1356C877" w14:textId="77777777" w:rsidR="00633FEA" w:rsidRPr="00264D5D" w:rsidRDefault="00633FEA" w:rsidP="00AF2FB4">
            <w:pPr>
              <w:pStyle w:val="GOSTTablenorm"/>
            </w:pPr>
            <w:r w:rsidRPr="00264D5D">
              <w:t>Коршунова Н.А.</w:t>
            </w:r>
          </w:p>
        </w:tc>
        <w:tc>
          <w:tcPr>
            <w:tcW w:w="3015" w:type="pct"/>
          </w:tcPr>
          <w:p w14:paraId="035545B1" w14:textId="77777777" w:rsidR="00633FEA" w:rsidRPr="00264D5D" w:rsidRDefault="00633FEA" w:rsidP="00AF2FB4">
            <w:pPr>
              <w:widowControl w:val="0"/>
              <w:spacing w:before="60" w:after="60"/>
              <w:rPr>
                <w:sz w:val="22"/>
                <w:szCs w:val="22"/>
              </w:rPr>
            </w:pPr>
            <w:r w:rsidRPr="00264D5D">
              <w:rPr>
                <w:sz w:val="22"/>
                <w:szCs w:val="22"/>
              </w:rPr>
              <w:t>Дополнение 4 к Альбому 35.00</w:t>
            </w:r>
          </w:p>
          <w:p w14:paraId="795F3D36" w14:textId="77777777" w:rsidR="00633FEA" w:rsidRPr="00264D5D" w:rsidRDefault="00633FEA" w:rsidP="00AF2FB4">
            <w:pPr>
              <w:pStyle w:val="GOSTTablenorm"/>
            </w:pPr>
            <w:r w:rsidRPr="00264D5D">
              <w:t>Для документа «Запрос на отзыв распоряжения (запрос на аннулирование)» уточнено заполнение поля «Код» блока «Тип аннулируемого документа»</w:t>
            </w:r>
          </w:p>
        </w:tc>
      </w:tr>
      <w:tr w:rsidR="00633FEA" w:rsidRPr="00264D5D" w14:paraId="3891704E" w14:textId="77777777" w:rsidTr="00AD1F54">
        <w:trPr>
          <w:cnfStyle w:val="000000100000" w:firstRow="0" w:lastRow="0" w:firstColumn="0" w:lastColumn="0" w:oddVBand="0" w:evenVBand="0" w:oddHBand="1" w:evenHBand="0" w:firstRowFirstColumn="0" w:firstRowLastColumn="0" w:lastRowFirstColumn="0" w:lastRowLastColumn="0"/>
          <w:trHeight w:val="110"/>
        </w:trPr>
        <w:tc>
          <w:tcPr>
            <w:tcW w:w="439" w:type="pct"/>
            <w:vMerge/>
          </w:tcPr>
          <w:p w14:paraId="318B66EA" w14:textId="77777777" w:rsidR="00633FEA" w:rsidRPr="00264D5D" w:rsidRDefault="00633FEA" w:rsidP="00D71925">
            <w:pPr>
              <w:spacing w:before="60" w:after="60"/>
              <w:rPr>
                <w:sz w:val="22"/>
                <w:szCs w:val="22"/>
              </w:rPr>
            </w:pPr>
          </w:p>
        </w:tc>
        <w:tc>
          <w:tcPr>
            <w:tcW w:w="663" w:type="pct"/>
          </w:tcPr>
          <w:p w14:paraId="4BF7ED15" w14:textId="77777777" w:rsidR="00633FEA" w:rsidRPr="00264D5D" w:rsidRDefault="00633FEA" w:rsidP="00D71925">
            <w:pPr>
              <w:pStyle w:val="GOSTTablenorm"/>
            </w:pPr>
            <w:r w:rsidRPr="00264D5D">
              <w:t>24.05.2024</w:t>
            </w:r>
          </w:p>
        </w:tc>
        <w:tc>
          <w:tcPr>
            <w:tcW w:w="883" w:type="pct"/>
          </w:tcPr>
          <w:p w14:paraId="014F22D0" w14:textId="77777777" w:rsidR="00633FEA" w:rsidRPr="00264D5D" w:rsidRDefault="00633FEA" w:rsidP="00D71925">
            <w:pPr>
              <w:pStyle w:val="GOSTTablenorm"/>
            </w:pPr>
            <w:r w:rsidRPr="00264D5D">
              <w:t>Коршунова Н.А.</w:t>
            </w:r>
          </w:p>
        </w:tc>
        <w:tc>
          <w:tcPr>
            <w:tcW w:w="3015" w:type="pct"/>
          </w:tcPr>
          <w:p w14:paraId="53F7336B" w14:textId="77777777" w:rsidR="00633FEA" w:rsidRPr="00264D5D" w:rsidRDefault="00633FEA" w:rsidP="00D71925">
            <w:pPr>
              <w:widowControl w:val="0"/>
              <w:spacing w:before="60" w:after="60"/>
              <w:rPr>
                <w:sz w:val="22"/>
                <w:szCs w:val="22"/>
              </w:rPr>
            </w:pPr>
            <w:r w:rsidRPr="00264D5D">
              <w:rPr>
                <w:sz w:val="22"/>
                <w:szCs w:val="22"/>
              </w:rPr>
              <w:t>Дополнение 4 к Альбому 35.00</w:t>
            </w:r>
          </w:p>
          <w:p w14:paraId="4D7C7001" w14:textId="77777777" w:rsidR="00633FEA" w:rsidRPr="00264D5D" w:rsidRDefault="00633FEA" w:rsidP="00D71925">
            <w:pPr>
              <w:pStyle w:val="GOSTTablenorm"/>
            </w:pPr>
            <w:r w:rsidRPr="00264D5D">
              <w:t>Внесены изменения в документ «Расшифровка сумм неиспользованных средств (ф.0531251), Заявка о внесении наличных денежных средств»:</w:t>
            </w:r>
          </w:p>
          <w:p w14:paraId="39E1BD64" w14:textId="77777777" w:rsidR="00633FEA" w:rsidRPr="00264D5D" w:rsidRDefault="00633FEA" w:rsidP="00101F62">
            <w:pPr>
              <w:pStyle w:val="GOSTTablenorm"/>
              <w:numPr>
                <w:ilvl w:val="0"/>
                <w:numId w:val="157"/>
              </w:numPr>
              <w:spacing w:before="0" w:after="0"/>
              <w:ind w:left="284" w:hanging="227"/>
            </w:pPr>
            <w:r w:rsidRPr="00264D5D">
              <w:t>добавлен маршрут НУБП (ПСБ и Росавтодор) – ТОФК;</w:t>
            </w:r>
          </w:p>
          <w:p w14:paraId="242B75CE" w14:textId="77777777" w:rsidR="00633FEA" w:rsidRPr="00264D5D" w:rsidRDefault="00633FEA" w:rsidP="00101F62">
            <w:pPr>
              <w:pStyle w:val="GOSTTablenorm"/>
              <w:numPr>
                <w:ilvl w:val="0"/>
                <w:numId w:val="157"/>
              </w:numPr>
              <w:spacing w:before="0" w:after="0"/>
              <w:ind w:left="284" w:hanging="227"/>
            </w:pPr>
            <w:r w:rsidRPr="00264D5D">
              <w:t>уточнено заполнение полей «Код платежного документа», «Вид операции», «ТОФК», «Учетный номер обязательства», «Уровень конфиденциальности», «Код по БК», «Код цели (аналитический код)», «Тип КБК», «Порядковый номер», «Код вида средств»;</w:t>
            </w:r>
          </w:p>
          <w:p w14:paraId="32531676" w14:textId="77777777" w:rsidR="00633FEA" w:rsidRPr="00264D5D" w:rsidRDefault="00633FEA" w:rsidP="00101F62">
            <w:pPr>
              <w:pStyle w:val="GOSTTablenorm"/>
              <w:numPr>
                <w:ilvl w:val="0"/>
                <w:numId w:val="157"/>
              </w:numPr>
              <w:spacing w:before="0" w:after="0"/>
              <w:ind w:left="284" w:hanging="227"/>
            </w:pPr>
            <w:r w:rsidRPr="00264D5D">
              <w:t>изменена обязательность полей «ТОФК», «Код вида средств»</w:t>
            </w:r>
          </w:p>
        </w:tc>
      </w:tr>
      <w:tr w:rsidR="00633FEA" w:rsidRPr="00264D5D" w14:paraId="548F3BA1" w14:textId="77777777" w:rsidTr="00AD1F54">
        <w:trPr>
          <w:cnfStyle w:val="000000010000" w:firstRow="0" w:lastRow="0" w:firstColumn="0" w:lastColumn="0" w:oddVBand="0" w:evenVBand="0" w:oddHBand="0" w:evenHBand="1" w:firstRowFirstColumn="0" w:firstRowLastColumn="0" w:lastRowFirstColumn="0" w:lastRowLastColumn="0"/>
          <w:trHeight w:val="110"/>
        </w:trPr>
        <w:tc>
          <w:tcPr>
            <w:tcW w:w="439" w:type="pct"/>
            <w:vMerge/>
          </w:tcPr>
          <w:p w14:paraId="3E8E2618" w14:textId="77777777" w:rsidR="00633FEA" w:rsidRPr="00264D5D" w:rsidRDefault="00633FEA" w:rsidP="00D71925">
            <w:pPr>
              <w:spacing w:before="60" w:after="60"/>
              <w:rPr>
                <w:sz w:val="22"/>
                <w:szCs w:val="22"/>
              </w:rPr>
            </w:pPr>
          </w:p>
        </w:tc>
        <w:tc>
          <w:tcPr>
            <w:tcW w:w="663" w:type="pct"/>
          </w:tcPr>
          <w:p w14:paraId="6E5844AD" w14:textId="77777777" w:rsidR="00633FEA" w:rsidRPr="00264D5D" w:rsidRDefault="00633FEA" w:rsidP="00D71925">
            <w:pPr>
              <w:pStyle w:val="GOSTTablenorm"/>
            </w:pPr>
            <w:r w:rsidRPr="00264D5D">
              <w:t>29.05.2024</w:t>
            </w:r>
          </w:p>
        </w:tc>
        <w:tc>
          <w:tcPr>
            <w:tcW w:w="883" w:type="pct"/>
          </w:tcPr>
          <w:p w14:paraId="4B4F9882" w14:textId="77777777" w:rsidR="00633FEA" w:rsidRPr="00264D5D" w:rsidRDefault="00633FEA" w:rsidP="00D71925">
            <w:pPr>
              <w:pStyle w:val="GOSTTablenorm"/>
            </w:pPr>
            <w:r w:rsidRPr="00264D5D">
              <w:t>Коршунова Н.А.</w:t>
            </w:r>
          </w:p>
        </w:tc>
        <w:tc>
          <w:tcPr>
            <w:tcW w:w="3015" w:type="pct"/>
          </w:tcPr>
          <w:p w14:paraId="479A9036" w14:textId="77777777" w:rsidR="00633FEA" w:rsidRPr="00264D5D" w:rsidRDefault="00633FEA" w:rsidP="00D71925">
            <w:pPr>
              <w:widowControl w:val="0"/>
              <w:spacing w:before="60" w:after="60"/>
              <w:rPr>
                <w:sz w:val="22"/>
                <w:szCs w:val="22"/>
              </w:rPr>
            </w:pPr>
            <w:r w:rsidRPr="00264D5D">
              <w:rPr>
                <w:sz w:val="22"/>
                <w:szCs w:val="22"/>
              </w:rPr>
              <w:t>Дополнение 4 к Альбому 35.00</w:t>
            </w:r>
          </w:p>
          <w:p w14:paraId="0F9B516B" w14:textId="77777777" w:rsidR="00633FEA" w:rsidRPr="00264D5D" w:rsidRDefault="00633FEA" w:rsidP="00D71925">
            <w:pPr>
              <w:pStyle w:val="GOSTTablenorm"/>
            </w:pPr>
            <w:r w:rsidRPr="00264D5D">
              <w:t>Для документа «Расшифровка сумм неиспользованных средств (ф.0531251), Заявка о внесении наличных денежных средств» добавлено примечание в маршрут НУБП (ПСБ и Росавтодор) - ТОФК</w:t>
            </w:r>
          </w:p>
        </w:tc>
      </w:tr>
      <w:tr w:rsidR="00633FEA" w:rsidRPr="00264D5D" w14:paraId="766A879F" w14:textId="77777777" w:rsidTr="00AD1F54">
        <w:trPr>
          <w:cnfStyle w:val="000000100000" w:firstRow="0" w:lastRow="0" w:firstColumn="0" w:lastColumn="0" w:oddVBand="0" w:evenVBand="0" w:oddHBand="1" w:evenHBand="0" w:firstRowFirstColumn="0" w:firstRowLastColumn="0" w:lastRowFirstColumn="0" w:lastRowLastColumn="0"/>
          <w:trHeight w:val="110"/>
        </w:trPr>
        <w:tc>
          <w:tcPr>
            <w:tcW w:w="439" w:type="pct"/>
            <w:vMerge/>
          </w:tcPr>
          <w:p w14:paraId="15EF6D74" w14:textId="77777777" w:rsidR="00633FEA" w:rsidRPr="00264D5D" w:rsidRDefault="00633FEA" w:rsidP="00D71925">
            <w:pPr>
              <w:spacing w:before="60" w:after="60"/>
              <w:rPr>
                <w:sz w:val="22"/>
                <w:szCs w:val="22"/>
              </w:rPr>
            </w:pPr>
          </w:p>
        </w:tc>
        <w:tc>
          <w:tcPr>
            <w:tcW w:w="663" w:type="pct"/>
          </w:tcPr>
          <w:p w14:paraId="1D46A614" w14:textId="77777777" w:rsidR="00633FEA" w:rsidRPr="00264D5D" w:rsidRDefault="00633FEA" w:rsidP="00D71925">
            <w:pPr>
              <w:pStyle w:val="GOSTTablenorm"/>
            </w:pPr>
            <w:r w:rsidRPr="00264D5D">
              <w:t>30.05.2024</w:t>
            </w:r>
          </w:p>
        </w:tc>
        <w:tc>
          <w:tcPr>
            <w:tcW w:w="883" w:type="pct"/>
          </w:tcPr>
          <w:p w14:paraId="3A5E03D0" w14:textId="77777777" w:rsidR="00633FEA" w:rsidRPr="00264D5D" w:rsidRDefault="00633FEA" w:rsidP="00D71925">
            <w:pPr>
              <w:pStyle w:val="GOSTTablenorm"/>
            </w:pPr>
            <w:r w:rsidRPr="00264D5D">
              <w:t>Сатлер М.В.</w:t>
            </w:r>
          </w:p>
        </w:tc>
        <w:tc>
          <w:tcPr>
            <w:tcW w:w="3015" w:type="pct"/>
          </w:tcPr>
          <w:p w14:paraId="43C52565" w14:textId="77777777" w:rsidR="00633FEA" w:rsidRPr="00264D5D" w:rsidRDefault="00633FEA" w:rsidP="00D71925">
            <w:pPr>
              <w:widowControl w:val="0"/>
              <w:spacing w:before="60" w:after="60"/>
              <w:rPr>
                <w:sz w:val="22"/>
                <w:szCs w:val="22"/>
              </w:rPr>
            </w:pPr>
            <w:r w:rsidRPr="00264D5D">
              <w:rPr>
                <w:sz w:val="22"/>
                <w:szCs w:val="22"/>
              </w:rPr>
              <w:t>Дополнение 4 к Альбому 35.00</w:t>
            </w:r>
          </w:p>
          <w:p w14:paraId="7D385D91" w14:textId="77777777" w:rsidR="00633FEA" w:rsidRPr="00264D5D" w:rsidRDefault="00633FEA" w:rsidP="00D71925">
            <w:pPr>
              <w:pStyle w:val="GOSTTablenorm"/>
            </w:pPr>
            <w:r w:rsidRPr="00264D5D">
              <w:t>Для документа «Заявка на получение наличных денег (ф. 0531802), Заявка для обеспечения наличными денежными средствами в электронном виде» уточнено заполнение полей: «Код платежного документа», «Наименование бюджета», «Финансовый орган», «ГРБС», «Номер бюджетного обязательства», «Код объекта по ФАИП (КМИ)», «Учетный номер ДО», «Уровень конфиденциальности», «Код по БК», «Тип КБК», в части взаимодействия по маршруту ТОФК (Компонент КС ПУР ЭБ) – ТОФК (ППО АСФК)</w:t>
            </w:r>
          </w:p>
        </w:tc>
      </w:tr>
      <w:tr w:rsidR="00633FEA" w:rsidRPr="00264D5D" w14:paraId="73A6AB6B" w14:textId="77777777" w:rsidTr="00AD1F54">
        <w:trPr>
          <w:cnfStyle w:val="000000010000" w:firstRow="0" w:lastRow="0" w:firstColumn="0" w:lastColumn="0" w:oddVBand="0" w:evenVBand="0" w:oddHBand="0" w:evenHBand="1" w:firstRowFirstColumn="0" w:firstRowLastColumn="0" w:lastRowFirstColumn="0" w:lastRowLastColumn="0"/>
          <w:trHeight w:val="110"/>
        </w:trPr>
        <w:tc>
          <w:tcPr>
            <w:tcW w:w="439" w:type="pct"/>
            <w:vMerge/>
          </w:tcPr>
          <w:p w14:paraId="6FE1DA04" w14:textId="77777777" w:rsidR="00633FEA" w:rsidRPr="00264D5D" w:rsidRDefault="00633FEA" w:rsidP="00D71925">
            <w:pPr>
              <w:spacing w:before="60" w:after="60"/>
              <w:rPr>
                <w:sz w:val="22"/>
                <w:szCs w:val="22"/>
              </w:rPr>
            </w:pPr>
          </w:p>
        </w:tc>
        <w:tc>
          <w:tcPr>
            <w:tcW w:w="663" w:type="pct"/>
          </w:tcPr>
          <w:p w14:paraId="4675C403" w14:textId="77777777" w:rsidR="00633FEA" w:rsidRPr="00264D5D" w:rsidRDefault="00633FEA" w:rsidP="00D71925">
            <w:pPr>
              <w:pStyle w:val="GOSTTablenorm"/>
              <w:rPr>
                <w:lang w:val="en-US"/>
              </w:rPr>
            </w:pPr>
            <w:r w:rsidRPr="00264D5D">
              <w:rPr>
                <w:lang w:val="en-US"/>
              </w:rPr>
              <w:t>05.06.2024</w:t>
            </w:r>
          </w:p>
        </w:tc>
        <w:tc>
          <w:tcPr>
            <w:tcW w:w="883" w:type="pct"/>
          </w:tcPr>
          <w:p w14:paraId="2EED8AF8" w14:textId="77777777" w:rsidR="00633FEA" w:rsidRPr="00264D5D" w:rsidRDefault="00633FEA" w:rsidP="00D71925">
            <w:pPr>
              <w:pStyle w:val="GOSTTablenorm"/>
            </w:pPr>
            <w:r w:rsidRPr="00264D5D">
              <w:t>Сатлер М.В.</w:t>
            </w:r>
          </w:p>
        </w:tc>
        <w:tc>
          <w:tcPr>
            <w:tcW w:w="3015" w:type="pct"/>
          </w:tcPr>
          <w:p w14:paraId="69F92ACD" w14:textId="77777777" w:rsidR="00633FEA" w:rsidRPr="00264D5D" w:rsidRDefault="00633FEA" w:rsidP="00D71925">
            <w:pPr>
              <w:widowControl w:val="0"/>
              <w:spacing w:before="60" w:after="60"/>
              <w:rPr>
                <w:sz w:val="22"/>
                <w:szCs w:val="22"/>
              </w:rPr>
            </w:pPr>
            <w:r w:rsidRPr="00264D5D">
              <w:rPr>
                <w:sz w:val="22"/>
                <w:szCs w:val="22"/>
              </w:rPr>
              <w:t>Дополнение 3 к Альбому 35.00</w:t>
            </w:r>
          </w:p>
          <w:p w14:paraId="16EBEB18" w14:textId="77777777" w:rsidR="00633FEA" w:rsidRPr="00264D5D" w:rsidRDefault="00633FEA" w:rsidP="00D71925">
            <w:pPr>
              <w:pStyle w:val="GOSTTablenorm"/>
            </w:pPr>
            <w:r w:rsidRPr="00264D5D">
              <w:t>Для документа «Расшифровка сумм неиспользованных средств (ф.0531251), Заявка о внесении наличных денежных средств» изменена размерность поля «Наименование организации-вносителя» (TtlPrt_Contributor_ORGNAME)</w:t>
            </w:r>
          </w:p>
        </w:tc>
      </w:tr>
      <w:tr w:rsidR="00633FEA" w:rsidRPr="00264D5D" w14:paraId="230B77F6" w14:textId="77777777" w:rsidTr="00AD1F54">
        <w:trPr>
          <w:cnfStyle w:val="000000100000" w:firstRow="0" w:lastRow="0" w:firstColumn="0" w:lastColumn="0" w:oddVBand="0" w:evenVBand="0" w:oddHBand="1" w:evenHBand="0" w:firstRowFirstColumn="0" w:firstRowLastColumn="0" w:lastRowFirstColumn="0" w:lastRowLastColumn="0"/>
          <w:trHeight w:val="110"/>
        </w:trPr>
        <w:tc>
          <w:tcPr>
            <w:tcW w:w="439" w:type="pct"/>
            <w:vMerge/>
          </w:tcPr>
          <w:p w14:paraId="5C0B0E72" w14:textId="77777777" w:rsidR="00633FEA" w:rsidRPr="00264D5D" w:rsidRDefault="00633FEA" w:rsidP="00D71925">
            <w:pPr>
              <w:spacing w:before="60" w:after="60"/>
              <w:rPr>
                <w:sz w:val="22"/>
                <w:szCs w:val="22"/>
              </w:rPr>
            </w:pPr>
          </w:p>
        </w:tc>
        <w:tc>
          <w:tcPr>
            <w:tcW w:w="663" w:type="pct"/>
          </w:tcPr>
          <w:p w14:paraId="2F361EE1" w14:textId="77777777" w:rsidR="00633FEA" w:rsidRPr="00264D5D" w:rsidRDefault="00633FEA" w:rsidP="00D71925">
            <w:pPr>
              <w:pStyle w:val="GOSTTablenorm"/>
            </w:pPr>
            <w:r w:rsidRPr="00264D5D">
              <w:t>13.06.2024</w:t>
            </w:r>
          </w:p>
        </w:tc>
        <w:tc>
          <w:tcPr>
            <w:tcW w:w="883" w:type="pct"/>
          </w:tcPr>
          <w:p w14:paraId="4A4B740E" w14:textId="77777777" w:rsidR="00633FEA" w:rsidRPr="00264D5D" w:rsidRDefault="00633FEA" w:rsidP="00D71925">
            <w:pPr>
              <w:pStyle w:val="GOSTTablenorm"/>
            </w:pPr>
            <w:r w:rsidRPr="00264D5D">
              <w:t>Касьян Д.Ю</w:t>
            </w:r>
          </w:p>
        </w:tc>
        <w:tc>
          <w:tcPr>
            <w:tcW w:w="3015" w:type="pct"/>
          </w:tcPr>
          <w:p w14:paraId="4BB02084" w14:textId="77777777" w:rsidR="00633FEA" w:rsidRPr="00264D5D" w:rsidRDefault="00633FEA" w:rsidP="00D71925">
            <w:pPr>
              <w:widowControl w:val="0"/>
              <w:spacing w:before="60" w:after="60"/>
              <w:rPr>
                <w:sz w:val="22"/>
                <w:szCs w:val="22"/>
              </w:rPr>
            </w:pPr>
            <w:r w:rsidRPr="00264D5D">
              <w:rPr>
                <w:sz w:val="22"/>
                <w:szCs w:val="22"/>
              </w:rPr>
              <w:t>Дополнение 3 к Альбому 35.00</w:t>
            </w:r>
          </w:p>
          <w:p w14:paraId="3EDC4337" w14:textId="77777777" w:rsidR="00633FEA" w:rsidRPr="00264D5D" w:rsidRDefault="00633FEA" w:rsidP="00D71925">
            <w:pPr>
              <w:pStyle w:val="GOSTTablenorm"/>
            </w:pPr>
            <w:r w:rsidRPr="00264D5D">
              <w:t>Для документа «Ответ на запрос (уведомление) по ЭПС участника» скорректирована дополнительная информация поля «Уникальный идентификатор составителя исходного ЭД», поле «Запрос» (RowRequest_D34) переименовано в «Список уточняемых реквизитов»</w:t>
            </w:r>
          </w:p>
        </w:tc>
      </w:tr>
      <w:tr w:rsidR="00633FEA" w:rsidRPr="00264D5D" w14:paraId="2F0429FB" w14:textId="77777777" w:rsidTr="00AD1F54">
        <w:trPr>
          <w:cnfStyle w:val="000000010000" w:firstRow="0" w:lastRow="0" w:firstColumn="0" w:lastColumn="0" w:oddVBand="0" w:evenVBand="0" w:oddHBand="0" w:evenHBand="1" w:firstRowFirstColumn="0" w:firstRowLastColumn="0" w:lastRowFirstColumn="0" w:lastRowLastColumn="0"/>
          <w:trHeight w:val="110"/>
        </w:trPr>
        <w:tc>
          <w:tcPr>
            <w:tcW w:w="439" w:type="pct"/>
            <w:vMerge/>
          </w:tcPr>
          <w:p w14:paraId="0A05F030" w14:textId="77777777" w:rsidR="00633FEA" w:rsidRPr="00264D5D" w:rsidRDefault="00633FEA" w:rsidP="00D71925">
            <w:pPr>
              <w:spacing w:before="60" w:after="60"/>
              <w:rPr>
                <w:sz w:val="22"/>
                <w:szCs w:val="22"/>
              </w:rPr>
            </w:pPr>
          </w:p>
        </w:tc>
        <w:tc>
          <w:tcPr>
            <w:tcW w:w="663" w:type="pct"/>
          </w:tcPr>
          <w:p w14:paraId="20DC106B" w14:textId="77777777" w:rsidR="00633FEA" w:rsidRPr="00264D5D" w:rsidRDefault="00633FEA" w:rsidP="00D71925">
            <w:pPr>
              <w:pStyle w:val="GOSTTablenorm"/>
            </w:pPr>
            <w:r w:rsidRPr="00264D5D">
              <w:rPr>
                <w:lang w:val="en-US"/>
              </w:rPr>
              <w:t>19</w:t>
            </w:r>
            <w:r w:rsidRPr="00264D5D">
              <w:t>.06.2024</w:t>
            </w:r>
          </w:p>
        </w:tc>
        <w:tc>
          <w:tcPr>
            <w:tcW w:w="883" w:type="pct"/>
          </w:tcPr>
          <w:p w14:paraId="356EAE71" w14:textId="77777777" w:rsidR="00633FEA" w:rsidRPr="00264D5D" w:rsidRDefault="00633FEA" w:rsidP="00D71925">
            <w:pPr>
              <w:pStyle w:val="GOSTTablenorm"/>
            </w:pPr>
            <w:r w:rsidRPr="00264D5D">
              <w:t>Гилязова Е.В.</w:t>
            </w:r>
          </w:p>
        </w:tc>
        <w:tc>
          <w:tcPr>
            <w:tcW w:w="3015" w:type="pct"/>
          </w:tcPr>
          <w:p w14:paraId="7226E928" w14:textId="77777777" w:rsidR="00633FEA" w:rsidRPr="00264D5D" w:rsidRDefault="00633FEA" w:rsidP="00D71925">
            <w:pPr>
              <w:widowControl w:val="0"/>
              <w:spacing w:before="60" w:after="60"/>
              <w:rPr>
                <w:sz w:val="22"/>
                <w:szCs w:val="22"/>
              </w:rPr>
            </w:pPr>
            <w:r w:rsidRPr="00264D5D">
              <w:rPr>
                <w:sz w:val="22"/>
                <w:szCs w:val="22"/>
              </w:rPr>
              <w:t>Дополнение 3 к Альбому 35.00</w:t>
            </w:r>
          </w:p>
          <w:p w14:paraId="59CBA801" w14:textId="77777777" w:rsidR="00633FEA" w:rsidRPr="00264D5D" w:rsidRDefault="00633FEA" w:rsidP="00D71925">
            <w:pPr>
              <w:pStyle w:val="GOSTTablenorm"/>
            </w:pPr>
            <w:r w:rsidRPr="00264D5D">
              <w:t>В таблице 2 для документов изменены маркеры:</w:t>
            </w:r>
          </w:p>
          <w:p w14:paraId="74F90D98" w14:textId="77777777" w:rsidR="00633FEA" w:rsidRPr="00264D5D" w:rsidRDefault="00633FEA" w:rsidP="00D71925">
            <w:pPr>
              <w:pStyle w:val="af5"/>
              <w:widowControl w:val="0"/>
              <w:numPr>
                <w:ilvl w:val="0"/>
                <w:numId w:val="98"/>
              </w:numPr>
              <w:spacing w:before="60" w:after="60"/>
              <w:ind w:left="284" w:hanging="227"/>
              <w:jc w:val="both"/>
              <w:rPr>
                <w:sz w:val="22"/>
                <w:szCs w:val="22"/>
              </w:rPr>
            </w:pPr>
            <w:r w:rsidRPr="00264D5D">
              <w:rPr>
                <w:sz w:val="22"/>
                <w:szCs w:val="22"/>
              </w:rPr>
              <w:t>Распоряжение налогового органа (зачет) с «AK» на «UZ»;</w:t>
            </w:r>
          </w:p>
          <w:p w14:paraId="118B7B41" w14:textId="77777777" w:rsidR="00633FEA" w:rsidRPr="00264D5D" w:rsidRDefault="00633FEA" w:rsidP="00D71925">
            <w:pPr>
              <w:pStyle w:val="af5"/>
              <w:widowControl w:val="0"/>
              <w:numPr>
                <w:ilvl w:val="0"/>
                <w:numId w:val="98"/>
              </w:numPr>
              <w:spacing w:before="60" w:after="60"/>
              <w:ind w:left="284" w:hanging="227"/>
              <w:jc w:val="both"/>
            </w:pPr>
            <w:r w:rsidRPr="00264D5D">
              <w:rPr>
                <w:sz w:val="22"/>
                <w:szCs w:val="22"/>
              </w:rPr>
              <w:t>Распоряжение налогового органа (уточнение) c «AL» на «UN</w:t>
            </w:r>
          </w:p>
        </w:tc>
      </w:tr>
      <w:tr w:rsidR="00633FEA" w:rsidRPr="00264D5D" w14:paraId="13F2EEE2" w14:textId="77777777" w:rsidTr="00AD1F54">
        <w:trPr>
          <w:cnfStyle w:val="000000100000" w:firstRow="0" w:lastRow="0" w:firstColumn="0" w:lastColumn="0" w:oddVBand="0" w:evenVBand="0" w:oddHBand="1" w:evenHBand="0" w:firstRowFirstColumn="0" w:firstRowLastColumn="0" w:lastRowFirstColumn="0" w:lastRowLastColumn="0"/>
          <w:trHeight w:val="110"/>
        </w:trPr>
        <w:tc>
          <w:tcPr>
            <w:tcW w:w="439" w:type="pct"/>
            <w:vMerge/>
          </w:tcPr>
          <w:p w14:paraId="4DCB52F5" w14:textId="77777777" w:rsidR="00633FEA" w:rsidRPr="00264D5D" w:rsidRDefault="00633FEA" w:rsidP="00D71925">
            <w:pPr>
              <w:spacing w:before="60" w:after="60"/>
              <w:rPr>
                <w:sz w:val="22"/>
                <w:szCs w:val="22"/>
              </w:rPr>
            </w:pPr>
          </w:p>
        </w:tc>
        <w:tc>
          <w:tcPr>
            <w:tcW w:w="663" w:type="pct"/>
          </w:tcPr>
          <w:p w14:paraId="0C3A5381" w14:textId="77777777" w:rsidR="00633FEA" w:rsidRPr="00264D5D" w:rsidRDefault="00633FEA" w:rsidP="00D71925">
            <w:pPr>
              <w:pStyle w:val="GOSTTablenorm"/>
              <w:rPr>
                <w:szCs w:val="22"/>
              </w:rPr>
            </w:pPr>
            <w:r w:rsidRPr="00264D5D">
              <w:rPr>
                <w:szCs w:val="22"/>
              </w:rPr>
              <w:t>20.06.2024</w:t>
            </w:r>
          </w:p>
        </w:tc>
        <w:tc>
          <w:tcPr>
            <w:tcW w:w="883" w:type="pct"/>
          </w:tcPr>
          <w:p w14:paraId="34A22ED1" w14:textId="77777777" w:rsidR="00633FEA" w:rsidRPr="00264D5D" w:rsidRDefault="00633FEA" w:rsidP="00D71925">
            <w:pPr>
              <w:pStyle w:val="GOSTTablenorm"/>
              <w:rPr>
                <w:szCs w:val="22"/>
              </w:rPr>
            </w:pPr>
            <w:r w:rsidRPr="00264D5D">
              <w:rPr>
                <w:szCs w:val="22"/>
              </w:rPr>
              <w:t>Гилязова Е.В.</w:t>
            </w:r>
          </w:p>
        </w:tc>
        <w:tc>
          <w:tcPr>
            <w:tcW w:w="3015" w:type="pct"/>
          </w:tcPr>
          <w:p w14:paraId="4CEACF2F" w14:textId="77777777" w:rsidR="00633FEA" w:rsidRPr="00264D5D" w:rsidRDefault="00633FEA" w:rsidP="00D71925">
            <w:pPr>
              <w:widowControl w:val="0"/>
              <w:spacing w:before="60" w:after="60"/>
              <w:rPr>
                <w:sz w:val="22"/>
                <w:szCs w:val="22"/>
              </w:rPr>
            </w:pPr>
            <w:r w:rsidRPr="00264D5D">
              <w:rPr>
                <w:sz w:val="22"/>
                <w:szCs w:val="22"/>
              </w:rPr>
              <w:t>Дополнение 3 к Альбому 35.00</w:t>
            </w:r>
          </w:p>
          <w:p w14:paraId="671B0DF2" w14:textId="77777777" w:rsidR="00633FEA" w:rsidRPr="00264D5D" w:rsidRDefault="00633FEA" w:rsidP="00D71925">
            <w:pPr>
              <w:pStyle w:val="GOSTTablenorm"/>
            </w:pPr>
            <w:r w:rsidRPr="00264D5D">
              <w:rPr>
                <w:rFonts w:eastAsia="Calibri"/>
              </w:rPr>
              <w:t xml:space="preserve">Для документа «Ответ на запрос (уведомление) по ЭПС участника» добавлены машруты АДБ, АИФДБ </w:t>
            </w:r>
            <w:r w:rsidRPr="00264D5D">
              <w:t xml:space="preserve">(ФНС, ФТС) </w:t>
            </w:r>
            <w:r w:rsidRPr="00264D5D">
              <w:rPr>
                <w:rFonts w:eastAsia="Calibri"/>
              </w:rPr>
              <w:t xml:space="preserve">– ТОФК (ПУД ЭБ), ТОФК (ПУД ЭБ) – АДБ, АИФДБ </w:t>
            </w:r>
            <w:r w:rsidRPr="00264D5D">
              <w:t>(ФНС, ФТС)</w:t>
            </w:r>
            <w:r w:rsidRPr="00264D5D">
              <w:rPr>
                <w:rFonts w:eastAsia="Calibri"/>
              </w:rPr>
              <w:t xml:space="preserve"> </w:t>
            </w:r>
          </w:p>
        </w:tc>
      </w:tr>
      <w:tr w:rsidR="00633FEA" w:rsidRPr="00264D5D" w14:paraId="77F2569B" w14:textId="77777777" w:rsidTr="00AD1F54">
        <w:trPr>
          <w:cnfStyle w:val="000000010000" w:firstRow="0" w:lastRow="0" w:firstColumn="0" w:lastColumn="0" w:oddVBand="0" w:evenVBand="0" w:oddHBand="0" w:evenHBand="1" w:firstRowFirstColumn="0" w:firstRowLastColumn="0" w:lastRowFirstColumn="0" w:lastRowLastColumn="0"/>
          <w:trHeight w:val="110"/>
        </w:trPr>
        <w:tc>
          <w:tcPr>
            <w:tcW w:w="439" w:type="pct"/>
            <w:vMerge/>
          </w:tcPr>
          <w:p w14:paraId="69C31224" w14:textId="77777777" w:rsidR="00633FEA" w:rsidRPr="00264D5D" w:rsidRDefault="00633FEA" w:rsidP="00D71925">
            <w:pPr>
              <w:spacing w:before="60" w:after="60"/>
              <w:rPr>
                <w:sz w:val="22"/>
                <w:szCs w:val="22"/>
              </w:rPr>
            </w:pPr>
          </w:p>
        </w:tc>
        <w:tc>
          <w:tcPr>
            <w:tcW w:w="663" w:type="pct"/>
          </w:tcPr>
          <w:p w14:paraId="7B9BD833" w14:textId="77777777" w:rsidR="00633FEA" w:rsidRPr="00264D5D" w:rsidRDefault="00633FEA" w:rsidP="00D71925">
            <w:pPr>
              <w:pStyle w:val="GOSTTablenorm"/>
            </w:pPr>
            <w:r w:rsidRPr="00264D5D">
              <w:t>31.07.2024</w:t>
            </w:r>
          </w:p>
        </w:tc>
        <w:tc>
          <w:tcPr>
            <w:tcW w:w="883" w:type="pct"/>
          </w:tcPr>
          <w:p w14:paraId="24C216AA" w14:textId="77777777" w:rsidR="00633FEA" w:rsidRPr="00264D5D" w:rsidRDefault="00633FEA" w:rsidP="00D71925">
            <w:pPr>
              <w:pStyle w:val="GOSTTablenorm"/>
            </w:pPr>
            <w:r w:rsidRPr="00264D5D">
              <w:t>Сатлер М.В.</w:t>
            </w:r>
          </w:p>
        </w:tc>
        <w:tc>
          <w:tcPr>
            <w:tcW w:w="3015" w:type="pct"/>
          </w:tcPr>
          <w:p w14:paraId="44EC2E3B" w14:textId="77777777" w:rsidR="00633FEA" w:rsidRPr="00264D5D" w:rsidRDefault="00633FEA" w:rsidP="00D71925">
            <w:pPr>
              <w:widowControl w:val="0"/>
              <w:spacing w:before="60" w:after="60"/>
              <w:rPr>
                <w:sz w:val="22"/>
                <w:szCs w:val="22"/>
              </w:rPr>
            </w:pPr>
            <w:r w:rsidRPr="00264D5D">
              <w:rPr>
                <w:sz w:val="22"/>
                <w:szCs w:val="22"/>
              </w:rPr>
              <w:t>Дополнение 4 к Альбому 35.00</w:t>
            </w:r>
          </w:p>
          <w:p w14:paraId="33B6694C" w14:textId="77777777" w:rsidR="00633FEA" w:rsidRPr="00264D5D" w:rsidRDefault="00633FEA" w:rsidP="00D71925">
            <w:pPr>
              <w:pStyle w:val="GOSTTablenorm"/>
            </w:pPr>
            <w:r w:rsidRPr="00264D5D">
              <w:t>Для документа «Расшифровка сумм неиспользованных средств (ф.0531251), Заявка о внесении наличных денежных средств» внесены изменения в части уточнения дополнительной информациии полей: «Код по ОКПО» (TtlPrt_Recipient_OKPOCODE), «Код по ОКПО организации-вносителя» (TtlPrt_Contributor_OKPOCODE)</w:t>
            </w:r>
          </w:p>
        </w:tc>
      </w:tr>
      <w:tr w:rsidR="00633FEA" w:rsidRPr="00264D5D" w14:paraId="256C7D13" w14:textId="77777777" w:rsidTr="00AD1F54">
        <w:trPr>
          <w:cnfStyle w:val="000000100000" w:firstRow="0" w:lastRow="0" w:firstColumn="0" w:lastColumn="0" w:oddVBand="0" w:evenVBand="0" w:oddHBand="1" w:evenHBand="0" w:firstRowFirstColumn="0" w:firstRowLastColumn="0" w:lastRowFirstColumn="0" w:lastRowLastColumn="0"/>
          <w:trHeight w:val="110"/>
        </w:trPr>
        <w:tc>
          <w:tcPr>
            <w:tcW w:w="439" w:type="pct"/>
            <w:vMerge/>
          </w:tcPr>
          <w:p w14:paraId="26F17BE2" w14:textId="77777777" w:rsidR="00633FEA" w:rsidRPr="00264D5D" w:rsidRDefault="00633FEA" w:rsidP="00D71925">
            <w:pPr>
              <w:spacing w:before="60" w:after="60"/>
              <w:rPr>
                <w:sz w:val="22"/>
                <w:szCs w:val="22"/>
              </w:rPr>
            </w:pPr>
          </w:p>
        </w:tc>
        <w:tc>
          <w:tcPr>
            <w:tcW w:w="663" w:type="pct"/>
          </w:tcPr>
          <w:p w14:paraId="192A6572" w14:textId="77777777" w:rsidR="00633FEA" w:rsidRPr="00264D5D" w:rsidRDefault="00633FEA" w:rsidP="00D71925">
            <w:pPr>
              <w:pStyle w:val="GOSTTablenorm"/>
            </w:pPr>
            <w:r w:rsidRPr="00264D5D">
              <w:t>13.08.2024</w:t>
            </w:r>
          </w:p>
        </w:tc>
        <w:tc>
          <w:tcPr>
            <w:tcW w:w="883" w:type="pct"/>
          </w:tcPr>
          <w:p w14:paraId="0A827FD0" w14:textId="77777777" w:rsidR="00633FEA" w:rsidRPr="00264D5D" w:rsidRDefault="00633FEA" w:rsidP="00D71925">
            <w:pPr>
              <w:pStyle w:val="GOSTTablenorm"/>
            </w:pPr>
            <w:r w:rsidRPr="00264D5D">
              <w:t>Сатлер М.В.</w:t>
            </w:r>
          </w:p>
        </w:tc>
        <w:tc>
          <w:tcPr>
            <w:tcW w:w="3015" w:type="pct"/>
          </w:tcPr>
          <w:p w14:paraId="4B6E0748" w14:textId="77777777" w:rsidR="00633FEA" w:rsidRPr="00264D5D" w:rsidRDefault="00633FEA" w:rsidP="00D71925">
            <w:pPr>
              <w:widowControl w:val="0"/>
              <w:spacing w:before="60" w:after="60"/>
              <w:rPr>
                <w:sz w:val="22"/>
                <w:szCs w:val="22"/>
              </w:rPr>
            </w:pPr>
            <w:r w:rsidRPr="00264D5D">
              <w:rPr>
                <w:sz w:val="22"/>
                <w:szCs w:val="22"/>
              </w:rPr>
              <w:t>Дополнение 4 к Альбому 35.00</w:t>
            </w:r>
          </w:p>
          <w:p w14:paraId="571A4240" w14:textId="77777777" w:rsidR="00633FEA" w:rsidRPr="00264D5D" w:rsidRDefault="00633FEA" w:rsidP="00D71925">
            <w:pPr>
              <w:pStyle w:val="GOSTTablenorm"/>
            </w:pPr>
            <w:r w:rsidRPr="00264D5D">
              <w:t>Для документа «Заявка на получение наличных денег (ф. 0531802), Заявка для обеспечения наличными денежными средствами в электронном виде» (</w:t>
            </w:r>
            <w:r w:rsidRPr="00264D5D">
              <w:rPr>
                <w:rFonts w:eastAsia="Calibri"/>
                <w:lang w:val="en-US"/>
              </w:rPr>
              <w:t>XM</w:t>
            </w:r>
            <w:r w:rsidRPr="00264D5D">
              <w:rPr>
                <w:lang w:val="en-US"/>
              </w:rPr>
              <w:t>ZS</w:t>
            </w:r>
            <w:r w:rsidRPr="00264D5D">
              <w:t>) внесены изменения в Дополнительную информацию для поля «Примечание» (Nt) блока «tZSCH2_ITEM»</w:t>
            </w:r>
          </w:p>
        </w:tc>
      </w:tr>
      <w:tr w:rsidR="00633FEA" w:rsidRPr="00264D5D" w14:paraId="44D35290" w14:textId="77777777" w:rsidTr="00AD1F54">
        <w:trPr>
          <w:cnfStyle w:val="000000010000" w:firstRow="0" w:lastRow="0" w:firstColumn="0" w:lastColumn="0" w:oddVBand="0" w:evenVBand="0" w:oddHBand="0" w:evenHBand="1" w:firstRowFirstColumn="0" w:firstRowLastColumn="0" w:lastRowFirstColumn="0" w:lastRowLastColumn="0"/>
          <w:trHeight w:val="110"/>
        </w:trPr>
        <w:tc>
          <w:tcPr>
            <w:tcW w:w="439" w:type="pct"/>
            <w:vMerge/>
          </w:tcPr>
          <w:p w14:paraId="4E0703FD" w14:textId="77777777" w:rsidR="00633FEA" w:rsidRPr="00264D5D" w:rsidRDefault="00633FEA" w:rsidP="00D71925">
            <w:pPr>
              <w:spacing w:before="60" w:after="60"/>
              <w:rPr>
                <w:sz w:val="22"/>
                <w:szCs w:val="22"/>
              </w:rPr>
            </w:pPr>
          </w:p>
        </w:tc>
        <w:tc>
          <w:tcPr>
            <w:tcW w:w="663" w:type="pct"/>
          </w:tcPr>
          <w:p w14:paraId="7E30E2B0" w14:textId="77777777" w:rsidR="00633FEA" w:rsidRPr="00264D5D" w:rsidRDefault="00633FEA" w:rsidP="00D71925">
            <w:pPr>
              <w:pStyle w:val="GOSTTablenorm"/>
            </w:pPr>
            <w:r w:rsidRPr="00264D5D">
              <w:t>13.08.2024</w:t>
            </w:r>
          </w:p>
        </w:tc>
        <w:tc>
          <w:tcPr>
            <w:tcW w:w="883" w:type="pct"/>
          </w:tcPr>
          <w:p w14:paraId="34757BB7" w14:textId="77777777" w:rsidR="00633FEA" w:rsidRPr="00264D5D" w:rsidRDefault="00633FEA" w:rsidP="00D71925">
            <w:pPr>
              <w:pStyle w:val="GOSTTablenorm"/>
            </w:pPr>
            <w:r w:rsidRPr="00264D5D">
              <w:t>Сатлер М.В.</w:t>
            </w:r>
          </w:p>
        </w:tc>
        <w:tc>
          <w:tcPr>
            <w:tcW w:w="3015" w:type="pct"/>
          </w:tcPr>
          <w:p w14:paraId="1A17E609" w14:textId="77777777" w:rsidR="00633FEA" w:rsidRPr="00264D5D" w:rsidRDefault="00633FEA" w:rsidP="00D71925">
            <w:pPr>
              <w:widowControl w:val="0"/>
              <w:spacing w:before="60" w:after="60"/>
              <w:rPr>
                <w:sz w:val="22"/>
                <w:szCs w:val="22"/>
              </w:rPr>
            </w:pPr>
            <w:r w:rsidRPr="00264D5D">
              <w:rPr>
                <w:sz w:val="22"/>
                <w:szCs w:val="22"/>
              </w:rPr>
              <w:t>Дополнение 4 к Альбому 35.00</w:t>
            </w:r>
          </w:p>
          <w:p w14:paraId="21E0B6D8" w14:textId="77777777" w:rsidR="00633FEA" w:rsidRPr="00264D5D" w:rsidRDefault="00633FEA" w:rsidP="00D71925">
            <w:pPr>
              <w:pStyle w:val="GOSTTablenorm"/>
            </w:pPr>
            <w:r w:rsidRPr="00264D5D">
              <w:t>Для документа «Расшифровка сумм неиспользованных средств (ф.0531251), Заявка о внесении наличных денежных средств» (</w:t>
            </w:r>
            <w:r w:rsidRPr="00264D5D">
              <w:rPr>
                <w:rFonts w:eastAsia="Calibri"/>
                <w:lang w:val="en-US"/>
              </w:rPr>
              <w:t>XMRN</w:t>
            </w:r>
            <w:r w:rsidRPr="00264D5D">
              <w:rPr>
                <w:rFonts w:eastAsia="Calibri"/>
              </w:rPr>
              <w:t>)</w:t>
            </w:r>
            <w:r w:rsidRPr="00264D5D">
              <w:t xml:space="preserve"> внесены изменения в Дополнительную информацию для поля «Примечание» (Nt) блока «tRKG_RKG251_ITEM»</w:t>
            </w:r>
          </w:p>
        </w:tc>
      </w:tr>
      <w:tr w:rsidR="00633FEA" w:rsidRPr="00264D5D" w14:paraId="539BE05F" w14:textId="77777777" w:rsidTr="00AD1F54">
        <w:trPr>
          <w:cnfStyle w:val="000000100000" w:firstRow="0" w:lastRow="0" w:firstColumn="0" w:lastColumn="0" w:oddVBand="0" w:evenVBand="0" w:oddHBand="1" w:evenHBand="0" w:firstRowFirstColumn="0" w:firstRowLastColumn="0" w:lastRowFirstColumn="0" w:lastRowLastColumn="0"/>
          <w:trHeight w:val="110"/>
        </w:trPr>
        <w:tc>
          <w:tcPr>
            <w:tcW w:w="439" w:type="pct"/>
            <w:vMerge/>
          </w:tcPr>
          <w:p w14:paraId="7A132CD6" w14:textId="77777777" w:rsidR="00633FEA" w:rsidRPr="00264D5D" w:rsidRDefault="00633FEA" w:rsidP="00D71925">
            <w:pPr>
              <w:spacing w:before="60" w:after="60"/>
              <w:rPr>
                <w:sz w:val="22"/>
                <w:szCs w:val="22"/>
              </w:rPr>
            </w:pPr>
          </w:p>
        </w:tc>
        <w:tc>
          <w:tcPr>
            <w:tcW w:w="663" w:type="pct"/>
          </w:tcPr>
          <w:p w14:paraId="4CABF55E" w14:textId="77777777" w:rsidR="00633FEA" w:rsidRPr="00264D5D" w:rsidRDefault="00633FEA" w:rsidP="00D71925">
            <w:pPr>
              <w:pStyle w:val="GOSTTablenorm"/>
            </w:pPr>
            <w:r w:rsidRPr="00264D5D">
              <w:t>10.09.2024</w:t>
            </w:r>
          </w:p>
        </w:tc>
        <w:tc>
          <w:tcPr>
            <w:tcW w:w="883" w:type="pct"/>
          </w:tcPr>
          <w:p w14:paraId="7BF0F914" w14:textId="77777777" w:rsidR="00633FEA" w:rsidRPr="00264D5D" w:rsidRDefault="00633FEA" w:rsidP="00D71925">
            <w:pPr>
              <w:pStyle w:val="GOSTTablenorm"/>
            </w:pPr>
            <w:r w:rsidRPr="00264D5D">
              <w:t>Гилязова Е.В.</w:t>
            </w:r>
          </w:p>
        </w:tc>
        <w:tc>
          <w:tcPr>
            <w:tcW w:w="3015" w:type="pct"/>
          </w:tcPr>
          <w:p w14:paraId="66905D9D" w14:textId="77777777" w:rsidR="00633FEA" w:rsidRPr="00264D5D" w:rsidRDefault="00633FEA" w:rsidP="00D71925">
            <w:pPr>
              <w:widowControl w:val="0"/>
              <w:spacing w:before="60" w:after="60"/>
              <w:rPr>
                <w:sz w:val="22"/>
                <w:szCs w:val="22"/>
              </w:rPr>
            </w:pPr>
            <w:r w:rsidRPr="00264D5D">
              <w:rPr>
                <w:sz w:val="22"/>
                <w:szCs w:val="22"/>
              </w:rPr>
              <w:t>Дополнение 4 к Альбому 35.00</w:t>
            </w:r>
          </w:p>
          <w:p w14:paraId="4B6438DC" w14:textId="77777777" w:rsidR="00633FEA" w:rsidRPr="00264D5D" w:rsidRDefault="00633FEA" w:rsidP="00D71925">
            <w:pPr>
              <w:pStyle w:val="GOSTTablenorm"/>
            </w:pPr>
            <w:r w:rsidRPr="00264D5D">
              <w:t>Для документов:</w:t>
            </w:r>
          </w:p>
          <w:p w14:paraId="5EE62E2E" w14:textId="77777777" w:rsidR="00633FEA" w:rsidRPr="00264D5D" w:rsidRDefault="00633FEA" w:rsidP="00D71925">
            <w:pPr>
              <w:pStyle w:val="af5"/>
              <w:widowControl w:val="0"/>
              <w:numPr>
                <w:ilvl w:val="0"/>
                <w:numId w:val="98"/>
              </w:numPr>
              <w:spacing w:before="60" w:after="60"/>
              <w:ind w:left="284" w:hanging="227"/>
              <w:jc w:val="both"/>
              <w:rPr>
                <w:sz w:val="22"/>
                <w:szCs w:val="22"/>
              </w:rPr>
            </w:pPr>
            <w:r w:rsidRPr="00264D5D">
              <w:rPr>
                <w:sz w:val="22"/>
                <w:szCs w:val="22"/>
              </w:rPr>
              <w:t>«Распоряжение налогового органа (зачет)»;</w:t>
            </w:r>
          </w:p>
          <w:p w14:paraId="3F8687E2" w14:textId="77777777" w:rsidR="00633FEA" w:rsidRPr="00264D5D" w:rsidRDefault="00633FEA" w:rsidP="00D71925">
            <w:pPr>
              <w:pStyle w:val="af5"/>
              <w:widowControl w:val="0"/>
              <w:numPr>
                <w:ilvl w:val="0"/>
                <w:numId w:val="98"/>
              </w:numPr>
              <w:spacing w:before="60" w:after="60"/>
              <w:ind w:left="284" w:hanging="227"/>
              <w:jc w:val="both"/>
              <w:rPr>
                <w:sz w:val="22"/>
                <w:szCs w:val="22"/>
              </w:rPr>
            </w:pPr>
            <w:r w:rsidRPr="00264D5D">
              <w:rPr>
                <w:sz w:val="22"/>
                <w:szCs w:val="22"/>
              </w:rPr>
              <w:t>«Распоряжение налогового органа (уточнение)»</w:t>
            </w:r>
          </w:p>
          <w:p w14:paraId="2717B588" w14:textId="77777777" w:rsidR="00633FEA" w:rsidRPr="00264D5D" w:rsidRDefault="00633FEA" w:rsidP="00D71925">
            <w:pPr>
              <w:pStyle w:val="GOSTTablenorm"/>
            </w:pPr>
            <w:r w:rsidRPr="00264D5D">
              <w:t>Добавлен блок ЭП.</w:t>
            </w:r>
          </w:p>
        </w:tc>
      </w:tr>
      <w:tr w:rsidR="00633FEA" w:rsidRPr="00264D5D" w14:paraId="7995A0F0" w14:textId="77777777" w:rsidTr="00AD1F54">
        <w:trPr>
          <w:cnfStyle w:val="000000010000" w:firstRow="0" w:lastRow="0" w:firstColumn="0" w:lastColumn="0" w:oddVBand="0" w:evenVBand="0" w:oddHBand="0" w:evenHBand="1" w:firstRowFirstColumn="0" w:firstRowLastColumn="0" w:lastRowFirstColumn="0" w:lastRowLastColumn="0"/>
          <w:trHeight w:val="110"/>
        </w:trPr>
        <w:tc>
          <w:tcPr>
            <w:tcW w:w="439" w:type="pct"/>
            <w:vMerge/>
          </w:tcPr>
          <w:p w14:paraId="1DFB7EAC" w14:textId="77777777" w:rsidR="00633FEA" w:rsidRPr="00264D5D" w:rsidRDefault="00633FEA" w:rsidP="00B95E73">
            <w:pPr>
              <w:spacing w:before="60" w:after="60"/>
              <w:rPr>
                <w:sz w:val="22"/>
                <w:szCs w:val="22"/>
              </w:rPr>
            </w:pPr>
          </w:p>
        </w:tc>
        <w:tc>
          <w:tcPr>
            <w:tcW w:w="663" w:type="pct"/>
          </w:tcPr>
          <w:p w14:paraId="54373E03" w14:textId="77777777" w:rsidR="00633FEA" w:rsidRPr="00264D5D" w:rsidRDefault="00633FEA" w:rsidP="00B95E73">
            <w:pPr>
              <w:pStyle w:val="GOSTTablenorm"/>
              <w:rPr>
                <w:szCs w:val="22"/>
                <w:lang w:val="en-US"/>
              </w:rPr>
            </w:pPr>
            <w:r w:rsidRPr="00264D5D">
              <w:rPr>
                <w:szCs w:val="22"/>
                <w:lang w:val="en-US"/>
              </w:rPr>
              <w:t>11.09.2024</w:t>
            </w:r>
          </w:p>
        </w:tc>
        <w:tc>
          <w:tcPr>
            <w:tcW w:w="883" w:type="pct"/>
          </w:tcPr>
          <w:p w14:paraId="6652D566" w14:textId="77777777" w:rsidR="00633FEA" w:rsidRPr="00264D5D" w:rsidRDefault="00633FEA" w:rsidP="00B95E73">
            <w:pPr>
              <w:pStyle w:val="GOSTTablenorm"/>
              <w:rPr>
                <w:szCs w:val="22"/>
              </w:rPr>
            </w:pPr>
            <w:r w:rsidRPr="00264D5D">
              <w:rPr>
                <w:szCs w:val="22"/>
              </w:rPr>
              <w:t>Сатлер М.В.</w:t>
            </w:r>
          </w:p>
        </w:tc>
        <w:tc>
          <w:tcPr>
            <w:tcW w:w="3015" w:type="pct"/>
          </w:tcPr>
          <w:p w14:paraId="12D1A1DE" w14:textId="77777777" w:rsidR="00633FEA" w:rsidRPr="00264D5D" w:rsidRDefault="00633FEA" w:rsidP="00C3766C">
            <w:pPr>
              <w:widowControl w:val="0"/>
              <w:spacing w:before="60" w:after="60"/>
              <w:rPr>
                <w:sz w:val="22"/>
                <w:szCs w:val="22"/>
              </w:rPr>
            </w:pPr>
            <w:r w:rsidRPr="00264D5D">
              <w:rPr>
                <w:sz w:val="22"/>
                <w:szCs w:val="22"/>
              </w:rPr>
              <w:t>Дополнение 5 к Альбому 35.00</w:t>
            </w:r>
          </w:p>
          <w:p w14:paraId="0F3B8623" w14:textId="77777777" w:rsidR="00633FEA" w:rsidRPr="00264D5D" w:rsidRDefault="00633FEA" w:rsidP="00B95E73">
            <w:pPr>
              <w:pStyle w:val="GOSTTablenorm"/>
              <w:rPr>
                <w:szCs w:val="22"/>
              </w:rPr>
            </w:pPr>
            <w:r w:rsidRPr="00264D5D">
              <w:rPr>
                <w:szCs w:val="22"/>
              </w:rPr>
              <w:lastRenderedPageBreak/>
              <w:t>Для документа «Заявление на проведение операций с иностранной валютой» добавлен новый необязательный блок «Расшифровка заявления на проведение операций с иностранной валютой по средствам, поступающим во временное распоряжение казенных учреждений» (tCOWSVR)</w:t>
            </w:r>
          </w:p>
        </w:tc>
      </w:tr>
      <w:tr w:rsidR="00633FEA" w:rsidRPr="00264D5D" w14:paraId="35284EC7" w14:textId="77777777" w:rsidTr="00AD1F54">
        <w:trPr>
          <w:cnfStyle w:val="000000100000" w:firstRow="0" w:lastRow="0" w:firstColumn="0" w:lastColumn="0" w:oddVBand="0" w:evenVBand="0" w:oddHBand="1" w:evenHBand="0" w:firstRowFirstColumn="0" w:firstRowLastColumn="0" w:lastRowFirstColumn="0" w:lastRowLastColumn="0"/>
          <w:trHeight w:val="110"/>
        </w:trPr>
        <w:tc>
          <w:tcPr>
            <w:tcW w:w="439" w:type="pct"/>
            <w:vMerge/>
          </w:tcPr>
          <w:p w14:paraId="7C4C082D" w14:textId="77777777" w:rsidR="00633FEA" w:rsidRPr="00264D5D" w:rsidRDefault="00633FEA" w:rsidP="00B95E73">
            <w:pPr>
              <w:spacing w:before="60" w:after="60"/>
              <w:rPr>
                <w:sz w:val="22"/>
                <w:szCs w:val="22"/>
              </w:rPr>
            </w:pPr>
          </w:p>
        </w:tc>
        <w:tc>
          <w:tcPr>
            <w:tcW w:w="663" w:type="pct"/>
          </w:tcPr>
          <w:p w14:paraId="0BE2A342" w14:textId="77777777" w:rsidR="00633FEA" w:rsidRPr="00264D5D" w:rsidRDefault="00633FEA" w:rsidP="00B95E73">
            <w:pPr>
              <w:pStyle w:val="GOSTTablenorm"/>
              <w:rPr>
                <w:szCs w:val="22"/>
              </w:rPr>
            </w:pPr>
            <w:r w:rsidRPr="00264D5D">
              <w:rPr>
                <w:szCs w:val="22"/>
              </w:rPr>
              <w:t>20.09.2024</w:t>
            </w:r>
          </w:p>
        </w:tc>
        <w:tc>
          <w:tcPr>
            <w:tcW w:w="883" w:type="pct"/>
          </w:tcPr>
          <w:p w14:paraId="109DC6AA" w14:textId="77777777" w:rsidR="00633FEA" w:rsidRPr="00264D5D" w:rsidRDefault="00633FEA" w:rsidP="00B95E73">
            <w:pPr>
              <w:pStyle w:val="GOSTTablenorm"/>
              <w:rPr>
                <w:szCs w:val="22"/>
              </w:rPr>
            </w:pPr>
            <w:r w:rsidRPr="00264D5D">
              <w:rPr>
                <w:szCs w:val="22"/>
              </w:rPr>
              <w:t>Касьян Д.Ю.</w:t>
            </w:r>
          </w:p>
        </w:tc>
        <w:tc>
          <w:tcPr>
            <w:tcW w:w="3015" w:type="pct"/>
          </w:tcPr>
          <w:p w14:paraId="0FDB1744" w14:textId="77777777" w:rsidR="00633FEA" w:rsidRPr="00264D5D" w:rsidRDefault="00633FEA" w:rsidP="00B95E73">
            <w:pPr>
              <w:widowControl w:val="0"/>
              <w:spacing w:before="60" w:after="60"/>
              <w:rPr>
                <w:sz w:val="22"/>
                <w:szCs w:val="22"/>
              </w:rPr>
            </w:pPr>
            <w:r w:rsidRPr="00264D5D">
              <w:rPr>
                <w:sz w:val="22"/>
                <w:szCs w:val="22"/>
              </w:rPr>
              <w:t>Дополнение 5 к Альбому 35.00</w:t>
            </w:r>
          </w:p>
          <w:p w14:paraId="63184552" w14:textId="77777777" w:rsidR="00633FEA" w:rsidRPr="00264D5D" w:rsidRDefault="00633FEA" w:rsidP="00B95E73">
            <w:pPr>
              <w:pStyle w:val="GOSTTablenorm"/>
              <w:rPr>
                <w:szCs w:val="22"/>
              </w:rPr>
            </w:pPr>
            <w:r w:rsidRPr="00264D5D">
              <w:rPr>
                <w:szCs w:val="22"/>
              </w:rPr>
              <w:t>Для документа «Заявка на возврат» в поле «Вид» блока «Реквизиты документа-основания» скорректирована дополнительная информация.</w:t>
            </w:r>
          </w:p>
        </w:tc>
      </w:tr>
      <w:tr w:rsidR="00633FEA" w:rsidRPr="00264D5D" w14:paraId="7899D90A" w14:textId="77777777" w:rsidTr="00AD1F54">
        <w:trPr>
          <w:cnfStyle w:val="000000010000" w:firstRow="0" w:lastRow="0" w:firstColumn="0" w:lastColumn="0" w:oddVBand="0" w:evenVBand="0" w:oddHBand="0" w:evenHBand="1" w:firstRowFirstColumn="0" w:firstRowLastColumn="0" w:lastRowFirstColumn="0" w:lastRowLastColumn="0"/>
          <w:trHeight w:val="110"/>
        </w:trPr>
        <w:tc>
          <w:tcPr>
            <w:tcW w:w="439" w:type="pct"/>
            <w:vMerge/>
          </w:tcPr>
          <w:p w14:paraId="66630906" w14:textId="77777777" w:rsidR="00633FEA" w:rsidRPr="00264D5D" w:rsidRDefault="00633FEA" w:rsidP="00B95E73">
            <w:pPr>
              <w:spacing w:before="60" w:after="60"/>
              <w:rPr>
                <w:sz w:val="22"/>
                <w:szCs w:val="22"/>
              </w:rPr>
            </w:pPr>
          </w:p>
        </w:tc>
        <w:tc>
          <w:tcPr>
            <w:tcW w:w="663" w:type="pct"/>
          </w:tcPr>
          <w:p w14:paraId="005E1821" w14:textId="77777777" w:rsidR="00633FEA" w:rsidRPr="00264D5D" w:rsidRDefault="00633FEA" w:rsidP="00B95E73">
            <w:pPr>
              <w:pStyle w:val="GOSTTablenorm"/>
              <w:rPr>
                <w:szCs w:val="22"/>
              </w:rPr>
            </w:pPr>
            <w:r w:rsidRPr="00264D5D">
              <w:rPr>
                <w:szCs w:val="22"/>
              </w:rPr>
              <w:t>21.10.2024</w:t>
            </w:r>
          </w:p>
        </w:tc>
        <w:tc>
          <w:tcPr>
            <w:tcW w:w="883" w:type="pct"/>
          </w:tcPr>
          <w:p w14:paraId="34D06183" w14:textId="77777777" w:rsidR="00633FEA" w:rsidRPr="00264D5D" w:rsidRDefault="00633FEA" w:rsidP="00B95E73">
            <w:pPr>
              <w:pStyle w:val="GOSTTablenorm"/>
              <w:rPr>
                <w:szCs w:val="22"/>
              </w:rPr>
            </w:pPr>
            <w:r w:rsidRPr="00264D5D">
              <w:rPr>
                <w:szCs w:val="22"/>
              </w:rPr>
              <w:t>Гилязова Е.В.</w:t>
            </w:r>
          </w:p>
        </w:tc>
        <w:tc>
          <w:tcPr>
            <w:tcW w:w="3015" w:type="pct"/>
          </w:tcPr>
          <w:p w14:paraId="3939A8EC" w14:textId="77777777" w:rsidR="00633FEA" w:rsidRPr="00264D5D" w:rsidRDefault="00633FEA" w:rsidP="00B95E73">
            <w:pPr>
              <w:widowControl w:val="0"/>
              <w:spacing w:before="60" w:after="60"/>
              <w:rPr>
                <w:sz w:val="22"/>
                <w:szCs w:val="22"/>
              </w:rPr>
            </w:pPr>
            <w:r w:rsidRPr="00264D5D">
              <w:rPr>
                <w:sz w:val="22"/>
                <w:szCs w:val="22"/>
              </w:rPr>
              <w:t>Дополнение 5 к Альбому 35.00</w:t>
            </w:r>
          </w:p>
          <w:p w14:paraId="74122EC9" w14:textId="77777777" w:rsidR="00633FEA" w:rsidRPr="00264D5D" w:rsidRDefault="00633FEA" w:rsidP="00B95E73">
            <w:pPr>
              <w:pStyle w:val="GOSTTablenorm"/>
              <w:rPr>
                <w:szCs w:val="22"/>
              </w:rPr>
            </w:pPr>
            <w:r w:rsidRPr="00264D5D">
              <w:rPr>
                <w:szCs w:val="22"/>
              </w:rPr>
              <w:t xml:space="preserve">Для документа «Заявка на возврат» (ф. 0531803) удален маршрут АДБ –ТОФК (АСФК) </w:t>
            </w:r>
          </w:p>
        </w:tc>
      </w:tr>
      <w:tr w:rsidR="00633FEA" w:rsidRPr="00264D5D" w14:paraId="61481447" w14:textId="77777777" w:rsidTr="00AD1F54">
        <w:trPr>
          <w:cnfStyle w:val="000000100000" w:firstRow="0" w:lastRow="0" w:firstColumn="0" w:lastColumn="0" w:oddVBand="0" w:evenVBand="0" w:oddHBand="1" w:evenHBand="0" w:firstRowFirstColumn="0" w:firstRowLastColumn="0" w:lastRowFirstColumn="0" w:lastRowLastColumn="0"/>
          <w:trHeight w:val="110"/>
        </w:trPr>
        <w:tc>
          <w:tcPr>
            <w:tcW w:w="439" w:type="pct"/>
            <w:vMerge/>
          </w:tcPr>
          <w:p w14:paraId="412856EF" w14:textId="77777777" w:rsidR="00633FEA" w:rsidRPr="00264D5D" w:rsidRDefault="00633FEA" w:rsidP="00B72814">
            <w:pPr>
              <w:spacing w:before="60" w:after="60"/>
              <w:rPr>
                <w:sz w:val="22"/>
                <w:szCs w:val="22"/>
              </w:rPr>
            </w:pPr>
          </w:p>
        </w:tc>
        <w:tc>
          <w:tcPr>
            <w:tcW w:w="663" w:type="pct"/>
          </w:tcPr>
          <w:p w14:paraId="439BE3DE" w14:textId="77777777" w:rsidR="00633FEA" w:rsidRPr="00264D5D" w:rsidRDefault="00633FEA" w:rsidP="00B72814">
            <w:pPr>
              <w:pStyle w:val="GOSTTablenorm"/>
              <w:rPr>
                <w:szCs w:val="22"/>
              </w:rPr>
            </w:pPr>
            <w:r w:rsidRPr="00264D5D">
              <w:rPr>
                <w:szCs w:val="22"/>
              </w:rPr>
              <w:t>21.10.2024</w:t>
            </w:r>
          </w:p>
        </w:tc>
        <w:tc>
          <w:tcPr>
            <w:tcW w:w="883" w:type="pct"/>
          </w:tcPr>
          <w:p w14:paraId="4E819BB5" w14:textId="77777777" w:rsidR="00633FEA" w:rsidRPr="00264D5D" w:rsidRDefault="00633FEA" w:rsidP="00B72814">
            <w:pPr>
              <w:pStyle w:val="GOSTTablenorm"/>
              <w:rPr>
                <w:szCs w:val="22"/>
              </w:rPr>
            </w:pPr>
            <w:r w:rsidRPr="00264D5D">
              <w:rPr>
                <w:szCs w:val="22"/>
              </w:rPr>
              <w:t>Гилязова Е.В.</w:t>
            </w:r>
          </w:p>
        </w:tc>
        <w:tc>
          <w:tcPr>
            <w:tcW w:w="3015" w:type="pct"/>
          </w:tcPr>
          <w:p w14:paraId="5D3F4359" w14:textId="77777777" w:rsidR="00633FEA" w:rsidRPr="00264D5D" w:rsidRDefault="00633FEA" w:rsidP="00B72814">
            <w:pPr>
              <w:widowControl w:val="0"/>
              <w:spacing w:before="60" w:after="60"/>
              <w:rPr>
                <w:sz w:val="22"/>
                <w:szCs w:val="22"/>
              </w:rPr>
            </w:pPr>
            <w:r w:rsidRPr="00264D5D">
              <w:rPr>
                <w:sz w:val="22"/>
                <w:szCs w:val="22"/>
              </w:rPr>
              <w:t>Дополнение 5 к Альбому 35.00</w:t>
            </w:r>
          </w:p>
          <w:p w14:paraId="5F0789F1" w14:textId="77777777" w:rsidR="00633FEA" w:rsidRPr="00264D5D" w:rsidRDefault="00633FEA" w:rsidP="00B72814">
            <w:pPr>
              <w:pStyle w:val="GOSTTablenorm"/>
              <w:rPr>
                <w:szCs w:val="22"/>
              </w:rPr>
            </w:pPr>
            <w:r w:rsidRPr="00264D5D">
              <w:rPr>
                <w:szCs w:val="22"/>
              </w:rPr>
              <w:t>Для документа «Распоряжение налогового органа (зачет)» исключено примечание для маршрута.</w:t>
            </w:r>
          </w:p>
          <w:p w14:paraId="3F43CFDF" w14:textId="77777777" w:rsidR="00633FEA" w:rsidRPr="00264D5D" w:rsidRDefault="00633FEA" w:rsidP="00B72814">
            <w:pPr>
              <w:pStyle w:val="GOSTTablenorm"/>
              <w:rPr>
                <w:szCs w:val="22"/>
              </w:rPr>
            </w:pPr>
            <w:r w:rsidRPr="00264D5D">
              <w:rPr>
                <w:szCs w:val="22"/>
              </w:rPr>
              <w:t>Для документа «Распоряжение налогового органа (уточнение)»:</w:t>
            </w:r>
          </w:p>
          <w:p w14:paraId="278A7861" w14:textId="77777777" w:rsidR="00633FEA" w:rsidRPr="00264D5D" w:rsidRDefault="00633FEA" w:rsidP="00B72814">
            <w:pPr>
              <w:pStyle w:val="af5"/>
              <w:widowControl w:val="0"/>
              <w:numPr>
                <w:ilvl w:val="0"/>
                <w:numId w:val="98"/>
              </w:numPr>
              <w:spacing w:before="60" w:after="60"/>
              <w:ind w:left="284" w:hanging="227"/>
              <w:jc w:val="both"/>
              <w:rPr>
                <w:sz w:val="22"/>
                <w:szCs w:val="22"/>
              </w:rPr>
            </w:pPr>
            <w:r w:rsidRPr="00264D5D">
              <w:rPr>
                <w:sz w:val="22"/>
                <w:szCs w:val="22"/>
              </w:rPr>
              <w:t>исключено примечание для маршрута;</w:t>
            </w:r>
          </w:p>
          <w:p w14:paraId="0638D6F7" w14:textId="77777777" w:rsidR="00633FEA" w:rsidRPr="00264D5D" w:rsidRDefault="00633FEA" w:rsidP="00B72814">
            <w:pPr>
              <w:pStyle w:val="af5"/>
              <w:widowControl w:val="0"/>
              <w:numPr>
                <w:ilvl w:val="0"/>
                <w:numId w:val="98"/>
              </w:numPr>
              <w:spacing w:before="60" w:after="60"/>
              <w:ind w:left="284" w:hanging="227"/>
              <w:jc w:val="both"/>
              <w:rPr>
                <w:sz w:val="22"/>
                <w:szCs w:val="22"/>
              </w:rPr>
            </w:pPr>
            <w:r w:rsidRPr="00264D5D">
              <w:rPr>
                <w:sz w:val="22"/>
                <w:szCs w:val="22"/>
              </w:rPr>
              <w:t>удалены поля «Тип КБК», «Тип КБК (уточняемый)»;</w:t>
            </w:r>
          </w:p>
          <w:p w14:paraId="4D9B7E46" w14:textId="77777777" w:rsidR="00633FEA" w:rsidRPr="00264D5D" w:rsidRDefault="00633FEA" w:rsidP="00B72814">
            <w:pPr>
              <w:pStyle w:val="af5"/>
              <w:widowControl w:val="0"/>
              <w:numPr>
                <w:ilvl w:val="0"/>
                <w:numId w:val="98"/>
              </w:numPr>
              <w:spacing w:before="60" w:after="60"/>
              <w:ind w:left="284" w:hanging="227"/>
              <w:jc w:val="both"/>
              <w:rPr>
                <w:szCs w:val="22"/>
              </w:rPr>
            </w:pPr>
            <w:r w:rsidRPr="00264D5D">
              <w:rPr>
                <w:sz w:val="22"/>
                <w:szCs w:val="22"/>
              </w:rPr>
              <w:t xml:space="preserve">для полей «КБК», «ОКТМО» уточнено примечание </w:t>
            </w:r>
          </w:p>
        </w:tc>
      </w:tr>
      <w:tr w:rsidR="00633FEA" w:rsidRPr="00264D5D" w14:paraId="1188AD15" w14:textId="77777777" w:rsidTr="00AD1F54">
        <w:trPr>
          <w:cnfStyle w:val="000000010000" w:firstRow="0" w:lastRow="0" w:firstColumn="0" w:lastColumn="0" w:oddVBand="0" w:evenVBand="0" w:oddHBand="0" w:evenHBand="1" w:firstRowFirstColumn="0" w:firstRowLastColumn="0" w:lastRowFirstColumn="0" w:lastRowLastColumn="0"/>
          <w:trHeight w:val="110"/>
        </w:trPr>
        <w:tc>
          <w:tcPr>
            <w:tcW w:w="439" w:type="pct"/>
            <w:vMerge/>
          </w:tcPr>
          <w:p w14:paraId="253EC142" w14:textId="77777777" w:rsidR="00633FEA" w:rsidRPr="00264D5D" w:rsidRDefault="00633FEA" w:rsidP="00B72814">
            <w:pPr>
              <w:spacing w:before="60" w:after="60"/>
              <w:rPr>
                <w:sz w:val="22"/>
                <w:szCs w:val="22"/>
              </w:rPr>
            </w:pPr>
          </w:p>
        </w:tc>
        <w:tc>
          <w:tcPr>
            <w:tcW w:w="663" w:type="pct"/>
          </w:tcPr>
          <w:p w14:paraId="7388D62B" w14:textId="77777777" w:rsidR="00633FEA" w:rsidRPr="00264D5D" w:rsidRDefault="00633FEA" w:rsidP="00B72814">
            <w:pPr>
              <w:pStyle w:val="GOSTTablenorm"/>
              <w:rPr>
                <w:szCs w:val="22"/>
              </w:rPr>
            </w:pPr>
            <w:r w:rsidRPr="00264D5D">
              <w:rPr>
                <w:szCs w:val="22"/>
              </w:rPr>
              <w:t>07.11.2024</w:t>
            </w:r>
          </w:p>
        </w:tc>
        <w:tc>
          <w:tcPr>
            <w:tcW w:w="883" w:type="pct"/>
          </w:tcPr>
          <w:p w14:paraId="638D1D9D" w14:textId="77777777" w:rsidR="00633FEA" w:rsidRPr="00264D5D" w:rsidRDefault="00633FEA" w:rsidP="00B72814">
            <w:pPr>
              <w:pStyle w:val="GOSTTablenorm"/>
              <w:rPr>
                <w:szCs w:val="22"/>
              </w:rPr>
            </w:pPr>
            <w:r w:rsidRPr="00264D5D">
              <w:rPr>
                <w:szCs w:val="22"/>
              </w:rPr>
              <w:t>Гилязова Е.В.</w:t>
            </w:r>
          </w:p>
        </w:tc>
        <w:tc>
          <w:tcPr>
            <w:tcW w:w="3015" w:type="pct"/>
          </w:tcPr>
          <w:p w14:paraId="37B602C0" w14:textId="77777777" w:rsidR="00633FEA" w:rsidRPr="00264D5D" w:rsidRDefault="00633FEA" w:rsidP="00B72814">
            <w:pPr>
              <w:widowControl w:val="0"/>
              <w:spacing w:before="60" w:after="60"/>
              <w:rPr>
                <w:sz w:val="22"/>
                <w:szCs w:val="22"/>
              </w:rPr>
            </w:pPr>
            <w:r w:rsidRPr="00264D5D">
              <w:rPr>
                <w:sz w:val="22"/>
                <w:szCs w:val="22"/>
              </w:rPr>
              <w:t>Дополнение 5 к Альбому 35.00</w:t>
            </w:r>
          </w:p>
          <w:p w14:paraId="5C945D1C" w14:textId="77777777" w:rsidR="00633FEA" w:rsidRPr="00264D5D" w:rsidRDefault="00633FEA" w:rsidP="00B72814">
            <w:pPr>
              <w:pStyle w:val="GOSTTablenorm"/>
              <w:rPr>
                <w:szCs w:val="22"/>
                <w:lang w:eastAsia="en-US"/>
              </w:rPr>
            </w:pPr>
            <w:r w:rsidRPr="00264D5D">
              <w:rPr>
                <w:szCs w:val="22"/>
              </w:rPr>
              <w:t>Для документов добавлено взаимодействие между ПУД ЭБ и МВУ ПУиО (ПФХД),</w:t>
            </w:r>
            <w:r w:rsidRPr="00264D5D">
              <w:rPr>
                <w:szCs w:val="22"/>
                <w:lang w:eastAsia="en-US"/>
              </w:rPr>
              <w:t xml:space="preserve"> Бухгалтерия государственного учреждения (1С):</w:t>
            </w:r>
          </w:p>
          <w:p w14:paraId="42C4E173" w14:textId="77777777" w:rsidR="00633FEA" w:rsidRPr="00264D5D" w:rsidRDefault="00633FEA" w:rsidP="00B72814">
            <w:pPr>
              <w:pStyle w:val="af5"/>
              <w:widowControl w:val="0"/>
              <w:numPr>
                <w:ilvl w:val="0"/>
                <w:numId w:val="98"/>
              </w:numPr>
              <w:spacing w:before="60" w:after="60"/>
              <w:ind w:left="284" w:hanging="227"/>
              <w:jc w:val="both"/>
              <w:rPr>
                <w:sz w:val="22"/>
                <w:szCs w:val="22"/>
              </w:rPr>
            </w:pPr>
            <w:r w:rsidRPr="00264D5D">
              <w:rPr>
                <w:sz w:val="22"/>
                <w:szCs w:val="22"/>
              </w:rPr>
              <w:t>«Распоряжение о совершении казначейского платежа (возврат)»;</w:t>
            </w:r>
          </w:p>
          <w:p w14:paraId="1609D04C" w14:textId="77777777" w:rsidR="00633FEA" w:rsidRPr="00264D5D" w:rsidRDefault="00633FEA" w:rsidP="00B72814">
            <w:pPr>
              <w:pStyle w:val="af5"/>
              <w:widowControl w:val="0"/>
              <w:numPr>
                <w:ilvl w:val="0"/>
                <w:numId w:val="98"/>
              </w:numPr>
              <w:spacing w:before="60" w:after="60"/>
              <w:ind w:left="284" w:hanging="227"/>
              <w:jc w:val="both"/>
              <w:rPr>
                <w:szCs w:val="22"/>
              </w:rPr>
            </w:pPr>
            <w:r w:rsidRPr="00264D5D">
              <w:rPr>
                <w:sz w:val="22"/>
                <w:szCs w:val="22"/>
              </w:rPr>
              <w:t>«Распоряжение о совершении казначейского платежа (уточнение)»</w:t>
            </w:r>
          </w:p>
        </w:tc>
      </w:tr>
      <w:tr w:rsidR="00633FEA" w:rsidRPr="00264D5D" w14:paraId="7BA175CC" w14:textId="77777777" w:rsidTr="00AD1F54">
        <w:trPr>
          <w:cnfStyle w:val="000000100000" w:firstRow="0" w:lastRow="0" w:firstColumn="0" w:lastColumn="0" w:oddVBand="0" w:evenVBand="0" w:oddHBand="1" w:evenHBand="0" w:firstRowFirstColumn="0" w:firstRowLastColumn="0" w:lastRowFirstColumn="0" w:lastRowLastColumn="0"/>
          <w:trHeight w:val="110"/>
        </w:trPr>
        <w:tc>
          <w:tcPr>
            <w:tcW w:w="439" w:type="pct"/>
            <w:vMerge/>
          </w:tcPr>
          <w:p w14:paraId="4364BE51" w14:textId="77777777" w:rsidR="00633FEA" w:rsidRPr="00264D5D" w:rsidRDefault="00633FEA" w:rsidP="00B72814">
            <w:pPr>
              <w:spacing w:before="60" w:after="60"/>
              <w:rPr>
                <w:sz w:val="22"/>
                <w:szCs w:val="22"/>
              </w:rPr>
            </w:pPr>
          </w:p>
        </w:tc>
        <w:tc>
          <w:tcPr>
            <w:tcW w:w="663" w:type="pct"/>
          </w:tcPr>
          <w:p w14:paraId="0AE61267" w14:textId="77777777" w:rsidR="00633FEA" w:rsidRPr="00264D5D" w:rsidRDefault="00633FEA" w:rsidP="00B72814">
            <w:pPr>
              <w:pStyle w:val="GOSTTablenorm"/>
              <w:rPr>
                <w:szCs w:val="22"/>
              </w:rPr>
            </w:pPr>
            <w:r w:rsidRPr="00264D5D">
              <w:rPr>
                <w:szCs w:val="22"/>
              </w:rPr>
              <w:t>16.12.2024</w:t>
            </w:r>
          </w:p>
        </w:tc>
        <w:tc>
          <w:tcPr>
            <w:tcW w:w="883" w:type="pct"/>
          </w:tcPr>
          <w:p w14:paraId="375CBF41" w14:textId="77777777" w:rsidR="00633FEA" w:rsidRPr="00264D5D" w:rsidRDefault="00633FEA" w:rsidP="00B72814">
            <w:pPr>
              <w:pStyle w:val="GOSTTablenorm"/>
              <w:rPr>
                <w:szCs w:val="22"/>
              </w:rPr>
            </w:pPr>
            <w:r w:rsidRPr="00264D5D">
              <w:rPr>
                <w:szCs w:val="22"/>
              </w:rPr>
              <w:t>Коршунова Н.А.</w:t>
            </w:r>
          </w:p>
        </w:tc>
        <w:tc>
          <w:tcPr>
            <w:tcW w:w="3015" w:type="pct"/>
          </w:tcPr>
          <w:p w14:paraId="7C21DF2D" w14:textId="77777777" w:rsidR="00633FEA" w:rsidRPr="00264D5D" w:rsidRDefault="00633FEA" w:rsidP="0046774C">
            <w:pPr>
              <w:widowControl w:val="0"/>
              <w:spacing w:before="60" w:after="60"/>
              <w:rPr>
                <w:sz w:val="22"/>
                <w:szCs w:val="22"/>
              </w:rPr>
            </w:pPr>
            <w:r w:rsidRPr="00264D5D">
              <w:rPr>
                <w:sz w:val="22"/>
                <w:szCs w:val="22"/>
              </w:rPr>
              <w:t xml:space="preserve">Для документа «Сведения о бюджетном обязательстве» добавлено новое поле «Номер БО на аннулирование» и внесены уточнения в заполнение полей: </w:t>
            </w:r>
          </w:p>
          <w:p w14:paraId="3A7BB4E3" w14:textId="77777777" w:rsidR="00633FEA" w:rsidRPr="00264D5D" w:rsidRDefault="00633FEA" w:rsidP="0046774C">
            <w:pPr>
              <w:pStyle w:val="af5"/>
              <w:widowControl w:val="0"/>
              <w:numPr>
                <w:ilvl w:val="0"/>
                <w:numId w:val="98"/>
              </w:numPr>
              <w:spacing w:before="60" w:after="60"/>
              <w:ind w:left="284" w:hanging="227"/>
              <w:jc w:val="both"/>
              <w:rPr>
                <w:sz w:val="22"/>
                <w:szCs w:val="22"/>
              </w:rPr>
            </w:pPr>
            <w:r w:rsidRPr="00264D5D">
              <w:rPr>
                <w:sz w:val="22"/>
                <w:szCs w:val="22"/>
              </w:rPr>
              <w:t>блок «Реквизиты документа, являющегося основанием для принятия на учет бюджетного обязательства» - поля «Вид», «Дата», «Срок исполнения», «Предмет по документу-основанию», «Идентификатор», «Признак казначейского сопровождения», «Сумма платежа, требующего подтверждения»</w:t>
            </w:r>
          </w:p>
          <w:p w14:paraId="36D745E7" w14:textId="77777777" w:rsidR="00633FEA" w:rsidRPr="00264D5D" w:rsidRDefault="00633FEA" w:rsidP="0046774C">
            <w:pPr>
              <w:pStyle w:val="af5"/>
              <w:widowControl w:val="0"/>
              <w:numPr>
                <w:ilvl w:val="0"/>
                <w:numId w:val="98"/>
              </w:numPr>
              <w:spacing w:before="60" w:after="60"/>
              <w:ind w:left="284" w:hanging="227"/>
              <w:jc w:val="both"/>
              <w:rPr>
                <w:sz w:val="22"/>
                <w:szCs w:val="22"/>
              </w:rPr>
            </w:pPr>
            <w:r w:rsidRPr="00264D5D">
              <w:rPr>
                <w:sz w:val="22"/>
                <w:szCs w:val="22"/>
              </w:rPr>
              <w:t>блок «Реквизиты контрагента/ взыскателя по исполнительному документу/ налогового органа»</w:t>
            </w:r>
          </w:p>
        </w:tc>
      </w:tr>
      <w:tr w:rsidR="00633FEA" w:rsidRPr="00264D5D" w14:paraId="0CB4AEDF" w14:textId="77777777" w:rsidTr="00AD1F54">
        <w:trPr>
          <w:cnfStyle w:val="000000010000" w:firstRow="0" w:lastRow="0" w:firstColumn="0" w:lastColumn="0" w:oddVBand="0" w:evenVBand="0" w:oddHBand="0" w:evenHBand="1" w:firstRowFirstColumn="0" w:firstRowLastColumn="0" w:lastRowFirstColumn="0" w:lastRowLastColumn="0"/>
          <w:trHeight w:val="110"/>
        </w:trPr>
        <w:tc>
          <w:tcPr>
            <w:tcW w:w="439" w:type="pct"/>
            <w:vMerge/>
          </w:tcPr>
          <w:p w14:paraId="7C310CDD" w14:textId="77777777" w:rsidR="00633FEA" w:rsidRPr="00264D5D" w:rsidRDefault="00633FEA" w:rsidP="00B72814">
            <w:pPr>
              <w:spacing w:before="60" w:after="60"/>
              <w:rPr>
                <w:sz w:val="22"/>
                <w:szCs w:val="22"/>
              </w:rPr>
            </w:pPr>
          </w:p>
        </w:tc>
        <w:tc>
          <w:tcPr>
            <w:tcW w:w="663" w:type="pct"/>
          </w:tcPr>
          <w:p w14:paraId="00C780EF" w14:textId="77777777" w:rsidR="00633FEA" w:rsidRPr="00264D5D" w:rsidRDefault="00633FEA" w:rsidP="00B72814">
            <w:pPr>
              <w:pStyle w:val="GOSTTablenorm"/>
              <w:rPr>
                <w:szCs w:val="22"/>
              </w:rPr>
            </w:pPr>
            <w:r w:rsidRPr="00264D5D">
              <w:rPr>
                <w:szCs w:val="22"/>
              </w:rPr>
              <w:t>18.12.2024</w:t>
            </w:r>
          </w:p>
        </w:tc>
        <w:tc>
          <w:tcPr>
            <w:tcW w:w="883" w:type="pct"/>
          </w:tcPr>
          <w:p w14:paraId="00AA140A" w14:textId="77777777" w:rsidR="00633FEA" w:rsidRPr="00264D5D" w:rsidRDefault="00633FEA" w:rsidP="00B72814">
            <w:pPr>
              <w:pStyle w:val="GOSTTablenorm"/>
              <w:rPr>
                <w:szCs w:val="22"/>
              </w:rPr>
            </w:pPr>
            <w:r w:rsidRPr="00264D5D">
              <w:rPr>
                <w:szCs w:val="22"/>
              </w:rPr>
              <w:t>Касьян Д.Ю.</w:t>
            </w:r>
          </w:p>
        </w:tc>
        <w:tc>
          <w:tcPr>
            <w:tcW w:w="3015" w:type="pct"/>
          </w:tcPr>
          <w:p w14:paraId="17CF747D" w14:textId="77777777" w:rsidR="00633FEA" w:rsidRPr="00264D5D" w:rsidRDefault="00633FEA" w:rsidP="00244C92">
            <w:pPr>
              <w:widowControl w:val="0"/>
              <w:spacing w:before="60" w:after="60"/>
              <w:rPr>
                <w:sz w:val="22"/>
                <w:szCs w:val="22"/>
              </w:rPr>
            </w:pPr>
            <w:r w:rsidRPr="00264D5D">
              <w:rPr>
                <w:sz w:val="22"/>
                <w:szCs w:val="22"/>
              </w:rPr>
              <w:t xml:space="preserve">Актуализировано НПА в таблице «Перечень документов и справочников с указанием кодов и маркеров массивов </w:t>
            </w:r>
            <w:r w:rsidRPr="00264D5D">
              <w:rPr>
                <w:sz w:val="22"/>
                <w:szCs w:val="22"/>
              </w:rPr>
              <w:lastRenderedPageBreak/>
              <w:t>информации»</w:t>
            </w:r>
          </w:p>
        </w:tc>
      </w:tr>
      <w:tr w:rsidR="00633FEA" w:rsidRPr="00264D5D" w14:paraId="6400FC6E" w14:textId="77777777" w:rsidTr="00AD1F54">
        <w:trPr>
          <w:cnfStyle w:val="000000100000" w:firstRow="0" w:lastRow="0" w:firstColumn="0" w:lastColumn="0" w:oddVBand="0" w:evenVBand="0" w:oddHBand="1" w:evenHBand="0" w:firstRowFirstColumn="0" w:firstRowLastColumn="0" w:lastRowFirstColumn="0" w:lastRowLastColumn="0"/>
          <w:trHeight w:val="110"/>
        </w:trPr>
        <w:tc>
          <w:tcPr>
            <w:tcW w:w="439" w:type="pct"/>
            <w:vMerge/>
          </w:tcPr>
          <w:p w14:paraId="0AA568D6" w14:textId="77777777" w:rsidR="00633FEA" w:rsidRPr="00264D5D" w:rsidRDefault="00633FEA" w:rsidP="00244C92">
            <w:pPr>
              <w:spacing w:before="60" w:after="60"/>
              <w:rPr>
                <w:sz w:val="22"/>
                <w:szCs w:val="22"/>
              </w:rPr>
            </w:pPr>
          </w:p>
        </w:tc>
        <w:tc>
          <w:tcPr>
            <w:tcW w:w="663" w:type="pct"/>
          </w:tcPr>
          <w:p w14:paraId="06B37DF9" w14:textId="77777777" w:rsidR="00633FEA" w:rsidRPr="00264D5D" w:rsidRDefault="00633FEA" w:rsidP="00244C92">
            <w:pPr>
              <w:pStyle w:val="GOSTTablenorm"/>
              <w:rPr>
                <w:szCs w:val="22"/>
              </w:rPr>
            </w:pPr>
            <w:r w:rsidRPr="00264D5D">
              <w:rPr>
                <w:szCs w:val="22"/>
              </w:rPr>
              <w:t>19.12.2024</w:t>
            </w:r>
          </w:p>
        </w:tc>
        <w:tc>
          <w:tcPr>
            <w:tcW w:w="883" w:type="pct"/>
          </w:tcPr>
          <w:p w14:paraId="2EF47956" w14:textId="77777777" w:rsidR="00633FEA" w:rsidRPr="00264D5D" w:rsidRDefault="00633FEA" w:rsidP="00244C92">
            <w:pPr>
              <w:pStyle w:val="GOSTTablenorm"/>
              <w:rPr>
                <w:szCs w:val="22"/>
              </w:rPr>
            </w:pPr>
            <w:r w:rsidRPr="00264D5D">
              <w:rPr>
                <w:szCs w:val="22"/>
              </w:rPr>
              <w:t>Коршунова Н.А.</w:t>
            </w:r>
          </w:p>
        </w:tc>
        <w:tc>
          <w:tcPr>
            <w:tcW w:w="3015" w:type="pct"/>
          </w:tcPr>
          <w:p w14:paraId="73DF9917" w14:textId="77777777" w:rsidR="00633FEA" w:rsidRPr="00264D5D" w:rsidRDefault="00633FEA" w:rsidP="00244C92">
            <w:pPr>
              <w:widowControl w:val="0"/>
              <w:spacing w:before="60" w:after="60"/>
              <w:rPr>
                <w:sz w:val="22"/>
                <w:szCs w:val="22"/>
              </w:rPr>
            </w:pPr>
            <w:r w:rsidRPr="00264D5D">
              <w:rPr>
                <w:sz w:val="22"/>
                <w:szCs w:val="22"/>
              </w:rPr>
              <w:t>Для документа «Сведения о денежном обязательстве» в поле «Ставка НДС» (VATRt) добавлены значения 5 и 7</w:t>
            </w:r>
          </w:p>
        </w:tc>
      </w:tr>
      <w:tr w:rsidR="00633FEA" w:rsidRPr="00A77DDB" w14:paraId="30AE6BD8" w14:textId="77777777" w:rsidTr="00AD1F54">
        <w:trPr>
          <w:cnfStyle w:val="000000010000" w:firstRow="0" w:lastRow="0" w:firstColumn="0" w:lastColumn="0" w:oddVBand="0" w:evenVBand="0" w:oddHBand="0" w:evenHBand="1" w:firstRowFirstColumn="0" w:firstRowLastColumn="0" w:lastRowFirstColumn="0" w:lastRowLastColumn="0"/>
          <w:trHeight w:val="110"/>
        </w:trPr>
        <w:tc>
          <w:tcPr>
            <w:tcW w:w="439" w:type="pct"/>
            <w:vMerge/>
          </w:tcPr>
          <w:p w14:paraId="14E0EDF1" w14:textId="77777777" w:rsidR="00633FEA" w:rsidRPr="00264D5D" w:rsidRDefault="00633FEA" w:rsidP="00244C92">
            <w:pPr>
              <w:spacing w:before="60" w:after="60"/>
              <w:rPr>
                <w:sz w:val="22"/>
                <w:szCs w:val="22"/>
              </w:rPr>
            </w:pPr>
          </w:p>
        </w:tc>
        <w:tc>
          <w:tcPr>
            <w:tcW w:w="663" w:type="pct"/>
          </w:tcPr>
          <w:p w14:paraId="1414F232" w14:textId="77777777" w:rsidR="00633FEA" w:rsidRPr="00264D5D" w:rsidRDefault="00633FEA" w:rsidP="00633FEA">
            <w:pPr>
              <w:pStyle w:val="GOSTTablenorm"/>
              <w:rPr>
                <w:szCs w:val="22"/>
              </w:rPr>
            </w:pPr>
            <w:r w:rsidRPr="00264D5D">
              <w:rPr>
                <w:szCs w:val="22"/>
              </w:rPr>
              <w:t>23.12.2024</w:t>
            </w:r>
          </w:p>
        </w:tc>
        <w:tc>
          <w:tcPr>
            <w:tcW w:w="883" w:type="pct"/>
          </w:tcPr>
          <w:p w14:paraId="029C321F" w14:textId="77777777" w:rsidR="00633FEA" w:rsidRPr="00264D5D" w:rsidRDefault="00633FEA" w:rsidP="00244C92">
            <w:pPr>
              <w:pStyle w:val="GOSTTablenorm"/>
              <w:rPr>
                <w:szCs w:val="22"/>
              </w:rPr>
            </w:pPr>
            <w:r w:rsidRPr="00264D5D">
              <w:rPr>
                <w:szCs w:val="22"/>
              </w:rPr>
              <w:t>Гилязова Е.В.</w:t>
            </w:r>
          </w:p>
        </w:tc>
        <w:tc>
          <w:tcPr>
            <w:tcW w:w="3015" w:type="pct"/>
          </w:tcPr>
          <w:p w14:paraId="3D3B8D74" w14:textId="77777777" w:rsidR="00633FEA" w:rsidRPr="00244C92" w:rsidRDefault="00633FEA" w:rsidP="00244C92">
            <w:pPr>
              <w:widowControl w:val="0"/>
              <w:spacing w:before="60" w:after="60"/>
              <w:rPr>
                <w:sz w:val="22"/>
                <w:szCs w:val="22"/>
              </w:rPr>
            </w:pPr>
            <w:r w:rsidRPr="00264D5D">
              <w:rPr>
                <w:sz w:val="22"/>
                <w:szCs w:val="22"/>
              </w:rPr>
              <w:t>В п. 5.2.3 добавлено ЛК ПУД</w:t>
            </w:r>
          </w:p>
        </w:tc>
      </w:tr>
      <w:tr w:rsidR="006F4EA5" w:rsidRPr="00A77DDB" w14:paraId="0F5757F5" w14:textId="77777777" w:rsidTr="00AD1F54">
        <w:trPr>
          <w:cnfStyle w:val="000000100000" w:firstRow="0" w:lastRow="0" w:firstColumn="0" w:lastColumn="0" w:oddVBand="0" w:evenVBand="0" w:oddHBand="1" w:evenHBand="0" w:firstRowFirstColumn="0" w:firstRowLastColumn="0" w:lastRowFirstColumn="0" w:lastRowLastColumn="0"/>
          <w:trHeight w:val="110"/>
        </w:trPr>
        <w:tc>
          <w:tcPr>
            <w:tcW w:w="439" w:type="pct"/>
            <w:vMerge w:val="restart"/>
          </w:tcPr>
          <w:p w14:paraId="2E6BF9A3" w14:textId="77777777" w:rsidR="006F4EA5" w:rsidRPr="00720ABF" w:rsidRDefault="006F4EA5" w:rsidP="00AA3181">
            <w:pPr>
              <w:pStyle w:val="OTRNameTable11"/>
            </w:pPr>
            <w:r>
              <w:t>37.0</w:t>
            </w:r>
          </w:p>
        </w:tc>
        <w:tc>
          <w:tcPr>
            <w:tcW w:w="663" w:type="pct"/>
          </w:tcPr>
          <w:p w14:paraId="7F54B695" w14:textId="77777777" w:rsidR="006F4EA5" w:rsidRPr="00720ABF" w:rsidRDefault="006F4EA5" w:rsidP="00AA3181">
            <w:pPr>
              <w:pStyle w:val="OTRNameTable11"/>
            </w:pPr>
            <w:r>
              <w:t>02.12.2025</w:t>
            </w:r>
          </w:p>
        </w:tc>
        <w:tc>
          <w:tcPr>
            <w:tcW w:w="883" w:type="pct"/>
          </w:tcPr>
          <w:p w14:paraId="6FED6032" w14:textId="77777777" w:rsidR="006F4EA5" w:rsidRPr="00720ABF" w:rsidRDefault="006F4EA5" w:rsidP="00AA3181">
            <w:pPr>
              <w:pStyle w:val="OTRNameTable11"/>
            </w:pPr>
            <w:r w:rsidRPr="00720ABF">
              <w:t>Коршунова Н.А.</w:t>
            </w:r>
          </w:p>
        </w:tc>
        <w:tc>
          <w:tcPr>
            <w:tcW w:w="3015" w:type="pct"/>
          </w:tcPr>
          <w:p w14:paraId="009057ED" w14:textId="77777777" w:rsidR="006F4EA5" w:rsidRPr="00720ABF" w:rsidRDefault="006F4EA5" w:rsidP="00AA3181">
            <w:pPr>
              <w:pStyle w:val="OTRNameTable11"/>
            </w:pPr>
            <w:r w:rsidRPr="00720ABF">
              <w:t>Изменения по версии АСФК 32.1</w:t>
            </w:r>
            <w:r>
              <w:t>6</w:t>
            </w:r>
            <w:r w:rsidRPr="00720ABF">
              <w:t>.</w:t>
            </w:r>
          </w:p>
          <w:p w14:paraId="3C89D905" w14:textId="77777777" w:rsidR="006F4EA5" w:rsidRPr="00720ABF" w:rsidRDefault="006F4EA5" w:rsidP="00AA3181">
            <w:pPr>
              <w:pStyle w:val="OTRNameTable11"/>
            </w:pPr>
            <w:r w:rsidRPr="00720ABF">
              <w:t>Произведена актуализация в рамках проведения предварительных испытаний функционального обновления версии 32.1</w:t>
            </w:r>
            <w:r>
              <w:t>6</w:t>
            </w:r>
            <w:r w:rsidRPr="00720ABF">
              <w:t>.0 ППО АСФК</w:t>
            </w:r>
          </w:p>
        </w:tc>
      </w:tr>
      <w:tr w:rsidR="006F4EA5" w:rsidRPr="00A77DDB" w14:paraId="37A34036" w14:textId="77777777" w:rsidTr="00AD1F54">
        <w:trPr>
          <w:cnfStyle w:val="000000010000" w:firstRow="0" w:lastRow="0" w:firstColumn="0" w:lastColumn="0" w:oddVBand="0" w:evenVBand="0" w:oddHBand="0" w:evenHBand="1" w:firstRowFirstColumn="0" w:firstRowLastColumn="0" w:lastRowFirstColumn="0" w:lastRowLastColumn="0"/>
          <w:trHeight w:val="110"/>
        </w:trPr>
        <w:tc>
          <w:tcPr>
            <w:tcW w:w="439" w:type="pct"/>
            <w:vMerge/>
          </w:tcPr>
          <w:p w14:paraId="24D6075B" w14:textId="77777777" w:rsidR="006F4EA5" w:rsidRDefault="006F4EA5" w:rsidP="006704AD">
            <w:pPr>
              <w:pStyle w:val="OTRNameTable11"/>
            </w:pPr>
          </w:p>
        </w:tc>
        <w:tc>
          <w:tcPr>
            <w:tcW w:w="663" w:type="pct"/>
          </w:tcPr>
          <w:p w14:paraId="41E4EE1F" w14:textId="77777777" w:rsidR="006F4EA5" w:rsidRDefault="006F4EA5" w:rsidP="006704AD">
            <w:pPr>
              <w:pStyle w:val="OTRNameTable11"/>
            </w:pPr>
            <w:r>
              <w:t>21.01.2025</w:t>
            </w:r>
          </w:p>
        </w:tc>
        <w:tc>
          <w:tcPr>
            <w:tcW w:w="883" w:type="pct"/>
          </w:tcPr>
          <w:p w14:paraId="069000B8" w14:textId="77777777" w:rsidR="006F4EA5" w:rsidRPr="00720ABF" w:rsidRDefault="006F4EA5" w:rsidP="006704AD">
            <w:pPr>
              <w:pStyle w:val="OTRNameTable11"/>
            </w:pPr>
            <w:r>
              <w:t>Сатлер М.В.</w:t>
            </w:r>
          </w:p>
        </w:tc>
        <w:tc>
          <w:tcPr>
            <w:tcW w:w="3015" w:type="pct"/>
          </w:tcPr>
          <w:p w14:paraId="5D784412" w14:textId="77777777" w:rsidR="006F4EA5" w:rsidRDefault="006F4EA5" w:rsidP="006704AD">
            <w:pPr>
              <w:pStyle w:val="GOSTTablenorm"/>
            </w:pPr>
            <w:r>
              <w:t>Дополнение 1 к Альбому 36.0</w:t>
            </w:r>
          </w:p>
          <w:p w14:paraId="69D84D57" w14:textId="77777777" w:rsidR="006F4EA5" w:rsidRDefault="006F4EA5" w:rsidP="006704AD">
            <w:pPr>
              <w:pStyle w:val="GOSTTablenorm"/>
            </w:pPr>
            <w:r>
              <w:t>Для документов: «Расшифровка сумм неиспользованных средств (ф.0531251), Заявка о внесении наличных денежных средств», «Запрос на отзыв распоряжения (запрос на аннулирование)» добавлены маршруты по взаимодействию между ППО АСФК и МУО СГ.</w:t>
            </w:r>
          </w:p>
          <w:p w14:paraId="2A1BE48A" w14:textId="77777777" w:rsidR="006F4EA5" w:rsidRDefault="006F4EA5" w:rsidP="006704AD">
            <w:pPr>
              <w:pStyle w:val="GOSTTablenorm"/>
            </w:pPr>
            <w:r>
              <w:t>Для документа «Расшифровка сумм неиспользованных средств (ф.0531251), Заявка о внесении наличных денежных средств»:</w:t>
            </w:r>
          </w:p>
          <w:p w14:paraId="0B1B451F" w14:textId="77777777" w:rsidR="006F4EA5" w:rsidRDefault="006F4EA5" w:rsidP="006704AD">
            <w:pPr>
              <w:pStyle w:val="GOSTTableListMark1"/>
              <w:numPr>
                <w:ilvl w:val="0"/>
                <w:numId w:val="154"/>
              </w:numPr>
              <w:tabs>
                <w:tab w:val="clear" w:pos="368"/>
                <w:tab w:val="num" w:pos="340"/>
              </w:tabs>
              <w:ind w:left="340"/>
              <w:jc w:val="both"/>
            </w:pPr>
            <w:r>
              <w:t>уточнены примечания для полей: «Уровень конфиденциальности» (TtlPrt_SECRECY), «Код по Сводному реестру» (Cd), «Наименование клиента» (Nm), «Символ» (Smbl) при передаче между МУО СГ и ППО АСФК;</w:t>
            </w:r>
          </w:p>
          <w:p w14:paraId="30377893" w14:textId="77777777" w:rsidR="006F4EA5" w:rsidRDefault="006F4EA5" w:rsidP="006704AD">
            <w:pPr>
              <w:pStyle w:val="GOSTTableListMark1"/>
              <w:numPr>
                <w:ilvl w:val="0"/>
                <w:numId w:val="154"/>
              </w:numPr>
              <w:tabs>
                <w:tab w:val="clear" w:pos="368"/>
                <w:tab w:val="num" w:pos="340"/>
              </w:tabs>
              <w:ind w:left="340"/>
              <w:jc w:val="both"/>
            </w:pPr>
            <w:r>
              <w:t>изменена на «Нет» обязательность поля «Код по Сводному реестру» (Cd), при передаче между МУО СГ и ППО АСФК.</w:t>
            </w:r>
          </w:p>
          <w:p w14:paraId="5B196FB9" w14:textId="77777777" w:rsidR="006F4EA5" w:rsidRDefault="006F4EA5" w:rsidP="006704AD">
            <w:pPr>
              <w:pStyle w:val="GOSTTablenorm"/>
            </w:pPr>
            <w:r>
              <w:t>Для документа «Запрос на отзыв распоряжения (запрос на аннулирование)»:</w:t>
            </w:r>
          </w:p>
          <w:p w14:paraId="79E0019E" w14:textId="77777777" w:rsidR="006F4EA5" w:rsidRDefault="006F4EA5" w:rsidP="006704AD">
            <w:pPr>
              <w:pStyle w:val="GOSTTableListMark1"/>
              <w:numPr>
                <w:ilvl w:val="0"/>
                <w:numId w:val="154"/>
              </w:numPr>
              <w:tabs>
                <w:tab w:val="clear" w:pos="368"/>
                <w:tab w:val="num" w:pos="340"/>
              </w:tabs>
              <w:ind w:left="340"/>
              <w:jc w:val="both"/>
            </w:pPr>
            <w:r>
              <w:t>уточнены примечания для полей: «Уровень конфиденциальности» (TtlPrt_SECRECY), «Код по Сводному реестру» (Cd), «Код» (аннулируемого документа) (code) при передаче между МУО СГ и ППО АСФК;</w:t>
            </w:r>
          </w:p>
          <w:p w14:paraId="21AAFC71" w14:textId="77777777" w:rsidR="006F4EA5" w:rsidRPr="00720ABF" w:rsidRDefault="006F4EA5" w:rsidP="008B26A8">
            <w:pPr>
              <w:pStyle w:val="GOSTTableListMark1"/>
              <w:numPr>
                <w:ilvl w:val="0"/>
                <w:numId w:val="154"/>
              </w:numPr>
              <w:tabs>
                <w:tab w:val="clear" w:pos="368"/>
                <w:tab w:val="num" w:pos="340"/>
              </w:tabs>
              <w:ind w:left="340"/>
            </w:pPr>
            <w:r>
              <w:t>изменена на «Нет» обязательность поля «Код по Сводному реестру» (Cd), при передаче между МУО СГ и ППО АСФК</w:t>
            </w:r>
          </w:p>
        </w:tc>
      </w:tr>
      <w:tr w:rsidR="006F4EA5" w:rsidRPr="00A77DDB" w14:paraId="5AA0E568" w14:textId="77777777" w:rsidTr="00AD1F54">
        <w:trPr>
          <w:cnfStyle w:val="000000100000" w:firstRow="0" w:lastRow="0" w:firstColumn="0" w:lastColumn="0" w:oddVBand="0" w:evenVBand="0" w:oddHBand="1" w:evenHBand="0" w:firstRowFirstColumn="0" w:firstRowLastColumn="0" w:lastRowFirstColumn="0" w:lastRowLastColumn="0"/>
          <w:trHeight w:val="110"/>
        </w:trPr>
        <w:tc>
          <w:tcPr>
            <w:tcW w:w="439" w:type="pct"/>
            <w:vMerge/>
          </w:tcPr>
          <w:p w14:paraId="0CE32433" w14:textId="77777777" w:rsidR="006F4EA5" w:rsidRDefault="006F4EA5" w:rsidP="00AD28B5">
            <w:pPr>
              <w:pStyle w:val="OTRNameTable11"/>
            </w:pPr>
          </w:p>
        </w:tc>
        <w:tc>
          <w:tcPr>
            <w:tcW w:w="663" w:type="pct"/>
          </w:tcPr>
          <w:p w14:paraId="00F05E12" w14:textId="77777777" w:rsidR="006F4EA5" w:rsidRPr="00E843EA" w:rsidRDefault="006F4EA5" w:rsidP="00AD28B5">
            <w:pPr>
              <w:pStyle w:val="GOSTTablenorm"/>
              <w:rPr>
                <w:szCs w:val="22"/>
              </w:rPr>
            </w:pPr>
            <w:r w:rsidRPr="00E843EA">
              <w:rPr>
                <w:szCs w:val="22"/>
              </w:rPr>
              <w:t>02.04.2025</w:t>
            </w:r>
          </w:p>
        </w:tc>
        <w:tc>
          <w:tcPr>
            <w:tcW w:w="883" w:type="pct"/>
          </w:tcPr>
          <w:p w14:paraId="20558C18" w14:textId="77777777" w:rsidR="006F4EA5" w:rsidRPr="00E843EA" w:rsidRDefault="006F4EA5" w:rsidP="00AD28B5">
            <w:pPr>
              <w:pStyle w:val="GOSTTablenorm"/>
              <w:rPr>
                <w:szCs w:val="22"/>
              </w:rPr>
            </w:pPr>
            <w:r w:rsidRPr="00E843EA">
              <w:rPr>
                <w:szCs w:val="22"/>
              </w:rPr>
              <w:t>Касьян Д.Ю.</w:t>
            </w:r>
          </w:p>
        </w:tc>
        <w:tc>
          <w:tcPr>
            <w:tcW w:w="3015" w:type="pct"/>
          </w:tcPr>
          <w:p w14:paraId="0CEC2700" w14:textId="77777777" w:rsidR="006F4EA5" w:rsidRPr="00E843EA" w:rsidRDefault="006F4EA5" w:rsidP="00AD28B5">
            <w:pPr>
              <w:pStyle w:val="GOSTTablenorm"/>
              <w:rPr>
                <w:szCs w:val="22"/>
              </w:rPr>
            </w:pPr>
            <w:r w:rsidRPr="00E843EA">
              <w:rPr>
                <w:rFonts w:eastAsia="Calibri"/>
                <w:szCs w:val="22"/>
              </w:rPr>
              <w:t>Для документа «Сведения о бюджетном обязательстве» добавлено необязательное поле «Значение пункта исключения по ППРФ 1496»</w:t>
            </w:r>
          </w:p>
        </w:tc>
      </w:tr>
      <w:tr w:rsidR="006F4EA5" w:rsidRPr="00A77DDB" w14:paraId="72442605" w14:textId="77777777" w:rsidTr="00AD1F54">
        <w:trPr>
          <w:cnfStyle w:val="000000010000" w:firstRow="0" w:lastRow="0" w:firstColumn="0" w:lastColumn="0" w:oddVBand="0" w:evenVBand="0" w:oddHBand="0" w:evenHBand="1" w:firstRowFirstColumn="0" w:firstRowLastColumn="0" w:lastRowFirstColumn="0" w:lastRowLastColumn="0"/>
          <w:trHeight w:val="110"/>
        </w:trPr>
        <w:tc>
          <w:tcPr>
            <w:tcW w:w="439" w:type="pct"/>
            <w:vMerge/>
          </w:tcPr>
          <w:p w14:paraId="698DA407" w14:textId="77777777" w:rsidR="006F4EA5" w:rsidRDefault="006F4EA5" w:rsidP="00AD28B5">
            <w:pPr>
              <w:pStyle w:val="OTRNameTable11"/>
            </w:pPr>
          </w:p>
        </w:tc>
        <w:tc>
          <w:tcPr>
            <w:tcW w:w="663" w:type="pct"/>
          </w:tcPr>
          <w:p w14:paraId="79DA8F95" w14:textId="77777777" w:rsidR="006F4EA5" w:rsidRPr="00E843EA" w:rsidRDefault="006F4EA5" w:rsidP="00AD28B5">
            <w:pPr>
              <w:pStyle w:val="GOSTTablenorm"/>
              <w:rPr>
                <w:szCs w:val="22"/>
              </w:rPr>
            </w:pPr>
            <w:r w:rsidRPr="00E843EA">
              <w:rPr>
                <w:szCs w:val="22"/>
              </w:rPr>
              <w:t>09.04.2025</w:t>
            </w:r>
          </w:p>
        </w:tc>
        <w:tc>
          <w:tcPr>
            <w:tcW w:w="883" w:type="pct"/>
          </w:tcPr>
          <w:p w14:paraId="50C34EAC" w14:textId="77777777" w:rsidR="006F4EA5" w:rsidRPr="00E843EA" w:rsidRDefault="006F4EA5" w:rsidP="00AD28B5">
            <w:pPr>
              <w:pStyle w:val="GOSTTablenorm"/>
              <w:rPr>
                <w:szCs w:val="22"/>
              </w:rPr>
            </w:pPr>
            <w:r w:rsidRPr="00E843EA">
              <w:rPr>
                <w:szCs w:val="22"/>
              </w:rPr>
              <w:t>Коршунова Н.А.</w:t>
            </w:r>
          </w:p>
        </w:tc>
        <w:tc>
          <w:tcPr>
            <w:tcW w:w="3015" w:type="pct"/>
          </w:tcPr>
          <w:p w14:paraId="6FAE0CF3" w14:textId="77777777" w:rsidR="006F4EA5" w:rsidRDefault="006F4EA5" w:rsidP="00AD28B5">
            <w:pPr>
              <w:pStyle w:val="GOSTTablenorm"/>
            </w:pPr>
            <w:r>
              <w:t>Дополнение 2 к Альбому 36.0</w:t>
            </w:r>
          </w:p>
          <w:p w14:paraId="0333B8C6" w14:textId="77777777" w:rsidR="006F4EA5" w:rsidRPr="00E843EA" w:rsidRDefault="006F4EA5" w:rsidP="00AD28B5">
            <w:pPr>
              <w:pStyle w:val="GOSTTablenorm"/>
              <w:rPr>
                <w:rFonts w:eastAsia="Calibri"/>
                <w:szCs w:val="22"/>
                <w:highlight w:val="yellow"/>
              </w:rPr>
            </w:pPr>
            <w:r w:rsidRPr="00E843EA">
              <w:rPr>
                <w:rFonts w:eastAsia="Calibri"/>
                <w:szCs w:val="22"/>
              </w:rPr>
              <w:t xml:space="preserve">Для документа </w:t>
            </w:r>
            <w:r w:rsidRPr="00E843EA">
              <w:rPr>
                <w:szCs w:val="22"/>
              </w:rPr>
              <w:t xml:space="preserve">«Сведения о денежном обязательстве» в блок «Расшифровка обязательства» добавлены новые поля «Сумма возврата дебиторской задолженности», «Учетный номер денежного обязательства, требующего </w:t>
            </w:r>
            <w:r w:rsidRPr="00E843EA">
              <w:rPr>
                <w:szCs w:val="22"/>
              </w:rPr>
              <w:lastRenderedPageBreak/>
              <w:t>подтверждения», «Дата представления документа-основания для платежа, требующего подтверждения». Изменено наименование поля на «Перечислено средств, требующих подтверждения»</w:t>
            </w:r>
          </w:p>
        </w:tc>
      </w:tr>
      <w:tr w:rsidR="006F4EA5" w:rsidRPr="00A77DDB" w14:paraId="5940CB16" w14:textId="77777777" w:rsidTr="00AD1F54">
        <w:trPr>
          <w:cnfStyle w:val="000000100000" w:firstRow="0" w:lastRow="0" w:firstColumn="0" w:lastColumn="0" w:oddVBand="0" w:evenVBand="0" w:oddHBand="1" w:evenHBand="0" w:firstRowFirstColumn="0" w:firstRowLastColumn="0" w:lastRowFirstColumn="0" w:lastRowLastColumn="0"/>
          <w:trHeight w:val="110"/>
        </w:trPr>
        <w:tc>
          <w:tcPr>
            <w:tcW w:w="439" w:type="pct"/>
            <w:vMerge/>
          </w:tcPr>
          <w:p w14:paraId="3B738076" w14:textId="77777777" w:rsidR="006F4EA5" w:rsidRDefault="006F4EA5" w:rsidP="00601408">
            <w:pPr>
              <w:pStyle w:val="OTRNameTable11"/>
            </w:pPr>
          </w:p>
        </w:tc>
        <w:tc>
          <w:tcPr>
            <w:tcW w:w="663" w:type="pct"/>
          </w:tcPr>
          <w:p w14:paraId="5913F5F9" w14:textId="77777777" w:rsidR="006F4EA5" w:rsidRPr="00E843EA" w:rsidRDefault="006F4EA5" w:rsidP="00601408">
            <w:pPr>
              <w:pStyle w:val="GOSTTablenorm"/>
              <w:rPr>
                <w:szCs w:val="22"/>
              </w:rPr>
            </w:pPr>
            <w:r w:rsidRPr="00E843EA">
              <w:rPr>
                <w:szCs w:val="22"/>
              </w:rPr>
              <w:t>18.04.2025</w:t>
            </w:r>
          </w:p>
        </w:tc>
        <w:tc>
          <w:tcPr>
            <w:tcW w:w="883" w:type="pct"/>
          </w:tcPr>
          <w:p w14:paraId="6DD039C1" w14:textId="77777777" w:rsidR="006F4EA5" w:rsidRPr="00E843EA" w:rsidRDefault="006F4EA5" w:rsidP="00601408">
            <w:pPr>
              <w:pStyle w:val="GOSTTablenorm"/>
              <w:rPr>
                <w:szCs w:val="22"/>
              </w:rPr>
            </w:pPr>
            <w:r w:rsidRPr="00E843EA">
              <w:rPr>
                <w:szCs w:val="22"/>
              </w:rPr>
              <w:t>Коршунова Н.А.</w:t>
            </w:r>
          </w:p>
        </w:tc>
        <w:tc>
          <w:tcPr>
            <w:tcW w:w="3015" w:type="pct"/>
          </w:tcPr>
          <w:p w14:paraId="68449B52" w14:textId="77777777" w:rsidR="006F4EA5" w:rsidRDefault="006F4EA5" w:rsidP="00601408">
            <w:pPr>
              <w:pStyle w:val="GOSTTablenorm"/>
            </w:pPr>
            <w:r>
              <w:t>Дополнение 2 к Альбому 36.0</w:t>
            </w:r>
          </w:p>
          <w:p w14:paraId="2B077C85" w14:textId="77777777" w:rsidR="006F4EA5" w:rsidRPr="00E843EA" w:rsidRDefault="006F4EA5" w:rsidP="00601408">
            <w:pPr>
              <w:pStyle w:val="GOSTTablenorm"/>
              <w:rPr>
                <w:rFonts w:eastAsia="Calibri"/>
                <w:szCs w:val="22"/>
              </w:rPr>
            </w:pPr>
            <w:r w:rsidRPr="00E843EA">
              <w:rPr>
                <w:rFonts w:eastAsia="Calibri"/>
                <w:szCs w:val="22"/>
              </w:rPr>
              <w:t xml:space="preserve">Для документа «Уведомление об уточнении вида и принадлежности платежа» (ф. 0531809) добавлены новые маршруты </w:t>
            </w:r>
            <w:r>
              <w:rPr>
                <w:rFonts w:eastAsia="Calibri"/>
                <w:szCs w:val="22"/>
              </w:rPr>
              <w:t>ТОФК (ПУР ЭБ)</w:t>
            </w:r>
            <w:r w:rsidRPr="00E843EA">
              <w:rPr>
                <w:rFonts w:eastAsia="Calibri"/>
                <w:szCs w:val="22"/>
              </w:rPr>
              <w:t xml:space="preserve"> - </w:t>
            </w:r>
            <w:r>
              <w:rPr>
                <w:rFonts w:eastAsia="Calibri"/>
                <w:szCs w:val="22"/>
              </w:rPr>
              <w:t>ПБС (ПФХД)</w:t>
            </w:r>
            <w:r w:rsidRPr="00E843EA">
              <w:rPr>
                <w:rFonts w:eastAsia="Calibri"/>
                <w:szCs w:val="22"/>
              </w:rPr>
              <w:t xml:space="preserve">, </w:t>
            </w:r>
            <w:r>
              <w:rPr>
                <w:rFonts w:eastAsia="Calibri"/>
                <w:szCs w:val="22"/>
              </w:rPr>
              <w:t>ТОФК (ПУР ЭБ)</w:t>
            </w:r>
            <w:r w:rsidRPr="00E843EA">
              <w:rPr>
                <w:rFonts w:eastAsia="Calibri"/>
                <w:szCs w:val="22"/>
              </w:rPr>
              <w:t xml:space="preserve"> - </w:t>
            </w:r>
            <w:r>
              <w:rPr>
                <w:rFonts w:eastAsia="Calibri"/>
                <w:szCs w:val="22"/>
              </w:rPr>
              <w:t>ПБС</w:t>
            </w:r>
          </w:p>
        </w:tc>
      </w:tr>
      <w:tr w:rsidR="006F4EA5" w:rsidRPr="00A77DDB" w14:paraId="7B816D76" w14:textId="77777777" w:rsidTr="00AD1F54">
        <w:trPr>
          <w:cnfStyle w:val="000000010000" w:firstRow="0" w:lastRow="0" w:firstColumn="0" w:lastColumn="0" w:oddVBand="0" w:evenVBand="0" w:oddHBand="0" w:evenHBand="1" w:firstRowFirstColumn="0" w:firstRowLastColumn="0" w:lastRowFirstColumn="0" w:lastRowLastColumn="0"/>
          <w:trHeight w:val="110"/>
        </w:trPr>
        <w:tc>
          <w:tcPr>
            <w:tcW w:w="439" w:type="pct"/>
            <w:vMerge/>
          </w:tcPr>
          <w:p w14:paraId="25BC03DA" w14:textId="77777777" w:rsidR="006F4EA5" w:rsidRDefault="006F4EA5" w:rsidP="00601408">
            <w:pPr>
              <w:pStyle w:val="OTRNameTable11"/>
            </w:pPr>
          </w:p>
        </w:tc>
        <w:tc>
          <w:tcPr>
            <w:tcW w:w="663" w:type="pct"/>
          </w:tcPr>
          <w:p w14:paraId="38EC9B83" w14:textId="77777777" w:rsidR="006F4EA5" w:rsidRPr="00E843EA" w:rsidRDefault="006F4EA5" w:rsidP="00601408">
            <w:pPr>
              <w:pStyle w:val="GOSTTablenorm"/>
              <w:rPr>
                <w:szCs w:val="22"/>
              </w:rPr>
            </w:pPr>
            <w:r w:rsidRPr="00E843EA">
              <w:rPr>
                <w:szCs w:val="22"/>
              </w:rPr>
              <w:t>21.04.2025</w:t>
            </w:r>
          </w:p>
        </w:tc>
        <w:tc>
          <w:tcPr>
            <w:tcW w:w="883" w:type="pct"/>
          </w:tcPr>
          <w:p w14:paraId="6816B7D8" w14:textId="77777777" w:rsidR="006F4EA5" w:rsidRPr="00E843EA" w:rsidRDefault="006F4EA5" w:rsidP="00601408">
            <w:pPr>
              <w:pStyle w:val="GOSTTablenorm"/>
              <w:rPr>
                <w:szCs w:val="22"/>
              </w:rPr>
            </w:pPr>
            <w:r w:rsidRPr="00E843EA">
              <w:rPr>
                <w:szCs w:val="22"/>
              </w:rPr>
              <w:t>Коршунова Н.А.</w:t>
            </w:r>
          </w:p>
        </w:tc>
        <w:tc>
          <w:tcPr>
            <w:tcW w:w="3015" w:type="pct"/>
          </w:tcPr>
          <w:p w14:paraId="4A97CFB5" w14:textId="77777777" w:rsidR="006F4EA5" w:rsidRDefault="006F4EA5" w:rsidP="00601408">
            <w:pPr>
              <w:pStyle w:val="GOSTTablenorm"/>
            </w:pPr>
            <w:r>
              <w:t>Дополнение 2 к Альбому 36.0</w:t>
            </w:r>
          </w:p>
          <w:p w14:paraId="3D081E5B" w14:textId="77777777" w:rsidR="006F4EA5" w:rsidRPr="00E843EA" w:rsidRDefault="006F4EA5" w:rsidP="00601408">
            <w:pPr>
              <w:pStyle w:val="GOSTTablenorm"/>
              <w:rPr>
                <w:rFonts w:eastAsia="Calibri"/>
                <w:szCs w:val="22"/>
              </w:rPr>
            </w:pPr>
            <w:r w:rsidRPr="00E843EA">
              <w:rPr>
                <w:rFonts w:eastAsia="Calibri"/>
                <w:szCs w:val="22"/>
              </w:rPr>
              <w:t>Для документа «Уведомление об уточнении вида и принадлежности платежа» (ф. 0531809) уточнена передача по маршрут</w:t>
            </w:r>
            <w:r>
              <w:rPr>
                <w:rFonts w:eastAsia="Calibri"/>
                <w:szCs w:val="22"/>
              </w:rPr>
              <w:t>у</w:t>
            </w:r>
            <w:r w:rsidRPr="00E843EA">
              <w:rPr>
                <w:rFonts w:eastAsia="Calibri"/>
                <w:szCs w:val="22"/>
              </w:rPr>
              <w:t xml:space="preserve"> </w:t>
            </w:r>
            <w:r>
              <w:rPr>
                <w:rFonts w:eastAsia="Calibri"/>
                <w:szCs w:val="22"/>
              </w:rPr>
              <w:t>ТОФК (ПУР ЭБ)</w:t>
            </w:r>
            <w:r w:rsidRPr="00E843EA">
              <w:rPr>
                <w:rFonts w:eastAsia="Calibri"/>
                <w:szCs w:val="22"/>
              </w:rPr>
              <w:t xml:space="preserve"> - </w:t>
            </w:r>
            <w:r>
              <w:rPr>
                <w:rFonts w:eastAsia="Calibri"/>
                <w:szCs w:val="22"/>
              </w:rPr>
              <w:t>ПБС (ПФХД)</w:t>
            </w:r>
          </w:p>
        </w:tc>
      </w:tr>
      <w:tr w:rsidR="006F4EA5" w:rsidRPr="00A77DDB" w14:paraId="56601DCC" w14:textId="77777777" w:rsidTr="00AD1F54">
        <w:trPr>
          <w:cnfStyle w:val="000000100000" w:firstRow="0" w:lastRow="0" w:firstColumn="0" w:lastColumn="0" w:oddVBand="0" w:evenVBand="0" w:oddHBand="1" w:evenHBand="0" w:firstRowFirstColumn="0" w:firstRowLastColumn="0" w:lastRowFirstColumn="0" w:lastRowLastColumn="0"/>
          <w:trHeight w:val="110"/>
        </w:trPr>
        <w:tc>
          <w:tcPr>
            <w:tcW w:w="439" w:type="pct"/>
            <w:vMerge/>
          </w:tcPr>
          <w:p w14:paraId="2F5130FE" w14:textId="77777777" w:rsidR="006F4EA5" w:rsidRDefault="006F4EA5" w:rsidP="00601408">
            <w:pPr>
              <w:pStyle w:val="OTRNameTable11"/>
            </w:pPr>
          </w:p>
        </w:tc>
        <w:tc>
          <w:tcPr>
            <w:tcW w:w="663" w:type="pct"/>
          </w:tcPr>
          <w:p w14:paraId="58D1541E" w14:textId="77777777" w:rsidR="006F4EA5" w:rsidRPr="00E843EA" w:rsidRDefault="006F4EA5" w:rsidP="00601408">
            <w:pPr>
              <w:pStyle w:val="GOSTTablenorm"/>
              <w:rPr>
                <w:szCs w:val="22"/>
              </w:rPr>
            </w:pPr>
            <w:r w:rsidRPr="00E843EA">
              <w:rPr>
                <w:szCs w:val="22"/>
              </w:rPr>
              <w:t>28.04.2025</w:t>
            </w:r>
          </w:p>
        </w:tc>
        <w:tc>
          <w:tcPr>
            <w:tcW w:w="883" w:type="pct"/>
          </w:tcPr>
          <w:p w14:paraId="7194E68D" w14:textId="77777777" w:rsidR="006F4EA5" w:rsidRPr="00E843EA" w:rsidRDefault="006F4EA5" w:rsidP="00601408">
            <w:pPr>
              <w:pStyle w:val="GOSTTablenorm"/>
              <w:rPr>
                <w:szCs w:val="22"/>
              </w:rPr>
            </w:pPr>
            <w:r w:rsidRPr="00E843EA">
              <w:rPr>
                <w:szCs w:val="22"/>
              </w:rPr>
              <w:t>Коршунова Н.А.</w:t>
            </w:r>
          </w:p>
        </w:tc>
        <w:tc>
          <w:tcPr>
            <w:tcW w:w="3015" w:type="pct"/>
          </w:tcPr>
          <w:p w14:paraId="785D9F63" w14:textId="77777777" w:rsidR="006F4EA5" w:rsidRDefault="006F4EA5" w:rsidP="00601408">
            <w:pPr>
              <w:pStyle w:val="GOSTTablenorm"/>
            </w:pPr>
            <w:r>
              <w:t>Дополнение 2 к Альбому 36.0</w:t>
            </w:r>
          </w:p>
          <w:p w14:paraId="3AB89605" w14:textId="77777777" w:rsidR="006F4EA5" w:rsidRPr="00E843EA" w:rsidRDefault="006F4EA5" w:rsidP="00601408">
            <w:pPr>
              <w:pStyle w:val="GOSTTablenorm"/>
              <w:rPr>
                <w:rFonts w:eastAsia="Calibri"/>
                <w:szCs w:val="22"/>
              </w:rPr>
            </w:pPr>
            <w:r w:rsidRPr="00E843EA">
              <w:rPr>
                <w:rFonts w:eastAsia="Calibri"/>
                <w:szCs w:val="22"/>
              </w:rPr>
              <w:t>Уточнена передача документ</w:t>
            </w:r>
            <w:r>
              <w:rPr>
                <w:rFonts w:eastAsia="Calibri"/>
                <w:szCs w:val="22"/>
              </w:rPr>
              <w:t>ов</w:t>
            </w:r>
            <w:r w:rsidRPr="00E843EA">
              <w:rPr>
                <w:rFonts w:eastAsia="Calibri"/>
                <w:szCs w:val="22"/>
              </w:rPr>
              <w:t xml:space="preserve"> «Уведомление об уточнении вида и принадлежности платежа» (ф. 0531809), «Заявление на проведение операций с иностранной валютой» по маршрутам</w:t>
            </w:r>
          </w:p>
        </w:tc>
      </w:tr>
      <w:tr w:rsidR="006F4EA5" w:rsidRPr="00A77DDB" w14:paraId="455B6451" w14:textId="77777777" w:rsidTr="00AD1F54">
        <w:trPr>
          <w:cnfStyle w:val="000000010000" w:firstRow="0" w:lastRow="0" w:firstColumn="0" w:lastColumn="0" w:oddVBand="0" w:evenVBand="0" w:oddHBand="0" w:evenHBand="1" w:firstRowFirstColumn="0" w:firstRowLastColumn="0" w:lastRowFirstColumn="0" w:lastRowLastColumn="0"/>
          <w:trHeight w:val="110"/>
        </w:trPr>
        <w:tc>
          <w:tcPr>
            <w:tcW w:w="439" w:type="pct"/>
            <w:vMerge/>
          </w:tcPr>
          <w:p w14:paraId="40640F19" w14:textId="77777777" w:rsidR="006F4EA5" w:rsidRDefault="006F4EA5" w:rsidP="00601408">
            <w:pPr>
              <w:pStyle w:val="OTRNameTable11"/>
            </w:pPr>
          </w:p>
        </w:tc>
        <w:tc>
          <w:tcPr>
            <w:tcW w:w="663" w:type="pct"/>
          </w:tcPr>
          <w:p w14:paraId="59A412D0" w14:textId="77777777" w:rsidR="006F4EA5" w:rsidRPr="00E843EA" w:rsidRDefault="006F4EA5" w:rsidP="00601408">
            <w:pPr>
              <w:pStyle w:val="GOSTTablenorm"/>
              <w:rPr>
                <w:szCs w:val="22"/>
              </w:rPr>
            </w:pPr>
            <w:r w:rsidRPr="00E843EA">
              <w:rPr>
                <w:szCs w:val="22"/>
              </w:rPr>
              <w:t>28.04.2025</w:t>
            </w:r>
          </w:p>
        </w:tc>
        <w:tc>
          <w:tcPr>
            <w:tcW w:w="883" w:type="pct"/>
          </w:tcPr>
          <w:p w14:paraId="0672A283" w14:textId="77777777" w:rsidR="006F4EA5" w:rsidRPr="00E843EA" w:rsidRDefault="006F4EA5" w:rsidP="00601408">
            <w:pPr>
              <w:pStyle w:val="GOSTTablenorm"/>
              <w:rPr>
                <w:szCs w:val="22"/>
              </w:rPr>
            </w:pPr>
            <w:r w:rsidRPr="00E843EA">
              <w:rPr>
                <w:szCs w:val="22"/>
              </w:rPr>
              <w:t>Гилязова Е.В.</w:t>
            </w:r>
          </w:p>
        </w:tc>
        <w:tc>
          <w:tcPr>
            <w:tcW w:w="3015" w:type="pct"/>
          </w:tcPr>
          <w:p w14:paraId="76D1331C" w14:textId="77777777" w:rsidR="006F4EA5" w:rsidRDefault="006F4EA5" w:rsidP="00601408">
            <w:pPr>
              <w:pStyle w:val="GOSTTablenorm"/>
            </w:pPr>
            <w:r>
              <w:t>Дополнение 2 к Альбому 36.0</w:t>
            </w:r>
          </w:p>
          <w:p w14:paraId="52A2A9DD" w14:textId="77777777" w:rsidR="006F4EA5" w:rsidRPr="00E843EA" w:rsidRDefault="006F4EA5" w:rsidP="00601408">
            <w:pPr>
              <w:pStyle w:val="GOSTTablenorm"/>
              <w:rPr>
                <w:rFonts w:eastAsia="Calibri"/>
                <w:szCs w:val="22"/>
              </w:rPr>
            </w:pPr>
            <w:r w:rsidRPr="00E843EA">
              <w:rPr>
                <w:szCs w:val="22"/>
              </w:rPr>
              <w:t xml:space="preserve">Для документа «Распоряжение о перечислении денежных средств на банковские карты «Мир» </w:t>
            </w:r>
            <w:r>
              <w:rPr>
                <w:szCs w:val="22"/>
              </w:rPr>
              <w:t>д</w:t>
            </w:r>
            <w:r w:rsidRPr="00E843EA">
              <w:rPr>
                <w:szCs w:val="22"/>
              </w:rPr>
              <w:t>обавлена ссылка</w:t>
            </w:r>
            <w:r>
              <w:rPr>
                <w:szCs w:val="22"/>
              </w:rPr>
              <w:t xml:space="preserve"> </w:t>
            </w:r>
            <w:r w:rsidRPr="00E843EA">
              <w:rPr>
                <w:szCs w:val="22"/>
              </w:rPr>
              <w:t>на альбом «Требования к форматам обмена распоряжений о совершении казначейского платежа (перечисление на карты «МИР»), используемым при информационном взаимодействии между территориальными органами Федерального казначейства и участниками бюджетного процесса, бюджетными учреждениями, автономными учреждениями»</w:t>
            </w:r>
          </w:p>
        </w:tc>
      </w:tr>
      <w:tr w:rsidR="006F4EA5" w:rsidRPr="00A77DDB" w14:paraId="36D12F33" w14:textId="77777777" w:rsidTr="00AD1F54">
        <w:trPr>
          <w:cnfStyle w:val="000000100000" w:firstRow="0" w:lastRow="0" w:firstColumn="0" w:lastColumn="0" w:oddVBand="0" w:evenVBand="0" w:oddHBand="1" w:evenHBand="0" w:firstRowFirstColumn="0" w:firstRowLastColumn="0" w:lastRowFirstColumn="0" w:lastRowLastColumn="0"/>
          <w:trHeight w:val="110"/>
        </w:trPr>
        <w:tc>
          <w:tcPr>
            <w:tcW w:w="439" w:type="pct"/>
            <w:vMerge/>
          </w:tcPr>
          <w:p w14:paraId="5E2459E1" w14:textId="77777777" w:rsidR="006F4EA5" w:rsidRDefault="006F4EA5" w:rsidP="00601408">
            <w:pPr>
              <w:pStyle w:val="OTRNameTable11"/>
            </w:pPr>
          </w:p>
        </w:tc>
        <w:tc>
          <w:tcPr>
            <w:tcW w:w="663" w:type="pct"/>
          </w:tcPr>
          <w:p w14:paraId="33990081" w14:textId="77777777" w:rsidR="006F4EA5" w:rsidRPr="00E843EA" w:rsidRDefault="006F4EA5" w:rsidP="00601408">
            <w:pPr>
              <w:pStyle w:val="GOSTTablenorm"/>
              <w:rPr>
                <w:szCs w:val="22"/>
              </w:rPr>
            </w:pPr>
            <w:r w:rsidRPr="00E843EA">
              <w:rPr>
                <w:szCs w:val="22"/>
              </w:rPr>
              <w:t>29.04.2025</w:t>
            </w:r>
          </w:p>
        </w:tc>
        <w:tc>
          <w:tcPr>
            <w:tcW w:w="883" w:type="pct"/>
          </w:tcPr>
          <w:p w14:paraId="0FB520B2" w14:textId="77777777" w:rsidR="006F4EA5" w:rsidRPr="00E843EA" w:rsidRDefault="006F4EA5" w:rsidP="00601408">
            <w:pPr>
              <w:pStyle w:val="GOSTTablenorm"/>
              <w:rPr>
                <w:szCs w:val="22"/>
              </w:rPr>
            </w:pPr>
            <w:r w:rsidRPr="00E843EA">
              <w:rPr>
                <w:szCs w:val="22"/>
              </w:rPr>
              <w:t>Гилязова Е.В.</w:t>
            </w:r>
          </w:p>
        </w:tc>
        <w:tc>
          <w:tcPr>
            <w:tcW w:w="3015" w:type="pct"/>
          </w:tcPr>
          <w:p w14:paraId="32B3F93F" w14:textId="77777777" w:rsidR="006F4EA5" w:rsidRDefault="006F4EA5" w:rsidP="00601408">
            <w:pPr>
              <w:pStyle w:val="GOSTTablenorm"/>
            </w:pPr>
            <w:r>
              <w:t>Дополнение 2 к Альбому 36.0</w:t>
            </w:r>
          </w:p>
          <w:p w14:paraId="3D6DC2A6" w14:textId="77777777" w:rsidR="006F4EA5" w:rsidRPr="00E843EA" w:rsidRDefault="006F4EA5" w:rsidP="00601408">
            <w:pPr>
              <w:pStyle w:val="GOSTTablenorm"/>
              <w:rPr>
                <w:szCs w:val="22"/>
              </w:rPr>
            </w:pPr>
            <w:r w:rsidRPr="00E843EA">
              <w:rPr>
                <w:szCs w:val="22"/>
              </w:rPr>
              <w:t xml:space="preserve">Для документа «Заявление на проведение операций с иностранной валютой» добавлен маршрут </w:t>
            </w:r>
            <w:r>
              <w:rPr>
                <w:szCs w:val="22"/>
              </w:rPr>
              <w:t>ТОФК (ПУД ЭБ)</w:t>
            </w:r>
            <w:r w:rsidRPr="00E843EA">
              <w:rPr>
                <w:szCs w:val="22"/>
              </w:rPr>
              <w:t xml:space="preserve"> - </w:t>
            </w:r>
            <w:r>
              <w:rPr>
                <w:szCs w:val="22"/>
              </w:rPr>
              <w:t>ФНС, ФТС (АДБ, АИФДБ)</w:t>
            </w:r>
          </w:p>
        </w:tc>
      </w:tr>
      <w:tr w:rsidR="006F4EA5" w:rsidRPr="00A77DDB" w14:paraId="587EA5AA" w14:textId="77777777" w:rsidTr="00AD1F54">
        <w:trPr>
          <w:cnfStyle w:val="000000010000" w:firstRow="0" w:lastRow="0" w:firstColumn="0" w:lastColumn="0" w:oddVBand="0" w:evenVBand="0" w:oddHBand="0" w:evenHBand="1" w:firstRowFirstColumn="0" w:firstRowLastColumn="0" w:lastRowFirstColumn="0" w:lastRowLastColumn="0"/>
          <w:trHeight w:val="110"/>
        </w:trPr>
        <w:tc>
          <w:tcPr>
            <w:tcW w:w="439" w:type="pct"/>
            <w:vMerge/>
          </w:tcPr>
          <w:p w14:paraId="120C89A7" w14:textId="77777777" w:rsidR="006F4EA5" w:rsidRDefault="006F4EA5" w:rsidP="00601408">
            <w:pPr>
              <w:pStyle w:val="OTRNameTable11"/>
            </w:pPr>
          </w:p>
        </w:tc>
        <w:tc>
          <w:tcPr>
            <w:tcW w:w="663" w:type="pct"/>
          </w:tcPr>
          <w:p w14:paraId="06098225" w14:textId="77777777" w:rsidR="006F4EA5" w:rsidRPr="00E843EA" w:rsidRDefault="006F4EA5" w:rsidP="00601408">
            <w:pPr>
              <w:pStyle w:val="GOSTTablenorm"/>
              <w:rPr>
                <w:szCs w:val="22"/>
              </w:rPr>
            </w:pPr>
            <w:r>
              <w:rPr>
                <w:szCs w:val="22"/>
              </w:rPr>
              <w:t>14.05.2025</w:t>
            </w:r>
          </w:p>
        </w:tc>
        <w:tc>
          <w:tcPr>
            <w:tcW w:w="883" w:type="pct"/>
          </w:tcPr>
          <w:p w14:paraId="35D27AF1" w14:textId="77777777" w:rsidR="006F4EA5" w:rsidRPr="00E843EA" w:rsidRDefault="006F4EA5" w:rsidP="00601408">
            <w:pPr>
              <w:pStyle w:val="GOSTTablenorm"/>
              <w:rPr>
                <w:szCs w:val="22"/>
              </w:rPr>
            </w:pPr>
            <w:r>
              <w:rPr>
                <w:szCs w:val="22"/>
              </w:rPr>
              <w:t xml:space="preserve">Касьян Д.Ю. </w:t>
            </w:r>
          </w:p>
        </w:tc>
        <w:tc>
          <w:tcPr>
            <w:tcW w:w="3015" w:type="pct"/>
          </w:tcPr>
          <w:p w14:paraId="66C33D8D" w14:textId="77777777" w:rsidR="006F4EA5" w:rsidRDefault="006F4EA5" w:rsidP="00601408">
            <w:pPr>
              <w:pStyle w:val="GOSTTablenorm"/>
            </w:pPr>
            <w:r>
              <w:t>Дополнение 2 к Альбому 36.0</w:t>
            </w:r>
          </w:p>
          <w:p w14:paraId="6B1D276E" w14:textId="77777777" w:rsidR="006F4EA5" w:rsidRPr="00511B5B" w:rsidRDefault="006F4EA5" w:rsidP="00601408">
            <w:pPr>
              <w:pStyle w:val="GOSTTablenorm"/>
              <w:rPr>
                <w:b/>
                <w:szCs w:val="22"/>
              </w:rPr>
            </w:pPr>
            <w:r w:rsidRPr="00511B5B">
              <w:rPr>
                <w:rFonts w:eastAsia="Calibri"/>
                <w:szCs w:val="22"/>
              </w:rPr>
              <w:t xml:space="preserve">Для документа «Уведомление об уточнении вида и принадлежности платежа» (ф. 0531809) добавлены маршруты </w:t>
            </w:r>
            <w:r>
              <w:rPr>
                <w:rFonts w:eastAsia="Calibri"/>
                <w:szCs w:val="22"/>
              </w:rPr>
              <w:t>ТОФК (ПУР ЭБ)</w:t>
            </w:r>
            <w:r w:rsidRPr="00511B5B">
              <w:rPr>
                <w:rFonts w:eastAsia="Calibri"/>
                <w:szCs w:val="22"/>
              </w:rPr>
              <w:t xml:space="preserve"> - ИПБС, </w:t>
            </w:r>
            <w:r>
              <w:rPr>
                <w:rFonts w:eastAsia="Calibri"/>
                <w:szCs w:val="22"/>
              </w:rPr>
              <w:t>ТОФК (ПУР ЭБ)</w:t>
            </w:r>
            <w:r w:rsidRPr="00511B5B">
              <w:rPr>
                <w:rFonts w:eastAsia="Calibri"/>
                <w:szCs w:val="22"/>
              </w:rPr>
              <w:t xml:space="preserve"> - ИПБС (ПФХД), </w:t>
            </w:r>
            <w:r>
              <w:rPr>
                <w:rFonts w:eastAsia="Calibri"/>
                <w:szCs w:val="22"/>
              </w:rPr>
              <w:t>ТОФК (ПУР ЭБ)</w:t>
            </w:r>
            <w:r w:rsidRPr="00511B5B">
              <w:rPr>
                <w:rFonts w:eastAsia="Calibri"/>
                <w:szCs w:val="22"/>
              </w:rPr>
              <w:t xml:space="preserve"> - АИФДБ (ПФХД)</w:t>
            </w:r>
          </w:p>
        </w:tc>
      </w:tr>
      <w:tr w:rsidR="006F4EA5" w:rsidRPr="00A77DDB" w14:paraId="42A431D2" w14:textId="77777777" w:rsidTr="00AD1F54">
        <w:trPr>
          <w:cnfStyle w:val="000000100000" w:firstRow="0" w:lastRow="0" w:firstColumn="0" w:lastColumn="0" w:oddVBand="0" w:evenVBand="0" w:oddHBand="1" w:evenHBand="0" w:firstRowFirstColumn="0" w:firstRowLastColumn="0" w:lastRowFirstColumn="0" w:lastRowLastColumn="0"/>
          <w:trHeight w:val="110"/>
        </w:trPr>
        <w:tc>
          <w:tcPr>
            <w:tcW w:w="439" w:type="pct"/>
            <w:vMerge/>
          </w:tcPr>
          <w:p w14:paraId="0DA64A98" w14:textId="77777777" w:rsidR="006F4EA5" w:rsidRDefault="006F4EA5" w:rsidP="00601408">
            <w:pPr>
              <w:pStyle w:val="OTRNameTable11"/>
            </w:pPr>
          </w:p>
        </w:tc>
        <w:tc>
          <w:tcPr>
            <w:tcW w:w="663" w:type="pct"/>
          </w:tcPr>
          <w:p w14:paraId="3F8868E8" w14:textId="77777777" w:rsidR="006F4EA5" w:rsidRDefault="006F4EA5" w:rsidP="00601408">
            <w:pPr>
              <w:pStyle w:val="GOSTTablenorm"/>
              <w:rPr>
                <w:szCs w:val="22"/>
              </w:rPr>
            </w:pPr>
            <w:r>
              <w:rPr>
                <w:szCs w:val="22"/>
              </w:rPr>
              <w:t>20.05</w:t>
            </w:r>
            <w:r w:rsidRPr="00E843EA">
              <w:rPr>
                <w:szCs w:val="22"/>
              </w:rPr>
              <w:t>.2025</w:t>
            </w:r>
          </w:p>
        </w:tc>
        <w:tc>
          <w:tcPr>
            <w:tcW w:w="883" w:type="pct"/>
          </w:tcPr>
          <w:p w14:paraId="6F2D7541" w14:textId="77777777" w:rsidR="006F4EA5" w:rsidRPr="00E843EA" w:rsidRDefault="006F4EA5" w:rsidP="00601408">
            <w:pPr>
              <w:pStyle w:val="GOSTTablenorm"/>
              <w:rPr>
                <w:szCs w:val="22"/>
              </w:rPr>
            </w:pPr>
            <w:r w:rsidRPr="00E843EA">
              <w:rPr>
                <w:szCs w:val="22"/>
              </w:rPr>
              <w:t>Гилязова Е.В.</w:t>
            </w:r>
          </w:p>
        </w:tc>
        <w:tc>
          <w:tcPr>
            <w:tcW w:w="3015" w:type="pct"/>
          </w:tcPr>
          <w:p w14:paraId="3DF82ACF" w14:textId="77777777" w:rsidR="006F4EA5" w:rsidRDefault="006F4EA5" w:rsidP="00601408">
            <w:pPr>
              <w:pStyle w:val="GOSTTablenorm"/>
            </w:pPr>
            <w:r>
              <w:t>Дополнение 2 к Альбому 36.0</w:t>
            </w:r>
          </w:p>
          <w:p w14:paraId="748F2C20" w14:textId="77777777" w:rsidR="006F4EA5" w:rsidRDefault="006F4EA5" w:rsidP="00601408">
            <w:pPr>
              <w:pStyle w:val="GOSTTablenorm"/>
              <w:rPr>
                <w:szCs w:val="22"/>
              </w:rPr>
            </w:pPr>
            <w:r>
              <w:rPr>
                <w:szCs w:val="22"/>
              </w:rPr>
              <w:t>Д</w:t>
            </w:r>
            <w:r w:rsidRPr="00E843EA">
              <w:rPr>
                <w:szCs w:val="22"/>
              </w:rPr>
              <w:t xml:space="preserve">обавлен </w:t>
            </w:r>
            <w:r>
              <w:rPr>
                <w:szCs w:val="22"/>
              </w:rPr>
              <w:t xml:space="preserve">маршрут ТОФК (ПУД ЭБ) – ПИАО ЭБ для документов: </w:t>
            </w:r>
          </w:p>
          <w:p w14:paraId="339CBB2A" w14:textId="77777777" w:rsidR="006F4EA5" w:rsidRDefault="006F4EA5" w:rsidP="00601408">
            <w:pPr>
              <w:pStyle w:val="GOSTTablenorm"/>
              <w:numPr>
                <w:ilvl w:val="0"/>
                <w:numId w:val="165"/>
              </w:numPr>
              <w:ind w:left="284" w:hanging="227"/>
              <w:rPr>
                <w:szCs w:val="22"/>
              </w:rPr>
            </w:pPr>
            <w:r w:rsidRPr="00E843EA">
              <w:rPr>
                <w:szCs w:val="22"/>
              </w:rPr>
              <w:t>Заявление на проведение операций с иностранной валютой</w:t>
            </w:r>
            <w:r>
              <w:rPr>
                <w:szCs w:val="22"/>
              </w:rPr>
              <w:t>;</w:t>
            </w:r>
          </w:p>
          <w:p w14:paraId="1EC517B2" w14:textId="77777777" w:rsidR="006F4EA5" w:rsidRDefault="006F4EA5" w:rsidP="00601408">
            <w:pPr>
              <w:pStyle w:val="GOSTTablenorm"/>
              <w:numPr>
                <w:ilvl w:val="0"/>
                <w:numId w:val="165"/>
              </w:numPr>
              <w:ind w:left="284" w:hanging="227"/>
              <w:rPr>
                <w:szCs w:val="22"/>
              </w:rPr>
            </w:pPr>
            <w:r w:rsidRPr="00720DF2">
              <w:rPr>
                <w:szCs w:val="22"/>
              </w:rPr>
              <w:lastRenderedPageBreak/>
              <w:t>Распоряжение о совершении казначейского платежа (уточнение)</w:t>
            </w:r>
            <w:r>
              <w:rPr>
                <w:szCs w:val="22"/>
              </w:rPr>
              <w:t>;</w:t>
            </w:r>
          </w:p>
          <w:p w14:paraId="0A2ACE8D" w14:textId="77777777" w:rsidR="006F4EA5" w:rsidRDefault="006F4EA5" w:rsidP="00601408">
            <w:pPr>
              <w:pStyle w:val="GOSTTablenorm"/>
              <w:numPr>
                <w:ilvl w:val="0"/>
                <w:numId w:val="165"/>
              </w:numPr>
              <w:ind w:left="284" w:hanging="227"/>
              <w:rPr>
                <w:szCs w:val="22"/>
              </w:rPr>
            </w:pPr>
            <w:r w:rsidRPr="00720DF2">
              <w:rPr>
                <w:szCs w:val="22"/>
              </w:rPr>
              <w:t>Распоряжение о совершении казначейского платежа (</w:t>
            </w:r>
            <w:r>
              <w:rPr>
                <w:szCs w:val="22"/>
              </w:rPr>
              <w:t>возврат</w:t>
            </w:r>
            <w:r w:rsidRPr="00720DF2">
              <w:rPr>
                <w:szCs w:val="22"/>
              </w:rPr>
              <w:t>)</w:t>
            </w:r>
            <w:r>
              <w:rPr>
                <w:szCs w:val="22"/>
              </w:rPr>
              <w:t>;</w:t>
            </w:r>
          </w:p>
          <w:p w14:paraId="2742A442" w14:textId="77777777" w:rsidR="006F4EA5" w:rsidRDefault="006F4EA5" w:rsidP="00601408">
            <w:pPr>
              <w:pStyle w:val="GOSTTablenorm"/>
              <w:numPr>
                <w:ilvl w:val="0"/>
                <w:numId w:val="165"/>
              </w:numPr>
              <w:ind w:left="284" w:hanging="227"/>
              <w:rPr>
                <w:szCs w:val="22"/>
              </w:rPr>
            </w:pPr>
            <w:r>
              <w:rPr>
                <w:szCs w:val="22"/>
              </w:rPr>
              <w:t>Распоряжение о перечислении денежных средств на банковские карты «Мир» физических лиц</w:t>
            </w:r>
          </w:p>
        </w:tc>
      </w:tr>
      <w:tr w:rsidR="006F4EA5" w:rsidRPr="00A77DDB" w14:paraId="725153B3" w14:textId="77777777" w:rsidTr="00AD1F54">
        <w:trPr>
          <w:cnfStyle w:val="000000010000" w:firstRow="0" w:lastRow="0" w:firstColumn="0" w:lastColumn="0" w:oddVBand="0" w:evenVBand="0" w:oddHBand="0" w:evenHBand="1" w:firstRowFirstColumn="0" w:firstRowLastColumn="0" w:lastRowFirstColumn="0" w:lastRowLastColumn="0"/>
          <w:trHeight w:val="110"/>
        </w:trPr>
        <w:tc>
          <w:tcPr>
            <w:tcW w:w="439" w:type="pct"/>
            <w:vMerge/>
          </w:tcPr>
          <w:p w14:paraId="301827D2" w14:textId="77777777" w:rsidR="006F4EA5" w:rsidRDefault="006F4EA5" w:rsidP="00601408">
            <w:pPr>
              <w:pStyle w:val="OTRNameTable11"/>
            </w:pPr>
          </w:p>
        </w:tc>
        <w:tc>
          <w:tcPr>
            <w:tcW w:w="663" w:type="pct"/>
          </w:tcPr>
          <w:p w14:paraId="29BC77A9" w14:textId="77777777" w:rsidR="006F4EA5" w:rsidRDefault="006F4EA5" w:rsidP="00601408">
            <w:pPr>
              <w:pStyle w:val="GOSTTablenorm"/>
              <w:rPr>
                <w:szCs w:val="22"/>
              </w:rPr>
            </w:pPr>
            <w:r>
              <w:rPr>
                <w:szCs w:val="22"/>
              </w:rPr>
              <w:t>20.05</w:t>
            </w:r>
            <w:r w:rsidRPr="00E843EA">
              <w:rPr>
                <w:szCs w:val="22"/>
              </w:rPr>
              <w:t>.2025</w:t>
            </w:r>
          </w:p>
        </w:tc>
        <w:tc>
          <w:tcPr>
            <w:tcW w:w="883" w:type="pct"/>
          </w:tcPr>
          <w:p w14:paraId="3E47561A" w14:textId="77777777" w:rsidR="006F4EA5" w:rsidRPr="00E843EA" w:rsidRDefault="006F4EA5" w:rsidP="00601408">
            <w:pPr>
              <w:pStyle w:val="GOSTTablenorm"/>
              <w:rPr>
                <w:szCs w:val="22"/>
              </w:rPr>
            </w:pPr>
            <w:r w:rsidRPr="00E843EA">
              <w:rPr>
                <w:szCs w:val="22"/>
              </w:rPr>
              <w:t>Гилязова Е.В.</w:t>
            </w:r>
          </w:p>
        </w:tc>
        <w:tc>
          <w:tcPr>
            <w:tcW w:w="3015" w:type="pct"/>
          </w:tcPr>
          <w:p w14:paraId="51BEF6C4" w14:textId="77777777" w:rsidR="006F4EA5" w:rsidRDefault="006F4EA5" w:rsidP="00601408">
            <w:pPr>
              <w:pStyle w:val="GOSTTablenorm"/>
            </w:pPr>
            <w:r>
              <w:t>Дополнение 2 к Альбому 36.0</w:t>
            </w:r>
          </w:p>
          <w:p w14:paraId="260D9672" w14:textId="77777777" w:rsidR="006F4EA5" w:rsidRDefault="006F4EA5" w:rsidP="00601408">
            <w:pPr>
              <w:pStyle w:val="GOSTTablenorm"/>
              <w:rPr>
                <w:szCs w:val="22"/>
              </w:rPr>
            </w:pPr>
            <w:r>
              <w:rPr>
                <w:szCs w:val="22"/>
              </w:rPr>
              <w:t xml:space="preserve">Для документа </w:t>
            </w:r>
            <w:r w:rsidRPr="003658DE">
              <w:t>«Заявление на проведение операций с иностранной валютой»</w:t>
            </w:r>
            <w:r>
              <w:rPr>
                <w:szCs w:val="22"/>
              </w:rPr>
              <w:t xml:space="preserve"> д</w:t>
            </w:r>
            <w:r w:rsidRPr="0029723E">
              <w:rPr>
                <w:szCs w:val="22"/>
              </w:rPr>
              <w:t xml:space="preserve">ля полей </w:t>
            </w:r>
            <w:r>
              <w:rPr>
                <w:szCs w:val="22"/>
              </w:rPr>
              <w:t>«</w:t>
            </w:r>
            <w:r w:rsidRPr="001A12B6">
              <w:t>Код бюджетополучателя-плательщика</w:t>
            </w:r>
            <w:r>
              <w:t>»</w:t>
            </w:r>
            <w:r w:rsidRPr="0029723E">
              <w:rPr>
                <w:szCs w:val="22"/>
              </w:rPr>
              <w:t xml:space="preserve"> </w:t>
            </w:r>
            <w:r>
              <w:rPr>
                <w:szCs w:val="22"/>
              </w:rPr>
              <w:t>(</w:t>
            </w:r>
            <w:r w:rsidRPr="0029723E">
              <w:rPr>
                <w:szCs w:val="22"/>
              </w:rPr>
              <w:t>ZR_KodPayer</w:t>
            </w:r>
            <w:r>
              <w:rPr>
                <w:szCs w:val="22"/>
              </w:rPr>
              <w:t>)</w:t>
            </w:r>
            <w:r w:rsidRPr="0029723E">
              <w:rPr>
                <w:szCs w:val="22"/>
              </w:rPr>
              <w:t xml:space="preserve">, </w:t>
            </w:r>
            <w:r>
              <w:rPr>
                <w:szCs w:val="22"/>
              </w:rPr>
              <w:t>«</w:t>
            </w:r>
            <w:r w:rsidRPr="001A12B6">
              <w:t>Код бюджета</w:t>
            </w:r>
            <w:r>
              <w:t>»</w:t>
            </w:r>
            <w:r w:rsidRPr="0029723E">
              <w:rPr>
                <w:szCs w:val="22"/>
              </w:rPr>
              <w:t xml:space="preserve"> </w:t>
            </w:r>
            <w:r>
              <w:rPr>
                <w:szCs w:val="22"/>
              </w:rPr>
              <w:t>(</w:t>
            </w:r>
            <w:r w:rsidRPr="0029723E">
              <w:rPr>
                <w:szCs w:val="22"/>
              </w:rPr>
              <w:t>ZR_CdBdgt</w:t>
            </w:r>
            <w:r>
              <w:rPr>
                <w:szCs w:val="22"/>
              </w:rPr>
              <w:t>)</w:t>
            </w:r>
            <w:r w:rsidRPr="0029723E">
              <w:rPr>
                <w:szCs w:val="22"/>
              </w:rPr>
              <w:t xml:space="preserve">, </w:t>
            </w:r>
            <w:r>
              <w:rPr>
                <w:szCs w:val="22"/>
              </w:rPr>
              <w:t>«</w:t>
            </w:r>
            <w:r w:rsidRPr="001A12B6">
              <w:t>Уровень конфиденциальности</w:t>
            </w:r>
            <w:r>
              <w:t>»</w:t>
            </w:r>
            <w:r w:rsidRPr="0029723E">
              <w:rPr>
                <w:szCs w:val="22"/>
              </w:rPr>
              <w:t xml:space="preserve"> </w:t>
            </w:r>
            <w:r>
              <w:rPr>
                <w:szCs w:val="22"/>
              </w:rPr>
              <w:t>(</w:t>
            </w:r>
            <w:r w:rsidRPr="0029723E">
              <w:rPr>
                <w:szCs w:val="22"/>
              </w:rPr>
              <w:t>ZR_SecurityLevel</w:t>
            </w:r>
            <w:r>
              <w:rPr>
                <w:szCs w:val="22"/>
              </w:rPr>
              <w:t>)</w:t>
            </w:r>
            <w:r w:rsidRPr="0029723E">
              <w:rPr>
                <w:szCs w:val="22"/>
              </w:rPr>
              <w:t xml:space="preserve"> изменена обязательность с "Да" на "Нет" для взаимодействия с ПУД ЭБ</w:t>
            </w:r>
            <w:r>
              <w:rPr>
                <w:szCs w:val="22"/>
              </w:rPr>
              <w:t>.</w:t>
            </w:r>
          </w:p>
        </w:tc>
      </w:tr>
      <w:tr w:rsidR="006F4EA5" w:rsidRPr="00A77DDB" w14:paraId="315A1EDE" w14:textId="77777777" w:rsidTr="00AD1F54">
        <w:trPr>
          <w:cnfStyle w:val="000000100000" w:firstRow="0" w:lastRow="0" w:firstColumn="0" w:lastColumn="0" w:oddVBand="0" w:evenVBand="0" w:oddHBand="1" w:evenHBand="0" w:firstRowFirstColumn="0" w:firstRowLastColumn="0" w:lastRowFirstColumn="0" w:lastRowLastColumn="0"/>
          <w:trHeight w:val="110"/>
        </w:trPr>
        <w:tc>
          <w:tcPr>
            <w:tcW w:w="439" w:type="pct"/>
            <w:vMerge/>
          </w:tcPr>
          <w:p w14:paraId="3504F463" w14:textId="77777777" w:rsidR="006F4EA5" w:rsidRDefault="006F4EA5" w:rsidP="00601408">
            <w:pPr>
              <w:pStyle w:val="OTRNameTable11"/>
            </w:pPr>
          </w:p>
        </w:tc>
        <w:tc>
          <w:tcPr>
            <w:tcW w:w="663" w:type="pct"/>
          </w:tcPr>
          <w:p w14:paraId="1A204545" w14:textId="77777777" w:rsidR="006F4EA5" w:rsidRDefault="006F4EA5" w:rsidP="00601408">
            <w:pPr>
              <w:pStyle w:val="GOSTTablenorm"/>
              <w:rPr>
                <w:szCs w:val="22"/>
              </w:rPr>
            </w:pPr>
            <w:r>
              <w:rPr>
                <w:szCs w:val="22"/>
              </w:rPr>
              <w:t>04.06.2025</w:t>
            </w:r>
          </w:p>
        </w:tc>
        <w:tc>
          <w:tcPr>
            <w:tcW w:w="883" w:type="pct"/>
          </w:tcPr>
          <w:p w14:paraId="630E3098" w14:textId="77777777" w:rsidR="006F4EA5" w:rsidRPr="00E843EA" w:rsidRDefault="006F4EA5" w:rsidP="00601408">
            <w:pPr>
              <w:pStyle w:val="GOSTTablenorm"/>
              <w:rPr>
                <w:szCs w:val="22"/>
              </w:rPr>
            </w:pPr>
            <w:r w:rsidRPr="00E843EA">
              <w:rPr>
                <w:szCs w:val="22"/>
              </w:rPr>
              <w:t>Коршунова Н.А.</w:t>
            </w:r>
          </w:p>
        </w:tc>
        <w:tc>
          <w:tcPr>
            <w:tcW w:w="3015" w:type="pct"/>
          </w:tcPr>
          <w:p w14:paraId="326B30D4" w14:textId="77777777" w:rsidR="006F4EA5" w:rsidRDefault="006F4EA5" w:rsidP="00601408">
            <w:pPr>
              <w:pStyle w:val="GOSTTablenorm"/>
            </w:pPr>
            <w:r>
              <w:t>Дополнение 2 к Альбому 36.0</w:t>
            </w:r>
          </w:p>
          <w:p w14:paraId="553D0749" w14:textId="77777777" w:rsidR="006F4EA5" w:rsidRPr="00A80098" w:rsidRDefault="006F4EA5" w:rsidP="00601408">
            <w:pPr>
              <w:pStyle w:val="GOSTTablenorm"/>
              <w:rPr>
                <w:rFonts w:eastAsia="Calibri"/>
                <w:szCs w:val="22"/>
              </w:rPr>
            </w:pPr>
            <w:r w:rsidRPr="00A80098">
              <w:rPr>
                <w:rFonts w:eastAsia="Calibri"/>
                <w:szCs w:val="22"/>
              </w:rPr>
              <w:t xml:space="preserve">Для документа «Уведомление об уточнении вида и принадлежности платежа» (ф. 0531809) уточнено заполнение полей «Глобальный уникальный идентификатор </w:t>
            </w:r>
            <w:r>
              <w:rPr>
                <w:rFonts w:eastAsia="Calibri"/>
                <w:szCs w:val="22"/>
              </w:rPr>
              <w:t xml:space="preserve">связанного документа по строке» </w:t>
            </w:r>
            <w:r w:rsidRPr="00A80098">
              <w:rPr>
                <w:rFonts w:eastAsia="Calibri"/>
                <w:szCs w:val="22"/>
              </w:rPr>
              <w:t>(GUIDRelDcRow) и «Глобальный уникальный идентификатор связанного документа по строке» (GUIDRelDcRowNw):</w:t>
            </w:r>
          </w:p>
          <w:p w14:paraId="214D664B" w14:textId="77777777" w:rsidR="006F4EA5" w:rsidRPr="00E843EA" w:rsidRDefault="006F4EA5" w:rsidP="00601408">
            <w:pPr>
              <w:pStyle w:val="GOSTTablenorm"/>
              <w:rPr>
                <w:rFonts w:eastAsia="Calibri"/>
                <w:szCs w:val="22"/>
              </w:rPr>
            </w:pPr>
            <w:r w:rsidRPr="00A80098">
              <w:rPr>
                <w:rFonts w:eastAsia="Calibri"/>
                <w:szCs w:val="22"/>
              </w:rPr>
              <w:t>фраза «Заполняется при взаимодействии ПУР ЭБ с ППО АСФК. В остальных случаях не заполняется» заменена на «Не заполняется»</w:t>
            </w:r>
          </w:p>
        </w:tc>
      </w:tr>
      <w:tr w:rsidR="006F4EA5" w:rsidRPr="00A77DDB" w14:paraId="0EBCA478" w14:textId="77777777" w:rsidTr="00AD1F54">
        <w:trPr>
          <w:cnfStyle w:val="000000010000" w:firstRow="0" w:lastRow="0" w:firstColumn="0" w:lastColumn="0" w:oddVBand="0" w:evenVBand="0" w:oddHBand="0" w:evenHBand="1" w:firstRowFirstColumn="0" w:firstRowLastColumn="0" w:lastRowFirstColumn="0" w:lastRowLastColumn="0"/>
          <w:trHeight w:val="110"/>
        </w:trPr>
        <w:tc>
          <w:tcPr>
            <w:tcW w:w="439" w:type="pct"/>
            <w:vMerge/>
          </w:tcPr>
          <w:p w14:paraId="695EF965" w14:textId="77777777" w:rsidR="006F4EA5" w:rsidRDefault="006F4EA5" w:rsidP="00950D60">
            <w:pPr>
              <w:pStyle w:val="OTRNameTable11"/>
            </w:pPr>
          </w:p>
        </w:tc>
        <w:tc>
          <w:tcPr>
            <w:tcW w:w="663" w:type="pct"/>
          </w:tcPr>
          <w:p w14:paraId="7B929438" w14:textId="77777777" w:rsidR="006F4EA5" w:rsidRDefault="006F4EA5" w:rsidP="00950D60">
            <w:pPr>
              <w:pStyle w:val="GOSTTablenorm"/>
              <w:rPr>
                <w:szCs w:val="22"/>
              </w:rPr>
            </w:pPr>
            <w:r>
              <w:rPr>
                <w:szCs w:val="22"/>
              </w:rPr>
              <w:t>04.06.2025</w:t>
            </w:r>
          </w:p>
        </w:tc>
        <w:tc>
          <w:tcPr>
            <w:tcW w:w="883" w:type="pct"/>
          </w:tcPr>
          <w:p w14:paraId="414D2433" w14:textId="77777777" w:rsidR="006F4EA5" w:rsidRPr="00683055" w:rsidRDefault="006F4EA5" w:rsidP="00950D60">
            <w:pPr>
              <w:pStyle w:val="GOSTTablenorm"/>
              <w:rPr>
                <w:szCs w:val="22"/>
              </w:rPr>
            </w:pPr>
            <w:r w:rsidRPr="00683055">
              <w:rPr>
                <w:szCs w:val="22"/>
              </w:rPr>
              <w:t>Касьян</w:t>
            </w:r>
            <w:r w:rsidRPr="00683055">
              <w:rPr>
                <w:szCs w:val="22"/>
                <w:lang w:val="en-US"/>
              </w:rPr>
              <w:t xml:space="preserve"> </w:t>
            </w:r>
            <w:r w:rsidRPr="00683055">
              <w:rPr>
                <w:szCs w:val="22"/>
              </w:rPr>
              <w:t>Д</w:t>
            </w:r>
            <w:r w:rsidRPr="00683055">
              <w:rPr>
                <w:szCs w:val="22"/>
                <w:lang w:val="en-US"/>
              </w:rPr>
              <w:t>.</w:t>
            </w:r>
            <w:r w:rsidRPr="00683055">
              <w:rPr>
                <w:szCs w:val="22"/>
              </w:rPr>
              <w:t>Ю</w:t>
            </w:r>
            <w:r w:rsidRPr="00683055">
              <w:rPr>
                <w:szCs w:val="22"/>
                <w:lang w:val="en-US"/>
              </w:rPr>
              <w:t>.</w:t>
            </w:r>
          </w:p>
        </w:tc>
        <w:tc>
          <w:tcPr>
            <w:tcW w:w="3015" w:type="pct"/>
          </w:tcPr>
          <w:p w14:paraId="47729C1B" w14:textId="77777777" w:rsidR="006F4EA5" w:rsidRDefault="006F4EA5" w:rsidP="00950D60">
            <w:pPr>
              <w:pStyle w:val="GOSTTablenorm"/>
            </w:pPr>
            <w:r>
              <w:t>Дополнение 4 к Альбому 36.0</w:t>
            </w:r>
          </w:p>
          <w:p w14:paraId="12DBA103" w14:textId="77777777" w:rsidR="006F4EA5" w:rsidRPr="00B116AB" w:rsidRDefault="006F4EA5" w:rsidP="00950D60">
            <w:pPr>
              <w:pStyle w:val="GOSTTablenorm"/>
              <w:rPr>
                <w:rFonts w:eastAsia="Calibri"/>
                <w:szCs w:val="22"/>
              </w:rPr>
            </w:pPr>
            <w:r w:rsidRPr="00631D18">
              <w:rPr>
                <w:rFonts w:eastAsia="Calibri"/>
                <w:szCs w:val="22"/>
              </w:rPr>
              <w:t>Для документа «Запрос на отзыв распоряжения (запрос на аннулирование)» в блок «Тип аннулируемого документа» добавлен новый к</w:t>
            </w:r>
            <w:r>
              <w:rPr>
                <w:rFonts w:eastAsia="Calibri"/>
                <w:szCs w:val="22"/>
              </w:rPr>
              <w:t>од «РС</w:t>
            </w:r>
            <w:r w:rsidRPr="00631D18">
              <w:rPr>
                <w:rFonts w:eastAsia="Calibri"/>
                <w:szCs w:val="22"/>
              </w:rPr>
              <w:t>П» – Распоряжение о совершении казначейского платежа (перечисление)</w:t>
            </w:r>
          </w:p>
        </w:tc>
      </w:tr>
      <w:tr w:rsidR="006F4EA5" w:rsidRPr="00A77DDB" w14:paraId="2FBF2377" w14:textId="77777777" w:rsidTr="00AD1F54">
        <w:trPr>
          <w:cnfStyle w:val="000000100000" w:firstRow="0" w:lastRow="0" w:firstColumn="0" w:lastColumn="0" w:oddVBand="0" w:evenVBand="0" w:oddHBand="1" w:evenHBand="0" w:firstRowFirstColumn="0" w:firstRowLastColumn="0" w:lastRowFirstColumn="0" w:lastRowLastColumn="0"/>
          <w:trHeight w:val="110"/>
        </w:trPr>
        <w:tc>
          <w:tcPr>
            <w:tcW w:w="439" w:type="pct"/>
            <w:vMerge/>
          </w:tcPr>
          <w:p w14:paraId="75FE41CB" w14:textId="77777777" w:rsidR="006F4EA5" w:rsidRDefault="006F4EA5" w:rsidP="00950D60">
            <w:pPr>
              <w:pStyle w:val="OTRNameTable11"/>
            </w:pPr>
          </w:p>
        </w:tc>
        <w:tc>
          <w:tcPr>
            <w:tcW w:w="663" w:type="pct"/>
          </w:tcPr>
          <w:p w14:paraId="362EFD69" w14:textId="77777777" w:rsidR="006F4EA5" w:rsidRDefault="006F4EA5" w:rsidP="00950D60">
            <w:pPr>
              <w:pStyle w:val="GOSTTablenorm"/>
              <w:rPr>
                <w:szCs w:val="22"/>
              </w:rPr>
            </w:pPr>
            <w:r>
              <w:rPr>
                <w:szCs w:val="22"/>
              </w:rPr>
              <w:t>05.06.2025</w:t>
            </w:r>
          </w:p>
        </w:tc>
        <w:tc>
          <w:tcPr>
            <w:tcW w:w="883" w:type="pct"/>
          </w:tcPr>
          <w:p w14:paraId="43BC77F1" w14:textId="77777777" w:rsidR="006F4EA5" w:rsidRDefault="006F4EA5" w:rsidP="00950D60">
            <w:pPr>
              <w:pStyle w:val="GOSTTablenorm"/>
              <w:rPr>
                <w:szCs w:val="22"/>
              </w:rPr>
            </w:pPr>
            <w:r w:rsidRPr="00683055">
              <w:rPr>
                <w:szCs w:val="22"/>
              </w:rPr>
              <w:t>Касьян</w:t>
            </w:r>
            <w:r w:rsidRPr="00683055">
              <w:rPr>
                <w:szCs w:val="22"/>
                <w:lang w:val="en-US"/>
              </w:rPr>
              <w:t xml:space="preserve"> </w:t>
            </w:r>
            <w:r w:rsidRPr="00683055">
              <w:rPr>
                <w:szCs w:val="22"/>
              </w:rPr>
              <w:t>Д</w:t>
            </w:r>
            <w:r w:rsidRPr="00683055">
              <w:rPr>
                <w:szCs w:val="22"/>
                <w:lang w:val="en-US"/>
              </w:rPr>
              <w:t>.</w:t>
            </w:r>
            <w:r w:rsidRPr="00683055">
              <w:rPr>
                <w:szCs w:val="22"/>
              </w:rPr>
              <w:t>Ю</w:t>
            </w:r>
            <w:r w:rsidRPr="00683055">
              <w:rPr>
                <w:szCs w:val="22"/>
                <w:lang w:val="en-US"/>
              </w:rPr>
              <w:t>.</w:t>
            </w:r>
          </w:p>
        </w:tc>
        <w:tc>
          <w:tcPr>
            <w:tcW w:w="3015" w:type="pct"/>
          </w:tcPr>
          <w:p w14:paraId="30522760" w14:textId="77777777" w:rsidR="006F4EA5" w:rsidRDefault="006F4EA5" w:rsidP="00950D60">
            <w:pPr>
              <w:pStyle w:val="GOSTTablenorm"/>
            </w:pPr>
            <w:r>
              <w:t>Дополнение 3 к Альбому 36.0</w:t>
            </w:r>
          </w:p>
          <w:p w14:paraId="5ABD6B02" w14:textId="77777777" w:rsidR="006F4EA5" w:rsidRDefault="006F4EA5" w:rsidP="00950D60">
            <w:pPr>
              <w:pStyle w:val="GOSTTablenorm"/>
              <w:rPr>
                <w:rFonts w:eastAsia="Calibri"/>
                <w:szCs w:val="22"/>
              </w:rPr>
            </w:pPr>
            <w:r w:rsidRPr="00330F49">
              <w:rPr>
                <w:rFonts w:eastAsia="Calibri"/>
                <w:szCs w:val="22"/>
              </w:rPr>
              <w:t>Для документ</w:t>
            </w:r>
            <w:r>
              <w:rPr>
                <w:rFonts w:eastAsia="Calibri"/>
                <w:szCs w:val="22"/>
              </w:rPr>
              <w:t>а</w:t>
            </w:r>
            <w:r w:rsidRPr="00330F49">
              <w:rPr>
                <w:rFonts w:eastAsia="Calibri"/>
                <w:szCs w:val="22"/>
              </w:rPr>
              <w:t xml:space="preserve"> «Ответ на запрос (уведомление) по ЭПС участника» добавлено новое взаимодействие с ПБС</w:t>
            </w:r>
          </w:p>
        </w:tc>
      </w:tr>
      <w:tr w:rsidR="006F4EA5" w:rsidRPr="00A77DDB" w14:paraId="3EAF80A3" w14:textId="77777777" w:rsidTr="00AD1F54">
        <w:trPr>
          <w:cnfStyle w:val="000000010000" w:firstRow="0" w:lastRow="0" w:firstColumn="0" w:lastColumn="0" w:oddVBand="0" w:evenVBand="0" w:oddHBand="0" w:evenHBand="1" w:firstRowFirstColumn="0" w:firstRowLastColumn="0" w:lastRowFirstColumn="0" w:lastRowLastColumn="0"/>
          <w:trHeight w:val="110"/>
        </w:trPr>
        <w:tc>
          <w:tcPr>
            <w:tcW w:w="439" w:type="pct"/>
            <w:vMerge/>
          </w:tcPr>
          <w:p w14:paraId="52C049BF" w14:textId="77777777" w:rsidR="006F4EA5" w:rsidRDefault="006F4EA5" w:rsidP="00950D60">
            <w:pPr>
              <w:pStyle w:val="OTRNameTable11"/>
            </w:pPr>
          </w:p>
        </w:tc>
        <w:tc>
          <w:tcPr>
            <w:tcW w:w="663" w:type="pct"/>
          </w:tcPr>
          <w:p w14:paraId="35DA0319" w14:textId="77777777" w:rsidR="006F4EA5" w:rsidRDefault="006F4EA5" w:rsidP="00950D60">
            <w:pPr>
              <w:pStyle w:val="GOSTTablenorm"/>
              <w:rPr>
                <w:szCs w:val="22"/>
              </w:rPr>
            </w:pPr>
            <w:r>
              <w:rPr>
                <w:szCs w:val="22"/>
              </w:rPr>
              <w:t>06.06.2025</w:t>
            </w:r>
          </w:p>
        </w:tc>
        <w:tc>
          <w:tcPr>
            <w:tcW w:w="883" w:type="pct"/>
          </w:tcPr>
          <w:p w14:paraId="07B5A057" w14:textId="77777777" w:rsidR="006F4EA5" w:rsidRPr="00683055" w:rsidRDefault="006F4EA5" w:rsidP="00950D60">
            <w:pPr>
              <w:pStyle w:val="GOSTTablenorm"/>
              <w:rPr>
                <w:szCs w:val="22"/>
              </w:rPr>
            </w:pPr>
            <w:r>
              <w:rPr>
                <w:szCs w:val="22"/>
              </w:rPr>
              <w:t>Коршунова Н.А.</w:t>
            </w:r>
          </w:p>
        </w:tc>
        <w:tc>
          <w:tcPr>
            <w:tcW w:w="3015" w:type="pct"/>
          </w:tcPr>
          <w:p w14:paraId="5DD4DD4E" w14:textId="77777777" w:rsidR="006F4EA5" w:rsidRDefault="006F4EA5" w:rsidP="00950D60">
            <w:pPr>
              <w:pStyle w:val="GOSTTablenorm"/>
            </w:pPr>
            <w:r>
              <w:t>Дополнение 3 к Альбому 36.0</w:t>
            </w:r>
          </w:p>
          <w:p w14:paraId="4A3ADFEA" w14:textId="77777777" w:rsidR="006F4EA5" w:rsidRPr="0008763A" w:rsidRDefault="006F4EA5" w:rsidP="00950D60">
            <w:pPr>
              <w:pStyle w:val="GOSTTablenorm"/>
              <w:rPr>
                <w:rFonts w:eastAsia="Calibri"/>
                <w:szCs w:val="22"/>
              </w:rPr>
            </w:pPr>
            <w:r>
              <w:rPr>
                <w:rFonts w:eastAsia="Calibri"/>
                <w:szCs w:val="22"/>
              </w:rPr>
              <w:t>Для документов:</w:t>
            </w:r>
          </w:p>
          <w:p w14:paraId="4FACE109" w14:textId="77777777" w:rsidR="006F4EA5" w:rsidRPr="0008763A" w:rsidRDefault="006F4EA5" w:rsidP="00950D60">
            <w:pPr>
              <w:pStyle w:val="GOSTTableListMark1"/>
              <w:numPr>
                <w:ilvl w:val="0"/>
                <w:numId w:val="154"/>
              </w:numPr>
              <w:jc w:val="both"/>
              <w:rPr>
                <w:rFonts w:eastAsia="Calibri"/>
              </w:rPr>
            </w:pPr>
            <w:r w:rsidRPr="0008763A">
              <w:rPr>
                <w:rFonts w:eastAsia="Calibri"/>
              </w:rPr>
              <w:t xml:space="preserve"> «Заявка на получение денежных средств, перечисляемых на карту» (ф. 0531243),</w:t>
            </w:r>
          </w:p>
          <w:p w14:paraId="3641E59F" w14:textId="77777777" w:rsidR="006F4EA5" w:rsidRPr="0008763A" w:rsidRDefault="006F4EA5" w:rsidP="00950D60">
            <w:pPr>
              <w:pStyle w:val="GOSTTableListMark1"/>
              <w:numPr>
                <w:ilvl w:val="0"/>
                <w:numId w:val="154"/>
              </w:numPr>
              <w:jc w:val="both"/>
              <w:rPr>
                <w:rFonts w:eastAsia="Calibri"/>
              </w:rPr>
            </w:pPr>
            <w:r w:rsidRPr="0008763A">
              <w:rPr>
                <w:rFonts w:eastAsia="Calibri"/>
              </w:rPr>
              <w:t>«Заявка на получение наличных денег (ф. 0531802), Заявка для обеспечения наличными денежными средствами в электронном виде»,</w:t>
            </w:r>
          </w:p>
          <w:p w14:paraId="1912C5F4" w14:textId="77777777" w:rsidR="006F4EA5" w:rsidRPr="0008763A" w:rsidRDefault="006F4EA5" w:rsidP="00950D60">
            <w:pPr>
              <w:pStyle w:val="GOSTTableListMark1"/>
              <w:numPr>
                <w:ilvl w:val="0"/>
                <w:numId w:val="154"/>
              </w:numPr>
              <w:jc w:val="both"/>
              <w:rPr>
                <w:rFonts w:eastAsia="Calibri"/>
              </w:rPr>
            </w:pPr>
            <w:r w:rsidRPr="0008763A">
              <w:rPr>
                <w:rFonts w:eastAsia="Calibri"/>
              </w:rPr>
              <w:t>«Распоряжение о перечислении денежных средств на банковские карты «Мир» физических лиц»,</w:t>
            </w:r>
          </w:p>
          <w:p w14:paraId="0040D62B" w14:textId="77777777" w:rsidR="006F4EA5" w:rsidRPr="0008763A" w:rsidRDefault="006F4EA5" w:rsidP="00950D60">
            <w:pPr>
              <w:pStyle w:val="GOSTTableListMark1"/>
              <w:numPr>
                <w:ilvl w:val="0"/>
                <w:numId w:val="154"/>
              </w:numPr>
              <w:jc w:val="both"/>
              <w:rPr>
                <w:rFonts w:eastAsia="Calibri"/>
              </w:rPr>
            </w:pPr>
            <w:r w:rsidRPr="0008763A">
              <w:rPr>
                <w:rFonts w:eastAsia="Calibri"/>
              </w:rPr>
              <w:t>«Заявление на проведение операций с иностранной валютой»,</w:t>
            </w:r>
          </w:p>
          <w:p w14:paraId="5264EFC2" w14:textId="77777777" w:rsidR="006F4EA5" w:rsidRPr="0008763A" w:rsidRDefault="006F4EA5" w:rsidP="00950D60">
            <w:pPr>
              <w:pStyle w:val="GOSTTableListMark1"/>
              <w:numPr>
                <w:ilvl w:val="0"/>
                <w:numId w:val="154"/>
              </w:numPr>
              <w:jc w:val="both"/>
              <w:rPr>
                <w:rFonts w:eastAsia="Calibri"/>
              </w:rPr>
            </w:pPr>
            <w:r w:rsidRPr="0008763A">
              <w:rPr>
                <w:rFonts w:eastAsia="Calibri"/>
              </w:rPr>
              <w:lastRenderedPageBreak/>
              <w:t>«Заявка на кассовый расход» (ф. 0531801),</w:t>
            </w:r>
          </w:p>
          <w:p w14:paraId="054ED1E7" w14:textId="77777777" w:rsidR="006F4EA5" w:rsidRPr="0008763A" w:rsidRDefault="006F4EA5" w:rsidP="00950D60">
            <w:pPr>
              <w:pStyle w:val="GOSTTableListMark1"/>
              <w:numPr>
                <w:ilvl w:val="0"/>
                <w:numId w:val="154"/>
              </w:numPr>
              <w:jc w:val="both"/>
              <w:rPr>
                <w:rFonts w:eastAsia="Calibri"/>
              </w:rPr>
            </w:pPr>
            <w:r w:rsidRPr="0008763A">
              <w:rPr>
                <w:rFonts w:eastAsia="Calibri"/>
              </w:rPr>
              <w:t>«Сводная заявка на кассовый расход» (ф. 0531860),</w:t>
            </w:r>
          </w:p>
          <w:p w14:paraId="3BD74669" w14:textId="77777777" w:rsidR="006F4EA5" w:rsidRPr="0008763A" w:rsidRDefault="006F4EA5" w:rsidP="00950D60">
            <w:pPr>
              <w:pStyle w:val="GOSTTableListMark1"/>
              <w:numPr>
                <w:ilvl w:val="0"/>
                <w:numId w:val="154"/>
              </w:numPr>
              <w:jc w:val="both"/>
              <w:rPr>
                <w:rFonts w:eastAsia="Calibri"/>
              </w:rPr>
            </w:pPr>
            <w:r w:rsidRPr="0008763A">
              <w:rPr>
                <w:rFonts w:eastAsia="Calibri"/>
              </w:rPr>
              <w:t>«Заявка на кассовый расход (сокращенная)» (ф. 0531851),</w:t>
            </w:r>
          </w:p>
          <w:p w14:paraId="4CB50C86" w14:textId="77777777" w:rsidR="006F4EA5" w:rsidRPr="004016B6" w:rsidRDefault="006F4EA5" w:rsidP="00950D60">
            <w:pPr>
              <w:pStyle w:val="GOSTTableListMark1"/>
              <w:numPr>
                <w:ilvl w:val="0"/>
                <w:numId w:val="154"/>
              </w:numPr>
              <w:jc w:val="both"/>
              <w:rPr>
                <w:rFonts w:eastAsia="Calibri"/>
              </w:rPr>
            </w:pPr>
            <w:r w:rsidRPr="004016B6">
              <w:rPr>
                <w:rFonts w:eastAsia="Calibri"/>
              </w:rPr>
              <w:t xml:space="preserve"> «Запрос на отзыв распоряжения (запрос на аннулирование)»,</w:t>
            </w:r>
          </w:p>
          <w:p w14:paraId="58AE5D79" w14:textId="77777777" w:rsidR="006F4EA5" w:rsidRPr="0008763A" w:rsidRDefault="006F4EA5" w:rsidP="00950D60">
            <w:pPr>
              <w:pStyle w:val="GOSTTableListMark1"/>
              <w:numPr>
                <w:ilvl w:val="0"/>
                <w:numId w:val="154"/>
              </w:numPr>
              <w:jc w:val="both"/>
              <w:rPr>
                <w:rFonts w:eastAsia="Calibri"/>
              </w:rPr>
            </w:pPr>
            <w:r w:rsidRPr="0008763A">
              <w:rPr>
                <w:rFonts w:eastAsia="Calibri"/>
              </w:rPr>
              <w:t xml:space="preserve"> «Заявление на выдачу (перевод, отзыв) Казначейского обеспечения обязательств» (ф. 0506108),</w:t>
            </w:r>
          </w:p>
          <w:p w14:paraId="3444E145" w14:textId="77777777" w:rsidR="006F4EA5" w:rsidRPr="0008763A" w:rsidRDefault="006F4EA5" w:rsidP="00950D60">
            <w:pPr>
              <w:pStyle w:val="GOSTTableListMark1"/>
              <w:numPr>
                <w:ilvl w:val="0"/>
                <w:numId w:val="154"/>
              </w:numPr>
              <w:jc w:val="both"/>
              <w:rPr>
                <w:rFonts w:eastAsia="Calibri"/>
              </w:rPr>
            </w:pPr>
            <w:r w:rsidRPr="0008763A">
              <w:rPr>
                <w:rFonts w:eastAsia="Calibri"/>
              </w:rPr>
              <w:t xml:space="preserve"> «Расшифровка сумм неиспользованных средств (ф.0531251), Заявка о внесении наличных денежных средств»,</w:t>
            </w:r>
          </w:p>
          <w:p w14:paraId="5182E6A3" w14:textId="77777777" w:rsidR="006F4EA5" w:rsidRDefault="006F4EA5" w:rsidP="00950D60">
            <w:pPr>
              <w:pStyle w:val="GOSTTableListMark1"/>
              <w:numPr>
                <w:ilvl w:val="0"/>
                <w:numId w:val="154"/>
              </w:numPr>
              <w:jc w:val="both"/>
            </w:pPr>
            <w:r>
              <w:t xml:space="preserve"> «Заявка на возврат» (ф. 0531803),</w:t>
            </w:r>
          </w:p>
          <w:p w14:paraId="25D6DB80" w14:textId="77777777" w:rsidR="006F4EA5" w:rsidRPr="00330F49" w:rsidRDefault="006F4EA5" w:rsidP="00950D60">
            <w:pPr>
              <w:pStyle w:val="GOSTTablenorm"/>
              <w:rPr>
                <w:rFonts w:eastAsia="Calibri"/>
                <w:szCs w:val="22"/>
              </w:rPr>
            </w:pPr>
            <w:r w:rsidRPr="0008763A">
              <w:rPr>
                <w:rFonts w:eastAsia="Calibri"/>
                <w:szCs w:val="22"/>
              </w:rPr>
              <w:t>добавлен маршрут с ПБС</w:t>
            </w:r>
          </w:p>
        </w:tc>
      </w:tr>
      <w:tr w:rsidR="006F4EA5" w:rsidRPr="00A77DDB" w14:paraId="7E3F7394" w14:textId="77777777" w:rsidTr="00AD1F54">
        <w:trPr>
          <w:cnfStyle w:val="000000100000" w:firstRow="0" w:lastRow="0" w:firstColumn="0" w:lastColumn="0" w:oddVBand="0" w:evenVBand="0" w:oddHBand="1" w:evenHBand="0" w:firstRowFirstColumn="0" w:firstRowLastColumn="0" w:lastRowFirstColumn="0" w:lastRowLastColumn="0"/>
          <w:trHeight w:val="110"/>
        </w:trPr>
        <w:tc>
          <w:tcPr>
            <w:tcW w:w="439" w:type="pct"/>
            <w:vMerge/>
          </w:tcPr>
          <w:p w14:paraId="6DE6BD76" w14:textId="77777777" w:rsidR="006F4EA5" w:rsidRDefault="006F4EA5" w:rsidP="00F02C61">
            <w:pPr>
              <w:pStyle w:val="OTRNameTable11"/>
            </w:pPr>
          </w:p>
        </w:tc>
        <w:tc>
          <w:tcPr>
            <w:tcW w:w="663" w:type="pct"/>
          </w:tcPr>
          <w:p w14:paraId="47FF4650" w14:textId="77777777" w:rsidR="006F4EA5" w:rsidRDefault="006F4EA5" w:rsidP="00F02C61">
            <w:pPr>
              <w:pStyle w:val="GOSTTablenorm"/>
              <w:rPr>
                <w:szCs w:val="22"/>
              </w:rPr>
            </w:pPr>
            <w:r>
              <w:rPr>
                <w:szCs w:val="22"/>
              </w:rPr>
              <w:t>10.06.2025</w:t>
            </w:r>
          </w:p>
        </w:tc>
        <w:tc>
          <w:tcPr>
            <w:tcW w:w="883" w:type="pct"/>
          </w:tcPr>
          <w:p w14:paraId="27393B03" w14:textId="77777777" w:rsidR="006F4EA5" w:rsidRPr="00683055" w:rsidRDefault="006F4EA5" w:rsidP="00F02C61">
            <w:pPr>
              <w:pStyle w:val="GOSTTablenorm"/>
              <w:rPr>
                <w:szCs w:val="22"/>
              </w:rPr>
            </w:pPr>
            <w:r w:rsidRPr="00683055">
              <w:rPr>
                <w:szCs w:val="22"/>
              </w:rPr>
              <w:t>Касьян</w:t>
            </w:r>
            <w:r w:rsidRPr="00683055">
              <w:rPr>
                <w:szCs w:val="22"/>
                <w:lang w:val="en-US"/>
              </w:rPr>
              <w:t xml:space="preserve"> </w:t>
            </w:r>
            <w:r w:rsidRPr="00683055">
              <w:rPr>
                <w:szCs w:val="22"/>
              </w:rPr>
              <w:t>Д</w:t>
            </w:r>
            <w:r w:rsidRPr="00683055">
              <w:rPr>
                <w:szCs w:val="22"/>
                <w:lang w:val="en-US"/>
              </w:rPr>
              <w:t>.</w:t>
            </w:r>
            <w:r w:rsidRPr="00683055">
              <w:rPr>
                <w:szCs w:val="22"/>
              </w:rPr>
              <w:t>Ю</w:t>
            </w:r>
            <w:r w:rsidRPr="00683055">
              <w:rPr>
                <w:szCs w:val="22"/>
                <w:lang w:val="en-US"/>
              </w:rPr>
              <w:t>.</w:t>
            </w:r>
          </w:p>
        </w:tc>
        <w:tc>
          <w:tcPr>
            <w:tcW w:w="3015" w:type="pct"/>
          </w:tcPr>
          <w:p w14:paraId="5999B4A9" w14:textId="77777777" w:rsidR="006F4EA5" w:rsidRPr="0004431E" w:rsidRDefault="006F4EA5" w:rsidP="00F02C61">
            <w:pPr>
              <w:pStyle w:val="GOSTTablenorm"/>
              <w:rPr>
                <w:rFonts w:eastAsia="Calibri"/>
                <w:szCs w:val="22"/>
              </w:rPr>
            </w:pPr>
            <w:r w:rsidRPr="0004431E">
              <w:rPr>
                <w:rFonts w:eastAsia="Calibri"/>
                <w:szCs w:val="22"/>
              </w:rPr>
              <w:t>Дополнение 4 к Альбому 36.0</w:t>
            </w:r>
          </w:p>
          <w:p w14:paraId="78B497AD" w14:textId="77777777" w:rsidR="006F4EA5" w:rsidRDefault="006F4EA5" w:rsidP="00F02C61">
            <w:pPr>
              <w:pStyle w:val="GOSTTablenorm"/>
              <w:rPr>
                <w:rFonts w:eastAsia="Calibri"/>
                <w:szCs w:val="22"/>
              </w:rPr>
            </w:pPr>
            <w:r w:rsidRPr="00F1719B">
              <w:rPr>
                <w:rFonts w:eastAsia="Calibri"/>
                <w:szCs w:val="22"/>
              </w:rPr>
              <w:t xml:space="preserve">Для документа «Сведения о бюджетном обязательстве» </w:t>
            </w:r>
          </w:p>
          <w:p w14:paraId="432BB159" w14:textId="77777777" w:rsidR="006F4EA5" w:rsidRPr="00631D18" w:rsidRDefault="006F4EA5" w:rsidP="00F02C61">
            <w:pPr>
              <w:pStyle w:val="GOSTTablenorm"/>
              <w:rPr>
                <w:rFonts w:eastAsia="Calibri"/>
                <w:szCs w:val="22"/>
              </w:rPr>
            </w:pPr>
            <w:r>
              <w:rPr>
                <w:rFonts w:eastAsia="Calibri"/>
                <w:szCs w:val="22"/>
              </w:rPr>
              <w:t>- у</w:t>
            </w:r>
            <w:r w:rsidRPr="00F1719B">
              <w:rPr>
                <w:rFonts w:eastAsia="Calibri"/>
                <w:szCs w:val="22"/>
              </w:rPr>
              <w:t xml:space="preserve">точнено примечание по маршруту </w:t>
            </w:r>
            <w:r w:rsidRPr="00524E62">
              <w:rPr>
                <w:color w:val="000000"/>
              </w:rPr>
              <w:t>ТОФК (ПУР ЭБ)</w:t>
            </w:r>
            <w:r w:rsidRPr="00F1719B">
              <w:rPr>
                <w:rFonts w:eastAsia="Calibri"/>
                <w:szCs w:val="22"/>
              </w:rPr>
              <w:t xml:space="preserve"> - </w:t>
            </w:r>
            <w:r w:rsidRPr="009D2D00">
              <w:rPr>
                <w:szCs w:val="22"/>
              </w:rPr>
              <w:t>ПБС (ПФХД)</w:t>
            </w:r>
          </w:p>
        </w:tc>
      </w:tr>
      <w:tr w:rsidR="006F4EA5" w:rsidRPr="00A77DDB" w14:paraId="0D07502A" w14:textId="77777777" w:rsidTr="00AD1F54">
        <w:trPr>
          <w:cnfStyle w:val="000000010000" w:firstRow="0" w:lastRow="0" w:firstColumn="0" w:lastColumn="0" w:oddVBand="0" w:evenVBand="0" w:oddHBand="0" w:evenHBand="1" w:firstRowFirstColumn="0" w:firstRowLastColumn="0" w:lastRowFirstColumn="0" w:lastRowLastColumn="0"/>
          <w:trHeight w:val="110"/>
        </w:trPr>
        <w:tc>
          <w:tcPr>
            <w:tcW w:w="439" w:type="pct"/>
            <w:vMerge/>
          </w:tcPr>
          <w:p w14:paraId="6341E335" w14:textId="77777777" w:rsidR="006F4EA5" w:rsidRDefault="006F4EA5" w:rsidP="00F02C61">
            <w:pPr>
              <w:pStyle w:val="OTRNameTable11"/>
            </w:pPr>
          </w:p>
        </w:tc>
        <w:tc>
          <w:tcPr>
            <w:tcW w:w="663" w:type="pct"/>
          </w:tcPr>
          <w:p w14:paraId="71B65E90" w14:textId="77777777" w:rsidR="006F4EA5" w:rsidRPr="00E843EA" w:rsidRDefault="006F4EA5" w:rsidP="00F02C61">
            <w:pPr>
              <w:pStyle w:val="GOSTTablenorm"/>
              <w:rPr>
                <w:szCs w:val="22"/>
                <w:lang w:val="en-US"/>
              </w:rPr>
            </w:pPr>
            <w:r w:rsidRPr="00E843EA">
              <w:rPr>
                <w:szCs w:val="22"/>
              </w:rPr>
              <w:t>1</w:t>
            </w:r>
            <w:r>
              <w:rPr>
                <w:szCs w:val="22"/>
              </w:rPr>
              <w:t>7</w:t>
            </w:r>
            <w:r w:rsidRPr="00E843EA">
              <w:rPr>
                <w:szCs w:val="22"/>
              </w:rPr>
              <w:t>.0</w:t>
            </w:r>
            <w:r>
              <w:rPr>
                <w:szCs w:val="22"/>
              </w:rPr>
              <w:t>6</w:t>
            </w:r>
            <w:r w:rsidRPr="00E843EA">
              <w:rPr>
                <w:szCs w:val="22"/>
              </w:rPr>
              <w:t>.2025</w:t>
            </w:r>
          </w:p>
        </w:tc>
        <w:tc>
          <w:tcPr>
            <w:tcW w:w="883" w:type="pct"/>
          </w:tcPr>
          <w:p w14:paraId="7C56B33E" w14:textId="77777777" w:rsidR="006F4EA5" w:rsidRPr="00E843EA" w:rsidRDefault="006F4EA5" w:rsidP="00F02C61">
            <w:pPr>
              <w:pStyle w:val="GOSTTablenorm"/>
              <w:rPr>
                <w:szCs w:val="22"/>
              </w:rPr>
            </w:pPr>
            <w:r>
              <w:rPr>
                <w:szCs w:val="22"/>
              </w:rPr>
              <w:t>Сатлер М.В.</w:t>
            </w:r>
          </w:p>
        </w:tc>
        <w:tc>
          <w:tcPr>
            <w:tcW w:w="3015" w:type="pct"/>
          </w:tcPr>
          <w:p w14:paraId="25275852" w14:textId="77777777" w:rsidR="006F4EA5" w:rsidRDefault="006F4EA5" w:rsidP="00F02C61">
            <w:pPr>
              <w:pStyle w:val="GOSTTablenorm"/>
            </w:pPr>
            <w:r>
              <w:t>Дополнение 2.1 к Альбому 36.0</w:t>
            </w:r>
          </w:p>
          <w:p w14:paraId="717412EF" w14:textId="77777777" w:rsidR="006F4EA5" w:rsidRPr="00E843EA" w:rsidRDefault="006F4EA5" w:rsidP="00F02C61">
            <w:pPr>
              <w:pStyle w:val="GOSTTablenorm"/>
              <w:rPr>
                <w:szCs w:val="22"/>
              </w:rPr>
            </w:pPr>
            <w:r w:rsidRPr="005F6908">
              <w:rPr>
                <w:szCs w:val="22"/>
              </w:rPr>
              <w:t>Д</w:t>
            </w:r>
            <w:r>
              <w:rPr>
                <w:szCs w:val="22"/>
              </w:rPr>
              <w:t>обавлен новый д</w:t>
            </w:r>
            <w:r w:rsidRPr="005F6908">
              <w:rPr>
                <w:szCs w:val="22"/>
              </w:rPr>
              <w:t>окумент «</w:t>
            </w:r>
            <w:r w:rsidRPr="00C92E68">
              <w:rPr>
                <w:szCs w:val="22"/>
              </w:rPr>
              <w:t>Выписка из проекта контракта</w:t>
            </w:r>
            <w:r w:rsidRPr="005F6908">
              <w:rPr>
                <w:szCs w:val="22"/>
              </w:rPr>
              <w:t>»</w:t>
            </w:r>
          </w:p>
        </w:tc>
      </w:tr>
      <w:tr w:rsidR="006F4EA5" w:rsidRPr="00A77DDB" w14:paraId="2AC7EBC1" w14:textId="77777777" w:rsidTr="00AD1F54">
        <w:trPr>
          <w:cnfStyle w:val="000000100000" w:firstRow="0" w:lastRow="0" w:firstColumn="0" w:lastColumn="0" w:oddVBand="0" w:evenVBand="0" w:oddHBand="1" w:evenHBand="0" w:firstRowFirstColumn="0" w:firstRowLastColumn="0" w:lastRowFirstColumn="0" w:lastRowLastColumn="0"/>
          <w:trHeight w:val="110"/>
        </w:trPr>
        <w:tc>
          <w:tcPr>
            <w:tcW w:w="439" w:type="pct"/>
            <w:vMerge/>
          </w:tcPr>
          <w:p w14:paraId="6C9B201D" w14:textId="77777777" w:rsidR="006F4EA5" w:rsidRDefault="006F4EA5" w:rsidP="00F02C61">
            <w:pPr>
              <w:pStyle w:val="OTRNameTable11"/>
            </w:pPr>
          </w:p>
        </w:tc>
        <w:tc>
          <w:tcPr>
            <w:tcW w:w="663" w:type="pct"/>
          </w:tcPr>
          <w:p w14:paraId="162BF5F8" w14:textId="77777777" w:rsidR="006F4EA5" w:rsidRDefault="006F4EA5" w:rsidP="00F02C61">
            <w:pPr>
              <w:pStyle w:val="GOSTTablenorm"/>
              <w:rPr>
                <w:szCs w:val="22"/>
              </w:rPr>
            </w:pPr>
            <w:r>
              <w:rPr>
                <w:szCs w:val="22"/>
              </w:rPr>
              <w:t>22.07.2025</w:t>
            </w:r>
          </w:p>
        </w:tc>
        <w:tc>
          <w:tcPr>
            <w:tcW w:w="883" w:type="pct"/>
          </w:tcPr>
          <w:p w14:paraId="2F87E145" w14:textId="77777777" w:rsidR="006F4EA5" w:rsidRDefault="006F4EA5" w:rsidP="00F02C61">
            <w:pPr>
              <w:pStyle w:val="GOSTTablenorm"/>
              <w:rPr>
                <w:szCs w:val="22"/>
              </w:rPr>
            </w:pPr>
            <w:r>
              <w:rPr>
                <w:szCs w:val="22"/>
              </w:rPr>
              <w:t>Сатлер М.В.</w:t>
            </w:r>
          </w:p>
        </w:tc>
        <w:tc>
          <w:tcPr>
            <w:tcW w:w="3015" w:type="pct"/>
          </w:tcPr>
          <w:p w14:paraId="0AD9D40F" w14:textId="77777777" w:rsidR="006F4EA5" w:rsidRPr="0004431E" w:rsidRDefault="006F4EA5" w:rsidP="00F02C61">
            <w:pPr>
              <w:pStyle w:val="GOSTTablenorm"/>
              <w:rPr>
                <w:rFonts w:eastAsia="Calibri"/>
                <w:szCs w:val="22"/>
              </w:rPr>
            </w:pPr>
            <w:r w:rsidRPr="0004431E">
              <w:rPr>
                <w:rFonts w:eastAsia="Calibri"/>
                <w:szCs w:val="22"/>
              </w:rPr>
              <w:t>Дополнение 4 к Альбому 36.0</w:t>
            </w:r>
          </w:p>
          <w:p w14:paraId="61A8FB92" w14:textId="77777777" w:rsidR="006F4EA5" w:rsidRPr="00E83341" w:rsidRDefault="006F4EA5" w:rsidP="00F02C61">
            <w:pPr>
              <w:pStyle w:val="GOSTTablenorm"/>
              <w:rPr>
                <w:rFonts w:eastAsia="Calibri"/>
                <w:szCs w:val="22"/>
              </w:rPr>
            </w:pPr>
            <w:r w:rsidRPr="00176E24">
              <w:rPr>
                <w:rFonts w:eastAsia="Calibri"/>
                <w:szCs w:val="22"/>
              </w:rPr>
              <w:t>Добавлен новый документ «Сведения об объемах средств, указанных в нормативных правовых актах, предусматривающих в соответствии с бюджетным законодательством Российской Федерации возможность заключения государственного (муниципального) контракта на срок, превышающий срок действия доведенных лимитов бюджетных обязательств»</w:t>
            </w:r>
          </w:p>
        </w:tc>
      </w:tr>
      <w:tr w:rsidR="006F4EA5" w:rsidRPr="00A77DDB" w14:paraId="1A4B7315" w14:textId="77777777" w:rsidTr="00AD1F54">
        <w:trPr>
          <w:cnfStyle w:val="000000010000" w:firstRow="0" w:lastRow="0" w:firstColumn="0" w:lastColumn="0" w:oddVBand="0" w:evenVBand="0" w:oddHBand="0" w:evenHBand="1" w:firstRowFirstColumn="0" w:firstRowLastColumn="0" w:lastRowFirstColumn="0" w:lastRowLastColumn="0"/>
          <w:trHeight w:val="110"/>
        </w:trPr>
        <w:tc>
          <w:tcPr>
            <w:tcW w:w="439" w:type="pct"/>
            <w:vMerge/>
          </w:tcPr>
          <w:p w14:paraId="52AC0B2D" w14:textId="77777777" w:rsidR="006F4EA5" w:rsidRDefault="006F4EA5" w:rsidP="00F02C61">
            <w:pPr>
              <w:pStyle w:val="OTRNameTable11"/>
            </w:pPr>
          </w:p>
        </w:tc>
        <w:tc>
          <w:tcPr>
            <w:tcW w:w="663" w:type="pct"/>
          </w:tcPr>
          <w:p w14:paraId="2D35A2CD" w14:textId="77777777" w:rsidR="006F4EA5" w:rsidRPr="0004431E" w:rsidRDefault="006F4EA5" w:rsidP="00F02C61">
            <w:pPr>
              <w:pStyle w:val="GOSTTablenorm"/>
              <w:rPr>
                <w:szCs w:val="22"/>
              </w:rPr>
            </w:pPr>
            <w:r w:rsidRPr="0004431E">
              <w:rPr>
                <w:szCs w:val="22"/>
              </w:rPr>
              <w:t>30.07.2025</w:t>
            </w:r>
          </w:p>
        </w:tc>
        <w:tc>
          <w:tcPr>
            <w:tcW w:w="883" w:type="pct"/>
          </w:tcPr>
          <w:p w14:paraId="7DB36A0F" w14:textId="77777777" w:rsidR="006F4EA5" w:rsidRPr="0004431E" w:rsidRDefault="006F4EA5" w:rsidP="00F02C61">
            <w:pPr>
              <w:pStyle w:val="GOSTTablenorm"/>
              <w:rPr>
                <w:szCs w:val="22"/>
              </w:rPr>
            </w:pPr>
            <w:r w:rsidRPr="0004431E">
              <w:rPr>
                <w:szCs w:val="22"/>
              </w:rPr>
              <w:t>Гилязова Е.В.</w:t>
            </w:r>
          </w:p>
        </w:tc>
        <w:tc>
          <w:tcPr>
            <w:tcW w:w="3015" w:type="pct"/>
          </w:tcPr>
          <w:p w14:paraId="66F8CE9D" w14:textId="77777777" w:rsidR="006F4EA5" w:rsidRPr="0004431E" w:rsidRDefault="006F4EA5" w:rsidP="00F02C61">
            <w:pPr>
              <w:pStyle w:val="GOSTTablenorm"/>
              <w:rPr>
                <w:rFonts w:eastAsia="Calibri"/>
                <w:szCs w:val="22"/>
              </w:rPr>
            </w:pPr>
            <w:r w:rsidRPr="0004431E">
              <w:rPr>
                <w:rFonts w:eastAsia="Calibri"/>
                <w:szCs w:val="22"/>
              </w:rPr>
              <w:t>Дополнение 4 к Альбому 36.0</w:t>
            </w:r>
          </w:p>
          <w:p w14:paraId="721B3EF7" w14:textId="77777777" w:rsidR="006F4EA5" w:rsidRPr="0004431E" w:rsidRDefault="006F4EA5" w:rsidP="00F02C61">
            <w:pPr>
              <w:pStyle w:val="GOSTTablenorm"/>
              <w:rPr>
                <w:rFonts w:eastAsia="Calibri"/>
                <w:szCs w:val="22"/>
              </w:rPr>
            </w:pPr>
            <w:r w:rsidRPr="0004431E">
              <w:rPr>
                <w:rFonts w:eastAsia="Calibri"/>
                <w:szCs w:val="22"/>
              </w:rPr>
              <w:t>Внесены изменения в п. 5.2.2. «Сервисное взаимодействие по формату формуляра» для параметра «</w:t>
            </w:r>
            <w:r w:rsidRPr="0004431E">
              <w:rPr>
                <w:szCs w:val="24"/>
              </w:rPr>
              <w:t>SRCode_GRBS</w:t>
            </w:r>
            <w:r w:rsidRPr="0004431E">
              <w:rPr>
                <w:rFonts w:eastAsia="Calibri"/>
                <w:szCs w:val="22"/>
              </w:rPr>
              <w:t>» для взаимодействия ТОФК (ПУД ЭБ) и МВУ ПУиО (ПФХД)</w:t>
            </w:r>
          </w:p>
        </w:tc>
      </w:tr>
      <w:tr w:rsidR="006F4EA5" w:rsidRPr="00A77DDB" w14:paraId="15CAB12F" w14:textId="77777777" w:rsidTr="00AD1F54">
        <w:trPr>
          <w:cnfStyle w:val="000000100000" w:firstRow="0" w:lastRow="0" w:firstColumn="0" w:lastColumn="0" w:oddVBand="0" w:evenVBand="0" w:oddHBand="1" w:evenHBand="0" w:firstRowFirstColumn="0" w:firstRowLastColumn="0" w:lastRowFirstColumn="0" w:lastRowLastColumn="0"/>
          <w:trHeight w:val="110"/>
        </w:trPr>
        <w:tc>
          <w:tcPr>
            <w:tcW w:w="439" w:type="pct"/>
            <w:vMerge/>
          </w:tcPr>
          <w:p w14:paraId="5B8AAF17" w14:textId="77777777" w:rsidR="006F4EA5" w:rsidRDefault="006F4EA5" w:rsidP="00F02C61">
            <w:pPr>
              <w:pStyle w:val="OTRNameTable11"/>
            </w:pPr>
          </w:p>
        </w:tc>
        <w:tc>
          <w:tcPr>
            <w:tcW w:w="663" w:type="pct"/>
          </w:tcPr>
          <w:p w14:paraId="726BE39D" w14:textId="77777777" w:rsidR="006F4EA5" w:rsidRDefault="006F4EA5" w:rsidP="00F02C61">
            <w:pPr>
              <w:pStyle w:val="GOSTTablenorm"/>
              <w:rPr>
                <w:szCs w:val="22"/>
              </w:rPr>
            </w:pPr>
            <w:r>
              <w:rPr>
                <w:szCs w:val="22"/>
              </w:rPr>
              <w:t>05.08.2025</w:t>
            </w:r>
          </w:p>
        </w:tc>
        <w:tc>
          <w:tcPr>
            <w:tcW w:w="883" w:type="pct"/>
          </w:tcPr>
          <w:p w14:paraId="3007EB35" w14:textId="77777777" w:rsidR="006F4EA5" w:rsidRDefault="006F4EA5" w:rsidP="00F02C61">
            <w:pPr>
              <w:pStyle w:val="GOSTTablenorm"/>
              <w:rPr>
                <w:szCs w:val="22"/>
              </w:rPr>
            </w:pPr>
            <w:r>
              <w:rPr>
                <w:szCs w:val="22"/>
              </w:rPr>
              <w:t>Коршунова Н.А.</w:t>
            </w:r>
          </w:p>
        </w:tc>
        <w:tc>
          <w:tcPr>
            <w:tcW w:w="3015" w:type="pct"/>
          </w:tcPr>
          <w:p w14:paraId="3AD71CC2" w14:textId="77777777" w:rsidR="006F4EA5" w:rsidRPr="0004431E" w:rsidRDefault="006F4EA5" w:rsidP="00F02C61">
            <w:pPr>
              <w:pStyle w:val="GOSTTablenorm"/>
              <w:rPr>
                <w:rFonts w:eastAsia="Calibri"/>
                <w:szCs w:val="22"/>
              </w:rPr>
            </w:pPr>
            <w:r w:rsidRPr="0004431E">
              <w:rPr>
                <w:rFonts w:eastAsia="Calibri"/>
                <w:szCs w:val="22"/>
              </w:rPr>
              <w:t>Дополнение 4 к Альбому 36.0</w:t>
            </w:r>
          </w:p>
          <w:p w14:paraId="69770369" w14:textId="77777777" w:rsidR="006F4EA5" w:rsidRPr="00BD163C" w:rsidRDefault="006F4EA5" w:rsidP="00F02C61">
            <w:pPr>
              <w:pStyle w:val="GOSTTablenorm"/>
              <w:rPr>
                <w:rFonts w:eastAsia="Calibri"/>
                <w:szCs w:val="22"/>
              </w:rPr>
            </w:pPr>
            <w:r w:rsidRPr="007569DE">
              <w:rPr>
                <w:rFonts w:eastAsia="Calibri"/>
                <w:szCs w:val="22"/>
              </w:rPr>
              <w:t>Для документа «Сведения о бюджетном обязательстве» добавлено новое необязательное поле «Признак закупки в соответствии с п.4 и п.5 ч.1 ст.</w:t>
            </w:r>
            <w:r>
              <w:rPr>
                <w:rFonts w:eastAsia="Calibri"/>
                <w:szCs w:val="22"/>
              </w:rPr>
              <w:t xml:space="preserve"> 93 Федерального закона №44-ФЗ»</w:t>
            </w:r>
          </w:p>
        </w:tc>
      </w:tr>
      <w:tr w:rsidR="006F4EA5" w:rsidRPr="00A77DDB" w14:paraId="14A0B582" w14:textId="77777777" w:rsidTr="00AD1F54">
        <w:trPr>
          <w:cnfStyle w:val="000000010000" w:firstRow="0" w:lastRow="0" w:firstColumn="0" w:lastColumn="0" w:oddVBand="0" w:evenVBand="0" w:oddHBand="0" w:evenHBand="1" w:firstRowFirstColumn="0" w:firstRowLastColumn="0" w:lastRowFirstColumn="0" w:lastRowLastColumn="0"/>
          <w:trHeight w:val="110"/>
        </w:trPr>
        <w:tc>
          <w:tcPr>
            <w:tcW w:w="439" w:type="pct"/>
            <w:vMerge/>
          </w:tcPr>
          <w:p w14:paraId="1BFC09FB" w14:textId="77777777" w:rsidR="006F4EA5" w:rsidRDefault="006F4EA5" w:rsidP="00F02C61">
            <w:pPr>
              <w:pStyle w:val="OTRNameTable11"/>
            </w:pPr>
          </w:p>
        </w:tc>
        <w:tc>
          <w:tcPr>
            <w:tcW w:w="663" w:type="pct"/>
          </w:tcPr>
          <w:p w14:paraId="2F17949D" w14:textId="77777777" w:rsidR="006F4EA5" w:rsidRDefault="006F4EA5" w:rsidP="00F02C61">
            <w:pPr>
              <w:pStyle w:val="GOSTTablenorm"/>
              <w:rPr>
                <w:szCs w:val="22"/>
              </w:rPr>
            </w:pPr>
            <w:r>
              <w:rPr>
                <w:szCs w:val="22"/>
              </w:rPr>
              <w:t>08.08.2025</w:t>
            </w:r>
          </w:p>
        </w:tc>
        <w:tc>
          <w:tcPr>
            <w:tcW w:w="883" w:type="pct"/>
          </w:tcPr>
          <w:p w14:paraId="36AD07E1" w14:textId="77777777" w:rsidR="006F4EA5" w:rsidRDefault="006F4EA5" w:rsidP="00F02C61">
            <w:pPr>
              <w:pStyle w:val="GOSTTablenorm"/>
              <w:rPr>
                <w:szCs w:val="22"/>
              </w:rPr>
            </w:pPr>
            <w:r>
              <w:rPr>
                <w:szCs w:val="22"/>
              </w:rPr>
              <w:t>Коршунова Н.А.</w:t>
            </w:r>
          </w:p>
        </w:tc>
        <w:tc>
          <w:tcPr>
            <w:tcW w:w="3015" w:type="pct"/>
          </w:tcPr>
          <w:p w14:paraId="27140919" w14:textId="77777777" w:rsidR="006F4EA5" w:rsidRPr="0004431E" w:rsidRDefault="006F4EA5" w:rsidP="00F02C61">
            <w:pPr>
              <w:pStyle w:val="GOSTTablenorm"/>
              <w:rPr>
                <w:rFonts w:eastAsia="Calibri"/>
                <w:szCs w:val="22"/>
              </w:rPr>
            </w:pPr>
            <w:r w:rsidRPr="0004431E">
              <w:rPr>
                <w:rFonts w:eastAsia="Calibri"/>
                <w:szCs w:val="22"/>
              </w:rPr>
              <w:t>Дополнение 4 к Альбому 36.0</w:t>
            </w:r>
          </w:p>
          <w:p w14:paraId="46ADCD10" w14:textId="77777777" w:rsidR="006F4EA5" w:rsidRPr="007569DE" w:rsidRDefault="006F4EA5" w:rsidP="00F02C61">
            <w:pPr>
              <w:pStyle w:val="GOSTTablenorm"/>
              <w:rPr>
                <w:rFonts w:eastAsia="Calibri"/>
                <w:szCs w:val="22"/>
              </w:rPr>
            </w:pPr>
            <w:r w:rsidRPr="007569DE">
              <w:rPr>
                <w:rFonts w:eastAsia="Calibri"/>
                <w:szCs w:val="22"/>
              </w:rPr>
              <w:t>Для документа «Сведения о бюджетном обязательстве» добавлено новое необязательное поле «</w:t>
            </w:r>
            <w:r w:rsidRPr="00260A04">
              <w:rPr>
                <w:rFonts w:eastAsia="Calibri"/>
                <w:szCs w:val="22"/>
              </w:rPr>
              <w:t>Год ПГЗ</w:t>
            </w:r>
            <w:r>
              <w:rPr>
                <w:rFonts w:eastAsia="Calibri"/>
                <w:szCs w:val="22"/>
              </w:rPr>
              <w:t>»</w:t>
            </w:r>
          </w:p>
        </w:tc>
      </w:tr>
      <w:tr w:rsidR="006F4EA5" w:rsidRPr="00A77DDB" w14:paraId="1A348A46" w14:textId="77777777" w:rsidTr="00AD1F54">
        <w:trPr>
          <w:cnfStyle w:val="000000100000" w:firstRow="0" w:lastRow="0" w:firstColumn="0" w:lastColumn="0" w:oddVBand="0" w:evenVBand="0" w:oddHBand="1" w:evenHBand="0" w:firstRowFirstColumn="0" w:firstRowLastColumn="0" w:lastRowFirstColumn="0" w:lastRowLastColumn="0"/>
          <w:trHeight w:val="110"/>
        </w:trPr>
        <w:tc>
          <w:tcPr>
            <w:tcW w:w="439" w:type="pct"/>
            <w:vMerge/>
          </w:tcPr>
          <w:p w14:paraId="745FF5C5" w14:textId="77777777" w:rsidR="006F4EA5" w:rsidRDefault="006F4EA5" w:rsidP="00D86A54">
            <w:pPr>
              <w:pStyle w:val="OTRNameTable11"/>
            </w:pPr>
          </w:p>
        </w:tc>
        <w:tc>
          <w:tcPr>
            <w:tcW w:w="663" w:type="pct"/>
          </w:tcPr>
          <w:p w14:paraId="20647397" w14:textId="77777777" w:rsidR="006F4EA5" w:rsidRPr="001B5D15" w:rsidRDefault="006F4EA5" w:rsidP="00D86A54">
            <w:pPr>
              <w:pStyle w:val="GOSTTablenorm"/>
              <w:rPr>
                <w:szCs w:val="22"/>
              </w:rPr>
            </w:pPr>
            <w:r>
              <w:rPr>
                <w:szCs w:val="22"/>
                <w:lang w:val="en-US"/>
              </w:rPr>
              <w:t>04.</w:t>
            </w:r>
            <w:r>
              <w:rPr>
                <w:szCs w:val="22"/>
              </w:rPr>
              <w:t>09.2025</w:t>
            </w:r>
          </w:p>
        </w:tc>
        <w:tc>
          <w:tcPr>
            <w:tcW w:w="883" w:type="pct"/>
          </w:tcPr>
          <w:p w14:paraId="48B3266C" w14:textId="77777777" w:rsidR="006F4EA5" w:rsidRPr="00683055" w:rsidRDefault="006F4EA5" w:rsidP="00D86A54">
            <w:pPr>
              <w:pStyle w:val="GOSTTablenorm"/>
              <w:rPr>
                <w:szCs w:val="22"/>
              </w:rPr>
            </w:pPr>
            <w:r>
              <w:rPr>
                <w:szCs w:val="22"/>
              </w:rPr>
              <w:t>Гилязова Е.В.</w:t>
            </w:r>
          </w:p>
        </w:tc>
        <w:tc>
          <w:tcPr>
            <w:tcW w:w="3015" w:type="pct"/>
          </w:tcPr>
          <w:p w14:paraId="1BD5CA6A" w14:textId="77777777" w:rsidR="006F4EA5" w:rsidRPr="0004431E" w:rsidRDefault="006F4EA5" w:rsidP="00D86A54">
            <w:pPr>
              <w:pStyle w:val="GOSTTablenorm"/>
              <w:rPr>
                <w:rFonts w:eastAsia="Calibri"/>
                <w:szCs w:val="22"/>
              </w:rPr>
            </w:pPr>
            <w:r w:rsidRPr="0004431E">
              <w:rPr>
                <w:rFonts w:eastAsia="Calibri"/>
                <w:szCs w:val="22"/>
              </w:rPr>
              <w:t xml:space="preserve">Дополнение </w:t>
            </w:r>
            <w:r>
              <w:rPr>
                <w:rFonts w:eastAsia="Calibri"/>
                <w:szCs w:val="22"/>
              </w:rPr>
              <w:t>5</w:t>
            </w:r>
            <w:r w:rsidRPr="0004431E">
              <w:rPr>
                <w:rFonts w:eastAsia="Calibri"/>
                <w:szCs w:val="22"/>
              </w:rPr>
              <w:t xml:space="preserve"> к Альбому 36.0</w:t>
            </w:r>
          </w:p>
          <w:p w14:paraId="73C2FB6D" w14:textId="77777777" w:rsidR="006F4EA5" w:rsidRPr="00B116AB" w:rsidRDefault="006F4EA5" w:rsidP="00D86A54">
            <w:pPr>
              <w:pStyle w:val="GOSTTablenorm"/>
              <w:rPr>
                <w:rFonts w:eastAsia="Calibri"/>
                <w:szCs w:val="22"/>
              </w:rPr>
            </w:pPr>
            <w:r>
              <w:rPr>
                <w:rFonts w:eastAsia="Calibri"/>
                <w:szCs w:val="22"/>
              </w:rPr>
              <w:t>Для документа «</w:t>
            </w:r>
            <w:r w:rsidRPr="001C0103">
              <w:t xml:space="preserve">Заявление на проведение операций с </w:t>
            </w:r>
            <w:r w:rsidRPr="001C0103">
              <w:lastRenderedPageBreak/>
              <w:t>иностранной валютой</w:t>
            </w:r>
            <w:r>
              <w:rPr>
                <w:rFonts w:eastAsia="Calibri"/>
                <w:szCs w:val="22"/>
              </w:rPr>
              <w:t xml:space="preserve">» выполнен откат ранее сделанных изменений для полей «Код </w:t>
            </w:r>
            <w:r w:rsidRPr="003D78D1">
              <w:t>бюджетополучателя-плательщика</w:t>
            </w:r>
            <w:r>
              <w:t>» (</w:t>
            </w:r>
            <w:r w:rsidRPr="003D78D1">
              <w:t>ZR_KodPayer</w:t>
            </w:r>
            <w:r>
              <w:t>), «Код бюджета» (</w:t>
            </w:r>
            <w:r w:rsidRPr="003D78D1">
              <w:rPr>
                <w:lang w:val="en-US"/>
              </w:rPr>
              <w:t>ZR</w:t>
            </w:r>
            <w:r w:rsidRPr="00FC458D">
              <w:t>_</w:t>
            </w:r>
            <w:r w:rsidRPr="003D78D1">
              <w:rPr>
                <w:lang w:val="en-US"/>
              </w:rPr>
              <w:t>CdBdgt</w:t>
            </w:r>
            <w:r>
              <w:t>) – изменена обязательность с «Нет» на «Да» для взаимодействия с ПУД ЭБ</w:t>
            </w:r>
          </w:p>
        </w:tc>
      </w:tr>
      <w:tr w:rsidR="006F4EA5" w:rsidRPr="00A77DDB" w14:paraId="60DEFBF2" w14:textId="77777777" w:rsidTr="00AD1F54">
        <w:trPr>
          <w:cnfStyle w:val="000000010000" w:firstRow="0" w:lastRow="0" w:firstColumn="0" w:lastColumn="0" w:oddVBand="0" w:evenVBand="0" w:oddHBand="0" w:evenHBand="1" w:firstRowFirstColumn="0" w:firstRowLastColumn="0" w:lastRowFirstColumn="0" w:lastRowLastColumn="0"/>
          <w:trHeight w:val="110"/>
        </w:trPr>
        <w:tc>
          <w:tcPr>
            <w:tcW w:w="439" w:type="pct"/>
            <w:vMerge/>
          </w:tcPr>
          <w:p w14:paraId="6CA954B4" w14:textId="77777777" w:rsidR="006F4EA5" w:rsidRDefault="006F4EA5" w:rsidP="00D86A54">
            <w:pPr>
              <w:pStyle w:val="OTRNameTable11"/>
            </w:pPr>
          </w:p>
        </w:tc>
        <w:tc>
          <w:tcPr>
            <w:tcW w:w="663" w:type="pct"/>
          </w:tcPr>
          <w:p w14:paraId="37235CDA" w14:textId="77777777" w:rsidR="006F4EA5" w:rsidRDefault="006F4EA5" w:rsidP="00D86A54">
            <w:pPr>
              <w:pStyle w:val="GOSTTablenorm"/>
              <w:rPr>
                <w:szCs w:val="22"/>
              </w:rPr>
            </w:pPr>
            <w:r>
              <w:rPr>
                <w:szCs w:val="22"/>
              </w:rPr>
              <w:t>08.10.2025</w:t>
            </w:r>
          </w:p>
        </w:tc>
        <w:tc>
          <w:tcPr>
            <w:tcW w:w="883" w:type="pct"/>
          </w:tcPr>
          <w:p w14:paraId="62ADDA8E" w14:textId="77777777" w:rsidR="006F4EA5" w:rsidRPr="00683055" w:rsidRDefault="006F4EA5" w:rsidP="00D86A54">
            <w:pPr>
              <w:pStyle w:val="GOSTTablenorm"/>
              <w:rPr>
                <w:szCs w:val="22"/>
              </w:rPr>
            </w:pPr>
            <w:r>
              <w:rPr>
                <w:szCs w:val="22"/>
              </w:rPr>
              <w:t>Коршунова Н.А.</w:t>
            </w:r>
          </w:p>
        </w:tc>
        <w:tc>
          <w:tcPr>
            <w:tcW w:w="3015" w:type="pct"/>
          </w:tcPr>
          <w:p w14:paraId="42A65EBD" w14:textId="77777777" w:rsidR="006F4EA5" w:rsidRPr="0004431E" w:rsidRDefault="006F4EA5" w:rsidP="00D86A54">
            <w:pPr>
              <w:pStyle w:val="GOSTTablenorm"/>
              <w:rPr>
                <w:rFonts w:eastAsia="Calibri"/>
                <w:szCs w:val="22"/>
              </w:rPr>
            </w:pPr>
            <w:r w:rsidRPr="0004431E">
              <w:rPr>
                <w:rFonts w:eastAsia="Calibri"/>
                <w:szCs w:val="22"/>
              </w:rPr>
              <w:t xml:space="preserve">Дополнение </w:t>
            </w:r>
            <w:r>
              <w:rPr>
                <w:rFonts w:eastAsia="Calibri"/>
                <w:szCs w:val="22"/>
              </w:rPr>
              <w:t>5</w:t>
            </w:r>
            <w:r w:rsidRPr="0004431E">
              <w:rPr>
                <w:rFonts w:eastAsia="Calibri"/>
                <w:szCs w:val="22"/>
              </w:rPr>
              <w:t xml:space="preserve"> к Альбому 36.0</w:t>
            </w:r>
          </w:p>
          <w:p w14:paraId="038D5ABF" w14:textId="77777777" w:rsidR="006F4EA5" w:rsidRPr="00F1719B" w:rsidRDefault="006F4EA5" w:rsidP="00D86A54">
            <w:pPr>
              <w:pStyle w:val="GOSTTablenorm"/>
              <w:rPr>
                <w:rFonts w:eastAsia="Calibri"/>
                <w:szCs w:val="22"/>
              </w:rPr>
            </w:pPr>
            <w:r w:rsidRPr="00303E39">
              <w:rPr>
                <w:rFonts w:eastAsia="Calibri"/>
                <w:szCs w:val="22"/>
              </w:rPr>
              <w:t>Для документа «Заявление на проведение операций с иностранной валютой»</w:t>
            </w:r>
            <w:r>
              <w:rPr>
                <w:rFonts w:eastAsia="Calibri"/>
                <w:szCs w:val="22"/>
              </w:rPr>
              <w:t xml:space="preserve"> </w:t>
            </w:r>
            <w:r w:rsidRPr="00303E39">
              <w:rPr>
                <w:rFonts w:eastAsia="Calibri"/>
                <w:szCs w:val="22"/>
              </w:rPr>
              <w:t>добавлены новые поля</w:t>
            </w:r>
            <w:r>
              <w:rPr>
                <w:rFonts w:eastAsia="Calibri"/>
                <w:szCs w:val="22"/>
              </w:rPr>
              <w:t>:</w:t>
            </w:r>
            <w:r w:rsidRPr="00303E39">
              <w:rPr>
                <w:rFonts w:eastAsia="Calibri"/>
                <w:szCs w:val="22"/>
              </w:rPr>
              <w:t xml:space="preserve"> </w:t>
            </w:r>
            <w:r>
              <w:rPr>
                <w:rFonts w:eastAsia="Calibri"/>
                <w:szCs w:val="22"/>
              </w:rPr>
              <w:t>«</w:t>
            </w:r>
            <w:r w:rsidRPr="00303E39">
              <w:rPr>
                <w:rFonts w:eastAsia="Calibri"/>
                <w:szCs w:val="22"/>
              </w:rPr>
              <w:t>Должность руководителя</w:t>
            </w:r>
            <w:r>
              <w:rPr>
                <w:rFonts w:eastAsia="Calibri"/>
                <w:szCs w:val="22"/>
              </w:rPr>
              <w:t>», «</w:t>
            </w:r>
            <w:r w:rsidRPr="00303E39">
              <w:rPr>
                <w:rFonts w:eastAsia="Calibri"/>
                <w:szCs w:val="22"/>
              </w:rPr>
              <w:t>ФИО руководителя</w:t>
            </w:r>
            <w:r>
              <w:rPr>
                <w:rFonts w:eastAsia="Calibri"/>
                <w:szCs w:val="22"/>
              </w:rPr>
              <w:t>», «</w:t>
            </w:r>
            <w:r w:rsidRPr="00303E39">
              <w:rPr>
                <w:rFonts w:eastAsia="Calibri"/>
                <w:szCs w:val="22"/>
              </w:rPr>
              <w:t>Должность главного бухгалтера</w:t>
            </w:r>
            <w:r>
              <w:rPr>
                <w:rFonts w:eastAsia="Calibri"/>
                <w:szCs w:val="22"/>
              </w:rPr>
              <w:t>», «</w:t>
            </w:r>
            <w:r w:rsidRPr="00303E39">
              <w:rPr>
                <w:rFonts w:eastAsia="Calibri"/>
                <w:szCs w:val="22"/>
              </w:rPr>
              <w:t>ФИО главного бухгалтера</w:t>
            </w:r>
            <w:r>
              <w:rPr>
                <w:rFonts w:eastAsia="Calibri"/>
                <w:szCs w:val="22"/>
              </w:rPr>
              <w:t>», «</w:t>
            </w:r>
            <w:r w:rsidRPr="00303E39">
              <w:rPr>
                <w:rFonts w:eastAsia="Calibri"/>
                <w:szCs w:val="22"/>
              </w:rPr>
              <w:t>Дата подписания</w:t>
            </w:r>
            <w:r>
              <w:rPr>
                <w:rFonts w:eastAsia="Calibri"/>
                <w:szCs w:val="22"/>
              </w:rPr>
              <w:t>», «</w:t>
            </w:r>
            <w:r w:rsidRPr="00303E39">
              <w:rPr>
                <w:rFonts w:eastAsia="Calibri"/>
                <w:szCs w:val="22"/>
              </w:rPr>
              <w:t>Электронная подпись</w:t>
            </w:r>
            <w:r>
              <w:rPr>
                <w:rFonts w:eastAsia="Calibri"/>
                <w:szCs w:val="22"/>
              </w:rPr>
              <w:t>»</w:t>
            </w:r>
          </w:p>
        </w:tc>
      </w:tr>
      <w:tr w:rsidR="006F4EA5" w:rsidRPr="00A77DDB" w14:paraId="41B9BF73" w14:textId="77777777" w:rsidTr="00AD1F54">
        <w:trPr>
          <w:cnfStyle w:val="000000100000" w:firstRow="0" w:lastRow="0" w:firstColumn="0" w:lastColumn="0" w:oddVBand="0" w:evenVBand="0" w:oddHBand="1" w:evenHBand="0" w:firstRowFirstColumn="0" w:firstRowLastColumn="0" w:lastRowFirstColumn="0" w:lastRowLastColumn="0"/>
          <w:trHeight w:val="110"/>
        </w:trPr>
        <w:tc>
          <w:tcPr>
            <w:tcW w:w="439" w:type="pct"/>
            <w:vMerge/>
          </w:tcPr>
          <w:p w14:paraId="65745358" w14:textId="77777777" w:rsidR="006F4EA5" w:rsidRDefault="006F4EA5" w:rsidP="00557BC4">
            <w:pPr>
              <w:pStyle w:val="OTRNameTable11"/>
            </w:pPr>
          </w:p>
        </w:tc>
        <w:tc>
          <w:tcPr>
            <w:tcW w:w="663" w:type="pct"/>
          </w:tcPr>
          <w:p w14:paraId="3AAE4E68" w14:textId="77777777" w:rsidR="006F4EA5" w:rsidRDefault="006F4EA5" w:rsidP="00557BC4">
            <w:pPr>
              <w:pStyle w:val="GOSTTablenorm"/>
              <w:rPr>
                <w:szCs w:val="22"/>
              </w:rPr>
            </w:pPr>
            <w:r>
              <w:rPr>
                <w:szCs w:val="22"/>
              </w:rPr>
              <w:t>10.10.2025</w:t>
            </w:r>
          </w:p>
        </w:tc>
        <w:tc>
          <w:tcPr>
            <w:tcW w:w="883" w:type="pct"/>
          </w:tcPr>
          <w:p w14:paraId="4C02B3C9" w14:textId="77777777" w:rsidR="006F4EA5" w:rsidRDefault="006F4EA5" w:rsidP="00557BC4">
            <w:pPr>
              <w:pStyle w:val="GOSTTablenorm"/>
              <w:rPr>
                <w:szCs w:val="22"/>
              </w:rPr>
            </w:pPr>
            <w:r>
              <w:rPr>
                <w:szCs w:val="22"/>
              </w:rPr>
              <w:t>Коршунова Н.А.</w:t>
            </w:r>
          </w:p>
        </w:tc>
        <w:tc>
          <w:tcPr>
            <w:tcW w:w="3015" w:type="pct"/>
          </w:tcPr>
          <w:p w14:paraId="1EB81537" w14:textId="77777777" w:rsidR="006F4EA5" w:rsidRPr="0004431E" w:rsidRDefault="006F4EA5" w:rsidP="00F817C6">
            <w:pPr>
              <w:pStyle w:val="GOSTTablenorm"/>
              <w:rPr>
                <w:rFonts w:eastAsia="Calibri"/>
                <w:szCs w:val="22"/>
              </w:rPr>
            </w:pPr>
            <w:r w:rsidRPr="0004431E">
              <w:rPr>
                <w:rFonts w:eastAsia="Calibri"/>
                <w:szCs w:val="22"/>
              </w:rPr>
              <w:t xml:space="preserve">Дополнение </w:t>
            </w:r>
            <w:r>
              <w:rPr>
                <w:rFonts w:eastAsia="Calibri"/>
                <w:szCs w:val="22"/>
              </w:rPr>
              <w:t>5</w:t>
            </w:r>
            <w:r w:rsidRPr="0004431E">
              <w:rPr>
                <w:rFonts w:eastAsia="Calibri"/>
                <w:szCs w:val="22"/>
              </w:rPr>
              <w:t xml:space="preserve"> к Альбому 36.0</w:t>
            </w:r>
          </w:p>
          <w:p w14:paraId="1712A7BD" w14:textId="77777777" w:rsidR="006F4EA5" w:rsidRDefault="006F4EA5" w:rsidP="00557BC4">
            <w:pPr>
              <w:pStyle w:val="GOSTTablenorm"/>
              <w:rPr>
                <w:rFonts w:eastAsia="Calibri"/>
                <w:szCs w:val="22"/>
              </w:rPr>
            </w:pPr>
            <w:r w:rsidRPr="003B12B5">
              <w:rPr>
                <w:rFonts w:eastAsia="Calibri"/>
                <w:szCs w:val="22"/>
              </w:rPr>
              <w:t xml:space="preserve">Для документа «Сведения о бюджетном обязательстве» добавлены новые значения в поле </w:t>
            </w:r>
            <w:r>
              <w:rPr>
                <w:rFonts w:eastAsia="Calibri"/>
                <w:szCs w:val="22"/>
              </w:rPr>
              <w:t>«</w:t>
            </w:r>
            <w:r w:rsidRPr="003B12B5">
              <w:rPr>
                <w:rFonts w:eastAsia="Calibri"/>
                <w:szCs w:val="22"/>
              </w:rPr>
              <w:t>Уровень конфиденциальности</w:t>
            </w:r>
            <w:r>
              <w:rPr>
                <w:rFonts w:eastAsia="Calibri"/>
                <w:szCs w:val="22"/>
              </w:rPr>
              <w:t>»</w:t>
            </w:r>
            <w:r w:rsidRPr="003B12B5">
              <w:rPr>
                <w:rFonts w:eastAsia="Calibri"/>
                <w:szCs w:val="22"/>
              </w:rPr>
              <w:t xml:space="preserve">, добавлено новое поле </w:t>
            </w:r>
            <w:r>
              <w:rPr>
                <w:rFonts w:eastAsia="Calibri"/>
                <w:szCs w:val="22"/>
              </w:rPr>
              <w:t>«</w:t>
            </w:r>
            <w:r w:rsidRPr="003B12B5">
              <w:rPr>
                <w:rFonts w:eastAsia="Calibri"/>
                <w:szCs w:val="22"/>
              </w:rPr>
              <w:t>Пункт перечня</w:t>
            </w:r>
            <w:r>
              <w:rPr>
                <w:rFonts w:eastAsia="Calibri"/>
                <w:szCs w:val="22"/>
              </w:rPr>
              <w:t>»</w:t>
            </w:r>
          </w:p>
        </w:tc>
      </w:tr>
      <w:tr w:rsidR="006F4EA5" w:rsidRPr="00A77DDB" w14:paraId="368C223E" w14:textId="77777777" w:rsidTr="00AD1F54">
        <w:trPr>
          <w:cnfStyle w:val="000000010000" w:firstRow="0" w:lastRow="0" w:firstColumn="0" w:lastColumn="0" w:oddVBand="0" w:evenVBand="0" w:oddHBand="0" w:evenHBand="1" w:firstRowFirstColumn="0" w:firstRowLastColumn="0" w:lastRowFirstColumn="0" w:lastRowLastColumn="0"/>
          <w:trHeight w:val="110"/>
        </w:trPr>
        <w:tc>
          <w:tcPr>
            <w:tcW w:w="439" w:type="pct"/>
            <w:vMerge/>
          </w:tcPr>
          <w:p w14:paraId="0DF264B0" w14:textId="77777777" w:rsidR="006F4EA5" w:rsidRDefault="006F4EA5" w:rsidP="00557BC4">
            <w:pPr>
              <w:pStyle w:val="OTRNameTable11"/>
            </w:pPr>
          </w:p>
        </w:tc>
        <w:tc>
          <w:tcPr>
            <w:tcW w:w="663" w:type="pct"/>
          </w:tcPr>
          <w:p w14:paraId="270D7979" w14:textId="77777777" w:rsidR="006F4EA5" w:rsidRDefault="006F4EA5" w:rsidP="00557BC4">
            <w:pPr>
              <w:pStyle w:val="GOSTTablenorm"/>
              <w:rPr>
                <w:szCs w:val="22"/>
              </w:rPr>
            </w:pPr>
            <w:r>
              <w:rPr>
                <w:szCs w:val="22"/>
              </w:rPr>
              <w:t>10.10.2025</w:t>
            </w:r>
          </w:p>
        </w:tc>
        <w:tc>
          <w:tcPr>
            <w:tcW w:w="883" w:type="pct"/>
          </w:tcPr>
          <w:p w14:paraId="4AF9E003" w14:textId="77777777" w:rsidR="006F4EA5" w:rsidRDefault="006F4EA5" w:rsidP="00557BC4">
            <w:pPr>
              <w:pStyle w:val="GOSTTablenorm"/>
              <w:rPr>
                <w:szCs w:val="22"/>
              </w:rPr>
            </w:pPr>
            <w:r>
              <w:rPr>
                <w:szCs w:val="22"/>
              </w:rPr>
              <w:t>Коршунова Н.А.</w:t>
            </w:r>
          </w:p>
        </w:tc>
        <w:tc>
          <w:tcPr>
            <w:tcW w:w="3015" w:type="pct"/>
          </w:tcPr>
          <w:p w14:paraId="6F13B0BF" w14:textId="77777777" w:rsidR="006F4EA5" w:rsidRPr="0004431E" w:rsidRDefault="006F4EA5" w:rsidP="00F817C6">
            <w:pPr>
              <w:pStyle w:val="GOSTTablenorm"/>
              <w:rPr>
                <w:rFonts w:eastAsia="Calibri"/>
                <w:szCs w:val="22"/>
              </w:rPr>
            </w:pPr>
            <w:r w:rsidRPr="0004431E">
              <w:rPr>
                <w:rFonts w:eastAsia="Calibri"/>
                <w:szCs w:val="22"/>
              </w:rPr>
              <w:t xml:space="preserve">Дополнение </w:t>
            </w:r>
            <w:r>
              <w:rPr>
                <w:rFonts w:eastAsia="Calibri"/>
                <w:szCs w:val="22"/>
              </w:rPr>
              <w:t>5</w:t>
            </w:r>
            <w:r w:rsidRPr="0004431E">
              <w:rPr>
                <w:rFonts w:eastAsia="Calibri"/>
                <w:szCs w:val="22"/>
              </w:rPr>
              <w:t xml:space="preserve"> к Альбому 36.0</w:t>
            </w:r>
          </w:p>
          <w:p w14:paraId="61709189" w14:textId="77777777" w:rsidR="006F4EA5" w:rsidRPr="00CF48A4" w:rsidRDefault="006F4EA5" w:rsidP="00557BC4">
            <w:pPr>
              <w:pStyle w:val="GOSTTablenorm"/>
              <w:rPr>
                <w:rFonts w:eastAsia="Calibri"/>
                <w:szCs w:val="22"/>
              </w:rPr>
            </w:pPr>
            <w:r w:rsidRPr="00502620">
              <w:rPr>
                <w:rFonts w:eastAsia="Calibri"/>
                <w:szCs w:val="22"/>
              </w:rPr>
              <w:t>Для документа «Сведения о денежном обязательстве» добавлены новые значения в поле «Уровень конфиденциальности», добавлено новое поле «Пункт перечня»</w:t>
            </w:r>
          </w:p>
        </w:tc>
      </w:tr>
      <w:tr w:rsidR="006F4EA5" w:rsidRPr="00A77DDB" w14:paraId="29A7DDF3" w14:textId="77777777" w:rsidTr="00AD1F54">
        <w:trPr>
          <w:cnfStyle w:val="000000100000" w:firstRow="0" w:lastRow="0" w:firstColumn="0" w:lastColumn="0" w:oddVBand="0" w:evenVBand="0" w:oddHBand="1" w:evenHBand="0" w:firstRowFirstColumn="0" w:firstRowLastColumn="0" w:lastRowFirstColumn="0" w:lastRowLastColumn="0"/>
          <w:trHeight w:val="110"/>
        </w:trPr>
        <w:tc>
          <w:tcPr>
            <w:tcW w:w="439" w:type="pct"/>
            <w:vMerge/>
          </w:tcPr>
          <w:p w14:paraId="390A6676" w14:textId="77777777" w:rsidR="006F4EA5" w:rsidRDefault="006F4EA5" w:rsidP="00557BC4">
            <w:pPr>
              <w:pStyle w:val="OTRNameTable11"/>
            </w:pPr>
          </w:p>
        </w:tc>
        <w:tc>
          <w:tcPr>
            <w:tcW w:w="663" w:type="pct"/>
          </w:tcPr>
          <w:p w14:paraId="5F0990B6" w14:textId="77777777" w:rsidR="006F4EA5" w:rsidRDefault="006F4EA5" w:rsidP="00557BC4">
            <w:pPr>
              <w:pStyle w:val="GOSTTablenorm"/>
              <w:rPr>
                <w:szCs w:val="22"/>
              </w:rPr>
            </w:pPr>
            <w:r w:rsidRPr="008B26A8">
              <w:rPr>
                <w:szCs w:val="22"/>
              </w:rPr>
              <w:t>17.</w:t>
            </w:r>
            <w:r>
              <w:rPr>
                <w:szCs w:val="22"/>
              </w:rPr>
              <w:t>10.2025</w:t>
            </w:r>
          </w:p>
        </w:tc>
        <w:tc>
          <w:tcPr>
            <w:tcW w:w="883" w:type="pct"/>
          </w:tcPr>
          <w:p w14:paraId="0D0179C6" w14:textId="77777777" w:rsidR="006F4EA5" w:rsidRDefault="006F4EA5" w:rsidP="00557BC4">
            <w:pPr>
              <w:pStyle w:val="GOSTTablenorm"/>
              <w:rPr>
                <w:szCs w:val="22"/>
              </w:rPr>
            </w:pPr>
            <w:r>
              <w:rPr>
                <w:szCs w:val="22"/>
              </w:rPr>
              <w:t>Гилязова Е.В.</w:t>
            </w:r>
          </w:p>
        </w:tc>
        <w:tc>
          <w:tcPr>
            <w:tcW w:w="3015" w:type="pct"/>
          </w:tcPr>
          <w:p w14:paraId="0CA96ABD" w14:textId="77777777" w:rsidR="006F4EA5" w:rsidRPr="0004431E" w:rsidRDefault="006F4EA5" w:rsidP="00557BC4">
            <w:pPr>
              <w:pStyle w:val="GOSTTablenorm"/>
              <w:rPr>
                <w:rFonts w:eastAsia="Calibri"/>
                <w:szCs w:val="22"/>
              </w:rPr>
            </w:pPr>
            <w:r w:rsidRPr="0004431E">
              <w:rPr>
                <w:rFonts w:eastAsia="Calibri"/>
                <w:szCs w:val="22"/>
              </w:rPr>
              <w:t xml:space="preserve">Дополнение </w:t>
            </w:r>
            <w:r>
              <w:rPr>
                <w:rFonts w:eastAsia="Calibri"/>
                <w:szCs w:val="22"/>
              </w:rPr>
              <w:t>5</w:t>
            </w:r>
            <w:r w:rsidRPr="0004431E">
              <w:rPr>
                <w:rFonts w:eastAsia="Calibri"/>
                <w:szCs w:val="22"/>
              </w:rPr>
              <w:t xml:space="preserve"> к Альбому 36.0</w:t>
            </w:r>
          </w:p>
          <w:p w14:paraId="5A7084EA" w14:textId="77777777" w:rsidR="006F4EA5" w:rsidRDefault="006F4EA5" w:rsidP="00557BC4">
            <w:pPr>
              <w:pStyle w:val="GOSTTablenorm"/>
              <w:rPr>
                <w:rFonts w:eastAsia="Calibri"/>
                <w:szCs w:val="22"/>
              </w:rPr>
            </w:pPr>
            <w:r>
              <w:rPr>
                <w:rFonts w:eastAsia="Calibri"/>
                <w:szCs w:val="22"/>
              </w:rPr>
              <w:t>Для документа «</w:t>
            </w:r>
            <w:r w:rsidRPr="001C0103">
              <w:t>Заявление на проведение операций с иностранной валютой</w:t>
            </w:r>
            <w:r>
              <w:rPr>
                <w:rFonts w:eastAsia="Calibri"/>
                <w:szCs w:val="22"/>
              </w:rPr>
              <w:t xml:space="preserve">» скорректировано примечание к полям «Код </w:t>
            </w:r>
            <w:r w:rsidRPr="003D78D1">
              <w:t>бюджетополучателя-плательщика</w:t>
            </w:r>
            <w:r>
              <w:t>» (</w:t>
            </w:r>
            <w:r w:rsidRPr="003D78D1">
              <w:t>ZR_KodPayer</w:t>
            </w:r>
            <w:r>
              <w:t>) (добавлен АДБ), «Сумма» (</w:t>
            </w:r>
            <w:r w:rsidRPr="003D78D1">
              <w:t>ZR_SumRem</w:t>
            </w:r>
            <w:r>
              <w:t>)</w:t>
            </w:r>
            <w:r>
              <w:rPr>
                <w:rFonts w:eastAsia="Calibri"/>
                <w:szCs w:val="22"/>
              </w:rPr>
              <w:t xml:space="preserve"> (условие обязательности для ПУД ЭБ)</w:t>
            </w:r>
          </w:p>
        </w:tc>
      </w:tr>
      <w:tr w:rsidR="006F4EA5" w:rsidRPr="00A77DDB" w14:paraId="100EF988" w14:textId="77777777" w:rsidTr="00AD1F54">
        <w:trPr>
          <w:cnfStyle w:val="000000010000" w:firstRow="0" w:lastRow="0" w:firstColumn="0" w:lastColumn="0" w:oddVBand="0" w:evenVBand="0" w:oddHBand="0" w:evenHBand="1" w:firstRowFirstColumn="0" w:firstRowLastColumn="0" w:lastRowFirstColumn="0" w:lastRowLastColumn="0"/>
          <w:trHeight w:val="110"/>
        </w:trPr>
        <w:tc>
          <w:tcPr>
            <w:tcW w:w="439" w:type="pct"/>
            <w:vMerge/>
          </w:tcPr>
          <w:p w14:paraId="27FA7E0F" w14:textId="77777777" w:rsidR="006F4EA5" w:rsidRDefault="006F4EA5" w:rsidP="00F817C6">
            <w:pPr>
              <w:pStyle w:val="OTRNameTable11"/>
            </w:pPr>
          </w:p>
        </w:tc>
        <w:tc>
          <w:tcPr>
            <w:tcW w:w="663" w:type="pct"/>
          </w:tcPr>
          <w:p w14:paraId="4FC2C390" w14:textId="77777777" w:rsidR="006F4EA5" w:rsidRPr="00162D38" w:rsidRDefault="006F4EA5" w:rsidP="00F817C6">
            <w:pPr>
              <w:pStyle w:val="GOSTTablenorm"/>
              <w:rPr>
                <w:szCs w:val="22"/>
              </w:rPr>
            </w:pPr>
            <w:r w:rsidRPr="00162D38">
              <w:rPr>
                <w:szCs w:val="22"/>
              </w:rPr>
              <w:t>17.</w:t>
            </w:r>
            <w:r>
              <w:rPr>
                <w:szCs w:val="22"/>
              </w:rPr>
              <w:t>10.2025</w:t>
            </w:r>
          </w:p>
        </w:tc>
        <w:tc>
          <w:tcPr>
            <w:tcW w:w="883" w:type="pct"/>
          </w:tcPr>
          <w:p w14:paraId="7DD55B67" w14:textId="77777777" w:rsidR="006F4EA5" w:rsidRDefault="006F4EA5" w:rsidP="00F817C6">
            <w:pPr>
              <w:pStyle w:val="GOSTTablenorm"/>
              <w:rPr>
                <w:szCs w:val="22"/>
              </w:rPr>
            </w:pPr>
            <w:r>
              <w:rPr>
                <w:szCs w:val="22"/>
              </w:rPr>
              <w:t>Гилязова Е.В.</w:t>
            </w:r>
          </w:p>
        </w:tc>
        <w:tc>
          <w:tcPr>
            <w:tcW w:w="3015" w:type="pct"/>
          </w:tcPr>
          <w:p w14:paraId="7D20746D" w14:textId="77777777" w:rsidR="006F4EA5" w:rsidRPr="0004431E" w:rsidRDefault="006F4EA5" w:rsidP="00F817C6">
            <w:pPr>
              <w:pStyle w:val="GOSTTablenorm"/>
              <w:rPr>
                <w:rFonts w:eastAsia="Calibri"/>
                <w:szCs w:val="22"/>
              </w:rPr>
            </w:pPr>
            <w:r w:rsidRPr="0004431E">
              <w:rPr>
                <w:rFonts w:eastAsia="Calibri"/>
                <w:szCs w:val="22"/>
              </w:rPr>
              <w:t xml:space="preserve">Дополнение </w:t>
            </w:r>
            <w:r>
              <w:rPr>
                <w:rFonts w:eastAsia="Calibri"/>
                <w:szCs w:val="22"/>
              </w:rPr>
              <w:t>5</w:t>
            </w:r>
            <w:r w:rsidRPr="0004431E">
              <w:rPr>
                <w:rFonts w:eastAsia="Calibri"/>
                <w:szCs w:val="22"/>
              </w:rPr>
              <w:t xml:space="preserve"> к Альбому 36.0</w:t>
            </w:r>
          </w:p>
          <w:p w14:paraId="611F7D18" w14:textId="77777777" w:rsidR="006F4EA5" w:rsidRPr="00864C67" w:rsidRDefault="006F4EA5" w:rsidP="00F817C6">
            <w:pPr>
              <w:pStyle w:val="GOSTTablenorm"/>
              <w:rPr>
                <w:rFonts w:eastAsia="Calibri"/>
                <w:szCs w:val="22"/>
              </w:rPr>
            </w:pPr>
            <w:r w:rsidRPr="00864C67">
              <w:rPr>
                <w:rFonts w:eastAsia="Calibri"/>
                <w:szCs w:val="22"/>
              </w:rPr>
              <w:t xml:space="preserve">Для документа «Ответ на запрос (уведомление) по ЭПС участника» для </w:t>
            </w:r>
            <w:r>
              <w:rPr>
                <w:rFonts w:eastAsia="Calibri"/>
                <w:szCs w:val="22"/>
              </w:rPr>
              <w:t>поля</w:t>
            </w:r>
            <w:r w:rsidRPr="00864C67">
              <w:rPr>
                <w:rFonts w:eastAsia="Calibri"/>
                <w:szCs w:val="22"/>
              </w:rPr>
              <w:t xml:space="preserve"> «</w:t>
            </w:r>
            <w:r w:rsidRPr="009D2D00">
              <w:rPr>
                <w:szCs w:val="22"/>
              </w:rPr>
              <w:t>Номер ЭС в течение опер. дня</w:t>
            </w:r>
            <w:r w:rsidRPr="00864C67">
              <w:rPr>
                <w:rFonts w:eastAsia="Calibri"/>
                <w:szCs w:val="22"/>
              </w:rPr>
              <w:t>» (</w:t>
            </w:r>
            <w:r w:rsidRPr="009D2D00">
              <w:rPr>
                <w:szCs w:val="22"/>
              </w:rPr>
              <w:t>BasicRequisites_EDNo</w:t>
            </w:r>
            <w:r w:rsidRPr="00864C67">
              <w:rPr>
                <w:rFonts w:eastAsia="Calibri"/>
                <w:szCs w:val="22"/>
              </w:rPr>
              <w:t>)</w:t>
            </w:r>
            <w:r>
              <w:rPr>
                <w:rFonts w:eastAsia="Calibri"/>
                <w:szCs w:val="22"/>
              </w:rPr>
              <w:t xml:space="preserve"> указана обязательность</w:t>
            </w:r>
            <w:r w:rsidRPr="008B26A8">
              <w:rPr>
                <w:rFonts w:eastAsia="Calibri"/>
                <w:szCs w:val="22"/>
              </w:rPr>
              <w:t xml:space="preserve"> </w:t>
            </w:r>
            <w:r w:rsidRPr="00864C67">
              <w:rPr>
                <w:rFonts w:eastAsia="Calibri"/>
                <w:szCs w:val="22"/>
              </w:rPr>
              <w:t>для взаимодействия с ПУД ЭБ</w:t>
            </w:r>
          </w:p>
        </w:tc>
      </w:tr>
      <w:tr w:rsidR="006F4EA5" w:rsidRPr="00A77DDB" w14:paraId="634727F2" w14:textId="77777777" w:rsidTr="00AD1F54">
        <w:trPr>
          <w:cnfStyle w:val="000000100000" w:firstRow="0" w:lastRow="0" w:firstColumn="0" w:lastColumn="0" w:oddVBand="0" w:evenVBand="0" w:oddHBand="1" w:evenHBand="0" w:firstRowFirstColumn="0" w:firstRowLastColumn="0" w:lastRowFirstColumn="0" w:lastRowLastColumn="0"/>
          <w:trHeight w:val="110"/>
        </w:trPr>
        <w:tc>
          <w:tcPr>
            <w:tcW w:w="439" w:type="pct"/>
            <w:vMerge/>
          </w:tcPr>
          <w:p w14:paraId="2561E6FF" w14:textId="77777777" w:rsidR="006F4EA5" w:rsidRDefault="006F4EA5" w:rsidP="002B0EB7">
            <w:pPr>
              <w:pStyle w:val="OTRNameTable11"/>
            </w:pPr>
          </w:p>
        </w:tc>
        <w:tc>
          <w:tcPr>
            <w:tcW w:w="663" w:type="pct"/>
          </w:tcPr>
          <w:p w14:paraId="37E78261" w14:textId="77777777" w:rsidR="006F4EA5" w:rsidRDefault="006F4EA5" w:rsidP="002B0EB7">
            <w:pPr>
              <w:pStyle w:val="GOSTTablenorm"/>
              <w:rPr>
                <w:szCs w:val="22"/>
                <w:lang w:val="en-US"/>
              </w:rPr>
            </w:pPr>
            <w:r w:rsidRPr="00162D38">
              <w:rPr>
                <w:szCs w:val="22"/>
              </w:rPr>
              <w:t>1</w:t>
            </w:r>
            <w:r>
              <w:rPr>
                <w:szCs w:val="22"/>
              </w:rPr>
              <w:t>5.12.2025</w:t>
            </w:r>
          </w:p>
        </w:tc>
        <w:tc>
          <w:tcPr>
            <w:tcW w:w="883" w:type="pct"/>
          </w:tcPr>
          <w:p w14:paraId="4781907D" w14:textId="77777777" w:rsidR="006F4EA5" w:rsidRDefault="006F4EA5" w:rsidP="002B0EB7">
            <w:pPr>
              <w:pStyle w:val="GOSTTablenorm"/>
              <w:rPr>
                <w:szCs w:val="22"/>
              </w:rPr>
            </w:pPr>
            <w:r>
              <w:rPr>
                <w:szCs w:val="22"/>
              </w:rPr>
              <w:t>Гилязова Е.В.</w:t>
            </w:r>
          </w:p>
        </w:tc>
        <w:tc>
          <w:tcPr>
            <w:tcW w:w="3015" w:type="pct"/>
          </w:tcPr>
          <w:p w14:paraId="5090EFAA" w14:textId="77777777" w:rsidR="006F4EA5" w:rsidRPr="00D51937" w:rsidRDefault="006F4EA5" w:rsidP="002B0EB7">
            <w:pPr>
              <w:pStyle w:val="GOSTTablenorm"/>
              <w:rPr>
                <w:rFonts w:eastAsia="Calibri"/>
                <w:szCs w:val="22"/>
              </w:rPr>
            </w:pPr>
            <w:r>
              <w:rPr>
                <w:rFonts w:eastAsia="Calibri"/>
                <w:szCs w:val="22"/>
              </w:rPr>
              <w:t xml:space="preserve">В п. 5.2.2 в таблицу. 6 добавлены коды систем: </w:t>
            </w:r>
            <w:r>
              <w:rPr>
                <w:rFonts w:eastAsia="Calibri"/>
                <w:szCs w:val="22"/>
                <w:lang w:val="en-US"/>
              </w:rPr>
              <w:t>FNS</w:t>
            </w:r>
            <w:r w:rsidRPr="008D797C">
              <w:rPr>
                <w:rFonts w:eastAsia="Calibri"/>
                <w:szCs w:val="22"/>
              </w:rPr>
              <w:t xml:space="preserve">, </w:t>
            </w:r>
            <w:r>
              <w:rPr>
                <w:rFonts w:eastAsia="Calibri"/>
                <w:szCs w:val="22"/>
                <w:lang w:val="en-US"/>
              </w:rPr>
              <w:t>FTS</w:t>
            </w:r>
            <w:r w:rsidRPr="008D797C">
              <w:rPr>
                <w:rFonts w:eastAsia="Calibri"/>
                <w:szCs w:val="22"/>
              </w:rPr>
              <w:t xml:space="preserve">, </w:t>
            </w:r>
            <w:r>
              <w:rPr>
                <w:rFonts w:eastAsia="Calibri"/>
                <w:szCs w:val="22"/>
              </w:rPr>
              <w:t>M</w:t>
            </w:r>
            <w:r>
              <w:rPr>
                <w:rFonts w:eastAsia="Calibri"/>
                <w:szCs w:val="22"/>
                <w:lang w:val="en-US"/>
              </w:rPr>
              <w:t>FPLAT</w:t>
            </w:r>
          </w:p>
        </w:tc>
      </w:tr>
      <w:tr w:rsidR="006F4EA5" w:rsidRPr="00A77DDB" w14:paraId="7A2C4924" w14:textId="77777777" w:rsidTr="00AD1F54">
        <w:trPr>
          <w:cnfStyle w:val="000000010000" w:firstRow="0" w:lastRow="0" w:firstColumn="0" w:lastColumn="0" w:oddVBand="0" w:evenVBand="0" w:oddHBand="0" w:evenHBand="1" w:firstRowFirstColumn="0" w:firstRowLastColumn="0" w:lastRowFirstColumn="0" w:lastRowLastColumn="0"/>
          <w:trHeight w:val="110"/>
        </w:trPr>
        <w:tc>
          <w:tcPr>
            <w:tcW w:w="439" w:type="pct"/>
            <w:vMerge/>
          </w:tcPr>
          <w:p w14:paraId="2FEE2F64" w14:textId="77777777" w:rsidR="006F4EA5" w:rsidRDefault="006F4EA5" w:rsidP="002B0EB7">
            <w:pPr>
              <w:pStyle w:val="OTRNameTable11"/>
            </w:pPr>
          </w:p>
        </w:tc>
        <w:tc>
          <w:tcPr>
            <w:tcW w:w="663" w:type="pct"/>
          </w:tcPr>
          <w:p w14:paraId="5F9CEC03" w14:textId="1E710603" w:rsidR="006F4EA5" w:rsidRPr="00162D38" w:rsidRDefault="006F4EA5" w:rsidP="002B0EB7">
            <w:pPr>
              <w:pStyle w:val="GOSTTablenorm"/>
              <w:rPr>
                <w:szCs w:val="22"/>
              </w:rPr>
            </w:pPr>
            <w:r>
              <w:rPr>
                <w:szCs w:val="22"/>
              </w:rPr>
              <w:t>16.12.2025</w:t>
            </w:r>
          </w:p>
        </w:tc>
        <w:tc>
          <w:tcPr>
            <w:tcW w:w="883" w:type="pct"/>
          </w:tcPr>
          <w:p w14:paraId="22172361" w14:textId="733BCB05" w:rsidR="006F4EA5" w:rsidRDefault="006F4EA5" w:rsidP="002B0EB7">
            <w:pPr>
              <w:pStyle w:val="GOSTTablenorm"/>
              <w:rPr>
                <w:szCs w:val="22"/>
              </w:rPr>
            </w:pPr>
            <w:r>
              <w:rPr>
                <w:szCs w:val="22"/>
              </w:rPr>
              <w:t>Гилязова Е.В.</w:t>
            </w:r>
          </w:p>
        </w:tc>
        <w:tc>
          <w:tcPr>
            <w:tcW w:w="3015" w:type="pct"/>
          </w:tcPr>
          <w:p w14:paraId="6CB5167A" w14:textId="3FAE2773" w:rsidR="006F4EA5" w:rsidRDefault="006F4EA5" w:rsidP="002B0EB7">
            <w:pPr>
              <w:pStyle w:val="GOSTTablenorm"/>
              <w:rPr>
                <w:rFonts w:eastAsia="Calibri"/>
                <w:szCs w:val="22"/>
              </w:rPr>
            </w:pPr>
            <w:r w:rsidRPr="00330901">
              <w:rPr>
                <w:rFonts w:eastAsia="Calibri"/>
                <w:szCs w:val="22"/>
              </w:rPr>
              <w:t xml:space="preserve">Добавлен документ </w:t>
            </w:r>
            <w:r w:rsidRPr="00330901">
              <w:rPr>
                <w:szCs w:val="22"/>
              </w:rPr>
              <w:t>«Распоряжение о совершении казначейского платежа (возврат)</w:t>
            </w:r>
            <w:r w:rsidRPr="008D797C">
              <w:rPr>
                <w:szCs w:val="22"/>
              </w:rPr>
              <w:t xml:space="preserve"> (многострочный)»</w:t>
            </w:r>
          </w:p>
        </w:tc>
      </w:tr>
      <w:tr w:rsidR="006F4EA5" w:rsidRPr="00A77DDB" w14:paraId="5B4010AF" w14:textId="77777777" w:rsidTr="00AD1F54">
        <w:trPr>
          <w:cnfStyle w:val="000000100000" w:firstRow="0" w:lastRow="0" w:firstColumn="0" w:lastColumn="0" w:oddVBand="0" w:evenVBand="0" w:oddHBand="1" w:evenHBand="0" w:firstRowFirstColumn="0" w:firstRowLastColumn="0" w:lastRowFirstColumn="0" w:lastRowLastColumn="0"/>
          <w:trHeight w:val="110"/>
        </w:trPr>
        <w:tc>
          <w:tcPr>
            <w:tcW w:w="439" w:type="pct"/>
            <w:vMerge/>
          </w:tcPr>
          <w:p w14:paraId="3713E607" w14:textId="77777777" w:rsidR="006F4EA5" w:rsidRDefault="006F4EA5" w:rsidP="00AD76D2">
            <w:pPr>
              <w:pStyle w:val="OTRNameTable11"/>
            </w:pPr>
          </w:p>
        </w:tc>
        <w:tc>
          <w:tcPr>
            <w:tcW w:w="663" w:type="pct"/>
          </w:tcPr>
          <w:p w14:paraId="116C6E2B" w14:textId="710058C2" w:rsidR="006F4EA5" w:rsidRDefault="006F4EA5" w:rsidP="00AD76D2">
            <w:pPr>
              <w:pStyle w:val="GOSTTablenorm"/>
              <w:rPr>
                <w:szCs w:val="22"/>
              </w:rPr>
            </w:pPr>
            <w:r>
              <w:rPr>
                <w:szCs w:val="22"/>
              </w:rPr>
              <w:t>16.12.2025</w:t>
            </w:r>
          </w:p>
        </w:tc>
        <w:tc>
          <w:tcPr>
            <w:tcW w:w="883" w:type="pct"/>
          </w:tcPr>
          <w:p w14:paraId="07CB1003" w14:textId="536624D6" w:rsidR="006F4EA5" w:rsidRDefault="006F4EA5" w:rsidP="00AD76D2">
            <w:pPr>
              <w:pStyle w:val="GOSTTablenorm"/>
              <w:rPr>
                <w:szCs w:val="22"/>
              </w:rPr>
            </w:pPr>
            <w:r>
              <w:rPr>
                <w:szCs w:val="22"/>
              </w:rPr>
              <w:t>Коршунова Н.А.</w:t>
            </w:r>
          </w:p>
        </w:tc>
        <w:tc>
          <w:tcPr>
            <w:tcW w:w="3015" w:type="pct"/>
          </w:tcPr>
          <w:p w14:paraId="1431F2E6" w14:textId="10A00D12" w:rsidR="006F4EA5" w:rsidRPr="00330901" w:rsidRDefault="006F4EA5" w:rsidP="00AD76D2">
            <w:pPr>
              <w:pStyle w:val="GOSTTablenorm"/>
              <w:rPr>
                <w:rFonts w:eastAsia="Calibri"/>
                <w:szCs w:val="22"/>
              </w:rPr>
            </w:pPr>
            <w:r w:rsidRPr="003B12B5">
              <w:rPr>
                <w:rFonts w:eastAsia="Calibri"/>
                <w:szCs w:val="22"/>
              </w:rPr>
              <w:t>Для документа «</w:t>
            </w:r>
            <w:r>
              <w:rPr>
                <w:rFonts w:eastAsia="Calibri"/>
                <w:szCs w:val="22"/>
              </w:rPr>
              <w:t>Расходное расписание</w:t>
            </w:r>
            <w:r w:rsidRPr="003B12B5">
              <w:rPr>
                <w:rFonts w:eastAsia="Calibri"/>
                <w:szCs w:val="22"/>
              </w:rPr>
              <w:t xml:space="preserve">» добавлены новые значения в поле </w:t>
            </w:r>
            <w:r>
              <w:rPr>
                <w:rFonts w:eastAsia="Calibri"/>
                <w:szCs w:val="22"/>
              </w:rPr>
              <w:t>«</w:t>
            </w:r>
            <w:r w:rsidRPr="003B12B5">
              <w:rPr>
                <w:rFonts w:eastAsia="Calibri"/>
                <w:szCs w:val="22"/>
              </w:rPr>
              <w:t>Уровень конфиденциальности</w:t>
            </w:r>
            <w:r>
              <w:rPr>
                <w:rFonts w:eastAsia="Calibri"/>
                <w:szCs w:val="22"/>
              </w:rPr>
              <w:t>»</w:t>
            </w:r>
            <w:r w:rsidRPr="003B12B5">
              <w:rPr>
                <w:rFonts w:eastAsia="Calibri"/>
                <w:szCs w:val="22"/>
              </w:rPr>
              <w:t xml:space="preserve">, добавлено новое поле </w:t>
            </w:r>
            <w:r>
              <w:rPr>
                <w:rFonts w:eastAsia="Calibri"/>
                <w:szCs w:val="22"/>
              </w:rPr>
              <w:t>«</w:t>
            </w:r>
            <w:r w:rsidRPr="003B12B5">
              <w:rPr>
                <w:rFonts w:eastAsia="Calibri"/>
                <w:szCs w:val="22"/>
              </w:rPr>
              <w:t>Пункт перечня</w:t>
            </w:r>
            <w:r>
              <w:rPr>
                <w:rFonts w:eastAsia="Calibri"/>
                <w:szCs w:val="22"/>
              </w:rPr>
              <w:t>»</w:t>
            </w:r>
          </w:p>
        </w:tc>
      </w:tr>
      <w:tr w:rsidR="006F4EA5" w:rsidRPr="00A77DDB" w14:paraId="7FD538AC" w14:textId="77777777" w:rsidTr="00AD1F54">
        <w:trPr>
          <w:cnfStyle w:val="000000010000" w:firstRow="0" w:lastRow="0" w:firstColumn="0" w:lastColumn="0" w:oddVBand="0" w:evenVBand="0" w:oddHBand="0" w:evenHBand="1" w:firstRowFirstColumn="0" w:firstRowLastColumn="0" w:lastRowFirstColumn="0" w:lastRowLastColumn="0"/>
          <w:trHeight w:val="110"/>
        </w:trPr>
        <w:tc>
          <w:tcPr>
            <w:tcW w:w="439" w:type="pct"/>
            <w:vMerge/>
          </w:tcPr>
          <w:p w14:paraId="002FA0ED" w14:textId="77777777" w:rsidR="006F4EA5" w:rsidRDefault="006F4EA5" w:rsidP="00AD76D2">
            <w:pPr>
              <w:pStyle w:val="OTRNameTable11"/>
            </w:pPr>
          </w:p>
        </w:tc>
        <w:tc>
          <w:tcPr>
            <w:tcW w:w="663" w:type="pct"/>
          </w:tcPr>
          <w:p w14:paraId="3E3D42E5" w14:textId="62A70077" w:rsidR="006F4EA5" w:rsidRDefault="006F4EA5" w:rsidP="00AD76D2">
            <w:pPr>
              <w:pStyle w:val="GOSTTablenorm"/>
              <w:rPr>
                <w:szCs w:val="22"/>
              </w:rPr>
            </w:pPr>
            <w:r>
              <w:rPr>
                <w:szCs w:val="22"/>
              </w:rPr>
              <w:t>19.12.2025</w:t>
            </w:r>
          </w:p>
        </w:tc>
        <w:tc>
          <w:tcPr>
            <w:tcW w:w="883" w:type="pct"/>
          </w:tcPr>
          <w:p w14:paraId="4F3C17C5" w14:textId="742771BE" w:rsidR="006F4EA5" w:rsidRDefault="006F4EA5" w:rsidP="00AD76D2">
            <w:pPr>
              <w:pStyle w:val="GOSTTablenorm"/>
              <w:rPr>
                <w:szCs w:val="22"/>
              </w:rPr>
            </w:pPr>
            <w:r>
              <w:rPr>
                <w:szCs w:val="22"/>
              </w:rPr>
              <w:t>Гилязова Е.В.</w:t>
            </w:r>
          </w:p>
        </w:tc>
        <w:tc>
          <w:tcPr>
            <w:tcW w:w="3015" w:type="pct"/>
          </w:tcPr>
          <w:p w14:paraId="4F68BADB" w14:textId="569E72DA" w:rsidR="006F4EA5" w:rsidRPr="003B12B5" w:rsidRDefault="006F4EA5" w:rsidP="00AD76D2">
            <w:pPr>
              <w:pStyle w:val="GOSTTablenorm"/>
              <w:rPr>
                <w:rFonts w:eastAsia="Calibri"/>
                <w:szCs w:val="22"/>
              </w:rPr>
            </w:pPr>
            <w:r>
              <w:rPr>
                <w:rFonts w:eastAsia="Calibri"/>
                <w:szCs w:val="22"/>
              </w:rPr>
              <w:t>В п. 5.2.2 таблица 4 для тега «</w:t>
            </w:r>
            <w:r w:rsidRPr="00264D5D">
              <w:t>Код организации-получателя по Сводному реестру</w:t>
            </w:r>
            <w:r>
              <w:rPr>
                <w:rFonts w:eastAsia="Calibri"/>
                <w:szCs w:val="22"/>
              </w:rPr>
              <w:t>» (</w:t>
            </w:r>
            <w:r w:rsidRPr="00264D5D">
              <w:t>documentOrgCode</w:t>
            </w:r>
            <w:r>
              <w:t>) добавлено условие для взаимодействия с ПУД ЭБ</w:t>
            </w:r>
          </w:p>
        </w:tc>
      </w:tr>
      <w:tr w:rsidR="006F4EA5" w:rsidRPr="00A77DDB" w14:paraId="6807885A" w14:textId="77777777" w:rsidTr="00AD1F54">
        <w:trPr>
          <w:cnfStyle w:val="000000100000" w:firstRow="0" w:lastRow="0" w:firstColumn="0" w:lastColumn="0" w:oddVBand="0" w:evenVBand="0" w:oddHBand="1" w:evenHBand="0" w:firstRowFirstColumn="0" w:firstRowLastColumn="0" w:lastRowFirstColumn="0" w:lastRowLastColumn="0"/>
          <w:trHeight w:val="110"/>
        </w:trPr>
        <w:tc>
          <w:tcPr>
            <w:tcW w:w="439" w:type="pct"/>
            <w:vMerge/>
          </w:tcPr>
          <w:p w14:paraId="65A98845" w14:textId="77777777" w:rsidR="006F4EA5" w:rsidRDefault="006F4EA5" w:rsidP="00AD76D2">
            <w:pPr>
              <w:pStyle w:val="OTRNameTable11"/>
            </w:pPr>
          </w:p>
        </w:tc>
        <w:tc>
          <w:tcPr>
            <w:tcW w:w="663" w:type="pct"/>
          </w:tcPr>
          <w:p w14:paraId="33DD9EE7" w14:textId="2D04BAC4" w:rsidR="006F4EA5" w:rsidRDefault="006F4EA5" w:rsidP="00AD76D2">
            <w:pPr>
              <w:pStyle w:val="GOSTTablenorm"/>
              <w:rPr>
                <w:szCs w:val="22"/>
              </w:rPr>
            </w:pPr>
            <w:r>
              <w:rPr>
                <w:szCs w:val="22"/>
              </w:rPr>
              <w:t>19.12.2025</w:t>
            </w:r>
          </w:p>
        </w:tc>
        <w:tc>
          <w:tcPr>
            <w:tcW w:w="883" w:type="pct"/>
          </w:tcPr>
          <w:p w14:paraId="5825C39B" w14:textId="4E8E6550" w:rsidR="006F4EA5" w:rsidRDefault="006F4EA5" w:rsidP="00AD76D2">
            <w:pPr>
              <w:pStyle w:val="GOSTTablenorm"/>
              <w:rPr>
                <w:szCs w:val="22"/>
              </w:rPr>
            </w:pPr>
            <w:r>
              <w:rPr>
                <w:szCs w:val="22"/>
              </w:rPr>
              <w:t>Гилязова Е.В.</w:t>
            </w:r>
          </w:p>
        </w:tc>
        <w:tc>
          <w:tcPr>
            <w:tcW w:w="3015" w:type="pct"/>
          </w:tcPr>
          <w:p w14:paraId="3BCDFA49" w14:textId="7AFA362F" w:rsidR="006F4EA5" w:rsidRDefault="006F4EA5" w:rsidP="00A573DF">
            <w:pPr>
              <w:pStyle w:val="GOSTTablenorm"/>
              <w:rPr>
                <w:rFonts w:eastAsia="Calibri"/>
                <w:szCs w:val="22"/>
              </w:rPr>
            </w:pPr>
            <w:r>
              <w:rPr>
                <w:rFonts w:eastAsia="Calibri"/>
                <w:szCs w:val="22"/>
              </w:rPr>
              <w:t xml:space="preserve">В </w:t>
            </w:r>
            <w:r w:rsidRPr="00A573DF">
              <w:rPr>
                <w:rFonts w:eastAsia="Calibri"/>
                <w:szCs w:val="22"/>
              </w:rPr>
              <w:t>п. 6.5.</w:t>
            </w:r>
            <w:r>
              <w:rPr>
                <w:rFonts w:eastAsia="Calibri"/>
                <w:szCs w:val="22"/>
              </w:rPr>
              <w:t xml:space="preserve"> </w:t>
            </w:r>
            <w:r w:rsidRPr="00A573DF">
              <w:rPr>
                <w:rFonts w:eastAsia="Calibri"/>
                <w:szCs w:val="22"/>
              </w:rPr>
              <w:t>Описание документа «Запрос на отзыв распоряжения (запрос на аннулирование)»</w:t>
            </w:r>
            <w:r>
              <w:rPr>
                <w:rFonts w:eastAsia="Calibri"/>
                <w:szCs w:val="22"/>
              </w:rPr>
              <w:t xml:space="preserve"> д</w:t>
            </w:r>
            <w:r w:rsidRPr="00330901">
              <w:rPr>
                <w:rFonts w:eastAsia="Calibri"/>
                <w:szCs w:val="22"/>
              </w:rPr>
              <w:t xml:space="preserve">обавлен документ </w:t>
            </w:r>
            <w:r w:rsidRPr="00330901">
              <w:rPr>
                <w:szCs w:val="22"/>
              </w:rPr>
              <w:t>«Распоряжение о совершении казначейского платежа (возврат)</w:t>
            </w:r>
            <w:r w:rsidRPr="008E41DE">
              <w:rPr>
                <w:szCs w:val="22"/>
              </w:rPr>
              <w:t xml:space="preserve"> (многострочный)»</w:t>
            </w:r>
          </w:p>
        </w:tc>
      </w:tr>
      <w:tr w:rsidR="006F4EA5" w:rsidRPr="00A77DDB" w14:paraId="598B97D2" w14:textId="77777777" w:rsidTr="00AD1F54">
        <w:trPr>
          <w:cnfStyle w:val="000000010000" w:firstRow="0" w:lastRow="0" w:firstColumn="0" w:lastColumn="0" w:oddVBand="0" w:evenVBand="0" w:oddHBand="0" w:evenHBand="1" w:firstRowFirstColumn="0" w:firstRowLastColumn="0" w:lastRowFirstColumn="0" w:lastRowLastColumn="0"/>
          <w:trHeight w:val="110"/>
        </w:trPr>
        <w:tc>
          <w:tcPr>
            <w:tcW w:w="439" w:type="pct"/>
            <w:vMerge/>
          </w:tcPr>
          <w:p w14:paraId="6A91898F" w14:textId="77777777" w:rsidR="006F4EA5" w:rsidRDefault="006F4EA5" w:rsidP="0084237E">
            <w:pPr>
              <w:pStyle w:val="OTRNameTable11"/>
            </w:pPr>
          </w:p>
        </w:tc>
        <w:tc>
          <w:tcPr>
            <w:tcW w:w="663" w:type="pct"/>
          </w:tcPr>
          <w:p w14:paraId="6C5734CC" w14:textId="1DECC4BF" w:rsidR="006F4EA5" w:rsidRDefault="006F4EA5" w:rsidP="0084237E">
            <w:pPr>
              <w:pStyle w:val="GOSTTablenorm"/>
              <w:rPr>
                <w:szCs w:val="22"/>
              </w:rPr>
            </w:pPr>
            <w:r>
              <w:rPr>
                <w:szCs w:val="22"/>
              </w:rPr>
              <w:t>24.12.2025</w:t>
            </w:r>
          </w:p>
        </w:tc>
        <w:tc>
          <w:tcPr>
            <w:tcW w:w="883" w:type="pct"/>
          </w:tcPr>
          <w:p w14:paraId="68916DFE" w14:textId="38E82802" w:rsidR="006F4EA5" w:rsidRDefault="006F4EA5" w:rsidP="0084237E">
            <w:pPr>
              <w:pStyle w:val="GOSTTablenorm"/>
              <w:rPr>
                <w:szCs w:val="22"/>
              </w:rPr>
            </w:pPr>
            <w:r>
              <w:rPr>
                <w:szCs w:val="22"/>
              </w:rPr>
              <w:t>Гилязова Е.В.</w:t>
            </w:r>
          </w:p>
        </w:tc>
        <w:tc>
          <w:tcPr>
            <w:tcW w:w="3015" w:type="pct"/>
          </w:tcPr>
          <w:p w14:paraId="2E359B17" w14:textId="5C2364F8" w:rsidR="006F4EA5" w:rsidRDefault="006F4EA5" w:rsidP="0084237E">
            <w:pPr>
              <w:pStyle w:val="GOSTTablenorm"/>
              <w:rPr>
                <w:rFonts w:eastAsia="Calibri"/>
                <w:szCs w:val="22"/>
              </w:rPr>
            </w:pPr>
            <w:r>
              <w:rPr>
                <w:rFonts w:eastAsia="Calibri"/>
                <w:szCs w:val="22"/>
              </w:rPr>
              <w:t>Исключен документ «</w:t>
            </w:r>
            <w:r w:rsidRPr="00264D5D">
              <w:rPr>
                <w:szCs w:val="22"/>
              </w:rPr>
              <w:t>Запрос на предоставление отчета клиента</w:t>
            </w:r>
            <w:r>
              <w:rPr>
                <w:szCs w:val="22"/>
              </w:rPr>
              <w:t>» в виду неиспользования</w:t>
            </w:r>
          </w:p>
        </w:tc>
      </w:tr>
      <w:tr w:rsidR="006F4EA5" w:rsidRPr="00A77DDB" w14:paraId="7C004005" w14:textId="77777777" w:rsidTr="00AD1F54">
        <w:trPr>
          <w:cnfStyle w:val="000000100000" w:firstRow="0" w:lastRow="0" w:firstColumn="0" w:lastColumn="0" w:oddVBand="0" w:evenVBand="0" w:oddHBand="1" w:evenHBand="0" w:firstRowFirstColumn="0" w:firstRowLastColumn="0" w:lastRowFirstColumn="0" w:lastRowLastColumn="0"/>
          <w:trHeight w:val="110"/>
        </w:trPr>
        <w:tc>
          <w:tcPr>
            <w:tcW w:w="439" w:type="pct"/>
            <w:vMerge/>
          </w:tcPr>
          <w:p w14:paraId="5076F7CE" w14:textId="77777777" w:rsidR="006F4EA5" w:rsidRDefault="006F4EA5" w:rsidP="0084237E">
            <w:pPr>
              <w:pStyle w:val="OTRNameTable11"/>
            </w:pPr>
          </w:p>
        </w:tc>
        <w:tc>
          <w:tcPr>
            <w:tcW w:w="663" w:type="pct"/>
          </w:tcPr>
          <w:p w14:paraId="7F0D74CA" w14:textId="4710569C" w:rsidR="006F4EA5" w:rsidRDefault="006F4EA5" w:rsidP="0084237E">
            <w:pPr>
              <w:pStyle w:val="GOSTTablenorm"/>
              <w:rPr>
                <w:szCs w:val="22"/>
              </w:rPr>
            </w:pPr>
            <w:r>
              <w:rPr>
                <w:szCs w:val="22"/>
              </w:rPr>
              <w:t>26.12.2025</w:t>
            </w:r>
          </w:p>
        </w:tc>
        <w:tc>
          <w:tcPr>
            <w:tcW w:w="883" w:type="pct"/>
          </w:tcPr>
          <w:p w14:paraId="42467593" w14:textId="0694F43E" w:rsidR="006F4EA5" w:rsidRDefault="006F4EA5" w:rsidP="0084237E">
            <w:pPr>
              <w:pStyle w:val="GOSTTablenorm"/>
              <w:rPr>
                <w:szCs w:val="22"/>
              </w:rPr>
            </w:pPr>
            <w:r>
              <w:rPr>
                <w:szCs w:val="22"/>
              </w:rPr>
              <w:t>Гилязова Е.В.</w:t>
            </w:r>
          </w:p>
        </w:tc>
        <w:tc>
          <w:tcPr>
            <w:tcW w:w="3015" w:type="pct"/>
          </w:tcPr>
          <w:p w14:paraId="053FD2AD" w14:textId="77777777" w:rsidR="006F4EA5" w:rsidRDefault="006F4EA5" w:rsidP="00297160">
            <w:pPr>
              <w:pStyle w:val="GOSTTablenorm"/>
              <w:rPr>
                <w:rFonts w:eastAsia="Calibri"/>
                <w:szCs w:val="22"/>
              </w:rPr>
            </w:pPr>
            <w:r>
              <w:rPr>
                <w:rFonts w:eastAsia="Calibri"/>
                <w:szCs w:val="22"/>
              </w:rPr>
              <w:t>Исключены документы в виду неиспользования:</w:t>
            </w:r>
          </w:p>
          <w:p w14:paraId="542342AF" w14:textId="6EE6EE96" w:rsidR="006F4EA5" w:rsidRPr="006F4EA5" w:rsidRDefault="006F4EA5" w:rsidP="006F4EA5">
            <w:pPr>
              <w:pStyle w:val="GOSTTablenorm"/>
              <w:numPr>
                <w:ilvl w:val="0"/>
                <w:numId w:val="169"/>
              </w:numPr>
              <w:spacing w:before="0" w:after="0"/>
              <w:ind w:left="284" w:hanging="227"/>
              <w:rPr>
                <w:szCs w:val="22"/>
              </w:rPr>
            </w:pPr>
            <w:r w:rsidRPr="006F4EA5">
              <w:rPr>
                <w:szCs w:val="22"/>
              </w:rPr>
              <w:t>п. 9.1 «Запрос о получении информации по ЭПС участника» (ED243);</w:t>
            </w:r>
          </w:p>
          <w:p w14:paraId="24195C8D" w14:textId="5CFFDC10" w:rsidR="006F4EA5" w:rsidRDefault="006F4EA5" w:rsidP="006F4EA5">
            <w:pPr>
              <w:pStyle w:val="GOSTTablenorm"/>
              <w:numPr>
                <w:ilvl w:val="0"/>
                <w:numId w:val="169"/>
              </w:numPr>
              <w:spacing w:before="0" w:after="0"/>
              <w:ind w:left="284" w:hanging="227"/>
              <w:rPr>
                <w:rFonts w:eastAsia="Calibri"/>
                <w:szCs w:val="22"/>
              </w:rPr>
            </w:pPr>
            <w:r w:rsidRPr="006F4EA5">
              <w:rPr>
                <w:szCs w:val="22"/>
              </w:rPr>
              <w:t>п. 9.2 «Ответ на запрос (уведомление) по ЭПС участника» (ED244)</w:t>
            </w:r>
          </w:p>
        </w:tc>
      </w:tr>
      <w:tr w:rsidR="006F4EA5" w:rsidRPr="00A77DDB" w14:paraId="3ABD2D71" w14:textId="77777777" w:rsidTr="00AD1F54">
        <w:trPr>
          <w:cnfStyle w:val="000000010000" w:firstRow="0" w:lastRow="0" w:firstColumn="0" w:lastColumn="0" w:oddVBand="0" w:evenVBand="0" w:oddHBand="0" w:evenHBand="1" w:firstRowFirstColumn="0" w:firstRowLastColumn="0" w:lastRowFirstColumn="0" w:lastRowLastColumn="0"/>
          <w:trHeight w:val="110"/>
        </w:trPr>
        <w:tc>
          <w:tcPr>
            <w:tcW w:w="439" w:type="pct"/>
            <w:vMerge/>
          </w:tcPr>
          <w:p w14:paraId="505C87AF" w14:textId="77777777" w:rsidR="006F4EA5" w:rsidRDefault="006F4EA5" w:rsidP="0084237E">
            <w:pPr>
              <w:pStyle w:val="OTRNameTable11"/>
            </w:pPr>
          </w:p>
        </w:tc>
        <w:tc>
          <w:tcPr>
            <w:tcW w:w="663" w:type="pct"/>
          </w:tcPr>
          <w:p w14:paraId="08CE2DDA" w14:textId="06851767" w:rsidR="006F4EA5" w:rsidRDefault="006F4EA5" w:rsidP="0084237E">
            <w:pPr>
              <w:pStyle w:val="GOSTTablenorm"/>
              <w:rPr>
                <w:szCs w:val="22"/>
              </w:rPr>
            </w:pPr>
            <w:r>
              <w:rPr>
                <w:szCs w:val="22"/>
              </w:rPr>
              <w:t>14.01.2026</w:t>
            </w:r>
          </w:p>
        </w:tc>
        <w:tc>
          <w:tcPr>
            <w:tcW w:w="883" w:type="pct"/>
          </w:tcPr>
          <w:p w14:paraId="68C1BF89" w14:textId="7231EE2D" w:rsidR="006F4EA5" w:rsidRDefault="006F4EA5" w:rsidP="0084237E">
            <w:pPr>
              <w:pStyle w:val="GOSTTablenorm"/>
              <w:rPr>
                <w:szCs w:val="22"/>
              </w:rPr>
            </w:pPr>
            <w:r>
              <w:rPr>
                <w:szCs w:val="22"/>
              </w:rPr>
              <w:t>Коршунова Н.А.</w:t>
            </w:r>
          </w:p>
        </w:tc>
        <w:tc>
          <w:tcPr>
            <w:tcW w:w="3015" w:type="pct"/>
          </w:tcPr>
          <w:p w14:paraId="4A60A870" w14:textId="77777777" w:rsidR="006F4EA5" w:rsidRPr="00110A0E" w:rsidRDefault="006F4EA5" w:rsidP="006F4EA5">
            <w:pPr>
              <w:pStyle w:val="GOSTTablenorm"/>
              <w:rPr>
                <w:szCs w:val="22"/>
              </w:rPr>
            </w:pPr>
            <w:r w:rsidRPr="00110A0E">
              <w:rPr>
                <w:szCs w:val="22"/>
              </w:rPr>
              <w:t xml:space="preserve">Для документа «Сведения о денежном обязательстве»: </w:t>
            </w:r>
          </w:p>
          <w:p w14:paraId="792ABAEF" w14:textId="77777777" w:rsidR="006F4EA5" w:rsidRPr="00110A0E" w:rsidRDefault="006F4EA5" w:rsidP="006F4EA5">
            <w:pPr>
              <w:pStyle w:val="GOSTTablenorm"/>
              <w:numPr>
                <w:ilvl w:val="0"/>
                <w:numId w:val="169"/>
              </w:numPr>
              <w:spacing w:before="0" w:after="0"/>
              <w:ind w:left="284" w:hanging="227"/>
              <w:rPr>
                <w:szCs w:val="22"/>
              </w:rPr>
            </w:pPr>
            <w:r w:rsidRPr="00110A0E">
              <w:rPr>
                <w:szCs w:val="22"/>
              </w:rPr>
              <w:t xml:space="preserve">уточнено заполнение блока «Сведения о товарах, работах, услугах (ТРУ)», </w:t>
            </w:r>
          </w:p>
          <w:p w14:paraId="6BDDE593" w14:textId="77525264" w:rsidR="006F4EA5" w:rsidRDefault="006F4EA5" w:rsidP="006F4EA5">
            <w:pPr>
              <w:pStyle w:val="GOSTTablenorm"/>
              <w:numPr>
                <w:ilvl w:val="0"/>
                <w:numId w:val="169"/>
              </w:numPr>
              <w:spacing w:before="0" w:after="0"/>
              <w:ind w:left="284" w:hanging="227"/>
              <w:rPr>
                <w:rFonts w:eastAsia="Calibri"/>
                <w:szCs w:val="22"/>
              </w:rPr>
            </w:pPr>
            <w:r w:rsidRPr="00110A0E">
              <w:rPr>
                <w:szCs w:val="22"/>
              </w:rPr>
              <w:t>удалены поля «Итого без НДС», «Итого НДС по ставке 10%», «Итого НДС по ставке 20%»</w:t>
            </w:r>
          </w:p>
        </w:tc>
      </w:tr>
    </w:tbl>
    <w:p w14:paraId="3BD44AED" w14:textId="77777777" w:rsidR="00AD1F54" w:rsidRDefault="00AD1F54"/>
    <w:p w14:paraId="5A4B4209" w14:textId="77777777" w:rsidR="00AD1F54" w:rsidRDefault="00AD1F54"/>
    <w:p w14:paraId="1431283E" w14:textId="77777777" w:rsidR="00AD1F54" w:rsidRDefault="00AD1F54"/>
    <w:sectPr w:rsidR="00AD1F54">
      <w:headerReference w:type="even" r:id="rId19"/>
      <w:footerReference w:type="first" r:id="rId20"/>
      <w:pgSz w:w="11906" w:h="16838"/>
      <w:pgMar w:top="1134" w:right="567" w:bottom="851" w:left="1701" w:header="708" w:footer="708"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B2496ED" w16cid:durableId="2CEBF345"/>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0DEDA6E" w14:textId="77777777" w:rsidR="00235D7D" w:rsidRDefault="00235D7D">
      <w:r>
        <w:separator/>
      </w:r>
    </w:p>
  </w:endnote>
  <w:endnote w:type="continuationSeparator" w:id="0">
    <w:p w14:paraId="38181AC7" w14:textId="77777777" w:rsidR="00235D7D" w:rsidRDefault="00235D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 w:name="Arial CYR">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CC"/>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imes New Roman ??????????">
    <w:altName w:val="Times New Roman"/>
    <w:charset w:val="00"/>
    <w:family w:val="auto"/>
    <w:pitch w:val="default"/>
  </w:font>
  <w:font w:name="ISOCPEUR">
    <w:panose1 w:val="00000000000000000000"/>
    <w:charset w:val="00"/>
    <w:family w:val="swiss"/>
    <w:notTrueType/>
    <w:pitch w:val="variable"/>
    <w:sig w:usb0="00000003" w:usb1="00000000" w:usb2="00000000" w:usb3="00000000" w:csb0="00000001" w:csb1="00000000"/>
  </w:font>
  <w:font w:name="Journal">
    <w:charset w:val="00"/>
    <w:family w:val="auto"/>
    <w:pitch w:val="default"/>
  </w:font>
  <w:font w:name="Times New Roman Полужирный">
    <w:panose1 w:val="02020803070505020304"/>
    <w:charset w:val="00"/>
    <w:family w:val="auto"/>
    <w:pitch w:val="default"/>
  </w:font>
  <w:font w:name="-apple-system">
    <w:altName w:val="Times New Roman"/>
    <w:panose1 w:val="00000000000000000000"/>
    <w:charset w:val="00"/>
    <w:family w:val="roman"/>
    <w:notTrueType/>
    <w:pitch w:val="default"/>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152F9" w14:textId="77777777" w:rsidR="007C13BA" w:rsidRDefault="007C13BA">
    <w:pPr>
      <w:pStyle w:val="OTRFootercenter"/>
      <w:ind w:left="23"/>
      <w:contextualSpacing/>
    </w:pPr>
    <w:r>
      <w:t>20</w:t>
    </w:r>
    <w:r>
      <w:rPr>
        <w:lang w:val="en-US"/>
      </w:rPr>
      <w:t>2</w:t>
    </w:r>
    <w:r>
      <w:t>5</w:t>
    </w:r>
    <w:r>
      <w:rPr>
        <w:lang w:val="en-US"/>
      </w:rPr>
      <w:t xml:space="preserve"> </w:t>
    </w:r>
    <w:r>
      <w:t>г.</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1955AF" w14:textId="77777777" w:rsidR="007C13BA" w:rsidRDefault="007C13BA">
    <w:pPr>
      <w:pStyle w:val="OTRFootercenter"/>
      <w:jc w:val="right"/>
      <w:rPr>
        <w:b/>
        <w:lang w:val="en-US"/>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6CBA35" w14:textId="77777777" w:rsidR="007C13BA" w:rsidRDefault="007C13BA">
    <w:pPr>
      <w:pStyle w:val="OTRFootercenter"/>
      <w:rPr>
        <w:lang w:val="en-US"/>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31ABCC" w14:textId="77777777" w:rsidR="007C13BA" w:rsidRDefault="007C13BA">
    <w:pPr>
      <w:pStyle w:val="OTRFootercenter"/>
      <w:rPr>
        <w:lang w:val="en-US"/>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C1140F" w14:textId="77777777" w:rsidR="007C13BA" w:rsidRDefault="007C13BA">
    <w:pPr>
      <w:pStyle w:val="OTRFootercenter"/>
      <w:rPr>
        <w:lang w:val="en-U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1B639FB" w14:textId="77777777" w:rsidR="00235D7D" w:rsidRDefault="00235D7D">
      <w:r>
        <w:separator/>
      </w:r>
    </w:p>
  </w:footnote>
  <w:footnote w:type="continuationSeparator" w:id="0">
    <w:p w14:paraId="34E6694E" w14:textId="77777777" w:rsidR="00235D7D" w:rsidRDefault="00235D7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top w:val="single" w:sz="12" w:space="0" w:color="auto"/>
        <w:left w:val="single" w:sz="12" w:space="0" w:color="auto"/>
        <w:bottom w:val="single" w:sz="12" w:space="0" w:color="auto"/>
        <w:right w:val="single" w:sz="12" w:space="0" w:color="auto"/>
      </w:tblBorders>
      <w:tblLayout w:type="fixed"/>
      <w:tblCellMar>
        <w:left w:w="57" w:type="dxa"/>
        <w:right w:w="57" w:type="dxa"/>
      </w:tblCellMar>
      <w:tblLook w:val="0000" w:firstRow="0" w:lastRow="0" w:firstColumn="0" w:lastColumn="0" w:noHBand="0" w:noVBand="0"/>
    </w:tblPr>
    <w:tblGrid>
      <w:gridCol w:w="2043"/>
      <w:gridCol w:w="5886"/>
      <w:gridCol w:w="1823"/>
    </w:tblGrid>
    <w:tr w:rsidR="007C13BA" w14:paraId="7905BE65" w14:textId="77777777">
      <w:trPr>
        <w:cantSplit/>
        <w:trHeight w:val="20"/>
      </w:trPr>
      <w:tc>
        <w:tcPr>
          <w:tcW w:w="2043" w:type="dxa"/>
          <w:tcBorders>
            <w:top w:val="single" w:sz="12" w:space="0" w:color="auto"/>
            <w:left w:val="single" w:sz="12" w:space="0" w:color="auto"/>
            <w:bottom w:val="single" w:sz="12" w:space="0" w:color="auto"/>
          </w:tcBorders>
          <w:vAlign w:val="center"/>
        </w:tcPr>
        <w:p w14:paraId="6ABCBA09" w14:textId="77777777" w:rsidR="007C13BA" w:rsidRDefault="007C13BA">
          <w:pPr>
            <w:rPr>
              <w:b/>
              <w:color w:val="000000"/>
              <w:sz w:val="20"/>
              <w:szCs w:val="28"/>
            </w:rPr>
          </w:pPr>
          <w:r>
            <w:rPr>
              <w:b/>
              <w:color w:val="000000"/>
              <w:sz w:val="20"/>
              <w:szCs w:val="28"/>
            </w:rPr>
            <w:t>Наименование ИС:</w:t>
          </w:r>
        </w:p>
      </w:tc>
      <w:tc>
        <w:tcPr>
          <w:tcW w:w="7709" w:type="dxa"/>
          <w:gridSpan w:val="2"/>
          <w:tcBorders>
            <w:top w:val="single" w:sz="12" w:space="0" w:color="auto"/>
            <w:left w:val="single" w:sz="12" w:space="0" w:color="auto"/>
            <w:bottom w:val="single" w:sz="12" w:space="0" w:color="auto"/>
          </w:tcBorders>
          <w:vAlign w:val="center"/>
        </w:tcPr>
        <w:p w14:paraId="6539E4A7" w14:textId="77777777" w:rsidR="007C13BA" w:rsidRDefault="007C13BA">
          <w:pPr>
            <w:rPr>
              <w:b/>
              <w:color w:val="000000"/>
              <w:sz w:val="20"/>
              <w:szCs w:val="28"/>
            </w:rPr>
          </w:pPr>
          <w:r>
            <w:rPr>
              <w:rFonts w:eastAsia="Calibri"/>
              <w:b/>
              <w:color w:val="000000"/>
              <w:sz w:val="20"/>
              <w:szCs w:val="28"/>
            </w:rPr>
            <w:t>Автоматизированная система Федерального казначейства, ГИИС «Электронный бюджет». Подсистема управления расходами, Компонент казначейского сопровождения модуля ведения операций по исполнению обязательств участников бюджетного процесса и операций со средствами юридических лиц, не являющихся участниками бюджетного процесса</w:t>
          </w:r>
        </w:p>
      </w:tc>
    </w:tr>
    <w:tr w:rsidR="007C13BA" w14:paraId="3AD46CB9" w14:textId="77777777">
      <w:trPr>
        <w:cantSplit/>
        <w:trHeight w:val="20"/>
      </w:trPr>
      <w:tc>
        <w:tcPr>
          <w:tcW w:w="2043" w:type="dxa"/>
          <w:tcBorders>
            <w:top w:val="single" w:sz="12" w:space="0" w:color="auto"/>
            <w:left w:val="single" w:sz="12" w:space="0" w:color="auto"/>
            <w:bottom w:val="single" w:sz="12" w:space="0" w:color="auto"/>
            <w:right w:val="single" w:sz="12" w:space="0" w:color="auto"/>
          </w:tcBorders>
          <w:vAlign w:val="center"/>
        </w:tcPr>
        <w:p w14:paraId="6C661FD3" w14:textId="77777777" w:rsidR="007C13BA" w:rsidRDefault="007C13BA">
          <w:pPr>
            <w:rPr>
              <w:b/>
              <w:color w:val="000000"/>
              <w:sz w:val="20"/>
              <w:szCs w:val="28"/>
            </w:rPr>
          </w:pPr>
          <w:r>
            <w:rPr>
              <w:b/>
              <w:color w:val="000000"/>
              <w:sz w:val="20"/>
              <w:szCs w:val="28"/>
            </w:rPr>
            <w:t>Название документа:</w:t>
          </w:r>
        </w:p>
      </w:tc>
      <w:tc>
        <w:tcPr>
          <w:tcW w:w="7709" w:type="dxa"/>
          <w:gridSpan w:val="2"/>
          <w:tcBorders>
            <w:top w:val="single" w:sz="12" w:space="0" w:color="auto"/>
            <w:left w:val="single" w:sz="12" w:space="0" w:color="auto"/>
            <w:bottom w:val="single" w:sz="12" w:space="0" w:color="auto"/>
          </w:tcBorders>
          <w:vAlign w:val="center"/>
        </w:tcPr>
        <w:p w14:paraId="24DFDAAA" w14:textId="77777777" w:rsidR="007C13BA" w:rsidRDefault="007C13BA">
          <w:pPr>
            <w:rPr>
              <w:b/>
              <w:color w:val="000000"/>
              <w:sz w:val="20"/>
              <w:szCs w:val="28"/>
            </w:rPr>
          </w:pPr>
          <w:r>
            <w:rPr>
              <w:b/>
              <w:color w:val="000000"/>
              <w:sz w:val="20"/>
              <w:szCs w:val="28"/>
            </w:rPr>
            <w:t>Требования к форматам обмена, используемым при информационном вза-имодействии между территориальными органами Федерального казначейства и участниками бюджетного процесса, неучастниками бюджетного процесса, бюджетными учреждениями, автономными учреждениями, Счетной палатой</w:t>
          </w:r>
        </w:p>
      </w:tc>
    </w:tr>
    <w:tr w:rsidR="007C13BA" w14:paraId="689EB81A" w14:textId="77777777">
      <w:trPr>
        <w:cantSplit/>
        <w:trHeight w:val="20"/>
      </w:trPr>
      <w:tc>
        <w:tcPr>
          <w:tcW w:w="2043" w:type="dxa"/>
          <w:tcBorders>
            <w:top w:val="single" w:sz="12" w:space="0" w:color="auto"/>
            <w:left w:val="single" w:sz="12" w:space="0" w:color="auto"/>
            <w:bottom w:val="single" w:sz="12" w:space="0" w:color="auto"/>
            <w:right w:val="single" w:sz="12" w:space="0" w:color="auto"/>
          </w:tcBorders>
          <w:vAlign w:val="center"/>
        </w:tcPr>
        <w:p w14:paraId="025BBB32" w14:textId="77777777" w:rsidR="007C13BA" w:rsidRDefault="007C13BA">
          <w:pPr>
            <w:rPr>
              <w:b/>
              <w:color w:val="000000"/>
              <w:sz w:val="20"/>
              <w:szCs w:val="28"/>
            </w:rPr>
          </w:pPr>
          <w:r>
            <w:rPr>
              <w:b/>
              <w:color w:val="000000"/>
              <w:sz w:val="20"/>
              <w:szCs w:val="28"/>
            </w:rPr>
            <w:t>Код документа:</w:t>
          </w:r>
        </w:p>
      </w:tc>
      <w:tc>
        <w:tcPr>
          <w:tcW w:w="5886" w:type="dxa"/>
          <w:tcBorders>
            <w:top w:val="single" w:sz="12" w:space="0" w:color="auto"/>
            <w:left w:val="single" w:sz="12" w:space="0" w:color="auto"/>
            <w:bottom w:val="single" w:sz="12" w:space="0" w:color="auto"/>
          </w:tcBorders>
          <w:vAlign w:val="center"/>
        </w:tcPr>
        <w:p w14:paraId="1429134E" w14:textId="77777777" w:rsidR="007C13BA" w:rsidRDefault="007C13BA">
          <w:pPr>
            <w:rPr>
              <w:b/>
              <w:color w:val="000000"/>
              <w:sz w:val="20"/>
              <w:szCs w:val="28"/>
            </w:rPr>
          </w:pPr>
          <w:r>
            <w:rPr>
              <w:b/>
              <w:color w:val="000000"/>
              <w:sz w:val="20"/>
              <w:szCs w:val="28"/>
            </w:rPr>
            <w:fldChar w:fldCharType="begin"/>
          </w:r>
          <w:r>
            <w:rPr>
              <w:b/>
              <w:color w:val="000000"/>
              <w:sz w:val="20"/>
              <w:szCs w:val="28"/>
            </w:rPr>
            <w:instrText xml:space="preserve"> DOCPROPERTY  DocCode  \* MERGEFORMAT </w:instrText>
          </w:r>
          <w:r>
            <w:rPr>
              <w:b/>
              <w:color w:val="000000"/>
              <w:sz w:val="20"/>
              <w:szCs w:val="28"/>
            </w:rPr>
            <w:fldChar w:fldCharType="separate"/>
          </w:r>
          <w:r>
            <w:rPr>
              <w:b/>
              <w:color w:val="000000"/>
              <w:sz w:val="20"/>
              <w:szCs w:val="28"/>
            </w:rPr>
            <w:t>54819512.09.01,00(02,00).ТФ.017-34.00 1(2,5)</w:t>
          </w:r>
          <w:r>
            <w:rPr>
              <w:b/>
              <w:color w:val="000000"/>
              <w:sz w:val="20"/>
              <w:szCs w:val="28"/>
            </w:rPr>
            <w:fldChar w:fldCharType="end"/>
          </w:r>
        </w:p>
      </w:tc>
      <w:tc>
        <w:tcPr>
          <w:tcW w:w="1823" w:type="dxa"/>
          <w:tcBorders>
            <w:top w:val="single" w:sz="12" w:space="0" w:color="auto"/>
            <w:left w:val="single" w:sz="12" w:space="0" w:color="auto"/>
            <w:bottom w:val="single" w:sz="12" w:space="0" w:color="auto"/>
          </w:tcBorders>
        </w:tcPr>
        <w:p w14:paraId="06D65C47" w14:textId="77777777" w:rsidR="007C13BA" w:rsidRDefault="007C13BA">
          <w:pPr>
            <w:rPr>
              <w:b/>
              <w:color w:val="000000"/>
              <w:sz w:val="20"/>
              <w:szCs w:val="28"/>
            </w:rPr>
          </w:pPr>
          <w:r>
            <w:rPr>
              <w:b/>
              <w:color w:val="000000"/>
              <w:sz w:val="20"/>
              <w:szCs w:val="28"/>
            </w:rPr>
            <w:t xml:space="preserve">Стр. </w:t>
          </w:r>
          <w:r>
            <w:rPr>
              <w:b/>
              <w:color w:val="000000"/>
              <w:sz w:val="20"/>
              <w:szCs w:val="28"/>
            </w:rPr>
            <w:fldChar w:fldCharType="begin"/>
          </w:r>
          <w:r>
            <w:rPr>
              <w:b/>
              <w:color w:val="000000"/>
              <w:sz w:val="20"/>
              <w:szCs w:val="28"/>
            </w:rPr>
            <w:instrText>PAGE   \* MERGEFORMAT</w:instrText>
          </w:r>
          <w:r>
            <w:rPr>
              <w:b/>
              <w:color w:val="000000"/>
              <w:sz w:val="20"/>
              <w:szCs w:val="28"/>
            </w:rPr>
            <w:fldChar w:fldCharType="separate"/>
          </w:r>
          <w:r>
            <w:rPr>
              <w:b/>
              <w:color w:val="000000"/>
              <w:sz w:val="20"/>
              <w:szCs w:val="28"/>
            </w:rPr>
            <w:t>2</w:t>
          </w:r>
          <w:r>
            <w:rPr>
              <w:b/>
              <w:color w:val="000000"/>
              <w:sz w:val="20"/>
              <w:szCs w:val="28"/>
            </w:rPr>
            <w:fldChar w:fldCharType="end"/>
          </w:r>
        </w:p>
      </w:tc>
    </w:tr>
  </w:tbl>
  <w:p w14:paraId="2C09B302" w14:textId="77777777" w:rsidR="007C13BA" w:rsidRDefault="007C13BA">
    <w:pPr>
      <w:pStyle w:val="af8"/>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4945BD" w14:textId="77777777" w:rsidR="007C13BA" w:rsidRDefault="007C13BA">
    <w:pPr>
      <w:pStyle w:val="GOSTTitulhead"/>
      <w:rPr>
        <w:rFonts w:ascii="Times New Roman Полужирный" w:hAnsi="Times New Roman Полужирный"/>
      </w:rPr>
    </w:pPr>
    <w:r>
      <w:rPr>
        <w:rFonts w:ascii="Times New Roman Полужирный" w:hAnsi="Times New Roman Полужирный"/>
      </w:rPr>
      <w:t>ФЕДЕРАЛЬНОЕ КАЗНАЧЕЙСТВО (КАЗНАЧЕЙСТВО РОССИИ)</w:t>
    </w:r>
  </w:p>
  <w:p w14:paraId="1205230D" w14:textId="77777777" w:rsidR="007C13BA" w:rsidRDefault="007C13BA">
    <w:pPr>
      <w:pStyle w:val="af8"/>
      <w:tabs>
        <w:tab w:val="clear" w:pos="4677"/>
        <w:tab w:val="clear" w:pos="9355"/>
        <w:tab w:val="left" w:pos="4331"/>
      </w:tabs>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910AF1" w14:textId="77777777" w:rsidR="007C13BA" w:rsidRDefault="007C13BA"/>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top w:val="single" w:sz="12" w:space="0" w:color="auto"/>
        <w:left w:val="single" w:sz="12" w:space="0" w:color="auto"/>
        <w:bottom w:val="single" w:sz="12" w:space="0" w:color="auto"/>
        <w:right w:val="single" w:sz="12" w:space="0" w:color="auto"/>
      </w:tblBorders>
      <w:tblLayout w:type="fixed"/>
      <w:tblCellMar>
        <w:left w:w="57" w:type="dxa"/>
        <w:right w:w="57" w:type="dxa"/>
      </w:tblCellMar>
      <w:tblLook w:val="0000" w:firstRow="0" w:lastRow="0" w:firstColumn="0" w:lastColumn="0" w:noHBand="0" w:noVBand="0"/>
    </w:tblPr>
    <w:tblGrid>
      <w:gridCol w:w="2144"/>
      <w:gridCol w:w="5784"/>
      <w:gridCol w:w="1824"/>
    </w:tblGrid>
    <w:tr w:rsidR="007C13BA" w14:paraId="7F3A33C5" w14:textId="77777777">
      <w:trPr>
        <w:cantSplit/>
        <w:trHeight w:val="20"/>
      </w:trPr>
      <w:tc>
        <w:tcPr>
          <w:tcW w:w="2112" w:type="dxa"/>
          <w:tcBorders>
            <w:top w:val="single" w:sz="12" w:space="0" w:color="auto"/>
            <w:left w:val="single" w:sz="12" w:space="0" w:color="auto"/>
            <w:bottom w:val="single" w:sz="12" w:space="0" w:color="auto"/>
          </w:tcBorders>
          <w:vAlign w:val="center"/>
        </w:tcPr>
        <w:p w14:paraId="6C36D2F6" w14:textId="77777777" w:rsidR="007C13BA" w:rsidRDefault="007C13BA">
          <w:pPr>
            <w:rPr>
              <w:color w:val="000000"/>
              <w:sz w:val="20"/>
              <w:szCs w:val="28"/>
            </w:rPr>
          </w:pPr>
          <w:r>
            <w:rPr>
              <w:color w:val="000000"/>
              <w:sz w:val="20"/>
              <w:szCs w:val="28"/>
            </w:rPr>
            <w:t>Наименование ИС:</w:t>
          </w:r>
        </w:p>
      </w:tc>
      <w:tc>
        <w:tcPr>
          <w:tcW w:w="7496" w:type="dxa"/>
          <w:gridSpan w:val="2"/>
          <w:tcBorders>
            <w:top w:val="single" w:sz="12" w:space="0" w:color="auto"/>
            <w:left w:val="single" w:sz="12" w:space="0" w:color="auto"/>
            <w:bottom w:val="single" w:sz="12" w:space="0" w:color="auto"/>
          </w:tcBorders>
          <w:vAlign w:val="center"/>
        </w:tcPr>
        <w:p w14:paraId="0E481AD6" w14:textId="77777777" w:rsidR="007C13BA" w:rsidRDefault="007C13BA">
          <w:pPr>
            <w:rPr>
              <w:color w:val="000000"/>
              <w:sz w:val="20"/>
              <w:szCs w:val="28"/>
            </w:rPr>
          </w:pPr>
          <w:r>
            <w:rPr>
              <w:sz w:val="20"/>
            </w:rPr>
            <w:t xml:space="preserve">Автоматизированная система Федерального казначейства, </w:t>
          </w:r>
          <w:r w:rsidRPr="00116D45">
            <w:rPr>
              <w:sz w:val="20"/>
            </w:rPr>
            <w:t>Государственная интегрированная информационная система управления общественными финансами «Электронный бюджет»</w:t>
          </w:r>
        </w:p>
      </w:tc>
    </w:tr>
    <w:tr w:rsidR="007C13BA" w14:paraId="58E5A671" w14:textId="77777777">
      <w:trPr>
        <w:cantSplit/>
        <w:trHeight w:val="20"/>
      </w:trPr>
      <w:tc>
        <w:tcPr>
          <w:tcW w:w="2112" w:type="dxa"/>
          <w:tcBorders>
            <w:top w:val="single" w:sz="12" w:space="0" w:color="auto"/>
            <w:left w:val="single" w:sz="12" w:space="0" w:color="auto"/>
            <w:bottom w:val="single" w:sz="12" w:space="0" w:color="auto"/>
            <w:right w:val="single" w:sz="12" w:space="0" w:color="auto"/>
          </w:tcBorders>
          <w:vAlign w:val="center"/>
        </w:tcPr>
        <w:p w14:paraId="76E0F6F6" w14:textId="77777777" w:rsidR="007C13BA" w:rsidRDefault="007C13BA">
          <w:pPr>
            <w:rPr>
              <w:color w:val="000000"/>
              <w:sz w:val="20"/>
              <w:szCs w:val="28"/>
            </w:rPr>
          </w:pPr>
          <w:r>
            <w:rPr>
              <w:color w:val="000000"/>
              <w:sz w:val="20"/>
              <w:szCs w:val="28"/>
            </w:rPr>
            <w:t>Название документа:</w:t>
          </w:r>
        </w:p>
      </w:tc>
      <w:tc>
        <w:tcPr>
          <w:tcW w:w="7496" w:type="dxa"/>
          <w:gridSpan w:val="2"/>
          <w:tcBorders>
            <w:top w:val="single" w:sz="12" w:space="0" w:color="auto"/>
            <w:left w:val="single" w:sz="12" w:space="0" w:color="auto"/>
            <w:bottom w:val="single" w:sz="12" w:space="0" w:color="auto"/>
          </w:tcBorders>
          <w:vAlign w:val="center"/>
        </w:tcPr>
        <w:p w14:paraId="2F6F38E0" w14:textId="77777777" w:rsidR="007C13BA" w:rsidRDefault="007C13BA">
          <w:pPr>
            <w:rPr>
              <w:color w:val="000000"/>
              <w:sz w:val="20"/>
              <w:szCs w:val="28"/>
            </w:rPr>
          </w:pPr>
          <w:r>
            <w:rPr>
              <w:color w:val="000000"/>
              <w:sz w:val="20"/>
              <w:szCs w:val="28"/>
            </w:rPr>
            <w:t>Требования к форматам обмена, используемым при информационном взаимодействии между территориальными органами Федерального казначейства и участниками бюджетного процесса, неучастниками бюджетного процесса, бюджетными учреждениями, автономными учреждениями, Счетной палатой</w:t>
          </w:r>
        </w:p>
      </w:tc>
    </w:tr>
    <w:tr w:rsidR="007C13BA" w14:paraId="5E93A1C6" w14:textId="77777777">
      <w:trPr>
        <w:cantSplit/>
        <w:trHeight w:val="20"/>
      </w:trPr>
      <w:tc>
        <w:tcPr>
          <w:tcW w:w="2112" w:type="dxa"/>
          <w:tcBorders>
            <w:top w:val="single" w:sz="12" w:space="0" w:color="auto"/>
            <w:left w:val="single" w:sz="12" w:space="0" w:color="auto"/>
            <w:bottom w:val="single" w:sz="12" w:space="0" w:color="auto"/>
            <w:right w:val="single" w:sz="12" w:space="0" w:color="auto"/>
          </w:tcBorders>
          <w:vAlign w:val="center"/>
        </w:tcPr>
        <w:p w14:paraId="7D2F184F" w14:textId="77777777" w:rsidR="007C13BA" w:rsidRDefault="007C13BA">
          <w:pPr>
            <w:rPr>
              <w:color w:val="000000"/>
              <w:sz w:val="20"/>
              <w:szCs w:val="28"/>
            </w:rPr>
          </w:pPr>
          <w:r>
            <w:rPr>
              <w:color w:val="000000"/>
              <w:sz w:val="20"/>
              <w:szCs w:val="28"/>
            </w:rPr>
            <w:t>Код документа:</w:t>
          </w:r>
        </w:p>
      </w:tc>
      <w:tc>
        <w:tcPr>
          <w:tcW w:w="5699" w:type="dxa"/>
          <w:tcBorders>
            <w:top w:val="single" w:sz="12" w:space="0" w:color="auto"/>
            <w:left w:val="single" w:sz="12" w:space="0" w:color="auto"/>
            <w:bottom w:val="single" w:sz="12" w:space="0" w:color="auto"/>
          </w:tcBorders>
          <w:vAlign w:val="center"/>
        </w:tcPr>
        <w:p w14:paraId="12C4980C" w14:textId="77777777" w:rsidR="007C13BA" w:rsidRDefault="007C13BA">
          <w:pPr>
            <w:rPr>
              <w:color w:val="000000"/>
              <w:sz w:val="20"/>
              <w:szCs w:val="28"/>
            </w:rPr>
          </w:pPr>
          <w:r>
            <w:rPr>
              <w:color w:val="000000"/>
              <w:sz w:val="20"/>
              <w:szCs w:val="28"/>
            </w:rPr>
            <w:fldChar w:fldCharType="begin"/>
          </w:r>
          <w:r>
            <w:rPr>
              <w:color w:val="000000"/>
              <w:sz w:val="20"/>
              <w:szCs w:val="28"/>
            </w:rPr>
            <w:instrText xml:space="preserve"> DOCPROPERTY  DocCode  \* MERGEFORMAT </w:instrText>
          </w:r>
          <w:r>
            <w:rPr>
              <w:color w:val="000000"/>
              <w:sz w:val="20"/>
              <w:szCs w:val="28"/>
            </w:rPr>
            <w:fldChar w:fldCharType="separate"/>
          </w:r>
          <w:r>
            <w:rPr>
              <w:color w:val="000000"/>
              <w:sz w:val="20"/>
              <w:szCs w:val="28"/>
            </w:rPr>
            <w:t>54819512.09.01,00(02,00).ТФ.017-37.00 1(2,5)</w:t>
          </w:r>
          <w:r>
            <w:rPr>
              <w:color w:val="000000"/>
              <w:sz w:val="20"/>
              <w:szCs w:val="28"/>
            </w:rPr>
            <w:fldChar w:fldCharType="end"/>
          </w:r>
        </w:p>
      </w:tc>
      <w:tc>
        <w:tcPr>
          <w:tcW w:w="1797" w:type="dxa"/>
          <w:tcBorders>
            <w:top w:val="single" w:sz="12" w:space="0" w:color="auto"/>
            <w:left w:val="single" w:sz="12" w:space="0" w:color="auto"/>
            <w:bottom w:val="single" w:sz="12" w:space="0" w:color="auto"/>
          </w:tcBorders>
        </w:tcPr>
        <w:p w14:paraId="1B09B5E4" w14:textId="77777777" w:rsidR="007C13BA" w:rsidRDefault="007C13BA">
          <w:pPr>
            <w:rPr>
              <w:color w:val="000000"/>
              <w:sz w:val="20"/>
              <w:szCs w:val="28"/>
            </w:rPr>
          </w:pPr>
          <w:r>
            <w:rPr>
              <w:color w:val="000000"/>
              <w:sz w:val="20"/>
              <w:szCs w:val="28"/>
            </w:rPr>
            <w:t xml:space="preserve">Стр. </w:t>
          </w:r>
          <w:r>
            <w:rPr>
              <w:color w:val="000000"/>
              <w:sz w:val="20"/>
              <w:szCs w:val="28"/>
            </w:rPr>
            <w:fldChar w:fldCharType="begin"/>
          </w:r>
          <w:r>
            <w:rPr>
              <w:color w:val="000000"/>
              <w:sz w:val="20"/>
              <w:szCs w:val="28"/>
            </w:rPr>
            <w:instrText>PAGE   \* MERGEFORMAT</w:instrText>
          </w:r>
          <w:r>
            <w:rPr>
              <w:color w:val="000000"/>
              <w:sz w:val="20"/>
              <w:szCs w:val="28"/>
            </w:rPr>
            <w:fldChar w:fldCharType="separate"/>
          </w:r>
          <w:r w:rsidR="008D797C">
            <w:rPr>
              <w:noProof/>
              <w:color w:val="000000"/>
              <w:sz w:val="20"/>
              <w:szCs w:val="28"/>
            </w:rPr>
            <w:t>256</w:t>
          </w:r>
          <w:r>
            <w:rPr>
              <w:color w:val="000000"/>
              <w:sz w:val="20"/>
              <w:szCs w:val="28"/>
            </w:rPr>
            <w:fldChar w:fldCharType="end"/>
          </w:r>
        </w:p>
      </w:tc>
    </w:tr>
  </w:tbl>
  <w:p w14:paraId="60B220BD" w14:textId="77777777" w:rsidR="007C13BA" w:rsidRDefault="007C13BA">
    <w:pPr>
      <w:pStyle w:val="af8"/>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72" w:type="pct"/>
      <w:tblBorders>
        <w:top w:val="single" w:sz="12" w:space="0" w:color="auto"/>
        <w:left w:val="single" w:sz="12" w:space="0" w:color="auto"/>
        <w:bottom w:val="single" w:sz="12" w:space="0" w:color="auto"/>
        <w:right w:val="single" w:sz="12" w:space="0" w:color="auto"/>
      </w:tblBorders>
      <w:tblLayout w:type="fixed"/>
      <w:tblCellMar>
        <w:left w:w="57" w:type="dxa"/>
        <w:right w:w="57" w:type="dxa"/>
      </w:tblCellMar>
      <w:tblLook w:val="0000" w:firstRow="0" w:lastRow="0" w:firstColumn="0" w:lastColumn="0" w:noHBand="0" w:noVBand="0"/>
    </w:tblPr>
    <w:tblGrid>
      <w:gridCol w:w="2030"/>
      <w:gridCol w:w="5854"/>
      <w:gridCol w:w="1813"/>
    </w:tblGrid>
    <w:tr w:rsidR="007C13BA" w14:paraId="3F365821" w14:textId="77777777">
      <w:trPr>
        <w:cantSplit/>
        <w:trHeight w:val="20"/>
      </w:trPr>
      <w:tc>
        <w:tcPr>
          <w:tcW w:w="2059" w:type="dxa"/>
          <w:tcBorders>
            <w:top w:val="single" w:sz="12" w:space="0" w:color="auto"/>
            <w:left w:val="single" w:sz="12" w:space="0" w:color="auto"/>
            <w:bottom w:val="single" w:sz="12" w:space="0" w:color="auto"/>
          </w:tcBorders>
          <w:vAlign w:val="center"/>
        </w:tcPr>
        <w:p w14:paraId="65A49ED0" w14:textId="77777777" w:rsidR="007C13BA" w:rsidRDefault="007C13BA">
          <w:pPr>
            <w:rPr>
              <w:b/>
              <w:color w:val="000000"/>
              <w:sz w:val="20"/>
              <w:szCs w:val="28"/>
            </w:rPr>
          </w:pPr>
          <w:r>
            <w:rPr>
              <w:b/>
              <w:color w:val="000000"/>
              <w:sz w:val="20"/>
              <w:szCs w:val="28"/>
            </w:rPr>
            <w:t>Наименование ИС:</w:t>
          </w:r>
        </w:p>
      </w:tc>
      <w:tc>
        <w:tcPr>
          <w:tcW w:w="7779" w:type="dxa"/>
          <w:gridSpan w:val="2"/>
          <w:tcBorders>
            <w:top w:val="single" w:sz="12" w:space="0" w:color="auto"/>
            <w:left w:val="single" w:sz="12" w:space="0" w:color="auto"/>
            <w:bottom w:val="single" w:sz="12" w:space="0" w:color="auto"/>
          </w:tcBorders>
          <w:vAlign w:val="center"/>
        </w:tcPr>
        <w:p w14:paraId="776D828D" w14:textId="77777777" w:rsidR="007C13BA" w:rsidRDefault="007C13BA">
          <w:pPr>
            <w:rPr>
              <w:b/>
              <w:color w:val="000000"/>
              <w:sz w:val="20"/>
              <w:szCs w:val="28"/>
            </w:rPr>
          </w:pPr>
          <w:r>
            <w:rPr>
              <w:b/>
              <w:color w:val="000000"/>
              <w:sz w:val="20"/>
              <w:szCs w:val="28"/>
            </w:rPr>
            <w:t>Автоматизированная система Федерального казначейства, Подсистема «Учет и отчетность» государственной интегрированной информационной системы управления общественными финансами «Электронный бюджет»</w:t>
          </w:r>
        </w:p>
      </w:tc>
    </w:tr>
    <w:tr w:rsidR="007C13BA" w14:paraId="5DA9CDB2" w14:textId="77777777">
      <w:trPr>
        <w:cantSplit/>
        <w:trHeight w:val="20"/>
      </w:trPr>
      <w:tc>
        <w:tcPr>
          <w:tcW w:w="2059" w:type="dxa"/>
          <w:tcBorders>
            <w:top w:val="single" w:sz="12" w:space="0" w:color="auto"/>
            <w:left w:val="single" w:sz="12" w:space="0" w:color="auto"/>
            <w:bottom w:val="single" w:sz="12" w:space="0" w:color="auto"/>
            <w:right w:val="single" w:sz="12" w:space="0" w:color="auto"/>
          </w:tcBorders>
          <w:vAlign w:val="center"/>
        </w:tcPr>
        <w:p w14:paraId="22DFBC09" w14:textId="77777777" w:rsidR="007C13BA" w:rsidRDefault="007C13BA">
          <w:pPr>
            <w:rPr>
              <w:b/>
              <w:color w:val="000000"/>
              <w:sz w:val="20"/>
              <w:szCs w:val="28"/>
            </w:rPr>
          </w:pPr>
          <w:r>
            <w:rPr>
              <w:b/>
              <w:color w:val="000000"/>
              <w:sz w:val="20"/>
              <w:szCs w:val="28"/>
            </w:rPr>
            <w:t>Название документа:</w:t>
          </w:r>
        </w:p>
      </w:tc>
      <w:tc>
        <w:tcPr>
          <w:tcW w:w="7779" w:type="dxa"/>
          <w:gridSpan w:val="2"/>
          <w:tcBorders>
            <w:top w:val="single" w:sz="12" w:space="0" w:color="auto"/>
            <w:left w:val="single" w:sz="12" w:space="0" w:color="auto"/>
            <w:bottom w:val="single" w:sz="12" w:space="0" w:color="auto"/>
          </w:tcBorders>
          <w:vAlign w:val="center"/>
        </w:tcPr>
        <w:p w14:paraId="7C3D7B22" w14:textId="77777777" w:rsidR="007C13BA" w:rsidRDefault="007C13BA">
          <w:pPr>
            <w:rPr>
              <w:b/>
              <w:color w:val="000000"/>
              <w:sz w:val="20"/>
              <w:szCs w:val="28"/>
            </w:rPr>
          </w:pPr>
          <w:r>
            <w:rPr>
              <w:b/>
              <w:color w:val="000000"/>
              <w:sz w:val="20"/>
              <w:szCs w:val="28"/>
            </w:rPr>
            <w:t>Требования к форматам обмена, используемых при информационном взаимодействии между органами Федерального казначейства и участниками бюджетного процесса, неучастниками бюджетного процесса, бюджетными учреждениями, автономными учреждениями, Счетной палатой</w:t>
          </w:r>
        </w:p>
      </w:tc>
    </w:tr>
    <w:tr w:rsidR="007C13BA" w14:paraId="12CBA817" w14:textId="77777777">
      <w:trPr>
        <w:cantSplit/>
        <w:trHeight w:val="20"/>
      </w:trPr>
      <w:tc>
        <w:tcPr>
          <w:tcW w:w="2059" w:type="dxa"/>
          <w:tcBorders>
            <w:top w:val="single" w:sz="12" w:space="0" w:color="auto"/>
            <w:left w:val="single" w:sz="12" w:space="0" w:color="auto"/>
            <w:bottom w:val="single" w:sz="12" w:space="0" w:color="auto"/>
            <w:right w:val="single" w:sz="12" w:space="0" w:color="auto"/>
          </w:tcBorders>
          <w:vAlign w:val="center"/>
        </w:tcPr>
        <w:p w14:paraId="564519BA" w14:textId="77777777" w:rsidR="007C13BA" w:rsidRDefault="007C13BA">
          <w:pPr>
            <w:rPr>
              <w:b/>
              <w:color w:val="000000"/>
              <w:sz w:val="20"/>
              <w:szCs w:val="28"/>
            </w:rPr>
          </w:pPr>
          <w:r>
            <w:rPr>
              <w:b/>
              <w:color w:val="000000"/>
              <w:sz w:val="20"/>
              <w:szCs w:val="28"/>
            </w:rPr>
            <w:t>Код документа:</w:t>
          </w:r>
        </w:p>
      </w:tc>
      <w:tc>
        <w:tcPr>
          <w:tcW w:w="5941" w:type="dxa"/>
          <w:tcBorders>
            <w:top w:val="single" w:sz="12" w:space="0" w:color="auto"/>
            <w:left w:val="single" w:sz="12" w:space="0" w:color="auto"/>
            <w:bottom w:val="single" w:sz="12" w:space="0" w:color="auto"/>
          </w:tcBorders>
          <w:vAlign w:val="center"/>
        </w:tcPr>
        <w:p w14:paraId="33F8DC46" w14:textId="77777777" w:rsidR="007C13BA" w:rsidRDefault="007C13BA">
          <w:pPr>
            <w:rPr>
              <w:b/>
              <w:color w:val="000000"/>
              <w:sz w:val="20"/>
              <w:szCs w:val="28"/>
            </w:rPr>
          </w:pPr>
          <w:r>
            <w:rPr>
              <w:b/>
              <w:color w:val="000000"/>
              <w:sz w:val="20"/>
              <w:szCs w:val="28"/>
            </w:rPr>
            <w:fldChar w:fldCharType="begin"/>
          </w:r>
          <w:r>
            <w:rPr>
              <w:b/>
              <w:color w:val="000000"/>
              <w:sz w:val="20"/>
              <w:szCs w:val="28"/>
            </w:rPr>
            <w:instrText xml:space="preserve"> DOCPROPERTY  DocCode  \* MERGEFORMAT </w:instrText>
          </w:r>
          <w:r>
            <w:rPr>
              <w:b/>
              <w:color w:val="000000"/>
              <w:sz w:val="20"/>
              <w:szCs w:val="28"/>
            </w:rPr>
            <w:fldChar w:fldCharType="separate"/>
          </w:r>
          <w:r>
            <w:rPr>
              <w:b/>
              <w:color w:val="000000"/>
              <w:sz w:val="20"/>
              <w:szCs w:val="28"/>
            </w:rPr>
            <w:t>54819512.09.01,00(02,00).ТФ.017-32.02 1(2,5)</w:t>
          </w:r>
          <w:r>
            <w:rPr>
              <w:b/>
              <w:color w:val="000000"/>
              <w:sz w:val="20"/>
              <w:szCs w:val="28"/>
            </w:rPr>
            <w:fldChar w:fldCharType="end"/>
          </w:r>
        </w:p>
      </w:tc>
      <w:tc>
        <w:tcPr>
          <w:tcW w:w="1838" w:type="dxa"/>
          <w:tcBorders>
            <w:top w:val="single" w:sz="12" w:space="0" w:color="auto"/>
            <w:left w:val="single" w:sz="12" w:space="0" w:color="auto"/>
            <w:bottom w:val="single" w:sz="12" w:space="0" w:color="auto"/>
          </w:tcBorders>
        </w:tcPr>
        <w:p w14:paraId="6D272BE3" w14:textId="77777777" w:rsidR="007C13BA" w:rsidRDefault="007C13BA">
          <w:pPr>
            <w:rPr>
              <w:b/>
              <w:color w:val="000000"/>
              <w:sz w:val="20"/>
              <w:szCs w:val="28"/>
            </w:rPr>
          </w:pPr>
          <w:r>
            <w:rPr>
              <w:b/>
              <w:color w:val="000000"/>
              <w:sz w:val="20"/>
              <w:szCs w:val="28"/>
            </w:rPr>
            <w:t xml:space="preserve">Стр. </w:t>
          </w:r>
          <w:r>
            <w:rPr>
              <w:b/>
              <w:color w:val="000000"/>
              <w:sz w:val="20"/>
              <w:szCs w:val="28"/>
            </w:rPr>
            <w:fldChar w:fldCharType="begin"/>
          </w:r>
          <w:r>
            <w:rPr>
              <w:b/>
              <w:color w:val="000000"/>
              <w:sz w:val="20"/>
              <w:szCs w:val="28"/>
            </w:rPr>
            <w:instrText>PAGE   \* MERGEFORMAT</w:instrText>
          </w:r>
          <w:r>
            <w:rPr>
              <w:b/>
              <w:color w:val="000000"/>
              <w:sz w:val="20"/>
              <w:szCs w:val="28"/>
            </w:rPr>
            <w:fldChar w:fldCharType="separate"/>
          </w:r>
          <w:r>
            <w:rPr>
              <w:b/>
              <w:color w:val="000000"/>
              <w:sz w:val="20"/>
              <w:szCs w:val="28"/>
            </w:rPr>
            <w:t>348</w:t>
          </w:r>
          <w:r>
            <w:rPr>
              <w:b/>
              <w:color w:val="000000"/>
              <w:sz w:val="20"/>
              <w:szCs w:val="28"/>
            </w:rPr>
            <w:fldChar w:fldCharType="end"/>
          </w:r>
        </w:p>
      </w:tc>
    </w:tr>
  </w:tbl>
  <w:p w14:paraId="29FC4150" w14:textId="77777777" w:rsidR="007C13BA" w:rsidRDefault="007C13BA">
    <w:pPr>
      <w:pStyle w:val="af8"/>
      <w:tabs>
        <w:tab w:val="clear" w:pos="4677"/>
        <w:tab w:val="clear" w:pos="9355"/>
        <w:tab w:val="left" w:pos="4331"/>
      </w:tabs>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212888" w14:textId="77777777" w:rsidR="007C13BA" w:rsidRDefault="007C13BA"/>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B5B2D2" w14:textId="77777777" w:rsidR="007C13BA" w:rsidRDefault="007C13BA"/>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BE41F6" w14:textId="77777777" w:rsidR="007C13BA" w:rsidRDefault="007C13BA"/>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196426"/>
    <w:multiLevelType w:val="hybridMultilevel"/>
    <w:tmpl w:val="9D44D776"/>
    <w:lvl w:ilvl="0" w:tplc="61686242">
      <w:start w:val="1"/>
      <w:numFmt w:val="bullet"/>
      <w:pStyle w:val="a"/>
      <w:lvlText w:val=""/>
      <w:lvlJc w:val="left"/>
      <w:pPr>
        <w:tabs>
          <w:tab w:val="num" w:pos="360"/>
        </w:tabs>
        <w:ind w:left="360" w:hanging="360"/>
      </w:pPr>
      <w:rPr>
        <w:rFonts w:ascii="Symbol" w:hAnsi="Symbol" w:hint="default"/>
      </w:rPr>
    </w:lvl>
    <w:lvl w:ilvl="1" w:tplc="F654AFCC">
      <w:start w:val="1"/>
      <w:numFmt w:val="bullet"/>
      <w:lvlText w:val="o"/>
      <w:lvlJc w:val="left"/>
      <w:pPr>
        <w:ind w:left="1440" w:hanging="360"/>
      </w:pPr>
      <w:rPr>
        <w:rFonts w:ascii="Courier New" w:eastAsia="Courier New" w:hAnsi="Courier New" w:cs="Courier New" w:hint="default"/>
      </w:rPr>
    </w:lvl>
    <w:lvl w:ilvl="2" w:tplc="98B4AF6C">
      <w:start w:val="1"/>
      <w:numFmt w:val="bullet"/>
      <w:lvlText w:val="§"/>
      <w:lvlJc w:val="left"/>
      <w:pPr>
        <w:ind w:left="2160" w:hanging="360"/>
      </w:pPr>
      <w:rPr>
        <w:rFonts w:ascii="Wingdings" w:eastAsia="Wingdings" w:hAnsi="Wingdings" w:cs="Wingdings" w:hint="default"/>
      </w:rPr>
    </w:lvl>
    <w:lvl w:ilvl="3" w:tplc="401CD8EE">
      <w:start w:val="1"/>
      <w:numFmt w:val="bullet"/>
      <w:lvlText w:val="·"/>
      <w:lvlJc w:val="left"/>
      <w:pPr>
        <w:ind w:left="2880" w:hanging="360"/>
      </w:pPr>
      <w:rPr>
        <w:rFonts w:ascii="Symbol" w:eastAsia="Symbol" w:hAnsi="Symbol" w:cs="Symbol" w:hint="default"/>
      </w:rPr>
    </w:lvl>
    <w:lvl w:ilvl="4" w:tplc="E29647F4">
      <w:start w:val="1"/>
      <w:numFmt w:val="bullet"/>
      <w:lvlText w:val="o"/>
      <w:lvlJc w:val="left"/>
      <w:pPr>
        <w:ind w:left="3600" w:hanging="360"/>
      </w:pPr>
      <w:rPr>
        <w:rFonts w:ascii="Courier New" w:eastAsia="Courier New" w:hAnsi="Courier New" w:cs="Courier New" w:hint="default"/>
      </w:rPr>
    </w:lvl>
    <w:lvl w:ilvl="5" w:tplc="AF303E0A">
      <w:start w:val="1"/>
      <w:numFmt w:val="bullet"/>
      <w:lvlText w:val="§"/>
      <w:lvlJc w:val="left"/>
      <w:pPr>
        <w:ind w:left="4320" w:hanging="360"/>
      </w:pPr>
      <w:rPr>
        <w:rFonts w:ascii="Wingdings" w:eastAsia="Wingdings" w:hAnsi="Wingdings" w:cs="Wingdings" w:hint="default"/>
      </w:rPr>
    </w:lvl>
    <w:lvl w:ilvl="6" w:tplc="6750BD76">
      <w:start w:val="1"/>
      <w:numFmt w:val="bullet"/>
      <w:lvlText w:val="·"/>
      <w:lvlJc w:val="left"/>
      <w:pPr>
        <w:ind w:left="5040" w:hanging="360"/>
      </w:pPr>
      <w:rPr>
        <w:rFonts w:ascii="Symbol" w:eastAsia="Symbol" w:hAnsi="Symbol" w:cs="Symbol" w:hint="default"/>
      </w:rPr>
    </w:lvl>
    <w:lvl w:ilvl="7" w:tplc="CBDE8716">
      <w:start w:val="1"/>
      <w:numFmt w:val="bullet"/>
      <w:lvlText w:val="o"/>
      <w:lvlJc w:val="left"/>
      <w:pPr>
        <w:ind w:left="5760" w:hanging="360"/>
      </w:pPr>
      <w:rPr>
        <w:rFonts w:ascii="Courier New" w:eastAsia="Courier New" w:hAnsi="Courier New" w:cs="Courier New" w:hint="default"/>
      </w:rPr>
    </w:lvl>
    <w:lvl w:ilvl="8" w:tplc="DE9458AA">
      <w:start w:val="1"/>
      <w:numFmt w:val="bullet"/>
      <w:lvlText w:val="§"/>
      <w:lvlJc w:val="left"/>
      <w:pPr>
        <w:ind w:left="6480" w:hanging="360"/>
      </w:pPr>
      <w:rPr>
        <w:rFonts w:ascii="Wingdings" w:eastAsia="Wingdings" w:hAnsi="Wingdings" w:cs="Wingdings" w:hint="default"/>
      </w:rPr>
    </w:lvl>
  </w:abstractNum>
  <w:abstractNum w:abstractNumId="1">
    <w:nsid w:val="01484D22"/>
    <w:multiLevelType w:val="hybridMultilevel"/>
    <w:tmpl w:val="C186BFDC"/>
    <w:lvl w:ilvl="0" w:tplc="08B424DE">
      <w:start w:val="1"/>
      <w:numFmt w:val="bullet"/>
      <w:pStyle w:val="a0"/>
      <w:lvlText w:val=""/>
      <w:lvlJc w:val="left"/>
      <w:pPr>
        <w:tabs>
          <w:tab w:val="num" w:pos="2138"/>
        </w:tabs>
        <w:ind w:left="2138" w:hanging="360"/>
      </w:pPr>
      <w:rPr>
        <w:rFonts w:ascii="Symbol" w:hAnsi="Symbol" w:hint="default"/>
      </w:rPr>
    </w:lvl>
    <w:lvl w:ilvl="1" w:tplc="DE8093E6">
      <w:start w:val="1"/>
      <w:numFmt w:val="bullet"/>
      <w:lvlText w:val="o"/>
      <w:lvlJc w:val="left"/>
      <w:pPr>
        <w:tabs>
          <w:tab w:val="num" w:pos="2149"/>
        </w:tabs>
        <w:ind w:left="2149" w:hanging="360"/>
      </w:pPr>
      <w:rPr>
        <w:rFonts w:ascii="Courier New" w:hAnsi="Courier New" w:cs="Courier New" w:hint="default"/>
      </w:rPr>
    </w:lvl>
    <w:lvl w:ilvl="2" w:tplc="8CA4EA88">
      <w:start w:val="1"/>
      <w:numFmt w:val="bullet"/>
      <w:lvlText w:val=""/>
      <w:lvlJc w:val="left"/>
      <w:pPr>
        <w:tabs>
          <w:tab w:val="num" w:pos="2869"/>
        </w:tabs>
        <w:ind w:left="2869" w:hanging="360"/>
      </w:pPr>
      <w:rPr>
        <w:rFonts w:ascii="Wingdings" w:hAnsi="Wingdings" w:hint="default"/>
      </w:rPr>
    </w:lvl>
    <w:lvl w:ilvl="3" w:tplc="1E10ACD0">
      <w:start w:val="1"/>
      <w:numFmt w:val="bullet"/>
      <w:lvlText w:val=""/>
      <w:lvlJc w:val="left"/>
      <w:pPr>
        <w:tabs>
          <w:tab w:val="num" w:pos="3589"/>
        </w:tabs>
        <w:ind w:left="3589" w:hanging="360"/>
      </w:pPr>
      <w:rPr>
        <w:rFonts w:ascii="Symbol" w:hAnsi="Symbol" w:hint="default"/>
      </w:rPr>
    </w:lvl>
    <w:lvl w:ilvl="4" w:tplc="2570876A">
      <w:start w:val="1"/>
      <w:numFmt w:val="bullet"/>
      <w:lvlText w:val="o"/>
      <w:lvlJc w:val="left"/>
      <w:pPr>
        <w:tabs>
          <w:tab w:val="num" w:pos="4309"/>
        </w:tabs>
        <w:ind w:left="4309" w:hanging="360"/>
      </w:pPr>
      <w:rPr>
        <w:rFonts w:ascii="Courier New" w:hAnsi="Courier New" w:cs="Courier New" w:hint="default"/>
      </w:rPr>
    </w:lvl>
    <w:lvl w:ilvl="5" w:tplc="5C2EA7D4">
      <w:start w:val="1"/>
      <w:numFmt w:val="bullet"/>
      <w:lvlText w:val=""/>
      <w:lvlJc w:val="left"/>
      <w:pPr>
        <w:tabs>
          <w:tab w:val="num" w:pos="5029"/>
        </w:tabs>
        <w:ind w:left="5029" w:hanging="360"/>
      </w:pPr>
      <w:rPr>
        <w:rFonts w:ascii="Wingdings" w:hAnsi="Wingdings" w:hint="default"/>
      </w:rPr>
    </w:lvl>
    <w:lvl w:ilvl="6" w:tplc="F7AAB570">
      <w:start w:val="1"/>
      <w:numFmt w:val="bullet"/>
      <w:lvlText w:val=""/>
      <w:lvlJc w:val="left"/>
      <w:pPr>
        <w:tabs>
          <w:tab w:val="num" w:pos="5749"/>
        </w:tabs>
        <w:ind w:left="5749" w:hanging="360"/>
      </w:pPr>
      <w:rPr>
        <w:rFonts w:ascii="Symbol" w:hAnsi="Symbol" w:hint="default"/>
      </w:rPr>
    </w:lvl>
    <w:lvl w:ilvl="7" w:tplc="029C8AF8">
      <w:start w:val="1"/>
      <w:numFmt w:val="bullet"/>
      <w:lvlText w:val="o"/>
      <w:lvlJc w:val="left"/>
      <w:pPr>
        <w:tabs>
          <w:tab w:val="num" w:pos="6469"/>
        </w:tabs>
        <w:ind w:left="6469" w:hanging="360"/>
      </w:pPr>
      <w:rPr>
        <w:rFonts w:ascii="Courier New" w:hAnsi="Courier New" w:cs="Courier New" w:hint="default"/>
      </w:rPr>
    </w:lvl>
    <w:lvl w:ilvl="8" w:tplc="EAF68416">
      <w:start w:val="1"/>
      <w:numFmt w:val="bullet"/>
      <w:lvlText w:val=""/>
      <w:lvlJc w:val="left"/>
      <w:pPr>
        <w:tabs>
          <w:tab w:val="num" w:pos="7189"/>
        </w:tabs>
        <w:ind w:left="7189" w:hanging="360"/>
      </w:pPr>
      <w:rPr>
        <w:rFonts w:ascii="Wingdings" w:hAnsi="Wingdings" w:hint="default"/>
      </w:rPr>
    </w:lvl>
  </w:abstractNum>
  <w:abstractNum w:abstractNumId="2">
    <w:nsid w:val="02147A35"/>
    <w:multiLevelType w:val="hybridMultilevel"/>
    <w:tmpl w:val="12103BDA"/>
    <w:lvl w:ilvl="0" w:tplc="A412B280">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3">
    <w:nsid w:val="021F0FDA"/>
    <w:multiLevelType w:val="hybridMultilevel"/>
    <w:tmpl w:val="9F54D4EE"/>
    <w:lvl w:ilvl="0" w:tplc="2EE4280A">
      <w:start w:val="1"/>
      <w:numFmt w:val="bullet"/>
      <w:pStyle w:val="1"/>
      <w:lvlText w:val=""/>
      <w:lvlJc w:val="left"/>
      <w:pPr>
        <w:tabs>
          <w:tab w:val="num" w:pos="284"/>
        </w:tabs>
        <w:ind w:left="284" w:firstLine="0"/>
      </w:pPr>
      <w:rPr>
        <w:rFonts w:ascii="Symbol" w:hAnsi="Symbol" w:hint="default"/>
        <w:lang w:val="ru-RU"/>
      </w:rPr>
    </w:lvl>
    <w:lvl w:ilvl="1" w:tplc="4FA6F210">
      <w:start w:val="1"/>
      <w:numFmt w:val="bullet"/>
      <w:lvlText w:val="o"/>
      <w:lvlJc w:val="left"/>
      <w:pPr>
        <w:ind w:left="1440" w:hanging="360"/>
      </w:pPr>
      <w:rPr>
        <w:rFonts w:ascii="Courier New" w:eastAsia="Courier New" w:hAnsi="Courier New" w:cs="Courier New" w:hint="default"/>
      </w:rPr>
    </w:lvl>
    <w:lvl w:ilvl="2" w:tplc="151054EC">
      <w:start w:val="1"/>
      <w:numFmt w:val="bullet"/>
      <w:lvlText w:val="§"/>
      <w:lvlJc w:val="left"/>
      <w:pPr>
        <w:ind w:left="2160" w:hanging="360"/>
      </w:pPr>
      <w:rPr>
        <w:rFonts w:ascii="Wingdings" w:eastAsia="Wingdings" w:hAnsi="Wingdings" w:cs="Wingdings" w:hint="default"/>
      </w:rPr>
    </w:lvl>
    <w:lvl w:ilvl="3" w:tplc="7A80FC62">
      <w:start w:val="1"/>
      <w:numFmt w:val="bullet"/>
      <w:lvlText w:val="·"/>
      <w:lvlJc w:val="left"/>
      <w:pPr>
        <w:ind w:left="2880" w:hanging="360"/>
      </w:pPr>
      <w:rPr>
        <w:rFonts w:ascii="Symbol" w:eastAsia="Symbol" w:hAnsi="Symbol" w:cs="Symbol" w:hint="default"/>
      </w:rPr>
    </w:lvl>
    <w:lvl w:ilvl="4" w:tplc="EA625F36">
      <w:start w:val="1"/>
      <w:numFmt w:val="bullet"/>
      <w:lvlText w:val="o"/>
      <w:lvlJc w:val="left"/>
      <w:pPr>
        <w:ind w:left="3600" w:hanging="360"/>
      </w:pPr>
      <w:rPr>
        <w:rFonts w:ascii="Courier New" w:eastAsia="Courier New" w:hAnsi="Courier New" w:cs="Courier New" w:hint="default"/>
      </w:rPr>
    </w:lvl>
    <w:lvl w:ilvl="5" w:tplc="3844F710">
      <w:start w:val="1"/>
      <w:numFmt w:val="bullet"/>
      <w:lvlText w:val="§"/>
      <w:lvlJc w:val="left"/>
      <w:pPr>
        <w:ind w:left="4320" w:hanging="360"/>
      </w:pPr>
      <w:rPr>
        <w:rFonts w:ascii="Wingdings" w:eastAsia="Wingdings" w:hAnsi="Wingdings" w:cs="Wingdings" w:hint="default"/>
      </w:rPr>
    </w:lvl>
    <w:lvl w:ilvl="6" w:tplc="CA64F426">
      <w:start w:val="1"/>
      <w:numFmt w:val="bullet"/>
      <w:lvlText w:val="·"/>
      <w:lvlJc w:val="left"/>
      <w:pPr>
        <w:ind w:left="5040" w:hanging="360"/>
      </w:pPr>
      <w:rPr>
        <w:rFonts w:ascii="Symbol" w:eastAsia="Symbol" w:hAnsi="Symbol" w:cs="Symbol" w:hint="default"/>
      </w:rPr>
    </w:lvl>
    <w:lvl w:ilvl="7" w:tplc="13EEE6E2">
      <w:start w:val="1"/>
      <w:numFmt w:val="bullet"/>
      <w:lvlText w:val="o"/>
      <w:lvlJc w:val="left"/>
      <w:pPr>
        <w:ind w:left="5760" w:hanging="360"/>
      </w:pPr>
      <w:rPr>
        <w:rFonts w:ascii="Courier New" w:eastAsia="Courier New" w:hAnsi="Courier New" w:cs="Courier New" w:hint="default"/>
      </w:rPr>
    </w:lvl>
    <w:lvl w:ilvl="8" w:tplc="ED48ABAC">
      <w:start w:val="1"/>
      <w:numFmt w:val="bullet"/>
      <w:lvlText w:val="§"/>
      <w:lvlJc w:val="left"/>
      <w:pPr>
        <w:ind w:left="6480" w:hanging="360"/>
      </w:pPr>
      <w:rPr>
        <w:rFonts w:ascii="Wingdings" w:eastAsia="Wingdings" w:hAnsi="Wingdings" w:cs="Wingdings" w:hint="default"/>
      </w:rPr>
    </w:lvl>
  </w:abstractNum>
  <w:abstractNum w:abstractNumId="4">
    <w:nsid w:val="02CF7108"/>
    <w:multiLevelType w:val="hybridMultilevel"/>
    <w:tmpl w:val="2A5C6702"/>
    <w:lvl w:ilvl="0" w:tplc="3C6E92B4">
      <w:start w:val="1"/>
      <w:numFmt w:val="decimal"/>
      <w:pStyle w:val="5"/>
      <w:lvlText w:val="%1."/>
      <w:lvlJc w:val="left"/>
      <w:pPr>
        <w:tabs>
          <w:tab w:val="num" w:pos="1492"/>
        </w:tabs>
        <w:ind w:left="1492" w:hanging="360"/>
      </w:pPr>
    </w:lvl>
    <w:lvl w:ilvl="1" w:tplc="9C0AA05A">
      <w:start w:val="1"/>
      <w:numFmt w:val="bullet"/>
      <w:lvlText w:val="o"/>
      <w:lvlJc w:val="left"/>
      <w:pPr>
        <w:ind w:left="1440" w:hanging="360"/>
      </w:pPr>
      <w:rPr>
        <w:rFonts w:ascii="Courier New" w:eastAsia="Courier New" w:hAnsi="Courier New" w:cs="Courier New" w:hint="default"/>
      </w:rPr>
    </w:lvl>
    <w:lvl w:ilvl="2" w:tplc="4F668EC6">
      <w:start w:val="1"/>
      <w:numFmt w:val="bullet"/>
      <w:lvlText w:val="§"/>
      <w:lvlJc w:val="left"/>
      <w:pPr>
        <w:ind w:left="2160" w:hanging="360"/>
      </w:pPr>
      <w:rPr>
        <w:rFonts w:ascii="Wingdings" w:eastAsia="Wingdings" w:hAnsi="Wingdings" w:cs="Wingdings" w:hint="default"/>
      </w:rPr>
    </w:lvl>
    <w:lvl w:ilvl="3" w:tplc="EB7C9108">
      <w:start w:val="1"/>
      <w:numFmt w:val="bullet"/>
      <w:lvlText w:val="·"/>
      <w:lvlJc w:val="left"/>
      <w:pPr>
        <w:ind w:left="2880" w:hanging="360"/>
      </w:pPr>
      <w:rPr>
        <w:rFonts w:ascii="Symbol" w:eastAsia="Symbol" w:hAnsi="Symbol" w:cs="Symbol" w:hint="default"/>
      </w:rPr>
    </w:lvl>
    <w:lvl w:ilvl="4" w:tplc="6F5A3D1A">
      <w:start w:val="1"/>
      <w:numFmt w:val="bullet"/>
      <w:lvlText w:val="o"/>
      <w:lvlJc w:val="left"/>
      <w:pPr>
        <w:ind w:left="3600" w:hanging="360"/>
      </w:pPr>
      <w:rPr>
        <w:rFonts w:ascii="Courier New" w:eastAsia="Courier New" w:hAnsi="Courier New" w:cs="Courier New" w:hint="default"/>
      </w:rPr>
    </w:lvl>
    <w:lvl w:ilvl="5" w:tplc="9BB627C0">
      <w:start w:val="1"/>
      <w:numFmt w:val="bullet"/>
      <w:lvlText w:val="§"/>
      <w:lvlJc w:val="left"/>
      <w:pPr>
        <w:ind w:left="4320" w:hanging="360"/>
      </w:pPr>
      <w:rPr>
        <w:rFonts w:ascii="Wingdings" w:eastAsia="Wingdings" w:hAnsi="Wingdings" w:cs="Wingdings" w:hint="default"/>
      </w:rPr>
    </w:lvl>
    <w:lvl w:ilvl="6" w:tplc="55003E50">
      <w:start w:val="1"/>
      <w:numFmt w:val="bullet"/>
      <w:lvlText w:val="·"/>
      <w:lvlJc w:val="left"/>
      <w:pPr>
        <w:ind w:left="5040" w:hanging="360"/>
      </w:pPr>
      <w:rPr>
        <w:rFonts w:ascii="Symbol" w:eastAsia="Symbol" w:hAnsi="Symbol" w:cs="Symbol" w:hint="default"/>
      </w:rPr>
    </w:lvl>
    <w:lvl w:ilvl="7" w:tplc="07E8A798">
      <w:start w:val="1"/>
      <w:numFmt w:val="bullet"/>
      <w:lvlText w:val="o"/>
      <w:lvlJc w:val="left"/>
      <w:pPr>
        <w:ind w:left="5760" w:hanging="360"/>
      </w:pPr>
      <w:rPr>
        <w:rFonts w:ascii="Courier New" w:eastAsia="Courier New" w:hAnsi="Courier New" w:cs="Courier New" w:hint="default"/>
      </w:rPr>
    </w:lvl>
    <w:lvl w:ilvl="8" w:tplc="F7D2F4B2">
      <w:start w:val="1"/>
      <w:numFmt w:val="bullet"/>
      <w:lvlText w:val="§"/>
      <w:lvlJc w:val="left"/>
      <w:pPr>
        <w:ind w:left="6480" w:hanging="360"/>
      </w:pPr>
      <w:rPr>
        <w:rFonts w:ascii="Wingdings" w:eastAsia="Wingdings" w:hAnsi="Wingdings" w:cs="Wingdings" w:hint="default"/>
      </w:rPr>
    </w:lvl>
  </w:abstractNum>
  <w:abstractNum w:abstractNumId="5">
    <w:nsid w:val="03842068"/>
    <w:multiLevelType w:val="hybridMultilevel"/>
    <w:tmpl w:val="C2B40834"/>
    <w:lvl w:ilvl="0" w:tplc="A412B280">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6">
    <w:nsid w:val="03E46477"/>
    <w:multiLevelType w:val="hybridMultilevel"/>
    <w:tmpl w:val="C7463D60"/>
    <w:lvl w:ilvl="0" w:tplc="A412B280">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7">
    <w:nsid w:val="07E93032"/>
    <w:multiLevelType w:val="multilevel"/>
    <w:tmpl w:val="09DA3C34"/>
    <w:styleLink w:val="a1"/>
    <w:lvl w:ilvl="0">
      <w:start w:val="1"/>
      <w:numFmt w:val="upperRoman"/>
      <w:pStyle w:val="a1"/>
      <w:lvlText w:val="Статья %1."/>
      <w:lvlJc w:val="left"/>
      <w:pPr>
        <w:tabs>
          <w:tab w:val="num" w:pos="1440"/>
        </w:tabs>
        <w:ind w:left="0" w:firstLine="0"/>
      </w:pPr>
    </w:lvl>
    <w:lvl w:ilvl="1">
      <w:start w:val="1"/>
      <w:numFmt w:val="decimalZero"/>
      <w:isLgl/>
      <w:lvlText w:val="Раздел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8">
    <w:nsid w:val="07F03DD5"/>
    <w:multiLevelType w:val="hybridMultilevel"/>
    <w:tmpl w:val="976ED0FA"/>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9">
    <w:nsid w:val="081F506A"/>
    <w:multiLevelType w:val="hybridMultilevel"/>
    <w:tmpl w:val="74741540"/>
    <w:lvl w:ilvl="0" w:tplc="9CB2C2FA">
      <w:start w:val="1"/>
      <w:numFmt w:val="bullet"/>
      <w:lvlText w:val=""/>
      <w:lvlJc w:val="left"/>
      <w:pPr>
        <w:ind w:left="1571" w:hanging="360"/>
      </w:pPr>
      <w:rPr>
        <w:rFonts w:ascii="Symbol" w:hAnsi="Symbol" w:hint="default"/>
      </w:rPr>
    </w:lvl>
    <w:lvl w:ilvl="1" w:tplc="8D44CE82">
      <w:start w:val="1"/>
      <w:numFmt w:val="bullet"/>
      <w:lvlText w:val="o"/>
      <w:lvlJc w:val="left"/>
      <w:pPr>
        <w:ind w:left="2291" w:hanging="360"/>
      </w:pPr>
      <w:rPr>
        <w:rFonts w:ascii="Courier New" w:hAnsi="Courier New" w:cs="Courier New" w:hint="default"/>
      </w:rPr>
    </w:lvl>
    <w:lvl w:ilvl="2" w:tplc="E9062440">
      <w:start w:val="1"/>
      <w:numFmt w:val="bullet"/>
      <w:lvlText w:val=""/>
      <w:lvlJc w:val="left"/>
      <w:pPr>
        <w:ind w:left="3011" w:hanging="360"/>
      </w:pPr>
      <w:rPr>
        <w:rFonts w:ascii="Wingdings" w:hAnsi="Wingdings" w:hint="default"/>
      </w:rPr>
    </w:lvl>
    <w:lvl w:ilvl="3" w:tplc="1FE0514E">
      <w:start w:val="1"/>
      <w:numFmt w:val="bullet"/>
      <w:lvlText w:val=""/>
      <w:lvlJc w:val="left"/>
      <w:pPr>
        <w:ind w:left="3731" w:hanging="360"/>
      </w:pPr>
      <w:rPr>
        <w:rFonts w:ascii="Symbol" w:hAnsi="Symbol" w:hint="default"/>
      </w:rPr>
    </w:lvl>
    <w:lvl w:ilvl="4" w:tplc="7082BE2C">
      <w:start w:val="1"/>
      <w:numFmt w:val="bullet"/>
      <w:lvlText w:val="o"/>
      <w:lvlJc w:val="left"/>
      <w:pPr>
        <w:ind w:left="4451" w:hanging="360"/>
      </w:pPr>
      <w:rPr>
        <w:rFonts w:ascii="Courier New" w:hAnsi="Courier New" w:cs="Courier New" w:hint="default"/>
      </w:rPr>
    </w:lvl>
    <w:lvl w:ilvl="5" w:tplc="3B52106E">
      <w:start w:val="1"/>
      <w:numFmt w:val="bullet"/>
      <w:lvlText w:val=""/>
      <w:lvlJc w:val="left"/>
      <w:pPr>
        <w:ind w:left="5171" w:hanging="360"/>
      </w:pPr>
      <w:rPr>
        <w:rFonts w:ascii="Wingdings" w:hAnsi="Wingdings" w:hint="default"/>
      </w:rPr>
    </w:lvl>
    <w:lvl w:ilvl="6" w:tplc="ACBA0AE4">
      <w:start w:val="1"/>
      <w:numFmt w:val="bullet"/>
      <w:lvlText w:val=""/>
      <w:lvlJc w:val="left"/>
      <w:pPr>
        <w:ind w:left="5891" w:hanging="360"/>
      </w:pPr>
      <w:rPr>
        <w:rFonts w:ascii="Symbol" w:hAnsi="Symbol" w:hint="default"/>
      </w:rPr>
    </w:lvl>
    <w:lvl w:ilvl="7" w:tplc="4DC4C8AE">
      <w:start w:val="1"/>
      <w:numFmt w:val="bullet"/>
      <w:lvlText w:val="o"/>
      <w:lvlJc w:val="left"/>
      <w:pPr>
        <w:ind w:left="6611" w:hanging="360"/>
      </w:pPr>
      <w:rPr>
        <w:rFonts w:ascii="Courier New" w:hAnsi="Courier New" w:cs="Courier New" w:hint="default"/>
      </w:rPr>
    </w:lvl>
    <w:lvl w:ilvl="8" w:tplc="63A882AE">
      <w:start w:val="1"/>
      <w:numFmt w:val="bullet"/>
      <w:lvlText w:val=""/>
      <w:lvlJc w:val="left"/>
      <w:pPr>
        <w:ind w:left="7331" w:hanging="360"/>
      </w:pPr>
      <w:rPr>
        <w:rFonts w:ascii="Wingdings" w:hAnsi="Wingdings" w:hint="default"/>
      </w:rPr>
    </w:lvl>
  </w:abstractNum>
  <w:abstractNum w:abstractNumId="10">
    <w:nsid w:val="092A368A"/>
    <w:multiLevelType w:val="hybridMultilevel"/>
    <w:tmpl w:val="2BEECDEC"/>
    <w:lvl w:ilvl="0" w:tplc="8FA42AF0">
      <w:start w:val="1"/>
      <w:numFmt w:val="bullet"/>
      <w:lvlText w:val="-"/>
      <w:lvlJc w:val="left"/>
      <w:pPr>
        <w:ind w:left="777" w:hanging="360"/>
      </w:pPr>
      <w:rPr>
        <w:rFonts w:ascii="Courier New" w:hAnsi="Courier New" w:cs="Times New Roman" w:hint="default"/>
      </w:rPr>
    </w:lvl>
    <w:lvl w:ilvl="1" w:tplc="B5B454C0">
      <w:start w:val="1"/>
      <w:numFmt w:val="bullet"/>
      <w:lvlText w:val="o"/>
      <w:lvlJc w:val="left"/>
      <w:pPr>
        <w:ind w:left="1497" w:hanging="360"/>
      </w:pPr>
      <w:rPr>
        <w:rFonts w:ascii="Courier New" w:hAnsi="Courier New" w:cs="Courier New" w:hint="default"/>
      </w:rPr>
    </w:lvl>
    <w:lvl w:ilvl="2" w:tplc="C00899DE">
      <w:start w:val="1"/>
      <w:numFmt w:val="bullet"/>
      <w:lvlText w:val=""/>
      <w:lvlJc w:val="left"/>
      <w:pPr>
        <w:ind w:left="2217" w:hanging="360"/>
      </w:pPr>
      <w:rPr>
        <w:rFonts w:ascii="Wingdings" w:hAnsi="Wingdings" w:hint="default"/>
      </w:rPr>
    </w:lvl>
    <w:lvl w:ilvl="3" w:tplc="416C2A02">
      <w:start w:val="1"/>
      <w:numFmt w:val="bullet"/>
      <w:lvlText w:val=""/>
      <w:lvlJc w:val="left"/>
      <w:pPr>
        <w:ind w:left="2937" w:hanging="360"/>
      </w:pPr>
      <w:rPr>
        <w:rFonts w:ascii="Symbol" w:hAnsi="Symbol" w:hint="default"/>
      </w:rPr>
    </w:lvl>
    <w:lvl w:ilvl="4" w:tplc="D57C8322">
      <w:start w:val="1"/>
      <w:numFmt w:val="bullet"/>
      <w:lvlText w:val="o"/>
      <w:lvlJc w:val="left"/>
      <w:pPr>
        <w:ind w:left="3657" w:hanging="360"/>
      </w:pPr>
      <w:rPr>
        <w:rFonts w:ascii="Courier New" w:hAnsi="Courier New" w:cs="Courier New" w:hint="default"/>
      </w:rPr>
    </w:lvl>
    <w:lvl w:ilvl="5" w:tplc="2F067A26">
      <w:start w:val="1"/>
      <w:numFmt w:val="bullet"/>
      <w:lvlText w:val=""/>
      <w:lvlJc w:val="left"/>
      <w:pPr>
        <w:ind w:left="4377" w:hanging="360"/>
      </w:pPr>
      <w:rPr>
        <w:rFonts w:ascii="Wingdings" w:hAnsi="Wingdings" w:hint="default"/>
      </w:rPr>
    </w:lvl>
    <w:lvl w:ilvl="6" w:tplc="8EBA1E1A">
      <w:start w:val="1"/>
      <w:numFmt w:val="bullet"/>
      <w:lvlText w:val=""/>
      <w:lvlJc w:val="left"/>
      <w:pPr>
        <w:ind w:left="5097" w:hanging="360"/>
      </w:pPr>
      <w:rPr>
        <w:rFonts w:ascii="Symbol" w:hAnsi="Symbol" w:hint="default"/>
      </w:rPr>
    </w:lvl>
    <w:lvl w:ilvl="7" w:tplc="2A66FDCA">
      <w:start w:val="1"/>
      <w:numFmt w:val="bullet"/>
      <w:lvlText w:val="o"/>
      <w:lvlJc w:val="left"/>
      <w:pPr>
        <w:ind w:left="5817" w:hanging="360"/>
      </w:pPr>
      <w:rPr>
        <w:rFonts w:ascii="Courier New" w:hAnsi="Courier New" w:cs="Courier New" w:hint="default"/>
      </w:rPr>
    </w:lvl>
    <w:lvl w:ilvl="8" w:tplc="CF72DEF2">
      <w:start w:val="1"/>
      <w:numFmt w:val="bullet"/>
      <w:lvlText w:val=""/>
      <w:lvlJc w:val="left"/>
      <w:pPr>
        <w:ind w:left="6537" w:hanging="360"/>
      </w:pPr>
      <w:rPr>
        <w:rFonts w:ascii="Wingdings" w:hAnsi="Wingdings" w:hint="default"/>
      </w:rPr>
    </w:lvl>
  </w:abstractNum>
  <w:abstractNum w:abstractNumId="11">
    <w:nsid w:val="0A372014"/>
    <w:multiLevelType w:val="hybridMultilevel"/>
    <w:tmpl w:val="DEF04AE0"/>
    <w:lvl w:ilvl="0" w:tplc="A412B280">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12">
    <w:nsid w:val="0C7D5C06"/>
    <w:multiLevelType w:val="hybridMultilevel"/>
    <w:tmpl w:val="0419001D"/>
    <w:styleLink w:val="11"/>
    <w:lvl w:ilvl="0" w:tplc="4F526DDE">
      <w:start w:val="1"/>
      <w:numFmt w:val="decimal"/>
      <w:pStyle w:val="11"/>
      <w:lvlText w:val="%1)"/>
      <w:lvlJc w:val="left"/>
      <w:pPr>
        <w:tabs>
          <w:tab w:val="num" w:pos="360"/>
        </w:tabs>
        <w:ind w:left="360" w:hanging="360"/>
      </w:pPr>
    </w:lvl>
    <w:lvl w:ilvl="1" w:tplc="7B2CC006">
      <w:start w:val="1"/>
      <w:numFmt w:val="lowerLetter"/>
      <w:lvlText w:val="%2)"/>
      <w:lvlJc w:val="left"/>
      <w:pPr>
        <w:tabs>
          <w:tab w:val="num" w:pos="720"/>
        </w:tabs>
        <w:ind w:left="720" w:hanging="360"/>
      </w:pPr>
    </w:lvl>
    <w:lvl w:ilvl="2" w:tplc="59663B5E">
      <w:start w:val="1"/>
      <w:numFmt w:val="lowerRoman"/>
      <w:lvlText w:val="%3)"/>
      <w:lvlJc w:val="left"/>
      <w:pPr>
        <w:tabs>
          <w:tab w:val="num" w:pos="1080"/>
        </w:tabs>
        <w:ind w:left="1080" w:hanging="360"/>
      </w:pPr>
    </w:lvl>
    <w:lvl w:ilvl="3" w:tplc="DFC4FB6E">
      <w:start w:val="1"/>
      <w:numFmt w:val="decimal"/>
      <w:lvlText w:val="(%4)"/>
      <w:lvlJc w:val="left"/>
      <w:pPr>
        <w:tabs>
          <w:tab w:val="num" w:pos="1440"/>
        </w:tabs>
        <w:ind w:left="1440" w:hanging="360"/>
      </w:pPr>
    </w:lvl>
    <w:lvl w:ilvl="4" w:tplc="6D82B5B6">
      <w:start w:val="1"/>
      <w:numFmt w:val="lowerLetter"/>
      <w:lvlText w:val="(%5)"/>
      <w:lvlJc w:val="left"/>
      <w:pPr>
        <w:tabs>
          <w:tab w:val="num" w:pos="1800"/>
        </w:tabs>
        <w:ind w:left="1800" w:hanging="360"/>
      </w:pPr>
    </w:lvl>
    <w:lvl w:ilvl="5" w:tplc="AEBAABDA">
      <w:start w:val="1"/>
      <w:numFmt w:val="lowerRoman"/>
      <w:lvlText w:val="(%6)"/>
      <w:lvlJc w:val="left"/>
      <w:pPr>
        <w:tabs>
          <w:tab w:val="num" w:pos="2160"/>
        </w:tabs>
        <w:ind w:left="2160" w:hanging="360"/>
      </w:pPr>
    </w:lvl>
    <w:lvl w:ilvl="6" w:tplc="53C88FCA">
      <w:start w:val="1"/>
      <w:numFmt w:val="decimal"/>
      <w:lvlText w:val="%7."/>
      <w:lvlJc w:val="left"/>
      <w:pPr>
        <w:tabs>
          <w:tab w:val="num" w:pos="2520"/>
        </w:tabs>
        <w:ind w:left="2520" w:hanging="360"/>
      </w:pPr>
    </w:lvl>
    <w:lvl w:ilvl="7" w:tplc="A3E88ECE">
      <w:start w:val="1"/>
      <w:numFmt w:val="lowerLetter"/>
      <w:lvlText w:val="%8."/>
      <w:lvlJc w:val="left"/>
      <w:pPr>
        <w:tabs>
          <w:tab w:val="num" w:pos="2880"/>
        </w:tabs>
        <w:ind w:left="2880" w:hanging="360"/>
      </w:pPr>
    </w:lvl>
    <w:lvl w:ilvl="8" w:tplc="0D28FD12">
      <w:start w:val="1"/>
      <w:numFmt w:val="lowerRoman"/>
      <w:lvlText w:val="%9."/>
      <w:lvlJc w:val="left"/>
      <w:pPr>
        <w:tabs>
          <w:tab w:val="num" w:pos="3240"/>
        </w:tabs>
        <w:ind w:left="3240" w:hanging="360"/>
      </w:pPr>
    </w:lvl>
  </w:abstractNum>
  <w:abstractNum w:abstractNumId="13">
    <w:nsid w:val="0D4E1F7A"/>
    <w:multiLevelType w:val="hybridMultilevel"/>
    <w:tmpl w:val="AA0C234E"/>
    <w:lvl w:ilvl="0" w:tplc="ED627056">
      <w:start w:val="1"/>
      <w:numFmt w:val="decimal"/>
      <w:pStyle w:val="otrtablenum"/>
      <w:lvlText w:val="%1."/>
      <w:lvlJc w:val="left"/>
      <w:pPr>
        <w:tabs>
          <w:tab w:val="num" w:pos="397"/>
        </w:tabs>
        <w:ind w:left="397" w:hanging="340"/>
      </w:pPr>
      <w:rPr>
        <w:rFonts w:hint="default"/>
      </w:rPr>
    </w:lvl>
    <w:lvl w:ilvl="1" w:tplc="085E61C8">
      <w:start w:val="1"/>
      <w:numFmt w:val="lowerLetter"/>
      <w:lvlText w:val="%2."/>
      <w:lvlJc w:val="left"/>
      <w:pPr>
        <w:tabs>
          <w:tab w:val="num" w:pos="1440"/>
        </w:tabs>
        <w:ind w:left="1440" w:hanging="360"/>
      </w:pPr>
    </w:lvl>
    <w:lvl w:ilvl="2" w:tplc="90EAD492">
      <w:start w:val="1"/>
      <w:numFmt w:val="lowerRoman"/>
      <w:lvlText w:val="%3."/>
      <w:lvlJc w:val="right"/>
      <w:pPr>
        <w:tabs>
          <w:tab w:val="num" w:pos="2160"/>
        </w:tabs>
        <w:ind w:left="2160" w:hanging="180"/>
      </w:pPr>
    </w:lvl>
    <w:lvl w:ilvl="3" w:tplc="99723FC0">
      <w:start w:val="1"/>
      <w:numFmt w:val="decimal"/>
      <w:lvlText w:val="%4."/>
      <w:lvlJc w:val="left"/>
      <w:pPr>
        <w:tabs>
          <w:tab w:val="num" w:pos="2880"/>
        </w:tabs>
        <w:ind w:left="2880" w:hanging="360"/>
      </w:pPr>
    </w:lvl>
    <w:lvl w:ilvl="4" w:tplc="F62E0536">
      <w:start w:val="1"/>
      <w:numFmt w:val="lowerLetter"/>
      <w:lvlText w:val="%5."/>
      <w:lvlJc w:val="left"/>
      <w:pPr>
        <w:tabs>
          <w:tab w:val="num" w:pos="3600"/>
        </w:tabs>
        <w:ind w:left="3600" w:hanging="360"/>
      </w:pPr>
    </w:lvl>
    <w:lvl w:ilvl="5" w:tplc="3C108BA6">
      <w:start w:val="1"/>
      <w:numFmt w:val="lowerRoman"/>
      <w:lvlText w:val="%6."/>
      <w:lvlJc w:val="right"/>
      <w:pPr>
        <w:tabs>
          <w:tab w:val="num" w:pos="4320"/>
        </w:tabs>
        <w:ind w:left="4320" w:hanging="180"/>
      </w:pPr>
    </w:lvl>
    <w:lvl w:ilvl="6" w:tplc="0638F580">
      <w:start w:val="1"/>
      <w:numFmt w:val="decimal"/>
      <w:lvlText w:val="%7."/>
      <w:lvlJc w:val="left"/>
      <w:pPr>
        <w:tabs>
          <w:tab w:val="num" w:pos="5040"/>
        </w:tabs>
        <w:ind w:left="5040" w:hanging="360"/>
      </w:pPr>
    </w:lvl>
    <w:lvl w:ilvl="7" w:tplc="BA222536">
      <w:start w:val="1"/>
      <w:numFmt w:val="lowerLetter"/>
      <w:lvlText w:val="%8."/>
      <w:lvlJc w:val="left"/>
      <w:pPr>
        <w:tabs>
          <w:tab w:val="num" w:pos="5760"/>
        </w:tabs>
        <w:ind w:left="5760" w:hanging="360"/>
      </w:pPr>
    </w:lvl>
    <w:lvl w:ilvl="8" w:tplc="E5FC9D50">
      <w:start w:val="1"/>
      <w:numFmt w:val="lowerRoman"/>
      <w:lvlText w:val="%9."/>
      <w:lvlJc w:val="right"/>
      <w:pPr>
        <w:tabs>
          <w:tab w:val="num" w:pos="6480"/>
        </w:tabs>
        <w:ind w:left="6480" w:hanging="180"/>
      </w:pPr>
    </w:lvl>
  </w:abstractNum>
  <w:abstractNum w:abstractNumId="14">
    <w:nsid w:val="0D5C472A"/>
    <w:multiLevelType w:val="hybridMultilevel"/>
    <w:tmpl w:val="BE26317A"/>
    <w:lvl w:ilvl="0" w:tplc="64DEF78C">
      <w:start w:val="1"/>
      <w:numFmt w:val="none"/>
      <w:lvlText w:val="Таблица "/>
      <w:lvlJc w:val="left"/>
      <w:pPr>
        <w:tabs>
          <w:tab w:val="num" w:pos="567"/>
        </w:tabs>
        <w:ind w:left="0" w:firstLine="567"/>
      </w:pPr>
      <w:rPr>
        <w:rFonts w:ascii="Times New Roman" w:hAnsi="Times New Roman" w:cs="Times New Roman" w:hint="default"/>
        <w:b/>
        <w:bCs w:val="0"/>
        <w:i w:val="0"/>
        <w:iCs w:val="0"/>
        <w:caps w:val="0"/>
        <w:smallCaps w:val="0"/>
        <w:strike w:val="0"/>
        <w:vanish w:val="0"/>
        <w:spacing w:val="0"/>
        <w:position w:val="0"/>
        <w:sz w:val="24"/>
        <w:u w:val="none"/>
        <w:vertAlign w:val="baseline"/>
      </w:rPr>
    </w:lvl>
    <w:lvl w:ilvl="1" w:tplc="7C0E8920">
      <w:start w:val="1"/>
      <w:numFmt w:val="lowerLetter"/>
      <w:lvlText w:val="%2."/>
      <w:lvlJc w:val="left"/>
      <w:pPr>
        <w:tabs>
          <w:tab w:val="num" w:pos="1440"/>
        </w:tabs>
        <w:ind w:left="1440" w:hanging="360"/>
      </w:pPr>
    </w:lvl>
    <w:lvl w:ilvl="2" w:tplc="05CCB368">
      <w:start w:val="1"/>
      <w:numFmt w:val="lowerRoman"/>
      <w:lvlText w:val="%3."/>
      <w:lvlJc w:val="right"/>
      <w:pPr>
        <w:tabs>
          <w:tab w:val="num" w:pos="2160"/>
        </w:tabs>
        <w:ind w:left="2160" w:hanging="180"/>
      </w:pPr>
    </w:lvl>
    <w:lvl w:ilvl="3" w:tplc="54665E38">
      <w:start w:val="1"/>
      <w:numFmt w:val="decimal"/>
      <w:lvlText w:val="%4."/>
      <w:lvlJc w:val="left"/>
      <w:pPr>
        <w:tabs>
          <w:tab w:val="num" w:pos="2880"/>
        </w:tabs>
        <w:ind w:left="2880" w:hanging="360"/>
      </w:pPr>
    </w:lvl>
    <w:lvl w:ilvl="4" w:tplc="E52C8248">
      <w:start w:val="1"/>
      <w:numFmt w:val="lowerLetter"/>
      <w:lvlText w:val="%5."/>
      <w:lvlJc w:val="left"/>
      <w:pPr>
        <w:tabs>
          <w:tab w:val="num" w:pos="3600"/>
        </w:tabs>
        <w:ind w:left="3600" w:hanging="360"/>
      </w:pPr>
    </w:lvl>
    <w:lvl w:ilvl="5" w:tplc="878C9118">
      <w:start w:val="1"/>
      <w:numFmt w:val="lowerRoman"/>
      <w:lvlText w:val="%6."/>
      <w:lvlJc w:val="right"/>
      <w:pPr>
        <w:tabs>
          <w:tab w:val="num" w:pos="4320"/>
        </w:tabs>
        <w:ind w:left="4320" w:hanging="180"/>
      </w:pPr>
    </w:lvl>
    <w:lvl w:ilvl="6" w:tplc="E9366DEC">
      <w:start w:val="1"/>
      <w:numFmt w:val="decimal"/>
      <w:lvlText w:val="%7."/>
      <w:lvlJc w:val="left"/>
      <w:pPr>
        <w:tabs>
          <w:tab w:val="num" w:pos="5040"/>
        </w:tabs>
        <w:ind w:left="5040" w:hanging="360"/>
      </w:pPr>
    </w:lvl>
    <w:lvl w:ilvl="7" w:tplc="894475A2">
      <w:start w:val="1"/>
      <w:numFmt w:val="lowerLetter"/>
      <w:lvlText w:val="%8."/>
      <w:lvlJc w:val="left"/>
      <w:pPr>
        <w:tabs>
          <w:tab w:val="num" w:pos="5760"/>
        </w:tabs>
        <w:ind w:left="5760" w:hanging="360"/>
      </w:pPr>
    </w:lvl>
    <w:lvl w:ilvl="8" w:tplc="5A1EB462">
      <w:start w:val="1"/>
      <w:numFmt w:val="lowerRoman"/>
      <w:lvlText w:val="%9."/>
      <w:lvlJc w:val="right"/>
      <w:pPr>
        <w:tabs>
          <w:tab w:val="num" w:pos="6480"/>
        </w:tabs>
        <w:ind w:left="6480" w:hanging="180"/>
      </w:pPr>
    </w:lvl>
  </w:abstractNum>
  <w:abstractNum w:abstractNumId="15">
    <w:nsid w:val="0D941387"/>
    <w:multiLevelType w:val="hybridMultilevel"/>
    <w:tmpl w:val="C0AAC55E"/>
    <w:lvl w:ilvl="0" w:tplc="1F44D886">
      <w:start w:val="1"/>
      <w:numFmt w:val="bullet"/>
      <w:pStyle w:val="EBListmark3"/>
      <w:lvlText w:val=""/>
      <w:lvlJc w:val="left"/>
      <w:pPr>
        <w:tabs>
          <w:tab w:val="num" w:pos="2041"/>
        </w:tabs>
        <w:ind w:left="2041" w:hanging="283"/>
      </w:pPr>
      <w:rPr>
        <w:rFonts w:ascii="Wingdings" w:hAnsi="Wingdings" w:cs="Times New Roman" w:hint="default"/>
        <w:b w:val="0"/>
        <w:i w:val="0"/>
        <w:color w:val="auto"/>
        <w:sz w:val="24"/>
      </w:rPr>
    </w:lvl>
    <w:lvl w:ilvl="1" w:tplc="1186A8D6">
      <w:start w:val="1"/>
      <w:numFmt w:val="bullet"/>
      <w:pStyle w:val="EBListmark2"/>
      <w:lvlText w:val="o"/>
      <w:lvlJc w:val="left"/>
      <w:pPr>
        <w:tabs>
          <w:tab w:val="num" w:pos="1588"/>
        </w:tabs>
        <w:ind w:left="1588" w:hanging="284"/>
      </w:pPr>
      <w:rPr>
        <w:rFonts w:ascii="Courier New" w:hAnsi="Courier New" w:hint="default"/>
        <w:b w:val="0"/>
        <w:i w:val="0"/>
        <w:color w:val="auto"/>
        <w:sz w:val="28"/>
      </w:rPr>
    </w:lvl>
    <w:lvl w:ilvl="2" w:tplc="A2809CDE">
      <w:start w:val="1"/>
      <w:numFmt w:val="bullet"/>
      <w:lvlText w:val=""/>
      <w:lvlJc w:val="left"/>
      <w:pPr>
        <w:tabs>
          <w:tab w:val="num" w:pos="2160"/>
        </w:tabs>
        <w:ind w:left="2160" w:hanging="360"/>
      </w:pPr>
      <w:rPr>
        <w:rFonts w:ascii="Wingdings" w:hAnsi="Wingdings" w:hint="default"/>
      </w:rPr>
    </w:lvl>
    <w:lvl w:ilvl="3" w:tplc="7A2083E2">
      <w:start w:val="1"/>
      <w:numFmt w:val="bullet"/>
      <w:lvlText w:val=""/>
      <w:lvlJc w:val="left"/>
      <w:pPr>
        <w:tabs>
          <w:tab w:val="num" w:pos="2880"/>
        </w:tabs>
        <w:ind w:left="2880" w:hanging="360"/>
      </w:pPr>
      <w:rPr>
        <w:rFonts w:ascii="Symbol" w:hAnsi="Symbol" w:hint="default"/>
      </w:rPr>
    </w:lvl>
    <w:lvl w:ilvl="4" w:tplc="FE3E236C">
      <w:start w:val="1"/>
      <w:numFmt w:val="bullet"/>
      <w:lvlText w:val="o"/>
      <w:lvlJc w:val="left"/>
      <w:pPr>
        <w:tabs>
          <w:tab w:val="num" w:pos="3600"/>
        </w:tabs>
        <w:ind w:left="3600" w:hanging="360"/>
      </w:pPr>
      <w:rPr>
        <w:rFonts w:ascii="Courier New" w:hAnsi="Courier New" w:cs="Courier New" w:hint="default"/>
      </w:rPr>
    </w:lvl>
    <w:lvl w:ilvl="5" w:tplc="6C96212E">
      <w:start w:val="1"/>
      <w:numFmt w:val="bullet"/>
      <w:lvlText w:val=""/>
      <w:lvlJc w:val="left"/>
      <w:pPr>
        <w:tabs>
          <w:tab w:val="num" w:pos="4320"/>
        </w:tabs>
        <w:ind w:left="4320" w:hanging="360"/>
      </w:pPr>
      <w:rPr>
        <w:rFonts w:ascii="Wingdings" w:hAnsi="Wingdings" w:hint="default"/>
      </w:rPr>
    </w:lvl>
    <w:lvl w:ilvl="6" w:tplc="51CECF52">
      <w:start w:val="1"/>
      <w:numFmt w:val="bullet"/>
      <w:lvlText w:val=""/>
      <w:lvlJc w:val="left"/>
      <w:pPr>
        <w:tabs>
          <w:tab w:val="num" w:pos="5040"/>
        </w:tabs>
        <w:ind w:left="5040" w:hanging="360"/>
      </w:pPr>
      <w:rPr>
        <w:rFonts w:ascii="Symbol" w:hAnsi="Symbol" w:hint="default"/>
      </w:rPr>
    </w:lvl>
    <w:lvl w:ilvl="7" w:tplc="174C1ABA">
      <w:start w:val="1"/>
      <w:numFmt w:val="bullet"/>
      <w:lvlText w:val="o"/>
      <w:lvlJc w:val="left"/>
      <w:pPr>
        <w:tabs>
          <w:tab w:val="num" w:pos="5760"/>
        </w:tabs>
        <w:ind w:left="5760" w:hanging="360"/>
      </w:pPr>
      <w:rPr>
        <w:rFonts w:ascii="Courier New" w:hAnsi="Courier New" w:cs="Courier New" w:hint="default"/>
      </w:rPr>
    </w:lvl>
    <w:lvl w:ilvl="8" w:tplc="AF3E5902">
      <w:start w:val="1"/>
      <w:numFmt w:val="bullet"/>
      <w:lvlText w:val=""/>
      <w:lvlJc w:val="left"/>
      <w:pPr>
        <w:tabs>
          <w:tab w:val="num" w:pos="6480"/>
        </w:tabs>
        <w:ind w:left="6480" w:hanging="360"/>
      </w:pPr>
      <w:rPr>
        <w:rFonts w:ascii="Wingdings" w:hAnsi="Wingdings" w:hint="default"/>
      </w:rPr>
    </w:lvl>
  </w:abstractNum>
  <w:abstractNum w:abstractNumId="16">
    <w:nsid w:val="0DAE7202"/>
    <w:multiLevelType w:val="hybridMultilevel"/>
    <w:tmpl w:val="0DC6CBC2"/>
    <w:lvl w:ilvl="0" w:tplc="84FAEE54">
      <w:start w:val="1"/>
      <w:numFmt w:val="bullet"/>
      <w:pStyle w:val="ASFKListmark1"/>
      <w:lvlText w:val="–"/>
      <w:lvlJc w:val="left"/>
      <w:pPr>
        <w:tabs>
          <w:tab w:val="num" w:pos="851"/>
        </w:tabs>
        <w:ind w:left="851" w:hanging="284"/>
      </w:pPr>
      <w:rPr>
        <w:rFonts w:ascii="Times New Roman" w:hAnsi="Times New Roman" w:cs="Times New Roman" w:hint="default"/>
      </w:rPr>
    </w:lvl>
    <w:lvl w:ilvl="1" w:tplc="CC5ED000">
      <w:start w:val="1"/>
      <w:numFmt w:val="bullet"/>
      <w:lvlText w:val="o"/>
      <w:lvlJc w:val="left"/>
      <w:pPr>
        <w:tabs>
          <w:tab w:val="num" w:pos="1440"/>
        </w:tabs>
        <w:ind w:left="1440" w:hanging="360"/>
      </w:pPr>
      <w:rPr>
        <w:rFonts w:ascii="Courier New" w:hAnsi="Courier New" w:cs="Courier New" w:hint="default"/>
      </w:rPr>
    </w:lvl>
    <w:lvl w:ilvl="2" w:tplc="1EB6A764">
      <w:start w:val="1"/>
      <w:numFmt w:val="bullet"/>
      <w:lvlText w:val=""/>
      <w:lvlJc w:val="left"/>
      <w:pPr>
        <w:tabs>
          <w:tab w:val="num" w:pos="2160"/>
        </w:tabs>
        <w:ind w:left="2160" w:hanging="360"/>
      </w:pPr>
      <w:rPr>
        <w:rFonts w:ascii="Wingdings" w:hAnsi="Wingdings" w:hint="default"/>
      </w:rPr>
    </w:lvl>
    <w:lvl w:ilvl="3" w:tplc="25C41B40">
      <w:start w:val="1"/>
      <w:numFmt w:val="bullet"/>
      <w:lvlText w:val=""/>
      <w:lvlJc w:val="left"/>
      <w:pPr>
        <w:tabs>
          <w:tab w:val="num" w:pos="2880"/>
        </w:tabs>
        <w:ind w:left="2880" w:hanging="360"/>
      </w:pPr>
      <w:rPr>
        <w:rFonts w:ascii="Symbol" w:hAnsi="Symbol" w:hint="default"/>
      </w:rPr>
    </w:lvl>
    <w:lvl w:ilvl="4" w:tplc="EB0E1D56">
      <w:start w:val="1"/>
      <w:numFmt w:val="bullet"/>
      <w:lvlText w:val="o"/>
      <w:lvlJc w:val="left"/>
      <w:pPr>
        <w:tabs>
          <w:tab w:val="num" w:pos="3600"/>
        </w:tabs>
        <w:ind w:left="3600" w:hanging="360"/>
      </w:pPr>
      <w:rPr>
        <w:rFonts w:ascii="Courier New" w:hAnsi="Courier New" w:cs="Courier New" w:hint="default"/>
      </w:rPr>
    </w:lvl>
    <w:lvl w:ilvl="5" w:tplc="F3B40064">
      <w:start w:val="1"/>
      <w:numFmt w:val="bullet"/>
      <w:lvlText w:val=""/>
      <w:lvlJc w:val="left"/>
      <w:pPr>
        <w:tabs>
          <w:tab w:val="num" w:pos="4320"/>
        </w:tabs>
        <w:ind w:left="4320" w:hanging="360"/>
      </w:pPr>
      <w:rPr>
        <w:rFonts w:ascii="Wingdings" w:hAnsi="Wingdings" w:hint="default"/>
      </w:rPr>
    </w:lvl>
    <w:lvl w:ilvl="6" w:tplc="45449FC0">
      <w:start w:val="1"/>
      <w:numFmt w:val="bullet"/>
      <w:lvlText w:val=""/>
      <w:lvlJc w:val="left"/>
      <w:pPr>
        <w:tabs>
          <w:tab w:val="num" w:pos="5040"/>
        </w:tabs>
        <w:ind w:left="5040" w:hanging="360"/>
      </w:pPr>
      <w:rPr>
        <w:rFonts w:ascii="Symbol" w:hAnsi="Symbol" w:hint="default"/>
      </w:rPr>
    </w:lvl>
    <w:lvl w:ilvl="7" w:tplc="259C5210">
      <w:start w:val="1"/>
      <w:numFmt w:val="bullet"/>
      <w:lvlText w:val="o"/>
      <w:lvlJc w:val="left"/>
      <w:pPr>
        <w:tabs>
          <w:tab w:val="num" w:pos="5760"/>
        </w:tabs>
        <w:ind w:left="5760" w:hanging="360"/>
      </w:pPr>
      <w:rPr>
        <w:rFonts w:ascii="Courier New" w:hAnsi="Courier New" w:cs="Courier New" w:hint="default"/>
      </w:rPr>
    </w:lvl>
    <w:lvl w:ilvl="8" w:tplc="99B6777C">
      <w:start w:val="1"/>
      <w:numFmt w:val="bullet"/>
      <w:lvlText w:val=""/>
      <w:lvlJc w:val="left"/>
      <w:pPr>
        <w:tabs>
          <w:tab w:val="num" w:pos="6480"/>
        </w:tabs>
        <w:ind w:left="6480" w:hanging="360"/>
      </w:pPr>
      <w:rPr>
        <w:rFonts w:ascii="Wingdings" w:hAnsi="Wingdings" w:hint="default"/>
      </w:rPr>
    </w:lvl>
  </w:abstractNum>
  <w:abstractNum w:abstractNumId="17">
    <w:nsid w:val="0E661B9F"/>
    <w:multiLevelType w:val="hybridMultilevel"/>
    <w:tmpl w:val="BA26F028"/>
    <w:lvl w:ilvl="0" w:tplc="C94CDCB6">
      <w:start w:val="1"/>
      <w:numFmt w:val="bullet"/>
      <w:lvlText w:val="−"/>
      <w:lvlJc w:val="left"/>
      <w:pPr>
        <w:ind w:left="777" w:hanging="360"/>
      </w:pPr>
      <w:rPr>
        <w:rFonts w:ascii="Times New Roman" w:hAnsi="Times New Roman" w:cs="Times New Roman" w:hint="default"/>
      </w:rPr>
    </w:lvl>
    <w:lvl w:ilvl="1" w:tplc="B65EBF18">
      <w:start w:val="1"/>
      <w:numFmt w:val="bullet"/>
      <w:lvlText w:val="o"/>
      <w:lvlJc w:val="left"/>
      <w:pPr>
        <w:ind w:left="1497" w:hanging="360"/>
      </w:pPr>
      <w:rPr>
        <w:rFonts w:ascii="Courier New" w:hAnsi="Courier New" w:cs="Courier New" w:hint="default"/>
      </w:rPr>
    </w:lvl>
    <w:lvl w:ilvl="2" w:tplc="7A8CDC88">
      <w:start w:val="1"/>
      <w:numFmt w:val="bullet"/>
      <w:lvlText w:val=""/>
      <w:lvlJc w:val="left"/>
      <w:pPr>
        <w:ind w:left="2217" w:hanging="360"/>
      </w:pPr>
      <w:rPr>
        <w:rFonts w:ascii="Wingdings" w:hAnsi="Wingdings" w:hint="default"/>
      </w:rPr>
    </w:lvl>
    <w:lvl w:ilvl="3" w:tplc="F1644DB4">
      <w:start w:val="1"/>
      <w:numFmt w:val="bullet"/>
      <w:lvlText w:val=""/>
      <w:lvlJc w:val="left"/>
      <w:pPr>
        <w:ind w:left="2937" w:hanging="360"/>
      </w:pPr>
      <w:rPr>
        <w:rFonts w:ascii="Symbol" w:hAnsi="Symbol" w:hint="default"/>
      </w:rPr>
    </w:lvl>
    <w:lvl w:ilvl="4" w:tplc="81B8196A">
      <w:start w:val="1"/>
      <w:numFmt w:val="bullet"/>
      <w:lvlText w:val="o"/>
      <w:lvlJc w:val="left"/>
      <w:pPr>
        <w:ind w:left="3657" w:hanging="360"/>
      </w:pPr>
      <w:rPr>
        <w:rFonts w:ascii="Courier New" w:hAnsi="Courier New" w:cs="Courier New" w:hint="default"/>
      </w:rPr>
    </w:lvl>
    <w:lvl w:ilvl="5" w:tplc="7466EADA">
      <w:start w:val="1"/>
      <w:numFmt w:val="bullet"/>
      <w:lvlText w:val=""/>
      <w:lvlJc w:val="left"/>
      <w:pPr>
        <w:ind w:left="4377" w:hanging="360"/>
      </w:pPr>
      <w:rPr>
        <w:rFonts w:ascii="Wingdings" w:hAnsi="Wingdings" w:hint="default"/>
      </w:rPr>
    </w:lvl>
    <w:lvl w:ilvl="6" w:tplc="308237B8">
      <w:start w:val="1"/>
      <w:numFmt w:val="bullet"/>
      <w:lvlText w:val=""/>
      <w:lvlJc w:val="left"/>
      <w:pPr>
        <w:ind w:left="5097" w:hanging="360"/>
      </w:pPr>
      <w:rPr>
        <w:rFonts w:ascii="Symbol" w:hAnsi="Symbol" w:hint="default"/>
      </w:rPr>
    </w:lvl>
    <w:lvl w:ilvl="7" w:tplc="18281436">
      <w:start w:val="1"/>
      <w:numFmt w:val="bullet"/>
      <w:lvlText w:val="o"/>
      <w:lvlJc w:val="left"/>
      <w:pPr>
        <w:ind w:left="5817" w:hanging="360"/>
      </w:pPr>
      <w:rPr>
        <w:rFonts w:ascii="Courier New" w:hAnsi="Courier New" w:cs="Courier New" w:hint="default"/>
      </w:rPr>
    </w:lvl>
    <w:lvl w:ilvl="8" w:tplc="AC1A0130">
      <w:start w:val="1"/>
      <w:numFmt w:val="bullet"/>
      <w:lvlText w:val=""/>
      <w:lvlJc w:val="left"/>
      <w:pPr>
        <w:ind w:left="6537" w:hanging="360"/>
      </w:pPr>
      <w:rPr>
        <w:rFonts w:ascii="Wingdings" w:hAnsi="Wingdings" w:hint="default"/>
      </w:rPr>
    </w:lvl>
  </w:abstractNum>
  <w:abstractNum w:abstractNumId="18">
    <w:nsid w:val="0EA87417"/>
    <w:multiLevelType w:val="hybridMultilevel"/>
    <w:tmpl w:val="E132E544"/>
    <w:lvl w:ilvl="0" w:tplc="F410AFDC">
      <w:start w:val="1"/>
      <w:numFmt w:val="bullet"/>
      <w:lvlText w:val=""/>
      <w:lvlJc w:val="left"/>
      <w:pPr>
        <w:ind w:left="720" w:hanging="360"/>
      </w:pPr>
      <w:rPr>
        <w:rFonts w:ascii="Symbol" w:hAnsi="Symbol" w:hint="default"/>
      </w:rPr>
    </w:lvl>
    <w:lvl w:ilvl="1" w:tplc="FFA0665C">
      <w:start w:val="1"/>
      <w:numFmt w:val="bullet"/>
      <w:lvlText w:val="o"/>
      <w:lvlJc w:val="left"/>
      <w:pPr>
        <w:ind w:left="1440" w:hanging="360"/>
      </w:pPr>
      <w:rPr>
        <w:rFonts w:ascii="Courier New" w:hAnsi="Courier New" w:cs="Courier New" w:hint="default"/>
      </w:rPr>
    </w:lvl>
    <w:lvl w:ilvl="2" w:tplc="52C26026">
      <w:start w:val="1"/>
      <w:numFmt w:val="bullet"/>
      <w:lvlText w:val=""/>
      <w:lvlJc w:val="left"/>
      <w:pPr>
        <w:ind w:left="2160" w:hanging="360"/>
      </w:pPr>
      <w:rPr>
        <w:rFonts w:ascii="Wingdings" w:hAnsi="Wingdings" w:hint="default"/>
      </w:rPr>
    </w:lvl>
    <w:lvl w:ilvl="3" w:tplc="F5BA7A5E">
      <w:start w:val="1"/>
      <w:numFmt w:val="bullet"/>
      <w:lvlText w:val=""/>
      <w:lvlJc w:val="left"/>
      <w:pPr>
        <w:ind w:left="2880" w:hanging="360"/>
      </w:pPr>
      <w:rPr>
        <w:rFonts w:ascii="Symbol" w:hAnsi="Symbol" w:hint="default"/>
      </w:rPr>
    </w:lvl>
    <w:lvl w:ilvl="4" w:tplc="D0B2B9DC">
      <w:start w:val="1"/>
      <w:numFmt w:val="bullet"/>
      <w:lvlText w:val="o"/>
      <w:lvlJc w:val="left"/>
      <w:pPr>
        <w:ind w:left="3600" w:hanging="360"/>
      </w:pPr>
      <w:rPr>
        <w:rFonts w:ascii="Courier New" w:hAnsi="Courier New" w:cs="Courier New" w:hint="default"/>
      </w:rPr>
    </w:lvl>
    <w:lvl w:ilvl="5" w:tplc="C3D0ABF8">
      <w:start w:val="1"/>
      <w:numFmt w:val="bullet"/>
      <w:lvlText w:val=""/>
      <w:lvlJc w:val="left"/>
      <w:pPr>
        <w:ind w:left="4320" w:hanging="360"/>
      </w:pPr>
      <w:rPr>
        <w:rFonts w:ascii="Wingdings" w:hAnsi="Wingdings" w:hint="default"/>
      </w:rPr>
    </w:lvl>
    <w:lvl w:ilvl="6" w:tplc="EB968928">
      <w:start w:val="1"/>
      <w:numFmt w:val="bullet"/>
      <w:lvlText w:val=""/>
      <w:lvlJc w:val="left"/>
      <w:pPr>
        <w:ind w:left="5040" w:hanging="360"/>
      </w:pPr>
      <w:rPr>
        <w:rFonts w:ascii="Symbol" w:hAnsi="Symbol" w:hint="default"/>
      </w:rPr>
    </w:lvl>
    <w:lvl w:ilvl="7" w:tplc="40265AEC">
      <w:start w:val="1"/>
      <w:numFmt w:val="bullet"/>
      <w:lvlText w:val="o"/>
      <w:lvlJc w:val="left"/>
      <w:pPr>
        <w:ind w:left="5760" w:hanging="360"/>
      </w:pPr>
      <w:rPr>
        <w:rFonts w:ascii="Courier New" w:hAnsi="Courier New" w:cs="Courier New" w:hint="default"/>
      </w:rPr>
    </w:lvl>
    <w:lvl w:ilvl="8" w:tplc="7646FCD4">
      <w:start w:val="1"/>
      <w:numFmt w:val="bullet"/>
      <w:lvlText w:val=""/>
      <w:lvlJc w:val="left"/>
      <w:pPr>
        <w:ind w:left="6480" w:hanging="360"/>
      </w:pPr>
      <w:rPr>
        <w:rFonts w:ascii="Wingdings" w:hAnsi="Wingdings" w:hint="default"/>
      </w:rPr>
    </w:lvl>
  </w:abstractNum>
  <w:abstractNum w:abstractNumId="19">
    <w:nsid w:val="0F8A4B89"/>
    <w:multiLevelType w:val="multilevel"/>
    <w:tmpl w:val="7176306E"/>
    <w:lvl w:ilvl="0">
      <w:start w:val="1"/>
      <w:numFmt w:val="decimal"/>
      <w:pStyle w:val="OTRTableListNum"/>
      <w:lvlText w:val="%1."/>
      <w:lvlJc w:val="left"/>
      <w:pPr>
        <w:tabs>
          <w:tab w:val="num" w:pos="284"/>
        </w:tabs>
        <w:ind w:left="284" w:hanging="284"/>
      </w:pPr>
      <w:rPr>
        <w:rFonts w:ascii="Times New Roman" w:hAnsi="Times New Roman" w:hint="default"/>
        <w:sz w:val="22"/>
        <w:szCs w:val="22"/>
      </w:rPr>
    </w:lvl>
    <w:lvl w:ilvl="1">
      <w:start w:val="1"/>
      <w:numFmt w:val="decimal"/>
      <w:lvlText w:val="%1.%2."/>
      <w:lvlJc w:val="left"/>
      <w:pPr>
        <w:tabs>
          <w:tab w:val="num" w:pos="567"/>
        </w:tabs>
        <w:ind w:left="709" w:hanging="425"/>
      </w:pPr>
      <w:rPr>
        <w:rFonts w:ascii="Times New Roman" w:hAnsi="Times New Roman" w:hint="default"/>
        <w:sz w:val="24"/>
        <w:szCs w:val="24"/>
      </w:rPr>
    </w:lvl>
    <w:lvl w:ilvl="2">
      <w:start w:val="1"/>
      <w:numFmt w:val="decimal"/>
      <w:lvlText w:val="%2.%1.%3."/>
      <w:lvlJc w:val="left"/>
      <w:pPr>
        <w:tabs>
          <w:tab w:val="num" w:pos="1134"/>
        </w:tabs>
        <w:ind w:left="1276" w:hanging="567"/>
      </w:pPr>
      <w:rPr>
        <w:rFonts w:ascii="Times New Roman" w:hAnsi="Times New Roman" w:hint="default"/>
        <w:sz w:val="24"/>
        <w:szCs w:val="24"/>
      </w:rPr>
    </w:lvl>
    <w:lvl w:ilvl="3">
      <w:start w:val="1"/>
      <w:numFmt w:val="decimal"/>
      <w:lvlText w:val="%1.%2.%3.%4."/>
      <w:lvlJc w:val="left"/>
      <w:pPr>
        <w:tabs>
          <w:tab w:val="num" w:pos="236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44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52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20">
    <w:nsid w:val="106F2C34"/>
    <w:multiLevelType w:val="hybridMultilevel"/>
    <w:tmpl w:val="22207D4E"/>
    <w:lvl w:ilvl="0" w:tplc="B33C9DDA">
      <w:start w:val="1"/>
      <w:numFmt w:val="russianLower"/>
      <w:pStyle w:val="011"/>
      <w:lvlText w:val="%1)"/>
      <w:lvlJc w:val="left"/>
      <w:pPr>
        <w:ind w:left="473" w:hanging="360"/>
      </w:pPr>
      <w:rPr>
        <w:b w:val="0"/>
        <w:bCs w:val="0"/>
        <w:i w:val="0"/>
        <w:iCs w:val="0"/>
        <w:caps w:val="0"/>
        <w:smallCaps w:val="0"/>
        <w:strike w:val="0"/>
        <w:vanish w:val="0"/>
        <w:color w:val="000000"/>
        <w:spacing w:val="0"/>
        <w:position w:val="0"/>
        <w:u w:val="none"/>
        <w:vertAlign w:val="baseline"/>
      </w:rPr>
    </w:lvl>
    <w:lvl w:ilvl="1" w:tplc="55841826">
      <w:start w:val="1"/>
      <w:numFmt w:val="decimal"/>
      <w:lvlText w:val="%2)"/>
      <w:lvlJc w:val="left"/>
      <w:pPr>
        <w:tabs>
          <w:tab w:val="num" w:pos="1247"/>
        </w:tabs>
        <w:ind w:left="680" w:hanging="454"/>
      </w:pPr>
      <w:rPr>
        <w:rFonts w:ascii="Times New Roman" w:hAnsi="Times New Roman" w:hint="default"/>
        <w:b w:val="0"/>
        <w:i w:val="0"/>
        <w:caps w:val="0"/>
        <w:strike w:val="0"/>
        <w:vanish w:val="0"/>
        <w:color w:val="000000"/>
        <w:spacing w:val="0"/>
        <w:position w:val="0"/>
        <w:sz w:val="24"/>
        <w:u w:val="none"/>
        <w:vertAlign w:val="baseline"/>
      </w:rPr>
    </w:lvl>
    <w:lvl w:ilvl="2" w:tplc="BE1CC364">
      <w:start w:val="1"/>
      <w:numFmt w:val="none"/>
      <w:lvlText w:val="-"/>
      <w:lvlJc w:val="left"/>
      <w:pPr>
        <w:tabs>
          <w:tab w:val="num" w:pos="1360"/>
        </w:tabs>
        <w:ind w:left="793" w:hanging="454"/>
      </w:pPr>
      <w:rPr>
        <w:rFonts w:ascii="Times New Roman" w:hAnsi="Times New Roman" w:hint="default"/>
        <w:b w:val="0"/>
        <w:i w:val="0"/>
        <w:caps w:val="0"/>
        <w:strike w:val="0"/>
        <w:vanish w:val="0"/>
        <w:color w:val="auto"/>
        <w:spacing w:val="0"/>
        <w:position w:val="0"/>
        <w:sz w:val="24"/>
        <w:u w:val="none"/>
        <w:vertAlign w:val="baseline"/>
      </w:rPr>
    </w:lvl>
    <w:lvl w:ilvl="3" w:tplc="72EC4C24">
      <w:start w:val="1"/>
      <w:numFmt w:val="none"/>
      <w:lvlText w:val="-"/>
      <w:lvlJc w:val="left"/>
      <w:pPr>
        <w:tabs>
          <w:tab w:val="num" w:pos="1473"/>
        </w:tabs>
        <w:ind w:left="906" w:hanging="454"/>
      </w:pPr>
      <w:rPr>
        <w:rFonts w:ascii="Times New Roman" w:hAnsi="Times New Roman" w:hint="default"/>
        <w:b w:val="0"/>
        <w:i w:val="0"/>
        <w:caps w:val="0"/>
        <w:strike w:val="0"/>
        <w:vanish w:val="0"/>
        <w:color w:val="auto"/>
        <w:spacing w:val="0"/>
        <w:position w:val="0"/>
        <w:sz w:val="24"/>
        <w:u w:val="none"/>
        <w:vertAlign w:val="baseline"/>
      </w:rPr>
    </w:lvl>
    <w:lvl w:ilvl="4" w:tplc="7946E024">
      <w:start w:val="1"/>
      <w:numFmt w:val="none"/>
      <w:lvlText w:val="-"/>
      <w:lvlJc w:val="left"/>
      <w:pPr>
        <w:tabs>
          <w:tab w:val="num" w:pos="1586"/>
        </w:tabs>
        <w:ind w:left="1019" w:hanging="454"/>
      </w:pPr>
      <w:rPr>
        <w:rFonts w:ascii="Times New Roman" w:hAnsi="Times New Roman" w:hint="default"/>
        <w:b w:val="0"/>
        <w:i w:val="0"/>
        <w:caps w:val="0"/>
        <w:strike w:val="0"/>
        <w:vanish w:val="0"/>
        <w:color w:val="auto"/>
        <w:sz w:val="24"/>
        <w:u w:val="none"/>
        <w:vertAlign w:val="baseline"/>
      </w:rPr>
    </w:lvl>
    <w:lvl w:ilvl="5" w:tplc="602CE444">
      <w:start w:val="1"/>
      <w:numFmt w:val="none"/>
      <w:lvlText w:val="-"/>
      <w:lvlJc w:val="left"/>
      <w:pPr>
        <w:tabs>
          <w:tab w:val="num" w:pos="1699"/>
        </w:tabs>
        <w:ind w:left="1132" w:hanging="454"/>
      </w:pPr>
      <w:rPr>
        <w:rFonts w:ascii="Times New Roman" w:hAnsi="Times New Roman" w:hint="default"/>
        <w:b w:val="0"/>
        <w:i w:val="0"/>
        <w:caps w:val="0"/>
        <w:strike w:val="0"/>
        <w:vanish w:val="0"/>
        <w:color w:val="auto"/>
        <w:spacing w:val="0"/>
        <w:position w:val="0"/>
        <w:sz w:val="24"/>
        <w:vertAlign w:val="baseline"/>
      </w:rPr>
    </w:lvl>
    <w:lvl w:ilvl="6" w:tplc="8D825B78">
      <w:start w:val="1"/>
      <w:numFmt w:val="none"/>
      <w:lvlText w:val="-"/>
      <w:lvlJc w:val="left"/>
      <w:pPr>
        <w:tabs>
          <w:tab w:val="num" w:pos="1812"/>
        </w:tabs>
        <w:ind w:left="1245" w:hanging="454"/>
      </w:pPr>
      <w:rPr>
        <w:rFonts w:hint="default"/>
      </w:rPr>
    </w:lvl>
    <w:lvl w:ilvl="7" w:tplc="7E96DEA4">
      <w:start w:val="1"/>
      <w:numFmt w:val="none"/>
      <w:lvlText w:val="-"/>
      <w:lvlJc w:val="left"/>
      <w:pPr>
        <w:tabs>
          <w:tab w:val="num" w:pos="1925"/>
        </w:tabs>
        <w:ind w:left="1358" w:hanging="454"/>
      </w:pPr>
      <w:rPr>
        <w:rFonts w:hint="default"/>
      </w:rPr>
    </w:lvl>
    <w:lvl w:ilvl="8" w:tplc="E786C490">
      <w:start w:val="1"/>
      <w:numFmt w:val="none"/>
      <w:lvlText w:val="-"/>
      <w:lvlJc w:val="left"/>
      <w:pPr>
        <w:tabs>
          <w:tab w:val="num" w:pos="2038"/>
        </w:tabs>
        <w:ind w:left="1471" w:hanging="454"/>
      </w:pPr>
      <w:rPr>
        <w:rFonts w:hint="default"/>
      </w:rPr>
    </w:lvl>
  </w:abstractNum>
  <w:abstractNum w:abstractNumId="21">
    <w:nsid w:val="129640B7"/>
    <w:multiLevelType w:val="hybridMultilevel"/>
    <w:tmpl w:val="C0FC29DA"/>
    <w:lvl w:ilvl="0" w:tplc="A412B280">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22">
    <w:nsid w:val="13F6016A"/>
    <w:multiLevelType w:val="hybridMultilevel"/>
    <w:tmpl w:val="E94A800E"/>
    <w:lvl w:ilvl="0" w:tplc="FCD66618">
      <w:start w:val="1"/>
      <w:numFmt w:val="bullet"/>
      <w:lvlText w:val=""/>
      <w:lvlJc w:val="left"/>
      <w:pPr>
        <w:ind w:left="720" w:hanging="360"/>
      </w:pPr>
      <w:rPr>
        <w:rFonts w:ascii="Symbol" w:hAnsi="Symbol" w:hint="default"/>
      </w:rPr>
    </w:lvl>
    <w:lvl w:ilvl="1" w:tplc="2FD8CCFE">
      <w:start w:val="1"/>
      <w:numFmt w:val="bullet"/>
      <w:lvlText w:val="o"/>
      <w:lvlJc w:val="left"/>
      <w:pPr>
        <w:ind w:left="1440" w:hanging="360"/>
      </w:pPr>
      <w:rPr>
        <w:rFonts w:ascii="Courier New" w:hAnsi="Courier New" w:cs="Courier New" w:hint="default"/>
      </w:rPr>
    </w:lvl>
    <w:lvl w:ilvl="2" w:tplc="B832EF32">
      <w:start w:val="1"/>
      <w:numFmt w:val="bullet"/>
      <w:lvlText w:val=""/>
      <w:lvlJc w:val="left"/>
      <w:pPr>
        <w:ind w:left="2160" w:hanging="360"/>
      </w:pPr>
      <w:rPr>
        <w:rFonts w:ascii="Wingdings" w:hAnsi="Wingdings" w:hint="default"/>
      </w:rPr>
    </w:lvl>
    <w:lvl w:ilvl="3" w:tplc="00620AE0">
      <w:start w:val="1"/>
      <w:numFmt w:val="bullet"/>
      <w:lvlText w:val=""/>
      <w:lvlJc w:val="left"/>
      <w:pPr>
        <w:ind w:left="2880" w:hanging="360"/>
      </w:pPr>
      <w:rPr>
        <w:rFonts w:ascii="Symbol" w:hAnsi="Symbol" w:hint="default"/>
      </w:rPr>
    </w:lvl>
    <w:lvl w:ilvl="4" w:tplc="9CFE25A4">
      <w:start w:val="1"/>
      <w:numFmt w:val="bullet"/>
      <w:lvlText w:val="o"/>
      <w:lvlJc w:val="left"/>
      <w:pPr>
        <w:ind w:left="3600" w:hanging="360"/>
      </w:pPr>
      <w:rPr>
        <w:rFonts w:ascii="Courier New" w:hAnsi="Courier New" w:cs="Courier New" w:hint="default"/>
      </w:rPr>
    </w:lvl>
    <w:lvl w:ilvl="5" w:tplc="5B7C088A">
      <w:start w:val="1"/>
      <w:numFmt w:val="bullet"/>
      <w:lvlText w:val=""/>
      <w:lvlJc w:val="left"/>
      <w:pPr>
        <w:ind w:left="4320" w:hanging="360"/>
      </w:pPr>
      <w:rPr>
        <w:rFonts w:ascii="Wingdings" w:hAnsi="Wingdings" w:hint="default"/>
      </w:rPr>
    </w:lvl>
    <w:lvl w:ilvl="6" w:tplc="D50CB642">
      <w:start w:val="1"/>
      <w:numFmt w:val="bullet"/>
      <w:lvlText w:val=""/>
      <w:lvlJc w:val="left"/>
      <w:pPr>
        <w:ind w:left="5040" w:hanging="360"/>
      </w:pPr>
      <w:rPr>
        <w:rFonts w:ascii="Symbol" w:hAnsi="Symbol" w:hint="default"/>
      </w:rPr>
    </w:lvl>
    <w:lvl w:ilvl="7" w:tplc="B118755A">
      <w:start w:val="1"/>
      <w:numFmt w:val="bullet"/>
      <w:lvlText w:val="o"/>
      <w:lvlJc w:val="left"/>
      <w:pPr>
        <w:ind w:left="5760" w:hanging="360"/>
      </w:pPr>
      <w:rPr>
        <w:rFonts w:ascii="Courier New" w:hAnsi="Courier New" w:cs="Courier New" w:hint="default"/>
      </w:rPr>
    </w:lvl>
    <w:lvl w:ilvl="8" w:tplc="A198E2C4">
      <w:start w:val="1"/>
      <w:numFmt w:val="bullet"/>
      <w:lvlText w:val=""/>
      <w:lvlJc w:val="left"/>
      <w:pPr>
        <w:ind w:left="6480" w:hanging="360"/>
      </w:pPr>
      <w:rPr>
        <w:rFonts w:ascii="Wingdings" w:hAnsi="Wingdings" w:hint="default"/>
      </w:rPr>
    </w:lvl>
  </w:abstractNum>
  <w:abstractNum w:abstractNumId="23">
    <w:nsid w:val="143C0447"/>
    <w:multiLevelType w:val="hybridMultilevel"/>
    <w:tmpl w:val="7AF0ED9A"/>
    <w:lvl w:ilvl="0" w:tplc="A412B28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14DF6C9F"/>
    <w:multiLevelType w:val="hybridMultilevel"/>
    <w:tmpl w:val="BDAAD6CE"/>
    <w:styleLink w:val="2"/>
    <w:lvl w:ilvl="0" w:tplc="4BC2DDD4">
      <w:start w:val="5"/>
      <w:numFmt w:val="decimal"/>
      <w:pStyle w:val="2"/>
      <w:lvlText w:val="Стр. %1"/>
      <w:lvlJc w:val="left"/>
      <w:pPr>
        <w:ind w:left="360" w:hanging="360"/>
      </w:pPr>
      <w:rPr>
        <w:rFonts w:hint="default"/>
      </w:rPr>
    </w:lvl>
    <w:lvl w:ilvl="1" w:tplc="CCB6E8E6">
      <w:start w:val="1"/>
      <w:numFmt w:val="lowerLetter"/>
      <w:lvlText w:val="%2)"/>
      <w:lvlJc w:val="left"/>
      <w:pPr>
        <w:ind w:left="720" w:hanging="360"/>
      </w:pPr>
      <w:rPr>
        <w:rFonts w:hint="default"/>
      </w:rPr>
    </w:lvl>
    <w:lvl w:ilvl="2" w:tplc="720A431C">
      <w:start w:val="1"/>
      <w:numFmt w:val="lowerRoman"/>
      <w:lvlText w:val="%3)"/>
      <w:lvlJc w:val="left"/>
      <w:pPr>
        <w:ind w:left="1080" w:hanging="360"/>
      </w:pPr>
      <w:rPr>
        <w:rFonts w:hint="default"/>
      </w:rPr>
    </w:lvl>
    <w:lvl w:ilvl="3" w:tplc="021C397C">
      <w:start w:val="1"/>
      <w:numFmt w:val="decimal"/>
      <w:lvlText w:val="(%4)"/>
      <w:lvlJc w:val="left"/>
      <w:pPr>
        <w:ind w:left="1440" w:hanging="360"/>
      </w:pPr>
      <w:rPr>
        <w:rFonts w:hint="default"/>
      </w:rPr>
    </w:lvl>
    <w:lvl w:ilvl="4" w:tplc="99224C74">
      <w:start w:val="1"/>
      <w:numFmt w:val="lowerLetter"/>
      <w:lvlText w:val="(%5)"/>
      <w:lvlJc w:val="left"/>
      <w:pPr>
        <w:ind w:left="1800" w:hanging="360"/>
      </w:pPr>
      <w:rPr>
        <w:rFonts w:hint="default"/>
      </w:rPr>
    </w:lvl>
    <w:lvl w:ilvl="5" w:tplc="55D2CC3A">
      <w:start w:val="1"/>
      <w:numFmt w:val="lowerRoman"/>
      <w:lvlText w:val="(%6)"/>
      <w:lvlJc w:val="left"/>
      <w:pPr>
        <w:ind w:left="2160" w:hanging="360"/>
      </w:pPr>
      <w:rPr>
        <w:rFonts w:hint="default"/>
      </w:rPr>
    </w:lvl>
    <w:lvl w:ilvl="6" w:tplc="5310FBB0">
      <w:start w:val="1"/>
      <w:numFmt w:val="decimal"/>
      <w:lvlText w:val="%7."/>
      <w:lvlJc w:val="left"/>
      <w:pPr>
        <w:ind w:left="2520" w:hanging="360"/>
      </w:pPr>
      <w:rPr>
        <w:rFonts w:hint="default"/>
      </w:rPr>
    </w:lvl>
    <w:lvl w:ilvl="7" w:tplc="1FC2C630">
      <w:start w:val="1"/>
      <w:numFmt w:val="lowerLetter"/>
      <w:lvlText w:val="%8."/>
      <w:lvlJc w:val="left"/>
      <w:pPr>
        <w:ind w:left="2880" w:hanging="360"/>
      </w:pPr>
      <w:rPr>
        <w:rFonts w:hint="default"/>
      </w:rPr>
    </w:lvl>
    <w:lvl w:ilvl="8" w:tplc="D50E3C60">
      <w:start w:val="1"/>
      <w:numFmt w:val="lowerRoman"/>
      <w:lvlText w:val="%9."/>
      <w:lvlJc w:val="left"/>
      <w:pPr>
        <w:ind w:left="3240" w:hanging="360"/>
      </w:pPr>
      <w:rPr>
        <w:rFonts w:hint="default"/>
      </w:rPr>
    </w:lvl>
  </w:abstractNum>
  <w:abstractNum w:abstractNumId="25">
    <w:nsid w:val="172D5C1B"/>
    <w:multiLevelType w:val="hybridMultilevel"/>
    <w:tmpl w:val="5F909F70"/>
    <w:lvl w:ilvl="0" w:tplc="A412B280">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26">
    <w:nsid w:val="17E5513A"/>
    <w:multiLevelType w:val="hybridMultilevel"/>
    <w:tmpl w:val="BA2A8494"/>
    <w:lvl w:ilvl="0" w:tplc="A412B280">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27">
    <w:nsid w:val="17FC5B9A"/>
    <w:multiLevelType w:val="hybridMultilevel"/>
    <w:tmpl w:val="C928B36E"/>
    <w:lvl w:ilvl="0" w:tplc="20081E74">
      <w:start w:val="1"/>
      <w:numFmt w:val="bullet"/>
      <w:lvlText w:val="−"/>
      <w:lvlJc w:val="left"/>
      <w:pPr>
        <w:ind w:left="777" w:hanging="360"/>
      </w:pPr>
      <w:rPr>
        <w:rFonts w:ascii="Times New Roman" w:hAnsi="Times New Roman" w:cs="Times New Roman" w:hint="default"/>
      </w:rPr>
    </w:lvl>
    <w:lvl w:ilvl="1" w:tplc="9BF0CFBA">
      <w:start w:val="1"/>
      <w:numFmt w:val="bullet"/>
      <w:lvlText w:val="o"/>
      <w:lvlJc w:val="left"/>
      <w:pPr>
        <w:ind w:left="1497" w:hanging="360"/>
      </w:pPr>
      <w:rPr>
        <w:rFonts w:ascii="Courier New" w:hAnsi="Courier New" w:cs="Courier New" w:hint="default"/>
      </w:rPr>
    </w:lvl>
    <w:lvl w:ilvl="2" w:tplc="8A14B824">
      <w:start w:val="1"/>
      <w:numFmt w:val="bullet"/>
      <w:lvlText w:val=""/>
      <w:lvlJc w:val="left"/>
      <w:pPr>
        <w:ind w:left="2217" w:hanging="360"/>
      </w:pPr>
      <w:rPr>
        <w:rFonts w:ascii="Wingdings" w:hAnsi="Wingdings" w:hint="default"/>
      </w:rPr>
    </w:lvl>
    <w:lvl w:ilvl="3" w:tplc="AEDEF330">
      <w:start w:val="1"/>
      <w:numFmt w:val="bullet"/>
      <w:lvlText w:val=""/>
      <w:lvlJc w:val="left"/>
      <w:pPr>
        <w:ind w:left="2937" w:hanging="360"/>
      </w:pPr>
      <w:rPr>
        <w:rFonts w:ascii="Symbol" w:hAnsi="Symbol" w:hint="default"/>
      </w:rPr>
    </w:lvl>
    <w:lvl w:ilvl="4" w:tplc="2C46094E">
      <w:start w:val="1"/>
      <w:numFmt w:val="bullet"/>
      <w:lvlText w:val="o"/>
      <w:lvlJc w:val="left"/>
      <w:pPr>
        <w:ind w:left="3657" w:hanging="360"/>
      </w:pPr>
      <w:rPr>
        <w:rFonts w:ascii="Courier New" w:hAnsi="Courier New" w:cs="Courier New" w:hint="default"/>
      </w:rPr>
    </w:lvl>
    <w:lvl w:ilvl="5" w:tplc="426EE07C">
      <w:start w:val="1"/>
      <w:numFmt w:val="bullet"/>
      <w:lvlText w:val=""/>
      <w:lvlJc w:val="left"/>
      <w:pPr>
        <w:ind w:left="4377" w:hanging="360"/>
      </w:pPr>
      <w:rPr>
        <w:rFonts w:ascii="Wingdings" w:hAnsi="Wingdings" w:hint="default"/>
      </w:rPr>
    </w:lvl>
    <w:lvl w:ilvl="6" w:tplc="9AB6DB80">
      <w:start w:val="1"/>
      <w:numFmt w:val="bullet"/>
      <w:lvlText w:val=""/>
      <w:lvlJc w:val="left"/>
      <w:pPr>
        <w:ind w:left="5097" w:hanging="360"/>
      </w:pPr>
      <w:rPr>
        <w:rFonts w:ascii="Symbol" w:hAnsi="Symbol" w:hint="default"/>
      </w:rPr>
    </w:lvl>
    <w:lvl w:ilvl="7" w:tplc="5896D80C">
      <w:start w:val="1"/>
      <w:numFmt w:val="bullet"/>
      <w:lvlText w:val="o"/>
      <w:lvlJc w:val="left"/>
      <w:pPr>
        <w:ind w:left="5817" w:hanging="360"/>
      </w:pPr>
      <w:rPr>
        <w:rFonts w:ascii="Courier New" w:hAnsi="Courier New" w:cs="Courier New" w:hint="default"/>
      </w:rPr>
    </w:lvl>
    <w:lvl w:ilvl="8" w:tplc="EA1CD61A">
      <w:start w:val="1"/>
      <w:numFmt w:val="bullet"/>
      <w:lvlText w:val=""/>
      <w:lvlJc w:val="left"/>
      <w:pPr>
        <w:ind w:left="6537" w:hanging="360"/>
      </w:pPr>
      <w:rPr>
        <w:rFonts w:ascii="Wingdings" w:hAnsi="Wingdings" w:hint="default"/>
      </w:rPr>
    </w:lvl>
  </w:abstractNum>
  <w:abstractNum w:abstractNumId="28">
    <w:nsid w:val="186F20D7"/>
    <w:multiLevelType w:val="hybridMultilevel"/>
    <w:tmpl w:val="19EE0CB8"/>
    <w:lvl w:ilvl="0" w:tplc="2A0096B4">
      <w:start w:val="1"/>
      <w:numFmt w:val="bullet"/>
      <w:pStyle w:val="ASFKListmark2"/>
      <w:lvlText w:val="–"/>
      <w:lvlJc w:val="left"/>
      <w:pPr>
        <w:tabs>
          <w:tab w:val="num" w:pos="1134"/>
        </w:tabs>
        <w:ind w:left="1134" w:hanging="283"/>
      </w:pPr>
      <w:rPr>
        <w:rFonts w:ascii="Times New Roman" w:hAnsi="Times New Roman" w:hint="default"/>
      </w:rPr>
    </w:lvl>
    <w:lvl w:ilvl="1" w:tplc="26BC632A">
      <w:start w:val="1"/>
      <w:numFmt w:val="bullet"/>
      <w:lvlText w:val="o"/>
      <w:lvlJc w:val="left"/>
      <w:pPr>
        <w:tabs>
          <w:tab w:val="num" w:pos="1440"/>
        </w:tabs>
        <w:ind w:left="1440" w:hanging="360"/>
      </w:pPr>
      <w:rPr>
        <w:rFonts w:ascii="Courier New" w:hAnsi="Courier New" w:hint="default"/>
      </w:rPr>
    </w:lvl>
    <w:lvl w:ilvl="2" w:tplc="BB727AA8">
      <w:start w:val="1"/>
      <w:numFmt w:val="bullet"/>
      <w:lvlText w:val=""/>
      <w:lvlJc w:val="left"/>
      <w:pPr>
        <w:tabs>
          <w:tab w:val="num" w:pos="2160"/>
        </w:tabs>
        <w:ind w:left="2160" w:hanging="360"/>
      </w:pPr>
      <w:rPr>
        <w:rFonts w:ascii="Wingdings" w:hAnsi="Wingdings" w:hint="default"/>
      </w:rPr>
    </w:lvl>
    <w:lvl w:ilvl="3" w:tplc="FBF223A0">
      <w:start w:val="1"/>
      <w:numFmt w:val="bullet"/>
      <w:lvlText w:val=""/>
      <w:lvlJc w:val="left"/>
      <w:pPr>
        <w:tabs>
          <w:tab w:val="num" w:pos="2880"/>
        </w:tabs>
        <w:ind w:left="2880" w:hanging="360"/>
      </w:pPr>
      <w:rPr>
        <w:rFonts w:ascii="Symbol" w:hAnsi="Symbol" w:hint="default"/>
      </w:rPr>
    </w:lvl>
    <w:lvl w:ilvl="4" w:tplc="386611F8">
      <w:start w:val="1"/>
      <w:numFmt w:val="bullet"/>
      <w:lvlText w:val="o"/>
      <w:lvlJc w:val="left"/>
      <w:pPr>
        <w:tabs>
          <w:tab w:val="num" w:pos="3600"/>
        </w:tabs>
        <w:ind w:left="3600" w:hanging="360"/>
      </w:pPr>
      <w:rPr>
        <w:rFonts w:ascii="Courier New" w:hAnsi="Courier New" w:hint="default"/>
      </w:rPr>
    </w:lvl>
    <w:lvl w:ilvl="5" w:tplc="AF98FD58">
      <w:start w:val="1"/>
      <w:numFmt w:val="bullet"/>
      <w:lvlText w:val=""/>
      <w:lvlJc w:val="left"/>
      <w:pPr>
        <w:tabs>
          <w:tab w:val="num" w:pos="4320"/>
        </w:tabs>
        <w:ind w:left="4320" w:hanging="360"/>
      </w:pPr>
      <w:rPr>
        <w:rFonts w:ascii="Wingdings" w:hAnsi="Wingdings" w:hint="default"/>
      </w:rPr>
    </w:lvl>
    <w:lvl w:ilvl="6" w:tplc="CA08279C">
      <w:start w:val="1"/>
      <w:numFmt w:val="bullet"/>
      <w:lvlText w:val=""/>
      <w:lvlJc w:val="left"/>
      <w:pPr>
        <w:tabs>
          <w:tab w:val="num" w:pos="5040"/>
        </w:tabs>
        <w:ind w:left="5040" w:hanging="360"/>
      </w:pPr>
      <w:rPr>
        <w:rFonts w:ascii="Symbol" w:hAnsi="Symbol" w:hint="default"/>
      </w:rPr>
    </w:lvl>
    <w:lvl w:ilvl="7" w:tplc="02327CEE">
      <w:start w:val="1"/>
      <w:numFmt w:val="bullet"/>
      <w:lvlText w:val="o"/>
      <w:lvlJc w:val="left"/>
      <w:pPr>
        <w:tabs>
          <w:tab w:val="num" w:pos="5760"/>
        </w:tabs>
        <w:ind w:left="5760" w:hanging="360"/>
      </w:pPr>
      <w:rPr>
        <w:rFonts w:ascii="Courier New" w:hAnsi="Courier New" w:hint="default"/>
      </w:rPr>
    </w:lvl>
    <w:lvl w:ilvl="8" w:tplc="1AA232B6">
      <w:start w:val="1"/>
      <w:numFmt w:val="bullet"/>
      <w:lvlText w:val=""/>
      <w:lvlJc w:val="left"/>
      <w:pPr>
        <w:tabs>
          <w:tab w:val="num" w:pos="6480"/>
        </w:tabs>
        <w:ind w:left="6480" w:hanging="360"/>
      </w:pPr>
      <w:rPr>
        <w:rFonts w:ascii="Wingdings" w:hAnsi="Wingdings" w:hint="default"/>
      </w:rPr>
    </w:lvl>
  </w:abstractNum>
  <w:abstractNum w:abstractNumId="29">
    <w:nsid w:val="19C30713"/>
    <w:multiLevelType w:val="hybridMultilevel"/>
    <w:tmpl w:val="2C46BD42"/>
    <w:lvl w:ilvl="0" w:tplc="11787D6E">
      <w:start w:val="1"/>
      <w:numFmt w:val="bullet"/>
      <w:lvlText w:val="−"/>
      <w:lvlJc w:val="left"/>
      <w:pPr>
        <w:ind w:left="777" w:hanging="360"/>
      </w:pPr>
      <w:rPr>
        <w:rFonts w:ascii="Times New Roman" w:hAnsi="Times New Roman" w:cs="Times New Roman" w:hint="default"/>
      </w:rPr>
    </w:lvl>
    <w:lvl w:ilvl="1" w:tplc="44107644">
      <w:start w:val="1"/>
      <w:numFmt w:val="bullet"/>
      <w:lvlText w:val="o"/>
      <w:lvlJc w:val="left"/>
      <w:pPr>
        <w:ind w:left="1497" w:hanging="360"/>
      </w:pPr>
      <w:rPr>
        <w:rFonts w:ascii="Courier New" w:hAnsi="Courier New" w:cs="Courier New" w:hint="default"/>
      </w:rPr>
    </w:lvl>
    <w:lvl w:ilvl="2" w:tplc="7C8C8F42">
      <w:start w:val="1"/>
      <w:numFmt w:val="bullet"/>
      <w:lvlText w:val=""/>
      <w:lvlJc w:val="left"/>
      <w:pPr>
        <w:ind w:left="2217" w:hanging="360"/>
      </w:pPr>
      <w:rPr>
        <w:rFonts w:ascii="Wingdings" w:hAnsi="Wingdings" w:hint="default"/>
      </w:rPr>
    </w:lvl>
    <w:lvl w:ilvl="3" w:tplc="82D46B26">
      <w:start w:val="1"/>
      <w:numFmt w:val="bullet"/>
      <w:lvlText w:val=""/>
      <w:lvlJc w:val="left"/>
      <w:pPr>
        <w:ind w:left="2937" w:hanging="360"/>
      </w:pPr>
      <w:rPr>
        <w:rFonts w:ascii="Symbol" w:hAnsi="Symbol" w:hint="default"/>
      </w:rPr>
    </w:lvl>
    <w:lvl w:ilvl="4" w:tplc="FC4A5026">
      <w:start w:val="1"/>
      <w:numFmt w:val="bullet"/>
      <w:lvlText w:val="o"/>
      <w:lvlJc w:val="left"/>
      <w:pPr>
        <w:ind w:left="3657" w:hanging="360"/>
      </w:pPr>
      <w:rPr>
        <w:rFonts w:ascii="Courier New" w:hAnsi="Courier New" w:cs="Courier New" w:hint="default"/>
      </w:rPr>
    </w:lvl>
    <w:lvl w:ilvl="5" w:tplc="1AE67396">
      <w:start w:val="1"/>
      <w:numFmt w:val="bullet"/>
      <w:lvlText w:val=""/>
      <w:lvlJc w:val="left"/>
      <w:pPr>
        <w:ind w:left="4377" w:hanging="360"/>
      </w:pPr>
      <w:rPr>
        <w:rFonts w:ascii="Wingdings" w:hAnsi="Wingdings" w:hint="default"/>
      </w:rPr>
    </w:lvl>
    <w:lvl w:ilvl="6" w:tplc="C3AC2C7A">
      <w:start w:val="1"/>
      <w:numFmt w:val="bullet"/>
      <w:lvlText w:val=""/>
      <w:lvlJc w:val="left"/>
      <w:pPr>
        <w:ind w:left="5097" w:hanging="360"/>
      </w:pPr>
      <w:rPr>
        <w:rFonts w:ascii="Symbol" w:hAnsi="Symbol" w:hint="default"/>
      </w:rPr>
    </w:lvl>
    <w:lvl w:ilvl="7" w:tplc="AA0AEE04">
      <w:start w:val="1"/>
      <w:numFmt w:val="bullet"/>
      <w:lvlText w:val="o"/>
      <w:lvlJc w:val="left"/>
      <w:pPr>
        <w:ind w:left="5817" w:hanging="360"/>
      </w:pPr>
      <w:rPr>
        <w:rFonts w:ascii="Courier New" w:hAnsi="Courier New" w:cs="Courier New" w:hint="default"/>
      </w:rPr>
    </w:lvl>
    <w:lvl w:ilvl="8" w:tplc="B96E5EE4">
      <w:start w:val="1"/>
      <w:numFmt w:val="bullet"/>
      <w:lvlText w:val=""/>
      <w:lvlJc w:val="left"/>
      <w:pPr>
        <w:ind w:left="6537" w:hanging="360"/>
      </w:pPr>
      <w:rPr>
        <w:rFonts w:ascii="Wingdings" w:hAnsi="Wingdings" w:hint="default"/>
      </w:rPr>
    </w:lvl>
  </w:abstractNum>
  <w:abstractNum w:abstractNumId="30">
    <w:nsid w:val="19FD24C1"/>
    <w:multiLevelType w:val="hybridMultilevel"/>
    <w:tmpl w:val="63423B6E"/>
    <w:lvl w:ilvl="0" w:tplc="446EA516">
      <w:start w:val="1"/>
      <w:numFmt w:val="bullet"/>
      <w:lvlText w:val="−"/>
      <w:lvlJc w:val="left"/>
      <w:pPr>
        <w:ind w:left="777" w:hanging="360"/>
      </w:pPr>
      <w:rPr>
        <w:rFonts w:ascii="Times New Roman" w:hAnsi="Times New Roman" w:cs="Times New Roman" w:hint="default"/>
      </w:rPr>
    </w:lvl>
    <w:lvl w:ilvl="1" w:tplc="DBC0D9D0">
      <w:start w:val="1"/>
      <w:numFmt w:val="bullet"/>
      <w:lvlText w:val="o"/>
      <w:lvlJc w:val="left"/>
      <w:pPr>
        <w:ind w:left="1497" w:hanging="360"/>
      </w:pPr>
      <w:rPr>
        <w:rFonts w:ascii="Courier New" w:hAnsi="Courier New" w:cs="Courier New" w:hint="default"/>
      </w:rPr>
    </w:lvl>
    <w:lvl w:ilvl="2" w:tplc="7BF6EC44">
      <w:start w:val="1"/>
      <w:numFmt w:val="bullet"/>
      <w:lvlText w:val=""/>
      <w:lvlJc w:val="left"/>
      <w:pPr>
        <w:ind w:left="2217" w:hanging="360"/>
      </w:pPr>
      <w:rPr>
        <w:rFonts w:ascii="Wingdings" w:hAnsi="Wingdings" w:hint="default"/>
      </w:rPr>
    </w:lvl>
    <w:lvl w:ilvl="3" w:tplc="76C27EBE">
      <w:start w:val="1"/>
      <w:numFmt w:val="bullet"/>
      <w:lvlText w:val=""/>
      <w:lvlJc w:val="left"/>
      <w:pPr>
        <w:ind w:left="2937" w:hanging="360"/>
      </w:pPr>
      <w:rPr>
        <w:rFonts w:ascii="Symbol" w:hAnsi="Symbol" w:hint="default"/>
      </w:rPr>
    </w:lvl>
    <w:lvl w:ilvl="4" w:tplc="D1E61AAC">
      <w:start w:val="1"/>
      <w:numFmt w:val="bullet"/>
      <w:lvlText w:val="o"/>
      <w:lvlJc w:val="left"/>
      <w:pPr>
        <w:ind w:left="3657" w:hanging="360"/>
      </w:pPr>
      <w:rPr>
        <w:rFonts w:ascii="Courier New" w:hAnsi="Courier New" w:cs="Courier New" w:hint="default"/>
      </w:rPr>
    </w:lvl>
    <w:lvl w:ilvl="5" w:tplc="7B2490D8">
      <w:start w:val="1"/>
      <w:numFmt w:val="bullet"/>
      <w:lvlText w:val=""/>
      <w:lvlJc w:val="left"/>
      <w:pPr>
        <w:ind w:left="4377" w:hanging="360"/>
      </w:pPr>
      <w:rPr>
        <w:rFonts w:ascii="Wingdings" w:hAnsi="Wingdings" w:hint="default"/>
      </w:rPr>
    </w:lvl>
    <w:lvl w:ilvl="6" w:tplc="1C180CF0">
      <w:start w:val="1"/>
      <w:numFmt w:val="bullet"/>
      <w:lvlText w:val=""/>
      <w:lvlJc w:val="left"/>
      <w:pPr>
        <w:ind w:left="5097" w:hanging="360"/>
      </w:pPr>
      <w:rPr>
        <w:rFonts w:ascii="Symbol" w:hAnsi="Symbol" w:hint="default"/>
      </w:rPr>
    </w:lvl>
    <w:lvl w:ilvl="7" w:tplc="BD9214CE">
      <w:start w:val="1"/>
      <w:numFmt w:val="bullet"/>
      <w:lvlText w:val="o"/>
      <w:lvlJc w:val="left"/>
      <w:pPr>
        <w:ind w:left="5817" w:hanging="360"/>
      </w:pPr>
      <w:rPr>
        <w:rFonts w:ascii="Courier New" w:hAnsi="Courier New" w:cs="Courier New" w:hint="default"/>
      </w:rPr>
    </w:lvl>
    <w:lvl w:ilvl="8" w:tplc="6A0480EA">
      <w:start w:val="1"/>
      <w:numFmt w:val="bullet"/>
      <w:lvlText w:val=""/>
      <w:lvlJc w:val="left"/>
      <w:pPr>
        <w:ind w:left="6537" w:hanging="360"/>
      </w:pPr>
      <w:rPr>
        <w:rFonts w:ascii="Wingdings" w:hAnsi="Wingdings" w:hint="default"/>
      </w:rPr>
    </w:lvl>
  </w:abstractNum>
  <w:abstractNum w:abstractNumId="31">
    <w:nsid w:val="1B636AB7"/>
    <w:multiLevelType w:val="hybridMultilevel"/>
    <w:tmpl w:val="7338C89E"/>
    <w:lvl w:ilvl="0" w:tplc="E12626B4">
      <w:start w:val="1"/>
      <w:numFmt w:val="bullet"/>
      <w:lvlText w:val=""/>
      <w:lvlJc w:val="left"/>
      <w:pPr>
        <w:tabs>
          <w:tab w:val="num" w:pos="340"/>
        </w:tabs>
        <w:ind w:left="340" w:hanging="227"/>
      </w:pPr>
      <w:rPr>
        <w:rFonts w:ascii="Symbol" w:hAnsi="Symbol" w:hint="default"/>
      </w:rPr>
    </w:lvl>
    <w:lvl w:ilvl="1" w:tplc="35988480">
      <w:start w:val="1"/>
      <w:numFmt w:val="lowerLetter"/>
      <w:lvlText w:val="%2."/>
      <w:lvlJc w:val="left"/>
      <w:pPr>
        <w:tabs>
          <w:tab w:val="num" w:pos="1440"/>
        </w:tabs>
        <w:ind w:left="1440" w:hanging="360"/>
      </w:pPr>
    </w:lvl>
    <w:lvl w:ilvl="2" w:tplc="C4E62970">
      <w:start w:val="1"/>
      <w:numFmt w:val="lowerRoman"/>
      <w:lvlText w:val="%3."/>
      <w:lvlJc w:val="right"/>
      <w:pPr>
        <w:tabs>
          <w:tab w:val="num" w:pos="2160"/>
        </w:tabs>
        <w:ind w:left="2160" w:hanging="180"/>
      </w:pPr>
    </w:lvl>
    <w:lvl w:ilvl="3" w:tplc="1D6654A2">
      <w:start w:val="1"/>
      <w:numFmt w:val="decimal"/>
      <w:lvlText w:val="%4."/>
      <w:lvlJc w:val="left"/>
      <w:pPr>
        <w:tabs>
          <w:tab w:val="num" w:pos="2880"/>
        </w:tabs>
        <w:ind w:left="2880" w:hanging="360"/>
      </w:pPr>
    </w:lvl>
    <w:lvl w:ilvl="4" w:tplc="330CB6EE">
      <w:start w:val="1"/>
      <w:numFmt w:val="lowerLetter"/>
      <w:lvlText w:val="%5."/>
      <w:lvlJc w:val="left"/>
      <w:pPr>
        <w:tabs>
          <w:tab w:val="num" w:pos="3600"/>
        </w:tabs>
        <w:ind w:left="3600" w:hanging="360"/>
      </w:pPr>
    </w:lvl>
    <w:lvl w:ilvl="5" w:tplc="723E51A2">
      <w:start w:val="1"/>
      <w:numFmt w:val="lowerRoman"/>
      <w:lvlText w:val="%6."/>
      <w:lvlJc w:val="right"/>
      <w:pPr>
        <w:tabs>
          <w:tab w:val="num" w:pos="4320"/>
        </w:tabs>
        <w:ind w:left="4320" w:hanging="180"/>
      </w:pPr>
    </w:lvl>
    <w:lvl w:ilvl="6" w:tplc="488A3B2C">
      <w:start w:val="1"/>
      <w:numFmt w:val="decimal"/>
      <w:lvlText w:val="%7."/>
      <w:lvlJc w:val="left"/>
      <w:pPr>
        <w:tabs>
          <w:tab w:val="num" w:pos="5040"/>
        </w:tabs>
        <w:ind w:left="5040" w:hanging="360"/>
      </w:pPr>
    </w:lvl>
    <w:lvl w:ilvl="7" w:tplc="5E323754">
      <w:start w:val="1"/>
      <w:numFmt w:val="lowerLetter"/>
      <w:lvlText w:val="%8."/>
      <w:lvlJc w:val="left"/>
      <w:pPr>
        <w:tabs>
          <w:tab w:val="num" w:pos="5760"/>
        </w:tabs>
        <w:ind w:left="5760" w:hanging="360"/>
      </w:pPr>
    </w:lvl>
    <w:lvl w:ilvl="8" w:tplc="146CDF54">
      <w:start w:val="1"/>
      <w:numFmt w:val="lowerRoman"/>
      <w:lvlText w:val="%9."/>
      <w:lvlJc w:val="right"/>
      <w:pPr>
        <w:tabs>
          <w:tab w:val="num" w:pos="6480"/>
        </w:tabs>
        <w:ind w:left="6480" w:hanging="180"/>
      </w:pPr>
    </w:lvl>
  </w:abstractNum>
  <w:abstractNum w:abstractNumId="32">
    <w:nsid w:val="1BBA64EB"/>
    <w:multiLevelType w:val="hybridMultilevel"/>
    <w:tmpl w:val="A23A12A2"/>
    <w:lvl w:ilvl="0" w:tplc="10BC70E4">
      <w:start w:val="1"/>
      <w:numFmt w:val="bullet"/>
      <w:lvlText w:val="−"/>
      <w:lvlJc w:val="left"/>
      <w:pPr>
        <w:ind w:left="777" w:hanging="360"/>
      </w:pPr>
      <w:rPr>
        <w:rFonts w:ascii="Times New Roman" w:hAnsi="Times New Roman" w:cs="Times New Roman" w:hint="default"/>
      </w:rPr>
    </w:lvl>
    <w:lvl w:ilvl="1" w:tplc="4B4C33DE">
      <w:start w:val="1"/>
      <w:numFmt w:val="bullet"/>
      <w:lvlText w:val="o"/>
      <w:lvlJc w:val="left"/>
      <w:pPr>
        <w:ind w:left="1497" w:hanging="360"/>
      </w:pPr>
      <w:rPr>
        <w:rFonts w:ascii="Courier New" w:hAnsi="Courier New" w:cs="Courier New" w:hint="default"/>
      </w:rPr>
    </w:lvl>
    <w:lvl w:ilvl="2" w:tplc="46E2D064">
      <w:start w:val="1"/>
      <w:numFmt w:val="bullet"/>
      <w:lvlText w:val=""/>
      <w:lvlJc w:val="left"/>
      <w:pPr>
        <w:ind w:left="2217" w:hanging="360"/>
      </w:pPr>
      <w:rPr>
        <w:rFonts w:ascii="Wingdings" w:hAnsi="Wingdings" w:hint="default"/>
      </w:rPr>
    </w:lvl>
    <w:lvl w:ilvl="3" w:tplc="3724D77A">
      <w:start w:val="1"/>
      <w:numFmt w:val="bullet"/>
      <w:lvlText w:val=""/>
      <w:lvlJc w:val="left"/>
      <w:pPr>
        <w:ind w:left="2937" w:hanging="360"/>
      </w:pPr>
      <w:rPr>
        <w:rFonts w:ascii="Symbol" w:hAnsi="Symbol" w:hint="default"/>
      </w:rPr>
    </w:lvl>
    <w:lvl w:ilvl="4" w:tplc="F94CA53C">
      <w:start w:val="1"/>
      <w:numFmt w:val="bullet"/>
      <w:lvlText w:val="o"/>
      <w:lvlJc w:val="left"/>
      <w:pPr>
        <w:ind w:left="3657" w:hanging="360"/>
      </w:pPr>
      <w:rPr>
        <w:rFonts w:ascii="Courier New" w:hAnsi="Courier New" w:cs="Courier New" w:hint="default"/>
      </w:rPr>
    </w:lvl>
    <w:lvl w:ilvl="5" w:tplc="8996A356">
      <w:start w:val="1"/>
      <w:numFmt w:val="bullet"/>
      <w:lvlText w:val=""/>
      <w:lvlJc w:val="left"/>
      <w:pPr>
        <w:ind w:left="4377" w:hanging="360"/>
      </w:pPr>
      <w:rPr>
        <w:rFonts w:ascii="Wingdings" w:hAnsi="Wingdings" w:hint="default"/>
      </w:rPr>
    </w:lvl>
    <w:lvl w:ilvl="6" w:tplc="C00C3740">
      <w:start w:val="1"/>
      <w:numFmt w:val="bullet"/>
      <w:lvlText w:val=""/>
      <w:lvlJc w:val="left"/>
      <w:pPr>
        <w:ind w:left="5097" w:hanging="360"/>
      </w:pPr>
      <w:rPr>
        <w:rFonts w:ascii="Symbol" w:hAnsi="Symbol" w:hint="default"/>
      </w:rPr>
    </w:lvl>
    <w:lvl w:ilvl="7" w:tplc="1194D8B6">
      <w:start w:val="1"/>
      <w:numFmt w:val="bullet"/>
      <w:lvlText w:val="o"/>
      <w:lvlJc w:val="left"/>
      <w:pPr>
        <w:ind w:left="5817" w:hanging="360"/>
      </w:pPr>
      <w:rPr>
        <w:rFonts w:ascii="Courier New" w:hAnsi="Courier New" w:cs="Courier New" w:hint="default"/>
      </w:rPr>
    </w:lvl>
    <w:lvl w:ilvl="8" w:tplc="538A4BB8">
      <w:start w:val="1"/>
      <w:numFmt w:val="bullet"/>
      <w:lvlText w:val=""/>
      <w:lvlJc w:val="left"/>
      <w:pPr>
        <w:ind w:left="6537" w:hanging="360"/>
      </w:pPr>
      <w:rPr>
        <w:rFonts w:ascii="Wingdings" w:hAnsi="Wingdings" w:hint="default"/>
      </w:rPr>
    </w:lvl>
  </w:abstractNum>
  <w:abstractNum w:abstractNumId="33">
    <w:nsid w:val="1CE652D6"/>
    <w:multiLevelType w:val="hybridMultilevel"/>
    <w:tmpl w:val="6AA224F0"/>
    <w:lvl w:ilvl="0" w:tplc="52BA1D88">
      <w:start w:val="1"/>
      <w:numFmt w:val="bullet"/>
      <w:pStyle w:val="OTRTableListMark"/>
      <w:lvlText w:val="–"/>
      <w:lvlJc w:val="left"/>
      <w:pPr>
        <w:tabs>
          <w:tab w:val="num" w:pos="283"/>
        </w:tabs>
        <w:ind w:left="283" w:hanging="283"/>
      </w:pPr>
      <w:rPr>
        <w:rFonts w:ascii="Verdana" w:hAnsi="Verdana" w:hint="default"/>
        <w:color w:val="auto"/>
        <w:sz w:val="20"/>
      </w:rPr>
    </w:lvl>
    <w:lvl w:ilvl="1" w:tplc="37809C2E">
      <w:start w:val="1"/>
      <w:numFmt w:val="bullet"/>
      <w:lvlText w:val="―"/>
      <w:lvlJc w:val="left"/>
      <w:pPr>
        <w:tabs>
          <w:tab w:val="num" w:pos="1416"/>
        </w:tabs>
        <w:ind w:left="1416" w:hanging="283"/>
      </w:pPr>
      <w:rPr>
        <w:rFonts w:ascii="Verdana" w:hAnsi="Verdana" w:hint="default"/>
        <w:color w:val="auto"/>
        <w:sz w:val="16"/>
      </w:rPr>
    </w:lvl>
    <w:lvl w:ilvl="2" w:tplc="0B8A0F46">
      <w:start w:val="1"/>
      <w:numFmt w:val="bullet"/>
      <w:lvlText w:val="–"/>
      <w:lvlJc w:val="left"/>
      <w:pPr>
        <w:tabs>
          <w:tab w:val="num" w:pos="1700"/>
        </w:tabs>
        <w:ind w:left="1700" w:hanging="284"/>
      </w:pPr>
      <w:rPr>
        <w:rFonts w:ascii="Verdana" w:hAnsi="Verdana" w:hint="default"/>
        <w:b/>
        <w:i w:val="0"/>
        <w:sz w:val="24"/>
      </w:rPr>
    </w:lvl>
    <w:lvl w:ilvl="3" w:tplc="766A43BA">
      <w:start w:val="1"/>
      <w:numFmt w:val="bullet"/>
      <w:lvlText w:val=""/>
      <w:lvlJc w:val="left"/>
      <w:pPr>
        <w:tabs>
          <w:tab w:val="num" w:pos="1444"/>
        </w:tabs>
        <w:ind w:left="1444" w:hanging="360"/>
      </w:pPr>
      <w:rPr>
        <w:rFonts w:ascii="Symbol" w:hAnsi="Symbol" w:hint="default"/>
      </w:rPr>
    </w:lvl>
    <w:lvl w:ilvl="4" w:tplc="85ACA3F0">
      <w:start w:val="1"/>
      <w:numFmt w:val="bullet"/>
      <w:lvlText w:val=""/>
      <w:lvlJc w:val="left"/>
      <w:pPr>
        <w:tabs>
          <w:tab w:val="num" w:pos="1804"/>
        </w:tabs>
        <w:ind w:left="1804" w:hanging="360"/>
      </w:pPr>
      <w:rPr>
        <w:rFonts w:ascii="Symbol" w:hAnsi="Symbol" w:hint="default"/>
      </w:rPr>
    </w:lvl>
    <w:lvl w:ilvl="5" w:tplc="AFDE895E">
      <w:start w:val="1"/>
      <w:numFmt w:val="bullet"/>
      <w:lvlText w:val=""/>
      <w:lvlJc w:val="left"/>
      <w:pPr>
        <w:tabs>
          <w:tab w:val="num" w:pos="2164"/>
        </w:tabs>
        <w:ind w:left="2164" w:hanging="360"/>
      </w:pPr>
      <w:rPr>
        <w:rFonts w:ascii="Wingdings" w:hAnsi="Wingdings" w:hint="default"/>
      </w:rPr>
    </w:lvl>
    <w:lvl w:ilvl="6" w:tplc="4EE05176">
      <w:start w:val="1"/>
      <w:numFmt w:val="bullet"/>
      <w:lvlText w:val=""/>
      <w:lvlJc w:val="left"/>
      <w:pPr>
        <w:tabs>
          <w:tab w:val="num" w:pos="2524"/>
        </w:tabs>
        <w:ind w:left="2524" w:hanging="360"/>
      </w:pPr>
      <w:rPr>
        <w:rFonts w:ascii="Wingdings" w:hAnsi="Wingdings" w:hint="default"/>
      </w:rPr>
    </w:lvl>
    <w:lvl w:ilvl="7" w:tplc="8EC0E60E">
      <w:start w:val="1"/>
      <w:numFmt w:val="bullet"/>
      <w:lvlText w:val=""/>
      <w:lvlJc w:val="left"/>
      <w:pPr>
        <w:tabs>
          <w:tab w:val="num" w:pos="2884"/>
        </w:tabs>
        <w:ind w:left="2884" w:hanging="360"/>
      </w:pPr>
      <w:rPr>
        <w:rFonts w:ascii="Symbol" w:hAnsi="Symbol" w:hint="default"/>
      </w:rPr>
    </w:lvl>
    <w:lvl w:ilvl="8" w:tplc="3B2A4474">
      <w:start w:val="1"/>
      <w:numFmt w:val="bullet"/>
      <w:lvlText w:val=""/>
      <w:lvlJc w:val="left"/>
      <w:pPr>
        <w:tabs>
          <w:tab w:val="num" w:pos="3244"/>
        </w:tabs>
        <w:ind w:left="3244" w:hanging="360"/>
      </w:pPr>
      <w:rPr>
        <w:rFonts w:ascii="Symbol" w:hAnsi="Symbol" w:hint="default"/>
      </w:rPr>
    </w:lvl>
  </w:abstractNum>
  <w:abstractNum w:abstractNumId="34">
    <w:nsid w:val="1CF93B44"/>
    <w:multiLevelType w:val="hybridMultilevel"/>
    <w:tmpl w:val="C928AF2A"/>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35">
    <w:nsid w:val="1D950A11"/>
    <w:multiLevelType w:val="multilevel"/>
    <w:tmpl w:val="CA781BB2"/>
    <w:lvl w:ilvl="0">
      <w:start w:val="1"/>
      <w:numFmt w:val="russianUpper"/>
      <w:pStyle w:val="EB"/>
      <w:lvlText w:val="Приложение %1."/>
      <w:lvlJc w:val="left"/>
      <w:pPr>
        <w:tabs>
          <w:tab w:val="num" w:pos="0"/>
        </w:tabs>
        <w:ind w:left="360" w:hanging="360"/>
      </w:pPr>
      <w:rPr>
        <w:rFonts w:ascii="Times New Roman" w:hAnsi="Times New Roman" w:cs="Times New Roman" w:hint="default"/>
        <w:sz w:val="32"/>
      </w:rPr>
    </w:lvl>
    <w:lvl w:ilvl="1">
      <w:start w:val="1"/>
      <w:numFmt w:val="decimal"/>
      <w:pStyle w:val="EB1"/>
      <w:lvlText w:val="%1.%2"/>
      <w:lvlJc w:val="left"/>
      <w:pPr>
        <w:tabs>
          <w:tab w:val="num" w:pos="0"/>
        </w:tabs>
        <w:ind w:left="720" w:hanging="360"/>
      </w:pPr>
      <w:rPr>
        <w:rFonts w:cs="Times New Roman" w:hint="default"/>
      </w:rPr>
    </w:lvl>
    <w:lvl w:ilvl="2">
      <w:start w:val="1"/>
      <w:numFmt w:val="decimal"/>
      <w:pStyle w:val="EB11"/>
      <w:lvlText w:val="%1.%2.%3"/>
      <w:lvlJc w:val="left"/>
      <w:pPr>
        <w:tabs>
          <w:tab w:val="num" w:pos="0"/>
        </w:tabs>
        <w:ind w:left="1080" w:hanging="360"/>
      </w:pPr>
      <w:rPr>
        <w:rFonts w:cs="Times New Roman" w:hint="default"/>
      </w:rPr>
    </w:lvl>
    <w:lvl w:ilvl="3">
      <w:start w:val="1"/>
      <w:numFmt w:val="decimal"/>
      <w:pStyle w:val="EB111"/>
      <w:lvlText w:val="%1.%2.%3.%4"/>
      <w:lvlJc w:val="left"/>
      <w:pPr>
        <w:tabs>
          <w:tab w:val="num" w:pos="0"/>
        </w:tabs>
        <w:ind w:left="1440" w:hanging="360"/>
      </w:pPr>
      <w:rPr>
        <w:rFonts w:cs="Times New Roman" w:hint="default"/>
      </w:rPr>
    </w:lvl>
    <w:lvl w:ilvl="4">
      <w:start w:val="1"/>
      <w:numFmt w:val="decimal"/>
      <w:pStyle w:val="EB1111"/>
      <w:lvlText w:val="%1.%2.%3.%4.%5"/>
      <w:lvlJc w:val="left"/>
      <w:pPr>
        <w:tabs>
          <w:tab w:val="num" w:pos="0"/>
        </w:tabs>
        <w:ind w:left="1800" w:hanging="360"/>
      </w:pPr>
      <w:rPr>
        <w:rFonts w:cs="Times New Roman" w:hint="default"/>
      </w:rPr>
    </w:lvl>
    <w:lvl w:ilvl="5">
      <w:start w:val="1"/>
      <w:numFmt w:val="lowerRoman"/>
      <w:lvlText w:val="(%6)"/>
      <w:lvlJc w:val="left"/>
      <w:pPr>
        <w:tabs>
          <w:tab w:val="num" w:pos="0"/>
        </w:tabs>
        <w:ind w:left="2160" w:hanging="360"/>
      </w:pPr>
      <w:rPr>
        <w:rFonts w:cs="Times New Roman" w:hint="default"/>
      </w:rPr>
    </w:lvl>
    <w:lvl w:ilvl="6">
      <w:start w:val="1"/>
      <w:numFmt w:val="decimal"/>
      <w:lvlText w:val="%7."/>
      <w:lvlJc w:val="left"/>
      <w:pPr>
        <w:tabs>
          <w:tab w:val="num" w:pos="0"/>
        </w:tabs>
        <w:ind w:left="2520" w:hanging="360"/>
      </w:pPr>
      <w:rPr>
        <w:rFonts w:cs="Times New Roman" w:hint="default"/>
      </w:rPr>
    </w:lvl>
    <w:lvl w:ilvl="7">
      <w:start w:val="1"/>
      <w:numFmt w:val="lowerLetter"/>
      <w:lvlText w:val="%8."/>
      <w:lvlJc w:val="left"/>
      <w:pPr>
        <w:tabs>
          <w:tab w:val="num" w:pos="0"/>
        </w:tabs>
        <w:ind w:left="2880" w:hanging="360"/>
      </w:pPr>
      <w:rPr>
        <w:rFonts w:cs="Times New Roman" w:hint="default"/>
      </w:rPr>
    </w:lvl>
    <w:lvl w:ilvl="8">
      <w:start w:val="1"/>
      <w:numFmt w:val="lowerRoman"/>
      <w:lvlText w:val="%9."/>
      <w:lvlJc w:val="left"/>
      <w:pPr>
        <w:tabs>
          <w:tab w:val="num" w:pos="0"/>
        </w:tabs>
        <w:ind w:left="3240" w:hanging="360"/>
      </w:pPr>
      <w:rPr>
        <w:rFonts w:cs="Times New Roman" w:hint="default"/>
      </w:rPr>
    </w:lvl>
  </w:abstractNum>
  <w:abstractNum w:abstractNumId="36">
    <w:nsid w:val="1E0B3203"/>
    <w:multiLevelType w:val="hybridMultilevel"/>
    <w:tmpl w:val="A7AA9DD6"/>
    <w:lvl w:ilvl="0" w:tplc="9F807520">
      <w:start w:val="1"/>
      <w:numFmt w:val="bullet"/>
      <w:lvlText w:val="−"/>
      <w:lvlJc w:val="left"/>
      <w:pPr>
        <w:ind w:left="749" w:hanging="360"/>
      </w:pPr>
      <w:rPr>
        <w:rFonts w:ascii="Times New Roman" w:hAnsi="Times New Roman" w:cs="Times New Roman" w:hint="default"/>
      </w:rPr>
    </w:lvl>
    <w:lvl w:ilvl="1" w:tplc="BFF22E44">
      <w:start w:val="1"/>
      <w:numFmt w:val="bullet"/>
      <w:lvlText w:val="o"/>
      <w:lvlJc w:val="left"/>
      <w:pPr>
        <w:ind w:left="1469" w:hanging="360"/>
      </w:pPr>
      <w:rPr>
        <w:rFonts w:ascii="Courier New" w:hAnsi="Courier New" w:cs="Courier New" w:hint="default"/>
      </w:rPr>
    </w:lvl>
    <w:lvl w:ilvl="2" w:tplc="60C04408">
      <w:start w:val="1"/>
      <w:numFmt w:val="bullet"/>
      <w:lvlText w:val=""/>
      <w:lvlJc w:val="left"/>
      <w:pPr>
        <w:ind w:left="2189" w:hanging="360"/>
      </w:pPr>
      <w:rPr>
        <w:rFonts w:ascii="Wingdings" w:hAnsi="Wingdings" w:hint="default"/>
      </w:rPr>
    </w:lvl>
    <w:lvl w:ilvl="3" w:tplc="6CA2096E">
      <w:start w:val="1"/>
      <w:numFmt w:val="bullet"/>
      <w:lvlText w:val=""/>
      <w:lvlJc w:val="left"/>
      <w:pPr>
        <w:ind w:left="2909" w:hanging="360"/>
      </w:pPr>
      <w:rPr>
        <w:rFonts w:ascii="Symbol" w:hAnsi="Symbol" w:hint="default"/>
      </w:rPr>
    </w:lvl>
    <w:lvl w:ilvl="4" w:tplc="409285AA">
      <w:start w:val="1"/>
      <w:numFmt w:val="bullet"/>
      <w:lvlText w:val="o"/>
      <w:lvlJc w:val="left"/>
      <w:pPr>
        <w:ind w:left="3629" w:hanging="360"/>
      </w:pPr>
      <w:rPr>
        <w:rFonts w:ascii="Courier New" w:hAnsi="Courier New" w:cs="Courier New" w:hint="default"/>
      </w:rPr>
    </w:lvl>
    <w:lvl w:ilvl="5" w:tplc="47EC8BE0">
      <w:start w:val="1"/>
      <w:numFmt w:val="bullet"/>
      <w:lvlText w:val=""/>
      <w:lvlJc w:val="left"/>
      <w:pPr>
        <w:ind w:left="4349" w:hanging="360"/>
      </w:pPr>
      <w:rPr>
        <w:rFonts w:ascii="Wingdings" w:hAnsi="Wingdings" w:hint="default"/>
      </w:rPr>
    </w:lvl>
    <w:lvl w:ilvl="6" w:tplc="8F10EE30">
      <w:start w:val="1"/>
      <w:numFmt w:val="bullet"/>
      <w:lvlText w:val=""/>
      <w:lvlJc w:val="left"/>
      <w:pPr>
        <w:ind w:left="5069" w:hanging="360"/>
      </w:pPr>
      <w:rPr>
        <w:rFonts w:ascii="Symbol" w:hAnsi="Symbol" w:hint="default"/>
      </w:rPr>
    </w:lvl>
    <w:lvl w:ilvl="7" w:tplc="2A08E4DC">
      <w:start w:val="1"/>
      <w:numFmt w:val="bullet"/>
      <w:lvlText w:val="o"/>
      <w:lvlJc w:val="left"/>
      <w:pPr>
        <w:ind w:left="5789" w:hanging="360"/>
      </w:pPr>
      <w:rPr>
        <w:rFonts w:ascii="Courier New" w:hAnsi="Courier New" w:cs="Courier New" w:hint="default"/>
      </w:rPr>
    </w:lvl>
    <w:lvl w:ilvl="8" w:tplc="7C1E03D0">
      <w:start w:val="1"/>
      <w:numFmt w:val="bullet"/>
      <w:lvlText w:val=""/>
      <w:lvlJc w:val="left"/>
      <w:pPr>
        <w:ind w:left="6509" w:hanging="360"/>
      </w:pPr>
      <w:rPr>
        <w:rFonts w:ascii="Wingdings" w:hAnsi="Wingdings" w:hint="default"/>
      </w:rPr>
    </w:lvl>
  </w:abstractNum>
  <w:abstractNum w:abstractNumId="37">
    <w:nsid w:val="207A17EF"/>
    <w:multiLevelType w:val="hybridMultilevel"/>
    <w:tmpl w:val="A0A41D5A"/>
    <w:lvl w:ilvl="0" w:tplc="A412B280">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38">
    <w:nsid w:val="208E2DBA"/>
    <w:multiLevelType w:val="hybridMultilevel"/>
    <w:tmpl w:val="C936DA72"/>
    <w:lvl w:ilvl="0" w:tplc="EB5CD570">
      <w:start w:val="1"/>
      <w:numFmt w:val="none"/>
      <w:lvlText w:val="Таблица "/>
      <w:lvlJc w:val="left"/>
      <w:pPr>
        <w:tabs>
          <w:tab w:val="num" w:pos="567"/>
        </w:tabs>
        <w:ind w:left="0" w:firstLine="567"/>
      </w:pPr>
      <w:rPr>
        <w:rFonts w:ascii="Times New Roman" w:hAnsi="Times New Roman" w:cs="Times New Roman" w:hint="default"/>
        <w:b/>
        <w:bCs w:val="0"/>
        <w:i w:val="0"/>
        <w:iCs w:val="0"/>
        <w:caps w:val="0"/>
        <w:smallCaps w:val="0"/>
        <w:strike w:val="0"/>
        <w:vanish w:val="0"/>
        <w:spacing w:val="0"/>
        <w:position w:val="0"/>
        <w:sz w:val="24"/>
        <w:u w:val="none"/>
        <w:vertAlign w:val="baseline"/>
      </w:rPr>
    </w:lvl>
    <w:lvl w:ilvl="1" w:tplc="E1BC711E">
      <w:start w:val="1"/>
      <w:numFmt w:val="lowerLetter"/>
      <w:lvlText w:val="%2."/>
      <w:lvlJc w:val="left"/>
      <w:pPr>
        <w:tabs>
          <w:tab w:val="num" w:pos="1440"/>
        </w:tabs>
        <w:ind w:left="1440" w:hanging="360"/>
      </w:pPr>
    </w:lvl>
    <w:lvl w:ilvl="2" w:tplc="EBC22532">
      <w:start w:val="1"/>
      <w:numFmt w:val="lowerRoman"/>
      <w:lvlText w:val="%3."/>
      <w:lvlJc w:val="right"/>
      <w:pPr>
        <w:tabs>
          <w:tab w:val="num" w:pos="2160"/>
        </w:tabs>
        <w:ind w:left="2160" w:hanging="180"/>
      </w:pPr>
    </w:lvl>
    <w:lvl w:ilvl="3" w:tplc="3F82B0AA">
      <w:start w:val="1"/>
      <w:numFmt w:val="decimal"/>
      <w:lvlText w:val="%4."/>
      <w:lvlJc w:val="left"/>
      <w:pPr>
        <w:tabs>
          <w:tab w:val="num" w:pos="2880"/>
        </w:tabs>
        <w:ind w:left="2880" w:hanging="360"/>
      </w:pPr>
    </w:lvl>
    <w:lvl w:ilvl="4" w:tplc="E19CA624">
      <w:start w:val="1"/>
      <w:numFmt w:val="lowerLetter"/>
      <w:lvlText w:val="%5."/>
      <w:lvlJc w:val="left"/>
      <w:pPr>
        <w:tabs>
          <w:tab w:val="num" w:pos="3600"/>
        </w:tabs>
        <w:ind w:left="3600" w:hanging="360"/>
      </w:pPr>
    </w:lvl>
    <w:lvl w:ilvl="5" w:tplc="3874195A">
      <w:start w:val="1"/>
      <w:numFmt w:val="lowerRoman"/>
      <w:lvlText w:val="%6."/>
      <w:lvlJc w:val="right"/>
      <w:pPr>
        <w:tabs>
          <w:tab w:val="num" w:pos="4320"/>
        </w:tabs>
        <w:ind w:left="4320" w:hanging="180"/>
      </w:pPr>
    </w:lvl>
    <w:lvl w:ilvl="6" w:tplc="158E35CC">
      <w:start w:val="1"/>
      <w:numFmt w:val="decimal"/>
      <w:lvlText w:val="%7."/>
      <w:lvlJc w:val="left"/>
      <w:pPr>
        <w:tabs>
          <w:tab w:val="num" w:pos="5040"/>
        </w:tabs>
        <w:ind w:left="5040" w:hanging="360"/>
      </w:pPr>
    </w:lvl>
    <w:lvl w:ilvl="7" w:tplc="56D0D90A">
      <w:start w:val="1"/>
      <w:numFmt w:val="lowerLetter"/>
      <w:lvlText w:val="%8."/>
      <w:lvlJc w:val="left"/>
      <w:pPr>
        <w:tabs>
          <w:tab w:val="num" w:pos="5760"/>
        </w:tabs>
        <w:ind w:left="5760" w:hanging="360"/>
      </w:pPr>
    </w:lvl>
    <w:lvl w:ilvl="8" w:tplc="FE9E968A">
      <w:start w:val="1"/>
      <w:numFmt w:val="lowerRoman"/>
      <w:lvlText w:val="%9."/>
      <w:lvlJc w:val="right"/>
      <w:pPr>
        <w:tabs>
          <w:tab w:val="num" w:pos="6480"/>
        </w:tabs>
        <w:ind w:left="6480" w:hanging="180"/>
      </w:pPr>
    </w:lvl>
  </w:abstractNum>
  <w:abstractNum w:abstractNumId="39">
    <w:nsid w:val="220670C2"/>
    <w:multiLevelType w:val="hybridMultilevel"/>
    <w:tmpl w:val="3F20FC3E"/>
    <w:lvl w:ilvl="0" w:tplc="A412B280">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40">
    <w:nsid w:val="22711406"/>
    <w:multiLevelType w:val="hybridMultilevel"/>
    <w:tmpl w:val="D28E0952"/>
    <w:lvl w:ilvl="0" w:tplc="A412B280">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41">
    <w:nsid w:val="23BC1DF3"/>
    <w:multiLevelType w:val="hybridMultilevel"/>
    <w:tmpl w:val="791A5238"/>
    <w:lvl w:ilvl="0" w:tplc="BF3028E4">
      <w:start w:val="1"/>
      <w:numFmt w:val="bullet"/>
      <w:lvlText w:val=""/>
      <w:lvlJc w:val="left"/>
      <w:pPr>
        <w:ind w:left="720" w:hanging="360"/>
      </w:pPr>
      <w:rPr>
        <w:rFonts w:ascii="Symbol" w:hAnsi="Symbol" w:hint="default"/>
      </w:rPr>
    </w:lvl>
    <w:lvl w:ilvl="1" w:tplc="137CF9E0">
      <w:start w:val="1"/>
      <w:numFmt w:val="bullet"/>
      <w:lvlText w:val="o"/>
      <w:lvlJc w:val="left"/>
      <w:pPr>
        <w:ind w:left="1440" w:hanging="360"/>
      </w:pPr>
      <w:rPr>
        <w:rFonts w:ascii="Courier New" w:hAnsi="Courier New" w:cs="Courier New" w:hint="default"/>
      </w:rPr>
    </w:lvl>
    <w:lvl w:ilvl="2" w:tplc="C2F0FBAC">
      <w:start w:val="1"/>
      <w:numFmt w:val="bullet"/>
      <w:lvlText w:val=""/>
      <w:lvlJc w:val="left"/>
      <w:pPr>
        <w:ind w:left="2160" w:hanging="360"/>
      </w:pPr>
      <w:rPr>
        <w:rFonts w:ascii="Wingdings" w:hAnsi="Wingdings" w:hint="default"/>
      </w:rPr>
    </w:lvl>
    <w:lvl w:ilvl="3" w:tplc="A70E3C28">
      <w:start w:val="1"/>
      <w:numFmt w:val="bullet"/>
      <w:lvlText w:val=""/>
      <w:lvlJc w:val="left"/>
      <w:pPr>
        <w:ind w:left="2880" w:hanging="360"/>
      </w:pPr>
      <w:rPr>
        <w:rFonts w:ascii="Symbol" w:hAnsi="Symbol" w:hint="default"/>
      </w:rPr>
    </w:lvl>
    <w:lvl w:ilvl="4" w:tplc="308A65EE">
      <w:start w:val="1"/>
      <w:numFmt w:val="bullet"/>
      <w:lvlText w:val="o"/>
      <w:lvlJc w:val="left"/>
      <w:pPr>
        <w:ind w:left="3600" w:hanging="360"/>
      </w:pPr>
      <w:rPr>
        <w:rFonts w:ascii="Courier New" w:hAnsi="Courier New" w:cs="Courier New" w:hint="default"/>
      </w:rPr>
    </w:lvl>
    <w:lvl w:ilvl="5" w:tplc="E112014E">
      <w:start w:val="1"/>
      <w:numFmt w:val="bullet"/>
      <w:lvlText w:val=""/>
      <w:lvlJc w:val="left"/>
      <w:pPr>
        <w:ind w:left="4320" w:hanging="360"/>
      </w:pPr>
      <w:rPr>
        <w:rFonts w:ascii="Wingdings" w:hAnsi="Wingdings" w:hint="default"/>
      </w:rPr>
    </w:lvl>
    <w:lvl w:ilvl="6" w:tplc="679A10D6">
      <w:start w:val="1"/>
      <w:numFmt w:val="bullet"/>
      <w:lvlText w:val=""/>
      <w:lvlJc w:val="left"/>
      <w:pPr>
        <w:ind w:left="5040" w:hanging="360"/>
      </w:pPr>
      <w:rPr>
        <w:rFonts w:ascii="Symbol" w:hAnsi="Symbol" w:hint="default"/>
      </w:rPr>
    </w:lvl>
    <w:lvl w:ilvl="7" w:tplc="5E16F38C">
      <w:start w:val="1"/>
      <w:numFmt w:val="bullet"/>
      <w:lvlText w:val="o"/>
      <w:lvlJc w:val="left"/>
      <w:pPr>
        <w:ind w:left="5760" w:hanging="360"/>
      </w:pPr>
      <w:rPr>
        <w:rFonts w:ascii="Courier New" w:hAnsi="Courier New" w:cs="Courier New" w:hint="default"/>
      </w:rPr>
    </w:lvl>
    <w:lvl w:ilvl="8" w:tplc="EF2C23F2">
      <w:start w:val="1"/>
      <w:numFmt w:val="bullet"/>
      <w:lvlText w:val=""/>
      <w:lvlJc w:val="left"/>
      <w:pPr>
        <w:ind w:left="6480" w:hanging="360"/>
      </w:pPr>
      <w:rPr>
        <w:rFonts w:ascii="Wingdings" w:hAnsi="Wingdings" w:hint="default"/>
      </w:rPr>
    </w:lvl>
  </w:abstractNum>
  <w:abstractNum w:abstractNumId="42">
    <w:nsid w:val="23E667E0"/>
    <w:multiLevelType w:val="hybridMultilevel"/>
    <w:tmpl w:val="766EC126"/>
    <w:lvl w:ilvl="0" w:tplc="73561FA4">
      <w:start w:val="1"/>
      <w:numFmt w:val="decimal"/>
      <w:pStyle w:val="a2"/>
      <w:lvlText w:val="%1."/>
      <w:lvlJc w:val="left"/>
      <w:pPr>
        <w:ind w:left="720" w:hanging="360"/>
      </w:pPr>
    </w:lvl>
    <w:lvl w:ilvl="1" w:tplc="32AA095E">
      <w:start w:val="1"/>
      <w:numFmt w:val="lowerLetter"/>
      <w:lvlText w:val="%2."/>
      <w:lvlJc w:val="left"/>
      <w:pPr>
        <w:ind w:left="1440" w:hanging="360"/>
      </w:pPr>
    </w:lvl>
    <w:lvl w:ilvl="2" w:tplc="CB284C70">
      <w:start w:val="1"/>
      <w:numFmt w:val="lowerRoman"/>
      <w:lvlText w:val="%3."/>
      <w:lvlJc w:val="right"/>
      <w:pPr>
        <w:ind w:left="2160" w:hanging="180"/>
      </w:pPr>
    </w:lvl>
    <w:lvl w:ilvl="3" w:tplc="FD94B67A">
      <w:start w:val="1"/>
      <w:numFmt w:val="decimal"/>
      <w:lvlText w:val="%4."/>
      <w:lvlJc w:val="left"/>
      <w:pPr>
        <w:ind w:left="2880" w:hanging="360"/>
      </w:pPr>
    </w:lvl>
    <w:lvl w:ilvl="4" w:tplc="118432B4">
      <w:start w:val="1"/>
      <w:numFmt w:val="lowerLetter"/>
      <w:lvlText w:val="%5."/>
      <w:lvlJc w:val="left"/>
      <w:pPr>
        <w:ind w:left="3600" w:hanging="360"/>
      </w:pPr>
    </w:lvl>
    <w:lvl w:ilvl="5" w:tplc="6A98D3FC">
      <w:start w:val="1"/>
      <w:numFmt w:val="lowerRoman"/>
      <w:lvlText w:val="%6."/>
      <w:lvlJc w:val="right"/>
      <w:pPr>
        <w:ind w:left="4320" w:hanging="180"/>
      </w:pPr>
    </w:lvl>
    <w:lvl w:ilvl="6" w:tplc="00E47128">
      <w:start w:val="1"/>
      <w:numFmt w:val="decimal"/>
      <w:lvlText w:val="%7."/>
      <w:lvlJc w:val="left"/>
      <w:pPr>
        <w:ind w:left="5040" w:hanging="360"/>
      </w:pPr>
    </w:lvl>
    <w:lvl w:ilvl="7" w:tplc="9E92B70C">
      <w:start w:val="1"/>
      <w:numFmt w:val="lowerLetter"/>
      <w:lvlText w:val="%8."/>
      <w:lvlJc w:val="left"/>
      <w:pPr>
        <w:ind w:left="5760" w:hanging="360"/>
      </w:pPr>
    </w:lvl>
    <w:lvl w:ilvl="8" w:tplc="D6CE34CE">
      <w:start w:val="1"/>
      <w:numFmt w:val="lowerRoman"/>
      <w:lvlText w:val="%9."/>
      <w:lvlJc w:val="right"/>
      <w:pPr>
        <w:ind w:left="6480" w:hanging="180"/>
      </w:pPr>
    </w:lvl>
  </w:abstractNum>
  <w:abstractNum w:abstractNumId="43">
    <w:nsid w:val="249B022E"/>
    <w:multiLevelType w:val="hybridMultilevel"/>
    <w:tmpl w:val="9FDE9EDE"/>
    <w:lvl w:ilvl="0" w:tplc="4E5A4370">
      <w:start w:val="1"/>
      <w:numFmt w:val="none"/>
      <w:pStyle w:val="20"/>
      <w:lvlText w:val=""/>
      <w:lvlJc w:val="left"/>
      <w:pPr>
        <w:tabs>
          <w:tab w:val="num" w:pos="567"/>
        </w:tabs>
        <w:ind w:left="567" w:firstLine="0"/>
      </w:pPr>
      <w:rPr>
        <w:rFonts w:ascii="Symbol" w:hAnsi="Symbol" w:hint="default"/>
        <w:lang w:val="ru-RU"/>
      </w:rPr>
    </w:lvl>
    <w:lvl w:ilvl="1" w:tplc="76CE3040">
      <w:start w:val="32"/>
      <w:numFmt w:val="bullet"/>
      <w:lvlText w:val="-"/>
      <w:lvlJc w:val="left"/>
      <w:pPr>
        <w:tabs>
          <w:tab w:val="num" w:pos="1440"/>
        </w:tabs>
        <w:ind w:left="1440" w:hanging="360"/>
      </w:pPr>
      <w:rPr>
        <w:rFonts w:ascii="Times New Roman" w:eastAsia="Times New Roman" w:hAnsi="Times New Roman" w:cs="Times New Roman" w:hint="default"/>
      </w:rPr>
    </w:lvl>
    <w:lvl w:ilvl="2" w:tplc="8E142652">
      <w:start w:val="1"/>
      <w:numFmt w:val="lowerRoman"/>
      <w:lvlText w:val="%3."/>
      <w:lvlJc w:val="right"/>
      <w:pPr>
        <w:tabs>
          <w:tab w:val="num" w:pos="2160"/>
        </w:tabs>
        <w:ind w:left="2160" w:hanging="180"/>
      </w:pPr>
    </w:lvl>
    <w:lvl w:ilvl="3" w:tplc="72E2A408">
      <w:start w:val="1"/>
      <w:numFmt w:val="decimal"/>
      <w:lvlText w:val="%4."/>
      <w:lvlJc w:val="left"/>
      <w:pPr>
        <w:tabs>
          <w:tab w:val="num" w:pos="2880"/>
        </w:tabs>
        <w:ind w:left="2880" w:hanging="360"/>
      </w:pPr>
    </w:lvl>
    <w:lvl w:ilvl="4" w:tplc="73D668A0">
      <w:start w:val="1"/>
      <w:numFmt w:val="lowerLetter"/>
      <w:lvlText w:val="%5."/>
      <w:lvlJc w:val="left"/>
      <w:pPr>
        <w:tabs>
          <w:tab w:val="num" w:pos="3600"/>
        </w:tabs>
        <w:ind w:left="3600" w:hanging="360"/>
      </w:pPr>
    </w:lvl>
    <w:lvl w:ilvl="5" w:tplc="5E3694BE">
      <w:start w:val="1"/>
      <w:numFmt w:val="lowerRoman"/>
      <w:lvlText w:val="%6."/>
      <w:lvlJc w:val="right"/>
      <w:pPr>
        <w:tabs>
          <w:tab w:val="num" w:pos="4320"/>
        </w:tabs>
        <w:ind w:left="4320" w:hanging="180"/>
      </w:pPr>
    </w:lvl>
    <w:lvl w:ilvl="6" w:tplc="A150ECE2">
      <w:start w:val="1"/>
      <w:numFmt w:val="decimal"/>
      <w:lvlText w:val="%7."/>
      <w:lvlJc w:val="left"/>
      <w:pPr>
        <w:tabs>
          <w:tab w:val="num" w:pos="5040"/>
        </w:tabs>
        <w:ind w:left="5040" w:hanging="360"/>
      </w:pPr>
    </w:lvl>
    <w:lvl w:ilvl="7" w:tplc="5956AEF6">
      <w:start w:val="1"/>
      <w:numFmt w:val="lowerLetter"/>
      <w:lvlText w:val="%8."/>
      <w:lvlJc w:val="left"/>
      <w:pPr>
        <w:tabs>
          <w:tab w:val="num" w:pos="5760"/>
        </w:tabs>
        <w:ind w:left="5760" w:hanging="360"/>
      </w:pPr>
    </w:lvl>
    <w:lvl w:ilvl="8" w:tplc="A0CC56C2">
      <w:start w:val="1"/>
      <w:numFmt w:val="lowerRoman"/>
      <w:lvlText w:val="%9."/>
      <w:lvlJc w:val="right"/>
      <w:pPr>
        <w:tabs>
          <w:tab w:val="num" w:pos="6480"/>
        </w:tabs>
        <w:ind w:left="6480" w:hanging="180"/>
      </w:pPr>
    </w:lvl>
  </w:abstractNum>
  <w:abstractNum w:abstractNumId="44">
    <w:nsid w:val="24B01B78"/>
    <w:multiLevelType w:val="hybridMultilevel"/>
    <w:tmpl w:val="E1AE73F0"/>
    <w:lvl w:ilvl="0" w:tplc="631458DA">
      <w:start w:val="1"/>
      <w:numFmt w:val="bullet"/>
      <w:pStyle w:val="3"/>
      <w:lvlText w:val=""/>
      <w:lvlJc w:val="left"/>
      <w:pPr>
        <w:tabs>
          <w:tab w:val="num" w:pos="926"/>
        </w:tabs>
        <w:ind w:left="926" w:hanging="360"/>
      </w:pPr>
      <w:rPr>
        <w:rFonts w:ascii="Symbol" w:hAnsi="Symbol" w:cs="Symbol" w:hint="default"/>
      </w:rPr>
    </w:lvl>
    <w:lvl w:ilvl="1" w:tplc="14903B78">
      <w:start w:val="1"/>
      <w:numFmt w:val="bullet"/>
      <w:lvlText w:val="o"/>
      <w:lvlJc w:val="left"/>
      <w:pPr>
        <w:ind w:left="1440" w:hanging="360"/>
      </w:pPr>
      <w:rPr>
        <w:rFonts w:ascii="Courier New" w:eastAsia="Courier New" w:hAnsi="Courier New" w:cs="Courier New" w:hint="default"/>
      </w:rPr>
    </w:lvl>
    <w:lvl w:ilvl="2" w:tplc="C3201DA4">
      <w:start w:val="1"/>
      <w:numFmt w:val="bullet"/>
      <w:lvlText w:val="§"/>
      <w:lvlJc w:val="left"/>
      <w:pPr>
        <w:ind w:left="2160" w:hanging="360"/>
      </w:pPr>
      <w:rPr>
        <w:rFonts w:ascii="Wingdings" w:eastAsia="Wingdings" w:hAnsi="Wingdings" w:cs="Wingdings" w:hint="default"/>
      </w:rPr>
    </w:lvl>
    <w:lvl w:ilvl="3" w:tplc="80CCA3F0">
      <w:start w:val="1"/>
      <w:numFmt w:val="bullet"/>
      <w:lvlText w:val="·"/>
      <w:lvlJc w:val="left"/>
      <w:pPr>
        <w:ind w:left="2880" w:hanging="360"/>
      </w:pPr>
      <w:rPr>
        <w:rFonts w:ascii="Symbol" w:eastAsia="Symbol" w:hAnsi="Symbol" w:cs="Symbol" w:hint="default"/>
      </w:rPr>
    </w:lvl>
    <w:lvl w:ilvl="4" w:tplc="9DC04102">
      <w:start w:val="1"/>
      <w:numFmt w:val="bullet"/>
      <w:lvlText w:val="o"/>
      <w:lvlJc w:val="left"/>
      <w:pPr>
        <w:ind w:left="3600" w:hanging="360"/>
      </w:pPr>
      <w:rPr>
        <w:rFonts w:ascii="Courier New" w:eastAsia="Courier New" w:hAnsi="Courier New" w:cs="Courier New" w:hint="default"/>
      </w:rPr>
    </w:lvl>
    <w:lvl w:ilvl="5" w:tplc="7174DDD4">
      <w:start w:val="1"/>
      <w:numFmt w:val="bullet"/>
      <w:lvlText w:val="§"/>
      <w:lvlJc w:val="left"/>
      <w:pPr>
        <w:ind w:left="4320" w:hanging="360"/>
      </w:pPr>
      <w:rPr>
        <w:rFonts w:ascii="Wingdings" w:eastAsia="Wingdings" w:hAnsi="Wingdings" w:cs="Wingdings" w:hint="default"/>
      </w:rPr>
    </w:lvl>
    <w:lvl w:ilvl="6" w:tplc="AED0CDA2">
      <w:start w:val="1"/>
      <w:numFmt w:val="bullet"/>
      <w:lvlText w:val="·"/>
      <w:lvlJc w:val="left"/>
      <w:pPr>
        <w:ind w:left="5040" w:hanging="360"/>
      </w:pPr>
      <w:rPr>
        <w:rFonts w:ascii="Symbol" w:eastAsia="Symbol" w:hAnsi="Symbol" w:cs="Symbol" w:hint="default"/>
      </w:rPr>
    </w:lvl>
    <w:lvl w:ilvl="7" w:tplc="67909F64">
      <w:start w:val="1"/>
      <w:numFmt w:val="bullet"/>
      <w:lvlText w:val="o"/>
      <w:lvlJc w:val="left"/>
      <w:pPr>
        <w:ind w:left="5760" w:hanging="360"/>
      </w:pPr>
      <w:rPr>
        <w:rFonts w:ascii="Courier New" w:eastAsia="Courier New" w:hAnsi="Courier New" w:cs="Courier New" w:hint="default"/>
      </w:rPr>
    </w:lvl>
    <w:lvl w:ilvl="8" w:tplc="3CC4B81C">
      <w:start w:val="1"/>
      <w:numFmt w:val="bullet"/>
      <w:lvlText w:val="§"/>
      <w:lvlJc w:val="left"/>
      <w:pPr>
        <w:ind w:left="6480" w:hanging="360"/>
      </w:pPr>
      <w:rPr>
        <w:rFonts w:ascii="Wingdings" w:eastAsia="Wingdings" w:hAnsi="Wingdings" w:cs="Wingdings" w:hint="default"/>
      </w:rPr>
    </w:lvl>
  </w:abstractNum>
  <w:abstractNum w:abstractNumId="45">
    <w:nsid w:val="24C856E0"/>
    <w:multiLevelType w:val="hybridMultilevel"/>
    <w:tmpl w:val="3D205A92"/>
    <w:lvl w:ilvl="0" w:tplc="19DA0D74">
      <w:start w:val="1"/>
      <w:numFmt w:val="decimal"/>
      <w:pStyle w:val="21"/>
      <w:lvlText w:val="%1."/>
      <w:lvlJc w:val="left"/>
      <w:pPr>
        <w:tabs>
          <w:tab w:val="num" w:pos="643"/>
        </w:tabs>
        <w:ind w:left="643" w:hanging="360"/>
      </w:pPr>
    </w:lvl>
    <w:lvl w:ilvl="1" w:tplc="9AD4553E">
      <w:start w:val="1"/>
      <w:numFmt w:val="bullet"/>
      <w:lvlText w:val="o"/>
      <w:lvlJc w:val="left"/>
      <w:pPr>
        <w:ind w:left="1440" w:hanging="360"/>
      </w:pPr>
      <w:rPr>
        <w:rFonts w:ascii="Courier New" w:eastAsia="Courier New" w:hAnsi="Courier New" w:cs="Courier New" w:hint="default"/>
      </w:rPr>
    </w:lvl>
    <w:lvl w:ilvl="2" w:tplc="AE00ABB4">
      <w:start w:val="1"/>
      <w:numFmt w:val="bullet"/>
      <w:lvlText w:val="§"/>
      <w:lvlJc w:val="left"/>
      <w:pPr>
        <w:ind w:left="2160" w:hanging="360"/>
      </w:pPr>
      <w:rPr>
        <w:rFonts w:ascii="Wingdings" w:eastAsia="Wingdings" w:hAnsi="Wingdings" w:cs="Wingdings" w:hint="default"/>
      </w:rPr>
    </w:lvl>
    <w:lvl w:ilvl="3" w:tplc="BFC803CA">
      <w:start w:val="1"/>
      <w:numFmt w:val="bullet"/>
      <w:lvlText w:val="·"/>
      <w:lvlJc w:val="left"/>
      <w:pPr>
        <w:ind w:left="2880" w:hanging="360"/>
      </w:pPr>
      <w:rPr>
        <w:rFonts w:ascii="Symbol" w:eastAsia="Symbol" w:hAnsi="Symbol" w:cs="Symbol" w:hint="default"/>
      </w:rPr>
    </w:lvl>
    <w:lvl w:ilvl="4" w:tplc="CD2220E4">
      <w:start w:val="1"/>
      <w:numFmt w:val="bullet"/>
      <w:lvlText w:val="o"/>
      <w:lvlJc w:val="left"/>
      <w:pPr>
        <w:ind w:left="3600" w:hanging="360"/>
      </w:pPr>
      <w:rPr>
        <w:rFonts w:ascii="Courier New" w:eastAsia="Courier New" w:hAnsi="Courier New" w:cs="Courier New" w:hint="default"/>
      </w:rPr>
    </w:lvl>
    <w:lvl w:ilvl="5" w:tplc="35068A44">
      <w:start w:val="1"/>
      <w:numFmt w:val="bullet"/>
      <w:lvlText w:val="§"/>
      <w:lvlJc w:val="left"/>
      <w:pPr>
        <w:ind w:left="4320" w:hanging="360"/>
      </w:pPr>
      <w:rPr>
        <w:rFonts w:ascii="Wingdings" w:eastAsia="Wingdings" w:hAnsi="Wingdings" w:cs="Wingdings" w:hint="default"/>
      </w:rPr>
    </w:lvl>
    <w:lvl w:ilvl="6" w:tplc="E21AA4A0">
      <w:start w:val="1"/>
      <w:numFmt w:val="bullet"/>
      <w:lvlText w:val="·"/>
      <w:lvlJc w:val="left"/>
      <w:pPr>
        <w:ind w:left="5040" w:hanging="360"/>
      </w:pPr>
      <w:rPr>
        <w:rFonts w:ascii="Symbol" w:eastAsia="Symbol" w:hAnsi="Symbol" w:cs="Symbol" w:hint="default"/>
      </w:rPr>
    </w:lvl>
    <w:lvl w:ilvl="7" w:tplc="232C90A2">
      <w:start w:val="1"/>
      <w:numFmt w:val="bullet"/>
      <w:lvlText w:val="o"/>
      <w:lvlJc w:val="left"/>
      <w:pPr>
        <w:ind w:left="5760" w:hanging="360"/>
      </w:pPr>
      <w:rPr>
        <w:rFonts w:ascii="Courier New" w:eastAsia="Courier New" w:hAnsi="Courier New" w:cs="Courier New" w:hint="default"/>
      </w:rPr>
    </w:lvl>
    <w:lvl w:ilvl="8" w:tplc="33221BE4">
      <w:start w:val="1"/>
      <w:numFmt w:val="bullet"/>
      <w:lvlText w:val="§"/>
      <w:lvlJc w:val="left"/>
      <w:pPr>
        <w:ind w:left="6480" w:hanging="360"/>
      </w:pPr>
      <w:rPr>
        <w:rFonts w:ascii="Wingdings" w:eastAsia="Wingdings" w:hAnsi="Wingdings" w:cs="Wingdings" w:hint="default"/>
      </w:rPr>
    </w:lvl>
  </w:abstractNum>
  <w:abstractNum w:abstractNumId="46">
    <w:nsid w:val="25060CA6"/>
    <w:multiLevelType w:val="hybridMultilevel"/>
    <w:tmpl w:val="CCAC67CA"/>
    <w:lvl w:ilvl="0" w:tplc="4774B318">
      <w:start w:val="1"/>
      <w:numFmt w:val="decimal"/>
      <w:pStyle w:val="ASFKTableNum"/>
      <w:lvlText w:val="%1."/>
      <w:lvlJc w:val="left"/>
      <w:pPr>
        <w:tabs>
          <w:tab w:val="num" w:pos="120"/>
        </w:tabs>
        <w:ind w:left="120" w:firstLine="0"/>
      </w:pPr>
      <w:rPr>
        <w:rFonts w:ascii="Times New Roman" w:hAnsi="Times New Roman" w:cs="Times New Roman" w:hint="default"/>
        <w:b w:val="0"/>
        <w:bCs w:val="0"/>
        <w:i w:val="0"/>
        <w:iCs w:val="0"/>
        <w:caps w:val="0"/>
        <w:smallCaps w:val="0"/>
        <w:strike w:val="0"/>
        <w:vanish w:val="0"/>
        <w:color w:val="000000"/>
        <w:spacing w:val="0"/>
        <w:position w:val="0"/>
        <w:sz w:val="22"/>
        <w:szCs w:val="22"/>
        <w:u w:val="none"/>
        <w:vertAlign w:val="baseline"/>
        <w14:textOutline w14:w="0" w14:cap="rnd" w14:cmpd="sng" w14:algn="ctr">
          <w14:noFill/>
          <w14:prstDash w14:val="solid"/>
          <w14:bevel/>
        </w14:textOutline>
      </w:rPr>
    </w:lvl>
    <w:lvl w:ilvl="1" w:tplc="2D186176">
      <w:start w:val="1"/>
      <w:numFmt w:val="lowerLetter"/>
      <w:lvlText w:val="%2."/>
      <w:lvlJc w:val="left"/>
      <w:pPr>
        <w:tabs>
          <w:tab w:val="num" w:pos="1503"/>
        </w:tabs>
        <w:ind w:left="1503" w:hanging="360"/>
      </w:pPr>
    </w:lvl>
    <w:lvl w:ilvl="2" w:tplc="8956361C">
      <w:start w:val="1"/>
      <w:numFmt w:val="lowerRoman"/>
      <w:lvlText w:val="%3."/>
      <w:lvlJc w:val="right"/>
      <w:pPr>
        <w:tabs>
          <w:tab w:val="num" w:pos="2223"/>
        </w:tabs>
        <w:ind w:left="2223" w:hanging="180"/>
      </w:pPr>
    </w:lvl>
    <w:lvl w:ilvl="3" w:tplc="48F8EA78">
      <w:start w:val="1"/>
      <w:numFmt w:val="decimal"/>
      <w:lvlText w:val="%4."/>
      <w:lvlJc w:val="left"/>
      <w:pPr>
        <w:tabs>
          <w:tab w:val="num" w:pos="2943"/>
        </w:tabs>
        <w:ind w:left="2943" w:hanging="360"/>
      </w:pPr>
    </w:lvl>
    <w:lvl w:ilvl="4" w:tplc="902436FC">
      <w:start w:val="1"/>
      <w:numFmt w:val="lowerLetter"/>
      <w:lvlText w:val="%5."/>
      <w:lvlJc w:val="left"/>
      <w:pPr>
        <w:tabs>
          <w:tab w:val="num" w:pos="3663"/>
        </w:tabs>
        <w:ind w:left="3663" w:hanging="360"/>
      </w:pPr>
    </w:lvl>
    <w:lvl w:ilvl="5" w:tplc="C4240AF8">
      <w:start w:val="1"/>
      <w:numFmt w:val="lowerRoman"/>
      <w:lvlText w:val="%6."/>
      <w:lvlJc w:val="right"/>
      <w:pPr>
        <w:tabs>
          <w:tab w:val="num" w:pos="4383"/>
        </w:tabs>
        <w:ind w:left="4383" w:hanging="180"/>
      </w:pPr>
    </w:lvl>
    <w:lvl w:ilvl="6" w:tplc="435EBE72">
      <w:start w:val="1"/>
      <w:numFmt w:val="decimal"/>
      <w:lvlText w:val="%7."/>
      <w:lvlJc w:val="left"/>
      <w:pPr>
        <w:tabs>
          <w:tab w:val="num" w:pos="5103"/>
        </w:tabs>
        <w:ind w:left="5103" w:hanging="360"/>
      </w:pPr>
    </w:lvl>
    <w:lvl w:ilvl="7" w:tplc="CE066EBA">
      <w:start w:val="1"/>
      <w:numFmt w:val="lowerLetter"/>
      <w:lvlText w:val="%8."/>
      <w:lvlJc w:val="left"/>
      <w:pPr>
        <w:tabs>
          <w:tab w:val="num" w:pos="5823"/>
        </w:tabs>
        <w:ind w:left="5823" w:hanging="360"/>
      </w:pPr>
    </w:lvl>
    <w:lvl w:ilvl="8" w:tplc="6BA4E7EE">
      <w:start w:val="1"/>
      <w:numFmt w:val="lowerRoman"/>
      <w:lvlText w:val="%9."/>
      <w:lvlJc w:val="right"/>
      <w:pPr>
        <w:tabs>
          <w:tab w:val="num" w:pos="6543"/>
        </w:tabs>
        <w:ind w:left="6543" w:hanging="180"/>
      </w:pPr>
    </w:lvl>
  </w:abstractNum>
  <w:abstractNum w:abstractNumId="47">
    <w:nsid w:val="25DC2D8A"/>
    <w:multiLevelType w:val="hybridMultilevel"/>
    <w:tmpl w:val="928A4776"/>
    <w:lvl w:ilvl="0" w:tplc="0040FA8E">
      <w:start w:val="1"/>
      <w:numFmt w:val="bullet"/>
      <w:pStyle w:val="otrtablemark"/>
      <w:lvlText w:val=""/>
      <w:lvlJc w:val="left"/>
      <w:pPr>
        <w:tabs>
          <w:tab w:val="num" w:pos="340"/>
        </w:tabs>
        <w:ind w:left="340" w:hanging="283"/>
      </w:pPr>
      <w:rPr>
        <w:rFonts w:ascii="Wingdings" w:hAnsi="Wingdings" w:hint="default"/>
        <w:color w:val="auto"/>
      </w:rPr>
    </w:lvl>
    <w:lvl w:ilvl="1" w:tplc="D752ED92">
      <w:start w:val="1"/>
      <w:numFmt w:val="bullet"/>
      <w:lvlText w:val="o"/>
      <w:lvlJc w:val="left"/>
      <w:pPr>
        <w:tabs>
          <w:tab w:val="num" w:pos="1440"/>
        </w:tabs>
        <w:ind w:left="1440" w:hanging="360"/>
      </w:pPr>
      <w:rPr>
        <w:rFonts w:ascii="Courier New" w:hAnsi="Courier New" w:cs="Courier New" w:hint="default"/>
      </w:rPr>
    </w:lvl>
    <w:lvl w:ilvl="2" w:tplc="810C45D8">
      <w:start w:val="1"/>
      <w:numFmt w:val="bullet"/>
      <w:lvlText w:val=""/>
      <w:lvlJc w:val="left"/>
      <w:pPr>
        <w:tabs>
          <w:tab w:val="num" w:pos="2160"/>
        </w:tabs>
        <w:ind w:left="2160" w:hanging="360"/>
      </w:pPr>
      <w:rPr>
        <w:rFonts w:ascii="Wingdings" w:hAnsi="Wingdings" w:hint="default"/>
      </w:rPr>
    </w:lvl>
    <w:lvl w:ilvl="3" w:tplc="FDFAF264">
      <w:start w:val="1"/>
      <w:numFmt w:val="bullet"/>
      <w:lvlText w:val=""/>
      <w:lvlJc w:val="left"/>
      <w:pPr>
        <w:tabs>
          <w:tab w:val="num" w:pos="2880"/>
        </w:tabs>
        <w:ind w:left="2880" w:hanging="360"/>
      </w:pPr>
      <w:rPr>
        <w:rFonts w:ascii="Symbol" w:hAnsi="Symbol" w:hint="default"/>
      </w:rPr>
    </w:lvl>
    <w:lvl w:ilvl="4" w:tplc="92EC160C">
      <w:start w:val="1"/>
      <w:numFmt w:val="bullet"/>
      <w:lvlText w:val="o"/>
      <w:lvlJc w:val="left"/>
      <w:pPr>
        <w:tabs>
          <w:tab w:val="num" w:pos="3600"/>
        </w:tabs>
        <w:ind w:left="3600" w:hanging="360"/>
      </w:pPr>
      <w:rPr>
        <w:rFonts w:ascii="Courier New" w:hAnsi="Courier New" w:cs="Courier New" w:hint="default"/>
      </w:rPr>
    </w:lvl>
    <w:lvl w:ilvl="5" w:tplc="3912E678">
      <w:start w:val="1"/>
      <w:numFmt w:val="bullet"/>
      <w:lvlText w:val=""/>
      <w:lvlJc w:val="left"/>
      <w:pPr>
        <w:tabs>
          <w:tab w:val="num" w:pos="4320"/>
        </w:tabs>
        <w:ind w:left="4320" w:hanging="360"/>
      </w:pPr>
      <w:rPr>
        <w:rFonts w:ascii="Wingdings" w:hAnsi="Wingdings" w:hint="default"/>
      </w:rPr>
    </w:lvl>
    <w:lvl w:ilvl="6" w:tplc="35A42F9A">
      <w:start w:val="1"/>
      <w:numFmt w:val="bullet"/>
      <w:lvlText w:val=""/>
      <w:lvlJc w:val="left"/>
      <w:pPr>
        <w:tabs>
          <w:tab w:val="num" w:pos="5040"/>
        </w:tabs>
        <w:ind w:left="5040" w:hanging="360"/>
      </w:pPr>
      <w:rPr>
        <w:rFonts w:ascii="Symbol" w:hAnsi="Symbol" w:hint="default"/>
      </w:rPr>
    </w:lvl>
    <w:lvl w:ilvl="7" w:tplc="74847126">
      <w:start w:val="1"/>
      <w:numFmt w:val="bullet"/>
      <w:lvlText w:val="o"/>
      <w:lvlJc w:val="left"/>
      <w:pPr>
        <w:tabs>
          <w:tab w:val="num" w:pos="5760"/>
        </w:tabs>
        <w:ind w:left="5760" w:hanging="360"/>
      </w:pPr>
      <w:rPr>
        <w:rFonts w:ascii="Courier New" w:hAnsi="Courier New" w:cs="Courier New" w:hint="default"/>
      </w:rPr>
    </w:lvl>
    <w:lvl w:ilvl="8" w:tplc="20885690">
      <w:start w:val="1"/>
      <w:numFmt w:val="bullet"/>
      <w:lvlText w:val=""/>
      <w:lvlJc w:val="left"/>
      <w:pPr>
        <w:tabs>
          <w:tab w:val="num" w:pos="6480"/>
        </w:tabs>
        <w:ind w:left="6480" w:hanging="360"/>
      </w:pPr>
      <w:rPr>
        <w:rFonts w:ascii="Wingdings" w:hAnsi="Wingdings" w:hint="default"/>
      </w:rPr>
    </w:lvl>
  </w:abstractNum>
  <w:abstractNum w:abstractNumId="48">
    <w:nsid w:val="27BF7B82"/>
    <w:multiLevelType w:val="hybridMultilevel"/>
    <w:tmpl w:val="FE92DA24"/>
    <w:lvl w:ilvl="0" w:tplc="A412B280">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49">
    <w:nsid w:val="28587FE3"/>
    <w:multiLevelType w:val="hybridMultilevel"/>
    <w:tmpl w:val="F59A9B76"/>
    <w:styleLink w:val="30"/>
    <w:lvl w:ilvl="0" w:tplc="98A45C1A">
      <w:start w:val="5"/>
      <w:numFmt w:val="decimal"/>
      <w:pStyle w:val="30"/>
      <w:lvlText w:val="Стр. %1"/>
      <w:lvlJc w:val="left"/>
      <w:pPr>
        <w:ind w:left="360" w:hanging="360"/>
      </w:pPr>
      <w:rPr>
        <w:rFonts w:hint="default"/>
      </w:rPr>
    </w:lvl>
    <w:lvl w:ilvl="1" w:tplc="A678C29E">
      <w:start w:val="1"/>
      <w:numFmt w:val="lowerLetter"/>
      <w:lvlText w:val="%2)"/>
      <w:lvlJc w:val="left"/>
      <w:pPr>
        <w:ind w:left="720" w:hanging="360"/>
      </w:pPr>
      <w:rPr>
        <w:rFonts w:hint="default"/>
      </w:rPr>
    </w:lvl>
    <w:lvl w:ilvl="2" w:tplc="C66E266E">
      <w:start w:val="1"/>
      <w:numFmt w:val="lowerRoman"/>
      <w:lvlText w:val="%3)"/>
      <w:lvlJc w:val="left"/>
      <w:pPr>
        <w:ind w:left="1080" w:hanging="360"/>
      </w:pPr>
      <w:rPr>
        <w:rFonts w:hint="default"/>
      </w:rPr>
    </w:lvl>
    <w:lvl w:ilvl="3" w:tplc="93047CFA">
      <w:start w:val="1"/>
      <w:numFmt w:val="decimal"/>
      <w:lvlText w:val="(%4)"/>
      <w:lvlJc w:val="left"/>
      <w:pPr>
        <w:ind w:left="1440" w:hanging="360"/>
      </w:pPr>
      <w:rPr>
        <w:rFonts w:hint="default"/>
      </w:rPr>
    </w:lvl>
    <w:lvl w:ilvl="4" w:tplc="06B6D97A">
      <w:start w:val="1"/>
      <w:numFmt w:val="lowerLetter"/>
      <w:lvlText w:val="(%5)"/>
      <w:lvlJc w:val="left"/>
      <w:pPr>
        <w:ind w:left="1800" w:hanging="360"/>
      </w:pPr>
      <w:rPr>
        <w:rFonts w:hint="default"/>
      </w:rPr>
    </w:lvl>
    <w:lvl w:ilvl="5" w:tplc="DE9A67D0">
      <w:start w:val="1"/>
      <w:numFmt w:val="lowerRoman"/>
      <w:lvlText w:val="(%6)"/>
      <w:lvlJc w:val="left"/>
      <w:pPr>
        <w:ind w:left="2160" w:hanging="360"/>
      </w:pPr>
      <w:rPr>
        <w:rFonts w:hint="default"/>
      </w:rPr>
    </w:lvl>
    <w:lvl w:ilvl="6" w:tplc="1E2A8F5E">
      <w:start w:val="1"/>
      <w:numFmt w:val="decimal"/>
      <w:lvlText w:val="%7."/>
      <w:lvlJc w:val="left"/>
      <w:pPr>
        <w:ind w:left="2520" w:hanging="360"/>
      </w:pPr>
      <w:rPr>
        <w:rFonts w:hint="default"/>
      </w:rPr>
    </w:lvl>
    <w:lvl w:ilvl="7" w:tplc="82BCCE16">
      <w:start w:val="1"/>
      <w:numFmt w:val="lowerLetter"/>
      <w:lvlText w:val="%8."/>
      <w:lvlJc w:val="left"/>
      <w:pPr>
        <w:ind w:left="2880" w:hanging="360"/>
      </w:pPr>
      <w:rPr>
        <w:rFonts w:hint="default"/>
      </w:rPr>
    </w:lvl>
    <w:lvl w:ilvl="8" w:tplc="991C45C6">
      <w:start w:val="1"/>
      <w:numFmt w:val="lowerRoman"/>
      <w:lvlText w:val="%9."/>
      <w:lvlJc w:val="left"/>
      <w:pPr>
        <w:ind w:left="3240" w:hanging="360"/>
      </w:pPr>
      <w:rPr>
        <w:rFonts w:hint="default"/>
      </w:rPr>
    </w:lvl>
  </w:abstractNum>
  <w:abstractNum w:abstractNumId="50">
    <w:nsid w:val="288A6024"/>
    <w:multiLevelType w:val="multilevel"/>
    <w:tmpl w:val="D83AD4AA"/>
    <w:lvl w:ilvl="0">
      <w:start w:val="1"/>
      <w:numFmt w:val="decimal"/>
      <w:pStyle w:val="a3"/>
      <w:lvlText w:val="%1)"/>
      <w:lvlJc w:val="left"/>
      <w:pPr>
        <w:tabs>
          <w:tab w:val="num" w:pos="1134"/>
        </w:tabs>
        <w:ind w:left="1134" w:hanging="425"/>
      </w:pPr>
      <w:rPr>
        <w:rFonts w:cs="Times New Roman" w:hint="default"/>
      </w:rPr>
    </w:lvl>
    <w:lvl w:ilvl="1">
      <w:start w:val="1"/>
      <w:numFmt w:val="decimal"/>
      <w:lvlText w:val="%1.%2)"/>
      <w:lvlJc w:val="left"/>
      <w:pPr>
        <w:tabs>
          <w:tab w:val="num" w:pos="1701"/>
        </w:tabs>
        <w:ind w:left="1701" w:hanging="567"/>
      </w:pPr>
      <w:rPr>
        <w:rFonts w:cs="Times New Roman" w:hint="default"/>
      </w:rPr>
    </w:lvl>
    <w:lvl w:ilvl="2">
      <w:start w:val="1"/>
      <w:numFmt w:val="decimal"/>
      <w:lvlText w:val="2.%2.2."/>
      <w:lvlJc w:val="left"/>
      <w:pPr>
        <w:tabs>
          <w:tab w:val="num" w:pos="0"/>
        </w:tabs>
        <w:ind w:left="1224" w:hanging="504"/>
      </w:pPr>
      <w:rPr>
        <w:rFonts w:cs="Times New Roman" w:hint="default"/>
      </w:rPr>
    </w:lvl>
    <w:lvl w:ilvl="3">
      <w:start w:val="1"/>
      <w:numFmt w:val="decimal"/>
      <w:lvlText w:val="%1.%2.%3.%4."/>
      <w:lvlJc w:val="left"/>
      <w:pPr>
        <w:tabs>
          <w:tab w:val="num" w:pos="0"/>
        </w:tabs>
        <w:ind w:left="1728" w:hanging="648"/>
      </w:pPr>
      <w:rPr>
        <w:rFonts w:cs="Times New Roman" w:hint="default"/>
      </w:rPr>
    </w:lvl>
    <w:lvl w:ilvl="4">
      <w:start w:val="1"/>
      <w:numFmt w:val="decimal"/>
      <w:lvlText w:val="%1.%2.%3.%4.%5."/>
      <w:lvlJc w:val="left"/>
      <w:pPr>
        <w:tabs>
          <w:tab w:val="num" w:pos="0"/>
        </w:tabs>
        <w:ind w:left="2232" w:hanging="792"/>
      </w:pPr>
      <w:rPr>
        <w:rFonts w:cs="Times New Roman" w:hint="default"/>
      </w:rPr>
    </w:lvl>
    <w:lvl w:ilvl="5">
      <w:start w:val="1"/>
      <w:numFmt w:val="decimal"/>
      <w:lvlText w:val="%1.%2.%3.%4.%5.%6."/>
      <w:lvlJc w:val="left"/>
      <w:pPr>
        <w:tabs>
          <w:tab w:val="num" w:pos="0"/>
        </w:tabs>
        <w:ind w:left="2736" w:hanging="936"/>
      </w:pPr>
      <w:rPr>
        <w:rFonts w:cs="Times New Roman" w:hint="default"/>
      </w:rPr>
    </w:lvl>
    <w:lvl w:ilvl="6">
      <w:start w:val="1"/>
      <w:numFmt w:val="decimal"/>
      <w:lvlText w:val="%1.%2.%3.%4.%5.%6.%7."/>
      <w:lvlJc w:val="left"/>
      <w:pPr>
        <w:tabs>
          <w:tab w:val="num" w:pos="0"/>
        </w:tabs>
        <w:ind w:left="3240" w:hanging="1080"/>
      </w:pPr>
      <w:rPr>
        <w:rFonts w:cs="Times New Roman" w:hint="default"/>
      </w:rPr>
    </w:lvl>
    <w:lvl w:ilvl="7">
      <w:start w:val="1"/>
      <w:numFmt w:val="decimal"/>
      <w:lvlText w:val="%1.%2.%3.%4.%5.%6.%7.%8."/>
      <w:lvlJc w:val="left"/>
      <w:pPr>
        <w:tabs>
          <w:tab w:val="num" w:pos="0"/>
        </w:tabs>
        <w:ind w:left="3744" w:hanging="1224"/>
      </w:pPr>
      <w:rPr>
        <w:rFonts w:cs="Times New Roman" w:hint="default"/>
      </w:rPr>
    </w:lvl>
    <w:lvl w:ilvl="8">
      <w:start w:val="1"/>
      <w:numFmt w:val="decimal"/>
      <w:lvlText w:val="%1.%2.%3.%4.%5.%6.%7.%8.%9."/>
      <w:lvlJc w:val="left"/>
      <w:pPr>
        <w:tabs>
          <w:tab w:val="num" w:pos="0"/>
        </w:tabs>
        <w:ind w:left="4320" w:hanging="1440"/>
      </w:pPr>
      <w:rPr>
        <w:rFonts w:cs="Times New Roman" w:hint="default"/>
      </w:rPr>
    </w:lvl>
  </w:abstractNum>
  <w:abstractNum w:abstractNumId="51">
    <w:nsid w:val="2A971401"/>
    <w:multiLevelType w:val="hybridMultilevel"/>
    <w:tmpl w:val="36C809A4"/>
    <w:lvl w:ilvl="0" w:tplc="1206DE5C">
      <w:start w:val="1"/>
      <w:numFmt w:val="bullet"/>
      <w:pStyle w:val="50"/>
      <w:lvlText w:val=""/>
      <w:lvlJc w:val="left"/>
      <w:pPr>
        <w:tabs>
          <w:tab w:val="num" w:pos="1492"/>
        </w:tabs>
        <w:ind w:left="1492" w:hanging="360"/>
      </w:pPr>
      <w:rPr>
        <w:rFonts w:ascii="Symbol" w:hAnsi="Symbol" w:hint="default"/>
      </w:rPr>
    </w:lvl>
    <w:lvl w:ilvl="1" w:tplc="2236BA04">
      <w:start w:val="1"/>
      <w:numFmt w:val="bullet"/>
      <w:lvlText w:val="o"/>
      <w:lvlJc w:val="left"/>
      <w:pPr>
        <w:ind w:left="1440" w:hanging="360"/>
      </w:pPr>
      <w:rPr>
        <w:rFonts w:ascii="Courier New" w:eastAsia="Courier New" w:hAnsi="Courier New" w:cs="Courier New" w:hint="default"/>
      </w:rPr>
    </w:lvl>
    <w:lvl w:ilvl="2" w:tplc="B35AF2B2">
      <w:start w:val="1"/>
      <w:numFmt w:val="bullet"/>
      <w:lvlText w:val="§"/>
      <w:lvlJc w:val="left"/>
      <w:pPr>
        <w:ind w:left="2160" w:hanging="360"/>
      </w:pPr>
      <w:rPr>
        <w:rFonts w:ascii="Wingdings" w:eastAsia="Wingdings" w:hAnsi="Wingdings" w:cs="Wingdings" w:hint="default"/>
      </w:rPr>
    </w:lvl>
    <w:lvl w:ilvl="3" w:tplc="1C507DCE">
      <w:start w:val="1"/>
      <w:numFmt w:val="bullet"/>
      <w:lvlText w:val="·"/>
      <w:lvlJc w:val="left"/>
      <w:pPr>
        <w:ind w:left="2880" w:hanging="360"/>
      </w:pPr>
      <w:rPr>
        <w:rFonts w:ascii="Symbol" w:eastAsia="Symbol" w:hAnsi="Symbol" w:cs="Symbol" w:hint="default"/>
      </w:rPr>
    </w:lvl>
    <w:lvl w:ilvl="4" w:tplc="EE4EBAE6">
      <w:start w:val="1"/>
      <w:numFmt w:val="bullet"/>
      <w:lvlText w:val="o"/>
      <w:lvlJc w:val="left"/>
      <w:pPr>
        <w:ind w:left="3600" w:hanging="360"/>
      </w:pPr>
      <w:rPr>
        <w:rFonts w:ascii="Courier New" w:eastAsia="Courier New" w:hAnsi="Courier New" w:cs="Courier New" w:hint="default"/>
      </w:rPr>
    </w:lvl>
    <w:lvl w:ilvl="5" w:tplc="BC1AB86C">
      <w:start w:val="1"/>
      <w:numFmt w:val="bullet"/>
      <w:lvlText w:val="§"/>
      <w:lvlJc w:val="left"/>
      <w:pPr>
        <w:ind w:left="4320" w:hanging="360"/>
      </w:pPr>
      <w:rPr>
        <w:rFonts w:ascii="Wingdings" w:eastAsia="Wingdings" w:hAnsi="Wingdings" w:cs="Wingdings" w:hint="default"/>
      </w:rPr>
    </w:lvl>
    <w:lvl w:ilvl="6" w:tplc="96A26C26">
      <w:start w:val="1"/>
      <w:numFmt w:val="bullet"/>
      <w:lvlText w:val="·"/>
      <w:lvlJc w:val="left"/>
      <w:pPr>
        <w:ind w:left="5040" w:hanging="360"/>
      </w:pPr>
      <w:rPr>
        <w:rFonts w:ascii="Symbol" w:eastAsia="Symbol" w:hAnsi="Symbol" w:cs="Symbol" w:hint="default"/>
      </w:rPr>
    </w:lvl>
    <w:lvl w:ilvl="7" w:tplc="45A8C356">
      <w:start w:val="1"/>
      <w:numFmt w:val="bullet"/>
      <w:lvlText w:val="o"/>
      <w:lvlJc w:val="left"/>
      <w:pPr>
        <w:ind w:left="5760" w:hanging="360"/>
      </w:pPr>
      <w:rPr>
        <w:rFonts w:ascii="Courier New" w:eastAsia="Courier New" w:hAnsi="Courier New" w:cs="Courier New" w:hint="default"/>
      </w:rPr>
    </w:lvl>
    <w:lvl w:ilvl="8" w:tplc="2C4848E4">
      <w:start w:val="1"/>
      <w:numFmt w:val="bullet"/>
      <w:lvlText w:val="§"/>
      <w:lvlJc w:val="left"/>
      <w:pPr>
        <w:ind w:left="6480" w:hanging="360"/>
      </w:pPr>
      <w:rPr>
        <w:rFonts w:ascii="Wingdings" w:eastAsia="Wingdings" w:hAnsi="Wingdings" w:cs="Wingdings" w:hint="default"/>
      </w:rPr>
    </w:lvl>
  </w:abstractNum>
  <w:abstractNum w:abstractNumId="52">
    <w:nsid w:val="2B44059E"/>
    <w:multiLevelType w:val="hybridMultilevel"/>
    <w:tmpl w:val="7D8A9B04"/>
    <w:lvl w:ilvl="0" w:tplc="A412B280">
      <w:start w:val="1"/>
      <w:numFmt w:val="bullet"/>
      <w:lvlText w:val=""/>
      <w:lvlJc w:val="left"/>
      <w:pPr>
        <w:ind w:left="1200" w:hanging="360"/>
      </w:pPr>
      <w:rPr>
        <w:rFonts w:ascii="Symbol" w:hAnsi="Symbol" w:hint="default"/>
      </w:rPr>
    </w:lvl>
    <w:lvl w:ilvl="1" w:tplc="98C0872C">
      <w:start w:val="1"/>
      <w:numFmt w:val="bullet"/>
      <w:lvlText w:val="o"/>
      <w:lvlJc w:val="left"/>
      <w:pPr>
        <w:ind w:left="1920" w:hanging="360"/>
      </w:pPr>
      <w:rPr>
        <w:rFonts w:ascii="Courier New" w:hAnsi="Courier New" w:cs="Courier New" w:hint="default"/>
      </w:rPr>
    </w:lvl>
    <w:lvl w:ilvl="2" w:tplc="46EA03E8">
      <w:start w:val="1"/>
      <w:numFmt w:val="bullet"/>
      <w:lvlText w:val=""/>
      <w:lvlJc w:val="left"/>
      <w:pPr>
        <w:ind w:left="2640" w:hanging="360"/>
      </w:pPr>
      <w:rPr>
        <w:rFonts w:ascii="Wingdings" w:hAnsi="Wingdings" w:hint="default"/>
      </w:rPr>
    </w:lvl>
    <w:lvl w:ilvl="3" w:tplc="3B6E532C">
      <w:start w:val="1"/>
      <w:numFmt w:val="bullet"/>
      <w:lvlText w:val=""/>
      <w:lvlJc w:val="left"/>
      <w:pPr>
        <w:ind w:left="3360" w:hanging="360"/>
      </w:pPr>
      <w:rPr>
        <w:rFonts w:ascii="Symbol" w:hAnsi="Symbol" w:hint="default"/>
      </w:rPr>
    </w:lvl>
    <w:lvl w:ilvl="4" w:tplc="29286FBC">
      <w:start w:val="1"/>
      <w:numFmt w:val="bullet"/>
      <w:lvlText w:val="o"/>
      <w:lvlJc w:val="left"/>
      <w:pPr>
        <w:ind w:left="4080" w:hanging="360"/>
      </w:pPr>
      <w:rPr>
        <w:rFonts w:ascii="Courier New" w:hAnsi="Courier New" w:cs="Courier New" w:hint="default"/>
      </w:rPr>
    </w:lvl>
    <w:lvl w:ilvl="5" w:tplc="F22ABC04">
      <w:start w:val="1"/>
      <w:numFmt w:val="bullet"/>
      <w:lvlText w:val=""/>
      <w:lvlJc w:val="left"/>
      <w:pPr>
        <w:ind w:left="4800" w:hanging="360"/>
      </w:pPr>
      <w:rPr>
        <w:rFonts w:ascii="Wingdings" w:hAnsi="Wingdings" w:hint="default"/>
      </w:rPr>
    </w:lvl>
    <w:lvl w:ilvl="6" w:tplc="98BC039C">
      <w:start w:val="1"/>
      <w:numFmt w:val="bullet"/>
      <w:lvlText w:val=""/>
      <w:lvlJc w:val="left"/>
      <w:pPr>
        <w:ind w:left="5520" w:hanging="360"/>
      </w:pPr>
      <w:rPr>
        <w:rFonts w:ascii="Symbol" w:hAnsi="Symbol" w:hint="default"/>
      </w:rPr>
    </w:lvl>
    <w:lvl w:ilvl="7" w:tplc="F0C078BC">
      <w:start w:val="1"/>
      <w:numFmt w:val="bullet"/>
      <w:lvlText w:val="o"/>
      <w:lvlJc w:val="left"/>
      <w:pPr>
        <w:ind w:left="6240" w:hanging="360"/>
      </w:pPr>
      <w:rPr>
        <w:rFonts w:ascii="Courier New" w:hAnsi="Courier New" w:cs="Courier New" w:hint="default"/>
      </w:rPr>
    </w:lvl>
    <w:lvl w:ilvl="8" w:tplc="41642C56">
      <w:start w:val="1"/>
      <w:numFmt w:val="bullet"/>
      <w:lvlText w:val=""/>
      <w:lvlJc w:val="left"/>
      <w:pPr>
        <w:ind w:left="6960" w:hanging="360"/>
      </w:pPr>
      <w:rPr>
        <w:rFonts w:ascii="Wingdings" w:hAnsi="Wingdings" w:hint="default"/>
      </w:rPr>
    </w:lvl>
  </w:abstractNum>
  <w:abstractNum w:abstractNumId="53">
    <w:nsid w:val="2B6F0460"/>
    <w:multiLevelType w:val="multilevel"/>
    <w:tmpl w:val="0706E3A0"/>
    <w:lvl w:ilvl="0">
      <w:start w:val="1"/>
      <w:numFmt w:val="decimal"/>
      <w:pStyle w:val="10"/>
      <w:lvlText w:val="%1."/>
      <w:lvlJc w:val="left"/>
      <w:pPr>
        <w:tabs>
          <w:tab w:val="num" w:pos="432"/>
        </w:tabs>
        <w:ind w:left="432" w:hanging="432"/>
      </w:pPr>
      <w:rPr>
        <w:rFonts w:hint="default"/>
      </w:rPr>
    </w:lvl>
    <w:lvl w:ilvl="1">
      <w:start w:val="1"/>
      <w:numFmt w:val="decimal"/>
      <w:pStyle w:val="22"/>
      <w:lvlText w:val="%1.%2."/>
      <w:lvlJc w:val="left"/>
      <w:pPr>
        <w:tabs>
          <w:tab w:val="num" w:pos="576"/>
        </w:tabs>
        <w:ind w:left="576" w:hanging="576"/>
      </w:pPr>
      <w:rPr>
        <w:rFonts w:hint="default"/>
      </w:rPr>
    </w:lvl>
    <w:lvl w:ilvl="2">
      <w:start w:val="1"/>
      <w:numFmt w:val="decimal"/>
      <w:pStyle w:val="31"/>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1"/>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4">
    <w:nsid w:val="2C015820"/>
    <w:multiLevelType w:val="hybridMultilevel"/>
    <w:tmpl w:val="2002726C"/>
    <w:lvl w:ilvl="0" w:tplc="FBB4F21E">
      <w:start w:val="1"/>
      <w:numFmt w:val="bullet"/>
      <w:lvlText w:val=""/>
      <w:lvlJc w:val="left"/>
      <w:pPr>
        <w:ind w:left="720" w:hanging="360"/>
      </w:pPr>
      <w:rPr>
        <w:rFonts w:ascii="Symbol" w:hAnsi="Symbol" w:hint="default"/>
      </w:rPr>
    </w:lvl>
    <w:lvl w:ilvl="1" w:tplc="24729580">
      <w:start w:val="1"/>
      <w:numFmt w:val="bullet"/>
      <w:lvlText w:val="o"/>
      <w:lvlJc w:val="left"/>
      <w:pPr>
        <w:ind w:left="1440" w:hanging="360"/>
      </w:pPr>
      <w:rPr>
        <w:rFonts w:ascii="Courier New" w:hAnsi="Courier New" w:cs="Courier New" w:hint="default"/>
      </w:rPr>
    </w:lvl>
    <w:lvl w:ilvl="2" w:tplc="B9349B96">
      <w:start w:val="1"/>
      <w:numFmt w:val="bullet"/>
      <w:lvlText w:val=""/>
      <w:lvlJc w:val="left"/>
      <w:pPr>
        <w:ind w:left="2160" w:hanging="360"/>
      </w:pPr>
      <w:rPr>
        <w:rFonts w:ascii="Wingdings" w:hAnsi="Wingdings" w:hint="default"/>
      </w:rPr>
    </w:lvl>
    <w:lvl w:ilvl="3" w:tplc="5FBE73DA">
      <w:start w:val="1"/>
      <w:numFmt w:val="bullet"/>
      <w:lvlText w:val=""/>
      <w:lvlJc w:val="left"/>
      <w:pPr>
        <w:ind w:left="2880" w:hanging="360"/>
      </w:pPr>
      <w:rPr>
        <w:rFonts w:ascii="Symbol" w:hAnsi="Symbol" w:hint="default"/>
      </w:rPr>
    </w:lvl>
    <w:lvl w:ilvl="4" w:tplc="0332064A">
      <w:start w:val="1"/>
      <w:numFmt w:val="bullet"/>
      <w:lvlText w:val="o"/>
      <w:lvlJc w:val="left"/>
      <w:pPr>
        <w:ind w:left="3600" w:hanging="360"/>
      </w:pPr>
      <w:rPr>
        <w:rFonts w:ascii="Courier New" w:hAnsi="Courier New" w:cs="Courier New" w:hint="default"/>
      </w:rPr>
    </w:lvl>
    <w:lvl w:ilvl="5" w:tplc="C436C0B2">
      <w:start w:val="1"/>
      <w:numFmt w:val="bullet"/>
      <w:lvlText w:val=""/>
      <w:lvlJc w:val="left"/>
      <w:pPr>
        <w:ind w:left="4320" w:hanging="360"/>
      </w:pPr>
      <w:rPr>
        <w:rFonts w:ascii="Wingdings" w:hAnsi="Wingdings" w:hint="default"/>
      </w:rPr>
    </w:lvl>
    <w:lvl w:ilvl="6" w:tplc="E4E262F2">
      <w:start w:val="1"/>
      <w:numFmt w:val="bullet"/>
      <w:lvlText w:val=""/>
      <w:lvlJc w:val="left"/>
      <w:pPr>
        <w:ind w:left="5040" w:hanging="360"/>
      </w:pPr>
      <w:rPr>
        <w:rFonts w:ascii="Symbol" w:hAnsi="Symbol" w:hint="default"/>
      </w:rPr>
    </w:lvl>
    <w:lvl w:ilvl="7" w:tplc="4DCE4D4E">
      <w:start w:val="1"/>
      <w:numFmt w:val="bullet"/>
      <w:lvlText w:val="o"/>
      <w:lvlJc w:val="left"/>
      <w:pPr>
        <w:ind w:left="5760" w:hanging="360"/>
      </w:pPr>
      <w:rPr>
        <w:rFonts w:ascii="Courier New" w:hAnsi="Courier New" w:cs="Courier New" w:hint="default"/>
      </w:rPr>
    </w:lvl>
    <w:lvl w:ilvl="8" w:tplc="05CCB248">
      <w:start w:val="1"/>
      <w:numFmt w:val="bullet"/>
      <w:lvlText w:val=""/>
      <w:lvlJc w:val="left"/>
      <w:pPr>
        <w:ind w:left="6480" w:hanging="360"/>
      </w:pPr>
      <w:rPr>
        <w:rFonts w:ascii="Wingdings" w:hAnsi="Wingdings" w:hint="default"/>
      </w:rPr>
    </w:lvl>
  </w:abstractNum>
  <w:abstractNum w:abstractNumId="55">
    <w:nsid w:val="2CA90B24"/>
    <w:multiLevelType w:val="hybridMultilevel"/>
    <w:tmpl w:val="4AD8D168"/>
    <w:lvl w:ilvl="0" w:tplc="A412B280">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56">
    <w:nsid w:val="2CC7021B"/>
    <w:multiLevelType w:val="hybridMultilevel"/>
    <w:tmpl w:val="F98AB148"/>
    <w:lvl w:ilvl="0" w:tplc="A412B280">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57">
    <w:nsid w:val="2E884C34"/>
    <w:multiLevelType w:val="hybridMultilevel"/>
    <w:tmpl w:val="5DF866A8"/>
    <w:lvl w:ilvl="0" w:tplc="A33E0A82">
      <w:start w:val="1"/>
      <w:numFmt w:val="none"/>
      <w:lvlText w:val="Таблица "/>
      <w:lvlJc w:val="left"/>
      <w:pPr>
        <w:tabs>
          <w:tab w:val="num" w:pos="567"/>
        </w:tabs>
        <w:ind w:left="0" w:firstLine="567"/>
      </w:pPr>
      <w:rPr>
        <w:rFonts w:ascii="Times New Roman" w:hAnsi="Times New Roman" w:cs="Times New Roman" w:hint="default"/>
        <w:b/>
        <w:bCs w:val="0"/>
        <w:i w:val="0"/>
        <w:iCs w:val="0"/>
        <w:caps w:val="0"/>
        <w:smallCaps w:val="0"/>
        <w:strike w:val="0"/>
        <w:vanish w:val="0"/>
        <w:spacing w:val="0"/>
        <w:position w:val="0"/>
        <w:sz w:val="24"/>
        <w:u w:val="none"/>
        <w:vertAlign w:val="baseline"/>
      </w:rPr>
    </w:lvl>
    <w:lvl w:ilvl="1" w:tplc="93B86F9E">
      <w:start w:val="1"/>
      <w:numFmt w:val="lowerLetter"/>
      <w:lvlText w:val="%2."/>
      <w:lvlJc w:val="left"/>
      <w:pPr>
        <w:tabs>
          <w:tab w:val="num" w:pos="1440"/>
        </w:tabs>
        <w:ind w:left="1440" w:hanging="360"/>
      </w:pPr>
    </w:lvl>
    <w:lvl w:ilvl="2" w:tplc="7BB413C0">
      <w:start w:val="1"/>
      <w:numFmt w:val="lowerRoman"/>
      <w:lvlText w:val="%3."/>
      <w:lvlJc w:val="right"/>
      <w:pPr>
        <w:tabs>
          <w:tab w:val="num" w:pos="2160"/>
        </w:tabs>
        <w:ind w:left="2160" w:hanging="180"/>
      </w:pPr>
    </w:lvl>
    <w:lvl w:ilvl="3" w:tplc="16808FEE">
      <w:start w:val="1"/>
      <w:numFmt w:val="decimal"/>
      <w:lvlText w:val="%4."/>
      <w:lvlJc w:val="left"/>
      <w:pPr>
        <w:tabs>
          <w:tab w:val="num" w:pos="2880"/>
        </w:tabs>
        <w:ind w:left="2880" w:hanging="360"/>
      </w:pPr>
    </w:lvl>
    <w:lvl w:ilvl="4" w:tplc="199CEA14">
      <w:start w:val="1"/>
      <w:numFmt w:val="lowerLetter"/>
      <w:lvlText w:val="%5."/>
      <w:lvlJc w:val="left"/>
      <w:pPr>
        <w:tabs>
          <w:tab w:val="num" w:pos="3600"/>
        </w:tabs>
        <w:ind w:left="3600" w:hanging="360"/>
      </w:pPr>
    </w:lvl>
    <w:lvl w:ilvl="5" w:tplc="AF362240">
      <w:start w:val="1"/>
      <w:numFmt w:val="lowerRoman"/>
      <w:lvlText w:val="%6."/>
      <w:lvlJc w:val="right"/>
      <w:pPr>
        <w:tabs>
          <w:tab w:val="num" w:pos="4320"/>
        </w:tabs>
        <w:ind w:left="4320" w:hanging="180"/>
      </w:pPr>
    </w:lvl>
    <w:lvl w:ilvl="6" w:tplc="608A1E94">
      <w:start w:val="1"/>
      <w:numFmt w:val="decimal"/>
      <w:lvlText w:val="%7."/>
      <w:lvlJc w:val="left"/>
      <w:pPr>
        <w:tabs>
          <w:tab w:val="num" w:pos="5040"/>
        </w:tabs>
        <w:ind w:left="5040" w:hanging="360"/>
      </w:pPr>
    </w:lvl>
    <w:lvl w:ilvl="7" w:tplc="6A12A288">
      <w:start w:val="1"/>
      <w:numFmt w:val="lowerLetter"/>
      <w:lvlText w:val="%8."/>
      <w:lvlJc w:val="left"/>
      <w:pPr>
        <w:tabs>
          <w:tab w:val="num" w:pos="5760"/>
        </w:tabs>
        <w:ind w:left="5760" w:hanging="360"/>
      </w:pPr>
    </w:lvl>
    <w:lvl w:ilvl="8" w:tplc="A582D5EC">
      <w:start w:val="1"/>
      <w:numFmt w:val="lowerRoman"/>
      <w:lvlText w:val="%9."/>
      <w:lvlJc w:val="right"/>
      <w:pPr>
        <w:tabs>
          <w:tab w:val="num" w:pos="6480"/>
        </w:tabs>
        <w:ind w:left="6480" w:hanging="180"/>
      </w:pPr>
    </w:lvl>
  </w:abstractNum>
  <w:abstractNum w:abstractNumId="58">
    <w:nsid w:val="2F2436D6"/>
    <w:multiLevelType w:val="multilevel"/>
    <w:tmpl w:val="34E48ED2"/>
    <w:lvl w:ilvl="0">
      <w:start w:val="1"/>
      <w:numFmt w:val="decimal"/>
      <w:pStyle w:val="otrlistnum1"/>
      <w:lvlText w:val="%1."/>
      <w:lvlJc w:val="left"/>
      <w:pPr>
        <w:tabs>
          <w:tab w:val="num" w:pos="1491"/>
        </w:tabs>
        <w:ind w:left="1491" w:hanging="357"/>
      </w:pPr>
      <w:rPr>
        <w:rFonts w:ascii="Arial" w:hAnsi="Arial" w:hint="default"/>
        <w:color w:val="auto"/>
        <w:sz w:val="20"/>
      </w:rPr>
    </w:lvl>
    <w:lvl w:ilvl="1">
      <w:start w:val="1"/>
      <w:numFmt w:val="decimal"/>
      <w:lvlText w:val="%1.%2."/>
      <w:lvlJc w:val="left"/>
      <w:pPr>
        <w:tabs>
          <w:tab w:val="num" w:pos="2070"/>
        </w:tabs>
        <w:ind w:left="2070" w:hanging="539"/>
      </w:pPr>
      <w:rPr>
        <w:rFonts w:hint="default"/>
      </w:rPr>
    </w:lvl>
    <w:lvl w:ilvl="2">
      <w:start w:val="1"/>
      <w:numFmt w:val="decimal"/>
      <w:lvlText w:val="%1.%2.%3."/>
      <w:lvlJc w:val="left"/>
      <w:pPr>
        <w:tabs>
          <w:tab w:val="num" w:pos="2608"/>
        </w:tabs>
        <w:ind w:left="2608" w:hanging="680"/>
      </w:pPr>
      <w:rPr>
        <w:rFonts w:hint="default"/>
      </w:rPr>
    </w:lvl>
    <w:lvl w:ilvl="3">
      <w:start w:val="1"/>
      <w:numFmt w:val="decimal"/>
      <w:lvlText w:val="%1.%2.%3.%4."/>
      <w:lvlJc w:val="left"/>
      <w:pPr>
        <w:tabs>
          <w:tab w:val="num" w:pos="2880"/>
        </w:tabs>
        <w:ind w:left="1728" w:hanging="648"/>
      </w:pPr>
      <w:rPr>
        <w:rFonts w:hint="default"/>
      </w:rPr>
    </w:lvl>
    <w:lvl w:ilvl="4">
      <w:start w:val="1"/>
      <w:numFmt w:val="decimal"/>
      <w:lvlText w:val="%1.%2.%3.%4.%5."/>
      <w:lvlJc w:val="left"/>
      <w:pPr>
        <w:tabs>
          <w:tab w:val="num" w:pos="3600"/>
        </w:tabs>
        <w:ind w:left="2232" w:hanging="792"/>
      </w:pPr>
      <w:rPr>
        <w:rFonts w:hint="default"/>
      </w:rPr>
    </w:lvl>
    <w:lvl w:ilvl="5">
      <w:start w:val="1"/>
      <w:numFmt w:val="decimal"/>
      <w:lvlText w:val="%1.%2.%3.%4.%5.%6."/>
      <w:lvlJc w:val="left"/>
      <w:pPr>
        <w:tabs>
          <w:tab w:val="num" w:pos="4320"/>
        </w:tabs>
        <w:ind w:left="2736" w:hanging="936"/>
      </w:pPr>
      <w:rPr>
        <w:rFonts w:hint="default"/>
      </w:rPr>
    </w:lvl>
    <w:lvl w:ilvl="6">
      <w:start w:val="1"/>
      <w:numFmt w:val="decimal"/>
      <w:lvlText w:val="%1.%2.%3.%4.%5.%6.%7."/>
      <w:lvlJc w:val="left"/>
      <w:pPr>
        <w:tabs>
          <w:tab w:val="num" w:pos="5040"/>
        </w:tabs>
        <w:ind w:left="3240" w:hanging="1080"/>
      </w:pPr>
      <w:rPr>
        <w:rFonts w:hint="default"/>
      </w:rPr>
    </w:lvl>
    <w:lvl w:ilvl="7">
      <w:start w:val="1"/>
      <w:numFmt w:val="decimal"/>
      <w:lvlText w:val="%1.%2.%3.%4.%5.%6.%7.%8."/>
      <w:lvlJc w:val="left"/>
      <w:pPr>
        <w:tabs>
          <w:tab w:val="num" w:pos="6120"/>
        </w:tabs>
        <w:ind w:left="3744" w:hanging="1224"/>
      </w:pPr>
      <w:rPr>
        <w:rFonts w:hint="default"/>
      </w:rPr>
    </w:lvl>
    <w:lvl w:ilvl="8">
      <w:start w:val="1"/>
      <w:numFmt w:val="decimal"/>
      <w:lvlText w:val="%1.%2.%3.%4.%5.%6.%7.%8.%9."/>
      <w:lvlJc w:val="left"/>
      <w:pPr>
        <w:tabs>
          <w:tab w:val="num" w:pos="6840"/>
        </w:tabs>
        <w:ind w:left="4320" w:hanging="1440"/>
      </w:pPr>
      <w:rPr>
        <w:rFonts w:hint="default"/>
      </w:rPr>
    </w:lvl>
  </w:abstractNum>
  <w:abstractNum w:abstractNumId="59">
    <w:nsid w:val="3041598A"/>
    <w:multiLevelType w:val="hybridMultilevel"/>
    <w:tmpl w:val="8B18BA86"/>
    <w:styleLink w:val="01"/>
    <w:lvl w:ilvl="0" w:tplc="417C8C7A">
      <w:start w:val="1"/>
      <w:numFmt w:val="russianLower"/>
      <w:pStyle w:val="01"/>
      <w:lvlText w:val="%1)"/>
      <w:lvlJc w:val="left"/>
      <w:pPr>
        <w:ind w:left="454" w:hanging="341"/>
      </w:pPr>
      <w:rPr>
        <w:rFonts w:ascii="Times New Roman" w:hAnsi="Times New Roman" w:cs="Times New Roman" w:hint="default"/>
        <w:b w:val="0"/>
        <w:bCs w:val="0"/>
        <w:i w:val="0"/>
        <w:iCs w:val="0"/>
        <w:caps w:val="0"/>
        <w:smallCaps w:val="0"/>
        <w:strike w:val="0"/>
        <w:vanish w:val="0"/>
        <w:color w:val="000000"/>
        <w:spacing w:val="0"/>
        <w:position w:val="0"/>
        <w:sz w:val="20"/>
        <w:u w:val="none"/>
        <w:vertAlign w:val="baseline"/>
      </w:rPr>
    </w:lvl>
    <w:lvl w:ilvl="1" w:tplc="CAE0A2AC">
      <w:start w:val="1"/>
      <w:numFmt w:val="decimal"/>
      <w:lvlText w:val="%2)"/>
      <w:lvlJc w:val="left"/>
      <w:pPr>
        <w:tabs>
          <w:tab w:val="num" w:pos="1247"/>
        </w:tabs>
        <w:ind w:left="680" w:hanging="454"/>
      </w:pPr>
      <w:rPr>
        <w:rFonts w:ascii="Times New Roman" w:hAnsi="Times New Roman" w:hint="default"/>
        <w:b w:val="0"/>
        <w:i w:val="0"/>
        <w:caps w:val="0"/>
        <w:strike w:val="0"/>
        <w:vanish w:val="0"/>
        <w:color w:val="000000"/>
        <w:spacing w:val="0"/>
        <w:position w:val="0"/>
        <w:sz w:val="24"/>
        <w:u w:val="none"/>
        <w:vertAlign w:val="baseline"/>
      </w:rPr>
    </w:lvl>
    <w:lvl w:ilvl="2" w:tplc="42BEF130">
      <w:start w:val="1"/>
      <w:numFmt w:val="none"/>
      <w:lvlText w:val="-"/>
      <w:lvlJc w:val="left"/>
      <w:pPr>
        <w:tabs>
          <w:tab w:val="num" w:pos="1360"/>
        </w:tabs>
        <w:ind w:left="793" w:hanging="454"/>
      </w:pPr>
      <w:rPr>
        <w:rFonts w:ascii="Times New Roman" w:hAnsi="Times New Roman" w:hint="default"/>
        <w:b w:val="0"/>
        <w:i w:val="0"/>
        <w:caps w:val="0"/>
        <w:strike w:val="0"/>
        <w:vanish w:val="0"/>
        <w:color w:val="auto"/>
        <w:spacing w:val="0"/>
        <w:position w:val="0"/>
        <w:sz w:val="24"/>
        <w:u w:val="none"/>
        <w:vertAlign w:val="baseline"/>
      </w:rPr>
    </w:lvl>
    <w:lvl w:ilvl="3" w:tplc="6C6864C0">
      <w:start w:val="1"/>
      <w:numFmt w:val="none"/>
      <w:lvlText w:val="-"/>
      <w:lvlJc w:val="left"/>
      <w:pPr>
        <w:tabs>
          <w:tab w:val="num" w:pos="1473"/>
        </w:tabs>
        <w:ind w:left="906" w:hanging="454"/>
      </w:pPr>
      <w:rPr>
        <w:rFonts w:ascii="Times New Roman" w:hAnsi="Times New Roman" w:hint="default"/>
        <w:b w:val="0"/>
        <w:i w:val="0"/>
        <w:caps w:val="0"/>
        <w:strike w:val="0"/>
        <w:vanish w:val="0"/>
        <w:color w:val="auto"/>
        <w:spacing w:val="0"/>
        <w:position w:val="0"/>
        <w:sz w:val="24"/>
        <w:u w:val="none"/>
        <w:vertAlign w:val="baseline"/>
      </w:rPr>
    </w:lvl>
    <w:lvl w:ilvl="4" w:tplc="7C2E8394">
      <w:start w:val="1"/>
      <w:numFmt w:val="none"/>
      <w:lvlText w:val="-"/>
      <w:lvlJc w:val="left"/>
      <w:pPr>
        <w:tabs>
          <w:tab w:val="num" w:pos="1586"/>
        </w:tabs>
        <w:ind w:left="1019" w:hanging="454"/>
      </w:pPr>
      <w:rPr>
        <w:rFonts w:ascii="Times New Roman" w:hAnsi="Times New Roman" w:hint="default"/>
        <w:b w:val="0"/>
        <w:i w:val="0"/>
        <w:caps w:val="0"/>
        <w:strike w:val="0"/>
        <w:vanish w:val="0"/>
        <w:color w:val="auto"/>
        <w:sz w:val="24"/>
        <w:u w:val="none"/>
        <w:vertAlign w:val="baseline"/>
      </w:rPr>
    </w:lvl>
    <w:lvl w:ilvl="5" w:tplc="62B41AB4">
      <w:start w:val="1"/>
      <w:numFmt w:val="none"/>
      <w:lvlText w:val="-"/>
      <w:lvlJc w:val="left"/>
      <w:pPr>
        <w:tabs>
          <w:tab w:val="num" w:pos="1699"/>
        </w:tabs>
        <w:ind w:left="1132" w:hanging="454"/>
      </w:pPr>
      <w:rPr>
        <w:rFonts w:ascii="Times New Roman" w:hAnsi="Times New Roman" w:hint="default"/>
        <w:b w:val="0"/>
        <w:i w:val="0"/>
        <w:caps w:val="0"/>
        <w:strike w:val="0"/>
        <w:vanish w:val="0"/>
        <w:color w:val="auto"/>
        <w:spacing w:val="0"/>
        <w:position w:val="0"/>
        <w:sz w:val="24"/>
        <w:vertAlign w:val="baseline"/>
      </w:rPr>
    </w:lvl>
    <w:lvl w:ilvl="6" w:tplc="C4905300">
      <w:start w:val="1"/>
      <w:numFmt w:val="none"/>
      <w:lvlText w:val="-"/>
      <w:lvlJc w:val="left"/>
      <w:pPr>
        <w:tabs>
          <w:tab w:val="num" w:pos="1812"/>
        </w:tabs>
        <w:ind w:left="1245" w:hanging="454"/>
      </w:pPr>
      <w:rPr>
        <w:rFonts w:hint="default"/>
      </w:rPr>
    </w:lvl>
    <w:lvl w:ilvl="7" w:tplc="7756C160">
      <w:start w:val="1"/>
      <w:numFmt w:val="none"/>
      <w:lvlText w:val="-"/>
      <w:lvlJc w:val="left"/>
      <w:pPr>
        <w:tabs>
          <w:tab w:val="num" w:pos="1925"/>
        </w:tabs>
        <w:ind w:left="1358" w:hanging="454"/>
      </w:pPr>
      <w:rPr>
        <w:rFonts w:hint="default"/>
      </w:rPr>
    </w:lvl>
    <w:lvl w:ilvl="8" w:tplc="34027CD8">
      <w:start w:val="1"/>
      <w:numFmt w:val="none"/>
      <w:lvlText w:val="-"/>
      <w:lvlJc w:val="left"/>
      <w:pPr>
        <w:tabs>
          <w:tab w:val="num" w:pos="2038"/>
        </w:tabs>
        <w:ind w:left="1471" w:hanging="454"/>
      </w:pPr>
      <w:rPr>
        <w:rFonts w:hint="default"/>
      </w:rPr>
    </w:lvl>
  </w:abstractNum>
  <w:abstractNum w:abstractNumId="60">
    <w:nsid w:val="3068362A"/>
    <w:multiLevelType w:val="hybridMultilevel"/>
    <w:tmpl w:val="6E8C6324"/>
    <w:lvl w:ilvl="0" w:tplc="B48E4AFC">
      <w:start w:val="1"/>
      <w:numFmt w:val="bullet"/>
      <w:lvlText w:val=""/>
      <w:lvlJc w:val="left"/>
      <w:pPr>
        <w:ind w:left="777" w:hanging="360"/>
      </w:pPr>
      <w:rPr>
        <w:rFonts w:ascii="Symbol" w:hAnsi="Symbol" w:hint="default"/>
      </w:rPr>
    </w:lvl>
    <w:lvl w:ilvl="1" w:tplc="1DFCBE88">
      <w:start w:val="1"/>
      <w:numFmt w:val="bullet"/>
      <w:lvlText w:val="o"/>
      <w:lvlJc w:val="left"/>
      <w:pPr>
        <w:ind w:left="1497" w:hanging="360"/>
      </w:pPr>
      <w:rPr>
        <w:rFonts w:ascii="Courier New" w:hAnsi="Courier New" w:cs="Courier New" w:hint="default"/>
      </w:rPr>
    </w:lvl>
    <w:lvl w:ilvl="2" w:tplc="1772CC28">
      <w:start w:val="1"/>
      <w:numFmt w:val="bullet"/>
      <w:lvlText w:val=""/>
      <w:lvlJc w:val="left"/>
      <w:pPr>
        <w:ind w:left="2217" w:hanging="360"/>
      </w:pPr>
      <w:rPr>
        <w:rFonts w:ascii="Wingdings" w:hAnsi="Wingdings" w:hint="default"/>
      </w:rPr>
    </w:lvl>
    <w:lvl w:ilvl="3" w:tplc="98103688">
      <w:start w:val="1"/>
      <w:numFmt w:val="bullet"/>
      <w:lvlText w:val=""/>
      <w:lvlJc w:val="left"/>
      <w:pPr>
        <w:ind w:left="2937" w:hanging="360"/>
      </w:pPr>
      <w:rPr>
        <w:rFonts w:ascii="Symbol" w:hAnsi="Symbol" w:hint="default"/>
      </w:rPr>
    </w:lvl>
    <w:lvl w:ilvl="4" w:tplc="783038FE">
      <w:start w:val="1"/>
      <w:numFmt w:val="bullet"/>
      <w:lvlText w:val="o"/>
      <w:lvlJc w:val="left"/>
      <w:pPr>
        <w:ind w:left="3657" w:hanging="360"/>
      </w:pPr>
      <w:rPr>
        <w:rFonts w:ascii="Courier New" w:hAnsi="Courier New" w:cs="Courier New" w:hint="default"/>
      </w:rPr>
    </w:lvl>
    <w:lvl w:ilvl="5" w:tplc="E7461B74">
      <w:start w:val="1"/>
      <w:numFmt w:val="bullet"/>
      <w:lvlText w:val=""/>
      <w:lvlJc w:val="left"/>
      <w:pPr>
        <w:ind w:left="4377" w:hanging="360"/>
      </w:pPr>
      <w:rPr>
        <w:rFonts w:ascii="Wingdings" w:hAnsi="Wingdings" w:hint="default"/>
      </w:rPr>
    </w:lvl>
    <w:lvl w:ilvl="6" w:tplc="7D84A616">
      <w:start w:val="1"/>
      <w:numFmt w:val="bullet"/>
      <w:lvlText w:val=""/>
      <w:lvlJc w:val="left"/>
      <w:pPr>
        <w:ind w:left="5097" w:hanging="360"/>
      </w:pPr>
      <w:rPr>
        <w:rFonts w:ascii="Symbol" w:hAnsi="Symbol" w:hint="default"/>
      </w:rPr>
    </w:lvl>
    <w:lvl w:ilvl="7" w:tplc="13C60CEE">
      <w:start w:val="1"/>
      <w:numFmt w:val="bullet"/>
      <w:lvlText w:val="o"/>
      <w:lvlJc w:val="left"/>
      <w:pPr>
        <w:ind w:left="5817" w:hanging="360"/>
      </w:pPr>
      <w:rPr>
        <w:rFonts w:ascii="Courier New" w:hAnsi="Courier New" w:cs="Courier New" w:hint="default"/>
      </w:rPr>
    </w:lvl>
    <w:lvl w:ilvl="8" w:tplc="8C3095B8">
      <w:start w:val="1"/>
      <w:numFmt w:val="bullet"/>
      <w:lvlText w:val=""/>
      <w:lvlJc w:val="left"/>
      <w:pPr>
        <w:ind w:left="6537" w:hanging="360"/>
      </w:pPr>
      <w:rPr>
        <w:rFonts w:ascii="Wingdings" w:hAnsi="Wingdings" w:hint="default"/>
      </w:rPr>
    </w:lvl>
  </w:abstractNum>
  <w:abstractNum w:abstractNumId="61">
    <w:nsid w:val="31C640FE"/>
    <w:multiLevelType w:val="hybridMultilevel"/>
    <w:tmpl w:val="30AC8E9E"/>
    <w:lvl w:ilvl="0" w:tplc="DF648C82">
      <w:start w:val="1"/>
      <w:numFmt w:val="bullet"/>
      <w:lvlText w:val=""/>
      <w:lvlJc w:val="left"/>
      <w:pPr>
        <w:ind w:left="720" w:hanging="360"/>
      </w:pPr>
      <w:rPr>
        <w:rFonts w:ascii="Symbol" w:hAnsi="Symbol" w:hint="default"/>
      </w:rPr>
    </w:lvl>
    <w:lvl w:ilvl="1" w:tplc="E18EC2D2">
      <w:start w:val="1"/>
      <w:numFmt w:val="bullet"/>
      <w:lvlText w:val="o"/>
      <w:lvlJc w:val="left"/>
      <w:pPr>
        <w:ind w:left="1440" w:hanging="360"/>
      </w:pPr>
      <w:rPr>
        <w:rFonts w:ascii="Courier New" w:hAnsi="Courier New" w:cs="Courier New" w:hint="default"/>
      </w:rPr>
    </w:lvl>
    <w:lvl w:ilvl="2" w:tplc="7C625B9C">
      <w:start w:val="1"/>
      <w:numFmt w:val="bullet"/>
      <w:lvlText w:val=""/>
      <w:lvlJc w:val="left"/>
      <w:pPr>
        <w:ind w:left="2160" w:hanging="360"/>
      </w:pPr>
      <w:rPr>
        <w:rFonts w:ascii="Wingdings" w:hAnsi="Wingdings" w:hint="default"/>
      </w:rPr>
    </w:lvl>
    <w:lvl w:ilvl="3" w:tplc="F6AE3356">
      <w:start w:val="1"/>
      <w:numFmt w:val="bullet"/>
      <w:lvlText w:val=""/>
      <w:lvlJc w:val="left"/>
      <w:pPr>
        <w:ind w:left="2880" w:hanging="360"/>
      </w:pPr>
      <w:rPr>
        <w:rFonts w:ascii="Symbol" w:hAnsi="Symbol" w:hint="default"/>
      </w:rPr>
    </w:lvl>
    <w:lvl w:ilvl="4" w:tplc="DE20213E">
      <w:start w:val="1"/>
      <w:numFmt w:val="bullet"/>
      <w:lvlText w:val="o"/>
      <w:lvlJc w:val="left"/>
      <w:pPr>
        <w:ind w:left="3600" w:hanging="360"/>
      </w:pPr>
      <w:rPr>
        <w:rFonts w:ascii="Courier New" w:hAnsi="Courier New" w:cs="Courier New" w:hint="default"/>
      </w:rPr>
    </w:lvl>
    <w:lvl w:ilvl="5" w:tplc="8D9AE2C4">
      <w:start w:val="1"/>
      <w:numFmt w:val="bullet"/>
      <w:lvlText w:val=""/>
      <w:lvlJc w:val="left"/>
      <w:pPr>
        <w:ind w:left="4320" w:hanging="360"/>
      </w:pPr>
      <w:rPr>
        <w:rFonts w:ascii="Wingdings" w:hAnsi="Wingdings" w:hint="default"/>
      </w:rPr>
    </w:lvl>
    <w:lvl w:ilvl="6" w:tplc="395493E6">
      <w:start w:val="1"/>
      <w:numFmt w:val="bullet"/>
      <w:lvlText w:val=""/>
      <w:lvlJc w:val="left"/>
      <w:pPr>
        <w:ind w:left="5040" w:hanging="360"/>
      </w:pPr>
      <w:rPr>
        <w:rFonts w:ascii="Symbol" w:hAnsi="Symbol" w:hint="default"/>
      </w:rPr>
    </w:lvl>
    <w:lvl w:ilvl="7" w:tplc="5176850E">
      <w:start w:val="1"/>
      <w:numFmt w:val="bullet"/>
      <w:lvlText w:val="o"/>
      <w:lvlJc w:val="left"/>
      <w:pPr>
        <w:ind w:left="5760" w:hanging="360"/>
      </w:pPr>
      <w:rPr>
        <w:rFonts w:ascii="Courier New" w:hAnsi="Courier New" w:cs="Courier New" w:hint="default"/>
      </w:rPr>
    </w:lvl>
    <w:lvl w:ilvl="8" w:tplc="E688AB86">
      <w:start w:val="1"/>
      <w:numFmt w:val="bullet"/>
      <w:lvlText w:val=""/>
      <w:lvlJc w:val="left"/>
      <w:pPr>
        <w:ind w:left="6480" w:hanging="360"/>
      </w:pPr>
      <w:rPr>
        <w:rFonts w:ascii="Wingdings" w:hAnsi="Wingdings" w:hint="default"/>
      </w:rPr>
    </w:lvl>
  </w:abstractNum>
  <w:abstractNum w:abstractNumId="62">
    <w:nsid w:val="33BB476F"/>
    <w:multiLevelType w:val="hybridMultilevel"/>
    <w:tmpl w:val="49B4D86A"/>
    <w:lvl w:ilvl="0" w:tplc="076E71E0">
      <w:start w:val="1"/>
      <w:numFmt w:val="bullet"/>
      <w:pStyle w:val="10-2"/>
      <w:lvlText w:val=""/>
      <w:lvlJc w:val="left"/>
      <w:pPr>
        <w:tabs>
          <w:tab w:val="num" w:pos="1032"/>
        </w:tabs>
        <w:ind w:left="652" w:hanging="340"/>
      </w:pPr>
      <w:rPr>
        <w:rFonts w:ascii="Symbol" w:hAnsi="Symbol" w:hint="default"/>
      </w:rPr>
    </w:lvl>
    <w:lvl w:ilvl="1" w:tplc="0EF62EC0">
      <w:start w:val="1"/>
      <w:numFmt w:val="bullet"/>
      <w:lvlText w:val="o"/>
      <w:lvlJc w:val="left"/>
      <w:pPr>
        <w:tabs>
          <w:tab w:val="num" w:pos="1440"/>
        </w:tabs>
        <w:ind w:left="1440" w:hanging="360"/>
      </w:pPr>
      <w:rPr>
        <w:rFonts w:ascii="Courier New" w:hAnsi="Courier New" w:hint="default"/>
      </w:rPr>
    </w:lvl>
    <w:lvl w:ilvl="2" w:tplc="F09AFACC">
      <w:start w:val="1"/>
      <w:numFmt w:val="bullet"/>
      <w:lvlText w:val=""/>
      <w:lvlJc w:val="left"/>
      <w:pPr>
        <w:tabs>
          <w:tab w:val="num" w:pos="2160"/>
        </w:tabs>
        <w:ind w:left="2160" w:hanging="360"/>
      </w:pPr>
      <w:rPr>
        <w:rFonts w:ascii="Wingdings" w:hAnsi="Wingdings" w:hint="default"/>
      </w:rPr>
    </w:lvl>
    <w:lvl w:ilvl="3" w:tplc="056440BE">
      <w:start w:val="1"/>
      <w:numFmt w:val="bullet"/>
      <w:lvlText w:val=""/>
      <w:lvlJc w:val="left"/>
      <w:pPr>
        <w:tabs>
          <w:tab w:val="num" w:pos="2880"/>
        </w:tabs>
        <w:ind w:left="2880" w:hanging="360"/>
      </w:pPr>
      <w:rPr>
        <w:rFonts w:ascii="Symbol" w:hAnsi="Symbol" w:hint="default"/>
      </w:rPr>
    </w:lvl>
    <w:lvl w:ilvl="4" w:tplc="2CD08CC2">
      <w:start w:val="1"/>
      <w:numFmt w:val="bullet"/>
      <w:lvlText w:val="o"/>
      <w:lvlJc w:val="left"/>
      <w:pPr>
        <w:tabs>
          <w:tab w:val="num" w:pos="3600"/>
        </w:tabs>
        <w:ind w:left="3600" w:hanging="360"/>
      </w:pPr>
      <w:rPr>
        <w:rFonts w:ascii="Courier New" w:hAnsi="Courier New" w:hint="default"/>
      </w:rPr>
    </w:lvl>
    <w:lvl w:ilvl="5" w:tplc="62A86036">
      <w:start w:val="1"/>
      <w:numFmt w:val="bullet"/>
      <w:lvlText w:val=""/>
      <w:lvlJc w:val="left"/>
      <w:pPr>
        <w:tabs>
          <w:tab w:val="num" w:pos="4320"/>
        </w:tabs>
        <w:ind w:left="4320" w:hanging="360"/>
      </w:pPr>
      <w:rPr>
        <w:rFonts w:ascii="Wingdings" w:hAnsi="Wingdings" w:hint="default"/>
      </w:rPr>
    </w:lvl>
    <w:lvl w:ilvl="6" w:tplc="840AE13A">
      <w:start w:val="1"/>
      <w:numFmt w:val="bullet"/>
      <w:lvlText w:val=""/>
      <w:lvlJc w:val="left"/>
      <w:pPr>
        <w:tabs>
          <w:tab w:val="num" w:pos="5040"/>
        </w:tabs>
        <w:ind w:left="5040" w:hanging="360"/>
      </w:pPr>
      <w:rPr>
        <w:rFonts w:ascii="Symbol" w:hAnsi="Symbol" w:hint="default"/>
      </w:rPr>
    </w:lvl>
    <w:lvl w:ilvl="7" w:tplc="F7F4104E">
      <w:start w:val="1"/>
      <w:numFmt w:val="bullet"/>
      <w:lvlText w:val="o"/>
      <w:lvlJc w:val="left"/>
      <w:pPr>
        <w:tabs>
          <w:tab w:val="num" w:pos="5760"/>
        </w:tabs>
        <w:ind w:left="5760" w:hanging="360"/>
      </w:pPr>
      <w:rPr>
        <w:rFonts w:ascii="Courier New" w:hAnsi="Courier New" w:hint="default"/>
      </w:rPr>
    </w:lvl>
    <w:lvl w:ilvl="8" w:tplc="F648E1C4">
      <w:start w:val="1"/>
      <w:numFmt w:val="bullet"/>
      <w:lvlText w:val=""/>
      <w:lvlJc w:val="left"/>
      <w:pPr>
        <w:tabs>
          <w:tab w:val="num" w:pos="6480"/>
        </w:tabs>
        <w:ind w:left="6480" w:hanging="360"/>
      </w:pPr>
      <w:rPr>
        <w:rFonts w:ascii="Wingdings" w:hAnsi="Wingdings" w:hint="default"/>
      </w:rPr>
    </w:lvl>
  </w:abstractNum>
  <w:abstractNum w:abstractNumId="63">
    <w:nsid w:val="34B7138D"/>
    <w:multiLevelType w:val="hybridMultilevel"/>
    <w:tmpl w:val="857C8F38"/>
    <w:lvl w:ilvl="0" w:tplc="BFC45220">
      <w:start w:val="1"/>
      <w:numFmt w:val="bullet"/>
      <w:lvlText w:val="−"/>
      <w:lvlJc w:val="left"/>
      <w:pPr>
        <w:ind w:left="777" w:hanging="360"/>
      </w:pPr>
      <w:rPr>
        <w:rFonts w:ascii="Times New Roman" w:hAnsi="Times New Roman" w:cs="Times New Roman" w:hint="default"/>
      </w:rPr>
    </w:lvl>
    <w:lvl w:ilvl="1" w:tplc="EEBC5970">
      <w:start w:val="1"/>
      <w:numFmt w:val="bullet"/>
      <w:lvlText w:val="o"/>
      <w:lvlJc w:val="left"/>
      <w:pPr>
        <w:ind w:left="1497" w:hanging="360"/>
      </w:pPr>
      <w:rPr>
        <w:rFonts w:ascii="Courier New" w:hAnsi="Courier New" w:cs="Courier New" w:hint="default"/>
      </w:rPr>
    </w:lvl>
    <w:lvl w:ilvl="2" w:tplc="B5983328">
      <w:start w:val="1"/>
      <w:numFmt w:val="bullet"/>
      <w:lvlText w:val=""/>
      <w:lvlJc w:val="left"/>
      <w:pPr>
        <w:ind w:left="2217" w:hanging="360"/>
      </w:pPr>
      <w:rPr>
        <w:rFonts w:ascii="Wingdings" w:hAnsi="Wingdings" w:hint="default"/>
      </w:rPr>
    </w:lvl>
    <w:lvl w:ilvl="3" w:tplc="F51A7774">
      <w:start w:val="1"/>
      <w:numFmt w:val="bullet"/>
      <w:lvlText w:val=""/>
      <w:lvlJc w:val="left"/>
      <w:pPr>
        <w:ind w:left="2937" w:hanging="360"/>
      </w:pPr>
      <w:rPr>
        <w:rFonts w:ascii="Symbol" w:hAnsi="Symbol" w:hint="default"/>
      </w:rPr>
    </w:lvl>
    <w:lvl w:ilvl="4" w:tplc="3E5CA3F4">
      <w:start w:val="1"/>
      <w:numFmt w:val="bullet"/>
      <w:lvlText w:val="o"/>
      <w:lvlJc w:val="left"/>
      <w:pPr>
        <w:ind w:left="3657" w:hanging="360"/>
      </w:pPr>
      <w:rPr>
        <w:rFonts w:ascii="Courier New" w:hAnsi="Courier New" w:cs="Courier New" w:hint="default"/>
      </w:rPr>
    </w:lvl>
    <w:lvl w:ilvl="5" w:tplc="3B9C59B8">
      <w:start w:val="1"/>
      <w:numFmt w:val="bullet"/>
      <w:lvlText w:val=""/>
      <w:lvlJc w:val="left"/>
      <w:pPr>
        <w:ind w:left="4377" w:hanging="360"/>
      </w:pPr>
      <w:rPr>
        <w:rFonts w:ascii="Wingdings" w:hAnsi="Wingdings" w:hint="default"/>
      </w:rPr>
    </w:lvl>
    <w:lvl w:ilvl="6" w:tplc="8304AB2C">
      <w:start w:val="1"/>
      <w:numFmt w:val="bullet"/>
      <w:lvlText w:val=""/>
      <w:lvlJc w:val="left"/>
      <w:pPr>
        <w:ind w:left="5097" w:hanging="360"/>
      </w:pPr>
      <w:rPr>
        <w:rFonts w:ascii="Symbol" w:hAnsi="Symbol" w:hint="default"/>
      </w:rPr>
    </w:lvl>
    <w:lvl w:ilvl="7" w:tplc="5604573E">
      <w:start w:val="1"/>
      <w:numFmt w:val="bullet"/>
      <w:lvlText w:val="o"/>
      <w:lvlJc w:val="left"/>
      <w:pPr>
        <w:ind w:left="5817" w:hanging="360"/>
      </w:pPr>
      <w:rPr>
        <w:rFonts w:ascii="Courier New" w:hAnsi="Courier New" w:cs="Courier New" w:hint="default"/>
      </w:rPr>
    </w:lvl>
    <w:lvl w:ilvl="8" w:tplc="3768DBFA">
      <w:start w:val="1"/>
      <w:numFmt w:val="bullet"/>
      <w:lvlText w:val=""/>
      <w:lvlJc w:val="left"/>
      <w:pPr>
        <w:ind w:left="6537" w:hanging="360"/>
      </w:pPr>
      <w:rPr>
        <w:rFonts w:ascii="Wingdings" w:hAnsi="Wingdings" w:hint="default"/>
      </w:rPr>
    </w:lvl>
  </w:abstractNum>
  <w:abstractNum w:abstractNumId="64">
    <w:nsid w:val="351C33F1"/>
    <w:multiLevelType w:val="hybridMultilevel"/>
    <w:tmpl w:val="CED2D99E"/>
    <w:lvl w:ilvl="0" w:tplc="14BCEBD2">
      <w:start w:val="1"/>
      <w:numFmt w:val="bullet"/>
      <w:lvlText w:val=""/>
      <w:lvlJc w:val="left"/>
      <w:pPr>
        <w:ind w:left="720" w:hanging="360"/>
      </w:pPr>
      <w:rPr>
        <w:rFonts w:ascii="Symbol" w:hAnsi="Symbol" w:hint="default"/>
      </w:rPr>
    </w:lvl>
    <w:lvl w:ilvl="1" w:tplc="996C5BA2">
      <w:start w:val="1"/>
      <w:numFmt w:val="bullet"/>
      <w:lvlText w:val="o"/>
      <w:lvlJc w:val="left"/>
      <w:pPr>
        <w:ind w:left="1440" w:hanging="360"/>
      </w:pPr>
      <w:rPr>
        <w:rFonts w:ascii="Courier New" w:hAnsi="Courier New" w:cs="Courier New" w:hint="default"/>
      </w:rPr>
    </w:lvl>
    <w:lvl w:ilvl="2" w:tplc="F06AACE4">
      <w:start w:val="1"/>
      <w:numFmt w:val="bullet"/>
      <w:lvlText w:val=""/>
      <w:lvlJc w:val="left"/>
      <w:pPr>
        <w:ind w:left="2160" w:hanging="360"/>
      </w:pPr>
      <w:rPr>
        <w:rFonts w:ascii="Wingdings" w:hAnsi="Wingdings" w:hint="default"/>
      </w:rPr>
    </w:lvl>
    <w:lvl w:ilvl="3" w:tplc="229AC442">
      <w:start w:val="1"/>
      <w:numFmt w:val="bullet"/>
      <w:lvlText w:val=""/>
      <w:lvlJc w:val="left"/>
      <w:pPr>
        <w:ind w:left="2880" w:hanging="360"/>
      </w:pPr>
      <w:rPr>
        <w:rFonts w:ascii="Symbol" w:hAnsi="Symbol" w:hint="default"/>
      </w:rPr>
    </w:lvl>
    <w:lvl w:ilvl="4" w:tplc="AB0C9D90">
      <w:start w:val="1"/>
      <w:numFmt w:val="bullet"/>
      <w:lvlText w:val="o"/>
      <w:lvlJc w:val="left"/>
      <w:pPr>
        <w:ind w:left="3600" w:hanging="360"/>
      </w:pPr>
      <w:rPr>
        <w:rFonts w:ascii="Courier New" w:hAnsi="Courier New" w:cs="Courier New" w:hint="default"/>
      </w:rPr>
    </w:lvl>
    <w:lvl w:ilvl="5" w:tplc="1E5AC816">
      <w:start w:val="1"/>
      <w:numFmt w:val="bullet"/>
      <w:lvlText w:val=""/>
      <w:lvlJc w:val="left"/>
      <w:pPr>
        <w:ind w:left="4320" w:hanging="360"/>
      </w:pPr>
      <w:rPr>
        <w:rFonts w:ascii="Wingdings" w:hAnsi="Wingdings" w:hint="default"/>
      </w:rPr>
    </w:lvl>
    <w:lvl w:ilvl="6" w:tplc="7ACA2B4C">
      <w:start w:val="1"/>
      <w:numFmt w:val="bullet"/>
      <w:lvlText w:val=""/>
      <w:lvlJc w:val="left"/>
      <w:pPr>
        <w:ind w:left="5040" w:hanging="360"/>
      </w:pPr>
      <w:rPr>
        <w:rFonts w:ascii="Symbol" w:hAnsi="Symbol" w:hint="default"/>
      </w:rPr>
    </w:lvl>
    <w:lvl w:ilvl="7" w:tplc="6E2AD9D4">
      <w:start w:val="1"/>
      <w:numFmt w:val="bullet"/>
      <w:lvlText w:val="o"/>
      <w:lvlJc w:val="left"/>
      <w:pPr>
        <w:ind w:left="5760" w:hanging="360"/>
      </w:pPr>
      <w:rPr>
        <w:rFonts w:ascii="Courier New" w:hAnsi="Courier New" w:cs="Courier New" w:hint="default"/>
      </w:rPr>
    </w:lvl>
    <w:lvl w:ilvl="8" w:tplc="14382BFE">
      <w:start w:val="1"/>
      <w:numFmt w:val="bullet"/>
      <w:lvlText w:val=""/>
      <w:lvlJc w:val="left"/>
      <w:pPr>
        <w:ind w:left="6480" w:hanging="360"/>
      </w:pPr>
      <w:rPr>
        <w:rFonts w:ascii="Wingdings" w:hAnsi="Wingdings" w:hint="default"/>
      </w:rPr>
    </w:lvl>
  </w:abstractNum>
  <w:abstractNum w:abstractNumId="65">
    <w:nsid w:val="375A43A7"/>
    <w:multiLevelType w:val="hybridMultilevel"/>
    <w:tmpl w:val="3224DDCC"/>
    <w:lvl w:ilvl="0" w:tplc="A412B280">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66">
    <w:nsid w:val="37EA586F"/>
    <w:multiLevelType w:val="hybridMultilevel"/>
    <w:tmpl w:val="DCD44462"/>
    <w:lvl w:ilvl="0" w:tplc="DF36CCCA">
      <w:start w:val="1"/>
      <w:numFmt w:val="decimal"/>
      <w:pStyle w:val="otrlistnum2"/>
      <w:lvlText w:val="%1."/>
      <w:lvlJc w:val="left"/>
      <w:pPr>
        <w:tabs>
          <w:tab w:val="num" w:pos="1491"/>
        </w:tabs>
        <w:ind w:left="1491" w:hanging="357"/>
      </w:pPr>
      <w:rPr>
        <w:rFonts w:ascii="Arial" w:hAnsi="Arial" w:hint="default"/>
        <w:b w:val="0"/>
        <w:i w:val="0"/>
        <w:sz w:val="20"/>
      </w:rPr>
    </w:lvl>
    <w:lvl w:ilvl="1" w:tplc="1568AFF0">
      <w:start w:val="1"/>
      <w:numFmt w:val="bullet"/>
      <w:lvlText w:val=""/>
      <w:lvlJc w:val="left"/>
      <w:pPr>
        <w:tabs>
          <w:tab w:val="num" w:pos="1848"/>
        </w:tabs>
        <w:ind w:left="1848" w:hanging="317"/>
      </w:pPr>
      <w:rPr>
        <w:rFonts w:ascii="Symbol" w:hAnsi="Symbol" w:hint="default"/>
        <w:b w:val="0"/>
        <w:i w:val="0"/>
        <w:color w:val="auto"/>
        <w:sz w:val="22"/>
      </w:rPr>
    </w:lvl>
    <w:lvl w:ilvl="2" w:tplc="0DEA3B78">
      <w:start w:val="1"/>
      <w:numFmt w:val="bullet"/>
      <w:lvlText w:val=""/>
      <w:lvlJc w:val="left"/>
      <w:pPr>
        <w:tabs>
          <w:tab w:val="num" w:pos="2206"/>
        </w:tabs>
        <w:ind w:left="2206" w:hanging="278"/>
      </w:pPr>
      <w:rPr>
        <w:rFonts w:ascii="Symbol" w:hAnsi="Symbol" w:hint="default"/>
        <w:b w:val="0"/>
        <w:i w:val="0"/>
        <w:color w:val="auto"/>
        <w:sz w:val="20"/>
      </w:rPr>
    </w:lvl>
    <w:lvl w:ilvl="3" w:tplc="F052296C">
      <w:start w:val="1"/>
      <w:numFmt w:val="bullet"/>
      <w:suff w:val="space"/>
      <w:lvlText w:val="―"/>
      <w:lvlJc w:val="left"/>
      <w:pPr>
        <w:ind w:left="1418" w:hanging="284"/>
      </w:pPr>
      <w:rPr>
        <w:rFonts w:ascii="Verdana" w:hAnsi="Verdana" w:hint="default"/>
        <w:color w:val="auto"/>
      </w:rPr>
    </w:lvl>
    <w:lvl w:ilvl="4" w:tplc="735AB1FE">
      <w:start w:val="1"/>
      <w:numFmt w:val="bullet"/>
      <w:suff w:val="space"/>
      <w:lvlText w:val="―"/>
      <w:lvlJc w:val="left"/>
      <w:pPr>
        <w:ind w:left="1985" w:hanging="284"/>
      </w:pPr>
      <w:rPr>
        <w:rFonts w:ascii="Verdana" w:hAnsi="Verdana" w:hint="default"/>
        <w:color w:val="auto"/>
      </w:rPr>
    </w:lvl>
    <w:lvl w:ilvl="5" w:tplc="FCB8B76C">
      <w:start w:val="1"/>
      <w:numFmt w:val="bullet"/>
      <w:suff w:val="space"/>
      <w:lvlText w:val=""/>
      <w:lvlJc w:val="left"/>
      <w:pPr>
        <w:ind w:left="2552" w:hanging="284"/>
      </w:pPr>
      <w:rPr>
        <w:rFonts w:ascii="Wingdings" w:hAnsi="Wingdings" w:hint="default"/>
      </w:rPr>
    </w:lvl>
    <w:lvl w:ilvl="6" w:tplc="461C2518">
      <w:start w:val="1"/>
      <w:numFmt w:val="bullet"/>
      <w:lvlText w:val=""/>
      <w:lvlJc w:val="left"/>
      <w:pPr>
        <w:tabs>
          <w:tab w:val="num" w:pos="2100"/>
        </w:tabs>
        <w:ind w:left="2100" w:hanging="360"/>
      </w:pPr>
      <w:rPr>
        <w:rFonts w:ascii="Wingdings" w:hAnsi="Wingdings" w:hint="default"/>
      </w:rPr>
    </w:lvl>
    <w:lvl w:ilvl="7" w:tplc="56BCF90C">
      <w:start w:val="1"/>
      <w:numFmt w:val="bullet"/>
      <w:lvlText w:val=""/>
      <w:lvlJc w:val="left"/>
      <w:pPr>
        <w:tabs>
          <w:tab w:val="num" w:pos="2460"/>
        </w:tabs>
        <w:ind w:left="2460" w:hanging="360"/>
      </w:pPr>
      <w:rPr>
        <w:rFonts w:ascii="Symbol" w:hAnsi="Symbol" w:hint="default"/>
      </w:rPr>
    </w:lvl>
    <w:lvl w:ilvl="8" w:tplc="C60A0B66">
      <w:start w:val="1"/>
      <w:numFmt w:val="bullet"/>
      <w:lvlText w:val=""/>
      <w:lvlJc w:val="left"/>
      <w:pPr>
        <w:tabs>
          <w:tab w:val="num" w:pos="2820"/>
        </w:tabs>
        <w:ind w:left="2820" w:hanging="360"/>
      </w:pPr>
      <w:rPr>
        <w:rFonts w:ascii="Symbol" w:hAnsi="Symbol" w:hint="default"/>
      </w:rPr>
    </w:lvl>
  </w:abstractNum>
  <w:abstractNum w:abstractNumId="67">
    <w:nsid w:val="399A7DA2"/>
    <w:multiLevelType w:val="hybridMultilevel"/>
    <w:tmpl w:val="0C4C1B4E"/>
    <w:lvl w:ilvl="0" w:tplc="D9949D62">
      <w:start w:val="1"/>
      <w:numFmt w:val="bullet"/>
      <w:pStyle w:val="010"/>
      <w:lvlText w:val=""/>
      <w:lvlJc w:val="left"/>
      <w:pPr>
        <w:ind w:left="1209" w:hanging="360"/>
      </w:pPr>
      <w:rPr>
        <w:rFonts w:ascii="Symbol" w:hAnsi="Symbol" w:hint="default"/>
        <w:b w:val="0"/>
        <w:i w:val="0"/>
        <w:caps w:val="0"/>
        <w:strike w:val="0"/>
        <w:vanish w:val="0"/>
        <w:color w:val="000000"/>
        <w:sz w:val="24"/>
        <w:u w:val="none"/>
        <w:vertAlign w:val="baseline"/>
      </w:rPr>
    </w:lvl>
    <w:lvl w:ilvl="1" w:tplc="637C1506">
      <w:start w:val="1"/>
      <w:numFmt w:val="none"/>
      <w:lvlText w:val="-"/>
      <w:lvlJc w:val="left"/>
      <w:pPr>
        <w:tabs>
          <w:tab w:val="num" w:pos="1559"/>
        </w:tabs>
        <w:ind w:left="1134" w:firstLine="0"/>
      </w:pPr>
      <w:rPr>
        <w:rFonts w:ascii="Times New Roman" w:hAnsi="Times New Roman" w:hint="default"/>
        <w:b w:val="0"/>
        <w:i w:val="0"/>
        <w:caps w:val="0"/>
        <w:strike w:val="0"/>
        <w:vanish w:val="0"/>
        <w:color w:val="000000"/>
        <w:sz w:val="24"/>
        <w:u w:val="none"/>
        <w:vertAlign w:val="baseline"/>
      </w:rPr>
    </w:lvl>
    <w:lvl w:ilvl="2" w:tplc="FC38A9E8">
      <w:start w:val="1"/>
      <w:numFmt w:val="none"/>
      <w:pStyle w:val="03"/>
      <w:lvlText w:val="-"/>
      <w:lvlJc w:val="left"/>
      <w:pPr>
        <w:tabs>
          <w:tab w:val="num" w:pos="1985"/>
        </w:tabs>
        <w:ind w:left="1559" w:firstLine="0"/>
      </w:pPr>
      <w:rPr>
        <w:rFonts w:ascii="Times New Roman" w:hAnsi="Times New Roman" w:hint="default"/>
        <w:b w:val="0"/>
        <w:i w:val="0"/>
        <w:caps w:val="0"/>
        <w:strike w:val="0"/>
        <w:vanish w:val="0"/>
        <w:color w:val="000000"/>
        <w:sz w:val="24"/>
        <w:u w:val="none"/>
        <w:vertAlign w:val="baseline"/>
      </w:rPr>
    </w:lvl>
    <w:lvl w:ilvl="3" w:tplc="AEF45310">
      <w:start w:val="1"/>
      <w:numFmt w:val="bullet"/>
      <w:lvlText w:val=""/>
      <w:lvlJc w:val="left"/>
      <w:pPr>
        <w:ind w:left="3229" w:hanging="360"/>
      </w:pPr>
      <w:rPr>
        <w:rFonts w:ascii="Symbol" w:hAnsi="Symbol" w:hint="default"/>
      </w:rPr>
    </w:lvl>
    <w:lvl w:ilvl="4" w:tplc="08A049E4">
      <w:start w:val="1"/>
      <w:numFmt w:val="bullet"/>
      <w:lvlText w:val="o"/>
      <w:lvlJc w:val="left"/>
      <w:pPr>
        <w:ind w:left="3949" w:hanging="360"/>
      </w:pPr>
      <w:rPr>
        <w:rFonts w:ascii="Courier New" w:hAnsi="Courier New" w:cs="Courier New" w:hint="default"/>
      </w:rPr>
    </w:lvl>
    <w:lvl w:ilvl="5" w:tplc="1AD22B94">
      <w:start w:val="1"/>
      <w:numFmt w:val="bullet"/>
      <w:lvlText w:val=""/>
      <w:lvlJc w:val="left"/>
      <w:pPr>
        <w:ind w:left="4669" w:hanging="360"/>
      </w:pPr>
      <w:rPr>
        <w:rFonts w:ascii="Wingdings" w:hAnsi="Wingdings" w:hint="default"/>
      </w:rPr>
    </w:lvl>
    <w:lvl w:ilvl="6" w:tplc="1F78BF0A">
      <w:start w:val="1"/>
      <w:numFmt w:val="bullet"/>
      <w:lvlText w:val=""/>
      <w:lvlJc w:val="left"/>
      <w:pPr>
        <w:ind w:left="5389" w:hanging="360"/>
      </w:pPr>
      <w:rPr>
        <w:rFonts w:ascii="Symbol" w:hAnsi="Symbol" w:hint="default"/>
      </w:rPr>
    </w:lvl>
    <w:lvl w:ilvl="7" w:tplc="57C23030">
      <w:start w:val="1"/>
      <w:numFmt w:val="bullet"/>
      <w:lvlText w:val="o"/>
      <w:lvlJc w:val="left"/>
      <w:pPr>
        <w:ind w:left="6109" w:hanging="360"/>
      </w:pPr>
      <w:rPr>
        <w:rFonts w:ascii="Courier New" w:hAnsi="Courier New" w:cs="Courier New" w:hint="default"/>
      </w:rPr>
    </w:lvl>
    <w:lvl w:ilvl="8" w:tplc="13C82AAC">
      <w:start w:val="1"/>
      <w:numFmt w:val="bullet"/>
      <w:lvlText w:val=""/>
      <w:lvlJc w:val="left"/>
      <w:pPr>
        <w:ind w:left="6829" w:hanging="360"/>
      </w:pPr>
      <w:rPr>
        <w:rFonts w:ascii="Wingdings" w:hAnsi="Wingdings" w:hint="default"/>
      </w:rPr>
    </w:lvl>
  </w:abstractNum>
  <w:abstractNum w:abstractNumId="68">
    <w:nsid w:val="3B1E3219"/>
    <w:multiLevelType w:val="hybridMultilevel"/>
    <w:tmpl w:val="27A65FE0"/>
    <w:lvl w:ilvl="0" w:tplc="8C028F4E">
      <w:start w:val="1"/>
      <w:numFmt w:val="bullet"/>
      <w:pStyle w:val="02"/>
      <w:lvlText w:val="o"/>
      <w:lvlJc w:val="left"/>
      <w:pPr>
        <w:ind w:left="1569" w:hanging="360"/>
      </w:pPr>
      <w:rPr>
        <w:rFonts w:ascii="Courier New" w:hAnsi="Courier New" w:cs="Courier New" w:hint="default"/>
      </w:rPr>
    </w:lvl>
    <w:lvl w:ilvl="1" w:tplc="1C740B8A">
      <w:start w:val="1"/>
      <w:numFmt w:val="bullet"/>
      <w:lvlText w:val="o"/>
      <w:lvlJc w:val="left"/>
      <w:pPr>
        <w:ind w:left="2289" w:hanging="360"/>
      </w:pPr>
      <w:rPr>
        <w:rFonts w:ascii="Courier New" w:hAnsi="Courier New" w:cs="Courier New" w:hint="default"/>
      </w:rPr>
    </w:lvl>
    <w:lvl w:ilvl="2" w:tplc="F05C9020">
      <w:start w:val="1"/>
      <w:numFmt w:val="bullet"/>
      <w:lvlText w:val=""/>
      <w:lvlJc w:val="left"/>
      <w:pPr>
        <w:ind w:left="3009" w:hanging="360"/>
      </w:pPr>
      <w:rPr>
        <w:rFonts w:ascii="Wingdings" w:hAnsi="Wingdings" w:hint="default"/>
      </w:rPr>
    </w:lvl>
    <w:lvl w:ilvl="3" w:tplc="B2F639AA">
      <w:start w:val="1"/>
      <w:numFmt w:val="bullet"/>
      <w:lvlText w:val=""/>
      <w:lvlJc w:val="left"/>
      <w:pPr>
        <w:ind w:left="3729" w:hanging="360"/>
      </w:pPr>
      <w:rPr>
        <w:rFonts w:ascii="Symbol" w:hAnsi="Symbol" w:hint="default"/>
      </w:rPr>
    </w:lvl>
    <w:lvl w:ilvl="4" w:tplc="B7CEEDDC">
      <w:start w:val="1"/>
      <w:numFmt w:val="bullet"/>
      <w:lvlText w:val="o"/>
      <w:lvlJc w:val="left"/>
      <w:pPr>
        <w:ind w:left="4449" w:hanging="360"/>
      </w:pPr>
      <w:rPr>
        <w:rFonts w:ascii="Courier New" w:hAnsi="Courier New" w:cs="Courier New" w:hint="default"/>
      </w:rPr>
    </w:lvl>
    <w:lvl w:ilvl="5" w:tplc="AF2EE5BC">
      <w:start w:val="1"/>
      <w:numFmt w:val="bullet"/>
      <w:lvlText w:val=""/>
      <w:lvlJc w:val="left"/>
      <w:pPr>
        <w:ind w:left="5169" w:hanging="360"/>
      </w:pPr>
      <w:rPr>
        <w:rFonts w:ascii="Wingdings" w:hAnsi="Wingdings" w:hint="default"/>
      </w:rPr>
    </w:lvl>
    <w:lvl w:ilvl="6" w:tplc="240C4AF6">
      <w:start w:val="1"/>
      <w:numFmt w:val="bullet"/>
      <w:lvlText w:val=""/>
      <w:lvlJc w:val="left"/>
      <w:pPr>
        <w:ind w:left="5889" w:hanging="360"/>
      </w:pPr>
      <w:rPr>
        <w:rFonts w:ascii="Symbol" w:hAnsi="Symbol" w:hint="default"/>
      </w:rPr>
    </w:lvl>
    <w:lvl w:ilvl="7" w:tplc="55AC3E42">
      <w:start w:val="1"/>
      <w:numFmt w:val="bullet"/>
      <w:lvlText w:val="o"/>
      <w:lvlJc w:val="left"/>
      <w:pPr>
        <w:ind w:left="6609" w:hanging="360"/>
      </w:pPr>
      <w:rPr>
        <w:rFonts w:ascii="Courier New" w:hAnsi="Courier New" w:cs="Courier New" w:hint="default"/>
      </w:rPr>
    </w:lvl>
    <w:lvl w:ilvl="8" w:tplc="D2768FE2">
      <w:start w:val="1"/>
      <w:numFmt w:val="bullet"/>
      <w:lvlText w:val=""/>
      <w:lvlJc w:val="left"/>
      <w:pPr>
        <w:ind w:left="7329" w:hanging="360"/>
      </w:pPr>
      <w:rPr>
        <w:rFonts w:ascii="Wingdings" w:hAnsi="Wingdings" w:hint="default"/>
      </w:rPr>
    </w:lvl>
  </w:abstractNum>
  <w:abstractNum w:abstractNumId="69">
    <w:nsid w:val="3B723DD4"/>
    <w:multiLevelType w:val="hybridMultilevel"/>
    <w:tmpl w:val="6D7CA8E6"/>
    <w:lvl w:ilvl="0" w:tplc="0C321C56">
      <w:start w:val="1"/>
      <w:numFmt w:val="bullet"/>
      <w:pStyle w:val="OTRTableListmark0"/>
      <w:lvlText w:val="–"/>
      <w:lvlJc w:val="left"/>
      <w:pPr>
        <w:tabs>
          <w:tab w:val="num" w:pos="284"/>
        </w:tabs>
        <w:ind w:left="284" w:hanging="227"/>
      </w:pPr>
      <w:rPr>
        <w:rFonts w:ascii="Verdana" w:hAnsi="Verdana" w:hint="default"/>
        <w:color w:val="auto"/>
        <w:sz w:val="24"/>
      </w:rPr>
    </w:lvl>
    <w:lvl w:ilvl="1" w:tplc="616E5430">
      <w:start w:val="1"/>
      <w:numFmt w:val="bullet"/>
      <w:lvlText w:val="―"/>
      <w:lvlJc w:val="left"/>
      <w:pPr>
        <w:tabs>
          <w:tab w:val="num" w:pos="510"/>
        </w:tabs>
        <w:ind w:left="510" w:hanging="226"/>
      </w:pPr>
      <w:rPr>
        <w:rFonts w:ascii="Verdana" w:hAnsi="Verdana" w:hint="default"/>
        <w:color w:val="auto"/>
        <w:sz w:val="16"/>
      </w:rPr>
    </w:lvl>
    <w:lvl w:ilvl="2" w:tplc="390251AA">
      <w:start w:val="1"/>
      <w:numFmt w:val="bullet"/>
      <w:lvlText w:val="–"/>
      <w:lvlJc w:val="left"/>
      <w:pPr>
        <w:tabs>
          <w:tab w:val="num" w:pos="794"/>
        </w:tabs>
        <w:ind w:left="794" w:hanging="284"/>
      </w:pPr>
      <w:rPr>
        <w:rFonts w:ascii="Verdana" w:hAnsi="Verdana" w:hint="default"/>
        <w:b/>
        <w:i w:val="0"/>
        <w:sz w:val="24"/>
      </w:rPr>
    </w:lvl>
    <w:lvl w:ilvl="3" w:tplc="3E64DE2C">
      <w:start w:val="1"/>
      <w:numFmt w:val="bullet"/>
      <w:lvlText w:val="–"/>
      <w:lvlJc w:val="left"/>
      <w:pPr>
        <w:tabs>
          <w:tab w:val="num" w:pos="1745"/>
        </w:tabs>
        <w:ind w:left="1745" w:hanging="283"/>
      </w:pPr>
      <w:rPr>
        <w:rFonts w:ascii="Verdana" w:hAnsi="Verdana" w:hint="default"/>
      </w:rPr>
    </w:lvl>
    <w:lvl w:ilvl="4" w:tplc="BA6C43D6">
      <w:start w:val="1"/>
      <w:numFmt w:val="bullet"/>
      <w:lvlText w:val=""/>
      <w:lvlJc w:val="left"/>
      <w:pPr>
        <w:tabs>
          <w:tab w:val="num" w:pos="2274"/>
        </w:tabs>
        <w:ind w:left="2274" w:hanging="360"/>
      </w:pPr>
      <w:rPr>
        <w:rFonts w:ascii="Symbol" w:hAnsi="Symbol" w:hint="default"/>
      </w:rPr>
    </w:lvl>
    <w:lvl w:ilvl="5" w:tplc="CF407962">
      <w:start w:val="1"/>
      <w:numFmt w:val="bullet"/>
      <w:lvlText w:val=""/>
      <w:lvlJc w:val="left"/>
      <w:pPr>
        <w:tabs>
          <w:tab w:val="num" w:pos="2634"/>
        </w:tabs>
        <w:ind w:left="2634" w:hanging="360"/>
      </w:pPr>
      <w:rPr>
        <w:rFonts w:ascii="Wingdings" w:hAnsi="Wingdings" w:hint="default"/>
      </w:rPr>
    </w:lvl>
    <w:lvl w:ilvl="6" w:tplc="3A74FDD0">
      <w:start w:val="1"/>
      <w:numFmt w:val="bullet"/>
      <w:lvlText w:val=""/>
      <w:lvlJc w:val="left"/>
      <w:pPr>
        <w:tabs>
          <w:tab w:val="num" w:pos="2994"/>
        </w:tabs>
        <w:ind w:left="2994" w:hanging="360"/>
      </w:pPr>
      <w:rPr>
        <w:rFonts w:ascii="Wingdings" w:hAnsi="Wingdings" w:hint="default"/>
      </w:rPr>
    </w:lvl>
    <w:lvl w:ilvl="7" w:tplc="AF1AF22A">
      <w:start w:val="1"/>
      <w:numFmt w:val="bullet"/>
      <w:lvlText w:val=""/>
      <w:lvlJc w:val="left"/>
      <w:pPr>
        <w:tabs>
          <w:tab w:val="num" w:pos="3354"/>
        </w:tabs>
        <w:ind w:left="3354" w:hanging="360"/>
      </w:pPr>
      <w:rPr>
        <w:rFonts w:ascii="Symbol" w:hAnsi="Symbol" w:hint="default"/>
      </w:rPr>
    </w:lvl>
    <w:lvl w:ilvl="8" w:tplc="F718D4FE">
      <w:start w:val="1"/>
      <w:numFmt w:val="bullet"/>
      <w:lvlText w:val=""/>
      <w:lvlJc w:val="left"/>
      <w:pPr>
        <w:tabs>
          <w:tab w:val="num" w:pos="3714"/>
        </w:tabs>
        <w:ind w:left="3714" w:hanging="360"/>
      </w:pPr>
      <w:rPr>
        <w:rFonts w:ascii="Symbol" w:hAnsi="Symbol" w:hint="default"/>
      </w:rPr>
    </w:lvl>
  </w:abstractNum>
  <w:abstractNum w:abstractNumId="70">
    <w:nsid w:val="3B783050"/>
    <w:multiLevelType w:val="hybridMultilevel"/>
    <w:tmpl w:val="7084FCAC"/>
    <w:styleLink w:val="210"/>
    <w:lvl w:ilvl="0" w:tplc="0B284F3A">
      <w:start w:val="1"/>
      <w:numFmt w:val="decimal"/>
      <w:pStyle w:val="210"/>
      <w:lvlText w:val="%1."/>
      <w:lvlJc w:val="left"/>
      <w:pPr>
        <w:ind w:left="360" w:hanging="360"/>
      </w:pPr>
    </w:lvl>
    <w:lvl w:ilvl="1" w:tplc="E1B6C262">
      <w:start w:val="1"/>
      <w:numFmt w:val="lowerLetter"/>
      <w:lvlText w:val="%2."/>
      <w:lvlJc w:val="left"/>
      <w:pPr>
        <w:ind w:left="1080" w:hanging="360"/>
      </w:pPr>
    </w:lvl>
    <w:lvl w:ilvl="2" w:tplc="BCC42BB4">
      <w:start w:val="1"/>
      <w:numFmt w:val="lowerRoman"/>
      <w:lvlText w:val="%3."/>
      <w:lvlJc w:val="right"/>
      <w:pPr>
        <w:ind w:left="1800" w:hanging="180"/>
      </w:pPr>
    </w:lvl>
    <w:lvl w:ilvl="3" w:tplc="25688054">
      <w:start w:val="1"/>
      <w:numFmt w:val="decimal"/>
      <w:lvlText w:val="%4."/>
      <w:lvlJc w:val="left"/>
      <w:pPr>
        <w:ind w:left="2520" w:hanging="360"/>
      </w:pPr>
    </w:lvl>
    <w:lvl w:ilvl="4" w:tplc="B7D62736">
      <w:start w:val="1"/>
      <w:numFmt w:val="lowerLetter"/>
      <w:lvlText w:val="%5."/>
      <w:lvlJc w:val="left"/>
      <w:pPr>
        <w:ind w:left="3240" w:hanging="360"/>
      </w:pPr>
    </w:lvl>
    <w:lvl w:ilvl="5" w:tplc="A28C65DE">
      <w:start w:val="1"/>
      <w:numFmt w:val="lowerRoman"/>
      <w:lvlText w:val="%6."/>
      <w:lvlJc w:val="right"/>
      <w:pPr>
        <w:ind w:left="3960" w:hanging="180"/>
      </w:pPr>
    </w:lvl>
    <w:lvl w:ilvl="6" w:tplc="7F487D90">
      <w:start w:val="1"/>
      <w:numFmt w:val="decimal"/>
      <w:lvlText w:val="%7."/>
      <w:lvlJc w:val="left"/>
      <w:pPr>
        <w:ind w:left="4680" w:hanging="360"/>
      </w:pPr>
    </w:lvl>
    <w:lvl w:ilvl="7" w:tplc="A5AC44DC">
      <w:start w:val="1"/>
      <w:numFmt w:val="lowerLetter"/>
      <w:lvlText w:val="%8."/>
      <w:lvlJc w:val="left"/>
      <w:pPr>
        <w:ind w:left="5400" w:hanging="360"/>
      </w:pPr>
    </w:lvl>
    <w:lvl w:ilvl="8" w:tplc="2C4A6D4E">
      <w:start w:val="1"/>
      <w:numFmt w:val="lowerRoman"/>
      <w:lvlText w:val="%9."/>
      <w:lvlJc w:val="right"/>
      <w:pPr>
        <w:ind w:left="6120" w:hanging="180"/>
      </w:pPr>
    </w:lvl>
  </w:abstractNum>
  <w:abstractNum w:abstractNumId="71">
    <w:nsid w:val="3BF56DC7"/>
    <w:multiLevelType w:val="multilevel"/>
    <w:tmpl w:val="0D54A3FE"/>
    <w:lvl w:ilvl="0">
      <w:start w:val="1"/>
      <w:numFmt w:val="decimal"/>
      <w:pStyle w:val="OTRListNum"/>
      <w:lvlText w:val="%1."/>
      <w:lvlJc w:val="left"/>
      <w:pPr>
        <w:tabs>
          <w:tab w:val="num" w:pos="851"/>
        </w:tabs>
        <w:ind w:left="851" w:hanging="284"/>
      </w:pPr>
      <w:rPr>
        <w:rFonts w:ascii="Times New Roman" w:hAnsi="Times New Roman" w:hint="default"/>
        <w:sz w:val="24"/>
        <w:szCs w:val="24"/>
      </w:rPr>
    </w:lvl>
    <w:lvl w:ilvl="1">
      <w:start w:val="1"/>
      <w:numFmt w:val="decimal"/>
      <w:lvlText w:val="%1.%2."/>
      <w:lvlJc w:val="left"/>
      <w:pPr>
        <w:tabs>
          <w:tab w:val="num" w:pos="1275"/>
        </w:tabs>
        <w:ind w:left="1418" w:hanging="567"/>
      </w:pPr>
      <w:rPr>
        <w:rFonts w:ascii="Times New Roman" w:hAnsi="Times New Roman" w:hint="default"/>
        <w:sz w:val="24"/>
        <w:szCs w:val="24"/>
      </w:rPr>
    </w:lvl>
    <w:lvl w:ilvl="2">
      <w:start w:val="1"/>
      <w:numFmt w:val="decimal"/>
      <w:lvlText w:val="%2.%1.%3."/>
      <w:lvlJc w:val="left"/>
      <w:pPr>
        <w:tabs>
          <w:tab w:val="num" w:pos="1558"/>
        </w:tabs>
        <w:ind w:left="1843" w:hanging="568"/>
      </w:pPr>
      <w:rPr>
        <w:rFonts w:ascii="Times New Roman" w:hAnsi="Times New Roman" w:hint="default"/>
        <w:sz w:val="24"/>
        <w:szCs w:val="24"/>
      </w:rPr>
    </w:lvl>
    <w:lvl w:ilvl="3">
      <w:start w:val="1"/>
      <w:numFmt w:val="decimal"/>
      <w:lvlText w:val="%1.%2.%3.%4."/>
      <w:lvlJc w:val="left"/>
      <w:pPr>
        <w:tabs>
          <w:tab w:val="num" w:pos="2508"/>
        </w:tabs>
        <w:ind w:left="2436" w:hanging="648"/>
      </w:pPr>
      <w:rPr>
        <w:rFonts w:hint="default"/>
      </w:rPr>
    </w:lvl>
    <w:lvl w:ilvl="4">
      <w:start w:val="1"/>
      <w:numFmt w:val="decimal"/>
      <w:lvlText w:val="%1.%2.%3.%4.%5."/>
      <w:lvlJc w:val="left"/>
      <w:pPr>
        <w:tabs>
          <w:tab w:val="num" w:pos="3228"/>
        </w:tabs>
        <w:ind w:left="2940" w:hanging="792"/>
      </w:pPr>
      <w:rPr>
        <w:rFonts w:hint="default"/>
      </w:rPr>
    </w:lvl>
    <w:lvl w:ilvl="5">
      <w:start w:val="1"/>
      <w:numFmt w:val="decimal"/>
      <w:lvlText w:val="%1.%2.%3.%4.%5.%6."/>
      <w:lvlJc w:val="left"/>
      <w:pPr>
        <w:tabs>
          <w:tab w:val="num" w:pos="3588"/>
        </w:tabs>
        <w:ind w:left="3444" w:hanging="936"/>
      </w:pPr>
      <w:rPr>
        <w:rFonts w:hint="default"/>
      </w:rPr>
    </w:lvl>
    <w:lvl w:ilvl="6">
      <w:start w:val="1"/>
      <w:numFmt w:val="decimal"/>
      <w:lvlText w:val="%1.%2.%3.%4.%5.%6.%7."/>
      <w:lvlJc w:val="left"/>
      <w:pPr>
        <w:tabs>
          <w:tab w:val="num" w:pos="4308"/>
        </w:tabs>
        <w:ind w:left="3948" w:hanging="1080"/>
      </w:pPr>
      <w:rPr>
        <w:rFonts w:hint="default"/>
      </w:rPr>
    </w:lvl>
    <w:lvl w:ilvl="7">
      <w:start w:val="1"/>
      <w:numFmt w:val="decimal"/>
      <w:lvlText w:val="%1.%2.%3.%4.%5.%6.%7.%8."/>
      <w:lvlJc w:val="left"/>
      <w:pPr>
        <w:tabs>
          <w:tab w:val="num" w:pos="4668"/>
        </w:tabs>
        <w:ind w:left="4452" w:hanging="1224"/>
      </w:pPr>
      <w:rPr>
        <w:rFonts w:hint="default"/>
      </w:rPr>
    </w:lvl>
    <w:lvl w:ilvl="8">
      <w:start w:val="1"/>
      <w:numFmt w:val="decimal"/>
      <w:lvlText w:val="%1.%2.%3.%4.%5.%6.%7.%8.%9."/>
      <w:lvlJc w:val="left"/>
      <w:pPr>
        <w:tabs>
          <w:tab w:val="num" w:pos="5388"/>
        </w:tabs>
        <w:ind w:left="5028" w:hanging="1440"/>
      </w:pPr>
      <w:rPr>
        <w:rFonts w:hint="default"/>
      </w:rPr>
    </w:lvl>
  </w:abstractNum>
  <w:abstractNum w:abstractNumId="72">
    <w:nsid w:val="3C35709B"/>
    <w:multiLevelType w:val="hybridMultilevel"/>
    <w:tmpl w:val="98E87EE4"/>
    <w:lvl w:ilvl="0" w:tplc="9286A30C">
      <w:start w:val="1"/>
      <w:numFmt w:val="bullet"/>
      <w:lvlText w:val="−"/>
      <w:lvlJc w:val="left"/>
      <w:pPr>
        <w:ind w:left="777" w:hanging="360"/>
      </w:pPr>
      <w:rPr>
        <w:rFonts w:ascii="Times New Roman" w:hAnsi="Times New Roman" w:cs="Times New Roman" w:hint="default"/>
      </w:rPr>
    </w:lvl>
    <w:lvl w:ilvl="1" w:tplc="B1E06B64">
      <w:start w:val="1"/>
      <w:numFmt w:val="bullet"/>
      <w:lvlText w:val="o"/>
      <w:lvlJc w:val="left"/>
      <w:pPr>
        <w:ind w:left="1497" w:hanging="360"/>
      </w:pPr>
      <w:rPr>
        <w:rFonts w:ascii="Courier New" w:hAnsi="Courier New" w:cs="Courier New" w:hint="default"/>
      </w:rPr>
    </w:lvl>
    <w:lvl w:ilvl="2" w:tplc="4C42E374">
      <w:start w:val="1"/>
      <w:numFmt w:val="bullet"/>
      <w:lvlText w:val=""/>
      <w:lvlJc w:val="left"/>
      <w:pPr>
        <w:ind w:left="2217" w:hanging="360"/>
      </w:pPr>
      <w:rPr>
        <w:rFonts w:ascii="Wingdings" w:hAnsi="Wingdings" w:hint="default"/>
      </w:rPr>
    </w:lvl>
    <w:lvl w:ilvl="3" w:tplc="803046C2">
      <w:start w:val="1"/>
      <w:numFmt w:val="bullet"/>
      <w:lvlText w:val=""/>
      <w:lvlJc w:val="left"/>
      <w:pPr>
        <w:ind w:left="2937" w:hanging="360"/>
      </w:pPr>
      <w:rPr>
        <w:rFonts w:ascii="Symbol" w:hAnsi="Symbol" w:hint="default"/>
      </w:rPr>
    </w:lvl>
    <w:lvl w:ilvl="4" w:tplc="0D62D6A4">
      <w:start w:val="1"/>
      <w:numFmt w:val="bullet"/>
      <w:lvlText w:val="o"/>
      <w:lvlJc w:val="left"/>
      <w:pPr>
        <w:ind w:left="3657" w:hanging="360"/>
      </w:pPr>
      <w:rPr>
        <w:rFonts w:ascii="Courier New" w:hAnsi="Courier New" w:cs="Courier New" w:hint="default"/>
      </w:rPr>
    </w:lvl>
    <w:lvl w:ilvl="5" w:tplc="D0363278">
      <w:start w:val="1"/>
      <w:numFmt w:val="bullet"/>
      <w:lvlText w:val=""/>
      <w:lvlJc w:val="left"/>
      <w:pPr>
        <w:ind w:left="4377" w:hanging="360"/>
      </w:pPr>
      <w:rPr>
        <w:rFonts w:ascii="Wingdings" w:hAnsi="Wingdings" w:hint="default"/>
      </w:rPr>
    </w:lvl>
    <w:lvl w:ilvl="6" w:tplc="7D827A9A">
      <w:start w:val="1"/>
      <w:numFmt w:val="bullet"/>
      <w:lvlText w:val=""/>
      <w:lvlJc w:val="left"/>
      <w:pPr>
        <w:ind w:left="5097" w:hanging="360"/>
      </w:pPr>
      <w:rPr>
        <w:rFonts w:ascii="Symbol" w:hAnsi="Symbol" w:hint="default"/>
      </w:rPr>
    </w:lvl>
    <w:lvl w:ilvl="7" w:tplc="E6060AD2">
      <w:start w:val="1"/>
      <w:numFmt w:val="bullet"/>
      <w:lvlText w:val="o"/>
      <w:lvlJc w:val="left"/>
      <w:pPr>
        <w:ind w:left="5817" w:hanging="360"/>
      </w:pPr>
      <w:rPr>
        <w:rFonts w:ascii="Courier New" w:hAnsi="Courier New" w:cs="Courier New" w:hint="default"/>
      </w:rPr>
    </w:lvl>
    <w:lvl w:ilvl="8" w:tplc="6C8008AE">
      <w:start w:val="1"/>
      <w:numFmt w:val="bullet"/>
      <w:lvlText w:val=""/>
      <w:lvlJc w:val="left"/>
      <w:pPr>
        <w:ind w:left="6537" w:hanging="360"/>
      </w:pPr>
      <w:rPr>
        <w:rFonts w:ascii="Wingdings" w:hAnsi="Wingdings" w:hint="default"/>
      </w:rPr>
    </w:lvl>
  </w:abstractNum>
  <w:abstractNum w:abstractNumId="73">
    <w:nsid w:val="3C6522FB"/>
    <w:multiLevelType w:val="multilevel"/>
    <w:tmpl w:val="CB14500C"/>
    <w:lvl w:ilvl="0">
      <w:start w:val="1"/>
      <w:numFmt w:val="decimal"/>
      <w:pStyle w:val="OTRnum"/>
      <w:lvlText w:val="%1."/>
      <w:lvlJc w:val="left"/>
      <w:pPr>
        <w:tabs>
          <w:tab w:val="num" w:pos="1021"/>
        </w:tabs>
        <w:ind w:left="1021" w:hanging="284"/>
      </w:pPr>
      <w:rPr>
        <w:rFonts w:hint="default"/>
      </w:rPr>
    </w:lvl>
    <w:lvl w:ilvl="1">
      <w:start w:val="1"/>
      <w:numFmt w:val="decimal"/>
      <w:lvlText w:val="%1.%2."/>
      <w:lvlJc w:val="left"/>
      <w:pPr>
        <w:tabs>
          <w:tab w:val="num" w:pos="1588"/>
        </w:tabs>
        <w:ind w:left="1588" w:hanging="567"/>
      </w:pPr>
      <w:rPr>
        <w:rFonts w:ascii="Times New Roman" w:hAnsi="Times New Roman" w:cs="Times New Roman" w:hint="default"/>
        <w:b w:val="0"/>
        <w:i w:val="0"/>
        <w:sz w:val="24"/>
      </w:rPr>
    </w:lvl>
    <w:lvl w:ilvl="2">
      <w:start w:val="1"/>
      <w:numFmt w:val="decimal"/>
      <w:lvlText w:val="%1.%2.%3."/>
      <w:lvlJc w:val="left"/>
      <w:pPr>
        <w:tabs>
          <w:tab w:val="num" w:pos="2155"/>
        </w:tabs>
        <w:ind w:left="2155" w:hanging="567"/>
      </w:pPr>
      <w:rPr>
        <w:rFonts w:ascii="Times New Roman" w:hAnsi="Times New Roman" w:hint="default"/>
        <w:b w:val="0"/>
        <w:i w:val="0"/>
        <w:sz w:val="24"/>
      </w:rPr>
    </w:lvl>
    <w:lvl w:ilvl="3">
      <w:start w:val="1"/>
      <w:numFmt w:val="decimal"/>
      <w:lvlText w:val="%1.%2.%3.%4."/>
      <w:lvlJc w:val="left"/>
      <w:pPr>
        <w:tabs>
          <w:tab w:val="num" w:pos="1601"/>
        </w:tabs>
        <w:ind w:left="3062" w:hanging="907"/>
      </w:pPr>
      <w:rPr>
        <w:rFonts w:ascii="Times New Roman" w:hAnsi="Times New Roman" w:hint="default"/>
        <w:b w:val="0"/>
        <w:i w:val="0"/>
        <w:sz w:val="24"/>
      </w:rPr>
    </w:lvl>
    <w:lvl w:ilvl="4">
      <w:start w:val="1"/>
      <w:numFmt w:val="decimal"/>
      <w:lvlText w:val="%1.%2.%3.%4.%5"/>
      <w:lvlJc w:val="left"/>
      <w:pPr>
        <w:tabs>
          <w:tab w:val="num" w:pos="1745"/>
        </w:tabs>
        <w:ind w:left="1745" w:hanging="1008"/>
      </w:pPr>
      <w:rPr>
        <w:rFonts w:hint="default"/>
      </w:rPr>
    </w:lvl>
    <w:lvl w:ilvl="5">
      <w:start w:val="1"/>
      <w:numFmt w:val="decimal"/>
      <w:lvlText w:val="%1.%2.%3.%4.%5.%6"/>
      <w:lvlJc w:val="left"/>
      <w:pPr>
        <w:tabs>
          <w:tab w:val="num" w:pos="1889"/>
        </w:tabs>
        <w:ind w:left="1889" w:hanging="1152"/>
      </w:pPr>
      <w:rPr>
        <w:rFonts w:hint="default"/>
      </w:rPr>
    </w:lvl>
    <w:lvl w:ilvl="6">
      <w:start w:val="1"/>
      <w:numFmt w:val="decimal"/>
      <w:lvlText w:val="%1.%2.%3.%4.%5.%6.%7"/>
      <w:lvlJc w:val="left"/>
      <w:pPr>
        <w:tabs>
          <w:tab w:val="num" w:pos="2033"/>
        </w:tabs>
        <w:ind w:left="2033" w:hanging="1296"/>
      </w:pPr>
      <w:rPr>
        <w:rFonts w:hint="default"/>
      </w:rPr>
    </w:lvl>
    <w:lvl w:ilvl="7">
      <w:start w:val="1"/>
      <w:numFmt w:val="decimal"/>
      <w:lvlText w:val="%1.%2.%3.%4.%5.%6.%7.%8"/>
      <w:lvlJc w:val="left"/>
      <w:pPr>
        <w:tabs>
          <w:tab w:val="num" w:pos="2177"/>
        </w:tabs>
        <w:ind w:left="2177" w:hanging="1440"/>
      </w:pPr>
      <w:rPr>
        <w:rFonts w:hint="default"/>
      </w:rPr>
    </w:lvl>
    <w:lvl w:ilvl="8">
      <w:start w:val="1"/>
      <w:numFmt w:val="decimal"/>
      <w:lvlText w:val="%1.%2.%3.%4.%5.%6.%7.%8.%9"/>
      <w:lvlJc w:val="left"/>
      <w:pPr>
        <w:tabs>
          <w:tab w:val="num" w:pos="2321"/>
        </w:tabs>
        <w:ind w:left="2321" w:hanging="1584"/>
      </w:pPr>
      <w:rPr>
        <w:rFonts w:hint="default"/>
      </w:rPr>
    </w:lvl>
  </w:abstractNum>
  <w:abstractNum w:abstractNumId="74">
    <w:nsid w:val="3F9167FA"/>
    <w:multiLevelType w:val="hybridMultilevel"/>
    <w:tmpl w:val="48843F18"/>
    <w:lvl w:ilvl="0" w:tplc="055873FA">
      <w:start w:val="1"/>
      <w:numFmt w:val="bullet"/>
      <w:lvlText w:val="−"/>
      <w:lvlJc w:val="left"/>
      <w:pPr>
        <w:ind w:left="777" w:hanging="360"/>
      </w:pPr>
      <w:rPr>
        <w:rFonts w:ascii="Times New Roman" w:hAnsi="Times New Roman" w:cs="Times New Roman" w:hint="default"/>
      </w:rPr>
    </w:lvl>
    <w:lvl w:ilvl="1" w:tplc="A4002D96">
      <w:start w:val="1"/>
      <w:numFmt w:val="bullet"/>
      <w:lvlText w:val="o"/>
      <w:lvlJc w:val="left"/>
      <w:pPr>
        <w:ind w:left="1497" w:hanging="360"/>
      </w:pPr>
      <w:rPr>
        <w:rFonts w:ascii="Courier New" w:hAnsi="Courier New" w:cs="Courier New" w:hint="default"/>
      </w:rPr>
    </w:lvl>
    <w:lvl w:ilvl="2" w:tplc="2B50212C">
      <w:start w:val="1"/>
      <w:numFmt w:val="bullet"/>
      <w:lvlText w:val=""/>
      <w:lvlJc w:val="left"/>
      <w:pPr>
        <w:ind w:left="2217" w:hanging="360"/>
      </w:pPr>
      <w:rPr>
        <w:rFonts w:ascii="Wingdings" w:hAnsi="Wingdings" w:hint="default"/>
      </w:rPr>
    </w:lvl>
    <w:lvl w:ilvl="3" w:tplc="1CC4EA52">
      <w:start w:val="1"/>
      <w:numFmt w:val="bullet"/>
      <w:lvlText w:val=""/>
      <w:lvlJc w:val="left"/>
      <w:pPr>
        <w:ind w:left="2937" w:hanging="360"/>
      </w:pPr>
      <w:rPr>
        <w:rFonts w:ascii="Symbol" w:hAnsi="Symbol" w:hint="default"/>
      </w:rPr>
    </w:lvl>
    <w:lvl w:ilvl="4" w:tplc="0AC2156C">
      <w:start w:val="1"/>
      <w:numFmt w:val="bullet"/>
      <w:lvlText w:val="o"/>
      <w:lvlJc w:val="left"/>
      <w:pPr>
        <w:ind w:left="3657" w:hanging="360"/>
      </w:pPr>
      <w:rPr>
        <w:rFonts w:ascii="Courier New" w:hAnsi="Courier New" w:cs="Courier New" w:hint="default"/>
      </w:rPr>
    </w:lvl>
    <w:lvl w:ilvl="5" w:tplc="57DCE948">
      <w:start w:val="1"/>
      <w:numFmt w:val="bullet"/>
      <w:lvlText w:val=""/>
      <w:lvlJc w:val="left"/>
      <w:pPr>
        <w:ind w:left="4377" w:hanging="360"/>
      </w:pPr>
      <w:rPr>
        <w:rFonts w:ascii="Wingdings" w:hAnsi="Wingdings" w:hint="default"/>
      </w:rPr>
    </w:lvl>
    <w:lvl w:ilvl="6" w:tplc="2B9685C8">
      <w:start w:val="1"/>
      <w:numFmt w:val="bullet"/>
      <w:lvlText w:val=""/>
      <w:lvlJc w:val="left"/>
      <w:pPr>
        <w:ind w:left="5097" w:hanging="360"/>
      </w:pPr>
      <w:rPr>
        <w:rFonts w:ascii="Symbol" w:hAnsi="Symbol" w:hint="default"/>
      </w:rPr>
    </w:lvl>
    <w:lvl w:ilvl="7" w:tplc="CCE27346">
      <w:start w:val="1"/>
      <w:numFmt w:val="bullet"/>
      <w:lvlText w:val="o"/>
      <w:lvlJc w:val="left"/>
      <w:pPr>
        <w:ind w:left="5817" w:hanging="360"/>
      </w:pPr>
      <w:rPr>
        <w:rFonts w:ascii="Courier New" w:hAnsi="Courier New" w:cs="Courier New" w:hint="default"/>
      </w:rPr>
    </w:lvl>
    <w:lvl w:ilvl="8" w:tplc="D6D65B80">
      <w:start w:val="1"/>
      <w:numFmt w:val="bullet"/>
      <w:lvlText w:val=""/>
      <w:lvlJc w:val="left"/>
      <w:pPr>
        <w:ind w:left="6537" w:hanging="360"/>
      </w:pPr>
      <w:rPr>
        <w:rFonts w:ascii="Wingdings" w:hAnsi="Wingdings" w:hint="default"/>
      </w:rPr>
    </w:lvl>
  </w:abstractNum>
  <w:abstractNum w:abstractNumId="75">
    <w:nsid w:val="3F9C15AA"/>
    <w:multiLevelType w:val="hybridMultilevel"/>
    <w:tmpl w:val="8C701DF2"/>
    <w:lvl w:ilvl="0" w:tplc="25361042">
      <w:start w:val="1"/>
      <w:numFmt w:val="bullet"/>
      <w:lvlText w:val="-"/>
      <w:lvlJc w:val="left"/>
      <w:pPr>
        <w:ind w:left="1004" w:hanging="360"/>
      </w:pPr>
      <w:rPr>
        <w:rFonts w:ascii="Courier New" w:hAnsi="Courier New" w:hint="default"/>
      </w:rPr>
    </w:lvl>
    <w:lvl w:ilvl="1" w:tplc="F184198A">
      <w:start w:val="1"/>
      <w:numFmt w:val="bullet"/>
      <w:lvlText w:val="o"/>
      <w:lvlJc w:val="left"/>
      <w:pPr>
        <w:ind w:left="1724" w:hanging="360"/>
      </w:pPr>
      <w:rPr>
        <w:rFonts w:ascii="Courier New" w:hAnsi="Courier New" w:cs="Courier New" w:hint="default"/>
      </w:rPr>
    </w:lvl>
    <w:lvl w:ilvl="2" w:tplc="46B8608A">
      <w:start w:val="1"/>
      <w:numFmt w:val="bullet"/>
      <w:lvlText w:val=""/>
      <w:lvlJc w:val="left"/>
      <w:pPr>
        <w:ind w:left="2444" w:hanging="360"/>
      </w:pPr>
      <w:rPr>
        <w:rFonts w:ascii="Wingdings" w:hAnsi="Wingdings" w:hint="default"/>
      </w:rPr>
    </w:lvl>
    <w:lvl w:ilvl="3" w:tplc="FE325900">
      <w:start w:val="1"/>
      <w:numFmt w:val="bullet"/>
      <w:lvlText w:val=""/>
      <w:lvlJc w:val="left"/>
      <w:pPr>
        <w:ind w:left="3164" w:hanging="360"/>
      </w:pPr>
      <w:rPr>
        <w:rFonts w:ascii="Symbol" w:hAnsi="Symbol" w:hint="default"/>
      </w:rPr>
    </w:lvl>
    <w:lvl w:ilvl="4" w:tplc="B7049D76">
      <w:start w:val="1"/>
      <w:numFmt w:val="bullet"/>
      <w:lvlText w:val="o"/>
      <w:lvlJc w:val="left"/>
      <w:pPr>
        <w:ind w:left="3884" w:hanging="360"/>
      </w:pPr>
      <w:rPr>
        <w:rFonts w:ascii="Courier New" w:hAnsi="Courier New" w:cs="Courier New" w:hint="default"/>
      </w:rPr>
    </w:lvl>
    <w:lvl w:ilvl="5" w:tplc="352C2BC2">
      <w:start w:val="1"/>
      <w:numFmt w:val="bullet"/>
      <w:lvlText w:val=""/>
      <w:lvlJc w:val="left"/>
      <w:pPr>
        <w:ind w:left="4604" w:hanging="360"/>
      </w:pPr>
      <w:rPr>
        <w:rFonts w:ascii="Wingdings" w:hAnsi="Wingdings" w:hint="default"/>
      </w:rPr>
    </w:lvl>
    <w:lvl w:ilvl="6" w:tplc="340642AA">
      <w:start w:val="1"/>
      <w:numFmt w:val="bullet"/>
      <w:lvlText w:val=""/>
      <w:lvlJc w:val="left"/>
      <w:pPr>
        <w:ind w:left="5324" w:hanging="360"/>
      </w:pPr>
      <w:rPr>
        <w:rFonts w:ascii="Symbol" w:hAnsi="Symbol" w:hint="default"/>
      </w:rPr>
    </w:lvl>
    <w:lvl w:ilvl="7" w:tplc="E3CCBDF6">
      <w:start w:val="1"/>
      <w:numFmt w:val="bullet"/>
      <w:lvlText w:val="o"/>
      <w:lvlJc w:val="left"/>
      <w:pPr>
        <w:ind w:left="6044" w:hanging="360"/>
      </w:pPr>
      <w:rPr>
        <w:rFonts w:ascii="Courier New" w:hAnsi="Courier New" w:cs="Courier New" w:hint="default"/>
      </w:rPr>
    </w:lvl>
    <w:lvl w:ilvl="8" w:tplc="0B82BCBC">
      <w:start w:val="1"/>
      <w:numFmt w:val="bullet"/>
      <w:lvlText w:val=""/>
      <w:lvlJc w:val="left"/>
      <w:pPr>
        <w:ind w:left="6764" w:hanging="360"/>
      </w:pPr>
      <w:rPr>
        <w:rFonts w:ascii="Wingdings" w:hAnsi="Wingdings" w:hint="default"/>
      </w:rPr>
    </w:lvl>
  </w:abstractNum>
  <w:abstractNum w:abstractNumId="76">
    <w:nsid w:val="42271CDF"/>
    <w:multiLevelType w:val="hybridMultilevel"/>
    <w:tmpl w:val="BD18B6B0"/>
    <w:lvl w:ilvl="0" w:tplc="18D630A4">
      <w:start w:val="1"/>
      <w:numFmt w:val="bullet"/>
      <w:pStyle w:val="BulletList"/>
      <w:lvlText w:val=""/>
      <w:lvlJc w:val="left"/>
      <w:pPr>
        <w:ind w:left="1210" w:hanging="360"/>
      </w:pPr>
      <w:rPr>
        <w:rFonts w:ascii="Symbol" w:hAnsi="Symbol" w:cs="Times New Roman" w:hint="default"/>
        <w:b w:val="0"/>
        <w:bCs w:val="0"/>
        <w:i w:val="0"/>
        <w:iCs w:val="0"/>
        <w:caps w:val="0"/>
        <w:smallCaps w:val="0"/>
        <w:strike w:val="0"/>
        <w:vanish w:val="0"/>
        <w:color w:val="000000"/>
        <w:spacing w:val="0"/>
        <w:position w:val="0"/>
        <w:sz w:val="2"/>
        <w:szCs w:val="2"/>
        <w:u w:val="none"/>
        <w:shd w:val="clear" w:color="auto" w:fill="000000"/>
        <w:vertAlign w:val="baseline"/>
      </w:rPr>
    </w:lvl>
    <w:lvl w:ilvl="1" w:tplc="4AD4195C">
      <w:start w:val="1"/>
      <w:numFmt w:val="bullet"/>
      <w:pStyle w:val="ListLevel2"/>
      <w:lvlText w:val="o"/>
      <w:lvlJc w:val="left"/>
      <w:pPr>
        <w:ind w:left="1440" w:hanging="360"/>
      </w:pPr>
      <w:rPr>
        <w:rFonts w:ascii="Courier New" w:hAnsi="Courier New" w:cs="Courier New" w:hint="default"/>
      </w:rPr>
    </w:lvl>
    <w:lvl w:ilvl="2" w:tplc="5D3E7F7C">
      <w:start w:val="1"/>
      <w:numFmt w:val="bullet"/>
      <w:pStyle w:val="ListLevel3"/>
      <w:lvlText w:val=""/>
      <w:lvlJc w:val="left"/>
      <w:pPr>
        <w:ind w:left="2160" w:hanging="360"/>
      </w:pPr>
      <w:rPr>
        <w:rFonts w:ascii="Wingdings" w:hAnsi="Wingdings" w:hint="default"/>
      </w:rPr>
    </w:lvl>
    <w:lvl w:ilvl="3" w:tplc="2E585810">
      <w:start w:val="1"/>
      <w:numFmt w:val="bullet"/>
      <w:lvlText w:val=""/>
      <w:lvlJc w:val="left"/>
      <w:pPr>
        <w:ind w:left="2880" w:hanging="360"/>
      </w:pPr>
      <w:rPr>
        <w:rFonts w:ascii="Symbol" w:hAnsi="Symbol" w:hint="default"/>
      </w:rPr>
    </w:lvl>
    <w:lvl w:ilvl="4" w:tplc="BB0419DC">
      <w:start w:val="1"/>
      <w:numFmt w:val="bullet"/>
      <w:lvlText w:val="o"/>
      <w:lvlJc w:val="left"/>
      <w:pPr>
        <w:ind w:left="3600" w:hanging="360"/>
      </w:pPr>
      <w:rPr>
        <w:rFonts w:ascii="Courier New" w:hAnsi="Courier New" w:cs="Courier New" w:hint="default"/>
      </w:rPr>
    </w:lvl>
    <w:lvl w:ilvl="5" w:tplc="65B8D9D6">
      <w:start w:val="1"/>
      <w:numFmt w:val="bullet"/>
      <w:lvlText w:val=""/>
      <w:lvlJc w:val="left"/>
      <w:pPr>
        <w:ind w:left="4320" w:hanging="360"/>
      </w:pPr>
      <w:rPr>
        <w:rFonts w:ascii="Wingdings" w:hAnsi="Wingdings" w:hint="default"/>
      </w:rPr>
    </w:lvl>
    <w:lvl w:ilvl="6" w:tplc="948E88E8">
      <w:start w:val="1"/>
      <w:numFmt w:val="bullet"/>
      <w:lvlText w:val=""/>
      <w:lvlJc w:val="left"/>
      <w:pPr>
        <w:ind w:left="5040" w:hanging="360"/>
      </w:pPr>
      <w:rPr>
        <w:rFonts w:ascii="Symbol" w:hAnsi="Symbol" w:hint="default"/>
      </w:rPr>
    </w:lvl>
    <w:lvl w:ilvl="7" w:tplc="8F3EBAFE">
      <w:start w:val="1"/>
      <w:numFmt w:val="bullet"/>
      <w:lvlText w:val="o"/>
      <w:lvlJc w:val="left"/>
      <w:pPr>
        <w:ind w:left="5760" w:hanging="360"/>
      </w:pPr>
      <w:rPr>
        <w:rFonts w:ascii="Courier New" w:hAnsi="Courier New" w:cs="Courier New" w:hint="default"/>
      </w:rPr>
    </w:lvl>
    <w:lvl w:ilvl="8" w:tplc="48F0712C">
      <w:start w:val="1"/>
      <w:numFmt w:val="bullet"/>
      <w:lvlText w:val=""/>
      <w:lvlJc w:val="left"/>
      <w:pPr>
        <w:ind w:left="6480" w:hanging="360"/>
      </w:pPr>
      <w:rPr>
        <w:rFonts w:ascii="Wingdings" w:hAnsi="Wingdings" w:hint="default"/>
      </w:rPr>
    </w:lvl>
  </w:abstractNum>
  <w:abstractNum w:abstractNumId="77">
    <w:nsid w:val="430A2673"/>
    <w:multiLevelType w:val="hybridMultilevel"/>
    <w:tmpl w:val="0419001D"/>
    <w:styleLink w:val="1ai"/>
    <w:lvl w:ilvl="0" w:tplc="77F68446">
      <w:start w:val="1"/>
      <w:numFmt w:val="decimal"/>
      <w:pStyle w:val="1ai"/>
      <w:lvlText w:val="%1)"/>
      <w:lvlJc w:val="left"/>
      <w:pPr>
        <w:tabs>
          <w:tab w:val="num" w:pos="360"/>
        </w:tabs>
        <w:ind w:left="360" w:hanging="360"/>
      </w:pPr>
    </w:lvl>
    <w:lvl w:ilvl="1" w:tplc="1518B084">
      <w:start w:val="1"/>
      <w:numFmt w:val="lowerLetter"/>
      <w:lvlText w:val="%2)"/>
      <w:lvlJc w:val="left"/>
      <w:pPr>
        <w:tabs>
          <w:tab w:val="num" w:pos="720"/>
        </w:tabs>
        <w:ind w:left="720" w:hanging="360"/>
      </w:pPr>
    </w:lvl>
    <w:lvl w:ilvl="2" w:tplc="64E41C4A">
      <w:start w:val="1"/>
      <w:numFmt w:val="lowerRoman"/>
      <w:lvlText w:val="%3)"/>
      <w:lvlJc w:val="left"/>
      <w:pPr>
        <w:tabs>
          <w:tab w:val="num" w:pos="1080"/>
        </w:tabs>
        <w:ind w:left="1080" w:hanging="360"/>
      </w:pPr>
    </w:lvl>
    <w:lvl w:ilvl="3" w:tplc="AC9A454A">
      <w:start w:val="1"/>
      <w:numFmt w:val="decimal"/>
      <w:lvlText w:val="(%4)"/>
      <w:lvlJc w:val="left"/>
      <w:pPr>
        <w:tabs>
          <w:tab w:val="num" w:pos="1440"/>
        </w:tabs>
        <w:ind w:left="1440" w:hanging="360"/>
      </w:pPr>
    </w:lvl>
    <w:lvl w:ilvl="4" w:tplc="78CA4172">
      <w:start w:val="1"/>
      <w:numFmt w:val="lowerLetter"/>
      <w:lvlText w:val="(%5)"/>
      <w:lvlJc w:val="left"/>
      <w:pPr>
        <w:tabs>
          <w:tab w:val="num" w:pos="1800"/>
        </w:tabs>
        <w:ind w:left="1800" w:hanging="360"/>
      </w:pPr>
    </w:lvl>
    <w:lvl w:ilvl="5" w:tplc="1D5E2362">
      <w:start w:val="1"/>
      <w:numFmt w:val="lowerRoman"/>
      <w:lvlText w:val="(%6)"/>
      <w:lvlJc w:val="left"/>
      <w:pPr>
        <w:tabs>
          <w:tab w:val="num" w:pos="2160"/>
        </w:tabs>
        <w:ind w:left="2160" w:hanging="360"/>
      </w:pPr>
    </w:lvl>
    <w:lvl w:ilvl="6" w:tplc="AFA4A064">
      <w:start w:val="1"/>
      <w:numFmt w:val="decimal"/>
      <w:lvlText w:val="%7."/>
      <w:lvlJc w:val="left"/>
      <w:pPr>
        <w:tabs>
          <w:tab w:val="num" w:pos="2520"/>
        </w:tabs>
        <w:ind w:left="2520" w:hanging="360"/>
      </w:pPr>
    </w:lvl>
    <w:lvl w:ilvl="7" w:tplc="8E085ABA">
      <w:start w:val="1"/>
      <w:numFmt w:val="lowerLetter"/>
      <w:lvlText w:val="%8."/>
      <w:lvlJc w:val="left"/>
      <w:pPr>
        <w:tabs>
          <w:tab w:val="num" w:pos="2880"/>
        </w:tabs>
        <w:ind w:left="2880" w:hanging="360"/>
      </w:pPr>
    </w:lvl>
    <w:lvl w:ilvl="8" w:tplc="224C07FA">
      <w:start w:val="1"/>
      <w:numFmt w:val="lowerRoman"/>
      <w:lvlText w:val="%9."/>
      <w:lvlJc w:val="left"/>
      <w:pPr>
        <w:tabs>
          <w:tab w:val="num" w:pos="3240"/>
        </w:tabs>
        <w:ind w:left="3240" w:hanging="360"/>
      </w:pPr>
    </w:lvl>
  </w:abstractNum>
  <w:abstractNum w:abstractNumId="78">
    <w:nsid w:val="4323638F"/>
    <w:multiLevelType w:val="multilevel"/>
    <w:tmpl w:val="33247476"/>
    <w:styleLink w:val="1ai1"/>
    <w:lvl w:ilvl="0">
      <w:start w:val="1"/>
      <w:numFmt w:val="decimal"/>
      <w:pStyle w:val="OTRFootNoteNum"/>
      <w:lvlText w:val="%1."/>
      <w:lvlJc w:val="left"/>
      <w:pPr>
        <w:tabs>
          <w:tab w:val="num" w:pos="568"/>
        </w:tabs>
        <w:ind w:left="568" w:hanging="284"/>
      </w:pPr>
      <w:rPr>
        <w:rFonts w:ascii="Times New Roman" w:hAnsi="Times New Roman" w:hint="default"/>
        <w:sz w:val="20"/>
        <w:szCs w:val="24"/>
      </w:rPr>
    </w:lvl>
    <w:lvl w:ilvl="1">
      <w:start w:val="1"/>
      <w:numFmt w:val="decimal"/>
      <w:lvlText w:val="%1.%2."/>
      <w:lvlJc w:val="left"/>
      <w:pPr>
        <w:tabs>
          <w:tab w:val="num" w:pos="992"/>
        </w:tabs>
        <w:ind w:left="992" w:hanging="424"/>
      </w:pPr>
      <w:rPr>
        <w:rFonts w:ascii="Times New Roman" w:hAnsi="Times New Roman" w:hint="default"/>
        <w:sz w:val="20"/>
        <w:szCs w:val="24"/>
      </w:rPr>
    </w:lvl>
    <w:lvl w:ilvl="2">
      <w:start w:val="1"/>
      <w:numFmt w:val="decimal"/>
      <w:lvlText w:val="%2.%1.%3."/>
      <w:lvlJc w:val="left"/>
      <w:pPr>
        <w:tabs>
          <w:tab w:val="num" w:pos="1275"/>
        </w:tabs>
        <w:ind w:left="1560" w:hanging="568"/>
      </w:pPr>
      <w:rPr>
        <w:rFonts w:ascii="Times New Roman" w:hAnsi="Times New Roman" w:hint="default"/>
        <w:sz w:val="20"/>
        <w:szCs w:val="24"/>
      </w:rPr>
    </w:lvl>
    <w:lvl w:ilvl="3">
      <w:start w:val="1"/>
      <w:numFmt w:val="decimal"/>
      <w:lvlText w:val="%1.%2.%3.%4."/>
      <w:lvlJc w:val="left"/>
      <w:pPr>
        <w:tabs>
          <w:tab w:val="num" w:pos="2225"/>
        </w:tabs>
        <w:ind w:left="2153" w:hanging="648"/>
      </w:pPr>
      <w:rPr>
        <w:rFonts w:hint="default"/>
      </w:rPr>
    </w:lvl>
    <w:lvl w:ilvl="4">
      <w:start w:val="1"/>
      <w:numFmt w:val="decimal"/>
      <w:lvlText w:val="%1.%2.%3.%4.%5."/>
      <w:lvlJc w:val="left"/>
      <w:pPr>
        <w:tabs>
          <w:tab w:val="num" w:pos="2945"/>
        </w:tabs>
        <w:ind w:left="2657" w:hanging="792"/>
      </w:pPr>
      <w:rPr>
        <w:rFonts w:hint="default"/>
      </w:rPr>
    </w:lvl>
    <w:lvl w:ilvl="5">
      <w:start w:val="1"/>
      <w:numFmt w:val="decimal"/>
      <w:lvlText w:val="%1.%2.%3.%4.%5.%6."/>
      <w:lvlJc w:val="left"/>
      <w:pPr>
        <w:tabs>
          <w:tab w:val="num" w:pos="3305"/>
        </w:tabs>
        <w:ind w:left="3161" w:hanging="936"/>
      </w:pPr>
      <w:rPr>
        <w:rFonts w:hint="default"/>
      </w:rPr>
    </w:lvl>
    <w:lvl w:ilvl="6">
      <w:start w:val="1"/>
      <w:numFmt w:val="decimal"/>
      <w:lvlText w:val="%1.%2.%3.%4.%5.%6.%7."/>
      <w:lvlJc w:val="left"/>
      <w:pPr>
        <w:tabs>
          <w:tab w:val="num" w:pos="4025"/>
        </w:tabs>
        <w:ind w:left="3665" w:hanging="1080"/>
      </w:pPr>
      <w:rPr>
        <w:rFonts w:hint="default"/>
      </w:rPr>
    </w:lvl>
    <w:lvl w:ilvl="7">
      <w:start w:val="1"/>
      <w:numFmt w:val="decimal"/>
      <w:lvlText w:val="%1.%2.%3.%4.%5.%6.%7.%8."/>
      <w:lvlJc w:val="left"/>
      <w:pPr>
        <w:tabs>
          <w:tab w:val="num" w:pos="4385"/>
        </w:tabs>
        <w:ind w:left="4169" w:hanging="1224"/>
      </w:pPr>
      <w:rPr>
        <w:rFonts w:hint="default"/>
      </w:rPr>
    </w:lvl>
    <w:lvl w:ilvl="8">
      <w:start w:val="1"/>
      <w:numFmt w:val="decimal"/>
      <w:lvlText w:val="%1.%2.%3.%4.%5.%6.%7.%8.%9."/>
      <w:lvlJc w:val="left"/>
      <w:pPr>
        <w:tabs>
          <w:tab w:val="num" w:pos="5105"/>
        </w:tabs>
        <w:ind w:left="4745" w:hanging="1440"/>
      </w:pPr>
      <w:rPr>
        <w:rFonts w:hint="default"/>
      </w:rPr>
    </w:lvl>
  </w:abstractNum>
  <w:abstractNum w:abstractNumId="79">
    <w:nsid w:val="44775347"/>
    <w:multiLevelType w:val="hybridMultilevel"/>
    <w:tmpl w:val="0B5E834C"/>
    <w:lvl w:ilvl="0" w:tplc="9B48830C">
      <w:start w:val="1"/>
      <w:numFmt w:val="bullet"/>
      <w:lvlText w:val="-"/>
      <w:lvlJc w:val="left"/>
      <w:pPr>
        <w:ind w:left="777" w:hanging="360"/>
      </w:pPr>
      <w:rPr>
        <w:rFonts w:ascii="Courier New" w:hAnsi="Courier New" w:hint="default"/>
      </w:rPr>
    </w:lvl>
    <w:lvl w:ilvl="1" w:tplc="C166163E">
      <w:start w:val="1"/>
      <w:numFmt w:val="bullet"/>
      <w:lvlText w:val="o"/>
      <w:lvlJc w:val="left"/>
      <w:pPr>
        <w:ind w:left="1497" w:hanging="360"/>
      </w:pPr>
      <w:rPr>
        <w:rFonts w:ascii="Courier New" w:hAnsi="Courier New" w:cs="Courier New" w:hint="default"/>
      </w:rPr>
    </w:lvl>
    <w:lvl w:ilvl="2" w:tplc="B4943C7E">
      <w:start w:val="1"/>
      <w:numFmt w:val="bullet"/>
      <w:lvlText w:val=""/>
      <w:lvlJc w:val="left"/>
      <w:pPr>
        <w:ind w:left="2217" w:hanging="360"/>
      </w:pPr>
      <w:rPr>
        <w:rFonts w:ascii="Wingdings" w:hAnsi="Wingdings" w:hint="default"/>
      </w:rPr>
    </w:lvl>
    <w:lvl w:ilvl="3" w:tplc="3B6053A6">
      <w:start w:val="1"/>
      <w:numFmt w:val="bullet"/>
      <w:lvlText w:val=""/>
      <w:lvlJc w:val="left"/>
      <w:pPr>
        <w:ind w:left="2937" w:hanging="360"/>
      </w:pPr>
      <w:rPr>
        <w:rFonts w:ascii="Symbol" w:hAnsi="Symbol" w:hint="default"/>
      </w:rPr>
    </w:lvl>
    <w:lvl w:ilvl="4" w:tplc="5B2C12FC">
      <w:start w:val="1"/>
      <w:numFmt w:val="bullet"/>
      <w:lvlText w:val="o"/>
      <w:lvlJc w:val="left"/>
      <w:pPr>
        <w:ind w:left="3657" w:hanging="360"/>
      </w:pPr>
      <w:rPr>
        <w:rFonts w:ascii="Courier New" w:hAnsi="Courier New" w:cs="Courier New" w:hint="default"/>
      </w:rPr>
    </w:lvl>
    <w:lvl w:ilvl="5" w:tplc="BBE4AC70">
      <w:start w:val="1"/>
      <w:numFmt w:val="bullet"/>
      <w:lvlText w:val=""/>
      <w:lvlJc w:val="left"/>
      <w:pPr>
        <w:ind w:left="4377" w:hanging="360"/>
      </w:pPr>
      <w:rPr>
        <w:rFonts w:ascii="Wingdings" w:hAnsi="Wingdings" w:hint="default"/>
      </w:rPr>
    </w:lvl>
    <w:lvl w:ilvl="6" w:tplc="D81C4066">
      <w:start w:val="1"/>
      <w:numFmt w:val="bullet"/>
      <w:lvlText w:val=""/>
      <w:lvlJc w:val="left"/>
      <w:pPr>
        <w:ind w:left="5097" w:hanging="360"/>
      </w:pPr>
      <w:rPr>
        <w:rFonts w:ascii="Symbol" w:hAnsi="Symbol" w:hint="default"/>
      </w:rPr>
    </w:lvl>
    <w:lvl w:ilvl="7" w:tplc="D70A3E66">
      <w:start w:val="1"/>
      <w:numFmt w:val="bullet"/>
      <w:lvlText w:val="o"/>
      <w:lvlJc w:val="left"/>
      <w:pPr>
        <w:ind w:left="5817" w:hanging="360"/>
      </w:pPr>
      <w:rPr>
        <w:rFonts w:ascii="Courier New" w:hAnsi="Courier New" w:cs="Courier New" w:hint="default"/>
      </w:rPr>
    </w:lvl>
    <w:lvl w:ilvl="8" w:tplc="1A80FA0A">
      <w:start w:val="1"/>
      <w:numFmt w:val="bullet"/>
      <w:lvlText w:val=""/>
      <w:lvlJc w:val="left"/>
      <w:pPr>
        <w:ind w:left="6537" w:hanging="360"/>
      </w:pPr>
      <w:rPr>
        <w:rFonts w:ascii="Wingdings" w:hAnsi="Wingdings" w:hint="default"/>
      </w:rPr>
    </w:lvl>
  </w:abstractNum>
  <w:abstractNum w:abstractNumId="80">
    <w:nsid w:val="44B35570"/>
    <w:multiLevelType w:val="hybridMultilevel"/>
    <w:tmpl w:val="08B20D18"/>
    <w:lvl w:ilvl="0" w:tplc="92681CCE">
      <w:start w:val="1"/>
      <w:numFmt w:val="bullet"/>
      <w:lvlText w:val="−"/>
      <w:lvlJc w:val="left"/>
      <w:pPr>
        <w:ind w:left="777" w:hanging="360"/>
      </w:pPr>
      <w:rPr>
        <w:rFonts w:ascii="Times New Roman" w:hAnsi="Times New Roman" w:cs="Times New Roman" w:hint="default"/>
      </w:rPr>
    </w:lvl>
    <w:lvl w:ilvl="1" w:tplc="4DE245AC">
      <w:start w:val="1"/>
      <w:numFmt w:val="bullet"/>
      <w:lvlText w:val="o"/>
      <w:lvlJc w:val="left"/>
      <w:pPr>
        <w:ind w:left="1497" w:hanging="360"/>
      </w:pPr>
      <w:rPr>
        <w:rFonts w:ascii="Courier New" w:hAnsi="Courier New" w:cs="Courier New" w:hint="default"/>
      </w:rPr>
    </w:lvl>
    <w:lvl w:ilvl="2" w:tplc="59C8DC54">
      <w:start w:val="1"/>
      <w:numFmt w:val="bullet"/>
      <w:lvlText w:val=""/>
      <w:lvlJc w:val="left"/>
      <w:pPr>
        <w:ind w:left="2217" w:hanging="360"/>
      </w:pPr>
      <w:rPr>
        <w:rFonts w:ascii="Wingdings" w:hAnsi="Wingdings" w:hint="default"/>
      </w:rPr>
    </w:lvl>
    <w:lvl w:ilvl="3" w:tplc="2130702A">
      <w:start w:val="1"/>
      <w:numFmt w:val="bullet"/>
      <w:lvlText w:val=""/>
      <w:lvlJc w:val="left"/>
      <w:pPr>
        <w:ind w:left="2937" w:hanging="360"/>
      </w:pPr>
      <w:rPr>
        <w:rFonts w:ascii="Symbol" w:hAnsi="Symbol" w:hint="default"/>
      </w:rPr>
    </w:lvl>
    <w:lvl w:ilvl="4" w:tplc="805810A6">
      <w:start w:val="1"/>
      <w:numFmt w:val="bullet"/>
      <w:lvlText w:val="o"/>
      <w:lvlJc w:val="left"/>
      <w:pPr>
        <w:ind w:left="3657" w:hanging="360"/>
      </w:pPr>
      <w:rPr>
        <w:rFonts w:ascii="Courier New" w:hAnsi="Courier New" w:cs="Courier New" w:hint="default"/>
      </w:rPr>
    </w:lvl>
    <w:lvl w:ilvl="5" w:tplc="0A42FFB8">
      <w:start w:val="1"/>
      <w:numFmt w:val="bullet"/>
      <w:lvlText w:val=""/>
      <w:lvlJc w:val="left"/>
      <w:pPr>
        <w:ind w:left="4377" w:hanging="360"/>
      </w:pPr>
      <w:rPr>
        <w:rFonts w:ascii="Wingdings" w:hAnsi="Wingdings" w:hint="default"/>
      </w:rPr>
    </w:lvl>
    <w:lvl w:ilvl="6" w:tplc="FBAED548">
      <w:start w:val="1"/>
      <w:numFmt w:val="bullet"/>
      <w:lvlText w:val=""/>
      <w:lvlJc w:val="left"/>
      <w:pPr>
        <w:ind w:left="5097" w:hanging="360"/>
      </w:pPr>
      <w:rPr>
        <w:rFonts w:ascii="Symbol" w:hAnsi="Symbol" w:hint="default"/>
      </w:rPr>
    </w:lvl>
    <w:lvl w:ilvl="7" w:tplc="EA345E24">
      <w:start w:val="1"/>
      <w:numFmt w:val="bullet"/>
      <w:lvlText w:val="o"/>
      <w:lvlJc w:val="left"/>
      <w:pPr>
        <w:ind w:left="5817" w:hanging="360"/>
      </w:pPr>
      <w:rPr>
        <w:rFonts w:ascii="Courier New" w:hAnsi="Courier New" w:cs="Courier New" w:hint="default"/>
      </w:rPr>
    </w:lvl>
    <w:lvl w:ilvl="8" w:tplc="14D6BF2C">
      <w:start w:val="1"/>
      <w:numFmt w:val="bullet"/>
      <w:lvlText w:val=""/>
      <w:lvlJc w:val="left"/>
      <w:pPr>
        <w:ind w:left="6537" w:hanging="360"/>
      </w:pPr>
      <w:rPr>
        <w:rFonts w:ascii="Wingdings" w:hAnsi="Wingdings" w:hint="default"/>
      </w:rPr>
    </w:lvl>
  </w:abstractNum>
  <w:abstractNum w:abstractNumId="81">
    <w:nsid w:val="458D64F9"/>
    <w:multiLevelType w:val="multilevel"/>
    <w:tmpl w:val="54D84D64"/>
    <w:lvl w:ilvl="0">
      <w:start w:val="1"/>
      <w:numFmt w:val="decimal"/>
      <w:pStyle w:val="12"/>
      <w:lvlText w:val="%1."/>
      <w:lvlJc w:val="left"/>
      <w:pPr>
        <w:ind w:left="284" w:firstLine="0"/>
      </w:pPr>
      <w:rPr>
        <w:rFonts w:ascii="Times New Roman" w:hAnsi="Times New Roman" w:cs="Times New Roman"/>
        <w:b w:val="0"/>
        <w:bCs w:val="0"/>
        <w:i w:val="0"/>
        <w:iCs w:val="0"/>
        <w:caps w:val="0"/>
        <w:smallCaps w:val="0"/>
        <w:strike w:val="0"/>
        <w:vanish w:val="0"/>
        <w:color w:val="000000"/>
        <w:spacing w:val="0"/>
        <w:position w:val="0"/>
        <w:u w:val="none"/>
        <w:vertAlign w:val="baseline"/>
      </w:rPr>
    </w:lvl>
    <w:lvl w:ilvl="1">
      <w:start w:val="1"/>
      <w:numFmt w:val="decimal"/>
      <w:pStyle w:val="23"/>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82">
    <w:nsid w:val="45D95843"/>
    <w:multiLevelType w:val="multilevel"/>
    <w:tmpl w:val="8738F956"/>
    <w:lvl w:ilvl="0">
      <w:start w:val="1"/>
      <w:numFmt w:val="decimal"/>
      <w:pStyle w:val="GOSTTableListNum1"/>
      <w:lvlText w:val="%1)"/>
      <w:lvlJc w:val="left"/>
      <w:pPr>
        <w:tabs>
          <w:tab w:val="num" w:pos="284"/>
        </w:tabs>
        <w:ind w:left="284" w:hanging="227"/>
      </w:pPr>
      <w:rPr>
        <w:rFonts w:hint="default"/>
        <w:b w:val="0"/>
        <w:bCs w:val="0"/>
        <w:i w:val="0"/>
        <w:iCs w:val="0"/>
        <w:caps w:val="0"/>
        <w:smallCaps w:val="0"/>
        <w:strike w:val="0"/>
        <w:vanish w:val="0"/>
        <w:color w:val="000000"/>
        <w:spacing w:val="0"/>
        <w:position w:val="0"/>
        <w:u w:val="none"/>
        <w:vertAlign w:val="baseline"/>
      </w:rPr>
    </w:lvl>
    <w:lvl w:ilvl="1">
      <w:start w:val="1"/>
      <w:numFmt w:val="decimal"/>
      <w:lvlText w:val="%1.%2."/>
      <w:lvlJc w:val="left"/>
      <w:pPr>
        <w:tabs>
          <w:tab w:val="num" w:pos="567"/>
        </w:tabs>
        <w:ind w:left="709" w:hanging="425"/>
      </w:pPr>
      <w:rPr>
        <w:rFonts w:ascii="Times New Roman" w:hAnsi="Times New Roman" w:cs="Times New Roman"/>
        <w:b w:val="0"/>
        <w:bCs w:val="0"/>
        <w:i w:val="0"/>
        <w:iCs w:val="0"/>
        <w:caps w:val="0"/>
        <w:smallCaps w:val="0"/>
        <w:strike w:val="0"/>
        <w:vanish w:val="0"/>
        <w:color w:val="000000"/>
        <w:spacing w:val="0"/>
        <w:position w:val="0"/>
        <w:szCs w:val="0"/>
        <w:u w:val="none"/>
        <w:vertAlign w:val="baseline"/>
      </w:rPr>
    </w:lvl>
    <w:lvl w:ilvl="2">
      <w:start w:val="1"/>
      <w:numFmt w:val="decimal"/>
      <w:lvlText w:val="%2.%1.%3."/>
      <w:lvlJc w:val="left"/>
      <w:pPr>
        <w:tabs>
          <w:tab w:val="num" w:pos="1134"/>
        </w:tabs>
        <w:ind w:left="1276" w:hanging="567"/>
      </w:pPr>
      <w:rPr>
        <w:rFonts w:ascii="Times New Roman" w:hAnsi="Times New Roman" w:hint="default"/>
        <w:sz w:val="24"/>
        <w:szCs w:val="24"/>
      </w:rPr>
    </w:lvl>
    <w:lvl w:ilvl="3">
      <w:start w:val="1"/>
      <w:numFmt w:val="decimal"/>
      <w:lvlText w:val="%1.%2.%3.%4."/>
      <w:lvlJc w:val="left"/>
      <w:pPr>
        <w:tabs>
          <w:tab w:val="num" w:pos="236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44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52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83">
    <w:nsid w:val="462F387C"/>
    <w:multiLevelType w:val="hybridMultilevel"/>
    <w:tmpl w:val="56903A06"/>
    <w:lvl w:ilvl="0" w:tplc="6484ADEC">
      <w:start w:val="1"/>
      <w:numFmt w:val="bullet"/>
      <w:pStyle w:val="FTAS"/>
      <w:lvlText w:val=""/>
      <w:lvlJc w:val="left"/>
      <w:pPr>
        <w:tabs>
          <w:tab w:val="num" w:pos="-1584"/>
        </w:tabs>
        <w:ind w:left="-1584" w:hanging="360"/>
      </w:pPr>
      <w:rPr>
        <w:rFonts w:ascii="Symbol" w:hAnsi="Symbol" w:hint="default"/>
      </w:rPr>
    </w:lvl>
    <w:lvl w:ilvl="1" w:tplc="A184CD6E">
      <w:start w:val="1"/>
      <w:numFmt w:val="bullet"/>
      <w:lvlText w:val="o"/>
      <w:lvlJc w:val="left"/>
      <w:pPr>
        <w:tabs>
          <w:tab w:val="num" w:pos="-864"/>
        </w:tabs>
        <w:ind w:left="-864" w:hanging="360"/>
      </w:pPr>
      <w:rPr>
        <w:rFonts w:ascii="Courier New" w:hAnsi="Courier New" w:cs="Courier New" w:hint="default"/>
      </w:rPr>
    </w:lvl>
    <w:lvl w:ilvl="2" w:tplc="813C697A">
      <w:start w:val="1"/>
      <w:numFmt w:val="bullet"/>
      <w:lvlText w:val=""/>
      <w:lvlJc w:val="left"/>
      <w:pPr>
        <w:tabs>
          <w:tab w:val="num" w:pos="-144"/>
        </w:tabs>
        <w:ind w:left="-144" w:hanging="360"/>
      </w:pPr>
      <w:rPr>
        <w:rFonts w:ascii="Wingdings" w:hAnsi="Wingdings" w:hint="default"/>
      </w:rPr>
    </w:lvl>
    <w:lvl w:ilvl="3" w:tplc="0E32170E">
      <w:start w:val="1"/>
      <w:numFmt w:val="bullet"/>
      <w:lvlText w:val=""/>
      <w:lvlJc w:val="left"/>
      <w:pPr>
        <w:tabs>
          <w:tab w:val="num" w:pos="576"/>
        </w:tabs>
        <w:ind w:left="576" w:hanging="360"/>
      </w:pPr>
      <w:rPr>
        <w:rFonts w:ascii="Symbol" w:hAnsi="Symbol" w:hint="default"/>
      </w:rPr>
    </w:lvl>
    <w:lvl w:ilvl="4" w:tplc="F3A212CA">
      <w:start w:val="1"/>
      <w:numFmt w:val="bullet"/>
      <w:lvlText w:val="o"/>
      <w:lvlJc w:val="left"/>
      <w:pPr>
        <w:tabs>
          <w:tab w:val="num" w:pos="1296"/>
        </w:tabs>
        <w:ind w:left="1296" w:hanging="360"/>
      </w:pPr>
      <w:rPr>
        <w:rFonts w:ascii="Courier New" w:hAnsi="Courier New" w:cs="Courier New" w:hint="default"/>
      </w:rPr>
    </w:lvl>
    <w:lvl w:ilvl="5" w:tplc="3F96D99A">
      <w:start w:val="1"/>
      <w:numFmt w:val="bullet"/>
      <w:lvlText w:val=""/>
      <w:lvlJc w:val="left"/>
      <w:pPr>
        <w:tabs>
          <w:tab w:val="num" w:pos="2016"/>
        </w:tabs>
        <w:ind w:left="2016" w:hanging="360"/>
      </w:pPr>
      <w:rPr>
        <w:rFonts w:ascii="Wingdings" w:hAnsi="Wingdings" w:hint="default"/>
      </w:rPr>
    </w:lvl>
    <w:lvl w:ilvl="6" w:tplc="839A20DC">
      <w:start w:val="1"/>
      <w:numFmt w:val="bullet"/>
      <w:lvlText w:val=""/>
      <w:lvlJc w:val="left"/>
      <w:pPr>
        <w:tabs>
          <w:tab w:val="num" w:pos="2736"/>
        </w:tabs>
        <w:ind w:left="2736" w:hanging="360"/>
      </w:pPr>
      <w:rPr>
        <w:rFonts w:ascii="Symbol" w:hAnsi="Symbol" w:hint="default"/>
      </w:rPr>
    </w:lvl>
    <w:lvl w:ilvl="7" w:tplc="D8E8CD88">
      <w:start w:val="1"/>
      <w:numFmt w:val="bullet"/>
      <w:lvlText w:val="o"/>
      <w:lvlJc w:val="left"/>
      <w:pPr>
        <w:tabs>
          <w:tab w:val="num" w:pos="3456"/>
        </w:tabs>
        <w:ind w:left="3456" w:hanging="360"/>
      </w:pPr>
      <w:rPr>
        <w:rFonts w:ascii="Courier New" w:hAnsi="Courier New" w:cs="Courier New" w:hint="default"/>
      </w:rPr>
    </w:lvl>
    <w:lvl w:ilvl="8" w:tplc="8D3CC2D0">
      <w:start w:val="1"/>
      <w:numFmt w:val="bullet"/>
      <w:lvlText w:val=""/>
      <w:lvlJc w:val="left"/>
      <w:pPr>
        <w:tabs>
          <w:tab w:val="num" w:pos="4176"/>
        </w:tabs>
        <w:ind w:left="4176" w:hanging="360"/>
      </w:pPr>
      <w:rPr>
        <w:rFonts w:ascii="Wingdings" w:hAnsi="Wingdings" w:hint="default"/>
      </w:rPr>
    </w:lvl>
  </w:abstractNum>
  <w:abstractNum w:abstractNumId="84">
    <w:nsid w:val="46951142"/>
    <w:multiLevelType w:val="hybridMultilevel"/>
    <w:tmpl w:val="89F27092"/>
    <w:styleLink w:val="211"/>
    <w:lvl w:ilvl="0" w:tplc="F0B6243A">
      <w:start w:val="1"/>
      <w:numFmt w:val="decimal"/>
      <w:pStyle w:val="211"/>
      <w:lvlText w:val="%1."/>
      <w:lvlJc w:val="left"/>
      <w:rPr>
        <w:position w:val="0"/>
        <w:rtl w:val="0"/>
      </w:rPr>
    </w:lvl>
    <w:lvl w:ilvl="1" w:tplc="3F9CAE4E">
      <w:start w:val="1"/>
      <w:numFmt w:val="lowerLetter"/>
      <w:lvlText w:val="%2."/>
      <w:lvlJc w:val="left"/>
      <w:rPr>
        <w:position w:val="0"/>
        <w:rtl w:val="0"/>
      </w:rPr>
    </w:lvl>
    <w:lvl w:ilvl="2" w:tplc="796CAB28">
      <w:start w:val="1"/>
      <w:numFmt w:val="lowerRoman"/>
      <w:lvlText w:val="%3."/>
      <w:lvlJc w:val="left"/>
      <w:rPr>
        <w:position w:val="0"/>
        <w:rtl w:val="0"/>
      </w:rPr>
    </w:lvl>
    <w:lvl w:ilvl="3" w:tplc="B36818D4">
      <w:start w:val="1"/>
      <w:numFmt w:val="decimal"/>
      <w:lvlText w:val="%4."/>
      <w:lvlJc w:val="left"/>
      <w:rPr>
        <w:position w:val="0"/>
        <w:rtl w:val="0"/>
      </w:rPr>
    </w:lvl>
    <w:lvl w:ilvl="4" w:tplc="04A6B5F4">
      <w:start w:val="1"/>
      <w:numFmt w:val="lowerLetter"/>
      <w:lvlText w:val="%5."/>
      <w:lvlJc w:val="left"/>
      <w:rPr>
        <w:position w:val="0"/>
        <w:rtl w:val="0"/>
      </w:rPr>
    </w:lvl>
    <w:lvl w:ilvl="5" w:tplc="CC7A2030">
      <w:start w:val="1"/>
      <w:numFmt w:val="lowerRoman"/>
      <w:lvlText w:val="%6."/>
      <w:lvlJc w:val="left"/>
      <w:rPr>
        <w:position w:val="0"/>
        <w:rtl w:val="0"/>
      </w:rPr>
    </w:lvl>
    <w:lvl w:ilvl="6" w:tplc="4B927044">
      <w:start w:val="1"/>
      <w:numFmt w:val="decimal"/>
      <w:lvlText w:val="%7."/>
      <w:lvlJc w:val="left"/>
      <w:rPr>
        <w:position w:val="0"/>
        <w:rtl w:val="0"/>
      </w:rPr>
    </w:lvl>
    <w:lvl w:ilvl="7" w:tplc="84BA4F9E">
      <w:start w:val="1"/>
      <w:numFmt w:val="lowerLetter"/>
      <w:lvlText w:val="%8."/>
      <w:lvlJc w:val="left"/>
      <w:rPr>
        <w:position w:val="0"/>
        <w:rtl w:val="0"/>
      </w:rPr>
    </w:lvl>
    <w:lvl w:ilvl="8" w:tplc="B5F8865E">
      <w:start w:val="1"/>
      <w:numFmt w:val="lowerRoman"/>
      <w:lvlText w:val="%9."/>
      <w:lvlJc w:val="left"/>
      <w:rPr>
        <w:position w:val="0"/>
        <w:rtl w:val="0"/>
      </w:rPr>
    </w:lvl>
  </w:abstractNum>
  <w:abstractNum w:abstractNumId="85">
    <w:nsid w:val="48885D2F"/>
    <w:multiLevelType w:val="hybridMultilevel"/>
    <w:tmpl w:val="5C14EE54"/>
    <w:lvl w:ilvl="0" w:tplc="A412B280">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86">
    <w:nsid w:val="49004C13"/>
    <w:multiLevelType w:val="hybridMultilevel"/>
    <w:tmpl w:val="620258F2"/>
    <w:lvl w:ilvl="0" w:tplc="8DF2F258">
      <w:start w:val="1"/>
      <w:numFmt w:val="bullet"/>
      <w:lvlText w:val="−"/>
      <w:lvlJc w:val="left"/>
      <w:pPr>
        <w:ind w:left="777" w:hanging="360"/>
      </w:pPr>
      <w:rPr>
        <w:rFonts w:ascii="Times New Roman" w:hAnsi="Times New Roman" w:cs="Times New Roman" w:hint="default"/>
      </w:rPr>
    </w:lvl>
    <w:lvl w:ilvl="1" w:tplc="B056883E">
      <w:start w:val="1"/>
      <w:numFmt w:val="bullet"/>
      <w:lvlText w:val="o"/>
      <w:lvlJc w:val="left"/>
      <w:pPr>
        <w:ind w:left="1497" w:hanging="360"/>
      </w:pPr>
      <w:rPr>
        <w:rFonts w:ascii="Courier New" w:hAnsi="Courier New" w:cs="Courier New" w:hint="default"/>
      </w:rPr>
    </w:lvl>
    <w:lvl w:ilvl="2" w:tplc="4BE875CC">
      <w:start w:val="1"/>
      <w:numFmt w:val="bullet"/>
      <w:lvlText w:val=""/>
      <w:lvlJc w:val="left"/>
      <w:pPr>
        <w:ind w:left="2217" w:hanging="360"/>
      </w:pPr>
      <w:rPr>
        <w:rFonts w:ascii="Wingdings" w:hAnsi="Wingdings" w:hint="default"/>
      </w:rPr>
    </w:lvl>
    <w:lvl w:ilvl="3" w:tplc="7D6626D6">
      <w:start w:val="1"/>
      <w:numFmt w:val="bullet"/>
      <w:lvlText w:val=""/>
      <w:lvlJc w:val="left"/>
      <w:pPr>
        <w:ind w:left="2937" w:hanging="360"/>
      </w:pPr>
      <w:rPr>
        <w:rFonts w:ascii="Symbol" w:hAnsi="Symbol" w:hint="default"/>
      </w:rPr>
    </w:lvl>
    <w:lvl w:ilvl="4" w:tplc="49F00158">
      <w:start w:val="1"/>
      <w:numFmt w:val="bullet"/>
      <w:lvlText w:val="o"/>
      <w:lvlJc w:val="left"/>
      <w:pPr>
        <w:ind w:left="3657" w:hanging="360"/>
      </w:pPr>
      <w:rPr>
        <w:rFonts w:ascii="Courier New" w:hAnsi="Courier New" w:cs="Courier New" w:hint="default"/>
      </w:rPr>
    </w:lvl>
    <w:lvl w:ilvl="5" w:tplc="FE56F3A0">
      <w:start w:val="1"/>
      <w:numFmt w:val="bullet"/>
      <w:lvlText w:val=""/>
      <w:lvlJc w:val="left"/>
      <w:pPr>
        <w:ind w:left="4377" w:hanging="360"/>
      </w:pPr>
      <w:rPr>
        <w:rFonts w:ascii="Wingdings" w:hAnsi="Wingdings" w:hint="default"/>
      </w:rPr>
    </w:lvl>
    <w:lvl w:ilvl="6" w:tplc="EA6CD4B4">
      <w:start w:val="1"/>
      <w:numFmt w:val="bullet"/>
      <w:lvlText w:val=""/>
      <w:lvlJc w:val="left"/>
      <w:pPr>
        <w:ind w:left="5097" w:hanging="360"/>
      </w:pPr>
      <w:rPr>
        <w:rFonts w:ascii="Symbol" w:hAnsi="Symbol" w:hint="default"/>
      </w:rPr>
    </w:lvl>
    <w:lvl w:ilvl="7" w:tplc="9B327BD8">
      <w:start w:val="1"/>
      <w:numFmt w:val="bullet"/>
      <w:lvlText w:val="o"/>
      <w:lvlJc w:val="left"/>
      <w:pPr>
        <w:ind w:left="5817" w:hanging="360"/>
      </w:pPr>
      <w:rPr>
        <w:rFonts w:ascii="Courier New" w:hAnsi="Courier New" w:cs="Courier New" w:hint="default"/>
      </w:rPr>
    </w:lvl>
    <w:lvl w:ilvl="8" w:tplc="933C08E8">
      <w:start w:val="1"/>
      <w:numFmt w:val="bullet"/>
      <w:lvlText w:val=""/>
      <w:lvlJc w:val="left"/>
      <w:pPr>
        <w:ind w:left="6537" w:hanging="360"/>
      </w:pPr>
      <w:rPr>
        <w:rFonts w:ascii="Wingdings" w:hAnsi="Wingdings" w:hint="default"/>
      </w:rPr>
    </w:lvl>
  </w:abstractNum>
  <w:abstractNum w:abstractNumId="87">
    <w:nsid w:val="4932368D"/>
    <w:multiLevelType w:val="hybridMultilevel"/>
    <w:tmpl w:val="DD604160"/>
    <w:lvl w:ilvl="0" w:tplc="5F6C25DC">
      <w:start w:val="1"/>
      <w:numFmt w:val="bullet"/>
      <w:pStyle w:val="otrlistmark1"/>
      <w:lvlText w:val=""/>
      <w:lvlJc w:val="left"/>
      <w:pPr>
        <w:tabs>
          <w:tab w:val="num" w:pos="2969"/>
        </w:tabs>
        <w:ind w:left="2969" w:hanging="357"/>
      </w:pPr>
      <w:rPr>
        <w:rFonts w:ascii="Symbol" w:hAnsi="Symbol" w:hint="default"/>
        <w:b w:val="0"/>
        <w:i w:val="0"/>
        <w:color w:val="auto"/>
        <w:sz w:val="24"/>
      </w:rPr>
    </w:lvl>
    <w:lvl w:ilvl="1" w:tplc="CB066434">
      <w:start w:val="1"/>
      <w:numFmt w:val="bullet"/>
      <w:lvlText w:val=""/>
      <w:lvlJc w:val="left"/>
      <w:pPr>
        <w:tabs>
          <w:tab w:val="num" w:pos="3326"/>
        </w:tabs>
        <w:ind w:left="3326" w:hanging="317"/>
      </w:pPr>
      <w:rPr>
        <w:rFonts w:ascii="Symbol" w:hAnsi="Symbol" w:hint="default"/>
        <w:b w:val="0"/>
        <w:i w:val="0"/>
        <w:color w:val="auto"/>
        <w:sz w:val="22"/>
      </w:rPr>
    </w:lvl>
    <w:lvl w:ilvl="2" w:tplc="B320481E">
      <w:start w:val="1"/>
      <w:numFmt w:val="bullet"/>
      <w:lvlText w:val=""/>
      <w:lvlJc w:val="left"/>
      <w:pPr>
        <w:tabs>
          <w:tab w:val="num" w:pos="3684"/>
        </w:tabs>
        <w:ind w:left="3684" w:hanging="278"/>
      </w:pPr>
      <w:rPr>
        <w:rFonts w:ascii="Symbol" w:hAnsi="Symbol" w:hint="default"/>
        <w:b w:val="0"/>
        <w:i w:val="0"/>
        <w:color w:val="auto"/>
        <w:sz w:val="20"/>
      </w:rPr>
    </w:lvl>
    <w:lvl w:ilvl="3" w:tplc="23860F3C">
      <w:start w:val="1"/>
      <w:numFmt w:val="bullet"/>
      <w:lvlRestart w:val="0"/>
      <w:lvlText w:val="―"/>
      <w:lvlJc w:val="left"/>
      <w:pPr>
        <w:tabs>
          <w:tab w:val="num" w:pos="3746"/>
        </w:tabs>
        <w:ind w:left="3746" w:hanging="283"/>
      </w:pPr>
      <w:rPr>
        <w:rFonts w:ascii="Verdana" w:hAnsi="Verdana" w:hint="default"/>
        <w:color w:val="auto"/>
      </w:rPr>
    </w:lvl>
    <w:lvl w:ilvl="4" w:tplc="E076CD70">
      <w:start w:val="1"/>
      <w:numFmt w:val="bullet"/>
      <w:lvlRestart w:val="0"/>
      <w:lvlText w:val="―"/>
      <w:lvlJc w:val="left"/>
      <w:pPr>
        <w:tabs>
          <w:tab w:val="num" w:pos="4030"/>
        </w:tabs>
        <w:ind w:left="4030" w:hanging="284"/>
      </w:pPr>
      <w:rPr>
        <w:rFonts w:ascii="Verdana" w:hAnsi="Verdana" w:hint="default"/>
        <w:color w:val="auto"/>
      </w:rPr>
    </w:lvl>
    <w:lvl w:ilvl="5" w:tplc="D0BA097A">
      <w:start w:val="1"/>
      <w:numFmt w:val="bullet"/>
      <w:lvlRestart w:val="0"/>
      <w:lvlText w:val="―"/>
      <w:lvlJc w:val="left"/>
      <w:pPr>
        <w:tabs>
          <w:tab w:val="num" w:pos="4313"/>
        </w:tabs>
        <w:ind w:left="4313" w:hanging="283"/>
      </w:pPr>
      <w:rPr>
        <w:rFonts w:ascii="Verdana" w:hAnsi="Verdana" w:hint="default"/>
        <w:color w:val="auto"/>
      </w:rPr>
    </w:lvl>
    <w:lvl w:ilvl="6" w:tplc="CDEE9F78">
      <w:start w:val="1"/>
      <w:numFmt w:val="bullet"/>
      <w:lvlRestart w:val="0"/>
      <w:lvlText w:val="―"/>
      <w:lvlJc w:val="left"/>
      <w:pPr>
        <w:tabs>
          <w:tab w:val="num" w:pos="4597"/>
        </w:tabs>
        <w:ind w:left="4597" w:hanging="284"/>
      </w:pPr>
      <w:rPr>
        <w:rFonts w:ascii="Verdana" w:hAnsi="Verdana" w:hint="default"/>
        <w:color w:val="auto"/>
      </w:rPr>
    </w:lvl>
    <w:lvl w:ilvl="7" w:tplc="341A412A">
      <w:start w:val="1"/>
      <w:numFmt w:val="bullet"/>
      <w:lvlRestart w:val="0"/>
      <w:lvlText w:val="―"/>
      <w:lvlJc w:val="left"/>
      <w:pPr>
        <w:tabs>
          <w:tab w:val="num" w:pos="4880"/>
        </w:tabs>
        <w:ind w:left="4880" w:hanging="283"/>
      </w:pPr>
      <w:rPr>
        <w:rFonts w:ascii="Verdana" w:hAnsi="Verdana" w:hint="default"/>
        <w:color w:val="auto"/>
      </w:rPr>
    </w:lvl>
    <w:lvl w:ilvl="8" w:tplc="67E8AE28">
      <w:start w:val="1"/>
      <w:numFmt w:val="bullet"/>
      <w:lvlRestart w:val="0"/>
      <w:lvlText w:val=""/>
      <w:lvlJc w:val="left"/>
      <w:pPr>
        <w:tabs>
          <w:tab w:val="num" w:pos="5164"/>
        </w:tabs>
        <w:ind w:left="5164" w:hanging="284"/>
      </w:pPr>
      <w:rPr>
        <w:rFonts w:ascii="Symbol" w:hAnsi="Symbol" w:hint="default"/>
      </w:rPr>
    </w:lvl>
  </w:abstractNum>
  <w:abstractNum w:abstractNumId="88">
    <w:nsid w:val="4E044427"/>
    <w:multiLevelType w:val="hybridMultilevel"/>
    <w:tmpl w:val="7B34F26E"/>
    <w:lvl w:ilvl="0" w:tplc="E0F22250">
      <w:start w:val="1"/>
      <w:numFmt w:val="none"/>
      <w:lvlText w:val="Таблица "/>
      <w:lvlJc w:val="left"/>
      <w:pPr>
        <w:tabs>
          <w:tab w:val="num" w:pos="567"/>
        </w:tabs>
        <w:ind w:left="0" w:firstLine="567"/>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sz w:val="24"/>
        <w:u w:val="none"/>
        <w:vertAlign w:val="baseline"/>
        <w:em w:val="none"/>
      </w:rPr>
    </w:lvl>
    <w:lvl w:ilvl="1" w:tplc="D9C61146">
      <w:start w:val="1"/>
      <w:numFmt w:val="lowerLetter"/>
      <w:lvlText w:val="%2."/>
      <w:lvlJc w:val="left"/>
      <w:pPr>
        <w:tabs>
          <w:tab w:val="num" w:pos="1440"/>
        </w:tabs>
        <w:ind w:left="1440" w:hanging="360"/>
      </w:pPr>
    </w:lvl>
    <w:lvl w:ilvl="2" w:tplc="FC70E224">
      <w:start w:val="1"/>
      <w:numFmt w:val="lowerRoman"/>
      <w:lvlText w:val="%3."/>
      <w:lvlJc w:val="right"/>
      <w:pPr>
        <w:tabs>
          <w:tab w:val="num" w:pos="2160"/>
        </w:tabs>
        <w:ind w:left="2160" w:hanging="180"/>
      </w:pPr>
    </w:lvl>
    <w:lvl w:ilvl="3" w:tplc="200247C6">
      <w:start w:val="1"/>
      <w:numFmt w:val="decimal"/>
      <w:lvlText w:val="%4."/>
      <w:lvlJc w:val="left"/>
      <w:pPr>
        <w:tabs>
          <w:tab w:val="num" w:pos="2880"/>
        </w:tabs>
        <w:ind w:left="2880" w:hanging="360"/>
      </w:pPr>
    </w:lvl>
    <w:lvl w:ilvl="4" w:tplc="FB6E5D22" w:tentative="1">
      <w:start w:val="1"/>
      <w:numFmt w:val="lowerLetter"/>
      <w:lvlText w:val="%5."/>
      <w:lvlJc w:val="left"/>
      <w:pPr>
        <w:tabs>
          <w:tab w:val="num" w:pos="3600"/>
        </w:tabs>
        <w:ind w:left="3600" w:hanging="360"/>
      </w:pPr>
    </w:lvl>
    <w:lvl w:ilvl="5" w:tplc="6A98C90E" w:tentative="1">
      <w:start w:val="1"/>
      <w:numFmt w:val="lowerRoman"/>
      <w:lvlText w:val="%6."/>
      <w:lvlJc w:val="right"/>
      <w:pPr>
        <w:tabs>
          <w:tab w:val="num" w:pos="4320"/>
        </w:tabs>
        <w:ind w:left="4320" w:hanging="180"/>
      </w:pPr>
    </w:lvl>
    <w:lvl w:ilvl="6" w:tplc="AD52CEF2" w:tentative="1">
      <w:start w:val="1"/>
      <w:numFmt w:val="decimal"/>
      <w:lvlText w:val="%7."/>
      <w:lvlJc w:val="left"/>
      <w:pPr>
        <w:tabs>
          <w:tab w:val="num" w:pos="5040"/>
        </w:tabs>
        <w:ind w:left="5040" w:hanging="360"/>
      </w:pPr>
    </w:lvl>
    <w:lvl w:ilvl="7" w:tplc="A29A6662" w:tentative="1">
      <w:start w:val="1"/>
      <w:numFmt w:val="lowerLetter"/>
      <w:lvlText w:val="%8."/>
      <w:lvlJc w:val="left"/>
      <w:pPr>
        <w:tabs>
          <w:tab w:val="num" w:pos="5760"/>
        </w:tabs>
        <w:ind w:left="5760" w:hanging="360"/>
      </w:pPr>
    </w:lvl>
    <w:lvl w:ilvl="8" w:tplc="5D1C8C98" w:tentative="1">
      <w:start w:val="1"/>
      <w:numFmt w:val="lowerRoman"/>
      <w:lvlText w:val="%9."/>
      <w:lvlJc w:val="right"/>
      <w:pPr>
        <w:tabs>
          <w:tab w:val="num" w:pos="6480"/>
        </w:tabs>
        <w:ind w:left="6480" w:hanging="180"/>
      </w:pPr>
    </w:lvl>
  </w:abstractNum>
  <w:abstractNum w:abstractNumId="89">
    <w:nsid w:val="4F57050F"/>
    <w:multiLevelType w:val="hybridMultilevel"/>
    <w:tmpl w:val="9F1804B2"/>
    <w:lvl w:ilvl="0" w:tplc="9D4048D0">
      <w:start w:val="1"/>
      <w:numFmt w:val="none"/>
      <w:pStyle w:val="OTRHeadingApp"/>
      <w:lvlText w:val="Приложение"/>
      <w:lvlJc w:val="left"/>
      <w:pPr>
        <w:tabs>
          <w:tab w:val="num" w:pos="0"/>
        </w:tabs>
        <w:ind w:left="0" w:firstLine="0"/>
      </w:pPr>
      <w:rPr>
        <w:rFonts w:hint="default"/>
      </w:rPr>
    </w:lvl>
    <w:lvl w:ilvl="1" w:tplc="E8441004">
      <w:start w:val="1"/>
      <w:numFmt w:val="lowerLetter"/>
      <w:lvlText w:val="%2."/>
      <w:lvlJc w:val="left"/>
      <w:pPr>
        <w:tabs>
          <w:tab w:val="num" w:pos="1440"/>
        </w:tabs>
        <w:ind w:left="1440" w:hanging="360"/>
      </w:pPr>
    </w:lvl>
    <w:lvl w:ilvl="2" w:tplc="E0A846A2">
      <w:start w:val="1"/>
      <w:numFmt w:val="lowerRoman"/>
      <w:lvlText w:val="%3."/>
      <w:lvlJc w:val="right"/>
      <w:pPr>
        <w:tabs>
          <w:tab w:val="num" w:pos="2160"/>
        </w:tabs>
        <w:ind w:left="2160" w:hanging="180"/>
      </w:pPr>
    </w:lvl>
    <w:lvl w:ilvl="3" w:tplc="32BCBFD4">
      <w:start w:val="1"/>
      <w:numFmt w:val="decimal"/>
      <w:lvlText w:val="%4."/>
      <w:lvlJc w:val="left"/>
      <w:pPr>
        <w:tabs>
          <w:tab w:val="num" w:pos="2880"/>
        </w:tabs>
        <w:ind w:left="2880" w:hanging="360"/>
      </w:pPr>
    </w:lvl>
    <w:lvl w:ilvl="4" w:tplc="D206AB92">
      <w:start w:val="1"/>
      <w:numFmt w:val="lowerLetter"/>
      <w:lvlText w:val="%5."/>
      <w:lvlJc w:val="left"/>
      <w:pPr>
        <w:tabs>
          <w:tab w:val="num" w:pos="3600"/>
        </w:tabs>
        <w:ind w:left="3600" w:hanging="360"/>
      </w:pPr>
    </w:lvl>
    <w:lvl w:ilvl="5" w:tplc="A46C51E8">
      <w:start w:val="1"/>
      <w:numFmt w:val="lowerRoman"/>
      <w:lvlText w:val="%6."/>
      <w:lvlJc w:val="right"/>
      <w:pPr>
        <w:tabs>
          <w:tab w:val="num" w:pos="4320"/>
        </w:tabs>
        <w:ind w:left="4320" w:hanging="180"/>
      </w:pPr>
    </w:lvl>
    <w:lvl w:ilvl="6" w:tplc="8B7A3C18">
      <w:start w:val="1"/>
      <w:numFmt w:val="decimal"/>
      <w:lvlText w:val="%7."/>
      <w:lvlJc w:val="left"/>
      <w:pPr>
        <w:tabs>
          <w:tab w:val="num" w:pos="5040"/>
        </w:tabs>
        <w:ind w:left="5040" w:hanging="360"/>
      </w:pPr>
    </w:lvl>
    <w:lvl w:ilvl="7" w:tplc="DC60FE14">
      <w:start w:val="1"/>
      <w:numFmt w:val="lowerLetter"/>
      <w:lvlText w:val="%8."/>
      <w:lvlJc w:val="left"/>
      <w:pPr>
        <w:tabs>
          <w:tab w:val="num" w:pos="5760"/>
        </w:tabs>
        <w:ind w:left="5760" w:hanging="360"/>
      </w:pPr>
    </w:lvl>
    <w:lvl w:ilvl="8" w:tplc="F32ECC6C">
      <w:start w:val="1"/>
      <w:numFmt w:val="lowerRoman"/>
      <w:lvlText w:val="%9."/>
      <w:lvlJc w:val="right"/>
      <w:pPr>
        <w:tabs>
          <w:tab w:val="num" w:pos="6480"/>
        </w:tabs>
        <w:ind w:left="6480" w:hanging="180"/>
      </w:pPr>
    </w:lvl>
  </w:abstractNum>
  <w:abstractNum w:abstractNumId="90">
    <w:nsid w:val="4FEC52E2"/>
    <w:multiLevelType w:val="hybridMultilevel"/>
    <w:tmpl w:val="4FB69008"/>
    <w:lvl w:ilvl="0" w:tplc="E51CE30C">
      <w:start w:val="1"/>
      <w:numFmt w:val="bullet"/>
      <w:lvlText w:val=""/>
      <w:lvlJc w:val="left"/>
      <w:pPr>
        <w:tabs>
          <w:tab w:val="num" w:pos="368"/>
        </w:tabs>
        <w:ind w:left="368" w:hanging="227"/>
      </w:pPr>
      <w:rPr>
        <w:rFonts w:ascii="Symbol" w:hAnsi="Symbol" w:hint="default"/>
      </w:rPr>
    </w:lvl>
    <w:lvl w:ilvl="1" w:tplc="7EF60B7C">
      <w:start w:val="1"/>
      <w:numFmt w:val="lowerLetter"/>
      <w:lvlText w:val="%2."/>
      <w:lvlJc w:val="left"/>
      <w:pPr>
        <w:tabs>
          <w:tab w:val="num" w:pos="1468"/>
        </w:tabs>
        <w:ind w:left="1468" w:hanging="360"/>
      </w:pPr>
    </w:lvl>
    <w:lvl w:ilvl="2" w:tplc="F99A1504">
      <w:start w:val="1"/>
      <w:numFmt w:val="lowerRoman"/>
      <w:lvlText w:val="%3."/>
      <w:lvlJc w:val="right"/>
      <w:pPr>
        <w:tabs>
          <w:tab w:val="num" w:pos="2188"/>
        </w:tabs>
        <w:ind w:left="2188" w:hanging="180"/>
      </w:pPr>
    </w:lvl>
    <w:lvl w:ilvl="3" w:tplc="93022242" w:tentative="1">
      <w:start w:val="1"/>
      <w:numFmt w:val="decimal"/>
      <w:lvlText w:val="%4."/>
      <w:lvlJc w:val="left"/>
      <w:pPr>
        <w:tabs>
          <w:tab w:val="num" w:pos="2908"/>
        </w:tabs>
        <w:ind w:left="2908" w:hanging="360"/>
      </w:pPr>
    </w:lvl>
    <w:lvl w:ilvl="4" w:tplc="BD445AC6" w:tentative="1">
      <w:start w:val="1"/>
      <w:numFmt w:val="lowerLetter"/>
      <w:lvlText w:val="%5."/>
      <w:lvlJc w:val="left"/>
      <w:pPr>
        <w:tabs>
          <w:tab w:val="num" w:pos="3628"/>
        </w:tabs>
        <w:ind w:left="3628" w:hanging="360"/>
      </w:pPr>
    </w:lvl>
    <w:lvl w:ilvl="5" w:tplc="D1926062" w:tentative="1">
      <w:start w:val="1"/>
      <w:numFmt w:val="lowerRoman"/>
      <w:lvlText w:val="%6."/>
      <w:lvlJc w:val="right"/>
      <w:pPr>
        <w:tabs>
          <w:tab w:val="num" w:pos="4348"/>
        </w:tabs>
        <w:ind w:left="4348" w:hanging="180"/>
      </w:pPr>
    </w:lvl>
    <w:lvl w:ilvl="6" w:tplc="F578860C" w:tentative="1">
      <w:start w:val="1"/>
      <w:numFmt w:val="decimal"/>
      <w:lvlText w:val="%7."/>
      <w:lvlJc w:val="left"/>
      <w:pPr>
        <w:tabs>
          <w:tab w:val="num" w:pos="5068"/>
        </w:tabs>
        <w:ind w:left="5068" w:hanging="360"/>
      </w:pPr>
    </w:lvl>
    <w:lvl w:ilvl="7" w:tplc="23B8A66C" w:tentative="1">
      <w:start w:val="1"/>
      <w:numFmt w:val="lowerLetter"/>
      <w:lvlText w:val="%8."/>
      <w:lvlJc w:val="left"/>
      <w:pPr>
        <w:tabs>
          <w:tab w:val="num" w:pos="5788"/>
        </w:tabs>
        <w:ind w:left="5788" w:hanging="360"/>
      </w:pPr>
    </w:lvl>
    <w:lvl w:ilvl="8" w:tplc="0AAA8B1E" w:tentative="1">
      <w:start w:val="1"/>
      <w:numFmt w:val="lowerRoman"/>
      <w:lvlText w:val="%9."/>
      <w:lvlJc w:val="right"/>
      <w:pPr>
        <w:tabs>
          <w:tab w:val="num" w:pos="6508"/>
        </w:tabs>
        <w:ind w:left="6508" w:hanging="180"/>
      </w:pPr>
    </w:lvl>
  </w:abstractNum>
  <w:abstractNum w:abstractNumId="91">
    <w:nsid w:val="50244514"/>
    <w:multiLevelType w:val="hybridMultilevel"/>
    <w:tmpl w:val="B2504B2A"/>
    <w:lvl w:ilvl="0" w:tplc="09E02E9E">
      <w:start w:val="1"/>
      <w:numFmt w:val="bullet"/>
      <w:lvlText w:val=""/>
      <w:lvlJc w:val="left"/>
      <w:pPr>
        <w:ind w:left="777" w:hanging="360"/>
      </w:pPr>
      <w:rPr>
        <w:rFonts w:ascii="Symbol" w:hAnsi="Symbol" w:hint="default"/>
      </w:rPr>
    </w:lvl>
    <w:lvl w:ilvl="1" w:tplc="B4A4AC76">
      <w:start w:val="1"/>
      <w:numFmt w:val="bullet"/>
      <w:lvlText w:val="o"/>
      <w:lvlJc w:val="left"/>
      <w:pPr>
        <w:ind w:left="1497" w:hanging="360"/>
      </w:pPr>
      <w:rPr>
        <w:rFonts w:ascii="Courier New" w:hAnsi="Courier New" w:cs="Courier New" w:hint="default"/>
      </w:rPr>
    </w:lvl>
    <w:lvl w:ilvl="2" w:tplc="D6309A72">
      <w:start w:val="1"/>
      <w:numFmt w:val="bullet"/>
      <w:lvlText w:val=""/>
      <w:lvlJc w:val="left"/>
      <w:pPr>
        <w:ind w:left="2217" w:hanging="360"/>
      </w:pPr>
      <w:rPr>
        <w:rFonts w:ascii="Wingdings" w:hAnsi="Wingdings" w:hint="default"/>
      </w:rPr>
    </w:lvl>
    <w:lvl w:ilvl="3" w:tplc="78E8F0FA">
      <w:start w:val="1"/>
      <w:numFmt w:val="bullet"/>
      <w:lvlText w:val=""/>
      <w:lvlJc w:val="left"/>
      <w:pPr>
        <w:ind w:left="2937" w:hanging="360"/>
      </w:pPr>
      <w:rPr>
        <w:rFonts w:ascii="Symbol" w:hAnsi="Symbol" w:hint="default"/>
      </w:rPr>
    </w:lvl>
    <w:lvl w:ilvl="4" w:tplc="60C035AE">
      <w:start w:val="1"/>
      <w:numFmt w:val="bullet"/>
      <w:lvlText w:val="o"/>
      <w:lvlJc w:val="left"/>
      <w:pPr>
        <w:ind w:left="3657" w:hanging="360"/>
      </w:pPr>
      <w:rPr>
        <w:rFonts w:ascii="Courier New" w:hAnsi="Courier New" w:cs="Courier New" w:hint="default"/>
      </w:rPr>
    </w:lvl>
    <w:lvl w:ilvl="5" w:tplc="E2546454">
      <w:start w:val="1"/>
      <w:numFmt w:val="bullet"/>
      <w:lvlText w:val=""/>
      <w:lvlJc w:val="left"/>
      <w:pPr>
        <w:ind w:left="4377" w:hanging="360"/>
      </w:pPr>
      <w:rPr>
        <w:rFonts w:ascii="Wingdings" w:hAnsi="Wingdings" w:hint="default"/>
      </w:rPr>
    </w:lvl>
    <w:lvl w:ilvl="6" w:tplc="619273B2">
      <w:start w:val="1"/>
      <w:numFmt w:val="bullet"/>
      <w:lvlText w:val=""/>
      <w:lvlJc w:val="left"/>
      <w:pPr>
        <w:ind w:left="5097" w:hanging="360"/>
      </w:pPr>
      <w:rPr>
        <w:rFonts w:ascii="Symbol" w:hAnsi="Symbol" w:hint="default"/>
      </w:rPr>
    </w:lvl>
    <w:lvl w:ilvl="7" w:tplc="E19A7542">
      <w:start w:val="1"/>
      <w:numFmt w:val="bullet"/>
      <w:lvlText w:val="o"/>
      <w:lvlJc w:val="left"/>
      <w:pPr>
        <w:ind w:left="5817" w:hanging="360"/>
      </w:pPr>
      <w:rPr>
        <w:rFonts w:ascii="Courier New" w:hAnsi="Courier New" w:cs="Courier New" w:hint="default"/>
      </w:rPr>
    </w:lvl>
    <w:lvl w:ilvl="8" w:tplc="E3920094">
      <w:start w:val="1"/>
      <w:numFmt w:val="bullet"/>
      <w:lvlText w:val=""/>
      <w:lvlJc w:val="left"/>
      <w:pPr>
        <w:ind w:left="6537" w:hanging="360"/>
      </w:pPr>
      <w:rPr>
        <w:rFonts w:ascii="Wingdings" w:hAnsi="Wingdings" w:hint="default"/>
      </w:rPr>
    </w:lvl>
  </w:abstractNum>
  <w:abstractNum w:abstractNumId="92">
    <w:nsid w:val="511737BD"/>
    <w:multiLevelType w:val="hybridMultilevel"/>
    <w:tmpl w:val="355EA15A"/>
    <w:lvl w:ilvl="0" w:tplc="731EAAFC">
      <w:start w:val="1"/>
      <w:numFmt w:val="bullet"/>
      <w:lvlText w:val="−"/>
      <w:lvlJc w:val="left"/>
      <w:pPr>
        <w:ind w:left="749" w:hanging="360"/>
      </w:pPr>
      <w:rPr>
        <w:rFonts w:ascii="Times New Roman" w:hAnsi="Times New Roman" w:cs="Times New Roman" w:hint="default"/>
      </w:rPr>
    </w:lvl>
    <w:lvl w:ilvl="1" w:tplc="F76C8A60">
      <w:start w:val="1"/>
      <w:numFmt w:val="bullet"/>
      <w:lvlText w:val="o"/>
      <w:lvlJc w:val="left"/>
      <w:pPr>
        <w:ind w:left="1469" w:hanging="360"/>
      </w:pPr>
      <w:rPr>
        <w:rFonts w:ascii="Courier New" w:hAnsi="Courier New" w:cs="Courier New" w:hint="default"/>
      </w:rPr>
    </w:lvl>
    <w:lvl w:ilvl="2" w:tplc="2EFC01A8">
      <w:start w:val="1"/>
      <w:numFmt w:val="bullet"/>
      <w:lvlText w:val=""/>
      <w:lvlJc w:val="left"/>
      <w:pPr>
        <w:ind w:left="2189" w:hanging="360"/>
      </w:pPr>
      <w:rPr>
        <w:rFonts w:ascii="Wingdings" w:hAnsi="Wingdings" w:hint="default"/>
      </w:rPr>
    </w:lvl>
    <w:lvl w:ilvl="3" w:tplc="0A0E085C">
      <w:start w:val="1"/>
      <w:numFmt w:val="bullet"/>
      <w:lvlText w:val=""/>
      <w:lvlJc w:val="left"/>
      <w:pPr>
        <w:ind w:left="2909" w:hanging="360"/>
      </w:pPr>
      <w:rPr>
        <w:rFonts w:ascii="Symbol" w:hAnsi="Symbol" w:hint="default"/>
      </w:rPr>
    </w:lvl>
    <w:lvl w:ilvl="4" w:tplc="323C8816">
      <w:start w:val="1"/>
      <w:numFmt w:val="bullet"/>
      <w:lvlText w:val="o"/>
      <w:lvlJc w:val="left"/>
      <w:pPr>
        <w:ind w:left="3629" w:hanging="360"/>
      </w:pPr>
      <w:rPr>
        <w:rFonts w:ascii="Courier New" w:hAnsi="Courier New" w:cs="Courier New" w:hint="default"/>
      </w:rPr>
    </w:lvl>
    <w:lvl w:ilvl="5" w:tplc="3EBE4CF2">
      <w:start w:val="1"/>
      <w:numFmt w:val="bullet"/>
      <w:lvlText w:val=""/>
      <w:lvlJc w:val="left"/>
      <w:pPr>
        <w:ind w:left="4349" w:hanging="360"/>
      </w:pPr>
      <w:rPr>
        <w:rFonts w:ascii="Wingdings" w:hAnsi="Wingdings" w:hint="default"/>
      </w:rPr>
    </w:lvl>
    <w:lvl w:ilvl="6" w:tplc="3FA63BE2">
      <w:start w:val="1"/>
      <w:numFmt w:val="bullet"/>
      <w:lvlText w:val=""/>
      <w:lvlJc w:val="left"/>
      <w:pPr>
        <w:ind w:left="5069" w:hanging="360"/>
      </w:pPr>
      <w:rPr>
        <w:rFonts w:ascii="Symbol" w:hAnsi="Symbol" w:hint="default"/>
      </w:rPr>
    </w:lvl>
    <w:lvl w:ilvl="7" w:tplc="B616112C">
      <w:start w:val="1"/>
      <w:numFmt w:val="bullet"/>
      <w:lvlText w:val="o"/>
      <w:lvlJc w:val="left"/>
      <w:pPr>
        <w:ind w:left="5789" w:hanging="360"/>
      </w:pPr>
      <w:rPr>
        <w:rFonts w:ascii="Courier New" w:hAnsi="Courier New" w:cs="Courier New" w:hint="default"/>
      </w:rPr>
    </w:lvl>
    <w:lvl w:ilvl="8" w:tplc="376ECF84">
      <w:start w:val="1"/>
      <w:numFmt w:val="bullet"/>
      <w:lvlText w:val=""/>
      <w:lvlJc w:val="left"/>
      <w:pPr>
        <w:ind w:left="6509" w:hanging="360"/>
      </w:pPr>
      <w:rPr>
        <w:rFonts w:ascii="Wingdings" w:hAnsi="Wingdings" w:hint="default"/>
      </w:rPr>
    </w:lvl>
  </w:abstractNum>
  <w:abstractNum w:abstractNumId="93">
    <w:nsid w:val="52012436"/>
    <w:multiLevelType w:val="hybridMultilevel"/>
    <w:tmpl w:val="C6CAA8EE"/>
    <w:lvl w:ilvl="0" w:tplc="5906C980">
      <w:start w:val="1"/>
      <w:numFmt w:val="bullet"/>
      <w:lvlText w:val="−"/>
      <w:lvlJc w:val="left"/>
      <w:pPr>
        <w:ind w:left="777" w:hanging="360"/>
      </w:pPr>
      <w:rPr>
        <w:rFonts w:ascii="Times New Roman" w:hAnsi="Times New Roman" w:cs="Times New Roman" w:hint="default"/>
      </w:rPr>
    </w:lvl>
    <w:lvl w:ilvl="1" w:tplc="B09E094A">
      <w:start w:val="1"/>
      <w:numFmt w:val="bullet"/>
      <w:lvlText w:val="o"/>
      <w:lvlJc w:val="left"/>
      <w:pPr>
        <w:ind w:left="1497" w:hanging="360"/>
      </w:pPr>
      <w:rPr>
        <w:rFonts w:ascii="Courier New" w:hAnsi="Courier New" w:cs="Courier New" w:hint="default"/>
      </w:rPr>
    </w:lvl>
    <w:lvl w:ilvl="2" w:tplc="D39A405E">
      <w:start w:val="1"/>
      <w:numFmt w:val="bullet"/>
      <w:lvlText w:val=""/>
      <w:lvlJc w:val="left"/>
      <w:pPr>
        <w:ind w:left="2217" w:hanging="360"/>
      </w:pPr>
      <w:rPr>
        <w:rFonts w:ascii="Wingdings" w:hAnsi="Wingdings" w:hint="default"/>
      </w:rPr>
    </w:lvl>
    <w:lvl w:ilvl="3" w:tplc="C178C28C">
      <w:start w:val="1"/>
      <w:numFmt w:val="bullet"/>
      <w:lvlText w:val=""/>
      <w:lvlJc w:val="left"/>
      <w:pPr>
        <w:ind w:left="2937" w:hanging="360"/>
      </w:pPr>
      <w:rPr>
        <w:rFonts w:ascii="Symbol" w:hAnsi="Symbol" w:hint="default"/>
      </w:rPr>
    </w:lvl>
    <w:lvl w:ilvl="4" w:tplc="E6888E14">
      <w:start w:val="1"/>
      <w:numFmt w:val="bullet"/>
      <w:lvlText w:val="o"/>
      <w:lvlJc w:val="left"/>
      <w:pPr>
        <w:ind w:left="3657" w:hanging="360"/>
      </w:pPr>
      <w:rPr>
        <w:rFonts w:ascii="Courier New" w:hAnsi="Courier New" w:cs="Courier New" w:hint="default"/>
      </w:rPr>
    </w:lvl>
    <w:lvl w:ilvl="5" w:tplc="41FAA010">
      <w:start w:val="1"/>
      <w:numFmt w:val="bullet"/>
      <w:lvlText w:val=""/>
      <w:lvlJc w:val="left"/>
      <w:pPr>
        <w:ind w:left="4377" w:hanging="360"/>
      </w:pPr>
      <w:rPr>
        <w:rFonts w:ascii="Wingdings" w:hAnsi="Wingdings" w:hint="default"/>
      </w:rPr>
    </w:lvl>
    <w:lvl w:ilvl="6" w:tplc="11625EB6">
      <w:start w:val="1"/>
      <w:numFmt w:val="bullet"/>
      <w:lvlText w:val=""/>
      <w:lvlJc w:val="left"/>
      <w:pPr>
        <w:ind w:left="5097" w:hanging="360"/>
      </w:pPr>
      <w:rPr>
        <w:rFonts w:ascii="Symbol" w:hAnsi="Symbol" w:hint="default"/>
      </w:rPr>
    </w:lvl>
    <w:lvl w:ilvl="7" w:tplc="DCD8CA42">
      <w:start w:val="1"/>
      <w:numFmt w:val="bullet"/>
      <w:lvlText w:val="o"/>
      <w:lvlJc w:val="left"/>
      <w:pPr>
        <w:ind w:left="5817" w:hanging="360"/>
      </w:pPr>
      <w:rPr>
        <w:rFonts w:ascii="Courier New" w:hAnsi="Courier New" w:cs="Courier New" w:hint="default"/>
      </w:rPr>
    </w:lvl>
    <w:lvl w:ilvl="8" w:tplc="CF688722">
      <w:start w:val="1"/>
      <w:numFmt w:val="bullet"/>
      <w:lvlText w:val=""/>
      <w:lvlJc w:val="left"/>
      <w:pPr>
        <w:ind w:left="6537" w:hanging="360"/>
      </w:pPr>
      <w:rPr>
        <w:rFonts w:ascii="Wingdings" w:hAnsi="Wingdings" w:hint="default"/>
      </w:rPr>
    </w:lvl>
  </w:abstractNum>
  <w:abstractNum w:abstractNumId="94">
    <w:nsid w:val="52B8218D"/>
    <w:multiLevelType w:val="hybridMultilevel"/>
    <w:tmpl w:val="B630FE86"/>
    <w:lvl w:ilvl="0" w:tplc="A412B280">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95">
    <w:nsid w:val="53911677"/>
    <w:multiLevelType w:val="hybridMultilevel"/>
    <w:tmpl w:val="F2380DF4"/>
    <w:lvl w:ilvl="0" w:tplc="C7803642">
      <w:start w:val="1"/>
      <w:numFmt w:val="russianLower"/>
      <w:pStyle w:val="OTRListlit"/>
      <w:lvlText w:val="%1."/>
      <w:lvlJc w:val="left"/>
      <w:pPr>
        <w:tabs>
          <w:tab w:val="num" w:pos="567"/>
        </w:tabs>
        <w:ind w:left="1134" w:hanging="283"/>
      </w:pPr>
      <w:rPr>
        <w:rFonts w:hint="default"/>
      </w:rPr>
    </w:lvl>
    <w:lvl w:ilvl="1" w:tplc="F6BAC600">
      <w:start w:val="1"/>
      <w:numFmt w:val="lowerLetter"/>
      <w:lvlText w:val="%2."/>
      <w:lvlJc w:val="left"/>
      <w:pPr>
        <w:tabs>
          <w:tab w:val="num" w:pos="1440"/>
        </w:tabs>
        <w:ind w:left="1440" w:hanging="360"/>
      </w:pPr>
    </w:lvl>
    <w:lvl w:ilvl="2" w:tplc="8454FCCC">
      <w:start w:val="1"/>
      <w:numFmt w:val="lowerRoman"/>
      <w:lvlText w:val="%3."/>
      <w:lvlJc w:val="right"/>
      <w:pPr>
        <w:tabs>
          <w:tab w:val="num" w:pos="2160"/>
        </w:tabs>
        <w:ind w:left="2160" w:hanging="180"/>
      </w:pPr>
    </w:lvl>
    <w:lvl w:ilvl="3" w:tplc="AE544542">
      <w:start w:val="1"/>
      <w:numFmt w:val="decimal"/>
      <w:lvlText w:val="%4."/>
      <w:lvlJc w:val="left"/>
      <w:pPr>
        <w:tabs>
          <w:tab w:val="num" w:pos="2880"/>
        </w:tabs>
        <w:ind w:left="2880" w:hanging="360"/>
      </w:pPr>
    </w:lvl>
    <w:lvl w:ilvl="4" w:tplc="520C2C0E">
      <w:start w:val="1"/>
      <w:numFmt w:val="lowerLetter"/>
      <w:lvlText w:val="%5."/>
      <w:lvlJc w:val="left"/>
      <w:pPr>
        <w:tabs>
          <w:tab w:val="num" w:pos="3600"/>
        </w:tabs>
        <w:ind w:left="3600" w:hanging="360"/>
      </w:pPr>
    </w:lvl>
    <w:lvl w:ilvl="5" w:tplc="9D7AF92E">
      <w:start w:val="1"/>
      <w:numFmt w:val="lowerRoman"/>
      <w:lvlText w:val="%6."/>
      <w:lvlJc w:val="right"/>
      <w:pPr>
        <w:tabs>
          <w:tab w:val="num" w:pos="4320"/>
        </w:tabs>
        <w:ind w:left="4320" w:hanging="180"/>
      </w:pPr>
    </w:lvl>
    <w:lvl w:ilvl="6" w:tplc="179AF8B0">
      <w:start w:val="1"/>
      <w:numFmt w:val="decimal"/>
      <w:lvlText w:val="%7."/>
      <w:lvlJc w:val="left"/>
      <w:pPr>
        <w:tabs>
          <w:tab w:val="num" w:pos="5040"/>
        </w:tabs>
        <w:ind w:left="5040" w:hanging="360"/>
      </w:pPr>
    </w:lvl>
    <w:lvl w:ilvl="7" w:tplc="2760074A">
      <w:start w:val="1"/>
      <w:numFmt w:val="lowerLetter"/>
      <w:lvlText w:val="%8."/>
      <w:lvlJc w:val="left"/>
      <w:pPr>
        <w:tabs>
          <w:tab w:val="num" w:pos="5760"/>
        </w:tabs>
        <w:ind w:left="5760" w:hanging="360"/>
      </w:pPr>
    </w:lvl>
    <w:lvl w:ilvl="8" w:tplc="14A8F964">
      <w:start w:val="1"/>
      <w:numFmt w:val="lowerRoman"/>
      <w:lvlText w:val="%9."/>
      <w:lvlJc w:val="right"/>
      <w:pPr>
        <w:tabs>
          <w:tab w:val="num" w:pos="6480"/>
        </w:tabs>
        <w:ind w:left="6480" w:hanging="180"/>
      </w:pPr>
    </w:lvl>
  </w:abstractNum>
  <w:abstractNum w:abstractNumId="96">
    <w:nsid w:val="53B937A0"/>
    <w:multiLevelType w:val="hybridMultilevel"/>
    <w:tmpl w:val="77FEC35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7">
    <w:nsid w:val="54767734"/>
    <w:multiLevelType w:val="multilevel"/>
    <w:tmpl w:val="3F7002C6"/>
    <w:styleLink w:val="111111"/>
    <w:lvl w:ilvl="0">
      <w:start w:val="1"/>
      <w:numFmt w:val="decimal"/>
      <w:pStyle w:val="111111"/>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320"/>
        </w:tabs>
        <w:ind w:left="4320" w:hanging="1440"/>
      </w:pPr>
    </w:lvl>
  </w:abstractNum>
  <w:abstractNum w:abstractNumId="98">
    <w:nsid w:val="54934F77"/>
    <w:multiLevelType w:val="hybridMultilevel"/>
    <w:tmpl w:val="C1E0604A"/>
    <w:lvl w:ilvl="0" w:tplc="93F83826">
      <w:start w:val="1"/>
      <w:numFmt w:val="bullet"/>
      <w:lvlText w:val=""/>
      <w:lvlJc w:val="left"/>
      <w:pPr>
        <w:ind w:left="720" w:hanging="360"/>
      </w:pPr>
      <w:rPr>
        <w:rFonts w:ascii="Symbol" w:hAnsi="Symbol" w:hint="default"/>
      </w:rPr>
    </w:lvl>
    <w:lvl w:ilvl="1" w:tplc="5CCC82A8">
      <w:start w:val="1"/>
      <w:numFmt w:val="bullet"/>
      <w:lvlText w:val="o"/>
      <w:lvlJc w:val="left"/>
      <w:pPr>
        <w:ind w:left="1440" w:hanging="360"/>
      </w:pPr>
      <w:rPr>
        <w:rFonts w:ascii="Courier New" w:hAnsi="Courier New" w:cs="Courier New" w:hint="default"/>
      </w:rPr>
    </w:lvl>
    <w:lvl w:ilvl="2" w:tplc="FC722436">
      <w:start w:val="1"/>
      <w:numFmt w:val="bullet"/>
      <w:lvlText w:val=""/>
      <w:lvlJc w:val="left"/>
      <w:pPr>
        <w:ind w:left="2160" w:hanging="360"/>
      </w:pPr>
      <w:rPr>
        <w:rFonts w:ascii="Wingdings" w:hAnsi="Wingdings" w:hint="default"/>
      </w:rPr>
    </w:lvl>
    <w:lvl w:ilvl="3" w:tplc="9140E96A">
      <w:start w:val="1"/>
      <w:numFmt w:val="bullet"/>
      <w:lvlText w:val=""/>
      <w:lvlJc w:val="left"/>
      <w:pPr>
        <w:ind w:left="2880" w:hanging="360"/>
      </w:pPr>
      <w:rPr>
        <w:rFonts w:ascii="Symbol" w:hAnsi="Symbol" w:hint="default"/>
      </w:rPr>
    </w:lvl>
    <w:lvl w:ilvl="4" w:tplc="3CDE9D1A">
      <w:start w:val="1"/>
      <w:numFmt w:val="bullet"/>
      <w:lvlText w:val="o"/>
      <w:lvlJc w:val="left"/>
      <w:pPr>
        <w:ind w:left="3600" w:hanging="360"/>
      </w:pPr>
      <w:rPr>
        <w:rFonts w:ascii="Courier New" w:hAnsi="Courier New" w:cs="Courier New" w:hint="default"/>
      </w:rPr>
    </w:lvl>
    <w:lvl w:ilvl="5" w:tplc="7F4AB4AA">
      <w:start w:val="1"/>
      <w:numFmt w:val="bullet"/>
      <w:lvlText w:val=""/>
      <w:lvlJc w:val="left"/>
      <w:pPr>
        <w:ind w:left="4320" w:hanging="360"/>
      </w:pPr>
      <w:rPr>
        <w:rFonts w:ascii="Wingdings" w:hAnsi="Wingdings" w:hint="default"/>
      </w:rPr>
    </w:lvl>
    <w:lvl w:ilvl="6" w:tplc="612096F0">
      <w:start w:val="1"/>
      <w:numFmt w:val="bullet"/>
      <w:lvlText w:val=""/>
      <w:lvlJc w:val="left"/>
      <w:pPr>
        <w:ind w:left="5040" w:hanging="360"/>
      </w:pPr>
      <w:rPr>
        <w:rFonts w:ascii="Symbol" w:hAnsi="Symbol" w:hint="default"/>
      </w:rPr>
    </w:lvl>
    <w:lvl w:ilvl="7" w:tplc="DDE66A96">
      <w:start w:val="1"/>
      <w:numFmt w:val="bullet"/>
      <w:lvlText w:val="o"/>
      <w:lvlJc w:val="left"/>
      <w:pPr>
        <w:ind w:left="5760" w:hanging="360"/>
      </w:pPr>
      <w:rPr>
        <w:rFonts w:ascii="Courier New" w:hAnsi="Courier New" w:cs="Courier New" w:hint="default"/>
      </w:rPr>
    </w:lvl>
    <w:lvl w:ilvl="8" w:tplc="7646E1C8">
      <w:start w:val="1"/>
      <w:numFmt w:val="bullet"/>
      <w:lvlText w:val=""/>
      <w:lvlJc w:val="left"/>
      <w:pPr>
        <w:ind w:left="6480" w:hanging="360"/>
      </w:pPr>
      <w:rPr>
        <w:rFonts w:ascii="Wingdings" w:hAnsi="Wingdings" w:hint="default"/>
      </w:rPr>
    </w:lvl>
  </w:abstractNum>
  <w:abstractNum w:abstractNumId="99">
    <w:nsid w:val="550F5D8A"/>
    <w:multiLevelType w:val="multilevel"/>
    <w:tmpl w:val="DFFA0A9C"/>
    <w:lvl w:ilvl="0">
      <w:start w:val="1"/>
      <w:numFmt w:val="russianLower"/>
      <w:pStyle w:val="GOSTTableListNum"/>
      <w:lvlText w:val="%1)"/>
      <w:lvlJc w:val="left"/>
      <w:pPr>
        <w:tabs>
          <w:tab w:val="num" w:pos="284"/>
        </w:tabs>
        <w:ind w:left="284" w:hanging="227"/>
      </w:pPr>
      <w:rPr>
        <w:rFonts w:hint="default"/>
        <w:b w:val="0"/>
        <w:bCs w:val="0"/>
        <w:i w:val="0"/>
        <w:iCs w:val="0"/>
        <w:caps w:val="0"/>
        <w:smallCaps w:val="0"/>
        <w:strike w:val="0"/>
        <w:vanish w:val="0"/>
        <w:color w:val="000000"/>
        <w:spacing w:val="0"/>
        <w:position w:val="0"/>
        <w:u w:val="none"/>
        <w:vertAlign w:val="baseline"/>
      </w:rPr>
    </w:lvl>
    <w:lvl w:ilvl="1">
      <w:start w:val="1"/>
      <w:numFmt w:val="decimal"/>
      <w:lvlText w:val="%1.%2."/>
      <w:lvlJc w:val="left"/>
      <w:pPr>
        <w:tabs>
          <w:tab w:val="num" w:pos="567"/>
        </w:tabs>
        <w:ind w:left="709" w:hanging="425"/>
      </w:pPr>
      <w:rPr>
        <w:rFonts w:ascii="Times New Roman" w:hAnsi="Times New Roman" w:cs="Times New Roman"/>
        <w:b w:val="0"/>
        <w:bCs w:val="0"/>
        <w:i w:val="0"/>
        <w:iCs w:val="0"/>
        <w:caps w:val="0"/>
        <w:smallCaps w:val="0"/>
        <w:strike w:val="0"/>
        <w:vanish w:val="0"/>
        <w:color w:val="000000"/>
        <w:spacing w:val="0"/>
        <w:position w:val="0"/>
        <w:szCs w:val="0"/>
        <w:u w:val="none"/>
        <w:vertAlign w:val="baseline"/>
      </w:rPr>
    </w:lvl>
    <w:lvl w:ilvl="2">
      <w:start w:val="1"/>
      <w:numFmt w:val="decimal"/>
      <w:lvlText w:val="%2.%1.%3."/>
      <w:lvlJc w:val="left"/>
      <w:pPr>
        <w:tabs>
          <w:tab w:val="num" w:pos="1134"/>
        </w:tabs>
        <w:ind w:left="1276" w:hanging="567"/>
      </w:pPr>
      <w:rPr>
        <w:rFonts w:ascii="Times New Roman" w:hAnsi="Times New Roman" w:hint="default"/>
        <w:sz w:val="24"/>
        <w:szCs w:val="24"/>
      </w:rPr>
    </w:lvl>
    <w:lvl w:ilvl="3">
      <w:start w:val="1"/>
      <w:numFmt w:val="decimal"/>
      <w:lvlText w:val="%1.%2.%3.%4."/>
      <w:lvlJc w:val="left"/>
      <w:pPr>
        <w:tabs>
          <w:tab w:val="num" w:pos="236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44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52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100">
    <w:nsid w:val="5590462B"/>
    <w:multiLevelType w:val="hybridMultilevel"/>
    <w:tmpl w:val="273A4298"/>
    <w:styleLink w:val="0"/>
    <w:lvl w:ilvl="0" w:tplc="2A9AB1A8">
      <w:start w:val="1"/>
      <w:numFmt w:val="russianLower"/>
      <w:pStyle w:val="0"/>
      <w:lvlText w:val="%1)"/>
      <w:lvlJc w:val="left"/>
      <w:pPr>
        <w:tabs>
          <w:tab w:val="num" w:pos="1134"/>
        </w:tabs>
        <w:ind w:left="709" w:firstLine="0"/>
      </w:pPr>
      <w:rPr>
        <w:rFonts w:ascii="Times New Roman" w:hAnsi="Times New Roman" w:cs="Times New Roman"/>
        <w:b w:val="0"/>
        <w:bCs w:val="0"/>
        <w:i w:val="0"/>
        <w:iCs w:val="0"/>
        <w:caps w:val="0"/>
        <w:smallCaps w:val="0"/>
        <w:strike w:val="0"/>
        <w:vanish w:val="0"/>
        <w:color w:val="000000"/>
        <w:spacing w:val="0"/>
        <w:position w:val="0"/>
        <w:szCs w:val="0"/>
        <w:u w:val="none"/>
        <w:vertAlign w:val="baseline"/>
      </w:rPr>
    </w:lvl>
    <w:lvl w:ilvl="1" w:tplc="E67CA1EC">
      <w:start w:val="1"/>
      <w:numFmt w:val="decimal"/>
      <w:lvlText w:val="%2)"/>
      <w:lvlJc w:val="left"/>
      <w:pPr>
        <w:tabs>
          <w:tab w:val="num" w:pos="1559"/>
        </w:tabs>
        <w:ind w:left="1134" w:firstLine="0"/>
      </w:pPr>
      <w:rPr>
        <w:rFonts w:ascii="Times New Roman" w:hAnsi="Times New Roman" w:hint="default"/>
        <w:b w:val="0"/>
        <w:i w:val="0"/>
        <w:caps w:val="0"/>
        <w:strike w:val="0"/>
        <w:vanish w:val="0"/>
        <w:color w:val="000000"/>
        <w:spacing w:val="0"/>
        <w:position w:val="0"/>
        <w:sz w:val="24"/>
        <w:u w:val="none"/>
        <w:vertAlign w:val="baseline"/>
      </w:rPr>
    </w:lvl>
    <w:lvl w:ilvl="2" w:tplc="7880407A">
      <w:start w:val="1"/>
      <w:numFmt w:val="none"/>
      <w:lvlText w:val="-"/>
      <w:lvlJc w:val="left"/>
      <w:pPr>
        <w:tabs>
          <w:tab w:val="num" w:pos="1985"/>
        </w:tabs>
        <w:ind w:left="1559" w:firstLine="0"/>
      </w:pPr>
      <w:rPr>
        <w:rFonts w:ascii="Times New Roman" w:hAnsi="Times New Roman" w:hint="default"/>
        <w:b w:val="0"/>
        <w:i w:val="0"/>
        <w:caps w:val="0"/>
        <w:strike w:val="0"/>
        <w:vanish w:val="0"/>
        <w:color w:val="auto"/>
        <w:spacing w:val="0"/>
        <w:position w:val="0"/>
        <w:sz w:val="24"/>
        <w:u w:val="none"/>
        <w:vertAlign w:val="baseline"/>
      </w:rPr>
    </w:lvl>
    <w:lvl w:ilvl="3" w:tplc="ECC27782">
      <w:start w:val="1"/>
      <w:numFmt w:val="none"/>
      <w:lvlText w:val="-"/>
      <w:lvlJc w:val="left"/>
      <w:pPr>
        <w:tabs>
          <w:tab w:val="num" w:pos="2410"/>
        </w:tabs>
        <w:ind w:left="1985" w:firstLine="0"/>
      </w:pPr>
      <w:rPr>
        <w:rFonts w:ascii="Times New Roman" w:hAnsi="Times New Roman" w:hint="default"/>
        <w:b w:val="0"/>
        <w:i w:val="0"/>
        <w:caps w:val="0"/>
        <w:strike w:val="0"/>
        <w:vanish w:val="0"/>
        <w:color w:val="auto"/>
        <w:spacing w:val="0"/>
        <w:position w:val="0"/>
        <w:sz w:val="24"/>
        <w:u w:val="none"/>
        <w:vertAlign w:val="baseline"/>
      </w:rPr>
    </w:lvl>
    <w:lvl w:ilvl="4" w:tplc="1E225AE2">
      <w:start w:val="1"/>
      <w:numFmt w:val="none"/>
      <w:lvlText w:val="-"/>
      <w:lvlJc w:val="left"/>
      <w:pPr>
        <w:tabs>
          <w:tab w:val="num" w:pos="2835"/>
        </w:tabs>
        <w:ind w:left="2410" w:firstLine="0"/>
      </w:pPr>
      <w:rPr>
        <w:rFonts w:ascii="Times New Roman" w:hAnsi="Times New Roman" w:hint="default"/>
        <w:b w:val="0"/>
        <w:i w:val="0"/>
        <w:caps w:val="0"/>
        <w:strike w:val="0"/>
        <w:vanish w:val="0"/>
        <w:color w:val="auto"/>
        <w:sz w:val="24"/>
        <w:u w:val="none"/>
        <w:vertAlign w:val="baseline"/>
      </w:rPr>
    </w:lvl>
    <w:lvl w:ilvl="5" w:tplc="EEB89794">
      <w:start w:val="1"/>
      <w:numFmt w:val="none"/>
      <w:lvlText w:val="-"/>
      <w:lvlJc w:val="left"/>
      <w:pPr>
        <w:tabs>
          <w:tab w:val="num" w:pos="3260"/>
        </w:tabs>
        <w:ind w:left="2835" w:firstLine="0"/>
      </w:pPr>
      <w:rPr>
        <w:rFonts w:ascii="Times New Roman" w:hAnsi="Times New Roman" w:hint="default"/>
        <w:b w:val="0"/>
        <w:i w:val="0"/>
        <w:caps w:val="0"/>
        <w:strike w:val="0"/>
        <w:vanish w:val="0"/>
        <w:color w:val="auto"/>
        <w:spacing w:val="0"/>
        <w:position w:val="0"/>
        <w:sz w:val="24"/>
        <w:vertAlign w:val="baseline"/>
      </w:rPr>
    </w:lvl>
    <w:lvl w:ilvl="6" w:tplc="A6FCA5EA">
      <w:start w:val="1"/>
      <w:numFmt w:val="none"/>
      <w:lvlText w:val="-"/>
      <w:lvlJc w:val="left"/>
      <w:pPr>
        <w:tabs>
          <w:tab w:val="num" w:pos="2835"/>
        </w:tabs>
        <w:ind w:left="2835" w:firstLine="0"/>
      </w:pPr>
      <w:rPr>
        <w:rFonts w:hint="default"/>
      </w:rPr>
    </w:lvl>
    <w:lvl w:ilvl="7" w:tplc="6A2ED67E">
      <w:start w:val="1"/>
      <w:numFmt w:val="none"/>
      <w:lvlText w:val="-"/>
      <w:lvlJc w:val="left"/>
      <w:pPr>
        <w:ind w:left="2835" w:firstLine="0"/>
      </w:pPr>
      <w:rPr>
        <w:rFonts w:hint="default"/>
      </w:rPr>
    </w:lvl>
    <w:lvl w:ilvl="8" w:tplc="55528EB8">
      <w:start w:val="1"/>
      <w:numFmt w:val="none"/>
      <w:lvlText w:val="-"/>
      <w:lvlJc w:val="left"/>
      <w:pPr>
        <w:ind w:left="2835" w:firstLine="0"/>
      </w:pPr>
      <w:rPr>
        <w:rFonts w:hint="default"/>
      </w:rPr>
    </w:lvl>
  </w:abstractNum>
  <w:abstractNum w:abstractNumId="101">
    <w:nsid w:val="56582FD3"/>
    <w:multiLevelType w:val="hybridMultilevel"/>
    <w:tmpl w:val="D91A5B5E"/>
    <w:lvl w:ilvl="0" w:tplc="AB6A997A">
      <w:start w:val="1"/>
      <w:numFmt w:val="bullet"/>
      <w:pStyle w:val="OTRListMark"/>
      <w:lvlText w:val="–"/>
      <w:lvlJc w:val="left"/>
      <w:pPr>
        <w:tabs>
          <w:tab w:val="num" w:pos="1418"/>
        </w:tabs>
        <w:ind w:left="1418" w:hanging="284"/>
      </w:pPr>
      <w:rPr>
        <w:rFonts w:ascii="Verdana" w:hAnsi="Verdana" w:hint="default"/>
        <w:color w:val="auto"/>
        <w:sz w:val="24"/>
      </w:rPr>
    </w:lvl>
    <w:lvl w:ilvl="1" w:tplc="84727188">
      <w:start w:val="1"/>
      <w:numFmt w:val="bullet"/>
      <w:lvlText w:val="―"/>
      <w:lvlJc w:val="left"/>
      <w:pPr>
        <w:tabs>
          <w:tab w:val="num" w:pos="1701"/>
        </w:tabs>
        <w:ind w:left="1701" w:hanging="284"/>
      </w:pPr>
      <w:rPr>
        <w:rFonts w:ascii="Verdana" w:hAnsi="Verdana" w:hint="default"/>
        <w:color w:val="auto"/>
        <w:sz w:val="16"/>
      </w:rPr>
    </w:lvl>
    <w:lvl w:ilvl="2" w:tplc="DF125314">
      <w:start w:val="1"/>
      <w:numFmt w:val="bullet"/>
      <w:lvlText w:val="–"/>
      <w:lvlJc w:val="left"/>
      <w:pPr>
        <w:tabs>
          <w:tab w:val="num" w:pos="1985"/>
        </w:tabs>
        <w:ind w:left="1985" w:hanging="284"/>
      </w:pPr>
      <w:rPr>
        <w:rFonts w:ascii="Verdana" w:hAnsi="Verdana" w:hint="default"/>
        <w:b/>
        <w:i w:val="0"/>
        <w:sz w:val="24"/>
      </w:rPr>
    </w:lvl>
    <w:lvl w:ilvl="3" w:tplc="BA5840AC">
      <w:start w:val="1"/>
      <w:numFmt w:val="bullet"/>
      <w:lvlText w:val="–"/>
      <w:lvlJc w:val="left"/>
      <w:pPr>
        <w:tabs>
          <w:tab w:val="num" w:pos="2268"/>
        </w:tabs>
        <w:ind w:left="2268" w:hanging="283"/>
      </w:pPr>
      <w:rPr>
        <w:rFonts w:ascii="Verdana" w:hAnsi="Verdana" w:hint="default"/>
      </w:rPr>
    </w:lvl>
    <w:lvl w:ilvl="4" w:tplc="618E192E">
      <w:start w:val="1"/>
      <w:numFmt w:val="bullet"/>
      <w:lvlText w:val=""/>
      <w:lvlJc w:val="left"/>
      <w:pPr>
        <w:tabs>
          <w:tab w:val="num" w:pos="2797"/>
        </w:tabs>
        <w:ind w:left="2797" w:hanging="360"/>
      </w:pPr>
      <w:rPr>
        <w:rFonts w:ascii="Symbol" w:hAnsi="Symbol" w:hint="default"/>
      </w:rPr>
    </w:lvl>
    <w:lvl w:ilvl="5" w:tplc="48EC094A">
      <w:start w:val="1"/>
      <w:numFmt w:val="bullet"/>
      <w:lvlText w:val=""/>
      <w:lvlJc w:val="left"/>
      <w:pPr>
        <w:tabs>
          <w:tab w:val="num" w:pos="3157"/>
        </w:tabs>
        <w:ind w:left="3157" w:hanging="360"/>
      </w:pPr>
      <w:rPr>
        <w:rFonts w:ascii="Wingdings" w:hAnsi="Wingdings" w:hint="default"/>
      </w:rPr>
    </w:lvl>
    <w:lvl w:ilvl="6" w:tplc="B9FEBA4C">
      <w:start w:val="1"/>
      <w:numFmt w:val="bullet"/>
      <w:lvlText w:val=""/>
      <w:lvlJc w:val="left"/>
      <w:pPr>
        <w:tabs>
          <w:tab w:val="num" w:pos="3517"/>
        </w:tabs>
        <w:ind w:left="3517" w:hanging="360"/>
      </w:pPr>
      <w:rPr>
        <w:rFonts w:ascii="Wingdings" w:hAnsi="Wingdings" w:hint="default"/>
      </w:rPr>
    </w:lvl>
    <w:lvl w:ilvl="7" w:tplc="820A3336">
      <w:start w:val="1"/>
      <w:numFmt w:val="bullet"/>
      <w:lvlText w:val=""/>
      <w:lvlJc w:val="left"/>
      <w:pPr>
        <w:tabs>
          <w:tab w:val="num" w:pos="3877"/>
        </w:tabs>
        <w:ind w:left="3877" w:hanging="360"/>
      </w:pPr>
      <w:rPr>
        <w:rFonts w:ascii="Symbol" w:hAnsi="Symbol" w:hint="default"/>
      </w:rPr>
    </w:lvl>
    <w:lvl w:ilvl="8" w:tplc="EF4E3D40">
      <w:start w:val="1"/>
      <w:numFmt w:val="bullet"/>
      <w:lvlText w:val=""/>
      <w:lvlJc w:val="left"/>
      <w:pPr>
        <w:tabs>
          <w:tab w:val="num" w:pos="4237"/>
        </w:tabs>
        <w:ind w:left="4237" w:hanging="360"/>
      </w:pPr>
      <w:rPr>
        <w:rFonts w:ascii="Symbol" w:hAnsi="Symbol" w:hint="default"/>
      </w:rPr>
    </w:lvl>
  </w:abstractNum>
  <w:abstractNum w:abstractNumId="102">
    <w:nsid w:val="57745057"/>
    <w:multiLevelType w:val="multilevel"/>
    <w:tmpl w:val="DEFCF49E"/>
    <w:lvl w:ilvl="0">
      <w:start w:val="1"/>
      <w:numFmt w:val="decimal"/>
      <w:lvlText w:val="%1."/>
      <w:lvlJc w:val="left"/>
      <w:pPr>
        <w:ind w:left="432" w:hanging="432"/>
      </w:pPr>
      <w:rPr>
        <w:rFonts w:hint="default"/>
      </w:rPr>
    </w:lvl>
    <w:lvl w:ilvl="1">
      <w:start w:val="1"/>
      <w:numFmt w:val="decimal"/>
      <w:pStyle w:val="220"/>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3">
    <w:nsid w:val="57AD5DCF"/>
    <w:multiLevelType w:val="hybridMultilevel"/>
    <w:tmpl w:val="320C5122"/>
    <w:lvl w:ilvl="0" w:tplc="1A987ADE">
      <w:start w:val="1"/>
      <w:numFmt w:val="bullet"/>
      <w:lvlText w:val=""/>
      <w:lvlJc w:val="left"/>
      <w:pPr>
        <w:ind w:left="720" w:hanging="360"/>
      </w:pPr>
      <w:rPr>
        <w:rFonts w:ascii="Symbol" w:hAnsi="Symbol" w:hint="default"/>
      </w:rPr>
    </w:lvl>
    <w:lvl w:ilvl="1" w:tplc="3106163E">
      <w:start w:val="1"/>
      <w:numFmt w:val="bullet"/>
      <w:lvlText w:val="o"/>
      <w:lvlJc w:val="left"/>
      <w:pPr>
        <w:ind w:left="1440" w:hanging="360"/>
      </w:pPr>
      <w:rPr>
        <w:rFonts w:ascii="Courier New" w:hAnsi="Courier New" w:cs="Courier New" w:hint="default"/>
      </w:rPr>
    </w:lvl>
    <w:lvl w:ilvl="2" w:tplc="97AC202E">
      <w:start w:val="1"/>
      <w:numFmt w:val="bullet"/>
      <w:lvlText w:val=""/>
      <w:lvlJc w:val="left"/>
      <w:pPr>
        <w:ind w:left="2160" w:hanging="360"/>
      </w:pPr>
      <w:rPr>
        <w:rFonts w:ascii="Wingdings" w:hAnsi="Wingdings" w:hint="default"/>
      </w:rPr>
    </w:lvl>
    <w:lvl w:ilvl="3" w:tplc="0C6CEDB6">
      <w:start w:val="1"/>
      <w:numFmt w:val="bullet"/>
      <w:lvlText w:val=""/>
      <w:lvlJc w:val="left"/>
      <w:pPr>
        <w:ind w:left="2880" w:hanging="360"/>
      </w:pPr>
      <w:rPr>
        <w:rFonts w:ascii="Symbol" w:hAnsi="Symbol" w:hint="default"/>
      </w:rPr>
    </w:lvl>
    <w:lvl w:ilvl="4" w:tplc="F488A068">
      <w:start w:val="1"/>
      <w:numFmt w:val="bullet"/>
      <w:lvlText w:val="o"/>
      <w:lvlJc w:val="left"/>
      <w:pPr>
        <w:ind w:left="3600" w:hanging="360"/>
      </w:pPr>
      <w:rPr>
        <w:rFonts w:ascii="Courier New" w:hAnsi="Courier New" w:cs="Courier New" w:hint="default"/>
      </w:rPr>
    </w:lvl>
    <w:lvl w:ilvl="5" w:tplc="519671A6">
      <w:start w:val="1"/>
      <w:numFmt w:val="bullet"/>
      <w:lvlText w:val=""/>
      <w:lvlJc w:val="left"/>
      <w:pPr>
        <w:ind w:left="4320" w:hanging="360"/>
      </w:pPr>
      <w:rPr>
        <w:rFonts w:ascii="Wingdings" w:hAnsi="Wingdings" w:hint="default"/>
      </w:rPr>
    </w:lvl>
    <w:lvl w:ilvl="6" w:tplc="809C4938">
      <w:start w:val="1"/>
      <w:numFmt w:val="bullet"/>
      <w:lvlText w:val=""/>
      <w:lvlJc w:val="left"/>
      <w:pPr>
        <w:ind w:left="5040" w:hanging="360"/>
      </w:pPr>
      <w:rPr>
        <w:rFonts w:ascii="Symbol" w:hAnsi="Symbol" w:hint="default"/>
      </w:rPr>
    </w:lvl>
    <w:lvl w:ilvl="7" w:tplc="4DC61044">
      <w:start w:val="1"/>
      <w:numFmt w:val="bullet"/>
      <w:lvlText w:val="o"/>
      <w:lvlJc w:val="left"/>
      <w:pPr>
        <w:ind w:left="5760" w:hanging="360"/>
      </w:pPr>
      <w:rPr>
        <w:rFonts w:ascii="Courier New" w:hAnsi="Courier New" w:cs="Courier New" w:hint="default"/>
      </w:rPr>
    </w:lvl>
    <w:lvl w:ilvl="8" w:tplc="4AFC1CFE">
      <w:start w:val="1"/>
      <w:numFmt w:val="bullet"/>
      <w:lvlText w:val=""/>
      <w:lvlJc w:val="left"/>
      <w:pPr>
        <w:ind w:left="6480" w:hanging="360"/>
      </w:pPr>
      <w:rPr>
        <w:rFonts w:ascii="Wingdings" w:hAnsi="Wingdings" w:hint="default"/>
      </w:rPr>
    </w:lvl>
  </w:abstractNum>
  <w:abstractNum w:abstractNumId="104">
    <w:nsid w:val="57BF7C89"/>
    <w:multiLevelType w:val="hybridMultilevel"/>
    <w:tmpl w:val="DEAAB3B2"/>
    <w:lvl w:ilvl="0" w:tplc="A412B280">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105">
    <w:nsid w:val="58976EEF"/>
    <w:multiLevelType w:val="hybridMultilevel"/>
    <w:tmpl w:val="36A8154A"/>
    <w:lvl w:ilvl="0" w:tplc="1BA6337A">
      <w:start w:val="1"/>
      <w:numFmt w:val="bullet"/>
      <w:pStyle w:val="24"/>
      <w:lvlText w:val=""/>
      <w:lvlJc w:val="left"/>
      <w:pPr>
        <w:tabs>
          <w:tab w:val="num" w:pos="643"/>
        </w:tabs>
        <w:ind w:left="643" w:hanging="360"/>
      </w:pPr>
      <w:rPr>
        <w:rFonts w:ascii="Symbol" w:hAnsi="Symbol" w:hint="default"/>
      </w:rPr>
    </w:lvl>
    <w:lvl w:ilvl="1" w:tplc="2EC49CBE">
      <w:start w:val="1"/>
      <w:numFmt w:val="bullet"/>
      <w:lvlText w:val="o"/>
      <w:lvlJc w:val="left"/>
      <w:pPr>
        <w:ind w:left="1440" w:hanging="360"/>
      </w:pPr>
      <w:rPr>
        <w:rFonts w:ascii="Courier New" w:eastAsia="Courier New" w:hAnsi="Courier New" w:cs="Courier New" w:hint="default"/>
      </w:rPr>
    </w:lvl>
    <w:lvl w:ilvl="2" w:tplc="8FF4EB8C">
      <w:start w:val="1"/>
      <w:numFmt w:val="bullet"/>
      <w:lvlText w:val="§"/>
      <w:lvlJc w:val="left"/>
      <w:pPr>
        <w:ind w:left="2160" w:hanging="360"/>
      </w:pPr>
      <w:rPr>
        <w:rFonts w:ascii="Wingdings" w:eastAsia="Wingdings" w:hAnsi="Wingdings" w:cs="Wingdings" w:hint="default"/>
      </w:rPr>
    </w:lvl>
    <w:lvl w:ilvl="3" w:tplc="D7D8249C">
      <w:start w:val="1"/>
      <w:numFmt w:val="bullet"/>
      <w:lvlText w:val="·"/>
      <w:lvlJc w:val="left"/>
      <w:pPr>
        <w:ind w:left="2880" w:hanging="360"/>
      </w:pPr>
      <w:rPr>
        <w:rFonts w:ascii="Symbol" w:eastAsia="Symbol" w:hAnsi="Symbol" w:cs="Symbol" w:hint="default"/>
      </w:rPr>
    </w:lvl>
    <w:lvl w:ilvl="4" w:tplc="CEFC28D8">
      <w:start w:val="1"/>
      <w:numFmt w:val="bullet"/>
      <w:lvlText w:val="o"/>
      <w:lvlJc w:val="left"/>
      <w:pPr>
        <w:ind w:left="3600" w:hanging="360"/>
      </w:pPr>
      <w:rPr>
        <w:rFonts w:ascii="Courier New" w:eastAsia="Courier New" w:hAnsi="Courier New" w:cs="Courier New" w:hint="default"/>
      </w:rPr>
    </w:lvl>
    <w:lvl w:ilvl="5" w:tplc="4BFC5DAE">
      <w:start w:val="1"/>
      <w:numFmt w:val="bullet"/>
      <w:lvlText w:val="§"/>
      <w:lvlJc w:val="left"/>
      <w:pPr>
        <w:ind w:left="4320" w:hanging="360"/>
      </w:pPr>
      <w:rPr>
        <w:rFonts w:ascii="Wingdings" w:eastAsia="Wingdings" w:hAnsi="Wingdings" w:cs="Wingdings" w:hint="default"/>
      </w:rPr>
    </w:lvl>
    <w:lvl w:ilvl="6" w:tplc="35EC1F2C">
      <w:start w:val="1"/>
      <w:numFmt w:val="bullet"/>
      <w:lvlText w:val="·"/>
      <w:lvlJc w:val="left"/>
      <w:pPr>
        <w:ind w:left="5040" w:hanging="360"/>
      </w:pPr>
      <w:rPr>
        <w:rFonts w:ascii="Symbol" w:eastAsia="Symbol" w:hAnsi="Symbol" w:cs="Symbol" w:hint="default"/>
      </w:rPr>
    </w:lvl>
    <w:lvl w:ilvl="7" w:tplc="2C3E9238">
      <w:start w:val="1"/>
      <w:numFmt w:val="bullet"/>
      <w:lvlText w:val="o"/>
      <w:lvlJc w:val="left"/>
      <w:pPr>
        <w:ind w:left="5760" w:hanging="360"/>
      </w:pPr>
      <w:rPr>
        <w:rFonts w:ascii="Courier New" w:eastAsia="Courier New" w:hAnsi="Courier New" w:cs="Courier New" w:hint="default"/>
      </w:rPr>
    </w:lvl>
    <w:lvl w:ilvl="8" w:tplc="E3247F9A">
      <w:start w:val="1"/>
      <w:numFmt w:val="bullet"/>
      <w:lvlText w:val="§"/>
      <w:lvlJc w:val="left"/>
      <w:pPr>
        <w:ind w:left="6480" w:hanging="360"/>
      </w:pPr>
      <w:rPr>
        <w:rFonts w:ascii="Wingdings" w:eastAsia="Wingdings" w:hAnsi="Wingdings" w:cs="Wingdings" w:hint="default"/>
      </w:rPr>
    </w:lvl>
  </w:abstractNum>
  <w:abstractNum w:abstractNumId="106">
    <w:nsid w:val="58E938C2"/>
    <w:multiLevelType w:val="multilevel"/>
    <w:tmpl w:val="F3EA1DEA"/>
    <w:lvl w:ilvl="0">
      <w:start w:val="1"/>
      <w:numFmt w:val="decimal"/>
      <w:pStyle w:val="ASFKListnum"/>
      <w:lvlText w:val="%1."/>
      <w:lvlJc w:val="left"/>
      <w:pPr>
        <w:tabs>
          <w:tab w:val="num" w:pos="1021"/>
        </w:tabs>
        <w:ind w:left="1021" w:hanging="454"/>
      </w:pPr>
      <w:rPr>
        <w:rFonts w:ascii="Times New Roman" w:hAnsi="Times New Roman" w:cs="Times New Roman" w:hint="default"/>
        <w:b w:val="0"/>
        <w:bCs w:val="0"/>
        <w:i w:val="0"/>
        <w:iCs w:val="0"/>
        <w:caps w:val="0"/>
        <w:smallCaps w:val="0"/>
        <w:strike w:val="0"/>
        <w:vanish w:val="0"/>
        <w:color w:val="000000"/>
        <w:spacing w:val="0"/>
        <w:position w:val="0"/>
        <w:sz w:val="24"/>
        <w:u w:val="none"/>
        <w:vertAlign w:val="baseline"/>
        <w14:textOutline w14:w="0" w14:cap="rnd" w14:cmpd="sng" w14:algn="ctr">
          <w14:noFill/>
          <w14:prstDash w14:val="solid"/>
          <w14:bevel/>
        </w14:textOutline>
      </w:rPr>
    </w:lvl>
    <w:lvl w:ilvl="1">
      <w:start w:val="1"/>
      <w:numFmt w:val="decimal"/>
      <w:pStyle w:val="ASFKListnum2"/>
      <w:isLgl/>
      <w:lvlText w:val="%1.%2."/>
      <w:lvlJc w:val="left"/>
      <w:pPr>
        <w:tabs>
          <w:tab w:val="num" w:pos="1588"/>
        </w:tabs>
        <w:ind w:left="1588" w:hanging="567"/>
      </w:pPr>
      <w:rPr>
        <w:rFonts w:ascii="Times New Roman" w:hAnsi="Times New Roman" w:cs="Times New Roman" w:hint="default"/>
        <w:b w:val="0"/>
        <w:i w:val="0"/>
        <w:sz w:val="24"/>
      </w:rPr>
    </w:lvl>
    <w:lvl w:ilvl="2">
      <w:start w:val="1"/>
      <w:numFmt w:val="decimal"/>
      <w:isLgl/>
      <w:lvlText w:val="%1.%2.%3."/>
      <w:lvlJc w:val="left"/>
      <w:pPr>
        <w:tabs>
          <w:tab w:val="num" w:pos="2421"/>
        </w:tabs>
        <w:ind w:left="2421" w:hanging="567"/>
      </w:pPr>
      <w:rPr>
        <w:rFonts w:ascii="Arial CYR" w:hAnsi="Arial CYR" w:hint="default"/>
        <w:b w:val="0"/>
        <w:i w:val="0"/>
        <w:sz w:val="24"/>
      </w:rPr>
    </w:lvl>
    <w:lvl w:ilvl="3">
      <w:start w:val="1"/>
      <w:numFmt w:val="decimal"/>
      <w:suff w:val="space"/>
      <w:lvlText w:val="%1.%2.%3.%4."/>
      <w:lvlJc w:val="left"/>
      <w:pPr>
        <w:ind w:left="2704" w:hanging="567"/>
      </w:pPr>
      <w:rPr>
        <w:rFonts w:ascii="Arial CYR" w:hAnsi="Arial CYR" w:hint="default"/>
        <w:b w:val="0"/>
        <w:i w:val="0"/>
        <w:sz w:val="24"/>
      </w:rPr>
    </w:lvl>
    <w:lvl w:ilvl="4">
      <w:start w:val="1"/>
      <w:numFmt w:val="decimal"/>
      <w:suff w:val="space"/>
      <w:lvlText w:val="%1.%2.%3.%4.%5"/>
      <w:lvlJc w:val="left"/>
      <w:pPr>
        <w:ind w:left="3271" w:hanging="567"/>
      </w:pPr>
      <w:rPr>
        <w:rFonts w:hint="default"/>
      </w:rPr>
    </w:lvl>
    <w:lvl w:ilvl="5">
      <w:start w:val="1"/>
      <w:numFmt w:val="decimal"/>
      <w:lvlText w:val="%1.%2.%3.%4.%5.%6"/>
      <w:lvlJc w:val="left"/>
      <w:pPr>
        <w:tabs>
          <w:tab w:val="num" w:pos="1588"/>
        </w:tabs>
        <w:ind w:left="1588" w:hanging="1152"/>
      </w:pPr>
      <w:rPr>
        <w:rFonts w:hint="default"/>
      </w:rPr>
    </w:lvl>
    <w:lvl w:ilvl="6">
      <w:start w:val="1"/>
      <w:numFmt w:val="decimal"/>
      <w:lvlText w:val="%1.%2.%3.%4.%5.%6.%7"/>
      <w:lvlJc w:val="left"/>
      <w:pPr>
        <w:tabs>
          <w:tab w:val="num" w:pos="1732"/>
        </w:tabs>
        <w:ind w:left="1732" w:hanging="1296"/>
      </w:pPr>
      <w:rPr>
        <w:rFonts w:hint="default"/>
      </w:rPr>
    </w:lvl>
    <w:lvl w:ilvl="7">
      <w:start w:val="1"/>
      <w:numFmt w:val="decimal"/>
      <w:lvlText w:val="%1.%2.%3.%4.%5.%6.%7.%8"/>
      <w:lvlJc w:val="left"/>
      <w:pPr>
        <w:tabs>
          <w:tab w:val="num" w:pos="1876"/>
        </w:tabs>
        <w:ind w:left="1876" w:hanging="1440"/>
      </w:pPr>
      <w:rPr>
        <w:rFonts w:hint="default"/>
      </w:rPr>
    </w:lvl>
    <w:lvl w:ilvl="8">
      <w:start w:val="1"/>
      <w:numFmt w:val="decimal"/>
      <w:lvlText w:val="%1.%2.%3.%4.%5.%6.%7.%8.%9"/>
      <w:lvlJc w:val="left"/>
      <w:pPr>
        <w:tabs>
          <w:tab w:val="num" w:pos="2020"/>
        </w:tabs>
        <w:ind w:left="2020" w:hanging="1584"/>
      </w:pPr>
      <w:rPr>
        <w:rFonts w:hint="default"/>
      </w:rPr>
    </w:lvl>
  </w:abstractNum>
  <w:abstractNum w:abstractNumId="107">
    <w:nsid w:val="59CD5F64"/>
    <w:multiLevelType w:val="hybridMultilevel"/>
    <w:tmpl w:val="A3382B6A"/>
    <w:lvl w:ilvl="0" w:tplc="CA1A048C">
      <w:start w:val="1"/>
      <w:numFmt w:val="russianLower"/>
      <w:pStyle w:val="0115"/>
      <w:lvlText w:val="%1)"/>
      <w:lvlJc w:val="left"/>
      <w:pPr>
        <w:ind w:left="567" w:hanging="454"/>
      </w:pPr>
      <w:rPr>
        <w:rFonts w:ascii="Times New Roman" w:hAnsi="Times New Roman" w:hint="default"/>
        <w:b w:val="0"/>
        <w:i w:val="0"/>
        <w:caps w:val="0"/>
        <w:strike w:val="0"/>
        <w:vanish w:val="0"/>
        <w:color w:val="000000"/>
        <w:spacing w:val="0"/>
        <w:position w:val="0"/>
        <w:sz w:val="24"/>
        <w:u w:val="none"/>
        <w:vertAlign w:val="baseline"/>
      </w:rPr>
    </w:lvl>
    <w:lvl w:ilvl="1" w:tplc="C3426C60">
      <w:start w:val="1"/>
      <w:numFmt w:val="decimal"/>
      <w:lvlText w:val="%2)"/>
      <w:lvlJc w:val="left"/>
      <w:pPr>
        <w:ind w:left="680" w:hanging="453"/>
      </w:pPr>
      <w:rPr>
        <w:rFonts w:hint="default"/>
      </w:rPr>
    </w:lvl>
    <w:lvl w:ilvl="2" w:tplc="F5E88F5A">
      <w:start w:val="1"/>
      <w:numFmt w:val="lowerRoman"/>
      <w:lvlText w:val="%3."/>
      <w:lvlJc w:val="right"/>
      <w:pPr>
        <w:ind w:left="2160" w:hanging="180"/>
      </w:pPr>
      <w:rPr>
        <w:rFonts w:hint="default"/>
      </w:rPr>
    </w:lvl>
    <w:lvl w:ilvl="3" w:tplc="D2F8301C">
      <w:start w:val="1"/>
      <w:numFmt w:val="decimal"/>
      <w:lvlText w:val="%4."/>
      <w:lvlJc w:val="left"/>
      <w:pPr>
        <w:ind w:left="2880" w:hanging="360"/>
      </w:pPr>
      <w:rPr>
        <w:rFonts w:hint="default"/>
      </w:rPr>
    </w:lvl>
    <w:lvl w:ilvl="4" w:tplc="1CF8AB66">
      <w:start w:val="1"/>
      <w:numFmt w:val="lowerLetter"/>
      <w:lvlText w:val="%5."/>
      <w:lvlJc w:val="left"/>
      <w:pPr>
        <w:ind w:left="3600" w:hanging="360"/>
      </w:pPr>
      <w:rPr>
        <w:rFonts w:hint="default"/>
      </w:rPr>
    </w:lvl>
    <w:lvl w:ilvl="5" w:tplc="E9A4EE5C">
      <w:start w:val="1"/>
      <w:numFmt w:val="lowerRoman"/>
      <w:lvlText w:val="%6."/>
      <w:lvlJc w:val="right"/>
      <w:pPr>
        <w:ind w:left="4320" w:hanging="180"/>
      </w:pPr>
      <w:rPr>
        <w:rFonts w:hint="default"/>
      </w:rPr>
    </w:lvl>
    <w:lvl w:ilvl="6" w:tplc="F5EC2740">
      <w:start w:val="1"/>
      <w:numFmt w:val="decimal"/>
      <w:lvlText w:val="%7."/>
      <w:lvlJc w:val="left"/>
      <w:pPr>
        <w:ind w:left="5040" w:hanging="360"/>
      </w:pPr>
      <w:rPr>
        <w:rFonts w:hint="default"/>
      </w:rPr>
    </w:lvl>
    <w:lvl w:ilvl="7" w:tplc="2558E828">
      <w:start w:val="1"/>
      <w:numFmt w:val="lowerLetter"/>
      <w:lvlText w:val="%8."/>
      <w:lvlJc w:val="left"/>
      <w:pPr>
        <w:ind w:left="5760" w:hanging="360"/>
      </w:pPr>
      <w:rPr>
        <w:rFonts w:hint="default"/>
      </w:rPr>
    </w:lvl>
    <w:lvl w:ilvl="8" w:tplc="DA54685A">
      <w:start w:val="1"/>
      <w:numFmt w:val="lowerRoman"/>
      <w:lvlText w:val="%9."/>
      <w:lvlJc w:val="right"/>
      <w:pPr>
        <w:ind w:left="6480" w:hanging="180"/>
      </w:pPr>
      <w:rPr>
        <w:rFonts w:hint="default"/>
      </w:rPr>
    </w:lvl>
  </w:abstractNum>
  <w:abstractNum w:abstractNumId="108">
    <w:nsid w:val="5AB47218"/>
    <w:multiLevelType w:val="hybridMultilevel"/>
    <w:tmpl w:val="8AF07BB6"/>
    <w:lvl w:ilvl="0" w:tplc="60C606FA">
      <w:start w:val="1"/>
      <w:numFmt w:val="bullet"/>
      <w:pStyle w:val="ASFKListmark5"/>
      <w:lvlText w:val="–"/>
      <w:lvlJc w:val="left"/>
      <w:pPr>
        <w:tabs>
          <w:tab w:val="num" w:pos="1985"/>
        </w:tabs>
        <w:ind w:left="1985" w:hanging="284"/>
      </w:pPr>
      <w:rPr>
        <w:rFonts w:ascii="Times New Roman" w:hAnsi="Times New Roman" w:hint="default"/>
        <w:b w:val="0"/>
        <w:i w:val="0"/>
        <w:sz w:val="24"/>
      </w:rPr>
    </w:lvl>
    <w:lvl w:ilvl="1" w:tplc="00700740">
      <w:start w:val="1"/>
      <w:numFmt w:val="bullet"/>
      <w:lvlText w:val="o"/>
      <w:lvlJc w:val="left"/>
      <w:pPr>
        <w:tabs>
          <w:tab w:val="num" w:pos="1440"/>
        </w:tabs>
        <w:ind w:left="1440" w:hanging="360"/>
      </w:pPr>
      <w:rPr>
        <w:rFonts w:ascii="Courier New" w:hAnsi="Courier New" w:hint="default"/>
      </w:rPr>
    </w:lvl>
    <w:lvl w:ilvl="2" w:tplc="5D90F2BC">
      <w:start w:val="1"/>
      <w:numFmt w:val="bullet"/>
      <w:lvlText w:val=""/>
      <w:lvlJc w:val="left"/>
      <w:pPr>
        <w:tabs>
          <w:tab w:val="num" w:pos="2160"/>
        </w:tabs>
        <w:ind w:left="2160" w:hanging="360"/>
      </w:pPr>
      <w:rPr>
        <w:rFonts w:ascii="Wingdings" w:hAnsi="Wingdings" w:hint="default"/>
      </w:rPr>
    </w:lvl>
    <w:lvl w:ilvl="3" w:tplc="DEFAD212">
      <w:start w:val="1"/>
      <w:numFmt w:val="bullet"/>
      <w:lvlText w:val=""/>
      <w:lvlJc w:val="left"/>
      <w:pPr>
        <w:tabs>
          <w:tab w:val="num" w:pos="2880"/>
        </w:tabs>
        <w:ind w:left="2880" w:hanging="360"/>
      </w:pPr>
      <w:rPr>
        <w:rFonts w:ascii="Symbol" w:hAnsi="Symbol" w:hint="default"/>
      </w:rPr>
    </w:lvl>
    <w:lvl w:ilvl="4" w:tplc="B464D936">
      <w:start w:val="1"/>
      <w:numFmt w:val="bullet"/>
      <w:lvlText w:val="o"/>
      <w:lvlJc w:val="left"/>
      <w:pPr>
        <w:tabs>
          <w:tab w:val="num" w:pos="3600"/>
        </w:tabs>
        <w:ind w:left="3600" w:hanging="360"/>
      </w:pPr>
      <w:rPr>
        <w:rFonts w:ascii="Courier New" w:hAnsi="Courier New" w:hint="default"/>
      </w:rPr>
    </w:lvl>
    <w:lvl w:ilvl="5" w:tplc="71C29AC2">
      <w:start w:val="1"/>
      <w:numFmt w:val="bullet"/>
      <w:lvlText w:val=""/>
      <w:lvlJc w:val="left"/>
      <w:pPr>
        <w:tabs>
          <w:tab w:val="num" w:pos="4320"/>
        </w:tabs>
        <w:ind w:left="4320" w:hanging="360"/>
      </w:pPr>
      <w:rPr>
        <w:rFonts w:ascii="Wingdings" w:hAnsi="Wingdings" w:hint="default"/>
      </w:rPr>
    </w:lvl>
    <w:lvl w:ilvl="6" w:tplc="93BC363C">
      <w:start w:val="1"/>
      <w:numFmt w:val="bullet"/>
      <w:lvlText w:val=""/>
      <w:lvlJc w:val="left"/>
      <w:pPr>
        <w:tabs>
          <w:tab w:val="num" w:pos="5040"/>
        </w:tabs>
        <w:ind w:left="5040" w:hanging="360"/>
      </w:pPr>
      <w:rPr>
        <w:rFonts w:ascii="Symbol" w:hAnsi="Symbol" w:hint="default"/>
      </w:rPr>
    </w:lvl>
    <w:lvl w:ilvl="7" w:tplc="E39C8A54">
      <w:start w:val="1"/>
      <w:numFmt w:val="bullet"/>
      <w:lvlText w:val="o"/>
      <w:lvlJc w:val="left"/>
      <w:pPr>
        <w:tabs>
          <w:tab w:val="num" w:pos="5760"/>
        </w:tabs>
        <w:ind w:left="5760" w:hanging="360"/>
      </w:pPr>
      <w:rPr>
        <w:rFonts w:ascii="Courier New" w:hAnsi="Courier New" w:hint="default"/>
      </w:rPr>
    </w:lvl>
    <w:lvl w:ilvl="8" w:tplc="302C6BBC">
      <w:start w:val="1"/>
      <w:numFmt w:val="bullet"/>
      <w:lvlText w:val=""/>
      <w:lvlJc w:val="left"/>
      <w:pPr>
        <w:tabs>
          <w:tab w:val="num" w:pos="6480"/>
        </w:tabs>
        <w:ind w:left="6480" w:hanging="360"/>
      </w:pPr>
      <w:rPr>
        <w:rFonts w:ascii="Wingdings" w:hAnsi="Wingdings" w:hint="default"/>
      </w:rPr>
    </w:lvl>
  </w:abstractNum>
  <w:abstractNum w:abstractNumId="109">
    <w:nsid w:val="5BA76BAC"/>
    <w:multiLevelType w:val="hybridMultilevel"/>
    <w:tmpl w:val="C870E316"/>
    <w:lvl w:ilvl="0" w:tplc="65A0294C">
      <w:start w:val="1"/>
      <w:numFmt w:val="bullet"/>
      <w:lvlText w:val="−"/>
      <w:lvlJc w:val="left"/>
      <w:pPr>
        <w:ind w:left="777" w:hanging="360"/>
      </w:pPr>
      <w:rPr>
        <w:rFonts w:ascii="Times New Roman" w:hAnsi="Times New Roman" w:cs="Times New Roman" w:hint="default"/>
      </w:rPr>
    </w:lvl>
    <w:lvl w:ilvl="1" w:tplc="D258F700">
      <w:start w:val="1"/>
      <w:numFmt w:val="bullet"/>
      <w:lvlText w:val="o"/>
      <w:lvlJc w:val="left"/>
      <w:pPr>
        <w:ind w:left="1497" w:hanging="360"/>
      </w:pPr>
      <w:rPr>
        <w:rFonts w:ascii="Courier New" w:hAnsi="Courier New" w:cs="Courier New" w:hint="default"/>
      </w:rPr>
    </w:lvl>
    <w:lvl w:ilvl="2" w:tplc="599C47DC">
      <w:start w:val="1"/>
      <w:numFmt w:val="bullet"/>
      <w:lvlText w:val=""/>
      <w:lvlJc w:val="left"/>
      <w:pPr>
        <w:ind w:left="2217" w:hanging="360"/>
      </w:pPr>
      <w:rPr>
        <w:rFonts w:ascii="Wingdings" w:hAnsi="Wingdings" w:hint="default"/>
      </w:rPr>
    </w:lvl>
    <w:lvl w:ilvl="3" w:tplc="34A05E46">
      <w:start w:val="1"/>
      <w:numFmt w:val="bullet"/>
      <w:lvlText w:val=""/>
      <w:lvlJc w:val="left"/>
      <w:pPr>
        <w:ind w:left="2937" w:hanging="360"/>
      </w:pPr>
      <w:rPr>
        <w:rFonts w:ascii="Symbol" w:hAnsi="Symbol" w:hint="default"/>
      </w:rPr>
    </w:lvl>
    <w:lvl w:ilvl="4" w:tplc="22B4C1BC">
      <w:start w:val="1"/>
      <w:numFmt w:val="bullet"/>
      <w:lvlText w:val="o"/>
      <w:lvlJc w:val="left"/>
      <w:pPr>
        <w:ind w:left="3657" w:hanging="360"/>
      </w:pPr>
      <w:rPr>
        <w:rFonts w:ascii="Courier New" w:hAnsi="Courier New" w:cs="Courier New" w:hint="default"/>
      </w:rPr>
    </w:lvl>
    <w:lvl w:ilvl="5" w:tplc="CFFC6E9A">
      <w:start w:val="1"/>
      <w:numFmt w:val="bullet"/>
      <w:lvlText w:val=""/>
      <w:lvlJc w:val="left"/>
      <w:pPr>
        <w:ind w:left="4377" w:hanging="360"/>
      </w:pPr>
      <w:rPr>
        <w:rFonts w:ascii="Wingdings" w:hAnsi="Wingdings" w:hint="default"/>
      </w:rPr>
    </w:lvl>
    <w:lvl w:ilvl="6" w:tplc="6F080526">
      <w:start w:val="1"/>
      <w:numFmt w:val="bullet"/>
      <w:lvlText w:val=""/>
      <w:lvlJc w:val="left"/>
      <w:pPr>
        <w:ind w:left="5097" w:hanging="360"/>
      </w:pPr>
      <w:rPr>
        <w:rFonts w:ascii="Symbol" w:hAnsi="Symbol" w:hint="default"/>
      </w:rPr>
    </w:lvl>
    <w:lvl w:ilvl="7" w:tplc="EF1CB7F4">
      <w:start w:val="1"/>
      <w:numFmt w:val="bullet"/>
      <w:lvlText w:val="o"/>
      <w:lvlJc w:val="left"/>
      <w:pPr>
        <w:ind w:left="5817" w:hanging="360"/>
      </w:pPr>
      <w:rPr>
        <w:rFonts w:ascii="Courier New" w:hAnsi="Courier New" w:cs="Courier New" w:hint="default"/>
      </w:rPr>
    </w:lvl>
    <w:lvl w:ilvl="8" w:tplc="B3180EDC">
      <w:start w:val="1"/>
      <w:numFmt w:val="bullet"/>
      <w:lvlText w:val=""/>
      <w:lvlJc w:val="left"/>
      <w:pPr>
        <w:ind w:left="6537" w:hanging="360"/>
      </w:pPr>
      <w:rPr>
        <w:rFonts w:ascii="Wingdings" w:hAnsi="Wingdings" w:hint="default"/>
      </w:rPr>
    </w:lvl>
  </w:abstractNum>
  <w:abstractNum w:abstractNumId="110">
    <w:nsid w:val="5BE51926"/>
    <w:multiLevelType w:val="hybridMultilevel"/>
    <w:tmpl w:val="EBF484AA"/>
    <w:lvl w:ilvl="0" w:tplc="03CE3482">
      <w:start w:val="1"/>
      <w:numFmt w:val="decimal"/>
      <w:pStyle w:val="otrlistnum3"/>
      <w:isLgl/>
      <w:lvlText w:val="%1."/>
      <w:lvlJc w:val="left"/>
      <w:pPr>
        <w:tabs>
          <w:tab w:val="num" w:pos="1491"/>
        </w:tabs>
        <w:ind w:left="1491" w:hanging="357"/>
      </w:pPr>
      <w:rPr>
        <w:rFonts w:ascii="Arial" w:hAnsi="Arial" w:hint="default"/>
        <w:b w:val="0"/>
        <w:i w:val="0"/>
        <w:sz w:val="20"/>
      </w:rPr>
    </w:lvl>
    <w:lvl w:ilvl="1" w:tplc="B980E6DE">
      <w:start w:val="1"/>
      <w:numFmt w:val="russianLower"/>
      <w:lvlText w:val="%2)"/>
      <w:lvlJc w:val="left"/>
      <w:pPr>
        <w:tabs>
          <w:tab w:val="num" w:pos="1848"/>
        </w:tabs>
        <w:ind w:left="1848" w:hanging="317"/>
      </w:pPr>
      <w:rPr>
        <w:rFonts w:ascii="Arial" w:hAnsi="Arial" w:hint="default"/>
        <w:b w:val="0"/>
        <w:i w:val="0"/>
        <w:color w:val="auto"/>
        <w:sz w:val="20"/>
      </w:rPr>
    </w:lvl>
    <w:lvl w:ilvl="2" w:tplc="70CA85E8">
      <w:start w:val="1"/>
      <w:numFmt w:val="bullet"/>
      <w:lvlText w:val=""/>
      <w:lvlJc w:val="left"/>
      <w:pPr>
        <w:tabs>
          <w:tab w:val="num" w:pos="2206"/>
        </w:tabs>
        <w:ind w:left="2206" w:hanging="278"/>
      </w:pPr>
      <w:rPr>
        <w:rFonts w:ascii="Symbol" w:hAnsi="Symbol" w:hint="default"/>
        <w:b w:val="0"/>
        <w:i w:val="0"/>
        <w:color w:val="auto"/>
        <w:sz w:val="20"/>
      </w:rPr>
    </w:lvl>
    <w:lvl w:ilvl="3" w:tplc="A1A85360">
      <w:start w:val="1"/>
      <w:numFmt w:val="bullet"/>
      <w:suff w:val="space"/>
      <w:lvlText w:val="―"/>
      <w:lvlJc w:val="left"/>
      <w:pPr>
        <w:ind w:left="1418" w:hanging="284"/>
      </w:pPr>
      <w:rPr>
        <w:rFonts w:ascii="Verdana" w:hAnsi="Verdana" w:hint="default"/>
        <w:color w:val="auto"/>
      </w:rPr>
    </w:lvl>
    <w:lvl w:ilvl="4" w:tplc="0B16CF0E">
      <w:start w:val="1"/>
      <w:numFmt w:val="bullet"/>
      <w:suff w:val="space"/>
      <w:lvlText w:val="―"/>
      <w:lvlJc w:val="left"/>
      <w:pPr>
        <w:ind w:left="1985" w:hanging="284"/>
      </w:pPr>
      <w:rPr>
        <w:rFonts w:ascii="Verdana" w:hAnsi="Verdana" w:hint="default"/>
        <w:color w:val="auto"/>
      </w:rPr>
    </w:lvl>
    <w:lvl w:ilvl="5" w:tplc="D00E37B6">
      <w:start w:val="1"/>
      <w:numFmt w:val="bullet"/>
      <w:suff w:val="space"/>
      <w:lvlText w:val=""/>
      <w:lvlJc w:val="left"/>
      <w:pPr>
        <w:ind w:left="2552" w:hanging="284"/>
      </w:pPr>
      <w:rPr>
        <w:rFonts w:ascii="Wingdings" w:hAnsi="Wingdings" w:hint="default"/>
      </w:rPr>
    </w:lvl>
    <w:lvl w:ilvl="6" w:tplc="8A7C210C">
      <w:start w:val="1"/>
      <w:numFmt w:val="bullet"/>
      <w:lvlText w:val=""/>
      <w:lvlJc w:val="left"/>
      <w:pPr>
        <w:tabs>
          <w:tab w:val="num" w:pos="2100"/>
        </w:tabs>
        <w:ind w:left="2100" w:hanging="360"/>
      </w:pPr>
      <w:rPr>
        <w:rFonts w:ascii="Wingdings" w:hAnsi="Wingdings" w:hint="default"/>
      </w:rPr>
    </w:lvl>
    <w:lvl w:ilvl="7" w:tplc="270A0228">
      <w:start w:val="1"/>
      <w:numFmt w:val="bullet"/>
      <w:lvlText w:val=""/>
      <w:lvlJc w:val="left"/>
      <w:pPr>
        <w:tabs>
          <w:tab w:val="num" w:pos="2460"/>
        </w:tabs>
        <w:ind w:left="2460" w:hanging="360"/>
      </w:pPr>
      <w:rPr>
        <w:rFonts w:ascii="Symbol" w:hAnsi="Symbol" w:hint="default"/>
      </w:rPr>
    </w:lvl>
    <w:lvl w:ilvl="8" w:tplc="F5D0F3E8">
      <w:start w:val="1"/>
      <w:numFmt w:val="bullet"/>
      <w:lvlText w:val=""/>
      <w:lvlJc w:val="left"/>
      <w:pPr>
        <w:tabs>
          <w:tab w:val="num" w:pos="2820"/>
        </w:tabs>
        <w:ind w:left="2820" w:hanging="360"/>
      </w:pPr>
      <w:rPr>
        <w:rFonts w:ascii="Symbol" w:hAnsi="Symbol" w:hint="default"/>
      </w:rPr>
    </w:lvl>
  </w:abstractNum>
  <w:abstractNum w:abstractNumId="111">
    <w:nsid w:val="5BEB01CF"/>
    <w:multiLevelType w:val="hybridMultilevel"/>
    <w:tmpl w:val="2F74D6EC"/>
    <w:lvl w:ilvl="0" w:tplc="B82ACB5A">
      <w:start w:val="1"/>
      <w:numFmt w:val="russianLower"/>
      <w:pStyle w:val="012"/>
      <w:lvlText w:val="%1)"/>
      <w:lvlJc w:val="left"/>
      <w:pPr>
        <w:tabs>
          <w:tab w:val="num" w:pos="1134"/>
        </w:tabs>
        <w:ind w:left="1134" w:hanging="425"/>
      </w:pPr>
      <w:rPr>
        <w:rFonts w:ascii="Times New Roman" w:hAnsi="Times New Roman" w:cs="Times New Roman" w:hint="default"/>
        <w:b w:val="0"/>
        <w:bCs w:val="0"/>
        <w:i w:val="0"/>
        <w:iCs w:val="0"/>
        <w:caps w:val="0"/>
        <w:smallCaps w:val="0"/>
        <w:strike w:val="0"/>
        <w:vanish w:val="0"/>
        <w:color w:val="000000"/>
        <w:spacing w:val="0"/>
        <w:position w:val="0"/>
        <w:szCs w:val="0"/>
        <w:u w:val="none"/>
        <w:vertAlign w:val="baseline"/>
      </w:rPr>
    </w:lvl>
    <w:lvl w:ilvl="1" w:tplc="B1FEED34">
      <w:start w:val="1"/>
      <w:numFmt w:val="decimal"/>
      <w:pStyle w:val="020"/>
      <w:lvlText w:val="%2)"/>
      <w:lvlJc w:val="left"/>
      <w:pPr>
        <w:tabs>
          <w:tab w:val="num" w:pos="1559"/>
        </w:tabs>
        <w:ind w:left="1559" w:hanging="425"/>
      </w:pPr>
      <w:rPr>
        <w:rFonts w:ascii="Times New Roman" w:hAnsi="Times New Roman" w:hint="default"/>
        <w:b w:val="0"/>
        <w:i w:val="0"/>
        <w:caps w:val="0"/>
        <w:strike w:val="0"/>
        <w:vanish w:val="0"/>
        <w:color w:val="000000"/>
        <w:spacing w:val="0"/>
        <w:position w:val="0"/>
        <w:sz w:val="24"/>
        <w:u w:val="none"/>
        <w:vertAlign w:val="baseline"/>
      </w:rPr>
    </w:lvl>
    <w:lvl w:ilvl="2" w:tplc="9D729A72">
      <w:start w:val="1"/>
      <w:numFmt w:val="none"/>
      <w:pStyle w:val="030"/>
      <w:lvlText w:val="-"/>
      <w:lvlJc w:val="left"/>
      <w:pPr>
        <w:tabs>
          <w:tab w:val="num" w:pos="1985"/>
        </w:tabs>
        <w:ind w:left="1985" w:hanging="426"/>
      </w:pPr>
      <w:rPr>
        <w:rFonts w:ascii="Times New Roman" w:hAnsi="Times New Roman" w:hint="default"/>
        <w:b w:val="0"/>
        <w:i w:val="0"/>
        <w:caps w:val="0"/>
        <w:strike w:val="0"/>
        <w:vanish w:val="0"/>
        <w:color w:val="auto"/>
        <w:spacing w:val="0"/>
        <w:position w:val="0"/>
        <w:sz w:val="24"/>
        <w:u w:val="none"/>
        <w:vertAlign w:val="baseline"/>
      </w:rPr>
    </w:lvl>
    <w:lvl w:ilvl="3" w:tplc="7C3A5848">
      <w:start w:val="1"/>
      <w:numFmt w:val="none"/>
      <w:pStyle w:val="04"/>
      <w:lvlText w:val="-"/>
      <w:lvlJc w:val="left"/>
      <w:pPr>
        <w:tabs>
          <w:tab w:val="num" w:pos="2410"/>
        </w:tabs>
        <w:ind w:left="2410" w:hanging="425"/>
      </w:pPr>
      <w:rPr>
        <w:rFonts w:ascii="Times New Roman" w:hAnsi="Times New Roman" w:hint="default"/>
        <w:b w:val="0"/>
        <w:i w:val="0"/>
        <w:caps w:val="0"/>
        <w:strike w:val="0"/>
        <w:vanish w:val="0"/>
        <w:color w:val="auto"/>
        <w:spacing w:val="0"/>
        <w:position w:val="0"/>
        <w:sz w:val="24"/>
        <w:u w:val="none"/>
        <w:vertAlign w:val="baseline"/>
      </w:rPr>
    </w:lvl>
    <w:lvl w:ilvl="4" w:tplc="3D38E846">
      <w:start w:val="1"/>
      <w:numFmt w:val="none"/>
      <w:pStyle w:val="05"/>
      <w:lvlText w:val="-"/>
      <w:lvlJc w:val="left"/>
      <w:pPr>
        <w:tabs>
          <w:tab w:val="num" w:pos="2835"/>
        </w:tabs>
        <w:ind w:left="2835" w:hanging="425"/>
      </w:pPr>
      <w:rPr>
        <w:rFonts w:ascii="Times New Roman" w:hAnsi="Times New Roman" w:hint="default"/>
        <w:b w:val="0"/>
        <w:i w:val="0"/>
        <w:caps w:val="0"/>
        <w:strike w:val="0"/>
        <w:vanish w:val="0"/>
        <w:color w:val="auto"/>
        <w:sz w:val="24"/>
        <w:u w:val="none"/>
        <w:vertAlign w:val="baseline"/>
      </w:rPr>
    </w:lvl>
    <w:lvl w:ilvl="5" w:tplc="5F2806A2">
      <w:start w:val="1"/>
      <w:numFmt w:val="none"/>
      <w:pStyle w:val="06"/>
      <w:lvlText w:val="-"/>
      <w:lvlJc w:val="left"/>
      <w:pPr>
        <w:tabs>
          <w:tab w:val="num" w:pos="3260"/>
        </w:tabs>
        <w:ind w:left="3260" w:hanging="425"/>
      </w:pPr>
      <w:rPr>
        <w:rFonts w:ascii="Times New Roman" w:hAnsi="Times New Roman" w:hint="default"/>
        <w:b w:val="0"/>
        <w:i w:val="0"/>
        <w:caps w:val="0"/>
        <w:strike w:val="0"/>
        <w:vanish w:val="0"/>
        <w:color w:val="auto"/>
        <w:spacing w:val="0"/>
        <w:position w:val="0"/>
        <w:sz w:val="24"/>
        <w:vertAlign w:val="baseline"/>
      </w:rPr>
    </w:lvl>
    <w:lvl w:ilvl="6" w:tplc="D69A4A80">
      <w:start w:val="1"/>
      <w:numFmt w:val="none"/>
      <w:lvlText w:val="-"/>
      <w:lvlJc w:val="left"/>
      <w:pPr>
        <w:tabs>
          <w:tab w:val="num" w:pos="2835"/>
        </w:tabs>
        <w:ind w:left="3260" w:hanging="425"/>
      </w:pPr>
      <w:rPr>
        <w:rFonts w:hint="default"/>
      </w:rPr>
    </w:lvl>
    <w:lvl w:ilvl="7" w:tplc="9B881E34">
      <w:start w:val="1"/>
      <w:numFmt w:val="none"/>
      <w:lvlText w:val="-"/>
      <w:lvlJc w:val="left"/>
      <w:pPr>
        <w:ind w:left="3260" w:hanging="425"/>
      </w:pPr>
      <w:rPr>
        <w:rFonts w:hint="default"/>
      </w:rPr>
    </w:lvl>
    <w:lvl w:ilvl="8" w:tplc="1254618A">
      <w:start w:val="1"/>
      <w:numFmt w:val="none"/>
      <w:lvlText w:val="-"/>
      <w:lvlJc w:val="left"/>
      <w:pPr>
        <w:ind w:left="3260" w:hanging="425"/>
      </w:pPr>
      <w:rPr>
        <w:rFonts w:hint="default"/>
      </w:rPr>
    </w:lvl>
  </w:abstractNum>
  <w:abstractNum w:abstractNumId="112">
    <w:nsid w:val="5C806AF1"/>
    <w:multiLevelType w:val="multilevel"/>
    <w:tmpl w:val="D5E08F94"/>
    <w:lvl w:ilvl="0">
      <w:start w:val="1"/>
      <w:numFmt w:val="decimal"/>
      <w:pStyle w:val="Head1"/>
      <w:suff w:val="space"/>
      <w:lvlText w:val="%1"/>
      <w:lvlJc w:val="left"/>
      <w:pPr>
        <w:ind w:left="0" w:firstLine="851"/>
      </w:pPr>
      <w:rPr>
        <w:rFonts w:hint="default"/>
      </w:rPr>
    </w:lvl>
    <w:lvl w:ilvl="1">
      <w:start w:val="1"/>
      <w:numFmt w:val="decimal"/>
      <w:pStyle w:val="Head2"/>
      <w:suff w:val="space"/>
      <w:lvlText w:val="%1.%2"/>
      <w:lvlJc w:val="left"/>
      <w:pPr>
        <w:ind w:left="0" w:firstLine="851"/>
      </w:pPr>
      <w:rPr>
        <w:rFonts w:hint="default"/>
        <w:b/>
        <w:i w:val="0"/>
      </w:rPr>
    </w:lvl>
    <w:lvl w:ilvl="2">
      <w:start w:val="1"/>
      <w:numFmt w:val="decimal"/>
      <w:pStyle w:val="Head3"/>
      <w:suff w:val="space"/>
      <w:lvlText w:val="%1.%2.%3"/>
      <w:lvlJc w:val="left"/>
      <w:pPr>
        <w:ind w:left="567" w:firstLine="851"/>
      </w:pPr>
      <w:rPr>
        <w:rFonts w:hint="default"/>
      </w:rPr>
    </w:lvl>
    <w:lvl w:ilvl="3">
      <w:start w:val="1"/>
      <w:numFmt w:val="decimal"/>
      <w:pStyle w:val="Head4"/>
      <w:suff w:val="space"/>
      <w:lvlText w:val="%1.%2.%3.%4"/>
      <w:lvlJc w:val="left"/>
      <w:pPr>
        <w:ind w:left="0" w:firstLine="851"/>
      </w:pPr>
      <w:rPr>
        <w:rFonts w:ascii="Times New Roman" w:hAnsi="Times New Roman" w:cs="Times New Roman" w:hint="default"/>
        <w:b/>
        <w:bCs w:val="0"/>
        <w:i w:val="0"/>
        <w:iCs w:val="0"/>
        <w:caps w:val="0"/>
        <w:smallCaps w:val="0"/>
        <w:strike w:val="0"/>
        <w:vanish w:val="0"/>
        <w:color w:val="auto"/>
        <w:spacing w:val="0"/>
        <w:position w:val="0"/>
        <w:u w:val="none"/>
        <w:vertAlign w:val="baseline"/>
      </w:rPr>
    </w:lvl>
    <w:lvl w:ilvl="4">
      <w:start w:val="1"/>
      <w:numFmt w:val="decimal"/>
      <w:pStyle w:val="Head5"/>
      <w:suff w:val="space"/>
      <w:lvlText w:val="%1.%2.%3.%4.%5"/>
      <w:lvlJc w:val="left"/>
      <w:pPr>
        <w:ind w:left="0" w:firstLine="851"/>
      </w:pPr>
      <w:rPr>
        <w:rFonts w:hint="default"/>
      </w:rPr>
    </w:lvl>
    <w:lvl w:ilvl="5">
      <w:start w:val="1"/>
      <w:numFmt w:val="decimal"/>
      <w:pStyle w:val="Head6"/>
      <w:suff w:val="space"/>
      <w:lvlText w:val="%1.%2.%3.%4.%5.%6"/>
      <w:lvlJc w:val="left"/>
      <w:pPr>
        <w:ind w:left="0" w:firstLine="851"/>
      </w:pPr>
      <w:rPr>
        <w:rFonts w:hint="default"/>
      </w:rPr>
    </w:lvl>
    <w:lvl w:ilvl="6">
      <w:start w:val="1"/>
      <w:numFmt w:val="decimal"/>
      <w:lvlText w:val="%1.%2.%3.%4.%5.%6.%7"/>
      <w:lvlJc w:val="left"/>
      <w:pPr>
        <w:tabs>
          <w:tab w:val="num" w:pos="2651"/>
        </w:tabs>
        <w:ind w:left="2651" w:hanging="1800"/>
      </w:pPr>
      <w:rPr>
        <w:rFonts w:hint="default"/>
      </w:rPr>
    </w:lvl>
    <w:lvl w:ilvl="7">
      <w:start w:val="1"/>
      <w:numFmt w:val="decimal"/>
      <w:lvlRestart w:val="0"/>
      <w:pStyle w:val="PictureInscription"/>
      <w:suff w:val="space"/>
      <w:lvlText w:val="Рисунок %8 –"/>
      <w:lvlJc w:val="left"/>
      <w:pPr>
        <w:ind w:left="0" w:firstLine="0"/>
      </w:pPr>
      <w:rPr>
        <w:rFonts w:ascii="Times New Roman" w:hAnsi="Times New Roman" w:cs="Times New Roman" w:hint="default"/>
        <w:b w:val="0"/>
        <w:bCs w:val="0"/>
        <w:i w:val="0"/>
        <w:iCs w:val="0"/>
        <w:caps w:val="0"/>
        <w:smallCaps w:val="0"/>
        <w:strike w:val="0"/>
        <w:vanish w:val="0"/>
        <w:color w:val="000000"/>
        <w:spacing w:val="0"/>
        <w:position w:val="0"/>
        <w:u w:val="none"/>
        <w:vertAlign w:val="baseline"/>
      </w:rPr>
    </w:lvl>
    <w:lvl w:ilvl="8">
      <w:start w:val="1"/>
      <w:numFmt w:val="decimal"/>
      <w:lvlRestart w:val="0"/>
      <w:pStyle w:val="TableInscription"/>
      <w:suff w:val="space"/>
      <w:lvlText w:val="Таблица %9 –"/>
      <w:lvlJc w:val="left"/>
      <w:pPr>
        <w:ind w:left="0" w:firstLine="0"/>
      </w:pPr>
      <w:rPr>
        <w:rFonts w:hint="default"/>
      </w:rPr>
    </w:lvl>
  </w:abstractNum>
  <w:abstractNum w:abstractNumId="113">
    <w:nsid w:val="5D2A5D5F"/>
    <w:multiLevelType w:val="hybridMultilevel"/>
    <w:tmpl w:val="97B8F890"/>
    <w:lvl w:ilvl="0" w:tplc="44664882">
      <w:start w:val="1"/>
      <w:numFmt w:val="bullet"/>
      <w:pStyle w:val="a4"/>
      <w:lvlText w:val=""/>
      <w:lvlJc w:val="left"/>
      <w:pPr>
        <w:tabs>
          <w:tab w:val="num" w:pos="992"/>
        </w:tabs>
        <w:ind w:left="0" w:firstLine="709"/>
      </w:pPr>
      <w:rPr>
        <w:rFonts w:ascii="Symbol" w:hAnsi="Symbol" w:cs="Times New Roman" w:hint="default"/>
        <w:color w:val="auto"/>
      </w:rPr>
    </w:lvl>
    <w:lvl w:ilvl="1" w:tplc="222C5480">
      <w:start w:val="1"/>
      <w:numFmt w:val="bullet"/>
      <w:lvlText w:val=""/>
      <w:lvlJc w:val="left"/>
      <w:pPr>
        <w:tabs>
          <w:tab w:val="num" w:pos="992"/>
        </w:tabs>
        <w:ind w:left="1276" w:hanging="284"/>
      </w:pPr>
      <w:rPr>
        <w:rFonts w:ascii="Wingdings" w:hAnsi="Wingdings" w:cs="Times New Roman" w:hint="default"/>
        <w:sz w:val="16"/>
        <w:szCs w:val="16"/>
      </w:rPr>
    </w:lvl>
    <w:lvl w:ilvl="2" w:tplc="269ED2D2">
      <w:start w:val="1"/>
      <w:numFmt w:val="bullet"/>
      <w:lvlText w:val="–"/>
      <w:lvlJc w:val="left"/>
      <w:pPr>
        <w:tabs>
          <w:tab w:val="num" w:pos="1276"/>
        </w:tabs>
        <w:ind w:left="1758" w:hanging="340"/>
      </w:pPr>
      <w:rPr>
        <w:rFonts w:ascii="Verdana" w:hAnsi="Verdana" w:cs="Times New Roman" w:hint="default"/>
        <w:b/>
        <w:i w:val="0"/>
        <w:sz w:val="24"/>
        <w:szCs w:val="20"/>
      </w:rPr>
    </w:lvl>
    <w:lvl w:ilvl="3" w:tplc="47FAADCE">
      <w:start w:val="1"/>
      <w:numFmt w:val="bullet"/>
      <w:lvlText w:val=""/>
      <w:lvlJc w:val="left"/>
      <w:pPr>
        <w:tabs>
          <w:tab w:val="num" w:pos="1440"/>
        </w:tabs>
        <w:ind w:left="1440" w:hanging="360"/>
      </w:pPr>
      <w:rPr>
        <w:rFonts w:ascii="Symbol" w:hAnsi="Symbol" w:hint="default"/>
      </w:rPr>
    </w:lvl>
    <w:lvl w:ilvl="4" w:tplc="65B8B1D6">
      <w:start w:val="1"/>
      <w:numFmt w:val="bullet"/>
      <w:lvlText w:val=""/>
      <w:lvlJc w:val="left"/>
      <w:pPr>
        <w:tabs>
          <w:tab w:val="num" w:pos="1800"/>
        </w:tabs>
        <w:ind w:left="1800" w:hanging="360"/>
      </w:pPr>
      <w:rPr>
        <w:rFonts w:ascii="Symbol" w:hAnsi="Symbol" w:hint="default"/>
      </w:rPr>
    </w:lvl>
    <w:lvl w:ilvl="5" w:tplc="E31C6BCA">
      <w:start w:val="1"/>
      <w:numFmt w:val="bullet"/>
      <w:lvlText w:val=""/>
      <w:lvlJc w:val="left"/>
      <w:pPr>
        <w:tabs>
          <w:tab w:val="num" w:pos="2160"/>
        </w:tabs>
        <w:ind w:left="2160" w:hanging="360"/>
      </w:pPr>
      <w:rPr>
        <w:rFonts w:ascii="Wingdings" w:hAnsi="Wingdings" w:hint="default"/>
      </w:rPr>
    </w:lvl>
    <w:lvl w:ilvl="6" w:tplc="984C1C30">
      <w:start w:val="1"/>
      <w:numFmt w:val="bullet"/>
      <w:lvlText w:val=""/>
      <w:lvlJc w:val="left"/>
      <w:pPr>
        <w:tabs>
          <w:tab w:val="num" w:pos="2520"/>
        </w:tabs>
        <w:ind w:left="2520" w:hanging="360"/>
      </w:pPr>
      <w:rPr>
        <w:rFonts w:ascii="Wingdings" w:hAnsi="Wingdings" w:hint="default"/>
      </w:rPr>
    </w:lvl>
    <w:lvl w:ilvl="7" w:tplc="D5B4D0A0">
      <w:start w:val="1"/>
      <w:numFmt w:val="bullet"/>
      <w:lvlText w:val=""/>
      <w:lvlJc w:val="left"/>
      <w:pPr>
        <w:tabs>
          <w:tab w:val="num" w:pos="2880"/>
        </w:tabs>
        <w:ind w:left="2880" w:hanging="360"/>
      </w:pPr>
      <w:rPr>
        <w:rFonts w:ascii="Symbol" w:hAnsi="Symbol" w:hint="default"/>
      </w:rPr>
    </w:lvl>
    <w:lvl w:ilvl="8" w:tplc="30ACA718">
      <w:start w:val="1"/>
      <w:numFmt w:val="bullet"/>
      <w:lvlText w:val=""/>
      <w:lvlJc w:val="left"/>
      <w:pPr>
        <w:tabs>
          <w:tab w:val="num" w:pos="3240"/>
        </w:tabs>
        <w:ind w:left="3240" w:hanging="360"/>
      </w:pPr>
      <w:rPr>
        <w:rFonts w:ascii="Symbol" w:hAnsi="Symbol" w:hint="default"/>
      </w:rPr>
    </w:lvl>
  </w:abstractNum>
  <w:abstractNum w:abstractNumId="114">
    <w:nsid w:val="5D7C278E"/>
    <w:multiLevelType w:val="hybridMultilevel"/>
    <w:tmpl w:val="670EEBBA"/>
    <w:lvl w:ilvl="0" w:tplc="A412B28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5">
    <w:nsid w:val="5E1C1506"/>
    <w:multiLevelType w:val="hybridMultilevel"/>
    <w:tmpl w:val="6D8C15FC"/>
    <w:lvl w:ilvl="0" w:tplc="B8D0A4F8">
      <w:start w:val="1"/>
      <w:numFmt w:val="bullet"/>
      <w:lvlText w:val="−"/>
      <w:lvlJc w:val="left"/>
      <w:pPr>
        <w:ind w:left="777" w:hanging="360"/>
      </w:pPr>
      <w:rPr>
        <w:rFonts w:ascii="Times New Roman" w:hAnsi="Times New Roman" w:cs="Times New Roman" w:hint="default"/>
      </w:rPr>
    </w:lvl>
    <w:lvl w:ilvl="1" w:tplc="5E24EC0C">
      <w:start w:val="1"/>
      <w:numFmt w:val="bullet"/>
      <w:lvlText w:val="o"/>
      <w:lvlJc w:val="left"/>
      <w:pPr>
        <w:ind w:left="1497" w:hanging="360"/>
      </w:pPr>
      <w:rPr>
        <w:rFonts w:ascii="Courier New" w:hAnsi="Courier New" w:cs="Courier New" w:hint="default"/>
      </w:rPr>
    </w:lvl>
    <w:lvl w:ilvl="2" w:tplc="2BDCDF78">
      <w:start w:val="1"/>
      <w:numFmt w:val="bullet"/>
      <w:lvlText w:val=""/>
      <w:lvlJc w:val="left"/>
      <w:pPr>
        <w:ind w:left="2217" w:hanging="360"/>
      </w:pPr>
      <w:rPr>
        <w:rFonts w:ascii="Wingdings" w:hAnsi="Wingdings" w:hint="default"/>
      </w:rPr>
    </w:lvl>
    <w:lvl w:ilvl="3" w:tplc="C1849756">
      <w:start w:val="1"/>
      <w:numFmt w:val="bullet"/>
      <w:lvlText w:val=""/>
      <w:lvlJc w:val="left"/>
      <w:pPr>
        <w:ind w:left="2937" w:hanging="360"/>
      </w:pPr>
      <w:rPr>
        <w:rFonts w:ascii="Symbol" w:hAnsi="Symbol" w:hint="default"/>
      </w:rPr>
    </w:lvl>
    <w:lvl w:ilvl="4" w:tplc="2468FE6C">
      <w:start w:val="1"/>
      <w:numFmt w:val="bullet"/>
      <w:lvlText w:val="o"/>
      <w:lvlJc w:val="left"/>
      <w:pPr>
        <w:ind w:left="3657" w:hanging="360"/>
      </w:pPr>
      <w:rPr>
        <w:rFonts w:ascii="Courier New" w:hAnsi="Courier New" w:cs="Courier New" w:hint="default"/>
      </w:rPr>
    </w:lvl>
    <w:lvl w:ilvl="5" w:tplc="09845C42">
      <w:start w:val="1"/>
      <w:numFmt w:val="bullet"/>
      <w:lvlText w:val=""/>
      <w:lvlJc w:val="left"/>
      <w:pPr>
        <w:ind w:left="4377" w:hanging="360"/>
      </w:pPr>
      <w:rPr>
        <w:rFonts w:ascii="Wingdings" w:hAnsi="Wingdings" w:hint="default"/>
      </w:rPr>
    </w:lvl>
    <w:lvl w:ilvl="6" w:tplc="B010E0DE">
      <w:start w:val="1"/>
      <w:numFmt w:val="bullet"/>
      <w:lvlText w:val=""/>
      <w:lvlJc w:val="left"/>
      <w:pPr>
        <w:ind w:left="5097" w:hanging="360"/>
      </w:pPr>
      <w:rPr>
        <w:rFonts w:ascii="Symbol" w:hAnsi="Symbol" w:hint="default"/>
      </w:rPr>
    </w:lvl>
    <w:lvl w:ilvl="7" w:tplc="409E77BE">
      <w:start w:val="1"/>
      <w:numFmt w:val="bullet"/>
      <w:lvlText w:val="o"/>
      <w:lvlJc w:val="left"/>
      <w:pPr>
        <w:ind w:left="5817" w:hanging="360"/>
      </w:pPr>
      <w:rPr>
        <w:rFonts w:ascii="Courier New" w:hAnsi="Courier New" w:cs="Courier New" w:hint="default"/>
      </w:rPr>
    </w:lvl>
    <w:lvl w:ilvl="8" w:tplc="50E84EE8">
      <w:start w:val="1"/>
      <w:numFmt w:val="bullet"/>
      <w:lvlText w:val=""/>
      <w:lvlJc w:val="left"/>
      <w:pPr>
        <w:ind w:left="6537" w:hanging="360"/>
      </w:pPr>
      <w:rPr>
        <w:rFonts w:ascii="Wingdings" w:hAnsi="Wingdings" w:hint="default"/>
      </w:rPr>
    </w:lvl>
  </w:abstractNum>
  <w:abstractNum w:abstractNumId="116">
    <w:nsid w:val="5E5F29DF"/>
    <w:multiLevelType w:val="hybridMultilevel"/>
    <w:tmpl w:val="35568AC2"/>
    <w:lvl w:ilvl="0" w:tplc="BC909508">
      <w:start w:val="1"/>
      <w:numFmt w:val="decimal"/>
      <w:pStyle w:val="a5"/>
      <w:lvlText w:val="%1."/>
      <w:lvlJc w:val="left"/>
      <w:pPr>
        <w:tabs>
          <w:tab w:val="num" w:pos="360"/>
        </w:tabs>
        <w:ind w:left="360" w:hanging="360"/>
      </w:pPr>
    </w:lvl>
    <w:lvl w:ilvl="1" w:tplc="E3BC2722">
      <w:start w:val="1"/>
      <w:numFmt w:val="bullet"/>
      <w:lvlText w:val="o"/>
      <w:lvlJc w:val="left"/>
      <w:pPr>
        <w:ind w:left="1440" w:hanging="360"/>
      </w:pPr>
      <w:rPr>
        <w:rFonts w:ascii="Courier New" w:eastAsia="Courier New" w:hAnsi="Courier New" w:cs="Courier New" w:hint="default"/>
      </w:rPr>
    </w:lvl>
    <w:lvl w:ilvl="2" w:tplc="A440CA92">
      <w:start w:val="1"/>
      <w:numFmt w:val="bullet"/>
      <w:lvlText w:val="§"/>
      <w:lvlJc w:val="left"/>
      <w:pPr>
        <w:ind w:left="2160" w:hanging="360"/>
      </w:pPr>
      <w:rPr>
        <w:rFonts w:ascii="Wingdings" w:eastAsia="Wingdings" w:hAnsi="Wingdings" w:cs="Wingdings" w:hint="default"/>
      </w:rPr>
    </w:lvl>
    <w:lvl w:ilvl="3" w:tplc="FEE4F57E">
      <w:start w:val="1"/>
      <w:numFmt w:val="bullet"/>
      <w:lvlText w:val="·"/>
      <w:lvlJc w:val="left"/>
      <w:pPr>
        <w:ind w:left="2880" w:hanging="360"/>
      </w:pPr>
      <w:rPr>
        <w:rFonts w:ascii="Symbol" w:eastAsia="Symbol" w:hAnsi="Symbol" w:cs="Symbol" w:hint="default"/>
      </w:rPr>
    </w:lvl>
    <w:lvl w:ilvl="4" w:tplc="69DCA41E">
      <w:start w:val="1"/>
      <w:numFmt w:val="bullet"/>
      <w:lvlText w:val="o"/>
      <w:lvlJc w:val="left"/>
      <w:pPr>
        <w:ind w:left="3600" w:hanging="360"/>
      </w:pPr>
      <w:rPr>
        <w:rFonts w:ascii="Courier New" w:eastAsia="Courier New" w:hAnsi="Courier New" w:cs="Courier New" w:hint="default"/>
      </w:rPr>
    </w:lvl>
    <w:lvl w:ilvl="5" w:tplc="9F064690">
      <w:start w:val="1"/>
      <w:numFmt w:val="bullet"/>
      <w:lvlText w:val="§"/>
      <w:lvlJc w:val="left"/>
      <w:pPr>
        <w:ind w:left="4320" w:hanging="360"/>
      </w:pPr>
      <w:rPr>
        <w:rFonts w:ascii="Wingdings" w:eastAsia="Wingdings" w:hAnsi="Wingdings" w:cs="Wingdings" w:hint="default"/>
      </w:rPr>
    </w:lvl>
    <w:lvl w:ilvl="6" w:tplc="5D3E667E">
      <w:start w:val="1"/>
      <w:numFmt w:val="bullet"/>
      <w:lvlText w:val="·"/>
      <w:lvlJc w:val="left"/>
      <w:pPr>
        <w:ind w:left="5040" w:hanging="360"/>
      </w:pPr>
      <w:rPr>
        <w:rFonts w:ascii="Symbol" w:eastAsia="Symbol" w:hAnsi="Symbol" w:cs="Symbol" w:hint="default"/>
      </w:rPr>
    </w:lvl>
    <w:lvl w:ilvl="7" w:tplc="4BF6AEC8">
      <w:start w:val="1"/>
      <w:numFmt w:val="bullet"/>
      <w:lvlText w:val="o"/>
      <w:lvlJc w:val="left"/>
      <w:pPr>
        <w:ind w:left="5760" w:hanging="360"/>
      </w:pPr>
      <w:rPr>
        <w:rFonts w:ascii="Courier New" w:eastAsia="Courier New" w:hAnsi="Courier New" w:cs="Courier New" w:hint="default"/>
      </w:rPr>
    </w:lvl>
    <w:lvl w:ilvl="8" w:tplc="AC68B28A">
      <w:start w:val="1"/>
      <w:numFmt w:val="bullet"/>
      <w:lvlText w:val="§"/>
      <w:lvlJc w:val="left"/>
      <w:pPr>
        <w:ind w:left="6480" w:hanging="360"/>
      </w:pPr>
      <w:rPr>
        <w:rFonts w:ascii="Wingdings" w:eastAsia="Wingdings" w:hAnsi="Wingdings" w:cs="Wingdings" w:hint="default"/>
      </w:rPr>
    </w:lvl>
  </w:abstractNum>
  <w:abstractNum w:abstractNumId="117">
    <w:nsid w:val="5F575A87"/>
    <w:multiLevelType w:val="hybridMultilevel"/>
    <w:tmpl w:val="6462A478"/>
    <w:lvl w:ilvl="0" w:tplc="A412B280">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118">
    <w:nsid w:val="608215BD"/>
    <w:multiLevelType w:val="hybridMultilevel"/>
    <w:tmpl w:val="5A8E651A"/>
    <w:lvl w:ilvl="0" w:tplc="2C480BEE">
      <w:start w:val="1"/>
      <w:numFmt w:val="decimal"/>
      <w:pStyle w:val="29"/>
      <w:lvlText w:val="%1) "/>
      <w:legacy w:legacy="1" w:legacySpace="0" w:legacyIndent="283"/>
      <w:lvlJc w:val="left"/>
      <w:pPr>
        <w:ind w:left="283" w:hanging="283"/>
      </w:pPr>
    </w:lvl>
    <w:lvl w:ilvl="1" w:tplc="FF4A70AC">
      <w:start w:val="1"/>
      <w:numFmt w:val="bullet"/>
      <w:lvlText w:val="o"/>
      <w:lvlJc w:val="left"/>
      <w:pPr>
        <w:ind w:left="1440" w:hanging="360"/>
      </w:pPr>
      <w:rPr>
        <w:rFonts w:ascii="Courier New" w:eastAsia="Courier New" w:hAnsi="Courier New" w:cs="Courier New" w:hint="default"/>
      </w:rPr>
    </w:lvl>
    <w:lvl w:ilvl="2" w:tplc="E25A4DF2">
      <w:start w:val="1"/>
      <w:numFmt w:val="bullet"/>
      <w:lvlText w:val="§"/>
      <w:lvlJc w:val="left"/>
      <w:pPr>
        <w:ind w:left="2160" w:hanging="360"/>
      </w:pPr>
      <w:rPr>
        <w:rFonts w:ascii="Wingdings" w:eastAsia="Wingdings" w:hAnsi="Wingdings" w:cs="Wingdings" w:hint="default"/>
      </w:rPr>
    </w:lvl>
    <w:lvl w:ilvl="3" w:tplc="924CF890">
      <w:start w:val="1"/>
      <w:numFmt w:val="bullet"/>
      <w:lvlText w:val="·"/>
      <w:lvlJc w:val="left"/>
      <w:pPr>
        <w:ind w:left="2880" w:hanging="360"/>
      </w:pPr>
      <w:rPr>
        <w:rFonts w:ascii="Symbol" w:eastAsia="Symbol" w:hAnsi="Symbol" w:cs="Symbol" w:hint="default"/>
      </w:rPr>
    </w:lvl>
    <w:lvl w:ilvl="4" w:tplc="47969C54">
      <w:start w:val="1"/>
      <w:numFmt w:val="bullet"/>
      <w:lvlText w:val="o"/>
      <w:lvlJc w:val="left"/>
      <w:pPr>
        <w:ind w:left="3600" w:hanging="360"/>
      </w:pPr>
      <w:rPr>
        <w:rFonts w:ascii="Courier New" w:eastAsia="Courier New" w:hAnsi="Courier New" w:cs="Courier New" w:hint="default"/>
      </w:rPr>
    </w:lvl>
    <w:lvl w:ilvl="5" w:tplc="EAB60E20">
      <w:start w:val="1"/>
      <w:numFmt w:val="bullet"/>
      <w:lvlText w:val="§"/>
      <w:lvlJc w:val="left"/>
      <w:pPr>
        <w:ind w:left="4320" w:hanging="360"/>
      </w:pPr>
      <w:rPr>
        <w:rFonts w:ascii="Wingdings" w:eastAsia="Wingdings" w:hAnsi="Wingdings" w:cs="Wingdings" w:hint="default"/>
      </w:rPr>
    </w:lvl>
    <w:lvl w:ilvl="6" w:tplc="2FE4AC60">
      <w:start w:val="1"/>
      <w:numFmt w:val="bullet"/>
      <w:lvlText w:val="·"/>
      <w:lvlJc w:val="left"/>
      <w:pPr>
        <w:ind w:left="5040" w:hanging="360"/>
      </w:pPr>
      <w:rPr>
        <w:rFonts w:ascii="Symbol" w:eastAsia="Symbol" w:hAnsi="Symbol" w:cs="Symbol" w:hint="default"/>
      </w:rPr>
    </w:lvl>
    <w:lvl w:ilvl="7" w:tplc="5562EAF8">
      <w:start w:val="1"/>
      <w:numFmt w:val="bullet"/>
      <w:lvlText w:val="o"/>
      <w:lvlJc w:val="left"/>
      <w:pPr>
        <w:ind w:left="5760" w:hanging="360"/>
      </w:pPr>
      <w:rPr>
        <w:rFonts w:ascii="Courier New" w:eastAsia="Courier New" w:hAnsi="Courier New" w:cs="Courier New" w:hint="default"/>
      </w:rPr>
    </w:lvl>
    <w:lvl w:ilvl="8" w:tplc="D0C82C74">
      <w:start w:val="1"/>
      <w:numFmt w:val="bullet"/>
      <w:lvlText w:val="§"/>
      <w:lvlJc w:val="left"/>
      <w:pPr>
        <w:ind w:left="6480" w:hanging="360"/>
      </w:pPr>
      <w:rPr>
        <w:rFonts w:ascii="Wingdings" w:eastAsia="Wingdings" w:hAnsi="Wingdings" w:cs="Wingdings" w:hint="default"/>
      </w:rPr>
    </w:lvl>
  </w:abstractNum>
  <w:abstractNum w:abstractNumId="119">
    <w:nsid w:val="626E5F42"/>
    <w:multiLevelType w:val="hybridMultilevel"/>
    <w:tmpl w:val="7AA0BCAE"/>
    <w:lvl w:ilvl="0" w:tplc="D7D20A32">
      <w:start w:val="1"/>
      <w:numFmt w:val="bullet"/>
      <w:lvlText w:val=""/>
      <w:lvlJc w:val="left"/>
      <w:pPr>
        <w:ind w:left="1571" w:hanging="360"/>
      </w:pPr>
      <w:rPr>
        <w:rFonts w:ascii="Symbol" w:hAnsi="Symbol" w:hint="default"/>
      </w:rPr>
    </w:lvl>
    <w:lvl w:ilvl="1" w:tplc="7D269C3C">
      <w:start w:val="1"/>
      <w:numFmt w:val="bullet"/>
      <w:lvlText w:val="o"/>
      <w:lvlJc w:val="left"/>
      <w:pPr>
        <w:ind w:left="2291" w:hanging="360"/>
      </w:pPr>
      <w:rPr>
        <w:rFonts w:ascii="Courier New" w:hAnsi="Courier New" w:cs="Courier New" w:hint="default"/>
      </w:rPr>
    </w:lvl>
    <w:lvl w:ilvl="2" w:tplc="3752B276">
      <w:start w:val="1"/>
      <w:numFmt w:val="bullet"/>
      <w:lvlText w:val=""/>
      <w:lvlJc w:val="left"/>
      <w:pPr>
        <w:ind w:left="3011" w:hanging="360"/>
      </w:pPr>
      <w:rPr>
        <w:rFonts w:ascii="Wingdings" w:hAnsi="Wingdings" w:hint="default"/>
      </w:rPr>
    </w:lvl>
    <w:lvl w:ilvl="3" w:tplc="C69849D2">
      <w:start w:val="1"/>
      <w:numFmt w:val="bullet"/>
      <w:lvlText w:val=""/>
      <w:lvlJc w:val="left"/>
      <w:pPr>
        <w:ind w:left="3731" w:hanging="360"/>
      </w:pPr>
      <w:rPr>
        <w:rFonts w:ascii="Symbol" w:hAnsi="Symbol" w:hint="default"/>
      </w:rPr>
    </w:lvl>
    <w:lvl w:ilvl="4" w:tplc="521A2B2C">
      <w:start w:val="1"/>
      <w:numFmt w:val="bullet"/>
      <w:lvlText w:val="o"/>
      <w:lvlJc w:val="left"/>
      <w:pPr>
        <w:ind w:left="4451" w:hanging="360"/>
      </w:pPr>
      <w:rPr>
        <w:rFonts w:ascii="Courier New" w:hAnsi="Courier New" w:cs="Courier New" w:hint="default"/>
      </w:rPr>
    </w:lvl>
    <w:lvl w:ilvl="5" w:tplc="B2D07326">
      <w:start w:val="1"/>
      <w:numFmt w:val="bullet"/>
      <w:lvlText w:val=""/>
      <w:lvlJc w:val="left"/>
      <w:pPr>
        <w:ind w:left="5171" w:hanging="360"/>
      </w:pPr>
      <w:rPr>
        <w:rFonts w:ascii="Wingdings" w:hAnsi="Wingdings" w:hint="default"/>
      </w:rPr>
    </w:lvl>
    <w:lvl w:ilvl="6" w:tplc="10D8B156">
      <w:start w:val="1"/>
      <w:numFmt w:val="bullet"/>
      <w:lvlText w:val=""/>
      <w:lvlJc w:val="left"/>
      <w:pPr>
        <w:ind w:left="5891" w:hanging="360"/>
      </w:pPr>
      <w:rPr>
        <w:rFonts w:ascii="Symbol" w:hAnsi="Symbol" w:hint="default"/>
      </w:rPr>
    </w:lvl>
    <w:lvl w:ilvl="7" w:tplc="B78E47C6">
      <w:start w:val="1"/>
      <w:numFmt w:val="bullet"/>
      <w:lvlText w:val="o"/>
      <w:lvlJc w:val="left"/>
      <w:pPr>
        <w:ind w:left="6611" w:hanging="360"/>
      </w:pPr>
      <w:rPr>
        <w:rFonts w:ascii="Courier New" w:hAnsi="Courier New" w:cs="Courier New" w:hint="default"/>
      </w:rPr>
    </w:lvl>
    <w:lvl w:ilvl="8" w:tplc="02605826">
      <w:start w:val="1"/>
      <w:numFmt w:val="bullet"/>
      <w:lvlText w:val=""/>
      <w:lvlJc w:val="left"/>
      <w:pPr>
        <w:ind w:left="7331" w:hanging="360"/>
      </w:pPr>
      <w:rPr>
        <w:rFonts w:ascii="Wingdings" w:hAnsi="Wingdings" w:hint="default"/>
      </w:rPr>
    </w:lvl>
  </w:abstractNum>
  <w:abstractNum w:abstractNumId="120">
    <w:nsid w:val="63575F54"/>
    <w:multiLevelType w:val="hybridMultilevel"/>
    <w:tmpl w:val="D27436AE"/>
    <w:lvl w:ilvl="0" w:tplc="4306AC3A">
      <w:start w:val="1"/>
      <w:numFmt w:val="bullet"/>
      <w:lvlText w:val="-"/>
      <w:lvlJc w:val="left"/>
      <w:pPr>
        <w:ind w:left="1004" w:hanging="360"/>
      </w:pPr>
      <w:rPr>
        <w:rFonts w:ascii="Courier New" w:hAnsi="Courier New" w:hint="default"/>
      </w:rPr>
    </w:lvl>
    <w:lvl w:ilvl="1" w:tplc="C2E4356E">
      <w:start w:val="1"/>
      <w:numFmt w:val="bullet"/>
      <w:lvlText w:val="o"/>
      <w:lvlJc w:val="left"/>
      <w:pPr>
        <w:ind w:left="1724" w:hanging="360"/>
      </w:pPr>
      <w:rPr>
        <w:rFonts w:ascii="Courier New" w:hAnsi="Courier New" w:cs="Courier New" w:hint="default"/>
      </w:rPr>
    </w:lvl>
    <w:lvl w:ilvl="2" w:tplc="31002C82">
      <w:start w:val="1"/>
      <w:numFmt w:val="bullet"/>
      <w:lvlText w:val=""/>
      <w:lvlJc w:val="left"/>
      <w:pPr>
        <w:ind w:left="2444" w:hanging="360"/>
      </w:pPr>
      <w:rPr>
        <w:rFonts w:ascii="Wingdings" w:hAnsi="Wingdings" w:hint="default"/>
      </w:rPr>
    </w:lvl>
    <w:lvl w:ilvl="3" w:tplc="EFB80310">
      <w:start w:val="1"/>
      <w:numFmt w:val="bullet"/>
      <w:lvlText w:val=""/>
      <w:lvlJc w:val="left"/>
      <w:pPr>
        <w:ind w:left="3164" w:hanging="360"/>
      </w:pPr>
      <w:rPr>
        <w:rFonts w:ascii="Symbol" w:hAnsi="Symbol" w:hint="default"/>
      </w:rPr>
    </w:lvl>
    <w:lvl w:ilvl="4" w:tplc="D25CA8EA">
      <w:start w:val="1"/>
      <w:numFmt w:val="bullet"/>
      <w:lvlText w:val="o"/>
      <w:lvlJc w:val="left"/>
      <w:pPr>
        <w:ind w:left="3884" w:hanging="360"/>
      </w:pPr>
      <w:rPr>
        <w:rFonts w:ascii="Courier New" w:hAnsi="Courier New" w:cs="Courier New" w:hint="default"/>
      </w:rPr>
    </w:lvl>
    <w:lvl w:ilvl="5" w:tplc="C8C25B76">
      <w:start w:val="1"/>
      <w:numFmt w:val="bullet"/>
      <w:lvlText w:val=""/>
      <w:lvlJc w:val="left"/>
      <w:pPr>
        <w:ind w:left="4604" w:hanging="360"/>
      </w:pPr>
      <w:rPr>
        <w:rFonts w:ascii="Wingdings" w:hAnsi="Wingdings" w:hint="default"/>
      </w:rPr>
    </w:lvl>
    <w:lvl w:ilvl="6" w:tplc="22CC32E6">
      <w:start w:val="1"/>
      <w:numFmt w:val="bullet"/>
      <w:lvlText w:val=""/>
      <w:lvlJc w:val="left"/>
      <w:pPr>
        <w:ind w:left="5324" w:hanging="360"/>
      </w:pPr>
      <w:rPr>
        <w:rFonts w:ascii="Symbol" w:hAnsi="Symbol" w:hint="default"/>
      </w:rPr>
    </w:lvl>
    <w:lvl w:ilvl="7" w:tplc="EA90295A">
      <w:start w:val="1"/>
      <w:numFmt w:val="bullet"/>
      <w:lvlText w:val="o"/>
      <w:lvlJc w:val="left"/>
      <w:pPr>
        <w:ind w:left="6044" w:hanging="360"/>
      </w:pPr>
      <w:rPr>
        <w:rFonts w:ascii="Courier New" w:hAnsi="Courier New" w:cs="Courier New" w:hint="default"/>
      </w:rPr>
    </w:lvl>
    <w:lvl w:ilvl="8" w:tplc="E3A0F168">
      <w:start w:val="1"/>
      <w:numFmt w:val="bullet"/>
      <w:lvlText w:val=""/>
      <w:lvlJc w:val="left"/>
      <w:pPr>
        <w:ind w:left="6764" w:hanging="360"/>
      </w:pPr>
      <w:rPr>
        <w:rFonts w:ascii="Wingdings" w:hAnsi="Wingdings" w:hint="default"/>
      </w:rPr>
    </w:lvl>
  </w:abstractNum>
  <w:abstractNum w:abstractNumId="121">
    <w:nsid w:val="63917D14"/>
    <w:multiLevelType w:val="hybridMultilevel"/>
    <w:tmpl w:val="5F14D560"/>
    <w:lvl w:ilvl="0" w:tplc="5762B1E0">
      <w:start w:val="1"/>
      <w:numFmt w:val="none"/>
      <w:pStyle w:val="OTRNameFigure"/>
      <w:lvlText w:val="Рисунок"/>
      <w:lvlJc w:val="left"/>
      <w:pPr>
        <w:tabs>
          <w:tab w:val="num" w:pos="720"/>
        </w:tabs>
        <w:ind w:left="720" w:hanging="360"/>
      </w:pPr>
      <w:rPr>
        <w:rFonts w:ascii="Times New Roman" w:hAnsi="Times New Roman" w:cs="Times New Roman" w:hint="default"/>
        <w:bCs w:val="0"/>
        <w:i w:val="0"/>
        <w:iCs w:val="0"/>
        <w:caps w:val="0"/>
        <w:smallCaps w:val="0"/>
        <w:strike w:val="0"/>
        <w:vanish w:val="0"/>
        <w:color w:val="000000"/>
        <w:spacing w:val="0"/>
        <w:position w:val="0"/>
        <w:u w:val="none"/>
        <w:vertAlign w:val="baseline"/>
      </w:rPr>
    </w:lvl>
    <w:lvl w:ilvl="1" w:tplc="581CBA8E">
      <w:start w:val="1"/>
      <w:numFmt w:val="lowerLetter"/>
      <w:lvlText w:val="%2."/>
      <w:lvlJc w:val="left"/>
      <w:pPr>
        <w:tabs>
          <w:tab w:val="num" w:pos="1440"/>
        </w:tabs>
        <w:ind w:left="1440" w:hanging="360"/>
      </w:pPr>
    </w:lvl>
    <w:lvl w:ilvl="2" w:tplc="4A68F5FE">
      <w:start w:val="1"/>
      <w:numFmt w:val="lowerRoman"/>
      <w:lvlText w:val="%3."/>
      <w:lvlJc w:val="right"/>
      <w:pPr>
        <w:tabs>
          <w:tab w:val="num" w:pos="2160"/>
        </w:tabs>
        <w:ind w:left="2160" w:hanging="180"/>
      </w:pPr>
    </w:lvl>
    <w:lvl w:ilvl="3" w:tplc="A9F00234">
      <w:start w:val="1"/>
      <w:numFmt w:val="decimal"/>
      <w:lvlText w:val="%4."/>
      <w:lvlJc w:val="left"/>
      <w:pPr>
        <w:tabs>
          <w:tab w:val="num" w:pos="2880"/>
        </w:tabs>
        <w:ind w:left="2880" w:hanging="360"/>
      </w:pPr>
    </w:lvl>
    <w:lvl w:ilvl="4" w:tplc="E640BBC2">
      <w:start w:val="1"/>
      <w:numFmt w:val="lowerLetter"/>
      <w:lvlText w:val="%5."/>
      <w:lvlJc w:val="left"/>
      <w:pPr>
        <w:tabs>
          <w:tab w:val="num" w:pos="3600"/>
        </w:tabs>
        <w:ind w:left="3600" w:hanging="360"/>
      </w:pPr>
    </w:lvl>
    <w:lvl w:ilvl="5" w:tplc="BC86EDDE">
      <w:start w:val="1"/>
      <w:numFmt w:val="lowerRoman"/>
      <w:lvlText w:val="%6."/>
      <w:lvlJc w:val="right"/>
      <w:pPr>
        <w:tabs>
          <w:tab w:val="num" w:pos="4320"/>
        </w:tabs>
        <w:ind w:left="4320" w:hanging="180"/>
      </w:pPr>
    </w:lvl>
    <w:lvl w:ilvl="6" w:tplc="24DA32F8">
      <w:start w:val="1"/>
      <w:numFmt w:val="decimal"/>
      <w:lvlText w:val="%7."/>
      <w:lvlJc w:val="left"/>
      <w:pPr>
        <w:tabs>
          <w:tab w:val="num" w:pos="5040"/>
        </w:tabs>
        <w:ind w:left="5040" w:hanging="360"/>
      </w:pPr>
    </w:lvl>
    <w:lvl w:ilvl="7" w:tplc="B5842904">
      <w:start w:val="1"/>
      <w:numFmt w:val="lowerLetter"/>
      <w:lvlText w:val="%8."/>
      <w:lvlJc w:val="left"/>
      <w:pPr>
        <w:tabs>
          <w:tab w:val="num" w:pos="5760"/>
        </w:tabs>
        <w:ind w:left="5760" w:hanging="360"/>
      </w:pPr>
    </w:lvl>
    <w:lvl w:ilvl="8" w:tplc="FE34CFA8">
      <w:start w:val="1"/>
      <w:numFmt w:val="lowerRoman"/>
      <w:lvlText w:val="%9."/>
      <w:lvlJc w:val="right"/>
      <w:pPr>
        <w:tabs>
          <w:tab w:val="num" w:pos="6480"/>
        </w:tabs>
        <w:ind w:left="6480" w:hanging="180"/>
      </w:pPr>
    </w:lvl>
  </w:abstractNum>
  <w:abstractNum w:abstractNumId="122">
    <w:nsid w:val="64C11C89"/>
    <w:multiLevelType w:val="hybridMultilevel"/>
    <w:tmpl w:val="C68C64D8"/>
    <w:lvl w:ilvl="0" w:tplc="3D4883B6">
      <w:start w:val="1"/>
      <w:numFmt w:val="bullet"/>
      <w:lvlText w:val=""/>
      <w:lvlJc w:val="left"/>
      <w:pPr>
        <w:ind w:left="720" w:hanging="360"/>
      </w:pPr>
      <w:rPr>
        <w:rFonts w:ascii="Symbol" w:hAnsi="Symbol" w:hint="default"/>
      </w:rPr>
    </w:lvl>
    <w:lvl w:ilvl="1" w:tplc="4BAA3D0E">
      <w:start w:val="1"/>
      <w:numFmt w:val="bullet"/>
      <w:lvlText w:val="o"/>
      <w:lvlJc w:val="left"/>
      <w:pPr>
        <w:ind w:left="1440" w:hanging="360"/>
      </w:pPr>
      <w:rPr>
        <w:rFonts w:ascii="Courier New" w:hAnsi="Courier New" w:cs="Courier New" w:hint="default"/>
      </w:rPr>
    </w:lvl>
    <w:lvl w:ilvl="2" w:tplc="97D68F4C">
      <w:start w:val="1"/>
      <w:numFmt w:val="bullet"/>
      <w:lvlText w:val=""/>
      <w:lvlJc w:val="left"/>
      <w:pPr>
        <w:ind w:left="2160" w:hanging="360"/>
      </w:pPr>
      <w:rPr>
        <w:rFonts w:ascii="Wingdings" w:hAnsi="Wingdings" w:hint="default"/>
      </w:rPr>
    </w:lvl>
    <w:lvl w:ilvl="3" w:tplc="C964BC34">
      <w:start w:val="1"/>
      <w:numFmt w:val="bullet"/>
      <w:lvlText w:val=""/>
      <w:lvlJc w:val="left"/>
      <w:pPr>
        <w:ind w:left="2880" w:hanging="360"/>
      </w:pPr>
      <w:rPr>
        <w:rFonts w:ascii="Symbol" w:hAnsi="Symbol" w:hint="default"/>
      </w:rPr>
    </w:lvl>
    <w:lvl w:ilvl="4" w:tplc="A8B22508">
      <w:start w:val="1"/>
      <w:numFmt w:val="bullet"/>
      <w:lvlText w:val="o"/>
      <w:lvlJc w:val="left"/>
      <w:pPr>
        <w:ind w:left="3600" w:hanging="360"/>
      </w:pPr>
      <w:rPr>
        <w:rFonts w:ascii="Courier New" w:hAnsi="Courier New" w:cs="Courier New" w:hint="default"/>
      </w:rPr>
    </w:lvl>
    <w:lvl w:ilvl="5" w:tplc="0F429BCC">
      <w:start w:val="1"/>
      <w:numFmt w:val="bullet"/>
      <w:lvlText w:val=""/>
      <w:lvlJc w:val="left"/>
      <w:pPr>
        <w:ind w:left="4320" w:hanging="360"/>
      </w:pPr>
      <w:rPr>
        <w:rFonts w:ascii="Wingdings" w:hAnsi="Wingdings" w:hint="default"/>
      </w:rPr>
    </w:lvl>
    <w:lvl w:ilvl="6" w:tplc="527CBBD4">
      <w:start w:val="1"/>
      <w:numFmt w:val="bullet"/>
      <w:lvlText w:val=""/>
      <w:lvlJc w:val="left"/>
      <w:pPr>
        <w:ind w:left="5040" w:hanging="360"/>
      </w:pPr>
      <w:rPr>
        <w:rFonts w:ascii="Symbol" w:hAnsi="Symbol" w:hint="default"/>
      </w:rPr>
    </w:lvl>
    <w:lvl w:ilvl="7" w:tplc="4956DD18">
      <w:start w:val="1"/>
      <w:numFmt w:val="bullet"/>
      <w:lvlText w:val="o"/>
      <w:lvlJc w:val="left"/>
      <w:pPr>
        <w:ind w:left="5760" w:hanging="360"/>
      </w:pPr>
      <w:rPr>
        <w:rFonts w:ascii="Courier New" w:hAnsi="Courier New" w:cs="Courier New" w:hint="default"/>
      </w:rPr>
    </w:lvl>
    <w:lvl w:ilvl="8" w:tplc="6FAEE492">
      <w:start w:val="1"/>
      <w:numFmt w:val="bullet"/>
      <w:lvlText w:val=""/>
      <w:lvlJc w:val="left"/>
      <w:pPr>
        <w:ind w:left="6480" w:hanging="360"/>
      </w:pPr>
      <w:rPr>
        <w:rFonts w:ascii="Wingdings" w:hAnsi="Wingdings" w:hint="default"/>
      </w:rPr>
    </w:lvl>
  </w:abstractNum>
  <w:abstractNum w:abstractNumId="123">
    <w:nsid w:val="65373499"/>
    <w:multiLevelType w:val="hybridMultilevel"/>
    <w:tmpl w:val="1ACEBDFA"/>
    <w:lvl w:ilvl="0" w:tplc="A412B280">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124">
    <w:nsid w:val="657C1E5C"/>
    <w:multiLevelType w:val="hybridMultilevel"/>
    <w:tmpl w:val="F21E10B8"/>
    <w:lvl w:ilvl="0" w:tplc="A9048DD4">
      <w:start w:val="1"/>
      <w:numFmt w:val="bullet"/>
      <w:pStyle w:val="a6"/>
      <w:lvlText w:val="­"/>
      <w:lvlJc w:val="left"/>
      <w:pPr>
        <w:tabs>
          <w:tab w:val="num" w:pos="1134"/>
        </w:tabs>
        <w:ind w:left="1134" w:hanging="283"/>
      </w:pPr>
      <w:rPr>
        <w:rFonts w:ascii="Courier New" w:hAnsi="Courier New" w:hint="default"/>
      </w:rPr>
    </w:lvl>
    <w:lvl w:ilvl="1" w:tplc="92A42CE6">
      <w:start w:val="1"/>
      <w:numFmt w:val="bullet"/>
      <w:lvlText w:val="o"/>
      <w:lvlJc w:val="left"/>
      <w:pPr>
        <w:ind w:left="2149" w:hanging="360"/>
      </w:pPr>
      <w:rPr>
        <w:rFonts w:ascii="Courier New" w:hAnsi="Courier New" w:hint="default"/>
      </w:rPr>
    </w:lvl>
    <w:lvl w:ilvl="2" w:tplc="D2F6B8EA">
      <w:start w:val="1"/>
      <w:numFmt w:val="bullet"/>
      <w:lvlText w:val=""/>
      <w:lvlJc w:val="left"/>
      <w:pPr>
        <w:ind w:left="2869" w:hanging="360"/>
      </w:pPr>
      <w:rPr>
        <w:rFonts w:ascii="Wingdings" w:hAnsi="Wingdings" w:hint="default"/>
      </w:rPr>
    </w:lvl>
    <w:lvl w:ilvl="3" w:tplc="A2F053C8">
      <w:start w:val="1"/>
      <w:numFmt w:val="bullet"/>
      <w:lvlText w:val=""/>
      <w:lvlJc w:val="left"/>
      <w:pPr>
        <w:ind w:left="3589" w:hanging="360"/>
      </w:pPr>
      <w:rPr>
        <w:rFonts w:ascii="Symbol" w:hAnsi="Symbol" w:hint="default"/>
      </w:rPr>
    </w:lvl>
    <w:lvl w:ilvl="4" w:tplc="8B3C0494">
      <w:start w:val="1"/>
      <w:numFmt w:val="bullet"/>
      <w:lvlText w:val="o"/>
      <w:lvlJc w:val="left"/>
      <w:pPr>
        <w:ind w:left="4309" w:hanging="360"/>
      </w:pPr>
      <w:rPr>
        <w:rFonts w:ascii="Courier New" w:hAnsi="Courier New" w:hint="default"/>
      </w:rPr>
    </w:lvl>
    <w:lvl w:ilvl="5" w:tplc="F1C0F24A">
      <w:start w:val="1"/>
      <w:numFmt w:val="bullet"/>
      <w:lvlText w:val=""/>
      <w:lvlJc w:val="left"/>
      <w:pPr>
        <w:ind w:left="5029" w:hanging="360"/>
      </w:pPr>
      <w:rPr>
        <w:rFonts w:ascii="Wingdings" w:hAnsi="Wingdings" w:hint="default"/>
      </w:rPr>
    </w:lvl>
    <w:lvl w:ilvl="6" w:tplc="BEA6689C">
      <w:start w:val="1"/>
      <w:numFmt w:val="bullet"/>
      <w:lvlText w:val=""/>
      <w:lvlJc w:val="left"/>
      <w:pPr>
        <w:ind w:left="5749" w:hanging="360"/>
      </w:pPr>
      <w:rPr>
        <w:rFonts w:ascii="Symbol" w:hAnsi="Symbol" w:hint="default"/>
      </w:rPr>
    </w:lvl>
    <w:lvl w:ilvl="7" w:tplc="AABC749E">
      <w:start w:val="1"/>
      <w:numFmt w:val="bullet"/>
      <w:lvlText w:val="o"/>
      <w:lvlJc w:val="left"/>
      <w:pPr>
        <w:ind w:left="6469" w:hanging="360"/>
      </w:pPr>
      <w:rPr>
        <w:rFonts w:ascii="Courier New" w:hAnsi="Courier New" w:hint="default"/>
      </w:rPr>
    </w:lvl>
    <w:lvl w:ilvl="8" w:tplc="5A6AEF40">
      <w:start w:val="1"/>
      <w:numFmt w:val="bullet"/>
      <w:lvlText w:val=""/>
      <w:lvlJc w:val="left"/>
      <w:pPr>
        <w:ind w:left="7189" w:hanging="360"/>
      </w:pPr>
      <w:rPr>
        <w:rFonts w:ascii="Wingdings" w:hAnsi="Wingdings" w:hint="default"/>
      </w:rPr>
    </w:lvl>
  </w:abstractNum>
  <w:abstractNum w:abstractNumId="125">
    <w:nsid w:val="65F64EBB"/>
    <w:multiLevelType w:val="hybridMultilevel"/>
    <w:tmpl w:val="4638623A"/>
    <w:lvl w:ilvl="0" w:tplc="B11E6D18">
      <w:start w:val="1"/>
      <w:numFmt w:val="bullet"/>
      <w:pStyle w:val="Bullet"/>
      <w:lvlText w:val="-"/>
      <w:lvlJc w:val="left"/>
      <w:pPr>
        <w:tabs>
          <w:tab w:val="num" w:pos="3246"/>
        </w:tabs>
        <w:ind w:left="3246" w:hanging="360"/>
      </w:pPr>
      <w:rPr>
        <w:rFonts w:hAnsi="Courier New" w:hint="default"/>
      </w:rPr>
    </w:lvl>
    <w:lvl w:ilvl="1" w:tplc="D2DE124E">
      <w:start w:val="1"/>
      <w:numFmt w:val="bullet"/>
      <w:lvlText w:val="o"/>
      <w:lvlJc w:val="left"/>
      <w:pPr>
        <w:tabs>
          <w:tab w:val="num" w:pos="1680"/>
        </w:tabs>
        <w:ind w:left="1680" w:hanging="360"/>
      </w:pPr>
      <w:rPr>
        <w:rFonts w:ascii="Courier New" w:hAnsi="Courier New" w:hint="default"/>
      </w:rPr>
    </w:lvl>
    <w:lvl w:ilvl="2" w:tplc="A2B6A4F4">
      <w:start w:val="1"/>
      <w:numFmt w:val="bullet"/>
      <w:lvlText w:val=""/>
      <w:lvlJc w:val="left"/>
      <w:pPr>
        <w:tabs>
          <w:tab w:val="num" w:pos="2400"/>
        </w:tabs>
        <w:ind w:left="2400" w:hanging="360"/>
      </w:pPr>
      <w:rPr>
        <w:rFonts w:ascii="Wingdings" w:hAnsi="Wingdings" w:hint="default"/>
      </w:rPr>
    </w:lvl>
    <w:lvl w:ilvl="3" w:tplc="B5C84E6E">
      <w:start w:val="1"/>
      <w:numFmt w:val="bullet"/>
      <w:lvlText w:val=""/>
      <w:lvlJc w:val="left"/>
      <w:pPr>
        <w:tabs>
          <w:tab w:val="num" w:pos="3120"/>
        </w:tabs>
        <w:ind w:left="3120" w:hanging="360"/>
      </w:pPr>
      <w:rPr>
        <w:rFonts w:ascii="Symbol" w:hAnsi="Symbol" w:hint="default"/>
      </w:rPr>
    </w:lvl>
    <w:lvl w:ilvl="4" w:tplc="21BECCA4">
      <w:start w:val="1"/>
      <w:numFmt w:val="bullet"/>
      <w:lvlText w:val="o"/>
      <w:lvlJc w:val="left"/>
      <w:pPr>
        <w:tabs>
          <w:tab w:val="num" w:pos="3840"/>
        </w:tabs>
        <w:ind w:left="3840" w:hanging="360"/>
      </w:pPr>
      <w:rPr>
        <w:rFonts w:ascii="Courier New" w:hAnsi="Courier New" w:hint="default"/>
      </w:rPr>
    </w:lvl>
    <w:lvl w:ilvl="5" w:tplc="3EA6D764">
      <w:start w:val="1"/>
      <w:numFmt w:val="bullet"/>
      <w:lvlText w:val=""/>
      <w:lvlJc w:val="left"/>
      <w:pPr>
        <w:tabs>
          <w:tab w:val="num" w:pos="4560"/>
        </w:tabs>
        <w:ind w:left="4560" w:hanging="360"/>
      </w:pPr>
      <w:rPr>
        <w:rFonts w:ascii="Wingdings" w:hAnsi="Wingdings" w:hint="default"/>
      </w:rPr>
    </w:lvl>
    <w:lvl w:ilvl="6" w:tplc="9C283344">
      <w:start w:val="1"/>
      <w:numFmt w:val="bullet"/>
      <w:lvlText w:val=""/>
      <w:lvlJc w:val="left"/>
      <w:pPr>
        <w:tabs>
          <w:tab w:val="num" w:pos="5280"/>
        </w:tabs>
        <w:ind w:left="5280" w:hanging="360"/>
      </w:pPr>
      <w:rPr>
        <w:rFonts w:ascii="Symbol" w:hAnsi="Symbol" w:hint="default"/>
      </w:rPr>
    </w:lvl>
    <w:lvl w:ilvl="7" w:tplc="3C6A30B6">
      <w:start w:val="1"/>
      <w:numFmt w:val="bullet"/>
      <w:lvlText w:val="o"/>
      <w:lvlJc w:val="left"/>
      <w:pPr>
        <w:tabs>
          <w:tab w:val="num" w:pos="6000"/>
        </w:tabs>
        <w:ind w:left="6000" w:hanging="360"/>
      </w:pPr>
      <w:rPr>
        <w:rFonts w:ascii="Courier New" w:hAnsi="Courier New" w:hint="default"/>
      </w:rPr>
    </w:lvl>
    <w:lvl w:ilvl="8" w:tplc="17429976">
      <w:start w:val="1"/>
      <w:numFmt w:val="bullet"/>
      <w:lvlText w:val=""/>
      <w:lvlJc w:val="left"/>
      <w:pPr>
        <w:tabs>
          <w:tab w:val="num" w:pos="6720"/>
        </w:tabs>
        <w:ind w:left="6720" w:hanging="360"/>
      </w:pPr>
      <w:rPr>
        <w:rFonts w:ascii="Wingdings" w:hAnsi="Wingdings" w:hint="default"/>
      </w:rPr>
    </w:lvl>
  </w:abstractNum>
  <w:abstractNum w:abstractNumId="126">
    <w:nsid w:val="663E2752"/>
    <w:multiLevelType w:val="hybridMultilevel"/>
    <w:tmpl w:val="42B46804"/>
    <w:lvl w:ilvl="0" w:tplc="B9A234CE">
      <w:start w:val="1"/>
      <w:numFmt w:val="none"/>
      <w:pStyle w:val="GOSTFigName"/>
      <w:lvlText w:val="Рисунок "/>
      <w:lvlJc w:val="left"/>
      <w:pPr>
        <w:tabs>
          <w:tab w:val="num" w:pos="0"/>
        </w:tabs>
        <w:ind w:left="0" w:firstLine="0"/>
      </w:pPr>
      <w:rPr>
        <w:rFonts w:ascii="Times New Roman" w:hAnsi="Times New Roman" w:cs="Times New Roman" w:hint="default"/>
        <w:b/>
        <w:bCs w:val="0"/>
        <w:i w:val="0"/>
        <w:iCs w:val="0"/>
        <w:caps w:val="0"/>
        <w:smallCaps w:val="0"/>
        <w:strike w:val="0"/>
        <w:vanish w:val="0"/>
        <w:color w:val="000000"/>
        <w:spacing w:val="0"/>
        <w:position w:val="0"/>
        <w:sz w:val="24"/>
        <w:szCs w:val="0"/>
        <w:u w:val="none"/>
        <w:vertAlign w:val="baseline"/>
      </w:rPr>
    </w:lvl>
    <w:lvl w:ilvl="1" w:tplc="1F80E4F4">
      <w:start w:val="1"/>
      <w:numFmt w:val="lowerLetter"/>
      <w:lvlText w:val="%2."/>
      <w:lvlJc w:val="left"/>
      <w:pPr>
        <w:tabs>
          <w:tab w:val="num" w:pos="1440"/>
        </w:tabs>
        <w:ind w:left="1440" w:hanging="360"/>
      </w:pPr>
    </w:lvl>
    <w:lvl w:ilvl="2" w:tplc="EEBAD706">
      <w:start w:val="1"/>
      <w:numFmt w:val="lowerRoman"/>
      <w:lvlText w:val="%3."/>
      <w:lvlJc w:val="right"/>
      <w:pPr>
        <w:tabs>
          <w:tab w:val="num" w:pos="2160"/>
        </w:tabs>
        <w:ind w:left="2160" w:hanging="180"/>
      </w:pPr>
    </w:lvl>
    <w:lvl w:ilvl="3" w:tplc="B188622E">
      <w:start w:val="1"/>
      <w:numFmt w:val="decimal"/>
      <w:lvlText w:val="%4."/>
      <w:lvlJc w:val="left"/>
      <w:pPr>
        <w:tabs>
          <w:tab w:val="num" w:pos="2880"/>
        </w:tabs>
        <w:ind w:left="2880" w:hanging="360"/>
      </w:pPr>
    </w:lvl>
    <w:lvl w:ilvl="4" w:tplc="FAB81BCC">
      <w:start w:val="1"/>
      <w:numFmt w:val="lowerLetter"/>
      <w:lvlText w:val="%5."/>
      <w:lvlJc w:val="left"/>
      <w:pPr>
        <w:tabs>
          <w:tab w:val="num" w:pos="3600"/>
        </w:tabs>
        <w:ind w:left="3600" w:hanging="360"/>
      </w:pPr>
    </w:lvl>
    <w:lvl w:ilvl="5" w:tplc="A16C4580">
      <w:start w:val="1"/>
      <w:numFmt w:val="lowerRoman"/>
      <w:lvlText w:val="%6."/>
      <w:lvlJc w:val="right"/>
      <w:pPr>
        <w:tabs>
          <w:tab w:val="num" w:pos="4320"/>
        </w:tabs>
        <w:ind w:left="4320" w:hanging="180"/>
      </w:pPr>
    </w:lvl>
    <w:lvl w:ilvl="6" w:tplc="AF9C8006">
      <w:start w:val="1"/>
      <w:numFmt w:val="decimal"/>
      <w:lvlText w:val="%7."/>
      <w:lvlJc w:val="left"/>
      <w:pPr>
        <w:tabs>
          <w:tab w:val="num" w:pos="5040"/>
        </w:tabs>
        <w:ind w:left="5040" w:hanging="360"/>
      </w:pPr>
    </w:lvl>
    <w:lvl w:ilvl="7" w:tplc="F510FCFC">
      <w:start w:val="1"/>
      <w:numFmt w:val="lowerLetter"/>
      <w:lvlText w:val="%8."/>
      <w:lvlJc w:val="left"/>
      <w:pPr>
        <w:tabs>
          <w:tab w:val="num" w:pos="5760"/>
        </w:tabs>
        <w:ind w:left="5760" w:hanging="360"/>
      </w:pPr>
    </w:lvl>
    <w:lvl w:ilvl="8" w:tplc="D1A8D396">
      <w:start w:val="1"/>
      <w:numFmt w:val="lowerRoman"/>
      <w:lvlText w:val="%9."/>
      <w:lvlJc w:val="right"/>
      <w:pPr>
        <w:tabs>
          <w:tab w:val="num" w:pos="6480"/>
        </w:tabs>
        <w:ind w:left="6480" w:hanging="180"/>
      </w:pPr>
    </w:lvl>
  </w:abstractNum>
  <w:abstractNum w:abstractNumId="127">
    <w:nsid w:val="683211B6"/>
    <w:multiLevelType w:val="hybridMultilevel"/>
    <w:tmpl w:val="72DC0614"/>
    <w:lvl w:ilvl="0" w:tplc="7F4AA0FA">
      <w:start w:val="1"/>
      <w:numFmt w:val="bullet"/>
      <w:pStyle w:val="EBListmark4"/>
      <w:lvlText w:val="–"/>
      <w:lvlJc w:val="left"/>
      <w:pPr>
        <w:ind w:left="2061" w:hanging="360"/>
      </w:pPr>
      <w:rPr>
        <w:rFonts w:ascii="Verdana" w:hAnsi="Verdana" w:hint="default"/>
        <w:b w:val="0"/>
        <w:i w:val="0"/>
        <w:caps w:val="0"/>
        <w:smallCaps w:val="0"/>
        <w:strike w:val="0"/>
        <w:vanish w:val="0"/>
        <w:color w:val="auto"/>
        <w:spacing w:val="0"/>
        <w:position w:val="0"/>
        <w:sz w:val="22"/>
        <w:u w:val="none"/>
        <w:vertAlign w:val="baseline"/>
      </w:rPr>
    </w:lvl>
    <w:lvl w:ilvl="1" w:tplc="27541A52">
      <w:start w:val="1"/>
      <w:numFmt w:val="bullet"/>
      <w:lvlText w:val="o"/>
      <w:lvlJc w:val="left"/>
      <w:pPr>
        <w:ind w:left="2858" w:hanging="360"/>
      </w:pPr>
      <w:rPr>
        <w:rFonts w:ascii="Courier New" w:hAnsi="Courier New" w:hint="default"/>
      </w:rPr>
    </w:lvl>
    <w:lvl w:ilvl="2" w:tplc="0DD872FE">
      <w:start w:val="1"/>
      <w:numFmt w:val="bullet"/>
      <w:lvlText w:val=""/>
      <w:lvlJc w:val="left"/>
      <w:pPr>
        <w:ind w:left="3578" w:hanging="360"/>
      </w:pPr>
      <w:rPr>
        <w:rFonts w:ascii="Wingdings" w:hAnsi="Wingdings" w:hint="default"/>
      </w:rPr>
    </w:lvl>
    <w:lvl w:ilvl="3" w:tplc="E2FC66A2">
      <w:start w:val="1"/>
      <w:numFmt w:val="bullet"/>
      <w:lvlText w:val=""/>
      <w:lvlJc w:val="left"/>
      <w:pPr>
        <w:ind w:left="4298" w:hanging="360"/>
      </w:pPr>
      <w:rPr>
        <w:rFonts w:ascii="Symbol" w:hAnsi="Symbol" w:hint="default"/>
      </w:rPr>
    </w:lvl>
    <w:lvl w:ilvl="4" w:tplc="D78A5E92">
      <w:start w:val="1"/>
      <w:numFmt w:val="bullet"/>
      <w:lvlText w:val="o"/>
      <w:lvlJc w:val="left"/>
      <w:pPr>
        <w:ind w:left="5018" w:hanging="360"/>
      </w:pPr>
      <w:rPr>
        <w:rFonts w:ascii="Courier New" w:hAnsi="Courier New" w:hint="default"/>
      </w:rPr>
    </w:lvl>
    <w:lvl w:ilvl="5" w:tplc="6644C0F0">
      <w:start w:val="1"/>
      <w:numFmt w:val="bullet"/>
      <w:lvlText w:val=""/>
      <w:lvlJc w:val="left"/>
      <w:pPr>
        <w:ind w:left="5738" w:hanging="360"/>
      </w:pPr>
      <w:rPr>
        <w:rFonts w:ascii="Wingdings" w:hAnsi="Wingdings" w:hint="default"/>
      </w:rPr>
    </w:lvl>
    <w:lvl w:ilvl="6" w:tplc="27A8BC32">
      <w:start w:val="1"/>
      <w:numFmt w:val="bullet"/>
      <w:lvlText w:val=""/>
      <w:lvlJc w:val="left"/>
      <w:pPr>
        <w:ind w:left="6458" w:hanging="360"/>
      </w:pPr>
      <w:rPr>
        <w:rFonts w:ascii="Symbol" w:hAnsi="Symbol" w:hint="default"/>
      </w:rPr>
    </w:lvl>
    <w:lvl w:ilvl="7" w:tplc="46824108">
      <w:start w:val="1"/>
      <w:numFmt w:val="bullet"/>
      <w:lvlText w:val="o"/>
      <w:lvlJc w:val="left"/>
      <w:pPr>
        <w:ind w:left="7178" w:hanging="360"/>
      </w:pPr>
      <w:rPr>
        <w:rFonts w:ascii="Courier New" w:hAnsi="Courier New" w:hint="default"/>
      </w:rPr>
    </w:lvl>
    <w:lvl w:ilvl="8" w:tplc="270EA46C">
      <w:start w:val="1"/>
      <w:numFmt w:val="bullet"/>
      <w:lvlText w:val=""/>
      <w:lvlJc w:val="left"/>
      <w:pPr>
        <w:ind w:left="7898" w:hanging="360"/>
      </w:pPr>
      <w:rPr>
        <w:rFonts w:ascii="Wingdings" w:hAnsi="Wingdings" w:hint="default"/>
      </w:rPr>
    </w:lvl>
  </w:abstractNum>
  <w:abstractNum w:abstractNumId="128">
    <w:nsid w:val="687643FA"/>
    <w:multiLevelType w:val="hybridMultilevel"/>
    <w:tmpl w:val="0A628E1E"/>
    <w:styleLink w:val="13"/>
    <w:lvl w:ilvl="0" w:tplc="BE4274AE">
      <w:start w:val="1"/>
      <w:numFmt w:val="decimal"/>
      <w:pStyle w:val="13"/>
      <w:lvlText w:val="%1."/>
      <w:lvlJc w:val="left"/>
      <w:pPr>
        <w:tabs>
          <w:tab w:val="num" w:pos="1428"/>
        </w:tabs>
        <w:ind w:left="1428" w:hanging="360"/>
      </w:pPr>
      <w:rPr>
        <w:sz w:val="24"/>
      </w:rPr>
    </w:lvl>
    <w:lvl w:ilvl="1" w:tplc="D4EE4C68">
      <w:start w:val="1"/>
      <w:numFmt w:val="lowerLetter"/>
      <w:lvlText w:val="%2."/>
      <w:lvlJc w:val="left"/>
      <w:pPr>
        <w:tabs>
          <w:tab w:val="num" w:pos="1440"/>
        </w:tabs>
        <w:ind w:left="1440" w:hanging="360"/>
      </w:pPr>
    </w:lvl>
    <w:lvl w:ilvl="2" w:tplc="86A4A6F2">
      <w:start w:val="1"/>
      <w:numFmt w:val="lowerRoman"/>
      <w:lvlText w:val="%3."/>
      <w:lvlJc w:val="right"/>
      <w:pPr>
        <w:tabs>
          <w:tab w:val="num" w:pos="2160"/>
        </w:tabs>
        <w:ind w:left="2160" w:hanging="180"/>
      </w:pPr>
    </w:lvl>
    <w:lvl w:ilvl="3" w:tplc="190675DA">
      <w:start w:val="1"/>
      <w:numFmt w:val="decimal"/>
      <w:lvlText w:val="%4."/>
      <w:lvlJc w:val="left"/>
      <w:pPr>
        <w:tabs>
          <w:tab w:val="num" w:pos="2880"/>
        </w:tabs>
        <w:ind w:left="2880" w:hanging="360"/>
      </w:pPr>
    </w:lvl>
    <w:lvl w:ilvl="4" w:tplc="99E6B00E">
      <w:start w:val="1"/>
      <w:numFmt w:val="lowerLetter"/>
      <w:lvlText w:val="%5."/>
      <w:lvlJc w:val="left"/>
      <w:pPr>
        <w:tabs>
          <w:tab w:val="num" w:pos="3600"/>
        </w:tabs>
        <w:ind w:left="3600" w:hanging="360"/>
      </w:pPr>
    </w:lvl>
    <w:lvl w:ilvl="5" w:tplc="B1BCECA8">
      <w:start w:val="1"/>
      <w:numFmt w:val="lowerRoman"/>
      <w:lvlText w:val="%6."/>
      <w:lvlJc w:val="right"/>
      <w:pPr>
        <w:tabs>
          <w:tab w:val="num" w:pos="4320"/>
        </w:tabs>
        <w:ind w:left="4320" w:hanging="180"/>
      </w:pPr>
    </w:lvl>
    <w:lvl w:ilvl="6" w:tplc="A0E4BD80">
      <w:start w:val="1"/>
      <w:numFmt w:val="decimal"/>
      <w:lvlText w:val="%7."/>
      <w:lvlJc w:val="left"/>
      <w:pPr>
        <w:tabs>
          <w:tab w:val="num" w:pos="5040"/>
        </w:tabs>
        <w:ind w:left="5040" w:hanging="360"/>
      </w:pPr>
    </w:lvl>
    <w:lvl w:ilvl="7" w:tplc="560C6DD4">
      <w:start w:val="1"/>
      <w:numFmt w:val="lowerLetter"/>
      <w:lvlText w:val="%8."/>
      <w:lvlJc w:val="left"/>
      <w:pPr>
        <w:tabs>
          <w:tab w:val="num" w:pos="5760"/>
        </w:tabs>
        <w:ind w:left="5760" w:hanging="360"/>
      </w:pPr>
    </w:lvl>
    <w:lvl w:ilvl="8" w:tplc="F8D0EC2E">
      <w:start w:val="1"/>
      <w:numFmt w:val="lowerRoman"/>
      <w:lvlText w:val="%9."/>
      <w:lvlJc w:val="right"/>
      <w:pPr>
        <w:tabs>
          <w:tab w:val="num" w:pos="6480"/>
        </w:tabs>
        <w:ind w:left="6480" w:hanging="180"/>
      </w:pPr>
    </w:lvl>
  </w:abstractNum>
  <w:abstractNum w:abstractNumId="129">
    <w:nsid w:val="687770B7"/>
    <w:multiLevelType w:val="multilevel"/>
    <w:tmpl w:val="43464466"/>
    <w:styleLink w:val="14"/>
    <w:lvl w:ilvl="0">
      <w:start w:val="1"/>
      <w:numFmt w:val="upperRoman"/>
      <w:pStyle w:val="14"/>
      <w:lvlText w:val="Статья %1."/>
      <w:lvlJc w:val="left"/>
      <w:pPr>
        <w:tabs>
          <w:tab w:val="num" w:pos="1440"/>
        </w:tabs>
        <w:ind w:left="0" w:firstLine="0"/>
      </w:pPr>
    </w:lvl>
    <w:lvl w:ilvl="1">
      <w:start w:val="1"/>
      <w:numFmt w:val="decimalZero"/>
      <w:isLgl/>
      <w:lvlText w:val="Раздел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30">
    <w:nsid w:val="68BD7732"/>
    <w:multiLevelType w:val="hybridMultilevel"/>
    <w:tmpl w:val="21AE7A14"/>
    <w:lvl w:ilvl="0" w:tplc="ADD2EB54">
      <w:start w:val="1"/>
      <w:numFmt w:val="bullet"/>
      <w:pStyle w:val="ASFKListmark4"/>
      <w:lvlText w:val=""/>
      <w:lvlJc w:val="left"/>
      <w:pPr>
        <w:tabs>
          <w:tab w:val="num" w:pos="1701"/>
        </w:tabs>
        <w:ind w:left="1701" w:hanging="283"/>
      </w:pPr>
      <w:rPr>
        <w:rFonts w:ascii="Symbol" w:hAnsi="Symbol" w:hint="default"/>
      </w:rPr>
    </w:lvl>
    <w:lvl w:ilvl="1" w:tplc="A97A5E20">
      <w:start w:val="1"/>
      <w:numFmt w:val="bullet"/>
      <w:lvlText w:val="o"/>
      <w:lvlJc w:val="left"/>
      <w:pPr>
        <w:tabs>
          <w:tab w:val="num" w:pos="1440"/>
        </w:tabs>
        <w:ind w:left="1440" w:hanging="360"/>
      </w:pPr>
      <w:rPr>
        <w:rFonts w:ascii="Courier New" w:hAnsi="Courier New" w:cs="Courier New" w:hint="default"/>
      </w:rPr>
    </w:lvl>
    <w:lvl w:ilvl="2" w:tplc="49B643A4">
      <w:start w:val="1"/>
      <w:numFmt w:val="bullet"/>
      <w:lvlText w:val=""/>
      <w:lvlJc w:val="left"/>
      <w:pPr>
        <w:tabs>
          <w:tab w:val="num" w:pos="2160"/>
        </w:tabs>
        <w:ind w:left="2160" w:hanging="360"/>
      </w:pPr>
      <w:rPr>
        <w:rFonts w:ascii="Wingdings" w:hAnsi="Wingdings" w:hint="default"/>
      </w:rPr>
    </w:lvl>
    <w:lvl w:ilvl="3" w:tplc="79F8C3D0">
      <w:start w:val="1"/>
      <w:numFmt w:val="bullet"/>
      <w:lvlText w:val=""/>
      <w:lvlJc w:val="left"/>
      <w:pPr>
        <w:tabs>
          <w:tab w:val="num" w:pos="2880"/>
        </w:tabs>
        <w:ind w:left="2880" w:hanging="360"/>
      </w:pPr>
      <w:rPr>
        <w:rFonts w:ascii="Symbol" w:hAnsi="Symbol" w:hint="default"/>
      </w:rPr>
    </w:lvl>
    <w:lvl w:ilvl="4" w:tplc="B352F8E0">
      <w:start w:val="1"/>
      <w:numFmt w:val="bullet"/>
      <w:lvlText w:val="o"/>
      <w:lvlJc w:val="left"/>
      <w:pPr>
        <w:tabs>
          <w:tab w:val="num" w:pos="3600"/>
        </w:tabs>
        <w:ind w:left="3600" w:hanging="360"/>
      </w:pPr>
      <w:rPr>
        <w:rFonts w:ascii="Courier New" w:hAnsi="Courier New" w:cs="Courier New" w:hint="default"/>
      </w:rPr>
    </w:lvl>
    <w:lvl w:ilvl="5" w:tplc="562C2C64">
      <w:start w:val="1"/>
      <w:numFmt w:val="bullet"/>
      <w:lvlText w:val=""/>
      <w:lvlJc w:val="left"/>
      <w:pPr>
        <w:tabs>
          <w:tab w:val="num" w:pos="4320"/>
        </w:tabs>
        <w:ind w:left="4320" w:hanging="360"/>
      </w:pPr>
      <w:rPr>
        <w:rFonts w:ascii="Wingdings" w:hAnsi="Wingdings" w:hint="default"/>
      </w:rPr>
    </w:lvl>
    <w:lvl w:ilvl="6" w:tplc="3EDE3A78">
      <w:start w:val="1"/>
      <w:numFmt w:val="bullet"/>
      <w:lvlText w:val=""/>
      <w:lvlJc w:val="left"/>
      <w:pPr>
        <w:tabs>
          <w:tab w:val="num" w:pos="5040"/>
        </w:tabs>
        <w:ind w:left="5040" w:hanging="360"/>
      </w:pPr>
      <w:rPr>
        <w:rFonts w:ascii="Symbol" w:hAnsi="Symbol" w:hint="default"/>
      </w:rPr>
    </w:lvl>
    <w:lvl w:ilvl="7" w:tplc="8C365612">
      <w:start w:val="1"/>
      <w:numFmt w:val="bullet"/>
      <w:lvlText w:val="o"/>
      <w:lvlJc w:val="left"/>
      <w:pPr>
        <w:tabs>
          <w:tab w:val="num" w:pos="5760"/>
        </w:tabs>
        <w:ind w:left="5760" w:hanging="360"/>
      </w:pPr>
      <w:rPr>
        <w:rFonts w:ascii="Courier New" w:hAnsi="Courier New" w:cs="Courier New" w:hint="default"/>
      </w:rPr>
    </w:lvl>
    <w:lvl w:ilvl="8" w:tplc="6422DC4C">
      <w:start w:val="1"/>
      <w:numFmt w:val="bullet"/>
      <w:lvlText w:val=""/>
      <w:lvlJc w:val="left"/>
      <w:pPr>
        <w:tabs>
          <w:tab w:val="num" w:pos="6480"/>
        </w:tabs>
        <w:ind w:left="6480" w:hanging="360"/>
      </w:pPr>
      <w:rPr>
        <w:rFonts w:ascii="Wingdings" w:hAnsi="Wingdings" w:hint="default"/>
      </w:rPr>
    </w:lvl>
  </w:abstractNum>
  <w:abstractNum w:abstractNumId="131">
    <w:nsid w:val="68CA501A"/>
    <w:multiLevelType w:val="hybridMultilevel"/>
    <w:tmpl w:val="FE3252D2"/>
    <w:lvl w:ilvl="0" w:tplc="A412B280">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132">
    <w:nsid w:val="68E13F98"/>
    <w:multiLevelType w:val="hybridMultilevel"/>
    <w:tmpl w:val="B9E62372"/>
    <w:lvl w:ilvl="0" w:tplc="493AA340">
      <w:start w:val="1"/>
      <w:numFmt w:val="bullet"/>
      <w:lvlText w:val=""/>
      <w:lvlJc w:val="left"/>
      <w:pPr>
        <w:ind w:left="1287" w:hanging="360"/>
      </w:pPr>
      <w:rPr>
        <w:rFonts w:ascii="Symbol" w:hAnsi="Symbol" w:hint="default"/>
      </w:rPr>
    </w:lvl>
    <w:lvl w:ilvl="1" w:tplc="48A43962">
      <w:start w:val="1"/>
      <w:numFmt w:val="bullet"/>
      <w:lvlText w:val="o"/>
      <w:lvlJc w:val="left"/>
      <w:pPr>
        <w:ind w:left="2007" w:hanging="360"/>
      </w:pPr>
      <w:rPr>
        <w:rFonts w:ascii="Courier New" w:hAnsi="Courier New" w:cs="Courier New" w:hint="default"/>
      </w:rPr>
    </w:lvl>
    <w:lvl w:ilvl="2" w:tplc="B39E2372">
      <w:start w:val="1"/>
      <w:numFmt w:val="bullet"/>
      <w:lvlText w:val=""/>
      <w:lvlJc w:val="left"/>
      <w:pPr>
        <w:ind w:left="2727" w:hanging="360"/>
      </w:pPr>
      <w:rPr>
        <w:rFonts w:ascii="Wingdings" w:hAnsi="Wingdings" w:hint="default"/>
      </w:rPr>
    </w:lvl>
    <w:lvl w:ilvl="3" w:tplc="596A9434">
      <w:start w:val="1"/>
      <w:numFmt w:val="bullet"/>
      <w:lvlText w:val=""/>
      <w:lvlJc w:val="left"/>
      <w:pPr>
        <w:ind w:left="3447" w:hanging="360"/>
      </w:pPr>
      <w:rPr>
        <w:rFonts w:ascii="Symbol" w:hAnsi="Symbol" w:hint="default"/>
      </w:rPr>
    </w:lvl>
    <w:lvl w:ilvl="4" w:tplc="24CAAF64">
      <w:start w:val="1"/>
      <w:numFmt w:val="bullet"/>
      <w:lvlText w:val="o"/>
      <w:lvlJc w:val="left"/>
      <w:pPr>
        <w:ind w:left="4167" w:hanging="360"/>
      </w:pPr>
      <w:rPr>
        <w:rFonts w:ascii="Courier New" w:hAnsi="Courier New" w:cs="Courier New" w:hint="default"/>
      </w:rPr>
    </w:lvl>
    <w:lvl w:ilvl="5" w:tplc="249841D2">
      <w:start w:val="1"/>
      <w:numFmt w:val="bullet"/>
      <w:lvlText w:val=""/>
      <w:lvlJc w:val="left"/>
      <w:pPr>
        <w:ind w:left="4887" w:hanging="360"/>
      </w:pPr>
      <w:rPr>
        <w:rFonts w:ascii="Wingdings" w:hAnsi="Wingdings" w:hint="default"/>
      </w:rPr>
    </w:lvl>
    <w:lvl w:ilvl="6" w:tplc="6BD415E4">
      <w:start w:val="1"/>
      <w:numFmt w:val="bullet"/>
      <w:lvlText w:val=""/>
      <w:lvlJc w:val="left"/>
      <w:pPr>
        <w:ind w:left="5607" w:hanging="360"/>
      </w:pPr>
      <w:rPr>
        <w:rFonts w:ascii="Symbol" w:hAnsi="Symbol" w:hint="default"/>
      </w:rPr>
    </w:lvl>
    <w:lvl w:ilvl="7" w:tplc="49B403BE">
      <w:start w:val="1"/>
      <w:numFmt w:val="bullet"/>
      <w:lvlText w:val="o"/>
      <w:lvlJc w:val="left"/>
      <w:pPr>
        <w:ind w:left="6327" w:hanging="360"/>
      </w:pPr>
      <w:rPr>
        <w:rFonts w:ascii="Courier New" w:hAnsi="Courier New" w:cs="Courier New" w:hint="default"/>
      </w:rPr>
    </w:lvl>
    <w:lvl w:ilvl="8" w:tplc="082E4FF0">
      <w:start w:val="1"/>
      <w:numFmt w:val="bullet"/>
      <w:lvlText w:val=""/>
      <w:lvlJc w:val="left"/>
      <w:pPr>
        <w:ind w:left="7047" w:hanging="360"/>
      </w:pPr>
      <w:rPr>
        <w:rFonts w:ascii="Wingdings" w:hAnsi="Wingdings" w:hint="default"/>
      </w:rPr>
    </w:lvl>
  </w:abstractNum>
  <w:abstractNum w:abstractNumId="133">
    <w:nsid w:val="68E85B28"/>
    <w:multiLevelType w:val="hybridMultilevel"/>
    <w:tmpl w:val="0419001D"/>
    <w:styleLink w:val="310"/>
    <w:lvl w:ilvl="0" w:tplc="BE624216">
      <w:start w:val="5"/>
      <w:numFmt w:val="decimal"/>
      <w:pStyle w:val="310"/>
      <w:lvlText w:val="%1)"/>
      <w:lvlJc w:val="left"/>
      <w:pPr>
        <w:ind w:left="360" w:hanging="360"/>
      </w:pPr>
    </w:lvl>
    <w:lvl w:ilvl="1" w:tplc="AC6E6366">
      <w:start w:val="1"/>
      <w:numFmt w:val="lowerLetter"/>
      <w:lvlText w:val="%2)"/>
      <w:lvlJc w:val="left"/>
      <w:pPr>
        <w:ind w:left="720" w:hanging="360"/>
      </w:pPr>
    </w:lvl>
    <w:lvl w:ilvl="2" w:tplc="B3E8560C">
      <w:start w:val="1"/>
      <w:numFmt w:val="lowerRoman"/>
      <w:lvlText w:val="%3)"/>
      <w:lvlJc w:val="left"/>
      <w:pPr>
        <w:ind w:left="1080" w:hanging="360"/>
      </w:pPr>
    </w:lvl>
    <w:lvl w:ilvl="3" w:tplc="A57027CC">
      <w:start w:val="1"/>
      <w:numFmt w:val="decimal"/>
      <w:lvlText w:val="(%4)"/>
      <w:lvlJc w:val="left"/>
      <w:pPr>
        <w:ind w:left="1440" w:hanging="360"/>
      </w:pPr>
    </w:lvl>
    <w:lvl w:ilvl="4" w:tplc="18AE4340">
      <w:start w:val="1"/>
      <w:numFmt w:val="lowerLetter"/>
      <w:lvlText w:val="(%5)"/>
      <w:lvlJc w:val="left"/>
      <w:pPr>
        <w:ind w:left="1800" w:hanging="360"/>
      </w:pPr>
    </w:lvl>
    <w:lvl w:ilvl="5" w:tplc="54C2FC66">
      <w:start w:val="1"/>
      <w:numFmt w:val="lowerRoman"/>
      <w:lvlText w:val="(%6)"/>
      <w:lvlJc w:val="left"/>
      <w:pPr>
        <w:ind w:left="2160" w:hanging="360"/>
      </w:pPr>
    </w:lvl>
    <w:lvl w:ilvl="6" w:tplc="762E29C0">
      <w:start w:val="1"/>
      <w:numFmt w:val="decimal"/>
      <w:lvlText w:val="%7."/>
      <w:lvlJc w:val="left"/>
      <w:pPr>
        <w:ind w:left="2520" w:hanging="360"/>
      </w:pPr>
    </w:lvl>
    <w:lvl w:ilvl="7" w:tplc="2BD0170E">
      <w:start w:val="1"/>
      <w:numFmt w:val="lowerLetter"/>
      <w:lvlText w:val="%8."/>
      <w:lvlJc w:val="left"/>
      <w:pPr>
        <w:ind w:left="2880" w:hanging="360"/>
      </w:pPr>
    </w:lvl>
    <w:lvl w:ilvl="8" w:tplc="E8407654">
      <w:start w:val="1"/>
      <w:numFmt w:val="lowerRoman"/>
      <w:lvlText w:val="%9."/>
      <w:lvlJc w:val="left"/>
      <w:pPr>
        <w:ind w:left="3240" w:hanging="360"/>
      </w:pPr>
    </w:lvl>
  </w:abstractNum>
  <w:abstractNum w:abstractNumId="134">
    <w:nsid w:val="691A56FE"/>
    <w:multiLevelType w:val="hybridMultilevel"/>
    <w:tmpl w:val="1E063868"/>
    <w:lvl w:ilvl="0" w:tplc="7004BF32">
      <w:start w:val="1"/>
      <w:numFmt w:val="bullet"/>
      <w:lvlText w:val="–"/>
      <w:lvlJc w:val="center"/>
      <w:pPr>
        <w:ind w:left="720" w:hanging="360"/>
      </w:pPr>
      <w:rPr>
        <w:rFonts w:ascii="Times New Roman" w:hAnsi="Times New Roman" w:cs="Times New Roman" w:hint="default"/>
      </w:rPr>
    </w:lvl>
    <w:lvl w:ilvl="1" w:tplc="6C2C6000">
      <w:start w:val="1"/>
      <w:numFmt w:val="bullet"/>
      <w:lvlText w:val="o"/>
      <w:lvlJc w:val="left"/>
      <w:pPr>
        <w:ind w:left="1440" w:hanging="360"/>
      </w:pPr>
      <w:rPr>
        <w:rFonts w:ascii="Courier New" w:hAnsi="Courier New" w:cs="Courier New" w:hint="default"/>
      </w:rPr>
    </w:lvl>
    <w:lvl w:ilvl="2" w:tplc="67A6D850">
      <w:start w:val="1"/>
      <w:numFmt w:val="bullet"/>
      <w:lvlText w:val=""/>
      <w:lvlJc w:val="left"/>
      <w:pPr>
        <w:ind w:left="2160" w:hanging="360"/>
      </w:pPr>
      <w:rPr>
        <w:rFonts w:ascii="Wingdings" w:hAnsi="Wingdings" w:hint="default"/>
      </w:rPr>
    </w:lvl>
    <w:lvl w:ilvl="3" w:tplc="F578C02E">
      <w:start w:val="1"/>
      <w:numFmt w:val="bullet"/>
      <w:lvlText w:val=""/>
      <w:lvlJc w:val="left"/>
      <w:pPr>
        <w:ind w:left="2880" w:hanging="360"/>
      </w:pPr>
      <w:rPr>
        <w:rFonts w:ascii="Symbol" w:hAnsi="Symbol" w:hint="default"/>
      </w:rPr>
    </w:lvl>
    <w:lvl w:ilvl="4" w:tplc="4D089CF6">
      <w:start w:val="1"/>
      <w:numFmt w:val="bullet"/>
      <w:lvlText w:val="o"/>
      <w:lvlJc w:val="left"/>
      <w:pPr>
        <w:ind w:left="3600" w:hanging="360"/>
      </w:pPr>
      <w:rPr>
        <w:rFonts w:ascii="Courier New" w:hAnsi="Courier New" w:cs="Courier New" w:hint="default"/>
      </w:rPr>
    </w:lvl>
    <w:lvl w:ilvl="5" w:tplc="1E38B9A6">
      <w:start w:val="1"/>
      <w:numFmt w:val="bullet"/>
      <w:lvlText w:val=""/>
      <w:lvlJc w:val="left"/>
      <w:pPr>
        <w:ind w:left="4320" w:hanging="360"/>
      </w:pPr>
      <w:rPr>
        <w:rFonts w:ascii="Wingdings" w:hAnsi="Wingdings" w:hint="default"/>
      </w:rPr>
    </w:lvl>
    <w:lvl w:ilvl="6" w:tplc="A7D4FFF2">
      <w:start w:val="1"/>
      <w:numFmt w:val="bullet"/>
      <w:lvlText w:val=""/>
      <w:lvlJc w:val="left"/>
      <w:pPr>
        <w:ind w:left="5040" w:hanging="360"/>
      </w:pPr>
      <w:rPr>
        <w:rFonts w:ascii="Symbol" w:hAnsi="Symbol" w:hint="default"/>
      </w:rPr>
    </w:lvl>
    <w:lvl w:ilvl="7" w:tplc="9542B11E">
      <w:start w:val="1"/>
      <w:numFmt w:val="bullet"/>
      <w:lvlText w:val="o"/>
      <w:lvlJc w:val="left"/>
      <w:pPr>
        <w:ind w:left="5760" w:hanging="360"/>
      </w:pPr>
      <w:rPr>
        <w:rFonts w:ascii="Courier New" w:hAnsi="Courier New" w:cs="Courier New" w:hint="default"/>
      </w:rPr>
    </w:lvl>
    <w:lvl w:ilvl="8" w:tplc="6E761CEC">
      <w:start w:val="1"/>
      <w:numFmt w:val="bullet"/>
      <w:lvlText w:val=""/>
      <w:lvlJc w:val="left"/>
      <w:pPr>
        <w:ind w:left="6480" w:hanging="360"/>
      </w:pPr>
      <w:rPr>
        <w:rFonts w:ascii="Wingdings" w:hAnsi="Wingdings" w:hint="default"/>
      </w:rPr>
    </w:lvl>
  </w:abstractNum>
  <w:abstractNum w:abstractNumId="135">
    <w:nsid w:val="69C45A43"/>
    <w:multiLevelType w:val="hybridMultilevel"/>
    <w:tmpl w:val="14AED510"/>
    <w:lvl w:ilvl="0" w:tplc="47167F36">
      <w:start w:val="1"/>
      <w:numFmt w:val="decimal"/>
      <w:pStyle w:val="40"/>
      <w:lvlText w:val="%1."/>
      <w:lvlJc w:val="left"/>
      <w:pPr>
        <w:tabs>
          <w:tab w:val="num" w:pos="1209"/>
        </w:tabs>
        <w:ind w:left="1209" w:hanging="360"/>
      </w:pPr>
    </w:lvl>
    <w:lvl w:ilvl="1" w:tplc="AB16F0DC">
      <w:start w:val="1"/>
      <w:numFmt w:val="bullet"/>
      <w:lvlText w:val="o"/>
      <w:lvlJc w:val="left"/>
      <w:pPr>
        <w:ind w:left="1440" w:hanging="360"/>
      </w:pPr>
      <w:rPr>
        <w:rFonts w:ascii="Courier New" w:eastAsia="Courier New" w:hAnsi="Courier New" w:cs="Courier New" w:hint="default"/>
      </w:rPr>
    </w:lvl>
    <w:lvl w:ilvl="2" w:tplc="D3946F12">
      <w:start w:val="1"/>
      <w:numFmt w:val="bullet"/>
      <w:lvlText w:val="§"/>
      <w:lvlJc w:val="left"/>
      <w:pPr>
        <w:ind w:left="2160" w:hanging="360"/>
      </w:pPr>
      <w:rPr>
        <w:rFonts w:ascii="Wingdings" w:eastAsia="Wingdings" w:hAnsi="Wingdings" w:cs="Wingdings" w:hint="default"/>
      </w:rPr>
    </w:lvl>
    <w:lvl w:ilvl="3" w:tplc="6FF81870">
      <w:start w:val="1"/>
      <w:numFmt w:val="bullet"/>
      <w:lvlText w:val="·"/>
      <w:lvlJc w:val="left"/>
      <w:pPr>
        <w:ind w:left="2880" w:hanging="360"/>
      </w:pPr>
      <w:rPr>
        <w:rFonts w:ascii="Symbol" w:eastAsia="Symbol" w:hAnsi="Symbol" w:cs="Symbol" w:hint="default"/>
      </w:rPr>
    </w:lvl>
    <w:lvl w:ilvl="4" w:tplc="EFD686B8">
      <w:start w:val="1"/>
      <w:numFmt w:val="bullet"/>
      <w:lvlText w:val="o"/>
      <w:lvlJc w:val="left"/>
      <w:pPr>
        <w:ind w:left="3600" w:hanging="360"/>
      </w:pPr>
      <w:rPr>
        <w:rFonts w:ascii="Courier New" w:eastAsia="Courier New" w:hAnsi="Courier New" w:cs="Courier New" w:hint="default"/>
      </w:rPr>
    </w:lvl>
    <w:lvl w:ilvl="5" w:tplc="B7A273D0">
      <w:start w:val="1"/>
      <w:numFmt w:val="bullet"/>
      <w:lvlText w:val="§"/>
      <w:lvlJc w:val="left"/>
      <w:pPr>
        <w:ind w:left="4320" w:hanging="360"/>
      </w:pPr>
      <w:rPr>
        <w:rFonts w:ascii="Wingdings" w:eastAsia="Wingdings" w:hAnsi="Wingdings" w:cs="Wingdings" w:hint="default"/>
      </w:rPr>
    </w:lvl>
    <w:lvl w:ilvl="6" w:tplc="7BEC8A92">
      <w:start w:val="1"/>
      <w:numFmt w:val="bullet"/>
      <w:lvlText w:val="·"/>
      <w:lvlJc w:val="left"/>
      <w:pPr>
        <w:ind w:left="5040" w:hanging="360"/>
      </w:pPr>
      <w:rPr>
        <w:rFonts w:ascii="Symbol" w:eastAsia="Symbol" w:hAnsi="Symbol" w:cs="Symbol" w:hint="default"/>
      </w:rPr>
    </w:lvl>
    <w:lvl w:ilvl="7" w:tplc="9E2C8A78">
      <w:start w:val="1"/>
      <w:numFmt w:val="bullet"/>
      <w:lvlText w:val="o"/>
      <w:lvlJc w:val="left"/>
      <w:pPr>
        <w:ind w:left="5760" w:hanging="360"/>
      </w:pPr>
      <w:rPr>
        <w:rFonts w:ascii="Courier New" w:eastAsia="Courier New" w:hAnsi="Courier New" w:cs="Courier New" w:hint="default"/>
      </w:rPr>
    </w:lvl>
    <w:lvl w:ilvl="8" w:tplc="A7F025F8">
      <w:start w:val="1"/>
      <w:numFmt w:val="bullet"/>
      <w:lvlText w:val="§"/>
      <w:lvlJc w:val="left"/>
      <w:pPr>
        <w:ind w:left="6480" w:hanging="360"/>
      </w:pPr>
      <w:rPr>
        <w:rFonts w:ascii="Wingdings" w:eastAsia="Wingdings" w:hAnsi="Wingdings" w:cs="Wingdings" w:hint="default"/>
      </w:rPr>
    </w:lvl>
  </w:abstractNum>
  <w:abstractNum w:abstractNumId="136">
    <w:nsid w:val="69E53D89"/>
    <w:multiLevelType w:val="multilevel"/>
    <w:tmpl w:val="54967114"/>
    <w:lvl w:ilvl="0">
      <w:start w:val="1"/>
      <w:numFmt w:val="decimal"/>
      <w:lvlText w:val="%1"/>
      <w:lvlJc w:val="left"/>
      <w:pPr>
        <w:tabs>
          <w:tab w:val="num" w:pos="284"/>
        </w:tabs>
        <w:ind w:left="284" w:hanging="284"/>
      </w:pPr>
      <w:rPr>
        <w:rFonts w:hint="default"/>
      </w:rPr>
    </w:lvl>
    <w:lvl w:ilvl="1">
      <w:start w:val="1"/>
      <w:numFmt w:val="decimal"/>
      <w:lvlText w:val="%1.%2"/>
      <w:lvlJc w:val="left"/>
      <w:pPr>
        <w:tabs>
          <w:tab w:val="num" w:pos="284"/>
        </w:tabs>
        <w:ind w:left="851" w:hanging="567"/>
      </w:pPr>
      <w:rPr>
        <w:rFonts w:ascii="Times New Roman" w:hAnsi="Times New Roman" w:cs="Times New Roman" w:hint="default"/>
        <w:b/>
        <w:i w:val="0"/>
        <w:sz w:val="28"/>
      </w:rPr>
    </w:lvl>
    <w:lvl w:ilvl="2">
      <w:start w:val="1"/>
      <w:numFmt w:val="decimal"/>
      <w:lvlText w:val="%1.%2.%3"/>
      <w:lvlJc w:val="left"/>
      <w:pPr>
        <w:tabs>
          <w:tab w:val="num" w:pos="284"/>
        </w:tabs>
        <w:ind w:left="1418" w:hanging="738"/>
      </w:pPr>
      <w:rPr>
        <w:rFonts w:ascii="Times New Roman" w:hAnsi="Times New Roman" w:hint="default"/>
        <w:b/>
        <w:i w:val="0"/>
        <w:sz w:val="26"/>
      </w:rPr>
    </w:lvl>
    <w:lvl w:ilvl="3">
      <w:start w:val="1"/>
      <w:numFmt w:val="decimal"/>
      <w:lvlText w:val="%1.%2.%3.%4"/>
      <w:lvlJc w:val="left"/>
      <w:pPr>
        <w:tabs>
          <w:tab w:val="num" w:pos="1769"/>
        </w:tabs>
        <w:ind w:left="864" w:firstLine="270"/>
      </w:pPr>
      <w:rPr>
        <w:rFonts w:ascii="Times New Roman" w:hAnsi="Times New Roman" w:hint="default"/>
        <w:b w:val="0"/>
        <w:i/>
        <w:sz w:val="24"/>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7">
    <w:nsid w:val="6A6169EB"/>
    <w:multiLevelType w:val="hybridMultilevel"/>
    <w:tmpl w:val="3A3A0D22"/>
    <w:lvl w:ilvl="0" w:tplc="13BA2FF8">
      <w:start w:val="1"/>
      <w:numFmt w:val="decimal"/>
      <w:pStyle w:val="a7"/>
      <w:lvlText w:val="%1)"/>
      <w:lvlJc w:val="left"/>
      <w:pPr>
        <w:tabs>
          <w:tab w:val="num" w:pos="1418"/>
        </w:tabs>
        <w:ind w:left="1418" w:hanging="426"/>
      </w:pPr>
    </w:lvl>
    <w:lvl w:ilvl="1" w:tplc="B0320C3E">
      <w:start w:val="1"/>
      <w:numFmt w:val="bullet"/>
      <w:lvlText w:val="o"/>
      <w:lvlJc w:val="left"/>
      <w:pPr>
        <w:ind w:left="1440" w:hanging="360"/>
      </w:pPr>
      <w:rPr>
        <w:rFonts w:ascii="Courier New" w:eastAsia="Courier New" w:hAnsi="Courier New" w:cs="Courier New" w:hint="default"/>
      </w:rPr>
    </w:lvl>
    <w:lvl w:ilvl="2" w:tplc="F5BCD87C">
      <w:start w:val="1"/>
      <w:numFmt w:val="bullet"/>
      <w:lvlText w:val="§"/>
      <w:lvlJc w:val="left"/>
      <w:pPr>
        <w:ind w:left="2160" w:hanging="360"/>
      </w:pPr>
      <w:rPr>
        <w:rFonts w:ascii="Wingdings" w:eastAsia="Wingdings" w:hAnsi="Wingdings" w:cs="Wingdings" w:hint="default"/>
      </w:rPr>
    </w:lvl>
    <w:lvl w:ilvl="3" w:tplc="903E14AC">
      <w:start w:val="1"/>
      <w:numFmt w:val="bullet"/>
      <w:lvlText w:val="·"/>
      <w:lvlJc w:val="left"/>
      <w:pPr>
        <w:ind w:left="2880" w:hanging="360"/>
      </w:pPr>
      <w:rPr>
        <w:rFonts w:ascii="Symbol" w:eastAsia="Symbol" w:hAnsi="Symbol" w:cs="Symbol" w:hint="default"/>
      </w:rPr>
    </w:lvl>
    <w:lvl w:ilvl="4" w:tplc="8A462502">
      <w:start w:val="1"/>
      <w:numFmt w:val="bullet"/>
      <w:lvlText w:val="o"/>
      <w:lvlJc w:val="left"/>
      <w:pPr>
        <w:ind w:left="3600" w:hanging="360"/>
      </w:pPr>
      <w:rPr>
        <w:rFonts w:ascii="Courier New" w:eastAsia="Courier New" w:hAnsi="Courier New" w:cs="Courier New" w:hint="default"/>
      </w:rPr>
    </w:lvl>
    <w:lvl w:ilvl="5" w:tplc="0F9C3E84">
      <w:start w:val="1"/>
      <w:numFmt w:val="bullet"/>
      <w:lvlText w:val="§"/>
      <w:lvlJc w:val="left"/>
      <w:pPr>
        <w:ind w:left="4320" w:hanging="360"/>
      </w:pPr>
      <w:rPr>
        <w:rFonts w:ascii="Wingdings" w:eastAsia="Wingdings" w:hAnsi="Wingdings" w:cs="Wingdings" w:hint="default"/>
      </w:rPr>
    </w:lvl>
    <w:lvl w:ilvl="6" w:tplc="B6D6C7BC">
      <w:start w:val="1"/>
      <w:numFmt w:val="bullet"/>
      <w:lvlText w:val="·"/>
      <w:lvlJc w:val="left"/>
      <w:pPr>
        <w:ind w:left="5040" w:hanging="360"/>
      </w:pPr>
      <w:rPr>
        <w:rFonts w:ascii="Symbol" w:eastAsia="Symbol" w:hAnsi="Symbol" w:cs="Symbol" w:hint="default"/>
      </w:rPr>
    </w:lvl>
    <w:lvl w:ilvl="7" w:tplc="FF2E4808">
      <w:start w:val="1"/>
      <w:numFmt w:val="bullet"/>
      <w:lvlText w:val="o"/>
      <w:lvlJc w:val="left"/>
      <w:pPr>
        <w:ind w:left="5760" w:hanging="360"/>
      </w:pPr>
      <w:rPr>
        <w:rFonts w:ascii="Courier New" w:eastAsia="Courier New" w:hAnsi="Courier New" w:cs="Courier New" w:hint="default"/>
      </w:rPr>
    </w:lvl>
    <w:lvl w:ilvl="8" w:tplc="E9F4F610">
      <w:start w:val="1"/>
      <w:numFmt w:val="bullet"/>
      <w:lvlText w:val="§"/>
      <w:lvlJc w:val="left"/>
      <w:pPr>
        <w:ind w:left="6480" w:hanging="360"/>
      </w:pPr>
      <w:rPr>
        <w:rFonts w:ascii="Wingdings" w:eastAsia="Wingdings" w:hAnsi="Wingdings" w:cs="Wingdings" w:hint="default"/>
      </w:rPr>
    </w:lvl>
  </w:abstractNum>
  <w:abstractNum w:abstractNumId="138">
    <w:nsid w:val="6B5E3C2A"/>
    <w:multiLevelType w:val="multilevel"/>
    <w:tmpl w:val="9FD2BC8E"/>
    <w:lvl w:ilvl="0">
      <w:start w:val="1"/>
      <w:numFmt w:val="russianUpper"/>
      <w:pStyle w:val="013"/>
      <w:lvlText w:val="Приложение %1"/>
      <w:lvlJc w:val="left"/>
      <w:pPr>
        <w:ind w:left="0" w:firstLine="397"/>
      </w:pPr>
      <w:rPr>
        <w:rFonts w:ascii="Times New Roman" w:hAnsi="Times New Roman" w:cs="Times New Roman" w:hint="default"/>
        <w:b/>
        <w:bCs w:val="0"/>
        <w:i w:val="0"/>
        <w:iCs w:val="0"/>
        <w:caps w:val="0"/>
        <w:smallCaps w:val="0"/>
        <w:strike w:val="0"/>
        <w:vanish w:val="0"/>
        <w:color w:val="000000"/>
        <w:spacing w:val="0"/>
        <w:position w:val="0"/>
        <w:sz w:val="32"/>
        <w:u w:val="none"/>
        <w:vertAlign w:val="baseline"/>
      </w:rPr>
    </w:lvl>
    <w:lvl w:ilvl="1">
      <w:start w:val="1"/>
      <w:numFmt w:val="decimal"/>
      <w:pStyle w:val="021"/>
      <w:lvlText w:val="%1.%2"/>
      <w:lvlJc w:val="left"/>
      <w:pPr>
        <w:ind w:left="709" w:firstLine="0"/>
      </w:pPr>
      <w:rPr>
        <w:rFonts w:ascii="Times New Roman" w:hAnsi="Times New Roman" w:hint="default"/>
        <w:b/>
        <w:i w:val="0"/>
        <w:sz w:val="28"/>
      </w:rPr>
    </w:lvl>
    <w:lvl w:ilvl="2">
      <w:start w:val="1"/>
      <w:numFmt w:val="decimal"/>
      <w:pStyle w:val="031"/>
      <w:lvlText w:val="%1.%2.%3"/>
      <w:lvlJc w:val="left"/>
      <w:pPr>
        <w:ind w:left="709" w:firstLine="0"/>
      </w:pPr>
      <w:rPr>
        <w:rFonts w:ascii="Times New Roman" w:hAnsi="Times New Roman" w:hint="default"/>
        <w:b/>
        <w:i w:val="0"/>
        <w:caps w:val="0"/>
        <w:strike w:val="0"/>
        <w:vanish w:val="0"/>
        <w:color w:val="000000"/>
        <w:sz w:val="24"/>
        <w:u w:val="none"/>
        <w:vertAlign w:val="baseline"/>
      </w:rPr>
    </w:lvl>
    <w:lvl w:ilvl="3">
      <w:start w:val="1"/>
      <w:numFmt w:val="decimal"/>
      <w:pStyle w:val="040"/>
      <w:lvlText w:val="%1.%2.%3.%4"/>
      <w:lvlJc w:val="left"/>
      <w:pPr>
        <w:ind w:left="709" w:firstLine="0"/>
      </w:pPr>
      <w:rPr>
        <w:rFonts w:ascii="Times New Roman" w:hAnsi="Times New Roman" w:hint="default"/>
        <w:b/>
        <w:i w:val="0"/>
        <w:caps w:val="0"/>
        <w:strike w:val="0"/>
        <w:vanish w:val="0"/>
        <w:color w:val="000000"/>
        <w:sz w:val="24"/>
        <w:u w:val="none"/>
        <w:vertAlign w:val="baseline"/>
      </w:rPr>
    </w:lvl>
    <w:lvl w:ilvl="4">
      <w:start w:val="1"/>
      <w:numFmt w:val="decimal"/>
      <w:pStyle w:val="050"/>
      <w:lvlText w:val="%1.%2.%3.%4.%5"/>
      <w:lvlJc w:val="left"/>
      <w:pPr>
        <w:ind w:left="709" w:firstLine="0"/>
      </w:pPr>
      <w:rPr>
        <w:rFonts w:hint="default"/>
        <w:b/>
        <w:i w:val="0"/>
        <w:caps w:val="0"/>
        <w:strike w:val="0"/>
        <w:vanish w:val="0"/>
        <w:color w:val="000000"/>
        <w:sz w:val="24"/>
        <w:u w:val="none"/>
        <w:vertAlign w:val="baseline"/>
      </w:rPr>
    </w:lvl>
    <w:lvl w:ilvl="5">
      <w:start w:val="1"/>
      <w:numFmt w:val="decimal"/>
      <w:pStyle w:val="060"/>
      <w:lvlText w:val="%1.%2.%3.%4.%5.%6"/>
      <w:lvlJc w:val="left"/>
      <w:pPr>
        <w:ind w:left="709" w:firstLine="0"/>
      </w:pPr>
      <w:rPr>
        <w:rFonts w:ascii="Times New Roman" w:hAnsi="Times New Roman" w:hint="default"/>
        <w:b/>
        <w:i w:val="0"/>
        <w:caps w:val="0"/>
        <w:strike w:val="0"/>
        <w:vanish w:val="0"/>
        <w:color w:val="000000"/>
        <w:sz w:val="24"/>
        <w:u w:val="none"/>
        <w:vertAlign w:val="baseline"/>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39">
    <w:nsid w:val="6C2C1247"/>
    <w:multiLevelType w:val="hybridMultilevel"/>
    <w:tmpl w:val="CC7A02D2"/>
    <w:styleLink w:val="a8"/>
    <w:lvl w:ilvl="0" w:tplc="9A38E402">
      <w:start w:val="1"/>
      <w:numFmt w:val="decimal"/>
      <w:pStyle w:val="a8"/>
      <w:lvlText w:val="%1."/>
      <w:lvlJc w:val="left"/>
      <w:pPr>
        <w:tabs>
          <w:tab w:val="num" w:pos="1428"/>
        </w:tabs>
        <w:ind w:left="1428" w:hanging="360"/>
      </w:pPr>
      <w:rPr>
        <w:sz w:val="24"/>
      </w:rPr>
    </w:lvl>
    <w:lvl w:ilvl="1" w:tplc="C98202D6">
      <w:start w:val="1"/>
      <w:numFmt w:val="lowerLetter"/>
      <w:lvlText w:val="%2."/>
      <w:lvlJc w:val="left"/>
      <w:pPr>
        <w:tabs>
          <w:tab w:val="num" w:pos="1440"/>
        </w:tabs>
        <w:ind w:left="1440" w:hanging="360"/>
      </w:pPr>
    </w:lvl>
    <w:lvl w:ilvl="2" w:tplc="457862DE">
      <w:start w:val="1"/>
      <w:numFmt w:val="lowerRoman"/>
      <w:lvlText w:val="%3."/>
      <w:lvlJc w:val="right"/>
      <w:pPr>
        <w:tabs>
          <w:tab w:val="num" w:pos="2160"/>
        </w:tabs>
        <w:ind w:left="2160" w:hanging="180"/>
      </w:pPr>
    </w:lvl>
    <w:lvl w:ilvl="3" w:tplc="786058B6">
      <w:start w:val="1"/>
      <w:numFmt w:val="decimal"/>
      <w:lvlText w:val="%4."/>
      <w:lvlJc w:val="left"/>
      <w:pPr>
        <w:tabs>
          <w:tab w:val="num" w:pos="2880"/>
        </w:tabs>
        <w:ind w:left="2880" w:hanging="360"/>
      </w:pPr>
    </w:lvl>
    <w:lvl w:ilvl="4" w:tplc="9BAA420E">
      <w:start w:val="1"/>
      <w:numFmt w:val="lowerLetter"/>
      <w:lvlText w:val="%5."/>
      <w:lvlJc w:val="left"/>
      <w:pPr>
        <w:tabs>
          <w:tab w:val="num" w:pos="3600"/>
        </w:tabs>
        <w:ind w:left="3600" w:hanging="360"/>
      </w:pPr>
    </w:lvl>
    <w:lvl w:ilvl="5" w:tplc="9036FC06">
      <w:start w:val="1"/>
      <w:numFmt w:val="lowerRoman"/>
      <w:lvlText w:val="%6."/>
      <w:lvlJc w:val="right"/>
      <w:pPr>
        <w:tabs>
          <w:tab w:val="num" w:pos="4320"/>
        </w:tabs>
        <w:ind w:left="4320" w:hanging="180"/>
      </w:pPr>
    </w:lvl>
    <w:lvl w:ilvl="6" w:tplc="227C550C">
      <w:start w:val="1"/>
      <w:numFmt w:val="decimal"/>
      <w:lvlText w:val="%7."/>
      <w:lvlJc w:val="left"/>
      <w:pPr>
        <w:tabs>
          <w:tab w:val="num" w:pos="5040"/>
        </w:tabs>
        <w:ind w:left="5040" w:hanging="360"/>
      </w:pPr>
    </w:lvl>
    <w:lvl w:ilvl="7" w:tplc="01800390">
      <w:start w:val="1"/>
      <w:numFmt w:val="lowerLetter"/>
      <w:lvlText w:val="%8."/>
      <w:lvlJc w:val="left"/>
      <w:pPr>
        <w:tabs>
          <w:tab w:val="num" w:pos="5760"/>
        </w:tabs>
        <w:ind w:left="5760" w:hanging="360"/>
      </w:pPr>
    </w:lvl>
    <w:lvl w:ilvl="8" w:tplc="F894DCC6">
      <w:start w:val="1"/>
      <w:numFmt w:val="lowerRoman"/>
      <w:lvlText w:val="%9."/>
      <w:lvlJc w:val="right"/>
      <w:pPr>
        <w:tabs>
          <w:tab w:val="num" w:pos="6480"/>
        </w:tabs>
        <w:ind w:left="6480" w:hanging="180"/>
      </w:pPr>
    </w:lvl>
  </w:abstractNum>
  <w:abstractNum w:abstractNumId="140">
    <w:nsid w:val="6CD90757"/>
    <w:multiLevelType w:val="hybridMultilevel"/>
    <w:tmpl w:val="64884574"/>
    <w:lvl w:ilvl="0" w:tplc="FF82C0BC">
      <w:start w:val="1"/>
      <w:numFmt w:val="bullet"/>
      <w:pStyle w:val="41"/>
      <w:lvlText w:val=""/>
      <w:lvlJc w:val="left"/>
      <w:pPr>
        <w:tabs>
          <w:tab w:val="num" w:pos="1209"/>
        </w:tabs>
        <w:ind w:left="1209" w:hanging="360"/>
      </w:pPr>
      <w:rPr>
        <w:rFonts w:ascii="Symbol" w:hAnsi="Symbol" w:hint="default"/>
      </w:rPr>
    </w:lvl>
    <w:lvl w:ilvl="1" w:tplc="6DE0A3E6">
      <w:start w:val="1"/>
      <w:numFmt w:val="bullet"/>
      <w:lvlText w:val="o"/>
      <w:lvlJc w:val="left"/>
      <w:pPr>
        <w:ind w:left="1440" w:hanging="360"/>
      </w:pPr>
      <w:rPr>
        <w:rFonts w:ascii="Courier New" w:eastAsia="Courier New" w:hAnsi="Courier New" w:cs="Courier New" w:hint="default"/>
      </w:rPr>
    </w:lvl>
    <w:lvl w:ilvl="2" w:tplc="44F6FF9A">
      <w:start w:val="1"/>
      <w:numFmt w:val="bullet"/>
      <w:lvlText w:val="§"/>
      <w:lvlJc w:val="left"/>
      <w:pPr>
        <w:ind w:left="2160" w:hanging="360"/>
      </w:pPr>
      <w:rPr>
        <w:rFonts w:ascii="Wingdings" w:eastAsia="Wingdings" w:hAnsi="Wingdings" w:cs="Wingdings" w:hint="default"/>
      </w:rPr>
    </w:lvl>
    <w:lvl w:ilvl="3" w:tplc="73BEAA66">
      <w:start w:val="1"/>
      <w:numFmt w:val="bullet"/>
      <w:lvlText w:val="·"/>
      <w:lvlJc w:val="left"/>
      <w:pPr>
        <w:ind w:left="2880" w:hanging="360"/>
      </w:pPr>
      <w:rPr>
        <w:rFonts w:ascii="Symbol" w:eastAsia="Symbol" w:hAnsi="Symbol" w:cs="Symbol" w:hint="default"/>
      </w:rPr>
    </w:lvl>
    <w:lvl w:ilvl="4" w:tplc="91DAE780">
      <w:start w:val="1"/>
      <w:numFmt w:val="bullet"/>
      <w:lvlText w:val="o"/>
      <w:lvlJc w:val="left"/>
      <w:pPr>
        <w:ind w:left="3600" w:hanging="360"/>
      </w:pPr>
      <w:rPr>
        <w:rFonts w:ascii="Courier New" w:eastAsia="Courier New" w:hAnsi="Courier New" w:cs="Courier New" w:hint="default"/>
      </w:rPr>
    </w:lvl>
    <w:lvl w:ilvl="5" w:tplc="BCF484EC">
      <w:start w:val="1"/>
      <w:numFmt w:val="bullet"/>
      <w:lvlText w:val="§"/>
      <w:lvlJc w:val="left"/>
      <w:pPr>
        <w:ind w:left="4320" w:hanging="360"/>
      </w:pPr>
      <w:rPr>
        <w:rFonts w:ascii="Wingdings" w:eastAsia="Wingdings" w:hAnsi="Wingdings" w:cs="Wingdings" w:hint="default"/>
      </w:rPr>
    </w:lvl>
    <w:lvl w:ilvl="6" w:tplc="BAAE5206">
      <w:start w:val="1"/>
      <w:numFmt w:val="bullet"/>
      <w:lvlText w:val="·"/>
      <w:lvlJc w:val="left"/>
      <w:pPr>
        <w:ind w:left="5040" w:hanging="360"/>
      </w:pPr>
      <w:rPr>
        <w:rFonts w:ascii="Symbol" w:eastAsia="Symbol" w:hAnsi="Symbol" w:cs="Symbol" w:hint="default"/>
      </w:rPr>
    </w:lvl>
    <w:lvl w:ilvl="7" w:tplc="493AC37C">
      <w:start w:val="1"/>
      <w:numFmt w:val="bullet"/>
      <w:lvlText w:val="o"/>
      <w:lvlJc w:val="left"/>
      <w:pPr>
        <w:ind w:left="5760" w:hanging="360"/>
      </w:pPr>
      <w:rPr>
        <w:rFonts w:ascii="Courier New" w:eastAsia="Courier New" w:hAnsi="Courier New" w:cs="Courier New" w:hint="default"/>
      </w:rPr>
    </w:lvl>
    <w:lvl w:ilvl="8" w:tplc="DEFAC796">
      <w:start w:val="1"/>
      <w:numFmt w:val="bullet"/>
      <w:lvlText w:val="§"/>
      <w:lvlJc w:val="left"/>
      <w:pPr>
        <w:ind w:left="6480" w:hanging="360"/>
      </w:pPr>
      <w:rPr>
        <w:rFonts w:ascii="Wingdings" w:eastAsia="Wingdings" w:hAnsi="Wingdings" w:cs="Wingdings" w:hint="default"/>
      </w:rPr>
    </w:lvl>
  </w:abstractNum>
  <w:abstractNum w:abstractNumId="141">
    <w:nsid w:val="6DAE7E58"/>
    <w:multiLevelType w:val="hybridMultilevel"/>
    <w:tmpl w:val="849A6ED4"/>
    <w:lvl w:ilvl="0" w:tplc="595C86A0">
      <w:start w:val="1"/>
      <w:numFmt w:val="decimal"/>
      <w:pStyle w:val="a9"/>
      <w:lvlText w:val="%1."/>
      <w:lvlJc w:val="left"/>
      <w:pPr>
        <w:tabs>
          <w:tab w:val="num" w:pos="720"/>
        </w:tabs>
        <w:ind w:left="720" w:hanging="720"/>
      </w:pPr>
    </w:lvl>
    <w:lvl w:ilvl="1" w:tplc="107E2EC4">
      <w:start w:val="1"/>
      <w:numFmt w:val="decimal"/>
      <w:lvlText w:val="%2."/>
      <w:lvlJc w:val="left"/>
      <w:pPr>
        <w:tabs>
          <w:tab w:val="num" w:pos="1440"/>
        </w:tabs>
        <w:ind w:left="1440" w:hanging="720"/>
      </w:pPr>
    </w:lvl>
    <w:lvl w:ilvl="2" w:tplc="8BAE3A18">
      <w:start w:val="1"/>
      <w:numFmt w:val="decimal"/>
      <w:lvlText w:val="%3."/>
      <w:lvlJc w:val="left"/>
      <w:pPr>
        <w:tabs>
          <w:tab w:val="num" w:pos="2160"/>
        </w:tabs>
        <w:ind w:left="2160" w:hanging="720"/>
      </w:pPr>
    </w:lvl>
    <w:lvl w:ilvl="3" w:tplc="0568A7EE">
      <w:start w:val="1"/>
      <w:numFmt w:val="decimal"/>
      <w:lvlText w:val="%4."/>
      <w:lvlJc w:val="left"/>
      <w:pPr>
        <w:tabs>
          <w:tab w:val="num" w:pos="2880"/>
        </w:tabs>
        <w:ind w:left="2880" w:hanging="720"/>
      </w:pPr>
    </w:lvl>
    <w:lvl w:ilvl="4" w:tplc="D0DABDC2">
      <w:start w:val="1"/>
      <w:numFmt w:val="decimal"/>
      <w:lvlText w:val="%5."/>
      <w:lvlJc w:val="left"/>
      <w:pPr>
        <w:tabs>
          <w:tab w:val="num" w:pos="3600"/>
        </w:tabs>
        <w:ind w:left="3600" w:hanging="720"/>
      </w:pPr>
    </w:lvl>
    <w:lvl w:ilvl="5" w:tplc="51DE34E4">
      <w:start w:val="1"/>
      <w:numFmt w:val="decimal"/>
      <w:lvlText w:val="%6."/>
      <w:lvlJc w:val="left"/>
      <w:pPr>
        <w:tabs>
          <w:tab w:val="num" w:pos="4320"/>
        </w:tabs>
        <w:ind w:left="4320" w:hanging="720"/>
      </w:pPr>
    </w:lvl>
    <w:lvl w:ilvl="6" w:tplc="908252A2">
      <w:start w:val="1"/>
      <w:numFmt w:val="decimal"/>
      <w:lvlText w:val="%7."/>
      <w:lvlJc w:val="left"/>
      <w:pPr>
        <w:tabs>
          <w:tab w:val="num" w:pos="5040"/>
        </w:tabs>
        <w:ind w:left="5040" w:hanging="720"/>
      </w:pPr>
    </w:lvl>
    <w:lvl w:ilvl="7" w:tplc="A73C496E">
      <w:start w:val="1"/>
      <w:numFmt w:val="decimal"/>
      <w:lvlText w:val="%8."/>
      <w:lvlJc w:val="left"/>
      <w:pPr>
        <w:tabs>
          <w:tab w:val="num" w:pos="5760"/>
        </w:tabs>
        <w:ind w:left="5760" w:hanging="720"/>
      </w:pPr>
    </w:lvl>
    <w:lvl w:ilvl="8" w:tplc="6142ACBA">
      <w:start w:val="1"/>
      <w:numFmt w:val="decimal"/>
      <w:lvlText w:val="%9."/>
      <w:lvlJc w:val="left"/>
      <w:pPr>
        <w:tabs>
          <w:tab w:val="num" w:pos="6480"/>
        </w:tabs>
        <w:ind w:left="6480" w:hanging="720"/>
      </w:pPr>
    </w:lvl>
  </w:abstractNum>
  <w:abstractNum w:abstractNumId="142">
    <w:nsid w:val="6DF804A0"/>
    <w:multiLevelType w:val="hybridMultilevel"/>
    <w:tmpl w:val="3176FF4C"/>
    <w:lvl w:ilvl="0" w:tplc="A412B280">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143">
    <w:nsid w:val="6EBA29C3"/>
    <w:multiLevelType w:val="hybridMultilevel"/>
    <w:tmpl w:val="8E667D7A"/>
    <w:lvl w:ilvl="0" w:tplc="1CC2A080">
      <w:start w:val="1"/>
      <w:numFmt w:val="bullet"/>
      <w:lvlText w:val=""/>
      <w:lvlJc w:val="left"/>
      <w:pPr>
        <w:tabs>
          <w:tab w:val="num" w:pos="340"/>
        </w:tabs>
        <w:ind w:left="340" w:hanging="227"/>
      </w:pPr>
      <w:rPr>
        <w:rFonts w:ascii="Symbol" w:hAnsi="Symbol" w:hint="default"/>
      </w:rPr>
    </w:lvl>
    <w:lvl w:ilvl="1" w:tplc="BE80AEDA">
      <w:start w:val="1"/>
      <w:numFmt w:val="lowerLetter"/>
      <w:lvlText w:val="%2."/>
      <w:lvlJc w:val="left"/>
      <w:pPr>
        <w:tabs>
          <w:tab w:val="num" w:pos="1440"/>
        </w:tabs>
        <w:ind w:left="1440" w:hanging="360"/>
      </w:pPr>
    </w:lvl>
    <w:lvl w:ilvl="2" w:tplc="62302884">
      <w:start w:val="1"/>
      <w:numFmt w:val="lowerRoman"/>
      <w:lvlText w:val="%3."/>
      <w:lvlJc w:val="right"/>
      <w:pPr>
        <w:tabs>
          <w:tab w:val="num" w:pos="2160"/>
        </w:tabs>
        <w:ind w:left="2160" w:hanging="180"/>
      </w:pPr>
    </w:lvl>
    <w:lvl w:ilvl="3" w:tplc="A0845010">
      <w:start w:val="1"/>
      <w:numFmt w:val="decimal"/>
      <w:lvlText w:val="%4."/>
      <w:lvlJc w:val="left"/>
      <w:pPr>
        <w:tabs>
          <w:tab w:val="num" w:pos="2880"/>
        </w:tabs>
        <w:ind w:left="2880" w:hanging="360"/>
      </w:pPr>
    </w:lvl>
    <w:lvl w:ilvl="4" w:tplc="0F0228AA">
      <w:start w:val="1"/>
      <w:numFmt w:val="lowerLetter"/>
      <w:lvlText w:val="%5."/>
      <w:lvlJc w:val="left"/>
      <w:pPr>
        <w:tabs>
          <w:tab w:val="num" w:pos="3600"/>
        </w:tabs>
        <w:ind w:left="3600" w:hanging="360"/>
      </w:pPr>
    </w:lvl>
    <w:lvl w:ilvl="5" w:tplc="59F8FBB0">
      <w:start w:val="1"/>
      <w:numFmt w:val="lowerRoman"/>
      <w:lvlText w:val="%6."/>
      <w:lvlJc w:val="right"/>
      <w:pPr>
        <w:tabs>
          <w:tab w:val="num" w:pos="4320"/>
        </w:tabs>
        <w:ind w:left="4320" w:hanging="180"/>
      </w:pPr>
    </w:lvl>
    <w:lvl w:ilvl="6" w:tplc="3E5CDA20">
      <w:start w:val="1"/>
      <w:numFmt w:val="decimal"/>
      <w:lvlText w:val="%7."/>
      <w:lvlJc w:val="left"/>
      <w:pPr>
        <w:tabs>
          <w:tab w:val="num" w:pos="5040"/>
        </w:tabs>
        <w:ind w:left="5040" w:hanging="360"/>
      </w:pPr>
    </w:lvl>
    <w:lvl w:ilvl="7" w:tplc="B856571A">
      <w:start w:val="1"/>
      <w:numFmt w:val="lowerLetter"/>
      <w:lvlText w:val="%8."/>
      <w:lvlJc w:val="left"/>
      <w:pPr>
        <w:tabs>
          <w:tab w:val="num" w:pos="5760"/>
        </w:tabs>
        <w:ind w:left="5760" w:hanging="360"/>
      </w:pPr>
    </w:lvl>
    <w:lvl w:ilvl="8" w:tplc="D598EA5A">
      <w:start w:val="1"/>
      <w:numFmt w:val="lowerRoman"/>
      <w:lvlText w:val="%9."/>
      <w:lvlJc w:val="right"/>
      <w:pPr>
        <w:tabs>
          <w:tab w:val="num" w:pos="6480"/>
        </w:tabs>
        <w:ind w:left="6480" w:hanging="180"/>
      </w:pPr>
    </w:lvl>
  </w:abstractNum>
  <w:abstractNum w:abstractNumId="144">
    <w:nsid w:val="6F20780B"/>
    <w:multiLevelType w:val="hybridMultilevel"/>
    <w:tmpl w:val="45F43194"/>
    <w:lvl w:ilvl="0" w:tplc="4FECA270">
      <w:start w:val="1"/>
      <w:numFmt w:val="bullet"/>
      <w:lvlText w:val="−"/>
      <w:lvlJc w:val="left"/>
      <w:pPr>
        <w:ind w:left="1571" w:hanging="360"/>
      </w:pPr>
      <w:rPr>
        <w:rFonts w:ascii="Times New Roman" w:hAnsi="Times New Roman" w:cs="Times New Roman" w:hint="default"/>
      </w:rPr>
    </w:lvl>
    <w:lvl w:ilvl="1" w:tplc="19AE6698">
      <w:start w:val="1"/>
      <w:numFmt w:val="bullet"/>
      <w:lvlText w:val="o"/>
      <w:lvlJc w:val="left"/>
      <w:pPr>
        <w:ind w:left="2291" w:hanging="360"/>
      </w:pPr>
      <w:rPr>
        <w:rFonts w:ascii="Courier New" w:hAnsi="Courier New" w:cs="Courier New" w:hint="default"/>
      </w:rPr>
    </w:lvl>
    <w:lvl w:ilvl="2" w:tplc="662E7696">
      <w:start w:val="1"/>
      <w:numFmt w:val="bullet"/>
      <w:lvlText w:val=""/>
      <w:lvlJc w:val="left"/>
      <w:pPr>
        <w:ind w:left="3011" w:hanging="360"/>
      </w:pPr>
      <w:rPr>
        <w:rFonts w:ascii="Wingdings" w:hAnsi="Wingdings" w:hint="default"/>
      </w:rPr>
    </w:lvl>
    <w:lvl w:ilvl="3" w:tplc="E7CAB8CA">
      <w:start w:val="1"/>
      <w:numFmt w:val="bullet"/>
      <w:lvlText w:val=""/>
      <w:lvlJc w:val="left"/>
      <w:pPr>
        <w:ind w:left="3731" w:hanging="360"/>
      </w:pPr>
      <w:rPr>
        <w:rFonts w:ascii="Symbol" w:hAnsi="Symbol" w:hint="default"/>
      </w:rPr>
    </w:lvl>
    <w:lvl w:ilvl="4" w:tplc="C28C0B2A">
      <w:start w:val="1"/>
      <w:numFmt w:val="bullet"/>
      <w:lvlText w:val="o"/>
      <w:lvlJc w:val="left"/>
      <w:pPr>
        <w:ind w:left="4451" w:hanging="360"/>
      </w:pPr>
      <w:rPr>
        <w:rFonts w:ascii="Courier New" w:hAnsi="Courier New" w:cs="Courier New" w:hint="default"/>
      </w:rPr>
    </w:lvl>
    <w:lvl w:ilvl="5" w:tplc="B600AA64">
      <w:start w:val="1"/>
      <w:numFmt w:val="bullet"/>
      <w:lvlText w:val=""/>
      <w:lvlJc w:val="left"/>
      <w:pPr>
        <w:ind w:left="5171" w:hanging="360"/>
      </w:pPr>
      <w:rPr>
        <w:rFonts w:ascii="Wingdings" w:hAnsi="Wingdings" w:hint="default"/>
      </w:rPr>
    </w:lvl>
    <w:lvl w:ilvl="6" w:tplc="2D08161C">
      <w:start w:val="1"/>
      <w:numFmt w:val="bullet"/>
      <w:lvlText w:val=""/>
      <w:lvlJc w:val="left"/>
      <w:pPr>
        <w:ind w:left="5891" w:hanging="360"/>
      </w:pPr>
      <w:rPr>
        <w:rFonts w:ascii="Symbol" w:hAnsi="Symbol" w:hint="default"/>
      </w:rPr>
    </w:lvl>
    <w:lvl w:ilvl="7" w:tplc="83CC9786">
      <w:start w:val="1"/>
      <w:numFmt w:val="bullet"/>
      <w:lvlText w:val="o"/>
      <w:lvlJc w:val="left"/>
      <w:pPr>
        <w:ind w:left="6611" w:hanging="360"/>
      </w:pPr>
      <w:rPr>
        <w:rFonts w:ascii="Courier New" w:hAnsi="Courier New" w:cs="Courier New" w:hint="default"/>
      </w:rPr>
    </w:lvl>
    <w:lvl w:ilvl="8" w:tplc="7714A4E6">
      <w:start w:val="1"/>
      <w:numFmt w:val="bullet"/>
      <w:lvlText w:val=""/>
      <w:lvlJc w:val="left"/>
      <w:pPr>
        <w:ind w:left="7331" w:hanging="360"/>
      </w:pPr>
      <w:rPr>
        <w:rFonts w:ascii="Wingdings" w:hAnsi="Wingdings" w:hint="default"/>
      </w:rPr>
    </w:lvl>
  </w:abstractNum>
  <w:abstractNum w:abstractNumId="145">
    <w:nsid w:val="709254A8"/>
    <w:multiLevelType w:val="hybridMultilevel"/>
    <w:tmpl w:val="0DA266A2"/>
    <w:lvl w:ilvl="0" w:tplc="ADA4DE90">
      <w:start w:val="1"/>
      <w:numFmt w:val="decimal"/>
      <w:pStyle w:val="32"/>
      <w:lvlText w:val="%1."/>
      <w:lvlJc w:val="left"/>
      <w:pPr>
        <w:tabs>
          <w:tab w:val="num" w:pos="926"/>
        </w:tabs>
        <w:ind w:left="926" w:hanging="360"/>
      </w:pPr>
    </w:lvl>
    <w:lvl w:ilvl="1" w:tplc="EAE287A4">
      <w:start w:val="1"/>
      <w:numFmt w:val="bullet"/>
      <w:lvlText w:val="o"/>
      <w:lvlJc w:val="left"/>
      <w:pPr>
        <w:ind w:left="1440" w:hanging="360"/>
      </w:pPr>
      <w:rPr>
        <w:rFonts w:ascii="Courier New" w:eastAsia="Courier New" w:hAnsi="Courier New" w:cs="Courier New" w:hint="default"/>
      </w:rPr>
    </w:lvl>
    <w:lvl w:ilvl="2" w:tplc="168EAFCA">
      <w:start w:val="1"/>
      <w:numFmt w:val="bullet"/>
      <w:lvlText w:val="§"/>
      <w:lvlJc w:val="left"/>
      <w:pPr>
        <w:ind w:left="2160" w:hanging="360"/>
      </w:pPr>
      <w:rPr>
        <w:rFonts w:ascii="Wingdings" w:eastAsia="Wingdings" w:hAnsi="Wingdings" w:cs="Wingdings" w:hint="default"/>
      </w:rPr>
    </w:lvl>
    <w:lvl w:ilvl="3" w:tplc="75EA0186">
      <w:start w:val="1"/>
      <w:numFmt w:val="bullet"/>
      <w:lvlText w:val="·"/>
      <w:lvlJc w:val="left"/>
      <w:pPr>
        <w:ind w:left="2880" w:hanging="360"/>
      </w:pPr>
      <w:rPr>
        <w:rFonts w:ascii="Symbol" w:eastAsia="Symbol" w:hAnsi="Symbol" w:cs="Symbol" w:hint="default"/>
      </w:rPr>
    </w:lvl>
    <w:lvl w:ilvl="4" w:tplc="B0EE18DC">
      <w:start w:val="1"/>
      <w:numFmt w:val="bullet"/>
      <w:lvlText w:val="o"/>
      <w:lvlJc w:val="left"/>
      <w:pPr>
        <w:ind w:left="3600" w:hanging="360"/>
      </w:pPr>
      <w:rPr>
        <w:rFonts w:ascii="Courier New" w:eastAsia="Courier New" w:hAnsi="Courier New" w:cs="Courier New" w:hint="default"/>
      </w:rPr>
    </w:lvl>
    <w:lvl w:ilvl="5" w:tplc="26EC8548">
      <w:start w:val="1"/>
      <w:numFmt w:val="bullet"/>
      <w:lvlText w:val="§"/>
      <w:lvlJc w:val="left"/>
      <w:pPr>
        <w:ind w:left="4320" w:hanging="360"/>
      </w:pPr>
      <w:rPr>
        <w:rFonts w:ascii="Wingdings" w:eastAsia="Wingdings" w:hAnsi="Wingdings" w:cs="Wingdings" w:hint="default"/>
      </w:rPr>
    </w:lvl>
    <w:lvl w:ilvl="6" w:tplc="7F14CAC4">
      <w:start w:val="1"/>
      <w:numFmt w:val="bullet"/>
      <w:lvlText w:val="·"/>
      <w:lvlJc w:val="left"/>
      <w:pPr>
        <w:ind w:left="5040" w:hanging="360"/>
      </w:pPr>
      <w:rPr>
        <w:rFonts w:ascii="Symbol" w:eastAsia="Symbol" w:hAnsi="Symbol" w:cs="Symbol" w:hint="default"/>
      </w:rPr>
    </w:lvl>
    <w:lvl w:ilvl="7" w:tplc="66AE9920">
      <w:start w:val="1"/>
      <w:numFmt w:val="bullet"/>
      <w:lvlText w:val="o"/>
      <w:lvlJc w:val="left"/>
      <w:pPr>
        <w:ind w:left="5760" w:hanging="360"/>
      </w:pPr>
      <w:rPr>
        <w:rFonts w:ascii="Courier New" w:eastAsia="Courier New" w:hAnsi="Courier New" w:cs="Courier New" w:hint="default"/>
      </w:rPr>
    </w:lvl>
    <w:lvl w:ilvl="8" w:tplc="075A6796">
      <w:start w:val="1"/>
      <w:numFmt w:val="bullet"/>
      <w:lvlText w:val="§"/>
      <w:lvlJc w:val="left"/>
      <w:pPr>
        <w:ind w:left="6480" w:hanging="360"/>
      </w:pPr>
      <w:rPr>
        <w:rFonts w:ascii="Wingdings" w:eastAsia="Wingdings" w:hAnsi="Wingdings" w:cs="Wingdings" w:hint="default"/>
      </w:rPr>
    </w:lvl>
  </w:abstractNum>
  <w:abstractNum w:abstractNumId="146">
    <w:nsid w:val="72945809"/>
    <w:multiLevelType w:val="hybridMultilevel"/>
    <w:tmpl w:val="4E3CAEAE"/>
    <w:lvl w:ilvl="0" w:tplc="D3FE54B4">
      <w:start w:val="1"/>
      <w:numFmt w:val="bullet"/>
      <w:lvlText w:val="-"/>
      <w:lvlJc w:val="left"/>
      <w:pPr>
        <w:ind w:left="720" w:hanging="360"/>
      </w:pPr>
      <w:rPr>
        <w:rFonts w:ascii="Courier New" w:hAnsi="Courier New" w:hint="default"/>
      </w:rPr>
    </w:lvl>
    <w:lvl w:ilvl="1" w:tplc="FE4C42C0">
      <w:start w:val="1"/>
      <w:numFmt w:val="bullet"/>
      <w:lvlText w:val="o"/>
      <w:lvlJc w:val="left"/>
      <w:pPr>
        <w:ind w:left="1440" w:hanging="360"/>
      </w:pPr>
      <w:rPr>
        <w:rFonts w:ascii="Courier New" w:hAnsi="Courier New" w:cs="Courier New" w:hint="default"/>
      </w:rPr>
    </w:lvl>
    <w:lvl w:ilvl="2" w:tplc="1AA8F904">
      <w:start w:val="1"/>
      <w:numFmt w:val="bullet"/>
      <w:lvlText w:val=""/>
      <w:lvlJc w:val="left"/>
      <w:pPr>
        <w:ind w:left="2160" w:hanging="360"/>
      </w:pPr>
      <w:rPr>
        <w:rFonts w:ascii="Wingdings" w:hAnsi="Wingdings" w:hint="default"/>
      </w:rPr>
    </w:lvl>
    <w:lvl w:ilvl="3" w:tplc="C27ED78C">
      <w:start w:val="1"/>
      <w:numFmt w:val="bullet"/>
      <w:lvlText w:val=""/>
      <w:lvlJc w:val="left"/>
      <w:pPr>
        <w:ind w:left="2880" w:hanging="360"/>
      </w:pPr>
      <w:rPr>
        <w:rFonts w:ascii="Symbol" w:hAnsi="Symbol" w:hint="default"/>
      </w:rPr>
    </w:lvl>
    <w:lvl w:ilvl="4" w:tplc="D24E9CF2">
      <w:start w:val="1"/>
      <w:numFmt w:val="bullet"/>
      <w:lvlText w:val="o"/>
      <w:lvlJc w:val="left"/>
      <w:pPr>
        <w:ind w:left="3600" w:hanging="360"/>
      </w:pPr>
      <w:rPr>
        <w:rFonts w:ascii="Courier New" w:hAnsi="Courier New" w:cs="Courier New" w:hint="default"/>
      </w:rPr>
    </w:lvl>
    <w:lvl w:ilvl="5" w:tplc="65CCB8D0">
      <w:start w:val="1"/>
      <w:numFmt w:val="bullet"/>
      <w:lvlText w:val=""/>
      <w:lvlJc w:val="left"/>
      <w:pPr>
        <w:ind w:left="4320" w:hanging="360"/>
      </w:pPr>
      <w:rPr>
        <w:rFonts w:ascii="Wingdings" w:hAnsi="Wingdings" w:hint="default"/>
      </w:rPr>
    </w:lvl>
    <w:lvl w:ilvl="6" w:tplc="759AFFB6">
      <w:start w:val="1"/>
      <w:numFmt w:val="bullet"/>
      <w:lvlText w:val=""/>
      <w:lvlJc w:val="left"/>
      <w:pPr>
        <w:ind w:left="5040" w:hanging="360"/>
      </w:pPr>
      <w:rPr>
        <w:rFonts w:ascii="Symbol" w:hAnsi="Symbol" w:hint="default"/>
      </w:rPr>
    </w:lvl>
    <w:lvl w:ilvl="7" w:tplc="B61E0F22">
      <w:start w:val="1"/>
      <w:numFmt w:val="bullet"/>
      <w:lvlText w:val="o"/>
      <w:lvlJc w:val="left"/>
      <w:pPr>
        <w:ind w:left="5760" w:hanging="360"/>
      </w:pPr>
      <w:rPr>
        <w:rFonts w:ascii="Courier New" w:hAnsi="Courier New" w:cs="Courier New" w:hint="default"/>
      </w:rPr>
    </w:lvl>
    <w:lvl w:ilvl="8" w:tplc="FDC29306">
      <w:start w:val="1"/>
      <w:numFmt w:val="bullet"/>
      <w:lvlText w:val=""/>
      <w:lvlJc w:val="left"/>
      <w:pPr>
        <w:ind w:left="6480" w:hanging="360"/>
      </w:pPr>
      <w:rPr>
        <w:rFonts w:ascii="Wingdings" w:hAnsi="Wingdings" w:hint="default"/>
      </w:rPr>
    </w:lvl>
  </w:abstractNum>
  <w:abstractNum w:abstractNumId="147">
    <w:nsid w:val="72E04A81"/>
    <w:multiLevelType w:val="hybridMultilevel"/>
    <w:tmpl w:val="DBBC3EF8"/>
    <w:lvl w:ilvl="0" w:tplc="3E103D18">
      <w:start w:val="1"/>
      <w:numFmt w:val="bullet"/>
      <w:lvlText w:val=""/>
      <w:lvlJc w:val="left"/>
      <w:pPr>
        <w:ind w:left="777" w:hanging="360"/>
      </w:pPr>
      <w:rPr>
        <w:rFonts w:ascii="Symbol" w:hAnsi="Symbol" w:hint="default"/>
      </w:rPr>
    </w:lvl>
    <w:lvl w:ilvl="1" w:tplc="2FFC1ECE">
      <w:start w:val="1"/>
      <w:numFmt w:val="bullet"/>
      <w:lvlText w:val="o"/>
      <w:lvlJc w:val="left"/>
      <w:pPr>
        <w:ind w:left="1497" w:hanging="360"/>
      </w:pPr>
      <w:rPr>
        <w:rFonts w:ascii="Courier New" w:hAnsi="Courier New" w:cs="Courier New" w:hint="default"/>
      </w:rPr>
    </w:lvl>
    <w:lvl w:ilvl="2" w:tplc="36523F8E">
      <w:start w:val="1"/>
      <w:numFmt w:val="bullet"/>
      <w:lvlText w:val=""/>
      <w:lvlJc w:val="left"/>
      <w:pPr>
        <w:ind w:left="2217" w:hanging="360"/>
      </w:pPr>
      <w:rPr>
        <w:rFonts w:ascii="Wingdings" w:hAnsi="Wingdings" w:hint="default"/>
      </w:rPr>
    </w:lvl>
    <w:lvl w:ilvl="3" w:tplc="B264561A">
      <w:start w:val="1"/>
      <w:numFmt w:val="bullet"/>
      <w:lvlText w:val=""/>
      <w:lvlJc w:val="left"/>
      <w:pPr>
        <w:ind w:left="2937" w:hanging="360"/>
      </w:pPr>
      <w:rPr>
        <w:rFonts w:ascii="Symbol" w:hAnsi="Symbol" w:hint="default"/>
      </w:rPr>
    </w:lvl>
    <w:lvl w:ilvl="4" w:tplc="8CB2F366">
      <w:start w:val="1"/>
      <w:numFmt w:val="bullet"/>
      <w:lvlText w:val="o"/>
      <w:lvlJc w:val="left"/>
      <w:pPr>
        <w:ind w:left="3657" w:hanging="360"/>
      </w:pPr>
      <w:rPr>
        <w:rFonts w:ascii="Courier New" w:hAnsi="Courier New" w:cs="Courier New" w:hint="default"/>
      </w:rPr>
    </w:lvl>
    <w:lvl w:ilvl="5" w:tplc="2CC28990">
      <w:start w:val="1"/>
      <w:numFmt w:val="bullet"/>
      <w:lvlText w:val=""/>
      <w:lvlJc w:val="left"/>
      <w:pPr>
        <w:ind w:left="4377" w:hanging="360"/>
      </w:pPr>
      <w:rPr>
        <w:rFonts w:ascii="Wingdings" w:hAnsi="Wingdings" w:hint="default"/>
      </w:rPr>
    </w:lvl>
    <w:lvl w:ilvl="6" w:tplc="F446A87C">
      <w:start w:val="1"/>
      <w:numFmt w:val="bullet"/>
      <w:lvlText w:val=""/>
      <w:lvlJc w:val="left"/>
      <w:pPr>
        <w:ind w:left="5097" w:hanging="360"/>
      </w:pPr>
      <w:rPr>
        <w:rFonts w:ascii="Symbol" w:hAnsi="Symbol" w:hint="default"/>
      </w:rPr>
    </w:lvl>
    <w:lvl w:ilvl="7" w:tplc="25048DE2">
      <w:start w:val="1"/>
      <w:numFmt w:val="bullet"/>
      <w:lvlText w:val="o"/>
      <w:lvlJc w:val="left"/>
      <w:pPr>
        <w:ind w:left="5817" w:hanging="360"/>
      </w:pPr>
      <w:rPr>
        <w:rFonts w:ascii="Courier New" w:hAnsi="Courier New" w:cs="Courier New" w:hint="default"/>
      </w:rPr>
    </w:lvl>
    <w:lvl w:ilvl="8" w:tplc="807A32CC">
      <w:start w:val="1"/>
      <w:numFmt w:val="bullet"/>
      <w:lvlText w:val=""/>
      <w:lvlJc w:val="left"/>
      <w:pPr>
        <w:ind w:left="6537" w:hanging="360"/>
      </w:pPr>
      <w:rPr>
        <w:rFonts w:ascii="Wingdings" w:hAnsi="Wingdings" w:hint="default"/>
      </w:rPr>
    </w:lvl>
  </w:abstractNum>
  <w:abstractNum w:abstractNumId="148">
    <w:nsid w:val="73211C83"/>
    <w:multiLevelType w:val="hybridMultilevel"/>
    <w:tmpl w:val="FAAA14E0"/>
    <w:lvl w:ilvl="0" w:tplc="A412B28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9">
    <w:nsid w:val="73235D5A"/>
    <w:multiLevelType w:val="hybridMultilevel"/>
    <w:tmpl w:val="3730B168"/>
    <w:lvl w:ilvl="0" w:tplc="A412B280">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150">
    <w:nsid w:val="744F424D"/>
    <w:multiLevelType w:val="hybridMultilevel"/>
    <w:tmpl w:val="8196BCF0"/>
    <w:lvl w:ilvl="0" w:tplc="A412B280">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151">
    <w:nsid w:val="747927FA"/>
    <w:multiLevelType w:val="hybridMultilevel"/>
    <w:tmpl w:val="DB2A69A6"/>
    <w:lvl w:ilvl="0" w:tplc="83B89680">
      <w:start w:val="1"/>
      <w:numFmt w:val="none"/>
      <w:pStyle w:val="GOSTNameTable"/>
      <w:lvlText w:val="Таблица "/>
      <w:lvlJc w:val="left"/>
      <w:pPr>
        <w:tabs>
          <w:tab w:val="num" w:pos="567"/>
        </w:tabs>
        <w:ind w:left="0" w:firstLine="567"/>
      </w:pPr>
      <w:rPr>
        <w:rFonts w:ascii="Times New Roman" w:hAnsi="Times New Roman" w:cs="Times New Roman" w:hint="default"/>
        <w:b/>
        <w:bCs w:val="0"/>
        <w:i w:val="0"/>
        <w:iCs w:val="0"/>
        <w:caps w:val="0"/>
        <w:smallCaps w:val="0"/>
        <w:strike w:val="0"/>
        <w:vanish w:val="0"/>
        <w:spacing w:val="0"/>
        <w:position w:val="0"/>
        <w:sz w:val="24"/>
        <w:u w:val="none"/>
        <w:vertAlign w:val="baseline"/>
      </w:rPr>
    </w:lvl>
    <w:lvl w:ilvl="1" w:tplc="5B44BAB4">
      <w:start w:val="1"/>
      <w:numFmt w:val="lowerLetter"/>
      <w:lvlText w:val="%2."/>
      <w:lvlJc w:val="left"/>
      <w:pPr>
        <w:tabs>
          <w:tab w:val="num" w:pos="1440"/>
        </w:tabs>
        <w:ind w:left="1440" w:hanging="360"/>
      </w:pPr>
    </w:lvl>
    <w:lvl w:ilvl="2" w:tplc="000AB7E4">
      <w:start w:val="1"/>
      <w:numFmt w:val="lowerRoman"/>
      <w:lvlText w:val="%3."/>
      <w:lvlJc w:val="right"/>
      <w:pPr>
        <w:tabs>
          <w:tab w:val="num" w:pos="2160"/>
        </w:tabs>
        <w:ind w:left="2160" w:hanging="180"/>
      </w:pPr>
    </w:lvl>
    <w:lvl w:ilvl="3" w:tplc="15248EBC">
      <w:start w:val="1"/>
      <w:numFmt w:val="decimal"/>
      <w:lvlText w:val="%4."/>
      <w:lvlJc w:val="left"/>
      <w:pPr>
        <w:tabs>
          <w:tab w:val="num" w:pos="2880"/>
        </w:tabs>
        <w:ind w:left="2880" w:hanging="360"/>
      </w:pPr>
    </w:lvl>
    <w:lvl w:ilvl="4" w:tplc="26225556">
      <w:start w:val="1"/>
      <w:numFmt w:val="lowerLetter"/>
      <w:lvlText w:val="%5."/>
      <w:lvlJc w:val="left"/>
      <w:pPr>
        <w:tabs>
          <w:tab w:val="num" w:pos="3600"/>
        </w:tabs>
        <w:ind w:left="3600" w:hanging="360"/>
      </w:pPr>
    </w:lvl>
    <w:lvl w:ilvl="5" w:tplc="32789F14">
      <w:start w:val="1"/>
      <w:numFmt w:val="lowerRoman"/>
      <w:lvlText w:val="%6."/>
      <w:lvlJc w:val="right"/>
      <w:pPr>
        <w:tabs>
          <w:tab w:val="num" w:pos="4320"/>
        </w:tabs>
        <w:ind w:left="4320" w:hanging="180"/>
      </w:pPr>
    </w:lvl>
    <w:lvl w:ilvl="6" w:tplc="2BE44C32">
      <w:start w:val="1"/>
      <w:numFmt w:val="decimal"/>
      <w:lvlText w:val="%7."/>
      <w:lvlJc w:val="left"/>
      <w:pPr>
        <w:tabs>
          <w:tab w:val="num" w:pos="5040"/>
        </w:tabs>
        <w:ind w:left="5040" w:hanging="360"/>
      </w:pPr>
    </w:lvl>
    <w:lvl w:ilvl="7" w:tplc="902C6B7C">
      <w:start w:val="1"/>
      <w:numFmt w:val="lowerLetter"/>
      <w:lvlText w:val="%8."/>
      <w:lvlJc w:val="left"/>
      <w:pPr>
        <w:tabs>
          <w:tab w:val="num" w:pos="5760"/>
        </w:tabs>
        <w:ind w:left="5760" w:hanging="360"/>
      </w:pPr>
    </w:lvl>
    <w:lvl w:ilvl="8" w:tplc="EBBC30C6">
      <w:start w:val="1"/>
      <w:numFmt w:val="lowerRoman"/>
      <w:lvlText w:val="%9."/>
      <w:lvlJc w:val="right"/>
      <w:pPr>
        <w:tabs>
          <w:tab w:val="num" w:pos="6480"/>
        </w:tabs>
        <w:ind w:left="6480" w:hanging="180"/>
      </w:pPr>
    </w:lvl>
  </w:abstractNum>
  <w:abstractNum w:abstractNumId="152">
    <w:nsid w:val="76AD24F7"/>
    <w:multiLevelType w:val="hybridMultilevel"/>
    <w:tmpl w:val="8498289C"/>
    <w:lvl w:ilvl="0" w:tplc="A412B280">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153">
    <w:nsid w:val="779C781C"/>
    <w:multiLevelType w:val="hybridMultilevel"/>
    <w:tmpl w:val="288CDA5A"/>
    <w:lvl w:ilvl="0" w:tplc="6AEC4AE4">
      <w:start w:val="1"/>
      <w:numFmt w:val="bullet"/>
      <w:lvlText w:val="−"/>
      <w:lvlJc w:val="left"/>
      <w:pPr>
        <w:ind w:left="777" w:hanging="360"/>
      </w:pPr>
      <w:rPr>
        <w:rFonts w:ascii="Times New Roman" w:hAnsi="Times New Roman" w:cs="Times New Roman" w:hint="default"/>
      </w:rPr>
    </w:lvl>
    <w:lvl w:ilvl="1" w:tplc="9BB60ED6">
      <w:start w:val="1"/>
      <w:numFmt w:val="bullet"/>
      <w:lvlText w:val="o"/>
      <w:lvlJc w:val="left"/>
      <w:pPr>
        <w:ind w:left="1497" w:hanging="360"/>
      </w:pPr>
      <w:rPr>
        <w:rFonts w:ascii="Courier New" w:hAnsi="Courier New" w:cs="Courier New" w:hint="default"/>
      </w:rPr>
    </w:lvl>
    <w:lvl w:ilvl="2" w:tplc="AB021F72">
      <w:start w:val="1"/>
      <w:numFmt w:val="bullet"/>
      <w:lvlText w:val=""/>
      <w:lvlJc w:val="left"/>
      <w:pPr>
        <w:ind w:left="2217" w:hanging="360"/>
      </w:pPr>
      <w:rPr>
        <w:rFonts w:ascii="Wingdings" w:hAnsi="Wingdings" w:hint="default"/>
      </w:rPr>
    </w:lvl>
    <w:lvl w:ilvl="3" w:tplc="DBB43910">
      <w:start w:val="1"/>
      <w:numFmt w:val="bullet"/>
      <w:lvlText w:val=""/>
      <w:lvlJc w:val="left"/>
      <w:pPr>
        <w:ind w:left="2937" w:hanging="360"/>
      </w:pPr>
      <w:rPr>
        <w:rFonts w:ascii="Symbol" w:hAnsi="Symbol" w:hint="default"/>
      </w:rPr>
    </w:lvl>
    <w:lvl w:ilvl="4" w:tplc="82882664">
      <w:start w:val="1"/>
      <w:numFmt w:val="bullet"/>
      <w:lvlText w:val="o"/>
      <w:lvlJc w:val="left"/>
      <w:pPr>
        <w:ind w:left="3657" w:hanging="360"/>
      </w:pPr>
      <w:rPr>
        <w:rFonts w:ascii="Courier New" w:hAnsi="Courier New" w:cs="Courier New" w:hint="default"/>
      </w:rPr>
    </w:lvl>
    <w:lvl w:ilvl="5" w:tplc="0C7C3C70">
      <w:start w:val="1"/>
      <w:numFmt w:val="bullet"/>
      <w:lvlText w:val=""/>
      <w:lvlJc w:val="left"/>
      <w:pPr>
        <w:ind w:left="4377" w:hanging="360"/>
      </w:pPr>
      <w:rPr>
        <w:rFonts w:ascii="Wingdings" w:hAnsi="Wingdings" w:hint="default"/>
      </w:rPr>
    </w:lvl>
    <w:lvl w:ilvl="6" w:tplc="119CDB5A">
      <w:start w:val="1"/>
      <w:numFmt w:val="bullet"/>
      <w:lvlText w:val=""/>
      <w:lvlJc w:val="left"/>
      <w:pPr>
        <w:ind w:left="5097" w:hanging="360"/>
      </w:pPr>
      <w:rPr>
        <w:rFonts w:ascii="Symbol" w:hAnsi="Symbol" w:hint="default"/>
      </w:rPr>
    </w:lvl>
    <w:lvl w:ilvl="7" w:tplc="C30C2834">
      <w:start w:val="1"/>
      <w:numFmt w:val="bullet"/>
      <w:lvlText w:val="o"/>
      <w:lvlJc w:val="left"/>
      <w:pPr>
        <w:ind w:left="5817" w:hanging="360"/>
      </w:pPr>
      <w:rPr>
        <w:rFonts w:ascii="Courier New" w:hAnsi="Courier New" w:cs="Courier New" w:hint="default"/>
      </w:rPr>
    </w:lvl>
    <w:lvl w:ilvl="8" w:tplc="AD729682">
      <w:start w:val="1"/>
      <w:numFmt w:val="bullet"/>
      <w:lvlText w:val=""/>
      <w:lvlJc w:val="left"/>
      <w:pPr>
        <w:ind w:left="6537" w:hanging="360"/>
      </w:pPr>
      <w:rPr>
        <w:rFonts w:ascii="Wingdings" w:hAnsi="Wingdings" w:hint="default"/>
      </w:rPr>
    </w:lvl>
  </w:abstractNum>
  <w:abstractNum w:abstractNumId="154">
    <w:nsid w:val="779E3355"/>
    <w:multiLevelType w:val="multilevel"/>
    <w:tmpl w:val="B89CD09E"/>
    <w:lvl w:ilvl="0">
      <w:start w:val="1"/>
      <w:numFmt w:val="decimal"/>
      <w:pStyle w:val="014"/>
      <w:lvlText w:val="%1"/>
      <w:lvlJc w:val="left"/>
      <w:pPr>
        <w:tabs>
          <w:tab w:val="num" w:pos="709"/>
        </w:tabs>
        <w:ind w:left="709" w:firstLine="0"/>
      </w:pPr>
      <w:rPr>
        <w:rFonts w:ascii="Times New Roman" w:hAnsi="Times New Roman" w:hint="default"/>
        <w:b/>
        <w:i w:val="0"/>
        <w:caps w:val="0"/>
        <w:strike w:val="0"/>
        <w:vanish w:val="0"/>
        <w:color w:val="000000"/>
        <w:spacing w:val="0"/>
        <w:position w:val="0"/>
        <w:sz w:val="32"/>
        <w:u w:val="none"/>
        <w:vertAlign w:val="baseline"/>
      </w:rPr>
    </w:lvl>
    <w:lvl w:ilvl="1">
      <w:start w:val="1"/>
      <w:numFmt w:val="decimal"/>
      <w:pStyle w:val="022"/>
      <w:lvlText w:val="%1.%2"/>
      <w:lvlJc w:val="left"/>
      <w:pPr>
        <w:tabs>
          <w:tab w:val="num" w:pos="709"/>
        </w:tabs>
        <w:ind w:left="709" w:firstLine="0"/>
      </w:pPr>
      <w:rPr>
        <w:rFonts w:ascii="Times New Roman" w:hAnsi="Times New Roman" w:hint="default"/>
        <w:b/>
        <w:i w:val="0"/>
        <w:caps w:val="0"/>
        <w:strike w:val="0"/>
        <w:vanish w:val="0"/>
        <w:color w:val="000000"/>
        <w:spacing w:val="0"/>
        <w:position w:val="0"/>
        <w:sz w:val="28"/>
        <w:u w:val="none"/>
        <w:vertAlign w:val="baseline"/>
      </w:rPr>
    </w:lvl>
    <w:lvl w:ilvl="2">
      <w:start w:val="1"/>
      <w:numFmt w:val="decimal"/>
      <w:pStyle w:val="032"/>
      <w:lvlText w:val="%1.4.%3"/>
      <w:lvlJc w:val="left"/>
      <w:pPr>
        <w:tabs>
          <w:tab w:val="num" w:pos="2411"/>
        </w:tabs>
        <w:ind w:left="2411" w:firstLine="0"/>
      </w:pPr>
      <w:rPr>
        <w:rFonts w:ascii="Times New Roman" w:hAnsi="Times New Roman" w:cs="Times New Roman"/>
        <w:b/>
        <w:bCs w:val="0"/>
        <w:i w:val="0"/>
        <w:iCs w:val="0"/>
        <w:caps w:val="0"/>
        <w:smallCaps w:val="0"/>
        <w:strike w:val="0"/>
        <w:vanish w:val="0"/>
        <w:color w:val="000000"/>
        <w:spacing w:val="0"/>
        <w:position w:val="0"/>
        <w:u w:val="none"/>
        <w:vertAlign w:val="baseline"/>
        <w14:textOutline w14:w="0" w14:cap="rnd" w14:cmpd="sng" w14:algn="ctr">
          <w14:noFill/>
          <w14:prstDash w14:val="solid"/>
          <w14:bevel/>
        </w14:textOutline>
      </w:rPr>
    </w:lvl>
    <w:lvl w:ilvl="3">
      <w:start w:val="1"/>
      <w:numFmt w:val="decimal"/>
      <w:pStyle w:val="041"/>
      <w:lvlText w:val="%1.%2.%3.%4"/>
      <w:lvlJc w:val="left"/>
      <w:pPr>
        <w:tabs>
          <w:tab w:val="num" w:pos="4679"/>
        </w:tabs>
        <w:ind w:left="4679" w:firstLine="0"/>
      </w:pPr>
      <w:rPr>
        <w:rFonts w:ascii="Times New Roman" w:hAnsi="Times New Roman" w:hint="default"/>
        <w:b/>
        <w:i w:val="0"/>
        <w:caps w:val="0"/>
        <w:strike w:val="0"/>
        <w:vanish w:val="0"/>
        <w:color w:val="000000"/>
        <w:spacing w:val="0"/>
        <w:position w:val="0"/>
        <w:sz w:val="28"/>
        <w:szCs w:val="28"/>
        <w:u w:val="none"/>
        <w:vertAlign w:val="baseline"/>
      </w:rPr>
    </w:lvl>
    <w:lvl w:ilvl="4">
      <w:start w:val="1"/>
      <w:numFmt w:val="decimal"/>
      <w:pStyle w:val="051"/>
      <w:lvlText w:val="%1.%2.%3.%4.%5"/>
      <w:lvlJc w:val="left"/>
      <w:pPr>
        <w:tabs>
          <w:tab w:val="num" w:pos="709"/>
        </w:tabs>
        <w:ind w:left="709" w:firstLine="0"/>
      </w:pPr>
      <w:rPr>
        <w:rFonts w:ascii="Times New Roman" w:hAnsi="Times New Roman" w:hint="default"/>
        <w:b/>
        <w:i w:val="0"/>
        <w:caps w:val="0"/>
        <w:strike w:val="0"/>
        <w:vanish w:val="0"/>
        <w:color w:val="000000"/>
        <w:sz w:val="24"/>
        <w:u w:val="none"/>
        <w:vertAlign w:val="baseline"/>
      </w:rPr>
    </w:lvl>
    <w:lvl w:ilvl="5">
      <w:start w:val="1"/>
      <w:numFmt w:val="decimal"/>
      <w:pStyle w:val="061"/>
      <w:lvlText w:val="%1.%2.%3.%4.%5.%6"/>
      <w:lvlJc w:val="left"/>
      <w:pPr>
        <w:tabs>
          <w:tab w:val="num" w:pos="709"/>
        </w:tabs>
        <w:ind w:left="709" w:firstLine="0"/>
      </w:pPr>
      <w:rPr>
        <w:rFonts w:ascii="Times New Roman" w:hAnsi="Times New Roman" w:hint="default"/>
        <w:b/>
        <w:i w:val="0"/>
        <w:caps w:val="0"/>
        <w:strike w:val="0"/>
        <w:vanish w:val="0"/>
        <w:color w:val="000000"/>
        <w:sz w:val="24"/>
        <w:u w:val="none"/>
        <w:vertAlign w:val="baseline"/>
      </w:rPr>
    </w:lvl>
    <w:lvl w:ilvl="6">
      <w:start w:val="1"/>
      <w:numFmt w:val="decimal"/>
      <w:lvlText w:val="%7."/>
      <w:lvlJc w:val="left"/>
      <w:pPr>
        <w:tabs>
          <w:tab w:val="num" w:pos="709"/>
        </w:tabs>
        <w:ind w:left="709" w:firstLine="0"/>
      </w:pPr>
      <w:rPr>
        <w:rFonts w:hint="default"/>
      </w:rPr>
    </w:lvl>
    <w:lvl w:ilvl="7">
      <w:start w:val="1"/>
      <w:numFmt w:val="lowerLetter"/>
      <w:lvlText w:val="%8."/>
      <w:lvlJc w:val="left"/>
      <w:pPr>
        <w:tabs>
          <w:tab w:val="num" w:pos="709"/>
        </w:tabs>
        <w:ind w:left="709" w:firstLine="0"/>
      </w:pPr>
      <w:rPr>
        <w:rFonts w:hint="default"/>
      </w:rPr>
    </w:lvl>
    <w:lvl w:ilvl="8">
      <w:start w:val="1"/>
      <w:numFmt w:val="lowerRoman"/>
      <w:lvlText w:val="%9."/>
      <w:lvlJc w:val="left"/>
      <w:pPr>
        <w:tabs>
          <w:tab w:val="num" w:pos="709"/>
        </w:tabs>
        <w:ind w:left="709" w:firstLine="0"/>
      </w:pPr>
      <w:rPr>
        <w:rFonts w:hint="default"/>
      </w:rPr>
    </w:lvl>
  </w:abstractNum>
  <w:abstractNum w:abstractNumId="155">
    <w:nsid w:val="78367482"/>
    <w:multiLevelType w:val="hybridMultilevel"/>
    <w:tmpl w:val="F2C88CC8"/>
    <w:lvl w:ilvl="0" w:tplc="5EE6F73C">
      <w:start w:val="1"/>
      <w:numFmt w:val="decimal"/>
      <w:lvlText w:val="%1."/>
      <w:lvlJc w:val="left"/>
      <w:pPr>
        <w:ind w:left="417" w:hanging="360"/>
      </w:pPr>
      <w:rPr>
        <w:rFonts w:hint="default"/>
      </w:rPr>
    </w:lvl>
    <w:lvl w:ilvl="1" w:tplc="7C4602A6">
      <w:start w:val="1"/>
      <w:numFmt w:val="lowerLetter"/>
      <w:lvlText w:val="%2."/>
      <w:lvlJc w:val="left"/>
      <w:pPr>
        <w:ind w:left="1137" w:hanging="360"/>
      </w:pPr>
    </w:lvl>
    <w:lvl w:ilvl="2" w:tplc="E2F8E716">
      <w:start w:val="1"/>
      <w:numFmt w:val="lowerRoman"/>
      <w:lvlText w:val="%3."/>
      <w:lvlJc w:val="right"/>
      <w:pPr>
        <w:ind w:left="1857" w:hanging="180"/>
      </w:pPr>
    </w:lvl>
    <w:lvl w:ilvl="3" w:tplc="BF70A588">
      <w:start w:val="1"/>
      <w:numFmt w:val="decimal"/>
      <w:lvlText w:val="%4."/>
      <w:lvlJc w:val="left"/>
      <w:pPr>
        <w:ind w:left="2577" w:hanging="360"/>
      </w:pPr>
    </w:lvl>
    <w:lvl w:ilvl="4" w:tplc="EFF42DD4">
      <w:start w:val="1"/>
      <w:numFmt w:val="lowerLetter"/>
      <w:lvlText w:val="%5."/>
      <w:lvlJc w:val="left"/>
      <w:pPr>
        <w:ind w:left="3297" w:hanging="360"/>
      </w:pPr>
    </w:lvl>
    <w:lvl w:ilvl="5" w:tplc="8DDA4644">
      <w:start w:val="1"/>
      <w:numFmt w:val="lowerRoman"/>
      <w:lvlText w:val="%6."/>
      <w:lvlJc w:val="right"/>
      <w:pPr>
        <w:ind w:left="4017" w:hanging="180"/>
      </w:pPr>
    </w:lvl>
    <w:lvl w:ilvl="6" w:tplc="FC90C504">
      <w:start w:val="1"/>
      <w:numFmt w:val="decimal"/>
      <w:lvlText w:val="%7."/>
      <w:lvlJc w:val="left"/>
      <w:pPr>
        <w:ind w:left="4737" w:hanging="360"/>
      </w:pPr>
    </w:lvl>
    <w:lvl w:ilvl="7" w:tplc="C31A3428">
      <w:start w:val="1"/>
      <w:numFmt w:val="lowerLetter"/>
      <w:lvlText w:val="%8."/>
      <w:lvlJc w:val="left"/>
      <w:pPr>
        <w:ind w:left="5457" w:hanging="360"/>
      </w:pPr>
    </w:lvl>
    <w:lvl w:ilvl="8" w:tplc="60203F62">
      <w:start w:val="1"/>
      <w:numFmt w:val="lowerRoman"/>
      <w:lvlText w:val="%9."/>
      <w:lvlJc w:val="right"/>
      <w:pPr>
        <w:ind w:left="6177" w:hanging="180"/>
      </w:pPr>
    </w:lvl>
  </w:abstractNum>
  <w:abstractNum w:abstractNumId="156">
    <w:nsid w:val="787874DD"/>
    <w:multiLevelType w:val="hybridMultilevel"/>
    <w:tmpl w:val="3F28658E"/>
    <w:lvl w:ilvl="0" w:tplc="4FCCDE38">
      <w:start w:val="1"/>
      <w:numFmt w:val="bullet"/>
      <w:lvlText w:val="−"/>
      <w:lvlJc w:val="left"/>
      <w:pPr>
        <w:ind w:left="777" w:hanging="360"/>
      </w:pPr>
      <w:rPr>
        <w:rFonts w:ascii="Times New Roman" w:hAnsi="Times New Roman" w:cs="Times New Roman" w:hint="default"/>
      </w:rPr>
    </w:lvl>
    <w:lvl w:ilvl="1" w:tplc="C61CBB54">
      <w:start w:val="1"/>
      <w:numFmt w:val="bullet"/>
      <w:lvlText w:val="o"/>
      <w:lvlJc w:val="left"/>
      <w:pPr>
        <w:ind w:left="1497" w:hanging="360"/>
      </w:pPr>
      <w:rPr>
        <w:rFonts w:ascii="Courier New" w:hAnsi="Courier New" w:cs="Courier New" w:hint="default"/>
      </w:rPr>
    </w:lvl>
    <w:lvl w:ilvl="2" w:tplc="14A8E922">
      <w:start w:val="1"/>
      <w:numFmt w:val="bullet"/>
      <w:lvlText w:val=""/>
      <w:lvlJc w:val="left"/>
      <w:pPr>
        <w:ind w:left="2217" w:hanging="360"/>
      </w:pPr>
      <w:rPr>
        <w:rFonts w:ascii="Wingdings" w:hAnsi="Wingdings" w:hint="default"/>
      </w:rPr>
    </w:lvl>
    <w:lvl w:ilvl="3" w:tplc="6D003C0C">
      <w:start w:val="1"/>
      <w:numFmt w:val="bullet"/>
      <w:lvlText w:val=""/>
      <w:lvlJc w:val="left"/>
      <w:pPr>
        <w:ind w:left="2937" w:hanging="360"/>
      </w:pPr>
      <w:rPr>
        <w:rFonts w:ascii="Symbol" w:hAnsi="Symbol" w:hint="default"/>
      </w:rPr>
    </w:lvl>
    <w:lvl w:ilvl="4" w:tplc="F4F616C0">
      <w:start w:val="1"/>
      <w:numFmt w:val="bullet"/>
      <w:lvlText w:val="o"/>
      <w:lvlJc w:val="left"/>
      <w:pPr>
        <w:ind w:left="3657" w:hanging="360"/>
      </w:pPr>
      <w:rPr>
        <w:rFonts w:ascii="Courier New" w:hAnsi="Courier New" w:cs="Courier New" w:hint="default"/>
      </w:rPr>
    </w:lvl>
    <w:lvl w:ilvl="5" w:tplc="3E165BA8">
      <w:start w:val="1"/>
      <w:numFmt w:val="bullet"/>
      <w:lvlText w:val=""/>
      <w:lvlJc w:val="left"/>
      <w:pPr>
        <w:ind w:left="4377" w:hanging="360"/>
      </w:pPr>
      <w:rPr>
        <w:rFonts w:ascii="Wingdings" w:hAnsi="Wingdings" w:hint="default"/>
      </w:rPr>
    </w:lvl>
    <w:lvl w:ilvl="6" w:tplc="A3384F14">
      <w:start w:val="1"/>
      <w:numFmt w:val="bullet"/>
      <w:lvlText w:val=""/>
      <w:lvlJc w:val="left"/>
      <w:pPr>
        <w:ind w:left="5097" w:hanging="360"/>
      </w:pPr>
      <w:rPr>
        <w:rFonts w:ascii="Symbol" w:hAnsi="Symbol" w:hint="default"/>
      </w:rPr>
    </w:lvl>
    <w:lvl w:ilvl="7" w:tplc="2A321EA4">
      <w:start w:val="1"/>
      <w:numFmt w:val="bullet"/>
      <w:lvlText w:val="o"/>
      <w:lvlJc w:val="left"/>
      <w:pPr>
        <w:ind w:left="5817" w:hanging="360"/>
      </w:pPr>
      <w:rPr>
        <w:rFonts w:ascii="Courier New" w:hAnsi="Courier New" w:cs="Courier New" w:hint="default"/>
      </w:rPr>
    </w:lvl>
    <w:lvl w:ilvl="8" w:tplc="E6C23AB0">
      <w:start w:val="1"/>
      <w:numFmt w:val="bullet"/>
      <w:lvlText w:val=""/>
      <w:lvlJc w:val="left"/>
      <w:pPr>
        <w:ind w:left="6537" w:hanging="360"/>
      </w:pPr>
      <w:rPr>
        <w:rFonts w:ascii="Wingdings" w:hAnsi="Wingdings" w:hint="default"/>
      </w:rPr>
    </w:lvl>
  </w:abstractNum>
  <w:abstractNum w:abstractNumId="157">
    <w:nsid w:val="798821AC"/>
    <w:multiLevelType w:val="hybridMultilevel"/>
    <w:tmpl w:val="F872EEEA"/>
    <w:lvl w:ilvl="0" w:tplc="4FD4FB18">
      <w:start w:val="1"/>
      <w:numFmt w:val="decimal"/>
      <w:pStyle w:val="0210"/>
      <w:lvlText w:val="%1)"/>
      <w:lvlJc w:val="left"/>
      <w:pPr>
        <w:ind w:left="587" w:hanging="360"/>
      </w:pPr>
      <w:rPr>
        <w:rFonts w:ascii="Times New Roman" w:hAnsi="Times New Roman" w:cs="Times New Roman" w:hint="default"/>
        <w:b w:val="0"/>
        <w:bCs w:val="0"/>
        <w:i w:val="0"/>
        <w:iCs w:val="0"/>
        <w:caps w:val="0"/>
        <w:smallCaps w:val="0"/>
        <w:strike w:val="0"/>
        <w:vanish w:val="0"/>
        <w:color w:val="000000"/>
        <w:spacing w:val="0"/>
        <w:position w:val="0"/>
        <w:sz w:val="20"/>
        <w:u w:val="none"/>
        <w:vertAlign w:val="baseline"/>
      </w:rPr>
    </w:lvl>
    <w:lvl w:ilvl="1" w:tplc="591056D2">
      <w:start w:val="1"/>
      <w:numFmt w:val="lowerLetter"/>
      <w:lvlText w:val="%2."/>
      <w:lvlJc w:val="left"/>
      <w:pPr>
        <w:ind w:left="1307" w:hanging="360"/>
      </w:pPr>
    </w:lvl>
    <w:lvl w:ilvl="2" w:tplc="3CB08288">
      <w:start w:val="1"/>
      <w:numFmt w:val="lowerRoman"/>
      <w:lvlText w:val="%3."/>
      <w:lvlJc w:val="right"/>
      <w:pPr>
        <w:ind w:left="2027" w:hanging="180"/>
      </w:pPr>
    </w:lvl>
    <w:lvl w:ilvl="3" w:tplc="2FA4F60C">
      <w:start w:val="1"/>
      <w:numFmt w:val="decimal"/>
      <w:lvlText w:val="%4."/>
      <w:lvlJc w:val="left"/>
      <w:pPr>
        <w:ind w:left="2747" w:hanging="360"/>
      </w:pPr>
    </w:lvl>
    <w:lvl w:ilvl="4" w:tplc="CBD4FE72">
      <w:start w:val="1"/>
      <w:numFmt w:val="lowerLetter"/>
      <w:lvlText w:val="%5."/>
      <w:lvlJc w:val="left"/>
      <w:pPr>
        <w:ind w:left="3467" w:hanging="360"/>
      </w:pPr>
    </w:lvl>
    <w:lvl w:ilvl="5" w:tplc="F8E6242E">
      <w:start w:val="1"/>
      <w:numFmt w:val="lowerRoman"/>
      <w:lvlText w:val="%6."/>
      <w:lvlJc w:val="right"/>
      <w:pPr>
        <w:ind w:left="4187" w:hanging="180"/>
      </w:pPr>
    </w:lvl>
    <w:lvl w:ilvl="6" w:tplc="5666029A">
      <w:start w:val="1"/>
      <w:numFmt w:val="decimal"/>
      <w:lvlText w:val="%7."/>
      <w:lvlJc w:val="left"/>
      <w:pPr>
        <w:ind w:left="4907" w:hanging="360"/>
      </w:pPr>
    </w:lvl>
    <w:lvl w:ilvl="7" w:tplc="4B92902C">
      <w:start w:val="1"/>
      <w:numFmt w:val="lowerLetter"/>
      <w:lvlText w:val="%8."/>
      <w:lvlJc w:val="left"/>
      <w:pPr>
        <w:ind w:left="5627" w:hanging="360"/>
      </w:pPr>
    </w:lvl>
    <w:lvl w:ilvl="8" w:tplc="703063B0">
      <w:start w:val="1"/>
      <w:numFmt w:val="lowerRoman"/>
      <w:lvlText w:val="%9."/>
      <w:lvlJc w:val="right"/>
      <w:pPr>
        <w:ind w:left="6347" w:hanging="180"/>
      </w:pPr>
    </w:lvl>
  </w:abstractNum>
  <w:abstractNum w:abstractNumId="158">
    <w:nsid w:val="7A560098"/>
    <w:multiLevelType w:val="hybridMultilevel"/>
    <w:tmpl w:val="E33C1D3E"/>
    <w:lvl w:ilvl="0" w:tplc="A412B280">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159">
    <w:nsid w:val="7AC7644E"/>
    <w:multiLevelType w:val="hybridMultilevel"/>
    <w:tmpl w:val="8A50B898"/>
    <w:lvl w:ilvl="0" w:tplc="204C8AEE">
      <w:start w:val="1"/>
      <w:numFmt w:val="bullet"/>
      <w:lvlText w:val="−"/>
      <w:lvlJc w:val="left"/>
      <w:pPr>
        <w:ind w:left="777" w:hanging="360"/>
      </w:pPr>
      <w:rPr>
        <w:rFonts w:ascii="Times New Roman" w:hAnsi="Times New Roman" w:cs="Times New Roman" w:hint="default"/>
      </w:rPr>
    </w:lvl>
    <w:lvl w:ilvl="1" w:tplc="6EA08E86">
      <w:start w:val="1"/>
      <w:numFmt w:val="bullet"/>
      <w:lvlText w:val="o"/>
      <w:lvlJc w:val="left"/>
      <w:pPr>
        <w:ind w:left="1497" w:hanging="360"/>
      </w:pPr>
      <w:rPr>
        <w:rFonts w:ascii="Courier New" w:hAnsi="Courier New" w:cs="Courier New" w:hint="default"/>
      </w:rPr>
    </w:lvl>
    <w:lvl w:ilvl="2" w:tplc="314824AC">
      <w:start w:val="1"/>
      <w:numFmt w:val="bullet"/>
      <w:lvlText w:val=""/>
      <w:lvlJc w:val="left"/>
      <w:pPr>
        <w:ind w:left="2217" w:hanging="360"/>
      </w:pPr>
      <w:rPr>
        <w:rFonts w:ascii="Wingdings" w:hAnsi="Wingdings" w:hint="default"/>
      </w:rPr>
    </w:lvl>
    <w:lvl w:ilvl="3" w:tplc="363ABD22">
      <w:start w:val="1"/>
      <w:numFmt w:val="bullet"/>
      <w:lvlText w:val=""/>
      <w:lvlJc w:val="left"/>
      <w:pPr>
        <w:ind w:left="2937" w:hanging="360"/>
      </w:pPr>
      <w:rPr>
        <w:rFonts w:ascii="Symbol" w:hAnsi="Symbol" w:hint="default"/>
      </w:rPr>
    </w:lvl>
    <w:lvl w:ilvl="4" w:tplc="31A4D9C2">
      <w:start w:val="1"/>
      <w:numFmt w:val="bullet"/>
      <w:lvlText w:val="o"/>
      <w:lvlJc w:val="left"/>
      <w:pPr>
        <w:ind w:left="3657" w:hanging="360"/>
      </w:pPr>
      <w:rPr>
        <w:rFonts w:ascii="Courier New" w:hAnsi="Courier New" w:cs="Courier New" w:hint="default"/>
      </w:rPr>
    </w:lvl>
    <w:lvl w:ilvl="5" w:tplc="61E89B7C">
      <w:start w:val="1"/>
      <w:numFmt w:val="bullet"/>
      <w:lvlText w:val=""/>
      <w:lvlJc w:val="left"/>
      <w:pPr>
        <w:ind w:left="4377" w:hanging="360"/>
      </w:pPr>
      <w:rPr>
        <w:rFonts w:ascii="Wingdings" w:hAnsi="Wingdings" w:hint="default"/>
      </w:rPr>
    </w:lvl>
    <w:lvl w:ilvl="6" w:tplc="9188912A">
      <w:start w:val="1"/>
      <w:numFmt w:val="bullet"/>
      <w:lvlText w:val=""/>
      <w:lvlJc w:val="left"/>
      <w:pPr>
        <w:ind w:left="5097" w:hanging="360"/>
      </w:pPr>
      <w:rPr>
        <w:rFonts w:ascii="Symbol" w:hAnsi="Symbol" w:hint="default"/>
      </w:rPr>
    </w:lvl>
    <w:lvl w:ilvl="7" w:tplc="6DF496AE">
      <w:start w:val="1"/>
      <w:numFmt w:val="bullet"/>
      <w:lvlText w:val="o"/>
      <w:lvlJc w:val="left"/>
      <w:pPr>
        <w:ind w:left="5817" w:hanging="360"/>
      </w:pPr>
      <w:rPr>
        <w:rFonts w:ascii="Courier New" w:hAnsi="Courier New" w:cs="Courier New" w:hint="default"/>
      </w:rPr>
    </w:lvl>
    <w:lvl w:ilvl="8" w:tplc="32B82C4C">
      <w:start w:val="1"/>
      <w:numFmt w:val="bullet"/>
      <w:lvlText w:val=""/>
      <w:lvlJc w:val="left"/>
      <w:pPr>
        <w:ind w:left="6537" w:hanging="360"/>
      </w:pPr>
      <w:rPr>
        <w:rFonts w:ascii="Wingdings" w:hAnsi="Wingdings" w:hint="default"/>
      </w:rPr>
    </w:lvl>
  </w:abstractNum>
  <w:abstractNum w:abstractNumId="160">
    <w:nsid w:val="7B1E79BC"/>
    <w:multiLevelType w:val="hybridMultilevel"/>
    <w:tmpl w:val="E66EAE74"/>
    <w:lvl w:ilvl="0" w:tplc="451E0924">
      <w:start w:val="1"/>
      <w:numFmt w:val="bullet"/>
      <w:pStyle w:val="GOSTListmark3"/>
      <w:lvlText w:val="–"/>
      <w:lvlJc w:val="left"/>
      <w:pPr>
        <w:tabs>
          <w:tab w:val="num" w:pos="1418"/>
        </w:tabs>
        <w:ind w:left="1418" w:hanging="284"/>
      </w:pPr>
      <w:rPr>
        <w:rFonts w:ascii="Times New Roman" w:hAnsi="Times New Roman" w:cs="Times New Roman" w:hint="default"/>
      </w:rPr>
    </w:lvl>
    <w:lvl w:ilvl="1" w:tplc="E870C166">
      <w:start w:val="1"/>
      <w:numFmt w:val="bullet"/>
      <w:lvlText w:val="o"/>
      <w:lvlJc w:val="left"/>
      <w:pPr>
        <w:tabs>
          <w:tab w:val="num" w:pos="1440"/>
        </w:tabs>
        <w:ind w:left="1440" w:hanging="360"/>
      </w:pPr>
      <w:rPr>
        <w:rFonts w:ascii="Courier New" w:hAnsi="Courier New" w:cs="Courier New" w:hint="default"/>
      </w:rPr>
    </w:lvl>
    <w:lvl w:ilvl="2" w:tplc="E726352C">
      <w:start w:val="1"/>
      <w:numFmt w:val="bullet"/>
      <w:lvlText w:val=""/>
      <w:lvlJc w:val="left"/>
      <w:pPr>
        <w:tabs>
          <w:tab w:val="num" w:pos="2160"/>
        </w:tabs>
        <w:ind w:left="2160" w:hanging="360"/>
      </w:pPr>
      <w:rPr>
        <w:rFonts w:ascii="Wingdings" w:hAnsi="Wingdings" w:hint="default"/>
      </w:rPr>
    </w:lvl>
    <w:lvl w:ilvl="3" w:tplc="3B103F16">
      <w:start w:val="1"/>
      <w:numFmt w:val="bullet"/>
      <w:lvlText w:val=""/>
      <w:lvlJc w:val="left"/>
      <w:pPr>
        <w:tabs>
          <w:tab w:val="num" w:pos="2880"/>
        </w:tabs>
        <w:ind w:left="2880" w:hanging="360"/>
      </w:pPr>
      <w:rPr>
        <w:rFonts w:ascii="Symbol" w:hAnsi="Symbol" w:hint="default"/>
      </w:rPr>
    </w:lvl>
    <w:lvl w:ilvl="4" w:tplc="7CFE9F5A">
      <w:start w:val="1"/>
      <w:numFmt w:val="bullet"/>
      <w:lvlText w:val="o"/>
      <w:lvlJc w:val="left"/>
      <w:pPr>
        <w:tabs>
          <w:tab w:val="num" w:pos="3600"/>
        </w:tabs>
        <w:ind w:left="3600" w:hanging="360"/>
      </w:pPr>
      <w:rPr>
        <w:rFonts w:ascii="Courier New" w:hAnsi="Courier New" w:cs="Courier New" w:hint="default"/>
      </w:rPr>
    </w:lvl>
    <w:lvl w:ilvl="5" w:tplc="DA684A0A">
      <w:start w:val="1"/>
      <w:numFmt w:val="bullet"/>
      <w:lvlText w:val=""/>
      <w:lvlJc w:val="left"/>
      <w:pPr>
        <w:tabs>
          <w:tab w:val="num" w:pos="4320"/>
        </w:tabs>
        <w:ind w:left="4320" w:hanging="360"/>
      </w:pPr>
      <w:rPr>
        <w:rFonts w:ascii="Wingdings" w:hAnsi="Wingdings" w:hint="default"/>
      </w:rPr>
    </w:lvl>
    <w:lvl w:ilvl="6" w:tplc="C08A095A">
      <w:start w:val="1"/>
      <w:numFmt w:val="bullet"/>
      <w:lvlText w:val=""/>
      <w:lvlJc w:val="left"/>
      <w:pPr>
        <w:tabs>
          <w:tab w:val="num" w:pos="5040"/>
        </w:tabs>
        <w:ind w:left="5040" w:hanging="360"/>
      </w:pPr>
      <w:rPr>
        <w:rFonts w:ascii="Symbol" w:hAnsi="Symbol" w:hint="default"/>
      </w:rPr>
    </w:lvl>
    <w:lvl w:ilvl="7" w:tplc="41CC8CC6">
      <w:start w:val="1"/>
      <w:numFmt w:val="bullet"/>
      <w:lvlText w:val="o"/>
      <w:lvlJc w:val="left"/>
      <w:pPr>
        <w:tabs>
          <w:tab w:val="num" w:pos="5760"/>
        </w:tabs>
        <w:ind w:left="5760" w:hanging="360"/>
      </w:pPr>
      <w:rPr>
        <w:rFonts w:ascii="Courier New" w:hAnsi="Courier New" w:cs="Courier New" w:hint="default"/>
      </w:rPr>
    </w:lvl>
    <w:lvl w:ilvl="8" w:tplc="253A8FE0">
      <w:start w:val="1"/>
      <w:numFmt w:val="bullet"/>
      <w:lvlText w:val=""/>
      <w:lvlJc w:val="left"/>
      <w:pPr>
        <w:tabs>
          <w:tab w:val="num" w:pos="6480"/>
        </w:tabs>
        <w:ind w:left="6480" w:hanging="360"/>
      </w:pPr>
      <w:rPr>
        <w:rFonts w:ascii="Wingdings" w:hAnsi="Wingdings" w:hint="default"/>
      </w:rPr>
    </w:lvl>
  </w:abstractNum>
  <w:abstractNum w:abstractNumId="161">
    <w:nsid w:val="7EB36B1B"/>
    <w:multiLevelType w:val="multilevel"/>
    <w:tmpl w:val="E2F0D668"/>
    <w:lvl w:ilvl="0">
      <w:start w:val="1"/>
      <w:numFmt w:val="decimal"/>
      <w:pStyle w:val="ASFKListnum1"/>
      <w:lvlText w:val="%1."/>
      <w:lvlJc w:val="left"/>
      <w:pPr>
        <w:tabs>
          <w:tab w:val="num" w:pos="1021"/>
        </w:tabs>
        <w:ind w:left="1021" w:hanging="454"/>
      </w:pPr>
      <w:rPr>
        <w:rFonts w:ascii="Times New Roman" w:hAnsi="Times New Roman" w:cs="Times New Roman"/>
        <w:b w:val="0"/>
        <w:bCs w:val="0"/>
        <w:i w:val="0"/>
        <w:iCs w:val="0"/>
        <w:caps w:val="0"/>
        <w:smallCaps w:val="0"/>
        <w:strike w:val="0"/>
        <w:vanish w:val="0"/>
        <w:color w:val="000000"/>
        <w:spacing w:val="0"/>
        <w:position w:val="0"/>
        <w:u w:val="none"/>
        <w:vertAlign w:val="baseline"/>
        <w14:textOutline w14:w="0" w14:cap="rnd" w14:cmpd="sng" w14:algn="ctr">
          <w14:noFill/>
          <w14:prstDash w14:val="solid"/>
          <w14:bevel/>
        </w14:textOutline>
      </w:rPr>
    </w:lvl>
    <w:lvl w:ilvl="1">
      <w:start w:val="1"/>
      <w:numFmt w:val="decimal"/>
      <w:isLgl/>
      <w:lvlText w:val="%1.%2."/>
      <w:lvlJc w:val="left"/>
      <w:pPr>
        <w:tabs>
          <w:tab w:val="num" w:pos="1854"/>
        </w:tabs>
        <w:ind w:left="1854" w:hanging="567"/>
      </w:pPr>
      <w:rPr>
        <w:rFonts w:ascii="Arial CYR" w:hAnsi="Arial CYR" w:cs="Arial CYR" w:hint="default"/>
        <w:b w:val="0"/>
        <w:i w:val="0"/>
        <w:sz w:val="24"/>
      </w:rPr>
    </w:lvl>
    <w:lvl w:ilvl="2">
      <w:start w:val="1"/>
      <w:numFmt w:val="decimal"/>
      <w:isLgl/>
      <w:lvlText w:val="%1.%2.%3."/>
      <w:lvlJc w:val="left"/>
      <w:pPr>
        <w:tabs>
          <w:tab w:val="num" w:pos="2421"/>
        </w:tabs>
        <w:ind w:left="2421" w:hanging="567"/>
      </w:pPr>
      <w:rPr>
        <w:rFonts w:ascii="Arial CYR" w:hAnsi="Arial CYR" w:hint="default"/>
        <w:b w:val="0"/>
        <w:i w:val="0"/>
        <w:sz w:val="24"/>
      </w:rPr>
    </w:lvl>
    <w:lvl w:ilvl="3">
      <w:start w:val="1"/>
      <w:numFmt w:val="decimal"/>
      <w:suff w:val="space"/>
      <w:lvlText w:val="%1.%2.%3.%4."/>
      <w:lvlJc w:val="left"/>
      <w:pPr>
        <w:ind w:left="2704" w:hanging="567"/>
      </w:pPr>
      <w:rPr>
        <w:rFonts w:ascii="Arial CYR" w:hAnsi="Arial CYR" w:hint="default"/>
        <w:b w:val="0"/>
        <w:i w:val="0"/>
        <w:sz w:val="24"/>
      </w:rPr>
    </w:lvl>
    <w:lvl w:ilvl="4">
      <w:start w:val="1"/>
      <w:numFmt w:val="decimal"/>
      <w:suff w:val="space"/>
      <w:lvlText w:val="%1.%2.%3.%4.%5"/>
      <w:lvlJc w:val="left"/>
      <w:pPr>
        <w:ind w:left="3271" w:hanging="567"/>
      </w:pPr>
      <w:rPr>
        <w:rFonts w:hint="default"/>
      </w:rPr>
    </w:lvl>
    <w:lvl w:ilvl="5">
      <w:start w:val="1"/>
      <w:numFmt w:val="decimal"/>
      <w:lvlText w:val="%1.%2.%3.%4.%5.%6"/>
      <w:lvlJc w:val="left"/>
      <w:pPr>
        <w:tabs>
          <w:tab w:val="num" w:pos="1588"/>
        </w:tabs>
        <w:ind w:left="1588" w:hanging="1152"/>
      </w:pPr>
      <w:rPr>
        <w:rFonts w:hint="default"/>
      </w:rPr>
    </w:lvl>
    <w:lvl w:ilvl="6">
      <w:start w:val="1"/>
      <w:numFmt w:val="decimal"/>
      <w:lvlText w:val="%1.%2.%3.%4.%5.%6.%7"/>
      <w:lvlJc w:val="left"/>
      <w:pPr>
        <w:tabs>
          <w:tab w:val="num" w:pos="1732"/>
        </w:tabs>
        <w:ind w:left="1732" w:hanging="1296"/>
      </w:pPr>
      <w:rPr>
        <w:rFonts w:hint="default"/>
      </w:rPr>
    </w:lvl>
    <w:lvl w:ilvl="7">
      <w:start w:val="1"/>
      <w:numFmt w:val="decimal"/>
      <w:lvlText w:val="%1.%2.%3.%4.%5.%6.%7.%8"/>
      <w:lvlJc w:val="left"/>
      <w:pPr>
        <w:tabs>
          <w:tab w:val="num" w:pos="1876"/>
        </w:tabs>
        <w:ind w:left="1876" w:hanging="1440"/>
      </w:pPr>
      <w:rPr>
        <w:rFonts w:hint="default"/>
      </w:rPr>
    </w:lvl>
    <w:lvl w:ilvl="8">
      <w:start w:val="1"/>
      <w:numFmt w:val="decimal"/>
      <w:lvlText w:val="%1.%2.%3.%4.%5.%6.%7.%8.%9"/>
      <w:lvlJc w:val="left"/>
      <w:pPr>
        <w:tabs>
          <w:tab w:val="num" w:pos="2020"/>
        </w:tabs>
        <w:ind w:left="2020" w:hanging="1584"/>
      </w:pPr>
      <w:rPr>
        <w:rFonts w:hint="default"/>
      </w:rPr>
    </w:lvl>
  </w:abstractNum>
  <w:abstractNum w:abstractNumId="162">
    <w:nsid w:val="7F227CC7"/>
    <w:multiLevelType w:val="hybridMultilevel"/>
    <w:tmpl w:val="4A6A5790"/>
    <w:lvl w:ilvl="0" w:tplc="91308686">
      <w:start w:val="1"/>
      <w:numFmt w:val="bullet"/>
      <w:pStyle w:val="25"/>
      <w:lvlText w:val=""/>
      <w:lvlJc w:val="left"/>
      <w:pPr>
        <w:ind w:left="1287" w:hanging="360"/>
      </w:pPr>
      <w:rPr>
        <w:rFonts w:ascii="Symbol" w:hAnsi="Symbol" w:hint="default"/>
      </w:rPr>
    </w:lvl>
    <w:lvl w:ilvl="1" w:tplc="2C54FCE6">
      <w:start w:val="1"/>
      <w:numFmt w:val="bullet"/>
      <w:pStyle w:val="25"/>
      <w:lvlText w:val="o"/>
      <w:lvlJc w:val="left"/>
      <w:pPr>
        <w:ind w:left="2007" w:hanging="360"/>
      </w:pPr>
      <w:rPr>
        <w:rFonts w:ascii="Courier New" w:hAnsi="Courier New" w:cs="Courier New" w:hint="default"/>
      </w:rPr>
    </w:lvl>
    <w:lvl w:ilvl="2" w:tplc="A87AD3D6">
      <w:start w:val="1"/>
      <w:numFmt w:val="bullet"/>
      <w:lvlText w:val=""/>
      <w:lvlJc w:val="left"/>
      <w:pPr>
        <w:ind w:left="2727" w:hanging="360"/>
      </w:pPr>
      <w:rPr>
        <w:rFonts w:ascii="Wingdings" w:hAnsi="Wingdings" w:hint="default"/>
      </w:rPr>
    </w:lvl>
    <w:lvl w:ilvl="3" w:tplc="6220F28E">
      <w:start w:val="1"/>
      <w:numFmt w:val="bullet"/>
      <w:lvlText w:val=""/>
      <w:lvlJc w:val="left"/>
      <w:pPr>
        <w:ind w:left="3447" w:hanging="360"/>
      </w:pPr>
      <w:rPr>
        <w:rFonts w:ascii="Symbol" w:hAnsi="Symbol" w:hint="default"/>
      </w:rPr>
    </w:lvl>
    <w:lvl w:ilvl="4" w:tplc="DA94E7AA">
      <w:start w:val="1"/>
      <w:numFmt w:val="bullet"/>
      <w:lvlText w:val="o"/>
      <w:lvlJc w:val="left"/>
      <w:pPr>
        <w:ind w:left="4167" w:hanging="360"/>
      </w:pPr>
      <w:rPr>
        <w:rFonts w:ascii="Courier New" w:hAnsi="Courier New" w:cs="Courier New" w:hint="default"/>
      </w:rPr>
    </w:lvl>
    <w:lvl w:ilvl="5" w:tplc="1A4091EE">
      <w:start w:val="1"/>
      <w:numFmt w:val="bullet"/>
      <w:lvlText w:val=""/>
      <w:lvlJc w:val="left"/>
      <w:pPr>
        <w:ind w:left="4887" w:hanging="360"/>
      </w:pPr>
      <w:rPr>
        <w:rFonts w:ascii="Wingdings" w:hAnsi="Wingdings" w:hint="default"/>
      </w:rPr>
    </w:lvl>
    <w:lvl w:ilvl="6" w:tplc="C168431A">
      <w:start w:val="1"/>
      <w:numFmt w:val="bullet"/>
      <w:lvlText w:val=""/>
      <w:lvlJc w:val="left"/>
      <w:pPr>
        <w:ind w:left="5607" w:hanging="360"/>
      </w:pPr>
      <w:rPr>
        <w:rFonts w:ascii="Symbol" w:hAnsi="Symbol" w:hint="default"/>
      </w:rPr>
    </w:lvl>
    <w:lvl w:ilvl="7" w:tplc="BF84C7A6">
      <w:start w:val="1"/>
      <w:numFmt w:val="bullet"/>
      <w:lvlText w:val="o"/>
      <w:lvlJc w:val="left"/>
      <w:pPr>
        <w:ind w:left="6327" w:hanging="360"/>
      </w:pPr>
      <w:rPr>
        <w:rFonts w:ascii="Courier New" w:hAnsi="Courier New" w:cs="Courier New" w:hint="default"/>
      </w:rPr>
    </w:lvl>
    <w:lvl w:ilvl="8" w:tplc="E1D40142">
      <w:start w:val="1"/>
      <w:numFmt w:val="bullet"/>
      <w:lvlText w:val=""/>
      <w:lvlJc w:val="left"/>
      <w:pPr>
        <w:ind w:left="7047" w:hanging="360"/>
      </w:pPr>
      <w:rPr>
        <w:rFonts w:ascii="Wingdings" w:hAnsi="Wingdings" w:hint="default"/>
      </w:rPr>
    </w:lvl>
  </w:abstractNum>
  <w:abstractNum w:abstractNumId="163">
    <w:nsid w:val="7FFC3492"/>
    <w:multiLevelType w:val="hybridMultilevel"/>
    <w:tmpl w:val="238ADD98"/>
    <w:lvl w:ilvl="0" w:tplc="B29A764A">
      <w:start w:val="1"/>
      <w:numFmt w:val="none"/>
      <w:lvlText w:val="Таблица "/>
      <w:lvlJc w:val="left"/>
      <w:pPr>
        <w:tabs>
          <w:tab w:val="num" w:pos="568"/>
        </w:tabs>
        <w:ind w:left="1" w:firstLine="567"/>
      </w:pPr>
      <w:rPr>
        <w:rFonts w:ascii="Times New Roman" w:hAnsi="Times New Roman" w:cs="Times New Roman"/>
        <w:b/>
        <w:bCs w:val="0"/>
        <w:i w:val="0"/>
        <w:iCs w:val="0"/>
        <w:caps w:val="0"/>
        <w:smallCaps w:val="0"/>
        <w:strike w:val="0"/>
        <w:vanish w:val="0"/>
        <w:color w:val="000000"/>
        <w:spacing w:val="0"/>
        <w:position w:val="0"/>
        <w:u w:val="none"/>
        <w:vertAlign w:val="baseline"/>
        <w:lang w:val="ru-RU"/>
        <w14:textOutline w14:w="0" w14:cap="rnd" w14:cmpd="sng" w14:algn="ctr">
          <w14:noFill/>
          <w14:prstDash w14:val="solid"/>
          <w14:bevel/>
        </w14:textOutline>
      </w:rPr>
    </w:lvl>
    <w:lvl w:ilvl="1" w:tplc="5BF097DC">
      <w:start w:val="1"/>
      <w:numFmt w:val="lowerLetter"/>
      <w:lvlText w:val="%2."/>
      <w:lvlJc w:val="left"/>
      <w:pPr>
        <w:tabs>
          <w:tab w:val="num" w:pos="1440"/>
        </w:tabs>
        <w:ind w:left="1440" w:hanging="360"/>
      </w:pPr>
    </w:lvl>
    <w:lvl w:ilvl="2" w:tplc="498E641E">
      <w:start w:val="1"/>
      <w:numFmt w:val="lowerRoman"/>
      <w:lvlText w:val="%3."/>
      <w:lvlJc w:val="right"/>
      <w:pPr>
        <w:tabs>
          <w:tab w:val="num" w:pos="2160"/>
        </w:tabs>
        <w:ind w:left="2160" w:hanging="180"/>
      </w:pPr>
    </w:lvl>
    <w:lvl w:ilvl="3" w:tplc="484605DE">
      <w:start w:val="1"/>
      <w:numFmt w:val="decimal"/>
      <w:lvlText w:val="%4."/>
      <w:lvlJc w:val="left"/>
      <w:pPr>
        <w:tabs>
          <w:tab w:val="num" w:pos="2880"/>
        </w:tabs>
        <w:ind w:left="2880" w:hanging="360"/>
      </w:pPr>
    </w:lvl>
    <w:lvl w:ilvl="4" w:tplc="8166BB12">
      <w:start w:val="1"/>
      <w:numFmt w:val="lowerLetter"/>
      <w:lvlText w:val="%5."/>
      <w:lvlJc w:val="left"/>
      <w:pPr>
        <w:tabs>
          <w:tab w:val="num" w:pos="3600"/>
        </w:tabs>
        <w:ind w:left="3600" w:hanging="360"/>
      </w:pPr>
    </w:lvl>
    <w:lvl w:ilvl="5" w:tplc="5982261A">
      <w:start w:val="1"/>
      <w:numFmt w:val="lowerRoman"/>
      <w:lvlText w:val="%6."/>
      <w:lvlJc w:val="right"/>
      <w:pPr>
        <w:tabs>
          <w:tab w:val="num" w:pos="4320"/>
        </w:tabs>
        <w:ind w:left="4320" w:hanging="180"/>
      </w:pPr>
    </w:lvl>
    <w:lvl w:ilvl="6" w:tplc="1D8E28D2">
      <w:start w:val="1"/>
      <w:numFmt w:val="decimal"/>
      <w:lvlText w:val="%7."/>
      <w:lvlJc w:val="left"/>
      <w:pPr>
        <w:tabs>
          <w:tab w:val="num" w:pos="5040"/>
        </w:tabs>
        <w:ind w:left="5040" w:hanging="360"/>
      </w:pPr>
    </w:lvl>
    <w:lvl w:ilvl="7" w:tplc="67CECCDA">
      <w:start w:val="1"/>
      <w:numFmt w:val="lowerLetter"/>
      <w:lvlText w:val="%8."/>
      <w:lvlJc w:val="left"/>
      <w:pPr>
        <w:tabs>
          <w:tab w:val="num" w:pos="5760"/>
        </w:tabs>
        <w:ind w:left="5760" w:hanging="360"/>
      </w:pPr>
    </w:lvl>
    <w:lvl w:ilvl="8" w:tplc="6D780758">
      <w:start w:val="1"/>
      <w:numFmt w:val="lowerRoman"/>
      <w:lvlText w:val="%9."/>
      <w:lvlJc w:val="right"/>
      <w:pPr>
        <w:tabs>
          <w:tab w:val="num" w:pos="6480"/>
        </w:tabs>
        <w:ind w:left="6480" w:hanging="180"/>
      </w:pPr>
    </w:lvl>
  </w:abstractNum>
  <w:num w:numId="1">
    <w:abstractNumId w:val="16"/>
  </w:num>
  <w:num w:numId="2">
    <w:abstractNumId w:val="151"/>
  </w:num>
  <w:num w:numId="3">
    <w:abstractNumId w:val="46"/>
  </w:num>
  <w:num w:numId="4">
    <w:abstractNumId w:val="44"/>
  </w:num>
  <w:num w:numId="5">
    <w:abstractNumId w:val="116"/>
  </w:num>
  <w:num w:numId="6">
    <w:abstractNumId w:val="0"/>
  </w:num>
  <w:num w:numId="7">
    <w:abstractNumId w:val="105"/>
  </w:num>
  <w:num w:numId="8">
    <w:abstractNumId w:val="140"/>
  </w:num>
  <w:num w:numId="9">
    <w:abstractNumId w:val="51"/>
  </w:num>
  <w:num w:numId="10">
    <w:abstractNumId w:val="145"/>
  </w:num>
  <w:num w:numId="11">
    <w:abstractNumId w:val="135"/>
  </w:num>
  <w:num w:numId="12">
    <w:abstractNumId w:val="4"/>
  </w:num>
  <w:num w:numId="13">
    <w:abstractNumId w:val="129"/>
  </w:num>
  <w:num w:numId="14">
    <w:abstractNumId w:val="128"/>
  </w:num>
  <w:num w:numId="15">
    <w:abstractNumId w:val="45"/>
  </w:num>
  <w:num w:numId="16">
    <w:abstractNumId w:val="113"/>
  </w:num>
  <w:num w:numId="17">
    <w:abstractNumId w:val="71"/>
  </w:num>
  <w:num w:numId="18">
    <w:abstractNumId w:val="33"/>
  </w:num>
  <w:num w:numId="19">
    <w:abstractNumId w:val="89"/>
  </w:num>
  <w:num w:numId="20">
    <w:abstractNumId w:val="121"/>
  </w:num>
  <w:num w:numId="21">
    <w:abstractNumId w:val="95"/>
  </w:num>
  <w:num w:numId="22">
    <w:abstractNumId w:val="19"/>
  </w:num>
  <w:num w:numId="23">
    <w:abstractNumId w:val="101"/>
  </w:num>
  <w:num w:numId="24">
    <w:abstractNumId w:val="73"/>
  </w:num>
  <w:num w:numId="25">
    <w:abstractNumId w:val="78"/>
  </w:num>
  <w:num w:numId="26">
    <w:abstractNumId w:val="12"/>
  </w:num>
  <w:num w:numId="27">
    <w:abstractNumId w:val="70"/>
  </w:num>
  <w:num w:numId="28">
    <w:abstractNumId w:val="133"/>
  </w:num>
  <w:num w:numId="29">
    <w:abstractNumId w:val="24"/>
  </w:num>
  <w:num w:numId="30">
    <w:abstractNumId w:val="49"/>
  </w:num>
  <w:num w:numId="31">
    <w:abstractNumId w:val="15"/>
  </w:num>
  <w:num w:numId="32">
    <w:abstractNumId w:val="69"/>
  </w:num>
  <w:num w:numId="33">
    <w:abstractNumId w:val="59"/>
  </w:num>
  <w:num w:numId="34">
    <w:abstractNumId w:val="100"/>
  </w:num>
  <w:num w:numId="35">
    <w:abstractNumId w:val="124"/>
  </w:num>
  <w:num w:numId="36">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97"/>
  </w:num>
  <w:num w:numId="38">
    <w:abstractNumId w:val="87"/>
  </w:num>
  <w:num w:numId="39">
    <w:abstractNumId w:val="58"/>
  </w:num>
  <w:num w:numId="40">
    <w:abstractNumId w:val="66"/>
  </w:num>
  <w:num w:numId="41">
    <w:abstractNumId w:val="110"/>
  </w:num>
  <w:num w:numId="42">
    <w:abstractNumId w:val="47"/>
  </w:num>
  <w:num w:numId="43">
    <w:abstractNumId w:val="13"/>
  </w:num>
  <w:num w:numId="44">
    <w:abstractNumId w:val="118"/>
  </w:num>
  <w:num w:numId="45">
    <w:abstractNumId w:val="83"/>
  </w:num>
  <w:num w:numId="46">
    <w:abstractNumId w:val="125"/>
  </w:num>
  <w:num w:numId="47">
    <w:abstractNumId w:val="161"/>
  </w:num>
  <w:num w:numId="48">
    <w:abstractNumId w:val="130"/>
  </w:num>
  <w:num w:numId="49">
    <w:abstractNumId w:val="106"/>
  </w:num>
  <w:num w:numId="50">
    <w:abstractNumId w:val="1"/>
  </w:num>
  <w:num w:numId="51">
    <w:abstractNumId w:val="141"/>
  </w:num>
  <w:num w:numId="52">
    <w:abstractNumId w:val="54"/>
  </w:num>
  <w:num w:numId="53">
    <w:abstractNumId w:val="122"/>
  </w:num>
  <w:num w:numId="54">
    <w:abstractNumId w:val="132"/>
  </w:num>
  <w:num w:numId="55">
    <w:abstractNumId w:val="154"/>
  </w:num>
  <w:num w:numId="56">
    <w:abstractNumId w:val="138"/>
  </w:num>
  <w:num w:numId="57">
    <w:abstractNumId w:val="111"/>
  </w:num>
  <w:num w:numId="58">
    <w:abstractNumId w:val="68"/>
  </w:num>
  <w:num w:numId="59">
    <w:abstractNumId w:val="67"/>
  </w:num>
  <w:num w:numId="60">
    <w:abstractNumId w:val="20"/>
  </w:num>
  <w:num w:numId="61">
    <w:abstractNumId w:val="107"/>
  </w:num>
  <w:num w:numId="62">
    <w:abstractNumId w:val="157"/>
  </w:num>
  <w:num w:numId="63">
    <w:abstractNumId w:val="76"/>
  </w:num>
  <w:num w:numId="64">
    <w:abstractNumId w:val="28"/>
  </w:num>
  <w:num w:numId="65">
    <w:abstractNumId w:val="143"/>
  </w:num>
  <w:num w:numId="66">
    <w:abstractNumId w:val="126"/>
  </w:num>
  <w:num w:numId="67">
    <w:abstractNumId w:val="77"/>
  </w:num>
  <w:num w:numId="68">
    <w:abstractNumId w:val="160"/>
  </w:num>
  <w:num w:numId="69">
    <w:abstractNumId w:val="98"/>
  </w:num>
  <w:num w:numId="70">
    <w:abstractNumId w:val="22"/>
  </w:num>
  <w:num w:numId="71">
    <w:abstractNumId w:val="108"/>
  </w:num>
  <w:num w:numId="72">
    <w:abstractNumId w:val="127"/>
  </w:num>
  <w:num w:numId="73">
    <w:abstractNumId w:val="35"/>
  </w:num>
  <w:num w:numId="74">
    <w:abstractNumId w:val="82"/>
  </w:num>
  <w:num w:numId="75">
    <w:abstractNumId w:val="99"/>
  </w:num>
  <w:num w:numId="76">
    <w:abstractNumId w:val="155"/>
  </w:num>
  <w:num w:numId="77">
    <w:abstractNumId w:val="103"/>
  </w:num>
  <w:num w:numId="78">
    <w:abstractNumId w:val="102"/>
  </w:num>
  <w:num w:numId="79">
    <w:abstractNumId w:val="60"/>
  </w:num>
  <w:num w:numId="80">
    <w:abstractNumId w:val="72"/>
  </w:num>
  <w:num w:numId="81">
    <w:abstractNumId w:val="64"/>
  </w:num>
  <w:num w:numId="82">
    <w:abstractNumId w:val="18"/>
  </w:num>
  <w:num w:numId="83">
    <w:abstractNumId w:val="119"/>
  </w:num>
  <w:num w:numId="84">
    <w:abstractNumId w:val="147"/>
  </w:num>
  <w:num w:numId="85">
    <w:abstractNumId w:val="53"/>
  </w:num>
  <w:num w:numId="86">
    <w:abstractNumId w:val="41"/>
  </w:num>
  <w:num w:numId="87">
    <w:abstractNumId w:val="63"/>
  </w:num>
  <w:num w:numId="88">
    <w:abstractNumId w:val="162"/>
  </w:num>
  <w:num w:numId="89">
    <w:abstractNumId w:val="84"/>
  </w:num>
  <w:num w:numId="90">
    <w:abstractNumId w:val="112"/>
  </w:num>
  <w:num w:numId="91">
    <w:abstractNumId w:val="81"/>
  </w:num>
  <w:num w:numId="92">
    <w:abstractNumId w:val="3"/>
  </w:num>
  <w:num w:numId="93">
    <w:abstractNumId w:val="137"/>
  </w:num>
  <w:num w:numId="94">
    <w:abstractNumId w:val="43"/>
  </w:num>
  <w:num w:numId="95">
    <w:abstractNumId w:val="62"/>
  </w:num>
  <w:num w:numId="96">
    <w:abstractNumId w:val="42"/>
  </w:num>
  <w:num w:numId="97">
    <w:abstractNumId w:val="61"/>
  </w:num>
  <w:num w:numId="98">
    <w:abstractNumId w:val="144"/>
  </w:num>
  <w:num w:numId="99">
    <w:abstractNumId w:val="9"/>
  </w:num>
  <w:num w:numId="100">
    <w:abstractNumId w:val="91"/>
  </w:num>
  <w:num w:numId="101">
    <w:abstractNumId w:val="146"/>
  </w:num>
  <w:num w:numId="102">
    <w:abstractNumId w:val="134"/>
  </w:num>
  <w:num w:numId="103">
    <w:abstractNumId w:val="32"/>
  </w:num>
  <w:num w:numId="104">
    <w:abstractNumId w:val="30"/>
  </w:num>
  <w:num w:numId="105">
    <w:abstractNumId w:val="153"/>
  </w:num>
  <w:num w:numId="106">
    <w:abstractNumId w:val="156"/>
  </w:num>
  <w:num w:numId="107">
    <w:abstractNumId w:val="93"/>
  </w:num>
  <w:num w:numId="108">
    <w:abstractNumId w:val="29"/>
  </w:num>
  <w:num w:numId="109">
    <w:abstractNumId w:val="17"/>
  </w:num>
  <w:num w:numId="110">
    <w:abstractNumId w:val="159"/>
  </w:num>
  <w:num w:numId="111">
    <w:abstractNumId w:val="27"/>
  </w:num>
  <w:num w:numId="112">
    <w:abstractNumId w:val="80"/>
  </w:num>
  <w:num w:numId="113">
    <w:abstractNumId w:val="74"/>
  </w:num>
  <w:num w:numId="114">
    <w:abstractNumId w:val="75"/>
  </w:num>
  <w:num w:numId="115">
    <w:abstractNumId w:val="120"/>
  </w:num>
  <w:num w:numId="116">
    <w:abstractNumId w:val="1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36"/>
  </w:num>
  <w:num w:numId="118">
    <w:abstractNumId w:val="151"/>
  </w:num>
  <w:num w:numId="119">
    <w:abstractNumId w:val="10"/>
  </w:num>
  <w:num w:numId="120">
    <w:abstractNumId w:val="92"/>
  </w:num>
  <w:num w:numId="121">
    <w:abstractNumId w:val="86"/>
  </w:num>
  <w:num w:numId="122">
    <w:abstractNumId w:val="79"/>
  </w:num>
  <w:num w:numId="123">
    <w:abstractNumId w:val="136"/>
  </w:num>
  <w:num w:numId="124">
    <w:abstractNumId w:val="109"/>
  </w:num>
  <w:num w:numId="125">
    <w:abstractNumId w:val="115"/>
  </w:num>
  <w:num w:numId="126">
    <w:abstractNumId w:val="14"/>
  </w:num>
  <w:num w:numId="127">
    <w:abstractNumId w:val="7"/>
  </w:num>
  <w:num w:numId="128">
    <w:abstractNumId w:val="139"/>
  </w:num>
  <w:num w:numId="129">
    <w:abstractNumId w:val="53"/>
  </w:num>
  <w:num w:numId="130">
    <w:abstractNumId w:val="104"/>
  </w:num>
  <w:num w:numId="131">
    <w:abstractNumId w:val="56"/>
  </w:num>
  <w:num w:numId="132">
    <w:abstractNumId w:val="85"/>
  </w:num>
  <w:num w:numId="133">
    <w:abstractNumId w:val="117"/>
  </w:num>
  <w:num w:numId="134">
    <w:abstractNumId w:val="114"/>
  </w:num>
  <w:num w:numId="135">
    <w:abstractNumId w:val="52"/>
  </w:num>
  <w:num w:numId="136">
    <w:abstractNumId w:val="40"/>
  </w:num>
  <w:num w:numId="137">
    <w:abstractNumId w:val="142"/>
  </w:num>
  <w:num w:numId="138">
    <w:abstractNumId w:val="158"/>
  </w:num>
  <w:num w:numId="139">
    <w:abstractNumId w:val="5"/>
  </w:num>
  <w:num w:numId="140">
    <w:abstractNumId w:val="6"/>
  </w:num>
  <w:num w:numId="141">
    <w:abstractNumId w:val="23"/>
  </w:num>
  <w:num w:numId="142">
    <w:abstractNumId w:val="94"/>
  </w:num>
  <w:num w:numId="143">
    <w:abstractNumId w:val="48"/>
  </w:num>
  <w:num w:numId="144">
    <w:abstractNumId w:val="152"/>
  </w:num>
  <w:num w:numId="145">
    <w:abstractNumId w:val="37"/>
  </w:num>
  <w:num w:numId="146">
    <w:abstractNumId w:val="2"/>
  </w:num>
  <w:num w:numId="147">
    <w:abstractNumId w:val="123"/>
  </w:num>
  <w:num w:numId="148">
    <w:abstractNumId w:val="21"/>
  </w:num>
  <w:num w:numId="149">
    <w:abstractNumId w:val="65"/>
  </w:num>
  <w:num w:numId="150">
    <w:abstractNumId w:val="25"/>
  </w:num>
  <w:num w:numId="151">
    <w:abstractNumId w:val="88"/>
  </w:num>
  <w:num w:numId="152">
    <w:abstractNumId w:val="38"/>
  </w:num>
  <w:num w:numId="153">
    <w:abstractNumId w:val="149"/>
  </w:num>
  <w:num w:numId="154">
    <w:abstractNumId w:val="90"/>
  </w:num>
  <w:num w:numId="155">
    <w:abstractNumId w:val="8"/>
  </w:num>
  <w:num w:numId="156">
    <w:abstractNumId w:val="150"/>
  </w:num>
  <w:num w:numId="157">
    <w:abstractNumId w:val="131"/>
  </w:num>
  <w:num w:numId="158">
    <w:abstractNumId w:val="57"/>
  </w:num>
  <w:num w:numId="159">
    <w:abstractNumId w:val="55"/>
  </w:num>
  <w:num w:numId="160">
    <w:abstractNumId w:val="26"/>
  </w:num>
  <w:num w:numId="161">
    <w:abstractNumId w:val="163"/>
  </w:num>
  <w:num w:numId="162">
    <w:abstractNumId w:val="16"/>
  </w:num>
  <w:num w:numId="163">
    <w:abstractNumId w:val="31"/>
  </w:num>
  <w:num w:numId="164">
    <w:abstractNumId w:val="11"/>
  </w:num>
  <w:num w:numId="165">
    <w:abstractNumId w:val="148"/>
  </w:num>
  <w:num w:numId="166">
    <w:abstractNumId w:val="151"/>
  </w:num>
  <w:num w:numId="167">
    <w:abstractNumId w:val="34"/>
  </w:num>
  <w:num w:numId="168">
    <w:abstractNumId w:val="96"/>
  </w:num>
  <w:num w:numId="169">
    <w:abstractNumId w:val="39"/>
  </w:num>
  <w:numIdMacAtCleanup w:val="1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D1F54"/>
    <w:rsid w:val="00001141"/>
    <w:rsid w:val="0000169B"/>
    <w:rsid w:val="00007A98"/>
    <w:rsid w:val="00030525"/>
    <w:rsid w:val="0003072D"/>
    <w:rsid w:val="00034031"/>
    <w:rsid w:val="00043F1C"/>
    <w:rsid w:val="0004431E"/>
    <w:rsid w:val="000450F9"/>
    <w:rsid w:val="00050270"/>
    <w:rsid w:val="00060FD9"/>
    <w:rsid w:val="00061191"/>
    <w:rsid w:val="00065F49"/>
    <w:rsid w:val="00092EF7"/>
    <w:rsid w:val="00093938"/>
    <w:rsid w:val="000C524A"/>
    <w:rsid w:val="000C67AC"/>
    <w:rsid w:val="00101F62"/>
    <w:rsid w:val="00111BA2"/>
    <w:rsid w:val="00116D45"/>
    <w:rsid w:val="001203FC"/>
    <w:rsid w:val="00130478"/>
    <w:rsid w:val="00130F39"/>
    <w:rsid w:val="00132BD7"/>
    <w:rsid w:val="0014287C"/>
    <w:rsid w:val="00144ABC"/>
    <w:rsid w:val="001454C0"/>
    <w:rsid w:val="0015097F"/>
    <w:rsid w:val="00153976"/>
    <w:rsid w:val="001801AE"/>
    <w:rsid w:val="00183F01"/>
    <w:rsid w:val="00187E5A"/>
    <w:rsid w:val="001B531E"/>
    <w:rsid w:val="001C491E"/>
    <w:rsid w:val="001E5517"/>
    <w:rsid w:val="0021139B"/>
    <w:rsid w:val="00216C30"/>
    <w:rsid w:val="0023332C"/>
    <w:rsid w:val="00235D7D"/>
    <w:rsid w:val="002443B7"/>
    <w:rsid w:val="00244C92"/>
    <w:rsid w:val="002522F5"/>
    <w:rsid w:val="00256D3F"/>
    <w:rsid w:val="00264D5D"/>
    <w:rsid w:val="0027039B"/>
    <w:rsid w:val="00274320"/>
    <w:rsid w:val="00283C1A"/>
    <w:rsid w:val="00287359"/>
    <w:rsid w:val="00297160"/>
    <w:rsid w:val="002A2D58"/>
    <w:rsid w:val="002A6E30"/>
    <w:rsid w:val="002B0EB7"/>
    <w:rsid w:val="002C049B"/>
    <w:rsid w:val="002C4632"/>
    <w:rsid w:val="002E0E1D"/>
    <w:rsid w:val="002E4B92"/>
    <w:rsid w:val="002E6E98"/>
    <w:rsid w:val="002E73A8"/>
    <w:rsid w:val="00313290"/>
    <w:rsid w:val="00320910"/>
    <w:rsid w:val="003226ED"/>
    <w:rsid w:val="00330901"/>
    <w:rsid w:val="00337C33"/>
    <w:rsid w:val="00337F7E"/>
    <w:rsid w:val="0034269B"/>
    <w:rsid w:val="0034687F"/>
    <w:rsid w:val="00347AB8"/>
    <w:rsid w:val="003502DF"/>
    <w:rsid w:val="00352A6F"/>
    <w:rsid w:val="00361FCC"/>
    <w:rsid w:val="0036527B"/>
    <w:rsid w:val="00366248"/>
    <w:rsid w:val="00366550"/>
    <w:rsid w:val="0037490E"/>
    <w:rsid w:val="003754F0"/>
    <w:rsid w:val="00375BB3"/>
    <w:rsid w:val="0038476B"/>
    <w:rsid w:val="00384D88"/>
    <w:rsid w:val="003945B4"/>
    <w:rsid w:val="00396D0D"/>
    <w:rsid w:val="003A6860"/>
    <w:rsid w:val="003B4FBF"/>
    <w:rsid w:val="003B5630"/>
    <w:rsid w:val="003B71EB"/>
    <w:rsid w:val="003D514B"/>
    <w:rsid w:val="003D7242"/>
    <w:rsid w:val="003E1F19"/>
    <w:rsid w:val="003E615B"/>
    <w:rsid w:val="004016B6"/>
    <w:rsid w:val="004055F2"/>
    <w:rsid w:val="004058D4"/>
    <w:rsid w:val="00426F27"/>
    <w:rsid w:val="00433A80"/>
    <w:rsid w:val="00436C7D"/>
    <w:rsid w:val="00440E97"/>
    <w:rsid w:val="004505AE"/>
    <w:rsid w:val="00456FAF"/>
    <w:rsid w:val="00466EB8"/>
    <w:rsid w:val="0046774C"/>
    <w:rsid w:val="00483CE1"/>
    <w:rsid w:val="00485F11"/>
    <w:rsid w:val="004A5918"/>
    <w:rsid w:val="004A7B9C"/>
    <w:rsid w:val="004C0E31"/>
    <w:rsid w:val="004D6C77"/>
    <w:rsid w:val="004E0E8F"/>
    <w:rsid w:val="004E55B1"/>
    <w:rsid w:val="004F7B11"/>
    <w:rsid w:val="005056E2"/>
    <w:rsid w:val="0050709C"/>
    <w:rsid w:val="00507E81"/>
    <w:rsid w:val="00530D37"/>
    <w:rsid w:val="00531906"/>
    <w:rsid w:val="00534411"/>
    <w:rsid w:val="005400F3"/>
    <w:rsid w:val="005418BC"/>
    <w:rsid w:val="0054296D"/>
    <w:rsid w:val="005473E2"/>
    <w:rsid w:val="00552837"/>
    <w:rsid w:val="00552C53"/>
    <w:rsid w:val="00554303"/>
    <w:rsid w:val="00555B7E"/>
    <w:rsid w:val="00556196"/>
    <w:rsid w:val="00557BC4"/>
    <w:rsid w:val="0056310A"/>
    <w:rsid w:val="00563204"/>
    <w:rsid w:val="00571340"/>
    <w:rsid w:val="00572EF2"/>
    <w:rsid w:val="00585B76"/>
    <w:rsid w:val="005A204F"/>
    <w:rsid w:val="005A3293"/>
    <w:rsid w:val="005B3CD2"/>
    <w:rsid w:val="005B6CA8"/>
    <w:rsid w:val="005D5F06"/>
    <w:rsid w:val="005D6DF1"/>
    <w:rsid w:val="005F3588"/>
    <w:rsid w:val="00601408"/>
    <w:rsid w:val="00606A17"/>
    <w:rsid w:val="00617F92"/>
    <w:rsid w:val="00623679"/>
    <w:rsid w:val="0062709B"/>
    <w:rsid w:val="00633FEA"/>
    <w:rsid w:val="00650763"/>
    <w:rsid w:val="00655168"/>
    <w:rsid w:val="006571C9"/>
    <w:rsid w:val="00662604"/>
    <w:rsid w:val="00666BC2"/>
    <w:rsid w:val="006704AD"/>
    <w:rsid w:val="00670C9D"/>
    <w:rsid w:val="00676E27"/>
    <w:rsid w:val="00685376"/>
    <w:rsid w:val="006951CE"/>
    <w:rsid w:val="006B51ED"/>
    <w:rsid w:val="006B7E7F"/>
    <w:rsid w:val="006C41B8"/>
    <w:rsid w:val="006F4EA5"/>
    <w:rsid w:val="006F76A8"/>
    <w:rsid w:val="00711485"/>
    <w:rsid w:val="00746471"/>
    <w:rsid w:val="007559D9"/>
    <w:rsid w:val="0079039B"/>
    <w:rsid w:val="007969EA"/>
    <w:rsid w:val="007A080A"/>
    <w:rsid w:val="007A0B27"/>
    <w:rsid w:val="007B0D01"/>
    <w:rsid w:val="007B0FCD"/>
    <w:rsid w:val="007C0882"/>
    <w:rsid w:val="007C13BA"/>
    <w:rsid w:val="007E0A1E"/>
    <w:rsid w:val="007E37F3"/>
    <w:rsid w:val="007E4E7F"/>
    <w:rsid w:val="007F4D8A"/>
    <w:rsid w:val="008279A4"/>
    <w:rsid w:val="00830D6C"/>
    <w:rsid w:val="0083339C"/>
    <w:rsid w:val="008417DE"/>
    <w:rsid w:val="0084237E"/>
    <w:rsid w:val="0084460A"/>
    <w:rsid w:val="008460BC"/>
    <w:rsid w:val="00851A12"/>
    <w:rsid w:val="00854CB9"/>
    <w:rsid w:val="008629ED"/>
    <w:rsid w:val="0088542F"/>
    <w:rsid w:val="00891104"/>
    <w:rsid w:val="00891D16"/>
    <w:rsid w:val="00893226"/>
    <w:rsid w:val="008B26A8"/>
    <w:rsid w:val="008C1541"/>
    <w:rsid w:val="008D0622"/>
    <w:rsid w:val="008D15F3"/>
    <w:rsid w:val="008D797C"/>
    <w:rsid w:val="008F1147"/>
    <w:rsid w:val="008F3B46"/>
    <w:rsid w:val="00900184"/>
    <w:rsid w:val="00904248"/>
    <w:rsid w:val="009169AF"/>
    <w:rsid w:val="00917D83"/>
    <w:rsid w:val="00917F3D"/>
    <w:rsid w:val="009220C2"/>
    <w:rsid w:val="009272DE"/>
    <w:rsid w:val="00936D7C"/>
    <w:rsid w:val="00941227"/>
    <w:rsid w:val="00944418"/>
    <w:rsid w:val="00950D60"/>
    <w:rsid w:val="00953A46"/>
    <w:rsid w:val="00970F8F"/>
    <w:rsid w:val="00972DFE"/>
    <w:rsid w:val="00976601"/>
    <w:rsid w:val="00993797"/>
    <w:rsid w:val="009967CD"/>
    <w:rsid w:val="009A5ECE"/>
    <w:rsid w:val="009A60CF"/>
    <w:rsid w:val="009C0D64"/>
    <w:rsid w:val="009D2D00"/>
    <w:rsid w:val="009D7952"/>
    <w:rsid w:val="009D7B24"/>
    <w:rsid w:val="00A06CB7"/>
    <w:rsid w:val="00A10DB3"/>
    <w:rsid w:val="00A12A8C"/>
    <w:rsid w:val="00A134DB"/>
    <w:rsid w:val="00A15144"/>
    <w:rsid w:val="00A16F54"/>
    <w:rsid w:val="00A21614"/>
    <w:rsid w:val="00A34055"/>
    <w:rsid w:val="00A50C14"/>
    <w:rsid w:val="00A5124A"/>
    <w:rsid w:val="00A56CA1"/>
    <w:rsid w:val="00A573DF"/>
    <w:rsid w:val="00A6004A"/>
    <w:rsid w:val="00A62C68"/>
    <w:rsid w:val="00A64441"/>
    <w:rsid w:val="00A744F0"/>
    <w:rsid w:val="00A77DDB"/>
    <w:rsid w:val="00A80568"/>
    <w:rsid w:val="00A86C72"/>
    <w:rsid w:val="00A92553"/>
    <w:rsid w:val="00AA3181"/>
    <w:rsid w:val="00AB76F3"/>
    <w:rsid w:val="00AC5E0A"/>
    <w:rsid w:val="00AD1F54"/>
    <w:rsid w:val="00AD28B5"/>
    <w:rsid w:val="00AD47E6"/>
    <w:rsid w:val="00AD76D2"/>
    <w:rsid w:val="00AE1421"/>
    <w:rsid w:val="00AF2FB4"/>
    <w:rsid w:val="00B06B9A"/>
    <w:rsid w:val="00B13A12"/>
    <w:rsid w:val="00B14B81"/>
    <w:rsid w:val="00B15E70"/>
    <w:rsid w:val="00B1704D"/>
    <w:rsid w:val="00B215EF"/>
    <w:rsid w:val="00B31FB3"/>
    <w:rsid w:val="00B3567F"/>
    <w:rsid w:val="00B37B41"/>
    <w:rsid w:val="00B507E2"/>
    <w:rsid w:val="00B609C5"/>
    <w:rsid w:val="00B6604B"/>
    <w:rsid w:val="00B72814"/>
    <w:rsid w:val="00B81FDE"/>
    <w:rsid w:val="00B83EE9"/>
    <w:rsid w:val="00B86760"/>
    <w:rsid w:val="00B90B6A"/>
    <w:rsid w:val="00B95E73"/>
    <w:rsid w:val="00BA58C1"/>
    <w:rsid w:val="00BA6552"/>
    <w:rsid w:val="00BB2492"/>
    <w:rsid w:val="00BB261F"/>
    <w:rsid w:val="00BD7040"/>
    <w:rsid w:val="00BF6032"/>
    <w:rsid w:val="00C07562"/>
    <w:rsid w:val="00C1348C"/>
    <w:rsid w:val="00C3766C"/>
    <w:rsid w:val="00C410B2"/>
    <w:rsid w:val="00C72502"/>
    <w:rsid w:val="00C80510"/>
    <w:rsid w:val="00C97F28"/>
    <w:rsid w:val="00CA754B"/>
    <w:rsid w:val="00CB6F29"/>
    <w:rsid w:val="00CC4530"/>
    <w:rsid w:val="00CD3173"/>
    <w:rsid w:val="00CD6B33"/>
    <w:rsid w:val="00CE031E"/>
    <w:rsid w:val="00CE228A"/>
    <w:rsid w:val="00D00751"/>
    <w:rsid w:val="00D01516"/>
    <w:rsid w:val="00D02155"/>
    <w:rsid w:val="00D251A9"/>
    <w:rsid w:val="00D26607"/>
    <w:rsid w:val="00D4174C"/>
    <w:rsid w:val="00D4483A"/>
    <w:rsid w:val="00D51937"/>
    <w:rsid w:val="00D55099"/>
    <w:rsid w:val="00D6122F"/>
    <w:rsid w:val="00D65AFB"/>
    <w:rsid w:val="00D67C66"/>
    <w:rsid w:val="00D71925"/>
    <w:rsid w:val="00D76395"/>
    <w:rsid w:val="00D83D19"/>
    <w:rsid w:val="00D86A54"/>
    <w:rsid w:val="00D9628B"/>
    <w:rsid w:val="00DA75C3"/>
    <w:rsid w:val="00DB42FE"/>
    <w:rsid w:val="00DC17E0"/>
    <w:rsid w:val="00DD2244"/>
    <w:rsid w:val="00DF44AA"/>
    <w:rsid w:val="00E05449"/>
    <w:rsid w:val="00E13991"/>
    <w:rsid w:val="00E341C7"/>
    <w:rsid w:val="00E34D23"/>
    <w:rsid w:val="00E720ED"/>
    <w:rsid w:val="00E7460C"/>
    <w:rsid w:val="00E92FA5"/>
    <w:rsid w:val="00EB4A90"/>
    <w:rsid w:val="00EC3989"/>
    <w:rsid w:val="00ED3906"/>
    <w:rsid w:val="00EF2AE3"/>
    <w:rsid w:val="00F02110"/>
    <w:rsid w:val="00F02C61"/>
    <w:rsid w:val="00F05522"/>
    <w:rsid w:val="00F11BC2"/>
    <w:rsid w:val="00F44F51"/>
    <w:rsid w:val="00F51521"/>
    <w:rsid w:val="00F65F65"/>
    <w:rsid w:val="00F817C6"/>
    <w:rsid w:val="00F826B5"/>
    <w:rsid w:val="00F975F4"/>
    <w:rsid w:val="00FA2E42"/>
    <w:rsid w:val="00FA606A"/>
    <w:rsid w:val="00FA65CC"/>
    <w:rsid w:val="00FB163B"/>
    <w:rsid w:val="00FB2226"/>
    <w:rsid w:val="00FB536B"/>
    <w:rsid w:val="00FD47AB"/>
    <w:rsid w:val="00FE69C0"/>
    <w:rsid w:val="00FF472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D361F7"/>
  <w15:docId w15:val="{1C2BCA19-8E00-424C-B11C-A3C21AF619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34"/>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34"/>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99" w:qFormat="1"/>
    <w:lsdException w:name="Subtle Reference" w:uiPriority="99" w:qFormat="1"/>
    <w:lsdException w:name="Intense Reference" w:uiPriority="99" w:qFormat="1"/>
    <w:lsdException w:name="Book Title" w:uiPriority="99" w:qFormat="1"/>
    <w:lsdException w:name="Bibliography" w:semiHidden="1" w:uiPriority="37" w:unhideWhenUsed="1"/>
    <w:lsdException w:name="TOC Heading" w:semiHidden="1" w:uiPriority="39" w:unhideWhenUsed="1" w:qFormat="1"/>
    <w:lsdException w:name="Plain Table 1" w:uiPriority="59"/>
    <w:lsdException w:name="Plain Table 2" w:uiPriority="59"/>
    <w:lsdException w:name="Plain Table 3" w:uiPriority="99"/>
    <w:lsdException w:name="Plain Table 4" w:uiPriority="99"/>
    <w:lsdException w:name="Plain Table 5" w:uiPriority="99"/>
    <w:lsdException w:name="Grid Table Light" w:uiPriority="40"/>
    <w:lsdException w:name="Grid Table 1 Light" w:uiPriority="99"/>
    <w:lsdException w:name="Grid Table 2" w:uiPriority="99"/>
    <w:lsdException w:name="Grid Table 3" w:uiPriority="99"/>
    <w:lsdException w:name="Grid Table 4" w:uiPriority="59"/>
    <w:lsdException w:name="Grid Table 5 Dark" w:uiPriority="99"/>
    <w:lsdException w:name="Grid Table 6 Colorful" w:uiPriority="99"/>
    <w:lsdException w:name="Grid Table 7 Colorful" w:uiPriority="99"/>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99"/>
    <w:lsdException w:name="List Table 2" w:uiPriority="99"/>
    <w:lsdException w:name="List Table 3" w:uiPriority="99"/>
    <w:lsdException w:name="List Table 4" w:uiPriority="99"/>
    <w:lsdException w:name="List Table 5 Dark" w:uiPriority="99"/>
    <w:lsdException w:name="List Table 6 Colorful" w:uiPriority="99"/>
    <w:lsdException w:name="List Table 7 Colorful" w:uiPriority="99"/>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a">
    <w:name w:val="Normal"/>
    <w:qFormat/>
    <w:rsid w:val="00601408"/>
    <w:pPr>
      <w:jc w:val="both"/>
    </w:pPr>
    <w:rPr>
      <w:rFonts w:ascii="Times New Roman" w:eastAsia="Times New Roman" w:hAnsi="Times New Roman"/>
      <w:sz w:val="24"/>
    </w:rPr>
  </w:style>
  <w:style w:type="paragraph" w:styleId="10">
    <w:name w:val="heading 1"/>
    <w:aliases w:val="_GOST_1,h:1,h:1app,TF-Overskrift 1,H1,H11,R1,Titre 0,.,Название спецификации,GOST_1,Название организации,Section,ASFK_1,Загол 1,_EB_1"/>
    <w:next w:val="GOSTNormal"/>
    <w:link w:val="15"/>
    <w:qFormat/>
    <w:pPr>
      <w:keepNext/>
      <w:pageBreakBefore/>
      <w:numPr>
        <w:numId w:val="129"/>
      </w:numPr>
      <w:tabs>
        <w:tab w:val="left" w:pos="567"/>
      </w:tabs>
      <w:spacing w:before="240" w:after="360"/>
      <w:contextualSpacing/>
      <w:jc w:val="center"/>
      <w:outlineLvl w:val="0"/>
    </w:pPr>
    <w:rPr>
      <w:rFonts w:ascii="Times New Roman" w:eastAsia="Times New Roman" w:hAnsi="Times New Roman"/>
      <w:b/>
      <w:caps/>
      <w:sz w:val="32"/>
      <w:szCs w:val="36"/>
    </w:rPr>
  </w:style>
  <w:style w:type="paragraph" w:styleId="22">
    <w:name w:val="heading 2"/>
    <w:aliases w:val="_GOST_2,Подраздел,2,21,22,211,h:2,h:2app,T2,TF-Overskrit 2,H2,Title2,ITT t2,PA Major Section,TE Heading 2,Livello 2,R2,H21,heading 2+ Indent: Left 0.25 in,título 2,TITRE 2,h2,1st level heading,l2,level 2 no toc,A,2nd level,Titre2,A.B.C.,Tabl"/>
    <w:basedOn w:val="10"/>
    <w:next w:val="GOSTNormal"/>
    <w:link w:val="26"/>
    <w:qFormat/>
    <w:pPr>
      <w:keepLines/>
      <w:pageBreakBefore w:val="0"/>
      <w:numPr>
        <w:ilvl w:val="1"/>
      </w:numPr>
      <w:tabs>
        <w:tab w:val="clear" w:pos="576"/>
        <w:tab w:val="left" w:pos="851"/>
      </w:tabs>
      <w:spacing w:after="240"/>
      <w:jc w:val="both"/>
      <w:outlineLvl w:val="1"/>
    </w:pPr>
    <w:rPr>
      <w:rFonts w:cs="Arial"/>
      <w:bCs/>
      <w:iCs/>
      <w:caps w:val="0"/>
      <w:szCs w:val="32"/>
      <w:lang w:val="en-US"/>
    </w:rPr>
  </w:style>
  <w:style w:type="paragraph" w:styleId="31">
    <w:name w:val="heading 3"/>
    <w:aliases w:val="_GOST_3,h:3,h,3,31,ITT t3,PA Minor Section,TE Heading,H3,Title3,list,l3,Level 3 Head,heading 3,h3,H31,H32,H33,H34,H35,título 3,subhead,1.,TF-Overskrift 3,Titre3,alltoc,Table3,3heading,Heading 3 - old,orderpara2,l31,32,l32,33,l33,34,l34,35,o"/>
    <w:basedOn w:val="22"/>
    <w:next w:val="GOSTNormal"/>
    <w:link w:val="33"/>
    <w:qFormat/>
    <w:pPr>
      <w:numPr>
        <w:ilvl w:val="2"/>
      </w:numPr>
      <w:tabs>
        <w:tab w:val="clear" w:pos="851"/>
        <w:tab w:val="left" w:pos="964"/>
      </w:tabs>
      <w:jc w:val="left"/>
      <w:outlineLvl w:val="2"/>
    </w:pPr>
    <w:rPr>
      <w:bCs w:val="0"/>
      <w:sz w:val="26"/>
      <w:szCs w:val="26"/>
      <w:lang w:val="ru-RU"/>
    </w:rPr>
  </w:style>
  <w:style w:type="paragraph" w:styleId="4">
    <w:name w:val="heading 4"/>
    <w:aliases w:val="_GOST_4,h:4,h4,ITT t4,PA Micro Section,TE Heading 4,4,H4,heading 4 + Indent: Left 0.5 in,a.,I4,l4,heading&#10;4,Map Title,heading,Заголовок 4 (Приложение),GOST_4,Sub-Minor,????????? 4 (??????????),heading4,Заголовок 4 (Приложение) Знак Знак,ASFK"/>
    <w:basedOn w:val="31"/>
    <w:next w:val="GOSTNormal"/>
    <w:link w:val="42"/>
    <w:qFormat/>
    <w:pPr>
      <w:numPr>
        <w:ilvl w:val="3"/>
      </w:numPr>
      <w:tabs>
        <w:tab w:val="clear" w:pos="964"/>
        <w:tab w:val="left" w:pos="1134"/>
      </w:tabs>
      <w:outlineLvl w:val="3"/>
    </w:pPr>
    <w:rPr>
      <w:sz w:val="24"/>
    </w:rPr>
  </w:style>
  <w:style w:type="paragraph" w:styleId="51">
    <w:name w:val="heading 5"/>
    <w:aliases w:val="_GOST_5,GOST_5,ITT t5,PA Pico Section,5,Roman list,h5,Roman list1,Roman list2,Roman list11,Roman list3,Roman list12,Roman list21,Roman list111,ASFK_5"/>
    <w:basedOn w:val="4"/>
    <w:next w:val="GOSTNormal"/>
    <w:link w:val="52"/>
    <w:qFormat/>
    <w:pPr>
      <w:numPr>
        <w:ilvl w:val="4"/>
      </w:numPr>
      <w:tabs>
        <w:tab w:val="clear" w:pos="1134"/>
        <w:tab w:val="left" w:pos="1276"/>
      </w:tabs>
      <w:spacing w:after="120"/>
      <w:outlineLvl w:val="4"/>
    </w:pPr>
    <w:rPr>
      <w:bCs/>
      <w:iCs w:val="0"/>
      <w:lang w:eastAsia="ko-KR"/>
    </w:rPr>
  </w:style>
  <w:style w:type="paragraph" w:styleId="6">
    <w:name w:val="heading 6"/>
    <w:aliases w:val="_GOST_6,ITT t6,PA Appendix,6,heading 6,Bullet list,Bullet list1,Bullet list2,Bullet list11,Bullet list3,Bullet list12,Bullet list21,Bullet list111,Bullet lis"/>
    <w:basedOn w:val="51"/>
    <w:next w:val="GOSTNormal"/>
    <w:link w:val="60"/>
    <w:qFormat/>
    <w:pPr>
      <w:numPr>
        <w:ilvl w:val="5"/>
      </w:numPr>
      <w:tabs>
        <w:tab w:val="clear" w:pos="1152"/>
        <w:tab w:val="clear" w:pos="1276"/>
        <w:tab w:val="left" w:pos="1418"/>
      </w:tabs>
      <w:outlineLvl w:val="5"/>
    </w:pPr>
    <w:rPr>
      <w:bCs w:val="0"/>
      <w:i/>
      <w:szCs w:val="22"/>
    </w:rPr>
  </w:style>
  <w:style w:type="paragraph" w:styleId="7">
    <w:name w:val="heading 7"/>
    <w:aliases w:val="ITT t7,PA Appendix Major,7,req3,heading 7,letter list,lettered list,letter list1,lettered list1,letter list2,lettered list2,letter list11,lettered list11,letter list3,lettered list3,letter list12,lettered list12,letter list21"/>
    <w:basedOn w:val="aa"/>
    <w:next w:val="aa"/>
    <w:link w:val="70"/>
    <w:qFormat/>
    <w:pPr>
      <w:numPr>
        <w:ilvl w:val="6"/>
        <w:numId w:val="129"/>
      </w:numPr>
      <w:spacing w:before="240" w:after="60"/>
      <w:outlineLvl w:val="6"/>
    </w:pPr>
  </w:style>
  <w:style w:type="paragraph" w:styleId="8">
    <w:name w:val="heading 8"/>
    <w:basedOn w:val="aa"/>
    <w:next w:val="aa"/>
    <w:link w:val="80"/>
    <w:qFormat/>
    <w:pPr>
      <w:numPr>
        <w:ilvl w:val="7"/>
        <w:numId w:val="129"/>
      </w:numPr>
      <w:spacing w:before="240" w:after="60"/>
      <w:outlineLvl w:val="7"/>
    </w:pPr>
    <w:rPr>
      <w:i/>
      <w:iCs/>
    </w:rPr>
  </w:style>
  <w:style w:type="paragraph" w:styleId="9">
    <w:name w:val="heading 9"/>
    <w:basedOn w:val="aa"/>
    <w:next w:val="aa"/>
    <w:link w:val="90"/>
    <w:qFormat/>
    <w:pPr>
      <w:tabs>
        <w:tab w:val="num" w:pos="1209"/>
        <w:tab w:val="num" w:pos="1584"/>
      </w:tabs>
      <w:spacing w:before="240" w:after="60"/>
      <w:ind w:left="1584" w:hanging="1584"/>
      <w:outlineLvl w:val="8"/>
    </w:pPr>
    <w:rPr>
      <w:rFonts w:ascii="Arial" w:eastAsia="Calibri" w:hAnsi="Arial"/>
      <w:sz w:val="20"/>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character" w:customStyle="1" w:styleId="15">
    <w:name w:val="Заголовок 1 Знак"/>
    <w:aliases w:val="_GOST_1 Знак,h:1 Знак,h:1app Знак,TF-Overskrift 1 Знак,H1 Знак,H11 Знак,R1 Знак,Titre 0 Знак,. Знак,Название спецификации Знак,GOST_1 Знак,Название организации Знак,Section Знак,ASFK_1 Знак,Загол 1 Знак,_EB_1 Знак"/>
    <w:link w:val="10"/>
    <w:rPr>
      <w:rFonts w:ascii="Times New Roman" w:eastAsia="Times New Roman" w:hAnsi="Times New Roman"/>
      <w:b/>
      <w:caps/>
      <w:sz w:val="32"/>
      <w:szCs w:val="36"/>
    </w:rPr>
  </w:style>
  <w:style w:type="character" w:customStyle="1" w:styleId="26">
    <w:name w:val="Заголовок 2 Знак"/>
    <w:aliases w:val="_GOST_2 Знак,Подраздел Знак,2 Знак,21 Знак,22 Знак,211 Знак,h:2 Знак,h:2app Знак,T2 Знак,TF-Overskrit 2 Знак,H2 Знак,Title2 Знак,ITT t2 Знак,PA Major Section Знак,TE Heading 2 Знак,Livello 2 Знак,R2 Знак,H21 Знак,título 2 Знак,h2 Знак"/>
    <w:link w:val="22"/>
    <w:rPr>
      <w:rFonts w:ascii="Times New Roman" w:eastAsia="Times New Roman" w:hAnsi="Times New Roman" w:cs="Arial"/>
      <w:b/>
      <w:bCs/>
      <w:iCs/>
      <w:sz w:val="32"/>
      <w:szCs w:val="32"/>
      <w:lang w:val="en-US"/>
    </w:rPr>
  </w:style>
  <w:style w:type="character" w:customStyle="1" w:styleId="33">
    <w:name w:val="Заголовок 3 Знак"/>
    <w:aliases w:val="_GOST_3 Знак,h:3 Знак,h Знак,3 Знак,31 Знак,ITT t3 Знак,PA Minor Section Знак,TE Heading Знак,H3 Знак,Title3 Знак,list Знак,l3 Знак,Level 3 Head Знак,heading 3 Знак,h3 Знак,H31 Знак,H32 Знак,H33 Знак,H34 Знак,H35 Знак,título 3 Знак"/>
    <w:link w:val="31"/>
    <w:rPr>
      <w:rFonts w:ascii="Times New Roman" w:eastAsia="Times New Roman" w:hAnsi="Times New Roman" w:cs="Arial"/>
      <w:b/>
      <w:iCs/>
      <w:sz w:val="26"/>
      <w:szCs w:val="26"/>
    </w:rPr>
  </w:style>
  <w:style w:type="character" w:customStyle="1" w:styleId="42">
    <w:name w:val="Заголовок 4 Знак"/>
    <w:aliases w:val="_GOST_4 Знак,h:4 Знак,h4 Знак,ITT t4 Знак,PA Micro Section Знак,TE Heading 4 Знак,4 Знак,H4 Знак,heading 4 + Indent: Left 0.5 in Знак,a. Знак,I4 Знак,l4 Знак,heading&#10;4 Знак,Map Title Знак,heading Знак,Заголовок 4 (Приложение) Знак"/>
    <w:link w:val="4"/>
    <w:rPr>
      <w:rFonts w:ascii="Times New Roman" w:eastAsia="Times New Roman" w:hAnsi="Times New Roman" w:cs="Arial"/>
      <w:b/>
      <w:iCs/>
      <w:sz w:val="24"/>
      <w:szCs w:val="26"/>
    </w:rPr>
  </w:style>
  <w:style w:type="character" w:customStyle="1" w:styleId="52">
    <w:name w:val="Заголовок 5 Знак"/>
    <w:aliases w:val="_GOST_5 Знак,GOST_5 Знак,ITT t5 Знак,PA Pico Section Знак,5 Знак,Roman list Знак,h5 Знак,Roman list1 Знак,Roman list2 Знак,Roman list11 Знак,Roman list3 Знак,Roman list12 Знак,Roman list21 Знак,Roman list111 Знак,ASFK_5 Знак"/>
    <w:link w:val="51"/>
    <w:rPr>
      <w:rFonts w:ascii="Times New Roman" w:eastAsia="Times New Roman" w:hAnsi="Times New Roman" w:cs="Arial"/>
      <w:b/>
      <w:bCs/>
      <w:sz w:val="24"/>
      <w:szCs w:val="26"/>
      <w:lang w:eastAsia="ko-KR"/>
    </w:rPr>
  </w:style>
  <w:style w:type="character" w:customStyle="1" w:styleId="60">
    <w:name w:val="Заголовок 6 Знак"/>
    <w:aliases w:val="_GOST_6 Знак,ITT t6 Знак,PA Appendix Знак,6 Знак,heading 6 Знак,Bullet list Знак,Bullet list1 Знак,Bullet list2 Знак,Bullet list11 Знак,Bullet list3 Знак,Bullet list12 Знак,Bullet list21 Знак,Bullet list111 Знак,Bullet lis Знак"/>
    <w:link w:val="6"/>
    <w:rPr>
      <w:rFonts w:ascii="Times New Roman" w:eastAsia="Times New Roman" w:hAnsi="Times New Roman" w:cs="Arial"/>
      <w:b/>
      <w:i/>
      <w:sz w:val="24"/>
      <w:szCs w:val="22"/>
      <w:lang w:eastAsia="ko-KR"/>
    </w:rPr>
  </w:style>
  <w:style w:type="character" w:customStyle="1" w:styleId="70">
    <w:name w:val="Заголовок 7 Знак"/>
    <w:aliases w:val="ITT t7 Знак,PA Appendix Major Знак,7 Знак,req3 Знак,heading 7 Знак,letter list Знак,lettered list Знак,letter list1 Знак,lettered list1 Знак,letter list2 Знак,lettered list2 Знак,letter list11 Знак,lettered list11 Знак,letter list3 Знак"/>
    <w:link w:val="7"/>
    <w:rPr>
      <w:rFonts w:ascii="Times New Roman" w:eastAsia="Times New Roman" w:hAnsi="Times New Roman"/>
      <w:sz w:val="24"/>
    </w:rPr>
  </w:style>
  <w:style w:type="character" w:customStyle="1" w:styleId="80">
    <w:name w:val="Заголовок 8 Знак"/>
    <w:link w:val="8"/>
    <w:rPr>
      <w:rFonts w:ascii="Times New Roman" w:eastAsia="Times New Roman" w:hAnsi="Times New Roman"/>
      <w:i/>
      <w:iCs/>
      <w:sz w:val="24"/>
    </w:rPr>
  </w:style>
  <w:style w:type="character" w:customStyle="1" w:styleId="90">
    <w:name w:val="Заголовок 9 Знак"/>
    <w:link w:val="9"/>
    <w:rPr>
      <w:rFonts w:ascii="Arial" w:hAnsi="Arial" w:cs="Times New Roman"/>
      <w:sz w:val="20"/>
      <w:szCs w:val="20"/>
    </w:rPr>
  </w:style>
  <w:style w:type="paragraph" w:styleId="ae">
    <w:name w:val="caption"/>
    <w:aliases w:val="Назв. Таблицы"/>
    <w:basedOn w:val="aa"/>
    <w:next w:val="aa"/>
    <w:qFormat/>
    <w:rPr>
      <w:b/>
      <w:bCs/>
      <w:sz w:val="20"/>
    </w:rPr>
  </w:style>
  <w:style w:type="paragraph" w:styleId="af">
    <w:name w:val="Title"/>
    <w:aliases w:val="Название1"/>
    <w:basedOn w:val="aa"/>
    <w:link w:val="af0"/>
    <w:uiPriority w:val="10"/>
    <w:qFormat/>
    <w:pPr>
      <w:spacing w:before="240" w:after="60"/>
      <w:jc w:val="center"/>
      <w:outlineLvl w:val="0"/>
    </w:pPr>
    <w:rPr>
      <w:rFonts w:ascii="Arial" w:eastAsia="Calibri" w:hAnsi="Arial"/>
      <w:b/>
      <w:sz w:val="32"/>
    </w:rPr>
  </w:style>
  <w:style w:type="character" w:customStyle="1" w:styleId="af0">
    <w:name w:val="Название Знак"/>
    <w:aliases w:val="Название1 Знак"/>
    <w:link w:val="af"/>
    <w:uiPriority w:val="10"/>
    <w:rPr>
      <w:rFonts w:ascii="Arial" w:hAnsi="Arial" w:cs="Arial"/>
      <w:b/>
      <w:sz w:val="32"/>
    </w:rPr>
  </w:style>
  <w:style w:type="paragraph" w:styleId="af1">
    <w:name w:val="Subtitle"/>
    <w:basedOn w:val="aa"/>
    <w:link w:val="af2"/>
    <w:uiPriority w:val="11"/>
    <w:qFormat/>
    <w:pPr>
      <w:spacing w:after="60"/>
      <w:jc w:val="center"/>
      <w:outlineLvl w:val="1"/>
    </w:pPr>
    <w:rPr>
      <w:rFonts w:ascii="Arial" w:eastAsia="Calibri" w:hAnsi="Arial"/>
      <w:sz w:val="20"/>
    </w:rPr>
  </w:style>
  <w:style w:type="character" w:customStyle="1" w:styleId="af2">
    <w:name w:val="Подзаголовок Знак"/>
    <w:link w:val="af1"/>
    <w:uiPriority w:val="11"/>
    <w:rPr>
      <w:rFonts w:ascii="Arial" w:hAnsi="Arial" w:cs="Arial"/>
    </w:rPr>
  </w:style>
  <w:style w:type="character" w:styleId="af3">
    <w:name w:val="Strong"/>
    <w:qFormat/>
    <w:rPr>
      <w:rFonts w:cs="Times New Roman"/>
      <w:b/>
    </w:rPr>
  </w:style>
  <w:style w:type="character" w:styleId="af4">
    <w:name w:val="Emphasis"/>
    <w:qFormat/>
    <w:rPr>
      <w:rFonts w:cs="Times New Roman"/>
      <w:i/>
    </w:rPr>
  </w:style>
  <w:style w:type="paragraph" w:styleId="af5">
    <w:name w:val="List Paragraph"/>
    <w:basedOn w:val="aa"/>
    <w:uiPriority w:val="34"/>
    <w:qFormat/>
    <w:pPr>
      <w:ind w:left="720"/>
      <w:jc w:val="left"/>
    </w:pPr>
    <w:rPr>
      <w:szCs w:val="24"/>
    </w:rPr>
  </w:style>
  <w:style w:type="character" w:customStyle="1" w:styleId="Script">
    <w:name w:val="Script"/>
    <w:uiPriority w:val="99"/>
    <w:rPr>
      <w:rFonts w:ascii="Calibri" w:hAnsi="Calibri"/>
      <w:color w:val="008000"/>
      <w:lang w:val="en-US"/>
    </w:rPr>
  </w:style>
  <w:style w:type="paragraph" w:styleId="27">
    <w:name w:val="Quote"/>
    <w:basedOn w:val="aa"/>
    <w:next w:val="aa"/>
    <w:link w:val="28"/>
    <w:uiPriority w:val="29"/>
    <w:qFormat/>
    <w:rPr>
      <w:i/>
      <w:iCs/>
      <w:color w:val="000000"/>
    </w:rPr>
  </w:style>
  <w:style w:type="character" w:customStyle="1" w:styleId="28">
    <w:name w:val="Цитата 2 Знак"/>
    <w:link w:val="27"/>
    <w:uiPriority w:val="29"/>
    <w:rPr>
      <w:rFonts w:ascii="Times New Roman" w:eastAsia="Times New Roman" w:hAnsi="Times New Roman"/>
      <w:i/>
      <w:iCs/>
      <w:color w:val="000000"/>
      <w:sz w:val="24"/>
    </w:rPr>
  </w:style>
  <w:style w:type="paragraph" w:styleId="af6">
    <w:name w:val="TOC Heading"/>
    <w:basedOn w:val="10"/>
    <w:next w:val="aa"/>
    <w:uiPriority w:val="39"/>
    <w:qFormat/>
    <w:pPr>
      <w:keepLines/>
      <w:pageBreakBefore w:val="0"/>
      <w:numPr>
        <w:numId w:val="0"/>
      </w:numPr>
      <w:spacing w:before="480" w:after="0" w:line="276" w:lineRule="auto"/>
      <w:jc w:val="left"/>
      <w:outlineLvl w:val="9"/>
    </w:pPr>
    <w:rPr>
      <w:rFonts w:ascii="Cambria" w:hAnsi="Cambria"/>
      <w:bCs/>
      <w:color w:val="365F91"/>
      <w:sz w:val="28"/>
      <w:szCs w:val="28"/>
      <w:lang w:eastAsia="en-US"/>
    </w:rPr>
  </w:style>
  <w:style w:type="paragraph" w:customStyle="1" w:styleId="OTRNormal">
    <w:name w:val="OTR_Normal"/>
    <w:basedOn w:val="aa"/>
    <w:link w:val="OTRNormal0"/>
    <w:qFormat/>
    <w:pPr>
      <w:spacing w:before="60" w:after="120"/>
      <w:ind w:firstLine="567"/>
    </w:pPr>
    <w:rPr>
      <w:rFonts w:eastAsia="Calibri"/>
      <w:sz w:val="20"/>
    </w:rPr>
  </w:style>
  <w:style w:type="character" w:customStyle="1" w:styleId="OTRNormal0">
    <w:name w:val="OTR_Normal Знак"/>
    <w:link w:val="OTRNormal"/>
    <w:rPr>
      <w:rFonts w:ascii="Times New Roman" w:hAnsi="Times New Roman"/>
    </w:rPr>
  </w:style>
  <w:style w:type="paragraph" w:styleId="16">
    <w:name w:val="toc 1"/>
    <w:basedOn w:val="aa"/>
    <w:next w:val="aa"/>
    <w:uiPriority w:val="39"/>
    <w:unhideWhenUsed/>
    <w:pPr>
      <w:tabs>
        <w:tab w:val="left" w:pos="480"/>
        <w:tab w:val="right" w:leader="dot" w:pos="9769"/>
      </w:tabs>
      <w:spacing w:after="100"/>
    </w:pPr>
    <w:rPr>
      <w:b/>
      <w:caps/>
    </w:rPr>
  </w:style>
  <w:style w:type="paragraph" w:styleId="2a">
    <w:name w:val="toc 2"/>
    <w:basedOn w:val="aa"/>
    <w:next w:val="aa"/>
    <w:uiPriority w:val="39"/>
    <w:unhideWhenUsed/>
    <w:qFormat/>
    <w:pPr>
      <w:spacing w:after="100"/>
      <w:ind w:left="240"/>
    </w:pPr>
  </w:style>
  <w:style w:type="character" w:styleId="af7">
    <w:name w:val="Hyperlink"/>
    <w:uiPriority w:val="99"/>
    <w:rPr>
      <w:rFonts w:cs="Times New Roman"/>
      <w:color w:val="0000FF"/>
      <w:u w:val="single"/>
    </w:rPr>
  </w:style>
  <w:style w:type="paragraph" w:customStyle="1" w:styleId="OTRTableNum0">
    <w:name w:val="OTR_Table_Num"/>
    <w:basedOn w:val="aa"/>
    <w:link w:val="OTRTableNum1"/>
    <w:pPr>
      <w:tabs>
        <w:tab w:val="num" w:pos="360"/>
      </w:tabs>
      <w:spacing w:before="60" w:after="60"/>
      <w:ind w:left="360" w:hanging="360"/>
      <w:jc w:val="left"/>
    </w:pPr>
    <w:rPr>
      <w:rFonts w:eastAsia="Calibri"/>
      <w:sz w:val="22"/>
      <w:szCs w:val="22"/>
    </w:rPr>
  </w:style>
  <w:style w:type="paragraph" w:styleId="af8">
    <w:name w:val="header"/>
    <w:basedOn w:val="aa"/>
    <w:link w:val="af9"/>
    <w:pPr>
      <w:tabs>
        <w:tab w:val="center" w:pos="4677"/>
        <w:tab w:val="right" w:pos="9355"/>
      </w:tabs>
    </w:pPr>
    <w:rPr>
      <w:rFonts w:eastAsia="Calibri"/>
      <w:sz w:val="20"/>
    </w:rPr>
  </w:style>
  <w:style w:type="character" w:customStyle="1" w:styleId="af9">
    <w:name w:val="Верхний колонтитул Знак"/>
    <w:link w:val="af8"/>
    <w:rPr>
      <w:rFonts w:ascii="Times New Roman" w:hAnsi="Times New Roman"/>
    </w:rPr>
  </w:style>
  <w:style w:type="paragraph" w:styleId="afa">
    <w:name w:val="footer"/>
    <w:basedOn w:val="aa"/>
    <w:link w:val="afb"/>
    <w:uiPriority w:val="99"/>
    <w:pPr>
      <w:tabs>
        <w:tab w:val="center" w:pos="4677"/>
        <w:tab w:val="right" w:pos="9355"/>
      </w:tabs>
    </w:pPr>
    <w:rPr>
      <w:rFonts w:eastAsia="Calibri"/>
      <w:sz w:val="20"/>
    </w:rPr>
  </w:style>
  <w:style w:type="character" w:customStyle="1" w:styleId="afb">
    <w:name w:val="Нижний колонтитул Знак"/>
    <w:link w:val="afa"/>
    <w:uiPriority w:val="99"/>
    <w:rPr>
      <w:rFonts w:ascii="Times New Roman" w:hAnsi="Times New Roman"/>
    </w:rPr>
  </w:style>
  <w:style w:type="character" w:styleId="afc">
    <w:name w:val="page number"/>
    <w:rPr>
      <w:rFonts w:cs="Times New Roman"/>
    </w:rPr>
  </w:style>
  <w:style w:type="paragraph" w:customStyle="1" w:styleId="OTRsign">
    <w:name w:val="OTR_sign"/>
    <w:basedOn w:val="OTRNormal"/>
    <w:semiHidden/>
    <w:pPr>
      <w:spacing w:before="120"/>
      <w:ind w:firstLine="0"/>
      <w:jc w:val="center"/>
    </w:pPr>
    <w:rPr>
      <w:caps/>
      <w:sz w:val="28"/>
    </w:rPr>
  </w:style>
  <w:style w:type="paragraph" w:customStyle="1" w:styleId="OTRFootercenter">
    <w:name w:val="OTR_Footer_center"/>
    <w:basedOn w:val="aa"/>
    <w:semiHidden/>
    <w:pPr>
      <w:spacing w:line="360" w:lineRule="auto"/>
      <w:ind w:left="21"/>
      <w:jc w:val="center"/>
    </w:pPr>
    <w:rPr>
      <w:rFonts w:cs="Arial"/>
      <w:bCs/>
      <w:sz w:val="28"/>
    </w:rPr>
  </w:style>
  <w:style w:type="paragraph" w:customStyle="1" w:styleId="OTRTitulnamedoc">
    <w:name w:val="OTR_Titul_name_doc"/>
    <w:basedOn w:val="aa"/>
    <w:semiHidden/>
    <w:pPr>
      <w:spacing w:before="200" w:after="400"/>
      <w:contextualSpacing/>
      <w:jc w:val="center"/>
    </w:pPr>
    <w:rPr>
      <w:b/>
      <w:sz w:val="32"/>
      <w:szCs w:val="28"/>
    </w:rPr>
  </w:style>
  <w:style w:type="character" w:customStyle="1" w:styleId="ASFKNameTable">
    <w:name w:val="_ASFK_Name_Table Знак Знак"/>
    <w:link w:val="ASFKNameTable0"/>
    <w:rPr>
      <w:rFonts w:ascii="Times New Roman" w:eastAsia="Times New Roman" w:hAnsi="Times New Roman"/>
      <w:b/>
      <w:sz w:val="24"/>
    </w:rPr>
  </w:style>
  <w:style w:type="paragraph" w:customStyle="1" w:styleId="ASFKNameTable0">
    <w:name w:val="_ASFK_Name_Table"/>
    <w:link w:val="ASFKNameTable"/>
    <w:pPr>
      <w:keepNext/>
      <w:spacing w:before="240" w:after="120"/>
    </w:pPr>
    <w:rPr>
      <w:rFonts w:ascii="Times New Roman" w:eastAsia="Times New Roman" w:hAnsi="Times New Roman"/>
      <w:b/>
      <w:sz w:val="24"/>
    </w:rPr>
  </w:style>
  <w:style w:type="paragraph" w:customStyle="1" w:styleId="TableText">
    <w:name w:val="TableText"/>
    <w:basedOn w:val="aa"/>
    <w:uiPriority w:val="99"/>
    <w:pPr>
      <w:keepLines/>
      <w:spacing w:line="288" w:lineRule="auto"/>
      <w:ind w:firstLine="567"/>
    </w:pPr>
    <w:rPr>
      <w:sz w:val="28"/>
    </w:rPr>
  </w:style>
  <w:style w:type="paragraph" w:customStyle="1" w:styleId="otrheader">
    <w:name w:val="_otr_header"/>
    <w:uiPriority w:val="99"/>
    <w:pPr>
      <w:jc w:val="both"/>
    </w:pPr>
    <w:rPr>
      <w:rFonts w:ascii="Times New Roman" w:eastAsia="Times New Roman" w:hAnsi="Times New Roman"/>
      <w:b/>
      <w:sz w:val="28"/>
      <w:szCs w:val="28"/>
    </w:rPr>
  </w:style>
  <w:style w:type="paragraph" w:customStyle="1" w:styleId="ASFKListmark1">
    <w:name w:val="_ASFK_List_mark1"/>
    <w:link w:val="ASFKListmark10"/>
    <w:pPr>
      <w:numPr>
        <w:numId w:val="1"/>
      </w:numPr>
    </w:pPr>
    <w:rPr>
      <w:rFonts w:ascii="Times New Roman" w:eastAsia="Times New Roman" w:hAnsi="Times New Roman"/>
      <w:sz w:val="24"/>
    </w:rPr>
  </w:style>
  <w:style w:type="paragraph" w:customStyle="1" w:styleId="ASFKNormal">
    <w:name w:val="_ASFK_Normal"/>
    <w:link w:val="ASFKNormal0"/>
    <w:pPr>
      <w:spacing w:before="120" w:after="60"/>
      <w:ind w:firstLine="567"/>
      <w:contextualSpacing/>
    </w:pPr>
    <w:rPr>
      <w:rFonts w:ascii="Times New Roman" w:eastAsia="Times New Roman" w:hAnsi="Times New Roman"/>
      <w:sz w:val="28"/>
    </w:rPr>
  </w:style>
  <w:style w:type="paragraph" w:customStyle="1" w:styleId="ASFKSign">
    <w:name w:val="_ASFK_Sign"/>
    <w:basedOn w:val="aa"/>
    <w:uiPriority w:val="99"/>
    <w:pPr>
      <w:keepNext/>
      <w:spacing w:before="120" w:after="120"/>
      <w:contextualSpacing/>
      <w:jc w:val="center"/>
    </w:pPr>
    <w:rPr>
      <w:b/>
      <w:caps/>
      <w:sz w:val="28"/>
    </w:rPr>
  </w:style>
  <w:style w:type="character" w:customStyle="1" w:styleId="ASFKSymBold">
    <w:name w:val="_ASFK_Sym_Bold"/>
    <w:uiPriority w:val="99"/>
    <w:rPr>
      <w:b/>
    </w:rPr>
  </w:style>
  <w:style w:type="paragraph" w:customStyle="1" w:styleId="ASFKTableHead">
    <w:name w:val="_ASFK_Table_Head"/>
    <w:basedOn w:val="aa"/>
    <w:pPr>
      <w:keepNext/>
      <w:spacing w:before="60" w:after="60"/>
      <w:contextualSpacing/>
      <w:jc w:val="center"/>
    </w:pPr>
    <w:rPr>
      <w:b/>
      <w:bCs/>
      <w:sz w:val="22"/>
      <w:szCs w:val="22"/>
    </w:rPr>
  </w:style>
  <w:style w:type="paragraph" w:customStyle="1" w:styleId="ASFKTablenorm">
    <w:name w:val="_ASFK_Table_norm"/>
    <w:link w:val="ASFKTablenorm0"/>
    <w:pPr>
      <w:spacing w:before="60" w:after="60"/>
      <w:contextualSpacing/>
      <w:jc w:val="both"/>
    </w:pPr>
    <w:rPr>
      <w:sz w:val="28"/>
    </w:rPr>
  </w:style>
  <w:style w:type="paragraph" w:customStyle="1" w:styleId="ASFKTableNum">
    <w:name w:val="_ASFK_Table_Num"/>
    <w:uiPriority w:val="99"/>
    <w:pPr>
      <w:numPr>
        <w:numId w:val="3"/>
      </w:numPr>
      <w:spacing w:before="60" w:after="60"/>
      <w:ind w:right="57"/>
    </w:pPr>
    <w:rPr>
      <w:rFonts w:ascii="Times New Roman" w:eastAsia="Times New Roman" w:hAnsi="Times New Roman"/>
      <w:sz w:val="22"/>
    </w:rPr>
  </w:style>
  <w:style w:type="character" w:customStyle="1" w:styleId="ASFKTablenorm0">
    <w:name w:val="_ASFK_Table_norm Знак"/>
    <w:link w:val="ASFKTablenorm"/>
    <w:rPr>
      <w:sz w:val="28"/>
      <w:lang w:bidi="ar-SA"/>
    </w:rPr>
  </w:style>
  <w:style w:type="paragraph" w:styleId="afd">
    <w:name w:val="Body Text"/>
    <w:basedOn w:val="aa"/>
    <w:link w:val="afe"/>
    <w:pPr>
      <w:spacing w:after="240"/>
    </w:pPr>
  </w:style>
  <w:style w:type="character" w:customStyle="1" w:styleId="afe">
    <w:name w:val="Основной текст Знак"/>
    <w:link w:val="afd"/>
    <w:rPr>
      <w:rFonts w:ascii="Times New Roman" w:eastAsia="Times New Roman" w:hAnsi="Times New Roman"/>
      <w:sz w:val="24"/>
    </w:rPr>
  </w:style>
  <w:style w:type="paragraph" w:customStyle="1" w:styleId="OTRTITULnew">
    <w:name w:val="OTR_TITUL_new"/>
    <w:basedOn w:val="OTRNormal"/>
    <w:semiHidden/>
    <w:pPr>
      <w:spacing w:before="0" w:after="0" w:line="360" w:lineRule="auto"/>
      <w:ind w:firstLine="0"/>
      <w:jc w:val="center"/>
    </w:pPr>
    <w:rPr>
      <w:rFonts w:eastAsia="Times New Roman"/>
      <w:sz w:val="28"/>
      <w:szCs w:val="28"/>
    </w:rPr>
  </w:style>
  <w:style w:type="paragraph" w:customStyle="1" w:styleId="OTRTitleFoot">
    <w:name w:val="OTR_Title_Foot"/>
    <w:basedOn w:val="OTRHeaderRight"/>
    <w:semiHidden/>
    <w:pPr>
      <w:ind w:left="21"/>
      <w:jc w:val="center"/>
    </w:pPr>
  </w:style>
  <w:style w:type="paragraph" w:styleId="34">
    <w:name w:val="toc 3"/>
    <w:basedOn w:val="OTRDefault"/>
    <w:next w:val="OTRDefault"/>
    <w:uiPriority w:val="39"/>
    <w:pPr>
      <w:ind w:left="480"/>
      <w:jc w:val="left"/>
    </w:pPr>
    <w:rPr>
      <w:iCs/>
    </w:rPr>
  </w:style>
  <w:style w:type="paragraph" w:customStyle="1" w:styleId="aff">
    <w:name w:val="Основной"/>
    <w:basedOn w:val="aa"/>
    <w:semiHidden/>
    <w:pPr>
      <w:ind w:firstLine="567"/>
    </w:pPr>
  </w:style>
  <w:style w:type="paragraph" w:styleId="2b">
    <w:name w:val="Body Text 2"/>
    <w:basedOn w:val="aa"/>
    <w:link w:val="2c"/>
    <w:pPr>
      <w:spacing w:after="120" w:line="480" w:lineRule="auto"/>
    </w:pPr>
  </w:style>
  <w:style w:type="character" w:customStyle="1" w:styleId="2c">
    <w:name w:val="Основной текст 2 Знак"/>
    <w:link w:val="2b"/>
    <w:rPr>
      <w:rFonts w:ascii="Times New Roman" w:eastAsia="Times New Roman" w:hAnsi="Times New Roman"/>
      <w:sz w:val="24"/>
    </w:rPr>
  </w:style>
  <w:style w:type="character" w:customStyle="1" w:styleId="OTRSymBoldItalic">
    <w:name w:val="OTR_Sym_Bold_Italic"/>
    <w:rPr>
      <w:b/>
      <w:i/>
    </w:rPr>
  </w:style>
  <w:style w:type="paragraph" w:styleId="35">
    <w:name w:val="Body Text Indent 3"/>
    <w:basedOn w:val="aa"/>
    <w:link w:val="36"/>
    <w:pPr>
      <w:spacing w:after="120"/>
      <w:ind w:left="283"/>
    </w:pPr>
    <w:rPr>
      <w:sz w:val="16"/>
      <w:szCs w:val="16"/>
    </w:rPr>
  </w:style>
  <w:style w:type="character" w:customStyle="1" w:styleId="36">
    <w:name w:val="Основной текст с отступом 3 Знак"/>
    <w:link w:val="35"/>
    <w:rPr>
      <w:rFonts w:ascii="Times New Roman" w:eastAsia="Times New Roman" w:hAnsi="Times New Roman"/>
      <w:sz w:val="16"/>
      <w:szCs w:val="16"/>
    </w:rPr>
  </w:style>
  <w:style w:type="paragraph" w:styleId="a5">
    <w:name w:val="List Number"/>
    <w:aliases w:val="Нумерованный"/>
    <w:basedOn w:val="aa"/>
    <w:pPr>
      <w:numPr>
        <w:numId w:val="5"/>
      </w:numPr>
    </w:pPr>
  </w:style>
  <w:style w:type="character" w:styleId="aff0">
    <w:name w:val="FollowedHyperlink"/>
    <w:rPr>
      <w:color w:val="800080"/>
      <w:u w:val="single"/>
    </w:rPr>
  </w:style>
  <w:style w:type="paragraph" w:styleId="43">
    <w:name w:val="toc 4"/>
    <w:basedOn w:val="OTRDefault"/>
    <w:next w:val="OTRDefault"/>
    <w:uiPriority w:val="39"/>
    <w:pPr>
      <w:ind w:left="720"/>
      <w:jc w:val="left"/>
    </w:pPr>
    <w:rPr>
      <w:sz w:val="22"/>
      <w:szCs w:val="18"/>
    </w:rPr>
  </w:style>
  <w:style w:type="paragraph" w:styleId="53">
    <w:name w:val="toc 5"/>
    <w:basedOn w:val="aa"/>
    <w:next w:val="aa"/>
    <w:uiPriority w:val="39"/>
    <w:pPr>
      <w:ind w:left="960"/>
      <w:jc w:val="left"/>
    </w:pPr>
    <w:rPr>
      <w:sz w:val="18"/>
      <w:szCs w:val="18"/>
    </w:rPr>
  </w:style>
  <w:style w:type="paragraph" w:styleId="61">
    <w:name w:val="toc 6"/>
    <w:basedOn w:val="aa"/>
    <w:next w:val="aa"/>
    <w:uiPriority w:val="39"/>
    <w:pPr>
      <w:ind w:left="1200"/>
      <w:jc w:val="left"/>
    </w:pPr>
    <w:rPr>
      <w:sz w:val="18"/>
      <w:szCs w:val="18"/>
    </w:rPr>
  </w:style>
  <w:style w:type="paragraph" w:styleId="71">
    <w:name w:val="toc 7"/>
    <w:basedOn w:val="aa"/>
    <w:next w:val="aa"/>
    <w:uiPriority w:val="39"/>
    <w:pPr>
      <w:ind w:left="1440"/>
      <w:jc w:val="left"/>
    </w:pPr>
    <w:rPr>
      <w:sz w:val="18"/>
      <w:szCs w:val="18"/>
    </w:rPr>
  </w:style>
  <w:style w:type="paragraph" w:styleId="81">
    <w:name w:val="toc 8"/>
    <w:basedOn w:val="aa"/>
    <w:next w:val="aa"/>
    <w:uiPriority w:val="39"/>
    <w:pPr>
      <w:ind w:left="1680"/>
      <w:jc w:val="left"/>
    </w:pPr>
    <w:rPr>
      <w:sz w:val="18"/>
      <w:szCs w:val="18"/>
    </w:rPr>
  </w:style>
  <w:style w:type="paragraph" w:styleId="91">
    <w:name w:val="toc 9"/>
    <w:basedOn w:val="aa"/>
    <w:next w:val="aa"/>
    <w:uiPriority w:val="39"/>
    <w:pPr>
      <w:ind w:left="1920"/>
      <w:jc w:val="left"/>
    </w:pPr>
    <w:rPr>
      <w:sz w:val="18"/>
      <w:szCs w:val="18"/>
    </w:rPr>
  </w:style>
  <w:style w:type="paragraph" w:styleId="aff1">
    <w:name w:val="Document Map"/>
    <w:basedOn w:val="aa"/>
    <w:link w:val="aff2"/>
    <w:pPr>
      <w:shd w:val="clear" w:color="auto" w:fill="000080"/>
    </w:pPr>
    <w:rPr>
      <w:rFonts w:ascii="Tahoma" w:hAnsi="Tahoma"/>
      <w:sz w:val="20"/>
    </w:rPr>
  </w:style>
  <w:style w:type="character" w:customStyle="1" w:styleId="aff2">
    <w:name w:val="Схема документа Знак"/>
    <w:link w:val="aff1"/>
    <w:rPr>
      <w:rFonts w:ascii="Tahoma" w:eastAsia="Times New Roman" w:hAnsi="Tahoma" w:cs="Tahoma"/>
      <w:shd w:val="clear" w:color="auto" w:fill="000080"/>
    </w:rPr>
  </w:style>
  <w:style w:type="paragraph" w:styleId="aff3">
    <w:name w:val="Balloon Text"/>
    <w:basedOn w:val="aa"/>
    <w:link w:val="aff4"/>
    <w:rPr>
      <w:rFonts w:ascii="Tahoma" w:hAnsi="Tahoma"/>
      <w:sz w:val="16"/>
      <w:szCs w:val="16"/>
    </w:rPr>
  </w:style>
  <w:style w:type="character" w:customStyle="1" w:styleId="aff4">
    <w:name w:val="Текст выноски Знак"/>
    <w:link w:val="aff3"/>
    <w:rPr>
      <w:rFonts w:ascii="Tahoma" w:eastAsia="Times New Roman" w:hAnsi="Tahoma" w:cs="Tahoma"/>
      <w:sz w:val="16"/>
      <w:szCs w:val="16"/>
    </w:rPr>
  </w:style>
  <w:style w:type="character" w:styleId="aff5">
    <w:name w:val="annotation reference"/>
    <w:rPr>
      <w:sz w:val="16"/>
      <w:szCs w:val="16"/>
    </w:rPr>
  </w:style>
  <w:style w:type="paragraph" w:styleId="aff6">
    <w:name w:val="annotation text"/>
    <w:aliases w:val="Знак3"/>
    <w:basedOn w:val="aa"/>
    <w:link w:val="aff7"/>
    <w:rPr>
      <w:sz w:val="20"/>
    </w:rPr>
  </w:style>
  <w:style w:type="character" w:customStyle="1" w:styleId="aff7">
    <w:name w:val="Текст примечания Знак"/>
    <w:aliases w:val="Знак3 Знак"/>
    <w:link w:val="aff6"/>
    <w:rPr>
      <w:rFonts w:ascii="Times New Roman" w:eastAsia="Times New Roman" w:hAnsi="Times New Roman"/>
    </w:rPr>
  </w:style>
  <w:style w:type="paragraph" w:styleId="aff8">
    <w:name w:val="annotation subject"/>
    <w:basedOn w:val="aff6"/>
    <w:next w:val="aff6"/>
    <w:link w:val="aff9"/>
    <w:rPr>
      <w:b/>
      <w:bCs/>
    </w:rPr>
  </w:style>
  <w:style w:type="character" w:customStyle="1" w:styleId="aff9">
    <w:name w:val="Тема примечания Знак"/>
    <w:link w:val="aff8"/>
    <w:rPr>
      <w:rFonts w:ascii="Times New Roman" w:eastAsia="Times New Roman" w:hAnsi="Times New Roman"/>
      <w:b/>
      <w:bCs/>
    </w:rPr>
  </w:style>
  <w:style w:type="paragraph" w:styleId="21">
    <w:name w:val="List Number 2"/>
    <w:basedOn w:val="aa"/>
    <w:pPr>
      <w:numPr>
        <w:numId w:val="15"/>
      </w:numPr>
    </w:pPr>
  </w:style>
  <w:style w:type="paragraph" w:customStyle="1" w:styleId="OTRControlPgCenter">
    <w:name w:val="OTR_Control_PgCenter"/>
    <w:basedOn w:val="OTRControlPage"/>
    <w:semiHidden/>
    <w:pPr>
      <w:jc w:val="center"/>
    </w:pPr>
  </w:style>
  <w:style w:type="paragraph" w:customStyle="1" w:styleId="OTRNormalRight">
    <w:name w:val="OTR_Normal_Right"/>
    <w:basedOn w:val="OTRDefault"/>
    <w:semiHidden/>
    <w:pPr>
      <w:jc w:val="right"/>
    </w:pPr>
  </w:style>
  <w:style w:type="paragraph" w:customStyle="1" w:styleId="OTRHeaderCenter">
    <w:name w:val="OTR_Header_Center"/>
    <w:basedOn w:val="OTRHeader0"/>
    <w:semiHidden/>
    <w:pPr>
      <w:jc w:val="center"/>
    </w:pPr>
  </w:style>
  <w:style w:type="paragraph" w:customStyle="1" w:styleId="OTRDefault">
    <w:name w:val="OTR_Default"/>
    <w:link w:val="OTRDefault0"/>
    <w:pPr>
      <w:jc w:val="both"/>
    </w:pPr>
    <w:rPr>
      <w:rFonts w:ascii="Times New Roman" w:eastAsia="Times New Roman" w:hAnsi="Times New Roman"/>
      <w:sz w:val="24"/>
    </w:rPr>
  </w:style>
  <w:style w:type="paragraph" w:customStyle="1" w:styleId="a4">
    <w:name w:val="Список маркированный"/>
    <w:basedOn w:val="aa"/>
    <w:semiHidden/>
    <w:pPr>
      <w:numPr>
        <w:numId w:val="16"/>
      </w:numPr>
      <w:tabs>
        <w:tab w:val="left" w:pos="1080"/>
      </w:tabs>
    </w:pPr>
  </w:style>
  <w:style w:type="paragraph" w:customStyle="1" w:styleId="OTRNormalMark2">
    <w:name w:val="OTR_Normal_Mark_2"/>
    <w:basedOn w:val="OTRDefault"/>
    <w:pPr>
      <w:spacing w:after="120"/>
      <w:ind w:left="1701"/>
    </w:pPr>
  </w:style>
  <w:style w:type="paragraph" w:customStyle="1" w:styleId="OTRNormalMark3">
    <w:name w:val="OTR_Normal_Mark_3"/>
    <w:basedOn w:val="OTRDefault"/>
    <w:pPr>
      <w:ind w:left="1985"/>
    </w:pPr>
  </w:style>
  <w:style w:type="paragraph" w:styleId="3">
    <w:name w:val="List Bullet 3"/>
    <w:basedOn w:val="aa"/>
    <w:pPr>
      <w:widowControl w:val="0"/>
      <w:numPr>
        <w:numId w:val="4"/>
      </w:numPr>
      <w:tabs>
        <w:tab w:val="left" w:pos="1985"/>
        <w:tab w:val="left" w:pos="2127"/>
      </w:tabs>
      <w:spacing w:line="360" w:lineRule="auto"/>
    </w:pPr>
  </w:style>
  <w:style w:type="paragraph" w:customStyle="1" w:styleId="OTRListNum">
    <w:name w:val="OTR_List_Num"/>
    <w:basedOn w:val="OTRDefault"/>
    <w:link w:val="OTRListNum0"/>
    <w:pPr>
      <w:numPr>
        <w:numId w:val="17"/>
      </w:numPr>
      <w:spacing w:before="60" w:after="60"/>
    </w:pPr>
  </w:style>
  <w:style w:type="paragraph" w:customStyle="1" w:styleId="OTRFootNote">
    <w:name w:val="OTR_Foot_Note"/>
    <w:basedOn w:val="affa"/>
    <w:uiPriority w:val="99"/>
    <w:pPr>
      <w:ind w:firstLine="0"/>
    </w:pPr>
    <w:rPr>
      <w:szCs w:val="16"/>
    </w:rPr>
  </w:style>
  <w:style w:type="paragraph" w:customStyle="1" w:styleId="OTRNormalNum2">
    <w:name w:val="OTR_Normal_Num_2"/>
    <w:basedOn w:val="OTRDefault"/>
    <w:pPr>
      <w:spacing w:after="120"/>
      <w:ind w:left="1588"/>
    </w:pPr>
  </w:style>
  <w:style w:type="paragraph" w:customStyle="1" w:styleId="OTRNormalNum3">
    <w:name w:val="OTR_Normal_Num_3"/>
    <w:basedOn w:val="OTRDefault"/>
    <w:pPr>
      <w:spacing w:after="120"/>
      <w:ind w:left="2155"/>
    </w:pPr>
  </w:style>
  <w:style w:type="paragraph" w:customStyle="1" w:styleId="affb">
    <w:name w:val="Надпись"/>
    <w:semiHidden/>
    <w:rPr>
      <w:rFonts w:ascii="Times New Roman" w:eastAsia="Times New Roman" w:hAnsi="Times New Roman"/>
      <w:sz w:val="16"/>
    </w:rPr>
  </w:style>
  <w:style w:type="paragraph" w:customStyle="1" w:styleId="OTRHeaderRight">
    <w:name w:val="OTR_Header_Right"/>
    <w:basedOn w:val="aa"/>
    <w:semiHidden/>
    <w:rPr>
      <w:rFonts w:ascii="Arial" w:hAnsi="Arial"/>
      <w:b/>
      <w:sz w:val="20"/>
    </w:rPr>
  </w:style>
  <w:style w:type="paragraph" w:styleId="HTML">
    <w:name w:val="HTML Address"/>
    <w:basedOn w:val="aa"/>
    <w:link w:val="HTML0"/>
    <w:rPr>
      <w:i/>
      <w:iCs/>
    </w:rPr>
  </w:style>
  <w:style w:type="character" w:customStyle="1" w:styleId="HTML0">
    <w:name w:val="Адрес HTML Знак"/>
    <w:link w:val="HTML"/>
    <w:rPr>
      <w:rFonts w:ascii="Times New Roman" w:eastAsia="Times New Roman" w:hAnsi="Times New Roman"/>
      <w:i/>
      <w:iCs/>
      <w:sz w:val="24"/>
    </w:rPr>
  </w:style>
  <w:style w:type="paragraph" w:customStyle="1" w:styleId="OTRTableHead">
    <w:name w:val="OTR_Table_Head"/>
    <w:basedOn w:val="OTRDefault"/>
    <w:link w:val="OTRTableHead0"/>
    <w:pPr>
      <w:keepNext/>
      <w:spacing w:before="60" w:after="60"/>
      <w:jc w:val="center"/>
    </w:pPr>
    <w:rPr>
      <w:b/>
    </w:rPr>
  </w:style>
  <w:style w:type="paragraph" w:customStyle="1" w:styleId="OTRListMark">
    <w:name w:val="OTR_List_Mark"/>
    <w:basedOn w:val="OTRDefault"/>
    <w:link w:val="OTRListMark0"/>
    <w:pPr>
      <w:numPr>
        <w:numId w:val="23"/>
      </w:numPr>
      <w:spacing w:before="60" w:after="60"/>
    </w:pPr>
  </w:style>
  <w:style w:type="paragraph" w:customStyle="1" w:styleId="OTRNameFigure">
    <w:name w:val="OTR_Name_Figure"/>
    <w:basedOn w:val="OTRDefault"/>
    <w:link w:val="OTRNameFigure0"/>
    <w:pPr>
      <w:numPr>
        <w:numId w:val="20"/>
      </w:numPr>
      <w:tabs>
        <w:tab w:val="clear" w:pos="720"/>
        <w:tab w:val="num" w:pos="360"/>
      </w:tabs>
      <w:spacing w:before="120" w:after="120"/>
      <w:ind w:left="714" w:hanging="357"/>
      <w:jc w:val="center"/>
    </w:pPr>
    <w:rPr>
      <w:b/>
    </w:rPr>
  </w:style>
  <w:style w:type="paragraph" w:styleId="affc">
    <w:name w:val="Body Text Indent"/>
    <w:basedOn w:val="aa"/>
    <w:next w:val="aa"/>
    <w:link w:val="affd"/>
    <w:pPr>
      <w:widowControl w:val="0"/>
      <w:tabs>
        <w:tab w:val="left" w:pos="1985"/>
        <w:tab w:val="left" w:pos="2127"/>
      </w:tabs>
      <w:spacing w:line="360" w:lineRule="auto"/>
      <w:ind w:firstLine="425"/>
    </w:pPr>
    <w:rPr>
      <w:sz w:val="20"/>
    </w:rPr>
  </w:style>
  <w:style w:type="character" w:customStyle="1" w:styleId="affd">
    <w:name w:val="Основной текст с отступом Знак"/>
    <w:link w:val="affc"/>
    <w:rPr>
      <w:rFonts w:ascii="Times New Roman" w:eastAsia="Times New Roman" w:hAnsi="Times New Roman"/>
    </w:rPr>
  </w:style>
  <w:style w:type="paragraph" w:customStyle="1" w:styleId="OTRControlPage">
    <w:name w:val="OTR_Control_Page"/>
    <w:basedOn w:val="OTRDefault"/>
    <w:semiHidden/>
    <w:pPr>
      <w:spacing w:line="360" w:lineRule="auto"/>
    </w:pPr>
  </w:style>
  <w:style w:type="paragraph" w:styleId="2d">
    <w:name w:val="Body Text Indent 2"/>
    <w:basedOn w:val="aa"/>
    <w:link w:val="2e"/>
    <w:pPr>
      <w:widowControl w:val="0"/>
      <w:tabs>
        <w:tab w:val="left" w:pos="1985"/>
        <w:tab w:val="left" w:pos="2127"/>
      </w:tabs>
      <w:spacing w:line="360" w:lineRule="auto"/>
      <w:ind w:firstLine="425"/>
    </w:pPr>
    <w:rPr>
      <w:b/>
      <w:sz w:val="20"/>
    </w:rPr>
  </w:style>
  <w:style w:type="character" w:customStyle="1" w:styleId="2e">
    <w:name w:val="Основной текст с отступом 2 Знак"/>
    <w:link w:val="2d"/>
    <w:rPr>
      <w:rFonts w:ascii="Times New Roman" w:eastAsia="Times New Roman" w:hAnsi="Times New Roman"/>
      <w:b/>
    </w:rPr>
  </w:style>
  <w:style w:type="paragraph" w:customStyle="1" w:styleId="OTRHeadingApp">
    <w:name w:val="OTR_Heading_App"/>
    <w:basedOn w:val="10"/>
    <w:next w:val="OTRNormal"/>
    <w:link w:val="OTRHeadingApp0"/>
    <w:pPr>
      <w:numPr>
        <w:numId w:val="19"/>
      </w:numPr>
    </w:pPr>
  </w:style>
  <w:style w:type="paragraph" w:customStyle="1" w:styleId="OTRNormalList">
    <w:name w:val="OTR_Normal_List"/>
    <w:basedOn w:val="OTRNormal"/>
    <w:semiHidden/>
    <w:pPr>
      <w:keepNext/>
      <w:spacing w:before="120" w:after="60"/>
    </w:pPr>
    <w:rPr>
      <w:rFonts w:eastAsia="Times New Roman"/>
      <w:sz w:val="24"/>
    </w:rPr>
  </w:style>
  <w:style w:type="paragraph" w:customStyle="1" w:styleId="OTRNormalMark1">
    <w:name w:val="OTR_Normal_Mark_1"/>
    <w:basedOn w:val="OTRDefault"/>
    <w:pPr>
      <w:spacing w:after="120"/>
      <w:ind w:left="1418"/>
    </w:pPr>
  </w:style>
  <w:style w:type="paragraph" w:customStyle="1" w:styleId="OTRNormalNum1">
    <w:name w:val="OTR_Normal_Num_1"/>
    <w:basedOn w:val="OTRDefault"/>
    <w:pPr>
      <w:spacing w:after="120"/>
      <w:ind w:left="1021"/>
    </w:pPr>
  </w:style>
  <w:style w:type="paragraph" w:customStyle="1" w:styleId="OTRTITUL">
    <w:name w:val="OTR_TITUL"/>
    <w:basedOn w:val="OTRTITULnew"/>
    <w:semiHidden/>
    <w:pPr>
      <w:spacing w:before="360" w:after="360"/>
    </w:pPr>
    <w:rPr>
      <w:b/>
      <w:caps/>
      <w:sz w:val="32"/>
    </w:rPr>
  </w:style>
  <w:style w:type="paragraph" w:customStyle="1" w:styleId="OTRFigure">
    <w:name w:val="OTR_Figure"/>
    <w:link w:val="OTRFigure0"/>
    <w:pPr>
      <w:keepNext/>
      <w:spacing w:before="120" w:after="120"/>
      <w:jc w:val="center"/>
    </w:pPr>
    <w:rPr>
      <w:rFonts w:ascii="Times New Roman" w:eastAsia="Times New Roman" w:hAnsi="Times New Roman"/>
      <w:sz w:val="24"/>
    </w:rPr>
  </w:style>
  <w:style w:type="paragraph" w:customStyle="1" w:styleId="OTRreg">
    <w:name w:val="OTR_reg"/>
    <w:basedOn w:val="OTRNormal"/>
    <w:pPr>
      <w:pageBreakBefore/>
      <w:ind w:firstLine="0"/>
      <w:jc w:val="center"/>
      <w:outlineLvl w:val="0"/>
    </w:pPr>
    <w:rPr>
      <w:rFonts w:eastAsia="Times New Roman"/>
      <w:caps/>
      <w:sz w:val="28"/>
    </w:rPr>
  </w:style>
  <w:style w:type="character" w:customStyle="1" w:styleId="OTRDefault0">
    <w:name w:val="OTR_Default Знак"/>
    <w:link w:val="OTRDefault"/>
    <w:rPr>
      <w:rFonts w:ascii="Times New Roman" w:eastAsia="Times New Roman" w:hAnsi="Times New Roman"/>
      <w:sz w:val="24"/>
      <w:lang w:val="ru-RU" w:eastAsia="ru-RU" w:bidi="ar-SA"/>
    </w:rPr>
  </w:style>
  <w:style w:type="character" w:customStyle="1" w:styleId="OTRListNum0">
    <w:name w:val="OTR_List_Num Знак Знак"/>
    <w:link w:val="OTRListNum"/>
    <w:rPr>
      <w:rFonts w:ascii="Times New Roman" w:eastAsia="Times New Roman" w:hAnsi="Times New Roman"/>
      <w:sz w:val="24"/>
    </w:rPr>
  </w:style>
  <w:style w:type="paragraph" w:customStyle="1" w:styleId="OTRListlit">
    <w:name w:val="OTR_List_lit"/>
    <w:basedOn w:val="OTRFigure"/>
    <w:pPr>
      <w:numPr>
        <w:numId w:val="21"/>
      </w:numPr>
      <w:jc w:val="left"/>
    </w:pPr>
  </w:style>
  <w:style w:type="paragraph" w:customStyle="1" w:styleId="OTRTableListMark">
    <w:name w:val="OTR_Table_List_Mark"/>
    <w:basedOn w:val="OTRListMark"/>
    <w:pPr>
      <w:numPr>
        <w:numId w:val="18"/>
      </w:numPr>
      <w:jc w:val="left"/>
    </w:pPr>
  </w:style>
  <w:style w:type="paragraph" w:styleId="affe">
    <w:name w:val="envelope address"/>
    <w:basedOn w:val="aa"/>
    <w:pPr>
      <w:framePr w:w="7920" w:h="1980" w:hRule="exact" w:hSpace="180" w:wrap="auto" w:hAnchor="page" w:xAlign="center" w:yAlign="bottom"/>
      <w:ind w:left="2880"/>
    </w:pPr>
    <w:rPr>
      <w:rFonts w:ascii="Arial" w:hAnsi="Arial" w:cs="Arial"/>
    </w:rPr>
  </w:style>
  <w:style w:type="character" w:styleId="HTML1">
    <w:name w:val="HTML Acronym"/>
    <w:basedOn w:val="ab"/>
  </w:style>
  <w:style w:type="table" w:styleId="-1">
    <w:name w:val="Table Web 1"/>
    <w:basedOn w:val="ac"/>
    <w:rPr>
      <w:rFonts w:ascii="Times New Roman" w:eastAsia="Times New Roman" w:hAnsi="Times New Roman"/>
    </w:rPr>
    <w:tblPr>
      <w:tblCellSpacing w:w="2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tblCellSpacing w:w="20" w:type="dxa"/>
    </w:trPr>
    <w:tcPr>
      <w:shd w:val="clear" w:color="auto" w:fill="auto"/>
    </w:tcPr>
    <w:tblStylePr w:type="firstRow">
      <w:rPr>
        <w:color w:val="auto"/>
      </w:rPr>
    </w:tblStylePr>
  </w:style>
  <w:style w:type="table" w:styleId="-2">
    <w:name w:val="Table Web 2"/>
    <w:basedOn w:val="ac"/>
    <w:rPr>
      <w:rFonts w:ascii="Times New Roman" w:eastAsia="Times New Roman" w:hAnsi="Times New Roman"/>
    </w:rPr>
    <w:tblPr>
      <w:tblCellSpacing w:w="2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tblCellSpacing w:w="20" w:type="dxa"/>
    </w:trPr>
    <w:tcPr>
      <w:shd w:val="clear" w:color="auto" w:fill="auto"/>
    </w:tcPr>
    <w:tblStylePr w:type="firstRow">
      <w:rPr>
        <w:color w:val="auto"/>
      </w:rPr>
    </w:tblStylePr>
  </w:style>
  <w:style w:type="table" w:styleId="-3">
    <w:name w:val="Table Web 3"/>
    <w:basedOn w:val="ac"/>
    <w:rPr>
      <w:rFonts w:ascii="Times New Roman" w:eastAsia="Times New Roman" w:hAnsi="Times New Roman"/>
    </w:rPr>
    <w:tblPr>
      <w:tblCellSpacing w:w="20" w:type="dxa"/>
      <w:tblInd w:w="0" w:type="dxa"/>
      <w:tblBorders>
        <w:top w:val="single" w:sz="24" w:space="0" w:color="000000"/>
        <w:left w:val="single" w:sz="24" w:space="0" w:color="000000"/>
        <w:bottom w:val="single" w:sz="24" w:space="0" w:color="000000"/>
        <w:right w:val="single" w:sz="24" w:space="0" w:color="000000"/>
        <w:insideH w:val="single" w:sz="6" w:space="0" w:color="000000"/>
        <w:insideV w:val="single" w:sz="6" w:space="0" w:color="000000"/>
      </w:tblBorders>
      <w:tblCellMar>
        <w:top w:w="0" w:type="dxa"/>
        <w:left w:w="108" w:type="dxa"/>
        <w:bottom w:w="0" w:type="dxa"/>
        <w:right w:w="108" w:type="dxa"/>
      </w:tblCellMar>
    </w:tblPr>
    <w:trPr>
      <w:tblCellSpacing w:w="20" w:type="dxa"/>
    </w:trPr>
    <w:tcPr>
      <w:shd w:val="clear" w:color="auto" w:fill="auto"/>
    </w:tcPr>
    <w:tblStylePr w:type="firstRow">
      <w:rPr>
        <w:color w:val="auto"/>
      </w:rPr>
    </w:tblStylePr>
  </w:style>
  <w:style w:type="paragraph" w:styleId="afff">
    <w:name w:val="Date"/>
    <w:basedOn w:val="aa"/>
    <w:next w:val="aa"/>
    <w:link w:val="afff0"/>
  </w:style>
  <w:style w:type="character" w:customStyle="1" w:styleId="afff0">
    <w:name w:val="Дата Знак"/>
    <w:link w:val="afff"/>
    <w:rPr>
      <w:rFonts w:ascii="Times New Roman" w:eastAsia="Times New Roman" w:hAnsi="Times New Roman"/>
      <w:sz w:val="24"/>
    </w:rPr>
  </w:style>
  <w:style w:type="paragraph" w:styleId="afff1">
    <w:name w:val="Note Heading"/>
    <w:basedOn w:val="aa"/>
    <w:next w:val="aa"/>
    <w:link w:val="afff2"/>
  </w:style>
  <w:style w:type="character" w:customStyle="1" w:styleId="afff2">
    <w:name w:val="Заголовок записки Знак"/>
    <w:link w:val="afff1"/>
    <w:rPr>
      <w:rFonts w:ascii="Times New Roman" w:eastAsia="Times New Roman" w:hAnsi="Times New Roman"/>
      <w:sz w:val="24"/>
    </w:rPr>
  </w:style>
  <w:style w:type="table" w:styleId="afff3">
    <w:name w:val="Table Elegant"/>
    <w:basedOn w:val="ac"/>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StylePr>
  </w:style>
  <w:style w:type="table" w:styleId="17">
    <w:name w:val="Table Subtle 1"/>
    <w:basedOn w:val="ac"/>
    <w:rPr>
      <w:rFonts w:ascii="Times New Roman" w:eastAsia="Times New Roman" w:hAnsi="Times New Roman"/>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cBorders>
      </w:tcPr>
    </w:tblStylePr>
    <w:tblStylePr w:type="lastRow">
      <w:tblPr/>
      <w:tcPr>
        <w:tcBorders>
          <w:top w:val="single" w:sz="12" w:space="0" w:color="000000"/>
        </w:tcBorders>
        <w:shd w:val="pct25" w:color="800080" w:fill="FFFFFF"/>
      </w:tcPr>
    </w:tblStylePr>
    <w:tblStylePr w:type="firstCol">
      <w:tblPr/>
      <w:tcPr>
        <w:tcBorders>
          <w:right w:val="single" w:sz="12" w:space="0" w:color="000000"/>
        </w:tcBorders>
      </w:tcPr>
    </w:tblStylePr>
    <w:tblStylePr w:type="lastCol">
      <w:tblPr/>
      <w:tcPr>
        <w:tcBorders>
          <w:left w:val="single" w:sz="12" w:space="0" w:color="000000"/>
        </w:tcBorders>
      </w:tcPr>
    </w:tblStylePr>
    <w:tblStylePr w:type="band1Horz">
      <w:tblPr/>
      <w:tcPr>
        <w:tcBorders>
          <w:bottom w:val="single" w:sz="6" w:space="0" w:color="000000"/>
        </w:tcBorders>
        <w:shd w:val="pct25" w:color="808000" w:fill="FFFFFF"/>
      </w:tcPr>
    </w:tblStylePr>
    <w:tblStylePr w:type="neCell">
      <w:rPr>
        <w:b/>
        <w:bCs/>
      </w:rPr>
    </w:tblStylePr>
    <w:tblStylePr w:type="swCell">
      <w:rPr>
        <w:b/>
        <w:bCs/>
      </w:rPr>
    </w:tblStylePr>
  </w:style>
  <w:style w:type="table" w:styleId="2f">
    <w:name w:val="Table Subtle 2"/>
    <w:basedOn w:val="ac"/>
    <w:rPr>
      <w:rFonts w:ascii="Times New Roman" w:eastAsia="Times New Roman" w:hAnsi="Times New Roma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cBorders>
      </w:tcPr>
    </w:tblStylePr>
    <w:tblStylePr w:type="lastRow">
      <w:tblPr/>
      <w:tcPr>
        <w:tcBorders>
          <w:top w:val="single" w:sz="12" w:space="0" w:color="000000"/>
        </w:tcBorders>
      </w:tcPr>
    </w:tblStylePr>
    <w:tblStylePr w:type="firstCol">
      <w:tblPr/>
      <w:tcPr>
        <w:tcBorders>
          <w:right w:val="single" w:sz="12" w:space="0" w:color="000000"/>
        </w:tcBorders>
        <w:shd w:val="pct25" w:color="008000" w:fill="FFFFFF"/>
      </w:tcPr>
    </w:tblStylePr>
    <w:tblStylePr w:type="lastCol">
      <w:tblPr/>
      <w:tcPr>
        <w:tcBorders>
          <w:left w:val="single" w:sz="12" w:space="0" w:color="000000"/>
        </w:tcBorders>
        <w:shd w:val="pct25" w:color="808000" w:fill="FFFFFF"/>
      </w:tcPr>
    </w:tblStylePr>
    <w:tblStylePr w:type="neCell">
      <w:rPr>
        <w:b/>
        <w:bCs/>
      </w:rPr>
    </w:tblStylePr>
    <w:tblStylePr w:type="swCell">
      <w:rPr>
        <w:b/>
        <w:bCs/>
      </w:rPr>
    </w:tblStylePr>
  </w:style>
  <w:style w:type="character" w:styleId="HTML2">
    <w:name w:val="HTML Keyboard"/>
    <w:rPr>
      <w:rFonts w:ascii="Courier New" w:hAnsi="Courier New" w:cs="Courier New"/>
      <w:sz w:val="20"/>
      <w:szCs w:val="20"/>
    </w:rPr>
  </w:style>
  <w:style w:type="table" w:styleId="18">
    <w:name w:val="Table Classic 1"/>
    <w:basedOn w:val="ac"/>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cBorders>
      </w:tcPr>
    </w:tblStylePr>
    <w:tblStylePr w:type="lastRow">
      <w:rPr>
        <w:color w:val="auto"/>
      </w:rPr>
      <w:tblPr/>
      <w:tcPr>
        <w:tcBorders>
          <w:top w:val="single" w:sz="6" w:space="0" w:color="000000"/>
        </w:tcBorders>
      </w:tcPr>
    </w:tblStylePr>
    <w:tblStylePr w:type="firstCol">
      <w:tblPr/>
      <w:tcPr>
        <w:tcBorders>
          <w:right w:val="single" w:sz="6" w:space="0" w:color="000000"/>
        </w:tcBorders>
      </w:tcPr>
    </w:tblStylePr>
    <w:tblStylePr w:type="neCell">
      <w:rPr>
        <w:b/>
        <w:bCs/>
        <w:i w:val="0"/>
        <w:iCs w:val="0"/>
      </w:rPr>
    </w:tblStylePr>
    <w:tblStylePr w:type="swCell">
      <w:rPr>
        <w:b/>
        <w:bCs/>
      </w:rPr>
    </w:tblStylePr>
  </w:style>
  <w:style w:type="table" w:styleId="2f0">
    <w:name w:val="Table Classic 2"/>
    <w:basedOn w:val="ac"/>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cBorders>
        <w:shd w:val="solid" w:color="800080" w:fill="FFFFFF"/>
      </w:tcPr>
    </w:tblStylePr>
    <w:tblStylePr w:type="lastRow">
      <w:tblPr/>
      <w:tcPr>
        <w:tcBorders>
          <w:top w:val="single" w:sz="6" w:space="0" w:color="000000"/>
        </w:tcBorders>
      </w:tcPr>
    </w:tblStylePr>
    <w:tblStylePr w:type="firstCol">
      <w:rPr>
        <w:b/>
        <w:bCs/>
      </w:rPr>
      <w:tblPr/>
      <w:tcPr>
        <w:shd w:val="solid" w:color="C0C0C0" w:fill="FFFFFF"/>
      </w:tcPr>
    </w:tblStylePr>
    <w:tblStylePr w:type="neCell">
      <w:rPr>
        <w:b/>
        <w:bCs/>
      </w:rPr>
    </w:tblStylePr>
    <w:tblStylePr w:type="nwCell">
      <w:tblPr/>
      <w:tcPr>
        <w:shd w:val="solid" w:color="800080" w:fill="FFFFFF"/>
      </w:tcPr>
    </w:tblStylePr>
    <w:tblStylePr w:type="swCell">
      <w:rPr>
        <w:color w:val="000080"/>
      </w:rPr>
    </w:tblStylePr>
  </w:style>
  <w:style w:type="table" w:styleId="37">
    <w:name w:val="Table Classic 3"/>
    <w:basedOn w:val="ac"/>
    <w:rPr>
      <w:rFonts w:ascii="Times New Roman" w:eastAsia="Times New Roman" w:hAnsi="Times New Roman"/>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cBorders>
        <w:shd w:val="solid" w:color="000080" w:fill="FFFFFF"/>
      </w:tcPr>
    </w:tblStylePr>
    <w:tblStylePr w:type="lastRow">
      <w:rPr>
        <w:color w:val="000080"/>
      </w:rPr>
      <w:tblPr/>
      <w:tcPr>
        <w:tcBorders>
          <w:top w:val="single" w:sz="12" w:space="0" w:color="000000"/>
        </w:tcBorders>
        <w:shd w:val="solid" w:color="FFFFFF" w:fill="FFFFFF"/>
      </w:tcPr>
    </w:tblStylePr>
    <w:tblStylePr w:type="firstCol">
      <w:rPr>
        <w:b/>
        <w:bCs/>
        <w:color w:val="000000"/>
      </w:rPr>
    </w:tblStylePr>
  </w:style>
  <w:style w:type="table" w:styleId="44">
    <w:name w:val="Table Classic 4"/>
    <w:basedOn w:val="ac"/>
    <w:rPr>
      <w:rFonts w:ascii="Times New Roman" w:eastAsia="Times New Roman" w:hAnsi="Times New Roman"/>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cBorders>
        <w:shd w:val="pct50" w:color="000080" w:fill="FFFFFF"/>
      </w:tcPr>
    </w:tblStylePr>
    <w:tblStylePr w:type="lastRow">
      <w:rPr>
        <w:color w:val="000080"/>
      </w:rPr>
      <w:tblPr/>
      <w:tcPr>
        <w:tcBorders>
          <w:bottom w:val="single" w:sz="6" w:space="0" w:color="000000"/>
        </w:tcBorders>
        <w:shd w:val="pct50" w:color="000000" w:fill="FFFFFF"/>
      </w:tcPr>
    </w:tblStylePr>
    <w:tblStylePr w:type="firstCol">
      <w:rPr>
        <w:b/>
        <w:bCs/>
      </w:rPr>
    </w:tblStylePr>
    <w:tblStylePr w:type="nwCell">
      <w:rPr>
        <w:b/>
        <w:bCs/>
      </w:rPr>
    </w:tblStylePr>
    <w:tblStylePr w:type="swCell">
      <w:rPr>
        <w:color w:val="000080"/>
      </w:rPr>
    </w:tblStylePr>
  </w:style>
  <w:style w:type="character" w:styleId="HTML3">
    <w:name w:val="HTML Code"/>
    <w:rPr>
      <w:rFonts w:ascii="Courier New" w:hAnsi="Courier New" w:cs="Courier New"/>
      <w:sz w:val="20"/>
      <w:szCs w:val="20"/>
    </w:rPr>
  </w:style>
  <w:style w:type="paragraph" w:styleId="afff4">
    <w:name w:val="Body Text First Indent"/>
    <w:basedOn w:val="afd"/>
    <w:link w:val="afff5"/>
    <w:pPr>
      <w:spacing w:after="120"/>
      <w:ind w:firstLine="210"/>
      <w:jc w:val="left"/>
    </w:pPr>
  </w:style>
  <w:style w:type="character" w:customStyle="1" w:styleId="afff5">
    <w:name w:val="Красная строка Знак"/>
    <w:link w:val="afff4"/>
    <w:rPr>
      <w:rFonts w:ascii="Times New Roman" w:eastAsia="Times New Roman" w:hAnsi="Times New Roman"/>
      <w:sz w:val="24"/>
    </w:rPr>
  </w:style>
  <w:style w:type="paragraph" w:styleId="2f1">
    <w:name w:val="Body Text First Indent 2"/>
    <w:basedOn w:val="affc"/>
    <w:link w:val="2f2"/>
    <w:pPr>
      <w:widowControl/>
      <w:tabs>
        <w:tab w:val="clear" w:pos="1985"/>
        <w:tab w:val="clear" w:pos="2127"/>
      </w:tabs>
      <w:spacing w:after="120" w:line="240" w:lineRule="auto"/>
      <w:ind w:left="283" w:firstLine="210"/>
      <w:jc w:val="left"/>
    </w:pPr>
    <w:rPr>
      <w:sz w:val="24"/>
      <w:szCs w:val="24"/>
    </w:rPr>
  </w:style>
  <w:style w:type="character" w:customStyle="1" w:styleId="2f2">
    <w:name w:val="Красная строка 2 Знак"/>
    <w:link w:val="2f1"/>
    <w:rPr>
      <w:rFonts w:ascii="Times New Roman" w:eastAsia="Times New Roman" w:hAnsi="Times New Roman"/>
      <w:sz w:val="24"/>
      <w:szCs w:val="24"/>
    </w:rPr>
  </w:style>
  <w:style w:type="paragraph" w:styleId="a">
    <w:name w:val="List Bullet"/>
    <w:basedOn w:val="aa"/>
    <w:pPr>
      <w:numPr>
        <w:numId w:val="6"/>
      </w:numPr>
    </w:pPr>
  </w:style>
  <w:style w:type="paragraph" w:styleId="24">
    <w:name w:val="List Bullet 2"/>
    <w:basedOn w:val="aa"/>
    <w:pPr>
      <w:numPr>
        <w:numId w:val="7"/>
      </w:numPr>
    </w:pPr>
  </w:style>
  <w:style w:type="paragraph" w:styleId="41">
    <w:name w:val="List Bullet 4"/>
    <w:aliases w:val="Обычный маркированный,мой маркированный список"/>
    <w:basedOn w:val="aa"/>
    <w:pPr>
      <w:numPr>
        <w:numId w:val="8"/>
      </w:numPr>
    </w:pPr>
  </w:style>
  <w:style w:type="paragraph" w:styleId="50">
    <w:name w:val="List Bullet 5"/>
    <w:basedOn w:val="aa"/>
    <w:pPr>
      <w:numPr>
        <w:numId w:val="9"/>
      </w:numPr>
    </w:pPr>
  </w:style>
  <w:style w:type="character" w:styleId="afff6">
    <w:name w:val="line number"/>
    <w:basedOn w:val="ab"/>
  </w:style>
  <w:style w:type="paragraph" w:styleId="32">
    <w:name w:val="List Number 3"/>
    <w:basedOn w:val="aa"/>
    <w:pPr>
      <w:numPr>
        <w:numId w:val="10"/>
      </w:numPr>
    </w:pPr>
  </w:style>
  <w:style w:type="paragraph" w:styleId="40">
    <w:name w:val="List Number 4"/>
    <w:basedOn w:val="aa"/>
    <w:pPr>
      <w:numPr>
        <w:numId w:val="11"/>
      </w:numPr>
    </w:pPr>
  </w:style>
  <w:style w:type="paragraph" w:styleId="5">
    <w:name w:val="List Number 5"/>
    <w:basedOn w:val="aa"/>
    <w:pPr>
      <w:numPr>
        <w:numId w:val="12"/>
      </w:numPr>
    </w:pPr>
  </w:style>
  <w:style w:type="character" w:styleId="HTML4">
    <w:name w:val="HTML Sample"/>
    <w:rPr>
      <w:rFonts w:ascii="Courier New" w:hAnsi="Courier New" w:cs="Courier New"/>
    </w:rPr>
  </w:style>
  <w:style w:type="paragraph" w:styleId="2f3">
    <w:name w:val="envelope return"/>
    <w:basedOn w:val="aa"/>
    <w:rPr>
      <w:rFonts w:ascii="Arial" w:hAnsi="Arial" w:cs="Arial"/>
      <w:sz w:val="20"/>
    </w:rPr>
  </w:style>
  <w:style w:type="table" w:styleId="19">
    <w:name w:val="Table 3D effects 1"/>
    <w:basedOn w:val="ac"/>
    <w:rPr>
      <w:rFonts w:ascii="Times New Roman" w:eastAsia="Times New Roman" w:hAnsi="Times New Roman"/>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cBorders>
      </w:tcPr>
    </w:tblStylePr>
    <w:tblStylePr w:type="lastRow">
      <w:tblPr/>
      <w:tcPr>
        <w:tcBorders>
          <w:top w:val="single" w:sz="6" w:space="0" w:color="FFFFFF"/>
        </w:tcBorders>
      </w:tcPr>
    </w:tblStylePr>
    <w:tblStylePr w:type="firstCol">
      <w:rPr>
        <w:b/>
        <w:bCs/>
      </w:rPr>
      <w:tblPr/>
      <w:tcPr>
        <w:tcBorders>
          <w:right w:val="single" w:sz="6" w:space="0" w:color="808080"/>
        </w:tcBorders>
      </w:tcPr>
    </w:tblStylePr>
    <w:tblStylePr w:type="lastCol">
      <w:tblPr/>
      <w:tcPr>
        <w:tcBorders>
          <w:left w:val="single" w:sz="6" w:space="0" w:color="FFFFFF"/>
        </w:tcBorders>
      </w:tcPr>
    </w:tblStylePr>
    <w:tblStylePr w:type="neCell">
      <w:tblPr/>
      <w:tcPr>
        <w:tcBorders>
          <w:left w:val="none" w:sz="0" w:space="0" w:color="000000"/>
          <w:bottom w:val="none" w:sz="0" w:space="0" w:color="000000"/>
        </w:tcBorders>
      </w:tcPr>
    </w:tblStylePr>
    <w:tblStylePr w:type="nwCell">
      <w:tblPr/>
      <w:tcPr>
        <w:tcBorders>
          <w:bottom w:val="none" w:sz="0" w:space="0" w:color="000000"/>
          <w:right w:val="none" w:sz="0" w:space="0" w:color="000000"/>
        </w:tcBorders>
      </w:tcPr>
    </w:tblStylePr>
    <w:tblStylePr w:type="seCell">
      <w:tblPr/>
      <w:tcPr>
        <w:tcBorders>
          <w:top w:val="none" w:sz="0" w:space="0" w:color="000000"/>
          <w:left w:val="none" w:sz="0" w:space="0" w:color="000000"/>
        </w:tcBorders>
      </w:tcPr>
    </w:tblStylePr>
    <w:tblStylePr w:type="swCell">
      <w:rPr>
        <w:color w:val="000080"/>
      </w:rPr>
      <w:tblPr/>
      <w:tcPr>
        <w:tcBorders>
          <w:top w:val="none" w:sz="0" w:space="0" w:color="000000"/>
          <w:right w:val="none" w:sz="0" w:space="0" w:color="000000"/>
        </w:tcBorders>
      </w:tcPr>
    </w:tblStylePr>
  </w:style>
  <w:style w:type="table" w:styleId="2f4">
    <w:name w:val="Table 3D effects 2"/>
    <w:basedOn w:val="ac"/>
    <w:rPr>
      <w:rFonts w:ascii="Times New Roman" w:eastAsia="Times New Roman" w:hAnsi="Times New Roman"/>
    </w:rPr>
    <w:tblPr>
      <w:tblStyleRowBandSize w:val="1"/>
      <w:tblInd w:w="0" w:type="dxa"/>
      <w:tblCellMar>
        <w:top w:w="0" w:type="dxa"/>
        <w:left w:w="108" w:type="dxa"/>
        <w:bottom w:w="0" w:type="dxa"/>
        <w:right w:w="108" w:type="dxa"/>
      </w:tblCellMar>
    </w:tblPr>
    <w:tcPr>
      <w:shd w:val="solid" w:color="C0C0C0" w:fill="FFFFFF"/>
    </w:tcPr>
    <w:tblStylePr w:type="firstRow">
      <w:rPr>
        <w:b/>
        <w:bCs/>
      </w:rPr>
    </w:tblStylePr>
    <w:tblStylePr w:type="firstCol">
      <w:tblPr/>
      <w:tcPr>
        <w:tcBorders>
          <w:top w:val="none" w:sz="0" w:space="0" w:color="000000"/>
          <w:bottom w:val="none" w:sz="0" w:space="0" w:color="000000"/>
          <w:right w:val="single" w:sz="6" w:space="0" w:color="808080"/>
        </w:tcBorders>
      </w:tcPr>
    </w:tblStylePr>
    <w:tblStylePr w:type="lastCol">
      <w:tblPr/>
      <w:tcPr>
        <w:tcBorders>
          <w:right w:val="single" w:sz="6" w:space="0" w:color="FFFFFF"/>
        </w:tcBorders>
      </w:tcPr>
    </w:tblStylePr>
    <w:tblStylePr w:type="band1Horz">
      <w:tblPr/>
      <w:tcPr>
        <w:tcBorders>
          <w:top w:val="single" w:sz="6" w:space="0" w:color="808080"/>
          <w:bottom w:val="single" w:sz="6" w:space="0" w:color="FFFFFF"/>
        </w:tcBorders>
      </w:tcPr>
    </w:tblStylePr>
    <w:tblStylePr w:type="swCell">
      <w:rPr>
        <w:b/>
        <w:bCs/>
      </w:rPr>
    </w:tblStylePr>
  </w:style>
  <w:style w:type="table" w:styleId="38">
    <w:name w:val="Table 3D effects 3"/>
    <w:basedOn w:val="ac"/>
    <w:rPr>
      <w:rFonts w:ascii="Times New Roman" w:eastAsia="Times New Roman" w:hAnsi="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firstCol">
      <w:tblPr/>
      <w:tcPr>
        <w:tcBorders>
          <w:top w:val="none" w:sz="0" w:space="0" w:color="000000"/>
          <w:bottom w:val="none" w:sz="0" w:space="0" w:color="000000"/>
          <w:right w:val="single" w:sz="6" w:space="0" w:color="808080"/>
        </w:tcBorders>
      </w:tcPr>
    </w:tblStylePr>
    <w:tblStylePr w:type="lastCol">
      <w:tblPr/>
      <w:tcPr>
        <w:tcBorders>
          <w:right w:val="single" w:sz="6" w:space="0" w:color="FFFFFF"/>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cBorders>
      </w:tcPr>
    </w:tblStylePr>
    <w:tblStylePr w:type="swCell">
      <w:rPr>
        <w:b/>
        <w:bCs/>
      </w:rPr>
    </w:tblStylePr>
  </w:style>
  <w:style w:type="paragraph" w:styleId="afff7">
    <w:name w:val="Normal (Web)"/>
    <w:basedOn w:val="aa"/>
    <w:link w:val="1a"/>
    <w:uiPriority w:val="99"/>
  </w:style>
  <w:style w:type="paragraph" w:styleId="afff8">
    <w:name w:val="Normal Indent"/>
    <w:basedOn w:val="aa"/>
    <w:pPr>
      <w:ind w:left="708"/>
    </w:pPr>
  </w:style>
  <w:style w:type="character" w:styleId="HTML5">
    <w:name w:val="HTML Definition"/>
    <w:rPr>
      <w:i/>
      <w:iCs/>
    </w:rPr>
  </w:style>
  <w:style w:type="paragraph" w:styleId="39">
    <w:name w:val="Body Text 3"/>
    <w:basedOn w:val="aa"/>
    <w:link w:val="3a"/>
    <w:pPr>
      <w:spacing w:after="120"/>
    </w:pPr>
    <w:rPr>
      <w:sz w:val="16"/>
      <w:szCs w:val="16"/>
    </w:rPr>
  </w:style>
  <w:style w:type="character" w:customStyle="1" w:styleId="3a">
    <w:name w:val="Основной текст 3 Знак"/>
    <w:link w:val="39"/>
    <w:rPr>
      <w:rFonts w:ascii="Times New Roman" w:eastAsia="Times New Roman" w:hAnsi="Times New Roman"/>
      <w:sz w:val="16"/>
      <w:szCs w:val="16"/>
    </w:rPr>
  </w:style>
  <w:style w:type="character" w:styleId="HTML6">
    <w:name w:val="HTML Variable"/>
    <w:rPr>
      <w:i/>
      <w:iCs/>
    </w:rPr>
  </w:style>
  <w:style w:type="character" w:styleId="HTML7">
    <w:name w:val="HTML Typewriter"/>
    <w:rPr>
      <w:rFonts w:ascii="Courier New" w:hAnsi="Courier New" w:cs="Courier New"/>
      <w:sz w:val="20"/>
      <w:szCs w:val="20"/>
    </w:rPr>
  </w:style>
  <w:style w:type="paragraph" w:customStyle="1" w:styleId="OTRTableListNum">
    <w:name w:val="OTR_Table_List_Num"/>
    <w:basedOn w:val="OTRDefault"/>
    <w:link w:val="OTRTableListNum0"/>
    <w:pPr>
      <w:numPr>
        <w:numId w:val="22"/>
      </w:numPr>
      <w:spacing w:before="60" w:after="60"/>
      <w:jc w:val="left"/>
    </w:pPr>
  </w:style>
  <w:style w:type="paragraph" w:styleId="afff9">
    <w:name w:val="Salutation"/>
    <w:basedOn w:val="aa"/>
    <w:next w:val="aa"/>
    <w:link w:val="afffa"/>
  </w:style>
  <w:style w:type="character" w:customStyle="1" w:styleId="afffa">
    <w:name w:val="Приветствие Знак"/>
    <w:link w:val="afff9"/>
    <w:rPr>
      <w:rFonts w:ascii="Times New Roman" w:eastAsia="Times New Roman" w:hAnsi="Times New Roman"/>
      <w:sz w:val="24"/>
    </w:rPr>
  </w:style>
  <w:style w:type="paragraph" w:styleId="afffb">
    <w:name w:val="List Continue"/>
    <w:basedOn w:val="aa"/>
    <w:pPr>
      <w:spacing w:after="120"/>
      <w:ind w:left="283"/>
    </w:pPr>
  </w:style>
  <w:style w:type="paragraph" w:styleId="2f5">
    <w:name w:val="List Continue 2"/>
    <w:basedOn w:val="aa"/>
    <w:pPr>
      <w:spacing w:after="120"/>
      <w:ind w:left="566"/>
    </w:pPr>
  </w:style>
  <w:style w:type="paragraph" w:styleId="3b">
    <w:name w:val="List Continue 3"/>
    <w:basedOn w:val="aa"/>
    <w:pPr>
      <w:spacing w:after="120"/>
      <w:ind w:left="849"/>
    </w:pPr>
  </w:style>
  <w:style w:type="paragraph" w:styleId="45">
    <w:name w:val="List Continue 4"/>
    <w:basedOn w:val="aa"/>
    <w:pPr>
      <w:spacing w:after="120"/>
      <w:ind w:left="1132"/>
    </w:pPr>
  </w:style>
  <w:style w:type="paragraph" w:styleId="54">
    <w:name w:val="List Continue 5"/>
    <w:basedOn w:val="aa"/>
    <w:pPr>
      <w:spacing w:after="120"/>
      <w:ind w:left="1415"/>
    </w:pPr>
  </w:style>
  <w:style w:type="table" w:styleId="1b">
    <w:name w:val="Table Simple 1"/>
    <w:basedOn w:val="ac"/>
    <w:rPr>
      <w:rFonts w:ascii="Times New Roman" w:eastAsia="Times New Roman" w:hAnsi="Times New Roman"/>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cBorders>
      </w:tcPr>
    </w:tblStylePr>
    <w:tblStylePr w:type="lastRow">
      <w:tblPr/>
      <w:tcPr>
        <w:tcBorders>
          <w:top w:val="single" w:sz="6" w:space="0" w:color="008000"/>
        </w:tcBorders>
      </w:tcPr>
    </w:tblStylePr>
  </w:style>
  <w:style w:type="table" w:styleId="2f6">
    <w:name w:val="Table Simple 2"/>
    <w:basedOn w:val="ac"/>
    <w:rPr>
      <w:rFonts w:ascii="Times New Roman" w:eastAsia="Times New Roman" w:hAnsi="Times New Roman"/>
    </w:rPr>
    <w:tblPr>
      <w:tblInd w:w="0" w:type="dxa"/>
      <w:tblCellMar>
        <w:top w:w="0" w:type="dxa"/>
        <w:left w:w="108" w:type="dxa"/>
        <w:bottom w:w="0" w:type="dxa"/>
        <w:right w:w="108" w:type="dxa"/>
      </w:tblCellMar>
    </w:tblPr>
    <w:tblStylePr w:type="firstRow">
      <w:rPr>
        <w:b/>
        <w:bCs/>
      </w:rPr>
      <w:tblPr/>
      <w:tcPr>
        <w:tcBorders>
          <w:bottom w:val="single" w:sz="12" w:space="0" w:color="000000"/>
        </w:tcBorders>
      </w:tcPr>
    </w:tblStylePr>
    <w:tblStylePr w:type="lastRow">
      <w:rPr>
        <w:b/>
        <w:bCs/>
        <w:color w:val="auto"/>
      </w:rPr>
      <w:tblPr/>
      <w:tcPr>
        <w:tcBorders>
          <w:top w:val="single" w:sz="6" w:space="0" w:color="000000"/>
        </w:tcBorders>
      </w:tcPr>
    </w:tblStylePr>
    <w:tblStylePr w:type="firstCol">
      <w:rPr>
        <w:b/>
        <w:bCs/>
      </w:rPr>
      <w:tblPr/>
      <w:tcPr>
        <w:tcBorders>
          <w:right w:val="single" w:sz="12" w:space="0" w:color="000000"/>
        </w:tcBorders>
      </w:tcPr>
    </w:tblStylePr>
    <w:tblStylePr w:type="lastCol">
      <w:rPr>
        <w:b/>
        <w:bCs/>
      </w:rPr>
      <w:tblPr/>
      <w:tcPr>
        <w:tcBorders>
          <w:left w:val="single" w:sz="6" w:space="0" w:color="000000"/>
        </w:tcBorders>
      </w:tcPr>
    </w:tblStylePr>
    <w:tblStylePr w:type="neCell">
      <w:rPr>
        <w:b/>
        <w:bCs/>
      </w:rPr>
      <w:tblPr/>
      <w:tcPr>
        <w:tcBorders>
          <w:left w:val="none" w:sz="0" w:space="0" w:color="000000"/>
        </w:tcBorders>
      </w:tcPr>
    </w:tblStylePr>
    <w:tblStylePr w:type="swCell">
      <w:rPr>
        <w:b/>
        <w:bCs/>
      </w:rPr>
      <w:tblPr/>
      <w:tcPr>
        <w:tcBorders>
          <w:top w:val="none" w:sz="0" w:space="0" w:color="000000"/>
        </w:tcBorders>
      </w:tcPr>
    </w:tblStylePr>
  </w:style>
  <w:style w:type="table" w:styleId="3c">
    <w:name w:val="Table Simple 3"/>
    <w:basedOn w:val="ac"/>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shd w:val="solid" w:color="000000" w:fill="FFFFFF"/>
      </w:tcPr>
    </w:tblStylePr>
  </w:style>
  <w:style w:type="paragraph" w:styleId="afffc">
    <w:name w:val="Closing"/>
    <w:basedOn w:val="aa"/>
    <w:link w:val="afffd"/>
    <w:pPr>
      <w:ind w:left="4252"/>
    </w:pPr>
  </w:style>
  <w:style w:type="character" w:customStyle="1" w:styleId="afffd">
    <w:name w:val="Прощание Знак"/>
    <w:link w:val="afffc"/>
    <w:rPr>
      <w:rFonts w:ascii="Times New Roman" w:eastAsia="Times New Roman" w:hAnsi="Times New Roman"/>
      <w:sz w:val="24"/>
    </w:rPr>
  </w:style>
  <w:style w:type="table" w:styleId="1c">
    <w:name w:val="Table Grid 1"/>
    <w:basedOn w:val="ac"/>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StylePr>
    <w:tblStylePr w:type="lastCol">
      <w:rPr>
        <w:i/>
        <w:iCs/>
      </w:rPr>
    </w:tblStylePr>
  </w:style>
  <w:style w:type="table" w:styleId="2f7">
    <w:name w:val="Table Grid 2"/>
    <w:basedOn w:val="ac"/>
    <w:rPr>
      <w:rFonts w:ascii="Times New Roman" w:eastAsia="Times New Roman" w:hAnsi="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StylePr>
    <w:tblStylePr w:type="lastRow">
      <w:rPr>
        <w:b/>
        <w:bCs/>
      </w:rPr>
      <w:tblPr/>
      <w:tcPr>
        <w:tcBorders>
          <w:top w:val="single" w:sz="6" w:space="0" w:color="000000"/>
        </w:tcBorders>
      </w:tcPr>
    </w:tblStylePr>
    <w:tblStylePr w:type="firstCol">
      <w:rPr>
        <w:b/>
        <w:bCs/>
      </w:rPr>
    </w:tblStylePr>
    <w:tblStylePr w:type="lastCol">
      <w:rPr>
        <w:b/>
        <w:bCs/>
      </w:rPr>
    </w:tblStylePr>
  </w:style>
  <w:style w:type="table" w:styleId="3d">
    <w:name w:val="Table Grid 3"/>
    <w:basedOn w:val="ac"/>
    <w:rPr>
      <w:rFonts w:ascii="Times New Roman" w:eastAsia="Times New Roman" w:hAnsi="Times New Roma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cBorders>
        <w:shd w:val="pct30" w:color="FFFF00" w:fill="FFFFFF"/>
      </w:tcPr>
    </w:tblStylePr>
    <w:tblStylePr w:type="lastRow">
      <w:rPr>
        <w:b/>
        <w:bCs/>
      </w:rPr>
    </w:tblStylePr>
    <w:tblStylePr w:type="lastCol">
      <w:rPr>
        <w:b/>
        <w:bCs/>
      </w:rPr>
    </w:tblStylePr>
  </w:style>
  <w:style w:type="table" w:styleId="46">
    <w:name w:val="Table Grid 4"/>
    <w:basedOn w:val="ac"/>
    <w:rPr>
      <w:rFonts w:ascii="Times New Roman" w:eastAsia="Times New Roman" w:hAnsi="Times New Roma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cBorders>
        <w:shd w:val="pct30" w:color="FFFF00" w:fill="FFFFFF"/>
      </w:tcPr>
    </w:tblStylePr>
    <w:tblStylePr w:type="lastRow">
      <w:rPr>
        <w:b/>
        <w:bCs/>
        <w:color w:val="auto"/>
      </w:rPr>
      <w:tblPr/>
      <w:tcPr>
        <w:tcBorders>
          <w:top w:val="single" w:sz="6" w:space="0" w:color="000000"/>
        </w:tcBorders>
        <w:shd w:val="pct30" w:color="FFFF00" w:fill="FFFFFF"/>
      </w:tcPr>
    </w:tblStylePr>
    <w:tblStylePr w:type="lastCol">
      <w:rPr>
        <w:b/>
        <w:bCs/>
        <w:color w:val="auto"/>
      </w:rPr>
    </w:tblStylePr>
  </w:style>
  <w:style w:type="table" w:styleId="55">
    <w:name w:val="Table Grid 5"/>
    <w:basedOn w:val="ac"/>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cBorders>
      </w:tcPr>
    </w:tblStylePr>
    <w:tblStylePr w:type="lastRow">
      <w:rPr>
        <w:b/>
        <w:bCs/>
      </w:rPr>
    </w:tblStylePr>
    <w:tblStylePr w:type="lastCol">
      <w:rPr>
        <w:b/>
        <w:bCs/>
      </w:rPr>
    </w:tblStylePr>
  </w:style>
  <w:style w:type="table" w:styleId="62">
    <w:name w:val="Table Grid 6"/>
    <w:basedOn w:val="ac"/>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cBorders>
      </w:tcPr>
    </w:tblStylePr>
    <w:tblStylePr w:type="lastRow">
      <w:rPr>
        <w:color w:val="auto"/>
      </w:rPr>
      <w:tblPr/>
      <w:tcPr>
        <w:tcBorders>
          <w:top w:val="single" w:sz="6" w:space="0" w:color="000000"/>
        </w:tcBorders>
      </w:tcPr>
    </w:tblStylePr>
    <w:tblStylePr w:type="firstCol">
      <w:rPr>
        <w:b/>
        <w:bCs/>
      </w:rPr>
    </w:tblStylePr>
  </w:style>
  <w:style w:type="table" w:styleId="72">
    <w:name w:val="Table Grid 7"/>
    <w:basedOn w:val="ac"/>
    <w:rPr>
      <w:rFonts w:ascii="Times New Roman" w:eastAsia="Times New Roman" w:hAnsi="Times New Roman"/>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cBorders>
      </w:tcPr>
    </w:tblStylePr>
    <w:tblStylePr w:type="lastRow">
      <w:rPr>
        <w:b w:val="0"/>
        <w:bCs w:val="0"/>
      </w:rPr>
      <w:tblPr/>
      <w:tcPr>
        <w:tcBorders>
          <w:top w:val="single" w:sz="6" w:space="0" w:color="000000"/>
        </w:tcBorders>
      </w:tcPr>
    </w:tblStylePr>
    <w:tblStylePr w:type="firstCol">
      <w:rPr>
        <w:b w:val="0"/>
        <w:bCs w:val="0"/>
      </w:rPr>
    </w:tblStylePr>
    <w:tblStylePr w:type="lastCol">
      <w:rPr>
        <w:b w:val="0"/>
        <w:bCs w:val="0"/>
      </w:rPr>
    </w:tblStylePr>
  </w:style>
  <w:style w:type="table" w:styleId="82">
    <w:name w:val="Table Grid 8"/>
    <w:basedOn w:val="ac"/>
    <w:rPr>
      <w:rFonts w:ascii="Times New Roman" w:eastAsia="Times New Roman" w:hAnsi="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shd w:val="solid" w:color="000080" w:fill="FFFFFF"/>
      </w:tcPr>
    </w:tblStylePr>
    <w:tblStylePr w:type="lastRow">
      <w:rPr>
        <w:b/>
        <w:bCs/>
        <w:color w:val="auto"/>
      </w:rPr>
    </w:tblStylePr>
    <w:tblStylePr w:type="lastCol">
      <w:rPr>
        <w:b/>
        <w:bCs/>
        <w:color w:val="auto"/>
      </w:rPr>
    </w:tblStylePr>
  </w:style>
  <w:style w:type="table" w:styleId="afffe">
    <w:name w:val="Table Contemporary"/>
    <w:basedOn w:val="ac"/>
    <w:rPr>
      <w:rFonts w:ascii="Times New Roman" w:eastAsia="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shd w:val="pct20" w:color="000000" w:fill="FFFFFF"/>
      </w:tcPr>
    </w:tblStylePr>
    <w:tblStylePr w:type="band1Horz">
      <w:rPr>
        <w:color w:val="auto"/>
      </w:rPr>
      <w:tblPr/>
      <w:tcPr>
        <w:shd w:val="pct5" w:color="000000" w:fill="FFFFFF"/>
      </w:tcPr>
    </w:tblStylePr>
    <w:tblStylePr w:type="band2Horz">
      <w:rPr>
        <w:color w:val="auto"/>
      </w:rPr>
      <w:tblPr/>
      <w:tcPr>
        <w:shd w:val="pct20" w:color="000000" w:fill="FFFFFF"/>
      </w:tcPr>
    </w:tblStylePr>
  </w:style>
  <w:style w:type="paragraph" w:styleId="affff">
    <w:name w:val="List"/>
    <w:basedOn w:val="aa"/>
    <w:pPr>
      <w:ind w:left="283" w:hanging="283"/>
    </w:pPr>
  </w:style>
  <w:style w:type="paragraph" w:styleId="2f8">
    <w:name w:val="List 2"/>
    <w:basedOn w:val="aa"/>
    <w:pPr>
      <w:ind w:left="566" w:hanging="283"/>
    </w:pPr>
  </w:style>
  <w:style w:type="paragraph" w:styleId="3e">
    <w:name w:val="List 3"/>
    <w:basedOn w:val="aa"/>
    <w:pPr>
      <w:ind w:left="849" w:hanging="283"/>
    </w:pPr>
  </w:style>
  <w:style w:type="paragraph" w:styleId="47">
    <w:name w:val="List 4"/>
    <w:basedOn w:val="aa"/>
    <w:pPr>
      <w:ind w:left="1132" w:hanging="283"/>
    </w:pPr>
  </w:style>
  <w:style w:type="paragraph" w:styleId="56">
    <w:name w:val="List 5"/>
    <w:basedOn w:val="aa"/>
    <w:pPr>
      <w:ind w:left="1415" w:hanging="283"/>
    </w:pPr>
  </w:style>
  <w:style w:type="table" w:styleId="affff0">
    <w:name w:val="Table Professional"/>
    <w:basedOn w:val="ac"/>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shd w:val="solid" w:color="000000" w:fill="FFFFFF"/>
      </w:tcPr>
    </w:tblStylePr>
  </w:style>
  <w:style w:type="paragraph" w:styleId="HTML8">
    <w:name w:val="HTML Preformatted"/>
    <w:basedOn w:val="aa"/>
    <w:link w:val="HTML9"/>
    <w:rPr>
      <w:rFonts w:ascii="Courier New" w:hAnsi="Courier New"/>
      <w:sz w:val="20"/>
    </w:rPr>
  </w:style>
  <w:style w:type="character" w:customStyle="1" w:styleId="HTML9">
    <w:name w:val="Стандартный HTML Знак"/>
    <w:link w:val="HTML8"/>
    <w:rPr>
      <w:rFonts w:ascii="Courier New" w:eastAsia="Times New Roman" w:hAnsi="Courier New" w:cs="Courier New"/>
    </w:rPr>
  </w:style>
  <w:style w:type="numbering" w:styleId="a1">
    <w:name w:val="Outline List 3"/>
    <w:basedOn w:val="ad"/>
    <w:pPr>
      <w:numPr>
        <w:numId w:val="127"/>
      </w:numPr>
    </w:pPr>
  </w:style>
  <w:style w:type="table" w:styleId="1d">
    <w:name w:val="Table Columns 1"/>
    <w:basedOn w:val="ac"/>
    <w:rPr>
      <w:rFonts w:ascii="Times New Roman" w:eastAsia="Times New Roman" w:hAnsi="Times New Roman"/>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single" w:sz="6" w:space="0" w:color="000000"/>
        </w:tcBorders>
      </w:tcPr>
    </w:tblStylePr>
    <w:tblStylePr w:type="lastRow">
      <w:rPr>
        <w:b w:val="0"/>
        <w:bCs w:val="0"/>
      </w:rPr>
    </w:tblStylePr>
    <w:tblStylePr w:type="firstCol">
      <w:rPr>
        <w:b w:val="0"/>
        <w:bCs w:val="0"/>
      </w:rPr>
    </w:tblStylePr>
    <w:tblStylePr w:type="lastCol">
      <w:rPr>
        <w:b w:val="0"/>
        <w:bCs w:val="0"/>
      </w:r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StylePr>
    <w:tblStylePr w:type="swCell">
      <w:rPr>
        <w:b/>
        <w:bCs/>
      </w:rPr>
    </w:tblStylePr>
  </w:style>
  <w:style w:type="table" w:styleId="2f9">
    <w:name w:val="Table Columns 2"/>
    <w:basedOn w:val="ac"/>
    <w:rPr>
      <w:rFonts w:ascii="Times New Roman" w:eastAsia="Times New Roman" w:hAnsi="Times New Roman"/>
      <w:b/>
      <w:bCs/>
    </w:rPr>
    <w:tblPr>
      <w:tblStyleColBandSize w:val="1"/>
      <w:tblInd w:w="0" w:type="dxa"/>
      <w:tblCellMar>
        <w:top w:w="0" w:type="dxa"/>
        <w:left w:w="108" w:type="dxa"/>
        <w:bottom w:w="0" w:type="dxa"/>
        <w:right w:w="108" w:type="dxa"/>
      </w:tblCellMar>
    </w:tblPr>
    <w:tblStylePr w:type="firstRow">
      <w:rPr>
        <w:color w:val="FFFFFF"/>
      </w:rPr>
      <w:tblPr/>
      <w:tcPr>
        <w:shd w:val="solid" w:color="000080" w:fill="FFFFFF"/>
      </w:tcPr>
    </w:tblStylePr>
    <w:tblStylePr w:type="lastRow">
      <w:rPr>
        <w:b w:val="0"/>
        <w:bCs w:val="0"/>
      </w:rPr>
    </w:tblStylePr>
    <w:tblStylePr w:type="firstCol">
      <w:rPr>
        <w:b w:val="0"/>
        <w:bCs w:val="0"/>
        <w:color w:val="000000"/>
      </w:rPr>
    </w:tblStylePr>
    <w:tblStylePr w:type="lastCol">
      <w:rPr>
        <w:b w:val="0"/>
        <w:bCs w:val="0"/>
      </w:r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StylePr>
    <w:tblStylePr w:type="swCell">
      <w:rPr>
        <w:b/>
        <w:bCs/>
      </w:rPr>
    </w:tblStylePr>
  </w:style>
  <w:style w:type="table" w:styleId="3f">
    <w:name w:val="Table Columns 3"/>
    <w:basedOn w:val="ac"/>
    <w:rPr>
      <w:rFonts w:ascii="Times New Roman" w:eastAsia="Times New Roman" w:hAnsi="Times New Roman"/>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shd w:val="solid" w:color="000080" w:fill="FFFFFF"/>
      </w:tcPr>
    </w:tblStylePr>
    <w:tblStylePr w:type="lastRow">
      <w:rPr>
        <w:b w:val="0"/>
        <w:bCs w:val="0"/>
      </w:rPr>
      <w:tblPr/>
      <w:tcPr>
        <w:tcBorders>
          <w:top w:val="single" w:sz="6" w:space="0" w:color="000080"/>
        </w:tcBorders>
      </w:tcPr>
    </w:tblStylePr>
    <w:tblStylePr w:type="firstCol">
      <w:rPr>
        <w:b w:val="0"/>
        <w:bCs w:val="0"/>
      </w:rPr>
    </w:tblStylePr>
    <w:tblStylePr w:type="lastCol">
      <w:rPr>
        <w:b w:val="0"/>
        <w:bCs w:val="0"/>
      </w:r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StylePr>
  </w:style>
  <w:style w:type="table" w:styleId="48">
    <w:name w:val="Table Columns 4"/>
    <w:basedOn w:val="ac"/>
    <w:rPr>
      <w:rFonts w:ascii="Times New Roman" w:eastAsia="Times New Roman" w:hAnsi="Times New Roman"/>
    </w:rPr>
    <w:tblPr>
      <w:tblStyleColBandSize w:val="1"/>
      <w:tblInd w:w="0" w:type="dxa"/>
      <w:tblCellMar>
        <w:top w:w="0" w:type="dxa"/>
        <w:left w:w="108" w:type="dxa"/>
        <w:bottom w:w="0" w:type="dxa"/>
        <w:right w:w="108" w:type="dxa"/>
      </w:tblCellMar>
    </w:tblPr>
    <w:tblStylePr w:type="firstRow">
      <w:rPr>
        <w:color w:val="FFFFFF"/>
      </w:rPr>
      <w:tblPr/>
      <w:tcPr>
        <w:shd w:val="solid" w:color="000000" w:fill="FFFFFF"/>
      </w:tcPr>
    </w:tblStylePr>
    <w:tblStylePr w:type="lastRow">
      <w:rPr>
        <w:b/>
        <w:bCs/>
      </w:rPr>
    </w:tblStylePr>
    <w:tblStylePr w:type="lastCol">
      <w:rPr>
        <w:b/>
        <w:bCs/>
      </w:r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c"/>
    <w:rPr>
      <w:rFonts w:ascii="Times New Roman" w:eastAsia="Times New Roman" w:hAnsi="Times New Roma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cBorders>
      </w:tcPr>
    </w:tblStylePr>
    <w:tblStylePr w:type="lastRow">
      <w:rPr>
        <w:b/>
        <w:bCs/>
      </w:rPr>
      <w:tblPr/>
      <w:tcPr>
        <w:tcBorders>
          <w:top w:val="single" w:sz="6" w:space="0" w:color="808080"/>
        </w:tcBorders>
      </w:tcPr>
    </w:tblStylePr>
    <w:tblStylePr w:type="firstCol">
      <w:rPr>
        <w:b/>
        <w:bCs/>
      </w:rPr>
    </w:tblStylePr>
    <w:tblStylePr w:type="lastCol">
      <w:rPr>
        <w:b/>
        <w:bCs/>
      </w:rPr>
    </w:tblStylePr>
    <w:tblStylePr w:type="band1Vert">
      <w:rPr>
        <w:color w:val="auto"/>
      </w:rPr>
      <w:tblPr/>
      <w:tcPr>
        <w:shd w:val="solid" w:color="C0C0C0" w:fill="FFFFFF"/>
      </w:tcPr>
    </w:tblStylePr>
    <w:tblStylePr w:type="band2Vert">
      <w:rPr>
        <w:color w:val="auto"/>
      </w:rPr>
    </w:tblStylePr>
  </w:style>
  <w:style w:type="table" w:styleId="-10">
    <w:name w:val="Table List 1"/>
    <w:basedOn w:val="ac"/>
    <w:rPr>
      <w:rFonts w:ascii="Times New Roman" w:eastAsia="Times New Roman" w:hAnsi="Times New Roman"/>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cBorders>
        <w:shd w:val="solid" w:color="C0C0C0" w:fill="FFFFFF"/>
      </w:tcPr>
    </w:tblStylePr>
    <w:tblStylePr w:type="lastRow">
      <w:tblPr/>
      <w:tcPr>
        <w:tcBorders>
          <w:top w:val="single" w:sz="6" w:space="0" w:color="000000"/>
        </w:tcBorders>
      </w:tcPr>
    </w:tblStylePr>
    <w:tblStylePr w:type="band1Horz">
      <w:rPr>
        <w:color w:val="auto"/>
      </w:rPr>
      <w:tblPr/>
      <w:tcPr>
        <w:shd w:val="solid" w:color="C0C0C0" w:fill="FFFFFF"/>
      </w:tcPr>
    </w:tblStylePr>
    <w:tblStylePr w:type="band2Horz">
      <w:rPr>
        <w:color w:val="auto"/>
      </w:rPr>
    </w:tblStylePr>
    <w:tblStylePr w:type="swCell">
      <w:rPr>
        <w:b/>
        <w:bCs/>
      </w:rPr>
    </w:tblStylePr>
  </w:style>
  <w:style w:type="table" w:styleId="-20">
    <w:name w:val="Table List 2"/>
    <w:basedOn w:val="ac"/>
    <w:rPr>
      <w:rFonts w:ascii="Times New Roman" w:eastAsia="Times New Roman" w:hAnsi="Times New Roman"/>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cBorders>
        <w:shd w:val="pct75" w:color="008080" w:fill="008000"/>
      </w:tcPr>
    </w:tblStylePr>
    <w:tblStylePr w:type="lastRow">
      <w:tblPr/>
      <w:tcPr>
        <w:tcBorders>
          <w:top w:val="single" w:sz="6" w:space="0" w:color="000000"/>
        </w:tcBorders>
      </w:tcPr>
    </w:tblStylePr>
    <w:tblStylePr w:type="band1Horz">
      <w:rPr>
        <w:color w:val="auto"/>
      </w:rPr>
      <w:tblPr/>
      <w:tcPr>
        <w:shd w:val="pct20" w:color="00FF00" w:fill="FFFFFF"/>
      </w:tcPr>
    </w:tblStylePr>
    <w:tblStylePr w:type="band2Horz">
      <w:rPr>
        <w:color w:val="auto"/>
      </w:rPr>
    </w:tblStylePr>
    <w:tblStylePr w:type="swCell">
      <w:rPr>
        <w:b/>
        <w:bCs/>
      </w:rPr>
    </w:tblStylePr>
  </w:style>
  <w:style w:type="table" w:styleId="-30">
    <w:name w:val="Table List 3"/>
    <w:basedOn w:val="ac"/>
    <w:rPr>
      <w:rFonts w:ascii="Times New Roman" w:eastAsia="Times New Roman" w:hAnsi="Times New Roman"/>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cBorders>
      </w:tcPr>
    </w:tblStylePr>
    <w:tblStylePr w:type="lastRow">
      <w:tblPr/>
      <w:tcPr>
        <w:tcBorders>
          <w:top w:val="single" w:sz="12" w:space="0" w:color="000000"/>
        </w:tcBorders>
      </w:tcPr>
    </w:tblStylePr>
    <w:tblStylePr w:type="swCell">
      <w:rPr>
        <w:i/>
        <w:iCs/>
        <w:color w:val="000080"/>
      </w:rPr>
    </w:tblStylePr>
  </w:style>
  <w:style w:type="table" w:styleId="-4">
    <w:name w:val="Table List 4"/>
    <w:basedOn w:val="ac"/>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cBorders>
        <w:shd w:val="solid" w:color="808080" w:fill="FFFFFF"/>
      </w:tcPr>
    </w:tblStylePr>
  </w:style>
  <w:style w:type="table" w:styleId="-5">
    <w:name w:val="Table List 5"/>
    <w:basedOn w:val="ac"/>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cBorders>
      </w:tcPr>
    </w:tblStylePr>
    <w:tblStylePr w:type="firstCol">
      <w:rPr>
        <w:b/>
        <w:bCs/>
      </w:rPr>
    </w:tblStylePr>
  </w:style>
  <w:style w:type="table" w:styleId="-6">
    <w:name w:val="Table List 6"/>
    <w:basedOn w:val="ac"/>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cBorders>
      </w:tcPr>
    </w:tblStylePr>
    <w:tblStylePr w:type="firstCol">
      <w:rPr>
        <w:b/>
        <w:bCs/>
      </w:rPr>
      <w:tblPr/>
      <w:tcPr>
        <w:tcBorders>
          <w:right w:val="single" w:sz="12" w:space="0" w:color="000000"/>
        </w:tcBorders>
      </w:tcPr>
    </w:tblStylePr>
    <w:tblStylePr w:type="band1Horz">
      <w:tblPr/>
      <w:tcPr>
        <w:shd w:val="pct25" w:color="000000" w:fill="FFFFFF"/>
      </w:tcPr>
    </w:tblStylePr>
  </w:style>
  <w:style w:type="table" w:styleId="-7">
    <w:name w:val="Table List 7"/>
    <w:basedOn w:val="ac"/>
    <w:rPr>
      <w:rFonts w:ascii="Times New Roman" w:eastAsia="Times New Roman" w:hAnsi="Times New Roman"/>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cBorders>
        <w:shd w:val="solid" w:color="C0C0C0" w:fill="FFFFFF"/>
      </w:tcPr>
    </w:tblStylePr>
    <w:tblStylePr w:type="lastRow">
      <w:rPr>
        <w:b/>
        <w:bCs/>
      </w:rPr>
      <w:tblPr/>
      <w:tcPr>
        <w:tcBorders>
          <w:top w:val="single" w:sz="12" w:space="0" w:color="008000"/>
        </w:tcBorders>
      </w:tcPr>
    </w:tblStylePr>
    <w:tblStylePr w:type="firstCol">
      <w:rPr>
        <w:b/>
        <w:bCs/>
      </w:rPr>
    </w:tblStylePr>
    <w:tblStylePr w:type="lastCol">
      <w:rPr>
        <w:b/>
        <w:bCs/>
      </w:rPr>
    </w:tblStylePr>
    <w:tblStylePr w:type="band1Horz">
      <w:rPr>
        <w:color w:val="auto"/>
      </w:rPr>
      <w:tblPr/>
      <w:tcPr>
        <w:shd w:val="pct20" w:color="000000" w:fill="FFFFFF"/>
      </w:tcPr>
    </w:tblStylePr>
    <w:tblStylePr w:type="band2Horz">
      <w:tblPr/>
      <w:tcPr>
        <w:shd w:val="pct25" w:color="FFFF00" w:fill="FFFFFF"/>
      </w:tcPr>
    </w:tblStylePr>
  </w:style>
  <w:style w:type="table" w:styleId="-8">
    <w:name w:val="Table List 8"/>
    <w:basedOn w:val="ac"/>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cBorders>
        <w:shd w:val="solid" w:color="FFFF00" w:fill="FFFFFF"/>
      </w:tcPr>
    </w:tblStylePr>
    <w:tblStylePr w:type="lastRow">
      <w:rPr>
        <w:b/>
        <w:bCs/>
      </w:rPr>
      <w:tblPr/>
      <w:tcPr>
        <w:tcBorders>
          <w:top w:val="single" w:sz="6" w:space="0" w:color="000000"/>
        </w:tcBorders>
      </w:tcPr>
    </w:tblStylePr>
    <w:tblStylePr w:type="firstCol">
      <w:rPr>
        <w:b/>
        <w:bCs/>
      </w:rPr>
    </w:tblStylePr>
    <w:tblStylePr w:type="lastCol">
      <w:rPr>
        <w:b/>
        <w:bCs/>
      </w:rPr>
    </w:tblStylePr>
    <w:tblStylePr w:type="band1Horz">
      <w:rPr>
        <w:color w:val="auto"/>
      </w:rPr>
      <w:tblPr/>
      <w:tcPr>
        <w:shd w:val="pct25" w:color="FFFF00" w:fill="FFFFFF"/>
      </w:tcPr>
    </w:tblStylePr>
    <w:tblStylePr w:type="band2Horz">
      <w:tblPr/>
      <w:tcPr>
        <w:shd w:val="pct50" w:color="FF0000" w:fill="FFFFFF"/>
      </w:tcPr>
    </w:tblStylePr>
  </w:style>
  <w:style w:type="paragraph" w:styleId="affff1">
    <w:name w:val="Plain Text"/>
    <w:basedOn w:val="aa"/>
    <w:link w:val="affff2"/>
    <w:rPr>
      <w:rFonts w:ascii="Courier New" w:hAnsi="Courier New"/>
      <w:sz w:val="20"/>
    </w:rPr>
  </w:style>
  <w:style w:type="character" w:customStyle="1" w:styleId="affff2">
    <w:name w:val="Текст Знак"/>
    <w:link w:val="affff1"/>
    <w:rPr>
      <w:rFonts w:ascii="Courier New" w:eastAsia="Times New Roman" w:hAnsi="Courier New" w:cs="Courier New"/>
    </w:rPr>
  </w:style>
  <w:style w:type="table" w:styleId="affff3">
    <w:name w:val="Table Theme"/>
    <w:basedOn w:val="ac"/>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1e">
    <w:name w:val="Table Colorful 1"/>
    <w:basedOn w:val="ac"/>
    <w:rPr>
      <w:rFonts w:ascii="Times New Roman" w:eastAsia="Times New Roman" w:hAnsi="Times New Roman"/>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shd w:val="solid" w:color="000000" w:fill="FFFFFF"/>
      </w:tcPr>
    </w:tblStylePr>
    <w:tblStylePr w:type="firstCol">
      <w:rPr>
        <w:b/>
        <w:bCs/>
        <w:i/>
        <w:iCs/>
      </w:rPr>
      <w:tblPr/>
      <w:tcPr>
        <w:shd w:val="solid" w:color="000080" w:fill="FFFFFF"/>
      </w:tcPr>
    </w:tblStylePr>
    <w:tblStylePr w:type="nwCell">
      <w:tblPr/>
      <w:tcPr>
        <w:shd w:val="solid" w:color="000000" w:fill="FFFFFF"/>
      </w:tcPr>
    </w:tblStylePr>
    <w:tblStylePr w:type="swCell">
      <w:rPr>
        <w:b/>
        <w:bCs/>
        <w:i w:val="0"/>
        <w:iCs w:val="0"/>
      </w:rPr>
    </w:tblStylePr>
  </w:style>
  <w:style w:type="table" w:styleId="2fa">
    <w:name w:val="Table Colorful 2"/>
    <w:basedOn w:val="ac"/>
    <w:rPr>
      <w:rFonts w:ascii="Times New Roman" w:eastAsia="Times New Roman" w:hAnsi="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cBorders>
        <w:shd w:val="solid" w:color="800000" w:fill="FFFFFF"/>
      </w:tcPr>
    </w:tblStylePr>
    <w:tblStylePr w:type="firstCol">
      <w:rPr>
        <w:b/>
        <w:bCs/>
        <w:i/>
        <w:iCs/>
      </w:rPr>
    </w:tblStylePr>
    <w:tblStylePr w:type="lastCol">
      <w:tblPr/>
      <w:tcPr>
        <w:shd w:val="solid" w:color="C0C0C0" w:fill="FFFFFF"/>
      </w:tcPr>
    </w:tblStylePr>
    <w:tblStylePr w:type="swCell">
      <w:rPr>
        <w:b/>
        <w:bCs/>
        <w:i w:val="0"/>
        <w:iCs w:val="0"/>
      </w:rPr>
    </w:tblStylePr>
  </w:style>
  <w:style w:type="table" w:styleId="3f0">
    <w:name w:val="Table Colorful 3"/>
    <w:basedOn w:val="ac"/>
    <w:rPr>
      <w:rFonts w:ascii="Times New Roman" w:eastAsia="Times New Roman" w:hAnsi="Times New Roman"/>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cBorders>
        <w:shd w:val="solid" w:color="008080" w:fill="FFFFFF"/>
      </w:tcPr>
    </w:tblStylePr>
    <w:tblStylePr w:type="firstCol">
      <w:tblPr/>
      <w:tcPr>
        <w:tcBorders>
          <w:left w:val="single" w:sz="36" w:space="0" w:color="000000"/>
          <w:right w:val="single" w:sz="6" w:space="0" w:color="000000"/>
        </w:tcBorders>
        <w:shd w:val="solid" w:color="008080" w:fill="FFFFFF"/>
      </w:tcPr>
    </w:tblStylePr>
    <w:tblStylePr w:type="nwCell">
      <w:rPr>
        <w:b/>
        <w:bCs/>
        <w:color w:val="FFFFFF"/>
      </w:rPr>
      <w:tblPr/>
      <w:tcPr>
        <w:shd w:val="solid" w:color="000000" w:fill="FFFFFF"/>
      </w:tcPr>
    </w:tblStylePr>
  </w:style>
  <w:style w:type="paragraph" w:styleId="affff4">
    <w:name w:val="Block Text"/>
    <w:basedOn w:val="aa"/>
    <w:pPr>
      <w:spacing w:after="120"/>
      <w:ind w:left="1440" w:right="1440"/>
    </w:pPr>
  </w:style>
  <w:style w:type="character" w:styleId="HTMLa">
    <w:name w:val="HTML Cite"/>
    <w:rPr>
      <w:i/>
      <w:iCs/>
    </w:rPr>
  </w:style>
  <w:style w:type="paragraph" w:styleId="affff5">
    <w:name w:val="Message Header"/>
    <w:basedOn w:val="aa"/>
    <w:link w:val="affff6"/>
    <w:pPr>
      <w:pBdr>
        <w:top w:val="single" w:sz="6" w:space="1" w:color="000000"/>
        <w:left w:val="single" w:sz="6" w:space="1" w:color="000000"/>
        <w:bottom w:val="single" w:sz="6" w:space="1" w:color="000000"/>
        <w:right w:val="single" w:sz="6" w:space="1" w:color="000000"/>
      </w:pBdr>
      <w:shd w:val="pct20" w:color="auto" w:fill="auto"/>
      <w:ind w:left="1134" w:hanging="1134"/>
    </w:pPr>
    <w:rPr>
      <w:rFonts w:ascii="Arial" w:hAnsi="Arial"/>
    </w:rPr>
  </w:style>
  <w:style w:type="character" w:customStyle="1" w:styleId="affff6">
    <w:name w:val="Шапка Знак"/>
    <w:link w:val="affff5"/>
    <w:rPr>
      <w:rFonts w:ascii="Arial" w:eastAsia="Times New Roman" w:hAnsi="Arial" w:cs="Arial"/>
      <w:sz w:val="24"/>
      <w:shd w:val="pct20" w:color="auto" w:fill="auto"/>
    </w:rPr>
  </w:style>
  <w:style w:type="paragraph" w:styleId="affff7">
    <w:name w:val="E-mail Signature"/>
    <w:basedOn w:val="aa"/>
    <w:link w:val="affff8"/>
  </w:style>
  <w:style w:type="character" w:customStyle="1" w:styleId="affff8">
    <w:name w:val="Электронная подпись Знак"/>
    <w:link w:val="affff7"/>
    <w:rPr>
      <w:rFonts w:ascii="Times New Roman" w:eastAsia="Times New Roman" w:hAnsi="Times New Roman"/>
      <w:sz w:val="24"/>
    </w:rPr>
  </w:style>
  <w:style w:type="paragraph" w:styleId="affff9">
    <w:name w:val="Signature"/>
    <w:basedOn w:val="aa"/>
    <w:link w:val="affffa"/>
    <w:pPr>
      <w:ind w:left="4252"/>
    </w:pPr>
  </w:style>
  <w:style w:type="character" w:customStyle="1" w:styleId="affffa">
    <w:name w:val="Подпись Знак"/>
    <w:link w:val="affff9"/>
    <w:rPr>
      <w:rFonts w:ascii="Times New Roman" w:eastAsia="Times New Roman" w:hAnsi="Times New Roman"/>
      <w:sz w:val="24"/>
    </w:rPr>
  </w:style>
  <w:style w:type="paragraph" w:customStyle="1" w:styleId="OTRNormalCenter">
    <w:name w:val="OTR_Normal_Center"/>
    <w:basedOn w:val="OTRDefault"/>
    <w:pPr>
      <w:jc w:val="center"/>
    </w:pPr>
  </w:style>
  <w:style w:type="paragraph" w:customStyle="1" w:styleId="OTRFooter">
    <w:name w:val="OTR_Footer"/>
    <w:basedOn w:val="aa"/>
    <w:semiHidden/>
    <w:pPr>
      <w:tabs>
        <w:tab w:val="center" w:pos="4677"/>
        <w:tab w:val="right" w:pos="9355"/>
      </w:tabs>
      <w:ind w:right="360"/>
    </w:pPr>
    <w:rPr>
      <w:rFonts w:ascii="Arial" w:hAnsi="Arial" w:cs="Arial"/>
      <w:szCs w:val="24"/>
    </w:rPr>
  </w:style>
  <w:style w:type="character" w:customStyle="1" w:styleId="OTRNoteHead">
    <w:name w:val="OTR_Note_Head"/>
    <w:rPr>
      <w:rFonts w:ascii="Times New Roman" w:hAnsi="Times New Roman"/>
      <w:b/>
      <w:sz w:val="24"/>
    </w:rPr>
  </w:style>
  <w:style w:type="paragraph" w:customStyle="1" w:styleId="OTRNote">
    <w:name w:val="OTR_Note"/>
    <w:basedOn w:val="OTRDefault"/>
    <w:pPr>
      <w:ind w:left="2552" w:hanging="1701"/>
    </w:pPr>
  </w:style>
  <w:style w:type="character" w:customStyle="1" w:styleId="OTRSymItalic">
    <w:name w:val="OTR_Sym_Italic"/>
    <w:rPr>
      <w:i/>
    </w:rPr>
  </w:style>
  <w:style w:type="paragraph" w:customStyle="1" w:styleId="OTRFooterRight">
    <w:name w:val="OTR_Footer_Right"/>
    <w:basedOn w:val="aa"/>
    <w:semiHidden/>
    <w:pPr>
      <w:tabs>
        <w:tab w:val="center" w:pos="4677"/>
        <w:tab w:val="right" w:pos="9355"/>
      </w:tabs>
      <w:jc w:val="right"/>
    </w:pPr>
    <w:rPr>
      <w:rFonts w:ascii="Arial" w:hAnsi="Arial" w:cs="Arial"/>
      <w:szCs w:val="24"/>
    </w:rPr>
  </w:style>
  <w:style w:type="paragraph" w:customStyle="1" w:styleId="OTRHeader0">
    <w:name w:val="OTR_Header"/>
    <w:semiHidden/>
    <w:pPr>
      <w:ind w:left="21"/>
    </w:pPr>
    <w:rPr>
      <w:rFonts w:ascii="Arial" w:eastAsia="Times New Roman" w:hAnsi="Arial" w:cs="Arial"/>
      <w:b/>
      <w:bCs/>
    </w:rPr>
  </w:style>
  <w:style w:type="paragraph" w:customStyle="1" w:styleId="OTRFootNoteNum">
    <w:name w:val="OTR_Foot_Note_Num"/>
    <w:basedOn w:val="affa"/>
    <w:uiPriority w:val="99"/>
    <w:pPr>
      <w:numPr>
        <w:numId w:val="25"/>
      </w:numPr>
      <w:tabs>
        <w:tab w:val="left" w:pos="938"/>
      </w:tabs>
      <w:spacing w:line="240" w:lineRule="auto"/>
    </w:pPr>
    <w:rPr>
      <w:szCs w:val="16"/>
    </w:rPr>
  </w:style>
  <w:style w:type="paragraph" w:customStyle="1" w:styleId="OTRWarning">
    <w:name w:val="OTR_Warning"/>
    <w:basedOn w:val="OTRDefault"/>
    <w:pPr>
      <w:keepNext/>
      <w:keepLines/>
      <w:pBdr>
        <w:top w:val="single" w:sz="4" w:space="1" w:color="000000"/>
        <w:left w:val="single" w:sz="4" w:space="4" w:color="C0C0C0"/>
        <w:bottom w:val="single" w:sz="4" w:space="1" w:color="C0C0C0"/>
        <w:right w:val="single" w:sz="4" w:space="4" w:color="C0C0C0"/>
      </w:pBdr>
      <w:shd w:val="clear" w:color="auto" w:fill="D9D9D9"/>
      <w:jc w:val="center"/>
    </w:pPr>
    <w:rPr>
      <w:b/>
      <w:caps/>
      <w:szCs w:val="24"/>
    </w:rPr>
  </w:style>
  <w:style w:type="paragraph" w:customStyle="1" w:styleId="OTRTitleDol">
    <w:name w:val="OTR_Title_Dol"/>
    <w:basedOn w:val="aa"/>
    <w:semiHidden/>
    <w:pPr>
      <w:jc w:val="center"/>
    </w:pPr>
  </w:style>
  <w:style w:type="paragraph" w:customStyle="1" w:styleId="OTRWarningText">
    <w:name w:val="OTR_Warning_Text"/>
    <w:basedOn w:val="OTRDefault"/>
    <w:pPr>
      <w:keepLines/>
      <w:pBdr>
        <w:left w:val="single" w:sz="4" w:space="4" w:color="C0C0C0"/>
        <w:bottom w:val="single" w:sz="4" w:space="1" w:color="000000"/>
        <w:right w:val="single" w:sz="4" w:space="4" w:color="C0C0C0"/>
      </w:pBdr>
      <w:spacing w:before="120"/>
    </w:pPr>
  </w:style>
  <w:style w:type="paragraph" w:customStyle="1" w:styleId="OTRTitulnew1">
    <w:name w:val="OTR_Titul_new_1"/>
    <w:basedOn w:val="aa"/>
    <w:semiHidden/>
    <w:pPr>
      <w:spacing w:before="240" w:after="240"/>
      <w:contextualSpacing/>
      <w:jc w:val="center"/>
    </w:pPr>
    <w:rPr>
      <w:sz w:val="32"/>
      <w:szCs w:val="28"/>
    </w:rPr>
  </w:style>
  <w:style w:type="paragraph" w:customStyle="1" w:styleId="OTRTITULNAME">
    <w:name w:val="OTR_TITUL_NAME"/>
    <w:basedOn w:val="aa"/>
    <w:pPr>
      <w:spacing w:before="400" w:after="200"/>
      <w:contextualSpacing/>
      <w:jc w:val="center"/>
    </w:pPr>
    <w:rPr>
      <w:b/>
      <w:sz w:val="32"/>
      <w:szCs w:val="28"/>
    </w:rPr>
  </w:style>
  <w:style w:type="paragraph" w:customStyle="1" w:styleId="OTRTitulLU">
    <w:name w:val="OTR_Titul_LU"/>
    <w:basedOn w:val="aa"/>
    <w:semiHidden/>
    <w:pPr>
      <w:spacing w:before="240" w:after="240"/>
      <w:contextualSpacing/>
      <w:jc w:val="center"/>
    </w:pPr>
    <w:rPr>
      <w:sz w:val="32"/>
      <w:szCs w:val="28"/>
    </w:rPr>
  </w:style>
  <w:style w:type="paragraph" w:customStyle="1" w:styleId="OTRnum">
    <w:name w:val="OTR_num"/>
    <w:basedOn w:val="10"/>
    <w:pPr>
      <w:keepNext w:val="0"/>
      <w:pageBreakBefore w:val="0"/>
      <w:numPr>
        <w:numId w:val="24"/>
      </w:numPr>
      <w:tabs>
        <w:tab w:val="left" w:pos="1080"/>
      </w:tabs>
      <w:spacing w:before="60" w:after="60"/>
    </w:pPr>
    <w:rPr>
      <w:b w:val="0"/>
      <w:sz w:val="24"/>
    </w:rPr>
  </w:style>
  <w:style w:type="paragraph" w:customStyle="1" w:styleId="OTRnum2">
    <w:name w:val="OTR_num_2"/>
    <w:basedOn w:val="22"/>
    <w:pPr>
      <w:keepNext w:val="0"/>
      <w:numPr>
        <w:ilvl w:val="0"/>
        <w:numId w:val="0"/>
      </w:numPr>
      <w:tabs>
        <w:tab w:val="num" w:pos="1021"/>
      </w:tabs>
      <w:spacing w:before="60" w:after="60"/>
      <w:ind w:left="1021" w:hanging="284"/>
    </w:pPr>
    <w:rPr>
      <w:b w:val="0"/>
      <w:sz w:val="24"/>
    </w:rPr>
  </w:style>
  <w:style w:type="paragraph" w:customStyle="1" w:styleId="OTRnum3">
    <w:name w:val="OTR_num_3"/>
    <w:basedOn w:val="31"/>
    <w:pPr>
      <w:keepNext w:val="0"/>
      <w:numPr>
        <w:ilvl w:val="0"/>
        <w:numId w:val="0"/>
      </w:numPr>
      <w:tabs>
        <w:tab w:val="num" w:pos="1021"/>
        <w:tab w:val="left" w:pos="2340"/>
      </w:tabs>
      <w:spacing w:before="60" w:after="60"/>
      <w:ind w:left="1021" w:hanging="284"/>
    </w:pPr>
    <w:rPr>
      <w:b w:val="0"/>
      <w:bCs/>
      <w:sz w:val="24"/>
    </w:rPr>
  </w:style>
  <w:style w:type="paragraph" w:customStyle="1" w:styleId="OTRnum4">
    <w:name w:val="OTR_num_4"/>
    <w:basedOn w:val="4"/>
    <w:pPr>
      <w:keepNext w:val="0"/>
      <w:numPr>
        <w:ilvl w:val="0"/>
        <w:numId w:val="0"/>
      </w:numPr>
      <w:tabs>
        <w:tab w:val="num" w:pos="1021"/>
        <w:tab w:val="num" w:pos="1355"/>
        <w:tab w:val="left" w:pos="3080"/>
      </w:tabs>
      <w:spacing w:before="0" w:after="0"/>
      <w:ind w:left="1021" w:hanging="284"/>
    </w:pPr>
    <w:rPr>
      <w:b w:val="0"/>
      <w:bCs/>
      <w:iCs w:val="0"/>
      <w:szCs w:val="20"/>
    </w:rPr>
  </w:style>
  <w:style w:type="paragraph" w:customStyle="1" w:styleId="OTRNormalNum4">
    <w:name w:val="OTR_Normal_Num_4"/>
    <w:basedOn w:val="OTRDefault"/>
    <w:pPr>
      <w:ind w:left="3062"/>
    </w:pPr>
  </w:style>
  <w:style w:type="paragraph" w:customStyle="1" w:styleId="OTRTitleDocCode">
    <w:name w:val="OTR_Title_DocCode"/>
    <w:basedOn w:val="aa"/>
    <w:semiHidden/>
    <w:pPr>
      <w:spacing w:before="120" w:after="240"/>
      <w:jc w:val="center"/>
    </w:pPr>
    <w:rPr>
      <w:b/>
      <w:bCs/>
      <w:sz w:val="20"/>
    </w:rPr>
  </w:style>
  <w:style w:type="paragraph" w:customStyle="1" w:styleId="OTRTitleDocName">
    <w:name w:val="OTR_Title_DocName"/>
    <w:basedOn w:val="aa"/>
    <w:semiHidden/>
    <w:pPr>
      <w:spacing w:before="2880"/>
      <w:jc w:val="center"/>
    </w:pPr>
    <w:rPr>
      <w:b/>
      <w:bCs/>
      <w:caps/>
      <w:sz w:val="32"/>
    </w:rPr>
  </w:style>
  <w:style w:type="paragraph" w:customStyle="1" w:styleId="OTRTitleDate">
    <w:name w:val="OTR_Title_Date"/>
    <w:basedOn w:val="aa"/>
    <w:semiHidden/>
    <w:pPr>
      <w:jc w:val="center"/>
    </w:pPr>
    <w:rPr>
      <w:sz w:val="16"/>
    </w:rPr>
  </w:style>
  <w:style w:type="paragraph" w:customStyle="1" w:styleId="OTRTitleStamp">
    <w:name w:val="OTR_Title_Stamp"/>
    <w:basedOn w:val="aa"/>
    <w:semiHidden/>
    <w:pPr>
      <w:jc w:val="center"/>
    </w:pPr>
    <w:rPr>
      <w:iCs/>
      <w:sz w:val="16"/>
    </w:rPr>
  </w:style>
  <w:style w:type="paragraph" w:customStyle="1" w:styleId="OTRTitleFIO">
    <w:name w:val="OTR_Title_FIO"/>
    <w:basedOn w:val="OTRTitleDol"/>
    <w:semiHidden/>
    <w:rPr>
      <w:u w:val="single"/>
    </w:rPr>
  </w:style>
  <w:style w:type="paragraph" w:customStyle="1" w:styleId="OTRTitlePageNum">
    <w:name w:val="OTR_Title_PageNum"/>
    <w:basedOn w:val="aa"/>
    <w:semiHidden/>
    <w:pPr>
      <w:keepNext/>
      <w:spacing w:before="160" w:after="2040"/>
      <w:jc w:val="center"/>
    </w:pPr>
    <w:rPr>
      <w:b/>
      <w:bCs/>
    </w:rPr>
  </w:style>
  <w:style w:type="table" w:styleId="affffb">
    <w:name w:val="Table Grid"/>
    <w:aliases w:val="OTR"/>
    <w:basedOn w:val="ac"/>
    <w:pPr>
      <w:jc w:val="both"/>
    </w:pPr>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RTableList">
    <w:name w:val="OTR_Table_List"/>
    <w:uiPriority w:val="99"/>
    <w:pPr>
      <w:tabs>
        <w:tab w:val="num" w:pos="432"/>
      </w:tabs>
      <w:spacing w:before="60" w:after="60"/>
      <w:ind w:left="432" w:hanging="432"/>
      <w:contextualSpacing/>
      <w:jc w:val="both"/>
    </w:pPr>
    <w:rPr>
      <w:rFonts w:ascii="Times New Roman" w:eastAsia="Times New Roman" w:hAnsi="Times New Roman"/>
      <w:sz w:val="24"/>
    </w:rPr>
  </w:style>
  <w:style w:type="paragraph" w:customStyle="1" w:styleId="OTRContents">
    <w:name w:val="OTR_Contents"/>
    <w:basedOn w:val="aa"/>
    <w:semiHidden/>
    <w:pPr>
      <w:keepNext/>
      <w:pageBreakBefore/>
      <w:spacing w:before="120" w:after="240"/>
      <w:jc w:val="center"/>
    </w:pPr>
    <w:rPr>
      <w:b/>
      <w:sz w:val="28"/>
      <w:szCs w:val="32"/>
    </w:rPr>
  </w:style>
  <w:style w:type="paragraph" w:customStyle="1" w:styleId="CharCharCharChar">
    <w:name w:val="Char Char Char Char"/>
    <w:basedOn w:val="aa"/>
    <w:next w:val="aa"/>
    <w:uiPriority w:val="99"/>
    <w:semiHidden/>
    <w:pPr>
      <w:spacing w:after="160" w:line="240" w:lineRule="exact"/>
      <w:jc w:val="left"/>
    </w:pPr>
    <w:rPr>
      <w:rFonts w:ascii="Arial" w:hAnsi="Arial" w:cs="Arial"/>
      <w:sz w:val="20"/>
      <w:lang w:val="en-US" w:eastAsia="en-US"/>
    </w:rPr>
  </w:style>
  <w:style w:type="character" w:customStyle="1" w:styleId="otrsymitalic0">
    <w:name w:val="otrsymitalic"/>
    <w:uiPriority w:val="99"/>
    <w:rPr>
      <w:i/>
      <w:iCs/>
    </w:rPr>
  </w:style>
  <w:style w:type="paragraph" w:customStyle="1" w:styleId="OTRTitulLU88">
    <w:name w:val="Стиль OTR_Titul_LU + Перед:  8 пт После:  8 пт"/>
    <w:basedOn w:val="OTRTitulLU"/>
    <w:uiPriority w:val="99"/>
    <w:pPr>
      <w:spacing w:before="0" w:after="160"/>
    </w:pPr>
    <w:rPr>
      <w:szCs w:val="20"/>
    </w:rPr>
  </w:style>
  <w:style w:type="paragraph" w:customStyle="1" w:styleId="affffc">
    <w:name w:val="Знак Знак Знак Знак"/>
    <w:basedOn w:val="aa"/>
    <w:next w:val="aa"/>
    <w:semiHidden/>
    <w:pPr>
      <w:spacing w:after="160" w:line="240" w:lineRule="exact"/>
      <w:jc w:val="left"/>
    </w:pPr>
    <w:rPr>
      <w:rFonts w:ascii="Arial" w:hAnsi="Arial" w:cs="Arial"/>
      <w:sz w:val="20"/>
      <w:lang w:val="en-US" w:eastAsia="en-US"/>
    </w:rPr>
  </w:style>
  <w:style w:type="character" w:customStyle="1" w:styleId="OTRTableHead0">
    <w:name w:val="OTR_Table_Head Знак"/>
    <w:link w:val="OTRTableHead"/>
    <w:rPr>
      <w:rFonts w:ascii="Times New Roman" w:eastAsia="Times New Roman" w:hAnsi="Times New Roman"/>
      <w:b/>
      <w:sz w:val="24"/>
    </w:rPr>
  </w:style>
  <w:style w:type="paragraph" w:customStyle="1" w:styleId="affffd">
    <w:name w:val="Знак Знак Знак Знак Знак Знак Знак Знак Знак Знак"/>
    <w:basedOn w:val="aa"/>
    <w:uiPriority w:val="99"/>
    <w:pPr>
      <w:spacing w:after="160" w:line="240" w:lineRule="exact"/>
      <w:jc w:val="left"/>
    </w:pPr>
    <w:rPr>
      <w:rFonts w:ascii="Verdana" w:hAnsi="Verdana"/>
      <w:szCs w:val="24"/>
      <w:lang w:val="en-US" w:eastAsia="en-US"/>
    </w:rPr>
  </w:style>
  <w:style w:type="paragraph" w:customStyle="1" w:styleId="OTRNameTable">
    <w:name w:val="OTR_Name_Table"/>
    <w:basedOn w:val="OTRDefault"/>
    <w:link w:val="OTRNameTable0"/>
    <w:pPr>
      <w:keepNext/>
      <w:tabs>
        <w:tab w:val="num" w:pos="360"/>
      </w:tabs>
      <w:spacing w:before="120"/>
      <w:ind w:left="360" w:hanging="360"/>
    </w:pPr>
    <w:rPr>
      <w:b/>
    </w:rPr>
  </w:style>
  <w:style w:type="numbering" w:styleId="1ai">
    <w:name w:val="Outline List 1"/>
    <w:basedOn w:val="ad"/>
    <w:pPr>
      <w:numPr>
        <w:numId w:val="67"/>
      </w:numPr>
    </w:pPr>
  </w:style>
  <w:style w:type="character" w:customStyle="1" w:styleId="OTRTableNum1">
    <w:name w:val="OTR_Table_Num Знак"/>
    <w:link w:val="OTRTableNum0"/>
    <w:rPr>
      <w:rFonts w:ascii="Times New Roman" w:hAnsi="Times New Roman"/>
      <w:sz w:val="22"/>
      <w:szCs w:val="22"/>
    </w:rPr>
  </w:style>
  <w:style w:type="character" w:customStyle="1" w:styleId="OTRSymBold">
    <w:name w:val="OTR_Sym_Bold"/>
    <w:rPr>
      <w:b/>
    </w:rPr>
  </w:style>
  <w:style w:type="table" w:customStyle="1" w:styleId="OTRTable">
    <w:name w:val="OTR_Table"/>
    <w:basedOn w:val="ac"/>
    <w:pPr>
      <w:spacing w:before="60" w:after="60"/>
      <w:jc w:val="both"/>
    </w:pPr>
    <w:rPr>
      <w:rFonts w:ascii="Times New Roman" w:eastAsia="Times New Roman" w:hAnsi="Times New Roman"/>
      <w:sz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blStylePr w:type="firstRow">
      <w:pPr>
        <w:keepNext/>
        <w:keepLines w:val="0"/>
        <w:pageBreakBefore w:val="0"/>
        <w:widowControl w:val="0"/>
        <w:suppressLineNumbers w:val="0"/>
        <w:spacing w:beforeAutospacing="0" w:afterAutospacing="0" w:line="240" w:lineRule="auto"/>
        <w:ind w:left="0" w:right="0" w:firstLine="0"/>
        <w:contextualSpacing w:val="0"/>
        <w:jc w:val="center"/>
        <w:outlineLvl w:val="9"/>
      </w:pPr>
      <w:rPr>
        <w:rFonts w:ascii="Times New Roman" w:hAnsi="Times New Roman"/>
        <w:b w:val="0"/>
        <w:i w:val="0"/>
        <w:sz w:val="24"/>
      </w:rPr>
      <w:tblPr/>
      <w:tcPr>
        <w:shd w:val="clear" w:color="auto" w:fill="E6E6E6"/>
      </w:tcPr>
    </w:tblStylePr>
  </w:style>
  <w:style w:type="character" w:customStyle="1" w:styleId="OTRListMark0">
    <w:name w:val="OTR_List_Mark Знак"/>
    <w:link w:val="OTRListMark"/>
    <w:rPr>
      <w:rFonts w:ascii="Times New Roman" w:eastAsia="Times New Roman" w:hAnsi="Times New Roman"/>
      <w:sz w:val="24"/>
    </w:rPr>
  </w:style>
  <w:style w:type="paragraph" w:customStyle="1" w:styleId="TableText0">
    <w:name w:val="Table Text"/>
    <w:basedOn w:val="aa"/>
    <w:uiPriority w:val="99"/>
    <w:pPr>
      <w:spacing w:before="20" w:after="20"/>
      <w:jc w:val="left"/>
    </w:pPr>
    <w:rPr>
      <w:sz w:val="18"/>
      <w:lang w:val="en-US"/>
    </w:rPr>
  </w:style>
  <w:style w:type="paragraph" w:customStyle="1" w:styleId="affffe">
    <w:name w:val="Знак Знак Знак Знак Знак Знак Знак"/>
    <w:basedOn w:val="aa"/>
    <w:uiPriority w:val="99"/>
    <w:pPr>
      <w:spacing w:after="160" w:line="240" w:lineRule="exact"/>
      <w:jc w:val="left"/>
    </w:pPr>
    <w:rPr>
      <w:rFonts w:ascii="Verdana" w:hAnsi="Verdana"/>
      <w:sz w:val="20"/>
      <w:lang w:val="en-US" w:eastAsia="en-US"/>
    </w:rPr>
  </w:style>
  <w:style w:type="character" w:customStyle="1" w:styleId="apple-style-span">
    <w:name w:val="apple-style-span"/>
    <w:basedOn w:val="ab"/>
    <w:uiPriority w:val="99"/>
  </w:style>
  <w:style w:type="paragraph" w:customStyle="1" w:styleId="xmsolistparagraph">
    <w:name w:val="x_msolistparagraph"/>
    <w:basedOn w:val="aa"/>
    <w:uiPriority w:val="99"/>
    <w:pPr>
      <w:spacing w:before="100" w:beforeAutospacing="1" w:after="100" w:afterAutospacing="1"/>
      <w:jc w:val="left"/>
    </w:pPr>
    <w:rPr>
      <w:szCs w:val="24"/>
    </w:rPr>
  </w:style>
  <w:style w:type="paragraph" w:customStyle="1" w:styleId="otrtablehead1">
    <w:name w:val="otr_table_head"/>
    <w:basedOn w:val="aa"/>
    <w:uiPriority w:val="99"/>
    <w:pPr>
      <w:keepNext/>
      <w:widowControl w:val="0"/>
      <w:spacing w:before="120" w:after="120"/>
      <w:contextualSpacing/>
      <w:jc w:val="center"/>
    </w:pPr>
    <w:rPr>
      <w:rFonts w:ascii="Arial" w:hAnsi="Arial"/>
      <w:b/>
      <w:sz w:val="22"/>
      <w:szCs w:val="22"/>
      <w:lang w:eastAsia="en-US"/>
    </w:rPr>
  </w:style>
  <w:style w:type="paragraph" w:customStyle="1" w:styleId="afffff">
    <w:name w:val="Маркир список"/>
    <w:basedOn w:val="aa"/>
    <w:semiHidden/>
    <w:pPr>
      <w:tabs>
        <w:tab w:val="num" w:pos="1080"/>
        <w:tab w:val="left" w:pos="1191"/>
      </w:tabs>
      <w:spacing w:line="360" w:lineRule="auto"/>
      <w:ind w:left="1080" w:hanging="360"/>
    </w:pPr>
  </w:style>
  <w:style w:type="paragraph" w:customStyle="1" w:styleId="afffff0">
    <w:name w:val="Примечание"/>
    <w:basedOn w:val="aa"/>
    <w:pPr>
      <w:spacing w:before="120" w:line="360" w:lineRule="auto"/>
    </w:pPr>
    <w:rPr>
      <w:szCs w:val="24"/>
    </w:rPr>
  </w:style>
  <w:style w:type="numbering" w:customStyle="1" w:styleId="a8">
    <w:name w:val="Нумерованные"/>
    <w:basedOn w:val="ad"/>
    <w:pPr>
      <w:numPr>
        <w:numId w:val="128"/>
      </w:numPr>
    </w:pPr>
  </w:style>
  <w:style w:type="paragraph" w:customStyle="1" w:styleId="afffff1">
    <w:name w:val="Номер года"/>
    <w:basedOn w:val="aa"/>
    <w:semiHidden/>
    <w:pPr>
      <w:spacing w:before="120" w:line="360" w:lineRule="auto"/>
      <w:jc w:val="center"/>
    </w:pPr>
  </w:style>
  <w:style w:type="paragraph" w:customStyle="1" w:styleId="afffff2">
    <w:name w:val="Титульный лист"/>
    <w:basedOn w:val="aa"/>
    <w:semiHidden/>
    <w:pPr>
      <w:widowControl w:val="0"/>
      <w:shd w:val="clear" w:color="auto" w:fill="FFFFFF"/>
      <w:spacing w:before="1718" w:line="360" w:lineRule="auto"/>
      <w:ind w:left="998"/>
      <w:jc w:val="center"/>
    </w:pPr>
  </w:style>
  <w:style w:type="paragraph" w:styleId="1f">
    <w:name w:val="index 1"/>
    <w:basedOn w:val="aa"/>
    <w:next w:val="aa"/>
    <w:pPr>
      <w:widowControl w:val="0"/>
      <w:tabs>
        <w:tab w:val="num" w:pos="720"/>
        <w:tab w:val="left" w:pos="1985"/>
        <w:tab w:val="left" w:pos="2127"/>
      </w:tabs>
      <w:spacing w:line="360" w:lineRule="auto"/>
      <w:ind w:left="720" w:hanging="360"/>
    </w:pPr>
  </w:style>
  <w:style w:type="paragraph" w:styleId="afffff3">
    <w:name w:val="index heading"/>
    <w:basedOn w:val="aa"/>
    <w:next w:val="1f"/>
    <w:pPr>
      <w:widowControl w:val="0"/>
      <w:tabs>
        <w:tab w:val="left" w:pos="1985"/>
        <w:tab w:val="left" w:pos="2127"/>
      </w:tabs>
      <w:spacing w:line="360" w:lineRule="auto"/>
      <w:ind w:firstLine="425"/>
    </w:pPr>
    <w:rPr>
      <w:sz w:val="20"/>
    </w:rPr>
  </w:style>
  <w:style w:type="paragraph" w:styleId="2fb">
    <w:name w:val="index 2"/>
    <w:basedOn w:val="aa"/>
    <w:next w:val="aa"/>
    <w:pPr>
      <w:widowControl w:val="0"/>
      <w:tabs>
        <w:tab w:val="left" w:pos="1985"/>
        <w:tab w:val="left" w:pos="2127"/>
      </w:tabs>
      <w:spacing w:before="60" w:after="60"/>
      <w:jc w:val="center"/>
    </w:pPr>
    <w:rPr>
      <w:sz w:val="22"/>
    </w:rPr>
  </w:style>
  <w:style w:type="paragraph" w:styleId="3f1">
    <w:name w:val="index 3"/>
    <w:basedOn w:val="aa"/>
    <w:next w:val="aa"/>
    <w:pPr>
      <w:widowControl w:val="0"/>
      <w:tabs>
        <w:tab w:val="left" w:pos="1985"/>
        <w:tab w:val="left" w:pos="2127"/>
      </w:tabs>
      <w:spacing w:line="360" w:lineRule="auto"/>
      <w:ind w:left="600" w:hanging="200"/>
    </w:pPr>
    <w:rPr>
      <w:sz w:val="20"/>
    </w:rPr>
  </w:style>
  <w:style w:type="paragraph" w:styleId="49">
    <w:name w:val="index 4"/>
    <w:basedOn w:val="aa"/>
    <w:next w:val="aa"/>
    <w:pPr>
      <w:widowControl w:val="0"/>
      <w:tabs>
        <w:tab w:val="left" w:pos="1985"/>
        <w:tab w:val="left" w:pos="2127"/>
      </w:tabs>
      <w:spacing w:line="360" w:lineRule="auto"/>
      <w:ind w:left="800" w:hanging="200"/>
    </w:pPr>
    <w:rPr>
      <w:sz w:val="20"/>
    </w:rPr>
  </w:style>
  <w:style w:type="paragraph" w:styleId="58">
    <w:name w:val="index 5"/>
    <w:basedOn w:val="aa"/>
    <w:next w:val="aa"/>
    <w:pPr>
      <w:widowControl w:val="0"/>
      <w:tabs>
        <w:tab w:val="left" w:pos="1985"/>
        <w:tab w:val="left" w:pos="2127"/>
      </w:tabs>
      <w:spacing w:line="360" w:lineRule="auto"/>
      <w:ind w:left="1000" w:hanging="200"/>
    </w:pPr>
    <w:rPr>
      <w:sz w:val="20"/>
    </w:rPr>
  </w:style>
  <w:style w:type="paragraph" w:styleId="63">
    <w:name w:val="index 6"/>
    <w:basedOn w:val="aa"/>
    <w:next w:val="aa"/>
    <w:pPr>
      <w:widowControl w:val="0"/>
      <w:tabs>
        <w:tab w:val="left" w:pos="1985"/>
        <w:tab w:val="left" w:pos="2127"/>
      </w:tabs>
      <w:spacing w:line="360" w:lineRule="auto"/>
      <w:ind w:left="1200" w:hanging="200"/>
    </w:pPr>
    <w:rPr>
      <w:sz w:val="20"/>
    </w:rPr>
  </w:style>
  <w:style w:type="paragraph" w:styleId="73">
    <w:name w:val="index 7"/>
    <w:basedOn w:val="aa"/>
    <w:next w:val="aa"/>
    <w:pPr>
      <w:widowControl w:val="0"/>
      <w:tabs>
        <w:tab w:val="left" w:pos="1985"/>
        <w:tab w:val="left" w:pos="2127"/>
      </w:tabs>
      <w:spacing w:line="360" w:lineRule="auto"/>
      <w:ind w:left="1400" w:hanging="200"/>
    </w:pPr>
    <w:rPr>
      <w:sz w:val="20"/>
    </w:rPr>
  </w:style>
  <w:style w:type="paragraph" w:styleId="83">
    <w:name w:val="index 8"/>
    <w:basedOn w:val="aa"/>
    <w:next w:val="aa"/>
    <w:pPr>
      <w:widowControl w:val="0"/>
      <w:tabs>
        <w:tab w:val="left" w:pos="1985"/>
        <w:tab w:val="left" w:pos="2127"/>
      </w:tabs>
      <w:spacing w:line="360" w:lineRule="auto"/>
      <w:ind w:left="1600" w:hanging="200"/>
    </w:pPr>
    <w:rPr>
      <w:sz w:val="20"/>
    </w:rPr>
  </w:style>
  <w:style w:type="paragraph" w:styleId="92">
    <w:name w:val="index 9"/>
    <w:basedOn w:val="aa"/>
    <w:next w:val="aa"/>
    <w:pPr>
      <w:widowControl w:val="0"/>
      <w:tabs>
        <w:tab w:val="left" w:pos="1985"/>
        <w:tab w:val="left" w:pos="2127"/>
      </w:tabs>
      <w:spacing w:line="360" w:lineRule="auto"/>
      <w:ind w:left="1800" w:hanging="200"/>
    </w:pPr>
    <w:rPr>
      <w:sz w:val="20"/>
    </w:rPr>
  </w:style>
  <w:style w:type="paragraph" w:customStyle="1" w:styleId="afffff4">
    <w:name w:val="Абзац Обычный"/>
    <w:basedOn w:val="aa"/>
    <w:semiHidden/>
    <w:pPr>
      <w:spacing w:line="360" w:lineRule="auto"/>
      <w:ind w:firstLine="567"/>
    </w:pPr>
  </w:style>
  <w:style w:type="paragraph" w:customStyle="1" w:styleId="Web">
    <w:name w:val="Обычный (Web)"/>
    <w:basedOn w:val="aa"/>
    <w:semiHidden/>
    <w:pPr>
      <w:spacing w:before="100" w:after="100"/>
    </w:pPr>
    <w:rPr>
      <w:rFonts w:ascii="Arial Unicode MS" w:eastAsia="Arial Unicode MS" w:hAnsi="Arial Unicode MS"/>
    </w:rPr>
  </w:style>
  <w:style w:type="paragraph" w:styleId="affa">
    <w:name w:val="footnote text"/>
    <w:aliases w:val="Footnote Text Char Знак Знак,Footnote Text Char Знак,Footnote Text Char Знак Знак Знак Знак,single space,ft,Fußnotenstandard,Fußnotentext1,footnote text,Знак2,Footnote Text Char Знак Знак Знак Знак Char Char"/>
    <w:basedOn w:val="aa"/>
    <w:link w:val="afffff5"/>
    <w:uiPriority w:val="99"/>
    <w:pPr>
      <w:spacing w:line="360" w:lineRule="auto"/>
      <w:ind w:firstLine="720"/>
    </w:pPr>
    <w:rPr>
      <w:sz w:val="20"/>
    </w:rPr>
  </w:style>
  <w:style w:type="character" w:customStyle="1" w:styleId="afffff5">
    <w:name w:val="Текст сноски Знак"/>
    <w:aliases w:val="Footnote Text Char Знак Знак Знак,Footnote Text Char Знак Знак1,Footnote Text Char Знак Знак Знак Знак Знак,single space Знак,ft Знак,Fußnotenstandard Знак,Fußnotentext1 Знак,footnote text Знак,Знак2 Знак"/>
    <w:link w:val="affa"/>
    <w:uiPriority w:val="99"/>
    <w:rPr>
      <w:rFonts w:ascii="Times New Roman" w:eastAsia="Times New Roman" w:hAnsi="Times New Roman"/>
    </w:rPr>
  </w:style>
  <w:style w:type="character" w:styleId="afffff6">
    <w:name w:val="footnote reference"/>
    <w:aliases w:val="Ссылка на сноску 45"/>
    <w:rPr>
      <w:vertAlign w:val="superscript"/>
    </w:rPr>
  </w:style>
  <w:style w:type="paragraph" w:customStyle="1" w:styleId="74">
    <w:name w:val="Абзац Обычный7"/>
    <w:basedOn w:val="aa"/>
    <w:semiHidden/>
    <w:pPr>
      <w:widowControl w:val="0"/>
      <w:spacing w:line="360" w:lineRule="auto"/>
      <w:ind w:firstLine="709"/>
    </w:pPr>
  </w:style>
  <w:style w:type="paragraph" w:customStyle="1" w:styleId="84">
    <w:name w:val="Абзац Обычный8"/>
    <w:basedOn w:val="aa"/>
    <w:semiHidden/>
    <w:pPr>
      <w:widowControl w:val="0"/>
      <w:tabs>
        <w:tab w:val="left" w:pos="1985"/>
        <w:tab w:val="left" w:pos="2127"/>
      </w:tabs>
      <w:spacing w:line="360" w:lineRule="auto"/>
      <w:ind w:firstLine="709"/>
    </w:pPr>
    <w:rPr>
      <w:bCs/>
    </w:rPr>
  </w:style>
  <w:style w:type="paragraph" w:customStyle="1" w:styleId="afffff7">
    <w:name w:val="Вариант мышь"/>
    <w:basedOn w:val="aa"/>
    <w:next w:val="aa"/>
    <w:semiHidden/>
    <w:pPr>
      <w:keepNext/>
      <w:tabs>
        <w:tab w:val="num" w:pos="720"/>
        <w:tab w:val="left" w:pos="1134"/>
        <w:tab w:val="left" w:pos="1418"/>
      </w:tabs>
      <w:spacing w:before="60" w:after="60"/>
      <w:ind w:left="720" w:hanging="360"/>
    </w:pPr>
  </w:style>
  <w:style w:type="paragraph" w:customStyle="1" w:styleId="afffff8">
    <w:name w:val="Вариант клавиатура"/>
    <w:basedOn w:val="aa"/>
    <w:semiHidden/>
    <w:pPr>
      <w:tabs>
        <w:tab w:val="num" w:pos="972"/>
        <w:tab w:val="left" w:pos="1134"/>
        <w:tab w:val="left" w:pos="1418"/>
      </w:tabs>
      <w:ind w:left="1134"/>
    </w:pPr>
  </w:style>
  <w:style w:type="paragraph" w:customStyle="1" w:styleId="1f0">
    <w:name w:val="Абзац Обычный1"/>
    <w:basedOn w:val="aa"/>
    <w:semiHidden/>
    <w:pPr>
      <w:widowControl w:val="0"/>
      <w:spacing w:line="360" w:lineRule="auto"/>
      <w:ind w:firstLine="709"/>
    </w:pPr>
  </w:style>
  <w:style w:type="paragraph" w:customStyle="1" w:styleId="59">
    <w:name w:val="Абзац Обычный5"/>
    <w:basedOn w:val="aa"/>
    <w:semiHidden/>
    <w:pPr>
      <w:widowControl w:val="0"/>
      <w:spacing w:line="360" w:lineRule="auto"/>
      <w:ind w:firstLine="709"/>
    </w:pPr>
  </w:style>
  <w:style w:type="paragraph" w:customStyle="1" w:styleId="2fc">
    <w:name w:val="Абзац Обычный2"/>
    <w:basedOn w:val="aa"/>
    <w:semiHidden/>
    <w:pPr>
      <w:widowControl w:val="0"/>
      <w:spacing w:line="360" w:lineRule="auto"/>
      <w:ind w:firstLine="709"/>
    </w:pPr>
  </w:style>
  <w:style w:type="paragraph" w:customStyle="1" w:styleId="3f2">
    <w:name w:val="Абзац Обычный3"/>
    <w:basedOn w:val="aa"/>
    <w:semiHidden/>
    <w:pPr>
      <w:widowControl w:val="0"/>
      <w:spacing w:line="360" w:lineRule="auto"/>
      <w:ind w:firstLine="709"/>
    </w:pPr>
  </w:style>
  <w:style w:type="paragraph" w:customStyle="1" w:styleId="4a">
    <w:name w:val="Абзац Обычный4"/>
    <w:basedOn w:val="aa"/>
    <w:semiHidden/>
    <w:pPr>
      <w:widowControl w:val="0"/>
      <w:spacing w:line="360" w:lineRule="auto"/>
      <w:ind w:firstLine="709"/>
    </w:pPr>
  </w:style>
  <w:style w:type="paragraph" w:customStyle="1" w:styleId="64">
    <w:name w:val="Абзац Обычный6"/>
    <w:basedOn w:val="aa"/>
    <w:semiHidden/>
    <w:pPr>
      <w:widowControl w:val="0"/>
      <w:spacing w:line="360" w:lineRule="auto"/>
      <w:ind w:firstLine="709"/>
    </w:pPr>
  </w:style>
  <w:style w:type="paragraph" w:customStyle="1" w:styleId="93">
    <w:name w:val="Абзац Обычный9"/>
    <w:basedOn w:val="aa"/>
    <w:semiHidden/>
    <w:pPr>
      <w:widowControl w:val="0"/>
      <w:spacing w:line="360" w:lineRule="auto"/>
      <w:ind w:firstLine="709"/>
    </w:pPr>
  </w:style>
  <w:style w:type="paragraph" w:customStyle="1" w:styleId="afffff9">
    <w:name w:val="Таблица"/>
    <w:basedOn w:val="aa"/>
    <w:semiHidden/>
    <w:pPr>
      <w:widowControl w:val="0"/>
      <w:suppressLineNumbers/>
      <w:spacing w:before="80" w:after="40"/>
    </w:pPr>
    <w:rPr>
      <w:sz w:val="22"/>
      <w:lang w:eastAsia="en-US"/>
    </w:rPr>
  </w:style>
  <w:style w:type="paragraph" w:customStyle="1" w:styleId="afffffa">
    <w:name w:val="Столбец"/>
    <w:basedOn w:val="aa"/>
    <w:semiHidden/>
    <w:pPr>
      <w:widowControl w:val="0"/>
      <w:suppressLineNumbers/>
      <w:spacing w:after="40"/>
      <w:jc w:val="center"/>
    </w:pPr>
    <w:rPr>
      <w:b/>
      <w:sz w:val="22"/>
      <w:lang w:eastAsia="en-US"/>
    </w:rPr>
  </w:style>
  <w:style w:type="paragraph" w:customStyle="1" w:styleId="ConsPlusTitle">
    <w:name w:val="ConsPlusTitle"/>
    <w:uiPriority w:val="99"/>
    <w:pPr>
      <w:widowControl w:val="0"/>
    </w:pPr>
    <w:rPr>
      <w:rFonts w:eastAsia="Times New Roman" w:cs="Calibri"/>
      <w:b/>
      <w:bCs/>
      <w:sz w:val="22"/>
      <w:szCs w:val="22"/>
    </w:rPr>
  </w:style>
  <w:style w:type="paragraph" w:customStyle="1" w:styleId="ConsPlusNormal">
    <w:name w:val="ConsPlusNormal"/>
    <w:uiPriority w:val="99"/>
    <w:pPr>
      <w:widowControl w:val="0"/>
      <w:ind w:firstLine="720"/>
    </w:pPr>
    <w:rPr>
      <w:rFonts w:ascii="Arial" w:eastAsia="Times New Roman" w:hAnsi="Arial" w:cs="Arial"/>
    </w:rPr>
  </w:style>
  <w:style w:type="character" w:customStyle="1" w:styleId="OTRTableListNum0">
    <w:name w:val="OTR_Table_List_Num Знак"/>
    <w:link w:val="OTRTableListNum"/>
    <w:rPr>
      <w:rFonts w:ascii="Times New Roman" w:eastAsia="Times New Roman" w:hAnsi="Times New Roman"/>
      <w:sz w:val="24"/>
    </w:rPr>
  </w:style>
  <w:style w:type="character" w:customStyle="1" w:styleId="OTRNameTable0">
    <w:name w:val="OTR_Name_Table Знак"/>
    <w:link w:val="OTRNameTable"/>
    <w:rPr>
      <w:rFonts w:ascii="Times New Roman" w:eastAsia="Times New Roman" w:hAnsi="Times New Roman"/>
      <w:b/>
      <w:sz w:val="24"/>
    </w:rPr>
  </w:style>
  <w:style w:type="paragraph" w:customStyle="1" w:styleId="ConsPlusCell">
    <w:name w:val="ConsPlusCell"/>
    <w:uiPriority w:val="99"/>
    <w:rPr>
      <w:rFonts w:ascii="Arial" w:eastAsia="Arial" w:hAnsi="Arial" w:cs="Arial"/>
      <w:lang w:eastAsia="ar-SA"/>
    </w:rPr>
  </w:style>
  <w:style w:type="character" w:customStyle="1" w:styleId="apple-converted-space">
    <w:name w:val="apple-converted-space"/>
    <w:basedOn w:val="ab"/>
  </w:style>
  <w:style w:type="paragraph" w:customStyle="1" w:styleId="ConsPlusNonformat">
    <w:name w:val="ConsPlusNonformat"/>
    <w:uiPriority w:val="99"/>
    <w:pPr>
      <w:widowControl w:val="0"/>
    </w:pPr>
    <w:rPr>
      <w:rFonts w:ascii="Courier New" w:eastAsia="Times New Roman" w:hAnsi="Courier New" w:cs="Courier New"/>
    </w:rPr>
  </w:style>
  <w:style w:type="numbering" w:customStyle="1" w:styleId="1f1">
    <w:name w:val="Стиль1"/>
    <w:uiPriority w:val="99"/>
  </w:style>
  <w:style w:type="numbering" w:customStyle="1" w:styleId="2">
    <w:name w:val="Стиль2"/>
    <w:pPr>
      <w:numPr>
        <w:numId w:val="29"/>
      </w:numPr>
    </w:pPr>
  </w:style>
  <w:style w:type="numbering" w:customStyle="1" w:styleId="30">
    <w:name w:val="Стиль 3"/>
    <w:pPr>
      <w:numPr>
        <w:numId w:val="30"/>
      </w:numPr>
    </w:pPr>
  </w:style>
  <w:style w:type="paragraph" w:styleId="afffffb">
    <w:name w:val="Revision"/>
    <w:hidden/>
    <w:uiPriority w:val="99"/>
    <w:semiHidden/>
    <w:rPr>
      <w:rFonts w:ascii="Times New Roman" w:eastAsia="Times New Roman" w:hAnsi="Times New Roman"/>
      <w:sz w:val="24"/>
    </w:rPr>
  </w:style>
  <w:style w:type="paragraph" w:customStyle="1" w:styleId="EBTablenorm">
    <w:name w:val="_EB_Table_norm"/>
    <w:pPr>
      <w:spacing w:before="60" w:after="60"/>
      <w:ind w:left="113" w:right="113"/>
      <w:contextualSpacing/>
      <w:jc w:val="both"/>
    </w:pPr>
    <w:rPr>
      <w:rFonts w:ascii="Times New Roman" w:eastAsia="Times New Roman" w:hAnsi="Times New Roman"/>
      <w:sz w:val="24"/>
    </w:rPr>
  </w:style>
  <w:style w:type="paragraph" w:customStyle="1" w:styleId="EBTableHead">
    <w:name w:val="_EB_Table_Head"/>
    <w:basedOn w:val="EBTablenorm"/>
    <w:uiPriority w:val="99"/>
    <w:pPr>
      <w:keepNext/>
      <w:jc w:val="center"/>
    </w:pPr>
    <w:rPr>
      <w:b/>
      <w:bCs/>
    </w:rPr>
  </w:style>
  <w:style w:type="paragraph" w:customStyle="1" w:styleId="EBTableNum">
    <w:name w:val="_EB_Table_Num"/>
    <w:basedOn w:val="aa"/>
    <w:uiPriority w:val="99"/>
    <w:pPr>
      <w:tabs>
        <w:tab w:val="num" w:pos="0"/>
        <w:tab w:val="left" w:pos="284"/>
      </w:tabs>
      <w:spacing w:before="60" w:after="60"/>
      <w:ind w:left="284" w:right="57" w:hanging="284"/>
      <w:jc w:val="left"/>
    </w:pPr>
  </w:style>
  <w:style w:type="paragraph" w:customStyle="1" w:styleId="1f2">
    <w:name w:val="Надпись1"/>
    <w:uiPriority w:val="99"/>
    <w:semiHidden/>
    <w:rPr>
      <w:rFonts w:ascii="Times New Roman" w:eastAsia="Times New Roman" w:hAnsi="Times New Roman"/>
      <w:sz w:val="16"/>
    </w:rPr>
  </w:style>
  <w:style w:type="numbering" w:customStyle="1" w:styleId="14">
    <w:name w:val="Статья / Раздел1"/>
    <w:basedOn w:val="ad"/>
    <w:next w:val="a1"/>
    <w:pPr>
      <w:numPr>
        <w:numId w:val="13"/>
      </w:numPr>
    </w:pPr>
  </w:style>
  <w:style w:type="numbering" w:customStyle="1" w:styleId="1ai1">
    <w:name w:val="1 / a / i1"/>
    <w:basedOn w:val="ad"/>
    <w:next w:val="1ai"/>
    <w:pPr>
      <w:numPr>
        <w:numId w:val="25"/>
      </w:numPr>
    </w:pPr>
  </w:style>
  <w:style w:type="table" w:customStyle="1" w:styleId="OTRTable1">
    <w:name w:val="OTR_Table1"/>
    <w:basedOn w:val="ac"/>
    <w:uiPriority w:val="99"/>
    <w:pPr>
      <w:spacing w:before="60" w:after="60"/>
      <w:jc w:val="both"/>
    </w:pPr>
    <w:rPr>
      <w:rFonts w:ascii="Times New Roman" w:eastAsia="Times New Roman" w:hAnsi="Times New Roman"/>
      <w:sz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blStylePr w:type="firstRow">
      <w:pPr>
        <w:keepNext/>
        <w:keepLines w:val="0"/>
        <w:pageBreakBefore w:val="0"/>
        <w:widowControl w:val="0"/>
        <w:suppressLineNumbers w:val="0"/>
        <w:spacing w:beforeAutospacing="0" w:afterAutospacing="0" w:line="240" w:lineRule="auto"/>
        <w:ind w:left="0" w:right="0" w:firstLine="0"/>
        <w:contextualSpacing w:val="0"/>
        <w:jc w:val="center"/>
        <w:outlineLvl w:val="9"/>
      </w:pPr>
      <w:rPr>
        <w:rFonts w:ascii="Times New Roman" w:hAnsi="Times New Roman"/>
        <w:b w:val="0"/>
        <w:i w:val="0"/>
        <w:sz w:val="24"/>
      </w:rPr>
      <w:tblPr/>
      <w:tcPr>
        <w:shd w:val="clear" w:color="auto" w:fill="E6E6E6"/>
      </w:tcPr>
    </w:tblStylePr>
  </w:style>
  <w:style w:type="numbering" w:customStyle="1" w:styleId="13">
    <w:name w:val="Нумерованные1"/>
    <w:basedOn w:val="ad"/>
    <w:pPr>
      <w:numPr>
        <w:numId w:val="14"/>
      </w:numPr>
    </w:pPr>
  </w:style>
  <w:style w:type="numbering" w:customStyle="1" w:styleId="11">
    <w:name w:val="Стиль11"/>
    <w:pPr>
      <w:numPr>
        <w:numId w:val="26"/>
      </w:numPr>
    </w:pPr>
  </w:style>
  <w:style w:type="numbering" w:customStyle="1" w:styleId="210">
    <w:name w:val="Стиль21"/>
    <w:pPr>
      <w:numPr>
        <w:numId w:val="27"/>
      </w:numPr>
    </w:pPr>
  </w:style>
  <w:style w:type="numbering" w:customStyle="1" w:styleId="310">
    <w:name w:val="Стиль 31"/>
    <w:pPr>
      <w:numPr>
        <w:numId w:val="28"/>
      </w:numPr>
    </w:pPr>
  </w:style>
  <w:style w:type="paragraph" w:customStyle="1" w:styleId="otrtablenormal">
    <w:name w:val="otr_table_normal"/>
    <w:uiPriority w:val="99"/>
    <w:pPr>
      <w:spacing w:before="120" w:after="120"/>
      <w:contextualSpacing/>
    </w:pPr>
    <w:rPr>
      <w:rFonts w:ascii="Arial" w:eastAsia="Times New Roman" w:hAnsi="Arial"/>
      <w:szCs w:val="22"/>
    </w:rPr>
  </w:style>
  <w:style w:type="paragraph" w:customStyle="1" w:styleId="EBListmark2">
    <w:name w:val="_EB_List_mark2"/>
    <w:basedOn w:val="aa"/>
    <w:next w:val="aa"/>
    <w:uiPriority w:val="99"/>
    <w:pPr>
      <w:numPr>
        <w:ilvl w:val="1"/>
        <w:numId w:val="31"/>
      </w:numPr>
      <w:spacing w:after="60"/>
      <w:contextualSpacing/>
    </w:pPr>
    <w:rPr>
      <w:sz w:val="28"/>
      <w:lang w:val="en-US"/>
    </w:rPr>
  </w:style>
  <w:style w:type="paragraph" w:customStyle="1" w:styleId="EBListmark3">
    <w:name w:val="_EB_List_mark3"/>
    <w:basedOn w:val="EBListmark2"/>
    <w:uiPriority w:val="99"/>
    <w:pPr>
      <w:numPr>
        <w:ilvl w:val="0"/>
      </w:numPr>
      <w:contextualSpacing w:val="0"/>
    </w:pPr>
  </w:style>
  <w:style w:type="paragraph" w:customStyle="1" w:styleId="OTRTableTitle">
    <w:name w:val="OTR_Table_Title"/>
    <w:basedOn w:val="OTRDefault"/>
    <w:pPr>
      <w:keepNext/>
      <w:tabs>
        <w:tab w:val="num" w:pos="1260"/>
      </w:tabs>
      <w:spacing w:before="120"/>
      <w:ind w:left="284" w:hanging="284"/>
    </w:pPr>
    <w:rPr>
      <w:b/>
    </w:rPr>
  </w:style>
  <w:style w:type="character" w:customStyle="1" w:styleId="OTRListMark2">
    <w:name w:val="OTR_List_Mark Знак Знак"/>
    <w:uiPriority w:val="99"/>
    <w:rPr>
      <w:rFonts w:eastAsia="Times New Roman"/>
      <w:sz w:val="20"/>
    </w:rPr>
  </w:style>
  <w:style w:type="character" w:customStyle="1" w:styleId="my">
    <w:name w:val="my жирный"/>
    <w:semiHidden/>
    <w:rPr>
      <w:b/>
    </w:rPr>
  </w:style>
  <w:style w:type="paragraph" w:customStyle="1" w:styleId="OTRHeading5">
    <w:name w:val="OTR_Heading_5"/>
    <w:next w:val="aa"/>
    <w:semiHidden/>
    <w:pPr>
      <w:keepNext/>
      <w:widowControl w:val="0"/>
      <w:tabs>
        <w:tab w:val="left" w:pos="1066"/>
      </w:tabs>
      <w:spacing w:before="240" w:after="120"/>
      <w:jc w:val="both"/>
      <w:outlineLvl w:val="4"/>
    </w:pPr>
    <w:rPr>
      <w:rFonts w:ascii="Times New Roman" w:eastAsia="Times New Roman" w:hAnsi="Times New Roman"/>
      <w:b/>
      <w:bCs/>
      <w:i/>
      <w:iCs/>
      <w:sz w:val="26"/>
      <w:szCs w:val="26"/>
    </w:rPr>
  </w:style>
  <w:style w:type="character" w:customStyle="1" w:styleId="afffffc">
    <w:name w:val="Комментарий к шаблону"/>
    <w:rPr>
      <w:i/>
      <w:iCs/>
      <w:color w:val="008000"/>
      <w:sz w:val="22"/>
    </w:rPr>
  </w:style>
  <w:style w:type="paragraph" w:customStyle="1" w:styleId="OTRNormal1">
    <w:name w:val="Стиль OTR_Normal + полужирный"/>
    <w:rPr>
      <w:rFonts w:ascii="Times New Roman" w:eastAsia="Times New Roman" w:hAnsi="Times New Roman"/>
      <w:b/>
      <w:bCs/>
      <w:sz w:val="24"/>
    </w:rPr>
  </w:style>
  <w:style w:type="character" w:customStyle="1" w:styleId="OTRBold">
    <w:name w:val="OTR_Bold"/>
    <w:rPr>
      <w:b/>
    </w:rPr>
  </w:style>
  <w:style w:type="paragraph" w:customStyle="1" w:styleId="OTRNormalPacked">
    <w:name w:val="OTR_Normal_Packed"/>
    <w:basedOn w:val="OTRNormal"/>
    <w:rPr>
      <w:rFonts w:eastAsia="Times New Roman"/>
      <w:spacing w:val="-2"/>
      <w:sz w:val="24"/>
    </w:rPr>
  </w:style>
  <w:style w:type="character" w:customStyle="1" w:styleId="OTRPacked">
    <w:name w:val="OTR_Packed"/>
    <w:rPr>
      <w:spacing w:val="-2"/>
    </w:rPr>
  </w:style>
  <w:style w:type="paragraph" w:customStyle="1" w:styleId="OTRMaketCode">
    <w:name w:val="OTR_Maket_Code"/>
    <w:basedOn w:val="OTRDefault"/>
    <w:pPr>
      <w:spacing w:after="60"/>
    </w:pPr>
    <w:rPr>
      <w:rFonts w:cs="Courier New"/>
      <w:sz w:val="22"/>
      <w:szCs w:val="24"/>
      <w:lang w:val="en-US"/>
    </w:rPr>
  </w:style>
  <w:style w:type="paragraph" w:customStyle="1" w:styleId="-11">
    <w:name w:val="Цветная заливка - Акцент 11"/>
    <w:hidden/>
    <w:uiPriority w:val="99"/>
    <w:semiHidden/>
    <w:rPr>
      <w:rFonts w:ascii="Times New Roman" w:eastAsia="Times New Roman" w:hAnsi="Times New Roman"/>
      <w:sz w:val="24"/>
    </w:rPr>
  </w:style>
  <w:style w:type="paragraph" w:customStyle="1" w:styleId="OTRTableListmark0">
    <w:name w:val="OTR_Table_List_mark"/>
    <w:pPr>
      <w:numPr>
        <w:numId w:val="32"/>
      </w:numPr>
      <w:jc w:val="both"/>
    </w:pPr>
    <w:rPr>
      <w:rFonts w:ascii="Times New Roman" w:eastAsia="Times New Roman" w:hAnsi="Times New Roman"/>
      <w:sz w:val="22"/>
    </w:rPr>
  </w:style>
  <w:style w:type="paragraph" w:customStyle="1" w:styleId="212">
    <w:name w:val="Средняя сетка 21"/>
    <w:uiPriority w:val="1"/>
    <w:qFormat/>
    <w:rPr>
      <w:rFonts w:ascii="Cambria Math" w:eastAsia="Cambria Math" w:hAnsi="Cambria Math"/>
      <w:sz w:val="22"/>
      <w:szCs w:val="22"/>
      <w:lang w:eastAsia="en-US"/>
    </w:rPr>
  </w:style>
  <w:style w:type="paragraph" w:customStyle="1" w:styleId="00">
    <w:name w:val="0 Титул"/>
    <w:uiPriority w:val="99"/>
    <w:qFormat/>
    <w:pPr>
      <w:spacing w:line="360" w:lineRule="auto"/>
    </w:pPr>
    <w:rPr>
      <w:rFonts w:ascii="Times New Roman" w:eastAsia="Times New Roman" w:hAnsi="Times New Roman"/>
      <w:sz w:val="24"/>
      <w:szCs w:val="24"/>
    </w:rPr>
  </w:style>
  <w:style w:type="paragraph" w:customStyle="1" w:styleId="0-">
    <w:name w:val="0 Титул - наименование документа"/>
    <w:basedOn w:val="00"/>
    <w:uiPriority w:val="99"/>
    <w:pPr>
      <w:jc w:val="center"/>
    </w:pPr>
    <w:rPr>
      <w:caps/>
      <w:sz w:val="28"/>
      <w:szCs w:val="20"/>
    </w:rPr>
  </w:style>
  <w:style w:type="paragraph" w:customStyle="1" w:styleId="0-0">
    <w:name w:val="0 Титул - Наименование организации и системы"/>
    <w:basedOn w:val="00"/>
    <w:uiPriority w:val="99"/>
    <w:pPr>
      <w:jc w:val="center"/>
    </w:pPr>
    <w:rPr>
      <w:b/>
      <w:bCs/>
      <w:caps/>
      <w:szCs w:val="20"/>
    </w:rPr>
  </w:style>
  <w:style w:type="paragraph" w:customStyle="1" w:styleId="0-1">
    <w:name w:val="0 Титул - утвержаю"/>
    <w:aliases w:val="согласовано"/>
    <w:basedOn w:val="00"/>
    <w:uiPriority w:val="99"/>
    <w:rPr>
      <w:b/>
      <w:bCs/>
    </w:rPr>
  </w:style>
  <w:style w:type="paragraph" w:customStyle="1" w:styleId="0-2">
    <w:name w:val="0 Титул - шифр"/>
    <w:aliases w:val="код,год и листаж"/>
    <w:basedOn w:val="00"/>
    <w:uiPriority w:val="99"/>
    <w:pPr>
      <w:jc w:val="center"/>
    </w:pPr>
    <w:rPr>
      <w:szCs w:val="20"/>
    </w:rPr>
  </w:style>
  <w:style w:type="paragraph" w:customStyle="1" w:styleId="015">
    <w:name w:val="0 Таблица Текст_1"/>
    <w:basedOn w:val="aa"/>
    <w:uiPriority w:val="99"/>
    <w:qFormat/>
    <w:rPr>
      <w:color w:val="000000"/>
      <w:sz w:val="20"/>
      <w:szCs w:val="24"/>
    </w:rPr>
  </w:style>
  <w:style w:type="paragraph" w:customStyle="1" w:styleId="-110">
    <w:name w:val="Цветной список - Акцент 11"/>
    <w:aliases w:val="Абзац списка для документа"/>
    <w:basedOn w:val="aa"/>
    <w:link w:val="-12"/>
    <w:uiPriority w:val="34"/>
    <w:qFormat/>
    <w:pPr>
      <w:spacing w:before="100" w:beforeAutospacing="1" w:after="100" w:afterAutospacing="1" w:line="288" w:lineRule="auto"/>
      <w:ind w:left="513" w:hanging="360"/>
      <w:contextualSpacing/>
    </w:pPr>
    <w:rPr>
      <w:sz w:val="28"/>
      <w:szCs w:val="24"/>
      <w:lang w:val="en-US" w:eastAsia="en-US"/>
    </w:rPr>
  </w:style>
  <w:style w:type="character" w:customStyle="1" w:styleId="-12">
    <w:name w:val="Цветной список - Акцент 1 Знак"/>
    <w:aliases w:val="Абзац списка для документа Знак,Средняя сетка 1 - Акцент 2 Знак"/>
    <w:link w:val="-110"/>
    <w:uiPriority w:val="34"/>
    <w:rPr>
      <w:rFonts w:ascii="Times New Roman" w:eastAsia="Times New Roman" w:hAnsi="Times New Roman"/>
      <w:sz w:val="28"/>
      <w:szCs w:val="24"/>
      <w:lang w:val="en-US" w:eastAsia="en-US"/>
    </w:rPr>
  </w:style>
  <w:style w:type="paragraph" w:customStyle="1" w:styleId="1f3">
    <w:name w:val="Заголовок 1 без номера"/>
    <w:basedOn w:val="10"/>
    <w:link w:val="1f4"/>
    <w:qFormat/>
    <w:pPr>
      <w:keepLines/>
      <w:pageBreakBefore w:val="0"/>
      <w:numPr>
        <w:numId w:val="0"/>
      </w:numPr>
      <w:spacing w:after="240"/>
      <w:outlineLvl w:val="9"/>
    </w:pPr>
    <w:rPr>
      <w:bCs/>
      <w:caps w:val="0"/>
      <w:sz w:val="28"/>
      <w:szCs w:val="28"/>
      <w:lang w:val="en-US" w:eastAsia="en-US"/>
    </w:rPr>
  </w:style>
  <w:style w:type="character" w:customStyle="1" w:styleId="1f4">
    <w:name w:val="Заголовок 1 без номера Знак"/>
    <w:link w:val="1f3"/>
    <w:rPr>
      <w:rFonts w:ascii="Times New Roman" w:eastAsia="Times New Roman" w:hAnsi="Times New Roman"/>
      <w:b/>
      <w:bCs/>
      <w:caps/>
      <w:sz w:val="28"/>
      <w:szCs w:val="28"/>
      <w:lang w:val="en-US" w:eastAsia="en-US"/>
    </w:rPr>
  </w:style>
  <w:style w:type="character" w:customStyle="1" w:styleId="07">
    <w:name w:val="0 акцент_курсив"/>
    <w:uiPriority w:val="1"/>
    <w:rPr>
      <w:rFonts w:ascii="Times New Roman" w:hAnsi="Times New Roman"/>
      <w:i/>
      <w:sz w:val="24"/>
    </w:rPr>
  </w:style>
  <w:style w:type="character" w:customStyle="1" w:styleId="08">
    <w:name w:val="0 акцент_подчеркивание"/>
    <w:uiPriority w:val="1"/>
    <w:rPr>
      <w:rFonts w:ascii="Times New Roman" w:hAnsi="Times New Roman"/>
      <w:sz w:val="24"/>
      <w:u w:val="single"/>
    </w:rPr>
  </w:style>
  <w:style w:type="character" w:customStyle="1" w:styleId="09">
    <w:name w:val="0 акцент_полужирный"/>
    <w:uiPriority w:val="1"/>
    <w:rPr>
      <w:rFonts w:ascii="Times New Roman" w:hAnsi="Times New Roman"/>
      <w:b/>
      <w:sz w:val="24"/>
    </w:rPr>
  </w:style>
  <w:style w:type="character" w:customStyle="1" w:styleId="0a">
    <w:name w:val="0 белый фон"/>
    <w:uiPriority w:val="1"/>
    <w:qFormat/>
    <w:rPr>
      <w:rFonts w:ascii="Times New Roman" w:hAnsi="Times New Roman"/>
      <w:color w:val="FFFFFF"/>
      <w:sz w:val="24"/>
    </w:rPr>
  </w:style>
  <w:style w:type="paragraph" w:customStyle="1" w:styleId="0b">
    <w:name w:val="0 Заголовок (как Аннотация)"/>
    <w:next w:val="aa"/>
    <w:uiPriority w:val="99"/>
    <w:qFormat/>
    <w:pPr>
      <w:pageBreakBefore/>
      <w:spacing w:line="360" w:lineRule="auto"/>
      <w:jc w:val="center"/>
    </w:pPr>
    <w:rPr>
      <w:rFonts w:ascii="Times New Roman" w:eastAsia="Times New Roman" w:hAnsi="Times New Roman"/>
      <w:b/>
      <w:color w:val="000000"/>
      <w:sz w:val="32"/>
      <w:szCs w:val="24"/>
    </w:rPr>
  </w:style>
  <w:style w:type="paragraph" w:customStyle="1" w:styleId="0c">
    <w:name w:val="0 Заголовок (как Перечень)"/>
    <w:next w:val="aa"/>
    <w:uiPriority w:val="99"/>
    <w:qFormat/>
    <w:pPr>
      <w:pageBreakBefore/>
      <w:spacing w:line="360" w:lineRule="auto"/>
      <w:jc w:val="center"/>
      <w:outlineLvl w:val="0"/>
    </w:pPr>
    <w:rPr>
      <w:rFonts w:ascii="Times New Roman" w:eastAsia="Times New Roman" w:hAnsi="Times New Roman"/>
      <w:b/>
      <w:color w:val="000000"/>
      <w:sz w:val="32"/>
      <w:szCs w:val="24"/>
    </w:rPr>
  </w:style>
  <w:style w:type="paragraph" w:customStyle="1" w:styleId="014">
    <w:name w:val="0 Заголовок 1 ур"/>
    <w:next w:val="aa"/>
    <w:qFormat/>
    <w:pPr>
      <w:keepNext/>
      <w:keepLines/>
      <w:pageBreakBefore/>
      <w:numPr>
        <w:numId w:val="55"/>
      </w:numPr>
      <w:spacing w:line="360" w:lineRule="auto"/>
      <w:jc w:val="both"/>
      <w:outlineLvl w:val="0"/>
    </w:pPr>
    <w:rPr>
      <w:rFonts w:ascii="Times New Roman" w:eastAsia="Times New Roman" w:hAnsi="Times New Roman"/>
      <w:b/>
      <w:color w:val="000000"/>
      <w:sz w:val="32"/>
      <w:szCs w:val="24"/>
    </w:rPr>
  </w:style>
  <w:style w:type="paragraph" w:customStyle="1" w:styleId="022">
    <w:name w:val="0 Заголовок 2 ур"/>
    <w:next w:val="aa"/>
    <w:qFormat/>
    <w:pPr>
      <w:keepNext/>
      <w:keepLines/>
      <w:numPr>
        <w:ilvl w:val="1"/>
        <w:numId w:val="55"/>
      </w:numPr>
      <w:spacing w:before="120" w:line="360" w:lineRule="auto"/>
      <w:jc w:val="both"/>
      <w:outlineLvl w:val="1"/>
    </w:pPr>
    <w:rPr>
      <w:rFonts w:ascii="Times New Roman" w:eastAsia="Times New Roman" w:hAnsi="Times New Roman"/>
      <w:b/>
      <w:color w:val="000000"/>
      <w:sz w:val="28"/>
      <w:szCs w:val="24"/>
    </w:rPr>
  </w:style>
  <w:style w:type="paragraph" w:customStyle="1" w:styleId="032">
    <w:name w:val="0 Заголовок 3 ур"/>
    <w:next w:val="aa"/>
    <w:qFormat/>
    <w:pPr>
      <w:keepLines/>
      <w:numPr>
        <w:ilvl w:val="2"/>
        <w:numId w:val="55"/>
      </w:numPr>
      <w:spacing w:before="120" w:line="360" w:lineRule="auto"/>
      <w:jc w:val="both"/>
      <w:outlineLvl w:val="2"/>
    </w:pPr>
    <w:rPr>
      <w:rFonts w:ascii="Times New Roman" w:eastAsia="Times New Roman" w:hAnsi="Times New Roman"/>
      <w:b/>
      <w:color w:val="000000"/>
      <w:sz w:val="28"/>
      <w:szCs w:val="24"/>
    </w:rPr>
  </w:style>
  <w:style w:type="paragraph" w:customStyle="1" w:styleId="041">
    <w:name w:val="0 Заголовок 4 ур"/>
    <w:next w:val="aa"/>
    <w:qFormat/>
    <w:pPr>
      <w:keepNext/>
      <w:keepLines/>
      <w:numPr>
        <w:ilvl w:val="3"/>
        <w:numId w:val="55"/>
      </w:numPr>
      <w:tabs>
        <w:tab w:val="left" w:pos="1701"/>
      </w:tabs>
      <w:spacing w:before="120" w:line="360" w:lineRule="auto"/>
      <w:jc w:val="both"/>
      <w:outlineLvl w:val="3"/>
    </w:pPr>
    <w:rPr>
      <w:rFonts w:ascii="Times New Roman" w:eastAsia="Times New Roman" w:hAnsi="Times New Roman"/>
      <w:b/>
      <w:color w:val="000000"/>
      <w:sz w:val="28"/>
      <w:szCs w:val="24"/>
    </w:rPr>
  </w:style>
  <w:style w:type="paragraph" w:customStyle="1" w:styleId="042">
    <w:name w:val="0 Заголовок 4 ур не нумер"/>
    <w:basedOn w:val="041"/>
    <w:next w:val="aa"/>
    <w:uiPriority w:val="99"/>
    <w:qFormat/>
    <w:pPr>
      <w:numPr>
        <w:ilvl w:val="0"/>
        <w:numId w:val="0"/>
      </w:numPr>
      <w:outlineLvl w:val="9"/>
    </w:pPr>
  </w:style>
  <w:style w:type="paragraph" w:customStyle="1" w:styleId="051">
    <w:name w:val="0 Заголовок 5 ур (не по ГОСТ)"/>
    <w:next w:val="aa"/>
    <w:qFormat/>
    <w:pPr>
      <w:keepNext/>
      <w:keepLines/>
      <w:numPr>
        <w:ilvl w:val="4"/>
        <w:numId w:val="55"/>
      </w:numPr>
      <w:tabs>
        <w:tab w:val="left" w:pos="1843"/>
        <w:tab w:val="left" w:pos="2126"/>
        <w:tab w:val="left" w:pos="2410"/>
      </w:tabs>
      <w:spacing w:before="120" w:line="360" w:lineRule="auto"/>
    </w:pPr>
    <w:rPr>
      <w:rFonts w:ascii="Times New Roman" w:eastAsia="Times New Roman" w:hAnsi="Times New Roman"/>
      <w:b/>
      <w:color w:val="000000"/>
      <w:sz w:val="24"/>
      <w:szCs w:val="24"/>
    </w:rPr>
  </w:style>
  <w:style w:type="paragraph" w:customStyle="1" w:styleId="061">
    <w:name w:val="0 Заголовок 6 ур (не по ГОСТ)"/>
    <w:next w:val="aa"/>
    <w:qFormat/>
    <w:pPr>
      <w:keepNext/>
      <w:keepLines/>
      <w:numPr>
        <w:ilvl w:val="5"/>
        <w:numId w:val="55"/>
      </w:numPr>
      <w:tabs>
        <w:tab w:val="left" w:pos="1843"/>
        <w:tab w:val="left" w:pos="2126"/>
        <w:tab w:val="left" w:pos="2410"/>
      </w:tabs>
      <w:spacing w:before="120" w:line="360" w:lineRule="auto"/>
    </w:pPr>
    <w:rPr>
      <w:rFonts w:ascii="Times New Roman" w:eastAsia="Times New Roman" w:hAnsi="Times New Roman"/>
      <w:b/>
      <w:color w:val="000000"/>
      <w:sz w:val="24"/>
      <w:szCs w:val="24"/>
    </w:rPr>
  </w:style>
  <w:style w:type="character" w:customStyle="1" w:styleId="0d">
    <w:name w:val="0 Надстрочный текст"/>
    <w:uiPriority w:val="1"/>
    <w:qFormat/>
    <w:rPr>
      <w:rFonts w:ascii="Times New Roman" w:hAnsi="Times New Roman"/>
      <w:sz w:val="24"/>
      <w:vertAlign w:val="superscript"/>
    </w:rPr>
  </w:style>
  <w:style w:type="paragraph" w:customStyle="1" w:styleId="0e">
    <w:name w:val="0 Основной текст"/>
    <w:uiPriority w:val="99"/>
    <w:qFormat/>
    <w:pPr>
      <w:spacing w:before="120" w:line="360" w:lineRule="auto"/>
      <w:ind w:firstLine="709"/>
      <w:contextualSpacing/>
      <w:jc w:val="both"/>
    </w:pPr>
    <w:rPr>
      <w:rFonts w:ascii="Times New Roman" w:eastAsia="Times New Roman" w:hAnsi="Times New Roman"/>
      <w:color w:val="000000"/>
      <w:sz w:val="28"/>
      <w:szCs w:val="24"/>
    </w:rPr>
  </w:style>
  <w:style w:type="paragraph" w:customStyle="1" w:styleId="013">
    <w:name w:val="0 Прил Заголовок 1 ур"/>
    <w:next w:val="0e"/>
    <w:uiPriority w:val="99"/>
    <w:qFormat/>
    <w:pPr>
      <w:pageBreakBefore/>
      <w:numPr>
        <w:numId w:val="56"/>
      </w:numPr>
      <w:spacing w:line="360" w:lineRule="auto"/>
      <w:jc w:val="center"/>
      <w:outlineLvl w:val="0"/>
    </w:pPr>
    <w:rPr>
      <w:rFonts w:ascii="Times New Roman" w:eastAsia="Times New Roman" w:hAnsi="Times New Roman"/>
      <w:b/>
      <w:color w:val="000000"/>
      <w:sz w:val="32"/>
      <w:szCs w:val="24"/>
    </w:rPr>
  </w:style>
  <w:style w:type="paragraph" w:customStyle="1" w:styleId="021">
    <w:name w:val="0 Прил Заголовок 2 ур"/>
    <w:next w:val="0e"/>
    <w:uiPriority w:val="99"/>
    <w:qFormat/>
    <w:pPr>
      <w:numPr>
        <w:ilvl w:val="1"/>
        <w:numId w:val="56"/>
      </w:numPr>
      <w:tabs>
        <w:tab w:val="left" w:pos="1418"/>
      </w:tabs>
      <w:spacing w:before="120" w:line="360" w:lineRule="auto"/>
      <w:outlineLvl w:val="1"/>
    </w:pPr>
    <w:rPr>
      <w:rFonts w:ascii="Times New Roman" w:eastAsia="Times New Roman" w:hAnsi="Times New Roman"/>
      <w:b/>
      <w:color w:val="000000"/>
      <w:sz w:val="28"/>
      <w:szCs w:val="24"/>
    </w:rPr>
  </w:style>
  <w:style w:type="paragraph" w:customStyle="1" w:styleId="031">
    <w:name w:val="0 Прил Заголовок 3 ур"/>
    <w:basedOn w:val="021"/>
    <w:next w:val="aa"/>
    <w:uiPriority w:val="99"/>
    <w:qFormat/>
    <w:pPr>
      <w:numPr>
        <w:ilvl w:val="2"/>
      </w:numPr>
      <w:tabs>
        <w:tab w:val="left" w:pos="1843"/>
      </w:tabs>
      <w:outlineLvl w:val="2"/>
    </w:pPr>
    <w:rPr>
      <w:sz w:val="24"/>
    </w:rPr>
  </w:style>
  <w:style w:type="paragraph" w:customStyle="1" w:styleId="040">
    <w:name w:val="0 Прил Заголовок 4 ур"/>
    <w:next w:val="0e"/>
    <w:uiPriority w:val="99"/>
    <w:qFormat/>
    <w:pPr>
      <w:numPr>
        <w:ilvl w:val="3"/>
        <w:numId w:val="56"/>
      </w:numPr>
      <w:tabs>
        <w:tab w:val="left" w:pos="1843"/>
        <w:tab w:val="left" w:pos="2126"/>
      </w:tabs>
      <w:spacing w:before="120"/>
      <w:outlineLvl w:val="3"/>
    </w:pPr>
    <w:rPr>
      <w:rFonts w:ascii="Times New Roman" w:eastAsia="Times New Roman" w:hAnsi="Times New Roman"/>
      <w:b/>
      <w:color w:val="000000"/>
      <w:sz w:val="24"/>
      <w:szCs w:val="24"/>
    </w:rPr>
  </w:style>
  <w:style w:type="paragraph" w:customStyle="1" w:styleId="050">
    <w:name w:val="0 Прил Заголовок 5 ур (не по ГОСТ)"/>
    <w:next w:val="0e"/>
    <w:uiPriority w:val="99"/>
    <w:qFormat/>
    <w:pPr>
      <w:keepNext/>
      <w:keepLines/>
      <w:numPr>
        <w:ilvl w:val="4"/>
        <w:numId w:val="56"/>
      </w:numPr>
      <w:tabs>
        <w:tab w:val="left" w:pos="2126"/>
      </w:tabs>
      <w:spacing w:before="120" w:line="360" w:lineRule="auto"/>
      <w:outlineLvl w:val="4"/>
    </w:pPr>
    <w:rPr>
      <w:rFonts w:ascii="Times New Roman" w:eastAsia="Times New Roman" w:hAnsi="Times New Roman"/>
      <w:b/>
      <w:color w:val="000000"/>
      <w:sz w:val="24"/>
      <w:szCs w:val="24"/>
    </w:rPr>
  </w:style>
  <w:style w:type="paragraph" w:customStyle="1" w:styleId="060">
    <w:name w:val="0 Прил Заголовок 6 ур (не по ГОСТ)"/>
    <w:next w:val="0e"/>
    <w:uiPriority w:val="99"/>
    <w:qFormat/>
    <w:pPr>
      <w:keepNext/>
      <w:keepLines/>
      <w:numPr>
        <w:ilvl w:val="5"/>
        <w:numId w:val="56"/>
      </w:numPr>
      <w:tabs>
        <w:tab w:val="left" w:pos="2126"/>
      </w:tabs>
      <w:spacing w:before="120" w:line="360" w:lineRule="auto"/>
      <w:outlineLvl w:val="5"/>
    </w:pPr>
    <w:rPr>
      <w:rFonts w:ascii="Times New Roman" w:eastAsia="Times New Roman" w:hAnsi="Times New Roman"/>
      <w:b/>
      <w:color w:val="000000"/>
      <w:sz w:val="24"/>
      <w:szCs w:val="24"/>
    </w:rPr>
  </w:style>
  <w:style w:type="paragraph" w:customStyle="1" w:styleId="0f">
    <w:name w:val="0 Рисунок  Тело"/>
    <w:next w:val="aa"/>
    <w:uiPriority w:val="99"/>
    <w:qFormat/>
    <w:pPr>
      <w:keepNext/>
      <w:spacing w:before="120"/>
      <w:jc w:val="center"/>
    </w:pPr>
    <w:rPr>
      <w:rFonts w:ascii="Times New Roman" w:eastAsia="Times New Roman" w:hAnsi="Times New Roman"/>
      <w:color w:val="000000"/>
      <w:sz w:val="24"/>
      <w:szCs w:val="24"/>
    </w:rPr>
  </w:style>
  <w:style w:type="paragraph" w:customStyle="1" w:styleId="0f0">
    <w:name w:val="0 Рисунок Подпись"/>
    <w:next w:val="0e"/>
    <w:uiPriority w:val="99"/>
    <w:qFormat/>
    <w:pPr>
      <w:spacing w:after="240"/>
      <w:contextualSpacing/>
      <w:jc w:val="center"/>
    </w:pPr>
    <w:rPr>
      <w:rFonts w:ascii="Times New Roman" w:eastAsia="Times New Roman" w:hAnsi="Times New Roman"/>
      <w:color w:val="000000"/>
      <w:sz w:val="24"/>
      <w:szCs w:val="24"/>
    </w:rPr>
  </w:style>
  <w:style w:type="paragraph" w:customStyle="1" w:styleId="012">
    <w:name w:val="0 Список 1 ур"/>
    <w:uiPriority w:val="99"/>
    <w:qFormat/>
    <w:pPr>
      <w:numPr>
        <w:numId w:val="57"/>
      </w:numPr>
      <w:spacing w:line="360" w:lineRule="auto"/>
      <w:jc w:val="both"/>
    </w:pPr>
    <w:rPr>
      <w:rFonts w:ascii="Times New Roman" w:eastAsia="Times New Roman" w:hAnsi="Times New Roman"/>
      <w:color w:val="000000"/>
      <w:sz w:val="28"/>
      <w:szCs w:val="24"/>
    </w:rPr>
  </w:style>
  <w:style w:type="paragraph" w:customStyle="1" w:styleId="020">
    <w:name w:val="0 Список 2 ур"/>
    <w:uiPriority w:val="99"/>
    <w:qFormat/>
    <w:pPr>
      <w:numPr>
        <w:ilvl w:val="1"/>
        <w:numId w:val="57"/>
      </w:numPr>
      <w:spacing w:line="360" w:lineRule="auto"/>
      <w:jc w:val="both"/>
    </w:pPr>
    <w:rPr>
      <w:rFonts w:ascii="Times New Roman" w:eastAsia="Times New Roman" w:hAnsi="Times New Roman"/>
      <w:color w:val="000000"/>
      <w:sz w:val="24"/>
      <w:szCs w:val="24"/>
    </w:rPr>
  </w:style>
  <w:style w:type="paragraph" w:customStyle="1" w:styleId="030">
    <w:name w:val="0 Список 3 ур"/>
    <w:uiPriority w:val="99"/>
    <w:qFormat/>
    <w:pPr>
      <w:numPr>
        <w:ilvl w:val="2"/>
        <w:numId w:val="57"/>
      </w:numPr>
      <w:spacing w:line="360" w:lineRule="auto"/>
      <w:jc w:val="both"/>
    </w:pPr>
    <w:rPr>
      <w:rFonts w:ascii="Times New Roman" w:eastAsia="Times New Roman" w:hAnsi="Times New Roman"/>
      <w:color w:val="000000"/>
      <w:sz w:val="24"/>
      <w:szCs w:val="24"/>
    </w:rPr>
  </w:style>
  <w:style w:type="paragraph" w:customStyle="1" w:styleId="04">
    <w:name w:val="0 Список 4 ур"/>
    <w:uiPriority w:val="99"/>
    <w:qFormat/>
    <w:pPr>
      <w:numPr>
        <w:ilvl w:val="3"/>
        <w:numId w:val="57"/>
      </w:numPr>
      <w:spacing w:line="360" w:lineRule="auto"/>
      <w:jc w:val="both"/>
    </w:pPr>
    <w:rPr>
      <w:rFonts w:ascii="Times New Roman" w:eastAsia="Times New Roman" w:hAnsi="Times New Roman"/>
      <w:color w:val="000000"/>
      <w:sz w:val="24"/>
      <w:szCs w:val="24"/>
    </w:rPr>
  </w:style>
  <w:style w:type="paragraph" w:customStyle="1" w:styleId="05">
    <w:name w:val="0 Список 5 ур"/>
    <w:uiPriority w:val="99"/>
    <w:qFormat/>
    <w:pPr>
      <w:numPr>
        <w:ilvl w:val="4"/>
        <w:numId w:val="57"/>
      </w:numPr>
      <w:spacing w:line="360" w:lineRule="auto"/>
      <w:jc w:val="both"/>
    </w:pPr>
    <w:rPr>
      <w:rFonts w:ascii="Times New Roman" w:eastAsia="Times New Roman" w:hAnsi="Times New Roman"/>
      <w:color w:val="000000"/>
      <w:sz w:val="24"/>
      <w:szCs w:val="24"/>
    </w:rPr>
  </w:style>
  <w:style w:type="paragraph" w:customStyle="1" w:styleId="06">
    <w:name w:val="0 Список 6 ур"/>
    <w:uiPriority w:val="99"/>
    <w:qFormat/>
    <w:pPr>
      <w:numPr>
        <w:ilvl w:val="5"/>
        <w:numId w:val="57"/>
      </w:numPr>
      <w:spacing w:line="360" w:lineRule="auto"/>
      <w:jc w:val="both"/>
    </w:pPr>
    <w:rPr>
      <w:rFonts w:ascii="Times New Roman" w:eastAsia="Times New Roman" w:hAnsi="Times New Roman"/>
      <w:color w:val="000000"/>
      <w:sz w:val="24"/>
      <w:szCs w:val="24"/>
    </w:rPr>
  </w:style>
  <w:style w:type="paragraph" w:customStyle="1" w:styleId="070">
    <w:name w:val="0 Список 7 ур"/>
    <w:basedOn w:val="06"/>
    <w:uiPriority w:val="99"/>
    <w:pPr>
      <w:numPr>
        <w:ilvl w:val="0"/>
        <w:numId w:val="0"/>
      </w:numPr>
    </w:pPr>
  </w:style>
  <w:style w:type="paragraph" w:customStyle="1" w:styleId="080">
    <w:name w:val="0 Список 8 ур"/>
    <w:basedOn w:val="070"/>
    <w:uiPriority w:val="99"/>
  </w:style>
  <w:style w:type="paragraph" w:customStyle="1" w:styleId="010">
    <w:name w:val="0 Список без нумер 1 ур"/>
    <w:uiPriority w:val="99"/>
    <w:qFormat/>
    <w:pPr>
      <w:numPr>
        <w:numId w:val="59"/>
      </w:numPr>
      <w:spacing w:line="360" w:lineRule="auto"/>
      <w:contextualSpacing/>
      <w:jc w:val="both"/>
    </w:pPr>
    <w:rPr>
      <w:rFonts w:ascii="Times New Roman" w:eastAsia="Times New Roman" w:hAnsi="Times New Roman"/>
      <w:color w:val="000000"/>
      <w:sz w:val="28"/>
      <w:szCs w:val="24"/>
    </w:rPr>
  </w:style>
  <w:style w:type="paragraph" w:customStyle="1" w:styleId="02">
    <w:name w:val="0 Список без нумер 2 ур"/>
    <w:uiPriority w:val="99"/>
    <w:qFormat/>
    <w:pPr>
      <w:numPr>
        <w:numId w:val="58"/>
      </w:numPr>
      <w:spacing w:line="360" w:lineRule="auto"/>
      <w:jc w:val="both"/>
    </w:pPr>
    <w:rPr>
      <w:rFonts w:ascii="Times New Roman" w:eastAsia="Times New Roman" w:hAnsi="Times New Roman"/>
      <w:color w:val="000000"/>
      <w:sz w:val="28"/>
      <w:szCs w:val="24"/>
    </w:rPr>
  </w:style>
  <w:style w:type="paragraph" w:customStyle="1" w:styleId="03">
    <w:name w:val="0 Список без нумер 3 ур"/>
    <w:uiPriority w:val="99"/>
    <w:qFormat/>
    <w:pPr>
      <w:numPr>
        <w:ilvl w:val="2"/>
        <w:numId w:val="59"/>
      </w:numPr>
      <w:spacing w:line="360" w:lineRule="auto"/>
      <w:jc w:val="both"/>
    </w:pPr>
    <w:rPr>
      <w:rFonts w:ascii="Times New Roman" w:eastAsia="Times New Roman" w:hAnsi="Times New Roman"/>
      <w:color w:val="000000"/>
      <w:sz w:val="24"/>
      <w:szCs w:val="24"/>
    </w:rPr>
  </w:style>
  <w:style w:type="table" w:customStyle="1" w:styleId="016">
    <w:name w:val="0 таблица 1"/>
    <w:basedOn w:val="affffb"/>
    <w:uiPriority w:val="99"/>
    <w:pPr>
      <w:jc w:val="left"/>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blStylePr w:type="firstRow">
      <w:pPr>
        <w:jc w:val="center"/>
      </w:pPr>
      <w:rPr>
        <w:rFonts w:ascii="Times New Roman" w:hAnsi="Times New Roman"/>
        <w:b/>
        <w:sz w:val="20"/>
      </w:rPr>
    </w:tblStylePr>
  </w:style>
  <w:style w:type="paragraph" w:customStyle="1" w:styleId="0150">
    <w:name w:val="0 Таблица Заголовок графы_1.5"/>
    <w:uiPriority w:val="99"/>
    <w:qFormat/>
    <w:pPr>
      <w:spacing w:before="120" w:line="360" w:lineRule="auto"/>
      <w:jc w:val="center"/>
    </w:pPr>
    <w:rPr>
      <w:rFonts w:ascii="Times New Roman" w:eastAsia="Times New Roman" w:hAnsi="Times New Roman"/>
      <w:b/>
      <w:color w:val="000000"/>
      <w:sz w:val="24"/>
      <w:szCs w:val="24"/>
    </w:rPr>
  </w:style>
  <w:style w:type="paragraph" w:customStyle="1" w:styleId="017">
    <w:name w:val="0 Таблица заголовок графы_1"/>
    <w:basedOn w:val="0150"/>
    <w:uiPriority w:val="99"/>
    <w:qFormat/>
    <w:pPr>
      <w:spacing w:line="240" w:lineRule="auto"/>
    </w:pPr>
    <w:rPr>
      <w:sz w:val="20"/>
    </w:rPr>
  </w:style>
  <w:style w:type="paragraph" w:customStyle="1" w:styleId="0151">
    <w:name w:val="0 Таблица Заголовок строки_1.5"/>
    <w:uiPriority w:val="99"/>
    <w:qFormat/>
    <w:pPr>
      <w:spacing w:before="120" w:line="360" w:lineRule="auto"/>
    </w:pPr>
    <w:rPr>
      <w:rFonts w:ascii="Times New Roman" w:eastAsia="Times New Roman" w:hAnsi="Times New Roman"/>
      <w:b/>
      <w:color w:val="000000"/>
      <w:sz w:val="24"/>
      <w:szCs w:val="24"/>
    </w:rPr>
  </w:style>
  <w:style w:type="paragraph" w:customStyle="1" w:styleId="018">
    <w:name w:val="0 Таблица Заголовок строки_1"/>
    <w:basedOn w:val="0151"/>
    <w:uiPriority w:val="99"/>
    <w:qFormat/>
    <w:pPr>
      <w:spacing w:line="240" w:lineRule="auto"/>
    </w:pPr>
  </w:style>
  <w:style w:type="paragraph" w:customStyle="1" w:styleId="0f1">
    <w:name w:val="0 Таблица Подпись"/>
    <w:uiPriority w:val="99"/>
    <w:qFormat/>
    <w:pPr>
      <w:keepNext/>
      <w:spacing w:before="240"/>
      <w:contextualSpacing/>
    </w:pPr>
    <w:rPr>
      <w:rFonts w:ascii="Times New Roman" w:eastAsia="Times New Roman" w:hAnsi="Times New Roman"/>
      <w:color w:val="000000"/>
      <w:sz w:val="24"/>
      <w:szCs w:val="24"/>
    </w:rPr>
  </w:style>
  <w:style w:type="numbering" w:customStyle="1" w:styleId="01">
    <w:name w:val="0 Таблица Список 1"/>
    <w:basedOn w:val="ad"/>
    <w:uiPriority w:val="99"/>
    <w:pPr>
      <w:numPr>
        <w:numId w:val="33"/>
      </w:numPr>
    </w:pPr>
  </w:style>
  <w:style w:type="paragraph" w:customStyle="1" w:styleId="0115">
    <w:name w:val="0 Таблица Список 1 ур_1.5"/>
    <w:basedOn w:val="012"/>
    <w:uiPriority w:val="99"/>
    <w:qFormat/>
    <w:pPr>
      <w:numPr>
        <w:numId w:val="61"/>
      </w:numPr>
      <w:contextualSpacing/>
    </w:pPr>
  </w:style>
  <w:style w:type="paragraph" w:customStyle="1" w:styleId="011">
    <w:name w:val="0 Таблица Список 1 ур_1"/>
    <w:basedOn w:val="0115"/>
    <w:uiPriority w:val="99"/>
    <w:qFormat/>
    <w:pPr>
      <w:numPr>
        <w:numId w:val="60"/>
      </w:numPr>
      <w:tabs>
        <w:tab w:val="left" w:pos="567"/>
      </w:tabs>
      <w:spacing w:line="240" w:lineRule="auto"/>
    </w:pPr>
    <w:rPr>
      <w:sz w:val="20"/>
    </w:rPr>
  </w:style>
  <w:style w:type="paragraph" w:customStyle="1" w:styleId="0215">
    <w:name w:val="0 Таблица Список 2 ур_1.5"/>
    <w:basedOn w:val="020"/>
    <w:uiPriority w:val="99"/>
    <w:qFormat/>
    <w:pPr>
      <w:numPr>
        <w:ilvl w:val="0"/>
        <w:numId w:val="0"/>
      </w:numPr>
      <w:ind w:left="567" w:hanging="454"/>
    </w:pPr>
  </w:style>
  <w:style w:type="paragraph" w:customStyle="1" w:styleId="0210">
    <w:name w:val="0 Таблица Список 2 ур_1"/>
    <w:basedOn w:val="0215"/>
    <w:uiPriority w:val="99"/>
    <w:qFormat/>
    <w:pPr>
      <w:numPr>
        <w:numId w:val="62"/>
      </w:numPr>
      <w:tabs>
        <w:tab w:val="left" w:pos="567"/>
      </w:tabs>
      <w:spacing w:line="240" w:lineRule="auto"/>
    </w:pPr>
    <w:rPr>
      <w:sz w:val="20"/>
    </w:rPr>
  </w:style>
  <w:style w:type="paragraph" w:customStyle="1" w:styleId="0152">
    <w:name w:val="0 Таблица Текст_1.5"/>
    <w:uiPriority w:val="99"/>
    <w:qFormat/>
    <w:pPr>
      <w:jc w:val="both"/>
    </w:pPr>
    <w:rPr>
      <w:rFonts w:ascii="Times New Roman" w:eastAsia="Times New Roman" w:hAnsi="Times New Roman"/>
      <w:color w:val="000000"/>
      <w:sz w:val="24"/>
      <w:szCs w:val="24"/>
    </w:rPr>
  </w:style>
  <w:style w:type="paragraph" w:customStyle="1" w:styleId="0f2">
    <w:name w:val="0 Текст сноски"/>
    <w:basedOn w:val="affa"/>
    <w:uiPriority w:val="99"/>
    <w:qFormat/>
    <w:pPr>
      <w:spacing w:line="240" w:lineRule="auto"/>
      <w:ind w:firstLine="0"/>
    </w:pPr>
    <w:rPr>
      <w:lang w:val="en-US"/>
    </w:rPr>
  </w:style>
  <w:style w:type="numbering" w:customStyle="1" w:styleId="0">
    <w:name w:val="0 Тест список"/>
    <w:pPr>
      <w:numPr>
        <w:numId w:val="34"/>
      </w:numPr>
    </w:pPr>
  </w:style>
  <w:style w:type="paragraph" w:customStyle="1" w:styleId="a3">
    <w:name w:val="Многоуровневый_список"/>
    <w:basedOn w:val="aa"/>
    <w:link w:val="afffffd"/>
    <w:uiPriority w:val="99"/>
    <w:pPr>
      <w:numPr>
        <w:numId w:val="36"/>
      </w:numPr>
      <w:spacing w:after="120" w:line="276" w:lineRule="auto"/>
      <w:contextualSpacing/>
    </w:pPr>
    <w:rPr>
      <w:sz w:val="28"/>
    </w:rPr>
  </w:style>
  <w:style w:type="paragraph" w:customStyle="1" w:styleId="a6">
    <w:name w:val="Маркированный абзац"/>
    <w:basedOn w:val="aa"/>
    <w:link w:val="afffffe"/>
    <w:uiPriority w:val="99"/>
    <w:pPr>
      <w:numPr>
        <w:numId w:val="35"/>
      </w:numPr>
      <w:spacing w:after="60" w:line="276" w:lineRule="auto"/>
      <w:contextualSpacing/>
    </w:pPr>
    <w:rPr>
      <w:sz w:val="28"/>
    </w:rPr>
  </w:style>
  <w:style w:type="character" w:customStyle="1" w:styleId="afffffe">
    <w:name w:val="Маркированный абзац Знак"/>
    <w:link w:val="a6"/>
    <w:uiPriority w:val="99"/>
    <w:rPr>
      <w:rFonts w:ascii="Times New Roman" w:eastAsia="Times New Roman" w:hAnsi="Times New Roman"/>
      <w:sz w:val="28"/>
    </w:rPr>
  </w:style>
  <w:style w:type="character" w:customStyle="1" w:styleId="afffffd">
    <w:name w:val="Многоуровневый_список Знак"/>
    <w:link w:val="a3"/>
    <w:uiPriority w:val="99"/>
    <w:rPr>
      <w:rFonts w:ascii="Times New Roman" w:eastAsia="Times New Roman" w:hAnsi="Times New Roman"/>
      <w:sz w:val="28"/>
    </w:rPr>
  </w:style>
  <w:style w:type="paragraph" w:customStyle="1" w:styleId="ibscontenttitle">
    <w:name w:val="ibs_content_title"/>
    <w:uiPriority w:val="99"/>
    <w:pPr>
      <w:spacing w:before="240" w:after="240"/>
      <w:jc w:val="center"/>
    </w:pPr>
    <w:rPr>
      <w:rFonts w:ascii="Times New Roman" w:eastAsia="Arial" w:hAnsi="Times New Roman"/>
      <w:b/>
      <w:bCs/>
      <w:sz w:val="28"/>
      <w:lang w:eastAsia="ja-JP"/>
    </w:rPr>
  </w:style>
  <w:style w:type="paragraph" w:customStyle="1" w:styleId="affffff">
    <w:name w:val="обычный текст"/>
    <w:basedOn w:val="aa"/>
    <w:link w:val="affffff0"/>
    <w:qFormat/>
    <w:pPr>
      <w:spacing w:after="120" w:line="276" w:lineRule="auto"/>
      <w:ind w:firstLine="709"/>
    </w:pPr>
    <w:rPr>
      <w:sz w:val="28"/>
      <w:szCs w:val="28"/>
      <w:lang w:eastAsia="en-US"/>
    </w:rPr>
  </w:style>
  <w:style w:type="character" w:customStyle="1" w:styleId="affffff0">
    <w:name w:val="обычный текст Знак"/>
    <w:link w:val="affffff"/>
    <w:rPr>
      <w:rFonts w:ascii="Times New Roman" w:eastAsia="Times New Roman" w:hAnsi="Times New Roman"/>
      <w:sz w:val="28"/>
      <w:szCs w:val="28"/>
      <w:lang w:eastAsia="en-US"/>
    </w:rPr>
  </w:style>
  <w:style w:type="paragraph" w:customStyle="1" w:styleId="Default">
    <w:name w:val="Default"/>
    <w:rPr>
      <w:rFonts w:ascii="Times New Roman" w:eastAsia="Cambria Math" w:hAnsi="Times New Roman"/>
      <w:color w:val="000000"/>
      <w:sz w:val="24"/>
      <w:szCs w:val="24"/>
      <w:lang w:eastAsia="en-US"/>
    </w:rPr>
  </w:style>
  <w:style w:type="character" w:customStyle="1" w:styleId="otrsymitalic00">
    <w:name w:val="otrsymitalic0"/>
    <w:rPr>
      <w:i/>
      <w:iCs/>
    </w:rPr>
  </w:style>
  <w:style w:type="paragraph" w:customStyle="1" w:styleId="otrtablename">
    <w:name w:val="otr_table_name"/>
    <w:next w:val="otrnormal2"/>
    <w:uiPriority w:val="99"/>
    <w:pPr>
      <w:keepNext/>
      <w:spacing w:before="120" w:after="120"/>
      <w:jc w:val="right"/>
    </w:pPr>
    <w:rPr>
      <w:rFonts w:ascii="Arial" w:eastAsia="Times New Roman" w:hAnsi="Arial"/>
      <w:b/>
      <w:szCs w:val="22"/>
    </w:rPr>
  </w:style>
  <w:style w:type="paragraph" w:customStyle="1" w:styleId="otrcontent">
    <w:name w:val="otr_content"/>
    <w:basedOn w:val="1List"/>
    <w:next w:val="otrnormal2"/>
    <w:uiPriority w:val="99"/>
    <w:pPr>
      <w:outlineLvl w:val="9"/>
    </w:pPr>
    <w:rPr>
      <w:sz w:val="24"/>
    </w:rPr>
  </w:style>
  <w:style w:type="character" w:customStyle="1" w:styleId="otrsymbold0">
    <w:name w:val="otr_sym_bold"/>
    <w:rPr>
      <w:b/>
    </w:rPr>
  </w:style>
  <w:style w:type="character" w:customStyle="1" w:styleId="otrsymitalic1">
    <w:name w:val="otr_sym_italic"/>
    <w:rPr>
      <w:i/>
    </w:rPr>
  </w:style>
  <w:style w:type="paragraph" w:customStyle="1" w:styleId="otrtablecentr">
    <w:name w:val="otr_table_centr"/>
    <w:basedOn w:val="otrtablenormal"/>
    <w:uiPriority w:val="99"/>
    <w:pPr>
      <w:jc w:val="center"/>
    </w:pPr>
  </w:style>
  <w:style w:type="paragraph" w:customStyle="1" w:styleId="1List">
    <w:name w:val="Заголовок 1_List"/>
    <w:basedOn w:val="10"/>
    <w:next w:val="otrnormal2"/>
    <w:uiPriority w:val="99"/>
    <w:semiHidden/>
    <w:pPr>
      <w:pageBreakBefore w:val="0"/>
      <w:pBdr>
        <w:top w:val="single" w:sz="4" w:space="16" w:color="000000"/>
      </w:pBdr>
      <w:ind w:left="0" w:firstLine="0"/>
    </w:pPr>
    <w:rPr>
      <w:rFonts w:ascii="Arial" w:hAnsi="Arial" w:cs="Arial"/>
      <w:bCs/>
      <w:sz w:val="36"/>
    </w:rPr>
  </w:style>
  <w:style w:type="character" w:customStyle="1" w:styleId="otrsymbolditalic0">
    <w:name w:val="otr_sym_bold_italic"/>
    <w:rPr>
      <w:b/>
      <w:i/>
    </w:rPr>
  </w:style>
  <w:style w:type="paragraph" w:customStyle="1" w:styleId="otrpicture">
    <w:name w:val="otr_picture"/>
    <w:next w:val="otrpicturename"/>
    <w:uiPriority w:val="99"/>
    <w:pPr>
      <w:keepNext/>
      <w:spacing w:before="120" w:after="120"/>
      <w:jc w:val="center"/>
    </w:pPr>
    <w:rPr>
      <w:rFonts w:ascii="Arial" w:eastAsia="Times New Roman" w:hAnsi="Arial"/>
      <w:szCs w:val="22"/>
    </w:rPr>
  </w:style>
  <w:style w:type="character" w:customStyle="1" w:styleId="otrsymunderline">
    <w:name w:val="otr_sym_underline"/>
    <w:rPr>
      <w:u w:val="single"/>
    </w:rPr>
  </w:style>
  <w:style w:type="character" w:customStyle="1" w:styleId="otrsymboldunderline">
    <w:name w:val="otr_sym_bold_underline"/>
    <w:rPr>
      <w:b/>
      <w:u w:val="single"/>
    </w:rPr>
  </w:style>
  <w:style w:type="character" w:customStyle="1" w:styleId="otrsymitalicunderline">
    <w:name w:val="otr_sym_italic_underline"/>
    <w:rPr>
      <w:i/>
      <w:u w:val="single"/>
    </w:rPr>
  </w:style>
  <w:style w:type="character" w:customStyle="1" w:styleId="otrsymbolditalicunderline">
    <w:name w:val="otr_sym_bold_italic_underline"/>
    <w:rPr>
      <w:b/>
      <w:i/>
      <w:u w:val="single"/>
    </w:rPr>
  </w:style>
  <w:style w:type="table" w:customStyle="1" w:styleId="otrtable0">
    <w:name w:val="otr_table"/>
    <w:basedOn w:val="3c"/>
    <w:pPr>
      <w:spacing w:before="120" w:after="120"/>
      <w:contextualSpacing/>
    </w:pPr>
    <w:rPr>
      <w:rFonts w:ascii="Arial" w:hAnsi="Arial"/>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pPr>
        <w:jc w:val="center"/>
      </w:pPr>
      <w:rPr>
        <w:b/>
        <w:bCs/>
        <w:color w:val="auto"/>
        <w:sz w:val="22"/>
      </w:rPr>
      <w:tblPr/>
      <w:trPr>
        <w:tblHeader/>
      </w:trPr>
      <w:tcPr>
        <w:shd w:val="clear" w:color="auto" w:fill="E6E6E6"/>
        <w:vAlign w:val="center"/>
      </w:tcPr>
    </w:tblStylePr>
  </w:style>
  <w:style w:type="paragraph" w:customStyle="1" w:styleId="otrdocname">
    <w:name w:val="otr_doc_name"/>
    <w:next w:val="otrnormal2"/>
    <w:uiPriority w:val="99"/>
    <w:pPr>
      <w:spacing w:before="2800"/>
      <w:jc w:val="center"/>
    </w:pPr>
    <w:rPr>
      <w:rFonts w:ascii="Arial" w:eastAsia="Times New Roman" w:hAnsi="Arial"/>
      <w:b/>
      <w:sz w:val="40"/>
      <w:szCs w:val="22"/>
      <w:lang w:eastAsia="en-US"/>
    </w:rPr>
  </w:style>
  <w:style w:type="paragraph" w:customStyle="1" w:styleId="2fd">
    <w:name w:val="Заголовок 2 Приложение"/>
    <w:basedOn w:val="1f5"/>
    <w:uiPriority w:val="99"/>
    <w:pPr>
      <w:outlineLvl w:val="1"/>
    </w:pPr>
    <w:rPr>
      <w:sz w:val="28"/>
    </w:rPr>
  </w:style>
  <w:style w:type="paragraph" w:customStyle="1" w:styleId="otrlistnum2">
    <w:name w:val="otr_list_num2"/>
    <w:uiPriority w:val="99"/>
    <w:pPr>
      <w:numPr>
        <w:numId w:val="40"/>
      </w:numPr>
      <w:spacing w:before="120" w:after="120" w:line="288" w:lineRule="auto"/>
      <w:contextualSpacing/>
      <w:jc w:val="both"/>
    </w:pPr>
    <w:rPr>
      <w:rFonts w:ascii="Arial" w:eastAsia="Times New Roman" w:hAnsi="Arial"/>
      <w:szCs w:val="22"/>
      <w:lang w:eastAsia="en-US"/>
    </w:rPr>
  </w:style>
  <w:style w:type="paragraph" w:customStyle="1" w:styleId="otrlistnum3">
    <w:name w:val="otr_list_num3"/>
    <w:uiPriority w:val="99"/>
    <w:pPr>
      <w:numPr>
        <w:numId w:val="41"/>
      </w:numPr>
      <w:spacing w:before="120" w:after="120" w:line="288" w:lineRule="auto"/>
      <w:contextualSpacing/>
      <w:jc w:val="both"/>
    </w:pPr>
    <w:rPr>
      <w:rFonts w:ascii="Arial" w:eastAsia="Times New Roman" w:hAnsi="Arial"/>
      <w:szCs w:val="22"/>
      <w:lang w:eastAsia="en-US"/>
    </w:rPr>
  </w:style>
  <w:style w:type="table" w:customStyle="1" w:styleId="otrheadertable">
    <w:name w:val="otr_header_table"/>
    <w:basedOn w:val="ac"/>
    <w:rPr>
      <w:rFonts w:ascii="Arial" w:eastAsia="Times New Roman" w:hAnsi="Arial"/>
      <w:sz w:val="18"/>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otrtablnohead">
    <w:name w:val="otr_tabl_no_head"/>
    <w:basedOn w:val="ac"/>
    <w:pPr>
      <w:spacing w:before="120" w:after="120"/>
      <w:contextualSpacing/>
    </w:pPr>
    <w:rPr>
      <w:rFonts w:ascii="Arial" w:eastAsia="Times New Roman" w:hAnsi="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blStylePr w:type="firstRow">
      <w:pPr>
        <w:spacing w:before="120" w:beforeAutospacing="0" w:after="120" w:afterAutospacing="0" w:line="240" w:lineRule="auto"/>
        <w:jc w:val="left"/>
      </w:pPr>
      <w:rPr>
        <w:rFonts w:ascii="Arial" w:hAnsi="Arial"/>
        <w:b w:val="0"/>
        <w:sz w:val="20"/>
      </w:rPr>
    </w:tblStylePr>
  </w:style>
  <w:style w:type="paragraph" w:customStyle="1" w:styleId="1f5">
    <w:name w:val="Заголовок 1 Приложения"/>
    <w:basedOn w:val="10"/>
    <w:next w:val="otrnormal2"/>
    <w:uiPriority w:val="99"/>
    <w:pPr>
      <w:pageBreakBefore w:val="0"/>
      <w:ind w:left="0" w:firstLine="0"/>
      <w:jc w:val="left"/>
    </w:pPr>
    <w:rPr>
      <w:rFonts w:cs="Arial"/>
      <w:bCs/>
    </w:rPr>
  </w:style>
  <w:style w:type="paragraph" w:customStyle="1" w:styleId="otrpicturename">
    <w:name w:val="otr_picture_name"/>
    <w:next w:val="otrnormal2"/>
    <w:uiPriority w:val="99"/>
    <w:pPr>
      <w:spacing w:before="120" w:after="180"/>
      <w:jc w:val="center"/>
    </w:pPr>
    <w:rPr>
      <w:rFonts w:ascii="Arial" w:eastAsia="Times New Roman" w:hAnsi="Arial"/>
      <w:b/>
      <w:sz w:val="18"/>
      <w:szCs w:val="22"/>
    </w:rPr>
  </w:style>
  <w:style w:type="paragraph" w:customStyle="1" w:styleId="otrnormal10">
    <w:name w:val="otr_normal1"/>
    <w:basedOn w:val="otrnormal2"/>
    <w:uiPriority w:val="99"/>
    <w:pPr>
      <w:ind w:left="1491"/>
    </w:pPr>
  </w:style>
  <w:style w:type="paragraph" w:customStyle="1" w:styleId="otrnormal20">
    <w:name w:val="otr_normal2"/>
    <w:basedOn w:val="otrnormal2"/>
    <w:uiPriority w:val="99"/>
    <w:pPr>
      <w:ind w:left="1848"/>
    </w:pPr>
  </w:style>
  <w:style w:type="paragraph" w:customStyle="1" w:styleId="otrnormal3">
    <w:name w:val="otr_normal3"/>
    <w:basedOn w:val="otrnormal20"/>
    <w:uiPriority w:val="99"/>
    <w:pPr>
      <w:ind w:left="2206"/>
    </w:pPr>
    <w:rPr>
      <w:lang w:val="en-US"/>
    </w:rPr>
  </w:style>
  <w:style w:type="numbering" w:styleId="111111">
    <w:name w:val="Outline List 2"/>
    <w:basedOn w:val="ad"/>
    <w:pPr>
      <w:numPr>
        <w:numId w:val="37"/>
      </w:numPr>
    </w:pPr>
  </w:style>
  <w:style w:type="paragraph" w:customStyle="1" w:styleId="otrnormal2">
    <w:name w:val="otr_normal"/>
    <w:uiPriority w:val="99"/>
    <w:pPr>
      <w:spacing w:before="180" w:after="180" w:line="240" w:lineRule="atLeast"/>
      <w:ind w:left="1134"/>
      <w:jc w:val="both"/>
    </w:pPr>
    <w:rPr>
      <w:rFonts w:ascii="Arial" w:eastAsia="Times New Roman" w:hAnsi="Arial"/>
      <w:szCs w:val="22"/>
      <w:lang w:eastAsia="en-US"/>
    </w:rPr>
  </w:style>
  <w:style w:type="paragraph" w:customStyle="1" w:styleId="otrlistmark1">
    <w:name w:val="otr_list_mark1"/>
    <w:basedOn w:val="aa"/>
    <w:uiPriority w:val="99"/>
    <w:pPr>
      <w:numPr>
        <w:numId w:val="38"/>
      </w:numPr>
      <w:tabs>
        <w:tab w:val="left" w:pos="397"/>
      </w:tabs>
      <w:spacing w:before="120" w:after="120" w:line="288" w:lineRule="auto"/>
      <w:contextualSpacing/>
    </w:pPr>
    <w:rPr>
      <w:rFonts w:ascii="Arial" w:hAnsi="Arial"/>
      <w:sz w:val="20"/>
      <w:szCs w:val="22"/>
      <w:lang w:eastAsia="en-US"/>
    </w:rPr>
  </w:style>
  <w:style w:type="paragraph" w:customStyle="1" w:styleId="otrlistnum1">
    <w:name w:val="otr_list_num1"/>
    <w:uiPriority w:val="99"/>
    <w:pPr>
      <w:numPr>
        <w:numId w:val="39"/>
      </w:numPr>
      <w:spacing w:before="120" w:after="120" w:line="288" w:lineRule="auto"/>
      <w:contextualSpacing/>
      <w:jc w:val="both"/>
    </w:pPr>
    <w:rPr>
      <w:rFonts w:ascii="Arial" w:eastAsia="Times New Roman" w:hAnsi="Arial"/>
      <w:szCs w:val="22"/>
      <w:lang w:eastAsia="en-US"/>
    </w:rPr>
  </w:style>
  <w:style w:type="paragraph" w:customStyle="1" w:styleId="otrtablemark">
    <w:name w:val="otr_table_mark"/>
    <w:uiPriority w:val="99"/>
    <w:pPr>
      <w:numPr>
        <w:numId w:val="42"/>
      </w:numPr>
      <w:spacing w:before="120" w:after="120"/>
      <w:contextualSpacing/>
    </w:pPr>
    <w:rPr>
      <w:rFonts w:ascii="Arial" w:eastAsia="Times New Roman" w:hAnsi="Arial"/>
      <w:szCs w:val="22"/>
    </w:rPr>
  </w:style>
  <w:style w:type="paragraph" w:customStyle="1" w:styleId="otrtablenum">
    <w:name w:val="otr_table_num"/>
    <w:basedOn w:val="otrtablenormal"/>
    <w:uiPriority w:val="99"/>
    <w:pPr>
      <w:numPr>
        <w:numId w:val="43"/>
      </w:numPr>
    </w:pPr>
  </w:style>
  <w:style w:type="paragraph" w:customStyle="1" w:styleId="otrheader-footer">
    <w:name w:val="otr_header-footer"/>
    <w:uiPriority w:val="99"/>
    <w:rPr>
      <w:rFonts w:ascii="Arial" w:eastAsia="Times New Roman" w:hAnsi="Arial"/>
      <w:sz w:val="18"/>
      <w:szCs w:val="24"/>
    </w:rPr>
  </w:style>
  <w:style w:type="character" w:customStyle="1" w:styleId="OTRNameFigure0">
    <w:name w:val="OTR_Name_Figure Знак Знак"/>
    <w:link w:val="OTRNameFigure"/>
    <w:rPr>
      <w:rFonts w:ascii="Times New Roman" w:eastAsia="Times New Roman" w:hAnsi="Times New Roman"/>
      <w:b/>
      <w:sz w:val="24"/>
    </w:rPr>
  </w:style>
  <w:style w:type="paragraph" w:customStyle="1" w:styleId="otrcod">
    <w:name w:val="_otr_cod"/>
    <w:uiPriority w:val="99"/>
    <w:pPr>
      <w:keepLines/>
      <w:spacing w:before="120" w:after="120"/>
      <w:ind w:left="1134"/>
      <w:contextualSpacing/>
    </w:pPr>
    <w:rPr>
      <w:rFonts w:ascii="Arial" w:eastAsia="Times New Roman" w:hAnsi="Arial" w:cs="Courier New"/>
      <w:szCs w:val="24"/>
    </w:rPr>
  </w:style>
  <w:style w:type="character" w:customStyle="1" w:styleId="OTRFigure0">
    <w:name w:val="OTR_Figure Знак"/>
    <w:link w:val="OTRFigure"/>
    <w:uiPriority w:val="99"/>
    <w:rPr>
      <w:rFonts w:ascii="Times New Roman" w:eastAsia="Times New Roman" w:hAnsi="Times New Roman"/>
      <w:sz w:val="24"/>
      <w:lang w:bidi="ar-SA"/>
    </w:rPr>
  </w:style>
  <w:style w:type="paragraph" w:styleId="affffff1">
    <w:name w:val="toa heading"/>
    <w:basedOn w:val="aa"/>
    <w:next w:val="aa"/>
    <w:uiPriority w:val="99"/>
    <w:pPr>
      <w:spacing w:before="120"/>
    </w:pPr>
    <w:rPr>
      <w:rFonts w:ascii="Verdana" w:hAnsi="Verdana"/>
      <w:b/>
      <w:bCs/>
      <w:szCs w:val="24"/>
    </w:rPr>
  </w:style>
  <w:style w:type="paragraph" w:customStyle="1" w:styleId="Normal1">
    <w:name w:val="Normal1"/>
    <w:uiPriority w:val="99"/>
    <w:pPr>
      <w:widowControl w:val="0"/>
    </w:pPr>
    <w:rPr>
      <w:rFonts w:ascii="Times New Roman" w:eastAsia="Times New Roman" w:hAnsi="Times New Roman"/>
      <w:sz w:val="26"/>
    </w:rPr>
  </w:style>
  <w:style w:type="paragraph" w:customStyle="1" w:styleId="DatesNotes">
    <w:name w:val="Dates/Notes"/>
    <w:basedOn w:val="aa"/>
    <w:rPr>
      <w:rFonts w:ascii="Arial" w:hAnsi="Arial"/>
      <w:b/>
      <w:sz w:val="20"/>
      <w:szCs w:val="24"/>
      <w:lang w:val="en-US"/>
    </w:rPr>
  </w:style>
  <w:style w:type="paragraph" w:customStyle="1" w:styleId="12510">
    <w:name w:val="Стиль Заголовок 1 + По левому краю Перед:  25 пт После:  10 пт"/>
    <w:basedOn w:val="10"/>
    <w:uiPriority w:val="99"/>
    <w:pPr>
      <w:pageBreakBefore w:val="0"/>
      <w:tabs>
        <w:tab w:val="clear" w:pos="567"/>
        <w:tab w:val="num" w:pos="574"/>
      </w:tabs>
      <w:spacing w:before="120" w:after="200"/>
      <w:ind w:left="431" w:hanging="431"/>
      <w:jc w:val="left"/>
    </w:pPr>
    <w:rPr>
      <w:rFonts w:ascii="Arial" w:hAnsi="Arial"/>
      <w:bCs/>
      <w:sz w:val="28"/>
      <w:szCs w:val="20"/>
    </w:rPr>
  </w:style>
  <w:style w:type="character" w:customStyle="1" w:styleId="gertovskayairina">
    <w:name w:val="gertovskaya.irina"/>
    <w:semiHidden/>
    <w:rPr>
      <w:rFonts w:ascii="Arial" w:hAnsi="Arial" w:cs="Arial"/>
      <w:color w:val="auto"/>
      <w:sz w:val="20"/>
      <w:szCs w:val="20"/>
    </w:rPr>
  </w:style>
  <w:style w:type="paragraph" w:customStyle="1" w:styleId="xl37">
    <w:name w:val="xl37"/>
    <w:basedOn w:val="aa"/>
    <w:uiPriority w:val="99"/>
    <w:pPr>
      <w:pBdr>
        <w:left w:val="single" w:sz="4" w:space="0" w:color="000000"/>
        <w:bottom w:val="single" w:sz="4" w:space="0" w:color="000000"/>
        <w:right w:val="single" w:sz="4" w:space="0" w:color="000000"/>
      </w:pBdr>
      <w:shd w:val="clear" w:color="auto" w:fill="CCFFCC"/>
      <w:spacing w:before="100" w:beforeAutospacing="1" w:after="100" w:afterAutospacing="1"/>
      <w:jc w:val="center"/>
    </w:pPr>
    <w:rPr>
      <w:b/>
      <w:bCs/>
      <w:szCs w:val="24"/>
    </w:rPr>
  </w:style>
  <w:style w:type="paragraph" w:customStyle="1" w:styleId="xl59">
    <w:name w:val="xl59"/>
    <w:basedOn w:val="aa"/>
    <w:uiPriority w:val="99"/>
    <w:pPr>
      <w:pBdr>
        <w:bottom w:val="single" w:sz="4" w:space="0" w:color="000000"/>
      </w:pBdr>
      <w:shd w:val="clear" w:color="auto" w:fill="CCFFCC"/>
      <w:spacing w:before="100" w:beforeAutospacing="1" w:after="100" w:afterAutospacing="1"/>
      <w:jc w:val="center"/>
    </w:pPr>
    <w:rPr>
      <w:b/>
      <w:bCs/>
      <w:szCs w:val="24"/>
    </w:rPr>
  </w:style>
  <w:style w:type="paragraph" w:customStyle="1" w:styleId="1f6">
    <w:name w:val="Знак Знак Знак Знак Знак Знак Знак Знак Знак Знак1"/>
    <w:basedOn w:val="aa"/>
    <w:next w:val="aa"/>
    <w:uiPriority w:val="99"/>
    <w:semiHidden/>
    <w:pPr>
      <w:spacing w:after="160" w:line="240" w:lineRule="exact"/>
      <w:jc w:val="left"/>
    </w:pPr>
    <w:rPr>
      <w:rFonts w:ascii="Arial" w:hAnsi="Arial" w:cs="Arial"/>
      <w:sz w:val="20"/>
      <w:lang w:val="en-US" w:eastAsia="en-US"/>
    </w:rPr>
  </w:style>
  <w:style w:type="paragraph" w:customStyle="1" w:styleId="1f7">
    <w:name w:val="Знак Знак Знак1 Знак Знак Знак Знак Знак Знак Знак Знак Знак"/>
    <w:basedOn w:val="aa"/>
    <w:next w:val="aa"/>
    <w:uiPriority w:val="99"/>
    <w:semiHidden/>
    <w:pPr>
      <w:spacing w:after="160" w:line="240" w:lineRule="exact"/>
      <w:jc w:val="left"/>
    </w:pPr>
    <w:rPr>
      <w:rFonts w:ascii="Arial" w:hAnsi="Arial" w:cs="Arial"/>
      <w:sz w:val="20"/>
      <w:lang w:val="en-US" w:eastAsia="en-US"/>
    </w:rPr>
  </w:style>
  <w:style w:type="paragraph" w:customStyle="1" w:styleId="1f8">
    <w:name w:val="Знак Знак Знак Знак Знак Знак Знак Знак Знак1"/>
    <w:basedOn w:val="aa"/>
    <w:next w:val="aa"/>
    <w:uiPriority w:val="99"/>
    <w:semiHidden/>
    <w:pPr>
      <w:spacing w:after="160" w:line="240" w:lineRule="exact"/>
      <w:jc w:val="left"/>
    </w:pPr>
    <w:rPr>
      <w:rFonts w:ascii="Arial" w:hAnsi="Arial" w:cs="Arial"/>
      <w:sz w:val="20"/>
      <w:lang w:val="en-US" w:eastAsia="en-US"/>
    </w:rPr>
  </w:style>
  <w:style w:type="paragraph" w:customStyle="1" w:styleId="1f9">
    <w:name w:val="Знак Знак Знак1 Знак Знак Знак Знак Знак Знак Знак Знак Знак Знак"/>
    <w:basedOn w:val="aa"/>
    <w:next w:val="aa"/>
    <w:uiPriority w:val="99"/>
    <w:semiHidden/>
    <w:pPr>
      <w:spacing w:after="160" w:line="240" w:lineRule="exact"/>
      <w:jc w:val="left"/>
    </w:pPr>
    <w:rPr>
      <w:rFonts w:ascii="Arial" w:hAnsi="Arial" w:cs="Arial"/>
      <w:sz w:val="20"/>
      <w:lang w:val="en-US" w:eastAsia="en-US"/>
    </w:rPr>
  </w:style>
  <w:style w:type="paragraph" w:customStyle="1" w:styleId="affffff2">
    <w:name w:val="Знак Знак Знак"/>
    <w:basedOn w:val="aa"/>
    <w:next w:val="aa"/>
    <w:uiPriority w:val="99"/>
    <w:semiHidden/>
    <w:pPr>
      <w:spacing w:after="160" w:line="240" w:lineRule="exact"/>
      <w:jc w:val="left"/>
    </w:pPr>
    <w:rPr>
      <w:rFonts w:ascii="Arial" w:hAnsi="Arial" w:cs="Arial"/>
      <w:sz w:val="20"/>
      <w:lang w:val="en-US" w:eastAsia="en-US"/>
    </w:rPr>
  </w:style>
  <w:style w:type="paragraph" w:customStyle="1" w:styleId="1fa">
    <w:name w:val="Знак Знак Знак1 Знак Знак Знак Знак Знак Знак Знак Знак Знак Знак Знак Знак"/>
    <w:basedOn w:val="aa"/>
    <w:next w:val="aa"/>
    <w:uiPriority w:val="99"/>
    <w:semiHidden/>
    <w:pPr>
      <w:spacing w:after="160" w:line="240" w:lineRule="exact"/>
      <w:jc w:val="left"/>
    </w:pPr>
    <w:rPr>
      <w:rFonts w:ascii="Arial" w:hAnsi="Arial" w:cs="Arial"/>
      <w:sz w:val="20"/>
      <w:lang w:val="en-US" w:eastAsia="en-US"/>
    </w:rPr>
  </w:style>
  <w:style w:type="paragraph" w:customStyle="1" w:styleId="1fb">
    <w:name w:val="Знак Знак Знак1 Знак Знак Знак Знак Знак Знак Знак Знак Знак Знак Знак Знак Знак Знак Знак Знак Знак Знак Знак"/>
    <w:basedOn w:val="aa"/>
    <w:next w:val="aa"/>
    <w:uiPriority w:val="99"/>
    <w:semiHidden/>
    <w:pPr>
      <w:spacing w:after="160" w:line="240" w:lineRule="exact"/>
      <w:jc w:val="left"/>
    </w:pPr>
    <w:rPr>
      <w:rFonts w:ascii="Arial" w:hAnsi="Arial" w:cs="Arial"/>
      <w:sz w:val="20"/>
      <w:lang w:val="en-US" w:eastAsia="en-US"/>
    </w:rPr>
  </w:style>
  <w:style w:type="character" w:customStyle="1" w:styleId="2fe">
    <w:name w:val="Знак Знак2"/>
    <w:rPr>
      <w:rFonts w:cs="Arial"/>
      <w:b/>
      <w:bCs/>
      <w:iCs/>
      <w:sz w:val="28"/>
      <w:szCs w:val="28"/>
      <w:lang w:val="ru-RU" w:eastAsia="ru-RU" w:bidi="ar-SA"/>
    </w:rPr>
  </w:style>
  <w:style w:type="character" w:customStyle="1" w:styleId="1fc">
    <w:name w:val="Знак Знак1"/>
    <w:rPr>
      <w:rFonts w:cs="Arial"/>
      <w:b/>
      <w:bCs/>
      <w:iCs/>
      <w:sz w:val="26"/>
      <w:szCs w:val="26"/>
      <w:lang w:val="ru-RU" w:eastAsia="ru-RU" w:bidi="ar-SA"/>
    </w:rPr>
  </w:style>
  <w:style w:type="paragraph" w:customStyle="1" w:styleId="1fd">
    <w:name w:val="Знак Знак Знак1 Знак"/>
    <w:basedOn w:val="aa"/>
    <w:next w:val="aa"/>
    <w:uiPriority w:val="99"/>
    <w:semiHidden/>
    <w:pPr>
      <w:spacing w:after="160" w:line="240" w:lineRule="exact"/>
      <w:jc w:val="left"/>
    </w:pPr>
    <w:rPr>
      <w:rFonts w:ascii="Arial" w:hAnsi="Arial" w:cs="Arial"/>
      <w:sz w:val="20"/>
      <w:lang w:val="en-US" w:eastAsia="en-US"/>
    </w:rPr>
  </w:style>
  <w:style w:type="paragraph" w:customStyle="1" w:styleId="affffff3">
    <w:name w:val="Знак"/>
    <w:basedOn w:val="aa"/>
    <w:next w:val="aa"/>
    <w:uiPriority w:val="99"/>
    <w:semiHidden/>
    <w:pPr>
      <w:spacing w:after="160" w:line="240" w:lineRule="exact"/>
      <w:jc w:val="left"/>
    </w:pPr>
    <w:rPr>
      <w:rFonts w:ascii="Arial" w:hAnsi="Arial" w:cs="Arial"/>
      <w:sz w:val="20"/>
      <w:lang w:val="en-US" w:eastAsia="en-US"/>
    </w:rPr>
  </w:style>
  <w:style w:type="paragraph" w:customStyle="1" w:styleId="1fe">
    <w:name w:val="Знак Знак Знак Знак1"/>
    <w:basedOn w:val="aa"/>
    <w:next w:val="aa"/>
    <w:uiPriority w:val="99"/>
    <w:semiHidden/>
    <w:pPr>
      <w:spacing w:after="160" w:line="240" w:lineRule="exact"/>
      <w:jc w:val="left"/>
    </w:pPr>
    <w:rPr>
      <w:rFonts w:ascii="Arial" w:hAnsi="Arial" w:cs="Arial"/>
      <w:sz w:val="20"/>
      <w:lang w:val="en-US" w:eastAsia="en-US"/>
    </w:rPr>
  </w:style>
  <w:style w:type="character" w:customStyle="1" w:styleId="3f3">
    <w:name w:val="Знак Знак3"/>
    <w:rPr>
      <w:b/>
      <w:sz w:val="32"/>
      <w:szCs w:val="32"/>
      <w:lang w:val="ru-RU" w:eastAsia="ru-RU" w:bidi="ar-SA"/>
    </w:rPr>
  </w:style>
  <w:style w:type="paragraph" w:customStyle="1" w:styleId="affffff4">
    <w:name w:val="Заг_Приложение"/>
    <w:basedOn w:val="10"/>
    <w:next w:val="aa"/>
    <w:link w:val="affffff5"/>
    <w:pPr>
      <w:tabs>
        <w:tab w:val="num" w:pos="0"/>
      </w:tabs>
      <w:ind w:left="0" w:firstLine="0"/>
    </w:pPr>
    <w:rPr>
      <w:sz w:val="36"/>
    </w:rPr>
  </w:style>
  <w:style w:type="paragraph" w:customStyle="1" w:styleId="180">
    <w:name w:val="Знак Знак Знак Знак18"/>
    <w:basedOn w:val="aa"/>
    <w:next w:val="aa"/>
    <w:semiHidden/>
    <w:pPr>
      <w:spacing w:after="160" w:line="240" w:lineRule="exact"/>
      <w:jc w:val="left"/>
    </w:pPr>
    <w:rPr>
      <w:rFonts w:ascii="Arial" w:hAnsi="Arial" w:cs="Arial"/>
      <w:sz w:val="20"/>
      <w:lang w:val="en-US" w:eastAsia="en-US"/>
    </w:rPr>
  </w:style>
  <w:style w:type="paragraph" w:customStyle="1" w:styleId="29">
    <w:name w:val="Приложение29"/>
    <w:basedOn w:val="aa"/>
    <w:next w:val="aa"/>
    <w:uiPriority w:val="99"/>
    <w:semiHidden/>
    <w:pPr>
      <w:pageBreakBefore/>
      <w:widowControl w:val="0"/>
      <w:numPr>
        <w:numId w:val="44"/>
      </w:numPr>
      <w:pBdr>
        <w:bottom w:val="single" w:sz="18" w:space="1" w:color="000000"/>
      </w:pBdr>
      <w:shd w:val="pct12" w:color="auto" w:fill="FFFFFF"/>
      <w:tabs>
        <w:tab w:val="left" w:pos="1418"/>
      </w:tabs>
    </w:pPr>
    <w:rPr>
      <w:b/>
      <w:sz w:val="28"/>
      <w:lang w:val="en-US" w:eastAsia="en-US"/>
    </w:rPr>
  </w:style>
  <w:style w:type="paragraph" w:customStyle="1" w:styleId="CharCharChar">
    <w:name w:val="Char Char Char"/>
    <w:basedOn w:val="aa"/>
    <w:uiPriority w:val="99"/>
    <w:semiHidden/>
    <w:pPr>
      <w:spacing w:after="160" w:line="240" w:lineRule="exact"/>
      <w:jc w:val="left"/>
    </w:pPr>
    <w:rPr>
      <w:rFonts w:ascii="Verdana" w:hAnsi="Verdana"/>
      <w:sz w:val="20"/>
      <w:lang w:val="en-US" w:eastAsia="en-US"/>
    </w:rPr>
  </w:style>
  <w:style w:type="paragraph" w:customStyle="1" w:styleId="OTRTablenorm">
    <w:name w:val="_OTR_Table_norm"/>
    <w:uiPriority w:val="99"/>
    <w:pPr>
      <w:spacing w:before="60" w:after="60"/>
      <w:contextualSpacing/>
    </w:pPr>
    <w:rPr>
      <w:rFonts w:ascii="Times New Roman" w:eastAsia="Times New Roman" w:hAnsi="Times New Roman"/>
      <w:sz w:val="24"/>
    </w:rPr>
  </w:style>
  <w:style w:type="paragraph" w:customStyle="1" w:styleId="OTRTableHead2">
    <w:name w:val="_OTR_Table_Head"/>
    <w:basedOn w:val="OTRTablenorm"/>
    <w:uiPriority w:val="99"/>
    <w:pPr>
      <w:keepNext/>
      <w:jc w:val="center"/>
    </w:pPr>
    <w:rPr>
      <w:b/>
      <w:bCs/>
    </w:rPr>
  </w:style>
  <w:style w:type="paragraph" w:customStyle="1" w:styleId="OTRNormal4">
    <w:name w:val="_OTR_Normal"/>
    <w:link w:val="OTRNormal5"/>
    <w:pPr>
      <w:spacing w:before="120" w:after="120"/>
      <w:ind w:firstLine="567"/>
      <w:contextualSpacing/>
      <w:jc w:val="both"/>
    </w:pPr>
    <w:rPr>
      <w:rFonts w:ascii="Times New Roman" w:eastAsia="Times New Roman" w:hAnsi="Times New Roman"/>
      <w:sz w:val="24"/>
    </w:rPr>
  </w:style>
  <w:style w:type="character" w:customStyle="1" w:styleId="OTRNormal5">
    <w:name w:val="_OTR_Normal Знак"/>
    <w:link w:val="OTRNormal4"/>
    <w:rPr>
      <w:rFonts w:ascii="Times New Roman" w:eastAsia="Times New Roman" w:hAnsi="Times New Roman"/>
      <w:sz w:val="24"/>
      <w:lang w:bidi="ar-SA"/>
    </w:rPr>
  </w:style>
  <w:style w:type="paragraph" w:customStyle="1" w:styleId="otrTablenorm0">
    <w:name w:val="_otr_Table_norm"/>
    <w:link w:val="otrTablenorm1"/>
    <w:pPr>
      <w:spacing w:before="60" w:after="60"/>
      <w:contextualSpacing/>
    </w:pPr>
    <w:rPr>
      <w:rFonts w:ascii="Times New Roman" w:eastAsia="Times New Roman" w:hAnsi="Times New Roman"/>
      <w:sz w:val="24"/>
    </w:rPr>
  </w:style>
  <w:style w:type="character" w:customStyle="1" w:styleId="OTRSymBold1">
    <w:name w:val="_OTR_Sym_Bold"/>
    <w:rPr>
      <w:b/>
    </w:rPr>
  </w:style>
  <w:style w:type="paragraph" w:customStyle="1" w:styleId="OTRTableNum2">
    <w:name w:val="_OTR_Table_Num"/>
    <w:basedOn w:val="aa"/>
    <w:uiPriority w:val="99"/>
    <w:pPr>
      <w:tabs>
        <w:tab w:val="num" w:pos="0"/>
      </w:tabs>
      <w:spacing w:before="60" w:after="60"/>
      <w:ind w:left="284" w:hanging="284"/>
      <w:jc w:val="left"/>
    </w:pPr>
  </w:style>
  <w:style w:type="paragraph" w:customStyle="1" w:styleId="TableHeading">
    <w:name w:val="Table Heading"/>
    <w:basedOn w:val="aa"/>
    <w:uiPriority w:val="99"/>
    <w:pPr>
      <w:keepLines/>
      <w:spacing w:before="120" w:after="120"/>
      <w:jc w:val="left"/>
    </w:pPr>
    <w:rPr>
      <w:b/>
      <w:sz w:val="16"/>
    </w:rPr>
  </w:style>
  <w:style w:type="paragraph" w:customStyle="1" w:styleId="FTAS1">
    <w:name w:val="FTAS_Заголовок1"/>
    <w:basedOn w:val="22"/>
    <w:next w:val="FTAS2"/>
    <w:uiPriority w:val="99"/>
    <w:pPr>
      <w:pageBreakBefore/>
      <w:pBdr>
        <w:top w:val="single" w:sz="48" w:space="4" w:color="000000"/>
      </w:pBdr>
      <w:tabs>
        <w:tab w:val="num" w:pos="720"/>
      </w:tabs>
      <w:spacing w:before="120"/>
    </w:pPr>
    <w:rPr>
      <w:bCs w:val="0"/>
      <w:iCs w:val="0"/>
      <w:szCs w:val="20"/>
    </w:rPr>
  </w:style>
  <w:style w:type="paragraph" w:customStyle="1" w:styleId="FTAS2">
    <w:name w:val="FTAS_Заголовок2"/>
    <w:basedOn w:val="31"/>
    <w:next w:val="aa"/>
    <w:uiPriority w:val="99"/>
    <w:pPr>
      <w:pBdr>
        <w:top w:val="single" w:sz="36" w:space="1" w:color="000000"/>
      </w:pBdr>
      <w:tabs>
        <w:tab w:val="left" w:pos="471"/>
        <w:tab w:val="num" w:pos="1080"/>
      </w:tabs>
      <w:spacing w:before="120"/>
      <w:ind w:left="471" w:right="7303" w:hanging="471"/>
    </w:pPr>
    <w:rPr>
      <w:iCs w:val="0"/>
      <w:sz w:val="24"/>
    </w:rPr>
  </w:style>
  <w:style w:type="paragraph" w:customStyle="1" w:styleId="FTAS0">
    <w:name w:val="FTAS_Текст"/>
    <w:basedOn w:val="afd"/>
    <w:uiPriority w:val="99"/>
    <w:pPr>
      <w:spacing w:before="120" w:after="120"/>
      <w:ind w:left="2520"/>
      <w:jc w:val="left"/>
    </w:pPr>
    <w:rPr>
      <w:sz w:val="20"/>
    </w:rPr>
  </w:style>
  <w:style w:type="paragraph" w:customStyle="1" w:styleId="FTAS">
    <w:name w:val="FTAS_Перечень_*"/>
    <w:basedOn w:val="aa"/>
    <w:uiPriority w:val="99"/>
    <w:pPr>
      <w:keepLines/>
      <w:numPr>
        <w:numId w:val="45"/>
      </w:numPr>
      <w:spacing w:before="60" w:after="60"/>
      <w:ind w:left="3237" w:hanging="357"/>
      <w:jc w:val="left"/>
    </w:pPr>
    <w:rPr>
      <w:sz w:val="20"/>
      <w:lang w:eastAsia="ja-JP"/>
    </w:rPr>
  </w:style>
  <w:style w:type="paragraph" w:customStyle="1" w:styleId="FTAS3">
    <w:name w:val="FTAS_Таблица"/>
    <w:basedOn w:val="aa"/>
    <w:uiPriority w:val="99"/>
    <w:pPr>
      <w:jc w:val="left"/>
    </w:pPr>
    <w:rPr>
      <w:sz w:val="20"/>
    </w:rPr>
  </w:style>
  <w:style w:type="paragraph" w:customStyle="1" w:styleId="FTAS4">
    <w:name w:val="FTAS_Таблица название"/>
    <w:basedOn w:val="aa"/>
    <w:next w:val="aa"/>
    <w:uiPriority w:val="99"/>
    <w:pPr>
      <w:spacing w:before="240" w:after="120"/>
      <w:ind w:left="2518"/>
      <w:jc w:val="left"/>
    </w:pPr>
    <w:rPr>
      <w:b/>
      <w:sz w:val="20"/>
    </w:rPr>
  </w:style>
  <w:style w:type="character" w:customStyle="1" w:styleId="t1">
    <w:name w:val="t1"/>
    <w:rPr>
      <w:color w:val="990000"/>
    </w:rPr>
  </w:style>
  <w:style w:type="character" w:customStyle="1" w:styleId="HighlightedVariable">
    <w:name w:val="Highlighted Variable"/>
    <w:rPr>
      <w:rFonts w:ascii="Courier New" w:hAnsi="Courier New"/>
      <w:color w:val="0000FF"/>
    </w:rPr>
  </w:style>
  <w:style w:type="character" w:customStyle="1" w:styleId="m1">
    <w:name w:val="m1"/>
    <w:rPr>
      <w:color w:val="0000FF"/>
    </w:rPr>
  </w:style>
  <w:style w:type="paragraph" w:customStyle="1" w:styleId="1ff">
    <w:name w:val="Заголовок оглавления1"/>
    <w:basedOn w:val="10"/>
    <w:next w:val="aa"/>
    <w:uiPriority w:val="99"/>
    <w:qFormat/>
    <w:pPr>
      <w:keepLines/>
      <w:pageBreakBefore w:val="0"/>
      <w:numPr>
        <w:numId w:val="0"/>
      </w:numPr>
      <w:spacing w:before="480" w:after="0" w:line="276" w:lineRule="auto"/>
      <w:jc w:val="left"/>
      <w:outlineLvl w:val="9"/>
    </w:pPr>
    <w:rPr>
      <w:rFonts w:ascii="Verdana" w:hAnsi="Verdana"/>
      <w:bCs/>
      <w:color w:val="365F91"/>
      <w:sz w:val="28"/>
      <w:szCs w:val="28"/>
      <w:lang w:eastAsia="en-US"/>
    </w:rPr>
  </w:style>
  <w:style w:type="character" w:customStyle="1" w:styleId="tx1">
    <w:name w:val="tx1"/>
    <w:rPr>
      <w:b/>
      <w:bCs/>
    </w:rPr>
  </w:style>
  <w:style w:type="paragraph" w:customStyle="1" w:styleId="TableCellL">
    <w:name w:val="Table Cell L"/>
    <w:basedOn w:val="aa"/>
    <w:pPr>
      <w:jc w:val="left"/>
    </w:pPr>
    <w:rPr>
      <w:sz w:val="22"/>
    </w:rPr>
  </w:style>
  <w:style w:type="paragraph" w:customStyle="1" w:styleId="TableCellC">
    <w:name w:val="Table Cell C"/>
    <w:basedOn w:val="TableCellL"/>
    <w:uiPriority w:val="99"/>
    <w:pPr>
      <w:jc w:val="center"/>
    </w:pPr>
    <w:rPr>
      <w:szCs w:val="24"/>
    </w:rPr>
  </w:style>
  <w:style w:type="character" w:customStyle="1" w:styleId="balybinandrey">
    <w:name w:val="balybin.andrey"/>
    <w:semiHidden/>
    <w:rPr>
      <w:rFonts w:ascii="Arial" w:hAnsi="Arial" w:cs="Arial"/>
      <w:color w:val="000080"/>
      <w:sz w:val="20"/>
      <w:szCs w:val="20"/>
    </w:rPr>
  </w:style>
  <w:style w:type="paragraph" w:customStyle="1" w:styleId="xl63">
    <w:name w:val="xl63"/>
    <w:basedOn w:val="aa"/>
    <w:uiPriority w:val="99"/>
    <w:pPr>
      <w:pBdr>
        <w:top w:val="single" w:sz="8" w:space="0" w:color="000000"/>
        <w:left w:val="single" w:sz="8" w:space="0" w:color="000000"/>
        <w:bottom w:val="single" w:sz="8" w:space="0" w:color="000000"/>
        <w:right w:val="single" w:sz="8" w:space="0" w:color="000000"/>
      </w:pBdr>
      <w:spacing w:before="100" w:beforeAutospacing="1" w:after="100" w:afterAutospacing="1"/>
      <w:jc w:val="left"/>
    </w:pPr>
    <w:rPr>
      <w:b/>
      <w:bCs/>
      <w:color w:val="000000"/>
      <w:sz w:val="20"/>
    </w:rPr>
  </w:style>
  <w:style w:type="paragraph" w:customStyle="1" w:styleId="xl64">
    <w:name w:val="xl64"/>
    <w:basedOn w:val="aa"/>
    <w:uiPriority w:val="99"/>
    <w:pPr>
      <w:pBdr>
        <w:top w:val="single" w:sz="8" w:space="0" w:color="000000"/>
        <w:bottom w:val="single" w:sz="8" w:space="0" w:color="000000"/>
        <w:right w:val="single" w:sz="8" w:space="0" w:color="000000"/>
      </w:pBdr>
      <w:spacing w:before="100" w:beforeAutospacing="1" w:after="100" w:afterAutospacing="1"/>
      <w:jc w:val="left"/>
    </w:pPr>
    <w:rPr>
      <w:b/>
      <w:bCs/>
      <w:color w:val="000000"/>
      <w:sz w:val="20"/>
    </w:rPr>
  </w:style>
  <w:style w:type="paragraph" w:customStyle="1" w:styleId="xl65">
    <w:name w:val="xl65"/>
    <w:basedOn w:val="aa"/>
    <w:uiPriority w:val="99"/>
    <w:pPr>
      <w:pBdr>
        <w:left w:val="single" w:sz="8" w:space="0" w:color="000000"/>
        <w:bottom w:val="single" w:sz="8" w:space="0" w:color="000000"/>
        <w:right w:val="single" w:sz="8" w:space="0" w:color="000000"/>
      </w:pBdr>
      <w:spacing w:before="100" w:beforeAutospacing="1" w:after="100" w:afterAutospacing="1"/>
      <w:jc w:val="left"/>
    </w:pPr>
    <w:rPr>
      <w:b/>
      <w:bCs/>
      <w:color w:val="000000"/>
      <w:sz w:val="20"/>
    </w:rPr>
  </w:style>
  <w:style w:type="paragraph" w:customStyle="1" w:styleId="xl66">
    <w:name w:val="xl66"/>
    <w:basedOn w:val="aa"/>
    <w:uiPriority w:val="99"/>
    <w:pPr>
      <w:pBdr>
        <w:bottom w:val="single" w:sz="8" w:space="0" w:color="000000"/>
        <w:right w:val="single" w:sz="8" w:space="0" w:color="000000"/>
      </w:pBdr>
      <w:spacing w:before="100" w:beforeAutospacing="1" w:after="100" w:afterAutospacing="1"/>
      <w:jc w:val="left"/>
    </w:pPr>
    <w:rPr>
      <w:color w:val="000000"/>
      <w:sz w:val="20"/>
    </w:rPr>
  </w:style>
  <w:style w:type="paragraph" w:customStyle="1" w:styleId="xl67">
    <w:name w:val="xl67"/>
    <w:basedOn w:val="aa"/>
    <w:uiPriority w:val="99"/>
    <w:pPr>
      <w:pBdr>
        <w:left w:val="single" w:sz="8" w:space="0" w:color="000000"/>
        <w:bottom w:val="single" w:sz="8" w:space="0" w:color="000000"/>
        <w:right w:val="single" w:sz="8" w:space="0" w:color="000000"/>
      </w:pBdr>
      <w:spacing w:before="100" w:beforeAutospacing="1" w:after="100" w:afterAutospacing="1"/>
      <w:jc w:val="left"/>
    </w:pPr>
    <w:rPr>
      <w:color w:val="000000"/>
      <w:sz w:val="20"/>
    </w:rPr>
  </w:style>
  <w:style w:type="paragraph" w:customStyle="1" w:styleId="xl68">
    <w:name w:val="xl68"/>
    <w:basedOn w:val="aa"/>
    <w:uiPriority w:val="99"/>
    <w:pPr>
      <w:pBdr>
        <w:bottom w:val="single" w:sz="8" w:space="0" w:color="000000"/>
        <w:right w:val="single" w:sz="8" w:space="0" w:color="000000"/>
      </w:pBdr>
      <w:spacing w:before="100" w:beforeAutospacing="1" w:after="100" w:afterAutospacing="1"/>
      <w:jc w:val="left"/>
    </w:pPr>
    <w:rPr>
      <w:b/>
      <w:bCs/>
      <w:color w:val="000000"/>
      <w:sz w:val="20"/>
    </w:rPr>
  </w:style>
  <w:style w:type="paragraph" w:customStyle="1" w:styleId="xl69">
    <w:name w:val="xl69"/>
    <w:basedOn w:val="aa"/>
    <w:uiPriority w:val="99"/>
    <w:pPr>
      <w:pBdr>
        <w:left w:val="single" w:sz="8" w:space="0" w:color="000000"/>
        <w:right w:val="single" w:sz="8" w:space="0" w:color="000000"/>
      </w:pBdr>
      <w:spacing w:before="100" w:beforeAutospacing="1" w:after="100" w:afterAutospacing="1"/>
      <w:jc w:val="left"/>
    </w:pPr>
    <w:rPr>
      <w:color w:val="000000"/>
      <w:sz w:val="20"/>
    </w:rPr>
  </w:style>
  <w:style w:type="paragraph" w:customStyle="1" w:styleId="xl70">
    <w:name w:val="xl70"/>
    <w:basedOn w:val="aa"/>
    <w:uiPriority w:val="99"/>
    <w:pPr>
      <w:pBdr>
        <w:right w:val="single" w:sz="8" w:space="0" w:color="000000"/>
      </w:pBdr>
      <w:spacing w:before="100" w:beforeAutospacing="1" w:after="100" w:afterAutospacing="1"/>
      <w:jc w:val="left"/>
    </w:pPr>
    <w:rPr>
      <w:color w:val="000000"/>
      <w:sz w:val="20"/>
    </w:rPr>
  </w:style>
  <w:style w:type="paragraph" w:customStyle="1" w:styleId="xl71">
    <w:name w:val="xl71"/>
    <w:basedOn w:val="aa"/>
    <w:uiPriority w:val="99"/>
    <w:pPr>
      <w:pBdr>
        <w:top w:val="single" w:sz="8" w:space="0" w:color="000000"/>
        <w:left w:val="single" w:sz="8" w:space="0" w:color="000000"/>
        <w:right w:val="single" w:sz="8" w:space="0" w:color="000000"/>
      </w:pBdr>
      <w:spacing w:before="100" w:beforeAutospacing="1" w:after="100" w:afterAutospacing="1"/>
      <w:jc w:val="left"/>
    </w:pPr>
    <w:rPr>
      <w:color w:val="000000"/>
      <w:sz w:val="20"/>
    </w:rPr>
  </w:style>
  <w:style w:type="paragraph" w:customStyle="1" w:styleId="xl72">
    <w:name w:val="xl72"/>
    <w:basedOn w:val="aa"/>
    <w:uiPriority w:val="99"/>
    <w:pPr>
      <w:pBdr>
        <w:top w:val="single" w:sz="8" w:space="0" w:color="000000"/>
        <w:left w:val="single" w:sz="8" w:space="0" w:color="000000"/>
        <w:bottom w:val="single" w:sz="8" w:space="0" w:color="000000"/>
      </w:pBdr>
      <w:spacing w:before="100" w:beforeAutospacing="1" w:after="100" w:afterAutospacing="1"/>
      <w:jc w:val="left"/>
    </w:pPr>
    <w:rPr>
      <w:b/>
      <w:bCs/>
      <w:color w:val="000000"/>
      <w:sz w:val="20"/>
    </w:rPr>
  </w:style>
  <w:style w:type="paragraph" w:customStyle="1" w:styleId="xl73">
    <w:name w:val="xl73"/>
    <w:basedOn w:val="aa"/>
    <w:uiPriority w:val="99"/>
    <w:pPr>
      <w:pBdr>
        <w:top w:val="single" w:sz="8" w:space="0" w:color="000000"/>
        <w:bottom w:val="single" w:sz="8" w:space="0" w:color="000000"/>
      </w:pBdr>
      <w:spacing w:before="100" w:beforeAutospacing="1" w:after="100" w:afterAutospacing="1"/>
      <w:jc w:val="left"/>
    </w:pPr>
    <w:rPr>
      <w:b/>
      <w:bCs/>
      <w:color w:val="000000"/>
      <w:sz w:val="20"/>
    </w:rPr>
  </w:style>
  <w:style w:type="paragraph" w:customStyle="1" w:styleId="xl74">
    <w:name w:val="xl74"/>
    <w:basedOn w:val="aa"/>
    <w:uiPriority w:val="99"/>
    <w:pPr>
      <w:pBdr>
        <w:top w:val="single" w:sz="8" w:space="0" w:color="000000"/>
        <w:bottom w:val="single" w:sz="8" w:space="0" w:color="000000"/>
        <w:right w:val="single" w:sz="8" w:space="0" w:color="000000"/>
      </w:pBdr>
      <w:spacing w:before="100" w:beforeAutospacing="1" w:after="100" w:afterAutospacing="1"/>
      <w:jc w:val="left"/>
    </w:pPr>
    <w:rPr>
      <w:b/>
      <w:bCs/>
      <w:color w:val="000000"/>
      <w:sz w:val="20"/>
    </w:rPr>
  </w:style>
  <w:style w:type="paragraph" w:customStyle="1" w:styleId="xl75">
    <w:name w:val="xl75"/>
    <w:basedOn w:val="aa"/>
    <w:uiPriority w:val="99"/>
    <w:pPr>
      <w:pBdr>
        <w:left w:val="single" w:sz="8" w:space="0" w:color="000000"/>
        <w:bottom w:val="single" w:sz="8" w:space="0" w:color="000000"/>
        <w:right w:val="single" w:sz="8" w:space="0" w:color="000000"/>
      </w:pBdr>
      <w:spacing w:before="100" w:beforeAutospacing="1" w:after="100" w:afterAutospacing="1"/>
      <w:jc w:val="center"/>
    </w:pPr>
    <w:rPr>
      <w:color w:val="000000"/>
      <w:sz w:val="20"/>
    </w:rPr>
  </w:style>
  <w:style w:type="paragraph" w:customStyle="1" w:styleId="xl76">
    <w:name w:val="xl76"/>
    <w:basedOn w:val="aa"/>
    <w:uiPriority w:val="99"/>
    <w:pPr>
      <w:spacing w:before="100" w:beforeAutospacing="1" w:after="100" w:afterAutospacing="1"/>
      <w:jc w:val="left"/>
    </w:pPr>
    <w:rPr>
      <w:szCs w:val="24"/>
    </w:rPr>
  </w:style>
  <w:style w:type="paragraph" w:customStyle="1" w:styleId="xl77">
    <w:name w:val="xl77"/>
    <w:basedOn w:val="aa"/>
    <w:uiPriority w:val="99"/>
    <w:pPr>
      <w:pBdr>
        <w:top w:val="single" w:sz="8" w:space="0" w:color="000000"/>
        <w:left w:val="single" w:sz="8" w:space="0" w:color="000000"/>
        <w:bottom w:val="single" w:sz="8" w:space="0" w:color="000000"/>
        <w:right w:val="single" w:sz="8" w:space="0" w:color="000000"/>
      </w:pBdr>
      <w:spacing w:before="100" w:beforeAutospacing="1" w:after="100" w:afterAutospacing="1"/>
    </w:pPr>
    <w:rPr>
      <w:szCs w:val="24"/>
    </w:rPr>
  </w:style>
  <w:style w:type="paragraph" w:customStyle="1" w:styleId="xl78">
    <w:name w:val="xl78"/>
    <w:basedOn w:val="aa"/>
    <w:uiPriority w:val="99"/>
    <w:pPr>
      <w:pBdr>
        <w:top w:val="single" w:sz="8" w:space="0" w:color="000000"/>
        <w:left w:val="single" w:sz="8" w:space="0" w:color="000000"/>
        <w:bottom w:val="single" w:sz="8" w:space="0" w:color="000000"/>
      </w:pBdr>
      <w:spacing w:before="100" w:beforeAutospacing="1" w:after="100" w:afterAutospacing="1"/>
      <w:jc w:val="center"/>
    </w:pPr>
    <w:rPr>
      <w:b/>
      <w:bCs/>
      <w:color w:val="000000"/>
      <w:sz w:val="20"/>
    </w:rPr>
  </w:style>
  <w:style w:type="paragraph" w:customStyle="1" w:styleId="xl79">
    <w:name w:val="xl79"/>
    <w:basedOn w:val="aa"/>
    <w:uiPriority w:val="99"/>
    <w:pPr>
      <w:pBdr>
        <w:top w:val="single" w:sz="8" w:space="0" w:color="000000"/>
        <w:bottom w:val="single" w:sz="8" w:space="0" w:color="000000"/>
      </w:pBdr>
      <w:spacing w:before="100" w:beforeAutospacing="1" w:after="100" w:afterAutospacing="1"/>
      <w:jc w:val="center"/>
    </w:pPr>
    <w:rPr>
      <w:b/>
      <w:bCs/>
      <w:color w:val="000000"/>
      <w:sz w:val="20"/>
    </w:rPr>
  </w:style>
  <w:style w:type="paragraph" w:customStyle="1" w:styleId="xl80">
    <w:name w:val="xl80"/>
    <w:basedOn w:val="aa"/>
    <w:uiPriority w:val="99"/>
    <w:pPr>
      <w:pBdr>
        <w:top w:val="single" w:sz="8" w:space="0" w:color="000000"/>
        <w:bottom w:val="single" w:sz="8" w:space="0" w:color="000000"/>
        <w:right w:val="single" w:sz="8" w:space="0" w:color="000000"/>
      </w:pBdr>
      <w:spacing w:before="100" w:beforeAutospacing="1" w:after="100" w:afterAutospacing="1"/>
      <w:jc w:val="center"/>
    </w:pPr>
    <w:rPr>
      <w:b/>
      <w:bCs/>
      <w:color w:val="000000"/>
      <w:sz w:val="20"/>
    </w:rPr>
  </w:style>
  <w:style w:type="paragraph" w:customStyle="1" w:styleId="xl81">
    <w:name w:val="xl81"/>
    <w:basedOn w:val="aa"/>
    <w:uiPriority w:val="99"/>
    <w:pPr>
      <w:pBdr>
        <w:top w:val="single" w:sz="8" w:space="0" w:color="000000"/>
        <w:left w:val="single" w:sz="8" w:space="0" w:color="000000"/>
        <w:bottom w:val="single" w:sz="8" w:space="0" w:color="000000"/>
      </w:pBdr>
      <w:spacing w:before="100" w:beforeAutospacing="1" w:after="100" w:afterAutospacing="1"/>
      <w:jc w:val="center"/>
    </w:pPr>
    <w:rPr>
      <w:b/>
      <w:bCs/>
      <w:color w:val="000000"/>
      <w:szCs w:val="24"/>
    </w:rPr>
  </w:style>
  <w:style w:type="paragraph" w:customStyle="1" w:styleId="xl82">
    <w:name w:val="xl82"/>
    <w:basedOn w:val="aa"/>
    <w:uiPriority w:val="99"/>
    <w:pPr>
      <w:pBdr>
        <w:top w:val="single" w:sz="8" w:space="0" w:color="000000"/>
        <w:bottom w:val="single" w:sz="8" w:space="0" w:color="000000"/>
      </w:pBdr>
      <w:spacing w:before="100" w:beforeAutospacing="1" w:after="100" w:afterAutospacing="1"/>
      <w:jc w:val="center"/>
    </w:pPr>
    <w:rPr>
      <w:b/>
      <w:bCs/>
      <w:color w:val="000000"/>
      <w:szCs w:val="24"/>
    </w:rPr>
  </w:style>
  <w:style w:type="paragraph" w:customStyle="1" w:styleId="xl83">
    <w:name w:val="xl83"/>
    <w:basedOn w:val="aa"/>
    <w:uiPriority w:val="99"/>
    <w:pPr>
      <w:pBdr>
        <w:top w:val="single" w:sz="8" w:space="0" w:color="000000"/>
        <w:bottom w:val="single" w:sz="8" w:space="0" w:color="000000"/>
        <w:right w:val="single" w:sz="8" w:space="0" w:color="000000"/>
      </w:pBdr>
      <w:spacing w:before="100" w:beforeAutospacing="1" w:after="100" w:afterAutospacing="1"/>
      <w:jc w:val="center"/>
    </w:pPr>
    <w:rPr>
      <w:b/>
      <w:bCs/>
      <w:color w:val="000000"/>
      <w:szCs w:val="24"/>
    </w:rPr>
  </w:style>
  <w:style w:type="paragraph" w:customStyle="1" w:styleId="xl84">
    <w:name w:val="xl84"/>
    <w:basedOn w:val="aa"/>
    <w:uiPriority w:val="99"/>
    <w:pPr>
      <w:pBdr>
        <w:top w:val="single" w:sz="8" w:space="0" w:color="000000"/>
        <w:bottom w:val="single" w:sz="8" w:space="0" w:color="000000"/>
      </w:pBdr>
      <w:spacing w:before="100" w:beforeAutospacing="1" w:after="100" w:afterAutospacing="1"/>
      <w:jc w:val="center"/>
    </w:pPr>
    <w:rPr>
      <w:b/>
      <w:bCs/>
      <w:color w:val="000000"/>
      <w:sz w:val="20"/>
    </w:rPr>
  </w:style>
  <w:style w:type="paragraph" w:customStyle="1" w:styleId="xl85">
    <w:name w:val="xl85"/>
    <w:basedOn w:val="aa"/>
    <w:uiPriority w:val="99"/>
    <w:pPr>
      <w:pBdr>
        <w:top w:val="single" w:sz="8" w:space="0" w:color="000000"/>
        <w:bottom w:val="single" w:sz="8" w:space="0" w:color="000000"/>
        <w:right w:val="single" w:sz="8" w:space="0" w:color="000000"/>
      </w:pBdr>
      <w:spacing w:before="100" w:beforeAutospacing="1" w:after="100" w:afterAutospacing="1"/>
      <w:jc w:val="center"/>
    </w:pPr>
    <w:rPr>
      <w:b/>
      <w:bCs/>
      <w:color w:val="000000"/>
      <w:sz w:val="20"/>
    </w:rPr>
  </w:style>
  <w:style w:type="paragraph" w:customStyle="1" w:styleId="xl86">
    <w:name w:val="xl86"/>
    <w:basedOn w:val="aa"/>
    <w:uiPriority w:val="99"/>
    <w:pPr>
      <w:pBdr>
        <w:bottom w:val="single" w:sz="8" w:space="0" w:color="000000"/>
        <w:right w:val="single" w:sz="8" w:space="0" w:color="000000"/>
      </w:pBdr>
      <w:spacing w:before="100" w:beforeAutospacing="1" w:after="100" w:afterAutospacing="1"/>
      <w:ind w:firstLine="400"/>
      <w:jc w:val="left"/>
    </w:pPr>
    <w:rPr>
      <w:color w:val="000000"/>
      <w:sz w:val="20"/>
    </w:rPr>
  </w:style>
  <w:style w:type="paragraph" w:customStyle="1" w:styleId="xl87">
    <w:name w:val="xl87"/>
    <w:basedOn w:val="aa"/>
    <w:uiPriority w:val="99"/>
    <w:pPr>
      <w:pBdr>
        <w:top w:val="single" w:sz="8" w:space="0" w:color="000000"/>
        <w:left w:val="single" w:sz="8" w:space="0" w:color="000000"/>
        <w:bottom w:val="single" w:sz="8" w:space="0" w:color="000000"/>
      </w:pBdr>
      <w:spacing w:before="100" w:beforeAutospacing="1" w:after="100" w:afterAutospacing="1"/>
      <w:jc w:val="center"/>
    </w:pPr>
    <w:rPr>
      <w:color w:val="000000"/>
      <w:sz w:val="20"/>
    </w:rPr>
  </w:style>
  <w:style w:type="paragraph" w:customStyle="1" w:styleId="xl88">
    <w:name w:val="xl88"/>
    <w:basedOn w:val="aa"/>
    <w:uiPriority w:val="99"/>
    <w:pPr>
      <w:pBdr>
        <w:top w:val="single" w:sz="8" w:space="0" w:color="000000"/>
        <w:bottom w:val="single" w:sz="8" w:space="0" w:color="000000"/>
      </w:pBdr>
      <w:spacing w:before="100" w:beforeAutospacing="1" w:after="100" w:afterAutospacing="1"/>
      <w:jc w:val="center"/>
    </w:pPr>
    <w:rPr>
      <w:color w:val="000000"/>
      <w:sz w:val="20"/>
    </w:rPr>
  </w:style>
  <w:style w:type="paragraph" w:customStyle="1" w:styleId="xl89">
    <w:name w:val="xl89"/>
    <w:basedOn w:val="aa"/>
    <w:uiPriority w:val="99"/>
    <w:pPr>
      <w:pBdr>
        <w:left w:val="single" w:sz="8" w:space="0" w:color="000000"/>
        <w:bottom w:val="single" w:sz="8" w:space="0" w:color="000000"/>
        <w:right w:val="single" w:sz="8" w:space="0" w:color="000000"/>
      </w:pBdr>
      <w:spacing w:before="100" w:beforeAutospacing="1" w:after="100" w:afterAutospacing="1"/>
      <w:jc w:val="center"/>
    </w:pPr>
    <w:rPr>
      <w:b/>
      <w:bCs/>
      <w:color w:val="000000"/>
      <w:sz w:val="20"/>
    </w:rPr>
  </w:style>
  <w:style w:type="paragraph" w:customStyle="1" w:styleId="xl90">
    <w:name w:val="xl90"/>
    <w:basedOn w:val="aa"/>
    <w:uiPriority w:val="99"/>
    <w:pPr>
      <w:pBdr>
        <w:top w:val="single" w:sz="8" w:space="0" w:color="000000"/>
        <w:bottom w:val="single" w:sz="8" w:space="0" w:color="000000"/>
        <w:right w:val="single" w:sz="8" w:space="0" w:color="000000"/>
      </w:pBdr>
      <w:spacing w:before="100" w:beforeAutospacing="1" w:after="100" w:afterAutospacing="1"/>
      <w:jc w:val="center"/>
    </w:pPr>
    <w:rPr>
      <w:color w:val="000000"/>
      <w:sz w:val="20"/>
    </w:rPr>
  </w:style>
  <w:style w:type="table" w:customStyle="1" w:styleId="DefaultTable">
    <w:name w:val="Default Table"/>
    <w:basedOn w:val="ac"/>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blStylePr w:type="firstRow">
      <w:pPr>
        <w:jc w:val="center"/>
      </w:pPr>
      <w:rPr>
        <w:rFonts w:ascii="Times New Roman" w:hAnsi="Times New Roman"/>
        <w:b/>
      </w:rPr>
      <w:tblPr/>
      <w:trPr>
        <w:tblHeader/>
      </w:trPr>
      <w:tcPr>
        <w:shd w:val="clear" w:color="auto" w:fill="D9D9D9"/>
        <w:tcMar>
          <w:top w:w="0" w:type="nil"/>
          <w:left w:w="57" w:type="dxa"/>
          <w:bottom w:w="0" w:type="nil"/>
          <w:right w:w="57" w:type="dxa"/>
        </w:tcMar>
      </w:tcPr>
    </w:tblStylePr>
  </w:style>
  <w:style w:type="paragraph" w:customStyle="1" w:styleId="SourceCode">
    <w:name w:val="Source Code"/>
    <w:basedOn w:val="aa"/>
    <w:qFormat/>
    <w:pPr>
      <w:spacing w:before="120"/>
    </w:pPr>
    <w:rPr>
      <w:color w:val="000000"/>
      <w:sz w:val="20"/>
      <w:lang w:val="en-US" w:eastAsia="en-US"/>
    </w:rPr>
  </w:style>
  <w:style w:type="character" w:customStyle="1" w:styleId="510">
    <w:name w:val="Заголовок 5 Знак1"/>
    <w:aliases w:val="ITT t5 Знак1,PA Pico Section Знак1,5 Знак1,Roman list Знак1,h5 Знак1,Roman list1 Знак1,Roman list2 Знак1,Roman list11 Знак1,Roman list3 Знак1,Roman list12 Знак1,Roman list21 Знак1,Roman list111 Знак1,_GOST_5 Знак1,GOST_5 Знак1"/>
    <w:semiHidden/>
    <w:rPr>
      <w:rFonts w:ascii="Verdana" w:eastAsia="Times New Roman" w:hAnsi="Verdana" w:cs="Times New Roman"/>
      <w:color w:val="243F60"/>
      <w:sz w:val="24"/>
    </w:rPr>
  </w:style>
  <w:style w:type="character" w:customStyle="1" w:styleId="610">
    <w:name w:val="Заголовок 6 Знак1"/>
    <w:aliases w:val="ITT t6 Знак1,PA Appendix Знак1,6 Знак1,heading 6 Знак1,Bullet list Знак1,Bullet list1 Знак1,Bullet list2 Знак1,Bullet list11 Знак1,Bullet list3 Знак1,Bullet list12 Знак1,Bullet list21 Знак1,Bullet list111 Знак1,Bullet lis Знак1"/>
    <w:semiHidden/>
    <w:rPr>
      <w:rFonts w:ascii="Verdana" w:eastAsia="Times New Roman" w:hAnsi="Verdana" w:cs="Times New Roman"/>
      <w:i/>
      <w:iCs/>
      <w:color w:val="243F60"/>
      <w:sz w:val="24"/>
    </w:rPr>
  </w:style>
  <w:style w:type="character" w:customStyle="1" w:styleId="710">
    <w:name w:val="Заголовок 7 Знак1"/>
    <w:aliases w:val="ITT t7 Знак1,PA Appendix Major Знак1,7 Знак1,req3 Знак1,heading 7 Знак1,letter list Знак1,lettered list Знак1,letter list1 Знак1,lettered list1 Знак1,letter list2 Знак1,lettered list2 Знак1,letter list11 Знак1,lettered list11 Знак1"/>
    <w:semiHidden/>
    <w:rPr>
      <w:rFonts w:ascii="Verdana" w:eastAsia="Times New Roman" w:hAnsi="Verdana" w:cs="Times New Roman"/>
      <w:i/>
      <w:iCs/>
      <w:color w:val="404040"/>
      <w:sz w:val="24"/>
    </w:rPr>
  </w:style>
  <w:style w:type="character" w:customStyle="1" w:styleId="1ff0">
    <w:name w:val="Текст сноски Знак1"/>
    <w:aliases w:val="Footnote Text Char Знак Знак Знак1,Footnote Text Char Знак Знак2,Footnote Text Char Знак Знак Знак Знак Знак1,single space Знак1,ft Знак1,Fußnotenstandard Знак1,Fußnotentext1 Знак1,footnote text Знак1,Знак2 Знак1"/>
    <w:uiPriority w:val="99"/>
    <w:semiHidden/>
  </w:style>
  <w:style w:type="table" w:styleId="-31">
    <w:name w:val="Colorful Shading Accent 3"/>
    <w:basedOn w:val="ac"/>
    <w:uiPriority w:val="34"/>
    <w:rPr>
      <w:rFonts w:ascii="Times New Roman" w:eastAsia="Times New Roman" w:hAnsi="Times New Roman"/>
      <w:sz w:val="28"/>
      <w:szCs w:val="24"/>
      <w:lang w:val="en-US" w:eastAsia="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lastRow">
      <w:tblPr/>
      <w:tcPr>
        <w:tcBorders>
          <w:top w:val="single" w:sz="18" w:space="0" w:color="CF7B79"/>
        </w:tcBorders>
      </w:tcPr>
    </w:tblStylePr>
    <w:tblStylePr w:type="band1Vert">
      <w:tblPr/>
      <w:tcPr>
        <w:shd w:val="clear" w:color="auto" w:fill="DFA7A6"/>
      </w:tcPr>
    </w:tblStylePr>
    <w:tblStylePr w:type="band1Horz">
      <w:tblPr/>
      <w:tcPr>
        <w:shd w:val="clear" w:color="auto" w:fill="DFA7A6"/>
      </w:tcPr>
    </w:tblStylePr>
  </w:style>
  <w:style w:type="paragraph" w:customStyle="1" w:styleId="otrtablehead3">
    <w:name w:val="otrtablehead"/>
    <w:basedOn w:val="aa"/>
    <w:pPr>
      <w:spacing w:before="150"/>
      <w:jc w:val="left"/>
    </w:pPr>
    <w:rPr>
      <w:szCs w:val="24"/>
    </w:rPr>
  </w:style>
  <w:style w:type="paragraph" w:customStyle="1" w:styleId="1-21">
    <w:name w:val="Средняя сетка 1 - Акцент 21"/>
    <w:basedOn w:val="aa"/>
    <w:uiPriority w:val="34"/>
    <w:qFormat/>
    <w:pPr>
      <w:spacing w:before="100" w:beforeAutospacing="1" w:after="100" w:afterAutospacing="1"/>
      <w:jc w:val="left"/>
    </w:pPr>
    <w:rPr>
      <w:rFonts w:eastAsia="Cambria Math"/>
      <w:szCs w:val="24"/>
    </w:rPr>
  </w:style>
  <w:style w:type="paragraph" w:customStyle="1" w:styleId="2-21">
    <w:name w:val="Средний список 2 - Акцент 21"/>
    <w:hidden/>
    <w:uiPriority w:val="71"/>
    <w:rPr>
      <w:rFonts w:ascii="Times New Roman" w:eastAsia="Times New Roman" w:hAnsi="Times New Roman"/>
      <w:sz w:val="24"/>
    </w:rPr>
  </w:style>
  <w:style w:type="character" w:customStyle="1" w:styleId="BulletListChar1">
    <w:name w:val="Bullet List Char1"/>
    <w:link w:val="BulletList"/>
    <w:uiPriority w:val="99"/>
  </w:style>
  <w:style w:type="paragraph" w:customStyle="1" w:styleId="BulletList">
    <w:name w:val="Bullet List"/>
    <w:basedOn w:val="aa"/>
    <w:link w:val="BulletListChar1"/>
    <w:uiPriority w:val="99"/>
    <w:qFormat/>
    <w:pPr>
      <w:numPr>
        <w:numId w:val="63"/>
      </w:numPr>
      <w:spacing w:line="276" w:lineRule="auto"/>
    </w:pPr>
    <w:rPr>
      <w:rFonts w:ascii="Calibri" w:eastAsia="Calibri" w:hAnsi="Calibri"/>
      <w:sz w:val="20"/>
    </w:rPr>
  </w:style>
  <w:style w:type="paragraph" w:customStyle="1" w:styleId="ListLevel2">
    <w:name w:val="List Level 2"/>
    <w:basedOn w:val="aa"/>
    <w:uiPriority w:val="99"/>
    <w:qFormat/>
    <w:pPr>
      <w:numPr>
        <w:ilvl w:val="1"/>
        <w:numId w:val="63"/>
      </w:numPr>
      <w:spacing w:line="276" w:lineRule="auto"/>
    </w:pPr>
    <w:rPr>
      <w:rFonts w:ascii="Calibri" w:eastAsia="Calibri" w:hAnsi="Calibri" w:cs="Calibri"/>
      <w:sz w:val="28"/>
      <w:szCs w:val="28"/>
    </w:rPr>
  </w:style>
  <w:style w:type="paragraph" w:customStyle="1" w:styleId="ListLevel3">
    <w:name w:val="List Level 3"/>
    <w:basedOn w:val="aa"/>
    <w:uiPriority w:val="99"/>
    <w:qFormat/>
    <w:pPr>
      <w:numPr>
        <w:ilvl w:val="2"/>
        <w:numId w:val="63"/>
      </w:numPr>
      <w:spacing w:line="276" w:lineRule="auto"/>
    </w:pPr>
    <w:rPr>
      <w:rFonts w:ascii="Calibri" w:eastAsia="Calibri" w:hAnsi="Calibri" w:cs="Calibri"/>
      <w:sz w:val="28"/>
      <w:szCs w:val="28"/>
    </w:rPr>
  </w:style>
  <w:style w:type="character" w:customStyle="1" w:styleId="otrTablenorm1">
    <w:name w:val="_otr_Table_norm Знак"/>
    <w:link w:val="otrTablenorm0"/>
    <w:rPr>
      <w:rFonts w:ascii="Times New Roman" w:eastAsia="Times New Roman" w:hAnsi="Times New Roman"/>
      <w:sz w:val="24"/>
      <w:lang w:bidi="ar-SA"/>
    </w:rPr>
  </w:style>
  <w:style w:type="table" w:styleId="-32">
    <w:name w:val="Light Grid Accent 3"/>
    <w:basedOn w:val="ac"/>
    <w:uiPriority w:val="34"/>
    <w:rPr>
      <w:rFonts w:ascii="Times New Roman" w:eastAsia="Times New Roman" w:hAnsi="Times New Roman"/>
      <w:sz w:val="28"/>
      <w:szCs w:val="24"/>
      <w:lang w:val="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lastRow">
      <w:tblPr/>
      <w:tcPr>
        <w:tcBorders>
          <w:top w:val="single" w:sz="18" w:space="0" w:color="CF7B79"/>
        </w:tcBorders>
      </w:tcPr>
    </w:tblStylePr>
    <w:tblStylePr w:type="band1Vert">
      <w:tblPr/>
      <w:tcPr>
        <w:shd w:val="clear" w:color="auto" w:fill="DFA7A6"/>
      </w:tcPr>
    </w:tblStylePr>
    <w:tblStylePr w:type="band1Horz">
      <w:tblPr/>
      <w:tcPr>
        <w:shd w:val="clear" w:color="auto" w:fill="DFA7A6"/>
      </w:tcPr>
    </w:tblStylePr>
  </w:style>
  <w:style w:type="paragraph" w:customStyle="1" w:styleId="0170">
    <w:name w:val="017"/>
    <w:basedOn w:val="aa"/>
    <w:pPr>
      <w:spacing w:before="150"/>
      <w:jc w:val="left"/>
    </w:pPr>
    <w:rPr>
      <w:szCs w:val="24"/>
    </w:rPr>
  </w:style>
  <w:style w:type="character" w:customStyle="1" w:styleId="apple-tab-span">
    <w:name w:val="apple-tab-span"/>
  </w:style>
  <w:style w:type="paragraph" w:styleId="affffff6">
    <w:name w:val="endnote text"/>
    <w:basedOn w:val="aa"/>
    <w:link w:val="affffff7"/>
    <w:uiPriority w:val="99"/>
    <w:rPr>
      <w:sz w:val="20"/>
    </w:rPr>
  </w:style>
  <w:style w:type="character" w:customStyle="1" w:styleId="affffff7">
    <w:name w:val="Текст концевой сноски Знак"/>
    <w:link w:val="affffff6"/>
    <w:uiPriority w:val="99"/>
    <w:rPr>
      <w:rFonts w:ascii="Times New Roman" w:eastAsia="Times New Roman" w:hAnsi="Times New Roman"/>
    </w:rPr>
  </w:style>
  <w:style w:type="character" w:styleId="affffff8">
    <w:name w:val="endnote reference"/>
    <w:uiPriority w:val="99"/>
    <w:rPr>
      <w:vertAlign w:val="superscript"/>
    </w:rPr>
  </w:style>
  <w:style w:type="paragraph" w:customStyle="1" w:styleId="1ff1">
    <w:name w:val="Знак1"/>
    <w:basedOn w:val="aa"/>
    <w:next w:val="aa"/>
    <w:semiHidden/>
    <w:pPr>
      <w:spacing w:after="160" w:line="240" w:lineRule="exact"/>
      <w:jc w:val="left"/>
    </w:pPr>
    <w:rPr>
      <w:rFonts w:ascii="Arial" w:hAnsi="Arial" w:cs="Arial"/>
      <w:sz w:val="20"/>
      <w:lang w:val="en-US" w:eastAsia="en-US"/>
    </w:rPr>
  </w:style>
  <w:style w:type="paragraph" w:customStyle="1" w:styleId="1ff2">
    <w:name w:val="Знак1 Знак Знак Знак Знак Знак Знак"/>
    <w:basedOn w:val="aa"/>
    <w:next w:val="aa"/>
    <w:semiHidden/>
    <w:pPr>
      <w:spacing w:after="160" w:line="240" w:lineRule="exact"/>
      <w:jc w:val="left"/>
    </w:pPr>
    <w:rPr>
      <w:rFonts w:ascii="Arial" w:hAnsi="Arial" w:cs="Arial"/>
      <w:sz w:val="20"/>
      <w:lang w:val="en-US" w:eastAsia="en-US"/>
    </w:rPr>
  </w:style>
  <w:style w:type="paragraph" w:customStyle="1" w:styleId="Bullet">
    <w:name w:val="Bullet"/>
    <w:basedOn w:val="afd"/>
    <w:pPr>
      <w:numPr>
        <w:numId w:val="46"/>
      </w:numPr>
      <w:tabs>
        <w:tab w:val="clear" w:pos="3246"/>
        <w:tab w:val="num" w:pos="2808"/>
      </w:tabs>
      <w:spacing w:before="60" w:after="60"/>
      <w:ind w:left="2806" w:hanging="357"/>
    </w:pPr>
    <w:rPr>
      <w:sz w:val="20"/>
    </w:rPr>
  </w:style>
  <w:style w:type="character" w:customStyle="1" w:styleId="OTRNameTable1">
    <w:name w:val="OTR_Name_Table Знак Знак1"/>
    <w:rPr>
      <w:b/>
      <w:sz w:val="24"/>
    </w:rPr>
  </w:style>
  <w:style w:type="character" w:customStyle="1" w:styleId="ASFKSymBoldItalic">
    <w:name w:val="_ASFK_Sym_Bold_Italic"/>
    <w:uiPriority w:val="99"/>
    <w:rPr>
      <w:b/>
      <w:i/>
    </w:rPr>
  </w:style>
  <w:style w:type="paragraph" w:customStyle="1" w:styleId="ASFKListnum1">
    <w:name w:val="_ASFK_List_num1"/>
    <w:link w:val="ASFKListnum10"/>
    <w:pPr>
      <w:numPr>
        <w:numId w:val="47"/>
      </w:numPr>
      <w:spacing w:before="120" w:after="120"/>
      <w:contextualSpacing/>
    </w:pPr>
    <w:rPr>
      <w:rFonts w:ascii="Times New Roman" w:eastAsia="Times New Roman" w:hAnsi="Times New Roman"/>
      <w:sz w:val="24"/>
    </w:rPr>
  </w:style>
  <w:style w:type="character" w:customStyle="1" w:styleId="ASFKListnum10">
    <w:name w:val="_ASFK_List_num1 Знак Знак"/>
    <w:link w:val="ASFKListnum1"/>
    <w:rPr>
      <w:rFonts w:ascii="Times New Roman" w:eastAsia="Times New Roman" w:hAnsi="Times New Roman"/>
      <w:sz w:val="24"/>
    </w:rPr>
  </w:style>
  <w:style w:type="paragraph" w:customStyle="1" w:styleId="1ff3">
    <w:name w:val="Знак Знак Знак1 Знак Знак Знак Знак"/>
    <w:basedOn w:val="aa"/>
    <w:next w:val="aa"/>
    <w:semiHidden/>
    <w:pPr>
      <w:spacing w:after="160" w:line="240" w:lineRule="exact"/>
      <w:jc w:val="left"/>
    </w:pPr>
    <w:rPr>
      <w:rFonts w:ascii="Arial" w:hAnsi="Arial" w:cs="Arial"/>
      <w:sz w:val="20"/>
      <w:lang w:val="en-US" w:eastAsia="en-US"/>
    </w:rPr>
  </w:style>
  <w:style w:type="character" w:customStyle="1" w:styleId="ASFKNormal0">
    <w:name w:val="_ASFK_Normal Знак"/>
    <w:link w:val="ASFKNormal"/>
    <w:rPr>
      <w:rFonts w:ascii="Times New Roman" w:eastAsia="Times New Roman" w:hAnsi="Times New Roman"/>
      <w:sz w:val="28"/>
      <w:lang w:bidi="ar-SA"/>
    </w:rPr>
  </w:style>
  <w:style w:type="paragraph" w:customStyle="1" w:styleId="otrtablhead">
    <w:name w:val="_otr_tabl_head"/>
    <w:pPr>
      <w:spacing w:before="60" w:after="60"/>
      <w:jc w:val="center"/>
    </w:pPr>
    <w:rPr>
      <w:rFonts w:ascii="Times New Roman" w:eastAsia="Times New Roman" w:hAnsi="Times New Roman"/>
      <w:b/>
      <w:bCs/>
      <w:sz w:val="22"/>
    </w:rPr>
  </w:style>
  <w:style w:type="paragraph" w:customStyle="1" w:styleId="otrtablnorm">
    <w:name w:val="_otr_tabl_norm"/>
    <w:basedOn w:val="aa"/>
    <w:pPr>
      <w:spacing w:before="60" w:after="60"/>
      <w:ind w:left="57" w:right="57"/>
    </w:pPr>
    <w:rPr>
      <w:sz w:val="22"/>
    </w:rPr>
  </w:style>
  <w:style w:type="paragraph" w:customStyle="1" w:styleId="ASFKListmark4">
    <w:name w:val="_ASFK_List_mark4"/>
    <w:basedOn w:val="aa"/>
    <w:uiPriority w:val="99"/>
    <w:pPr>
      <w:numPr>
        <w:numId w:val="48"/>
      </w:numPr>
      <w:spacing w:before="120" w:after="120" w:line="240" w:lineRule="atLeast"/>
    </w:pPr>
    <w:rPr>
      <w:spacing w:val="-5"/>
    </w:rPr>
  </w:style>
  <w:style w:type="character" w:customStyle="1" w:styleId="OTRNormal6">
    <w:name w:val="OTR_Normal Знак Знак"/>
    <w:rPr>
      <w:sz w:val="24"/>
      <w:lang w:val="ru-RU" w:eastAsia="ru-RU" w:bidi="ar-SA"/>
    </w:rPr>
  </w:style>
  <w:style w:type="paragraph" w:customStyle="1" w:styleId="ASFKListnum2">
    <w:name w:val="_ASFK_List_num2"/>
    <w:basedOn w:val="ASFKListnum"/>
    <w:uiPriority w:val="99"/>
    <w:pPr>
      <w:numPr>
        <w:ilvl w:val="1"/>
      </w:numPr>
      <w:tabs>
        <w:tab w:val="clear" w:pos="1588"/>
        <w:tab w:val="num" w:pos="643"/>
        <w:tab w:val="num" w:pos="1848"/>
      </w:tabs>
      <w:ind w:left="643" w:hanging="360"/>
    </w:pPr>
    <w:rPr>
      <w:szCs w:val="24"/>
    </w:rPr>
  </w:style>
  <w:style w:type="paragraph" w:customStyle="1" w:styleId="ASFKListnum">
    <w:name w:val="_ASFK_List_num"/>
    <w:link w:val="ASFKListnum0"/>
    <w:uiPriority w:val="99"/>
    <w:pPr>
      <w:numPr>
        <w:numId w:val="49"/>
      </w:numPr>
      <w:spacing w:before="120" w:after="120"/>
      <w:contextualSpacing/>
    </w:pPr>
    <w:rPr>
      <w:rFonts w:ascii="Times New Roman" w:eastAsia="Times New Roman" w:hAnsi="Times New Roman"/>
      <w:sz w:val="24"/>
    </w:rPr>
  </w:style>
  <w:style w:type="character" w:customStyle="1" w:styleId="ASFKListnum0">
    <w:name w:val="_ASFK_List_num Знак Знак"/>
    <w:link w:val="ASFKListnum"/>
    <w:uiPriority w:val="99"/>
    <w:rPr>
      <w:rFonts w:ascii="Times New Roman" w:eastAsia="Times New Roman" w:hAnsi="Times New Roman"/>
      <w:sz w:val="24"/>
    </w:rPr>
  </w:style>
  <w:style w:type="character" w:customStyle="1" w:styleId="OTRNameFigure1">
    <w:name w:val="OTR_Name_Figure Знак"/>
    <w:rPr>
      <w:b/>
      <w:sz w:val="24"/>
    </w:rPr>
  </w:style>
  <w:style w:type="character" w:customStyle="1" w:styleId="OTRNormal21">
    <w:name w:val="OTR_Normal Знак2"/>
    <w:rPr>
      <w:sz w:val="24"/>
      <w:lang w:val="ru-RU" w:eastAsia="ru-RU" w:bidi="ar-SA"/>
    </w:rPr>
  </w:style>
  <w:style w:type="character" w:customStyle="1" w:styleId="OTRTable2">
    <w:name w:val="OTR_Table Знак"/>
    <w:rPr>
      <w:color w:val="000000"/>
      <w:sz w:val="24"/>
      <w:lang w:eastAsia="ar-SA"/>
    </w:rPr>
  </w:style>
  <w:style w:type="paragraph" w:customStyle="1" w:styleId="affffff9">
    <w:name w:val="Обычный (ф)"/>
    <w:basedOn w:val="aa"/>
    <w:link w:val="affffffa"/>
    <w:pPr>
      <w:ind w:firstLine="709"/>
    </w:pPr>
    <w:rPr>
      <w:szCs w:val="24"/>
    </w:rPr>
  </w:style>
  <w:style w:type="character" w:customStyle="1" w:styleId="affffffa">
    <w:name w:val="Обычный (ф) Знак Знак"/>
    <w:link w:val="affffff9"/>
    <w:rPr>
      <w:rFonts w:ascii="Times New Roman" w:eastAsia="Times New Roman" w:hAnsi="Times New Roman"/>
      <w:sz w:val="24"/>
      <w:szCs w:val="24"/>
    </w:rPr>
  </w:style>
  <w:style w:type="paragraph" w:customStyle="1" w:styleId="a9">
    <w:name w:val="курсив (ф)"/>
    <w:basedOn w:val="aa"/>
    <w:link w:val="affffffb"/>
    <w:pPr>
      <w:numPr>
        <w:numId w:val="51"/>
      </w:numPr>
      <w:ind w:left="362" w:hanging="181"/>
    </w:pPr>
    <w:rPr>
      <w:i/>
      <w:szCs w:val="24"/>
    </w:rPr>
  </w:style>
  <w:style w:type="character" w:customStyle="1" w:styleId="affffffb">
    <w:name w:val="курсив (ф) Знак Знак"/>
    <w:link w:val="a9"/>
    <w:rPr>
      <w:rFonts w:ascii="Times New Roman" w:eastAsia="Times New Roman" w:hAnsi="Times New Roman"/>
      <w:i/>
      <w:sz w:val="24"/>
      <w:szCs w:val="24"/>
    </w:rPr>
  </w:style>
  <w:style w:type="paragraph" w:customStyle="1" w:styleId="a0">
    <w:name w:val="маркированный (ф)"/>
    <w:basedOn w:val="aa"/>
    <w:pPr>
      <w:numPr>
        <w:numId w:val="50"/>
      </w:numPr>
    </w:pPr>
    <w:rPr>
      <w:szCs w:val="24"/>
    </w:rPr>
  </w:style>
  <w:style w:type="paragraph" w:customStyle="1" w:styleId="140">
    <w:name w:val="Обычный (ф) + 14 пт"/>
    <w:basedOn w:val="aa"/>
    <w:pPr>
      <w:ind w:left="360"/>
      <w:jc w:val="center"/>
    </w:pPr>
    <w:rPr>
      <w:sz w:val="28"/>
    </w:rPr>
  </w:style>
  <w:style w:type="paragraph" w:customStyle="1" w:styleId="1ff4">
    <w:name w:val="Заголовок 1 (ф)"/>
    <w:basedOn w:val="aa"/>
    <w:pPr>
      <w:spacing w:after="240"/>
      <w:jc w:val="center"/>
    </w:pPr>
    <w:rPr>
      <w:b/>
      <w:caps/>
      <w:sz w:val="28"/>
      <w:szCs w:val="28"/>
    </w:rPr>
  </w:style>
  <w:style w:type="paragraph" w:customStyle="1" w:styleId="OTRListMark3">
    <w:name w:val="Стиль OTR_List_Mark + полужирный"/>
    <w:basedOn w:val="OTRListMark"/>
    <w:link w:val="OTRListMark4"/>
    <w:pPr>
      <w:numPr>
        <w:numId w:val="0"/>
      </w:numPr>
      <w:tabs>
        <w:tab w:val="num" w:pos="284"/>
      </w:tabs>
      <w:ind w:left="284" w:hanging="284"/>
    </w:pPr>
    <w:rPr>
      <w:b/>
      <w:bCs/>
      <w:sz w:val="22"/>
    </w:rPr>
  </w:style>
  <w:style w:type="paragraph" w:customStyle="1" w:styleId="OTRBLOCK">
    <w:name w:val="OTR_BLOCK"/>
    <w:basedOn w:val="aa"/>
    <w:pPr>
      <w:spacing w:before="60" w:after="60"/>
    </w:pPr>
    <w:rPr>
      <w:b/>
      <w:i/>
      <w:sz w:val="22"/>
    </w:rPr>
  </w:style>
  <w:style w:type="character" w:customStyle="1" w:styleId="OTRListMark4">
    <w:name w:val="Стиль OTR_List_Mark + полужирный Знак"/>
    <w:link w:val="OTRListMark3"/>
    <w:rPr>
      <w:rFonts w:ascii="Times New Roman" w:eastAsia="Times New Roman" w:hAnsi="Times New Roman"/>
      <w:b/>
      <w:bCs/>
      <w:sz w:val="22"/>
    </w:rPr>
  </w:style>
  <w:style w:type="paragraph" w:customStyle="1" w:styleId="affffffc">
    <w:name w:val="обычный"/>
    <w:basedOn w:val="aa"/>
    <w:pPr>
      <w:jc w:val="left"/>
    </w:pPr>
    <w:rPr>
      <w:color w:val="000000"/>
      <w:sz w:val="20"/>
    </w:rPr>
  </w:style>
  <w:style w:type="paragraph" w:customStyle="1" w:styleId="OTRTableNorm2">
    <w:name w:val="OTR_Table_Norm"/>
    <w:basedOn w:val="aa"/>
    <w:qFormat/>
    <w:pPr>
      <w:spacing w:before="60" w:after="120"/>
      <w:ind w:firstLine="567"/>
    </w:pPr>
  </w:style>
  <w:style w:type="character" w:customStyle="1" w:styleId="OTRHeadingApp0">
    <w:name w:val="OTR_Heading_App Знак"/>
    <w:link w:val="OTRHeadingApp"/>
    <w:rPr>
      <w:rFonts w:ascii="Times New Roman" w:eastAsia="Times New Roman" w:hAnsi="Times New Roman"/>
      <w:b/>
      <w:caps/>
      <w:sz w:val="32"/>
      <w:szCs w:val="36"/>
    </w:rPr>
  </w:style>
  <w:style w:type="paragraph" w:customStyle="1" w:styleId="EBListmark1">
    <w:name w:val="_EB_List_mark1"/>
    <w:link w:val="EBListmark10"/>
    <w:uiPriority w:val="99"/>
    <w:pPr>
      <w:tabs>
        <w:tab w:val="left" w:pos="851"/>
      </w:tabs>
      <w:spacing w:before="120" w:after="60"/>
      <w:ind w:left="1211" w:right="57" w:hanging="360"/>
      <w:contextualSpacing/>
      <w:jc w:val="both"/>
    </w:pPr>
    <w:rPr>
      <w:rFonts w:ascii="Times New Roman" w:eastAsia="Times New Roman" w:hAnsi="Times New Roman"/>
      <w:sz w:val="22"/>
      <w:szCs w:val="22"/>
      <w:lang w:val="en-US"/>
    </w:rPr>
  </w:style>
  <w:style w:type="character" w:customStyle="1" w:styleId="EBNormal">
    <w:name w:val="_EB_Normal Знак"/>
    <w:link w:val="EBNormal0"/>
    <w:uiPriority w:val="99"/>
    <w:rPr>
      <w:sz w:val="28"/>
      <w:lang w:val="ru-RU" w:eastAsia="ru-RU" w:bidi="ar-SA"/>
    </w:rPr>
  </w:style>
  <w:style w:type="paragraph" w:customStyle="1" w:styleId="EBNormal0">
    <w:name w:val="_EB_Normal"/>
    <w:link w:val="EBNormal"/>
    <w:uiPriority w:val="99"/>
    <w:pPr>
      <w:spacing w:before="120" w:after="60"/>
      <w:ind w:left="57" w:right="57" w:firstLine="567"/>
      <w:contextualSpacing/>
      <w:jc w:val="both"/>
    </w:pPr>
    <w:rPr>
      <w:sz w:val="28"/>
    </w:rPr>
  </w:style>
  <w:style w:type="character" w:customStyle="1" w:styleId="EBListmark10">
    <w:name w:val="_EB_List_mark1 Знак"/>
    <w:link w:val="EBListmark1"/>
    <w:uiPriority w:val="99"/>
    <w:rPr>
      <w:rFonts w:ascii="Times New Roman" w:eastAsia="Times New Roman" w:hAnsi="Times New Roman"/>
      <w:sz w:val="22"/>
      <w:szCs w:val="22"/>
      <w:lang w:val="en-US" w:bidi="ar-SA"/>
    </w:rPr>
  </w:style>
  <w:style w:type="character" w:customStyle="1" w:styleId="EBSymBold">
    <w:name w:val="_EB_Sym_Bold"/>
    <w:uiPriority w:val="99"/>
    <w:rPr>
      <w:rFonts w:ascii="Times New Roman" w:hAnsi="Times New Roman"/>
      <w:b/>
      <w:sz w:val="28"/>
    </w:rPr>
  </w:style>
  <w:style w:type="paragraph" w:customStyle="1" w:styleId="ASFKListmark2">
    <w:name w:val="_ASFK_List_mark2"/>
    <w:uiPriority w:val="99"/>
    <w:pPr>
      <w:numPr>
        <w:numId w:val="64"/>
      </w:numPr>
      <w:spacing w:before="120" w:after="60"/>
      <w:ind w:right="57"/>
    </w:pPr>
    <w:rPr>
      <w:rFonts w:ascii="Times New Roman" w:eastAsia="Times New Roman" w:hAnsi="Times New Roman"/>
      <w:sz w:val="24"/>
    </w:rPr>
  </w:style>
  <w:style w:type="paragraph" w:customStyle="1" w:styleId="EBScript">
    <w:name w:val="_EB_Script"/>
    <w:basedOn w:val="aa"/>
    <w:uiPriority w:val="99"/>
    <w:pPr>
      <w:pBdr>
        <w:top w:val="single" w:sz="4" w:space="1" w:color="000000"/>
        <w:left w:val="single" w:sz="4" w:space="4" w:color="000000"/>
        <w:bottom w:val="single" w:sz="4" w:space="1" w:color="000000"/>
        <w:right w:val="single" w:sz="4" w:space="4" w:color="000000"/>
      </w:pBdr>
      <w:spacing w:before="120" w:after="60"/>
      <w:ind w:left="567" w:right="29"/>
      <w:jc w:val="left"/>
    </w:pPr>
    <w:rPr>
      <w:rFonts w:ascii="Courier New" w:hAnsi="Courier New"/>
      <w:spacing w:val="-20"/>
      <w:sz w:val="22"/>
      <w:lang w:val="en-US"/>
    </w:rPr>
  </w:style>
  <w:style w:type="paragraph" w:customStyle="1" w:styleId="ASFKNote">
    <w:name w:val="_ASFK_Note"/>
    <w:next w:val="ASFKNormal"/>
    <w:link w:val="ASFKNote0"/>
    <w:uiPriority w:val="99"/>
    <w:pPr>
      <w:spacing w:before="120" w:after="120"/>
      <w:ind w:left="1701" w:hanging="1701"/>
      <w:jc w:val="both"/>
    </w:pPr>
    <w:rPr>
      <w:rFonts w:ascii="Times New Roman" w:eastAsia="Times New Roman" w:hAnsi="Times New Roman"/>
      <w:sz w:val="24"/>
    </w:rPr>
  </w:style>
  <w:style w:type="character" w:customStyle="1" w:styleId="ASFKNote0">
    <w:name w:val="_ASFK_Note Знак Знак"/>
    <w:link w:val="ASFKNote"/>
    <w:uiPriority w:val="99"/>
    <w:rPr>
      <w:rFonts w:ascii="Times New Roman" w:eastAsia="Times New Roman" w:hAnsi="Times New Roman"/>
      <w:sz w:val="24"/>
      <w:lang w:bidi="ar-SA"/>
    </w:rPr>
  </w:style>
  <w:style w:type="paragraph" w:customStyle="1" w:styleId="ASFKTableListNum">
    <w:name w:val="_ASFK_Table_List_Num"/>
    <w:basedOn w:val="aa"/>
    <w:uiPriority w:val="99"/>
    <w:pPr>
      <w:tabs>
        <w:tab w:val="num" w:pos="284"/>
      </w:tabs>
      <w:spacing w:before="60" w:after="60"/>
      <w:ind w:left="284" w:right="57" w:hanging="227"/>
      <w:contextualSpacing/>
      <w:jc w:val="left"/>
    </w:pPr>
    <w:rPr>
      <w:sz w:val="22"/>
      <w:szCs w:val="22"/>
    </w:rPr>
  </w:style>
  <w:style w:type="paragraph" w:customStyle="1" w:styleId="ASFKTableListMark">
    <w:name w:val="_ASFK_Table_List_Mark"/>
    <w:uiPriority w:val="99"/>
    <w:pPr>
      <w:tabs>
        <w:tab w:val="left" w:pos="170"/>
      </w:tabs>
      <w:spacing w:before="60" w:after="60"/>
      <w:ind w:right="57"/>
    </w:pPr>
    <w:rPr>
      <w:rFonts w:ascii="Times New Roman" w:eastAsia="Times New Roman" w:hAnsi="Times New Roman"/>
      <w:sz w:val="22"/>
    </w:rPr>
  </w:style>
  <w:style w:type="character" w:customStyle="1" w:styleId="ASFKListmark10">
    <w:name w:val="_ASFK_List_mark1 Знак Знак"/>
    <w:link w:val="ASFKListmark1"/>
    <w:rPr>
      <w:rFonts w:ascii="Times New Roman" w:eastAsia="Times New Roman" w:hAnsi="Times New Roman"/>
      <w:sz w:val="24"/>
    </w:rPr>
  </w:style>
  <w:style w:type="paragraph" w:customStyle="1" w:styleId="EBNameTable">
    <w:name w:val="_EB_Name_Table"/>
    <w:uiPriority w:val="99"/>
    <w:pPr>
      <w:keepNext/>
      <w:tabs>
        <w:tab w:val="num" w:pos="567"/>
      </w:tabs>
      <w:spacing w:before="240" w:after="120"/>
      <w:ind w:firstLine="567"/>
    </w:pPr>
    <w:rPr>
      <w:rFonts w:ascii="Times New Roman" w:eastAsia="Times New Roman" w:hAnsi="Times New Roman"/>
      <w:b/>
      <w:sz w:val="28"/>
    </w:rPr>
  </w:style>
  <w:style w:type="paragraph" w:customStyle="1" w:styleId="ASFKScript">
    <w:name w:val="_ASFK_Script"/>
    <w:basedOn w:val="aa"/>
    <w:qFormat/>
    <w:pPr>
      <w:pBdr>
        <w:top w:val="single" w:sz="4" w:space="1" w:color="000000"/>
        <w:left w:val="single" w:sz="4" w:space="4" w:color="000000"/>
        <w:bottom w:val="single" w:sz="4" w:space="1" w:color="000000"/>
        <w:right w:val="single" w:sz="4" w:space="4" w:color="000000"/>
      </w:pBdr>
      <w:ind w:left="567" w:right="29" w:firstLine="567"/>
    </w:pPr>
    <w:rPr>
      <w:rFonts w:ascii="Courier New" w:hAnsi="Courier New"/>
      <w:spacing w:val="-20"/>
      <w:sz w:val="20"/>
      <w:lang w:val="en-US"/>
    </w:rPr>
  </w:style>
  <w:style w:type="paragraph" w:customStyle="1" w:styleId="affffffd">
    <w:name w:val="Табл. заголовок"/>
    <w:basedOn w:val="0150"/>
    <w:uiPriority w:val="99"/>
    <w:qFormat/>
    <w:pPr>
      <w:spacing w:line="240" w:lineRule="auto"/>
    </w:pPr>
    <w:rPr>
      <w:rFonts w:eastAsia="SimSun"/>
      <w:sz w:val="20"/>
    </w:rPr>
  </w:style>
  <w:style w:type="paragraph" w:customStyle="1" w:styleId="GOSTFigure">
    <w:name w:val="_GOST_Figure"/>
    <w:next w:val="aa"/>
    <w:pPr>
      <w:keepNext/>
      <w:spacing w:before="120" w:after="120"/>
      <w:jc w:val="center"/>
    </w:pPr>
    <w:rPr>
      <w:rFonts w:ascii="Times New Roman" w:eastAsia="Times New Roman" w:hAnsi="Times New Roman"/>
      <w:sz w:val="24"/>
    </w:rPr>
  </w:style>
  <w:style w:type="paragraph" w:customStyle="1" w:styleId="GOSTFigName">
    <w:name w:val="_GOST_Fig_Name"/>
    <w:basedOn w:val="GOSTFigure"/>
    <w:next w:val="aa"/>
    <w:qFormat/>
    <w:pPr>
      <w:keepNext w:val="0"/>
      <w:numPr>
        <w:numId w:val="66"/>
      </w:numPr>
      <w:contextualSpacing/>
    </w:pPr>
    <w:rPr>
      <w:b/>
      <w:szCs w:val="24"/>
    </w:rPr>
  </w:style>
  <w:style w:type="paragraph" w:customStyle="1" w:styleId="GOSTheader">
    <w:name w:val="_GOST_header"/>
    <w:rPr>
      <w:rFonts w:ascii="Arial" w:eastAsia="Times New Roman" w:hAnsi="Arial"/>
      <w:b/>
      <w:color w:val="333333"/>
    </w:rPr>
  </w:style>
  <w:style w:type="paragraph" w:customStyle="1" w:styleId="GOSTListmark1">
    <w:name w:val="_GOST_List_mark1"/>
    <w:pPr>
      <w:tabs>
        <w:tab w:val="num" w:pos="851"/>
      </w:tabs>
      <w:ind w:left="851" w:hanging="284"/>
    </w:pPr>
    <w:rPr>
      <w:rFonts w:ascii="Times New Roman" w:eastAsia="Times New Roman" w:hAnsi="Times New Roman"/>
      <w:sz w:val="24"/>
    </w:rPr>
  </w:style>
  <w:style w:type="paragraph" w:customStyle="1" w:styleId="GOSTListmark2">
    <w:name w:val="_GOST_List_mark2"/>
    <w:pPr>
      <w:tabs>
        <w:tab w:val="num" w:pos="1134"/>
      </w:tabs>
      <w:ind w:left="1134" w:hanging="283"/>
    </w:pPr>
    <w:rPr>
      <w:rFonts w:ascii="Times New Roman" w:eastAsia="Times New Roman" w:hAnsi="Times New Roman"/>
      <w:sz w:val="24"/>
    </w:rPr>
  </w:style>
  <w:style w:type="paragraph" w:customStyle="1" w:styleId="GOSTListmark3">
    <w:name w:val="_GOST_List_mark3"/>
    <w:basedOn w:val="aa"/>
    <w:pPr>
      <w:numPr>
        <w:numId w:val="68"/>
      </w:numPr>
    </w:pPr>
  </w:style>
  <w:style w:type="paragraph" w:customStyle="1" w:styleId="GOSTListmark4">
    <w:name w:val="_GOST_List_mark4"/>
    <w:basedOn w:val="aa"/>
    <w:pPr>
      <w:tabs>
        <w:tab w:val="num" w:pos="1701"/>
      </w:tabs>
      <w:ind w:left="1701" w:hanging="283"/>
    </w:pPr>
  </w:style>
  <w:style w:type="paragraph" w:customStyle="1" w:styleId="GOSTListnote">
    <w:name w:val="_GOST_List_note"/>
    <w:basedOn w:val="GOSTListmark3"/>
    <w:pPr>
      <w:numPr>
        <w:numId w:val="0"/>
      </w:numPr>
      <w:ind w:firstLine="567"/>
    </w:pPr>
  </w:style>
  <w:style w:type="paragraph" w:customStyle="1" w:styleId="GOSTListnormal18">
    <w:name w:val="_GOST_List_normal_1.8"/>
    <w:basedOn w:val="GOSTListnormal28"/>
    <w:pPr>
      <w:tabs>
        <w:tab w:val="clear" w:pos="284"/>
        <w:tab w:val="left" w:pos="1021"/>
      </w:tabs>
      <w:ind w:left="1021"/>
    </w:pPr>
  </w:style>
  <w:style w:type="paragraph" w:customStyle="1" w:styleId="GOSTListnum2">
    <w:name w:val="_GOST_List_num2"/>
    <w:basedOn w:val="GOSTListnum"/>
    <w:pPr>
      <w:tabs>
        <w:tab w:val="clear" w:pos="1021"/>
        <w:tab w:val="num" w:pos="1588"/>
      </w:tabs>
      <w:ind w:left="1588" w:hanging="567"/>
    </w:pPr>
    <w:rPr>
      <w:szCs w:val="24"/>
    </w:rPr>
  </w:style>
  <w:style w:type="paragraph" w:customStyle="1" w:styleId="GOSTNameTable">
    <w:name w:val="_GOST_Name_Table"/>
    <w:link w:val="GOSTNameTable0"/>
    <w:qFormat/>
    <w:pPr>
      <w:keepNext/>
      <w:numPr>
        <w:numId w:val="118"/>
      </w:numPr>
      <w:spacing w:before="120"/>
    </w:pPr>
    <w:rPr>
      <w:rFonts w:ascii="Times New Roman" w:eastAsia="Times New Roman" w:hAnsi="Times New Roman"/>
      <w:b/>
      <w:sz w:val="24"/>
    </w:rPr>
  </w:style>
  <w:style w:type="paragraph" w:customStyle="1" w:styleId="GOSTNormal">
    <w:name w:val="_GOST_Normal"/>
    <w:link w:val="GOSTNormal0"/>
    <w:qFormat/>
    <w:pPr>
      <w:spacing w:before="60" w:after="120"/>
      <w:ind w:firstLine="567"/>
      <w:contextualSpacing/>
      <w:jc w:val="both"/>
    </w:pPr>
    <w:rPr>
      <w:rFonts w:ascii="Times New Roman" w:eastAsia="Times New Roman" w:hAnsi="Times New Roman"/>
      <w:sz w:val="24"/>
    </w:rPr>
  </w:style>
  <w:style w:type="paragraph" w:customStyle="1" w:styleId="GOSTNormalWithout">
    <w:name w:val="_GOST_Normal_Without"/>
    <w:basedOn w:val="GOSTNormal"/>
    <w:next w:val="GOSTNormal"/>
    <w:pPr>
      <w:keepNext/>
    </w:pPr>
  </w:style>
  <w:style w:type="paragraph" w:customStyle="1" w:styleId="GOSTNote">
    <w:name w:val="_GOST_Note"/>
    <w:link w:val="GOSTNote0"/>
    <w:pPr>
      <w:spacing w:before="120" w:after="120"/>
      <w:ind w:left="1701" w:hanging="1701"/>
      <w:jc w:val="both"/>
    </w:pPr>
    <w:rPr>
      <w:rFonts w:ascii="Times New Roman" w:eastAsia="Times New Roman" w:hAnsi="Times New Roman"/>
      <w:sz w:val="24"/>
    </w:rPr>
  </w:style>
  <w:style w:type="paragraph" w:customStyle="1" w:styleId="GOSTNoteContinue">
    <w:name w:val="_GOST_Note_Continue"/>
    <w:basedOn w:val="GOSTNote"/>
    <w:pPr>
      <w:ind w:firstLine="0"/>
    </w:pPr>
  </w:style>
  <w:style w:type="paragraph" w:customStyle="1" w:styleId="GOSTReg">
    <w:name w:val="_GOST_Reg"/>
    <w:pPr>
      <w:keepNext/>
      <w:pageBreakBefore/>
      <w:spacing w:before="120" w:after="120"/>
      <w:contextualSpacing/>
      <w:jc w:val="center"/>
      <w:outlineLvl w:val="0"/>
    </w:pPr>
    <w:rPr>
      <w:rFonts w:ascii="Times New Roman" w:eastAsia="Times New Roman" w:hAnsi="Times New Roman"/>
      <w:b/>
      <w:caps/>
      <w:sz w:val="28"/>
    </w:rPr>
  </w:style>
  <w:style w:type="paragraph" w:customStyle="1" w:styleId="GOSTScript">
    <w:name w:val="_GOST_Script"/>
    <w:basedOn w:val="aa"/>
    <w:pPr>
      <w:pBdr>
        <w:top w:val="single" w:sz="4" w:space="1" w:color="000000"/>
        <w:left w:val="single" w:sz="4" w:space="4" w:color="000000"/>
        <w:bottom w:val="single" w:sz="4" w:space="1" w:color="000000"/>
        <w:right w:val="single" w:sz="4" w:space="4" w:color="000000"/>
      </w:pBdr>
      <w:ind w:left="567" w:right="29" w:firstLine="567"/>
    </w:pPr>
    <w:rPr>
      <w:rFonts w:ascii="Courier New" w:hAnsi="Courier New"/>
      <w:spacing w:val="-20"/>
      <w:sz w:val="20"/>
      <w:lang w:val="en-US"/>
    </w:rPr>
  </w:style>
  <w:style w:type="paragraph" w:customStyle="1" w:styleId="GOSTSign">
    <w:name w:val="_GOST_Sign"/>
    <w:basedOn w:val="GOSTReg"/>
    <w:pPr>
      <w:pageBreakBefore w:val="0"/>
      <w:outlineLvl w:val="9"/>
    </w:pPr>
  </w:style>
  <w:style w:type="character" w:customStyle="1" w:styleId="GOSTSymBold">
    <w:name w:val="_GOST_Sym_Bold"/>
    <w:rPr>
      <w:b/>
    </w:rPr>
  </w:style>
  <w:style w:type="character" w:customStyle="1" w:styleId="GOSTSymBoldItalic">
    <w:name w:val="_GOST_Sym_Bold_Italic"/>
    <w:rPr>
      <w:b/>
      <w:i/>
    </w:rPr>
  </w:style>
  <w:style w:type="character" w:customStyle="1" w:styleId="GOSTSymItalic">
    <w:name w:val="_GOST_Sym_Italic"/>
    <w:rPr>
      <w:i/>
    </w:rPr>
  </w:style>
  <w:style w:type="table" w:customStyle="1" w:styleId="GOSTTable">
    <w:name w:val="_GOST_Table"/>
    <w:basedOn w:val="ac"/>
    <w:pPr>
      <w:jc w:val="both"/>
    </w:pPr>
    <w:rPr>
      <w:rFonts w:ascii="Times New Roman" w:eastAsia="Times New Roman" w:hAnsi="Times New Roman"/>
      <w:sz w:val="22"/>
    </w:rPr>
    <w:tblPr>
      <w:tblStyleRowBandSize w:val="1"/>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6" w:type="dxa"/>
        <w:bottom w:w="0" w:type="dxa"/>
        <w:right w:w="6" w:type="dxa"/>
      </w:tblCellMar>
    </w:tblPr>
    <w:tblStylePr w:type="firstRow">
      <w:pPr>
        <w:spacing w:beforeAutospacing="0" w:afterAutospacing="0" w:line="240" w:lineRule="auto"/>
        <w:ind w:left="0" w:right="0" w:firstLine="0"/>
        <w:jc w:val="center"/>
        <w:outlineLvl w:val="9"/>
      </w:pPr>
      <w:rPr>
        <w:rFonts w:ascii="Times New Roman" w:hAnsi="Times New Roman"/>
        <w:b w:val="0"/>
      </w:rPr>
      <w:tblPr/>
      <w:tcPr>
        <w:tcBorders>
          <w:top w:val="single" w:sz="4" w:space="0" w:color="000000"/>
          <w:left w:val="single" w:sz="4" w:space="0" w:color="000000"/>
          <w:bottom w:val="single" w:sz="4" w:space="0" w:color="000000"/>
          <w:right w:val="single" w:sz="4" w:space="0" w:color="000000"/>
        </w:tcBorders>
        <w:shd w:val="clear" w:color="auto" w:fill="E6E6E6"/>
        <w:vAlign w:val="center"/>
      </w:tcPr>
    </w:tblStylePr>
    <w:tblStylePr w:type="band1Horz">
      <w:pPr>
        <w:spacing w:beforeAutospacing="0" w:afterAutospacing="0" w:line="240" w:lineRule="auto"/>
        <w:ind w:left="57" w:right="57" w:firstLine="0"/>
        <w:jc w:val="left"/>
        <w:outlineLvl w:val="9"/>
      </w:pPr>
      <w:rPr>
        <w:rFonts w:ascii="Times New Roman" w:hAnsi="Times New Roman"/>
        <w:sz w:val="24"/>
      </w:rPr>
    </w:tblStylePr>
    <w:tblStylePr w:type="band2Horz">
      <w:pPr>
        <w:spacing w:beforeAutospacing="0" w:afterAutospacing="0"/>
        <w:ind w:left="57" w:right="57" w:firstLine="0"/>
        <w:contextualSpacing w:val="0"/>
        <w:jc w:val="left"/>
        <w:outlineLvl w:val="9"/>
      </w:pPr>
      <w:rPr>
        <w:rFonts w:ascii="Times New Roman" w:hAnsi="Times New Roman"/>
        <w:sz w:val="24"/>
      </w:rPr>
    </w:tblStylePr>
  </w:style>
  <w:style w:type="paragraph" w:customStyle="1" w:styleId="GOSTTablenorm">
    <w:name w:val="_GOST_Table_norm"/>
    <w:link w:val="GOSTTablenorm0"/>
    <w:qFormat/>
    <w:pPr>
      <w:spacing w:before="60" w:after="60"/>
      <w:ind w:left="57" w:right="57"/>
      <w:jc w:val="both"/>
    </w:pPr>
    <w:rPr>
      <w:rFonts w:ascii="Times New Roman" w:eastAsia="Times New Roman" w:hAnsi="Times New Roman"/>
      <w:sz w:val="22"/>
    </w:rPr>
  </w:style>
  <w:style w:type="paragraph" w:customStyle="1" w:styleId="GOSTTableHead">
    <w:name w:val="_GOST_Table_Head"/>
    <w:basedOn w:val="GOSTTablenorm"/>
    <w:link w:val="GOSTTableHead0"/>
    <w:pPr>
      <w:keepNext/>
      <w:ind w:left="0" w:right="0"/>
      <w:jc w:val="center"/>
    </w:pPr>
    <w:rPr>
      <w:b/>
      <w:bCs/>
    </w:rPr>
  </w:style>
  <w:style w:type="paragraph" w:customStyle="1" w:styleId="GOSTTableListMark">
    <w:name w:val="_GOST_Table_List_Mark"/>
    <w:pPr>
      <w:tabs>
        <w:tab w:val="left" w:pos="170"/>
        <w:tab w:val="num" w:pos="340"/>
      </w:tabs>
      <w:spacing w:before="60" w:after="60"/>
      <w:ind w:left="340" w:right="57" w:hanging="227"/>
    </w:pPr>
    <w:rPr>
      <w:rFonts w:ascii="Times New Roman" w:eastAsia="Times New Roman" w:hAnsi="Times New Roman"/>
      <w:sz w:val="22"/>
    </w:rPr>
  </w:style>
  <w:style w:type="paragraph" w:customStyle="1" w:styleId="GOSTTableListNum0">
    <w:name w:val="_GOST_Table_List_Num"/>
    <w:basedOn w:val="aa"/>
    <w:pPr>
      <w:tabs>
        <w:tab w:val="num" w:pos="284"/>
      </w:tabs>
      <w:spacing w:before="60" w:after="60"/>
      <w:ind w:left="284" w:right="57" w:hanging="227"/>
      <w:contextualSpacing/>
      <w:jc w:val="left"/>
    </w:pPr>
    <w:rPr>
      <w:sz w:val="22"/>
      <w:szCs w:val="22"/>
    </w:rPr>
  </w:style>
  <w:style w:type="paragraph" w:customStyle="1" w:styleId="GOSTTableNum">
    <w:name w:val="_GOST_Table_Num"/>
    <w:basedOn w:val="aa"/>
    <w:pPr>
      <w:tabs>
        <w:tab w:val="num" w:pos="114"/>
      </w:tabs>
      <w:spacing w:before="60" w:after="60"/>
      <w:ind w:left="57" w:firstLine="57"/>
    </w:pPr>
    <w:rPr>
      <w:rFonts w:cs="Arial"/>
      <w:sz w:val="22"/>
    </w:rPr>
  </w:style>
  <w:style w:type="paragraph" w:customStyle="1" w:styleId="GOSTTitul0">
    <w:name w:val="_GOST_Titul_0"/>
    <w:pPr>
      <w:spacing w:line="360" w:lineRule="auto"/>
      <w:contextualSpacing/>
      <w:jc w:val="center"/>
    </w:pPr>
    <w:rPr>
      <w:rFonts w:ascii="Times New Roman" w:eastAsia="Times New Roman" w:hAnsi="Times New Roman"/>
      <w:sz w:val="28"/>
      <w:szCs w:val="28"/>
    </w:rPr>
  </w:style>
  <w:style w:type="paragraph" w:customStyle="1" w:styleId="GOSTTITUL00">
    <w:name w:val="_GOST_TITUL_0"/>
    <w:pPr>
      <w:spacing w:line="360" w:lineRule="auto"/>
      <w:contextualSpacing/>
      <w:jc w:val="center"/>
    </w:pPr>
    <w:rPr>
      <w:rFonts w:ascii="Times New Roman" w:eastAsia="Times New Roman" w:hAnsi="Times New Roman"/>
      <w:sz w:val="28"/>
      <w:szCs w:val="28"/>
    </w:rPr>
  </w:style>
  <w:style w:type="paragraph" w:customStyle="1" w:styleId="GOSTTitul1">
    <w:name w:val="_GOST_Titul_1"/>
    <w:pPr>
      <w:spacing w:before="240" w:after="240"/>
      <w:contextualSpacing/>
      <w:jc w:val="center"/>
    </w:pPr>
    <w:rPr>
      <w:rFonts w:ascii="Times New Roman" w:eastAsia="Times New Roman" w:hAnsi="Times New Roman"/>
      <w:sz w:val="32"/>
      <w:szCs w:val="28"/>
    </w:rPr>
  </w:style>
  <w:style w:type="paragraph" w:customStyle="1" w:styleId="GOSTTitul2">
    <w:name w:val="_GOST_Titul_2"/>
    <w:pPr>
      <w:jc w:val="center"/>
    </w:pPr>
    <w:rPr>
      <w:rFonts w:ascii="Times New Roman" w:eastAsia="Times New Roman" w:hAnsi="Times New Roman"/>
      <w:b/>
      <w:caps/>
      <w:sz w:val="32"/>
      <w:szCs w:val="28"/>
    </w:rPr>
  </w:style>
  <w:style w:type="paragraph" w:customStyle="1" w:styleId="GOSTTitulnamedoc">
    <w:name w:val="_GOST_Titul_name_doc"/>
    <w:pPr>
      <w:spacing w:before="200" w:after="400"/>
      <w:contextualSpacing/>
      <w:jc w:val="center"/>
    </w:pPr>
    <w:rPr>
      <w:rFonts w:ascii="Times New Roman" w:eastAsia="Times New Roman" w:hAnsi="Times New Roman"/>
      <w:b/>
      <w:sz w:val="32"/>
      <w:szCs w:val="28"/>
    </w:rPr>
  </w:style>
  <w:style w:type="paragraph" w:customStyle="1" w:styleId="2ff">
    <w:name w:val="Заг_2_Приложение"/>
    <w:basedOn w:val="affffff4"/>
    <w:next w:val="GOSTNormal"/>
    <w:link w:val="2ff0"/>
    <w:pPr>
      <w:pageBreakBefore w:val="0"/>
      <w:numPr>
        <w:numId w:val="0"/>
      </w:numPr>
      <w:tabs>
        <w:tab w:val="num" w:pos="284"/>
        <w:tab w:val="num" w:pos="432"/>
      </w:tabs>
      <w:spacing w:after="240"/>
      <w:ind w:left="454" w:hanging="454"/>
      <w:jc w:val="left"/>
    </w:pPr>
    <w:rPr>
      <w:sz w:val="32"/>
    </w:rPr>
  </w:style>
  <w:style w:type="character" w:customStyle="1" w:styleId="2ff0">
    <w:name w:val="Заг_2_Приложение Знак"/>
    <w:link w:val="2ff"/>
    <w:rPr>
      <w:rFonts w:ascii="Times New Roman" w:eastAsia="Times New Roman" w:hAnsi="Times New Roman"/>
      <w:b/>
      <w:sz w:val="32"/>
      <w:szCs w:val="36"/>
    </w:rPr>
  </w:style>
  <w:style w:type="paragraph" w:customStyle="1" w:styleId="3f4">
    <w:name w:val="Заг_3_Приложение"/>
    <w:basedOn w:val="aa"/>
    <w:pPr>
      <w:keepNext/>
      <w:spacing w:before="240" w:after="240"/>
      <w:ind w:left="680" w:hanging="680"/>
      <w:contextualSpacing/>
      <w:outlineLvl w:val="1"/>
    </w:pPr>
    <w:rPr>
      <w:rFonts w:cs="Arial"/>
      <w:b/>
      <w:bCs/>
      <w:iCs/>
      <w:sz w:val="28"/>
      <w:szCs w:val="28"/>
    </w:rPr>
  </w:style>
  <w:style w:type="paragraph" w:customStyle="1" w:styleId="GOSTListnormal1">
    <w:name w:val="_GOST_List_normal_1"/>
    <w:pPr>
      <w:tabs>
        <w:tab w:val="left" w:pos="284"/>
      </w:tabs>
      <w:spacing w:before="120" w:after="120"/>
      <w:ind w:left="567"/>
    </w:pPr>
    <w:rPr>
      <w:rFonts w:ascii="Times New Roman" w:eastAsia="Times New Roman" w:hAnsi="Times New Roman"/>
      <w:sz w:val="24"/>
    </w:rPr>
  </w:style>
  <w:style w:type="paragraph" w:customStyle="1" w:styleId="GOSTListnormal28">
    <w:name w:val="_GOST_List_normal_2.8"/>
    <w:basedOn w:val="GOSTListnormal1"/>
    <w:pPr>
      <w:ind w:left="1134"/>
    </w:pPr>
  </w:style>
  <w:style w:type="paragraph" w:styleId="affffffe">
    <w:name w:val="table of figures"/>
    <w:aliases w:val="таблиц_GOST,Перечень рисунков_ASFK"/>
    <w:basedOn w:val="aa"/>
    <w:next w:val="aa"/>
    <w:uiPriority w:val="99"/>
    <w:pPr>
      <w:ind w:left="480" w:hanging="480"/>
    </w:pPr>
  </w:style>
  <w:style w:type="paragraph" w:customStyle="1" w:styleId="GOSTListnormal3">
    <w:name w:val="_GOST_List_normal_3"/>
    <w:basedOn w:val="GOSTListnormal1"/>
    <w:pPr>
      <w:ind w:left="1418"/>
    </w:pPr>
  </w:style>
  <w:style w:type="paragraph" w:customStyle="1" w:styleId="GOSTListnormal4">
    <w:name w:val="_GOST_List_normal_4"/>
    <w:basedOn w:val="GOSTListnormal3"/>
    <w:pPr>
      <w:ind w:left="1701"/>
    </w:pPr>
  </w:style>
  <w:style w:type="paragraph" w:customStyle="1" w:styleId="GOSTListnum">
    <w:name w:val="_GOST_List_num"/>
    <w:pPr>
      <w:tabs>
        <w:tab w:val="num" w:pos="1021"/>
      </w:tabs>
      <w:spacing w:before="120" w:after="120"/>
      <w:ind w:left="1021" w:hanging="454"/>
      <w:contextualSpacing/>
    </w:pPr>
    <w:rPr>
      <w:rFonts w:ascii="Times New Roman" w:eastAsia="Times New Roman" w:hAnsi="Times New Roman"/>
      <w:sz w:val="24"/>
    </w:rPr>
  </w:style>
  <w:style w:type="character" w:customStyle="1" w:styleId="GOSTNote0">
    <w:name w:val="_GOST_Note Знак"/>
    <w:link w:val="GOSTNote"/>
    <w:rPr>
      <w:rFonts w:ascii="Times New Roman" w:eastAsia="Times New Roman" w:hAnsi="Times New Roman"/>
      <w:sz w:val="24"/>
      <w:lang w:bidi="ar-SA"/>
    </w:rPr>
  </w:style>
  <w:style w:type="paragraph" w:customStyle="1" w:styleId="GOSTListmark5">
    <w:name w:val="_GOST_List_mark5"/>
    <w:basedOn w:val="GOSTListmark4"/>
    <w:pPr>
      <w:tabs>
        <w:tab w:val="clear" w:pos="1701"/>
        <w:tab w:val="left" w:pos="1985"/>
      </w:tabs>
      <w:ind w:left="1985" w:hanging="284"/>
    </w:pPr>
  </w:style>
  <w:style w:type="paragraph" w:customStyle="1" w:styleId="xmsonormal">
    <w:name w:val="x_msonormal"/>
    <w:basedOn w:val="aa"/>
    <w:pPr>
      <w:spacing w:before="100" w:beforeAutospacing="1" w:after="100" w:afterAutospacing="1"/>
      <w:jc w:val="left"/>
    </w:pPr>
    <w:rPr>
      <w:szCs w:val="24"/>
    </w:rPr>
  </w:style>
  <w:style w:type="character" w:customStyle="1" w:styleId="blk">
    <w:name w:val="blk"/>
  </w:style>
  <w:style w:type="numbering" w:customStyle="1" w:styleId="1ff5">
    <w:name w:val="Нет списка1"/>
    <w:next w:val="ad"/>
    <w:uiPriority w:val="99"/>
    <w:semiHidden/>
    <w:unhideWhenUsed/>
  </w:style>
  <w:style w:type="table" w:customStyle="1" w:styleId="OTRTable20">
    <w:name w:val="OTR_Table2"/>
    <w:basedOn w:val="ac"/>
    <w:pPr>
      <w:spacing w:before="60" w:after="60"/>
      <w:jc w:val="center"/>
    </w:pPr>
    <w:rPr>
      <w:rFonts w:ascii="Times New Roman" w:eastAsia="Times New Roman" w:hAnsi="Times New Roman"/>
      <w:sz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blStylePr w:type="firstRow">
      <w:pPr>
        <w:keepNext/>
        <w:keepLines w:val="0"/>
        <w:pageBreakBefore w:val="0"/>
        <w:widowControl w:val="0"/>
        <w:suppressLineNumbers w:val="0"/>
        <w:spacing w:beforeAutospacing="0" w:afterAutospacing="0" w:line="240" w:lineRule="auto"/>
        <w:ind w:left="0" w:right="0" w:firstLine="0"/>
        <w:contextualSpacing w:val="0"/>
        <w:jc w:val="center"/>
        <w:outlineLvl w:val="9"/>
      </w:pPr>
      <w:rPr>
        <w:rFonts w:ascii="Times New Roman" w:hAnsi="Times New Roman"/>
        <w:b w:val="0"/>
        <w:i w:val="0"/>
        <w:sz w:val="24"/>
      </w:rPr>
      <w:tblPr/>
      <w:trPr>
        <w:tblHeader/>
      </w:trPr>
      <w:tcPr>
        <w:tcBorders>
          <w:top w:val="single" w:sz="4" w:space="0" w:color="000000"/>
          <w:left w:val="single" w:sz="4" w:space="0" w:color="000000"/>
          <w:bottom w:val="single" w:sz="4" w:space="0" w:color="000000"/>
          <w:right w:val="single" w:sz="4" w:space="0" w:color="000000"/>
        </w:tcBorders>
        <w:shd w:val="clear" w:color="auto" w:fill="E6E6E6"/>
      </w:tcPr>
    </w:tblStylePr>
  </w:style>
  <w:style w:type="table" w:customStyle="1" w:styleId="1ff6">
    <w:name w:val="Сетка таблицы1"/>
    <w:basedOn w:val="ac"/>
    <w:next w:val="affffb"/>
    <w:pPr>
      <w:jc w:val="both"/>
    </w:pPr>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SFKTitul1">
    <w:name w:val="_ASFK_Titul_1"/>
    <w:pPr>
      <w:spacing w:before="240" w:after="240"/>
      <w:contextualSpacing/>
      <w:jc w:val="center"/>
    </w:pPr>
    <w:rPr>
      <w:rFonts w:ascii="Times New Roman" w:eastAsia="Times New Roman" w:hAnsi="Times New Roman"/>
      <w:sz w:val="32"/>
      <w:szCs w:val="28"/>
    </w:rPr>
  </w:style>
  <w:style w:type="paragraph" w:customStyle="1" w:styleId="ASFKFigure">
    <w:name w:val="_ASFK_Figure"/>
    <w:next w:val="aa"/>
    <w:uiPriority w:val="99"/>
    <w:pPr>
      <w:keepNext/>
      <w:spacing w:before="120" w:after="120"/>
      <w:jc w:val="center"/>
    </w:pPr>
    <w:rPr>
      <w:rFonts w:ascii="Times New Roman" w:eastAsia="Times New Roman" w:hAnsi="Times New Roman"/>
      <w:sz w:val="24"/>
    </w:rPr>
  </w:style>
  <w:style w:type="paragraph" w:customStyle="1" w:styleId="ASFKFigName">
    <w:name w:val="_ASFK_Fig_Name"/>
    <w:basedOn w:val="ASFKFigure"/>
    <w:next w:val="ASFKNormal"/>
    <w:uiPriority w:val="99"/>
    <w:pPr>
      <w:keepNext w:val="0"/>
      <w:tabs>
        <w:tab w:val="num" w:pos="0"/>
      </w:tabs>
      <w:contextualSpacing/>
    </w:pPr>
    <w:rPr>
      <w:b/>
      <w:szCs w:val="24"/>
    </w:rPr>
  </w:style>
  <w:style w:type="paragraph" w:customStyle="1" w:styleId="ASFKheader">
    <w:name w:val="_ASFK_header"/>
    <w:uiPriority w:val="99"/>
    <w:rPr>
      <w:rFonts w:ascii="Arial" w:eastAsia="Times New Roman" w:hAnsi="Arial"/>
      <w:b/>
      <w:color w:val="333333"/>
    </w:rPr>
  </w:style>
  <w:style w:type="paragraph" w:customStyle="1" w:styleId="ASFKListmark3">
    <w:name w:val="_ASFK_List_mark3"/>
    <w:uiPriority w:val="99"/>
    <w:pPr>
      <w:tabs>
        <w:tab w:val="num" w:pos="1418"/>
      </w:tabs>
      <w:ind w:left="1418" w:hanging="284"/>
    </w:pPr>
    <w:rPr>
      <w:rFonts w:ascii="Times New Roman" w:eastAsia="Times New Roman" w:hAnsi="Times New Roman"/>
      <w:sz w:val="24"/>
    </w:rPr>
  </w:style>
  <w:style w:type="paragraph" w:customStyle="1" w:styleId="ASFKListnormal18">
    <w:name w:val="_ASFK_List_normal_1.8"/>
    <w:basedOn w:val="ASFKListnormal"/>
    <w:uiPriority w:val="99"/>
    <w:pPr>
      <w:tabs>
        <w:tab w:val="clear" w:pos="567"/>
        <w:tab w:val="left" w:pos="1021"/>
      </w:tabs>
      <w:ind w:left="1021"/>
      <w:jc w:val="left"/>
    </w:pPr>
  </w:style>
  <w:style w:type="paragraph" w:customStyle="1" w:styleId="ASFKNormalWithout">
    <w:name w:val="_ASFK_Normal_Without"/>
    <w:basedOn w:val="ASFKNormal"/>
    <w:next w:val="ASFKNormal"/>
    <w:uiPriority w:val="99"/>
    <w:pPr>
      <w:keepNext/>
    </w:pPr>
    <w:rPr>
      <w:sz w:val="22"/>
    </w:rPr>
  </w:style>
  <w:style w:type="paragraph" w:customStyle="1" w:styleId="ASFKNoteContinue">
    <w:name w:val="_ASFK_Note_Continue"/>
    <w:basedOn w:val="ASFKNote"/>
    <w:uiPriority w:val="99"/>
    <w:pPr>
      <w:ind w:firstLine="0"/>
    </w:pPr>
    <w:rPr>
      <w:sz w:val="22"/>
    </w:rPr>
  </w:style>
  <w:style w:type="paragraph" w:customStyle="1" w:styleId="ASFKReg">
    <w:name w:val="_ASFK_Reg"/>
    <w:pPr>
      <w:keepNext/>
      <w:pageBreakBefore/>
      <w:spacing w:before="120" w:after="120"/>
      <w:contextualSpacing/>
      <w:jc w:val="center"/>
      <w:outlineLvl w:val="0"/>
    </w:pPr>
    <w:rPr>
      <w:rFonts w:ascii="Times New Roman" w:eastAsia="Times New Roman" w:hAnsi="Times New Roman"/>
      <w:b/>
      <w:caps/>
      <w:sz w:val="28"/>
    </w:rPr>
  </w:style>
  <w:style w:type="character" w:customStyle="1" w:styleId="ASFKSymItalic">
    <w:name w:val="_ASFK_Sym_Italic"/>
    <w:uiPriority w:val="99"/>
    <w:rPr>
      <w:i/>
    </w:rPr>
  </w:style>
  <w:style w:type="table" w:customStyle="1" w:styleId="ASFKTable">
    <w:name w:val="_ASFK_Table"/>
    <w:uiPriority w:val="99"/>
    <w:pPr>
      <w:jc w:val="both"/>
    </w:pPr>
    <w:rPr>
      <w:rFonts w:ascii="Times New Roman" w:eastAsia="Times New Roman" w:hAnsi="Times New Roman"/>
    </w:rPr>
    <w:tblPr>
      <w:tblStyleRowBandSize w:val="1"/>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57" w:type="dxa"/>
        <w:bottom w:w="0" w:type="dxa"/>
        <w:right w:w="57" w:type="dxa"/>
      </w:tblCellMar>
    </w:tblPr>
  </w:style>
  <w:style w:type="paragraph" w:customStyle="1" w:styleId="ASFKTitul0">
    <w:name w:val="_ASFK_Titul_0"/>
    <w:uiPriority w:val="99"/>
    <w:pPr>
      <w:spacing w:line="360" w:lineRule="auto"/>
      <w:contextualSpacing/>
      <w:jc w:val="center"/>
    </w:pPr>
    <w:rPr>
      <w:rFonts w:ascii="Times New Roman" w:eastAsia="Times New Roman" w:hAnsi="Times New Roman"/>
      <w:sz w:val="28"/>
      <w:szCs w:val="28"/>
    </w:rPr>
  </w:style>
  <w:style w:type="paragraph" w:customStyle="1" w:styleId="ASFKListnormalBI">
    <w:name w:val="_ASFK_List_normal_BI"/>
    <w:basedOn w:val="aa"/>
    <w:uiPriority w:val="99"/>
    <w:pPr>
      <w:keepNext/>
      <w:tabs>
        <w:tab w:val="left" w:pos="855"/>
      </w:tabs>
      <w:spacing w:before="120" w:after="120"/>
      <w:ind w:left="1021"/>
      <w:contextualSpacing/>
    </w:pPr>
    <w:rPr>
      <w:b/>
      <w:i/>
    </w:rPr>
  </w:style>
  <w:style w:type="paragraph" w:customStyle="1" w:styleId="ASFKTitul2">
    <w:name w:val="_ASFK_Titul_2"/>
    <w:uiPriority w:val="99"/>
    <w:pPr>
      <w:jc w:val="center"/>
    </w:pPr>
    <w:rPr>
      <w:rFonts w:ascii="Times New Roman" w:eastAsia="Times New Roman" w:hAnsi="Times New Roman"/>
      <w:b/>
      <w:caps/>
      <w:sz w:val="32"/>
      <w:szCs w:val="28"/>
    </w:rPr>
  </w:style>
  <w:style w:type="paragraph" w:customStyle="1" w:styleId="ASFKListnormalBold">
    <w:name w:val="_ASFK_List_normal_Bold"/>
    <w:basedOn w:val="ASFKListnormal"/>
    <w:uiPriority w:val="99"/>
    <w:pPr>
      <w:keepNext/>
      <w:tabs>
        <w:tab w:val="clear" w:pos="567"/>
        <w:tab w:val="left" w:pos="284"/>
      </w:tabs>
      <w:spacing w:before="120" w:after="120"/>
      <w:ind w:left="1021"/>
    </w:pPr>
    <w:rPr>
      <w:b/>
    </w:rPr>
  </w:style>
  <w:style w:type="paragraph" w:customStyle="1" w:styleId="ASFKListnormal1">
    <w:name w:val="_ASFK_List_normal_1"/>
    <w:basedOn w:val="ASFKListnormal"/>
    <w:uiPriority w:val="99"/>
    <w:pPr>
      <w:tabs>
        <w:tab w:val="clear" w:pos="567"/>
        <w:tab w:val="left" w:pos="851"/>
      </w:tabs>
      <w:ind w:left="851"/>
      <w:jc w:val="left"/>
    </w:pPr>
  </w:style>
  <w:style w:type="paragraph" w:customStyle="1" w:styleId="ASFKListnormal28">
    <w:name w:val="_ASFK_List_normal_2.8"/>
    <w:basedOn w:val="ASFKListnormal"/>
    <w:uiPriority w:val="99"/>
    <w:pPr>
      <w:tabs>
        <w:tab w:val="clear" w:pos="567"/>
        <w:tab w:val="left" w:pos="1588"/>
      </w:tabs>
      <w:ind w:left="1588"/>
      <w:jc w:val="left"/>
    </w:pPr>
  </w:style>
  <w:style w:type="paragraph" w:customStyle="1" w:styleId="ASFKListnormal3">
    <w:name w:val="_ASFK_List_normal_3"/>
    <w:basedOn w:val="ASFKListnormal"/>
    <w:uiPriority w:val="99"/>
    <w:pPr>
      <w:tabs>
        <w:tab w:val="clear" w:pos="567"/>
        <w:tab w:val="left" w:pos="1418"/>
      </w:tabs>
      <w:ind w:left="1418"/>
      <w:jc w:val="left"/>
    </w:pPr>
  </w:style>
  <w:style w:type="paragraph" w:customStyle="1" w:styleId="ASFKListnormal4">
    <w:name w:val="_ASFK_List_normal_4"/>
    <w:basedOn w:val="ASFKListnormal3"/>
    <w:uiPriority w:val="99"/>
    <w:pPr>
      <w:tabs>
        <w:tab w:val="clear" w:pos="1418"/>
        <w:tab w:val="left" w:pos="1701"/>
      </w:tabs>
      <w:ind w:left="1701"/>
    </w:pPr>
  </w:style>
  <w:style w:type="paragraph" w:customStyle="1" w:styleId="ASFKListmark5">
    <w:name w:val="_ASFK_List_mark5"/>
    <w:uiPriority w:val="99"/>
    <w:pPr>
      <w:numPr>
        <w:numId w:val="71"/>
      </w:numPr>
    </w:pPr>
    <w:rPr>
      <w:rFonts w:ascii="Times New Roman" w:eastAsia="Times New Roman" w:hAnsi="Times New Roman"/>
      <w:sz w:val="24"/>
    </w:rPr>
  </w:style>
  <w:style w:type="paragraph" w:customStyle="1" w:styleId="ASFKListnormal">
    <w:name w:val="_ASFK_List_normal"/>
    <w:uiPriority w:val="99"/>
    <w:pPr>
      <w:tabs>
        <w:tab w:val="left" w:pos="567"/>
      </w:tabs>
      <w:spacing w:before="60" w:after="60"/>
      <w:ind w:left="567"/>
      <w:contextualSpacing/>
      <w:jc w:val="both"/>
    </w:pPr>
    <w:rPr>
      <w:rFonts w:ascii="Times New Roman" w:eastAsia="Times New Roman" w:hAnsi="Times New Roman"/>
      <w:sz w:val="24"/>
    </w:rPr>
  </w:style>
  <w:style w:type="paragraph" w:customStyle="1" w:styleId="ASFKTitulnamedoc">
    <w:name w:val="_ASFK_Titul_name_doc"/>
    <w:uiPriority w:val="99"/>
    <w:pPr>
      <w:spacing w:before="200" w:after="400"/>
      <w:contextualSpacing/>
      <w:jc w:val="center"/>
    </w:pPr>
    <w:rPr>
      <w:rFonts w:ascii="Times New Roman" w:eastAsia="Times New Roman" w:hAnsi="Times New Roman"/>
      <w:b/>
      <w:sz w:val="32"/>
      <w:szCs w:val="28"/>
    </w:rPr>
  </w:style>
  <w:style w:type="paragraph" w:customStyle="1" w:styleId="ASFKListnormal2">
    <w:name w:val="_ASFK_List_normal_2"/>
    <w:basedOn w:val="ASFKListnormal"/>
    <w:uiPriority w:val="99"/>
    <w:pPr>
      <w:tabs>
        <w:tab w:val="clear" w:pos="567"/>
        <w:tab w:val="left" w:pos="1134"/>
      </w:tabs>
      <w:ind w:left="1134"/>
      <w:jc w:val="left"/>
    </w:pPr>
  </w:style>
  <w:style w:type="paragraph" w:customStyle="1" w:styleId="ASFKListnormal5">
    <w:name w:val="_ASFK_List_normal_5"/>
    <w:basedOn w:val="ASFKListnormal4"/>
    <w:uiPriority w:val="99"/>
    <w:pPr>
      <w:tabs>
        <w:tab w:val="clear" w:pos="1701"/>
        <w:tab w:val="left" w:pos="1985"/>
      </w:tabs>
      <w:ind w:left="1985"/>
    </w:pPr>
  </w:style>
  <w:style w:type="paragraph" w:customStyle="1" w:styleId="ASFKAn">
    <w:name w:val="_ASFK_An"/>
    <w:basedOn w:val="aa"/>
    <w:uiPriority w:val="99"/>
    <w:pPr>
      <w:spacing w:after="240"/>
      <w:ind w:firstLine="567"/>
      <w:jc w:val="center"/>
    </w:pPr>
    <w:rPr>
      <w:b/>
      <w:sz w:val="32"/>
    </w:rPr>
  </w:style>
  <w:style w:type="paragraph" w:styleId="afffffff">
    <w:name w:val="No Spacing"/>
    <w:basedOn w:val="aa"/>
    <w:uiPriority w:val="1"/>
    <w:qFormat/>
    <w:pPr>
      <w:jc w:val="left"/>
    </w:pPr>
    <w:rPr>
      <w:rFonts w:ascii="Calibri" w:hAnsi="Calibri"/>
      <w:szCs w:val="32"/>
      <w:lang w:val="en-US" w:eastAsia="en-US"/>
    </w:rPr>
  </w:style>
  <w:style w:type="paragraph" w:styleId="afffffff0">
    <w:name w:val="Intense Quote"/>
    <w:basedOn w:val="aa"/>
    <w:next w:val="aa"/>
    <w:link w:val="afffffff1"/>
    <w:uiPriority w:val="30"/>
    <w:qFormat/>
    <w:pPr>
      <w:ind w:left="720" w:right="720"/>
      <w:jc w:val="left"/>
    </w:pPr>
    <w:rPr>
      <w:rFonts w:ascii="Calibri" w:hAnsi="Calibri"/>
      <w:b/>
      <w:i/>
      <w:sz w:val="22"/>
      <w:szCs w:val="22"/>
      <w:lang w:val="en-US" w:eastAsia="en-US"/>
    </w:rPr>
  </w:style>
  <w:style w:type="character" w:customStyle="1" w:styleId="afffffff1">
    <w:name w:val="Выделенная цитата Знак"/>
    <w:link w:val="afffffff0"/>
    <w:uiPriority w:val="30"/>
    <w:rPr>
      <w:rFonts w:eastAsia="Times New Roman"/>
      <w:b/>
      <w:i/>
      <w:sz w:val="22"/>
      <w:szCs w:val="22"/>
      <w:lang w:val="en-US" w:eastAsia="en-US"/>
    </w:rPr>
  </w:style>
  <w:style w:type="character" w:styleId="afffffff2">
    <w:name w:val="Subtle Emphasis"/>
    <w:uiPriority w:val="19"/>
    <w:qFormat/>
    <w:rPr>
      <w:i/>
      <w:color w:val="5A5A5A"/>
    </w:rPr>
  </w:style>
  <w:style w:type="character" w:styleId="afffffff3">
    <w:name w:val="Intense Emphasis"/>
    <w:uiPriority w:val="99"/>
    <w:qFormat/>
    <w:rPr>
      <w:b/>
      <w:i/>
      <w:sz w:val="24"/>
      <w:u w:val="single"/>
    </w:rPr>
  </w:style>
  <w:style w:type="character" w:styleId="afffffff4">
    <w:name w:val="Subtle Reference"/>
    <w:uiPriority w:val="99"/>
    <w:qFormat/>
    <w:rPr>
      <w:sz w:val="24"/>
      <w:u w:val="single"/>
    </w:rPr>
  </w:style>
  <w:style w:type="character" w:styleId="afffffff5">
    <w:name w:val="Intense Reference"/>
    <w:uiPriority w:val="99"/>
    <w:qFormat/>
    <w:rPr>
      <w:b/>
      <w:sz w:val="24"/>
      <w:u w:val="single"/>
    </w:rPr>
  </w:style>
  <w:style w:type="character" w:styleId="afffffff6">
    <w:name w:val="Book Title"/>
    <w:uiPriority w:val="99"/>
    <w:qFormat/>
    <w:rPr>
      <w:rFonts w:ascii="Cambria" w:hAnsi="Cambria"/>
      <w:b/>
      <w:i/>
      <w:sz w:val="24"/>
    </w:rPr>
  </w:style>
  <w:style w:type="paragraph" w:customStyle="1" w:styleId="EBListmark4">
    <w:name w:val="_EB_List_mark4"/>
    <w:basedOn w:val="EBListmark3"/>
    <w:uiPriority w:val="99"/>
    <w:pPr>
      <w:numPr>
        <w:numId w:val="72"/>
      </w:numPr>
      <w:tabs>
        <w:tab w:val="num" w:pos="432"/>
        <w:tab w:val="num" w:pos="567"/>
        <w:tab w:val="left" w:pos="1701"/>
      </w:tabs>
      <w:ind w:left="1702" w:hanging="432"/>
    </w:pPr>
    <w:rPr>
      <w:szCs w:val="28"/>
      <w:lang w:val="ru-RU"/>
    </w:rPr>
  </w:style>
  <w:style w:type="paragraph" w:customStyle="1" w:styleId="ebtablenorm0">
    <w:name w:val="ebtablenorm"/>
    <w:basedOn w:val="aa"/>
    <w:uiPriority w:val="99"/>
    <w:pPr>
      <w:spacing w:before="100" w:beforeAutospacing="1" w:after="100" w:afterAutospacing="1"/>
      <w:jc w:val="left"/>
    </w:pPr>
    <w:rPr>
      <w:szCs w:val="24"/>
    </w:rPr>
  </w:style>
  <w:style w:type="paragraph" w:customStyle="1" w:styleId="EBListnormal">
    <w:name w:val="_EB_List_normal"/>
    <w:uiPriority w:val="99"/>
    <w:pPr>
      <w:tabs>
        <w:tab w:val="left" w:pos="284"/>
      </w:tabs>
      <w:spacing w:after="60"/>
      <w:ind w:left="1021"/>
      <w:contextualSpacing/>
      <w:jc w:val="both"/>
    </w:pPr>
    <w:rPr>
      <w:rFonts w:ascii="Times New Roman" w:eastAsia="Times New Roman" w:hAnsi="Times New Roman"/>
      <w:sz w:val="28"/>
    </w:rPr>
  </w:style>
  <w:style w:type="paragraph" w:customStyle="1" w:styleId="EBTitul0">
    <w:name w:val="_EB_Titul_0"/>
    <w:uiPriority w:val="99"/>
    <w:pPr>
      <w:spacing w:line="360" w:lineRule="auto"/>
      <w:contextualSpacing/>
      <w:jc w:val="center"/>
    </w:pPr>
    <w:rPr>
      <w:rFonts w:ascii="Times New Roman" w:eastAsia="Times New Roman" w:hAnsi="Times New Roman"/>
      <w:sz w:val="28"/>
      <w:szCs w:val="28"/>
    </w:rPr>
  </w:style>
  <w:style w:type="paragraph" w:customStyle="1" w:styleId="EBTitul1">
    <w:name w:val="_EB_Titul_1"/>
    <w:uiPriority w:val="99"/>
    <w:pPr>
      <w:spacing w:before="240" w:after="240"/>
      <w:contextualSpacing/>
      <w:jc w:val="center"/>
    </w:pPr>
    <w:rPr>
      <w:rFonts w:ascii="Times New Roman" w:eastAsia="Times New Roman" w:hAnsi="Times New Roman"/>
      <w:sz w:val="32"/>
      <w:szCs w:val="28"/>
    </w:rPr>
  </w:style>
  <w:style w:type="paragraph" w:customStyle="1" w:styleId="EBTitul2">
    <w:name w:val="_EB_Titul_2"/>
    <w:uiPriority w:val="99"/>
    <w:pPr>
      <w:jc w:val="center"/>
    </w:pPr>
    <w:rPr>
      <w:rFonts w:ascii="Times New Roman" w:eastAsia="Times New Roman" w:hAnsi="Times New Roman"/>
      <w:b/>
      <w:caps/>
      <w:sz w:val="32"/>
      <w:szCs w:val="28"/>
    </w:rPr>
  </w:style>
  <w:style w:type="character" w:customStyle="1" w:styleId="gt-baf-back">
    <w:name w:val="gt-baf-back"/>
  </w:style>
  <w:style w:type="character" w:customStyle="1" w:styleId="gt-baf-word-clickable">
    <w:name w:val="gt-baf-word-clickable"/>
  </w:style>
  <w:style w:type="paragraph" w:customStyle="1" w:styleId="GOSTTitulhead">
    <w:name w:val="_GOST_Titul_head"/>
    <w:basedOn w:val="aa"/>
    <w:pPr>
      <w:pBdr>
        <w:bottom w:val="single" w:sz="12" w:space="1" w:color="000000"/>
      </w:pBdr>
      <w:ind w:firstLine="567"/>
      <w:jc w:val="center"/>
    </w:pPr>
    <w:rPr>
      <w:rFonts w:ascii="Arial" w:hAnsi="Arial"/>
      <w:b/>
      <w:bCs/>
    </w:rPr>
  </w:style>
  <w:style w:type="paragraph" w:customStyle="1" w:styleId="5a">
    <w:name w:val="Знак Знак Знак Знак5"/>
    <w:basedOn w:val="aa"/>
    <w:next w:val="aa"/>
    <w:semiHidden/>
    <w:pPr>
      <w:spacing w:after="160" w:line="240" w:lineRule="exact"/>
      <w:jc w:val="left"/>
    </w:pPr>
    <w:rPr>
      <w:rFonts w:ascii="Arial" w:hAnsi="Arial" w:cs="Arial"/>
      <w:sz w:val="20"/>
      <w:lang w:val="en-US" w:eastAsia="en-US"/>
    </w:rPr>
  </w:style>
  <w:style w:type="paragraph" w:customStyle="1" w:styleId="4b">
    <w:name w:val="Знак Знак Знак Знак4"/>
    <w:basedOn w:val="aa"/>
    <w:next w:val="aa"/>
    <w:semiHidden/>
    <w:pPr>
      <w:spacing w:after="160" w:line="240" w:lineRule="exact"/>
      <w:jc w:val="left"/>
    </w:pPr>
    <w:rPr>
      <w:rFonts w:ascii="Arial" w:hAnsi="Arial" w:cs="Arial"/>
      <w:sz w:val="20"/>
      <w:lang w:val="en-US" w:eastAsia="en-US"/>
    </w:rPr>
  </w:style>
  <w:style w:type="paragraph" w:customStyle="1" w:styleId="3f5">
    <w:name w:val="Знак Знак Знак Знак3"/>
    <w:basedOn w:val="aa"/>
    <w:next w:val="aa"/>
    <w:semiHidden/>
    <w:pPr>
      <w:spacing w:after="160" w:line="240" w:lineRule="exact"/>
      <w:jc w:val="left"/>
    </w:pPr>
    <w:rPr>
      <w:rFonts w:ascii="Arial" w:hAnsi="Arial" w:cs="Arial"/>
      <w:sz w:val="20"/>
      <w:lang w:val="en-US" w:eastAsia="en-US"/>
    </w:rPr>
  </w:style>
  <w:style w:type="paragraph" w:customStyle="1" w:styleId="170">
    <w:name w:val="Знак1 Знак Знак Знак Знак Знак Знак7"/>
    <w:basedOn w:val="aa"/>
    <w:next w:val="aa"/>
    <w:semiHidden/>
    <w:pPr>
      <w:spacing w:after="160" w:line="240" w:lineRule="exact"/>
      <w:jc w:val="left"/>
    </w:pPr>
    <w:rPr>
      <w:rFonts w:ascii="Arial" w:hAnsi="Arial" w:cs="Arial"/>
      <w:sz w:val="20"/>
      <w:lang w:val="en-US" w:eastAsia="en-US"/>
    </w:rPr>
  </w:style>
  <w:style w:type="paragraph" w:customStyle="1" w:styleId="171">
    <w:name w:val="Знак Знак Знак1 Знак Знак Знак Знак7"/>
    <w:basedOn w:val="aa"/>
    <w:next w:val="aa"/>
    <w:semiHidden/>
    <w:pPr>
      <w:spacing w:after="160" w:line="240" w:lineRule="exact"/>
      <w:jc w:val="left"/>
    </w:pPr>
    <w:rPr>
      <w:rFonts w:ascii="Arial" w:hAnsi="Arial" w:cs="Arial"/>
      <w:sz w:val="20"/>
      <w:lang w:val="en-US" w:eastAsia="en-US"/>
    </w:rPr>
  </w:style>
  <w:style w:type="paragraph" w:customStyle="1" w:styleId="2ff1">
    <w:name w:val="Знак Знак Знак Знак2"/>
    <w:basedOn w:val="aa"/>
    <w:next w:val="aa"/>
    <w:semiHidden/>
    <w:pPr>
      <w:spacing w:after="160" w:line="240" w:lineRule="exact"/>
      <w:jc w:val="left"/>
    </w:pPr>
    <w:rPr>
      <w:rFonts w:ascii="Arial" w:hAnsi="Arial" w:cs="Arial"/>
      <w:sz w:val="20"/>
      <w:lang w:val="en-US" w:eastAsia="en-US"/>
    </w:rPr>
  </w:style>
  <w:style w:type="character" w:customStyle="1" w:styleId="GOSTNormal0">
    <w:name w:val="_GOST_Normal Знак"/>
    <w:link w:val="GOSTNormal"/>
    <w:qFormat/>
    <w:rPr>
      <w:rFonts w:ascii="Times New Roman" w:eastAsia="Times New Roman" w:hAnsi="Times New Roman"/>
      <w:sz w:val="24"/>
    </w:rPr>
  </w:style>
  <w:style w:type="character" w:customStyle="1" w:styleId="GOSTTablenorm0">
    <w:name w:val="_GOST_Table_norm Знак"/>
    <w:link w:val="GOSTTablenorm"/>
    <w:qFormat/>
    <w:rPr>
      <w:rFonts w:ascii="Times New Roman" w:eastAsia="Times New Roman" w:hAnsi="Times New Roman"/>
      <w:sz w:val="22"/>
    </w:rPr>
  </w:style>
  <w:style w:type="character" w:customStyle="1" w:styleId="resh-link">
    <w:name w:val="resh-link"/>
  </w:style>
  <w:style w:type="paragraph" w:customStyle="1" w:styleId="GOSTTableListMark1">
    <w:name w:val="_GOST_Table_List_Mark_1"/>
    <w:link w:val="GOSTTableListMark10"/>
    <w:pPr>
      <w:tabs>
        <w:tab w:val="left" w:pos="284"/>
      </w:tabs>
      <w:ind w:left="283" w:right="57" w:hanging="170"/>
    </w:pPr>
    <w:rPr>
      <w:rFonts w:ascii="Times New Roman" w:eastAsia="Times New Roman" w:hAnsi="Times New Roman"/>
      <w:sz w:val="22"/>
    </w:rPr>
  </w:style>
  <w:style w:type="character" w:customStyle="1" w:styleId="GOSTTableListMark10">
    <w:name w:val="_GOST_Table_List_Mark_1 Знак"/>
    <w:link w:val="GOSTTableListMark1"/>
    <w:rPr>
      <w:rFonts w:ascii="Times New Roman" w:eastAsia="Times New Roman" w:hAnsi="Times New Roman"/>
      <w:sz w:val="22"/>
      <w:lang w:bidi="ar-SA"/>
    </w:rPr>
  </w:style>
  <w:style w:type="character" w:customStyle="1" w:styleId="block">
    <w:name w:val="block"/>
  </w:style>
  <w:style w:type="paragraph" w:customStyle="1" w:styleId="EBFigure">
    <w:name w:val="_EB_Figure"/>
    <w:next w:val="aa"/>
    <w:link w:val="EBFigure0"/>
    <w:uiPriority w:val="99"/>
    <w:pPr>
      <w:keepNext/>
      <w:spacing w:before="120" w:after="120"/>
      <w:jc w:val="center"/>
    </w:pPr>
    <w:rPr>
      <w:rFonts w:ascii="Times New Roman" w:eastAsia="Times New Roman" w:hAnsi="Times New Roman"/>
      <w:sz w:val="22"/>
      <w:szCs w:val="22"/>
    </w:rPr>
  </w:style>
  <w:style w:type="paragraph" w:customStyle="1" w:styleId="EBFigName">
    <w:name w:val="_EB_Fig_Name"/>
    <w:basedOn w:val="EBFigure"/>
    <w:next w:val="aa"/>
    <w:link w:val="EBFigName0"/>
    <w:uiPriority w:val="99"/>
    <w:pPr>
      <w:keepNext w:val="0"/>
      <w:tabs>
        <w:tab w:val="num" w:pos="0"/>
      </w:tabs>
      <w:contextualSpacing/>
    </w:pPr>
    <w:rPr>
      <w:b/>
      <w:sz w:val="28"/>
      <w:szCs w:val="28"/>
    </w:rPr>
  </w:style>
  <w:style w:type="paragraph" w:customStyle="1" w:styleId="EBheader">
    <w:name w:val="_EB_header"/>
    <w:uiPriority w:val="99"/>
    <w:rPr>
      <w:rFonts w:ascii="Times New Roman" w:eastAsia="Times New Roman" w:hAnsi="Times New Roman"/>
      <w:b/>
      <w:color w:val="808080"/>
      <w:sz w:val="24"/>
    </w:rPr>
  </w:style>
  <w:style w:type="paragraph" w:customStyle="1" w:styleId="EBListnum">
    <w:name w:val="_EB_List_num"/>
    <w:basedOn w:val="aa"/>
    <w:uiPriority w:val="99"/>
    <w:pPr>
      <w:spacing w:before="120" w:after="120"/>
      <w:contextualSpacing/>
    </w:pPr>
    <w:rPr>
      <w:sz w:val="28"/>
    </w:rPr>
  </w:style>
  <w:style w:type="paragraph" w:customStyle="1" w:styleId="EBListnum2">
    <w:name w:val="_EB_List_num2"/>
    <w:basedOn w:val="EBListnum"/>
    <w:uiPriority w:val="99"/>
    <w:pPr>
      <w:numPr>
        <w:ilvl w:val="1"/>
      </w:numPr>
      <w:tabs>
        <w:tab w:val="num" w:pos="926"/>
        <w:tab w:val="num" w:pos="1209"/>
      </w:tabs>
    </w:pPr>
    <w:rPr>
      <w:szCs w:val="24"/>
    </w:rPr>
  </w:style>
  <w:style w:type="paragraph" w:customStyle="1" w:styleId="EBNote">
    <w:name w:val="_EB_Note"/>
    <w:uiPriority w:val="99"/>
    <w:pPr>
      <w:spacing w:before="120" w:after="120"/>
      <w:ind w:left="1701" w:hanging="1701"/>
      <w:jc w:val="both"/>
    </w:pPr>
    <w:rPr>
      <w:rFonts w:ascii="Times New Roman" w:eastAsia="Times New Roman" w:hAnsi="Times New Roman"/>
      <w:sz w:val="28"/>
    </w:rPr>
  </w:style>
  <w:style w:type="paragraph" w:customStyle="1" w:styleId="EBNoteContinue">
    <w:name w:val="_EB_Note_Continue"/>
    <w:basedOn w:val="EBNote"/>
    <w:uiPriority w:val="99"/>
    <w:pPr>
      <w:ind w:firstLine="0"/>
    </w:pPr>
  </w:style>
  <w:style w:type="paragraph" w:customStyle="1" w:styleId="EBReg">
    <w:name w:val="_EB_Reg"/>
    <w:uiPriority w:val="99"/>
    <w:pPr>
      <w:keepNext/>
      <w:pageBreakBefore/>
      <w:spacing w:before="120" w:after="120"/>
      <w:contextualSpacing/>
      <w:jc w:val="center"/>
      <w:outlineLvl w:val="0"/>
    </w:pPr>
    <w:rPr>
      <w:rFonts w:ascii="Times New Roman" w:eastAsia="Times New Roman" w:hAnsi="Times New Roman"/>
      <w:b/>
      <w:caps/>
      <w:sz w:val="28"/>
    </w:rPr>
  </w:style>
  <w:style w:type="paragraph" w:customStyle="1" w:styleId="EBSign">
    <w:name w:val="_EB_Sign"/>
    <w:basedOn w:val="EBReg"/>
    <w:uiPriority w:val="99"/>
    <w:pPr>
      <w:pageBreakBefore w:val="0"/>
      <w:outlineLvl w:val="9"/>
    </w:pPr>
    <w:rPr>
      <w:caps w:val="0"/>
    </w:rPr>
  </w:style>
  <w:style w:type="character" w:customStyle="1" w:styleId="EBSymBoldItalic">
    <w:name w:val="_EB_Sym_Bold_Italic"/>
    <w:uiPriority w:val="99"/>
    <w:rPr>
      <w:rFonts w:ascii="Times New Roman" w:hAnsi="Times New Roman"/>
      <w:b/>
      <w:i/>
      <w:sz w:val="28"/>
    </w:rPr>
  </w:style>
  <w:style w:type="character" w:customStyle="1" w:styleId="EBSymItalic">
    <w:name w:val="_EB_Sym_Italic"/>
    <w:uiPriority w:val="99"/>
    <w:rPr>
      <w:rFonts w:ascii="Times New Roman" w:hAnsi="Times New Roman"/>
      <w:i/>
      <w:sz w:val="28"/>
    </w:rPr>
  </w:style>
  <w:style w:type="table" w:customStyle="1" w:styleId="EBTable">
    <w:name w:val="_EB_Table"/>
    <w:uiPriority w:val="99"/>
    <w:pPr>
      <w:jc w:val="both"/>
    </w:pPr>
    <w:rPr>
      <w:rFonts w:ascii="Times New Roman" w:eastAsia="Times New Roman" w:hAnsi="Times New Roman"/>
      <w:sz w:val="24"/>
    </w:rPr>
    <w:tblPr>
      <w:tblStyleRowBandSize w:val="1"/>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6" w:type="dxa"/>
        <w:bottom w:w="0" w:type="dxa"/>
        <w:right w:w="6" w:type="dxa"/>
      </w:tblCellMar>
    </w:tblPr>
  </w:style>
  <w:style w:type="paragraph" w:customStyle="1" w:styleId="EBTableListMark">
    <w:name w:val="_EB_Table_List_Mark"/>
    <w:uiPriority w:val="99"/>
    <w:pPr>
      <w:tabs>
        <w:tab w:val="left" w:pos="170"/>
        <w:tab w:val="num" w:pos="340"/>
      </w:tabs>
      <w:spacing w:before="60" w:after="60"/>
      <w:ind w:left="340" w:hanging="198"/>
    </w:pPr>
    <w:rPr>
      <w:rFonts w:ascii="Times New Roman" w:eastAsia="Times New Roman" w:hAnsi="Times New Roman"/>
      <w:sz w:val="24"/>
    </w:rPr>
  </w:style>
  <w:style w:type="paragraph" w:customStyle="1" w:styleId="EBTableListNum">
    <w:name w:val="_EB_Table_List_Num"/>
    <w:basedOn w:val="aa"/>
    <w:uiPriority w:val="99"/>
    <w:pPr>
      <w:contextualSpacing/>
    </w:pPr>
    <w:rPr>
      <w:szCs w:val="22"/>
    </w:rPr>
  </w:style>
  <w:style w:type="paragraph" w:customStyle="1" w:styleId="EBTitulnamedoc">
    <w:name w:val="_EB_Titul_name_doc"/>
    <w:uiPriority w:val="99"/>
    <w:pPr>
      <w:spacing w:before="200" w:after="400"/>
      <w:contextualSpacing/>
      <w:jc w:val="center"/>
    </w:pPr>
    <w:rPr>
      <w:rFonts w:ascii="Times New Roman" w:eastAsia="Times New Roman" w:hAnsi="Times New Roman"/>
      <w:b/>
      <w:sz w:val="32"/>
      <w:szCs w:val="28"/>
    </w:rPr>
  </w:style>
  <w:style w:type="paragraph" w:customStyle="1" w:styleId="EBNormalWithout">
    <w:name w:val="_EB_Normal_Without"/>
    <w:basedOn w:val="EBNormal0"/>
    <w:next w:val="EBNormal0"/>
    <w:uiPriority w:val="99"/>
    <w:pPr>
      <w:keepNext/>
      <w:ind w:left="0" w:right="0"/>
    </w:pPr>
    <w:rPr>
      <w:rFonts w:ascii="Times New Roman" w:eastAsia="Times New Roman" w:hAnsi="Times New Roman"/>
      <w:sz w:val="24"/>
      <w:szCs w:val="24"/>
    </w:rPr>
  </w:style>
  <w:style w:type="paragraph" w:customStyle="1" w:styleId="EB">
    <w:name w:val="_EB_Приложение_А"/>
    <w:next w:val="EBNormal0"/>
    <w:link w:val="EB0"/>
    <w:uiPriority w:val="99"/>
    <w:pPr>
      <w:keepNext/>
      <w:pageBreakBefore/>
      <w:numPr>
        <w:numId w:val="73"/>
      </w:numPr>
      <w:spacing w:before="240" w:after="240"/>
      <w:ind w:left="0" w:firstLine="0"/>
      <w:jc w:val="center"/>
      <w:outlineLvl w:val="0"/>
    </w:pPr>
    <w:rPr>
      <w:rFonts w:ascii="Times New Roman" w:eastAsia="Times New Roman" w:hAnsi="Times New Roman"/>
      <w:b/>
      <w:bCs/>
      <w:caps/>
      <w:sz w:val="32"/>
      <w:lang w:eastAsia="en-US"/>
    </w:rPr>
  </w:style>
  <w:style w:type="paragraph" w:customStyle="1" w:styleId="EBAn">
    <w:name w:val="_EB_An"/>
    <w:next w:val="EBNormal0"/>
    <w:uiPriority w:val="99"/>
    <w:pPr>
      <w:keepNext/>
      <w:spacing w:before="120" w:after="240"/>
      <w:contextualSpacing/>
      <w:jc w:val="center"/>
    </w:pPr>
    <w:rPr>
      <w:rFonts w:ascii="Times New Roman" w:eastAsia="Times New Roman" w:hAnsi="Times New Roman"/>
      <w:b/>
      <w:sz w:val="32"/>
      <w:szCs w:val="28"/>
    </w:rPr>
  </w:style>
  <w:style w:type="paragraph" w:customStyle="1" w:styleId="EBListmark5">
    <w:name w:val="_EB_List_mark5"/>
    <w:basedOn w:val="EBListmark4"/>
    <w:uiPriority w:val="99"/>
    <w:pPr>
      <w:numPr>
        <w:numId w:val="0"/>
      </w:numPr>
      <w:tabs>
        <w:tab w:val="clear" w:pos="1701"/>
        <w:tab w:val="num" w:pos="432"/>
        <w:tab w:val="num" w:pos="567"/>
        <w:tab w:val="num" w:pos="926"/>
        <w:tab w:val="num" w:pos="1418"/>
        <w:tab w:val="left" w:pos="1985"/>
      </w:tabs>
      <w:ind w:left="1985" w:hanging="432"/>
    </w:pPr>
    <w:rPr>
      <w:sz w:val="22"/>
    </w:rPr>
  </w:style>
  <w:style w:type="paragraph" w:customStyle="1" w:styleId="EB1">
    <w:name w:val="_EB_Приложение_А.1"/>
    <w:next w:val="EBNormal0"/>
    <w:uiPriority w:val="99"/>
    <w:pPr>
      <w:keepNext/>
      <w:numPr>
        <w:ilvl w:val="1"/>
        <w:numId w:val="73"/>
      </w:numPr>
      <w:tabs>
        <w:tab w:val="clear" w:pos="0"/>
        <w:tab w:val="num" w:pos="684"/>
      </w:tabs>
      <w:spacing w:before="240" w:after="240"/>
      <w:ind w:left="680" w:hanging="680"/>
      <w:outlineLvl w:val="1"/>
    </w:pPr>
    <w:rPr>
      <w:rFonts w:ascii="Times New Roman ??????????" w:eastAsia="Times New Roman" w:hAnsi="Times New Roman ??????????"/>
      <w:b/>
      <w:bCs/>
      <w:sz w:val="32"/>
      <w:lang w:eastAsia="en-US"/>
    </w:rPr>
  </w:style>
  <w:style w:type="paragraph" w:customStyle="1" w:styleId="EB11">
    <w:name w:val="_EB_Приложение_А.1.1"/>
    <w:next w:val="EBNormal0"/>
    <w:uiPriority w:val="99"/>
    <w:pPr>
      <w:keepNext/>
      <w:numPr>
        <w:ilvl w:val="2"/>
        <w:numId w:val="73"/>
      </w:numPr>
      <w:tabs>
        <w:tab w:val="clear" w:pos="0"/>
        <w:tab w:val="left" w:pos="851"/>
      </w:tabs>
      <w:spacing w:before="240" w:after="240"/>
      <w:ind w:left="851" w:hanging="851"/>
      <w:outlineLvl w:val="2"/>
    </w:pPr>
    <w:rPr>
      <w:rFonts w:ascii="Times New Roman ??????????" w:eastAsia="Times New Roman" w:hAnsi="Times New Roman ??????????"/>
      <w:b/>
      <w:sz w:val="28"/>
      <w:lang w:eastAsia="en-US"/>
    </w:rPr>
  </w:style>
  <w:style w:type="paragraph" w:customStyle="1" w:styleId="EB111">
    <w:name w:val="_EB_Приложение_А.1.1.1"/>
    <w:next w:val="EBNormal0"/>
    <w:uiPriority w:val="99"/>
    <w:pPr>
      <w:numPr>
        <w:ilvl w:val="3"/>
        <w:numId w:val="73"/>
      </w:numPr>
      <w:tabs>
        <w:tab w:val="clear" w:pos="0"/>
        <w:tab w:val="num" w:pos="1134"/>
      </w:tabs>
      <w:spacing w:before="240" w:after="240"/>
      <w:ind w:left="1134" w:hanging="1134"/>
      <w:outlineLvl w:val="3"/>
    </w:pPr>
    <w:rPr>
      <w:rFonts w:ascii="Times New Roman ??????????" w:eastAsia="Times New Roman" w:hAnsi="Times New Roman ??????????"/>
      <w:b/>
      <w:sz w:val="28"/>
      <w:lang w:eastAsia="en-US"/>
    </w:rPr>
  </w:style>
  <w:style w:type="paragraph" w:customStyle="1" w:styleId="EB1111">
    <w:name w:val="_EB_Приложение_А.1.1.1.1"/>
    <w:next w:val="EBNormal0"/>
    <w:uiPriority w:val="99"/>
    <w:pPr>
      <w:numPr>
        <w:ilvl w:val="4"/>
        <w:numId w:val="73"/>
      </w:numPr>
      <w:tabs>
        <w:tab w:val="clear" w:pos="0"/>
        <w:tab w:val="left" w:pos="1418"/>
      </w:tabs>
      <w:spacing w:before="240" w:after="120"/>
      <w:ind w:left="1418" w:hanging="1418"/>
      <w:outlineLvl w:val="4"/>
    </w:pPr>
    <w:rPr>
      <w:rFonts w:ascii="Times New Roman ??????????" w:eastAsia="Times New Roman" w:hAnsi="Times New Roman ??????????"/>
      <w:b/>
      <w:sz w:val="28"/>
      <w:lang w:eastAsia="en-US"/>
    </w:rPr>
  </w:style>
  <w:style w:type="character" w:customStyle="1" w:styleId="EB0">
    <w:name w:val="_EB_Приложение_А Знак Знак"/>
    <w:link w:val="EB"/>
    <w:uiPriority w:val="99"/>
    <w:rPr>
      <w:rFonts w:ascii="Times New Roman" w:eastAsia="Times New Roman" w:hAnsi="Times New Roman"/>
      <w:b/>
      <w:bCs/>
      <w:caps/>
      <w:sz w:val="32"/>
      <w:lang w:eastAsia="en-US"/>
    </w:rPr>
  </w:style>
  <w:style w:type="table" w:customStyle="1" w:styleId="OTRTabl01">
    <w:name w:val="_OTR_Tabl_01"/>
    <w:uiPriority w:val="99"/>
    <w:semiHidden/>
    <w:pPr>
      <w:jc w:val="both"/>
    </w:pPr>
    <w:rPr>
      <w:rFonts w:ascii="Times New Roman" w:eastAsia="Times New Roman" w:hAnsi="Times New Roman"/>
      <w:sz w:val="24"/>
    </w:rPr>
    <w:tblPr>
      <w:tblStyleRowBandSize w:val="1"/>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57" w:type="dxa"/>
        <w:bottom w:w="0" w:type="dxa"/>
        <w:right w:w="57" w:type="dxa"/>
      </w:tblCellMar>
    </w:tblPr>
  </w:style>
  <w:style w:type="character" w:customStyle="1" w:styleId="EBFigure0">
    <w:name w:val="_EB_Figure Знак"/>
    <w:link w:val="EBFigure"/>
    <w:uiPriority w:val="99"/>
    <w:rPr>
      <w:rFonts w:ascii="Times New Roman" w:eastAsia="Times New Roman" w:hAnsi="Times New Roman"/>
      <w:sz w:val="22"/>
      <w:szCs w:val="22"/>
      <w:lang w:bidi="ar-SA"/>
    </w:rPr>
  </w:style>
  <w:style w:type="character" w:customStyle="1" w:styleId="EBFigName0">
    <w:name w:val="_EB_Fig_Name Знак"/>
    <w:link w:val="EBFigName"/>
    <w:uiPriority w:val="99"/>
    <w:rPr>
      <w:rFonts w:ascii="Times New Roman" w:eastAsia="Times New Roman" w:hAnsi="Times New Roman"/>
      <w:b/>
      <w:sz w:val="28"/>
      <w:szCs w:val="28"/>
    </w:rPr>
  </w:style>
  <w:style w:type="character" w:customStyle="1" w:styleId="afffffff7">
    <w:name w:val="Обычный текст Знак"/>
    <w:link w:val="afffffff8"/>
    <w:uiPriority w:val="99"/>
    <w:rPr>
      <w:sz w:val="24"/>
      <w:szCs w:val="24"/>
    </w:rPr>
  </w:style>
  <w:style w:type="paragraph" w:customStyle="1" w:styleId="afffffff8">
    <w:name w:val="Обычный текст"/>
    <w:basedOn w:val="aa"/>
    <w:link w:val="afffffff7"/>
    <w:uiPriority w:val="99"/>
    <w:pPr>
      <w:spacing w:line="288" w:lineRule="auto"/>
      <w:ind w:firstLine="720"/>
    </w:pPr>
    <w:rPr>
      <w:rFonts w:ascii="Calibri" w:eastAsia="Calibri" w:hAnsi="Calibri"/>
      <w:szCs w:val="24"/>
    </w:rPr>
  </w:style>
  <w:style w:type="character" w:customStyle="1" w:styleId="z-label">
    <w:name w:val="z-label"/>
  </w:style>
  <w:style w:type="paragraph" w:customStyle="1" w:styleId="afffffff9">
    <w:name w:val="Клиент"/>
    <w:basedOn w:val="EBTablenorm"/>
  </w:style>
  <w:style w:type="character" w:customStyle="1" w:styleId="w">
    <w:name w:val="w"/>
  </w:style>
  <w:style w:type="table" w:customStyle="1" w:styleId="1ff7">
    <w:name w:val="Светлая заливка1"/>
    <w:basedOn w:val="ac"/>
    <w:uiPriority w:val="60"/>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one" w:sz="4" w:space="0" w:color="000000"/>
          <w:bottom w:val="single" w:sz="8" w:space="0" w:color="000000"/>
          <w:right w:val="none" w:sz="4" w:space="0" w:color="000000"/>
        </w:tcBorders>
      </w:tcPr>
    </w:tblStylePr>
    <w:tblStylePr w:type="lastRow">
      <w:pPr>
        <w:spacing w:before="0" w:after="0" w:line="240" w:lineRule="auto"/>
      </w:pPr>
      <w:rPr>
        <w:b/>
        <w:bCs/>
      </w:rPr>
      <w:tblPr/>
      <w:tcPr>
        <w:tcBorders>
          <w:top w:val="single" w:sz="8" w:space="0" w:color="000000"/>
          <w:left w:val="none" w:sz="4" w:space="0" w:color="000000"/>
          <w:bottom w:val="single" w:sz="8" w:space="0" w:color="000000"/>
          <w:right w:val="none" w:sz="4" w:space="0" w:color="000000"/>
        </w:tcBorders>
      </w:tcPr>
    </w:tblStylePr>
    <w:tblStylePr w:type="firstCol">
      <w:rPr>
        <w:b/>
        <w:bCs/>
      </w:rPr>
    </w:tblStylePr>
    <w:tblStylePr w:type="lastCol">
      <w:rPr>
        <w:b/>
        <w:bCs/>
      </w:rPr>
    </w:tblStylePr>
    <w:tblStylePr w:type="band1Vert">
      <w:tblPr/>
      <w:tcPr>
        <w:tcBorders>
          <w:left w:val="none" w:sz="4" w:space="0" w:color="000000"/>
          <w:right w:val="none" w:sz="4" w:space="0" w:color="000000"/>
        </w:tcBorders>
        <w:shd w:val="clear" w:color="auto" w:fill="C0C0C0"/>
      </w:tcPr>
    </w:tblStylePr>
    <w:tblStylePr w:type="band1Horz">
      <w:tblPr/>
      <w:tcPr>
        <w:tcBorders>
          <w:left w:val="none" w:sz="4" w:space="0" w:color="000000"/>
          <w:right w:val="none" w:sz="4" w:space="0" w:color="000000"/>
        </w:tcBorders>
        <w:shd w:val="clear" w:color="auto" w:fill="C0C0C0"/>
      </w:tcPr>
    </w:tblStylePr>
  </w:style>
  <w:style w:type="paragraph" w:customStyle="1" w:styleId="TableGraf10L">
    <w:name w:val="TableGraf 10L"/>
    <w:basedOn w:val="aa"/>
    <w:link w:val="TableGraf10L0"/>
    <w:pPr>
      <w:spacing w:before="40" w:after="40"/>
      <w:ind w:firstLine="567"/>
      <w:jc w:val="left"/>
    </w:pPr>
    <w:rPr>
      <w:rFonts w:ascii="Tahoma" w:hAnsi="Tahoma"/>
      <w:sz w:val="20"/>
      <w:lang w:eastAsia="en-US"/>
    </w:rPr>
  </w:style>
  <w:style w:type="paragraph" w:customStyle="1" w:styleId="Head10M">
    <w:name w:val="Head 10M"/>
    <w:basedOn w:val="aa"/>
    <w:pPr>
      <w:spacing w:before="40" w:after="40"/>
      <w:ind w:firstLine="567"/>
      <w:jc w:val="center"/>
    </w:pPr>
    <w:rPr>
      <w:rFonts w:ascii="Tahoma" w:hAnsi="Tahoma"/>
      <w:b/>
      <w:sz w:val="20"/>
      <w:lang w:eastAsia="en-US"/>
    </w:rPr>
  </w:style>
  <w:style w:type="character" w:customStyle="1" w:styleId="TableGraf10L0">
    <w:name w:val="TableGraf 10L Знак"/>
    <w:link w:val="TableGraf10L"/>
    <w:rPr>
      <w:rFonts w:ascii="Tahoma" w:eastAsia="Times New Roman" w:hAnsi="Tahoma"/>
      <w:lang w:eastAsia="en-US"/>
    </w:rPr>
  </w:style>
  <w:style w:type="paragraph" w:customStyle="1" w:styleId="afffffffa">
    <w:name w:val="Знак Знак"/>
    <w:basedOn w:val="aa"/>
    <w:next w:val="aa"/>
    <w:semiHidden/>
    <w:pPr>
      <w:spacing w:after="160" w:line="240" w:lineRule="exact"/>
      <w:ind w:firstLine="851"/>
    </w:pPr>
    <w:rPr>
      <w:rFonts w:ascii="Arial" w:hAnsi="Arial" w:cs="Arial"/>
      <w:sz w:val="20"/>
      <w:lang w:val="en-US" w:eastAsia="en-US"/>
    </w:rPr>
  </w:style>
  <w:style w:type="paragraph" w:customStyle="1" w:styleId="GOSTListnum3">
    <w:name w:val="_GOST_List_num3"/>
    <w:basedOn w:val="GOSTListnum2"/>
    <w:pPr>
      <w:tabs>
        <w:tab w:val="clear" w:pos="1588"/>
        <w:tab w:val="left" w:pos="2268"/>
        <w:tab w:val="num" w:pos="2421"/>
      </w:tabs>
      <w:ind w:left="2421"/>
      <w:jc w:val="both"/>
    </w:pPr>
  </w:style>
  <w:style w:type="paragraph" w:customStyle="1" w:styleId="GOSTListnum4">
    <w:name w:val="_GOST_List_num4"/>
    <w:basedOn w:val="GOSTListnum3"/>
    <w:pPr>
      <w:tabs>
        <w:tab w:val="clear" w:pos="2268"/>
        <w:tab w:val="clear" w:pos="2421"/>
        <w:tab w:val="left" w:pos="2835"/>
      </w:tabs>
      <w:ind w:left="2704"/>
    </w:pPr>
  </w:style>
  <w:style w:type="paragraph" w:customStyle="1" w:styleId="T">
    <w:name w:val="T_ОН_Дата"/>
    <w:basedOn w:val="aa"/>
    <w:link w:val="T0"/>
    <w:uiPriority w:val="99"/>
    <w:pPr>
      <w:spacing w:before="120"/>
      <w:ind w:firstLine="567"/>
      <w:jc w:val="center"/>
    </w:pPr>
    <w:rPr>
      <w:rFonts w:ascii="ISOCPEUR" w:hAnsi="ISOCPEUR"/>
      <w:i/>
      <w:sz w:val="16"/>
      <w:szCs w:val="16"/>
    </w:rPr>
  </w:style>
  <w:style w:type="character" w:customStyle="1" w:styleId="T0">
    <w:name w:val="T_ОН_Дата Знак"/>
    <w:link w:val="T"/>
    <w:uiPriority w:val="99"/>
    <w:rPr>
      <w:rFonts w:ascii="ISOCPEUR" w:eastAsia="Times New Roman" w:hAnsi="ISOCPEUR"/>
      <w:i/>
      <w:sz w:val="16"/>
      <w:szCs w:val="16"/>
    </w:rPr>
  </w:style>
  <w:style w:type="character" w:customStyle="1" w:styleId="nobr">
    <w:name w:val="nobr"/>
  </w:style>
  <w:style w:type="paragraph" w:customStyle="1" w:styleId="GOSTListnormal2">
    <w:name w:val="_GOST_List_normal_2"/>
    <w:pPr>
      <w:tabs>
        <w:tab w:val="left" w:pos="1134"/>
      </w:tabs>
      <w:spacing w:before="60" w:after="60"/>
      <w:ind w:left="1134"/>
      <w:contextualSpacing/>
      <w:jc w:val="both"/>
    </w:pPr>
    <w:rPr>
      <w:rFonts w:ascii="Times New Roman" w:eastAsia="Times New Roman" w:hAnsi="Times New Roman"/>
      <w:sz w:val="24"/>
    </w:rPr>
  </w:style>
  <w:style w:type="paragraph" w:customStyle="1" w:styleId="GOSTListnormal5">
    <w:name w:val="_GOST_List_normal_5"/>
    <w:pPr>
      <w:tabs>
        <w:tab w:val="left" w:pos="1985"/>
      </w:tabs>
      <w:spacing w:before="60" w:after="60"/>
      <w:ind w:left="1985"/>
      <w:contextualSpacing/>
      <w:jc w:val="both"/>
    </w:pPr>
    <w:rPr>
      <w:rFonts w:ascii="Times New Roman" w:eastAsia="Times New Roman" w:hAnsi="Times New Roman"/>
      <w:sz w:val="24"/>
    </w:rPr>
  </w:style>
  <w:style w:type="paragraph" w:customStyle="1" w:styleId="GOSTTableListMark2">
    <w:name w:val="_GOST_Table_List_Mark_2"/>
    <w:basedOn w:val="GOSTTableListMark1"/>
    <w:pPr>
      <w:tabs>
        <w:tab w:val="left" w:pos="454"/>
      </w:tabs>
      <w:ind w:left="0" w:firstLine="0"/>
    </w:pPr>
  </w:style>
  <w:style w:type="paragraph" w:customStyle="1" w:styleId="GOSTTableListNum1">
    <w:name w:val="_GOST_Table_List_Num 1)"/>
    <w:pPr>
      <w:numPr>
        <w:numId w:val="74"/>
      </w:numPr>
      <w:tabs>
        <w:tab w:val="left" w:pos="340"/>
      </w:tabs>
    </w:pPr>
    <w:rPr>
      <w:rFonts w:ascii="Times New Roman" w:eastAsia="Times New Roman" w:hAnsi="Times New Roman"/>
      <w:sz w:val="22"/>
      <w:szCs w:val="22"/>
    </w:rPr>
  </w:style>
  <w:style w:type="paragraph" w:customStyle="1" w:styleId="GOSTTableListNum">
    <w:name w:val="_GOST_Table_List_Num абв)"/>
    <w:pPr>
      <w:numPr>
        <w:numId w:val="75"/>
      </w:numPr>
      <w:tabs>
        <w:tab w:val="left" w:pos="340"/>
      </w:tabs>
    </w:pPr>
    <w:rPr>
      <w:rFonts w:ascii="Times New Roman" w:eastAsia="Times New Roman" w:hAnsi="Times New Roman"/>
      <w:sz w:val="22"/>
      <w:szCs w:val="22"/>
    </w:rPr>
  </w:style>
  <w:style w:type="paragraph" w:customStyle="1" w:styleId="GOSTTableListNum10">
    <w:name w:val="_GOST_Table_List_Num_1"/>
    <w:basedOn w:val="aa"/>
    <w:qFormat/>
    <w:pPr>
      <w:tabs>
        <w:tab w:val="num" w:pos="284"/>
      </w:tabs>
      <w:ind w:left="284" w:right="57" w:hanging="227"/>
      <w:jc w:val="left"/>
    </w:pPr>
    <w:rPr>
      <w:sz w:val="22"/>
      <w:szCs w:val="22"/>
    </w:rPr>
  </w:style>
  <w:style w:type="paragraph" w:customStyle="1" w:styleId="GOSTTableListNum2">
    <w:name w:val="_GOST_Table_List_Num_2"/>
    <w:basedOn w:val="GOSTTableListNum10"/>
    <w:qFormat/>
    <w:pPr>
      <w:tabs>
        <w:tab w:val="clear" w:pos="284"/>
        <w:tab w:val="left" w:pos="510"/>
        <w:tab w:val="num" w:pos="567"/>
      </w:tabs>
      <w:ind w:left="709" w:hanging="425"/>
    </w:pPr>
  </w:style>
  <w:style w:type="paragraph" w:customStyle="1" w:styleId="4c">
    <w:name w:val="Заг_4_Приложение"/>
    <w:basedOn w:val="3f4"/>
    <w:next w:val="GOSTNormal"/>
    <w:pPr>
      <w:spacing w:after="120"/>
      <w:outlineLvl w:val="3"/>
    </w:pPr>
    <w:rPr>
      <w:sz w:val="26"/>
      <w:szCs w:val="26"/>
    </w:rPr>
  </w:style>
  <w:style w:type="character" w:customStyle="1" w:styleId="2ff2">
    <w:name w:val="Основной текст (2)_"/>
    <w:link w:val="213"/>
    <w:uiPriority w:val="99"/>
    <w:rPr>
      <w:sz w:val="28"/>
      <w:szCs w:val="28"/>
      <w:shd w:val="clear" w:color="auto" w:fill="FFFFFF"/>
    </w:rPr>
  </w:style>
  <w:style w:type="paragraph" w:customStyle="1" w:styleId="213">
    <w:name w:val="Основной текст (2)1"/>
    <w:basedOn w:val="aa"/>
    <w:link w:val="2ff2"/>
    <w:uiPriority w:val="99"/>
    <w:pPr>
      <w:widowControl w:val="0"/>
      <w:shd w:val="clear" w:color="auto" w:fill="FFFFFF"/>
      <w:spacing w:before="1020" w:line="461" w:lineRule="exact"/>
    </w:pPr>
    <w:rPr>
      <w:rFonts w:ascii="Calibri" w:eastAsia="Calibri" w:hAnsi="Calibri"/>
      <w:sz w:val="28"/>
      <w:szCs w:val="28"/>
    </w:rPr>
  </w:style>
  <w:style w:type="paragraph" w:customStyle="1" w:styleId="220">
    <w:name w:val="Заголовок 2_2"/>
    <w:basedOn w:val="31"/>
    <w:link w:val="221"/>
    <w:qFormat/>
    <w:pPr>
      <w:numPr>
        <w:ilvl w:val="1"/>
        <w:numId w:val="78"/>
      </w:numPr>
    </w:pPr>
    <w:rPr>
      <w:iCs w:val="0"/>
    </w:rPr>
  </w:style>
  <w:style w:type="character" w:customStyle="1" w:styleId="221">
    <w:name w:val="Заголовок 2_2 Знак"/>
    <w:link w:val="220"/>
    <w:rPr>
      <w:rFonts w:ascii="Times New Roman" w:eastAsia="Times New Roman" w:hAnsi="Times New Roman" w:cs="Arial"/>
      <w:b/>
      <w:sz w:val="26"/>
      <w:szCs w:val="26"/>
    </w:rPr>
  </w:style>
  <w:style w:type="character" w:customStyle="1" w:styleId="311">
    <w:name w:val="Заголовок 3 Знак1"/>
    <w:aliases w:val="_EB_3 Знак1,ASFK_3 Знак1,_GOST_3 Знак1,h:3 Знак1,h Знак1,3 Знак1,31 Знак1,ITT t3 Знак1,PA Minor Section Знак1,TE Heading Знак1,H3 Знак1,Title3 Знак1,list Знак1,l3 Знак1,Level 3 Head Знак1,heading 3 Знак1,h3 Знак1,H31 Знак1,H32 Знак1"/>
    <w:uiPriority w:val="99"/>
    <w:rPr>
      <w:rFonts w:ascii="Cambria" w:eastAsia="Times New Roman" w:hAnsi="Cambria" w:cs="Times New Roman"/>
      <w:b/>
      <w:bCs/>
      <w:color w:val="4F81BD"/>
      <w:sz w:val="24"/>
      <w:szCs w:val="22"/>
    </w:rPr>
  </w:style>
  <w:style w:type="paragraph" w:customStyle="1" w:styleId="4d">
    <w:name w:val="Знак Знак4"/>
    <w:basedOn w:val="aa"/>
    <w:next w:val="aa"/>
    <w:semiHidden/>
    <w:pPr>
      <w:spacing w:after="160" w:line="240" w:lineRule="exact"/>
      <w:ind w:firstLine="851"/>
    </w:pPr>
    <w:rPr>
      <w:rFonts w:ascii="Arial" w:hAnsi="Arial" w:cs="Arial"/>
      <w:sz w:val="20"/>
      <w:lang w:val="en-US" w:eastAsia="en-US"/>
    </w:rPr>
  </w:style>
  <w:style w:type="character" w:customStyle="1" w:styleId="1ff8">
    <w:name w:val="Название Знак1"/>
    <w:aliases w:val="Заголовок Знак1,Название1 Знак1"/>
    <w:rPr>
      <w:rFonts w:ascii="Cambria" w:eastAsia="Times New Roman" w:hAnsi="Cambria" w:cs="Times New Roman"/>
      <w:color w:val="17365D"/>
      <w:spacing w:val="5"/>
      <w:sz w:val="52"/>
      <w:szCs w:val="52"/>
    </w:rPr>
  </w:style>
  <w:style w:type="character" w:customStyle="1" w:styleId="html-tag">
    <w:name w:val="html-tag"/>
  </w:style>
  <w:style w:type="character" w:customStyle="1" w:styleId="html-attribute">
    <w:name w:val="html-attribute"/>
  </w:style>
  <w:style w:type="character" w:customStyle="1" w:styleId="html-attribute-name">
    <w:name w:val="html-attribute-name"/>
  </w:style>
  <w:style w:type="character" w:customStyle="1" w:styleId="html-attribute-value">
    <w:name w:val="html-attribute-value"/>
  </w:style>
  <w:style w:type="character" w:customStyle="1" w:styleId="text">
    <w:name w:val="text"/>
  </w:style>
  <w:style w:type="character" w:customStyle="1" w:styleId="210pt">
    <w:name w:val="Основной текст (2) + 10 pt"/>
    <w:rPr>
      <w:rFonts w:ascii="Times New Roman" w:eastAsia="Times New Roman" w:hAnsi="Times New Roman" w:cs="Times New Roman"/>
      <w:color w:val="000000"/>
      <w:spacing w:val="0"/>
      <w:position w:val="0"/>
      <w:sz w:val="20"/>
      <w:szCs w:val="20"/>
      <w:shd w:val="clear" w:color="auto" w:fill="FFFFFF"/>
      <w:lang w:val="ru-RU" w:eastAsia="ru-RU" w:bidi="ru-RU"/>
    </w:rPr>
  </w:style>
  <w:style w:type="paragraph" w:customStyle="1" w:styleId="2ff3">
    <w:name w:val="Основной текст (2)"/>
    <w:basedOn w:val="aa"/>
    <w:pPr>
      <w:widowControl w:val="0"/>
      <w:shd w:val="clear" w:color="auto" w:fill="FFFFFF"/>
      <w:spacing w:line="0" w:lineRule="atLeast"/>
      <w:jc w:val="left"/>
    </w:pPr>
    <w:rPr>
      <w:sz w:val="11"/>
      <w:szCs w:val="11"/>
    </w:rPr>
  </w:style>
  <w:style w:type="paragraph" w:customStyle="1" w:styleId="afffffffb">
    <w:name w:val="_Обычный"/>
    <w:basedOn w:val="aa"/>
    <w:link w:val="afffffffc"/>
    <w:qFormat/>
    <w:pPr>
      <w:spacing w:before="180" w:after="180" w:line="360" w:lineRule="auto"/>
      <w:ind w:firstLine="720"/>
    </w:pPr>
    <w:rPr>
      <w:spacing w:val="-5"/>
      <w:lang w:val="en-US" w:eastAsia="en-US"/>
    </w:rPr>
  </w:style>
  <w:style w:type="character" w:customStyle="1" w:styleId="afffffffc">
    <w:name w:val="_Обычный Знак"/>
    <w:link w:val="afffffffb"/>
    <w:rPr>
      <w:rFonts w:ascii="Times New Roman" w:eastAsia="Times New Roman" w:hAnsi="Times New Roman"/>
      <w:spacing w:val="-5"/>
      <w:sz w:val="24"/>
      <w:lang w:val="en-US" w:eastAsia="en-US"/>
    </w:rPr>
  </w:style>
  <w:style w:type="character" w:customStyle="1" w:styleId="110">
    <w:name w:val="Заголовок 1 Знак1"/>
    <w:aliases w:val="_GOST_1 Знак1,h:1 Знак1,h:1app Знак1,TF-Overskrift 1 Знак1,H1 Знак1,H11 Знак1,R1 Знак1,Titre 0 Знак1,. Знак1,Название спецификации Знак1,GOST_1 Знак1,Название организации Знак1,1 Знак1,Section Знак1,ASFK_1 Знак1,Загол 1 Знак1,1 Знак"/>
    <w:rPr>
      <w:rFonts w:ascii="Cambria" w:eastAsia="Times New Roman" w:hAnsi="Cambria" w:cs="Times New Roman"/>
      <w:color w:val="365F91"/>
      <w:sz w:val="32"/>
      <w:szCs w:val="32"/>
      <w:lang w:eastAsia="ru-RU"/>
    </w:rPr>
  </w:style>
  <w:style w:type="character" w:customStyle="1" w:styleId="214">
    <w:name w:val="Заголовок 2 Знак1"/>
    <w:aliases w:val="_GOST_2 Знак1,Подраздел Знак1,2 Знак1,21 Знак1,22 Знак1,211 Знак1,h:2 Знак1,h:2app Знак1,T2 Знак1,TF-Overskrit 2 Знак1,H2 Знак1,Title2 Знак1,ITT t2 Знак1,PA Major Section Знак1,TE Heading 2 Знак1,Livello 2 Знак1,R2 Знак1,H21 Знак1"/>
    <w:semiHidden/>
    <w:rPr>
      <w:rFonts w:ascii="Cambria" w:eastAsia="Times New Roman" w:hAnsi="Cambria" w:cs="Times New Roman"/>
      <w:color w:val="365F91"/>
      <w:sz w:val="26"/>
      <w:szCs w:val="26"/>
      <w:lang w:eastAsia="ru-RU"/>
    </w:rPr>
  </w:style>
  <w:style w:type="character" w:customStyle="1" w:styleId="410">
    <w:name w:val="Заголовок 4 Знак1"/>
    <w:aliases w:val="h:4 Знак1,h4 Знак1,ITT t4 Знак1,PA Micro Section Знак1,TE Heading 4 Знак1,4 Знак1,H4 Знак1,heading 4 + Indent: Left 0.5 in Знак1,a. Знак1,I4 Знак1,l4 Знак1,heading&#10;4 Знак1,Map Title Знак1,heading Знак1,Заголовок 4 (Приложение) Знак1"/>
    <w:semiHidden/>
    <w:rPr>
      <w:rFonts w:ascii="Cambria" w:eastAsia="Times New Roman" w:hAnsi="Cambria" w:cs="Times New Roman"/>
      <w:i/>
      <w:iCs/>
      <w:color w:val="365F91"/>
      <w:sz w:val="24"/>
      <w:lang w:eastAsia="ru-RU"/>
    </w:rPr>
  </w:style>
  <w:style w:type="character" w:customStyle="1" w:styleId="hv-label">
    <w:name w:val="hv-label"/>
  </w:style>
  <w:style w:type="paragraph" w:customStyle="1" w:styleId="pc">
    <w:name w:val="pc"/>
    <w:basedOn w:val="aa"/>
    <w:pPr>
      <w:spacing w:before="100" w:beforeAutospacing="1" w:after="100" w:afterAutospacing="1"/>
      <w:jc w:val="left"/>
    </w:pPr>
    <w:rPr>
      <w:szCs w:val="24"/>
    </w:rPr>
  </w:style>
  <w:style w:type="character" w:customStyle="1" w:styleId="asfksymitalic0">
    <w:name w:val="asfksymitalic"/>
  </w:style>
  <w:style w:type="character" w:customStyle="1" w:styleId="ASFKReporterror">
    <w:name w:val="_ASFK_Report_error"/>
    <w:qFormat/>
    <w:rPr>
      <w:lang w:val="ru-RU"/>
    </w:rPr>
  </w:style>
  <w:style w:type="paragraph" w:customStyle="1" w:styleId="GOSTTableNum2">
    <w:name w:val="_GOST_Table_Num_2"/>
    <w:basedOn w:val="GOSTTableNum"/>
    <w:pPr>
      <w:tabs>
        <w:tab w:val="clear" w:pos="114"/>
        <w:tab w:val="num" w:pos="113"/>
      </w:tabs>
      <w:spacing w:before="0" w:after="0"/>
      <w:ind w:left="113" w:firstLine="0"/>
      <w:jc w:val="left"/>
    </w:pPr>
    <w:rPr>
      <w:rFonts w:cs="Times New Roman"/>
    </w:rPr>
  </w:style>
  <w:style w:type="paragraph" w:customStyle="1" w:styleId="GOSTTableNum3">
    <w:name w:val="_GOST_Table_Num_3"/>
    <w:basedOn w:val="GOSTTableNum2"/>
    <w:qFormat/>
  </w:style>
  <w:style w:type="paragraph" w:customStyle="1" w:styleId="GOSTTableNum4">
    <w:name w:val="_GOST_Table_Num_4"/>
    <w:basedOn w:val="GOSTTableNum3"/>
  </w:style>
  <w:style w:type="paragraph" w:customStyle="1" w:styleId="GOSTTableNum5">
    <w:name w:val="_GOST_Table_Num_5"/>
    <w:basedOn w:val="GOSTTableNum4"/>
    <w:qFormat/>
  </w:style>
  <w:style w:type="paragraph" w:customStyle="1" w:styleId="GOSTTableNum6">
    <w:name w:val="_GOST_Table_Num_6"/>
    <w:basedOn w:val="GOSTTableNum5"/>
  </w:style>
  <w:style w:type="paragraph" w:customStyle="1" w:styleId="GOSTTableNum7">
    <w:name w:val="_GOST_Table_Num_7"/>
    <w:basedOn w:val="GOSTTableNum6"/>
    <w:qFormat/>
  </w:style>
  <w:style w:type="paragraph" w:customStyle="1" w:styleId="GOSTTableListNum3">
    <w:name w:val="_GOST_Table_List_Num_3"/>
    <w:basedOn w:val="GOSTTableListNum2"/>
    <w:pPr>
      <w:tabs>
        <w:tab w:val="clear" w:pos="510"/>
        <w:tab w:val="clear" w:pos="567"/>
        <w:tab w:val="num" w:pos="284"/>
      </w:tabs>
      <w:ind w:left="284" w:right="0" w:hanging="227"/>
    </w:pPr>
    <w:rPr>
      <w:szCs w:val="20"/>
    </w:rPr>
  </w:style>
  <w:style w:type="paragraph" w:customStyle="1" w:styleId="GOSTTableListNum4">
    <w:name w:val="_GOST_Table_List_Num_4"/>
    <w:basedOn w:val="GOSTTableListNum3"/>
    <w:qFormat/>
  </w:style>
  <w:style w:type="paragraph" w:customStyle="1" w:styleId="GOSTTableListNum5">
    <w:name w:val="_GOST_Table_List_Num_5"/>
    <w:basedOn w:val="GOSTTableListNum4"/>
    <w:qFormat/>
  </w:style>
  <w:style w:type="paragraph" w:customStyle="1" w:styleId="GOSTTableListNum6">
    <w:name w:val="_GOST_Table_List_Num_6"/>
    <w:basedOn w:val="GOSTTableListNum5"/>
    <w:qFormat/>
  </w:style>
  <w:style w:type="paragraph" w:customStyle="1" w:styleId="GOSTTableListNum7">
    <w:name w:val="_GOST_Table_List_Num_7"/>
    <w:basedOn w:val="GOSTTableListNum6"/>
    <w:qFormat/>
  </w:style>
  <w:style w:type="character" w:customStyle="1" w:styleId="code-quote">
    <w:name w:val="code-quote"/>
  </w:style>
  <w:style w:type="character" w:customStyle="1" w:styleId="1ff9">
    <w:name w:val="Верхний колонтитул Знак1"/>
    <w:rPr>
      <w:sz w:val="24"/>
    </w:rPr>
  </w:style>
  <w:style w:type="paragraph" w:customStyle="1" w:styleId="172">
    <w:name w:val="Знак Знак Знак Знак17"/>
    <w:basedOn w:val="aa"/>
    <w:next w:val="aa"/>
    <w:semiHidden/>
    <w:pPr>
      <w:spacing w:after="160" w:line="240" w:lineRule="exact"/>
      <w:jc w:val="left"/>
    </w:pPr>
    <w:rPr>
      <w:rFonts w:ascii="Arial" w:hAnsi="Arial" w:cs="Arial"/>
      <w:sz w:val="20"/>
      <w:lang w:val="en-US" w:eastAsia="en-US"/>
    </w:rPr>
  </w:style>
  <w:style w:type="paragraph" w:customStyle="1" w:styleId="160">
    <w:name w:val="Знак1 Знак Знак Знак Знак Знак Знак6"/>
    <w:basedOn w:val="aa"/>
    <w:next w:val="aa"/>
    <w:semiHidden/>
    <w:pPr>
      <w:spacing w:after="160" w:line="240" w:lineRule="exact"/>
      <w:jc w:val="left"/>
    </w:pPr>
    <w:rPr>
      <w:rFonts w:ascii="Arial" w:hAnsi="Arial" w:cs="Arial"/>
      <w:sz w:val="20"/>
      <w:lang w:val="en-US" w:eastAsia="en-US"/>
    </w:rPr>
  </w:style>
  <w:style w:type="paragraph" w:customStyle="1" w:styleId="161">
    <w:name w:val="Знак Знак Знак1 Знак Знак Знак Знак6"/>
    <w:basedOn w:val="aa"/>
    <w:next w:val="aa"/>
    <w:semiHidden/>
    <w:pPr>
      <w:spacing w:after="160" w:line="240" w:lineRule="exact"/>
      <w:jc w:val="left"/>
    </w:pPr>
    <w:rPr>
      <w:rFonts w:ascii="Arial" w:hAnsi="Arial" w:cs="Arial"/>
      <w:sz w:val="20"/>
      <w:lang w:val="en-US" w:eastAsia="en-US"/>
    </w:rPr>
  </w:style>
  <w:style w:type="paragraph" w:customStyle="1" w:styleId="120">
    <w:name w:val="Знак Знак Знак Знак12"/>
    <w:basedOn w:val="aa"/>
    <w:next w:val="aa"/>
    <w:semiHidden/>
    <w:pPr>
      <w:spacing w:after="160" w:line="240" w:lineRule="exact"/>
      <w:jc w:val="left"/>
    </w:pPr>
    <w:rPr>
      <w:rFonts w:ascii="Arial" w:hAnsi="Arial" w:cs="Arial"/>
      <w:sz w:val="20"/>
      <w:lang w:val="en-US" w:eastAsia="en-US"/>
    </w:rPr>
  </w:style>
  <w:style w:type="paragraph" w:customStyle="1" w:styleId="111">
    <w:name w:val="Знак Знак Знак Знак11"/>
    <w:basedOn w:val="aa"/>
    <w:next w:val="aa"/>
    <w:uiPriority w:val="99"/>
    <w:semiHidden/>
    <w:pPr>
      <w:spacing w:after="160" w:line="240" w:lineRule="exact"/>
      <w:jc w:val="left"/>
    </w:pPr>
    <w:rPr>
      <w:rFonts w:ascii="Arial" w:hAnsi="Arial" w:cs="Arial"/>
      <w:sz w:val="20"/>
      <w:lang w:val="en-US" w:eastAsia="en-US"/>
    </w:rPr>
  </w:style>
  <w:style w:type="paragraph" w:customStyle="1" w:styleId="94">
    <w:name w:val="9"/>
    <w:basedOn w:val="aa"/>
    <w:next w:val="af"/>
    <w:uiPriority w:val="99"/>
    <w:qFormat/>
    <w:pPr>
      <w:spacing w:before="240" w:after="60"/>
      <w:jc w:val="center"/>
      <w:outlineLvl w:val="0"/>
    </w:pPr>
    <w:rPr>
      <w:rFonts w:ascii="Arial" w:eastAsia="Calibri" w:hAnsi="Arial"/>
      <w:b/>
      <w:sz w:val="32"/>
    </w:rPr>
  </w:style>
  <w:style w:type="paragraph" w:customStyle="1" w:styleId="100">
    <w:name w:val="Знак Знак Знак Знак10"/>
    <w:basedOn w:val="aa"/>
    <w:next w:val="aa"/>
    <w:semiHidden/>
    <w:pPr>
      <w:spacing w:after="160" w:line="240" w:lineRule="exact"/>
      <w:jc w:val="left"/>
    </w:pPr>
    <w:rPr>
      <w:rFonts w:ascii="Arial" w:hAnsi="Arial" w:cs="Arial"/>
      <w:sz w:val="20"/>
      <w:lang w:val="en-US" w:eastAsia="en-US"/>
    </w:rPr>
  </w:style>
  <w:style w:type="paragraph" w:customStyle="1" w:styleId="130">
    <w:name w:val="Знак1 Знак Знак Знак Знак Знак Знак3"/>
    <w:basedOn w:val="aa"/>
    <w:next w:val="aa"/>
    <w:semiHidden/>
    <w:pPr>
      <w:spacing w:after="160" w:line="240" w:lineRule="exact"/>
      <w:jc w:val="left"/>
    </w:pPr>
    <w:rPr>
      <w:rFonts w:ascii="Arial" w:hAnsi="Arial" w:cs="Arial"/>
      <w:sz w:val="20"/>
      <w:lang w:val="en-US" w:eastAsia="en-US"/>
    </w:rPr>
  </w:style>
  <w:style w:type="paragraph" w:customStyle="1" w:styleId="131">
    <w:name w:val="Знак Знак Знак1 Знак Знак Знак Знак3"/>
    <w:basedOn w:val="aa"/>
    <w:next w:val="aa"/>
    <w:semiHidden/>
    <w:pPr>
      <w:spacing w:after="160" w:line="240" w:lineRule="exact"/>
      <w:jc w:val="left"/>
    </w:pPr>
    <w:rPr>
      <w:rFonts w:ascii="Arial" w:hAnsi="Arial" w:cs="Arial"/>
      <w:sz w:val="20"/>
      <w:lang w:val="en-US" w:eastAsia="en-US"/>
    </w:rPr>
  </w:style>
  <w:style w:type="paragraph" w:customStyle="1" w:styleId="95">
    <w:name w:val="Знак Знак Знак Знак9"/>
    <w:basedOn w:val="aa"/>
    <w:next w:val="aa"/>
    <w:semiHidden/>
    <w:pPr>
      <w:spacing w:after="160" w:line="240" w:lineRule="exact"/>
      <w:jc w:val="left"/>
    </w:pPr>
    <w:rPr>
      <w:rFonts w:ascii="Arial" w:hAnsi="Arial" w:cs="Arial"/>
      <w:sz w:val="20"/>
      <w:lang w:val="en-US" w:eastAsia="en-US"/>
    </w:rPr>
  </w:style>
  <w:style w:type="paragraph" w:customStyle="1" w:styleId="85">
    <w:name w:val="8"/>
    <w:basedOn w:val="aa"/>
    <w:next w:val="af"/>
    <w:qFormat/>
    <w:pPr>
      <w:spacing w:before="240" w:after="60"/>
      <w:jc w:val="center"/>
      <w:outlineLvl w:val="0"/>
    </w:pPr>
    <w:rPr>
      <w:rFonts w:ascii="Arial" w:hAnsi="Arial" w:cs="Arial"/>
      <w:b/>
      <w:bCs/>
      <w:sz w:val="32"/>
      <w:szCs w:val="32"/>
    </w:rPr>
  </w:style>
  <w:style w:type="paragraph" w:customStyle="1" w:styleId="86">
    <w:name w:val="Знак Знак Знак Знак8"/>
    <w:basedOn w:val="aa"/>
    <w:next w:val="aa"/>
    <w:semiHidden/>
    <w:pPr>
      <w:spacing w:after="160" w:line="240" w:lineRule="exact"/>
      <w:jc w:val="left"/>
    </w:pPr>
    <w:rPr>
      <w:rFonts w:ascii="Arial" w:hAnsi="Arial" w:cs="Arial"/>
      <w:sz w:val="20"/>
      <w:lang w:val="en-US" w:eastAsia="en-US"/>
    </w:rPr>
  </w:style>
  <w:style w:type="paragraph" w:customStyle="1" w:styleId="75">
    <w:name w:val="Знак Знак Знак Знак7"/>
    <w:basedOn w:val="aa"/>
    <w:next w:val="aa"/>
    <w:semiHidden/>
    <w:pPr>
      <w:spacing w:after="160" w:line="240" w:lineRule="exact"/>
      <w:jc w:val="left"/>
    </w:pPr>
    <w:rPr>
      <w:rFonts w:ascii="Arial" w:hAnsi="Arial" w:cs="Arial"/>
      <w:sz w:val="20"/>
      <w:lang w:val="en-US" w:eastAsia="en-US"/>
    </w:rPr>
  </w:style>
  <w:style w:type="paragraph" w:customStyle="1" w:styleId="121">
    <w:name w:val="Знак1 Знак Знак Знак Знак Знак Знак2"/>
    <w:basedOn w:val="aa"/>
    <w:next w:val="aa"/>
    <w:semiHidden/>
    <w:pPr>
      <w:spacing w:after="160" w:line="240" w:lineRule="exact"/>
      <w:jc w:val="left"/>
    </w:pPr>
    <w:rPr>
      <w:rFonts w:ascii="Arial" w:hAnsi="Arial" w:cs="Arial"/>
      <w:sz w:val="20"/>
      <w:lang w:val="en-US" w:eastAsia="en-US"/>
    </w:rPr>
  </w:style>
  <w:style w:type="paragraph" w:customStyle="1" w:styleId="122">
    <w:name w:val="Знак Знак Знак1 Знак Знак Знак Знак2"/>
    <w:basedOn w:val="aa"/>
    <w:next w:val="aa"/>
    <w:semiHidden/>
    <w:pPr>
      <w:spacing w:after="160" w:line="240" w:lineRule="exact"/>
      <w:jc w:val="left"/>
    </w:pPr>
    <w:rPr>
      <w:rFonts w:ascii="Arial" w:hAnsi="Arial" w:cs="Arial"/>
      <w:sz w:val="20"/>
      <w:lang w:val="en-US" w:eastAsia="en-US"/>
    </w:rPr>
  </w:style>
  <w:style w:type="paragraph" w:customStyle="1" w:styleId="65">
    <w:name w:val="Знак Знак Знак Знак6"/>
    <w:basedOn w:val="aa"/>
    <w:next w:val="aa"/>
    <w:semiHidden/>
    <w:pPr>
      <w:spacing w:after="160" w:line="240" w:lineRule="exact"/>
      <w:jc w:val="left"/>
    </w:pPr>
    <w:rPr>
      <w:rFonts w:ascii="Arial" w:hAnsi="Arial" w:cs="Arial"/>
      <w:sz w:val="20"/>
      <w:lang w:val="en-US" w:eastAsia="en-US"/>
    </w:rPr>
  </w:style>
  <w:style w:type="paragraph" w:customStyle="1" w:styleId="112">
    <w:name w:val="Знак1 Знак Знак Знак Знак Знак Знак1"/>
    <w:basedOn w:val="aa"/>
    <w:next w:val="aa"/>
    <w:semiHidden/>
    <w:pPr>
      <w:spacing w:after="160" w:line="240" w:lineRule="exact"/>
      <w:jc w:val="left"/>
    </w:pPr>
    <w:rPr>
      <w:rFonts w:ascii="Arial" w:hAnsi="Arial" w:cs="Arial"/>
      <w:sz w:val="20"/>
      <w:lang w:val="en-US" w:eastAsia="en-US"/>
    </w:rPr>
  </w:style>
  <w:style w:type="paragraph" w:customStyle="1" w:styleId="113">
    <w:name w:val="Знак Знак Знак1 Знак Знак Знак Знак1"/>
    <w:basedOn w:val="aa"/>
    <w:next w:val="aa"/>
    <w:semiHidden/>
    <w:pPr>
      <w:spacing w:after="160" w:line="240" w:lineRule="exact"/>
      <w:jc w:val="left"/>
    </w:pPr>
    <w:rPr>
      <w:rFonts w:ascii="Arial" w:hAnsi="Arial" w:cs="Arial"/>
      <w:sz w:val="20"/>
      <w:lang w:val="en-US" w:eastAsia="en-US"/>
    </w:rPr>
  </w:style>
  <w:style w:type="paragraph" w:customStyle="1" w:styleId="162">
    <w:name w:val="Знак Знак Знак Знак16"/>
    <w:basedOn w:val="aa"/>
    <w:next w:val="aa"/>
    <w:semiHidden/>
    <w:pPr>
      <w:spacing w:after="160" w:line="240" w:lineRule="exact"/>
      <w:jc w:val="left"/>
    </w:pPr>
    <w:rPr>
      <w:rFonts w:ascii="Arial" w:hAnsi="Arial" w:cs="Arial"/>
      <w:sz w:val="20"/>
      <w:lang w:val="en-US" w:eastAsia="en-US"/>
    </w:rPr>
  </w:style>
  <w:style w:type="paragraph" w:customStyle="1" w:styleId="150">
    <w:name w:val="Знак1 Знак Знак Знак Знак Знак Знак5"/>
    <w:basedOn w:val="aa"/>
    <w:next w:val="aa"/>
    <w:semiHidden/>
    <w:pPr>
      <w:spacing w:after="160" w:line="240" w:lineRule="exact"/>
      <w:jc w:val="left"/>
    </w:pPr>
    <w:rPr>
      <w:rFonts w:ascii="Arial" w:hAnsi="Arial" w:cs="Arial"/>
      <w:sz w:val="20"/>
      <w:lang w:val="en-US" w:eastAsia="en-US"/>
    </w:rPr>
  </w:style>
  <w:style w:type="paragraph" w:customStyle="1" w:styleId="151">
    <w:name w:val="Знак Знак Знак1 Знак Знак Знак Знак5"/>
    <w:basedOn w:val="aa"/>
    <w:next w:val="aa"/>
    <w:semiHidden/>
    <w:pPr>
      <w:spacing w:after="160" w:line="240" w:lineRule="exact"/>
      <w:jc w:val="left"/>
    </w:pPr>
    <w:rPr>
      <w:rFonts w:ascii="Arial" w:hAnsi="Arial" w:cs="Arial"/>
      <w:sz w:val="20"/>
      <w:lang w:val="en-US" w:eastAsia="en-US"/>
    </w:rPr>
  </w:style>
  <w:style w:type="paragraph" w:customStyle="1" w:styleId="152">
    <w:name w:val="Знак Знак Знак Знак15"/>
    <w:basedOn w:val="aa"/>
    <w:next w:val="aa"/>
    <w:semiHidden/>
    <w:pPr>
      <w:spacing w:after="160" w:line="240" w:lineRule="exact"/>
      <w:jc w:val="left"/>
    </w:pPr>
    <w:rPr>
      <w:rFonts w:ascii="Arial" w:hAnsi="Arial" w:cs="Arial"/>
      <w:sz w:val="20"/>
      <w:lang w:val="en-US" w:eastAsia="en-US"/>
    </w:rPr>
  </w:style>
  <w:style w:type="paragraph" w:customStyle="1" w:styleId="141">
    <w:name w:val="Знак Знак Знак Знак14"/>
    <w:basedOn w:val="aa"/>
    <w:next w:val="aa"/>
    <w:semiHidden/>
    <w:pPr>
      <w:spacing w:after="160" w:line="240" w:lineRule="exact"/>
      <w:jc w:val="left"/>
    </w:pPr>
    <w:rPr>
      <w:rFonts w:ascii="Arial" w:hAnsi="Arial" w:cs="Arial"/>
      <w:sz w:val="20"/>
      <w:lang w:val="en-US" w:eastAsia="en-US"/>
    </w:rPr>
  </w:style>
  <w:style w:type="paragraph" w:customStyle="1" w:styleId="132">
    <w:name w:val="Знак Знак Знак Знак13"/>
    <w:basedOn w:val="aa"/>
    <w:next w:val="aa"/>
    <w:semiHidden/>
    <w:pPr>
      <w:spacing w:after="160" w:line="240" w:lineRule="exact"/>
      <w:jc w:val="left"/>
    </w:pPr>
    <w:rPr>
      <w:rFonts w:ascii="Arial" w:hAnsi="Arial" w:cs="Arial"/>
      <w:sz w:val="20"/>
      <w:lang w:val="en-US" w:eastAsia="en-US"/>
    </w:rPr>
  </w:style>
  <w:style w:type="paragraph" w:customStyle="1" w:styleId="142">
    <w:name w:val="Знак1 Знак Знак Знак Знак Знак Знак4"/>
    <w:basedOn w:val="aa"/>
    <w:next w:val="aa"/>
    <w:semiHidden/>
    <w:pPr>
      <w:spacing w:after="160" w:line="240" w:lineRule="exact"/>
      <w:jc w:val="left"/>
    </w:pPr>
    <w:rPr>
      <w:rFonts w:ascii="Arial" w:hAnsi="Arial" w:cs="Arial"/>
      <w:sz w:val="20"/>
      <w:lang w:val="en-US" w:eastAsia="en-US"/>
    </w:rPr>
  </w:style>
  <w:style w:type="paragraph" w:customStyle="1" w:styleId="143">
    <w:name w:val="Знак Знак Знак1 Знак Знак Знак Знак4"/>
    <w:basedOn w:val="aa"/>
    <w:next w:val="aa"/>
    <w:semiHidden/>
    <w:pPr>
      <w:spacing w:after="160" w:line="240" w:lineRule="exact"/>
      <w:jc w:val="left"/>
    </w:pPr>
    <w:rPr>
      <w:rFonts w:ascii="Arial" w:hAnsi="Arial" w:cs="Arial"/>
      <w:sz w:val="20"/>
      <w:lang w:val="en-US" w:eastAsia="en-US"/>
    </w:rPr>
  </w:style>
  <w:style w:type="numbering" w:customStyle="1" w:styleId="2ff4">
    <w:name w:val="Нет списка2"/>
    <w:next w:val="ad"/>
    <w:uiPriority w:val="99"/>
    <w:semiHidden/>
    <w:unhideWhenUsed/>
  </w:style>
  <w:style w:type="table" w:customStyle="1" w:styleId="2ff5">
    <w:name w:val="Сетка таблицы2"/>
    <w:basedOn w:val="ac"/>
    <w:next w:val="affffb"/>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f6">
    <w:name w:val="Нет списка3"/>
    <w:next w:val="ad"/>
    <w:uiPriority w:val="99"/>
    <w:semiHidden/>
    <w:unhideWhenUsed/>
  </w:style>
  <w:style w:type="table" w:customStyle="1" w:styleId="3f7">
    <w:name w:val="Сетка таблицы3"/>
    <w:basedOn w:val="ac"/>
    <w:next w:val="affffb"/>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e">
    <w:name w:val="Нет списка4"/>
    <w:next w:val="ad"/>
    <w:uiPriority w:val="99"/>
    <w:semiHidden/>
    <w:unhideWhenUsed/>
  </w:style>
  <w:style w:type="table" w:customStyle="1" w:styleId="4f">
    <w:name w:val="Сетка таблицы4"/>
    <w:basedOn w:val="ac"/>
    <w:next w:val="affffb"/>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RNameTable2">
    <w:name w:val="_OTR_Name_Table"/>
    <w:link w:val="OTRNameTable3"/>
    <w:pPr>
      <w:keepNext/>
      <w:tabs>
        <w:tab w:val="num" w:pos="567"/>
      </w:tabs>
      <w:spacing w:before="240" w:after="120"/>
      <w:ind w:firstLine="567"/>
    </w:pPr>
    <w:rPr>
      <w:rFonts w:ascii="Times New Roman" w:eastAsia="Times New Roman" w:hAnsi="Times New Roman"/>
      <w:b/>
      <w:sz w:val="24"/>
    </w:rPr>
  </w:style>
  <w:style w:type="character" w:customStyle="1" w:styleId="OTRNameTable3">
    <w:name w:val="_OTR_Name_Table Знак"/>
    <w:link w:val="OTRNameTable2"/>
    <w:rPr>
      <w:rFonts w:ascii="Times New Roman" w:eastAsia="Times New Roman" w:hAnsi="Times New Roman"/>
      <w:b/>
      <w:sz w:val="24"/>
    </w:rPr>
  </w:style>
  <w:style w:type="table" w:customStyle="1" w:styleId="OTRTable4">
    <w:name w:val="OTR_Table4"/>
    <w:basedOn w:val="ac"/>
    <w:pPr>
      <w:spacing w:before="60" w:after="60"/>
      <w:jc w:val="center"/>
    </w:pPr>
    <w:rPr>
      <w:rFonts w:ascii="Times New Roman" w:eastAsia="Times New Roman" w:hAnsi="Times New Roman"/>
      <w:sz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blStylePr w:type="firstRow">
      <w:pPr>
        <w:keepNext/>
        <w:keepLines w:val="0"/>
        <w:pageBreakBefore w:val="0"/>
        <w:widowControl w:val="0"/>
        <w:suppressLineNumbers w:val="0"/>
        <w:spacing w:before="60" w:beforeAutospacing="0" w:after="60" w:afterAutospacing="0" w:line="240" w:lineRule="auto"/>
        <w:ind w:left="0" w:right="0" w:firstLine="0"/>
        <w:contextualSpacing w:val="0"/>
        <w:jc w:val="center"/>
        <w:outlineLvl w:val="9"/>
      </w:pPr>
      <w:rPr>
        <w:rFonts w:ascii="Times New Roman" w:hAnsi="Times New Roman"/>
        <w:b w:val="0"/>
        <w:i w:val="0"/>
        <w:sz w:val="24"/>
      </w:rPr>
      <w:tblPr/>
      <w:trPr>
        <w:tblHeader/>
      </w:trPr>
      <w:tcPr>
        <w:tcBorders>
          <w:top w:val="single" w:sz="4" w:space="0" w:color="000000"/>
          <w:left w:val="single" w:sz="4" w:space="0" w:color="000000"/>
          <w:bottom w:val="single" w:sz="4" w:space="0" w:color="000000"/>
          <w:right w:val="single" w:sz="4" w:space="0" w:color="000000"/>
        </w:tcBorders>
        <w:shd w:val="clear" w:color="auto" w:fill="E6E6E6"/>
      </w:tcPr>
    </w:tblStylePr>
  </w:style>
  <w:style w:type="paragraph" w:customStyle="1" w:styleId="1ffa">
    <w:name w:val="Абзац списка1"/>
    <w:basedOn w:val="aa"/>
    <w:pPr>
      <w:ind w:left="720"/>
      <w:contextualSpacing/>
    </w:pPr>
  </w:style>
  <w:style w:type="table" w:customStyle="1" w:styleId="OTRTable3">
    <w:name w:val="OTR_Table3"/>
    <w:basedOn w:val="ac"/>
    <w:pPr>
      <w:spacing w:before="60" w:after="60"/>
      <w:jc w:val="center"/>
    </w:pPr>
    <w:rPr>
      <w:rFonts w:ascii="Times New Roman" w:eastAsia="Times New Roman" w:hAnsi="Times New Roman"/>
      <w:sz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blStylePr w:type="firstRow">
      <w:pPr>
        <w:keepNext/>
        <w:keepLines w:val="0"/>
        <w:pageBreakBefore w:val="0"/>
        <w:widowControl w:val="0"/>
        <w:suppressLineNumbers w:val="0"/>
        <w:spacing w:before="60" w:beforeAutospacing="0" w:after="60" w:afterAutospacing="0" w:line="240" w:lineRule="auto"/>
        <w:ind w:left="0" w:right="0" w:firstLine="0"/>
        <w:contextualSpacing w:val="0"/>
        <w:jc w:val="center"/>
        <w:outlineLvl w:val="9"/>
      </w:pPr>
      <w:rPr>
        <w:rFonts w:ascii="Times New Roman" w:hAnsi="Times New Roman"/>
        <w:b w:val="0"/>
        <w:i w:val="0"/>
        <w:sz w:val="24"/>
      </w:rPr>
      <w:tblPr/>
      <w:trPr>
        <w:tblHeader/>
      </w:trPr>
      <w:tcPr>
        <w:tcBorders>
          <w:top w:val="single" w:sz="4" w:space="0" w:color="000000"/>
          <w:left w:val="single" w:sz="4" w:space="0" w:color="000000"/>
          <w:bottom w:val="single" w:sz="4" w:space="0" w:color="000000"/>
          <w:right w:val="single" w:sz="4" w:space="0" w:color="000000"/>
        </w:tcBorders>
        <w:shd w:val="clear" w:color="auto" w:fill="E6E6E6"/>
      </w:tcPr>
    </w:tblStylePr>
  </w:style>
  <w:style w:type="table" w:customStyle="1" w:styleId="OTRTable5">
    <w:name w:val="OTR_Table5"/>
    <w:basedOn w:val="ac"/>
    <w:pPr>
      <w:spacing w:before="60" w:after="60"/>
      <w:jc w:val="center"/>
    </w:pPr>
    <w:rPr>
      <w:rFonts w:ascii="Times New Roman" w:eastAsia="Times New Roman" w:hAnsi="Times New Roman"/>
      <w:sz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blStylePr w:type="firstRow">
      <w:pPr>
        <w:keepNext/>
        <w:keepLines w:val="0"/>
        <w:pageBreakBefore w:val="0"/>
        <w:widowControl w:val="0"/>
        <w:suppressLineNumbers w:val="0"/>
        <w:spacing w:before="60" w:beforeAutospacing="0" w:after="60" w:afterAutospacing="0" w:line="240" w:lineRule="auto"/>
        <w:ind w:left="0" w:right="0" w:firstLine="0"/>
        <w:contextualSpacing w:val="0"/>
        <w:jc w:val="center"/>
        <w:outlineLvl w:val="9"/>
      </w:pPr>
      <w:rPr>
        <w:rFonts w:ascii="Times New Roman" w:hAnsi="Times New Roman"/>
        <w:b w:val="0"/>
        <w:i w:val="0"/>
        <w:sz w:val="24"/>
      </w:rPr>
      <w:tblPr/>
      <w:trPr>
        <w:tblHeader/>
      </w:trPr>
      <w:tcPr>
        <w:tcBorders>
          <w:top w:val="single" w:sz="4" w:space="0" w:color="000000"/>
          <w:left w:val="single" w:sz="4" w:space="0" w:color="000000"/>
          <w:bottom w:val="single" w:sz="4" w:space="0" w:color="000000"/>
          <w:right w:val="single" w:sz="4" w:space="0" w:color="000000"/>
        </w:tcBorders>
        <w:shd w:val="clear" w:color="auto" w:fill="E6E6E6"/>
      </w:tcPr>
    </w:tblStylePr>
  </w:style>
  <w:style w:type="paragraph" w:customStyle="1" w:styleId="114">
    <w:name w:val="Обычный + 11 пт"/>
    <w:basedOn w:val="aa"/>
    <w:link w:val="115"/>
    <w:rPr>
      <w:sz w:val="22"/>
      <w:szCs w:val="22"/>
      <w:lang w:val="en-US"/>
    </w:rPr>
  </w:style>
  <w:style w:type="character" w:customStyle="1" w:styleId="115">
    <w:name w:val="Обычный + 11 пт Знак"/>
    <w:basedOn w:val="ab"/>
    <w:link w:val="114"/>
    <w:rPr>
      <w:rFonts w:ascii="Times New Roman" w:eastAsia="Times New Roman" w:hAnsi="Times New Roman"/>
      <w:sz w:val="22"/>
      <w:szCs w:val="22"/>
      <w:lang w:val="en-US"/>
    </w:rPr>
  </w:style>
  <w:style w:type="character" w:customStyle="1" w:styleId="fontstyle01">
    <w:name w:val="fontstyle01"/>
    <w:rPr>
      <w:rFonts w:ascii="Arial" w:hAnsi="Arial" w:cs="Arial" w:hint="default"/>
      <w:b/>
      <w:bCs/>
      <w:i w:val="0"/>
      <w:iCs w:val="0"/>
      <w:color w:val="000000"/>
      <w:sz w:val="18"/>
      <w:szCs w:val="18"/>
    </w:rPr>
  </w:style>
  <w:style w:type="character" w:customStyle="1" w:styleId="GOSTReporterror">
    <w:name w:val="_GOST_Report_error"/>
  </w:style>
  <w:style w:type="paragraph" w:customStyle="1" w:styleId="GOSTTa6leListNum3">
    <w:name w:val="_GOST_Ta6le_List_Num_3"/>
    <w:basedOn w:val="aa"/>
    <w:pPr>
      <w:tabs>
        <w:tab w:val="num" w:pos="794"/>
      </w:tabs>
      <w:ind w:left="681"/>
      <w:jc w:val="left"/>
    </w:pPr>
    <w:rPr>
      <w:sz w:val="22"/>
    </w:rPr>
  </w:style>
  <w:style w:type="character" w:customStyle="1" w:styleId="GOSTNameTable0">
    <w:name w:val="_GOST_Name_Table Знак"/>
    <w:link w:val="GOSTNameTable"/>
    <w:rPr>
      <w:rFonts w:ascii="Times New Roman" w:eastAsia="Times New Roman" w:hAnsi="Times New Roman"/>
      <w:b/>
      <w:sz w:val="24"/>
    </w:rPr>
  </w:style>
  <w:style w:type="paragraph" w:customStyle="1" w:styleId="25">
    <w:name w:val="Пункт 2 уровня"/>
    <w:basedOn w:val="22"/>
    <w:link w:val="2ff6"/>
    <w:pPr>
      <w:keepNext w:val="0"/>
      <w:numPr>
        <w:ilvl w:val="0"/>
        <w:numId w:val="88"/>
      </w:numPr>
      <w:spacing w:before="120" w:after="120"/>
    </w:pPr>
    <w:rPr>
      <w:b w:val="0"/>
      <w:sz w:val="24"/>
    </w:rPr>
  </w:style>
  <w:style w:type="paragraph" w:customStyle="1" w:styleId="3f8">
    <w:name w:val="Пункт 3 уровня"/>
    <w:basedOn w:val="31"/>
    <w:link w:val="3f9"/>
    <w:pPr>
      <w:keepNext w:val="0"/>
      <w:numPr>
        <w:ilvl w:val="0"/>
        <w:numId w:val="0"/>
      </w:numPr>
      <w:spacing w:before="120"/>
      <w:ind w:left="1287" w:hanging="360"/>
    </w:pPr>
    <w:rPr>
      <w:b w:val="0"/>
      <w:sz w:val="24"/>
    </w:rPr>
  </w:style>
  <w:style w:type="paragraph" w:customStyle="1" w:styleId="4f0">
    <w:name w:val="Пункт 4 уровня"/>
    <w:basedOn w:val="4"/>
    <w:link w:val="4f1"/>
    <w:pPr>
      <w:numPr>
        <w:ilvl w:val="0"/>
        <w:numId w:val="0"/>
      </w:numPr>
      <w:spacing w:before="120" w:after="120"/>
      <w:ind w:left="1287" w:hanging="360"/>
    </w:pPr>
    <w:rPr>
      <w:sz w:val="28"/>
    </w:rPr>
  </w:style>
  <w:style w:type="character" w:customStyle="1" w:styleId="4f1">
    <w:name w:val="Пункт 4 уровня Знак"/>
    <w:link w:val="4f0"/>
    <w:rPr>
      <w:rFonts w:ascii="Times New Roman" w:eastAsia="Times New Roman" w:hAnsi="Times New Roman" w:cs="Arial"/>
      <w:b/>
      <w:iCs/>
      <w:sz w:val="28"/>
      <w:szCs w:val="26"/>
    </w:rPr>
  </w:style>
  <w:style w:type="character" w:customStyle="1" w:styleId="1ffb">
    <w:name w:val="Текст примечания Знак1"/>
    <w:aliases w:val="Знак3 Знак1"/>
    <w:basedOn w:val="ab"/>
  </w:style>
  <w:style w:type="paragraph" w:customStyle="1" w:styleId="afffffffd">
    <w:name w:val="Текст в таблице"/>
    <w:basedOn w:val="aa"/>
    <w:link w:val="afffffffe"/>
    <w:pPr>
      <w:spacing w:after="60"/>
    </w:pPr>
    <w:rPr>
      <w:rFonts w:ascii="Verdana" w:hAnsi="Verdana"/>
      <w:spacing w:val="-5"/>
      <w:sz w:val="20"/>
      <w:lang w:eastAsia="en-US"/>
    </w:rPr>
  </w:style>
  <w:style w:type="character" w:customStyle="1" w:styleId="afffffffe">
    <w:name w:val="Текст в таблице Знак"/>
    <w:link w:val="afffffffd"/>
    <w:rPr>
      <w:rFonts w:ascii="Verdana" w:eastAsia="Times New Roman" w:hAnsi="Verdana"/>
      <w:spacing w:val="-5"/>
      <w:lang w:eastAsia="en-US"/>
    </w:rPr>
  </w:style>
  <w:style w:type="numbering" w:customStyle="1" w:styleId="211">
    <w:name w:val="Список 21"/>
    <w:basedOn w:val="ad"/>
    <w:pPr>
      <w:numPr>
        <w:numId w:val="89"/>
      </w:numPr>
    </w:pPr>
  </w:style>
  <w:style w:type="paragraph" w:customStyle="1" w:styleId="Head3">
    <w:name w:val="Head3"/>
    <w:next w:val="aa"/>
    <w:pPr>
      <w:keepNext/>
      <w:numPr>
        <w:ilvl w:val="2"/>
        <w:numId w:val="90"/>
      </w:numPr>
      <w:spacing w:before="120" w:after="120" w:line="360" w:lineRule="auto"/>
      <w:outlineLvl w:val="2"/>
    </w:pPr>
    <w:rPr>
      <w:rFonts w:ascii="Times New Roman" w:eastAsia="Times New Roman" w:hAnsi="Times New Roman"/>
      <w:b/>
      <w:bCs/>
      <w:sz w:val="28"/>
      <w:szCs w:val="26"/>
    </w:rPr>
  </w:style>
  <w:style w:type="paragraph" w:customStyle="1" w:styleId="Head4">
    <w:name w:val="Head4"/>
    <w:basedOn w:val="aa"/>
    <w:next w:val="aa"/>
    <w:pPr>
      <w:keepNext/>
      <w:numPr>
        <w:ilvl w:val="3"/>
        <w:numId w:val="90"/>
      </w:numPr>
      <w:spacing w:line="360" w:lineRule="auto"/>
      <w:ind w:right="170"/>
      <w:outlineLvl w:val="3"/>
    </w:pPr>
    <w:rPr>
      <w:b/>
      <w:sz w:val="28"/>
      <w:lang w:eastAsia="en-US"/>
    </w:rPr>
  </w:style>
  <w:style w:type="paragraph" w:customStyle="1" w:styleId="Head2">
    <w:name w:val="Head2"/>
    <w:next w:val="aa"/>
    <w:pPr>
      <w:keepNext/>
      <w:numPr>
        <w:ilvl w:val="1"/>
        <w:numId w:val="90"/>
      </w:numPr>
      <w:tabs>
        <w:tab w:val="left" w:pos="8931"/>
      </w:tabs>
      <w:spacing w:before="120" w:after="120" w:line="360" w:lineRule="auto"/>
      <w:outlineLvl w:val="1"/>
    </w:pPr>
    <w:rPr>
      <w:rFonts w:ascii="Times New Roman" w:eastAsia="Times New Roman" w:hAnsi="Times New Roman"/>
      <w:b/>
      <w:bCs/>
      <w:sz w:val="28"/>
      <w:szCs w:val="32"/>
    </w:rPr>
  </w:style>
  <w:style w:type="paragraph" w:customStyle="1" w:styleId="Head1">
    <w:name w:val="Head1"/>
    <w:next w:val="aa"/>
    <w:pPr>
      <w:pageBreakBefore/>
      <w:numPr>
        <w:numId w:val="90"/>
      </w:numPr>
      <w:spacing w:before="120" w:after="120" w:line="360" w:lineRule="auto"/>
      <w:ind w:hanging="142"/>
      <w:outlineLvl w:val="0"/>
    </w:pPr>
    <w:rPr>
      <w:rFonts w:ascii="Times New Roman" w:eastAsia="Times New Roman" w:hAnsi="Times New Roman"/>
      <w:b/>
      <w:bCs/>
      <w:sz w:val="28"/>
      <w:szCs w:val="32"/>
    </w:rPr>
  </w:style>
  <w:style w:type="paragraph" w:customStyle="1" w:styleId="PictureInscription">
    <w:name w:val="PictureInscription"/>
    <w:next w:val="aa"/>
    <w:qFormat/>
    <w:pPr>
      <w:numPr>
        <w:ilvl w:val="7"/>
        <w:numId w:val="90"/>
      </w:numPr>
      <w:spacing w:line="360" w:lineRule="auto"/>
      <w:jc w:val="center"/>
    </w:pPr>
    <w:rPr>
      <w:rFonts w:ascii="Times New Roman" w:eastAsia="Times New Roman" w:hAnsi="Times New Roman"/>
      <w:sz w:val="24"/>
      <w:szCs w:val="24"/>
    </w:rPr>
  </w:style>
  <w:style w:type="paragraph" w:customStyle="1" w:styleId="TableInscription">
    <w:name w:val="TableInscription"/>
    <w:qFormat/>
    <w:pPr>
      <w:keepNext/>
      <w:numPr>
        <w:ilvl w:val="8"/>
        <w:numId w:val="90"/>
      </w:numPr>
      <w:spacing w:before="240" w:after="120" w:line="360" w:lineRule="auto"/>
    </w:pPr>
    <w:rPr>
      <w:rFonts w:ascii="Times New Roman" w:eastAsia="Times New Roman" w:hAnsi="Times New Roman"/>
      <w:sz w:val="24"/>
    </w:rPr>
  </w:style>
  <w:style w:type="paragraph" w:customStyle="1" w:styleId="Head5">
    <w:name w:val="Head5"/>
    <w:pPr>
      <w:keepNext/>
      <w:numPr>
        <w:ilvl w:val="4"/>
        <w:numId w:val="90"/>
      </w:numPr>
      <w:spacing w:before="120" w:after="120" w:line="360" w:lineRule="auto"/>
      <w:outlineLvl w:val="4"/>
    </w:pPr>
    <w:rPr>
      <w:rFonts w:ascii="Times New Roman" w:eastAsia="Times New Roman" w:hAnsi="Times New Roman"/>
      <w:b/>
      <w:sz w:val="28"/>
    </w:rPr>
  </w:style>
  <w:style w:type="paragraph" w:customStyle="1" w:styleId="Head6">
    <w:name w:val="Head6"/>
    <w:basedOn w:val="Head5"/>
    <w:qFormat/>
    <w:pPr>
      <w:numPr>
        <w:ilvl w:val="5"/>
      </w:numPr>
    </w:pPr>
  </w:style>
  <w:style w:type="character" w:customStyle="1" w:styleId="1a">
    <w:name w:val="Обычный (веб) Знак1"/>
    <w:link w:val="afff7"/>
    <w:rPr>
      <w:rFonts w:ascii="Times New Roman" w:eastAsia="Times New Roman" w:hAnsi="Times New Roman"/>
      <w:sz w:val="24"/>
    </w:rPr>
  </w:style>
  <w:style w:type="character" w:customStyle="1" w:styleId="215">
    <w:name w:val="Основной текст 2 Знак1"/>
    <w:rPr>
      <w:sz w:val="24"/>
    </w:rPr>
  </w:style>
  <w:style w:type="paragraph" w:customStyle="1" w:styleId="2ff7">
    <w:name w:val="заголовок 2"/>
    <w:basedOn w:val="aa"/>
    <w:next w:val="aa"/>
    <w:uiPriority w:val="99"/>
    <w:pPr>
      <w:keepNext/>
      <w:tabs>
        <w:tab w:val="left" w:pos="426"/>
      </w:tabs>
      <w:ind w:firstLine="567"/>
    </w:pPr>
    <w:rPr>
      <w:b/>
      <w:bCs/>
    </w:rPr>
  </w:style>
  <w:style w:type="paragraph" w:customStyle="1" w:styleId="216">
    <w:name w:val="Основной текст с отступом 21"/>
    <w:uiPriority w:val="99"/>
    <w:pPr>
      <w:ind w:hanging="284"/>
    </w:pPr>
    <w:rPr>
      <w:rFonts w:ascii="Times New Roman" w:eastAsia="Times New Roman" w:hAnsi="Times New Roman"/>
      <w:sz w:val="28"/>
      <w:szCs w:val="28"/>
    </w:rPr>
  </w:style>
  <w:style w:type="paragraph" w:customStyle="1" w:styleId="1ffc">
    <w:name w:val="Цитата1"/>
    <w:uiPriority w:val="99"/>
    <w:pPr>
      <w:tabs>
        <w:tab w:val="left" w:pos="8505"/>
      </w:tabs>
      <w:ind w:left="1701" w:right="1523" w:hanging="708"/>
      <w:jc w:val="both"/>
    </w:pPr>
    <w:rPr>
      <w:rFonts w:ascii="Times New Roman" w:eastAsia="Times New Roman" w:hAnsi="Times New Roman"/>
      <w:sz w:val="24"/>
      <w:szCs w:val="24"/>
      <w:lang w:val="en-US"/>
    </w:rPr>
  </w:style>
  <w:style w:type="paragraph" w:customStyle="1" w:styleId="312">
    <w:name w:val="Основной текст с отступом 31"/>
    <w:uiPriority w:val="99"/>
    <w:pPr>
      <w:ind w:firstLine="567"/>
      <w:jc w:val="both"/>
    </w:pPr>
    <w:rPr>
      <w:rFonts w:ascii="Times New Roman" w:eastAsia="Times New Roman" w:hAnsi="Times New Roman"/>
      <w:sz w:val="22"/>
      <w:szCs w:val="22"/>
      <w:lang w:val="en-US"/>
    </w:rPr>
  </w:style>
  <w:style w:type="paragraph" w:customStyle="1" w:styleId="1ffd">
    <w:name w:val="çàãîëîâîê 1"/>
    <w:uiPriority w:val="99"/>
    <w:pPr>
      <w:keepNext/>
      <w:spacing w:line="360" w:lineRule="auto"/>
      <w:ind w:left="-284"/>
    </w:pPr>
    <w:rPr>
      <w:rFonts w:ascii="Times New Roman" w:eastAsia="Times New Roman" w:hAnsi="Times New Roman"/>
      <w:spacing w:val="-12"/>
      <w:sz w:val="28"/>
      <w:szCs w:val="28"/>
    </w:rPr>
  </w:style>
  <w:style w:type="character" w:customStyle="1" w:styleId="1ffe">
    <w:name w:val="Основной текст с отступом Знак1"/>
    <w:aliases w:val="Знак8 Знак1"/>
  </w:style>
  <w:style w:type="paragraph" w:customStyle="1" w:styleId="1fff">
    <w:name w:val="Текст выноски1"/>
    <w:basedOn w:val="aa"/>
    <w:uiPriority w:val="99"/>
    <w:semiHidden/>
    <w:pPr>
      <w:ind w:firstLine="567"/>
    </w:pPr>
    <w:rPr>
      <w:rFonts w:ascii="Tahoma" w:hAnsi="Tahoma" w:cs="Tahoma"/>
      <w:sz w:val="16"/>
      <w:szCs w:val="16"/>
    </w:rPr>
  </w:style>
  <w:style w:type="paragraph" w:customStyle="1" w:styleId="5b">
    <w:name w:val="заголовок 5"/>
    <w:basedOn w:val="aa"/>
    <w:next w:val="aa"/>
    <w:uiPriority w:val="99"/>
    <w:pPr>
      <w:keepNext/>
      <w:ind w:right="-58" w:firstLine="567"/>
    </w:pPr>
    <w:rPr>
      <w:b/>
      <w:bCs/>
      <w:sz w:val="28"/>
      <w:szCs w:val="28"/>
      <w:lang w:val="en-US"/>
    </w:rPr>
  </w:style>
  <w:style w:type="paragraph" w:customStyle="1" w:styleId="87">
    <w:name w:val="заголовок 8"/>
    <w:basedOn w:val="aa"/>
    <w:next w:val="aa"/>
    <w:uiPriority w:val="99"/>
    <w:pPr>
      <w:keepNext/>
      <w:ind w:right="326" w:firstLine="567"/>
      <w:jc w:val="center"/>
    </w:pPr>
    <w:rPr>
      <w:sz w:val="26"/>
      <w:szCs w:val="26"/>
    </w:rPr>
  </w:style>
  <w:style w:type="paragraph" w:customStyle="1" w:styleId="1fff0">
    <w:name w:val="Тема примечания1"/>
    <w:basedOn w:val="aff6"/>
    <w:next w:val="aff6"/>
    <w:uiPriority w:val="99"/>
    <w:semiHidden/>
    <w:pPr>
      <w:ind w:firstLine="567"/>
    </w:pPr>
    <w:rPr>
      <w:b/>
      <w:bCs/>
    </w:rPr>
  </w:style>
  <w:style w:type="paragraph" w:customStyle="1" w:styleId="ConsNormal">
    <w:name w:val="ConsNormal"/>
    <w:uiPriority w:val="99"/>
    <w:pPr>
      <w:ind w:right="19772" w:firstLine="720"/>
    </w:pPr>
    <w:rPr>
      <w:rFonts w:ascii="Arial" w:eastAsia="Times New Roman" w:hAnsi="Arial" w:cs="Arial"/>
      <w:sz w:val="22"/>
      <w:szCs w:val="22"/>
    </w:rPr>
  </w:style>
  <w:style w:type="paragraph" w:customStyle="1" w:styleId="ConsNonformat">
    <w:name w:val="ConsNonformat"/>
    <w:uiPriority w:val="99"/>
    <w:pPr>
      <w:ind w:right="19772"/>
    </w:pPr>
    <w:rPr>
      <w:rFonts w:ascii="Courier New" w:eastAsia="Times New Roman" w:hAnsi="Courier New" w:cs="Courier New"/>
      <w:sz w:val="22"/>
      <w:szCs w:val="22"/>
    </w:rPr>
  </w:style>
  <w:style w:type="paragraph" w:customStyle="1" w:styleId="PseudoH1NoNum">
    <w:name w:val="Pseudo H1 No Num"/>
    <w:basedOn w:val="aa"/>
    <w:next w:val="afd"/>
    <w:uiPriority w:val="99"/>
    <w:pPr>
      <w:keepNext/>
      <w:pageBreakBefore/>
      <w:spacing w:after="120"/>
      <w:ind w:firstLine="567"/>
      <w:jc w:val="center"/>
      <w:outlineLvl w:val="0"/>
    </w:pPr>
    <w:rPr>
      <w:rFonts w:ascii="Arial" w:hAnsi="Arial" w:cs="Arial"/>
      <w:b/>
      <w:bCs/>
      <w:caps/>
      <w:sz w:val="32"/>
      <w:szCs w:val="32"/>
      <w:lang w:eastAsia="en-US"/>
    </w:rPr>
  </w:style>
  <w:style w:type="paragraph" w:customStyle="1" w:styleId="Title-Small">
    <w:name w:val="Title-Small"/>
    <w:basedOn w:val="af"/>
    <w:uiPriority w:val="99"/>
    <w:pPr>
      <w:ind w:firstLine="567"/>
    </w:pPr>
    <w:rPr>
      <w:rFonts w:eastAsia="Times New Roman" w:cs="Arial"/>
      <w:bCs/>
      <w:smallCaps/>
      <w:szCs w:val="32"/>
      <w:lang w:eastAsia="en-US"/>
    </w:rPr>
  </w:style>
  <w:style w:type="paragraph" w:customStyle="1" w:styleId="Prog">
    <w:name w:val="Prog"/>
    <w:basedOn w:val="aa"/>
    <w:uiPriority w:val="99"/>
    <w:pPr>
      <w:spacing w:before="60" w:after="60"/>
      <w:ind w:firstLine="567"/>
    </w:pPr>
    <w:rPr>
      <w:rFonts w:ascii="Courier New" w:hAnsi="Courier New" w:cs="Courier New"/>
      <w:sz w:val="18"/>
      <w:szCs w:val="18"/>
    </w:rPr>
  </w:style>
  <w:style w:type="paragraph" w:customStyle="1" w:styleId="HeadAtachment">
    <w:name w:val="HeadAtachment"/>
    <w:basedOn w:val="4"/>
    <w:uiPriority w:val="99"/>
    <w:pPr>
      <w:numPr>
        <w:ilvl w:val="0"/>
        <w:numId w:val="0"/>
      </w:numPr>
      <w:tabs>
        <w:tab w:val="clear" w:pos="1134"/>
      </w:tabs>
      <w:spacing w:before="60" w:after="60"/>
      <w:ind w:left="2704" w:firstLine="720"/>
    </w:pPr>
    <w:rPr>
      <w:rFonts w:ascii="Arial" w:hAnsi="Arial"/>
      <w:b w:val="0"/>
      <w:bCs/>
      <w:sz w:val="20"/>
    </w:rPr>
  </w:style>
  <w:style w:type="paragraph" w:customStyle="1" w:styleId="ConsTitle">
    <w:name w:val="ConsTitle"/>
    <w:uiPriority w:val="99"/>
    <w:pPr>
      <w:widowControl w:val="0"/>
    </w:pPr>
    <w:rPr>
      <w:rFonts w:ascii="Arial" w:eastAsia="Times New Roman" w:hAnsi="Arial" w:cs="Arial"/>
      <w:b/>
      <w:bCs/>
      <w:sz w:val="16"/>
      <w:szCs w:val="16"/>
    </w:rPr>
  </w:style>
  <w:style w:type="character" w:customStyle="1" w:styleId="230">
    <w:name w:val="Знак Знак23"/>
    <w:uiPriority w:val="99"/>
    <w:rPr>
      <w:b/>
      <w:sz w:val="22"/>
      <w:lang w:val="ru-RU" w:eastAsia="ru-RU"/>
    </w:rPr>
  </w:style>
  <w:style w:type="character" w:customStyle="1" w:styleId="222">
    <w:name w:val="Знак Знак22"/>
    <w:uiPriority w:val="99"/>
    <w:rPr>
      <w:b/>
      <w:i/>
      <w:sz w:val="22"/>
      <w:lang w:val="ru-RU" w:eastAsia="ru-RU"/>
    </w:rPr>
  </w:style>
  <w:style w:type="character" w:customStyle="1" w:styleId="217">
    <w:name w:val="Знак Знак21"/>
    <w:uiPriority w:val="99"/>
    <w:rPr>
      <w:b/>
      <w:sz w:val="22"/>
      <w:lang w:val="ru-RU" w:eastAsia="ru-RU"/>
    </w:rPr>
  </w:style>
  <w:style w:type="character" w:customStyle="1" w:styleId="200">
    <w:name w:val="Знак Знак20"/>
    <w:uiPriority w:val="99"/>
    <w:rPr>
      <w:sz w:val="28"/>
      <w:lang w:val="en-US" w:eastAsia="ru-RU"/>
    </w:rPr>
  </w:style>
  <w:style w:type="character" w:customStyle="1" w:styleId="190">
    <w:name w:val="Знак Знак19"/>
    <w:uiPriority w:val="99"/>
    <w:rPr>
      <w:b/>
      <w:sz w:val="28"/>
      <w:lang w:val="en-US" w:eastAsia="ru-RU"/>
    </w:rPr>
  </w:style>
  <w:style w:type="character" w:customStyle="1" w:styleId="181">
    <w:name w:val="Знак Знак18"/>
    <w:uiPriority w:val="99"/>
    <w:rPr>
      <w:sz w:val="28"/>
      <w:lang w:val="en-US" w:eastAsia="ru-RU"/>
    </w:rPr>
  </w:style>
  <w:style w:type="character" w:customStyle="1" w:styleId="173">
    <w:name w:val="Знак Знак17"/>
    <w:uiPriority w:val="99"/>
    <w:rPr>
      <w:sz w:val="28"/>
      <w:lang w:val="ru-RU" w:eastAsia="ru-RU"/>
    </w:rPr>
  </w:style>
  <w:style w:type="character" w:customStyle="1" w:styleId="163">
    <w:name w:val="Знак Знак16"/>
    <w:uiPriority w:val="99"/>
    <w:rPr>
      <w:b/>
      <w:sz w:val="22"/>
      <w:lang w:val="ru-RU" w:eastAsia="ru-RU"/>
    </w:rPr>
  </w:style>
  <w:style w:type="character" w:customStyle="1" w:styleId="153">
    <w:name w:val="Знак Знак15"/>
    <w:uiPriority w:val="99"/>
    <w:rPr>
      <w:spacing w:val="20"/>
      <w:sz w:val="24"/>
      <w:lang w:val="en-US" w:eastAsia="ru-RU"/>
    </w:rPr>
  </w:style>
  <w:style w:type="character" w:customStyle="1" w:styleId="133">
    <w:name w:val="Знак Знак13"/>
    <w:uiPriority w:val="99"/>
    <w:rPr>
      <w:rFonts w:ascii="Journal" w:hAnsi="Journal"/>
      <w:lang w:val="en-GB" w:eastAsia="ru-RU"/>
    </w:rPr>
  </w:style>
  <w:style w:type="character" w:customStyle="1" w:styleId="123">
    <w:name w:val="Знак Знак12"/>
    <w:uiPriority w:val="99"/>
    <w:rPr>
      <w:sz w:val="28"/>
      <w:lang w:val="ru-RU" w:eastAsia="en-US"/>
    </w:rPr>
  </w:style>
  <w:style w:type="character" w:customStyle="1" w:styleId="116">
    <w:name w:val="Знак Знак11"/>
    <w:uiPriority w:val="99"/>
    <w:rPr>
      <w:rFonts w:ascii="Arial" w:hAnsi="Arial"/>
      <w:lang w:val="ru-RU" w:eastAsia="ru-RU"/>
    </w:rPr>
  </w:style>
  <w:style w:type="character" w:customStyle="1" w:styleId="101">
    <w:name w:val="Знак Знак10"/>
    <w:uiPriority w:val="99"/>
    <w:rPr>
      <w:lang w:val="ru-RU" w:eastAsia="ru-RU"/>
    </w:rPr>
  </w:style>
  <w:style w:type="character" w:customStyle="1" w:styleId="76">
    <w:name w:val="Знак Знак7"/>
    <w:uiPriority w:val="99"/>
    <w:rPr>
      <w:sz w:val="22"/>
      <w:lang w:val="ru-RU" w:eastAsia="ru-RU"/>
    </w:rPr>
  </w:style>
  <w:style w:type="paragraph" w:customStyle="1" w:styleId="CharCharCharChar0">
    <w:name w:val="Char Char Знак Знак Char Char"/>
    <w:basedOn w:val="aa"/>
    <w:next w:val="aa"/>
    <w:uiPriority w:val="99"/>
    <w:semiHidden/>
    <w:pPr>
      <w:spacing w:after="160" w:line="240" w:lineRule="exact"/>
      <w:ind w:firstLine="567"/>
    </w:pPr>
    <w:rPr>
      <w:rFonts w:ascii="Arial" w:hAnsi="Arial" w:cs="Arial"/>
      <w:lang w:val="en-US" w:eastAsia="en-US"/>
    </w:rPr>
  </w:style>
  <w:style w:type="character" w:customStyle="1" w:styleId="affffffff">
    <w:name w:val="Обычный (веб) Знак"/>
    <w:uiPriority w:val="99"/>
    <w:rPr>
      <w:sz w:val="28"/>
      <w:lang w:eastAsia="en-US"/>
    </w:rPr>
  </w:style>
  <w:style w:type="character" w:customStyle="1" w:styleId="2ff8">
    <w:name w:val="Основной текст Знак2"/>
    <w:uiPriority w:val="99"/>
    <w:rPr>
      <w:rFonts w:ascii="Arial" w:hAnsi="Arial"/>
      <w:lang w:val="ru-RU" w:eastAsia="ru-RU"/>
    </w:rPr>
  </w:style>
  <w:style w:type="character" w:customStyle="1" w:styleId="77">
    <w:name w:val="Знак7 Знак Знак"/>
    <w:uiPriority w:val="99"/>
    <w:rPr>
      <w:rFonts w:ascii="Times New Roman" w:hAnsi="Times New Roman"/>
      <w:lang w:eastAsia="ru-RU"/>
    </w:rPr>
  </w:style>
  <w:style w:type="paragraph" w:customStyle="1" w:styleId="font5">
    <w:name w:val="font5"/>
    <w:basedOn w:val="aa"/>
    <w:uiPriority w:val="99"/>
    <w:pPr>
      <w:spacing w:before="100" w:beforeAutospacing="1" w:after="100" w:afterAutospacing="1"/>
      <w:ind w:firstLine="567"/>
    </w:pPr>
    <w:rPr>
      <w:rFonts w:ascii="Arial CYR" w:hAnsi="Arial CYR" w:cs="Arial CYR"/>
      <w:sz w:val="16"/>
      <w:szCs w:val="16"/>
    </w:rPr>
  </w:style>
  <w:style w:type="paragraph" w:customStyle="1" w:styleId="xl91">
    <w:name w:val="xl91"/>
    <w:basedOn w:val="aa"/>
    <w:uiPriority w:val="99"/>
    <w:pPr>
      <w:pBdr>
        <w:left w:val="single" w:sz="4"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92">
    <w:name w:val="xl92"/>
    <w:basedOn w:val="aa"/>
    <w:uiPriority w:val="99"/>
    <w:pPr>
      <w:pBdr>
        <w:top w:val="single" w:sz="4" w:space="0" w:color="000000"/>
        <w:bottom w:val="single" w:sz="8"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93">
    <w:name w:val="xl93"/>
    <w:basedOn w:val="aa"/>
    <w:uiPriority w:val="99"/>
    <w:pPr>
      <w:pBdr>
        <w:top w:val="single" w:sz="4" w:space="0" w:color="000000"/>
        <w:left w:val="single" w:sz="4" w:space="0" w:color="000000"/>
        <w:bottom w:val="single" w:sz="8"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94">
    <w:name w:val="xl94"/>
    <w:basedOn w:val="aa"/>
    <w:uiPriority w:val="99"/>
    <w:pPr>
      <w:pBdr>
        <w:top w:val="single" w:sz="4" w:space="0" w:color="000000"/>
        <w:left w:val="single" w:sz="4" w:space="0" w:color="000000"/>
        <w:bottom w:val="single" w:sz="8" w:space="0" w:color="000000"/>
      </w:pBdr>
      <w:spacing w:before="100" w:beforeAutospacing="1" w:after="100" w:afterAutospacing="1"/>
      <w:ind w:firstLine="567"/>
      <w:jc w:val="center"/>
    </w:pPr>
    <w:rPr>
      <w:rFonts w:ascii="Arial CYR" w:hAnsi="Arial CYR" w:cs="Arial CYR"/>
      <w:sz w:val="16"/>
      <w:szCs w:val="16"/>
    </w:rPr>
  </w:style>
  <w:style w:type="paragraph" w:customStyle="1" w:styleId="xl95">
    <w:name w:val="xl95"/>
    <w:basedOn w:val="aa"/>
    <w:uiPriority w:val="99"/>
    <w:pPr>
      <w:pBdr>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96">
    <w:name w:val="xl96"/>
    <w:basedOn w:val="aa"/>
    <w:uiPriority w:val="99"/>
    <w:pPr>
      <w:pBdr>
        <w:left w:val="single" w:sz="4" w:space="0" w:color="000000"/>
        <w:right w:val="single" w:sz="8" w:space="0" w:color="000000"/>
      </w:pBdr>
      <w:spacing w:before="100" w:beforeAutospacing="1" w:after="100" w:afterAutospacing="1"/>
      <w:ind w:firstLine="567"/>
      <w:jc w:val="center"/>
    </w:pPr>
    <w:rPr>
      <w:rFonts w:ascii="Arial CYR" w:hAnsi="Arial CYR" w:cs="Arial CYR"/>
      <w:sz w:val="16"/>
      <w:szCs w:val="16"/>
    </w:rPr>
  </w:style>
  <w:style w:type="paragraph" w:customStyle="1" w:styleId="xl97">
    <w:name w:val="xl97"/>
    <w:basedOn w:val="aa"/>
    <w:uiPriority w:val="99"/>
    <w:pPr>
      <w:pBdr>
        <w:top w:val="single" w:sz="4" w:space="0" w:color="000000"/>
        <w:left w:val="single" w:sz="8" w:space="0" w:color="000000"/>
        <w:bottom w:val="single" w:sz="4"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98">
    <w:name w:val="xl98"/>
    <w:basedOn w:val="aa"/>
    <w:uiPriority w:val="99"/>
    <w:pPr>
      <w:pBdr>
        <w:top w:val="single" w:sz="4" w:space="0" w:color="000000"/>
        <w:left w:val="single" w:sz="4" w:space="0" w:color="000000"/>
        <w:bottom w:val="single" w:sz="4"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99">
    <w:name w:val="xl99"/>
    <w:basedOn w:val="aa"/>
    <w:uiPriority w:val="99"/>
    <w:pPr>
      <w:pBdr>
        <w:top w:val="single" w:sz="4" w:space="0" w:color="000000"/>
        <w:left w:val="single" w:sz="4" w:space="0" w:color="000000"/>
        <w:bottom w:val="single" w:sz="4" w:space="0" w:color="000000"/>
        <w:right w:val="single" w:sz="8" w:space="0" w:color="000000"/>
      </w:pBdr>
      <w:spacing w:before="100" w:beforeAutospacing="1" w:after="100" w:afterAutospacing="1"/>
      <w:ind w:firstLine="567"/>
      <w:jc w:val="center"/>
    </w:pPr>
    <w:rPr>
      <w:rFonts w:ascii="Arial CYR" w:hAnsi="Arial CYR" w:cs="Arial CYR"/>
      <w:sz w:val="16"/>
      <w:szCs w:val="16"/>
    </w:rPr>
  </w:style>
  <w:style w:type="paragraph" w:customStyle="1" w:styleId="xl100">
    <w:name w:val="xl100"/>
    <w:basedOn w:val="aa"/>
    <w:uiPriority w:val="99"/>
    <w:pPr>
      <w:pBdr>
        <w:bottom w:val="single" w:sz="4" w:space="0" w:color="000000"/>
        <w:right w:val="single" w:sz="8" w:space="0" w:color="000000"/>
      </w:pBdr>
      <w:spacing w:before="100" w:beforeAutospacing="1" w:after="100" w:afterAutospacing="1"/>
      <w:ind w:firstLine="567"/>
    </w:pPr>
    <w:rPr>
      <w:rFonts w:ascii="Arial CYR" w:hAnsi="Arial CYR" w:cs="Arial CYR"/>
      <w:sz w:val="16"/>
      <w:szCs w:val="16"/>
    </w:rPr>
  </w:style>
  <w:style w:type="paragraph" w:customStyle="1" w:styleId="xl101">
    <w:name w:val="xl101"/>
    <w:basedOn w:val="aa"/>
    <w:uiPriority w:val="99"/>
    <w:pPr>
      <w:pBdr>
        <w:bottom w:val="single" w:sz="4"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02">
    <w:name w:val="xl102"/>
    <w:basedOn w:val="aa"/>
    <w:uiPriority w:val="99"/>
    <w:pPr>
      <w:pBdr>
        <w:left w:val="single" w:sz="4"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03">
    <w:name w:val="xl103"/>
    <w:basedOn w:val="aa"/>
    <w:uiPriority w:val="99"/>
    <w:pPr>
      <w:pBdr>
        <w:left w:val="single" w:sz="4" w:space="0" w:color="000000"/>
        <w:right w:val="single" w:sz="8" w:space="0" w:color="000000"/>
      </w:pBdr>
      <w:spacing w:before="100" w:beforeAutospacing="1" w:after="100" w:afterAutospacing="1"/>
      <w:ind w:firstLine="567"/>
      <w:jc w:val="center"/>
    </w:pPr>
    <w:rPr>
      <w:rFonts w:ascii="Arial CYR" w:hAnsi="Arial CYR" w:cs="Arial CYR"/>
      <w:sz w:val="16"/>
      <w:szCs w:val="16"/>
    </w:rPr>
  </w:style>
  <w:style w:type="paragraph" w:customStyle="1" w:styleId="xl104">
    <w:name w:val="xl104"/>
    <w:basedOn w:val="aa"/>
    <w:uiPriority w:val="99"/>
    <w:pPr>
      <w:pBdr>
        <w:top w:val="single" w:sz="4" w:space="0" w:color="000000"/>
        <w:left w:val="single" w:sz="4"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05">
    <w:name w:val="xl105"/>
    <w:basedOn w:val="aa"/>
    <w:uiPriority w:val="99"/>
    <w:pPr>
      <w:pBdr>
        <w:top w:val="single" w:sz="4" w:space="0" w:color="000000"/>
        <w:left w:val="single" w:sz="4" w:space="0" w:color="000000"/>
        <w:right w:val="single" w:sz="8" w:space="0" w:color="000000"/>
      </w:pBdr>
      <w:spacing w:before="100" w:beforeAutospacing="1" w:after="100" w:afterAutospacing="1"/>
      <w:ind w:firstLine="567"/>
      <w:jc w:val="center"/>
    </w:pPr>
    <w:rPr>
      <w:rFonts w:ascii="Arial CYR" w:hAnsi="Arial CYR" w:cs="Arial CYR"/>
      <w:sz w:val="16"/>
      <w:szCs w:val="16"/>
    </w:rPr>
  </w:style>
  <w:style w:type="paragraph" w:customStyle="1" w:styleId="xl106">
    <w:name w:val="xl106"/>
    <w:basedOn w:val="aa"/>
    <w:uiPriority w:val="99"/>
    <w:pPr>
      <w:pBdr>
        <w:top w:val="single" w:sz="8" w:space="0" w:color="000000"/>
        <w:bottom w:val="single" w:sz="4" w:space="0" w:color="000000"/>
        <w:right w:val="single" w:sz="8" w:space="0" w:color="000000"/>
      </w:pBdr>
      <w:spacing w:before="100" w:beforeAutospacing="1" w:after="100" w:afterAutospacing="1"/>
      <w:ind w:firstLine="567"/>
    </w:pPr>
    <w:rPr>
      <w:rFonts w:ascii="Arial CYR" w:hAnsi="Arial CYR" w:cs="Arial CYR"/>
      <w:b/>
      <w:bCs/>
      <w:sz w:val="16"/>
      <w:szCs w:val="16"/>
    </w:rPr>
  </w:style>
  <w:style w:type="paragraph" w:customStyle="1" w:styleId="xl107">
    <w:name w:val="xl107"/>
    <w:basedOn w:val="aa"/>
    <w:uiPriority w:val="99"/>
    <w:pPr>
      <w:pBdr>
        <w:top w:val="single" w:sz="8" w:space="0" w:color="000000"/>
        <w:left w:val="single" w:sz="8" w:space="0" w:color="000000"/>
        <w:bottom w:val="single" w:sz="8"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08">
    <w:name w:val="xl108"/>
    <w:basedOn w:val="aa"/>
    <w:uiPriority w:val="99"/>
    <w:pPr>
      <w:pBdr>
        <w:top w:val="single" w:sz="8" w:space="0" w:color="000000"/>
        <w:bottom w:val="single" w:sz="8"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09">
    <w:name w:val="xl109"/>
    <w:basedOn w:val="aa"/>
    <w:uiPriority w:val="99"/>
    <w:pPr>
      <w:pBdr>
        <w:top w:val="single" w:sz="8" w:space="0" w:color="000000"/>
        <w:left w:val="single" w:sz="4" w:space="0" w:color="000000"/>
        <w:bottom w:val="single" w:sz="8"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10">
    <w:name w:val="xl110"/>
    <w:basedOn w:val="aa"/>
    <w:uiPriority w:val="99"/>
    <w:pPr>
      <w:pBdr>
        <w:top w:val="single" w:sz="8" w:space="0" w:color="000000"/>
        <w:left w:val="single" w:sz="4" w:space="0" w:color="000000"/>
        <w:bottom w:val="single" w:sz="8" w:space="0" w:color="000000"/>
        <w:right w:val="single" w:sz="8" w:space="0" w:color="000000"/>
      </w:pBdr>
      <w:spacing w:before="100" w:beforeAutospacing="1" w:after="100" w:afterAutospacing="1"/>
      <w:ind w:firstLine="567"/>
      <w:jc w:val="center"/>
    </w:pPr>
    <w:rPr>
      <w:rFonts w:ascii="Arial CYR" w:hAnsi="Arial CYR" w:cs="Arial CYR"/>
      <w:sz w:val="16"/>
      <w:szCs w:val="16"/>
    </w:rPr>
  </w:style>
  <w:style w:type="paragraph" w:customStyle="1" w:styleId="xl111">
    <w:name w:val="xl111"/>
    <w:basedOn w:val="aa"/>
    <w:uiPriority w:val="99"/>
    <w:pPr>
      <w:spacing w:before="100" w:beforeAutospacing="1" w:after="100" w:afterAutospacing="1"/>
      <w:ind w:firstLine="567"/>
      <w:jc w:val="center"/>
    </w:pPr>
    <w:rPr>
      <w:rFonts w:ascii="Arial CYR" w:hAnsi="Arial CYR" w:cs="Arial CYR"/>
      <w:b/>
      <w:bCs/>
      <w:sz w:val="16"/>
      <w:szCs w:val="16"/>
    </w:rPr>
  </w:style>
  <w:style w:type="paragraph" w:customStyle="1" w:styleId="xl112">
    <w:name w:val="xl112"/>
    <w:basedOn w:val="aa"/>
    <w:uiPriority w:val="99"/>
    <w:pPr>
      <w:pBdr>
        <w:left w:val="single" w:sz="8"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13">
    <w:name w:val="xl113"/>
    <w:basedOn w:val="aa"/>
    <w:uiPriority w:val="99"/>
    <w:pPr>
      <w:pBdr>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14">
    <w:name w:val="xl114"/>
    <w:basedOn w:val="aa"/>
    <w:uiPriority w:val="99"/>
    <w:pPr>
      <w:pBdr>
        <w:left w:val="single" w:sz="4"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15">
    <w:name w:val="xl115"/>
    <w:basedOn w:val="aa"/>
    <w:uiPriority w:val="99"/>
    <w:pPr>
      <w:spacing w:before="100" w:beforeAutospacing="1" w:after="100" w:afterAutospacing="1"/>
      <w:ind w:firstLine="567"/>
    </w:pPr>
    <w:rPr>
      <w:rFonts w:ascii="Arial CYR" w:hAnsi="Arial CYR" w:cs="Arial CYR"/>
      <w:sz w:val="16"/>
      <w:szCs w:val="16"/>
    </w:rPr>
  </w:style>
  <w:style w:type="paragraph" w:customStyle="1" w:styleId="xl116">
    <w:name w:val="xl116"/>
    <w:basedOn w:val="aa"/>
    <w:uiPriority w:val="99"/>
    <w:pPr>
      <w:pBdr>
        <w:bottom w:val="single" w:sz="4" w:space="0" w:color="000000"/>
        <w:right w:val="single" w:sz="4" w:space="0" w:color="000000"/>
      </w:pBdr>
      <w:spacing w:before="100" w:beforeAutospacing="1" w:after="100" w:afterAutospacing="1"/>
      <w:ind w:firstLine="400"/>
    </w:pPr>
    <w:rPr>
      <w:rFonts w:ascii="Arial CYR" w:hAnsi="Arial CYR" w:cs="Arial CYR"/>
      <w:sz w:val="16"/>
      <w:szCs w:val="16"/>
    </w:rPr>
  </w:style>
  <w:style w:type="paragraph" w:customStyle="1" w:styleId="xl117">
    <w:name w:val="xl117"/>
    <w:basedOn w:val="aa"/>
    <w:uiPriority w:val="99"/>
    <w:pPr>
      <w:pBdr>
        <w:top w:val="single" w:sz="4" w:space="0" w:color="000000"/>
        <w:bottom w:val="single" w:sz="4" w:space="0" w:color="000000"/>
        <w:right w:val="single" w:sz="4" w:space="0" w:color="000000"/>
      </w:pBdr>
      <w:spacing w:before="100" w:beforeAutospacing="1" w:after="100" w:afterAutospacing="1"/>
      <w:ind w:firstLine="400"/>
    </w:pPr>
    <w:rPr>
      <w:rFonts w:ascii="Arial CYR" w:hAnsi="Arial CYR" w:cs="Arial CYR"/>
      <w:sz w:val="16"/>
      <w:szCs w:val="16"/>
    </w:rPr>
  </w:style>
  <w:style w:type="paragraph" w:customStyle="1" w:styleId="xl118">
    <w:name w:val="xl118"/>
    <w:basedOn w:val="aa"/>
    <w:uiPriority w:val="99"/>
    <w:pPr>
      <w:pBdr>
        <w:right w:val="single" w:sz="8" w:space="0" w:color="000000"/>
      </w:pBdr>
      <w:spacing w:before="100" w:beforeAutospacing="1" w:after="100" w:afterAutospacing="1"/>
      <w:ind w:firstLine="400"/>
    </w:pPr>
    <w:rPr>
      <w:rFonts w:ascii="Arial CYR" w:hAnsi="Arial CYR" w:cs="Arial CYR"/>
      <w:sz w:val="16"/>
      <w:szCs w:val="16"/>
    </w:rPr>
  </w:style>
  <w:style w:type="paragraph" w:customStyle="1" w:styleId="xl119">
    <w:name w:val="xl119"/>
    <w:basedOn w:val="aa"/>
    <w:uiPriority w:val="99"/>
    <w:pPr>
      <w:pBdr>
        <w:top w:val="single" w:sz="4" w:space="0" w:color="000000"/>
        <w:left w:val="single" w:sz="4" w:space="0" w:color="000000"/>
        <w:bottom w:val="single" w:sz="4"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20">
    <w:name w:val="xl120"/>
    <w:basedOn w:val="aa"/>
    <w:uiPriority w:val="99"/>
    <w:pPr>
      <w:spacing w:before="100" w:beforeAutospacing="1" w:after="100" w:afterAutospacing="1"/>
      <w:ind w:firstLine="567"/>
      <w:jc w:val="center"/>
    </w:pPr>
    <w:rPr>
      <w:rFonts w:ascii="Arial CYR" w:hAnsi="Arial CYR" w:cs="Arial CYR"/>
      <w:sz w:val="16"/>
      <w:szCs w:val="16"/>
    </w:rPr>
  </w:style>
  <w:style w:type="paragraph" w:customStyle="1" w:styleId="xl121">
    <w:name w:val="xl121"/>
    <w:basedOn w:val="aa"/>
    <w:uiPriority w:val="99"/>
    <w:pPr>
      <w:spacing w:before="100" w:beforeAutospacing="1" w:after="100" w:afterAutospacing="1"/>
      <w:ind w:firstLine="567"/>
      <w:jc w:val="center"/>
    </w:pPr>
    <w:rPr>
      <w:rFonts w:ascii="Arial CYR" w:hAnsi="Arial CYR" w:cs="Arial CYR"/>
      <w:sz w:val="16"/>
      <w:szCs w:val="16"/>
    </w:rPr>
  </w:style>
  <w:style w:type="paragraph" w:customStyle="1" w:styleId="xl122">
    <w:name w:val="xl122"/>
    <w:basedOn w:val="aa"/>
    <w:uiPriority w:val="99"/>
    <w:pPr>
      <w:spacing w:before="100" w:beforeAutospacing="1" w:after="100" w:afterAutospacing="1"/>
      <w:ind w:firstLine="567"/>
      <w:jc w:val="center"/>
    </w:pPr>
    <w:rPr>
      <w:rFonts w:ascii="Arial CYR" w:hAnsi="Arial CYR" w:cs="Arial CYR"/>
      <w:sz w:val="16"/>
      <w:szCs w:val="16"/>
    </w:rPr>
  </w:style>
  <w:style w:type="paragraph" w:customStyle="1" w:styleId="xl123">
    <w:name w:val="xl123"/>
    <w:basedOn w:val="aa"/>
    <w:uiPriority w:val="99"/>
    <w:pPr>
      <w:pBdr>
        <w:left w:val="single" w:sz="8" w:space="0" w:color="000000"/>
      </w:pBdr>
      <w:spacing w:before="100" w:beforeAutospacing="1" w:after="100" w:afterAutospacing="1"/>
      <w:ind w:firstLine="567"/>
      <w:jc w:val="center"/>
    </w:pPr>
    <w:rPr>
      <w:rFonts w:ascii="Arial CYR" w:hAnsi="Arial CYR" w:cs="Arial CYR"/>
      <w:sz w:val="16"/>
      <w:szCs w:val="16"/>
    </w:rPr>
  </w:style>
  <w:style w:type="paragraph" w:customStyle="1" w:styleId="xl124">
    <w:name w:val="xl124"/>
    <w:basedOn w:val="aa"/>
    <w:uiPriority w:val="99"/>
    <w:pPr>
      <w:pBdr>
        <w:left w:val="single" w:sz="4"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25">
    <w:name w:val="xl125"/>
    <w:basedOn w:val="aa"/>
    <w:uiPriority w:val="99"/>
    <w:pPr>
      <w:pBdr>
        <w:top w:val="single" w:sz="4" w:space="0" w:color="000000"/>
        <w:bottom w:val="single" w:sz="4"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26">
    <w:name w:val="xl126"/>
    <w:basedOn w:val="aa"/>
    <w:uiPriority w:val="99"/>
    <w:pPr>
      <w:pBdr>
        <w:top w:val="single" w:sz="8" w:space="0" w:color="000000"/>
        <w:bottom w:val="single" w:sz="8" w:space="0" w:color="000000"/>
        <w:right w:val="single" w:sz="8" w:space="0" w:color="000000"/>
      </w:pBdr>
      <w:spacing w:before="100" w:beforeAutospacing="1" w:after="100" w:afterAutospacing="1"/>
      <w:ind w:firstLine="567"/>
    </w:pPr>
    <w:rPr>
      <w:rFonts w:ascii="Arial CYR" w:hAnsi="Arial CYR" w:cs="Arial CYR"/>
      <w:b/>
      <w:bCs/>
      <w:sz w:val="16"/>
      <w:szCs w:val="16"/>
    </w:rPr>
  </w:style>
  <w:style w:type="paragraph" w:customStyle="1" w:styleId="xl127">
    <w:name w:val="xl127"/>
    <w:basedOn w:val="aa"/>
    <w:uiPriority w:val="99"/>
    <w:pPr>
      <w:pBdr>
        <w:bottom w:val="single" w:sz="4" w:space="0" w:color="000000"/>
        <w:right w:val="single" w:sz="8" w:space="0" w:color="000000"/>
      </w:pBdr>
      <w:spacing w:before="100" w:beforeAutospacing="1" w:after="100" w:afterAutospacing="1"/>
      <w:ind w:firstLine="567"/>
    </w:pPr>
    <w:rPr>
      <w:rFonts w:ascii="Arial CYR" w:hAnsi="Arial CYR" w:cs="Arial CYR"/>
      <w:b/>
      <w:bCs/>
      <w:sz w:val="16"/>
      <w:szCs w:val="16"/>
    </w:rPr>
  </w:style>
  <w:style w:type="paragraph" w:customStyle="1" w:styleId="xl128">
    <w:name w:val="xl128"/>
    <w:basedOn w:val="aa"/>
    <w:uiPriority w:val="99"/>
    <w:pPr>
      <w:pBdr>
        <w:top w:val="single" w:sz="8" w:space="0" w:color="000000"/>
        <w:left w:val="single" w:sz="4" w:space="0" w:color="000000"/>
        <w:bottom w:val="single" w:sz="8"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29">
    <w:name w:val="xl129"/>
    <w:basedOn w:val="aa"/>
    <w:uiPriority w:val="99"/>
    <w:pPr>
      <w:pBdr>
        <w:right w:val="single" w:sz="8" w:space="0" w:color="000000"/>
      </w:pBdr>
      <w:spacing w:before="100" w:beforeAutospacing="1" w:after="100" w:afterAutospacing="1"/>
      <w:ind w:firstLine="567"/>
      <w:jc w:val="center"/>
    </w:pPr>
    <w:rPr>
      <w:rFonts w:ascii="Arial CYR" w:hAnsi="Arial CYR" w:cs="Arial CYR"/>
      <w:b/>
      <w:bCs/>
      <w:sz w:val="16"/>
      <w:szCs w:val="16"/>
    </w:rPr>
  </w:style>
  <w:style w:type="paragraph" w:customStyle="1" w:styleId="xl130">
    <w:name w:val="xl130"/>
    <w:basedOn w:val="aa"/>
    <w:uiPriority w:val="99"/>
    <w:pPr>
      <w:pBdr>
        <w:top w:val="single" w:sz="8" w:space="0" w:color="000000"/>
        <w:left w:val="single" w:sz="8"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31">
    <w:name w:val="xl131"/>
    <w:basedOn w:val="aa"/>
    <w:uiPriority w:val="99"/>
    <w:pPr>
      <w:pBdr>
        <w:top w:val="single" w:sz="8" w:space="0" w:color="000000"/>
        <w:left w:val="single" w:sz="4"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32">
    <w:name w:val="xl132"/>
    <w:basedOn w:val="aa"/>
    <w:uiPriority w:val="99"/>
    <w:pPr>
      <w:pBdr>
        <w:top w:val="single" w:sz="8" w:space="0" w:color="000000"/>
        <w:left w:val="single" w:sz="4" w:space="0" w:color="000000"/>
        <w:right w:val="single" w:sz="8" w:space="0" w:color="000000"/>
      </w:pBdr>
      <w:spacing w:before="100" w:beforeAutospacing="1" w:after="100" w:afterAutospacing="1"/>
      <w:ind w:firstLine="567"/>
      <w:jc w:val="center"/>
    </w:pPr>
    <w:rPr>
      <w:rFonts w:ascii="Arial CYR" w:hAnsi="Arial CYR" w:cs="Arial CYR"/>
      <w:sz w:val="16"/>
      <w:szCs w:val="16"/>
    </w:rPr>
  </w:style>
  <w:style w:type="paragraph" w:customStyle="1" w:styleId="xl133">
    <w:name w:val="xl133"/>
    <w:basedOn w:val="aa"/>
    <w:uiPriority w:val="99"/>
    <w:pPr>
      <w:pBdr>
        <w:right w:val="single" w:sz="8" w:space="0" w:color="000000"/>
      </w:pBdr>
      <w:spacing w:before="100" w:beforeAutospacing="1" w:after="100" w:afterAutospacing="1"/>
      <w:ind w:firstLine="567"/>
    </w:pPr>
    <w:rPr>
      <w:rFonts w:ascii="Arial CYR" w:hAnsi="Arial CYR" w:cs="Arial CYR"/>
      <w:sz w:val="16"/>
      <w:szCs w:val="16"/>
    </w:rPr>
  </w:style>
  <w:style w:type="paragraph" w:customStyle="1" w:styleId="xl134">
    <w:name w:val="xl134"/>
    <w:basedOn w:val="aa"/>
    <w:uiPriority w:val="99"/>
    <w:pPr>
      <w:pBdr>
        <w:top w:val="single" w:sz="8" w:space="0" w:color="000000"/>
        <w:bottom w:val="single" w:sz="4" w:space="0" w:color="000000"/>
        <w:right w:val="single" w:sz="8" w:space="0" w:color="000000"/>
      </w:pBdr>
      <w:spacing w:before="100" w:beforeAutospacing="1" w:after="100" w:afterAutospacing="1"/>
      <w:ind w:firstLine="567"/>
    </w:pPr>
    <w:rPr>
      <w:rFonts w:ascii="Arial CYR" w:hAnsi="Arial CYR" w:cs="Arial CYR"/>
      <w:b/>
      <w:bCs/>
      <w:sz w:val="16"/>
      <w:szCs w:val="16"/>
    </w:rPr>
  </w:style>
  <w:style w:type="paragraph" w:customStyle="1" w:styleId="xl135">
    <w:name w:val="xl135"/>
    <w:basedOn w:val="aa"/>
    <w:uiPriority w:val="99"/>
    <w:pPr>
      <w:pBdr>
        <w:right w:val="single" w:sz="8" w:space="0" w:color="000000"/>
      </w:pBdr>
      <w:spacing w:before="100" w:beforeAutospacing="1" w:after="100" w:afterAutospacing="1"/>
      <w:ind w:firstLine="300"/>
    </w:pPr>
    <w:rPr>
      <w:rFonts w:ascii="Arial CYR" w:hAnsi="Arial CYR" w:cs="Arial CYR"/>
      <w:sz w:val="16"/>
      <w:szCs w:val="16"/>
    </w:rPr>
  </w:style>
  <w:style w:type="paragraph" w:customStyle="1" w:styleId="xl136">
    <w:name w:val="xl136"/>
    <w:basedOn w:val="aa"/>
    <w:uiPriority w:val="99"/>
    <w:pPr>
      <w:pBdr>
        <w:bottom w:val="single" w:sz="4" w:space="0" w:color="000000"/>
        <w:right w:val="single" w:sz="8" w:space="0" w:color="000000"/>
      </w:pBdr>
      <w:spacing w:before="100" w:beforeAutospacing="1" w:after="100" w:afterAutospacing="1"/>
      <w:ind w:firstLine="300"/>
    </w:pPr>
    <w:rPr>
      <w:rFonts w:ascii="Arial CYR" w:hAnsi="Arial CYR" w:cs="Arial CYR"/>
      <w:sz w:val="16"/>
      <w:szCs w:val="16"/>
    </w:rPr>
  </w:style>
  <w:style w:type="paragraph" w:customStyle="1" w:styleId="xl137">
    <w:name w:val="xl137"/>
    <w:basedOn w:val="aa"/>
    <w:uiPriority w:val="99"/>
    <w:pPr>
      <w:pBdr>
        <w:top w:val="single" w:sz="4" w:space="0" w:color="000000"/>
        <w:bottom w:val="single" w:sz="4" w:space="0" w:color="000000"/>
        <w:right w:val="single" w:sz="8" w:space="0" w:color="000000"/>
      </w:pBdr>
      <w:spacing w:before="100" w:beforeAutospacing="1" w:after="100" w:afterAutospacing="1"/>
      <w:ind w:firstLine="300"/>
    </w:pPr>
    <w:rPr>
      <w:rFonts w:ascii="Arial CYR" w:hAnsi="Arial CYR" w:cs="Arial CYR"/>
      <w:sz w:val="16"/>
      <w:szCs w:val="16"/>
    </w:rPr>
  </w:style>
  <w:style w:type="paragraph" w:customStyle="1" w:styleId="xl138">
    <w:name w:val="xl138"/>
    <w:basedOn w:val="aa"/>
    <w:uiPriority w:val="99"/>
    <w:pPr>
      <w:spacing w:before="100" w:beforeAutospacing="1" w:after="100" w:afterAutospacing="1"/>
      <w:ind w:firstLine="567"/>
    </w:pPr>
    <w:rPr>
      <w:rFonts w:ascii="Arial CYR" w:hAnsi="Arial CYR" w:cs="Arial CYR"/>
      <w:sz w:val="16"/>
      <w:szCs w:val="16"/>
    </w:rPr>
  </w:style>
  <w:style w:type="paragraph" w:customStyle="1" w:styleId="xl139">
    <w:name w:val="xl139"/>
    <w:basedOn w:val="aa"/>
    <w:uiPriority w:val="99"/>
    <w:pPr>
      <w:spacing w:before="100" w:beforeAutospacing="1" w:after="100" w:afterAutospacing="1"/>
      <w:ind w:firstLine="567"/>
    </w:pPr>
    <w:rPr>
      <w:rFonts w:ascii="Arial CYR" w:hAnsi="Arial CYR" w:cs="Arial CYR"/>
      <w:b/>
      <w:bCs/>
      <w:szCs w:val="24"/>
    </w:rPr>
  </w:style>
  <w:style w:type="paragraph" w:customStyle="1" w:styleId="xl140">
    <w:name w:val="xl140"/>
    <w:basedOn w:val="aa"/>
    <w:uiPriority w:val="99"/>
    <w:pPr>
      <w:spacing w:before="100" w:beforeAutospacing="1" w:after="100" w:afterAutospacing="1"/>
      <w:ind w:firstLine="567"/>
    </w:pPr>
    <w:rPr>
      <w:rFonts w:ascii="Arial CYR" w:hAnsi="Arial CYR" w:cs="Arial CYR"/>
      <w:sz w:val="16"/>
      <w:szCs w:val="16"/>
    </w:rPr>
  </w:style>
  <w:style w:type="paragraph" w:customStyle="1" w:styleId="xl141">
    <w:name w:val="xl141"/>
    <w:basedOn w:val="aa"/>
    <w:uiPriority w:val="99"/>
    <w:pPr>
      <w:pBdr>
        <w:top w:val="single" w:sz="8" w:space="0" w:color="000000"/>
        <w:left w:val="single" w:sz="8" w:space="0" w:color="000000"/>
        <w:bottom w:val="single" w:sz="4" w:space="0" w:color="000000"/>
        <w:right w:val="single" w:sz="8" w:space="0" w:color="000000"/>
      </w:pBdr>
      <w:spacing w:before="100" w:beforeAutospacing="1" w:after="100" w:afterAutospacing="1"/>
      <w:ind w:firstLine="567"/>
      <w:jc w:val="center"/>
    </w:pPr>
    <w:rPr>
      <w:rFonts w:ascii="Arial CYR" w:hAnsi="Arial CYR" w:cs="Arial CYR"/>
      <w:sz w:val="16"/>
      <w:szCs w:val="16"/>
    </w:rPr>
  </w:style>
  <w:style w:type="paragraph" w:customStyle="1" w:styleId="xl142">
    <w:name w:val="xl142"/>
    <w:basedOn w:val="aa"/>
    <w:uiPriority w:val="99"/>
    <w:pPr>
      <w:spacing w:before="100" w:beforeAutospacing="1" w:after="100" w:afterAutospacing="1"/>
      <w:ind w:firstLine="567"/>
    </w:pPr>
    <w:rPr>
      <w:rFonts w:ascii="Arial CYR" w:hAnsi="Arial CYR" w:cs="Arial CYR"/>
      <w:sz w:val="16"/>
      <w:szCs w:val="16"/>
    </w:rPr>
  </w:style>
  <w:style w:type="paragraph" w:customStyle="1" w:styleId="xl143">
    <w:name w:val="xl143"/>
    <w:basedOn w:val="aa"/>
    <w:uiPriority w:val="99"/>
    <w:pPr>
      <w:pBdr>
        <w:top w:val="single" w:sz="4" w:space="0" w:color="000000"/>
        <w:left w:val="single" w:sz="8" w:space="0" w:color="000000"/>
        <w:bottom w:val="single" w:sz="4" w:space="0" w:color="000000"/>
        <w:right w:val="single" w:sz="8" w:space="0" w:color="000000"/>
      </w:pBdr>
      <w:spacing w:before="100" w:beforeAutospacing="1" w:after="100" w:afterAutospacing="1"/>
      <w:ind w:firstLine="567"/>
    </w:pPr>
    <w:rPr>
      <w:rFonts w:ascii="Arial CYR" w:hAnsi="Arial CYR" w:cs="Arial CYR"/>
      <w:sz w:val="16"/>
      <w:szCs w:val="16"/>
    </w:rPr>
  </w:style>
  <w:style w:type="paragraph" w:customStyle="1" w:styleId="xl144">
    <w:name w:val="xl144"/>
    <w:basedOn w:val="aa"/>
    <w:uiPriority w:val="99"/>
    <w:pPr>
      <w:spacing w:before="100" w:beforeAutospacing="1" w:after="100" w:afterAutospacing="1"/>
      <w:ind w:firstLine="567"/>
    </w:pPr>
    <w:rPr>
      <w:rFonts w:ascii="Arial CYR" w:hAnsi="Arial CYR" w:cs="Arial CYR"/>
      <w:sz w:val="16"/>
      <w:szCs w:val="16"/>
    </w:rPr>
  </w:style>
  <w:style w:type="paragraph" w:customStyle="1" w:styleId="xl145">
    <w:name w:val="xl145"/>
    <w:basedOn w:val="aa"/>
    <w:uiPriority w:val="99"/>
    <w:pPr>
      <w:pBdr>
        <w:top w:val="single" w:sz="4" w:space="0" w:color="000000"/>
        <w:left w:val="single" w:sz="8" w:space="0" w:color="000000"/>
        <w:right w:val="single" w:sz="8" w:space="0" w:color="000000"/>
      </w:pBdr>
      <w:spacing w:before="100" w:beforeAutospacing="1" w:after="100" w:afterAutospacing="1"/>
      <w:ind w:firstLine="567"/>
    </w:pPr>
    <w:rPr>
      <w:rFonts w:ascii="Arial CYR" w:hAnsi="Arial CYR" w:cs="Arial CYR"/>
      <w:sz w:val="16"/>
      <w:szCs w:val="16"/>
    </w:rPr>
  </w:style>
  <w:style w:type="paragraph" w:customStyle="1" w:styleId="xl146">
    <w:name w:val="xl146"/>
    <w:basedOn w:val="aa"/>
    <w:uiPriority w:val="99"/>
    <w:pPr>
      <w:pBdr>
        <w:left w:val="single" w:sz="8" w:space="0" w:color="000000"/>
        <w:right w:val="single" w:sz="8" w:space="0" w:color="000000"/>
      </w:pBdr>
      <w:spacing w:before="100" w:beforeAutospacing="1" w:after="100" w:afterAutospacing="1"/>
      <w:ind w:firstLine="567"/>
    </w:pPr>
    <w:rPr>
      <w:rFonts w:ascii="Arial CYR" w:hAnsi="Arial CYR" w:cs="Arial CYR"/>
      <w:sz w:val="16"/>
      <w:szCs w:val="16"/>
    </w:rPr>
  </w:style>
  <w:style w:type="paragraph" w:customStyle="1" w:styleId="xl147">
    <w:name w:val="xl147"/>
    <w:basedOn w:val="aa"/>
    <w:uiPriority w:val="99"/>
    <w:pPr>
      <w:pBdr>
        <w:top w:val="single" w:sz="4" w:space="0" w:color="000000"/>
        <w:left w:val="single" w:sz="8" w:space="0" w:color="000000"/>
        <w:bottom w:val="single" w:sz="4" w:space="0" w:color="000000"/>
        <w:right w:val="single" w:sz="8" w:space="0" w:color="000000"/>
      </w:pBdr>
      <w:spacing w:before="100" w:beforeAutospacing="1" w:after="100" w:afterAutospacing="1"/>
      <w:ind w:firstLine="567"/>
    </w:pPr>
    <w:rPr>
      <w:rFonts w:ascii="Arial CYR" w:hAnsi="Arial CYR" w:cs="Arial CYR"/>
      <w:sz w:val="16"/>
      <w:szCs w:val="16"/>
    </w:rPr>
  </w:style>
  <w:style w:type="paragraph" w:customStyle="1" w:styleId="xl148">
    <w:name w:val="xl148"/>
    <w:basedOn w:val="aa"/>
    <w:uiPriority w:val="99"/>
    <w:pPr>
      <w:pBdr>
        <w:top w:val="single" w:sz="4" w:space="0" w:color="000000"/>
        <w:left w:val="single" w:sz="8" w:space="0" w:color="000000"/>
        <w:bottom w:val="single" w:sz="4" w:space="0" w:color="000000"/>
        <w:right w:val="single" w:sz="8" w:space="0" w:color="000000"/>
      </w:pBdr>
      <w:spacing w:before="100" w:beforeAutospacing="1" w:after="100" w:afterAutospacing="1"/>
      <w:ind w:firstLine="567"/>
      <w:jc w:val="center"/>
    </w:pPr>
    <w:rPr>
      <w:rFonts w:ascii="Arial CYR" w:hAnsi="Arial CYR" w:cs="Arial CYR"/>
      <w:sz w:val="16"/>
      <w:szCs w:val="16"/>
    </w:rPr>
  </w:style>
  <w:style w:type="paragraph" w:customStyle="1" w:styleId="xl149">
    <w:name w:val="xl149"/>
    <w:basedOn w:val="aa"/>
    <w:uiPriority w:val="99"/>
    <w:pPr>
      <w:pBdr>
        <w:top w:val="single" w:sz="4" w:space="0" w:color="000000"/>
        <w:left w:val="single" w:sz="8" w:space="0" w:color="000000"/>
        <w:bottom w:val="single" w:sz="8" w:space="0" w:color="000000"/>
        <w:right w:val="single" w:sz="8" w:space="0" w:color="000000"/>
      </w:pBdr>
      <w:spacing w:before="100" w:beforeAutospacing="1" w:after="100" w:afterAutospacing="1"/>
      <w:ind w:firstLine="567"/>
      <w:jc w:val="center"/>
    </w:pPr>
    <w:rPr>
      <w:rFonts w:ascii="Arial CYR" w:hAnsi="Arial CYR" w:cs="Arial CYR"/>
      <w:sz w:val="16"/>
      <w:szCs w:val="16"/>
    </w:rPr>
  </w:style>
  <w:style w:type="paragraph" w:customStyle="1" w:styleId="xl150">
    <w:name w:val="xl150"/>
    <w:basedOn w:val="aa"/>
    <w:uiPriority w:val="99"/>
    <w:pPr>
      <w:pBdr>
        <w:bottom w:val="single" w:sz="4" w:space="0" w:color="000000"/>
      </w:pBdr>
      <w:spacing w:before="100" w:beforeAutospacing="1" w:after="100" w:afterAutospacing="1"/>
      <w:ind w:firstLine="567"/>
    </w:pPr>
    <w:rPr>
      <w:rFonts w:ascii="Arial CYR" w:hAnsi="Arial CYR" w:cs="Arial CYR"/>
      <w:sz w:val="16"/>
      <w:szCs w:val="16"/>
    </w:rPr>
  </w:style>
  <w:style w:type="paragraph" w:customStyle="1" w:styleId="xl151">
    <w:name w:val="xl151"/>
    <w:basedOn w:val="aa"/>
    <w:uiPriority w:val="99"/>
    <w:pPr>
      <w:pBdr>
        <w:top w:val="single" w:sz="4" w:space="0" w:color="000000"/>
        <w:right w:val="single" w:sz="4" w:space="0" w:color="000000"/>
      </w:pBdr>
      <w:spacing w:before="100" w:beforeAutospacing="1" w:after="100" w:afterAutospacing="1"/>
      <w:ind w:firstLine="567"/>
    </w:pPr>
    <w:rPr>
      <w:rFonts w:ascii="Arial CYR" w:hAnsi="Arial CYR" w:cs="Arial CYR"/>
      <w:sz w:val="16"/>
      <w:szCs w:val="16"/>
    </w:rPr>
  </w:style>
  <w:style w:type="paragraph" w:customStyle="1" w:styleId="xl152">
    <w:name w:val="xl152"/>
    <w:basedOn w:val="aa"/>
    <w:uiPriority w:val="99"/>
    <w:pPr>
      <w:pBdr>
        <w:right w:val="single" w:sz="4" w:space="0" w:color="000000"/>
      </w:pBdr>
      <w:spacing w:before="100" w:beforeAutospacing="1" w:after="100" w:afterAutospacing="1"/>
      <w:ind w:firstLine="567"/>
    </w:pPr>
    <w:rPr>
      <w:rFonts w:ascii="Arial CYR" w:hAnsi="Arial CYR" w:cs="Arial CYR"/>
      <w:sz w:val="16"/>
      <w:szCs w:val="16"/>
    </w:rPr>
  </w:style>
  <w:style w:type="paragraph" w:customStyle="1" w:styleId="xl153">
    <w:name w:val="xl153"/>
    <w:basedOn w:val="aa"/>
    <w:uiPriority w:val="99"/>
    <w:pPr>
      <w:pBdr>
        <w:bottom w:val="single" w:sz="4" w:space="0" w:color="000000"/>
      </w:pBdr>
      <w:spacing w:before="100" w:beforeAutospacing="1" w:after="100" w:afterAutospacing="1"/>
      <w:ind w:firstLine="567"/>
    </w:pPr>
    <w:rPr>
      <w:rFonts w:ascii="Arial CYR" w:hAnsi="Arial CYR" w:cs="Arial CYR"/>
      <w:sz w:val="16"/>
      <w:szCs w:val="16"/>
    </w:rPr>
  </w:style>
  <w:style w:type="paragraph" w:customStyle="1" w:styleId="xl154">
    <w:name w:val="xl154"/>
    <w:basedOn w:val="aa"/>
    <w:uiPriority w:val="99"/>
    <w:pPr>
      <w:pBdr>
        <w:left w:val="single" w:sz="4" w:space="0" w:color="000000"/>
        <w:bottom w:val="single" w:sz="4" w:space="0" w:color="000000"/>
        <w:right w:val="single" w:sz="8" w:space="0" w:color="000000"/>
      </w:pBdr>
      <w:spacing w:before="100" w:beforeAutospacing="1" w:after="100" w:afterAutospacing="1"/>
      <w:ind w:firstLine="567"/>
      <w:jc w:val="center"/>
    </w:pPr>
    <w:rPr>
      <w:rFonts w:ascii="Arial CYR" w:hAnsi="Arial CYR" w:cs="Arial CYR"/>
      <w:sz w:val="16"/>
      <w:szCs w:val="16"/>
    </w:rPr>
  </w:style>
  <w:style w:type="paragraph" w:customStyle="1" w:styleId="xl155">
    <w:name w:val="xl155"/>
    <w:basedOn w:val="aa"/>
    <w:uiPriority w:val="99"/>
    <w:pPr>
      <w:pBdr>
        <w:left w:val="single" w:sz="4" w:space="0" w:color="000000"/>
        <w:right w:val="single" w:sz="8" w:space="0" w:color="000000"/>
      </w:pBdr>
      <w:spacing w:before="100" w:beforeAutospacing="1" w:after="100" w:afterAutospacing="1"/>
      <w:ind w:firstLine="567"/>
      <w:jc w:val="center"/>
    </w:pPr>
    <w:rPr>
      <w:rFonts w:ascii="Arial CYR" w:hAnsi="Arial CYR" w:cs="Arial CYR"/>
      <w:sz w:val="16"/>
      <w:szCs w:val="16"/>
    </w:rPr>
  </w:style>
  <w:style w:type="paragraph" w:customStyle="1" w:styleId="xl156">
    <w:name w:val="xl156"/>
    <w:basedOn w:val="aa"/>
    <w:uiPriority w:val="99"/>
    <w:pPr>
      <w:pBdr>
        <w:bottom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57">
    <w:name w:val="xl157"/>
    <w:basedOn w:val="aa"/>
    <w:uiPriority w:val="99"/>
    <w:pPr>
      <w:pBdr>
        <w:bottom w:val="single" w:sz="4"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58">
    <w:name w:val="xl158"/>
    <w:basedOn w:val="aa"/>
    <w:uiPriority w:val="99"/>
    <w:pPr>
      <w:pBdr>
        <w:bottom w:val="single" w:sz="4" w:space="0" w:color="000000"/>
        <w:right w:val="single" w:sz="8" w:space="0" w:color="000000"/>
      </w:pBdr>
      <w:spacing w:before="100" w:beforeAutospacing="1" w:after="100" w:afterAutospacing="1"/>
      <w:ind w:firstLine="567"/>
    </w:pPr>
    <w:rPr>
      <w:rFonts w:ascii="Arial CYR" w:hAnsi="Arial CYR" w:cs="Arial CYR"/>
      <w:sz w:val="16"/>
      <w:szCs w:val="16"/>
    </w:rPr>
  </w:style>
  <w:style w:type="paragraph" w:customStyle="1" w:styleId="xl159">
    <w:name w:val="xl159"/>
    <w:basedOn w:val="aa"/>
    <w:uiPriority w:val="99"/>
    <w:pPr>
      <w:spacing w:before="100" w:beforeAutospacing="1" w:after="100" w:afterAutospacing="1"/>
      <w:ind w:firstLine="567"/>
    </w:pPr>
    <w:rPr>
      <w:rFonts w:ascii="Arial CYR" w:hAnsi="Arial CYR" w:cs="Arial CYR"/>
      <w:szCs w:val="24"/>
    </w:rPr>
  </w:style>
  <w:style w:type="paragraph" w:customStyle="1" w:styleId="xl160">
    <w:name w:val="xl160"/>
    <w:basedOn w:val="aa"/>
    <w:uiPriority w:val="99"/>
    <w:pPr>
      <w:spacing w:before="100" w:beforeAutospacing="1" w:after="100" w:afterAutospacing="1"/>
      <w:ind w:firstLine="567"/>
    </w:pPr>
    <w:rPr>
      <w:rFonts w:ascii="Arial CYR" w:hAnsi="Arial CYR" w:cs="Arial CYR"/>
      <w:szCs w:val="24"/>
    </w:rPr>
  </w:style>
  <w:style w:type="paragraph" w:customStyle="1" w:styleId="xl161">
    <w:name w:val="xl161"/>
    <w:basedOn w:val="aa"/>
    <w:uiPriority w:val="99"/>
    <w:pPr>
      <w:spacing w:before="100" w:beforeAutospacing="1" w:after="100" w:afterAutospacing="1"/>
      <w:ind w:firstLine="567"/>
    </w:pPr>
    <w:rPr>
      <w:rFonts w:ascii="Arial CYR" w:hAnsi="Arial CYR" w:cs="Arial CYR"/>
      <w:szCs w:val="24"/>
    </w:rPr>
  </w:style>
  <w:style w:type="paragraph" w:customStyle="1" w:styleId="xl162">
    <w:name w:val="xl162"/>
    <w:basedOn w:val="aa"/>
    <w:uiPriority w:val="99"/>
    <w:pPr>
      <w:spacing w:before="100" w:beforeAutospacing="1" w:after="100" w:afterAutospacing="1"/>
      <w:ind w:firstLine="567"/>
    </w:pPr>
    <w:rPr>
      <w:rFonts w:ascii="Arial CYR" w:hAnsi="Arial CYR" w:cs="Arial CYR"/>
      <w:szCs w:val="24"/>
    </w:rPr>
  </w:style>
  <w:style w:type="paragraph" w:customStyle="1" w:styleId="xl163">
    <w:name w:val="xl163"/>
    <w:basedOn w:val="aa"/>
    <w:uiPriority w:val="99"/>
    <w:pPr>
      <w:pBdr>
        <w:top w:val="single" w:sz="4"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64">
    <w:name w:val="xl164"/>
    <w:basedOn w:val="aa"/>
    <w:uiPriority w:val="99"/>
    <w:pPr>
      <w:pBdr>
        <w:right w:val="single" w:sz="4" w:space="0" w:color="000000"/>
      </w:pBdr>
      <w:spacing w:before="100" w:beforeAutospacing="1" w:after="100" w:afterAutospacing="1"/>
      <w:ind w:firstLine="567"/>
      <w:jc w:val="center"/>
    </w:pPr>
    <w:rPr>
      <w:rFonts w:ascii="Arial CYR" w:hAnsi="Arial CYR" w:cs="Arial CYR"/>
      <w:szCs w:val="24"/>
    </w:rPr>
  </w:style>
  <w:style w:type="paragraph" w:customStyle="1" w:styleId="xl165">
    <w:name w:val="xl165"/>
    <w:basedOn w:val="aa"/>
    <w:uiPriority w:val="99"/>
    <w:pPr>
      <w:pBdr>
        <w:bottom w:val="single" w:sz="4" w:space="0" w:color="000000"/>
        <w:right w:val="single" w:sz="4" w:space="0" w:color="000000"/>
      </w:pBdr>
      <w:spacing w:before="100" w:beforeAutospacing="1" w:after="100" w:afterAutospacing="1"/>
      <w:ind w:firstLine="567"/>
      <w:jc w:val="center"/>
    </w:pPr>
    <w:rPr>
      <w:rFonts w:ascii="Arial CYR" w:hAnsi="Arial CYR" w:cs="Arial CYR"/>
      <w:szCs w:val="24"/>
    </w:rPr>
  </w:style>
  <w:style w:type="paragraph" w:customStyle="1" w:styleId="xl166">
    <w:name w:val="xl166"/>
    <w:basedOn w:val="aa"/>
    <w:uiPriority w:val="99"/>
    <w:pPr>
      <w:pBdr>
        <w:top w:val="single" w:sz="4" w:space="0" w:color="000000"/>
        <w:left w:val="single" w:sz="4"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67">
    <w:name w:val="xl167"/>
    <w:basedOn w:val="aa"/>
    <w:uiPriority w:val="99"/>
    <w:pPr>
      <w:pBdr>
        <w:left w:val="single" w:sz="4" w:space="0" w:color="000000"/>
        <w:right w:val="single" w:sz="4" w:space="0" w:color="000000"/>
      </w:pBdr>
      <w:spacing w:before="100" w:beforeAutospacing="1" w:after="100" w:afterAutospacing="1"/>
      <w:ind w:firstLine="567"/>
      <w:jc w:val="center"/>
    </w:pPr>
    <w:rPr>
      <w:rFonts w:ascii="Arial CYR" w:hAnsi="Arial CYR" w:cs="Arial CYR"/>
      <w:szCs w:val="24"/>
    </w:rPr>
  </w:style>
  <w:style w:type="paragraph" w:customStyle="1" w:styleId="xl168">
    <w:name w:val="xl168"/>
    <w:basedOn w:val="aa"/>
    <w:uiPriority w:val="99"/>
    <w:pPr>
      <w:pBdr>
        <w:left w:val="single" w:sz="4" w:space="0" w:color="000000"/>
        <w:bottom w:val="single" w:sz="4" w:space="0" w:color="000000"/>
        <w:right w:val="single" w:sz="4" w:space="0" w:color="000000"/>
      </w:pBdr>
      <w:spacing w:before="100" w:beforeAutospacing="1" w:after="100" w:afterAutospacing="1"/>
      <w:ind w:firstLine="567"/>
      <w:jc w:val="center"/>
    </w:pPr>
    <w:rPr>
      <w:rFonts w:ascii="Arial CYR" w:hAnsi="Arial CYR" w:cs="Arial CYR"/>
      <w:szCs w:val="24"/>
    </w:rPr>
  </w:style>
  <w:style w:type="paragraph" w:customStyle="1" w:styleId="xl169">
    <w:name w:val="xl169"/>
    <w:basedOn w:val="aa"/>
    <w:uiPriority w:val="99"/>
    <w:pPr>
      <w:pBdr>
        <w:top w:val="single" w:sz="4" w:space="0" w:color="000000"/>
        <w:left w:val="single" w:sz="4" w:space="0" w:color="000000"/>
        <w:bottom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70">
    <w:name w:val="xl170"/>
    <w:basedOn w:val="aa"/>
    <w:uiPriority w:val="99"/>
    <w:pPr>
      <w:pBdr>
        <w:top w:val="single" w:sz="4" w:space="0" w:color="000000"/>
        <w:bottom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71">
    <w:name w:val="xl171"/>
    <w:basedOn w:val="aa"/>
    <w:uiPriority w:val="99"/>
    <w:pPr>
      <w:pBdr>
        <w:top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72">
    <w:name w:val="xl172"/>
    <w:basedOn w:val="aa"/>
    <w:uiPriority w:val="99"/>
    <w:pPr>
      <w:pBdr>
        <w:top w:val="single" w:sz="4" w:space="0" w:color="000000"/>
        <w:lef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73">
    <w:name w:val="xl173"/>
    <w:basedOn w:val="aa"/>
    <w:uiPriority w:val="99"/>
    <w:pPr>
      <w:pBdr>
        <w:lef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74">
    <w:name w:val="xl174"/>
    <w:basedOn w:val="aa"/>
    <w:uiPriority w:val="99"/>
    <w:pPr>
      <w:pBdr>
        <w:left w:val="single" w:sz="4" w:space="0" w:color="000000"/>
        <w:bottom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75">
    <w:name w:val="xl175"/>
    <w:basedOn w:val="aa"/>
    <w:uiPriority w:val="99"/>
    <w:pPr>
      <w:pBdr>
        <w:left w:val="single" w:sz="4" w:space="0" w:color="000000"/>
        <w:bottom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76">
    <w:name w:val="xl176"/>
    <w:basedOn w:val="aa"/>
    <w:uiPriority w:val="99"/>
    <w:pPr>
      <w:pBdr>
        <w:bottom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77">
    <w:name w:val="xl177"/>
    <w:basedOn w:val="aa"/>
    <w:uiPriority w:val="99"/>
    <w:pPr>
      <w:spacing w:before="100" w:beforeAutospacing="1" w:after="100" w:afterAutospacing="1"/>
      <w:ind w:firstLine="567"/>
      <w:jc w:val="center"/>
    </w:pPr>
    <w:rPr>
      <w:rFonts w:ascii="Arial CYR" w:hAnsi="Arial CYR" w:cs="Arial CYR"/>
      <w:b/>
      <w:bCs/>
      <w:szCs w:val="24"/>
    </w:rPr>
  </w:style>
  <w:style w:type="paragraph" w:customStyle="1" w:styleId="xl178">
    <w:name w:val="xl178"/>
    <w:basedOn w:val="aa"/>
    <w:uiPriority w:val="99"/>
    <w:pPr>
      <w:spacing w:before="100" w:beforeAutospacing="1" w:after="100" w:afterAutospacing="1"/>
      <w:ind w:firstLine="567"/>
      <w:jc w:val="center"/>
    </w:pPr>
    <w:rPr>
      <w:rFonts w:ascii="Arial CYR" w:hAnsi="Arial CYR" w:cs="Arial CYR"/>
      <w:szCs w:val="24"/>
    </w:rPr>
  </w:style>
  <w:style w:type="paragraph" w:customStyle="1" w:styleId="xl179">
    <w:name w:val="xl179"/>
    <w:basedOn w:val="aa"/>
    <w:uiPriority w:val="99"/>
    <w:pPr>
      <w:pBdr>
        <w:right w:val="single" w:sz="4" w:space="0" w:color="000000"/>
      </w:pBdr>
      <w:spacing w:before="100" w:beforeAutospacing="1" w:after="100" w:afterAutospacing="1"/>
      <w:ind w:firstLine="567"/>
      <w:jc w:val="center"/>
    </w:pPr>
    <w:rPr>
      <w:rFonts w:ascii="Arial CYR" w:hAnsi="Arial CYR" w:cs="Arial CYR"/>
      <w:b/>
      <w:bCs/>
      <w:szCs w:val="24"/>
    </w:rPr>
  </w:style>
  <w:style w:type="character" w:customStyle="1" w:styleId="2110">
    <w:name w:val="Знак Знак211"/>
    <w:uiPriority w:val="99"/>
    <w:rPr>
      <w:spacing w:val="-12"/>
      <w:sz w:val="28"/>
    </w:rPr>
  </w:style>
  <w:style w:type="paragraph" w:customStyle="1" w:styleId="2ff9">
    <w:name w:val="Заголовок оглавления2"/>
    <w:basedOn w:val="aa"/>
    <w:next w:val="afd"/>
    <w:uiPriority w:val="99"/>
    <w:pPr>
      <w:keepNext/>
      <w:keepLines/>
      <w:pageBreakBefore/>
      <w:spacing w:after="240" w:line="360" w:lineRule="auto"/>
      <w:ind w:firstLine="567"/>
      <w:jc w:val="center"/>
    </w:pPr>
    <w:rPr>
      <w:rFonts w:ascii="Arial" w:hAnsi="Arial" w:cs="Arial"/>
      <w:b/>
      <w:bCs/>
      <w:smallCaps/>
      <w:sz w:val="32"/>
      <w:szCs w:val="32"/>
      <w:lang w:eastAsia="en-US"/>
    </w:rPr>
  </w:style>
  <w:style w:type="paragraph" w:customStyle="1" w:styleId="CharCharCharChar1">
    <w:name w:val="Char Char Знак Знак Char Char1"/>
    <w:basedOn w:val="aa"/>
    <w:next w:val="aa"/>
    <w:uiPriority w:val="99"/>
    <w:semiHidden/>
    <w:pPr>
      <w:spacing w:after="160" w:line="240" w:lineRule="exact"/>
      <w:ind w:firstLine="567"/>
    </w:pPr>
    <w:rPr>
      <w:rFonts w:ascii="Arial" w:hAnsi="Arial" w:cs="Arial"/>
      <w:lang w:val="en-US" w:eastAsia="en-US"/>
    </w:rPr>
  </w:style>
  <w:style w:type="character" w:customStyle="1" w:styleId="pi1">
    <w:name w:val="pi1"/>
    <w:rPr>
      <w:color w:val="0000FF"/>
    </w:rPr>
  </w:style>
  <w:style w:type="character" w:customStyle="1" w:styleId="1fff1">
    <w:name w:val="Основной текст Знак1"/>
  </w:style>
  <w:style w:type="character" w:customStyle="1" w:styleId="1fff2">
    <w:name w:val="Неразрешенное упоминание1"/>
    <w:uiPriority w:val="99"/>
    <w:semiHidden/>
    <w:unhideWhenUsed/>
    <w:rPr>
      <w:color w:val="808080"/>
      <w:shd w:val="clear" w:color="auto" w:fill="E6E6E6"/>
    </w:rPr>
  </w:style>
  <w:style w:type="paragraph" w:customStyle="1" w:styleId="ASFKCode">
    <w:name w:val="_ASFK_Code"/>
    <w:pPr>
      <w:shd w:val="clear" w:color="auto" w:fill="E6E6E6"/>
      <w:spacing w:before="120" w:after="120"/>
      <w:ind w:left="567" w:right="567" w:firstLine="567"/>
      <w:contextualSpacing/>
    </w:pPr>
    <w:rPr>
      <w:rFonts w:ascii="Courier New" w:eastAsia="Times New Roman" w:hAnsi="Courier New"/>
    </w:rPr>
  </w:style>
  <w:style w:type="paragraph" w:customStyle="1" w:styleId="ASFKTitulfooter">
    <w:name w:val="_ASFK_Titul_footer"/>
    <w:pPr>
      <w:jc w:val="center"/>
    </w:pPr>
    <w:rPr>
      <w:rFonts w:ascii="Times New Roman" w:eastAsia="Times New Roman" w:hAnsi="Times New Roman"/>
      <w:color w:val="292929"/>
      <w:sz w:val="28"/>
    </w:rPr>
  </w:style>
  <w:style w:type="paragraph" w:customStyle="1" w:styleId="ASFKTitulheader">
    <w:name w:val="_ASFK_Titul_header"/>
    <w:pPr>
      <w:jc w:val="center"/>
    </w:pPr>
    <w:rPr>
      <w:rFonts w:ascii="Arial" w:eastAsia="Times New Roman" w:hAnsi="Arial"/>
      <w:b/>
      <w:caps/>
      <w:color w:val="404040"/>
      <w:sz w:val="24"/>
    </w:rPr>
  </w:style>
  <w:style w:type="paragraph" w:customStyle="1" w:styleId="12">
    <w:name w:val="Заг_1_Приложение_нумерованный"/>
    <w:basedOn w:val="10"/>
    <w:next w:val="GOSTNormal"/>
    <w:link w:val="1fff3"/>
    <w:qFormat/>
    <w:pPr>
      <w:pageBreakBefore w:val="0"/>
      <w:numPr>
        <w:numId w:val="91"/>
      </w:numPr>
      <w:tabs>
        <w:tab w:val="clear" w:pos="567"/>
      </w:tabs>
      <w:jc w:val="left"/>
    </w:pPr>
    <w:rPr>
      <w:caps w:val="0"/>
      <w:sz w:val="28"/>
    </w:rPr>
  </w:style>
  <w:style w:type="character" w:customStyle="1" w:styleId="1fff3">
    <w:name w:val="Заг_1_Приложение_нумерованный Знак"/>
    <w:link w:val="12"/>
    <w:rPr>
      <w:rFonts w:ascii="Times New Roman" w:eastAsia="Times New Roman" w:hAnsi="Times New Roman"/>
      <w:b/>
      <w:sz w:val="28"/>
      <w:szCs w:val="36"/>
    </w:rPr>
  </w:style>
  <w:style w:type="paragraph" w:customStyle="1" w:styleId="23">
    <w:name w:val="Заг_2_Приложение_нумерованный"/>
    <w:basedOn w:val="12"/>
    <w:next w:val="GOSTNormal"/>
    <w:link w:val="2ffa"/>
    <w:qFormat/>
    <w:pPr>
      <w:numPr>
        <w:ilvl w:val="1"/>
      </w:numPr>
      <w:ind w:left="284" w:firstLine="0"/>
    </w:pPr>
  </w:style>
  <w:style w:type="character" w:customStyle="1" w:styleId="2ffa">
    <w:name w:val="Заг_2_Приложение_нумерованный Знак"/>
    <w:link w:val="23"/>
    <w:rPr>
      <w:rFonts w:ascii="Times New Roman" w:eastAsia="Times New Roman" w:hAnsi="Times New Roman"/>
      <w:b/>
      <w:sz w:val="28"/>
      <w:szCs w:val="36"/>
    </w:rPr>
  </w:style>
  <w:style w:type="character" w:customStyle="1" w:styleId="1fff4">
    <w:name w:val="Дата1"/>
  </w:style>
  <w:style w:type="character" w:customStyle="1" w:styleId="affffffff0">
    <w:name w:val="Выделение курсивом"/>
    <w:qFormat/>
    <w:rPr>
      <w:i/>
    </w:rPr>
  </w:style>
  <w:style w:type="paragraph" w:customStyle="1" w:styleId="-">
    <w:name w:val="Таблица - наименование"/>
    <w:basedOn w:val="aa"/>
    <w:semiHidden/>
    <w:qFormat/>
    <w:pPr>
      <w:keepNext/>
      <w:spacing w:before="120" w:after="60"/>
      <w:ind w:firstLine="567"/>
      <w:jc w:val="left"/>
    </w:pPr>
    <w:rPr>
      <w:sz w:val="28"/>
    </w:rPr>
  </w:style>
  <w:style w:type="character" w:customStyle="1" w:styleId="3f9">
    <w:name w:val="Пункт 3 уровня Знак"/>
    <w:link w:val="3f8"/>
    <w:rPr>
      <w:rFonts w:ascii="Times New Roman" w:eastAsia="Times New Roman" w:hAnsi="Times New Roman" w:cs="Arial"/>
      <w:iCs/>
      <w:sz w:val="24"/>
      <w:szCs w:val="26"/>
    </w:rPr>
  </w:style>
  <w:style w:type="paragraph" w:customStyle="1" w:styleId="affffffff1">
    <w:name w:val="Заголовки без нумерации"/>
    <w:basedOn w:val="10"/>
    <w:next w:val="afd"/>
    <w:semiHidden/>
    <w:pPr>
      <w:numPr>
        <w:numId w:val="0"/>
      </w:numPr>
      <w:spacing w:after="120"/>
    </w:pPr>
    <w:rPr>
      <w:rFonts w:ascii="Arial" w:hAnsi="Arial"/>
    </w:rPr>
  </w:style>
  <w:style w:type="paragraph" w:customStyle="1" w:styleId="10-">
    <w:name w:val="Таблица (10) - осн. текст"/>
    <w:basedOn w:val="aa"/>
    <w:semiHidden/>
    <w:pPr>
      <w:spacing w:after="60"/>
      <w:ind w:firstLine="5"/>
      <w:jc w:val="left"/>
    </w:pPr>
    <w:rPr>
      <w:rFonts w:ascii="Arial" w:hAnsi="Arial"/>
      <w:sz w:val="20"/>
    </w:rPr>
  </w:style>
  <w:style w:type="paragraph" w:customStyle="1" w:styleId="10-1">
    <w:name w:val="Таблица (10) - список нум. 1"/>
    <w:basedOn w:val="10-"/>
    <w:semiHidden/>
    <w:pPr>
      <w:ind w:left="227" w:hanging="227"/>
    </w:pPr>
    <w:rPr>
      <w:rFonts w:cs="Arial"/>
    </w:rPr>
  </w:style>
  <w:style w:type="paragraph" w:customStyle="1" w:styleId="1">
    <w:name w:val="Список маркированный уровень 1"/>
    <w:basedOn w:val="aa"/>
    <w:pPr>
      <w:keepLines/>
      <w:numPr>
        <w:numId w:val="92"/>
      </w:numPr>
      <w:spacing w:before="120" w:after="120"/>
    </w:pPr>
    <w:rPr>
      <w:sz w:val="28"/>
    </w:rPr>
  </w:style>
  <w:style w:type="paragraph" w:customStyle="1" w:styleId="20">
    <w:name w:val="Список маркированный уровень 2"/>
    <w:basedOn w:val="aa"/>
    <w:semiHidden/>
    <w:pPr>
      <w:numPr>
        <w:numId w:val="94"/>
      </w:numPr>
      <w:tabs>
        <w:tab w:val="clear" w:pos="567"/>
        <w:tab w:val="left" w:pos="-2127"/>
      </w:tabs>
      <w:spacing w:before="120" w:after="120"/>
      <w:ind w:left="1276" w:hanging="284"/>
    </w:pPr>
    <w:rPr>
      <w:sz w:val="28"/>
    </w:rPr>
  </w:style>
  <w:style w:type="paragraph" w:customStyle="1" w:styleId="a7">
    <w:name w:val="Список нумерованный"/>
    <w:basedOn w:val="aa"/>
    <w:semiHidden/>
    <w:pPr>
      <w:numPr>
        <w:numId w:val="93"/>
      </w:numPr>
      <w:tabs>
        <w:tab w:val="clear" w:pos="1418"/>
      </w:tabs>
      <w:spacing w:before="120" w:after="120"/>
      <w:ind w:left="992" w:hanging="425"/>
    </w:pPr>
    <w:rPr>
      <w:sz w:val="28"/>
    </w:rPr>
  </w:style>
  <w:style w:type="paragraph" w:customStyle="1" w:styleId="10-10">
    <w:name w:val="Таблица (10) - сп.марк.ур.1"/>
    <w:basedOn w:val="10-"/>
    <w:semiHidden/>
    <w:pPr>
      <w:tabs>
        <w:tab w:val="num" w:pos="171"/>
      </w:tabs>
      <w:ind w:left="170" w:hanging="170"/>
    </w:pPr>
  </w:style>
  <w:style w:type="paragraph" w:customStyle="1" w:styleId="10-2">
    <w:name w:val="Таблица (10) - сп.марк.ур.2"/>
    <w:basedOn w:val="10-"/>
    <w:semiHidden/>
    <w:pPr>
      <w:numPr>
        <w:numId w:val="95"/>
      </w:numPr>
      <w:tabs>
        <w:tab w:val="clear" w:pos="1032"/>
        <w:tab w:val="num" w:pos="342"/>
      </w:tabs>
      <w:ind w:left="340" w:hanging="170"/>
    </w:pPr>
  </w:style>
  <w:style w:type="paragraph" w:customStyle="1" w:styleId="affffffff2">
    <w:name w:val="Заголовок приложения"/>
    <w:basedOn w:val="10"/>
    <w:next w:val="aa"/>
    <w:semiHidden/>
    <w:pPr>
      <w:numPr>
        <w:numId w:val="0"/>
      </w:numPr>
      <w:spacing w:before="0"/>
      <w:jc w:val="right"/>
    </w:pPr>
  </w:style>
  <w:style w:type="paragraph" w:customStyle="1" w:styleId="affffffff3">
    <w:name w:val="Основной текст (центр/одинарный)"/>
    <w:basedOn w:val="afd"/>
    <w:link w:val="affffffff4"/>
    <w:semiHidden/>
    <w:pPr>
      <w:spacing w:before="120" w:after="120"/>
      <w:jc w:val="center"/>
    </w:pPr>
    <w:rPr>
      <w:color w:val="000000"/>
      <w:sz w:val="28"/>
    </w:rPr>
  </w:style>
  <w:style w:type="character" w:customStyle="1" w:styleId="affffffff4">
    <w:name w:val="Основной текст (центр/одинарный) Знак"/>
    <w:link w:val="affffffff3"/>
    <w:semiHidden/>
    <w:rPr>
      <w:rFonts w:ascii="Times New Roman" w:eastAsia="Times New Roman" w:hAnsi="Times New Roman"/>
      <w:color w:val="000000"/>
      <w:sz w:val="28"/>
    </w:rPr>
  </w:style>
  <w:style w:type="paragraph" w:customStyle="1" w:styleId="3fa">
    <w:name w:val="Список маркированный уровень 3"/>
    <w:basedOn w:val="aa"/>
    <w:semiHidden/>
    <w:pPr>
      <w:tabs>
        <w:tab w:val="num" w:pos="432"/>
      </w:tabs>
      <w:ind w:left="432" w:hanging="432"/>
    </w:pPr>
    <w:rPr>
      <w:sz w:val="28"/>
    </w:rPr>
  </w:style>
  <w:style w:type="paragraph" w:customStyle="1" w:styleId="affffffff5">
    <w:name w:val="Основной текст (без отступа)"/>
    <w:basedOn w:val="afd"/>
    <w:semiHidden/>
    <w:pPr>
      <w:spacing w:before="120" w:after="120"/>
    </w:pPr>
    <w:rPr>
      <w:sz w:val="28"/>
    </w:rPr>
  </w:style>
  <w:style w:type="paragraph" w:customStyle="1" w:styleId="-0">
    <w:name w:val="Рисунок - наименование"/>
    <w:basedOn w:val="aa"/>
    <w:semiHidden/>
    <w:pPr>
      <w:spacing w:before="120" w:after="120"/>
      <w:ind w:firstLine="567"/>
      <w:jc w:val="center"/>
    </w:pPr>
    <w:rPr>
      <w:bCs/>
      <w:sz w:val="28"/>
    </w:rPr>
  </w:style>
  <w:style w:type="paragraph" w:customStyle="1" w:styleId="8-">
    <w:name w:val="Таблица (8) - осн. текст"/>
    <w:basedOn w:val="aa"/>
    <w:semiHidden/>
    <w:pPr>
      <w:ind w:left="57" w:right="57" w:firstLine="567"/>
      <w:jc w:val="left"/>
    </w:pPr>
    <w:rPr>
      <w:rFonts w:ascii="Arial" w:hAnsi="Arial" w:cs="Arial"/>
      <w:sz w:val="16"/>
    </w:rPr>
  </w:style>
  <w:style w:type="paragraph" w:customStyle="1" w:styleId="affffffff6">
    <w:name w:val="Список общий (ручная нумерация)"/>
    <w:basedOn w:val="afd"/>
    <w:next w:val="aa"/>
    <w:semiHidden/>
    <w:pPr>
      <w:spacing w:before="120" w:after="120"/>
      <w:ind w:left="851" w:hanging="284"/>
    </w:pPr>
  </w:style>
  <w:style w:type="paragraph" w:customStyle="1" w:styleId="affffffff7">
    <w:name w:val="Нумерация"/>
    <w:basedOn w:val="aa"/>
    <w:semiHidden/>
    <w:pPr>
      <w:tabs>
        <w:tab w:val="num" w:pos="926"/>
        <w:tab w:val="left" w:pos="1134"/>
      </w:tabs>
      <w:spacing w:line="500" w:lineRule="exact"/>
      <w:ind w:left="924" w:hanging="357"/>
      <w:jc w:val="left"/>
    </w:pPr>
    <w:rPr>
      <w:rFonts w:ascii="Arial" w:hAnsi="Arial"/>
    </w:rPr>
  </w:style>
  <w:style w:type="paragraph" w:customStyle="1" w:styleId="3fb">
    <w:name w:val="Пункт 3 уровня без нумерации"/>
    <w:basedOn w:val="3f8"/>
    <w:semiHidden/>
  </w:style>
  <w:style w:type="paragraph" w:customStyle="1" w:styleId="-9">
    <w:name w:val="Титльный лист - заголовок документа"/>
    <w:basedOn w:val="aa"/>
    <w:semiHidden/>
    <w:pPr>
      <w:ind w:firstLine="567"/>
      <w:jc w:val="center"/>
    </w:pPr>
    <w:rPr>
      <w:rFonts w:ascii="Arial" w:hAnsi="Arial"/>
      <w:b/>
      <w:sz w:val="36"/>
    </w:rPr>
  </w:style>
  <w:style w:type="paragraph" w:customStyle="1" w:styleId="-a">
    <w:name w:val="Титульный лист - название документа"/>
    <w:basedOn w:val="-9"/>
    <w:link w:val="-b"/>
    <w:semiHidden/>
  </w:style>
  <w:style w:type="character" w:customStyle="1" w:styleId="-b">
    <w:name w:val="Титульный лист - название документа Знак"/>
    <w:link w:val="-a"/>
    <w:semiHidden/>
    <w:rPr>
      <w:rFonts w:ascii="Arial" w:eastAsia="Times New Roman" w:hAnsi="Arial"/>
      <w:b/>
      <w:sz w:val="36"/>
    </w:rPr>
  </w:style>
  <w:style w:type="paragraph" w:customStyle="1" w:styleId="12-">
    <w:name w:val="Таблица (12) - Заголовки"/>
    <w:basedOn w:val="affffffff5"/>
    <w:semiHidden/>
    <w:qFormat/>
  </w:style>
  <w:style w:type="paragraph" w:customStyle="1" w:styleId="12-0">
    <w:name w:val="Таблица (12) - осн. текст"/>
    <w:basedOn w:val="affffffff5"/>
    <w:semiHidden/>
    <w:qFormat/>
  </w:style>
  <w:style w:type="table" w:styleId="affffffff8">
    <w:name w:val="Light List"/>
    <w:basedOn w:val="ac"/>
    <w:uiPriority w:val="61"/>
    <w:rPr>
      <w:rFonts w:eastAsia="Times New Roman"/>
      <w:sz w:val="22"/>
      <w:szCs w:val="22"/>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sing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1fff5">
    <w:name w:val="я_Технический стиль 1 Знак"/>
    <w:link w:val="1fff6"/>
    <w:semiHidden/>
    <w:rPr>
      <w:rFonts w:ascii="Arial" w:hAnsi="Arial"/>
      <w:b/>
      <w:bCs/>
      <w:color w:val="000000"/>
      <w:sz w:val="24"/>
      <w:szCs w:val="24"/>
    </w:rPr>
  </w:style>
  <w:style w:type="paragraph" w:customStyle="1" w:styleId="1fff6">
    <w:name w:val="я_Технический стиль 1"/>
    <w:basedOn w:val="aa"/>
    <w:link w:val="1fff5"/>
    <w:semiHidden/>
    <w:qFormat/>
    <w:pPr>
      <w:pBdr>
        <w:bottom w:val="single" w:sz="12" w:space="1" w:color="000000"/>
      </w:pBdr>
      <w:ind w:left="142" w:right="140" w:firstLine="567"/>
      <w:jc w:val="center"/>
    </w:pPr>
    <w:rPr>
      <w:rFonts w:ascii="Arial" w:eastAsia="Calibri" w:hAnsi="Arial"/>
      <w:b/>
      <w:bCs/>
      <w:color w:val="000000"/>
      <w:szCs w:val="24"/>
    </w:rPr>
  </w:style>
  <w:style w:type="paragraph" w:customStyle="1" w:styleId="2ffb">
    <w:name w:val="я_Технический стиль 2"/>
    <w:basedOn w:val="aa"/>
    <w:link w:val="2ffc"/>
    <w:semiHidden/>
    <w:qFormat/>
    <w:pPr>
      <w:jc w:val="left"/>
    </w:pPr>
    <w:rPr>
      <w:u w:val="single"/>
    </w:rPr>
  </w:style>
  <w:style w:type="paragraph" w:customStyle="1" w:styleId="3fc">
    <w:name w:val="я_Технический стиль 3"/>
    <w:basedOn w:val="aa"/>
    <w:link w:val="3fd"/>
    <w:semiHidden/>
    <w:qFormat/>
    <w:pPr>
      <w:jc w:val="left"/>
    </w:pPr>
    <w:rPr>
      <w:rFonts w:ascii="Arial" w:hAnsi="Arial"/>
      <w:b/>
    </w:rPr>
  </w:style>
  <w:style w:type="character" w:customStyle="1" w:styleId="2ffc">
    <w:name w:val="я_Технический стиль 2 Знак"/>
    <w:link w:val="2ffb"/>
    <w:semiHidden/>
    <w:rPr>
      <w:rFonts w:ascii="Times New Roman" w:eastAsia="Times New Roman" w:hAnsi="Times New Roman"/>
      <w:sz w:val="24"/>
      <w:u w:val="single"/>
    </w:rPr>
  </w:style>
  <w:style w:type="character" w:customStyle="1" w:styleId="3fd">
    <w:name w:val="я_Технический стиль 3 Знак"/>
    <w:link w:val="3fc"/>
    <w:semiHidden/>
    <w:rPr>
      <w:rFonts w:ascii="Arial" w:eastAsia="Times New Roman" w:hAnsi="Arial"/>
      <w:b/>
      <w:sz w:val="24"/>
    </w:rPr>
  </w:style>
  <w:style w:type="character" w:customStyle="1" w:styleId="2ff6">
    <w:name w:val="Пункт 2 уровня Знак"/>
    <w:link w:val="25"/>
    <w:rPr>
      <w:rFonts w:ascii="Times New Roman" w:eastAsia="Times New Roman" w:hAnsi="Times New Roman" w:cs="Arial"/>
      <w:bCs/>
      <w:iCs/>
      <w:sz w:val="24"/>
      <w:szCs w:val="32"/>
      <w:lang w:val="en-US"/>
    </w:rPr>
  </w:style>
  <w:style w:type="paragraph" w:customStyle="1" w:styleId="a2">
    <w:name w:val="Список нумерованный (цифра с точкой)"/>
    <w:basedOn w:val="aa"/>
    <w:semiHidden/>
    <w:qFormat/>
    <w:pPr>
      <w:numPr>
        <w:numId w:val="96"/>
      </w:numPr>
      <w:spacing w:before="120" w:after="120"/>
      <w:ind w:left="426" w:hanging="426"/>
    </w:pPr>
    <w:rPr>
      <w:sz w:val="28"/>
      <w:szCs w:val="28"/>
    </w:rPr>
  </w:style>
  <w:style w:type="paragraph" w:customStyle="1" w:styleId="affffffff9">
    <w:name w:val="я_технический стиль &quot;перечень&quot;"/>
    <w:basedOn w:val="aa"/>
    <w:semiHidden/>
    <w:qFormat/>
    <w:pPr>
      <w:tabs>
        <w:tab w:val="right" w:leader="dot" w:pos="9627"/>
      </w:tabs>
      <w:spacing w:before="60" w:after="60"/>
      <w:ind w:firstLine="567"/>
    </w:pPr>
    <w:rPr>
      <w:sz w:val="28"/>
    </w:rPr>
  </w:style>
  <w:style w:type="character" w:customStyle="1" w:styleId="affffffffa">
    <w:name w:val="Выделение цветом (желтый)"/>
    <w:qFormat/>
    <w:rPr>
      <w:shd w:val="clear" w:color="auto" w:fill="FFFF00"/>
    </w:rPr>
  </w:style>
  <w:style w:type="character" w:customStyle="1" w:styleId="1fff7">
    <w:name w:val="Основной шрифт1"/>
    <w:semiHidden/>
  </w:style>
  <w:style w:type="character" w:customStyle="1" w:styleId="GOSTTableHead0">
    <w:name w:val="_GOST_Table_Head Знак"/>
    <w:link w:val="GOSTTableHead"/>
    <w:rPr>
      <w:rFonts w:ascii="Times New Roman" w:eastAsia="Times New Roman" w:hAnsi="Times New Roman"/>
      <w:b/>
      <w:bCs/>
      <w:sz w:val="22"/>
    </w:rPr>
  </w:style>
  <w:style w:type="paragraph" w:customStyle="1" w:styleId="117">
    <w:name w:val="11"/>
    <w:basedOn w:val="aa"/>
    <w:next w:val="af"/>
    <w:qFormat/>
    <w:pPr>
      <w:spacing w:before="240" w:after="60"/>
      <w:ind w:firstLine="567"/>
      <w:jc w:val="center"/>
      <w:outlineLvl w:val="0"/>
    </w:pPr>
    <w:rPr>
      <w:rFonts w:ascii="Arial" w:hAnsi="Arial" w:cs="Arial"/>
      <w:b/>
      <w:bCs/>
      <w:sz w:val="32"/>
      <w:szCs w:val="32"/>
    </w:rPr>
  </w:style>
  <w:style w:type="paragraph" w:customStyle="1" w:styleId="102">
    <w:name w:val="10"/>
    <w:basedOn w:val="aa"/>
    <w:next w:val="afff7"/>
    <w:pPr>
      <w:ind w:firstLine="567"/>
    </w:pPr>
  </w:style>
  <w:style w:type="character" w:customStyle="1" w:styleId="2ffd">
    <w:name w:val="Неразрешенное упоминание2"/>
    <w:basedOn w:val="ab"/>
    <w:uiPriority w:val="99"/>
    <w:semiHidden/>
    <w:rPr>
      <w:color w:val="605E5C"/>
      <w:shd w:val="clear" w:color="auto" w:fill="E1DFDD"/>
    </w:rPr>
  </w:style>
  <w:style w:type="character" w:customStyle="1" w:styleId="3fe">
    <w:name w:val="Неразрешенное упоминание3"/>
    <w:basedOn w:val="ab"/>
    <w:uiPriority w:val="99"/>
    <w:semiHidden/>
    <w:rPr>
      <w:color w:val="605E5C"/>
      <w:shd w:val="clear" w:color="auto" w:fill="E1DFDD"/>
    </w:rPr>
  </w:style>
  <w:style w:type="character" w:customStyle="1" w:styleId="4f2">
    <w:name w:val="Неразрешенное упоминание4"/>
    <w:basedOn w:val="ab"/>
    <w:uiPriority w:val="99"/>
    <w:semiHidden/>
    <w:rPr>
      <w:color w:val="605E5C"/>
      <w:shd w:val="clear" w:color="auto" w:fill="E1DFDD"/>
    </w:rPr>
  </w:style>
  <w:style w:type="character" w:customStyle="1" w:styleId="5c">
    <w:name w:val="Неразрешенное упоминание5"/>
    <w:basedOn w:val="ab"/>
    <w:uiPriority w:val="99"/>
    <w:semiHidden/>
    <w:rPr>
      <w:color w:val="605E5C"/>
      <w:shd w:val="clear" w:color="auto" w:fill="E1DFDD"/>
    </w:rPr>
  </w:style>
  <w:style w:type="character" w:customStyle="1" w:styleId="66">
    <w:name w:val="Неразрешенное упоминание6"/>
    <w:basedOn w:val="ab"/>
    <w:uiPriority w:val="99"/>
    <w:semiHidden/>
    <w:rPr>
      <w:color w:val="605E5C"/>
      <w:shd w:val="clear" w:color="auto" w:fill="E1DFDD"/>
    </w:rPr>
  </w:style>
  <w:style w:type="character" w:customStyle="1" w:styleId="78">
    <w:name w:val="Неразрешенное упоминание7"/>
    <w:basedOn w:val="ab"/>
    <w:uiPriority w:val="99"/>
    <w:semiHidden/>
    <w:rPr>
      <w:color w:val="605E5C"/>
      <w:shd w:val="clear" w:color="auto" w:fill="E1DFDD"/>
    </w:rPr>
  </w:style>
  <w:style w:type="character" w:customStyle="1" w:styleId="88">
    <w:name w:val="Неразрешенное упоминание8"/>
    <w:basedOn w:val="ab"/>
    <w:uiPriority w:val="99"/>
    <w:semiHidden/>
    <w:rPr>
      <w:color w:val="605E5C"/>
      <w:shd w:val="clear" w:color="auto" w:fill="E1DFDD"/>
    </w:rPr>
  </w:style>
  <w:style w:type="character" w:customStyle="1" w:styleId="96">
    <w:name w:val="Неразрешенное упоминание9"/>
    <w:basedOn w:val="ab"/>
    <w:uiPriority w:val="99"/>
    <w:semiHidden/>
    <w:rPr>
      <w:color w:val="605E5C"/>
      <w:shd w:val="clear" w:color="auto" w:fill="E1DFDD"/>
    </w:rPr>
  </w:style>
  <w:style w:type="character" w:customStyle="1" w:styleId="103">
    <w:name w:val="Неразрешенное упоминание10"/>
    <w:basedOn w:val="ab"/>
    <w:uiPriority w:val="99"/>
    <w:semiHidden/>
    <w:rPr>
      <w:color w:val="605E5C"/>
      <w:shd w:val="clear" w:color="auto" w:fill="E1DFDD"/>
    </w:rPr>
  </w:style>
  <w:style w:type="character" w:customStyle="1" w:styleId="118">
    <w:name w:val="Неразрешенное упоминание11"/>
    <w:basedOn w:val="ab"/>
    <w:uiPriority w:val="99"/>
    <w:semiHidden/>
    <w:rPr>
      <w:color w:val="605E5C"/>
      <w:shd w:val="clear" w:color="auto" w:fill="E1DFDD"/>
    </w:rPr>
  </w:style>
  <w:style w:type="character" w:customStyle="1" w:styleId="124">
    <w:name w:val="Неразрешенное упоминание12"/>
    <w:basedOn w:val="ab"/>
    <w:uiPriority w:val="99"/>
    <w:semiHidden/>
    <w:rPr>
      <w:color w:val="605E5C"/>
      <w:shd w:val="clear" w:color="auto" w:fill="E1DFDD"/>
    </w:rPr>
  </w:style>
  <w:style w:type="character" w:customStyle="1" w:styleId="134">
    <w:name w:val="Неразрешенное упоминание13"/>
    <w:basedOn w:val="ab"/>
    <w:uiPriority w:val="99"/>
    <w:semiHidden/>
    <w:rPr>
      <w:color w:val="605E5C"/>
      <w:shd w:val="clear" w:color="auto" w:fill="E1DFDD"/>
    </w:rPr>
  </w:style>
  <w:style w:type="character" w:customStyle="1" w:styleId="144">
    <w:name w:val="Неразрешенное упоминание14"/>
    <w:basedOn w:val="ab"/>
    <w:uiPriority w:val="99"/>
    <w:semiHidden/>
    <w:rPr>
      <w:color w:val="605E5C"/>
      <w:shd w:val="clear" w:color="auto" w:fill="E1DFDD"/>
    </w:rPr>
  </w:style>
  <w:style w:type="character" w:customStyle="1" w:styleId="154">
    <w:name w:val="Неразрешенное упоминание15"/>
    <w:basedOn w:val="ab"/>
    <w:uiPriority w:val="99"/>
    <w:semiHidden/>
    <w:rPr>
      <w:color w:val="605E5C"/>
      <w:shd w:val="clear" w:color="auto" w:fill="E1DFDD"/>
    </w:rPr>
  </w:style>
  <w:style w:type="character" w:customStyle="1" w:styleId="164">
    <w:name w:val="Неразрешенное упоминание16"/>
    <w:basedOn w:val="ab"/>
    <w:uiPriority w:val="99"/>
    <w:semiHidden/>
    <w:unhideWhenUsed/>
    <w:rPr>
      <w:color w:val="605E5C"/>
      <w:shd w:val="clear" w:color="auto" w:fill="E1DFDD"/>
    </w:rPr>
  </w:style>
  <w:style w:type="character" w:customStyle="1" w:styleId="174">
    <w:name w:val="Неразрешенное упоминание17"/>
    <w:basedOn w:val="ab"/>
    <w:uiPriority w:val="99"/>
    <w:semiHidden/>
    <w:unhideWhenUsed/>
    <w:rPr>
      <w:color w:val="605E5C"/>
      <w:shd w:val="clear" w:color="auto" w:fill="E1DFDD"/>
    </w:rPr>
  </w:style>
  <w:style w:type="character" w:customStyle="1" w:styleId="182">
    <w:name w:val="Неразрешенное упоминание18"/>
    <w:basedOn w:val="ab"/>
    <w:uiPriority w:val="99"/>
    <w:semiHidden/>
    <w:unhideWhenUsed/>
    <w:rPr>
      <w:color w:val="605E5C"/>
      <w:shd w:val="clear" w:color="auto" w:fill="E1DFDD"/>
    </w:rPr>
  </w:style>
  <w:style w:type="character" w:customStyle="1" w:styleId="191">
    <w:name w:val="Неразрешенное упоминание19"/>
    <w:basedOn w:val="ab"/>
    <w:uiPriority w:val="99"/>
    <w:semiHidden/>
    <w:unhideWhenUsed/>
    <w:rPr>
      <w:color w:val="605E5C"/>
      <w:shd w:val="clear" w:color="auto" w:fill="E1DFDD"/>
    </w:rPr>
  </w:style>
  <w:style w:type="table" w:customStyle="1" w:styleId="GridTable2-Accent3">
    <w:name w:val="Grid Table 2 - Accent 3"/>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bottom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character" w:customStyle="1" w:styleId="Heading1Char">
    <w:name w:val="Heading 1 Char"/>
    <w:basedOn w:val="ab"/>
    <w:uiPriority w:val="9"/>
    <w:rPr>
      <w:rFonts w:ascii="Arial" w:eastAsia="Arial" w:hAnsi="Arial" w:cs="Arial"/>
      <w:sz w:val="40"/>
      <w:szCs w:val="40"/>
    </w:rPr>
  </w:style>
  <w:style w:type="character" w:customStyle="1" w:styleId="Heading2Char">
    <w:name w:val="Heading 2 Char"/>
    <w:basedOn w:val="ab"/>
    <w:uiPriority w:val="9"/>
    <w:rPr>
      <w:rFonts w:ascii="Arial" w:eastAsia="Arial" w:hAnsi="Arial" w:cs="Arial"/>
      <w:sz w:val="34"/>
    </w:rPr>
  </w:style>
  <w:style w:type="character" w:customStyle="1" w:styleId="Heading3Char">
    <w:name w:val="Heading 3 Char"/>
    <w:basedOn w:val="ab"/>
    <w:uiPriority w:val="9"/>
    <w:rPr>
      <w:rFonts w:ascii="Arial" w:eastAsia="Arial" w:hAnsi="Arial" w:cs="Arial"/>
      <w:sz w:val="30"/>
      <w:szCs w:val="30"/>
    </w:rPr>
  </w:style>
  <w:style w:type="character" w:customStyle="1" w:styleId="Heading4Char">
    <w:name w:val="Heading 4 Char"/>
    <w:basedOn w:val="ab"/>
    <w:uiPriority w:val="9"/>
    <w:rPr>
      <w:rFonts w:ascii="Arial" w:eastAsia="Arial" w:hAnsi="Arial" w:cs="Arial"/>
      <w:b/>
      <w:bCs/>
      <w:sz w:val="26"/>
      <w:szCs w:val="26"/>
    </w:rPr>
  </w:style>
  <w:style w:type="character" w:customStyle="1" w:styleId="Heading5Char">
    <w:name w:val="Heading 5 Char"/>
    <w:basedOn w:val="ab"/>
    <w:uiPriority w:val="9"/>
    <w:rPr>
      <w:rFonts w:ascii="Arial" w:eastAsia="Arial" w:hAnsi="Arial" w:cs="Arial"/>
      <w:b/>
      <w:bCs/>
      <w:sz w:val="24"/>
      <w:szCs w:val="24"/>
    </w:rPr>
  </w:style>
  <w:style w:type="character" w:customStyle="1" w:styleId="Heading6Char">
    <w:name w:val="Heading 6 Char"/>
    <w:basedOn w:val="ab"/>
    <w:uiPriority w:val="9"/>
    <w:rPr>
      <w:rFonts w:ascii="Arial" w:eastAsia="Arial" w:hAnsi="Arial" w:cs="Arial"/>
      <w:b/>
      <w:bCs/>
      <w:sz w:val="22"/>
      <w:szCs w:val="22"/>
    </w:rPr>
  </w:style>
  <w:style w:type="character" w:customStyle="1" w:styleId="Heading7Char">
    <w:name w:val="Heading 7 Char"/>
    <w:basedOn w:val="ab"/>
    <w:uiPriority w:val="9"/>
    <w:rPr>
      <w:rFonts w:ascii="Arial" w:eastAsia="Arial" w:hAnsi="Arial" w:cs="Arial"/>
      <w:b/>
      <w:bCs/>
      <w:i/>
      <w:iCs/>
      <w:sz w:val="22"/>
      <w:szCs w:val="22"/>
    </w:rPr>
  </w:style>
  <w:style w:type="character" w:customStyle="1" w:styleId="Heading8Char">
    <w:name w:val="Heading 8 Char"/>
    <w:basedOn w:val="ab"/>
    <w:uiPriority w:val="9"/>
    <w:rPr>
      <w:rFonts w:ascii="Arial" w:eastAsia="Arial" w:hAnsi="Arial" w:cs="Arial"/>
      <w:i/>
      <w:iCs/>
      <w:sz w:val="22"/>
      <w:szCs w:val="22"/>
    </w:rPr>
  </w:style>
  <w:style w:type="character" w:customStyle="1" w:styleId="Heading9Char">
    <w:name w:val="Heading 9 Char"/>
    <w:basedOn w:val="ab"/>
    <w:uiPriority w:val="9"/>
    <w:rPr>
      <w:rFonts w:ascii="Arial" w:eastAsia="Arial" w:hAnsi="Arial" w:cs="Arial"/>
      <w:i/>
      <w:iCs/>
      <w:sz w:val="21"/>
      <w:szCs w:val="21"/>
    </w:rPr>
  </w:style>
  <w:style w:type="character" w:customStyle="1" w:styleId="TitleChar">
    <w:name w:val="Title Char"/>
    <w:basedOn w:val="ab"/>
    <w:uiPriority w:val="10"/>
    <w:rPr>
      <w:sz w:val="48"/>
      <w:szCs w:val="48"/>
    </w:rPr>
  </w:style>
  <w:style w:type="character" w:customStyle="1" w:styleId="SubtitleChar">
    <w:name w:val="Subtitle Char"/>
    <w:basedOn w:val="ab"/>
    <w:uiPriority w:val="11"/>
    <w:rPr>
      <w:sz w:val="24"/>
      <w:szCs w:val="24"/>
    </w:rPr>
  </w:style>
  <w:style w:type="character" w:customStyle="1" w:styleId="QuoteChar">
    <w:name w:val="Quote Char"/>
    <w:uiPriority w:val="29"/>
    <w:rPr>
      <w:i/>
    </w:rPr>
  </w:style>
  <w:style w:type="character" w:customStyle="1" w:styleId="IntenseQuoteChar">
    <w:name w:val="Intense Quote Char"/>
    <w:uiPriority w:val="30"/>
    <w:rPr>
      <w:i/>
    </w:rPr>
  </w:style>
  <w:style w:type="character" w:customStyle="1" w:styleId="HeaderChar">
    <w:name w:val="Header Char"/>
    <w:basedOn w:val="ab"/>
    <w:uiPriority w:val="99"/>
  </w:style>
  <w:style w:type="character" w:customStyle="1" w:styleId="FooterChar">
    <w:name w:val="Footer Char"/>
    <w:basedOn w:val="ab"/>
    <w:uiPriority w:val="99"/>
  </w:style>
  <w:style w:type="character" w:customStyle="1" w:styleId="CaptionChar">
    <w:name w:val="Caption Char"/>
    <w:uiPriority w:val="99"/>
  </w:style>
  <w:style w:type="table" w:customStyle="1" w:styleId="TableGridLight">
    <w:name w:val="Table Grid Light"/>
    <w:basedOn w:val="ac"/>
    <w:uiPriority w:val="59"/>
    <w:rPr>
      <w:rFonts w:asciiTheme="minorHAnsi" w:eastAsiaTheme="minorHAnsi" w:hAnsiTheme="minorHAnsi" w:cstheme="minorBidi"/>
      <w:sz w:val="22"/>
      <w:szCs w:val="22"/>
      <w:lang w:eastAsia="en-US"/>
    </w:rPr>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style>
  <w:style w:type="table" w:styleId="1fff8">
    <w:name w:val="Plain Table 1"/>
    <w:basedOn w:val="ac"/>
    <w:uiPriority w:val="59"/>
    <w:rPr>
      <w:rFonts w:asciiTheme="minorHAnsi" w:eastAsiaTheme="minorHAnsi" w:hAnsiTheme="minorHAnsi" w:cstheme="minorBidi"/>
      <w:sz w:val="22"/>
      <w:szCs w:val="22"/>
      <w:lang w:eastAsia="en-US"/>
    </w:rPr>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2ffe">
    <w:name w:val="Plain Table 2"/>
    <w:basedOn w:val="ac"/>
    <w:uiPriority w:val="59"/>
    <w:rPr>
      <w:rFonts w:asciiTheme="minorHAnsi" w:eastAsiaTheme="minorHAnsi" w:hAnsiTheme="minorHAnsi" w:cstheme="minorBidi"/>
      <w:sz w:val="22"/>
      <w:szCs w:val="22"/>
      <w:lang w:eastAsia="en-US"/>
    </w:rPr>
    <w:tblPr>
      <w:tblInd w:w="0" w:type="dxa"/>
      <w:tblBorders>
        <w:top w:val="single" w:sz="4" w:space="0" w:color="000000" w:themeColor="text1"/>
        <w:left w:val="none" w:sz="4" w:space="0" w:color="000000" w:themeColor="text1"/>
        <w:bottom w:val="single" w:sz="4" w:space="0" w:color="000000" w:themeColor="text1"/>
        <w:right w:val="none" w:sz="4" w:space="0" w:color="000000" w:themeColor="text1"/>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ff">
    <w:name w:val="Plain Table 3"/>
    <w:basedOn w:val="ac"/>
    <w:uiPriority w:val="99"/>
    <w:rPr>
      <w:rFonts w:asciiTheme="minorHAnsi" w:eastAsiaTheme="minorHAnsi" w:hAnsiTheme="minorHAnsi" w:cstheme="minorBidi"/>
      <w:sz w:val="22"/>
      <w:szCs w:val="22"/>
      <w:lang w:eastAsia="en-US"/>
    </w:rPr>
    <w:tblPr>
      <w:tblStyleRowBandSize w:val="1"/>
      <w:tblStyleColBandSize w:val="1"/>
      <w:tblInd w:w="0" w:type="dxa"/>
      <w:tblCellMar>
        <w:top w:w="0" w:type="dxa"/>
        <w:left w:w="108" w:type="dxa"/>
        <w:bottom w:w="0" w:type="dxa"/>
        <w:right w:w="108" w:type="dxa"/>
      </w:tblCellMar>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f3">
    <w:name w:val="Plain Table 4"/>
    <w:basedOn w:val="ac"/>
    <w:uiPriority w:val="99"/>
    <w:rPr>
      <w:rFonts w:asciiTheme="minorHAnsi" w:eastAsiaTheme="minorHAnsi" w:hAnsiTheme="minorHAnsi" w:cstheme="minorBidi"/>
      <w:sz w:val="22"/>
      <w:szCs w:val="22"/>
      <w:lang w:eastAsia="en-US"/>
    </w:rPr>
    <w:tblPr>
      <w:tblStyleRowBandSize w:val="1"/>
      <w:tblStyleColBandSize w:val="1"/>
      <w:tblInd w:w="0" w:type="dxa"/>
      <w:tblCellMar>
        <w:top w:w="0" w:type="dxa"/>
        <w:left w:w="108" w:type="dxa"/>
        <w:bottom w:w="0" w:type="dxa"/>
        <w:right w:w="108" w:type="dxa"/>
      </w:tblCellMar>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d">
    <w:name w:val="Plain Table 5"/>
    <w:basedOn w:val="ac"/>
    <w:uiPriority w:val="99"/>
    <w:rPr>
      <w:rFonts w:asciiTheme="minorHAnsi" w:eastAsiaTheme="minorHAnsi" w:hAnsiTheme="minorHAnsi" w:cstheme="minorBidi"/>
      <w:sz w:val="22"/>
      <w:szCs w:val="22"/>
      <w:lang w:eastAsia="en-US"/>
    </w:rPr>
    <w:tblPr>
      <w:tblStyleRowBandSize w:val="1"/>
      <w:tblStyleColBandSize w:val="1"/>
      <w:tblInd w:w="0" w:type="dxa"/>
      <w:tblCellMar>
        <w:top w:w="0" w:type="dxa"/>
        <w:left w:w="108" w:type="dxa"/>
        <w:bottom w:w="0" w:type="dxa"/>
        <w:right w:w="108" w:type="dxa"/>
      </w:tblCellMar>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3">
    <w:name w:val="Grid Table 1 Light"/>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CellMar>
        <w:top w:w="0" w:type="dxa"/>
        <w:left w:w="108" w:type="dxa"/>
        <w:bottom w:w="0" w:type="dxa"/>
        <w:right w:w="108" w:type="dxa"/>
      </w:tblCellMar>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CellMar>
        <w:top w:w="0" w:type="dxa"/>
        <w:left w:w="108" w:type="dxa"/>
        <w:bottom w:w="0" w:type="dxa"/>
        <w:right w:w="108" w:type="dxa"/>
      </w:tblCellMar>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CellMar>
        <w:top w:w="0" w:type="dxa"/>
        <w:left w:w="108" w:type="dxa"/>
        <w:bottom w:w="0" w:type="dxa"/>
        <w:right w:w="108" w:type="dxa"/>
      </w:tblCellMar>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CellMar>
        <w:top w:w="0" w:type="dxa"/>
        <w:left w:w="108" w:type="dxa"/>
        <w:bottom w:w="0" w:type="dxa"/>
        <w:right w:w="108" w:type="dxa"/>
      </w:tblCellMar>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CellMar>
        <w:top w:w="0" w:type="dxa"/>
        <w:left w:w="108" w:type="dxa"/>
        <w:bottom w:w="0" w:type="dxa"/>
        <w:right w:w="108" w:type="dxa"/>
      </w:tblCellMar>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CellMar>
        <w:top w:w="0" w:type="dxa"/>
        <w:left w:w="108" w:type="dxa"/>
        <w:bottom w:w="0" w:type="dxa"/>
        <w:right w:w="108" w:type="dxa"/>
      </w:tblCellMar>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CellMar>
        <w:top w:w="0" w:type="dxa"/>
        <w:left w:w="108" w:type="dxa"/>
        <w:bottom w:w="0" w:type="dxa"/>
        <w:right w:w="108" w:type="dxa"/>
      </w:tblCellMar>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21">
    <w:name w:val="Grid Table 2"/>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bottom w:val="single" w:sz="4" w:space="0" w:color="68A2D8" w:themeColor="accent1" w:themeTint="EA"/>
        <w:insideH w:val="single" w:sz="4" w:space="0" w:color="68A2D8" w:themeColor="accent1" w:themeTint="EA"/>
        <w:insideV w:val="single" w:sz="4" w:space="0" w:color="68A2D8" w:themeColor="accent1" w:themeTint="E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auto"/>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2-Accent2">
    <w:name w:val="Grid Table 2 - Accent 2"/>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bottom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4">
    <w:name w:val="Grid Table 2 - Accent 4"/>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bottom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bottom w:val="single" w:sz="4" w:space="0" w:color="4472C4" w:themeColor="accent5"/>
        <w:insideH w:val="single" w:sz="4" w:space="0" w:color="4472C4" w:themeColor="accent5"/>
        <w:insideV w:val="single" w:sz="4" w:space="0" w:color="4472C4" w:themeColor="accent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auto"/>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2-Accent6">
    <w:name w:val="Grid Table 2 - Accent 6"/>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bottom w:val="single" w:sz="4" w:space="0" w:color="70AD47" w:themeColor="accent6"/>
        <w:insideH w:val="single" w:sz="4" w:space="0" w:color="70AD47" w:themeColor="accent6"/>
        <w:insideV w:val="single" w:sz="4" w:space="0" w:color="70AD47" w:themeColor="accent6"/>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33">
    <w:name w:val="Grid Table 3"/>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bottom w:val="single" w:sz="4" w:space="0" w:color="68A2D8" w:themeColor="accent1" w:themeTint="EA"/>
        <w:insideH w:val="single" w:sz="4" w:space="0" w:color="68A2D8" w:themeColor="accent1" w:themeTint="EA"/>
        <w:insideV w:val="single" w:sz="4" w:space="0" w:color="68A2D8" w:themeColor="accent1" w:themeTint="E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3-Accent2">
    <w:name w:val="Grid Table 3 - Accent 2"/>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bottom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bottom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bottom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bottom w:val="single" w:sz="4" w:space="0" w:color="4472C4" w:themeColor="accent5"/>
        <w:insideH w:val="single" w:sz="4" w:space="0" w:color="4472C4" w:themeColor="accent5"/>
        <w:insideV w:val="single" w:sz="4" w:space="0" w:color="4472C4" w:themeColor="accent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3-Accent6">
    <w:name w:val="Grid Table 3 - Accent 6"/>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bottom w:val="single" w:sz="4" w:space="0" w:color="70AD47" w:themeColor="accent6"/>
        <w:insideH w:val="single" w:sz="4" w:space="0" w:color="70AD47" w:themeColor="accent6"/>
        <w:insideV w:val="single" w:sz="4" w:space="0" w:color="70AD47" w:themeColor="accent6"/>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40">
    <w:name w:val="Grid Table 4"/>
    <w:basedOn w:val="ac"/>
    <w:uiPriority w:val="5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c"/>
    <w:uiPriority w:val="5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DEEBF6" w:themeFill="accent1" w:themeFillTint="32"/>
      </w:tcPr>
    </w:tblStylePr>
    <w:tblStylePr w:type="band1Horz">
      <w:rPr>
        <w:rFonts w:ascii="Arial" w:hAnsi="Arial"/>
        <w:color w:val="404040"/>
        <w:sz w:val="22"/>
      </w:rPr>
      <w:tblPr/>
      <w:tcPr>
        <w:shd w:val="clear" w:color="DEEBF6" w:themeColor="accent1" w:themeTint="32" w:fill="DEEBF6" w:themeFill="accent1" w:themeFillTint="32"/>
      </w:tcPr>
    </w:tblStylePr>
  </w:style>
  <w:style w:type="table" w:customStyle="1" w:styleId="GridTable4-Accent2">
    <w:name w:val="Grid Table 4 - Accent 2"/>
    <w:basedOn w:val="ac"/>
    <w:uiPriority w:val="5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ac"/>
    <w:uiPriority w:val="5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ac"/>
    <w:uiPriority w:val="5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ac"/>
    <w:uiPriority w:val="5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4-Accent6">
    <w:name w:val="Grid Table 4 - Accent 6"/>
    <w:basedOn w:val="ac"/>
    <w:uiPriority w:val="5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50">
    <w:name w:val="Grid Table 5 Dark"/>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1" w:themeTint="34" w:fill="DDEAF6" w:themeFill="accent1" w:themeFillTint="34"/>
      <w:tblCellMar>
        <w:top w:w="0" w:type="dxa"/>
        <w:left w:w="108" w:type="dxa"/>
        <w:bottom w:w="0" w:type="dxa"/>
        <w:right w:w="108" w:type="dxa"/>
      </w:tblCellMar>
    </w:tblPr>
    <w:tblStylePr w:type="firstRow">
      <w:rPr>
        <w:rFonts w:ascii="Arial" w:hAnsi="Arial"/>
        <w:b/>
        <w:color w:val="FFFFFF"/>
        <w:sz w:val="22"/>
      </w:rPr>
      <w:tblPr/>
      <w:tcPr>
        <w:shd w:val="clear" w:color="5B9BD5" w:themeColor="accent1" w:fill="5B9BD5" w:themeFill="accent1"/>
      </w:tcPr>
    </w:tblStylePr>
    <w:tblStylePr w:type="lastRow">
      <w:rPr>
        <w:rFonts w:ascii="Arial" w:hAnsi="Arial"/>
        <w:b/>
        <w:color w:val="FFFFFF"/>
        <w:sz w:val="22"/>
      </w:rPr>
      <w:tblPr/>
      <w:tcPr>
        <w:tcBorders>
          <w:top w:val="single" w:sz="4" w:space="0" w:color="FFFFFF" w:themeColor="light1"/>
        </w:tcBorders>
        <w:shd w:val="clear" w:color="5B9BD5" w:themeColor="accent1" w:fill="5B9BD5" w:themeFill="accent1"/>
      </w:tcPr>
    </w:tblStylePr>
    <w:tblStylePr w:type="firstCol">
      <w:rPr>
        <w:rFonts w:ascii="Arial" w:hAnsi="Arial"/>
        <w:b/>
        <w:color w:val="FFFFFF"/>
        <w:sz w:val="22"/>
      </w:rPr>
      <w:tblPr/>
      <w:tcPr>
        <w:shd w:val="clear" w:color="5B9BD5" w:themeColor="accent1" w:fill="5B9BD5" w:themeFill="accent1"/>
      </w:tcPr>
    </w:tblStylePr>
    <w:tblStylePr w:type="lastCol">
      <w:rPr>
        <w:rFonts w:ascii="Arial" w:hAnsi="Arial"/>
        <w:b/>
        <w:color w:val="FFFFFF"/>
        <w:sz w:val="22"/>
      </w:rPr>
      <w:tblPr/>
      <w:tcPr>
        <w:shd w:val="clear" w:color="5B9BD5" w:themeColor="accent1" w:fill="5B9BD5" w:themeFill="accent1"/>
      </w:tcPr>
    </w:tblStylePr>
    <w:tblStylePr w:type="band1Vert">
      <w:tblPr/>
      <w:tcPr>
        <w:shd w:val="clear" w:color="B3D0EB" w:themeColor="accent1" w:themeTint="75" w:fill="B3D0EB" w:themeFill="accent1" w:themeFillTint="75"/>
      </w:tcPr>
    </w:tblStylePr>
    <w:tblStylePr w:type="band1Horz">
      <w:tblPr/>
      <w:tcPr>
        <w:shd w:val="clear" w:color="B3D0EB" w:themeColor="accent1" w:themeTint="75" w:fill="B3D0EB" w:themeFill="accent1" w:themeFillTint="75"/>
      </w:tcPr>
    </w:tblStylePr>
  </w:style>
  <w:style w:type="table" w:customStyle="1" w:styleId="GridTable5Dark-Accent2">
    <w:name w:val="Grid Table 5 Dark - Accent 2"/>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CellMar>
        <w:top w:w="0" w:type="dxa"/>
        <w:left w:w="108" w:type="dxa"/>
        <w:bottom w:w="0" w:type="dxa"/>
        <w:right w:w="108" w:type="dxa"/>
      </w:tblCellMar>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CellMar>
        <w:top w:w="0" w:type="dxa"/>
        <w:left w:w="108" w:type="dxa"/>
        <w:bottom w:w="0" w:type="dxa"/>
        <w:right w:w="108" w:type="dxa"/>
      </w:tblCellMar>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CellMar>
        <w:top w:w="0" w:type="dxa"/>
        <w:left w:w="108" w:type="dxa"/>
        <w:bottom w:w="0" w:type="dxa"/>
        <w:right w:w="108" w:type="dxa"/>
      </w:tblCellMar>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5" w:themeTint="34" w:fill="D8E2F3" w:themeFill="accent5" w:themeFillTint="34"/>
      <w:tblCellMar>
        <w:top w:w="0" w:type="dxa"/>
        <w:left w:w="108" w:type="dxa"/>
        <w:bottom w:w="0" w:type="dxa"/>
        <w:right w:w="108" w:type="dxa"/>
      </w:tblCellMar>
    </w:tblPr>
    <w:tblStylePr w:type="firstRow">
      <w:rPr>
        <w:rFonts w:ascii="Arial" w:hAnsi="Arial"/>
        <w:b/>
        <w:color w:val="FFFFFF"/>
        <w:sz w:val="22"/>
      </w:rPr>
      <w:tblPr/>
      <w:tcPr>
        <w:shd w:val="clear" w:color="4472C4" w:themeColor="accent5" w:fill="4472C4" w:themeFill="accent5"/>
      </w:tcPr>
    </w:tblStylePr>
    <w:tblStylePr w:type="lastRow">
      <w:rPr>
        <w:rFonts w:ascii="Arial" w:hAnsi="Arial"/>
        <w:b/>
        <w:color w:val="FFFFFF"/>
        <w:sz w:val="22"/>
      </w:rPr>
      <w:tblPr/>
      <w:tcPr>
        <w:tcBorders>
          <w:top w:val="single" w:sz="4" w:space="0" w:color="FFFFFF" w:themeColor="light1"/>
        </w:tcBorders>
        <w:shd w:val="clear" w:color="4472C4" w:themeColor="accent5" w:fill="4472C4" w:themeFill="accent5"/>
      </w:tcPr>
    </w:tblStylePr>
    <w:tblStylePr w:type="firstCol">
      <w:rPr>
        <w:rFonts w:ascii="Arial" w:hAnsi="Arial"/>
        <w:b/>
        <w:color w:val="FFFFFF"/>
        <w:sz w:val="22"/>
      </w:rPr>
      <w:tblPr/>
      <w:tcPr>
        <w:shd w:val="clear" w:color="4472C4" w:themeColor="accent5" w:fill="4472C4" w:themeFill="accent5"/>
      </w:tcPr>
    </w:tblStylePr>
    <w:tblStylePr w:type="lastCol">
      <w:rPr>
        <w:rFonts w:ascii="Arial" w:hAnsi="Arial"/>
        <w:b/>
        <w:color w:val="FFFFFF"/>
        <w:sz w:val="22"/>
      </w:rPr>
      <w:tblPr/>
      <w:tcPr>
        <w:shd w:val="clear" w:color="4472C4" w:themeColor="accent5" w:fill="4472C4" w:themeFill="accent5"/>
      </w:tcPr>
    </w:tblStylePr>
    <w:tblStylePr w:type="band1Vert">
      <w:tblPr/>
      <w:tcPr>
        <w:shd w:val="clear" w:color="A9BEE4" w:themeColor="accent5" w:themeTint="75" w:fill="A9BEE4" w:themeFill="accent5" w:themeFillTint="75"/>
      </w:tcPr>
    </w:tblStylePr>
    <w:tblStylePr w:type="band1Horz">
      <w:tblPr/>
      <w:tcPr>
        <w:shd w:val="clear" w:color="A9BEE4" w:themeColor="accent5" w:themeTint="75" w:fill="A9BEE4" w:themeFill="accent5" w:themeFillTint="75"/>
      </w:tcPr>
    </w:tblStylePr>
  </w:style>
  <w:style w:type="table" w:customStyle="1" w:styleId="GridTable5Dark-Accent6">
    <w:name w:val="Grid Table 5 Dark - Accent 6"/>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CellMar>
        <w:top w:w="0" w:type="dxa"/>
        <w:left w:w="108" w:type="dxa"/>
        <w:bottom w:w="0" w:type="dxa"/>
        <w:right w:w="108" w:type="dxa"/>
      </w:tblCellMar>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60">
    <w:name w:val="Grid Table 6 Colorful"/>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108" w:type="dxa"/>
        <w:bottom w:w="0" w:type="dxa"/>
        <w:right w:w="108" w:type="dxa"/>
      </w:tblCellMar>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CellMar>
        <w:top w:w="0" w:type="dxa"/>
        <w:left w:w="108" w:type="dxa"/>
        <w:bottom w:w="0" w:type="dxa"/>
        <w:right w:w="108" w:type="dxa"/>
      </w:tblCellMar>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6Colorful-Accent2">
    <w:name w:val="Grid Table 6 Colorful - Accent 2"/>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CellMar>
        <w:top w:w="0" w:type="dxa"/>
        <w:left w:w="108" w:type="dxa"/>
        <w:bottom w:w="0" w:type="dxa"/>
        <w:right w:w="108" w:type="dxa"/>
      </w:tblCellMar>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6Colorful-Accent6">
    <w:name w:val="Grid Table 6 Colorful - Accent 6"/>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CellMar>
        <w:top w:w="0" w:type="dxa"/>
        <w:left w:w="108" w:type="dxa"/>
        <w:bottom w:w="0" w:type="dxa"/>
        <w:right w:w="108" w:type="dxa"/>
      </w:tblCellMar>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54175" w:themeColor="accent5" w:themeShade="95"/>
        <w:sz w:val="22"/>
      </w:rPr>
      <w:tblPr/>
      <w:tcPr>
        <w:shd w:val="clear" w:color="E1EFD8" w:themeColor="accent6" w:themeTint="34" w:fill="E1EFD8" w:themeFill="accent6" w:themeFillTint="34"/>
      </w:tcPr>
    </w:tblStylePr>
    <w:tblStylePr w:type="band2Horz">
      <w:rPr>
        <w:rFonts w:ascii="Arial" w:hAnsi="Arial"/>
        <w:color w:val="254175" w:themeColor="accent5" w:themeShade="95"/>
        <w:sz w:val="22"/>
      </w:rPr>
    </w:tblStylePr>
  </w:style>
  <w:style w:type="table" w:styleId="-70">
    <w:name w:val="Grid Table 7 Colorful"/>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108" w:type="dxa"/>
        <w:bottom w:w="0" w:type="dxa"/>
        <w:right w:w="108" w:type="dxa"/>
      </w:tblCellMar>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CellMar>
        <w:top w:w="0" w:type="dxa"/>
        <w:left w:w="108" w:type="dxa"/>
        <w:bottom w:w="0" w:type="dxa"/>
        <w:right w:w="108" w:type="dxa"/>
      </w:tblCellMar>
    </w:tblPr>
    <w:tblStylePr w:type="firstRow">
      <w:rPr>
        <w:rFonts w:ascii="Arial" w:hAnsi="Arial"/>
        <w:b/>
        <w:color w:val="ACCCEA" w:themeColor="accent1" w:themeTint="80" w:themeShade="95"/>
        <w:sz w:val="22"/>
      </w:rPr>
      <w:tblPr/>
      <w:tcPr>
        <w:tcBorders>
          <w:top w:val="none" w:sz="4" w:space="0" w:color="000000"/>
          <w:left w:val="none" w:sz="4" w:space="0" w:color="000000"/>
          <w:bottom w:val="single" w:sz="4" w:space="0" w:color="ACCCEA" w:themeColor="accent1" w:themeTint="80"/>
          <w:right w:val="none" w:sz="4" w:space="0" w:color="000000"/>
        </w:tcBorders>
        <w:shd w:val="clear" w:color="FFFFFF" w:themeColor="light1"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CCCEA" w:themeColor="accent1" w:themeTint="80" w:themeShade="95"/>
        <w:sz w:val="22"/>
      </w:rPr>
      <w:tblPr/>
      <w:tcPr>
        <w:tcBorders>
          <w:top w:val="none" w:sz="4" w:space="0" w:color="000000"/>
          <w:left w:val="none" w:sz="4" w:space="0" w:color="000000"/>
          <w:bottom w:val="none" w:sz="4" w:space="0" w:color="000000"/>
          <w:right w:val="single" w:sz="4" w:space="0" w:color="ACCCEA" w:themeColor="accent1" w:themeTint="80"/>
        </w:tcBorders>
        <w:shd w:val="clear" w:color="FFFFFF" w:fill="auto"/>
      </w:tcPr>
    </w:tblStylePr>
    <w:tblStylePr w:type="lastCol">
      <w:rPr>
        <w:rFonts w:ascii="Arial" w:hAnsi="Arial"/>
        <w:i/>
        <w:color w:val="ACCCEA" w:themeColor="accent1" w:themeTint="80" w:themeShade="95"/>
        <w:sz w:val="22"/>
      </w:rPr>
      <w:tblPr/>
      <w:tcPr>
        <w:tcBorders>
          <w:top w:val="none" w:sz="4" w:space="0" w:color="000000"/>
          <w:left w:val="single" w:sz="4" w:space="0" w:color="ACCCEA" w:themeColor="accent1" w:themeTint="80"/>
          <w:bottom w:val="none" w:sz="4" w:space="0" w:color="000000"/>
          <w:right w:val="none" w:sz="4" w:space="0" w:color="000000"/>
        </w:tcBorders>
        <w:shd w:val="clear" w:color="FFFFFF" w:fill="auto"/>
      </w:tc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7Colorful-Accent2">
    <w:name w:val="Grid Table 7 Colorful - Accent 2"/>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CellMar>
        <w:top w:w="0" w:type="dxa"/>
        <w:left w:w="108" w:type="dxa"/>
        <w:bottom w:w="0" w:type="dxa"/>
        <w:right w:w="108" w:type="dxa"/>
      </w:tblCellMar>
    </w:tblPr>
    <w:tblStylePr w:type="firstRow">
      <w:rPr>
        <w:rFonts w:ascii="Arial" w:hAnsi="Arial"/>
        <w:b/>
        <w:color w:val="254175" w:themeColor="accent5" w:themeShade="95"/>
        <w:sz w:val="22"/>
      </w:rPr>
      <w:tblPr/>
      <w:tcPr>
        <w:tcBorders>
          <w:top w:val="none" w:sz="4" w:space="0" w:color="000000"/>
          <w:left w:val="none" w:sz="4" w:space="0" w:color="000000"/>
          <w:bottom w:val="single" w:sz="4" w:space="0" w:color="95AFDD" w:themeColor="accent5" w:themeTint="90"/>
          <w:right w:val="none" w:sz="4" w:space="0" w:color="000000"/>
        </w:tcBorders>
        <w:shd w:val="clear" w:color="FFFFFF" w:themeColor="light1"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54175" w:themeColor="accent5" w:themeShade="95"/>
        <w:sz w:val="22"/>
      </w:rPr>
      <w:tblPr/>
      <w:tcPr>
        <w:tcBorders>
          <w:top w:val="none" w:sz="4" w:space="0" w:color="000000"/>
          <w:left w:val="none" w:sz="4" w:space="0" w:color="000000"/>
          <w:bottom w:val="none" w:sz="4" w:space="0" w:color="000000"/>
          <w:right w:val="single" w:sz="4" w:space="0" w:color="95AFDD" w:themeColor="accent5" w:themeTint="90"/>
        </w:tcBorders>
        <w:shd w:val="clear" w:color="FFFFFF" w:fill="auto"/>
      </w:tcPr>
    </w:tblStylePr>
    <w:tblStylePr w:type="lastCol">
      <w:rPr>
        <w:rFonts w:ascii="Arial" w:hAnsi="Arial"/>
        <w:i/>
        <w:color w:val="254175" w:themeColor="accent5" w:themeShade="95"/>
        <w:sz w:val="22"/>
      </w:rPr>
      <w:tblPr/>
      <w:tcPr>
        <w:tcBorders>
          <w:top w:val="none" w:sz="4" w:space="0" w:color="000000"/>
          <w:left w:val="single" w:sz="4" w:space="0" w:color="95AFDD" w:themeColor="accent5" w:themeTint="90"/>
          <w:bottom w:val="none" w:sz="4" w:space="0" w:color="000000"/>
          <w:right w:val="none" w:sz="4" w:space="0" w:color="000000"/>
        </w:tcBorders>
        <w:shd w:val="clear" w:color="FFFFFF" w:fill="auto"/>
      </w:tc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7Colorful-Accent6">
    <w:name w:val="Grid Table 7 Colorful - Accent 6"/>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CellMar>
        <w:top w:w="0" w:type="dxa"/>
        <w:left w:w="108" w:type="dxa"/>
        <w:bottom w:w="0" w:type="dxa"/>
        <w:right w:w="108" w:type="dxa"/>
      </w:tblCellMar>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14">
    <w:name w:val="List Table 1 Light"/>
    <w:basedOn w:val="ac"/>
    <w:uiPriority w:val="99"/>
    <w:rPr>
      <w:rFonts w:asciiTheme="minorHAnsi" w:eastAsiaTheme="minorHAnsi" w:hAnsiTheme="minorHAnsi" w:cstheme="minorBidi"/>
      <w:sz w:val="22"/>
      <w:szCs w:val="22"/>
      <w:lang w:eastAsia="en-US"/>
    </w:r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c"/>
    <w:uiPriority w:val="99"/>
    <w:rPr>
      <w:rFonts w:asciiTheme="minorHAnsi" w:eastAsiaTheme="minorHAnsi" w:hAnsiTheme="minorHAnsi" w:cstheme="minorBidi"/>
      <w:sz w:val="22"/>
      <w:szCs w:val="22"/>
      <w:lang w:eastAsia="en-US"/>
    </w:r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1" w:themeTint="40" w:fill="D5E5F4" w:themeFill="accent1" w:themeFillTint="40"/>
      </w:tcPr>
    </w:tblStylePr>
    <w:tblStylePr w:type="band1Horz">
      <w:tblPr/>
      <w:tcPr>
        <w:shd w:val="clear" w:color="D5E5F4" w:themeColor="accent1" w:themeTint="40" w:fill="D5E5F4" w:themeFill="accent1" w:themeFillTint="40"/>
      </w:tcPr>
    </w:tblStylePr>
  </w:style>
  <w:style w:type="table" w:customStyle="1" w:styleId="ListTable1Light-Accent2">
    <w:name w:val="List Table 1 Light - Accent 2"/>
    <w:basedOn w:val="ac"/>
    <w:uiPriority w:val="99"/>
    <w:rPr>
      <w:rFonts w:asciiTheme="minorHAnsi" w:eastAsiaTheme="minorHAnsi" w:hAnsiTheme="minorHAnsi" w:cstheme="minorBidi"/>
      <w:sz w:val="22"/>
      <w:szCs w:val="22"/>
      <w:lang w:eastAsia="en-US"/>
    </w:r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ac"/>
    <w:uiPriority w:val="99"/>
    <w:rPr>
      <w:rFonts w:asciiTheme="minorHAnsi" w:eastAsiaTheme="minorHAnsi" w:hAnsiTheme="minorHAnsi" w:cstheme="minorBidi"/>
      <w:sz w:val="22"/>
      <w:szCs w:val="22"/>
      <w:lang w:eastAsia="en-US"/>
    </w:r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ac"/>
    <w:uiPriority w:val="99"/>
    <w:rPr>
      <w:rFonts w:asciiTheme="minorHAnsi" w:eastAsiaTheme="minorHAnsi" w:hAnsiTheme="minorHAnsi" w:cstheme="minorBidi"/>
      <w:sz w:val="22"/>
      <w:szCs w:val="22"/>
      <w:lang w:eastAsia="en-US"/>
    </w:r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ac"/>
    <w:uiPriority w:val="99"/>
    <w:rPr>
      <w:rFonts w:asciiTheme="minorHAnsi" w:eastAsiaTheme="minorHAnsi" w:hAnsiTheme="minorHAnsi" w:cstheme="minorBidi"/>
      <w:sz w:val="22"/>
      <w:szCs w:val="22"/>
      <w:lang w:eastAsia="en-US"/>
    </w:r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5" w:themeTint="40" w:fill="CFDBF0" w:themeFill="accent5" w:themeFillTint="40"/>
      </w:tcPr>
    </w:tblStylePr>
    <w:tblStylePr w:type="band1Horz">
      <w:tblPr/>
      <w:tcPr>
        <w:shd w:val="clear" w:color="CFDBF0" w:themeColor="accent5" w:themeTint="40" w:fill="CFDBF0" w:themeFill="accent5" w:themeFillTint="40"/>
      </w:tcPr>
    </w:tblStylePr>
  </w:style>
  <w:style w:type="table" w:customStyle="1" w:styleId="ListTable1Light-Accent6">
    <w:name w:val="List Table 1 Light - Accent 6"/>
    <w:basedOn w:val="ac"/>
    <w:uiPriority w:val="99"/>
    <w:rPr>
      <w:rFonts w:asciiTheme="minorHAnsi" w:eastAsiaTheme="minorHAnsi" w:hAnsiTheme="minorHAnsi" w:cstheme="minorBidi"/>
      <w:sz w:val="22"/>
      <w:szCs w:val="22"/>
      <w:lang w:eastAsia="en-US"/>
    </w:r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22">
    <w:name w:val="List Table 2"/>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6F6F6F" w:themeColor="text1" w:themeTint="90"/>
        <w:bottom w:val="single" w:sz="4" w:space="0" w:color="6F6F6F" w:themeColor="text1" w:themeTint="90"/>
        <w:insideH w:val="single" w:sz="4" w:space="0" w:color="6F6F6F" w:themeColor="text1"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A2C6E7" w:themeColor="accent1" w:themeTint="90"/>
        <w:bottom w:val="single" w:sz="4" w:space="0" w:color="A2C6E7" w:themeColor="accent1" w:themeTint="90"/>
        <w:insideH w:val="single" w:sz="4" w:space="0" w:color="A2C6E7" w:themeColor="accent1"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2-Accent2">
    <w:name w:val="List Table 2 - Accent 2"/>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F4B58A" w:themeColor="accent2" w:themeTint="90"/>
        <w:bottom w:val="single" w:sz="4" w:space="0" w:color="F4B58A" w:themeColor="accent2" w:themeTint="90"/>
        <w:insideH w:val="single" w:sz="4" w:space="0" w:color="F4B58A" w:themeColor="accent2"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CCCCCC" w:themeColor="accent3" w:themeTint="90"/>
        <w:bottom w:val="single" w:sz="4" w:space="0" w:color="CCCCCC" w:themeColor="accent3" w:themeTint="90"/>
        <w:insideH w:val="single" w:sz="4" w:space="0" w:color="CCCCCC" w:themeColor="accent3"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FFDB6F" w:themeColor="accent4" w:themeTint="90"/>
        <w:bottom w:val="single" w:sz="4" w:space="0" w:color="FFDB6F" w:themeColor="accent4" w:themeTint="90"/>
        <w:insideH w:val="single" w:sz="4" w:space="0" w:color="FFDB6F" w:themeColor="accent4"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95AFDD" w:themeColor="accent5" w:themeTint="90"/>
        <w:bottom w:val="single" w:sz="4" w:space="0" w:color="95AFDD" w:themeColor="accent5" w:themeTint="90"/>
        <w:insideH w:val="single" w:sz="4" w:space="0" w:color="95AFDD" w:themeColor="accent5"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2-Accent6">
    <w:name w:val="List Table 2 - Accent 6"/>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ADD394" w:themeColor="accent6" w:themeTint="90"/>
        <w:bottom w:val="single" w:sz="4" w:space="0" w:color="ADD394" w:themeColor="accent6" w:themeTint="90"/>
        <w:insideH w:val="single" w:sz="4" w:space="0" w:color="ADD394" w:themeColor="accent6"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34">
    <w:name w:val="List Table 3"/>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tblBorders>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CellMar>
        <w:top w:w="0" w:type="dxa"/>
        <w:left w:w="108" w:type="dxa"/>
        <w:bottom w:w="0" w:type="dxa"/>
        <w:right w:w="108" w:type="dxa"/>
      </w:tblCellMar>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CellMar>
        <w:top w:w="0" w:type="dxa"/>
        <w:left w:w="108" w:type="dxa"/>
        <w:bottom w:w="0" w:type="dxa"/>
        <w:right w:w="108" w:type="dxa"/>
      </w:tblCellMar>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CellMar>
        <w:top w:w="0" w:type="dxa"/>
        <w:left w:w="108" w:type="dxa"/>
        <w:bottom w:w="0" w:type="dxa"/>
        <w:right w:w="108" w:type="dxa"/>
      </w:tblCellMar>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CellMar>
        <w:top w:w="0" w:type="dxa"/>
        <w:left w:w="108" w:type="dxa"/>
        <w:bottom w:w="0" w:type="dxa"/>
        <w:right w:w="108" w:type="dxa"/>
      </w:tblCellMar>
    </w:tblPr>
    <w:tblStylePr w:type="firstRow">
      <w:rPr>
        <w:rFonts w:ascii="Arial" w:hAnsi="Arial"/>
        <w:b/>
        <w:color w:val="FFFFFF"/>
        <w:sz w:val="22"/>
      </w:rPr>
      <w:tblPr/>
      <w:tcPr>
        <w:shd w:val="clear" w:color="8DA9DB" w:themeColor="accent5" w:themeTint="9A"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CellMar>
        <w:top w:w="0" w:type="dxa"/>
        <w:left w:w="108" w:type="dxa"/>
        <w:bottom w:w="0" w:type="dxa"/>
        <w:right w:w="108" w:type="dxa"/>
      </w:tblCellMar>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41">
    <w:name w:val="List Table 4"/>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CellMar>
        <w:top w:w="0" w:type="dxa"/>
        <w:left w:w="108" w:type="dxa"/>
        <w:bottom w:w="0" w:type="dxa"/>
        <w:right w:w="108" w:type="dxa"/>
      </w:tblCellMar>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4-Accent2">
    <w:name w:val="List Table 4 - Accent 2"/>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CellMar>
        <w:top w:w="0" w:type="dxa"/>
        <w:left w:w="108" w:type="dxa"/>
        <w:bottom w:w="0" w:type="dxa"/>
        <w:right w:w="108" w:type="dxa"/>
      </w:tblCellMar>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CellMar>
        <w:top w:w="0" w:type="dxa"/>
        <w:left w:w="108" w:type="dxa"/>
        <w:bottom w:w="0" w:type="dxa"/>
        <w:right w:w="108" w:type="dxa"/>
      </w:tblCellMar>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CellMar>
        <w:top w:w="0" w:type="dxa"/>
        <w:left w:w="108" w:type="dxa"/>
        <w:bottom w:w="0" w:type="dxa"/>
        <w:right w:w="108" w:type="dxa"/>
      </w:tblCellMar>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CellMar>
        <w:top w:w="0" w:type="dxa"/>
        <w:left w:w="108" w:type="dxa"/>
        <w:bottom w:w="0" w:type="dxa"/>
        <w:right w:w="108" w:type="dxa"/>
      </w:tblCellMar>
    </w:tblPr>
    <w:tblStylePr w:type="firstRow">
      <w:rPr>
        <w:rFonts w:ascii="Arial" w:hAnsi="Arial"/>
        <w:b/>
        <w:color w:val="FFFFFF"/>
        <w:sz w:val="22"/>
      </w:rPr>
      <w:tblPr/>
      <w:tcPr>
        <w:shd w:val="clear" w:color="4472C4" w:themeColor="accent5"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4-Accent6">
    <w:name w:val="List Table 4 - Accent 6"/>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CellMar>
        <w:top w:w="0" w:type="dxa"/>
        <w:left w:w="108" w:type="dxa"/>
        <w:bottom w:w="0" w:type="dxa"/>
        <w:right w:w="108" w:type="dxa"/>
      </w:tblCellMar>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51">
    <w:name w:val="List Table 5 Dark"/>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themeColor="accent1" w:fill="5B9BD5" w:themeFill="accent1"/>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5B9BD5" w:themeFill="accent1"/>
      </w:tcPr>
    </w:tblStylePr>
    <w:tblStylePr w:type="band2Horz">
      <w:tblPr/>
      <w:tcPr>
        <w:tcBorders>
          <w:top w:val="single" w:sz="4" w:space="0" w:color="FFFFFF" w:themeColor="light1"/>
          <w:bottom w:val="single" w:sz="4" w:space="0" w:color="FFFFFF" w:themeColor="light1"/>
        </w:tcBorders>
        <w:shd w:val="clear" w:color="5B9BD5" w:themeColor="accent1" w:fill="5B9BD5" w:themeFill="accent1"/>
      </w:tcPr>
    </w:tblStylePr>
  </w:style>
  <w:style w:type="table" w:customStyle="1" w:styleId="ListTable5Dark-Accent2">
    <w:name w:val="List Table 5 Dark - Accent 2"/>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themeColor="accent5" w:themeTint="9A" w:fill="8DA9DB" w:themeFill="accent5" w:themeFillTint="9A"/>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style>
  <w:style w:type="table" w:customStyle="1" w:styleId="ListTable5Dark-Accent6">
    <w:name w:val="List Table 5 Dark - Accent 6"/>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61">
    <w:name w:val="List Table 6 Colorful"/>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5B9BD5" w:themeColor="accent1"/>
        <w:bottom w:val="single" w:sz="4" w:space="0" w:color="5B9BD5" w:themeColor="accent1"/>
      </w:tblBorders>
      <w:tblCellMar>
        <w:top w:w="0" w:type="dxa"/>
        <w:left w:w="108" w:type="dxa"/>
        <w:bottom w:w="0" w:type="dxa"/>
        <w:right w:w="108" w:type="dxa"/>
      </w:tblCellMar>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6Colorful-Accent2">
    <w:name w:val="List Table 6 Colorful - Accent 2"/>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F4B184" w:themeColor="accent2" w:themeTint="97"/>
        <w:bottom w:val="single" w:sz="4" w:space="0" w:color="F4B184" w:themeColor="accent2" w:themeTint="97"/>
      </w:tblBorders>
      <w:tblCellMar>
        <w:top w:w="0" w:type="dxa"/>
        <w:left w:w="108" w:type="dxa"/>
        <w:bottom w:w="0" w:type="dxa"/>
        <w:right w:w="108" w:type="dxa"/>
      </w:tblCellMar>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C9C9C9" w:themeColor="accent3" w:themeTint="98"/>
        <w:bottom w:val="single" w:sz="4" w:space="0" w:color="C9C9C9" w:themeColor="accent3" w:themeTint="98"/>
      </w:tblBorders>
      <w:tblCellMar>
        <w:top w:w="0" w:type="dxa"/>
        <w:left w:w="108" w:type="dxa"/>
        <w:bottom w:w="0" w:type="dxa"/>
        <w:right w:w="108" w:type="dxa"/>
      </w:tblCellMar>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FFD865" w:themeColor="accent4" w:themeTint="9A"/>
        <w:bottom w:val="single" w:sz="4" w:space="0" w:color="FFD865" w:themeColor="accent4" w:themeTint="9A"/>
      </w:tblBorders>
      <w:tblCellMar>
        <w:top w:w="0" w:type="dxa"/>
        <w:left w:w="108" w:type="dxa"/>
        <w:bottom w:w="0" w:type="dxa"/>
        <w:right w:w="108" w:type="dxa"/>
      </w:tblCellMar>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8DA9DB" w:themeColor="accent5" w:themeTint="9A"/>
        <w:bottom w:val="single" w:sz="4" w:space="0" w:color="8DA9DB" w:themeColor="accent5" w:themeTint="9A"/>
      </w:tblBorders>
      <w:tblCellMar>
        <w:top w:w="0" w:type="dxa"/>
        <w:left w:w="108" w:type="dxa"/>
        <w:bottom w:w="0" w:type="dxa"/>
        <w:right w:w="108" w:type="dxa"/>
      </w:tblCellMar>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6Colorful-Accent6">
    <w:name w:val="List Table 6 Colorful - Accent 6"/>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A9D08E" w:themeColor="accent6" w:themeTint="98"/>
        <w:bottom w:val="single" w:sz="4" w:space="0" w:color="A9D08E" w:themeColor="accent6" w:themeTint="98"/>
      </w:tblBorders>
      <w:tblCellMar>
        <w:top w:w="0" w:type="dxa"/>
        <w:left w:w="108" w:type="dxa"/>
        <w:bottom w:w="0" w:type="dxa"/>
        <w:right w:w="108" w:type="dxa"/>
      </w:tblCellMar>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71">
    <w:name w:val="List Table 7 Colorful"/>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right w:val="single" w:sz="4" w:space="0" w:color="7F7F7F" w:themeColor="text1" w:themeTint="80"/>
      </w:tblBorders>
      <w:tblCellMar>
        <w:top w:w="0" w:type="dxa"/>
        <w:left w:w="108" w:type="dxa"/>
        <w:bottom w:w="0" w:type="dxa"/>
        <w:right w:w="108" w:type="dxa"/>
      </w:tblCellMar>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right w:val="single" w:sz="4" w:space="0" w:color="5B9BD5" w:themeColor="accent1"/>
      </w:tblBorders>
      <w:tblCellMar>
        <w:top w:w="0" w:type="dxa"/>
        <w:left w:w="108" w:type="dxa"/>
        <w:bottom w:w="0" w:type="dxa"/>
        <w:right w:w="108" w:type="dxa"/>
      </w:tblCellMar>
    </w:tblPr>
    <w:tblStylePr w:type="firstRow">
      <w:rPr>
        <w:rFonts w:ascii="Arial" w:hAnsi="Arial"/>
        <w:i/>
        <w:color w:val="245A8D" w:themeColor="accent1" w:themeShade="95"/>
        <w:sz w:val="22"/>
      </w:rPr>
      <w:tblPr/>
      <w:tcPr>
        <w:tcBorders>
          <w:top w:val="none" w:sz="4" w:space="0" w:color="000000"/>
          <w:left w:val="none" w:sz="4" w:space="0" w:color="000000"/>
          <w:bottom w:val="single" w:sz="4" w:space="0" w:color="5B9BD5" w:themeColor="accent1"/>
          <w:right w:val="none" w:sz="4" w:space="0" w:color="000000"/>
        </w:tcBorders>
        <w:shd w:val="clear" w:color="FFFFFF" w:themeColor="light1"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45A8D" w:themeColor="accent1" w:themeShade="95"/>
        <w:sz w:val="22"/>
      </w:rPr>
      <w:tblPr/>
      <w:tcPr>
        <w:tcBorders>
          <w:top w:val="none" w:sz="4" w:space="0" w:color="000000"/>
          <w:left w:val="none" w:sz="4" w:space="0" w:color="000000"/>
          <w:bottom w:val="none" w:sz="4" w:space="0" w:color="000000"/>
          <w:right w:val="single" w:sz="4" w:space="0" w:color="5B9BD5" w:themeColor="accent1"/>
        </w:tcBorders>
        <w:shd w:val="clear" w:color="FFFFFF" w:fill="auto"/>
      </w:tcPr>
    </w:tblStylePr>
    <w:tblStylePr w:type="lastCol">
      <w:rPr>
        <w:rFonts w:ascii="Arial" w:hAnsi="Arial"/>
        <w:i/>
        <w:color w:val="245A8D" w:themeColor="accent1" w:themeShade="95"/>
        <w:sz w:val="22"/>
      </w:rPr>
      <w:tblPr/>
      <w:tcPr>
        <w:tcBorders>
          <w:top w:val="none" w:sz="4" w:space="0" w:color="000000"/>
          <w:left w:val="single" w:sz="4" w:space="0" w:color="5B9BD5" w:themeColor="accent1"/>
          <w:bottom w:val="none" w:sz="4" w:space="0" w:color="000000"/>
          <w:right w:val="none" w:sz="4" w:space="0" w:color="000000"/>
        </w:tcBorders>
        <w:shd w:val="clear" w:color="FFFFFF" w:fill="auto"/>
      </w:tc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7Colorful-Accent2">
    <w:name w:val="List Table 7 Colorful - Accent 2"/>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right w:val="single" w:sz="4" w:space="0" w:color="F4B184" w:themeColor="accent2" w:themeTint="97"/>
      </w:tblBorders>
      <w:tblCellMar>
        <w:top w:w="0" w:type="dxa"/>
        <w:left w:w="108" w:type="dxa"/>
        <w:bottom w:w="0" w:type="dxa"/>
        <w:right w:w="108" w:type="dxa"/>
      </w:tblCellMar>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right w:val="single" w:sz="4" w:space="0" w:color="C9C9C9" w:themeColor="accent3" w:themeTint="98"/>
      </w:tblBorders>
      <w:tblCellMar>
        <w:top w:w="0" w:type="dxa"/>
        <w:left w:w="108" w:type="dxa"/>
        <w:bottom w:w="0" w:type="dxa"/>
        <w:right w:w="108" w:type="dxa"/>
      </w:tblCellMar>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right w:val="single" w:sz="4" w:space="0" w:color="FFD865" w:themeColor="accent4" w:themeTint="9A"/>
      </w:tblBorders>
      <w:tblCellMar>
        <w:top w:w="0" w:type="dxa"/>
        <w:left w:w="108" w:type="dxa"/>
        <w:bottom w:w="0" w:type="dxa"/>
        <w:right w:w="108" w:type="dxa"/>
      </w:tblCellMar>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right w:val="single" w:sz="4" w:space="0" w:color="8DA9DB" w:themeColor="accent5" w:themeTint="9A"/>
      </w:tblBorders>
      <w:tblCellMar>
        <w:top w:w="0" w:type="dxa"/>
        <w:left w:w="108" w:type="dxa"/>
        <w:bottom w:w="0" w:type="dxa"/>
        <w:right w:w="108" w:type="dxa"/>
      </w:tblCellMar>
    </w:tblPr>
    <w:tblStylePr w:type="firstRow">
      <w:rPr>
        <w:rFonts w:ascii="Arial" w:hAnsi="Arial"/>
        <w:i/>
        <w:color w:val="8DA9DB" w:themeColor="accent5" w:themeTint="9A" w:themeShade="95"/>
        <w:sz w:val="22"/>
      </w:rPr>
      <w:tblPr/>
      <w:tcPr>
        <w:tcBorders>
          <w:top w:val="none" w:sz="4" w:space="0" w:color="000000"/>
          <w:left w:val="none" w:sz="4" w:space="0" w:color="000000"/>
          <w:bottom w:val="single" w:sz="4" w:space="0" w:color="8DA9DB" w:themeColor="accent5" w:themeTint="9A"/>
          <w:right w:val="none" w:sz="4" w:space="0" w:color="000000"/>
        </w:tcBorders>
        <w:shd w:val="clear" w:color="FFFFFF" w:themeColor="light1"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8DA9DB" w:themeColor="accent5" w:themeTint="9A" w:themeShade="95"/>
        <w:sz w:val="22"/>
      </w:rPr>
      <w:tblPr/>
      <w:tcPr>
        <w:tcBorders>
          <w:top w:val="none" w:sz="4" w:space="0" w:color="000000"/>
          <w:left w:val="none" w:sz="4" w:space="0" w:color="000000"/>
          <w:bottom w:val="none" w:sz="4" w:space="0" w:color="000000"/>
          <w:right w:val="single" w:sz="4" w:space="0" w:color="8DA9DB" w:themeColor="accent5" w:themeTint="9A"/>
        </w:tcBorders>
        <w:shd w:val="clear" w:color="FFFFFF" w:fill="auto"/>
      </w:tcPr>
    </w:tblStylePr>
    <w:tblStylePr w:type="lastCol">
      <w:rPr>
        <w:rFonts w:ascii="Arial" w:hAnsi="Arial"/>
        <w:i/>
        <w:color w:val="8DA9DB" w:themeColor="accent5" w:themeTint="9A" w:themeShade="95"/>
        <w:sz w:val="22"/>
      </w:rPr>
      <w:tblPr/>
      <w:tcPr>
        <w:tcBorders>
          <w:top w:val="none" w:sz="4" w:space="0" w:color="000000"/>
          <w:left w:val="single" w:sz="4" w:space="0" w:color="8DA9DB" w:themeColor="accent5" w:themeTint="9A"/>
          <w:bottom w:val="none" w:sz="4" w:space="0" w:color="000000"/>
          <w:right w:val="none" w:sz="4" w:space="0" w:color="000000"/>
        </w:tcBorders>
        <w:shd w:val="clear" w:color="FFFFFF" w:fill="auto"/>
      </w:tc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7Colorful-Accent6">
    <w:name w:val="List Table 7 Colorful - Accent 6"/>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right w:val="single" w:sz="4" w:space="0" w:color="A9D08E" w:themeColor="accent6" w:themeTint="98"/>
      </w:tblBorders>
      <w:tblCellMar>
        <w:top w:w="0" w:type="dxa"/>
        <w:left w:w="108" w:type="dxa"/>
        <w:bottom w:w="0" w:type="dxa"/>
        <w:right w:w="108" w:type="dxa"/>
      </w:tblCellMar>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ac"/>
    <w:uiPriority w:val="99"/>
    <w:rPr>
      <w:rFonts w:asciiTheme="minorHAnsi" w:eastAsiaTheme="minorHAnsi" w:hAnsiTheme="minorHAnsi" w:cstheme="minorBidi"/>
      <w:color w:val="404040"/>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c"/>
    <w:uiPriority w:val="99"/>
    <w:rPr>
      <w:rFonts w:asciiTheme="minorHAnsi" w:eastAsiaTheme="minorHAnsi" w:hAnsiTheme="minorHAnsi" w:cstheme="minorBidi"/>
      <w:color w:val="404040"/>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Lined-Accent2">
    <w:name w:val="Lined - Accent 2"/>
    <w:basedOn w:val="ac"/>
    <w:uiPriority w:val="99"/>
    <w:rPr>
      <w:rFonts w:asciiTheme="minorHAnsi" w:eastAsiaTheme="minorHAnsi" w:hAnsiTheme="minorHAnsi" w:cstheme="minorBidi"/>
      <w:color w:val="404040"/>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ac"/>
    <w:uiPriority w:val="99"/>
    <w:rPr>
      <w:rFonts w:asciiTheme="minorHAnsi" w:eastAsiaTheme="minorHAnsi" w:hAnsiTheme="minorHAnsi" w:cstheme="minorBidi"/>
      <w:color w:val="404040"/>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ac"/>
    <w:uiPriority w:val="99"/>
    <w:rPr>
      <w:rFonts w:asciiTheme="minorHAnsi" w:eastAsiaTheme="minorHAnsi" w:hAnsiTheme="minorHAnsi" w:cstheme="minorBidi"/>
      <w:color w:val="404040"/>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ac"/>
    <w:uiPriority w:val="99"/>
    <w:rPr>
      <w:rFonts w:asciiTheme="minorHAnsi" w:eastAsiaTheme="minorHAnsi" w:hAnsiTheme="minorHAnsi" w:cstheme="minorBidi"/>
      <w:color w:val="404040"/>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Lined-Accent6">
    <w:name w:val="Lined - Accent 6"/>
    <w:basedOn w:val="ac"/>
    <w:uiPriority w:val="99"/>
    <w:rPr>
      <w:rFonts w:asciiTheme="minorHAnsi" w:eastAsiaTheme="minorHAnsi" w:hAnsiTheme="minorHAnsi" w:cstheme="minorBidi"/>
      <w:color w:val="404040"/>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ac"/>
    <w:uiPriority w:val="99"/>
    <w:rPr>
      <w:rFonts w:asciiTheme="minorHAnsi" w:eastAsiaTheme="minorHAnsi" w:hAnsiTheme="minorHAnsi" w:cstheme="minorBidi"/>
      <w:color w:val="404040"/>
    </w:rPr>
    <w:tblPr>
      <w:tblStyleRowBandSize w:val="1"/>
      <w:tblStyleColBandSize w:val="1"/>
      <w:tblInd w:w="0"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CellMar>
        <w:top w:w="0" w:type="dxa"/>
        <w:left w:w="108" w:type="dxa"/>
        <w:bottom w:w="0" w:type="dxa"/>
        <w:right w:w="108" w:type="dxa"/>
      </w:tblCellMa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c"/>
    <w:uiPriority w:val="99"/>
    <w:rPr>
      <w:rFonts w:asciiTheme="minorHAnsi" w:eastAsiaTheme="minorHAnsi" w:hAnsiTheme="minorHAnsi" w:cstheme="minorBidi"/>
      <w:color w:val="404040"/>
    </w:rPr>
    <w:tblPr>
      <w:tblStyleRowBandSize w:val="1"/>
      <w:tblStyleColBandSize w:val="1"/>
      <w:tblInd w:w="0" w:type="dxa"/>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CellMar>
        <w:top w:w="0" w:type="dxa"/>
        <w:left w:w="108" w:type="dxa"/>
        <w:bottom w:w="0" w:type="dxa"/>
        <w:right w:w="108" w:type="dxa"/>
      </w:tblCellMar>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BorderedLined-Accent2">
    <w:name w:val="Bordered &amp; Lined - Accent 2"/>
    <w:basedOn w:val="ac"/>
    <w:uiPriority w:val="99"/>
    <w:rPr>
      <w:rFonts w:asciiTheme="minorHAnsi" w:eastAsiaTheme="minorHAnsi" w:hAnsiTheme="minorHAnsi" w:cstheme="minorBidi"/>
      <w:color w:val="404040"/>
    </w:rPr>
    <w:tblPr>
      <w:tblStyleRowBandSize w:val="1"/>
      <w:tblStyleColBandSize w:val="1"/>
      <w:tblInd w:w="0" w:type="dxa"/>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CellMar>
        <w:top w:w="0" w:type="dxa"/>
        <w:left w:w="108" w:type="dxa"/>
        <w:bottom w:w="0" w:type="dxa"/>
        <w:right w:w="108" w:type="dxa"/>
      </w:tblCellMar>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ac"/>
    <w:uiPriority w:val="99"/>
    <w:rPr>
      <w:rFonts w:asciiTheme="minorHAnsi" w:eastAsiaTheme="minorHAnsi" w:hAnsiTheme="minorHAnsi" w:cstheme="minorBidi"/>
      <w:color w:val="404040"/>
    </w:rPr>
    <w:tblPr>
      <w:tblStyleRowBandSize w:val="1"/>
      <w:tblStyleColBandSize w:val="1"/>
      <w:tblInd w:w="0" w:type="dxa"/>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CellMar>
        <w:top w:w="0" w:type="dxa"/>
        <w:left w:w="108" w:type="dxa"/>
        <w:bottom w:w="0" w:type="dxa"/>
        <w:right w:w="108" w:type="dxa"/>
      </w:tblCellMar>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ac"/>
    <w:uiPriority w:val="99"/>
    <w:rPr>
      <w:rFonts w:asciiTheme="minorHAnsi" w:eastAsiaTheme="minorHAnsi" w:hAnsiTheme="minorHAnsi" w:cstheme="minorBidi"/>
      <w:color w:val="404040"/>
    </w:rPr>
    <w:tblPr>
      <w:tblStyleRowBandSize w:val="1"/>
      <w:tblStyleColBandSize w:val="1"/>
      <w:tblInd w:w="0" w:type="dxa"/>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CellMar>
        <w:top w:w="0" w:type="dxa"/>
        <w:left w:w="108" w:type="dxa"/>
        <w:bottom w:w="0" w:type="dxa"/>
        <w:right w:w="108" w:type="dxa"/>
      </w:tblCellMar>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ac"/>
    <w:uiPriority w:val="99"/>
    <w:rPr>
      <w:rFonts w:asciiTheme="minorHAnsi" w:eastAsiaTheme="minorHAnsi" w:hAnsiTheme="minorHAnsi" w:cstheme="minorBidi"/>
      <w:color w:val="404040"/>
    </w:rPr>
    <w:tblPr>
      <w:tblStyleRowBandSize w:val="1"/>
      <w:tblStyleColBandSize w:val="1"/>
      <w:tblInd w:w="0" w:type="dxa"/>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CellMar>
        <w:top w:w="0" w:type="dxa"/>
        <w:left w:w="108" w:type="dxa"/>
        <w:bottom w:w="0" w:type="dxa"/>
        <w:right w:w="108" w:type="dxa"/>
      </w:tblCellMar>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BorderedLined-Accent6">
    <w:name w:val="Bordered &amp; Lined - Accent 6"/>
    <w:basedOn w:val="ac"/>
    <w:uiPriority w:val="99"/>
    <w:rPr>
      <w:rFonts w:asciiTheme="minorHAnsi" w:eastAsiaTheme="minorHAnsi" w:hAnsiTheme="minorHAnsi" w:cstheme="minorBidi"/>
      <w:color w:val="404040"/>
    </w:rPr>
    <w:tblPr>
      <w:tblStyleRowBandSize w:val="1"/>
      <w:tblStyleColBandSize w:val="1"/>
      <w:tblInd w:w="0" w:type="dxa"/>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CellMar>
        <w:top w:w="0" w:type="dxa"/>
        <w:left w:w="108" w:type="dxa"/>
        <w:bottom w:w="0" w:type="dxa"/>
        <w:right w:w="108" w:type="dxa"/>
      </w:tblCellMar>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ac"/>
    <w:uiPriority w:val="99"/>
    <w:rPr>
      <w:rFonts w:asciiTheme="minorHAnsi" w:eastAsiaTheme="minorHAnsi" w:hAnsiTheme="minorHAnsi" w:cstheme="minorBidi"/>
      <w:sz w:val="22"/>
      <w:szCs w:val="22"/>
      <w:lang w:eastAsia="en-US"/>
    </w:rPr>
    <w:tblPr>
      <w:tblStyleRowBandSize w:val="1"/>
      <w:tblStyleColBandSize w:val="1"/>
      <w:tblInd w:w="0" w:type="dxa"/>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customStyle="1" w:styleId="FootnoteTextChar">
    <w:name w:val="Footnote Text Char"/>
    <w:uiPriority w:val="99"/>
    <w:rPr>
      <w:sz w:val="18"/>
    </w:rPr>
  </w:style>
  <w:style w:type="character" w:customStyle="1" w:styleId="EndnoteTextChar">
    <w:name w:val="Endnote Text Char"/>
    <w:uiPriority w:val="99"/>
    <w:rPr>
      <w:sz w:val="20"/>
    </w:rPr>
  </w:style>
  <w:style w:type="character" w:customStyle="1" w:styleId="192">
    <w:name w:val="Неразрешенное упоминание19"/>
    <w:basedOn w:val="ab"/>
    <w:uiPriority w:val="99"/>
    <w:semiHidden/>
    <w:unhideWhenUsed/>
    <w:rPr>
      <w:color w:val="605E5C"/>
      <w:shd w:val="clear" w:color="auto" w:fill="E1DFDD"/>
    </w:rPr>
  </w:style>
  <w:style w:type="character" w:customStyle="1" w:styleId="201">
    <w:name w:val="Неразрешенное упоминание20"/>
    <w:basedOn w:val="ab"/>
    <w:uiPriority w:val="99"/>
    <w:semiHidden/>
    <w:unhideWhenUsed/>
    <w:rPr>
      <w:color w:val="605E5C"/>
      <w:shd w:val="clear" w:color="auto" w:fill="E1DFDD"/>
    </w:rPr>
  </w:style>
  <w:style w:type="paragraph" w:customStyle="1" w:styleId="193">
    <w:name w:val="19"/>
    <w:basedOn w:val="aa"/>
    <w:next w:val="afff7"/>
    <w:pPr>
      <w:ind w:firstLine="567"/>
    </w:pPr>
  </w:style>
  <w:style w:type="paragraph" w:customStyle="1" w:styleId="183">
    <w:name w:val="18"/>
    <w:basedOn w:val="aa"/>
    <w:next w:val="afff7"/>
    <w:pPr>
      <w:ind w:firstLine="567"/>
    </w:pPr>
  </w:style>
  <w:style w:type="paragraph" w:customStyle="1" w:styleId="175">
    <w:name w:val="17"/>
    <w:basedOn w:val="aa"/>
    <w:next w:val="afff7"/>
    <w:pPr>
      <w:ind w:firstLine="567"/>
    </w:pPr>
  </w:style>
  <w:style w:type="paragraph" w:customStyle="1" w:styleId="165">
    <w:name w:val="16"/>
    <w:basedOn w:val="aa"/>
    <w:next w:val="afff7"/>
    <w:pPr>
      <w:ind w:firstLine="567"/>
    </w:pPr>
  </w:style>
  <w:style w:type="paragraph" w:customStyle="1" w:styleId="155">
    <w:name w:val="15"/>
    <w:basedOn w:val="aa"/>
    <w:next w:val="afff7"/>
    <w:pPr>
      <w:ind w:firstLine="567"/>
    </w:pPr>
  </w:style>
  <w:style w:type="paragraph" w:customStyle="1" w:styleId="145">
    <w:name w:val="14"/>
    <w:basedOn w:val="aa"/>
    <w:next w:val="afff7"/>
    <w:pPr>
      <w:ind w:firstLine="567"/>
    </w:pPr>
  </w:style>
  <w:style w:type="paragraph" w:customStyle="1" w:styleId="135">
    <w:name w:val="13"/>
    <w:basedOn w:val="aa"/>
    <w:next w:val="afff7"/>
    <w:pPr>
      <w:ind w:firstLine="567"/>
    </w:pPr>
  </w:style>
  <w:style w:type="paragraph" w:customStyle="1" w:styleId="125">
    <w:name w:val="12"/>
    <w:basedOn w:val="aa"/>
    <w:next w:val="afff7"/>
    <w:pPr>
      <w:ind w:firstLine="567"/>
    </w:pPr>
  </w:style>
  <w:style w:type="character" w:customStyle="1" w:styleId="218">
    <w:name w:val="Неразрешенное упоминание21"/>
    <w:basedOn w:val="ab"/>
    <w:uiPriority w:val="99"/>
    <w:semiHidden/>
    <w:unhideWhenUsed/>
    <w:rPr>
      <w:color w:val="605E5C"/>
      <w:shd w:val="clear" w:color="auto" w:fill="E1DFDD"/>
    </w:rPr>
  </w:style>
  <w:style w:type="character" w:customStyle="1" w:styleId="223">
    <w:name w:val="Неразрешенное упоминание22"/>
    <w:basedOn w:val="ab"/>
    <w:uiPriority w:val="99"/>
    <w:semiHidden/>
    <w:unhideWhenUsed/>
    <w:rPr>
      <w:color w:val="605E5C"/>
      <w:shd w:val="clear" w:color="auto" w:fill="E1DFDD"/>
    </w:rPr>
  </w:style>
  <w:style w:type="character" w:customStyle="1" w:styleId="231">
    <w:name w:val="Неразрешенное упоминание23"/>
    <w:basedOn w:val="ab"/>
    <w:uiPriority w:val="99"/>
    <w:semiHidden/>
    <w:unhideWhenUsed/>
    <w:rPr>
      <w:color w:val="605E5C"/>
      <w:shd w:val="clear" w:color="auto" w:fill="E1DFDD"/>
    </w:rPr>
  </w:style>
  <w:style w:type="character" w:customStyle="1" w:styleId="240">
    <w:name w:val="Неразрешенное упоминание24"/>
    <w:uiPriority w:val="99"/>
    <w:semiHidden/>
    <w:unhideWhenUsed/>
    <w:rPr>
      <w:color w:val="605E5C"/>
      <w:shd w:val="clear" w:color="auto" w:fill="E1DFDD"/>
    </w:rPr>
  </w:style>
  <w:style w:type="paragraph" w:customStyle="1" w:styleId="GOSTTitulfooter">
    <w:name w:val="_GOST_Titul_footer"/>
    <w:pPr>
      <w:jc w:val="center"/>
    </w:pPr>
    <w:rPr>
      <w:rFonts w:ascii="Times New Roman" w:eastAsia="Times New Roman" w:hAnsi="Times New Roman"/>
      <w:color w:val="292929"/>
      <w:sz w:val="28"/>
    </w:rPr>
  </w:style>
  <w:style w:type="paragraph" w:customStyle="1" w:styleId="GOSTTitulheader">
    <w:name w:val="_GOST_Titul_header"/>
    <w:pPr>
      <w:jc w:val="center"/>
    </w:pPr>
    <w:rPr>
      <w:rFonts w:ascii="Times New Roman" w:eastAsia="Times New Roman" w:hAnsi="Times New Roman"/>
      <w:b/>
      <w:caps/>
      <w:color w:val="404040"/>
      <w:sz w:val="24"/>
    </w:rPr>
  </w:style>
  <w:style w:type="character" w:customStyle="1" w:styleId="250">
    <w:name w:val="Неразрешенное упоминание25"/>
    <w:basedOn w:val="ab"/>
    <w:uiPriority w:val="99"/>
    <w:semiHidden/>
    <w:unhideWhenUsed/>
    <w:rPr>
      <w:color w:val="605E5C"/>
      <w:shd w:val="clear" w:color="auto" w:fill="E1DFDD"/>
    </w:rPr>
  </w:style>
  <w:style w:type="paragraph" w:customStyle="1" w:styleId="GOSTTablenorm12">
    <w:name w:val="Стиль _GOST_Table_norm + 12 пт По центру"/>
    <w:basedOn w:val="GOSTTablenorm"/>
    <w:pPr>
      <w:spacing w:before="0" w:after="0"/>
      <w:jc w:val="left"/>
    </w:pPr>
  </w:style>
  <w:style w:type="character" w:customStyle="1" w:styleId="260">
    <w:name w:val="Неразрешенное упоминание26"/>
    <w:basedOn w:val="ab"/>
    <w:uiPriority w:val="99"/>
    <w:semiHidden/>
    <w:unhideWhenUsed/>
    <w:rPr>
      <w:color w:val="605E5C"/>
      <w:shd w:val="clear" w:color="auto" w:fill="E1DFDD"/>
    </w:rPr>
  </w:style>
  <w:style w:type="character" w:customStyle="1" w:styleId="270">
    <w:name w:val="Неразрешенное упоминание27"/>
    <w:basedOn w:val="ab"/>
    <w:uiPriority w:val="99"/>
    <w:semiHidden/>
    <w:unhideWhenUsed/>
    <w:rPr>
      <w:color w:val="605E5C"/>
      <w:shd w:val="clear" w:color="auto" w:fill="E1DFDD"/>
    </w:rPr>
  </w:style>
  <w:style w:type="character" w:customStyle="1" w:styleId="280">
    <w:name w:val="Неразрешенное упоминание28"/>
    <w:basedOn w:val="ab"/>
    <w:uiPriority w:val="99"/>
    <w:semiHidden/>
    <w:unhideWhenUsed/>
    <w:rPr>
      <w:color w:val="605E5C"/>
      <w:shd w:val="clear" w:color="auto" w:fill="E1DFDD"/>
    </w:rPr>
  </w:style>
  <w:style w:type="character" w:customStyle="1" w:styleId="290">
    <w:name w:val="Неразрешенное упоминание29"/>
    <w:basedOn w:val="ab"/>
    <w:uiPriority w:val="99"/>
    <w:semiHidden/>
    <w:unhideWhenUsed/>
    <w:rPr>
      <w:color w:val="605E5C"/>
      <w:shd w:val="clear" w:color="auto" w:fill="E1DFDD"/>
    </w:rPr>
  </w:style>
  <w:style w:type="character" w:customStyle="1" w:styleId="300">
    <w:name w:val="Неразрешенное упоминание30"/>
    <w:basedOn w:val="ab"/>
    <w:uiPriority w:val="99"/>
    <w:semiHidden/>
    <w:unhideWhenUsed/>
    <w:rPr>
      <w:color w:val="605E5C"/>
      <w:shd w:val="clear" w:color="auto" w:fill="E1DFDD"/>
    </w:rPr>
  </w:style>
  <w:style w:type="character" w:customStyle="1" w:styleId="313">
    <w:name w:val="Неразрешенное упоминание31"/>
    <w:basedOn w:val="ab"/>
    <w:uiPriority w:val="99"/>
    <w:semiHidden/>
    <w:unhideWhenUsed/>
    <w:rPr>
      <w:color w:val="605E5C"/>
      <w:shd w:val="clear" w:color="auto" w:fill="E1DFDD"/>
    </w:rPr>
  </w:style>
  <w:style w:type="paragraph" w:customStyle="1" w:styleId="1fff9">
    <w:name w:val="1"/>
    <w:basedOn w:val="aa"/>
    <w:next w:val="afff7"/>
    <w:rsid w:val="00337F7E"/>
    <w:pPr>
      <w:ind w:firstLine="567"/>
    </w:pPr>
  </w:style>
  <w:style w:type="character" w:customStyle="1" w:styleId="320">
    <w:name w:val="Неразрешенное упоминание32"/>
    <w:basedOn w:val="ab"/>
    <w:uiPriority w:val="99"/>
    <w:semiHidden/>
    <w:unhideWhenUsed/>
    <w:rsid w:val="00337F7E"/>
    <w:rPr>
      <w:color w:val="605E5C"/>
      <w:shd w:val="clear" w:color="auto" w:fill="E1DFDD"/>
    </w:rPr>
  </w:style>
  <w:style w:type="character" w:customStyle="1" w:styleId="affffff5">
    <w:name w:val="Заг_Приложение Знак"/>
    <w:basedOn w:val="ab"/>
    <w:link w:val="affffff4"/>
    <w:rsid w:val="00337F7E"/>
    <w:rPr>
      <w:rFonts w:ascii="Times New Roman" w:eastAsia="Times New Roman" w:hAnsi="Times New Roman"/>
      <w:b/>
      <w:caps/>
      <w:sz w:val="36"/>
      <w:szCs w:val="36"/>
    </w:rPr>
  </w:style>
  <w:style w:type="character" w:customStyle="1" w:styleId="330">
    <w:name w:val="Неразрешенное упоминание33"/>
    <w:basedOn w:val="ab"/>
    <w:uiPriority w:val="99"/>
    <w:semiHidden/>
    <w:unhideWhenUsed/>
    <w:rsid w:val="00337F7E"/>
    <w:rPr>
      <w:color w:val="605E5C"/>
      <w:shd w:val="clear" w:color="auto" w:fill="E1DFDD"/>
    </w:rPr>
  </w:style>
  <w:style w:type="character" w:customStyle="1" w:styleId="340">
    <w:name w:val="Неразрешенное упоминание34"/>
    <w:basedOn w:val="ab"/>
    <w:uiPriority w:val="99"/>
    <w:semiHidden/>
    <w:unhideWhenUsed/>
    <w:rsid w:val="00337F7E"/>
    <w:rPr>
      <w:color w:val="605E5C"/>
      <w:shd w:val="clear" w:color="auto" w:fill="E1DFDD"/>
    </w:rPr>
  </w:style>
  <w:style w:type="character" w:customStyle="1" w:styleId="350">
    <w:name w:val="Неразрешенное упоминание35"/>
    <w:basedOn w:val="ab"/>
    <w:uiPriority w:val="99"/>
    <w:semiHidden/>
    <w:unhideWhenUsed/>
    <w:rsid w:val="00337F7E"/>
    <w:rPr>
      <w:color w:val="605E5C"/>
      <w:shd w:val="clear" w:color="auto" w:fill="E1DFDD"/>
    </w:rPr>
  </w:style>
  <w:style w:type="character" w:customStyle="1" w:styleId="360">
    <w:name w:val="Неразрешенное упоминание36"/>
    <w:basedOn w:val="ab"/>
    <w:uiPriority w:val="99"/>
    <w:semiHidden/>
    <w:unhideWhenUsed/>
    <w:rsid w:val="00337F7E"/>
    <w:rPr>
      <w:color w:val="605E5C"/>
      <w:shd w:val="clear" w:color="auto" w:fill="E1DFDD"/>
    </w:rPr>
  </w:style>
  <w:style w:type="character" w:customStyle="1" w:styleId="370">
    <w:name w:val="Неразрешенное упоминание37"/>
    <w:basedOn w:val="ab"/>
    <w:uiPriority w:val="99"/>
    <w:semiHidden/>
    <w:unhideWhenUsed/>
    <w:rsid w:val="00337F7E"/>
    <w:rPr>
      <w:color w:val="605E5C"/>
      <w:shd w:val="clear" w:color="auto" w:fill="E1DFDD"/>
    </w:rPr>
  </w:style>
  <w:style w:type="character" w:customStyle="1" w:styleId="380">
    <w:name w:val="Неразрешенное упоминание38"/>
    <w:basedOn w:val="ab"/>
    <w:uiPriority w:val="99"/>
    <w:semiHidden/>
    <w:unhideWhenUsed/>
    <w:rsid w:val="00337F7E"/>
    <w:rPr>
      <w:color w:val="605E5C"/>
      <w:shd w:val="clear" w:color="auto" w:fill="E1DFDD"/>
    </w:rPr>
  </w:style>
  <w:style w:type="character" w:customStyle="1" w:styleId="390">
    <w:name w:val="Неразрешенное упоминание39"/>
    <w:basedOn w:val="ab"/>
    <w:uiPriority w:val="99"/>
    <w:semiHidden/>
    <w:unhideWhenUsed/>
    <w:rsid w:val="00337F7E"/>
    <w:rPr>
      <w:color w:val="605E5C"/>
      <w:shd w:val="clear" w:color="auto" w:fill="E1DFDD"/>
    </w:rPr>
  </w:style>
  <w:style w:type="character" w:customStyle="1" w:styleId="400">
    <w:name w:val="Неразрешенное упоминание40"/>
    <w:basedOn w:val="ab"/>
    <w:uiPriority w:val="99"/>
    <w:semiHidden/>
    <w:unhideWhenUsed/>
    <w:rsid w:val="00337F7E"/>
    <w:rPr>
      <w:color w:val="605E5C"/>
      <w:shd w:val="clear" w:color="auto" w:fill="E1DFDD"/>
    </w:rPr>
  </w:style>
  <w:style w:type="character" w:customStyle="1" w:styleId="411">
    <w:name w:val="Неразрешенное упоминание41"/>
    <w:basedOn w:val="ab"/>
    <w:uiPriority w:val="99"/>
    <w:semiHidden/>
    <w:unhideWhenUsed/>
    <w:rsid w:val="00337F7E"/>
    <w:rPr>
      <w:color w:val="605E5C"/>
      <w:shd w:val="clear" w:color="auto" w:fill="E1DFDD"/>
    </w:rPr>
  </w:style>
  <w:style w:type="character" w:customStyle="1" w:styleId="420">
    <w:name w:val="Неразрешенное упоминание42"/>
    <w:basedOn w:val="ab"/>
    <w:uiPriority w:val="99"/>
    <w:semiHidden/>
    <w:unhideWhenUsed/>
    <w:rsid w:val="00337F7E"/>
    <w:rPr>
      <w:color w:val="605E5C"/>
      <w:shd w:val="clear" w:color="auto" w:fill="E1DFDD"/>
    </w:rPr>
  </w:style>
  <w:style w:type="character" w:customStyle="1" w:styleId="430">
    <w:name w:val="Неразрешенное упоминание43"/>
    <w:basedOn w:val="ab"/>
    <w:uiPriority w:val="99"/>
    <w:semiHidden/>
    <w:unhideWhenUsed/>
    <w:rsid w:val="00337F7E"/>
    <w:rPr>
      <w:color w:val="605E5C"/>
      <w:shd w:val="clear" w:color="auto" w:fill="E1DFDD"/>
    </w:rPr>
  </w:style>
  <w:style w:type="character" w:customStyle="1" w:styleId="440">
    <w:name w:val="Неразрешенное упоминание44"/>
    <w:basedOn w:val="ab"/>
    <w:uiPriority w:val="99"/>
    <w:semiHidden/>
    <w:unhideWhenUsed/>
    <w:rsid w:val="00337F7E"/>
    <w:rPr>
      <w:color w:val="605E5C"/>
      <w:shd w:val="clear" w:color="auto" w:fill="E1DFDD"/>
    </w:rPr>
  </w:style>
  <w:style w:type="character" w:customStyle="1" w:styleId="450">
    <w:name w:val="Неразрешенное упоминание45"/>
    <w:basedOn w:val="ab"/>
    <w:uiPriority w:val="99"/>
    <w:semiHidden/>
    <w:unhideWhenUsed/>
    <w:rsid w:val="00337F7E"/>
    <w:rPr>
      <w:color w:val="605E5C"/>
      <w:shd w:val="clear" w:color="auto" w:fill="E1DFDD"/>
    </w:rPr>
  </w:style>
  <w:style w:type="character" w:customStyle="1" w:styleId="460">
    <w:name w:val="Неразрешенное упоминание46"/>
    <w:basedOn w:val="ab"/>
    <w:uiPriority w:val="99"/>
    <w:semiHidden/>
    <w:unhideWhenUsed/>
    <w:rsid w:val="00337F7E"/>
    <w:rPr>
      <w:color w:val="605E5C"/>
      <w:shd w:val="clear" w:color="auto" w:fill="E1DFDD"/>
    </w:rPr>
  </w:style>
  <w:style w:type="character" w:customStyle="1" w:styleId="470">
    <w:name w:val="Неразрешенное упоминание47"/>
    <w:basedOn w:val="ab"/>
    <w:uiPriority w:val="99"/>
    <w:semiHidden/>
    <w:unhideWhenUsed/>
    <w:rsid w:val="00337F7E"/>
    <w:rPr>
      <w:color w:val="605E5C"/>
      <w:shd w:val="clear" w:color="auto" w:fill="E1DFDD"/>
    </w:rPr>
  </w:style>
  <w:style w:type="paragraph" w:customStyle="1" w:styleId="OTRNormal11">
    <w:name w:val="Стиль OTR_Normal_11"/>
    <w:basedOn w:val="OTRNormal"/>
    <w:qFormat/>
    <w:rsid w:val="00337F7E"/>
    <w:pPr>
      <w:spacing w:after="60"/>
      <w:ind w:left="57" w:right="57" w:firstLine="0"/>
    </w:pPr>
    <w:rPr>
      <w:rFonts w:eastAsia="Times New Roman"/>
      <w:sz w:val="22"/>
    </w:rPr>
  </w:style>
  <w:style w:type="character" w:customStyle="1" w:styleId="480">
    <w:name w:val="Неразрешенное упоминание48"/>
    <w:basedOn w:val="ab"/>
    <w:uiPriority w:val="99"/>
    <w:semiHidden/>
    <w:unhideWhenUsed/>
    <w:rsid w:val="00337F7E"/>
    <w:rPr>
      <w:color w:val="605E5C"/>
      <w:shd w:val="clear" w:color="auto" w:fill="E1DFDD"/>
    </w:rPr>
  </w:style>
  <w:style w:type="paragraph" w:customStyle="1" w:styleId="OTRNormal110">
    <w:name w:val="Стиль OTR_Normal_11К"/>
    <w:basedOn w:val="OTRNormal"/>
    <w:qFormat/>
    <w:rsid w:val="00337F7E"/>
    <w:pPr>
      <w:spacing w:after="60"/>
      <w:ind w:left="57" w:right="57" w:firstLine="0"/>
    </w:pPr>
    <w:rPr>
      <w:rFonts w:eastAsia="Times New Roman"/>
      <w:i/>
      <w:iCs/>
      <w:sz w:val="22"/>
    </w:rPr>
  </w:style>
  <w:style w:type="character" w:customStyle="1" w:styleId="490">
    <w:name w:val="Неразрешенное упоминание49"/>
    <w:basedOn w:val="ab"/>
    <w:uiPriority w:val="99"/>
    <w:semiHidden/>
    <w:unhideWhenUsed/>
    <w:rsid w:val="00337F7E"/>
    <w:rPr>
      <w:color w:val="605E5C"/>
      <w:shd w:val="clear" w:color="auto" w:fill="E1DFDD"/>
    </w:rPr>
  </w:style>
  <w:style w:type="character" w:customStyle="1" w:styleId="1fffa">
    <w:name w:val="Нижний колонтитул Знак1"/>
    <w:basedOn w:val="ab"/>
    <w:uiPriority w:val="99"/>
    <w:semiHidden/>
    <w:rsid w:val="00337F7E"/>
    <w:rPr>
      <w:rFonts w:ascii="Times New Roman" w:eastAsia="Times New Roman" w:hAnsi="Times New Roman" w:cs="Times New Roman"/>
      <w:sz w:val="24"/>
      <w:szCs w:val="20"/>
      <w:lang w:eastAsia="ru-RU"/>
    </w:rPr>
  </w:style>
  <w:style w:type="paragraph" w:customStyle="1" w:styleId="1fffb">
    <w:name w:val="Заголовок1"/>
    <w:basedOn w:val="aa"/>
    <w:qFormat/>
    <w:rsid w:val="00337F7E"/>
    <w:pPr>
      <w:spacing w:before="240" w:after="60"/>
      <w:jc w:val="center"/>
      <w:outlineLvl w:val="0"/>
    </w:pPr>
    <w:rPr>
      <w:rFonts w:ascii="Arial" w:hAnsi="Arial" w:cs="Arial"/>
      <w:b/>
      <w:bCs/>
      <w:sz w:val="32"/>
      <w:szCs w:val="32"/>
    </w:rPr>
  </w:style>
  <w:style w:type="character" w:customStyle="1" w:styleId="1fffc">
    <w:name w:val="Подзаголовок Знак1"/>
    <w:basedOn w:val="ab"/>
    <w:uiPriority w:val="11"/>
    <w:rsid w:val="00337F7E"/>
    <w:rPr>
      <w:rFonts w:eastAsiaTheme="minorEastAsia"/>
      <w:color w:val="5A5A5A" w:themeColor="text1" w:themeTint="A5"/>
      <w:spacing w:val="15"/>
      <w:lang w:eastAsia="ru-RU"/>
    </w:rPr>
  </w:style>
  <w:style w:type="character" w:customStyle="1" w:styleId="500">
    <w:name w:val="Неразрешенное упоминание50"/>
    <w:basedOn w:val="ab"/>
    <w:uiPriority w:val="99"/>
    <w:semiHidden/>
    <w:unhideWhenUsed/>
    <w:rsid w:val="00337F7E"/>
    <w:rPr>
      <w:color w:val="605E5C"/>
      <w:shd w:val="clear" w:color="auto" w:fill="E1DFDD"/>
    </w:rPr>
  </w:style>
  <w:style w:type="paragraph" w:customStyle="1" w:styleId="OTRTableTitle0">
    <w:name w:val="OTR_Table_Title+тире"/>
    <w:basedOn w:val="OTRTableTitle"/>
    <w:rsid w:val="00337F7E"/>
    <w:pPr>
      <w:tabs>
        <w:tab w:val="clear" w:pos="1260"/>
        <w:tab w:val="num" w:pos="360"/>
      </w:tabs>
      <w:ind w:left="360" w:hanging="360"/>
      <w:jc w:val="left"/>
    </w:pPr>
    <w:rPr>
      <w:bCs/>
    </w:rPr>
  </w:style>
  <w:style w:type="paragraph" w:customStyle="1" w:styleId="OTRNameTable11">
    <w:name w:val="Стиль OTR_Name_Table_11"/>
    <w:basedOn w:val="aa"/>
    <w:qFormat/>
    <w:rsid w:val="00AA3181"/>
    <w:pPr>
      <w:widowControl w:val="0"/>
      <w:tabs>
        <w:tab w:val="num" w:pos="600"/>
      </w:tabs>
      <w:spacing w:before="60" w:after="60"/>
      <w:ind w:left="57" w:right="57"/>
    </w:pPr>
    <w:rPr>
      <w:sz w:val="22"/>
      <w:szCs w:val="22"/>
    </w:rPr>
  </w:style>
  <w:style w:type="paragraph" w:customStyle="1" w:styleId="12-1">
    <w:name w:val="Таблица (12) - осн. текст♫"/>
    <w:link w:val="12-2"/>
    <w:qFormat/>
    <w:rsid w:val="00601408"/>
    <w:pPr>
      <w:spacing w:line="276" w:lineRule="auto"/>
    </w:pPr>
    <w:rPr>
      <w:rFonts w:ascii="Times New Roman" w:eastAsia="Times New Roman" w:hAnsi="Times New Roman"/>
      <w:color w:val="000000"/>
      <w:sz w:val="24"/>
    </w:rPr>
  </w:style>
  <w:style w:type="character" w:customStyle="1" w:styleId="12-2">
    <w:name w:val="Таблица (12) - осн. текст♫ Знак"/>
    <w:link w:val="12-1"/>
    <w:rsid w:val="00601408"/>
    <w:rPr>
      <w:rFonts w:ascii="Times New Roman" w:eastAsia="Times New Roman" w:hAnsi="Times New Roman"/>
      <w:color w:val="000000"/>
      <w:sz w:val="24"/>
    </w:rPr>
  </w:style>
  <w:style w:type="character" w:customStyle="1" w:styleId="anegp0gi0b9av8jahpyh">
    <w:name w:val="anegp0gi0b9av8jahpyh"/>
    <w:basedOn w:val="ab"/>
    <w:rsid w:val="002E0E1D"/>
  </w:style>
  <w:style w:type="character" w:customStyle="1" w:styleId="511">
    <w:name w:val="Неразрешенное упоминание51"/>
    <w:basedOn w:val="ab"/>
    <w:uiPriority w:val="99"/>
    <w:semiHidden/>
    <w:unhideWhenUsed/>
    <w:rsid w:val="00330901"/>
    <w:rPr>
      <w:color w:val="605E5C"/>
      <w:shd w:val="clear" w:color="auto" w:fill="E1DFDD"/>
    </w:rPr>
  </w:style>
  <w:style w:type="character" w:customStyle="1" w:styleId="UnresolvedMention">
    <w:name w:val="Unresolved Mention"/>
    <w:basedOn w:val="ab"/>
    <w:uiPriority w:val="99"/>
    <w:semiHidden/>
    <w:unhideWhenUsed/>
    <w:rsid w:val="0084237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1115140">
      <w:bodyDiv w:val="1"/>
      <w:marLeft w:val="0"/>
      <w:marRight w:val="0"/>
      <w:marTop w:val="0"/>
      <w:marBottom w:val="0"/>
      <w:divBdr>
        <w:top w:val="none" w:sz="0" w:space="0" w:color="auto"/>
        <w:left w:val="none" w:sz="0" w:space="0" w:color="auto"/>
        <w:bottom w:val="none" w:sz="0" w:space="0" w:color="auto"/>
        <w:right w:val="none" w:sz="0" w:space="0" w:color="auto"/>
      </w:divBdr>
    </w:div>
    <w:div w:id="591209774">
      <w:bodyDiv w:val="1"/>
      <w:marLeft w:val="0"/>
      <w:marRight w:val="0"/>
      <w:marTop w:val="0"/>
      <w:marBottom w:val="0"/>
      <w:divBdr>
        <w:top w:val="none" w:sz="0" w:space="0" w:color="auto"/>
        <w:left w:val="none" w:sz="0" w:space="0" w:color="auto"/>
        <w:bottom w:val="none" w:sz="0" w:space="0" w:color="auto"/>
        <w:right w:val="none" w:sz="0" w:space="0" w:color="auto"/>
      </w:divBdr>
      <w:divsChild>
        <w:div w:id="1111975100">
          <w:marLeft w:val="-15"/>
          <w:marRight w:val="0"/>
          <w:marTop w:val="0"/>
          <w:marBottom w:val="0"/>
          <w:divBdr>
            <w:top w:val="none" w:sz="0" w:space="0" w:color="auto"/>
            <w:left w:val="none" w:sz="0" w:space="0" w:color="auto"/>
            <w:bottom w:val="none" w:sz="0" w:space="0" w:color="auto"/>
            <w:right w:val="none" w:sz="0" w:space="0" w:color="auto"/>
          </w:divBdr>
        </w:div>
      </w:divsChild>
    </w:div>
    <w:div w:id="20647124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5.xml"/><Relationship Id="rId18" Type="http://schemas.openxmlformats.org/officeDocument/2006/relationships/footer" Target="footer4.xml"/><Relationship Id="rId26" Type="http://schemas.microsoft.com/office/2016/09/relationships/commentsIds" Target="commentsIds.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4.xml"/><Relationship Id="rId17" Type="http://schemas.openxmlformats.org/officeDocument/2006/relationships/header" Target="header7.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header" Target="header6.xml"/><Relationship Id="rId10" Type="http://schemas.openxmlformats.org/officeDocument/2006/relationships/footer" Target="footer1.xml"/><Relationship Id="rId19" Type="http://schemas.openxmlformats.org/officeDocument/2006/relationships/header" Target="header8.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oter" Target="footer2.xml"/><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CE2C7B-A2D0-4534-BF14-BE3B52A716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5345</TotalTime>
  <Pages>1</Pages>
  <Words>161269</Words>
  <Characters>919238</Characters>
  <Application>Microsoft Office Word</Application>
  <DocSecurity>0</DocSecurity>
  <Lines>7660</Lines>
  <Paragraphs>2156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1078351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Глоба Татьяна Анатольевна</dc:creator>
  <cp:keywords/>
  <dc:description/>
  <cp:lastModifiedBy>Наталия Коршунова</cp:lastModifiedBy>
  <cp:revision>111</cp:revision>
  <dcterms:created xsi:type="dcterms:W3CDTF">2019-11-19T12:57:00Z</dcterms:created>
  <dcterms:modified xsi:type="dcterms:W3CDTF">2026-01-14T15:24:00Z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1502301379</vt:i4>
  </property>
  <property fmtid="{D5CDD505-2E9C-101B-9397-08002B2CF9AE}" pid="3" name="_NewReviewCycle">
    <vt:lpwstr/>
  </property>
  <property fmtid="{D5CDD505-2E9C-101B-9397-08002B2CF9AE}" pid="4" name="_ReviewingToolsShownOnce">
    <vt:lpwstr/>
  </property>
  <property fmtid="{D5CDD505-2E9C-101B-9397-08002B2CF9AE}" pid="5" name="DocCode">
    <vt:lpwstr>54819512.09.01,00(02,00).ТФ.017-37.00 1(2,5)</vt:lpwstr>
  </property>
</Properties>
</file>